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9F1D52" w14:textId="77777777" w:rsidR="000B0B3B" w:rsidRPr="00FA7639" w:rsidRDefault="000B0B3B" w:rsidP="0010191F">
      <w:pPr>
        <w:spacing w:after="4440"/>
      </w:pPr>
      <w:bookmarkStart w:id="0" w:name="_GoBack"/>
      <w:bookmarkEnd w:id="0"/>
    </w:p>
    <w:sdt>
      <w:sdtPr>
        <w:rPr>
          <w:rFonts w:eastAsia="Times New Roman" w:cs="Times New Roman"/>
          <w:b w:val="0"/>
          <w:color w:val="auto"/>
          <w:spacing w:val="0"/>
          <w:kern w:val="0"/>
          <w:sz w:val="22"/>
          <w:szCs w:val="20"/>
        </w:rPr>
        <w:id w:val="-385645642"/>
        <w:docPartObj>
          <w:docPartGallery w:val="Cover Pages"/>
          <w:docPartUnique/>
        </w:docPartObj>
      </w:sdtPr>
      <w:sdtEndPr>
        <w:rPr>
          <w:noProof/>
        </w:rPr>
      </w:sdtEndPr>
      <w:sdtContent>
        <w:p w14:paraId="3934C14F" w14:textId="77777777" w:rsidR="00527805" w:rsidRPr="00027624" w:rsidRDefault="00527805" w:rsidP="00527805">
          <w:pPr>
            <w:pStyle w:val="Title"/>
          </w:pPr>
          <w:r w:rsidRPr="00027624">
            <w:t xml:space="preserve">Retirement Income Review </w:t>
          </w:r>
        </w:p>
        <w:p w14:paraId="37E8CA8B" w14:textId="77777777" w:rsidR="00604EEF" w:rsidRPr="00027624" w:rsidRDefault="00527805" w:rsidP="00527805">
          <w:pPr>
            <w:pStyle w:val="Subtitle"/>
          </w:pPr>
          <w:r w:rsidRPr="00027624">
            <w:t>Final Report</w:t>
          </w:r>
        </w:p>
        <w:p w14:paraId="78AEFDF9" w14:textId="77777777" w:rsidR="00527805" w:rsidRPr="00027624" w:rsidRDefault="00527805" w:rsidP="00527805">
          <w:pPr>
            <w:pStyle w:val="Subtitle"/>
          </w:pPr>
          <w:r w:rsidRPr="00027624">
            <w:t>July 2020</w:t>
          </w:r>
        </w:p>
        <w:p w14:paraId="6C524499" w14:textId="77777777" w:rsidR="00604EEF" w:rsidRPr="00027624" w:rsidRDefault="00604EEF" w:rsidP="00527805"/>
        <w:p w14:paraId="2B1E8743" w14:textId="77777777" w:rsidR="00E87653" w:rsidRPr="00027624" w:rsidRDefault="00E87653">
          <w:pPr>
            <w:spacing w:before="0" w:after="160" w:line="259" w:lineRule="auto"/>
            <w:rPr>
              <w:noProof/>
            </w:rPr>
            <w:sectPr w:rsidR="00E87653" w:rsidRPr="00027624" w:rsidSect="00626440">
              <w:headerReference w:type="even" r:id="rId13"/>
              <w:headerReference w:type="default" r:id="rId14"/>
              <w:footerReference w:type="even" r:id="rId15"/>
              <w:footerReference w:type="default" r:id="rId16"/>
              <w:pgSz w:w="11906" w:h="16838" w:code="9"/>
              <w:pgMar w:top="1418" w:right="1418" w:bottom="1418" w:left="1418" w:header="709" w:footer="709" w:gutter="0"/>
              <w:pgNumType w:fmt="lowerRoman" w:start="1"/>
              <w:cols w:space="708"/>
              <w:titlePg/>
              <w:docGrid w:linePitch="360"/>
            </w:sectPr>
          </w:pPr>
        </w:p>
        <w:p w14:paraId="4D37DB8C" w14:textId="77777777" w:rsidR="00604EEF" w:rsidRPr="00027624" w:rsidRDefault="007B222E">
          <w:pPr>
            <w:spacing w:before="0" w:after="160" w:line="259" w:lineRule="auto"/>
            <w:rPr>
              <w:noProof/>
            </w:rPr>
          </w:pPr>
        </w:p>
      </w:sdtContent>
    </w:sdt>
    <w:p w14:paraId="72EE6B43" w14:textId="77777777" w:rsidR="000E0B74" w:rsidRPr="00027624" w:rsidRDefault="000E0B74" w:rsidP="005877AC">
      <w:pPr>
        <w:spacing w:before="0" w:after="160" w:line="259" w:lineRule="auto"/>
        <w:rPr>
          <w:noProof/>
        </w:rPr>
      </w:pPr>
      <w:r w:rsidRPr="00027624">
        <w:t>© Commonwealth of Australia 20</w:t>
      </w:r>
      <w:r w:rsidR="00EB5D76" w:rsidRPr="00027624">
        <w:t>20</w:t>
      </w:r>
    </w:p>
    <w:p w14:paraId="3F95EEA3" w14:textId="77777777" w:rsidR="00902C65" w:rsidRPr="00027624" w:rsidRDefault="007F3373" w:rsidP="005877AC">
      <w:pPr>
        <w:spacing w:before="0" w:after="160" w:line="259" w:lineRule="auto"/>
        <w:rPr>
          <w:noProof/>
        </w:rPr>
      </w:pPr>
      <w:r>
        <w:rPr>
          <w:noProof/>
        </w:rPr>
        <w:t xml:space="preserve">ISBN: </w:t>
      </w:r>
      <w:r w:rsidR="00361BF0">
        <w:t>978-1-925832-12-9</w:t>
      </w:r>
    </w:p>
    <w:p w14:paraId="75F0C272" w14:textId="77777777" w:rsidR="000E0B74" w:rsidRPr="00027624" w:rsidRDefault="000E0B74" w:rsidP="000E0B74">
      <w:pPr>
        <w:tabs>
          <w:tab w:val="left" w:pos="1650"/>
        </w:tabs>
        <w:spacing w:before="240"/>
        <w:rPr>
          <w:rStyle w:val="Hyperlink"/>
        </w:rPr>
      </w:pPr>
      <w:r w:rsidRPr="00027624">
        <w:t>This publication is available for your use under a</w:t>
      </w:r>
      <w:r w:rsidRPr="00027624">
        <w:rPr>
          <w:rFonts w:cstheme="minorHAnsi"/>
          <w:sz w:val="24"/>
          <w:szCs w:val="24"/>
        </w:rPr>
        <w:t xml:space="preserve"> </w:t>
      </w:r>
      <w:hyperlink r:id="rId17" w:history="1">
        <w:r w:rsidRPr="00027624">
          <w:rPr>
            <w:rStyle w:val="Hyperlink"/>
          </w:rPr>
          <w:t>Creative Commons Attribution 3.0 Australia</w:t>
        </w:r>
      </w:hyperlink>
      <w:r w:rsidRPr="00027624">
        <w:rPr>
          <w:rFonts w:cstheme="minorHAnsi"/>
          <w:sz w:val="24"/>
          <w:szCs w:val="24"/>
        </w:rPr>
        <w:t xml:space="preserve"> </w:t>
      </w:r>
      <w:r w:rsidRPr="00027624">
        <w:t>licence, with the exception of the Commonwealth Coat of Arms, the Treasury logo, photographs, images, signatures and where otherwise stated. The full licence terms are available from</w:t>
      </w:r>
      <w:r w:rsidRPr="00027624">
        <w:rPr>
          <w:rFonts w:cstheme="minorHAnsi"/>
          <w:sz w:val="24"/>
          <w:szCs w:val="24"/>
        </w:rPr>
        <w:t xml:space="preserve"> </w:t>
      </w:r>
      <w:hyperlink r:id="rId18" w:history="1">
        <w:r w:rsidRPr="00027624">
          <w:rPr>
            <w:rStyle w:val="Hyperlink"/>
          </w:rPr>
          <w:t>http://creativecommons.org/licenses/by/3.0/au/legalcode</w:t>
        </w:r>
      </w:hyperlink>
      <w:r w:rsidRPr="00027624">
        <w:rPr>
          <w:rStyle w:val="Hyperlink"/>
        </w:rPr>
        <w:t>.</w:t>
      </w:r>
    </w:p>
    <w:p w14:paraId="30608A73" w14:textId="77777777" w:rsidR="000E0B74" w:rsidRPr="00027624" w:rsidRDefault="000E0B74" w:rsidP="000E0B74">
      <w:pPr>
        <w:pStyle w:val="ChartGraphic"/>
        <w:jc w:val="left"/>
      </w:pPr>
      <w:r w:rsidRPr="00027624">
        <w:rPr>
          <w:noProof/>
        </w:rPr>
        <w:drawing>
          <wp:inline distT="0" distB="0" distL="0" distR="0" wp14:anchorId="6E79DE95" wp14:editId="545CE74C">
            <wp:extent cx="809625" cy="285750"/>
            <wp:effectExtent l="0" t="0" r="9525" b="0"/>
            <wp:docPr id="3" name="Picture 1" descr="Creative Commons attribution licence 3.0 icon. " title="Creative Comm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by_gre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w="9525">
                      <a:noFill/>
                      <a:miter lim="800000"/>
                      <a:headEnd/>
                      <a:tailEnd/>
                    </a:ln>
                  </pic:spPr>
                </pic:pic>
              </a:graphicData>
            </a:graphic>
          </wp:inline>
        </w:drawing>
      </w:r>
    </w:p>
    <w:p w14:paraId="02AC1B26" w14:textId="77777777" w:rsidR="000E0B74" w:rsidRPr="00027624" w:rsidRDefault="000E0B74" w:rsidP="000E0B74">
      <w:pPr>
        <w:tabs>
          <w:tab w:val="left" w:pos="1650"/>
        </w:tabs>
        <w:spacing w:before="240"/>
      </w:pPr>
      <w:r w:rsidRPr="00027624">
        <w:t>Use of Treasury material under a</w:t>
      </w:r>
      <w:r w:rsidRPr="00027624">
        <w:rPr>
          <w:rFonts w:cstheme="minorHAnsi"/>
          <w:sz w:val="24"/>
          <w:szCs w:val="24"/>
        </w:rPr>
        <w:t xml:space="preserve"> </w:t>
      </w:r>
      <w:hyperlink r:id="rId20" w:history="1">
        <w:r w:rsidRPr="00027624">
          <w:rPr>
            <w:rStyle w:val="Hyperlink"/>
          </w:rPr>
          <w:t>Creative Commons Attribution 3.0 Australia</w:t>
        </w:r>
      </w:hyperlink>
      <w:r w:rsidRPr="00027624">
        <w:rPr>
          <w:rStyle w:val="Hyperlink"/>
        </w:rPr>
        <w:t xml:space="preserve"> </w:t>
      </w:r>
      <w:r w:rsidRPr="00027624">
        <w:t>licence requires you to attribute the work (but not in any way that suggests that the Treasury endorses you or your use of the work).</w:t>
      </w:r>
    </w:p>
    <w:p w14:paraId="1F9A2B37" w14:textId="77777777" w:rsidR="000E0B74" w:rsidRPr="00027624" w:rsidRDefault="000E0B74" w:rsidP="000E0B74">
      <w:pPr>
        <w:ind w:left="709"/>
        <w:rPr>
          <w:iCs/>
        </w:rPr>
      </w:pPr>
      <w:r w:rsidRPr="00027624">
        <w:rPr>
          <w:i/>
        </w:rPr>
        <w:t xml:space="preserve">Treasury material used </w:t>
      </w:r>
      <w:r w:rsidR="00A8443E" w:rsidRPr="00027624">
        <w:rPr>
          <w:i/>
        </w:rPr>
        <w:t>‘</w:t>
      </w:r>
      <w:r w:rsidRPr="00027624">
        <w:rPr>
          <w:i/>
        </w:rPr>
        <w:t>as supplied</w:t>
      </w:r>
      <w:r w:rsidR="00A8443E" w:rsidRPr="00027624">
        <w:rPr>
          <w:i/>
        </w:rPr>
        <w:t>’</w:t>
      </w:r>
      <w:r w:rsidRPr="00027624">
        <w:rPr>
          <w:i/>
        </w:rPr>
        <w:t>.</w:t>
      </w:r>
    </w:p>
    <w:p w14:paraId="7878AF7A" w14:textId="77777777" w:rsidR="000E0B74" w:rsidRPr="00027624" w:rsidRDefault="000E0B74" w:rsidP="000E0B74">
      <w:pPr>
        <w:spacing w:before="240"/>
      </w:pPr>
      <w:r w:rsidRPr="00027624">
        <w:t>Provided you have not modified or transformed Treasury material in any way including, for example, by changing the Treasury text; calculating percentage changes; graphing or charting data; or deriving new statistics from published Treasury statistics — then Treasury prefers the following attribution:</w:t>
      </w:r>
    </w:p>
    <w:p w14:paraId="48F0CBA3" w14:textId="77777777" w:rsidR="000E0B74" w:rsidRPr="00027624" w:rsidRDefault="000E0B74" w:rsidP="000E0B74">
      <w:pPr>
        <w:ind w:firstLine="720"/>
      </w:pPr>
      <w:r w:rsidRPr="00027624">
        <w:rPr>
          <w:i/>
        </w:rPr>
        <w:t xml:space="preserve">Source: The </w:t>
      </w:r>
      <w:r w:rsidRPr="00027624">
        <w:rPr>
          <w:i/>
          <w:iCs/>
        </w:rPr>
        <w:t>Australian Government the Treasury</w:t>
      </w:r>
      <w:r w:rsidRPr="00027624">
        <w:t>.</w:t>
      </w:r>
    </w:p>
    <w:p w14:paraId="58C110D8" w14:textId="77777777" w:rsidR="000E0B74" w:rsidRPr="00027624" w:rsidRDefault="000E0B74" w:rsidP="000E0B74">
      <w:pPr>
        <w:spacing w:before="240"/>
      </w:pPr>
      <w:r w:rsidRPr="00027624">
        <w:rPr>
          <w:b/>
        </w:rPr>
        <w:t>Derivative</w:t>
      </w:r>
      <w:r w:rsidRPr="00027624">
        <w:t xml:space="preserve"> </w:t>
      </w:r>
      <w:r w:rsidRPr="00027624">
        <w:rPr>
          <w:b/>
        </w:rPr>
        <w:t>material</w:t>
      </w:r>
    </w:p>
    <w:p w14:paraId="01B00624" w14:textId="77777777" w:rsidR="000E0B74" w:rsidRPr="00027624" w:rsidRDefault="000E0B74" w:rsidP="000E0B74">
      <w:r w:rsidRPr="00027624">
        <w:t>If you have modified or transformed Treasury material, or derived new material from those of the Treasury in any way, then Treasury prefers the following attribution:</w:t>
      </w:r>
    </w:p>
    <w:p w14:paraId="58E8341F" w14:textId="77777777" w:rsidR="000E0B74" w:rsidRPr="00027624" w:rsidRDefault="000E0B74" w:rsidP="00B12C1F">
      <w:pPr>
        <w:ind w:firstLine="720"/>
      </w:pPr>
      <w:r w:rsidRPr="00027624">
        <w:rPr>
          <w:i/>
        </w:rPr>
        <w:t>Based on The Australian Government the Treasury data</w:t>
      </w:r>
      <w:r w:rsidRPr="00027624">
        <w:t>.</w:t>
      </w:r>
    </w:p>
    <w:p w14:paraId="5F246713" w14:textId="77777777" w:rsidR="000E0B74" w:rsidRPr="00027624" w:rsidRDefault="000E0B74" w:rsidP="003C491B">
      <w:pPr>
        <w:spacing w:before="240"/>
        <w:rPr>
          <w:b/>
        </w:rPr>
      </w:pPr>
      <w:r w:rsidRPr="00027624">
        <w:rPr>
          <w:b/>
        </w:rPr>
        <w:t>Use of the Coat of Arms</w:t>
      </w:r>
    </w:p>
    <w:p w14:paraId="12931E45" w14:textId="77777777" w:rsidR="005C503A" w:rsidRPr="00027624" w:rsidRDefault="005C503A" w:rsidP="00B12C1F">
      <w:pPr>
        <w:spacing w:before="240"/>
      </w:pPr>
      <w:r w:rsidRPr="00027624">
        <w:t xml:space="preserve">The terms under which the Coat of Arms can be used are set out on the Department of the Prime Minister and Cabinet website (see </w:t>
      </w:r>
      <w:hyperlink r:id="rId21" w:history="1">
        <w:r w:rsidRPr="00027624">
          <w:rPr>
            <w:rStyle w:val="Hyperlink"/>
          </w:rPr>
          <w:t>www.pmc.gov.au/government/commonwealth</w:t>
        </w:r>
        <w:r w:rsidR="00A8443E" w:rsidRPr="00027624">
          <w:rPr>
            <w:rStyle w:val="Hyperlink"/>
          </w:rPr>
          <w:noBreakHyphen/>
        </w:r>
        <w:r w:rsidRPr="00027624">
          <w:rPr>
            <w:rStyle w:val="Hyperlink"/>
          </w:rPr>
          <w:t>coat</w:t>
        </w:r>
        <w:r w:rsidR="00A8443E" w:rsidRPr="00027624">
          <w:rPr>
            <w:rStyle w:val="Hyperlink"/>
          </w:rPr>
          <w:noBreakHyphen/>
        </w:r>
        <w:r w:rsidRPr="00027624">
          <w:rPr>
            <w:rStyle w:val="Hyperlink"/>
          </w:rPr>
          <w:t>arm</w:t>
        </w:r>
      </w:hyperlink>
      <w:r w:rsidRPr="00027624">
        <w:t>s).</w:t>
      </w:r>
    </w:p>
    <w:p w14:paraId="30FCF2CB" w14:textId="77777777" w:rsidR="000E0B74" w:rsidRPr="00027624" w:rsidRDefault="000E0B74" w:rsidP="000E0B74">
      <w:pPr>
        <w:spacing w:before="240"/>
        <w:rPr>
          <w:b/>
        </w:rPr>
      </w:pPr>
      <w:r w:rsidRPr="00027624">
        <w:rPr>
          <w:b/>
        </w:rPr>
        <w:t>Other uses</w:t>
      </w:r>
    </w:p>
    <w:p w14:paraId="72FB1249" w14:textId="77777777" w:rsidR="000E0B74" w:rsidRPr="00027624" w:rsidRDefault="000E0B74" w:rsidP="000E0B74">
      <w:r w:rsidRPr="00027624">
        <w:t>Enquiries regarding this licence and any other use of this document are welcome at:</w:t>
      </w:r>
    </w:p>
    <w:p w14:paraId="5A33455B" w14:textId="56A635AB" w:rsidR="00FD3438" w:rsidRDefault="000E0B74" w:rsidP="006B03BC">
      <w:pPr>
        <w:ind w:left="720"/>
        <w:rPr>
          <w:rStyle w:val="Hyperlink"/>
        </w:rPr>
      </w:pPr>
      <w:r w:rsidRPr="00027624">
        <w:t>Manager</w:t>
      </w:r>
      <w:r w:rsidR="00A72960" w:rsidRPr="00027624">
        <w:br/>
      </w:r>
      <w:r w:rsidRPr="00027624">
        <w:t>Media and Speeches Unit</w:t>
      </w:r>
      <w:r w:rsidRPr="00027624">
        <w:br/>
        <w:t>The Treasury</w:t>
      </w:r>
      <w:r w:rsidRPr="00027624">
        <w:br/>
        <w:t xml:space="preserve">Langton Crescent </w:t>
      </w:r>
      <w:r w:rsidRPr="00027624">
        <w:br/>
        <w:t>Parkes  ACT  2600</w:t>
      </w:r>
      <w:r w:rsidRPr="00027624">
        <w:br/>
        <w:t xml:space="preserve">Email: </w:t>
      </w:r>
      <w:hyperlink r:id="rId22" w:history="1">
        <w:r w:rsidR="00F62BAE" w:rsidRPr="00027624">
          <w:rPr>
            <w:rStyle w:val="Hyperlink"/>
          </w:rPr>
          <w:t>media@treasury.gov.au</w:t>
        </w:r>
      </w:hyperlink>
    </w:p>
    <w:p w14:paraId="2A2731DA" w14:textId="319ECFB7" w:rsidR="00FD3438" w:rsidRPr="00FD3438" w:rsidRDefault="00FD3438" w:rsidP="00FD3438">
      <w:pPr>
        <w:spacing w:before="240"/>
        <w:rPr>
          <w:b/>
        </w:rPr>
      </w:pPr>
      <w:r w:rsidRPr="00FD3438">
        <w:rPr>
          <w:b/>
        </w:rPr>
        <w:t>Version notes</w:t>
      </w:r>
    </w:p>
    <w:p w14:paraId="108CEC7A" w14:textId="587CF280" w:rsidR="00403B25" w:rsidRPr="00FD3438" w:rsidRDefault="00FD3438" w:rsidP="00FD3438">
      <w:pPr>
        <w:spacing w:before="0" w:after="0" w:line="259" w:lineRule="auto"/>
        <w:rPr>
          <w:rStyle w:val="Hyperlink"/>
        </w:rPr>
      </w:pPr>
      <w:r w:rsidRPr="00FD3438">
        <w:rPr>
          <w:rStyle w:val="Hyperlink"/>
        </w:rPr>
        <w:t xml:space="preserve">This version of the report was updated on </w:t>
      </w:r>
      <w:r w:rsidR="002C7FF1">
        <w:rPr>
          <w:rStyle w:val="Hyperlink"/>
        </w:rPr>
        <w:t>1 February</w:t>
      </w:r>
      <w:r w:rsidR="0073039F">
        <w:rPr>
          <w:rStyle w:val="Hyperlink"/>
        </w:rPr>
        <w:t xml:space="preserve"> 202</w:t>
      </w:r>
      <w:r w:rsidR="00DD4E52">
        <w:rPr>
          <w:rStyle w:val="Hyperlink"/>
        </w:rPr>
        <w:t>1</w:t>
      </w:r>
      <w:r w:rsidR="0073039F">
        <w:rPr>
          <w:rStyle w:val="Hyperlink"/>
        </w:rPr>
        <w:t xml:space="preserve"> to correct </w:t>
      </w:r>
      <w:r w:rsidRPr="00FD3438">
        <w:rPr>
          <w:rStyle w:val="Hyperlink"/>
        </w:rPr>
        <w:t>minor error</w:t>
      </w:r>
      <w:r w:rsidR="0073039F">
        <w:rPr>
          <w:rStyle w:val="Hyperlink"/>
        </w:rPr>
        <w:t>s</w:t>
      </w:r>
      <w:r w:rsidRPr="00FD3438">
        <w:rPr>
          <w:rStyle w:val="Hyperlink"/>
        </w:rPr>
        <w:t xml:space="preserve"> on page</w:t>
      </w:r>
      <w:r w:rsidR="0073039F">
        <w:rPr>
          <w:rStyle w:val="Hyperlink"/>
        </w:rPr>
        <w:t>s 75 and</w:t>
      </w:r>
      <w:r w:rsidRPr="00FD3438">
        <w:rPr>
          <w:rStyle w:val="Hyperlink"/>
        </w:rPr>
        <w:t xml:space="preserve"> 501.</w:t>
      </w:r>
      <w:r>
        <w:rPr>
          <w:rStyle w:val="Hyperlink"/>
          <w:b/>
        </w:rPr>
        <w:t xml:space="preserve"> </w:t>
      </w:r>
      <w:r w:rsidR="00F64DDF" w:rsidRPr="00027624">
        <w:rPr>
          <w:rStyle w:val="Hyperlink"/>
        </w:rPr>
        <w:br w:type="page"/>
      </w:r>
    </w:p>
    <w:p w14:paraId="0958BA1F" w14:textId="77777777" w:rsidR="005C7333" w:rsidRPr="00027624" w:rsidRDefault="00594B63" w:rsidP="00E96B29">
      <w:pPr>
        <w:pStyle w:val="Heading1notnumbered"/>
        <w:rPr>
          <w:color w:val="FFFFFF" w:themeColor="background1"/>
        </w:rPr>
      </w:pPr>
      <w:bookmarkStart w:id="1" w:name="_Toc43203183"/>
      <w:bookmarkStart w:id="2" w:name="_Toc45520401"/>
      <w:bookmarkStart w:id="3" w:name="_Toc46133508"/>
      <w:bookmarkStart w:id="4" w:name="_Toc31209545"/>
      <w:bookmarkStart w:id="5" w:name="_Toc31270907"/>
      <w:bookmarkStart w:id="6" w:name="_Toc31274351"/>
      <w:bookmarkStart w:id="7" w:name="_Toc31276183"/>
      <w:bookmarkStart w:id="8" w:name="_Toc31352187"/>
      <w:r w:rsidRPr="00027624">
        <w:rPr>
          <w:color w:val="FFFFFF" w:themeColor="background1"/>
        </w:rPr>
        <w:lastRenderedPageBreak/>
        <w:t>Letter of t</w:t>
      </w:r>
      <w:r w:rsidR="005C7333" w:rsidRPr="00027624">
        <w:rPr>
          <w:color w:val="FFFFFF" w:themeColor="background1"/>
        </w:rPr>
        <w:t>ransmittal</w:t>
      </w:r>
      <w:bookmarkEnd w:id="1"/>
      <w:bookmarkEnd w:id="2"/>
      <w:bookmarkEnd w:id="3"/>
    </w:p>
    <w:p w14:paraId="2BE8FAC6" w14:textId="77777777" w:rsidR="00403B25" w:rsidRPr="00027624" w:rsidRDefault="00FB629F" w:rsidP="00F15A5E">
      <w:r>
        <w:t>2</w:t>
      </w:r>
      <w:r w:rsidR="00CB1750">
        <w:t>4</w:t>
      </w:r>
      <w:r w:rsidR="00E96B29" w:rsidRPr="00027624">
        <w:t xml:space="preserve"> July 2020</w:t>
      </w:r>
    </w:p>
    <w:p w14:paraId="23E94AA9" w14:textId="77777777" w:rsidR="00F15A5E" w:rsidRPr="00027624" w:rsidRDefault="00F15A5E" w:rsidP="00F15A5E"/>
    <w:p w14:paraId="47E1E8DF" w14:textId="77777777" w:rsidR="00F15A5E" w:rsidRPr="00027624" w:rsidRDefault="00F15A5E" w:rsidP="005553CA">
      <w:pPr>
        <w:spacing w:before="0" w:after="0"/>
      </w:pPr>
      <w:r w:rsidRPr="00027624">
        <w:t>The Hon Josh Frydenberg MP</w:t>
      </w:r>
    </w:p>
    <w:p w14:paraId="40AF84AF" w14:textId="77777777" w:rsidR="00F15A5E" w:rsidRPr="00027624" w:rsidRDefault="00F15A5E" w:rsidP="005553CA">
      <w:pPr>
        <w:spacing w:before="0" w:after="0"/>
      </w:pPr>
      <w:r w:rsidRPr="00027624">
        <w:t>Treasurer</w:t>
      </w:r>
    </w:p>
    <w:p w14:paraId="288206F7" w14:textId="77777777" w:rsidR="00F15A5E" w:rsidRPr="00027624" w:rsidRDefault="00F15A5E" w:rsidP="005553CA">
      <w:pPr>
        <w:spacing w:before="0" w:after="0"/>
      </w:pPr>
      <w:r w:rsidRPr="00027624">
        <w:t>Parliament House</w:t>
      </w:r>
    </w:p>
    <w:p w14:paraId="1F51FFF5" w14:textId="77777777" w:rsidR="00F15A5E" w:rsidRPr="00027624" w:rsidRDefault="00F15A5E" w:rsidP="005553CA">
      <w:pPr>
        <w:spacing w:before="0" w:after="0"/>
      </w:pPr>
      <w:r w:rsidRPr="00027624">
        <w:t xml:space="preserve">CANBERRA </w:t>
      </w:r>
      <w:r w:rsidR="0093422D" w:rsidRPr="00027624">
        <w:t xml:space="preserve"> </w:t>
      </w:r>
      <w:r w:rsidRPr="00027624">
        <w:t xml:space="preserve">ACT </w:t>
      </w:r>
      <w:r w:rsidR="0093422D" w:rsidRPr="00027624">
        <w:t xml:space="preserve"> </w:t>
      </w:r>
      <w:r w:rsidRPr="00027624">
        <w:t>2600</w:t>
      </w:r>
    </w:p>
    <w:p w14:paraId="27D525C2" w14:textId="77777777" w:rsidR="00F15A5E" w:rsidRPr="00027624" w:rsidRDefault="00F15A5E" w:rsidP="00F15A5E"/>
    <w:p w14:paraId="37164F74" w14:textId="77777777" w:rsidR="00403B25" w:rsidRPr="00027624" w:rsidRDefault="00403B25" w:rsidP="00403B25">
      <w:r w:rsidRPr="00027624">
        <w:t>Dear Treasurer</w:t>
      </w:r>
    </w:p>
    <w:p w14:paraId="6DF2F605" w14:textId="77777777" w:rsidR="00403B25" w:rsidRPr="00027624" w:rsidRDefault="00403B25" w:rsidP="00403B25">
      <w:r w:rsidRPr="00027624">
        <w:t>In accordance with the terms of reference, we are pleased to present the Final Report of the Retirement Income Review.</w:t>
      </w:r>
    </w:p>
    <w:p w14:paraId="1CD518B4" w14:textId="77777777" w:rsidR="00820F53" w:rsidRPr="00027624" w:rsidRDefault="00820F53" w:rsidP="00403B25">
      <w:r w:rsidRPr="00027624">
        <w:t xml:space="preserve">The report provides a fact base of the current retirement income system in the context of an ageing society. Its objective is to improve understanding of </w:t>
      </w:r>
      <w:r w:rsidR="008700C7" w:rsidRPr="00027624">
        <w:t xml:space="preserve">the </w:t>
      </w:r>
      <w:r w:rsidRPr="00027624">
        <w:t>system</w:t>
      </w:r>
      <w:r w:rsidR="00A8443E" w:rsidRPr="00027624">
        <w:t>’</w:t>
      </w:r>
      <w:r w:rsidRPr="00027624">
        <w:t>s operations and the outcomes it is delivering for Australians.</w:t>
      </w:r>
    </w:p>
    <w:p w14:paraId="362160AC" w14:textId="77777777" w:rsidR="4D94C15A" w:rsidRPr="00027624" w:rsidRDefault="4D94C15A" w:rsidP="7E20922C">
      <w:r w:rsidRPr="00027624">
        <w:t xml:space="preserve">The evidence indicates that the Australian retirement income system is effective, sound and broadly sustainable. But it can </w:t>
      </w:r>
      <w:r w:rsidR="6BDA3F7B" w:rsidRPr="00027624">
        <w:t>be improved.</w:t>
      </w:r>
    </w:p>
    <w:p w14:paraId="39867190" w14:textId="77777777" w:rsidR="00403B25" w:rsidRPr="00027624" w:rsidRDefault="00403B25" w:rsidP="00403B25">
      <w:r w:rsidRPr="00027624">
        <w:t xml:space="preserve">We thank all the individuals and organisations that gave considerable time and resources to assist the </w:t>
      </w:r>
      <w:r w:rsidR="00F257A1" w:rsidRPr="00027624">
        <w:t>r</w:t>
      </w:r>
      <w:r w:rsidRPr="00027624">
        <w:t xml:space="preserve">eview. </w:t>
      </w:r>
      <w:r w:rsidR="06278C63" w:rsidRPr="00027624">
        <w:t>In particular, we thank the hardworking secretariat to the review whose support was invaluable.</w:t>
      </w:r>
    </w:p>
    <w:p w14:paraId="75BF7B4C" w14:textId="77777777" w:rsidR="00403B25" w:rsidRPr="00027624" w:rsidRDefault="00403B25" w:rsidP="00403B25">
      <w:r w:rsidRPr="00027624">
        <w:t>Yours sincerely</w:t>
      </w:r>
    </w:p>
    <w:p w14:paraId="4DEA1895" w14:textId="77777777" w:rsidR="00E96B29" w:rsidRPr="00027624" w:rsidRDefault="00E96B29" w:rsidP="00403B25"/>
    <w:p w14:paraId="28BDDD47" w14:textId="77777777" w:rsidR="00403B25" w:rsidRPr="00027624" w:rsidRDefault="00A675FD" w:rsidP="00403B25">
      <w:r w:rsidRPr="00027624">
        <w:rPr>
          <w:noProof/>
        </w:rPr>
        <w:drawing>
          <wp:inline distT="0" distB="0" distL="0" distR="0" wp14:anchorId="0B22417A" wp14:editId="3C36AA41">
            <wp:extent cx="1715818" cy="3653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5818" cy="365345"/>
                    </a:xfrm>
                    <a:prstGeom prst="rect">
                      <a:avLst/>
                    </a:prstGeom>
                  </pic:spPr>
                </pic:pic>
              </a:graphicData>
            </a:graphic>
          </wp:inline>
        </w:drawing>
      </w:r>
      <w:r w:rsidR="00A451A8" w:rsidRPr="00027624">
        <w:rPr>
          <w:noProof/>
        </w:rPr>
        <w:tab/>
      </w:r>
      <w:r w:rsidR="00A451A8" w:rsidRPr="00027624">
        <w:rPr>
          <w:noProof/>
        </w:rPr>
        <w:tab/>
      </w:r>
      <w:r w:rsidR="00A451A8" w:rsidRPr="00027624">
        <w:rPr>
          <w:noProof/>
        </w:rPr>
        <w:drawing>
          <wp:inline distT="0" distB="0" distL="0" distR="0" wp14:anchorId="182E5DA7" wp14:editId="45CB8192">
            <wp:extent cx="1152539" cy="513358"/>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01767" cy="535285"/>
                    </a:xfrm>
                    <a:prstGeom prst="rect">
                      <a:avLst/>
                    </a:prstGeom>
                  </pic:spPr>
                </pic:pic>
              </a:graphicData>
            </a:graphic>
          </wp:inline>
        </w:drawing>
      </w:r>
      <w:r w:rsidR="00291404" w:rsidRPr="00027624">
        <w:rPr>
          <w:noProof/>
        </w:rPr>
        <w:tab/>
      </w:r>
      <w:r w:rsidR="00291404" w:rsidRPr="00027624">
        <w:rPr>
          <w:noProof/>
        </w:rPr>
        <w:tab/>
      </w:r>
      <w:r w:rsidR="00BD5396" w:rsidRPr="00027624">
        <w:rPr>
          <w:noProof/>
        </w:rPr>
        <w:drawing>
          <wp:inline distT="0" distB="0" distL="0" distR="0" wp14:anchorId="2B3696D5" wp14:editId="68452638">
            <wp:extent cx="544431" cy="1587500"/>
            <wp:effectExtent l="0" t="7302" r="952" b="953"/>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5400000">
                      <a:off x="0" y="0"/>
                      <a:ext cx="555973" cy="1621155"/>
                    </a:xfrm>
                    <a:prstGeom prst="rect">
                      <a:avLst/>
                    </a:prstGeom>
                  </pic:spPr>
                </pic:pic>
              </a:graphicData>
            </a:graphic>
          </wp:inline>
        </w:drawing>
      </w:r>
    </w:p>
    <w:p w14:paraId="16DEBBC5" w14:textId="77777777" w:rsidR="00E96B29" w:rsidRPr="00027624" w:rsidRDefault="00E96B29" w:rsidP="0010191F"/>
    <w:p w14:paraId="79D63946" w14:textId="77777777" w:rsidR="00403B25" w:rsidRDefault="00A675FD" w:rsidP="00403B25">
      <w:r w:rsidRPr="00027624">
        <w:t>Michael Callaghan</w:t>
      </w:r>
      <w:r w:rsidRPr="00027624">
        <w:tab/>
      </w:r>
      <w:r w:rsidRPr="00027624">
        <w:tab/>
      </w:r>
      <w:r w:rsidR="00BD5396" w:rsidRPr="00027624">
        <w:tab/>
      </w:r>
      <w:r w:rsidRPr="00027624">
        <w:t>Deborah Ralston</w:t>
      </w:r>
      <w:r w:rsidRPr="00027624">
        <w:tab/>
      </w:r>
      <w:r w:rsidRPr="00027624">
        <w:tab/>
        <w:t>Carolyn Kay</w:t>
      </w:r>
    </w:p>
    <w:p w14:paraId="2A6021ED" w14:textId="77777777" w:rsidR="00302713" w:rsidRPr="00027624" w:rsidRDefault="00302713" w:rsidP="00403B25"/>
    <w:p w14:paraId="45023F5D" w14:textId="77777777" w:rsidR="00302713" w:rsidRDefault="00302713" w:rsidP="00403B25">
      <w:pPr>
        <w:sectPr w:rsidR="00302713" w:rsidSect="00E11EAF">
          <w:headerReference w:type="even" r:id="rId26"/>
          <w:headerReference w:type="default" r:id="rId27"/>
          <w:footerReference w:type="even" r:id="rId28"/>
          <w:footerReference w:type="default" r:id="rId29"/>
          <w:headerReference w:type="first" r:id="rId30"/>
          <w:pgSz w:w="11906" w:h="16838" w:code="9"/>
          <w:pgMar w:top="1418" w:right="1418" w:bottom="1418" w:left="1418" w:header="709" w:footer="709" w:gutter="0"/>
          <w:pgNumType w:fmt="lowerRoman"/>
          <w:cols w:space="708"/>
          <w:titlePg/>
          <w:docGrid w:linePitch="360"/>
        </w:sectPr>
      </w:pPr>
    </w:p>
    <w:bookmarkStart w:id="9" w:name="_Toc46133509" w:displacedByCustomXml="next"/>
    <w:bookmarkStart w:id="10" w:name="_Toc45822846" w:displacedByCustomXml="next"/>
    <w:bookmarkStart w:id="11" w:name="_Toc31720323" w:displacedByCustomXml="next"/>
    <w:bookmarkStart w:id="12" w:name="_Toc33526494" w:displacedByCustomXml="next"/>
    <w:bookmarkStart w:id="13" w:name="_Toc41912579" w:displacedByCustomXml="next"/>
    <w:bookmarkStart w:id="14" w:name="_Toc41914540" w:displacedByCustomXml="next"/>
    <w:bookmarkStart w:id="15" w:name="_Toc43203184" w:displacedByCustomXml="next"/>
    <w:bookmarkStart w:id="16" w:name="_Toc45520402" w:displacedByCustomXml="next"/>
    <w:sdt>
      <w:sdtPr>
        <w:rPr>
          <w:rFonts w:cs="Times New Roman"/>
          <w:color w:val="auto"/>
          <w:kern w:val="0"/>
          <w:sz w:val="22"/>
          <w:szCs w:val="20"/>
        </w:rPr>
        <w:id w:val="1850057844"/>
        <w:docPartObj>
          <w:docPartGallery w:val="Table of Contents"/>
          <w:docPartUnique/>
        </w:docPartObj>
      </w:sdtPr>
      <w:sdtEndPr>
        <w:rPr>
          <w:b/>
          <w:bCs/>
          <w:noProof/>
        </w:rPr>
      </w:sdtEndPr>
      <w:sdtContent>
        <w:p w14:paraId="0245AA75" w14:textId="77777777" w:rsidR="003A5EDD" w:rsidRPr="00027624" w:rsidRDefault="003A5EDD" w:rsidP="00EB5D76">
          <w:pPr>
            <w:pStyle w:val="Heading1notnumbered"/>
          </w:pPr>
          <w:r w:rsidRPr="00027624">
            <w:t>Table of Contents</w:t>
          </w:r>
          <w:bookmarkEnd w:id="10"/>
          <w:bookmarkEnd w:id="9"/>
        </w:p>
        <w:p w14:paraId="45A8EB8C" w14:textId="30F6F874" w:rsidR="009A4C3F" w:rsidRDefault="003A5EDD">
          <w:pPr>
            <w:pStyle w:val="TOC1"/>
            <w:rPr>
              <w:rFonts w:asciiTheme="minorHAnsi" w:eastAsiaTheme="minorEastAsia" w:hAnsiTheme="minorHAnsi" w:cstheme="minorBidi"/>
              <w:b w:val="0"/>
              <w:color w:val="auto"/>
            </w:rPr>
          </w:pPr>
          <w:r w:rsidRPr="00027624">
            <w:rPr>
              <w:b w:val="0"/>
            </w:rPr>
            <w:fldChar w:fldCharType="begin"/>
          </w:r>
          <w:r w:rsidRPr="00027624">
            <w:rPr>
              <w:b w:val="0"/>
            </w:rPr>
            <w:instrText xml:space="preserve"> TOC \o "1-2" \h \z \u </w:instrText>
          </w:r>
          <w:r w:rsidRPr="00027624">
            <w:rPr>
              <w:b w:val="0"/>
            </w:rPr>
            <w:fldChar w:fldCharType="separate"/>
          </w:r>
          <w:hyperlink w:anchor="_Toc46133508" w:history="1">
            <w:r w:rsidR="009A4C3F" w:rsidRPr="00A97C72">
              <w:rPr>
                <w:rStyle w:val="Hyperlink"/>
              </w:rPr>
              <w:t>Letter of transmittal</w:t>
            </w:r>
            <w:r w:rsidR="009A4C3F">
              <w:rPr>
                <w:webHidden/>
              </w:rPr>
              <w:tab/>
            </w:r>
            <w:r w:rsidR="009A4C3F">
              <w:rPr>
                <w:webHidden/>
              </w:rPr>
              <w:fldChar w:fldCharType="begin"/>
            </w:r>
            <w:r w:rsidR="009A4C3F">
              <w:rPr>
                <w:webHidden/>
              </w:rPr>
              <w:instrText xml:space="preserve"> PAGEREF _Toc46133508 \h </w:instrText>
            </w:r>
            <w:r w:rsidR="009A4C3F">
              <w:rPr>
                <w:webHidden/>
              </w:rPr>
            </w:r>
            <w:r w:rsidR="009A4C3F">
              <w:rPr>
                <w:webHidden/>
              </w:rPr>
              <w:fldChar w:fldCharType="separate"/>
            </w:r>
            <w:r w:rsidR="00891058">
              <w:rPr>
                <w:webHidden/>
              </w:rPr>
              <w:t>iii</w:t>
            </w:r>
            <w:r w:rsidR="009A4C3F">
              <w:rPr>
                <w:webHidden/>
              </w:rPr>
              <w:fldChar w:fldCharType="end"/>
            </w:r>
          </w:hyperlink>
        </w:p>
        <w:p w14:paraId="7C6137AB" w14:textId="78722E55" w:rsidR="009A4C3F" w:rsidRDefault="007B222E">
          <w:pPr>
            <w:pStyle w:val="TOC1"/>
            <w:rPr>
              <w:rFonts w:asciiTheme="minorHAnsi" w:eastAsiaTheme="minorEastAsia" w:hAnsiTheme="minorHAnsi" w:cstheme="minorBidi"/>
              <w:b w:val="0"/>
              <w:color w:val="auto"/>
            </w:rPr>
          </w:pPr>
          <w:hyperlink w:anchor="_Toc46133509" w:history="1">
            <w:r w:rsidR="009A4C3F" w:rsidRPr="00A97C72">
              <w:rPr>
                <w:rStyle w:val="Hyperlink"/>
              </w:rPr>
              <w:t>Table of Contents</w:t>
            </w:r>
            <w:r w:rsidR="009A4C3F">
              <w:rPr>
                <w:webHidden/>
              </w:rPr>
              <w:tab/>
            </w:r>
            <w:r w:rsidR="009A4C3F">
              <w:rPr>
                <w:webHidden/>
              </w:rPr>
              <w:fldChar w:fldCharType="begin"/>
            </w:r>
            <w:r w:rsidR="009A4C3F">
              <w:rPr>
                <w:webHidden/>
              </w:rPr>
              <w:instrText xml:space="preserve"> PAGEREF _Toc46133509 \h </w:instrText>
            </w:r>
            <w:r w:rsidR="009A4C3F">
              <w:rPr>
                <w:webHidden/>
              </w:rPr>
            </w:r>
            <w:r w:rsidR="009A4C3F">
              <w:rPr>
                <w:webHidden/>
              </w:rPr>
              <w:fldChar w:fldCharType="separate"/>
            </w:r>
            <w:r w:rsidR="00891058">
              <w:rPr>
                <w:webHidden/>
              </w:rPr>
              <w:t>v</w:t>
            </w:r>
            <w:r w:rsidR="009A4C3F">
              <w:rPr>
                <w:webHidden/>
              </w:rPr>
              <w:fldChar w:fldCharType="end"/>
            </w:r>
          </w:hyperlink>
        </w:p>
        <w:p w14:paraId="38A19BD9" w14:textId="72C0B912" w:rsidR="009A4C3F" w:rsidRDefault="007B222E">
          <w:pPr>
            <w:pStyle w:val="TOC1"/>
            <w:rPr>
              <w:rFonts w:asciiTheme="minorHAnsi" w:eastAsiaTheme="minorEastAsia" w:hAnsiTheme="minorHAnsi" w:cstheme="minorBidi"/>
              <w:b w:val="0"/>
              <w:color w:val="auto"/>
            </w:rPr>
          </w:pPr>
          <w:hyperlink w:anchor="_Toc46133510" w:history="1">
            <w:r w:rsidR="009A4C3F" w:rsidRPr="00A97C72">
              <w:rPr>
                <w:rStyle w:val="Hyperlink"/>
              </w:rPr>
              <w:t>Terms of reference</w:t>
            </w:r>
            <w:r w:rsidR="009A4C3F">
              <w:rPr>
                <w:webHidden/>
              </w:rPr>
              <w:tab/>
            </w:r>
            <w:r w:rsidR="009A4C3F">
              <w:rPr>
                <w:webHidden/>
              </w:rPr>
              <w:fldChar w:fldCharType="begin"/>
            </w:r>
            <w:r w:rsidR="009A4C3F">
              <w:rPr>
                <w:webHidden/>
              </w:rPr>
              <w:instrText xml:space="preserve"> PAGEREF _Toc46133510 \h </w:instrText>
            </w:r>
            <w:r w:rsidR="009A4C3F">
              <w:rPr>
                <w:webHidden/>
              </w:rPr>
            </w:r>
            <w:r w:rsidR="009A4C3F">
              <w:rPr>
                <w:webHidden/>
              </w:rPr>
              <w:fldChar w:fldCharType="separate"/>
            </w:r>
            <w:r w:rsidR="00891058">
              <w:rPr>
                <w:webHidden/>
              </w:rPr>
              <w:t>1</w:t>
            </w:r>
            <w:r w:rsidR="009A4C3F">
              <w:rPr>
                <w:webHidden/>
              </w:rPr>
              <w:fldChar w:fldCharType="end"/>
            </w:r>
          </w:hyperlink>
        </w:p>
        <w:p w14:paraId="2AE4B012" w14:textId="28BA0930" w:rsidR="009A4C3F" w:rsidRDefault="007B222E">
          <w:pPr>
            <w:pStyle w:val="TOC1"/>
            <w:rPr>
              <w:rFonts w:asciiTheme="minorHAnsi" w:eastAsiaTheme="minorEastAsia" w:hAnsiTheme="minorHAnsi" w:cstheme="minorBidi"/>
              <w:b w:val="0"/>
              <w:color w:val="auto"/>
            </w:rPr>
          </w:pPr>
          <w:hyperlink w:anchor="_Toc46133511" w:history="1">
            <w:r w:rsidR="009A4C3F" w:rsidRPr="00A97C72">
              <w:rPr>
                <w:rStyle w:val="Hyperlink"/>
              </w:rPr>
              <w:t>Panel members</w:t>
            </w:r>
            <w:r w:rsidR="009A4C3F">
              <w:rPr>
                <w:webHidden/>
              </w:rPr>
              <w:tab/>
            </w:r>
            <w:r w:rsidR="009A4C3F">
              <w:rPr>
                <w:webHidden/>
              </w:rPr>
              <w:fldChar w:fldCharType="begin"/>
            </w:r>
            <w:r w:rsidR="009A4C3F">
              <w:rPr>
                <w:webHidden/>
              </w:rPr>
              <w:instrText xml:space="preserve"> PAGEREF _Toc46133511 \h </w:instrText>
            </w:r>
            <w:r w:rsidR="009A4C3F">
              <w:rPr>
                <w:webHidden/>
              </w:rPr>
            </w:r>
            <w:r w:rsidR="009A4C3F">
              <w:rPr>
                <w:webHidden/>
              </w:rPr>
              <w:fldChar w:fldCharType="separate"/>
            </w:r>
            <w:r w:rsidR="00891058">
              <w:rPr>
                <w:webHidden/>
              </w:rPr>
              <w:t>1</w:t>
            </w:r>
            <w:r w:rsidR="009A4C3F">
              <w:rPr>
                <w:webHidden/>
              </w:rPr>
              <w:fldChar w:fldCharType="end"/>
            </w:r>
          </w:hyperlink>
        </w:p>
        <w:p w14:paraId="22436D05" w14:textId="74B4A597" w:rsidR="009A4C3F" w:rsidRDefault="007B222E">
          <w:pPr>
            <w:pStyle w:val="TOC1"/>
            <w:rPr>
              <w:rFonts w:asciiTheme="minorHAnsi" w:eastAsiaTheme="minorEastAsia" w:hAnsiTheme="minorHAnsi" w:cstheme="minorBidi"/>
              <w:b w:val="0"/>
              <w:color w:val="auto"/>
            </w:rPr>
          </w:pPr>
          <w:hyperlink w:anchor="_Toc46133512" w:history="1">
            <w:r w:rsidR="009A4C3F" w:rsidRPr="00A97C72">
              <w:rPr>
                <w:rStyle w:val="Hyperlink"/>
              </w:rPr>
              <w:t>Foreword</w:t>
            </w:r>
            <w:r w:rsidR="009A4C3F">
              <w:rPr>
                <w:webHidden/>
              </w:rPr>
              <w:tab/>
            </w:r>
            <w:r w:rsidR="009A4C3F">
              <w:rPr>
                <w:webHidden/>
              </w:rPr>
              <w:fldChar w:fldCharType="begin"/>
            </w:r>
            <w:r w:rsidR="009A4C3F">
              <w:rPr>
                <w:webHidden/>
              </w:rPr>
              <w:instrText xml:space="preserve"> PAGEREF _Toc46133512 \h </w:instrText>
            </w:r>
            <w:r w:rsidR="009A4C3F">
              <w:rPr>
                <w:webHidden/>
              </w:rPr>
            </w:r>
            <w:r w:rsidR="009A4C3F">
              <w:rPr>
                <w:webHidden/>
              </w:rPr>
              <w:fldChar w:fldCharType="separate"/>
            </w:r>
            <w:r w:rsidR="00891058">
              <w:rPr>
                <w:webHidden/>
              </w:rPr>
              <w:t>3</w:t>
            </w:r>
            <w:r w:rsidR="009A4C3F">
              <w:rPr>
                <w:webHidden/>
              </w:rPr>
              <w:fldChar w:fldCharType="end"/>
            </w:r>
          </w:hyperlink>
        </w:p>
        <w:p w14:paraId="0FBA216D" w14:textId="5C19F4C8" w:rsidR="009A4C3F" w:rsidRDefault="007B222E">
          <w:pPr>
            <w:pStyle w:val="TOC2"/>
            <w:rPr>
              <w:rFonts w:asciiTheme="minorHAnsi" w:eastAsiaTheme="minorEastAsia" w:hAnsiTheme="minorHAnsi" w:cstheme="minorBidi"/>
              <w:color w:val="auto"/>
              <w:szCs w:val="22"/>
            </w:rPr>
          </w:pPr>
          <w:hyperlink w:anchor="_Toc46133513" w:history="1">
            <w:r w:rsidR="009A4C3F" w:rsidRPr="00A97C72">
              <w:rPr>
                <w:rStyle w:val="Hyperlink"/>
              </w:rPr>
              <w:t>Topics not covered</w:t>
            </w:r>
            <w:r w:rsidR="009A4C3F">
              <w:rPr>
                <w:webHidden/>
              </w:rPr>
              <w:tab/>
            </w:r>
            <w:r w:rsidR="009A4C3F">
              <w:rPr>
                <w:webHidden/>
              </w:rPr>
              <w:fldChar w:fldCharType="begin"/>
            </w:r>
            <w:r w:rsidR="009A4C3F">
              <w:rPr>
                <w:webHidden/>
              </w:rPr>
              <w:instrText xml:space="preserve"> PAGEREF _Toc46133513 \h </w:instrText>
            </w:r>
            <w:r w:rsidR="009A4C3F">
              <w:rPr>
                <w:webHidden/>
              </w:rPr>
            </w:r>
            <w:r w:rsidR="009A4C3F">
              <w:rPr>
                <w:webHidden/>
              </w:rPr>
              <w:fldChar w:fldCharType="separate"/>
            </w:r>
            <w:r w:rsidR="00891058">
              <w:rPr>
                <w:webHidden/>
              </w:rPr>
              <w:t>4</w:t>
            </w:r>
            <w:r w:rsidR="009A4C3F">
              <w:rPr>
                <w:webHidden/>
              </w:rPr>
              <w:fldChar w:fldCharType="end"/>
            </w:r>
          </w:hyperlink>
        </w:p>
        <w:p w14:paraId="72A10672" w14:textId="5E8927D4" w:rsidR="009A4C3F" w:rsidRDefault="007B222E">
          <w:pPr>
            <w:pStyle w:val="TOC1"/>
            <w:rPr>
              <w:rFonts w:asciiTheme="minorHAnsi" w:eastAsiaTheme="minorEastAsia" w:hAnsiTheme="minorHAnsi" w:cstheme="minorBidi"/>
              <w:b w:val="0"/>
              <w:color w:val="auto"/>
            </w:rPr>
          </w:pPr>
          <w:hyperlink w:anchor="_Toc46133514" w:history="1">
            <w:r w:rsidR="009A4C3F" w:rsidRPr="00A97C72">
              <w:rPr>
                <w:rStyle w:val="Hyperlink"/>
              </w:rPr>
              <w:t>Acronyms and abbreviations</w:t>
            </w:r>
            <w:r w:rsidR="009A4C3F">
              <w:rPr>
                <w:webHidden/>
              </w:rPr>
              <w:tab/>
            </w:r>
            <w:r w:rsidR="009A4C3F">
              <w:rPr>
                <w:webHidden/>
              </w:rPr>
              <w:fldChar w:fldCharType="begin"/>
            </w:r>
            <w:r w:rsidR="009A4C3F">
              <w:rPr>
                <w:webHidden/>
              </w:rPr>
              <w:instrText xml:space="preserve"> PAGEREF _Toc46133514 \h </w:instrText>
            </w:r>
            <w:r w:rsidR="009A4C3F">
              <w:rPr>
                <w:webHidden/>
              </w:rPr>
            </w:r>
            <w:r w:rsidR="009A4C3F">
              <w:rPr>
                <w:webHidden/>
              </w:rPr>
              <w:fldChar w:fldCharType="separate"/>
            </w:r>
            <w:r w:rsidR="00891058">
              <w:rPr>
                <w:webHidden/>
              </w:rPr>
              <w:t>5</w:t>
            </w:r>
            <w:r w:rsidR="009A4C3F">
              <w:rPr>
                <w:webHidden/>
              </w:rPr>
              <w:fldChar w:fldCharType="end"/>
            </w:r>
          </w:hyperlink>
        </w:p>
        <w:p w14:paraId="268137EE" w14:textId="2F1ADF2E" w:rsidR="009A4C3F" w:rsidRDefault="007B222E">
          <w:pPr>
            <w:pStyle w:val="TOC1"/>
            <w:rPr>
              <w:rFonts w:asciiTheme="minorHAnsi" w:eastAsiaTheme="minorEastAsia" w:hAnsiTheme="minorHAnsi" w:cstheme="minorBidi"/>
              <w:b w:val="0"/>
              <w:color w:val="auto"/>
            </w:rPr>
          </w:pPr>
          <w:hyperlink w:anchor="_Toc46133515" w:history="1">
            <w:r w:rsidR="009A4C3F" w:rsidRPr="00A97C72">
              <w:rPr>
                <w:rStyle w:val="Hyperlink"/>
              </w:rPr>
              <w:t>Glossary</w:t>
            </w:r>
            <w:r w:rsidR="009A4C3F">
              <w:rPr>
                <w:webHidden/>
              </w:rPr>
              <w:tab/>
            </w:r>
            <w:r w:rsidR="009A4C3F">
              <w:rPr>
                <w:webHidden/>
              </w:rPr>
              <w:fldChar w:fldCharType="begin"/>
            </w:r>
            <w:r w:rsidR="009A4C3F">
              <w:rPr>
                <w:webHidden/>
              </w:rPr>
              <w:instrText xml:space="preserve"> PAGEREF _Toc46133515 \h </w:instrText>
            </w:r>
            <w:r w:rsidR="009A4C3F">
              <w:rPr>
                <w:webHidden/>
              </w:rPr>
            </w:r>
            <w:r w:rsidR="009A4C3F">
              <w:rPr>
                <w:webHidden/>
              </w:rPr>
              <w:fldChar w:fldCharType="separate"/>
            </w:r>
            <w:r w:rsidR="00891058">
              <w:rPr>
                <w:webHidden/>
              </w:rPr>
              <w:t>6</w:t>
            </w:r>
            <w:r w:rsidR="009A4C3F">
              <w:rPr>
                <w:webHidden/>
              </w:rPr>
              <w:fldChar w:fldCharType="end"/>
            </w:r>
          </w:hyperlink>
        </w:p>
        <w:p w14:paraId="464B6A52" w14:textId="10303313" w:rsidR="009A4C3F" w:rsidRDefault="007B222E">
          <w:pPr>
            <w:pStyle w:val="TOC1"/>
            <w:rPr>
              <w:rFonts w:asciiTheme="minorHAnsi" w:eastAsiaTheme="minorEastAsia" w:hAnsiTheme="minorHAnsi" w:cstheme="minorBidi"/>
              <w:b w:val="0"/>
              <w:color w:val="auto"/>
            </w:rPr>
          </w:pPr>
          <w:hyperlink w:anchor="_Toc46133516" w:history="1">
            <w:r w:rsidR="009A4C3F" w:rsidRPr="00A97C72">
              <w:rPr>
                <w:rStyle w:val="Hyperlink"/>
              </w:rPr>
              <w:t>Income groups in the review</w:t>
            </w:r>
            <w:r w:rsidR="009A4C3F">
              <w:rPr>
                <w:webHidden/>
              </w:rPr>
              <w:tab/>
            </w:r>
            <w:r w:rsidR="009A4C3F">
              <w:rPr>
                <w:webHidden/>
              </w:rPr>
              <w:fldChar w:fldCharType="begin"/>
            </w:r>
            <w:r w:rsidR="009A4C3F">
              <w:rPr>
                <w:webHidden/>
              </w:rPr>
              <w:instrText xml:space="preserve"> PAGEREF _Toc46133516 \h </w:instrText>
            </w:r>
            <w:r w:rsidR="009A4C3F">
              <w:rPr>
                <w:webHidden/>
              </w:rPr>
            </w:r>
            <w:r w:rsidR="009A4C3F">
              <w:rPr>
                <w:webHidden/>
              </w:rPr>
              <w:fldChar w:fldCharType="separate"/>
            </w:r>
            <w:r w:rsidR="00891058">
              <w:rPr>
                <w:webHidden/>
              </w:rPr>
              <w:t>14</w:t>
            </w:r>
            <w:r w:rsidR="009A4C3F">
              <w:rPr>
                <w:webHidden/>
              </w:rPr>
              <w:fldChar w:fldCharType="end"/>
            </w:r>
          </w:hyperlink>
        </w:p>
        <w:p w14:paraId="563AA2DB" w14:textId="1838F434" w:rsidR="009A4C3F" w:rsidRDefault="007B222E">
          <w:pPr>
            <w:pStyle w:val="TOC1"/>
            <w:rPr>
              <w:rFonts w:asciiTheme="minorHAnsi" w:eastAsiaTheme="minorEastAsia" w:hAnsiTheme="minorHAnsi" w:cstheme="minorBidi"/>
              <w:b w:val="0"/>
              <w:color w:val="auto"/>
            </w:rPr>
          </w:pPr>
          <w:hyperlink w:anchor="_Toc46133517" w:history="1">
            <w:r w:rsidR="009A4C3F" w:rsidRPr="00A97C72">
              <w:rPr>
                <w:rStyle w:val="Hyperlink"/>
              </w:rPr>
              <w:t>Key observations and overview</w:t>
            </w:r>
            <w:r w:rsidR="009A4C3F">
              <w:rPr>
                <w:webHidden/>
              </w:rPr>
              <w:tab/>
            </w:r>
            <w:r w:rsidR="009A4C3F">
              <w:rPr>
                <w:webHidden/>
              </w:rPr>
              <w:fldChar w:fldCharType="begin"/>
            </w:r>
            <w:r w:rsidR="009A4C3F">
              <w:rPr>
                <w:webHidden/>
              </w:rPr>
              <w:instrText xml:space="preserve"> PAGEREF _Toc46133517 \h </w:instrText>
            </w:r>
            <w:r w:rsidR="009A4C3F">
              <w:rPr>
                <w:webHidden/>
              </w:rPr>
            </w:r>
            <w:r w:rsidR="009A4C3F">
              <w:rPr>
                <w:webHidden/>
              </w:rPr>
              <w:fldChar w:fldCharType="separate"/>
            </w:r>
            <w:r w:rsidR="00891058">
              <w:rPr>
                <w:webHidden/>
              </w:rPr>
              <w:t>15</w:t>
            </w:r>
            <w:r w:rsidR="009A4C3F">
              <w:rPr>
                <w:webHidden/>
              </w:rPr>
              <w:fldChar w:fldCharType="end"/>
            </w:r>
          </w:hyperlink>
        </w:p>
        <w:p w14:paraId="228687F3" w14:textId="1C9199FE" w:rsidR="009A4C3F" w:rsidRDefault="007B222E">
          <w:pPr>
            <w:pStyle w:val="TOC1"/>
            <w:rPr>
              <w:rFonts w:asciiTheme="minorHAnsi" w:eastAsiaTheme="minorEastAsia" w:hAnsiTheme="minorHAnsi" w:cstheme="minorBidi"/>
              <w:b w:val="0"/>
              <w:color w:val="auto"/>
            </w:rPr>
          </w:pPr>
          <w:hyperlink w:anchor="_Toc46133518" w:history="1">
            <w:r w:rsidR="009A4C3F" w:rsidRPr="00A97C72">
              <w:rPr>
                <w:rStyle w:val="Hyperlink"/>
              </w:rPr>
              <w:t>Key observations</w:t>
            </w:r>
            <w:r w:rsidR="009A4C3F">
              <w:rPr>
                <w:webHidden/>
              </w:rPr>
              <w:tab/>
            </w:r>
            <w:r w:rsidR="009A4C3F">
              <w:rPr>
                <w:webHidden/>
              </w:rPr>
              <w:fldChar w:fldCharType="begin"/>
            </w:r>
            <w:r w:rsidR="009A4C3F">
              <w:rPr>
                <w:webHidden/>
              </w:rPr>
              <w:instrText xml:space="preserve"> PAGEREF _Toc46133518 \h </w:instrText>
            </w:r>
            <w:r w:rsidR="009A4C3F">
              <w:rPr>
                <w:webHidden/>
              </w:rPr>
            </w:r>
            <w:r w:rsidR="009A4C3F">
              <w:rPr>
                <w:webHidden/>
              </w:rPr>
              <w:fldChar w:fldCharType="separate"/>
            </w:r>
            <w:r w:rsidR="00891058">
              <w:rPr>
                <w:webHidden/>
              </w:rPr>
              <w:t>17</w:t>
            </w:r>
            <w:r w:rsidR="009A4C3F">
              <w:rPr>
                <w:webHidden/>
              </w:rPr>
              <w:fldChar w:fldCharType="end"/>
            </w:r>
          </w:hyperlink>
        </w:p>
        <w:p w14:paraId="1E1A2755" w14:textId="1842D5E4" w:rsidR="009A4C3F" w:rsidRDefault="007B222E">
          <w:pPr>
            <w:pStyle w:val="TOC1"/>
            <w:rPr>
              <w:rFonts w:asciiTheme="minorHAnsi" w:eastAsiaTheme="minorEastAsia" w:hAnsiTheme="minorHAnsi" w:cstheme="minorBidi"/>
              <w:b w:val="0"/>
              <w:color w:val="auto"/>
            </w:rPr>
          </w:pPr>
          <w:hyperlink w:anchor="_Toc46133519" w:history="1">
            <w:r w:rsidR="009A4C3F" w:rsidRPr="00A97C72">
              <w:rPr>
                <w:rStyle w:val="Hyperlink"/>
              </w:rPr>
              <w:t>Overview and summary</w:t>
            </w:r>
            <w:r w:rsidR="009A4C3F">
              <w:rPr>
                <w:webHidden/>
              </w:rPr>
              <w:tab/>
            </w:r>
            <w:r w:rsidR="009A4C3F">
              <w:rPr>
                <w:webHidden/>
              </w:rPr>
              <w:fldChar w:fldCharType="begin"/>
            </w:r>
            <w:r w:rsidR="009A4C3F">
              <w:rPr>
                <w:webHidden/>
              </w:rPr>
              <w:instrText xml:space="preserve"> PAGEREF _Toc46133519 \h </w:instrText>
            </w:r>
            <w:r w:rsidR="009A4C3F">
              <w:rPr>
                <w:webHidden/>
              </w:rPr>
            </w:r>
            <w:r w:rsidR="009A4C3F">
              <w:rPr>
                <w:webHidden/>
              </w:rPr>
              <w:fldChar w:fldCharType="separate"/>
            </w:r>
            <w:r w:rsidR="00891058">
              <w:rPr>
                <w:webHidden/>
              </w:rPr>
              <w:t>21</w:t>
            </w:r>
            <w:r w:rsidR="009A4C3F">
              <w:rPr>
                <w:webHidden/>
              </w:rPr>
              <w:fldChar w:fldCharType="end"/>
            </w:r>
          </w:hyperlink>
        </w:p>
        <w:p w14:paraId="6C63A83D" w14:textId="40DE4D36" w:rsidR="009A4C3F" w:rsidRDefault="007B222E">
          <w:pPr>
            <w:pStyle w:val="TOC2"/>
            <w:rPr>
              <w:rFonts w:asciiTheme="minorHAnsi" w:eastAsiaTheme="minorEastAsia" w:hAnsiTheme="minorHAnsi" w:cstheme="minorBidi"/>
              <w:color w:val="auto"/>
              <w:szCs w:val="22"/>
            </w:rPr>
          </w:pPr>
          <w:hyperlink w:anchor="_Toc46133520" w:history="1">
            <w:r w:rsidR="009A4C3F" w:rsidRPr="00A97C72">
              <w:rPr>
                <w:rStyle w:val="Hyperlink"/>
              </w:rPr>
              <w:t>COVID</w:t>
            </w:r>
            <w:r w:rsidR="009A4C3F" w:rsidRPr="00A97C72">
              <w:rPr>
                <w:rStyle w:val="Hyperlink"/>
              </w:rPr>
              <w:noBreakHyphen/>
              <w:t>19: A sound retirement income system in volatile times</w:t>
            </w:r>
            <w:r w:rsidR="009A4C3F">
              <w:rPr>
                <w:webHidden/>
              </w:rPr>
              <w:tab/>
            </w:r>
            <w:r w:rsidR="009A4C3F">
              <w:rPr>
                <w:webHidden/>
              </w:rPr>
              <w:fldChar w:fldCharType="begin"/>
            </w:r>
            <w:r w:rsidR="009A4C3F">
              <w:rPr>
                <w:webHidden/>
              </w:rPr>
              <w:instrText xml:space="preserve"> PAGEREF _Toc46133520 \h </w:instrText>
            </w:r>
            <w:r w:rsidR="009A4C3F">
              <w:rPr>
                <w:webHidden/>
              </w:rPr>
            </w:r>
            <w:r w:rsidR="009A4C3F">
              <w:rPr>
                <w:webHidden/>
              </w:rPr>
              <w:fldChar w:fldCharType="separate"/>
            </w:r>
            <w:r w:rsidR="00891058">
              <w:rPr>
                <w:webHidden/>
              </w:rPr>
              <w:t>21</w:t>
            </w:r>
            <w:r w:rsidR="009A4C3F">
              <w:rPr>
                <w:webHidden/>
              </w:rPr>
              <w:fldChar w:fldCharType="end"/>
            </w:r>
          </w:hyperlink>
        </w:p>
        <w:p w14:paraId="463A2D7D" w14:textId="0F2B0D70" w:rsidR="009A4C3F" w:rsidRDefault="007B222E">
          <w:pPr>
            <w:pStyle w:val="TOC2"/>
            <w:rPr>
              <w:rFonts w:asciiTheme="minorHAnsi" w:eastAsiaTheme="minorEastAsia" w:hAnsiTheme="minorHAnsi" w:cstheme="minorBidi"/>
              <w:color w:val="auto"/>
              <w:szCs w:val="22"/>
            </w:rPr>
          </w:pPr>
          <w:hyperlink w:anchor="_Toc46133521" w:history="1">
            <w:r w:rsidR="009A4C3F" w:rsidRPr="00A97C72">
              <w:rPr>
                <w:rStyle w:val="Hyperlink"/>
              </w:rPr>
              <w:t>The need to improve understanding of the system</w:t>
            </w:r>
            <w:r w:rsidR="009A4C3F">
              <w:rPr>
                <w:webHidden/>
              </w:rPr>
              <w:tab/>
            </w:r>
            <w:r w:rsidR="009A4C3F">
              <w:rPr>
                <w:webHidden/>
              </w:rPr>
              <w:fldChar w:fldCharType="begin"/>
            </w:r>
            <w:r w:rsidR="009A4C3F">
              <w:rPr>
                <w:webHidden/>
              </w:rPr>
              <w:instrText xml:space="preserve"> PAGEREF _Toc46133521 \h </w:instrText>
            </w:r>
            <w:r w:rsidR="009A4C3F">
              <w:rPr>
                <w:webHidden/>
              </w:rPr>
            </w:r>
            <w:r w:rsidR="009A4C3F">
              <w:rPr>
                <w:webHidden/>
              </w:rPr>
              <w:fldChar w:fldCharType="separate"/>
            </w:r>
            <w:r w:rsidR="00891058">
              <w:rPr>
                <w:webHidden/>
              </w:rPr>
              <w:t>23</w:t>
            </w:r>
            <w:r w:rsidR="009A4C3F">
              <w:rPr>
                <w:webHidden/>
              </w:rPr>
              <w:fldChar w:fldCharType="end"/>
            </w:r>
          </w:hyperlink>
        </w:p>
        <w:p w14:paraId="40EFDBAB" w14:textId="381BEF00" w:rsidR="009A4C3F" w:rsidRDefault="007B222E">
          <w:pPr>
            <w:pStyle w:val="TOC2"/>
            <w:rPr>
              <w:rFonts w:asciiTheme="minorHAnsi" w:eastAsiaTheme="minorEastAsia" w:hAnsiTheme="minorHAnsi" w:cstheme="minorBidi"/>
              <w:color w:val="auto"/>
              <w:szCs w:val="22"/>
            </w:rPr>
          </w:pPr>
          <w:hyperlink w:anchor="_Toc46133522" w:history="1">
            <w:r w:rsidR="009A4C3F" w:rsidRPr="00A97C72">
              <w:rPr>
                <w:rStyle w:val="Hyperlink"/>
              </w:rPr>
              <w:t>The importance of establishing the facts and gathering the evidence</w:t>
            </w:r>
            <w:r w:rsidR="009A4C3F">
              <w:rPr>
                <w:webHidden/>
              </w:rPr>
              <w:tab/>
            </w:r>
            <w:r w:rsidR="009A4C3F">
              <w:rPr>
                <w:webHidden/>
              </w:rPr>
              <w:fldChar w:fldCharType="begin"/>
            </w:r>
            <w:r w:rsidR="009A4C3F">
              <w:rPr>
                <w:webHidden/>
              </w:rPr>
              <w:instrText xml:space="preserve"> PAGEREF _Toc46133522 \h </w:instrText>
            </w:r>
            <w:r w:rsidR="009A4C3F">
              <w:rPr>
                <w:webHidden/>
              </w:rPr>
            </w:r>
            <w:r w:rsidR="009A4C3F">
              <w:rPr>
                <w:webHidden/>
              </w:rPr>
              <w:fldChar w:fldCharType="separate"/>
            </w:r>
            <w:r w:rsidR="00891058">
              <w:rPr>
                <w:webHidden/>
              </w:rPr>
              <w:t>24</w:t>
            </w:r>
            <w:r w:rsidR="009A4C3F">
              <w:rPr>
                <w:webHidden/>
              </w:rPr>
              <w:fldChar w:fldCharType="end"/>
            </w:r>
          </w:hyperlink>
        </w:p>
        <w:p w14:paraId="4CCAFEFF" w14:textId="5666D1A8" w:rsidR="009A4C3F" w:rsidRDefault="007B222E">
          <w:pPr>
            <w:pStyle w:val="TOC2"/>
            <w:rPr>
              <w:rFonts w:asciiTheme="minorHAnsi" w:eastAsiaTheme="minorEastAsia" w:hAnsiTheme="minorHAnsi" w:cstheme="minorBidi"/>
              <w:color w:val="auto"/>
              <w:szCs w:val="22"/>
            </w:rPr>
          </w:pPr>
          <w:hyperlink w:anchor="_Toc46133523" w:history="1">
            <w:r w:rsidR="009A4C3F" w:rsidRPr="00A97C72">
              <w:rPr>
                <w:rStyle w:val="Hyperlink"/>
              </w:rPr>
              <w:t>The changing nature of retirement</w:t>
            </w:r>
            <w:r w:rsidR="009A4C3F">
              <w:rPr>
                <w:webHidden/>
              </w:rPr>
              <w:tab/>
            </w:r>
            <w:r w:rsidR="009A4C3F">
              <w:rPr>
                <w:webHidden/>
              </w:rPr>
              <w:fldChar w:fldCharType="begin"/>
            </w:r>
            <w:r w:rsidR="009A4C3F">
              <w:rPr>
                <w:webHidden/>
              </w:rPr>
              <w:instrText xml:space="preserve"> PAGEREF _Toc46133523 \h </w:instrText>
            </w:r>
            <w:r w:rsidR="009A4C3F">
              <w:rPr>
                <w:webHidden/>
              </w:rPr>
            </w:r>
            <w:r w:rsidR="009A4C3F">
              <w:rPr>
                <w:webHidden/>
              </w:rPr>
              <w:fldChar w:fldCharType="separate"/>
            </w:r>
            <w:r w:rsidR="00891058">
              <w:rPr>
                <w:webHidden/>
              </w:rPr>
              <w:t>25</w:t>
            </w:r>
            <w:r w:rsidR="009A4C3F">
              <w:rPr>
                <w:webHidden/>
              </w:rPr>
              <w:fldChar w:fldCharType="end"/>
            </w:r>
          </w:hyperlink>
        </w:p>
        <w:p w14:paraId="22A5483E" w14:textId="4DDD81AC" w:rsidR="009A4C3F" w:rsidRDefault="007B222E">
          <w:pPr>
            <w:pStyle w:val="TOC2"/>
            <w:rPr>
              <w:rFonts w:asciiTheme="minorHAnsi" w:eastAsiaTheme="minorEastAsia" w:hAnsiTheme="minorHAnsi" w:cstheme="minorBidi"/>
              <w:color w:val="auto"/>
              <w:szCs w:val="22"/>
            </w:rPr>
          </w:pPr>
          <w:hyperlink w:anchor="_Toc46133524" w:history="1">
            <w:r w:rsidR="009A4C3F" w:rsidRPr="00A97C72">
              <w:rPr>
                <w:rStyle w:val="Hyperlink"/>
              </w:rPr>
              <w:t>What is the retirement income system?</w:t>
            </w:r>
            <w:r w:rsidR="009A4C3F">
              <w:rPr>
                <w:webHidden/>
              </w:rPr>
              <w:tab/>
            </w:r>
            <w:r w:rsidR="009A4C3F">
              <w:rPr>
                <w:webHidden/>
              </w:rPr>
              <w:fldChar w:fldCharType="begin"/>
            </w:r>
            <w:r w:rsidR="009A4C3F">
              <w:rPr>
                <w:webHidden/>
              </w:rPr>
              <w:instrText xml:space="preserve"> PAGEREF _Toc46133524 \h </w:instrText>
            </w:r>
            <w:r w:rsidR="009A4C3F">
              <w:rPr>
                <w:webHidden/>
              </w:rPr>
            </w:r>
            <w:r w:rsidR="009A4C3F">
              <w:rPr>
                <w:webHidden/>
              </w:rPr>
              <w:fldChar w:fldCharType="separate"/>
            </w:r>
            <w:r w:rsidR="00891058">
              <w:rPr>
                <w:webHidden/>
              </w:rPr>
              <w:t>26</w:t>
            </w:r>
            <w:r w:rsidR="009A4C3F">
              <w:rPr>
                <w:webHidden/>
              </w:rPr>
              <w:fldChar w:fldCharType="end"/>
            </w:r>
          </w:hyperlink>
        </w:p>
        <w:p w14:paraId="39D13091" w14:textId="1C849C49" w:rsidR="009A4C3F" w:rsidRDefault="007B222E">
          <w:pPr>
            <w:pStyle w:val="TOC2"/>
            <w:rPr>
              <w:rFonts w:asciiTheme="minorHAnsi" w:eastAsiaTheme="minorEastAsia" w:hAnsiTheme="minorHAnsi" w:cstheme="minorBidi"/>
              <w:color w:val="auto"/>
              <w:szCs w:val="22"/>
            </w:rPr>
          </w:pPr>
          <w:hyperlink w:anchor="_Toc46133525" w:history="1">
            <w:r w:rsidR="009A4C3F" w:rsidRPr="00A97C72">
              <w:rPr>
                <w:rStyle w:val="Hyperlink"/>
              </w:rPr>
              <w:t>The objective of the retirement income system and role of the pillars</w:t>
            </w:r>
            <w:r w:rsidR="009A4C3F">
              <w:rPr>
                <w:webHidden/>
              </w:rPr>
              <w:tab/>
            </w:r>
            <w:r w:rsidR="009A4C3F">
              <w:rPr>
                <w:webHidden/>
              </w:rPr>
              <w:fldChar w:fldCharType="begin"/>
            </w:r>
            <w:r w:rsidR="009A4C3F">
              <w:rPr>
                <w:webHidden/>
              </w:rPr>
              <w:instrText xml:space="preserve"> PAGEREF _Toc46133525 \h </w:instrText>
            </w:r>
            <w:r w:rsidR="009A4C3F">
              <w:rPr>
                <w:webHidden/>
              </w:rPr>
            </w:r>
            <w:r w:rsidR="009A4C3F">
              <w:rPr>
                <w:webHidden/>
              </w:rPr>
              <w:fldChar w:fldCharType="separate"/>
            </w:r>
            <w:r w:rsidR="00891058">
              <w:rPr>
                <w:webHidden/>
              </w:rPr>
              <w:t>27</w:t>
            </w:r>
            <w:r w:rsidR="009A4C3F">
              <w:rPr>
                <w:webHidden/>
              </w:rPr>
              <w:fldChar w:fldCharType="end"/>
            </w:r>
          </w:hyperlink>
        </w:p>
        <w:p w14:paraId="2940ED70" w14:textId="27173ADA" w:rsidR="009A4C3F" w:rsidRDefault="007B222E">
          <w:pPr>
            <w:pStyle w:val="TOC1"/>
            <w:rPr>
              <w:rFonts w:asciiTheme="minorHAnsi" w:eastAsiaTheme="minorEastAsia" w:hAnsiTheme="minorHAnsi" w:cstheme="minorBidi"/>
              <w:b w:val="0"/>
              <w:color w:val="auto"/>
            </w:rPr>
          </w:pPr>
          <w:hyperlink w:anchor="_Toc46133526" w:history="1">
            <w:r w:rsidR="009A4C3F" w:rsidRPr="00A97C72">
              <w:rPr>
                <w:rStyle w:val="Hyperlink"/>
              </w:rPr>
              <w:t>The performance of the retirement income system</w:t>
            </w:r>
            <w:r w:rsidR="009A4C3F">
              <w:rPr>
                <w:webHidden/>
              </w:rPr>
              <w:tab/>
            </w:r>
            <w:r w:rsidR="009A4C3F">
              <w:rPr>
                <w:webHidden/>
              </w:rPr>
              <w:fldChar w:fldCharType="begin"/>
            </w:r>
            <w:r w:rsidR="009A4C3F">
              <w:rPr>
                <w:webHidden/>
              </w:rPr>
              <w:instrText xml:space="preserve"> PAGEREF _Toc46133526 \h </w:instrText>
            </w:r>
            <w:r w:rsidR="009A4C3F">
              <w:rPr>
                <w:webHidden/>
              </w:rPr>
            </w:r>
            <w:r w:rsidR="009A4C3F">
              <w:rPr>
                <w:webHidden/>
              </w:rPr>
              <w:fldChar w:fldCharType="separate"/>
            </w:r>
            <w:r w:rsidR="00891058">
              <w:rPr>
                <w:webHidden/>
              </w:rPr>
              <w:t>31</w:t>
            </w:r>
            <w:r w:rsidR="009A4C3F">
              <w:rPr>
                <w:webHidden/>
              </w:rPr>
              <w:fldChar w:fldCharType="end"/>
            </w:r>
          </w:hyperlink>
        </w:p>
        <w:p w14:paraId="3AE1B575" w14:textId="53C9A679" w:rsidR="009A4C3F" w:rsidRDefault="007B222E">
          <w:pPr>
            <w:pStyle w:val="TOC2"/>
            <w:rPr>
              <w:rFonts w:asciiTheme="minorHAnsi" w:eastAsiaTheme="minorEastAsia" w:hAnsiTheme="minorHAnsi" w:cstheme="minorBidi"/>
              <w:color w:val="auto"/>
              <w:szCs w:val="22"/>
            </w:rPr>
          </w:pPr>
          <w:hyperlink w:anchor="_Toc46133527" w:history="1">
            <w:r w:rsidR="009A4C3F" w:rsidRPr="00A97C72">
              <w:rPr>
                <w:rStyle w:val="Hyperlink"/>
              </w:rPr>
              <w:t>Adequacy</w:t>
            </w:r>
            <w:r w:rsidR="009A4C3F">
              <w:rPr>
                <w:webHidden/>
              </w:rPr>
              <w:tab/>
            </w:r>
            <w:r w:rsidR="009A4C3F">
              <w:rPr>
                <w:webHidden/>
              </w:rPr>
              <w:fldChar w:fldCharType="begin"/>
            </w:r>
            <w:r w:rsidR="009A4C3F">
              <w:rPr>
                <w:webHidden/>
              </w:rPr>
              <w:instrText xml:space="preserve"> PAGEREF _Toc46133527 \h </w:instrText>
            </w:r>
            <w:r w:rsidR="009A4C3F">
              <w:rPr>
                <w:webHidden/>
              </w:rPr>
            </w:r>
            <w:r w:rsidR="009A4C3F">
              <w:rPr>
                <w:webHidden/>
              </w:rPr>
              <w:fldChar w:fldCharType="separate"/>
            </w:r>
            <w:r w:rsidR="00891058">
              <w:rPr>
                <w:webHidden/>
              </w:rPr>
              <w:t>31</w:t>
            </w:r>
            <w:r w:rsidR="009A4C3F">
              <w:rPr>
                <w:webHidden/>
              </w:rPr>
              <w:fldChar w:fldCharType="end"/>
            </w:r>
          </w:hyperlink>
        </w:p>
        <w:p w14:paraId="7FFB2630" w14:textId="14F6E199" w:rsidR="009A4C3F" w:rsidRDefault="007B222E">
          <w:pPr>
            <w:pStyle w:val="TOC2"/>
            <w:rPr>
              <w:rFonts w:asciiTheme="minorHAnsi" w:eastAsiaTheme="minorEastAsia" w:hAnsiTheme="minorHAnsi" w:cstheme="minorBidi"/>
              <w:color w:val="auto"/>
              <w:szCs w:val="22"/>
            </w:rPr>
          </w:pPr>
          <w:hyperlink w:anchor="_Toc46133528" w:history="1">
            <w:r w:rsidR="009A4C3F" w:rsidRPr="00A97C72">
              <w:rPr>
                <w:rStyle w:val="Hyperlink"/>
              </w:rPr>
              <w:t>Equity</w:t>
            </w:r>
            <w:r w:rsidR="009A4C3F">
              <w:rPr>
                <w:webHidden/>
              </w:rPr>
              <w:tab/>
            </w:r>
            <w:r w:rsidR="009A4C3F">
              <w:rPr>
                <w:webHidden/>
              </w:rPr>
              <w:fldChar w:fldCharType="begin"/>
            </w:r>
            <w:r w:rsidR="009A4C3F">
              <w:rPr>
                <w:webHidden/>
              </w:rPr>
              <w:instrText xml:space="preserve"> PAGEREF _Toc46133528 \h </w:instrText>
            </w:r>
            <w:r w:rsidR="009A4C3F">
              <w:rPr>
                <w:webHidden/>
              </w:rPr>
            </w:r>
            <w:r w:rsidR="009A4C3F">
              <w:rPr>
                <w:webHidden/>
              </w:rPr>
              <w:fldChar w:fldCharType="separate"/>
            </w:r>
            <w:r w:rsidR="00891058">
              <w:rPr>
                <w:webHidden/>
              </w:rPr>
              <w:t>39</w:t>
            </w:r>
            <w:r w:rsidR="009A4C3F">
              <w:rPr>
                <w:webHidden/>
              </w:rPr>
              <w:fldChar w:fldCharType="end"/>
            </w:r>
          </w:hyperlink>
        </w:p>
        <w:p w14:paraId="60F4F3B9" w14:textId="5C63D9E4" w:rsidR="009A4C3F" w:rsidRDefault="007B222E">
          <w:pPr>
            <w:pStyle w:val="TOC2"/>
            <w:rPr>
              <w:rFonts w:asciiTheme="minorHAnsi" w:eastAsiaTheme="minorEastAsia" w:hAnsiTheme="minorHAnsi" w:cstheme="minorBidi"/>
              <w:color w:val="auto"/>
              <w:szCs w:val="22"/>
            </w:rPr>
          </w:pPr>
          <w:hyperlink w:anchor="_Toc46133529" w:history="1">
            <w:r w:rsidR="009A4C3F" w:rsidRPr="00A97C72">
              <w:rPr>
                <w:rStyle w:val="Hyperlink"/>
              </w:rPr>
              <w:t>Sustainability</w:t>
            </w:r>
            <w:r w:rsidR="009A4C3F">
              <w:rPr>
                <w:webHidden/>
              </w:rPr>
              <w:tab/>
            </w:r>
            <w:r w:rsidR="009A4C3F">
              <w:rPr>
                <w:webHidden/>
              </w:rPr>
              <w:fldChar w:fldCharType="begin"/>
            </w:r>
            <w:r w:rsidR="009A4C3F">
              <w:rPr>
                <w:webHidden/>
              </w:rPr>
              <w:instrText xml:space="preserve"> PAGEREF _Toc46133529 \h </w:instrText>
            </w:r>
            <w:r w:rsidR="009A4C3F">
              <w:rPr>
                <w:webHidden/>
              </w:rPr>
            </w:r>
            <w:r w:rsidR="009A4C3F">
              <w:rPr>
                <w:webHidden/>
              </w:rPr>
              <w:fldChar w:fldCharType="separate"/>
            </w:r>
            <w:r w:rsidR="00891058">
              <w:rPr>
                <w:webHidden/>
              </w:rPr>
              <w:t>51</w:t>
            </w:r>
            <w:r w:rsidR="009A4C3F">
              <w:rPr>
                <w:webHidden/>
              </w:rPr>
              <w:fldChar w:fldCharType="end"/>
            </w:r>
          </w:hyperlink>
        </w:p>
        <w:p w14:paraId="3036FCD0" w14:textId="228397B8" w:rsidR="009A4C3F" w:rsidRDefault="007B222E">
          <w:pPr>
            <w:pStyle w:val="TOC2"/>
            <w:rPr>
              <w:rFonts w:asciiTheme="minorHAnsi" w:eastAsiaTheme="minorEastAsia" w:hAnsiTheme="minorHAnsi" w:cstheme="minorBidi"/>
              <w:color w:val="auto"/>
              <w:szCs w:val="22"/>
            </w:rPr>
          </w:pPr>
          <w:hyperlink w:anchor="_Toc46133530" w:history="1">
            <w:r w:rsidR="009A4C3F" w:rsidRPr="00A97C72">
              <w:rPr>
                <w:rStyle w:val="Hyperlink"/>
              </w:rPr>
              <w:t>Cohesion</w:t>
            </w:r>
            <w:r w:rsidR="009A4C3F">
              <w:rPr>
                <w:webHidden/>
              </w:rPr>
              <w:tab/>
            </w:r>
            <w:r w:rsidR="009A4C3F">
              <w:rPr>
                <w:webHidden/>
              </w:rPr>
              <w:fldChar w:fldCharType="begin"/>
            </w:r>
            <w:r w:rsidR="009A4C3F">
              <w:rPr>
                <w:webHidden/>
              </w:rPr>
              <w:instrText xml:space="preserve"> PAGEREF _Toc46133530 \h </w:instrText>
            </w:r>
            <w:r w:rsidR="009A4C3F">
              <w:rPr>
                <w:webHidden/>
              </w:rPr>
            </w:r>
            <w:r w:rsidR="009A4C3F">
              <w:rPr>
                <w:webHidden/>
              </w:rPr>
              <w:fldChar w:fldCharType="separate"/>
            </w:r>
            <w:r w:rsidR="00891058">
              <w:rPr>
                <w:webHidden/>
              </w:rPr>
              <w:t>54</w:t>
            </w:r>
            <w:r w:rsidR="009A4C3F">
              <w:rPr>
                <w:webHidden/>
              </w:rPr>
              <w:fldChar w:fldCharType="end"/>
            </w:r>
          </w:hyperlink>
        </w:p>
        <w:p w14:paraId="488D9406" w14:textId="6109DD7D" w:rsidR="009A4C3F" w:rsidRDefault="007B222E">
          <w:pPr>
            <w:pStyle w:val="TOC1"/>
            <w:tabs>
              <w:tab w:val="left" w:pos="660"/>
            </w:tabs>
            <w:rPr>
              <w:rFonts w:asciiTheme="minorHAnsi" w:eastAsiaTheme="minorEastAsia" w:hAnsiTheme="minorHAnsi" w:cstheme="minorBidi"/>
              <w:b w:val="0"/>
              <w:color w:val="auto"/>
            </w:rPr>
          </w:pPr>
          <w:hyperlink w:anchor="_Toc46133531" w:history="1">
            <w:r w:rsidR="009A4C3F" w:rsidRPr="00A97C72">
              <w:rPr>
                <w:rStyle w:val="Hyperlink"/>
              </w:rPr>
              <w:t>1.</w:t>
            </w:r>
            <w:r w:rsidR="009A4C3F">
              <w:rPr>
                <w:rFonts w:asciiTheme="minorHAnsi" w:eastAsiaTheme="minorEastAsia" w:hAnsiTheme="minorHAnsi" w:cstheme="minorBidi"/>
                <w:b w:val="0"/>
                <w:color w:val="auto"/>
              </w:rPr>
              <w:tab/>
            </w:r>
            <w:r w:rsidR="009A4C3F" w:rsidRPr="00A97C72">
              <w:rPr>
                <w:rStyle w:val="Hyperlink"/>
              </w:rPr>
              <w:t>Outline of Australia’s retirement income system</w:t>
            </w:r>
            <w:r w:rsidR="009A4C3F">
              <w:rPr>
                <w:webHidden/>
              </w:rPr>
              <w:tab/>
            </w:r>
            <w:r w:rsidR="009A4C3F">
              <w:rPr>
                <w:webHidden/>
              </w:rPr>
              <w:fldChar w:fldCharType="begin"/>
            </w:r>
            <w:r w:rsidR="009A4C3F">
              <w:rPr>
                <w:webHidden/>
              </w:rPr>
              <w:instrText xml:space="preserve"> PAGEREF _Toc46133531 \h </w:instrText>
            </w:r>
            <w:r w:rsidR="009A4C3F">
              <w:rPr>
                <w:webHidden/>
              </w:rPr>
            </w:r>
            <w:r w:rsidR="009A4C3F">
              <w:rPr>
                <w:webHidden/>
              </w:rPr>
              <w:fldChar w:fldCharType="separate"/>
            </w:r>
            <w:r w:rsidR="00891058">
              <w:rPr>
                <w:webHidden/>
              </w:rPr>
              <w:t>59</w:t>
            </w:r>
            <w:r w:rsidR="009A4C3F">
              <w:rPr>
                <w:webHidden/>
              </w:rPr>
              <w:fldChar w:fldCharType="end"/>
            </w:r>
          </w:hyperlink>
        </w:p>
        <w:p w14:paraId="7A74898F" w14:textId="019ACEAB" w:rsidR="009A4C3F" w:rsidRDefault="007B222E">
          <w:pPr>
            <w:pStyle w:val="TOC2"/>
            <w:rPr>
              <w:rFonts w:asciiTheme="minorHAnsi" w:eastAsiaTheme="minorEastAsia" w:hAnsiTheme="minorHAnsi" w:cstheme="minorBidi"/>
              <w:color w:val="auto"/>
              <w:szCs w:val="22"/>
            </w:rPr>
          </w:pPr>
          <w:hyperlink w:anchor="_Toc46133532" w:history="1">
            <w:r w:rsidR="009A4C3F" w:rsidRPr="00A97C72">
              <w:rPr>
                <w:rStyle w:val="Hyperlink"/>
              </w:rPr>
              <w:t>Outline of this chapter</w:t>
            </w:r>
            <w:r w:rsidR="009A4C3F">
              <w:rPr>
                <w:webHidden/>
              </w:rPr>
              <w:tab/>
            </w:r>
            <w:r w:rsidR="009A4C3F">
              <w:rPr>
                <w:webHidden/>
              </w:rPr>
              <w:fldChar w:fldCharType="begin"/>
            </w:r>
            <w:r w:rsidR="009A4C3F">
              <w:rPr>
                <w:webHidden/>
              </w:rPr>
              <w:instrText xml:space="preserve"> PAGEREF _Toc46133532 \h </w:instrText>
            </w:r>
            <w:r w:rsidR="009A4C3F">
              <w:rPr>
                <w:webHidden/>
              </w:rPr>
            </w:r>
            <w:r w:rsidR="009A4C3F">
              <w:rPr>
                <w:webHidden/>
              </w:rPr>
              <w:fldChar w:fldCharType="separate"/>
            </w:r>
            <w:r w:rsidR="00891058">
              <w:rPr>
                <w:webHidden/>
              </w:rPr>
              <w:t>59</w:t>
            </w:r>
            <w:r w:rsidR="009A4C3F">
              <w:rPr>
                <w:webHidden/>
              </w:rPr>
              <w:fldChar w:fldCharType="end"/>
            </w:r>
          </w:hyperlink>
        </w:p>
        <w:p w14:paraId="63CE3BEB" w14:textId="65B63341" w:rsidR="009A4C3F" w:rsidRDefault="007B222E">
          <w:pPr>
            <w:pStyle w:val="TOC1"/>
            <w:tabs>
              <w:tab w:val="left" w:pos="1320"/>
            </w:tabs>
            <w:rPr>
              <w:rFonts w:asciiTheme="minorHAnsi" w:eastAsiaTheme="minorEastAsia" w:hAnsiTheme="minorHAnsi" w:cstheme="minorBidi"/>
              <w:b w:val="0"/>
              <w:color w:val="auto"/>
            </w:rPr>
          </w:pPr>
          <w:hyperlink w:anchor="_Toc46133533" w:history="1">
            <w:r w:rsidR="009A4C3F" w:rsidRPr="00A97C72">
              <w:rPr>
                <w:rStyle w:val="Hyperlink"/>
              </w:rPr>
              <w:t>Section 1A.</w:t>
            </w:r>
            <w:r w:rsidR="009A4C3F">
              <w:rPr>
                <w:rFonts w:asciiTheme="minorHAnsi" w:eastAsiaTheme="minorEastAsia" w:hAnsiTheme="minorHAnsi" w:cstheme="minorBidi"/>
                <w:b w:val="0"/>
                <w:color w:val="auto"/>
              </w:rPr>
              <w:tab/>
            </w:r>
            <w:r w:rsidR="009A4C3F" w:rsidRPr="00A97C72">
              <w:rPr>
                <w:rStyle w:val="Hyperlink"/>
              </w:rPr>
              <w:t>What is retirement?</w:t>
            </w:r>
            <w:r w:rsidR="009A4C3F">
              <w:rPr>
                <w:webHidden/>
              </w:rPr>
              <w:tab/>
            </w:r>
            <w:r w:rsidR="009A4C3F">
              <w:rPr>
                <w:webHidden/>
              </w:rPr>
              <w:fldChar w:fldCharType="begin"/>
            </w:r>
            <w:r w:rsidR="009A4C3F">
              <w:rPr>
                <w:webHidden/>
              </w:rPr>
              <w:instrText xml:space="preserve"> PAGEREF _Toc46133533 \h </w:instrText>
            </w:r>
            <w:r w:rsidR="009A4C3F">
              <w:rPr>
                <w:webHidden/>
              </w:rPr>
            </w:r>
            <w:r w:rsidR="009A4C3F">
              <w:rPr>
                <w:webHidden/>
              </w:rPr>
              <w:fldChar w:fldCharType="separate"/>
            </w:r>
            <w:r w:rsidR="00891058">
              <w:rPr>
                <w:webHidden/>
              </w:rPr>
              <w:t>61</w:t>
            </w:r>
            <w:r w:rsidR="009A4C3F">
              <w:rPr>
                <w:webHidden/>
              </w:rPr>
              <w:fldChar w:fldCharType="end"/>
            </w:r>
          </w:hyperlink>
        </w:p>
        <w:p w14:paraId="79DD81B5" w14:textId="3DC07841" w:rsidR="009A4C3F" w:rsidRDefault="007B222E">
          <w:pPr>
            <w:pStyle w:val="TOC2"/>
            <w:rPr>
              <w:rFonts w:asciiTheme="minorHAnsi" w:eastAsiaTheme="minorEastAsia" w:hAnsiTheme="minorHAnsi" w:cstheme="minorBidi"/>
              <w:color w:val="auto"/>
              <w:szCs w:val="22"/>
            </w:rPr>
          </w:pPr>
          <w:hyperlink w:anchor="_Toc46133534" w:history="1">
            <w:r w:rsidR="009A4C3F" w:rsidRPr="00A97C72">
              <w:rPr>
                <w:rStyle w:val="Hyperlink"/>
              </w:rPr>
              <w:t>Diverse pathways to retirement</w:t>
            </w:r>
            <w:r w:rsidR="009A4C3F">
              <w:rPr>
                <w:webHidden/>
              </w:rPr>
              <w:tab/>
            </w:r>
            <w:r w:rsidR="009A4C3F">
              <w:rPr>
                <w:webHidden/>
              </w:rPr>
              <w:fldChar w:fldCharType="begin"/>
            </w:r>
            <w:r w:rsidR="009A4C3F">
              <w:rPr>
                <w:webHidden/>
              </w:rPr>
              <w:instrText xml:space="preserve"> PAGEREF _Toc46133534 \h </w:instrText>
            </w:r>
            <w:r w:rsidR="009A4C3F">
              <w:rPr>
                <w:webHidden/>
              </w:rPr>
            </w:r>
            <w:r w:rsidR="009A4C3F">
              <w:rPr>
                <w:webHidden/>
              </w:rPr>
              <w:fldChar w:fldCharType="separate"/>
            </w:r>
            <w:r w:rsidR="00891058">
              <w:rPr>
                <w:webHidden/>
              </w:rPr>
              <w:t>61</w:t>
            </w:r>
            <w:r w:rsidR="009A4C3F">
              <w:rPr>
                <w:webHidden/>
              </w:rPr>
              <w:fldChar w:fldCharType="end"/>
            </w:r>
          </w:hyperlink>
        </w:p>
        <w:p w14:paraId="41C5E6B4" w14:textId="68C6CE92" w:rsidR="009A4C3F" w:rsidRDefault="007B222E">
          <w:pPr>
            <w:pStyle w:val="TOC2"/>
            <w:rPr>
              <w:rFonts w:asciiTheme="minorHAnsi" w:eastAsiaTheme="minorEastAsia" w:hAnsiTheme="minorHAnsi" w:cstheme="minorBidi"/>
              <w:color w:val="auto"/>
              <w:szCs w:val="22"/>
            </w:rPr>
          </w:pPr>
          <w:hyperlink w:anchor="_Toc46133535" w:history="1">
            <w:r w:rsidR="009A4C3F" w:rsidRPr="00A97C72">
              <w:rPr>
                <w:rStyle w:val="Hyperlink"/>
              </w:rPr>
              <w:t>Trends in the average age of retirement</w:t>
            </w:r>
            <w:r w:rsidR="009A4C3F">
              <w:rPr>
                <w:webHidden/>
              </w:rPr>
              <w:tab/>
            </w:r>
            <w:r w:rsidR="009A4C3F">
              <w:rPr>
                <w:webHidden/>
              </w:rPr>
              <w:fldChar w:fldCharType="begin"/>
            </w:r>
            <w:r w:rsidR="009A4C3F">
              <w:rPr>
                <w:webHidden/>
              </w:rPr>
              <w:instrText xml:space="preserve"> PAGEREF _Toc46133535 \h </w:instrText>
            </w:r>
            <w:r w:rsidR="009A4C3F">
              <w:rPr>
                <w:webHidden/>
              </w:rPr>
            </w:r>
            <w:r w:rsidR="009A4C3F">
              <w:rPr>
                <w:webHidden/>
              </w:rPr>
              <w:fldChar w:fldCharType="separate"/>
            </w:r>
            <w:r w:rsidR="00891058">
              <w:rPr>
                <w:webHidden/>
              </w:rPr>
              <w:t>62</w:t>
            </w:r>
            <w:r w:rsidR="009A4C3F">
              <w:rPr>
                <w:webHidden/>
              </w:rPr>
              <w:fldChar w:fldCharType="end"/>
            </w:r>
          </w:hyperlink>
        </w:p>
        <w:p w14:paraId="60305B3C" w14:textId="5D13FCB3" w:rsidR="009A4C3F" w:rsidRDefault="007B222E">
          <w:pPr>
            <w:pStyle w:val="TOC2"/>
            <w:rPr>
              <w:rFonts w:asciiTheme="minorHAnsi" w:eastAsiaTheme="minorEastAsia" w:hAnsiTheme="minorHAnsi" w:cstheme="minorBidi"/>
              <w:color w:val="auto"/>
              <w:szCs w:val="22"/>
            </w:rPr>
          </w:pPr>
          <w:hyperlink w:anchor="_Toc46133536" w:history="1">
            <w:r w:rsidR="009A4C3F" w:rsidRPr="00A97C72">
              <w:rPr>
                <w:rStyle w:val="Hyperlink"/>
              </w:rPr>
              <w:t>Retirement timing expectations</w:t>
            </w:r>
            <w:r w:rsidR="009A4C3F">
              <w:rPr>
                <w:webHidden/>
              </w:rPr>
              <w:tab/>
            </w:r>
            <w:r w:rsidR="009A4C3F">
              <w:rPr>
                <w:webHidden/>
              </w:rPr>
              <w:fldChar w:fldCharType="begin"/>
            </w:r>
            <w:r w:rsidR="009A4C3F">
              <w:rPr>
                <w:webHidden/>
              </w:rPr>
              <w:instrText xml:space="preserve"> PAGEREF _Toc46133536 \h </w:instrText>
            </w:r>
            <w:r w:rsidR="009A4C3F">
              <w:rPr>
                <w:webHidden/>
              </w:rPr>
            </w:r>
            <w:r w:rsidR="009A4C3F">
              <w:rPr>
                <w:webHidden/>
              </w:rPr>
              <w:fldChar w:fldCharType="separate"/>
            </w:r>
            <w:r w:rsidR="00891058">
              <w:rPr>
                <w:webHidden/>
              </w:rPr>
              <w:t>65</w:t>
            </w:r>
            <w:r w:rsidR="009A4C3F">
              <w:rPr>
                <w:webHidden/>
              </w:rPr>
              <w:fldChar w:fldCharType="end"/>
            </w:r>
          </w:hyperlink>
        </w:p>
        <w:p w14:paraId="3A28F074" w14:textId="36AB6502" w:rsidR="009A4C3F" w:rsidRDefault="007B222E">
          <w:pPr>
            <w:pStyle w:val="TOC2"/>
            <w:rPr>
              <w:rFonts w:asciiTheme="minorHAnsi" w:eastAsiaTheme="minorEastAsia" w:hAnsiTheme="minorHAnsi" w:cstheme="minorBidi"/>
              <w:color w:val="auto"/>
              <w:szCs w:val="22"/>
            </w:rPr>
          </w:pPr>
          <w:hyperlink w:anchor="_Toc46133537" w:history="1">
            <w:r w:rsidR="009A4C3F" w:rsidRPr="00A97C72">
              <w:rPr>
                <w:rStyle w:val="Hyperlink"/>
              </w:rPr>
              <w:t>Definition of ‘early retirement’ and ‘late retirement’</w:t>
            </w:r>
            <w:r w:rsidR="009A4C3F">
              <w:rPr>
                <w:webHidden/>
              </w:rPr>
              <w:tab/>
            </w:r>
            <w:r w:rsidR="009A4C3F">
              <w:rPr>
                <w:webHidden/>
              </w:rPr>
              <w:fldChar w:fldCharType="begin"/>
            </w:r>
            <w:r w:rsidR="009A4C3F">
              <w:rPr>
                <w:webHidden/>
              </w:rPr>
              <w:instrText xml:space="preserve"> PAGEREF _Toc46133537 \h </w:instrText>
            </w:r>
            <w:r w:rsidR="009A4C3F">
              <w:rPr>
                <w:webHidden/>
              </w:rPr>
            </w:r>
            <w:r w:rsidR="009A4C3F">
              <w:rPr>
                <w:webHidden/>
              </w:rPr>
              <w:fldChar w:fldCharType="separate"/>
            </w:r>
            <w:r w:rsidR="00891058">
              <w:rPr>
                <w:webHidden/>
              </w:rPr>
              <w:t>65</w:t>
            </w:r>
            <w:r w:rsidR="009A4C3F">
              <w:rPr>
                <w:webHidden/>
              </w:rPr>
              <w:fldChar w:fldCharType="end"/>
            </w:r>
          </w:hyperlink>
        </w:p>
        <w:p w14:paraId="4F9D5BF2" w14:textId="35265689" w:rsidR="009A4C3F" w:rsidRDefault="007B222E">
          <w:pPr>
            <w:pStyle w:val="TOC1"/>
            <w:tabs>
              <w:tab w:val="left" w:pos="1320"/>
            </w:tabs>
            <w:rPr>
              <w:rFonts w:asciiTheme="minorHAnsi" w:eastAsiaTheme="minorEastAsia" w:hAnsiTheme="minorHAnsi" w:cstheme="minorBidi"/>
              <w:b w:val="0"/>
              <w:color w:val="auto"/>
            </w:rPr>
          </w:pPr>
          <w:hyperlink w:anchor="_Toc46133538" w:history="1">
            <w:r w:rsidR="009A4C3F" w:rsidRPr="00A97C72">
              <w:rPr>
                <w:rStyle w:val="Hyperlink"/>
              </w:rPr>
              <w:t>Section 1B.</w:t>
            </w:r>
            <w:r w:rsidR="009A4C3F">
              <w:rPr>
                <w:rFonts w:asciiTheme="minorHAnsi" w:eastAsiaTheme="minorEastAsia" w:hAnsiTheme="minorHAnsi" w:cstheme="minorBidi"/>
                <w:b w:val="0"/>
                <w:color w:val="auto"/>
              </w:rPr>
              <w:tab/>
            </w:r>
            <w:r w:rsidR="009A4C3F" w:rsidRPr="00A97C72">
              <w:rPr>
                <w:rStyle w:val="Hyperlink"/>
              </w:rPr>
              <w:t>Design of Australia’s retirement income system</w:t>
            </w:r>
            <w:r w:rsidR="009A4C3F">
              <w:rPr>
                <w:webHidden/>
              </w:rPr>
              <w:tab/>
            </w:r>
            <w:r w:rsidR="009A4C3F">
              <w:rPr>
                <w:webHidden/>
              </w:rPr>
              <w:fldChar w:fldCharType="begin"/>
            </w:r>
            <w:r w:rsidR="009A4C3F">
              <w:rPr>
                <w:webHidden/>
              </w:rPr>
              <w:instrText xml:space="preserve"> PAGEREF _Toc46133538 \h </w:instrText>
            </w:r>
            <w:r w:rsidR="009A4C3F">
              <w:rPr>
                <w:webHidden/>
              </w:rPr>
            </w:r>
            <w:r w:rsidR="009A4C3F">
              <w:rPr>
                <w:webHidden/>
              </w:rPr>
              <w:fldChar w:fldCharType="separate"/>
            </w:r>
            <w:r w:rsidR="00891058">
              <w:rPr>
                <w:webHidden/>
              </w:rPr>
              <w:t>67</w:t>
            </w:r>
            <w:r w:rsidR="009A4C3F">
              <w:rPr>
                <w:webHidden/>
              </w:rPr>
              <w:fldChar w:fldCharType="end"/>
            </w:r>
          </w:hyperlink>
        </w:p>
        <w:p w14:paraId="62DD2988" w14:textId="1D6473CB" w:rsidR="009A4C3F" w:rsidRDefault="007B222E">
          <w:pPr>
            <w:pStyle w:val="TOC2"/>
            <w:rPr>
              <w:rFonts w:asciiTheme="minorHAnsi" w:eastAsiaTheme="minorEastAsia" w:hAnsiTheme="minorHAnsi" w:cstheme="minorBidi"/>
              <w:color w:val="auto"/>
              <w:szCs w:val="22"/>
            </w:rPr>
          </w:pPr>
          <w:hyperlink w:anchor="_Toc46133539"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_Toc46133539 \h </w:instrText>
            </w:r>
            <w:r w:rsidR="009A4C3F">
              <w:rPr>
                <w:webHidden/>
              </w:rPr>
            </w:r>
            <w:r w:rsidR="009A4C3F">
              <w:rPr>
                <w:webHidden/>
              </w:rPr>
              <w:fldChar w:fldCharType="separate"/>
            </w:r>
            <w:r w:rsidR="00891058">
              <w:rPr>
                <w:webHidden/>
              </w:rPr>
              <w:t>67</w:t>
            </w:r>
            <w:r w:rsidR="009A4C3F">
              <w:rPr>
                <w:webHidden/>
              </w:rPr>
              <w:fldChar w:fldCharType="end"/>
            </w:r>
          </w:hyperlink>
        </w:p>
        <w:p w14:paraId="598F1F58" w14:textId="6E23FC14" w:rsidR="009A4C3F" w:rsidRDefault="007B222E">
          <w:pPr>
            <w:pStyle w:val="TOC2"/>
            <w:rPr>
              <w:rFonts w:asciiTheme="minorHAnsi" w:eastAsiaTheme="minorEastAsia" w:hAnsiTheme="minorHAnsi" w:cstheme="minorBidi"/>
              <w:color w:val="auto"/>
              <w:szCs w:val="22"/>
            </w:rPr>
          </w:pPr>
          <w:hyperlink w:anchor="_Toc46133540" w:history="1">
            <w:r w:rsidR="009A4C3F" w:rsidRPr="00A97C72">
              <w:rPr>
                <w:rStyle w:val="Hyperlink"/>
              </w:rPr>
              <w:t>System interactions</w:t>
            </w:r>
            <w:r w:rsidR="009A4C3F">
              <w:rPr>
                <w:webHidden/>
              </w:rPr>
              <w:tab/>
            </w:r>
            <w:r w:rsidR="009A4C3F">
              <w:rPr>
                <w:webHidden/>
              </w:rPr>
              <w:fldChar w:fldCharType="begin"/>
            </w:r>
            <w:r w:rsidR="009A4C3F">
              <w:rPr>
                <w:webHidden/>
              </w:rPr>
              <w:instrText xml:space="preserve"> PAGEREF _Toc46133540 \h </w:instrText>
            </w:r>
            <w:r w:rsidR="009A4C3F">
              <w:rPr>
                <w:webHidden/>
              </w:rPr>
            </w:r>
            <w:r w:rsidR="009A4C3F">
              <w:rPr>
                <w:webHidden/>
              </w:rPr>
              <w:fldChar w:fldCharType="separate"/>
            </w:r>
            <w:r w:rsidR="00891058">
              <w:rPr>
                <w:webHidden/>
              </w:rPr>
              <w:t>68</w:t>
            </w:r>
            <w:r w:rsidR="009A4C3F">
              <w:rPr>
                <w:webHidden/>
              </w:rPr>
              <w:fldChar w:fldCharType="end"/>
            </w:r>
          </w:hyperlink>
        </w:p>
        <w:p w14:paraId="62B2641C" w14:textId="5C636B61" w:rsidR="009A4C3F" w:rsidRDefault="007B222E">
          <w:pPr>
            <w:pStyle w:val="TOC2"/>
            <w:rPr>
              <w:rFonts w:asciiTheme="minorHAnsi" w:eastAsiaTheme="minorEastAsia" w:hAnsiTheme="minorHAnsi" w:cstheme="minorBidi"/>
              <w:color w:val="auto"/>
              <w:szCs w:val="22"/>
            </w:rPr>
          </w:pPr>
          <w:hyperlink w:anchor="_Toc46133541" w:history="1">
            <w:r w:rsidR="009A4C3F" w:rsidRPr="00A97C72">
              <w:rPr>
                <w:rStyle w:val="Hyperlink"/>
              </w:rPr>
              <w:t>Overview of the Age Pension</w:t>
            </w:r>
            <w:r w:rsidR="009A4C3F">
              <w:rPr>
                <w:webHidden/>
              </w:rPr>
              <w:tab/>
            </w:r>
            <w:r w:rsidR="009A4C3F">
              <w:rPr>
                <w:webHidden/>
              </w:rPr>
              <w:fldChar w:fldCharType="begin"/>
            </w:r>
            <w:r w:rsidR="009A4C3F">
              <w:rPr>
                <w:webHidden/>
              </w:rPr>
              <w:instrText xml:space="preserve"> PAGEREF _Toc46133541 \h </w:instrText>
            </w:r>
            <w:r w:rsidR="009A4C3F">
              <w:rPr>
                <w:webHidden/>
              </w:rPr>
            </w:r>
            <w:r w:rsidR="009A4C3F">
              <w:rPr>
                <w:webHidden/>
              </w:rPr>
              <w:fldChar w:fldCharType="separate"/>
            </w:r>
            <w:r w:rsidR="00891058">
              <w:rPr>
                <w:webHidden/>
              </w:rPr>
              <w:t>68</w:t>
            </w:r>
            <w:r w:rsidR="009A4C3F">
              <w:rPr>
                <w:webHidden/>
              </w:rPr>
              <w:fldChar w:fldCharType="end"/>
            </w:r>
          </w:hyperlink>
        </w:p>
        <w:p w14:paraId="70B76AA6" w14:textId="497DCE0B" w:rsidR="009A4C3F" w:rsidRDefault="007B222E">
          <w:pPr>
            <w:pStyle w:val="TOC2"/>
            <w:rPr>
              <w:rFonts w:asciiTheme="minorHAnsi" w:eastAsiaTheme="minorEastAsia" w:hAnsiTheme="minorHAnsi" w:cstheme="minorBidi"/>
              <w:color w:val="auto"/>
              <w:szCs w:val="22"/>
            </w:rPr>
          </w:pPr>
          <w:hyperlink w:anchor="_Toc46133542" w:history="1">
            <w:r w:rsidR="009A4C3F" w:rsidRPr="00A97C72">
              <w:rPr>
                <w:rStyle w:val="Hyperlink"/>
              </w:rPr>
              <w:t>Overview of compulsory superannuation</w:t>
            </w:r>
            <w:r w:rsidR="009A4C3F">
              <w:rPr>
                <w:webHidden/>
              </w:rPr>
              <w:tab/>
            </w:r>
            <w:r w:rsidR="009A4C3F">
              <w:rPr>
                <w:webHidden/>
              </w:rPr>
              <w:fldChar w:fldCharType="begin"/>
            </w:r>
            <w:r w:rsidR="009A4C3F">
              <w:rPr>
                <w:webHidden/>
              </w:rPr>
              <w:instrText xml:space="preserve"> PAGEREF _Toc46133542 \h </w:instrText>
            </w:r>
            <w:r w:rsidR="009A4C3F">
              <w:rPr>
                <w:webHidden/>
              </w:rPr>
            </w:r>
            <w:r w:rsidR="009A4C3F">
              <w:rPr>
                <w:webHidden/>
              </w:rPr>
              <w:fldChar w:fldCharType="separate"/>
            </w:r>
            <w:r w:rsidR="00891058">
              <w:rPr>
                <w:webHidden/>
              </w:rPr>
              <w:t>75</w:t>
            </w:r>
            <w:r w:rsidR="009A4C3F">
              <w:rPr>
                <w:webHidden/>
              </w:rPr>
              <w:fldChar w:fldCharType="end"/>
            </w:r>
          </w:hyperlink>
        </w:p>
        <w:p w14:paraId="47835266" w14:textId="5AAF60DD" w:rsidR="009A4C3F" w:rsidRDefault="007B222E">
          <w:pPr>
            <w:pStyle w:val="TOC2"/>
            <w:rPr>
              <w:rFonts w:asciiTheme="minorHAnsi" w:eastAsiaTheme="minorEastAsia" w:hAnsiTheme="minorHAnsi" w:cstheme="minorBidi"/>
              <w:color w:val="auto"/>
              <w:szCs w:val="22"/>
            </w:rPr>
          </w:pPr>
          <w:hyperlink w:anchor="_Toc46133543" w:history="1">
            <w:r w:rsidR="009A4C3F" w:rsidRPr="00A97C72">
              <w:rPr>
                <w:rStyle w:val="Hyperlink"/>
              </w:rPr>
              <w:t>Overview of voluntary savings</w:t>
            </w:r>
            <w:r w:rsidR="009A4C3F">
              <w:rPr>
                <w:webHidden/>
              </w:rPr>
              <w:tab/>
            </w:r>
            <w:r w:rsidR="009A4C3F">
              <w:rPr>
                <w:webHidden/>
              </w:rPr>
              <w:fldChar w:fldCharType="begin"/>
            </w:r>
            <w:r w:rsidR="009A4C3F">
              <w:rPr>
                <w:webHidden/>
              </w:rPr>
              <w:instrText xml:space="preserve"> PAGEREF _Toc46133543 \h </w:instrText>
            </w:r>
            <w:r w:rsidR="009A4C3F">
              <w:rPr>
                <w:webHidden/>
              </w:rPr>
            </w:r>
            <w:r w:rsidR="009A4C3F">
              <w:rPr>
                <w:webHidden/>
              </w:rPr>
              <w:fldChar w:fldCharType="separate"/>
            </w:r>
            <w:r w:rsidR="00891058">
              <w:rPr>
                <w:webHidden/>
              </w:rPr>
              <w:t>76</w:t>
            </w:r>
            <w:r w:rsidR="009A4C3F">
              <w:rPr>
                <w:webHidden/>
              </w:rPr>
              <w:fldChar w:fldCharType="end"/>
            </w:r>
          </w:hyperlink>
        </w:p>
        <w:p w14:paraId="13FCE2B5" w14:textId="1EBEEBEA" w:rsidR="009A4C3F" w:rsidRDefault="007B222E">
          <w:pPr>
            <w:pStyle w:val="TOC2"/>
            <w:rPr>
              <w:rFonts w:asciiTheme="minorHAnsi" w:eastAsiaTheme="minorEastAsia" w:hAnsiTheme="minorHAnsi" w:cstheme="minorBidi"/>
              <w:color w:val="auto"/>
              <w:szCs w:val="22"/>
            </w:rPr>
          </w:pPr>
          <w:hyperlink w:anchor="_Toc46133544" w:history="1">
            <w:r w:rsidR="009A4C3F" w:rsidRPr="00A97C72">
              <w:rPr>
                <w:rStyle w:val="Hyperlink"/>
              </w:rPr>
              <w:t>Overview of sources of income for recent retirees</w:t>
            </w:r>
            <w:r w:rsidR="009A4C3F">
              <w:rPr>
                <w:webHidden/>
              </w:rPr>
              <w:tab/>
            </w:r>
            <w:r w:rsidR="009A4C3F">
              <w:rPr>
                <w:webHidden/>
              </w:rPr>
              <w:fldChar w:fldCharType="begin"/>
            </w:r>
            <w:r w:rsidR="009A4C3F">
              <w:rPr>
                <w:webHidden/>
              </w:rPr>
              <w:instrText xml:space="preserve"> PAGEREF _Toc46133544 \h </w:instrText>
            </w:r>
            <w:r w:rsidR="009A4C3F">
              <w:rPr>
                <w:webHidden/>
              </w:rPr>
            </w:r>
            <w:r w:rsidR="009A4C3F">
              <w:rPr>
                <w:webHidden/>
              </w:rPr>
              <w:fldChar w:fldCharType="separate"/>
            </w:r>
            <w:r w:rsidR="00891058">
              <w:rPr>
                <w:webHidden/>
              </w:rPr>
              <w:t>81</w:t>
            </w:r>
            <w:r w:rsidR="009A4C3F">
              <w:rPr>
                <w:webHidden/>
              </w:rPr>
              <w:fldChar w:fldCharType="end"/>
            </w:r>
          </w:hyperlink>
        </w:p>
        <w:p w14:paraId="6791F073" w14:textId="027DB51D" w:rsidR="009A4C3F" w:rsidRDefault="007B222E">
          <w:pPr>
            <w:pStyle w:val="TOC2"/>
            <w:rPr>
              <w:rFonts w:asciiTheme="minorHAnsi" w:eastAsiaTheme="minorEastAsia" w:hAnsiTheme="minorHAnsi" w:cstheme="minorBidi"/>
              <w:color w:val="auto"/>
              <w:szCs w:val="22"/>
            </w:rPr>
          </w:pPr>
          <w:hyperlink w:anchor="_Toc46133545" w:history="1">
            <w:r w:rsidR="009A4C3F" w:rsidRPr="00A97C72">
              <w:rPr>
                <w:rStyle w:val="Hyperlink"/>
              </w:rPr>
              <w:t>International comparison of Australia’s retirement income system</w:t>
            </w:r>
            <w:r w:rsidR="009A4C3F">
              <w:rPr>
                <w:webHidden/>
              </w:rPr>
              <w:tab/>
            </w:r>
            <w:r w:rsidR="009A4C3F">
              <w:rPr>
                <w:webHidden/>
              </w:rPr>
              <w:fldChar w:fldCharType="begin"/>
            </w:r>
            <w:r w:rsidR="009A4C3F">
              <w:rPr>
                <w:webHidden/>
              </w:rPr>
              <w:instrText xml:space="preserve"> PAGEREF _Toc46133545 \h </w:instrText>
            </w:r>
            <w:r w:rsidR="009A4C3F">
              <w:rPr>
                <w:webHidden/>
              </w:rPr>
            </w:r>
            <w:r w:rsidR="009A4C3F">
              <w:rPr>
                <w:webHidden/>
              </w:rPr>
              <w:fldChar w:fldCharType="separate"/>
            </w:r>
            <w:r w:rsidR="00891058">
              <w:rPr>
                <w:webHidden/>
              </w:rPr>
              <w:t>84</w:t>
            </w:r>
            <w:r w:rsidR="009A4C3F">
              <w:rPr>
                <w:webHidden/>
              </w:rPr>
              <w:fldChar w:fldCharType="end"/>
            </w:r>
          </w:hyperlink>
        </w:p>
        <w:p w14:paraId="64C25C8B" w14:textId="47D62CB1" w:rsidR="009A4C3F" w:rsidRDefault="007B222E">
          <w:pPr>
            <w:pStyle w:val="TOC1"/>
            <w:tabs>
              <w:tab w:val="left" w:pos="1320"/>
            </w:tabs>
            <w:rPr>
              <w:rFonts w:asciiTheme="minorHAnsi" w:eastAsiaTheme="minorEastAsia" w:hAnsiTheme="minorHAnsi" w:cstheme="minorBidi"/>
              <w:b w:val="0"/>
              <w:color w:val="auto"/>
            </w:rPr>
          </w:pPr>
          <w:hyperlink w:anchor="_Toc46133546" w:history="1">
            <w:r w:rsidR="009A4C3F" w:rsidRPr="00A97C72">
              <w:rPr>
                <w:rStyle w:val="Hyperlink"/>
              </w:rPr>
              <w:t>Section 1C.</w:t>
            </w:r>
            <w:r w:rsidR="009A4C3F">
              <w:rPr>
                <w:rFonts w:asciiTheme="minorHAnsi" w:eastAsiaTheme="minorEastAsia" w:hAnsiTheme="minorHAnsi" w:cstheme="minorBidi"/>
                <w:b w:val="0"/>
                <w:color w:val="auto"/>
              </w:rPr>
              <w:tab/>
            </w:r>
            <w:r w:rsidR="009A4C3F" w:rsidRPr="00A97C72">
              <w:rPr>
                <w:rStyle w:val="Hyperlink"/>
              </w:rPr>
              <w:t>The objective of the system and the roles of the pillars</w:t>
            </w:r>
            <w:r w:rsidR="009A4C3F">
              <w:rPr>
                <w:webHidden/>
              </w:rPr>
              <w:tab/>
            </w:r>
            <w:r w:rsidR="009A4C3F">
              <w:rPr>
                <w:webHidden/>
              </w:rPr>
              <w:fldChar w:fldCharType="begin"/>
            </w:r>
            <w:r w:rsidR="009A4C3F">
              <w:rPr>
                <w:webHidden/>
              </w:rPr>
              <w:instrText xml:space="preserve"> PAGEREF _Toc46133546 \h </w:instrText>
            </w:r>
            <w:r w:rsidR="009A4C3F">
              <w:rPr>
                <w:webHidden/>
              </w:rPr>
            </w:r>
            <w:r w:rsidR="009A4C3F">
              <w:rPr>
                <w:webHidden/>
              </w:rPr>
              <w:fldChar w:fldCharType="separate"/>
            </w:r>
            <w:r w:rsidR="00891058">
              <w:rPr>
                <w:webHidden/>
              </w:rPr>
              <w:t>87</w:t>
            </w:r>
            <w:r w:rsidR="009A4C3F">
              <w:rPr>
                <w:webHidden/>
              </w:rPr>
              <w:fldChar w:fldCharType="end"/>
            </w:r>
          </w:hyperlink>
        </w:p>
        <w:p w14:paraId="0F652880" w14:textId="2C9D67B9" w:rsidR="009A4C3F" w:rsidRDefault="007B222E">
          <w:pPr>
            <w:pStyle w:val="TOC2"/>
            <w:rPr>
              <w:rFonts w:asciiTheme="minorHAnsi" w:eastAsiaTheme="minorEastAsia" w:hAnsiTheme="minorHAnsi" w:cstheme="minorBidi"/>
              <w:color w:val="auto"/>
              <w:szCs w:val="22"/>
            </w:rPr>
          </w:pPr>
          <w:hyperlink w:anchor="_Toc46133547"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_Toc46133547 \h </w:instrText>
            </w:r>
            <w:r w:rsidR="009A4C3F">
              <w:rPr>
                <w:webHidden/>
              </w:rPr>
            </w:r>
            <w:r w:rsidR="009A4C3F">
              <w:rPr>
                <w:webHidden/>
              </w:rPr>
              <w:fldChar w:fldCharType="separate"/>
            </w:r>
            <w:r w:rsidR="00891058">
              <w:rPr>
                <w:webHidden/>
              </w:rPr>
              <w:t>87</w:t>
            </w:r>
            <w:r w:rsidR="009A4C3F">
              <w:rPr>
                <w:webHidden/>
              </w:rPr>
              <w:fldChar w:fldCharType="end"/>
            </w:r>
          </w:hyperlink>
        </w:p>
        <w:p w14:paraId="36CF6E79" w14:textId="1198828E" w:rsidR="009A4C3F" w:rsidRDefault="007B222E">
          <w:pPr>
            <w:pStyle w:val="TOC2"/>
            <w:rPr>
              <w:rFonts w:asciiTheme="minorHAnsi" w:eastAsiaTheme="minorEastAsia" w:hAnsiTheme="minorHAnsi" w:cstheme="minorBidi"/>
              <w:color w:val="auto"/>
              <w:szCs w:val="22"/>
            </w:rPr>
          </w:pPr>
          <w:hyperlink w:anchor="_Toc46133548" w:history="1">
            <w:r w:rsidR="009A4C3F" w:rsidRPr="00A97C72">
              <w:rPr>
                <w:rStyle w:val="Hyperlink"/>
              </w:rPr>
              <w:t>The principles of the retirement income system</w:t>
            </w:r>
            <w:r w:rsidR="009A4C3F">
              <w:rPr>
                <w:webHidden/>
              </w:rPr>
              <w:tab/>
            </w:r>
            <w:r w:rsidR="009A4C3F">
              <w:rPr>
                <w:webHidden/>
              </w:rPr>
              <w:fldChar w:fldCharType="begin"/>
            </w:r>
            <w:r w:rsidR="009A4C3F">
              <w:rPr>
                <w:webHidden/>
              </w:rPr>
              <w:instrText xml:space="preserve"> PAGEREF _Toc46133548 \h </w:instrText>
            </w:r>
            <w:r w:rsidR="009A4C3F">
              <w:rPr>
                <w:webHidden/>
              </w:rPr>
            </w:r>
            <w:r w:rsidR="009A4C3F">
              <w:rPr>
                <w:webHidden/>
              </w:rPr>
              <w:fldChar w:fldCharType="separate"/>
            </w:r>
            <w:r w:rsidR="00891058">
              <w:rPr>
                <w:webHidden/>
              </w:rPr>
              <w:t>88</w:t>
            </w:r>
            <w:r w:rsidR="009A4C3F">
              <w:rPr>
                <w:webHidden/>
              </w:rPr>
              <w:fldChar w:fldCharType="end"/>
            </w:r>
          </w:hyperlink>
        </w:p>
        <w:p w14:paraId="4ECDE5BB" w14:textId="6A55A1FB" w:rsidR="009A4C3F" w:rsidRDefault="007B222E">
          <w:pPr>
            <w:pStyle w:val="TOC2"/>
            <w:rPr>
              <w:rFonts w:asciiTheme="minorHAnsi" w:eastAsiaTheme="minorEastAsia" w:hAnsiTheme="minorHAnsi" w:cstheme="minorBidi"/>
              <w:color w:val="auto"/>
              <w:szCs w:val="22"/>
            </w:rPr>
          </w:pPr>
          <w:hyperlink w:anchor="_Toc46133549" w:history="1">
            <w:r w:rsidR="009A4C3F" w:rsidRPr="00A97C72">
              <w:rPr>
                <w:rStyle w:val="Hyperlink"/>
              </w:rPr>
              <w:t>The retirement income system’s objective</w:t>
            </w:r>
            <w:r w:rsidR="009A4C3F">
              <w:rPr>
                <w:webHidden/>
              </w:rPr>
              <w:tab/>
            </w:r>
            <w:r w:rsidR="009A4C3F">
              <w:rPr>
                <w:webHidden/>
              </w:rPr>
              <w:fldChar w:fldCharType="begin"/>
            </w:r>
            <w:r w:rsidR="009A4C3F">
              <w:rPr>
                <w:webHidden/>
              </w:rPr>
              <w:instrText xml:space="preserve"> PAGEREF _Toc46133549 \h </w:instrText>
            </w:r>
            <w:r w:rsidR="009A4C3F">
              <w:rPr>
                <w:webHidden/>
              </w:rPr>
            </w:r>
            <w:r w:rsidR="009A4C3F">
              <w:rPr>
                <w:webHidden/>
              </w:rPr>
              <w:fldChar w:fldCharType="separate"/>
            </w:r>
            <w:r w:rsidR="00891058">
              <w:rPr>
                <w:webHidden/>
              </w:rPr>
              <w:t>90</w:t>
            </w:r>
            <w:r w:rsidR="009A4C3F">
              <w:rPr>
                <w:webHidden/>
              </w:rPr>
              <w:fldChar w:fldCharType="end"/>
            </w:r>
          </w:hyperlink>
        </w:p>
        <w:p w14:paraId="4BF3259A" w14:textId="4FDA4832" w:rsidR="009A4C3F" w:rsidRDefault="007B222E">
          <w:pPr>
            <w:pStyle w:val="TOC2"/>
            <w:rPr>
              <w:rFonts w:asciiTheme="minorHAnsi" w:eastAsiaTheme="minorEastAsia" w:hAnsiTheme="minorHAnsi" w:cstheme="minorBidi"/>
              <w:color w:val="auto"/>
              <w:szCs w:val="22"/>
            </w:rPr>
          </w:pPr>
          <w:hyperlink w:anchor="_Toc46133550" w:history="1">
            <w:r w:rsidR="009A4C3F" w:rsidRPr="00A97C72">
              <w:rPr>
                <w:rStyle w:val="Hyperlink"/>
              </w:rPr>
              <w:t>Key considerations in approaching the elements</w:t>
            </w:r>
            <w:r w:rsidR="009A4C3F">
              <w:rPr>
                <w:webHidden/>
              </w:rPr>
              <w:tab/>
            </w:r>
            <w:r w:rsidR="009A4C3F">
              <w:rPr>
                <w:webHidden/>
              </w:rPr>
              <w:fldChar w:fldCharType="begin"/>
            </w:r>
            <w:r w:rsidR="009A4C3F">
              <w:rPr>
                <w:webHidden/>
              </w:rPr>
              <w:instrText xml:space="preserve"> PAGEREF _Toc46133550 \h </w:instrText>
            </w:r>
            <w:r w:rsidR="009A4C3F">
              <w:rPr>
                <w:webHidden/>
              </w:rPr>
            </w:r>
            <w:r w:rsidR="009A4C3F">
              <w:rPr>
                <w:webHidden/>
              </w:rPr>
              <w:fldChar w:fldCharType="separate"/>
            </w:r>
            <w:r w:rsidR="00891058">
              <w:rPr>
                <w:webHidden/>
              </w:rPr>
              <w:t>95</w:t>
            </w:r>
            <w:r w:rsidR="009A4C3F">
              <w:rPr>
                <w:webHidden/>
              </w:rPr>
              <w:fldChar w:fldCharType="end"/>
            </w:r>
          </w:hyperlink>
        </w:p>
        <w:p w14:paraId="49F669A6" w14:textId="061D0E48" w:rsidR="009A4C3F" w:rsidRDefault="007B222E">
          <w:pPr>
            <w:pStyle w:val="TOC2"/>
            <w:rPr>
              <w:rFonts w:asciiTheme="minorHAnsi" w:eastAsiaTheme="minorEastAsia" w:hAnsiTheme="minorHAnsi" w:cstheme="minorBidi"/>
              <w:color w:val="auto"/>
              <w:szCs w:val="22"/>
            </w:rPr>
          </w:pPr>
          <w:hyperlink w:anchor="_Toc46133551" w:history="1">
            <w:r w:rsidR="009A4C3F" w:rsidRPr="00A97C72">
              <w:rPr>
                <w:rStyle w:val="Hyperlink"/>
              </w:rPr>
              <w:t>The roles of the Government, individuals and the private sector</w:t>
            </w:r>
            <w:r w:rsidR="009A4C3F">
              <w:rPr>
                <w:webHidden/>
              </w:rPr>
              <w:tab/>
            </w:r>
            <w:r w:rsidR="009A4C3F">
              <w:rPr>
                <w:webHidden/>
              </w:rPr>
              <w:fldChar w:fldCharType="begin"/>
            </w:r>
            <w:r w:rsidR="009A4C3F">
              <w:rPr>
                <w:webHidden/>
              </w:rPr>
              <w:instrText xml:space="preserve"> PAGEREF _Toc46133551 \h </w:instrText>
            </w:r>
            <w:r w:rsidR="009A4C3F">
              <w:rPr>
                <w:webHidden/>
              </w:rPr>
            </w:r>
            <w:r w:rsidR="009A4C3F">
              <w:rPr>
                <w:webHidden/>
              </w:rPr>
              <w:fldChar w:fldCharType="separate"/>
            </w:r>
            <w:r w:rsidR="00891058">
              <w:rPr>
                <w:webHidden/>
              </w:rPr>
              <w:t>96</w:t>
            </w:r>
            <w:r w:rsidR="009A4C3F">
              <w:rPr>
                <w:webHidden/>
              </w:rPr>
              <w:fldChar w:fldCharType="end"/>
            </w:r>
          </w:hyperlink>
        </w:p>
        <w:p w14:paraId="0D3FE3F1" w14:textId="240DA0BF" w:rsidR="009A4C3F" w:rsidRDefault="007B222E">
          <w:pPr>
            <w:pStyle w:val="TOC2"/>
            <w:rPr>
              <w:rFonts w:asciiTheme="minorHAnsi" w:eastAsiaTheme="minorEastAsia" w:hAnsiTheme="minorHAnsi" w:cstheme="minorBidi"/>
              <w:color w:val="auto"/>
              <w:szCs w:val="22"/>
            </w:rPr>
          </w:pPr>
          <w:hyperlink w:anchor="_Toc46133552" w:history="1">
            <w:r w:rsidR="009A4C3F" w:rsidRPr="00A97C72">
              <w:rPr>
                <w:rStyle w:val="Hyperlink"/>
              </w:rPr>
              <w:t>The roles of the pillars</w:t>
            </w:r>
            <w:r w:rsidR="009A4C3F">
              <w:rPr>
                <w:webHidden/>
              </w:rPr>
              <w:tab/>
            </w:r>
            <w:r w:rsidR="009A4C3F">
              <w:rPr>
                <w:webHidden/>
              </w:rPr>
              <w:fldChar w:fldCharType="begin"/>
            </w:r>
            <w:r w:rsidR="009A4C3F">
              <w:rPr>
                <w:webHidden/>
              </w:rPr>
              <w:instrText xml:space="preserve"> PAGEREF _Toc46133552 \h </w:instrText>
            </w:r>
            <w:r w:rsidR="009A4C3F">
              <w:rPr>
                <w:webHidden/>
              </w:rPr>
            </w:r>
            <w:r w:rsidR="009A4C3F">
              <w:rPr>
                <w:webHidden/>
              </w:rPr>
              <w:fldChar w:fldCharType="separate"/>
            </w:r>
            <w:r w:rsidR="00891058">
              <w:rPr>
                <w:webHidden/>
              </w:rPr>
              <w:t>97</w:t>
            </w:r>
            <w:r w:rsidR="009A4C3F">
              <w:rPr>
                <w:webHidden/>
              </w:rPr>
              <w:fldChar w:fldCharType="end"/>
            </w:r>
          </w:hyperlink>
        </w:p>
        <w:p w14:paraId="671857D6" w14:textId="5B9C3E05" w:rsidR="009A4C3F" w:rsidRDefault="007B222E">
          <w:pPr>
            <w:pStyle w:val="TOC1"/>
            <w:tabs>
              <w:tab w:val="left" w:pos="1320"/>
            </w:tabs>
            <w:rPr>
              <w:rFonts w:asciiTheme="minorHAnsi" w:eastAsiaTheme="minorEastAsia" w:hAnsiTheme="minorHAnsi" w:cstheme="minorBidi"/>
              <w:b w:val="0"/>
              <w:color w:val="auto"/>
            </w:rPr>
          </w:pPr>
          <w:hyperlink w:anchor="_Toc46133553" w:history="1">
            <w:r w:rsidR="009A4C3F" w:rsidRPr="00A97C72">
              <w:rPr>
                <w:rStyle w:val="Hyperlink"/>
              </w:rPr>
              <w:t>Section 1D.</w:t>
            </w:r>
            <w:r w:rsidR="009A4C3F">
              <w:rPr>
                <w:rFonts w:asciiTheme="minorHAnsi" w:eastAsiaTheme="minorEastAsia" w:hAnsiTheme="minorHAnsi" w:cstheme="minorBidi"/>
                <w:b w:val="0"/>
                <w:color w:val="auto"/>
              </w:rPr>
              <w:tab/>
            </w:r>
            <w:r w:rsidR="009A4C3F" w:rsidRPr="00A97C72">
              <w:rPr>
                <w:rStyle w:val="Hyperlink"/>
              </w:rPr>
              <w:t>The changing Australian landscape</w:t>
            </w:r>
            <w:r w:rsidR="009A4C3F">
              <w:rPr>
                <w:webHidden/>
              </w:rPr>
              <w:tab/>
            </w:r>
            <w:r w:rsidR="009A4C3F">
              <w:rPr>
                <w:webHidden/>
              </w:rPr>
              <w:fldChar w:fldCharType="begin"/>
            </w:r>
            <w:r w:rsidR="009A4C3F">
              <w:rPr>
                <w:webHidden/>
              </w:rPr>
              <w:instrText xml:space="preserve"> PAGEREF _Toc46133553 \h </w:instrText>
            </w:r>
            <w:r w:rsidR="009A4C3F">
              <w:rPr>
                <w:webHidden/>
              </w:rPr>
            </w:r>
            <w:r w:rsidR="009A4C3F">
              <w:rPr>
                <w:webHidden/>
              </w:rPr>
              <w:fldChar w:fldCharType="separate"/>
            </w:r>
            <w:r w:rsidR="00891058">
              <w:rPr>
                <w:webHidden/>
              </w:rPr>
              <w:t>105</w:t>
            </w:r>
            <w:r w:rsidR="009A4C3F">
              <w:rPr>
                <w:webHidden/>
              </w:rPr>
              <w:fldChar w:fldCharType="end"/>
            </w:r>
          </w:hyperlink>
        </w:p>
        <w:p w14:paraId="2BEE8AEE" w14:textId="01C2CDB8" w:rsidR="009A4C3F" w:rsidRDefault="007B222E">
          <w:pPr>
            <w:pStyle w:val="TOC2"/>
            <w:rPr>
              <w:rFonts w:asciiTheme="minorHAnsi" w:eastAsiaTheme="minorEastAsia" w:hAnsiTheme="minorHAnsi" w:cstheme="minorBidi"/>
              <w:color w:val="auto"/>
              <w:szCs w:val="22"/>
            </w:rPr>
          </w:pPr>
          <w:hyperlink w:anchor="_Toc46133554"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_Toc46133554 \h </w:instrText>
            </w:r>
            <w:r w:rsidR="009A4C3F">
              <w:rPr>
                <w:webHidden/>
              </w:rPr>
            </w:r>
            <w:r w:rsidR="009A4C3F">
              <w:rPr>
                <w:webHidden/>
              </w:rPr>
              <w:fldChar w:fldCharType="separate"/>
            </w:r>
            <w:r w:rsidR="00891058">
              <w:rPr>
                <w:webHidden/>
              </w:rPr>
              <w:t>105</w:t>
            </w:r>
            <w:r w:rsidR="009A4C3F">
              <w:rPr>
                <w:webHidden/>
              </w:rPr>
              <w:fldChar w:fldCharType="end"/>
            </w:r>
          </w:hyperlink>
        </w:p>
        <w:p w14:paraId="79548C4C" w14:textId="184B0B66" w:rsidR="009A4C3F" w:rsidRDefault="007B222E">
          <w:pPr>
            <w:pStyle w:val="TOC2"/>
            <w:rPr>
              <w:rFonts w:asciiTheme="minorHAnsi" w:eastAsiaTheme="minorEastAsia" w:hAnsiTheme="minorHAnsi" w:cstheme="minorBidi"/>
              <w:color w:val="auto"/>
              <w:szCs w:val="22"/>
            </w:rPr>
          </w:pPr>
          <w:hyperlink w:anchor="_Toc46133555" w:history="1">
            <w:r w:rsidR="009A4C3F" w:rsidRPr="00A97C72">
              <w:rPr>
                <w:rStyle w:val="Hyperlink"/>
              </w:rPr>
              <w:t>Demographic trends</w:t>
            </w:r>
            <w:r w:rsidR="009A4C3F">
              <w:rPr>
                <w:webHidden/>
              </w:rPr>
              <w:tab/>
            </w:r>
            <w:r w:rsidR="009A4C3F">
              <w:rPr>
                <w:webHidden/>
              </w:rPr>
              <w:fldChar w:fldCharType="begin"/>
            </w:r>
            <w:r w:rsidR="009A4C3F">
              <w:rPr>
                <w:webHidden/>
              </w:rPr>
              <w:instrText xml:space="preserve"> PAGEREF _Toc46133555 \h </w:instrText>
            </w:r>
            <w:r w:rsidR="009A4C3F">
              <w:rPr>
                <w:webHidden/>
              </w:rPr>
            </w:r>
            <w:r w:rsidR="009A4C3F">
              <w:rPr>
                <w:webHidden/>
              </w:rPr>
              <w:fldChar w:fldCharType="separate"/>
            </w:r>
            <w:r w:rsidR="00891058">
              <w:rPr>
                <w:webHidden/>
              </w:rPr>
              <w:t>107</w:t>
            </w:r>
            <w:r w:rsidR="009A4C3F">
              <w:rPr>
                <w:webHidden/>
              </w:rPr>
              <w:fldChar w:fldCharType="end"/>
            </w:r>
          </w:hyperlink>
        </w:p>
        <w:p w14:paraId="3B973685" w14:textId="4CA42C39" w:rsidR="009A4C3F" w:rsidRDefault="007B222E">
          <w:pPr>
            <w:pStyle w:val="TOC2"/>
            <w:rPr>
              <w:rFonts w:asciiTheme="minorHAnsi" w:eastAsiaTheme="minorEastAsia" w:hAnsiTheme="minorHAnsi" w:cstheme="minorBidi"/>
              <w:color w:val="auto"/>
              <w:szCs w:val="22"/>
            </w:rPr>
          </w:pPr>
          <w:hyperlink w:anchor="_Toc46133556" w:history="1">
            <w:r w:rsidR="009A4C3F" w:rsidRPr="00A97C72">
              <w:rPr>
                <w:rStyle w:val="Hyperlink"/>
              </w:rPr>
              <w:t>Labour force trends</w:t>
            </w:r>
            <w:r w:rsidR="009A4C3F">
              <w:rPr>
                <w:webHidden/>
              </w:rPr>
              <w:tab/>
            </w:r>
            <w:r w:rsidR="009A4C3F">
              <w:rPr>
                <w:webHidden/>
              </w:rPr>
              <w:fldChar w:fldCharType="begin"/>
            </w:r>
            <w:r w:rsidR="009A4C3F">
              <w:rPr>
                <w:webHidden/>
              </w:rPr>
              <w:instrText xml:space="preserve"> PAGEREF _Toc46133556 \h </w:instrText>
            </w:r>
            <w:r w:rsidR="009A4C3F">
              <w:rPr>
                <w:webHidden/>
              </w:rPr>
            </w:r>
            <w:r w:rsidR="009A4C3F">
              <w:rPr>
                <w:webHidden/>
              </w:rPr>
              <w:fldChar w:fldCharType="separate"/>
            </w:r>
            <w:r w:rsidR="00891058">
              <w:rPr>
                <w:webHidden/>
              </w:rPr>
              <w:t>110</w:t>
            </w:r>
            <w:r w:rsidR="009A4C3F">
              <w:rPr>
                <w:webHidden/>
              </w:rPr>
              <w:fldChar w:fldCharType="end"/>
            </w:r>
          </w:hyperlink>
        </w:p>
        <w:p w14:paraId="33137059" w14:textId="532D5786" w:rsidR="009A4C3F" w:rsidRDefault="007B222E">
          <w:pPr>
            <w:pStyle w:val="TOC2"/>
            <w:rPr>
              <w:rFonts w:asciiTheme="minorHAnsi" w:eastAsiaTheme="minorEastAsia" w:hAnsiTheme="minorHAnsi" w:cstheme="minorBidi"/>
              <w:color w:val="auto"/>
              <w:szCs w:val="22"/>
            </w:rPr>
          </w:pPr>
          <w:hyperlink w:anchor="_Toc46133557" w:history="1">
            <w:r w:rsidR="009A4C3F" w:rsidRPr="00A97C72">
              <w:rPr>
                <w:rStyle w:val="Hyperlink"/>
              </w:rPr>
              <w:t>Economic growth and returns on investments</w:t>
            </w:r>
            <w:r w:rsidR="009A4C3F">
              <w:rPr>
                <w:webHidden/>
              </w:rPr>
              <w:tab/>
            </w:r>
            <w:r w:rsidR="009A4C3F">
              <w:rPr>
                <w:webHidden/>
              </w:rPr>
              <w:fldChar w:fldCharType="begin"/>
            </w:r>
            <w:r w:rsidR="009A4C3F">
              <w:rPr>
                <w:webHidden/>
              </w:rPr>
              <w:instrText xml:space="preserve"> PAGEREF _Toc46133557 \h </w:instrText>
            </w:r>
            <w:r w:rsidR="009A4C3F">
              <w:rPr>
                <w:webHidden/>
              </w:rPr>
            </w:r>
            <w:r w:rsidR="009A4C3F">
              <w:rPr>
                <w:webHidden/>
              </w:rPr>
              <w:fldChar w:fldCharType="separate"/>
            </w:r>
            <w:r w:rsidR="00891058">
              <w:rPr>
                <w:webHidden/>
              </w:rPr>
              <w:t>113</w:t>
            </w:r>
            <w:r w:rsidR="009A4C3F">
              <w:rPr>
                <w:webHidden/>
              </w:rPr>
              <w:fldChar w:fldCharType="end"/>
            </w:r>
          </w:hyperlink>
        </w:p>
        <w:p w14:paraId="0BC9CC9E" w14:textId="0AEEDD1A" w:rsidR="009A4C3F" w:rsidRDefault="007B222E">
          <w:pPr>
            <w:pStyle w:val="TOC2"/>
            <w:rPr>
              <w:rFonts w:asciiTheme="minorHAnsi" w:eastAsiaTheme="minorEastAsia" w:hAnsiTheme="minorHAnsi" w:cstheme="minorBidi"/>
              <w:color w:val="auto"/>
              <w:szCs w:val="22"/>
            </w:rPr>
          </w:pPr>
          <w:hyperlink w:anchor="_Toc46133558" w:history="1">
            <w:r w:rsidR="009A4C3F" w:rsidRPr="00A97C72">
              <w:rPr>
                <w:rStyle w:val="Hyperlink"/>
              </w:rPr>
              <w:t>Maturity of the superannuation system</w:t>
            </w:r>
            <w:r w:rsidR="009A4C3F">
              <w:rPr>
                <w:webHidden/>
              </w:rPr>
              <w:tab/>
            </w:r>
            <w:r w:rsidR="009A4C3F">
              <w:rPr>
                <w:webHidden/>
              </w:rPr>
              <w:fldChar w:fldCharType="begin"/>
            </w:r>
            <w:r w:rsidR="009A4C3F">
              <w:rPr>
                <w:webHidden/>
              </w:rPr>
              <w:instrText xml:space="preserve"> PAGEREF _Toc46133558 \h </w:instrText>
            </w:r>
            <w:r w:rsidR="009A4C3F">
              <w:rPr>
                <w:webHidden/>
              </w:rPr>
            </w:r>
            <w:r w:rsidR="009A4C3F">
              <w:rPr>
                <w:webHidden/>
              </w:rPr>
              <w:fldChar w:fldCharType="separate"/>
            </w:r>
            <w:r w:rsidR="00891058">
              <w:rPr>
                <w:webHidden/>
              </w:rPr>
              <w:t>116</w:t>
            </w:r>
            <w:r w:rsidR="009A4C3F">
              <w:rPr>
                <w:webHidden/>
              </w:rPr>
              <w:fldChar w:fldCharType="end"/>
            </w:r>
          </w:hyperlink>
        </w:p>
        <w:p w14:paraId="57BB8B69" w14:textId="3AFCEF91" w:rsidR="009A4C3F" w:rsidRDefault="007B222E">
          <w:pPr>
            <w:pStyle w:val="TOC2"/>
            <w:rPr>
              <w:rFonts w:asciiTheme="minorHAnsi" w:eastAsiaTheme="minorEastAsia" w:hAnsiTheme="minorHAnsi" w:cstheme="minorBidi"/>
              <w:color w:val="auto"/>
              <w:szCs w:val="22"/>
            </w:rPr>
          </w:pPr>
          <w:hyperlink w:anchor="_Toc46133559" w:history="1">
            <w:r w:rsidR="009A4C3F" w:rsidRPr="00A97C72">
              <w:rPr>
                <w:rStyle w:val="Hyperlink"/>
              </w:rPr>
              <w:t>Household wealth and debt</w:t>
            </w:r>
            <w:r w:rsidR="009A4C3F">
              <w:rPr>
                <w:webHidden/>
              </w:rPr>
              <w:tab/>
            </w:r>
            <w:r w:rsidR="009A4C3F">
              <w:rPr>
                <w:webHidden/>
              </w:rPr>
              <w:fldChar w:fldCharType="begin"/>
            </w:r>
            <w:r w:rsidR="009A4C3F">
              <w:rPr>
                <w:webHidden/>
              </w:rPr>
              <w:instrText xml:space="preserve"> PAGEREF _Toc46133559 \h </w:instrText>
            </w:r>
            <w:r w:rsidR="009A4C3F">
              <w:rPr>
                <w:webHidden/>
              </w:rPr>
            </w:r>
            <w:r w:rsidR="009A4C3F">
              <w:rPr>
                <w:webHidden/>
              </w:rPr>
              <w:fldChar w:fldCharType="separate"/>
            </w:r>
            <w:r w:rsidR="00891058">
              <w:rPr>
                <w:webHidden/>
              </w:rPr>
              <w:t>118</w:t>
            </w:r>
            <w:r w:rsidR="009A4C3F">
              <w:rPr>
                <w:webHidden/>
              </w:rPr>
              <w:fldChar w:fldCharType="end"/>
            </w:r>
          </w:hyperlink>
        </w:p>
        <w:p w14:paraId="50E015F5" w14:textId="76E3E26C" w:rsidR="009A4C3F" w:rsidRDefault="007B222E">
          <w:pPr>
            <w:pStyle w:val="TOC2"/>
            <w:rPr>
              <w:rFonts w:asciiTheme="minorHAnsi" w:eastAsiaTheme="minorEastAsia" w:hAnsiTheme="minorHAnsi" w:cstheme="minorBidi"/>
              <w:color w:val="auto"/>
              <w:szCs w:val="22"/>
            </w:rPr>
          </w:pPr>
          <w:hyperlink w:anchor="_Toc46133560" w:history="1">
            <w:r w:rsidR="009A4C3F" w:rsidRPr="00A97C72">
              <w:rPr>
                <w:rStyle w:val="Hyperlink"/>
              </w:rPr>
              <w:t>Housing</w:t>
            </w:r>
            <w:r w:rsidR="009A4C3F">
              <w:rPr>
                <w:webHidden/>
              </w:rPr>
              <w:tab/>
            </w:r>
            <w:r w:rsidR="009A4C3F">
              <w:rPr>
                <w:webHidden/>
              </w:rPr>
              <w:fldChar w:fldCharType="begin"/>
            </w:r>
            <w:r w:rsidR="009A4C3F">
              <w:rPr>
                <w:webHidden/>
              </w:rPr>
              <w:instrText xml:space="preserve"> PAGEREF _Toc46133560 \h </w:instrText>
            </w:r>
            <w:r w:rsidR="009A4C3F">
              <w:rPr>
                <w:webHidden/>
              </w:rPr>
            </w:r>
            <w:r w:rsidR="009A4C3F">
              <w:rPr>
                <w:webHidden/>
              </w:rPr>
              <w:fldChar w:fldCharType="separate"/>
            </w:r>
            <w:r w:rsidR="00891058">
              <w:rPr>
                <w:webHidden/>
              </w:rPr>
              <w:t>121</w:t>
            </w:r>
            <w:r w:rsidR="009A4C3F">
              <w:rPr>
                <w:webHidden/>
              </w:rPr>
              <w:fldChar w:fldCharType="end"/>
            </w:r>
          </w:hyperlink>
        </w:p>
        <w:p w14:paraId="3FB7378A" w14:textId="7F66B4C6" w:rsidR="009A4C3F" w:rsidRDefault="007B222E">
          <w:pPr>
            <w:pStyle w:val="TOC1"/>
            <w:tabs>
              <w:tab w:val="left" w:pos="660"/>
            </w:tabs>
            <w:rPr>
              <w:rFonts w:asciiTheme="minorHAnsi" w:eastAsiaTheme="minorEastAsia" w:hAnsiTheme="minorHAnsi" w:cstheme="minorBidi"/>
              <w:b w:val="0"/>
              <w:color w:val="auto"/>
            </w:rPr>
          </w:pPr>
          <w:hyperlink w:anchor="_Toc46133561" w:history="1">
            <w:r w:rsidR="009A4C3F" w:rsidRPr="00A97C72">
              <w:rPr>
                <w:rStyle w:val="Hyperlink"/>
              </w:rPr>
              <w:t>2.</w:t>
            </w:r>
            <w:r w:rsidR="009A4C3F">
              <w:rPr>
                <w:rFonts w:asciiTheme="minorHAnsi" w:eastAsiaTheme="minorEastAsia" w:hAnsiTheme="minorHAnsi" w:cstheme="minorBidi"/>
                <w:b w:val="0"/>
                <w:color w:val="auto"/>
              </w:rPr>
              <w:tab/>
            </w:r>
            <w:r w:rsidR="009A4C3F" w:rsidRPr="00A97C72">
              <w:rPr>
                <w:rStyle w:val="Hyperlink"/>
              </w:rPr>
              <w:t>Adequacy</w:t>
            </w:r>
            <w:r w:rsidR="009A4C3F">
              <w:rPr>
                <w:webHidden/>
              </w:rPr>
              <w:tab/>
            </w:r>
            <w:r w:rsidR="009A4C3F">
              <w:rPr>
                <w:webHidden/>
              </w:rPr>
              <w:fldChar w:fldCharType="begin"/>
            </w:r>
            <w:r w:rsidR="009A4C3F">
              <w:rPr>
                <w:webHidden/>
              </w:rPr>
              <w:instrText xml:space="preserve"> PAGEREF _Toc46133561 \h </w:instrText>
            </w:r>
            <w:r w:rsidR="009A4C3F">
              <w:rPr>
                <w:webHidden/>
              </w:rPr>
            </w:r>
            <w:r w:rsidR="009A4C3F">
              <w:rPr>
                <w:webHidden/>
              </w:rPr>
              <w:fldChar w:fldCharType="separate"/>
            </w:r>
            <w:r w:rsidR="00891058">
              <w:rPr>
                <w:webHidden/>
              </w:rPr>
              <w:t>125</w:t>
            </w:r>
            <w:r w:rsidR="009A4C3F">
              <w:rPr>
                <w:webHidden/>
              </w:rPr>
              <w:fldChar w:fldCharType="end"/>
            </w:r>
          </w:hyperlink>
        </w:p>
        <w:p w14:paraId="72DA734F" w14:textId="7262FF8C" w:rsidR="009A4C3F" w:rsidRDefault="007B222E">
          <w:pPr>
            <w:pStyle w:val="TOC2"/>
            <w:rPr>
              <w:rFonts w:asciiTheme="minorHAnsi" w:eastAsiaTheme="minorEastAsia" w:hAnsiTheme="minorHAnsi" w:cstheme="minorBidi"/>
              <w:color w:val="auto"/>
              <w:szCs w:val="22"/>
            </w:rPr>
          </w:pPr>
          <w:hyperlink w:anchor="_Toc46133562" w:history="1">
            <w:r w:rsidR="009A4C3F" w:rsidRPr="00A97C72">
              <w:rPr>
                <w:rStyle w:val="Hyperlink"/>
              </w:rPr>
              <w:t>Outline of this chapter</w:t>
            </w:r>
            <w:r w:rsidR="009A4C3F">
              <w:rPr>
                <w:webHidden/>
              </w:rPr>
              <w:tab/>
            </w:r>
            <w:r w:rsidR="009A4C3F">
              <w:rPr>
                <w:webHidden/>
              </w:rPr>
              <w:fldChar w:fldCharType="begin"/>
            </w:r>
            <w:r w:rsidR="009A4C3F">
              <w:rPr>
                <w:webHidden/>
              </w:rPr>
              <w:instrText xml:space="preserve"> PAGEREF _Toc46133562 \h </w:instrText>
            </w:r>
            <w:r w:rsidR="009A4C3F">
              <w:rPr>
                <w:webHidden/>
              </w:rPr>
            </w:r>
            <w:r w:rsidR="009A4C3F">
              <w:rPr>
                <w:webHidden/>
              </w:rPr>
              <w:fldChar w:fldCharType="separate"/>
            </w:r>
            <w:r w:rsidR="00891058">
              <w:rPr>
                <w:webHidden/>
              </w:rPr>
              <w:t>125</w:t>
            </w:r>
            <w:r w:rsidR="009A4C3F">
              <w:rPr>
                <w:webHidden/>
              </w:rPr>
              <w:fldChar w:fldCharType="end"/>
            </w:r>
          </w:hyperlink>
        </w:p>
        <w:p w14:paraId="41869729" w14:textId="252E6599" w:rsidR="009A4C3F" w:rsidRDefault="007B222E">
          <w:pPr>
            <w:pStyle w:val="TOC1"/>
            <w:tabs>
              <w:tab w:val="left" w:pos="1320"/>
            </w:tabs>
            <w:rPr>
              <w:rFonts w:asciiTheme="minorHAnsi" w:eastAsiaTheme="minorEastAsia" w:hAnsiTheme="minorHAnsi" w:cstheme="minorBidi"/>
              <w:b w:val="0"/>
              <w:color w:val="auto"/>
            </w:rPr>
          </w:pPr>
          <w:hyperlink w:anchor="_Toc46133563" w:history="1">
            <w:r w:rsidR="009A4C3F" w:rsidRPr="00A97C72">
              <w:rPr>
                <w:rStyle w:val="Hyperlink"/>
              </w:rPr>
              <w:t>Section 2A.</w:t>
            </w:r>
            <w:r w:rsidR="009A4C3F">
              <w:rPr>
                <w:rFonts w:asciiTheme="minorHAnsi" w:eastAsiaTheme="minorEastAsia" w:hAnsiTheme="minorHAnsi" w:cstheme="minorBidi"/>
                <w:b w:val="0"/>
                <w:color w:val="auto"/>
              </w:rPr>
              <w:tab/>
            </w:r>
            <w:r w:rsidR="009A4C3F" w:rsidRPr="00A97C72">
              <w:rPr>
                <w:rStyle w:val="Hyperlink"/>
              </w:rPr>
              <w:t>Achieving a minimum standard of living in retirement</w:t>
            </w:r>
            <w:r w:rsidR="009A4C3F">
              <w:rPr>
                <w:webHidden/>
              </w:rPr>
              <w:tab/>
            </w:r>
            <w:r w:rsidR="009A4C3F">
              <w:rPr>
                <w:webHidden/>
              </w:rPr>
              <w:fldChar w:fldCharType="begin"/>
            </w:r>
            <w:r w:rsidR="009A4C3F">
              <w:rPr>
                <w:webHidden/>
              </w:rPr>
              <w:instrText xml:space="preserve"> PAGEREF _Toc46133563 \h </w:instrText>
            </w:r>
            <w:r w:rsidR="009A4C3F">
              <w:rPr>
                <w:webHidden/>
              </w:rPr>
            </w:r>
            <w:r w:rsidR="009A4C3F">
              <w:rPr>
                <w:webHidden/>
              </w:rPr>
              <w:fldChar w:fldCharType="separate"/>
            </w:r>
            <w:r w:rsidR="00891058">
              <w:rPr>
                <w:webHidden/>
              </w:rPr>
              <w:t>127</w:t>
            </w:r>
            <w:r w:rsidR="009A4C3F">
              <w:rPr>
                <w:webHidden/>
              </w:rPr>
              <w:fldChar w:fldCharType="end"/>
            </w:r>
          </w:hyperlink>
        </w:p>
        <w:p w14:paraId="6361C44D" w14:textId="1106D70B" w:rsidR="009A4C3F" w:rsidRDefault="007B222E">
          <w:pPr>
            <w:pStyle w:val="TOC2"/>
            <w:rPr>
              <w:rFonts w:asciiTheme="minorHAnsi" w:eastAsiaTheme="minorEastAsia" w:hAnsiTheme="minorHAnsi" w:cstheme="minorBidi"/>
              <w:color w:val="auto"/>
              <w:szCs w:val="22"/>
            </w:rPr>
          </w:pPr>
          <w:hyperlink w:anchor="_Toc46133564"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_Toc46133564 \h </w:instrText>
            </w:r>
            <w:r w:rsidR="009A4C3F">
              <w:rPr>
                <w:webHidden/>
              </w:rPr>
            </w:r>
            <w:r w:rsidR="009A4C3F">
              <w:rPr>
                <w:webHidden/>
              </w:rPr>
              <w:fldChar w:fldCharType="separate"/>
            </w:r>
            <w:r w:rsidR="00891058">
              <w:rPr>
                <w:webHidden/>
              </w:rPr>
              <w:t>127</w:t>
            </w:r>
            <w:r w:rsidR="009A4C3F">
              <w:rPr>
                <w:webHidden/>
              </w:rPr>
              <w:fldChar w:fldCharType="end"/>
            </w:r>
          </w:hyperlink>
        </w:p>
        <w:p w14:paraId="38B4B7F5" w14:textId="64C1D655" w:rsidR="009A4C3F" w:rsidRDefault="007B222E">
          <w:pPr>
            <w:pStyle w:val="TOC2"/>
            <w:rPr>
              <w:rFonts w:asciiTheme="minorHAnsi" w:eastAsiaTheme="minorEastAsia" w:hAnsiTheme="minorHAnsi" w:cstheme="minorBidi"/>
              <w:color w:val="auto"/>
              <w:szCs w:val="22"/>
            </w:rPr>
          </w:pPr>
          <w:hyperlink w:anchor="_Toc46133565" w:history="1">
            <w:r w:rsidR="009A4C3F" w:rsidRPr="00A97C72">
              <w:rPr>
                <w:rStyle w:val="Hyperlink"/>
              </w:rPr>
              <w:t>Assessing minimum standards</w:t>
            </w:r>
            <w:r w:rsidR="009A4C3F">
              <w:rPr>
                <w:webHidden/>
              </w:rPr>
              <w:tab/>
            </w:r>
            <w:r w:rsidR="009A4C3F">
              <w:rPr>
                <w:webHidden/>
              </w:rPr>
              <w:fldChar w:fldCharType="begin"/>
            </w:r>
            <w:r w:rsidR="009A4C3F">
              <w:rPr>
                <w:webHidden/>
              </w:rPr>
              <w:instrText xml:space="preserve"> PAGEREF _Toc46133565 \h </w:instrText>
            </w:r>
            <w:r w:rsidR="009A4C3F">
              <w:rPr>
                <w:webHidden/>
              </w:rPr>
            </w:r>
            <w:r w:rsidR="009A4C3F">
              <w:rPr>
                <w:webHidden/>
              </w:rPr>
              <w:fldChar w:fldCharType="separate"/>
            </w:r>
            <w:r w:rsidR="00891058">
              <w:rPr>
                <w:webHidden/>
              </w:rPr>
              <w:t>128</w:t>
            </w:r>
            <w:r w:rsidR="009A4C3F">
              <w:rPr>
                <w:webHidden/>
              </w:rPr>
              <w:fldChar w:fldCharType="end"/>
            </w:r>
          </w:hyperlink>
        </w:p>
        <w:p w14:paraId="080200C2" w14:textId="26282BFE" w:rsidR="009A4C3F" w:rsidRDefault="007B222E">
          <w:pPr>
            <w:pStyle w:val="TOC2"/>
            <w:rPr>
              <w:rFonts w:asciiTheme="minorHAnsi" w:eastAsiaTheme="minorEastAsia" w:hAnsiTheme="minorHAnsi" w:cstheme="minorBidi"/>
              <w:color w:val="auto"/>
              <w:szCs w:val="22"/>
            </w:rPr>
          </w:pPr>
          <w:hyperlink w:anchor="_Toc46133566" w:history="1">
            <w:r w:rsidR="009A4C3F" w:rsidRPr="00A97C72">
              <w:rPr>
                <w:rStyle w:val="Hyperlink"/>
              </w:rPr>
              <w:t>Assessing the adequacy of the Age Pension</w:t>
            </w:r>
            <w:r w:rsidR="009A4C3F">
              <w:rPr>
                <w:webHidden/>
              </w:rPr>
              <w:tab/>
            </w:r>
            <w:r w:rsidR="009A4C3F">
              <w:rPr>
                <w:webHidden/>
              </w:rPr>
              <w:fldChar w:fldCharType="begin"/>
            </w:r>
            <w:r w:rsidR="009A4C3F">
              <w:rPr>
                <w:webHidden/>
              </w:rPr>
              <w:instrText xml:space="preserve"> PAGEREF _Toc46133566 \h </w:instrText>
            </w:r>
            <w:r w:rsidR="009A4C3F">
              <w:rPr>
                <w:webHidden/>
              </w:rPr>
            </w:r>
            <w:r w:rsidR="009A4C3F">
              <w:rPr>
                <w:webHidden/>
              </w:rPr>
              <w:fldChar w:fldCharType="separate"/>
            </w:r>
            <w:r w:rsidR="00891058">
              <w:rPr>
                <w:webHidden/>
              </w:rPr>
              <w:t>128</w:t>
            </w:r>
            <w:r w:rsidR="009A4C3F">
              <w:rPr>
                <w:webHidden/>
              </w:rPr>
              <w:fldChar w:fldCharType="end"/>
            </w:r>
          </w:hyperlink>
        </w:p>
        <w:p w14:paraId="4FE3C248" w14:textId="3BF701D5" w:rsidR="009A4C3F" w:rsidRDefault="007B222E">
          <w:pPr>
            <w:pStyle w:val="TOC2"/>
            <w:rPr>
              <w:rFonts w:asciiTheme="minorHAnsi" w:eastAsiaTheme="minorEastAsia" w:hAnsiTheme="minorHAnsi" w:cstheme="minorBidi"/>
              <w:color w:val="auto"/>
              <w:szCs w:val="22"/>
            </w:rPr>
          </w:pPr>
          <w:hyperlink w:anchor="_Toc46133567" w:history="1">
            <w:r w:rsidR="009A4C3F" w:rsidRPr="00A97C72">
              <w:rPr>
                <w:rStyle w:val="Hyperlink"/>
              </w:rPr>
              <w:t>Assessing retirement outcomes against minimum standards</w:t>
            </w:r>
            <w:r w:rsidR="009A4C3F">
              <w:rPr>
                <w:webHidden/>
              </w:rPr>
              <w:tab/>
            </w:r>
            <w:r w:rsidR="009A4C3F">
              <w:rPr>
                <w:webHidden/>
              </w:rPr>
              <w:fldChar w:fldCharType="begin"/>
            </w:r>
            <w:r w:rsidR="009A4C3F">
              <w:rPr>
                <w:webHidden/>
              </w:rPr>
              <w:instrText xml:space="preserve"> PAGEREF _Toc46133567 \h </w:instrText>
            </w:r>
            <w:r w:rsidR="009A4C3F">
              <w:rPr>
                <w:webHidden/>
              </w:rPr>
            </w:r>
            <w:r w:rsidR="009A4C3F">
              <w:rPr>
                <w:webHidden/>
              </w:rPr>
              <w:fldChar w:fldCharType="separate"/>
            </w:r>
            <w:r w:rsidR="00891058">
              <w:rPr>
                <w:webHidden/>
              </w:rPr>
              <w:t>133</w:t>
            </w:r>
            <w:r w:rsidR="009A4C3F">
              <w:rPr>
                <w:webHidden/>
              </w:rPr>
              <w:fldChar w:fldCharType="end"/>
            </w:r>
          </w:hyperlink>
        </w:p>
        <w:p w14:paraId="6FA119A6" w14:textId="4C2A33B6" w:rsidR="009A4C3F" w:rsidRDefault="007B222E">
          <w:pPr>
            <w:pStyle w:val="TOC1"/>
            <w:tabs>
              <w:tab w:val="left" w:pos="1320"/>
            </w:tabs>
            <w:rPr>
              <w:rFonts w:asciiTheme="minorHAnsi" w:eastAsiaTheme="minorEastAsia" w:hAnsiTheme="minorHAnsi" w:cstheme="minorBidi"/>
              <w:b w:val="0"/>
              <w:color w:val="auto"/>
            </w:rPr>
          </w:pPr>
          <w:hyperlink w:anchor="_Toc46133568" w:history="1">
            <w:r w:rsidR="009A4C3F" w:rsidRPr="00A97C72">
              <w:rPr>
                <w:rStyle w:val="Hyperlink"/>
              </w:rPr>
              <w:t>Section 2B.</w:t>
            </w:r>
            <w:r w:rsidR="009A4C3F">
              <w:rPr>
                <w:rFonts w:asciiTheme="minorHAnsi" w:eastAsiaTheme="minorEastAsia" w:hAnsiTheme="minorHAnsi" w:cstheme="minorBidi"/>
                <w:b w:val="0"/>
                <w:color w:val="auto"/>
              </w:rPr>
              <w:tab/>
            </w:r>
            <w:r w:rsidR="009A4C3F" w:rsidRPr="00A97C72">
              <w:rPr>
                <w:rStyle w:val="Hyperlink"/>
              </w:rPr>
              <w:t>Policy scenario: Implications of increasing Commonwealth Rent Assistance</w:t>
            </w:r>
            <w:r w:rsidR="009A4C3F">
              <w:rPr>
                <w:webHidden/>
              </w:rPr>
              <w:tab/>
            </w:r>
            <w:r w:rsidR="009A4C3F">
              <w:rPr>
                <w:webHidden/>
              </w:rPr>
              <w:fldChar w:fldCharType="begin"/>
            </w:r>
            <w:r w:rsidR="009A4C3F">
              <w:rPr>
                <w:webHidden/>
              </w:rPr>
              <w:instrText xml:space="preserve"> PAGEREF _Toc46133568 \h </w:instrText>
            </w:r>
            <w:r w:rsidR="009A4C3F">
              <w:rPr>
                <w:webHidden/>
              </w:rPr>
            </w:r>
            <w:r w:rsidR="009A4C3F">
              <w:rPr>
                <w:webHidden/>
              </w:rPr>
              <w:fldChar w:fldCharType="separate"/>
            </w:r>
            <w:r w:rsidR="00891058">
              <w:rPr>
                <w:webHidden/>
              </w:rPr>
              <w:t>145</w:t>
            </w:r>
            <w:r w:rsidR="009A4C3F">
              <w:rPr>
                <w:webHidden/>
              </w:rPr>
              <w:fldChar w:fldCharType="end"/>
            </w:r>
          </w:hyperlink>
        </w:p>
        <w:p w14:paraId="1261D8D0" w14:textId="6D112EBA" w:rsidR="009A4C3F" w:rsidRDefault="007B222E">
          <w:pPr>
            <w:pStyle w:val="TOC2"/>
            <w:rPr>
              <w:rFonts w:asciiTheme="minorHAnsi" w:eastAsiaTheme="minorEastAsia" w:hAnsiTheme="minorHAnsi" w:cstheme="minorBidi"/>
              <w:color w:val="auto"/>
              <w:szCs w:val="22"/>
            </w:rPr>
          </w:pPr>
          <w:hyperlink w:anchor="_Toc46133569"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_Toc46133569 \h </w:instrText>
            </w:r>
            <w:r w:rsidR="009A4C3F">
              <w:rPr>
                <w:webHidden/>
              </w:rPr>
            </w:r>
            <w:r w:rsidR="009A4C3F">
              <w:rPr>
                <w:webHidden/>
              </w:rPr>
              <w:fldChar w:fldCharType="separate"/>
            </w:r>
            <w:r w:rsidR="00891058">
              <w:rPr>
                <w:webHidden/>
              </w:rPr>
              <w:t>145</w:t>
            </w:r>
            <w:r w:rsidR="009A4C3F">
              <w:rPr>
                <w:webHidden/>
              </w:rPr>
              <w:fldChar w:fldCharType="end"/>
            </w:r>
          </w:hyperlink>
        </w:p>
        <w:p w14:paraId="4EC75F6E" w14:textId="2D62A0BF" w:rsidR="009A4C3F" w:rsidRDefault="007B222E">
          <w:pPr>
            <w:pStyle w:val="TOC2"/>
            <w:rPr>
              <w:rFonts w:asciiTheme="minorHAnsi" w:eastAsiaTheme="minorEastAsia" w:hAnsiTheme="minorHAnsi" w:cstheme="minorBidi"/>
              <w:color w:val="auto"/>
              <w:szCs w:val="22"/>
            </w:rPr>
          </w:pPr>
          <w:hyperlink w:anchor="_Toc46133570" w:history="1">
            <w:r w:rsidR="009A4C3F" w:rsidRPr="00A97C72">
              <w:rPr>
                <w:rStyle w:val="Hyperlink"/>
              </w:rPr>
              <w:t>The role of Commonwealth Rent Assistance in retirement</w:t>
            </w:r>
            <w:r w:rsidR="009A4C3F">
              <w:rPr>
                <w:webHidden/>
              </w:rPr>
              <w:tab/>
            </w:r>
            <w:r w:rsidR="009A4C3F">
              <w:rPr>
                <w:webHidden/>
              </w:rPr>
              <w:fldChar w:fldCharType="begin"/>
            </w:r>
            <w:r w:rsidR="009A4C3F">
              <w:rPr>
                <w:webHidden/>
              </w:rPr>
              <w:instrText xml:space="preserve"> PAGEREF _Toc46133570 \h </w:instrText>
            </w:r>
            <w:r w:rsidR="009A4C3F">
              <w:rPr>
                <w:webHidden/>
              </w:rPr>
            </w:r>
            <w:r w:rsidR="009A4C3F">
              <w:rPr>
                <w:webHidden/>
              </w:rPr>
              <w:fldChar w:fldCharType="separate"/>
            </w:r>
            <w:r w:rsidR="00891058">
              <w:rPr>
                <w:webHidden/>
              </w:rPr>
              <w:t>146</w:t>
            </w:r>
            <w:r w:rsidR="009A4C3F">
              <w:rPr>
                <w:webHidden/>
              </w:rPr>
              <w:fldChar w:fldCharType="end"/>
            </w:r>
          </w:hyperlink>
        </w:p>
        <w:p w14:paraId="51A4DDD2" w14:textId="73083F1C" w:rsidR="009A4C3F" w:rsidRDefault="007B222E">
          <w:pPr>
            <w:pStyle w:val="TOC2"/>
            <w:rPr>
              <w:rFonts w:asciiTheme="minorHAnsi" w:eastAsiaTheme="minorEastAsia" w:hAnsiTheme="minorHAnsi" w:cstheme="minorBidi"/>
              <w:color w:val="auto"/>
              <w:szCs w:val="22"/>
            </w:rPr>
          </w:pPr>
          <w:hyperlink w:anchor="_Toc46133571" w:history="1">
            <w:r w:rsidR="009A4C3F" w:rsidRPr="00A97C72">
              <w:rPr>
                <w:rStyle w:val="Hyperlink"/>
              </w:rPr>
              <w:t>Effects of higher Commonwealth Rent Assistance on the retirement income system</w:t>
            </w:r>
            <w:r w:rsidR="009A4C3F">
              <w:rPr>
                <w:webHidden/>
              </w:rPr>
              <w:tab/>
            </w:r>
            <w:r w:rsidR="009A4C3F">
              <w:rPr>
                <w:webHidden/>
              </w:rPr>
              <w:fldChar w:fldCharType="begin"/>
            </w:r>
            <w:r w:rsidR="009A4C3F">
              <w:rPr>
                <w:webHidden/>
              </w:rPr>
              <w:instrText xml:space="preserve"> PAGEREF _Toc46133571 \h </w:instrText>
            </w:r>
            <w:r w:rsidR="009A4C3F">
              <w:rPr>
                <w:webHidden/>
              </w:rPr>
            </w:r>
            <w:r w:rsidR="009A4C3F">
              <w:rPr>
                <w:webHidden/>
              </w:rPr>
              <w:fldChar w:fldCharType="separate"/>
            </w:r>
            <w:r w:rsidR="00891058">
              <w:rPr>
                <w:webHidden/>
              </w:rPr>
              <w:t>148</w:t>
            </w:r>
            <w:r w:rsidR="009A4C3F">
              <w:rPr>
                <w:webHidden/>
              </w:rPr>
              <w:fldChar w:fldCharType="end"/>
            </w:r>
          </w:hyperlink>
        </w:p>
        <w:p w14:paraId="3CDE997B" w14:textId="6766AE2C" w:rsidR="009A4C3F" w:rsidRDefault="007B222E">
          <w:pPr>
            <w:pStyle w:val="TOC2"/>
            <w:rPr>
              <w:rFonts w:asciiTheme="minorHAnsi" w:eastAsiaTheme="minorEastAsia" w:hAnsiTheme="minorHAnsi" w:cstheme="minorBidi"/>
              <w:color w:val="auto"/>
              <w:szCs w:val="22"/>
            </w:rPr>
          </w:pPr>
          <w:hyperlink w:anchor="_Toc46133572" w:history="1">
            <w:r w:rsidR="009A4C3F" w:rsidRPr="00A97C72">
              <w:rPr>
                <w:rStyle w:val="Hyperlink"/>
              </w:rPr>
              <w:t>Implications for the retirement income system</w:t>
            </w:r>
            <w:r w:rsidR="009A4C3F">
              <w:rPr>
                <w:webHidden/>
              </w:rPr>
              <w:tab/>
            </w:r>
            <w:r w:rsidR="009A4C3F">
              <w:rPr>
                <w:webHidden/>
              </w:rPr>
              <w:fldChar w:fldCharType="begin"/>
            </w:r>
            <w:r w:rsidR="009A4C3F">
              <w:rPr>
                <w:webHidden/>
              </w:rPr>
              <w:instrText xml:space="preserve"> PAGEREF _Toc46133572 \h </w:instrText>
            </w:r>
            <w:r w:rsidR="009A4C3F">
              <w:rPr>
                <w:webHidden/>
              </w:rPr>
            </w:r>
            <w:r w:rsidR="009A4C3F">
              <w:rPr>
                <w:webHidden/>
              </w:rPr>
              <w:fldChar w:fldCharType="separate"/>
            </w:r>
            <w:r w:rsidR="00891058">
              <w:rPr>
                <w:webHidden/>
              </w:rPr>
              <w:t>155</w:t>
            </w:r>
            <w:r w:rsidR="009A4C3F">
              <w:rPr>
                <w:webHidden/>
              </w:rPr>
              <w:fldChar w:fldCharType="end"/>
            </w:r>
          </w:hyperlink>
        </w:p>
        <w:p w14:paraId="42B2D581" w14:textId="29108209" w:rsidR="009A4C3F" w:rsidRDefault="007B222E">
          <w:pPr>
            <w:pStyle w:val="TOC1"/>
            <w:tabs>
              <w:tab w:val="left" w:pos="1320"/>
            </w:tabs>
            <w:rPr>
              <w:rFonts w:asciiTheme="minorHAnsi" w:eastAsiaTheme="minorEastAsia" w:hAnsiTheme="minorHAnsi" w:cstheme="minorBidi"/>
              <w:b w:val="0"/>
              <w:color w:val="auto"/>
            </w:rPr>
          </w:pPr>
          <w:hyperlink w:anchor="_Toc46133573" w:history="1">
            <w:r w:rsidR="009A4C3F" w:rsidRPr="00A97C72">
              <w:rPr>
                <w:rStyle w:val="Hyperlink"/>
              </w:rPr>
              <w:t>Section 2C.</w:t>
            </w:r>
            <w:r w:rsidR="009A4C3F">
              <w:rPr>
                <w:rFonts w:asciiTheme="minorHAnsi" w:eastAsiaTheme="minorEastAsia" w:hAnsiTheme="minorHAnsi" w:cstheme="minorBidi"/>
                <w:b w:val="0"/>
                <w:color w:val="auto"/>
              </w:rPr>
              <w:tab/>
            </w:r>
            <w:r w:rsidR="009A4C3F" w:rsidRPr="00A97C72">
              <w:rPr>
                <w:rStyle w:val="Hyperlink"/>
              </w:rPr>
              <w:t>Maintaining standards of living in retirement</w:t>
            </w:r>
            <w:r w:rsidR="009A4C3F">
              <w:rPr>
                <w:webHidden/>
              </w:rPr>
              <w:tab/>
            </w:r>
            <w:r w:rsidR="009A4C3F">
              <w:rPr>
                <w:webHidden/>
              </w:rPr>
              <w:fldChar w:fldCharType="begin"/>
            </w:r>
            <w:r w:rsidR="009A4C3F">
              <w:rPr>
                <w:webHidden/>
              </w:rPr>
              <w:instrText xml:space="preserve"> PAGEREF _Toc46133573 \h </w:instrText>
            </w:r>
            <w:r w:rsidR="009A4C3F">
              <w:rPr>
                <w:webHidden/>
              </w:rPr>
            </w:r>
            <w:r w:rsidR="009A4C3F">
              <w:rPr>
                <w:webHidden/>
              </w:rPr>
              <w:fldChar w:fldCharType="separate"/>
            </w:r>
            <w:r w:rsidR="00891058">
              <w:rPr>
                <w:webHidden/>
              </w:rPr>
              <w:t>157</w:t>
            </w:r>
            <w:r w:rsidR="009A4C3F">
              <w:rPr>
                <w:webHidden/>
              </w:rPr>
              <w:fldChar w:fldCharType="end"/>
            </w:r>
          </w:hyperlink>
        </w:p>
        <w:p w14:paraId="61B59D30" w14:textId="7349248B" w:rsidR="009A4C3F" w:rsidRDefault="007B222E">
          <w:pPr>
            <w:pStyle w:val="TOC2"/>
            <w:rPr>
              <w:rFonts w:asciiTheme="minorHAnsi" w:eastAsiaTheme="minorEastAsia" w:hAnsiTheme="minorHAnsi" w:cstheme="minorBidi"/>
              <w:color w:val="auto"/>
              <w:szCs w:val="22"/>
            </w:rPr>
          </w:pPr>
          <w:hyperlink w:anchor="_Toc46133574"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_Toc46133574 \h </w:instrText>
            </w:r>
            <w:r w:rsidR="009A4C3F">
              <w:rPr>
                <w:webHidden/>
              </w:rPr>
            </w:r>
            <w:r w:rsidR="009A4C3F">
              <w:rPr>
                <w:webHidden/>
              </w:rPr>
              <w:fldChar w:fldCharType="separate"/>
            </w:r>
            <w:r w:rsidR="00891058">
              <w:rPr>
                <w:webHidden/>
              </w:rPr>
              <w:t>158</w:t>
            </w:r>
            <w:r w:rsidR="009A4C3F">
              <w:rPr>
                <w:webHidden/>
              </w:rPr>
              <w:fldChar w:fldCharType="end"/>
            </w:r>
          </w:hyperlink>
        </w:p>
        <w:p w14:paraId="0F5C26C9" w14:textId="5BBCEED8" w:rsidR="009A4C3F" w:rsidRDefault="007B222E">
          <w:pPr>
            <w:pStyle w:val="TOC2"/>
            <w:rPr>
              <w:rFonts w:asciiTheme="minorHAnsi" w:eastAsiaTheme="minorEastAsia" w:hAnsiTheme="minorHAnsi" w:cstheme="minorBidi"/>
              <w:color w:val="auto"/>
              <w:szCs w:val="22"/>
            </w:rPr>
          </w:pPr>
          <w:hyperlink w:anchor="_Toc46133575" w:history="1">
            <w:r w:rsidR="009A4C3F" w:rsidRPr="00A97C72">
              <w:rPr>
                <w:rStyle w:val="Hyperlink"/>
              </w:rPr>
              <w:t>Maintaining a stable lifetime standard of living maximises wellbeing</w:t>
            </w:r>
            <w:r w:rsidR="009A4C3F">
              <w:rPr>
                <w:webHidden/>
              </w:rPr>
              <w:tab/>
            </w:r>
            <w:r w:rsidR="009A4C3F">
              <w:rPr>
                <w:webHidden/>
              </w:rPr>
              <w:fldChar w:fldCharType="begin"/>
            </w:r>
            <w:r w:rsidR="009A4C3F">
              <w:rPr>
                <w:webHidden/>
              </w:rPr>
              <w:instrText xml:space="preserve"> PAGEREF _Toc46133575 \h </w:instrText>
            </w:r>
            <w:r w:rsidR="009A4C3F">
              <w:rPr>
                <w:webHidden/>
              </w:rPr>
            </w:r>
            <w:r w:rsidR="009A4C3F">
              <w:rPr>
                <w:webHidden/>
              </w:rPr>
              <w:fldChar w:fldCharType="separate"/>
            </w:r>
            <w:r w:rsidR="00891058">
              <w:rPr>
                <w:webHidden/>
              </w:rPr>
              <w:t>159</w:t>
            </w:r>
            <w:r w:rsidR="009A4C3F">
              <w:rPr>
                <w:webHidden/>
              </w:rPr>
              <w:fldChar w:fldCharType="end"/>
            </w:r>
          </w:hyperlink>
        </w:p>
        <w:p w14:paraId="5D48B985" w14:textId="453F05BE" w:rsidR="009A4C3F" w:rsidRDefault="007B222E">
          <w:pPr>
            <w:pStyle w:val="TOC2"/>
            <w:rPr>
              <w:rFonts w:asciiTheme="minorHAnsi" w:eastAsiaTheme="minorEastAsia" w:hAnsiTheme="minorHAnsi" w:cstheme="minorBidi"/>
              <w:color w:val="auto"/>
              <w:szCs w:val="22"/>
            </w:rPr>
          </w:pPr>
          <w:hyperlink w:anchor="_Toc46133576" w:history="1">
            <w:r w:rsidR="009A4C3F" w:rsidRPr="00A97C72">
              <w:rPr>
                <w:rStyle w:val="Hyperlink"/>
              </w:rPr>
              <w:t>The trade</w:t>
            </w:r>
            <w:r w:rsidR="009A4C3F" w:rsidRPr="00A97C72">
              <w:rPr>
                <w:rStyle w:val="Hyperlink"/>
              </w:rPr>
              <w:noBreakHyphen/>
              <w:t>off between working life and retirement income</w:t>
            </w:r>
            <w:r w:rsidR="009A4C3F">
              <w:rPr>
                <w:webHidden/>
              </w:rPr>
              <w:tab/>
            </w:r>
            <w:r w:rsidR="009A4C3F">
              <w:rPr>
                <w:webHidden/>
              </w:rPr>
              <w:fldChar w:fldCharType="begin"/>
            </w:r>
            <w:r w:rsidR="009A4C3F">
              <w:rPr>
                <w:webHidden/>
              </w:rPr>
              <w:instrText xml:space="preserve"> PAGEREF _Toc46133576 \h </w:instrText>
            </w:r>
            <w:r w:rsidR="009A4C3F">
              <w:rPr>
                <w:webHidden/>
              </w:rPr>
            </w:r>
            <w:r w:rsidR="009A4C3F">
              <w:rPr>
                <w:webHidden/>
              </w:rPr>
              <w:fldChar w:fldCharType="separate"/>
            </w:r>
            <w:r w:rsidR="00891058">
              <w:rPr>
                <w:webHidden/>
              </w:rPr>
              <w:t>160</w:t>
            </w:r>
            <w:r w:rsidR="009A4C3F">
              <w:rPr>
                <w:webHidden/>
              </w:rPr>
              <w:fldChar w:fldCharType="end"/>
            </w:r>
          </w:hyperlink>
        </w:p>
        <w:p w14:paraId="4A020E9D" w14:textId="3C2F5F75" w:rsidR="009A4C3F" w:rsidRDefault="007B222E">
          <w:pPr>
            <w:pStyle w:val="TOC2"/>
            <w:rPr>
              <w:rFonts w:asciiTheme="minorHAnsi" w:eastAsiaTheme="minorEastAsia" w:hAnsiTheme="minorHAnsi" w:cstheme="minorBidi"/>
              <w:color w:val="auto"/>
              <w:szCs w:val="22"/>
            </w:rPr>
          </w:pPr>
          <w:hyperlink w:anchor="_Toc46133577" w:history="1">
            <w:r w:rsidR="009A4C3F" w:rsidRPr="00A97C72">
              <w:rPr>
                <w:rStyle w:val="Hyperlink"/>
              </w:rPr>
              <w:t>Measuring if living standards are maintained</w:t>
            </w:r>
            <w:r w:rsidR="009A4C3F">
              <w:rPr>
                <w:webHidden/>
              </w:rPr>
              <w:tab/>
            </w:r>
            <w:r w:rsidR="009A4C3F">
              <w:rPr>
                <w:webHidden/>
              </w:rPr>
              <w:fldChar w:fldCharType="begin"/>
            </w:r>
            <w:r w:rsidR="009A4C3F">
              <w:rPr>
                <w:webHidden/>
              </w:rPr>
              <w:instrText xml:space="preserve"> PAGEREF _Toc46133577 \h </w:instrText>
            </w:r>
            <w:r w:rsidR="009A4C3F">
              <w:rPr>
                <w:webHidden/>
              </w:rPr>
            </w:r>
            <w:r w:rsidR="009A4C3F">
              <w:rPr>
                <w:webHidden/>
              </w:rPr>
              <w:fldChar w:fldCharType="separate"/>
            </w:r>
            <w:r w:rsidR="00891058">
              <w:rPr>
                <w:webHidden/>
              </w:rPr>
              <w:t>161</w:t>
            </w:r>
            <w:r w:rsidR="009A4C3F">
              <w:rPr>
                <w:webHidden/>
              </w:rPr>
              <w:fldChar w:fldCharType="end"/>
            </w:r>
          </w:hyperlink>
        </w:p>
        <w:p w14:paraId="4BF77B12" w14:textId="119FC2AE" w:rsidR="009A4C3F" w:rsidRDefault="007B222E">
          <w:pPr>
            <w:pStyle w:val="TOC2"/>
            <w:rPr>
              <w:rFonts w:asciiTheme="minorHAnsi" w:eastAsiaTheme="minorEastAsia" w:hAnsiTheme="minorHAnsi" w:cstheme="minorBidi"/>
              <w:color w:val="auto"/>
              <w:szCs w:val="22"/>
            </w:rPr>
          </w:pPr>
          <w:hyperlink w:anchor="_Toc46133578" w:history="1">
            <w:r w:rsidR="009A4C3F" w:rsidRPr="00A97C72">
              <w:rPr>
                <w:rStyle w:val="Hyperlink"/>
              </w:rPr>
              <w:t>How the system maintains living standards</w:t>
            </w:r>
            <w:r w:rsidR="009A4C3F">
              <w:rPr>
                <w:webHidden/>
              </w:rPr>
              <w:tab/>
            </w:r>
            <w:r w:rsidR="009A4C3F">
              <w:rPr>
                <w:webHidden/>
              </w:rPr>
              <w:fldChar w:fldCharType="begin"/>
            </w:r>
            <w:r w:rsidR="009A4C3F">
              <w:rPr>
                <w:webHidden/>
              </w:rPr>
              <w:instrText xml:space="preserve"> PAGEREF _Toc46133578 \h </w:instrText>
            </w:r>
            <w:r w:rsidR="009A4C3F">
              <w:rPr>
                <w:webHidden/>
              </w:rPr>
            </w:r>
            <w:r w:rsidR="009A4C3F">
              <w:rPr>
                <w:webHidden/>
              </w:rPr>
              <w:fldChar w:fldCharType="separate"/>
            </w:r>
            <w:r w:rsidR="00891058">
              <w:rPr>
                <w:webHidden/>
              </w:rPr>
              <w:t>164</w:t>
            </w:r>
            <w:r w:rsidR="009A4C3F">
              <w:rPr>
                <w:webHidden/>
              </w:rPr>
              <w:fldChar w:fldCharType="end"/>
            </w:r>
          </w:hyperlink>
        </w:p>
        <w:p w14:paraId="703939CD" w14:textId="4210A8AD" w:rsidR="009A4C3F" w:rsidRDefault="007B222E">
          <w:pPr>
            <w:pStyle w:val="TOC2"/>
            <w:rPr>
              <w:rFonts w:asciiTheme="minorHAnsi" w:eastAsiaTheme="minorEastAsia" w:hAnsiTheme="minorHAnsi" w:cstheme="minorBidi"/>
              <w:color w:val="auto"/>
              <w:szCs w:val="22"/>
            </w:rPr>
          </w:pPr>
          <w:hyperlink w:anchor="_Toc46133579" w:history="1">
            <w:r w:rsidR="009A4C3F" w:rsidRPr="00A97C72">
              <w:rPr>
                <w:rStyle w:val="Hyperlink"/>
              </w:rPr>
              <w:t>Income needs in retirement</w:t>
            </w:r>
            <w:r w:rsidR="009A4C3F">
              <w:rPr>
                <w:webHidden/>
              </w:rPr>
              <w:tab/>
            </w:r>
            <w:r w:rsidR="009A4C3F">
              <w:rPr>
                <w:webHidden/>
              </w:rPr>
              <w:fldChar w:fldCharType="begin"/>
            </w:r>
            <w:r w:rsidR="009A4C3F">
              <w:rPr>
                <w:webHidden/>
              </w:rPr>
              <w:instrText xml:space="preserve"> PAGEREF _Toc46133579 \h </w:instrText>
            </w:r>
            <w:r w:rsidR="009A4C3F">
              <w:rPr>
                <w:webHidden/>
              </w:rPr>
            </w:r>
            <w:r w:rsidR="009A4C3F">
              <w:rPr>
                <w:webHidden/>
              </w:rPr>
              <w:fldChar w:fldCharType="separate"/>
            </w:r>
            <w:r w:rsidR="00891058">
              <w:rPr>
                <w:webHidden/>
              </w:rPr>
              <w:t>167</w:t>
            </w:r>
            <w:r w:rsidR="009A4C3F">
              <w:rPr>
                <w:webHidden/>
              </w:rPr>
              <w:fldChar w:fldCharType="end"/>
            </w:r>
          </w:hyperlink>
        </w:p>
        <w:p w14:paraId="5E6B6CA0" w14:textId="3F048D5B" w:rsidR="009A4C3F" w:rsidRDefault="007B222E">
          <w:pPr>
            <w:pStyle w:val="TOC2"/>
            <w:rPr>
              <w:rFonts w:asciiTheme="minorHAnsi" w:eastAsiaTheme="minorEastAsia" w:hAnsiTheme="minorHAnsi" w:cstheme="minorBidi"/>
              <w:color w:val="auto"/>
              <w:szCs w:val="22"/>
            </w:rPr>
          </w:pPr>
          <w:hyperlink w:anchor="_Toc46133580" w:history="1">
            <w:r w:rsidR="009A4C3F" w:rsidRPr="00A97C72">
              <w:rPr>
                <w:rStyle w:val="Hyperlink"/>
              </w:rPr>
              <w:t>How spending needs grow in retirement</w:t>
            </w:r>
            <w:r w:rsidR="009A4C3F">
              <w:rPr>
                <w:webHidden/>
              </w:rPr>
              <w:tab/>
            </w:r>
            <w:r w:rsidR="009A4C3F">
              <w:rPr>
                <w:webHidden/>
              </w:rPr>
              <w:fldChar w:fldCharType="begin"/>
            </w:r>
            <w:r w:rsidR="009A4C3F">
              <w:rPr>
                <w:webHidden/>
              </w:rPr>
              <w:instrText xml:space="preserve"> PAGEREF _Toc46133580 \h </w:instrText>
            </w:r>
            <w:r w:rsidR="009A4C3F">
              <w:rPr>
                <w:webHidden/>
              </w:rPr>
            </w:r>
            <w:r w:rsidR="009A4C3F">
              <w:rPr>
                <w:webHidden/>
              </w:rPr>
              <w:fldChar w:fldCharType="separate"/>
            </w:r>
            <w:r w:rsidR="00891058">
              <w:rPr>
                <w:webHidden/>
              </w:rPr>
              <w:t>168</w:t>
            </w:r>
            <w:r w:rsidR="009A4C3F">
              <w:rPr>
                <w:webHidden/>
              </w:rPr>
              <w:fldChar w:fldCharType="end"/>
            </w:r>
          </w:hyperlink>
        </w:p>
        <w:p w14:paraId="5A331967" w14:textId="6CED5E32" w:rsidR="009A4C3F" w:rsidRDefault="007B222E">
          <w:pPr>
            <w:pStyle w:val="TOC2"/>
            <w:rPr>
              <w:rFonts w:asciiTheme="minorHAnsi" w:eastAsiaTheme="minorEastAsia" w:hAnsiTheme="minorHAnsi" w:cstheme="minorBidi"/>
              <w:color w:val="auto"/>
              <w:szCs w:val="22"/>
            </w:rPr>
          </w:pPr>
          <w:hyperlink w:anchor="_Toc46133581" w:history="1">
            <w:r w:rsidR="009A4C3F" w:rsidRPr="00A97C72">
              <w:rPr>
                <w:rStyle w:val="Hyperlink"/>
              </w:rPr>
              <w:t>Assessing outcomes for recent retirees</w:t>
            </w:r>
            <w:r w:rsidR="009A4C3F">
              <w:rPr>
                <w:webHidden/>
              </w:rPr>
              <w:tab/>
            </w:r>
            <w:r w:rsidR="009A4C3F">
              <w:rPr>
                <w:webHidden/>
              </w:rPr>
              <w:fldChar w:fldCharType="begin"/>
            </w:r>
            <w:r w:rsidR="009A4C3F">
              <w:rPr>
                <w:webHidden/>
              </w:rPr>
              <w:instrText xml:space="preserve"> PAGEREF _Toc46133581 \h </w:instrText>
            </w:r>
            <w:r w:rsidR="009A4C3F">
              <w:rPr>
                <w:webHidden/>
              </w:rPr>
            </w:r>
            <w:r w:rsidR="009A4C3F">
              <w:rPr>
                <w:webHidden/>
              </w:rPr>
              <w:fldChar w:fldCharType="separate"/>
            </w:r>
            <w:r w:rsidR="00891058">
              <w:rPr>
                <w:webHidden/>
              </w:rPr>
              <w:t>170</w:t>
            </w:r>
            <w:r w:rsidR="009A4C3F">
              <w:rPr>
                <w:webHidden/>
              </w:rPr>
              <w:fldChar w:fldCharType="end"/>
            </w:r>
          </w:hyperlink>
        </w:p>
        <w:p w14:paraId="7562781B" w14:textId="63029C19" w:rsidR="009A4C3F" w:rsidRDefault="007B222E">
          <w:pPr>
            <w:pStyle w:val="TOC2"/>
            <w:rPr>
              <w:rFonts w:asciiTheme="minorHAnsi" w:eastAsiaTheme="minorEastAsia" w:hAnsiTheme="minorHAnsi" w:cstheme="minorBidi"/>
              <w:color w:val="auto"/>
              <w:szCs w:val="22"/>
            </w:rPr>
          </w:pPr>
          <w:hyperlink w:anchor="_Toc46133582" w:history="1">
            <w:r w:rsidR="009A4C3F" w:rsidRPr="00A97C72">
              <w:rPr>
                <w:rStyle w:val="Hyperlink"/>
              </w:rPr>
              <w:t>Early release of superannuation</w:t>
            </w:r>
            <w:r w:rsidR="009A4C3F">
              <w:rPr>
                <w:webHidden/>
              </w:rPr>
              <w:tab/>
            </w:r>
            <w:r w:rsidR="009A4C3F">
              <w:rPr>
                <w:webHidden/>
              </w:rPr>
              <w:fldChar w:fldCharType="begin"/>
            </w:r>
            <w:r w:rsidR="009A4C3F">
              <w:rPr>
                <w:webHidden/>
              </w:rPr>
              <w:instrText xml:space="preserve"> PAGEREF _Toc46133582 \h </w:instrText>
            </w:r>
            <w:r w:rsidR="009A4C3F">
              <w:rPr>
                <w:webHidden/>
              </w:rPr>
            </w:r>
            <w:r w:rsidR="009A4C3F">
              <w:rPr>
                <w:webHidden/>
              </w:rPr>
              <w:fldChar w:fldCharType="separate"/>
            </w:r>
            <w:r w:rsidR="00891058">
              <w:rPr>
                <w:webHidden/>
              </w:rPr>
              <w:t>174</w:t>
            </w:r>
            <w:r w:rsidR="009A4C3F">
              <w:rPr>
                <w:webHidden/>
              </w:rPr>
              <w:fldChar w:fldCharType="end"/>
            </w:r>
          </w:hyperlink>
        </w:p>
        <w:p w14:paraId="5DA68F08" w14:textId="77A36503" w:rsidR="009A4C3F" w:rsidRDefault="007B222E">
          <w:pPr>
            <w:pStyle w:val="TOC2"/>
            <w:rPr>
              <w:rFonts w:asciiTheme="minorHAnsi" w:eastAsiaTheme="minorEastAsia" w:hAnsiTheme="minorHAnsi" w:cstheme="minorBidi"/>
              <w:color w:val="auto"/>
              <w:szCs w:val="22"/>
            </w:rPr>
          </w:pPr>
          <w:hyperlink w:anchor="_Toc46133583" w:history="1">
            <w:r w:rsidR="009A4C3F" w:rsidRPr="00A97C72">
              <w:rPr>
                <w:rStyle w:val="Hyperlink"/>
              </w:rPr>
              <w:t>Assessing outcomes for future retirees</w:t>
            </w:r>
            <w:r w:rsidR="009A4C3F">
              <w:rPr>
                <w:webHidden/>
              </w:rPr>
              <w:tab/>
            </w:r>
            <w:r w:rsidR="009A4C3F">
              <w:rPr>
                <w:webHidden/>
              </w:rPr>
              <w:fldChar w:fldCharType="begin"/>
            </w:r>
            <w:r w:rsidR="009A4C3F">
              <w:rPr>
                <w:webHidden/>
              </w:rPr>
              <w:instrText xml:space="preserve"> PAGEREF _Toc46133583 \h </w:instrText>
            </w:r>
            <w:r w:rsidR="009A4C3F">
              <w:rPr>
                <w:webHidden/>
              </w:rPr>
            </w:r>
            <w:r w:rsidR="009A4C3F">
              <w:rPr>
                <w:webHidden/>
              </w:rPr>
              <w:fldChar w:fldCharType="separate"/>
            </w:r>
            <w:r w:rsidR="00891058">
              <w:rPr>
                <w:webHidden/>
              </w:rPr>
              <w:t>176</w:t>
            </w:r>
            <w:r w:rsidR="009A4C3F">
              <w:rPr>
                <w:webHidden/>
              </w:rPr>
              <w:fldChar w:fldCharType="end"/>
            </w:r>
          </w:hyperlink>
        </w:p>
        <w:p w14:paraId="59C9FD0C" w14:textId="587273CE" w:rsidR="009A4C3F" w:rsidRDefault="007B222E">
          <w:pPr>
            <w:pStyle w:val="TOC2"/>
            <w:rPr>
              <w:rFonts w:asciiTheme="minorHAnsi" w:eastAsiaTheme="minorEastAsia" w:hAnsiTheme="minorHAnsi" w:cstheme="minorBidi"/>
              <w:color w:val="auto"/>
              <w:szCs w:val="22"/>
            </w:rPr>
          </w:pPr>
          <w:hyperlink w:anchor="_Toc46133584" w:history="1">
            <w:r w:rsidR="009A4C3F" w:rsidRPr="00A97C72">
              <w:rPr>
                <w:rStyle w:val="Hyperlink"/>
              </w:rPr>
              <w:t>Adequacy for future retirees</w:t>
            </w:r>
            <w:r w:rsidR="009A4C3F">
              <w:rPr>
                <w:webHidden/>
              </w:rPr>
              <w:tab/>
            </w:r>
            <w:r w:rsidR="009A4C3F">
              <w:rPr>
                <w:webHidden/>
              </w:rPr>
              <w:fldChar w:fldCharType="begin"/>
            </w:r>
            <w:r w:rsidR="009A4C3F">
              <w:rPr>
                <w:webHidden/>
              </w:rPr>
              <w:instrText xml:space="preserve"> PAGEREF _Toc46133584 \h </w:instrText>
            </w:r>
            <w:r w:rsidR="009A4C3F">
              <w:rPr>
                <w:webHidden/>
              </w:rPr>
            </w:r>
            <w:r w:rsidR="009A4C3F">
              <w:rPr>
                <w:webHidden/>
              </w:rPr>
              <w:fldChar w:fldCharType="separate"/>
            </w:r>
            <w:r w:rsidR="00891058">
              <w:rPr>
                <w:webHidden/>
              </w:rPr>
              <w:t>179</w:t>
            </w:r>
            <w:r w:rsidR="009A4C3F">
              <w:rPr>
                <w:webHidden/>
              </w:rPr>
              <w:fldChar w:fldCharType="end"/>
            </w:r>
          </w:hyperlink>
        </w:p>
        <w:p w14:paraId="34FD98B7" w14:textId="35E23899" w:rsidR="009A4C3F" w:rsidRDefault="007B222E">
          <w:pPr>
            <w:pStyle w:val="TOC2"/>
            <w:rPr>
              <w:rFonts w:asciiTheme="minorHAnsi" w:eastAsiaTheme="minorEastAsia" w:hAnsiTheme="minorHAnsi" w:cstheme="minorBidi"/>
              <w:color w:val="auto"/>
              <w:szCs w:val="22"/>
            </w:rPr>
          </w:pPr>
          <w:hyperlink w:anchor="_Toc46133585" w:history="1">
            <w:r w:rsidR="009A4C3F" w:rsidRPr="00A97C72">
              <w:rPr>
                <w:rStyle w:val="Hyperlink"/>
              </w:rPr>
              <w:t>Impact of different assumptions</w:t>
            </w:r>
            <w:r w:rsidR="009A4C3F">
              <w:rPr>
                <w:webHidden/>
              </w:rPr>
              <w:tab/>
            </w:r>
            <w:r w:rsidR="009A4C3F">
              <w:rPr>
                <w:webHidden/>
              </w:rPr>
              <w:fldChar w:fldCharType="begin"/>
            </w:r>
            <w:r w:rsidR="009A4C3F">
              <w:rPr>
                <w:webHidden/>
              </w:rPr>
              <w:instrText xml:space="preserve"> PAGEREF _Toc46133585 \h </w:instrText>
            </w:r>
            <w:r w:rsidR="009A4C3F">
              <w:rPr>
                <w:webHidden/>
              </w:rPr>
            </w:r>
            <w:r w:rsidR="009A4C3F">
              <w:rPr>
                <w:webHidden/>
              </w:rPr>
              <w:fldChar w:fldCharType="separate"/>
            </w:r>
            <w:r w:rsidR="00891058">
              <w:rPr>
                <w:webHidden/>
              </w:rPr>
              <w:t>184</w:t>
            </w:r>
            <w:r w:rsidR="009A4C3F">
              <w:rPr>
                <w:webHidden/>
              </w:rPr>
              <w:fldChar w:fldCharType="end"/>
            </w:r>
          </w:hyperlink>
        </w:p>
        <w:p w14:paraId="7FD878C5" w14:textId="5E2C7FF8" w:rsidR="009A4C3F" w:rsidRDefault="007B222E">
          <w:pPr>
            <w:pStyle w:val="TOC2"/>
            <w:rPr>
              <w:rFonts w:asciiTheme="minorHAnsi" w:eastAsiaTheme="minorEastAsia" w:hAnsiTheme="minorHAnsi" w:cstheme="minorBidi"/>
              <w:color w:val="auto"/>
              <w:szCs w:val="22"/>
            </w:rPr>
          </w:pPr>
          <w:hyperlink w:anchor="_Toc46133586" w:history="1">
            <w:r w:rsidR="009A4C3F" w:rsidRPr="00A97C72">
              <w:rPr>
                <w:rStyle w:val="Hyperlink"/>
              </w:rPr>
              <w:t>The retirement income system and the risk of economic shocks</w:t>
            </w:r>
            <w:r w:rsidR="009A4C3F">
              <w:rPr>
                <w:webHidden/>
              </w:rPr>
              <w:tab/>
            </w:r>
            <w:r w:rsidR="009A4C3F">
              <w:rPr>
                <w:webHidden/>
              </w:rPr>
              <w:fldChar w:fldCharType="begin"/>
            </w:r>
            <w:r w:rsidR="009A4C3F">
              <w:rPr>
                <w:webHidden/>
              </w:rPr>
              <w:instrText xml:space="preserve"> PAGEREF _Toc46133586 \h </w:instrText>
            </w:r>
            <w:r w:rsidR="009A4C3F">
              <w:rPr>
                <w:webHidden/>
              </w:rPr>
            </w:r>
            <w:r w:rsidR="009A4C3F">
              <w:rPr>
                <w:webHidden/>
              </w:rPr>
              <w:fldChar w:fldCharType="separate"/>
            </w:r>
            <w:r w:rsidR="00891058">
              <w:rPr>
                <w:webHidden/>
              </w:rPr>
              <w:t>188</w:t>
            </w:r>
            <w:r w:rsidR="009A4C3F">
              <w:rPr>
                <w:webHidden/>
              </w:rPr>
              <w:fldChar w:fldCharType="end"/>
            </w:r>
          </w:hyperlink>
        </w:p>
        <w:p w14:paraId="2E9E2B08" w14:textId="76383CB5" w:rsidR="009A4C3F" w:rsidRDefault="007B222E">
          <w:pPr>
            <w:pStyle w:val="TOC2"/>
            <w:rPr>
              <w:rFonts w:asciiTheme="minorHAnsi" w:eastAsiaTheme="minorEastAsia" w:hAnsiTheme="minorHAnsi" w:cstheme="minorBidi"/>
              <w:color w:val="auto"/>
              <w:szCs w:val="22"/>
            </w:rPr>
          </w:pPr>
          <w:hyperlink w:anchor="_Toc46133587" w:history="1">
            <w:r w:rsidR="009A4C3F" w:rsidRPr="00A97C72">
              <w:rPr>
                <w:rStyle w:val="Hyperlink"/>
                <w:i/>
              </w:rPr>
              <w:t>Annex — detailed sensitivity analysis</w:t>
            </w:r>
            <w:r w:rsidR="009A4C3F">
              <w:rPr>
                <w:webHidden/>
              </w:rPr>
              <w:tab/>
            </w:r>
            <w:r w:rsidR="009A4C3F">
              <w:rPr>
                <w:webHidden/>
              </w:rPr>
              <w:fldChar w:fldCharType="begin"/>
            </w:r>
            <w:r w:rsidR="009A4C3F">
              <w:rPr>
                <w:webHidden/>
              </w:rPr>
              <w:instrText xml:space="preserve"> PAGEREF _Toc46133587 \h </w:instrText>
            </w:r>
            <w:r w:rsidR="009A4C3F">
              <w:rPr>
                <w:webHidden/>
              </w:rPr>
            </w:r>
            <w:r w:rsidR="009A4C3F">
              <w:rPr>
                <w:webHidden/>
              </w:rPr>
              <w:fldChar w:fldCharType="separate"/>
            </w:r>
            <w:r w:rsidR="00891058">
              <w:rPr>
                <w:webHidden/>
              </w:rPr>
              <w:t>194</w:t>
            </w:r>
            <w:r w:rsidR="009A4C3F">
              <w:rPr>
                <w:webHidden/>
              </w:rPr>
              <w:fldChar w:fldCharType="end"/>
            </w:r>
          </w:hyperlink>
        </w:p>
        <w:p w14:paraId="04E5A95A" w14:textId="0542853E" w:rsidR="009A4C3F" w:rsidRDefault="007B222E">
          <w:pPr>
            <w:pStyle w:val="TOC1"/>
            <w:tabs>
              <w:tab w:val="left" w:pos="1320"/>
            </w:tabs>
            <w:rPr>
              <w:rFonts w:asciiTheme="minorHAnsi" w:eastAsiaTheme="minorEastAsia" w:hAnsiTheme="minorHAnsi" w:cstheme="minorBidi"/>
              <w:b w:val="0"/>
              <w:color w:val="auto"/>
            </w:rPr>
          </w:pPr>
          <w:hyperlink w:anchor="_Toc46133588" w:history="1">
            <w:r w:rsidR="009A4C3F" w:rsidRPr="00A97C72">
              <w:rPr>
                <w:rStyle w:val="Hyperlink"/>
              </w:rPr>
              <w:t>Section 2D.</w:t>
            </w:r>
            <w:r w:rsidR="009A4C3F">
              <w:rPr>
                <w:rFonts w:asciiTheme="minorHAnsi" w:eastAsiaTheme="minorEastAsia" w:hAnsiTheme="minorHAnsi" w:cstheme="minorBidi"/>
                <w:b w:val="0"/>
                <w:color w:val="auto"/>
              </w:rPr>
              <w:tab/>
            </w:r>
            <w:r w:rsidR="009A4C3F" w:rsidRPr="00A97C72">
              <w:rPr>
                <w:rStyle w:val="Hyperlink"/>
              </w:rPr>
              <w:t>Policy scenario: Implications of maintaining the SG rate</w:t>
            </w:r>
            <w:r w:rsidR="009A4C3F">
              <w:rPr>
                <w:webHidden/>
              </w:rPr>
              <w:tab/>
            </w:r>
            <w:r w:rsidR="009A4C3F">
              <w:rPr>
                <w:webHidden/>
              </w:rPr>
              <w:fldChar w:fldCharType="begin"/>
            </w:r>
            <w:r w:rsidR="009A4C3F">
              <w:rPr>
                <w:webHidden/>
              </w:rPr>
              <w:instrText xml:space="preserve"> PAGEREF _Toc46133588 \h </w:instrText>
            </w:r>
            <w:r w:rsidR="009A4C3F">
              <w:rPr>
                <w:webHidden/>
              </w:rPr>
            </w:r>
            <w:r w:rsidR="009A4C3F">
              <w:rPr>
                <w:webHidden/>
              </w:rPr>
              <w:fldChar w:fldCharType="separate"/>
            </w:r>
            <w:r w:rsidR="00891058">
              <w:rPr>
                <w:webHidden/>
              </w:rPr>
              <w:t>205</w:t>
            </w:r>
            <w:r w:rsidR="009A4C3F">
              <w:rPr>
                <w:webHidden/>
              </w:rPr>
              <w:fldChar w:fldCharType="end"/>
            </w:r>
          </w:hyperlink>
        </w:p>
        <w:p w14:paraId="799E9432" w14:textId="2C383B0C" w:rsidR="009A4C3F" w:rsidRDefault="007B222E">
          <w:pPr>
            <w:pStyle w:val="TOC2"/>
            <w:rPr>
              <w:rFonts w:asciiTheme="minorHAnsi" w:eastAsiaTheme="minorEastAsia" w:hAnsiTheme="minorHAnsi" w:cstheme="minorBidi"/>
              <w:color w:val="auto"/>
              <w:szCs w:val="22"/>
            </w:rPr>
          </w:pPr>
          <w:hyperlink w:anchor="_Toc46133589"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_Toc46133589 \h </w:instrText>
            </w:r>
            <w:r w:rsidR="009A4C3F">
              <w:rPr>
                <w:webHidden/>
              </w:rPr>
            </w:r>
            <w:r w:rsidR="009A4C3F">
              <w:rPr>
                <w:webHidden/>
              </w:rPr>
              <w:fldChar w:fldCharType="separate"/>
            </w:r>
            <w:r w:rsidR="00891058">
              <w:rPr>
                <w:webHidden/>
              </w:rPr>
              <w:t>206</w:t>
            </w:r>
            <w:r w:rsidR="009A4C3F">
              <w:rPr>
                <w:webHidden/>
              </w:rPr>
              <w:fldChar w:fldCharType="end"/>
            </w:r>
          </w:hyperlink>
        </w:p>
        <w:p w14:paraId="53A82C56" w14:textId="5A4A9385" w:rsidR="009A4C3F" w:rsidRDefault="007B222E">
          <w:pPr>
            <w:pStyle w:val="TOC2"/>
            <w:rPr>
              <w:rFonts w:asciiTheme="minorHAnsi" w:eastAsiaTheme="minorEastAsia" w:hAnsiTheme="minorHAnsi" w:cstheme="minorBidi"/>
              <w:color w:val="auto"/>
              <w:szCs w:val="22"/>
            </w:rPr>
          </w:pPr>
          <w:hyperlink w:anchor="_Toc46133590" w:history="1">
            <w:r w:rsidR="009A4C3F" w:rsidRPr="00A97C72">
              <w:rPr>
                <w:rStyle w:val="Hyperlink"/>
              </w:rPr>
              <w:t>The impact of maintaining the SG at its current rate</w:t>
            </w:r>
            <w:r w:rsidR="009A4C3F">
              <w:rPr>
                <w:webHidden/>
              </w:rPr>
              <w:tab/>
            </w:r>
            <w:r w:rsidR="009A4C3F">
              <w:rPr>
                <w:webHidden/>
              </w:rPr>
              <w:fldChar w:fldCharType="begin"/>
            </w:r>
            <w:r w:rsidR="009A4C3F">
              <w:rPr>
                <w:webHidden/>
              </w:rPr>
              <w:instrText xml:space="preserve"> PAGEREF _Toc46133590 \h </w:instrText>
            </w:r>
            <w:r w:rsidR="009A4C3F">
              <w:rPr>
                <w:webHidden/>
              </w:rPr>
            </w:r>
            <w:r w:rsidR="009A4C3F">
              <w:rPr>
                <w:webHidden/>
              </w:rPr>
              <w:fldChar w:fldCharType="separate"/>
            </w:r>
            <w:r w:rsidR="00891058">
              <w:rPr>
                <w:webHidden/>
              </w:rPr>
              <w:t>207</w:t>
            </w:r>
            <w:r w:rsidR="009A4C3F">
              <w:rPr>
                <w:webHidden/>
              </w:rPr>
              <w:fldChar w:fldCharType="end"/>
            </w:r>
          </w:hyperlink>
        </w:p>
        <w:p w14:paraId="75B9C7EA" w14:textId="76B3E130" w:rsidR="009A4C3F" w:rsidRDefault="007B222E">
          <w:pPr>
            <w:pStyle w:val="TOC2"/>
            <w:rPr>
              <w:rFonts w:asciiTheme="minorHAnsi" w:eastAsiaTheme="minorEastAsia" w:hAnsiTheme="minorHAnsi" w:cstheme="minorBidi"/>
              <w:color w:val="auto"/>
              <w:szCs w:val="22"/>
            </w:rPr>
          </w:pPr>
          <w:hyperlink w:anchor="_Toc46133591" w:history="1">
            <w:r w:rsidR="009A4C3F" w:rsidRPr="00A97C72">
              <w:rPr>
                <w:rStyle w:val="Hyperlink"/>
                <w:i/>
              </w:rPr>
              <w:t>Annex — modelling supplement</w:t>
            </w:r>
            <w:r w:rsidR="009A4C3F">
              <w:rPr>
                <w:webHidden/>
              </w:rPr>
              <w:tab/>
            </w:r>
            <w:r w:rsidR="009A4C3F">
              <w:rPr>
                <w:webHidden/>
              </w:rPr>
              <w:fldChar w:fldCharType="begin"/>
            </w:r>
            <w:r w:rsidR="009A4C3F">
              <w:rPr>
                <w:webHidden/>
              </w:rPr>
              <w:instrText xml:space="preserve"> PAGEREF _Toc46133591 \h </w:instrText>
            </w:r>
            <w:r w:rsidR="009A4C3F">
              <w:rPr>
                <w:webHidden/>
              </w:rPr>
            </w:r>
            <w:r w:rsidR="009A4C3F">
              <w:rPr>
                <w:webHidden/>
              </w:rPr>
              <w:fldChar w:fldCharType="separate"/>
            </w:r>
            <w:r w:rsidR="00891058">
              <w:rPr>
                <w:webHidden/>
              </w:rPr>
              <w:t>225</w:t>
            </w:r>
            <w:r w:rsidR="009A4C3F">
              <w:rPr>
                <w:webHidden/>
              </w:rPr>
              <w:fldChar w:fldCharType="end"/>
            </w:r>
          </w:hyperlink>
        </w:p>
        <w:p w14:paraId="733752B1" w14:textId="4E98ACA7" w:rsidR="009A4C3F" w:rsidRDefault="007B222E">
          <w:pPr>
            <w:pStyle w:val="TOC1"/>
            <w:tabs>
              <w:tab w:val="left" w:pos="660"/>
            </w:tabs>
            <w:rPr>
              <w:rFonts w:asciiTheme="minorHAnsi" w:eastAsiaTheme="minorEastAsia" w:hAnsiTheme="minorHAnsi" w:cstheme="minorBidi"/>
              <w:b w:val="0"/>
              <w:color w:val="auto"/>
            </w:rPr>
          </w:pPr>
          <w:hyperlink w:anchor="_Toc46133592" w:history="1">
            <w:r w:rsidR="009A4C3F" w:rsidRPr="00A97C72">
              <w:rPr>
                <w:rStyle w:val="Hyperlink"/>
              </w:rPr>
              <w:t>3.</w:t>
            </w:r>
            <w:r w:rsidR="009A4C3F">
              <w:rPr>
                <w:rFonts w:asciiTheme="minorHAnsi" w:eastAsiaTheme="minorEastAsia" w:hAnsiTheme="minorHAnsi" w:cstheme="minorBidi"/>
                <w:b w:val="0"/>
                <w:color w:val="auto"/>
              </w:rPr>
              <w:tab/>
            </w:r>
            <w:r w:rsidR="009A4C3F" w:rsidRPr="00A97C72">
              <w:rPr>
                <w:rStyle w:val="Hyperlink"/>
              </w:rPr>
              <w:t>Equity</w:t>
            </w:r>
            <w:r w:rsidR="009A4C3F">
              <w:rPr>
                <w:webHidden/>
              </w:rPr>
              <w:tab/>
            </w:r>
            <w:r w:rsidR="009A4C3F">
              <w:rPr>
                <w:webHidden/>
              </w:rPr>
              <w:fldChar w:fldCharType="begin"/>
            </w:r>
            <w:r w:rsidR="009A4C3F">
              <w:rPr>
                <w:webHidden/>
              </w:rPr>
              <w:instrText xml:space="preserve"> PAGEREF _Toc46133592 \h </w:instrText>
            </w:r>
            <w:r w:rsidR="009A4C3F">
              <w:rPr>
                <w:webHidden/>
              </w:rPr>
            </w:r>
            <w:r w:rsidR="009A4C3F">
              <w:rPr>
                <w:webHidden/>
              </w:rPr>
              <w:fldChar w:fldCharType="separate"/>
            </w:r>
            <w:r w:rsidR="00891058">
              <w:rPr>
                <w:webHidden/>
              </w:rPr>
              <w:t>233</w:t>
            </w:r>
            <w:r w:rsidR="009A4C3F">
              <w:rPr>
                <w:webHidden/>
              </w:rPr>
              <w:fldChar w:fldCharType="end"/>
            </w:r>
          </w:hyperlink>
        </w:p>
        <w:p w14:paraId="2C6C45B7" w14:textId="5B3F5364" w:rsidR="009A4C3F" w:rsidRDefault="007B222E">
          <w:pPr>
            <w:pStyle w:val="TOC2"/>
            <w:rPr>
              <w:rFonts w:asciiTheme="minorHAnsi" w:eastAsiaTheme="minorEastAsia" w:hAnsiTheme="minorHAnsi" w:cstheme="minorBidi"/>
              <w:color w:val="auto"/>
              <w:szCs w:val="22"/>
            </w:rPr>
          </w:pPr>
          <w:hyperlink w:anchor="_Toc46133593" w:history="1">
            <w:r w:rsidR="009A4C3F" w:rsidRPr="00A97C72">
              <w:rPr>
                <w:rStyle w:val="Hyperlink"/>
              </w:rPr>
              <w:t>Outline of this chapter</w:t>
            </w:r>
            <w:r w:rsidR="009A4C3F">
              <w:rPr>
                <w:webHidden/>
              </w:rPr>
              <w:tab/>
            </w:r>
            <w:r w:rsidR="009A4C3F">
              <w:rPr>
                <w:webHidden/>
              </w:rPr>
              <w:fldChar w:fldCharType="begin"/>
            </w:r>
            <w:r w:rsidR="009A4C3F">
              <w:rPr>
                <w:webHidden/>
              </w:rPr>
              <w:instrText xml:space="preserve"> PAGEREF _Toc46133593 \h </w:instrText>
            </w:r>
            <w:r w:rsidR="009A4C3F">
              <w:rPr>
                <w:webHidden/>
              </w:rPr>
            </w:r>
            <w:r w:rsidR="009A4C3F">
              <w:rPr>
                <w:webHidden/>
              </w:rPr>
              <w:fldChar w:fldCharType="separate"/>
            </w:r>
            <w:r w:rsidR="00891058">
              <w:rPr>
                <w:webHidden/>
              </w:rPr>
              <w:t>233</w:t>
            </w:r>
            <w:r w:rsidR="009A4C3F">
              <w:rPr>
                <w:webHidden/>
              </w:rPr>
              <w:fldChar w:fldCharType="end"/>
            </w:r>
          </w:hyperlink>
        </w:p>
        <w:p w14:paraId="50BB493B" w14:textId="6CC174F0" w:rsidR="009A4C3F" w:rsidRDefault="007B222E">
          <w:pPr>
            <w:pStyle w:val="TOC1"/>
            <w:tabs>
              <w:tab w:val="left" w:pos="1320"/>
            </w:tabs>
            <w:rPr>
              <w:rFonts w:asciiTheme="minorHAnsi" w:eastAsiaTheme="minorEastAsia" w:hAnsiTheme="minorHAnsi" w:cstheme="minorBidi"/>
              <w:b w:val="0"/>
              <w:color w:val="auto"/>
            </w:rPr>
          </w:pPr>
          <w:hyperlink w:anchor="_Toc46133594" w:history="1">
            <w:r w:rsidR="009A4C3F" w:rsidRPr="00A97C72">
              <w:rPr>
                <w:rStyle w:val="Hyperlink"/>
              </w:rPr>
              <w:t>Section 3A.</w:t>
            </w:r>
            <w:r w:rsidR="009A4C3F">
              <w:rPr>
                <w:rFonts w:asciiTheme="minorHAnsi" w:eastAsiaTheme="minorEastAsia" w:hAnsiTheme="minorHAnsi" w:cstheme="minorBidi"/>
                <w:b w:val="0"/>
                <w:color w:val="auto"/>
              </w:rPr>
              <w:tab/>
            </w:r>
            <w:r w:rsidR="009A4C3F" w:rsidRPr="00A97C72">
              <w:rPr>
                <w:rStyle w:val="Hyperlink"/>
              </w:rPr>
              <w:t>Income and wealth distribution</w:t>
            </w:r>
            <w:r w:rsidR="009A4C3F">
              <w:rPr>
                <w:webHidden/>
              </w:rPr>
              <w:tab/>
            </w:r>
            <w:r w:rsidR="009A4C3F">
              <w:rPr>
                <w:webHidden/>
              </w:rPr>
              <w:fldChar w:fldCharType="begin"/>
            </w:r>
            <w:r w:rsidR="009A4C3F">
              <w:rPr>
                <w:webHidden/>
              </w:rPr>
              <w:instrText xml:space="preserve"> PAGEREF _Toc46133594 \h </w:instrText>
            </w:r>
            <w:r w:rsidR="009A4C3F">
              <w:rPr>
                <w:webHidden/>
              </w:rPr>
            </w:r>
            <w:r w:rsidR="009A4C3F">
              <w:rPr>
                <w:webHidden/>
              </w:rPr>
              <w:fldChar w:fldCharType="separate"/>
            </w:r>
            <w:r w:rsidR="00891058">
              <w:rPr>
                <w:webHidden/>
              </w:rPr>
              <w:t>235</w:t>
            </w:r>
            <w:r w:rsidR="009A4C3F">
              <w:rPr>
                <w:webHidden/>
              </w:rPr>
              <w:fldChar w:fldCharType="end"/>
            </w:r>
          </w:hyperlink>
        </w:p>
        <w:p w14:paraId="3BF54EC6" w14:textId="0328DC4E" w:rsidR="009A4C3F" w:rsidRDefault="007B222E">
          <w:pPr>
            <w:pStyle w:val="TOC2"/>
            <w:rPr>
              <w:rFonts w:asciiTheme="minorHAnsi" w:eastAsiaTheme="minorEastAsia" w:hAnsiTheme="minorHAnsi" w:cstheme="minorBidi"/>
              <w:color w:val="auto"/>
              <w:szCs w:val="22"/>
            </w:rPr>
          </w:pPr>
          <w:hyperlink w:anchor="_Toc46133595"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_Toc46133595 \h </w:instrText>
            </w:r>
            <w:r w:rsidR="009A4C3F">
              <w:rPr>
                <w:webHidden/>
              </w:rPr>
            </w:r>
            <w:r w:rsidR="009A4C3F">
              <w:rPr>
                <w:webHidden/>
              </w:rPr>
              <w:fldChar w:fldCharType="separate"/>
            </w:r>
            <w:r w:rsidR="00891058">
              <w:rPr>
                <w:webHidden/>
              </w:rPr>
              <w:t>235</w:t>
            </w:r>
            <w:r w:rsidR="009A4C3F">
              <w:rPr>
                <w:webHidden/>
              </w:rPr>
              <w:fldChar w:fldCharType="end"/>
            </w:r>
          </w:hyperlink>
        </w:p>
        <w:p w14:paraId="4CDBE2D0" w14:textId="58802FA9" w:rsidR="009A4C3F" w:rsidRDefault="007B222E">
          <w:pPr>
            <w:pStyle w:val="TOC2"/>
            <w:rPr>
              <w:rFonts w:asciiTheme="minorHAnsi" w:eastAsiaTheme="minorEastAsia" w:hAnsiTheme="minorHAnsi" w:cstheme="minorBidi"/>
              <w:color w:val="auto"/>
              <w:szCs w:val="22"/>
            </w:rPr>
          </w:pPr>
          <w:hyperlink w:anchor="_Toc46133596" w:history="1">
            <w:r w:rsidR="009A4C3F" w:rsidRPr="00A97C72">
              <w:rPr>
                <w:rStyle w:val="Hyperlink"/>
              </w:rPr>
              <w:t>Tax advantage of saving through superannuation</w:t>
            </w:r>
            <w:r w:rsidR="009A4C3F">
              <w:rPr>
                <w:webHidden/>
              </w:rPr>
              <w:tab/>
            </w:r>
            <w:r w:rsidR="009A4C3F">
              <w:rPr>
                <w:webHidden/>
              </w:rPr>
              <w:fldChar w:fldCharType="begin"/>
            </w:r>
            <w:r w:rsidR="009A4C3F">
              <w:rPr>
                <w:webHidden/>
              </w:rPr>
              <w:instrText xml:space="preserve"> PAGEREF _Toc46133596 \h </w:instrText>
            </w:r>
            <w:r w:rsidR="009A4C3F">
              <w:rPr>
                <w:webHidden/>
              </w:rPr>
            </w:r>
            <w:r w:rsidR="009A4C3F">
              <w:rPr>
                <w:webHidden/>
              </w:rPr>
              <w:fldChar w:fldCharType="separate"/>
            </w:r>
            <w:r w:rsidR="00891058">
              <w:rPr>
                <w:webHidden/>
              </w:rPr>
              <w:t>236</w:t>
            </w:r>
            <w:r w:rsidR="009A4C3F">
              <w:rPr>
                <w:webHidden/>
              </w:rPr>
              <w:fldChar w:fldCharType="end"/>
            </w:r>
          </w:hyperlink>
        </w:p>
        <w:p w14:paraId="2A991A15" w14:textId="56F3A1B0" w:rsidR="009A4C3F" w:rsidRDefault="007B222E">
          <w:pPr>
            <w:pStyle w:val="TOC2"/>
            <w:rPr>
              <w:rFonts w:asciiTheme="minorHAnsi" w:eastAsiaTheme="minorEastAsia" w:hAnsiTheme="minorHAnsi" w:cstheme="minorBidi"/>
              <w:color w:val="auto"/>
              <w:szCs w:val="22"/>
            </w:rPr>
          </w:pPr>
          <w:hyperlink w:anchor="_Toc46133597" w:history="1">
            <w:r w:rsidR="009A4C3F" w:rsidRPr="00A97C72">
              <w:rPr>
                <w:rStyle w:val="Hyperlink"/>
              </w:rPr>
              <w:t>Superannuation contributions</w:t>
            </w:r>
            <w:r w:rsidR="009A4C3F">
              <w:rPr>
                <w:webHidden/>
              </w:rPr>
              <w:tab/>
            </w:r>
            <w:r w:rsidR="009A4C3F">
              <w:rPr>
                <w:webHidden/>
              </w:rPr>
              <w:fldChar w:fldCharType="begin"/>
            </w:r>
            <w:r w:rsidR="009A4C3F">
              <w:rPr>
                <w:webHidden/>
              </w:rPr>
              <w:instrText xml:space="preserve"> PAGEREF _Toc46133597 \h </w:instrText>
            </w:r>
            <w:r w:rsidR="009A4C3F">
              <w:rPr>
                <w:webHidden/>
              </w:rPr>
            </w:r>
            <w:r w:rsidR="009A4C3F">
              <w:rPr>
                <w:webHidden/>
              </w:rPr>
              <w:fldChar w:fldCharType="separate"/>
            </w:r>
            <w:r w:rsidR="00891058">
              <w:rPr>
                <w:webHidden/>
              </w:rPr>
              <w:t>238</w:t>
            </w:r>
            <w:r w:rsidR="009A4C3F">
              <w:rPr>
                <w:webHidden/>
              </w:rPr>
              <w:fldChar w:fldCharType="end"/>
            </w:r>
          </w:hyperlink>
        </w:p>
        <w:p w14:paraId="4E8A6D45" w14:textId="0CCD448E" w:rsidR="009A4C3F" w:rsidRDefault="007B222E">
          <w:pPr>
            <w:pStyle w:val="TOC2"/>
            <w:rPr>
              <w:rFonts w:asciiTheme="minorHAnsi" w:eastAsiaTheme="minorEastAsia" w:hAnsiTheme="minorHAnsi" w:cstheme="minorBidi"/>
              <w:color w:val="auto"/>
              <w:szCs w:val="22"/>
            </w:rPr>
          </w:pPr>
          <w:hyperlink w:anchor="_Toc46133598" w:history="1">
            <w:r w:rsidR="009A4C3F" w:rsidRPr="00A97C72">
              <w:rPr>
                <w:rStyle w:val="Hyperlink"/>
              </w:rPr>
              <w:t>The distribution of superannuation balances</w:t>
            </w:r>
            <w:r w:rsidR="009A4C3F">
              <w:rPr>
                <w:webHidden/>
              </w:rPr>
              <w:tab/>
            </w:r>
            <w:r w:rsidR="009A4C3F">
              <w:rPr>
                <w:webHidden/>
              </w:rPr>
              <w:fldChar w:fldCharType="begin"/>
            </w:r>
            <w:r w:rsidR="009A4C3F">
              <w:rPr>
                <w:webHidden/>
              </w:rPr>
              <w:instrText xml:space="preserve"> PAGEREF _Toc46133598 \h </w:instrText>
            </w:r>
            <w:r w:rsidR="009A4C3F">
              <w:rPr>
                <w:webHidden/>
              </w:rPr>
            </w:r>
            <w:r w:rsidR="009A4C3F">
              <w:rPr>
                <w:webHidden/>
              </w:rPr>
              <w:fldChar w:fldCharType="separate"/>
            </w:r>
            <w:r w:rsidR="00891058">
              <w:rPr>
                <w:webHidden/>
              </w:rPr>
              <w:t>242</w:t>
            </w:r>
            <w:r w:rsidR="009A4C3F">
              <w:rPr>
                <w:webHidden/>
              </w:rPr>
              <w:fldChar w:fldCharType="end"/>
            </w:r>
          </w:hyperlink>
        </w:p>
        <w:p w14:paraId="2F8EE182" w14:textId="56D1016E" w:rsidR="009A4C3F" w:rsidRDefault="007B222E">
          <w:pPr>
            <w:pStyle w:val="TOC2"/>
            <w:rPr>
              <w:rFonts w:asciiTheme="minorHAnsi" w:eastAsiaTheme="minorEastAsia" w:hAnsiTheme="minorHAnsi" w:cstheme="minorBidi"/>
              <w:color w:val="auto"/>
              <w:szCs w:val="22"/>
            </w:rPr>
          </w:pPr>
          <w:hyperlink w:anchor="_Toc46133599" w:history="1">
            <w:r w:rsidR="009A4C3F" w:rsidRPr="00A97C72">
              <w:rPr>
                <w:rStyle w:val="Hyperlink"/>
              </w:rPr>
              <w:t>The distribution of retirement incomes</w:t>
            </w:r>
            <w:r w:rsidR="009A4C3F">
              <w:rPr>
                <w:webHidden/>
              </w:rPr>
              <w:tab/>
            </w:r>
            <w:r w:rsidR="009A4C3F">
              <w:rPr>
                <w:webHidden/>
              </w:rPr>
              <w:fldChar w:fldCharType="begin"/>
            </w:r>
            <w:r w:rsidR="009A4C3F">
              <w:rPr>
                <w:webHidden/>
              </w:rPr>
              <w:instrText xml:space="preserve"> PAGEREF _Toc46133599 \h </w:instrText>
            </w:r>
            <w:r w:rsidR="009A4C3F">
              <w:rPr>
                <w:webHidden/>
              </w:rPr>
            </w:r>
            <w:r w:rsidR="009A4C3F">
              <w:rPr>
                <w:webHidden/>
              </w:rPr>
              <w:fldChar w:fldCharType="separate"/>
            </w:r>
            <w:r w:rsidR="00891058">
              <w:rPr>
                <w:webHidden/>
              </w:rPr>
              <w:t>244</w:t>
            </w:r>
            <w:r w:rsidR="009A4C3F">
              <w:rPr>
                <w:webHidden/>
              </w:rPr>
              <w:fldChar w:fldCharType="end"/>
            </w:r>
          </w:hyperlink>
        </w:p>
        <w:p w14:paraId="176E1238" w14:textId="08FA151C" w:rsidR="009A4C3F" w:rsidRDefault="007B222E">
          <w:pPr>
            <w:pStyle w:val="TOC2"/>
            <w:rPr>
              <w:rFonts w:asciiTheme="minorHAnsi" w:eastAsiaTheme="minorEastAsia" w:hAnsiTheme="minorHAnsi" w:cstheme="minorBidi"/>
              <w:color w:val="auto"/>
              <w:szCs w:val="22"/>
            </w:rPr>
          </w:pPr>
          <w:hyperlink w:anchor="_Toc46133600" w:history="1">
            <w:r w:rsidR="009A4C3F" w:rsidRPr="00A97C72">
              <w:rPr>
                <w:rStyle w:val="Hyperlink"/>
              </w:rPr>
              <w:t>Lifetime Government support provided through the retirement income system</w:t>
            </w:r>
            <w:r w:rsidR="009A4C3F">
              <w:rPr>
                <w:webHidden/>
              </w:rPr>
              <w:tab/>
            </w:r>
            <w:r w:rsidR="009A4C3F">
              <w:rPr>
                <w:webHidden/>
              </w:rPr>
              <w:fldChar w:fldCharType="begin"/>
            </w:r>
            <w:r w:rsidR="009A4C3F">
              <w:rPr>
                <w:webHidden/>
              </w:rPr>
              <w:instrText xml:space="preserve"> PAGEREF _Toc46133600 \h </w:instrText>
            </w:r>
            <w:r w:rsidR="009A4C3F">
              <w:rPr>
                <w:webHidden/>
              </w:rPr>
            </w:r>
            <w:r w:rsidR="009A4C3F">
              <w:rPr>
                <w:webHidden/>
              </w:rPr>
              <w:fldChar w:fldCharType="separate"/>
            </w:r>
            <w:r w:rsidR="00891058">
              <w:rPr>
                <w:webHidden/>
              </w:rPr>
              <w:t>246</w:t>
            </w:r>
            <w:r w:rsidR="009A4C3F">
              <w:rPr>
                <w:webHidden/>
              </w:rPr>
              <w:fldChar w:fldCharType="end"/>
            </w:r>
          </w:hyperlink>
        </w:p>
        <w:p w14:paraId="74BDA796" w14:textId="4C531244" w:rsidR="009A4C3F" w:rsidRDefault="007B222E">
          <w:pPr>
            <w:pStyle w:val="TOC2"/>
            <w:rPr>
              <w:rFonts w:asciiTheme="minorHAnsi" w:eastAsiaTheme="minorEastAsia" w:hAnsiTheme="minorHAnsi" w:cstheme="minorBidi"/>
              <w:color w:val="auto"/>
              <w:szCs w:val="22"/>
            </w:rPr>
          </w:pPr>
          <w:hyperlink w:anchor="_Toc46133601" w:history="1">
            <w:r w:rsidR="009A4C3F" w:rsidRPr="00A97C72">
              <w:rPr>
                <w:rStyle w:val="Hyperlink"/>
              </w:rPr>
              <w:t>Other government benefits provided to people aged 65 and over</w:t>
            </w:r>
            <w:r w:rsidR="009A4C3F">
              <w:rPr>
                <w:webHidden/>
              </w:rPr>
              <w:tab/>
            </w:r>
            <w:r w:rsidR="009A4C3F">
              <w:rPr>
                <w:webHidden/>
              </w:rPr>
              <w:fldChar w:fldCharType="begin"/>
            </w:r>
            <w:r w:rsidR="009A4C3F">
              <w:rPr>
                <w:webHidden/>
              </w:rPr>
              <w:instrText xml:space="preserve"> PAGEREF _Toc46133601 \h </w:instrText>
            </w:r>
            <w:r w:rsidR="009A4C3F">
              <w:rPr>
                <w:webHidden/>
              </w:rPr>
            </w:r>
            <w:r w:rsidR="009A4C3F">
              <w:rPr>
                <w:webHidden/>
              </w:rPr>
              <w:fldChar w:fldCharType="separate"/>
            </w:r>
            <w:r w:rsidR="00891058">
              <w:rPr>
                <w:webHidden/>
              </w:rPr>
              <w:t>248</w:t>
            </w:r>
            <w:r w:rsidR="009A4C3F">
              <w:rPr>
                <w:webHidden/>
              </w:rPr>
              <w:fldChar w:fldCharType="end"/>
            </w:r>
          </w:hyperlink>
        </w:p>
        <w:p w14:paraId="2AD31D01" w14:textId="10F4C257" w:rsidR="009A4C3F" w:rsidRDefault="007B222E">
          <w:pPr>
            <w:pStyle w:val="TOC2"/>
            <w:rPr>
              <w:rFonts w:asciiTheme="minorHAnsi" w:eastAsiaTheme="minorEastAsia" w:hAnsiTheme="minorHAnsi" w:cstheme="minorBidi"/>
              <w:color w:val="auto"/>
              <w:szCs w:val="22"/>
            </w:rPr>
          </w:pPr>
          <w:hyperlink w:anchor="_Toc46133602" w:history="1">
            <w:r w:rsidR="009A4C3F" w:rsidRPr="00A97C72">
              <w:rPr>
                <w:rStyle w:val="Hyperlink"/>
              </w:rPr>
              <w:t>Do retirees with similar levels of savings receive similar retirement incomes?</w:t>
            </w:r>
            <w:r w:rsidR="009A4C3F">
              <w:rPr>
                <w:webHidden/>
              </w:rPr>
              <w:tab/>
            </w:r>
            <w:r w:rsidR="009A4C3F">
              <w:rPr>
                <w:webHidden/>
              </w:rPr>
              <w:fldChar w:fldCharType="begin"/>
            </w:r>
            <w:r w:rsidR="009A4C3F">
              <w:rPr>
                <w:webHidden/>
              </w:rPr>
              <w:instrText xml:space="preserve"> PAGEREF _Toc46133602 \h </w:instrText>
            </w:r>
            <w:r w:rsidR="009A4C3F">
              <w:rPr>
                <w:webHidden/>
              </w:rPr>
            </w:r>
            <w:r w:rsidR="009A4C3F">
              <w:rPr>
                <w:webHidden/>
              </w:rPr>
              <w:fldChar w:fldCharType="separate"/>
            </w:r>
            <w:r w:rsidR="00891058">
              <w:rPr>
                <w:webHidden/>
              </w:rPr>
              <w:t>251</w:t>
            </w:r>
            <w:r w:rsidR="009A4C3F">
              <w:rPr>
                <w:webHidden/>
              </w:rPr>
              <w:fldChar w:fldCharType="end"/>
            </w:r>
          </w:hyperlink>
        </w:p>
        <w:p w14:paraId="000C7E6B" w14:textId="064E38C5" w:rsidR="009A4C3F" w:rsidRDefault="007B222E">
          <w:pPr>
            <w:pStyle w:val="TOC2"/>
            <w:rPr>
              <w:rFonts w:asciiTheme="minorHAnsi" w:eastAsiaTheme="minorEastAsia" w:hAnsiTheme="minorHAnsi" w:cstheme="minorBidi"/>
              <w:color w:val="auto"/>
              <w:szCs w:val="22"/>
            </w:rPr>
          </w:pPr>
          <w:hyperlink w:anchor="_Toc46133603" w:history="1">
            <w:r w:rsidR="009A4C3F" w:rsidRPr="00A97C72">
              <w:rPr>
                <w:rStyle w:val="Hyperlink"/>
                <w:i/>
              </w:rPr>
              <w:t>Annex — stakeholders’ issues with lifetime Government support analysis</w:t>
            </w:r>
            <w:r w:rsidR="009A4C3F">
              <w:rPr>
                <w:webHidden/>
              </w:rPr>
              <w:tab/>
            </w:r>
            <w:r w:rsidR="009A4C3F">
              <w:rPr>
                <w:webHidden/>
              </w:rPr>
              <w:fldChar w:fldCharType="begin"/>
            </w:r>
            <w:r w:rsidR="009A4C3F">
              <w:rPr>
                <w:webHidden/>
              </w:rPr>
              <w:instrText xml:space="preserve"> PAGEREF _Toc46133603 \h </w:instrText>
            </w:r>
            <w:r w:rsidR="009A4C3F">
              <w:rPr>
                <w:webHidden/>
              </w:rPr>
            </w:r>
            <w:r w:rsidR="009A4C3F">
              <w:rPr>
                <w:webHidden/>
              </w:rPr>
              <w:fldChar w:fldCharType="separate"/>
            </w:r>
            <w:r w:rsidR="00891058">
              <w:rPr>
                <w:webHidden/>
              </w:rPr>
              <w:t>254</w:t>
            </w:r>
            <w:r w:rsidR="009A4C3F">
              <w:rPr>
                <w:webHidden/>
              </w:rPr>
              <w:fldChar w:fldCharType="end"/>
            </w:r>
          </w:hyperlink>
        </w:p>
        <w:p w14:paraId="7A5A742F" w14:textId="3AAE0CDF" w:rsidR="009A4C3F" w:rsidRDefault="007B222E">
          <w:pPr>
            <w:pStyle w:val="TOC1"/>
            <w:tabs>
              <w:tab w:val="left" w:pos="1320"/>
            </w:tabs>
            <w:rPr>
              <w:rFonts w:asciiTheme="minorHAnsi" w:eastAsiaTheme="minorEastAsia" w:hAnsiTheme="minorHAnsi" w:cstheme="minorBidi"/>
              <w:b w:val="0"/>
              <w:color w:val="auto"/>
            </w:rPr>
          </w:pPr>
          <w:hyperlink w:anchor="_Toc46133604" w:history="1">
            <w:r w:rsidR="009A4C3F" w:rsidRPr="00A97C72">
              <w:rPr>
                <w:rStyle w:val="Hyperlink"/>
              </w:rPr>
              <w:t>Section 3B.</w:t>
            </w:r>
            <w:r w:rsidR="009A4C3F">
              <w:rPr>
                <w:rFonts w:asciiTheme="minorHAnsi" w:eastAsiaTheme="minorEastAsia" w:hAnsiTheme="minorHAnsi" w:cstheme="minorBidi"/>
                <w:b w:val="0"/>
                <w:color w:val="auto"/>
              </w:rPr>
              <w:tab/>
            </w:r>
            <w:r w:rsidR="009A4C3F" w:rsidRPr="00A97C72">
              <w:rPr>
                <w:rStyle w:val="Hyperlink"/>
              </w:rPr>
              <w:t>Gender and partnered status</w:t>
            </w:r>
            <w:r w:rsidR="009A4C3F">
              <w:rPr>
                <w:webHidden/>
              </w:rPr>
              <w:tab/>
            </w:r>
            <w:r w:rsidR="009A4C3F">
              <w:rPr>
                <w:webHidden/>
              </w:rPr>
              <w:fldChar w:fldCharType="begin"/>
            </w:r>
            <w:r w:rsidR="009A4C3F">
              <w:rPr>
                <w:webHidden/>
              </w:rPr>
              <w:instrText xml:space="preserve"> PAGEREF _Toc46133604 \h </w:instrText>
            </w:r>
            <w:r w:rsidR="009A4C3F">
              <w:rPr>
                <w:webHidden/>
              </w:rPr>
            </w:r>
            <w:r w:rsidR="009A4C3F">
              <w:rPr>
                <w:webHidden/>
              </w:rPr>
              <w:fldChar w:fldCharType="separate"/>
            </w:r>
            <w:r w:rsidR="00891058">
              <w:rPr>
                <w:webHidden/>
              </w:rPr>
              <w:t>257</w:t>
            </w:r>
            <w:r w:rsidR="009A4C3F">
              <w:rPr>
                <w:webHidden/>
              </w:rPr>
              <w:fldChar w:fldCharType="end"/>
            </w:r>
          </w:hyperlink>
        </w:p>
        <w:p w14:paraId="7B281A72" w14:textId="5FDF6520" w:rsidR="009A4C3F" w:rsidRDefault="007B222E">
          <w:pPr>
            <w:pStyle w:val="TOC2"/>
            <w:rPr>
              <w:rFonts w:asciiTheme="minorHAnsi" w:eastAsiaTheme="minorEastAsia" w:hAnsiTheme="minorHAnsi" w:cstheme="minorBidi"/>
              <w:color w:val="auto"/>
              <w:szCs w:val="22"/>
            </w:rPr>
          </w:pPr>
          <w:hyperlink w:anchor="_Toc46133605"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_Toc46133605 \h </w:instrText>
            </w:r>
            <w:r w:rsidR="009A4C3F">
              <w:rPr>
                <w:webHidden/>
              </w:rPr>
            </w:r>
            <w:r w:rsidR="009A4C3F">
              <w:rPr>
                <w:webHidden/>
              </w:rPr>
              <w:fldChar w:fldCharType="separate"/>
            </w:r>
            <w:r w:rsidR="00891058">
              <w:rPr>
                <w:webHidden/>
              </w:rPr>
              <w:t>257</w:t>
            </w:r>
            <w:r w:rsidR="009A4C3F">
              <w:rPr>
                <w:webHidden/>
              </w:rPr>
              <w:fldChar w:fldCharType="end"/>
            </w:r>
          </w:hyperlink>
        </w:p>
        <w:p w14:paraId="4C8B7A21" w14:textId="20E56369" w:rsidR="009A4C3F" w:rsidRDefault="007B222E">
          <w:pPr>
            <w:pStyle w:val="TOC2"/>
            <w:rPr>
              <w:rFonts w:asciiTheme="minorHAnsi" w:eastAsiaTheme="minorEastAsia" w:hAnsiTheme="minorHAnsi" w:cstheme="minorBidi"/>
              <w:color w:val="auto"/>
              <w:szCs w:val="22"/>
            </w:rPr>
          </w:pPr>
          <w:hyperlink w:anchor="_Toc46133606" w:history="1">
            <w:r w:rsidR="009A4C3F" w:rsidRPr="00A97C72">
              <w:rPr>
                <w:rStyle w:val="Hyperlink"/>
              </w:rPr>
              <w:t>Gender gaps in retirement outcomes</w:t>
            </w:r>
            <w:r w:rsidR="009A4C3F">
              <w:rPr>
                <w:webHidden/>
              </w:rPr>
              <w:tab/>
            </w:r>
            <w:r w:rsidR="009A4C3F">
              <w:rPr>
                <w:webHidden/>
              </w:rPr>
              <w:fldChar w:fldCharType="begin"/>
            </w:r>
            <w:r w:rsidR="009A4C3F">
              <w:rPr>
                <w:webHidden/>
              </w:rPr>
              <w:instrText xml:space="preserve"> PAGEREF _Toc46133606 \h </w:instrText>
            </w:r>
            <w:r w:rsidR="009A4C3F">
              <w:rPr>
                <w:webHidden/>
              </w:rPr>
            </w:r>
            <w:r w:rsidR="009A4C3F">
              <w:rPr>
                <w:webHidden/>
              </w:rPr>
              <w:fldChar w:fldCharType="separate"/>
            </w:r>
            <w:r w:rsidR="00891058">
              <w:rPr>
                <w:webHidden/>
              </w:rPr>
              <w:t>258</w:t>
            </w:r>
            <w:r w:rsidR="009A4C3F">
              <w:rPr>
                <w:webHidden/>
              </w:rPr>
              <w:fldChar w:fldCharType="end"/>
            </w:r>
          </w:hyperlink>
        </w:p>
        <w:p w14:paraId="1DD9216D" w14:textId="39190871" w:rsidR="009A4C3F" w:rsidRDefault="007B222E">
          <w:pPr>
            <w:pStyle w:val="TOC2"/>
            <w:rPr>
              <w:rFonts w:asciiTheme="minorHAnsi" w:eastAsiaTheme="minorEastAsia" w:hAnsiTheme="minorHAnsi" w:cstheme="minorBidi"/>
              <w:color w:val="auto"/>
              <w:szCs w:val="22"/>
            </w:rPr>
          </w:pPr>
          <w:hyperlink w:anchor="_Toc46133607" w:history="1">
            <w:r w:rsidR="009A4C3F" w:rsidRPr="00A97C72">
              <w:rPr>
                <w:rStyle w:val="Hyperlink"/>
              </w:rPr>
              <w:t>Working</w:t>
            </w:r>
            <w:r w:rsidR="009A4C3F" w:rsidRPr="00A97C72">
              <w:rPr>
                <w:rStyle w:val="Hyperlink"/>
              </w:rPr>
              <w:noBreakHyphen/>
              <w:t>life drivers of gender gaps outside the retirement income system</w:t>
            </w:r>
            <w:r w:rsidR="009A4C3F">
              <w:rPr>
                <w:webHidden/>
              </w:rPr>
              <w:tab/>
            </w:r>
            <w:r w:rsidR="009A4C3F">
              <w:rPr>
                <w:webHidden/>
              </w:rPr>
              <w:fldChar w:fldCharType="begin"/>
            </w:r>
            <w:r w:rsidR="009A4C3F">
              <w:rPr>
                <w:webHidden/>
              </w:rPr>
              <w:instrText xml:space="preserve"> PAGEREF _Toc46133607 \h </w:instrText>
            </w:r>
            <w:r w:rsidR="009A4C3F">
              <w:rPr>
                <w:webHidden/>
              </w:rPr>
            </w:r>
            <w:r w:rsidR="009A4C3F">
              <w:rPr>
                <w:webHidden/>
              </w:rPr>
              <w:fldChar w:fldCharType="separate"/>
            </w:r>
            <w:r w:rsidR="00891058">
              <w:rPr>
                <w:webHidden/>
              </w:rPr>
              <w:t>260</w:t>
            </w:r>
            <w:r w:rsidR="009A4C3F">
              <w:rPr>
                <w:webHidden/>
              </w:rPr>
              <w:fldChar w:fldCharType="end"/>
            </w:r>
          </w:hyperlink>
        </w:p>
        <w:p w14:paraId="2DE4197B" w14:textId="276E15F1" w:rsidR="009A4C3F" w:rsidRDefault="007B222E">
          <w:pPr>
            <w:pStyle w:val="TOC2"/>
            <w:rPr>
              <w:rFonts w:asciiTheme="minorHAnsi" w:eastAsiaTheme="minorEastAsia" w:hAnsiTheme="minorHAnsi" w:cstheme="minorBidi"/>
              <w:color w:val="auto"/>
              <w:szCs w:val="22"/>
            </w:rPr>
          </w:pPr>
          <w:hyperlink w:anchor="_Toc46133608" w:history="1">
            <w:r w:rsidR="009A4C3F" w:rsidRPr="00A97C72">
              <w:rPr>
                <w:rStyle w:val="Hyperlink"/>
              </w:rPr>
              <w:t>Working</w:t>
            </w:r>
            <w:r w:rsidR="009A4C3F" w:rsidRPr="00A97C72">
              <w:rPr>
                <w:rStyle w:val="Hyperlink"/>
              </w:rPr>
              <w:noBreakHyphen/>
              <w:t>life drivers of gender gaps inside the retirement income system</w:t>
            </w:r>
            <w:r w:rsidR="009A4C3F">
              <w:rPr>
                <w:webHidden/>
              </w:rPr>
              <w:tab/>
            </w:r>
            <w:r w:rsidR="009A4C3F">
              <w:rPr>
                <w:webHidden/>
              </w:rPr>
              <w:fldChar w:fldCharType="begin"/>
            </w:r>
            <w:r w:rsidR="009A4C3F">
              <w:rPr>
                <w:webHidden/>
              </w:rPr>
              <w:instrText xml:space="preserve"> PAGEREF _Toc46133608 \h </w:instrText>
            </w:r>
            <w:r w:rsidR="009A4C3F">
              <w:rPr>
                <w:webHidden/>
              </w:rPr>
            </w:r>
            <w:r w:rsidR="009A4C3F">
              <w:rPr>
                <w:webHidden/>
              </w:rPr>
              <w:fldChar w:fldCharType="separate"/>
            </w:r>
            <w:r w:rsidR="00891058">
              <w:rPr>
                <w:webHidden/>
              </w:rPr>
              <w:t>267</w:t>
            </w:r>
            <w:r w:rsidR="009A4C3F">
              <w:rPr>
                <w:webHidden/>
              </w:rPr>
              <w:fldChar w:fldCharType="end"/>
            </w:r>
          </w:hyperlink>
        </w:p>
        <w:p w14:paraId="22B25715" w14:textId="2584F141" w:rsidR="009A4C3F" w:rsidRDefault="007B222E">
          <w:pPr>
            <w:pStyle w:val="TOC2"/>
            <w:rPr>
              <w:rFonts w:asciiTheme="minorHAnsi" w:eastAsiaTheme="minorEastAsia" w:hAnsiTheme="minorHAnsi" w:cstheme="minorBidi"/>
              <w:color w:val="auto"/>
              <w:szCs w:val="22"/>
            </w:rPr>
          </w:pPr>
          <w:hyperlink w:anchor="_Toc46133609" w:history="1">
            <w:r w:rsidR="009A4C3F" w:rsidRPr="00A97C72">
              <w:rPr>
                <w:rStyle w:val="Hyperlink"/>
              </w:rPr>
              <w:t>Causes of gender gaps in retirement</w:t>
            </w:r>
            <w:r w:rsidR="009A4C3F">
              <w:rPr>
                <w:webHidden/>
              </w:rPr>
              <w:tab/>
            </w:r>
            <w:r w:rsidR="009A4C3F">
              <w:rPr>
                <w:webHidden/>
              </w:rPr>
              <w:fldChar w:fldCharType="begin"/>
            </w:r>
            <w:r w:rsidR="009A4C3F">
              <w:rPr>
                <w:webHidden/>
              </w:rPr>
              <w:instrText xml:space="preserve"> PAGEREF _Toc46133609 \h </w:instrText>
            </w:r>
            <w:r w:rsidR="009A4C3F">
              <w:rPr>
                <w:webHidden/>
              </w:rPr>
            </w:r>
            <w:r w:rsidR="009A4C3F">
              <w:rPr>
                <w:webHidden/>
              </w:rPr>
              <w:fldChar w:fldCharType="separate"/>
            </w:r>
            <w:r w:rsidR="00891058">
              <w:rPr>
                <w:webHidden/>
              </w:rPr>
              <w:t>275</w:t>
            </w:r>
            <w:r w:rsidR="009A4C3F">
              <w:rPr>
                <w:webHidden/>
              </w:rPr>
              <w:fldChar w:fldCharType="end"/>
            </w:r>
          </w:hyperlink>
        </w:p>
        <w:p w14:paraId="2EC37A7A" w14:textId="333713EA" w:rsidR="009A4C3F" w:rsidRDefault="007B222E">
          <w:pPr>
            <w:pStyle w:val="TOC2"/>
            <w:rPr>
              <w:rFonts w:asciiTheme="minorHAnsi" w:eastAsiaTheme="minorEastAsia" w:hAnsiTheme="minorHAnsi" w:cstheme="minorBidi"/>
              <w:color w:val="auto"/>
              <w:szCs w:val="22"/>
            </w:rPr>
          </w:pPr>
          <w:hyperlink w:anchor="_Toc46133610" w:history="1">
            <w:r w:rsidR="009A4C3F" w:rsidRPr="00A97C72">
              <w:rPr>
                <w:rStyle w:val="Hyperlink"/>
              </w:rPr>
              <w:t>Retirement trends and characteristics by partnered status</w:t>
            </w:r>
            <w:r w:rsidR="009A4C3F">
              <w:rPr>
                <w:webHidden/>
              </w:rPr>
              <w:tab/>
            </w:r>
            <w:r w:rsidR="009A4C3F">
              <w:rPr>
                <w:webHidden/>
              </w:rPr>
              <w:fldChar w:fldCharType="begin"/>
            </w:r>
            <w:r w:rsidR="009A4C3F">
              <w:rPr>
                <w:webHidden/>
              </w:rPr>
              <w:instrText xml:space="preserve"> PAGEREF _Toc46133610 \h </w:instrText>
            </w:r>
            <w:r w:rsidR="009A4C3F">
              <w:rPr>
                <w:webHidden/>
              </w:rPr>
            </w:r>
            <w:r w:rsidR="009A4C3F">
              <w:rPr>
                <w:webHidden/>
              </w:rPr>
              <w:fldChar w:fldCharType="separate"/>
            </w:r>
            <w:r w:rsidR="00891058">
              <w:rPr>
                <w:webHidden/>
              </w:rPr>
              <w:t>280</w:t>
            </w:r>
            <w:r w:rsidR="009A4C3F">
              <w:rPr>
                <w:webHidden/>
              </w:rPr>
              <w:fldChar w:fldCharType="end"/>
            </w:r>
          </w:hyperlink>
        </w:p>
        <w:p w14:paraId="1C3E567E" w14:textId="22689C98" w:rsidR="009A4C3F" w:rsidRDefault="007B222E">
          <w:pPr>
            <w:pStyle w:val="TOC2"/>
            <w:rPr>
              <w:rFonts w:asciiTheme="minorHAnsi" w:eastAsiaTheme="minorEastAsia" w:hAnsiTheme="minorHAnsi" w:cstheme="minorBidi"/>
              <w:color w:val="auto"/>
              <w:szCs w:val="22"/>
            </w:rPr>
          </w:pPr>
          <w:hyperlink w:anchor="_Toc46133611" w:history="1">
            <w:r w:rsidR="009A4C3F" w:rsidRPr="00A97C72">
              <w:rPr>
                <w:rStyle w:val="Hyperlink"/>
              </w:rPr>
              <w:t>Poverty and financial stress</w:t>
            </w:r>
            <w:r w:rsidR="009A4C3F">
              <w:rPr>
                <w:webHidden/>
              </w:rPr>
              <w:tab/>
            </w:r>
            <w:r w:rsidR="009A4C3F">
              <w:rPr>
                <w:webHidden/>
              </w:rPr>
              <w:fldChar w:fldCharType="begin"/>
            </w:r>
            <w:r w:rsidR="009A4C3F">
              <w:rPr>
                <w:webHidden/>
              </w:rPr>
              <w:instrText xml:space="preserve"> PAGEREF _Toc46133611 \h </w:instrText>
            </w:r>
            <w:r w:rsidR="009A4C3F">
              <w:rPr>
                <w:webHidden/>
              </w:rPr>
            </w:r>
            <w:r w:rsidR="009A4C3F">
              <w:rPr>
                <w:webHidden/>
              </w:rPr>
              <w:fldChar w:fldCharType="separate"/>
            </w:r>
            <w:r w:rsidR="00891058">
              <w:rPr>
                <w:webHidden/>
              </w:rPr>
              <w:t>283</w:t>
            </w:r>
            <w:r w:rsidR="009A4C3F">
              <w:rPr>
                <w:webHidden/>
              </w:rPr>
              <w:fldChar w:fldCharType="end"/>
            </w:r>
          </w:hyperlink>
        </w:p>
        <w:p w14:paraId="1E88CDC8" w14:textId="63381580" w:rsidR="009A4C3F" w:rsidRDefault="007B222E">
          <w:pPr>
            <w:pStyle w:val="TOC1"/>
            <w:tabs>
              <w:tab w:val="left" w:pos="1320"/>
            </w:tabs>
            <w:rPr>
              <w:rFonts w:asciiTheme="minorHAnsi" w:eastAsiaTheme="minorEastAsia" w:hAnsiTheme="minorHAnsi" w:cstheme="minorBidi"/>
              <w:b w:val="0"/>
              <w:color w:val="auto"/>
            </w:rPr>
          </w:pPr>
          <w:hyperlink w:anchor="_Toc46133612" w:history="1">
            <w:r w:rsidR="009A4C3F" w:rsidRPr="00A97C72">
              <w:rPr>
                <w:rStyle w:val="Hyperlink"/>
              </w:rPr>
              <w:t>Section 3C.</w:t>
            </w:r>
            <w:r w:rsidR="009A4C3F">
              <w:rPr>
                <w:rFonts w:asciiTheme="minorHAnsi" w:eastAsiaTheme="minorEastAsia" w:hAnsiTheme="minorHAnsi" w:cstheme="minorBidi"/>
                <w:b w:val="0"/>
                <w:color w:val="auto"/>
              </w:rPr>
              <w:tab/>
            </w:r>
            <w:r w:rsidR="009A4C3F" w:rsidRPr="00A97C72">
              <w:rPr>
                <w:rStyle w:val="Hyperlink"/>
              </w:rPr>
              <w:t>Home ownership status</w:t>
            </w:r>
            <w:r w:rsidR="009A4C3F">
              <w:rPr>
                <w:webHidden/>
              </w:rPr>
              <w:tab/>
            </w:r>
            <w:r w:rsidR="009A4C3F">
              <w:rPr>
                <w:webHidden/>
              </w:rPr>
              <w:fldChar w:fldCharType="begin"/>
            </w:r>
            <w:r w:rsidR="009A4C3F">
              <w:rPr>
                <w:webHidden/>
              </w:rPr>
              <w:instrText xml:space="preserve"> PAGEREF _Toc46133612 \h </w:instrText>
            </w:r>
            <w:r w:rsidR="009A4C3F">
              <w:rPr>
                <w:webHidden/>
              </w:rPr>
            </w:r>
            <w:r w:rsidR="009A4C3F">
              <w:rPr>
                <w:webHidden/>
              </w:rPr>
              <w:fldChar w:fldCharType="separate"/>
            </w:r>
            <w:r w:rsidR="00891058">
              <w:rPr>
                <w:webHidden/>
              </w:rPr>
              <w:t>287</w:t>
            </w:r>
            <w:r w:rsidR="009A4C3F">
              <w:rPr>
                <w:webHidden/>
              </w:rPr>
              <w:fldChar w:fldCharType="end"/>
            </w:r>
          </w:hyperlink>
        </w:p>
        <w:p w14:paraId="014B395E" w14:textId="32FFE30D" w:rsidR="009A4C3F" w:rsidRDefault="007B222E">
          <w:pPr>
            <w:pStyle w:val="TOC2"/>
            <w:rPr>
              <w:rFonts w:asciiTheme="minorHAnsi" w:eastAsiaTheme="minorEastAsia" w:hAnsiTheme="minorHAnsi" w:cstheme="minorBidi"/>
              <w:color w:val="auto"/>
              <w:szCs w:val="22"/>
            </w:rPr>
          </w:pPr>
          <w:hyperlink w:anchor="_Toc46133613"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_Toc46133613 \h </w:instrText>
            </w:r>
            <w:r w:rsidR="009A4C3F">
              <w:rPr>
                <w:webHidden/>
              </w:rPr>
            </w:r>
            <w:r w:rsidR="009A4C3F">
              <w:rPr>
                <w:webHidden/>
              </w:rPr>
              <w:fldChar w:fldCharType="separate"/>
            </w:r>
            <w:r w:rsidR="00891058">
              <w:rPr>
                <w:webHidden/>
              </w:rPr>
              <w:t>287</w:t>
            </w:r>
            <w:r w:rsidR="009A4C3F">
              <w:rPr>
                <w:webHidden/>
              </w:rPr>
              <w:fldChar w:fldCharType="end"/>
            </w:r>
          </w:hyperlink>
        </w:p>
        <w:p w14:paraId="3DE4781B" w14:textId="72A1501F" w:rsidR="009A4C3F" w:rsidRDefault="007B222E">
          <w:pPr>
            <w:pStyle w:val="TOC2"/>
            <w:rPr>
              <w:rFonts w:asciiTheme="minorHAnsi" w:eastAsiaTheme="minorEastAsia" w:hAnsiTheme="minorHAnsi" w:cstheme="minorBidi"/>
              <w:color w:val="auto"/>
              <w:szCs w:val="22"/>
            </w:rPr>
          </w:pPr>
          <w:hyperlink w:anchor="_Toc46133614" w:history="1">
            <w:r w:rsidR="009A4C3F" w:rsidRPr="00A97C72">
              <w:rPr>
                <w:rStyle w:val="Hyperlink"/>
              </w:rPr>
              <w:t>Home ownership and equity in retirement outcomes</w:t>
            </w:r>
            <w:r w:rsidR="009A4C3F">
              <w:rPr>
                <w:webHidden/>
              </w:rPr>
              <w:tab/>
            </w:r>
            <w:r w:rsidR="009A4C3F">
              <w:rPr>
                <w:webHidden/>
              </w:rPr>
              <w:fldChar w:fldCharType="begin"/>
            </w:r>
            <w:r w:rsidR="009A4C3F">
              <w:rPr>
                <w:webHidden/>
              </w:rPr>
              <w:instrText xml:space="preserve"> PAGEREF _Toc46133614 \h </w:instrText>
            </w:r>
            <w:r w:rsidR="009A4C3F">
              <w:rPr>
                <w:webHidden/>
              </w:rPr>
            </w:r>
            <w:r w:rsidR="009A4C3F">
              <w:rPr>
                <w:webHidden/>
              </w:rPr>
              <w:fldChar w:fldCharType="separate"/>
            </w:r>
            <w:r w:rsidR="00891058">
              <w:rPr>
                <w:webHidden/>
              </w:rPr>
              <w:t>288</w:t>
            </w:r>
            <w:r w:rsidR="009A4C3F">
              <w:rPr>
                <w:webHidden/>
              </w:rPr>
              <w:fldChar w:fldCharType="end"/>
            </w:r>
          </w:hyperlink>
        </w:p>
        <w:p w14:paraId="00E07D0E" w14:textId="5716AF7A" w:rsidR="009A4C3F" w:rsidRDefault="007B222E">
          <w:pPr>
            <w:pStyle w:val="TOC2"/>
            <w:rPr>
              <w:rFonts w:asciiTheme="minorHAnsi" w:eastAsiaTheme="minorEastAsia" w:hAnsiTheme="minorHAnsi" w:cstheme="minorBidi"/>
              <w:color w:val="auto"/>
              <w:szCs w:val="22"/>
            </w:rPr>
          </w:pPr>
          <w:hyperlink w:anchor="_Toc46133615" w:history="1">
            <w:r w:rsidR="009A4C3F" w:rsidRPr="00A97C72">
              <w:rPr>
                <w:rStyle w:val="Hyperlink"/>
              </w:rPr>
              <w:t>Age Pension and the assets test</w:t>
            </w:r>
            <w:r w:rsidR="009A4C3F">
              <w:rPr>
                <w:webHidden/>
              </w:rPr>
              <w:tab/>
            </w:r>
            <w:r w:rsidR="009A4C3F">
              <w:rPr>
                <w:webHidden/>
              </w:rPr>
              <w:fldChar w:fldCharType="begin"/>
            </w:r>
            <w:r w:rsidR="009A4C3F">
              <w:rPr>
                <w:webHidden/>
              </w:rPr>
              <w:instrText xml:space="preserve"> PAGEREF _Toc46133615 \h </w:instrText>
            </w:r>
            <w:r w:rsidR="009A4C3F">
              <w:rPr>
                <w:webHidden/>
              </w:rPr>
            </w:r>
            <w:r w:rsidR="009A4C3F">
              <w:rPr>
                <w:webHidden/>
              </w:rPr>
              <w:fldChar w:fldCharType="separate"/>
            </w:r>
            <w:r w:rsidR="00891058">
              <w:rPr>
                <w:webHidden/>
              </w:rPr>
              <w:t>289</w:t>
            </w:r>
            <w:r w:rsidR="009A4C3F">
              <w:rPr>
                <w:webHidden/>
              </w:rPr>
              <w:fldChar w:fldCharType="end"/>
            </w:r>
          </w:hyperlink>
        </w:p>
        <w:p w14:paraId="3F2A277A" w14:textId="47BDFD0E" w:rsidR="009A4C3F" w:rsidRDefault="007B222E">
          <w:pPr>
            <w:pStyle w:val="TOC2"/>
            <w:rPr>
              <w:rFonts w:asciiTheme="minorHAnsi" w:eastAsiaTheme="minorEastAsia" w:hAnsiTheme="minorHAnsi" w:cstheme="minorBidi"/>
              <w:color w:val="auto"/>
              <w:szCs w:val="22"/>
            </w:rPr>
          </w:pPr>
          <w:hyperlink w:anchor="_Toc46133616" w:history="1">
            <w:r w:rsidR="009A4C3F" w:rsidRPr="00A97C72">
              <w:rPr>
                <w:rStyle w:val="Hyperlink"/>
              </w:rPr>
              <w:t>Equity implications of the Age Pension assets test</w:t>
            </w:r>
            <w:r w:rsidR="009A4C3F">
              <w:rPr>
                <w:webHidden/>
              </w:rPr>
              <w:tab/>
            </w:r>
            <w:r w:rsidR="009A4C3F">
              <w:rPr>
                <w:webHidden/>
              </w:rPr>
              <w:fldChar w:fldCharType="begin"/>
            </w:r>
            <w:r w:rsidR="009A4C3F">
              <w:rPr>
                <w:webHidden/>
              </w:rPr>
              <w:instrText xml:space="preserve"> PAGEREF _Toc46133616 \h </w:instrText>
            </w:r>
            <w:r w:rsidR="009A4C3F">
              <w:rPr>
                <w:webHidden/>
              </w:rPr>
            </w:r>
            <w:r w:rsidR="009A4C3F">
              <w:rPr>
                <w:webHidden/>
              </w:rPr>
              <w:fldChar w:fldCharType="separate"/>
            </w:r>
            <w:r w:rsidR="00891058">
              <w:rPr>
                <w:webHidden/>
              </w:rPr>
              <w:t>290</w:t>
            </w:r>
            <w:r w:rsidR="009A4C3F">
              <w:rPr>
                <w:webHidden/>
              </w:rPr>
              <w:fldChar w:fldCharType="end"/>
            </w:r>
          </w:hyperlink>
        </w:p>
        <w:p w14:paraId="4F393F4C" w14:textId="024E06F9" w:rsidR="009A4C3F" w:rsidRDefault="007B222E">
          <w:pPr>
            <w:pStyle w:val="TOC2"/>
            <w:rPr>
              <w:rFonts w:asciiTheme="minorHAnsi" w:eastAsiaTheme="minorEastAsia" w:hAnsiTheme="minorHAnsi" w:cstheme="minorBidi"/>
              <w:color w:val="auto"/>
              <w:szCs w:val="22"/>
            </w:rPr>
          </w:pPr>
          <w:hyperlink w:anchor="_Toc46133617" w:history="1">
            <w:r w:rsidR="009A4C3F" w:rsidRPr="00A97C72">
              <w:rPr>
                <w:rStyle w:val="Hyperlink"/>
              </w:rPr>
              <w:t>Distribution of Age Pension expenditure</w:t>
            </w:r>
            <w:r w:rsidR="009A4C3F">
              <w:rPr>
                <w:webHidden/>
              </w:rPr>
              <w:tab/>
            </w:r>
            <w:r w:rsidR="009A4C3F">
              <w:rPr>
                <w:webHidden/>
              </w:rPr>
              <w:fldChar w:fldCharType="begin"/>
            </w:r>
            <w:r w:rsidR="009A4C3F">
              <w:rPr>
                <w:webHidden/>
              </w:rPr>
              <w:instrText xml:space="preserve"> PAGEREF _Toc46133617 \h </w:instrText>
            </w:r>
            <w:r w:rsidR="009A4C3F">
              <w:rPr>
                <w:webHidden/>
              </w:rPr>
            </w:r>
            <w:r w:rsidR="009A4C3F">
              <w:rPr>
                <w:webHidden/>
              </w:rPr>
              <w:fldChar w:fldCharType="separate"/>
            </w:r>
            <w:r w:rsidR="00891058">
              <w:rPr>
                <w:webHidden/>
              </w:rPr>
              <w:t>293</w:t>
            </w:r>
            <w:r w:rsidR="009A4C3F">
              <w:rPr>
                <w:webHidden/>
              </w:rPr>
              <w:fldChar w:fldCharType="end"/>
            </w:r>
          </w:hyperlink>
        </w:p>
        <w:p w14:paraId="623E32F4" w14:textId="4B6D5BC9" w:rsidR="009A4C3F" w:rsidRDefault="007B222E">
          <w:pPr>
            <w:pStyle w:val="TOC1"/>
            <w:tabs>
              <w:tab w:val="left" w:pos="1320"/>
            </w:tabs>
            <w:rPr>
              <w:rFonts w:asciiTheme="minorHAnsi" w:eastAsiaTheme="minorEastAsia" w:hAnsiTheme="minorHAnsi" w:cstheme="minorBidi"/>
              <w:b w:val="0"/>
              <w:color w:val="auto"/>
            </w:rPr>
          </w:pPr>
          <w:hyperlink w:anchor="_Toc46133618" w:history="1">
            <w:r w:rsidR="009A4C3F" w:rsidRPr="00A97C72">
              <w:rPr>
                <w:rStyle w:val="Hyperlink"/>
              </w:rPr>
              <w:t>Section 3D.</w:t>
            </w:r>
            <w:r w:rsidR="009A4C3F">
              <w:rPr>
                <w:rFonts w:asciiTheme="minorHAnsi" w:eastAsiaTheme="minorEastAsia" w:hAnsiTheme="minorHAnsi" w:cstheme="minorBidi"/>
                <w:b w:val="0"/>
                <w:color w:val="auto"/>
              </w:rPr>
              <w:tab/>
            </w:r>
            <w:r w:rsidR="009A4C3F" w:rsidRPr="00A97C72">
              <w:rPr>
                <w:rStyle w:val="Hyperlink"/>
              </w:rPr>
              <w:t>SG coverage</w:t>
            </w:r>
            <w:r w:rsidR="009A4C3F">
              <w:rPr>
                <w:webHidden/>
              </w:rPr>
              <w:tab/>
            </w:r>
            <w:r w:rsidR="009A4C3F">
              <w:rPr>
                <w:webHidden/>
              </w:rPr>
              <w:fldChar w:fldCharType="begin"/>
            </w:r>
            <w:r w:rsidR="009A4C3F">
              <w:rPr>
                <w:webHidden/>
              </w:rPr>
              <w:instrText xml:space="preserve"> PAGEREF _Toc46133618 \h </w:instrText>
            </w:r>
            <w:r w:rsidR="009A4C3F">
              <w:rPr>
                <w:webHidden/>
              </w:rPr>
            </w:r>
            <w:r w:rsidR="009A4C3F">
              <w:rPr>
                <w:webHidden/>
              </w:rPr>
              <w:fldChar w:fldCharType="separate"/>
            </w:r>
            <w:r w:rsidR="00891058">
              <w:rPr>
                <w:webHidden/>
              </w:rPr>
              <w:t>297</w:t>
            </w:r>
            <w:r w:rsidR="009A4C3F">
              <w:rPr>
                <w:webHidden/>
              </w:rPr>
              <w:fldChar w:fldCharType="end"/>
            </w:r>
          </w:hyperlink>
        </w:p>
        <w:p w14:paraId="0735AD82" w14:textId="3374464B" w:rsidR="009A4C3F" w:rsidRDefault="007B222E">
          <w:pPr>
            <w:pStyle w:val="TOC2"/>
            <w:rPr>
              <w:rFonts w:asciiTheme="minorHAnsi" w:eastAsiaTheme="minorEastAsia" w:hAnsiTheme="minorHAnsi" w:cstheme="minorBidi"/>
              <w:color w:val="auto"/>
              <w:szCs w:val="22"/>
            </w:rPr>
          </w:pPr>
          <w:hyperlink w:anchor="_Toc46133619"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_Toc46133619 \h </w:instrText>
            </w:r>
            <w:r w:rsidR="009A4C3F">
              <w:rPr>
                <w:webHidden/>
              </w:rPr>
            </w:r>
            <w:r w:rsidR="009A4C3F">
              <w:rPr>
                <w:webHidden/>
              </w:rPr>
              <w:fldChar w:fldCharType="separate"/>
            </w:r>
            <w:r w:rsidR="00891058">
              <w:rPr>
                <w:webHidden/>
              </w:rPr>
              <w:t>297</w:t>
            </w:r>
            <w:r w:rsidR="009A4C3F">
              <w:rPr>
                <w:webHidden/>
              </w:rPr>
              <w:fldChar w:fldCharType="end"/>
            </w:r>
          </w:hyperlink>
        </w:p>
        <w:p w14:paraId="314E1929" w14:textId="7A4B1BAB" w:rsidR="009A4C3F" w:rsidRDefault="007B222E">
          <w:pPr>
            <w:pStyle w:val="TOC2"/>
            <w:rPr>
              <w:rFonts w:asciiTheme="minorHAnsi" w:eastAsiaTheme="minorEastAsia" w:hAnsiTheme="minorHAnsi" w:cstheme="minorBidi"/>
              <w:color w:val="auto"/>
              <w:szCs w:val="22"/>
            </w:rPr>
          </w:pPr>
          <w:hyperlink w:anchor="_Toc46133620" w:history="1">
            <w:r w:rsidR="009A4C3F" w:rsidRPr="00A97C72">
              <w:rPr>
                <w:rStyle w:val="Hyperlink"/>
              </w:rPr>
              <w:t>Coverage of employees by the SG</w:t>
            </w:r>
            <w:r w:rsidR="009A4C3F">
              <w:rPr>
                <w:webHidden/>
              </w:rPr>
              <w:tab/>
            </w:r>
            <w:r w:rsidR="009A4C3F">
              <w:rPr>
                <w:webHidden/>
              </w:rPr>
              <w:fldChar w:fldCharType="begin"/>
            </w:r>
            <w:r w:rsidR="009A4C3F">
              <w:rPr>
                <w:webHidden/>
              </w:rPr>
              <w:instrText xml:space="preserve"> PAGEREF _Toc46133620 \h </w:instrText>
            </w:r>
            <w:r w:rsidR="009A4C3F">
              <w:rPr>
                <w:webHidden/>
              </w:rPr>
            </w:r>
            <w:r w:rsidR="009A4C3F">
              <w:rPr>
                <w:webHidden/>
              </w:rPr>
              <w:fldChar w:fldCharType="separate"/>
            </w:r>
            <w:r w:rsidR="00891058">
              <w:rPr>
                <w:webHidden/>
              </w:rPr>
              <w:t>298</w:t>
            </w:r>
            <w:r w:rsidR="009A4C3F">
              <w:rPr>
                <w:webHidden/>
              </w:rPr>
              <w:fldChar w:fldCharType="end"/>
            </w:r>
          </w:hyperlink>
        </w:p>
        <w:p w14:paraId="1C2817EF" w14:textId="4D2AFE8B" w:rsidR="009A4C3F" w:rsidRDefault="007B222E">
          <w:pPr>
            <w:pStyle w:val="TOC2"/>
            <w:rPr>
              <w:rFonts w:asciiTheme="minorHAnsi" w:eastAsiaTheme="minorEastAsia" w:hAnsiTheme="minorHAnsi" w:cstheme="minorBidi"/>
              <w:color w:val="auto"/>
              <w:szCs w:val="22"/>
            </w:rPr>
          </w:pPr>
          <w:hyperlink w:anchor="_Toc46133621" w:history="1">
            <w:r w:rsidR="009A4C3F" w:rsidRPr="00A97C72">
              <w:rPr>
                <w:rStyle w:val="Hyperlink"/>
              </w:rPr>
              <w:t>Unpaid SG (the ‘SG gap’)</w:t>
            </w:r>
            <w:r w:rsidR="009A4C3F">
              <w:rPr>
                <w:webHidden/>
              </w:rPr>
              <w:tab/>
            </w:r>
            <w:r w:rsidR="009A4C3F">
              <w:rPr>
                <w:webHidden/>
              </w:rPr>
              <w:fldChar w:fldCharType="begin"/>
            </w:r>
            <w:r w:rsidR="009A4C3F">
              <w:rPr>
                <w:webHidden/>
              </w:rPr>
              <w:instrText xml:space="preserve"> PAGEREF _Toc46133621 \h </w:instrText>
            </w:r>
            <w:r w:rsidR="009A4C3F">
              <w:rPr>
                <w:webHidden/>
              </w:rPr>
            </w:r>
            <w:r w:rsidR="009A4C3F">
              <w:rPr>
                <w:webHidden/>
              </w:rPr>
              <w:fldChar w:fldCharType="separate"/>
            </w:r>
            <w:r w:rsidR="00891058">
              <w:rPr>
                <w:webHidden/>
              </w:rPr>
              <w:t>303</w:t>
            </w:r>
            <w:r w:rsidR="009A4C3F">
              <w:rPr>
                <w:webHidden/>
              </w:rPr>
              <w:fldChar w:fldCharType="end"/>
            </w:r>
          </w:hyperlink>
        </w:p>
        <w:p w14:paraId="492ADDBA" w14:textId="4B0FC8D2" w:rsidR="009A4C3F" w:rsidRDefault="007B222E">
          <w:pPr>
            <w:pStyle w:val="TOC2"/>
            <w:rPr>
              <w:rFonts w:asciiTheme="minorHAnsi" w:eastAsiaTheme="minorEastAsia" w:hAnsiTheme="minorHAnsi" w:cstheme="minorBidi"/>
              <w:color w:val="auto"/>
              <w:szCs w:val="22"/>
            </w:rPr>
          </w:pPr>
          <w:hyperlink w:anchor="_Toc46133622" w:history="1">
            <w:r w:rsidR="009A4C3F" w:rsidRPr="00A97C72">
              <w:rPr>
                <w:rStyle w:val="Hyperlink"/>
              </w:rPr>
              <w:t>Retirement outcomes for self</w:t>
            </w:r>
            <w:r w:rsidR="009A4C3F" w:rsidRPr="00A97C72">
              <w:rPr>
                <w:rStyle w:val="Hyperlink"/>
              </w:rPr>
              <w:noBreakHyphen/>
              <w:t>employed people</w:t>
            </w:r>
            <w:r w:rsidR="009A4C3F">
              <w:rPr>
                <w:webHidden/>
              </w:rPr>
              <w:tab/>
            </w:r>
            <w:r w:rsidR="009A4C3F">
              <w:rPr>
                <w:webHidden/>
              </w:rPr>
              <w:fldChar w:fldCharType="begin"/>
            </w:r>
            <w:r w:rsidR="009A4C3F">
              <w:rPr>
                <w:webHidden/>
              </w:rPr>
              <w:instrText xml:space="preserve"> PAGEREF _Toc46133622 \h </w:instrText>
            </w:r>
            <w:r w:rsidR="009A4C3F">
              <w:rPr>
                <w:webHidden/>
              </w:rPr>
            </w:r>
            <w:r w:rsidR="009A4C3F">
              <w:rPr>
                <w:webHidden/>
              </w:rPr>
              <w:fldChar w:fldCharType="separate"/>
            </w:r>
            <w:r w:rsidR="00891058">
              <w:rPr>
                <w:webHidden/>
              </w:rPr>
              <w:t>305</w:t>
            </w:r>
            <w:r w:rsidR="009A4C3F">
              <w:rPr>
                <w:webHidden/>
              </w:rPr>
              <w:fldChar w:fldCharType="end"/>
            </w:r>
          </w:hyperlink>
        </w:p>
        <w:p w14:paraId="0C89015D" w14:textId="5D8BA857" w:rsidR="009A4C3F" w:rsidRDefault="007B222E">
          <w:pPr>
            <w:pStyle w:val="TOC1"/>
            <w:tabs>
              <w:tab w:val="left" w:pos="1320"/>
            </w:tabs>
            <w:rPr>
              <w:rFonts w:asciiTheme="minorHAnsi" w:eastAsiaTheme="minorEastAsia" w:hAnsiTheme="minorHAnsi" w:cstheme="minorBidi"/>
              <w:b w:val="0"/>
              <w:color w:val="auto"/>
            </w:rPr>
          </w:pPr>
          <w:hyperlink w:anchor="_Toc46133623" w:history="1">
            <w:r w:rsidR="009A4C3F" w:rsidRPr="00A97C72">
              <w:rPr>
                <w:rStyle w:val="Hyperlink"/>
              </w:rPr>
              <w:t>Section 3E.</w:t>
            </w:r>
            <w:r w:rsidR="009A4C3F">
              <w:rPr>
                <w:rFonts w:asciiTheme="minorHAnsi" w:eastAsiaTheme="minorEastAsia" w:hAnsiTheme="minorHAnsi" w:cstheme="minorBidi"/>
                <w:b w:val="0"/>
                <w:color w:val="auto"/>
              </w:rPr>
              <w:tab/>
            </w:r>
            <w:r w:rsidR="009A4C3F" w:rsidRPr="00A97C72">
              <w:rPr>
                <w:rStyle w:val="Hyperlink"/>
              </w:rPr>
              <w:t>Age of retirement</w:t>
            </w:r>
            <w:r w:rsidR="009A4C3F">
              <w:rPr>
                <w:webHidden/>
              </w:rPr>
              <w:tab/>
            </w:r>
            <w:r w:rsidR="009A4C3F">
              <w:rPr>
                <w:webHidden/>
              </w:rPr>
              <w:fldChar w:fldCharType="begin"/>
            </w:r>
            <w:r w:rsidR="009A4C3F">
              <w:rPr>
                <w:webHidden/>
              </w:rPr>
              <w:instrText xml:space="preserve"> PAGEREF _Toc46133623 \h </w:instrText>
            </w:r>
            <w:r w:rsidR="009A4C3F">
              <w:rPr>
                <w:webHidden/>
              </w:rPr>
            </w:r>
            <w:r w:rsidR="009A4C3F">
              <w:rPr>
                <w:webHidden/>
              </w:rPr>
              <w:fldChar w:fldCharType="separate"/>
            </w:r>
            <w:r w:rsidR="00891058">
              <w:rPr>
                <w:webHidden/>
              </w:rPr>
              <w:t>313</w:t>
            </w:r>
            <w:r w:rsidR="009A4C3F">
              <w:rPr>
                <w:webHidden/>
              </w:rPr>
              <w:fldChar w:fldCharType="end"/>
            </w:r>
          </w:hyperlink>
        </w:p>
        <w:p w14:paraId="7F0609A0" w14:textId="30762B22" w:rsidR="009A4C3F" w:rsidRDefault="007B222E">
          <w:pPr>
            <w:pStyle w:val="TOC2"/>
            <w:rPr>
              <w:rFonts w:asciiTheme="minorHAnsi" w:eastAsiaTheme="minorEastAsia" w:hAnsiTheme="minorHAnsi" w:cstheme="minorBidi"/>
              <w:color w:val="auto"/>
              <w:szCs w:val="22"/>
            </w:rPr>
          </w:pPr>
          <w:hyperlink w:anchor="_Toc46133624"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_Toc46133624 \h </w:instrText>
            </w:r>
            <w:r w:rsidR="009A4C3F">
              <w:rPr>
                <w:webHidden/>
              </w:rPr>
            </w:r>
            <w:r w:rsidR="009A4C3F">
              <w:rPr>
                <w:webHidden/>
              </w:rPr>
              <w:fldChar w:fldCharType="separate"/>
            </w:r>
            <w:r w:rsidR="00891058">
              <w:rPr>
                <w:webHidden/>
              </w:rPr>
              <w:t>313</w:t>
            </w:r>
            <w:r w:rsidR="009A4C3F">
              <w:rPr>
                <w:webHidden/>
              </w:rPr>
              <w:fldChar w:fldCharType="end"/>
            </w:r>
          </w:hyperlink>
        </w:p>
        <w:p w14:paraId="25AC2BD9" w14:textId="7551ACEA" w:rsidR="009A4C3F" w:rsidRDefault="007B222E">
          <w:pPr>
            <w:pStyle w:val="TOC2"/>
            <w:rPr>
              <w:rFonts w:asciiTheme="minorHAnsi" w:eastAsiaTheme="minorEastAsia" w:hAnsiTheme="minorHAnsi" w:cstheme="minorBidi"/>
              <w:color w:val="auto"/>
              <w:szCs w:val="22"/>
            </w:rPr>
          </w:pPr>
          <w:hyperlink w:anchor="_Toc46133625" w:history="1">
            <w:r w:rsidR="009A4C3F" w:rsidRPr="00A97C72">
              <w:rPr>
                <w:rStyle w:val="Hyperlink"/>
              </w:rPr>
              <w:t>Prevalence of voluntary and involuntary retirement</w:t>
            </w:r>
            <w:r w:rsidR="009A4C3F">
              <w:rPr>
                <w:webHidden/>
              </w:rPr>
              <w:tab/>
            </w:r>
            <w:r w:rsidR="009A4C3F">
              <w:rPr>
                <w:webHidden/>
              </w:rPr>
              <w:fldChar w:fldCharType="begin"/>
            </w:r>
            <w:r w:rsidR="009A4C3F">
              <w:rPr>
                <w:webHidden/>
              </w:rPr>
              <w:instrText xml:space="preserve"> PAGEREF _Toc46133625 \h </w:instrText>
            </w:r>
            <w:r w:rsidR="009A4C3F">
              <w:rPr>
                <w:webHidden/>
              </w:rPr>
            </w:r>
            <w:r w:rsidR="009A4C3F">
              <w:rPr>
                <w:webHidden/>
              </w:rPr>
              <w:fldChar w:fldCharType="separate"/>
            </w:r>
            <w:r w:rsidR="00891058">
              <w:rPr>
                <w:webHidden/>
              </w:rPr>
              <w:t>315</w:t>
            </w:r>
            <w:r w:rsidR="009A4C3F">
              <w:rPr>
                <w:webHidden/>
              </w:rPr>
              <w:fldChar w:fldCharType="end"/>
            </w:r>
          </w:hyperlink>
        </w:p>
        <w:p w14:paraId="591AECE3" w14:textId="5C667431" w:rsidR="009A4C3F" w:rsidRDefault="007B222E">
          <w:pPr>
            <w:pStyle w:val="TOC2"/>
            <w:rPr>
              <w:rFonts w:asciiTheme="minorHAnsi" w:eastAsiaTheme="minorEastAsia" w:hAnsiTheme="minorHAnsi" w:cstheme="minorBidi"/>
              <w:color w:val="auto"/>
              <w:szCs w:val="22"/>
            </w:rPr>
          </w:pPr>
          <w:hyperlink w:anchor="_Toc46133626" w:history="1">
            <w:r w:rsidR="009A4C3F" w:rsidRPr="00A97C72">
              <w:rPr>
                <w:rStyle w:val="Hyperlink"/>
              </w:rPr>
              <w:t>Retirement age and reason for retirement among cohorts</w:t>
            </w:r>
            <w:r w:rsidR="009A4C3F">
              <w:rPr>
                <w:webHidden/>
              </w:rPr>
              <w:tab/>
            </w:r>
            <w:r w:rsidR="009A4C3F">
              <w:rPr>
                <w:webHidden/>
              </w:rPr>
              <w:fldChar w:fldCharType="begin"/>
            </w:r>
            <w:r w:rsidR="009A4C3F">
              <w:rPr>
                <w:webHidden/>
              </w:rPr>
              <w:instrText xml:space="preserve"> PAGEREF _Toc46133626 \h </w:instrText>
            </w:r>
            <w:r w:rsidR="009A4C3F">
              <w:rPr>
                <w:webHidden/>
              </w:rPr>
            </w:r>
            <w:r w:rsidR="009A4C3F">
              <w:rPr>
                <w:webHidden/>
              </w:rPr>
              <w:fldChar w:fldCharType="separate"/>
            </w:r>
            <w:r w:rsidR="00891058">
              <w:rPr>
                <w:webHidden/>
              </w:rPr>
              <w:t>316</w:t>
            </w:r>
            <w:r w:rsidR="009A4C3F">
              <w:rPr>
                <w:webHidden/>
              </w:rPr>
              <w:fldChar w:fldCharType="end"/>
            </w:r>
          </w:hyperlink>
        </w:p>
        <w:p w14:paraId="78FE9E1F" w14:textId="2E7153C2" w:rsidR="009A4C3F" w:rsidRDefault="007B222E">
          <w:pPr>
            <w:pStyle w:val="TOC2"/>
            <w:rPr>
              <w:rFonts w:asciiTheme="minorHAnsi" w:eastAsiaTheme="minorEastAsia" w:hAnsiTheme="minorHAnsi" w:cstheme="minorBidi"/>
              <w:color w:val="auto"/>
              <w:szCs w:val="22"/>
            </w:rPr>
          </w:pPr>
          <w:hyperlink w:anchor="_Toc46133627" w:history="1">
            <w:r w:rsidR="009A4C3F" w:rsidRPr="00A97C72">
              <w:rPr>
                <w:rStyle w:val="Hyperlink"/>
              </w:rPr>
              <w:t>Unemployment, underemployment and discouraged job seekers</w:t>
            </w:r>
            <w:r w:rsidR="009A4C3F">
              <w:rPr>
                <w:webHidden/>
              </w:rPr>
              <w:tab/>
            </w:r>
            <w:r w:rsidR="009A4C3F">
              <w:rPr>
                <w:webHidden/>
              </w:rPr>
              <w:fldChar w:fldCharType="begin"/>
            </w:r>
            <w:r w:rsidR="009A4C3F">
              <w:rPr>
                <w:webHidden/>
              </w:rPr>
              <w:instrText xml:space="preserve"> PAGEREF _Toc46133627 \h </w:instrText>
            </w:r>
            <w:r w:rsidR="009A4C3F">
              <w:rPr>
                <w:webHidden/>
              </w:rPr>
            </w:r>
            <w:r w:rsidR="009A4C3F">
              <w:rPr>
                <w:webHidden/>
              </w:rPr>
              <w:fldChar w:fldCharType="separate"/>
            </w:r>
            <w:r w:rsidR="00891058">
              <w:rPr>
                <w:webHidden/>
              </w:rPr>
              <w:t>321</w:t>
            </w:r>
            <w:r w:rsidR="009A4C3F">
              <w:rPr>
                <w:webHidden/>
              </w:rPr>
              <w:fldChar w:fldCharType="end"/>
            </w:r>
          </w:hyperlink>
        </w:p>
        <w:p w14:paraId="5B050D69" w14:textId="3E77D4CD" w:rsidR="009A4C3F" w:rsidRDefault="007B222E">
          <w:pPr>
            <w:pStyle w:val="TOC2"/>
            <w:rPr>
              <w:rFonts w:asciiTheme="minorHAnsi" w:eastAsiaTheme="minorEastAsia" w:hAnsiTheme="minorHAnsi" w:cstheme="minorBidi"/>
              <w:color w:val="auto"/>
              <w:szCs w:val="22"/>
            </w:rPr>
          </w:pPr>
          <w:hyperlink w:anchor="_Toc46133628" w:history="1">
            <w:r w:rsidR="009A4C3F" w:rsidRPr="00A97C72">
              <w:rPr>
                <w:rStyle w:val="Hyperlink"/>
              </w:rPr>
              <w:t>Support available to people who retire early</w:t>
            </w:r>
            <w:r w:rsidR="009A4C3F">
              <w:rPr>
                <w:webHidden/>
              </w:rPr>
              <w:tab/>
            </w:r>
            <w:r w:rsidR="009A4C3F">
              <w:rPr>
                <w:webHidden/>
              </w:rPr>
              <w:fldChar w:fldCharType="begin"/>
            </w:r>
            <w:r w:rsidR="009A4C3F">
              <w:rPr>
                <w:webHidden/>
              </w:rPr>
              <w:instrText xml:space="preserve"> PAGEREF _Toc46133628 \h </w:instrText>
            </w:r>
            <w:r w:rsidR="009A4C3F">
              <w:rPr>
                <w:webHidden/>
              </w:rPr>
            </w:r>
            <w:r w:rsidR="009A4C3F">
              <w:rPr>
                <w:webHidden/>
              </w:rPr>
              <w:fldChar w:fldCharType="separate"/>
            </w:r>
            <w:r w:rsidR="00891058">
              <w:rPr>
                <w:webHidden/>
              </w:rPr>
              <w:t>322</w:t>
            </w:r>
            <w:r w:rsidR="009A4C3F">
              <w:rPr>
                <w:webHidden/>
              </w:rPr>
              <w:fldChar w:fldCharType="end"/>
            </w:r>
          </w:hyperlink>
        </w:p>
        <w:p w14:paraId="6BE0629D" w14:textId="1E5B0D75" w:rsidR="009A4C3F" w:rsidRDefault="007B222E">
          <w:pPr>
            <w:pStyle w:val="TOC2"/>
            <w:rPr>
              <w:rFonts w:asciiTheme="minorHAnsi" w:eastAsiaTheme="minorEastAsia" w:hAnsiTheme="minorHAnsi" w:cstheme="minorBidi"/>
              <w:color w:val="auto"/>
              <w:szCs w:val="22"/>
            </w:rPr>
          </w:pPr>
          <w:hyperlink w:anchor="_Toc46133629" w:history="1">
            <w:r w:rsidR="009A4C3F" w:rsidRPr="00A97C72">
              <w:rPr>
                <w:rStyle w:val="Hyperlink"/>
              </w:rPr>
              <w:t>The effect of early and/or involuntary retirement on retirement incomes</w:t>
            </w:r>
            <w:r w:rsidR="009A4C3F">
              <w:rPr>
                <w:webHidden/>
              </w:rPr>
              <w:tab/>
            </w:r>
            <w:r w:rsidR="009A4C3F">
              <w:rPr>
                <w:webHidden/>
              </w:rPr>
              <w:fldChar w:fldCharType="begin"/>
            </w:r>
            <w:r w:rsidR="009A4C3F">
              <w:rPr>
                <w:webHidden/>
              </w:rPr>
              <w:instrText xml:space="preserve"> PAGEREF _Toc46133629 \h </w:instrText>
            </w:r>
            <w:r w:rsidR="009A4C3F">
              <w:rPr>
                <w:webHidden/>
              </w:rPr>
            </w:r>
            <w:r w:rsidR="009A4C3F">
              <w:rPr>
                <w:webHidden/>
              </w:rPr>
              <w:fldChar w:fldCharType="separate"/>
            </w:r>
            <w:r w:rsidR="00891058">
              <w:rPr>
                <w:webHidden/>
              </w:rPr>
              <w:t>329</w:t>
            </w:r>
            <w:r w:rsidR="009A4C3F">
              <w:rPr>
                <w:webHidden/>
              </w:rPr>
              <w:fldChar w:fldCharType="end"/>
            </w:r>
          </w:hyperlink>
        </w:p>
        <w:p w14:paraId="1A340957" w14:textId="33FA67DD" w:rsidR="009A4C3F" w:rsidRDefault="007B222E">
          <w:pPr>
            <w:pStyle w:val="TOC2"/>
            <w:rPr>
              <w:rFonts w:asciiTheme="minorHAnsi" w:eastAsiaTheme="minorEastAsia" w:hAnsiTheme="minorHAnsi" w:cstheme="minorBidi"/>
              <w:color w:val="auto"/>
              <w:szCs w:val="22"/>
            </w:rPr>
          </w:pPr>
          <w:hyperlink w:anchor="_Toc46133630" w:history="1">
            <w:r w:rsidR="009A4C3F" w:rsidRPr="00A97C72">
              <w:rPr>
                <w:rStyle w:val="Hyperlink"/>
              </w:rPr>
              <w:t>The effect of late retirement on retirement outcomes</w:t>
            </w:r>
            <w:r w:rsidR="009A4C3F">
              <w:rPr>
                <w:webHidden/>
              </w:rPr>
              <w:tab/>
            </w:r>
            <w:r w:rsidR="009A4C3F">
              <w:rPr>
                <w:webHidden/>
              </w:rPr>
              <w:fldChar w:fldCharType="begin"/>
            </w:r>
            <w:r w:rsidR="009A4C3F">
              <w:rPr>
                <w:webHidden/>
              </w:rPr>
              <w:instrText xml:space="preserve"> PAGEREF _Toc46133630 \h </w:instrText>
            </w:r>
            <w:r w:rsidR="009A4C3F">
              <w:rPr>
                <w:webHidden/>
              </w:rPr>
            </w:r>
            <w:r w:rsidR="009A4C3F">
              <w:rPr>
                <w:webHidden/>
              </w:rPr>
              <w:fldChar w:fldCharType="separate"/>
            </w:r>
            <w:r w:rsidR="00891058">
              <w:rPr>
                <w:webHidden/>
              </w:rPr>
              <w:t>333</w:t>
            </w:r>
            <w:r w:rsidR="009A4C3F">
              <w:rPr>
                <w:webHidden/>
              </w:rPr>
              <w:fldChar w:fldCharType="end"/>
            </w:r>
          </w:hyperlink>
        </w:p>
        <w:p w14:paraId="5956FC16" w14:textId="5368BDBD" w:rsidR="009A4C3F" w:rsidRDefault="007B222E">
          <w:pPr>
            <w:pStyle w:val="TOC1"/>
            <w:tabs>
              <w:tab w:val="left" w:pos="1320"/>
            </w:tabs>
            <w:rPr>
              <w:rFonts w:asciiTheme="minorHAnsi" w:eastAsiaTheme="minorEastAsia" w:hAnsiTheme="minorHAnsi" w:cstheme="minorBidi"/>
              <w:b w:val="0"/>
              <w:color w:val="auto"/>
            </w:rPr>
          </w:pPr>
          <w:hyperlink w:anchor="_Toc46133631" w:history="1">
            <w:r w:rsidR="009A4C3F" w:rsidRPr="00A97C72">
              <w:rPr>
                <w:rStyle w:val="Hyperlink"/>
              </w:rPr>
              <w:t>Section 3F.</w:t>
            </w:r>
            <w:r w:rsidR="009A4C3F">
              <w:rPr>
                <w:rFonts w:asciiTheme="minorHAnsi" w:eastAsiaTheme="minorEastAsia" w:hAnsiTheme="minorHAnsi" w:cstheme="minorBidi"/>
                <w:b w:val="0"/>
                <w:color w:val="auto"/>
              </w:rPr>
              <w:tab/>
            </w:r>
            <w:r w:rsidR="009A4C3F" w:rsidRPr="00A97C72">
              <w:rPr>
                <w:rStyle w:val="Hyperlink"/>
              </w:rPr>
              <w:t>Aboriginal and Torres Strait Islander people</w:t>
            </w:r>
            <w:r w:rsidR="009A4C3F">
              <w:rPr>
                <w:webHidden/>
              </w:rPr>
              <w:tab/>
            </w:r>
            <w:r w:rsidR="009A4C3F">
              <w:rPr>
                <w:webHidden/>
              </w:rPr>
              <w:fldChar w:fldCharType="begin"/>
            </w:r>
            <w:r w:rsidR="009A4C3F">
              <w:rPr>
                <w:webHidden/>
              </w:rPr>
              <w:instrText xml:space="preserve"> PAGEREF _Toc46133631 \h </w:instrText>
            </w:r>
            <w:r w:rsidR="009A4C3F">
              <w:rPr>
                <w:webHidden/>
              </w:rPr>
            </w:r>
            <w:r w:rsidR="009A4C3F">
              <w:rPr>
                <w:webHidden/>
              </w:rPr>
              <w:fldChar w:fldCharType="separate"/>
            </w:r>
            <w:r w:rsidR="00891058">
              <w:rPr>
                <w:webHidden/>
              </w:rPr>
              <w:t>337</w:t>
            </w:r>
            <w:r w:rsidR="009A4C3F">
              <w:rPr>
                <w:webHidden/>
              </w:rPr>
              <w:fldChar w:fldCharType="end"/>
            </w:r>
          </w:hyperlink>
        </w:p>
        <w:p w14:paraId="7911BBA5" w14:textId="68684C6C" w:rsidR="009A4C3F" w:rsidRDefault="007B222E">
          <w:pPr>
            <w:pStyle w:val="TOC2"/>
            <w:rPr>
              <w:rFonts w:asciiTheme="minorHAnsi" w:eastAsiaTheme="minorEastAsia" w:hAnsiTheme="minorHAnsi" w:cstheme="minorBidi"/>
              <w:color w:val="auto"/>
              <w:szCs w:val="22"/>
            </w:rPr>
          </w:pPr>
          <w:hyperlink w:anchor="_Toc46133632"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_Toc46133632 \h </w:instrText>
            </w:r>
            <w:r w:rsidR="009A4C3F">
              <w:rPr>
                <w:webHidden/>
              </w:rPr>
            </w:r>
            <w:r w:rsidR="009A4C3F">
              <w:rPr>
                <w:webHidden/>
              </w:rPr>
              <w:fldChar w:fldCharType="separate"/>
            </w:r>
            <w:r w:rsidR="00891058">
              <w:rPr>
                <w:webHidden/>
              </w:rPr>
              <w:t>337</w:t>
            </w:r>
            <w:r w:rsidR="009A4C3F">
              <w:rPr>
                <w:webHidden/>
              </w:rPr>
              <w:fldChar w:fldCharType="end"/>
            </w:r>
          </w:hyperlink>
        </w:p>
        <w:p w14:paraId="3858991C" w14:textId="73E00554" w:rsidR="009A4C3F" w:rsidRDefault="007B222E">
          <w:pPr>
            <w:pStyle w:val="TOC2"/>
            <w:rPr>
              <w:rFonts w:asciiTheme="minorHAnsi" w:eastAsiaTheme="minorEastAsia" w:hAnsiTheme="minorHAnsi" w:cstheme="minorBidi"/>
              <w:color w:val="auto"/>
              <w:szCs w:val="22"/>
            </w:rPr>
          </w:pPr>
          <w:hyperlink w:anchor="_Toc46133633" w:history="1">
            <w:r w:rsidR="009A4C3F" w:rsidRPr="00A97C72">
              <w:rPr>
                <w:rStyle w:val="Hyperlink"/>
              </w:rPr>
              <w:t>Differences in life expectancies</w:t>
            </w:r>
            <w:r w:rsidR="009A4C3F">
              <w:rPr>
                <w:webHidden/>
              </w:rPr>
              <w:tab/>
            </w:r>
            <w:r w:rsidR="009A4C3F">
              <w:rPr>
                <w:webHidden/>
              </w:rPr>
              <w:fldChar w:fldCharType="begin"/>
            </w:r>
            <w:r w:rsidR="009A4C3F">
              <w:rPr>
                <w:webHidden/>
              </w:rPr>
              <w:instrText xml:space="preserve"> PAGEREF _Toc46133633 \h </w:instrText>
            </w:r>
            <w:r w:rsidR="009A4C3F">
              <w:rPr>
                <w:webHidden/>
              </w:rPr>
            </w:r>
            <w:r w:rsidR="009A4C3F">
              <w:rPr>
                <w:webHidden/>
              </w:rPr>
              <w:fldChar w:fldCharType="separate"/>
            </w:r>
            <w:r w:rsidR="00891058">
              <w:rPr>
                <w:webHidden/>
              </w:rPr>
              <w:t>338</w:t>
            </w:r>
            <w:r w:rsidR="009A4C3F">
              <w:rPr>
                <w:webHidden/>
              </w:rPr>
              <w:fldChar w:fldCharType="end"/>
            </w:r>
          </w:hyperlink>
        </w:p>
        <w:p w14:paraId="39F69DDD" w14:textId="567E2FEC" w:rsidR="009A4C3F" w:rsidRDefault="007B222E">
          <w:pPr>
            <w:pStyle w:val="TOC2"/>
            <w:rPr>
              <w:rFonts w:asciiTheme="minorHAnsi" w:eastAsiaTheme="minorEastAsia" w:hAnsiTheme="minorHAnsi" w:cstheme="minorBidi"/>
              <w:color w:val="auto"/>
              <w:szCs w:val="22"/>
            </w:rPr>
          </w:pPr>
          <w:hyperlink w:anchor="_Toc46133634" w:history="1">
            <w:r w:rsidR="009A4C3F" w:rsidRPr="00A97C72">
              <w:rPr>
                <w:rStyle w:val="Hyperlink"/>
              </w:rPr>
              <w:t>Translation of working</w:t>
            </w:r>
            <w:r w:rsidR="009A4C3F" w:rsidRPr="00A97C72">
              <w:rPr>
                <w:rStyle w:val="Hyperlink"/>
              </w:rPr>
              <w:noBreakHyphen/>
              <w:t>life economic disadvantage into retirement</w:t>
            </w:r>
            <w:r w:rsidR="009A4C3F">
              <w:rPr>
                <w:webHidden/>
              </w:rPr>
              <w:tab/>
            </w:r>
            <w:r w:rsidR="009A4C3F">
              <w:rPr>
                <w:webHidden/>
              </w:rPr>
              <w:fldChar w:fldCharType="begin"/>
            </w:r>
            <w:r w:rsidR="009A4C3F">
              <w:rPr>
                <w:webHidden/>
              </w:rPr>
              <w:instrText xml:space="preserve"> PAGEREF _Toc46133634 \h </w:instrText>
            </w:r>
            <w:r w:rsidR="009A4C3F">
              <w:rPr>
                <w:webHidden/>
              </w:rPr>
            </w:r>
            <w:r w:rsidR="009A4C3F">
              <w:rPr>
                <w:webHidden/>
              </w:rPr>
              <w:fldChar w:fldCharType="separate"/>
            </w:r>
            <w:r w:rsidR="00891058">
              <w:rPr>
                <w:webHidden/>
              </w:rPr>
              <w:t>340</w:t>
            </w:r>
            <w:r w:rsidR="009A4C3F">
              <w:rPr>
                <w:webHidden/>
              </w:rPr>
              <w:fldChar w:fldCharType="end"/>
            </w:r>
          </w:hyperlink>
        </w:p>
        <w:p w14:paraId="45130732" w14:textId="46BEF943" w:rsidR="009A4C3F" w:rsidRDefault="007B222E">
          <w:pPr>
            <w:pStyle w:val="TOC2"/>
            <w:rPr>
              <w:rFonts w:asciiTheme="minorHAnsi" w:eastAsiaTheme="minorEastAsia" w:hAnsiTheme="minorHAnsi" w:cstheme="minorBidi"/>
              <w:color w:val="auto"/>
              <w:szCs w:val="22"/>
            </w:rPr>
          </w:pPr>
          <w:hyperlink w:anchor="_Toc46133635" w:history="1">
            <w:r w:rsidR="009A4C3F" w:rsidRPr="00A97C72">
              <w:rPr>
                <w:rStyle w:val="Hyperlink"/>
              </w:rPr>
              <w:t>Private savings, including home ownership</w:t>
            </w:r>
            <w:r w:rsidR="009A4C3F">
              <w:rPr>
                <w:webHidden/>
              </w:rPr>
              <w:tab/>
            </w:r>
            <w:r w:rsidR="009A4C3F">
              <w:rPr>
                <w:webHidden/>
              </w:rPr>
              <w:fldChar w:fldCharType="begin"/>
            </w:r>
            <w:r w:rsidR="009A4C3F">
              <w:rPr>
                <w:webHidden/>
              </w:rPr>
              <w:instrText xml:space="preserve"> PAGEREF _Toc46133635 \h </w:instrText>
            </w:r>
            <w:r w:rsidR="009A4C3F">
              <w:rPr>
                <w:webHidden/>
              </w:rPr>
            </w:r>
            <w:r w:rsidR="009A4C3F">
              <w:rPr>
                <w:webHidden/>
              </w:rPr>
              <w:fldChar w:fldCharType="separate"/>
            </w:r>
            <w:r w:rsidR="00891058">
              <w:rPr>
                <w:webHidden/>
              </w:rPr>
              <w:t>346</w:t>
            </w:r>
            <w:r w:rsidR="009A4C3F">
              <w:rPr>
                <w:webHidden/>
              </w:rPr>
              <w:fldChar w:fldCharType="end"/>
            </w:r>
          </w:hyperlink>
        </w:p>
        <w:p w14:paraId="0607CFD3" w14:textId="2BCBEB50" w:rsidR="009A4C3F" w:rsidRDefault="007B222E">
          <w:pPr>
            <w:pStyle w:val="TOC2"/>
            <w:rPr>
              <w:rFonts w:asciiTheme="minorHAnsi" w:eastAsiaTheme="minorEastAsia" w:hAnsiTheme="minorHAnsi" w:cstheme="minorBidi"/>
              <w:color w:val="auto"/>
              <w:szCs w:val="22"/>
            </w:rPr>
          </w:pPr>
          <w:hyperlink w:anchor="_Toc46133636" w:history="1">
            <w:r w:rsidR="009A4C3F" w:rsidRPr="00A97C72">
              <w:rPr>
                <w:rStyle w:val="Hyperlink"/>
              </w:rPr>
              <w:t>Issues accessing the retirement income system</w:t>
            </w:r>
            <w:r w:rsidR="009A4C3F">
              <w:rPr>
                <w:webHidden/>
              </w:rPr>
              <w:tab/>
            </w:r>
            <w:r w:rsidR="009A4C3F">
              <w:rPr>
                <w:webHidden/>
              </w:rPr>
              <w:fldChar w:fldCharType="begin"/>
            </w:r>
            <w:r w:rsidR="009A4C3F">
              <w:rPr>
                <w:webHidden/>
              </w:rPr>
              <w:instrText xml:space="preserve"> PAGEREF _Toc46133636 \h </w:instrText>
            </w:r>
            <w:r w:rsidR="009A4C3F">
              <w:rPr>
                <w:webHidden/>
              </w:rPr>
            </w:r>
            <w:r w:rsidR="009A4C3F">
              <w:rPr>
                <w:webHidden/>
              </w:rPr>
              <w:fldChar w:fldCharType="separate"/>
            </w:r>
            <w:r w:rsidR="00891058">
              <w:rPr>
                <w:webHidden/>
              </w:rPr>
              <w:t>348</w:t>
            </w:r>
            <w:r w:rsidR="009A4C3F">
              <w:rPr>
                <w:webHidden/>
              </w:rPr>
              <w:fldChar w:fldCharType="end"/>
            </w:r>
          </w:hyperlink>
        </w:p>
        <w:p w14:paraId="74BC9024" w14:textId="63D39BC8" w:rsidR="009A4C3F" w:rsidRDefault="007B222E">
          <w:pPr>
            <w:pStyle w:val="TOC1"/>
            <w:tabs>
              <w:tab w:val="left" w:pos="1320"/>
            </w:tabs>
            <w:rPr>
              <w:rFonts w:asciiTheme="minorHAnsi" w:eastAsiaTheme="minorEastAsia" w:hAnsiTheme="minorHAnsi" w:cstheme="minorBidi"/>
              <w:b w:val="0"/>
              <w:color w:val="auto"/>
            </w:rPr>
          </w:pPr>
          <w:hyperlink w:anchor="_Toc46133637" w:history="1">
            <w:r w:rsidR="009A4C3F" w:rsidRPr="00A97C72">
              <w:rPr>
                <w:rStyle w:val="Hyperlink"/>
              </w:rPr>
              <w:t>Section 3G.</w:t>
            </w:r>
            <w:r w:rsidR="009A4C3F">
              <w:rPr>
                <w:rFonts w:asciiTheme="minorHAnsi" w:eastAsiaTheme="minorEastAsia" w:hAnsiTheme="minorHAnsi" w:cstheme="minorBidi"/>
                <w:b w:val="0"/>
                <w:color w:val="auto"/>
              </w:rPr>
              <w:tab/>
            </w:r>
            <w:r w:rsidR="009A4C3F" w:rsidRPr="00A97C72">
              <w:rPr>
                <w:rStyle w:val="Hyperlink"/>
              </w:rPr>
              <w:t>People with disability</w:t>
            </w:r>
            <w:r w:rsidR="009A4C3F">
              <w:rPr>
                <w:webHidden/>
              </w:rPr>
              <w:tab/>
            </w:r>
            <w:r w:rsidR="009A4C3F">
              <w:rPr>
                <w:webHidden/>
              </w:rPr>
              <w:fldChar w:fldCharType="begin"/>
            </w:r>
            <w:r w:rsidR="009A4C3F">
              <w:rPr>
                <w:webHidden/>
              </w:rPr>
              <w:instrText xml:space="preserve"> PAGEREF _Toc46133637 \h </w:instrText>
            </w:r>
            <w:r w:rsidR="009A4C3F">
              <w:rPr>
                <w:webHidden/>
              </w:rPr>
            </w:r>
            <w:r w:rsidR="009A4C3F">
              <w:rPr>
                <w:webHidden/>
              </w:rPr>
              <w:fldChar w:fldCharType="separate"/>
            </w:r>
            <w:r w:rsidR="00891058">
              <w:rPr>
                <w:webHidden/>
              </w:rPr>
              <w:t>353</w:t>
            </w:r>
            <w:r w:rsidR="009A4C3F">
              <w:rPr>
                <w:webHidden/>
              </w:rPr>
              <w:fldChar w:fldCharType="end"/>
            </w:r>
          </w:hyperlink>
        </w:p>
        <w:p w14:paraId="00F2A1A7" w14:textId="196A1D64" w:rsidR="009A4C3F" w:rsidRDefault="007B222E">
          <w:pPr>
            <w:pStyle w:val="TOC2"/>
            <w:rPr>
              <w:rFonts w:asciiTheme="minorHAnsi" w:eastAsiaTheme="minorEastAsia" w:hAnsiTheme="minorHAnsi" w:cstheme="minorBidi"/>
              <w:color w:val="auto"/>
              <w:szCs w:val="22"/>
            </w:rPr>
          </w:pPr>
          <w:hyperlink w:anchor="_Toc46133638"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_Toc46133638 \h </w:instrText>
            </w:r>
            <w:r w:rsidR="009A4C3F">
              <w:rPr>
                <w:webHidden/>
              </w:rPr>
            </w:r>
            <w:r w:rsidR="009A4C3F">
              <w:rPr>
                <w:webHidden/>
              </w:rPr>
              <w:fldChar w:fldCharType="separate"/>
            </w:r>
            <w:r w:rsidR="00891058">
              <w:rPr>
                <w:webHidden/>
              </w:rPr>
              <w:t>353</w:t>
            </w:r>
            <w:r w:rsidR="009A4C3F">
              <w:rPr>
                <w:webHidden/>
              </w:rPr>
              <w:fldChar w:fldCharType="end"/>
            </w:r>
          </w:hyperlink>
        </w:p>
        <w:p w14:paraId="77303EC9" w14:textId="009D351D" w:rsidR="009A4C3F" w:rsidRDefault="007B222E">
          <w:pPr>
            <w:pStyle w:val="TOC2"/>
            <w:rPr>
              <w:rFonts w:asciiTheme="minorHAnsi" w:eastAsiaTheme="minorEastAsia" w:hAnsiTheme="minorHAnsi" w:cstheme="minorBidi"/>
              <w:color w:val="auto"/>
              <w:szCs w:val="22"/>
            </w:rPr>
          </w:pPr>
          <w:hyperlink w:anchor="_Toc46133639" w:history="1">
            <w:r w:rsidR="009A4C3F" w:rsidRPr="00A97C72">
              <w:rPr>
                <w:rStyle w:val="Hyperlink"/>
              </w:rPr>
              <w:t>Prevalence of disabilities</w:t>
            </w:r>
            <w:r w:rsidR="009A4C3F">
              <w:rPr>
                <w:webHidden/>
              </w:rPr>
              <w:tab/>
            </w:r>
            <w:r w:rsidR="009A4C3F">
              <w:rPr>
                <w:webHidden/>
              </w:rPr>
              <w:fldChar w:fldCharType="begin"/>
            </w:r>
            <w:r w:rsidR="009A4C3F">
              <w:rPr>
                <w:webHidden/>
              </w:rPr>
              <w:instrText xml:space="preserve"> PAGEREF _Toc46133639 \h </w:instrText>
            </w:r>
            <w:r w:rsidR="009A4C3F">
              <w:rPr>
                <w:webHidden/>
              </w:rPr>
            </w:r>
            <w:r w:rsidR="009A4C3F">
              <w:rPr>
                <w:webHidden/>
              </w:rPr>
              <w:fldChar w:fldCharType="separate"/>
            </w:r>
            <w:r w:rsidR="00891058">
              <w:rPr>
                <w:webHidden/>
              </w:rPr>
              <w:t>354</w:t>
            </w:r>
            <w:r w:rsidR="009A4C3F">
              <w:rPr>
                <w:webHidden/>
              </w:rPr>
              <w:fldChar w:fldCharType="end"/>
            </w:r>
          </w:hyperlink>
        </w:p>
        <w:p w14:paraId="10E58AED" w14:textId="0DDE460B" w:rsidR="009A4C3F" w:rsidRDefault="007B222E">
          <w:pPr>
            <w:pStyle w:val="TOC2"/>
            <w:rPr>
              <w:rFonts w:asciiTheme="minorHAnsi" w:eastAsiaTheme="minorEastAsia" w:hAnsiTheme="minorHAnsi" w:cstheme="minorBidi"/>
              <w:color w:val="auto"/>
              <w:szCs w:val="22"/>
            </w:rPr>
          </w:pPr>
          <w:hyperlink w:anchor="_Toc46133640" w:history="1">
            <w:r w:rsidR="009A4C3F" w:rsidRPr="00A97C72">
              <w:rPr>
                <w:rStyle w:val="Hyperlink"/>
              </w:rPr>
              <w:t>Translation of working</w:t>
            </w:r>
            <w:r w:rsidR="009A4C3F" w:rsidRPr="00A97C72">
              <w:rPr>
                <w:rStyle w:val="Hyperlink"/>
              </w:rPr>
              <w:noBreakHyphen/>
              <w:t>life disadvantages into retirement</w:t>
            </w:r>
            <w:r w:rsidR="009A4C3F">
              <w:rPr>
                <w:webHidden/>
              </w:rPr>
              <w:tab/>
            </w:r>
            <w:r w:rsidR="009A4C3F">
              <w:rPr>
                <w:webHidden/>
              </w:rPr>
              <w:fldChar w:fldCharType="begin"/>
            </w:r>
            <w:r w:rsidR="009A4C3F">
              <w:rPr>
                <w:webHidden/>
              </w:rPr>
              <w:instrText xml:space="preserve"> PAGEREF _Toc46133640 \h </w:instrText>
            </w:r>
            <w:r w:rsidR="009A4C3F">
              <w:rPr>
                <w:webHidden/>
              </w:rPr>
            </w:r>
            <w:r w:rsidR="009A4C3F">
              <w:rPr>
                <w:webHidden/>
              </w:rPr>
              <w:fldChar w:fldCharType="separate"/>
            </w:r>
            <w:r w:rsidR="00891058">
              <w:rPr>
                <w:webHidden/>
              </w:rPr>
              <w:t>354</w:t>
            </w:r>
            <w:r w:rsidR="009A4C3F">
              <w:rPr>
                <w:webHidden/>
              </w:rPr>
              <w:fldChar w:fldCharType="end"/>
            </w:r>
          </w:hyperlink>
        </w:p>
        <w:p w14:paraId="510F664F" w14:textId="48AE43D4" w:rsidR="009A4C3F" w:rsidRDefault="007B222E">
          <w:pPr>
            <w:pStyle w:val="TOC2"/>
            <w:rPr>
              <w:rFonts w:asciiTheme="minorHAnsi" w:eastAsiaTheme="minorEastAsia" w:hAnsiTheme="minorHAnsi" w:cstheme="minorBidi"/>
              <w:color w:val="auto"/>
              <w:szCs w:val="22"/>
            </w:rPr>
          </w:pPr>
          <w:hyperlink w:anchor="_Toc46133641" w:history="1">
            <w:r w:rsidR="009A4C3F" w:rsidRPr="00A97C72">
              <w:rPr>
                <w:rStyle w:val="Hyperlink"/>
              </w:rPr>
              <w:t>Poverty and financial stress</w:t>
            </w:r>
            <w:r w:rsidR="009A4C3F">
              <w:rPr>
                <w:webHidden/>
              </w:rPr>
              <w:tab/>
            </w:r>
            <w:r w:rsidR="009A4C3F">
              <w:rPr>
                <w:webHidden/>
              </w:rPr>
              <w:fldChar w:fldCharType="begin"/>
            </w:r>
            <w:r w:rsidR="009A4C3F">
              <w:rPr>
                <w:webHidden/>
              </w:rPr>
              <w:instrText xml:space="preserve"> PAGEREF _Toc46133641 \h </w:instrText>
            </w:r>
            <w:r w:rsidR="009A4C3F">
              <w:rPr>
                <w:webHidden/>
              </w:rPr>
            </w:r>
            <w:r w:rsidR="009A4C3F">
              <w:rPr>
                <w:webHidden/>
              </w:rPr>
              <w:fldChar w:fldCharType="separate"/>
            </w:r>
            <w:r w:rsidR="00891058">
              <w:rPr>
                <w:webHidden/>
              </w:rPr>
              <w:t>358</w:t>
            </w:r>
            <w:r w:rsidR="009A4C3F">
              <w:rPr>
                <w:webHidden/>
              </w:rPr>
              <w:fldChar w:fldCharType="end"/>
            </w:r>
          </w:hyperlink>
        </w:p>
        <w:p w14:paraId="56D4D816" w14:textId="521BD1EE" w:rsidR="009A4C3F" w:rsidRDefault="007B222E">
          <w:pPr>
            <w:pStyle w:val="TOC2"/>
            <w:rPr>
              <w:rFonts w:asciiTheme="minorHAnsi" w:eastAsiaTheme="minorEastAsia" w:hAnsiTheme="minorHAnsi" w:cstheme="minorBidi"/>
              <w:color w:val="auto"/>
              <w:szCs w:val="22"/>
            </w:rPr>
          </w:pPr>
          <w:hyperlink w:anchor="_Toc46133642" w:history="1">
            <w:r w:rsidR="009A4C3F" w:rsidRPr="00A97C72">
              <w:rPr>
                <w:rStyle w:val="Hyperlink"/>
              </w:rPr>
              <w:t>Disability</w:t>
            </w:r>
            <w:r w:rsidR="009A4C3F" w:rsidRPr="00A97C72">
              <w:rPr>
                <w:rStyle w:val="Hyperlink"/>
              </w:rPr>
              <w:noBreakHyphen/>
              <w:t>specific retirement income system settings</w:t>
            </w:r>
            <w:r w:rsidR="009A4C3F">
              <w:rPr>
                <w:webHidden/>
              </w:rPr>
              <w:tab/>
            </w:r>
            <w:r w:rsidR="009A4C3F">
              <w:rPr>
                <w:webHidden/>
              </w:rPr>
              <w:fldChar w:fldCharType="begin"/>
            </w:r>
            <w:r w:rsidR="009A4C3F">
              <w:rPr>
                <w:webHidden/>
              </w:rPr>
              <w:instrText xml:space="preserve"> PAGEREF _Toc46133642 \h </w:instrText>
            </w:r>
            <w:r w:rsidR="009A4C3F">
              <w:rPr>
                <w:webHidden/>
              </w:rPr>
            </w:r>
            <w:r w:rsidR="009A4C3F">
              <w:rPr>
                <w:webHidden/>
              </w:rPr>
              <w:fldChar w:fldCharType="separate"/>
            </w:r>
            <w:r w:rsidR="00891058">
              <w:rPr>
                <w:webHidden/>
              </w:rPr>
              <w:t>361</w:t>
            </w:r>
            <w:r w:rsidR="009A4C3F">
              <w:rPr>
                <w:webHidden/>
              </w:rPr>
              <w:fldChar w:fldCharType="end"/>
            </w:r>
          </w:hyperlink>
        </w:p>
        <w:p w14:paraId="3E72B9B4" w14:textId="22AA83A9" w:rsidR="009A4C3F" w:rsidRDefault="007B222E">
          <w:pPr>
            <w:pStyle w:val="TOC1"/>
            <w:tabs>
              <w:tab w:val="left" w:pos="1320"/>
            </w:tabs>
            <w:rPr>
              <w:rFonts w:asciiTheme="minorHAnsi" w:eastAsiaTheme="minorEastAsia" w:hAnsiTheme="minorHAnsi" w:cstheme="minorBidi"/>
              <w:b w:val="0"/>
              <w:color w:val="auto"/>
            </w:rPr>
          </w:pPr>
          <w:hyperlink w:anchor="_Toc46133643" w:history="1">
            <w:r w:rsidR="009A4C3F" w:rsidRPr="00A97C72">
              <w:rPr>
                <w:rStyle w:val="Hyperlink"/>
              </w:rPr>
              <w:t>Section 3H.</w:t>
            </w:r>
            <w:r w:rsidR="009A4C3F">
              <w:rPr>
                <w:rFonts w:asciiTheme="minorHAnsi" w:eastAsiaTheme="minorEastAsia" w:hAnsiTheme="minorHAnsi" w:cstheme="minorBidi"/>
                <w:b w:val="0"/>
                <w:color w:val="auto"/>
              </w:rPr>
              <w:tab/>
            </w:r>
            <w:r w:rsidR="009A4C3F" w:rsidRPr="00A97C72">
              <w:rPr>
                <w:rStyle w:val="Hyperlink"/>
              </w:rPr>
              <w:t>Intergenerational equity</w:t>
            </w:r>
            <w:r w:rsidR="009A4C3F">
              <w:rPr>
                <w:webHidden/>
              </w:rPr>
              <w:tab/>
            </w:r>
            <w:r w:rsidR="009A4C3F">
              <w:rPr>
                <w:webHidden/>
              </w:rPr>
              <w:fldChar w:fldCharType="begin"/>
            </w:r>
            <w:r w:rsidR="009A4C3F">
              <w:rPr>
                <w:webHidden/>
              </w:rPr>
              <w:instrText xml:space="preserve"> PAGEREF _Toc46133643 \h </w:instrText>
            </w:r>
            <w:r w:rsidR="009A4C3F">
              <w:rPr>
                <w:webHidden/>
              </w:rPr>
            </w:r>
            <w:r w:rsidR="009A4C3F">
              <w:rPr>
                <w:webHidden/>
              </w:rPr>
              <w:fldChar w:fldCharType="separate"/>
            </w:r>
            <w:r w:rsidR="00891058">
              <w:rPr>
                <w:webHidden/>
              </w:rPr>
              <w:t>363</w:t>
            </w:r>
            <w:r w:rsidR="009A4C3F">
              <w:rPr>
                <w:webHidden/>
              </w:rPr>
              <w:fldChar w:fldCharType="end"/>
            </w:r>
          </w:hyperlink>
        </w:p>
        <w:p w14:paraId="524B15F1" w14:textId="76013418" w:rsidR="009A4C3F" w:rsidRDefault="007B222E">
          <w:pPr>
            <w:pStyle w:val="TOC2"/>
            <w:rPr>
              <w:rFonts w:asciiTheme="minorHAnsi" w:eastAsiaTheme="minorEastAsia" w:hAnsiTheme="minorHAnsi" w:cstheme="minorBidi"/>
              <w:color w:val="auto"/>
              <w:szCs w:val="22"/>
            </w:rPr>
          </w:pPr>
          <w:hyperlink w:anchor="_Toc46133644"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_Toc46133644 \h </w:instrText>
            </w:r>
            <w:r w:rsidR="009A4C3F">
              <w:rPr>
                <w:webHidden/>
              </w:rPr>
            </w:r>
            <w:r w:rsidR="009A4C3F">
              <w:rPr>
                <w:webHidden/>
              </w:rPr>
              <w:fldChar w:fldCharType="separate"/>
            </w:r>
            <w:r w:rsidR="00891058">
              <w:rPr>
                <w:webHidden/>
              </w:rPr>
              <w:t>363</w:t>
            </w:r>
            <w:r w:rsidR="009A4C3F">
              <w:rPr>
                <w:webHidden/>
              </w:rPr>
              <w:fldChar w:fldCharType="end"/>
            </w:r>
          </w:hyperlink>
        </w:p>
        <w:p w14:paraId="25959971" w14:textId="398B3B89" w:rsidR="009A4C3F" w:rsidRDefault="007B222E">
          <w:pPr>
            <w:pStyle w:val="TOC2"/>
            <w:rPr>
              <w:rFonts w:asciiTheme="minorHAnsi" w:eastAsiaTheme="minorEastAsia" w:hAnsiTheme="minorHAnsi" w:cstheme="minorBidi"/>
              <w:color w:val="auto"/>
              <w:szCs w:val="22"/>
            </w:rPr>
          </w:pPr>
          <w:hyperlink w:anchor="_Toc46133645" w:history="1">
            <w:r w:rsidR="009A4C3F" w:rsidRPr="00A97C72">
              <w:rPr>
                <w:rStyle w:val="Hyperlink"/>
              </w:rPr>
              <w:t>Funding of the pillars of the retirement income system</w:t>
            </w:r>
            <w:r w:rsidR="009A4C3F">
              <w:rPr>
                <w:webHidden/>
              </w:rPr>
              <w:tab/>
            </w:r>
            <w:r w:rsidR="009A4C3F">
              <w:rPr>
                <w:webHidden/>
              </w:rPr>
              <w:fldChar w:fldCharType="begin"/>
            </w:r>
            <w:r w:rsidR="009A4C3F">
              <w:rPr>
                <w:webHidden/>
              </w:rPr>
              <w:instrText xml:space="preserve"> PAGEREF _Toc46133645 \h </w:instrText>
            </w:r>
            <w:r w:rsidR="009A4C3F">
              <w:rPr>
                <w:webHidden/>
              </w:rPr>
            </w:r>
            <w:r w:rsidR="009A4C3F">
              <w:rPr>
                <w:webHidden/>
              </w:rPr>
              <w:fldChar w:fldCharType="separate"/>
            </w:r>
            <w:r w:rsidR="00891058">
              <w:rPr>
                <w:webHidden/>
              </w:rPr>
              <w:t>364</w:t>
            </w:r>
            <w:r w:rsidR="009A4C3F">
              <w:rPr>
                <w:webHidden/>
              </w:rPr>
              <w:fldChar w:fldCharType="end"/>
            </w:r>
          </w:hyperlink>
        </w:p>
        <w:p w14:paraId="772C4430" w14:textId="68096829" w:rsidR="009A4C3F" w:rsidRDefault="007B222E">
          <w:pPr>
            <w:pStyle w:val="TOC2"/>
            <w:rPr>
              <w:rFonts w:asciiTheme="minorHAnsi" w:eastAsiaTheme="minorEastAsia" w:hAnsiTheme="minorHAnsi" w:cstheme="minorBidi"/>
              <w:color w:val="auto"/>
              <w:szCs w:val="22"/>
            </w:rPr>
          </w:pPr>
          <w:hyperlink w:anchor="_Toc46133646" w:history="1">
            <w:r w:rsidR="009A4C3F" w:rsidRPr="00A97C72">
              <w:rPr>
                <w:rStyle w:val="Hyperlink"/>
                <w:rFonts w:eastAsiaTheme="minorHAnsi"/>
              </w:rPr>
              <w:t>Generational transfer cost</w:t>
            </w:r>
            <w:r w:rsidR="009A4C3F">
              <w:rPr>
                <w:webHidden/>
              </w:rPr>
              <w:tab/>
            </w:r>
            <w:r w:rsidR="009A4C3F">
              <w:rPr>
                <w:webHidden/>
              </w:rPr>
              <w:fldChar w:fldCharType="begin"/>
            </w:r>
            <w:r w:rsidR="009A4C3F">
              <w:rPr>
                <w:webHidden/>
              </w:rPr>
              <w:instrText xml:space="preserve"> PAGEREF _Toc46133646 \h </w:instrText>
            </w:r>
            <w:r w:rsidR="009A4C3F">
              <w:rPr>
                <w:webHidden/>
              </w:rPr>
            </w:r>
            <w:r w:rsidR="009A4C3F">
              <w:rPr>
                <w:webHidden/>
              </w:rPr>
              <w:fldChar w:fldCharType="separate"/>
            </w:r>
            <w:r w:rsidR="00891058">
              <w:rPr>
                <w:webHidden/>
              </w:rPr>
              <w:t>365</w:t>
            </w:r>
            <w:r w:rsidR="009A4C3F">
              <w:rPr>
                <w:webHidden/>
              </w:rPr>
              <w:fldChar w:fldCharType="end"/>
            </w:r>
          </w:hyperlink>
        </w:p>
        <w:p w14:paraId="7840D1DB" w14:textId="00A81587" w:rsidR="009A4C3F" w:rsidRDefault="007B222E">
          <w:pPr>
            <w:pStyle w:val="TOC2"/>
            <w:rPr>
              <w:rFonts w:asciiTheme="minorHAnsi" w:eastAsiaTheme="minorEastAsia" w:hAnsiTheme="minorHAnsi" w:cstheme="minorBidi"/>
              <w:color w:val="auto"/>
              <w:szCs w:val="22"/>
            </w:rPr>
          </w:pPr>
          <w:hyperlink w:anchor="_Toc46133647" w:history="1">
            <w:r w:rsidR="009A4C3F" w:rsidRPr="00A97C72">
              <w:rPr>
                <w:rStyle w:val="Hyperlink"/>
                <w:rFonts w:eastAsiaTheme="minorHAnsi"/>
                <w:lang w:eastAsia="en-US"/>
              </w:rPr>
              <w:t>Opportunities to accumulate retirement savings for different generations</w:t>
            </w:r>
            <w:r w:rsidR="009A4C3F">
              <w:rPr>
                <w:webHidden/>
              </w:rPr>
              <w:tab/>
            </w:r>
            <w:r w:rsidR="009A4C3F">
              <w:rPr>
                <w:webHidden/>
              </w:rPr>
              <w:fldChar w:fldCharType="begin"/>
            </w:r>
            <w:r w:rsidR="009A4C3F">
              <w:rPr>
                <w:webHidden/>
              </w:rPr>
              <w:instrText xml:space="preserve"> PAGEREF _Toc46133647 \h </w:instrText>
            </w:r>
            <w:r w:rsidR="009A4C3F">
              <w:rPr>
                <w:webHidden/>
              </w:rPr>
            </w:r>
            <w:r w:rsidR="009A4C3F">
              <w:rPr>
                <w:webHidden/>
              </w:rPr>
              <w:fldChar w:fldCharType="separate"/>
            </w:r>
            <w:r w:rsidR="00891058">
              <w:rPr>
                <w:webHidden/>
              </w:rPr>
              <w:t>368</w:t>
            </w:r>
            <w:r w:rsidR="009A4C3F">
              <w:rPr>
                <w:webHidden/>
              </w:rPr>
              <w:fldChar w:fldCharType="end"/>
            </w:r>
          </w:hyperlink>
        </w:p>
        <w:p w14:paraId="69BFB877" w14:textId="1E88E2A4" w:rsidR="009A4C3F" w:rsidRDefault="007B222E">
          <w:pPr>
            <w:pStyle w:val="TOC2"/>
            <w:rPr>
              <w:rFonts w:asciiTheme="minorHAnsi" w:eastAsiaTheme="minorEastAsia" w:hAnsiTheme="minorHAnsi" w:cstheme="minorBidi"/>
              <w:color w:val="auto"/>
              <w:szCs w:val="22"/>
            </w:rPr>
          </w:pPr>
          <w:hyperlink w:anchor="_Toc46133648" w:history="1">
            <w:r w:rsidR="009A4C3F" w:rsidRPr="00A97C72">
              <w:rPr>
                <w:rStyle w:val="Hyperlink"/>
                <w:rFonts w:eastAsiaTheme="minorHAnsi"/>
                <w:lang w:eastAsia="en-US"/>
              </w:rPr>
              <w:t>Inheritances</w:t>
            </w:r>
            <w:r w:rsidR="009A4C3F">
              <w:rPr>
                <w:webHidden/>
              </w:rPr>
              <w:tab/>
            </w:r>
            <w:r w:rsidR="009A4C3F">
              <w:rPr>
                <w:webHidden/>
              </w:rPr>
              <w:fldChar w:fldCharType="begin"/>
            </w:r>
            <w:r w:rsidR="009A4C3F">
              <w:rPr>
                <w:webHidden/>
              </w:rPr>
              <w:instrText xml:space="preserve"> PAGEREF _Toc46133648 \h </w:instrText>
            </w:r>
            <w:r w:rsidR="009A4C3F">
              <w:rPr>
                <w:webHidden/>
              </w:rPr>
            </w:r>
            <w:r w:rsidR="009A4C3F">
              <w:rPr>
                <w:webHidden/>
              </w:rPr>
              <w:fldChar w:fldCharType="separate"/>
            </w:r>
            <w:r w:rsidR="00891058">
              <w:rPr>
                <w:webHidden/>
              </w:rPr>
              <w:t>369</w:t>
            </w:r>
            <w:r w:rsidR="009A4C3F">
              <w:rPr>
                <w:webHidden/>
              </w:rPr>
              <w:fldChar w:fldCharType="end"/>
            </w:r>
          </w:hyperlink>
        </w:p>
        <w:p w14:paraId="7B149B72" w14:textId="281AD4E1" w:rsidR="009A4C3F" w:rsidRDefault="007B222E">
          <w:pPr>
            <w:pStyle w:val="TOC1"/>
            <w:tabs>
              <w:tab w:val="left" w:pos="660"/>
            </w:tabs>
            <w:rPr>
              <w:rFonts w:asciiTheme="minorHAnsi" w:eastAsiaTheme="minorEastAsia" w:hAnsiTheme="minorHAnsi" w:cstheme="minorBidi"/>
              <w:b w:val="0"/>
              <w:color w:val="auto"/>
            </w:rPr>
          </w:pPr>
          <w:hyperlink w:anchor="_Toc46133649" w:history="1">
            <w:r w:rsidR="009A4C3F" w:rsidRPr="00A97C72">
              <w:rPr>
                <w:rStyle w:val="Hyperlink"/>
              </w:rPr>
              <w:t>4.</w:t>
            </w:r>
            <w:r w:rsidR="009A4C3F">
              <w:rPr>
                <w:rFonts w:asciiTheme="minorHAnsi" w:eastAsiaTheme="minorEastAsia" w:hAnsiTheme="minorHAnsi" w:cstheme="minorBidi"/>
                <w:b w:val="0"/>
                <w:color w:val="auto"/>
              </w:rPr>
              <w:tab/>
            </w:r>
            <w:r w:rsidR="009A4C3F" w:rsidRPr="00A97C72">
              <w:rPr>
                <w:rStyle w:val="Hyperlink"/>
              </w:rPr>
              <w:t>Sustainability</w:t>
            </w:r>
            <w:r w:rsidR="009A4C3F">
              <w:rPr>
                <w:webHidden/>
              </w:rPr>
              <w:tab/>
            </w:r>
            <w:r w:rsidR="009A4C3F">
              <w:rPr>
                <w:webHidden/>
              </w:rPr>
              <w:fldChar w:fldCharType="begin"/>
            </w:r>
            <w:r w:rsidR="009A4C3F">
              <w:rPr>
                <w:webHidden/>
              </w:rPr>
              <w:instrText xml:space="preserve"> PAGEREF _Toc46133649 \h </w:instrText>
            </w:r>
            <w:r w:rsidR="009A4C3F">
              <w:rPr>
                <w:webHidden/>
              </w:rPr>
            </w:r>
            <w:r w:rsidR="009A4C3F">
              <w:rPr>
                <w:webHidden/>
              </w:rPr>
              <w:fldChar w:fldCharType="separate"/>
            </w:r>
            <w:r w:rsidR="00891058">
              <w:rPr>
                <w:webHidden/>
              </w:rPr>
              <w:t>373</w:t>
            </w:r>
            <w:r w:rsidR="009A4C3F">
              <w:rPr>
                <w:webHidden/>
              </w:rPr>
              <w:fldChar w:fldCharType="end"/>
            </w:r>
          </w:hyperlink>
        </w:p>
        <w:p w14:paraId="609C6C08" w14:textId="5828CE7A" w:rsidR="009A4C3F" w:rsidRDefault="007B222E">
          <w:pPr>
            <w:pStyle w:val="TOC2"/>
            <w:rPr>
              <w:rFonts w:asciiTheme="minorHAnsi" w:eastAsiaTheme="minorEastAsia" w:hAnsiTheme="minorHAnsi" w:cstheme="minorBidi"/>
              <w:color w:val="auto"/>
              <w:szCs w:val="22"/>
            </w:rPr>
          </w:pPr>
          <w:hyperlink w:anchor="_Toc46133650" w:history="1">
            <w:r w:rsidR="009A4C3F" w:rsidRPr="00A97C72">
              <w:rPr>
                <w:rStyle w:val="Hyperlink"/>
              </w:rPr>
              <w:t>Outline of this chapter</w:t>
            </w:r>
            <w:r w:rsidR="009A4C3F">
              <w:rPr>
                <w:webHidden/>
              </w:rPr>
              <w:tab/>
            </w:r>
            <w:r w:rsidR="009A4C3F">
              <w:rPr>
                <w:webHidden/>
              </w:rPr>
              <w:fldChar w:fldCharType="begin"/>
            </w:r>
            <w:r w:rsidR="009A4C3F">
              <w:rPr>
                <w:webHidden/>
              </w:rPr>
              <w:instrText xml:space="preserve"> PAGEREF _Toc46133650 \h </w:instrText>
            </w:r>
            <w:r w:rsidR="009A4C3F">
              <w:rPr>
                <w:webHidden/>
              </w:rPr>
            </w:r>
            <w:r w:rsidR="009A4C3F">
              <w:rPr>
                <w:webHidden/>
              </w:rPr>
              <w:fldChar w:fldCharType="separate"/>
            </w:r>
            <w:r w:rsidR="00891058">
              <w:rPr>
                <w:webHidden/>
              </w:rPr>
              <w:t>373</w:t>
            </w:r>
            <w:r w:rsidR="009A4C3F">
              <w:rPr>
                <w:webHidden/>
              </w:rPr>
              <w:fldChar w:fldCharType="end"/>
            </w:r>
          </w:hyperlink>
        </w:p>
        <w:p w14:paraId="6BE9666A" w14:textId="1FE13F4F" w:rsidR="009A4C3F" w:rsidRDefault="007B222E">
          <w:pPr>
            <w:pStyle w:val="TOC1"/>
            <w:tabs>
              <w:tab w:val="left" w:pos="1320"/>
            </w:tabs>
            <w:rPr>
              <w:rFonts w:asciiTheme="minorHAnsi" w:eastAsiaTheme="minorEastAsia" w:hAnsiTheme="minorHAnsi" w:cstheme="minorBidi"/>
              <w:b w:val="0"/>
              <w:color w:val="auto"/>
            </w:rPr>
          </w:pPr>
          <w:hyperlink w:anchor="_Toc46133651" w:history="1">
            <w:r w:rsidR="009A4C3F" w:rsidRPr="00A97C72">
              <w:rPr>
                <w:rStyle w:val="Hyperlink"/>
              </w:rPr>
              <w:t>Section 4A.</w:t>
            </w:r>
            <w:r w:rsidR="009A4C3F">
              <w:rPr>
                <w:rFonts w:asciiTheme="minorHAnsi" w:eastAsiaTheme="minorEastAsia" w:hAnsiTheme="minorHAnsi" w:cstheme="minorBidi"/>
                <w:b w:val="0"/>
                <w:color w:val="auto"/>
              </w:rPr>
              <w:tab/>
            </w:r>
            <w:r w:rsidR="009A4C3F" w:rsidRPr="00A97C72">
              <w:rPr>
                <w:rStyle w:val="Hyperlink"/>
              </w:rPr>
              <w:t>Sustainability</w:t>
            </w:r>
            <w:r w:rsidR="009A4C3F">
              <w:rPr>
                <w:webHidden/>
              </w:rPr>
              <w:tab/>
            </w:r>
            <w:r w:rsidR="009A4C3F">
              <w:rPr>
                <w:webHidden/>
              </w:rPr>
              <w:fldChar w:fldCharType="begin"/>
            </w:r>
            <w:r w:rsidR="009A4C3F">
              <w:rPr>
                <w:webHidden/>
              </w:rPr>
              <w:instrText xml:space="preserve"> PAGEREF _Toc46133651 \h </w:instrText>
            </w:r>
            <w:r w:rsidR="009A4C3F">
              <w:rPr>
                <w:webHidden/>
              </w:rPr>
            </w:r>
            <w:r w:rsidR="009A4C3F">
              <w:rPr>
                <w:webHidden/>
              </w:rPr>
              <w:fldChar w:fldCharType="separate"/>
            </w:r>
            <w:r w:rsidR="00891058">
              <w:rPr>
                <w:webHidden/>
              </w:rPr>
              <w:t>375</w:t>
            </w:r>
            <w:r w:rsidR="009A4C3F">
              <w:rPr>
                <w:webHidden/>
              </w:rPr>
              <w:fldChar w:fldCharType="end"/>
            </w:r>
          </w:hyperlink>
        </w:p>
        <w:p w14:paraId="740AE5D8" w14:textId="6DA31453" w:rsidR="009A4C3F" w:rsidRDefault="007B222E">
          <w:pPr>
            <w:pStyle w:val="TOC2"/>
            <w:rPr>
              <w:rFonts w:asciiTheme="minorHAnsi" w:eastAsiaTheme="minorEastAsia" w:hAnsiTheme="minorHAnsi" w:cstheme="minorBidi"/>
              <w:color w:val="auto"/>
              <w:szCs w:val="22"/>
            </w:rPr>
          </w:pPr>
          <w:hyperlink w:anchor="_Toc46133652" w:history="1">
            <w:r w:rsidR="009A4C3F" w:rsidRPr="00A97C72">
              <w:rPr>
                <w:rStyle w:val="Hyperlink"/>
                <w:rFonts w:eastAsiaTheme="minorHAnsi"/>
              </w:rPr>
              <w:t>H</w:t>
            </w:r>
            <w:r w:rsidR="009A4C3F" w:rsidRPr="00A97C72">
              <w:rPr>
                <w:rStyle w:val="Hyperlink"/>
              </w:rPr>
              <w:t>istorical costs</w:t>
            </w:r>
            <w:r w:rsidR="009A4C3F">
              <w:rPr>
                <w:webHidden/>
              </w:rPr>
              <w:tab/>
            </w:r>
            <w:r w:rsidR="009A4C3F">
              <w:rPr>
                <w:webHidden/>
              </w:rPr>
              <w:fldChar w:fldCharType="begin"/>
            </w:r>
            <w:r w:rsidR="009A4C3F">
              <w:rPr>
                <w:webHidden/>
              </w:rPr>
              <w:instrText xml:space="preserve"> PAGEREF _Toc46133652 \h </w:instrText>
            </w:r>
            <w:r w:rsidR="009A4C3F">
              <w:rPr>
                <w:webHidden/>
              </w:rPr>
            </w:r>
            <w:r w:rsidR="009A4C3F">
              <w:rPr>
                <w:webHidden/>
              </w:rPr>
              <w:fldChar w:fldCharType="separate"/>
            </w:r>
            <w:r w:rsidR="00891058">
              <w:rPr>
                <w:webHidden/>
              </w:rPr>
              <w:t>376</w:t>
            </w:r>
            <w:r w:rsidR="009A4C3F">
              <w:rPr>
                <w:webHidden/>
              </w:rPr>
              <w:fldChar w:fldCharType="end"/>
            </w:r>
          </w:hyperlink>
        </w:p>
        <w:p w14:paraId="61207AB0" w14:textId="1FA1A600" w:rsidR="009A4C3F" w:rsidRDefault="007B222E">
          <w:pPr>
            <w:pStyle w:val="TOC2"/>
            <w:rPr>
              <w:rFonts w:asciiTheme="minorHAnsi" w:eastAsiaTheme="minorEastAsia" w:hAnsiTheme="minorHAnsi" w:cstheme="minorBidi"/>
              <w:color w:val="auto"/>
              <w:szCs w:val="22"/>
            </w:rPr>
          </w:pPr>
          <w:hyperlink w:anchor="_Toc46133653" w:history="1">
            <w:r w:rsidR="009A4C3F" w:rsidRPr="00A97C72">
              <w:rPr>
                <w:rStyle w:val="Hyperlink"/>
              </w:rPr>
              <w:t>Projected future costs</w:t>
            </w:r>
            <w:r w:rsidR="009A4C3F">
              <w:rPr>
                <w:webHidden/>
              </w:rPr>
              <w:tab/>
            </w:r>
            <w:r w:rsidR="009A4C3F">
              <w:rPr>
                <w:webHidden/>
              </w:rPr>
              <w:fldChar w:fldCharType="begin"/>
            </w:r>
            <w:r w:rsidR="009A4C3F">
              <w:rPr>
                <w:webHidden/>
              </w:rPr>
              <w:instrText xml:space="preserve"> PAGEREF _Toc46133653 \h </w:instrText>
            </w:r>
            <w:r w:rsidR="009A4C3F">
              <w:rPr>
                <w:webHidden/>
              </w:rPr>
            </w:r>
            <w:r w:rsidR="009A4C3F">
              <w:rPr>
                <w:webHidden/>
              </w:rPr>
              <w:fldChar w:fldCharType="separate"/>
            </w:r>
            <w:r w:rsidR="00891058">
              <w:rPr>
                <w:webHidden/>
              </w:rPr>
              <w:t>387</w:t>
            </w:r>
            <w:r w:rsidR="009A4C3F">
              <w:rPr>
                <w:webHidden/>
              </w:rPr>
              <w:fldChar w:fldCharType="end"/>
            </w:r>
          </w:hyperlink>
        </w:p>
        <w:p w14:paraId="360FAF71" w14:textId="59824E96" w:rsidR="009A4C3F" w:rsidRDefault="007B222E">
          <w:pPr>
            <w:pStyle w:val="TOC2"/>
            <w:rPr>
              <w:rFonts w:asciiTheme="minorHAnsi" w:eastAsiaTheme="minorEastAsia" w:hAnsiTheme="minorHAnsi" w:cstheme="minorBidi"/>
              <w:color w:val="auto"/>
              <w:szCs w:val="22"/>
            </w:rPr>
          </w:pPr>
          <w:hyperlink w:anchor="_Toc46133654" w:history="1">
            <w:r w:rsidR="009A4C3F" w:rsidRPr="00A97C72">
              <w:rPr>
                <w:rStyle w:val="Hyperlink"/>
              </w:rPr>
              <w:t>Cost</w:t>
            </w:r>
            <w:r w:rsidR="009A4C3F" w:rsidRPr="00A97C72">
              <w:rPr>
                <w:rStyle w:val="Hyperlink"/>
              </w:rPr>
              <w:noBreakHyphen/>
              <w:t>effectiveness</w:t>
            </w:r>
            <w:r w:rsidR="009A4C3F">
              <w:rPr>
                <w:webHidden/>
              </w:rPr>
              <w:tab/>
            </w:r>
            <w:r w:rsidR="009A4C3F">
              <w:rPr>
                <w:webHidden/>
              </w:rPr>
              <w:fldChar w:fldCharType="begin"/>
            </w:r>
            <w:r w:rsidR="009A4C3F">
              <w:rPr>
                <w:webHidden/>
              </w:rPr>
              <w:instrText xml:space="preserve"> PAGEREF _Toc46133654 \h </w:instrText>
            </w:r>
            <w:r w:rsidR="009A4C3F">
              <w:rPr>
                <w:webHidden/>
              </w:rPr>
            </w:r>
            <w:r w:rsidR="009A4C3F">
              <w:rPr>
                <w:webHidden/>
              </w:rPr>
              <w:fldChar w:fldCharType="separate"/>
            </w:r>
            <w:r w:rsidR="00891058">
              <w:rPr>
                <w:webHidden/>
              </w:rPr>
              <w:t>393</w:t>
            </w:r>
            <w:r w:rsidR="009A4C3F">
              <w:rPr>
                <w:webHidden/>
              </w:rPr>
              <w:fldChar w:fldCharType="end"/>
            </w:r>
          </w:hyperlink>
        </w:p>
        <w:p w14:paraId="12CA6569" w14:textId="6254F029" w:rsidR="009A4C3F" w:rsidRDefault="007B222E">
          <w:pPr>
            <w:pStyle w:val="TOC2"/>
            <w:rPr>
              <w:rFonts w:asciiTheme="minorHAnsi" w:eastAsiaTheme="minorEastAsia" w:hAnsiTheme="minorHAnsi" w:cstheme="minorBidi"/>
              <w:color w:val="auto"/>
              <w:szCs w:val="22"/>
            </w:rPr>
          </w:pPr>
          <w:hyperlink w:anchor="_Toc46133655" w:history="1">
            <w:r w:rsidR="009A4C3F" w:rsidRPr="00A97C72">
              <w:rPr>
                <w:rStyle w:val="Hyperlink"/>
              </w:rPr>
              <w:t>Potential effects of changing trends</w:t>
            </w:r>
            <w:r w:rsidR="009A4C3F">
              <w:rPr>
                <w:webHidden/>
              </w:rPr>
              <w:tab/>
            </w:r>
            <w:r w:rsidR="009A4C3F">
              <w:rPr>
                <w:webHidden/>
              </w:rPr>
              <w:fldChar w:fldCharType="begin"/>
            </w:r>
            <w:r w:rsidR="009A4C3F">
              <w:rPr>
                <w:webHidden/>
              </w:rPr>
              <w:instrText xml:space="preserve"> PAGEREF _Toc46133655 \h </w:instrText>
            </w:r>
            <w:r w:rsidR="009A4C3F">
              <w:rPr>
                <w:webHidden/>
              </w:rPr>
            </w:r>
            <w:r w:rsidR="009A4C3F">
              <w:rPr>
                <w:webHidden/>
              </w:rPr>
              <w:fldChar w:fldCharType="separate"/>
            </w:r>
            <w:r w:rsidR="00891058">
              <w:rPr>
                <w:webHidden/>
              </w:rPr>
              <w:t>395</w:t>
            </w:r>
            <w:r w:rsidR="009A4C3F">
              <w:rPr>
                <w:webHidden/>
              </w:rPr>
              <w:fldChar w:fldCharType="end"/>
            </w:r>
          </w:hyperlink>
        </w:p>
        <w:p w14:paraId="79A11B13" w14:textId="407AC7BD" w:rsidR="009A4C3F" w:rsidRDefault="007B222E">
          <w:pPr>
            <w:pStyle w:val="TOC2"/>
            <w:rPr>
              <w:rFonts w:asciiTheme="minorHAnsi" w:eastAsiaTheme="minorEastAsia" w:hAnsiTheme="minorHAnsi" w:cstheme="minorBidi"/>
              <w:color w:val="auto"/>
              <w:szCs w:val="22"/>
            </w:rPr>
          </w:pPr>
          <w:hyperlink w:anchor="_Toc46133656" w:history="1">
            <w:r w:rsidR="009A4C3F" w:rsidRPr="00A97C72">
              <w:rPr>
                <w:rStyle w:val="Hyperlink"/>
              </w:rPr>
              <w:t>Public confidence</w:t>
            </w:r>
            <w:r w:rsidR="009A4C3F">
              <w:rPr>
                <w:webHidden/>
              </w:rPr>
              <w:tab/>
            </w:r>
            <w:r w:rsidR="009A4C3F">
              <w:rPr>
                <w:webHidden/>
              </w:rPr>
              <w:fldChar w:fldCharType="begin"/>
            </w:r>
            <w:r w:rsidR="009A4C3F">
              <w:rPr>
                <w:webHidden/>
              </w:rPr>
              <w:instrText xml:space="preserve"> PAGEREF _Toc46133656 \h </w:instrText>
            </w:r>
            <w:r w:rsidR="009A4C3F">
              <w:rPr>
                <w:webHidden/>
              </w:rPr>
            </w:r>
            <w:r w:rsidR="009A4C3F">
              <w:rPr>
                <w:webHidden/>
              </w:rPr>
              <w:fldChar w:fldCharType="separate"/>
            </w:r>
            <w:r w:rsidR="00891058">
              <w:rPr>
                <w:webHidden/>
              </w:rPr>
              <w:t>398</w:t>
            </w:r>
            <w:r w:rsidR="009A4C3F">
              <w:rPr>
                <w:webHidden/>
              </w:rPr>
              <w:fldChar w:fldCharType="end"/>
            </w:r>
          </w:hyperlink>
        </w:p>
        <w:p w14:paraId="34988F01" w14:textId="555E2A9E" w:rsidR="009A4C3F" w:rsidRDefault="007B222E">
          <w:pPr>
            <w:pStyle w:val="TOC2"/>
            <w:rPr>
              <w:rFonts w:asciiTheme="minorHAnsi" w:eastAsiaTheme="minorEastAsia" w:hAnsiTheme="minorHAnsi" w:cstheme="minorBidi"/>
              <w:color w:val="auto"/>
              <w:szCs w:val="22"/>
            </w:rPr>
          </w:pPr>
          <w:hyperlink w:anchor="_Toc46133657" w:history="1">
            <w:r w:rsidR="009A4C3F" w:rsidRPr="00A97C72">
              <w:rPr>
                <w:rStyle w:val="Hyperlink"/>
                <w:i/>
              </w:rPr>
              <w:t>Annex — estimating superannuation tax concessions</w:t>
            </w:r>
            <w:r w:rsidR="009A4C3F">
              <w:rPr>
                <w:webHidden/>
              </w:rPr>
              <w:tab/>
            </w:r>
            <w:r w:rsidR="009A4C3F">
              <w:rPr>
                <w:webHidden/>
              </w:rPr>
              <w:fldChar w:fldCharType="begin"/>
            </w:r>
            <w:r w:rsidR="009A4C3F">
              <w:rPr>
                <w:webHidden/>
              </w:rPr>
              <w:instrText xml:space="preserve"> PAGEREF _Toc46133657 \h </w:instrText>
            </w:r>
            <w:r w:rsidR="009A4C3F">
              <w:rPr>
                <w:webHidden/>
              </w:rPr>
            </w:r>
            <w:r w:rsidR="009A4C3F">
              <w:rPr>
                <w:webHidden/>
              </w:rPr>
              <w:fldChar w:fldCharType="separate"/>
            </w:r>
            <w:r w:rsidR="00891058">
              <w:rPr>
                <w:webHidden/>
              </w:rPr>
              <w:t>407</w:t>
            </w:r>
            <w:r w:rsidR="009A4C3F">
              <w:rPr>
                <w:webHidden/>
              </w:rPr>
              <w:fldChar w:fldCharType="end"/>
            </w:r>
          </w:hyperlink>
        </w:p>
        <w:p w14:paraId="5BB2F0CE" w14:textId="46B4AB0E" w:rsidR="009A4C3F" w:rsidRDefault="007B222E">
          <w:pPr>
            <w:pStyle w:val="TOC2"/>
            <w:rPr>
              <w:rFonts w:asciiTheme="minorHAnsi" w:eastAsiaTheme="minorEastAsia" w:hAnsiTheme="minorHAnsi" w:cstheme="minorBidi"/>
              <w:color w:val="auto"/>
              <w:szCs w:val="22"/>
            </w:rPr>
          </w:pPr>
          <w:hyperlink w:anchor="_Toc46133658" w:history="1">
            <w:r w:rsidR="009A4C3F" w:rsidRPr="00A97C72">
              <w:rPr>
                <w:rStyle w:val="Hyperlink"/>
                <w:i/>
              </w:rPr>
              <w:t>Annex — scenario analysis</w:t>
            </w:r>
            <w:r w:rsidR="009A4C3F">
              <w:rPr>
                <w:webHidden/>
              </w:rPr>
              <w:tab/>
            </w:r>
            <w:r w:rsidR="009A4C3F">
              <w:rPr>
                <w:webHidden/>
              </w:rPr>
              <w:fldChar w:fldCharType="begin"/>
            </w:r>
            <w:r w:rsidR="009A4C3F">
              <w:rPr>
                <w:webHidden/>
              </w:rPr>
              <w:instrText xml:space="preserve"> PAGEREF _Toc46133658 \h </w:instrText>
            </w:r>
            <w:r w:rsidR="009A4C3F">
              <w:rPr>
                <w:webHidden/>
              </w:rPr>
            </w:r>
            <w:r w:rsidR="009A4C3F">
              <w:rPr>
                <w:webHidden/>
              </w:rPr>
              <w:fldChar w:fldCharType="separate"/>
            </w:r>
            <w:r w:rsidR="00891058">
              <w:rPr>
                <w:webHidden/>
              </w:rPr>
              <w:t>410</w:t>
            </w:r>
            <w:r w:rsidR="009A4C3F">
              <w:rPr>
                <w:webHidden/>
              </w:rPr>
              <w:fldChar w:fldCharType="end"/>
            </w:r>
          </w:hyperlink>
        </w:p>
        <w:p w14:paraId="7ACCE7B3" w14:textId="21F70A88" w:rsidR="009A4C3F" w:rsidRDefault="007B222E">
          <w:pPr>
            <w:pStyle w:val="TOC1"/>
            <w:tabs>
              <w:tab w:val="left" w:pos="660"/>
            </w:tabs>
            <w:rPr>
              <w:rFonts w:asciiTheme="minorHAnsi" w:eastAsiaTheme="minorEastAsia" w:hAnsiTheme="minorHAnsi" w:cstheme="minorBidi"/>
              <w:b w:val="0"/>
              <w:color w:val="auto"/>
            </w:rPr>
          </w:pPr>
          <w:hyperlink w:anchor="_Toc46133659" w:history="1">
            <w:r w:rsidR="009A4C3F" w:rsidRPr="00A97C72">
              <w:rPr>
                <w:rStyle w:val="Hyperlink"/>
              </w:rPr>
              <w:t>5.</w:t>
            </w:r>
            <w:r w:rsidR="009A4C3F">
              <w:rPr>
                <w:rFonts w:asciiTheme="minorHAnsi" w:eastAsiaTheme="minorEastAsia" w:hAnsiTheme="minorHAnsi" w:cstheme="minorBidi"/>
                <w:b w:val="0"/>
                <w:color w:val="auto"/>
              </w:rPr>
              <w:tab/>
            </w:r>
            <w:r w:rsidR="009A4C3F" w:rsidRPr="00A97C72">
              <w:rPr>
                <w:rStyle w:val="Hyperlink"/>
              </w:rPr>
              <w:t>Cohesion</w:t>
            </w:r>
            <w:r w:rsidR="009A4C3F">
              <w:rPr>
                <w:webHidden/>
              </w:rPr>
              <w:tab/>
            </w:r>
            <w:r w:rsidR="009A4C3F">
              <w:rPr>
                <w:webHidden/>
              </w:rPr>
              <w:fldChar w:fldCharType="begin"/>
            </w:r>
            <w:r w:rsidR="009A4C3F">
              <w:rPr>
                <w:webHidden/>
              </w:rPr>
              <w:instrText xml:space="preserve"> PAGEREF _Toc46133659 \h </w:instrText>
            </w:r>
            <w:r w:rsidR="009A4C3F">
              <w:rPr>
                <w:webHidden/>
              </w:rPr>
            </w:r>
            <w:r w:rsidR="009A4C3F">
              <w:rPr>
                <w:webHidden/>
              </w:rPr>
              <w:fldChar w:fldCharType="separate"/>
            </w:r>
            <w:r w:rsidR="00891058">
              <w:rPr>
                <w:webHidden/>
              </w:rPr>
              <w:t>413</w:t>
            </w:r>
            <w:r w:rsidR="009A4C3F">
              <w:rPr>
                <w:webHidden/>
              </w:rPr>
              <w:fldChar w:fldCharType="end"/>
            </w:r>
          </w:hyperlink>
        </w:p>
        <w:p w14:paraId="21E1A834" w14:textId="6501F110" w:rsidR="009A4C3F" w:rsidRDefault="007B222E">
          <w:pPr>
            <w:pStyle w:val="TOC2"/>
            <w:rPr>
              <w:rFonts w:asciiTheme="minorHAnsi" w:eastAsiaTheme="minorEastAsia" w:hAnsiTheme="minorHAnsi" w:cstheme="minorBidi"/>
              <w:color w:val="auto"/>
              <w:szCs w:val="22"/>
            </w:rPr>
          </w:pPr>
          <w:hyperlink w:anchor="_Toc46133660" w:history="1">
            <w:r w:rsidR="009A4C3F" w:rsidRPr="00A97C72">
              <w:rPr>
                <w:rStyle w:val="Hyperlink"/>
              </w:rPr>
              <w:t>Outline of this chapter</w:t>
            </w:r>
            <w:r w:rsidR="009A4C3F">
              <w:rPr>
                <w:webHidden/>
              </w:rPr>
              <w:tab/>
            </w:r>
            <w:r w:rsidR="009A4C3F">
              <w:rPr>
                <w:webHidden/>
              </w:rPr>
              <w:fldChar w:fldCharType="begin"/>
            </w:r>
            <w:r w:rsidR="009A4C3F">
              <w:rPr>
                <w:webHidden/>
              </w:rPr>
              <w:instrText xml:space="preserve"> PAGEREF _Toc46133660 \h </w:instrText>
            </w:r>
            <w:r w:rsidR="009A4C3F">
              <w:rPr>
                <w:webHidden/>
              </w:rPr>
            </w:r>
            <w:r w:rsidR="009A4C3F">
              <w:rPr>
                <w:webHidden/>
              </w:rPr>
              <w:fldChar w:fldCharType="separate"/>
            </w:r>
            <w:r w:rsidR="00891058">
              <w:rPr>
                <w:webHidden/>
              </w:rPr>
              <w:t>413</w:t>
            </w:r>
            <w:r w:rsidR="009A4C3F">
              <w:rPr>
                <w:webHidden/>
              </w:rPr>
              <w:fldChar w:fldCharType="end"/>
            </w:r>
          </w:hyperlink>
        </w:p>
        <w:p w14:paraId="68FE9533" w14:textId="404BEB07" w:rsidR="009A4C3F" w:rsidRDefault="007B222E">
          <w:pPr>
            <w:pStyle w:val="TOC1"/>
            <w:tabs>
              <w:tab w:val="left" w:pos="1320"/>
            </w:tabs>
            <w:rPr>
              <w:rFonts w:asciiTheme="minorHAnsi" w:eastAsiaTheme="minorEastAsia" w:hAnsiTheme="minorHAnsi" w:cstheme="minorBidi"/>
              <w:b w:val="0"/>
              <w:color w:val="auto"/>
            </w:rPr>
          </w:pPr>
          <w:hyperlink w:anchor="_Toc46133661" w:history="1">
            <w:r w:rsidR="009A4C3F" w:rsidRPr="00A97C72">
              <w:rPr>
                <w:rStyle w:val="Hyperlink"/>
              </w:rPr>
              <w:t>Section 5A.</w:t>
            </w:r>
            <w:r w:rsidR="009A4C3F">
              <w:rPr>
                <w:rFonts w:asciiTheme="minorHAnsi" w:eastAsiaTheme="minorEastAsia" w:hAnsiTheme="minorHAnsi" w:cstheme="minorBidi"/>
                <w:b w:val="0"/>
                <w:color w:val="auto"/>
              </w:rPr>
              <w:tab/>
            </w:r>
            <w:r w:rsidR="009A4C3F" w:rsidRPr="00A97C72">
              <w:rPr>
                <w:rStyle w:val="Hyperlink"/>
              </w:rPr>
              <w:t>Cohesion</w:t>
            </w:r>
            <w:r w:rsidR="009A4C3F">
              <w:rPr>
                <w:webHidden/>
              </w:rPr>
              <w:tab/>
            </w:r>
            <w:r w:rsidR="009A4C3F">
              <w:rPr>
                <w:webHidden/>
              </w:rPr>
              <w:fldChar w:fldCharType="begin"/>
            </w:r>
            <w:r w:rsidR="009A4C3F">
              <w:rPr>
                <w:webHidden/>
              </w:rPr>
              <w:instrText xml:space="preserve"> PAGEREF _Toc46133661 \h </w:instrText>
            </w:r>
            <w:r w:rsidR="009A4C3F">
              <w:rPr>
                <w:webHidden/>
              </w:rPr>
            </w:r>
            <w:r w:rsidR="009A4C3F">
              <w:rPr>
                <w:webHidden/>
              </w:rPr>
              <w:fldChar w:fldCharType="separate"/>
            </w:r>
            <w:r w:rsidR="00891058">
              <w:rPr>
                <w:webHidden/>
              </w:rPr>
              <w:t>415</w:t>
            </w:r>
            <w:r w:rsidR="009A4C3F">
              <w:rPr>
                <w:webHidden/>
              </w:rPr>
              <w:fldChar w:fldCharType="end"/>
            </w:r>
          </w:hyperlink>
        </w:p>
        <w:p w14:paraId="09AEBC38" w14:textId="5DDC4176" w:rsidR="009A4C3F" w:rsidRDefault="007B222E">
          <w:pPr>
            <w:pStyle w:val="TOC2"/>
            <w:rPr>
              <w:rFonts w:asciiTheme="minorHAnsi" w:eastAsiaTheme="minorEastAsia" w:hAnsiTheme="minorHAnsi" w:cstheme="minorBidi"/>
              <w:color w:val="auto"/>
              <w:szCs w:val="22"/>
            </w:rPr>
          </w:pPr>
          <w:hyperlink w:anchor="_Toc46133662"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_Toc46133662 \h </w:instrText>
            </w:r>
            <w:r w:rsidR="009A4C3F">
              <w:rPr>
                <w:webHidden/>
              </w:rPr>
            </w:r>
            <w:r w:rsidR="009A4C3F">
              <w:rPr>
                <w:webHidden/>
              </w:rPr>
              <w:fldChar w:fldCharType="separate"/>
            </w:r>
            <w:r w:rsidR="00891058">
              <w:rPr>
                <w:webHidden/>
              </w:rPr>
              <w:t>416</w:t>
            </w:r>
            <w:r w:rsidR="009A4C3F">
              <w:rPr>
                <w:webHidden/>
              </w:rPr>
              <w:fldChar w:fldCharType="end"/>
            </w:r>
          </w:hyperlink>
        </w:p>
        <w:p w14:paraId="0F775908" w14:textId="4A7DE0E0" w:rsidR="009A4C3F" w:rsidRDefault="007B222E">
          <w:pPr>
            <w:pStyle w:val="TOC2"/>
            <w:rPr>
              <w:rFonts w:asciiTheme="minorHAnsi" w:eastAsiaTheme="minorEastAsia" w:hAnsiTheme="minorHAnsi" w:cstheme="minorBidi"/>
              <w:color w:val="auto"/>
              <w:szCs w:val="22"/>
            </w:rPr>
          </w:pPr>
          <w:hyperlink w:anchor="_Toc46133663" w:history="1">
            <w:r w:rsidR="009A4C3F" w:rsidRPr="00A97C72">
              <w:rPr>
                <w:rStyle w:val="Hyperlink"/>
                <w:rFonts w:eastAsiaTheme="majorEastAsia"/>
              </w:rPr>
              <w:t>Cohesiveness of pre</w:t>
            </w:r>
            <w:r w:rsidR="009A4C3F" w:rsidRPr="00A97C72">
              <w:rPr>
                <w:rStyle w:val="Hyperlink"/>
                <w:rFonts w:eastAsiaTheme="majorEastAsia"/>
              </w:rPr>
              <w:noBreakHyphen/>
              <w:t>retirement settings for saving and investment</w:t>
            </w:r>
            <w:r w:rsidR="009A4C3F">
              <w:rPr>
                <w:webHidden/>
              </w:rPr>
              <w:tab/>
            </w:r>
            <w:r w:rsidR="009A4C3F">
              <w:rPr>
                <w:webHidden/>
              </w:rPr>
              <w:fldChar w:fldCharType="begin"/>
            </w:r>
            <w:r w:rsidR="009A4C3F">
              <w:rPr>
                <w:webHidden/>
              </w:rPr>
              <w:instrText xml:space="preserve"> PAGEREF _Toc46133663 \h </w:instrText>
            </w:r>
            <w:r w:rsidR="009A4C3F">
              <w:rPr>
                <w:webHidden/>
              </w:rPr>
            </w:r>
            <w:r w:rsidR="009A4C3F">
              <w:rPr>
                <w:webHidden/>
              </w:rPr>
              <w:fldChar w:fldCharType="separate"/>
            </w:r>
            <w:r w:rsidR="00891058">
              <w:rPr>
                <w:webHidden/>
              </w:rPr>
              <w:t>417</w:t>
            </w:r>
            <w:r w:rsidR="009A4C3F">
              <w:rPr>
                <w:webHidden/>
              </w:rPr>
              <w:fldChar w:fldCharType="end"/>
            </w:r>
          </w:hyperlink>
        </w:p>
        <w:p w14:paraId="709F5395" w14:textId="684E2291" w:rsidR="009A4C3F" w:rsidRDefault="007B222E">
          <w:pPr>
            <w:pStyle w:val="TOC2"/>
            <w:rPr>
              <w:rFonts w:asciiTheme="minorHAnsi" w:eastAsiaTheme="minorEastAsia" w:hAnsiTheme="minorHAnsi" w:cstheme="minorBidi"/>
              <w:color w:val="auto"/>
              <w:szCs w:val="22"/>
            </w:rPr>
          </w:pPr>
          <w:hyperlink w:anchor="_Toc46133664" w:history="1">
            <w:r w:rsidR="009A4C3F" w:rsidRPr="00A97C72">
              <w:rPr>
                <w:rStyle w:val="Hyperlink"/>
              </w:rPr>
              <w:t>Cohesiveness of the retirement phase</w:t>
            </w:r>
            <w:r w:rsidR="009A4C3F">
              <w:rPr>
                <w:webHidden/>
              </w:rPr>
              <w:tab/>
            </w:r>
            <w:r w:rsidR="009A4C3F">
              <w:rPr>
                <w:webHidden/>
              </w:rPr>
              <w:fldChar w:fldCharType="begin"/>
            </w:r>
            <w:r w:rsidR="009A4C3F">
              <w:rPr>
                <w:webHidden/>
              </w:rPr>
              <w:instrText xml:space="preserve"> PAGEREF _Toc46133664 \h </w:instrText>
            </w:r>
            <w:r w:rsidR="009A4C3F">
              <w:rPr>
                <w:webHidden/>
              </w:rPr>
            </w:r>
            <w:r w:rsidR="009A4C3F">
              <w:rPr>
                <w:webHidden/>
              </w:rPr>
              <w:fldChar w:fldCharType="separate"/>
            </w:r>
            <w:r w:rsidR="00891058">
              <w:rPr>
                <w:webHidden/>
              </w:rPr>
              <w:t>431</w:t>
            </w:r>
            <w:r w:rsidR="009A4C3F">
              <w:rPr>
                <w:webHidden/>
              </w:rPr>
              <w:fldChar w:fldCharType="end"/>
            </w:r>
          </w:hyperlink>
        </w:p>
        <w:p w14:paraId="2B566681" w14:textId="0E28EC74" w:rsidR="009A4C3F" w:rsidRDefault="007B222E">
          <w:pPr>
            <w:pStyle w:val="TOC1"/>
            <w:tabs>
              <w:tab w:val="left" w:pos="1320"/>
            </w:tabs>
            <w:rPr>
              <w:rFonts w:asciiTheme="minorHAnsi" w:eastAsiaTheme="minorEastAsia" w:hAnsiTheme="minorHAnsi" w:cstheme="minorBidi"/>
              <w:b w:val="0"/>
              <w:color w:val="auto"/>
            </w:rPr>
          </w:pPr>
          <w:hyperlink w:anchor="_Toc46133665" w:history="1">
            <w:r w:rsidR="009A4C3F" w:rsidRPr="00A97C72">
              <w:rPr>
                <w:rStyle w:val="Hyperlink"/>
              </w:rPr>
              <w:t>Section 5B.</w:t>
            </w:r>
            <w:r w:rsidR="009A4C3F">
              <w:rPr>
                <w:rFonts w:asciiTheme="minorHAnsi" w:eastAsiaTheme="minorEastAsia" w:hAnsiTheme="minorHAnsi" w:cstheme="minorBidi"/>
                <w:b w:val="0"/>
                <w:color w:val="auto"/>
              </w:rPr>
              <w:tab/>
            </w:r>
            <w:r w:rsidR="009A4C3F" w:rsidRPr="00A97C72">
              <w:rPr>
                <w:rStyle w:val="Hyperlink"/>
              </w:rPr>
              <w:t>Policy scenario: Implications of changing Age Pension means test settings</w:t>
            </w:r>
            <w:r w:rsidR="009A4C3F">
              <w:rPr>
                <w:webHidden/>
              </w:rPr>
              <w:tab/>
            </w:r>
            <w:r w:rsidR="009A4C3F">
              <w:rPr>
                <w:webHidden/>
              </w:rPr>
              <w:fldChar w:fldCharType="begin"/>
            </w:r>
            <w:r w:rsidR="009A4C3F">
              <w:rPr>
                <w:webHidden/>
              </w:rPr>
              <w:instrText xml:space="preserve"> PAGEREF _Toc46133665 \h </w:instrText>
            </w:r>
            <w:r w:rsidR="009A4C3F">
              <w:rPr>
                <w:webHidden/>
              </w:rPr>
            </w:r>
            <w:r w:rsidR="009A4C3F">
              <w:rPr>
                <w:webHidden/>
              </w:rPr>
              <w:fldChar w:fldCharType="separate"/>
            </w:r>
            <w:r w:rsidR="00891058">
              <w:rPr>
                <w:webHidden/>
              </w:rPr>
              <w:t>463</w:t>
            </w:r>
            <w:r w:rsidR="009A4C3F">
              <w:rPr>
                <w:webHidden/>
              </w:rPr>
              <w:fldChar w:fldCharType="end"/>
            </w:r>
          </w:hyperlink>
        </w:p>
        <w:p w14:paraId="2CA72194" w14:textId="533A3B54" w:rsidR="009A4C3F" w:rsidRDefault="007B222E">
          <w:pPr>
            <w:pStyle w:val="TOC2"/>
            <w:rPr>
              <w:rFonts w:asciiTheme="minorHAnsi" w:eastAsiaTheme="minorEastAsia" w:hAnsiTheme="minorHAnsi" w:cstheme="minorBidi"/>
              <w:color w:val="auto"/>
              <w:szCs w:val="22"/>
            </w:rPr>
          </w:pPr>
          <w:hyperlink w:anchor="_Toc46133666" w:history="1">
            <w:r w:rsidR="009A4C3F" w:rsidRPr="00A97C72">
              <w:rPr>
                <w:rStyle w:val="Hyperlink"/>
              </w:rPr>
              <w:t>Outline of this section</w:t>
            </w:r>
            <w:r w:rsidR="009A4C3F">
              <w:rPr>
                <w:webHidden/>
              </w:rPr>
              <w:tab/>
            </w:r>
            <w:r w:rsidR="009A4C3F">
              <w:rPr>
                <w:webHidden/>
              </w:rPr>
              <w:fldChar w:fldCharType="begin"/>
            </w:r>
            <w:r w:rsidR="009A4C3F">
              <w:rPr>
                <w:webHidden/>
              </w:rPr>
              <w:instrText xml:space="preserve"> PAGEREF _Toc46133666 \h </w:instrText>
            </w:r>
            <w:r w:rsidR="009A4C3F">
              <w:rPr>
                <w:webHidden/>
              </w:rPr>
            </w:r>
            <w:r w:rsidR="009A4C3F">
              <w:rPr>
                <w:webHidden/>
              </w:rPr>
              <w:fldChar w:fldCharType="separate"/>
            </w:r>
            <w:r w:rsidR="00891058">
              <w:rPr>
                <w:webHidden/>
              </w:rPr>
              <w:t>463</w:t>
            </w:r>
            <w:r w:rsidR="009A4C3F">
              <w:rPr>
                <w:webHidden/>
              </w:rPr>
              <w:fldChar w:fldCharType="end"/>
            </w:r>
          </w:hyperlink>
        </w:p>
        <w:p w14:paraId="22C005E1" w14:textId="1910CBC3" w:rsidR="009A4C3F" w:rsidRDefault="007B222E">
          <w:pPr>
            <w:pStyle w:val="TOC2"/>
            <w:rPr>
              <w:rFonts w:asciiTheme="minorHAnsi" w:eastAsiaTheme="minorEastAsia" w:hAnsiTheme="minorHAnsi" w:cstheme="minorBidi"/>
              <w:color w:val="auto"/>
              <w:szCs w:val="22"/>
            </w:rPr>
          </w:pPr>
          <w:hyperlink w:anchor="_Toc46133667" w:history="1">
            <w:r w:rsidR="009A4C3F" w:rsidRPr="00A97C72">
              <w:rPr>
                <w:rStyle w:val="Hyperlink"/>
              </w:rPr>
              <w:t>Design of the Age Pension means test</w:t>
            </w:r>
            <w:r w:rsidR="009A4C3F">
              <w:rPr>
                <w:webHidden/>
              </w:rPr>
              <w:tab/>
            </w:r>
            <w:r w:rsidR="009A4C3F">
              <w:rPr>
                <w:webHidden/>
              </w:rPr>
              <w:fldChar w:fldCharType="begin"/>
            </w:r>
            <w:r w:rsidR="009A4C3F">
              <w:rPr>
                <w:webHidden/>
              </w:rPr>
              <w:instrText xml:space="preserve"> PAGEREF _Toc46133667 \h </w:instrText>
            </w:r>
            <w:r w:rsidR="009A4C3F">
              <w:rPr>
                <w:webHidden/>
              </w:rPr>
            </w:r>
            <w:r w:rsidR="009A4C3F">
              <w:rPr>
                <w:webHidden/>
              </w:rPr>
              <w:fldChar w:fldCharType="separate"/>
            </w:r>
            <w:r w:rsidR="00891058">
              <w:rPr>
                <w:webHidden/>
              </w:rPr>
              <w:t>464</w:t>
            </w:r>
            <w:r w:rsidR="009A4C3F">
              <w:rPr>
                <w:webHidden/>
              </w:rPr>
              <w:fldChar w:fldCharType="end"/>
            </w:r>
          </w:hyperlink>
        </w:p>
        <w:p w14:paraId="3BAE5DC8" w14:textId="3E1BF50F" w:rsidR="009A4C3F" w:rsidRDefault="007B222E">
          <w:pPr>
            <w:pStyle w:val="TOC2"/>
            <w:rPr>
              <w:rFonts w:asciiTheme="minorHAnsi" w:eastAsiaTheme="minorEastAsia" w:hAnsiTheme="minorHAnsi" w:cstheme="minorBidi"/>
              <w:color w:val="auto"/>
              <w:szCs w:val="22"/>
            </w:rPr>
          </w:pPr>
          <w:hyperlink w:anchor="_Toc46133668" w:history="1">
            <w:r w:rsidR="009A4C3F" w:rsidRPr="00A97C72">
              <w:rPr>
                <w:rStyle w:val="Hyperlink"/>
              </w:rPr>
              <w:t>Implications of a lower assets test taper rate</w:t>
            </w:r>
            <w:r w:rsidR="009A4C3F">
              <w:rPr>
                <w:webHidden/>
              </w:rPr>
              <w:tab/>
            </w:r>
            <w:r w:rsidR="009A4C3F">
              <w:rPr>
                <w:webHidden/>
              </w:rPr>
              <w:fldChar w:fldCharType="begin"/>
            </w:r>
            <w:r w:rsidR="009A4C3F">
              <w:rPr>
                <w:webHidden/>
              </w:rPr>
              <w:instrText xml:space="preserve"> PAGEREF _Toc46133668 \h </w:instrText>
            </w:r>
            <w:r w:rsidR="009A4C3F">
              <w:rPr>
                <w:webHidden/>
              </w:rPr>
            </w:r>
            <w:r w:rsidR="009A4C3F">
              <w:rPr>
                <w:webHidden/>
              </w:rPr>
              <w:fldChar w:fldCharType="separate"/>
            </w:r>
            <w:r w:rsidR="00891058">
              <w:rPr>
                <w:webHidden/>
              </w:rPr>
              <w:t>465</w:t>
            </w:r>
            <w:r w:rsidR="009A4C3F">
              <w:rPr>
                <w:webHidden/>
              </w:rPr>
              <w:fldChar w:fldCharType="end"/>
            </w:r>
          </w:hyperlink>
        </w:p>
        <w:p w14:paraId="2B50A1B7" w14:textId="614F0CD8" w:rsidR="009A4C3F" w:rsidRDefault="007B222E">
          <w:pPr>
            <w:pStyle w:val="TOC2"/>
            <w:rPr>
              <w:rFonts w:asciiTheme="minorHAnsi" w:eastAsiaTheme="minorEastAsia" w:hAnsiTheme="minorHAnsi" w:cstheme="minorBidi"/>
              <w:color w:val="auto"/>
              <w:szCs w:val="22"/>
            </w:rPr>
          </w:pPr>
          <w:hyperlink w:anchor="_Toc46133669" w:history="1">
            <w:r w:rsidR="009A4C3F" w:rsidRPr="00A97C72">
              <w:rPr>
                <w:rStyle w:val="Hyperlink"/>
              </w:rPr>
              <w:t>Merged means test</w:t>
            </w:r>
            <w:r w:rsidR="009A4C3F">
              <w:rPr>
                <w:webHidden/>
              </w:rPr>
              <w:tab/>
            </w:r>
            <w:r w:rsidR="009A4C3F">
              <w:rPr>
                <w:webHidden/>
              </w:rPr>
              <w:fldChar w:fldCharType="begin"/>
            </w:r>
            <w:r w:rsidR="009A4C3F">
              <w:rPr>
                <w:webHidden/>
              </w:rPr>
              <w:instrText xml:space="preserve"> PAGEREF _Toc46133669 \h </w:instrText>
            </w:r>
            <w:r w:rsidR="009A4C3F">
              <w:rPr>
                <w:webHidden/>
              </w:rPr>
            </w:r>
            <w:r w:rsidR="009A4C3F">
              <w:rPr>
                <w:webHidden/>
              </w:rPr>
              <w:fldChar w:fldCharType="separate"/>
            </w:r>
            <w:r w:rsidR="00891058">
              <w:rPr>
                <w:webHidden/>
              </w:rPr>
              <w:t>472</w:t>
            </w:r>
            <w:r w:rsidR="009A4C3F">
              <w:rPr>
                <w:webHidden/>
              </w:rPr>
              <w:fldChar w:fldCharType="end"/>
            </w:r>
          </w:hyperlink>
        </w:p>
        <w:p w14:paraId="4F58BE13" w14:textId="6B37C489" w:rsidR="009A4C3F" w:rsidRDefault="007B222E">
          <w:pPr>
            <w:pStyle w:val="TOC1"/>
            <w:tabs>
              <w:tab w:val="left" w:pos="660"/>
            </w:tabs>
            <w:rPr>
              <w:rFonts w:asciiTheme="minorHAnsi" w:eastAsiaTheme="minorEastAsia" w:hAnsiTheme="minorHAnsi" w:cstheme="minorBidi"/>
              <w:b w:val="0"/>
              <w:color w:val="auto"/>
            </w:rPr>
          </w:pPr>
          <w:hyperlink w:anchor="_Toc46133670" w:history="1">
            <w:r w:rsidR="009A4C3F" w:rsidRPr="00A97C72">
              <w:rPr>
                <w:rStyle w:val="Hyperlink"/>
              </w:rPr>
              <w:t>6.</w:t>
            </w:r>
            <w:r w:rsidR="009A4C3F">
              <w:rPr>
                <w:rFonts w:asciiTheme="minorHAnsi" w:eastAsiaTheme="minorEastAsia" w:hAnsiTheme="minorHAnsi" w:cstheme="minorBidi"/>
                <w:b w:val="0"/>
                <w:color w:val="auto"/>
              </w:rPr>
              <w:tab/>
            </w:r>
            <w:r w:rsidR="009A4C3F" w:rsidRPr="00A97C72">
              <w:rPr>
                <w:rStyle w:val="Hyperlink"/>
              </w:rPr>
              <w:t>Appendices</w:t>
            </w:r>
            <w:r w:rsidR="009A4C3F">
              <w:rPr>
                <w:webHidden/>
              </w:rPr>
              <w:tab/>
            </w:r>
            <w:r w:rsidR="009A4C3F">
              <w:rPr>
                <w:webHidden/>
              </w:rPr>
              <w:fldChar w:fldCharType="begin"/>
            </w:r>
            <w:r w:rsidR="009A4C3F">
              <w:rPr>
                <w:webHidden/>
              </w:rPr>
              <w:instrText xml:space="preserve"> PAGEREF _Toc46133670 \h </w:instrText>
            </w:r>
            <w:r w:rsidR="009A4C3F">
              <w:rPr>
                <w:webHidden/>
              </w:rPr>
            </w:r>
            <w:r w:rsidR="009A4C3F">
              <w:rPr>
                <w:webHidden/>
              </w:rPr>
              <w:fldChar w:fldCharType="separate"/>
            </w:r>
            <w:r w:rsidR="00891058">
              <w:rPr>
                <w:webHidden/>
              </w:rPr>
              <w:t>475</w:t>
            </w:r>
            <w:r w:rsidR="009A4C3F">
              <w:rPr>
                <w:webHidden/>
              </w:rPr>
              <w:fldChar w:fldCharType="end"/>
            </w:r>
          </w:hyperlink>
        </w:p>
        <w:p w14:paraId="1A80BB84" w14:textId="065757AD" w:rsidR="009A4C3F" w:rsidRDefault="007B222E">
          <w:pPr>
            <w:pStyle w:val="TOC1"/>
            <w:tabs>
              <w:tab w:val="left" w:pos="1320"/>
            </w:tabs>
            <w:rPr>
              <w:rFonts w:asciiTheme="minorHAnsi" w:eastAsiaTheme="minorEastAsia" w:hAnsiTheme="minorHAnsi" w:cstheme="minorBidi"/>
              <w:b w:val="0"/>
              <w:color w:val="auto"/>
            </w:rPr>
          </w:pPr>
          <w:hyperlink w:anchor="_Toc46133671" w:history="1">
            <w:r w:rsidR="009A4C3F" w:rsidRPr="00A97C72">
              <w:rPr>
                <w:rStyle w:val="Hyperlink"/>
              </w:rPr>
              <w:t>Section 6A.</w:t>
            </w:r>
            <w:r w:rsidR="009A4C3F">
              <w:rPr>
                <w:rFonts w:asciiTheme="minorHAnsi" w:eastAsiaTheme="minorEastAsia" w:hAnsiTheme="minorHAnsi" w:cstheme="minorBidi"/>
                <w:b w:val="0"/>
                <w:color w:val="auto"/>
              </w:rPr>
              <w:tab/>
            </w:r>
            <w:r w:rsidR="009A4C3F" w:rsidRPr="00A97C72">
              <w:rPr>
                <w:rStyle w:val="Hyperlink"/>
              </w:rPr>
              <w:t>Detailed modelling methods and assumptions</w:t>
            </w:r>
            <w:r w:rsidR="009A4C3F">
              <w:rPr>
                <w:webHidden/>
              </w:rPr>
              <w:tab/>
            </w:r>
            <w:r w:rsidR="009A4C3F">
              <w:rPr>
                <w:webHidden/>
              </w:rPr>
              <w:fldChar w:fldCharType="begin"/>
            </w:r>
            <w:r w:rsidR="009A4C3F">
              <w:rPr>
                <w:webHidden/>
              </w:rPr>
              <w:instrText xml:space="preserve"> PAGEREF _Toc46133671 \h </w:instrText>
            </w:r>
            <w:r w:rsidR="009A4C3F">
              <w:rPr>
                <w:webHidden/>
              </w:rPr>
            </w:r>
            <w:r w:rsidR="009A4C3F">
              <w:rPr>
                <w:webHidden/>
              </w:rPr>
              <w:fldChar w:fldCharType="separate"/>
            </w:r>
            <w:r w:rsidR="00891058">
              <w:rPr>
                <w:webHidden/>
              </w:rPr>
              <w:t>477</w:t>
            </w:r>
            <w:r w:rsidR="009A4C3F">
              <w:rPr>
                <w:webHidden/>
              </w:rPr>
              <w:fldChar w:fldCharType="end"/>
            </w:r>
          </w:hyperlink>
        </w:p>
        <w:p w14:paraId="57A67DE9" w14:textId="100C2F38" w:rsidR="009A4C3F" w:rsidRDefault="007B222E">
          <w:pPr>
            <w:pStyle w:val="TOC2"/>
            <w:rPr>
              <w:rFonts w:asciiTheme="minorHAnsi" w:eastAsiaTheme="minorEastAsia" w:hAnsiTheme="minorHAnsi" w:cstheme="minorBidi"/>
              <w:color w:val="auto"/>
              <w:szCs w:val="22"/>
            </w:rPr>
          </w:pPr>
          <w:hyperlink w:anchor="_Toc46133672" w:history="1">
            <w:r w:rsidR="009A4C3F" w:rsidRPr="00A97C72">
              <w:rPr>
                <w:rStyle w:val="Hyperlink"/>
              </w:rPr>
              <w:t>Outline of appendix</w:t>
            </w:r>
            <w:r w:rsidR="009A4C3F">
              <w:rPr>
                <w:webHidden/>
              </w:rPr>
              <w:tab/>
            </w:r>
            <w:r w:rsidR="009A4C3F">
              <w:rPr>
                <w:webHidden/>
              </w:rPr>
              <w:fldChar w:fldCharType="begin"/>
            </w:r>
            <w:r w:rsidR="009A4C3F">
              <w:rPr>
                <w:webHidden/>
              </w:rPr>
              <w:instrText xml:space="preserve"> PAGEREF _Toc46133672 \h </w:instrText>
            </w:r>
            <w:r w:rsidR="009A4C3F">
              <w:rPr>
                <w:webHidden/>
              </w:rPr>
            </w:r>
            <w:r w:rsidR="009A4C3F">
              <w:rPr>
                <w:webHidden/>
              </w:rPr>
              <w:fldChar w:fldCharType="separate"/>
            </w:r>
            <w:r w:rsidR="00891058">
              <w:rPr>
                <w:webHidden/>
              </w:rPr>
              <w:t>477</w:t>
            </w:r>
            <w:r w:rsidR="009A4C3F">
              <w:rPr>
                <w:webHidden/>
              </w:rPr>
              <w:fldChar w:fldCharType="end"/>
            </w:r>
          </w:hyperlink>
        </w:p>
        <w:p w14:paraId="29392E03" w14:textId="3DD99C92" w:rsidR="009A4C3F" w:rsidRDefault="007B222E">
          <w:pPr>
            <w:pStyle w:val="TOC2"/>
            <w:rPr>
              <w:rFonts w:asciiTheme="minorHAnsi" w:eastAsiaTheme="minorEastAsia" w:hAnsiTheme="minorHAnsi" w:cstheme="minorBidi"/>
              <w:color w:val="auto"/>
              <w:szCs w:val="22"/>
            </w:rPr>
          </w:pPr>
          <w:hyperlink w:anchor="_Toc46133673" w:history="1">
            <w:r w:rsidR="009A4C3F" w:rsidRPr="00A97C72">
              <w:rPr>
                <w:rStyle w:val="Hyperlink"/>
              </w:rPr>
              <w:t>Evidence on the effect of changes in the Superannuation Guarantee on wages growth</w:t>
            </w:r>
            <w:r w:rsidR="009A4C3F">
              <w:rPr>
                <w:webHidden/>
              </w:rPr>
              <w:tab/>
            </w:r>
            <w:r w:rsidR="009A4C3F">
              <w:rPr>
                <w:webHidden/>
              </w:rPr>
              <w:fldChar w:fldCharType="begin"/>
            </w:r>
            <w:r w:rsidR="009A4C3F">
              <w:rPr>
                <w:webHidden/>
              </w:rPr>
              <w:instrText xml:space="preserve"> PAGEREF _Toc46133673 \h </w:instrText>
            </w:r>
            <w:r w:rsidR="009A4C3F">
              <w:rPr>
                <w:webHidden/>
              </w:rPr>
            </w:r>
            <w:r w:rsidR="009A4C3F">
              <w:rPr>
                <w:webHidden/>
              </w:rPr>
              <w:fldChar w:fldCharType="separate"/>
            </w:r>
            <w:r w:rsidR="00891058">
              <w:rPr>
                <w:webHidden/>
              </w:rPr>
              <w:t>477</w:t>
            </w:r>
            <w:r w:rsidR="009A4C3F">
              <w:rPr>
                <w:webHidden/>
              </w:rPr>
              <w:fldChar w:fldCharType="end"/>
            </w:r>
          </w:hyperlink>
        </w:p>
        <w:p w14:paraId="11A6DED1" w14:textId="3B9D69D5" w:rsidR="009A4C3F" w:rsidRDefault="007B222E">
          <w:pPr>
            <w:pStyle w:val="TOC2"/>
            <w:rPr>
              <w:rFonts w:asciiTheme="minorHAnsi" w:eastAsiaTheme="minorEastAsia" w:hAnsiTheme="minorHAnsi" w:cstheme="minorBidi"/>
              <w:color w:val="auto"/>
              <w:szCs w:val="22"/>
            </w:rPr>
          </w:pPr>
          <w:hyperlink w:anchor="_Toc46133674" w:history="1">
            <w:r w:rsidR="009A4C3F" w:rsidRPr="00A97C72">
              <w:rPr>
                <w:rStyle w:val="Hyperlink"/>
              </w:rPr>
              <w:t>Evidence on the spending growth needed in retirement</w:t>
            </w:r>
            <w:r w:rsidR="009A4C3F">
              <w:rPr>
                <w:webHidden/>
              </w:rPr>
              <w:tab/>
            </w:r>
            <w:r w:rsidR="009A4C3F">
              <w:rPr>
                <w:webHidden/>
              </w:rPr>
              <w:fldChar w:fldCharType="begin"/>
            </w:r>
            <w:r w:rsidR="009A4C3F">
              <w:rPr>
                <w:webHidden/>
              </w:rPr>
              <w:instrText xml:space="preserve"> PAGEREF _Toc46133674 \h </w:instrText>
            </w:r>
            <w:r w:rsidR="009A4C3F">
              <w:rPr>
                <w:webHidden/>
              </w:rPr>
            </w:r>
            <w:r w:rsidR="009A4C3F">
              <w:rPr>
                <w:webHidden/>
              </w:rPr>
              <w:fldChar w:fldCharType="separate"/>
            </w:r>
            <w:r w:rsidR="00891058">
              <w:rPr>
                <w:webHidden/>
              </w:rPr>
              <w:t>486</w:t>
            </w:r>
            <w:r w:rsidR="009A4C3F">
              <w:rPr>
                <w:webHidden/>
              </w:rPr>
              <w:fldChar w:fldCharType="end"/>
            </w:r>
          </w:hyperlink>
        </w:p>
        <w:p w14:paraId="49BEB478" w14:textId="7A06EB48" w:rsidR="009A4C3F" w:rsidRDefault="007B222E">
          <w:pPr>
            <w:pStyle w:val="TOC2"/>
            <w:rPr>
              <w:rFonts w:asciiTheme="minorHAnsi" w:eastAsiaTheme="minorEastAsia" w:hAnsiTheme="minorHAnsi" w:cstheme="minorBidi"/>
              <w:color w:val="auto"/>
              <w:szCs w:val="22"/>
            </w:rPr>
          </w:pPr>
          <w:hyperlink w:anchor="_Toc46133675" w:history="1">
            <w:r w:rsidR="009A4C3F" w:rsidRPr="00A97C72">
              <w:rPr>
                <w:rStyle w:val="Hyperlink"/>
              </w:rPr>
              <w:t>Evidence for the adequacy benchmark</w:t>
            </w:r>
            <w:r w:rsidR="009A4C3F">
              <w:rPr>
                <w:webHidden/>
              </w:rPr>
              <w:tab/>
            </w:r>
            <w:r w:rsidR="009A4C3F">
              <w:rPr>
                <w:webHidden/>
              </w:rPr>
              <w:fldChar w:fldCharType="begin"/>
            </w:r>
            <w:r w:rsidR="009A4C3F">
              <w:rPr>
                <w:webHidden/>
              </w:rPr>
              <w:instrText xml:space="preserve"> PAGEREF _Toc46133675 \h </w:instrText>
            </w:r>
            <w:r w:rsidR="009A4C3F">
              <w:rPr>
                <w:webHidden/>
              </w:rPr>
            </w:r>
            <w:r w:rsidR="009A4C3F">
              <w:rPr>
                <w:webHidden/>
              </w:rPr>
              <w:fldChar w:fldCharType="separate"/>
            </w:r>
            <w:r w:rsidR="00891058">
              <w:rPr>
                <w:webHidden/>
              </w:rPr>
              <w:t>494</w:t>
            </w:r>
            <w:r w:rsidR="009A4C3F">
              <w:rPr>
                <w:webHidden/>
              </w:rPr>
              <w:fldChar w:fldCharType="end"/>
            </w:r>
          </w:hyperlink>
        </w:p>
        <w:p w14:paraId="341E3071" w14:textId="3A9FE07B" w:rsidR="009A4C3F" w:rsidRDefault="007B222E">
          <w:pPr>
            <w:pStyle w:val="TOC2"/>
            <w:rPr>
              <w:rFonts w:asciiTheme="minorHAnsi" w:eastAsiaTheme="minorEastAsia" w:hAnsiTheme="minorHAnsi" w:cstheme="minorBidi"/>
              <w:color w:val="auto"/>
              <w:szCs w:val="22"/>
            </w:rPr>
          </w:pPr>
          <w:hyperlink w:anchor="_Toc46133676" w:history="1">
            <w:r w:rsidR="009A4C3F" w:rsidRPr="00A97C72">
              <w:rPr>
                <w:rStyle w:val="Hyperlink"/>
              </w:rPr>
              <w:t>ASFA comfortable standard as an adequacy objective</w:t>
            </w:r>
            <w:r w:rsidR="009A4C3F">
              <w:rPr>
                <w:webHidden/>
              </w:rPr>
              <w:tab/>
            </w:r>
            <w:r w:rsidR="009A4C3F">
              <w:rPr>
                <w:webHidden/>
              </w:rPr>
              <w:fldChar w:fldCharType="begin"/>
            </w:r>
            <w:r w:rsidR="009A4C3F">
              <w:rPr>
                <w:webHidden/>
              </w:rPr>
              <w:instrText xml:space="preserve"> PAGEREF _Toc46133676 \h </w:instrText>
            </w:r>
            <w:r w:rsidR="009A4C3F">
              <w:rPr>
                <w:webHidden/>
              </w:rPr>
            </w:r>
            <w:r w:rsidR="009A4C3F">
              <w:rPr>
                <w:webHidden/>
              </w:rPr>
              <w:fldChar w:fldCharType="separate"/>
            </w:r>
            <w:r w:rsidR="00891058">
              <w:rPr>
                <w:webHidden/>
              </w:rPr>
              <w:t>499</w:t>
            </w:r>
            <w:r w:rsidR="009A4C3F">
              <w:rPr>
                <w:webHidden/>
              </w:rPr>
              <w:fldChar w:fldCharType="end"/>
            </w:r>
          </w:hyperlink>
        </w:p>
        <w:p w14:paraId="05353885" w14:textId="4BE0D9A9" w:rsidR="009A4C3F" w:rsidRDefault="007B222E">
          <w:pPr>
            <w:pStyle w:val="TOC2"/>
            <w:rPr>
              <w:rFonts w:asciiTheme="minorHAnsi" w:eastAsiaTheme="minorEastAsia" w:hAnsiTheme="minorHAnsi" w:cstheme="minorBidi"/>
              <w:color w:val="auto"/>
              <w:szCs w:val="22"/>
            </w:rPr>
          </w:pPr>
          <w:hyperlink w:anchor="_Toc46133677" w:history="1">
            <w:r w:rsidR="009A4C3F" w:rsidRPr="00A97C72">
              <w:rPr>
                <w:rStyle w:val="Hyperlink"/>
              </w:rPr>
              <w:t>Retirement income cameo model — assumptions and methodology</w:t>
            </w:r>
            <w:r w:rsidR="009A4C3F">
              <w:rPr>
                <w:webHidden/>
              </w:rPr>
              <w:tab/>
            </w:r>
            <w:r w:rsidR="009A4C3F">
              <w:rPr>
                <w:webHidden/>
              </w:rPr>
              <w:fldChar w:fldCharType="begin"/>
            </w:r>
            <w:r w:rsidR="009A4C3F">
              <w:rPr>
                <w:webHidden/>
              </w:rPr>
              <w:instrText xml:space="preserve"> PAGEREF _Toc46133677 \h </w:instrText>
            </w:r>
            <w:r w:rsidR="009A4C3F">
              <w:rPr>
                <w:webHidden/>
              </w:rPr>
            </w:r>
            <w:r w:rsidR="009A4C3F">
              <w:rPr>
                <w:webHidden/>
              </w:rPr>
              <w:fldChar w:fldCharType="separate"/>
            </w:r>
            <w:r w:rsidR="00891058">
              <w:rPr>
                <w:webHidden/>
              </w:rPr>
              <w:t>501</w:t>
            </w:r>
            <w:r w:rsidR="009A4C3F">
              <w:rPr>
                <w:webHidden/>
              </w:rPr>
              <w:fldChar w:fldCharType="end"/>
            </w:r>
          </w:hyperlink>
        </w:p>
        <w:p w14:paraId="65C5F525" w14:textId="1C3C56AA" w:rsidR="009A4C3F" w:rsidRDefault="007B222E">
          <w:pPr>
            <w:pStyle w:val="TOC2"/>
            <w:rPr>
              <w:rFonts w:asciiTheme="minorHAnsi" w:eastAsiaTheme="minorEastAsia" w:hAnsiTheme="minorHAnsi" w:cstheme="minorBidi"/>
              <w:color w:val="auto"/>
              <w:szCs w:val="22"/>
            </w:rPr>
          </w:pPr>
          <w:hyperlink w:anchor="_Toc46133678" w:history="1">
            <w:r w:rsidR="009A4C3F" w:rsidRPr="00A97C72">
              <w:rPr>
                <w:rStyle w:val="Hyperlink"/>
              </w:rPr>
              <w:t>Benchmarking the review’s cameo model</w:t>
            </w:r>
            <w:r w:rsidR="009A4C3F">
              <w:rPr>
                <w:webHidden/>
              </w:rPr>
              <w:tab/>
            </w:r>
            <w:r w:rsidR="009A4C3F">
              <w:rPr>
                <w:webHidden/>
              </w:rPr>
              <w:fldChar w:fldCharType="begin"/>
            </w:r>
            <w:r w:rsidR="009A4C3F">
              <w:rPr>
                <w:webHidden/>
              </w:rPr>
              <w:instrText xml:space="preserve"> PAGEREF _Toc46133678 \h </w:instrText>
            </w:r>
            <w:r w:rsidR="009A4C3F">
              <w:rPr>
                <w:webHidden/>
              </w:rPr>
            </w:r>
            <w:r w:rsidR="009A4C3F">
              <w:rPr>
                <w:webHidden/>
              </w:rPr>
              <w:fldChar w:fldCharType="separate"/>
            </w:r>
            <w:r w:rsidR="00891058">
              <w:rPr>
                <w:webHidden/>
              </w:rPr>
              <w:t>534</w:t>
            </w:r>
            <w:r w:rsidR="009A4C3F">
              <w:rPr>
                <w:webHidden/>
              </w:rPr>
              <w:fldChar w:fldCharType="end"/>
            </w:r>
          </w:hyperlink>
        </w:p>
        <w:p w14:paraId="765A7A6F" w14:textId="032F3218" w:rsidR="009A4C3F" w:rsidRDefault="007B222E">
          <w:pPr>
            <w:pStyle w:val="TOC2"/>
            <w:rPr>
              <w:rFonts w:asciiTheme="minorHAnsi" w:eastAsiaTheme="minorEastAsia" w:hAnsiTheme="minorHAnsi" w:cstheme="minorBidi"/>
              <w:color w:val="auto"/>
              <w:szCs w:val="22"/>
            </w:rPr>
          </w:pPr>
          <w:hyperlink w:anchor="_Toc46133679" w:history="1">
            <w:r w:rsidR="009A4C3F" w:rsidRPr="00A97C72">
              <w:rPr>
                <w:rStyle w:val="Hyperlink"/>
              </w:rPr>
              <w:t>Model of Australian Retirement Incomes and Assets</w:t>
            </w:r>
            <w:r w:rsidR="009A4C3F">
              <w:rPr>
                <w:webHidden/>
              </w:rPr>
              <w:tab/>
            </w:r>
            <w:r w:rsidR="009A4C3F">
              <w:rPr>
                <w:webHidden/>
              </w:rPr>
              <w:fldChar w:fldCharType="begin"/>
            </w:r>
            <w:r w:rsidR="009A4C3F">
              <w:rPr>
                <w:webHidden/>
              </w:rPr>
              <w:instrText xml:space="preserve"> PAGEREF _Toc46133679 \h </w:instrText>
            </w:r>
            <w:r w:rsidR="009A4C3F">
              <w:rPr>
                <w:webHidden/>
              </w:rPr>
            </w:r>
            <w:r w:rsidR="009A4C3F">
              <w:rPr>
                <w:webHidden/>
              </w:rPr>
              <w:fldChar w:fldCharType="separate"/>
            </w:r>
            <w:r w:rsidR="00891058">
              <w:rPr>
                <w:webHidden/>
              </w:rPr>
              <w:t>539</w:t>
            </w:r>
            <w:r w:rsidR="009A4C3F">
              <w:rPr>
                <w:webHidden/>
              </w:rPr>
              <w:fldChar w:fldCharType="end"/>
            </w:r>
          </w:hyperlink>
        </w:p>
        <w:p w14:paraId="0817E70B" w14:textId="013A6E1A" w:rsidR="009A4C3F" w:rsidRDefault="007B222E">
          <w:pPr>
            <w:pStyle w:val="TOC2"/>
            <w:rPr>
              <w:rFonts w:asciiTheme="minorHAnsi" w:eastAsiaTheme="minorEastAsia" w:hAnsiTheme="minorHAnsi" w:cstheme="minorBidi"/>
              <w:color w:val="auto"/>
              <w:szCs w:val="22"/>
            </w:rPr>
          </w:pPr>
          <w:hyperlink w:anchor="_Toc46133680" w:history="1">
            <w:r w:rsidR="009A4C3F" w:rsidRPr="00A97C72">
              <w:rPr>
                <w:rStyle w:val="Hyperlink"/>
              </w:rPr>
              <w:t>Superannuation, Pension and other Retirement OUTcomes</w:t>
            </w:r>
            <w:r w:rsidR="009A4C3F">
              <w:rPr>
                <w:webHidden/>
              </w:rPr>
              <w:tab/>
            </w:r>
            <w:r w:rsidR="009A4C3F">
              <w:rPr>
                <w:webHidden/>
              </w:rPr>
              <w:fldChar w:fldCharType="begin"/>
            </w:r>
            <w:r w:rsidR="009A4C3F">
              <w:rPr>
                <w:webHidden/>
              </w:rPr>
              <w:instrText xml:space="preserve"> PAGEREF _Toc46133680 \h </w:instrText>
            </w:r>
            <w:r w:rsidR="009A4C3F">
              <w:rPr>
                <w:webHidden/>
              </w:rPr>
            </w:r>
            <w:r w:rsidR="009A4C3F">
              <w:rPr>
                <w:webHidden/>
              </w:rPr>
              <w:fldChar w:fldCharType="separate"/>
            </w:r>
            <w:r w:rsidR="00891058">
              <w:rPr>
                <w:webHidden/>
              </w:rPr>
              <w:t>544</w:t>
            </w:r>
            <w:r w:rsidR="009A4C3F">
              <w:rPr>
                <w:webHidden/>
              </w:rPr>
              <w:fldChar w:fldCharType="end"/>
            </w:r>
          </w:hyperlink>
        </w:p>
        <w:p w14:paraId="18074812" w14:textId="11BB7279" w:rsidR="009A4C3F" w:rsidRDefault="007B222E">
          <w:pPr>
            <w:pStyle w:val="TOC2"/>
            <w:rPr>
              <w:rFonts w:asciiTheme="minorHAnsi" w:eastAsiaTheme="minorEastAsia" w:hAnsiTheme="minorHAnsi" w:cstheme="minorBidi"/>
              <w:color w:val="auto"/>
              <w:szCs w:val="22"/>
            </w:rPr>
          </w:pPr>
          <w:hyperlink w:anchor="_Toc46133681" w:history="1">
            <w:r w:rsidR="009A4C3F" w:rsidRPr="00A97C72">
              <w:rPr>
                <w:rStyle w:val="Hyperlink"/>
              </w:rPr>
              <w:t>Modelling financial stress</w:t>
            </w:r>
            <w:r w:rsidR="009A4C3F">
              <w:rPr>
                <w:webHidden/>
              </w:rPr>
              <w:tab/>
            </w:r>
            <w:r w:rsidR="009A4C3F">
              <w:rPr>
                <w:webHidden/>
              </w:rPr>
              <w:fldChar w:fldCharType="begin"/>
            </w:r>
            <w:r w:rsidR="009A4C3F">
              <w:rPr>
                <w:webHidden/>
              </w:rPr>
              <w:instrText xml:space="preserve"> PAGEREF _Toc46133681 \h </w:instrText>
            </w:r>
            <w:r w:rsidR="009A4C3F">
              <w:rPr>
                <w:webHidden/>
              </w:rPr>
            </w:r>
            <w:r w:rsidR="009A4C3F">
              <w:rPr>
                <w:webHidden/>
              </w:rPr>
              <w:fldChar w:fldCharType="separate"/>
            </w:r>
            <w:r w:rsidR="00891058">
              <w:rPr>
                <w:webHidden/>
              </w:rPr>
              <w:t>549</w:t>
            </w:r>
            <w:r w:rsidR="009A4C3F">
              <w:rPr>
                <w:webHidden/>
              </w:rPr>
              <w:fldChar w:fldCharType="end"/>
            </w:r>
          </w:hyperlink>
        </w:p>
        <w:p w14:paraId="6A64A16B" w14:textId="670E8DF1" w:rsidR="009A4C3F" w:rsidRDefault="007B222E">
          <w:pPr>
            <w:pStyle w:val="TOC1"/>
            <w:tabs>
              <w:tab w:val="left" w:pos="1320"/>
            </w:tabs>
            <w:rPr>
              <w:rFonts w:asciiTheme="minorHAnsi" w:eastAsiaTheme="minorEastAsia" w:hAnsiTheme="minorHAnsi" w:cstheme="minorBidi"/>
              <w:b w:val="0"/>
              <w:color w:val="auto"/>
            </w:rPr>
          </w:pPr>
          <w:hyperlink w:anchor="_Toc46133682" w:history="1">
            <w:r w:rsidR="009A4C3F" w:rsidRPr="00A97C72">
              <w:rPr>
                <w:rStyle w:val="Hyperlink"/>
                <w:rFonts w:eastAsia="Calibri"/>
              </w:rPr>
              <w:t>Section 6B.</w:t>
            </w:r>
            <w:r w:rsidR="009A4C3F">
              <w:rPr>
                <w:rFonts w:asciiTheme="minorHAnsi" w:eastAsiaTheme="minorEastAsia" w:hAnsiTheme="minorHAnsi" w:cstheme="minorBidi"/>
                <w:b w:val="0"/>
                <w:color w:val="auto"/>
              </w:rPr>
              <w:tab/>
            </w:r>
            <w:r w:rsidR="009A4C3F" w:rsidRPr="00A97C72">
              <w:rPr>
                <w:rStyle w:val="Hyperlink"/>
                <w:rFonts w:eastAsia="Calibri"/>
              </w:rPr>
              <w:t>An example to illustrate the trade</w:t>
            </w:r>
            <w:r w:rsidR="009A4C3F" w:rsidRPr="00A97C72">
              <w:rPr>
                <w:rStyle w:val="Hyperlink"/>
                <w:rFonts w:eastAsia="Calibri"/>
              </w:rPr>
              <w:noBreakHyphen/>
              <w:t>offs of merging the income and assets tests</w:t>
            </w:r>
            <w:r w:rsidR="009A4C3F">
              <w:rPr>
                <w:webHidden/>
              </w:rPr>
              <w:tab/>
            </w:r>
            <w:r w:rsidR="009A4C3F">
              <w:rPr>
                <w:webHidden/>
              </w:rPr>
              <w:fldChar w:fldCharType="begin"/>
            </w:r>
            <w:r w:rsidR="009A4C3F">
              <w:rPr>
                <w:webHidden/>
              </w:rPr>
              <w:instrText xml:space="preserve"> PAGEREF _Toc46133682 \h </w:instrText>
            </w:r>
            <w:r w:rsidR="009A4C3F">
              <w:rPr>
                <w:webHidden/>
              </w:rPr>
            </w:r>
            <w:r w:rsidR="009A4C3F">
              <w:rPr>
                <w:webHidden/>
              </w:rPr>
              <w:fldChar w:fldCharType="separate"/>
            </w:r>
            <w:r w:rsidR="00891058">
              <w:rPr>
                <w:webHidden/>
              </w:rPr>
              <w:t>553</w:t>
            </w:r>
            <w:r w:rsidR="009A4C3F">
              <w:rPr>
                <w:webHidden/>
              </w:rPr>
              <w:fldChar w:fldCharType="end"/>
            </w:r>
          </w:hyperlink>
        </w:p>
        <w:p w14:paraId="31917FA1" w14:textId="1EC71EF7" w:rsidR="009A4C3F" w:rsidRDefault="007B222E">
          <w:pPr>
            <w:pStyle w:val="TOC2"/>
            <w:rPr>
              <w:rFonts w:asciiTheme="minorHAnsi" w:eastAsiaTheme="minorEastAsia" w:hAnsiTheme="minorHAnsi" w:cstheme="minorBidi"/>
              <w:color w:val="auto"/>
              <w:szCs w:val="22"/>
            </w:rPr>
          </w:pPr>
          <w:hyperlink w:anchor="_Toc46133683" w:history="1">
            <w:r w:rsidR="009A4C3F" w:rsidRPr="00A97C72">
              <w:rPr>
                <w:rStyle w:val="Hyperlink"/>
              </w:rPr>
              <w:t>Impact of the merged means test example</w:t>
            </w:r>
            <w:r w:rsidR="009A4C3F">
              <w:rPr>
                <w:webHidden/>
              </w:rPr>
              <w:tab/>
            </w:r>
            <w:r w:rsidR="009A4C3F">
              <w:rPr>
                <w:webHidden/>
              </w:rPr>
              <w:fldChar w:fldCharType="begin"/>
            </w:r>
            <w:r w:rsidR="009A4C3F">
              <w:rPr>
                <w:webHidden/>
              </w:rPr>
              <w:instrText xml:space="preserve"> PAGEREF _Toc46133683 \h </w:instrText>
            </w:r>
            <w:r w:rsidR="009A4C3F">
              <w:rPr>
                <w:webHidden/>
              </w:rPr>
            </w:r>
            <w:r w:rsidR="009A4C3F">
              <w:rPr>
                <w:webHidden/>
              </w:rPr>
              <w:fldChar w:fldCharType="separate"/>
            </w:r>
            <w:r w:rsidR="00891058">
              <w:rPr>
                <w:webHidden/>
              </w:rPr>
              <w:t>555</w:t>
            </w:r>
            <w:r w:rsidR="009A4C3F">
              <w:rPr>
                <w:webHidden/>
              </w:rPr>
              <w:fldChar w:fldCharType="end"/>
            </w:r>
          </w:hyperlink>
        </w:p>
        <w:p w14:paraId="35DA23B2" w14:textId="6BFB7E37" w:rsidR="009A4C3F" w:rsidRDefault="007B222E">
          <w:pPr>
            <w:pStyle w:val="TOC1"/>
            <w:tabs>
              <w:tab w:val="left" w:pos="1320"/>
            </w:tabs>
            <w:rPr>
              <w:rFonts w:asciiTheme="minorHAnsi" w:eastAsiaTheme="minorEastAsia" w:hAnsiTheme="minorHAnsi" w:cstheme="minorBidi"/>
              <w:b w:val="0"/>
              <w:color w:val="auto"/>
            </w:rPr>
          </w:pPr>
          <w:hyperlink w:anchor="_Toc46133684" w:history="1">
            <w:r w:rsidR="009A4C3F" w:rsidRPr="00A97C72">
              <w:rPr>
                <w:rStyle w:val="Hyperlink"/>
              </w:rPr>
              <w:t>Section 6C.</w:t>
            </w:r>
            <w:r w:rsidR="009A4C3F">
              <w:rPr>
                <w:rFonts w:asciiTheme="minorHAnsi" w:eastAsiaTheme="minorEastAsia" w:hAnsiTheme="minorHAnsi" w:cstheme="minorBidi"/>
                <w:b w:val="0"/>
                <w:color w:val="auto"/>
              </w:rPr>
              <w:tab/>
            </w:r>
            <w:r w:rsidR="009A4C3F" w:rsidRPr="00A97C72">
              <w:rPr>
                <w:rStyle w:val="Hyperlink"/>
              </w:rPr>
              <w:t>Outcomes of research</w:t>
            </w:r>
            <w:r w:rsidR="009A4C3F">
              <w:rPr>
                <w:webHidden/>
              </w:rPr>
              <w:tab/>
            </w:r>
            <w:r w:rsidR="009A4C3F">
              <w:rPr>
                <w:webHidden/>
              </w:rPr>
              <w:fldChar w:fldCharType="begin"/>
            </w:r>
            <w:r w:rsidR="009A4C3F">
              <w:rPr>
                <w:webHidden/>
              </w:rPr>
              <w:instrText xml:space="preserve"> PAGEREF _Toc46133684 \h </w:instrText>
            </w:r>
            <w:r w:rsidR="009A4C3F">
              <w:rPr>
                <w:webHidden/>
              </w:rPr>
            </w:r>
            <w:r w:rsidR="009A4C3F">
              <w:rPr>
                <w:webHidden/>
              </w:rPr>
              <w:fldChar w:fldCharType="separate"/>
            </w:r>
            <w:r w:rsidR="00891058">
              <w:rPr>
                <w:webHidden/>
              </w:rPr>
              <w:t>563</w:t>
            </w:r>
            <w:r w:rsidR="009A4C3F">
              <w:rPr>
                <w:webHidden/>
              </w:rPr>
              <w:fldChar w:fldCharType="end"/>
            </w:r>
          </w:hyperlink>
        </w:p>
        <w:p w14:paraId="0C984633" w14:textId="0D30EB35" w:rsidR="009A4C3F" w:rsidRDefault="007B222E">
          <w:pPr>
            <w:pStyle w:val="TOC1"/>
            <w:tabs>
              <w:tab w:val="left" w:pos="1320"/>
            </w:tabs>
            <w:rPr>
              <w:rFonts w:asciiTheme="minorHAnsi" w:eastAsiaTheme="minorEastAsia" w:hAnsiTheme="minorHAnsi" w:cstheme="minorBidi"/>
              <w:b w:val="0"/>
              <w:color w:val="auto"/>
            </w:rPr>
          </w:pPr>
          <w:hyperlink w:anchor="_Toc46133685" w:history="1">
            <w:r w:rsidR="009A4C3F" w:rsidRPr="00A97C72">
              <w:rPr>
                <w:rStyle w:val="Hyperlink"/>
              </w:rPr>
              <w:t>Section 6D.</w:t>
            </w:r>
            <w:r w:rsidR="009A4C3F">
              <w:rPr>
                <w:rFonts w:asciiTheme="minorHAnsi" w:eastAsiaTheme="minorEastAsia" w:hAnsiTheme="minorHAnsi" w:cstheme="minorBidi"/>
                <w:b w:val="0"/>
                <w:color w:val="auto"/>
              </w:rPr>
              <w:tab/>
            </w:r>
            <w:r w:rsidR="009A4C3F" w:rsidRPr="00A97C72">
              <w:rPr>
                <w:rStyle w:val="Hyperlink"/>
              </w:rPr>
              <w:t>Supplementary equity charts</w:t>
            </w:r>
            <w:r w:rsidR="009A4C3F">
              <w:rPr>
                <w:webHidden/>
              </w:rPr>
              <w:tab/>
            </w:r>
            <w:r w:rsidR="009A4C3F">
              <w:rPr>
                <w:webHidden/>
              </w:rPr>
              <w:fldChar w:fldCharType="begin"/>
            </w:r>
            <w:r w:rsidR="009A4C3F">
              <w:rPr>
                <w:webHidden/>
              </w:rPr>
              <w:instrText xml:space="preserve"> PAGEREF _Toc46133685 \h </w:instrText>
            </w:r>
            <w:r w:rsidR="009A4C3F">
              <w:rPr>
                <w:webHidden/>
              </w:rPr>
            </w:r>
            <w:r w:rsidR="009A4C3F">
              <w:rPr>
                <w:webHidden/>
              </w:rPr>
              <w:fldChar w:fldCharType="separate"/>
            </w:r>
            <w:r w:rsidR="00891058">
              <w:rPr>
                <w:webHidden/>
              </w:rPr>
              <w:t>573</w:t>
            </w:r>
            <w:r w:rsidR="009A4C3F">
              <w:rPr>
                <w:webHidden/>
              </w:rPr>
              <w:fldChar w:fldCharType="end"/>
            </w:r>
          </w:hyperlink>
        </w:p>
        <w:p w14:paraId="48C9C088" w14:textId="5063890B" w:rsidR="009A4C3F" w:rsidRDefault="007B222E">
          <w:pPr>
            <w:pStyle w:val="TOC2"/>
            <w:rPr>
              <w:rFonts w:asciiTheme="minorHAnsi" w:eastAsiaTheme="minorEastAsia" w:hAnsiTheme="minorHAnsi" w:cstheme="minorBidi"/>
              <w:color w:val="auto"/>
              <w:szCs w:val="22"/>
            </w:rPr>
          </w:pPr>
          <w:hyperlink w:anchor="_Toc46133686" w:history="1">
            <w:r w:rsidR="009A4C3F" w:rsidRPr="00A97C72">
              <w:rPr>
                <w:rStyle w:val="Hyperlink"/>
              </w:rPr>
              <w:t>Income and wealth distribution</w:t>
            </w:r>
            <w:r w:rsidR="009A4C3F">
              <w:rPr>
                <w:webHidden/>
              </w:rPr>
              <w:tab/>
            </w:r>
            <w:r w:rsidR="009A4C3F">
              <w:rPr>
                <w:webHidden/>
              </w:rPr>
              <w:fldChar w:fldCharType="begin"/>
            </w:r>
            <w:r w:rsidR="009A4C3F">
              <w:rPr>
                <w:webHidden/>
              </w:rPr>
              <w:instrText xml:space="preserve"> PAGEREF _Toc46133686 \h </w:instrText>
            </w:r>
            <w:r w:rsidR="009A4C3F">
              <w:rPr>
                <w:webHidden/>
              </w:rPr>
            </w:r>
            <w:r w:rsidR="009A4C3F">
              <w:rPr>
                <w:webHidden/>
              </w:rPr>
              <w:fldChar w:fldCharType="separate"/>
            </w:r>
            <w:r w:rsidR="00891058">
              <w:rPr>
                <w:webHidden/>
              </w:rPr>
              <w:t>573</w:t>
            </w:r>
            <w:r w:rsidR="009A4C3F">
              <w:rPr>
                <w:webHidden/>
              </w:rPr>
              <w:fldChar w:fldCharType="end"/>
            </w:r>
          </w:hyperlink>
        </w:p>
        <w:p w14:paraId="7EEC0F79" w14:textId="69B5DEF8" w:rsidR="009A4C3F" w:rsidRDefault="007B222E">
          <w:pPr>
            <w:pStyle w:val="TOC2"/>
            <w:rPr>
              <w:rFonts w:asciiTheme="minorHAnsi" w:eastAsiaTheme="minorEastAsia" w:hAnsiTheme="minorHAnsi" w:cstheme="minorBidi"/>
              <w:color w:val="auto"/>
              <w:szCs w:val="22"/>
            </w:rPr>
          </w:pPr>
          <w:hyperlink w:anchor="_Toc46133687" w:history="1">
            <w:r w:rsidR="009A4C3F" w:rsidRPr="00A97C72">
              <w:rPr>
                <w:rStyle w:val="Hyperlink"/>
              </w:rPr>
              <w:t>Gender and partnered status</w:t>
            </w:r>
            <w:r w:rsidR="009A4C3F">
              <w:rPr>
                <w:webHidden/>
              </w:rPr>
              <w:tab/>
            </w:r>
            <w:r w:rsidR="009A4C3F">
              <w:rPr>
                <w:webHidden/>
              </w:rPr>
              <w:fldChar w:fldCharType="begin"/>
            </w:r>
            <w:r w:rsidR="009A4C3F">
              <w:rPr>
                <w:webHidden/>
              </w:rPr>
              <w:instrText xml:space="preserve"> PAGEREF _Toc46133687 \h </w:instrText>
            </w:r>
            <w:r w:rsidR="009A4C3F">
              <w:rPr>
                <w:webHidden/>
              </w:rPr>
            </w:r>
            <w:r w:rsidR="009A4C3F">
              <w:rPr>
                <w:webHidden/>
              </w:rPr>
              <w:fldChar w:fldCharType="separate"/>
            </w:r>
            <w:r w:rsidR="00891058">
              <w:rPr>
                <w:webHidden/>
              </w:rPr>
              <w:t>573</w:t>
            </w:r>
            <w:r w:rsidR="009A4C3F">
              <w:rPr>
                <w:webHidden/>
              </w:rPr>
              <w:fldChar w:fldCharType="end"/>
            </w:r>
          </w:hyperlink>
        </w:p>
        <w:p w14:paraId="411A8EA4" w14:textId="536FFA1A" w:rsidR="009A4C3F" w:rsidRDefault="007B222E">
          <w:pPr>
            <w:pStyle w:val="TOC2"/>
            <w:rPr>
              <w:rFonts w:asciiTheme="minorHAnsi" w:eastAsiaTheme="minorEastAsia" w:hAnsiTheme="minorHAnsi" w:cstheme="minorBidi"/>
              <w:color w:val="auto"/>
              <w:szCs w:val="22"/>
            </w:rPr>
          </w:pPr>
          <w:hyperlink w:anchor="_Toc46133688" w:history="1">
            <w:r w:rsidR="009A4C3F" w:rsidRPr="00A97C72">
              <w:rPr>
                <w:rStyle w:val="Hyperlink"/>
              </w:rPr>
              <w:t>Age of retirement</w:t>
            </w:r>
            <w:r w:rsidR="009A4C3F">
              <w:rPr>
                <w:webHidden/>
              </w:rPr>
              <w:tab/>
            </w:r>
            <w:r w:rsidR="009A4C3F">
              <w:rPr>
                <w:webHidden/>
              </w:rPr>
              <w:fldChar w:fldCharType="begin"/>
            </w:r>
            <w:r w:rsidR="009A4C3F">
              <w:rPr>
                <w:webHidden/>
              </w:rPr>
              <w:instrText xml:space="preserve"> PAGEREF _Toc46133688 \h </w:instrText>
            </w:r>
            <w:r w:rsidR="009A4C3F">
              <w:rPr>
                <w:webHidden/>
              </w:rPr>
            </w:r>
            <w:r w:rsidR="009A4C3F">
              <w:rPr>
                <w:webHidden/>
              </w:rPr>
              <w:fldChar w:fldCharType="separate"/>
            </w:r>
            <w:r w:rsidR="00891058">
              <w:rPr>
                <w:webHidden/>
              </w:rPr>
              <w:t>588</w:t>
            </w:r>
            <w:r w:rsidR="009A4C3F">
              <w:rPr>
                <w:webHidden/>
              </w:rPr>
              <w:fldChar w:fldCharType="end"/>
            </w:r>
          </w:hyperlink>
        </w:p>
        <w:p w14:paraId="32DF02D2" w14:textId="22A547E8" w:rsidR="009A4C3F" w:rsidRDefault="007B222E">
          <w:pPr>
            <w:pStyle w:val="TOC2"/>
            <w:rPr>
              <w:rFonts w:asciiTheme="minorHAnsi" w:eastAsiaTheme="minorEastAsia" w:hAnsiTheme="minorHAnsi" w:cstheme="minorBidi"/>
              <w:color w:val="auto"/>
              <w:szCs w:val="22"/>
            </w:rPr>
          </w:pPr>
          <w:hyperlink w:anchor="_Toc46133689" w:history="1">
            <w:r w:rsidR="009A4C3F" w:rsidRPr="00A97C72">
              <w:rPr>
                <w:rStyle w:val="Hyperlink"/>
              </w:rPr>
              <w:t>Intergenerational equity</w:t>
            </w:r>
            <w:r w:rsidR="009A4C3F">
              <w:rPr>
                <w:webHidden/>
              </w:rPr>
              <w:tab/>
            </w:r>
            <w:r w:rsidR="009A4C3F">
              <w:rPr>
                <w:webHidden/>
              </w:rPr>
              <w:fldChar w:fldCharType="begin"/>
            </w:r>
            <w:r w:rsidR="009A4C3F">
              <w:rPr>
                <w:webHidden/>
              </w:rPr>
              <w:instrText xml:space="preserve"> PAGEREF _Toc46133689 \h </w:instrText>
            </w:r>
            <w:r w:rsidR="009A4C3F">
              <w:rPr>
                <w:webHidden/>
              </w:rPr>
            </w:r>
            <w:r w:rsidR="009A4C3F">
              <w:rPr>
                <w:webHidden/>
              </w:rPr>
              <w:fldChar w:fldCharType="separate"/>
            </w:r>
            <w:r w:rsidR="00891058">
              <w:rPr>
                <w:webHidden/>
              </w:rPr>
              <w:t>593</w:t>
            </w:r>
            <w:r w:rsidR="009A4C3F">
              <w:rPr>
                <w:webHidden/>
              </w:rPr>
              <w:fldChar w:fldCharType="end"/>
            </w:r>
          </w:hyperlink>
        </w:p>
        <w:p w14:paraId="307BF294" w14:textId="3A6CD0B3" w:rsidR="009A4C3F" w:rsidRDefault="007B222E">
          <w:pPr>
            <w:pStyle w:val="TOC1"/>
            <w:tabs>
              <w:tab w:val="left" w:pos="1320"/>
            </w:tabs>
            <w:rPr>
              <w:rFonts w:asciiTheme="minorHAnsi" w:eastAsiaTheme="minorEastAsia" w:hAnsiTheme="minorHAnsi" w:cstheme="minorBidi"/>
              <w:b w:val="0"/>
              <w:color w:val="auto"/>
            </w:rPr>
          </w:pPr>
          <w:hyperlink w:anchor="_Toc46133690" w:history="1">
            <w:r w:rsidR="009A4C3F" w:rsidRPr="00A97C72">
              <w:rPr>
                <w:rStyle w:val="Hyperlink"/>
              </w:rPr>
              <w:t>Section 6E.</w:t>
            </w:r>
            <w:r w:rsidR="009A4C3F">
              <w:rPr>
                <w:rFonts w:asciiTheme="minorHAnsi" w:eastAsiaTheme="minorEastAsia" w:hAnsiTheme="minorHAnsi" w:cstheme="minorBidi"/>
                <w:b w:val="0"/>
                <w:color w:val="auto"/>
              </w:rPr>
              <w:tab/>
            </w:r>
            <w:r w:rsidR="009A4C3F" w:rsidRPr="00A97C72">
              <w:rPr>
                <w:rStyle w:val="Hyperlink"/>
              </w:rPr>
              <w:t>Consultation process</w:t>
            </w:r>
            <w:r w:rsidR="009A4C3F">
              <w:rPr>
                <w:webHidden/>
              </w:rPr>
              <w:tab/>
            </w:r>
            <w:r w:rsidR="009A4C3F">
              <w:rPr>
                <w:webHidden/>
              </w:rPr>
              <w:fldChar w:fldCharType="begin"/>
            </w:r>
            <w:r w:rsidR="009A4C3F">
              <w:rPr>
                <w:webHidden/>
              </w:rPr>
              <w:instrText xml:space="preserve"> PAGEREF _Toc46133690 \h </w:instrText>
            </w:r>
            <w:r w:rsidR="009A4C3F">
              <w:rPr>
                <w:webHidden/>
              </w:rPr>
            </w:r>
            <w:r w:rsidR="009A4C3F">
              <w:rPr>
                <w:webHidden/>
              </w:rPr>
              <w:fldChar w:fldCharType="separate"/>
            </w:r>
            <w:r w:rsidR="00891058">
              <w:rPr>
                <w:webHidden/>
              </w:rPr>
              <w:t>595</w:t>
            </w:r>
            <w:r w:rsidR="009A4C3F">
              <w:rPr>
                <w:webHidden/>
              </w:rPr>
              <w:fldChar w:fldCharType="end"/>
            </w:r>
          </w:hyperlink>
        </w:p>
        <w:p w14:paraId="1E15EBC3" w14:textId="4010AE7A" w:rsidR="009A4C3F" w:rsidRDefault="007B222E">
          <w:pPr>
            <w:pStyle w:val="TOC2"/>
            <w:rPr>
              <w:rFonts w:asciiTheme="minorHAnsi" w:eastAsiaTheme="minorEastAsia" w:hAnsiTheme="minorHAnsi" w:cstheme="minorBidi"/>
              <w:color w:val="auto"/>
              <w:szCs w:val="22"/>
            </w:rPr>
          </w:pPr>
          <w:hyperlink w:anchor="_Toc46133691" w:history="1">
            <w:r w:rsidR="009A4C3F" w:rsidRPr="00A97C72">
              <w:rPr>
                <w:rStyle w:val="Hyperlink"/>
              </w:rPr>
              <w:t>Approach to the review</w:t>
            </w:r>
            <w:r w:rsidR="009A4C3F">
              <w:rPr>
                <w:webHidden/>
              </w:rPr>
              <w:tab/>
            </w:r>
            <w:r w:rsidR="009A4C3F">
              <w:rPr>
                <w:webHidden/>
              </w:rPr>
              <w:fldChar w:fldCharType="begin"/>
            </w:r>
            <w:r w:rsidR="009A4C3F">
              <w:rPr>
                <w:webHidden/>
              </w:rPr>
              <w:instrText xml:space="preserve"> PAGEREF _Toc46133691 \h </w:instrText>
            </w:r>
            <w:r w:rsidR="009A4C3F">
              <w:rPr>
                <w:webHidden/>
              </w:rPr>
            </w:r>
            <w:r w:rsidR="009A4C3F">
              <w:rPr>
                <w:webHidden/>
              </w:rPr>
              <w:fldChar w:fldCharType="separate"/>
            </w:r>
            <w:r w:rsidR="00891058">
              <w:rPr>
                <w:webHidden/>
              </w:rPr>
              <w:t>595</w:t>
            </w:r>
            <w:r w:rsidR="009A4C3F">
              <w:rPr>
                <w:webHidden/>
              </w:rPr>
              <w:fldChar w:fldCharType="end"/>
            </w:r>
          </w:hyperlink>
        </w:p>
        <w:p w14:paraId="4A026311" w14:textId="047B68E1" w:rsidR="009A4C3F" w:rsidRDefault="007B222E">
          <w:pPr>
            <w:pStyle w:val="TOC2"/>
            <w:rPr>
              <w:rFonts w:asciiTheme="minorHAnsi" w:eastAsiaTheme="minorEastAsia" w:hAnsiTheme="minorHAnsi" w:cstheme="minorBidi"/>
              <w:color w:val="auto"/>
              <w:szCs w:val="22"/>
            </w:rPr>
          </w:pPr>
          <w:hyperlink w:anchor="_Toc46133692" w:history="1">
            <w:r w:rsidR="009A4C3F" w:rsidRPr="00A97C72">
              <w:rPr>
                <w:rStyle w:val="Hyperlink"/>
              </w:rPr>
              <w:t>Consultation</w:t>
            </w:r>
            <w:r w:rsidR="009A4C3F">
              <w:rPr>
                <w:webHidden/>
              </w:rPr>
              <w:tab/>
            </w:r>
            <w:r w:rsidR="009A4C3F">
              <w:rPr>
                <w:webHidden/>
              </w:rPr>
              <w:fldChar w:fldCharType="begin"/>
            </w:r>
            <w:r w:rsidR="009A4C3F">
              <w:rPr>
                <w:webHidden/>
              </w:rPr>
              <w:instrText xml:space="preserve"> PAGEREF _Toc46133692 \h </w:instrText>
            </w:r>
            <w:r w:rsidR="009A4C3F">
              <w:rPr>
                <w:webHidden/>
              </w:rPr>
            </w:r>
            <w:r w:rsidR="009A4C3F">
              <w:rPr>
                <w:webHidden/>
              </w:rPr>
              <w:fldChar w:fldCharType="separate"/>
            </w:r>
            <w:r w:rsidR="00891058">
              <w:rPr>
                <w:webHidden/>
              </w:rPr>
              <w:t>595</w:t>
            </w:r>
            <w:r w:rsidR="009A4C3F">
              <w:rPr>
                <w:webHidden/>
              </w:rPr>
              <w:fldChar w:fldCharType="end"/>
            </w:r>
          </w:hyperlink>
        </w:p>
        <w:p w14:paraId="589F6B1A" w14:textId="1901C553" w:rsidR="009A4C3F" w:rsidRDefault="007B222E">
          <w:pPr>
            <w:pStyle w:val="TOC2"/>
            <w:rPr>
              <w:rFonts w:asciiTheme="minorHAnsi" w:eastAsiaTheme="minorEastAsia" w:hAnsiTheme="minorHAnsi" w:cstheme="minorBidi"/>
              <w:color w:val="auto"/>
              <w:szCs w:val="22"/>
            </w:rPr>
          </w:pPr>
          <w:hyperlink w:anchor="_Toc46133693" w:history="1">
            <w:r w:rsidR="009A4C3F" w:rsidRPr="00A97C72">
              <w:rPr>
                <w:rStyle w:val="Hyperlink"/>
              </w:rPr>
              <w:t>Submissions</w:t>
            </w:r>
            <w:r w:rsidR="009A4C3F">
              <w:rPr>
                <w:webHidden/>
              </w:rPr>
              <w:tab/>
            </w:r>
            <w:r w:rsidR="009A4C3F">
              <w:rPr>
                <w:webHidden/>
              </w:rPr>
              <w:fldChar w:fldCharType="begin"/>
            </w:r>
            <w:r w:rsidR="009A4C3F">
              <w:rPr>
                <w:webHidden/>
              </w:rPr>
              <w:instrText xml:space="preserve"> PAGEREF _Toc46133693 \h </w:instrText>
            </w:r>
            <w:r w:rsidR="009A4C3F">
              <w:rPr>
                <w:webHidden/>
              </w:rPr>
            </w:r>
            <w:r w:rsidR="009A4C3F">
              <w:rPr>
                <w:webHidden/>
              </w:rPr>
              <w:fldChar w:fldCharType="separate"/>
            </w:r>
            <w:r w:rsidR="00891058">
              <w:rPr>
                <w:webHidden/>
              </w:rPr>
              <w:t>597</w:t>
            </w:r>
            <w:r w:rsidR="009A4C3F">
              <w:rPr>
                <w:webHidden/>
              </w:rPr>
              <w:fldChar w:fldCharType="end"/>
            </w:r>
          </w:hyperlink>
        </w:p>
        <w:p w14:paraId="76DC9BCF" w14:textId="1DB72ED9" w:rsidR="009A4C3F" w:rsidRDefault="007B222E">
          <w:pPr>
            <w:pStyle w:val="TOC1"/>
            <w:rPr>
              <w:rFonts w:asciiTheme="minorHAnsi" w:eastAsiaTheme="minorEastAsia" w:hAnsiTheme="minorHAnsi" w:cstheme="minorBidi"/>
              <w:b w:val="0"/>
              <w:color w:val="auto"/>
            </w:rPr>
          </w:pPr>
          <w:hyperlink w:anchor="_Toc46133694" w:history="1">
            <w:r w:rsidR="009A4C3F" w:rsidRPr="00A97C72">
              <w:rPr>
                <w:rStyle w:val="Hyperlink"/>
              </w:rPr>
              <w:t>References</w:t>
            </w:r>
            <w:r w:rsidR="009A4C3F">
              <w:rPr>
                <w:webHidden/>
              </w:rPr>
              <w:tab/>
            </w:r>
            <w:r w:rsidR="009A4C3F">
              <w:rPr>
                <w:webHidden/>
              </w:rPr>
              <w:fldChar w:fldCharType="begin"/>
            </w:r>
            <w:r w:rsidR="009A4C3F">
              <w:rPr>
                <w:webHidden/>
              </w:rPr>
              <w:instrText xml:space="preserve"> PAGEREF _Toc46133694 \h </w:instrText>
            </w:r>
            <w:r w:rsidR="009A4C3F">
              <w:rPr>
                <w:webHidden/>
              </w:rPr>
            </w:r>
            <w:r w:rsidR="009A4C3F">
              <w:rPr>
                <w:webHidden/>
              </w:rPr>
              <w:fldChar w:fldCharType="separate"/>
            </w:r>
            <w:r w:rsidR="00891058">
              <w:rPr>
                <w:webHidden/>
              </w:rPr>
              <w:t>603</w:t>
            </w:r>
            <w:r w:rsidR="009A4C3F">
              <w:rPr>
                <w:webHidden/>
              </w:rPr>
              <w:fldChar w:fldCharType="end"/>
            </w:r>
          </w:hyperlink>
        </w:p>
        <w:p w14:paraId="08524C76" w14:textId="77777777" w:rsidR="003A5EDD" w:rsidRPr="00027624" w:rsidRDefault="003A5EDD">
          <w:r w:rsidRPr="00027624">
            <w:rPr>
              <w:b/>
              <w:noProof/>
              <w:color w:val="144E60" w:themeColor="accent1"/>
              <w:szCs w:val="22"/>
            </w:rPr>
            <w:fldChar w:fldCharType="end"/>
          </w:r>
        </w:p>
      </w:sdtContent>
    </w:sdt>
    <w:p w14:paraId="584C12DF" w14:textId="77777777" w:rsidR="00E11EAF" w:rsidRDefault="00E11EAF" w:rsidP="00E11EAF">
      <w:pPr>
        <w:sectPr w:rsidR="00E11EAF" w:rsidSect="00302713">
          <w:headerReference w:type="first" r:id="rId31"/>
          <w:footerReference w:type="first" r:id="rId32"/>
          <w:type w:val="oddPage"/>
          <w:pgSz w:w="11906" w:h="16838" w:code="9"/>
          <w:pgMar w:top="1418" w:right="1418" w:bottom="1418" w:left="1418" w:header="709" w:footer="709" w:gutter="0"/>
          <w:pgNumType w:fmt="lowerRoman"/>
          <w:cols w:space="708"/>
          <w:titlePg/>
          <w:docGrid w:linePitch="360"/>
        </w:sectPr>
      </w:pPr>
      <w:bookmarkStart w:id="17" w:name="_Toc46133510"/>
    </w:p>
    <w:p w14:paraId="797CE434" w14:textId="77777777" w:rsidR="00403B25" w:rsidRPr="00027624" w:rsidRDefault="00403B25" w:rsidP="004273FE">
      <w:pPr>
        <w:pStyle w:val="Heading1notnumbered"/>
      </w:pPr>
      <w:r w:rsidRPr="00027624">
        <w:lastRenderedPageBreak/>
        <w:t>Terms of reference</w:t>
      </w:r>
      <w:bookmarkEnd w:id="4"/>
      <w:bookmarkEnd w:id="5"/>
      <w:bookmarkEnd w:id="6"/>
      <w:bookmarkEnd w:id="7"/>
      <w:bookmarkEnd w:id="8"/>
      <w:bookmarkEnd w:id="17"/>
      <w:bookmarkEnd w:id="16"/>
      <w:bookmarkEnd w:id="15"/>
      <w:bookmarkEnd w:id="14"/>
      <w:bookmarkEnd w:id="13"/>
      <w:bookmarkEnd w:id="12"/>
      <w:bookmarkEnd w:id="11"/>
    </w:p>
    <w:p w14:paraId="474B8E02" w14:textId="77777777" w:rsidR="00403B25" w:rsidRPr="00027624" w:rsidRDefault="00403B25" w:rsidP="00403B25">
      <w:r w:rsidRPr="00027624">
        <w:t xml:space="preserve">On 27 September 2019, the Treasurer, the Hon Josh Frydenberg MP, and the Minister for Superannuation, Financial Services and Financial Technology, Senator the Hon Jane Hume, announced the Government had commissioned an independent </w:t>
      </w:r>
      <w:r w:rsidR="0093422D" w:rsidRPr="00027624">
        <w:t>p</w:t>
      </w:r>
      <w:r w:rsidR="00820F53" w:rsidRPr="00027624">
        <w:t xml:space="preserve">anel to </w:t>
      </w:r>
      <w:r w:rsidRPr="00027624">
        <w:t>review the retirement income system.</w:t>
      </w:r>
    </w:p>
    <w:p w14:paraId="3893CAF4" w14:textId="77777777" w:rsidR="00403B25" w:rsidRPr="00027624" w:rsidRDefault="00403B25" w:rsidP="00403B25">
      <w:r w:rsidRPr="00027624">
        <w:t xml:space="preserve">The </w:t>
      </w:r>
      <w:r w:rsidR="005F1D42" w:rsidRPr="00027624">
        <w:t xml:space="preserve">review </w:t>
      </w:r>
      <w:r w:rsidR="00820F53" w:rsidRPr="00027624">
        <w:t xml:space="preserve">had </w:t>
      </w:r>
      <w:r w:rsidRPr="00027624">
        <w:t>the following terms of reference.</w:t>
      </w:r>
    </w:p>
    <w:tbl>
      <w:tblPr>
        <w:tblW w:w="5000" w:type="pct"/>
        <w:shd w:val="clear" w:color="auto" w:fill="DFD7E7" w:themeFill="accent3" w:themeFillTint="33"/>
        <w:tblLook w:val="01E0" w:firstRow="1" w:lastRow="1" w:firstColumn="1" w:lastColumn="1" w:noHBand="0" w:noVBand="0"/>
      </w:tblPr>
      <w:tblGrid>
        <w:gridCol w:w="9070"/>
      </w:tblGrid>
      <w:tr w:rsidR="00C8517D" w:rsidRPr="00027624" w14:paraId="51F87AC7" w14:textId="77777777" w:rsidTr="00B720F6">
        <w:tc>
          <w:tcPr>
            <w:tcW w:w="5000" w:type="pct"/>
            <w:shd w:val="clear" w:color="auto" w:fill="DFD7E7" w:themeFill="accent3" w:themeFillTint="33"/>
          </w:tcPr>
          <w:p w14:paraId="18DDBF85" w14:textId="77777777" w:rsidR="00C8517D" w:rsidRPr="004239BC" w:rsidRDefault="00C8517D" w:rsidP="0060556C">
            <w:pPr>
              <w:pStyle w:val="BoxHeadingnotnumbered"/>
              <w:framePr w:wrap="around"/>
            </w:pPr>
            <w:r w:rsidRPr="004239BC">
              <w:t xml:space="preserve">Retirement </w:t>
            </w:r>
            <w:r w:rsidR="002E675E" w:rsidRPr="004239BC">
              <w:t>I</w:t>
            </w:r>
            <w:r w:rsidRPr="004239BC">
              <w:t xml:space="preserve">ncome </w:t>
            </w:r>
            <w:r w:rsidR="002E675E" w:rsidRPr="004239BC">
              <w:t>R</w:t>
            </w:r>
            <w:r w:rsidRPr="004239BC">
              <w:t>eview terms of reference</w:t>
            </w:r>
          </w:p>
          <w:p w14:paraId="0E0912BB" w14:textId="77777777" w:rsidR="00C8517D" w:rsidRPr="00027624" w:rsidRDefault="0056249C" w:rsidP="00A575BC">
            <w:pPr>
              <w:pStyle w:val="Bullet"/>
              <w:numPr>
                <w:ilvl w:val="0"/>
                <w:numId w:val="0"/>
              </w:numPr>
              <w:ind w:left="107"/>
              <w:rPr>
                <w:sz w:val="20"/>
              </w:rPr>
            </w:pPr>
            <w:r w:rsidRPr="00027624">
              <w:rPr>
                <w:sz w:val="20"/>
              </w:rPr>
              <w:t xml:space="preserve">As recommended by the Productivity Commission in its report </w:t>
            </w:r>
            <w:r w:rsidRPr="00027624">
              <w:rPr>
                <w:i/>
                <w:sz w:val="20"/>
              </w:rPr>
              <w:t>Superannuation: Assessing Efficiency and Competitiveness</w:t>
            </w:r>
            <w:r w:rsidR="00715A63" w:rsidRPr="00027624">
              <w:rPr>
                <w:iCs/>
                <w:sz w:val="20"/>
              </w:rPr>
              <w:t>,</w:t>
            </w:r>
            <w:r w:rsidRPr="00027624">
              <w:rPr>
                <w:sz w:val="20"/>
              </w:rPr>
              <w:t xml:space="preserve"> the Government is commissioning an independent Retirement Income Review.</w:t>
            </w:r>
          </w:p>
          <w:p w14:paraId="0D20595E" w14:textId="77777777" w:rsidR="0056249C" w:rsidRPr="00027624" w:rsidRDefault="0056249C" w:rsidP="00A575BC">
            <w:pPr>
              <w:pStyle w:val="Bullet"/>
              <w:numPr>
                <w:ilvl w:val="0"/>
                <w:numId w:val="0"/>
              </w:numPr>
              <w:ind w:left="107"/>
              <w:rPr>
                <w:sz w:val="20"/>
              </w:rPr>
            </w:pPr>
            <w:r w:rsidRPr="00027624">
              <w:rPr>
                <w:sz w:val="20"/>
              </w:rPr>
              <w:t>Australia</w:t>
            </w:r>
            <w:r w:rsidR="00A8443E" w:rsidRPr="00027624">
              <w:rPr>
                <w:sz w:val="20"/>
              </w:rPr>
              <w:t>’</w:t>
            </w:r>
            <w:r w:rsidRPr="00027624">
              <w:rPr>
                <w:sz w:val="20"/>
              </w:rPr>
              <w:t>s retirement income system is based on three pillars:</w:t>
            </w:r>
          </w:p>
          <w:p w14:paraId="2D111EED" w14:textId="77777777" w:rsidR="0056249C" w:rsidRPr="00027624" w:rsidRDefault="0019683A" w:rsidP="0010191F">
            <w:pPr>
              <w:pStyle w:val="BoxBullet"/>
            </w:pPr>
            <w:r w:rsidRPr="00027624">
              <w:t>a</w:t>
            </w:r>
            <w:r w:rsidR="0056249C" w:rsidRPr="00027624">
              <w:t xml:space="preserve"> means tested Age Pension</w:t>
            </w:r>
            <w:r w:rsidR="00A1617A" w:rsidRPr="00027624">
              <w:t>;</w:t>
            </w:r>
          </w:p>
          <w:p w14:paraId="04DC3149" w14:textId="77777777" w:rsidR="0056249C" w:rsidRPr="00027624" w:rsidRDefault="0019683A" w:rsidP="0010191F">
            <w:pPr>
              <w:pStyle w:val="BoxBullet"/>
            </w:pPr>
            <w:r w:rsidRPr="00027624">
              <w:t>c</w:t>
            </w:r>
            <w:r w:rsidR="0056249C" w:rsidRPr="00027624">
              <w:t>ompulsory superannuation</w:t>
            </w:r>
            <w:r w:rsidR="00A1617A" w:rsidRPr="00027624">
              <w:t>; and</w:t>
            </w:r>
          </w:p>
          <w:p w14:paraId="0E5B6011" w14:textId="77777777" w:rsidR="0056249C" w:rsidRPr="00027624" w:rsidRDefault="0019683A" w:rsidP="0010191F">
            <w:pPr>
              <w:pStyle w:val="BoxBullet"/>
            </w:pPr>
            <w:r w:rsidRPr="00027624">
              <w:t>v</w:t>
            </w:r>
            <w:r w:rsidR="0056249C" w:rsidRPr="00027624">
              <w:t>oluntary savings, including home ownership</w:t>
            </w:r>
            <w:r w:rsidR="00A1617A" w:rsidRPr="00027624">
              <w:t>.</w:t>
            </w:r>
          </w:p>
          <w:p w14:paraId="62811589" w14:textId="77777777" w:rsidR="0056249C" w:rsidRPr="00027624" w:rsidRDefault="0056249C" w:rsidP="00A575BC">
            <w:pPr>
              <w:pStyle w:val="Bullet"/>
              <w:numPr>
                <w:ilvl w:val="0"/>
                <w:numId w:val="0"/>
              </w:numPr>
              <w:ind w:left="107"/>
              <w:rPr>
                <w:sz w:val="20"/>
              </w:rPr>
            </w:pPr>
            <w:r w:rsidRPr="00027624">
              <w:rPr>
                <w:sz w:val="20"/>
              </w:rPr>
              <w:t>It is important that the system allows Australians to achieve adequate retirement incomes, is fiscally sustainable and provides appropriate incentives for self</w:t>
            </w:r>
            <w:r w:rsidR="00A8443E" w:rsidRPr="00027624">
              <w:rPr>
                <w:sz w:val="20"/>
              </w:rPr>
              <w:noBreakHyphen/>
            </w:r>
            <w:r w:rsidRPr="00027624">
              <w:rPr>
                <w:sz w:val="20"/>
              </w:rPr>
              <w:t>provision in retirement.</w:t>
            </w:r>
          </w:p>
          <w:p w14:paraId="0D240CCD" w14:textId="77777777" w:rsidR="0056249C" w:rsidRPr="00027624" w:rsidRDefault="0019683A" w:rsidP="00A575BC">
            <w:pPr>
              <w:pStyle w:val="Bullet"/>
              <w:numPr>
                <w:ilvl w:val="0"/>
                <w:numId w:val="0"/>
              </w:numPr>
              <w:ind w:left="107"/>
              <w:rPr>
                <w:sz w:val="20"/>
              </w:rPr>
            </w:pPr>
            <w:r w:rsidRPr="00027624">
              <w:rPr>
                <w:sz w:val="20"/>
              </w:rPr>
              <w:t>The r</w:t>
            </w:r>
            <w:r w:rsidR="0056249C" w:rsidRPr="00027624">
              <w:rPr>
                <w:sz w:val="20"/>
              </w:rPr>
              <w:t xml:space="preserve">eview will establish a fact base of the current retirement income system that will improve understanding of its operation and the outcomes it is delivering for Australians. The </w:t>
            </w:r>
            <w:r w:rsidR="007B56A7" w:rsidRPr="00027624">
              <w:rPr>
                <w:sz w:val="20"/>
              </w:rPr>
              <w:t xml:space="preserve">Retirement Income </w:t>
            </w:r>
            <w:r w:rsidR="0056249C" w:rsidRPr="00027624">
              <w:rPr>
                <w:sz w:val="20"/>
              </w:rPr>
              <w:t>Review will identify:</w:t>
            </w:r>
          </w:p>
          <w:p w14:paraId="3B0BDAC2" w14:textId="77777777" w:rsidR="0056249C" w:rsidRPr="00027624" w:rsidRDefault="007B56A7" w:rsidP="0010191F">
            <w:pPr>
              <w:pStyle w:val="BoxBullet"/>
            </w:pPr>
            <w:r w:rsidRPr="00027624">
              <w:t>h</w:t>
            </w:r>
            <w:r w:rsidR="0056249C" w:rsidRPr="00027624">
              <w:t>ow the retirement income system supports Australians in retirement</w:t>
            </w:r>
            <w:r w:rsidRPr="00027624">
              <w:t>;</w:t>
            </w:r>
          </w:p>
          <w:p w14:paraId="50D4067D" w14:textId="77777777" w:rsidR="0056249C" w:rsidRPr="00027624" w:rsidRDefault="007B56A7" w:rsidP="0010191F">
            <w:pPr>
              <w:pStyle w:val="BoxBullet"/>
            </w:pPr>
            <w:r w:rsidRPr="00027624">
              <w:t>t</w:t>
            </w:r>
            <w:r w:rsidR="0056249C" w:rsidRPr="00027624">
              <w:t>he role of each pillar in supporting Australians through retirement</w:t>
            </w:r>
            <w:r w:rsidRPr="00027624">
              <w:t>;</w:t>
            </w:r>
          </w:p>
          <w:p w14:paraId="7109C438" w14:textId="77777777" w:rsidR="0056249C" w:rsidRPr="00027624" w:rsidRDefault="007B56A7" w:rsidP="0010191F">
            <w:pPr>
              <w:pStyle w:val="BoxBullet"/>
            </w:pPr>
            <w:r w:rsidRPr="00027624">
              <w:t>d</w:t>
            </w:r>
            <w:r w:rsidR="0056249C" w:rsidRPr="00027624">
              <w:t>istributional impacts across the population and over time</w:t>
            </w:r>
            <w:r w:rsidRPr="00027624">
              <w:t>; and</w:t>
            </w:r>
          </w:p>
          <w:p w14:paraId="1EB99E3E" w14:textId="77777777" w:rsidR="0056249C" w:rsidRPr="00027624" w:rsidRDefault="007B56A7" w:rsidP="0010191F">
            <w:pPr>
              <w:pStyle w:val="BoxBullet"/>
            </w:pPr>
            <w:r w:rsidRPr="00027624">
              <w:t>t</w:t>
            </w:r>
            <w:r w:rsidR="0056249C" w:rsidRPr="00027624">
              <w:t xml:space="preserve">he </w:t>
            </w:r>
            <w:r w:rsidR="00D36E5A" w:rsidRPr="00027624">
              <w:t>i</w:t>
            </w:r>
            <w:r w:rsidR="0056249C" w:rsidRPr="00027624">
              <w:t>mpact of current policy settings on public finances.</w:t>
            </w:r>
          </w:p>
        </w:tc>
      </w:tr>
    </w:tbl>
    <w:p w14:paraId="448AFE5B" w14:textId="77777777" w:rsidR="00403B25" w:rsidRPr="00027624" w:rsidRDefault="00403B25" w:rsidP="004273FE">
      <w:pPr>
        <w:pStyle w:val="Heading1notnumbered"/>
      </w:pPr>
      <w:bookmarkStart w:id="18" w:name="_Toc31209546"/>
      <w:bookmarkStart w:id="19" w:name="_Toc31270908"/>
      <w:bookmarkStart w:id="20" w:name="_Toc31274352"/>
      <w:bookmarkStart w:id="21" w:name="_Toc31276184"/>
      <w:bookmarkStart w:id="22" w:name="_Toc31352188"/>
      <w:bookmarkStart w:id="23" w:name="_Toc31720324"/>
      <w:bookmarkStart w:id="24" w:name="_Toc33526495"/>
      <w:bookmarkStart w:id="25" w:name="_Toc41914541"/>
      <w:bookmarkStart w:id="26" w:name="_Toc43203185"/>
      <w:bookmarkStart w:id="27" w:name="_Toc45520403"/>
      <w:bookmarkStart w:id="28" w:name="_Toc46133511"/>
      <w:r w:rsidRPr="00027624">
        <w:t>Panel members</w:t>
      </w:r>
      <w:bookmarkEnd w:id="18"/>
      <w:bookmarkEnd w:id="19"/>
      <w:bookmarkEnd w:id="20"/>
      <w:bookmarkEnd w:id="21"/>
      <w:bookmarkEnd w:id="22"/>
      <w:bookmarkEnd w:id="23"/>
      <w:bookmarkEnd w:id="24"/>
      <w:bookmarkEnd w:id="25"/>
      <w:bookmarkEnd w:id="26"/>
      <w:bookmarkEnd w:id="27"/>
      <w:bookmarkEnd w:id="28"/>
    </w:p>
    <w:p w14:paraId="234CCFA3" w14:textId="77777777" w:rsidR="00403B25" w:rsidRPr="00027624" w:rsidRDefault="00403B25" w:rsidP="00403B25">
      <w:pPr>
        <w:keepNext/>
        <w:spacing w:before="240"/>
        <w:outlineLvl w:val="2"/>
        <w:rPr>
          <w:rFonts w:eastAsiaTheme="minorHAnsi" w:cs="Arial"/>
          <w:color w:val="30A9B2" w:themeColor="accent4"/>
          <w:kern w:val="32"/>
          <w:sz w:val="28"/>
          <w:szCs w:val="26"/>
        </w:rPr>
      </w:pPr>
      <w:bookmarkStart w:id="29" w:name="_Toc33526496"/>
      <w:bookmarkStart w:id="30" w:name="_Toc42174704"/>
      <w:r w:rsidRPr="00027624">
        <w:rPr>
          <w:rFonts w:eastAsiaTheme="minorHAnsi" w:cs="Arial"/>
          <w:color w:val="30A9B2" w:themeColor="accent4"/>
          <w:kern w:val="32"/>
          <w:sz w:val="28"/>
          <w:szCs w:val="26"/>
        </w:rPr>
        <w:t>Mr Mike Callaghan AM PSM (Chair)</w:t>
      </w:r>
      <w:bookmarkEnd w:id="29"/>
      <w:bookmarkEnd w:id="30"/>
    </w:p>
    <w:p w14:paraId="54C66D3D" w14:textId="77777777" w:rsidR="00403B25" w:rsidRPr="00027624" w:rsidRDefault="00403B25" w:rsidP="00457CC3">
      <w:pPr>
        <w:keepNext/>
        <w:keepLines/>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Mr Mike Callaghan AM PSM is</w:t>
      </w:r>
      <w:r w:rsidR="00C91901" w:rsidRPr="00027624">
        <w:rPr>
          <w:rFonts w:asciiTheme="minorHAnsi" w:eastAsiaTheme="minorHAnsi" w:hAnsiTheme="minorHAnsi" w:cstheme="minorBidi"/>
          <w:szCs w:val="22"/>
          <w:lang w:eastAsia="en-US"/>
        </w:rPr>
        <w:t xml:space="preserve"> </w:t>
      </w:r>
      <w:r w:rsidR="00B83E44" w:rsidRPr="00027624">
        <w:rPr>
          <w:rFonts w:asciiTheme="minorHAnsi" w:eastAsiaTheme="minorHAnsi" w:hAnsiTheme="minorHAnsi" w:cstheme="minorBidi"/>
          <w:szCs w:val="22"/>
          <w:lang w:eastAsia="en-US"/>
        </w:rPr>
        <w:t>C</w:t>
      </w:r>
      <w:r w:rsidRPr="00027624">
        <w:rPr>
          <w:rFonts w:asciiTheme="minorHAnsi" w:eastAsiaTheme="minorHAnsi" w:hAnsiTheme="minorHAnsi" w:cstheme="minorBidi"/>
          <w:szCs w:val="22"/>
          <w:lang w:eastAsia="en-US"/>
        </w:rPr>
        <w:t xml:space="preserve">hair of the </w:t>
      </w:r>
      <w:r w:rsidR="00B83E44" w:rsidRPr="00027624">
        <w:rPr>
          <w:rFonts w:asciiTheme="minorHAnsi" w:eastAsiaTheme="minorHAnsi" w:hAnsiTheme="minorHAnsi" w:cstheme="minorBidi"/>
          <w:szCs w:val="22"/>
          <w:lang w:eastAsia="en-US"/>
        </w:rPr>
        <w:t xml:space="preserve">Commonwealth Grants Commission and </w:t>
      </w:r>
      <w:r w:rsidRPr="00027624">
        <w:rPr>
          <w:rFonts w:asciiTheme="minorHAnsi" w:eastAsiaTheme="minorHAnsi" w:hAnsiTheme="minorHAnsi" w:cstheme="minorBidi"/>
          <w:szCs w:val="22"/>
          <w:lang w:eastAsia="en-US"/>
        </w:rPr>
        <w:t>Chair of the replenishment of the Asian Development Bank</w:t>
      </w:r>
      <w:r w:rsidR="00A8443E" w:rsidRPr="00027624">
        <w:rPr>
          <w:rFonts w:asciiTheme="minorHAnsi" w:eastAsiaTheme="minorHAnsi" w:hAnsiTheme="minorHAnsi" w:cstheme="minorBidi"/>
          <w:szCs w:val="22"/>
          <w:lang w:eastAsia="en-US"/>
        </w:rPr>
        <w:t>’</w:t>
      </w:r>
      <w:r w:rsidRPr="00027624">
        <w:rPr>
          <w:rFonts w:asciiTheme="minorHAnsi" w:eastAsiaTheme="minorHAnsi" w:hAnsiTheme="minorHAnsi" w:cstheme="minorBidi"/>
          <w:szCs w:val="22"/>
          <w:lang w:eastAsia="en-US"/>
        </w:rPr>
        <w:t>s Asian Development Fund</w:t>
      </w:r>
      <w:r w:rsidR="00336BD4" w:rsidRPr="00027624">
        <w:rPr>
          <w:rFonts w:asciiTheme="minorHAnsi" w:eastAsiaTheme="minorHAnsi" w:hAnsiTheme="minorHAnsi" w:cstheme="minorBidi"/>
          <w:szCs w:val="22"/>
          <w:lang w:eastAsia="en-US"/>
        </w:rPr>
        <w:t>,</w:t>
      </w:r>
      <w:r w:rsidRPr="00027624">
        <w:rPr>
          <w:rFonts w:asciiTheme="minorHAnsi" w:eastAsiaTheme="minorHAnsi" w:hAnsiTheme="minorHAnsi" w:cstheme="minorBidi"/>
          <w:szCs w:val="22"/>
          <w:lang w:eastAsia="en-US"/>
        </w:rPr>
        <w:t xml:space="preserve"> and a Non</w:t>
      </w:r>
      <w:r w:rsidR="00A8443E" w:rsidRPr="00027624">
        <w:rPr>
          <w:rFonts w:asciiTheme="minorHAnsi" w:eastAsiaTheme="minorHAnsi" w:hAnsiTheme="minorHAnsi" w:cstheme="minorBidi"/>
          <w:szCs w:val="22"/>
          <w:lang w:eastAsia="en-US"/>
        </w:rPr>
        <w:noBreakHyphen/>
      </w:r>
      <w:r w:rsidRPr="00027624">
        <w:rPr>
          <w:rFonts w:asciiTheme="minorHAnsi" w:eastAsiaTheme="minorHAnsi" w:hAnsiTheme="minorHAnsi" w:cstheme="minorBidi"/>
          <w:szCs w:val="22"/>
          <w:lang w:eastAsia="en-US"/>
        </w:rPr>
        <w:t>Resident Fellow at the Lowy Institute.</w:t>
      </w:r>
    </w:p>
    <w:p w14:paraId="5B59B2DF" w14:textId="77777777" w:rsidR="00403B25" w:rsidRPr="00027624" w:rsidRDefault="00B83E44" w:rsidP="00403B25">
      <w:pPr>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From 2018 to 2020</w:t>
      </w:r>
      <w:r w:rsidR="00336BD4" w:rsidRPr="00027624">
        <w:rPr>
          <w:rFonts w:asciiTheme="minorHAnsi" w:eastAsiaTheme="minorHAnsi" w:hAnsiTheme="minorHAnsi" w:cstheme="minorBidi"/>
          <w:szCs w:val="22"/>
          <w:lang w:eastAsia="en-US"/>
        </w:rPr>
        <w:t>,</w:t>
      </w:r>
      <w:r w:rsidRPr="00027624">
        <w:rPr>
          <w:rFonts w:asciiTheme="minorHAnsi" w:eastAsiaTheme="minorHAnsi" w:hAnsiTheme="minorHAnsi" w:cstheme="minorBidi"/>
          <w:szCs w:val="22"/>
          <w:lang w:eastAsia="en-US"/>
        </w:rPr>
        <w:t xml:space="preserve"> he was Chair of the Aged Care Financing Authority. </w:t>
      </w:r>
      <w:r w:rsidR="00403B25" w:rsidRPr="00027624">
        <w:rPr>
          <w:rFonts w:asciiTheme="minorHAnsi" w:eastAsiaTheme="minorHAnsi" w:hAnsiTheme="minorHAnsi" w:cstheme="minorBidi"/>
          <w:szCs w:val="22"/>
          <w:lang w:eastAsia="en-US"/>
        </w:rPr>
        <w:t>In 2017, Mr Callaghan chaired the Government</w:t>
      </w:r>
      <w:r w:rsidR="00A8443E" w:rsidRPr="00027624">
        <w:rPr>
          <w:rFonts w:asciiTheme="minorHAnsi" w:eastAsiaTheme="minorHAnsi" w:hAnsiTheme="minorHAnsi" w:cstheme="minorBidi"/>
          <w:szCs w:val="22"/>
          <w:lang w:eastAsia="en-US"/>
        </w:rPr>
        <w:t>’</w:t>
      </w:r>
      <w:r w:rsidR="00403B25" w:rsidRPr="00027624">
        <w:rPr>
          <w:rFonts w:asciiTheme="minorHAnsi" w:eastAsiaTheme="minorHAnsi" w:hAnsiTheme="minorHAnsi" w:cstheme="minorBidi"/>
          <w:szCs w:val="22"/>
          <w:lang w:eastAsia="en-US"/>
        </w:rPr>
        <w:t>s review of the Petroleum Resource Rent Tax and the review of the Economic Impact of the Government</w:t>
      </w:r>
      <w:r w:rsidR="00A8443E" w:rsidRPr="00027624">
        <w:rPr>
          <w:rFonts w:asciiTheme="minorHAnsi" w:eastAsiaTheme="minorHAnsi" w:hAnsiTheme="minorHAnsi" w:cstheme="minorBidi"/>
          <w:szCs w:val="22"/>
          <w:lang w:eastAsia="en-US"/>
        </w:rPr>
        <w:t>’</w:t>
      </w:r>
      <w:r w:rsidR="00403B25" w:rsidRPr="00027624">
        <w:rPr>
          <w:rFonts w:asciiTheme="minorHAnsi" w:eastAsiaTheme="minorHAnsi" w:hAnsiTheme="minorHAnsi" w:cstheme="minorBidi"/>
          <w:szCs w:val="22"/>
          <w:lang w:eastAsia="en-US"/>
        </w:rPr>
        <w:t>s Regulation Agenda. He also chaired the Northern Australia Insurance Premiums Taskforce. From 2013</w:t>
      </w:r>
      <w:r w:rsidR="00A8443E" w:rsidRPr="00027624">
        <w:rPr>
          <w:rFonts w:asciiTheme="minorHAnsi" w:eastAsiaTheme="minorHAnsi" w:hAnsiTheme="minorHAnsi" w:cstheme="minorBidi"/>
          <w:szCs w:val="22"/>
          <w:lang w:eastAsia="en-US"/>
        </w:rPr>
        <w:noBreakHyphen/>
      </w:r>
      <w:r w:rsidR="00403B25" w:rsidRPr="00027624">
        <w:rPr>
          <w:rFonts w:asciiTheme="minorHAnsi" w:eastAsiaTheme="minorHAnsi" w:hAnsiTheme="minorHAnsi" w:cstheme="minorBidi"/>
          <w:szCs w:val="22"/>
          <w:lang w:eastAsia="en-US"/>
        </w:rPr>
        <w:t>2014, he was Director of the G20 Studies Centre at the Lowy Institute.</w:t>
      </w:r>
    </w:p>
    <w:p w14:paraId="1B2FFC91" w14:textId="77777777" w:rsidR="00403B25" w:rsidRPr="00027624" w:rsidRDefault="00403B25" w:rsidP="00403B25">
      <w:pPr>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Mr Callaghan spent 38 years in the Australian Treasury. From 2008 to 2012 he was Deputy Secretary, Macroeconomic Group, Australia</w:t>
      </w:r>
      <w:r w:rsidR="00A8443E" w:rsidRPr="00027624">
        <w:rPr>
          <w:rFonts w:asciiTheme="minorHAnsi" w:eastAsiaTheme="minorHAnsi" w:hAnsiTheme="minorHAnsi" w:cstheme="minorBidi"/>
          <w:szCs w:val="22"/>
          <w:lang w:eastAsia="en-US"/>
        </w:rPr>
        <w:t>’</w:t>
      </w:r>
      <w:r w:rsidRPr="00027624">
        <w:rPr>
          <w:rFonts w:asciiTheme="minorHAnsi" w:eastAsiaTheme="minorHAnsi" w:hAnsiTheme="minorHAnsi" w:cstheme="minorBidi"/>
          <w:szCs w:val="22"/>
          <w:lang w:eastAsia="en-US"/>
        </w:rPr>
        <w:t>s G20 Finance Deputy and the Prime Minister</w:t>
      </w:r>
      <w:r w:rsidR="00A8443E" w:rsidRPr="00027624">
        <w:rPr>
          <w:rFonts w:asciiTheme="minorHAnsi" w:eastAsiaTheme="minorHAnsi" w:hAnsiTheme="minorHAnsi" w:cstheme="minorBidi"/>
          <w:szCs w:val="22"/>
          <w:lang w:eastAsia="en-US"/>
        </w:rPr>
        <w:t>’</w:t>
      </w:r>
      <w:r w:rsidRPr="00027624">
        <w:rPr>
          <w:rFonts w:asciiTheme="minorHAnsi" w:eastAsiaTheme="minorHAnsi" w:hAnsiTheme="minorHAnsi" w:cstheme="minorBidi"/>
          <w:szCs w:val="22"/>
          <w:lang w:eastAsia="en-US"/>
        </w:rPr>
        <w:t>s Special Envoy, International Economy. From 2005</w:t>
      </w:r>
      <w:r w:rsidR="00A8443E" w:rsidRPr="00027624">
        <w:rPr>
          <w:rFonts w:asciiTheme="minorHAnsi" w:eastAsiaTheme="minorHAnsi" w:hAnsiTheme="minorHAnsi" w:cstheme="minorBidi"/>
          <w:szCs w:val="22"/>
          <w:lang w:eastAsia="en-US"/>
        </w:rPr>
        <w:noBreakHyphen/>
      </w:r>
      <w:r w:rsidRPr="00027624">
        <w:rPr>
          <w:rFonts w:asciiTheme="minorHAnsi" w:eastAsiaTheme="minorHAnsi" w:hAnsiTheme="minorHAnsi" w:cstheme="minorBidi"/>
          <w:szCs w:val="22"/>
          <w:lang w:eastAsia="en-US"/>
        </w:rPr>
        <w:t>2007, he was Deputy Secretary, Revenue Group.</w:t>
      </w:r>
    </w:p>
    <w:p w14:paraId="1AF8FB34" w14:textId="77777777" w:rsidR="00403B25" w:rsidRPr="00027624" w:rsidRDefault="00403B25" w:rsidP="00403B25">
      <w:pPr>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Mr Callaghan spent four years on the IMF Executive Board in Washington DC and served as Chief of Staff to the Australian Treasurer, the Hon Peter Costello.</w:t>
      </w:r>
    </w:p>
    <w:p w14:paraId="5CC9BA07" w14:textId="77777777" w:rsidR="00403B25" w:rsidRPr="00027624" w:rsidRDefault="00403B25">
      <w:pPr>
        <w:keepNext/>
        <w:spacing w:before="0"/>
        <w:outlineLvl w:val="2"/>
        <w:rPr>
          <w:rFonts w:eastAsiaTheme="minorHAnsi" w:cs="Arial"/>
          <w:color w:val="30A9B2" w:themeColor="accent4"/>
          <w:kern w:val="32"/>
          <w:sz w:val="28"/>
          <w:szCs w:val="26"/>
        </w:rPr>
      </w:pPr>
      <w:bookmarkStart w:id="31" w:name="_Toc33526497"/>
      <w:bookmarkStart w:id="32" w:name="_Toc42174705"/>
      <w:r w:rsidRPr="00027624">
        <w:rPr>
          <w:rFonts w:eastAsiaTheme="minorHAnsi" w:cs="Arial"/>
          <w:color w:val="30A9B2" w:themeColor="accent4"/>
          <w:kern w:val="32"/>
          <w:sz w:val="28"/>
          <w:szCs w:val="26"/>
        </w:rPr>
        <w:lastRenderedPageBreak/>
        <w:t>Ms Carolyn Kay</w:t>
      </w:r>
      <w:bookmarkEnd w:id="31"/>
      <w:bookmarkEnd w:id="32"/>
    </w:p>
    <w:p w14:paraId="41F28AF7" w14:textId="77777777" w:rsidR="00403B25" w:rsidRPr="00027624" w:rsidRDefault="00403B25" w:rsidP="00403B25">
      <w:pPr>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Ms Carolyn Kay has more than 30 years</w:t>
      </w:r>
      <w:r w:rsidR="00A8443E" w:rsidRPr="00027624">
        <w:rPr>
          <w:rFonts w:asciiTheme="minorHAnsi" w:eastAsiaTheme="minorHAnsi" w:hAnsiTheme="minorHAnsi" w:cstheme="minorBidi"/>
          <w:szCs w:val="22"/>
          <w:lang w:eastAsia="en-US"/>
        </w:rPr>
        <w:t>’</w:t>
      </w:r>
      <w:r w:rsidR="00B83E44" w:rsidRPr="00027624">
        <w:rPr>
          <w:rFonts w:asciiTheme="minorHAnsi" w:eastAsiaTheme="minorHAnsi" w:hAnsiTheme="minorHAnsi" w:cstheme="minorBidi" w:hint="eastAsia"/>
          <w:szCs w:val="22"/>
          <w:lang w:eastAsia="en-US"/>
        </w:rPr>
        <w:t xml:space="preserve"> </w:t>
      </w:r>
      <w:r w:rsidRPr="00027624">
        <w:rPr>
          <w:rFonts w:asciiTheme="minorHAnsi" w:eastAsiaTheme="minorHAnsi" w:hAnsiTheme="minorHAnsi" w:cstheme="minorBidi"/>
          <w:szCs w:val="22"/>
          <w:lang w:eastAsia="en-US"/>
        </w:rPr>
        <w:t>experience in the finance sector as an executive and non</w:t>
      </w:r>
      <w:r w:rsidR="00A8443E" w:rsidRPr="00027624">
        <w:rPr>
          <w:rFonts w:asciiTheme="minorHAnsi" w:eastAsiaTheme="minorHAnsi" w:hAnsiTheme="minorHAnsi" w:cstheme="minorBidi"/>
          <w:szCs w:val="22"/>
          <w:lang w:eastAsia="en-US"/>
        </w:rPr>
        <w:noBreakHyphen/>
      </w:r>
      <w:r w:rsidRPr="00027624">
        <w:rPr>
          <w:rFonts w:asciiTheme="minorHAnsi" w:eastAsiaTheme="minorHAnsi" w:hAnsiTheme="minorHAnsi" w:cstheme="minorBidi"/>
          <w:szCs w:val="22"/>
          <w:lang w:eastAsia="en-US"/>
        </w:rPr>
        <w:t>executive director.</w:t>
      </w:r>
      <w:r w:rsidRPr="00027624">
        <w:rPr>
          <w:rFonts w:asciiTheme="minorHAnsi" w:eastAsiaTheme="minorHAnsi" w:hAnsiTheme="minorHAnsi" w:cstheme="minorBidi" w:hint="eastAsia"/>
          <w:szCs w:val="22"/>
          <w:lang w:eastAsia="en-US"/>
        </w:rPr>
        <w:t> </w:t>
      </w:r>
      <w:r w:rsidRPr="00027624">
        <w:rPr>
          <w:rFonts w:asciiTheme="minorHAnsi" w:eastAsiaTheme="minorHAnsi" w:hAnsiTheme="minorHAnsi" w:cstheme="minorBidi"/>
          <w:szCs w:val="22"/>
          <w:lang w:eastAsia="en-US"/>
        </w:rPr>
        <w:t>She</w:t>
      </w:r>
      <w:r w:rsidR="3F307D75" w:rsidRPr="00027624">
        <w:rPr>
          <w:rFonts w:asciiTheme="minorHAnsi" w:eastAsiaTheme="minorEastAsia" w:hAnsiTheme="minorHAnsi" w:cstheme="minorBidi"/>
          <w:lang w:eastAsia="en-US"/>
        </w:rPr>
        <w:t xml:space="preserve"> </w:t>
      </w:r>
      <w:r w:rsidR="23133E78" w:rsidRPr="00027624">
        <w:rPr>
          <w:rFonts w:asciiTheme="minorHAnsi" w:eastAsiaTheme="minorEastAsia" w:hAnsiTheme="minorHAnsi" w:cstheme="minorBidi"/>
          <w:lang w:eastAsia="en-US"/>
        </w:rPr>
        <w:t>also</w:t>
      </w:r>
      <w:r w:rsidRPr="00027624">
        <w:rPr>
          <w:rFonts w:asciiTheme="minorHAnsi" w:eastAsiaTheme="minorHAnsi" w:hAnsiTheme="minorHAnsi" w:cstheme="minorBidi"/>
          <w:szCs w:val="22"/>
          <w:lang w:eastAsia="en-US"/>
        </w:rPr>
        <w:t xml:space="preserve"> has been and remains a non</w:t>
      </w:r>
      <w:r w:rsidR="00A8443E" w:rsidRPr="00027624">
        <w:rPr>
          <w:rFonts w:asciiTheme="minorHAnsi" w:eastAsiaTheme="minorHAnsi" w:hAnsiTheme="minorHAnsi" w:cstheme="minorBidi"/>
          <w:szCs w:val="22"/>
          <w:lang w:eastAsia="en-US"/>
        </w:rPr>
        <w:noBreakHyphen/>
      </w:r>
      <w:r w:rsidRPr="00027624">
        <w:rPr>
          <w:rFonts w:asciiTheme="minorHAnsi" w:eastAsiaTheme="minorHAnsi" w:hAnsiTheme="minorHAnsi" w:cstheme="minorBidi"/>
          <w:szCs w:val="22"/>
          <w:lang w:eastAsia="en-US"/>
        </w:rPr>
        <w:t>executive director of enterprises across a broad range of other sectors.</w:t>
      </w:r>
    </w:p>
    <w:p w14:paraId="10C9F934" w14:textId="77777777" w:rsidR="00403B25" w:rsidRPr="00027624" w:rsidRDefault="00403B25" w:rsidP="00403B25">
      <w:pPr>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Ms Kay is currently a member of The Future Fund Board of Guardians a</w:t>
      </w:r>
      <w:r w:rsidR="006835AE" w:rsidRPr="00027624">
        <w:rPr>
          <w:rFonts w:asciiTheme="minorHAnsi" w:eastAsiaTheme="minorHAnsi" w:hAnsiTheme="minorHAnsi" w:cstheme="minorBidi"/>
          <w:szCs w:val="22"/>
          <w:lang w:eastAsia="en-US"/>
        </w:rPr>
        <w:t>nd a non</w:t>
      </w:r>
      <w:r w:rsidR="00A8443E" w:rsidRPr="00027624">
        <w:rPr>
          <w:rFonts w:asciiTheme="minorHAnsi" w:eastAsiaTheme="minorHAnsi" w:hAnsiTheme="minorHAnsi" w:cstheme="minorBidi"/>
          <w:szCs w:val="22"/>
          <w:lang w:eastAsia="en-US"/>
        </w:rPr>
        <w:noBreakHyphen/>
      </w:r>
      <w:r w:rsidR="006835AE" w:rsidRPr="00027624">
        <w:rPr>
          <w:rFonts w:asciiTheme="minorHAnsi" w:eastAsiaTheme="minorHAnsi" w:hAnsiTheme="minorHAnsi" w:cstheme="minorBidi"/>
          <w:szCs w:val="22"/>
          <w:lang w:eastAsia="en-US"/>
        </w:rPr>
        <w:t xml:space="preserve">executive director of </w:t>
      </w:r>
      <w:r w:rsidRPr="00027624">
        <w:rPr>
          <w:rFonts w:asciiTheme="minorHAnsi" w:eastAsiaTheme="minorHAnsi" w:hAnsiTheme="minorHAnsi" w:cstheme="minorBidi"/>
          <w:szCs w:val="22"/>
          <w:lang w:eastAsia="en-US"/>
        </w:rPr>
        <w:t>Scentre Group</w:t>
      </w:r>
      <w:r w:rsidR="00516311" w:rsidRPr="00027624">
        <w:rPr>
          <w:rFonts w:asciiTheme="minorHAnsi" w:eastAsiaTheme="minorHAnsi" w:hAnsiTheme="minorHAnsi" w:cstheme="minorBidi"/>
          <w:szCs w:val="22"/>
          <w:lang w:eastAsia="en-US"/>
        </w:rPr>
        <w:t>,</w:t>
      </w:r>
      <w:r w:rsidRPr="00027624">
        <w:rPr>
          <w:rFonts w:asciiTheme="minorHAnsi" w:eastAsiaTheme="minorHAnsi" w:hAnsiTheme="minorHAnsi" w:cstheme="minorBidi"/>
          <w:szCs w:val="22"/>
          <w:lang w:eastAsia="en-US"/>
        </w:rPr>
        <w:t xml:space="preserve"> and Myer Family Investments. In the not</w:t>
      </w:r>
      <w:r w:rsidR="00A8443E" w:rsidRPr="00027624">
        <w:rPr>
          <w:rFonts w:asciiTheme="minorHAnsi" w:eastAsiaTheme="minorHAnsi" w:hAnsiTheme="minorHAnsi" w:cstheme="minorBidi"/>
          <w:szCs w:val="22"/>
          <w:lang w:eastAsia="en-US"/>
        </w:rPr>
        <w:noBreakHyphen/>
      </w:r>
      <w:r w:rsidRPr="00027624">
        <w:rPr>
          <w:rFonts w:asciiTheme="minorHAnsi" w:eastAsiaTheme="minorHAnsi" w:hAnsiTheme="minorHAnsi" w:cstheme="minorBidi"/>
          <w:szCs w:val="22"/>
          <w:lang w:eastAsia="en-US"/>
        </w:rPr>
        <w:t>for</w:t>
      </w:r>
      <w:r w:rsidR="00A8443E" w:rsidRPr="00027624">
        <w:rPr>
          <w:rFonts w:asciiTheme="minorHAnsi" w:eastAsiaTheme="minorHAnsi" w:hAnsiTheme="minorHAnsi" w:cstheme="minorBidi"/>
          <w:szCs w:val="22"/>
          <w:lang w:eastAsia="en-US"/>
        </w:rPr>
        <w:noBreakHyphen/>
      </w:r>
      <w:r w:rsidRPr="00027624">
        <w:rPr>
          <w:rFonts w:asciiTheme="minorHAnsi" w:eastAsiaTheme="minorHAnsi" w:hAnsiTheme="minorHAnsi" w:cstheme="minorBidi"/>
          <w:szCs w:val="22"/>
          <w:lang w:eastAsia="en-US"/>
        </w:rPr>
        <w:t>profit sector, she is a non</w:t>
      </w:r>
      <w:r w:rsidR="00A8443E" w:rsidRPr="00027624">
        <w:rPr>
          <w:rFonts w:asciiTheme="minorHAnsi" w:eastAsiaTheme="minorHAnsi" w:hAnsiTheme="minorHAnsi" w:cstheme="minorBidi"/>
          <w:szCs w:val="22"/>
          <w:lang w:eastAsia="en-US"/>
        </w:rPr>
        <w:noBreakHyphen/>
      </w:r>
      <w:r w:rsidRPr="00027624">
        <w:rPr>
          <w:rFonts w:asciiTheme="minorHAnsi" w:eastAsiaTheme="minorHAnsi" w:hAnsiTheme="minorHAnsi" w:cstheme="minorBidi"/>
          <w:szCs w:val="22"/>
          <w:lang w:eastAsia="en-US"/>
        </w:rPr>
        <w:t xml:space="preserve">executive director of The General Sir John Monash </w:t>
      </w:r>
      <w:r w:rsidR="55B91945" w:rsidRPr="00027624">
        <w:rPr>
          <w:rFonts w:asciiTheme="minorHAnsi" w:eastAsiaTheme="minorEastAsia" w:hAnsiTheme="minorHAnsi" w:cstheme="minorBidi"/>
          <w:lang w:eastAsia="en-US"/>
        </w:rPr>
        <w:t xml:space="preserve">Scholarship </w:t>
      </w:r>
      <w:r w:rsidRPr="00027624">
        <w:rPr>
          <w:rFonts w:asciiTheme="minorHAnsi" w:eastAsiaTheme="minorHAnsi" w:hAnsiTheme="minorHAnsi" w:cstheme="minorBidi"/>
          <w:szCs w:val="22"/>
          <w:lang w:eastAsia="en-US"/>
        </w:rPr>
        <w:t xml:space="preserve">Foundation and a </w:t>
      </w:r>
      <w:r w:rsidR="0AFD72FA" w:rsidRPr="00027624">
        <w:rPr>
          <w:rFonts w:asciiTheme="minorHAnsi" w:eastAsiaTheme="minorEastAsia" w:hAnsiTheme="minorHAnsi" w:cstheme="minorBidi"/>
          <w:lang w:eastAsia="en-US"/>
        </w:rPr>
        <w:t>Trustee</w:t>
      </w:r>
      <w:r w:rsidRPr="00027624">
        <w:rPr>
          <w:rFonts w:asciiTheme="minorHAnsi" w:eastAsiaTheme="minorHAnsi" w:hAnsiTheme="minorHAnsi" w:cstheme="minorBidi"/>
          <w:szCs w:val="22"/>
          <w:lang w:eastAsia="en-US"/>
        </w:rPr>
        <w:t xml:space="preserve"> of </w:t>
      </w:r>
      <w:r w:rsidR="0AFD72FA" w:rsidRPr="00027624">
        <w:rPr>
          <w:rFonts w:asciiTheme="minorHAnsi" w:eastAsiaTheme="minorEastAsia" w:hAnsiTheme="minorHAnsi" w:cstheme="minorBidi"/>
          <w:lang w:eastAsia="en-US"/>
        </w:rPr>
        <w:t>Sydney Grammar School</w:t>
      </w:r>
      <w:r w:rsidR="465F8A6D" w:rsidRPr="00027624">
        <w:rPr>
          <w:rFonts w:asciiTheme="minorHAnsi" w:eastAsiaTheme="minorEastAsia" w:hAnsiTheme="minorHAnsi" w:cstheme="minorBidi"/>
          <w:lang w:eastAsia="en-US"/>
        </w:rPr>
        <w:t>.</w:t>
      </w:r>
      <w:r w:rsidRPr="00027624">
        <w:rPr>
          <w:rFonts w:asciiTheme="minorHAnsi" w:eastAsiaTheme="minorHAnsi" w:hAnsiTheme="minorHAnsi" w:cstheme="minorBidi" w:hint="eastAsia"/>
          <w:szCs w:val="22"/>
          <w:lang w:eastAsia="en-US"/>
        </w:rPr>
        <w:t> </w:t>
      </w:r>
    </w:p>
    <w:p w14:paraId="2F6A00B4" w14:textId="77777777" w:rsidR="00403B25" w:rsidRPr="00027624" w:rsidRDefault="00403B25" w:rsidP="00403B25">
      <w:pPr>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As an executive, Ms Kay worked as a banker and lawyer at Morgan Stanley, JP Morgan</w:t>
      </w:r>
      <w:r w:rsidR="004175F9" w:rsidRPr="00027624">
        <w:rPr>
          <w:rFonts w:asciiTheme="minorHAnsi" w:eastAsiaTheme="minorHAnsi" w:hAnsiTheme="minorHAnsi" w:cstheme="minorBidi"/>
          <w:szCs w:val="22"/>
          <w:lang w:eastAsia="en-US"/>
        </w:rPr>
        <w:t>,</w:t>
      </w:r>
      <w:r w:rsidRPr="00027624">
        <w:rPr>
          <w:rFonts w:asciiTheme="minorHAnsi" w:eastAsiaTheme="minorHAnsi" w:hAnsiTheme="minorHAnsi" w:cstheme="minorBidi"/>
          <w:szCs w:val="22"/>
          <w:lang w:eastAsia="en-US"/>
        </w:rPr>
        <w:t xml:space="preserve"> and </w:t>
      </w:r>
      <w:bookmarkStart w:id="33" w:name="_Hlk45033978"/>
      <w:r w:rsidRPr="00027624">
        <w:rPr>
          <w:rFonts w:asciiTheme="minorHAnsi" w:eastAsiaTheme="minorHAnsi" w:hAnsiTheme="minorHAnsi" w:cstheme="minorBidi"/>
          <w:szCs w:val="22"/>
          <w:lang w:eastAsia="en-US"/>
        </w:rPr>
        <w:t>Linklaters &amp; Paines</w:t>
      </w:r>
      <w:bookmarkEnd w:id="33"/>
      <w:r w:rsidRPr="00027624">
        <w:rPr>
          <w:rFonts w:asciiTheme="minorHAnsi" w:eastAsiaTheme="minorHAnsi" w:hAnsiTheme="minorHAnsi" w:cstheme="minorBidi"/>
          <w:szCs w:val="22"/>
          <w:lang w:eastAsia="en-US"/>
        </w:rPr>
        <w:t xml:space="preserve"> in London, New York and Australia.</w:t>
      </w:r>
    </w:p>
    <w:p w14:paraId="10A9D7CE" w14:textId="77777777" w:rsidR="00403B25" w:rsidRPr="00027624" w:rsidRDefault="00907B59" w:rsidP="00403B25">
      <w:pPr>
        <w:rPr>
          <w:rFonts w:asciiTheme="minorHAnsi" w:eastAsiaTheme="minorHAnsi" w:hAnsiTheme="minorHAnsi" w:cstheme="minorBidi"/>
          <w:szCs w:val="22"/>
          <w:lang w:eastAsia="en-US"/>
        </w:rPr>
      </w:pPr>
      <w:r w:rsidRPr="00027624">
        <w:rPr>
          <w:rFonts w:asciiTheme="minorHAnsi" w:eastAsiaTheme="minorHAnsi" w:hAnsiTheme="minorHAnsi" w:cstheme="minorBidi"/>
          <w:szCs w:val="22"/>
          <w:lang w:eastAsia="en-US"/>
        </w:rPr>
        <w:t>Ms Kay</w:t>
      </w:r>
      <w:r w:rsidR="00403B25" w:rsidRPr="00027624">
        <w:rPr>
          <w:rFonts w:asciiTheme="minorHAnsi" w:eastAsiaTheme="minorHAnsi" w:hAnsiTheme="minorHAnsi" w:cstheme="minorBidi"/>
          <w:szCs w:val="22"/>
          <w:lang w:eastAsia="en-US"/>
        </w:rPr>
        <w:t xml:space="preserve"> holds </w:t>
      </w:r>
      <w:r w:rsidR="0054719B" w:rsidRPr="00027624">
        <w:rPr>
          <w:rFonts w:asciiTheme="minorHAnsi" w:eastAsiaTheme="minorHAnsi" w:hAnsiTheme="minorHAnsi" w:cstheme="minorBidi"/>
          <w:szCs w:val="22"/>
          <w:lang w:eastAsia="en-US"/>
        </w:rPr>
        <w:t>b</w:t>
      </w:r>
      <w:r w:rsidR="00403B25" w:rsidRPr="00027624">
        <w:rPr>
          <w:rFonts w:asciiTheme="minorHAnsi" w:eastAsiaTheme="minorHAnsi" w:hAnsiTheme="minorHAnsi" w:cstheme="minorBidi"/>
          <w:szCs w:val="22"/>
          <w:lang w:eastAsia="en-US"/>
        </w:rPr>
        <w:t xml:space="preserve">achelor </w:t>
      </w:r>
      <w:r w:rsidR="0054719B" w:rsidRPr="00027624">
        <w:rPr>
          <w:rFonts w:asciiTheme="minorHAnsi" w:eastAsiaTheme="minorHAnsi" w:hAnsiTheme="minorHAnsi" w:cstheme="minorBidi"/>
          <w:szCs w:val="22"/>
          <w:lang w:eastAsia="en-US"/>
        </w:rPr>
        <w:t>d</w:t>
      </w:r>
      <w:r w:rsidR="00403B25" w:rsidRPr="00027624">
        <w:rPr>
          <w:rFonts w:asciiTheme="minorHAnsi" w:eastAsiaTheme="minorHAnsi" w:hAnsiTheme="minorHAnsi" w:cstheme="minorBidi"/>
          <w:szCs w:val="22"/>
          <w:lang w:eastAsia="en-US"/>
        </w:rPr>
        <w:t xml:space="preserve">egrees in </w:t>
      </w:r>
      <w:r w:rsidR="0054719B" w:rsidRPr="00027624">
        <w:rPr>
          <w:rFonts w:asciiTheme="minorHAnsi" w:eastAsiaTheme="minorHAnsi" w:hAnsiTheme="minorHAnsi" w:cstheme="minorBidi"/>
          <w:szCs w:val="22"/>
          <w:lang w:eastAsia="en-US"/>
        </w:rPr>
        <w:t>l</w:t>
      </w:r>
      <w:r w:rsidR="00403B25" w:rsidRPr="00027624">
        <w:rPr>
          <w:rFonts w:asciiTheme="minorHAnsi" w:eastAsiaTheme="minorHAnsi" w:hAnsiTheme="minorHAnsi" w:cstheme="minorBidi"/>
          <w:szCs w:val="22"/>
          <w:lang w:eastAsia="en-US"/>
        </w:rPr>
        <w:t xml:space="preserve">aw and </w:t>
      </w:r>
      <w:r w:rsidR="0054719B" w:rsidRPr="00027624">
        <w:rPr>
          <w:rFonts w:asciiTheme="minorHAnsi" w:eastAsiaTheme="minorHAnsi" w:hAnsiTheme="minorHAnsi" w:cstheme="minorBidi"/>
          <w:szCs w:val="22"/>
          <w:lang w:eastAsia="en-US"/>
        </w:rPr>
        <w:t>a</w:t>
      </w:r>
      <w:r w:rsidR="00403B25" w:rsidRPr="00027624">
        <w:rPr>
          <w:rFonts w:asciiTheme="minorHAnsi" w:eastAsiaTheme="minorHAnsi" w:hAnsiTheme="minorHAnsi" w:cstheme="minorBidi"/>
          <w:szCs w:val="22"/>
          <w:lang w:eastAsia="en-US"/>
        </w:rPr>
        <w:t>rts (University of Melbourne), a Graduate Diploma in Management (AGSM</w:t>
      </w:r>
      <w:r w:rsidR="3F307D75" w:rsidRPr="00027624">
        <w:rPr>
          <w:rFonts w:asciiTheme="minorHAnsi" w:eastAsiaTheme="minorEastAsia" w:hAnsiTheme="minorHAnsi" w:cstheme="minorBidi"/>
          <w:lang w:eastAsia="en-US"/>
        </w:rPr>
        <w:t>)</w:t>
      </w:r>
      <w:r w:rsidR="7D9E9E9C" w:rsidRPr="00027624">
        <w:rPr>
          <w:rFonts w:asciiTheme="minorHAnsi" w:eastAsiaTheme="minorEastAsia" w:hAnsiTheme="minorHAnsi" w:cstheme="minorBidi"/>
          <w:lang w:eastAsia="en-US"/>
        </w:rPr>
        <w:t>, is a member of Chief Executive Women</w:t>
      </w:r>
      <w:r w:rsidR="00403B25" w:rsidRPr="00027624">
        <w:rPr>
          <w:rFonts w:asciiTheme="minorHAnsi" w:eastAsiaTheme="minorHAnsi" w:hAnsiTheme="minorHAnsi" w:cstheme="minorBidi"/>
          <w:szCs w:val="22"/>
          <w:lang w:eastAsia="en-US"/>
        </w:rPr>
        <w:t xml:space="preserve"> and is a Fellow of the Australian Institute of Company Directors.</w:t>
      </w:r>
      <w:r w:rsidR="00403B25" w:rsidRPr="00027624">
        <w:rPr>
          <w:rFonts w:asciiTheme="minorHAnsi" w:eastAsiaTheme="minorHAnsi" w:hAnsiTheme="minorHAnsi" w:cstheme="minorBidi" w:hint="eastAsia"/>
          <w:szCs w:val="22"/>
          <w:lang w:eastAsia="en-US"/>
        </w:rPr>
        <w:t> </w:t>
      </w:r>
      <w:r w:rsidR="00403B25" w:rsidRPr="00027624">
        <w:rPr>
          <w:rFonts w:asciiTheme="minorHAnsi" w:eastAsiaTheme="minorHAnsi" w:hAnsiTheme="minorHAnsi" w:cstheme="minorBidi"/>
          <w:szCs w:val="22"/>
          <w:lang w:eastAsia="en-US"/>
        </w:rPr>
        <w:t>Ms Kay was awarded a Centenary Medal for services to Australian society in business leadership.</w:t>
      </w:r>
      <w:r w:rsidR="00403B25" w:rsidRPr="00027624">
        <w:rPr>
          <w:rFonts w:asciiTheme="minorHAnsi" w:eastAsiaTheme="minorHAnsi" w:hAnsiTheme="minorHAnsi" w:cstheme="minorBidi" w:hint="eastAsia"/>
          <w:szCs w:val="22"/>
          <w:lang w:eastAsia="en-US"/>
        </w:rPr>
        <w:t> </w:t>
      </w:r>
    </w:p>
    <w:p w14:paraId="5EC8A837" w14:textId="77777777" w:rsidR="00403B25" w:rsidRPr="00027624" w:rsidRDefault="00403B25">
      <w:pPr>
        <w:keepNext/>
        <w:spacing w:before="0"/>
        <w:outlineLvl w:val="2"/>
        <w:rPr>
          <w:rFonts w:eastAsiaTheme="minorHAnsi" w:cs="Arial"/>
          <w:color w:val="30A9B2" w:themeColor="accent4"/>
          <w:kern w:val="32"/>
          <w:sz w:val="28"/>
          <w:szCs w:val="26"/>
        </w:rPr>
      </w:pPr>
      <w:bookmarkStart w:id="34" w:name="_Toc33526498"/>
      <w:bookmarkStart w:id="35" w:name="_Toc42174706"/>
      <w:r w:rsidRPr="00027624">
        <w:rPr>
          <w:rFonts w:eastAsiaTheme="minorHAnsi" w:cs="Arial"/>
          <w:color w:val="30A9B2" w:themeColor="accent4"/>
          <w:kern w:val="32"/>
          <w:sz w:val="28"/>
          <w:szCs w:val="26"/>
        </w:rPr>
        <w:t>Dr Deborah Ralston</w:t>
      </w:r>
      <w:bookmarkEnd w:id="34"/>
      <w:bookmarkEnd w:id="35"/>
    </w:p>
    <w:p w14:paraId="52EA3087" w14:textId="77777777" w:rsidR="005F1D42" w:rsidRPr="00027624" w:rsidRDefault="005F1D42" w:rsidP="005F1D42">
      <w:pPr>
        <w:rPr>
          <w:rFonts w:asciiTheme="minorHAnsi" w:eastAsiaTheme="minorHAnsi" w:hAnsiTheme="minorHAnsi" w:cstheme="minorBidi"/>
          <w:lang w:eastAsia="en-US"/>
        </w:rPr>
      </w:pPr>
      <w:r w:rsidRPr="00027624">
        <w:rPr>
          <w:rFonts w:asciiTheme="minorHAnsi" w:eastAsiaTheme="minorHAnsi" w:hAnsiTheme="minorHAnsi" w:cstheme="minorBidi"/>
          <w:lang w:eastAsia="en-US"/>
        </w:rPr>
        <w:t>Dr Deborah Ralston has more than 25 years of board</w:t>
      </w:r>
      <w:r w:rsidR="00A8443E" w:rsidRPr="00027624">
        <w:rPr>
          <w:rFonts w:asciiTheme="minorHAnsi" w:eastAsiaTheme="minorHAnsi" w:hAnsiTheme="minorHAnsi" w:cstheme="minorBidi"/>
          <w:lang w:eastAsia="en-US"/>
        </w:rPr>
        <w:noBreakHyphen/>
      </w:r>
      <w:r w:rsidRPr="00027624">
        <w:rPr>
          <w:rFonts w:asciiTheme="minorHAnsi" w:eastAsiaTheme="minorHAnsi" w:hAnsiTheme="minorHAnsi" w:cstheme="minorBidi"/>
          <w:lang w:eastAsia="en-US"/>
        </w:rPr>
        <w:t>level experience across commercial and public sectors, with experience in education, banking, superannuation and fintech sectors. </w:t>
      </w:r>
    </w:p>
    <w:p w14:paraId="7D54901E" w14:textId="77777777" w:rsidR="005F1D42" w:rsidRPr="00027624" w:rsidRDefault="005F1D42" w:rsidP="005F1D42">
      <w:pPr>
        <w:rPr>
          <w:rFonts w:asciiTheme="minorHAnsi" w:eastAsiaTheme="minorHAnsi" w:hAnsiTheme="minorHAnsi" w:cstheme="minorBidi"/>
          <w:szCs w:val="22"/>
          <w:lang w:eastAsia="en-US"/>
        </w:rPr>
      </w:pPr>
      <w:r w:rsidRPr="00027624">
        <w:rPr>
          <w:rFonts w:asciiTheme="minorHAnsi" w:eastAsiaTheme="minorHAnsi" w:hAnsiTheme="minorHAnsi" w:cstheme="minorBidi"/>
          <w:lang w:eastAsia="en-US"/>
        </w:rPr>
        <w:t>She is currently a member of the Reserve Bank of Australia Payments System Board and is a Professorial Fellow at Monash University. Dr Ralston is also a member of the Steering Committee for the Melbourne Mercer Global Pension Index and the YBF Fintech Hub Advisory Board.</w:t>
      </w:r>
    </w:p>
    <w:p w14:paraId="3029D060" w14:textId="77777777" w:rsidR="005F1D42" w:rsidRPr="00027624" w:rsidRDefault="005F1D42" w:rsidP="005F1D42">
      <w:pPr>
        <w:rPr>
          <w:rFonts w:asciiTheme="minorHAnsi" w:eastAsiaTheme="minorHAnsi" w:hAnsiTheme="minorHAnsi" w:cstheme="minorBidi"/>
          <w:szCs w:val="22"/>
          <w:lang w:eastAsia="en-US"/>
        </w:rPr>
      </w:pPr>
      <w:r w:rsidRPr="00027624">
        <w:rPr>
          <w:rFonts w:asciiTheme="minorHAnsi" w:eastAsiaTheme="minorHAnsi" w:hAnsiTheme="minorHAnsi" w:cstheme="minorBidi"/>
          <w:lang w:eastAsia="en-US"/>
        </w:rPr>
        <w:t xml:space="preserve">Dr Ralston has held senior executive roles in Australian </w:t>
      </w:r>
      <w:r w:rsidR="00681058" w:rsidRPr="00027624">
        <w:rPr>
          <w:rFonts w:asciiTheme="minorHAnsi" w:eastAsiaTheme="minorHAnsi" w:hAnsiTheme="minorHAnsi" w:cstheme="minorBidi"/>
          <w:lang w:eastAsia="en-US"/>
        </w:rPr>
        <w:t>u</w:t>
      </w:r>
      <w:r w:rsidRPr="00027624">
        <w:rPr>
          <w:rFonts w:asciiTheme="minorHAnsi" w:eastAsiaTheme="minorHAnsi" w:hAnsiTheme="minorHAnsi" w:cstheme="minorBidi"/>
          <w:lang w:eastAsia="en-US"/>
        </w:rPr>
        <w:t>niversities, most recently as Executive Director of the Australian Centre for Financial Studies and as a Profe</w:t>
      </w:r>
      <w:r w:rsidR="0052605E" w:rsidRPr="00027624">
        <w:rPr>
          <w:rFonts w:asciiTheme="minorHAnsi" w:eastAsiaTheme="minorHAnsi" w:hAnsiTheme="minorHAnsi" w:cstheme="minorBidi"/>
          <w:lang w:eastAsia="en-US"/>
        </w:rPr>
        <w:t>ssor of Finance with the Monash </w:t>
      </w:r>
      <w:r w:rsidRPr="00027624">
        <w:rPr>
          <w:rFonts w:asciiTheme="minorHAnsi" w:eastAsiaTheme="minorHAnsi" w:hAnsiTheme="minorHAnsi" w:cstheme="minorBidi"/>
          <w:lang w:eastAsia="en-US"/>
        </w:rPr>
        <w:t>University Business School. She was the Principal Investigator of the CSIRO</w:t>
      </w:r>
      <w:r w:rsidR="00A8443E" w:rsidRPr="00027624">
        <w:rPr>
          <w:rFonts w:asciiTheme="minorHAnsi" w:eastAsiaTheme="minorHAnsi" w:hAnsiTheme="minorHAnsi" w:cstheme="minorBidi"/>
          <w:lang w:eastAsia="en-US"/>
        </w:rPr>
        <w:noBreakHyphen/>
      </w:r>
      <w:r w:rsidRPr="00027624">
        <w:rPr>
          <w:rFonts w:asciiTheme="minorHAnsi" w:eastAsiaTheme="minorHAnsi" w:hAnsiTheme="minorHAnsi" w:cstheme="minorBidi"/>
          <w:lang w:eastAsia="en-US"/>
        </w:rPr>
        <w:t>Monash Superannuation Research Cluster, and inaugural Chair of ASIC</w:t>
      </w:r>
      <w:r w:rsidR="00A8443E" w:rsidRPr="00027624">
        <w:rPr>
          <w:rFonts w:asciiTheme="minorHAnsi" w:eastAsiaTheme="minorHAnsi" w:hAnsiTheme="minorHAnsi" w:cstheme="minorBidi"/>
          <w:lang w:eastAsia="en-US"/>
        </w:rPr>
        <w:t>’</w:t>
      </w:r>
      <w:r w:rsidRPr="00027624">
        <w:rPr>
          <w:rFonts w:asciiTheme="minorHAnsi" w:eastAsiaTheme="minorHAnsi" w:hAnsiTheme="minorHAnsi" w:cstheme="minorBidi"/>
          <w:lang w:eastAsia="en-US"/>
        </w:rPr>
        <w:t>s Digital Finance Advisory Committee. In 2018</w:t>
      </w:r>
      <w:r w:rsidR="00ED5ED8" w:rsidRPr="00027624">
        <w:rPr>
          <w:rFonts w:asciiTheme="minorHAnsi" w:eastAsiaTheme="minorHAnsi" w:hAnsiTheme="minorHAnsi" w:cstheme="minorBidi"/>
          <w:lang w:eastAsia="en-US"/>
        </w:rPr>
        <w:t>,</w:t>
      </w:r>
      <w:r w:rsidR="00253916" w:rsidRPr="00027624">
        <w:rPr>
          <w:rFonts w:asciiTheme="minorHAnsi" w:eastAsiaTheme="minorHAnsi" w:hAnsiTheme="minorHAnsi" w:cstheme="minorBidi"/>
          <w:lang w:eastAsia="en-US"/>
        </w:rPr>
        <w:t xml:space="preserve"> Dr </w:t>
      </w:r>
      <w:r w:rsidRPr="00027624">
        <w:rPr>
          <w:rFonts w:asciiTheme="minorHAnsi" w:eastAsiaTheme="minorHAnsi" w:hAnsiTheme="minorHAnsi" w:cstheme="minorBidi"/>
          <w:lang w:eastAsia="en-US"/>
        </w:rPr>
        <w:t>Ralston was appointed to the Comprehensive Income Products for Retirement Framework Advisory Committee.</w:t>
      </w:r>
    </w:p>
    <w:p w14:paraId="4F2BC7EB" w14:textId="77777777" w:rsidR="005F1D42" w:rsidRPr="00027624" w:rsidRDefault="00ED5ED8" w:rsidP="005F1D42">
      <w:pPr>
        <w:rPr>
          <w:rFonts w:asciiTheme="minorHAnsi" w:eastAsiaTheme="minorHAnsi" w:hAnsiTheme="minorHAnsi" w:cstheme="minorBidi"/>
          <w:szCs w:val="22"/>
          <w:lang w:eastAsia="en-US"/>
        </w:rPr>
      </w:pPr>
      <w:r w:rsidRPr="00027624">
        <w:rPr>
          <w:rFonts w:asciiTheme="minorHAnsi" w:eastAsiaTheme="minorHAnsi" w:hAnsiTheme="minorHAnsi" w:cstheme="minorBidi"/>
          <w:lang w:eastAsia="en-US"/>
        </w:rPr>
        <w:t>Dr Ralston</w:t>
      </w:r>
      <w:r w:rsidR="005F1D42" w:rsidRPr="00027624">
        <w:rPr>
          <w:rFonts w:asciiTheme="minorHAnsi" w:eastAsiaTheme="minorHAnsi" w:hAnsiTheme="minorHAnsi" w:cstheme="minorBidi"/>
          <w:lang w:eastAsia="en-US"/>
        </w:rPr>
        <w:t xml:space="preserve"> holds a Master of Economics, a Doctor of Philosophy in financial regulation and is a Fellow of CPA Australia (FCPA)</w:t>
      </w:r>
      <w:r w:rsidRPr="00027624">
        <w:rPr>
          <w:rFonts w:asciiTheme="minorHAnsi" w:eastAsiaTheme="minorHAnsi" w:hAnsiTheme="minorHAnsi" w:cstheme="minorBidi"/>
          <w:lang w:eastAsia="en-US"/>
        </w:rPr>
        <w:t>,</w:t>
      </w:r>
      <w:r w:rsidR="005F1D42" w:rsidRPr="00027624">
        <w:rPr>
          <w:rFonts w:asciiTheme="minorHAnsi" w:eastAsiaTheme="minorHAnsi" w:hAnsiTheme="minorHAnsi" w:cstheme="minorBidi"/>
          <w:lang w:eastAsia="en-US"/>
        </w:rPr>
        <w:t xml:space="preserve"> and the Australian Institute of Company Directors (FAICD).</w:t>
      </w:r>
    </w:p>
    <w:p w14:paraId="5DA1626D" w14:textId="77777777" w:rsidR="00403B25" w:rsidRPr="00027624" w:rsidRDefault="00403B25" w:rsidP="004273FE">
      <w:pPr>
        <w:pStyle w:val="Heading3"/>
      </w:pPr>
      <w:bookmarkStart w:id="36" w:name="_Toc42174707"/>
      <w:r w:rsidRPr="00027624">
        <w:t>Secretariat</w:t>
      </w:r>
      <w:bookmarkEnd w:id="36"/>
    </w:p>
    <w:tbl>
      <w:tblPr>
        <w:tblW w:w="9072" w:type="dxa"/>
        <w:tblLook w:val="04A0" w:firstRow="1" w:lastRow="0" w:firstColumn="1" w:lastColumn="0" w:noHBand="0" w:noVBand="1"/>
      </w:tblPr>
      <w:tblGrid>
        <w:gridCol w:w="4106"/>
        <w:gridCol w:w="2718"/>
        <w:gridCol w:w="2248"/>
      </w:tblGrid>
      <w:tr w:rsidR="00CC0BBC" w:rsidRPr="00027624" w14:paraId="55102469" w14:textId="77777777" w:rsidTr="00CD023B">
        <w:trPr>
          <w:trHeight w:val="290"/>
        </w:trPr>
        <w:tc>
          <w:tcPr>
            <w:tcW w:w="4106" w:type="dxa"/>
            <w:shd w:val="clear" w:color="auto" w:fill="auto"/>
            <w:noWrap/>
            <w:vAlign w:val="center"/>
            <w:hideMark/>
          </w:tcPr>
          <w:p w14:paraId="1349EA8F" w14:textId="77777777" w:rsidR="00CC0BBC" w:rsidRPr="00027624" w:rsidRDefault="00C71277" w:rsidP="00CC0BBC">
            <w:pPr>
              <w:spacing w:before="0" w:after="0"/>
              <w:rPr>
                <w:b/>
                <w:color w:val="000000"/>
              </w:rPr>
            </w:pPr>
            <w:r w:rsidRPr="00027624">
              <w:rPr>
                <w:b/>
                <w:color w:val="000000"/>
              </w:rPr>
              <w:t>Robb Preston (Head of s</w:t>
            </w:r>
            <w:r w:rsidR="00CC0BBC" w:rsidRPr="00027624">
              <w:rPr>
                <w:b/>
                <w:color w:val="000000"/>
              </w:rPr>
              <w:t>ecretariat)</w:t>
            </w:r>
          </w:p>
        </w:tc>
        <w:tc>
          <w:tcPr>
            <w:tcW w:w="2718" w:type="dxa"/>
            <w:shd w:val="clear" w:color="auto" w:fill="auto"/>
            <w:vAlign w:val="center"/>
          </w:tcPr>
          <w:p w14:paraId="15B82633" w14:textId="77777777" w:rsidR="00CC0BBC" w:rsidRPr="00027624" w:rsidRDefault="00CC0BBC" w:rsidP="00CC0BBC">
            <w:pPr>
              <w:spacing w:before="0" w:after="0"/>
              <w:rPr>
                <w:b/>
                <w:color w:val="000000"/>
              </w:rPr>
            </w:pPr>
          </w:p>
        </w:tc>
        <w:tc>
          <w:tcPr>
            <w:tcW w:w="2248" w:type="dxa"/>
          </w:tcPr>
          <w:p w14:paraId="549E397C" w14:textId="77777777" w:rsidR="002528C1" w:rsidRPr="00027624" w:rsidRDefault="002528C1" w:rsidP="00CC0BBC">
            <w:pPr>
              <w:spacing w:before="0" w:after="0"/>
              <w:rPr>
                <w:rFonts w:cs="Calibri"/>
                <w:b/>
                <w:color w:val="000000"/>
                <w:szCs w:val="22"/>
              </w:rPr>
            </w:pPr>
          </w:p>
        </w:tc>
      </w:tr>
      <w:tr w:rsidR="00A75F0B" w:rsidRPr="00027624" w14:paraId="7537D39A" w14:textId="77777777" w:rsidTr="00CD023B">
        <w:trPr>
          <w:trHeight w:val="290"/>
        </w:trPr>
        <w:tc>
          <w:tcPr>
            <w:tcW w:w="4106" w:type="dxa"/>
            <w:shd w:val="clear" w:color="auto" w:fill="auto"/>
            <w:noWrap/>
            <w:vAlign w:val="center"/>
          </w:tcPr>
          <w:p w14:paraId="6751AC3B" w14:textId="77777777" w:rsidR="00A75F0B" w:rsidRPr="00027624" w:rsidRDefault="00A75F0B" w:rsidP="00A75F0B">
            <w:pPr>
              <w:spacing w:before="0" w:after="0"/>
              <w:rPr>
                <w:b/>
                <w:color w:val="000000"/>
              </w:rPr>
            </w:pPr>
            <w:r w:rsidRPr="00027624">
              <w:rPr>
                <w:b/>
                <w:color w:val="000000"/>
              </w:rPr>
              <w:t>Grace Anthony</w:t>
            </w:r>
          </w:p>
        </w:tc>
        <w:tc>
          <w:tcPr>
            <w:tcW w:w="2718" w:type="dxa"/>
            <w:shd w:val="clear" w:color="auto" w:fill="auto"/>
            <w:vAlign w:val="center"/>
          </w:tcPr>
          <w:p w14:paraId="43493657" w14:textId="77777777" w:rsidR="00A75F0B" w:rsidRPr="00027624" w:rsidRDefault="00A75F0B" w:rsidP="00A75F0B">
            <w:pPr>
              <w:spacing w:before="0" w:after="0"/>
              <w:rPr>
                <w:b/>
                <w:color w:val="000000"/>
              </w:rPr>
            </w:pPr>
            <w:r w:rsidRPr="00027624">
              <w:rPr>
                <w:b/>
                <w:color w:val="000000"/>
              </w:rPr>
              <w:t>Bianca Bauer</w:t>
            </w:r>
          </w:p>
        </w:tc>
        <w:tc>
          <w:tcPr>
            <w:tcW w:w="2248" w:type="dxa"/>
          </w:tcPr>
          <w:p w14:paraId="6AB67873" w14:textId="77777777" w:rsidR="002528C1" w:rsidRPr="00027624" w:rsidRDefault="002528C1" w:rsidP="00A75F0B">
            <w:pPr>
              <w:spacing w:before="0" w:after="0"/>
              <w:rPr>
                <w:rFonts w:cs="Calibri"/>
                <w:b/>
                <w:color w:val="000000"/>
                <w:szCs w:val="22"/>
              </w:rPr>
            </w:pPr>
            <w:r w:rsidRPr="00027624">
              <w:rPr>
                <w:rFonts w:cs="Calibri"/>
                <w:b/>
                <w:color w:val="000000"/>
                <w:szCs w:val="22"/>
              </w:rPr>
              <w:t>Ryan Baxter</w:t>
            </w:r>
          </w:p>
        </w:tc>
      </w:tr>
      <w:tr w:rsidR="00A75F0B" w:rsidRPr="00027624" w14:paraId="1B37709C" w14:textId="77777777" w:rsidTr="00CD023B">
        <w:trPr>
          <w:trHeight w:val="290"/>
        </w:trPr>
        <w:tc>
          <w:tcPr>
            <w:tcW w:w="4106" w:type="dxa"/>
            <w:shd w:val="clear" w:color="auto" w:fill="auto"/>
            <w:noWrap/>
            <w:vAlign w:val="center"/>
          </w:tcPr>
          <w:p w14:paraId="79BDB680" w14:textId="77777777" w:rsidR="002528C1" w:rsidRPr="00027624" w:rsidRDefault="002528C1" w:rsidP="00A75F0B">
            <w:pPr>
              <w:spacing w:before="0" w:after="0"/>
              <w:rPr>
                <w:rFonts w:cs="Calibri"/>
                <w:b/>
                <w:color w:val="000000" w:themeColor="text1"/>
              </w:rPr>
            </w:pPr>
            <w:r w:rsidRPr="00027624">
              <w:rPr>
                <w:rFonts w:cs="Calibri"/>
                <w:b/>
                <w:color w:val="000000" w:themeColor="text1"/>
              </w:rPr>
              <w:t>Kylie Bourke</w:t>
            </w:r>
          </w:p>
        </w:tc>
        <w:tc>
          <w:tcPr>
            <w:tcW w:w="2718" w:type="dxa"/>
            <w:shd w:val="clear" w:color="auto" w:fill="auto"/>
            <w:vAlign w:val="center"/>
          </w:tcPr>
          <w:p w14:paraId="7E0F3A91" w14:textId="77777777" w:rsidR="00A75F0B" w:rsidRPr="00027624" w:rsidRDefault="00A75F0B" w:rsidP="00A75F0B">
            <w:pPr>
              <w:spacing w:before="0" w:after="0"/>
              <w:rPr>
                <w:b/>
                <w:color w:val="000000"/>
              </w:rPr>
            </w:pPr>
            <w:r w:rsidRPr="00027624">
              <w:rPr>
                <w:b/>
                <w:color w:val="000000"/>
              </w:rPr>
              <w:t>Yi Yong Cai</w:t>
            </w:r>
          </w:p>
        </w:tc>
        <w:tc>
          <w:tcPr>
            <w:tcW w:w="2248" w:type="dxa"/>
            <w:shd w:val="clear" w:color="auto" w:fill="auto"/>
          </w:tcPr>
          <w:p w14:paraId="2946C670" w14:textId="77777777" w:rsidR="00A75F0B" w:rsidRPr="00027624" w:rsidRDefault="00A75F0B" w:rsidP="00A75F0B">
            <w:pPr>
              <w:spacing w:before="0" w:after="0"/>
              <w:rPr>
                <w:b/>
                <w:color w:val="000000" w:themeColor="text1"/>
              </w:rPr>
            </w:pPr>
            <w:r w:rsidRPr="00027624">
              <w:rPr>
                <w:b/>
                <w:color w:val="000000"/>
              </w:rPr>
              <w:t>Luke Dorahy</w:t>
            </w:r>
          </w:p>
        </w:tc>
      </w:tr>
      <w:tr w:rsidR="00A75F0B" w:rsidRPr="00027624" w14:paraId="28913AB9" w14:textId="77777777" w:rsidTr="00CD023B">
        <w:trPr>
          <w:trHeight w:val="290"/>
        </w:trPr>
        <w:tc>
          <w:tcPr>
            <w:tcW w:w="4106" w:type="dxa"/>
            <w:shd w:val="clear" w:color="auto" w:fill="auto"/>
            <w:noWrap/>
            <w:vAlign w:val="center"/>
          </w:tcPr>
          <w:p w14:paraId="38E7D3CF" w14:textId="77777777" w:rsidR="00A75F0B" w:rsidRPr="00027624" w:rsidRDefault="00A75F0B" w:rsidP="00A75F0B">
            <w:pPr>
              <w:spacing w:before="0" w:after="0"/>
              <w:rPr>
                <w:b/>
                <w:color w:val="000000"/>
              </w:rPr>
            </w:pPr>
            <w:r w:rsidRPr="00027624">
              <w:rPr>
                <w:b/>
                <w:color w:val="000000"/>
              </w:rPr>
              <w:t>Anne</w:t>
            </w:r>
            <w:r w:rsidR="00A8443E" w:rsidRPr="00027624">
              <w:rPr>
                <w:b/>
                <w:color w:val="000000"/>
              </w:rPr>
              <w:noBreakHyphen/>
            </w:r>
            <w:r w:rsidRPr="00027624">
              <w:rPr>
                <w:b/>
                <w:color w:val="000000"/>
              </w:rPr>
              <w:t>Line Giudicelli</w:t>
            </w:r>
          </w:p>
        </w:tc>
        <w:tc>
          <w:tcPr>
            <w:tcW w:w="2718" w:type="dxa"/>
            <w:shd w:val="clear" w:color="auto" w:fill="auto"/>
            <w:vAlign w:val="center"/>
          </w:tcPr>
          <w:p w14:paraId="30B57C73" w14:textId="77777777" w:rsidR="00A75F0B" w:rsidRPr="00027624" w:rsidRDefault="00A75F0B" w:rsidP="00A75F0B">
            <w:pPr>
              <w:spacing w:before="0" w:after="0"/>
              <w:rPr>
                <w:b/>
                <w:color w:val="000000"/>
              </w:rPr>
            </w:pPr>
            <w:r w:rsidRPr="00027624">
              <w:rPr>
                <w:b/>
                <w:color w:val="000000"/>
              </w:rPr>
              <w:t>Tegan Holt</w:t>
            </w:r>
          </w:p>
        </w:tc>
        <w:tc>
          <w:tcPr>
            <w:tcW w:w="2248" w:type="dxa"/>
          </w:tcPr>
          <w:p w14:paraId="3D740FDC" w14:textId="77777777" w:rsidR="002528C1" w:rsidRPr="00027624" w:rsidRDefault="002528C1" w:rsidP="00A75F0B">
            <w:pPr>
              <w:spacing w:before="0" w:after="0"/>
              <w:rPr>
                <w:rFonts w:cs="Calibri"/>
                <w:b/>
                <w:color w:val="000000"/>
                <w:szCs w:val="22"/>
              </w:rPr>
            </w:pPr>
            <w:r w:rsidRPr="00027624">
              <w:rPr>
                <w:rFonts w:cs="Calibri"/>
                <w:b/>
                <w:color w:val="000000"/>
                <w:szCs w:val="22"/>
              </w:rPr>
              <w:t>Cate Le Mesurier</w:t>
            </w:r>
          </w:p>
        </w:tc>
      </w:tr>
      <w:tr w:rsidR="00A75F0B" w:rsidRPr="00027624" w14:paraId="7B472B73" w14:textId="77777777" w:rsidTr="00CD023B">
        <w:trPr>
          <w:trHeight w:val="290"/>
        </w:trPr>
        <w:tc>
          <w:tcPr>
            <w:tcW w:w="4106" w:type="dxa"/>
            <w:shd w:val="clear" w:color="auto" w:fill="auto"/>
            <w:noWrap/>
            <w:vAlign w:val="center"/>
          </w:tcPr>
          <w:p w14:paraId="66868FD7" w14:textId="77777777" w:rsidR="002528C1" w:rsidRPr="00027624" w:rsidRDefault="002528C1" w:rsidP="002528C1">
            <w:pPr>
              <w:spacing w:before="0" w:after="0"/>
              <w:rPr>
                <w:rFonts w:cs="Calibri"/>
                <w:b/>
                <w:color w:val="000000"/>
                <w:szCs w:val="22"/>
              </w:rPr>
            </w:pPr>
            <w:r w:rsidRPr="00027624">
              <w:rPr>
                <w:rFonts w:cs="Calibri"/>
                <w:b/>
                <w:color w:val="000000"/>
                <w:szCs w:val="22"/>
              </w:rPr>
              <w:t>Tamara Linehan</w:t>
            </w:r>
          </w:p>
        </w:tc>
        <w:tc>
          <w:tcPr>
            <w:tcW w:w="2718" w:type="dxa"/>
            <w:shd w:val="clear" w:color="auto" w:fill="auto"/>
            <w:vAlign w:val="center"/>
          </w:tcPr>
          <w:p w14:paraId="534913A1" w14:textId="77777777" w:rsidR="00A75F0B" w:rsidRPr="00027624" w:rsidRDefault="00A75F0B" w:rsidP="00A75F0B">
            <w:pPr>
              <w:spacing w:before="0" w:after="0"/>
              <w:rPr>
                <w:b/>
                <w:color w:val="000000"/>
              </w:rPr>
            </w:pPr>
            <w:r w:rsidRPr="00027624">
              <w:rPr>
                <w:b/>
                <w:color w:val="000000"/>
              </w:rPr>
              <w:t>Darren Magennis</w:t>
            </w:r>
          </w:p>
        </w:tc>
        <w:tc>
          <w:tcPr>
            <w:tcW w:w="2248" w:type="dxa"/>
            <w:shd w:val="clear" w:color="auto" w:fill="auto"/>
            <w:vAlign w:val="center"/>
          </w:tcPr>
          <w:p w14:paraId="3582F03D" w14:textId="77777777" w:rsidR="00A75F0B" w:rsidRPr="00027624" w:rsidRDefault="00A75F0B" w:rsidP="00A75F0B">
            <w:pPr>
              <w:spacing w:before="0" w:after="0"/>
              <w:rPr>
                <w:b/>
                <w:color w:val="000000"/>
              </w:rPr>
            </w:pPr>
            <w:r w:rsidRPr="00027624">
              <w:rPr>
                <w:b/>
                <w:color w:val="000000"/>
              </w:rPr>
              <w:t>Rebecca McCallum</w:t>
            </w:r>
          </w:p>
        </w:tc>
      </w:tr>
      <w:tr w:rsidR="00A75F0B" w:rsidRPr="00027624" w14:paraId="47992206" w14:textId="77777777" w:rsidTr="00CD023B">
        <w:trPr>
          <w:trHeight w:val="290"/>
        </w:trPr>
        <w:tc>
          <w:tcPr>
            <w:tcW w:w="4106" w:type="dxa"/>
            <w:shd w:val="clear" w:color="auto" w:fill="auto"/>
            <w:noWrap/>
            <w:vAlign w:val="center"/>
          </w:tcPr>
          <w:p w14:paraId="745ACC11" w14:textId="77777777" w:rsidR="00A75F0B" w:rsidRPr="00027624" w:rsidRDefault="00A75F0B" w:rsidP="00A75F0B">
            <w:pPr>
              <w:spacing w:before="0" w:after="0"/>
              <w:rPr>
                <w:b/>
                <w:color w:val="000000"/>
              </w:rPr>
            </w:pPr>
            <w:r w:rsidRPr="00027624">
              <w:rPr>
                <w:b/>
                <w:color w:val="000000"/>
              </w:rPr>
              <w:t>Tremayne Mellersh</w:t>
            </w:r>
          </w:p>
        </w:tc>
        <w:tc>
          <w:tcPr>
            <w:tcW w:w="2718" w:type="dxa"/>
            <w:shd w:val="clear" w:color="auto" w:fill="auto"/>
            <w:vAlign w:val="center"/>
          </w:tcPr>
          <w:p w14:paraId="5A539A97" w14:textId="77777777" w:rsidR="00A75F0B" w:rsidRPr="00027624" w:rsidRDefault="00A75F0B" w:rsidP="00A75F0B">
            <w:pPr>
              <w:spacing w:before="0" w:after="0"/>
              <w:rPr>
                <w:b/>
                <w:color w:val="000000"/>
              </w:rPr>
            </w:pPr>
            <w:r w:rsidRPr="00027624">
              <w:rPr>
                <w:b/>
                <w:color w:val="000000"/>
              </w:rPr>
              <w:t>Joseph Moloney</w:t>
            </w:r>
          </w:p>
        </w:tc>
        <w:tc>
          <w:tcPr>
            <w:tcW w:w="2248" w:type="dxa"/>
          </w:tcPr>
          <w:p w14:paraId="545E7AC8" w14:textId="77777777" w:rsidR="002528C1" w:rsidRPr="00027624" w:rsidRDefault="002528C1" w:rsidP="002528C1">
            <w:pPr>
              <w:spacing w:before="0" w:after="0"/>
              <w:rPr>
                <w:rFonts w:cs="Calibri"/>
                <w:b/>
                <w:color w:val="000000"/>
                <w:szCs w:val="22"/>
              </w:rPr>
            </w:pPr>
            <w:r w:rsidRPr="00027624">
              <w:rPr>
                <w:rFonts w:cs="Calibri"/>
                <w:b/>
                <w:color w:val="000000"/>
                <w:szCs w:val="22"/>
              </w:rPr>
              <w:t>Sam Pelly</w:t>
            </w:r>
          </w:p>
        </w:tc>
      </w:tr>
      <w:tr w:rsidR="00A75F0B" w:rsidRPr="00027624" w14:paraId="0EAE7035" w14:textId="77777777" w:rsidTr="00CD023B">
        <w:trPr>
          <w:trHeight w:val="290"/>
        </w:trPr>
        <w:tc>
          <w:tcPr>
            <w:tcW w:w="4106" w:type="dxa"/>
            <w:shd w:val="clear" w:color="auto" w:fill="auto"/>
            <w:noWrap/>
            <w:vAlign w:val="center"/>
          </w:tcPr>
          <w:p w14:paraId="58BB1213" w14:textId="77777777" w:rsidR="002528C1" w:rsidRPr="00027624" w:rsidRDefault="002528C1" w:rsidP="002528C1">
            <w:pPr>
              <w:spacing w:before="0" w:after="0"/>
              <w:rPr>
                <w:rFonts w:cs="Calibri"/>
                <w:b/>
                <w:color w:val="000000"/>
                <w:szCs w:val="22"/>
              </w:rPr>
            </w:pPr>
            <w:r w:rsidRPr="00027624">
              <w:rPr>
                <w:rFonts w:cs="Calibri"/>
                <w:b/>
                <w:color w:val="000000"/>
                <w:szCs w:val="22"/>
              </w:rPr>
              <w:t>Cameron Robinson</w:t>
            </w:r>
          </w:p>
        </w:tc>
        <w:tc>
          <w:tcPr>
            <w:tcW w:w="2718" w:type="dxa"/>
            <w:shd w:val="clear" w:color="auto" w:fill="auto"/>
            <w:vAlign w:val="center"/>
          </w:tcPr>
          <w:p w14:paraId="1BB15133" w14:textId="77777777" w:rsidR="00A75F0B" w:rsidRPr="00027624" w:rsidRDefault="00A75F0B" w:rsidP="00A75F0B">
            <w:pPr>
              <w:spacing w:before="0" w:after="0"/>
              <w:rPr>
                <w:b/>
                <w:color w:val="000000"/>
              </w:rPr>
            </w:pPr>
            <w:r w:rsidRPr="00027624">
              <w:rPr>
                <w:b/>
                <w:color w:val="000000"/>
              </w:rPr>
              <w:t>Jonathan Rush</w:t>
            </w:r>
          </w:p>
        </w:tc>
        <w:tc>
          <w:tcPr>
            <w:tcW w:w="2248" w:type="dxa"/>
            <w:shd w:val="clear" w:color="auto" w:fill="auto"/>
          </w:tcPr>
          <w:p w14:paraId="7C84D363" w14:textId="77777777" w:rsidR="00A75F0B" w:rsidRPr="00027624" w:rsidRDefault="00A75F0B" w:rsidP="00A75F0B">
            <w:pPr>
              <w:spacing w:before="0" w:after="0"/>
              <w:rPr>
                <w:b/>
                <w:color w:val="000000"/>
              </w:rPr>
            </w:pPr>
            <w:r w:rsidRPr="00027624">
              <w:rPr>
                <w:b/>
                <w:color w:val="000000"/>
              </w:rPr>
              <w:t>Paul Ryan</w:t>
            </w:r>
          </w:p>
        </w:tc>
      </w:tr>
      <w:tr w:rsidR="00A75F0B" w:rsidRPr="00027624" w14:paraId="1FEBE160" w14:textId="77777777" w:rsidTr="00CD023B">
        <w:trPr>
          <w:trHeight w:val="290"/>
        </w:trPr>
        <w:tc>
          <w:tcPr>
            <w:tcW w:w="4106" w:type="dxa"/>
            <w:shd w:val="clear" w:color="auto" w:fill="auto"/>
            <w:noWrap/>
            <w:vAlign w:val="center"/>
          </w:tcPr>
          <w:p w14:paraId="551362D1" w14:textId="77777777" w:rsidR="00A75F0B" w:rsidRPr="00027624" w:rsidRDefault="00A75F0B" w:rsidP="00A75F0B">
            <w:pPr>
              <w:spacing w:before="0" w:after="0"/>
              <w:rPr>
                <w:b/>
                <w:color w:val="000000"/>
              </w:rPr>
            </w:pPr>
            <w:r w:rsidRPr="00027624">
              <w:rPr>
                <w:b/>
                <w:color w:val="000000"/>
              </w:rPr>
              <w:t>Tony Wiskich</w:t>
            </w:r>
          </w:p>
        </w:tc>
        <w:tc>
          <w:tcPr>
            <w:tcW w:w="2718" w:type="dxa"/>
            <w:shd w:val="clear" w:color="auto" w:fill="auto"/>
            <w:vAlign w:val="center"/>
          </w:tcPr>
          <w:p w14:paraId="63C2C34A" w14:textId="77777777" w:rsidR="00A75F0B" w:rsidRPr="00027624" w:rsidRDefault="00A75F0B" w:rsidP="00A75F0B">
            <w:pPr>
              <w:spacing w:before="0" w:after="0"/>
              <w:rPr>
                <w:b/>
                <w:color w:val="000000"/>
              </w:rPr>
            </w:pPr>
            <w:r w:rsidRPr="00027624">
              <w:rPr>
                <w:b/>
                <w:color w:val="000000"/>
              </w:rPr>
              <w:t>William Young</w:t>
            </w:r>
          </w:p>
        </w:tc>
        <w:tc>
          <w:tcPr>
            <w:tcW w:w="2248" w:type="dxa"/>
          </w:tcPr>
          <w:p w14:paraId="41CAE625" w14:textId="77777777" w:rsidR="002528C1" w:rsidRPr="00027624" w:rsidRDefault="002528C1" w:rsidP="002528C1">
            <w:pPr>
              <w:spacing w:before="0" w:after="0"/>
              <w:rPr>
                <w:rFonts w:cs="Calibri"/>
                <w:b/>
                <w:color w:val="000000"/>
                <w:szCs w:val="22"/>
              </w:rPr>
            </w:pPr>
          </w:p>
        </w:tc>
      </w:tr>
    </w:tbl>
    <w:p w14:paraId="3731E1BD" w14:textId="77777777" w:rsidR="00CC0BBC" w:rsidRPr="00027624" w:rsidRDefault="00CC0BBC" w:rsidP="00795CBC">
      <w:pPr>
        <w:pStyle w:val="Heading1notnumbered"/>
        <w:pageBreakBefore/>
      </w:pPr>
      <w:bookmarkStart w:id="37" w:name="_Toc43203186"/>
      <w:bookmarkStart w:id="38" w:name="_Toc45520404"/>
      <w:bookmarkStart w:id="39" w:name="_Toc46133512"/>
      <w:bookmarkStart w:id="40" w:name="_Toc41914545"/>
      <w:r w:rsidRPr="00027624">
        <w:lastRenderedPageBreak/>
        <w:t>Foreword</w:t>
      </w:r>
      <w:bookmarkEnd w:id="37"/>
      <w:bookmarkEnd w:id="38"/>
      <w:bookmarkEnd w:id="39"/>
    </w:p>
    <w:bookmarkEnd w:id="40"/>
    <w:p w14:paraId="0FADDC8A" w14:textId="77777777" w:rsidR="00820F53" w:rsidRPr="00027624" w:rsidRDefault="00820F53" w:rsidP="00820F53">
      <w:r w:rsidRPr="00027624">
        <w:t xml:space="preserve">The Government commissioned the Retirement Income Review following a recommendation by the Productivity Commission in its report </w:t>
      </w:r>
      <w:r w:rsidRPr="00027624">
        <w:rPr>
          <w:i/>
          <w:iCs/>
        </w:rPr>
        <w:t>Superannuation: Assessing Efficiency and Competitiveness</w:t>
      </w:r>
      <w:r w:rsidRPr="00027624">
        <w:t>.</w:t>
      </w:r>
    </w:p>
    <w:p w14:paraId="1BF25B8C" w14:textId="77777777" w:rsidR="008E0768" w:rsidRPr="00027624" w:rsidRDefault="61A8185E" w:rsidP="008E0768">
      <w:r w:rsidRPr="00027624">
        <w:t>In keeping with its terms of reference,</w:t>
      </w:r>
      <w:r w:rsidR="000C152E" w:rsidRPr="00027624">
        <w:t xml:space="preserve"> the </w:t>
      </w:r>
      <w:r w:rsidR="008E0768" w:rsidRPr="00027624">
        <w:t>review has developed a</w:t>
      </w:r>
      <w:r w:rsidR="002B068F" w:rsidRPr="00027624">
        <w:t xml:space="preserve">n evidence </w:t>
      </w:r>
      <w:r w:rsidR="008E0768" w:rsidRPr="00027624">
        <w:t xml:space="preserve">base of the </w:t>
      </w:r>
      <w:r w:rsidR="3B91EFB7" w:rsidRPr="00027624">
        <w:t xml:space="preserve">operation of the </w:t>
      </w:r>
      <w:r w:rsidR="04F0A912" w:rsidRPr="00027624">
        <w:t>retirement income</w:t>
      </w:r>
      <w:r w:rsidR="008E0768" w:rsidRPr="00027624">
        <w:t xml:space="preserve"> system</w:t>
      </w:r>
      <w:r w:rsidR="00830236" w:rsidRPr="00027624">
        <w:t>,</w:t>
      </w:r>
      <w:r w:rsidR="008E0768" w:rsidRPr="00027624">
        <w:t xml:space="preserve"> with the aim of improving the understanding of how the system operates and the outcomes it delivers for Australians. </w:t>
      </w:r>
      <w:r w:rsidR="4341CCF8" w:rsidRPr="00027624">
        <w:t>The review was not asked to recommend changes to the system.</w:t>
      </w:r>
    </w:p>
    <w:p w14:paraId="3BAED34A" w14:textId="77777777" w:rsidR="008E0768" w:rsidRPr="00027624" w:rsidRDefault="3171E6E1" w:rsidP="008E0768">
      <w:r w:rsidRPr="00027624">
        <w:t>T</w:t>
      </w:r>
      <w:r w:rsidR="008E0768" w:rsidRPr="00027624">
        <w:t>he review</w:t>
      </w:r>
      <w:r w:rsidR="00A8443E" w:rsidRPr="00027624">
        <w:t>’</w:t>
      </w:r>
      <w:r w:rsidR="001341CA" w:rsidRPr="00027624">
        <w:t>s</w:t>
      </w:r>
      <w:r w:rsidR="008E0768" w:rsidRPr="00027624">
        <w:t xml:space="preserve"> </w:t>
      </w:r>
      <w:r w:rsidR="4CB57DFF" w:rsidRPr="00027624">
        <w:t>assessment of the evidence</w:t>
      </w:r>
      <w:r w:rsidR="55FB0895" w:rsidRPr="00027624">
        <w:t xml:space="preserve"> regarding the</w:t>
      </w:r>
      <w:r w:rsidR="4CB57DFF" w:rsidRPr="00027624">
        <w:t xml:space="preserve"> operation </w:t>
      </w:r>
      <w:r w:rsidR="3FEBF32D" w:rsidRPr="00027624">
        <w:t>of</w:t>
      </w:r>
      <w:r w:rsidR="008E0768" w:rsidRPr="00027624">
        <w:t xml:space="preserve"> the retirement income system</w:t>
      </w:r>
      <w:r w:rsidR="008E0768" w:rsidRPr="00027624">
        <w:rPr>
          <w:rFonts w:eastAsia="Calibri"/>
        </w:rPr>
        <w:t xml:space="preserve"> is </w:t>
      </w:r>
      <w:r w:rsidR="001341CA" w:rsidRPr="00027624">
        <w:rPr>
          <w:rFonts w:eastAsia="Calibri"/>
        </w:rPr>
        <w:t xml:space="preserve">framed around the </w:t>
      </w:r>
      <w:r w:rsidR="00493B66" w:rsidRPr="00027624">
        <w:rPr>
          <w:rFonts w:eastAsia="Calibri"/>
        </w:rPr>
        <w:t>p</w:t>
      </w:r>
      <w:r w:rsidR="001341CA" w:rsidRPr="00027624">
        <w:rPr>
          <w:rFonts w:eastAsia="Calibri"/>
        </w:rPr>
        <w:t>anel</w:t>
      </w:r>
      <w:r w:rsidR="00A8443E" w:rsidRPr="00027624">
        <w:rPr>
          <w:rFonts w:eastAsia="Calibri"/>
        </w:rPr>
        <w:t>’</w:t>
      </w:r>
      <w:r w:rsidR="001341CA" w:rsidRPr="00027624">
        <w:rPr>
          <w:rFonts w:eastAsia="Calibri"/>
        </w:rPr>
        <w:t xml:space="preserve">s suggestion as to </w:t>
      </w:r>
      <w:r w:rsidR="15D39BF3" w:rsidRPr="00027624">
        <w:rPr>
          <w:rFonts w:eastAsia="Calibri"/>
        </w:rPr>
        <w:t>what could be</w:t>
      </w:r>
      <w:r w:rsidR="001341CA" w:rsidRPr="00027624">
        <w:rPr>
          <w:rFonts w:eastAsia="Calibri"/>
        </w:rPr>
        <w:t xml:space="preserve"> the broad objective for the system, namely</w:t>
      </w:r>
      <w:r w:rsidR="00716B23" w:rsidRPr="00027624">
        <w:rPr>
          <w:rFonts w:eastAsia="Calibri"/>
          <w:i/>
          <w:iCs/>
        </w:rPr>
        <w:t xml:space="preserve">, </w:t>
      </w:r>
      <w:r w:rsidR="00A8443E" w:rsidRPr="00027624">
        <w:rPr>
          <w:rFonts w:eastAsia="Calibri"/>
          <w:i/>
          <w:iCs/>
        </w:rPr>
        <w:t>‘</w:t>
      </w:r>
      <w:r w:rsidR="00716B23" w:rsidRPr="00027624">
        <w:rPr>
          <w:rFonts w:eastAsia="Calibri"/>
          <w:i/>
          <w:iCs/>
        </w:rPr>
        <w:t xml:space="preserve">to deliver </w:t>
      </w:r>
      <w:r w:rsidR="001341CA" w:rsidRPr="00027624">
        <w:rPr>
          <w:rFonts w:eastAsia="Calibri"/>
          <w:i/>
          <w:iCs/>
        </w:rPr>
        <w:t>adequate standard</w:t>
      </w:r>
      <w:r w:rsidR="00716B23" w:rsidRPr="00027624">
        <w:rPr>
          <w:rFonts w:eastAsia="Calibri"/>
          <w:i/>
          <w:iCs/>
        </w:rPr>
        <w:t>s</w:t>
      </w:r>
      <w:r w:rsidR="001341CA" w:rsidRPr="00027624">
        <w:rPr>
          <w:rFonts w:eastAsia="Calibri"/>
          <w:i/>
          <w:iCs/>
        </w:rPr>
        <w:t xml:space="preserve"> of living in retirement in an equitable, sustainable and cohesive way</w:t>
      </w:r>
      <w:r w:rsidR="00A8443E" w:rsidRPr="00027624">
        <w:rPr>
          <w:rFonts w:eastAsia="Calibri"/>
          <w:i/>
          <w:iCs/>
        </w:rPr>
        <w:t>’</w:t>
      </w:r>
      <w:r w:rsidR="001341CA" w:rsidRPr="00027624">
        <w:rPr>
          <w:rFonts w:eastAsia="Calibri"/>
        </w:rPr>
        <w:t>.</w:t>
      </w:r>
    </w:p>
    <w:p w14:paraId="3CEC9806" w14:textId="77777777" w:rsidR="00CC0BBC" w:rsidRPr="00027624" w:rsidRDefault="00755F07" w:rsidP="003602FD">
      <w:r w:rsidRPr="00027624">
        <w:t>A</w:t>
      </w:r>
      <w:r w:rsidR="003602FD" w:rsidRPr="00027624">
        <w:t xml:space="preserve"> consultative and research</w:t>
      </w:r>
      <w:r w:rsidR="00A8443E" w:rsidRPr="00027624">
        <w:noBreakHyphen/>
      </w:r>
      <w:r w:rsidR="003602FD" w:rsidRPr="00027624">
        <w:t>based approach</w:t>
      </w:r>
      <w:r w:rsidRPr="00027624">
        <w:t xml:space="preserve"> was undertaken</w:t>
      </w:r>
      <w:r w:rsidR="00C71277" w:rsidRPr="00027624">
        <w:t>. The p</w:t>
      </w:r>
      <w:r w:rsidR="002B068F" w:rsidRPr="00027624">
        <w:t xml:space="preserve">anel invited </w:t>
      </w:r>
      <w:r w:rsidR="666C6DC8" w:rsidRPr="00027624">
        <w:t>submission</w:t>
      </w:r>
      <w:r w:rsidR="00B0205F" w:rsidRPr="00027624">
        <w:t>s</w:t>
      </w:r>
      <w:r w:rsidR="666C6DC8" w:rsidRPr="00027624">
        <w:t xml:space="preserve"> from the public</w:t>
      </w:r>
      <w:r w:rsidR="003602FD" w:rsidRPr="00027624">
        <w:t xml:space="preserve"> </w:t>
      </w:r>
      <w:r w:rsidR="001558A5" w:rsidRPr="00027624">
        <w:t>in response to</w:t>
      </w:r>
      <w:r w:rsidR="003602FD" w:rsidRPr="00027624">
        <w:t xml:space="preserve"> the </w:t>
      </w:r>
      <w:r w:rsidR="002B068F" w:rsidRPr="00027624">
        <w:t>consultation paper released in November 2019</w:t>
      </w:r>
      <w:r w:rsidR="00CC0BBC" w:rsidRPr="00027624">
        <w:t>.</w:t>
      </w:r>
      <w:r w:rsidR="003E694A" w:rsidRPr="00027624">
        <w:t xml:space="preserve"> </w:t>
      </w:r>
      <w:r w:rsidR="00AB5803" w:rsidRPr="00027624">
        <w:t>P</w:t>
      </w:r>
      <w:r w:rsidR="003B512E" w:rsidRPr="00027624">
        <w:t xml:space="preserve">ublic interest </w:t>
      </w:r>
      <w:r w:rsidR="00AB5803" w:rsidRPr="00027624">
        <w:t>was broad</w:t>
      </w:r>
      <w:r w:rsidR="69A03A90" w:rsidRPr="00027624">
        <w:t xml:space="preserve"> and</w:t>
      </w:r>
      <w:r w:rsidR="3A4717FD" w:rsidRPr="00027624">
        <w:t xml:space="preserve"> </w:t>
      </w:r>
      <w:r w:rsidR="005E63E7" w:rsidRPr="00027624">
        <w:t>over 430</w:t>
      </w:r>
      <w:r w:rsidR="003B512E" w:rsidRPr="00027624">
        <w:t xml:space="preserve"> submissions </w:t>
      </w:r>
      <w:r w:rsidR="12791B53" w:rsidRPr="00027624">
        <w:t>were received.</w:t>
      </w:r>
      <w:r w:rsidR="00C71277" w:rsidRPr="00027624">
        <w:t xml:space="preserve"> The p</w:t>
      </w:r>
      <w:r w:rsidR="003B512E" w:rsidRPr="00027624">
        <w:t xml:space="preserve">anel and secretariat </w:t>
      </w:r>
      <w:r w:rsidR="66A27D2D" w:rsidRPr="00027624">
        <w:t>consulted widely, holding</w:t>
      </w:r>
      <w:r w:rsidR="003B512E" w:rsidRPr="00027624">
        <w:t xml:space="preserve"> more than 100 meetings with stakeholders, including academics, regulators, industry bodies, superannuation funds and </w:t>
      </w:r>
      <w:r w:rsidR="008147D0" w:rsidRPr="00027624">
        <w:t>consumer groups</w:t>
      </w:r>
      <w:r w:rsidR="407DA82B" w:rsidRPr="00027624">
        <w:t xml:space="preserve">. The meetings ranged from large forums to small groups of </w:t>
      </w:r>
      <w:r w:rsidR="3C8F1C6D" w:rsidRPr="00027624">
        <w:t>stakeholders</w:t>
      </w:r>
      <w:r w:rsidR="77E59E3C" w:rsidRPr="00027624">
        <w:t xml:space="preserve">. </w:t>
      </w:r>
      <w:r w:rsidR="01B9A410" w:rsidRPr="00027624">
        <w:t>D</w:t>
      </w:r>
      <w:r w:rsidR="1ECA2D43" w:rsidRPr="00027624">
        <w:t>etails</w:t>
      </w:r>
      <w:r w:rsidR="00CC0BBC" w:rsidRPr="00027624">
        <w:t xml:space="preserve"> regarding the submissions and consultation can be found in </w:t>
      </w:r>
      <w:r w:rsidR="00CC0BBC" w:rsidRPr="00027624">
        <w:rPr>
          <w:i/>
        </w:rPr>
        <w:t xml:space="preserve">Appendix </w:t>
      </w:r>
      <w:r w:rsidR="006F54A7" w:rsidRPr="00027624">
        <w:rPr>
          <w:i/>
        </w:rPr>
        <w:t>6</w:t>
      </w:r>
      <w:r w:rsidR="00521D76" w:rsidRPr="00027624">
        <w:rPr>
          <w:i/>
        </w:rPr>
        <w:t>E</w:t>
      </w:r>
      <w:r w:rsidR="006F54A7" w:rsidRPr="00027624">
        <w:rPr>
          <w:i/>
        </w:rPr>
        <w:t>.</w:t>
      </w:r>
      <w:r w:rsidR="00CC0BBC" w:rsidRPr="00027624">
        <w:rPr>
          <w:i/>
        </w:rPr>
        <w:t xml:space="preserve"> Consultation</w:t>
      </w:r>
      <w:r w:rsidR="00521D76" w:rsidRPr="00027624">
        <w:rPr>
          <w:i/>
        </w:rPr>
        <w:t xml:space="preserve"> </w:t>
      </w:r>
      <w:r w:rsidR="0075420D" w:rsidRPr="00027624">
        <w:rPr>
          <w:i/>
        </w:rPr>
        <w:t>p</w:t>
      </w:r>
      <w:r w:rsidR="00521D76" w:rsidRPr="00027624">
        <w:rPr>
          <w:i/>
        </w:rPr>
        <w:t>rocess</w:t>
      </w:r>
      <w:r w:rsidR="00CC0BBC" w:rsidRPr="00027624">
        <w:t>.</w:t>
      </w:r>
    </w:p>
    <w:p w14:paraId="5B90E55C" w14:textId="77777777" w:rsidR="00CC0BBC" w:rsidRPr="00027624" w:rsidRDefault="00AB5803" w:rsidP="00CC0BBC">
      <w:r w:rsidRPr="00027624">
        <w:t>T</w:t>
      </w:r>
      <w:r w:rsidR="00636385" w:rsidRPr="00027624">
        <w:t xml:space="preserve">he review </w:t>
      </w:r>
      <w:r w:rsidR="008147D0" w:rsidRPr="00027624">
        <w:t xml:space="preserve">conducted its own </w:t>
      </w:r>
      <w:r w:rsidR="3F942121" w:rsidRPr="00027624">
        <w:t xml:space="preserve">extensive </w:t>
      </w:r>
      <w:r w:rsidR="008147D0" w:rsidRPr="00027624">
        <w:t>research and modelling,</w:t>
      </w:r>
      <w:r w:rsidR="003B512E" w:rsidRPr="00027624">
        <w:t xml:space="preserve"> commissioned </w:t>
      </w:r>
      <w:r w:rsidR="008147D0" w:rsidRPr="00027624">
        <w:t>analysis</w:t>
      </w:r>
      <w:r w:rsidR="003B512E" w:rsidRPr="00027624">
        <w:t xml:space="preserve"> from a number of organisations</w:t>
      </w:r>
      <w:r w:rsidR="00687A13" w:rsidRPr="00027624">
        <w:t xml:space="preserve"> and drew on a wide range of existing research reports, to consider</w:t>
      </w:r>
      <w:r w:rsidR="003B512E" w:rsidRPr="00027624">
        <w:t xml:space="preserve"> how the system performs today and how it will </w:t>
      </w:r>
      <w:r w:rsidRPr="00027624">
        <w:t>perform</w:t>
      </w:r>
      <w:r w:rsidR="003B512E" w:rsidRPr="00027624">
        <w:t xml:space="preserve"> in an ageing society. </w:t>
      </w:r>
      <w:r w:rsidR="00687A13" w:rsidRPr="00027624">
        <w:t xml:space="preserve">The review </w:t>
      </w:r>
      <w:r w:rsidR="7DFA0663" w:rsidRPr="00027624">
        <w:t>commissioned</w:t>
      </w:r>
      <w:r w:rsidR="00CC0BBC" w:rsidRPr="00027624">
        <w:t xml:space="preserve"> research by the Monash Centre for Financial Stu</w:t>
      </w:r>
      <w:r w:rsidR="00075E76" w:rsidRPr="00027624">
        <w:t>dies at Monash University, Bankw</w:t>
      </w:r>
      <w:r w:rsidR="00CC0BBC" w:rsidRPr="00027624">
        <w:t>est Curtin Economics Centre at Curtin University</w:t>
      </w:r>
      <w:r w:rsidR="00317728" w:rsidRPr="00027624">
        <w:t>,</w:t>
      </w:r>
      <w:r w:rsidR="00CC0BBC" w:rsidRPr="00027624">
        <w:t xml:space="preserve"> and the Tax and Transfer Institute at ANU. </w:t>
      </w:r>
      <w:r w:rsidR="67F42B3B" w:rsidRPr="00027624">
        <w:t>These commissioned reports are available on the review</w:t>
      </w:r>
      <w:r w:rsidR="00A8443E" w:rsidRPr="00027624">
        <w:t>’</w:t>
      </w:r>
      <w:r w:rsidR="67F42B3B" w:rsidRPr="00027624">
        <w:t xml:space="preserve">s website. </w:t>
      </w:r>
      <w:r w:rsidR="00CC0BBC" w:rsidRPr="00027624">
        <w:t>The review also benefited from data and analysis provided by the</w:t>
      </w:r>
      <w:r w:rsidR="00687A13" w:rsidRPr="00027624">
        <w:t xml:space="preserve"> Treasury, </w:t>
      </w:r>
      <w:r w:rsidR="00CC0BBC" w:rsidRPr="00027624">
        <w:t xml:space="preserve">Australian Government Actuary, Australian Taxation Office, </w:t>
      </w:r>
      <w:r w:rsidR="00D116BD" w:rsidRPr="00027624">
        <w:t xml:space="preserve">Department of Social Services, </w:t>
      </w:r>
      <w:r w:rsidR="00CC0BBC" w:rsidRPr="00027624">
        <w:t>Behavioural Economics Team of the Australian Government (BETA)</w:t>
      </w:r>
      <w:r w:rsidR="00E860C3" w:rsidRPr="00027624">
        <w:t>,</w:t>
      </w:r>
      <w:r w:rsidR="00CC0BBC" w:rsidRPr="00027624">
        <w:t xml:space="preserve"> and </w:t>
      </w:r>
      <w:r w:rsidR="00E860C3" w:rsidRPr="00027624">
        <w:t>Rice Warner</w:t>
      </w:r>
      <w:r w:rsidR="00CC0BBC" w:rsidRPr="00027624">
        <w:t>.</w:t>
      </w:r>
    </w:p>
    <w:p w14:paraId="60BBE9B0" w14:textId="77777777" w:rsidR="00A35124" w:rsidRPr="00027624" w:rsidRDefault="00B0737C" w:rsidP="00A35124">
      <w:pPr>
        <w:rPr>
          <w:rFonts w:cs="Calibri"/>
          <w:color w:val="000000"/>
          <w:szCs w:val="22"/>
          <w:shd w:val="clear" w:color="auto" w:fill="FFFFFF"/>
        </w:rPr>
      </w:pPr>
      <w:r w:rsidRPr="00027624">
        <w:rPr>
          <w:rFonts w:cs="Calibri"/>
          <w:color w:val="000000"/>
          <w:szCs w:val="22"/>
          <w:shd w:val="clear" w:color="auto" w:fill="FFFFFF"/>
        </w:rPr>
        <w:t>T</w:t>
      </w:r>
      <w:r w:rsidR="00A35124" w:rsidRPr="00027624">
        <w:rPr>
          <w:rFonts w:cs="Calibri"/>
          <w:color w:val="000000"/>
          <w:szCs w:val="22"/>
          <w:shd w:val="clear" w:color="auto" w:fill="FFFFFF"/>
        </w:rPr>
        <w:t>he COVID</w:t>
      </w:r>
      <w:r w:rsidR="00A8443E" w:rsidRPr="00027624">
        <w:rPr>
          <w:rFonts w:cs="Calibri"/>
          <w:color w:val="000000"/>
          <w:szCs w:val="22"/>
          <w:shd w:val="clear" w:color="auto" w:fill="FFFFFF"/>
        </w:rPr>
        <w:noBreakHyphen/>
      </w:r>
      <w:r w:rsidR="00A35124" w:rsidRPr="00027624">
        <w:rPr>
          <w:rFonts w:cs="Calibri"/>
          <w:color w:val="000000"/>
          <w:szCs w:val="22"/>
          <w:shd w:val="clear" w:color="auto" w:fill="FFFFFF"/>
        </w:rPr>
        <w:t xml:space="preserve">19 Pandemic </w:t>
      </w:r>
      <w:r w:rsidRPr="00027624">
        <w:rPr>
          <w:rFonts w:cs="Calibri"/>
          <w:color w:val="000000"/>
          <w:szCs w:val="22"/>
          <w:shd w:val="clear" w:color="auto" w:fill="FFFFFF"/>
        </w:rPr>
        <w:t>occurred during the review</w:t>
      </w:r>
      <w:r w:rsidR="00A35124" w:rsidRPr="00027624">
        <w:rPr>
          <w:rFonts w:cs="Calibri"/>
          <w:color w:val="000000"/>
          <w:szCs w:val="22"/>
          <w:shd w:val="clear" w:color="auto" w:fill="FFFFFF"/>
        </w:rPr>
        <w:t xml:space="preserve">. </w:t>
      </w:r>
      <w:r w:rsidR="003E694A" w:rsidRPr="00027624">
        <w:rPr>
          <w:rFonts w:cs="Calibri"/>
          <w:color w:val="000000"/>
          <w:szCs w:val="22"/>
          <w:shd w:val="clear" w:color="auto" w:fill="FFFFFF"/>
        </w:rPr>
        <w:t>T</w:t>
      </w:r>
      <w:r w:rsidR="00A35124" w:rsidRPr="00027624">
        <w:rPr>
          <w:rFonts w:cs="Calibri"/>
          <w:color w:val="000000"/>
          <w:szCs w:val="22"/>
          <w:shd w:val="clear" w:color="auto" w:fill="FFFFFF"/>
        </w:rPr>
        <w:t xml:space="preserve">he approach taken </w:t>
      </w:r>
      <w:r w:rsidR="003E694A" w:rsidRPr="00027624">
        <w:rPr>
          <w:rFonts w:cs="Calibri"/>
          <w:color w:val="000000"/>
          <w:szCs w:val="22"/>
          <w:shd w:val="clear" w:color="auto" w:fill="FFFFFF"/>
        </w:rPr>
        <w:t xml:space="preserve">by the review </w:t>
      </w:r>
      <w:r w:rsidR="00A35124" w:rsidRPr="00027624">
        <w:rPr>
          <w:rFonts w:cs="Calibri"/>
          <w:color w:val="000000"/>
          <w:szCs w:val="22"/>
          <w:shd w:val="clear" w:color="auto" w:fill="FFFFFF"/>
        </w:rPr>
        <w:t xml:space="preserve">in considering the impacts is outlined </w:t>
      </w:r>
      <w:r w:rsidR="00C10F2C" w:rsidRPr="00027624">
        <w:rPr>
          <w:rFonts w:cs="Calibri"/>
          <w:color w:val="000000"/>
          <w:szCs w:val="22"/>
          <w:shd w:val="clear" w:color="auto" w:fill="FFFFFF"/>
        </w:rPr>
        <w:t>below</w:t>
      </w:r>
      <w:r w:rsidR="00C91901" w:rsidRPr="00027624">
        <w:rPr>
          <w:rFonts w:cs="Calibri"/>
          <w:bCs/>
          <w:color w:val="000000"/>
          <w:szCs w:val="22"/>
          <w:shd w:val="clear" w:color="auto" w:fill="FFFFFF"/>
          <w:lang w:val="en-US"/>
        </w:rPr>
        <w:t>.</w:t>
      </w:r>
    </w:p>
    <w:tbl>
      <w:tblPr>
        <w:tblpPr w:leftFromText="180" w:rightFromText="180" w:vertAnchor="text" w:tblpY="1"/>
        <w:tblOverlap w:val="never"/>
        <w:tblW w:w="5000" w:type="pct"/>
        <w:shd w:val="clear" w:color="auto" w:fill="DFD7E7" w:themeFill="accent3" w:themeFillTint="33"/>
        <w:tblLook w:val="01E0" w:firstRow="1" w:lastRow="1" w:firstColumn="1" w:lastColumn="1" w:noHBand="0" w:noVBand="0"/>
      </w:tblPr>
      <w:tblGrid>
        <w:gridCol w:w="9070"/>
      </w:tblGrid>
      <w:tr w:rsidR="00A35124" w:rsidRPr="00027624" w14:paraId="669EDEF6" w14:textId="77777777" w:rsidTr="009B5E69">
        <w:tc>
          <w:tcPr>
            <w:tcW w:w="5000" w:type="pct"/>
            <w:shd w:val="clear" w:color="auto" w:fill="DFD7E7" w:themeFill="accent3" w:themeFillTint="33"/>
          </w:tcPr>
          <w:p w14:paraId="2400FB07" w14:textId="77777777" w:rsidR="00A35124" w:rsidRPr="004239BC" w:rsidRDefault="00A35124" w:rsidP="00C7577C">
            <w:pPr>
              <w:pStyle w:val="BoxHeadingnotnumbered"/>
              <w:framePr w:hSpace="0" w:wrap="auto" w:vAnchor="margin" w:yAlign="inline"/>
              <w:suppressOverlap w:val="0"/>
            </w:pPr>
            <w:bookmarkStart w:id="41" w:name="_Ref44577936"/>
            <w:r w:rsidRPr="004239BC">
              <w:t>The retirement income review in the context of the COVID</w:t>
            </w:r>
            <w:r w:rsidR="00A8443E" w:rsidRPr="004239BC">
              <w:noBreakHyphen/>
            </w:r>
            <w:r w:rsidRPr="004239BC">
              <w:t>19 Pandemic</w:t>
            </w:r>
            <w:bookmarkEnd w:id="41"/>
          </w:p>
          <w:p w14:paraId="54AAF935" w14:textId="77777777" w:rsidR="00A35124" w:rsidRPr="00027624" w:rsidRDefault="00A35124" w:rsidP="009B5E69">
            <w:pPr>
              <w:pStyle w:val="BoxText"/>
            </w:pPr>
            <w:r w:rsidRPr="00027624">
              <w:t xml:space="preserve">The economic impacts of </w:t>
            </w:r>
            <w:r w:rsidR="00C173FC" w:rsidRPr="00027624">
              <w:t xml:space="preserve">the </w:t>
            </w:r>
            <w:r w:rsidRPr="00027624">
              <w:t>COVID</w:t>
            </w:r>
            <w:r w:rsidR="00A8443E" w:rsidRPr="00027624">
              <w:noBreakHyphen/>
            </w:r>
            <w:r w:rsidRPr="00027624">
              <w:t xml:space="preserve">19 </w:t>
            </w:r>
            <w:r w:rsidR="00C173FC" w:rsidRPr="00027624">
              <w:t xml:space="preserve">Pandemic </w:t>
            </w:r>
            <w:r w:rsidRPr="00027624">
              <w:t xml:space="preserve">were beginning to be observed during the course of the review. However, </w:t>
            </w:r>
            <w:r w:rsidR="00813098" w:rsidRPr="00027624">
              <w:t>the pandemic</w:t>
            </w:r>
            <w:r w:rsidR="00A8443E" w:rsidRPr="00027624">
              <w:t>’</w:t>
            </w:r>
            <w:r w:rsidR="00813098" w:rsidRPr="00027624">
              <w:t>s</w:t>
            </w:r>
            <w:r w:rsidRPr="00027624">
              <w:t xml:space="preserve"> full effects and any long</w:t>
            </w:r>
            <w:r w:rsidR="00A8443E" w:rsidRPr="00027624">
              <w:noBreakHyphen/>
            </w:r>
            <w:r w:rsidRPr="00027624">
              <w:t>term economic consequences will not be known for some time. Predicting the economic impacts of a pandemic is difficult and o</w:t>
            </w:r>
            <w:r w:rsidR="00E53633" w:rsidRPr="00027624">
              <w:t xml:space="preserve">utside the scope of this </w:t>
            </w:r>
            <w:r w:rsidR="008B70DB" w:rsidRPr="00027624">
              <w:t>review</w:t>
            </w:r>
            <w:r w:rsidRPr="00027624">
              <w:t>.</w:t>
            </w:r>
          </w:p>
          <w:p w14:paraId="3E2752E6" w14:textId="77777777" w:rsidR="00A35124" w:rsidRPr="00027624" w:rsidRDefault="00A35124" w:rsidP="009B5E69">
            <w:pPr>
              <w:pStyle w:val="BoxText"/>
            </w:pPr>
            <w:r w:rsidRPr="00027624">
              <w:t xml:space="preserve">The </w:t>
            </w:r>
            <w:r w:rsidR="00B83E44" w:rsidRPr="00027624">
              <w:t>initial</w:t>
            </w:r>
            <w:r w:rsidRPr="00027624">
              <w:t xml:space="preserve"> detrimental impact of COVID</w:t>
            </w:r>
            <w:r w:rsidR="00A8443E" w:rsidRPr="00027624">
              <w:noBreakHyphen/>
            </w:r>
            <w:r w:rsidRPr="00027624">
              <w:t xml:space="preserve">19 on financial and labour markets is not reflected in </w:t>
            </w:r>
            <w:r w:rsidR="2715F168" w:rsidRPr="00027624">
              <w:t xml:space="preserve">the </w:t>
            </w:r>
            <w:r w:rsidRPr="00027624">
              <w:t>quantitative analysis of the</w:t>
            </w:r>
            <w:r w:rsidR="7F2C4351" w:rsidRPr="00027624">
              <w:t xml:space="preserve"> </w:t>
            </w:r>
            <w:r w:rsidR="77C099A8" w:rsidRPr="00027624">
              <w:t>long</w:t>
            </w:r>
            <w:r w:rsidR="00A8443E" w:rsidRPr="00027624">
              <w:noBreakHyphen/>
            </w:r>
            <w:r w:rsidR="77C099A8" w:rsidRPr="00027624">
              <w:t>term</w:t>
            </w:r>
            <w:r w:rsidRPr="00027624">
              <w:t xml:space="preserve"> performance of the retirement income system. </w:t>
            </w:r>
            <w:r w:rsidR="00EB685E" w:rsidRPr="00027624">
              <w:t>W</w:t>
            </w:r>
            <w:r w:rsidRPr="00027624">
              <w:t>here the COVID</w:t>
            </w:r>
            <w:r w:rsidR="00A8443E" w:rsidRPr="00027624">
              <w:noBreakHyphen/>
            </w:r>
            <w:r w:rsidRPr="00027624">
              <w:t>19 Pandemic is likely to affect analysis in the short</w:t>
            </w:r>
            <w:r w:rsidR="00A8443E" w:rsidRPr="00027624">
              <w:noBreakHyphen/>
            </w:r>
            <w:r w:rsidRPr="00027624">
              <w:t xml:space="preserve"> to medium</w:t>
            </w:r>
            <w:r w:rsidR="00A8443E" w:rsidRPr="00027624">
              <w:noBreakHyphen/>
            </w:r>
            <w:r w:rsidRPr="00027624">
              <w:t>term, this is noted in the relevant chapter.</w:t>
            </w:r>
          </w:p>
          <w:p w14:paraId="05A429EF" w14:textId="77777777" w:rsidR="00F640B0" w:rsidRPr="00027624" w:rsidRDefault="00F640B0" w:rsidP="009B5E69">
            <w:pPr>
              <w:pStyle w:val="BoxText"/>
            </w:pPr>
            <w:r w:rsidRPr="00027624">
              <w:rPr>
                <w:lang w:eastAsia="en-US"/>
              </w:rPr>
              <w:t>S</w:t>
            </w:r>
            <w:r w:rsidRPr="00027624">
              <w:t>hort</w:t>
            </w:r>
            <w:r w:rsidR="00A8443E" w:rsidRPr="00027624">
              <w:noBreakHyphen/>
            </w:r>
            <w:r w:rsidRPr="00027624">
              <w:t>term factors should not materially affect the analysis of very long</w:t>
            </w:r>
            <w:r w:rsidR="008B70DB" w:rsidRPr="00027624">
              <w:t xml:space="preserve"> </w:t>
            </w:r>
            <w:r w:rsidRPr="00027624">
              <w:t>term outcomes</w:t>
            </w:r>
            <w:r w:rsidR="00F824BB" w:rsidRPr="00027624">
              <w:t xml:space="preserve"> (e</w:t>
            </w:r>
            <w:r w:rsidR="008B70DB" w:rsidRPr="00027624">
              <w:t>.g.</w:t>
            </w:r>
            <w:r w:rsidR="00F824BB" w:rsidRPr="00027624">
              <w:t xml:space="preserve"> </w:t>
            </w:r>
            <w:r w:rsidR="00671725" w:rsidRPr="00027624">
              <w:t xml:space="preserve">see </w:t>
            </w:r>
            <w:r w:rsidR="00F824BB" w:rsidRPr="00027624">
              <w:t>Box 4</w:t>
            </w:r>
            <w:r w:rsidR="00CD093C" w:rsidRPr="00027624">
              <w:t>A</w:t>
            </w:r>
            <w:r w:rsidR="00A8443E" w:rsidRPr="00027624">
              <w:noBreakHyphen/>
            </w:r>
            <w:r w:rsidR="00CD093C" w:rsidRPr="00027624">
              <w:t>4</w:t>
            </w:r>
            <w:r w:rsidR="00F824BB" w:rsidRPr="00027624">
              <w:t xml:space="preserve"> in </w:t>
            </w:r>
            <w:r w:rsidR="005F1D42" w:rsidRPr="00027624">
              <w:rPr>
                <w:i/>
              </w:rPr>
              <w:t xml:space="preserve">4. </w:t>
            </w:r>
            <w:r w:rsidR="00F824BB" w:rsidRPr="00027624">
              <w:rPr>
                <w:i/>
              </w:rPr>
              <w:t>Sustainability</w:t>
            </w:r>
            <w:r w:rsidR="00F824BB" w:rsidRPr="00027624">
              <w:t>)</w:t>
            </w:r>
            <w:r w:rsidRPr="00027624">
              <w:t>. They may, however, result in substantial short</w:t>
            </w:r>
            <w:r w:rsidR="00A8443E" w:rsidRPr="00027624">
              <w:noBreakHyphen/>
            </w:r>
            <w:r w:rsidRPr="00027624">
              <w:t>run deviations from the long</w:t>
            </w:r>
            <w:r w:rsidR="00A8443E" w:rsidRPr="00027624">
              <w:noBreakHyphen/>
            </w:r>
            <w:r w:rsidRPr="00027624">
              <w:t>term trends</w:t>
            </w:r>
            <w:r w:rsidRPr="00027624">
              <w:rPr>
                <w:rFonts w:eastAsiaTheme="minorHAnsi"/>
                <w:lang w:eastAsia="en-US"/>
              </w:rPr>
              <w:t>.</w:t>
            </w:r>
          </w:p>
          <w:p w14:paraId="05E96A47" w14:textId="77777777" w:rsidR="00C621EE" w:rsidRPr="00027624" w:rsidRDefault="00A35124" w:rsidP="0075420D">
            <w:pPr>
              <w:pStyle w:val="BoxText"/>
            </w:pPr>
            <w:r w:rsidRPr="00027624">
              <w:t>Given the uncertainty associated with the effects of the COVID</w:t>
            </w:r>
            <w:r w:rsidR="00A8443E" w:rsidRPr="00027624">
              <w:noBreakHyphen/>
            </w:r>
            <w:r w:rsidRPr="00027624">
              <w:t>19 Pandemic, this report includes sensitivity analysis</w:t>
            </w:r>
            <w:r w:rsidRPr="00027624">
              <w:rPr>
                <w:lang w:eastAsia="en-US"/>
              </w:rPr>
              <w:t xml:space="preserve"> to assess the potential impact of deviations from the assumed long</w:t>
            </w:r>
            <w:r w:rsidR="00A8443E" w:rsidRPr="00027624">
              <w:rPr>
                <w:lang w:eastAsia="en-US"/>
              </w:rPr>
              <w:noBreakHyphen/>
            </w:r>
            <w:r w:rsidRPr="00027624">
              <w:rPr>
                <w:lang w:eastAsia="en-US"/>
              </w:rPr>
              <w:t xml:space="preserve">term trends. For example, </w:t>
            </w:r>
            <w:r w:rsidR="00161757" w:rsidRPr="00027624">
              <w:rPr>
                <w:i/>
              </w:rPr>
              <w:t>2</w:t>
            </w:r>
            <w:r w:rsidR="005B0311" w:rsidRPr="00027624">
              <w:rPr>
                <w:i/>
              </w:rPr>
              <w:t>C</w:t>
            </w:r>
            <w:r w:rsidR="00161757" w:rsidRPr="00027624">
              <w:rPr>
                <w:i/>
              </w:rPr>
              <w:t>.</w:t>
            </w:r>
            <w:r w:rsidRPr="00027624">
              <w:rPr>
                <w:i/>
              </w:rPr>
              <w:t xml:space="preserve"> </w:t>
            </w:r>
            <w:r w:rsidR="005B0311" w:rsidRPr="00027624">
              <w:rPr>
                <w:i/>
              </w:rPr>
              <w:t>Maintaining standards of living in retirement</w:t>
            </w:r>
            <w:r w:rsidR="00B125DB" w:rsidRPr="00027624">
              <w:rPr>
                <w:iCs/>
              </w:rPr>
              <w:t>,</w:t>
            </w:r>
            <w:r w:rsidRPr="00027624">
              <w:rPr>
                <w:iCs/>
              </w:rPr>
              <w:t xml:space="preserve"> </w:t>
            </w:r>
            <w:r w:rsidRPr="00027624">
              <w:t>and</w:t>
            </w:r>
            <w:r w:rsidRPr="00027624">
              <w:rPr>
                <w:i/>
              </w:rPr>
              <w:t xml:space="preserve"> </w:t>
            </w:r>
            <w:r w:rsidR="00161757" w:rsidRPr="00027624">
              <w:rPr>
                <w:i/>
              </w:rPr>
              <w:t>4.</w:t>
            </w:r>
            <w:r w:rsidRPr="00027624">
              <w:rPr>
                <w:i/>
              </w:rPr>
              <w:t xml:space="preserve"> Sustainability</w:t>
            </w:r>
            <w:r w:rsidR="00B125DB" w:rsidRPr="00027624">
              <w:rPr>
                <w:iCs/>
              </w:rPr>
              <w:t>,</w:t>
            </w:r>
            <w:r w:rsidRPr="00027624">
              <w:t xml:space="preserve"> assess the effects of negative</w:t>
            </w:r>
            <w:r w:rsidRPr="00027624">
              <w:rPr>
                <w:color w:val="1F497D"/>
              </w:rPr>
              <w:t xml:space="preserve"> </w:t>
            </w:r>
            <w:r w:rsidRPr="00027624">
              <w:t>short</w:t>
            </w:r>
            <w:r w:rsidR="00A8443E" w:rsidRPr="00027624">
              <w:noBreakHyphen/>
            </w:r>
            <w:r w:rsidRPr="00027624">
              <w:t xml:space="preserve">term shocks to wage growth and investment returns on outcomes for individuals and to the cost and performance of the system. </w:t>
            </w:r>
            <w:r w:rsidR="0075420D" w:rsidRPr="00027624">
              <w:t>The</w:t>
            </w:r>
            <w:r w:rsidR="0075420D" w:rsidRPr="00027624">
              <w:rPr>
                <w:rFonts w:eastAsiaTheme="minorHAnsi"/>
              </w:rPr>
              <w:t xml:space="preserve"> </w:t>
            </w:r>
            <w:r w:rsidRPr="00027624">
              <w:rPr>
                <w:rFonts w:eastAsiaTheme="minorHAnsi"/>
              </w:rPr>
              <w:t>short</w:t>
            </w:r>
            <w:r w:rsidR="00A8443E" w:rsidRPr="00027624">
              <w:rPr>
                <w:rFonts w:eastAsiaTheme="minorHAnsi"/>
              </w:rPr>
              <w:noBreakHyphen/>
            </w:r>
            <w:r w:rsidRPr="00027624">
              <w:rPr>
                <w:rFonts w:eastAsiaTheme="minorHAnsi"/>
              </w:rPr>
              <w:t>term effects of market volatility for people in or nearing retirement</w:t>
            </w:r>
            <w:r w:rsidR="0075420D" w:rsidRPr="00027624">
              <w:rPr>
                <w:rFonts w:eastAsiaTheme="minorHAnsi"/>
              </w:rPr>
              <w:t xml:space="preserve"> are explored in </w:t>
            </w:r>
            <w:r w:rsidR="0075420D" w:rsidRPr="00027624">
              <w:rPr>
                <w:i/>
              </w:rPr>
              <w:t>2C.</w:t>
            </w:r>
            <w:r w:rsidR="0075420D" w:rsidRPr="00027624">
              <w:t xml:space="preserve"> </w:t>
            </w:r>
            <w:r w:rsidR="0075420D" w:rsidRPr="00027624">
              <w:rPr>
                <w:i/>
              </w:rPr>
              <w:t>Maintaining standards of living in retirement</w:t>
            </w:r>
            <w:r w:rsidR="0075420D" w:rsidRPr="00027624">
              <w:rPr>
                <w:iCs/>
              </w:rPr>
              <w:t>.</w:t>
            </w:r>
          </w:p>
        </w:tc>
      </w:tr>
    </w:tbl>
    <w:p w14:paraId="77DC73E8" w14:textId="77777777" w:rsidR="00B83E44" w:rsidRPr="00027624" w:rsidRDefault="00B83E44" w:rsidP="00C91901">
      <w:pPr>
        <w:pStyle w:val="Heading2"/>
      </w:pPr>
      <w:bookmarkStart w:id="42" w:name="_Toc45520405"/>
      <w:bookmarkStart w:id="43" w:name="_Toc46133513"/>
      <w:r w:rsidRPr="00027624">
        <w:lastRenderedPageBreak/>
        <w:t>Topics not covered</w:t>
      </w:r>
      <w:bookmarkEnd w:id="42"/>
      <w:bookmarkEnd w:id="43"/>
    </w:p>
    <w:p w14:paraId="5F5784BD" w14:textId="77777777" w:rsidR="003E694A" w:rsidRPr="00027624" w:rsidRDefault="003E694A" w:rsidP="00547B47">
      <w:pPr>
        <w:spacing w:before="0" w:after="0"/>
        <w:rPr>
          <w:rFonts w:cs="Calibri"/>
          <w:szCs w:val="22"/>
          <w:shd w:val="clear" w:color="auto" w:fill="FFFFFF"/>
        </w:rPr>
      </w:pPr>
      <w:r w:rsidRPr="00027624">
        <w:t xml:space="preserve">A range of topics were </w:t>
      </w:r>
      <w:r w:rsidR="3610B505" w:rsidRPr="00027624">
        <w:t>not considered by</w:t>
      </w:r>
      <w:r w:rsidR="560C8ABB" w:rsidRPr="00027624">
        <w:t xml:space="preserve"> </w:t>
      </w:r>
      <w:r w:rsidR="2556C4A5" w:rsidRPr="00027624">
        <w:t xml:space="preserve">the </w:t>
      </w:r>
      <w:r w:rsidRPr="00027624">
        <w:t xml:space="preserve">review. </w:t>
      </w:r>
      <w:r w:rsidR="00771AA1" w:rsidRPr="00027624">
        <w:t>These</w:t>
      </w:r>
      <w:r w:rsidRPr="00027624">
        <w:t xml:space="preserve"> </w:t>
      </w:r>
      <w:r w:rsidR="717885EF" w:rsidRPr="00027624">
        <w:t xml:space="preserve">included aspects of the retirement income system </w:t>
      </w:r>
      <w:r w:rsidRPr="00027624">
        <w:t xml:space="preserve">covered in </w:t>
      </w:r>
      <w:r w:rsidR="3229B173" w:rsidRPr="00027624">
        <w:t xml:space="preserve">detail in </w:t>
      </w:r>
      <w:r w:rsidRPr="00027624">
        <w:t xml:space="preserve">recent reviews </w:t>
      </w:r>
      <w:r w:rsidR="24296DBD" w:rsidRPr="00027624">
        <w:t>and</w:t>
      </w:r>
      <w:r w:rsidRPr="00027624">
        <w:t xml:space="preserve"> inquiries. For example, the Productivity Commission considered in detail the issues of superannuation fund performance and efficiency, as well as the competitiveness of the industry, in its report </w:t>
      </w:r>
      <w:r w:rsidRPr="00027624">
        <w:rPr>
          <w:rFonts w:cs="Calibri"/>
          <w:i/>
          <w:szCs w:val="22"/>
          <w:shd w:val="clear" w:color="auto" w:fill="FFFFFF"/>
        </w:rPr>
        <w:t>Superannuation: Assessing Efficiency and Competitiveness</w:t>
      </w:r>
      <w:r w:rsidRPr="00027624">
        <w:rPr>
          <w:rFonts w:cs="Calibri"/>
          <w:szCs w:val="22"/>
          <w:shd w:val="clear" w:color="auto" w:fill="FFFFFF"/>
        </w:rPr>
        <w:t>. That inquiry considered a range of competition, governance and regulatory issues, including the effects of underperformance and high fees on people</w:t>
      </w:r>
      <w:r w:rsidR="00A8443E" w:rsidRPr="00027624">
        <w:rPr>
          <w:rFonts w:cs="Calibri"/>
          <w:szCs w:val="22"/>
          <w:shd w:val="clear" w:color="auto" w:fill="FFFFFF"/>
        </w:rPr>
        <w:t>’</w:t>
      </w:r>
      <w:r w:rsidRPr="00027624">
        <w:rPr>
          <w:rFonts w:cs="Calibri"/>
          <w:szCs w:val="22"/>
          <w:shd w:val="clear" w:color="auto" w:fill="FFFFFF"/>
        </w:rPr>
        <w:t xml:space="preserve">s superannuation balances. </w:t>
      </w:r>
      <w:r w:rsidR="6C94E53E" w:rsidRPr="00027624">
        <w:rPr>
          <w:rFonts w:cs="Calibri"/>
          <w:shd w:val="clear" w:color="auto" w:fill="FFFFFF"/>
        </w:rPr>
        <w:t>While this review drew on the Productivity Commission</w:t>
      </w:r>
      <w:r w:rsidR="00A8443E" w:rsidRPr="00027624">
        <w:rPr>
          <w:rFonts w:cs="Calibri"/>
          <w:shd w:val="clear" w:color="auto" w:fill="FFFFFF"/>
        </w:rPr>
        <w:t>’</w:t>
      </w:r>
      <w:r w:rsidR="6C94E53E" w:rsidRPr="00027624">
        <w:rPr>
          <w:rFonts w:cs="Calibri"/>
          <w:shd w:val="clear" w:color="auto" w:fill="FFFFFF"/>
        </w:rPr>
        <w:t xml:space="preserve">s report, it did not </w:t>
      </w:r>
      <w:r w:rsidR="5C3BAE66" w:rsidRPr="00027624">
        <w:rPr>
          <w:rFonts w:cs="Calibri"/>
          <w:shd w:val="clear" w:color="auto" w:fill="FFFFFF"/>
        </w:rPr>
        <w:t>co</w:t>
      </w:r>
      <w:r w:rsidR="1F58BEF3" w:rsidRPr="00027624">
        <w:rPr>
          <w:rFonts w:cs="Calibri"/>
          <w:shd w:val="clear" w:color="auto" w:fill="FFFFFF"/>
        </w:rPr>
        <w:t>nsider</w:t>
      </w:r>
      <w:r w:rsidR="5C3BAE66" w:rsidRPr="00027624">
        <w:rPr>
          <w:rFonts w:cs="Calibri"/>
          <w:shd w:val="clear" w:color="auto" w:fill="FFFFFF"/>
        </w:rPr>
        <w:t xml:space="preserve"> </w:t>
      </w:r>
      <w:r w:rsidR="2EE5ED5C" w:rsidRPr="00027624">
        <w:rPr>
          <w:rFonts w:cs="Calibri"/>
          <w:shd w:val="clear" w:color="auto" w:fill="FFFFFF"/>
        </w:rPr>
        <w:t>in detail the mat</w:t>
      </w:r>
      <w:r w:rsidR="1A1B9432" w:rsidRPr="00027624">
        <w:rPr>
          <w:rFonts w:cs="Calibri"/>
          <w:shd w:val="clear" w:color="auto" w:fill="FFFFFF"/>
        </w:rPr>
        <w:t xml:space="preserve">erial covered in that report. </w:t>
      </w:r>
      <w:r w:rsidRPr="00027624">
        <w:rPr>
          <w:rFonts w:cs="Calibri"/>
          <w:szCs w:val="22"/>
          <w:shd w:val="clear" w:color="auto" w:fill="FFFFFF"/>
        </w:rPr>
        <w:t xml:space="preserve">Similarly, </w:t>
      </w:r>
      <w:r w:rsidR="004F1785" w:rsidRPr="00027624">
        <w:rPr>
          <w:rFonts w:cs="Calibri"/>
          <w:szCs w:val="22"/>
          <w:shd w:val="clear" w:color="auto" w:fill="FFFFFF"/>
        </w:rPr>
        <w:t>the Australian Prudential Regulation Authority</w:t>
      </w:r>
      <w:r w:rsidR="00A8443E" w:rsidRPr="00027624">
        <w:rPr>
          <w:rFonts w:cs="Calibri"/>
          <w:szCs w:val="22"/>
          <w:shd w:val="clear" w:color="auto" w:fill="FFFFFF"/>
        </w:rPr>
        <w:t>’</w:t>
      </w:r>
      <w:r w:rsidR="004F1785" w:rsidRPr="00027624">
        <w:rPr>
          <w:rFonts w:cs="Calibri"/>
          <w:szCs w:val="22"/>
          <w:shd w:val="clear" w:color="auto" w:fill="FFFFFF"/>
        </w:rPr>
        <w:t>s (</w:t>
      </w:r>
      <w:r w:rsidR="00DD338A" w:rsidRPr="00027624">
        <w:rPr>
          <w:rFonts w:cs="Calibri"/>
          <w:szCs w:val="22"/>
          <w:shd w:val="clear" w:color="auto" w:fill="FFFFFF"/>
        </w:rPr>
        <w:t>APRA</w:t>
      </w:r>
      <w:r w:rsidR="004F1785" w:rsidRPr="00027624">
        <w:rPr>
          <w:rFonts w:cs="Calibri"/>
          <w:szCs w:val="22"/>
          <w:shd w:val="clear" w:color="auto" w:fill="FFFFFF"/>
        </w:rPr>
        <w:t>)</w:t>
      </w:r>
      <w:r w:rsidR="00DD338A" w:rsidRPr="00027624">
        <w:rPr>
          <w:rFonts w:cs="Calibri"/>
          <w:szCs w:val="22"/>
          <w:shd w:val="clear" w:color="auto" w:fill="FFFFFF"/>
        </w:rPr>
        <w:t xml:space="preserve"> regulation of superannuation </w:t>
      </w:r>
      <w:r w:rsidRPr="00027624">
        <w:rPr>
          <w:rFonts w:cs="Calibri"/>
          <w:szCs w:val="22"/>
          <w:shd w:val="clear" w:color="auto" w:fill="FFFFFF"/>
        </w:rPr>
        <w:t>was covered in</w:t>
      </w:r>
      <w:r w:rsidR="00A8443E" w:rsidRPr="00027624">
        <w:rPr>
          <w:rFonts w:cs="Calibri"/>
          <w:szCs w:val="22"/>
          <w:shd w:val="clear" w:color="auto" w:fill="FFFFFF"/>
        </w:rPr>
        <w:noBreakHyphen/>
      </w:r>
      <w:r w:rsidRPr="00027624">
        <w:rPr>
          <w:rFonts w:cs="Calibri"/>
          <w:szCs w:val="22"/>
          <w:shd w:val="clear" w:color="auto" w:fill="FFFFFF"/>
        </w:rPr>
        <w:t xml:space="preserve">depth in the 2019 </w:t>
      </w:r>
      <w:r w:rsidRPr="00027624">
        <w:rPr>
          <w:rFonts w:cs="Calibri"/>
          <w:i/>
          <w:szCs w:val="22"/>
          <w:shd w:val="clear" w:color="auto" w:fill="FFFFFF"/>
        </w:rPr>
        <w:t>APRA Capability Review</w:t>
      </w:r>
      <w:r w:rsidR="00DD338A" w:rsidRPr="00027624">
        <w:rPr>
          <w:rFonts w:cs="Calibri"/>
          <w:szCs w:val="22"/>
          <w:shd w:val="clear" w:color="auto" w:fill="FFFFFF"/>
        </w:rPr>
        <w:t xml:space="preserve">. The conduct of superannuation trustees and the regulatory architecture of the superannuation system was covered by the </w:t>
      </w:r>
      <w:r w:rsidR="00247CD3" w:rsidRPr="00027624">
        <w:rPr>
          <w:rFonts w:cs="Calibri"/>
          <w:szCs w:val="22"/>
          <w:shd w:val="clear" w:color="auto" w:fill="FFFFFF"/>
        </w:rPr>
        <w:t>2019</w:t>
      </w:r>
      <w:r w:rsidR="00247CD3" w:rsidRPr="00027624">
        <w:rPr>
          <w:rFonts w:cs="Calibri"/>
          <w:i/>
          <w:szCs w:val="22"/>
          <w:shd w:val="clear" w:color="auto" w:fill="FFFFFF"/>
        </w:rPr>
        <w:t xml:space="preserve"> Royal Commission into Misconduct in the Banking, Superannuation and Financial Services Industry. </w:t>
      </w:r>
      <w:r w:rsidR="00247CD3" w:rsidRPr="00027624">
        <w:rPr>
          <w:rFonts w:cs="Calibri"/>
          <w:szCs w:val="22"/>
          <w:shd w:val="clear" w:color="auto" w:fill="FFFFFF"/>
        </w:rPr>
        <w:t>C</w:t>
      </w:r>
      <w:r w:rsidR="00DD338A" w:rsidRPr="00027624">
        <w:rPr>
          <w:rFonts w:cs="Calibri"/>
          <w:szCs w:val="22"/>
          <w:shd w:val="clear" w:color="auto" w:fill="FFFFFF"/>
        </w:rPr>
        <w:t xml:space="preserve">onditions </w:t>
      </w:r>
      <w:r w:rsidRPr="00027624">
        <w:rPr>
          <w:rFonts w:cs="Calibri"/>
          <w:szCs w:val="22"/>
          <w:shd w:val="clear" w:color="auto" w:fill="FFFFFF"/>
        </w:rPr>
        <w:t xml:space="preserve">for early release of superannuation were considered by </w:t>
      </w:r>
      <w:r w:rsidR="00192428" w:rsidRPr="00027624">
        <w:rPr>
          <w:rFonts w:cs="Calibri"/>
          <w:szCs w:val="22"/>
          <w:shd w:val="clear" w:color="auto" w:fill="FFFFFF"/>
        </w:rPr>
        <w:t xml:space="preserve">the </w:t>
      </w:r>
      <w:r w:rsidRPr="00027624">
        <w:rPr>
          <w:rFonts w:cs="Calibri"/>
          <w:szCs w:val="22"/>
          <w:shd w:val="clear" w:color="auto" w:fill="FFFFFF"/>
        </w:rPr>
        <w:t xml:space="preserve">Treasury in the 2019 </w:t>
      </w:r>
      <w:r w:rsidRPr="00027624">
        <w:rPr>
          <w:rFonts w:cs="Calibri"/>
          <w:i/>
          <w:szCs w:val="22"/>
          <w:shd w:val="clear" w:color="auto" w:fill="FFFFFF"/>
        </w:rPr>
        <w:t>Review of the early release of superannuation benefits</w:t>
      </w:r>
      <w:r w:rsidRPr="00027624">
        <w:rPr>
          <w:rFonts w:cs="Calibri"/>
          <w:szCs w:val="22"/>
          <w:shd w:val="clear" w:color="auto" w:fill="FFFFFF"/>
        </w:rPr>
        <w:t xml:space="preserve">. </w:t>
      </w:r>
      <w:r w:rsidR="582DABE9" w:rsidRPr="00027624">
        <w:rPr>
          <w:rFonts w:cs="Calibri"/>
          <w:shd w:val="clear" w:color="auto" w:fill="FFFFFF"/>
        </w:rPr>
        <w:t xml:space="preserve">The material covered in these reviews </w:t>
      </w:r>
      <w:r w:rsidR="00FF7B1A" w:rsidRPr="00027624">
        <w:rPr>
          <w:rFonts w:cs="Calibri"/>
          <w:shd w:val="clear" w:color="auto" w:fill="FFFFFF"/>
        </w:rPr>
        <w:t>was</w:t>
      </w:r>
      <w:r w:rsidR="582DABE9" w:rsidRPr="00027624">
        <w:rPr>
          <w:rFonts w:cs="Calibri"/>
          <w:shd w:val="clear" w:color="auto" w:fill="FFFFFF"/>
        </w:rPr>
        <w:t xml:space="preserve"> not included in this review. </w:t>
      </w:r>
      <w:r w:rsidR="003859E4" w:rsidRPr="00027624">
        <w:rPr>
          <w:rFonts w:eastAsia="Calibri"/>
        </w:rPr>
        <w:t>The role of the retirement income system in delivering indirect macroeconomic outcomes such as increased national savings has not been considered.</w:t>
      </w:r>
      <w:r w:rsidR="0070747D" w:rsidRPr="00027624">
        <w:rPr>
          <w:rFonts w:eastAsia="Calibri"/>
        </w:rPr>
        <w:t xml:space="preserve"> The role of insurance in superannuation was not considered as its benefits are predominantly paid to working</w:t>
      </w:r>
      <w:r w:rsidR="00A8443E" w:rsidRPr="00027624">
        <w:rPr>
          <w:rFonts w:eastAsia="Calibri"/>
        </w:rPr>
        <w:noBreakHyphen/>
      </w:r>
      <w:r w:rsidR="0070747D" w:rsidRPr="00027624">
        <w:rPr>
          <w:rFonts w:eastAsia="Calibri"/>
        </w:rPr>
        <w:t>age people.</w:t>
      </w:r>
    </w:p>
    <w:p w14:paraId="3B8C316F" w14:textId="77777777" w:rsidR="00755F07" w:rsidRPr="00027624" w:rsidRDefault="00755F07" w:rsidP="00CC0BBC">
      <w:pPr>
        <w:spacing w:before="0" w:after="160" w:line="259" w:lineRule="auto"/>
      </w:pPr>
    </w:p>
    <w:p w14:paraId="0C5142F3" w14:textId="77777777" w:rsidR="007D3244" w:rsidRPr="00027624" w:rsidRDefault="00755F07" w:rsidP="00C7577C">
      <w:r w:rsidRPr="00027624">
        <w:br w:type="page"/>
      </w:r>
      <w:bookmarkStart w:id="44" w:name="_Toc41914546"/>
      <w:bookmarkStart w:id="45" w:name="_Toc43203188"/>
    </w:p>
    <w:p w14:paraId="24820CAA" w14:textId="77777777" w:rsidR="00656DBC" w:rsidRPr="00027624" w:rsidRDefault="00656DBC" w:rsidP="004273FE">
      <w:pPr>
        <w:pStyle w:val="Heading1notnumbered"/>
      </w:pPr>
      <w:bookmarkStart w:id="46" w:name="_Toc45520406"/>
      <w:bookmarkStart w:id="47" w:name="_Toc46133514"/>
      <w:r w:rsidRPr="00027624">
        <w:lastRenderedPageBreak/>
        <w:t>Acronyms and abbreviations</w:t>
      </w:r>
      <w:bookmarkEnd w:id="44"/>
      <w:bookmarkEnd w:id="45"/>
      <w:bookmarkEnd w:id="46"/>
      <w:bookmarkEnd w:id="47"/>
    </w:p>
    <w:tbl>
      <w:tblPr>
        <w:tblStyle w:val="TableGrid"/>
        <w:tblW w:w="9067" w:type="dxa"/>
        <w:tblLook w:val="04A0" w:firstRow="1" w:lastRow="0" w:firstColumn="1" w:lastColumn="0" w:noHBand="0" w:noVBand="1"/>
      </w:tblPr>
      <w:tblGrid>
        <w:gridCol w:w="2665"/>
        <w:gridCol w:w="6402"/>
      </w:tblGrid>
      <w:tr w:rsidR="00656DBC" w:rsidRPr="00027624" w14:paraId="673B1C5C" w14:textId="77777777" w:rsidTr="005C7333">
        <w:tc>
          <w:tcPr>
            <w:tcW w:w="2665" w:type="dxa"/>
            <w:shd w:val="clear" w:color="auto" w:fill="auto"/>
          </w:tcPr>
          <w:p w14:paraId="2C2CABED" w14:textId="77777777" w:rsidR="00656DBC" w:rsidRPr="00027624" w:rsidRDefault="00656DBC" w:rsidP="005C7333">
            <w:pPr>
              <w:jc w:val="left"/>
              <w:rPr>
                <w:sz w:val="22"/>
              </w:rPr>
            </w:pPr>
            <w:r w:rsidRPr="00027624">
              <w:rPr>
                <w:sz w:val="22"/>
              </w:rPr>
              <w:t>ABS</w:t>
            </w:r>
          </w:p>
        </w:tc>
        <w:tc>
          <w:tcPr>
            <w:tcW w:w="6402" w:type="dxa"/>
            <w:shd w:val="clear" w:color="auto" w:fill="auto"/>
          </w:tcPr>
          <w:p w14:paraId="48CC7897" w14:textId="77777777" w:rsidR="00656DBC" w:rsidRPr="00027624" w:rsidRDefault="00656DBC" w:rsidP="005C7333">
            <w:pPr>
              <w:jc w:val="left"/>
              <w:rPr>
                <w:sz w:val="22"/>
              </w:rPr>
            </w:pPr>
            <w:r w:rsidRPr="00027624">
              <w:rPr>
                <w:sz w:val="22"/>
              </w:rPr>
              <w:t>Australian Bureau of Statistics</w:t>
            </w:r>
          </w:p>
        </w:tc>
      </w:tr>
      <w:tr w:rsidR="00656DBC" w:rsidRPr="00027624" w14:paraId="6B1A133B" w14:textId="77777777" w:rsidTr="005C7333">
        <w:tc>
          <w:tcPr>
            <w:tcW w:w="2665" w:type="dxa"/>
            <w:shd w:val="clear" w:color="auto" w:fill="auto"/>
          </w:tcPr>
          <w:p w14:paraId="61BBD7A7" w14:textId="77777777" w:rsidR="00656DBC" w:rsidRPr="00027624" w:rsidRDefault="00656DBC" w:rsidP="005C7333">
            <w:pPr>
              <w:jc w:val="left"/>
              <w:rPr>
                <w:sz w:val="22"/>
              </w:rPr>
            </w:pPr>
            <w:r w:rsidRPr="00027624">
              <w:rPr>
                <w:sz w:val="22"/>
              </w:rPr>
              <w:t>APRA</w:t>
            </w:r>
          </w:p>
        </w:tc>
        <w:tc>
          <w:tcPr>
            <w:tcW w:w="6402" w:type="dxa"/>
            <w:shd w:val="clear" w:color="auto" w:fill="auto"/>
          </w:tcPr>
          <w:p w14:paraId="7E4D0086" w14:textId="77777777" w:rsidR="00656DBC" w:rsidRPr="00027624" w:rsidRDefault="00656DBC" w:rsidP="005C7333">
            <w:pPr>
              <w:jc w:val="left"/>
              <w:rPr>
                <w:sz w:val="22"/>
              </w:rPr>
            </w:pPr>
            <w:r w:rsidRPr="00027624">
              <w:rPr>
                <w:sz w:val="22"/>
              </w:rPr>
              <w:t>Australian Prudential Regulation Authority</w:t>
            </w:r>
          </w:p>
        </w:tc>
      </w:tr>
      <w:tr w:rsidR="00656DBC" w:rsidRPr="00027624" w14:paraId="42009951" w14:textId="77777777" w:rsidTr="005C7333">
        <w:tc>
          <w:tcPr>
            <w:tcW w:w="2665" w:type="dxa"/>
            <w:shd w:val="clear" w:color="auto" w:fill="auto"/>
          </w:tcPr>
          <w:p w14:paraId="6260B6B1" w14:textId="77777777" w:rsidR="00656DBC" w:rsidRPr="00027624" w:rsidRDefault="00656DBC" w:rsidP="005C7333">
            <w:pPr>
              <w:jc w:val="left"/>
              <w:rPr>
                <w:sz w:val="22"/>
              </w:rPr>
            </w:pPr>
            <w:r w:rsidRPr="00027624">
              <w:rPr>
                <w:sz w:val="22"/>
              </w:rPr>
              <w:t>ASIC</w:t>
            </w:r>
          </w:p>
        </w:tc>
        <w:tc>
          <w:tcPr>
            <w:tcW w:w="6402" w:type="dxa"/>
            <w:shd w:val="clear" w:color="auto" w:fill="auto"/>
          </w:tcPr>
          <w:p w14:paraId="334D92AC" w14:textId="77777777" w:rsidR="00656DBC" w:rsidRPr="00027624" w:rsidRDefault="00656DBC" w:rsidP="005C7333">
            <w:pPr>
              <w:jc w:val="left"/>
              <w:rPr>
                <w:sz w:val="22"/>
              </w:rPr>
            </w:pPr>
            <w:r w:rsidRPr="00027624">
              <w:rPr>
                <w:sz w:val="22"/>
              </w:rPr>
              <w:t>Australian Securities and Investments Commission</w:t>
            </w:r>
          </w:p>
        </w:tc>
      </w:tr>
      <w:tr w:rsidR="003A6843" w:rsidRPr="00027624" w14:paraId="7EFF4931" w14:textId="77777777" w:rsidTr="005C7333">
        <w:tc>
          <w:tcPr>
            <w:tcW w:w="2665" w:type="dxa"/>
            <w:shd w:val="clear" w:color="auto" w:fill="auto"/>
          </w:tcPr>
          <w:p w14:paraId="2C06812F" w14:textId="77777777" w:rsidR="003A6843" w:rsidRPr="00027624" w:rsidRDefault="003A6843" w:rsidP="005C7333">
            <w:r w:rsidRPr="00027624">
              <w:t>ASFA</w:t>
            </w:r>
          </w:p>
        </w:tc>
        <w:tc>
          <w:tcPr>
            <w:tcW w:w="6402" w:type="dxa"/>
            <w:shd w:val="clear" w:color="auto" w:fill="auto"/>
          </w:tcPr>
          <w:p w14:paraId="1096A9DD" w14:textId="77777777" w:rsidR="003A6843" w:rsidRPr="00027624" w:rsidRDefault="003A6843" w:rsidP="003A6843">
            <w:pPr>
              <w:jc w:val="left"/>
              <w:rPr>
                <w:sz w:val="22"/>
              </w:rPr>
            </w:pPr>
            <w:r w:rsidRPr="00027624">
              <w:rPr>
                <w:sz w:val="22"/>
              </w:rPr>
              <w:t>Association of Superannuation Funds of Australia</w:t>
            </w:r>
          </w:p>
        </w:tc>
      </w:tr>
      <w:tr w:rsidR="00656DBC" w:rsidRPr="00027624" w14:paraId="25FFB74B" w14:textId="77777777" w:rsidTr="005C7333">
        <w:tc>
          <w:tcPr>
            <w:tcW w:w="2665" w:type="dxa"/>
            <w:shd w:val="clear" w:color="auto" w:fill="auto"/>
          </w:tcPr>
          <w:p w14:paraId="22A7C8B3" w14:textId="77777777" w:rsidR="00656DBC" w:rsidRPr="00027624" w:rsidRDefault="00656DBC" w:rsidP="005C7333">
            <w:pPr>
              <w:jc w:val="left"/>
              <w:rPr>
                <w:sz w:val="22"/>
              </w:rPr>
            </w:pPr>
            <w:r w:rsidRPr="00027624">
              <w:rPr>
                <w:sz w:val="22"/>
              </w:rPr>
              <w:t>ASX</w:t>
            </w:r>
          </w:p>
        </w:tc>
        <w:tc>
          <w:tcPr>
            <w:tcW w:w="6402" w:type="dxa"/>
            <w:shd w:val="clear" w:color="auto" w:fill="auto"/>
          </w:tcPr>
          <w:p w14:paraId="19CB4416" w14:textId="77777777" w:rsidR="00656DBC" w:rsidRPr="00027624" w:rsidRDefault="00656DBC" w:rsidP="005C7333">
            <w:pPr>
              <w:jc w:val="left"/>
              <w:rPr>
                <w:sz w:val="22"/>
              </w:rPr>
            </w:pPr>
            <w:r w:rsidRPr="00027624">
              <w:rPr>
                <w:sz w:val="22"/>
              </w:rPr>
              <w:t>Australian Securities Exchange</w:t>
            </w:r>
          </w:p>
        </w:tc>
      </w:tr>
      <w:tr w:rsidR="00656DBC" w:rsidRPr="00027624" w14:paraId="0C7D774A" w14:textId="77777777" w:rsidTr="005C7333">
        <w:tc>
          <w:tcPr>
            <w:tcW w:w="2665" w:type="dxa"/>
            <w:shd w:val="clear" w:color="auto" w:fill="auto"/>
          </w:tcPr>
          <w:p w14:paraId="5E276DAB" w14:textId="77777777" w:rsidR="00656DBC" w:rsidRPr="00027624" w:rsidRDefault="00656DBC" w:rsidP="005C7333">
            <w:pPr>
              <w:jc w:val="left"/>
              <w:rPr>
                <w:sz w:val="22"/>
              </w:rPr>
            </w:pPr>
            <w:r w:rsidRPr="00027624">
              <w:rPr>
                <w:sz w:val="22"/>
              </w:rPr>
              <w:t>ATO</w:t>
            </w:r>
          </w:p>
        </w:tc>
        <w:tc>
          <w:tcPr>
            <w:tcW w:w="6402" w:type="dxa"/>
            <w:shd w:val="clear" w:color="auto" w:fill="auto"/>
          </w:tcPr>
          <w:p w14:paraId="29A72685" w14:textId="77777777" w:rsidR="00656DBC" w:rsidRPr="00027624" w:rsidRDefault="00656DBC" w:rsidP="005C7333">
            <w:pPr>
              <w:jc w:val="left"/>
              <w:rPr>
                <w:sz w:val="22"/>
              </w:rPr>
            </w:pPr>
            <w:r w:rsidRPr="00027624">
              <w:rPr>
                <w:sz w:val="22"/>
              </w:rPr>
              <w:t>Australian Taxation Office</w:t>
            </w:r>
          </w:p>
        </w:tc>
      </w:tr>
      <w:tr w:rsidR="00656DBC" w:rsidRPr="00027624" w14:paraId="061756D8" w14:textId="77777777" w:rsidTr="005C7333">
        <w:tc>
          <w:tcPr>
            <w:tcW w:w="2665" w:type="dxa"/>
            <w:shd w:val="clear" w:color="auto" w:fill="auto"/>
          </w:tcPr>
          <w:p w14:paraId="4456037C" w14:textId="77777777" w:rsidR="00656DBC" w:rsidRPr="00027624" w:rsidRDefault="00656DBC" w:rsidP="005C7333">
            <w:pPr>
              <w:rPr>
                <w:sz w:val="22"/>
                <w:szCs w:val="22"/>
              </w:rPr>
            </w:pPr>
            <w:r w:rsidRPr="00027624">
              <w:rPr>
                <w:sz w:val="22"/>
              </w:rPr>
              <w:t>AWOTE</w:t>
            </w:r>
          </w:p>
        </w:tc>
        <w:tc>
          <w:tcPr>
            <w:tcW w:w="6402" w:type="dxa"/>
            <w:shd w:val="clear" w:color="auto" w:fill="auto"/>
          </w:tcPr>
          <w:p w14:paraId="32D08F54" w14:textId="77777777" w:rsidR="00656DBC" w:rsidRPr="00027624" w:rsidRDefault="0087635C" w:rsidP="005C7333">
            <w:pPr>
              <w:rPr>
                <w:sz w:val="22"/>
                <w:szCs w:val="22"/>
              </w:rPr>
            </w:pPr>
            <w:r w:rsidRPr="00027624">
              <w:rPr>
                <w:sz w:val="22"/>
              </w:rPr>
              <w:t>a</w:t>
            </w:r>
            <w:r w:rsidR="00656DBC" w:rsidRPr="00027624">
              <w:rPr>
                <w:sz w:val="22"/>
              </w:rPr>
              <w:t>verage weekly ordinary time earnings</w:t>
            </w:r>
          </w:p>
        </w:tc>
      </w:tr>
      <w:tr w:rsidR="00656DBC" w:rsidRPr="00027624" w14:paraId="3B79F284" w14:textId="77777777" w:rsidTr="005C7333">
        <w:tc>
          <w:tcPr>
            <w:tcW w:w="2665" w:type="dxa"/>
            <w:shd w:val="clear" w:color="auto" w:fill="auto"/>
          </w:tcPr>
          <w:p w14:paraId="486B6154" w14:textId="77777777" w:rsidR="00656DBC" w:rsidRPr="00027624" w:rsidRDefault="00656DBC" w:rsidP="005C7333">
            <w:pPr>
              <w:jc w:val="left"/>
              <w:rPr>
                <w:sz w:val="22"/>
              </w:rPr>
            </w:pPr>
            <w:r w:rsidRPr="00027624">
              <w:rPr>
                <w:sz w:val="22"/>
              </w:rPr>
              <w:t>CPI</w:t>
            </w:r>
          </w:p>
        </w:tc>
        <w:tc>
          <w:tcPr>
            <w:tcW w:w="6402" w:type="dxa"/>
            <w:shd w:val="clear" w:color="auto" w:fill="auto"/>
          </w:tcPr>
          <w:p w14:paraId="5A81AA95" w14:textId="77777777" w:rsidR="00656DBC" w:rsidRPr="00027624" w:rsidRDefault="00656DBC" w:rsidP="005C7333">
            <w:pPr>
              <w:jc w:val="left"/>
              <w:rPr>
                <w:sz w:val="22"/>
              </w:rPr>
            </w:pPr>
            <w:r w:rsidRPr="00027624">
              <w:rPr>
                <w:sz w:val="22"/>
              </w:rPr>
              <w:t>Consumer Price Index</w:t>
            </w:r>
          </w:p>
        </w:tc>
      </w:tr>
      <w:tr w:rsidR="00656DBC" w:rsidRPr="00027624" w14:paraId="1C935257" w14:textId="77777777" w:rsidTr="005C7333">
        <w:tc>
          <w:tcPr>
            <w:tcW w:w="2665" w:type="dxa"/>
            <w:shd w:val="clear" w:color="auto" w:fill="auto"/>
          </w:tcPr>
          <w:p w14:paraId="50598A5E" w14:textId="77777777" w:rsidR="00656DBC" w:rsidRPr="00027624" w:rsidRDefault="00656DBC" w:rsidP="005C7333">
            <w:pPr>
              <w:rPr>
                <w:sz w:val="22"/>
                <w:szCs w:val="22"/>
              </w:rPr>
            </w:pPr>
            <w:r w:rsidRPr="00027624">
              <w:rPr>
                <w:sz w:val="22"/>
              </w:rPr>
              <w:t>EMORI</w:t>
            </w:r>
          </w:p>
        </w:tc>
        <w:tc>
          <w:tcPr>
            <w:tcW w:w="6402" w:type="dxa"/>
            <w:shd w:val="clear" w:color="auto" w:fill="auto"/>
          </w:tcPr>
          <w:p w14:paraId="161E1EE1" w14:textId="77777777" w:rsidR="00656DBC" w:rsidRPr="00027624" w:rsidRDefault="00656DBC" w:rsidP="005C7333">
            <w:pPr>
              <w:rPr>
                <w:sz w:val="22"/>
                <w:szCs w:val="22"/>
              </w:rPr>
            </w:pPr>
            <w:r w:rsidRPr="00027624">
              <w:rPr>
                <w:sz w:val="22"/>
              </w:rPr>
              <w:t>Excel Model of Retirement Income</w:t>
            </w:r>
          </w:p>
        </w:tc>
      </w:tr>
      <w:tr w:rsidR="00656DBC" w:rsidRPr="00027624" w14:paraId="324E7CB8" w14:textId="77777777" w:rsidTr="005C7333">
        <w:tc>
          <w:tcPr>
            <w:tcW w:w="2665" w:type="dxa"/>
            <w:shd w:val="clear" w:color="auto" w:fill="auto"/>
          </w:tcPr>
          <w:p w14:paraId="5ACA9AB6" w14:textId="77777777" w:rsidR="00656DBC" w:rsidRPr="00027624" w:rsidRDefault="00656DBC" w:rsidP="005C7333">
            <w:pPr>
              <w:jc w:val="left"/>
              <w:rPr>
                <w:sz w:val="22"/>
              </w:rPr>
            </w:pPr>
            <w:r w:rsidRPr="00027624">
              <w:rPr>
                <w:sz w:val="22"/>
              </w:rPr>
              <w:t>FTB</w:t>
            </w:r>
          </w:p>
        </w:tc>
        <w:tc>
          <w:tcPr>
            <w:tcW w:w="6402" w:type="dxa"/>
            <w:shd w:val="clear" w:color="auto" w:fill="auto"/>
          </w:tcPr>
          <w:p w14:paraId="299E206B" w14:textId="77777777" w:rsidR="00656DBC" w:rsidRPr="00027624" w:rsidRDefault="00656DBC" w:rsidP="005C7333">
            <w:pPr>
              <w:jc w:val="left"/>
              <w:rPr>
                <w:sz w:val="22"/>
              </w:rPr>
            </w:pPr>
            <w:r w:rsidRPr="00027624">
              <w:rPr>
                <w:sz w:val="22"/>
              </w:rPr>
              <w:t>Family Tax Benefit</w:t>
            </w:r>
          </w:p>
        </w:tc>
      </w:tr>
      <w:tr w:rsidR="00656DBC" w:rsidRPr="00027624" w14:paraId="63FCE8EF" w14:textId="77777777" w:rsidTr="005C7333">
        <w:tc>
          <w:tcPr>
            <w:tcW w:w="2665" w:type="dxa"/>
            <w:shd w:val="clear" w:color="auto" w:fill="auto"/>
          </w:tcPr>
          <w:p w14:paraId="08135C24" w14:textId="77777777" w:rsidR="00656DBC" w:rsidRPr="00027624" w:rsidRDefault="00656DBC" w:rsidP="005C7333">
            <w:pPr>
              <w:jc w:val="left"/>
              <w:rPr>
                <w:sz w:val="22"/>
              </w:rPr>
            </w:pPr>
            <w:r w:rsidRPr="00027624">
              <w:rPr>
                <w:sz w:val="22"/>
              </w:rPr>
              <w:t>GFC</w:t>
            </w:r>
          </w:p>
        </w:tc>
        <w:tc>
          <w:tcPr>
            <w:tcW w:w="6402" w:type="dxa"/>
            <w:shd w:val="clear" w:color="auto" w:fill="auto"/>
          </w:tcPr>
          <w:p w14:paraId="69C27484" w14:textId="77777777" w:rsidR="00656DBC" w:rsidRPr="00027624" w:rsidRDefault="00656DBC" w:rsidP="005C7333">
            <w:pPr>
              <w:jc w:val="left"/>
              <w:rPr>
                <w:sz w:val="22"/>
              </w:rPr>
            </w:pPr>
            <w:r w:rsidRPr="00027624">
              <w:rPr>
                <w:sz w:val="22"/>
              </w:rPr>
              <w:t>Global Financial Crisis</w:t>
            </w:r>
          </w:p>
        </w:tc>
      </w:tr>
      <w:tr w:rsidR="00656DBC" w:rsidRPr="00027624" w14:paraId="59C39FD0" w14:textId="77777777" w:rsidTr="005C7333">
        <w:tc>
          <w:tcPr>
            <w:tcW w:w="2665" w:type="dxa"/>
            <w:shd w:val="clear" w:color="auto" w:fill="auto"/>
          </w:tcPr>
          <w:p w14:paraId="7880F1C3" w14:textId="77777777" w:rsidR="00656DBC" w:rsidRPr="00027624" w:rsidRDefault="00656DBC" w:rsidP="005C7333">
            <w:pPr>
              <w:rPr>
                <w:sz w:val="22"/>
                <w:szCs w:val="22"/>
              </w:rPr>
            </w:pPr>
            <w:r w:rsidRPr="00027624">
              <w:rPr>
                <w:sz w:val="22"/>
              </w:rPr>
              <w:t>GDP</w:t>
            </w:r>
          </w:p>
        </w:tc>
        <w:tc>
          <w:tcPr>
            <w:tcW w:w="6402" w:type="dxa"/>
            <w:shd w:val="clear" w:color="auto" w:fill="auto"/>
          </w:tcPr>
          <w:p w14:paraId="05C7B6FC" w14:textId="77777777" w:rsidR="00656DBC" w:rsidRPr="00027624" w:rsidRDefault="00656DBC" w:rsidP="005C7333">
            <w:pPr>
              <w:rPr>
                <w:sz w:val="22"/>
                <w:szCs w:val="22"/>
              </w:rPr>
            </w:pPr>
            <w:r w:rsidRPr="00027624">
              <w:rPr>
                <w:sz w:val="22"/>
              </w:rPr>
              <w:t>Gross Domestic Product</w:t>
            </w:r>
          </w:p>
        </w:tc>
      </w:tr>
      <w:tr w:rsidR="00656DBC" w:rsidRPr="00027624" w14:paraId="5A4AF1EA" w14:textId="77777777" w:rsidTr="005C7333">
        <w:tc>
          <w:tcPr>
            <w:tcW w:w="2665" w:type="dxa"/>
            <w:shd w:val="clear" w:color="auto" w:fill="auto"/>
          </w:tcPr>
          <w:p w14:paraId="40D6C63B" w14:textId="77777777" w:rsidR="00656DBC" w:rsidRPr="00027624" w:rsidRDefault="00656DBC" w:rsidP="005C7333">
            <w:pPr>
              <w:jc w:val="left"/>
              <w:rPr>
                <w:sz w:val="22"/>
              </w:rPr>
            </w:pPr>
            <w:r w:rsidRPr="00027624">
              <w:rPr>
                <w:sz w:val="22"/>
              </w:rPr>
              <w:t>HILDA</w:t>
            </w:r>
          </w:p>
        </w:tc>
        <w:tc>
          <w:tcPr>
            <w:tcW w:w="6402" w:type="dxa"/>
            <w:shd w:val="clear" w:color="auto" w:fill="auto"/>
          </w:tcPr>
          <w:p w14:paraId="0A7F8CD8" w14:textId="77777777" w:rsidR="00656DBC" w:rsidRPr="00027624" w:rsidRDefault="00656DBC" w:rsidP="005C7333">
            <w:pPr>
              <w:jc w:val="left"/>
              <w:rPr>
                <w:sz w:val="22"/>
              </w:rPr>
            </w:pPr>
            <w:r w:rsidRPr="00027624">
              <w:rPr>
                <w:sz w:val="22"/>
              </w:rPr>
              <w:t>Household, Income and Labour Dynamics in Australia Survey</w:t>
            </w:r>
          </w:p>
        </w:tc>
      </w:tr>
      <w:tr w:rsidR="00656DBC" w:rsidRPr="00027624" w14:paraId="48CB8C13" w14:textId="77777777" w:rsidTr="005C7333">
        <w:tc>
          <w:tcPr>
            <w:tcW w:w="2665" w:type="dxa"/>
            <w:shd w:val="clear" w:color="auto" w:fill="auto"/>
          </w:tcPr>
          <w:p w14:paraId="082F87BC" w14:textId="77777777" w:rsidR="00656DBC" w:rsidRPr="00027624" w:rsidRDefault="00656DBC" w:rsidP="005C7333">
            <w:pPr>
              <w:jc w:val="left"/>
              <w:rPr>
                <w:sz w:val="22"/>
                <w:szCs w:val="22"/>
              </w:rPr>
            </w:pPr>
            <w:r w:rsidRPr="00027624">
              <w:rPr>
                <w:sz w:val="22"/>
              </w:rPr>
              <w:t>MARIA</w:t>
            </w:r>
          </w:p>
        </w:tc>
        <w:tc>
          <w:tcPr>
            <w:tcW w:w="6402" w:type="dxa"/>
            <w:shd w:val="clear" w:color="auto" w:fill="auto"/>
          </w:tcPr>
          <w:p w14:paraId="2276F617" w14:textId="77777777" w:rsidR="00656DBC" w:rsidRPr="00027624" w:rsidRDefault="00890B97" w:rsidP="00890B97">
            <w:pPr>
              <w:jc w:val="left"/>
              <w:rPr>
                <w:sz w:val="22"/>
                <w:szCs w:val="22"/>
              </w:rPr>
            </w:pPr>
            <w:r w:rsidRPr="00027624">
              <w:rPr>
                <w:sz w:val="22"/>
                <w:szCs w:val="22"/>
              </w:rPr>
              <w:t>Model of Australian</w:t>
            </w:r>
            <w:r w:rsidR="00656DBC" w:rsidRPr="00027624">
              <w:rPr>
                <w:sz w:val="22"/>
                <w:szCs w:val="22"/>
              </w:rPr>
              <w:t xml:space="preserve"> Retirement Income</w:t>
            </w:r>
            <w:r w:rsidRPr="00027624">
              <w:rPr>
                <w:sz w:val="22"/>
                <w:szCs w:val="22"/>
              </w:rPr>
              <w:t>s</w:t>
            </w:r>
            <w:r w:rsidR="00656DBC" w:rsidRPr="00027624">
              <w:rPr>
                <w:sz w:val="22"/>
                <w:szCs w:val="22"/>
              </w:rPr>
              <w:t xml:space="preserve"> and Assets</w:t>
            </w:r>
          </w:p>
        </w:tc>
      </w:tr>
      <w:tr w:rsidR="00656DBC" w:rsidRPr="00027624" w14:paraId="507EAD10" w14:textId="77777777" w:rsidTr="005C7333">
        <w:tc>
          <w:tcPr>
            <w:tcW w:w="2665" w:type="dxa"/>
            <w:shd w:val="clear" w:color="auto" w:fill="auto"/>
          </w:tcPr>
          <w:p w14:paraId="43C985D3" w14:textId="77777777" w:rsidR="00656DBC" w:rsidRPr="00027624" w:rsidRDefault="00656DBC" w:rsidP="005C7333">
            <w:pPr>
              <w:jc w:val="left"/>
              <w:rPr>
                <w:sz w:val="22"/>
              </w:rPr>
            </w:pPr>
            <w:r w:rsidRPr="00027624">
              <w:rPr>
                <w:sz w:val="22"/>
              </w:rPr>
              <w:t>OECD</w:t>
            </w:r>
          </w:p>
        </w:tc>
        <w:tc>
          <w:tcPr>
            <w:tcW w:w="6402" w:type="dxa"/>
            <w:shd w:val="clear" w:color="auto" w:fill="auto"/>
          </w:tcPr>
          <w:p w14:paraId="251FD016" w14:textId="77777777" w:rsidR="00656DBC" w:rsidRPr="00027624" w:rsidRDefault="00656DBC" w:rsidP="005C7333">
            <w:pPr>
              <w:jc w:val="left"/>
              <w:rPr>
                <w:sz w:val="22"/>
              </w:rPr>
            </w:pPr>
            <w:r w:rsidRPr="00027624">
              <w:rPr>
                <w:sz w:val="22"/>
              </w:rPr>
              <w:t>Organisation for Economic Co</w:t>
            </w:r>
            <w:r w:rsidR="00A8443E" w:rsidRPr="00027624">
              <w:rPr>
                <w:sz w:val="22"/>
              </w:rPr>
              <w:noBreakHyphen/>
            </w:r>
            <w:r w:rsidRPr="00027624">
              <w:rPr>
                <w:sz w:val="22"/>
              </w:rPr>
              <w:t>operation and Development</w:t>
            </w:r>
          </w:p>
        </w:tc>
      </w:tr>
      <w:tr w:rsidR="00656DBC" w:rsidRPr="00027624" w14:paraId="3F638909" w14:textId="77777777" w:rsidTr="005C7333">
        <w:tc>
          <w:tcPr>
            <w:tcW w:w="2665" w:type="dxa"/>
            <w:shd w:val="clear" w:color="auto" w:fill="auto"/>
          </w:tcPr>
          <w:p w14:paraId="26C22D2F" w14:textId="77777777" w:rsidR="00656DBC" w:rsidRPr="00027624" w:rsidRDefault="00656DBC" w:rsidP="005C7333">
            <w:pPr>
              <w:jc w:val="left"/>
              <w:rPr>
                <w:sz w:val="22"/>
              </w:rPr>
            </w:pPr>
            <w:r w:rsidRPr="00027624">
              <w:rPr>
                <w:sz w:val="22"/>
              </w:rPr>
              <w:t>RBA</w:t>
            </w:r>
          </w:p>
        </w:tc>
        <w:tc>
          <w:tcPr>
            <w:tcW w:w="6402" w:type="dxa"/>
            <w:shd w:val="clear" w:color="auto" w:fill="auto"/>
          </w:tcPr>
          <w:p w14:paraId="024C2CE9" w14:textId="77777777" w:rsidR="00656DBC" w:rsidRPr="00027624" w:rsidRDefault="00656DBC" w:rsidP="005C7333">
            <w:pPr>
              <w:jc w:val="left"/>
              <w:rPr>
                <w:sz w:val="22"/>
              </w:rPr>
            </w:pPr>
            <w:r w:rsidRPr="00027624">
              <w:rPr>
                <w:sz w:val="22"/>
                <w:szCs w:val="22"/>
              </w:rPr>
              <w:t>Reserve Bank of Australia</w:t>
            </w:r>
          </w:p>
        </w:tc>
      </w:tr>
      <w:tr w:rsidR="00656DBC" w:rsidRPr="00027624" w14:paraId="728F8045" w14:textId="77777777" w:rsidTr="005C7333">
        <w:tc>
          <w:tcPr>
            <w:tcW w:w="2665" w:type="dxa"/>
            <w:shd w:val="clear" w:color="auto" w:fill="auto"/>
          </w:tcPr>
          <w:p w14:paraId="688D066C" w14:textId="77777777" w:rsidR="00656DBC" w:rsidRPr="00027624" w:rsidRDefault="00656DBC" w:rsidP="005C7333">
            <w:pPr>
              <w:jc w:val="left"/>
              <w:rPr>
                <w:sz w:val="22"/>
              </w:rPr>
            </w:pPr>
            <w:r w:rsidRPr="00027624">
              <w:rPr>
                <w:sz w:val="22"/>
                <w:szCs w:val="22"/>
              </w:rPr>
              <w:t>SG</w:t>
            </w:r>
          </w:p>
        </w:tc>
        <w:tc>
          <w:tcPr>
            <w:tcW w:w="6402" w:type="dxa"/>
            <w:shd w:val="clear" w:color="auto" w:fill="auto"/>
          </w:tcPr>
          <w:p w14:paraId="053C3A26" w14:textId="77777777" w:rsidR="00656DBC" w:rsidRPr="00027624" w:rsidRDefault="00656DBC" w:rsidP="005C7333">
            <w:pPr>
              <w:jc w:val="left"/>
              <w:rPr>
                <w:sz w:val="22"/>
              </w:rPr>
            </w:pPr>
            <w:r w:rsidRPr="00027624">
              <w:rPr>
                <w:sz w:val="22"/>
                <w:szCs w:val="22"/>
              </w:rPr>
              <w:t>Superannuation Guarantee</w:t>
            </w:r>
          </w:p>
        </w:tc>
      </w:tr>
      <w:tr w:rsidR="00656DBC" w:rsidRPr="00027624" w14:paraId="644E2814" w14:textId="77777777" w:rsidTr="005C7333">
        <w:tc>
          <w:tcPr>
            <w:tcW w:w="2665" w:type="dxa"/>
            <w:shd w:val="clear" w:color="auto" w:fill="auto"/>
          </w:tcPr>
          <w:p w14:paraId="0638C750" w14:textId="77777777" w:rsidR="00656DBC" w:rsidRPr="00027624" w:rsidRDefault="00656DBC" w:rsidP="005C7333">
            <w:pPr>
              <w:rPr>
                <w:sz w:val="22"/>
                <w:szCs w:val="22"/>
              </w:rPr>
            </w:pPr>
            <w:r w:rsidRPr="00027624">
              <w:rPr>
                <w:sz w:val="22"/>
              </w:rPr>
              <w:t>SIH</w:t>
            </w:r>
          </w:p>
        </w:tc>
        <w:tc>
          <w:tcPr>
            <w:tcW w:w="6402" w:type="dxa"/>
            <w:shd w:val="clear" w:color="auto" w:fill="auto"/>
          </w:tcPr>
          <w:p w14:paraId="4B42FF6F" w14:textId="77777777" w:rsidR="00656DBC" w:rsidRPr="00027624" w:rsidRDefault="00656DBC" w:rsidP="005C7333">
            <w:pPr>
              <w:rPr>
                <w:sz w:val="22"/>
                <w:szCs w:val="22"/>
              </w:rPr>
            </w:pPr>
            <w:r w:rsidRPr="00027624">
              <w:rPr>
                <w:sz w:val="22"/>
              </w:rPr>
              <w:t>Survey of Income and Housing</w:t>
            </w:r>
          </w:p>
        </w:tc>
      </w:tr>
      <w:tr w:rsidR="00656DBC" w:rsidRPr="00027624" w14:paraId="0423EF8E" w14:textId="77777777" w:rsidTr="005C7333">
        <w:tc>
          <w:tcPr>
            <w:tcW w:w="2665" w:type="dxa"/>
            <w:shd w:val="clear" w:color="auto" w:fill="auto"/>
          </w:tcPr>
          <w:p w14:paraId="2564708B" w14:textId="77777777" w:rsidR="00656DBC" w:rsidRPr="00027624" w:rsidRDefault="00656DBC" w:rsidP="005C7333">
            <w:pPr>
              <w:jc w:val="left"/>
              <w:rPr>
                <w:sz w:val="22"/>
              </w:rPr>
            </w:pPr>
            <w:r w:rsidRPr="00027624">
              <w:rPr>
                <w:sz w:val="22"/>
              </w:rPr>
              <w:t>SMSF</w:t>
            </w:r>
          </w:p>
        </w:tc>
        <w:tc>
          <w:tcPr>
            <w:tcW w:w="6402" w:type="dxa"/>
            <w:shd w:val="clear" w:color="auto" w:fill="auto"/>
          </w:tcPr>
          <w:p w14:paraId="193E3FD8" w14:textId="77777777" w:rsidR="00656DBC" w:rsidRPr="00027624" w:rsidRDefault="00656DBC" w:rsidP="005C7333">
            <w:pPr>
              <w:jc w:val="left"/>
              <w:rPr>
                <w:sz w:val="22"/>
              </w:rPr>
            </w:pPr>
            <w:r w:rsidRPr="00027624">
              <w:rPr>
                <w:sz w:val="22"/>
                <w:szCs w:val="22"/>
              </w:rPr>
              <w:t>Self</w:t>
            </w:r>
            <w:r w:rsidR="00A8443E" w:rsidRPr="00027624">
              <w:rPr>
                <w:sz w:val="22"/>
                <w:szCs w:val="22"/>
              </w:rPr>
              <w:noBreakHyphen/>
            </w:r>
            <w:r w:rsidRPr="00027624">
              <w:rPr>
                <w:sz w:val="22"/>
                <w:szCs w:val="22"/>
              </w:rPr>
              <w:t>managed superannuation fund</w:t>
            </w:r>
          </w:p>
        </w:tc>
      </w:tr>
      <w:tr w:rsidR="00656DBC" w:rsidRPr="00027624" w14:paraId="503D85CD" w14:textId="77777777" w:rsidTr="005C7333">
        <w:tc>
          <w:tcPr>
            <w:tcW w:w="2665" w:type="dxa"/>
            <w:shd w:val="clear" w:color="auto" w:fill="auto"/>
          </w:tcPr>
          <w:p w14:paraId="71A9C2E5" w14:textId="77777777" w:rsidR="00656DBC" w:rsidRPr="00027624" w:rsidRDefault="00656DBC" w:rsidP="005C7333">
            <w:pPr>
              <w:rPr>
                <w:sz w:val="22"/>
              </w:rPr>
            </w:pPr>
            <w:r w:rsidRPr="00027624">
              <w:rPr>
                <w:sz w:val="22"/>
              </w:rPr>
              <w:t>SPRC</w:t>
            </w:r>
          </w:p>
        </w:tc>
        <w:tc>
          <w:tcPr>
            <w:tcW w:w="6402" w:type="dxa"/>
            <w:shd w:val="clear" w:color="auto" w:fill="auto"/>
          </w:tcPr>
          <w:p w14:paraId="18A6C0C2" w14:textId="77777777" w:rsidR="00656DBC" w:rsidRPr="00027624" w:rsidRDefault="00656DBC" w:rsidP="005C7333">
            <w:pPr>
              <w:rPr>
                <w:sz w:val="22"/>
              </w:rPr>
            </w:pPr>
            <w:r w:rsidRPr="00027624">
              <w:rPr>
                <w:sz w:val="22"/>
              </w:rPr>
              <w:t>Social Policy Research Centre</w:t>
            </w:r>
          </w:p>
        </w:tc>
      </w:tr>
    </w:tbl>
    <w:p w14:paraId="6342F392" w14:textId="77777777" w:rsidR="00566B93" w:rsidRPr="00027624" w:rsidRDefault="00566B93">
      <w:pPr>
        <w:spacing w:before="0" w:after="160" w:line="259" w:lineRule="auto"/>
        <w:rPr>
          <w:rFonts w:cs="Arial"/>
          <w:color w:val="144E60" w:themeColor="accent1"/>
          <w:kern w:val="32"/>
          <w:szCs w:val="22"/>
        </w:rPr>
      </w:pPr>
      <w:bookmarkStart w:id="48" w:name="_Toc41914547"/>
      <w:bookmarkStart w:id="49" w:name="_Toc43203189"/>
      <w:r w:rsidRPr="00027624">
        <w:rPr>
          <w:szCs w:val="22"/>
        </w:rPr>
        <w:br w:type="page"/>
      </w:r>
    </w:p>
    <w:p w14:paraId="1A8709AC" w14:textId="77777777" w:rsidR="00656DBC" w:rsidRPr="00027624" w:rsidRDefault="00656DBC" w:rsidP="004273FE">
      <w:pPr>
        <w:pStyle w:val="Heading1notnumbered"/>
      </w:pPr>
      <w:bookmarkStart w:id="50" w:name="_Toc45520407"/>
      <w:bookmarkStart w:id="51" w:name="_Toc46133515"/>
      <w:r w:rsidRPr="00027624">
        <w:lastRenderedPageBreak/>
        <w:t>Glossary</w:t>
      </w:r>
      <w:bookmarkEnd w:id="48"/>
      <w:bookmarkEnd w:id="49"/>
      <w:bookmarkEnd w:id="50"/>
      <w:bookmarkEnd w:id="51"/>
    </w:p>
    <w:tbl>
      <w:tblPr>
        <w:tblStyle w:val="TableGrid"/>
        <w:tblW w:w="5000" w:type="pct"/>
        <w:tblLayout w:type="fixed"/>
        <w:tblLook w:val="04A0" w:firstRow="1" w:lastRow="0" w:firstColumn="1" w:lastColumn="0" w:noHBand="0" w:noVBand="1"/>
      </w:tblPr>
      <w:tblGrid>
        <w:gridCol w:w="2127"/>
        <w:gridCol w:w="6943"/>
      </w:tblGrid>
      <w:tr w:rsidR="00371420" w:rsidRPr="00027624" w14:paraId="43BBA215" w14:textId="77777777" w:rsidTr="00BE51D1">
        <w:trPr>
          <w:cantSplit/>
        </w:trPr>
        <w:tc>
          <w:tcPr>
            <w:tcW w:w="2127" w:type="dxa"/>
            <w:shd w:val="clear" w:color="auto" w:fill="auto"/>
          </w:tcPr>
          <w:p w14:paraId="498AD8F6" w14:textId="77777777" w:rsidR="00656DBC" w:rsidRPr="00027624" w:rsidRDefault="00656DBC" w:rsidP="00BE51D1">
            <w:pPr>
              <w:jc w:val="left"/>
              <w:rPr>
                <w:sz w:val="22"/>
              </w:rPr>
            </w:pPr>
            <w:r w:rsidRPr="00027624">
              <w:rPr>
                <w:sz w:val="22"/>
              </w:rPr>
              <w:t>Aboriginal and Torres Strait Islander</w:t>
            </w:r>
          </w:p>
        </w:tc>
        <w:tc>
          <w:tcPr>
            <w:tcW w:w="6943" w:type="dxa"/>
            <w:shd w:val="clear" w:color="auto" w:fill="auto"/>
          </w:tcPr>
          <w:p w14:paraId="6EB22829" w14:textId="77777777" w:rsidR="00656DBC" w:rsidRPr="00027624" w:rsidRDefault="00656DBC" w:rsidP="00BE51D1">
            <w:pPr>
              <w:jc w:val="left"/>
              <w:rPr>
                <w:sz w:val="22"/>
              </w:rPr>
            </w:pPr>
            <w:r w:rsidRPr="00027624">
              <w:rPr>
                <w:sz w:val="22"/>
              </w:rPr>
              <w:t>A person of Aboriginal or Torres Strait Islander descent who identifies as Aboriginal, Torres Strait Islander, or both.</w:t>
            </w:r>
          </w:p>
        </w:tc>
      </w:tr>
      <w:tr w:rsidR="00371420" w:rsidRPr="00027624" w14:paraId="527F25E7" w14:textId="77777777" w:rsidTr="00BE51D1">
        <w:trPr>
          <w:cantSplit/>
        </w:trPr>
        <w:tc>
          <w:tcPr>
            <w:tcW w:w="2127" w:type="dxa"/>
            <w:shd w:val="clear" w:color="auto" w:fill="auto"/>
          </w:tcPr>
          <w:p w14:paraId="1045DCC5" w14:textId="77777777" w:rsidR="00656DBC" w:rsidRPr="00027624" w:rsidRDefault="00656DBC" w:rsidP="00BE51D1">
            <w:pPr>
              <w:jc w:val="left"/>
              <w:rPr>
                <w:sz w:val="22"/>
              </w:rPr>
            </w:pPr>
            <w:r w:rsidRPr="00027624">
              <w:rPr>
                <w:sz w:val="22"/>
                <w:szCs w:val="22"/>
              </w:rPr>
              <w:t>Age Pension</w:t>
            </w:r>
          </w:p>
        </w:tc>
        <w:tc>
          <w:tcPr>
            <w:tcW w:w="6943" w:type="dxa"/>
            <w:shd w:val="clear" w:color="auto" w:fill="auto"/>
          </w:tcPr>
          <w:p w14:paraId="63331C93" w14:textId="77777777" w:rsidR="007A61A7" w:rsidRPr="00027624" w:rsidRDefault="00C721C6" w:rsidP="00BE51D1">
            <w:pPr>
              <w:jc w:val="left"/>
              <w:rPr>
                <w:sz w:val="22"/>
              </w:rPr>
            </w:pPr>
            <w:r w:rsidRPr="00027624">
              <w:rPr>
                <w:sz w:val="22"/>
              </w:rPr>
              <w:t>A</w:t>
            </w:r>
            <w:r w:rsidR="00656DBC" w:rsidRPr="00027624">
              <w:rPr>
                <w:sz w:val="22"/>
              </w:rPr>
              <w:t xml:space="preserve"> </w:t>
            </w:r>
            <w:r w:rsidR="00CF53B0" w:rsidRPr="00027624">
              <w:rPr>
                <w:sz w:val="22"/>
              </w:rPr>
              <w:t>means</w:t>
            </w:r>
            <w:r w:rsidR="00A8443E" w:rsidRPr="00027624">
              <w:rPr>
                <w:sz w:val="22"/>
              </w:rPr>
              <w:noBreakHyphen/>
            </w:r>
            <w:r w:rsidR="00CF53B0" w:rsidRPr="00027624">
              <w:rPr>
                <w:sz w:val="22"/>
              </w:rPr>
              <w:t xml:space="preserve">tested </w:t>
            </w:r>
            <w:r w:rsidR="001830D8" w:rsidRPr="00027624">
              <w:rPr>
                <w:sz w:val="22"/>
              </w:rPr>
              <w:t xml:space="preserve">Commonwealth </w:t>
            </w:r>
            <w:r w:rsidR="007908A1" w:rsidRPr="00027624">
              <w:rPr>
                <w:sz w:val="22"/>
              </w:rPr>
              <w:t xml:space="preserve">Government </w:t>
            </w:r>
            <w:r w:rsidR="00596B3A" w:rsidRPr="00027624">
              <w:rPr>
                <w:sz w:val="22"/>
              </w:rPr>
              <w:t>income support</w:t>
            </w:r>
            <w:r w:rsidR="00656DBC" w:rsidRPr="00027624">
              <w:rPr>
                <w:sz w:val="22"/>
              </w:rPr>
              <w:t xml:space="preserve"> payment. To </w:t>
            </w:r>
            <w:r w:rsidR="007908A1" w:rsidRPr="00027624">
              <w:rPr>
                <w:sz w:val="22"/>
              </w:rPr>
              <w:t xml:space="preserve">be eligible </w:t>
            </w:r>
            <w:r w:rsidR="00656DBC" w:rsidRPr="00027624">
              <w:rPr>
                <w:sz w:val="22"/>
              </w:rPr>
              <w:t xml:space="preserve">for the Age Pension, a person must </w:t>
            </w:r>
            <w:r w:rsidR="00C24653" w:rsidRPr="00027624">
              <w:rPr>
                <w:sz w:val="22"/>
              </w:rPr>
              <w:t>be of Age Pension eligibility age or older</w:t>
            </w:r>
            <w:r w:rsidR="00C24653" w:rsidRPr="00027624" w:rsidDel="007908A1">
              <w:rPr>
                <w:sz w:val="22"/>
              </w:rPr>
              <w:t xml:space="preserve"> </w:t>
            </w:r>
            <w:r w:rsidR="00C24653" w:rsidRPr="00027624">
              <w:rPr>
                <w:sz w:val="22"/>
              </w:rPr>
              <w:t>and</w:t>
            </w:r>
            <w:r w:rsidR="00C24653" w:rsidRPr="00027624" w:rsidDel="007908A1">
              <w:rPr>
                <w:sz w:val="22"/>
              </w:rPr>
              <w:t xml:space="preserve"> </w:t>
            </w:r>
            <w:r w:rsidR="007908A1" w:rsidRPr="00027624">
              <w:rPr>
                <w:sz w:val="22"/>
              </w:rPr>
              <w:t>meet residency requirements</w:t>
            </w:r>
            <w:r w:rsidR="00656DBC" w:rsidRPr="00027624">
              <w:rPr>
                <w:sz w:val="22"/>
              </w:rPr>
              <w:t>.</w:t>
            </w:r>
          </w:p>
          <w:p w14:paraId="3ADC1748" w14:textId="77777777" w:rsidR="007E3DE5" w:rsidRPr="00027624" w:rsidRDefault="007908A1" w:rsidP="00BE51D1">
            <w:pPr>
              <w:jc w:val="left"/>
              <w:rPr>
                <w:sz w:val="22"/>
              </w:rPr>
            </w:pPr>
            <w:r w:rsidRPr="00027624">
              <w:rPr>
                <w:sz w:val="22"/>
              </w:rPr>
              <w:t>The amount of Age Pension an eligible person can receive is dependent on their personal income and assets</w:t>
            </w:r>
            <w:r w:rsidR="004B59BE" w:rsidRPr="00027624">
              <w:rPr>
                <w:sz w:val="22"/>
              </w:rPr>
              <w:t xml:space="preserve">. As at </w:t>
            </w:r>
            <w:r w:rsidR="00890B97" w:rsidRPr="00027624">
              <w:rPr>
                <w:sz w:val="22"/>
              </w:rPr>
              <w:t>1 May</w:t>
            </w:r>
            <w:r w:rsidR="004B59BE" w:rsidRPr="00027624">
              <w:rPr>
                <w:sz w:val="22"/>
              </w:rPr>
              <w:t xml:space="preserve"> 2020, the</w:t>
            </w:r>
            <w:r w:rsidR="00AF4554" w:rsidRPr="00027624">
              <w:rPr>
                <w:sz w:val="22"/>
              </w:rPr>
              <w:t xml:space="preserve"> maximum</w:t>
            </w:r>
            <w:r w:rsidR="004B59BE" w:rsidRPr="00027624">
              <w:rPr>
                <w:sz w:val="22"/>
              </w:rPr>
              <w:t xml:space="preserve"> Age</w:t>
            </w:r>
            <w:r w:rsidR="00404B9D" w:rsidRPr="00027624">
              <w:rPr>
                <w:sz w:val="22"/>
              </w:rPr>
              <w:t> </w:t>
            </w:r>
            <w:r w:rsidR="004B59BE" w:rsidRPr="00027624">
              <w:rPr>
                <w:sz w:val="22"/>
              </w:rPr>
              <w:t xml:space="preserve">Pension an eligible person can receive per </w:t>
            </w:r>
            <w:r w:rsidR="00AF4554" w:rsidRPr="00027624">
              <w:rPr>
                <w:sz w:val="22"/>
              </w:rPr>
              <w:t>year is $24,552 for singles and $</w:t>
            </w:r>
            <w:r w:rsidR="00CE79D6" w:rsidRPr="00027624">
              <w:rPr>
                <w:sz w:val="22"/>
              </w:rPr>
              <w:t>3</w:t>
            </w:r>
            <w:r w:rsidR="00AF4554" w:rsidRPr="00027624">
              <w:rPr>
                <w:sz w:val="22"/>
              </w:rPr>
              <w:t>7,014 for couples</w:t>
            </w:r>
            <w:r w:rsidR="00F665DD" w:rsidRPr="00027624">
              <w:rPr>
                <w:sz w:val="22"/>
                <w:szCs w:val="22"/>
              </w:rPr>
              <w:t>.</w:t>
            </w:r>
          </w:p>
          <w:p w14:paraId="287603DE" w14:textId="77777777" w:rsidR="00656DBC" w:rsidRPr="00027624" w:rsidRDefault="00D567C5" w:rsidP="00BE51D1">
            <w:pPr>
              <w:jc w:val="left"/>
              <w:rPr>
                <w:sz w:val="22"/>
              </w:rPr>
            </w:pPr>
            <w:r w:rsidRPr="00027624">
              <w:rPr>
                <w:sz w:val="22"/>
              </w:rPr>
              <w:t xml:space="preserve">Further information relating to the Age Pension can be found in </w:t>
            </w:r>
            <w:r w:rsidR="008376FC" w:rsidRPr="00027624">
              <w:rPr>
                <w:i/>
                <w:sz w:val="22"/>
              </w:rPr>
              <w:t>1B.</w:t>
            </w:r>
            <w:r w:rsidR="00404B9D" w:rsidRPr="00027624">
              <w:rPr>
                <w:i/>
                <w:sz w:val="22"/>
              </w:rPr>
              <w:t> </w:t>
            </w:r>
            <w:r w:rsidRPr="00027624">
              <w:rPr>
                <w:i/>
                <w:sz w:val="22"/>
              </w:rPr>
              <w:t>Design of Australia</w:t>
            </w:r>
            <w:r w:rsidR="00A8443E" w:rsidRPr="00027624">
              <w:rPr>
                <w:i/>
                <w:sz w:val="22"/>
              </w:rPr>
              <w:t>’</w:t>
            </w:r>
            <w:r w:rsidRPr="00027624">
              <w:rPr>
                <w:i/>
                <w:sz w:val="22"/>
              </w:rPr>
              <w:t>s retirement income system</w:t>
            </w:r>
            <w:r w:rsidRPr="00027624">
              <w:rPr>
                <w:sz w:val="22"/>
              </w:rPr>
              <w:t>.</w:t>
            </w:r>
          </w:p>
        </w:tc>
      </w:tr>
      <w:tr w:rsidR="00371420" w:rsidRPr="00027624" w14:paraId="6C2827DE" w14:textId="77777777" w:rsidTr="00BE51D1">
        <w:trPr>
          <w:cantSplit/>
        </w:trPr>
        <w:tc>
          <w:tcPr>
            <w:tcW w:w="2127" w:type="dxa"/>
            <w:shd w:val="clear" w:color="auto" w:fill="auto"/>
          </w:tcPr>
          <w:p w14:paraId="72DDE8FB" w14:textId="77777777" w:rsidR="00656DBC" w:rsidRPr="00027624" w:rsidRDefault="00656DBC" w:rsidP="00BE51D1">
            <w:pPr>
              <w:jc w:val="left"/>
              <w:rPr>
                <w:sz w:val="22"/>
              </w:rPr>
            </w:pPr>
            <w:r w:rsidRPr="00027624">
              <w:rPr>
                <w:sz w:val="22"/>
                <w:szCs w:val="22"/>
              </w:rPr>
              <w:t>Age Pension eligibility age</w:t>
            </w:r>
          </w:p>
        </w:tc>
        <w:tc>
          <w:tcPr>
            <w:tcW w:w="6943" w:type="dxa"/>
            <w:shd w:val="clear" w:color="auto" w:fill="auto"/>
          </w:tcPr>
          <w:p w14:paraId="463FCBC3" w14:textId="77777777" w:rsidR="00430724" w:rsidRPr="00027624" w:rsidRDefault="00656DBC" w:rsidP="00BE51D1">
            <w:pPr>
              <w:jc w:val="left"/>
              <w:rPr>
                <w:sz w:val="22"/>
              </w:rPr>
            </w:pPr>
            <w:r w:rsidRPr="00027624">
              <w:rPr>
                <w:sz w:val="22"/>
              </w:rPr>
              <w:t>The age at which a person becomes eligible for the Age Pension</w:t>
            </w:r>
            <w:r w:rsidR="007908A1" w:rsidRPr="00027624">
              <w:rPr>
                <w:sz w:val="22"/>
              </w:rPr>
              <w:t>.</w:t>
            </w:r>
            <w:r w:rsidR="001830D8" w:rsidRPr="00027624">
              <w:rPr>
                <w:sz w:val="22"/>
              </w:rPr>
              <w:t xml:space="preserve"> The</w:t>
            </w:r>
            <w:r w:rsidR="00104167" w:rsidRPr="00027624">
              <w:rPr>
                <w:sz w:val="22"/>
              </w:rPr>
              <w:t xml:space="preserve"> Age</w:t>
            </w:r>
            <w:r w:rsidR="00016F09" w:rsidRPr="00027624">
              <w:rPr>
                <w:sz w:val="22"/>
              </w:rPr>
              <w:t> </w:t>
            </w:r>
            <w:r w:rsidR="00104167" w:rsidRPr="00027624">
              <w:rPr>
                <w:sz w:val="22"/>
              </w:rPr>
              <w:t>Pension eligibility age for men and women was increased to 65 and 6</w:t>
            </w:r>
            <w:r w:rsidR="00404B9D" w:rsidRPr="00027624">
              <w:rPr>
                <w:sz w:val="22"/>
              </w:rPr>
              <w:t> </w:t>
            </w:r>
            <w:r w:rsidR="00104167" w:rsidRPr="00027624">
              <w:rPr>
                <w:sz w:val="22"/>
              </w:rPr>
              <w:t>months on 1 July 2017</w:t>
            </w:r>
            <w:r w:rsidR="008C6122" w:rsidRPr="00027624">
              <w:rPr>
                <w:sz w:val="22"/>
              </w:rPr>
              <w:t>. It</w:t>
            </w:r>
            <w:r w:rsidR="00104167" w:rsidRPr="00027624">
              <w:rPr>
                <w:sz w:val="22"/>
              </w:rPr>
              <w:t xml:space="preserve"> is scheduled to increase by </w:t>
            </w:r>
            <w:r w:rsidR="00BE51D1" w:rsidRPr="00027624">
              <w:rPr>
                <w:sz w:val="22"/>
              </w:rPr>
              <w:t>6</w:t>
            </w:r>
            <w:r w:rsidR="00104167" w:rsidRPr="00027624">
              <w:rPr>
                <w:sz w:val="22"/>
              </w:rPr>
              <w:t xml:space="preserve"> months every </w:t>
            </w:r>
            <w:r w:rsidR="00BE51D1" w:rsidRPr="00027624">
              <w:rPr>
                <w:sz w:val="22"/>
              </w:rPr>
              <w:t>2 </w:t>
            </w:r>
            <w:r w:rsidR="00104167" w:rsidRPr="00027624">
              <w:rPr>
                <w:sz w:val="22"/>
              </w:rPr>
              <w:t>years until it reaches 67 years on 1 July 2023.</w:t>
            </w:r>
          </w:p>
          <w:p w14:paraId="1878C4F2" w14:textId="77777777" w:rsidR="00104167" w:rsidRPr="00027624" w:rsidRDefault="007908A1" w:rsidP="00BE51D1">
            <w:pPr>
              <w:jc w:val="left"/>
              <w:rPr>
                <w:sz w:val="22"/>
              </w:rPr>
            </w:pPr>
            <w:r w:rsidRPr="00027624">
              <w:rPr>
                <w:sz w:val="22"/>
              </w:rPr>
              <w:t xml:space="preserve">Further information relating to the Age Pension eligibility age can be found in </w:t>
            </w:r>
            <w:r w:rsidR="008376FC" w:rsidRPr="00027624">
              <w:rPr>
                <w:i/>
                <w:sz w:val="22"/>
              </w:rPr>
              <w:t xml:space="preserve">1B. </w:t>
            </w:r>
            <w:r w:rsidRPr="00027624">
              <w:rPr>
                <w:i/>
                <w:sz w:val="22"/>
              </w:rPr>
              <w:t>Design of Australia</w:t>
            </w:r>
            <w:r w:rsidR="00A8443E" w:rsidRPr="00027624">
              <w:rPr>
                <w:i/>
                <w:sz w:val="22"/>
              </w:rPr>
              <w:t>’</w:t>
            </w:r>
            <w:r w:rsidRPr="00027624">
              <w:rPr>
                <w:i/>
                <w:sz w:val="22"/>
              </w:rPr>
              <w:t>s retirement income system</w:t>
            </w:r>
            <w:r w:rsidRPr="00027624">
              <w:rPr>
                <w:sz w:val="22"/>
              </w:rPr>
              <w:t>.</w:t>
            </w:r>
          </w:p>
        </w:tc>
      </w:tr>
      <w:tr w:rsidR="00371420" w:rsidRPr="00027624" w14:paraId="2D485AE5" w14:textId="77777777" w:rsidTr="00BE51D1">
        <w:trPr>
          <w:cantSplit/>
        </w:trPr>
        <w:tc>
          <w:tcPr>
            <w:tcW w:w="2127" w:type="dxa"/>
            <w:shd w:val="clear" w:color="auto" w:fill="auto"/>
          </w:tcPr>
          <w:p w14:paraId="5B8E5314" w14:textId="77777777" w:rsidR="006F54A7" w:rsidRPr="00027624" w:rsidRDefault="00412E06" w:rsidP="00BE51D1">
            <w:pPr>
              <w:jc w:val="left"/>
              <w:rPr>
                <w:sz w:val="22"/>
                <w:szCs w:val="22"/>
              </w:rPr>
            </w:pPr>
            <w:r w:rsidRPr="00027624">
              <w:rPr>
                <w:sz w:val="22"/>
                <w:szCs w:val="22"/>
              </w:rPr>
              <w:t>A</w:t>
            </w:r>
            <w:r w:rsidR="006F54A7" w:rsidRPr="00027624">
              <w:rPr>
                <w:sz w:val="22"/>
                <w:szCs w:val="22"/>
              </w:rPr>
              <w:t>ssets test cut</w:t>
            </w:r>
            <w:r w:rsidR="00A8443E" w:rsidRPr="00027624">
              <w:rPr>
                <w:sz w:val="22"/>
                <w:szCs w:val="22"/>
              </w:rPr>
              <w:noBreakHyphen/>
            </w:r>
            <w:r w:rsidR="006F54A7" w:rsidRPr="00027624">
              <w:rPr>
                <w:sz w:val="22"/>
                <w:szCs w:val="22"/>
              </w:rPr>
              <w:t>off value</w:t>
            </w:r>
          </w:p>
        </w:tc>
        <w:tc>
          <w:tcPr>
            <w:tcW w:w="6943" w:type="dxa"/>
            <w:shd w:val="clear" w:color="auto" w:fill="auto"/>
          </w:tcPr>
          <w:p w14:paraId="7E16019A" w14:textId="77777777" w:rsidR="006F54A7" w:rsidRPr="00027624" w:rsidRDefault="00412E06" w:rsidP="00BE51D1">
            <w:pPr>
              <w:jc w:val="left"/>
              <w:rPr>
                <w:sz w:val="22"/>
                <w:szCs w:val="22"/>
              </w:rPr>
            </w:pPr>
            <w:r w:rsidRPr="00027624">
              <w:rPr>
                <w:sz w:val="22"/>
                <w:szCs w:val="22"/>
              </w:rPr>
              <w:t>The maximum amount of assessable assets a person can hold before they are ineligible for the payment. A person who holds assessable assets above the cut</w:t>
            </w:r>
            <w:r w:rsidR="00A8443E" w:rsidRPr="00027624">
              <w:rPr>
                <w:sz w:val="22"/>
                <w:szCs w:val="22"/>
              </w:rPr>
              <w:noBreakHyphen/>
            </w:r>
            <w:r w:rsidRPr="00027624">
              <w:rPr>
                <w:sz w:val="22"/>
                <w:szCs w:val="22"/>
              </w:rPr>
              <w:t>off value will be ineligible for the payment under the assets test.</w:t>
            </w:r>
          </w:p>
        </w:tc>
      </w:tr>
      <w:tr w:rsidR="00371420" w:rsidRPr="00027624" w14:paraId="6452E8E6" w14:textId="77777777" w:rsidTr="00BE51D1">
        <w:trPr>
          <w:cantSplit/>
        </w:trPr>
        <w:tc>
          <w:tcPr>
            <w:tcW w:w="2127" w:type="dxa"/>
            <w:shd w:val="clear" w:color="auto" w:fill="auto"/>
          </w:tcPr>
          <w:p w14:paraId="4BD3D709" w14:textId="77777777" w:rsidR="006F54A7" w:rsidRPr="00027624" w:rsidRDefault="00412E06" w:rsidP="00BE51D1">
            <w:pPr>
              <w:jc w:val="left"/>
              <w:rPr>
                <w:sz w:val="22"/>
                <w:szCs w:val="22"/>
              </w:rPr>
            </w:pPr>
            <w:r w:rsidRPr="00027624">
              <w:rPr>
                <w:sz w:val="22"/>
                <w:szCs w:val="22"/>
              </w:rPr>
              <w:t>A</w:t>
            </w:r>
            <w:r w:rsidR="006F54A7" w:rsidRPr="00027624">
              <w:rPr>
                <w:sz w:val="22"/>
                <w:szCs w:val="22"/>
              </w:rPr>
              <w:t>ssets test free area</w:t>
            </w:r>
          </w:p>
        </w:tc>
        <w:tc>
          <w:tcPr>
            <w:tcW w:w="6943" w:type="dxa"/>
            <w:shd w:val="clear" w:color="auto" w:fill="auto"/>
          </w:tcPr>
          <w:p w14:paraId="18ED57ED" w14:textId="77777777" w:rsidR="006F54A7" w:rsidRPr="00027624" w:rsidRDefault="00412E06" w:rsidP="00BE51D1">
            <w:pPr>
              <w:jc w:val="left"/>
              <w:rPr>
                <w:sz w:val="22"/>
                <w:szCs w:val="22"/>
              </w:rPr>
            </w:pPr>
            <w:r w:rsidRPr="00027624">
              <w:rPr>
                <w:sz w:val="22"/>
                <w:szCs w:val="22"/>
              </w:rPr>
              <w:t>The maximum amount of assessable assets a person can hold before their payment is reduced. A person who holds assessable assets of less than or equal to the free area will be eligible for the maximum rate of the payment under the assets test.</w:t>
            </w:r>
          </w:p>
        </w:tc>
      </w:tr>
      <w:tr w:rsidR="00371420" w:rsidRPr="00027624" w14:paraId="4A4C8CE5" w14:textId="77777777" w:rsidTr="00BE51D1">
        <w:trPr>
          <w:cantSplit/>
        </w:trPr>
        <w:tc>
          <w:tcPr>
            <w:tcW w:w="2127" w:type="dxa"/>
            <w:shd w:val="clear" w:color="auto" w:fill="auto"/>
          </w:tcPr>
          <w:p w14:paraId="5BBDBC89" w14:textId="77777777" w:rsidR="007518BB" w:rsidRPr="00027624" w:rsidRDefault="007518BB" w:rsidP="00BE51D1">
            <w:pPr>
              <w:jc w:val="left"/>
              <w:rPr>
                <w:sz w:val="22"/>
                <w:szCs w:val="22"/>
              </w:rPr>
            </w:pPr>
            <w:r w:rsidRPr="00027624">
              <w:rPr>
                <w:sz w:val="22"/>
                <w:szCs w:val="22"/>
              </w:rPr>
              <w:t>Assets test taper rate</w:t>
            </w:r>
          </w:p>
        </w:tc>
        <w:tc>
          <w:tcPr>
            <w:tcW w:w="6943" w:type="dxa"/>
            <w:shd w:val="clear" w:color="auto" w:fill="auto"/>
          </w:tcPr>
          <w:p w14:paraId="18F6ACB6" w14:textId="77777777" w:rsidR="007518BB" w:rsidRPr="00027624" w:rsidRDefault="007518BB" w:rsidP="00BE51D1">
            <w:pPr>
              <w:jc w:val="left"/>
              <w:rPr>
                <w:sz w:val="22"/>
                <w:szCs w:val="22"/>
              </w:rPr>
            </w:pPr>
            <w:r w:rsidRPr="00027624">
              <w:rPr>
                <w:sz w:val="22"/>
                <w:szCs w:val="22"/>
              </w:rPr>
              <w:t>The amount a person</w:t>
            </w:r>
            <w:r w:rsidR="00A8443E" w:rsidRPr="00027624">
              <w:rPr>
                <w:sz w:val="22"/>
                <w:szCs w:val="22"/>
              </w:rPr>
              <w:t>’</w:t>
            </w:r>
            <w:r w:rsidRPr="00027624">
              <w:rPr>
                <w:sz w:val="22"/>
                <w:szCs w:val="22"/>
              </w:rPr>
              <w:t>s payment is reduced due to holding assessable assets above the assets test free area. Since 2017, the</w:t>
            </w:r>
            <w:r w:rsidR="00964F88" w:rsidRPr="00027624">
              <w:rPr>
                <w:sz w:val="22"/>
                <w:szCs w:val="22"/>
              </w:rPr>
              <w:t xml:space="preserve"> Age Pension</w:t>
            </w:r>
            <w:r w:rsidRPr="00027624">
              <w:rPr>
                <w:sz w:val="22"/>
                <w:szCs w:val="22"/>
              </w:rPr>
              <w:t xml:space="preserve"> taper rate reduces payments by $3 a fortnight for every $1,000 of assets above the assets test free area.</w:t>
            </w:r>
          </w:p>
        </w:tc>
      </w:tr>
      <w:tr w:rsidR="00371420" w:rsidRPr="00027624" w14:paraId="1387B6A2" w14:textId="77777777" w:rsidTr="00BE51D1">
        <w:trPr>
          <w:cantSplit/>
        </w:trPr>
        <w:tc>
          <w:tcPr>
            <w:tcW w:w="2127" w:type="dxa"/>
            <w:shd w:val="clear" w:color="auto" w:fill="auto"/>
          </w:tcPr>
          <w:p w14:paraId="75C611AB" w14:textId="77777777" w:rsidR="006F54A7" w:rsidRPr="00027624" w:rsidRDefault="006F54A7" w:rsidP="00BE51D1">
            <w:pPr>
              <w:jc w:val="left"/>
              <w:rPr>
                <w:sz w:val="22"/>
                <w:szCs w:val="22"/>
              </w:rPr>
            </w:pPr>
            <w:r w:rsidRPr="00027624">
              <w:rPr>
                <w:sz w:val="22"/>
                <w:szCs w:val="22"/>
              </w:rPr>
              <w:t>Average weekly earnings</w:t>
            </w:r>
          </w:p>
        </w:tc>
        <w:tc>
          <w:tcPr>
            <w:tcW w:w="6943" w:type="dxa"/>
            <w:shd w:val="clear" w:color="auto" w:fill="auto"/>
          </w:tcPr>
          <w:p w14:paraId="4AA0BD37" w14:textId="77777777" w:rsidR="006F54A7" w:rsidRPr="00027624" w:rsidRDefault="006F54A7" w:rsidP="00BE51D1">
            <w:pPr>
              <w:jc w:val="left"/>
              <w:rPr>
                <w:sz w:val="22"/>
                <w:szCs w:val="22"/>
              </w:rPr>
            </w:pPr>
            <w:r w:rsidRPr="00027624">
              <w:rPr>
                <w:sz w:val="22"/>
                <w:szCs w:val="22"/>
              </w:rPr>
              <w:t>The average weekly before</w:t>
            </w:r>
            <w:r w:rsidR="00A8443E" w:rsidRPr="00027624">
              <w:rPr>
                <w:sz w:val="22"/>
                <w:szCs w:val="22"/>
              </w:rPr>
              <w:noBreakHyphen/>
            </w:r>
            <w:r w:rsidRPr="00027624">
              <w:rPr>
                <w:sz w:val="22"/>
                <w:szCs w:val="22"/>
              </w:rPr>
              <w:t>tax earnings of employees. Includes ordinary time earnings and overtime earnings. Estimates of average weekly earnings are derived by dividing estimates of weekly total earnings by estimates of numbers of employees.</w:t>
            </w:r>
          </w:p>
        </w:tc>
      </w:tr>
      <w:tr w:rsidR="00371420" w:rsidRPr="00027624" w14:paraId="4B037420" w14:textId="77777777" w:rsidTr="00BE51D1">
        <w:trPr>
          <w:cantSplit/>
        </w:trPr>
        <w:tc>
          <w:tcPr>
            <w:tcW w:w="2127" w:type="dxa"/>
            <w:shd w:val="clear" w:color="auto" w:fill="auto"/>
          </w:tcPr>
          <w:p w14:paraId="58761B8C" w14:textId="77777777" w:rsidR="006F54A7" w:rsidRPr="00027624" w:rsidRDefault="006F54A7" w:rsidP="00BE51D1">
            <w:pPr>
              <w:jc w:val="left"/>
              <w:rPr>
                <w:sz w:val="22"/>
              </w:rPr>
            </w:pPr>
            <w:r w:rsidRPr="00027624">
              <w:rPr>
                <w:sz w:val="22"/>
              </w:rPr>
              <w:t>Behavioural bias</w:t>
            </w:r>
          </w:p>
        </w:tc>
        <w:tc>
          <w:tcPr>
            <w:tcW w:w="6943" w:type="dxa"/>
            <w:shd w:val="clear" w:color="auto" w:fill="auto"/>
          </w:tcPr>
          <w:p w14:paraId="460BBAA0" w14:textId="77777777" w:rsidR="006F54A7" w:rsidRPr="00027624" w:rsidRDefault="006F54A7" w:rsidP="00BE51D1">
            <w:pPr>
              <w:jc w:val="left"/>
              <w:rPr>
                <w:sz w:val="22"/>
              </w:rPr>
            </w:pPr>
            <w:r w:rsidRPr="00027624">
              <w:rPr>
                <w:sz w:val="22"/>
              </w:rPr>
              <w:t xml:space="preserve">Subconscious beliefs and behaviours that are commonly relied on when making a decision. </w:t>
            </w:r>
          </w:p>
        </w:tc>
      </w:tr>
      <w:tr w:rsidR="00371420" w:rsidRPr="00027624" w14:paraId="033FEF18" w14:textId="77777777" w:rsidTr="00BE51D1">
        <w:trPr>
          <w:cantSplit/>
        </w:trPr>
        <w:tc>
          <w:tcPr>
            <w:tcW w:w="2127" w:type="dxa"/>
            <w:shd w:val="clear" w:color="auto" w:fill="auto"/>
          </w:tcPr>
          <w:p w14:paraId="5E8ACDF5" w14:textId="77777777" w:rsidR="006F54A7" w:rsidRPr="00027624" w:rsidRDefault="006F54A7" w:rsidP="00BE51D1">
            <w:pPr>
              <w:jc w:val="left"/>
              <w:rPr>
                <w:sz w:val="22"/>
              </w:rPr>
            </w:pPr>
            <w:r w:rsidRPr="00027624">
              <w:rPr>
                <w:sz w:val="22"/>
                <w:szCs w:val="22"/>
              </w:rPr>
              <w:lastRenderedPageBreak/>
              <w:t>Cameo modelling</w:t>
            </w:r>
            <w:r w:rsidRPr="00027624">
              <w:rPr>
                <w:sz w:val="22"/>
              </w:rPr>
              <w:t>/</w:t>
            </w:r>
            <w:r w:rsidRPr="00027624">
              <w:rPr>
                <w:sz w:val="22"/>
                <w:szCs w:val="22"/>
              </w:rPr>
              <w:t xml:space="preserve"> </w:t>
            </w:r>
            <w:r w:rsidRPr="00027624">
              <w:rPr>
                <w:sz w:val="22"/>
              </w:rPr>
              <w:t>Excel Mod</w:t>
            </w:r>
            <w:r w:rsidR="00C85BD1">
              <w:rPr>
                <w:sz w:val="22"/>
              </w:rPr>
              <w:t>el of Retirement Income (EMORI)</w:t>
            </w:r>
          </w:p>
        </w:tc>
        <w:tc>
          <w:tcPr>
            <w:tcW w:w="6943" w:type="dxa"/>
            <w:shd w:val="clear" w:color="auto" w:fill="auto"/>
          </w:tcPr>
          <w:p w14:paraId="0E0C2425" w14:textId="77777777" w:rsidR="006F54A7" w:rsidRPr="00027624" w:rsidRDefault="006F54A7" w:rsidP="00BE51D1">
            <w:pPr>
              <w:jc w:val="left"/>
              <w:rPr>
                <w:sz w:val="22"/>
              </w:rPr>
            </w:pPr>
            <w:r w:rsidRPr="00027624">
              <w:rPr>
                <w:sz w:val="22"/>
              </w:rPr>
              <w:t>Modelling of the outcomes a hypothetical person would likely receive based on a range of assumptions and factors. Cameo modelling shows how these factors affect likely outcomes. Cameo modelling for the review has used The Treasury</w:t>
            </w:r>
            <w:r w:rsidR="00A8443E" w:rsidRPr="00027624">
              <w:rPr>
                <w:sz w:val="22"/>
              </w:rPr>
              <w:t>’</w:t>
            </w:r>
            <w:r w:rsidRPr="00027624">
              <w:rPr>
                <w:sz w:val="22"/>
              </w:rPr>
              <w:t>s EMORI.</w:t>
            </w:r>
          </w:p>
          <w:p w14:paraId="02D367C0" w14:textId="77777777" w:rsidR="006F54A7" w:rsidRPr="00027624" w:rsidRDefault="00E74B92" w:rsidP="00BE51D1">
            <w:pPr>
              <w:jc w:val="left"/>
              <w:rPr>
                <w:sz w:val="22"/>
              </w:rPr>
            </w:pPr>
            <w:r w:rsidRPr="00027624">
              <w:rPr>
                <w:sz w:val="22"/>
              </w:rPr>
              <w:t xml:space="preserve">Further </w:t>
            </w:r>
            <w:r w:rsidR="006F54A7" w:rsidRPr="00027624">
              <w:rPr>
                <w:sz w:val="22"/>
              </w:rPr>
              <w:t>detail of the specifics and methodology underpinning the review</w:t>
            </w:r>
            <w:r w:rsidR="00A8443E" w:rsidRPr="00027624">
              <w:rPr>
                <w:sz w:val="22"/>
              </w:rPr>
              <w:t>’</w:t>
            </w:r>
            <w:r w:rsidR="006F54A7" w:rsidRPr="00027624">
              <w:rPr>
                <w:sz w:val="22"/>
              </w:rPr>
              <w:t xml:space="preserve">s use of cameo modelling and EMORI can be found in </w:t>
            </w:r>
            <w:r w:rsidR="006F54A7" w:rsidRPr="00027624">
              <w:rPr>
                <w:i/>
                <w:sz w:val="22"/>
              </w:rPr>
              <w:t>Appendix 6</w:t>
            </w:r>
            <w:r w:rsidR="00712958" w:rsidRPr="00027624">
              <w:rPr>
                <w:i/>
                <w:sz w:val="22"/>
              </w:rPr>
              <w:t>A</w:t>
            </w:r>
            <w:r w:rsidR="006F54A7" w:rsidRPr="00027624">
              <w:rPr>
                <w:i/>
                <w:sz w:val="22"/>
              </w:rPr>
              <w:t>. Detailed modelling methods and assumptions</w:t>
            </w:r>
            <w:r w:rsidR="006F54A7" w:rsidRPr="00027624">
              <w:rPr>
                <w:sz w:val="22"/>
              </w:rPr>
              <w:t>.</w:t>
            </w:r>
          </w:p>
        </w:tc>
      </w:tr>
      <w:tr w:rsidR="00371420" w:rsidRPr="00027624" w14:paraId="0633B86E" w14:textId="77777777" w:rsidTr="00BE51D1">
        <w:trPr>
          <w:cantSplit/>
        </w:trPr>
        <w:tc>
          <w:tcPr>
            <w:tcW w:w="2127" w:type="dxa"/>
            <w:shd w:val="clear" w:color="auto" w:fill="auto"/>
          </w:tcPr>
          <w:p w14:paraId="46C423FE" w14:textId="77777777" w:rsidR="006F54A7" w:rsidRPr="00027624" w:rsidRDefault="006F54A7" w:rsidP="00BE51D1">
            <w:pPr>
              <w:jc w:val="left"/>
              <w:rPr>
                <w:sz w:val="22"/>
              </w:rPr>
            </w:pPr>
            <w:r w:rsidRPr="00027624">
              <w:rPr>
                <w:sz w:val="22"/>
              </w:rPr>
              <w:t>Carer Payment</w:t>
            </w:r>
          </w:p>
        </w:tc>
        <w:tc>
          <w:tcPr>
            <w:tcW w:w="6943" w:type="dxa"/>
            <w:shd w:val="clear" w:color="auto" w:fill="auto"/>
          </w:tcPr>
          <w:p w14:paraId="6DA5A18E" w14:textId="77777777" w:rsidR="006F54A7" w:rsidRPr="00027624" w:rsidRDefault="006F54A7" w:rsidP="00BE51D1">
            <w:pPr>
              <w:jc w:val="left"/>
              <w:rPr>
                <w:sz w:val="22"/>
              </w:rPr>
            </w:pPr>
            <w:r w:rsidRPr="00027624">
              <w:rPr>
                <w:sz w:val="22"/>
              </w:rPr>
              <w:t>A means</w:t>
            </w:r>
            <w:r w:rsidR="00A8443E" w:rsidRPr="00027624">
              <w:rPr>
                <w:sz w:val="22"/>
              </w:rPr>
              <w:noBreakHyphen/>
            </w:r>
            <w:r w:rsidRPr="00027624">
              <w:rPr>
                <w:sz w:val="22"/>
              </w:rPr>
              <w:t>tested Commonwealth Government income support payment for carers who because of the demands of their caring role, are unable to support themselves through substantial paid employment. The maximum rate of Carer Payment is the same as the maximum rate of Age</w:t>
            </w:r>
            <w:r w:rsidR="005E075C" w:rsidRPr="00027624">
              <w:rPr>
                <w:sz w:val="22"/>
              </w:rPr>
              <w:t> </w:t>
            </w:r>
            <w:r w:rsidRPr="00027624">
              <w:rPr>
                <w:sz w:val="22"/>
              </w:rPr>
              <w:t>Pension.</w:t>
            </w:r>
          </w:p>
        </w:tc>
      </w:tr>
      <w:tr w:rsidR="00371420" w:rsidRPr="00027624" w14:paraId="4DC905DF" w14:textId="77777777" w:rsidTr="00BE51D1">
        <w:trPr>
          <w:cantSplit/>
        </w:trPr>
        <w:tc>
          <w:tcPr>
            <w:tcW w:w="2127" w:type="dxa"/>
            <w:shd w:val="clear" w:color="auto" w:fill="auto"/>
          </w:tcPr>
          <w:p w14:paraId="0937008C" w14:textId="77777777" w:rsidR="006F54A7" w:rsidRPr="00027624" w:rsidRDefault="006F54A7" w:rsidP="00BE51D1">
            <w:pPr>
              <w:jc w:val="left"/>
              <w:rPr>
                <w:sz w:val="22"/>
              </w:rPr>
            </w:pPr>
            <w:r w:rsidRPr="00027624">
              <w:rPr>
                <w:sz w:val="22"/>
              </w:rPr>
              <w:t>Centrelink</w:t>
            </w:r>
          </w:p>
        </w:tc>
        <w:tc>
          <w:tcPr>
            <w:tcW w:w="6943" w:type="dxa"/>
            <w:shd w:val="clear" w:color="auto" w:fill="auto"/>
          </w:tcPr>
          <w:p w14:paraId="1E1CB142" w14:textId="77777777" w:rsidR="006F54A7" w:rsidRPr="00027624" w:rsidRDefault="006F54A7" w:rsidP="00BE51D1">
            <w:pPr>
              <w:jc w:val="left"/>
              <w:rPr>
                <w:sz w:val="22"/>
              </w:rPr>
            </w:pPr>
            <w:r w:rsidRPr="00027624">
              <w:rPr>
                <w:sz w:val="22"/>
              </w:rPr>
              <w:t>The Commonwealth Government agency that manages the administration and payment of income support payments and supplements, including the Age Pension.</w:t>
            </w:r>
          </w:p>
        </w:tc>
      </w:tr>
      <w:tr w:rsidR="00371420" w:rsidRPr="00027624" w14:paraId="29F8B3FA" w14:textId="77777777" w:rsidTr="00BE51D1">
        <w:trPr>
          <w:cantSplit/>
        </w:trPr>
        <w:tc>
          <w:tcPr>
            <w:tcW w:w="2127" w:type="dxa"/>
            <w:shd w:val="clear" w:color="auto" w:fill="auto"/>
          </w:tcPr>
          <w:p w14:paraId="33F30E22" w14:textId="77777777" w:rsidR="006F54A7" w:rsidRPr="00027624" w:rsidRDefault="006F54A7" w:rsidP="00BE51D1">
            <w:pPr>
              <w:jc w:val="left"/>
              <w:rPr>
                <w:sz w:val="22"/>
              </w:rPr>
            </w:pPr>
            <w:r w:rsidRPr="00027624">
              <w:rPr>
                <w:sz w:val="22"/>
              </w:rPr>
              <w:t xml:space="preserve">Commonwealth Rent Assistance </w:t>
            </w:r>
          </w:p>
        </w:tc>
        <w:tc>
          <w:tcPr>
            <w:tcW w:w="6943" w:type="dxa"/>
            <w:shd w:val="clear" w:color="auto" w:fill="auto"/>
          </w:tcPr>
          <w:p w14:paraId="0E720B31" w14:textId="77777777" w:rsidR="006F54A7" w:rsidRPr="00027624" w:rsidRDefault="006F54A7" w:rsidP="00BE51D1">
            <w:pPr>
              <w:jc w:val="left"/>
              <w:rPr>
                <w:sz w:val="22"/>
              </w:rPr>
            </w:pPr>
            <w:r w:rsidRPr="00027624">
              <w:rPr>
                <w:sz w:val="22"/>
              </w:rPr>
              <w:t>A Commonwealth Government supplement to other income support payments for eligible people, including most age pensioners</w:t>
            </w:r>
            <w:r w:rsidR="00EF766D" w:rsidRPr="00027624">
              <w:rPr>
                <w:sz w:val="22"/>
              </w:rPr>
              <w:t>,</w:t>
            </w:r>
            <w:r w:rsidRPr="00027624">
              <w:rPr>
                <w:sz w:val="22"/>
              </w:rPr>
              <w:t xml:space="preserve"> who rent through the private market or community housing.</w:t>
            </w:r>
          </w:p>
          <w:p w14:paraId="48240C4D" w14:textId="6E5A26AA" w:rsidR="006F54A7" w:rsidRPr="00027624" w:rsidRDefault="006F54A7" w:rsidP="00BE51D1">
            <w:pPr>
              <w:jc w:val="left"/>
              <w:rPr>
                <w:sz w:val="22"/>
              </w:rPr>
            </w:pPr>
            <w:r w:rsidRPr="00027624">
              <w:rPr>
                <w:sz w:val="22"/>
              </w:rPr>
              <w:t xml:space="preserve">Further information relating to Commonwealth Rent Assistance can be found in </w:t>
            </w:r>
            <w:r w:rsidR="002F4219">
              <w:rPr>
                <w:i/>
                <w:sz w:val="22"/>
              </w:rPr>
              <w:t xml:space="preserve">2B. Policy scenario: Implications of increasing </w:t>
            </w:r>
            <w:r w:rsidR="00317EAC">
              <w:rPr>
                <w:i/>
                <w:sz w:val="22"/>
              </w:rPr>
              <w:t>Commonwealth</w:t>
            </w:r>
            <w:r w:rsidR="002F4219">
              <w:rPr>
                <w:i/>
                <w:sz w:val="22"/>
              </w:rPr>
              <w:t xml:space="preserve"> Rent </w:t>
            </w:r>
            <w:r w:rsidR="00317EAC">
              <w:rPr>
                <w:i/>
                <w:sz w:val="22"/>
              </w:rPr>
              <w:t>Assistance</w:t>
            </w:r>
            <w:r w:rsidRPr="00027624">
              <w:rPr>
                <w:sz w:val="22"/>
                <w:szCs w:val="22"/>
              </w:rPr>
              <w:t>.</w:t>
            </w:r>
          </w:p>
        </w:tc>
      </w:tr>
      <w:tr w:rsidR="00371420" w:rsidRPr="00027624" w14:paraId="4D39FAA0" w14:textId="77777777" w:rsidTr="00BE51D1">
        <w:trPr>
          <w:cantSplit/>
        </w:trPr>
        <w:tc>
          <w:tcPr>
            <w:tcW w:w="2127" w:type="dxa"/>
            <w:shd w:val="clear" w:color="auto" w:fill="auto"/>
          </w:tcPr>
          <w:p w14:paraId="451D34AB" w14:textId="77777777" w:rsidR="006F54A7" w:rsidRPr="00027624" w:rsidRDefault="006F54A7" w:rsidP="00BE51D1">
            <w:pPr>
              <w:jc w:val="left"/>
              <w:rPr>
                <w:sz w:val="22"/>
                <w:szCs w:val="22"/>
              </w:rPr>
            </w:pPr>
            <w:r w:rsidRPr="00027624">
              <w:rPr>
                <w:sz w:val="22"/>
              </w:rPr>
              <w:t>Community Development Program</w:t>
            </w:r>
          </w:p>
        </w:tc>
        <w:tc>
          <w:tcPr>
            <w:tcW w:w="6943" w:type="dxa"/>
            <w:shd w:val="clear" w:color="auto" w:fill="auto"/>
          </w:tcPr>
          <w:p w14:paraId="0C7A5C77" w14:textId="77777777" w:rsidR="006F54A7" w:rsidRPr="00027624" w:rsidRDefault="006F54A7" w:rsidP="00BE51D1">
            <w:pPr>
              <w:jc w:val="left"/>
              <w:rPr>
                <w:sz w:val="22"/>
              </w:rPr>
            </w:pPr>
            <w:r w:rsidRPr="00027624">
              <w:rPr>
                <w:sz w:val="22"/>
              </w:rPr>
              <w:t>A Commonwealth Government</w:t>
            </w:r>
            <w:r w:rsidR="00A8443E" w:rsidRPr="00027624">
              <w:rPr>
                <w:sz w:val="22"/>
              </w:rPr>
              <w:noBreakHyphen/>
            </w:r>
            <w:r w:rsidRPr="00027624">
              <w:rPr>
                <w:sz w:val="22"/>
              </w:rPr>
              <w:t>supported remote</w:t>
            </w:r>
            <w:r w:rsidR="00A8443E" w:rsidRPr="00027624">
              <w:rPr>
                <w:sz w:val="22"/>
              </w:rPr>
              <w:noBreakHyphen/>
            </w:r>
            <w:r w:rsidRPr="00027624">
              <w:rPr>
                <w:sz w:val="22"/>
              </w:rPr>
              <w:t>area employment and community development program. The program has</w:t>
            </w:r>
            <w:r w:rsidRPr="00027624" w:rsidDel="0067755A">
              <w:rPr>
                <w:sz w:val="22"/>
              </w:rPr>
              <w:t xml:space="preserve"> </w:t>
            </w:r>
            <w:r w:rsidRPr="00027624">
              <w:rPr>
                <w:sz w:val="22"/>
              </w:rPr>
              <w:t>around 30,000 participants, the majority of whom are Aboriginal or Torres Strait Islander people.</w:t>
            </w:r>
          </w:p>
        </w:tc>
      </w:tr>
      <w:tr w:rsidR="00371420" w:rsidRPr="00027624" w14:paraId="51382B27" w14:textId="77777777" w:rsidTr="00BE51D1">
        <w:trPr>
          <w:cantSplit/>
        </w:trPr>
        <w:tc>
          <w:tcPr>
            <w:tcW w:w="2127" w:type="dxa"/>
            <w:shd w:val="clear" w:color="auto" w:fill="auto"/>
          </w:tcPr>
          <w:p w14:paraId="4450AB36" w14:textId="77777777" w:rsidR="006F54A7" w:rsidRPr="00027624" w:rsidRDefault="006F54A7" w:rsidP="00BE51D1">
            <w:pPr>
              <w:jc w:val="left"/>
              <w:rPr>
                <w:sz w:val="22"/>
              </w:rPr>
            </w:pPr>
            <w:r w:rsidRPr="00027624">
              <w:rPr>
                <w:sz w:val="22"/>
              </w:rPr>
              <w:t>Consumer Price Index (CPI)</w:t>
            </w:r>
          </w:p>
        </w:tc>
        <w:tc>
          <w:tcPr>
            <w:tcW w:w="6943" w:type="dxa"/>
            <w:shd w:val="clear" w:color="auto" w:fill="auto"/>
          </w:tcPr>
          <w:p w14:paraId="65C4FD59" w14:textId="77777777" w:rsidR="006F54A7" w:rsidRPr="00027624" w:rsidRDefault="006F54A7" w:rsidP="00BE51D1">
            <w:pPr>
              <w:jc w:val="left"/>
              <w:rPr>
                <w:sz w:val="22"/>
              </w:rPr>
            </w:pPr>
            <w:r w:rsidRPr="00027624">
              <w:rPr>
                <w:sz w:val="22"/>
              </w:rPr>
              <w:t xml:space="preserve">An index </w:t>
            </w:r>
            <w:r w:rsidRPr="00027624" w:rsidDel="00506285">
              <w:rPr>
                <w:sz w:val="22"/>
              </w:rPr>
              <w:t xml:space="preserve">that </w:t>
            </w:r>
            <w:r w:rsidRPr="00027624" w:rsidDel="00506285">
              <w:rPr>
                <w:sz w:val="22"/>
                <w:szCs w:val="22"/>
              </w:rPr>
              <w:t>measure</w:t>
            </w:r>
            <w:r w:rsidRPr="00027624">
              <w:rPr>
                <w:sz w:val="22"/>
                <w:szCs w:val="22"/>
              </w:rPr>
              <w:t>s</w:t>
            </w:r>
            <w:r w:rsidRPr="00027624" w:rsidDel="00506285">
              <w:rPr>
                <w:sz w:val="22"/>
              </w:rPr>
              <w:t xml:space="preserve"> changes in retail prices of a constant basket of goods and services</w:t>
            </w:r>
            <w:r w:rsidRPr="00027624">
              <w:rPr>
                <w:sz w:val="22"/>
              </w:rPr>
              <w:t>. It is used to track changes in prices for consumer goods and services. Commonly used as a measure for inflation in Australia.</w:t>
            </w:r>
          </w:p>
        </w:tc>
      </w:tr>
      <w:tr w:rsidR="00371420" w:rsidRPr="00027624" w14:paraId="138E580D" w14:textId="77777777" w:rsidTr="00BE51D1">
        <w:trPr>
          <w:cantSplit/>
        </w:trPr>
        <w:tc>
          <w:tcPr>
            <w:tcW w:w="2127" w:type="dxa"/>
            <w:shd w:val="clear" w:color="auto" w:fill="auto"/>
          </w:tcPr>
          <w:p w14:paraId="72DC5F9D" w14:textId="77777777" w:rsidR="006F54A7" w:rsidRPr="00027624" w:rsidRDefault="006F54A7" w:rsidP="00BE51D1">
            <w:pPr>
              <w:jc w:val="left"/>
              <w:rPr>
                <w:sz w:val="22"/>
              </w:rPr>
            </w:pPr>
            <w:r w:rsidRPr="00027624">
              <w:rPr>
                <w:sz w:val="22"/>
                <w:szCs w:val="22"/>
              </w:rPr>
              <w:t>Contribution</w:t>
            </w:r>
            <w:r w:rsidR="00483962" w:rsidRPr="00027624">
              <w:rPr>
                <w:sz w:val="22"/>
                <w:szCs w:val="22"/>
              </w:rPr>
              <w:t>s</w:t>
            </w:r>
            <w:r w:rsidRPr="00027624">
              <w:rPr>
                <w:sz w:val="22"/>
                <w:szCs w:val="22"/>
              </w:rPr>
              <w:t xml:space="preserve"> cap(s)</w:t>
            </w:r>
          </w:p>
        </w:tc>
        <w:tc>
          <w:tcPr>
            <w:tcW w:w="6943" w:type="dxa"/>
            <w:shd w:val="clear" w:color="auto" w:fill="auto"/>
          </w:tcPr>
          <w:p w14:paraId="0B4D122F" w14:textId="77777777" w:rsidR="006F54A7" w:rsidRPr="00027624" w:rsidRDefault="006F54A7" w:rsidP="00BE51D1">
            <w:pPr>
              <w:jc w:val="left"/>
              <w:rPr>
                <w:sz w:val="22"/>
              </w:rPr>
            </w:pPr>
            <w:r w:rsidRPr="00027624">
              <w:rPr>
                <w:sz w:val="22"/>
              </w:rPr>
              <w:t>Limits on the amount of money that can be contributed to a person</w:t>
            </w:r>
            <w:r w:rsidR="00A8443E" w:rsidRPr="00027624">
              <w:rPr>
                <w:sz w:val="22"/>
              </w:rPr>
              <w:t>’</w:t>
            </w:r>
            <w:r w:rsidRPr="00027624">
              <w:rPr>
                <w:sz w:val="22"/>
              </w:rPr>
              <w:t>s superannuation account in a given period.</w:t>
            </w:r>
          </w:p>
          <w:p w14:paraId="26BF4A33" w14:textId="77777777" w:rsidR="006F54A7" w:rsidRPr="00027624" w:rsidRDefault="006F54A7" w:rsidP="00BE51D1">
            <w:pPr>
              <w:jc w:val="left"/>
              <w:rPr>
                <w:sz w:val="22"/>
              </w:rPr>
            </w:pPr>
            <w:r w:rsidRPr="00027624">
              <w:rPr>
                <w:sz w:val="22"/>
              </w:rPr>
              <w:t xml:space="preserve">Further information relating to the </w:t>
            </w:r>
            <w:r w:rsidR="00404B9D" w:rsidRPr="00027624">
              <w:rPr>
                <w:sz w:val="22"/>
              </w:rPr>
              <w:t>contributions cap</w:t>
            </w:r>
            <w:r w:rsidRPr="00027624">
              <w:rPr>
                <w:sz w:val="22"/>
              </w:rPr>
              <w:t xml:space="preserve">s can be found in </w:t>
            </w:r>
            <w:r w:rsidRPr="00027624">
              <w:rPr>
                <w:i/>
                <w:sz w:val="22"/>
              </w:rPr>
              <w:t>1B. Design of Australia</w:t>
            </w:r>
            <w:r w:rsidR="00A8443E" w:rsidRPr="00027624">
              <w:rPr>
                <w:i/>
                <w:sz w:val="22"/>
              </w:rPr>
              <w:t>’</w:t>
            </w:r>
            <w:r w:rsidRPr="00027624">
              <w:rPr>
                <w:i/>
                <w:sz w:val="22"/>
              </w:rPr>
              <w:t>s retirement income system</w:t>
            </w:r>
            <w:r w:rsidRPr="00027624">
              <w:rPr>
                <w:sz w:val="22"/>
              </w:rPr>
              <w:t>.</w:t>
            </w:r>
          </w:p>
        </w:tc>
      </w:tr>
      <w:tr w:rsidR="00371420" w:rsidRPr="00027624" w14:paraId="007D316B" w14:textId="77777777" w:rsidTr="00BE51D1">
        <w:trPr>
          <w:cantSplit/>
        </w:trPr>
        <w:tc>
          <w:tcPr>
            <w:tcW w:w="2127" w:type="dxa"/>
            <w:shd w:val="clear" w:color="auto" w:fill="auto"/>
          </w:tcPr>
          <w:p w14:paraId="56D4B62D" w14:textId="77777777" w:rsidR="006F54A7" w:rsidRPr="00027624" w:rsidRDefault="006F54A7" w:rsidP="00BE51D1">
            <w:pPr>
              <w:jc w:val="left"/>
              <w:rPr>
                <w:sz w:val="22"/>
                <w:szCs w:val="22"/>
              </w:rPr>
            </w:pPr>
            <w:r w:rsidRPr="00027624">
              <w:rPr>
                <w:sz w:val="22"/>
                <w:szCs w:val="22"/>
              </w:rPr>
              <w:t>Deeming rates</w:t>
            </w:r>
          </w:p>
        </w:tc>
        <w:tc>
          <w:tcPr>
            <w:tcW w:w="6943" w:type="dxa"/>
            <w:shd w:val="clear" w:color="auto" w:fill="auto"/>
          </w:tcPr>
          <w:p w14:paraId="395DB2D1" w14:textId="77777777" w:rsidR="006F54A7" w:rsidRPr="00027624" w:rsidRDefault="006F54A7" w:rsidP="00BE51D1">
            <w:pPr>
              <w:jc w:val="left"/>
              <w:rPr>
                <w:sz w:val="22"/>
              </w:rPr>
            </w:pPr>
            <w:r w:rsidRPr="00027624">
              <w:rPr>
                <w:sz w:val="22"/>
              </w:rPr>
              <w:t>Rates used to calculate the assumed income earned on an income</w:t>
            </w:r>
            <w:r w:rsidR="00550E22" w:rsidRPr="00027624">
              <w:rPr>
                <w:sz w:val="22"/>
              </w:rPr>
              <w:t xml:space="preserve"> support</w:t>
            </w:r>
            <w:r w:rsidRPr="00027624">
              <w:rPr>
                <w:sz w:val="22"/>
              </w:rPr>
              <w:t xml:space="preserve"> recipient</w:t>
            </w:r>
            <w:r w:rsidR="00A8443E" w:rsidRPr="00027624">
              <w:rPr>
                <w:sz w:val="22"/>
              </w:rPr>
              <w:t>’</w:t>
            </w:r>
            <w:r w:rsidRPr="00027624">
              <w:rPr>
                <w:sz w:val="22"/>
              </w:rPr>
              <w:t>s assets, including those of age pensioners, irrespective of the actual income earned on those assets.</w:t>
            </w:r>
          </w:p>
          <w:p w14:paraId="5AA1C6ED" w14:textId="77777777" w:rsidR="006F54A7" w:rsidRPr="00027624" w:rsidRDefault="006F54A7" w:rsidP="00BE51D1">
            <w:pPr>
              <w:jc w:val="left"/>
              <w:rPr>
                <w:sz w:val="22"/>
              </w:rPr>
            </w:pPr>
            <w:r w:rsidRPr="00027624">
              <w:rPr>
                <w:sz w:val="22"/>
              </w:rPr>
              <w:t xml:space="preserve">Assumed income based </w:t>
            </w:r>
            <w:r w:rsidR="00800C39" w:rsidRPr="00027624">
              <w:rPr>
                <w:sz w:val="22"/>
              </w:rPr>
              <w:t>on</w:t>
            </w:r>
            <w:r w:rsidRPr="00027624">
              <w:rPr>
                <w:sz w:val="22"/>
              </w:rPr>
              <w:t xml:space="preserve"> these rates (deemed income) is used by Centrelink for means testing to calculate how much of a social security payment, including the Age Pension, a person is entitled to.</w:t>
            </w:r>
          </w:p>
          <w:p w14:paraId="0B596B7C" w14:textId="77777777" w:rsidR="006F54A7" w:rsidRPr="00027624" w:rsidRDefault="006F54A7" w:rsidP="00BE51D1">
            <w:pPr>
              <w:jc w:val="left"/>
              <w:rPr>
                <w:sz w:val="22"/>
                <w:szCs w:val="22"/>
              </w:rPr>
            </w:pPr>
            <w:r w:rsidRPr="00027624">
              <w:rPr>
                <w:sz w:val="22"/>
              </w:rPr>
              <w:t xml:space="preserve">Further information relating to deeming rates can be found in </w:t>
            </w:r>
            <w:r w:rsidRPr="00027624">
              <w:rPr>
                <w:i/>
                <w:sz w:val="22"/>
              </w:rPr>
              <w:t>1B. Design of Australia</w:t>
            </w:r>
            <w:r w:rsidR="00A8443E" w:rsidRPr="00027624">
              <w:rPr>
                <w:i/>
                <w:sz w:val="22"/>
              </w:rPr>
              <w:t>’</w:t>
            </w:r>
            <w:r w:rsidRPr="00027624">
              <w:rPr>
                <w:i/>
                <w:sz w:val="22"/>
              </w:rPr>
              <w:t>s retirement income system</w:t>
            </w:r>
            <w:r w:rsidRPr="00027624">
              <w:rPr>
                <w:sz w:val="22"/>
              </w:rPr>
              <w:t>.</w:t>
            </w:r>
          </w:p>
        </w:tc>
      </w:tr>
      <w:tr w:rsidR="00371420" w:rsidRPr="00027624" w14:paraId="2E4B1773" w14:textId="77777777" w:rsidTr="00BE51D1">
        <w:trPr>
          <w:cantSplit/>
        </w:trPr>
        <w:tc>
          <w:tcPr>
            <w:tcW w:w="2127" w:type="dxa"/>
            <w:shd w:val="clear" w:color="auto" w:fill="auto"/>
          </w:tcPr>
          <w:p w14:paraId="5DDD8047" w14:textId="77777777" w:rsidR="006F54A7" w:rsidRPr="00027624" w:rsidRDefault="006F54A7" w:rsidP="00BE51D1">
            <w:pPr>
              <w:jc w:val="left"/>
              <w:rPr>
                <w:sz w:val="22"/>
              </w:rPr>
            </w:pPr>
            <w:r w:rsidRPr="00027624">
              <w:rPr>
                <w:sz w:val="22"/>
              </w:rPr>
              <w:lastRenderedPageBreak/>
              <w:t>Defined benefit (superannuation) scheme</w:t>
            </w:r>
          </w:p>
        </w:tc>
        <w:tc>
          <w:tcPr>
            <w:tcW w:w="6943" w:type="dxa"/>
            <w:shd w:val="clear" w:color="auto" w:fill="auto"/>
          </w:tcPr>
          <w:p w14:paraId="158F1CA8" w14:textId="77777777" w:rsidR="006F54A7" w:rsidRPr="00027624" w:rsidRDefault="006F54A7" w:rsidP="00BE51D1">
            <w:pPr>
              <w:jc w:val="left"/>
              <w:rPr>
                <w:sz w:val="22"/>
              </w:rPr>
            </w:pPr>
            <w:r w:rsidRPr="00027624">
              <w:rPr>
                <w:sz w:val="22"/>
              </w:rPr>
              <w:t>A scheme in which the member is generally paid a defined amount in retirement based on certain factors (such as years of work and final salary). Usually paid by the member</w:t>
            </w:r>
            <w:r w:rsidR="00A8443E" w:rsidRPr="00027624">
              <w:rPr>
                <w:sz w:val="22"/>
              </w:rPr>
              <w:t>’</w:t>
            </w:r>
            <w:r w:rsidRPr="00027624">
              <w:rPr>
                <w:sz w:val="22"/>
              </w:rPr>
              <w:t>s previous employer as a regular income for the duration of retirement</w:t>
            </w:r>
            <w:r w:rsidRPr="00027624" w:rsidDel="00CF200A">
              <w:rPr>
                <w:sz w:val="22"/>
              </w:rPr>
              <w:t>.</w:t>
            </w:r>
          </w:p>
        </w:tc>
      </w:tr>
      <w:tr w:rsidR="00371420" w:rsidRPr="00027624" w14:paraId="2815C7BF" w14:textId="77777777" w:rsidTr="00BE51D1">
        <w:trPr>
          <w:cantSplit/>
        </w:trPr>
        <w:tc>
          <w:tcPr>
            <w:tcW w:w="2127" w:type="dxa"/>
            <w:shd w:val="clear" w:color="auto" w:fill="auto"/>
          </w:tcPr>
          <w:p w14:paraId="11CF5605" w14:textId="77777777" w:rsidR="006F54A7" w:rsidRPr="00027624" w:rsidRDefault="006F54A7" w:rsidP="00BE51D1">
            <w:pPr>
              <w:jc w:val="left"/>
              <w:rPr>
                <w:sz w:val="22"/>
              </w:rPr>
            </w:pPr>
            <w:r w:rsidRPr="00027624">
              <w:rPr>
                <w:sz w:val="22"/>
              </w:rPr>
              <w:t>Defined contribution (superannuation) scheme</w:t>
            </w:r>
          </w:p>
        </w:tc>
        <w:tc>
          <w:tcPr>
            <w:tcW w:w="6943" w:type="dxa"/>
            <w:shd w:val="clear" w:color="auto" w:fill="auto"/>
          </w:tcPr>
          <w:p w14:paraId="5A23BCFB" w14:textId="77777777" w:rsidR="006F54A7" w:rsidRPr="00027624" w:rsidRDefault="006F54A7" w:rsidP="00BE51D1">
            <w:pPr>
              <w:jc w:val="left"/>
              <w:rPr>
                <w:sz w:val="22"/>
              </w:rPr>
            </w:pPr>
            <w:r w:rsidRPr="00027624">
              <w:rPr>
                <w:sz w:val="22"/>
              </w:rPr>
              <w:t>A</w:t>
            </w:r>
            <w:r w:rsidRPr="00027624" w:rsidDel="00D740FA">
              <w:rPr>
                <w:sz w:val="22"/>
              </w:rPr>
              <w:t xml:space="preserve"> </w:t>
            </w:r>
            <w:r w:rsidRPr="00027624">
              <w:rPr>
                <w:sz w:val="22"/>
              </w:rPr>
              <w:t>scheme in which the member is generally paid a defined contribution to their superannuation account by their employer for the duration of their employment with that employer.</w:t>
            </w:r>
          </w:p>
        </w:tc>
      </w:tr>
      <w:tr w:rsidR="00371420" w:rsidRPr="00027624" w14:paraId="30E4F0D8" w14:textId="77777777" w:rsidTr="00BE51D1">
        <w:trPr>
          <w:cantSplit/>
        </w:trPr>
        <w:tc>
          <w:tcPr>
            <w:tcW w:w="2127" w:type="dxa"/>
            <w:shd w:val="clear" w:color="auto" w:fill="auto"/>
          </w:tcPr>
          <w:p w14:paraId="669CA6B4" w14:textId="77777777" w:rsidR="006F54A7" w:rsidRPr="00027624" w:rsidRDefault="006F54A7" w:rsidP="00BE51D1">
            <w:pPr>
              <w:jc w:val="left"/>
              <w:rPr>
                <w:sz w:val="22"/>
              </w:rPr>
            </w:pPr>
            <w:r w:rsidRPr="00027624">
              <w:rPr>
                <w:sz w:val="22"/>
              </w:rPr>
              <w:t>Disability Support Pension</w:t>
            </w:r>
          </w:p>
        </w:tc>
        <w:tc>
          <w:tcPr>
            <w:tcW w:w="6943" w:type="dxa"/>
            <w:shd w:val="clear" w:color="auto" w:fill="auto"/>
          </w:tcPr>
          <w:p w14:paraId="22B429B3" w14:textId="77777777" w:rsidR="006F54A7" w:rsidRPr="00027624" w:rsidRDefault="006F54A7" w:rsidP="00BE51D1">
            <w:pPr>
              <w:jc w:val="left"/>
              <w:rPr>
                <w:sz w:val="22"/>
              </w:rPr>
            </w:pPr>
            <w:r w:rsidRPr="00027624">
              <w:rPr>
                <w:sz w:val="22"/>
              </w:rPr>
              <w:t xml:space="preserve">A Commonwealth Government </w:t>
            </w:r>
            <w:r w:rsidRPr="00027624" w:rsidDel="00C721C6">
              <w:rPr>
                <w:sz w:val="22"/>
              </w:rPr>
              <w:t xml:space="preserve">income support payment </w:t>
            </w:r>
            <w:r w:rsidRPr="00027624">
              <w:rPr>
                <w:sz w:val="22"/>
              </w:rPr>
              <w:t xml:space="preserve">for people who are deemed unable to support themselves financially (through means testing) and have a permanent physical, intellectual or psychiatric impairment. </w:t>
            </w:r>
            <w:r w:rsidRPr="00027624">
              <w:rPr>
                <w:sz w:val="22"/>
                <w:szCs w:val="22"/>
              </w:rPr>
              <w:t>The maximum rate of Disability Support Payment is the same as the maximum rate of Age Pension.</w:t>
            </w:r>
          </w:p>
          <w:p w14:paraId="74B0777D" w14:textId="77777777" w:rsidR="006F54A7" w:rsidRPr="00027624" w:rsidRDefault="006F54A7" w:rsidP="00BE51D1">
            <w:pPr>
              <w:jc w:val="left"/>
              <w:rPr>
                <w:sz w:val="22"/>
              </w:rPr>
            </w:pPr>
            <w:r w:rsidRPr="00027624">
              <w:rPr>
                <w:sz w:val="22"/>
              </w:rPr>
              <w:t xml:space="preserve">Further information relating to the Disability Support Pension can be found in </w:t>
            </w:r>
            <w:r w:rsidRPr="00027624">
              <w:rPr>
                <w:i/>
                <w:sz w:val="22"/>
              </w:rPr>
              <w:t xml:space="preserve">3. </w:t>
            </w:r>
            <w:r w:rsidRPr="00027624">
              <w:rPr>
                <w:i/>
                <w:sz w:val="22"/>
                <w:szCs w:val="22"/>
              </w:rPr>
              <w:t>Equity</w:t>
            </w:r>
            <w:r w:rsidRPr="00027624">
              <w:rPr>
                <w:sz w:val="22"/>
              </w:rPr>
              <w:t>.</w:t>
            </w:r>
          </w:p>
        </w:tc>
      </w:tr>
      <w:tr w:rsidR="00371420" w:rsidRPr="00027624" w14:paraId="295068D6" w14:textId="77777777" w:rsidTr="00BE51D1">
        <w:trPr>
          <w:cantSplit/>
        </w:trPr>
        <w:tc>
          <w:tcPr>
            <w:tcW w:w="2127" w:type="dxa"/>
            <w:shd w:val="clear" w:color="auto" w:fill="auto"/>
          </w:tcPr>
          <w:p w14:paraId="59F860D0" w14:textId="77777777" w:rsidR="006F54A7" w:rsidRPr="00027624" w:rsidRDefault="006F54A7" w:rsidP="00BE51D1">
            <w:pPr>
              <w:jc w:val="left"/>
              <w:rPr>
                <w:sz w:val="22"/>
              </w:rPr>
            </w:pPr>
            <w:r w:rsidRPr="00027624">
              <w:rPr>
                <w:sz w:val="22"/>
              </w:rPr>
              <w:t>Discouraged job seeker</w:t>
            </w:r>
          </w:p>
        </w:tc>
        <w:tc>
          <w:tcPr>
            <w:tcW w:w="6943" w:type="dxa"/>
            <w:shd w:val="clear" w:color="auto" w:fill="auto"/>
          </w:tcPr>
          <w:p w14:paraId="28A6FD4E" w14:textId="77777777" w:rsidR="006F54A7" w:rsidRPr="00027624" w:rsidRDefault="006F54A7" w:rsidP="00BE51D1">
            <w:pPr>
              <w:jc w:val="left"/>
              <w:rPr>
                <w:sz w:val="22"/>
              </w:rPr>
            </w:pPr>
            <w:r w:rsidRPr="00027624">
              <w:rPr>
                <w:sz w:val="22"/>
              </w:rPr>
              <w:t>A person without employment who is otherwise available and willing to work but is not actively looking for work as they believe they will not find employment.</w:t>
            </w:r>
          </w:p>
        </w:tc>
      </w:tr>
      <w:tr w:rsidR="00371420" w:rsidRPr="00027624" w14:paraId="5AC55883" w14:textId="77777777" w:rsidTr="00BE51D1">
        <w:trPr>
          <w:cantSplit/>
        </w:trPr>
        <w:tc>
          <w:tcPr>
            <w:tcW w:w="2127" w:type="dxa"/>
            <w:shd w:val="clear" w:color="auto" w:fill="auto"/>
          </w:tcPr>
          <w:p w14:paraId="0CD2A8DF" w14:textId="77777777" w:rsidR="006F54A7" w:rsidRPr="00027624" w:rsidRDefault="006F54A7" w:rsidP="00BE51D1">
            <w:pPr>
              <w:jc w:val="left"/>
              <w:rPr>
                <w:sz w:val="22"/>
                <w:szCs w:val="22"/>
              </w:rPr>
            </w:pPr>
            <w:r w:rsidRPr="00027624">
              <w:rPr>
                <w:sz w:val="22"/>
                <w:szCs w:val="22"/>
              </w:rPr>
              <w:t>Division 293 tax</w:t>
            </w:r>
          </w:p>
        </w:tc>
        <w:tc>
          <w:tcPr>
            <w:tcW w:w="6943" w:type="dxa"/>
            <w:shd w:val="clear" w:color="auto" w:fill="auto"/>
          </w:tcPr>
          <w:p w14:paraId="08A51F4C" w14:textId="77777777" w:rsidR="006F54A7" w:rsidRPr="00027624" w:rsidRDefault="006F54A7" w:rsidP="00BE51D1">
            <w:pPr>
              <w:jc w:val="left"/>
              <w:rPr>
                <w:sz w:val="22"/>
                <w:szCs w:val="22"/>
              </w:rPr>
            </w:pPr>
            <w:r w:rsidRPr="00027624">
              <w:rPr>
                <w:sz w:val="22"/>
                <w:szCs w:val="22"/>
              </w:rPr>
              <w:t>An additional 15</w:t>
            </w:r>
            <w:r w:rsidR="00C252F8" w:rsidRPr="00027624">
              <w:rPr>
                <w:sz w:val="22"/>
                <w:szCs w:val="22"/>
              </w:rPr>
              <w:t> </w:t>
            </w:r>
            <w:r w:rsidRPr="00027624">
              <w:rPr>
                <w:sz w:val="22"/>
                <w:szCs w:val="22"/>
              </w:rPr>
              <w:t>per</w:t>
            </w:r>
            <w:r w:rsidR="00C252F8" w:rsidRPr="00027624">
              <w:rPr>
                <w:sz w:val="22"/>
                <w:szCs w:val="22"/>
              </w:rPr>
              <w:t> </w:t>
            </w:r>
            <w:r w:rsidRPr="00027624">
              <w:rPr>
                <w:sz w:val="22"/>
                <w:szCs w:val="22"/>
              </w:rPr>
              <w:t>cent tax on contributions for people whose combined income and contributions exceed the prescribed threshold. Currently the threshold is $250,000. This effectively increases the tax on contributions for these people to 30</w:t>
            </w:r>
            <w:r w:rsidR="004744C3" w:rsidRPr="00027624">
              <w:rPr>
                <w:sz w:val="22"/>
                <w:szCs w:val="22"/>
              </w:rPr>
              <w:t> </w:t>
            </w:r>
            <w:r w:rsidRPr="00027624">
              <w:rPr>
                <w:sz w:val="22"/>
                <w:szCs w:val="22"/>
              </w:rPr>
              <w:t>per</w:t>
            </w:r>
            <w:r w:rsidR="004744C3" w:rsidRPr="00027624">
              <w:rPr>
                <w:sz w:val="22"/>
                <w:szCs w:val="22"/>
              </w:rPr>
              <w:t> </w:t>
            </w:r>
            <w:r w:rsidRPr="00027624">
              <w:rPr>
                <w:sz w:val="22"/>
                <w:szCs w:val="22"/>
              </w:rPr>
              <w:t>cent.</w:t>
            </w:r>
          </w:p>
          <w:p w14:paraId="41AE677F" w14:textId="77777777" w:rsidR="006F54A7" w:rsidRPr="00027624" w:rsidRDefault="006F54A7" w:rsidP="00BE51D1">
            <w:pPr>
              <w:jc w:val="left"/>
              <w:rPr>
                <w:sz w:val="22"/>
                <w:szCs w:val="22"/>
              </w:rPr>
            </w:pPr>
            <w:r w:rsidRPr="00027624">
              <w:rPr>
                <w:sz w:val="22"/>
              </w:rPr>
              <w:t>Further information relating to Division 293 tax can</w:t>
            </w:r>
            <w:r w:rsidR="00351F5E" w:rsidRPr="00027624">
              <w:rPr>
                <w:sz w:val="22"/>
              </w:rPr>
              <w:t xml:space="preserve"> be found in</w:t>
            </w:r>
            <w:r w:rsidRPr="00027624">
              <w:rPr>
                <w:i/>
                <w:sz w:val="22"/>
              </w:rPr>
              <w:t xml:space="preserve"> 1B.</w:t>
            </w:r>
            <w:r w:rsidR="00351F5E" w:rsidRPr="00027624">
              <w:rPr>
                <w:i/>
                <w:sz w:val="22"/>
              </w:rPr>
              <w:t> </w:t>
            </w:r>
            <w:r w:rsidRPr="00027624">
              <w:rPr>
                <w:i/>
                <w:sz w:val="22"/>
              </w:rPr>
              <w:t>Design of Australia</w:t>
            </w:r>
            <w:r w:rsidR="00A8443E" w:rsidRPr="00027624">
              <w:rPr>
                <w:i/>
                <w:sz w:val="22"/>
              </w:rPr>
              <w:t>’</w:t>
            </w:r>
            <w:r w:rsidRPr="00027624">
              <w:rPr>
                <w:i/>
                <w:sz w:val="22"/>
              </w:rPr>
              <w:t>s retirement income system</w:t>
            </w:r>
            <w:r w:rsidRPr="00027624">
              <w:rPr>
                <w:sz w:val="22"/>
              </w:rPr>
              <w:t>.</w:t>
            </w:r>
          </w:p>
        </w:tc>
      </w:tr>
      <w:tr w:rsidR="00371420" w:rsidRPr="00027624" w14:paraId="66214BB5" w14:textId="77777777" w:rsidTr="00BE51D1">
        <w:trPr>
          <w:cantSplit/>
        </w:trPr>
        <w:tc>
          <w:tcPr>
            <w:tcW w:w="2127" w:type="dxa"/>
            <w:shd w:val="clear" w:color="auto" w:fill="auto"/>
          </w:tcPr>
          <w:p w14:paraId="5FE19093" w14:textId="77777777" w:rsidR="006F54A7" w:rsidRPr="00027624" w:rsidRDefault="006F54A7" w:rsidP="00BE51D1">
            <w:pPr>
              <w:jc w:val="left"/>
              <w:rPr>
                <w:sz w:val="22"/>
                <w:szCs w:val="22"/>
              </w:rPr>
            </w:pPr>
            <w:r w:rsidRPr="00027624">
              <w:rPr>
                <w:sz w:val="22"/>
                <w:szCs w:val="22"/>
              </w:rPr>
              <w:t>Drawdown</w:t>
            </w:r>
          </w:p>
        </w:tc>
        <w:tc>
          <w:tcPr>
            <w:tcW w:w="6943" w:type="dxa"/>
            <w:shd w:val="clear" w:color="auto" w:fill="auto"/>
          </w:tcPr>
          <w:p w14:paraId="6B744253" w14:textId="77777777" w:rsidR="006F54A7" w:rsidRPr="00027624" w:rsidRDefault="006F54A7" w:rsidP="00BE51D1">
            <w:pPr>
              <w:jc w:val="left"/>
              <w:rPr>
                <w:sz w:val="22"/>
                <w:szCs w:val="22"/>
              </w:rPr>
            </w:pPr>
            <w:r w:rsidRPr="00027624">
              <w:rPr>
                <w:sz w:val="22"/>
                <w:szCs w:val="22"/>
              </w:rPr>
              <w:t>The amount of wealth withdrawn from savings and assets (including by asset liquidation) to support living standards and consumption.</w:t>
            </w:r>
          </w:p>
        </w:tc>
      </w:tr>
      <w:tr w:rsidR="00371420" w:rsidRPr="00027624" w14:paraId="748D1839" w14:textId="77777777" w:rsidTr="00BE51D1">
        <w:trPr>
          <w:cantSplit/>
        </w:trPr>
        <w:tc>
          <w:tcPr>
            <w:tcW w:w="2127" w:type="dxa"/>
            <w:shd w:val="clear" w:color="auto" w:fill="auto"/>
          </w:tcPr>
          <w:p w14:paraId="26624BC7" w14:textId="77777777" w:rsidR="006F54A7" w:rsidRPr="00027624" w:rsidRDefault="006F54A7" w:rsidP="00BE51D1">
            <w:pPr>
              <w:jc w:val="left"/>
              <w:rPr>
                <w:sz w:val="22"/>
                <w:szCs w:val="22"/>
              </w:rPr>
            </w:pPr>
            <w:r w:rsidRPr="00027624">
              <w:rPr>
                <w:sz w:val="22"/>
                <w:szCs w:val="22"/>
              </w:rPr>
              <w:t>Effective marginal tax rate</w:t>
            </w:r>
          </w:p>
        </w:tc>
        <w:tc>
          <w:tcPr>
            <w:tcW w:w="6943" w:type="dxa"/>
            <w:shd w:val="clear" w:color="auto" w:fill="auto"/>
          </w:tcPr>
          <w:p w14:paraId="2401CFC9" w14:textId="77777777" w:rsidR="006F54A7" w:rsidRPr="00027624" w:rsidRDefault="006F54A7" w:rsidP="00BE51D1">
            <w:pPr>
              <w:jc w:val="left"/>
              <w:rPr>
                <w:sz w:val="22"/>
                <w:szCs w:val="22"/>
              </w:rPr>
            </w:pPr>
            <w:r w:rsidRPr="00027624">
              <w:rPr>
                <w:sz w:val="22"/>
                <w:szCs w:val="22"/>
              </w:rPr>
              <w:t>The net effect of taxes imposed and income support removed when a person earns an additional dollar of income.</w:t>
            </w:r>
          </w:p>
        </w:tc>
      </w:tr>
      <w:tr w:rsidR="00371420" w:rsidRPr="00027624" w14:paraId="551E36A1" w14:textId="77777777" w:rsidTr="00BE51D1">
        <w:trPr>
          <w:cantSplit/>
        </w:trPr>
        <w:tc>
          <w:tcPr>
            <w:tcW w:w="2127" w:type="dxa"/>
            <w:shd w:val="clear" w:color="auto" w:fill="auto"/>
          </w:tcPr>
          <w:p w14:paraId="63E74A7A" w14:textId="77777777" w:rsidR="006F54A7" w:rsidRPr="00027624" w:rsidRDefault="006F54A7" w:rsidP="00BE51D1">
            <w:pPr>
              <w:jc w:val="left"/>
              <w:rPr>
                <w:sz w:val="22"/>
                <w:szCs w:val="22"/>
              </w:rPr>
            </w:pPr>
            <w:r w:rsidRPr="00027624">
              <w:rPr>
                <w:sz w:val="22"/>
                <w:szCs w:val="22"/>
              </w:rPr>
              <w:t>Equivalisation</w:t>
            </w:r>
          </w:p>
        </w:tc>
        <w:tc>
          <w:tcPr>
            <w:tcW w:w="6943" w:type="dxa"/>
            <w:shd w:val="clear" w:color="auto" w:fill="auto"/>
          </w:tcPr>
          <w:p w14:paraId="3B210941" w14:textId="77777777" w:rsidR="006F54A7" w:rsidRPr="00027624" w:rsidRDefault="006F54A7" w:rsidP="00BE51D1">
            <w:pPr>
              <w:jc w:val="left"/>
              <w:rPr>
                <w:sz w:val="22"/>
                <w:szCs w:val="22"/>
              </w:rPr>
            </w:pPr>
            <w:r w:rsidRPr="00027624">
              <w:rPr>
                <w:sz w:val="22"/>
                <w:szCs w:val="22"/>
              </w:rPr>
              <w:t>Equivalisation is a way to compare households of differen</w:t>
            </w:r>
            <w:r w:rsidR="00760648" w:rsidRPr="00027624">
              <w:rPr>
                <w:sz w:val="22"/>
                <w:szCs w:val="22"/>
              </w:rPr>
              <w:t>t</w:t>
            </w:r>
            <w:r w:rsidRPr="00027624">
              <w:rPr>
                <w:sz w:val="22"/>
                <w:szCs w:val="22"/>
              </w:rPr>
              <w:t xml:space="preserve"> sizes and compositions. Equivalisation accounts for larger households being able to share resources, such as housing space. It effectively converts outcomes for multi</w:t>
            </w:r>
            <w:r w:rsidR="00A8443E" w:rsidRPr="00027624">
              <w:rPr>
                <w:sz w:val="22"/>
                <w:szCs w:val="22"/>
              </w:rPr>
              <w:noBreakHyphen/>
            </w:r>
            <w:r w:rsidRPr="00027624">
              <w:rPr>
                <w:sz w:val="22"/>
                <w:szCs w:val="22"/>
              </w:rPr>
              <w:t>person households to be equivalent to outcomes in single</w:t>
            </w:r>
            <w:r w:rsidR="00A8443E" w:rsidRPr="00027624">
              <w:rPr>
                <w:sz w:val="22"/>
                <w:szCs w:val="22"/>
              </w:rPr>
              <w:noBreakHyphen/>
            </w:r>
            <w:r w:rsidRPr="00027624">
              <w:rPr>
                <w:sz w:val="22"/>
                <w:szCs w:val="22"/>
              </w:rPr>
              <w:t>person households.</w:t>
            </w:r>
          </w:p>
          <w:p w14:paraId="7D6CE1C5" w14:textId="77777777" w:rsidR="006F54A7" w:rsidRPr="00027624" w:rsidRDefault="006F54A7" w:rsidP="00BE51D1">
            <w:pPr>
              <w:jc w:val="left"/>
              <w:rPr>
                <w:sz w:val="22"/>
                <w:szCs w:val="22"/>
              </w:rPr>
            </w:pPr>
            <w:r w:rsidRPr="00027624">
              <w:rPr>
                <w:sz w:val="22"/>
                <w:szCs w:val="22"/>
              </w:rPr>
              <w:t xml:space="preserve">The report uses the </w:t>
            </w:r>
            <w:r w:rsidR="00A8443E" w:rsidRPr="00027624">
              <w:rPr>
                <w:sz w:val="22"/>
                <w:szCs w:val="22"/>
              </w:rPr>
              <w:t>‘</w:t>
            </w:r>
            <w:r w:rsidRPr="00027624">
              <w:rPr>
                <w:sz w:val="22"/>
                <w:szCs w:val="22"/>
              </w:rPr>
              <w:t>modified OECD</w:t>
            </w:r>
            <w:r w:rsidR="00A8443E" w:rsidRPr="00027624">
              <w:rPr>
                <w:sz w:val="22"/>
                <w:szCs w:val="22"/>
              </w:rPr>
              <w:t>’</w:t>
            </w:r>
            <w:r w:rsidRPr="00027624">
              <w:rPr>
                <w:sz w:val="22"/>
                <w:szCs w:val="22"/>
              </w:rPr>
              <w:t xml:space="preserve"> equivalence scale. This scale determines a household weight with the first adult person counting as one, adds 0.5 for each additional person in the household aged 15 or over, and adds 0.3 for each person aged under 15. </w:t>
            </w:r>
            <w:r w:rsidR="00D104F1" w:rsidRPr="00027624">
              <w:rPr>
                <w:sz w:val="22"/>
                <w:szCs w:val="22"/>
              </w:rPr>
              <w:t xml:space="preserve">For </w:t>
            </w:r>
            <w:r w:rsidR="004A2868" w:rsidRPr="00027624">
              <w:rPr>
                <w:sz w:val="22"/>
                <w:szCs w:val="22"/>
              </w:rPr>
              <w:t>example,</w:t>
            </w:r>
            <w:r w:rsidRPr="00027624">
              <w:rPr>
                <w:sz w:val="22"/>
                <w:szCs w:val="22"/>
              </w:rPr>
              <w:t xml:space="preserve"> </w:t>
            </w:r>
            <w:r w:rsidR="004A2868" w:rsidRPr="00027624">
              <w:rPr>
                <w:sz w:val="22"/>
                <w:szCs w:val="22"/>
              </w:rPr>
              <w:t xml:space="preserve">a </w:t>
            </w:r>
            <w:r w:rsidRPr="00027624">
              <w:rPr>
                <w:sz w:val="22"/>
                <w:szCs w:val="22"/>
              </w:rPr>
              <w:t>household of two adults and one child aged 10</w:t>
            </w:r>
            <w:r w:rsidR="004A2868" w:rsidRPr="00027624">
              <w:rPr>
                <w:sz w:val="22"/>
                <w:szCs w:val="22"/>
              </w:rPr>
              <w:t>,</w:t>
            </w:r>
            <w:r w:rsidRPr="00027624">
              <w:rPr>
                <w:sz w:val="22"/>
                <w:szCs w:val="22"/>
              </w:rPr>
              <w:t xml:space="preserve"> with income of $180,000</w:t>
            </w:r>
            <w:r w:rsidR="004A2868" w:rsidRPr="00027624">
              <w:rPr>
                <w:sz w:val="22"/>
                <w:szCs w:val="22"/>
              </w:rPr>
              <w:t>,</w:t>
            </w:r>
            <w:r w:rsidRPr="00027624">
              <w:rPr>
                <w:sz w:val="22"/>
                <w:szCs w:val="22"/>
              </w:rPr>
              <w:t xml:space="preserve"> is assumed to have equivalent income to a single</w:t>
            </w:r>
            <w:r w:rsidR="00A8443E" w:rsidRPr="00027624">
              <w:rPr>
                <w:sz w:val="22"/>
                <w:szCs w:val="22"/>
              </w:rPr>
              <w:noBreakHyphen/>
            </w:r>
            <w:r w:rsidRPr="00027624">
              <w:rPr>
                <w:sz w:val="22"/>
                <w:szCs w:val="22"/>
              </w:rPr>
              <w:t>person household with income of $100,000 per year.</w:t>
            </w:r>
          </w:p>
        </w:tc>
      </w:tr>
      <w:tr w:rsidR="00371420" w:rsidRPr="00027624" w14:paraId="40491A7E" w14:textId="77777777" w:rsidTr="00BE51D1">
        <w:trPr>
          <w:cantSplit/>
        </w:trPr>
        <w:tc>
          <w:tcPr>
            <w:tcW w:w="2127" w:type="dxa"/>
            <w:shd w:val="clear" w:color="auto" w:fill="auto"/>
          </w:tcPr>
          <w:p w14:paraId="0322A645" w14:textId="77777777" w:rsidR="006F54A7" w:rsidRPr="00027624" w:rsidRDefault="006F54A7" w:rsidP="00BE51D1">
            <w:pPr>
              <w:jc w:val="left"/>
              <w:rPr>
                <w:sz w:val="22"/>
                <w:szCs w:val="22"/>
              </w:rPr>
            </w:pPr>
            <w:r w:rsidRPr="00027624">
              <w:rPr>
                <w:sz w:val="22"/>
              </w:rPr>
              <w:t>Generational transfer cost</w:t>
            </w:r>
          </w:p>
        </w:tc>
        <w:tc>
          <w:tcPr>
            <w:tcW w:w="6943" w:type="dxa"/>
            <w:shd w:val="clear" w:color="auto" w:fill="auto"/>
          </w:tcPr>
          <w:p w14:paraId="63514822" w14:textId="77777777" w:rsidR="006F54A7" w:rsidRPr="00027624" w:rsidRDefault="006F54A7" w:rsidP="00BE51D1">
            <w:pPr>
              <w:jc w:val="left"/>
              <w:rPr>
                <w:sz w:val="22"/>
              </w:rPr>
            </w:pPr>
            <w:r w:rsidRPr="00027624">
              <w:rPr>
                <w:sz w:val="22"/>
              </w:rPr>
              <w:t>The annual cost per working</w:t>
            </w:r>
            <w:r w:rsidR="00A8443E" w:rsidRPr="00027624">
              <w:rPr>
                <w:sz w:val="22"/>
              </w:rPr>
              <w:noBreakHyphen/>
            </w:r>
            <w:r w:rsidRPr="00027624">
              <w:rPr>
                <w:sz w:val="22"/>
              </w:rPr>
              <w:t>age person of the Age Pension and superannuation earnings tax concessions retirees receive.</w:t>
            </w:r>
          </w:p>
        </w:tc>
      </w:tr>
      <w:tr w:rsidR="00371420" w:rsidRPr="00027624" w14:paraId="621643CD" w14:textId="77777777" w:rsidTr="00BE51D1">
        <w:trPr>
          <w:cantSplit/>
        </w:trPr>
        <w:tc>
          <w:tcPr>
            <w:tcW w:w="2127" w:type="dxa"/>
            <w:shd w:val="clear" w:color="auto" w:fill="auto"/>
          </w:tcPr>
          <w:p w14:paraId="4F8A31F5" w14:textId="77777777" w:rsidR="006F54A7" w:rsidRPr="00027624" w:rsidRDefault="006F54A7" w:rsidP="00BE51D1">
            <w:pPr>
              <w:jc w:val="left"/>
              <w:rPr>
                <w:sz w:val="22"/>
                <w:szCs w:val="22"/>
              </w:rPr>
            </w:pPr>
            <w:r w:rsidRPr="00027624">
              <w:rPr>
                <w:sz w:val="22"/>
                <w:szCs w:val="22"/>
              </w:rPr>
              <w:lastRenderedPageBreak/>
              <w:t>Gig economy</w:t>
            </w:r>
          </w:p>
        </w:tc>
        <w:tc>
          <w:tcPr>
            <w:tcW w:w="6943" w:type="dxa"/>
            <w:shd w:val="clear" w:color="auto" w:fill="auto"/>
          </w:tcPr>
          <w:p w14:paraId="03AB6A36" w14:textId="77777777" w:rsidR="006F54A7" w:rsidRPr="00027624" w:rsidRDefault="006F54A7" w:rsidP="00BE51D1">
            <w:pPr>
              <w:autoSpaceDE w:val="0"/>
              <w:autoSpaceDN w:val="0"/>
              <w:adjustRightInd w:val="0"/>
              <w:spacing w:after="0"/>
              <w:jc w:val="left"/>
              <w:rPr>
                <w:sz w:val="22"/>
                <w:szCs w:val="22"/>
              </w:rPr>
            </w:pPr>
            <w:r w:rsidRPr="00027624">
              <w:rPr>
                <w:rFonts w:eastAsiaTheme="minorHAnsi" w:cs="Calibri"/>
                <w:sz w:val="22"/>
                <w:szCs w:val="22"/>
                <w:lang w:eastAsia="en-US"/>
              </w:rPr>
              <w:t xml:space="preserve">The </w:t>
            </w:r>
            <w:r w:rsidR="00192F4E" w:rsidRPr="00027624">
              <w:rPr>
                <w:rFonts w:eastAsiaTheme="minorHAnsi" w:cs="Calibri"/>
                <w:sz w:val="22"/>
                <w:szCs w:val="22"/>
                <w:lang w:eastAsia="en-US"/>
              </w:rPr>
              <w:t>g</w:t>
            </w:r>
            <w:r w:rsidRPr="00027624">
              <w:rPr>
                <w:rFonts w:eastAsiaTheme="minorHAnsi" w:cs="Calibri"/>
                <w:sz w:val="22"/>
                <w:szCs w:val="22"/>
                <w:lang w:eastAsia="en-US"/>
              </w:rPr>
              <w:t xml:space="preserve">ig </w:t>
            </w:r>
            <w:r w:rsidR="00192F4E" w:rsidRPr="00027624">
              <w:rPr>
                <w:rFonts w:eastAsiaTheme="minorHAnsi" w:cs="Calibri"/>
                <w:sz w:val="22"/>
                <w:szCs w:val="22"/>
                <w:lang w:eastAsia="en-US"/>
              </w:rPr>
              <w:t>e</w:t>
            </w:r>
            <w:r w:rsidRPr="00027624">
              <w:rPr>
                <w:rFonts w:eastAsiaTheme="minorHAnsi" w:cs="Calibri"/>
                <w:sz w:val="22"/>
                <w:szCs w:val="22"/>
                <w:lang w:eastAsia="en-US"/>
              </w:rPr>
              <w:t>conomy provides short</w:t>
            </w:r>
            <w:r w:rsidR="00A8443E" w:rsidRPr="00027624">
              <w:rPr>
                <w:rFonts w:eastAsiaTheme="minorHAnsi" w:cs="Calibri"/>
                <w:sz w:val="22"/>
                <w:szCs w:val="22"/>
                <w:lang w:eastAsia="en-US"/>
              </w:rPr>
              <w:noBreakHyphen/>
            </w:r>
            <w:r w:rsidRPr="00027624">
              <w:rPr>
                <w:rFonts w:eastAsiaTheme="minorHAnsi" w:cs="Calibri"/>
                <w:sz w:val="22"/>
                <w:szCs w:val="22"/>
                <w:lang w:eastAsia="en-US"/>
              </w:rPr>
              <w:t>term, temporary or independent contracts through one or a variety of employers</w:t>
            </w:r>
            <w:r w:rsidRPr="00027624">
              <w:rPr>
                <w:sz w:val="22"/>
                <w:szCs w:val="22"/>
              </w:rPr>
              <w:t>.</w:t>
            </w:r>
          </w:p>
        </w:tc>
      </w:tr>
      <w:tr w:rsidR="00371420" w:rsidRPr="00027624" w14:paraId="3EA8A3ED" w14:textId="77777777" w:rsidTr="00BE51D1">
        <w:trPr>
          <w:cantSplit/>
        </w:trPr>
        <w:tc>
          <w:tcPr>
            <w:tcW w:w="2127" w:type="dxa"/>
            <w:shd w:val="clear" w:color="auto" w:fill="auto"/>
          </w:tcPr>
          <w:p w14:paraId="0B33F36E" w14:textId="77777777" w:rsidR="006F54A7" w:rsidRPr="00027624" w:rsidRDefault="006F54A7" w:rsidP="00BE51D1">
            <w:pPr>
              <w:jc w:val="left"/>
              <w:rPr>
                <w:sz w:val="22"/>
              </w:rPr>
            </w:pPr>
            <w:r w:rsidRPr="00027624">
              <w:rPr>
                <w:sz w:val="22"/>
              </w:rPr>
              <w:t>Gross Domestic Product (GDP)</w:t>
            </w:r>
          </w:p>
        </w:tc>
        <w:tc>
          <w:tcPr>
            <w:tcW w:w="6943" w:type="dxa"/>
            <w:shd w:val="clear" w:color="auto" w:fill="auto"/>
          </w:tcPr>
          <w:p w14:paraId="630E8246" w14:textId="77777777" w:rsidR="006F54A7" w:rsidRPr="00027624" w:rsidRDefault="006F54A7" w:rsidP="00BE51D1">
            <w:pPr>
              <w:jc w:val="left"/>
              <w:rPr>
                <w:sz w:val="22"/>
              </w:rPr>
            </w:pPr>
            <w:r w:rsidRPr="00027624">
              <w:rPr>
                <w:sz w:val="22"/>
              </w:rPr>
              <w:t>The total value of goods and services produced in a country. Commonly used as measure of economic growth.</w:t>
            </w:r>
          </w:p>
        </w:tc>
      </w:tr>
      <w:tr w:rsidR="00BE51D1" w:rsidRPr="00027624" w14:paraId="6E0EFC6F" w14:textId="77777777" w:rsidTr="00BE51D1">
        <w:trPr>
          <w:cantSplit/>
        </w:trPr>
        <w:tc>
          <w:tcPr>
            <w:tcW w:w="2127" w:type="dxa"/>
            <w:shd w:val="clear" w:color="auto" w:fill="auto"/>
          </w:tcPr>
          <w:p w14:paraId="66A59589" w14:textId="77777777" w:rsidR="00BE51D1" w:rsidRPr="00027624" w:rsidRDefault="00BE51D1" w:rsidP="00BE51D1">
            <w:pPr>
              <w:jc w:val="left"/>
              <w:rPr>
                <w:sz w:val="22"/>
              </w:rPr>
            </w:pPr>
            <w:r w:rsidRPr="00027624">
              <w:rPr>
                <w:sz w:val="22"/>
              </w:rPr>
              <w:t>Household(s) aged 65 (and over)</w:t>
            </w:r>
          </w:p>
        </w:tc>
        <w:tc>
          <w:tcPr>
            <w:tcW w:w="6943" w:type="dxa"/>
            <w:shd w:val="clear" w:color="auto" w:fill="auto"/>
          </w:tcPr>
          <w:p w14:paraId="79668BD2" w14:textId="77777777" w:rsidR="00BE51D1" w:rsidRPr="00027624" w:rsidRDefault="00BE51D1" w:rsidP="00BE51D1">
            <w:pPr>
              <w:jc w:val="left"/>
              <w:rPr>
                <w:sz w:val="22"/>
              </w:rPr>
            </w:pPr>
            <w:r w:rsidRPr="00027624">
              <w:rPr>
                <w:sz w:val="22"/>
              </w:rPr>
              <w:t>Households with a reference person (the person in the household selected for the study or survey) aged 65 or over.</w:t>
            </w:r>
          </w:p>
        </w:tc>
      </w:tr>
      <w:tr w:rsidR="00371420" w:rsidRPr="00027624" w14:paraId="5AA27834" w14:textId="77777777" w:rsidTr="00BE51D1">
        <w:trPr>
          <w:cantSplit/>
        </w:trPr>
        <w:tc>
          <w:tcPr>
            <w:tcW w:w="2127" w:type="dxa"/>
            <w:shd w:val="clear" w:color="auto" w:fill="auto"/>
          </w:tcPr>
          <w:p w14:paraId="4FF725FC" w14:textId="77777777" w:rsidR="006F54A7" w:rsidRPr="00027624" w:rsidRDefault="006F54A7" w:rsidP="00BE51D1">
            <w:pPr>
              <w:jc w:val="left"/>
              <w:rPr>
                <w:sz w:val="22"/>
                <w:szCs w:val="22"/>
              </w:rPr>
            </w:pPr>
            <w:r w:rsidRPr="00027624">
              <w:rPr>
                <w:sz w:val="22"/>
              </w:rPr>
              <w:t>Imputed rent</w:t>
            </w:r>
          </w:p>
        </w:tc>
        <w:tc>
          <w:tcPr>
            <w:tcW w:w="6943" w:type="dxa"/>
            <w:shd w:val="clear" w:color="auto" w:fill="auto"/>
          </w:tcPr>
          <w:p w14:paraId="57791188" w14:textId="77777777" w:rsidR="006F54A7" w:rsidRPr="00027624" w:rsidRDefault="006F54A7" w:rsidP="00BE51D1">
            <w:pPr>
              <w:jc w:val="left"/>
              <w:rPr>
                <w:sz w:val="22"/>
                <w:szCs w:val="22"/>
              </w:rPr>
            </w:pPr>
            <w:r w:rsidRPr="00027624">
              <w:rPr>
                <w:sz w:val="22"/>
              </w:rPr>
              <w:t xml:space="preserve">The amount that a home owner saves </w:t>
            </w:r>
            <w:r w:rsidRPr="00027624">
              <w:rPr>
                <w:sz w:val="22"/>
                <w:szCs w:val="22"/>
              </w:rPr>
              <w:t xml:space="preserve">in terms of lower housing costs </w:t>
            </w:r>
            <w:r w:rsidRPr="00027624">
              <w:rPr>
                <w:sz w:val="22"/>
              </w:rPr>
              <w:t>by not paying rent for housing.</w:t>
            </w:r>
          </w:p>
        </w:tc>
      </w:tr>
      <w:tr w:rsidR="00371420" w:rsidRPr="00027624" w14:paraId="1A55AEFC" w14:textId="77777777" w:rsidTr="00BE51D1">
        <w:trPr>
          <w:cantSplit/>
        </w:trPr>
        <w:tc>
          <w:tcPr>
            <w:tcW w:w="2127" w:type="dxa"/>
            <w:shd w:val="clear" w:color="auto" w:fill="auto"/>
          </w:tcPr>
          <w:p w14:paraId="25EA4F04" w14:textId="77777777" w:rsidR="006F54A7" w:rsidRPr="00027624" w:rsidRDefault="006F54A7" w:rsidP="00BE51D1">
            <w:pPr>
              <w:jc w:val="left"/>
              <w:rPr>
                <w:sz w:val="22"/>
                <w:szCs w:val="22"/>
              </w:rPr>
            </w:pPr>
            <w:r w:rsidRPr="00027624">
              <w:rPr>
                <w:sz w:val="22"/>
                <w:szCs w:val="22"/>
              </w:rPr>
              <w:t>Income/Income distribution</w:t>
            </w:r>
          </w:p>
        </w:tc>
        <w:tc>
          <w:tcPr>
            <w:tcW w:w="6943" w:type="dxa"/>
            <w:shd w:val="clear" w:color="auto" w:fill="auto"/>
          </w:tcPr>
          <w:p w14:paraId="28E6040D" w14:textId="77777777" w:rsidR="009F3B0F" w:rsidRPr="00027624" w:rsidRDefault="006F54A7" w:rsidP="00BE51D1">
            <w:pPr>
              <w:jc w:val="left"/>
              <w:rPr>
                <w:sz w:val="22"/>
                <w:szCs w:val="22"/>
              </w:rPr>
            </w:pPr>
            <w:r w:rsidRPr="00027624">
              <w:rPr>
                <w:sz w:val="22"/>
              </w:rPr>
              <w:t xml:space="preserve">For the purpose of the review, unless otherwise defined, income is </w:t>
            </w:r>
            <w:r w:rsidRPr="00027624">
              <w:rPr>
                <w:sz w:val="22"/>
                <w:szCs w:val="22"/>
              </w:rPr>
              <w:t>defined as a person</w:t>
            </w:r>
            <w:r w:rsidR="00A8443E" w:rsidRPr="00027624">
              <w:rPr>
                <w:sz w:val="22"/>
                <w:szCs w:val="22"/>
              </w:rPr>
              <w:t>’</w:t>
            </w:r>
            <w:r w:rsidRPr="00027624">
              <w:rPr>
                <w:sz w:val="22"/>
                <w:szCs w:val="22"/>
              </w:rPr>
              <w:t>s average working</w:t>
            </w:r>
            <w:r w:rsidR="00A8443E" w:rsidRPr="00027624">
              <w:rPr>
                <w:sz w:val="22"/>
                <w:szCs w:val="22"/>
              </w:rPr>
              <w:noBreakHyphen/>
            </w:r>
            <w:r w:rsidRPr="00027624">
              <w:rPr>
                <w:sz w:val="22"/>
                <w:szCs w:val="22"/>
              </w:rPr>
              <w:t>life income (wage deflated)</w:t>
            </w:r>
            <w:r w:rsidR="00303BD8" w:rsidRPr="00027624">
              <w:rPr>
                <w:sz w:val="22"/>
                <w:szCs w:val="22"/>
              </w:rPr>
              <w:t>. F</w:t>
            </w:r>
            <w:r w:rsidR="00415D3E" w:rsidRPr="00027624">
              <w:rPr>
                <w:sz w:val="22"/>
                <w:szCs w:val="22"/>
              </w:rPr>
              <w:t>or</w:t>
            </w:r>
            <w:r w:rsidR="00303BD8" w:rsidRPr="00027624">
              <w:rPr>
                <w:sz w:val="22"/>
                <w:szCs w:val="22"/>
              </w:rPr>
              <w:t xml:space="preserve"> </w:t>
            </w:r>
            <w:r w:rsidR="00415D3E" w:rsidRPr="00027624">
              <w:rPr>
                <w:sz w:val="22"/>
                <w:szCs w:val="22"/>
              </w:rPr>
              <w:t>retirement</w:t>
            </w:r>
            <w:r w:rsidRPr="00027624">
              <w:rPr>
                <w:sz w:val="22"/>
                <w:szCs w:val="22"/>
              </w:rPr>
              <w:t xml:space="preserve"> </w:t>
            </w:r>
            <w:r w:rsidR="00415D3E" w:rsidRPr="00027624">
              <w:rPr>
                <w:sz w:val="22"/>
                <w:szCs w:val="22"/>
              </w:rPr>
              <w:t>c</w:t>
            </w:r>
            <w:r w:rsidR="009F3B0F" w:rsidRPr="00027624">
              <w:rPr>
                <w:sz w:val="22"/>
                <w:szCs w:val="22"/>
              </w:rPr>
              <w:t>ameo modelling undertaken for the review, income is disposable (after tax) unless explicitly stated otherwise.</w:t>
            </w:r>
          </w:p>
          <w:p w14:paraId="1B363806" w14:textId="77777777" w:rsidR="006F54A7" w:rsidRPr="00027624" w:rsidRDefault="006F54A7" w:rsidP="00BE51D1">
            <w:pPr>
              <w:jc w:val="left"/>
              <w:rPr>
                <w:sz w:val="22"/>
                <w:szCs w:val="22"/>
              </w:rPr>
            </w:pPr>
            <w:r w:rsidRPr="00027624">
              <w:rPr>
                <w:sz w:val="22"/>
                <w:szCs w:val="22"/>
              </w:rPr>
              <w:t>Reference</w:t>
            </w:r>
            <w:r w:rsidR="00D104F1" w:rsidRPr="00027624">
              <w:rPr>
                <w:sz w:val="22"/>
                <w:szCs w:val="22"/>
              </w:rPr>
              <w:t>s</w:t>
            </w:r>
            <w:r w:rsidRPr="00027624">
              <w:rPr>
                <w:sz w:val="22"/>
                <w:szCs w:val="22"/>
              </w:rPr>
              <w:t xml:space="preserve"> to income distribution across </w:t>
            </w:r>
            <w:r w:rsidR="00143592" w:rsidRPr="00027624">
              <w:rPr>
                <w:sz w:val="22"/>
                <w:szCs w:val="22"/>
              </w:rPr>
              <w:t>working lives</w:t>
            </w:r>
            <w:r w:rsidRPr="00027624">
              <w:rPr>
                <w:sz w:val="22"/>
                <w:szCs w:val="22"/>
              </w:rPr>
              <w:t xml:space="preserve"> are determined using income data collected by the ATO.</w:t>
            </w:r>
          </w:p>
          <w:p w14:paraId="0A0FF4BB" w14:textId="77777777" w:rsidR="006F54A7" w:rsidRPr="00027624" w:rsidRDefault="006F54A7" w:rsidP="00BE51D1">
            <w:pPr>
              <w:jc w:val="left"/>
              <w:rPr>
                <w:sz w:val="22"/>
                <w:szCs w:val="22"/>
              </w:rPr>
            </w:pPr>
            <w:r w:rsidRPr="00027624">
              <w:rPr>
                <w:sz w:val="22"/>
                <w:szCs w:val="22"/>
              </w:rPr>
              <w:t>Lower</w:t>
            </w:r>
            <w:r w:rsidR="00A8443E" w:rsidRPr="00027624">
              <w:rPr>
                <w:sz w:val="22"/>
                <w:szCs w:val="22"/>
              </w:rPr>
              <w:noBreakHyphen/>
            </w:r>
            <w:r w:rsidRPr="00027624">
              <w:rPr>
                <w:sz w:val="22"/>
                <w:szCs w:val="22"/>
              </w:rPr>
              <w:t>income/Lower</w:t>
            </w:r>
            <w:r w:rsidR="00A8443E" w:rsidRPr="00027624">
              <w:rPr>
                <w:sz w:val="22"/>
                <w:szCs w:val="22"/>
              </w:rPr>
              <w:noBreakHyphen/>
            </w:r>
            <w:r w:rsidRPr="00027624">
              <w:rPr>
                <w:sz w:val="22"/>
                <w:szCs w:val="22"/>
              </w:rPr>
              <w:t>end of the income distribution</w:t>
            </w:r>
            <w:r w:rsidR="00A8443E" w:rsidRPr="00027624">
              <w:rPr>
                <w:sz w:val="22"/>
                <w:szCs w:val="22"/>
              </w:rPr>
              <w:t xml:space="preserve"> — </w:t>
            </w:r>
            <w:r w:rsidRPr="00027624">
              <w:rPr>
                <w:sz w:val="22"/>
                <w:szCs w:val="22"/>
              </w:rPr>
              <w:t>people earning in the bottom 30</w:t>
            </w:r>
            <w:r w:rsidR="00832AFE" w:rsidRPr="00027624">
              <w:rPr>
                <w:sz w:val="22"/>
                <w:szCs w:val="22"/>
              </w:rPr>
              <w:t> </w:t>
            </w:r>
            <w:r w:rsidRPr="00027624">
              <w:rPr>
                <w:sz w:val="22"/>
                <w:szCs w:val="22"/>
              </w:rPr>
              <w:t>per</w:t>
            </w:r>
            <w:r w:rsidR="00832AFE" w:rsidRPr="00027624">
              <w:rPr>
                <w:sz w:val="22"/>
                <w:szCs w:val="22"/>
              </w:rPr>
              <w:t> </w:t>
            </w:r>
            <w:r w:rsidRPr="00027624">
              <w:rPr>
                <w:sz w:val="22"/>
                <w:szCs w:val="22"/>
              </w:rPr>
              <w:t>cent of the income distribution.</w:t>
            </w:r>
          </w:p>
          <w:p w14:paraId="212C6667" w14:textId="77777777" w:rsidR="006F54A7" w:rsidRPr="00027624" w:rsidRDefault="006F54A7" w:rsidP="00BE51D1">
            <w:pPr>
              <w:jc w:val="left"/>
              <w:rPr>
                <w:sz w:val="22"/>
                <w:szCs w:val="22"/>
              </w:rPr>
            </w:pPr>
            <w:r w:rsidRPr="00027624">
              <w:rPr>
                <w:sz w:val="22"/>
                <w:szCs w:val="22"/>
              </w:rPr>
              <w:t>Middle</w:t>
            </w:r>
            <w:r w:rsidR="00A8443E" w:rsidRPr="00027624">
              <w:rPr>
                <w:sz w:val="22"/>
                <w:szCs w:val="22"/>
              </w:rPr>
              <w:noBreakHyphen/>
            </w:r>
            <w:r w:rsidRPr="00027624">
              <w:rPr>
                <w:sz w:val="22"/>
                <w:szCs w:val="22"/>
              </w:rPr>
              <w:t>income/Middle of the income distribution</w:t>
            </w:r>
            <w:r w:rsidR="00A8443E" w:rsidRPr="00027624">
              <w:rPr>
                <w:sz w:val="22"/>
                <w:szCs w:val="22"/>
              </w:rPr>
              <w:t xml:space="preserve"> — </w:t>
            </w:r>
            <w:r w:rsidRPr="00027624">
              <w:rPr>
                <w:sz w:val="22"/>
                <w:szCs w:val="22"/>
              </w:rPr>
              <w:t>people earning between 30</w:t>
            </w:r>
            <w:r w:rsidR="00832AFE" w:rsidRPr="00027624">
              <w:rPr>
                <w:sz w:val="22"/>
                <w:szCs w:val="22"/>
              </w:rPr>
              <w:t> </w:t>
            </w:r>
            <w:r w:rsidRPr="00027624">
              <w:rPr>
                <w:sz w:val="22"/>
                <w:szCs w:val="22"/>
              </w:rPr>
              <w:t>and</w:t>
            </w:r>
            <w:r w:rsidR="00832AFE" w:rsidRPr="00027624">
              <w:rPr>
                <w:sz w:val="22"/>
                <w:szCs w:val="22"/>
              </w:rPr>
              <w:t> </w:t>
            </w:r>
            <w:r w:rsidRPr="00027624">
              <w:rPr>
                <w:sz w:val="22"/>
                <w:szCs w:val="22"/>
              </w:rPr>
              <w:t>80</w:t>
            </w:r>
            <w:r w:rsidR="00832AFE" w:rsidRPr="00027624">
              <w:rPr>
                <w:sz w:val="22"/>
                <w:szCs w:val="22"/>
              </w:rPr>
              <w:t> </w:t>
            </w:r>
            <w:r w:rsidRPr="00027624">
              <w:rPr>
                <w:sz w:val="22"/>
                <w:szCs w:val="22"/>
              </w:rPr>
              <w:t>per</w:t>
            </w:r>
            <w:r w:rsidR="00832AFE" w:rsidRPr="00027624">
              <w:rPr>
                <w:sz w:val="22"/>
                <w:szCs w:val="22"/>
              </w:rPr>
              <w:t> </w:t>
            </w:r>
            <w:r w:rsidRPr="00027624">
              <w:rPr>
                <w:sz w:val="22"/>
                <w:szCs w:val="22"/>
              </w:rPr>
              <w:t>cent of the income distribution.</w:t>
            </w:r>
          </w:p>
          <w:p w14:paraId="3F61474C" w14:textId="77777777" w:rsidR="006F54A7" w:rsidRPr="00027624" w:rsidRDefault="006F54A7" w:rsidP="00BE51D1">
            <w:pPr>
              <w:jc w:val="left"/>
              <w:rPr>
                <w:sz w:val="22"/>
                <w:szCs w:val="22"/>
              </w:rPr>
            </w:pPr>
            <w:r w:rsidRPr="00027624">
              <w:rPr>
                <w:sz w:val="22"/>
                <w:szCs w:val="22"/>
              </w:rPr>
              <w:t>Higher</w:t>
            </w:r>
            <w:r w:rsidR="00A8443E" w:rsidRPr="00027624">
              <w:rPr>
                <w:sz w:val="22"/>
                <w:szCs w:val="22"/>
              </w:rPr>
              <w:noBreakHyphen/>
            </w:r>
            <w:r w:rsidRPr="00027624">
              <w:rPr>
                <w:sz w:val="22"/>
                <w:szCs w:val="22"/>
              </w:rPr>
              <w:t>income/Higher</w:t>
            </w:r>
            <w:r w:rsidR="00A8443E" w:rsidRPr="00027624">
              <w:rPr>
                <w:sz w:val="22"/>
                <w:szCs w:val="22"/>
              </w:rPr>
              <w:noBreakHyphen/>
            </w:r>
            <w:r w:rsidRPr="00027624">
              <w:rPr>
                <w:sz w:val="22"/>
                <w:szCs w:val="22"/>
              </w:rPr>
              <w:t>end of the income distribution</w:t>
            </w:r>
            <w:r w:rsidR="00A8443E" w:rsidRPr="00027624">
              <w:rPr>
                <w:sz w:val="22"/>
                <w:szCs w:val="22"/>
              </w:rPr>
              <w:t xml:space="preserve"> — </w:t>
            </w:r>
            <w:r w:rsidRPr="00027624">
              <w:rPr>
                <w:sz w:val="22"/>
                <w:szCs w:val="22"/>
              </w:rPr>
              <w:t>people earning in the top 20</w:t>
            </w:r>
            <w:r w:rsidR="00832AFE" w:rsidRPr="00027624">
              <w:rPr>
                <w:sz w:val="22"/>
                <w:szCs w:val="22"/>
              </w:rPr>
              <w:t> </w:t>
            </w:r>
            <w:r w:rsidRPr="00027624">
              <w:rPr>
                <w:sz w:val="22"/>
                <w:szCs w:val="22"/>
              </w:rPr>
              <w:t>per</w:t>
            </w:r>
            <w:r w:rsidR="00832AFE" w:rsidRPr="00027624">
              <w:rPr>
                <w:sz w:val="22"/>
                <w:szCs w:val="22"/>
              </w:rPr>
              <w:t> </w:t>
            </w:r>
            <w:r w:rsidRPr="00027624">
              <w:rPr>
                <w:sz w:val="22"/>
                <w:szCs w:val="22"/>
              </w:rPr>
              <w:t>cent of the income distribution.</w:t>
            </w:r>
          </w:p>
          <w:p w14:paraId="11F90C33" w14:textId="77777777" w:rsidR="006F54A7" w:rsidRPr="00027624" w:rsidRDefault="006F54A7" w:rsidP="00BE51D1">
            <w:pPr>
              <w:jc w:val="left"/>
              <w:rPr>
                <w:sz w:val="22"/>
              </w:rPr>
            </w:pPr>
            <w:r w:rsidRPr="00027624">
              <w:rPr>
                <w:sz w:val="22"/>
                <w:szCs w:val="22"/>
              </w:rPr>
              <w:t>Greater detail of the specifics and methodology underpinning the review</w:t>
            </w:r>
            <w:r w:rsidR="00A8443E" w:rsidRPr="00027624">
              <w:rPr>
                <w:sz w:val="22"/>
                <w:szCs w:val="22"/>
              </w:rPr>
              <w:t>’</w:t>
            </w:r>
            <w:r w:rsidRPr="00027624">
              <w:rPr>
                <w:sz w:val="22"/>
                <w:szCs w:val="22"/>
              </w:rPr>
              <w:t xml:space="preserve">s definition of income can be found </w:t>
            </w:r>
            <w:r w:rsidR="0051410B" w:rsidRPr="00027624">
              <w:rPr>
                <w:sz w:val="22"/>
                <w:szCs w:val="22"/>
              </w:rPr>
              <w:t xml:space="preserve">below </w:t>
            </w:r>
            <w:r w:rsidRPr="00027624">
              <w:rPr>
                <w:sz w:val="22"/>
                <w:szCs w:val="22"/>
              </w:rPr>
              <w:t xml:space="preserve">in </w:t>
            </w:r>
            <w:r w:rsidR="0051410B" w:rsidRPr="00027624">
              <w:rPr>
                <w:i/>
                <w:sz w:val="22"/>
                <w:szCs w:val="22"/>
              </w:rPr>
              <w:t>Income groups in the review</w:t>
            </w:r>
            <w:r w:rsidRPr="00027624">
              <w:rPr>
                <w:sz w:val="22"/>
                <w:szCs w:val="22"/>
              </w:rPr>
              <w:t xml:space="preserve"> and </w:t>
            </w:r>
            <w:r w:rsidRPr="00027624">
              <w:rPr>
                <w:i/>
                <w:sz w:val="22"/>
                <w:szCs w:val="22"/>
              </w:rPr>
              <w:t>Appendix 6</w:t>
            </w:r>
            <w:r w:rsidR="009E04D7" w:rsidRPr="00027624">
              <w:rPr>
                <w:i/>
                <w:sz w:val="22"/>
                <w:szCs w:val="22"/>
              </w:rPr>
              <w:t>A</w:t>
            </w:r>
            <w:r w:rsidRPr="00027624">
              <w:rPr>
                <w:i/>
                <w:sz w:val="22"/>
                <w:szCs w:val="22"/>
              </w:rPr>
              <w:t>. Detailed modelling methods and assumptions</w:t>
            </w:r>
            <w:r w:rsidRPr="00027624">
              <w:rPr>
                <w:sz w:val="22"/>
                <w:szCs w:val="22"/>
              </w:rPr>
              <w:t>.</w:t>
            </w:r>
          </w:p>
        </w:tc>
      </w:tr>
      <w:tr w:rsidR="00371420" w:rsidRPr="00027624" w14:paraId="5A548A08" w14:textId="77777777" w:rsidTr="00BE51D1">
        <w:trPr>
          <w:cantSplit/>
        </w:trPr>
        <w:tc>
          <w:tcPr>
            <w:tcW w:w="2127" w:type="dxa"/>
            <w:shd w:val="clear" w:color="auto" w:fill="auto"/>
          </w:tcPr>
          <w:p w14:paraId="6426C4B3" w14:textId="77777777" w:rsidR="00547B47" w:rsidRPr="00027624" w:rsidDel="00547B47" w:rsidRDefault="00547B47" w:rsidP="00BE51D1">
            <w:pPr>
              <w:jc w:val="left"/>
              <w:rPr>
                <w:sz w:val="22"/>
                <w:szCs w:val="22"/>
              </w:rPr>
            </w:pPr>
            <w:r w:rsidRPr="00027624">
              <w:rPr>
                <w:sz w:val="22"/>
                <w:szCs w:val="22"/>
              </w:rPr>
              <w:t>Income test cut</w:t>
            </w:r>
            <w:r w:rsidR="00A8443E" w:rsidRPr="00027624">
              <w:rPr>
                <w:sz w:val="22"/>
                <w:szCs w:val="22"/>
              </w:rPr>
              <w:noBreakHyphen/>
            </w:r>
            <w:r w:rsidRPr="00027624">
              <w:rPr>
                <w:sz w:val="22"/>
                <w:szCs w:val="22"/>
              </w:rPr>
              <w:t>off value</w:t>
            </w:r>
          </w:p>
        </w:tc>
        <w:tc>
          <w:tcPr>
            <w:tcW w:w="6943" w:type="dxa"/>
            <w:shd w:val="clear" w:color="auto" w:fill="auto"/>
          </w:tcPr>
          <w:p w14:paraId="3E54E7FC" w14:textId="77777777" w:rsidR="00547B47" w:rsidRPr="00027624" w:rsidDel="00547B47" w:rsidRDefault="00547B47" w:rsidP="00BE51D1">
            <w:pPr>
              <w:spacing w:after="0"/>
              <w:jc w:val="left"/>
              <w:rPr>
                <w:sz w:val="22"/>
                <w:szCs w:val="22"/>
              </w:rPr>
            </w:pPr>
            <w:r w:rsidRPr="00027624">
              <w:rPr>
                <w:sz w:val="22"/>
                <w:szCs w:val="22"/>
              </w:rPr>
              <w:t xml:space="preserve">The maximum amount of assessable income a person can receive before they become ineligible for the payment. A person </w:t>
            </w:r>
            <w:r w:rsidR="00104167" w:rsidRPr="00027624">
              <w:rPr>
                <w:sz w:val="22"/>
                <w:szCs w:val="22"/>
              </w:rPr>
              <w:t>with</w:t>
            </w:r>
            <w:r w:rsidRPr="00027624">
              <w:rPr>
                <w:sz w:val="22"/>
                <w:szCs w:val="22"/>
              </w:rPr>
              <w:t xml:space="preserve"> assessable income above the cut</w:t>
            </w:r>
            <w:r w:rsidR="00A8443E" w:rsidRPr="00027624">
              <w:rPr>
                <w:sz w:val="22"/>
                <w:szCs w:val="22"/>
              </w:rPr>
              <w:noBreakHyphen/>
            </w:r>
            <w:r w:rsidRPr="00027624">
              <w:rPr>
                <w:sz w:val="22"/>
                <w:szCs w:val="22"/>
              </w:rPr>
              <w:t>off value will be ineligible for the payment under the income test.</w:t>
            </w:r>
          </w:p>
        </w:tc>
      </w:tr>
      <w:tr w:rsidR="00371420" w:rsidRPr="00027624" w14:paraId="7A892211" w14:textId="77777777" w:rsidTr="00BE51D1">
        <w:trPr>
          <w:cantSplit/>
        </w:trPr>
        <w:tc>
          <w:tcPr>
            <w:tcW w:w="2127" w:type="dxa"/>
            <w:shd w:val="clear" w:color="auto" w:fill="auto"/>
          </w:tcPr>
          <w:p w14:paraId="78404CCA" w14:textId="77777777" w:rsidR="00547B47" w:rsidRPr="00027624" w:rsidRDefault="00547B47" w:rsidP="00BE51D1">
            <w:pPr>
              <w:jc w:val="left"/>
              <w:rPr>
                <w:sz w:val="22"/>
                <w:szCs w:val="22"/>
              </w:rPr>
            </w:pPr>
            <w:r w:rsidRPr="00027624">
              <w:rPr>
                <w:sz w:val="22"/>
                <w:szCs w:val="22"/>
              </w:rPr>
              <w:t>Income test free area</w:t>
            </w:r>
          </w:p>
        </w:tc>
        <w:tc>
          <w:tcPr>
            <w:tcW w:w="6943" w:type="dxa"/>
            <w:shd w:val="clear" w:color="auto" w:fill="auto"/>
          </w:tcPr>
          <w:p w14:paraId="55CED333" w14:textId="77777777" w:rsidR="00547B47" w:rsidRPr="00027624" w:rsidRDefault="00547B47" w:rsidP="00BE51D1">
            <w:pPr>
              <w:jc w:val="left"/>
              <w:rPr>
                <w:sz w:val="22"/>
                <w:szCs w:val="22"/>
              </w:rPr>
            </w:pPr>
            <w:r w:rsidRPr="00027624">
              <w:rPr>
                <w:sz w:val="22"/>
                <w:szCs w:val="22"/>
              </w:rPr>
              <w:t xml:space="preserve">The maximum amount of assessable income a person can receive before their payment is reduced. A person </w:t>
            </w:r>
            <w:r w:rsidR="00104167" w:rsidRPr="00027624">
              <w:rPr>
                <w:sz w:val="22"/>
                <w:szCs w:val="22"/>
              </w:rPr>
              <w:t>with</w:t>
            </w:r>
            <w:r w:rsidRPr="00027624">
              <w:rPr>
                <w:sz w:val="22"/>
                <w:szCs w:val="22"/>
              </w:rPr>
              <w:t xml:space="preserve"> assessable income of less than or equal to the free area amount will be eligible for the maximum rate of the payment under the income test.</w:t>
            </w:r>
          </w:p>
        </w:tc>
      </w:tr>
      <w:tr w:rsidR="00371420" w:rsidRPr="00027624" w14:paraId="3BFF51DB" w14:textId="77777777" w:rsidTr="00BE51D1">
        <w:trPr>
          <w:cantSplit/>
        </w:trPr>
        <w:tc>
          <w:tcPr>
            <w:tcW w:w="2127" w:type="dxa"/>
            <w:shd w:val="clear" w:color="auto" w:fill="auto"/>
          </w:tcPr>
          <w:p w14:paraId="79ECDE82" w14:textId="77777777" w:rsidR="00547B47" w:rsidRPr="00027624" w:rsidRDefault="00547B47" w:rsidP="00BE51D1">
            <w:pPr>
              <w:jc w:val="left"/>
              <w:rPr>
                <w:sz w:val="22"/>
              </w:rPr>
            </w:pPr>
            <w:r w:rsidRPr="00027624">
              <w:rPr>
                <w:sz w:val="22"/>
              </w:rPr>
              <w:t>Intergenerational report</w:t>
            </w:r>
          </w:p>
        </w:tc>
        <w:tc>
          <w:tcPr>
            <w:tcW w:w="6943" w:type="dxa"/>
            <w:shd w:val="clear" w:color="auto" w:fill="auto"/>
          </w:tcPr>
          <w:p w14:paraId="0F2116A4" w14:textId="77777777" w:rsidR="00547B47" w:rsidRPr="00027624" w:rsidRDefault="00547B47" w:rsidP="00BE51D1">
            <w:pPr>
              <w:jc w:val="left"/>
              <w:rPr>
                <w:sz w:val="22"/>
              </w:rPr>
            </w:pPr>
            <w:r w:rsidRPr="00027624">
              <w:rPr>
                <w:sz w:val="22"/>
              </w:rPr>
              <w:t xml:space="preserve">The </w:t>
            </w:r>
            <w:r w:rsidR="008E4763" w:rsidRPr="00027624">
              <w:rPr>
                <w:sz w:val="22"/>
              </w:rPr>
              <w:t xml:space="preserve">Commonwealth </w:t>
            </w:r>
            <w:r w:rsidRPr="00027624">
              <w:rPr>
                <w:sz w:val="22"/>
              </w:rPr>
              <w:t>Government releases an Intergenerational Report every five years</w:t>
            </w:r>
            <w:r w:rsidR="001C1786" w:rsidRPr="00027624">
              <w:rPr>
                <w:sz w:val="22"/>
              </w:rPr>
              <w:t>,</w:t>
            </w:r>
            <w:r w:rsidRPr="00027624">
              <w:rPr>
                <w:sz w:val="22"/>
              </w:rPr>
              <w:t xml:space="preserve"> which assesses the long</w:t>
            </w:r>
            <w:r w:rsidR="00A8443E" w:rsidRPr="00027624">
              <w:rPr>
                <w:sz w:val="22"/>
              </w:rPr>
              <w:noBreakHyphen/>
            </w:r>
            <w:r w:rsidRPr="00027624">
              <w:rPr>
                <w:sz w:val="22"/>
              </w:rPr>
              <w:t>term fiscal sustainability of Government policies. Intergenerational Reports have previously been released in 2002, 2007, 2010 and 2015</w:t>
            </w:r>
            <w:r w:rsidR="001C1786" w:rsidRPr="00027624">
              <w:rPr>
                <w:sz w:val="22"/>
              </w:rPr>
              <w:t>.</w:t>
            </w:r>
            <w:r w:rsidRPr="00027624">
              <w:rPr>
                <w:sz w:val="22"/>
              </w:rPr>
              <w:t xml:space="preserve"> </w:t>
            </w:r>
            <w:r w:rsidR="001C1786" w:rsidRPr="00027624">
              <w:rPr>
                <w:sz w:val="22"/>
              </w:rPr>
              <w:t>T</w:t>
            </w:r>
            <w:r w:rsidR="001E0141" w:rsidRPr="00027624">
              <w:rPr>
                <w:sz w:val="22"/>
              </w:rPr>
              <w:t>he</w:t>
            </w:r>
            <w:r w:rsidRPr="00027624">
              <w:rPr>
                <w:sz w:val="22"/>
              </w:rPr>
              <w:t xml:space="preserve"> next report </w:t>
            </w:r>
            <w:r w:rsidR="001C1786" w:rsidRPr="00027624">
              <w:rPr>
                <w:sz w:val="22"/>
              </w:rPr>
              <w:t>is</w:t>
            </w:r>
            <w:r w:rsidR="00AF3453" w:rsidRPr="00027624">
              <w:rPr>
                <w:sz w:val="22"/>
              </w:rPr>
              <w:t xml:space="preserve"> </w:t>
            </w:r>
            <w:r w:rsidRPr="00027624">
              <w:rPr>
                <w:sz w:val="22"/>
              </w:rPr>
              <w:t>due to be released in 2</w:t>
            </w:r>
            <w:r w:rsidR="00AF3453" w:rsidRPr="00027624">
              <w:rPr>
                <w:sz w:val="22"/>
              </w:rPr>
              <w:t>021</w:t>
            </w:r>
            <w:r w:rsidRPr="00027624">
              <w:rPr>
                <w:sz w:val="22"/>
              </w:rPr>
              <w:t>.</w:t>
            </w:r>
          </w:p>
          <w:p w14:paraId="036E5D56" w14:textId="77777777" w:rsidR="00547B47" w:rsidRPr="00027624" w:rsidRDefault="00547B47" w:rsidP="00BE51D1">
            <w:pPr>
              <w:jc w:val="left"/>
              <w:rPr>
                <w:sz w:val="22"/>
              </w:rPr>
            </w:pPr>
            <w:r w:rsidRPr="00027624">
              <w:rPr>
                <w:sz w:val="22"/>
              </w:rPr>
              <w:t>Intergenerational Reports provide a basis for considering the Commonwealth</w:t>
            </w:r>
            <w:r w:rsidR="00A8443E" w:rsidRPr="00027624">
              <w:rPr>
                <w:sz w:val="22"/>
              </w:rPr>
              <w:t>’</w:t>
            </w:r>
            <w:r w:rsidRPr="00027624">
              <w:rPr>
                <w:sz w:val="22"/>
              </w:rPr>
              <w:t>s fiscal outlook over the next 40 years and identifying the implications of demographic, population and workforce participation changes over time.</w:t>
            </w:r>
          </w:p>
        </w:tc>
      </w:tr>
      <w:tr w:rsidR="00371420" w:rsidRPr="00027624" w14:paraId="2773E4AF" w14:textId="77777777" w:rsidTr="00BE51D1">
        <w:trPr>
          <w:cantSplit/>
        </w:trPr>
        <w:tc>
          <w:tcPr>
            <w:tcW w:w="2127" w:type="dxa"/>
            <w:shd w:val="clear" w:color="auto" w:fill="auto"/>
          </w:tcPr>
          <w:p w14:paraId="4CF41F71" w14:textId="77777777" w:rsidR="00547B47" w:rsidRPr="00027624" w:rsidRDefault="00547B47" w:rsidP="00BE51D1">
            <w:pPr>
              <w:jc w:val="left"/>
            </w:pPr>
            <w:r w:rsidRPr="00027624">
              <w:rPr>
                <w:iCs/>
                <w:sz w:val="22"/>
              </w:rPr>
              <w:t>Investment risk</w:t>
            </w:r>
          </w:p>
        </w:tc>
        <w:tc>
          <w:tcPr>
            <w:tcW w:w="6943" w:type="dxa"/>
            <w:shd w:val="clear" w:color="auto" w:fill="auto"/>
          </w:tcPr>
          <w:p w14:paraId="4C670692" w14:textId="77777777" w:rsidR="00547B47" w:rsidRPr="00027624" w:rsidRDefault="00192F4E" w:rsidP="00BE51D1">
            <w:pPr>
              <w:jc w:val="left"/>
            </w:pPr>
            <w:r w:rsidRPr="00027624">
              <w:rPr>
                <w:sz w:val="22"/>
              </w:rPr>
              <w:t>Investment risk relates to variability in returns and the possibility that returns on investments are below expectations.</w:t>
            </w:r>
          </w:p>
        </w:tc>
      </w:tr>
      <w:tr w:rsidR="00371420" w:rsidRPr="00027624" w14:paraId="2A18D8BA" w14:textId="77777777" w:rsidTr="00BE51D1">
        <w:trPr>
          <w:cantSplit/>
        </w:trPr>
        <w:tc>
          <w:tcPr>
            <w:tcW w:w="2127" w:type="dxa"/>
            <w:shd w:val="clear" w:color="auto" w:fill="auto"/>
          </w:tcPr>
          <w:p w14:paraId="2418D8A8" w14:textId="77777777" w:rsidR="00547B47" w:rsidRPr="00027624" w:rsidRDefault="00547B47" w:rsidP="00BE51D1">
            <w:pPr>
              <w:jc w:val="left"/>
              <w:rPr>
                <w:sz w:val="22"/>
                <w:szCs w:val="22"/>
              </w:rPr>
            </w:pPr>
            <w:r w:rsidRPr="00027624">
              <w:rPr>
                <w:sz w:val="22"/>
                <w:szCs w:val="22"/>
              </w:rPr>
              <w:lastRenderedPageBreak/>
              <w:t xml:space="preserve">JobSeeker </w:t>
            </w:r>
            <w:r w:rsidR="001F2795" w:rsidRPr="00027624">
              <w:rPr>
                <w:sz w:val="22"/>
                <w:szCs w:val="22"/>
              </w:rPr>
              <w:t>Payment</w:t>
            </w:r>
          </w:p>
        </w:tc>
        <w:tc>
          <w:tcPr>
            <w:tcW w:w="6943" w:type="dxa"/>
            <w:shd w:val="clear" w:color="auto" w:fill="auto"/>
          </w:tcPr>
          <w:p w14:paraId="683C58A8" w14:textId="77777777" w:rsidR="00547B47" w:rsidRPr="00027624" w:rsidRDefault="00547B47" w:rsidP="00BE51D1">
            <w:pPr>
              <w:jc w:val="left"/>
              <w:rPr>
                <w:iCs/>
                <w:sz w:val="22"/>
              </w:rPr>
            </w:pPr>
            <w:r w:rsidRPr="00027624">
              <w:rPr>
                <w:iCs/>
                <w:sz w:val="22"/>
              </w:rPr>
              <w:t>A means</w:t>
            </w:r>
            <w:r w:rsidR="00A8443E" w:rsidRPr="00027624">
              <w:rPr>
                <w:iCs/>
                <w:sz w:val="22"/>
              </w:rPr>
              <w:noBreakHyphen/>
            </w:r>
            <w:r w:rsidRPr="00027624">
              <w:rPr>
                <w:iCs/>
                <w:sz w:val="22"/>
              </w:rPr>
              <w:t xml:space="preserve">tested Commonwealth Government income support payment for unemployed people who are generally of working age. The JobSeeker </w:t>
            </w:r>
            <w:r w:rsidR="001F2795" w:rsidRPr="00027624">
              <w:rPr>
                <w:iCs/>
                <w:sz w:val="22"/>
              </w:rPr>
              <w:t xml:space="preserve">Payment </w:t>
            </w:r>
            <w:r w:rsidRPr="00027624">
              <w:rPr>
                <w:iCs/>
                <w:sz w:val="22"/>
              </w:rPr>
              <w:t>replaced the payment formerly known as Newstart Allowance on 20 March 2020.</w:t>
            </w:r>
          </w:p>
          <w:p w14:paraId="6E2204A3" w14:textId="77777777" w:rsidR="00547B47" w:rsidRPr="00027624" w:rsidRDefault="00547B47" w:rsidP="00BE51D1">
            <w:pPr>
              <w:jc w:val="left"/>
              <w:rPr>
                <w:iCs/>
                <w:sz w:val="22"/>
              </w:rPr>
            </w:pPr>
            <w:r w:rsidRPr="00027624">
              <w:rPr>
                <w:sz w:val="22"/>
              </w:rPr>
              <w:t xml:space="preserve">Further information relating to the JobSeeker </w:t>
            </w:r>
            <w:r w:rsidR="00286C15" w:rsidRPr="00027624">
              <w:rPr>
                <w:sz w:val="22"/>
              </w:rPr>
              <w:t xml:space="preserve">Payment </w:t>
            </w:r>
            <w:r w:rsidRPr="00027624">
              <w:rPr>
                <w:sz w:val="22"/>
              </w:rPr>
              <w:t xml:space="preserve">can be found in </w:t>
            </w:r>
            <w:r w:rsidRPr="00027624">
              <w:rPr>
                <w:i/>
                <w:sz w:val="22"/>
              </w:rPr>
              <w:t>3. Equity</w:t>
            </w:r>
            <w:r w:rsidRPr="00027624">
              <w:rPr>
                <w:sz w:val="22"/>
              </w:rPr>
              <w:t>.</w:t>
            </w:r>
          </w:p>
        </w:tc>
      </w:tr>
      <w:tr w:rsidR="00371420" w:rsidRPr="00027624" w14:paraId="57A84D0F" w14:textId="77777777" w:rsidTr="00BE51D1">
        <w:trPr>
          <w:cantSplit/>
        </w:trPr>
        <w:tc>
          <w:tcPr>
            <w:tcW w:w="2127" w:type="dxa"/>
            <w:shd w:val="clear" w:color="auto" w:fill="auto"/>
          </w:tcPr>
          <w:p w14:paraId="163F269F" w14:textId="77777777" w:rsidR="00547B47" w:rsidRPr="00027624" w:rsidRDefault="00547B47" w:rsidP="00BE51D1">
            <w:pPr>
              <w:jc w:val="left"/>
              <w:rPr>
                <w:sz w:val="22"/>
                <w:szCs w:val="22"/>
              </w:rPr>
            </w:pPr>
            <w:r w:rsidRPr="00027624">
              <w:rPr>
                <w:sz w:val="22"/>
                <w:szCs w:val="22"/>
              </w:rPr>
              <w:t>Longevity risk</w:t>
            </w:r>
          </w:p>
        </w:tc>
        <w:tc>
          <w:tcPr>
            <w:tcW w:w="6943" w:type="dxa"/>
            <w:shd w:val="clear" w:color="auto" w:fill="auto"/>
          </w:tcPr>
          <w:p w14:paraId="0FB96D71" w14:textId="77777777" w:rsidR="00547B47" w:rsidRPr="00027624" w:rsidRDefault="00547B47" w:rsidP="00BE51D1">
            <w:pPr>
              <w:jc w:val="left"/>
              <w:rPr>
                <w:iCs/>
                <w:sz w:val="22"/>
                <w:szCs w:val="22"/>
              </w:rPr>
            </w:pPr>
            <w:r w:rsidRPr="00027624">
              <w:rPr>
                <w:iCs/>
                <w:sz w:val="22"/>
                <w:szCs w:val="22"/>
              </w:rPr>
              <w:t>The risk of a person outliving their savings.</w:t>
            </w:r>
          </w:p>
        </w:tc>
      </w:tr>
      <w:tr w:rsidR="00371420" w:rsidRPr="00027624" w14:paraId="4C07F521" w14:textId="77777777" w:rsidTr="00BE51D1">
        <w:trPr>
          <w:cantSplit/>
        </w:trPr>
        <w:tc>
          <w:tcPr>
            <w:tcW w:w="2127" w:type="dxa"/>
            <w:shd w:val="clear" w:color="auto" w:fill="auto"/>
          </w:tcPr>
          <w:p w14:paraId="6EA11D73" w14:textId="77777777" w:rsidR="00547B47" w:rsidRPr="00027624" w:rsidRDefault="00547B47" w:rsidP="00BE51D1">
            <w:pPr>
              <w:jc w:val="left"/>
              <w:rPr>
                <w:sz w:val="22"/>
                <w:szCs w:val="22"/>
              </w:rPr>
            </w:pPr>
            <w:r w:rsidRPr="00027624">
              <w:rPr>
                <w:iCs/>
                <w:sz w:val="22"/>
                <w:szCs w:val="22"/>
              </w:rPr>
              <w:t xml:space="preserve">Low </w:t>
            </w:r>
            <w:r w:rsidR="003F21BD" w:rsidRPr="00027624">
              <w:rPr>
                <w:iCs/>
                <w:sz w:val="22"/>
                <w:szCs w:val="22"/>
              </w:rPr>
              <w:t>income s</w:t>
            </w:r>
            <w:r w:rsidRPr="00027624">
              <w:rPr>
                <w:iCs/>
                <w:sz w:val="22"/>
                <w:szCs w:val="22"/>
              </w:rPr>
              <w:t xml:space="preserve">uperannuation </w:t>
            </w:r>
            <w:r w:rsidR="003F21BD" w:rsidRPr="00027624">
              <w:rPr>
                <w:iCs/>
                <w:sz w:val="22"/>
                <w:szCs w:val="22"/>
              </w:rPr>
              <w:t>t</w:t>
            </w:r>
            <w:r w:rsidRPr="00027624">
              <w:rPr>
                <w:iCs/>
                <w:sz w:val="22"/>
                <w:szCs w:val="22"/>
              </w:rPr>
              <w:t xml:space="preserve">ax </w:t>
            </w:r>
            <w:r w:rsidR="003F21BD" w:rsidRPr="00027624">
              <w:rPr>
                <w:sz w:val="22"/>
                <w:szCs w:val="22"/>
              </w:rPr>
              <w:t>o</w:t>
            </w:r>
            <w:r w:rsidRPr="00027624">
              <w:rPr>
                <w:sz w:val="22"/>
                <w:szCs w:val="22"/>
              </w:rPr>
              <w:t>ffset</w:t>
            </w:r>
          </w:p>
        </w:tc>
        <w:tc>
          <w:tcPr>
            <w:tcW w:w="6943" w:type="dxa"/>
            <w:shd w:val="clear" w:color="auto" w:fill="auto"/>
          </w:tcPr>
          <w:p w14:paraId="35F3BF49" w14:textId="77777777" w:rsidR="00547B47" w:rsidRPr="00027624" w:rsidRDefault="00547B47" w:rsidP="00BE51D1">
            <w:pPr>
              <w:jc w:val="left"/>
              <w:rPr>
                <w:iCs/>
                <w:sz w:val="22"/>
                <w:szCs w:val="22"/>
              </w:rPr>
            </w:pPr>
            <w:r w:rsidRPr="00027624">
              <w:rPr>
                <w:iCs/>
                <w:sz w:val="22"/>
                <w:szCs w:val="22"/>
              </w:rPr>
              <w:t>A superannuation tax offset available to some lower</w:t>
            </w:r>
            <w:r w:rsidR="00A8443E" w:rsidRPr="00027624">
              <w:rPr>
                <w:iCs/>
                <w:sz w:val="22"/>
                <w:szCs w:val="22"/>
              </w:rPr>
              <w:noBreakHyphen/>
            </w:r>
            <w:r w:rsidRPr="00027624">
              <w:rPr>
                <w:iCs/>
                <w:sz w:val="22"/>
                <w:szCs w:val="22"/>
              </w:rPr>
              <w:t>income earners that is usually paid directly into their superannuation accounts.</w:t>
            </w:r>
          </w:p>
          <w:p w14:paraId="62FE2CC2" w14:textId="77777777" w:rsidR="00547B47" w:rsidRPr="00027624" w:rsidRDefault="00547B47" w:rsidP="00BE51D1">
            <w:pPr>
              <w:jc w:val="left"/>
              <w:rPr>
                <w:iCs/>
                <w:sz w:val="22"/>
                <w:szCs w:val="22"/>
              </w:rPr>
            </w:pPr>
            <w:r w:rsidRPr="00027624">
              <w:rPr>
                <w:sz w:val="22"/>
              </w:rPr>
              <w:t xml:space="preserve">Further information relating to the </w:t>
            </w:r>
            <w:r w:rsidR="000D1BCF" w:rsidRPr="00027624">
              <w:rPr>
                <w:sz w:val="22"/>
              </w:rPr>
              <w:t>l</w:t>
            </w:r>
            <w:r w:rsidRPr="00027624">
              <w:rPr>
                <w:sz w:val="22"/>
              </w:rPr>
              <w:t xml:space="preserve">ow </w:t>
            </w:r>
            <w:r w:rsidR="000D1BCF" w:rsidRPr="00027624">
              <w:rPr>
                <w:sz w:val="22"/>
              </w:rPr>
              <w:t>i</w:t>
            </w:r>
            <w:r w:rsidRPr="00027624">
              <w:rPr>
                <w:sz w:val="22"/>
              </w:rPr>
              <w:t xml:space="preserve">ncome </w:t>
            </w:r>
            <w:r w:rsidR="000D1BCF" w:rsidRPr="00027624">
              <w:rPr>
                <w:sz w:val="22"/>
              </w:rPr>
              <w:t>s</w:t>
            </w:r>
            <w:r w:rsidRPr="00027624">
              <w:rPr>
                <w:sz w:val="22"/>
              </w:rPr>
              <w:t xml:space="preserve">uperannuation </w:t>
            </w:r>
            <w:r w:rsidR="000D1BCF" w:rsidRPr="00027624">
              <w:rPr>
                <w:sz w:val="22"/>
              </w:rPr>
              <w:t>t</w:t>
            </w:r>
            <w:r w:rsidRPr="00027624">
              <w:rPr>
                <w:sz w:val="22"/>
              </w:rPr>
              <w:t xml:space="preserve">ax </w:t>
            </w:r>
            <w:r w:rsidR="000D1BCF" w:rsidRPr="00027624">
              <w:rPr>
                <w:sz w:val="22"/>
              </w:rPr>
              <w:t>o</w:t>
            </w:r>
            <w:r w:rsidRPr="00027624">
              <w:rPr>
                <w:sz w:val="22"/>
              </w:rPr>
              <w:t xml:space="preserve">ffset can be found in </w:t>
            </w:r>
            <w:r w:rsidRPr="00027624">
              <w:rPr>
                <w:i/>
                <w:sz w:val="22"/>
              </w:rPr>
              <w:t>1B. Design of Australia</w:t>
            </w:r>
            <w:r w:rsidR="00A8443E" w:rsidRPr="00027624">
              <w:rPr>
                <w:i/>
                <w:sz w:val="22"/>
              </w:rPr>
              <w:t>’</w:t>
            </w:r>
            <w:r w:rsidRPr="00027624">
              <w:rPr>
                <w:i/>
                <w:sz w:val="22"/>
              </w:rPr>
              <w:t>s retirement income system</w:t>
            </w:r>
            <w:r w:rsidRPr="00027624">
              <w:rPr>
                <w:sz w:val="22"/>
              </w:rPr>
              <w:t xml:space="preserve"> and</w:t>
            </w:r>
            <w:r w:rsidRPr="00027624">
              <w:rPr>
                <w:i/>
                <w:sz w:val="22"/>
              </w:rPr>
              <w:t xml:space="preserve"> 3. Equity</w:t>
            </w:r>
            <w:r w:rsidRPr="00027624">
              <w:rPr>
                <w:sz w:val="22"/>
              </w:rPr>
              <w:t>.</w:t>
            </w:r>
          </w:p>
        </w:tc>
      </w:tr>
      <w:tr w:rsidR="00371420" w:rsidRPr="00027624" w14:paraId="7A909FDA" w14:textId="77777777" w:rsidTr="00BE51D1">
        <w:trPr>
          <w:cantSplit/>
        </w:trPr>
        <w:tc>
          <w:tcPr>
            <w:tcW w:w="2127" w:type="dxa"/>
            <w:shd w:val="clear" w:color="auto" w:fill="auto"/>
          </w:tcPr>
          <w:p w14:paraId="6853C6FB" w14:textId="77777777" w:rsidR="00547B47" w:rsidRPr="00027624" w:rsidRDefault="00547B47" w:rsidP="00BE51D1">
            <w:pPr>
              <w:jc w:val="left"/>
              <w:rPr>
                <w:iCs/>
                <w:sz w:val="22"/>
                <w:szCs w:val="22"/>
              </w:rPr>
            </w:pPr>
            <w:r w:rsidRPr="00027624">
              <w:rPr>
                <w:iCs/>
                <w:sz w:val="22"/>
                <w:szCs w:val="22"/>
              </w:rPr>
              <w:t>Male total average weekly earnings</w:t>
            </w:r>
          </w:p>
        </w:tc>
        <w:tc>
          <w:tcPr>
            <w:tcW w:w="6943" w:type="dxa"/>
            <w:shd w:val="clear" w:color="auto" w:fill="auto"/>
          </w:tcPr>
          <w:p w14:paraId="71057CC6" w14:textId="77777777" w:rsidR="00547B47" w:rsidRPr="00027624" w:rsidRDefault="00547B47" w:rsidP="00BE51D1">
            <w:pPr>
              <w:jc w:val="left"/>
              <w:rPr>
                <w:iCs/>
                <w:sz w:val="22"/>
                <w:szCs w:val="22"/>
              </w:rPr>
            </w:pPr>
            <w:r w:rsidRPr="00027624">
              <w:rPr>
                <w:iCs/>
                <w:sz w:val="22"/>
                <w:szCs w:val="22"/>
              </w:rPr>
              <w:t>The total average weekly before</w:t>
            </w:r>
            <w:r w:rsidR="00A8443E" w:rsidRPr="00027624">
              <w:rPr>
                <w:iCs/>
                <w:sz w:val="22"/>
                <w:szCs w:val="22"/>
              </w:rPr>
              <w:noBreakHyphen/>
            </w:r>
            <w:r w:rsidRPr="00027624">
              <w:rPr>
                <w:iCs/>
                <w:sz w:val="22"/>
                <w:szCs w:val="22"/>
              </w:rPr>
              <w:t xml:space="preserve">tax earnings of male employees. Includes ordinary time earnings and overtime earnings. </w:t>
            </w:r>
            <w:r w:rsidR="00104167" w:rsidRPr="00027624">
              <w:rPr>
                <w:iCs/>
                <w:sz w:val="22"/>
                <w:szCs w:val="22"/>
              </w:rPr>
              <w:t>Age</w:t>
            </w:r>
            <w:r w:rsidR="001F68A5" w:rsidRPr="00027624">
              <w:rPr>
                <w:iCs/>
                <w:sz w:val="22"/>
                <w:szCs w:val="22"/>
              </w:rPr>
              <w:t> </w:t>
            </w:r>
            <w:r w:rsidR="00104167" w:rsidRPr="00027624">
              <w:rPr>
                <w:iCs/>
                <w:sz w:val="22"/>
                <w:szCs w:val="22"/>
              </w:rPr>
              <w:t xml:space="preserve">Pension rates are benchmarked to </w:t>
            </w:r>
            <w:r w:rsidRPr="00027624">
              <w:rPr>
                <w:iCs/>
                <w:sz w:val="22"/>
                <w:szCs w:val="22"/>
              </w:rPr>
              <w:t xml:space="preserve">male total average weekly </w:t>
            </w:r>
            <w:r w:rsidR="00806A8B" w:rsidRPr="00027624">
              <w:rPr>
                <w:iCs/>
                <w:sz w:val="22"/>
                <w:szCs w:val="22"/>
              </w:rPr>
              <w:t>earnings.</w:t>
            </w:r>
          </w:p>
        </w:tc>
      </w:tr>
      <w:tr w:rsidR="00371420" w:rsidRPr="00027624" w14:paraId="68952C54" w14:textId="77777777" w:rsidTr="00BE51D1">
        <w:trPr>
          <w:cantSplit/>
        </w:trPr>
        <w:tc>
          <w:tcPr>
            <w:tcW w:w="2127" w:type="dxa"/>
            <w:shd w:val="clear" w:color="auto" w:fill="auto"/>
          </w:tcPr>
          <w:p w14:paraId="19516C01" w14:textId="77777777" w:rsidR="00547B47" w:rsidRPr="00027624" w:rsidRDefault="00547B47" w:rsidP="00BE51D1">
            <w:pPr>
              <w:jc w:val="left"/>
              <w:rPr>
                <w:sz w:val="22"/>
              </w:rPr>
            </w:pPr>
            <w:r w:rsidRPr="00027624">
              <w:rPr>
                <w:sz w:val="22"/>
              </w:rPr>
              <w:t>Means tested/testing</w:t>
            </w:r>
          </w:p>
        </w:tc>
        <w:tc>
          <w:tcPr>
            <w:tcW w:w="6943" w:type="dxa"/>
            <w:shd w:val="clear" w:color="auto" w:fill="auto"/>
          </w:tcPr>
          <w:p w14:paraId="63A914F0" w14:textId="77777777" w:rsidR="00547B47" w:rsidRPr="00027624" w:rsidRDefault="00547B47" w:rsidP="00BE51D1">
            <w:pPr>
              <w:jc w:val="left"/>
              <w:rPr>
                <w:iCs/>
                <w:sz w:val="22"/>
              </w:rPr>
            </w:pPr>
            <w:r w:rsidRPr="00027624">
              <w:rPr>
                <w:iCs/>
                <w:sz w:val="22"/>
              </w:rPr>
              <w:t xml:space="preserve">Describes a government benefit </w:t>
            </w:r>
            <w:r w:rsidR="00104167" w:rsidRPr="00027624">
              <w:rPr>
                <w:iCs/>
                <w:sz w:val="22"/>
              </w:rPr>
              <w:t>where the rate is determined by a recipient</w:t>
            </w:r>
            <w:r w:rsidR="00A8443E" w:rsidRPr="00027624">
              <w:rPr>
                <w:iCs/>
                <w:sz w:val="22"/>
              </w:rPr>
              <w:t>’</w:t>
            </w:r>
            <w:r w:rsidR="00104167" w:rsidRPr="00027624">
              <w:rPr>
                <w:iCs/>
                <w:sz w:val="22"/>
              </w:rPr>
              <w:t>s</w:t>
            </w:r>
            <w:r w:rsidRPr="00027624">
              <w:rPr>
                <w:iCs/>
                <w:sz w:val="22"/>
              </w:rPr>
              <w:t xml:space="preserve"> income and/or wealth. Most income support payments are means tested.</w:t>
            </w:r>
          </w:p>
        </w:tc>
      </w:tr>
      <w:tr w:rsidR="00371420" w:rsidRPr="00027624" w14:paraId="5745EE2B" w14:textId="77777777" w:rsidTr="00BE51D1">
        <w:trPr>
          <w:cantSplit/>
        </w:trPr>
        <w:tc>
          <w:tcPr>
            <w:tcW w:w="2127" w:type="dxa"/>
            <w:shd w:val="clear" w:color="auto" w:fill="auto"/>
          </w:tcPr>
          <w:p w14:paraId="3DD276FF" w14:textId="77777777" w:rsidR="00547B47" w:rsidRPr="00027624" w:rsidRDefault="00547B47" w:rsidP="00BE51D1">
            <w:pPr>
              <w:jc w:val="left"/>
              <w:rPr>
                <w:sz w:val="22"/>
                <w:szCs w:val="22"/>
              </w:rPr>
            </w:pPr>
            <w:r w:rsidRPr="00027624">
              <w:rPr>
                <w:sz w:val="22"/>
                <w:szCs w:val="22"/>
              </w:rPr>
              <w:t>Minimum drawdown</w:t>
            </w:r>
          </w:p>
        </w:tc>
        <w:tc>
          <w:tcPr>
            <w:tcW w:w="6943" w:type="dxa"/>
            <w:shd w:val="clear" w:color="auto" w:fill="auto"/>
          </w:tcPr>
          <w:p w14:paraId="4E2BDE5E" w14:textId="77777777" w:rsidR="00547B47" w:rsidRPr="00027624" w:rsidRDefault="00547B47" w:rsidP="00BE51D1">
            <w:pPr>
              <w:jc w:val="left"/>
              <w:rPr>
                <w:sz w:val="22"/>
              </w:rPr>
            </w:pPr>
            <w:r w:rsidRPr="00027624">
              <w:rPr>
                <w:sz w:val="22"/>
              </w:rPr>
              <w:t xml:space="preserve">The minimum </w:t>
            </w:r>
            <w:r w:rsidR="00286C15" w:rsidRPr="00027624">
              <w:rPr>
                <w:sz w:val="22"/>
              </w:rPr>
              <w:t xml:space="preserve">legislated </w:t>
            </w:r>
            <w:r w:rsidRPr="00027624">
              <w:rPr>
                <w:sz w:val="22"/>
              </w:rPr>
              <w:t xml:space="preserve">amount that must be withdrawn from a superannuation account when it is in </w:t>
            </w:r>
            <w:r w:rsidR="00286C15" w:rsidRPr="00027624">
              <w:rPr>
                <w:sz w:val="22"/>
              </w:rPr>
              <w:t>the retirement</w:t>
            </w:r>
            <w:r w:rsidR="00286C15" w:rsidRPr="00027624">
              <w:rPr>
                <w:sz w:val="22"/>
                <w:szCs w:val="22"/>
              </w:rPr>
              <w:t xml:space="preserve"> </w:t>
            </w:r>
            <w:r w:rsidRPr="00027624">
              <w:rPr>
                <w:sz w:val="22"/>
              </w:rPr>
              <w:t>phase. The minimum drawdown rate is generally determined by the member</w:t>
            </w:r>
            <w:r w:rsidR="00A8443E" w:rsidRPr="00027624">
              <w:rPr>
                <w:sz w:val="22"/>
              </w:rPr>
              <w:t>’</w:t>
            </w:r>
            <w:r w:rsidRPr="00027624">
              <w:rPr>
                <w:sz w:val="22"/>
              </w:rPr>
              <w:t>s age.</w:t>
            </w:r>
          </w:p>
          <w:p w14:paraId="03FE8BCD" w14:textId="77777777" w:rsidR="00547B47" w:rsidRPr="00027624" w:rsidRDefault="00547B47" w:rsidP="00BE51D1">
            <w:pPr>
              <w:jc w:val="left"/>
              <w:rPr>
                <w:iCs/>
                <w:sz w:val="22"/>
                <w:szCs w:val="22"/>
              </w:rPr>
            </w:pPr>
            <w:r w:rsidRPr="00027624">
              <w:rPr>
                <w:sz w:val="22"/>
              </w:rPr>
              <w:t xml:space="preserve">Further information relating to the minimum drawdown and rates can be found in </w:t>
            </w:r>
            <w:r w:rsidRPr="00027624">
              <w:rPr>
                <w:i/>
                <w:sz w:val="22"/>
              </w:rPr>
              <w:t>1B</w:t>
            </w:r>
            <w:r w:rsidR="009E04D7" w:rsidRPr="00027624">
              <w:rPr>
                <w:i/>
                <w:sz w:val="22"/>
              </w:rPr>
              <w:t>.</w:t>
            </w:r>
            <w:r w:rsidRPr="00027624">
              <w:rPr>
                <w:i/>
                <w:sz w:val="22"/>
              </w:rPr>
              <w:t xml:space="preserve"> Design of Australia</w:t>
            </w:r>
            <w:r w:rsidR="00A8443E" w:rsidRPr="00027624">
              <w:rPr>
                <w:i/>
                <w:sz w:val="22"/>
              </w:rPr>
              <w:t>’</w:t>
            </w:r>
            <w:r w:rsidRPr="00027624">
              <w:rPr>
                <w:i/>
                <w:sz w:val="22"/>
              </w:rPr>
              <w:t>s retirement income system</w:t>
            </w:r>
            <w:r w:rsidR="00AF3453" w:rsidRPr="00027624">
              <w:rPr>
                <w:i/>
                <w:sz w:val="22"/>
              </w:rPr>
              <w:t xml:space="preserve"> </w:t>
            </w:r>
            <w:r w:rsidR="00AF3453" w:rsidRPr="00673D11">
              <w:rPr>
                <w:sz w:val="22"/>
              </w:rPr>
              <w:t>and</w:t>
            </w:r>
            <w:r w:rsidR="00AF3453" w:rsidRPr="00027624">
              <w:rPr>
                <w:i/>
                <w:sz w:val="22"/>
              </w:rPr>
              <w:t xml:space="preserve"> 5A. Cohesion</w:t>
            </w:r>
            <w:r w:rsidRPr="00027624">
              <w:rPr>
                <w:sz w:val="22"/>
              </w:rPr>
              <w:t>.</w:t>
            </w:r>
          </w:p>
        </w:tc>
      </w:tr>
      <w:tr w:rsidR="00371420" w:rsidRPr="00027624" w14:paraId="42332311" w14:textId="77777777" w:rsidTr="00BE51D1">
        <w:trPr>
          <w:cantSplit/>
        </w:trPr>
        <w:tc>
          <w:tcPr>
            <w:tcW w:w="2127" w:type="dxa"/>
            <w:shd w:val="clear" w:color="auto" w:fill="auto"/>
          </w:tcPr>
          <w:p w14:paraId="30CED864" w14:textId="77777777" w:rsidR="00547B47" w:rsidRPr="00027624" w:rsidRDefault="00547B47" w:rsidP="00BE51D1">
            <w:pPr>
              <w:jc w:val="left"/>
              <w:rPr>
                <w:sz w:val="22"/>
              </w:rPr>
            </w:pPr>
            <w:r w:rsidRPr="00027624">
              <w:rPr>
                <w:sz w:val="22"/>
              </w:rPr>
              <w:t>Not in the labour force</w:t>
            </w:r>
          </w:p>
        </w:tc>
        <w:tc>
          <w:tcPr>
            <w:tcW w:w="6943" w:type="dxa"/>
            <w:shd w:val="clear" w:color="auto" w:fill="auto"/>
          </w:tcPr>
          <w:p w14:paraId="0A5035F8" w14:textId="77777777" w:rsidR="00547B47" w:rsidRPr="00027624" w:rsidRDefault="00547B47" w:rsidP="00BE51D1">
            <w:pPr>
              <w:jc w:val="left"/>
              <w:rPr>
                <w:sz w:val="22"/>
              </w:rPr>
            </w:pPr>
            <w:r w:rsidRPr="00027624">
              <w:rPr>
                <w:sz w:val="22"/>
              </w:rPr>
              <w:t>A person who is not employed and is not looking for employment.</w:t>
            </w:r>
          </w:p>
        </w:tc>
      </w:tr>
      <w:tr w:rsidR="00371420" w:rsidRPr="00027624" w14:paraId="6147B09E" w14:textId="77777777" w:rsidTr="00BE51D1">
        <w:trPr>
          <w:cantSplit/>
        </w:trPr>
        <w:tc>
          <w:tcPr>
            <w:tcW w:w="2127" w:type="dxa"/>
            <w:shd w:val="clear" w:color="auto" w:fill="auto"/>
          </w:tcPr>
          <w:p w14:paraId="3ED510F4" w14:textId="77777777" w:rsidR="00547B47" w:rsidRPr="00027624" w:rsidRDefault="00547B47" w:rsidP="00BE51D1">
            <w:pPr>
              <w:jc w:val="left"/>
              <w:rPr>
                <w:sz w:val="22"/>
                <w:szCs w:val="22"/>
              </w:rPr>
            </w:pPr>
            <w:r w:rsidRPr="00027624">
              <w:rPr>
                <w:sz w:val="22"/>
              </w:rPr>
              <w:t>Ordinary Time Earnings</w:t>
            </w:r>
          </w:p>
        </w:tc>
        <w:tc>
          <w:tcPr>
            <w:tcW w:w="6943" w:type="dxa"/>
            <w:shd w:val="clear" w:color="auto" w:fill="auto"/>
          </w:tcPr>
          <w:p w14:paraId="0EF828F3" w14:textId="77777777" w:rsidR="00547B47" w:rsidRPr="00027624" w:rsidRDefault="00547B47" w:rsidP="00BE51D1">
            <w:pPr>
              <w:jc w:val="left"/>
              <w:rPr>
                <w:sz w:val="22"/>
                <w:szCs w:val="22"/>
              </w:rPr>
            </w:pPr>
            <w:r w:rsidRPr="00027624">
              <w:rPr>
                <w:sz w:val="22"/>
              </w:rPr>
              <w:t>The earnings in respect of ordinary hours of work. It does not include overtime and other payments not related to a person</w:t>
            </w:r>
            <w:r w:rsidR="00A8443E" w:rsidRPr="00027624">
              <w:rPr>
                <w:sz w:val="22"/>
              </w:rPr>
              <w:t>’</w:t>
            </w:r>
            <w:r w:rsidRPr="00027624">
              <w:rPr>
                <w:sz w:val="22"/>
              </w:rPr>
              <w:t xml:space="preserve">s ordinary hours. Refer to </w:t>
            </w:r>
            <w:hyperlink r:id="rId33" w:history="1">
              <w:r w:rsidR="00404B9D" w:rsidRPr="00027624">
                <w:rPr>
                  <w:sz w:val="22"/>
                  <w:szCs w:val="22"/>
                </w:rPr>
                <w:t>&lt;</w:t>
              </w:r>
              <w:r w:rsidRPr="00027624">
                <w:rPr>
                  <w:sz w:val="22"/>
                  <w:szCs w:val="22"/>
                  <w:u w:val="single"/>
                </w:rPr>
                <w:t>www.ato.gov.au/Business/Super</w:t>
              </w:r>
              <w:r w:rsidR="00A8443E" w:rsidRPr="00027624">
                <w:rPr>
                  <w:sz w:val="22"/>
                  <w:szCs w:val="22"/>
                  <w:u w:val="single"/>
                </w:rPr>
                <w:noBreakHyphen/>
              </w:r>
              <w:r w:rsidRPr="00027624">
                <w:rPr>
                  <w:sz w:val="22"/>
                  <w:szCs w:val="22"/>
                  <w:u w:val="single"/>
                </w:rPr>
                <w:t>for</w:t>
              </w:r>
              <w:r w:rsidR="00A8443E" w:rsidRPr="00027624">
                <w:rPr>
                  <w:sz w:val="22"/>
                  <w:szCs w:val="22"/>
                  <w:u w:val="single"/>
                </w:rPr>
                <w:noBreakHyphen/>
              </w:r>
              <w:r w:rsidRPr="00027624">
                <w:rPr>
                  <w:sz w:val="22"/>
                  <w:szCs w:val="22"/>
                  <w:u w:val="single"/>
                </w:rPr>
                <w:t>employers/How</w:t>
              </w:r>
              <w:r w:rsidR="00A8443E" w:rsidRPr="00027624">
                <w:rPr>
                  <w:sz w:val="22"/>
                  <w:szCs w:val="22"/>
                  <w:u w:val="single"/>
                </w:rPr>
                <w:noBreakHyphen/>
              </w:r>
              <w:r w:rsidRPr="00027624">
                <w:rPr>
                  <w:sz w:val="22"/>
                  <w:szCs w:val="22"/>
                  <w:u w:val="single"/>
                </w:rPr>
                <w:t>much</w:t>
              </w:r>
              <w:r w:rsidR="00A8443E" w:rsidRPr="00027624">
                <w:rPr>
                  <w:sz w:val="22"/>
                  <w:szCs w:val="22"/>
                  <w:u w:val="single"/>
                </w:rPr>
                <w:noBreakHyphen/>
              </w:r>
              <w:r w:rsidRPr="00027624">
                <w:rPr>
                  <w:sz w:val="22"/>
                  <w:szCs w:val="22"/>
                  <w:u w:val="single"/>
                </w:rPr>
                <w:t>to</w:t>
              </w:r>
              <w:r w:rsidR="00A8443E" w:rsidRPr="00027624">
                <w:rPr>
                  <w:sz w:val="22"/>
                  <w:szCs w:val="22"/>
                  <w:u w:val="single"/>
                </w:rPr>
                <w:noBreakHyphen/>
              </w:r>
              <w:r w:rsidRPr="00027624">
                <w:rPr>
                  <w:sz w:val="22"/>
                  <w:szCs w:val="22"/>
                  <w:u w:val="single"/>
                </w:rPr>
                <w:t>pay/checklist</w:t>
              </w:r>
              <w:r w:rsidR="00A8443E" w:rsidRPr="00027624">
                <w:rPr>
                  <w:sz w:val="22"/>
                  <w:szCs w:val="22"/>
                  <w:u w:val="single"/>
                </w:rPr>
                <w:noBreakHyphen/>
              </w:r>
              <w:r w:rsidR="00A8443E" w:rsidRPr="00027624">
                <w:rPr>
                  <w:sz w:val="22"/>
                  <w:szCs w:val="22"/>
                  <w:u w:val="single"/>
                </w:rPr>
                <w:noBreakHyphen/>
              </w:r>
              <w:r w:rsidRPr="00027624">
                <w:rPr>
                  <w:sz w:val="22"/>
                  <w:szCs w:val="22"/>
                  <w:u w:val="single"/>
                </w:rPr>
                <w:t>salary</w:t>
              </w:r>
              <w:r w:rsidR="00A8443E" w:rsidRPr="00027624">
                <w:rPr>
                  <w:sz w:val="22"/>
                  <w:szCs w:val="22"/>
                  <w:u w:val="single"/>
                </w:rPr>
                <w:noBreakHyphen/>
              </w:r>
              <w:r w:rsidRPr="00027624">
                <w:rPr>
                  <w:sz w:val="22"/>
                  <w:szCs w:val="22"/>
                  <w:u w:val="single"/>
                </w:rPr>
                <w:t>or</w:t>
              </w:r>
              <w:r w:rsidR="00A8443E" w:rsidRPr="00027624">
                <w:rPr>
                  <w:sz w:val="22"/>
                  <w:szCs w:val="22"/>
                  <w:u w:val="single"/>
                </w:rPr>
                <w:noBreakHyphen/>
              </w:r>
              <w:r w:rsidRPr="00027624">
                <w:rPr>
                  <w:sz w:val="22"/>
                  <w:szCs w:val="22"/>
                  <w:u w:val="single"/>
                </w:rPr>
                <w:t>wages</w:t>
              </w:r>
              <w:r w:rsidR="00A8443E" w:rsidRPr="00027624">
                <w:rPr>
                  <w:sz w:val="22"/>
                  <w:szCs w:val="22"/>
                  <w:u w:val="single"/>
                </w:rPr>
                <w:noBreakHyphen/>
              </w:r>
              <w:r w:rsidRPr="00027624">
                <w:rPr>
                  <w:sz w:val="22"/>
                  <w:szCs w:val="22"/>
                  <w:u w:val="single"/>
                </w:rPr>
                <w:t>and</w:t>
              </w:r>
              <w:r w:rsidR="00A8443E" w:rsidRPr="00027624">
                <w:rPr>
                  <w:sz w:val="22"/>
                  <w:szCs w:val="22"/>
                  <w:u w:val="single"/>
                </w:rPr>
                <w:noBreakHyphen/>
              </w:r>
              <w:r w:rsidRPr="00027624">
                <w:rPr>
                  <w:sz w:val="22"/>
                  <w:szCs w:val="22"/>
                  <w:u w:val="single"/>
                </w:rPr>
                <w:t>ordinary</w:t>
              </w:r>
              <w:r w:rsidR="00A8443E" w:rsidRPr="00027624">
                <w:rPr>
                  <w:sz w:val="22"/>
                  <w:szCs w:val="22"/>
                  <w:u w:val="single"/>
                </w:rPr>
                <w:noBreakHyphen/>
              </w:r>
              <w:r w:rsidRPr="00027624">
                <w:rPr>
                  <w:sz w:val="22"/>
                  <w:szCs w:val="22"/>
                  <w:u w:val="single"/>
                </w:rPr>
                <w:t>time</w:t>
              </w:r>
              <w:r w:rsidR="00A8443E" w:rsidRPr="00027624">
                <w:rPr>
                  <w:sz w:val="22"/>
                  <w:szCs w:val="22"/>
                  <w:u w:val="single"/>
                </w:rPr>
                <w:noBreakHyphen/>
              </w:r>
              <w:r w:rsidRPr="00027624">
                <w:rPr>
                  <w:sz w:val="22"/>
                  <w:szCs w:val="22"/>
                  <w:u w:val="single"/>
                </w:rPr>
                <w:t>earnings/</w:t>
              </w:r>
            </w:hyperlink>
            <w:r w:rsidR="00404B9D" w:rsidRPr="00027624">
              <w:rPr>
                <w:sz w:val="22"/>
                <w:szCs w:val="22"/>
                <w:u w:val="single"/>
              </w:rPr>
              <w:t>&gt;</w:t>
            </w:r>
            <w:r w:rsidRPr="00027624">
              <w:rPr>
                <w:sz w:val="22"/>
              </w:rPr>
              <w:t xml:space="preserve"> for a list </w:t>
            </w:r>
            <w:r w:rsidR="00286C15" w:rsidRPr="00027624">
              <w:rPr>
                <w:sz w:val="22"/>
              </w:rPr>
              <w:t xml:space="preserve">of </w:t>
            </w:r>
            <w:r w:rsidRPr="00027624">
              <w:rPr>
                <w:sz w:val="22"/>
              </w:rPr>
              <w:t>what is covered by ordinary time earnings.</w:t>
            </w:r>
          </w:p>
        </w:tc>
      </w:tr>
      <w:tr w:rsidR="00371420" w:rsidRPr="00027624" w14:paraId="513D44C5" w14:textId="77777777" w:rsidTr="00BE51D1">
        <w:trPr>
          <w:cantSplit/>
        </w:trPr>
        <w:tc>
          <w:tcPr>
            <w:tcW w:w="2127" w:type="dxa"/>
            <w:shd w:val="clear" w:color="auto" w:fill="auto"/>
          </w:tcPr>
          <w:p w14:paraId="164F7C09" w14:textId="77777777" w:rsidR="00547B47" w:rsidRPr="00027624" w:rsidRDefault="00547B47" w:rsidP="00BE51D1">
            <w:pPr>
              <w:jc w:val="left"/>
              <w:rPr>
                <w:sz w:val="22"/>
              </w:rPr>
            </w:pPr>
            <w:r w:rsidRPr="00027624">
              <w:rPr>
                <w:sz w:val="22"/>
              </w:rPr>
              <w:t xml:space="preserve">Pension </w:t>
            </w:r>
            <w:r w:rsidR="002E675E" w:rsidRPr="00027624">
              <w:rPr>
                <w:sz w:val="22"/>
              </w:rPr>
              <w:t>W</w:t>
            </w:r>
            <w:r w:rsidRPr="00027624">
              <w:rPr>
                <w:sz w:val="22"/>
              </w:rPr>
              <w:t xml:space="preserve">ork </w:t>
            </w:r>
            <w:r w:rsidR="002E675E" w:rsidRPr="00027624">
              <w:rPr>
                <w:sz w:val="22"/>
              </w:rPr>
              <w:t>B</w:t>
            </w:r>
            <w:r w:rsidRPr="00027624">
              <w:rPr>
                <w:sz w:val="22"/>
              </w:rPr>
              <w:t>onus</w:t>
            </w:r>
          </w:p>
        </w:tc>
        <w:tc>
          <w:tcPr>
            <w:tcW w:w="6943" w:type="dxa"/>
            <w:shd w:val="clear" w:color="auto" w:fill="auto"/>
          </w:tcPr>
          <w:p w14:paraId="0256288F" w14:textId="77777777" w:rsidR="00547B47" w:rsidRPr="00027624" w:rsidRDefault="00547B47" w:rsidP="00BE51D1">
            <w:pPr>
              <w:jc w:val="left"/>
            </w:pPr>
            <w:r w:rsidRPr="00027624">
              <w:rPr>
                <w:sz w:val="22"/>
              </w:rPr>
              <w:t>The Work Bonus provides an incentive for</w:t>
            </w:r>
            <w:r w:rsidR="00AF3453" w:rsidRPr="00027624">
              <w:rPr>
                <w:sz w:val="22"/>
              </w:rPr>
              <w:t xml:space="preserve"> eligible</w:t>
            </w:r>
            <w:r w:rsidRPr="00027624">
              <w:rPr>
                <w:sz w:val="22"/>
              </w:rPr>
              <w:t xml:space="preserve"> pensioners over Age</w:t>
            </w:r>
            <w:r w:rsidR="00973719" w:rsidRPr="00027624">
              <w:rPr>
                <w:sz w:val="22"/>
              </w:rPr>
              <w:t> </w:t>
            </w:r>
            <w:r w:rsidRPr="00027624">
              <w:rPr>
                <w:sz w:val="22"/>
              </w:rPr>
              <w:t>Pension eligibility age to work by allowing them to keep more of their pension when they have income from work.</w:t>
            </w:r>
          </w:p>
          <w:p w14:paraId="3E5EADC5" w14:textId="77777777" w:rsidR="00547B47" w:rsidRPr="00027624" w:rsidRDefault="00547B47" w:rsidP="00BE51D1">
            <w:pPr>
              <w:jc w:val="left"/>
            </w:pPr>
            <w:r w:rsidRPr="00027624">
              <w:t>The Work Bonus increases the amount an eligible pensioner can earn from work before it affects their pension rate. From 1 July 2019, the first $300 of fortnightly income from work is not assessed and is not counted under the pension income test.</w:t>
            </w:r>
          </w:p>
        </w:tc>
      </w:tr>
      <w:tr w:rsidR="00371420" w:rsidRPr="00027624" w14:paraId="7CC94385" w14:textId="77777777" w:rsidTr="00BE51D1">
        <w:trPr>
          <w:cantSplit/>
        </w:trPr>
        <w:tc>
          <w:tcPr>
            <w:tcW w:w="2127" w:type="dxa"/>
            <w:shd w:val="clear" w:color="auto" w:fill="auto"/>
          </w:tcPr>
          <w:p w14:paraId="3684211E" w14:textId="77777777" w:rsidR="00547B47" w:rsidRPr="00027624" w:rsidRDefault="00547B47" w:rsidP="00BE51D1">
            <w:pPr>
              <w:jc w:val="left"/>
              <w:rPr>
                <w:sz w:val="22"/>
              </w:rPr>
            </w:pPr>
            <w:r w:rsidRPr="00027624">
              <w:rPr>
                <w:sz w:val="22"/>
              </w:rPr>
              <w:lastRenderedPageBreak/>
              <w:t>Preservation age</w:t>
            </w:r>
          </w:p>
        </w:tc>
        <w:tc>
          <w:tcPr>
            <w:tcW w:w="6943" w:type="dxa"/>
            <w:shd w:val="clear" w:color="auto" w:fill="auto"/>
          </w:tcPr>
          <w:p w14:paraId="05F756CA" w14:textId="77777777" w:rsidR="00547B47" w:rsidRPr="00027624" w:rsidRDefault="00547B47" w:rsidP="00BE51D1">
            <w:pPr>
              <w:jc w:val="left"/>
              <w:rPr>
                <w:iCs/>
                <w:sz w:val="22"/>
              </w:rPr>
            </w:pPr>
            <w:r w:rsidRPr="00027624">
              <w:rPr>
                <w:sz w:val="22"/>
              </w:rPr>
              <w:t xml:space="preserve">The age at which a person can </w:t>
            </w:r>
            <w:r w:rsidRPr="00027624" w:rsidDel="002C69F2">
              <w:rPr>
                <w:sz w:val="22"/>
              </w:rPr>
              <w:t xml:space="preserve">generally </w:t>
            </w:r>
            <w:r w:rsidRPr="00027624">
              <w:rPr>
                <w:sz w:val="22"/>
              </w:rPr>
              <w:t xml:space="preserve">access their superannuation </w:t>
            </w:r>
            <w:r w:rsidRPr="00027624" w:rsidDel="002C69F2">
              <w:rPr>
                <w:sz w:val="22"/>
              </w:rPr>
              <w:t>if they are</w:t>
            </w:r>
            <w:r w:rsidRPr="00027624">
              <w:rPr>
                <w:sz w:val="22"/>
              </w:rPr>
              <w:t xml:space="preserve"> retired. The preservation age is 58 as of 1 July 2020 and is scheduled to gradually increase to 60 from 1 July 2024. Further information relating to preservation age can be found in </w:t>
            </w:r>
            <w:r w:rsidRPr="00027624">
              <w:rPr>
                <w:i/>
                <w:sz w:val="22"/>
              </w:rPr>
              <w:t>1B</w:t>
            </w:r>
            <w:r w:rsidR="009E04D7" w:rsidRPr="00027624">
              <w:rPr>
                <w:i/>
                <w:sz w:val="22"/>
              </w:rPr>
              <w:t>.</w:t>
            </w:r>
            <w:r w:rsidRPr="00027624">
              <w:rPr>
                <w:i/>
                <w:sz w:val="22"/>
              </w:rPr>
              <w:t xml:space="preserve"> Design of Australia</w:t>
            </w:r>
            <w:r w:rsidR="00A8443E" w:rsidRPr="00027624">
              <w:rPr>
                <w:i/>
                <w:sz w:val="22"/>
              </w:rPr>
              <w:t>’</w:t>
            </w:r>
            <w:r w:rsidRPr="00027624">
              <w:rPr>
                <w:i/>
                <w:sz w:val="22"/>
              </w:rPr>
              <w:t>s retirement income system</w:t>
            </w:r>
            <w:r w:rsidR="00523B51" w:rsidRPr="00027624">
              <w:rPr>
                <w:iCs/>
                <w:sz w:val="22"/>
              </w:rPr>
              <w:t>.</w:t>
            </w:r>
          </w:p>
        </w:tc>
      </w:tr>
      <w:tr w:rsidR="00371420" w:rsidRPr="00027624" w14:paraId="2DAF0009" w14:textId="77777777" w:rsidTr="00BE51D1">
        <w:trPr>
          <w:cantSplit/>
        </w:trPr>
        <w:tc>
          <w:tcPr>
            <w:tcW w:w="2127" w:type="dxa"/>
            <w:shd w:val="clear" w:color="auto" w:fill="auto"/>
          </w:tcPr>
          <w:p w14:paraId="503031BD" w14:textId="77777777" w:rsidR="00547B47" w:rsidRPr="00027624" w:rsidRDefault="00547B47" w:rsidP="00BE51D1">
            <w:pPr>
              <w:jc w:val="left"/>
              <w:rPr>
                <w:sz w:val="22"/>
              </w:rPr>
            </w:pPr>
            <w:r w:rsidRPr="00027624">
              <w:rPr>
                <w:sz w:val="22"/>
              </w:rPr>
              <w:t>Real wage growth</w:t>
            </w:r>
          </w:p>
        </w:tc>
        <w:tc>
          <w:tcPr>
            <w:tcW w:w="6943" w:type="dxa"/>
            <w:shd w:val="clear" w:color="auto" w:fill="auto"/>
          </w:tcPr>
          <w:p w14:paraId="63F0F334" w14:textId="77777777" w:rsidR="00547B47" w:rsidRPr="00027624" w:rsidRDefault="00547B47" w:rsidP="00BE51D1">
            <w:pPr>
              <w:jc w:val="left"/>
              <w:rPr>
                <w:sz w:val="22"/>
              </w:rPr>
            </w:pPr>
            <w:r w:rsidRPr="00027624">
              <w:rPr>
                <w:sz w:val="22"/>
              </w:rPr>
              <w:t xml:space="preserve">The amount </w:t>
            </w:r>
            <w:r w:rsidRPr="00027624">
              <w:rPr>
                <w:sz w:val="22"/>
                <w:szCs w:val="22"/>
              </w:rPr>
              <w:t xml:space="preserve">by which </w:t>
            </w:r>
            <w:r w:rsidRPr="00027624">
              <w:rPr>
                <w:sz w:val="22"/>
              </w:rPr>
              <w:t>wage growth exceeds CPI growth.</w:t>
            </w:r>
          </w:p>
        </w:tc>
      </w:tr>
      <w:tr w:rsidR="00371420" w:rsidRPr="00027624" w14:paraId="0894271C" w14:textId="77777777" w:rsidTr="00BE51D1">
        <w:trPr>
          <w:cantSplit/>
        </w:trPr>
        <w:tc>
          <w:tcPr>
            <w:tcW w:w="2127" w:type="dxa"/>
            <w:shd w:val="clear" w:color="auto" w:fill="auto"/>
          </w:tcPr>
          <w:p w14:paraId="2DA1338F" w14:textId="77777777" w:rsidR="00547B47" w:rsidRPr="00027624" w:rsidRDefault="00547B47" w:rsidP="00BE51D1">
            <w:pPr>
              <w:jc w:val="left"/>
              <w:rPr>
                <w:sz w:val="22"/>
                <w:szCs w:val="22"/>
              </w:rPr>
            </w:pPr>
            <w:r w:rsidRPr="00027624">
              <w:rPr>
                <w:sz w:val="22"/>
                <w:szCs w:val="22"/>
              </w:rPr>
              <w:t>Retirement</w:t>
            </w:r>
          </w:p>
          <w:p w14:paraId="1C43CA12" w14:textId="77777777" w:rsidR="00547B47" w:rsidRPr="00027624" w:rsidRDefault="00547B47" w:rsidP="00BE51D1">
            <w:pPr>
              <w:jc w:val="left"/>
              <w:rPr>
                <w:sz w:val="22"/>
                <w:szCs w:val="22"/>
              </w:rPr>
            </w:pPr>
            <w:r w:rsidRPr="00027624">
              <w:rPr>
                <w:sz w:val="22"/>
                <w:szCs w:val="22"/>
              </w:rPr>
              <w:tab/>
              <w:t>Early</w:t>
            </w:r>
          </w:p>
          <w:p w14:paraId="6FABD533" w14:textId="77777777" w:rsidR="00547B47" w:rsidRPr="00027624" w:rsidRDefault="00547B47" w:rsidP="009C3D63">
            <w:pPr>
              <w:spacing w:before="360"/>
              <w:jc w:val="left"/>
              <w:rPr>
                <w:sz w:val="22"/>
                <w:szCs w:val="22"/>
              </w:rPr>
            </w:pPr>
            <w:r w:rsidRPr="00027624">
              <w:rPr>
                <w:sz w:val="22"/>
                <w:szCs w:val="22"/>
              </w:rPr>
              <w:tab/>
              <w:t>Late</w:t>
            </w:r>
          </w:p>
        </w:tc>
        <w:tc>
          <w:tcPr>
            <w:tcW w:w="6943" w:type="dxa"/>
            <w:shd w:val="clear" w:color="auto" w:fill="auto"/>
          </w:tcPr>
          <w:p w14:paraId="2E1EFC5D" w14:textId="77777777" w:rsidR="00547B47" w:rsidRPr="00027624" w:rsidRDefault="00192F4E" w:rsidP="009C3D63">
            <w:pPr>
              <w:spacing w:before="480"/>
              <w:jc w:val="left"/>
              <w:rPr>
                <w:sz w:val="22"/>
                <w:szCs w:val="22"/>
              </w:rPr>
            </w:pPr>
            <w:r w:rsidRPr="00027624">
              <w:rPr>
                <w:sz w:val="22"/>
                <w:szCs w:val="22"/>
              </w:rPr>
              <w:t>In this report, e</w:t>
            </w:r>
            <w:r w:rsidR="00547B47" w:rsidRPr="00027624">
              <w:rPr>
                <w:sz w:val="22"/>
                <w:szCs w:val="22"/>
              </w:rPr>
              <w:t>arly retirement is defined as retiring before Age</w:t>
            </w:r>
            <w:r w:rsidR="00D53C32" w:rsidRPr="00027624">
              <w:rPr>
                <w:sz w:val="22"/>
                <w:szCs w:val="22"/>
              </w:rPr>
              <w:t> </w:t>
            </w:r>
            <w:r w:rsidR="00547B47" w:rsidRPr="00027624">
              <w:rPr>
                <w:sz w:val="22"/>
                <w:szCs w:val="22"/>
              </w:rPr>
              <w:t>Pension eligibility age.</w:t>
            </w:r>
          </w:p>
          <w:p w14:paraId="75C458EB" w14:textId="77777777" w:rsidR="00547B47" w:rsidRPr="00027624" w:rsidRDefault="00192F4E" w:rsidP="00BE51D1">
            <w:pPr>
              <w:jc w:val="left"/>
              <w:rPr>
                <w:sz w:val="22"/>
                <w:szCs w:val="22"/>
              </w:rPr>
            </w:pPr>
            <w:r w:rsidRPr="00027624">
              <w:rPr>
                <w:sz w:val="22"/>
                <w:szCs w:val="22"/>
              </w:rPr>
              <w:t>In this report, l</w:t>
            </w:r>
            <w:r w:rsidR="00547B47" w:rsidRPr="00027624">
              <w:rPr>
                <w:sz w:val="22"/>
                <w:szCs w:val="22"/>
              </w:rPr>
              <w:t>ate retirement is defined as retiring after Age</w:t>
            </w:r>
            <w:r w:rsidR="003930BC" w:rsidRPr="00027624">
              <w:rPr>
                <w:sz w:val="22"/>
                <w:szCs w:val="22"/>
              </w:rPr>
              <w:t> </w:t>
            </w:r>
            <w:r w:rsidR="00547B47" w:rsidRPr="00027624">
              <w:rPr>
                <w:sz w:val="22"/>
                <w:szCs w:val="22"/>
              </w:rPr>
              <w:t>Pension eligibility age.</w:t>
            </w:r>
          </w:p>
        </w:tc>
      </w:tr>
      <w:tr w:rsidR="00371420" w:rsidRPr="00027624" w14:paraId="5DECDA6B" w14:textId="77777777" w:rsidTr="00BE51D1">
        <w:trPr>
          <w:cantSplit/>
        </w:trPr>
        <w:tc>
          <w:tcPr>
            <w:tcW w:w="2127" w:type="dxa"/>
            <w:shd w:val="clear" w:color="auto" w:fill="auto"/>
          </w:tcPr>
          <w:p w14:paraId="36AD1AD7" w14:textId="77777777" w:rsidR="00547B47" w:rsidRPr="00027624" w:rsidRDefault="00547B47" w:rsidP="00BE51D1">
            <w:pPr>
              <w:jc w:val="left"/>
              <w:rPr>
                <w:sz w:val="22"/>
                <w:szCs w:val="22"/>
              </w:rPr>
            </w:pPr>
            <w:r w:rsidRPr="00027624">
              <w:rPr>
                <w:sz w:val="22"/>
                <w:szCs w:val="22"/>
              </w:rPr>
              <w:t>Retirement income</w:t>
            </w:r>
          </w:p>
        </w:tc>
        <w:tc>
          <w:tcPr>
            <w:tcW w:w="6943" w:type="dxa"/>
            <w:shd w:val="clear" w:color="auto" w:fill="auto"/>
          </w:tcPr>
          <w:p w14:paraId="29EB7064" w14:textId="77777777" w:rsidR="00547B47" w:rsidRPr="00027624" w:rsidRDefault="00547B47" w:rsidP="00BE51D1">
            <w:pPr>
              <w:jc w:val="left"/>
              <w:rPr>
                <w:sz w:val="22"/>
                <w:szCs w:val="22"/>
              </w:rPr>
            </w:pPr>
            <w:r w:rsidRPr="00027624">
              <w:rPr>
                <w:sz w:val="22"/>
                <w:szCs w:val="22"/>
              </w:rPr>
              <w:t>Income during retirement, including income streams and withdrawals from superannuation, the Age</w:t>
            </w:r>
            <w:r w:rsidR="007B3F11" w:rsidRPr="00027624">
              <w:rPr>
                <w:sz w:val="22"/>
                <w:szCs w:val="22"/>
              </w:rPr>
              <w:t> </w:t>
            </w:r>
            <w:r w:rsidRPr="00027624">
              <w:rPr>
                <w:sz w:val="22"/>
                <w:szCs w:val="22"/>
              </w:rPr>
              <w:t>Pension, and drawdown of non</w:t>
            </w:r>
            <w:r w:rsidR="00A8443E" w:rsidRPr="00027624">
              <w:rPr>
                <w:sz w:val="22"/>
                <w:szCs w:val="22"/>
              </w:rPr>
              <w:noBreakHyphen/>
            </w:r>
            <w:r w:rsidRPr="00027624">
              <w:rPr>
                <w:sz w:val="22"/>
                <w:szCs w:val="22"/>
              </w:rPr>
              <w:t>superannuation assets.</w:t>
            </w:r>
          </w:p>
          <w:p w14:paraId="48436E57" w14:textId="77777777" w:rsidR="00F50C1C" w:rsidRPr="00027624" w:rsidRDefault="00F50C1C" w:rsidP="00BE51D1">
            <w:pPr>
              <w:jc w:val="left"/>
              <w:rPr>
                <w:sz w:val="22"/>
                <w:szCs w:val="22"/>
              </w:rPr>
            </w:pPr>
            <w:r w:rsidRPr="00027624">
              <w:rPr>
                <w:sz w:val="22"/>
                <w:szCs w:val="22"/>
              </w:rPr>
              <w:t xml:space="preserve">Retirement income projections presented in the report generally relate to </w:t>
            </w:r>
            <w:r w:rsidR="00303BD8" w:rsidRPr="00027624">
              <w:rPr>
                <w:sz w:val="22"/>
                <w:szCs w:val="22"/>
              </w:rPr>
              <w:t>disposable (after</w:t>
            </w:r>
            <w:r w:rsidR="00A8443E" w:rsidRPr="00027624">
              <w:rPr>
                <w:sz w:val="22"/>
                <w:szCs w:val="22"/>
              </w:rPr>
              <w:noBreakHyphen/>
            </w:r>
            <w:r w:rsidRPr="00027624">
              <w:rPr>
                <w:sz w:val="22"/>
                <w:szCs w:val="22"/>
              </w:rPr>
              <w:t>tax</w:t>
            </w:r>
            <w:r w:rsidR="00303BD8" w:rsidRPr="00027624">
              <w:rPr>
                <w:sz w:val="22"/>
                <w:szCs w:val="22"/>
              </w:rPr>
              <w:t>)</w:t>
            </w:r>
            <w:r w:rsidRPr="00027624">
              <w:rPr>
                <w:sz w:val="22"/>
                <w:szCs w:val="22"/>
              </w:rPr>
              <w:t xml:space="preserve"> income unless otherwise stated.</w:t>
            </w:r>
          </w:p>
        </w:tc>
      </w:tr>
      <w:tr w:rsidR="00371420" w:rsidRPr="00027624" w14:paraId="71849D76" w14:textId="77777777" w:rsidTr="00BE51D1">
        <w:trPr>
          <w:cantSplit/>
        </w:trPr>
        <w:tc>
          <w:tcPr>
            <w:tcW w:w="2127" w:type="dxa"/>
            <w:shd w:val="clear" w:color="auto" w:fill="auto"/>
          </w:tcPr>
          <w:p w14:paraId="62841A67" w14:textId="77777777" w:rsidR="00547B47" w:rsidRPr="00027624" w:rsidRDefault="00814818" w:rsidP="00BE51D1">
            <w:pPr>
              <w:jc w:val="left"/>
              <w:rPr>
                <w:sz w:val="22"/>
                <w:szCs w:val="22"/>
              </w:rPr>
            </w:pPr>
            <w:r w:rsidRPr="00027624">
              <w:rPr>
                <w:sz w:val="22"/>
              </w:rPr>
              <w:t>Retirement Income C</w:t>
            </w:r>
            <w:r w:rsidR="00547B47" w:rsidRPr="00027624">
              <w:rPr>
                <w:sz w:val="22"/>
              </w:rPr>
              <w:t>ovenant</w:t>
            </w:r>
          </w:p>
        </w:tc>
        <w:tc>
          <w:tcPr>
            <w:tcW w:w="6943" w:type="dxa"/>
            <w:shd w:val="clear" w:color="auto" w:fill="auto"/>
          </w:tcPr>
          <w:p w14:paraId="00F5D1F7" w14:textId="77777777" w:rsidR="00547B47" w:rsidRPr="00027624" w:rsidRDefault="00547B47" w:rsidP="00BE51D1">
            <w:pPr>
              <w:jc w:val="left"/>
              <w:rPr>
                <w:sz w:val="22"/>
                <w:szCs w:val="22"/>
              </w:rPr>
            </w:pPr>
            <w:r w:rsidRPr="00027624">
              <w:rPr>
                <w:sz w:val="22"/>
                <w:szCs w:val="22"/>
              </w:rPr>
              <w:t xml:space="preserve">The proposed </w:t>
            </w:r>
            <w:r w:rsidR="00814818" w:rsidRPr="00027624">
              <w:rPr>
                <w:sz w:val="22"/>
                <w:szCs w:val="22"/>
              </w:rPr>
              <w:t>Retirement Income Covenant</w:t>
            </w:r>
            <w:r w:rsidRPr="00027624">
              <w:rPr>
                <w:sz w:val="22"/>
                <w:szCs w:val="22"/>
              </w:rPr>
              <w:t xml:space="preserve"> to sit in the </w:t>
            </w:r>
            <w:r w:rsidRPr="00027624">
              <w:rPr>
                <w:i/>
                <w:sz w:val="22"/>
                <w:szCs w:val="22"/>
              </w:rPr>
              <w:t>Superannuation Industry (Supervision) Act 1993</w:t>
            </w:r>
            <w:r w:rsidRPr="00027624">
              <w:rPr>
                <w:sz w:val="22"/>
                <w:szCs w:val="22"/>
              </w:rPr>
              <w:t>, will require trustees to consider the needs and preferences of their members and ensure retirees have greater choice in how they take their superannuation benefits in retirement.</w:t>
            </w:r>
          </w:p>
        </w:tc>
      </w:tr>
      <w:tr w:rsidR="00371420" w:rsidRPr="00027624" w14:paraId="5AA35278" w14:textId="77777777" w:rsidTr="00BE51D1">
        <w:trPr>
          <w:cantSplit/>
        </w:trPr>
        <w:tc>
          <w:tcPr>
            <w:tcW w:w="2127" w:type="dxa"/>
            <w:shd w:val="clear" w:color="auto" w:fill="auto"/>
          </w:tcPr>
          <w:p w14:paraId="0799A292" w14:textId="77777777" w:rsidR="00547B47" w:rsidRPr="00027624" w:rsidRDefault="00547B47" w:rsidP="00BE51D1">
            <w:pPr>
              <w:jc w:val="left"/>
              <w:rPr>
                <w:sz w:val="22"/>
                <w:szCs w:val="22"/>
              </w:rPr>
            </w:pPr>
            <w:r w:rsidRPr="00027624">
              <w:rPr>
                <w:sz w:val="22"/>
                <w:szCs w:val="22"/>
              </w:rPr>
              <w:t>Senior</w:t>
            </w:r>
            <w:r w:rsidR="00604007" w:rsidRPr="00027624">
              <w:rPr>
                <w:sz w:val="22"/>
                <w:szCs w:val="22"/>
              </w:rPr>
              <w:t>s</w:t>
            </w:r>
            <w:r w:rsidR="003F21BD" w:rsidRPr="00027624">
              <w:rPr>
                <w:sz w:val="22"/>
                <w:szCs w:val="22"/>
              </w:rPr>
              <w:t xml:space="preserve"> </w:t>
            </w:r>
            <w:r w:rsidRPr="00027624">
              <w:rPr>
                <w:sz w:val="22"/>
                <w:szCs w:val="22"/>
              </w:rPr>
              <w:t xml:space="preserve">and </w:t>
            </w:r>
            <w:r w:rsidR="003F21BD" w:rsidRPr="00027624">
              <w:rPr>
                <w:sz w:val="22"/>
                <w:szCs w:val="22"/>
              </w:rPr>
              <w:t>p</w:t>
            </w:r>
            <w:r w:rsidRPr="00027624">
              <w:rPr>
                <w:sz w:val="22"/>
                <w:szCs w:val="22"/>
              </w:rPr>
              <w:t xml:space="preserve">ensioners </w:t>
            </w:r>
            <w:r w:rsidR="003F21BD" w:rsidRPr="00027624">
              <w:rPr>
                <w:sz w:val="22"/>
                <w:szCs w:val="22"/>
              </w:rPr>
              <w:t>tax o</w:t>
            </w:r>
            <w:r w:rsidRPr="00027624">
              <w:rPr>
                <w:sz w:val="22"/>
                <w:szCs w:val="22"/>
              </w:rPr>
              <w:t>ffset</w:t>
            </w:r>
          </w:p>
        </w:tc>
        <w:tc>
          <w:tcPr>
            <w:tcW w:w="6943" w:type="dxa"/>
            <w:shd w:val="clear" w:color="auto" w:fill="auto"/>
          </w:tcPr>
          <w:p w14:paraId="2BFE6CDE" w14:textId="77777777" w:rsidR="00547B47" w:rsidRPr="00027624" w:rsidRDefault="00547B47" w:rsidP="00BE51D1">
            <w:pPr>
              <w:jc w:val="left"/>
              <w:rPr>
                <w:sz w:val="22"/>
                <w:szCs w:val="22"/>
              </w:rPr>
            </w:pPr>
            <w:r w:rsidRPr="00027624">
              <w:rPr>
                <w:sz w:val="22"/>
                <w:szCs w:val="22"/>
              </w:rPr>
              <w:t xml:space="preserve">An income tax offset generally available to people who are eligible for the Age Pension. The </w:t>
            </w:r>
            <w:r w:rsidR="00286C15" w:rsidRPr="00027624">
              <w:rPr>
                <w:sz w:val="22"/>
                <w:szCs w:val="22"/>
              </w:rPr>
              <w:t>o</w:t>
            </w:r>
            <w:r w:rsidRPr="00027624">
              <w:rPr>
                <w:sz w:val="22"/>
                <w:szCs w:val="22"/>
              </w:rPr>
              <w:t>ffset effectively raises the tax</w:t>
            </w:r>
            <w:r w:rsidR="00A8443E" w:rsidRPr="00027624">
              <w:rPr>
                <w:sz w:val="22"/>
                <w:szCs w:val="22"/>
              </w:rPr>
              <w:noBreakHyphen/>
            </w:r>
            <w:r w:rsidRPr="00027624">
              <w:rPr>
                <w:sz w:val="22"/>
                <w:szCs w:val="22"/>
              </w:rPr>
              <w:t xml:space="preserve">free threshold for these people. </w:t>
            </w:r>
          </w:p>
        </w:tc>
      </w:tr>
      <w:tr w:rsidR="00371420" w:rsidRPr="00027624" w14:paraId="4A312258" w14:textId="77777777" w:rsidTr="00BE51D1">
        <w:trPr>
          <w:cantSplit/>
        </w:trPr>
        <w:tc>
          <w:tcPr>
            <w:tcW w:w="2127" w:type="dxa"/>
            <w:shd w:val="clear" w:color="auto" w:fill="auto"/>
          </w:tcPr>
          <w:p w14:paraId="469FACEB" w14:textId="77777777" w:rsidR="00547B47" w:rsidRPr="00027624" w:rsidRDefault="00547B47" w:rsidP="00BE51D1">
            <w:pPr>
              <w:jc w:val="left"/>
              <w:rPr>
                <w:sz w:val="22"/>
                <w:szCs w:val="22"/>
              </w:rPr>
            </w:pPr>
            <w:r w:rsidRPr="00027624">
              <w:rPr>
                <w:sz w:val="22"/>
              </w:rPr>
              <w:t>Sequencing risk</w:t>
            </w:r>
          </w:p>
        </w:tc>
        <w:tc>
          <w:tcPr>
            <w:tcW w:w="6943" w:type="dxa"/>
            <w:shd w:val="clear" w:color="auto" w:fill="auto"/>
          </w:tcPr>
          <w:p w14:paraId="76B99FB7" w14:textId="77777777" w:rsidR="00547B47" w:rsidRPr="00027624" w:rsidRDefault="00547B47" w:rsidP="00BE51D1">
            <w:pPr>
              <w:jc w:val="left"/>
              <w:rPr>
                <w:sz w:val="22"/>
                <w:szCs w:val="22"/>
              </w:rPr>
            </w:pPr>
            <w:r w:rsidRPr="00027624">
              <w:rPr>
                <w:sz w:val="22"/>
              </w:rPr>
              <w:t>The risk of lower returns and losses occurring when a person needs to withdraw their capital.</w:t>
            </w:r>
          </w:p>
        </w:tc>
      </w:tr>
      <w:tr w:rsidR="00371420" w:rsidRPr="00027624" w14:paraId="19823618" w14:textId="77777777" w:rsidTr="00BE51D1">
        <w:trPr>
          <w:cantSplit/>
        </w:trPr>
        <w:tc>
          <w:tcPr>
            <w:tcW w:w="2127" w:type="dxa"/>
            <w:shd w:val="clear" w:color="auto" w:fill="auto"/>
          </w:tcPr>
          <w:p w14:paraId="59FF7557" w14:textId="77777777" w:rsidR="00547B47" w:rsidRPr="00027624" w:rsidRDefault="00547B47" w:rsidP="00BE51D1">
            <w:pPr>
              <w:jc w:val="left"/>
              <w:rPr>
                <w:rFonts w:asciiTheme="minorHAnsi" w:hAnsiTheme="minorHAnsi" w:cstheme="minorHAnsi"/>
                <w:sz w:val="22"/>
                <w:szCs w:val="22"/>
              </w:rPr>
            </w:pPr>
            <w:r w:rsidRPr="00027624">
              <w:rPr>
                <w:rFonts w:asciiTheme="minorHAnsi" w:hAnsiTheme="minorHAnsi" w:cstheme="minorHAnsi"/>
                <w:sz w:val="22"/>
                <w:szCs w:val="22"/>
              </w:rPr>
              <w:t>Sham contracting</w:t>
            </w:r>
          </w:p>
        </w:tc>
        <w:tc>
          <w:tcPr>
            <w:tcW w:w="6943" w:type="dxa"/>
            <w:shd w:val="clear" w:color="auto" w:fill="auto"/>
          </w:tcPr>
          <w:p w14:paraId="38456F9C" w14:textId="77777777" w:rsidR="00547B47" w:rsidRPr="00027624" w:rsidRDefault="00547B47" w:rsidP="00BE51D1">
            <w:pPr>
              <w:jc w:val="left"/>
              <w:rPr>
                <w:sz w:val="22"/>
                <w:szCs w:val="22"/>
              </w:rPr>
            </w:pPr>
            <w:r w:rsidRPr="00027624">
              <w:rPr>
                <w:sz w:val="22"/>
                <w:szCs w:val="22"/>
              </w:rPr>
              <w:t>Sham contracting is an illegal activity where a person working as an employee is told they are an independent contractor (when they are not) and may be required to have an ABN and submit invoices.</w:t>
            </w:r>
          </w:p>
          <w:p w14:paraId="5AD787D1" w14:textId="77777777" w:rsidR="00547B47" w:rsidRPr="00027624" w:rsidRDefault="00547B47" w:rsidP="00BE51D1">
            <w:pPr>
              <w:jc w:val="left"/>
              <w:rPr>
                <w:rFonts w:asciiTheme="minorHAnsi" w:hAnsiTheme="minorHAnsi" w:cstheme="minorHAnsi"/>
                <w:sz w:val="22"/>
                <w:szCs w:val="22"/>
              </w:rPr>
            </w:pPr>
            <w:r w:rsidRPr="00027624">
              <w:rPr>
                <w:sz w:val="22"/>
                <w:szCs w:val="22"/>
              </w:rPr>
              <w:t>Sham contracting may be done intentionally or carelessly by an employer. These types of arrangements are sometime</w:t>
            </w:r>
            <w:r w:rsidR="00241510" w:rsidRPr="00027624">
              <w:rPr>
                <w:sz w:val="22"/>
                <w:szCs w:val="22"/>
              </w:rPr>
              <w:t>s</w:t>
            </w:r>
            <w:r w:rsidRPr="00027624">
              <w:rPr>
                <w:sz w:val="22"/>
                <w:szCs w:val="22"/>
              </w:rPr>
              <w:t xml:space="preserve"> set up by employers who are seeking to avoid responsibility for paying legal entitlements to employees.</w:t>
            </w:r>
          </w:p>
        </w:tc>
      </w:tr>
      <w:tr w:rsidR="00371420" w:rsidRPr="00027624" w14:paraId="465E9B9A" w14:textId="77777777" w:rsidTr="00BE51D1">
        <w:trPr>
          <w:cantSplit/>
        </w:trPr>
        <w:tc>
          <w:tcPr>
            <w:tcW w:w="2127" w:type="dxa"/>
            <w:shd w:val="clear" w:color="auto" w:fill="auto"/>
          </w:tcPr>
          <w:p w14:paraId="3361F00A" w14:textId="77777777" w:rsidR="00547B47" w:rsidRPr="00027624" w:rsidRDefault="00547B47" w:rsidP="00BE51D1">
            <w:pPr>
              <w:jc w:val="left"/>
              <w:rPr>
                <w:sz w:val="22"/>
                <w:szCs w:val="22"/>
              </w:rPr>
            </w:pPr>
            <w:r w:rsidRPr="00027624">
              <w:rPr>
                <w:sz w:val="22"/>
                <w:szCs w:val="22"/>
              </w:rPr>
              <w:t>Single Touch Payroll</w:t>
            </w:r>
          </w:p>
        </w:tc>
        <w:tc>
          <w:tcPr>
            <w:tcW w:w="6943" w:type="dxa"/>
            <w:shd w:val="clear" w:color="auto" w:fill="auto"/>
          </w:tcPr>
          <w:p w14:paraId="4F4287BF" w14:textId="77777777" w:rsidR="00547B47" w:rsidRPr="00027624" w:rsidRDefault="00547B47" w:rsidP="00BE51D1">
            <w:pPr>
              <w:jc w:val="left"/>
              <w:rPr>
                <w:sz w:val="22"/>
                <w:szCs w:val="22"/>
              </w:rPr>
            </w:pPr>
            <w:r w:rsidRPr="00027624">
              <w:rPr>
                <w:sz w:val="22"/>
                <w:szCs w:val="22"/>
              </w:rPr>
              <w:t>Compliance regulation set out by the ATO that requires employers to send employee payroll information including salary, wages, pay</w:t>
            </w:r>
            <w:r w:rsidR="00A8443E" w:rsidRPr="00027624">
              <w:rPr>
                <w:sz w:val="22"/>
                <w:szCs w:val="22"/>
              </w:rPr>
              <w:noBreakHyphen/>
            </w:r>
            <w:r w:rsidRPr="00027624">
              <w:rPr>
                <w:sz w:val="22"/>
                <w:szCs w:val="22"/>
              </w:rPr>
              <w:t>as</w:t>
            </w:r>
            <w:r w:rsidR="00A8443E" w:rsidRPr="00027624">
              <w:rPr>
                <w:sz w:val="22"/>
                <w:szCs w:val="22"/>
              </w:rPr>
              <w:noBreakHyphen/>
            </w:r>
            <w:r w:rsidRPr="00027624">
              <w:rPr>
                <w:sz w:val="22"/>
                <w:szCs w:val="22"/>
              </w:rPr>
              <w:t>you</w:t>
            </w:r>
            <w:r w:rsidR="00A8443E" w:rsidRPr="00027624">
              <w:rPr>
                <w:sz w:val="22"/>
                <w:szCs w:val="22"/>
              </w:rPr>
              <w:noBreakHyphen/>
            </w:r>
            <w:r w:rsidRPr="00027624">
              <w:rPr>
                <w:sz w:val="22"/>
                <w:szCs w:val="22"/>
              </w:rPr>
              <w:t>go withholding and superannuation</w:t>
            </w:r>
            <w:r w:rsidR="001B2F79" w:rsidRPr="00027624">
              <w:rPr>
                <w:sz w:val="22"/>
                <w:szCs w:val="22"/>
              </w:rPr>
              <w:t>,</w:t>
            </w:r>
            <w:r w:rsidRPr="00027624">
              <w:rPr>
                <w:sz w:val="22"/>
                <w:szCs w:val="22"/>
              </w:rPr>
              <w:t xml:space="preserve"> to the ATO at the same time as their standard pay run.</w:t>
            </w:r>
          </w:p>
        </w:tc>
      </w:tr>
      <w:tr w:rsidR="00371420" w:rsidRPr="00027624" w14:paraId="4622DFFF" w14:textId="77777777" w:rsidTr="00BE51D1">
        <w:trPr>
          <w:cantSplit/>
        </w:trPr>
        <w:tc>
          <w:tcPr>
            <w:tcW w:w="2127" w:type="dxa"/>
            <w:shd w:val="clear" w:color="auto" w:fill="auto"/>
          </w:tcPr>
          <w:p w14:paraId="36844E65" w14:textId="77777777" w:rsidR="00547B47" w:rsidRPr="00027624" w:rsidRDefault="00547B47" w:rsidP="00BE51D1">
            <w:pPr>
              <w:jc w:val="left"/>
              <w:rPr>
                <w:sz w:val="22"/>
                <w:szCs w:val="22"/>
              </w:rPr>
            </w:pPr>
            <w:r w:rsidRPr="00027624">
              <w:rPr>
                <w:sz w:val="22"/>
                <w:szCs w:val="22"/>
              </w:rPr>
              <w:t>Social transfers in kind</w:t>
            </w:r>
          </w:p>
        </w:tc>
        <w:tc>
          <w:tcPr>
            <w:tcW w:w="6943" w:type="dxa"/>
            <w:shd w:val="clear" w:color="auto" w:fill="auto"/>
          </w:tcPr>
          <w:p w14:paraId="0CC03E4E" w14:textId="77777777" w:rsidR="00547B47" w:rsidRPr="00027624" w:rsidRDefault="00547B47" w:rsidP="00BE51D1">
            <w:pPr>
              <w:jc w:val="left"/>
              <w:rPr>
                <w:sz w:val="22"/>
                <w:szCs w:val="22"/>
              </w:rPr>
            </w:pPr>
            <w:r w:rsidRPr="00027624">
              <w:rPr>
                <w:sz w:val="22"/>
                <w:szCs w:val="22"/>
              </w:rPr>
              <w:t>Subsidised or free goods and services provided by governments to households, such as aged care and health care.</w:t>
            </w:r>
          </w:p>
        </w:tc>
      </w:tr>
      <w:tr w:rsidR="00371420" w:rsidRPr="00027624" w14:paraId="41E9421A" w14:textId="77777777" w:rsidTr="00BE51D1">
        <w:trPr>
          <w:cantSplit/>
        </w:trPr>
        <w:tc>
          <w:tcPr>
            <w:tcW w:w="2127" w:type="dxa"/>
            <w:shd w:val="clear" w:color="auto" w:fill="auto"/>
          </w:tcPr>
          <w:p w14:paraId="42F8132D" w14:textId="77777777" w:rsidR="00547B47" w:rsidRPr="00027624" w:rsidRDefault="00547B47" w:rsidP="00BE51D1">
            <w:pPr>
              <w:jc w:val="left"/>
              <w:rPr>
                <w:sz w:val="22"/>
              </w:rPr>
            </w:pPr>
            <w:r w:rsidRPr="00027624">
              <w:rPr>
                <w:sz w:val="22"/>
              </w:rPr>
              <w:t xml:space="preserve">Subjective wellbeing </w:t>
            </w:r>
          </w:p>
        </w:tc>
        <w:tc>
          <w:tcPr>
            <w:tcW w:w="6943" w:type="dxa"/>
            <w:shd w:val="clear" w:color="auto" w:fill="auto"/>
          </w:tcPr>
          <w:p w14:paraId="42048182" w14:textId="77777777" w:rsidR="00547B47" w:rsidRPr="00027624" w:rsidRDefault="00547B47" w:rsidP="00BE51D1">
            <w:pPr>
              <w:jc w:val="left"/>
              <w:rPr>
                <w:sz w:val="22"/>
              </w:rPr>
            </w:pPr>
            <w:r w:rsidRPr="00027624">
              <w:rPr>
                <w:sz w:val="22"/>
              </w:rPr>
              <w:t>A person</w:t>
            </w:r>
            <w:r w:rsidR="00A8443E" w:rsidRPr="00027624">
              <w:rPr>
                <w:sz w:val="22"/>
              </w:rPr>
              <w:t>’</w:t>
            </w:r>
            <w:r w:rsidRPr="00027624">
              <w:rPr>
                <w:sz w:val="22"/>
              </w:rPr>
              <w:t>s own evaluation of their life and wellbeing.</w:t>
            </w:r>
          </w:p>
        </w:tc>
      </w:tr>
      <w:tr w:rsidR="00371420" w:rsidRPr="00027624" w14:paraId="20A68954" w14:textId="77777777" w:rsidTr="00BE51D1">
        <w:trPr>
          <w:cantSplit/>
        </w:trPr>
        <w:tc>
          <w:tcPr>
            <w:tcW w:w="2127" w:type="dxa"/>
            <w:shd w:val="clear" w:color="auto" w:fill="auto"/>
          </w:tcPr>
          <w:p w14:paraId="2C99AC2C" w14:textId="77777777" w:rsidR="00547B47" w:rsidRPr="00027624" w:rsidRDefault="00547B47" w:rsidP="00BE51D1">
            <w:pPr>
              <w:jc w:val="left"/>
              <w:rPr>
                <w:sz w:val="22"/>
                <w:szCs w:val="22"/>
              </w:rPr>
            </w:pPr>
            <w:r w:rsidRPr="00027624">
              <w:rPr>
                <w:sz w:val="22"/>
              </w:rPr>
              <w:lastRenderedPageBreak/>
              <w:t>Superannuation coverage</w:t>
            </w:r>
          </w:p>
        </w:tc>
        <w:tc>
          <w:tcPr>
            <w:tcW w:w="6943" w:type="dxa"/>
            <w:shd w:val="clear" w:color="auto" w:fill="auto"/>
          </w:tcPr>
          <w:p w14:paraId="1E6EEDD3" w14:textId="77777777" w:rsidR="00547B47" w:rsidRPr="00027624" w:rsidRDefault="00547B47" w:rsidP="00BE51D1">
            <w:pPr>
              <w:jc w:val="left"/>
              <w:rPr>
                <w:sz w:val="22"/>
                <w:szCs w:val="22"/>
              </w:rPr>
            </w:pPr>
            <w:r w:rsidRPr="00027624">
              <w:rPr>
                <w:sz w:val="22"/>
              </w:rPr>
              <w:t>A person is considered to have superannuation coverage if they have a superannuation balance above zero, receive regular income from superannuation, or have received a lump sum superannuation payment in the past two years.</w:t>
            </w:r>
          </w:p>
        </w:tc>
      </w:tr>
      <w:tr w:rsidR="00371420" w:rsidRPr="00027624" w14:paraId="06745CF7" w14:textId="77777777" w:rsidTr="00BE51D1">
        <w:trPr>
          <w:cantSplit/>
        </w:trPr>
        <w:tc>
          <w:tcPr>
            <w:tcW w:w="2127" w:type="dxa"/>
            <w:shd w:val="clear" w:color="auto" w:fill="auto"/>
          </w:tcPr>
          <w:p w14:paraId="2FEF0E8B" w14:textId="77777777" w:rsidR="00547B47" w:rsidRPr="00027624" w:rsidRDefault="00547B47" w:rsidP="00BE51D1">
            <w:pPr>
              <w:jc w:val="left"/>
              <w:rPr>
                <w:sz w:val="22"/>
              </w:rPr>
            </w:pPr>
            <w:r w:rsidRPr="00027624">
              <w:rPr>
                <w:sz w:val="22"/>
              </w:rPr>
              <w:t>Superannuation death benefits</w:t>
            </w:r>
          </w:p>
        </w:tc>
        <w:tc>
          <w:tcPr>
            <w:tcW w:w="6943" w:type="dxa"/>
            <w:shd w:val="clear" w:color="auto" w:fill="auto"/>
          </w:tcPr>
          <w:p w14:paraId="010DB8BA" w14:textId="77777777" w:rsidR="00547B47" w:rsidRPr="00027624" w:rsidRDefault="00547B47" w:rsidP="00BE51D1">
            <w:pPr>
              <w:jc w:val="left"/>
              <w:rPr>
                <w:sz w:val="22"/>
              </w:rPr>
            </w:pPr>
            <w:r w:rsidRPr="00027624">
              <w:rPr>
                <w:sz w:val="22"/>
              </w:rPr>
              <w:t>A payment to a dependent beneficiary or to the trustee of a deceased estate after the member has died.</w:t>
            </w:r>
          </w:p>
        </w:tc>
      </w:tr>
      <w:tr w:rsidR="00371420" w:rsidRPr="00027624" w14:paraId="6D57CFA5" w14:textId="77777777" w:rsidTr="00BE51D1">
        <w:trPr>
          <w:cantSplit/>
        </w:trPr>
        <w:tc>
          <w:tcPr>
            <w:tcW w:w="2127" w:type="dxa"/>
            <w:shd w:val="clear" w:color="auto" w:fill="auto"/>
          </w:tcPr>
          <w:p w14:paraId="391F1559" w14:textId="77777777" w:rsidR="00547B47" w:rsidRPr="00027624" w:rsidRDefault="00547B47" w:rsidP="00BE51D1">
            <w:pPr>
              <w:jc w:val="left"/>
              <w:rPr>
                <w:sz w:val="22"/>
                <w:szCs w:val="22"/>
              </w:rPr>
            </w:pPr>
            <w:r w:rsidRPr="00027624">
              <w:rPr>
                <w:sz w:val="22"/>
                <w:szCs w:val="22"/>
              </w:rPr>
              <w:t>Superannuation Guarantee (SG)</w:t>
            </w:r>
          </w:p>
        </w:tc>
        <w:tc>
          <w:tcPr>
            <w:tcW w:w="6943" w:type="dxa"/>
            <w:shd w:val="clear" w:color="auto" w:fill="auto"/>
          </w:tcPr>
          <w:p w14:paraId="7882BD58" w14:textId="77777777" w:rsidR="00547B47" w:rsidRPr="00027624" w:rsidRDefault="00547B47" w:rsidP="00BE51D1">
            <w:pPr>
              <w:jc w:val="left"/>
              <w:rPr>
                <w:sz w:val="22"/>
              </w:rPr>
            </w:pPr>
            <w:r w:rsidRPr="00027624">
              <w:rPr>
                <w:sz w:val="22"/>
              </w:rPr>
              <w:t>The minimum amount of money an employer must contribute to a superannuation fund on behalf of an eligible employee. Generally</w:t>
            </w:r>
            <w:r w:rsidR="00A5127D" w:rsidRPr="00027624">
              <w:rPr>
                <w:sz w:val="22"/>
              </w:rPr>
              <w:t>,</w:t>
            </w:r>
            <w:r w:rsidRPr="00027624">
              <w:rPr>
                <w:sz w:val="22"/>
              </w:rPr>
              <w:t xml:space="preserve"> an employee must meet the $450</w:t>
            </w:r>
            <w:r w:rsidR="00A8443E" w:rsidRPr="00027624">
              <w:rPr>
                <w:sz w:val="22"/>
              </w:rPr>
              <w:noBreakHyphen/>
            </w:r>
            <w:r w:rsidRPr="00027624">
              <w:rPr>
                <w:sz w:val="22"/>
              </w:rPr>
              <w:t>a</w:t>
            </w:r>
            <w:r w:rsidR="00A8443E" w:rsidRPr="00027624">
              <w:rPr>
                <w:sz w:val="22"/>
              </w:rPr>
              <w:noBreakHyphen/>
            </w:r>
            <w:r w:rsidRPr="00027624">
              <w:rPr>
                <w:sz w:val="22"/>
              </w:rPr>
              <w:t>month threshold before SG is payable. SG is calculated as a percent</w:t>
            </w:r>
            <w:r w:rsidR="005D4089" w:rsidRPr="00027624">
              <w:rPr>
                <w:sz w:val="22"/>
              </w:rPr>
              <w:t>age</w:t>
            </w:r>
            <w:r w:rsidRPr="00027624">
              <w:rPr>
                <w:sz w:val="22"/>
              </w:rPr>
              <w:t xml:space="preserve"> of the ordinary time earnings of the employee and is payable on top of the earnings of the employee.</w:t>
            </w:r>
          </w:p>
          <w:p w14:paraId="4AA6DAE5" w14:textId="77777777" w:rsidR="00547B47" w:rsidRPr="00027624" w:rsidRDefault="00547B47" w:rsidP="00BE51D1">
            <w:pPr>
              <w:jc w:val="left"/>
              <w:rPr>
                <w:sz w:val="22"/>
              </w:rPr>
            </w:pPr>
            <w:r w:rsidRPr="00027624">
              <w:rPr>
                <w:sz w:val="22"/>
              </w:rPr>
              <w:t>Currently</w:t>
            </w:r>
            <w:r w:rsidR="00F47A46" w:rsidRPr="00027624">
              <w:rPr>
                <w:sz w:val="22"/>
              </w:rPr>
              <w:t>,</w:t>
            </w:r>
            <w:r w:rsidRPr="00027624">
              <w:rPr>
                <w:sz w:val="22"/>
              </w:rPr>
              <w:t xml:space="preserve"> the SG rate is 9.5</w:t>
            </w:r>
            <w:r w:rsidR="00F47A46" w:rsidRPr="00027624">
              <w:rPr>
                <w:sz w:val="22"/>
              </w:rPr>
              <w:t> </w:t>
            </w:r>
            <w:r w:rsidRPr="00027624">
              <w:rPr>
                <w:sz w:val="22"/>
              </w:rPr>
              <w:t>per</w:t>
            </w:r>
            <w:r w:rsidR="00F47A46" w:rsidRPr="00027624">
              <w:rPr>
                <w:sz w:val="22"/>
              </w:rPr>
              <w:t> </w:t>
            </w:r>
            <w:r w:rsidRPr="00027624">
              <w:rPr>
                <w:sz w:val="22"/>
              </w:rPr>
              <w:t>cent. It is scheduled to increase to 10</w:t>
            </w:r>
            <w:r w:rsidR="00F47A46" w:rsidRPr="00027624">
              <w:rPr>
                <w:sz w:val="22"/>
              </w:rPr>
              <w:t> </w:t>
            </w:r>
            <w:r w:rsidRPr="00027624">
              <w:rPr>
                <w:sz w:val="22"/>
              </w:rPr>
              <w:t>per</w:t>
            </w:r>
            <w:r w:rsidR="00F47A46" w:rsidRPr="00027624">
              <w:rPr>
                <w:sz w:val="22"/>
              </w:rPr>
              <w:t> </w:t>
            </w:r>
            <w:r w:rsidRPr="00027624">
              <w:rPr>
                <w:sz w:val="22"/>
              </w:rPr>
              <w:t>cent as of 1 July 2021, gradually increasing to 12 per cent as of 1</w:t>
            </w:r>
            <w:r w:rsidR="00F47A46" w:rsidRPr="00027624">
              <w:rPr>
                <w:sz w:val="22"/>
              </w:rPr>
              <w:t> </w:t>
            </w:r>
            <w:r w:rsidRPr="00027624">
              <w:rPr>
                <w:sz w:val="22"/>
              </w:rPr>
              <w:t>July 2025</w:t>
            </w:r>
            <w:r w:rsidRPr="00027624">
              <w:rPr>
                <w:sz w:val="22"/>
                <w:szCs w:val="22"/>
              </w:rPr>
              <w:t>.</w:t>
            </w:r>
          </w:p>
          <w:p w14:paraId="7E285BD4" w14:textId="77777777" w:rsidR="00547B47" w:rsidRPr="00027624" w:rsidRDefault="00547B47" w:rsidP="00BE51D1">
            <w:pPr>
              <w:jc w:val="left"/>
              <w:rPr>
                <w:sz w:val="22"/>
                <w:szCs w:val="22"/>
              </w:rPr>
            </w:pPr>
            <w:r w:rsidRPr="00027624">
              <w:rPr>
                <w:sz w:val="22"/>
              </w:rPr>
              <w:t xml:space="preserve">Further information relating to SG can be found in </w:t>
            </w:r>
            <w:r w:rsidRPr="00027624">
              <w:rPr>
                <w:i/>
                <w:sz w:val="22"/>
              </w:rPr>
              <w:t>1B. Design of Australia</w:t>
            </w:r>
            <w:r w:rsidR="00A8443E" w:rsidRPr="00027624">
              <w:rPr>
                <w:i/>
                <w:sz w:val="22"/>
              </w:rPr>
              <w:t>’</w:t>
            </w:r>
            <w:r w:rsidRPr="00027624">
              <w:rPr>
                <w:i/>
                <w:sz w:val="22"/>
              </w:rPr>
              <w:t>s retirement income system</w:t>
            </w:r>
            <w:r w:rsidRPr="00027624">
              <w:rPr>
                <w:iCs/>
                <w:szCs w:val="22"/>
              </w:rPr>
              <w:t>.</w:t>
            </w:r>
          </w:p>
        </w:tc>
      </w:tr>
      <w:tr w:rsidR="00371420" w:rsidRPr="00027624" w14:paraId="3438B7FA" w14:textId="77777777" w:rsidTr="00BE51D1">
        <w:trPr>
          <w:cantSplit/>
        </w:trPr>
        <w:tc>
          <w:tcPr>
            <w:tcW w:w="2127" w:type="dxa"/>
            <w:shd w:val="clear" w:color="auto" w:fill="auto"/>
          </w:tcPr>
          <w:p w14:paraId="5CC5E20E" w14:textId="77777777" w:rsidR="00B44CC5" w:rsidRPr="00027624" w:rsidRDefault="00B44CC5" w:rsidP="00BE51D1">
            <w:pPr>
              <w:jc w:val="left"/>
              <w:rPr>
                <w:sz w:val="22"/>
              </w:rPr>
            </w:pPr>
            <w:r w:rsidRPr="00027624">
              <w:rPr>
                <w:sz w:val="22"/>
              </w:rPr>
              <w:t>Superannuation Guarantee (SG) coverage</w:t>
            </w:r>
          </w:p>
        </w:tc>
        <w:tc>
          <w:tcPr>
            <w:tcW w:w="6943" w:type="dxa"/>
            <w:shd w:val="clear" w:color="auto" w:fill="auto"/>
          </w:tcPr>
          <w:p w14:paraId="2E7E0954" w14:textId="77777777" w:rsidR="00B44CC5" w:rsidRPr="00027624" w:rsidRDefault="00690AC3" w:rsidP="00BE51D1">
            <w:pPr>
              <w:jc w:val="left"/>
              <w:rPr>
                <w:sz w:val="22"/>
              </w:rPr>
            </w:pPr>
            <w:r w:rsidRPr="00027624">
              <w:rPr>
                <w:sz w:val="22"/>
              </w:rPr>
              <w:t>A person is considered to have SG coverage if they receive the SG</w:t>
            </w:r>
            <w:r w:rsidR="00800012" w:rsidRPr="00027624">
              <w:rPr>
                <w:sz w:val="22"/>
              </w:rPr>
              <w:t xml:space="preserve"> from their employer</w:t>
            </w:r>
            <w:r w:rsidR="008767CA" w:rsidRPr="00027624">
              <w:rPr>
                <w:sz w:val="22"/>
              </w:rPr>
              <w:t>.</w:t>
            </w:r>
          </w:p>
        </w:tc>
      </w:tr>
      <w:tr w:rsidR="00371420" w:rsidRPr="00027624" w14:paraId="05100595" w14:textId="77777777" w:rsidTr="00BE51D1">
        <w:trPr>
          <w:cantSplit/>
        </w:trPr>
        <w:tc>
          <w:tcPr>
            <w:tcW w:w="2127" w:type="dxa"/>
            <w:shd w:val="clear" w:color="auto" w:fill="auto"/>
          </w:tcPr>
          <w:p w14:paraId="7EF6D133" w14:textId="77777777" w:rsidR="00547B47" w:rsidRPr="00027624" w:rsidRDefault="00547B47" w:rsidP="00BE51D1">
            <w:pPr>
              <w:jc w:val="left"/>
              <w:rPr>
                <w:sz w:val="22"/>
                <w:szCs w:val="22"/>
              </w:rPr>
            </w:pPr>
            <w:r w:rsidRPr="00027624">
              <w:rPr>
                <w:sz w:val="22"/>
                <w:szCs w:val="22"/>
              </w:rPr>
              <w:t>Tax concessions</w:t>
            </w:r>
          </w:p>
          <w:p w14:paraId="5DC49A7F" w14:textId="77777777" w:rsidR="00547B47" w:rsidRPr="00027624" w:rsidRDefault="00547B47" w:rsidP="00BE51D1">
            <w:pPr>
              <w:pStyle w:val="ListParagraph"/>
              <w:numPr>
                <w:ilvl w:val="0"/>
                <w:numId w:val="10"/>
              </w:numPr>
              <w:jc w:val="left"/>
              <w:rPr>
                <w:sz w:val="22"/>
                <w:szCs w:val="22"/>
              </w:rPr>
            </w:pPr>
            <w:r w:rsidRPr="00027624">
              <w:rPr>
                <w:sz w:val="22"/>
                <w:szCs w:val="22"/>
              </w:rPr>
              <w:t>Contributions tax concessions</w:t>
            </w:r>
          </w:p>
          <w:p w14:paraId="5A67D579" w14:textId="77777777" w:rsidR="00547B47" w:rsidRPr="00027624" w:rsidRDefault="00547B47" w:rsidP="00BE51D1">
            <w:pPr>
              <w:pStyle w:val="ListParagraph"/>
              <w:numPr>
                <w:ilvl w:val="0"/>
                <w:numId w:val="10"/>
              </w:numPr>
              <w:jc w:val="left"/>
              <w:rPr>
                <w:sz w:val="22"/>
                <w:szCs w:val="22"/>
              </w:rPr>
            </w:pPr>
            <w:r w:rsidRPr="00027624">
              <w:rPr>
                <w:sz w:val="22"/>
                <w:szCs w:val="22"/>
              </w:rPr>
              <w:t>Earnings tax concessions</w:t>
            </w:r>
          </w:p>
        </w:tc>
        <w:tc>
          <w:tcPr>
            <w:tcW w:w="6943" w:type="dxa"/>
            <w:shd w:val="clear" w:color="auto" w:fill="auto"/>
          </w:tcPr>
          <w:p w14:paraId="5C756CE7" w14:textId="77777777" w:rsidR="00547B47" w:rsidRPr="00027624" w:rsidRDefault="00547B47" w:rsidP="00BE51D1">
            <w:pPr>
              <w:jc w:val="left"/>
              <w:rPr>
                <w:sz w:val="22"/>
                <w:szCs w:val="22"/>
              </w:rPr>
            </w:pPr>
            <w:r w:rsidRPr="00027624">
              <w:rPr>
                <w:sz w:val="22"/>
                <w:szCs w:val="22"/>
              </w:rPr>
              <w:t>Reduction in the tax otherwise payable. The superannuation system provides two main tax concessions compared to personal income tax to encourage savings in superannuation.</w:t>
            </w:r>
          </w:p>
          <w:p w14:paraId="1FDFD3FA" w14:textId="77777777" w:rsidR="00547B47" w:rsidRPr="00027624" w:rsidRDefault="00547B47" w:rsidP="00BE51D1">
            <w:pPr>
              <w:jc w:val="left"/>
              <w:rPr>
                <w:sz w:val="22"/>
                <w:szCs w:val="22"/>
              </w:rPr>
            </w:pPr>
            <w:r w:rsidRPr="00027624">
              <w:rPr>
                <w:sz w:val="22"/>
                <w:szCs w:val="22"/>
              </w:rPr>
              <w:t xml:space="preserve">Contributions made to superannuation below the concessional </w:t>
            </w:r>
            <w:r w:rsidR="00404B9D" w:rsidRPr="00027624">
              <w:rPr>
                <w:sz w:val="22"/>
                <w:szCs w:val="22"/>
              </w:rPr>
              <w:t>contributions cap</w:t>
            </w:r>
            <w:r w:rsidRPr="00027624">
              <w:rPr>
                <w:sz w:val="22"/>
                <w:szCs w:val="22"/>
              </w:rPr>
              <w:t xml:space="preserve"> are generally taxed at a flat 15</w:t>
            </w:r>
            <w:r w:rsidR="00FB140F" w:rsidRPr="00027624">
              <w:rPr>
                <w:sz w:val="22"/>
                <w:szCs w:val="22"/>
              </w:rPr>
              <w:t> </w:t>
            </w:r>
            <w:r w:rsidRPr="00027624">
              <w:rPr>
                <w:sz w:val="22"/>
                <w:szCs w:val="22"/>
              </w:rPr>
              <w:t>per</w:t>
            </w:r>
            <w:r w:rsidR="00FB140F" w:rsidRPr="00027624">
              <w:rPr>
                <w:sz w:val="22"/>
                <w:szCs w:val="22"/>
              </w:rPr>
              <w:t> </w:t>
            </w:r>
            <w:r w:rsidRPr="00027624">
              <w:rPr>
                <w:sz w:val="22"/>
                <w:szCs w:val="22"/>
              </w:rPr>
              <w:t>cent instead of the person</w:t>
            </w:r>
            <w:r w:rsidR="00A8443E" w:rsidRPr="00027624">
              <w:rPr>
                <w:sz w:val="22"/>
                <w:szCs w:val="22"/>
              </w:rPr>
              <w:t>’</w:t>
            </w:r>
            <w:r w:rsidRPr="00027624">
              <w:rPr>
                <w:sz w:val="22"/>
                <w:szCs w:val="22"/>
              </w:rPr>
              <w:t>s marginal income tax rate. For people subject to Division 293 tax, the effective tax rate on their contributions is 30</w:t>
            </w:r>
            <w:r w:rsidR="00FB140F" w:rsidRPr="00027624">
              <w:rPr>
                <w:sz w:val="22"/>
                <w:szCs w:val="22"/>
              </w:rPr>
              <w:t> </w:t>
            </w:r>
            <w:r w:rsidRPr="00027624">
              <w:rPr>
                <w:sz w:val="22"/>
                <w:szCs w:val="22"/>
              </w:rPr>
              <w:t>per</w:t>
            </w:r>
            <w:r w:rsidR="00FB140F" w:rsidRPr="00027624">
              <w:rPr>
                <w:sz w:val="22"/>
                <w:szCs w:val="22"/>
              </w:rPr>
              <w:t> </w:t>
            </w:r>
            <w:r w:rsidRPr="00027624">
              <w:rPr>
                <w:sz w:val="22"/>
                <w:szCs w:val="22"/>
              </w:rPr>
              <w:t>cent.</w:t>
            </w:r>
          </w:p>
          <w:p w14:paraId="68D3F389" w14:textId="77777777" w:rsidR="00547B47" w:rsidRPr="00027624" w:rsidRDefault="00547B47" w:rsidP="00BE51D1">
            <w:pPr>
              <w:jc w:val="left"/>
              <w:rPr>
                <w:sz w:val="22"/>
                <w:szCs w:val="22"/>
              </w:rPr>
            </w:pPr>
            <w:r w:rsidRPr="00027624">
              <w:rPr>
                <w:sz w:val="22"/>
                <w:szCs w:val="22"/>
              </w:rPr>
              <w:t>Earnings on superannuation funds in accumulation</w:t>
            </w:r>
            <w:r w:rsidR="00A8443E" w:rsidRPr="00027624">
              <w:rPr>
                <w:sz w:val="22"/>
                <w:szCs w:val="22"/>
              </w:rPr>
              <w:noBreakHyphen/>
            </w:r>
            <w:r w:rsidRPr="00027624">
              <w:rPr>
                <w:sz w:val="22"/>
                <w:szCs w:val="22"/>
              </w:rPr>
              <w:t>phase are taxed at a flat 15</w:t>
            </w:r>
            <w:r w:rsidR="00884059" w:rsidRPr="00027624">
              <w:rPr>
                <w:sz w:val="22"/>
                <w:szCs w:val="22"/>
              </w:rPr>
              <w:t> </w:t>
            </w:r>
            <w:r w:rsidRPr="00027624">
              <w:rPr>
                <w:sz w:val="22"/>
                <w:szCs w:val="22"/>
              </w:rPr>
              <w:t>per</w:t>
            </w:r>
            <w:r w:rsidR="00884059" w:rsidRPr="00027624">
              <w:rPr>
                <w:sz w:val="22"/>
                <w:szCs w:val="22"/>
              </w:rPr>
              <w:t> </w:t>
            </w:r>
            <w:r w:rsidRPr="00027624">
              <w:rPr>
                <w:sz w:val="22"/>
                <w:szCs w:val="22"/>
              </w:rPr>
              <w:t>cent, instead of the person</w:t>
            </w:r>
            <w:r w:rsidR="00A8443E" w:rsidRPr="00027624">
              <w:rPr>
                <w:sz w:val="22"/>
                <w:szCs w:val="22"/>
              </w:rPr>
              <w:t>’</w:t>
            </w:r>
            <w:r w:rsidRPr="00027624">
              <w:rPr>
                <w:sz w:val="22"/>
                <w:szCs w:val="22"/>
              </w:rPr>
              <w:t>s marginal income tax rate. Earnings on superannuation funds are tax</w:t>
            </w:r>
            <w:r w:rsidR="00A8443E" w:rsidRPr="00027624">
              <w:rPr>
                <w:sz w:val="22"/>
                <w:szCs w:val="22"/>
              </w:rPr>
              <w:noBreakHyphen/>
            </w:r>
            <w:r w:rsidRPr="00027624">
              <w:rPr>
                <w:sz w:val="22"/>
                <w:szCs w:val="22"/>
              </w:rPr>
              <w:t>free when they are in pension</w:t>
            </w:r>
            <w:r w:rsidR="00A8443E" w:rsidRPr="00027624">
              <w:rPr>
                <w:sz w:val="22"/>
                <w:szCs w:val="22"/>
              </w:rPr>
              <w:noBreakHyphen/>
            </w:r>
            <w:r w:rsidRPr="00027624">
              <w:rPr>
                <w:sz w:val="22"/>
                <w:szCs w:val="22"/>
              </w:rPr>
              <w:t xml:space="preserve">phase, subject to the </w:t>
            </w:r>
            <w:r w:rsidR="00026BF2" w:rsidRPr="00027624">
              <w:rPr>
                <w:sz w:val="22"/>
                <w:szCs w:val="22"/>
              </w:rPr>
              <w:t>transfer balance cap</w:t>
            </w:r>
            <w:r w:rsidRPr="00027624">
              <w:rPr>
                <w:sz w:val="22"/>
                <w:szCs w:val="22"/>
              </w:rPr>
              <w:t>. Funds over the Cap ca</w:t>
            </w:r>
            <w:r w:rsidR="00884059" w:rsidRPr="00027624">
              <w:rPr>
                <w:sz w:val="22"/>
                <w:szCs w:val="22"/>
              </w:rPr>
              <w:t>n</w:t>
            </w:r>
            <w:r w:rsidRPr="00027624">
              <w:rPr>
                <w:sz w:val="22"/>
                <w:szCs w:val="22"/>
              </w:rPr>
              <w:t xml:space="preserve"> stay in accumulation</w:t>
            </w:r>
            <w:r w:rsidR="00A8443E" w:rsidRPr="00027624">
              <w:rPr>
                <w:sz w:val="22"/>
                <w:szCs w:val="22"/>
              </w:rPr>
              <w:noBreakHyphen/>
            </w:r>
            <w:r w:rsidRPr="00027624">
              <w:rPr>
                <w:sz w:val="22"/>
                <w:szCs w:val="22"/>
              </w:rPr>
              <w:t>phase and any earnings on those funds taxed at 15</w:t>
            </w:r>
            <w:r w:rsidR="00884059" w:rsidRPr="00027624">
              <w:rPr>
                <w:sz w:val="22"/>
                <w:szCs w:val="22"/>
              </w:rPr>
              <w:t> </w:t>
            </w:r>
            <w:r w:rsidRPr="00027624">
              <w:rPr>
                <w:sz w:val="22"/>
                <w:szCs w:val="22"/>
              </w:rPr>
              <w:t>per</w:t>
            </w:r>
            <w:r w:rsidR="00884059" w:rsidRPr="00027624">
              <w:rPr>
                <w:sz w:val="22"/>
                <w:szCs w:val="22"/>
              </w:rPr>
              <w:t> </w:t>
            </w:r>
            <w:r w:rsidRPr="00027624">
              <w:rPr>
                <w:sz w:val="22"/>
                <w:szCs w:val="22"/>
              </w:rPr>
              <w:t>cent.</w:t>
            </w:r>
          </w:p>
          <w:p w14:paraId="2632C72E" w14:textId="77777777" w:rsidR="00547B47" w:rsidRPr="00027624" w:rsidRDefault="00547B47" w:rsidP="00BE51D1">
            <w:pPr>
              <w:jc w:val="left"/>
              <w:rPr>
                <w:sz w:val="22"/>
                <w:szCs w:val="22"/>
              </w:rPr>
            </w:pPr>
            <w:r w:rsidRPr="00027624">
              <w:rPr>
                <w:sz w:val="22"/>
              </w:rPr>
              <w:t xml:space="preserve">Further information relating to tax concessions can be found in </w:t>
            </w:r>
            <w:r w:rsidRPr="00027624">
              <w:rPr>
                <w:i/>
                <w:sz w:val="22"/>
              </w:rPr>
              <w:t>1B</w:t>
            </w:r>
            <w:r w:rsidR="009E04D7" w:rsidRPr="00027624">
              <w:rPr>
                <w:i/>
                <w:sz w:val="22"/>
              </w:rPr>
              <w:t>.</w:t>
            </w:r>
            <w:r w:rsidRPr="00027624">
              <w:rPr>
                <w:i/>
                <w:sz w:val="22"/>
              </w:rPr>
              <w:t xml:space="preserve"> Design of Australia</w:t>
            </w:r>
            <w:r w:rsidR="00A8443E" w:rsidRPr="00027624">
              <w:rPr>
                <w:i/>
                <w:sz w:val="22"/>
              </w:rPr>
              <w:t>’</w:t>
            </w:r>
            <w:r w:rsidRPr="00027624">
              <w:rPr>
                <w:i/>
                <w:sz w:val="22"/>
              </w:rPr>
              <w:t>s retirement income system</w:t>
            </w:r>
            <w:r w:rsidRPr="00027624">
              <w:rPr>
                <w:sz w:val="22"/>
              </w:rPr>
              <w:t>.</w:t>
            </w:r>
          </w:p>
        </w:tc>
      </w:tr>
      <w:tr w:rsidR="00371420" w:rsidRPr="00027624" w14:paraId="435DF89C" w14:textId="77777777" w:rsidTr="00BE51D1">
        <w:trPr>
          <w:cantSplit/>
        </w:trPr>
        <w:tc>
          <w:tcPr>
            <w:tcW w:w="2127" w:type="dxa"/>
            <w:shd w:val="clear" w:color="auto" w:fill="auto"/>
          </w:tcPr>
          <w:p w14:paraId="52B2DEBF" w14:textId="77777777" w:rsidR="00547B47" w:rsidRPr="00027624" w:rsidRDefault="00547B47" w:rsidP="00BE51D1">
            <w:pPr>
              <w:jc w:val="left"/>
              <w:rPr>
                <w:sz w:val="22"/>
              </w:rPr>
            </w:pPr>
            <w:r w:rsidRPr="00027624">
              <w:rPr>
                <w:sz w:val="22"/>
              </w:rPr>
              <w:t>Total and permanent disability insurance</w:t>
            </w:r>
          </w:p>
        </w:tc>
        <w:tc>
          <w:tcPr>
            <w:tcW w:w="6943" w:type="dxa"/>
            <w:shd w:val="clear" w:color="auto" w:fill="auto"/>
          </w:tcPr>
          <w:p w14:paraId="33183960" w14:textId="77777777" w:rsidR="00547B47" w:rsidRPr="00027624" w:rsidRDefault="00547B47" w:rsidP="00BE51D1">
            <w:pPr>
              <w:jc w:val="left"/>
              <w:rPr>
                <w:sz w:val="22"/>
              </w:rPr>
            </w:pPr>
            <w:r w:rsidRPr="00027624">
              <w:rPr>
                <w:sz w:val="22"/>
              </w:rPr>
              <w:t>Insurance that pays a benefit if the policy holder becomes totally and permanently disabled</w:t>
            </w:r>
            <w:r w:rsidRPr="00027624">
              <w:rPr>
                <w:sz w:val="22"/>
                <w:szCs w:val="22"/>
              </w:rPr>
              <w:t>.</w:t>
            </w:r>
          </w:p>
        </w:tc>
      </w:tr>
      <w:tr w:rsidR="00371420" w:rsidRPr="00027624" w14:paraId="0874AC0D" w14:textId="77777777" w:rsidTr="00BE51D1">
        <w:trPr>
          <w:cantSplit/>
        </w:trPr>
        <w:tc>
          <w:tcPr>
            <w:tcW w:w="2127" w:type="dxa"/>
            <w:shd w:val="clear" w:color="auto" w:fill="auto"/>
          </w:tcPr>
          <w:p w14:paraId="07173F42" w14:textId="77777777" w:rsidR="00547B47" w:rsidRPr="00027624" w:rsidRDefault="00547B47" w:rsidP="00026BF2">
            <w:pPr>
              <w:jc w:val="left"/>
              <w:rPr>
                <w:sz w:val="22"/>
                <w:szCs w:val="22"/>
              </w:rPr>
            </w:pPr>
            <w:r w:rsidRPr="00027624">
              <w:rPr>
                <w:sz w:val="22"/>
                <w:szCs w:val="22"/>
              </w:rPr>
              <w:t xml:space="preserve">Transfer </w:t>
            </w:r>
            <w:r w:rsidR="00026BF2" w:rsidRPr="00027624">
              <w:rPr>
                <w:sz w:val="22"/>
                <w:szCs w:val="22"/>
              </w:rPr>
              <w:t>b</w:t>
            </w:r>
            <w:r w:rsidRPr="00027624">
              <w:rPr>
                <w:sz w:val="22"/>
                <w:szCs w:val="22"/>
              </w:rPr>
              <w:t xml:space="preserve">alance </w:t>
            </w:r>
            <w:r w:rsidR="00026BF2" w:rsidRPr="00027624">
              <w:rPr>
                <w:sz w:val="22"/>
                <w:szCs w:val="22"/>
              </w:rPr>
              <w:t>c</w:t>
            </w:r>
            <w:r w:rsidRPr="00027624">
              <w:rPr>
                <w:sz w:val="22"/>
                <w:szCs w:val="22"/>
              </w:rPr>
              <w:t>ap</w:t>
            </w:r>
          </w:p>
        </w:tc>
        <w:tc>
          <w:tcPr>
            <w:tcW w:w="6943" w:type="dxa"/>
            <w:shd w:val="clear" w:color="auto" w:fill="auto"/>
          </w:tcPr>
          <w:p w14:paraId="21E27E80" w14:textId="77777777" w:rsidR="00547B47" w:rsidRPr="00027624" w:rsidRDefault="00547B47" w:rsidP="00BE51D1">
            <w:pPr>
              <w:jc w:val="left"/>
              <w:rPr>
                <w:sz w:val="22"/>
                <w:szCs w:val="22"/>
              </w:rPr>
            </w:pPr>
            <w:r w:rsidRPr="00027624">
              <w:rPr>
                <w:sz w:val="22"/>
                <w:szCs w:val="22"/>
              </w:rPr>
              <w:t>A limit on how much superannuation can be transferred from accumulation</w:t>
            </w:r>
            <w:r w:rsidR="00A8443E" w:rsidRPr="00027624">
              <w:rPr>
                <w:sz w:val="22"/>
                <w:szCs w:val="22"/>
              </w:rPr>
              <w:noBreakHyphen/>
            </w:r>
            <w:r w:rsidRPr="00027624">
              <w:rPr>
                <w:sz w:val="22"/>
                <w:szCs w:val="22"/>
              </w:rPr>
              <w:t>phase to tax</w:t>
            </w:r>
            <w:r w:rsidR="00A8443E" w:rsidRPr="00027624">
              <w:rPr>
                <w:sz w:val="22"/>
                <w:szCs w:val="22"/>
              </w:rPr>
              <w:noBreakHyphen/>
            </w:r>
            <w:r w:rsidRPr="00027624">
              <w:rPr>
                <w:sz w:val="22"/>
                <w:szCs w:val="22"/>
              </w:rPr>
              <w:t>free pension</w:t>
            </w:r>
            <w:r w:rsidR="00A8443E" w:rsidRPr="00027624">
              <w:rPr>
                <w:sz w:val="22"/>
                <w:szCs w:val="22"/>
              </w:rPr>
              <w:noBreakHyphen/>
            </w:r>
            <w:r w:rsidRPr="00027624">
              <w:rPr>
                <w:sz w:val="22"/>
                <w:szCs w:val="22"/>
              </w:rPr>
              <w:t>phase. The Cap is currently $1.6</w:t>
            </w:r>
            <w:r w:rsidR="005356D5" w:rsidRPr="00027624">
              <w:rPr>
                <w:sz w:val="22"/>
                <w:szCs w:val="22"/>
              </w:rPr>
              <w:t> </w:t>
            </w:r>
            <w:r w:rsidRPr="00027624">
              <w:rPr>
                <w:sz w:val="22"/>
                <w:szCs w:val="22"/>
              </w:rPr>
              <w:t>million.</w:t>
            </w:r>
          </w:p>
          <w:p w14:paraId="091BBED5" w14:textId="77777777" w:rsidR="00547B47" w:rsidRPr="00027624" w:rsidRDefault="00547B47" w:rsidP="00BE51D1">
            <w:pPr>
              <w:jc w:val="left"/>
              <w:rPr>
                <w:sz w:val="22"/>
                <w:szCs w:val="22"/>
              </w:rPr>
            </w:pPr>
            <w:r w:rsidRPr="00027624">
              <w:rPr>
                <w:sz w:val="22"/>
              </w:rPr>
              <w:t xml:space="preserve">Further information relating to the </w:t>
            </w:r>
            <w:r w:rsidR="00026BF2" w:rsidRPr="00027624">
              <w:rPr>
                <w:sz w:val="22"/>
              </w:rPr>
              <w:t>transfer balance cap</w:t>
            </w:r>
            <w:r w:rsidRPr="00027624">
              <w:rPr>
                <w:sz w:val="22"/>
              </w:rPr>
              <w:t xml:space="preserve"> can be found in </w:t>
            </w:r>
            <w:r w:rsidRPr="00027624">
              <w:rPr>
                <w:i/>
                <w:sz w:val="22"/>
              </w:rPr>
              <w:t>1B</w:t>
            </w:r>
            <w:r w:rsidR="009E04D7" w:rsidRPr="00027624">
              <w:rPr>
                <w:i/>
                <w:sz w:val="22"/>
              </w:rPr>
              <w:t>.</w:t>
            </w:r>
            <w:r w:rsidRPr="00027624">
              <w:rPr>
                <w:i/>
                <w:sz w:val="22"/>
              </w:rPr>
              <w:t xml:space="preserve"> Design of Australia</w:t>
            </w:r>
            <w:r w:rsidR="00A8443E" w:rsidRPr="00027624">
              <w:rPr>
                <w:i/>
                <w:sz w:val="22"/>
              </w:rPr>
              <w:t>’</w:t>
            </w:r>
            <w:r w:rsidRPr="00027624">
              <w:rPr>
                <w:i/>
                <w:sz w:val="22"/>
              </w:rPr>
              <w:t>s retirement income system</w:t>
            </w:r>
            <w:r w:rsidRPr="00027624">
              <w:rPr>
                <w:sz w:val="22"/>
              </w:rPr>
              <w:t>.</w:t>
            </w:r>
          </w:p>
        </w:tc>
      </w:tr>
      <w:tr w:rsidR="00371420" w:rsidRPr="00027624" w14:paraId="025E9F6C" w14:textId="77777777" w:rsidTr="00BE51D1">
        <w:trPr>
          <w:cantSplit/>
        </w:trPr>
        <w:tc>
          <w:tcPr>
            <w:tcW w:w="2127" w:type="dxa"/>
            <w:shd w:val="clear" w:color="auto" w:fill="auto"/>
          </w:tcPr>
          <w:p w14:paraId="7EF92AD0" w14:textId="77777777" w:rsidR="00547B47" w:rsidRPr="00027624" w:rsidRDefault="00547B47" w:rsidP="00BE51D1">
            <w:pPr>
              <w:jc w:val="left"/>
              <w:rPr>
                <w:sz w:val="22"/>
                <w:szCs w:val="22"/>
              </w:rPr>
            </w:pPr>
            <w:r w:rsidRPr="00027624">
              <w:rPr>
                <w:sz w:val="22"/>
                <w:szCs w:val="22"/>
              </w:rPr>
              <w:lastRenderedPageBreak/>
              <w:t xml:space="preserve">Widow </w:t>
            </w:r>
            <w:r w:rsidR="00466DBA" w:rsidRPr="00027624">
              <w:rPr>
                <w:sz w:val="22"/>
                <w:szCs w:val="22"/>
              </w:rPr>
              <w:t>Al</w:t>
            </w:r>
            <w:r w:rsidRPr="00027624">
              <w:rPr>
                <w:sz w:val="22"/>
                <w:szCs w:val="22"/>
              </w:rPr>
              <w:t>lowance</w:t>
            </w:r>
          </w:p>
        </w:tc>
        <w:tc>
          <w:tcPr>
            <w:tcW w:w="6943" w:type="dxa"/>
            <w:shd w:val="clear" w:color="auto" w:fill="auto"/>
          </w:tcPr>
          <w:p w14:paraId="37EC6154" w14:textId="77777777" w:rsidR="00547B47" w:rsidRPr="00027624" w:rsidRDefault="00547B47" w:rsidP="00BE51D1">
            <w:pPr>
              <w:jc w:val="left"/>
            </w:pPr>
            <w:r w:rsidRPr="00027624">
              <w:rPr>
                <w:sz w:val="22"/>
              </w:rPr>
              <w:t xml:space="preserve">The Widow Allowance was paid to women who were no longer partnered, or who became separated, divorced or widowed after turning 40 years of age and who had little or no recent workforce experience. New claims for the Widow </w:t>
            </w:r>
            <w:r w:rsidR="00466DBA" w:rsidRPr="00027624">
              <w:rPr>
                <w:sz w:val="22"/>
              </w:rPr>
              <w:t xml:space="preserve">Allowance </w:t>
            </w:r>
            <w:r w:rsidRPr="00027624">
              <w:rPr>
                <w:sz w:val="22"/>
              </w:rPr>
              <w:t>closed on 1 July 2018.</w:t>
            </w:r>
          </w:p>
        </w:tc>
      </w:tr>
      <w:tr w:rsidR="00371420" w:rsidRPr="00027624" w14:paraId="1A0487AA" w14:textId="77777777" w:rsidTr="00BE51D1">
        <w:trPr>
          <w:cantSplit/>
        </w:trPr>
        <w:tc>
          <w:tcPr>
            <w:tcW w:w="2127" w:type="dxa"/>
            <w:shd w:val="clear" w:color="auto" w:fill="auto"/>
          </w:tcPr>
          <w:p w14:paraId="0316A5CA" w14:textId="77777777" w:rsidR="00547B47" w:rsidRPr="00027624" w:rsidRDefault="00547B47" w:rsidP="00BE51D1">
            <w:pPr>
              <w:jc w:val="left"/>
              <w:rPr>
                <w:sz w:val="22"/>
              </w:rPr>
            </w:pPr>
            <w:r w:rsidRPr="00027624">
              <w:rPr>
                <w:sz w:val="22"/>
              </w:rPr>
              <w:t>Workers</w:t>
            </w:r>
            <w:r w:rsidR="00A8443E" w:rsidRPr="00027624">
              <w:rPr>
                <w:sz w:val="22"/>
              </w:rPr>
              <w:t>’</w:t>
            </w:r>
            <w:r w:rsidRPr="00027624">
              <w:rPr>
                <w:sz w:val="22"/>
              </w:rPr>
              <w:t xml:space="preserve"> compensation schemes</w:t>
            </w:r>
          </w:p>
        </w:tc>
        <w:tc>
          <w:tcPr>
            <w:tcW w:w="6943" w:type="dxa"/>
            <w:shd w:val="clear" w:color="auto" w:fill="auto"/>
          </w:tcPr>
          <w:p w14:paraId="16E2E8AA" w14:textId="77777777" w:rsidR="00547B47" w:rsidRPr="00027624" w:rsidRDefault="00547B47" w:rsidP="00BE51D1">
            <w:pPr>
              <w:jc w:val="left"/>
              <w:rPr>
                <w:sz w:val="22"/>
              </w:rPr>
            </w:pPr>
            <w:r w:rsidRPr="00027624">
              <w:rPr>
                <w:sz w:val="22"/>
              </w:rPr>
              <w:t>A compulsory statutory form of insurance for all employers that provides a benefit to workers if they suffer a work</w:t>
            </w:r>
            <w:r w:rsidR="00A8443E" w:rsidRPr="00027624">
              <w:rPr>
                <w:sz w:val="22"/>
              </w:rPr>
              <w:noBreakHyphen/>
            </w:r>
            <w:r w:rsidRPr="00027624">
              <w:rPr>
                <w:sz w:val="22"/>
              </w:rPr>
              <w:t>related injury or disease.</w:t>
            </w:r>
          </w:p>
        </w:tc>
      </w:tr>
      <w:tr w:rsidR="00371420" w:rsidRPr="00027624" w14:paraId="24FC1D0B" w14:textId="77777777" w:rsidTr="00BE51D1">
        <w:trPr>
          <w:cantSplit/>
        </w:trPr>
        <w:tc>
          <w:tcPr>
            <w:tcW w:w="2127" w:type="dxa"/>
            <w:shd w:val="clear" w:color="auto" w:fill="auto"/>
          </w:tcPr>
          <w:p w14:paraId="3AD542AB" w14:textId="77777777" w:rsidR="00547B47" w:rsidRPr="00027624" w:rsidRDefault="00547B47" w:rsidP="00BE51D1">
            <w:pPr>
              <w:jc w:val="left"/>
              <w:rPr>
                <w:sz w:val="22"/>
                <w:szCs w:val="22"/>
              </w:rPr>
            </w:pPr>
            <w:r w:rsidRPr="00027624">
              <w:rPr>
                <w:sz w:val="22"/>
              </w:rPr>
              <w:t>$450</w:t>
            </w:r>
            <w:r w:rsidR="00A8443E" w:rsidRPr="00027624">
              <w:rPr>
                <w:sz w:val="22"/>
              </w:rPr>
              <w:noBreakHyphen/>
            </w:r>
            <w:r w:rsidRPr="00027624">
              <w:rPr>
                <w:sz w:val="22"/>
              </w:rPr>
              <w:t>a</w:t>
            </w:r>
            <w:r w:rsidR="00A8443E" w:rsidRPr="00027624">
              <w:rPr>
                <w:sz w:val="22"/>
              </w:rPr>
              <w:noBreakHyphen/>
            </w:r>
            <w:r w:rsidRPr="00027624">
              <w:rPr>
                <w:sz w:val="22"/>
              </w:rPr>
              <w:t>month threshold</w:t>
            </w:r>
          </w:p>
        </w:tc>
        <w:tc>
          <w:tcPr>
            <w:tcW w:w="6943" w:type="dxa"/>
            <w:shd w:val="clear" w:color="auto" w:fill="auto"/>
          </w:tcPr>
          <w:p w14:paraId="226B6D76" w14:textId="77777777" w:rsidR="00BB28C8" w:rsidRPr="00027624" w:rsidRDefault="00547B47" w:rsidP="00BE51D1">
            <w:pPr>
              <w:jc w:val="left"/>
              <w:rPr>
                <w:sz w:val="22"/>
              </w:rPr>
            </w:pPr>
            <w:r w:rsidRPr="00027624">
              <w:rPr>
                <w:sz w:val="22"/>
              </w:rPr>
              <w:t>Where an employee is paid $450 or more (before tax) in a calendar month</w:t>
            </w:r>
            <w:r w:rsidR="001F3109" w:rsidRPr="00027624">
              <w:rPr>
                <w:sz w:val="22"/>
              </w:rPr>
              <w:t xml:space="preserve"> by a single employer</w:t>
            </w:r>
            <w:r w:rsidRPr="00027624">
              <w:rPr>
                <w:sz w:val="22"/>
              </w:rPr>
              <w:t xml:space="preserve">, </w:t>
            </w:r>
            <w:r w:rsidR="001F3109" w:rsidRPr="00027624">
              <w:rPr>
                <w:sz w:val="22"/>
              </w:rPr>
              <w:t xml:space="preserve">the </w:t>
            </w:r>
            <w:r w:rsidRPr="00027624">
              <w:rPr>
                <w:sz w:val="22"/>
              </w:rPr>
              <w:t>SG must be paid on top of their wages.</w:t>
            </w:r>
          </w:p>
          <w:p w14:paraId="0E53193E" w14:textId="77777777" w:rsidR="00547B47" w:rsidRPr="00027624" w:rsidRDefault="00547B47" w:rsidP="00BE51D1">
            <w:pPr>
              <w:jc w:val="left"/>
              <w:rPr>
                <w:sz w:val="22"/>
                <w:szCs w:val="22"/>
              </w:rPr>
            </w:pPr>
            <w:r w:rsidRPr="00027624">
              <w:rPr>
                <w:sz w:val="22"/>
                <w:szCs w:val="22"/>
              </w:rPr>
              <w:t>Further information relating to the $450</w:t>
            </w:r>
            <w:r w:rsidR="00A8443E" w:rsidRPr="00027624">
              <w:rPr>
                <w:sz w:val="22"/>
                <w:szCs w:val="22"/>
              </w:rPr>
              <w:noBreakHyphen/>
            </w:r>
            <w:r w:rsidRPr="00027624">
              <w:rPr>
                <w:sz w:val="22"/>
                <w:szCs w:val="22"/>
              </w:rPr>
              <w:t>a</w:t>
            </w:r>
            <w:r w:rsidR="00A8443E" w:rsidRPr="00027624">
              <w:rPr>
                <w:sz w:val="22"/>
                <w:szCs w:val="22"/>
              </w:rPr>
              <w:noBreakHyphen/>
            </w:r>
            <w:r w:rsidRPr="00027624">
              <w:rPr>
                <w:sz w:val="22"/>
                <w:szCs w:val="22"/>
              </w:rPr>
              <w:t xml:space="preserve">month threshold can be found in </w:t>
            </w:r>
            <w:r w:rsidRPr="00027624">
              <w:rPr>
                <w:i/>
                <w:sz w:val="22"/>
                <w:szCs w:val="22"/>
              </w:rPr>
              <w:t>1B</w:t>
            </w:r>
            <w:r w:rsidR="009E04D7" w:rsidRPr="00027624">
              <w:rPr>
                <w:i/>
                <w:sz w:val="22"/>
                <w:szCs w:val="22"/>
              </w:rPr>
              <w:t>.</w:t>
            </w:r>
            <w:r w:rsidRPr="00027624">
              <w:rPr>
                <w:i/>
                <w:sz w:val="22"/>
                <w:szCs w:val="22"/>
              </w:rPr>
              <w:t xml:space="preserve"> Design of Australia</w:t>
            </w:r>
            <w:r w:rsidR="00A8443E" w:rsidRPr="00027624">
              <w:rPr>
                <w:i/>
                <w:sz w:val="22"/>
                <w:szCs w:val="22"/>
              </w:rPr>
              <w:t>’</w:t>
            </w:r>
            <w:r w:rsidRPr="00027624">
              <w:rPr>
                <w:i/>
                <w:sz w:val="22"/>
                <w:szCs w:val="22"/>
              </w:rPr>
              <w:t>s retirement income system</w:t>
            </w:r>
            <w:r w:rsidRPr="00027624">
              <w:rPr>
                <w:sz w:val="22"/>
                <w:szCs w:val="22"/>
              </w:rPr>
              <w:t xml:space="preserve"> and </w:t>
            </w:r>
            <w:r w:rsidR="009C3D63">
              <w:rPr>
                <w:i/>
                <w:iCs/>
                <w:sz w:val="22"/>
                <w:szCs w:val="22"/>
              </w:rPr>
              <w:t>3D. SG coverage</w:t>
            </w:r>
            <w:r w:rsidRPr="00027624">
              <w:rPr>
                <w:sz w:val="22"/>
                <w:szCs w:val="22"/>
              </w:rPr>
              <w:t>.</w:t>
            </w:r>
          </w:p>
        </w:tc>
      </w:tr>
    </w:tbl>
    <w:p w14:paraId="76F2E757" w14:textId="77777777" w:rsidR="00EC56F4" w:rsidRPr="00027624" w:rsidRDefault="00284F3D" w:rsidP="003F21BD">
      <w:pPr>
        <w:pStyle w:val="Heading1notnumbered"/>
      </w:pPr>
      <w:bookmarkStart w:id="52" w:name="_Toc41914543"/>
      <w:r w:rsidRPr="00027624">
        <w:rPr>
          <w:color w:val="185459" w:themeColor="accent4" w:themeShade="80"/>
        </w:rPr>
        <w:br w:type="page"/>
      </w:r>
      <w:bookmarkStart w:id="53" w:name="_Toc45520408"/>
      <w:bookmarkStart w:id="54" w:name="_Toc46133516"/>
      <w:bookmarkEnd w:id="52"/>
      <w:r w:rsidR="00EC56F4" w:rsidRPr="00027624">
        <w:lastRenderedPageBreak/>
        <w:t>Income groups in the review</w:t>
      </w:r>
      <w:bookmarkEnd w:id="53"/>
      <w:bookmarkEnd w:id="54"/>
    </w:p>
    <w:p w14:paraId="5FA1E539" w14:textId="77777777" w:rsidR="00AB4EE7" w:rsidRPr="00027624" w:rsidRDefault="00AB4EE7" w:rsidP="00AB4EE7">
      <w:r w:rsidRPr="00027624">
        <w:t>The review uses income groups to discuss how the retirement income system delivers different outcomes for certain cohorts. Lower</w:t>
      </w:r>
      <w:r w:rsidR="00A8443E" w:rsidRPr="00027624">
        <w:noBreakHyphen/>
      </w:r>
      <w:r w:rsidRPr="00027624">
        <w:t>income earners are defined as those in the bottom 30</w:t>
      </w:r>
      <w:r w:rsidR="00A47908" w:rsidRPr="00027624">
        <w:t> </w:t>
      </w:r>
      <w:r w:rsidRPr="00027624">
        <w:t>per</w:t>
      </w:r>
      <w:r w:rsidR="00A47908" w:rsidRPr="00027624">
        <w:t> </w:t>
      </w:r>
      <w:r w:rsidRPr="00027624">
        <w:t>cent of all earners, higher</w:t>
      </w:r>
      <w:r w:rsidR="00A8443E" w:rsidRPr="00027624">
        <w:noBreakHyphen/>
      </w:r>
      <w:r w:rsidRPr="00027624">
        <w:t>income earners in the top 20</w:t>
      </w:r>
      <w:r w:rsidR="00A47908" w:rsidRPr="00027624">
        <w:t> </w:t>
      </w:r>
      <w:r w:rsidRPr="00027624">
        <w:t>per</w:t>
      </w:r>
      <w:r w:rsidR="00A47908" w:rsidRPr="00027624">
        <w:t> </w:t>
      </w:r>
      <w:r w:rsidRPr="00027624">
        <w:t>cent and middle</w:t>
      </w:r>
      <w:r w:rsidR="00A8443E" w:rsidRPr="00027624">
        <w:noBreakHyphen/>
      </w:r>
      <w:r w:rsidRPr="00027624">
        <w:t>income earners a</w:t>
      </w:r>
      <w:r w:rsidR="00414BA9" w:rsidRPr="00027624">
        <w:t>re</w:t>
      </w:r>
      <w:r w:rsidRPr="00027624">
        <w:t xml:space="preserve"> in between.</w:t>
      </w:r>
    </w:p>
    <w:p w14:paraId="60E395D8" w14:textId="77777777" w:rsidR="00AB4EE7" w:rsidRPr="00027624" w:rsidRDefault="00AB4EE7" w:rsidP="00AB4EE7">
      <w:r w:rsidRPr="00027624">
        <w:t>These groups are used for explanatory purposes</w:t>
      </w:r>
      <w:r w:rsidR="000115A8" w:rsidRPr="00027624">
        <w:t>.</w:t>
      </w:r>
      <w:r w:rsidRPr="00027624">
        <w:t xml:space="preserve"> </w:t>
      </w:r>
      <w:r w:rsidR="000115A8" w:rsidRPr="00027624">
        <w:t>T</w:t>
      </w:r>
      <w:r w:rsidRPr="00027624">
        <w:t xml:space="preserve">hey are not intended to be value judgements about what constitutes a </w:t>
      </w:r>
      <w:r w:rsidR="00A8443E" w:rsidRPr="00027624">
        <w:t>‘</w:t>
      </w:r>
      <w:r w:rsidRPr="00027624">
        <w:t>high</w:t>
      </w:r>
      <w:r w:rsidR="00A8443E" w:rsidRPr="00027624">
        <w:t>’</w:t>
      </w:r>
      <w:r w:rsidRPr="00027624">
        <w:t xml:space="preserve"> or </w:t>
      </w:r>
      <w:r w:rsidR="00A8443E" w:rsidRPr="00027624">
        <w:t>‘</w:t>
      </w:r>
      <w:r w:rsidRPr="00027624">
        <w:t>low</w:t>
      </w:r>
      <w:r w:rsidR="00A8443E" w:rsidRPr="00027624">
        <w:t>’</w:t>
      </w:r>
      <w:r w:rsidRPr="00027624">
        <w:t xml:space="preserve"> income. Lower</w:t>
      </w:r>
      <w:r w:rsidR="00A8443E" w:rsidRPr="00027624">
        <w:noBreakHyphen/>
      </w:r>
      <w:r w:rsidRPr="00027624">
        <w:t xml:space="preserve">income earners have their retirement needs met by the Age Pension </w:t>
      </w:r>
      <w:r w:rsidR="003C476E" w:rsidRPr="00027624">
        <w:t>(</w:t>
      </w:r>
      <w:r w:rsidR="003C476E" w:rsidRPr="00027624">
        <w:rPr>
          <w:i/>
        </w:rPr>
        <w:t>2A. Achieving a minimum standard of living in retirement</w:t>
      </w:r>
      <w:r w:rsidR="003C476E" w:rsidRPr="00027624">
        <w:t>)</w:t>
      </w:r>
      <w:r w:rsidRPr="00027624">
        <w:t>, and the threshold for higher</w:t>
      </w:r>
      <w:r w:rsidR="00A8443E" w:rsidRPr="00027624">
        <w:noBreakHyphen/>
      </w:r>
      <w:r w:rsidRPr="00027624">
        <w:t>income earners is the point where, on average, people start to make significant voluntary savings.</w:t>
      </w:r>
    </w:p>
    <w:p w14:paraId="15F86D04" w14:textId="6F329886" w:rsidR="00AB4EE7" w:rsidRPr="00027624" w:rsidRDefault="00AB4EE7" w:rsidP="00AB4EE7">
      <w:r w:rsidRPr="00027624">
        <w:t>Incomes for each group from the cameo model</w:t>
      </w:r>
      <w:r w:rsidR="00414BA9" w:rsidRPr="00027624">
        <w:t>ling</w:t>
      </w:r>
      <w:r w:rsidRPr="00027624">
        <w:t xml:space="preserve"> are included in</w:t>
      </w:r>
      <w:r w:rsidR="00253916" w:rsidRPr="00027624">
        <w:t xml:space="preserve"> </w:t>
      </w:r>
      <w:r w:rsidR="00253916" w:rsidRPr="00027624">
        <w:fldChar w:fldCharType="begin"/>
      </w:r>
      <w:r w:rsidR="00253916" w:rsidRPr="00027624">
        <w:instrText xml:space="preserve"> REF _Ref45707601 \r \h </w:instrText>
      </w:r>
      <w:r w:rsidR="00027624">
        <w:instrText xml:space="preserve"> \* MERGEFORMAT </w:instrText>
      </w:r>
      <w:r w:rsidR="00253916" w:rsidRPr="00027624">
        <w:fldChar w:fldCharType="separate"/>
      </w:r>
      <w:r w:rsidR="00891058">
        <w:t>Table 1</w:t>
      </w:r>
      <w:r w:rsidR="00253916" w:rsidRPr="00027624">
        <w:fldChar w:fldCharType="end"/>
      </w:r>
      <w:r w:rsidRPr="00027624">
        <w:t xml:space="preserve">. These incomes are higher than other series, such as the ABS </w:t>
      </w:r>
      <w:r w:rsidR="00A8443E" w:rsidRPr="00027624">
        <w:t>‘</w:t>
      </w:r>
      <w:r w:rsidRPr="00027624">
        <w:t xml:space="preserve">Characteristics of </w:t>
      </w:r>
      <w:r w:rsidR="001F3109" w:rsidRPr="00027624">
        <w:t>e</w:t>
      </w:r>
      <w:r w:rsidRPr="00027624">
        <w:t>mployment</w:t>
      </w:r>
      <w:r w:rsidR="00A8443E" w:rsidRPr="00027624">
        <w:t>’</w:t>
      </w:r>
      <w:r w:rsidRPr="00027624">
        <w:t xml:space="preserve">, </w:t>
      </w:r>
      <w:r w:rsidR="00874D47" w:rsidRPr="00027624">
        <w:t>as</w:t>
      </w:r>
      <w:r w:rsidRPr="00027624">
        <w:t xml:space="preserve"> they are based on income tax return data from the ATO</w:t>
      </w:r>
      <w:sdt>
        <w:sdtPr>
          <w:id w:val="1603380547"/>
          <w:citation/>
        </w:sdtPr>
        <w:sdtEndPr/>
        <w:sdtContent>
          <w:r w:rsidRPr="00027624">
            <w:fldChar w:fldCharType="begin"/>
          </w:r>
          <w:r w:rsidRPr="00027624">
            <w:instrText xml:space="preserve"> CITATION Placeholder23 \l 3081 </w:instrText>
          </w:r>
          <w:r w:rsidRPr="00027624">
            <w:fldChar w:fldCharType="separate"/>
          </w:r>
          <w:r w:rsidR="00E83F6E">
            <w:rPr>
              <w:noProof/>
            </w:rPr>
            <w:t xml:space="preserve"> (ABS, 2019f)</w:t>
          </w:r>
          <w:r w:rsidRPr="00027624">
            <w:fldChar w:fldCharType="end"/>
          </w:r>
        </w:sdtContent>
      </w:sdt>
      <w:r w:rsidRPr="00027624">
        <w:t>. This data may not include some people such as those who earn incomes below the tax</w:t>
      </w:r>
      <w:r w:rsidR="00A8443E" w:rsidRPr="00027624">
        <w:noBreakHyphen/>
      </w:r>
      <w:r w:rsidRPr="00027624">
        <w:t>free threshold.</w:t>
      </w:r>
    </w:p>
    <w:p w14:paraId="767AFB5B" w14:textId="77777777" w:rsidR="00AB4EE7" w:rsidRPr="00027624" w:rsidRDefault="00AB4EE7" w:rsidP="00AB4EE7">
      <w:r w:rsidRPr="00027624">
        <w:t>The median earner in review modelling has an average income over their lifetime of $68,400, similar to average earnings</w:t>
      </w:r>
      <w:sdt>
        <w:sdtPr>
          <w:id w:val="-249345838"/>
          <w:citation/>
        </w:sdtPr>
        <w:sdtEndPr/>
        <w:sdtContent>
          <w:r w:rsidRPr="00027624">
            <w:fldChar w:fldCharType="begin"/>
          </w:r>
          <w:r w:rsidRPr="00027624">
            <w:instrText xml:space="preserve"> CITATION ABS20d \l 3081 </w:instrText>
          </w:r>
          <w:r w:rsidRPr="00027624">
            <w:fldChar w:fldCharType="separate"/>
          </w:r>
          <w:r w:rsidR="00E83F6E">
            <w:rPr>
              <w:noProof/>
            </w:rPr>
            <w:t xml:space="preserve"> (ABS, 2020d)</w:t>
          </w:r>
          <w:r w:rsidRPr="00027624">
            <w:fldChar w:fldCharType="end"/>
          </w:r>
        </w:sdtContent>
      </w:sdt>
      <w:r w:rsidRPr="00027624">
        <w:t xml:space="preserve"> and to the average income of a plumber or teacher</w:t>
      </w:r>
      <w:sdt>
        <w:sdtPr>
          <w:id w:val="784626753"/>
          <w:citation/>
        </w:sdtPr>
        <w:sdtEndPr/>
        <w:sdtContent>
          <w:r w:rsidRPr="00027624">
            <w:fldChar w:fldCharType="begin"/>
          </w:r>
          <w:r w:rsidR="00B25D03" w:rsidRPr="00027624">
            <w:instrText xml:space="preserve">CITATION ATO19e \l 3081 </w:instrText>
          </w:r>
          <w:r w:rsidRPr="00027624">
            <w:fldChar w:fldCharType="separate"/>
          </w:r>
          <w:r w:rsidR="00E83F6E">
            <w:rPr>
              <w:noProof/>
            </w:rPr>
            <w:t xml:space="preserve"> (ATO, 2019e)</w:t>
          </w:r>
          <w:r w:rsidRPr="00027624">
            <w:fldChar w:fldCharType="end"/>
          </w:r>
        </w:sdtContent>
      </w:sdt>
      <w:r w:rsidRPr="00027624">
        <w:t>.</w:t>
      </w:r>
    </w:p>
    <w:p w14:paraId="6709C825" w14:textId="77777777" w:rsidR="00AB4EE7" w:rsidRPr="00027624" w:rsidRDefault="00AB4EE7" w:rsidP="00AB4EE7">
      <w:r w:rsidRPr="00027624">
        <w:t>Lower</w:t>
      </w:r>
      <w:r w:rsidR="00A8443E" w:rsidRPr="00027624">
        <w:noBreakHyphen/>
      </w:r>
      <w:r w:rsidRPr="00027624">
        <w:t>income earners have average annual earnings over their working life of $48,000 and below. This income is broadly comparable to the average wages of hospitality workers and</w:t>
      </w:r>
      <w:r w:rsidR="00A57E2E" w:rsidRPr="00027624">
        <w:t xml:space="preserve"> carers in the</w:t>
      </w:r>
      <w:r w:rsidR="003A119F" w:rsidRPr="00027624">
        <w:t xml:space="preserve"> </w:t>
      </w:r>
      <w:r w:rsidRPr="00027624">
        <w:t xml:space="preserve">aged or </w:t>
      </w:r>
      <w:r w:rsidR="00C10F2C" w:rsidRPr="00027624">
        <w:t>d</w:t>
      </w:r>
      <w:r w:rsidR="00A57E2E" w:rsidRPr="00027624">
        <w:t>isability sectors</w:t>
      </w:r>
      <w:r w:rsidRPr="00027624">
        <w:t>.</w:t>
      </w:r>
    </w:p>
    <w:p w14:paraId="7D501778" w14:textId="77777777" w:rsidR="00AB4EE7" w:rsidRPr="00027624" w:rsidRDefault="00AB4EE7" w:rsidP="00AB4EE7">
      <w:r w:rsidRPr="00027624">
        <w:t>Higher</w:t>
      </w:r>
      <w:r w:rsidR="00A8443E" w:rsidRPr="00027624">
        <w:noBreakHyphen/>
      </w:r>
      <w:r w:rsidRPr="00027624">
        <w:t>income earners have average annual earnings over their working life of $112,900 and above. Occupations with average incomes in the upper end of this range include dentists, lawyers, and finance man</w:t>
      </w:r>
      <w:r w:rsidR="001F3109" w:rsidRPr="00027624">
        <w:t>a</w:t>
      </w:r>
      <w:r w:rsidRPr="00027624">
        <w:t>gers.</w:t>
      </w:r>
    </w:p>
    <w:p w14:paraId="04A1433E" w14:textId="77777777" w:rsidR="00C13520" w:rsidRPr="00027624" w:rsidRDefault="00253916" w:rsidP="00253916">
      <w:pPr>
        <w:pStyle w:val="OverviewTableHeading"/>
      </w:pPr>
      <w:bookmarkStart w:id="55" w:name="_Ref43114673"/>
      <w:bookmarkStart w:id="56" w:name="_Ref45707601"/>
      <w:r w:rsidRPr="00027624">
        <w:t>A</w:t>
      </w:r>
      <w:r w:rsidR="00AB4EE7" w:rsidRPr="00027624">
        <w:t>verage working</w:t>
      </w:r>
      <w:r w:rsidR="00A8443E" w:rsidRPr="00027624">
        <w:noBreakHyphen/>
      </w:r>
      <w:r w:rsidR="00AB4EE7" w:rsidRPr="00027624">
        <w:t>life taxable income by income percentile</w:t>
      </w:r>
      <w:bookmarkEnd w:id="55"/>
      <w:bookmarkEnd w:id="56"/>
    </w:p>
    <w:tbl>
      <w:tblPr>
        <w:tblW w:w="5000" w:type="pct"/>
        <w:tblLook w:val="01E0" w:firstRow="1" w:lastRow="1" w:firstColumn="1" w:lastColumn="1" w:noHBand="0" w:noVBand="0"/>
      </w:tblPr>
      <w:tblGrid>
        <w:gridCol w:w="3022"/>
        <w:gridCol w:w="3024"/>
        <w:gridCol w:w="3024"/>
      </w:tblGrid>
      <w:tr w:rsidR="00C13520" w:rsidRPr="00027624" w14:paraId="2A1E9806" w14:textId="77777777" w:rsidTr="008700C7">
        <w:trPr>
          <w:trHeight w:val="270"/>
          <w:tblHeader/>
        </w:trPr>
        <w:tc>
          <w:tcPr>
            <w:tcW w:w="1666" w:type="pct"/>
            <w:shd w:val="clear" w:color="auto" w:fill="E5E5E5"/>
          </w:tcPr>
          <w:p w14:paraId="399D63B0" w14:textId="77777777" w:rsidR="00C13520" w:rsidRPr="00027624" w:rsidRDefault="00C13520" w:rsidP="00483962">
            <w:pPr>
              <w:pStyle w:val="TableColumnHeadingCentred"/>
              <w:jc w:val="left"/>
            </w:pPr>
            <w:r w:rsidRPr="00027624">
              <w:t>Income group</w:t>
            </w:r>
          </w:p>
        </w:tc>
        <w:tc>
          <w:tcPr>
            <w:tcW w:w="1667" w:type="pct"/>
            <w:shd w:val="clear" w:color="auto" w:fill="E5E5E5"/>
          </w:tcPr>
          <w:p w14:paraId="66061952" w14:textId="77777777" w:rsidR="00C13520" w:rsidRPr="00027624" w:rsidRDefault="00C13520" w:rsidP="003C0F01">
            <w:pPr>
              <w:pStyle w:val="TableColumnHeadingCentred"/>
            </w:pPr>
            <w:r w:rsidRPr="00027624">
              <w:t>Percentile</w:t>
            </w:r>
          </w:p>
        </w:tc>
        <w:tc>
          <w:tcPr>
            <w:tcW w:w="1667" w:type="pct"/>
            <w:shd w:val="clear" w:color="auto" w:fill="E5E5E5"/>
          </w:tcPr>
          <w:p w14:paraId="13065C72" w14:textId="77777777" w:rsidR="00C13520" w:rsidRPr="00027624" w:rsidRDefault="00C13520" w:rsidP="003C0F01">
            <w:pPr>
              <w:pStyle w:val="TableColumnHeadingCentred"/>
            </w:pPr>
            <w:r w:rsidRPr="00027624">
              <w:t>Gross income</w:t>
            </w:r>
          </w:p>
          <w:p w14:paraId="76154C57" w14:textId="77777777" w:rsidR="00C13520" w:rsidRPr="00027624" w:rsidRDefault="00483962" w:rsidP="003C0F01">
            <w:pPr>
              <w:pStyle w:val="TableColumnHeadingCentred"/>
            </w:pPr>
            <w:r w:rsidRPr="00027624">
              <w:t>(</w:t>
            </w:r>
            <w:r w:rsidR="00C13520" w:rsidRPr="00027624">
              <w:t>$</w:t>
            </w:r>
            <w:r w:rsidRPr="00027624">
              <w:t>)</w:t>
            </w:r>
          </w:p>
        </w:tc>
      </w:tr>
      <w:tr w:rsidR="00E84E8F" w:rsidRPr="00027624" w14:paraId="212739BF" w14:textId="77777777" w:rsidTr="00E84E8F">
        <w:trPr>
          <w:trHeight w:val="270"/>
        </w:trPr>
        <w:tc>
          <w:tcPr>
            <w:tcW w:w="1666" w:type="pct"/>
            <w:vMerge w:val="restart"/>
            <w:vAlign w:val="center"/>
          </w:tcPr>
          <w:p w14:paraId="72BADFBD" w14:textId="77777777" w:rsidR="00E84E8F" w:rsidRPr="00027624" w:rsidRDefault="00E84E8F" w:rsidP="003C0F01">
            <w:pPr>
              <w:pStyle w:val="TableTextLeft"/>
            </w:pPr>
            <w:r w:rsidRPr="00027624">
              <w:t>Lower</w:t>
            </w:r>
            <w:r w:rsidR="00A8443E" w:rsidRPr="00027624">
              <w:noBreakHyphen/>
            </w:r>
            <w:r w:rsidRPr="00027624">
              <w:t>income earners</w:t>
            </w:r>
          </w:p>
        </w:tc>
        <w:tc>
          <w:tcPr>
            <w:tcW w:w="1667" w:type="pct"/>
          </w:tcPr>
          <w:p w14:paraId="06265365" w14:textId="77777777" w:rsidR="00E84E8F" w:rsidRPr="00027624" w:rsidRDefault="00E84E8F" w:rsidP="006B17B0">
            <w:pPr>
              <w:pStyle w:val="TableTextLeft"/>
              <w:jc w:val="center"/>
            </w:pPr>
            <w:r w:rsidRPr="00027624">
              <w:t>10</w:t>
            </w:r>
          </w:p>
        </w:tc>
        <w:tc>
          <w:tcPr>
            <w:tcW w:w="1667" w:type="pct"/>
          </w:tcPr>
          <w:p w14:paraId="0759F561" w14:textId="77777777" w:rsidR="00E84E8F" w:rsidRPr="00027624" w:rsidRDefault="00E84E8F" w:rsidP="006B17B0">
            <w:pPr>
              <w:pStyle w:val="TableTextLeft"/>
              <w:jc w:val="center"/>
            </w:pPr>
            <w:r w:rsidRPr="00027624">
              <w:t>22,100</w:t>
            </w:r>
          </w:p>
        </w:tc>
      </w:tr>
      <w:tr w:rsidR="00E84E8F" w:rsidRPr="00027624" w14:paraId="5645BB8B" w14:textId="77777777" w:rsidTr="008700C7">
        <w:trPr>
          <w:trHeight w:val="270"/>
        </w:trPr>
        <w:tc>
          <w:tcPr>
            <w:tcW w:w="1666" w:type="pct"/>
            <w:vMerge/>
          </w:tcPr>
          <w:p w14:paraId="78DF0E01" w14:textId="77777777" w:rsidR="00E84E8F" w:rsidRPr="00027624" w:rsidRDefault="00E84E8F" w:rsidP="003C0F01">
            <w:pPr>
              <w:pStyle w:val="TableTextLeft"/>
            </w:pPr>
          </w:p>
        </w:tc>
        <w:tc>
          <w:tcPr>
            <w:tcW w:w="1667" w:type="pct"/>
          </w:tcPr>
          <w:p w14:paraId="2029305B" w14:textId="77777777" w:rsidR="00E84E8F" w:rsidRPr="00027624" w:rsidRDefault="00E84E8F" w:rsidP="00C13520">
            <w:pPr>
              <w:pStyle w:val="TableTextLeft"/>
              <w:jc w:val="center"/>
            </w:pPr>
            <w:r w:rsidRPr="00027624">
              <w:t>20</w:t>
            </w:r>
          </w:p>
        </w:tc>
        <w:tc>
          <w:tcPr>
            <w:tcW w:w="1667" w:type="pct"/>
          </w:tcPr>
          <w:p w14:paraId="6730CD6D" w14:textId="77777777" w:rsidR="00E84E8F" w:rsidRPr="00027624" w:rsidRDefault="00E84E8F" w:rsidP="00C13520">
            <w:pPr>
              <w:pStyle w:val="TableTextLeft"/>
              <w:jc w:val="center"/>
            </w:pPr>
            <w:r w:rsidRPr="00027624">
              <w:t>36,300</w:t>
            </w:r>
          </w:p>
        </w:tc>
      </w:tr>
      <w:tr w:rsidR="00E84E8F" w:rsidRPr="00027624" w14:paraId="762E693A" w14:textId="77777777" w:rsidTr="007B7B57">
        <w:trPr>
          <w:trHeight w:val="270"/>
        </w:trPr>
        <w:tc>
          <w:tcPr>
            <w:tcW w:w="1666" w:type="pct"/>
            <w:vMerge/>
            <w:tcBorders>
              <w:bottom w:val="single" w:sz="4" w:space="0" w:color="auto"/>
            </w:tcBorders>
          </w:tcPr>
          <w:p w14:paraId="4C38A161" w14:textId="77777777" w:rsidR="00E84E8F" w:rsidRPr="00027624" w:rsidRDefault="00E84E8F" w:rsidP="003C0F01">
            <w:pPr>
              <w:pStyle w:val="TableTextLeft"/>
            </w:pPr>
          </w:p>
        </w:tc>
        <w:tc>
          <w:tcPr>
            <w:tcW w:w="1667" w:type="pct"/>
            <w:tcBorders>
              <w:bottom w:val="single" w:sz="4" w:space="0" w:color="auto"/>
            </w:tcBorders>
          </w:tcPr>
          <w:p w14:paraId="3393F6EE" w14:textId="77777777" w:rsidR="00E84E8F" w:rsidRPr="00027624" w:rsidRDefault="00E84E8F" w:rsidP="00C13520">
            <w:pPr>
              <w:pStyle w:val="TableTextLeft"/>
              <w:jc w:val="center"/>
            </w:pPr>
            <w:r w:rsidRPr="00027624">
              <w:t>30</w:t>
            </w:r>
          </w:p>
        </w:tc>
        <w:tc>
          <w:tcPr>
            <w:tcW w:w="1667" w:type="pct"/>
            <w:tcBorders>
              <w:bottom w:val="single" w:sz="4" w:space="0" w:color="auto"/>
            </w:tcBorders>
          </w:tcPr>
          <w:p w14:paraId="4E74E97E" w14:textId="77777777" w:rsidR="00E84E8F" w:rsidRPr="00027624" w:rsidRDefault="00E84E8F" w:rsidP="00C13520">
            <w:pPr>
              <w:pStyle w:val="TableTextLeft"/>
              <w:jc w:val="center"/>
            </w:pPr>
            <w:r w:rsidRPr="00027624">
              <w:t>48,000</w:t>
            </w:r>
          </w:p>
        </w:tc>
      </w:tr>
      <w:tr w:rsidR="00E84E8F" w:rsidRPr="00027624" w14:paraId="47BA6312" w14:textId="77777777" w:rsidTr="007B7B57">
        <w:trPr>
          <w:trHeight w:val="270"/>
        </w:trPr>
        <w:tc>
          <w:tcPr>
            <w:tcW w:w="1666" w:type="pct"/>
            <w:vMerge w:val="restart"/>
            <w:tcBorders>
              <w:top w:val="single" w:sz="4" w:space="0" w:color="auto"/>
            </w:tcBorders>
            <w:vAlign w:val="center"/>
          </w:tcPr>
          <w:p w14:paraId="6D87C9D5" w14:textId="77777777" w:rsidR="00E84E8F" w:rsidRPr="00027624" w:rsidRDefault="00E84E8F" w:rsidP="003C0F01">
            <w:pPr>
              <w:pStyle w:val="TableTextLeft"/>
            </w:pPr>
            <w:r w:rsidRPr="00027624">
              <w:t>Middle</w:t>
            </w:r>
            <w:r w:rsidR="00A8443E" w:rsidRPr="00027624">
              <w:noBreakHyphen/>
            </w:r>
            <w:r w:rsidRPr="00027624">
              <w:t>income earners</w:t>
            </w:r>
          </w:p>
        </w:tc>
        <w:tc>
          <w:tcPr>
            <w:tcW w:w="1667" w:type="pct"/>
            <w:tcBorders>
              <w:top w:val="single" w:sz="4" w:space="0" w:color="auto"/>
            </w:tcBorders>
          </w:tcPr>
          <w:p w14:paraId="0D56E2A6" w14:textId="77777777" w:rsidR="00E84E8F" w:rsidRPr="00027624" w:rsidRDefault="00E84E8F" w:rsidP="00C13520">
            <w:pPr>
              <w:pStyle w:val="TableTextLeft"/>
              <w:jc w:val="center"/>
            </w:pPr>
            <w:r w:rsidRPr="00027624">
              <w:t>40</w:t>
            </w:r>
          </w:p>
        </w:tc>
        <w:tc>
          <w:tcPr>
            <w:tcW w:w="1667" w:type="pct"/>
            <w:tcBorders>
              <w:top w:val="single" w:sz="4" w:space="0" w:color="auto"/>
            </w:tcBorders>
          </w:tcPr>
          <w:p w14:paraId="5941ADEE" w14:textId="77777777" w:rsidR="00E84E8F" w:rsidRPr="00027624" w:rsidRDefault="00E84E8F" w:rsidP="00C13520">
            <w:pPr>
              <w:pStyle w:val="TableTextLeft"/>
              <w:jc w:val="center"/>
            </w:pPr>
            <w:r w:rsidRPr="00027624">
              <w:t>58,100</w:t>
            </w:r>
          </w:p>
        </w:tc>
      </w:tr>
      <w:tr w:rsidR="00E84E8F" w:rsidRPr="00027624" w14:paraId="31853CFA" w14:textId="77777777" w:rsidTr="008700C7">
        <w:trPr>
          <w:trHeight w:val="270"/>
        </w:trPr>
        <w:tc>
          <w:tcPr>
            <w:tcW w:w="1666" w:type="pct"/>
            <w:vMerge/>
          </w:tcPr>
          <w:p w14:paraId="54777AAF" w14:textId="77777777" w:rsidR="00E84E8F" w:rsidRPr="00027624" w:rsidRDefault="00E84E8F" w:rsidP="003C0F01">
            <w:pPr>
              <w:pStyle w:val="TableTextLeft"/>
            </w:pPr>
          </w:p>
        </w:tc>
        <w:tc>
          <w:tcPr>
            <w:tcW w:w="1667" w:type="pct"/>
          </w:tcPr>
          <w:p w14:paraId="06AA80EA" w14:textId="77777777" w:rsidR="00E84E8F" w:rsidRPr="00027624" w:rsidRDefault="00E84E8F" w:rsidP="00C13520">
            <w:pPr>
              <w:pStyle w:val="TableTextLeft"/>
              <w:jc w:val="center"/>
            </w:pPr>
            <w:r w:rsidRPr="00027624">
              <w:t>50</w:t>
            </w:r>
          </w:p>
        </w:tc>
        <w:tc>
          <w:tcPr>
            <w:tcW w:w="1667" w:type="pct"/>
          </w:tcPr>
          <w:p w14:paraId="562055B7" w14:textId="77777777" w:rsidR="00E84E8F" w:rsidRPr="00027624" w:rsidRDefault="00E84E8F" w:rsidP="00C13520">
            <w:pPr>
              <w:pStyle w:val="TableTextLeft"/>
              <w:jc w:val="center"/>
            </w:pPr>
            <w:r w:rsidRPr="00027624">
              <w:t>68,400</w:t>
            </w:r>
          </w:p>
        </w:tc>
      </w:tr>
      <w:tr w:rsidR="00E84E8F" w:rsidRPr="00027624" w14:paraId="5FAE885B" w14:textId="77777777" w:rsidTr="008700C7">
        <w:trPr>
          <w:trHeight w:val="270"/>
        </w:trPr>
        <w:tc>
          <w:tcPr>
            <w:tcW w:w="1666" w:type="pct"/>
            <w:vMerge/>
          </w:tcPr>
          <w:p w14:paraId="5F810116" w14:textId="77777777" w:rsidR="00E84E8F" w:rsidRPr="00027624" w:rsidRDefault="00E84E8F" w:rsidP="003C0F01">
            <w:pPr>
              <w:pStyle w:val="TableTextLeft"/>
            </w:pPr>
          </w:p>
        </w:tc>
        <w:tc>
          <w:tcPr>
            <w:tcW w:w="1667" w:type="pct"/>
          </w:tcPr>
          <w:p w14:paraId="731380A8" w14:textId="77777777" w:rsidR="00E84E8F" w:rsidRPr="00027624" w:rsidRDefault="00E84E8F" w:rsidP="00C13520">
            <w:pPr>
              <w:pStyle w:val="TableTextLeft"/>
              <w:jc w:val="center"/>
            </w:pPr>
            <w:r w:rsidRPr="00027624">
              <w:t>60</w:t>
            </w:r>
          </w:p>
        </w:tc>
        <w:tc>
          <w:tcPr>
            <w:tcW w:w="1667" w:type="pct"/>
          </w:tcPr>
          <w:p w14:paraId="4E3B9ACD" w14:textId="77777777" w:rsidR="00E84E8F" w:rsidRPr="00027624" w:rsidRDefault="00E84E8F" w:rsidP="00C13520">
            <w:pPr>
              <w:pStyle w:val="TableTextLeft"/>
              <w:jc w:val="center"/>
            </w:pPr>
            <w:r w:rsidRPr="00027624">
              <w:t>80,200</w:t>
            </w:r>
          </w:p>
        </w:tc>
      </w:tr>
      <w:tr w:rsidR="00E84E8F" w:rsidRPr="00027624" w14:paraId="0CF7F1F1" w14:textId="77777777" w:rsidTr="007B7B57">
        <w:trPr>
          <w:trHeight w:val="270"/>
        </w:trPr>
        <w:tc>
          <w:tcPr>
            <w:tcW w:w="1666" w:type="pct"/>
            <w:vMerge/>
            <w:tcBorders>
              <w:bottom w:val="single" w:sz="4" w:space="0" w:color="auto"/>
            </w:tcBorders>
          </w:tcPr>
          <w:p w14:paraId="45B1FBC0" w14:textId="77777777" w:rsidR="00E84E8F" w:rsidRPr="00027624" w:rsidRDefault="00E84E8F" w:rsidP="003C0F01">
            <w:pPr>
              <w:pStyle w:val="TableTextLeft"/>
            </w:pPr>
          </w:p>
        </w:tc>
        <w:tc>
          <w:tcPr>
            <w:tcW w:w="1667" w:type="pct"/>
            <w:tcBorders>
              <w:bottom w:val="single" w:sz="4" w:space="0" w:color="auto"/>
            </w:tcBorders>
          </w:tcPr>
          <w:p w14:paraId="5813D5C8" w14:textId="77777777" w:rsidR="00E84E8F" w:rsidRPr="00027624" w:rsidRDefault="00E84E8F" w:rsidP="00C13520">
            <w:pPr>
              <w:pStyle w:val="TableTextLeft"/>
              <w:jc w:val="center"/>
            </w:pPr>
            <w:r w:rsidRPr="00027624">
              <w:t>70</w:t>
            </w:r>
          </w:p>
        </w:tc>
        <w:tc>
          <w:tcPr>
            <w:tcW w:w="1667" w:type="pct"/>
            <w:tcBorders>
              <w:bottom w:val="single" w:sz="4" w:space="0" w:color="auto"/>
            </w:tcBorders>
          </w:tcPr>
          <w:p w14:paraId="0BFD3C1E" w14:textId="77777777" w:rsidR="00E84E8F" w:rsidRPr="00027624" w:rsidRDefault="00E84E8F" w:rsidP="00C13520">
            <w:pPr>
              <w:pStyle w:val="TableTextLeft"/>
              <w:jc w:val="center"/>
            </w:pPr>
            <w:r w:rsidRPr="00027624">
              <w:t>94,500</w:t>
            </w:r>
          </w:p>
        </w:tc>
      </w:tr>
      <w:tr w:rsidR="00E84E8F" w:rsidRPr="00027624" w14:paraId="2DD7F3D2" w14:textId="77777777" w:rsidTr="007B7B57">
        <w:trPr>
          <w:trHeight w:val="270"/>
        </w:trPr>
        <w:tc>
          <w:tcPr>
            <w:tcW w:w="1666" w:type="pct"/>
            <w:vMerge w:val="restart"/>
            <w:tcBorders>
              <w:top w:val="single" w:sz="4" w:space="0" w:color="auto"/>
            </w:tcBorders>
            <w:vAlign w:val="center"/>
          </w:tcPr>
          <w:p w14:paraId="1F095004" w14:textId="77777777" w:rsidR="00E84E8F" w:rsidRPr="00027624" w:rsidRDefault="00E84E8F" w:rsidP="003C0F01">
            <w:pPr>
              <w:pStyle w:val="TableTextLeft"/>
            </w:pPr>
            <w:r w:rsidRPr="00027624">
              <w:t>Higher</w:t>
            </w:r>
            <w:r w:rsidR="00A8443E" w:rsidRPr="00027624">
              <w:noBreakHyphen/>
            </w:r>
            <w:r w:rsidRPr="00027624">
              <w:t>income earners</w:t>
            </w:r>
          </w:p>
        </w:tc>
        <w:tc>
          <w:tcPr>
            <w:tcW w:w="1667" w:type="pct"/>
            <w:tcBorders>
              <w:top w:val="single" w:sz="4" w:space="0" w:color="auto"/>
            </w:tcBorders>
          </w:tcPr>
          <w:p w14:paraId="434F7C66" w14:textId="77777777" w:rsidR="00E84E8F" w:rsidRPr="00027624" w:rsidRDefault="00E84E8F" w:rsidP="00C13520">
            <w:pPr>
              <w:pStyle w:val="TableTextLeft"/>
              <w:jc w:val="center"/>
            </w:pPr>
            <w:r w:rsidRPr="00027624">
              <w:t>80</w:t>
            </w:r>
          </w:p>
        </w:tc>
        <w:tc>
          <w:tcPr>
            <w:tcW w:w="1667" w:type="pct"/>
            <w:tcBorders>
              <w:top w:val="single" w:sz="4" w:space="0" w:color="auto"/>
            </w:tcBorders>
          </w:tcPr>
          <w:p w14:paraId="5B6431D1" w14:textId="77777777" w:rsidR="00E84E8F" w:rsidRPr="00027624" w:rsidRDefault="00E84E8F" w:rsidP="00C13520">
            <w:pPr>
              <w:pStyle w:val="TableTextLeft"/>
              <w:jc w:val="center"/>
            </w:pPr>
            <w:r w:rsidRPr="00027624">
              <w:t>112,900</w:t>
            </w:r>
          </w:p>
        </w:tc>
      </w:tr>
      <w:tr w:rsidR="00E84E8F" w:rsidRPr="00027624" w14:paraId="17C5BC5D" w14:textId="77777777" w:rsidTr="008700C7">
        <w:trPr>
          <w:trHeight w:val="270"/>
        </w:trPr>
        <w:tc>
          <w:tcPr>
            <w:tcW w:w="1666" w:type="pct"/>
            <w:vMerge/>
          </w:tcPr>
          <w:p w14:paraId="50B19169" w14:textId="77777777" w:rsidR="00E84E8F" w:rsidRPr="00027624" w:rsidRDefault="00E84E8F" w:rsidP="00C13520">
            <w:pPr>
              <w:pStyle w:val="TableTextLeft"/>
              <w:jc w:val="center"/>
            </w:pPr>
          </w:p>
        </w:tc>
        <w:tc>
          <w:tcPr>
            <w:tcW w:w="1667" w:type="pct"/>
          </w:tcPr>
          <w:p w14:paraId="472445FB" w14:textId="77777777" w:rsidR="00E84E8F" w:rsidRPr="00027624" w:rsidRDefault="00E84E8F" w:rsidP="00C13520">
            <w:pPr>
              <w:pStyle w:val="TableTextLeft"/>
              <w:jc w:val="center"/>
            </w:pPr>
            <w:r w:rsidRPr="00027624">
              <w:t>90</w:t>
            </w:r>
          </w:p>
        </w:tc>
        <w:tc>
          <w:tcPr>
            <w:tcW w:w="1667" w:type="pct"/>
          </w:tcPr>
          <w:p w14:paraId="559D8A0B" w14:textId="77777777" w:rsidR="00E84E8F" w:rsidRPr="00027624" w:rsidRDefault="00E84E8F" w:rsidP="00C13520">
            <w:pPr>
              <w:pStyle w:val="TableTextLeft"/>
              <w:jc w:val="center"/>
            </w:pPr>
            <w:r w:rsidRPr="00027624">
              <w:t>144,900</w:t>
            </w:r>
          </w:p>
        </w:tc>
      </w:tr>
    </w:tbl>
    <w:p w14:paraId="17D7F2A3" w14:textId="77777777" w:rsidR="00AB4EE7" w:rsidRPr="00027624" w:rsidRDefault="00AB4EE7" w:rsidP="00AB4EE7">
      <w:r w:rsidRPr="00027624">
        <w:rPr>
          <w:sz w:val="16"/>
          <w:szCs w:val="16"/>
        </w:rPr>
        <w:t>Note: Values are in 2019</w:t>
      </w:r>
      <w:r w:rsidR="00A8443E" w:rsidRPr="00027624">
        <w:rPr>
          <w:sz w:val="16"/>
          <w:szCs w:val="16"/>
        </w:rPr>
        <w:noBreakHyphen/>
      </w:r>
      <w:r w:rsidRPr="00027624">
        <w:rPr>
          <w:sz w:val="16"/>
          <w:szCs w:val="16"/>
        </w:rPr>
        <w:t xml:space="preserve">20 dollars, deflated by </w:t>
      </w:r>
      <w:r w:rsidR="009D588D" w:rsidRPr="00027624">
        <w:rPr>
          <w:sz w:val="16"/>
          <w:szCs w:val="16"/>
        </w:rPr>
        <w:t>a</w:t>
      </w:r>
      <w:r w:rsidR="00CC1398" w:rsidRPr="00027624">
        <w:rPr>
          <w:sz w:val="16"/>
          <w:szCs w:val="16"/>
        </w:rPr>
        <w:t xml:space="preserve">verage </w:t>
      </w:r>
      <w:r w:rsidR="009D588D" w:rsidRPr="00027624">
        <w:rPr>
          <w:sz w:val="16"/>
          <w:szCs w:val="16"/>
        </w:rPr>
        <w:t>w</w:t>
      </w:r>
      <w:r w:rsidR="00CC1398" w:rsidRPr="00027624">
        <w:rPr>
          <w:sz w:val="16"/>
          <w:szCs w:val="16"/>
        </w:rPr>
        <w:t xml:space="preserve">eekly </w:t>
      </w:r>
      <w:r w:rsidR="009D588D" w:rsidRPr="00027624">
        <w:rPr>
          <w:sz w:val="16"/>
          <w:szCs w:val="16"/>
        </w:rPr>
        <w:t>e</w:t>
      </w:r>
      <w:r w:rsidR="00CC1398" w:rsidRPr="00027624">
        <w:rPr>
          <w:sz w:val="16"/>
          <w:szCs w:val="16"/>
        </w:rPr>
        <w:t>arnings</w:t>
      </w:r>
      <w:r w:rsidRPr="00027624">
        <w:rPr>
          <w:sz w:val="16"/>
          <w:szCs w:val="16"/>
        </w:rPr>
        <w:t xml:space="preserve"> and rounded to the nearest $100. Income is average earnings for the whole of working life (ages 27</w:t>
      </w:r>
      <w:r w:rsidR="00A8443E" w:rsidRPr="00027624">
        <w:rPr>
          <w:sz w:val="16"/>
          <w:szCs w:val="16"/>
        </w:rPr>
        <w:noBreakHyphen/>
      </w:r>
      <w:r w:rsidRPr="00027624">
        <w:rPr>
          <w:sz w:val="16"/>
          <w:szCs w:val="16"/>
        </w:rPr>
        <w:t>67) before tax. Incomes differ from the working</w:t>
      </w:r>
      <w:r w:rsidR="00A8443E" w:rsidRPr="00027624">
        <w:rPr>
          <w:sz w:val="16"/>
          <w:szCs w:val="16"/>
        </w:rPr>
        <w:noBreakHyphen/>
      </w:r>
      <w:r w:rsidRPr="00027624">
        <w:rPr>
          <w:sz w:val="16"/>
          <w:szCs w:val="16"/>
        </w:rPr>
        <w:t>life income target used for replacement rates, which is based on average annual disposable income in the last 10 years of working</w:t>
      </w:r>
      <w:r w:rsidR="00A8443E" w:rsidRPr="00027624">
        <w:rPr>
          <w:sz w:val="16"/>
          <w:szCs w:val="16"/>
        </w:rPr>
        <w:noBreakHyphen/>
      </w:r>
      <w:r w:rsidRPr="00027624">
        <w:rPr>
          <w:sz w:val="16"/>
          <w:szCs w:val="16"/>
        </w:rPr>
        <w:t>life. For more information on how the review has modelled working</w:t>
      </w:r>
      <w:r w:rsidR="00A8443E" w:rsidRPr="00027624">
        <w:rPr>
          <w:sz w:val="16"/>
          <w:szCs w:val="16"/>
        </w:rPr>
        <w:noBreakHyphen/>
      </w:r>
      <w:r w:rsidRPr="00027624">
        <w:rPr>
          <w:sz w:val="16"/>
          <w:szCs w:val="16"/>
        </w:rPr>
        <w:t xml:space="preserve">life income see </w:t>
      </w:r>
      <w:r w:rsidRPr="00027624">
        <w:rPr>
          <w:i/>
          <w:sz w:val="16"/>
          <w:szCs w:val="16"/>
        </w:rPr>
        <w:t xml:space="preserve">Appendix </w:t>
      </w:r>
      <w:r w:rsidR="00277015">
        <w:rPr>
          <w:i/>
          <w:sz w:val="16"/>
          <w:szCs w:val="16"/>
        </w:rPr>
        <w:t>6A.</w:t>
      </w:r>
      <w:r w:rsidRPr="00027624">
        <w:rPr>
          <w:i/>
          <w:sz w:val="16"/>
          <w:szCs w:val="16"/>
        </w:rPr>
        <w:t xml:space="preserve"> Detailed modelling methods and assumptions</w:t>
      </w:r>
      <w:r w:rsidRPr="00027624">
        <w:rPr>
          <w:sz w:val="16"/>
          <w:szCs w:val="16"/>
        </w:rPr>
        <w:t>. Source:</w:t>
      </w:r>
      <w:r w:rsidRPr="00027624">
        <w:t xml:space="preserve"> </w:t>
      </w:r>
      <w:r w:rsidRPr="00027624">
        <w:rPr>
          <w:sz w:val="16"/>
          <w:szCs w:val="16"/>
        </w:rPr>
        <w:t>Cameo modelling undertaken for the review.</w:t>
      </w:r>
    </w:p>
    <w:p w14:paraId="52840931" w14:textId="77777777" w:rsidR="0060556C" w:rsidRPr="00027624" w:rsidRDefault="0060556C">
      <w:pPr>
        <w:spacing w:before="0" w:after="160" w:line="259" w:lineRule="auto"/>
        <w:sectPr w:rsidR="0060556C" w:rsidRPr="00027624" w:rsidSect="00E11EAF">
          <w:footerReference w:type="even" r:id="rId34"/>
          <w:footerReference w:type="default" r:id="rId35"/>
          <w:footerReference w:type="first" r:id="rId36"/>
          <w:type w:val="oddPage"/>
          <w:pgSz w:w="11906" w:h="16838" w:code="9"/>
          <w:pgMar w:top="1418" w:right="1418" w:bottom="1418" w:left="1418" w:header="709" w:footer="709" w:gutter="0"/>
          <w:pgNumType w:start="1"/>
          <w:cols w:space="708"/>
          <w:titlePg/>
          <w:docGrid w:linePitch="360"/>
        </w:sectPr>
      </w:pPr>
    </w:p>
    <w:p w14:paraId="2E617C8F" w14:textId="77777777" w:rsidR="0033541B" w:rsidRPr="00027624" w:rsidRDefault="00AE0BE4" w:rsidP="00454F18">
      <w:pPr>
        <w:rPr>
          <w:noProof/>
        </w:rPr>
      </w:pPr>
      <w:r w:rsidRPr="00027624">
        <w:rPr>
          <w:noProof/>
        </w:rPr>
        <w:lastRenderedPageBreak/>
        <w:drawing>
          <wp:anchor distT="0" distB="0" distL="114300" distR="114300" simplePos="0" relativeHeight="251658240" behindDoc="1" locked="0" layoutInCell="1" allowOverlap="1" wp14:anchorId="3FD81F11" wp14:editId="612C9827">
            <wp:simplePos x="0" y="0"/>
            <wp:positionH relativeFrom="page">
              <wp:align>center</wp:align>
            </wp:positionH>
            <wp:positionV relativeFrom="page">
              <wp:align>top</wp:align>
            </wp:positionV>
            <wp:extent cx="7560000" cy="10695600"/>
            <wp:effectExtent l="0" t="0" r="3175" b="0"/>
            <wp:wrapNone/>
            <wp:docPr id="771978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page">
              <wp14:pctWidth>0</wp14:pctWidth>
            </wp14:sizeRelH>
            <wp14:sizeRelV relativeFrom="page">
              <wp14:pctHeight>0</wp14:pctHeight>
            </wp14:sizeRelV>
          </wp:anchor>
        </w:drawing>
      </w:r>
    </w:p>
    <w:p w14:paraId="6CF45908" w14:textId="77777777" w:rsidR="0033541B" w:rsidRPr="00027624" w:rsidRDefault="006C1DD5" w:rsidP="007D095E">
      <w:pPr>
        <w:pStyle w:val="Chapterheading"/>
        <w:numPr>
          <w:ilvl w:val="0"/>
          <w:numId w:val="0"/>
        </w:numPr>
        <w:spacing w:before="5400"/>
        <w:ind w:left="2552"/>
      </w:pPr>
      <w:bookmarkStart w:id="57" w:name="_Toc41808500"/>
      <w:bookmarkStart w:id="58" w:name="_Toc45520409"/>
      <w:bookmarkStart w:id="59" w:name="_Toc46133517"/>
      <w:r>
        <w:t xml:space="preserve">Key </w:t>
      </w:r>
      <w:r w:rsidR="0033541B" w:rsidRPr="00027624">
        <w:t xml:space="preserve">observations and </w:t>
      </w:r>
      <w:r w:rsidR="00626440" w:rsidRPr="00027624">
        <w:t>o</w:t>
      </w:r>
      <w:r w:rsidR="0033541B" w:rsidRPr="00027624">
        <w:t>verview</w:t>
      </w:r>
      <w:bookmarkEnd w:id="57"/>
      <w:bookmarkEnd w:id="58"/>
      <w:bookmarkEnd w:id="59"/>
    </w:p>
    <w:p w14:paraId="75087500" w14:textId="77777777" w:rsidR="00E63125" w:rsidRPr="00027624" w:rsidRDefault="00E63125">
      <w:pPr>
        <w:spacing w:before="0" w:after="160" w:line="259" w:lineRule="auto"/>
        <w:rPr>
          <w:rFonts w:asciiTheme="minorHAnsi" w:eastAsiaTheme="minorEastAsia" w:hAnsiTheme="minorHAnsi" w:cstheme="minorBidi"/>
          <w:noProof/>
          <w:color w:val="144E60" w:themeColor="accent1"/>
          <w:szCs w:val="22"/>
          <w:lang w:eastAsia="en-US"/>
        </w:rPr>
        <w:sectPr w:rsidR="00E63125" w:rsidRPr="00027624" w:rsidSect="0060556C">
          <w:headerReference w:type="default" r:id="rId38"/>
          <w:type w:val="oddPage"/>
          <w:pgSz w:w="11906" w:h="16838" w:code="9"/>
          <w:pgMar w:top="1418" w:right="1418" w:bottom="1418" w:left="1418" w:header="709" w:footer="709" w:gutter="0"/>
          <w:cols w:space="708"/>
          <w:titlePg/>
          <w:docGrid w:linePitch="360"/>
        </w:sectPr>
      </w:pPr>
    </w:p>
    <w:p w14:paraId="607D6CD2" w14:textId="77777777" w:rsidR="0033541B" w:rsidRPr="00027624" w:rsidRDefault="0033541B" w:rsidP="00454F18">
      <w:pPr>
        <w:pStyle w:val="Heading1notnumbered"/>
      </w:pPr>
      <w:bookmarkStart w:id="60" w:name="_Toc41808501"/>
      <w:bookmarkStart w:id="61" w:name="_Toc45520410"/>
      <w:bookmarkStart w:id="62" w:name="_Toc46133518"/>
      <w:r w:rsidRPr="00027624">
        <w:lastRenderedPageBreak/>
        <w:t>Key observations</w:t>
      </w:r>
      <w:bookmarkEnd w:id="60"/>
      <w:bookmarkEnd w:id="61"/>
      <w:bookmarkEnd w:id="62"/>
    </w:p>
    <w:tbl>
      <w:tblPr>
        <w:tblW w:w="5000" w:type="pct"/>
        <w:shd w:val="clear" w:color="auto" w:fill="DFD7E7" w:themeFill="accent3" w:themeFillTint="33"/>
        <w:tblCellMar>
          <w:top w:w="113" w:type="dxa"/>
          <w:bottom w:w="113" w:type="dxa"/>
        </w:tblCellMar>
        <w:tblLook w:val="01E0" w:firstRow="1" w:lastRow="1" w:firstColumn="1" w:lastColumn="1" w:noHBand="0" w:noVBand="0"/>
      </w:tblPr>
      <w:tblGrid>
        <w:gridCol w:w="9070"/>
      </w:tblGrid>
      <w:tr w:rsidR="0033541B" w:rsidRPr="00027624" w14:paraId="43510293" w14:textId="77777777" w:rsidTr="0060556C">
        <w:tc>
          <w:tcPr>
            <w:tcW w:w="5000" w:type="pct"/>
            <w:shd w:val="clear" w:color="auto" w:fill="DFD7E7" w:themeFill="accent3" w:themeFillTint="33"/>
          </w:tcPr>
          <w:p w14:paraId="46C49CD0" w14:textId="77777777" w:rsidR="0033541B" w:rsidRPr="00027624" w:rsidRDefault="0033541B" w:rsidP="0060556C">
            <w:pPr>
              <w:pStyle w:val="BoxBullet"/>
              <w:spacing w:before="120"/>
              <w:rPr>
                <w:rFonts w:asciiTheme="minorHAnsi" w:eastAsiaTheme="minorEastAsia" w:hAnsiTheme="minorHAnsi"/>
              </w:rPr>
            </w:pPr>
            <w:r w:rsidRPr="00027624">
              <w:rPr>
                <w:b/>
              </w:rPr>
              <w:t>The Australian retirement</w:t>
            </w:r>
            <w:r w:rsidRPr="00027624">
              <w:rPr>
                <w:b/>
                <w:bCs/>
              </w:rPr>
              <w:t xml:space="preserve"> income system is effective, sound</w:t>
            </w:r>
            <w:r w:rsidRPr="00027624">
              <w:t xml:space="preserve"> </w:t>
            </w:r>
            <w:r w:rsidRPr="00027624">
              <w:rPr>
                <w:b/>
              </w:rPr>
              <w:t>and its costs are broadly sustainable.</w:t>
            </w:r>
            <w:r w:rsidRPr="00027624">
              <w:t xml:space="preserve"> This is reassuring in a time of economic uncertainty associated with the COVID</w:t>
            </w:r>
            <w:r w:rsidR="00A8443E" w:rsidRPr="00027624">
              <w:noBreakHyphen/>
            </w:r>
            <w:r w:rsidRPr="00027624">
              <w:t>19 Pandemic. But the evidence suggests there are areas where the system can be improved.</w:t>
            </w:r>
          </w:p>
          <w:p w14:paraId="7FC0C04F" w14:textId="77777777" w:rsidR="0033541B" w:rsidRPr="00027624" w:rsidRDefault="0033541B" w:rsidP="00454F18">
            <w:pPr>
              <w:pStyle w:val="BoxBullet"/>
              <w:rPr>
                <w:rFonts w:asciiTheme="minorHAnsi" w:eastAsiaTheme="minorEastAsia" w:hAnsiTheme="minorHAnsi"/>
              </w:rPr>
            </w:pPr>
            <w:r w:rsidRPr="00027624">
              <w:t xml:space="preserve">The retirement income system is complex. </w:t>
            </w:r>
            <w:r w:rsidRPr="00027624">
              <w:rPr>
                <w:b/>
                <w:bCs/>
              </w:rPr>
              <w:t>There is a need to improve understanding of the system</w:t>
            </w:r>
            <w:r w:rsidRPr="00027624">
              <w:rPr>
                <w:b/>
              </w:rPr>
              <w:t xml:space="preserve">. </w:t>
            </w:r>
            <w:r w:rsidRPr="00027624">
              <w:t>Complexity, misconceptions and low financial literacy have resulted in people not adequately planning for their retirement or making the most of their assets when in retirement. Adding to complexity is the interaction with other systems, such as the aged care and the tax systems. People need better information, guidance and good, affordable advice tailored to their needs.</w:t>
            </w:r>
          </w:p>
          <w:p w14:paraId="209E945B" w14:textId="77777777" w:rsidR="0033541B" w:rsidRPr="00027624" w:rsidRDefault="0033541B" w:rsidP="00454F18">
            <w:pPr>
              <w:pStyle w:val="BoxDash"/>
              <w:rPr>
                <w:rFonts w:eastAsiaTheme="minorEastAsia"/>
              </w:rPr>
            </w:pPr>
            <w:r w:rsidRPr="00027624">
              <w:rPr>
                <w:rFonts w:eastAsiaTheme="minorEastAsia"/>
              </w:rPr>
              <w:t xml:space="preserve">A major misunderstanding is the view that </w:t>
            </w:r>
            <w:r w:rsidR="00A8443E" w:rsidRPr="00027624">
              <w:rPr>
                <w:rFonts w:eastAsiaTheme="minorEastAsia"/>
              </w:rPr>
              <w:t>‘</w:t>
            </w:r>
            <w:r w:rsidRPr="00027624">
              <w:rPr>
                <w:rFonts w:eastAsiaTheme="minorEastAsia"/>
              </w:rPr>
              <w:t>retirement income</w:t>
            </w:r>
            <w:r w:rsidR="00A8443E" w:rsidRPr="00027624">
              <w:rPr>
                <w:rFonts w:eastAsiaTheme="minorEastAsia"/>
              </w:rPr>
              <w:t>’</w:t>
            </w:r>
            <w:r w:rsidRPr="00027624">
              <w:rPr>
                <w:rFonts w:eastAsiaTheme="minorEastAsia"/>
              </w:rPr>
              <w:t xml:space="preserve"> involves the return from investing superannuation balances rather than drawing down those balances to fund living standards in retirement.</w:t>
            </w:r>
          </w:p>
          <w:p w14:paraId="7EAE320F" w14:textId="77777777" w:rsidR="0033541B" w:rsidRPr="00027624" w:rsidRDefault="0033541B" w:rsidP="00454F18">
            <w:pPr>
              <w:pStyle w:val="BoxBullet"/>
              <w:rPr>
                <w:rFonts w:asciiTheme="minorHAnsi" w:eastAsiaTheme="minorEastAsia" w:hAnsiTheme="minorHAnsi"/>
              </w:rPr>
            </w:pPr>
            <w:r w:rsidRPr="00027624">
              <w:rPr>
                <w:b/>
              </w:rPr>
              <w:t>There are competing interests in the system.</w:t>
            </w:r>
            <w:r w:rsidRPr="00027624">
              <w:t xml:space="preserve"> In what is often a highly contested environment, it is important to gather the facts and establish the evidence so that objective decisions can be made about the direction of policy and what is in the best interests of the community.</w:t>
            </w:r>
          </w:p>
          <w:p w14:paraId="7BC362D4" w14:textId="77777777" w:rsidR="0033541B" w:rsidRPr="00027624" w:rsidRDefault="0033541B" w:rsidP="00454F18">
            <w:pPr>
              <w:pStyle w:val="BoxBullet"/>
              <w:rPr>
                <w:rFonts w:asciiTheme="minorHAnsi" w:eastAsiaTheme="minorEastAsia" w:hAnsiTheme="minorHAnsi"/>
              </w:rPr>
            </w:pPr>
            <w:r w:rsidRPr="00027624">
              <w:rPr>
                <w:b/>
              </w:rPr>
              <w:t xml:space="preserve">A clear objective for the system, </w:t>
            </w:r>
            <w:r w:rsidRPr="00027624">
              <w:t>agreed by the Australian community through the Government, is needed to guide policy, improve understanding and provide a framework for assessing performance of the system.</w:t>
            </w:r>
          </w:p>
          <w:p w14:paraId="11B3691D" w14:textId="77777777" w:rsidR="0033541B" w:rsidRPr="00027624" w:rsidRDefault="0033541B" w:rsidP="00454F18">
            <w:pPr>
              <w:pStyle w:val="BoxBullet"/>
              <w:rPr>
                <w:rFonts w:asciiTheme="minorHAnsi" w:eastAsiaTheme="minorEastAsia" w:hAnsiTheme="minorHAnsi"/>
              </w:rPr>
            </w:pPr>
            <w:r w:rsidRPr="00027624">
              <w:t>It is suggested that the objective for the system be developed around the goal:</w:t>
            </w:r>
          </w:p>
          <w:p w14:paraId="2AD42805" w14:textId="77777777" w:rsidR="0033541B" w:rsidRPr="00027624" w:rsidRDefault="00A8443E" w:rsidP="00454F18">
            <w:pPr>
              <w:pStyle w:val="BoxDash"/>
              <w:tabs>
                <w:tab w:val="clear" w:pos="567"/>
              </w:tabs>
              <w:ind w:firstLine="0"/>
              <w:rPr>
                <w:b/>
                <w:i/>
              </w:rPr>
            </w:pPr>
            <w:r w:rsidRPr="00027624">
              <w:rPr>
                <w:b/>
                <w:i/>
              </w:rPr>
              <w:t>‘</w:t>
            </w:r>
            <w:r w:rsidR="0033541B" w:rsidRPr="00027624">
              <w:rPr>
                <w:b/>
                <w:i/>
              </w:rPr>
              <w:t>to deliver adequate standards of living in retirement in an equitable, sustainable and cohesive way.</w:t>
            </w:r>
            <w:r w:rsidRPr="00027624">
              <w:rPr>
                <w:b/>
                <w:i/>
              </w:rPr>
              <w:t>’</w:t>
            </w:r>
          </w:p>
          <w:p w14:paraId="28102148" w14:textId="77777777" w:rsidR="0033541B" w:rsidRPr="00027624" w:rsidRDefault="0033541B" w:rsidP="00454F18">
            <w:pPr>
              <w:pStyle w:val="BoxBullet"/>
            </w:pPr>
            <w:r w:rsidRPr="00027624">
              <w:t xml:space="preserve">What constitutes an </w:t>
            </w:r>
            <w:r w:rsidR="00A8443E" w:rsidRPr="00027624">
              <w:t>‘</w:t>
            </w:r>
            <w:r w:rsidRPr="00027624">
              <w:t>adequate, equitable, sustainable and coherent</w:t>
            </w:r>
            <w:r w:rsidR="00A8443E" w:rsidRPr="00027624">
              <w:t>’</w:t>
            </w:r>
            <w:r w:rsidRPr="00027624">
              <w:t xml:space="preserve"> retirement income system needs to be clear and preferably legislated. Suggestions of the elements to be covered include:</w:t>
            </w:r>
          </w:p>
          <w:p w14:paraId="0DD99C5A" w14:textId="77777777" w:rsidR="0033541B" w:rsidRPr="00027624" w:rsidRDefault="0033541B" w:rsidP="00454F18">
            <w:pPr>
              <w:pStyle w:val="BoxDash"/>
              <w:rPr>
                <w:rFonts w:eastAsiaTheme="minorEastAsia"/>
                <w:b/>
              </w:rPr>
            </w:pPr>
            <w:r w:rsidRPr="00027624">
              <w:rPr>
                <w:b/>
              </w:rPr>
              <w:t>Adequacy</w:t>
            </w:r>
          </w:p>
          <w:p w14:paraId="704FF053" w14:textId="77777777" w:rsidR="0033541B" w:rsidRPr="00027624" w:rsidRDefault="0033541B" w:rsidP="00454F18">
            <w:pPr>
              <w:pStyle w:val="BoxDoubleDot"/>
            </w:pPr>
            <w:r w:rsidRPr="00027624">
              <w:t>The system should ensure a minimum standard of living for retirees with limited financial means that is consistent with prevailing community standards.</w:t>
            </w:r>
          </w:p>
          <w:p w14:paraId="45C392DE" w14:textId="77777777" w:rsidR="0033541B" w:rsidRPr="00027624" w:rsidRDefault="0033541B" w:rsidP="00454F18">
            <w:pPr>
              <w:pStyle w:val="BoxDoubleDot"/>
              <w:rPr>
                <w:rFonts w:asciiTheme="minorHAnsi" w:eastAsiaTheme="minorEastAsia" w:hAnsiTheme="minorHAnsi"/>
              </w:rPr>
            </w:pPr>
            <w:r w:rsidRPr="00027624">
              <w:t>The system should facilitate people to reasonably maintain their standard of living in retirement.</w:t>
            </w:r>
          </w:p>
          <w:p w14:paraId="7AE62C15" w14:textId="77777777" w:rsidR="0033541B" w:rsidRPr="00027624" w:rsidRDefault="0033541B" w:rsidP="00454F18">
            <w:pPr>
              <w:pStyle w:val="BoxDash"/>
              <w:rPr>
                <w:rFonts w:asciiTheme="minorHAnsi" w:eastAsiaTheme="minorEastAsia" w:hAnsiTheme="minorHAnsi"/>
                <w:b/>
              </w:rPr>
            </w:pPr>
            <w:r w:rsidRPr="00027624">
              <w:rPr>
                <w:b/>
              </w:rPr>
              <w:t>Equity</w:t>
            </w:r>
          </w:p>
          <w:p w14:paraId="6B360EDF" w14:textId="77777777" w:rsidR="0033541B" w:rsidRPr="00027624" w:rsidRDefault="0033541B" w:rsidP="00454F18">
            <w:pPr>
              <w:pStyle w:val="BoxDoubleDot"/>
              <w:rPr>
                <w:rFonts w:eastAsiaTheme="minorEastAsia"/>
              </w:rPr>
            </w:pPr>
            <w:r w:rsidRPr="00027624">
              <w:t>The system should target Government support to those in need.</w:t>
            </w:r>
          </w:p>
          <w:p w14:paraId="13E57AEC" w14:textId="77777777" w:rsidR="0033541B" w:rsidRPr="00027624" w:rsidRDefault="0033541B" w:rsidP="00454F18">
            <w:pPr>
              <w:pStyle w:val="BoxDoubleDot"/>
              <w:rPr>
                <w:rFonts w:asciiTheme="minorHAnsi" w:eastAsiaTheme="minorEastAsia" w:hAnsiTheme="minorHAnsi"/>
              </w:rPr>
            </w:pPr>
            <w:r w:rsidRPr="00027624">
              <w:t>The system should provide similar outcomes for people in similar circumstances.</w:t>
            </w:r>
          </w:p>
          <w:p w14:paraId="65A97797" w14:textId="77777777" w:rsidR="0033541B" w:rsidRPr="00027624" w:rsidRDefault="0033541B" w:rsidP="00454F18">
            <w:pPr>
              <w:pStyle w:val="BoxDash"/>
              <w:rPr>
                <w:b/>
              </w:rPr>
            </w:pPr>
            <w:r w:rsidRPr="00027624">
              <w:rPr>
                <w:b/>
              </w:rPr>
              <w:t>Sustainability</w:t>
            </w:r>
          </w:p>
          <w:p w14:paraId="315DBD1D" w14:textId="77777777" w:rsidR="0033541B" w:rsidRPr="00027624" w:rsidRDefault="0033541B" w:rsidP="00454F18">
            <w:pPr>
              <w:pStyle w:val="BoxDoubleDot"/>
              <w:rPr>
                <w:rFonts w:asciiTheme="minorHAnsi" w:eastAsiaTheme="minorEastAsia" w:hAnsiTheme="minorHAnsi"/>
              </w:rPr>
            </w:pPr>
            <w:r w:rsidRPr="00027624">
              <w:t>The system should be cost</w:t>
            </w:r>
            <w:r w:rsidR="00A8443E" w:rsidRPr="00027624">
              <w:noBreakHyphen/>
            </w:r>
            <w:r w:rsidRPr="00027624">
              <w:t>effective for taxpayers in achieving adequate retirement outcomes.</w:t>
            </w:r>
          </w:p>
          <w:p w14:paraId="742CD288" w14:textId="77777777" w:rsidR="0033541B" w:rsidRPr="00027624" w:rsidRDefault="0033541B" w:rsidP="00454F18">
            <w:pPr>
              <w:pStyle w:val="BoxDoubleDot"/>
            </w:pPr>
            <w:r w:rsidRPr="00027624">
              <w:t>The system should be sustainable and robust to demographic, economic and social change.</w:t>
            </w:r>
          </w:p>
          <w:p w14:paraId="769592CE" w14:textId="77777777" w:rsidR="0033541B" w:rsidRPr="00027624" w:rsidRDefault="0033541B" w:rsidP="00454F18">
            <w:pPr>
              <w:pStyle w:val="BoxDash"/>
              <w:rPr>
                <w:rFonts w:asciiTheme="minorHAnsi" w:eastAsiaTheme="minorEastAsia" w:hAnsiTheme="minorHAnsi"/>
                <w:b/>
              </w:rPr>
            </w:pPr>
            <w:r w:rsidRPr="00027624">
              <w:rPr>
                <w:b/>
              </w:rPr>
              <w:t>Cohesion</w:t>
            </w:r>
          </w:p>
          <w:p w14:paraId="632DDC26" w14:textId="77777777" w:rsidR="0033541B" w:rsidRPr="00027624" w:rsidRDefault="0033541B" w:rsidP="00454F18">
            <w:pPr>
              <w:pStyle w:val="BoxDoubleDot"/>
            </w:pPr>
            <w:r w:rsidRPr="00027624">
              <w:t>The system should have effective incentives to smooth consumption and support people in taking personal responsibility for their retirement incomes.</w:t>
            </w:r>
          </w:p>
          <w:p w14:paraId="71638C9F" w14:textId="77777777" w:rsidR="0033541B" w:rsidRPr="00027624" w:rsidRDefault="0033541B" w:rsidP="00454F18">
            <w:pPr>
              <w:pStyle w:val="BoxDoubleDot"/>
            </w:pPr>
            <w:r w:rsidRPr="00027624">
              <w:t>The system should interact effectively with other systems.</w:t>
            </w:r>
          </w:p>
          <w:p w14:paraId="1316A268" w14:textId="77777777" w:rsidR="0033541B" w:rsidRPr="00027624" w:rsidRDefault="0033541B" w:rsidP="00454F18">
            <w:pPr>
              <w:pStyle w:val="BoxDoubleDot"/>
            </w:pPr>
            <w:r w:rsidRPr="00027624">
              <w:t>The system should not be unnecessarily complex for consumers.</w:t>
            </w:r>
          </w:p>
          <w:p w14:paraId="66611FF5" w14:textId="77777777" w:rsidR="0033541B" w:rsidRPr="00027624" w:rsidRDefault="0033541B" w:rsidP="00454F18">
            <w:pPr>
              <w:pStyle w:val="BoxBullet"/>
              <w:rPr>
                <w:rFonts w:asciiTheme="minorHAnsi" w:eastAsiaTheme="minorEastAsia" w:hAnsiTheme="minorHAnsi"/>
              </w:rPr>
            </w:pPr>
            <w:r w:rsidRPr="00027624">
              <w:rPr>
                <w:b/>
                <w:bCs/>
              </w:rPr>
              <w:t xml:space="preserve">As at June 2019, around 71 per cent of people aged </w:t>
            </w:r>
            <w:r w:rsidRPr="00027624" w:rsidDel="7AA8D26D">
              <w:rPr>
                <w:b/>
                <w:bCs/>
              </w:rPr>
              <w:t>65</w:t>
            </w:r>
            <w:r w:rsidRPr="00027624">
              <w:rPr>
                <w:b/>
                <w:bCs/>
              </w:rPr>
              <w:t xml:space="preserve"> and over received Age Pension or other pension payments.</w:t>
            </w:r>
            <w:r w:rsidRPr="00027624">
              <w:t xml:space="preserve"> Over 60 per cent of these were on the maximum rate. For most households aged 65 and over, </w:t>
            </w:r>
            <w:r w:rsidRPr="00027624">
              <w:lastRenderedPageBreak/>
              <w:t>the family home is their main asset. Superannuation makes up a small share of their net wealth. This will change as the superannuation system matures.</w:t>
            </w:r>
          </w:p>
          <w:p w14:paraId="3713F257" w14:textId="77777777" w:rsidR="0033541B" w:rsidRPr="00027624" w:rsidRDefault="0033541B" w:rsidP="00142ED8">
            <w:pPr>
              <w:pStyle w:val="BoxBullet"/>
              <w:keepLines/>
              <w:rPr>
                <w:rFonts w:asciiTheme="minorHAnsi" w:eastAsiaTheme="minorEastAsia" w:hAnsiTheme="minorHAnsi"/>
              </w:rPr>
            </w:pPr>
            <w:r w:rsidRPr="00027624">
              <w:rPr>
                <w:b/>
                <w:bCs/>
              </w:rPr>
              <w:t xml:space="preserve">The Age Pension, combined with other support provided to retirees, is effective </w:t>
            </w:r>
            <w:r w:rsidRPr="00027624">
              <w:rPr>
                <w:b/>
              </w:rPr>
              <w:t>in ensuring most Australians achieve a minimum standard of living in retirement</w:t>
            </w:r>
            <w:r w:rsidRPr="00027624">
              <w:t xml:space="preserve"> in line with community standards. Retirees receive health, aged care and other Government services worth more than the maximum rate of the single Age Pension.</w:t>
            </w:r>
          </w:p>
          <w:p w14:paraId="1344C282" w14:textId="77777777" w:rsidR="0033541B" w:rsidRPr="00027624" w:rsidRDefault="0033541B" w:rsidP="00454F18">
            <w:pPr>
              <w:pStyle w:val="BoxBullet"/>
              <w:rPr>
                <w:rFonts w:asciiTheme="minorHAnsi" w:eastAsiaTheme="minorEastAsia" w:hAnsiTheme="minorHAnsi"/>
              </w:rPr>
            </w:pPr>
            <w:r w:rsidRPr="00027624">
              <w:t>Some groups do not achieve this goal.</w:t>
            </w:r>
          </w:p>
          <w:p w14:paraId="4FE6B2F8" w14:textId="77777777" w:rsidR="0033541B" w:rsidRPr="00027624" w:rsidRDefault="0033541B" w:rsidP="00454F18">
            <w:pPr>
              <w:pStyle w:val="BoxDash"/>
              <w:rPr>
                <w:rFonts w:eastAsiaTheme="minorEastAsia"/>
              </w:rPr>
            </w:pPr>
            <w:r w:rsidRPr="00027624">
              <w:t xml:space="preserve">A significant number of </w:t>
            </w:r>
            <w:r w:rsidRPr="00027624">
              <w:rPr>
                <w:b/>
              </w:rPr>
              <w:t>older Australians who are renting in the private market need additional assistance</w:t>
            </w:r>
            <w:r w:rsidRPr="00027624">
              <w:t>. Increasing the rate of Commonwealth Rent Assistance will only have a small impact. A new approach is required.</w:t>
            </w:r>
          </w:p>
          <w:p w14:paraId="606CA158" w14:textId="77777777" w:rsidR="0033541B" w:rsidRPr="00027624" w:rsidRDefault="0033541B" w:rsidP="00454F18">
            <w:pPr>
              <w:pStyle w:val="BoxBullet"/>
              <w:rPr>
                <w:rFonts w:asciiTheme="minorHAnsi" w:eastAsiaTheme="minorEastAsia" w:hAnsiTheme="minorHAnsi"/>
              </w:rPr>
            </w:pPr>
            <w:r w:rsidRPr="00027624">
              <w:t xml:space="preserve">For many who </w:t>
            </w:r>
            <w:r w:rsidRPr="00027624">
              <w:rPr>
                <w:bCs/>
              </w:rPr>
              <w:t>retire involuntarily due to job</w:t>
            </w:r>
            <w:r w:rsidR="00A8443E" w:rsidRPr="00027624">
              <w:rPr>
                <w:bCs/>
              </w:rPr>
              <w:noBreakHyphen/>
            </w:r>
            <w:r w:rsidRPr="00027624">
              <w:rPr>
                <w:bCs/>
              </w:rPr>
              <w:t>related reasons,</w:t>
            </w:r>
            <w:r w:rsidRPr="00027624">
              <w:t xml:space="preserve"> the adequacy of their living standards before </w:t>
            </w:r>
            <w:r w:rsidRPr="00027624" w:rsidDel="0050525D">
              <w:t>Age</w:t>
            </w:r>
            <w:r w:rsidRPr="00027624">
              <w:t> </w:t>
            </w:r>
            <w:r w:rsidRPr="00027624" w:rsidDel="0050525D">
              <w:t>Pension eligibility</w:t>
            </w:r>
            <w:r w:rsidRPr="00027624">
              <w:t xml:space="preserve"> age depends on the level of the JobSeeker Payment. Renters and involuntary retirees experience higher levels of financial stress and poverty than the working</w:t>
            </w:r>
            <w:r w:rsidR="00A8443E" w:rsidRPr="00027624">
              <w:noBreakHyphen/>
            </w:r>
            <w:r w:rsidRPr="00027624">
              <w:t>age population.</w:t>
            </w:r>
          </w:p>
          <w:p w14:paraId="42769139" w14:textId="77777777" w:rsidR="0033541B" w:rsidRPr="00027624" w:rsidRDefault="0033541B" w:rsidP="00454F18">
            <w:pPr>
              <w:pStyle w:val="BoxBullet"/>
              <w:rPr>
                <w:rFonts w:asciiTheme="minorHAnsi" w:eastAsiaTheme="minorEastAsia" w:hAnsiTheme="minorHAnsi"/>
              </w:rPr>
            </w:pPr>
            <w:r w:rsidRPr="00027624">
              <w:rPr>
                <w:b/>
                <w:bCs/>
              </w:rPr>
              <w:t xml:space="preserve">The Age Pension is more than a safety net. </w:t>
            </w:r>
            <w:r w:rsidRPr="00027624">
              <w:t>It plays an important role in supplementing the superannuation savings of retirees and allowing them to maintain their living standards. It also provides a buffer for retirees whose retirement income and savings fall due to market volatility, and for those who outlive their savings.</w:t>
            </w:r>
          </w:p>
          <w:p w14:paraId="59AE12E5" w14:textId="77777777" w:rsidR="0033541B" w:rsidRPr="00027624" w:rsidRDefault="0033541B" w:rsidP="00454F18">
            <w:pPr>
              <w:pStyle w:val="BoxBullet"/>
              <w:rPr>
                <w:rFonts w:asciiTheme="minorHAnsi" w:eastAsiaTheme="minorEastAsia" w:hAnsiTheme="minorHAnsi"/>
              </w:rPr>
            </w:pPr>
            <w:r w:rsidRPr="00027624">
              <w:rPr>
                <w:bCs/>
              </w:rPr>
              <w:t xml:space="preserve">Compulsory superannuation </w:t>
            </w:r>
            <w:r w:rsidRPr="00027624">
              <w:t>allows people to achieve a retirement income that better reflects their pre</w:t>
            </w:r>
            <w:r w:rsidR="00A8443E" w:rsidRPr="00027624">
              <w:noBreakHyphen/>
            </w:r>
            <w:r w:rsidRPr="00027624">
              <w:t>retirement income</w:t>
            </w:r>
            <w:r w:rsidRPr="00027624" w:rsidDel="00951F93">
              <w:t>.</w:t>
            </w:r>
            <w:r w:rsidRPr="00027624" w:rsidDel="75739E10">
              <w:t xml:space="preserve"> </w:t>
            </w:r>
            <w:r w:rsidRPr="00027624">
              <w:rPr>
                <w:b/>
              </w:rPr>
              <w:t>As the superannuation system matures, people will increasingly fund more of their own retirement.</w:t>
            </w:r>
            <w:r w:rsidRPr="00027624">
              <w:t xml:space="preserve"> Nevertheless, the Age Pension will continue to supplement the retirement income of a large proportion of people, but to a lesser degree.</w:t>
            </w:r>
          </w:p>
          <w:p w14:paraId="0617B735" w14:textId="77777777" w:rsidR="0033541B" w:rsidRPr="00027624" w:rsidRDefault="0033541B" w:rsidP="00454F18">
            <w:pPr>
              <w:pStyle w:val="BoxBullet"/>
              <w:rPr>
                <w:rFonts w:asciiTheme="minorHAnsi" w:eastAsiaTheme="minorEastAsia" w:hAnsiTheme="minorHAnsi"/>
              </w:rPr>
            </w:pPr>
            <w:r w:rsidRPr="00027624">
              <w:rPr>
                <w:bCs/>
              </w:rPr>
              <w:t xml:space="preserve">Voluntary superannuation </w:t>
            </w:r>
            <w:r w:rsidRPr="00027624">
              <w:t>provides the flexibility for people to save more than is mandated by the Superannuation Guarantee (</w:t>
            </w:r>
            <w:r w:rsidRPr="00027624">
              <w:rPr>
                <w:bCs/>
              </w:rPr>
              <w:t xml:space="preserve">SG) </w:t>
            </w:r>
            <w:r w:rsidRPr="00027624">
              <w:t>and to make catch</w:t>
            </w:r>
            <w:r w:rsidR="00A8443E" w:rsidRPr="00027624">
              <w:noBreakHyphen/>
            </w:r>
            <w:r w:rsidRPr="00027624">
              <w:t>up savings after periods out of the workforce. It also provides an opportunity for those not covered by the SG to make superannuation savings.</w:t>
            </w:r>
          </w:p>
          <w:p w14:paraId="56DC21D4" w14:textId="77777777" w:rsidR="0033541B" w:rsidRPr="00027624" w:rsidRDefault="0033541B" w:rsidP="00454F18">
            <w:pPr>
              <w:pStyle w:val="BoxBullet"/>
            </w:pPr>
            <w:r w:rsidRPr="00027624">
              <w:t xml:space="preserve">Superannuation savings are supported by </w:t>
            </w:r>
            <w:r w:rsidRPr="00027624">
              <w:rPr>
                <w:b/>
              </w:rPr>
              <w:t>tax concessions for the</w:t>
            </w:r>
            <w:r w:rsidRPr="00027624">
              <w:rPr>
                <w:b/>
                <w:bCs/>
              </w:rPr>
              <w:t xml:space="preserve"> </w:t>
            </w:r>
            <w:r w:rsidRPr="00027624">
              <w:rPr>
                <w:b/>
              </w:rPr>
              <w:t>purpose of</w:t>
            </w:r>
            <w:r w:rsidRPr="00027624">
              <w:rPr>
                <w:b/>
                <w:bCs/>
              </w:rPr>
              <w:t xml:space="preserve"> retirement income and</w:t>
            </w:r>
            <w:r w:rsidRPr="00027624" w:rsidDel="00042987">
              <w:rPr>
                <w:b/>
                <w:bCs/>
              </w:rPr>
              <w:t xml:space="preserve"> </w:t>
            </w:r>
            <w:r w:rsidRPr="00027624">
              <w:rPr>
                <w:b/>
                <w:bCs/>
              </w:rPr>
              <w:t>not purely for wealth accumulation.</w:t>
            </w:r>
            <w:r w:rsidRPr="00027624">
              <w:t xml:space="preserve"> Yet most retirees leave the bulk of the wealth they had at retirement as a bequest.</w:t>
            </w:r>
          </w:p>
          <w:p w14:paraId="560A96FC" w14:textId="77777777" w:rsidR="0033541B" w:rsidRPr="00027624" w:rsidRDefault="0033541B" w:rsidP="00454F18">
            <w:pPr>
              <w:pStyle w:val="BoxBullet"/>
            </w:pPr>
            <w:r w:rsidRPr="00027624">
              <w:rPr>
                <w:b/>
                <w:bCs/>
              </w:rPr>
              <w:t xml:space="preserve">The home is the most important component of voluntary savings </w:t>
            </w:r>
            <w:r w:rsidRPr="00027624">
              <w:t>and is an important factor influencing retirement outcomes and how people feel about retirement. Home owners have</w:t>
            </w:r>
            <w:r w:rsidRPr="00027624" w:rsidDel="00DA31A8">
              <w:t xml:space="preserve"> </w:t>
            </w:r>
            <w:r w:rsidRPr="00027624">
              <w:t>lower housing costs and an asset that can be drawn on in retirement. If the decline in home ownership among younger people is sustained into retirement, there will be an increasing number of retirees who rent. The system favours home owners, such as through the exemption of the principal residence from the Age Pension assets test.</w:t>
            </w:r>
          </w:p>
          <w:p w14:paraId="6F4F1AA2" w14:textId="77777777" w:rsidR="0033541B" w:rsidRPr="00027624" w:rsidRDefault="0033541B" w:rsidP="00454F18">
            <w:pPr>
              <w:pStyle w:val="BoxBullet"/>
              <w:rPr>
                <w:rFonts w:asciiTheme="minorHAnsi" w:eastAsiaTheme="minorEastAsia" w:hAnsiTheme="minorHAnsi"/>
              </w:rPr>
            </w:pPr>
            <w:r w:rsidRPr="00027624">
              <w:t>The appropriate adequacy objective for a system based on compulsory superannuation is to</w:t>
            </w:r>
            <w:r w:rsidRPr="00027624">
              <w:rPr>
                <w:b/>
              </w:rPr>
              <w:t xml:space="preserve"> balance living standards across a person</w:t>
            </w:r>
            <w:r w:rsidR="00A8443E" w:rsidRPr="00027624">
              <w:rPr>
                <w:b/>
              </w:rPr>
              <w:t>’</w:t>
            </w:r>
            <w:r w:rsidRPr="00027624">
              <w:rPr>
                <w:b/>
              </w:rPr>
              <w:t>s working life and retirement.</w:t>
            </w:r>
          </w:p>
          <w:p w14:paraId="48BDB7EE" w14:textId="77777777" w:rsidR="0033541B" w:rsidRPr="00027624" w:rsidRDefault="0033541B" w:rsidP="00454F18">
            <w:pPr>
              <w:pStyle w:val="BoxBullet"/>
            </w:pPr>
            <w:r w:rsidRPr="00027624">
              <w:rPr>
                <w:b/>
                <w:bCs/>
              </w:rPr>
              <w:t>Saving for retirement involves forgoing consumption in working years.</w:t>
            </w:r>
            <w:r w:rsidRPr="00027624">
              <w:t xml:space="preserve"> With voluntary saving, people decide on this trade</w:t>
            </w:r>
            <w:r w:rsidR="00A8443E" w:rsidRPr="00027624">
              <w:noBreakHyphen/>
            </w:r>
            <w:r w:rsidRPr="00027624">
              <w:t>off. When there is compulsory superannuation, the rate should be set at a level that balances pre</w:t>
            </w:r>
            <w:r w:rsidR="00A8443E" w:rsidRPr="00027624">
              <w:noBreakHyphen/>
            </w:r>
            <w:r w:rsidRPr="00027624">
              <w:t xml:space="preserve"> and post</w:t>
            </w:r>
            <w:r w:rsidR="00A8443E" w:rsidRPr="00027624">
              <w:noBreakHyphen/>
            </w:r>
            <w:r w:rsidRPr="00027624">
              <w:t>retirement living standards for middle</w:t>
            </w:r>
            <w:r w:rsidR="00A8443E" w:rsidRPr="00027624">
              <w:noBreakHyphen/>
            </w:r>
            <w:r w:rsidRPr="00027624">
              <w:t>income earners. It is challenging to set a single SG rate that suits all Australians given the variety of people</w:t>
            </w:r>
            <w:r w:rsidR="00A8443E" w:rsidRPr="00027624">
              <w:t>’</w:t>
            </w:r>
            <w:r w:rsidRPr="00027624">
              <w:t>s circumstances and experiences.</w:t>
            </w:r>
          </w:p>
          <w:p w14:paraId="314601B3" w14:textId="365FCB42" w:rsidR="0033541B" w:rsidRPr="00027624" w:rsidRDefault="0033541B" w:rsidP="00454F18">
            <w:pPr>
              <w:pStyle w:val="BoxBullet"/>
              <w:rPr>
                <w:rFonts w:asciiTheme="minorHAnsi" w:eastAsiaTheme="minorEastAsia" w:hAnsiTheme="minorHAnsi"/>
              </w:rPr>
            </w:pPr>
            <w:r w:rsidRPr="00027624">
              <w:t>A rate of compulsory superannuation that would result in people having an increase in their living standards in retirement may involve an unacceptable reduction in living standards prior to retirement, particularly for lower</w:t>
            </w:r>
            <w:r w:rsidR="00A8443E" w:rsidRPr="00027624">
              <w:noBreakHyphen/>
            </w:r>
            <w:r w:rsidRPr="00027624">
              <w:t>income earners. This is based on the view, supp</w:t>
            </w:r>
            <w:r w:rsidR="00317EAC">
              <w:t>orted by the weight of evidence</w:t>
            </w:r>
            <w:r w:rsidR="00764D5E">
              <w:t xml:space="preserve"> </w:t>
            </w:r>
            <w:r w:rsidRPr="00027624">
              <w:t xml:space="preserve">that </w:t>
            </w:r>
            <w:r w:rsidRPr="00027624">
              <w:rPr>
                <w:b/>
              </w:rPr>
              <w:t>increases in the SG rate result in lower wages growth, and would affect living standards in working life.</w:t>
            </w:r>
          </w:p>
          <w:p w14:paraId="65BBFA81" w14:textId="77777777" w:rsidR="0033541B" w:rsidRPr="00027624" w:rsidRDefault="0033541B" w:rsidP="00454F18">
            <w:pPr>
              <w:pStyle w:val="BoxBullet"/>
              <w:rPr>
                <w:rFonts w:asciiTheme="minorHAnsi" w:eastAsiaTheme="minorEastAsia" w:hAnsiTheme="minorHAnsi"/>
              </w:rPr>
            </w:pPr>
            <w:r w:rsidRPr="00027624">
              <w:t>Other than for lower</w:t>
            </w:r>
            <w:r w:rsidR="00A8443E" w:rsidRPr="00027624">
              <w:noBreakHyphen/>
            </w:r>
            <w:r w:rsidRPr="00027624">
              <w:t xml:space="preserve">income earners, replacement rates that compare income in retirement with income while working are the most appropriate basis for assessing whether the retirement income system delivers adequate retirement incomes. Replacement rates align with the objective of achieving a </w:t>
            </w:r>
            <w:r w:rsidRPr="00027624">
              <w:lastRenderedPageBreak/>
              <w:t xml:space="preserve">reasonable balance between living standards in working life and retirement. </w:t>
            </w:r>
            <w:r w:rsidRPr="00027624">
              <w:rPr>
                <w:b/>
                <w:bCs/>
              </w:rPr>
              <w:t>The suggested benchmark replacement rate is 65</w:t>
            </w:r>
            <w:r w:rsidR="00A8443E" w:rsidRPr="00027624">
              <w:rPr>
                <w:b/>
                <w:bCs/>
              </w:rPr>
              <w:noBreakHyphen/>
            </w:r>
            <w:r w:rsidRPr="00027624">
              <w:rPr>
                <w:b/>
                <w:bCs/>
              </w:rPr>
              <w:t>75 per cent.</w:t>
            </w:r>
          </w:p>
          <w:p w14:paraId="778615D4" w14:textId="77777777" w:rsidR="0033541B" w:rsidRPr="00027624" w:rsidRDefault="0033541B" w:rsidP="00454F18">
            <w:pPr>
              <w:pStyle w:val="BoxBullet"/>
              <w:rPr>
                <w:rFonts w:asciiTheme="minorHAnsi" w:eastAsiaTheme="minorEastAsia" w:hAnsiTheme="minorHAnsi" w:cstheme="minorBidi"/>
              </w:rPr>
            </w:pPr>
            <w:r w:rsidRPr="00027624">
              <w:t>Most recent retirees are estimated to have adequate retirement incomes. Surveys suggest retirees generally have higher levels of financial satisfaction and lower rates of financial stress than working</w:t>
            </w:r>
            <w:r w:rsidR="00A8443E" w:rsidRPr="00027624">
              <w:noBreakHyphen/>
            </w:r>
            <w:r w:rsidRPr="00027624">
              <w:t>age people.</w:t>
            </w:r>
          </w:p>
          <w:p w14:paraId="6E006697" w14:textId="77777777" w:rsidR="0033541B" w:rsidRPr="00027624" w:rsidRDefault="0033541B" w:rsidP="00454F18">
            <w:pPr>
              <w:pStyle w:val="BoxBullet"/>
              <w:rPr>
                <w:rFonts w:asciiTheme="minorHAnsi" w:eastAsiaTheme="minorEastAsia" w:hAnsiTheme="minorHAnsi"/>
              </w:rPr>
            </w:pPr>
            <w:r w:rsidRPr="00027624">
              <w:t>Under the legislated increase in the SG to 12 per cent,</w:t>
            </w:r>
            <w:r w:rsidRPr="00027624">
              <w:rPr>
                <w:b/>
                <w:bCs/>
              </w:rPr>
              <w:t xml:space="preserve"> the projected replacement rate for future retirees with typical working lives exceeds the suggested 65</w:t>
            </w:r>
            <w:r w:rsidR="00A8443E" w:rsidRPr="00027624">
              <w:rPr>
                <w:b/>
                <w:bCs/>
              </w:rPr>
              <w:noBreakHyphen/>
            </w:r>
            <w:r w:rsidRPr="00027624">
              <w:rPr>
                <w:b/>
                <w:bCs/>
              </w:rPr>
              <w:t>75 per cent benchmark rate</w:t>
            </w:r>
            <w:r w:rsidRPr="00027624">
              <w:t xml:space="preserve"> across most income levels.</w:t>
            </w:r>
            <w:r w:rsidRPr="00027624">
              <w:rPr>
                <w:b/>
                <w:bCs/>
              </w:rPr>
              <w:t xml:space="preserve"> </w:t>
            </w:r>
            <w:r w:rsidRPr="00027624">
              <w:t>This assumes people draw down their savings in retirement. If they only draw down their superannuation at the legislated minimum rates, which many people currently do, those in the upper half of the income distribution will not achieve the 65</w:t>
            </w:r>
            <w:r w:rsidR="00A8443E" w:rsidRPr="00027624">
              <w:noBreakHyphen/>
            </w:r>
            <w:r w:rsidRPr="00027624">
              <w:t>75 per cent replacement rates.</w:t>
            </w:r>
          </w:p>
          <w:p w14:paraId="206CA35F" w14:textId="77777777" w:rsidR="0033541B" w:rsidRPr="00027624" w:rsidRDefault="0033541B" w:rsidP="00454F18">
            <w:pPr>
              <w:pStyle w:val="BoxBullet"/>
              <w:rPr>
                <w:rFonts w:asciiTheme="minorHAnsi" w:eastAsiaTheme="minorEastAsia" w:hAnsiTheme="minorHAnsi"/>
              </w:rPr>
            </w:pPr>
            <w:r w:rsidRPr="00027624">
              <w:rPr>
                <w:b/>
                <w:bCs/>
              </w:rPr>
              <w:t xml:space="preserve">More efficient use of savings in retirement </w:t>
            </w:r>
            <w:r w:rsidRPr="00027624">
              <w:rPr>
                <w:b/>
              </w:rPr>
              <w:t>can have a bigger impact on improving retirement income than increasing the SG.</w:t>
            </w:r>
            <w:r w:rsidRPr="00027624">
              <w:rPr>
                <w:b/>
                <w:bCs/>
              </w:rPr>
              <w:t xml:space="preserve"> </w:t>
            </w:r>
            <w:r w:rsidRPr="00027624">
              <w:t>If the SG remained at 9.5 per cent, and retirement savings were used more efficiently, most people would achieve 65</w:t>
            </w:r>
            <w:r w:rsidR="00A8443E" w:rsidRPr="00027624">
              <w:noBreakHyphen/>
            </w:r>
            <w:r w:rsidRPr="00027624">
              <w:t>75 per cent replacement rates</w:t>
            </w:r>
            <w:r w:rsidRPr="00027624">
              <w:rPr>
                <w:bCs/>
              </w:rPr>
              <w:t>.</w:t>
            </w:r>
            <w:r w:rsidRPr="00027624">
              <w:rPr>
                <w:b/>
                <w:bCs/>
              </w:rPr>
              <w:t xml:space="preserve"> </w:t>
            </w:r>
            <w:r w:rsidRPr="00027624">
              <w:t>Most would also achieve higher replacement rates than with the SG at 12 per cent and drawing down balances at the legislated minimum rate.</w:t>
            </w:r>
          </w:p>
          <w:p w14:paraId="02C43860" w14:textId="77777777" w:rsidR="0033541B" w:rsidRPr="00027624" w:rsidRDefault="0033541B" w:rsidP="00454F18">
            <w:pPr>
              <w:pStyle w:val="BoxBullet"/>
              <w:rPr>
                <w:rFonts w:asciiTheme="minorHAnsi" w:eastAsiaTheme="minorEastAsia" w:hAnsiTheme="minorHAnsi" w:cstheme="minorBidi"/>
                <w:szCs w:val="22"/>
              </w:rPr>
            </w:pPr>
            <w:r w:rsidRPr="00027624">
              <w:t xml:space="preserve">The focus of superannuation has often been on building larger superannuation balances through increased contributions. But lower fees and higher investment returns will increase superannuation balances. Crucially, </w:t>
            </w:r>
            <w:r w:rsidRPr="00027624">
              <w:rPr>
                <w:b/>
              </w:rPr>
              <w:t>there has been insufficient attention on assisting people</w:t>
            </w:r>
            <w:r w:rsidRPr="00027624">
              <w:rPr>
                <w:b/>
                <w:bCs/>
              </w:rPr>
              <w:t xml:space="preserve"> to optimise their retirement income </w:t>
            </w:r>
            <w:r w:rsidRPr="00027624">
              <w:t>through the efficient use of their savings.</w:t>
            </w:r>
          </w:p>
          <w:p w14:paraId="3CB36B94" w14:textId="77777777" w:rsidR="0033541B" w:rsidRPr="00027624" w:rsidRDefault="0033541B" w:rsidP="00454F18">
            <w:pPr>
              <w:pStyle w:val="BoxDash"/>
              <w:rPr>
                <w:rFonts w:eastAsiaTheme="minorEastAsia"/>
              </w:rPr>
            </w:pPr>
            <w:r w:rsidRPr="00027624">
              <w:t xml:space="preserve">Retirees are generally reluctant to draw down their savings in retirement due to complexity, little guidance, reluctance to consume funds that are called </w:t>
            </w:r>
            <w:r w:rsidR="00A8443E" w:rsidRPr="00027624">
              <w:t>‘</w:t>
            </w:r>
            <w:r w:rsidRPr="00027624">
              <w:t>nest eggs</w:t>
            </w:r>
            <w:r w:rsidR="00A8443E" w:rsidRPr="00027624">
              <w:t>’</w:t>
            </w:r>
            <w:r w:rsidRPr="00027624">
              <w:t>, concerns about possible future health and aged care costs, and concerns about</w:t>
            </w:r>
            <w:r w:rsidRPr="00027624" w:rsidDel="006A493A">
              <w:t xml:space="preserve"> </w:t>
            </w:r>
            <w:r w:rsidRPr="00027624">
              <w:t>outliving savings. Currently adding to concerns is uncertainty around the impact of the COVID</w:t>
            </w:r>
            <w:r w:rsidR="00A8443E" w:rsidRPr="00027624">
              <w:noBreakHyphen/>
            </w:r>
            <w:r w:rsidRPr="00027624">
              <w:t>19 Pandemic.</w:t>
            </w:r>
          </w:p>
          <w:p w14:paraId="4A32E927" w14:textId="77777777" w:rsidR="0033541B" w:rsidRPr="00027624" w:rsidRDefault="0033541B" w:rsidP="00454F18">
            <w:pPr>
              <w:pStyle w:val="BoxBullet"/>
              <w:rPr>
                <w:rFonts w:asciiTheme="minorHAnsi" w:eastAsiaTheme="minorEastAsia" w:hAnsiTheme="minorHAnsi" w:cstheme="minorBidi"/>
                <w:b/>
              </w:rPr>
            </w:pPr>
            <w:r w:rsidRPr="00027624">
              <w:rPr>
                <w:b/>
              </w:rPr>
              <w:t>Using superannuation assets more efficiently and</w:t>
            </w:r>
            <w:r w:rsidRPr="00027624">
              <w:rPr>
                <w:b/>
                <w:bCs/>
              </w:rPr>
              <w:t xml:space="preserve"> accessing equity in the </w:t>
            </w:r>
            <w:r w:rsidRPr="00027624">
              <w:rPr>
                <w:b/>
              </w:rPr>
              <w:t>home can significantly boost retirement incomes without the need for additional contributions.</w:t>
            </w:r>
          </w:p>
          <w:p w14:paraId="1E276C97" w14:textId="77777777" w:rsidR="0033541B" w:rsidRPr="00027624" w:rsidRDefault="0033541B" w:rsidP="00454F18">
            <w:pPr>
              <w:pStyle w:val="BoxDash"/>
              <w:rPr>
                <w:rFonts w:eastAsiaTheme="minorEastAsia"/>
              </w:rPr>
            </w:pPr>
            <w:r w:rsidRPr="00027624">
              <w:t xml:space="preserve">A range of measures could help people have the confidence to use their assets more effectively, including focusing retirement planning on income streams rather than balances, better quality and more accessible advice and guidance, and </w:t>
            </w:r>
            <w:r w:rsidRPr="00027624">
              <w:rPr>
                <w:b/>
              </w:rPr>
              <w:t>advancing the concept of the Retirement Income Covenant so funds guide members into effective retirement strategies.</w:t>
            </w:r>
          </w:p>
          <w:p w14:paraId="697D9426" w14:textId="77777777" w:rsidR="0033541B" w:rsidRPr="00027624" w:rsidRDefault="0033541B" w:rsidP="00454F18">
            <w:pPr>
              <w:pStyle w:val="BoxDash"/>
              <w:rPr>
                <w:rFonts w:eastAsiaTheme="minorEastAsia"/>
              </w:rPr>
            </w:pPr>
            <w:r w:rsidRPr="00027624">
              <w:rPr>
                <w:b/>
              </w:rPr>
              <w:t>The Pension Loans Scheme is an effective option for accessing equity in the home</w:t>
            </w:r>
            <w:r w:rsidRPr="00027624">
              <w:t xml:space="preserve"> for both age pensioners and self</w:t>
            </w:r>
            <w:r w:rsidR="00A8443E" w:rsidRPr="00027624">
              <w:noBreakHyphen/>
            </w:r>
            <w:r w:rsidRPr="00027624">
              <w:t>funded retirees. The current exemption of the principal residence from the Age Pension assets test is a disincentive to using the equity in the home to support retirement incomes.</w:t>
            </w:r>
          </w:p>
          <w:p w14:paraId="11A977F5" w14:textId="77777777" w:rsidR="0033541B" w:rsidRPr="00027624" w:rsidRDefault="0033541B" w:rsidP="00454F18">
            <w:pPr>
              <w:pStyle w:val="BoxBullet"/>
              <w:rPr>
                <w:rFonts w:asciiTheme="minorHAnsi" w:eastAsiaTheme="minorEastAsia" w:hAnsiTheme="minorHAnsi"/>
              </w:rPr>
            </w:pPr>
            <w:r w:rsidRPr="00027624">
              <w:t>Many stakeholders pointed to inequitable retirement outcomes for various groups, such as women, Aboriginal and Torres Strait Islander people,</w:t>
            </w:r>
            <w:r w:rsidRPr="00027624">
              <w:rPr>
                <w:b/>
              </w:rPr>
              <w:t xml:space="preserve"> </w:t>
            </w:r>
            <w:r w:rsidRPr="00027624">
              <w:rPr>
                <w:szCs w:val="22"/>
              </w:rPr>
              <w:t xml:space="preserve">those with disability </w:t>
            </w:r>
            <w:r w:rsidRPr="00027624">
              <w:t>and those not covered by the SG.</w:t>
            </w:r>
          </w:p>
          <w:p w14:paraId="2D6BB90A" w14:textId="77777777" w:rsidR="0033541B" w:rsidRPr="00027624" w:rsidRDefault="0033541B" w:rsidP="00454F18">
            <w:pPr>
              <w:pStyle w:val="BoxBullet"/>
              <w:rPr>
                <w:rFonts w:asciiTheme="minorHAnsi" w:eastAsiaTheme="minorEastAsia" w:hAnsiTheme="minorHAnsi"/>
              </w:rPr>
            </w:pPr>
            <w:r w:rsidRPr="00027624">
              <w:t>The Age Pension helps to reduce income inequality for these groups in retirement compared with working life. But</w:t>
            </w:r>
            <w:r w:rsidRPr="00027624">
              <w:rPr>
                <w:b/>
                <w:bCs/>
              </w:rPr>
              <w:t xml:space="preserve"> an individual</w:t>
            </w:r>
            <w:r w:rsidR="00A8443E" w:rsidRPr="00027624">
              <w:rPr>
                <w:b/>
                <w:bCs/>
              </w:rPr>
              <w:t>’</w:t>
            </w:r>
            <w:r w:rsidRPr="00027624">
              <w:rPr>
                <w:b/>
                <w:bCs/>
              </w:rPr>
              <w:t xml:space="preserve">s superannuation balance, and retirement income, largely reflects the extent of their engagement in the workforce, </w:t>
            </w:r>
            <w:r w:rsidRPr="00027624">
              <w:t>both income and years worked. Those on higher incomes make more superannuation contributions and have larger superannuation balances. For example, the gap in superannuation balances at retirement between men and women is the accumulation of economic disadvantages faced by women in working life, particularly the gap in earnings and time spent in the workforce.</w:t>
            </w:r>
          </w:p>
          <w:p w14:paraId="18A66F9B" w14:textId="77777777" w:rsidR="0033541B" w:rsidRPr="00027624" w:rsidRDefault="0033541B" w:rsidP="00454F18">
            <w:pPr>
              <w:pStyle w:val="BoxBullet"/>
              <w:rPr>
                <w:rFonts w:asciiTheme="minorHAnsi" w:eastAsiaTheme="minorEastAsia" w:hAnsiTheme="minorHAnsi"/>
              </w:rPr>
            </w:pPr>
            <w:r w:rsidRPr="00027624">
              <w:t>Some groups are more adversely affected than others by aspects of the design of the system. Changes raised by stakeholders</w:t>
            </w:r>
            <w:r w:rsidRPr="00027624" w:rsidDel="00201E55">
              <w:t xml:space="preserve"> </w:t>
            </w:r>
            <w:r w:rsidRPr="00027624">
              <w:t>that could</w:t>
            </w:r>
            <w:r w:rsidRPr="00027624">
              <w:rPr>
                <w:b/>
                <w:bCs/>
              </w:rPr>
              <w:t xml:space="preserve"> improve the fairness of the retirement income system</w:t>
            </w:r>
            <w:r w:rsidRPr="00027624">
              <w:t xml:space="preserve"> include removing the $450</w:t>
            </w:r>
            <w:r w:rsidR="00A8443E" w:rsidRPr="00027624">
              <w:noBreakHyphen/>
            </w:r>
            <w:r w:rsidRPr="00027624">
              <w:t>a</w:t>
            </w:r>
            <w:r w:rsidR="00A8443E" w:rsidRPr="00027624">
              <w:noBreakHyphen/>
            </w:r>
            <w:r w:rsidRPr="00027624">
              <w:t>month threshold when the SG is paid; paying the SG on employer paid parental leave and the Government</w:t>
            </w:r>
            <w:r w:rsidR="00A8443E" w:rsidRPr="00027624">
              <w:t>’</w:t>
            </w:r>
            <w:r w:rsidRPr="00027624">
              <w:t>s Parental Leave Pay; giving greater visibility of superannuation balances in divorce settlements; extending the SG earnings base to include overtime; and ensuring people receive the SG they are entitled to, such as by paying the SG at the same time as wages and better enforcing sham contracting laws. The impact of some of these changes on people</w:t>
            </w:r>
            <w:r w:rsidR="00A8443E" w:rsidRPr="00027624">
              <w:t>’</w:t>
            </w:r>
            <w:r w:rsidRPr="00027624">
              <w:t>s retirement incomes may be small.</w:t>
            </w:r>
          </w:p>
          <w:p w14:paraId="44143EE9" w14:textId="77777777" w:rsidR="0033541B" w:rsidRPr="00027624" w:rsidRDefault="0033541B" w:rsidP="00454F18">
            <w:pPr>
              <w:pStyle w:val="BoxBullet"/>
              <w:rPr>
                <w:rFonts w:asciiTheme="minorHAnsi" w:eastAsiaTheme="minorEastAsia" w:hAnsiTheme="minorHAnsi" w:cstheme="minorBidi"/>
              </w:rPr>
            </w:pPr>
            <w:r w:rsidRPr="00027624">
              <w:lastRenderedPageBreak/>
              <w:t>While the</w:t>
            </w:r>
            <w:r w:rsidRPr="00027624">
              <w:rPr>
                <w:b/>
                <w:bCs/>
              </w:rPr>
              <w:t xml:space="preserve"> Age Pension helps offset inequities in retirement outcomes, </w:t>
            </w:r>
            <w:r w:rsidRPr="00027624">
              <w:rPr>
                <w:b/>
              </w:rPr>
              <w:t>the design of</w:t>
            </w:r>
            <w:r w:rsidRPr="00027624">
              <w:t xml:space="preserve"> </w:t>
            </w:r>
            <w:r w:rsidRPr="00027624">
              <w:rPr>
                <w:b/>
                <w:bCs/>
              </w:rPr>
              <w:t>superannuation tax concessions</w:t>
            </w:r>
            <w:r w:rsidRPr="00027624">
              <w:t xml:space="preserve"> </w:t>
            </w:r>
            <w:r w:rsidRPr="00027624">
              <w:rPr>
                <w:b/>
              </w:rPr>
              <w:t>increases</w:t>
            </w:r>
            <w:r w:rsidRPr="00027624">
              <w:rPr>
                <w:b/>
                <w:bCs/>
              </w:rPr>
              <w:t xml:space="preserve"> inequality </w:t>
            </w:r>
            <w:r w:rsidRPr="00027624">
              <w:t>in the system. Tax concessions provide greater benefit to people on higher incomes.</w:t>
            </w:r>
          </w:p>
          <w:p w14:paraId="57BE53EC" w14:textId="77777777" w:rsidR="0033541B" w:rsidRPr="00027624" w:rsidRDefault="0033541B" w:rsidP="00454F18">
            <w:pPr>
              <w:pStyle w:val="BoxBullet"/>
              <w:rPr>
                <w:rFonts w:asciiTheme="minorHAnsi" w:eastAsiaTheme="minorEastAsia" w:hAnsiTheme="minorHAnsi" w:cstheme="minorBidi"/>
              </w:rPr>
            </w:pPr>
            <w:r w:rsidRPr="00027624">
              <w:rPr>
                <w:b/>
                <w:bCs/>
              </w:rPr>
              <w:t xml:space="preserve">Government expenditure on the Age Pension as a proportion of GDP is projected to fall </w:t>
            </w:r>
            <w:r w:rsidRPr="00027624">
              <w:rPr>
                <w:bCs/>
              </w:rPr>
              <w:t>slightly</w:t>
            </w:r>
            <w:r w:rsidRPr="00027624">
              <w:rPr>
                <w:b/>
                <w:bCs/>
              </w:rPr>
              <w:t xml:space="preserve"> </w:t>
            </w:r>
            <w:r w:rsidRPr="00027624">
              <w:rPr>
                <w:bCs/>
              </w:rPr>
              <w:t>over the next 40 years to around 2.3 per cent</w:t>
            </w:r>
            <w:r w:rsidRPr="00027624">
              <w:t xml:space="preserve">. Higher superannuation balances reduce Age Pension costs. </w:t>
            </w:r>
            <w:r w:rsidRPr="00027624">
              <w:rPr>
                <w:b/>
              </w:rPr>
              <w:t>The cost of superannuation tax concessions is projected to grow</w:t>
            </w:r>
            <w:r w:rsidRPr="00027624">
              <w:t xml:space="preserve"> as a proportion of GDP and exceed that of Age Pension expenditure by around 2050. This is due to earnings tax concessions. The increase in the SG rate to 12 per cent will increase the fiscal cost of the system over the long term.</w:t>
            </w:r>
          </w:p>
          <w:p w14:paraId="3BA6786D" w14:textId="77777777" w:rsidR="0033541B" w:rsidRPr="00027624" w:rsidRDefault="0033541B" w:rsidP="00454F18">
            <w:pPr>
              <w:pStyle w:val="BoxBullet"/>
              <w:rPr>
                <w:rFonts w:asciiTheme="minorHAnsi" w:eastAsiaTheme="minorEastAsia" w:hAnsiTheme="minorHAnsi"/>
              </w:rPr>
            </w:pPr>
            <w:r w:rsidRPr="00027624">
              <w:t xml:space="preserve">Voluntary superannuation contributions are largely concentrated among those nearing retirement, and particularly at the higher end of the income distribution. The evidence suggests that </w:t>
            </w:r>
            <w:r w:rsidRPr="00027624">
              <w:rPr>
                <w:b/>
                <w:bCs/>
              </w:rPr>
              <w:t>tax concessions encourage saving in tax</w:t>
            </w:r>
            <w:r w:rsidR="00A8443E" w:rsidRPr="00027624">
              <w:rPr>
                <w:b/>
                <w:bCs/>
              </w:rPr>
              <w:noBreakHyphen/>
            </w:r>
            <w:r w:rsidRPr="00027624">
              <w:rPr>
                <w:b/>
                <w:bCs/>
              </w:rPr>
              <w:t>preferred forms, but they may displace other forms of saving</w:t>
            </w:r>
            <w:r w:rsidRPr="00027624">
              <w:t xml:space="preserve"> and have a limited impact on overall saving.</w:t>
            </w:r>
          </w:p>
          <w:p w14:paraId="7C66B274" w14:textId="77777777" w:rsidR="0033541B" w:rsidRPr="00027624" w:rsidRDefault="0033541B" w:rsidP="00454F18">
            <w:pPr>
              <w:pStyle w:val="Bullet"/>
            </w:pPr>
            <w:r w:rsidRPr="00027624">
              <w:rPr>
                <w:sz w:val="20"/>
              </w:rPr>
              <w:t>There are areas where superannuation tax concessions are not a cost</w:t>
            </w:r>
            <w:r w:rsidR="00A8443E" w:rsidRPr="00027624">
              <w:rPr>
                <w:sz w:val="20"/>
              </w:rPr>
              <w:noBreakHyphen/>
            </w:r>
            <w:r w:rsidRPr="00027624">
              <w:rPr>
                <w:sz w:val="20"/>
              </w:rPr>
              <w:t xml:space="preserve">effective way to help people achieve adequate retirement incomes. In particular, </w:t>
            </w:r>
            <w:r w:rsidRPr="00027624">
              <w:rPr>
                <w:b/>
                <w:sz w:val="20"/>
              </w:rPr>
              <w:t>the cost of the earnings tax exemption in retirement will grow faster than the growth in the economy</w:t>
            </w:r>
            <w:r w:rsidRPr="00027624">
              <w:rPr>
                <w:sz w:val="20"/>
              </w:rPr>
              <w:t xml:space="preserve"> as the system matures and provides the greatest boost to retirement incomes of higher</w:t>
            </w:r>
            <w:r w:rsidR="00A8443E" w:rsidRPr="00027624">
              <w:rPr>
                <w:sz w:val="20"/>
              </w:rPr>
              <w:noBreakHyphen/>
            </w:r>
            <w:r w:rsidRPr="00027624">
              <w:rPr>
                <w:sz w:val="20"/>
              </w:rPr>
              <w:t>income earners.</w:t>
            </w:r>
          </w:p>
          <w:p w14:paraId="0AD90993" w14:textId="77777777" w:rsidR="0033541B" w:rsidRPr="00027624" w:rsidRDefault="0033541B" w:rsidP="00454F18">
            <w:pPr>
              <w:pStyle w:val="BoxBullet"/>
            </w:pPr>
            <w:r w:rsidRPr="00027624">
              <w:t xml:space="preserve">Many very large superannuation balances were built up under previous high </w:t>
            </w:r>
            <w:r w:rsidR="00404B9D" w:rsidRPr="00027624">
              <w:t>contributions cap</w:t>
            </w:r>
            <w:r w:rsidRPr="00027624">
              <w:t xml:space="preserve">s and are expected to stay in the system for several decades. At June 2018, there were over 11,000 people with a balance in excess of $5 million. </w:t>
            </w:r>
            <w:r w:rsidRPr="00027624">
              <w:rPr>
                <w:b/>
                <w:bCs/>
              </w:rPr>
              <w:t>People with very large superannuation balances receive very large tax concessions on their earnings.</w:t>
            </w:r>
          </w:p>
        </w:tc>
      </w:tr>
    </w:tbl>
    <w:p w14:paraId="15DCA7C2" w14:textId="77777777" w:rsidR="0033541B" w:rsidRPr="00027624" w:rsidRDefault="0033541B" w:rsidP="00454F18">
      <w:pPr>
        <w:rPr>
          <w:rFonts w:eastAsiaTheme="minorEastAsia"/>
        </w:rPr>
      </w:pPr>
    </w:p>
    <w:p w14:paraId="4D1C7599" w14:textId="77777777" w:rsidR="0033541B" w:rsidRPr="00027624" w:rsidRDefault="0033541B" w:rsidP="00454F18">
      <w:pPr>
        <w:rPr>
          <w:sz w:val="20"/>
        </w:rPr>
      </w:pPr>
      <w:r w:rsidRPr="00027624">
        <w:rPr>
          <w:sz w:val="20"/>
        </w:rPr>
        <w:br w:type="page"/>
      </w:r>
    </w:p>
    <w:p w14:paraId="57D84A4B" w14:textId="77777777" w:rsidR="0033541B" w:rsidRPr="00027624" w:rsidRDefault="0033541B" w:rsidP="00454F18">
      <w:pPr>
        <w:pStyle w:val="Heading1notnumbered"/>
      </w:pPr>
      <w:bookmarkStart w:id="63" w:name="_Toc41808502"/>
      <w:bookmarkStart w:id="64" w:name="_Toc45520411"/>
      <w:bookmarkStart w:id="65" w:name="_Toc46133519"/>
      <w:r w:rsidRPr="00027624">
        <w:lastRenderedPageBreak/>
        <w:t>Overview and summary</w:t>
      </w:r>
      <w:bookmarkEnd w:id="63"/>
      <w:bookmarkEnd w:id="64"/>
      <w:bookmarkEnd w:id="65"/>
    </w:p>
    <w:p w14:paraId="1FA705AD" w14:textId="77777777" w:rsidR="0033541B" w:rsidRPr="00027624" w:rsidRDefault="0033541B" w:rsidP="00454F18">
      <w:r w:rsidRPr="00027624">
        <w:t>Australians want a secure retirement and the retirement income system is a major influence in determining whether they will have the income to achieve that goal.</w:t>
      </w:r>
    </w:p>
    <w:p w14:paraId="65917CEF" w14:textId="77777777" w:rsidR="0033541B" w:rsidRPr="00027624" w:rsidRDefault="0033541B" w:rsidP="00454F18">
      <w:pPr>
        <w:rPr>
          <w:szCs w:val="22"/>
        </w:rPr>
      </w:pPr>
      <w:r w:rsidRPr="00027624">
        <w:rPr>
          <w:szCs w:val="22"/>
        </w:rPr>
        <w:t>This review of the retirement income system was commissioned by the Government following a recommendation by the Productivity Commission. In keeping with its terms of reference, the review has focused on establishing a fact base of the current retirement income system that will improve understanding of its operation and the outcomes it is delivering for Australians.</w:t>
      </w:r>
    </w:p>
    <w:p w14:paraId="1972DAC8" w14:textId="77777777" w:rsidR="0033541B" w:rsidRPr="00027624" w:rsidRDefault="0033541B" w:rsidP="00454F18">
      <w:r w:rsidRPr="00027624">
        <w:t>The review was not asked to make recommendations or propose changes to policy settings.</w:t>
      </w:r>
    </w:p>
    <w:p w14:paraId="663FEB18" w14:textId="77777777" w:rsidR="0033541B" w:rsidRPr="00027624" w:rsidRDefault="0033541B" w:rsidP="00454F18">
      <w:r w:rsidRPr="00027624">
        <w:t>Decisions to alter policy involve judgements and trade</w:t>
      </w:r>
      <w:r w:rsidR="00A8443E" w:rsidRPr="00027624">
        <w:noBreakHyphen/>
      </w:r>
      <w:r w:rsidRPr="00027624">
        <w:t>offs. It is ultimately up to the Australian community</w:t>
      </w:r>
      <w:r w:rsidR="00A8443E" w:rsidRPr="00027624">
        <w:t xml:space="preserve"> — </w:t>
      </w:r>
      <w:r w:rsidRPr="00027624">
        <w:t>through the Government</w:t>
      </w:r>
      <w:r w:rsidR="00A8443E" w:rsidRPr="00027624">
        <w:t xml:space="preserve"> — </w:t>
      </w:r>
      <w:r w:rsidRPr="00027624">
        <w:t>to decide on the settings for the retirement income system. The aim of this review is to contribute to more informed decisions by improving understanding of the operation of the retirement income system with supporting facts and evidence.</w:t>
      </w:r>
    </w:p>
    <w:p w14:paraId="3D2AD9A7" w14:textId="77777777" w:rsidR="0033541B" w:rsidRPr="00027624" w:rsidRDefault="0033541B" w:rsidP="00454F18">
      <w:r w:rsidRPr="00027624">
        <w:t xml:space="preserve">The panel and secretariat consulted widely, received 426 submissions to the consultation paper it released in November 2019 and held </w:t>
      </w:r>
      <w:r w:rsidR="005E63E7" w:rsidRPr="00027624">
        <w:t>around</w:t>
      </w:r>
      <w:r w:rsidRPr="00027624">
        <w:t xml:space="preserve"> 100 meetings with stakeholders. Although the review is not making recommendations, a large number of submissions and stakeholders recommended changes to the retirement income system. The review did not examine all the proposed changes in detail, but in keeping with its objective of improving understanding of the system, the review did comment on some of the implications of some of the proposed changes to retirement income policy.</w:t>
      </w:r>
    </w:p>
    <w:p w14:paraId="2FEC9EA8" w14:textId="77777777" w:rsidR="0033541B" w:rsidRPr="00027624" w:rsidRDefault="0033541B" w:rsidP="00454F18">
      <w:pPr>
        <w:pStyle w:val="Heading2"/>
      </w:pPr>
      <w:bookmarkStart w:id="66" w:name="_Toc41808503"/>
      <w:bookmarkStart w:id="67" w:name="_Toc45520412"/>
      <w:bookmarkStart w:id="68" w:name="_Toc46133520"/>
      <w:r w:rsidRPr="00027624">
        <w:t>COVID</w:t>
      </w:r>
      <w:r w:rsidR="00A8443E" w:rsidRPr="00027624">
        <w:noBreakHyphen/>
      </w:r>
      <w:r w:rsidRPr="00027624">
        <w:t>19: A sound retirement income system in volatile times</w:t>
      </w:r>
      <w:bookmarkEnd w:id="66"/>
      <w:bookmarkEnd w:id="67"/>
      <w:bookmarkEnd w:id="68"/>
    </w:p>
    <w:p w14:paraId="238F5558" w14:textId="77777777" w:rsidR="0033541B" w:rsidRPr="00027624" w:rsidRDefault="0033541B" w:rsidP="00454F18">
      <w:pPr>
        <w:rPr>
          <w:szCs w:val="22"/>
        </w:rPr>
      </w:pPr>
      <w:r w:rsidRPr="00027624">
        <w:rPr>
          <w:szCs w:val="22"/>
        </w:rPr>
        <w:t>During the course of the review, the world was confronted with the COVID</w:t>
      </w:r>
      <w:r w:rsidR="00A8443E" w:rsidRPr="00027624">
        <w:rPr>
          <w:szCs w:val="22"/>
        </w:rPr>
        <w:noBreakHyphen/>
      </w:r>
      <w:r w:rsidRPr="00027624">
        <w:rPr>
          <w:szCs w:val="22"/>
        </w:rPr>
        <w:t>19 Pandemic. It has resulted in many deaths, stretched health facilities, caused significant disruption to people</w:t>
      </w:r>
      <w:r w:rsidR="00A8443E" w:rsidRPr="00027624">
        <w:rPr>
          <w:szCs w:val="22"/>
        </w:rPr>
        <w:t>’</w:t>
      </w:r>
      <w:r w:rsidRPr="00027624">
        <w:rPr>
          <w:szCs w:val="22"/>
        </w:rPr>
        <w:t>s lives, resulted in major volatility in financial markets and led to a sizeable reduction in economic activity, a significant rise in unemployment and considerable uncertainty. It is an unprecedented situation and the full impact of the pandemic is not known. No country is immune and while Australia has responded to and is weathering the crisis far better than most countries, it has taken precedence over most aspects of life in Australia. For many, this would include considering the performance of the retirement income system.</w:t>
      </w:r>
    </w:p>
    <w:p w14:paraId="4CC9E14B" w14:textId="77777777" w:rsidR="0033541B" w:rsidRPr="00027624" w:rsidRDefault="0033541B" w:rsidP="00454F18">
      <w:pPr>
        <w:rPr>
          <w:szCs w:val="22"/>
        </w:rPr>
      </w:pPr>
      <w:r w:rsidRPr="00027624">
        <w:rPr>
          <w:szCs w:val="22"/>
        </w:rPr>
        <w:t>Given the immediacy of a major health and economic crisis, many may feel that the retirement income system is not a priority. However, those near to or in retirement are understandably concerned about the volatility of the investment environment and the impact on their retirement savings</w:t>
      </w:r>
      <w:r w:rsidRPr="00027624" w:rsidDel="00FD4F90">
        <w:rPr>
          <w:szCs w:val="22"/>
        </w:rPr>
        <w:t>.</w:t>
      </w:r>
    </w:p>
    <w:p w14:paraId="77D4C94B" w14:textId="77777777" w:rsidR="0033541B" w:rsidRPr="00027624" w:rsidRDefault="0033541B" w:rsidP="00454F18">
      <w:r w:rsidRPr="00027624">
        <w:t>The economic fallout from the COVID</w:t>
      </w:r>
      <w:r w:rsidR="00A8443E" w:rsidRPr="00027624">
        <w:noBreakHyphen/>
      </w:r>
      <w:r w:rsidRPr="00027624">
        <w:t xml:space="preserve">19 Pandemic is another reminder of the need for people and fund managers to allow for the risk of market volatility. While some people are concerned about the impact on their retirement savings, surveys suggest others mistakenly believe their superannuation funds insulate them from market volatility. The returns achieved by superannuation funds may be lower in the short term, but they </w:t>
      </w:r>
      <w:r w:rsidR="00FD473F" w:rsidRPr="00027624">
        <w:t xml:space="preserve">tend to be </w:t>
      </w:r>
      <w:r w:rsidRPr="00027624">
        <w:t>less volatile than market returns because professionally managed funds have invested across a range of assets. The crisis has highlighted the importance of diversification of retirement savings. And concerns over the risk of market volatility should not be at the expense of how long</w:t>
      </w:r>
      <w:r w:rsidR="00A8443E" w:rsidRPr="00027624">
        <w:noBreakHyphen/>
      </w:r>
      <w:r w:rsidRPr="00027624">
        <w:t>term exposure to the market can boost retirement incomes over time. Most Australians are in a fund with solid returns in the long term. The crisis has also highlighted the value for those in retirement in obtaining sound advice and guidance on how they can best structure their retirement savings and income.</w:t>
      </w:r>
    </w:p>
    <w:p w14:paraId="393B344A" w14:textId="77777777" w:rsidR="0033541B" w:rsidRPr="00027624" w:rsidRDefault="0033541B" w:rsidP="00454F18">
      <w:pPr>
        <w:rPr>
          <w:szCs w:val="22"/>
        </w:rPr>
      </w:pPr>
      <w:r w:rsidRPr="00027624">
        <w:rPr>
          <w:szCs w:val="22"/>
        </w:rPr>
        <w:lastRenderedPageBreak/>
        <w:t>The extent of the COVID</w:t>
      </w:r>
      <w:r w:rsidR="00A8443E" w:rsidRPr="00027624">
        <w:rPr>
          <w:szCs w:val="22"/>
        </w:rPr>
        <w:noBreakHyphen/>
      </w:r>
      <w:r w:rsidRPr="00027624">
        <w:rPr>
          <w:szCs w:val="22"/>
        </w:rPr>
        <w:t>19 Pandemic is far</w:t>
      </w:r>
      <w:r w:rsidR="00A8443E" w:rsidRPr="00027624">
        <w:rPr>
          <w:szCs w:val="22"/>
        </w:rPr>
        <w:noBreakHyphen/>
      </w:r>
      <w:r w:rsidRPr="00027624">
        <w:rPr>
          <w:szCs w:val="22"/>
        </w:rPr>
        <w:t xml:space="preserve">reaching. But the importance of the retirement income system remains. </w:t>
      </w:r>
      <w:r w:rsidRPr="00027624">
        <w:rPr>
          <w:b/>
        </w:rPr>
        <w:t>Given the current level of uncertainty, Australians should be reassured that the retirement income system is effective, sound and its costs are broadly sustainable.</w:t>
      </w:r>
    </w:p>
    <w:p w14:paraId="2F51C00B" w14:textId="77777777" w:rsidR="0033541B" w:rsidRPr="00027624" w:rsidRDefault="0033541B" w:rsidP="00454F18">
      <w:pPr>
        <w:rPr>
          <w:szCs w:val="22"/>
        </w:rPr>
      </w:pPr>
      <w:r w:rsidRPr="00027624">
        <w:rPr>
          <w:szCs w:val="22"/>
        </w:rPr>
        <w:t>Reviews inevitably focus on identifying shortcomings and areas for improvement. Many of the submissions to this review emphasise what stakeholders think are problems. The overall impression may be that the system is badly flawed. While there are areas where Australia</w:t>
      </w:r>
      <w:r w:rsidR="00A8443E" w:rsidRPr="00027624">
        <w:rPr>
          <w:szCs w:val="22"/>
        </w:rPr>
        <w:t>’</w:t>
      </w:r>
      <w:r w:rsidRPr="00027624">
        <w:rPr>
          <w:szCs w:val="22"/>
        </w:rPr>
        <w:t>s retirement income system can be improved, overall, it is well placed to deal with economic volatility and the challenge of an ageing society. It is ranked very highly in international comparisons of retirement income systems.</w:t>
      </w:r>
    </w:p>
    <w:p w14:paraId="6E413292" w14:textId="77777777" w:rsidR="0033541B" w:rsidRPr="00027624" w:rsidRDefault="00A8443E" w:rsidP="00454F18">
      <w:pPr>
        <w:pStyle w:val="Quote"/>
      </w:pPr>
      <w:r w:rsidRPr="00027624">
        <w:t>‘</w:t>
      </w:r>
      <w:r w:rsidR="0033541B" w:rsidRPr="00027624">
        <w:t>Many countries look to the Australian system, and similarly designed retirement systems, as exemplars in reforming their own systems.</w:t>
      </w:r>
      <w:r w:rsidRPr="00027624">
        <w:t>’</w:t>
      </w:r>
      <w:r w:rsidR="0033541B" w:rsidRPr="00027624">
        <w:t xml:space="preserve"> </w:t>
      </w:r>
      <w:sdt>
        <w:sdtPr>
          <w:id w:val="1786001348"/>
          <w:citation/>
        </w:sdtPr>
        <w:sdtEndPr/>
        <w:sdtContent>
          <w:r w:rsidR="00FA18E5" w:rsidRPr="00027624">
            <w:fldChar w:fldCharType="begin"/>
          </w:r>
          <w:r w:rsidR="00FA18E5" w:rsidRPr="00027624">
            <w:instrText xml:space="preserve">CITATION CEPAR2020 \p 4 \l 3081 </w:instrText>
          </w:r>
          <w:r w:rsidR="00FA18E5" w:rsidRPr="00027624">
            <w:fldChar w:fldCharType="separate"/>
          </w:r>
          <w:r w:rsidR="00E83F6E">
            <w:rPr>
              <w:noProof/>
            </w:rPr>
            <w:t>(CEPAR, 2020, p. 4)</w:t>
          </w:r>
          <w:r w:rsidR="00FA18E5" w:rsidRPr="00027624">
            <w:fldChar w:fldCharType="end"/>
          </w:r>
        </w:sdtContent>
      </w:sdt>
    </w:p>
    <w:p w14:paraId="563DFD4E" w14:textId="77777777" w:rsidR="0033541B" w:rsidRPr="00027624" w:rsidRDefault="0033541B" w:rsidP="00454F18">
      <w:r w:rsidRPr="00027624">
        <w:t>The Age Pension is more than a safety net that supports those who do not have the means to achieve a minimum standard of living in retirement. It supplements the income for about 65 per cent of Australians in retirement. It serves as a buffer, helping offset the decline in retirement incomes for many Australians as a result of market downturns. It also acts as a form of longevity insurance for those who outlive their retirement savings. Given current financial pressures and uncertainty facing many Australians, the existence of a sound and sustainable Age Pension is important.</w:t>
      </w:r>
    </w:p>
    <w:p w14:paraId="232B7354" w14:textId="77777777" w:rsidR="0033541B" w:rsidRPr="00027624" w:rsidRDefault="0033541B" w:rsidP="00454F18">
      <w:r w:rsidRPr="00027624">
        <w:t>Australia</w:t>
      </w:r>
      <w:r w:rsidR="00A8443E" w:rsidRPr="00027624">
        <w:t>’</w:t>
      </w:r>
      <w:r w:rsidRPr="00027624">
        <w:t>s superannuation arrangements are still maturing, although to date they have resulted in around 16 million Australians collectively owning close to $3 trillion in assets. This stock of superannuation assets, which is the fourth largest in the world, is important to funding the economy and delivering retirement incomes. The investment of superannuation assets will play a significant role in the recovery of the Australian economy from the downturn initiated by the COVID</w:t>
      </w:r>
      <w:r w:rsidR="00A8443E" w:rsidRPr="00027624">
        <w:noBreakHyphen/>
      </w:r>
      <w:r w:rsidRPr="00027624">
        <w:t>19 Pandemic.</w:t>
      </w:r>
    </w:p>
    <w:p w14:paraId="54F416C3" w14:textId="77777777" w:rsidR="0033541B" w:rsidRPr="00027624" w:rsidRDefault="0033541B" w:rsidP="00454F18">
      <w:r w:rsidRPr="00027624">
        <w:t>The Government</w:t>
      </w:r>
      <w:r w:rsidR="00A8443E" w:rsidRPr="00027624">
        <w:t>’</w:t>
      </w:r>
      <w:r w:rsidRPr="00027624">
        <w:t>s measures to cushion the economic impact of COVID</w:t>
      </w:r>
      <w:r w:rsidR="00A8443E" w:rsidRPr="00027624">
        <w:noBreakHyphen/>
      </w:r>
      <w:r w:rsidRPr="00027624">
        <w:t>19 included the ability for working</w:t>
      </w:r>
      <w:r w:rsidR="00A8443E" w:rsidRPr="00027624">
        <w:noBreakHyphen/>
      </w:r>
      <w:r w:rsidRPr="00027624">
        <w:t>age people in financial stress to access up to $10,000 of their superannuation in 2019</w:t>
      </w:r>
      <w:r w:rsidR="00A8443E" w:rsidRPr="00027624">
        <w:noBreakHyphen/>
      </w:r>
      <w:r w:rsidRPr="00027624">
        <w:t>20 and a further $10,000 in 2020</w:t>
      </w:r>
      <w:r w:rsidR="00A8443E" w:rsidRPr="00027624">
        <w:noBreakHyphen/>
      </w:r>
      <w:r w:rsidRPr="00027624">
        <w:t xml:space="preserve">21. The retirement income system is designed to support the retirement outcomes for Australians and not to deal with the challenges people may face in their working lives. However, there will be emergency circumstances where the benefits of giving people early access to their superannuation will exceed those of preserving balances for retirement. </w:t>
      </w:r>
      <w:r w:rsidR="00BE51D1" w:rsidRPr="00027624">
        <w:t>C</w:t>
      </w:r>
      <w:r w:rsidRPr="00027624">
        <w:t>aution is needed because early access can have a significant impact on superannuation balances at retirement for younger people.</w:t>
      </w:r>
    </w:p>
    <w:p w14:paraId="331A07FD" w14:textId="77777777" w:rsidR="0033541B" w:rsidRPr="00027624" w:rsidRDefault="0033541B" w:rsidP="00454F18">
      <w:r w:rsidRPr="00027624">
        <w:t>Yet if it were not for the existence of compulsory superannuation, fewer people would have savings available when faced with severe financial stress.</w:t>
      </w:r>
    </w:p>
    <w:p w14:paraId="08B143E3" w14:textId="77777777" w:rsidR="0033541B" w:rsidRPr="00027624" w:rsidRDefault="0033541B" w:rsidP="00454F18">
      <w:r w:rsidRPr="00027624">
        <w:t>The economic impact of the COVID</w:t>
      </w:r>
      <w:r w:rsidR="00A8443E" w:rsidRPr="00027624">
        <w:noBreakHyphen/>
      </w:r>
      <w:r w:rsidRPr="00027624">
        <w:t>19 Pandemic is not incorporated in the economic modelling undertaken for this review. But the modelling is aimed at helping assess the capacity of the system to deliver retirement incomes to Australians in the long term. The projections extend to 2060. The models are based on long</w:t>
      </w:r>
      <w:r w:rsidR="00A8443E" w:rsidRPr="00027624">
        <w:noBreakHyphen/>
      </w:r>
      <w:r w:rsidRPr="00027624">
        <w:t>term trends in the economy. Economic shocks, such as those caused by the COVID</w:t>
      </w:r>
      <w:r w:rsidR="00A8443E" w:rsidRPr="00027624">
        <w:noBreakHyphen/>
      </w:r>
      <w:r w:rsidRPr="00027624">
        <w:t>19 Pandemic, should not materially alter the analysis based on long</w:t>
      </w:r>
      <w:r w:rsidR="00A8443E" w:rsidRPr="00027624">
        <w:noBreakHyphen/>
      </w:r>
      <w:r w:rsidRPr="00027624">
        <w:t>term trends. However, the report does look at the impact of developments such as lower wages growth, lower investment returns and short</w:t>
      </w:r>
      <w:r w:rsidR="00A8443E" w:rsidRPr="00027624">
        <w:noBreakHyphen/>
      </w:r>
      <w:r w:rsidRPr="00027624">
        <w:t>term financial shocks.</w:t>
      </w:r>
    </w:p>
    <w:p w14:paraId="1386202D" w14:textId="77777777" w:rsidR="0033541B" w:rsidRPr="00027624" w:rsidRDefault="0033541B" w:rsidP="00454F18">
      <w:pPr>
        <w:rPr>
          <w:szCs w:val="22"/>
        </w:rPr>
      </w:pPr>
      <w:r w:rsidRPr="00027624">
        <w:rPr>
          <w:szCs w:val="22"/>
        </w:rPr>
        <w:t>Given the uncertainty and financial pressures confronting governments and individuals across the world, the fact that Australia has a sound retirement income system is a source of reassurance.</w:t>
      </w:r>
    </w:p>
    <w:p w14:paraId="1B8D277B" w14:textId="77777777" w:rsidR="0033541B" w:rsidRPr="00027624" w:rsidRDefault="0033541B" w:rsidP="00454F18">
      <w:pPr>
        <w:pStyle w:val="Heading2"/>
      </w:pPr>
      <w:bookmarkStart w:id="69" w:name="_Toc41808504"/>
      <w:bookmarkStart w:id="70" w:name="_Toc45520413"/>
      <w:bookmarkStart w:id="71" w:name="_Toc46133521"/>
      <w:r w:rsidRPr="00027624">
        <w:lastRenderedPageBreak/>
        <w:t>The need to improve understanding of the system</w:t>
      </w:r>
      <w:bookmarkEnd w:id="69"/>
      <w:bookmarkEnd w:id="70"/>
      <w:bookmarkEnd w:id="71"/>
    </w:p>
    <w:p w14:paraId="113057F4" w14:textId="77777777" w:rsidR="0033541B" w:rsidRPr="00027624" w:rsidRDefault="0033541B" w:rsidP="00454F18">
      <w:pPr>
        <w:rPr>
          <w:szCs w:val="22"/>
        </w:rPr>
      </w:pPr>
      <w:r w:rsidRPr="00027624">
        <w:rPr>
          <w:szCs w:val="22"/>
        </w:rPr>
        <w:t xml:space="preserve">The overall task of the review was to help improve understanding of the retirement income system. </w:t>
      </w:r>
      <w:r w:rsidRPr="00027624">
        <w:rPr>
          <w:b/>
          <w:szCs w:val="22"/>
        </w:rPr>
        <w:t>During</w:t>
      </w:r>
      <w:r w:rsidRPr="00027624">
        <w:rPr>
          <w:b/>
        </w:rPr>
        <w:t xml:space="preserve"> the course of the review</w:t>
      </w:r>
      <w:r w:rsidRPr="00027624">
        <w:rPr>
          <w:b/>
          <w:szCs w:val="22"/>
        </w:rPr>
        <w:t xml:space="preserve">, it became increasingly evident </w:t>
      </w:r>
      <w:r w:rsidRPr="00027624">
        <w:rPr>
          <w:b/>
        </w:rPr>
        <w:t>that there are many aspects of the system where there is a need to improve understanding</w:t>
      </w:r>
      <w:r w:rsidRPr="00027624">
        <w:rPr>
          <w:b/>
          <w:bCs/>
          <w:szCs w:val="22"/>
        </w:rPr>
        <w:t>.</w:t>
      </w:r>
      <w:r w:rsidRPr="00027624">
        <w:rPr>
          <w:szCs w:val="22"/>
        </w:rPr>
        <w:t xml:space="preserve"> These included:</w:t>
      </w:r>
    </w:p>
    <w:p w14:paraId="06AADCF3" w14:textId="77777777" w:rsidR="0033541B" w:rsidRPr="00027624" w:rsidRDefault="0033541B" w:rsidP="00454F18">
      <w:r w:rsidRPr="00027624">
        <w:rPr>
          <w:b/>
          <w:bCs/>
          <w:i/>
          <w:iCs/>
        </w:rPr>
        <w:t>Dealing with complexity</w:t>
      </w:r>
      <w:r w:rsidRPr="00027624">
        <w:rPr>
          <w:b/>
          <w:bCs/>
          <w:i/>
        </w:rPr>
        <w:t>.</w:t>
      </w:r>
      <w:r w:rsidRPr="00027624">
        <w:rPr>
          <w:i/>
        </w:rPr>
        <w:t xml:space="preserve"> </w:t>
      </w:r>
      <w:r w:rsidRPr="00027624">
        <w:t xml:space="preserve">Complexity and </w:t>
      </w:r>
      <w:r w:rsidRPr="00027624">
        <w:rPr>
          <w:szCs w:val="22"/>
        </w:rPr>
        <w:t>uncertainty, a lack of financial advice and guidance,</w:t>
      </w:r>
      <w:r w:rsidRPr="00027624">
        <w:t xml:space="preserve"> and </w:t>
      </w:r>
      <w:r w:rsidRPr="00027624">
        <w:rPr>
          <w:szCs w:val="22"/>
        </w:rPr>
        <w:t xml:space="preserve">low levels of </w:t>
      </w:r>
      <w:r w:rsidRPr="00027624">
        <w:t xml:space="preserve">financial literacy are impeding </w:t>
      </w:r>
      <w:r w:rsidRPr="00027624">
        <w:rPr>
          <w:szCs w:val="22"/>
        </w:rPr>
        <w:t xml:space="preserve">people </w:t>
      </w:r>
      <w:r w:rsidRPr="00027624">
        <w:t>from understanding the system. As a result, some people fail to adequately plan for retirement and make poor decisions about how to use their savings in retirement.</w:t>
      </w:r>
    </w:p>
    <w:p w14:paraId="63EAF752" w14:textId="77777777" w:rsidR="0033541B" w:rsidRPr="00027624" w:rsidRDefault="00A8443E" w:rsidP="00454F18">
      <w:pPr>
        <w:pStyle w:val="Quote"/>
      </w:pPr>
      <w:r w:rsidRPr="00027624">
        <w:t>‘</w:t>
      </w:r>
      <w:r w:rsidR="0033541B" w:rsidRPr="00027624">
        <w:t xml:space="preserve">There is a need for the retirement income system to be structured and communicated so that people are better </w:t>
      </w:r>
      <w:r w:rsidR="0033541B" w:rsidRPr="00027624">
        <w:rPr>
          <w:bCs/>
        </w:rPr>
        <w:t>able</w:t>
      </w:r>
      <w:r w:rsidR="0033541B" w:rsidRPr="00027624">
        <w:t xml:space="preserve"> to understand and navigate the system to plan and access optimum and appropriate benefits.</w:t>
      </w:r>
      <w:r w:rsidRPr="00027624">
        <w:t>’</w:t>
      </w:r>
      <w:r w:rsidR="0033541B" w:rsidRPr="00027624">
        <w:t xml:space="preserve"> </w:t>
      </w:r>
      <w:sdt>
        <w:sdtPr>
          <w:id w:val="1644468596"/>
          <w:citation/>
        </w:sdtPr>
        <w:sdtEndPr/>
        <w:sdtContent>
          <w:r w:rsidR="0033541B" w:rsidRPr="00027624">
            <w:fldChar w:fldCharType="begin"/>
          </w:r>
          <w:r w:rsidR="0033541B" w:rsidRPr="00027624">
            <w:instrText xml:space="preserve">CITATION COT20 \p 6 \l 3081 </w:instrText>
          </w:r>
          <w:r w:rsidR="0033541B" w:rsidRPr="00027624">
            <w:fldChar w:fldCharType="separate"/>
          </w:r>
          <w:r w:rsidR="00E83F6E">
            <w:rPr>
              <w:noProof/>
            </w:rPr>
            <w:t>(COTA, 2020, p. 6)</w:t>
          </w:r>
          <w:r w:rsidR="0033541B" w:rsidRPr="00027624">
            <w:fldChar w:fldCharType="end"/>
          </w:r>
        </w:sdtContent>
      </w:sdt>
    </w:p>
    <w:p w14:paraId="481EE299" w14:textId="77777777" w:rsidR="0033541B" w:rsidRPr="00027624" w:rsidRDefault="0033541B" w:rsidP="00454F18">
      <w:r w:rsidRPr="00027624">
        <w:rPr>
          <w:b/>
          <w:bCs/>
          <w:i/>
          <w:iCs/>
        </w:rPr>
        <w:t>The nature of retirement income</w:t>
      </w:r>
      <w:r w:rsidRPr="00027624">
        <w:rPr>
          <w:b/>
          <w:bCs/>
        </w:rPr>
        <w:t>.</w:t>
      </w:r>
      <w:r w:rsidRPr="00027624">
        <w:t xml:space="preserve"> Most people die with the bulk of the wealth they had at retirement intact. It appears they see superannuation as mainly about accumulating capital and living off the return on this capital, rather than as an asset they can draw down to support their standard of living in retirement. The family home is an underutilised source to support living standards in retirement.</w:t>
      </w:r>
    </w:p>
    <w:p w14:paraId="63E7F14E" w14:textId="77777777" w:rsidR="0033541B" w:rsidRPr="00027624" w:rsidRDefault="00A8443E" w:rsidP="00454F18">
      <w:pPr>
        <w:pStyle w:val="Quote"/>
      </w:pPr>
      <w:r w:rsidRPr="00027624">
        <w:t>‘</w:t>
      </w:r>
      <w:r w:rsidR="0033541B" w:rsidRPr="00027624">
        <w:rPr>
          <w:bCs/>
        </w:rPr>
        <w:t>Voluminous</w:t>
      </w:r>
      <w:r w:rsidR="0033541B" w:rsidRPr="00027624">
        <w:t xml:space="preserve"> research has been dedicated towards understanding the accumulation phase of superannuation (savings and investments during an individual</w:t>
      </w:r>
      <w:r w:rsidRPr="00027624">
        <w:t>’</w:t>
      </w:r>
      <w:r w:rsidR="0033541B" w:rsidRPr="00027624">
        <w:t>s working life) … In contrast, little attention has been allocated to the retirement (and aged</w:t>
      </w:r>
      <w:r w:rsidRPr="00027624">
        <w:noBreakHyphen/>
      </w:r>
      <w:r w:rsidR="0033541B" w:rsidRPr="00027624">
        <w:t>care) phase.</w:t>
      </w:r>
      <w:r w:rsidRPr="00027624">
        <w:t>’</w:t>
      </w:r>
      <w:sdt>
        <w:sdtPr>
          <w:id w:val="1278608585"/>
          <w:citation/>
        </w:sdtPr>
        <w:sdtEndPr/>
        <w:sdtContent>
          <w:r w:rsidR="0033541B" w:rsidRPr="00027624">
            <w:fldChar w:fldCharType="begin"/>
          </w:r>
          <w:r w:rsidR="00046A94" w:rsidRPr="00027624">
            <w:instrText xml:space="preserve">CITATION GriS20 \p 8 \l 3081 </w:instrText>
          </w:r>
          <w:r w:rsidR="0033541B" w:rsidRPr="00027624">
            <w:fldChar w:fldCharType="separate"/>
          </w:r>
          <w:r w:rsidR="00E83F6E">
            <w:rPr>
              <w:noProof/>
            </w:rPr>
            <w:t xml:space="preserve"> (Griffith Centre for Personal Finance and Superannuation, 2020, p. 8)</w:t>
          </w:r>
          <w:r w:rsidR="0033541B" w:rsidRPr="00027624">
            <w:fldChar w:fldCharType="end"/>
          </w:r>
        </w:sdtContent>
      </w:sdt>
    </w:p>
    <w:p w14:paraId="5421227D" w14:textId="77777777" w:rsidR="0033541B" w:rsidRPr="00027624" w:rsidRDefault="0033541B" w:rsidP="00454F18">
      <w:pPr>
        <w:ind w:left="-6"/>
      </w:pPr>
      <w:r w:rsidRPr="00027624">
        <w:rPr>
          <w:b/>
          <w:bCs/>
          <w:i/>
          <w:iCs/>
        </w:rPr>
        <w:t>The nature of retirement</w:t>
      </w:r>
      <w:r w:rsidRPr="00027624">
        <w:rPr>
          <w:b/>
          <w:bCs/>
        </w:rPr>
        <w:t>.</w:t>
      </w:r>
      <w:r w:rsidRPr="00027624">
        <w:t xml:space="preserve"> The nature of retirement has changed. For many, the transition from </w:t>
      </w:r>
      <w:r w:rsidRPr="00027624">
        <w:rPr>
          <w:szCs w:val="22"/>
        </w:rPr>
        <w:t>full</w:t>
      </w:r>
      <w:r w:rsidR="00A8443E" w:rsidRPr="00027624">
        <w:rPr>
          <w:szCs w:val="22"/>
        </w:rPr>
        <w:noBreakHyphen/>
      </w:r>
      <w:r w:rsidRPr="00027624">
        <w:rPr>
          <w:szCs w:val="22"/>
        </w:rPr>
        <w:t>time</w:t>
      </w:r>
      <w:r w:rsidRPr="00027624">
        <w:t xml:space="preserve"> work to permanent retirement is gradual rather than abrupt. Some people retire more than once, others are involuntarily retired. There is no mandatory retirement age for most workers.</w:t>
      </w:r>
    </w:p>
    <w:p w14:paraId="1634F77F" w14:textId="77777777" w:rsidR="0033541B" w:rsidRPr="00027624" w:rsidRDefault="00A8443E" w:rsidP="00454F18">
      <w:pPr>
        <w:pStyle w:val="Quote"/>
      </w:pPr>
      <w:r w:rsidRPr="00027624">
        <w:rPr>
          <w:bCs/>
        </w:rPr>
        <w:t>‘“</w:t>
      </w:r>
      <w:r w:rsidR="0033541B" w:rsidRPr="00027624">
        <w:rPr>
          <w:bCs/>
        </w:rPr>
        <w:t>Retiremen</w:t>
      </w:r>
      <w:r w:rsidR="0033541B" w:rsidRPr="00027624">
        <w:t>t</w:t>
      </w:r>
      <w:r w:rsidRPr="00027624">
        <w:t>”</w:t>
      </w:r>
      <w:r w:rsidR="0033541B" w:rsidRPr="00027624">
        <w:rPr>
          <w:bCs/>
        </w:rPr>
        <w:t xml:space="preserve"> can no longer be narrowly defined as a fixed point in time at which people leave the paid workforce permanentl</w:t>
      </w:r>
      <w:r w:rsidR="0033541B" w:rsidRPr="00027624">
        <w:t>y</w:t>
      </w:r>
      <w:r w:rsidR="0033541B" w:rsidRPr="00027624">
        <w:rPr>
          <w:b/>
        </w:rPr>
        <w:t>.</w:t>
      </w:r>
      <w:r w:rsidR="0033541B" w:rsidRPr="00027624">
        <w:t xml:space="preserve"> Retirement is now a continuum between reduced participation in the paid workforce (for example, through reduced working hours and temporary employment) and leaving it altogether.</w:t>
      </w:r>
      <w:r w:rsidRPr="00027624">
        <w:t>’</w:t>
      </w:r>
      <w:sdt>
        <w:sdtPr>
          <w:id w:val="-939446335"/>
          <w:citation/>
        </w:sdtPr>
        <w:sdtEndPr/>
        <w:sdtContent>
          <w:r w:rsidR="0033541B" w:rsidRPr="00027624">
            <w:fldChar w:fldCharType="begin"/>
          </w:r>
          <w:r w:rsidR="0033541B" w:rsidRPr="00027624">
            <w:instrText xml:space="preserve">CITATION ACO202 \p 12 \l 3081 </w:instrText>
          </w:r>
          <w:r w:rsidR="0033541B" w:rsidRPr="00027624">
            <w:fldChar w:fldCharType="separate"/>
          </w:r>
          <w:r w:rsidR="00E83F6E">
            <w:rPr>
              <w:noProof/>
            </w:rPr>
            <w:t xml:space="preserve"> (Australian Council of Social Service, 2020, p. 12)</w:t>
          </w:r>
          <w:r w:rsidR="0033541B" w:rsidRPr="00027624">
            <w:fldChar w:fldCharType="end"/>
          </w:r>
        </w:sdtContent>
      </w:sdt>
    </w:p>
    <w:p w14:paraId="09076DB3" w14:textId="77777777" w:rsidR="0033541B" w:rsidRPr="00027624" w:rsidRDefault="0033541B" w:rsidP="00454F18">
      <w:pPr>
        <w:ind w:firstLine="1"/>
      </w:pPr>
      <w:r w:rsidRPr="00027624">
        <w:rPr>
          <w:b/>
          <w:bCs/>
          <w:i/>
          <w:iCs/>
        </w:rPr>
        <w:t>The objective of the system</w:t>
      </w:r>
      <w:r w:rsidRPr="00027624">
        <w:rPr>
          <w:b/>
          <w:bCs/>
        </w:rPr>
        <w:t>.</w:t>
      </w:r>
      <w:r w:rsidRPr="00027624">
        <w:t xml:space="preserve"> The retirement income system lacks an agreed objective. Differing views on the appropriate</w:t>
      </w:r>
      <w:r w:rsidRPr="00027624" w:rsidDel="00850375">
        <w:t xml:space="preserve"> </w:t>
      </w:r>
      <w:r w:rsidRPr="00027624">
        <w:t>level of the SG rate stem from different views about the system</w:t>
      </w:r>
      <w:r w:rsidR="00A8443E" w:rsidRPr="00027624">
        <w:t>’</w:t>
      </w:r>
      <w:r w:rsidRPr="00027624">
        <w:t>s objective.</w:t>
      </w:r>
    </w:p>
    <w:p w14:paraId="7D082618" w14:textId="77777777" w:rsidR="0033541B" w:rsidRPr="00027624" w:rsidRDefault="00A8443E" w:rsidP="00454F18">
      <w:pPr>
        <w:pStyle w:val="Quote"/>
      </w:pPr>
      <w:r w:rsidRPr="00027624">
        <w:t>‘</w:t>
      </w:r>
      <w:r w:rsidR="0033541B" w:rsidRPr="00027624">
        <w:t>Any conclusions drawn about … whether SG rates are appropriate, and whether retirees are well served are critically dependent upon views as to the objective and adequacy of both Age Pension and superannuation.</w:t>
      </w:r>
      <w:r w:rsidRPr="00027624">
        <w:t>’</w:t>
      </w:r>
      <w:r w:rsidR="00A47F8F">
        <w:br/>
      </w:r>
      <w:sdt>
        <w:sdtPr>
          <w:id w:val="1155573278"/>
          <w:citation/>
        </w:sdtPr>
        <w:sdtEndPr/>
        <w:sdtContent>
          <w:r w:rsidR="00A47F8F" w:rsidRPr="00027624">
            <w:fldChar w:fldCharType="begin"/>
          </w:r>
          <w:r w:rsidR="00A47F8F">
            <w:instrText xml:space="preserve">CITATION Fir20Sub \p 8 \l 3081 </w:instrText>
          </w:r>
          <w:r w:rsidR="00A47F8F" w:rsidRPr="00027624">
            <w:fldChar w:fldCharType="separate"/>
          </w:r>
          <w:r w:rsidR="00E83F6E">
            <w:rPr>
              <w:noProof/>
            </w:rPr>
            <w:t>(First State Super, 2020b, p. 8)</w:t>
          </w:r>
          <w:r w:rsidR="00A47F8F" w:rsidRPr="00027624">
            <w:fldChar w:fldCharType="end"/>
          </w:r>
        </w:sdtContent>
      </w:sdt>
    </w:p>
    <w:p w14:paraId="3CAA5E28" w14:textId="77777777" w:rsidR="0033541B" w:rsidRPr="00027624" w:rsidRDefault="0033541B" w:rsidP="00454F18">
      <w:pPr>
        <w:ind w:left="-6"/>
      </w:pPr>
      <w:r w:rsidRPr="00027624">
        <w:rPr>
          <w:b/>
          <w:bCs/>
          <w:i/>
          <w:iCs/>
        </w:rPr>
        <w:t>Role of the pillars.</w:t>
      </w:r>
      <w:r w:rsidRPr="00027624">
        <w:t xml:space="preserve"> The </w:t>
      </w:r>
      <w:r w:rsidR="00A8443E" w:rsidRPr="00027624">
        <w:t>‘</w:t>
      </w:r>
      <w:r w:rsidRPr="00027624">
        <w:t>pillars</w:t>
      </w:r>
      <w:r w:rsidR="00A8443E" w:rsidRPr="00027624">
        <w:t>’</w:t>
      </w:r>
      <w:r w:rsidRPr="00027624">
        <w:t xml:space="preserve"> of the retirement income system are commonly seen as being the Age Pension, compulsory superannuation, and voluntary saving (including housing). Some see housing as a separate </w:t>
      </w:r>
      <w:r w:rsidRPr="00027624" w:rsidDel="001A3E98">
        <w:t>pill</w:t>
      </w:r>
      <w:r w:rsidRPr="00027624" w:rsidDel="0020045B">
        <w:t>ar</w:t>
      </w:r>
      <w:r w:rsidRPr="00027624">
        <w:t>. Others would add more pillars, such as labour force participation, social transfers in kind and the JobSeeker Payment (formerly Newstart Allowance). There is no agreed view on the role of the pillars.</w:t>
      </w:r>
    </w:p>
    <w:p w14:paraId="6EEAECAF" w14:textId="77777777" w:rsidR="0033541B" w:rsidRPr="00027624" w:rsidRDefault="00A8443E" w:rsidP="00454F18">
      <w:pPr>
        <w:pStyle w:val="Quote"/>
        <w:rPr>
          <w:bCs/>
        </w:rPr>
      </w:pPr>
      <w:r w:rsidRPr="00027624">
        <w:t>‘</w:t>
      </w:r>
      <w:r w:rsidR="0033541B" w:rsidRPr="00027624">
        <w:t xml:space="preserve">Retirees do not look at their income needs in the three or four pillar approach favoured by academics and economists. We think there is great merit in looking at this issue in the way retirees practically approach solving their income need requirements because the three pillar model misses important components or </w:t>
      </w:r>
      <w:r w:rsidR="0033541B" w:rsidRPr="00027624">
        <w:lastRenderedPageBreak/>
        <w:t>downplays other considerations.</w:t>
      </w:r>
      <w:r w:rsidRPr="00027624">
        <w:t>’</w:t>
      </w:r>
      <w:r w:rsidR="0033541B" w:rsidRPr="00027624">
        <w:br/>
      </w:r>
      <w:sdt>
        <w:sdtPr>
          <w:id w:val="-878711678"/>
          <w:citation/>
        </w:sdtPr>
        <w:sdtEndPr/>
        <w:sdtContent>
          <w:r w:rsidR="0033541B" w:rsidRPr="00027624">
            <w:fldChar w:fldCharType="begin"/>
          </w:r>
          <w:r w:rsidR="0033541B" w:rsidRPr="00027624">
            <w:instrText xml:space="preserve">CITATION Cha20 \p 2 \l 3081 </w:instrText>
          </w:r>
          <w:r w:rsidR="0033541B" w:rsidRPr="00027624">
            <w:fldChar w:fldCharType="separate"/>
          </w:r>
          <w:r w:rsidR="00E83F6E">
            <w:rPr>
              <w:noProof/>
            </w:rPr>
            <w:t>(Chartered Accountants Australia and New Zealand, 2020, p. 2)</w:t>
          </w:r>
          <w:r w:rsidR="0033541B" w:rsidRPr="00027624">
            <w:fldChar w:fldCharType="end"/>
          </w:r>
        </w:sdtContent>
      </w:sdt>
    </w:p>
    <w:p w14:paraId="4586F2B4" w14:textId="77777777" w:rsidR="0033541B" w:rsidRPr="00027624" w:rsidRDefault="0033541B" w:rsidP="00454F18">
      <w:pPr>
        <w:ind w:left="-6"/>
        <w:rPr>
          <w:szCs w:val="22"/>
        </w:rPr>
      </w:pPr>
      <w:r w:rsidRPr="00027624">
        <w:rPr>
          <w:b/>
          <w:i/>
          <w:szCs w:val="22"/>
        </w:rPr>
        <w:t>Dealing with diversity</w:t>
      </w:r>
      <w:r w:rsidRPr="00027624">
        <w:rPr>
          <w:b/>
          <w:szCs w:val="22"/>
        </w:rPr>
        <w:t>.</w:t>
      </w:r>
      <w:r w:rsidRPr="00027624">
        <w:rPr>
          <w:bCs/>
          <w:szCs w:val="22"/>
        </w:rPr>
        <w:t xml:space="preserve"> </w:t>
      </w:r>
      <w:r w:rsidRPr="00027624">
        <w:rPr>
          <w:szCs w:val="22"/>
        </w:rPr>
        <w:t>The retirement income system covers people in very different circumstances: different incomes, time in the workforce, employment situation, capacity to save, home ownership status, risk preferences, financial literacy, partnership status and life events. While the system may provide adequate retirement incomes for many Australians, there is uncertainty about if and how it can compensate for those who may fall short, such as women, lower</w:t>
      </w:r>
      <w:r w:rsidR="00A8443E" w:rsidRPr="00027624">
        <w:rPr>
          <w:szCs w:val="22"/>
        </w:rPr>
        <w:noBreakHyphen/>
      </w:r>
      <w:r w:rsidRPr="00027624">
        <w:rPr>
          <w:szCs w:val="22"/>
        </w:rPr>
        <w:t>income renters, individuals not covered by the SG, involuntary retirees, Aboriginal and Torres Strait Islander people and those with disability.</w:t>
      </w:r>
    </w:p>
    <w:p w14:paraId="6519CA6A" w14:textId="77777777" w:rsidR="0033541B" w:rsidRPr="00027624" w:rsidRDefault="00A8443E" w:rsidP="00454F18">
      <w:pPr>
        <w:pStyle w:val="Quote"/>
      </w:pPr>
      <w:r w:rsidRPr="00027624">
        <w:t>‘</w:t>
      </w:r>
      <w:r w:rsidR="0033541B" w:rsidRPr="00027624">
        <w:t>Dealing with heterogeneity is a major challenge with regard for setting policy</w:t>
      </w:r>
      <w:r w:rsidR="00046A94" w:rsidRPr="00027624">
        <w:t xml:space="preserve"> ..</w:t>
      </w:r>
      <w:r w:rsidR="0033541B" w:rsidRPr="00027624">
        <w:t>.</w:t>
      </w:r>
      <w:r w:rsidR="00046A94" w:rsidRPr="00027624">
        <w:t xml:space="preserve"> </w:t>
      </w:r>
      <w:r w:rsidRPr="00027624">
        <w:t>’</w:t>
      </w:r>
      <w:r w:rsidR="0033541B" w:rsidRPr="00027624">
        <w:t xml:space="preserve"> </w:t>
      </w:r>
      <w:sdt>
        <w:sdtPr>
          <w:id w:val="419529602"/>
          <w:citation/>
        </w:sdtPr>
        <w:sdtEndPr/>
        <w:sdtContent>
          <w:r w:rsidR="0033541B" w:rsidRPr="00027624">
            <w:fldChar w:fldCharType="begin"/>
          </w:r>
          <w:r w:rsidR="0033541B" w:rsidRPr="00027624">
            <w:instrText xml:space="preserve">CITATION Khe20 \p 10 \l 3081 </w:instrText>
          </w:r>
          <w:r w:rsidR="0033541B" w:rsidRPr="00027624">
            <w:fldChar w:fldCharType="separate"/>
          </w:r>
          <w:r w:rsidR="00E83F6E">
            <w:rPr>
              <w:noProof/>
            </w:rPr>
            <w:t>(Khemka &amp; Warren, 2020, p. 10)</w:t>
          </w:r>
          <w:r w:rsidR="0033541B" w:rsidRPr="00027624">
            <w:fldChar w:fldCharType="end"/>
          </w:r>
        </w:sdtContent>
      </w:sdt>
    </w:p>
    <w:tbl>
      <w:tblPr>
        <w:tblStyle w:val="TableGrid"/>
        <w:tblW w:w="5000" w:type="pct"/>
        <w:shd w:val="clear" w:color="auto" w:fill="FFF8EA"/>
        <w:tblLook w:val="04A0" w:firstRow="1" w:lastRow="0" w:firstColumn="1" w:lastColumn="0" w:noHBand="0" w:noVBand="1"/>
      </w:tblPr>
      <w:tblGrid>
        <w:gridCol w:w="9070"/>
      </w:tblGrid>
      <w:tr w:rsidR="0033541B" w:rsidRPr="00027624" w14:paraId="1CED0A10" w14:textId="77777777" w:rsidTr="00454F18">
        <w:tc>
          <w:tcPr>
            <w:tcW w:w="5000" w:type="pct"/>
            <w:shd w:val="clear" w:color="auto" w:fill="FFF8EA"/>
          </w:tcPr>
          <w:p w14:paraId="29773B59" w14:textId="77777777" w:rsidR="0033541B" w:rsidRPr="004239BC" w:rsidRDefault="0033541B" w:rsidP="00C7577C">
            <w:pPr>
              <w:pStyle w:val="BoxHeadingnotnumbered"/>
              <w:framePr w:wrap="around"/>
            </w:pPr>
            <w:bookmarkStart w:id="72" w:name="_Ref41544466"/>
            <w:r w:rsidRPr="004239BC">
              <w:t>Common misunderstandings and misconceptions about the retirement income system</w:t>
            </w:r>
            <w:bookmarkEnd w:id="72"/>
          </w:p>
          <w:p w14:paraId="5E2C7BF4" w14:textId="77777777" w:rsidR="0033541B" w:rsidRPr="00027624" w:rsidRDefault="0033541B" w:rsidP="00454F18">
            <w:pPr>
              <w:pStyle w:val="BoxText"/>
            </w:pPr>
            <w:r w:rsidRPr="00027624">
              <w:t>The views below represent perspectives observed in press articles, surveys and some submissions. These concerns are real and affect how people behave. However, they are generally not supported by evidence.</w:t>
            </w:r>
          </w:p>
          <w:p w14:paraId="6B9C2970" w14:textId="77777777" w:rsidR="0033541B" w:rsidRPr="00027624" w:rsidRDefault="0033541B" w:rsidP="00454F18">
            <w:pPr>
              <w:pStyle w:val="BoxText"/>
              <w:rPr>
                <w:b/>
              </w:rPr>
            </w:pPr>
            <w:r w:rsidRPr="00027624">
              <w:rPr>
                <w:b/>
              </w:rPr>
              <w:t>Adequacy of retirement income/retirement expenditure needs</w:t>
            </w:r>
          </w:p>
          <w:p w14:paraId="60EE99CF" w14:textId="77777777" w:rsidR="0033541B" w:rsidRPr="00027624" w:rsidRDefault="00A8443E" w:rsidP="00325A8D">
            <w:pPr>
              <w:pStyle w:val="BoxText"/>
              <w:numPr>
                <w:ilvl w:val="0"/>
                <w:numId w:val="11"/>
              </w:numPr>
            </w:pPr>
            <w:r w:rsidRPr="00027624">
              <w:t>‘</w:t>
            </w:r>
            <w:r w:rsidR="0033541B" w:rsidRPr="00027624">
              <w:t>I need to preserve my assets in case I get sick or need aged care.</w:t>
            </w:r>
            <w:r w:rsidRPr="00027624">
              <w:t>’</w:t>
            </w:r>
          </w:p>
          <w:p w14:paraId="3C8F783C" w14:textId="77777777" w:rsidR="0033541B" w:rsidRPr="00027624" w:rsidRDefault="00A8443E" w:rsidP="00325A8D">
            <w:pPr>
              <w:pStyle w:val="BoxText"/>
              <w:numPr>
                <w:ilvl w:val="0"/>
                <w:numId w:val="11"/>
              </w:numPr>
            </w:pPr>
            <w:r w:rsidRPr="00027624">
              <w:t>‘</w:t>
            </w:r>
            <w:r w:rsidR="0033541B" w:rsidRPr="00027624">
              <w:t>I will need to pay for most of my health costs in retirement.</w:t>
            </w:r>
            <w:r w:rsidRPr="00027624">
              <w:t>’</w:t>
            </w:r>
          </w:p>
          <w:p w14:paraId="67046E0F" w14:textId="77777777" w:rsidR="0033541B" w:rsidRPr="00027624" w:rsidRDefault="00A8443E" w:rsidP="00325A8D">
            <w:pPr>
              <w:pStyle w:val="BoxText"/>
              <w:numPr>
                <w:ilvl w:val="0"/>
                <w:numId w:val="11"/>
              </w:numPr>
            </w:pPr>
            <w:r w:rsidRPr="00027624">
              <w:t>‘</w:t>
            </w:r>
            <w:r w:rsidR="0033541B" w:rsidRPr="00027624">
              <w:t>I need $1,000,000 in superannuation for an adequate retirement income.</w:t>
            </w:r>
            <w:r w:rsidRPr="00027624">
              <w:t>’</w:t>
            </w:r>
          </w:p>
          <w:p w14:paraId="2FFF349B" w14:textId="77777777" w:rsidR="0033541B" w:rsidRPr="00027624" w:rsidRDefault="0033541B" w:rsidP="00454F18">
            <w:pPr>
              <w:pStyle w:val="BoxText"/>
              <w:rPr>
                <w:b/>
              </w:rPr>
            </w:pPr>
            <w:r w:rsidRPr="00027624">
              <w:rPr>
                <w:b/>
              </w:rPr>
              <w:t>Retirement income products and investment strategies</w:t>
            </w:r>
          </w:p>
          <w:p w14:paraId="6C91DB26" w14:textId="77777777" w:rsidR="0033541B" w:rsidRPr="00027624" w:rsidRDefault="00A8443E" w:rsidP="00325A8D">
            <w:pPr>
              <w:pStyle w:val="BoxText"/>
              <w:numPr>
                <w:ilvl w:val="0"/>
                <w:numId w:val="12"/>
              </w:numPr>
            </w:pPr>
            <w:r w:rsidRPr="00027624">
              <w:t>‘</w:t>
            </w:r>
            <w:r w:rsidR="0033541B" w:rsidRPr="00027624">
              <w:t>The best investment strategy in retirement is very low risk, such as cash.</w:t>
            </w:r>
            <w:r w:rsidRPr="00027624">
              <w:t>’</w:t>
            </w:r>
          </w:p>
          <w:p w14:paraId="32912D87" w14:textId="77777777" w:rsidR="0033541B" w:rsidRPr="00027624" w:rsidRDefault="00A8443E" w:rsidP="00325A8D">
            <w:pPr>
              <w:pStyle w:val="BoxText"/>
              <w:numPr>
                <w:ilvl w:val="0"/>
                <w:numId w:val="12"/>
              </w:numPr>
            </w:pPr>
            <w:r w:rsidRPr="00027624">
              <w:t>‘</w:t>
            </w:r>
            <w:r w:rsidR="0033541B" w:rsidRPr="00027624">
              <w:t>Investing in real estate is a better investment strategy for retirement.</w:t>
            </w:r>
            <w:r w:rsidRPr="00027624">
              <w:t>’</w:t>
            </w:r>
          </w:p>
          <w:p w14:paraId="068C5D1A" w14:textId="77777777" w:rsidR="0033541B" w:rsidRPr="00027624" w:rsidRDefault="0033541B" w:rsidP="00454F18">
            <w:pPr>
              <w:pStyle w:val="BoxText"/>
              <w:rPr>
                <w:b/>
              </w:rPr>
            </w:pPr>
            <w:r w:rsidRPr="00027624">
              <w:rPr>
                <w:b/>
              </w:rPr>
              <w:t>Age Pension</w:t>
            </w:r>
          </w:p>
          <w:p w14:paraId="51DC65BE" w14:textId="77777777" w:rsidR="0033541B" w:rsidRPr="00027624" w:rsidRDefault="00A8443E" w:rsidP="00325A8D">
            <w:pPr>
              <w:pStyle w:val="BoxText"/>
              <w:numPr>
                <w:ilvl w:val="0"/>
                <w:numId w:val="12"/>
              </w:numPr>
            </w:pPr>
            <w:r w:rsidRPr="00027624">
              <w:t>‘</w:t>
            </w:r>
            <w:r w:rsidR="0033541B" w:rsidRPr="00027624">
              <w:t xml:space="preserve">The Age Pension is earned during working life. Taxpayers </w:t>
            </w:r>
            <w:r w:rsidRPr="00027624">
              <w:t>“</w:t>
            </w:r>
            <w:r w:rsidR="0033541B" w:rsidRPr="00027624">
              <w:t>pre</w:t>
            </w:r>
            <w:r w:rsidRPr="00027624">
              <w:noBreakHyphen/>
            </w:r>
            <w:r w:rsidR="0033541B" w:rsidRPr="00027624">
              <w:t>pay</w:t>
            </w:r>
            <w:r w:rsidRPr="00027624">
              <w:t>”</w:t>
            </w:r>
            <w:r w:rsidR="0033541B" w:rsidRPr="00027624">
              <w:t xml:space="preserve"> for it through their taxes.</w:t>
            </w:r>
            <w:r w:rsidRPr="00027624">
              <w:t>’</w:t>
            </w:r>
          </w:p>
          <w:p w14:paraId="0F3805D0" w14:textId="77777777" w:rsidR="0033541B" w:rsidRPr="00027624" w:rsidRDefault="00A8443E" w:rsidP="00325A8D">
            <w:pPr>
              <w:pStyle w:val="BoxText"/>
              <w:numPr>
                <w:ilvl w:val="0"/>
                <w:numId w:val="12"/>
              </w:numPr>
            </w:pPr>
            <w:r w:rsidRPr="00027624">
              <w:t>‘</w:t>
            </w:r>
            <w:r w:rsidR="0033541B" w:rsidRPr="00027624">
              <w:t>The Age Pension will become unaffordable. Most people in future won</w:t>
            </w:r>
            <w:r w:rsidRPr="00027624">
              <w:t>’</w:t>
            </w:r>
            <w:r w:rsidR="0033541B" w:rsidRPr="00027624">
              <w:t>t receive it.</w:t>
            </w:r>
            <w:r w:rsidRPr="00027624">
              <w:t>’</w:t>
            </w:r>
          </w:p>
          <w:p w14:paraId="7343C397" w14:textId="77777777" w:rsidR="0033541B" w:rsidRPr="00027624" w:rsidRDefault="0033541B" w:rsidP="00454F18">
            <w:pPr>
              <w:pStyle w:val="BoxText"/>
              <w:rPr>
                <w:b/>
              </w:rPr>
            </w:pPr>
            <w:r w:rsidRPr="00027624">
              <w:rPr>
                <w:b/>
              </w:rPr>
              <w:t>Superannuation</w:t>
            </w:r>
          </w:p>
          <w:p w14:paraId="09B37F8E" w14:textId="77777777" w:rsidR="0033541B" w:rsidRPr="00027624" w:rsidRDefault="00A8443E" w:rsidP="00325A8D">
            <w:pPr>
              <w:pStyle w:val="BoxText"/>
              <w:numPr>
                <w:ilvl w:val="0"/>
                <w:numId w:val="12"/>
              </w:numPr>
            </w:pPr>
            <w:r w:rsidRPr="00027624">
              <w:t>‘</w:t>
            </w:r>
            <w:r w:rsidR="0033541B" w:rsidRPr="00027624">
              <w:t>The minimum drawdown rate is what the Government recommends.</w:t>
            </w:r>
            <w:r w:rsidRPr="00027624">
              <w:t>’</w:t>
            </w:r>
          </w:p>
          <w:p w14:paraId="46311C43" w14:textId="77777777" w:rsidR="0033541B" w:rsidRPr="00027624" w:rsidRDefault="00A8443E" w:rsidP="00325A8D">
            <w:pPr>
              <w:pStyle w:val="BoxText"/>
              <w:numPr>
                <w:ilvl w:val="0"/>
                <w:numId w:val="12"/>
              </w:numPr>
            </w:pPr>
            <w:r w:rsidRPr="00027624">
              <w:t>‘</w:t>
            </w:r>
            <w:r w:rsidR="0033541B" w:rsidRPr="00027624">
              <w:t>If I withdraw my money from superannuation, I must spend it.</w:t>
            </w:r>
            <w:r w:rsidRPr="00027624">
              <w:t>’</w:t>
            </w:r>
          </w:p>
          <w:p w14:paraId="65162096" w14:textId="77777777" w:rsidR="0033541B" w:rsidRPr="00027624" w:rsidRDefault="00A8443E" w:rsidP="00325A8D">
            <w:pPr>
              <w:pStyle w:val="BoxText"/>
              <w:numPr>
                <w:ilvl w:val="0"/>
                <w:numId w:val="12"/>
              </w:numPr>
              <w:rPr>
                <w:rFonts w:cs="Calibri"/>
              </w:rPr>
            </w:pPr>
            <w:r w:rsidRPr="00027624">
              <w:t>‘</w:t>
            </w:r>
            <w:r w:rsidR="0033541B" w:rsidRPr="00027624">
              <w:t>I should only draw down the income earned on my assets</w:t>
            </w:r>
            <w:r w:rsidRPr="00027624">
              <w:t xml:space="preserve"> — </w:t>
            </w:r>
            <w:r w:rsidR="0033541B" w:rsidRPr="00027624">
              <w:t>not the capital.</w:t>
            </w:r>
            <w:r w:rsidRPr="00027624">
              <w:t>’</w:t>
            </w:r>
          </w:p>
        </w:tc>
      </w:tr>
    </w:tbl>
    <w:p w14:paraId="4CA7CD0C" w14:textId="77777777" w:rsidR="0033541B" w:rsidRPr="00027624" w:rsidRDefault="0033541B" w:rsidP="00454F18">
      <w:pPr>
        <w:pStyle w:val="Heading2"/>
      </w:pPr>
      <w:bookmarkStart w:id="73" w:name="_Toc41808505"/>
      <w:bookmarkStart w:id="74" w:name="_Toc45520414"/>
      <w:bookmarkStart w:id="75" w:name="_Toc46133522"/>
      <w:r w:rsidRPr="00027624">
        <w:t>The importance of establishing the facts and gathering the evidence</w:t>
      </w:r>
      <w:bookmarkEnd w:id="73"/>
      <w:bookmarkEnd w:id="74"/>
      <w:bookmarkEnd w:id="75"/>
    </w:p>
    <w:p w14:paraId="5C7218E7" w14:textId="77777777" w:rsidR="0033541B" w:rsidRPr="00027624" w:rsidRDefault="0033541B" w:rsidP="00454F18">
      <w:r w:rsidRPr="00027624">
        <w:t xml:space="preserve">Establishing the facts and gathering evidence on how the retirement income system operates is important to improve understanding of the system and help address misconceptions, such as those outlined in </w:t>
      </w:r>
      <w:r w:rsidR="00046A94" w:rsidRPr="00027624">
        <w:t>the box above</w:t>
      </w:r>
      <w:r w:rsidRPr="00027624">
        <w:t>. This is the objective of this report.</w:t>
      </w:r>
    </w:p>
    <w:p w14:paraId="20324411" w14:textId="77777777" w:rsidR="0033541B" w:rsidRPr="00027624" w:rsidRDefault="0033541B" w:rsidP="00454F18">
      <w:r w:rsidRPr="00027624">
        <w:t>The retirement income system is, however, a source of considerable public debate. This reflects the system</w:t>
      </w:r>
      <w:r w:rsidR="00A8443E" w:rsidRPr="00027624">
        <w:t>’</w:t>
      </w:r>
      <w:r w:rsidRPr="00027624">
        <w:t>s importance to the Australian people, the economy and the many firms involved, particularly those in the superannuation industry, which manage nearly $3 trillion in assets and generate fees of more than $30 billion per year.</w:t>
      </w:r>
    </w:p>
    <w:p w14:paraId="4369F41A" w14:textId="77777777" w:rsidR="0033541B" w:rsidRPr="00027624" w:rsidRDefault="0033541B" w:rsidP="00454F18">
      <w:r w:rsidRPr="00027624">
        <w:lastRenderedPageBreak/>
        <w:t>The stakes are high because changes to the system can have significant implications for all involved: people, in terms of the level of their working life and retirement incomes; and superannuation funds, in terms of the assets they manage and the fee income they generate. As one submission noted:</w:t>
      </w:r>
    </w:p>
    <w:p w14:paraId="52C65E90" w14:textId="77777777" w:rsidR="0033541B" w:rsidRPr="00027624" w:rsidRDefault="00A8443E" w:rsidP="00454F18">
      <w:pPr>
        <w:pStyle w:val="Quote"/>
        <w:rPr>
          <w:sz w:val="20"/>
        </w:rPr>
      </w:pPr>
      <w:r w:rsidRPr="00027624">
        <w:t>‘</w:t>
      </w:r>
      <w:r w:rsidR="0033541B" w:rsidRPr="00027624">
        <w:t xml:space="preserve"> … a balanced discussion of the retirement income system is bedevilled by narratives that serve vested interest rather than the common good.</w:t>
      </w:r>
      <w:r w:rsidRPr="00027624">
        <w:t>’</w:t>
      </w:r>
      <w:r w:rsidR="0033541B" w:rsidRPr="00027624">
        <w:br/>
      </w:r>
      <w:sdt>
        <w:sdtPr>
          <w:id w:val="977035979"/>
          <w:citation/>
        </w:sdtPr>
        <w:sdtEndPr/>
        <w:sdtContent>
          <w:r w:rsidR="0033541B" w:rsidRPr="00027624">
            <w:fldChar w:fldCharType="begin"/>
          </w:r>
          <w:r w:rsidR="0033541B" w:rsidRPr="00027624">
            <w:instrText xml:space="preserve">CITATION Cen20 \p 2 \l 3081 </w:instrText>
          </w:r>
          <w:r w:rsidR="0033541B" w:rsidRPr="00027624">
            <w:fldChar w:fldCharType="separate"/>
          </w:r>
          <w:r w:rsidR="00E83F6E">
            <w:rPr>
              <w:noProof/>
            </w:rPr>
            <w:t>(Centre for Law, Markets and Regulation, 2020, p. 2)</w:t>
          </w:r>
          <w:r w:rsidR="0033541B" w:rsidRPr="00027624">
            <w:fldChar w:fldCharType="end"/>
          </w:r>
        </w:sdtContent>
      </w:sdt>
    </w:p>
    <w:p w14:paraId="1F26A157" w14:textId="77777777" w:rsidR="0033541B" w:rsidRPr="00027624" w:rsidRDefault="0033541B" w:rsidP="00454F18">
      <w:r w:rsidRPr="00027624">
        <w:t xml:space="preserve">The fact that parties have a direct interest in the system need not mean they are not interested in the </w:t>
      </w:r>
      <w:r w:rsidR="00A8443E" w:rsidRPr="00027624">
        <w:t>‘</w:t>
      </w:r>
      <w:r w:rsidRPr="00027624">
        <w:t>common good</w:t>
      </w:r>
      <w:r w:rsidR="00A8443E" w:rsidRPr="00027624">
        <w:t>’</w:t>
      </w:r>
      <w:r w:rsidRPr="00027624">
        <w:t>. Nevertheless, the public debate over the retirement income system can be very intense. Many comments and statements (particularly in the media) about the way the system operates and the impact of possible changes can be more assertions than evidence based on considered assessments. Yet, they are often presented as if they were indisputable facts.</w:t>
      </w:r>
    </w:p>
    <w:p w14:paraId="28085715" w14:textId="77777777" w:rsidR="0033541B" w:rsidRPr="00027624" w:rsidRDefault="0033541B" w:rsidP="00454F18">
      <w:r w:rsidRPr="00027624">
        <w:t>When it comes to assessing the outcome of changes to the retirement system, this inevitably involves long</w:t>
      </w:r>
      <w:r w:rsidR="00A8443E" w:rsidRPr="00027624">
        <w:noBreakHyphen/>
      </w:r>
      <w:r w:rsidRPr="00027624">
        <w:t xml:space="preserve">term projections of 40 years or more. </w:t>
      </w:r>
      <w:r w:rsidRPr="00027624">
        <w:rPr>
          <w:b/>
        </w:rPr>
        <w:t>There are no facts when making long</w:t>
      </w:r>
      <w:r w:rsidR="00A8443E" w:rsidRPr="00027624">
        <w:rPr>
          <w:b/>
        </w:rPr>
        <w:noBreakHyphen/>
      </w:r>
      <w:r w:rsidRPr="00027624">
        <w:rPr>
          <w:b/>
        </w:rPr>
        <w:t>term projections.</w:t>
      </w:r>
      <w:r w:rsidRPr="00027624">
        <w:t xml:space="preserve"> The results depend on the calibration of the models used, the nature and comprehensiveness of the data and, most importantly, the assumptions regarding how the economy and retirement income system operate, along with the behaviour of people.</w:t>
      </w:r>
    </w:p>
    <w:p w14:paraId="63017740" w14:textId="77777777" w:rsidR="0033541B" w:rsidRPr="00027624" w:rsidRDefault="0033541B" w:rsidP="00454F18">
      <w:r w:rsidRPr="00027624">
        <w:t>Small changes in underlying assumptions can have a significant impact on the results from modelling exercises. This is not normally highlighted when results are cited as support for a particular position being advanced.</w:t>
      </w:r>
    </w:p>
    <w:p w14:paraId="4A48BC0C" w14:textId="77777777" w:rsidR="0033541B" w:rsidRPr="00027624" w:rsidRDefault="0033541B" w:rsidP="00454F18">
      <w:pPr>
        <w:rPr>
          <w:sz w:val="24"/>
          <w:szCs w:val="24"/>
        </w:rPr>
      </w:pPr>
      <w:r w:rsidRPr="00027624">
        <w:t>This review focuses on the analysis, data and assumptions that go into long</w:t>
      </w:r>
      <w:r w:rsidR="00A8443E" w:rsidRPr="00027624">
        <w:noBreakHyphen/>
      </w:r>
      <w:r w:rsidRPr="00027624">
        <w:t>term projections of the retirement income system. Importantly, it outlines in detail the assumptions incorporated in the modelling and, based on the weight of the evidence, it presents what it considers to be the reasonable assumptions to underpin long</w:t>
      </w:r>
      <w:r w:rsidR="00A8443E" w:rsidRPr="00027624">
        <w:noBreakHyphen/>
      </w:r>
      <w:r w:rsidRPr="00027624">
        <w:t>term projections. It also incorporates substantial sensitivity analysis to assess the impact of alternative assumptions.</w:t>
      </w:r>
    </w:p>
    <w:p w14:paraId="6363047B" w14:textId="77777777" w:rsidR="0033541B" w:rsidRPr="00027624" w:rsidRDefault="0033541B" w:rsidP="00454F18">
      <w:r w:rsidRPr="00027624">
        <w:t>While the review outlines a comprehensive fact base on the operation of the retirement income system, in some areas, such as long</w:t>
      </w:r>
      <w:r w:rsidR="00A8443E" w:rsidRPr="00027624">
        <w:noBreakHyphen/>
      </w:r>
      <w:r w:rsidRPr="00027624">
        <w:t xml:space="preserve">term projections, there are few </w:t>
      </w:r>
      <w:r w:rsidR="00A8443E" w:rsidRPr="00027624">
        <w:t>‘</w:t>
      </w:r>
      <w:r w:rsidRPr="00027624">
        <w:t>facts</w:t>
      </w:r>
      <w:r w:rsidR="00A8443E" w:rsidRPr="00027624">
        <w:t>’</w:t>
      </w:r>
      <w:r w:rsidRPr="00027624">
        <w:t xml:space="preserve"> and considerable judgement is required. The review provides the evidence to help assess what judgements are appropriate, and as such, help in understanding the intense and at times divisive debate surrounding the retirement income system.</w:t>
      </w:r>
    </w:p>
    <w:p w14:paraId="68AFC0A4" w14:textId="77777777" w:rsidR="0033541B" w:rsidRPr="00027624" w:rsidRDefault="0033541B" w:rsidP="003A119F">
      <w:pPr>
        <w:pStyle w:val="Heading2"/>
      </w:pPr>
      <w:bookmarkStart w:id="76" w:name="_Toc41808507"/>
      <w:bookmarkStart w:id="77" w:name="_Toc45520416"/>
      <w:bookmarkStart w:id="78" w:name="_Toc46133523"/>
      <w:r w:rsidRPr="00027624">
        <w:t>The changing nature of retirement</w:t>
      </w:r>
      <w:bookmarkEnd w:id="76"/>
      <w:bookmarkEnd w:id="77"/>
      <w:bookmarkEnd w:id="78"/>
    </w:p>
    <w:p w14:paraId="397E4B3D" w14:textId="77777777" w:rsidR="0033541B" w:rsidRPr="00027624" w:rsidRDefault="0033541B" w:rsidP="00454F18">
      <w:r w:rsidRPr="00027624">
        <w:t>Retirement</w:t>
      </w:r>
      <w:r w:rsidR="00A8443E" w:rsidRPr="00027624">
        <w:t xml:space="preserve"> — </w:t>
      </w:r>
      <w:r w:rsidRPr="00027624">
        <w:t>voluntarily withdrawing from active working life</w:t>
      </w:r>
      <w:r w:rsidR="00A8443E" w:rsidRPr="00027624">
        <w:t xml:space="preserve"> — </w:t>
      </w:r>
      <w:r w:rsidRPr="00027624">
        <w:t>is a concept that only became entrenched in the 20th century. Little more than a century ago, people never really retired. They worked until they no longer could.</w:t>
      </w:r>
    </w:p>
    <w:p w14:paraId="3D194012" w14:textId="77777777" w:rsidR="0033541B" w:rsidRPr="00027624" w:rsidRDefault="0033541B" w:rsidP="00454F18">
      <w:r w:rsidRPr="00027624">
        <w:t xml:space="preserve">In 1909, the Australian Commonwealth Government introduced a national </w:t>
      </w:r>
      <w:r w:rsidR="00A8443E" w:rsidRPr="00027624">
        <w:t>‘</w:t>
      </w:r>
      <w:r w:rsidRPr="00027624">
        <w:t>old age</w:t>
      </w:r>
      <w:r w:rsidR="00A8443E" w:rsidRPr="00027624">
        <w:t>’</w:t>
      </w:r>
      <w:r w:rsidRPr="00027624">
        <w:t xml:space="preserve"> pension from age 65 for men and women, later reduced to age 60 for women. At the time, it was accessed by a significantly smaller proportion of the population compared with today because life expectancy was much lower. In 1909, less than 50 per cent of men and around 55 per cent of women lived to 65. As life expectancy in Australia has increased, so have people</w:t>
      </w:r>
      <w:r w:rsidR="00A8443E" w:rsidRPr="00027624">
        <w:t>’</w:t>
      </w:r>
      <w:r w:rsidRPr="00027624">
        <w:t xml:space="preserve">s expectations that they will have a substantial period of their lives in </w:t>
      </w:r>
      <w:r w:rsidR="00A8443E" w:rsidRPr="00027624">
        <w:t>‘</w:t>
      </w:r>
      <w:r w:rsidRPr="00027624">
        <w:t>retirement</w:t>
      </w:r>
      <w:r w:rsidR="00A8443E" w:rsidRPr="00027624">
        <w:t>’</w:t>
      </w:r>
      <w:r w:rsidRPr="00027624">
        <w:t>.</w:t>
      </w:r>
    </w:p>
    <w:p w14:paraId="0CBBD55F" w14:textId="77777777" w:rsidR="0033541B" w:rsidRPr="00027624" w:rsidRDefault="0033541B" w:rsidP="00454F18">
      <w:r w:rsidRPr="00027624">
        <w:t xml:space="preserve">There is no mandatory retirement age for most workers. Rather than a fixed </w:t>
      </w:r>
      <w:r w:rsidR="00A8443E" w:rsidRPr="00027624">
        <w:t>‘</w:t>
      </w:r>
      <w:r w:rsidRPr="00027624">
        <w:t>retirement age</w:t>
      </w:r>
      <w:r w:rsidR="00A8443E" w:rsidRPr="00027624">
        <w:t>’</w:t>
      </w:r>
      <w:r w:rsidRPr="00027624">
        <w:t>, there are ages when someone can access their superannuation (preservation age) or when they are eligible to apply for the Age Pension. Once a person accesses their superannuation, there is no barrier to them being in the workforce.</w:t>
      </w:r>
    </w:p>
    <w:p w14:paraId="1CF56765" w14:textId="77777777" w:rsidR="0033541B" w:rsidRPr="00027624" w:rsidRDefault="0033541B" w:rsidP="00454F18">
      <w:r w:rsidRPr="00027624">
        <w:t>There is also no longer an abrupt transition from being in a job to permanently retiring. People</w:t>
      </w:r>
      <w:r w:rsidR="00A8443E" w:rsidRPr="00027624">
        <w:t>’</w:t>
      </w:r>
      <w:r w:rsidRPr="00027624">
        <w:t xml:space="preserve">s pathways to retirement vary. Some transition with reduced hours of work, some retire many times as </w:t>
      </w:r>
      <w:r w:rsidRPr="00027624">
        <w:lastRenderedPageBreak/>
        <w:t>they leave and rejoin the workforce, and for some their retirement is involuntary due to ill health, caring for others or losing their job and being unable to find another.</w:t>
      </w:r>
    </w:p>
    <w:p w14:paraId="0D8C44EB" w14:textId="77777777" w:rsidR="0033541B" w:rsidRPr="00027624" w:rsidRDefault="0033541B" w:rsidP="00454F18">
      <w:r w:rsidRPr="00027624">
        <w:t>The average age of retirement in Australia is currently around 62</w:t>
      </w:r>
      <w:r w:rsidR="00A8443E" w:rsidRPr="00027624">
        <w:noBreakHyphen/>
      </w:r>
      <w:r w:rsidRPr="00027624">
        <w:t>65 years, with women tending to retire one to three years before men. However, people are staying in the workforce to older ages. The labour force participation rate of people aged 60</w:t>
      </w:r>
      <w:r w:rsidR="00A8443E" w:rsidRPr="00027624">
        <w:noBreakHyphen/>
      </w:r>
      <w:r w:rsidRPr="00027624">
        <w:t>64 has increased by 22 percentage points between April 2000 and April 2020. Improved health outcomes, greater workplace flexibility and higher average levels of educational attainment have all contributed to some people staying in the workforce to older ages; a trend that is likely to continue.</w:t>
      </w:r>
    </w:p>
    <w:p w14:paraId="593C99D3" w14:textId="77777777" w:rsidR="0033541B" w:rsidRPr="00027624" w:rsidRDefault="0033541B" w:rsidP="00454F18">
      <w:pPr>
        <w:pStyle w:val="Heading2"/>
        <w:spacing w:before="0"/>
      </w:pPr>
      <w:bookmarkStart w:id="79" w:name="_Toc41808508"/>
      <w:bookmarkStart w:id="80" w:name="_Toc45520417"/>
      <w:bookmarkStart w:id="81" w:name="_Toc46133524"/>
      <w:r w:rsidRPr="00027624">
        <w:t>What is the retirement income system?</w:t>
      </w:r>
      <w:bookmarkEnd w:id="79"/>
      <w:bookmarkEnd w:id="80"/>
      <w:bookmarkEnd w:id="81"/>
    </w:p>
    <w:p w14:paraId="04E6252C" w14:textId="77777777" w:rsidR="0033541B" w:rsidRPr="00027624" w:rsidRDefault="0033541B" w:rsidP="00454F18">
      <w:r w:rsidRPr="00027624">
        <w:t xml:space="preserve">Views differ as to what constitutes the </w:t>
      </w:r>
      <w:r w:rsidR="00A8443E" w:rsidRPr="00027624">
        <w:t>‘</w:t>
      </w:r>
      <w:r w:rsidRPr="00027624">
        <w:t>retirement income system</w:t>
      </w:r>
      <w:r w:rsidR="00A8443E" w:rsidRPr="00027624">
        <w:t>’</w:t>
      </w:r>
      <w:r w:rsidRPr="00027624">
        <w:t>. The terms of reference for the review referred to a three</w:t>
      </w:r>
      <w:r w:rsidR="00A8443E" w:rsidRPr="00027624">
        <w:noBreakHyphen/>
      </w:r>
      <w:r w:rsidRPr="00027624">
        <w:t>pillar system consisting of:</w:t>
      </w:r>
    </w:p>
    <w:p w14:paraId="0C2CC395" w14:textId="77777777" w:rsidR="0033541B" w:rsidRPr="00027624" w:rsidRDefault="0033541B" w:rsidP="00454F18">
      <w:pPr>
        <w:pStyle w:val="Bullet"/>
      </w:pPr>
      <w:r w:rsidRPr="00027624">
        <w:t>A means tested Age Pension</w:t>
      </w:r>
    </w:p>
    <w:p w14:paraId="2C57E041" w14:textId="77777777" w:rsidR="0033541B" w:rsidRPr="00027624" w:rsidRDefault="0033541B" w:rsidP="00454F18">
      <w:pPr>
        <w:pStyle w:val="Bullet"/>
      </w:pPr>
      <w:r w:rsidRPr="00027624">
        <w:t>Compulsory superannuation</w:t>
      </w:r>
    </w:p>
    <w:p w14:paraId="4242EF23" w14:textId="77777777" w:rsidR="0033541B" w:rsidRPr="00027624" w:rsidRDefault="0033541B" w:rsidP="00454F18">
      <w:pPr>
        <w:pStyle w:val="Bullet"/>
      </w:pPr>
      <w:r w:rsidRPr="00027624">
        <w:t>Voluntary savings, including home ownership</w:t>
      </w:r>
    </w:p>
    <w:p w14:paraId="1CDCDD2C" w14:textId="77777777" w:rsidR="0033541B" w:rsidRPr="00027624" w:rsidRDefault="0033541B" w:rsidP="00454F18">
      <w:r w:rsidRPr="00027624">
        <w:t>Several submissions said there were more pillars, with suggestions ranging from work; non</w:t>
      </w:r>
      <w:r w:rsidR="00A8443E" w:rsidRPr="00027624">
        <w:noBreakHyphen/>
      </w:r>
      <w:r w:rsidRPr="00027624">
        <w:t>financial arrangements, such as pensioner discounts; JobSeeker Payment (formerly Newstart Allowance) for the involuntary retired; private intergenerational transfers; and income from insurance products purchased to protect against risks such as longevity, ill health and long</w:t>
      </w:r>
      <w:r w:rsidR="00A8443E" w:rsidRPr="00027624">
        <w:noBreakHyphen/>
      </w:r>
      <w:r w:rsidRPr="00027624">
        <w:t>term care. These are all sources of income that people may be able to draw on in their retirement.</w:t>
      </w:r>
    </w:p>
    <w:p w14:paraId="601D9116" w14:textId="77777777" w:rsidR="0033541B" w:rsidRPr="00027624" w:rsidRDefault="0033541B" w:rsidP="00454F18">
      <w:r w:rsidRPr="00027624">
        <w:t>Many stakeholders believe home ownership should be a pillar in its own right given its significance in influencing the wellbeing and the adequacy of a retiree</w:t>
      </w:r>
      <w:r w:rsidR="00A8443E" w:rsidRPr="00027624">
        <w:t>’</w:t>
      </w:r>
      <w:r w:rsidRPr="00027624">
        <w:t>s income. This report highlights the importance of home ownership in achieving security in retirement</w:t>
      </w:r>
      <w:r w:rsidR="00A8443E" w:rsidRPr="00027624">
        <w:t xml:space="preserve"> — </w:t>
      </w:r>
      <w:r w:rsidRPr="00027624">
        <w:t>such as</w:t>
      </w:r>
      <w:r w:rsidRPr="00027624">
        <w:rPr>
          <w:sz w:val="24"/>
          <w:szCs w:val="24"/>
        </w:rPr>
        <w:t xml:space="preserve"> </w:t>
      </w:r>
      <w:r w:rsidRPr="00027624">
        <w:t>removing the need for income to pay for rental accommodation and providing an asset that can be drawn on to supplement retirement income.</w:t>
      </w:r>
    </w:p>
    <w:p w14:paraId="6953EA5B" w14:textId="77777777" w:rsidR="0033541B" w:rsidRPr="00027624" w:rsidRDefault="0033541B" w:rsidP="00454F18">
      <w:r w:rsidRPr="00027624">
        <w:t>While there are many sources of income and support for people in retirement, not all are explicitly tailored for this purpose. In contrast, the traditional three pillars involve Government measures aimed at supporting people</w:t>
      </w:r>
      <w:r w:rsidR="00A8443E" w:rsidRPr="00027624">
        <w:t>’</w:t>
      </w:r>
      <w:r w:rsidRPr="00027624">
        <w:t>s income in retirement such as:</w:t>
      </w:r>
    </w:p>
    <w:p w14:paraId="53529E71" w14:textId="77777777" w:rsidR="0033541B" w:rsidRPr="00027624" w:rsidRDefault="0033541B" w:rsidP="00454F18">
      <w:pPr>
        <w:pStyle w:val="Bullet"/>
      </w:pPr>
      <w:r w:rsidRPr="00027624">
        <w:t>Directly funding eligible people through the Age Pension</w:t>
      </w:r>
    </w:p>
    <w:p w14:paraId="239538C8" w14:textId="77777777" w:rsidR="0033541B" w:rsidRPr="00027624" w:rsidRDefault="0033541B" w:rsidP="00454F18">
      <w:pPr>
        <w:pStyle w:val="Bullet"/>
      </w:pPr>
      <w:r w:rsidRPr="00027624">
        <w:t>Requiring employers to contribute a proportion of employees</w:t>
      </w:r>
      <w:r w:rsidR="00A8443E" w:rsidRPr="00027624">
        <w:t>’</w:t>
      </w:r>
      <w:r w:rsidRPr="00027624">
        <w:t xml:space="preserve"> wages to superannuation</w:t>
      </w:r>
    </w:p>
    <w:p w14:paraId="2EB0216E" w14:textId="77777777" w:rsidR="0033541B" w:rsidRPr="00027624" w:rsidRDefault="0033541B" w:rsidP="00454F18">
      <w:pPr>
        <w:pStyle w:val="Bullet"/>
      </w:pPr>
      <w:r w:rsidRPr="00027624">
        <w:t>Encouraging people with tax concessions to make voluntary contributions to superannuation</w:t>
      </w:r>
    </w:p>
    <w:p w14:paraId="35FF4B75" w14:textId="77777777" w:rsidR="0033541B" w:rsidRPr="00027624" w:rsidRDefault="0033541B" w:rsidP="00454F18">
      <w:r w:rsidRPr="00027624">
        <w:t>Notwithstanding this distinction, all sources of income and support people can access in their retirement need to be taken into account in assessing whether their standard of living in retirement is adequate.</w:t>
      </w:r>
    </w:p>
    <w:p w14:paraId="1DFEA0D2" w14:textId="77777777" w:rsidR="0033541B" w:rsidRPr="00027624" w:rsidRDefault="0033541B" w:rsidP="00454F18">
      <w:r w:rsidRPr="00027624">
        <w:t>One area of considerable support people receive in retirement is subsidised health and aged care services, along with tax offsets and exemptions. For example, while health spending increases as a proportion of overall expenditure for people between ages 55</w:t>
      </w:r>
      <w:r w:rsidR="00A8443E" w:rsidRPr="00027624">
        <w:noBreakHyphen/>
      </w:r>
      <w:r w:rsidRPr="00027624">
        <w:t>80, it remains a relatively small share of total expenses in retirement. This is largely due to public expenditure on health absorbing much of the cost of ageing. The same applies for the cost of aged care services.</w:t>
      </w:r>
    </w:p>
    <w:p w14:paraId="4C6C5F8C" w14:textId="77777777" w:rsidR="0033541B" w:rsidRPr="00027624" w:rsidRDefault="0033541B" w:rsidP="00454F18">
      <w:r w:rsidRPr="00027624">
        <w:t>The concept of a three</w:t>
      </w:r>
      <w:r w:rsidR="00A8443E" w:rsidRPr="00027624">
        <w:noBreakHyphen/>
      </w:r>
      <w:r w:rsidRPr="00027624">
        <w:t xml:space="preserve">pillar retirement income system, along the lines of the Australian system, was popularised by the World Bank in a 1994 report </w:t>
      </w:r>
      <w:r w:rsidRPr="00027624">
        <w:rPr>
          <w:i/>
          <w:iCs/>
        </w:rPr>
        <w:t>Averting the Old Age Crisis</w:t>
      </w:r>
      <w:sdt>
        <w:sdtPr>
          <w:rPr>
            <w:i/>
            <w:iCs/>
          </w:rPr>
          <w:id w:val="1602231316"/>
          <w:citation/>
        </w:sdtPr>
        <w:sdtEndPr/>
        <w:sdtContent>
          <w:r w:rsidRPr="00027624">
            <w:rPr>
              <w:i/>
              <w:iCs/>
            </w:rPr>
            <w:fldChar w:fldCharType="begin"/>
          </w:r>
          <w:r w:rsidRPr="00027624">
            <w:rPr>
              <w:i/>
              <w:iCs/>
            </w:rPr>
            <w:instrText xml:space="preserve"> CITATION Wor94 \l 3081 </w:instrText>
          </w:r>
          <w:r w:rsidRPr="00027624">
            <w:rPr>
              <w:i/>
              <w:iCs/>
            </w:rPr>
            <w:fldChar w:fldCharType="separate"/>
          </w:r>
          <w:r w:rsidR="00E83F6E">
            <w:rPr>
              <w:i/>
              <w:iCs/>
              <w:noProof/>
            </w:rPr>
            <w:t xml:space="preserve"> </w:t>
          </w:r>
          <w:r w:rsidR="00E83F6E">
            <w:rPr>
              <w:noProof/>
            </w:rPr>
            <w:t>(World Bank, 1994)</w:t>
          </w:r>
          <w:r w:rsidRPr="00027624">
            <w:rPr>
              <w:i/>
              <w:iCs/>
            </w:rPr>
            <w:fldChar w:fldCharType="end"/>
          </w:r>
        </w:sdtContent>
      </w:sdt>
      <w:r w:rsidRPr="00027624">
        <w:rPr>
          <w:i/>
          <w:iCs/>
        </w:rPr>
        <w:t xml:space="preserve">. </w:t>
      </w:r>
      <w:r w:rsidRPr="00027624">
        <w:t>However, in 2008 the World Bank updated the advice it was giving countries in the design of a retirement income system. It advocated a five</w:t>
      </w:r>
      <w:r w:rsidR="00A8443E" w:rsidRPr="00027624">
        <w:noBreakHyphen/>
      </w:r>
      <w:r w:rsidRPr="00027624">
        <w:t>pillar system, with one of the additional pillars covering financial and non</w:t>
      </w:r>
      <w:r w:rsidR="00A8443E" w:rsidRPr="00027624">
        <w:noBreakHyphen/>
      </w:r>
      <w:r w:rsidRPr="00027624">
        <w:t xml:space="preserve">financial support outside formal pension arrangements, such as support </w:t>
      </w:r>
      <w:r w:rsidRPr="00027624">
        <w:lastRenderedPageBreak/>
        <w:t>people receive from families, other social programs and individual assets such as home ownership</w:t>
      </w:r>
      <w:sdt>
        <w:sdtPr>
          <w:id w:val="-1610263772"/>
          <w:citation/>
        </w:sdtPr>
        <w:sdtEndPr/>
        <w:sdtContent>
          <w:r w:rsidRPr="00027624">
            <w:fldChar w:fldCharType="begin"/>
          </w:r>
          <w:r w:rsidRPr="00027624">
            <w:instrText xml:space="preserve"> CITATION Wor08 \l 3081 </w:instrText>
          </w:r>
          <w:r w:rsidRPr="00027624">
            <w:fldChar w:fldCharType="separate"/>
          </w:r>
          <w:r w:rsidR="00E83F6E">
            <w:rPr>
              <w:noProof/>
            </w:rPr>
            <w:t xml:space="preserve"> (World Bank, 2008)</w:t>
          </w:r>
          <w:r w:rsidRPr="00027624">
            <w:fldChar w:fldCharType="end"/>
          </w:r>
        </w:sdtContent>
      </w:sdt>
      <w:r w:rsidRPr="00027624">
        <w:t>.</w:t>
      </w:r>
    </w:p>
    <w:p w14:paraId="749A4DBB" w14:textId="77777777" w:rsidR="0033541B" w:rsidRPr="00027624" w:rsidRDefault="0033541B" w:rsidP="00454F18">
      <w:r w:rsidRPr="00027624">
        <w:t>Many submissions raised the retirement outcomes of involuntary retirees. Older workers who lose their job and cannot obtain another one before they are eligible for the Age Pension may be able to draw down their superannuation when they reach preservation age. Otherwise, they will be relying on social security payments such as JobSeeker Payment. The position of involuntary retirees raises issues around the interface between the broader social security safety net and the retirement income system. This issue is explored in the report.</w:t>
      </w:r>
    </w:p>
    <w:p w14:paraId="5EA4F0E6" w14:textId="77777777" w:rsidR="0033541B" w:rsidRPr="00027624" w:rsidRDefault="0033541B" w:rsidP="00454F18">
      <w:pPr>
        <w:rPr>
          <w:b/>
        </w:rPr>
      </w:pPr>
      <w:r w:rsidRPr="00027624">
        <w:rPr>
          <w:b/>
        </w:rPr>
        <w:t xml:space="preserve">Irrespective of whether the retirement income system is defined as consisting of three, four, five or more pillars, the most important consideration is whether it is actually operating as a </w:t>
      </w:r>
      <w:r w:rsidR="00A8443E" w:rsidRPr="00027624">
        <w:rPr>
          <w:b/>
        </w:rPr>
        <w:t>‘</w:t>
      </w:r>
      <w:r w:rsidRPr="00027624">
        <w:rPr>
          <w:b/>
        </w:rPr>
        <w:t>system</w:t>
      </w:r>
      <w:r w:rsidR="00A8443E" w:rsidRPr="00027624">
        <w:rPr>
          <w:b/>
        </w:rPr>
        <w:t>’</w:t>
      </w:r>
      <w:r w:rsidRPr="00027624">
        <w:rPr>
          <w:b/>
        </w:rPr>
        <w:t xml:space="preserve">. That is, whether all the elements are working together in a cohesive fashion. </w:t>
      </w:r>
    </w:p>
    <w:p w14:paraId="78BA8C08" w14:textId="77777777" w:rsidR="0033541B" w:rsidRPr="00027624" w:rsidRDefault="0033541B" w:rsidP="00454F18">
      <w:r w:rsidRPr="00027624">
        <w:t>Cohesion is particularly important to consider because the retirement income system evolved rather than being designed as an integrated unit. For example:</w:t>
      </w:r>
    </w:p>
    <w:p w14:paraId="279AFF00" w14:textId="77777777" w:rsidR="0033541B" w:rsidRPr="00027624" w:rsidRDefault="0033541B" w:rsidP="00454F18">
      <w:pPr>
        <w:pStyle w:val="Bullet"/>
      </w:pPr>
      <w:r w:rsidRPr="00027624">
        <w:t>The Age Pension was introduced in 1909 and its coverage, settings and means test for eligibility have been changed many times.</w:t>
      </w:r>
    </w:p>
    <w:p w14:paraId="003572A7" w14:textId="77777777" w:rsidR="0033541B" w:rsidRPr="00027624" w:rsidRDefault="0033541B" w:rsidP="00454F18">
      <w:pPr>
        <w:pStyle w:val="Bullet"/>
        <w:rPr>
          <w:rFonts w:asciiTheme="minorHAnsi" w:eastAsiaTheme="minorEastAsia" w:hAnsiTheme="minorHAnsi" w:cstheme="minorBidi"/>
        </w:rPr>
      </w:pPr>
      <w:r w:rsidRPr="00027624">
        <w:t>Prior to the 1986 National Wage Case, superannuation was generally limited to public servants and white</w:t>
      </w:r>
      <w:r w:rsidR="00A8443E" w:rsidRPr="00027624">
        <w:noBreakHyphen/>
      </w:r>
      <w:r w:rsidRPr="00027624">
        <w:t>collar employees of large corporations. With the National Wage Case guidelines, provision for contributions started to be included in some industrial awards.</w:t>
      </w:r>
    </w:p>
    <w:p w14:paraId="1D7C275E" w14:textId="77777777" w:rsidR="0033541B" w:rsidRPr="00027624" w:rsidRDefault="0033541B" w:rsidP="00454F18">
      <w:pPr>
        <w:pStyle w:val="Bullet"/>
      </w:pPr>
      <w:r w:rsidRPr="00027624">
        <w:t>The SG was introduced in 1992. Initially set at 3 per cent of an employee</w:t>
      </w:r>
      <w:r w:rsidR="00A8443E" w:rsidRPr="00027624">
        <w:t>’</w:t>
      </w:r>
      <w:r w:rsidRPr="00027624">
        <w:t>s ordinary time earnings, it has since gradually increased to 9.5 per cent today and is legislated to gradually reach 12 per cent on 1 July 2025.</w:t>
      </w:r>
    </w:p>
    <w:p w14:paraId="3EFF0B8E" w14:textId="77777777" w:rsidR="0033541B" w:rsidRPr="00027624" w:rsidRDefault="0033541B" w:rsidP="00454F18">
      <w:pPr>
        <w:pStyle w:val="Bullet"/>
      </w:pPr>
      <w:r w:rsidRPr="00027624">
        <w:t>Voluntary contributions to superannuation are encouraged through tax concessions, although capped. The tax arrangements for superannuation and contribution limits have been changed many times.</w:t>
      </w:r>
    </w:p>
    <w:p w14:paraId="596B169C" w14:textId="77777777" w:rsidR="0033541B" w:rsidRPr="00027624" w:rsidRDefault="0033541B" w:rsidP="00454F18">
      <w:r w:rsidRPr="00027624">
        <w:t>In 2014, the Parliamentary Library</w:t>
      </w:r>
      <w:sdt>
        <w:sdtPr>
          <w:id w:val="-1152528276"/>
          <w:citation/>
        </w:sdtPr>
        <w:sdtEndPr/>
        <w:sdtContent>
          <w:r w:rsidRPr="00027624">
            <w:fldChar w:fldCharType="begin"/>
          </w:r>
          <w:r w:rsidRPr="00027624">
            <w:instrText xml:space="preserve">CITATION ParL14 \n  \t  \l 3081 </w:instrText>
          </w:r>
          <w:r w:rsidRPr="00027624">
            <w:fldChar w:fldCharType="separate"/>
          </w:r>
          <w:r w:rsidR="00E83F6E">
            <w:rPr>
              <w:noProof/>
            </w:rPr>
            <w:t xml:space="preserve"> (2014)</w:t>
          </w:r>
          <w:r w:rsidRPr="00027624">
            <w:fldChar w:fldCharType="end"/>
          </w:r>
        </w:sdtContent>
      </w:sdt>
      <w:r w:rsidRPr="00027624">
        <w:t xml:space="preserve"> listed the history of changes to the retirement income system, which ran to about 30 pages. </w:t>
      </w:r>
    </w:p>
    <w:p w14:paraId="7C4F3835" w14:textId="77777777" w:rsidR="0033541B" w:rsidRPr="00027624" w:rsidRDefault="0033541B" w:rsidP="00454F18">
      <w:r w:rsidRPr="00027624">
        <w:t>The cohesion of the retirement income system is explored in depth in this report.</w:t>
      </w:r>
    </w:p>
    <w:p w14:paraId="062C4BC8" w14:textId="77777777" w:rsidR="0033541B" w:rsidRPr="00027624" w:rsidRDefault="0033541B" w:rsidP="00454F18">
      <w:pPr>
        <w:pStyle w:val="Heading2"/>
        <w:spacing w:before="0"/>
      </w:pPr>
      <w:bookmarkStart w:id="82" w:name="_Toc41808509"/>
      <w:bookmarkStart w:id="83" w:name="_Toc45520418"/>
      <w:bookmarkStart w:id="84" w:name="_Toc46133525"/>
      <w:r w:rsidRPr="00027624">
        <w:t>The objective of the retirement income system and role of the pillars</w:t>
      </w:r>
      <w:bookmarkEnd w:id="82"/>
      <w:bookmarkEnd w:id="83"/>
      <w:bookmarkEnd w:id="84"/>
    </w:p>
    <w:p w14:paraId="6C63FB50" w14:textId="77777777" w:rsidR="0033541B" w:rsidRPr="00027624" w:rsidRDefault="0033541B" w:rsidP="00454F18">
      <w:r w:rsidRPr="00027624">
        <w:t>The retirement income system currently has neither an agreed objective nor an agreed role for its pillars. The two are inherently linked. The role of the pillars has to be determined in terms of how they can contribute towards achieving the system</w:t>
      </w:r>
      <w:r w:rsidR="00A8443E" w:rsidRPr="00027624">
        <w:t>’</w:t>
      </w:r>
      <w:r w:rsidRPr="00027624">
        <w:t>s objective.</w:t>
      </w:r>
    </w:p>
    <w:p w14:paraId="52AD2D17" w14:textId="77777777" w:rsidR="0033541B" w:rsidRPr="00027624" w:rsidRDefault="0033541B" w:rsidP="00454F18">
      <w:r w:rsidRPr="00027624">
        <w:t>Many submissions said the absence of a clear and agreed objective was a significant shortcoming. They endorsed the need to establish an overall objective for the system as well as the role of the pillars.</w:t>
      </w:r>
    </w:p>
    <w:p w14:paraId="58A79D1A" w14:textId="77777777" w:rsidR="0033541B" w:rsidRPr="00027624" w:rsidRDefault="0033541B" w:rsidP="00454F18">
      <w:pPr>
        <w:rPr>
          <w:b/>
        </w:rPr>
      </w:pPr>
      <w:r w:rsidRPr="00027624">
        <w:rPr>
          <w:b/>
        </w:rPr>
        <w:t>An agreed objective is needed to anchor the direction of policy settings, help ensure the purpose of the system is understood, and provide a framework for assessing the performance of the system.</w:t>
      </w:r>
    </w:p>
    <w:p w14:paraId="3142CECE" w14:textId="77777777" w:rsidR="0033541B" w:rsidRPr="00027624" w:rsidRDefault="0033541B" w:rsidP="00454F18">
      <w:r w:rsidRPr="00027624">
        <w:t>While the desirability of having an agreed objective was widely endorsed by stakeholders, there were a range of views as to what should be the objective.</w:t>
      </w:r>
    </w:p>
    <w:p w14:paraId="6B047EF0" w14:textId="77777777" w:rsidR="0033541B" w:rsidRPr="00027624" w:rsidRDefault="0033541B" w:rsidP="00454F18">
      <w:pPr>
        <w:rPr>
          <w:sz w:val="24"/>
          <w:szCs w:val="24"/>
        </w:rPr>
      </w:pPr>
      <w:r w:rsidRPr="00027624">
        <w:t>It is not for this review to determine the objective for the system or the role of the pillars. Ultimately, this has to be agreed and endorsed by the Australian community through the Government. If the aim is to achieve consistency in the direction of retirement income policy and improve communi</w:t>
      </w:r>
      <w:r w:rsidR="00FD473F" w:rsidRPr="00027624">
        <w:t>ty understanding, the objective</w:t>
      </w:r>
      <w:r w:rsidRPr="00027624">
        <w:t xml:space="preserve"> should be settled and not be subject to frequent change. For these reasons, it would be preferable if the objective for the retirement income system was legislated.</w:t>
      </w:r>
    </w:p>
    <w:p w14:paraId="2686AFAE" w14:textId="77777777" w:rsidR="0033541B" w:rsidRPr="00027624" w:rsidRDefault="0033541B" w:rsidP="00454F18">
      <w:pPr>
        <w:pStyle w:val="Heading3"/>
        <w:spacing w:before="0"/>
      </w:pPr>
      <w:r w:rsidRPr="00027624">
        <w:lastRenderedPageBreak/>
        <w:t>System objective</w:t>
      </w:r>
    </w:p>
    <w:p w14:paraId="180E6EAB" w14:textId="77777777" w:rsidR="0033541B" w:rsidRPr="00027624" w:rsidRDefault="0033541B" w:rsidP="00454F18">
      <w:r w:rsidRPr="00027624">
        <w:t>This review outlines some of the issues to take into account in developing the objective for the retirement income system. Specifically, it suggests that it be expanded around the following broad goal:</w:t>
      </w:r>
    </w:p>
    <w:p w14:paraId="7CB86265" w14:textId="77777777" w:rsidR="0033541B" w:rsidRPr="00027624" w:rsidRDefault="00A8443E" w:rsidP="00454F18">
      <w:pPr>
        <w:ind w:left="720"/>
        <w:rPr>
          <w:szCs w:val="22"/>
        </w:rPr>
      </w:pPr>
      <w:r w:rsidRPr="00027624">
        <w:rPr>
          <w:b/>
          <w:i/>
          <w:szCs w:val="22"/>
        </w:rPr>
        <w:t>‘</w:t>
      </w:r>
      <w:r w:rsidR="0033541B" w:rsidRPr="00027624">
        <w:rPr>
          <w:b/>
          <w:i/>
          <w:szCs w:val="22"/>
        </w:rPr>
        <w:t>To deliver adequate standards of living in retirement in an equitable, sustainable and cohesive way.</w:t>
      </w:r>
      <w:r w:rsidRPr="00027624">
        <w:rPr>
          <w:szCs w:val="22"/>
        </w:rPr>
        <w:t>’</w:t>
      </w:r>
    </w:p>
    <w:p w14:paraId="48A3B972" w14:textId="77777777" w:rsidR="0033541B" w:rsidRPr="00027624" w:rsidRDefault="0033541B" w:rsidP="00454F18">
      <w:r w:rsidRPr="00027624">
        <w:t>What this entails needs to be elaborated. Ambiguous, vague statements that are open to interpretation will not give the required guidance.</w:t>
      </w:r>
    </w:p>
    <w:p w14:paraId="4C0E34E3" w14:textId="77777777" w:rsidR="0033541B" w:rsidRPr="00027624" w:rsidRDefault="0033541B" w:rsidP="00454F18">
      <w:r w:rsidRPr="00027624">
        <w:t>Towards clarifying what could be covered in the suggested broad outline of the system</w:t>
      </w:r>
      <w:r w:rsidR="00A8443E" w:rsidRPr="00027624">
        <w:t>’</w:t>
      </w:r>
      <w:r w:rsidRPr="00027624">
        <w:t>s objective, a range of elements are canvassed that flesh out the concepts of adequacy, equity, sustainability and cohesion. It is suggested that these elements be incorporated in a description of the objective of the system.</w:t>
      </w:r>
    </w:p>
    <w:p w14:paraId="580FC693" w14:textId="77777777" w:rsidR="0033541B" w:rsidRPr="00027624" w:rsidRDefault="0033541B" w:rsidP="00454F18">
      <w:pPr>
        <w:pStyle w:val="Heading4"/>
        <w:spacing w:before="0"/>
      </w:pPr>
      <w:r w:rsidRPr="00027624">
        <w:t>Adequacy</w:t>
      </w:r>
    </w:p>
    <w:p w14:paraId="7041D4A2" w14:textId="77777777" w:rsidR="0033541B" w:rsidRPr="00027624" w:rsidRDefault="0033541B" w:rsidP="00454F18">
      <w:r w:rsidRPr="00027624">
        <w:t>A key point that needs to be clarified and emphasised is that the retirement income system is aimed at providing income to support living standards in retirement. It is not directed at building wealth per se or facilitating estate planning. While the system is focused on ensuring people have the income to support adequate standard</w:t>
      </w:r>
      <w:r w:rsidR="00716B23" w:rsidRPr="00027624">
        <w:t>s</w:t>
      </w:r>
      <w:r w:rsidRPr="00027624">
        <w:t xml:space="preserve"> of living in retirement, this cannot be at the expense of an individual</w:t>
      </w:r>
      <w:r w:rsidR="00A8443E" w:rsidRPr="00027624">
        <w:t>’</w:t>
      </w:r>
      <w:r w:rsidRPr="00027624">
        <w:t>s standard of living during their working life.</w:t>
      </w:r>
    </w:p>
    <w:p w14:paraId="288745E3" w14:textId="77777777" w:rsidR="0033541B" w:rsidRPr="00027624" w:rsidRDefault="0033541B" w:rsidP="00454F18">
      <w:pPr>
        <w:rPr>
          <w:sz w:val="24"/>
          <w:szCs w:val="24"/>
        </w:rPr>
      </w:pPr>
      <w:r w:rsidRPr="00027624">
        <w:t>The review suggests that delivering adequate standard</w:t>
      </w:r>
      <w:r w:rsidR="00716B23" w:rsidRPr="00027624">
        <w:t>s</w:t>
      </w:r>
      <w:r w:rsidRPr="00027624">
        <w:t xml:space="preserve"> of living in retirement has two elements</w:t>
      </w:r>
      <w:r w:rsidRPr="00027624">
        <w:rPr>
          <w:sz w:val="24"/>
          <w:szCs w:val="24"/>
        </w:rPr>
        <w:t>:</w:t>
      </w:r>
    </w:p>
    <w:p w14:paraId="6890D2D4" w14:textId="77777777" w:rsidR="0033541B" w:rsidRPr="00027624" w:rsidRDefault="0033541B" w:rsidP="00384583">
      <w:pPr>
        <w:pStyle w:val="OutlineNumbered1"/>
        <w:rPr>
          <w:b/>
          <w:i/>
        </w:rPr>
      </w:pPr>
      <w:r w:rsidRPr="00027624">
        <w:rPr>
          <w:b/>
          <w:i/>
        </w:rPr>
        <w:t>The system should ensure a minimum standard of living for retirees with limited financial means that is consistent with prevailing community standards.</w:t>
      </w:r>
    </w:p>
    <w:p w14:paraId="16F50628" w14:textId="77777777" w:rsidR="0033541B" w:rsidRPr="00027624" w:rsidRDefault="0033541B" w:rsidP="00384583">
      <w:pPr>
        <w:pStyle w:val="OutlineNumbered1"/>
        <w:numPr>
          <w:ilvl w:val="0"/>
          <w:numId w:val="0"/>
        </w:numPr>
        <w:ind w:left="907"/>
      </w:pPr>
      <w:r w:rsidRPr="00027624">
        <w:t>There is widespread agreement among stakeholders that the system should provide a safety net so that older Australians achieve a minimum standard of living in retirement and avoid living in poverty. There is also support that this minimum standard be consistent with prevailing community standards.</w:t>
      </w:r>
    </w:p>
    <w:p w14:paraId="50F9D8AA" w14:textId="77777777" w:rsidR="0033541B" w:rsidRPr="00027624" w:rsidRDefault="0033541B" w:rsidP="00384583">
      <w:pPr>
        <w:pStyle w:val="OutlineNumbered1"/>
        <w:rPr>
          <w:b/>
          <w:i/>
        </w:rPr>
      </w:pPr>
      <w:r w:rsidRPr="00027624">
        <w:rPr>
          <w:b/>
          <w:i/>
        </w:rPr>
        <w:t>The system should facilitate people to reasonably maintain their standard of living in retirement.</w:t>
      </w:r>
    </w:p>
    <w:p w14:paraId="1BF9CB13" w14:textId="77777777" w:rsidR="0033541B" w:rsidRPr="00027624" w:rsidRDefault="0033541B" w:rsidP="00384583">
      <w:pPr>
        <w:pStyle w:val="OutlineNumbered1"/>
        <w:numPr>
          <w:ilvl w:val="0"/>
          <w:numId w:val="0"/>
        </w:numPr>
        <w:ind w:left="907"/>
      </w:pPr>
      <w:r w:rsidRPr="00027624">
        <w:t>The system can facilitate people to maintain their standard of living in retirement through a number of ways. There can be incentives for people to save for their retirement. Saving can also be compulsory, such as the SG, which seeks to counter concerns that people will not voluntarily save enough for their retirement.</w:t>
      </w:r>
    </w:p>
    <w:p w14:paraId="58F05F28" w14:textId="77777777" w:rsidR="0033541B" w:rsidRPr="00027624" w:rsidRDefault="0033541B" w:rsidP="00454F18">
      <w:r w:rsidRPr="00027624">
        <w:t xml:space="preserve">Some stakeholders say the objective for the system should incorporate an aspirational component, such as referring to a </w:t>
      </w:r>
      <w:r w:rsidR="00A8443E" w:rsidRPr="00027624">
        <w:t>‘</w:t>
      </w:r>
      <w:r w:rsidRPr="00027624">
        <w:t>comfortable</w:t>
      </w:r>
      <w:r w:rsidR="00A8443E" w:rsidRPr="00027624">
        <w:t>’</w:t>
      </w:r>
      <w:r w:rsidRPr="00027624">
        <w:t xml:space="preserve"> or </w:t>
      </w:r>
      <w:r w:rsidR="00A8443E" w:rsidRPr="00027624">
        <w:t>‘</w:t>
      </w:r>
      <w:r w:rsidRPr="00027624">
        <w:t>dignified</w:t>
      </w:r>
      <w:r w:rsidR="00A8443E" w:rsidRPr="00027624">
        <w:t>’</w:t>
      </w:r>
      <w:r w:rsidRPr="00027624">
        <w:t xml:space="preserve"> retirement, or </w:t>
      </w:r>
      <w:r w:rsidR="00A8443E" w:rsidRPr="00027624">
        <w:t>‘</w:t>
      </w:r>
      <w:r w:rsidRPr="00027624">
        <w:t>a retirement people want and deserve</w:t>
      </w:r>
      <w:r w:rsidR="00A8443E" w:rsidRPr="00027624">
        <w:t>’</w:t>
      </w:r>
      <w:r w:rsidRPr="00027624">
        <w:t>. Others point out that such aspirational objectives would involve many people having a higher income in retirement than they had in their working lives. Their concern is that, in a system based on compulsory superannuation, the required level of saving for an aspirational objective may involve an excessive reduction in the standard of living for many people in their working lives. These stakeholders believe the objective should be to smooth consumption between working years and retirement.</w:t>
      </w:r>
    </w:p>
    <w:p w14:paraId="187F77C5" w14:textId="77777777" w:rsidR="0033541B" w:rsidRPr="00027624" w:rsidRDefault="0033541B" w:rsidP="00454F18">
      <w:r w:rsidRPr="00027624">
        <w:t>The degree to which an increase in the SG rate is considered to impact on wages growth influences how the objective should be framed. If an increase in the SG rate is not considered to reduce wages growth, then the impact of an aspirational retirement income objective on the required level of saving and the impact on the standard of living pre</w:t>
      </w:r>
      <w:r w:rsidR="00A8443E" w:rsidRPr="00027624">
        <w:noBreakHyphen/>
      </w:r>
      <w:r w:rsidRPr="00027624">
        <w:t>retirement are not relevant issues.</w:t>
      </w:r>
    </w:p>
    <w:p w14:paraId="6D228C2B" w14:textId="77777777" w:rsidR="0033541B" w:rsidRPr="00027624" w:rsidRDefault="0033541B" w:rsidP="00454F18">
      <w:pPr>
        <w:rPr>
          <w:sz w:val="24"/>
          <w:szCs w:val="24"/>
        </w:rPr>
      </w:pPr>
      <w:r w:rsidRPr="00027624">
        <w:t xml:space="preserve">The relationship between the SG rate and wages growth is a key issue considered in this report. The weight of evidence indicates an increase in the SG rate comes at the cost of lower wages growth. </w:t>
      </w:r>
      <w:r w:rsidRPr="00027624">
        <w:lastRenderedPageBreak/>
        <w:t>There is a trade</w:t>
      </w:r>
      <w:r w:rsidR="00A8443E" w:rsidRPr="00027624">
        <w:noBreakHyphen/>
      </w:r>
      <w:r w:rsidRPr="00027624">
        <w:t>off in smoothing consumption over working life and retirement. As such, the second aspect of the adequacy objective should be expressed in terms of consumption smoothing or maintaining living standards in retirement.</w:t>
      </w:r>
    </w:p>
    <w:p w14:paraId="61683206" w14:textId="77777777" w:rsidR="0033541B" w:rsidRPr="00027624" w:rsidRDefault="0033541B" w:rsidP="00454F18">
      <w:pPr>
        <w:pStyle w:val="Heading4"/>
        <w:spacing w:before="0"/>
      </w:pPr>
      <w:r w:rsidRPr="00027624">
        <w:t>Equity</w:t>
      </w:r>
    </w:p>
    <w:p w14:paraId="7553F94D" w14:textId="77777777" w:rsidR="0033541B" w:rsidRPr="00027624" w:rsidRDefault="0033541B" w:rsidP="00454F18">
      <w:r w:rsidRPr="00027624">
        <w:t>Stakeholders widely endorsed equity as an important principle of the retirement income system. But there were a range of views as to what this constitutes. Many submissions focused on whether particular groups in the population were achieving equitable retirement outcomes. This report examines retirement outcomes for a range of such groups. It identifies that for many, their retirement outcomes are below others, but this largely reflects factors outside the retirement income system, such as differences in people</w:t>
      </w:r>
      <w:r w:rsidR="00A8443E" w:rsidRPr="00027624">
        <w:t>’</w:t>
      </w:r>
      <w:r w:rsidRPr="00027624">
        <w:t>s pre</w:t>
      </w:r>
      <w:r w:rsidR="00A8443E" w:rsidRPr="00027624">
        <w:noBreakHyphen/>
      </w:r>
      <w:r w:rsidRPr="00027624">
        <w:t>retirement income, wealth and circumstances. In retirement, the Age Pension helps to offset some of the inequities people faced in their working life that affected their ability to save for their retirement.</w:t>
      </w:r>
    </w:p>
    <w:p w14:paraId="318FF91B" w14:textId="77777777" w:rsidR="0033541B" w:rsidRPr="00027624" w:rsidRDefault="0033541B" w:rsidP="00454F18">
      <w:r w:rsidRPr="00027624">
        <w:t>It is suggested that there are two elements of equity that should be incorporated in the system</w:t>
      </w:r>
      <w:r w:rsidR="00A8443E" w:rsidRPr="00027624">
        <w:t>’</w:t>
      </w:r>
      <w:r w:rsidRPr="00027624">
        <w:t>s objective:</w:t>
      </w:r>
    </w:p>
    <w:p w14:paraId="7B545DA4" w14:textId="77777777" w:rsidR="0033541B" w:rsidRPr="00027624" w:rsidRDefault="0033541B" w:rsidP="00FC7361">
      <w:pPr>
        <w:pStyle w:val="OutlineNumbered1"/>
        <w:numPr>
          <w:ilvl w:val="0"/>
          <w:numId w:val="100"/>
        </w:numPr>
        <w:rPr>
          <w:b/>
          <w:i/>
        </w:rPr>
      </w:pPr>
      <w:r w:rsidRPr="00027624">
        <w:rPr>
          <w:b/>
          <w:i/>
        </w:rPr>
        <w:t>The system should target Government support to those in need.</w:t>
      </w:r>
    </w:p>
    <w:p w14:paraId="6E995ECD" w14:textId="77777777" w:rsidR="0033541B" w:rsidRPr="00027624" w:rsidRDefault="0033541B" w:rsidP="00384583">
      <w:pPr>
        <w:pStyle w:val="OutlineNumbered1"/>
        <w:numPr>
          <w:ilvl w:val="0"/>
          <w:numId w:val="0"/>
        </w:numPr>
        <w:ind w:left="907"/>
      </w:pPr>
      <w:r w:rsidRPr="00027624">
        <w:t>Targeting Government support to those in need is central to the design of Australia</w:t>
      </w:r>
      <w:r w:rsidR="00A8443E" w:rsidRPr="00027624">
        <w:t>’</w:t>
      </w:r>
      <w:r w:rsidRPr="00027624">
        <w:t>s transfer system. The most important elements of Government support in the retirement income system are the Age Pension and superannuation tax concessions, although retirees have access to other forms of Government support, such as health and aged care services.</w:t>
      </w:r>
    </w:p>
    <w:p w14:paraId="0CD6D2FD" w14:textId="77777777" w:rsidR="0033541B" w:rsidRPr="00027624" w:rsidRDefault="0033541B" w:rsidP="00384583">
      <w:pPr>
        <w:pStyle w:val="OutlineNumbered1"/>
        <w:rPr>
          <w:b/>
          <w:i/>
        </w:rPr>
      </w:pPr>
      <w:r w:rsidRPr="00027624">
        <w:rPr>
          <w:b/>
          <w:i/>
        </w:rPr>
        <w:t>The system should provide similar outcomes for people in similar circumstances.</w:t>
      </w:r>
    </w:p>
    <w:p w14:paraId="2868F8C5" w14:textId="77777777" w:rsidR="0033541B" w:rsidRPr="00027624" w:rsidRDefault="0033541B" w:rsidP="00384583">
      <w:pPr>
        <w:pStyle w:val="OutlineNumbered1"/>
        <w:numPr>
          <w:ilvl w:val="0"/>
          <w:numId w:val="0"/>
        </w:numPr>
        <w:ind w:left="907"/>
        <w:rPr>
          <w:sz w:val="24"/>
          <w:szCs w:val="24"/>
        </w:rPr>
      </w:pPr>
      <w:r w:rsidRPr="00027624">
        <w:t>The income people will have in their retirement will vary in line with the differences in their circumstances. But a central aspect of equity is that people in similar circumstances should have broadly similar retirement outcomes</w:t>
      </w:r>
      <w:r w:rsidRPr="00027624">
        <w:rPr>
          <w:sz w:val="24"/>
          <w:szCs w:val="24"/>
        </w:rPr>
        <w:t>.</w:t>
      </w:r>
    </w:p>
    <w:p w14:paraId="5E1C74A2" w14:textId="77777777" w:rsidR="0033541B" w:rsidRPr="00027624" w:rsidRDefault="0033541B" w:rsidP="00454F18">
      <w:pPr>
        <w:pStyle w:val="Heading4"/>
        <w:spacing w:before="0"/>
      </w:pPr>
      <w:r w:rsidRPr="00027624">
        <w:t>Sustainability</w:t>
      </w:r>
    </w:p>
    <w:p w14:paraId="04B3473E" w14:textId="77777777" w:rsidR="0033541B" w:rsidRPr="00027624" w:rsidRDefault="0033541B" w:rsidP="00454F18">
      <w:r w:rsidRPr="00027624">
        <w:t>There are significant costs to the taxpayer in the retirement income system. The growth in those costs has to be consistent with the Australian economy</w:t>
      </w:r>
      <w:r w:rsidR="00A8443E" w:rsidRPr="00027624">
        <w:t>’</w:t>
      </w:r>
      <w:r w:rsidRPr="00027624">
        <w:t>s capacity and the community</w:t>
      </w:r>
      <w:r w:rsidR="00A8443E" w:rsidRPr="00027624">
        <w:t>’</w:t>
      </w:r>
      <w:r w:rsidRPr="00027624">
        <w:t>s willingness to pay. The review suggests two elements of sustainability:</w:t>
      </w:r>
    </w:p>
    <w:p w14:paraId="6CC0C793" w14:textId="77777777" w:rsidR="0033541B" w:rsidRPr="00027624" w:rsidRDefault="0033541B" w:rsidP="00FC7361">
      <w:pPr>
        <w:pStyle w:val="OutlineNumbered1"/>
        <w:numPr>
          <w:ilvl w:val="0"/>
          <w:numId w:val="101"/>
        </w:numPr>
        <w:rPr>
          <w:b/>
          <w:i/>
        </w:rPr>
      </w:pPr>
      <w:r w:rsidRPr="00027624">
        <w:rPr>
          <w:b/>
          <w:i/>
        </w:rPr>
        <w:t>The system should be cost</w:t>
      </w:r>
      <w:r w:rsidR="00A8443E" w:rsidRPr="00027624">
        <w:rPr>
          <w:b/>
          <w:i/>
        </w:rPr>
        <w:noBreakHyphen/>
      </w:r>
      <w:r w:rsidRPr="00027624">
        <w:rPr>
          <w:b/>
          <w:i/>
        </w:rPr>
        <w:t>effective for taxpayers in achieving adequate outcomes.</w:t>
      </w:r>
    </w:p>
    <w:p w14:paraId="3AB53921" w14:textId="77777777" w:rsidR="0033541B" w:rsidRPr="00027624" w:rsidRDefault="0033541B" w:rsidP="00384583">
      <w:pPr>
        <w:pStyle w:val="OutlineNumbered1"/>
        <w:numPr>
          <w:ilvl w:val="0"/>
          <w:numId w:val="0"/>
        </w:numPr>
        <w:ind w:left="907"/>
      </w:pPr>
      <w:r w:rsidRPr="00027624">
        <w:t>From both community support and cost sustainability perspectives, Government expenditure should be efficiently directed towards helping Australians achieve adequate and equitable retirement outcomes.</w:t>
      </w:r>
    </w:p>
    <w:p w14:paraId="555D8206" w14:textId="77777777" w:rsidR="0033541B" w:rsidRPr="00027624" w:rsidRDefault="0033541B" w:rsidP="00384583">
      <w:pPr>
        <w:pStyle w:val="OutlineNumbered1"/>
        <w:rPr>
          <w:b/>
          <w:i/>
        </w:rPr>
      </w:pPr>
      <w:r w:rsidRPr="00027624">
        <w:rPr>
          <w:b/>
          <w:i/>
        </w:rPr>
        <w:t>The system should be sustainable and robust to demographic, economic and social change.</w:t>
      </w:r>
    </w:p>
    <w:p w14:paraId="7F52149D" w14:textId="77777777" w:rsidR="0033541B" w:rsidRPr="00027624" w:rsidRDefault="0033541B" w:rsidP="00384583">
      <w:pPr>
        <w:pStyle w:val="OutlineNumbered1"/>
        <w:numPr>
          <w:ilvl w:val="0"/>
          <w:numId w:val="0"/>
        </w:numPr>
        <w:ind w:left="907"/>
      </w:pPr>
      <w:r w:rsidRPr="00027624">
        <w:t>The objective of achieving adequate retirement outcomes has to be responsive to demographic, economic and social changes. This includes variations in overall economic growth, wages and investment returns. Mechanisms are needed to allow people to deal with such risks to their income in retirement.</w:t>
      </w:r>
    </w:p>
    <w:p w14:paraId="0AEDD595" w14:textId="77777777" w:rsidR="0033541B" w:rsidRPr="00027624" w:rsidRDefault="0033541B" w:rsidP="00454F18">
      <w:pPr>
        <w:pStyle w:val="Heading4"/>
        <w:spacing w:before="0"/>
      </w:pPr>
      <w:r w:rsidRPr="00027624">
        <w:t>Cohesion</w:t>
      </w:r>
    </w:p>
    <w:p w14:paraId="6127630F" w14:textId="77777777" w:rsidR="0033541B" w:rsidRPr="00027624" w:rsidRDefault="0033541B" w:rsidP="00454F18">
      <w:r w:rsidRPr="00027624">
        <w:t>Cohesion considers whether the retirement income system</w:t>
      </w:r>
      <w:r w:rsidR="00A8443E" w:rsidRPr="00027624">
        <w:t>’</w:t>
      </w:r>
      <w:r w:rsidRPr="00027624">
        <w:t>s processes, mechanisms and incentives are all contributing to achieve its objective. All components in the system should complement each other and work in the same direction.</w:t>
      </w:r>
    </w:p>
    <w:p w14:paraId="3F101D8D" w14:textId="77777777" w:rsidR="0033541B" w:rsidRPr="00027624" w:rsidRDefault="0033541B" w:rsidP="00454F18">
      <w:r w:rsidRPr="00027624">
        <w:t>Policy settings should enable people to smooth consumption over their lives in an optimal manner. This means that the system needs to help balance a person</w:t>
      </w:r>
      <w:r w:rsidR="00A8443E" w:rsidRPr="00027624">
        <w:t>’</w:t>
      </w:r>
      <w:r w:rsidRPr="00027624">
        <w:t>s spending and saving through pre</w:t>
      </w:r>
      <w:r w:rsidR="00A8443E" w:rsidRPr="00027624">
        <w:noBreakHyphen/>
      </w:r>
      <w:r w:rsidRPr="00027624">
        <w:t xml:space="preserve"> and </w:t>
      </w:r>
      <w:r w:rsidRPr="00027624">
        <w:lastRenderedPageBreak/>
        <w:t>post</w:t>
      </w:r>
      <w:r w:rsidR="00A8443E" w:rsidRPr="00027624">
        <w:noBreakHyphen/>
      </w:r>
      <w:r w:rsidRPr="00027624">
        <w:t>retirement. This includes assisting people to efficiently draw down their savings in retirement to support their standard of living. The review suggests three elements of cohesion:</w:t>
      </w:r>
    </w:p>
    <w:p w14:paraId="684A81A9" w14:textId="77777777" w:rsidR="0033541B" w:rsidRPr="00027624" w:rsidRDefault="0033541B" w:rsidP="00FC7361">
      <w:pPr>
        <w:pStyle w:val="OutlineNumbered1"/>
        <w:numPr>
          <w:ilvl w:val="0"/>
          <w:numId w:val="102"/>
        </w:numPr>
        <w:rPr>
          <w:b/>
          <w:i/>
        </w:rPr>
      </w:pPr>
      <w:r w:rsidRPr="00027624">
        <w:rPr>
          <w:b/>
          <w:i/>
        </w:rPr>
        <w:t>The system should have effective incentives to smooth consumption and support people in taking personal responsibility for their retirement outcomes.</w:t>
      </w:r>
    </w:p>
    <w:p w14:paraId="0D5D2FA0" w14:textId="77777777" w:rsidR="0033541B" w:rsidRPr="00027624" w:rsidRDefault="0033541B" w:rsidP="00384583">
      <w:pPr>
        <w:pStyle w:val="OutlineNumbered1"/>
        <w:numPr>
          <w:ilvl w:val="0"/>
          <w:numId w:val="0"/>
        </w:numPr>
        <w:ind w:left="907"/>
      </w:pPr>
      <w:r w:rsidRPr="00027624">
        <w:t>Encouraging people to take responsibility for their retirement income not only involves providing incentives to save, such as tax concessions, but also includes compelling people to save.</w:t>
      </w:r>
    </w:p>
    <w:p w14:paraId="4AF8D0EF" w14:textId="77777777" w:rsidR="0033541B" w:rsidRPr="00027624" w:rsidRDefault="0033541B" w:rsidP="00384583">
      <w:pPr>
        <w:pStyle w:val="OutlineNumbered1"/>
        <w:rPr>
          <w:b/>
          <w:i/>
        </w:rPr>
      </w:pPr>
      <w:r w:rsidRPr="00027624">
        <w:rPr>
          <w:b/>
          <w:i/>
        </w:rPr>
        <w:t>The retirement income system should interact effectively with other systems.</w:t>
      </w:r>
    </w:p>
    <w:p w14:paraId="4674496D" w14:textId="77777777" w:rsidR="0033541B" w:rsidRPr="00027624" w:rsidRDefault="0033541B" w:rsidP="00384583">
      <w:pPr>
        <w:pStyle w:val="OutlineNumbered1"/>
        <w:numPr>
          <w:ilvl w:val="0"/>
          <w:numId w:val="0"/>
        </w:numPr>
        <w:ind w:left="907"/>
      </w:pPr>
      <w:r w:rsidRPr="00027624">
        <w:t>Retirement planning is not confined to the retirement income system. It must effectively interact with other systems, such as health and aged care.</w:t>
      </w:r>
    </w:p>
    <w:p w14:paraId="7631A3F3" w14:textId="77777777" w:rsidR="0033541B" w:rsidRPr="00027624" w:rsidRDefault="0033541B" w:rsidP="00384583">
      <w:pPr>
        <w:pStyle w:val="OutlineNumbered1"/>
        <w:rPr>
          <w:b/>
          <w:i/>
        </w:rPr>
      </w:pPr>
      <w:r w:rsidRPr="00027624">
        <w:rPr>
          <w:b/>
          <w:i/>
        </w:rPr>
        <w:t>The system should not be unnecessarily complex for consumers.</w:t>
      </w:r>
    </w:p>
    <w:p w14:paraId="696B9ACF" w14:textId="77777777" w:rsidR="0033541B" w:rsidRPr="00027624" w:rsidRDefault="0033541B" w:rsidP="00384583">
      <w:pPr>
        <w:pStyle w:val="OutlineNumbered1"/>
        <w:numPr>
          <w:ilvl w:val="0"/>
          <w:numId w:val="0"/>
        </w:numPr>
        <w:ind w:left="907"/>
      </w:pPr>
      <w:r w:rsidRPr="00027624">
        <w:t>The retirement income system should be as simple as possible, although the range of issues covered are such that it will inevitably involve a degree of complexity. The aim, nevertheless, should be to keep the complexity to a minimum. Where complexity cannot be avoided, mechanisms are needed to help people understand and navigate the system, including giving them access to advice and guidance to do so.</w:t>
      </w:r>
    </w:p>
    <w:p w14:paraId="601EE903" w14:textId="77777777" w:rsidR="0033541B" w:rsidRPr="00027624" w:rsidRDefault="0033541B" w:rsidP="00454F18">
      <w:pPr>
        <w:pStyle w:val="Heading3"/>
      </w:pPr>
      <w:r w:rsidRPr="00027624">
        <w:t>Role of the pillars</w:t>
      </w:r>
    </w:p>
    <w:p w14:paraId="1CDE14EC" w14:textId="0A111A05" w:rsidR="0033541B" w:rsidRPr="00027624" w:rsidRDefault="0033541B" w:rsidP="00454F18">
      <w:r w:rsidRPr="00027624">
        <w:t>The role of the pillars will be influenced by what the community decides should be the objective for the system. It will also depend on how the pillars interact and their</w:t>
      </w:r>
      <w:r w:rsidRPr="00027624">
        <w:rPr>
          <w:i/>
          <w:iCs/>
          <w:sz w:val="24"/>
          <w:szCs w:val="24"/>
        </w:rPr>
        <w:t xml:space="preserve"> </w:t>
      </w:r>
      <w:r w:rsidRPr="00027624">
        <w:t>effectiveness in achieving</w:t>
      </w:r>
      <w:r w:rsidRPr="00027624">
        <w:rPr>
          <w:i/>
          <w:iCs/>
          <w:sz w:val="24"/>
          <w:szCs w:val="24"/>
        </w:rPr>
        <w:t xml:space="preserve"> </w:t>
      </w:r>
      <w:r w:rsidRPr="00027624">
        <w:t>the system</w:t>
      </w:r>
      <w:r w:rsidR="00A8443E" w:rsidRPr="00027624">
        <w:t>’</w:t>
      </w:r>
      <w:r w:rsidRPr="00027624">
        <w:t>s objective. The review has provided information on how the pillars operate to help the community, th</w:t>
      </w:r>
      <w:r w:rsidR="006B03BC">
        <w:t>r</w:t>
      </w:r>
      <w:r w:rsidRPr="00027624">
        <w:t>ough the Government, decide on the pillars</w:t>
      </w:r>
      <w:r w:rsidR="00A8443E" w:rsidRPr="00027624">
        <w:t>’</w:t>
      </w:r>
      <w:r w:rsidRPr="00027624">
        <w:t xml:space="preserve"> respective roles.</w:t>
      </w:r>
    </w:p>
    <w:p w14:paraId="0ED56CBE" w14:textId="77777777" w:rsidR="0033541B" w:rsidRPr="00027624" w:rsidRDefault="0033541B" w:rsidP="00454F18">
      <w:pPr>
        <w:pStyle w:val="Heading4"/>
        <w:spacing w:before="0"/>
      </w:pPr>
      <w:r w:rsidRPr="00027624">
        <w:t>The Age Pension</w:t>
      </w:r>
    </w:p>
    <w:p w14:paraId="2CB961AF" w14:textId="77777777" w:rsidR="0033541B" w:rsidRPr="00027624" w:rsidRDefault="0033541B" w:rsidP="00454F18">
      <w:r w:rsidRPr="00027624">
        <w:t>The Age Pension serves two main roles. It provides a safety net for those who do not have the financial means to support a minimum standard of living in retirement. Its second role is to supplement the retirement income of a large proportion of retirees, particularly lower</w:t>
      </w:r>
      <w:r w:rsidR="00A8443E" w:rsidRPr="00027624">
        <w:noBreakHyphen/>
      </w:r>
      <w:r w:rsidRPr="00027624">
        <w:t xml:space="preserve"> and middle</w:t>
      </w:r>
      <w:r w:rsidR="00A8443E" w:rsidRPr="00027624">
        <w:noBreakHyphen/>
      </w:r>
      <w:r w:rsidRPr="00027624">
        <w:t>income earners, to assist them (in combination with their superannuation and other savings) to maintain their standard of living in retirement. The Age Pension is a backstop for retirees who may outlive their retirement savings (longevity risk) or see the value of their retirement income fall significantly (investment risk). It also plays an important role in reducing income inequality in retirement.</w:t>
      </w:r>
    </w:p>
    <w:p w14:paraId="5EE533F0" w14:textId="77777777" w:rsidR="0033541B" w:rsidRPr="00027624" w:rsidRDefault="0033541B" w:rsidP="00454F18">
      <w:pPr>
        <w:spacing w:before="0"/>
      </w:pPr>
      <w:r w:rsidRPr="00027624">
        <w:t>Determining the balance between these roles will depend in part on the relative effectiveness, including cost</w:t>
      </w:r>
      <w:r w:rsidR="00A8443E" w:rsidRPr="00027624">
        <w:noBreakHyphen/>
      </w:r>
      <w:r w:rsidRPr="00027624">
        <w:t>effectiveness, of the Age Pension and the other pillars in achieving the system</w:t>
      </w:r>
      <w:r w:rsidR="00A8443E" w:rsidRPr="00027624">
        <w:t>’</w:t>
      </w:r>
      <w:r w:rsidRPr="00027624">
        <w:t>s objective. For example, is it more cost</w:t>
      </w:r>
      <w:r w:rsidR="00A8443E" w:rsidRPr="00027624">
        <w:noBreakHyphen/>
      </w:r>
      <w:r w:rsidRPr="00027624">
        <w:t>effective to help lower</w:t>
      </w:r>
      <w:r w:rsidR="00A8443E" w:rsidRPr="00027624">
        <w:noBreakHyphen/>
      </w:r>
      <w:r w:rsidRPr="00027624">
        <w:t>to</w:t>
      </w:r>
      <w:r w:rsidR="00A8443E" w:rsidRPr="00027624">
        <w:noBreakHyphen/>
      </w:r>
      <w:r w:rsidRPr="00027624">
        <w:t>middle</w:t>
      </w:r>
      <w:r w:rsidR="00A8443E" w:rsidRPr="00027624">
        <w:noBreakHyphen/>
      </w:r>
      <w:r w:rsidRPr="00027624">
        <w:t>income earners maintain their standard of living in retirement through the Age Pension supplementing their savings? Or is it more cost</w:t>
      </w:r>
      <w:r w:rsidR="00A8443E" w:rsidRPr="00027624">
        <w:noBreakHyphen/>
      </w:r>
      <w:r w:rsidRPr="00027624">
        <w:t>effective to increase the rate of compulsory superannuation and/or provide more generous superannuation tax concessions?</w:t>
      </w:r>
    </w:p>
    <w:p w14:paraId="1A067553" w14:textId="77777777" w:rsidR="0033541B" w:rsidRPr="00027624" w:rsidRDefault="0033541B" w:rsidP="00454F18">
      <w:pPr>
        <w:pStyle w:val="Heading4"/>
        <w:spacing w:before="0"/>
      </w:pPr>
      <w:r w:rsidRPr="00027624">
        <w:t>Compulsory superannuation</w:t>
      </w:r>
    </w:p>
    <w:p w14:paraId="04CFC3A7" w14:textId="77777777" w:rsidR="0033541B" w:rsidRPr="00027624" w:rsidRDefault="0033541B" w:rsidP="00454F18">
      <w:r w:rsidRPr="00027624">
        <w:t>Improving the adequacy of retirement incomes is a key role of compulsory superannuation. Compulsory SG savings, in combination with the Age Pension, can allow people to better balance their standard of living pre</w:t>
      </w:r>
      <w:r w:rsidR="00A8443E" w:rsidRPr="00027624">
        <w:noBreakHyphen/>
      </w:r>
      <w:r w:rsidRPr="00027624">
        <w:t xml:space="preserve"> and post</w:t>
      </w:r>
      <w:r w:rsidR="00A8443E" w:rsidRPr="00027624">
        <w:noBreakHyphen/>
      </w:r>
      <w:r w:rsidRPr="00027624">
        <w:t xml:space="preserve">retirement than if they could not access the Age Pension. </w:t>
      </w:r>
      <w:r w:rsidRPr="00027624">
        <w:rPr>
          <w:bCs/>
        </w:rPr>
        <w:t>However</w:t>
      </w:r>
      <w:r w:rsidRPr="00027624">
        <w:rPr>
          <w:b/>
          <w:bCs/>
        </w:rPr>
        <w:t>, the SG is universal and may not suit all Australians given the diversity of experiences and circumstances.</w:t>
      </w:r>
      <w:r w:rsidRPr="00027624">
        <w:t xml:space="preserve"> It is therefore appropriate that the SG be set with regard to the circumstances of the average income earner with a typical working life.</w:t>
      </w:r>
    </w:p>
    <w:p w14:paraId="3191909F" w14:textId="77777777" w:rsidR="0033541B" w:rsidRPr="00027624" w:rsidRDefault="0033541B" w:rsidP="00454F18">
      <w:r w:rsidRPr="00027624">
        <w:lastRenderedPageBreak/>
        <w:t>While there is broad agreement on the need for compulsory savings, there are diverse views around whether the role of compulsory superannuation should be to replace or supplement the Age Pension. There are significant differences in the required rate of the SG if the aim is to replace the Age Pension rather than supplement the Age Pension. As the superannuation system matures, the proportion of retirees on the full</w:t>
      </w:r>
      <w:r w:rsidR="00A8443E" w:rsidRPr="00027624">
        <w:noBreakHyphen/>
      </w:r>
      <w:r w:rsidRPr="00027624">
        <w:t>rate Age Pension will fall, though the Age Pension will remain a significant income source for many lower</w:t>
      </w:r>
      <w:r w:rsidR="00A8443E" w:rsidRPr="00027624">
        <w:noBreakHyphen/>
      </w:r>
      <w:r w:rsidRPr="00027624">
        <w:t xml:space="preserve"> and middle</w:t>
      </w:r>
      <w:r w:rsidR="00A8443E" w:rsidRPr="00027624">
        <w:noBreakHyphen/>
      </w:r>
      <w:r w:rsidRPr="00027624">
        <w:t>income earners.</w:t>
      </w:r>
    </w:p>
    <w:p w14:paraId="3865EB05" w14:textId="77777777" w:rsidR="0033541B" w:rsidRPr="00027624" w:rsidRDefault="0033541B" w:rsidP="00454F18">
      <w:r w:rsidRPr="00027624">
        <w:t>The sustainability of compulsory superannuation is best assessed by looking at its full budgetary impact and not just the reduction in Age Pension expenditure as the superannuation system matures. The cost of superannuation tax concessions also needs to be taken into account.</w:t>
      </w:r>
    </w:p>
    <w:p w14:paraId="38F5EEB1" w14:textId="77777777" w:rsidR="0033541B" w:rsidRPr="00027624" w:rsidRDefault="0033541B" w:rsidP="00454F18">
      <w:pPr>
        <w:pStyle w:val="Heading4"/>
        <w:spacing w:before="0"/>
      </w:pPr>
      <w:r w:rsidRPr="00027624">
        <w:t>Voluntary savings</w:t>
      </w:r>
    </w:p>
    <w:p w14:paraId="4DD2C7E7" w14:textId="77777777" w:rsidR="0033541B" w:rsidRPr="00027624" w:rsidRDefault="0033541B" w:rsidP="00454F18">
      <w:pPr>
        <w:rPr>
          <w:sz w:val="24"/>
          <w:szCs w:val="24"/>
        </w:rPr>
      </w:pPr>
      <w:r w:rsidRPr="00027624">
        <w:t>Voluntary superannuation contributions</w:t>
      </w:r>
      <w:r w:rsidRPr="00027624" w:rsidDel="002B2570">
        <w:t xml:space="preserve"> </w:t>
      </w:r>
      <w:r w:rsidRPr="00027624">
        <w:t>give people the flexibility to save more for their retirement than is mandated by the SG and to make catch</w:t>
      </w:r>
      <w:r w:rsidR="00A8443E" w:rsidRPr="00027624">
        <w:noBreakHyphen/>
      </w:r>
      <w:r w:rsidRPr="00027624">
        <w:t>up savings</w:t>
      </w:r>
      <w:r w:rsidRPr="00027624" w:rsidDel="002B2570">
        <w:t xml:space="preserve">. </w:t>
      </w:r>
      <w:r w:rsidRPr="00027624">
        <w:t>This is important for those not covered by the SG, such as the self</w:t>
      </w:r>
      <w:r w:rsidR="00A8443E" w:rsidRPr="00027624">
        <w:noBreakHyphen/>
      </w:r>
      <w:r w:rsidRPr="00027624">
        <w:t>employed and those who take extended career breaks. The effectiveness and distribution of tax concessions in encouraging voluntary savings is an important consideration in assessing the role of voluntary savings in the retirement income system.</w:t>
      </w:r>
    </w:p>
    <w:p w14:paraId="2A4BCD53" w14:textId="77777777" w:rsidR="0033541B" w:rsidRPr="00027624" w:rsidRDefault="0033541B" w:rsidP="00454F18">
      <w:r w:rsidRPr="00027624">
        <w:t>Housing is an important component of voluntary savings for most people and a major determinant of their retirement outcomes. As home owners generally have lower housing costs in retirement, they tend to have better retirement outcomes than those who rent. The home is also an asset that can be drawn on in retirement.</w:t>
      </w:r>
    </w:p>
    <w:p w14:paraId="3910ABEA" w14:textId="77777777" w:rsidR="0033541B" w:rsidRPr="00027624" w:rsidRDefault="0033541B" w:rsidP="00454F18">
      <w:r w:rsidRPr="00027624">
        <w:t>People also save for retirement outside the superannuation system and through home ownership. This is especially true for older Australians or workers who did not have the benefit of the SG; for example, the self</w:t>
      </w:r>
      <w:r w:rsidR="00A8443E" w:rsidRPr="00027624">
        <w:noBreakHyphen/>
      </w:r>
      <w:r w:rsidRPr="00027624">
        <w:t>employed. These savings may take many forms, including financial assets, such as shares and bonds, business assets or bank deposits.</w:t>
      </w:r>
    </w:p>
    <w:p w14:paraId="4FA003C7" w14:textId="77777777" w:rsidR="0033541B" w:rsidRPr="00027624" w:rsidRDefault="0033541B" w:rsidP="003A119F">
      <w:pPr>
        <w:pStyle w:val="Heading1notnumbered"/>
      </w:pPr>
      <w:bookmarkStart w:id="85" w:name="_Toc41808510"/>
      <w:bookmarkStart w:id="86" w:name="_Toc45520419"/>
      <w:bookmarkStart w:id="87" w:name="_Toc46133526"/>
      <w:r w:rsidRPr="00027624">
        <w:t>The performance of the retirement income system</w:t>
      </w:r>
      <w:bookmarkEnd w:id="85"/>
      <w:bookmarkEnd w:id="86"/>
      <w:bookmarkEnd w:id="87"/>
    </w:p>
    <w:p w14:paraId="48BDC5FB" w14:textId="77777777" w:rsidR="0033541B" w:rsidRPr="00027624" w:rsidRDefault="0033541B" w:rsidP="00454F18">
      <w:pPr>
        <w:rPr>
          <w:sz w:val="28"/>
          <w:szCs w:val="28"/>
        </w:rPr>
      </w:pPr>
      <w:r w:rsidRPr="00027624">
        <w:t>To gather information to help improve understanding of the retirement income system, its performance was reviewed against the elements of the suggested objective for the system: adequacy, equity, sustainability and cohesion.</w:t>
      </w:r>
    </w:p>
    <w:p w14:paraId="3360FC1C" w14:textId="77777777" w:rsidR="0033541B" w:rsidRPr="00027624" w:rsidRDefault="0033541B" w:rsidP="003A119F">
      <w:pPr>
        <w:pStyle w:val="Heading2"/>
      </w:pPr>
      <w:bookmarkStart w:id="88" w:name="_Toc46133527"/>
      <w:r w:rsidRPr="00027624">
        <w:t>Adequacy</w:t>
      </w:r>
      <w:bookmarkEnd w:id="88"/>
    </w:p>
    <w:p w14:paraId="2AB4946A" w14:textId="77777777" w:rsidR="0033541B" w:rsidRPr="00027624" w:rsidRDefault="0033541B" w:rsidP="003A119F">
      <w:pPr>
        <w:pStyle w:val="Heading3"/>
      </w:pPr>
      <w:r w:rsidRPr="00027624">
        <w:t>A minimum standard of living in retirement</w:t>
      </w:r>
    </w:p>
    <w:p w14:paraId="6CAE82F8" w14:textId="77777777" w:rsidR="0033541B" w:rsidRPr="00027624" w:rsidRDefault="0033541B" w:rsidP="00454F18">
      <w:bookmarkStart w:id="89" w:name="_Hlk45197091"/>
      <w:r w:rsidRPr="00027624">
        <w:t>The Age Pension is commonly thought of as providing the safety net in the retirement income system, ensuring all Australians have a minimum standard of living in retirement</w:t>
      </w:r>
      <w:bookmarkEnd w:id="89"/>
      <w:r w:rsidRPr="00027624">
        <w:t>. But retirees are also supported by a range of other government services and concessions.</w:t>
      </w:r>
    </w:p>
    <w:p w14:paraId="7DE34379" w14:textId="77777777" w:rsidR="0033541B" w:rsidRPr="00027624" w:rsidRDefault="0033541B" w:rsidP="00454F18">
      <w:r w:rsidRPr="00027624">
        <w:t>Australian retirees have access to health, aged care and other government services worth more than the maximum rate of the single Age Pension. Older Australians also pay less tax than those in employment with similar incomes, and receive concessions on a range of expenses. Most Australians aged 65 and over also have high levels of home ownership, which reduces their ongoing housing expenses.</w:t>
      </w:r>
    </w:p>
    <w:p w14:paraId="12A08201" w14:textId="77777777" w:rsidR="0033541B" w:rsidRPr="00027624" w:rsidRDefault="0033541B" w:rsidP="00454F18">
      <w:pPr>
        <w:rPr>
          <w:color w:val="000000" w:themeColor="text1"/>
          <w:sz w:val="18"/>
          <w:szCs w:val="18"/>
        </w:rPr>
      </w:pPr>
      <w:r w:rsidRPr="00027624">
        <w:t xml:space="preserve">In assessing whether Australians in retirement have a minimum standard of living, all these support mechanisms, in addition to the Age Pension, need to be taken into account. There is, however, no </w:t>
      </w:r>
      <w:r w:rsidRPr="00027624">
        <w:lastRenderedPageBreak/>
        <w:t>one measure to determine whether retirees are achieving a minimum standard of living that takes into account community standards. Judgement is required. To help with that judgement, the review considered a range of indicators of the adequacy of retirees</w:t>
      </w:r>
      <w:r w:rsidR="00A8443E" w:rsidRPr="00027624">
        <w:t>’</w:t>
      </w:r>
      <w:r w:rsidRPr="00027624">
        <w:t xml:space="preserve"> living standards.</w:t>
      </w:r>
    </w:p>
    <w:p w14:paraId="32A81C62" w14:textId="6FA0B155" w:rsidR="0033541B" w:rsidRPr="00027624" w:rsidRDefault="0033541B" w:rsidP="00454F18">
      <w:pPr>
        <w:rPr>
          <w:color w:val="000000" w:themeColor="text1"/>
          <w:sz w:val="18"/>
          <w:szCs w:val="18"/>
        </w:rPr>
      </w:pPr>
      <w:r w:rsidRPr="00027624">
        <w:t xml:space="preserve">When all forms of support are taken into account, it appears </w:t>
      </w:r>
      <w:r w:rsidRPr="00027624">
        <w:rPr>
          <w:b/>
          <w:bCs/>
        </w:rPr>
        <w:t>that most households in retirement are not in financial stress and are not living in poverty (</w:t>
      </w:r>
      <w:r w:rsidRPr="00027624">
        <w:rPr>
          <w:b/>
          <w:bCs/>
        </w:rPr>
        <w:fldChar w:fldCharType="begin"/>
      </w:r>
      <w:r w:rsidRPr="00027624">
        <w:rPr>
          <w:b/>
          <w:bCs/>
        </w:rPr>
        <w:instrText xml:space="preserve"> REF _Ref45023395 \r \h </w:instrText>
      </w:r>
      <w:r w:rsidR="00FA7639" w:rsidRPr="00027624">
        <w:rPr>
          <w:b/>
          <w:bCs/>
        </w:rPr>
        <w:instrText xml:space="preserve"> \* MERGEFORMAT </w:instrText>
      </w:r>
      <w:r w:rsidRPr="00027624">
        <w:rPr>
          <w:b/>
          <w:bCs/>
        </w:rPr>
      </w:r>
      <w:r w:rsidRPr="00027624">
        <w:rPr>
          <w:b/>
          <w:bCs/>
        </w:rPr>
        <w:fldChar w:fldCharType="separate"/>
      </w:r>
      <w:r w:rsidR="00891058">
        <w:rPr>
          <w:b/>
          <w:bCs/>
        </w:rPr>
        <w:t>Chart 1</w:t>
      </w:r>
      <w:r w:rsidRPr="00027624">
        <w:rPr>
          <w:b/>
          <w:bCs/>
        </w:rPr>
        <w:fldChar w:fldCharType="end"/>
      </w:r>
      <w:r w:rsidRPr="00027624">
        <w:rPr>
          <w:b/>
          <w:bCs/>
        </w:rPr>
        <w:t>)</w:t>
      </w:r>
      <w:r w:rsidRPr="00027624">
        <w:t>. The main exceptions are a number of retirees on the Age Pension who rent in the private market and those who retire before Age Pension eligibility age, particularly those who retire involuntarily.</w:t>
      </w:r>
      <w:bookmarkStart w:id="90" w:name="_Ref41544896"/>
    </w:p>
    <w:p w14:paraId="7655A208" w14:textId="77777777" w:rsidR="0033541B" w:rsidRPr="000D24F2" w:rsidRDefault="0033541B" w:rsidP="000D24F2">
      <w:pPr>
        <w:pStyle w:val="OverviewChart"/>
      </w:pPr>
      <w:bookmarkStart w:id="91" w:name="_Ref45023395"/>
      <w:r w:rsidRPr="000D24F2">
        <w:t>Income poverty rates of retirees</w:t>
      </w:r>
      <w:bookmarkEnd w:id="91"/>
    </w:p>
    <w:p w14:paraId="4E360338" w14:textId="77777777" w:rsidR="0033541B" w:rsidRPr="00027624" w:rsidRDefault="00652A9A" w:rsidP="004008D7">
      <w:pPr>
        <w:pStyle w:val="ChartGraphic"/>
      </w:pPr>
      <w:r>
        <w:rPr>
          <w:noProof/>
        </w:rPr>
        <w:drawing>
          <wp:inline distT="0" distB="0" distL="0" distR="0" wp14:anchorId="06D60D3A" wp14:editId="5CC6239D">
            <wp:extent cx="5585460" cy="2522220"/>
            <wp:effectExtent l="0" t="0" r="0" b="0"/>
            <wp:docPr id="104" name="Picture 104" descr="This chart shows the incidence of income poverty amongst different retiree cohorts. Single renters experience the greatest level of income poverty in retirement, at around 60 per cent. Early retired households and couple renters also experience elevated income poverty. Mortgagor’s and households that own their home outright experience a lower level of income poverty, within 5 percentage points or below the retiree average.  " title="Chart 1 Income poverty rates of reti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09264DFE" w14:textId="77777777" w:rsidR="0033541B" w:rsidRPr="00027624" w:rsidRDefault="0033541B" w:rsidP="00454F18">
      <w:pPr>
        <w:spacing w:after="240"/>
      </w:pPr>
      <w:r w:rsidRPr="00027624">
        <w:rPr>
          <w:color w:val="000000"/>
          <w:sz w:val="18"/>
          <w:szCs w:val="27"/>
        </w:rPr>
        <w:t>Note: Data relates to 2017</w:t>
      </w:r>
      <w:r w:rsidR="00A8443E" w:rsidRPr="00027624">
        <w:rPr>
          <w:color w:val="000000"/>
          <w:sz w:val="18"/>
          <w:szCs w:val="27"/>
        </w:rPr>
        <w:noBreakHyphen/>
      </w:r>
      <w:r w:rsidRPr="00027624">
        <w:rPr>
          <w:color w:val="000000"/>
          <w:sz w:val="18"/>
          <w:szCs w:val="27"/>
        </w:rPr>
        <w:t>18 financial year. Elevated poverty rate defined as 5 percentage points above retiree average. Retirees are where household reference person is aged 65 and over. There is overlap between some categories, for example, early retired and renter categories. Early retired means aged 55</w:t>
      </w:r>
      <w:r w:rsidR="00A8443E" w:rsidRPr="00027624">
        <w:rPr>
          <w:color w:val="000000"/>
          <w:sz w:val="18"/>
          <w:szCs w:val="27"/>
        </w:rPr>
        <w:noBreakHyphen/>
      </w:r>
      <w:r w:rsidRPr="00027624">
        <w:rPr>
          <w:color w:val="000000"/>
          <w:sz w:val="18"/>
          <w:szCs w:val="27"/>
        </w:rPr>
        <w:t xml:space="preserve">64 and not in the labour force. Housing costs includes the value of both principal and interest components of mortgage repayments. Source: </w:t>
      </w:r>
      <w:r w:rsidRPr="00027624">
        <w:rPr>
          <w:sz w:val="18"/>
          <w:szCs w:val="18"/>
        </w:rPr>
        <w:t>Analysis of ABS Survey of Income and Housing Confidentialised Unit Record File, 2017</w:t>
      </w:r>
      <w:r w:rsidR="00A8443E" w:rsidRPr="00027624">
        <w:rPr>
          <w:sz w:val="18"/>
          <w:szCs w:val="18"/>
        </w:rPr>
        <w:noBreakHyphen/>
      </w:r>
      <w:r w:rsidRPr="00027624">
        <w:rPr>
          <w:sz w:val="18"/>
          <w:szCs w:val="18"/>
        </w:rPr>
        <w:t>18.</w:t>
      </w:r>
    </w:p>
    <w:bookmarkEnd w:id="90"/>
    <w:p w14:paraId="1D8ACA2A" w14:textId="77777777" w:rsidR="0033541B" w:rsidRPr="00027624" w:rsidRDefault="0033541B" w:rsidP="00477E82">
      <w:pPr>
        <w:pStyle w:val="Heading4"/>
      </w:pPr>
      <w:r w:rsidRPr="00027624">
        <w:t>Adequacy of Age Pension</w:t>
      </w:r>
    </w:p>
    <w:p w14:paraId="707A6C45" w14:textId="77777777" w:rsidR="0033541B" w:rsidRPr="00027624" w:rsidRDefault="0033541B" w:rsidP="00454F18">
      <w:r w:rsidRPr="00027624">
        <w:t xml:space="preserve">The Age Pension is the main income support for retired Australians with limited financial means. A range of measures suggest </w:t>
      </w:r>
      <w:r w:rsidRPr="00027624">
        <w:rPr>
          <w:b/>
        </w:rPr>
        <w:t>the Age Pension has kept pace with community standards</w:t>
      </w:r>
      <w:r w:rsidRPr="00027624">
        <w:t>. These are:</w:t>
      </w:r>
    </w:p>
    <w:p w14:paraId="23988A0E" w14:textId="77777777" w:rsidR="0033541B" w:rsidRPr="00027624" w:rsidRDefault="0033541B" w:rsidP="00454F18">
      <w:pPr>
        <w:pStyle w:val="Bullet"/>
      </w:pPr>
      <w:r w:rsidRPr="00027624">
        <w:t>With low wages growth in recent years, indexation arrangements have resulted in the maximum Age Pension rate rising faster than wages since 2014. The base rate is currently about 4 per cent above the wages benchmark. For many retirees, the Age Pension provides a higher level of income than they received during their working life.</w:t>
      </w:r>
    </w:p>
    <w:p w14:paraId="2DF4FFA6" w14:textId="77777777" w:rsidR="0033541B" w:rsidRPr="00027624" w:rsidRDefault="0033541B" w:rsidP="00454F18">
      <w:pPr>
        <w:pStyle w:val="Bullet"/>
      </w:pPr>
      <w:r w:rsidRPr="00027624">
        <w:t>In terms of price movements, the Age Pension has increased by 32 per c</w:t>
      </w:r>
      <w:r w:rsidR="00C11DF5" w:rsidRPr="00027624">
        <w:t>ent since 2010</w:t>
      </w:r>
      <w:r w:rsidRPr="00027624">
        <w:t>, while the CPI has increased by 20 per cent (Chart 2).</w:t>
      </w:r>
    </w:p>
    <w:p w14:paraId="2B003E80" w14:textId="77777777" w:rsidR="0033541B" w:rsidRPr="00027624" w:rsidRDefault="0033541B" w:rsidP="00454F18">
      <w:pPr>
        <w:pStyle w:val="Bullet"/>
      </w:pPr>
      <w:r w:rsidRPr="00027624">
        <w:t xml:space="preserve">On international comparisons, the Age Pension is equal to 27.8 per cent of gross earnings, placing Australia eighth out of 36 OECD countries. </w:t>
      </w:r>
      <w:r w:rsidRPr="00027624">
        <w:rPr>
          <w:b/>
        </w:rPr>
        <w:t>However, this measure does not take into account the range of other government support Australian retirees receive.</w:t>
      </w:r>
    </w:p>
    <w:p w14:paraId="436A7B02" w14:textId="77777777" w:rsidR="0033541B" w:rsidRPr="00027624" w:rsidRDefault="0033541B" w:rsidP="00454F18">
      <w:pPr>
        <w:pStyle w:val="Bullet"/>
      </w:pPr>
      <w:r w:rsidRPr="00027624">
        <w:t>The maximum rate of the Age Pension is also above available absolute poverty benchmarks, such as the Henderson Poverty Line. Such benchmarks, however, do not indicate whether the Age Pension is keeping pace with community standards.</w:t>
      </w:r>
    </w:p>
    <w:p w14:paraId="66FDD2A4" w14:textId="77777777" w:rsidR="0033541B" w:rsidRPr="00027624" w:rsidRDefault="0033541B" w:rsidP="000D24F2">
      <w:pPr>
        <w:pStyle w:val="OverviewChart"/>
      </w:pPr>
      <w:bookmarkStart w:id="92" w:name="_Ref37758288"/>
      <w:r w:rsidRPr="00027624">
        <w:lastRenderedPageBreak/>
        <w:t>Increase in the va</w:t>
      </w:r>
      <w:r w:rsidR="00BE51D1" w:rsidRPr="00027624">
        <w:t>lue of price indic</w:t>
      </w:r>
      <w:r w:rsidRPr="00027624">
        <w:t>es, wages and the Age Pension since 2010</w:t>
      </w:r>
      <w:bookmarkEnd w:id="92"/>
    </w:p>
    <w:p w14:paraId="3286D264" w14:textId="77777777" w:rsidR="0033541B" w:rsidRPr="00027624" w:rsidRDefault="00652A9A" w:rsidP="004008D7">
      <w:pPr>
        <w:pStyle w:val="ChartGraphic"/>
        <w:rPr>
          <w:rFonts w:asciiTheme="minorHAnsi" w:eastAsiaTheme="minorEastAsia" w:hAnsiTheme="minorHAnsi" w:cstheme="minorBidi"/>
          <w:szCs w:val="22"/>
        </w:rPr>
      </w:pPr>
      <w:r>
        <w:rPr>
          <w:rFonts w:asciiTheme="minorHAnsi" w:eastAsiaTheme="minorEastAsia" w:hAnsiTheme="minorHAnsi" w:cstheme="minorBidi"/>
          <w:noProof/>
          <w:szCs w:val="22"/>
        </w:rPr>
        <w:drawing>
          <wp:inline distT="0" distB="0" distL="0" distR="0" wp14:anchorId="38512B0E" wp14:editId="1CED9CF1">
            <wp:extent cx="5547360" cy="2522220"/>
            <wp:effectExtent l="0" t="0" r="0" b="0"/>
            <wp:docPr id="109" name="Picture 109" descr="This chart shows that between July 2010 and July 2019, the value of the maximum single Age Pension increased 32 per cent, faster than average weekly wages, which increased by almost 27 per cent. Cost of living measures, such as the consumer price index and the pensioner and beneficiaries living cost index, have increased by around 20-21 per cent. " title="Chart 2 Increase in the value of price indexes, wages and the Age Pension sinc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7360" cy="2522220"/>
                    </a:xfrm>
                    <a:prstGeom prst="rect">
                      <a:avLst/>
                    </a:prstGeom>
                    <a:noFill/>
                  </pic:spPr>
                </pic:pic>
              </a:graphicData>
            </a:graphic>
          </wp:inline>
        </w:drawing>
      </w:r>
    </w:p>
    <w:p w14:paraId="794226FC" w14:textId="77777777" w:rsidR="0033541B" w:rsidRPr="00027624" w:rsidRDefault="0033541B" w:rsidP="00454F18">
      <w:pPr>
        <w:pStyle w:val="ChartorTableNote"/>
      </w:pPr>
      <w:r w:rsidRPr="00027624">
        <w:t xml:space="preserve">Note: Measures growth in value of indices since 1 July 2010. Wages is based on average weekly earnings, in original terms. </w:t>
      </w:r>
      <w:r w:rsidR="00277015" w:rsidRPr="00027624">
        <w:t xml:space="preserve">Source: Analysis of </w:t>
      </w:r>
      <w:sdt>
        <w:sdtPr>
          <w:id w:val="1426307429"/>
          <w:citation/>
        </w:sdtPr>
        <w:sdtEndPr/>
        <w:sdtContent>
          <w:r w:rsidR="00277015" w:rsidRPr="00027624">
            <w:fldChar w:fldCharType="begin"/>
          </w:r>
          <w:r w:rsidR="00277015" w:rsidRPr="00027624">
            <w:instrText xml:space="preserve">CITATION ABS202e \l 3081 </w:instrText>
          </w:r>
          <w:r w:rsidR="00277015" w:rsidRPr="00027624">
            <w:fldChar w:fldCharType="separate"/>
          </w:r>
          <w:r w:rsidR="00277015">
            <w:rPr>
              <w:noProof/>
            </w:rPr>
            <w:t>(ABS, 2020e)</w:t>
          </w:r>
          <w:r w:rsidR="00277015" w:rsidRPr="00027624">
            <w:fldChar w:fldCharType="end"/>
          </w:r>
        </w:sdtContent>
      </w:sdt>
      <w:sdt>
        <w:sdtPr>
          <w:id w:val="-865977712"/>
          <w:citation/>
        </w:sdtPr>
        <w:sdtEndPr/>
        <w:sdtContent>
          <w:r w:rsidR="00277015" w:rsidRPr="00027624">
            <w:fldChar w:fldCharType="begin"/>
          </w:r>
          <w:r w:rsidR="00277015" w:rsidRPr="00027624">
            <w:instrText xml:space="preserve"> CITATION ABS202 \l 3081 </w:instrText>
          </w:r>
          <w:r w:rsidR="00277015" w:rsidRPr="00027624">
            <w:fldChar w:fldCharType="separate"/>
          </w:r>
          <w:r w:rsidR="00277015">
            <w:rPr>
              <w:noProof/>
            </w:rPr>
            <w:t xml:space="preserve"> (ABS, 2020q)</w:t>
          </w:r>
          <w:r w:rsidR="00277015" w:rsidRPr="00027624">
            <w:fldChar w:fldCharType="end"/>
          </w:r>
        </w:sdtContent>
      </w:sdt>
      <w:r w:rsidR="00277015" w:rsidRPr="00027624">
        <w:t>, and data provided by the Treasury.</w:t>
      </w:r>
    </w:p>
    <w:p w14:paraId="79DE7785" w14:textId="77777777" w:rsidR="0033541B" w:rsidRPr="00027624" w:rsidRDefault="0033541B" w:rsidP="003A119F">
      <w:pPr>
        <w:pStyle w:val="Heading4"/>
      </w:pPr>
      <w:r w:rsidRPr="00027624">
        <w:t>The wellbeing of retirees</w:t>
      </w:r>
    </w:p>
    <w:p w14:paraId="669C31C2" w14:textId="77777777" w:rsidR="0033541B" w:rsidRPr="00027624" w:rsidRDefault="0033541B" w:rsidP="00454F18">
      <w:r w:rsidRPr="00027624">
        <w:t>Wellbeing indicators offer another basis to assess whether retirees have a minimum standard of living. These indicators incorporate not only the impact of the Age Pension but also other forms of support. These indicators suggest that overall:</w:t>
      </w:r>
    </w:p>
    <w:p w14:paraId="112DD6D7" w14:textId="77777777" w:rsidR="0033541B" w:rsidRPr="00027624" w:rsidRDefault="0033541B" w:rsidP="00454F18">
      <w:pPr>
        <w:pStyle w:val="Bullet"/>
      </w:pPr>
      <w:r w:rsidRPr="00027624">
        <w:t>Retirees generally have higher levels of financial satisfaction than working</w:t>
      </w:r>
      <w:r w:rsidR="00A8443E" w:rsidRPr="00027624">
        <w:noBreakHyphen/>
      </w:r>
      <w:r w:rsidRPr="00027624">
        <w:t>age people across the income distribution</w:t>
      </w:r>
    </w:p>
    <w:p w14:paraId="2697B725" w14:textId="77777777" w:rsidR="0033541B" w:rsidRPr="00027624" w:rsidRDefault="0033541B" w:rsidP="00454F18">
      <w:pPr>
        <w:pStyle w:val="Bullet"/>
      </w:pPr>
      <w:r w:rsidRPr="00027624">
        <w:t>Rates of financial stress generally decline as households approach and enter retirement</w:t>
      </w:r>
    </w:p>
    <w:p w14:paraId="2559D365" w14:textId="77777777" w:rsidR="0033541B" w:rsidRPr="00027624" w:rsidRDefault="0033541B" w:rsidP="00454F18">
      <w:r w:rsidRPr="00027624">
        <w:rPr>
          <w:b/>
        </w:rPr>
        <w:t>Two groups, however, have levels of financial stress well above people below age 65: those renting in retirement and those who are involuntarily retired before Age Pension eligibility age</w:t>
      </w:r>
      <w:r w:rsidRPr="00027624">
        <w:t>.</w:t>
      </w:r>
    </w:p>
    <w:p w14:paraId="020F9214" w14:textId="77777777" w:rsidR="0033541B" w:rsidRPr="00027624" w:rsidRDefault="0033541B" w:rsidP="00454F18">
      <w:r w:rsidRPr="00027624">
        <w:t>About one</w:t>
      </w:r>
      <w:r w:rsidR="00A8443E" w:rsidRPr="00027624">
        <w:noBreakHyphen/>
      </w:r>
      <w:r w:rsidRPr="00027624">
        <w:t>quarter of retirees who rent privately are in financial stress, primarily because of high housing costs. Commonwealth Rent Assistance covers 75 per cent of rental costs above a minimum threshold and is capped at a maximum amount (around $300 per fortnight for a single without dependent children). Market rents are significantly above this level.</w:t>
      </w:r>
    </w:p>
    <w:p w14:paraId="2A63A836" w14:textId="77777777" w:rsidR="0033541B" w:rsidRPr="00027624" w:rsidRDefault="0033541B" w:rsidP="00454F18">
      <w:pPr>
        <w:rPr>
          <w:sz w:val="24"/>
          <w:szCs w:val="24"/>
        </w:rPr>
      </w:pPr>
      <w:r w:rsidRPr="00027624">
        <w:t>Twenty</w:t>
      </w:r>
      <w:r w:rsidR="00A8443E" w:rsidRPr="00027624">
        <w:noBreakHyphen/>
      </w:r>
      <w:r w:rsidRPr="00027624">
        <w:t>eight per cent of early retirees are in financial stress. Renters who retire before Age Pension eligibility age have the highest level of financial stress in retirement.</w:t>
      </w:r>
      <w:bookmarkStart w:id="93" w:name="_Ref37766012"/>
      <w:bookmarkEnd w:id="93"/>
    </w:p>
    <w:p w14:paraId="4C38FA22" w14:textId="77777777" w:rsidR="0033541B" w:rsidRPr="00027624" w:rsidRDefault="0033541B" w:rsidP="003A119F">
      <w:pPr>
        <w:pStyle w:val="Heading4"/>
      </w:pPr>
      <w:r w:rsidRPr="00027624">
        <w:t>Income poverty measures</w:t>
      </w:r>
    </w:p>
    <w:p w14:paraId="40E0C504" w14:textId="77777777" w:rsidR="0033541B" w:rsidRPr="00027624" w:rsidRDefault="0033541B" w:rsidP="00454F18">
      <w:r w:rsidRPr="00027624">
        <w:t>Income poverty measures have limitations because they are solely based on the retiree</w:t>
      </w:r>
      <w:r w:rsidR="00A8443E" w:rsidRPr="00027624">
        <w:t>’</w:t>
      </w:r>
      <w:r w:rsidRPr="00027624">
        <w:t>s income. The OECD measure of income poverty suggests poverty rates among retirees in Australia are high. But this measure does not make allowance for high rates of home ownership in Australia, which reduces housing costs in retirement and boosts living standards.</w:t>
      </w:r>
    </w:p>
    <w:p w14:paraId="09F2FC0E" w14:textId="77777777" w:rsidR="0033541B" w:rsidRPr="00027624" w:rsidRDefault="0033541B" w:rsidP="00454F18">
      <w:r w:rsidRPr="00027624">
        <w:t>While measures of income poverty have limitations, they are useful in identifying those groups falling behind. The incidence of income poverty among older Australians has fallen over the past decade. The changes to the Age Pension in 2009 led to a large reduction in rates of income poverty. However, and consistent with the indications of retirees in financial stress, retiree renters on the Age Pension have income poverty rates well in excess of other retirees and working</w:t>
      </w:r>
      <w:r w:rsidR="00A8443E" w:rsidRPr="00027624">
        <w:noBreakHyphen/>
      </w:r>
      <w:r w:rsidRPr="00027624">
        <w:t>age groups.</w:t>
      </w:r>
    </w:p>
    <w:p w14:paraId="49BC5125" w14:textId="77777777" w:rsidR="0033541B" w:rsidRPr="00027624" w:rsidRDefault="0033541B" w:rsidP="003A119F">
      <w:pPr>
        <w:pStyle w:val="Heading3"/>
      </w:pPr>
      <w:r w:rsidRPr="00027624">
        <w:lastRenderedPageBreak/>
        <w:t>Increasing Commonwealth Rent Assistance</w:t>
      </w:r>
    </w:p>
    <w:p w14:paraId="5881CAC9" w14:textId="77777777" w:rsidR="0033541B" w:rsidRPr="00027624" w:rsidRDefault="0033541B" w:rsidP="003A119F">
      <w:pPr>
        <w:pStyle w:val="Bullet"/>
        <w:numPr>
          <w:ilvl w:val="0"/>
          <w:numId w:val="0"/>
        </w:numPr>
        <w:rPr>
          <w:szCs w:val="22"/>
        </w:rPr>
      </w:pPr>
      <w:r w:rsidRPr="00027624">
        <w:rPr>
          <w:szCs w:val="22"/>
        </w:rPr>
        <w:t>Because many retired renters achieve poor outcomes in terms of financial distress and income poverty, a number of submissions suggested that Commonwealth Rent Assistance be increased. Several suggested the maximum rate of Commonwealth Rent Assistance be increased by 40 per cent.</w:t>
      </w:r>
    </w:p>
    <w:p w14:paraId="064D72C4" w14:textId="77777777" w:rsidR="0033541B" w:rsidRPr="00027624" w:rsidRDefault="0033541B" w:rsidP="00454F18">
      <w:r w:rsidRPr="00027624">
        <w:t>The review assessed the impact of such an increase. The maximum fortnightly payment for singles without dependent children is currently $139.60. Payments are indexed to the CPI. A 40 per cent increase in the maximum Commonwealth Rent Assistance payment would not be sufficient to significantly reduce income poverty among retiree renters. It would only narrow the gap in the income poverty rate between renters and home owners by around 11 per cent. Nor would it do much to reduce the inequality between home owners and renters.</w:t>
      </w:r>
      <w:r w:rsidRPr="00027624">
        <w:rPr>
          <w:rFonts w:eastAsia="Calibri" w:cs="Calibri"/>
          <w:szCs w:val="22"/>
        </w:rPr>
        <w:t xml:space="preserve"> This reflects that even after the increase, Commonwealth Rent Assistance would be a small proportion of the housing expenses faced by renters compared to home owners. </w:t>
      </w:r>
      <w:r w:rsidRPr="00027624">
        <w:t>The fiscal cost of such a change in Commonwealth Rent Assistance for Age Pension recipients is estimated at about $0.4 billion in 2019</w:t>
      </w:r>
      <w:r w:rsidR="00A8443E" w:rsidRPr="00027624">
        <w:noBreakHyphen/>
      </w:r>
      <w:r w:rsidRPr="00027624">
        <w:t>20. The cost for all Commonwealth Rent Assistance recipients is estimated to be about $1.7 billion in 2019</w:t>
      </w:r>
      <w:r w:rsidR="00A8443E" w:rsidRPr="00027624">
        <w:noBreakHyphen/>
      </w:r>
      <w:r w:rsidRPr="00027624">
        <w:t>20.</w:t>
      </w:r>
    </w:p>
    <w:p w14:paraId="64387256" w14:textId="77777777" w:rsidR="0033541B" w:rsidRPr="00027624" w:rsidRDefault="0033541B" w:rsidP="00454F18">
      <w:pPr>
        <w:rPr>
          <w:b/>
        </w:rPr>
      </w:pPr>
      <w:r w:rsidRPr="00027624">
        <w:t>A larger increase in the maximum rate of Commonwealth Rent Assistance would not have a meaningful impact on reducing income poverty among retiree renters</w:t>
      </w:r>
      <w:r w:rsidRPr="00027624">
        <w:rPr>
          <w:bCs/>
        </w:rPr>
        <w:t>.</w:t>
      </w:r>
      <w:r w:rsidRPr="00027624">
        <w:rPr>
          <w:b/>
        </w:rPr>
        <w:t xml:space="preserve"> An alternative approach to assisting lower</w:t>
      </w:r>
      <w:r w:rsidR="00A8443E" w:rsidRPr="00027624">
        <w:rPr>
          <w:b/>
        </w:rPr>
        <w:noBreakHyphen/>
      </w:r>
      <w:r w:rsidRPr="00027624">
        <w:rPr>
          <w:b/>
        </w:rPr>
        <w:t>income renters in retirement may be required.</w:t>
      </w:r>
    </w:p>
    <w:p w14:paraId="648742BA" w14:textId="77777777" w:rsidR="0033541B" w:rsidRPr="00027624" w:rsidRDefault="0033541B" w:rsidP="00454F18">
      <w:pPr>
        <w:pStyle w:val="Heading3"/>
      </w:pPr>
      <w:r w:rsidRPr="00027624">
        <w:t>Maintaining living standards in retirement</w:t>
      </w:r>
    </w:p>
    <w:p w14:paraId="3417D295" w14:textId="77777777" w:rsidR="0033541B" w:rsidRPr="00027624" w:rsidRDefault="0033541B" w:rsidP="00454F18">
      <w:r w:rsidRPr="00027624">
        <w:t xml:space="preserve">The </w:t>
      </w:r>
      <w:r w:rsidR="00C439B5" w:rsidRPr="00027624">
        <w:t xml:space="preserve">second element of the adequacy </w:t>
      </w:r>
      <w:r w:rsidRPr="00027624">
        <w:t xml:space="preserve">objective </w:t>
      </w:r>
      <w:r w:rsidR="00C439B5" w:rsidRPr="00027624">
        <w:t xml:space="preserve">of the retirement income system is to maintain living standards in retirement. This involves </w:t>
      </w:r>
      <w:r w:rsidRPr="00027624">
        <w:t>smooth</w:t>
      </w:r>
      <w:r w:rsidR="00C439B5" w:rsidRPr="00027624">
        <w:t>ing</w:t>
      </w:r>
      <w:r w:rsidRPr="00027624">
        <w:t xml:space="preserve"> consumption over working life and retirement. Saving for retirement involves forgoing consumption during working years to have the income to support consumption in retirement. Most people would not save enough voluntarily for their retirement on their own. Government intervention is required, such as the SG. Without Government intervention, many people would experience a reduction in living standards in retirement.</w:t>
      </w:r>
    </w:p>
    <w:p w14:paraId="10F65F05" w14:textId="77777777" w:rsidR="0033541B" w:rsidRPr="00027624" w:rsidRDefault="0033541B" w:rsidP="00454F18">
      <w:pPr>
        <w:rPr>
          <w:sz w:val="24"/>
          <w:szCs w:val="24"/>
        </w:rPr>
      </w:pPr>
      <w:r w:rsidRPr="00027624">
        <w:t>An individual can choose how much to save for their retirement and as such, how much consumption they are prepared to forgo in their working years. When there is compulsory saving for retirement by all employees, the aim should be to set a rate that balances pre</w:t>
      </w:r>
      <w:r w:rsidR="00A8443E" w:rsidRPr="00027624">
        <w:noBreakHyphen/>
      </w:r>
      <w:r w:rsidRPr="00027624">
        <w:t xml:space="preserve"> and post</w:t>
      </w:r>
      <w:r w:rsidR="00A8443E" w:rsidRPr="00027624">
        <w:noBreakHyphen/>
      </w:r>
      <w:r w:rsidRPr="00027624">
        <w:t>retirement living standards. A rate of compulsory superannuation that would result in people having an increase in their living standards in retirement may involve an unacceptable reduction in living standards prior to retirement.</w:t>
      </w:r>
    </w:p>
    <w:p w14:paraId="56A801D4" w14:textId="77777777" w:rsidR="0033541B" w:rsidRPr="00027624" w:rsidRDefault="0033541B" w:rsidP="00454F18">
      <w:pPr>
        <w:rPr>
          <w:sz w:val="18"/>
          <w:szCs w:val="18"/>
        </w:rPr>
      </w:pPr>
      <w:r w:rsidRPr="00027624">
        <w:t>The review considered the trade</w:t>
      </w:r>
      <w:r w:rsidR="00A8443E" w:rsidRPr="00027624">
        <w:noBreakHyphen/>
      </w:r>
      <w:r w:rsidRPr="00027624">
        <w:t xml:space="preserve">off between the SG and wages in detail. </w:t>
      </w:r>
      <w:r w:rsidRPr="00027624">
        <w:rPr>
          <w:b/>
          <w:bCs/>
        </w:rPr>
        <w:t>The weight of evidence suggests the majority of increases in the SG come at the expense of growth in take</w:t>
      </w:r>
      <w:r w:rsidR="00A8443E" w:rsidRPr="00027624">
        <w:rPr>
          <w:b/>
          <w:bCs/>
        </w:rPr>
        <w:noBreakHyphen/>
      </w:r>
      <w:r w:rsidRPr="00027624">
        <w:rPr>
          <w:b/>
          <w:bCs/>
        </w:rPr>
        <w:t>home wages.</w:t>
      </w:r>
      <w:r w:rsidRPr="00027624">
        <w:t xml:space="preserve"> This view is based on empirical research, economic theory, evidence across a number of countries, and the original policy intent of the SG. This is detailed in the report.</w:t>
      </w:r>
    </w:p>
    <w:p w14:paraId="065B1901" w14:textId="77777777" w:rsidR="0033541B" w:rsidRPr="00027624" w:rsidRDefault="0033541B" w:rsidP="003A119F">
      <w:pPr>
        <w:pStyle w:val="Heading4"/>
      </w:pPr>
      <w:r w:rsidRPr="00027624">
        <w:t>How the system currently maintains living standards in retirement</w:t>
      </w:r>
    </w:p>
    <w:p w14:paraId="6FDAFFEC" w14:textId="77777777" w:rsidR="0033541B" w:rsidRPr="00027624" w:rsidRDefault="0033541B" w:rsidP="00454F18">
      <w:r w:rsidRPr="00027624">
        <w:t>Lower</w:t>
      </w:r>
      <w:r w:rsidR="00A8443E" w:rsidRPr="00027624">
        <w:noBreakHyphen/>
      </w:r>
      <w:r w:rsidRPr="00027624">
        <w:t>income earners (defined as bottom 30 per cent of all income earners) primarily rely on the Age Pension to support their standard of living in retirement. For many lower</w:t>
      </w:r>
      <w:r w:rsidR="00A8443E" w:rsidRPr="00027624">
        <w:noBreakHyphen/>
      </w:r>
      <w:r w:rsidRPr="00027624">
        <w:t>income earners, living standards improve when they receive Age Pension payments. They</w:t>
      </w:r>
      <w:r w:rsidRPr="00027624" w:rsidDel="00DF66AF">
        <w:t xml:space="preserve"> </w:t>
      </w:r>
      <w:r w:rsidRPr="00027624">
        <w:t>may have made SG contributions and will have some superannuation (although balances will tend to be small) to supplement the Age Pension.</w:t>
      </w:r>
    </w:p>
    <w:p w14:paraId="3F98E24B" w14:textId="77777777" w:rsidR="0033541B" w:rsidRPr="00027624" w:rsidRDefault="0033541B" w:rsidP="00454F18">
      <w:r w:rsidRPr="00027624">
        <w:t>Middle</w:t>
      </w:r>
      <w:r w:rsidR="00A8443E" w:rsidRPr="00027624">
        <w:noBreakHyphen/>
      </w:r>
      <w:r w:rsidRPr="00027624">
        <w:t xml:space="preserve">income earners require a combination of superannuation, voluntary savings and the Age Pension to maintain their living standards in retirement. While compulsory superannuation is an important component and its importance will grow as the system matures, it alone is not sufficient to maintain their living standards. It has to be supplemented by the Age Pension. Home ownership is </w:t>
      </w:r>
      <w:r w:rsidRPr="00027624">
        <w:lastRenderedPageBreak/>
        <w:t>generally an important factor influencing whether these retirees achieve an adequate retirement income.</w:t>
      </w:r>
    </w:p>
    <w:p w14:paraId="672E1DE7" w14:textId="77777777" w:rsidR="0033541B" w:rsidRPr="00027624" w:rsidRDefault="0033541B" w:rsidP="00454F18">
      <w:r w:rsidRPr="00027624">
        <w:t>Higher</w:t>
      </w:r>
      <w:r w:rsidR="00A8443E" w:rsidRPr="00027624">
        <w:noBreakHyphen/>
      </w:r>
      <w:r w:rsidRPr="00027624">
        <w:t>income earners (top 20 per cent of all earners) generally do not receive the Age Pension and rely on the SG, voluntary superannuation, along with other savings and their home to maintain their living standards in retirement.</w:t>
      </w:r>
    </w:p>
    <w:p w14:paraId="6F3E0BC5" w14:textId="77777777" w:rsidR="0033541B" w:rsidRPr="00027624" w:rsidRDefault="0033541B" w:rsidP="003A119F">
      <w:pPr>
        <w:pStyle w:val="Heading4"/>
      </w:pPr>
      <w:r w:rsidRPr="00027624">
        <w:t>Measuring whether retirement income is adequate</w:t>
      </w:r>
    </w:p>
    <w:p w14:paraId="3A567123" w14:textId="77777777" w:rsidR="0033541B" w:rsidRPr="00027624" w:rsidRDefault="0033541B" w:rsidP="00454F18">
      <w:r w:rsidRPr="00027624">
        <w:t>Submissions proposed two ways to measure the adequacy of retirement incomes</w:t>
      </w:r>
      <w:r w:rsidR="00A8443E" w:rsidRPr="00027624">
        <w:t xml:space="preserve"> — </w:t>
      </w:r>
      <w:r w:rsidRPr="00027624">
        <w:t>a budget standard or a replacement rate.</w:t>
      </w:r>
    </w:p>
    <w:p w14:paraId="213F2D33" w14:textId="77777777" w:rsidR="0033541B" w:rsidRPr="00027624" w:rsidRDefault="0033541B" w:rsidP="00454F18">
      <w:r w:rsidRPr="00027624">
        <w:t xml:space="preserve">The budget standard is a level of income required to purchase a basket of goods and services. The ASFA </w:t>
      </w:r>
      <w:r w:rsidR="00A8443E" w:rsidRPr="00027624">
        <w:t>‘</w:t>
      </w:r>
      <w:r w:rsidRPr="00027624">
        <w:t>comfortable retirement standard</w:t>
      </w:r>
      <w:r w:rsidR="00A8443E" w:rsidRPr="00027624">
        <w:t>’</w:t>
      </w:r>
      <w:r w:rsidRPr="00027624">
        <w:t xml:space="preserve"> is often quoted as an appropriate benchmark. Specifying a dollar amount for a retirement income goal is easy for people to understand.</w:t>
      </w:r>
    </w:p>
    <w:p w14:paraId="0FB5BD12" w14:textId="77777777" w:rsidR="0033541B" w:rsidRPr="00027624" w:rsidRDefault="0033541B" w:rsidP="00454F18">
      <w:r w:rsidRPr="00027624">
        <w:t>Using a budget standard as a benchmark for the system has major shortcomings. These include: the standard is designed for a specific group of people (the ASFA standard was originally designed for the top 20 per cent of income earners); they are subjective and the specified basket of goods may not be adequate or preferred by all; and it does not allow for the trade</w:t>
      </w:r>
      <w:r w:rsidR="00A8443E" w:rsidRPr="00027624">
        <w:noBreakHyphen/>
      </w:r>
      <w:r w:rsidRPr="00027624">
        <w:t>off between retirement and working life. For example, the ASFA comfortable retirement standard would deliver a middle</w:t>
      </w:r>
      <w:r w:rsidR="00A8443E" w:rsidRPr="00027624">
        <w:noBreakHyphen/>
      </w:r>
      <w:r w:rsidRPr="00027624">
        <w:t>income earner a higher standard of living in retirement than in their working life and would require a significant sacrifice in their working life to achieve this retirement standard.</w:t>
      </w:r>
    </w:p>
    <w:p w14:paraId="4A231037" w14:textId="77777777" w:rsidR="0033541B" w:rsidRPr="00027624" w:rsidRDefault="0033541B" w:rsidP="00454F18">
      <w:r w:rsidRPr="00027624">
        <w:rPr>
          <w:b/>
        </w:rPr>
        <w:t>Replacement rates are the most appropriate metric for assessing whether the retirement income system maintains living standards in retirement</w:t>
      </w:r>
      <w:r w:rsidRPr="00027624">
        <w:t>. They compare income in retirement with income while working and align with the objective of achieving a reasonable balance between living standards in working life and retirement.</w:t>
      </w:r>
    </w:p>
    <w:p w14:paraId="3E31DC0E" w14:textId="77777777" w:rsidR="0033541B" w:rsidRPr="00027624" w:rsidRDefault="0033541B" w:rsidP="00454F18">
      <w:r w:rsidRPr="00027624">
        <w:t>The review has used a replacement rate benchmark of 65</w:t>
      </w:r>
      <w:r w:rsidR="00A8443E" w:rsidRPr="00027624">
        <w:noBreakHyphen/>
      </w:r>
      <w:r w:rsidRPr="00027624">
        <w:t>75 per cent of disposable working</w:t>
      </w:r>
      <w:r w:rsidR="00A8443E" w:rsidRPr="00027624">
        <w:noBreakHyphen/>
      </w:r>
      <w:r w:rsidRPr="00027624">
        <w:t>life income to assess the adequacy of retirement incomes. Evidence suggests this proportion of working</w:t>
      </w:r>
      <w:r w:rsidR="00A8443E" w:rsidRPr="00027624">
        <w:noBreakHyphen/>
      </w:r>
      <w:r w:rsidRPr="00027624">
        <w:t>life income will allow most retirees, particularly middle</w:t>
      </w:r>
      <w:r w:rsidR="00A8443E" w:rsidRPr="00027624">
        <w:noBreakHyphen/>
      </w:r>
      <w:r w:rsidRPr="00027624">
        <w:t xml:space="preserve">income earners, to maintain their standard of living in retirement. People generally have lower expenses in retirement, such as having paid off their home, not facing </w:t>
      </w:r>
      <w:r w:rsidRPr="00027624">
        <w:rPr>
          <w:rFonts w:eastAsia="Calibri" w:cs="Calibri"/>
          <w:szCs w:val="22"/>
        </w:rPr>
        <w:t>the cost of raising and educating children</w:t>
      </w:r>
      <w:r w:rsidR="00BE51D1" w:rsidRPr="00027624">
        <w:rPr>
          <w:rFonts w:eastAsia="Calibri" w:cs="Calibri"/>
          <w:szCs w:val="22"/>
        </w:rPr>
        <w:t>,</w:t>
      </w:r>
      <w:r w:rsidRPr="00027624">
        <w:t xml:space="preserve"> and no longer needing to save for retirement.</w:t>
      </w:r>
    </w:p>
    <w:p w14:paraId="19D3E945" w14:textId="77777777" w:rsidR="0033541B" w:rsidRPr="00027624" w:rsidRDefault="0033541B" w:rsidP="00454F18">
      <w:pPr>
        <w:rPr>
          <w:sz w:val="24"/>
          <w:szCs w:val="24"/>
        </w:rPr>
      </w:pPr>
      <w:r w:rsidRPr="00027624">
        <w:t>A 65</w:t>
      </w:r>
      <w:r w:rsidR="00A8443E" w:rsidRPr="00027624">
        <w:noBreakHyphen/>
      </w:r>
      <w:r w:rsidRPr="00027624">
        <w:t>75 per cent benchmark is broadly applicable to a wide group of retirees. However, renters require a higher replacement rate than home owners because they have higher housing costs.</w:t>
      </w:r>
      <w:r w:rsidRPr="00027624">
        <w:rPr>
          <w:sz w:val="24"/>
          <w:szCs w:val="24"/>
        </w:rPr>
        <w:t xml:space="preserve"> </w:t>
      </w:r>
      <w:r w:rsidRPr="00027624">
        <w:t>Lower</w:t>
      </w:r>
      <w:r w:rsidR="00A8443E" w:rsidRPr="00027624">
        <w:noBreakHyphen/>
      </w:r>
      <w:r w:rsidRPr="00027624">
        <w:t>income earners need</w:t>
      </w:r>
      <w:r w:rsidRPr="00027624">
        <w:rPr>
          <w:sz w:val="24"/>
          <w:szCs w:val="24"/>
        </w:rPr>
        <w:t xml:space="preserve"> </w:t>
      </w:r>
      <w:r w:rsidRPr="00027624">
        <w:t>high replacement rates to achieve a minimum standard of living in retirement</w:t>
      </w:r>
      <w:r w:rsidR="00BE51D1" w:rsidRPr="00027624">
        <w:t>,</w:t>
      </w:r>
      <w:r w:rsidRPr="00027624">
        <w:t xml:space="preserve"> and higher</w:t>
      </w:r>
      <w:r w:rsidR="00A8443E" w:rsidRPr="00027624">
        <w:noBreakHyphen/>
      </w:r>
      <w:r w:rsidRPr="00027624">
        <w:t>income earners have significant savings and can maintain their standard of living with lower replacement rates.</w:t>
      </w:r>
      <w:bookmarkStart w:id="94" w:name="_Ref38629260"/>
      <w:bookmarkEnd w:id="94"/>
    </w:p>
    <w:p w14:paraId="71A8A9EB" w14:textId="77777777" w:rsidR="0033541B" w:rsidRPr="00027624" w:rsidRDefault="0033541B" w:rsidP="003A119F">
      <w:pPr>
        <w:pStyle w:val="Heading4"/>
      </w:pPr>
      <w:r w:rsidRPr="00027624">
        <w:t>Rate of growth of spending in retirement</w:t>
      </w:r>
    </w:p>
    <w:p w14:paraId="6E8BA2DD" w14:textId="77777777" w:rsidR="0033541B" w:rsidRPr="00027624" w:rsidRDefault="0033541B" w:rsidP="00454F18">
      <w:r w:rsidRPr="00027624">
        <w:t>The rate of growth of spending in retirement will influence whether a retiree</w:t>
      </w:r>
      <w:r w:rsidR="00A8443E" w:rsidRPr="00027624">
        <w:t>’</w:t>
      </w:r>
      <w:r w:rsidRPr="00027624">
        <w:t>s income is adequate for all their retirement years. The evidence points to retirees</w:t>
      </w:r>
      <w:r w:rsidR="00A8443E" w:rsidRPr="00027624">
        <w:t>’</w:t>
      </w:r>
      <w:r w:rsidRPr="00027624">
        <w:t xml:space="preserve"> needs growing in line with prices. In projections undertaken for the review, the deflator for incomes in retirement is the CPI.</w:t>
      </w:r>
    </w:p>
    <w:p w14:paraId="7DF3FA48" w14:textId="77777777" w:rsidR="0033541B" w:rsidRPr="00027624" w:rsidRDefault="0033541B" w:rsidP="00454F18">
      <w:r w:rsidRPr="00027624">
        <w:t>The outcomes are significantly different if retirement incomes were deflated by wages. Basing replacement rates on wage</w:t>
      </w:r>
      <w:r w:rsidR="00A8443E" w:rsidRPr="00027624">
        <w:noBreakHyphen/>
      </w:r>
      <w:r w:rsidRPr="00027624">
        <w:t>linked spending would require a level of saving that would come at a significant cost to living standards in working life.</w:t>
      </w:r>
    </w:p>
    <w:p w14:paraId="13D5A20E" w14:textId="77777777" w:rsidR="0033541B" w:rsidRPr="00027624" w:rsidRDefault="0033541B" w:rsidP="003A119F">
      <w:pPr>
        <w:pStyle w:val="Heading4"/>
      </w:pPr>
      <w:r w:rsidRPr="00027624">
        <w:t>Outcomes for current retirees</w:t>
      </w:r>
    </w:p>
    <w:p w14:paraId="05B6BD58" w14:textId="77777777" w:rsidR="0033541B" w:rsidRPr="00027624" w:rsidRDefault="0033541B" w:rsidP="00454F18">
      <w:r w:rsidRPr="00027624">
        <w:t>The outcomes for current retirees are influenced by past policy settings, but they give an insight as to whether the system will achieve adequate outcomes.</w:t>
      </w:r>
    </w:p>
    <w:p w14:paraId="4E8A8CAB" w14:textId="77777777" w:rsidR="0033541B" w:rsidRPr="00027624" w:rsidRDefault="0033541B" w:rsidP="00454F18">
      <w:r w:rsidRPr="00027624">
        <w:lastRenderedPageBreak/>
        <w:t>For retirees aged 65</w:t>
      </w:r>
      <w:r w:rsidR="00A8443E" w:rsidRPr="00027624">
        <w:noBreakHyphen/>
      </w:r>
      <w:r w:rsidRPr="00027624">
        <w:t>74 in 2017</w:t>
      </w:r>
      <w:r w:rsidR="00A8443E" w:rsidRPr="00027624">
        <w:noBreakHyphen/>
      </w:r>
      <w:r w:rsidRPr="00027624">
        <w:t>18, the replacement rates for middle</w:t>
      </w:r>
      <w:r w:rsidR="00A8443E" w:rsidRPr="00027624">
        <w:noBreakHyphen/>
      </w:r>
      <w:r w:rsidRPr="00027624">
        <w:t xml:space="preserve"> to higher</w:t>
      </w:r>
      <w:r w:rsidR="00A8443E" w:rsidRPr="00027624">
        <w:noBreakHyphen/>
      </w:r>
      <w:r w:rsidRPr="00027624">
        <w:t>income earners are estimated to be generally adequate. For many lower</w:t>
      </w:r>
      <w:r w:rsidR="00A8443E" w:rsidRPr="00027624">
        <w:noBreakHyphen/>
      </w:r>
      <w:r w:rsidRPr="00027624">
        <w:t>income earners the replacement rate is estimated to be above 100 per cent.</w:t>
      </w:r>
    </w:p>
    <w:p w14:paraId="344362B3" w14:textId="77777777" w:rsidR="0033541B" w:rsidRPr="00027624" w:rsidRDefault="0033541B" w:rsidP="00454F18">
      <w:r w:rsidRPr="00027624">
        <w:t>Qualitative surveys of retirees</w:t>
      </w:r>
      <w:r w:rsidR="00A8443E" w:rsidRPr="00027624">
        <w:t>’</w:t>
      </w:r>
      <w:r w:rsidRPr="00027624">
        <w:t xml:space="preserve"> wellbeing also suggest that many are maintaining their working</w:t>
      </w:r>
      <w:r w:rsidR="00A8443E" w:rsidRPr="00027624">
        <w:noBreakHyphen/>
      </w:r>
      <w:r w:rsidRPr="00027624">
        <w:t>age living standards into retirement. The surveys suggest that current retirees:</w:t>
      </w:r>
    </w:p>
    <w:p w14:paraId="182E3A0E" w14:textId="77777777" w:rsidR="0033541B" w:rsidRPr="00027624" w:rsidRDefault="0033541B" w:rsidP="00454F18">
      <w:pPr>
        <w:pStyle w:val="Bullet"/>
      </w:pPr>
      <w:r w:rsidRPr="00027624">
        <w:t>Generally feel happier in retirement than in working life</w:t>
      </w:r>
    </w:p>
    <w:p w14:paraId="4075FA6F" w14:textId="77777777" w:rsidR="0033541B" w:rsidRPr="00027624" w:rsidRDefault="0033541B" w:rsidP="00454F18">
      <w:pPr>
        <w:pStyle w:val="Bullet"/>
      </w:pPr>
      <w:r w:rsidRPr="00027624">
        <w:t>Typically have the same level of satisfaction with their finances compared to just before retirement and are less financially stressed than employed people</w:t>
      </w:r>
    </w:p>
    <w:p w14:paraId="09155BE1" w14:textId="77777777" w:rsidR="0033541B" w:rsidRPr="00027624" w:rsidRDefault="0033541B" w:rsidP="00454F18">
      <w:pPr>
        <w:pStyle w:val="Bullet"/>
      </w:pPr>
      <w:r w:rsidRPr="00027624">
        <w:t>Are worse off financially in about 30 per cent of cases</w:t>
      </w:r>
      <w:r w:rsidR="00BE51D1" w:rsidRPr="00027624">
        <w:t>,</w:t>
      </w:r>
      <w:r w:rsidRPr="00027624">
        <w:t xml:space="preserve"> with involuntary retirement a major cause</w:t>
      </w:r>
    </w:p>
    <w:p w14:paraId="13727B44" w14:textId="77777777" w:rsidR="0033541B" w:rsidRPr="00027624" w:rsidRDefault="0033541B" w:rsidP="00477E82">
      <w:pPr>
        <w:pStyle w:val="Heading4"/>
      </w:pPr>
      <w:r w:rsidRPr="00027624">
        <w:t>Outcomes for future retirees</w:t>
      </w:r>
    </w:p>
    <w:p w14:paraId="29EF9FD8" w14:textId="77777777" w:rsidR="0033541B" w:rsidRPr="00027624" w:rsidRDefault="0033541B" w:rsidP="00454F18">
      <w:r w:rsidRPr="00027624">
        <w:t>Future replacement rates were estimated for people with typical working lives, including individuals overall, singles, couples and women. The assumptions underlying any modelling are important. The assumptions used for this review are outlined in detail in in the report. Substantial sensitivity analysis was undertaken to assess outcomes with different assumptions.</w:t>
      </w:r>
    </w:p>
    <w:p w14:paraId="68D3E786" w14:textId="77777777" w:rsidR="0033541B" w:rsidRPr="00027624" w:rsidRDefault="0033541B" w:rsidP="00454F18">
      <w:r w:rsidRPr="00027624">
        <w:t>The central case involved SG payments in line with planned legislated increases. The SG is 9.5 per cent to 2020</w:t>
      </w:r>
      <w:r w:rsidR="00A8443E" w:rsidRPr="00027624">
        <w:noBreakHyphen/>
      </w:r>
      <w:r w:rsidRPr="00027624">
        <w:t>21, increasing by half a percentage point every financial year until reaching 12 per cent in July 2025. Also estimated were the outcomes if the SG stayed at 9.5 per cent.</w:t>
      </w:r>
    </w:p>
    <w:p w14:paraId="2465F984" w14:textId="77777777" w:rsidR="0033541B" w:rsidRPr="00027624" w:rsidRDefault="0033541B" w:rsidP="00454F18">
      <w:r w:rsidRPr="00027624">
        <w:t>Future retirement outcomes were modelled on the basis that retirees use their superannuation assets to fund their living standards in retirement. Importantly, and in line with the policy intent of the retirement income system, it was assumed that retirees will run down their superannuation assets by age 92. It is also assumed that they will not leave bequests and will purchase a longevity product at retirement that provides them with income from age 92.</w:t>
      </w:r>
    </w:p>
    <w:p w14:paraId="7721FDC3" w14:textId="77777777" w:rsidR="0033541B" w:rsidRPr="00027624" w:rsidRDefault="0033541B" w:rsidP="00454F18">
      <w:r w:rsidRPr="00027624">
        <w:t>That people use all their superannuation in retirement is a critical assumption in assessing whether the system can deliver adequate retirement incomes. While this is a usual assumption for most modelling of replacement rates, it is not in line with the way retirees currently behave</w:t>
      </w:r>
      <w:r w:rsidRPr="00027624">
        <w:rPr>
          <w:b/>
        </w:rPr>
        <w:t>. Most retirees die with the bulk of their wealth intact. However, the assumption that retirees use their assets more effectively in retirement highlights the outcomes that the system can deliver</w:t>
      </w:r>
      <w:r w:rsidRPr="00027624">
        <w:rPr>
          <w:b/>
          <w:bCs/>
        </w:rPr>
        <w:t>.</w:t>
      </w:r>
      <w:r w:rsidRPr="00027624">
        <w:t xml:space="preserve"> One of the alternative assumptions modelled includes outcomes based on how retirees currently use their assets in retirement. Contrasting this outcome with the central case assumption helps to highlight the gains in retirement income that retirees can achieve through using their assets more effectively.</w:t>
      </w:r>
    </w:p>
    <w:p w14:paraId="6E11269C" w14:textId="77777777" w:rsidR="0033541B" w:rsidRPr="00027624" w:rsidRDefault="0033541B" w:rsidP="00454F18">
      <w:r w:rsidRPr="00027624">
        <w:t xml:space="preserve">Many people misunderstand the purpose of superannuation, believing that in retirement they should only draw on the return from the investment of their retirement savings and not touch the capital amount. </w:t>
      </w:r>
      <w:r w:rsidRPr="00027624">
        <w:rPr>
          <w:b/>
          <w:bCs/>
        </w:rPr>
        <w:t>Yet the system is designed on the basis that people should draw down their savings to support them in retirement.</w:t>
      </w:r>
    </w:p>
    <w:p w14:paraId="230329C8" w14:textId="1A0DEA60" w:rsidR="0033541B" w:rsidRPr="00027624" w:rsidRDefault="0033541B" w:rsidP="00454F18">
      <w:r w:rsidRPr="00027624">
        <w:t>The projected replacement rates vary across income levels but on the basis of the central case assumptions they exceed the 65</w:t>
      </w:r>
      <w:r w:rsidR="00A8443E" w:rsidRPr="00027624">
        <w:noBreakHyphen/>
      </w:r>
      <w:r w:rsidRPr="00027624">
        <w:t>75 per cent benchmark across the range of different household types that were modelled (</w:t>
      </w:r>
      <w:r w:rsidRPr="00027624">
        <w:fldChar w:fldCharType="begin"/>
      </w:r>
      <w:r w:rsidRPr="00027624">
        <w:instrText xml:space="preserve"> REF _Ref39263859 \r \h  \* MERGEFORMAT </w:instrText>
      </w:r>
      <w:r w:rsidRPr="00027624">
        <w:fldChar w:fldCharType="separate"/>
      </w:r>
      <w:r w:rsidR="00891058">
        <w:t>Chart 3</w:t>
      </w:r>
      <w:r w:rsidRPr="00027624">
        <w:fldChar w:fldCharType="end"/>
      </w:r>
      <w:r w:rsidRPr="00027624">
        <w:t>). On the whole, they exceed the benchmark</w:t>
      </w:r>
      <w:r w:rsidRPr="00027624">
        <w:rPr>
          <w:sz w:val="24"/>
          <w:szCs w:val="24"/>
        </w:rPr>
        <w:t xml:space="preserve"> </w:t>
      </w:r>
      <w:r w:rsidRPr="00027624">
        <w:t>replacement rate for people in the bottom 60 per cent of the income distribution.</w:t>
      </w:r>
    </w:p>
    <w:p w14:paraId="4B66A1EA" w14:textId="77777777" w:rsidR="0033541B" w:rsidRPr="00027624" w:rsidRDefault="0033541B" w:rsidP="00454F18">
      <w:r w:rsidRPr="00027624">
        <w:t xml:space="preserve">Such high replacement rates suggest that some people may be saving </w:t>
      </w:r>
      <w:r w:rsidR="00A8443E" w:rsidRPr="00027624">
        <w:t>‘</w:t>
      </w:r>
      <w:r w:rsidRPr="00027624">
        <w:t>too much</w:t>
      </w:r>
      <w:r w:rsidR="00A8443E" w:rsidRPr="00027624">
        <w:t>’</w:t>
      </w:r>
      <w:r w:rsidRPr="00027624">
        <w:t xml:space="preserve"> for their retirement. This is particularly important for lower</w:t>
      </w:r>
      <w:r w:rsidR="00A8443E" w:rsidRPr="00027624">
        <w:noBreakHyphen/>
      </w:r>
      <w:r w:rsidRPr="00027624">
        <w:t xml:space="preserve"> to middle</w:t>
      </w:r>
      <w:r w:rsidR="00A8443E" w:rsidRPr="00027624">
        <w:noBreakHyphen/>
      </w:r>
      <w:r w:rsidRPr="00027624">
        <w:t>income earners because most of their superannuation contributions are through the SG and they do not have the option of reducing their contributions.</w:t>
      </w:r>
    </w:p>
    <w:p w14:paraId="3B5E7A0E" w14:textId="77777777" w:rsidR="0033541B" w:rsidRPr="00027624" w:rsidRDefault="0033541B" w:rsidP="000D24F2">
      <w:pPr>
        <w:pStyle w:val="OverviewChart"/>
      </w:pPr>
      <w:bookmarkStart w:id="95" w:name="_Ref39263859"/>
      <w:bookmarkEnd w:id="95"/>
      <w:r w:rsidRPr="00027624">
        <w:rPr>
          <w:rFonts w:eastAsiaTheme="minorEastAsia"/>
        </w:rPr>
        <w:lastRenderedPageBreak/>
        <w:t>Projection of replacement rates</w:t>
      </w:r>
    </w:p>
    <w:p w14:paraId="327D4214" w14:textId="77777777" w:rsidR="0033541B" w:rsidRPr="00027624" w:rsidRDefault="00652A9A" w:rsidP="004008D7">
      <w:pPr>
        <w:pStyle w:val="ChartGraphic"/>
      </w:pPr>
      <w:r>
        <w:rPr>
          <w:noProof/>
        </w:rPr>
        <w:drawing>
          <wp:inline distT="0" distB="0" distL="0" distR="0" wp14:anchorId="62AA8FC2" wp14:editId="4459E6E2">
            <wp:extent cx="5577840" cy="2712720"/>
            <wp:effectExtent l="0" t="0" r="3810" b="0"/>
            <wp:docPr id="111" name="Picture 111" descr="This chart shows that people with incomes in the 60th percentile and below are projected to have replacement rates that exceed the 65-75 per cent benchmark. It shows that the 70th to 95th percentiles have replacement rates within the benchmark. The 99th percentile has replacement rates above the benchmark." title="Chart 3 Projection of replacemen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7840" cy="2712720"/>
                    </a:xfrm>
                    <a:prstGeom prst="rect">
                      <a:avLst/>
                    </a:prstGeom>
                    <a:noFill/>
                  </pic:spPr>
                </pic:pic>
              </a:graphicData>
            </a:graphic>
          </wp:inline>
        </w:drawing>
      </w:r>
    </w:p>
    <w:p w14:paraId="0A5CCEB0" w14:textId="77777777" w:rsidR="0033541B" w:rsidRPr="00027624" w:rsidRDefault="0033541B" w:rsidP="00454F18">
      <w:pPr>
        <w:pStyle w:val="ChartorTableNote"/>
        <w:rPr>
          <w:iCs/>
          <w:noProof/>
          <w:sz w:val="20"/>
        </w:rPr>
      </w:pPr>
      <w:r w:rsidRPr="00027624">
        <w:rPr>
          <w:noProof/>
        </w:rPr>
        <w:t>Note: Minimum standard is the maximum rate of Age Pension. Replacement rates are projected for individuals commencing work in 2020 and retiring in 2060.</w:t>
      </w:r>
      <w:r w:rsidRPr="00027624">
        <w:t xml:space="preserve"> Source: Cameo modelling undertaken for the review.</w:t>
      </w:r>
    </w:p>
    <w:p w14:paraId="2571EC1D" w14:textId="77777777" w:rsidR="0033541B" w:rsidRPr="00027624" w:rsidRDefault="0033541B" w:rsidP="00454F18">
      <w:r w:rsidRPr="00027624">
        <w:t>When tested under different assumptions</w:t>
      </w:r>
      <w:r w:rsidR="00BE51D1" w:rsidRPr="00027624">
        <w:t xml:space="preserve"> —</w:t>
      </w:r>
      <w:r w:rsidR="00A8443E" w:rsidRPr="00027624">
        <w:t xml:space="preserve"> </w:t>
      </w:r>
      <w:r w:rsidRPr="00027624">
        <w:t>such as shorter working life, lower wages and lower investment returns</w:t>
      </w:r>
      <w:r w:rsidR="00A8443E" w:rsidRPr="00027624">
        <w:t xml:space="preserve"> — </w:t>
      </w:r>
      <w:r w:rsidRPr="00027624">
        <w:t>replacement rates are within or above the</w:t>
      </w:r>
      <w:r w:rsidRPr="00027624">
        <w:rPr>
          <w:sz w:val="24"/>
          <w:szCs w:val="24"/>
        </w:rPr>
        <w:t xml:space="preserve"> </w:t>
      </w:r>
      <w:r w:rsidRPr="00027624">
        <w:t>65</w:t>
      </w:r>
      <w:r w:rsidR="00A8443E" w:rsidRPr="00027624">
        <w:noBreakHyphen/>
      </w:r>
      <w:r w:rsidRPr="00027624">
        <w:t>75</w:t>
      </w:r>
      <w:r w:rsidRPr="00027624">
        <w:rPr>
          <w:sz w:val="24"/>
          <w:szCs w:val="24"/>
        </w:rPr>
        <w:t> </w:t>
      </w:r>
      <w:r w:rsidRPr="00027624">
        <w:t>per cent range for most income levels. A major reason that incomes remain adequate under different assumptions is the Age Pension offsetting any resulting reduction in retirement income for middle</w:t>
      </w:r>
      <w:r w:rsidR="00A8443E" w:rsidRPr="00027624">
        <w:noBreakHyphen/>
      </w:r>
      <w:r w:rsidRPr="00027624">
        <w:t>income earners.</w:t>
      </w:r>
    </w:p>
    <w:p w14:paraId="1E7BD487" w14:textId="77777777" w:rsidR="0033541B" w:rsidRPr="00027624" w:rsidRDefault="0033541B" w:rsidP="00454F18">
      <w:r w:rsidRPr="00027624">
        <w:t>Sensitivity</w:t>
      </w:r>
      <w:r w:rsidRPr="00027624" w:rsidDel="00A9581C">
        <w:t xml:space="preserve"> </w:t>
      </w:r>
      <w:r w:rsidRPr="00027624">
        <w:t>testing identified some cases where median</w:t>
      </w:r>
      <w:r w:rsidR="00A8443E" w:rsidRPr="00027624">
        <w:noBreakHyphen/>
      </w:r>
      <w:r w:rsidRPr="00027624">
        <w:t xml:space="preserve"> or average</w:t>
      </w:r>
      <w:r w:rsidR="00A8443E" w:rsidRPr="00027624">
        <w:noBreakHyphen/>
      </w:r>
      <w:r w:rsidRPr="00027624">
        <w:t>income earners will not achieve the benchmark replacement rate. These</w:t>
      </w:r>
      <w:r w:rsidRPr="00027624" w:rsidDel="00E83742">
        <w:t xml:space="preserve"> </w:t>
      </w:r>
      <w:r w:rsidRPr="00027624">
        <w:t>include people with working lives less than 30 years and retiring at age 60.</w:t>
      </w:r>
    </w:p>
    <w:p w14:paraId="0F94F72B" w14:textId="77777777" w:rsidR="0033541B" w:rsidRPr="00027624" w:rsidRDefault="0033541B" w:rsidP="00454F18">
      <w:r w:rsidRPr="00027624">
        <w:t>Changes in financial markets, such as the decline in equity values in response to the COVID</w:t>
      </w:r>
      <w:r w:rsidR="00A8443E" w:rsidRPr="00027624">
        <w:noBreakHyphen/>
      </w:r>
      <w:r w:rsidRPr="00027624">
        <w:t>19 Pandemic, can impact retirement outcomes. But in a market downturn, the returns achie</w:t>
      </w:r>
      <w:r w:rsidR="00FD473F" w:rsidRPr="00027624">
        <w:t xml:space="preserve">ved by superannuation funds tend to be </w:t>
      </w:r>
      <w:r w:rsidRPr="00027624">
        <w:t>less volatile than market values because the funds have diversified portfolios. For retirees, the Age Pension is also a significant buffer to investment earnings volatility. A decline in the value of assets and income from investments can be offset to some extent if it results in increasing a person</w:t>
      </w:r>
      <w:r w:rsidR="00A8443E" w:rsidRPr="00027624">
        <w:t>’</w:t>
      </w:r>
      <w:r w:rsidRPr="00027624">
        <w:t>s eligibility for Age Pension payments under the means test. And history shows that in the long run, the investment of superannuation savings has resulted in solid returns.</w:t>
      </w:r>
    </w:p>
    <w:p w14:paraId="60DAE1F8" w14:textId="77777777" w:rsidR="0033541B" w:rsidRPr="00027624" w:rsidRDefault="0033541B" w:rsidP="00454F18">
      <w:r w:rsidRPr="00027624">
        <w:rPr>
          <w:b/>
        </w:rPr>
        <w:t>If people do not use their retirement savings efficiently, many will not be able to maintain their living standards in retirement even with higher SG contributions.</w:t>
      </w:r>
      <w:r w:rsidRPr="00027624">
        <w:t xml:space="preserve"> For example, if people draw down their superannuation balances at the legislated minimum rate, as many do, those in the top half of the income distribution will not achieve a 65</w:t>
      </w:r>
      <w:r w:rsidR="00A8443E" w:rsidRPr="00027624">
        <w:noBreakHyphen/>
      </w:r>
      <w:r w:rsidRPr="00027624">
        <w:t>75 per cent replacement rate, even with the SG rate going to 12 per cent.</w:t>
      </w:r>
    </w:p>
    <w:p w14:paraId="481BCD85" w14:textId="77777777" w:rsidR="0033541B" w:rsidRPr="00027624" w:rsidRDefault="0033541B" w:rsidP="00477E82">
      <w:pPr>
        <w:pStyle w:val="Heading3"/>
      </w:pPr>
      <w:r w:rsidRPr="00027624">
        <w:t>Maintaining the SG rate</w:t>
      </w:r>
    </w:p>
    <w:p w14:paraId="6DA84CC4" w14:textId="77777777" w:rsidR="0033541B" w:rsidRPr="00027624" w:rsidRDefault="0033541B" w:rsidP="00454F18">
      <w:r w:rsidRPr="00027624">
        <w:t>A number of submissions called for the SG rate to be maintained at 9.5 per cent. Towards improving understanding of the impact of the legislated increase in the SG rate to 12 per cent, the review considered the implications of maintaining the SG rate at 9.5 per cent.</w:t>
      </w:r>
    </w:p>
    <w:p w14:paraId="6C95F928" w14:textId="77777777" w:rsidR="0033541B" w:rsidRPr="00027624" w:rsidRDefault="0033541B" w:rsidP="00454F18">
      <w:r w:rsidRPr="00027624">
        <w:t>Projections suggest that maintaining the SG rate at 9.5 per cent would:</w:t>
      </w:r>
    </w:p>
    <w:p w14:paraId="50845A68" w14:textId="77777777" w:rsidR="0033541B" w:rsidRPr="00027624" w:rsidRDefault="0033541B" w:rsidP="00454F18">
      <w:pPr>
        <w:pStyle w:val="Bullet"/>
      </w:pPr>
      <w:r w:rsidRPr="00027624">
        <w:t>Lead to lower superannuation balances at all income levels than when the SG rate goes to 12 per cent.</w:t>
      </w:r>
    </w:p>
    <w:p w14:paraId="008D30C3" w14:textId="77777777" w:rsidR="0033541B" w:rsidRPr="00027624" w:rsidRDefault="0033541B" w:rsidP="00454F18">
      <w:pPr>
        <w:pStyle w:val="Bullet"/>
      </w:pPr>
      <w:r w:rsidRPr="00027624">
        <w:lastRenderedPageBreak/>
        <w:t>Result in lower</w:t>
      </w:r>
      <w:r w:rsidR="00A8443E" w:rsidRPr="00027624">
        <w:noBreakHyphen/>
      </w:r>
      <w:r w:rsidRPr="00027624">
        <w:t xml:space="preserve"> and middle</w:t>
      </w:r>
      <w:r w:rsidR="00A8443E" w:rsidRPr="00027624">
        <w:noBreakHyphen/>
      </w:r>
      <w:r w:rsidRPr="00027624">
        <w:t>income earners having replacement rates within or above the 65</w:t>
      </w:r>
      <w:r w:rsidR="00A8443E" w:rsidRPr="00027624">
        <w:noBreakHyphen/>
      </w:r>
      <w:r w:rsidRPr="00027624">
        <w:t>75 per cent benchmark</w:t>
      </w:r>
      <w:r w:rsidRPr="00027624" w:rsidDel="00C8687A">
        <w:t xml:space="preserve"> </w:t>
      </w:r>
      <w:r w:rsidRPr="00027624">
        <w:t>if they efficiently drew down their retirement savings (Chart 4). The replacement rates for some higher</w:t>
      </w:r>
      <w:r w:rsidR="00A8443E" w:rsidRPr="00027624">
        <w:noBreakHyphen/>
      </w:r>
      <w:r w:rsidRPr="00027624">
        <w:t>income groups are close to the benchmark.</w:t>
      </w:r>
    </w:p>
    <w:p w14:paraId="4394484F" w14:textId="77777777" w:rsidR="0033541B" w:rsidRPr="00027624" w:rsidRDefault="0033541B" w:rsidP="000D24F2">
      <w:pPr>
        <w:pStyle w:val="OverviewChart"/>
      </w:pPr>
      <w:bookmarkStart w:id="96" w:name="_Ref40363632"/>
      <w:bookmarkStart w:id="97" w:name="_Ref44594693"/>
      <w:r w:rsidRPr="00027624">
        <w:t>Replacement rates by SG</w:t>
      </w:r>
      <w:bookmarkEnd w:id="96"/>
      <w:r w:rsidRPr="00027624">
        <w:t xml:space="preserve"> rate</w:t>
      </w:r>
      <w:bookmarkEnd w:id="97"/>
      <w:r w:rsidRPr="00027624">
        <w:t xml:space="preserve"> and household type</w:t>
      </w:r>
    </w:p>
    <w:tbl>
      <w:tblPr>
        <w:tblW w:w="5000" w:type="pct"/>
        <w:tblLook w:val="01E0" w:firstRow="1" w:lastRow="1" w:firstColumn="1" w:lastColumn="1" w:noHBand="0" w:noVBand="0"/>
      </w:tblPr>
      <w:tblGrid>
        <w:gridCol w:w="4535"/>
        <w:gridCol w:w="4535"/>
      </w:tblGrid>
      <w:tr w:rsidR="0033541B" w:rsidRPr="00027624" w14:paraId="04157743" w14:textId="77777777" w:rsidTr="00454F18">
        <w:trPr>
          <w:tblHeader/>
        </w:trPr>
        <w:tc>
          <w:tcPr>
            <w:tcW w:w="2500" w:type="pct"/>
            <w:shd w:val="clear" w:color="auto" w:fill="auto"/>
          </w:tcPr>
          <w:p w14:paraId="2AA6E3A1" w14:textId="77777777" w:rsidR="0033541B" w:rsidRPr="00027624" w:rsidRDefault="0033541B" w:rsidP="00454F18">
            <w:pPr>
              <w:pStyle w:val="ChartSecondHeading"/>
            </w:pPr>
            <w:r w:rsidRPr="00027624">
              <w:br w:type="page"/>
              <w:t>Individuals</w:t>
            </w:r>
          </w:p>
        </w:tc>
        <w:tc>
          <w:tcPr>
            <w:tcW w:w="2500" w:type="pct"/>
            <w:shd w:val="clear" w:color="auto" w:fill="auto"/>
          </w:tcPr>
          <w:p w14:paraId="5F777020" w14:textId="77777777" w:rsidR="0033541B" w:rsidRPr="00027624" w:rsidRDefault="0033541B" w:rsidP="00454F18">
            <w:pPr>
              <w:pStyle w:val="ChartSecondHeading"/>
            </w:pPr>
            <w:r w:rsidRPr="00027624">
              <w:t>Couples</w:t>
            </w:r>
          </w:p>
        </w:tc>
      </w:tr>
    </w:tbl>
    <w:p w14:paraId="468CED94" w14:textId="77777777" w:rsidR="0033541B" w:rsidRPr="00027624" w:rsidRDefault="00652A9A" w:rsidP="004008D7">
      <w:pPr>
        <w:pStyle w:val="ChartGraphic"/>
      </w:pPr>
      <w:r>
        <w:rPr>
          <w:noProof/>
        </w:rPr>
        <w:drawing>
          <wp:inline distT="0" distB="0" distL="0" distR="0" wp14:anchorId="47FB4B09" wp14:editId="0E7A776F">
            <wp:extent cx="2735580" cy="2979420"/>
            <wp:effectExtent l="0" t="0" r="7620" b="0"/>
            <wp:docPr id="118" name="Picture 118" descr="These charts show that replacement rates are lower under a 9.5 per cent SG rate compared to a 12 per cent SG rate at all income levels, for both individuals and couples. Individuals in the 80th and 90th income percentiles fall below the 65-75 per cent replacement rate benchmark. Couples in the 80th percentile also fall just below the replacement rate benchmark. All other income earners either remain above or within the replacement rate benchmark range. " title="Chart 4 Replacement rates delivered under 12 per cent and 9.5 per cent 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5580" cy="2979420"/>
                    </a:xfrm>
                    <a:prstGeom prst="rect">
                      <a:avLst/>
                    </a:prstGeom>
                    <a:noFill/>
                  </pic:spPr>
                </pic:pic>
              </a:graphicData>
            </a:graphic>
          </wp:inline>
        </w:drawing>
      </w:r>
      <w:r>
        <w:rPr>
          <w:noProof/>
        </w:rPr>
        <w:drawing>
          <wp:inline distT="0" distB="0" distL="0" distR="0" wp14:anchorId="0B4484AA" wp14:editId="5EA22F18">
            <wp:extent cx="2880360" cy="29794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0360" cy="2979420"/>
                    </a:xfrm>
                    <a:prstGeom prst="rect">
                      <a:avLst/>
                    </a:prstGeom>
                    <a:noFill/>
                  </pic:spPr>
                </pic:pic>
              </a:graphicData>
            </a:graphic>
          </wp:inline>
        </w:drawing>
      </w:r>
    </w:p>
    <w:p w14:paraId="27830F00" w14:textId="77777777" w:rsidR="0033541B" w:rsidRPr="00027624" w:rsidRDefault="0033541B" w:rsidP="00454F18">
      <w:pPr>
        <w:pStyle w:val="ChartorTableNote"/>
      </w:pPr>
      <w:r w:rsidRPr="00027624">
        <w:t>Note: Deflated using review</w:t>
      </w:r>
      <w:r w:rsidR="00A8443E" w:rsidRPr="00027624">
        <w:t>’</w:t>
      </w:r>
      <w:r w:rsidRPr="00027624">
        <w:t xml:space="preserve">s mixed deflator. </w:t>
      </w:r>
      <w:r w:rsidRPr="00027624">
        <w:rPr>
          <w:rFonts w:eastAsia="Calibri"/>
        </w:rPr>
        <w:t>Source: Cameo modelling undertaken for the review.</w:t>
      </w:r>
    </w:p>
    <w:p w14:paraId="69E32A5F" w14:textId="77777777" w:rsidR="0033541B" w:rsidRPr="00027624" w:rsidRDefault="0033541B" w:rsidP="00454F18">
      <w:pPr>
        <w:pStyle w:val="Bullet"/>
      </w:pPr>
      <w:r w:rsidRPr="00027624">
        <w:t>Allow people to have higher incomes during their working life while still being able to maintain their living standards in retirement, if they used their retirement savings more efficiently. Incomes during working life are estimated to be 2 per cent higher in the longer run.</w:t>
      </w:r>
    </w:p>
    <w:p w14:paraId="4ADD6144" w14:textId="77777777" w:rsidR="0033541B" w:rsidRPr="00027624" w:rsidRDefault="0033541B" w:rsidP="00454F18">
      <w:pPr>
        <w:pStyle w:val="Bullet"/>
      </w:pPr>
      <w:r w:rsidRPr="00027624">
        <w:t>Demonstrate the importance of efficient use of savings in retirement.</w:t>
      </w:r>
      <w:r w:rsidRPr="00027624" w:rsidDel="00C8687A">
        <w:t xml:space="preserve"> </w:t>
      </w:r>
      <w:r w:rsidRPr="00027624">
        <w:rPr>
          <w:b/>
          <w:bCs/>
        </w:rPr>
        <w:t>If the SG rate remained at 9.5 per cent and people made more efficient use of their retirement savings, many would have higher replacement rates than they would have with the SG at 12 per cent and drawing down their balances at the legislated minimum rate</w:t>
      </w:r>
      <w:r w:rsidRPr="00027624">
        <w:t xml:space="preserve"> </w:t>
      </w:r>
      <w:r w:rsidRPr="00027624">
        <w:rPr>
          <w:bCs/>
        </w:rPr>
        <w:t>(Chart 5).</w:t>
      </w:r>
    </w:p>
    <w:p w14:paraId="29E956FB" w14:textId="77777777" w:rsidR="0033541B" w:rsidRPr="00027624" w:rsidRDefault="0033541B" w:rsidP="000D24F2">
      <w:pPr>
        <w:pStyle w:val="OverviewChart"/>
      </w:pPr>
      <w:bookmarkStart w:id="98" w:name="_Ref42687564"/>
      <w:bookmarkStart w:id="99" w:name="_Ref43976314"/>
      <w:r w:rsidRPr="00027624">
        <w:t>Projected replacement rates by SG rate and drawdown</w:t>
      </w:r>
      <w:bookmarkEnd w:id="98"/>
      <w:r w:rsidRPr="00027624">
        <w:t xml:space="preserve"> strategy</w:t>
      </w:r>
      <w:bookmarkEnd w:id="99"/>
    </w:p>
    <w:p w14:paraId="77BA9686" w14:textId="77777777" w:rsidR="004008D7" w:rsidRPr="00027624" w:rsidRDefault="00A014AB" w:rsidP="004008D7">
      <w:pPr>
        <w:pStyle w:val="ChartGraphic"/>
      </w:pPr>
      <w:r>
        <w:rPr>
          <w:noProof/>
        </w:rPr>
        <w:drawing>
          <wp:inline distT="0" distB="0" distL="0" distR="0" wp14:anchorId="0EF5948C" wp14:editId="7E5076C1">
            <wp:extent cx="5615940" cy="2522220"/>
            <wp:effectExtent l="0" t="0" r="3810" b="0"/>
            <wp:docPr id="120" name="Picture 120" descr="This chart shows replacement rates with an efficient drawdown strategy at a 9.5 per cent SG rate, compared to drawing down superannuation at minimum legislated rates with either a 12 per cent or a 9.5 per cent SG rate. Replacement rates fail to meet the 65-75 per cent benchmark range for individuals above the 50th income percentile with both a 9.5 per cent and 12 per cent SG rate when superannuation is drawn down at minimum rates. Individuals up to the 80th income percentile meet or exceed the benchmark replacement rate with a 9.5 per cent SG rate if superannuation is drawn down efficiently in retirement." title="Chart 5 Replacement rates delivered by 12 per cent SG and minimum drawdown strategy compared to 9.5 per cent SG and efficient draw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5940" cy="2522220"/>
                    </a:xfrm>
                    <a:prstGeom prst="rect">
                      <a:avLst/>
                    </a:prstGeom>
                    <a:noFill/>
                  </pic:spPr>
                </pic:pic>
              </a:graphicData>
            </a:graphic>
          </wp:inline>
        </w:drawing>
      </w:r>
    </w:p>
    <w:p w14:paraId="4C2D8D7D" w14:textId="77777777" w:rsidR="0033541B" w:rsidRPr="00027624" w:rsidRDefault="0033541B" w:rsidP="004008D7">
      <w:pPr>
        <w:pStyle w:val="ChartorTableNote"/>
      </w:pPr>
      <w:r w:rsidRPr="00027624">
        <w:t>Note: Minimum drawdown based on legislated minimum rates by age. Minimum drawdown rate scenarios do not include people purchasing a longevity product. Efficient drawdown based on review strategy where superannuation assets are fully consumed by age 92 and a longevity product. Source: Cameo modelling undertaken for the review.</w:t>
      </w:r>
    </w:p>
    <w:p w14:paraId="0A99C32A" w14:textId="77777777" w:rsidR="0033541B" w:rsidRPr="00027624" w:rsidRDefault="0033541B" w:rsidP="00454F18">
      <w:pPr>
        <w:pStyle w:val="Bullet"/>
      </w:pPr>
      <w:r w:rsidRPr="00027624">
        <w:lastRenderedPageBreak/>
        <w:t>Avoid the increase in inequities associated with an increase in the SG. For example, an increase in the SG benefits men more than women.</w:t>
      </w:r>
    </w:p>
    <w:p w14:paraId="47E0D210" w14:textId="77777777" w:rsidR="0033541B" w:rsidRPr="00027624" w:rsidRDefault="0033541B" w:rsidP="00454F18">
      <w:pPr>
        <w:pStyle w:val="Bullet"/>
      </w:pPr>
      <w:r w:rsidRPr="00027624">
        <w:t>Result in a net increase in tax revenue, rising to around $3 billion per year by 2030. Higher tax receipts from the reduction in superannuation tax concessions would exceed increased Age Pension expenditure until the late 2050s.</w:t>
      </w:r>
    </w:p>
    <w:p w14:paraId="16E7854F" w14:textId="77777777" w:rsidR="0033541B" w:rsidRPr="00027624" w:rsidRDefault="0033541B" w:rsidP="003A119F">
      <w:pPr>
        <w:pStyle w:val="Heading4"/>
      </w:pPr>
      <w:r w:rsidRPr="00027624">
        <w:t>Options to boost retirement outcomes</w:t>
      </w:r>
    </w:p>
    <w:p w14:paraId="4AF1E4D7" w14:textId="77777777" w:rsidR="0033541B" w:rsidRPr="00027624" w:rsidRDefault="0033541B" w:rsidP="00454F18">
      <w:r w:rsidRPr="00027624">
        <w:t>Much of the focus on the retirement income system is currently on the superannuation balances people may need in retirement. Often, the final balance is not spoken of in income terms, and the interaction with the Age Pension in supplementing the retirement income of lower</w:t>
      </w:r>
      <w:r w:rsidR="00A8443E" w:rsidRPr="00027624">
        <w:noBreakHyphen/>
      </w:r>
      <w:r w:rsidRPr="00027624">
        <w:t xml:space="preserve"> and middle</w:t>
      </w:r>
      <w:r w:rsidR="00A8443E" w:rsidRPr="00027624">
        <w:noBreakHyphen/>
      </w:r>
      <w:r w:rsidRPr="00027624">
        <w:t>income earners is ignored. An area where there is insufficient attention is how the use of a retiree</w:t>
      </w:r>
      <w:r w:rsidR="00A8443E" w:rsidRPr="00027624">
        <w:t>’</w:t>
      </w:r>
      <w:r w:rsidRPr="00027624">
        <w:t>s assets can significantly influence retirement outcomes.</w:t>
      </w:r>
    </w:p>
    <w:p w14:paraId="3CE4EE56" w14:textId="77777777" w:rsidR="0033541B" w:rsidRPr="00027624" w:rsidRDefault="0033541B" w:rsidP="00454F18">
      <w:r w:rsidRPr="00027624">
        <w:t>In addition to increasing superannuation contributions or other savings, people have a number of options to boost their retirement income, including:</w:t>
      </w:r>
    </w:p>
    <w:p w14:paraId="3598381A" w14:textId="77777777" w:rsidR="0033541B" w:rsidRPr="00027624" w:rsidRDefault="0033541B" w:rsidP="00454F18">
      <w:pPr>
        <w:pStyle w:val="Bullet"/>
      </w:pPr>
      <w:r w:rsidRPr="00027624">
        <w:rPr>
          <w:b/>
          <w:bCs/>
        </w:rPr>
        <w:t>More effectively drawing on superannuation assets.</w:t>
      </w:r>
      <w:r w:rsidRPr="00027624">
        <w:t xml:space="preserve"> If drawdown rates increase </w:t>
      </w:r>
      <w:r w:rsidR="0066270F" w:rsidRPr="00027624">
        <w:t xml:space="preserve">from currently observed rates </w:t>
      </w:r>
      <w:r w:rsidRPr="00027624">
        <w:t>to those assumed in the central case in the modelling for the review, replacement rates could rise by 11 percentage points for the median</w:t>
      </w:r>
      <w:r w:rsidR="00BE51D1" w:rsidRPr="00027624">
        <w:t>-</w:t>
      </w:r>
      <w:r w:rsidRPr="00027624">
        <w:t>income earner retiring in 2060. In addition, all income levels would achieve replacement rates within or above 65</w:t>
      </w:r>
      <w:r w:rsidR="00A8443E" w:rsidRPr="00027624">
        <w:noBreakHyphen/>
      </w:r>
      <w:r w:rsidRPr="00027624">
        <w:t>75 per cent.</w:t>
      </w:r>
    </w:p>
    <w:p w14:paraId="2BAD15A3" w14:textId="77777777" w:rsidR="0033541B" w:rsidRPr="00027624" w:rsidRDefault="0033541B" w:rsidP="00454F18">
      <w:pPr>
        <w:pStyle w:val="Bullet"/>
        <w:rPr>
          <w:rFonts w:asciiTheme="minorHAnsi" w:eastAsiaTheme="minorEastAsia" w:hAnsiTheme="minorHAnsi" w:cstheme="minorBidi"/>
        </w:rPr>
      </w:pPr>
      <w:r w:rsidRPr="00027624">
        <w:rPr>
          <w:b/>
          <w:bCs/>
        </w:rPr>
        <w:t>Achieving better</w:t>
      </w:r>
      <w:r w:rsidR="00A8443E" w:rsidRPr="00027624">
        <w:rPr>
          <w:b/>
          <w:bCs/>
        </w:rPr>
        <w:noBreakHyphen/>
      </w:r>
      <w:r w:rsidRPr="00027624">
        <w:rPr>
          <w:b/>
          <w:bCs/>
        </w:rPr>
        <w:t>after</w:t>
      </w:r>
      <w:r w:rsidR="00A8443E" w:rsidRPr="00027624">
        <w:rPr>
          <w:b/>
          <w:bCs/>
        </w:rPr>
        <w:noBreakHyphen/>
      </w:r>
      <w:r w:rsidRPr="00027624">
        <w:rPr>
          <w:b/>
          <w:bCs/>
        </w:rPr>
        <w:t>fee returns,</w:t>
      </w:r>
      <w:r w:rsidRPr="00027624">
        <w:t xml:space="preserve"> in particular implementing the recommendations in the Productivity Commission</w:t>
      </w:r>
      <w:r w:rsidR="00A8443E" w:rsidRPr="00027624">
        <w:t>’</w:t>
      </w:r>
      <w:r w:rsidRPr="00027624">
        <w:t xml:space="preserve">s report, </w:t>
      </w:r>
      <w:r w:rsidRPr="00027624">
        <w:rPr>
          <w:i/>
          <w:iCs/>
        </w:rPr>
        <w:t>Superannuation: Assessing Efficiency and Competitiveness</w:t>
      </w:r>
      <w:r w:rsidRPr="00027624">
        <w:t>, would reduce fees and improve market returns for many people, resulting in higher retirement outcomes.</w:t>
      </w:r>
    </w:p>
    <w:p w14:paraId="2A23E00A" w14:textId="77777777" w:rsidR="0033541B" w:rsidRPr="00027624" w:rsidRDefault="0033541B" w:rsidP="00454F18">
      <w:pPr>
        <w:pStyle w:val="Bullet"/>
        <w:rPr>
          <w:rFonts w:eastAsiaTheme="minorEastAsia"/>
        </w:rPr>
      </w:pPr>
      <w:r w:rsidRPr="00027624">
        <w:rPr>
          <w:b/>
          <w:bCs/>
        </w:rPr>
        <w:t>Accessing the equity in the home.</w:t>
      </w:r>
      <w:r w:rsidRPr="00027624">
        <w:t xml:space="preserve"> Using relatively small portions of home equity through the Pension Loans Scheme </w:t>
      </w:r>
      <w:r w:rsidRPr="00027624">
        <w:rPr>
          <w:rFonts w:eastAsia="Calibri" w:cs="Calibri"/>
        </w:rPr>
        <w:t>or similar equity release products</w:t>
      </w:r>
      <w:r w:rsidRPr="00027624">
        <w:t xml:space="preserve"> can substantially improve retirement incomes for many people.</w:t>
      </w:r>
    </w:p>
    <w:p w14:paraId="3D56A099" w14:textId="77777777" w:rsidR="0033541B" w:rsidRPr="00027624" w:rsidRDefault="0033541B" w:rsidP="003A119F">
      <w:pPr>
        <w:pStyle w:val="Heading2"/>
      </w:pPr>
      <w:bookmarkStart w:id="100" w:name="_Toc46133528"/>
      <w:r w:rsidRPr="00027624">
        <w:t>Equity</w:t>
      </w:r>
      <w:bookmarkEnd w:id="100"/>
    </w:p>
    <w:p w14:paraId="3F5BD391" w14:textId="77777777" w:rsidR="0033541B" w:rsidRPr="00027624" w:rsidRDefault="0033541B" w:rsidP="00454F18">
      <w:r w:rsidRPr="00027624">
        <w:t>The performance of the retirement income system was assessed against the two suggested aspects of equity:</w:t>
      </w:r>
    </w:p>
    <w:p w14:paraId="40D02E2E" w14:textId="77777777" w:rsidR="0033541B" w:rsidRPr="00027624" w:rsidRDefault="0033541B" w:rsidP="00FC7361">
      <w:pPr>
        <w:pStyle w:val="OutlineNumbered1"/>
        <w:numPr>
          <w:ilvl w:val="0"/>
          <w:numId w:val="99"/>
        </w:numPr>
      </w:pPr>
      <w:r w:rsidRPr="00027624">
        <w:t>The system should target Government support to those in need</w:t>
      </w:r>
    </w:p>
    <w:p w14:paraId="0D885FA6" w14:textId="77777777" w:rsidR="0033541B" w:rsidRPr="00027624" w:rsidRDefault="0033541B" w:rsidP="00384583">
      <w:pPr>
        <w:pStyle w:val="OutlineNumbered1"/>
      </w:pPr>
      <w:r w:rsidRPr="00027624">
        <w:t>The system should provide similar outcomes for people in similar circumstances</w:t>
      </w:r>
    </w:p>
    <w:p w14:paraId="43CA1AFA" w14:textId="77777777" w:rsidR="0033541B" w:rsidRPr="00027624" w:rsidRDefault="0033541B" w:rsidP="00454F18">
      <w:r w:rsidRPr="00027624">
        <w:t>The review also considered retirement outcomes for many of the groups identified in submissions as being inequitable. These included women, people who retire involuntarily, those excluded from the SG, renters, people with different income and wealth, those with disabilities, and Aboriginal and Torres Strait Islander people. Intergenerational equity was also considered.</w:t>
      </w:r>
    </w:p>
    <w:p w14:paraId="3B79C116" w14:textId="77777777" w:rsidR="0033541B" w:rsidRPr="00027624" w:rsidRDefault="0033541B" w:rsidP="003A119F">
      <w:pPr>
        <w:pStyle w:val="Heading3"/>
      </w:pPr>
      <w:r w:rsidRPr="00027624">
        <w:t>Retirement income system or working</w:t>
      </w:r>
      <w:r w:rsidR="00A8443E" w:rsidRPr="00027624">
        <w:noBreakHyphen/>
      </w:r>
      <w:r w:rsidRPr="00027624">
        <w:t>life inequities?</w:t>
      </w:r>
    </w:p>
    <w:p w14:paraId="48F141C8" w14:textId="77777777" w:rsidR="0033541B" w:rsidRPr="00027624" w:rsidRDefault="0033541B" w:rsidP="00454F18">
      <w:r w:rsidRPr="00027624">
        <w:t>When considering groups of people with low (or lower) retirement incomes compared with others, consideration should be given to whether the retirement income system is exacerbating or compensating for inequities these people experience in their working lives.</w:t>
      </w:r>
    </w:p>
    <w:p w14:paraId="6A7578DC" w14:textId="77777777" w:rsidR="0033541B" w:rsidRPr="00027624" w:rsidRDefault="0033541B" w:rsidP="00454F18">
      <w:r w:rsidRPr="00027624">
        <w:t>A summary of the retirement outcomes of various groups of people follows. The overall assessment is that</w:t>
      </w:r>
      <w:r w:rsidRPr="00027624">
        <w:rPr>
          <w:b/>
        </w:rPr>
        <w:t xml:space="preserve"> given superannuation is an employment</w:t>
      </w:r>
      <w:r w:rsidR="00A8443E" w:rsidRPr="00027624">
        <w:rPr>
          <w:b/>
        </w:rPr>
        <w:noBreakHyphen/>
      </w:r>
      <w:r w:rsidRPr="00027624">
        <w:rPr>
          <w:b/>
        </w:rPr>
        <w:t>based scheme, superannuation balances people take into retirement broadly reflect working</w:t>
      </w:r>
      <w:r w:rsidR="00A8443E" w:rsidRPr="00027624">
        <w:rPr>
          <w:b/>
        </w:rPr>
        <w:noBreakHyphen/>
      </w:r>
      <w:r w:rsidRPr="00027624">
        <w:rPr>
          <w:b/>
        </w:rPr>
        <w:t>life inequities.</w:t>
      </w:r>
      <w:r w:rsidRPr="00027624">
        <w:t xml:space="preserve"> An individual</w:t>
      </w:r>
      <w:r w:rsidR="00A8443E" w:rsidRPr="00027624">
        <w:t>’</w:t>
      </w:r>
      <w:r w:rsidRPr="00027624">
        <w:t xml:space="preserve">s superannuation balance at retirement will reflect their employment experience: their income, length of time in the </w:t>
      </w:r>
      <w:r w:rsidRPr="00027624">
        <w:lastRenderedPageBreak/>
        <w:t>workforce, whether working full</w:t>
      </w:r>
      <w:r w:rsidR="00A8443E" w:rsidRPr="00027624">
        <w:noBreakHyphen/>
      </w:r>
      <w:r w:rsidRPr="00027624">
        <w:t>time, part</w:t>
      </w:r>
      <w:r w:rsidR="00A8443E" w:rsidRPr="00027624">
        <w:noBreakHyphen/>
      </w:r>
      <w:r w:rsidRPr="00027624">
        <w:t>time or casually, and whether they receive the SG. Higher superannuation balances receive larger tax concessions and can support higher retirement incomes.</w:t>
      </w:r>
    </w:p>
    <w:p w14:paraId="37AA7CA5" w14:textId="77777777" w:rsidR="0033541B" w:rsidRPr="00027624" w:rsidRDefault="0033541B" w:rsidP="00454F18">
      <w:r w:rsidRPr="00027624">
        <w:t>In retirement, the Age Pension helps to offset some of the inequities people faced during their working life. Those who have not had the same level of engagement in the labour market as others, for whatever reason, generally have a much lower level of superannuation and other savings in retirement. But, they typically receive higher rates of Age Pension as a result of the means test.</w:t>
      </w:r>
    </w:p>
    <w:p w14:paraId="227C8EEC" w14:textId="77777777" w:rsidR="0033541B" w:rsidRPr="00027624" w:rsidRDefault="0033541B" w:rsidP="00454F18">
      <w:pPr>
        <w:rPr>
          <w:sz w:val="24"/>
          <w:szCs w:val="24"/>
        </w:rPr>
      </w:pPr>
      <w:r w:rsidRPr="00027624">
        <w:t>Some aspects of the design of the retirement income system, while not targeted at any particular group of people, have a relatively larger impact on some groups over others as the following sections show.</w:t>
      </w:r>
    </w:p>
    <w:p w14:paraId="1F83CA6E" w14:textId="77777777" w:rsidR="0033541B" w:rsidRPr="00027624" w:rsidRDefault="0033541B" w:rsidP="003A119F">
      <w:pPr>
        <w:pStyle w:val="Heading3"/>
      </w:pPr>
      <w:r w:rsidRPr="00027624">
        <w:t>Equity: Income and wealth distribution</w:t>
      </w:r>
    </w:p>
    <w:p w14:paraId="1DF99782" w14:textId="77777777" w:rsidR="0033541B" w:rsidRPr="00027624" w:rsidRDefault="0033541B" w:rsidP="00454F18">
      <w:r w:rsidRPr="00027624">
        <w:t>Since superannuation is an employment</w:t>
      </w:r>
      <w:r w:rsidR="00A8443E" w:rsidRPr="00027624">
        <w:noBreakHyphen/>
      </w:r>
      <w:r w:rsidRPr="00027624">
        <w:t>based scheme, full</w:t>
      </w:r>
      <w:r w:rsidR="00A8443E" w:rsidRPr="00027624">
        <w:noBreakHyphen/>
      </w:r>
      <w:r w:rsidRPr="00027624">
        <w:t>time, higher</w:t>
      </w:r>
      <w:r w:rsidR="00A8443E" w:rsidRPr="00027624">
        <w:noBreakHyphen/>
      </w:r>
      <w:r w:rsidRPr="00027624">
        <w:t>income and continuously employed people make more superannuation contributions, have higher superannuation</w:t>
      </w:r>
      <w:r w:rsidRPr="00027624">
        <w:rPr>
          <w:sz w:val="24"/>
          <w:szCs w:val="24"/>
        </w:rPr>
        <w:t xml:space="preserve"> </w:t>
      </w:r>
      <w:r w:rsidRPr="00027624">
        <w:t>balances and achieve higher retirement incomes than lower</w:t>
      </w:r>
      <w:r w:rsidR="00A8443E" w:rsidRPr="00027624">
        <w:noBreakHyphen/>
      </w:r>
      <w:r w:rsidRPr="00027624">
        <w:t xml:space="preserve"> and middle</w:t>
      </w:r>
      <w:r w:rsidR="00A8443E" w:rsidRPr="00027624">
        <w:noBreakHyphen/>
      </w:r>
      <w:r w:rsidRPr="00027624">
        <w:t>income people. A person</w:t>
      </w:r>
      <w:r w:rsidR="00A8443E" w:rsidRPr="00027624">
        <w:t>’</w:t>
      </w:r>
      <w:r w:rsidRPr="00027624">
        <w:t>s earnings and length of time in the workforce translates into higher superannuation balances and retirement incomes.</w:t>
      </w:r>
    </w:p>
    <w:p w14:paraId="0B361CE3" w14:textId="77777777" w:rsidR="0033541B" w:rsidRPr="00027624" w:rsidRDefault="0033541B" w:rsidP="00454F18">
      <w:r w:rsidRPr="00027624">
        <w:t>Higher</w:t>
      </w:r>
      <w:r w:rsidR="00A8443E" w:rsidRPr="00027624">
        <w:noBreakHyphen/>
      </w:r>
      <w:r w:rsidRPr="00027624">
        <w:t>income earners also receive more superannuation tax concessions than lower</w:t>
      </w:r>
      <w:r w:rsidR="00A8443E" w:rsidRPr="00027624">
        <w:noBreakHyphen/>
      </w:r>
      <w:r w:rsidRPr="00027624">
        <w:t xml:space="preserve"> and middle</w:t>
      </w:r>
      <w:r w:rsidR="00A8443E" w:rsidRPr="00027624">
        <w:noBreakHyphen/>
      </w:r>
      <w:r w:rsidRPr="00027624">
        <w:t>income earners. They receive the largest tax savings as a percentage of superannuation contributions over their lifetime, along with the largest tax concessions on superannuation earnings.</w:t>
      </w:r>
    </w:p>
    <w:p w14:paraId="35FEEEF5" w14:textId="77777777" w:rsidR="0033541B" w:rsidRPr="00027624" w:rsidRDefault="0033541B" w:rsidP="00454F18">
      <w:r w:rsidRPr="00027624">
        <w:t>Most people, but particularly higher</w:t>
      </w:r>
      <w:r w:rsidR="00A8443E" w:rsidRPr="00027624">
        <w:noBreakHyphen/>
      </w:r>
      <w:r w:rsidRPr="00027624">
        <w:t>income earners, pay less tax when they save through superannuation compared with other savings vehicles. The taxes on superannuation have a relatively flat structure</w:t>
      </w:r>
      <w:r w:rsidR="00BE51D1" w:rsidRPr="00027624">
        <w:t>,</w:t>
      </w:r>
      <w:r w:rsidRPr="00027624">
        <w:t xml:space="preserve"> while income tax is more progressive.</w:t>
      </w:r>
    </w:p>
    <w:p w14:paraId="1021F337" w14:textId="77777777" w:rsidR="0033541B" w:rsidRPr="00027624" w:rsidRDefault="0033541B" w:rsidP="00454F18">
      <w:r w:rsidRPr="00027624">
        <w:t>Higher</w:t>
      </w:r>
      <w:r w:rsidR="00A8443E" w:rsidRPr="00027624">
        <w:noBreakHyphen/>
      </w:r>
      <w:r w:rsidRPr="00027624">
        <w:t>income earners make larger contributions to superannuation than lower</w:t>
      </w:r>
      <w:r w:rsidR="00A8443E" w:rsidRPr="00027624">
        <w:noBreakHyphen/>
      </w:r>
      <w:r w:rsidRPr="00027624">
        <w:t xml:space="preserve"> and middle</w:t>
      </w:r>
      <w:r w:rsidR="00A8443E" w:rsidRPr="00027624">
        <w:noBreakHyphen/>
      </w:r>
      <w:r w:rsidRPr="00027624">
        <w:t>income earners. However, on average, even the highest income earners contribute less than the caps on contributions.</w:t>
      </w:r>
    </w:p>
    <w:p w14:paraId="017C4007" w14:textId="77777777" w:rsidR="0033541B" w:rsidRPr="00027624" w:rsidRDefault="0033541B" w:rsidP="00454F18">
      <w:r w:rsidRPr="00027624">
        <w:t xml:space="preserve">Many very large superannuation balances were built up under previous higher </w:t>
      </w:r>
      <w:r w:rsidR="00404B9D" w:rsidRPr="00027624">
        <w:t>contributions cap</w:t>
      </w:r>
      <w:r w:rsidRPr="00027624">
        <w:t>s and are expected to stay in the system for several decades</w:t>
      </w:r>
      <w:r w:rsidRPr="00027624">
        <w:rPr>
          <w:bCs/>
        </w:rPr>
        <w:t>.</w:t>
      </w:r>
      <w:r w:rsidRPr="00027624">
        <w:rPr>
          <w:b/>
          <w:bCs/>
        </w:rPr>
        <w:t xml:space="preserve"> At June 2018, there were more than 11,000 people with a balance in excess of $5 million. These people receive very large tax concessions on their earnings.</w:t>
      </w:r>
      <w:r w:rsidRPr="00027624">
        <w:t xml:space="preserve"> A superannuation balance of $5 million can achieve annual earnings tax concessions of </w:t>
      </w:r>
      <w:r w:rsidR="00DB6A40" w:rsidRPr="00027624">
        <w:t>around</w:t>
      </w:r>
      <w:r w:rsidRPr="00027624">
        <w:t xml:space="preserve"> $70,000.</w:t>
      </w:r>
    </w:p>
    <w:p w14:paraId="16B1051E" w14:textId="77777777" w:rsidR="0033541B" w:rsidRPr="00027624" w:rsidRDefault="0033541B" w:rsidP="00454F18">
      <w:r w:rsidRPr="00027624">
        <w:t>Voluntary (pre</w:t>
      </w:r>
      <w:r w:rsidR="00A8443E" w:rsidRPr="00027624">
        <w:noBreakHyphen/>
      </w:r>
      <w:r w:rsidRPr="00027624">
        <w:t xml:space="preserve"> and post</w:t>
      </w:r>
      <w:r w:rsidR="00A8443E" w:rsidRPr="00027624">
        <w:noBreakHyphen/>
      </w:r>
      <w:r w:rsidRPr="00027624">
        <w:t>tax) superannuation contributions are predominantly made by older, higher</w:t>
      </w:r>
      <w:r w:rsidR="00A8443E" w:rsidRPr="00027624">
        <w:noBreakHyphen/>
      </w:r>
      <w:r w:rsidRPr="00027624">
        <w:t>income or wealthy people. Average pre</w:t>
      </w:r>
      <w:r w:rsidR="00A8443E" w:rsidRPr="00027624">
        <w:noBreakHyphen/>
      </w:r>
      <w:r w:rsidRPr="00027624">
        <w:t>tax voluntary contributions increase with age and peak just before 65. Average post</w:t>
      </w:r>
      <w:r w:rsidR="00A8443E" w:rsidRPr="00027624">
        <w:noBreakHyphen/>
      </w:r>
      <w:r w:rsidRPr="00027624">
        <w:t>tax voluntary contributions are much higher for people aged between 60</w:t>
      </w:r>
      <w:r w:rsidR="00A8443E" w:rsidRPr="00027624">
        <w:noBreakHyphen/>
      </w:r>
      <w:r w:rsidRPr="00027624">
        <w:t>64 compared with younger people.</w:t>
      </w:r>
    </w:p>
    <w:p w14:paraId="201E08B3" w14:textId="77777777" w:rsidR="0033541B" w:rsidRPr="00027624" w:rsidRDefault="0033541B" w:rsidP="00454F18">
      <w:r w:rsidRPr="00027624">
        <w:t>With higher</w:t>
      </w:r>
      <w:r w:rsidR="00A8443E" w:rsidRPr="00027624">
        <w:noBreakHyphen/>
      </w:r>
      <w:r w:rsidRPr="00027624">
        <w:t>income earners receiving more superannuation tax concessions than lower</w:t>
      </w:r>
      <w:r w:rsidR="00A8443E" w:rsidRPr="00027624">
        <w:noBreakHyphen/>
      </w:r>
      <w:r w:rsidRPr="00027624">
        <w:t xml:space="preserve"> and middle</w:t>
      </w:r>
      <w:r w:rsidR="00A8443E" w:rsidRPr="00027624">
        <w:noBreakHyphen/>
      </w:r>
      <w:r w:rsidRPr="00027624">
        <w:t>income earners, the superannuation tax concession component of Government support increases inequality of private incomes for people aged 65 and over.</w:t>
      </w:r>
    </w:p>
    <w:p w14:paraId="3B406DDE" w14:textId="4CE95A95" w:rsidR="0033541B" w:rsidRPr="00027624" w:rsidRDefault="0033541B" w:rsidP="00454F18">
      <w:r w:rsidRPr="00027624">
        <w:t>In retirement, however, income inequality reduces due to the Age Pension and benefits from government services, termed social transfers in kind. Because of the means test, people with the lowest lifetime incomes generally receive the largest Age Pension payments. The Age Pension reduces income inequality among retirees because it provides most support as a proportion of private incomes to lower</w:t>
      </w:r>
      <w:r w:rsidR="00A8443E" w:rsidRPr="00027624">
        <w:noBreakHyphen/>
      </w:r>
      <w:r w:rsidRPr="00027624">
        <w:t>income earners. Income inequality among retirees is similar to people of working age (</w:t>
      </w:r>
      <w:r w:rsidRPr="00027624">
        <w:fldChar w:fldCharType="begin"/>
      </w:r>
      <w:r w:rsidRPr="00027624">
        <w:instrText xml:space="preserve"> REF _Ref45265458 \r \h </w:instrText>
      </w:r>
      <w:r w:rsidR="00FA7639" w:rsidRPr="00027624">
        <w:instrText xml:space="preserve"> \* MERGEFORMAT </w:instrText>
      </w:r>
      <w:r w:rsidRPr="00027624">
        <w:fldChar w:fldCharType="separate"/>
      </w:r>
      <w:r w:rsidR="00891058">
        <w:t>Chart 6</w:t>
      </w:r>
      <w:r w:rsidRPr="00027624">
        <w:fldChar w:fldCharType="end"/>
      </w:r>
      <w:r w:rsidRPr="00027624">
        <w:t>).</w:t>
      </w:r>
    </w:p>
    <w:p w14:paraId="31C3ADA3" w14:textId="77777777" w:rsidR="0033541B" w:rsidRPr="00027624" w:rsidRDefault="0033541B" w:rsidP="000D24F2">
      <w:pPr>
        <w:pStyle w:val="OverviewChart"/>
        <w:rPr>
          <w:rFonts w:eastAsiaTheme="minorEastAsia"/>
        </w:rPr>
      </w:pPr>
      <w:bookmarkStart w:id="101" w:name="_Ref36978243"/>
      <w:bookmarkStart w:id="102" w:name="_Ref41545231"/>
      <w:bookmarkStart w:id="103" w:name="_Ref45265458"/>
      <w:r w:rsidRPr="00027624">
        <w:lastRenderedPageBreak/>
        <w:t>Income inequality in 2017</w:t>
      </w:r>
      <w:r w:rsidR="00A8443E" w:rsidRPr="00027624">
        <w:noBreakHyphen/>
      </w:r>
      <w:r w:rsidRPr="00027624">
        <w:t>18</w:t>
      </w:r>
      <w:bookmarkEnd w:id="101"/>
      <w:bookmarkEnd w:id="102"/>
      <w:bookmarkEnd w:id="103"/>
    </w:p>
    <w:tbl>
      <w:tblPr>
        <w:tblW w:w="5000" w:type="pct"/>
        <w:tblLook w:val="01E0" w:firstRow="1" w:lastRow="1" w:firstColumn="1" w:lastColumn="1" w:noHBand="0" w:noVBand="0"/>
      </w:tblPr>
      <w:tblGrid>
        <w:gridCol w:w="4535"/>
        <w:gridCol w:w="4535"/>
      </w:tblGrid>
      <w:tr w:rsidR="0033541B" w:rsidRPr="00027624" w14:paraId="258A116F" w14:textId="77777777" w:rsidTr="00454F18">
        <w:trPr>
          <w:tblHeader/>
        </w:trPr>
        <w:tc>
          <w:tcPr>
            <w:tcW w:w="2500" w:type="pct"/>
            <w:shd w:val="clear" w:color="auto" w:fill="auto"/>
          </w:tcPr>
          <w:p w14:paraId="3AE9090D" w14:textId="77777777" w:rsidR="0033541B" w:rsidRPr="00027624" w:rsidRDefault="0033541B" w:rsidP="00454F18">
            <w:pPr>
              <w:pStyle w:val="ChartSecondHeading"/>
              <w:keepLines/>
            </w:pPr>
            <w:r w:rsidRPr="00027624">
              <w:t>People aged 25</w:t>
            </w:r>
            <w:r w:rsidR="00A8443E" w:rsidRPr="00027624">
              <w:noBreakHyphen/>
            </w:r>
            <w:r w:rsidRPr="00027624">
              <w:t>64</w:t>
            </w:r>
          </w:p>
        </w:tc>
        <w:tc>
          <w:tcPr>
            <w:tcW w:w="2500" w:type="pct"/>
            <w:shd w:val="clear" w:color="auto" w:fill="auto"/>
          </w:tcPr>
          <w:p w14:paraId="190D1277" w14:textId="77777777" w:rsidR="0033541B" w:rsidRPr="00027624" w:rsidRDefault="0033541B" w:rsidP="00454F18">
            <w:pPr>
              <w:pStyle w:val="ChartSecondHeading"/>
              <w:keepLines/>
            </w:pPr>
            <w:r w:rsidRPr="00027624">
              <w:t>People aged 65 and over</w:t>
            </w:r>
          </w:p>
        </w:tc>
      </w:tr>
      <w:tr w:rsidR="0033541B" w:rsidRPr="00027624" w14:paraId="1F9AADB1" w14:textId="77777777" w:rsidTr="00454F18">
        <w:trPr>
          <w:tblHeader/>
        </w:trPr>
        <w:tc>
          <w:tcPr>
            <w:tcW w:w="2500" w:type="pct"/>
            <w:shd w:val="clear" w:color="auto" w:fill="auto"/>
            <w:tcMar>
              <w:left w:w="0" w:type="dxa"/>
              <w:right w:w="0" w:type="dxa"/>
            </w:tcMar>
          </w:tcPr>
          <w:p w14:paraId="3CCB9DA0" w14:textId="77777777" w:rsidR="0033541B" w:rsidRPr="00027624" w:rsidRDefault="00C27982" w:rsidP="00C27982">
            <w:pPr>
              <w:pStyle w:val="ChartGraphic"/>
              <w:rPr>
                <w:noProof/>
              </w:rPr>
            </w:pPr>
            <w:r>
              <w:rPr>
                <w:noProof/>
              </w:rPr>
              <w:drawing>
                <wp:inline distT="0" distB="0" distL="0" distR="0" wp14:anchorId="6FE8B748" wp14:editId="4DCC3805">
                  <wp:extent cx="2880360" cy="2880360"/>
                  <wp:effectExtent l="0" t="0" r="0" b="0"/>
                  <wp:docPr id="134" name="Picture 134" descr="This chart shows the level of income inequality, measured by the Gini coefficient – where 0 means complete equality and 1 means complete inequality. Inequality in private income is around 0.4 for those aged 25-64, but this reduces to around 0.3 when inequality is calculated on disposable income plus imputed rent. Welfare payments and the effect of taxes and imputed rent reduce inequality by small magnitudes. " title="Chart 6 Income inequality in 2017-18 – Age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2500" w:type="pct"/>
            <w:shd w:val="clear" w:color="auto" w:fill="auto"/>
            <w:tcMar>
              <w:left w:w="0" w:type="dxa"/>
              <w:right w:w="0" w:type="dxa"/>
            </w:tcMar>
          </w:tcPr>
          <w:p w14:paraId="6A6AD5D8" w14:textId="77777777" w:rsidR="0033541B" w:rsidRPr="00027624" w:rsidRDefault="00C27982" w:rsidP="004008D7">
            <w:pPr>
              <w:pStyle w:val="ChartGraphic"/>
              <w:rPr>
                <w:noProof/>
              </w:rPr>
            </w:pPr>
            <w:r>
              <w:rPr>
                <w:noProof/>
              </w:rPr>
              <w:drawing>
                <wp:inline distT="0" distB="0" distL="0" distR="0" wp14:anchorId="2E8E0331" wp14:editId="191D2D72">
                  <wp:extent cx="2880360" cy="2880360"/>
                  <wp:effectExtent l="0" t="0" r="0" b="0"/>
                  <wp:docPr id="132" name="Picture 132" descr="This chart shows the level of income inequality, measured by the Gini coefficient – where 0 means complete equality and 1 means complete inequality. Inequality in private income is around 0.7 for those aged 65 and over, but this reduces to around 0.3 when inequality is calculated on disposable income plus imputed rent. Welfare payments reduce inequality significantly. The effect of taxes and imputed rent is smaller than that of welfare payments, but larger than the effect of taxes and imputed rent for those aged 25‑64." title="Chart 6 Income inequality in 2017-18 – Age 65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r>
    </w:tbl>
    <w:p w14:paraId="0C061A33" w14:textId="77777777" w:rsidR="0033541B" w:rsidRPr="00027624" w:rsidRDefault="0033541B" w:rsidP="00454F18">
      <w:pPr>
        <w:pStyle w:val="ChartorTableNote"/>
        <w:keepNext/>
        <w:keepLines/>
      </w:pPr>
      <w:r w:rsidRPr="00027624">
        <w:t>Note: Income inequality is measured by calculating the Gini coefficient. The Gini coefficient is a value between 0 and 1. A value of 0 means that all people have the same incomes (i.e. complete equality), while a value of 1 means all income is received by one person (i.e. complete inequality). Private income refers to income from employment, businesses and investments, such as rent, dividends, royalties and superannuation earnings. Welfare payments include pensions and allowances received by the aged, disabled, unemployed and sick persons, families and children, veterans or their survivors, study allowances for students and all overseas pensions and benefits. Taxes include individual income taxes. Disposable income is equal to private income plus welfare payments less taxes. Imputed rent is the amount that a home owner saves by not having to pay rent for accommodation. All income definitions are equivalised for household size. Age of household is the age of the household</w:t>
      </w:r>
      <w:r w:rsidR="00A8443E" w:rsidRPr="00027624">
        <w:t>’</w:t>
      </w:r>
      <w:r w:rsidRPr="00027624">
        <w:t>s reference person.</w:t>
      </w:r>
      <w:r w:rsidRPr="00027624" w:rsidDel="0014122D">
        <w:t xml:space="preserve"> </w:t>
      </w:r>
      <w:r w:rsidRPr="00027624">
        <w:t xml:space="preserve">Source: </w:t>
      </w:r>
      <w:r w:rsidR="00046A94" w:rsidRPr="00027624">
        <w:t>Analysis of ABS Survey of Income and Housing Confidentialised Unit Record File, 2017-18</w:t>
      </w:r>
      <w:r w:rsidRPr="00027624">
        <w:t>.</w:t>
      </w:r>
    </w:p>
    <w:p w14:paraId="6127C129" w14:textId="77777777" w:rsidR="0033541B" w:rsidRPr="00027624" w:rsidRDefault="0033541B" w:rsidP="00454F18">
      <w:r w:rsidRPr="00027624">
        <w:t>The way the Age Pension means test operates (separately assessing a person</w:t>
      </w:r>
      <w:r w:rsidR="00A8443E" w:rsidRPr="00027624">
        <w:t>’</w:t>
      </w:r>
      <w:r w:rsidRPr="00027624">
        <w:t>s level of assets and income to determine their Age Pension payment) results in people with different levels of assets and/or income receiving the same rate of Age Pension in some circumstances. Some assets and income are also treated differently under the means test.</w:t>
      </w:r>
    </w:p>
    <w:p w14:paraId="4D2A294C" w14:textId="7F7C4855" w:rsidR="0033541B" w:rsidRPr="00027624" w:rsidRDefault="0033541B" w:rsidP="00454F18">
      <w:r w:rsidRPr="00027624">
        <w:t xml:space="preserve">Overall, </w:t>
      </w:r>
      <w:r w:rsidRPr="00027624">
        <w:rPr>
          <w:b/>
        </w:rPr>
        <w:t>superannuation tax concessions increase inequity in the retirement income system, while the Age Pension helps offset inequity in retirement.</w:t>
      </w:r>
      <w:r w:rsidRPr="00027624">
        <w:t xml:space="preserve"> One of the suggested elements of the retirement income system</w:t>
      </w:r>
      <w:r w:rsidR="00A8443E" w:rsidRPr="00027624">
        <w:t>’</w:t>
      </w:r>
      <w:r w:rsidRPr="00027624">
        <w:t>s objective is that Government support should be targeted to those in need. This would appear to be the case for the Age Pension. However, the combination of a system where people on higher incomes achieve the largest superannuation balances, combined with tax concessions on superannuation contributions and earnings, means that higher</w:t>
      </w:r>
      <w:r w:rsidR="00A8443E" w:rsidRPr="00027624">
        <w:noBreakHyphen/>
      </w:r>
      <w:r w:rsidRPr="00027624">
        <w:t>income earners receive more Government support than other income groups over their lifetime (</w:t>
      </w:r>
      <w:r w:rsidRPr="00027624">
        <w:fldChar w:fldCharType="begin"/>
      </w:r>
      <w:r w:rsidRPr="00027624">
        <w:instrText xml:space="preserve"> REF _Ref41545355 \r \h  \* MERGEFORMAT </w:instrText>
      </w:r>
      <w:r w:rsidRPr="00027624">
        <w:fldChar w:fldCharType="separate"/>
      </w:r>
      <w:r w:rsidR="00891058">
        <w:t>Chart 7</w:t>
      </w:r>
      <w:r w:rsidRPr="00027624">
        <w:fldChar w:fldCharType="end"/>
      </w:r>
      <w:r w:rsidRPr="00027624">
        <w:t>).</w:t>
      </w:r>
    </w:p>
    <w:p w14:paraId="657F158F" w14:textId="77777777" w:rsidR="0033541B" w:rsidRPr="00027624" w:rsidRDefault="0033541B" w:rsidP="000D24F2">
      <w:pPr>
        <w:pStyle w:val="OverviewChart"/>
      </w:pPr>
      <w:bookmarkStart w:id="104" w:name="_Ref41545355"/>
      <w:r w:rsidRPr="00027624">
        <w:lastRenderedPageBreak/>
        <w:t>Projected lifetime Government support from the retirement income system</w:t>
      </w:r>
      <w:bookmarkEnd w:id="104"/>
    </w:p>
    <w:p w14:paraId="576AFDB1" w14:textId="77777777" w:rsidR="0033541B" w:rsidRPr="00027624" w:rsidRDefault="004F0911" w:rsidP="00454F18">
      <w:pPr>
        <w:pStyle w:val="ChartGraphic"/>
      </w:pPr>
      <w:r>
        <w:rPr>
          <w:noProof/>
        </w:rPr>
        <w:drawing>
          <wp:inline distT="0" distB="0" distL="0" distR="0" wp14:anchorId="0F651C33" wp14:editId="34F78354">
            <wp:extent cx="5783580" cy="2522220"/>
            <wp:effectExtent l="0" t="0" r="7620" b="0"/>
            <wp:docPr id="136" name="Picture 136" descr="This chart shows that those at higher lifetime income percentiles are projected to receive more government support through the retirement income system than those at lower income percentiles. Lower income percentiles get more government support from the Age Pension. As income increases, the proportion of government support provided by contributions and earnings tax concessions, but particularly earnings tax concessions, increases.  " title="Chart 7 Projected lifetime Government support from the retirement incom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3580" cy="2522220"/>
                    </a:xfrm>
                    <a:prstGeom prst="rect">
                      <a:avLst/>
                    </a:prstGeom>
                    <a:noFill/>
                  </pic:spPr>
                </pic:pic>
              </a:graphicData>
            </a:graphic>
          </wp:inline>
        </w:drawing>
      </w:r>
    </w:p>
    <w:p w14:paraId="3E935AF9" w14:textId="77777777" w:rsidR="0033541B" w:rsidRPr="00027624" w:rsidRDefault="0033541B" w:rsidP="00454F18">
      <w:pPr>
        <w:pStyle w:val="ChartorTableNote"/>
      </w:pPr>
      <w:r w:rsidRPr="00027624">
        <w:t>Note: Values are in 2019</w:t>
      </w:r>
      <w:r w:rsidR="00A8443E" w:rsidRPr="00027624">
        <w:noBreakHyphen/>
      </w:r>
      <w:r w:rsidRPr="00027624">
        <w:t xml:space="preserve">20 </w:t>
      </w:r>
      <w:r w:rsidRPr="00027624">
        <w:rPr>
          <w:szCs w:val="18"/>
        </w:rPr>
        <w:t>dollars, deflated using the review</w:t>
      </w:r>
      <w:r w:rsidR="00A8443E" w:rsidRPr="00027624">
        <w:rPr>
          <w:szCs w:val="18"/>
        </w:rPr>
        <w:t>’</w:t>
      </w:r>
      <w:r w:rsidRPr="00027624">
        <w:rPr>
          <w:szCs w:val="18"/>
        </w:rPr>
        <w:t>s GDP deflator</w:t>
      </w:r>
      <w:r w:rsidRPr="00027624">
        <w:t xml:space="preserve"> </w:t>
      </w:r>
      <w:r w:rsidRPr="00027624">
        <w:rPr>
          <w:szCs w:val="18"/>
        </w:rPr>
        <w:t xml:space="preserve">and uses review assumptions (see </w:t>
      </w:r>
      <w:r w:rsidR="00BD73BF" w:rsidRPr="00BD73BF">
        <w:rPr>
          <w:i/>
          <w:szCs w:val="18"/>
        </w:rPr>
        <w:t xml:space="preserve">Appendix </w:t>
      </w:r>
      <w:r w:rsidRPr="00027624">
        <w:rPr>
          <w:i/>
          <w:szCs w:val="18"/>
        </w:rPr>
        <w:t>6A. Detailed modelling methods and assumptions</w:t>
      </w:r>
      <w:r w:rsidRPr="00027624">
        <w:rPr>
          <w:szCs w:val="18"/>
        </w:rPr>
        <w:t>)</w:t>
      </w:r>
      <w:r w:rsidRPr="00027624">
        <w:t>. Income percentiles are based on the incomes of individuals (whether they are single or in a couple). Source: Cameo modelling undertaken for the review.</w:t>
      </w:r>
    </w:p>
    <w:p w14:paraId="3615DCF9" w14:textId="77777777" w:rsidR="0033541B" w:rsidRPr="00027624" w:rsidRDefault="0033541B" w:rsidP="00454F18">
      <w:r w:rsidRPr="00027624">
        <w:t>Increases in the SG rate will increase lifetime Government support for higher</w:t>
      </w:r>
      <w:r w:rsidR="00A8443E" w:rsidRPr="00027624">
        <w:noBreakHyphen/>
      </w:r>
      <w:r w:rsidRPr="00027624">
        <w:t>income earners by more than lower</w:t>
      </w:r>
      <w:r w:rsidR="00A8443E" w:rsidRPr="00027624">
        <w:noBreakHyphen/>
      </w:r>
      <w:r w:rsidR="005A2BEB" w:rsidRPr="00027624">
        <w:t xml:space="preserve"> and middle</w:t>
      </w:r>
      <w:r w:rsidR="00A8443E" w:rsidRPr="00027624">
        <w:noBreakHyphen/>
      </w:r>
      <w:r w:rsidR="005A2BEB" w:rsidRPr="00027624">
        <w:t>income earners. Higher</w:t>
      </w:r>
      <w:r w:rsidR="00A8443E" w:rsidRPr="00027624">
        <w:noBreakHyphen/>
      </w:r>
      <w:r w:rsidR="005A2BEB" w:rsidRPr="00027624">
        <w:t>income earners</w:t>
      </w:r>
      <w:r w:rsidRPr="00027624">
        <w:t xml:space="preserve"> make the largest compulsory contributions. They either do not qualify for, or lose minimal, Age Pension when they retire with higher superannuation balances.</w:t>
      </w:r>
    </w:p>
    <w:p w14:paraId="7FCB001D" w14:textId="77777777" w:rsidR="0033541B" w:rsidRPr="00027624" w:rsidRDefault="0033541B" w:rsidP="00454F18">
      <w:pPr>
        <w:rPr>
          <w:sz w:val="24"/>
          <w:szCs w:val="24"/>
        </w:rPr>
      </w:pPr>
      <w:r w:rsidRPr="00027624">
        <w:t>Changes to superannuation tax concessions would have the largest impact on higher</w:t>
      </w:r>
      <w:r w:rsidR="00A8443E" w:rsidRPr="00027624">
        <w:noBreakHyphen/>
      </w:r>
      <w:r w:rsidRPr="00027624">
        <w:t>income earners. Further improvements in targeting superannuation tax concessions would improve the equity of the retirement income system.</w:t>
      </w:r>
    </w:p>
    <w:p w14:paraId="29D05990" w14:textId="77777777" w:rsidR="0033541B" w:rsidRPr="00027624" w:rsidRDefault="0033541B" w:rsidP="003A119F">
      <w:pPr>
        <w:pStyle w:val="Heading3"/>
      </w:pPr>
      <w:r w:rsidRPr="00027624">
        <w:t>Equity: Gender and partnered status</w:t>
      </w:r>
    </w:p>
    <w:p w14:paraId="3908BB0F" w14:textId="77777777" w:rsidR="0033541B" w:rsidRPr="00027624" w:rsidRDefault="0033541B" w:rsidP="00454F18">
      <w:r w:rsidRPr="00027624">
        <w:t>Many stakeholders focused on gender inequity in the retirement income system, referring to men having higher superannuation balances at retirement than women, and in turn, having higher retirement incomes than women. In 2017</w:t>
      </w:r>
      <w:r w:rsidR="00A8443E" w:rsidRPr="00027624">
        <w:noBreakHyphen/>
      </w:r>
      <w:r w:rsidRPr="00027624">
        <w:t>18, the gap in the median superannuation balance between men and women aged 60</w:t>
      </w:r>
      <w:r w:rsidR="00A8443E" w:rsidRPr="00027624">
        <w:noBreakHyphen/>
      </w:r>
      <w:r w:rsidRPr="00027624">
        <w:t>64 was 22 per cent.</w:t>
      </w:r>
    </w:p>
    <w:p w14:paraId="1EFD0ECF" w14:textId="77777777" w:rsidR="0033541B" w:rsidRPr="00027624" w:rsidRDefault="0033541B" w:rsidP="00454F18">
      <w:r w:rsidRPr="00027624">
        <w:rPr>
          <w:b/>
        </w:rPr>
        <w:t>The gap in retirement savings and retirement incomes for women is the accumulated result of the economic disadvantages faced by women in their working life</w:t>
      </w:r>
      <w:r w:rsidR="00A8443E" w:rsidRPr="00027624">
        <w:t xml:space="preserve"> — </w:t>
      </w:r>
      <w:r w:rsidRPr="00027624">
        <w:t>lower wages than men, more career breaks for child</w:t>
      </w:r>
      <w:r w:rsidR="00A8443E" w:rsidRPr="00027624">
        <w:noBreakHyphen/>
      </w:r>
      <w:r w:rsidRPr="00027624">
        <w:t>rearing and caring for others, and more part</w:t>
      </w:r>
      <w:r w:rsidR="00A8443E" w:rsidRPr="00027624">
        <w:noBreakHyphen/>
      </w:r>
      <w:r w:rsidRPr="00027624">
        <w:t>time work. The financial impacts from divorce and relationship breakdowns are also worse for women.</w:t>
      </w:r>
    </w:p>
    <w:p w14:paraId="6D2DE54D" w14:textId="77777777" w:rsidR="0033541B" w:rsidRPr="00027624" w:rsidRDefault="0033541B" w:rsidP="00454F18">
      <w:r w:rsidRPr="00027624">
        <w:t xml:space="preserve">Across </w:t>
      </w:r>
      <w:r w:rsidR="00DB6A40" w:rsidRPr="00027624">
        <w:t xml:space="preserve">men and women who work </w:t>
      </w:r>
      <w:r w:rsidRPr="00027624">
        <w:t>full</w:t>
      </w:r>
      <w:r w:rsidR="00A8443E" w:rsidRPr="00027624">
        <w:noBreakHyphen/>
      </w:r>
      <w:r w:rsidRPr="00027624">
        <w:t>time, the pay gap is 17 per cent. More than 93 per cent of all primary carer leave is taken by women. Research suggests having children is associated with a reduction in earnings of up to 80 per cent on average over the following 15 years, compared to women with no children.</w:t>
      </w:r>
    </w:p>
    <w:p w14:paraId="14C2AD77" w14:textId="77777777" w:rsidR="0033541B" w:rsidRPr="00027624" w:rsidRDefault="0033541B" w:rsidP="00454F18">
      <w:r w:rsidRPr="00027624">
        <w:t>The higher life expectancy of women means their superannuation balances at retirement need to stretch further.</w:t>
      </w:r>
    </w:p>
    <w:p w14:paraId="0B8576B1" w14:textId="77777777" w:rsidR="0033541B" w:rsidRPr="00027624" w:rsidRDefault="0033541B" w:rsidP="00454F18">
      <w:r w:rsidRPr="00027624">
        <w:t xml:space="preserve">As the superannuation system matures, a greater number of women (and men) are expected to have larger superannuation balances. Female superannuation coverage is increasing with female labour force participation. </w:t>
      </w:r>
      <w:r w:rsidRPr="00027624">
        <w:rPr>
          <w:b/>
        </w:rPr>
        <w:t>In future, the gap between the superannuation balances of men and women will narrow substantially; however, it will not close while a gap remains in earnings and workforce participation.</w:t>
      </w:r>
    </w:p>
    <w:p w14:paraId="1A270A38" w14:textId="56D82C83" w:rsidR="0033541B" w:rsidRPr="00027624" w:rsidRDefault="0033541B" w:rsidP="00454F18">
      <w:r w:rsidRPr="00027624">
        <w:lastRenderedPageBreak/>
        <w:t>The gap between the retirement incomes of men and women is narrower than the gap in working</w:t>
      </w:r>
      <w:r w:rsidR="00A8443E" w:rsidRPr="00027624">
        <w:noBreakHyphen/>
      </w:r>
      <w:r w:rsidRPr="00027624">
        <w:t>life earnings and superannuation balances. This is primarily due to the Age Pension, which helps</w:t>
      </w:r>
      <w:r w:rsidRPr="00027624">
        <w:rPr>
          <w:sz w:val="24"/>
          <w:szCs w:val="24"/>
        </w:rPr>
        <w:t xml:space="preserve"> </w:t>
      </w:r>
      <w:r w:rsidRPr="00027624">
        <w:t>offset some of the inequity women face in their working life. And with lower superannuation balances than men, women generally receive higher rates of the Age Pension than men because of the means test (</w:t>
      </w:r>
      <w:r w:rsidRPr="00027624">
        <w:fldChar w:fldCharType="begin"/>
      </w:r>
      <w:r w:rsidRPr="00027624">
        <w:instrText xml:space="preserve"> REF _Ref41570142 \r \h  \* MERGEFORMAT </w:instrText>
      </w:r>
      <w:r w:rsidRPr="00027624">
        <w:fldChar w:fldCharType="separate"/>
      </w:r>
      <w:r w:rsidR="00891058">
        <w:t>Chart 8</w:t>
      </w:r>
      <w:r w:rsidRPr="00027624">
        <w:fldChar w:fldCharType="end"/>
      </w:r>
      <w:r w:rsidRPr="00027624">
        <w:t>).</w:t>
      </w:r>
    </w:p>
    <w:p w14:paraId="66BFB65F" w14:textId="77777777" w:rsidR="0033541B" w:rsidRPr="00027624" w:rsidRDefault="0033541B" w:rsidP="000D24F2">
      <w:pPr>
        <w:pStyle w:val="OverviewChart"/>
      </w:pPr>
      <w:bookmarkStart w:id="105" w:name="_Ref41570142"/>
      <w:r w:rsidRPr="00027624">
        <w:t>Projected gender gaps in working</w:t>
      </w:r>
      <w:r w:rsidR="00A8443E" w:rsidRPr="00027624">
        <w:noBreakHyphen/>
      </w:r>
      <w:r w:rsidRPr="00027624">
        <w:t xml:space="preserve">life earnings, superannuation balances at retirement and retirement incomes, by </w:t>
      </w:r>
      <w:r w:rsidR="00DB6A40" w:rsidRPr="00027624">
        <w:t>income</w:t>
      </w:r>
      <w:r w:rsidRPr="00027624">
        <w:t xml:space="preserve"> percentile</w:t>
      </w:r>
      <w:bookmarkEnd w:id="105"/>
    </w:p>
    <w:p w14:paraId="63C444E8" w14:textId="77777777" w:rsidR="0033541B" w:rsidRPr="00027624" w:rsidRDefault="00BD6F01" w:rsidP="004008D7">
      <w:pPr>
        <w:pStyle w:val="ChartGraphic"/>
      </w:pPr>
      <w:r>
        <w:rPr>
          <w:noProof/>
        </w:rPr>
        <w:drawing>
          <wp:inline distT="0" distB="0" distL="0" distR="0" wp14:anchorId="16760D34" wp14:editId="49E535A5">
            <wp:extent cx="5585460" cy="2522220"/>
            <wp:effectExtent l="0" t="0" r="0" b="0"/>
            <wp:docPr id="138" name="Picture 138" descr="This chart shows that the gender gap in working-life earnings, and the gender gap in superannuation balances at retirement are projected to be similar at around 40 per cent for most income percentiles. The gender gap in average annual retirement income is much lower for most earnings percentiles, from around 10 per cent at the 10th earnings percentile to over 20 per cent at the 80th earnings percentile.  " title="Chart 8 Projected gender gaps in working-life earnings, superannuation balances at retirement and retirement incom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7B9475C8" w14:textId="77777777" w:rsidR="0033541B" w:rsidRPr="00027624" w:rsidRDefault="0033541B" w:rsidP="00454F18">
      <w:pPr>
        <w:pStyle w:val="ChartorTableNote"/>
      </w:pPr>
      <w:r w:rsidRPr="00027624">
        <w:t>Note: Gender gaps are calculated relative to the relevant figure for men</w:t>
      </w:r>
      <w:r w:rsidR="00A8443E" w:rsidRPr="00027624">
        <w:t xml:space="preserve"> — </w:t>
      </w:r>
      <w:r w:rsidRPr="00027624">
        <w:t>that is, a 10 per cent gender gap in earnings means that women</w:t>
      </w:r>
      <w:r w:rsidR="00A8443E" w:rsidRPr="00027624">
        <w:t>’</w:t>
      </w:r>
      <w:r w:rsidRPr="00027624">
        <w:t>s earnings are 90 per cent of men</w:t>
      </w:r>
      <w:r w:rsidR="00A8443E" w:rsidRPr="00027624">
        <w:t>’</w:t>
      </w:r>
      <w:r w:rsidRPr="00027624">
        <w:t>s earnings. See Box 3B</w:t>
      </w:r>
      <w:r w:rsidR="00A8443E" w:rsidRPr="00027624">
        <w:noBreakHyphen/>
      </w:r>
      <w:r w:rsidRPr="00027624">
        <w:t xml:space="preserve">3 in </w:t>
      </w:r>
      <w:r w:rsidRPr="00027624">
        <w:rPr>
          <w:i/>
        </w:rPr>
        <w:t xml:space="preserve">3B. Gender and partnered status </w:t>
      </w:r>
      <w:r w:rsidRPr="00027624">
        <w:t>for details. The chart compares the 10</w:t>
      </w:r>
      <w:r w:rsidRPr="00027624">
        <w:rPr>
          <w:vertAlign w:val="superscript"/>
        </w:rPr>
        <w:t>th</w:t>
      </w:r>
      <w:r w:rsidRPr="00027624">
        <w:t xml:space="preserve"> percentile for men to the 10</w:t>
      </w:r>
      <w:r w:rsidRPr="00027624">
        <w:rPr>
          <w:vertAlign w:val="superscript"/>
        </w:rPr>
        <w:t>th</w:t>
      </w:r>
      <w:r w:rsidRPr="00027624">
        <w:t xml:space="preserve"> percentile for women, and so on. Gaps in superannuation balances at retirement and retirement incomes do not factor in the effect of voluntary superannuation contributions not made through salary sacrifice. If included, these would reduce the gaps between men and women. Calculations are based on values deflated using the review</w:t>
      </w:r>
      <w:r w:rsidR="00A8443E" w:rsidRPr="00027624">
        <w:t>’</w:t>
      </w:r>
      <w:r w:rsidRPr="00027624">
        <w:t xml:space="preserve">s mixed deflator. Disaggregation of these gaps can be found in </w:t>
      </w:r>
      <w:r w:rsidRPr="00027624">
        <w:rPr>
          <w:i/>
        </w:rPr>
        <w:t>Appendix 6D. Supplementary equity charts</w:t>
      </w:r>
      <w:r w:rsidRPr="00027624">
        <w:rPr>
          <w:iCs/>
        </w:rPr>
        <w:t>.</w:t>
      </w:r>
      <w:r w:rsidRPr="00027624">
        <w:t xml:space="preserve"> Source: Cameo modelling undertaken for the review.</w:t>
      </w:r>
    </w:p>
    <w:p w14:paraId="09778361" w14:textId="77777777" w:rsidR="0033541B" w:rsidRPr="00027624" w:rsidRDefault="0033541B">
      <w:r w:rsidRPr="00027624">
        <w:t>While most people enter retirement as a couple, this trend is falling. In future there will be more single people in retirement, particularly women. Couples are significantly better off in retirement than single men and women. They have lower rates of poverty and financial stress, higher rates of home ownership and higher levels of wealth than single men and women in retirement.</w:t>
      </w:r>
    </w:p>
    <w:p w14:paraId="48F7CE52" w14:textId="77777777" w:rsidR="0033541B" w:rsidRPr="00027624" w:rsidRDefault="0033541B" w:rsidP="00454F18">
      <w:r w:rsidRPr="00027624">
        <w:t>Stakeholders identified a number of changes to aspects of the retirement income system aimed at reducing the gap in retirement incomes between men and women. These included:</w:t>
      </w:r>
    </w:p>
    <w:p w14:paraId="65B2EE76" w14:textId="77777777" w:rsidR="0033541B" w:rsidRPr="00027624" w:rsidRDefault="0033541B" w:rsidP="00454F18">
      <w:pPr>
        <w:pStyle w:val="Bullet"/>
      </w:pPr>
      <w:r w:rsidRPr="00027624">
        <w:rPr>
          <w:b/>
          <w:bCs/>
        </w:rPr>
        <w:t>Removing the $450</w:t>
      </w:r>
      <w:r w:rsidR="00A8443E" w:rsidRPr="00027624">
        <w:rPr>
          <w:b/>
          <w:bCs/>
        </w:rPr>
        <w:noBreakHyphen/>
      </w:r>
      <w:r w:rsidRPr="00027624">
        <w:rPr>
          <w:b/>
          <w:bCs/>
        </w:rPr>
        <w:t>a</w:t>
      </w:r>
      <w:r w:rsidR="00A8443E" w:rsidRPr="00027624">
        <w:rPr>
          <w:b/>
          <w:bCs/>
        </w:rPr>
        <w:noBreakHyphen/>
      </w:r>
      <w:r w:rsidRPr="00027624">
        <w:rPr>
          <w:b/>
          <w:bCs/>
        </w:rPr>
        <w:t>month threshold</w:t>
      </w:r>
      <w:r w:rsidRPr="00027624">
        <w:t xml:space="preserve"> when employers are obligated to pay the SG to employees. This would help low</w:t>
      </w:r>
      <w:r w:rsidR="00A8443E" w:rsidRPr="00027624">
        <w:noBreakHyphen/>
      </w:r>
      <w:r w:rsidR="00BE51D1" w:rsidRPr="00027624">
        <w:t>income workers</w:t>
      </w:r>
      <w:r w:rsidRPr="00027624">
        <w:t xml:space="preserve"> and would assist more women than men. Around 6</w:t>
      </w:r>
      <w:r w:rsidR="00115647" w:rsidRPr="00027624">
        <w:t>3</w:t>
      </w:r>
      <w:r w:rsidRPr="00027624">
        <w:t> per cent of</w:t>
      </w:r>
      <w:r w:rsidRPr="00027624">
        <w:rPr>
          <w:sz w:val="24"/>
          <w:szCs w:val="24"/>
        </w:rPr>
        <w:t xml:space="preserve"> </w:t>
      </w:r>
      <w:r w:rsidRPr="00027624">
        <w:t>people earning below the $450</w:t>
      </w:r>
      <w:r w:rsidR="00A8443E" w:rsidRPr="00027624">
        <w:noBreakHyphen/>
      </w:r>
      <w:r w:rsidRPr="00027624">
        <w:t>a</w:t>
      </w:r>
      <w:r w:rsidR="00A8443E" w:rsidRPr="00027624">
        <w:noBreakHyphen/>
      </w:r>
      <w:r w:rsidRPr="00027624">
        <w:t>month threshold are women. Although removing the $450</w:t>
      </w:r>
      <w:r w:rsidR="00A8443E" w:rsidRPr="00027624">
        <w:noBreakHyphen/>
      </w:r>
      <w:r w:rsidRPr="00027624">
        <w:t>a</w:t>
      </w:r>
      <w:r w:rsidR="00A8443E" w:rsidRPr="00027624">
        <w:noBreakHyphen/>
      </w:r>
      <w:r w:rsidRPr="00027624">
        <w:t>month threshold would have a small effect on retirement incomes, it would improve gender equity in SG coverage.</w:t>
      </w:r>
    </w:p>
    <w:p w14:paraId="1C731A6F" w14:textId="77777777" w:rsidR="0033541B" w:rsidRPr="00027624" w:rsidRDefault="0033541B" w:rsidP="00454F18">
      <w:pPr>
        <w:pStyle w:val="Bullet"/>
      </w:pPr>
      <w:r w:rsidRPr="00027624">
        <w:rPr>
          <w:b/>
          <w:bCs/>
        </w:rPr>
        <w:t>Pa</w:t>
      </w:r>
      <w:r w:rsidR="00DB6A40" w:rsidRPr="00027624">
        <w:rPr>
          <w:b/>
          <w:bCs/>
        </w:rPr>
        <w:t xml:space="preserve">ying superannuation on employer </w:t>
      </w:r>
      <w:r w:rsidRPr="00027624">
        <w:rPr>
          <w:b/>
          <w:bCs/>
        </w:rPr>
        <w:t>paid parental leave and Government Parental Leave Pay</w:t>
      </w:r>
      <w:r w:rsidRPr="00027624">
        <w:rPr>
          <w:b/>
        </w:rPr>
        <w:t>.</w:t>
      </w:r>
      <w:r w:rsidRPr="00027624">
        <w:t xml:space="preserve"> This would have a small impact on narrowing the retirement income gap between some women and men, improving gender equity in SG coverage. Receiving superannuation on paid parental leave and Parental Leave Pay would reduce, to a small degree, the impacts of career breaks taken by women to raise children.</w:t>
      </w:r>
    </w:p>
    <w:p w14:paraId="06C9C794" w14:textId="77777777" w:rsidR="0033541B" w:rsidRPr="00027624" w:rsidRDefault="0033541B" w:rsidP="00454F18">
      <w:pPr>
        <w:pStyle w:val="Bullet"/>
      </w:pPr>
      <w:r w:rsidRPr="00027624">
        <w:rPr>
          <w:b/>
          <w:bCs/>
        </w:rPr>
        <w:t>Disclosing superannuation balances in divorce settlements.</w:t>
      </w:r>
      <w:r w:rsidRPr="00027624">
        <w:t xml:space="preserve"> Superannuation is generally able to be divided up in family property settlement following a divorce, although it is challenging to ensure that all superannuation assets are disclosed. A measure was announced in 2018 but has yet to be implemented, whereby the ATO could provide accurate and timely information to courts on superannuation balances.</w:t>
      </w:r>
    </w:p>
    <w:p w14:paraId="05FA3589" w14:textId="77777777" w:rsidR="0033541B" w:rsidRPr="00027624" w:rsidRDefault="0033541B" w:rsidP="00454F18">
      <w:pPr>
        <w:pStyle w:val="Bullet"/>
      </w:pPr>
      <w:r w:rsidRPr="00027624">
        <w:rPr>
          <w:b/>
          <w:bCs/>
        </w:rPr>
        <w:lastRenderedPageBreak/>
        <w:t>Reducing superannuation tax concessions for higher</w:t>
      </w:r>
      <w:r w:rsidR="00A8443E" w:rsidRPr="00027624">
        <w:rPr>
          <w:b/>
          <w:bCs/>
        </w:rPr>
        <w:noBreakHyphen/>
      </w:r>
      <w:r w:rsidRPr="00027624">
        <w:rPr>
          <w:b/>
          <w:bCs/>
        </w:rPr>
        <w:t>income earner</w:t>
      </w:r>
      <w:r w:rsidRPr="00027624">
        <w:rPr>
          <w:b/>
        </w:rPr>
        <w:t>s.</w:t>
      </w:r>
      <w:r w:rsidRPr="00027624">
        <w:t xml:space="preserve"> Superannuation tax concessions predominantly benefit higher</w:t>
      </w:r>
      <w:r w:rsidR="00A8443E" w:rsidRPr="00027624">
        <w:noBreakHyphen/>
      </w:r>
      <w:r w:rsidRPr="00027624">
        <w:t>income earners and there are more higher</w:t>
      </w:r>
      <w:r w:rsidR="00A8443E" w:rsidRPr="00027624">
        <w:noBreakHyphen/>
      </w:r>
      <w:r w:rsidRPr="00027624">
        <w:t>income men than women. Reducing superannuation tax concessions for higher</w:t>
      </w:r>
      <w:r w:rsidR="00A8443E" w:rsidRPr="00027624">
        <w:noBreakHyphen/>
      </w:r>
      <w:r w:rsidRPr="00027624">
        <w:t>income earners would reduce the degree to which gender gaps in working</w:t>
      </w:r>
      <w:r w:rsidR="00A8443E" w:rsidRPr="00027624">
        <w:noBreakHyphen/>
      </w:r>
      <w:r w:rsidRPr="00027624">
        <w:t>life incomes translate into gaps in superannuation balances.</w:t>
      </w:r>
    </w:p>
    <w:p w14:paraId="6AE48828" w14:textId="77777777" w:rsidR="0033541B" w:rsidRPr="00027624" w:rsidRDefault="0033541B" w:rsidP="00454F18">
      <w:pPr>
        <w:pStyle w:val="Bullet"/>
        <w:rPr>
          <w:b/>
          <w:bCs/>
        </w:rPr>
      </w:pPr>
      <w:r w:rsidRPr="00027624">
        <w:rPr>
          <w:b/>
          <w:bCs/>
        </w:rPr>
        <w:t>Increased support for lower</w:t>
      </w:r>
      <w:r w:rsidR="00A8443E" w:rsidRPr="00027624">
        <w:rPr>
          <w:b/>
          <w:bCs/>
        </w:rPr>
        <w:noBreakHyphen/>
      </w:r>
      <w:r w:rsidRPr="00027624">
        <w:rPr>
          <w:b/>
          <w:bCs/>
        </w:rPr>
        <w:t>income retirees who rent.</w:t>
      </w:r>
      <w:r w:rsidRPr="00027624">
        <w:t xml:space="preserve"> This would assist women because more women than men rent in retirement.</w:t>
      </w:r>
    </w:p>
    <w:p w14:paraId="5C4859FF" w14:textId="77777777" w:rsidR="0033541B" w:rsidRPr="00027624" w:rsidRDefault="0033541B" w:rsidP="00454F18">
      <w:pPr>
        <w:pStyle w:val="Bullet"/>
        <w:rPr>
          <w:b/>
        </w:rPr>
      </w:pPr>
      <w:r w:rsidRPr="00027624">
        <w:rPr>
          <w:b/>
        </w:rPr>
        <w:t>Increasing the SG rate</w:t>
      </w:r>
      <w:r w:rsidR="00BE51D1" w:rsidRPr="00027624">
        <w:rPr>
          <w:b/>
        </w:rPr>
        <w:t xml:space="preserve">. </w:t>
      </w:r>
      <w:r w:rsidR="00BE51D1" w:rsidRPr="00027624">
        <w:t>Increasing the SG rate</w:t>
      </w:r>
      <w:r w:rsidRPr="00027624">
        <w:t xml:space="preserve"> would not reduce the gender superannuation balance gap and would benefit the retirement incomes of men more than women.</w:t>
      </w:r>
    </w:p>
    <w:p w14:paraId="5EB16207" w14:textId="77777777" w:rsidR="0033541B" w:rsidRPr="00027624" w:rsidRDefault="0033541B" w:rsidP="003A119F">
      <w:pPr>
        <w:pStyle w:val="Heading3"/>
      </w:pPr>
      <w:r w:rsidRPr="00027624">
        <w:t>Equity: Home ownership status</w:t>
      </w:r>
    </w:p>
    <w:p w14:paraId="560A90F1" w14:textId="77777777" w:rsidR="0033541B" w:rsidRPr="00027624" w:rsidRDefault="0033541B" w:rsidP="00454F18">
      <w:r w:rsidRPr="00027624">
        <w:rPr>
          <w:b/>
        </w:rPr>
        <w:t>The retirement income system does not appear to be delivering an appropriate standard of living for many retiree renters.</w:t>
      </w:r>
      <w:r w:rsidRPr="00027624">
        <w:t xml:space="preserve"> Owning a home has a positive influence on a person</w:t>
      </w:r>
      <w:r w:rsidR="00A8443E" w:rsidRPr="00027624">
        <w:t>’</w:t>
      </w:r>
      <w:r w:rsidRPr="00027624">
        <w:t xml:space="preserve">s standard of living in retirement. Whereas, in retirement, renters have higher levels of financial stress. A significant proportion of retiree households </w:t>
      </w:r>
      <w:r w:rsidR="00115647" w:rsidRPr="00027624">
        <w:t>that</w:t>
      </w:r>
      <w:r w:rsidRPr="00027624">
        <w:t xml:space="preserve"> rent are in income poverty, which is even higher for single retiree renters.</w:t>
      </w:r>
    </w:p>
    <w:p w14:paraId="6E6744B1" w14:textId="77777777" w:rsidR="0033541B" w:rsidRPr="00027624" w:rsidRDefault="0033541B" w:rsidP="00454F18">
      <w:r w:rsidRPr="00027624">
        <w:t>Retiree renters have much higher housing expenditure than retirees who own their home. Consequently, renters have lower disposable income after housing costs. Although Commonwealth Rent Assistance provides additional support to retiree renters, it is far below the level that would bridge the gap in their living standards compared to home owners.</w:t>
      </w:r>
    </w:p>
    <w:p w14:paraId="0AC31DA9" w14:textId="77777777" w:rsidR="0033541B" w:rsidRPr="00027624" w:rsidRDefault="0033541B" w:rsidP="00454F18">
      <w:r w:rsidRPr="00027624">
        <w:t xml:space="preserve">Renters and home owners </w:t>
      </w:r>
      <w:r w:rsidRPr="00027624" w:rsidDel="001A3E98">
        <w:t>may</w:t>
      </w:r>
      <w:r w:rsidRPr="00027624">
        <w:t xml:space="preserve"> have different outcomes in retirement. The question is whether this is influenced by the structure of the retirement income system, </w:t>
      </w:r>
      <w:r w:rsidRPr="00027624" w:rsidDel="001A3E98">
        <w:t xml:space="preserve">or </w:t>
      </w:r>
      <w:r w:rsidRPr="00027624">
        <w:t>whether it reflects other influences. For example, it may reflect that renters do not have sufficient financial capacity during their working lives to buy a house. Compared to renters, home owners in retirement generally have higher levels of wealth. In addition, some retirees may be renting because of relationship breakdowns.</w:t>
      </w:r>
    </w:p>
    <w:p w14:paraId="7A558A79" w14:textId="77777777" w:rsidR="0033541B" w:rsidRPr="00027624" w:rsidRDefault="0033541B" w:rsidP="00454F18">
      <w:r w:rsidRPr="00027624">
        <w:t>A key aspect of the retirement income system favouring home owners is that the principal residence is excluded from the assets test for the Age Pension. Regardless of the value of the house, a home owner can receive the same Age Pension as a renter (Chart 9), all other things being equal.</w:t>
      </w:r>
    </w:p>
    <w:p w14:paraId="3EAE38FF" w14:textId="77777777" w:rsidR="0033541B" w:rsidRPr="00027624" w:rsidRDefault="0033541B" w:rsidP="000D24F2">
      <w:pPr>
        <w:pStyle w:val="OverviewChart"/>
      </w:pPr>
      <w:r w:rsidRPr="00027624">
        <w:t>Distribution of home values among age pensioners who own their home</w:t>
      </w:r>
      <w:bookmarkStart w:id="106" w:name="_Ref41546303"/>
      <w:bookmarkEnd w:id="106"/>
    </w:p>
    <w:p w14:paraId="3CCD5DFC" w14:textId="77777777" w:rsidR="0033541B" w:rsidRPr="00027624" w:rsidRDefault="00BD6F01" w:rsidP="00D93ECD">
      <w:pPr>
        <w:pStyle w:val="ChartGraphic"/>
      </w:pPr>
      <w:r>
        <w:rPr>
          <w:noProof/>
        </w:rPr>
        <w:drawing>
          <wp:inline distT="0" distB="0" distL="0" distR="0" wp14:anchorId="7947C5CB" wp14:editId="517BE831">
            <wp:extent cx="5623560" cy="2499360"/>
            <wp:effectExtent l="0" t="0" r="0" b="0"/>
            <wp:docPr id="140" name="Picture 140" descr="This chart shows that for age pensioners who own their own home, the value of the home is most likely to be around $300,000-$700,000. Around 5 per cent of age pensioners have a principal residence of over $1.5 million. " title="Chart 9 Distribution of home values among age pensioners who own their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3560" cy="2499360"/>
                    </a:xfrm>
                    <a:prstGeom prst="rect">
                      <a:avLst/>
                    </a:prstGeom>
                    <a:noFill/>
                  </pic:spPr>
                </pic:pic>
              </a:graphicData>
            </a:graphic>
          </wp:inline>
        </w:drawing>
      </w:r>
    </w:p>
    <w:p w14:paraId="2D9B7419" w14:textId="77777777" w:rsidR="0033541B" w:rsidRPr="00027624" w:rsidRDefault="0033541B" w:rsidP="00454F18">
      <w:pPr>
        <w:pStyle w:val="ChartorTableNote"/>
      </w:pPr>
      <w:r w:rsidRPr="00027624">
        <w:t>Note: Horizontal axis labels indicate home values up to that amount (e</w:t>
      </w:r>
      <w:r w:rsidR="00BE51D1" w:rsidRPr="00027624">
        <w:t>.g. $200,000 includes homes over</w:t>
      </w:r>
      <w:r w:rsidRPr="00027624">
        <w:t xml:space="preserve"> $10</w:t>
      </w:r>
      <w:r w:rsidR="00C20894" w:rsidRPr="00027624">
        <w:t xml:space="preserve">0,000 up to $200,000). Source: </w:t>
      </w:r>
      <w:r w:rsidRPr="00027624">
        <w:t xml:space="preserve">Department of Social Services analysis of payment </w:t>
      </w:r>
      <w:r w:rsidR="008323D9">
        <w:t>data, June 2018</w:t>
      </w:r>
      <w:r w:rsidRPr="00027624">
        <w:t>.</w:t>
      </w:r>
    </w:p>
    <w:p w14:paraId="3FC1BDF8" w14:textId="77777777" w:rsidR="00C801DF" w:rsidRPr="00027624" w:rsidRDefault="00C801DF" w:rsidP="00C801DF">
      <w:pPr>
        <w:rPr>
          <w:sz w:val="24"/>
          <w:szCs w:val="24"/>
        </w:rPr>
      </w:pPr>
      <w:r w:rsidRPr="00027624">
        <w:lastRenderedPageBreak/>
        <w:t>This suggests that wealthier retirees (in terms of the value of their homes), can receive the same Government assistance as those less wealthy (either retirees who rent or home owners with houses of lesser value).</w:t>
      </w:r>
    </w:p>
    <w:p w14:paraId="06A1B999" w14:textId="77777777" w:rsidR="0033541B" w:rsidRPr="00027624" w:rsidRDefault="0033541B" w:rsidP="00454F18">
      <w:pPr>
        <w:rPr>
          <w:sz w:val="24"/>
          <w:szCs w:val="24"/>
        </w:rPr>
      </w:pPr>
      <w:r w:rsidRPr="00027624">
        <w:t xml:space="preserve">Renters have a higher assets test free area, although only a small proportion of retirees benefit from the higher threshold. Nevertheless, those renters who hold wealth above the Age Pension assets test free area in forms other than a house receive less support than home owners with the same level of wealth. The renter will receive less Age Pension than the home owner. </w:t>
      </w:r>
      <w:r w:rsidR="00115647" w:rsidRPr="00027624">
        <w:t>As such, they will have to self</w:t>
      </w:r>
      <w:r w:rsidR="00A8443E" w:rsidRPr="00027624">
        <w:noBreakHyphen/>
      </w:r>
      <w:r w:rsidR="00115647" w:rsidRPr="00027624">
        <w:t>f</w:t>
      </w:r>
      <w:r w:rsidRPr="00027624">
        <w:t>und a higher proportion of their retirement income compared with a home owner.</w:t>
      </w:r>
    </w:p>
    <w:p w14:paraId="0559E8A5" w14:textId="77777777" w:rsidR="0033541B" w:rsidRPr="00027624" w:rsidRDefault="0033541B" w:rsidP="00454F18">
      <w:r w:rsidRPr="00027624">
        <w:t>The declining trend in home ownership among Australians has created concerns that an increasing number of retirees may be renting in future. This is an important factor to consider in terms of whether the retirement income system will be able to continue to deliver adequate retirement outcomes. It may also increasingly bring into question whether home owners and renters are treated equally in the retirement income system.</w:t>
      </w:r>
    </w:p>
    <w:p w14:paraId="653EAF0C" w14:textId="77777777" w:rsidR="0033541B" w:rsidRPr="00027624" w:rsidRDefault="0033541B" w:rsidP="00454F18">
      <w:r w:rsidRPr="00027624">
        <w:rPr>
          <w:b/>
          <w:bCs/>
        </w:rPr>
        <w:t>Some stakeholders suggested that if a retiree</w:t>
      </w:r>
      <w:r w:rsidR="00A8443E" w:rsidRPr="00027624">
        <w:rPr>
          <w:b/>
          <w:bCs/>
        </w:rPr>
        <w:t>’</w:t>
      </w:r>
      <w:r w:rsidRPr="00027624">
        <w:rPr>
          <w:b/>
          <w:bCs/>
        </w:rPr>
        <w:t>s principal residence was part of the Age Pension assets test, this would help equate the treatment of home owners and renters.</w:t>
      </w:r>
      <w:r w:rsidRPr="00027624">
        <w:t xml:space="preserve"> If</w:t>
      </w:r>
      <w:r w:rsidRPr="00027624" w:rsidDel="001A3E98">
        <w:t xml:space="preserve"> </w:t>
      </w:r>
      <w:r w:rsidRPr="00027624">
        <w:t>the home were included in the assets test, some home owners would no longer be eligible for the Age Pension. Others would receive less Age Pension. In response, home owners may be more inclined to access the equity in their home to fund their retirement. To the extent that this takes place, home owners would be self</w:t>
      </w:r>
      <w:r w:rsidR="00A8443E" w:rsidRPr="00027624">
        <w:noBreakHyphen/>
      </w:r>
      <w:r w:rsidRPr="00027624">
        <w:t>funding their retirement income to a greater extent than at present. This would be more in line with what is currently the case for retiree renters with a similar level of wealth as home owners. One of</w:t>
      </w:r>
      <w:r w:rsidRPr="00027624" w:rsidDel="001A3E98">
        <w:t xml:space="preserve"> this </w:t>
      </w:r>
      <w:r w:rsidRPr="00027624">
        <w:t>report</w:t>
      </w:r>
      <w:r w:rsidR="00A8443E" w:rsidRPr="00027624">
        <w:t>’</w:t>
      </w:r>
      <w:r w:rsidRPr="00027624">
        <w:t>s themes is that a more optimal retirement income system would involve retirees more effectively drawing on all their assets, including the equity in their home, to fund their standard of living in retirement.</w:t>
      </w:r>
    </w:p>
    <w:p w14:paraId="30CE4689" w14:textId="77777777" w:rsidR="0033541B" w:rsidRPr="00027624" w:rsidRDefault="0033541B" w:rsidP="00454F18">
      <w:r w:rsidRPr="00027624">
        <w:t>Renters on the Age Pension and with low wealth need additional assistance to bring their retirement income more in line with minimum standards of adequacy, which is a suggested objective for the system. This would help reduce levels of income poverty and financial stress.</w:t>
      </w:r>
    </w:p>
    <w:p w14:paraId="7474D42D" w14:textId="77777777" w:rsidR="0033541B" w:rsidRPr="00027624" w:rsidRDefault="0033541B" w:rsidP="00454F18">
      <w:r w:rsidRPr="00027624">
        <w:t>Many stakeholders called for an increase in Commonwealth Rent Assistance to address the difficulties facing lower</w:t>
      </w:r>
      <w:r w:rsidR="00A8443E" w:rsidRPr="00027624">
        <w:noBreakHyphen/>
      </w:r>
      <w:r w:rsidRPr="00027624">
        <w:t>income retirees who rent. About 22 per cent of all recipients of Commonwealth Rent Assistance receive the Age Pension. It is part of the broader social welfare system</w:t>
      </w:r>
      <w:r w:rsidR="00BE51D1" w:rsidRPr="00027624">
        <w:t>,</w:t>
      </w:r>
      <w:r w:rsidRPr="00027624">
        <w:t xml:space="preserve"> and changing the rate of Commonwealth Rent Assistance would affect more than just Age Pension recipients. The review assessed the implications of increasing the rate of Commonwealth Rent Assistance. It would not have a meaningful impact on reducing income poverty among retiree renters.</w:t>
      </w:r>
    </w:p>
    <w:p w14:paraId="40FCBD75" w14:textId="77777777" w:rsidR="0033541B" w:rsidRPr="00027624" w:rsidRDefault="0033541B" w:rsidP="003A119F">
      <w:pPr>
        <w:pStyle w:val="Heading3"/>
      </w:pPr>
      <w:r w:rsidRPr="00027624">
        <w:t xml:space="preserve">Equity: </w:t>
      </w:r>
      <w:r w:rsidR="00115647" w:rsidRPr="00027624">
        <w:t>SG</w:t>
      </w:r>
      <w:r w:rsidRPr="00027624">
        <w:t xml:space="preserve"> coverage</w:t>
      </w:r>
    </w:p>
    <w:p w14:paraId="3AFCF5C4" w14:textId="77777777" w:rsidR="0033541B" w:rsidRPr="00027624" w:rsidRDefault="0033541B" w:rsidP="00454F18">
      <w:r w:rsidRPr="00027624">
        <w:t>The SG is a mandatory entitlement for most employees and does not cover the self</w:t>
      </w:r>
      <w:r w:rsidR="00A8443E" w:rsidRPr="00027624">
        <w:noBreakHyphen/>
      </w:r>
      <w:r w:rsidRPr="00027624">
        <w:t>employed (around 17 per cent of the workforce). Around 90 per cent of employees are covered by the SG. Some employees are excluded.</w:t>
      </w:r>
    </w:p>
    <w:p w14:paraId="156D25E4" w14:textId="77777777" w:rsidR="0033541B" w:rsidRPr="00027624" w:rsidRDefault="0033541B" w:rsidP="00454F18">
      <w:r w:rsidRPr="00027624">
        <w:t xml:space="preserve">The main exemption is employees who earn less than $450 before tax in a calendar month </w:t>
      </w:r>
      <w:r w:rsidRPr="00027624">
        <w:rPr>
          <w:rFonts w:eastAsia="Calibri" w:cs="Calibri"/>
          <w:szCs w:val="22"/>
        </w:rPr>
        <w:t>with an individual employer</w:t>
      </w:r>
      <w:r w:rsidRPr="00027624">
        <w:t>. About 300,000 people, or 3 per cent of employees, are affected by this exemption. They are mainly young, lower</w:t>
      </w:r>
      <w:r w:rsidR="00A8443E" w:rsidRPr="00027624">
        <w:noBreakHyphen/>
      </w:r>
      <w:r w:rsidRPr="00027624">
        <w:t>income, part</w:t>
      </w:r>
      <w:r w:rsidR="00A8443E" w:rsidRPr="00027624">
        <w:noBreakHyphen/>
      </w:r>
      <w:r w:rsidRPr="00027624">
        <w:t>time workers</w:t>
      </w:r>
      <w:r w:rsidR="00A8443E" w:rsidRPr="00027624">
        <w:t xml:space="preserve"> — </w:t>
      </w:r>
      <w:r w:rsidRPr="00027624">
        <w:t>around 63 per cent are female. The exemption means affected workers receive less remuneration for the same hour of work as an unaffected colleague.</w:t>
      </w:r>
    </w:p>
    <w:p w14:paraId="17534C76" w14:textId="77777777" w:rsidR="0033541B" w:rsidRPr="00027624" w:rsidRDefault="0033541B" w:rsidP="00454F18">
      <w:r w:rsidRPr="00027624">
        <w:t>The original reason for the $450</w:t>
      </w:r>
      <w:r w:rsidR="00A8443E" w:rsidRPr="00027624">
        <w:noBreakHyphen/>
      </w:r>
      <w:r w:rsidRPr="00027624">
        <w:t>a</w:t>
      </w:r>
      <w:r w:rsidR="00A8443E" w:rsidRPr="00027624">
        <w:noBreakHyphen/>
      </w:r>
      <w:r w:rsidRPr="00027624">
        <w:t>month threshold was to reduce the administrative burden on employers. But this reason has diminished with the digitalisation of payrolls. Measures have also been taken to reduce the impact of fees and insurance premiums on small balances, which was another reason for the threshold.</w:t>
      </w:r>
    </w:p>
    <w:p w14:paraId="71A8F9EB" w14:textId="77777777" w:rsidR="0033541B" w:rsidRPr="00027624" w:rsidRDefault="0033541B" w:rsidP="00454F18">
      <w:r w:rsidRPr="00027624">
        <w:lastRenderedPageBreak/>
        <w:t>Removing the $450</w:t>
      </w:r>
      <w:r w:rsidR="00A8443E" w:rsidRPr="00027624">
        <w:noBreakHyphen/>
      </w:r>
      <w:r w:rsidRPr="00027624">
        <w:t>a</w:t>
      </w:r>
      <w:r w:rsidR="00A8443E" w:rsidRPr="00027624">
        <w:noBreakHyphen/>
      </w:r>
      <w:r w:rsidRPr="00027624">
        <w:t xml:space="preserve">month threshold for SG payments would not materially improve retirement outcomes, but would improve equity </w:t>
      </w:r>
      <w:r w:rsidR="00115647" w:rsidRPr="00027624">
        <w:t>of</w:t>
      </w:r>
      <w:r w:rsidRPr="00027624">
        <w:t xml:space="preserve"> the system, particularly for women and lower</w:t>
      </w:r>
      <w:r w:rsidR="00A8443E" w:rsidRPr="00027624">
        <w:noBreakHyphen/>
      </w:r>
      <w:r w:rsidRPr="00027624">
        <w:t>income workers.</w:t>
      </w:r>
    </w:p>
    <w:p w14:paraId="7A88AF44" w14:textId="77777777" w:rsidR="0033541B" w:rsidRPr="00027624" w:rsidRDefault="0033541B" w:rsidP="00454F18">
      <w:r w:rsidRPr="00027624">
        <w:t>Another exemption from SG coverage is overtime pay. The salary base for the SG is ordinary time earnings, which excludes overtime pay. Overtime is significant in some industries (such as mining, construction and manufacturing). Forgone SG on overtime can significantly affect the superannuation balances and retirement incomes of the employees affected. Applying the SG to ordinary time earnings is a legacy from the occupational superannuation arrangements prior to the SG. Including overtime pay within the coverage of the SG would improve the equity of the system.</w:t>
      </w:r>
    </w:p>
    <w:p w14:paraId="68B8D07E" w14:textId="77777777" w:rsidR="0033541B" w:rsidRPr="00027624" w:rsidRDefault="0033541B" w:rsidP="00454F18">
      <w:r w:rsidRPr="00027624">
        <w:t>Not all employers meet their obligation and make SG payments to their employees</w:t>
      </w:r>
      <w:r w:rsidR="00A8443E" w:rsidRPr="00027624">
        <w:t>’</w:t>
      </w:r>
      <w:r w:rsidRPr="00027624">
        <w:t xml:space="preserve"> superannuation accounts (the </w:t>
      </w:r>
      <w:r w:rsidR="00A8443E" w:rsidRPr="00027624">
        <w:t>‘</w:t>
      </w:r>
      <w:r w:rsidRPr="00027624">
        <w:t>SG gap</w:t>
      </w:r>
      <w:r w:rsidR="00A8443E" w:rsidRPr="00027624">
        <w:t>’</w:t>
      </w:r>
      <w:r w:rsidRPr="00027624">
        <w:t>). The total amount of the SG owed to employees was estimated to be about $2.3 billion in 2016</w:t>
      </w:r>
      <w:r w:rsidR="00A8443E" w:rsidRPr="00027624">
        <w:noBreakHyphen/>
      </w:r>
      <w:r w:rsidRPr="00027624">
        <w:t>17. Lower</w:t>
      </w:r>
      <w:r w:rsidR="00A8443E" w:rsidRPr="00027624">
        <w:noBreakHyphen/>
      </w:r>
      <w:r w:rsidRPr="00027624">
        <w:t xml:space="preserve">income workers in accommodation and food services, and construction are particularly affected. Young employees missing out on the SG are significantly impacted because they miss out on the benefits of compounding returns. Generally, those not making required SG payments are </w:t>
      </w:r>
      <w:r w:rsidRPr="00027624" w:rsidDel="00813454">
        <w:t xml:space="preserve">smaller </w:t>
      </w:r>
      <w:r w:rsidRPr="00027624">
        <w:t>employers.</w:t>
      </w:r>
    </w:p>
    <w:p w14:paraId="1523574E" w14:textId="77777777" w:rsidR="0033541B" w:rsidRPr="00027624" w:rsidRDefault="0033541B" w:rsidP="00454F18">
      <w:r w:rsidRPr="00027624">
        <w:t>Developments such as Single Touch Payroll require employers to report tax and SG information to the ATO at the same time they pay their employees. This will improve and expedite ATO</w:t>
      </w:r>
      <w:r w:rsidRPr="00027624">
        <w:rPr>
          <w:sz w:val="24"/>
          <w:szCs w:val="24"/>
        </w:rPr>
        <w:t xml:space="preserve"> </w:t>
      </w:r>
      <w:r w:rsidRPr="00027624">
        <w:t>oversight of SG compliance. On average</w:t>
      </w:r>
      <w:r w:rsidR="00BE51D1" w:rsidRPr="00027624">
        <w:t>,</w:t>
      </w:r>
      <w:r w:rsidRPr="00027624">
        <w:t xml:space="preserve"> non</w:t>
      </w:r>
      <w:r w:rsidR="00A8443E" w:rsidRPr="00027624">
        <w:noBreakHyphen/>
      </w:r>
      <w:r w:rsidRPr="00027624">
        <w:t>compliance continues for around 18 months, which reduces employee superannuation balances</w:t>
      </w:r>
      <w:r w:rsidR="00BE51D1" w:rsidRPr="00027624">
        <w:t xml:space="preserve"> –</w:t>
      </w:r>
      <w:r w:rsidRPr="00027624">
        <w:t xml:space="preserve"> especially if the company becomes insolvent and is unable to make good the deficit.</w:t>
      </w:r>
    </w:p>
    <w:p w14:paraId="07D90389" w14:textId="77777777" w:rsidR="0033541B" w:rsidRPr="00027624" w:rsidRDefault="0033541B" w:rsidP="00454F18">
      <w:r w:rsidRPr="00027624">
        <w:t>The self</w:t>
      </w:r>
      <w:r w:rsidR="00A8443E" w:rsidRPr="00027624">
        <w:noBreakHyphen/>
      </w:r>
      <w:r w:rsidRPr="00027624">
        <w:t>employed are not required to contribute to a superannuation fund on their own behalf. There are approximately 2.2 million self</w:t>
      </w:r>
      <w:r w:rsidR="00A8443E" w:rsidRPr="00027624">
        <w:noBreakHyphen/>
      </w:r>
      <w:r w:rsidRPr="00027624">
        <w:t>employed people. Requiring self</w:t>
      </w:r>
      <w:r w:rsidR="00A8443E" w:rsidRPr="00027624">
        <w:noBreakHyphen/>
      </w:r>
      <w:r w:rsidRPr="00027624">
        <w:t>employed people to make SG payments on their behalf would boost their superannuation balances and diversify their retirement savings. But it would reduce their ability to invest in their businesses. It would also be difficult to determine the equivalent contribution base for the self</w:t>
      </w:r>
      <w:r w:rsidR="00A8443E" w:rsidRPr="00027624">
        <w:noBreakHyphen/>
      </w:r>
      <w:r w:rsidRPr="00027624">
        <w:t>employed.</w:t>
      </w:r>
    </w:p>
    <w:p w14:paraId="2B695B17" w14:textId="77777777" w:rsidR="0033541B" w:rsidRPr="00027624" w:rsidRDefault="0033541B" w:rsidP="00454F18">
      <w:pPr>
        <w:rPr>
          <w:sz w:val="24"/>
          <w:szCs w:val="24"/>
        </w:rPr>
      </w:pPr>
      <w:r w:rsidRPr="00027624">
        <w:t>Self</w:t>
      </w:r>
      <w:r w:rsidR="00A8443E" w:rsidRPr="00027624">
        <w:noBreakHyphen/>
      </w:r>
      <w:r w:rsidRPr="00027624">
        <w:t>employed people generally have lower superannuation balances than employees. But many have other assets, such as business assets, which result in them having similar wealth profiles as</w:t>
      </w:r>
      <w:r w:rsidRPr="00027624">
        <w:rPr>
          <w:sz w:val="24"/>
          <w:szCs w:val="24"/>
        </w:rPr>
        <w:t xml:space="preserve"> </w:t>
      </w:r>
      <w:r w:rsidRPr="00027624">
        <w:t>employees when approaching retirement. Small</w:t>
      </w:r>
      <w:r w:rsidRPr="00027624" w:rsidDel="000137DE">
        <w:t xml:space="preserve"> </w:t>
      </w:r>
      <w:r w:rsidRPr="00027624">
        <w:t>business owners also benefit from a number of capital gains tax concessions.</w:t>
      </w:r>
    </w:p>
    <w:p w14:paraId="03D83D4D" w14:textId="77777777" w:rsidR="0033541B" w:rsidRPr="00027624" w:rsidRDefault="0033541B" w:rsidP="00454F18">
      <w:r w:rsidRPr="00027624">
        <w:t>Sham contracting may see some employees misclassified as contractors and missing out on the SG. Enforcing sham contracting laws would help these people receive SG payments.</w:t>
      </w:r>
    </w:p>
    <w:p w14:paraId="19B47271" w14:textId="77777777" w:rsidR="0033541B" w:rsidRPr="00027624" w:rsidRDefault="0033541B" w:rsidP="00C801DF">
      <w:pPr>
        <w:spacing w:after="80"/>
      </w:pPr>
      <w:r w:rsidRPr="00027624">
        <w:t>The superannuation balances of gig economy workers may be lower than those of employees because of forgone SG. The difference is likely to be small because the gig economy is not the primary source of income for most people.</w:t>
      </w:r>
    </w:p>
    <w:p w14:paraId="3A9706C2" w14:textId="77777777" w:rsidR="0033541B" w:rsidRPr="00027624" w:rsidRDefault="0033541B" w:rsidP="00C801DF">
      <w:pPr>
        <w:spacing w:after="80"/>
      </w:pPr>
      <w:r w:rsidRPr="00027624">
        <w:t>Stakeholders identified a number of changes to SG coverage aimed at improving equity within the retirement income system. These include:</w:t>
      </w:r>
    </w:p>
    <w:p w14:paraId="4EEB12AC" w14:textId="77777777" w:rsidR="0033541B" w:rsidRPr="00027624" w:rsidRDefault="0033541B" w:rsidP="00C801DF">
      <w:pPr>
        <w:pStyle w:val="Bullet"/>
        <w:spacing w:after="80"/>
      </w:pPr>
      <w:r w:rsidRPr="00027624">
        <w:rPr>
          <w:b/>
          <w:bCs/>
        </w:rPr>
        <w:t>Removing the $450</w:t>
      </w:r>
      <w:r w:rsidR="00A8443E" w:rsidRPr="00027624">
        <w:rPr>
          <w:b/>
          <w:bCs/>
        </w:rPr>
        <w:noBreakHyphen/>
      </w:r>
      <w:r w:rsidRPr="00027624">
        <w:rPr>
          <w:b/>
          <w:bCs/>
        </w:rPr>
        <w:t>a</w:t>
      </w:r>
      <w:r w:rsidR="00A8443E" w:rsidRPr="00027624">
        <w:rPr>
          <w:b/>
          <w:bCs/>
        </w:rPr>
        <w:noBreakHyphen/>
      </w:r>
      <w:r w:rsidRPr="00027624">
        <w:rPr>
          <w:b/>
          <w:bCs/>
        </w:rPr>
        <w:t>month threshold</w:t>
      </w:r>
      <w:r w:rsidRPr="00027624">
        <w:rPr>
          <w:b/>
        </w:rPr>
        <w:t>.</w:t>
      </w:r>
      <w:r w:rsidRPr="00027624">
        <w:t xml:space="preserve"> This would improve equity of the system, particularly for lower</w:t>
      </w:r>
      <w:r w:rsidR="00A8443E" w:rsidRPr="00027624">
        <w:noBreakHyphen/>
      </w:r>
      <w:r w:rsidRPr="00027624">
        <w:t>income women but would not materially improve retirement outcomes.</w:t>
      </w:r>
    </w:p>
    <w:p w14:paraId="2B38344A" w14:textId="77777777" w:rsidR="0033541B" w:rsidRPr="00027624" w:rsidRDefault="0033541B" w:rsidP="00C801DF">
      <w:pPr>
        <w:pStyle w:val="Bullet"/>
        <w:spacing w:after="80"/>
      </w:pPr>
      <w:r w:rsidRPr="00027624">
        <w:rPr>
          <w:b/>
          <w:bCs/>
        </w:rPr>
        <w:t>Expanding the earnings base that attracts the SG to include overtim</w:t>
      </w:r>
      <w:r w:rsidRPr="00027624">
        <w:rPr>
          <w:b/>
        </w:rPr>
        <w:t>e.</w:t>
      </w:r>
      <w:r w:rsidRPr="00027624">
        <w:t xml:space="preserve"> This would boost superannuation balances and retirement outcomes of about 20 per cent of employees, particularly in mining, manufacturing and construction jobs.</w:t>
      </w:r>
    </w:p>
    <w:p w14:paraId="263AD2A0" w14:textId="77777777" w:rsidR="0033541B" w:rsidRPr="00027624" w:rsidRDefault="0033541B" w:rsidP="00C801DF">
      <w:pPr>
        <w:pStyle w:val="Bullet"/>
        <w:spacing w:after="80"/>
      </w:pPr>
      <w:r w:rsidRPr="00027624">
        <w:rPr>
          <w:b/>
          <w:bCs/>
        </w:rPr>
        <w:t>Continuing to ensure people receive the SG they are entitled to,</w:t>
      </w:r>
      <w:r w:rsidRPr="00027624">
        <w:t xml:space="preserve"> through increased transparency to employees and the ATO of SG obligations and payments.</w:t>
      </w:r>
    </w:p>
    <w:p w14:paraId="39AF1280" w14:textId="77777777" w:rsidR="0033541B" w:rsidRPr="00027624" w:rsidRDefault="0033541B" w:rsidP="00C801DF">
      <w:pPr>
        <w:pStyle w:val="Bullet"/>
        <w:spacing w:after="80"/>
        <w:ind w:left="284" w:hanging="284"/>
      </w:pPr>
      <w:r w:rsidRPr="00027624">
        <w:rPr>
          <w:b/>
          <w:bCs/>
        </w:rPr>
        <w:t xml:space="preserve">Paying the SG at the same time as wages. </w:t>
      </w:r>
      <w:r w:rsidRPr="00027624">
        <w:rPr>
          <w:bCs/>
        </w:rPr>
        <w:t>This</w:t>
      </w:r>
      <w:r w:rsidRPr="00027624">
        <w:t xml:space="preserve"> would make it easier for employees to monitor SG compliance. While this would reduce the time employers have to meet their SG obligations, it would limit the build</w:t>
      </w:r>
      <w:r w:rsidR="00A8443E" w:rsidRPr="00027624">
        <w:noBreakHyphen/>
      </w:r>
      <w:r w:rsidRPr="00027624">
        <w:t>up of SG liabilities.</w:t>
      </w:r>
    </w:p>
    <w:p w14:paraId="0C659231" w14:textId="77777777" w:rsidR="0033541B" w:rsidRPr="00027624" w:rsidRDefault="0033541B" w:rsidP="00C801DF">
      <w:pPr>
        <w:pStyle w:val="Bullet"/>
        <w:spacing w:after="0"/>
        <w:ind w:left="284" w:hanging="284"/>
      </w:pPr>
      <w:r w:rsidRPr="00027624">
        <w:rPr>
          <w:b/>
          <w:bCs/>
        </w:rPr>
        <w:t>Enforcing sham contracting laws</w:t>
      </w:r>
      <w:r w:rsidRPr="00027624">
        <w:t xml:space="preserve"> to ensure that employees receive their SG entitlements.</w:t>
      </w:r>
    </w:p>
    <w:p w14:paraId="2FA6258A" w14:textId="77777777" w:rsidR="0033541B" w:rsidRPr="00027624" w:rsidRDefault="0033541B" w:rsidP="003A119F">
      <w:pPr>
        <w:pStyle w:val="Heading3"/>
      </w:pPr>
      <w:r w:rsidRPr="00027624">
        <w:lastRenderedPageBreak/>
        <w:t>Equity: Age of retirement</w:t>
      </w:r>
    </w:p>
    <w:p w14:paraId="13FADA67" w14:textId="67E08069" w:rsidR="0033541B" w:rsidRPr="00027624" w:rsidRDefault="0033541B" w:rsidP="00454F18">
      <w:r w:rsidRPr="00027624">
        <w:t>A large number of people do not choose when to retire (</w:t>
      </w:r>
      <w:r w:rsidRPr="00027624">
        <w:fldChar w:fldCharType="begin"/>
      </w:r>
      <w:r w:rsidRPr="00027624">
        <w:instrText xml:space="preserve"> REF _Ref44927209 \r \h  \* MERGEFORMAT </w:instrText>
      </w:r>
      <w:r w:rsidRPr="00027624">
        <w:fldChar w:fldCharType="separate"/>
      </w:r>
      <w:r w:rsidR="00891058">
        <w:t>Chart 10</w:t>
      </w:r>
      <w:r w:rsidRPr="00027624">
        <w:fldChar w:fldCharType="end"/>
      </w:r>
      <w:r w:rsidRPr="00027624">
        <w:t xml:space="preserve">). They may lose their job and cannot obtain another. They are effectively forced to </w:t>
      </w:r>
      <w:r w:rsidR="00A8443E" w:rsidRPr="00027624">
        <w:t>‘</w:t>
      </w:r>
      <w:r w:rsidRPr="00027624">
        <w:t>retire</w:t>
      </w:r>
      <w:r w:rsidR="00A8443E" w:rsidRPr="00027624">
        <w:t>’</w:t>
      </w:r>
      <w:r w:rsidRPr="00027624">
        <w:t xml:space="preserve"> from the workforce earlier than they intended and with less retirement savings than they planned.</w:t>
      </w:r>
    </w:p>
    <w:p w14:paraId="19996EE6" w14:textId="77777777" w:rsidR="0033541B" w:rsidRPr="00027624" w:rsidRDefault="0033541B" w:rsidP="00454F18">
      <w:r w:rsidRPr="00027624">
        <w:t>Involuntary retirement before Age Pension eligibility age is more common among people with lower wealth and people with lower education levels. It is also more prevalent in blue</w:t>
      </w:r>
      <w:r w:rsidR="00A8443E" w:rsidRPr="00027624">
        <w:noBreakHyphen/>
      </w:r>
      <w:r w:rsidRPr="00027624">
        <w:t>collar occupations.</w:t>
      </w:r>
    </w:p>
    <w:p w14:paraId="2E4019FD" w14:textId="77777777" w:rsidR="0033541B" w:rsidRPr="00027624" w:rsidRDefault="0033541B" w:rsidP="000D24F2">
      <w:pPr>
        <w:pStyle w:val="OverviewChart"/>
      </w:pPr>
      <w:bookmarkStart w:id="107" w:name="_Ref44927209"/>
      <w:r w:rsidRPr="00027624">
        <w:t>Proportion of people retiring, by retirement age and reason</w:t>
      </w:r>
      <w:bookmarkEnd w:id="107"/>
    </w:p>
    <w:p w14:paraId="6C31CDBB" w14:textId="77777777" w:rsidR="0033541B" w:rsidRPr="00027624" w:rsidRDefault="00BD6F01" w:rsidP="004008D7">
      <w:pPr>
        <w:pStyle w:val="ChartGraphic"/>
      </w:pPr>
      <w:r>
        <w:rPr>
          <w:noProof/>
        </w:rPr>
        <w:drawing>
          <wp:inline distT="0" distB="0" distL="0" distR="0" wp14:anchorId="19878BED" wp14:editId="000FBAB3">
            <wp:extent cx="5608320" cy="2446020"/>
            <wp:effectExtent l="0" t="0" r="0" b="0"/>
            <wp:docPr id="141" name="Picture 141" descr="This chart shows that the most common ages for retirement are 60-64 and 65-69. More people retire involuntarily at younger ages (under 55 and 55-59) than at older ages.  " title="Chart 10 Proportion of people retiring, by retirement age and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8320" cy="2446020"/>
                    </a:xfrm>
                    <a:prstGeom prst="rect">
                      <a:avLst/>
                    </a:prstGeom>
                    <a:noFill/>
                  </pic:spPr>
                </pic:pic>
              </a:graphicData>
            </a:graphic>
          </wp:inline>
        </w:drawing>
      </w:r>
    </w:p>
    <w:p w14:paraId="4DAE826F" w14:textId="77777777" w:rsidR="0033541B" w:rsidRPr="00027624" w:rsidRDefault="0033541B" w:rsidP="004008D7">
      <w:pPr>
        <w:pStyle w:val="ChartorTableNote"/>
        <w:rPr>
          <w:iCs/>
        </w:rPr>
      </w:pPr>
      <w:r w:rsidRPr="00027624">
        <w:t>Note: Proportion is of people who retired between July 2013 and June 2019. Assumes the age of retirement is equal to the age of ceasing last job. The reasons for involuntary retirement are split into own ill health, job</w:t>
      </w:r>
      <w:r w:rsidR="00A8443E" w:rsidRPr="00027624">
        <w:noBreakHyphen/>
      </w:r>
      <w:r w:rsidRPr="00027624">
        <w:t xml:space="preserve">related and caring responsibilities. Own ill health is from </w:t>
      </w:r>
      <w:r w:rsidR="00A8443E" w:rsidRPr="00027624">
        <w:t>‘</w:t>
      </w:r>
      <w:r w:rsidRPr="00027624">
        <w:t>own sickness, injury or disability</w:t>
      </w:r>
      <w:r w:rsidR="00A8443E" w:rsidRPr="00027624">
        <w:t>’</w:t>
      </w:r>
      <w:r w:rsidRPr="00027624">
        <w:t xml:space="preserve"> response. Job</w:t>
      </w:r>
      <w:r w:rsidR="00A8443E" w:rsidRPr="00027624">
        <w:noBreakHyphen/>
      </w:r>
      <w:r w:rsidRPr="00027624">
        <w:t xml:space="preserve">related is from </w:t>
      </w:r>
      <w:r w:rsidR="00A8443E" w:rsidRPr="00027624">
        <w:t>‘</w:t>
      </w:r>
      <w:r w:rsidRPr="00027624">
        <w:t>retrenched/dismissed/no work available</w:t>
      </w:r>
      <w:r w:rsidR="00A8443E" w:rsidRPr="00027624">
        <w:t>’</w:t>
      </w:r>
      <w:r w:rsidRPr="00027624">
        <w:t xml:space="preserve">, </w:t>
      </w:r>
      <w:r w:rsidR="00A8443E" w:rsidRPr="00027624">
        <w:t>‘</w:t>
      </w:r>
      <w:r w:rsidRPr="00027624">
        <w:t>own business closed down for economic reasons</w:t>
      </w:r>
      <w:r w:rsidR="00A8443E" w:rsidRPr="00027624">
        <w:t>’</w:t>
      </w:r>
      <w:r w:rsidRPr="00027624">
        <w:t xml:space="preserve">, and </w:t>
      </w:r>
      <w:r w:rsidR="00A8443E" w:rsidRPr="00027624">
        <w:t>‘</w:t>
      </w:r>
      <w:r w:rsidRPr="00027624">
        <w:t>unsatisfactory work arrangements</w:t>
      </w:r>
      <w:r w:rsidR="00A8443E" w:rsidRPr="00027624">
        <w:t>’</w:t>
      </w:r>
      <w:r w:rsidRPr="00027624">
        <w:t xml:space="preserve"> responses. Caring responsibilities is from </w:t>
      </w:r>
      <w:r w:rsidR="00A8443E" w:rsidRPr="00027624">
        <w:t>‘</w:t>
      </w:r>
      <w:r w:rsidRPr="00027624">
        <w:t>to care for children/pregnancy</w:t>
      </w:r>
      <w:r w:rsidR="00A8443E" w:rsidRPr="00027624">
        <w:t>’</w:t>
      </w:r>
      <w:r w:rsidRPr="00027624">
        <w:t xml:space="preserve"> and </w:t>
      </w:r>
      <w:r w:rsidR="00A8443E" w:rsidRPr="00027624">
        <w:t>‘</w:t>
      </w:r>
      <w:r w:rsidRPr="00027624">
        <w:t>to care for ill/disabled/elderly</w:t>
      </w:r>
      <w:r w:rsidR="00A8443E" w:rsidRPr="00027624">
        <w:t>’</w:t>
      </w:r>
      <w:r w:rsidRPr="00027624">
        <w:t xml:space="preserve"> responses. </w:t>
      </w:r>
      <w:r w:rsidRPr="00027624">
        <w:rPr>
          <w:iCs/>
        </w:rPr>
        <w:t xml:space="preserve">Given the small sample size of the two response options that make up the </w:t>
      </w:r>
      <w:r w:rsidR="00A8443E" w:rsidRPr="00027624">
        <w:rPr>
          <w:iCs/>
        </w:rPr>
        <w:t>‘</w:t>
      </w:r>
      <w:r w:rsidRPr="00027624">
        <w:rPr>
          <w:iCs/>
        </w:rPr>
        <w:t>caring responsibilities</w:t>
      </w:r>
      <w:r w:rsidR="00A8443E" w:rsidRPr="00027624">
        <w:rPr>
          <w:iCs/>
        </w:rPr>
        <w:t>’</w:t>
      </w:r>
      <w:r w:rsidRPr="00027624">
        <w:rPr>
          <w:iCs/>
        </w:rPr>
        <w:t xml:space="preserve"> category, these figures should be used with caution.</w:t>
      </w:r>
      <w:r w:rsidRPr="00027624">
        <w:t xml:space="preserve"> Source: Analysis of</w:t>
      </w:r>
      <w:sdt>
        <w:sdtPr>
          <w:id w:val="444817407"/>
          <w:citation/>
        </w:sdtPr>
        <w:sdtEndPr/>
        <w:sdtContent>
          <w:r w:rsidRPr="00027624">
            <w:fldChar w:fldCharType="begin"/>
          </w:r>
          <w:r w:rsidR="00F9343A">
            <w:instrText xml:space="preserve">CITATION ABSR20 \l 3081 </w:instrText>
          </w:r>
          <w:r w:rsidRPr="00027624">
            <w:fldChar w:fldCharType="separate"/>
          </w:r>
          <w:r w:rsidR="00E83F6E">
            <w:rPr>
              <w:noProof/>
            </w:rPr>
            <w:t xml:space="preserve"> (ABS, 2020p)</w:t>
          </w:r>
          <w:r w:rsidRPr="00027624">
            <w:fldChar w:fldCharType="end"/>
          </w:r>
        </w:sdtContent>
      </w:sdt>
      <w:r w:rsidRPr="00027624">
        <w:t>.</w:t>
      </w:r>
    </w:p>
    <w:p w14:paraId="3ACEADC6" w14:textId="77777777" w:rsidR="0033541B" w:rsidRPr="00027624" w:rsidRDefault="0033541B" w:rsidP="00454F18">
      <w:r w:rsidRPr="00027624">
        <w:t xml:space="preserve">People </w:t>
      </w:r>
      <w:r w:rsidR="00BE51D1" w:rsidRPr="00027624">
        <w:t xml:space="preserve">aged </w:t>
      </w:r>
      <w:r w:rsidRPr="00027624">
        <w:t>55 and over have similar levels of unemployment and underemployment as people aged 25</w:t>
      </w:r>
      <w:r w:rsidR="00A8443E" w:rsidRPr="00027624">
        <w:noBreakHyphen/>
      </w:r>
      <w:r w:rsidRPr="00027624">
        <w:t xml:space="preserve">54, although they are generally unemployed </w:t>
      </w:r>
      <w:r w:rsidR="00BE51D1" w:rsidRPr="00027624">
        <w:t>or</w:t>
      </w:r>
      <w:r w:rsidRPr="00027624">
        <w:t xml:space="preserve"> underemployed for longer periods than those at younger ages.</w:t>
      </w:r>
    </w:p>
    <w:p w14:paraId="25ED496B" w14:textId="77777777" w:rsidR="0033541B" w:rsidRPr="00027624" w:rsidRDefault="0033541B" w:rsidP="00454F18">
      <w:pPr>
        <w:rPr>
          <w:sz w:val="24"/>
          <w:szCs w:val="24"/>
        </w:rPr>
      </w:pPr>
      <w:r w:rsidRPr="00027624">
        <w:rPr>
          <w:b/>
          <w:bCs/>
        </w:rPr>
        <w:t>A person who retires before Age Pension eligibility age generally has lower levels of retirement savings and wealth, and in turn, lower retirement incomes than if they retired after reaching Age Pension eligibility age.</w:t>
      </w:r>
      <w:r w:rsidRPr="00027624">
        <w:t xml:space="preserve"> They are also more likely to spend some of their retirement savings before becoming eligible to receive the Age Pension. However, the impact of their lower retirement savings is moderated somewhat through Government pensions and allowances, especially the Age Pension, and social transfers in kind.</w:t>
      </w:r>
    </w:p>
    <w:p w14:paraId="1B264219" w14:textId="77777777" w:rsidR="0033541B" w:rsidRPr="00027624" w:rsidRDefault="0033541B" w:rsidP="00454F18">
      <w:r w:rsidRPr="00027624">
        <w:t>JobSeeker Payment is the main income support for many involuntary retirees until they reach Age Pension eligibility age. In some situations, the difference between the Age Pension rate and the standard JobSeeker Payment rate results in a substantial increase in income when an involuntary retiree becomes eligible for the Age Pension. In contrast, significant numbers of involuntary retirees receive the Disability Support Pension or Carer Payment, which delivers roughly the same social security income as the Age Pension.</w:t>
      </w:r>
    </w:p>
    <w:p w14:paraId="25C283B6" w14:textId="77777777" w:rsidR="0033541B" w:rsidRPr="00027624" w:rsidRDefault="0033541B" w:rsidP="00454F18">
      <w:r w:rsidRPr="00027624">
        <w:t>Increasing the superannuation preservation age or the Age Pension eligibility age would adversely affect a significant number of people who retire involuntarily before these ages.</w:t>
      </w:r>
    </w:p>
    <w:p w14:paraId="3243B3A9" w14:textId="77777777" w:rsidR="0033541B" w:rsidRPr="00027624" w:rsidRDefault="0033541B" w:rsidP="00454F18">
      <w:r w:rsidRPr="00027624">
        <w:rPr>
          <w:b/>
        </w:rPr>
        <w:t>It is challenging for retirement income settings to cater for people who retire early and involuntarily.</w:t>
      </w:r>
      <w:r w:rsidRPr="00027624">
        <w:t xml:space="preserve"> Factors to consider include:</w:t>
      </w:r>
    </w:p>
    <w:p w14:paraId="6A502C5D" w14:textId="77777777" w:rsidR="0033541B" w:rsidRPr="00027624" w:rsidRDefault="0033541B" w:rsidP="00454F18">
      <w:pPr>
        <w:pStyle w:val="Bullet"/>
      </w:pPr>
      <w:r w:rsidRPr="00027624">
        <w:lastRenderedPageBreak/>
        <w:t>Setting the SG rate high enough to compensate for the possibility of involuntary, early retirement would result in many people being required to save more than they need for an adequate retirement income. This would come at the expense of their standard of living during their working lives.</w:t>
      </w:r>
    </w:p>
    <w:p w14:paraId="20C2E10D" w14:textId="77777777" w:rsidR="0033541B" w:rsidRPr="00027624" w:rsidRDefault="0033541B" w:rsidP="00454F18">
      <w:pPr>
        <w:pStyle w:val="Bullet"/>
      </w:pPr>
      <w:r w:rsidRPr="00027624">
        <w:t>Lowering the Age Pension eligibility age only for people in certain industries or occupations who are more likely to retire involuntarily, would be difficult to administer and may lead to inconsistent outcomes between similar people. Moreover, the eligibility age for the Age Pension is currently a major factor influencing when people choose to retire. Lowering the eligibility age for the Age Pension could encourage people to voluntarily retire at an earlier age. This would leave them with lower retirement savings to support them over a longer period of retirement. It would also increase pressure on the sustainability of the Age Pension.</w:t>
      </w:r>
    </w:p>
    <w:p w14:paraId="6F406D76" w14:textId="77777777" w:rsidR="0033541B" w:rsidRPr="00027624" w:rsidRDefault="0033541B" w:rsidP="00454F18">
      <w:pPr>
        <w:pStyle w:val="Bullet"/>
      </w:pPr>
      <w:r w:rsidRPr="00027624">
        <w:t>One of the main equity concerns raised in submissions was that many early, involuntary retirees relied on Newstart Allowance payments, which were significantly below the payment rate of the Age Pension. More generally, many stakeholders said the rate of Newstart Allowance was too low. The JobSeeker Payment has replaced Newstart Allowance and the JobSeeker Payment rate has been temporarily increased as part of the Government</w:t>
      </w:r>
      <w:r w:rsidR="00A8443E" w:rsidRPr="00027624">
        <w:t>’</w:t>
      </w:r>
      <w:r w:rsidRPr="00027624">
        <w:t>s response to the COVID</w:t>
      </w:r>
      <w:r w:rsidR="00A8443E" w:rsidRPr="00027624">
        <w:noBreakHyphen/>
      </w:r>
      <w:r w:rsidRPr="00027624">
        <w:t>19 Pandemic. As the JobSeeker Payment is available to people who are not in full</w:t>
      </w:r>
      <w:r w:rsidR="00A8443E" w:rsidRPr="00027624">
        <w:noBreakHyphen/>
      </w:r>
      <w:r w:rsidRPr="00027624">
        <w:t>time work and meet the eligibility requirements, any change to the payment rate would need to consider broader policy objectives.</w:t>
      </w:r>
    </w:p>
    <w:p w14:paraId="15B43B7C" w14:textId="77777777" w:rsidR="0033541B" w:rsidRPr="00027624" w:rsidRDefault="0033541B" w:rsidP="00454F18">
      <w:r w:rsidRPr="00027624">
        <w:t>Using the income support system is a more efficient and targeted way of supporting those who retire early</w:t>
      </w:r>
      <w:r w:rsidRPr="00027624" w:rsidDel="00662306">
        <w:t xml:space="preserve"> and </w:t>
      </w:r>
      <w:r w:rsidRPr="00027624">
        <w:t>involuntarily.</w:t>
      </w:r>
    </w:p>
    <w:p w14:paraId="3E5AC203" w14:textId="77777777" w:rsidR="0033541B" w:rsidRPr="00027624" w:rsidRDefault="0033541B" w:rsidP="00454F18">
      <w:r w:rsidRPr="00027624">
        <w:t>Retiring beyond Age Pension eligibility age increases retirement incomes. This is primarily driven by investment returns, compounding returns and fewer years in retirement.</w:t>
      </w:r>
    </w:p>
    <w:p w14:paraId="3AD1CF3F" w14:textId="77777777" w:rsidR="0033541B" w:rsidRPr="00027624" w:rsidRDefault="0033541B" w:rsidP="003A119F">
      <w:pPr>
        <w:pStyle w:val="Heading3"/>
      </w:pPr>
      <w:r w:rsidRPr="00027624">
        <w:t>Equity: Aboriginal and Torres Strait Islander people</w:t>
      </w:r>
    </w:p>
    <w:p w14:paraId="1E087BC8" w14:textId="77777777" w:rsidR="0033541B" w:rsidRPr="00027624" w:rsidRDefault="0033541B" w:rsidP="00454F18">
      <w:r w:rsidRPr="00027624">
        <w:t>The working</w:t>
      </w:r>
      <w:r w:rsidR="00A8443E" w:rsidRPr="00027624">
        <w:noBreakHyphen/>
      </w:r>
      <w:r w:rsidRPr="00027624">
        <w:t>life inequities of Aboriginal and Torres Strait Islander people translate into inequities in retirement incomes. They also face additional challenges that reduce their ability to engage with the retirement income system.</w:t>
      </w:r>
    </w:p>
    <w:p w14:paraId="46815D9B" w14:textId="77777777" w:rsidR="0033541B" w:rsidRPr="00027624" w:rsidRDefault="0033541B" w:rsidP="00454F18">
      <w:r w:rsidRPr="00027624">
        <w:rPr>
          <w:b/>
        </w:rPr>
        <w:t>On average,</w:t>
      </w:r>
      <w:r w:rsidRPr="00027624">
        <w:t xml:space="preserve"> </w:t>
      </w:r>
      <w:r w:rsidRPr="00027624">
        <w:rPr>
          <w:b/>
        </w:rPr>
        <w:t>Aboriginal and Torres Strait Islander people have lower superannuation balances and retirement incomes than the total population.</w:t>
      </w:r>
    </w:p>
    <w:p w14:paraId="6BF0D4C1" w14:textId="77777777" w:rsidR="0033541B" w:rsidRPr="00027624" w:rsidRDefault="0033541B" w:rsidP="00454F18">
      <w:r w:rsidRPr="00027624">
        <w:t>Lower retirement incomes than the total population reflect working</w:t>
      </w:r>
      <w:r w:rsidR="00A8443E" w:rsidRPr="00027624">
        <w:noBreakHyphen/>
      </w:r>
      <w:r w:rsidRPr="00027624">
        <w:t>life disadvantages: lower wages, lower labour force participation, lower private savings and rates of home ownership, lower rates of SG coverage and higher rates of disability and involuntary retirement.</w:t>
      </w:r>
    </w:p>
    <w:p w14:paraId="111EDAF7" w14:textId="77777777" w:rsidR="0033541B" w:rsidRPr="00027624" w:rsidRDefault="0033541B" w:rsidP="00454F18">
      <w:r w:rsidRPr="00027624">
        <w:t>Aboriginal and Torres Strait Islander people also face challenges such as accessing banking and financial services, identification verification and laws that do not recognise kinship structures. These challenges are compounded by mistrust in the system due to historical injustices, and generally lower levels of financial literacy compared to the total population.</w:t>
      </w:r>
    </w:p>
    <w:p w14:paraId="67C2EA1A" w14:textId="77777777" w:rsidR="0033541B" w:rsidRPr="00027624" w:rsidRDefault="0033541B" w:rsidP="00454F18">
      <w:r w:rsidRPr="00027624">
        <w:t>Aboriginal and Torres Strait Islander people have lower life expectancies compared with the rest of the population. This means that Aboriginal and Torres Strait Islander people are less likely to reach superannuation preservation age, resulting in unspent retirement savings. Those reaching retirement spend less time on the Age Pension compared with the total population.</w:t>
      </w:r>
    </w:p>
    <w:p w14:paraId="3B9BE660" w14:textId="77777777" w:rsidR="0033541B" w:rsidRPr="00027624" w:rsidRDefault="0033541B" w:rsidP="00454F18">
      <w:r w:rsidRPr="00027624">
        <w:t>In retirement, the Age Pension significantly reduces working</w:t>
      </w:r>
      <w:r w:rsidR="00A8443E" w:rsidRPr="00027624">
        <w:noBreakHyphen/>
      </w:r>
      <w:r w:rsidRPr="00027624">
        <w:t>life income inequality between Aboriginal and Torres Strait Islander people and non</w:t>
      </w:r>
      <w:r w:rsidR="00A8443E" w:rsidRPr="00027624">
        <w:noBreakHyphen/>
      </w:r>
      <w:r w:rsidRPr="00027624">
        <w:t>Indigenous people. Aboriginal and Torres Strait Islander people are more likely to receive the maximum rate of the Age Pension than non</w:t>
      </w:r>
      <w:r w:rsidR="00A8443E" w:rsidRPr="00027624">
        <w:noBreakHyphen/>
      </w:r>
      <w:r w:rsidRPr="00027624">
        <w:t>Indigenous people.</w:t>
      </w:r>
    </w:p>
    <w:p w14:paraId="66E1BF2C" w14:textId="77777777" w:rsidR="0033541B" w:rsidRPr="00027624" w:rsidRDefault="0033541B" w:rsidP="00454F18">
      <w:r w:rsidRPr="00027624">
        <w:lastRenderedPageBreak/>
        <w:t>Increasing the preservation age would further increase the already high proportion of Aboriginal and Torres Strait Islander people who die before accessing their superannuation.</w:t>
      </w:r>
    </w:p>
    <w:p w14:paraId="7D6FF411" w14:textId="77777777" w:rsidR="0033541B" w:rsidRPr="00027624" w:rsidRDefault="0033541B" w:rsidP="00454F18">
      <w:r w:rsidRPr="00027624">
        <w:t>Lowering the preservation age for Aboriginal and Torres Strait Islander people would reduce the probability of them dying before accessing their superannuation, but it may encourage those with a similar life expectancy to the general population to retire early, to the detriment of their retirement incomes.</w:t>
      </w:r>
    </w:p>
    <w:p w14:paraId="4AF31E65" w14:textId="77777777" w:rsidR="0033541B" w:rsidRPr="00027624" w:rsidRDefault="0033541B" w:rsidP="00454F18">
      <w:r w:rsidRPr="00027624">
        <w:t>Increases in the SG rate would have limited effect on the retirement incomes of Aboriginal and Torres Strait Islander people and would come at the expense of working</w:t>
      </w:r>
      <w:r w:rsidR="00A8443E" w:rsidRPr="00027624">
        <w:noBreakHyphen/>
      </w:r>
      <w:r w:rsidRPr="00027624">
        <w:t>life income. Given a large proportion of Aboriginal and Torres Strait Islander people are not in the labour force, many are not covered by the SG and would therefore not receive the benefit of an increase in the SG rate.</w:t>
      </w:r>
    </w:p>
    <w:p w14:paraId="6BE1EA05" w14:textId="77777777" w:rsidR="0033541B" w:rsidRPr="00027624" w:rsidRDefault="0033541B" w:rsidP="00454F18">
      <w:r w:rsidRPr="00027624">
        <w:t>The rate of the Age Pension is an important factor in determining the retirement income outcomes of Aboriginal and Torres Strait Islander people.</w:t>
      </w:r>
    </w:p>
    <w:p w14:paraId="54DBC025" w14:textId="77777777" w:rsidR="0033541B" w:rsidRPr="00027624" w:rsidRDefault="0033541B" w:rsidP="003A119F">
      <w:pPr>
        <w:pStyle w:val="Heading3"/>
      </w:pPr>
      <w:r w:rsidRPr="00027624">
        <w:t>Equity: People with disability</w:t>
      </w:r>
    </w:p>
    <w:p w14:paraId="0D672EE0" w14:textId="77777777" w:rsidR="0033541B" w:rsidRPr="00027624" w:rsidRDefault="0033541B" w:rsidP="00454F18">
      <w:r w:rsidRPr="00027624">
        <w:t>People with disability retire with less superannuation and other savings than those without disability. On average, the more severe a person</w:t>
      </w:r>
      <w:r w:rsidR="00A8443E" w:rsidRPr="00027624">
        <w:t>’</w:t>
      </w:r>
      <w:r w:rsidRPr="00027624">
        <w:t>s disability, the lower their retirement savings.</w:t>
      </w:r>
    </w:p>
    <w:p w14:paraId="4A7DFC46" w14:textId="77777777" w:rsidR="0033541B" w:rsidRPr="00027624" w:rsidRDefault="0033541B" w:rsidP="00454F18">
      <w:r w:rsidRPr="00027624">
        <w:t>The lower average superannuation balances of people with disability reflect lower working</w:t>
      </w:r>
      <w:r w:rsidR="00A8443E" w:rsidRPr="00027624">
        <w:noBreakHyphen/>
      </w:r>
      <w:r w:rsidRPr="00027624">
        <w:t>life participation and earnings. The age a person acquires their disability therefore affects their retirement savings: those who acquire their disability later in life are more likely to have higher retirement savings than someone who acquires their disability early in life.</w:t>
      </w:r>
    </w:p>
    <w:p w14:paraId="5E43EC69" w14:textId="77777777" w:rsidR="0033541B" w:rsidRPr="00027624" w:rsidRDefault="0033541B" w:rsidP="00454F18">
      <w:r w:rsidRPr="00027624">
        <w:t>The median weekly income in 2018 of those aged 15</w:t>
      </w:r>
      <w:r w:rsidR="00A8443E" w:rsidRPr="00027624">
        <w:noBreakHyphen/>
      </w:r>
      <w:r w:rsidRPr="00027624">
        <w:t>64 with disability was $505, compared with $1,016 for a person without disability. Around 53 per cent of people with disability are in the labour force compared with 84 per cent of people without disability. People with disability are more likely to receive income support prior to retirement.</w:t>
      </w:r>
    </w:p>
    <w:p w14:paraId="6ED14FF5" w14:textId="77777777" w:rsidR="0033541B" w:rsidRPr="00027624" w:rsidRDefault="0033541B" w:rsidP="00454F18">
      <w:r w:rsidRPr="00027624">
        <w:t>The Age Pension and social transfers in kind to meet health expenses, help improve retirement income equity relative to working life for those with and without disability. Overall, retirees with disability have similar rates of poverty and financial stress as the total retired population.</w:t>
      </w:r>
    </w:p>
    <w:p w14:paraId="6EF565B5" w14:textId="77777777" w:rsidR="0033541B" w:rsidRPr="00027624" w:rsidRDefault="0033541B" w:rsidP="00454F18">
      <w:r w:rsidRPr="00027624">
        <w:rPr>
          <w:b/>
        </w:rPr>
        <w:t>Increasing assistance to renters would benefit those with disability, as a larger proportion of people with disability rent in retirement compared with the total population</w:t>
      </w:r>
      <w:r w:rsidRPr="00027624">
        <w:rPr>
          <w:b/>
          <w:bCs/>
        </w:rPr>
        <w:t>.</w:t>
      </w:r>
      <w:r w:rsidRPr="00027624">
        <w:t xml:space="preserve"> The Age Pension rate and Pensioner Concession Card are also important in determining whether those with disability have adequate retirement incomes.</w:t>
      </w:r>
    </w:p>
    <w:p w14:paraId="574BCCC2" w14:textId="77777777" w:rsidR="0033541B" w:rsidRPr="00027624" w:rsidRDefault="0033541B" w:rsidP="003A119F">
      <w:pPr>
        <w:pStyle w:val="Heading3"/>
      </w:pPr>
      <w:r w:rsidRPr="00027624">
        <w:t>Equity: Intergenerational</w:t>
      </w:r>
    </w:p>
    <w:p w14:paraId="11FB1FFF" w14:textId="77777777" w:rsidR="0033541B" w:rsidRPr="00027624" w:rsidRDefault="0033541B" w:rsidP="00454F18">
      <w:r w:rsidRPr="00027624">
        <w:t>Intergenerational equity covers cost</w:t>
      </w:r>
      <w:r w:rsidR="00A8443E" w:rsidRPr="00027624">
        <w:noBreakHyphen/>
      </w:r>
      <w:r w:rsidRPr="00027624">
        <w:t>sharing across generations. In the case of the retirement income system, the issue is the extent to which the cost of meeting the retirement incomes of one generation is being borne by another.</w:t>
      </w:r>
    </w:p>
    <w:p w14:paraId="6A07343A" w14:textId="77777777" w:rsidR="0033541B" w:rsidRPr="00027624" w:rsidRDefault="0033541B" w:rsidP="00454F18">
      <w:r w:rsidRPr="00027624">
        <w:t>The superannuation system largely supports intergenerational equity. It encourages people to rely on their own savings to meet their retirement income needs.</w:t>
      </w:r>
    </w:p>
    <w:p w14:paraId="316B96EC" w14:textId="77777777" w:rsidR="0033541B" w:rsidRPr="00027624" w:rsidRDefault="0033541B" w:rsidP="00454F18">
      <w:r w:rsidRPr="00027624">
        <w:t>The significant tax concessions that support superannuation are broadly consistent with intergenerational equity. Under current arrangements, working</w:t>
      </w:r>
      <w:r w:rsidR="00A8443E" w:rsidRPr="00027624">
        <w:noBreakHyphen/>
      </w:r>
      <w:r w:rsidRPr="00027624">
        <w:t>age people mostly pay for and benefit from superannuation tax concessions. Retirees can receive superannuation earnings tax concessions, which are taxpayer funded and hence the cost is borne by working</w:t>
      </w:r>
      <w:r w:rsidR="00A8443E" w:rsidRPr="00027624">
        <w:noBreakHyphen/>
      </w:r>
      <w:r w:rsidRPr="00027624">
        <w:t>age people.</w:t>
      </w:r>
    </w:p>
    <w:p w14:paraId="0789AD43" w14:textId="77777777" w:rsidR="0033541B" w:rsidRPr="00027624" w:rsidRDefault="0033541B" w:rsidP="00454F18">
      <w:r w:rsidRPr="00027624">
        <w:t>The Age Pension involves cost</w:t>
      </w:r>
      <w:r w:rsidR="00A8443E" w:rsidRPr="00027624">
        <w:noBreakHyphen/>
      </w:r>
      <w:r w:rsidRPr="00027624">
        <w:t>sharing across generations. Unlike some other countries, Australians do not contribute to a national fund to cover the cost of the Age Pension. This cost is borne by the current working population.</w:t>
      </w:r>
    </w:p>
    <w:p w14:paraId="47C8886E" w14:textId="77777777" w:rsidR="0033541B" w:rsidRPr="00027624" w:rsidRDefault="0033541B">
      <w:r w:rsidRPr="00027624">
        <w:lastRenderedPageBreak/>
        <w:t>While the Age Pension involves a transfer of income from one generation to another, there is a so</w:t>
      </w:r>
      <w:r w:rsidR="00A8443E" w:rsidRPr="00027624">
        <w:noBreakHyphen/>
      </w:r>
      <w:r w:rsidRPr="00027624">
        <w:t xml:space="preserve">called </w:t>
      </w:r>
      <w:r w:rsidR="00A8443E" w:rsidRPr="00027624">
        <w:t>‘</w:t>
      </w:r>
      <w:r w:rsidRPr="00027624">
        <w:t>generational bargain</w:t>
      </w:r>
      <w:r w:rsidR="00A8443E" w:rsidRPr="00027624">
        <w:t>’</w:t>
      </w:r>
      <w:r w:rsidRPr="00027624">
        <w:t xml:space="preserve"> where today</w:t>
      </w:r>
      <w:r w:rsidR="00A8443E" w:rsidRPr="00027624">
        <w:t>’</w:t>
      </w:r>
      <w:r w:rsidRPr="00027624">
        <w:t>s working</w:t>
      </w:r>
      <w:r w:rsidR="00A8443E" w:rsidRPr="00027624">
        <w:noBreakHyphen/>
      </w:r>
      <w:r w:rsidRPr="00027624">
        <w:t>age Australians expect the generation after them to support them, such as through funding the Age Pension, in the same way they supported the generation that preceded them (Chart 11).</w:t>
      </w:r>
    </w:p>
    <w:p w14:paraId="7326BA6D" w14:textId="77777777" w:rsidR="0033541B" w:rsidRPr="00027624" w:rsidRDefault="0033541B" w:rsidP="000D24F2">
      <w:pPr>
        <w:pStyle w:val="OverviewChart"/>
        <w:rPr>
          <w:rFonts w:eastAsia="Calibri"/>
        </w:rPr>
      </w:pPr>
      <w:r w:rsidRPr="00027624">
        <w:rPr>
          <w:rFonts w:eastAsia="Calibri"/>
        </w:rPr>
        <w:t>Total household taxes and benefits by age</w:t>
      </w:r>
    </w:p>
    <w:p w14:paraId="2FCAD8F7" w14:textId="77777777" w:rsidR="0033541B" w:rsidRPr="00027624" w:rsidRDefault="00BD6F01" w:rsidP="004008D7">
      <w:pPr>
        <w:pStyle w:val="ChartGraphic"/>
      </w:pPr>
      <w:r>
        <w:rPr>
          <w:noProof/>
        </w:rPr>
        <w:drawing>
          <wp:inline distT="0" distB="0" distL="0" distR="0" wp14:anchorId="767A0FF5" wp14:editId="43C32D48">
            <wp:extent cx="5585460" cy="2522220"/>
            <wp:effectExtent l="0" t="0" r="0" b="0"/>
            <wp:docPr id="142" name="Picture 142" descr="This chart shows that households aged 20-62 pay more in taxes than they receive in benefits (cash and in-kind). In contrast, households aged 63-80 receive more in benefits (cash and in-kind) than they pay in taxes." title="Chart 11 Total household taxes and benefits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13F24ED4" w14:textId="77777777" w:rsidR="0033541B" w:rsidRPr="00027624" w:rsidRDefault="0033541B" w:rsidP="00454F18">
      <w:pPr>
        <w:pStyle w:val="ChartorTableNote"/>
      </w:pPr>
      <w:r w:rsidRPr="00027624">
        <w:t>Note: 2015</w:t>
      </w:r>
      <w:r w:rsidR="00A8443E" w:rsidRPr="00027624">
        <w:noBreakHyphen/>
      </w:r>
      <w:r w:rsidRPr="00027624">
        <w:t>16 data. Net benefits refers to all taxes paid minus all social transfers (cash and in</w:t>
      </w:r>
      <w:r w:rsidRPr="00027624">
        <w:rPr>
          <w:iCs/>
        </w:rPr>
        <w:t xml:space="preserve"> </w:t>
      </w:r>
      <w:r w:rsidRPr="00027624">
        <w:t>kind). Source: Replication of</w:t>
      </w:r>
      <w:sdt>
        <w:sdtPr>
          <w:id w:val="-1058858781"/>
          <w:citation/>
        </w:sdtPr>
        <w:sdtEndPr/>
        <w:sdtContent>
          <w:r w:rsidRPr="00027624">
            <w:fldChar w:fldCharType="begin"/>
          </w:r>
          <w:r w:rsidRPr="00027624">
            <w:instrText xml:space="preserve">CITATION Gra19 \l 3081 </w:instrText>
          </w:r>
          <w:r w:rsidRPr="00027624">
            <w:fldChar w:fldCharType="separate"/>
          </w:r>
          <w:r w:rsidR="00E83F6E">
            <w:rPr>
              <w:noProof/>
            </w:rPr>
            <w:t xml:space="preserve"> (Wood, et al., 2019)</w:t>
          </w:r>
          <w:r w:rsidRPr="00027624">
            <w:fldChar w:fldCharType="end"/>
          </w:r>
        </w:sdtContent>
      </w:sdt>
      <w:r w:rsidRPr="00027624">
        <w:t xml:space="preserve">, which is derived from </w:t>
      </w:r>
      <w:sdt>
        <w:sdtPr>
          <w:id w:val="-430278093"/>
          <w:citation/>
        </w:sdtPr>
        <w:sdtEndPr/>
        <w:sdtContent>
          <w:r w:rsidRPr="00027624">
            <w:fldChar w:fldCharType="begin"/>
          </w:r>
          <w:r w:rsidRPr="00027624">
            <w:instrText xml:space="preserve">CITATION ABS18 \l 3081 </w:instrText>
          </w:r>
          <w:r w:rsidRPr="00027624">
            <w:fldChar w:fldCharType="separate"/>
          </w:r>
          <w:r w:rsidR="00E83F6E">
            <w:rPr>
              <w:noProof/>
            </w:rPr>
            <w:t>(ABS, 2018c)</w:t>
          </w:r>
          <w:r w:rsidRPr="00027624">
            <w:fldChar w:fldCharType="end"/>
          </w:r>
        </w:sdtContent>
      </w:sdt>
      <w:r w:rsidRPr="00027624">
        <w:t>.</w:t>
      </w:r>
    </w:p>
    <w:p w14:paraId="51C6DF59" w14:textId="77777777" w:rsidR="0033541B" w:rsidRPr="00027624" w:rsidRDefault="0033541B" w:rsidP="00454F18">
      <w:r w:rsidRPr="00027624">
        <w:t>Given the Australian population is ageing and birth rates have fallen, the ratio of working</w:t>
      </w:r>
      <w:r w:rsidR="00A8443E" w:rsidRPr="00027624">
        <w:noBreakHyphen/>
      </w:r>
      <w:r w:rsidRPr="00027624">
        <w:t>age people relative to retirees is decreasing. This means the annual cost per working</w:t>
      </w:r>
      <w:r w:rsidR="00A8443E" w:rsidRPr="00027624">
        <w:noBreakHyphen/>
      </w:r>
      <w:r w:rsidRPr="00027624">
        <w:t>age person of the Age Pension and superannuation earnings tax concessions retirees receive is expected to rise. This means that successive generations will have to contribute more in dollar terms during their working lives to fund these benefits for retirees.</w:t>
      </w:r>
    </w:p>
    <w:p w14:paraId="55734C59" w14:textId="77777777" w:rsidR="0033541B" w:rsidRPr="00027624" w:rsidRDefault="0033541B" w:rsidP="00454F18">
      <w:r w:rsidRPr="00027624">
        <w:rPr>
          <w:b/>
          <w:bCs/>
        </w:rPr>
        <w:t xml:space="preserve">Whether the cost of the Age Pension and superannuation earnings tax concessions retirees receive is </w:t>
      </w:r>
      <w:r w:rsidR="00A8443E" w:rsidRPr="00027624">
        <w:rPr>
          <w:b/>
          <w:bCs/>
        </w:rPr>
        <w:t>‘</w:t>
      </w:r>
      <w:r w:rsidRPr="00027624">
        <w:rPr>
          <w:b/>
          <w:bCs/>
        </w:rPr>
        <w:t>affordable</w:t>
      </w:r>
      <w:r w:rsidR="00A8443E" w:rsidRPr="00027624">
        <w:rPr>
          <w:b/>
          <w:bCs/>
        </w:rPr>
        <w:t>’</w:t>
      </w:r>
      <w:r w:rsidRPr="00027624">
        <w:rPr>
          <w:b/>
          <w:bCs/>
        </w:rPr>
        <w:t xml:space="preserve"> to future generations will depend on wage growth.</w:t>
      </w:r>
      <w:r w:rsidRPr="00027624">
        <w:t xml:space="preserve"> If future real wage growth averages 1 per cent per year,</w:t>
      </w:r>
      <w:r w:rsidRPr="00027624">
        <w:rPr>
          <w:rStyle w:val="FootnoteReference"/>
        </w:rPr>
        <w:footnoteReference w:id="2"/>
      </w:r>
      <w:r w:rsidRPr="00027624">
        <w:t xml:space="preserve"> the proportion of income transferred from working</w:t>
      </w:r>
      <w:r w:rsidR="00A8443E" w:rsidRPr="00027624">
        <w:noBreakHyphen/>
      </w:r>
      <w:r w:rsidRPr="00027624">
        <w:t>age people to fund these costs is projected to be broadly similar in 40 years</w:t>
      </w:r>
      <w:r w:rsidR="00A8443E" w:rsidRPr="00027624">
        <w:t>’</w:t>
      </w:r>
      <w:r w:rsidRPr="00027624">
        <w:t xml:space="preserve"> time. If, however, there is no real wage growth, the cost of the Age Pension and superannuation earnings tax concessions retirees receive as a proportion of the wages of working</w:t>
      </w:r>
      <w:r w:rsidR="00A8443E" w:rsidRPr="00027624">
        <w:noBreakHyphen/>
      </w:r>
      <w:r w:rsidRPr="00027624">
        <w:t>age people is projected to rise substantially.</w:t>
      </w:r>
    </w:p>
    <w:p w14:paraId="4344C534" w14:textId="77777777" w:rsidR="0033541B" w:rsidRPr="00027624" w:rsidRDefault="0033541B" w:rsidP="00454F18">
      <w:r w:rsidRPr="00027624">
        <w:t>The maturing of the superannuation system will mean more Australians will have higher retirement savings and the proportion of the eligible population receiving the Age Pension will decline. This is expected to reduce the cost of the Age Pension borne by the next generation.</w:t>
      </w:r>
    </w:p>
    <w:p w14:paraId="404E31AF" w14:textId="77777777" w:rsidR="0033541B" w:rsidRPr="00027624" w:rsidRDefault="0033541B" w:rsidP="00454F18">
      <w:r w:rsidRPr="00027624">
        <w:t>The ability of different generations to accumulate retirement savings has varied:</w:t>
      </w:r>
    </w:p>
    <w:p w14:paraId="12D4DF98" w14:textId="77777777" w:rsidR="0033541B" w:rsidRPr="00027624" w:rsidRDefault="0033541B" w:rsidP="00454F18">
      <w:pPr>
        <w:pStyle w:val="Bullet"/>
      </w:pPr>
      <w:r w:rsidRPr="00027624">
        <w:t>Better targeting of superannuation contribution rules has meant older people have had the opportunity to contribute more to superannuation than younger people can.</w:t>
      </w:r>
    </w:p>
    <w:p w14:paraId="0B92759B" w14:textId="77777777" w:rsidR="0033541B" w:rsidRPr="00027624" w:rsidRDefault="0033541B" w:rsidP="00454F18">
      <w:pPr>
        <w:pStyle w:val="Bullet"/>
      </w:pPr>
      <w:r w:rsidRPr="00027624">
        <w:t>Younger people will generally benefit from superannuation contributions across all of their working lives, compared with older people who may have only received superannuation for part of their working years.</w:t>
      </w:r>
    </w:p>
    <w:p w14:paraId="0CB6754E" w14:textId="77777777" w:rsidR="0033541B" w:rsidRPr="00027624" w:rsidRDefault="0033541B" w:rsidP="00454F18">
      <w:pPr>
        <w:pStyle w:val="Bullet"/>
      </w:pPr>
      <w:r w:rsidRPr="00027624">
        <w:t xml:space="preserve">Rising residential property values over recent decades have benefited home owners and increased the wealth of many retirees. A similar growth in property values cannot be assumed for </w:t>
      </w:r>
      <w:r w:rsidRPr="00027624">
        <w:lastRenderedPageBreak/>
        <w:t>younger home owners. The rise in property prices may preclude some people from becoming home owners.</w:t>
      </w:r>
    </w:p>
    <w:p w14:paraId="4EBEFB70" w14:textId="77777777" w:rsidR="0033541B" w:rsidRPr="00027624" w:rsidRDefault="0033541B" w:rsidP="00454F18">
      <w:r w:rsidRPr="00027624">
        <w:t>Inheritances are significant, representing the transfer of wealth from one generation to another. They are not distributed equally and increase inequity within the generation that receives the bequests. Most people die with the majority of wealth they had when they retired. If this does not change, as the superannuation system matures, superannuation balances will be larger when people die, as will inheritances. Superannuation is intended to fund living standards of retirees, not to accumulate wealth to pass to future generations.</w:t>
      </w:r>
    </w:p>
    <w:p w14:paraId="0FC0EA2E" w14:textId="77777777" w:rsidR="0033541B" w:rsidRPr="00027624" w:rsidRDefault="0033541B" w:rsidP="00454F18">
      <w:r w:rsidRPr="00027624">
        <w:t>Measures stakeholders raised that could impact intergenerational equity included:</w:t>
      </w:r>
    </w:p>
    <w:p w14:paraId="76E4AF2A" w14:textId="77777777" w:rsidR="0033541B" w:rsidRPr="00027624" w:rsidRDefault="0033541B" w:rsidP="00454F18">
      <w:pPr>
        <w:pStyle w:val="Bullet"/>
      </w:pPr>
      <w:r w:rsidRPr="00027624">
        <w:rPr>
          <w:b/>
          <w:bCs/>
        </w:rPr>
        <w:t>Increasing the SG rate.</w:t>
      </w:r>
      <w:r w:rsidRPr="00027624">
        <w:t xml:space="preserve"> This would increase the extent of each generation self</w:t>
      </w:r>
      <w:r w:rsidR="00A8443E" w:rsidRPr="00027624">
        <w:noBreakHyphen/>
      </w:r>
      <w:r w:rsidRPr="00027624">
        <w:t>funding, as a smaller share of each generation</w:t>
      </w:r>
      <w:r w:rsidR="00A8443E" w:rsidRPr="00027624">
        <w:t>’</w:t>
      </w:r>
      <w:r w:rsidRPr="00027624">
        <w:t>s retirement incomes would be funded by the Age Pension.</w:t>
      </w:r>
    </w:p>
    <w:p w14:paraId="3E20D0E6" w14:textId="77777777" w:rsidR="0033541B" w:rsidRPr="00027624" w:rsidRDefault="0033541B" w:rsidP="00454F18">
      <w:pPr>
        <w:pStyle w:val="Bullet"/>
      </w:pPr>
      <w:r w:rsidRPr="00027624">
        <w:rPr>
          <w:b/>
          <w:bCs/>
        </w:rPr>
        <w:t>Encouraging people to spend more of their savings in retirement.</w:t>
      </w:r>
      <w:r w:rsidRPr="00027624">
        <w:t xml:space="preserve"> This would likely reduce wealth inequality among future generations.</w:t>
      </w:r>
    </w:p>
    <w:p w14:paraId="0BFADE1A" w14:textId="77777777" w:rsidR="0033541B" w:rsidRPr="00027624" w:rsidRDefault="0033541B" w:rsidP="003A119F">
      <w:pPr>
        <w:pStyle w:val="Heading2"/>
      </w:pPr>
      <w:bookmarkStart w:id="108" w:name="_Toc46133529"/>
      <w:r w:rsidRPr="00027624">
        <w:t>Sustainability</w:t>
      </w:r>
      <w:bookmarkEnd w:id="108"/>
    </w:p>
    <w:p w14:paraId="3227370E" w14:textId="77777777" w:rsidR="0033541B" w:rsidRPr="00027624" w:rsidRDefault="0033541B" w:rsidP="00454F18">
      <w:r w:rsidRPr="00027624">
        <w:t>The fiscal cost of the retirement income system is an important factor influencing its sustainability. It has to be consistent with the Australian economy</w:t>
      </w:r>
      <w:r w:rsidR="00A8443E" w:rsidRPr="00027624">
        <w:t>’</w:t>
      </w:r>
      <w:r w:rsidRPr="00027624">
        <w:t>s capacity to pay.</w:t>
      </w:r>
    </w:p>
    <w:p w14:paraId="2577E2FD" w14:textId="77777777" w:rsidR="0033541B" w:rsidRPr="00027624" w:rsidRDefault="0033541B" w:rsidP="00454F18">
      <w:r w:rsidRPr="00027624">
        <w:t>If</w:t>
      </w:r>
      <w:r w:rsidRPr="00027624" w:rsidDel="001A3E98">
        <w:t xml:space="preserve"> </w:t>
      </w:r>
      <w:r w:rsidRPr="00027624">
        <w:t>Government expenditure on the retirement income system continues to grow faster than the rate of growth of the economy, the sustainability of the system could come into question.</w:t>
      </w:r>
    </w:p>
    <w:p w14:paraId="034BC1A8" w14:textId="77777777" w:rsidR="0033541B" w:rsidRPr="00027624" w:rsidRDefault="0033541B" w:rsidP="00454F18">
      <w:r w:rsidRPr="00027624">
        <w:t>The fiscal cost of the system is best measured as a share of GDP and of the Budget. The two largest costs of the retirement income system are Age Pension expenditure and the cost of superannuation tax concessions. Measuring the cost of superannuation tax concessions is not straightforward because it is not an outlay but revenue forgone. The analysis in this report estimates the cost of superannuation tax concessions by comparing actual revenue received with what might have been received in the absence of the concession, against an income tax benchmark. The rationale for this approach is outlined in detail in the report.</w:t>
      </w:r>
    </w:p>
    <w:p w14:paraId="0C50F0EC" w14:textId="77777777" w:rsidR="0033541B" w:rsidRPr="00027624" w:rsidRDefault="0033541B" w:rsidP="00454F18">
      <w:r w:rsidRPr="00027624">
        <w:t>Sustainability not only depends on the capacity of the economy to pay for the cost of the system but also the willingness of the Australian community to do so. This will depend on whether people have confidence in the system and its integrity and believe it to be cost</w:t>
      </w:r>
      <w:r w:rsidR="00A8443E" w:rsidRPr="00027624">
        <w:noBreakHyphen/>
      </w:r>
      <w:r w:rsidRPr="00027624">
        <w:t>effective in delivering adequate and equitable outcomes. The system also has to be adaptable to changing circumstances, such as economic shocks.</w:t>
      </w:r>
    </w:p>
    <w:p w14:paraId="18374BA1" w14:textId="77777777" w:rsidR="0033541B" w:rsidRPr="00027624" w:rsidRDefault="0033541B" w:rsidP="003A119F">
      <w:pPr>
        <w:pStyle w:val="Heading3"/>
      </w:pPr>
      <w:r w:rsidRPr="00027624">
        <w:t>Future costs of the system</w:t>
      </w:r>
    </w:p>
    <w:p w14:paraId="1C5D2B4F" w14:textId="77777777" w:rsidR="0033541B" w:rsidRPr="00027624" w:rsidRDefault="0033541B" w:rsidP="00454F18">
      <w:pPr>
        <w:rPr>
          <w:b/>
        </w:rPr>
      </w:pPr>
      <w:r w:rsidRPr="00027624">
        <w:rPr>
          <w:b/>
        </w:rPr>
        <w:t>Government expenditure on the Age Pension is projected to fall over the next 40 years from 2.5 per cent of GDP today to 2.3 per cent in 2060.</w:t>
      </w:r>
    </w:p>
    <w:p w14:paraId="3D533966" w14:textId="77777777" w:rsidR="0033541B" w:rsidRPr="00027624" w:rsidRDefault="0033541B" w:rsidP="00454F18">
      <w:r w:rsidRPr="00027624">
        <w:rPr>
          <w:bCs/>
        </w:rPr>
        <w:t>Around 71 per cent of people over Age Pension eligibility age received Age Pension or other pension payments as at June 2019</w:t>
      </w:r>
      <w:r w:rsidRPr="00027624">
        <w:t>. Notwithstanding an ageing population, this proportion is projected to fall to 62 per cent in 2060. There is also a shift toward people receiving a part</w:t>
      </w:r>
      <w:r w:rsidR="00A8443E" w:rsidRPr="00027624">
        <w:noBreakHyphen/>
      </w:r>
      <w:r w:rsidRPr="00027624">
        <w:t>rate pension (rather than the full</w:t>
      </w:r>
      <w:r w:rsidR="00A8443E" w:rsidRPr="00027624">
        <w:noBreakHyphen/>
      </w:r>
      <w:r w:rsidRPr="00027624">
        <w:t>rate pension), rising from 38 per cent of age pensioners today to a projected 63 per cent in 2060. This shift is the result of higher superannuation balances and the impact of the means test, particularly the assets test, in determining eligibility for the Age Pension.</w:t>
      </w:r>
    </w:p>
    <w:p w14:paraId="3CCDC905" w14:textId="03CCEFD0" w:rsidR="0033541B" w:rsidRPr="00027624" w:rsidRDefault="0033541B" w:rsidP="00454F18">
      <w:r w:rsidRPr="00027624">
        <w:t xml:space="preserve">In contrast, as the superannuation system matures, </w:t>
      </w:r>
      <w:r w:rsidRPr="00027624">
        <w:rPr>
          <w:b/>
        </w:rPr>
        <w:t>the cost of superannuation tax concessions is projected to grow as a proportion of GDP such that by around 2050 it exceeds the cost of Age Pension expenditure as a per cent of GDP</w:t>
      </w:r>
      <w:r w:rsidR="003A7CD0">
        <w:rPr>
          <w:b/>
        </w:rPr>
        <w:t xml:space="preserve"> </w:t>
      </w:r>
      <w:r w:rsidR="003A7CD0" w:rsidRPr="00027624">
        <w:t>(</w:t>
      </w:r>
      <w:r w:rsidR="003A7CD0" w:rsidRPr="00027624">
        <w:fldChar w:fldCharType="begin"/>
      </w:r>
      <w:r w:rsidR="003A7CD0" w:rsidRPr="00027624">
        <w:instrText xml:space="preserve"> REF _Ref39492739 \r \h  \* MERGEFORMAT </w:instrText>
      </w:r>
      <w:r w:rsidR="003A7CD0" w:rsidRPr="00027624">
        <w:fldChar w:fldCharType="separate"/>
      </w:r>
      <w:r w:rsidR="00891058">
        <w:t>Chart 12</w:t>
      </w:r>
      <w:r w:rsidR="003A7CD0" w:rsidRPr="00027624">
        <w:fldChar w:fldCharType="end"/>
      </w:r>
      <w:r w:rsidR="003A7CD0" w:rsidRPr="00027624">
        <w:t>)</w:t>
      </w:r>
      <w:r w:rsidRPr="003A7CD0">
        <w:t>.</w:t>
      </w:r>
      <w:r w:rsidRPr="00027624">
        <w:t xml:space="preserve"> This is the result of growth in the cost of earnings tax concessions.</w:t>
      </w:r>
    </w:p>
    <w:p w14:paraId="3DA5A793" w14:textId="77777777" w:rsidR="0033541B" w:rsidRPr="00027624" w:rsidRDefault="0033541B" w:rsidP="00454F18">
      <w:r w:rsidRPr="00027624">
        <w:lastRenderedPageBreak/>
        <w:t>The cost of superannuation contribution</w:t>
      </w:r>
      <w:r w:rsidR="00FF2FA7" w:rsidRPr="00027624">
        <w:t>s</w:t>
      </w:r>
      <w:r w:rsidRPr="00027624">
        <w:t xml:space="preserve"> tax concessions is a function of wages, contribution rates and population growth. However, caps on concessional contributions and tax paid by very high</w:t>
      </w:r>
      <w:r w:rsidR="00A8443E" w:rsidRPr="00027624">
        <w:noBreakHyphen/>
      </w:r>
      <w:r w:rsidRPr="00027624">
        <w:t>income earners restrict the growth in the cost of contribution</w:t>
      </w:r>
      <w:r w:rsidR="00FF2FA7" w:rsidRPr="00027624">
        <w:t>s</w:t>
      </w:r>
      <w:r w:rsidRPr="00027624">
        <w:t xml:space="preserve"> taxes relative to the growth in GDP.</w:t>
      </w:r>
    </w:p>
    <w:p w14:paraId="171A7551" w14:textId="77777777" w:rsidR="0033541B" w:rsidRPr="00027624" w:rsidRDefault="0033541B" w:rsidP="00454F18">
      <w:pPr>
        <w:rPr>
          <w:sz w:val="20"/>
        </w:rPr>
      </w:pPr>
      <w:r w:rsidRPr="00027624">
        <w:t>Over the next 40 years, the cost of superannuation earnings tax concessions is projected to grow as a percentage of GDP.</w:t>
      </w:r>
      <w:r w:rsidRPr="00027624" w:rsidDel="001A3E98">
        <w:t xml:space="preserve"> </w:t>
      </w:r>
      <w:r w:rsidRPr="00027624">
        <w:t>The cost of earnings tax concessions is a function of the growth in the size of superannuation balances and the projected rate of return. Both of those are projected to exceed the projected growth in GDP.</w:t>
      </w:r>
    </w:p>
    <w:p w14:paraId="6D135FC4" w14:textId="77777777" w:rsidR="008A31F4" w:rsidRPr="00027624" w:rsidRDefault="0033541B" w:rsidP="000D24F2">
      <w:pPr>
        <w:pStyle w:val="OverviewChart"/>
      </w:pPr>
      <w:bookmarkStart w:id="109" w:name="_Ref39492739"/>
      <w:r w:rsidRPr="00027624">
        <w:t>Projected costs of the retirement income system as a per cent of GDP</w:t>
      </w:r>
      <w:bookmarkEnd w:id="109"/>
    </w:p>
    <w:p w14:paraId="1B4DDD03" w14:textId="77777777" w:rsidR="0033541B" w:rsidRPr="00027624" w:rsidRDefault="0012231D" w:rsidP="004008D7">
      <w:pPr>
        <w:pStyle w:val="ChartGraphic"/>
      </w:pPr>
      <w:r>
        <w:rPr>
          <w:noProof/>
        </w:rPr>
        <w:drawing>
          <wp:inline distT="0" distB="0" distL="0" distR="0" wp14:anchorId="31ACED69" wp14:editId="521CAF35">
            <wp:extent cx="5577840" cy="2522220"/>
            <wp:effectExtent l="0" t="0" r="3810" b="0"/>
            <wp:docPr id="143" name="Picture 143" descr="This chart shows the projected expenditure (as a proportion of GDP) on superannuation concessions and the Age Pension from 2020 to 2060. Age Pension costs are expected to fall slightly. Tax concessions are projected to increase over time and overtake the cost of Age Pension expenditure as a per cent of GDP." title="Chart 12 Projected costs of the retirement income system as a per cent of G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5248AD8" w14:textId="77777777" w:rsidR="0033541B" w:rsidRPr="00027624" w:rsidRDefault="0033541B" w:rsidP="00454F18">
      <w:pPr>
        <w:pStyle w:val="ChartorTableNote"/>
      </w:pPr>
      <w:r w:rsidRPr="00027624">
        <w:t>Source: Treasury estimates for the review using MARIA.</w:t>
      </w:r>
    </w:p>
    <w:p w14:paraId="35EF3046" w14:textId="77777777" w:rsidR="0033541B" w:rsidRPr="00027624" w:rsidRDefault="0033541B" w:rsidP="003A119F">
      <w:pPr>
        <w:pStyle w:val="Heading3"/>
      </w:pPr>
      <w:r w:rsidRPr="00027624">
        <w:t>Cost</w:t>
      </w:r>
      <w:r w:rsidR="00A8443E" w:rsidRPr="00027624">
        <w:noBreakHyphen/>
      </w:r>
      <w:r w:rsidRPr="00027624">
        <w:t>effectiveness</w:t>
      </w:r>
    </w:p>
    <w:p w14:paraId="341BC2ED" w14:textId="77777777" w:rsidR="0033541B" w:rsidRPr="00027624" w:rsidRDefault="0033541B" w:rsidP="00454F18">
      <w:r w:rsidRPr="00027624">
        <w:t>The Age Pension and other pensions, such as service pension, together</w:t>
      </w:r>
      <w:r w:rsidRPr="00027624" w:rsidDel="001A3E98">
        <w:t xml:space="preserve"> </w:t>
      </w:r>
      <w:r w:rsidRPr="00027624">
        <w:t>provide retirement income support to around the bottom 70 per cent in terms of income distribution. It allows those without means to achieve a minimum standard of living in retirement and supplements the income of middle</w:t>
      </w:r>
      <w:r w:rsidR="00A8443E" w:rsidRPr="00027624">
        <w:noBreakHyphen/>
      </w:r>
      <w:r w:rsidRPr="00027624">
        <w:t>income earners so they can maintain their living standards in retirement. Age Pension means testing has promoted the sustainability of the Age Pension, with expenditure projected to fall moderately as a proportion of GDP.</w:t>
      </w:r>
    </w:p>
    <w:p w14:paraId="2811BB3E" w14:textId="16EE95BF" w:rsidR="0033541B" w:rsidRPr="00027624" w:rsidRDefault="0033541B" w:rsidP="00454F18">
      <w:r w:rsidRPr="00027624">
        <w:t>To the extent that superannuation tax concessions are contributing to higher superannuation balances of lower</w:t>
      </w:r>
      <w:r w:rsidR="00A8443E" w:rsidRPr="00027624">
        <w:noBreakHyphen/>
      </w:r>
      <w:r w:rsidRPr="00027624">
        <w:t xml:space="preserve"> to middle</w:t>
      </w:r>
      <w:r w:rsidR="00A8443E" w:rsidRPr="00027624">
        <w:noBreakHyphen/>
      </w:r>
      <w:r w:rsidRPr="00027624">
        <w:t xml:space="preserve"> income earners, they help to reduce Age Pension expenditure. But the main influence behind the growth in superannuation balances is the SG. Tax concessions are largely concentrated among higher</w:t>
      </w:r>
      <w:r w:rsidR="00A8443E" w:rsidRPr="00027624">
        <w:noBreakHyphen/>
      </w:r>
      <w:r w:rsidRPr="00027624">
        <w:t xml:space="preserve">income earners who are close to and above preservation age. </w:t>
      </w:r>
      <w:r w:rsidRPr="00027624">
        <w:rPr>
          <w:b/>
        </w:rPr>
        <w:t>Across the income distribution, the lifetime cost of superannuation tax concessions is projected to outweigh the associated Age Pension saving</w:t>
      </w:r>
      <w:r w:rsidRPr="00027624">
        <w:t xml:space="preserve"> (</w:t>
      </w:r>
      <w:r w:rsidRPr="00027624">
        <w:fldChar w:fldCharType="begin"/>
      </w:r>
      <w:r w:rsidRPr="00027624">
        <w:instrText xml:space="preserve"> REF _Ref39835074 \r \h  \* MERGEFORMAT </w:instrText>
      </w:r>
      <w:r w:rsidRPr="00027624">
        <w:fldChar w:fldCharType="separate"/>
      </w:r>
      <w:r w:rsidR="00891058">
        <w:t>Chart 13</w:t>
      </w:r>
      <w:r w:rsidRPr="00027624">
        <w:fldChar w:fldCharType="end"/>
      </w:r>
      <w:r w:rsidRPr="00027624">
        <w:t>).</w:t>
      </w:r>
    </w:p>
    <w:p w14:paraId="4B48F564" w14:textId="77777777" w:rsidR="0033541B" w:rsidRPr="00027624" w:rsidRDefault="0033541B" w:rsidP="000D24F2">
      <w:pPr>
        <w:pStyle w:val="OverviewChart"/>
      </w:pPr>
      <w:bookmarkStart w:id="110" w:name="_Ref39835074"/>
      <w:r w:rsidRPr="00027624">
        <w:lastRenderedPageBreak/>
        <w:t>The interaction of tax concessions and Age Pension spending over a lifetime</w:t>
      </w:r>
    </w:p>
    <w:bookmarkEnd w:id="110"/>
    <w:tbl>
      <w:tblPr>
        <w:tblStyle w:val="TableGrid"/>
        <w:tblW w:w="0" w:type="auto"/>
        <w:tblLook w:val="04A0" w:firstRow="1" w:lastRow="0" w:firstColumn="1" w:lastColumn="0" w:noHBand="0" w:noVBand="1"/>
      </w:tblPr>
      <w:tblGrid>
        <w:gridCol w:w="709"/>
        <w:gridCol w:w="2552"/>
        <w:gridCol w:w="2550"/>
        <w:gridCol w:w="2551"/>
        <w:gridCol w:w="708"/>
      </w:tblGrid>
      <w:tr w:rsidR="0033541B" w:rsidRPr="00027624" w14:paraId="40963EB2" w14:textId="77777777" w:rsidTr="00454F18">
        <w:tc>
          <w:tcPr>
            <w:tcW w:w="709" w:type="dxa"/>
            <w:shd w:val="clear" w:color="auto" w:fill="auto"/>
          </w:tcPr>
          <w:p w14:paraId="48FADC30" w14:textId="77777777" w:rsidR="0033541B" w:rsidRPr="00027624" w:rsidRDefault="0033541B" w:rsidP="00454F18">
            <w:pPr>
              <w:pStyle w:val="ChartSecondHeading"/>
            </w:pPr>
          </w:p>
        </w:tc>
        <w:tc>
          <w:tcPr>
            <w:tcW w:w="2552" w:type="dxa"/>
            <w:shd w:val="clear" w:color="auto" w:fill="auto"/>
          </w:tcPr>
          <w:p w14:paraId="5ADDF5A0" w14:textId="77777777" w:rsidR="0033541B" w:rsidRPr="00027624" w:rsidRDefault="0033541B" w:rsidP="00454F18">
            <w:pPr>
              <w:pStyle w:val="ChartSecondHeading"/>
            </w:pPr>
            <w:r w:rsidRPr="00027624">
              <w:t xml:space="preserve">Contributions </w:t>
            </w:r>
            <w:r w:rsidRPr="00027624">
              <w:br/>
              <w:t>concessions only</w:t>
            </w:r>
          </w:p>
        </w:tc>
        <w:tc>
          <w:tcPr>
            <w:tcW w:w="2551" w:type="dxa"/>
            <w:shd w:val="clear" w:color="auto" w:fill="auto"/>
          </w:tcPr>
          <w:p w14:paraId="1024F350" w14:textId="77777777" w:rsidR="0033541B" w:rsidRPr="00027624" w:rsidRDefault="0033541B" w:rsidP="00454F18">
            <w:pPr>
              <w:pStyle w:val="ChartSecondHeading"/>
            </w:pPr>
            <w:r w:rsidRPr="00027624">
              <w:t xml:space="preserve">Earnings </w:t>
            </w:r>
            <w:r w:rsidRPr="00027624">
              <w:br/>
              <w:t>concessions only</w:t>
            </w:r>
          </w:p>
        </w:tc>
        <w:tc>
          <w:tcPr>
            <w:tcW w:w="2552" w:type="dxa"/>
            <w:shd w:val="clear" w:color="auto" w:fill="auto"/>
          </w:tcPr>
          <w:p w14:paraId="74970506" w14:textId="77777777" w:rsidR="0033541B" w:rsidRPr="00027624" w:rsidRDefault="0033541B" w:rsidP="00454F18">
            <w:pPr>
              <w:pStyle w:val="ChartSecondHeading"/>
            </w:pPr>
            <w:r w:rsidRPr="00027624">
              <w:t>Combined</w:t>
            </w:r>
          </w:p>
        </w:tc>
        <w:tc>
          <w:tcPr>
            <w:tcW w:w="708" w:type="dxa"/>
            <w:shd w:val="clear" w:color="auto" w:fill="auto"/>
          </w:tcPr>
          <w:p w14:paraId="60A8A386" w14:textId="77777777" w:rsidR="0033541B" w:rsidRPr="00027624" w:rsidRDefault="0033541B" w:rsidP="00454F18">
            <w:pPr>
              <w:pStyle w:val="ChartSecondHeading"/>
            </w:pPr>
          </w:p>
        </w:tc>
      </w:tr>
    </w:tbl>
    <w:p w14:paraId="5EF00588" w14:textId="77777777" w:rsidR="0033541B" w:rsidRPr="00027624" w:rsidRDefault="0012231D" w:rsidP="00454F18">
      <w:pPr>
        <w:pStyle w:val="ChartGraphic"/>
      </w:pPr>
      <w:r>
        <w:rPr>
          <w:noProof/>
        </w:rPr>
        <w:drawing>
          <wp:inline distT="0" distB="0" distL="0" distR="0" wp14:anchorId="317A6AD5" wp14:editId="40613A68">
            <wp:extent cx="5577840" cy="2514600"/>
            <wp:effectExtent l="0" t="0" r="3810" b="0"/>
            <wp:docPr id="144" name="Picture 144" descr="This chart shows that the savings to the Age Pension are significantly outweighed by the lifetime cost of superannuation concessions. This difference is substantial for higher-income earners in the 80th percentile and above." title="Chart 13 The interaction of tax concessions and Age Pension spending over a life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7840" cy="2514600"/>
                    </a:xfrm>
                    <a:prstGeom prst="rect">
                      <a:avLst/>
                    </a:prstGeom>
                    <a:noFill/>
                  </pic:spPr>
                </pic:pic>
              </a:graphicData>
            </a:graphic>
          </wp:inline>
        </w:drawing>
      </w:r>
    </w:p>
    <w:p w14:paraId="39112E90" w14:textId="77777777" w:rsidR="0033541B" w:rsidRPr="00027624" w:rsidRDefault="0033541B" w:rsidP="00454F18">
      <w:pPr>
        <w:pStyle w:val="ChartorTableNote"/>
      </w:pPr>
      <w:r w:rsidRPr="00027624">
        <w:t>Note: Values are in 2019</w:t>
      </w:r>
      <w:r w:rsidR="00A8443E" w:rsidRPr="00027624">
        <w:noBreakHyphen/>
      </w:r>
      <w:r w:rsidRPr="00027624">
        <w:t>20 dollars, deflated using the review</w:t>
      </w:r>
      <w:r w:rsidR="00A8443E" w:rsidRPr="00027624">
        <w:t>’</w:t>
      </w:r>
      <w:r w:rsidRPr="00027624">
        <w:t xml:space="preserve">s GDP deflator. See </w:t>
      </w:r>
      <w:r w:rsidRPr="00027624">
        <w:rPr>
          <w:i/>
        </w:rPr>
        <w:t>Appendix 6A. Detailed modelling methods and assumptions</w:t>
      </w:r>
      <w:r w:rsidRPr="00027624">
        <w:t>. Source: Cameo modelling undertaken for the review.</w:t>
      </w:r>
    </w:p>
    <w:p w14:paraId="63342353" w14:textId="77777777" w:rsidR="0033541B" w:rsidRPr="00027624" w:rsidRDefault="0033541B" w:rsidP="003A119F">
      <w:pPr>
        <w:pStyle w:val="Heading3"/>
      </w:pPr>
      <w:r w:rsidRPr="00027624">
        <w:t>Other costs</w:t>
      </w:r>
    </w:p>
    <w:p w14:paraId="623C1F43" w14:textId="77777777" w:rsidR="0033541B" w:rsidRPr="00027624" w:rsidRDefault="0033541B" w:rsidP="00454F18">
      <w:r w:rsidRPr="00027624">
        <w:t>Social transfers in kind (such as health and aged care expenditure) provide substantial support to retirees. The cost of social transfers in kind attributed to households aged 65 and over has increased from 2.3 per cent of GDP in 2003</w:t>
      </w:r>
      <w:r w:rsidR="00A8443E" w:rsidRPr="00027624">
        <w:noBreakHyphen/>
      </w:r>
      <w:r w:rsidRPr="00027624">
        <w:t>04 to 3.3 per cent</w:t>
      </w:r>
      <w:r w:rsidRPr="00027624" w:rsidDel="001E0E86">
        <w:t xml:space="preserve"> </w:t>
      </w:r>
      <w:r w:rsidRPr="00027624">
        <w:t>in 2015</w:t>
      </w:r>
      <w:r w:rsidR="00A8443E" w:rsidRPr="00027624">
        <w:noBreakHyphen/>
      </w:r>
      <w:r w:rsidRPr="00027624">
        <w:t>16. Aged care costs, in particular, are expected to grow as a per cent of GDP as a result of the ageing population.</w:t>
      </w:r>
    </w:p>
    <w:p w14:paraId="37882DB3" w14:textId="77777777" w:rsidR="0033541B" w:rsidRPr="00027624" w:rsidRDefault="0033541B" w:rsidP="00454F18">
      <w:r w:rsidRPr="00027624">
        <w:t>Another major cost in the system is superannuation fees, for which projections are uncertain, but are expected to grow alongside the growth in balances.</w:t>
      </w:r>
    </w:p>
    <w:p w14:paraId="7E4DF621" w14:textId="77777777" w:rsidR="0033541B" w:rsidRPr="00027624" w:rsidRDefault="0033541B" w:rsidP="003A119F">
      <w:pPr>
        <w:pStyle w:val="Heading3"/>
      </w:pPr>
      <w:r w:rsidRPr="00027624">
        <w:t>Measures to improve sustainability</w:t>
      </w:r>
    </w:p>
    <w:p w14:paraId="0FE8427B" w14:textId="77777777" w:rsidR="0033541B" w:rsidRPr="00027624" w:rsidRDefault="0033541B" w:rsidP="00454F18">
      <w:r w:rsidRPr="00027624">
        <w:rPr>
          <w:rFonts w:eastAsia="Calibri"/>
        </w:rPr>
        <w:t xml:space="preserve">Recent changes to superannuation taxation, such as the introduction of the </w:t>
      </w:r>
      <w:r w:rsidR="00026BF2" w:rsidRPr="00027624">
        <w:rPr>
          <w:rFonts w:eastAsia="Calibri"/>
        </w:rPr>
        <w:t>transfer balance cap</w:t>
      </w:r>
      <w:r w:rsidRPr="00027624">
        <w:rPr>
          <w:rFonts w:eastAsia="Calibri"/>
        </w:rPr>
        <w:t>, have improved the sustainability of the system.</w:t>
      </w:r>
      <w:r w:rsidRPr="00027624">
        <w:rPr>
          <w:rFonts w:eastAsia="Calibri" w:cs="Calibri"/>
          <w:szCs w:val="22"/>
        </w:rPr>
        <w:t xml:space="preserve"> </w:t>
      </w:r>
      <w:r w:rsidRPr="00027624">
        <w:t>A number of submissions called for further changes to superannuation tax concessions to improve the equity and sustainability of the retirement income system.</w:t>
      </w:r>
    </w:p>
    <w:p w14:paraId="5C4B3123" w14:textId="77777777" w:rsidR="0033541B" w:rsidRPr="00027624" w:rsidRDefault="0033541B" w:rsidP="00454F18">
      <w:pPr>
        <w:rPr>
          <w:rFonts w:eastAsia="Calibri" w:cs="Calibri"/>
        </w:rPr>
      </w:pPr>
      <w:r w:rsidRPr="00027624">
        <w:t>Changes to contribution</w:t>
      </w:r>
      <w:r w:rsidR="00FF2FA7" w:rsidRPr="00027624">
        <w:t>s</w:t>
      </w:r>
      <w:r w:rsidRPr="00027624">
        <w:t xml:space="preserve"> tax concessions would increase the system</w:t>
      </w:r>
      <w:r w:rsidR="00A8443E" w:rsidRPr="00027624">
        <w:t>’</w:t>
      </w:r>
      <w:r w:rsidRPr="00027624">
        <w:t>s cost</w:t>
      </w:r>
      <w:r w:rsidR="00A8443E" w:rsidRPr="00027624">
        <w:noBreakHyphen/>
      </w:r>
      <w:r w:rsidRPr="00027624">
        <w:t>effectiveness.</w:t>
      </w:r>
      <w:r w:rsidRPr="00027624" w:rsidDel="001A3E98">
        <w:t xml:space="preserve"> </w:t>
      </w:r>
      <w:r w:rsidRPr="00027624">
        <w:t>While contributions tax concessions are not projected to increase the cost of the system over time, they do not significantly contribute to reducing expenditure on the Age Pension and disproportionately benefit older people with high balances. Changes to contribution</w:t>
      </w:r>
      <w:r w:rsidR="00FF2FA7" w:rsidRPr="00027624">
        <w:t>s</w:t>
      </w:r>
      <w:r w:rsidRPr="00027624">
        <w:t xml:space="preserve"> tax concessions such as the 2017 reforms, which introduced tighter caps on voluntary contributions, can stem the future flow of earnings tax concessions. Changes to earnings tax concessions would increase the system</w:t>
      </w:r>
      <w:r w:rsidR="00A8443E" w:rsidRPr="00027624">
        <w:t>’</w:t>
      </w:r>
      <w:r w:rsidRPr="00027624">
        <w:t>s cost</w:t>
      </w:r>
      <w:r w:rsidR="00A8443E" w:rsidRPr="00027624">
        <w:noBreakHyphen/>
      </w:r>
      <w:r w:rsidRPr="00027624">
        <w:t>effectiveness and directly contribute to improving its sustainability by reducing the growth in costs relative to growth in GDP. In particular, the cost of the earnings tax exemption in the retirement phase is likely to grow as the superannuation system matures</w:t>
      </w:r>
      <w:r w:rsidRPr="00027624">
        <w:rPr>
          <w:rFonts w:eastAsia="Calibri" w:cs="Calibri"/>
        </w:rPr>
        <w:t xml:space="preserve">. </w:t>
      </w:r>
      <w:r w:rsidRPr="00027624">
        <w:rPr>
          <w:rFonts w:eastAsia="Calibri" w:cs="Calibri"/>
          <w:b/>
          <w:bCs/>
        </w:rPr>
        <w:t xml:space="preserve">Extending earnings tax to the retirement phase </w:t>
      </w:r>
      <w:r w:rsidRPr="00027624">
        <w:rPr>
          <w:rFonts w:eastAsia="Calibri" w:cs="Calibri"/>
        </w:rPr>
        <w:t xml:space="preserve">could also simplify the system by enabling people </w:t>
      </w:r>
      <w:r w:rsidRPr="00027624">
        <w:rPr>
          <w:rFonts w:eastAsia="Calibri" w:cs="Calibri"/>
          <w:b/>
          <w:bCs/>
        </w:rPr>
        <w:t>to have a single superannuation account for life</w:t>
      </w:r>
      <w:r w:rsidRPr="00027624">
        <w:rPr>
          <w:rFonts w:eastAsia="Calibri" w:cs="Calibri"/>
        </w:rPr>
        <w:t xml:space="preserve"> and would improve the sustainability of the system.</w:t>
      </w:r>
    </w:p>
    <w:p w14:paraId="4BA8FE5B" w14:textId="77777777" w:rsidR="0033541B" w:rsidRPr="00027624" w:rsidRDefault="0033541B" w:rsidP="00454F18">
      <w:pPr>
        <w:rPr>
          <w:rFonts w:eastAsia="Calibri"/>
        </w:rPr>
      </w:pPr>
      <w:r w:rsidRPr="00027624">
        <w:rPr>
          <w:rFonts w:eastAsia="Calibri"/>
          <w:b/>
          <w:bCs/>
        </w:rPr>
        <w:t xml:space="preserve">Changes to superannuation earnings tax concessions </w:t>
      </w:r>
      <w:r w:rsidRPr="00027624">
        <w:rPr>
          <w:rFonts w:eastAsia="Calibri"/>
          <w:b/>
        </w:rPr>
        <w:t>would improve equity</w:t>
      </w:r>
      <w:r w:rsidRPr="00027624">
        <w:rPr>
          <w:rFonts w:eastAsia="Calibri"/>
          <w:b/>
          <w:bCs/>
        </w:rPr>
        <w:t>,</w:t>
      </w:r>
      <w:r w:rsidRPr="00027624">
        <w:rPr>
          <w:rFonts w:eastAsia="Calibri"/>
        </w:rPr>
        <w:t xml:space="preserve"> and in turn boost public support for the system.</w:t>
      </w:r>
    </w:p>
    <w:p w14:paraId="2D32BF74" w14:textId="77777777" w:rsidR="0033541B" w:rsidRPr="00027624" w:rsidRDefault="0033541B" w:rsidP="003A119F">
      <w:pPr>
        <w:pStyle w:val="Heading2"/>
      </w:pPr>
      <w:bookmarkStart w:id="111" w:name="_Toc46133530"/>
      <w:r w:rsidRPr="00027624">
        <w:lastRenderedPageBreak/>
        <w:t>Cohesion</w:t>
      </w:r>
      <w:bookmarkEnd w:id="111"/>
    </w:p>
    <w:p w14:paraId="0EE7892E" w14:textId="77777777" w:rsidR="0033541B" w:rsidRPr="00027624" w:rsidRDefault="0033541B" w:rsidP="00454F18">
      <w:r w:rsidRPr="00027624">
        <w:t>The retirement income system should be cohesive in that all its drivers, processes and incentives</w:t>
      </w:r>
      <w:r w:rsidRPr="00027624" w:rsidDel="001A3E98">
        <w:t xml:space="preserve"> </w:t>
      </w:r>
      <w:r w:rsidRPr="00027624">
        <w:t>contribute to the achievement of</w:t>
      </w:r>
      <w:r w:rsidR="00FD473F" w:rsidRPr="00027624">
        <w:t xml:space="preserve"> the</w:t>
      </w:r>
      <w:r w:rsidRPr="00027624">
        <w:t xml:space="preserve"> ret</w:t>
      </w:r>
      <w:r w:rsidR="00FD473F" w:rsidRPr="00027624">
        <w:t>irement income system objective</w:t>
      </w:r>
      <w:r w:rsidRPr="00027624">
        <w:t>.</w:t>
      </w:r>
    </w:p>
    <w:p w14:paraId="63865A7D" w14:textId="77777777" w:rsidR="0033541B" w:rsidRPr="00027624" w:rsidRDefault="0033541B" w:rsidP="00454F18">
      <w:r w:rsidRPr="00027624">
        <w:t>The system is a combination of Government compulsion, such as the SG, and efforts to encourage people to save for their retirement, such as through additional tax concessions. A coherent system should avoid as much complexity as possible, but to address complexity, it should have the mechanisms, support and incentives that help people to optimise their standard of living in retirement. This includes helping people navigate the retirement income environment through retirement defaults, guidance and facilitating access to affordable advice.</w:t>
      </w:r>
    </w:p>
    <w:p w14:paraId="344A50C4" w14:textId="77777777" w:rsidR="0033541B" w:rsidRPr="00027624" w:rsidRDefault="0033541B" w:rsidP="00454F18">
      <w:r w:rsidRPr="00027624">
        <w:t>The report considers the experience of the system in this regard in detail. The evidence suggests that all the mechanisms and incentives may not be working as intended, or working well together.</w:t>
      </w:r>
    </w:p>
    <w:p w14:paraId="22094380" w14:textId="77777777" w:rsidR="0033541B" w:rsidRPr="00027624" w:rsidRDefault="0033541B" w:rsidP="00454F18">
      <w:r w:rsidRPr="00027624">
        <w:t>In particular, the effectiveness of superannuation tax concessions i</w:t>
      </w:r>
      <w:r w:rsidRPr="00027624" w:rsidDel="001A3E98">
        <w:t xml:space="preserve">n </w:t>
      </w:r>
      <w:r w:rsidRPr="00027624">
        <w:t>supporting retirement outcomes can be questioned</w:t>
      </w:r>
      <w:r w:rsidRPr="00027624" w:rsidDel="001A3E98">
        <w:t>.</w:t>
      </w:r>
    </w:p>
    <w:p w14:paraId="586F463D" w14:textId="77777777" w:rsidR="0033541B" w:rsidRPr="00027624" w:rsidRDefault="0033541B" w:rsidP="00454F18">
      <w:r w:rsidRPr="00027624">
        <w:t>In addition, the system focuses on the accumulation of savings for retirement, but insufficient attention is given to how people can best use their savings to support their living standards in retirement, such as drawing on their superannuation balances or accessing the equity in their homes.</w:t>
      </w:r>
    </w:p>
    <w:p w14:paraId="3FE6699A" w14:textId="77777777" w:rsidR="0033541B" w:rsidRPr="00027624" w:rsidRDefault="0033541B" w:rsidP="003A119F">
      <w:pPr>
        <w:pStyle w:val="Heading3"/>
        <w:rPr>
          <w:sz w:val="28"/>
          <w:szCs w:val="28"/>
        </w:rPr>
      </w:pPr>
      <w:r w:rsidRPr="00027624">
        <w:t>Saving for retirement</w:t>
      </w:r>
    </w:p>
    <w:p w14:paraId="056E11D0" w14:textId="77777777" w:rsidR="0033541B" w:rsidRPr="00027624" w:rsidRDefault="0033541B" w:rsidP="00454F18">
      <w:r w:rsidRPr="00027624">
        <w:t>There are tax concessions for both pre</w:t>
      </w:r>
      <w:r w:rsidR="00A8443E" w:rsidRPr="00027624">
        <w:noBreakHyphen/>
      </w:r>
      <w:r w:rsidRPr="00027624">
        <w:t xml:space="preserve"> and post</w:t>
      </w:r>
      <w:r w:rsidR="00A8443E" w:rsidRPr="00027624">
        <w:noBreakHyphen/>
      </w:r>
      <w:r w:rsidRPr="00027624">
        <w:t>tax superannuation contributions, and tax concessions on the earnings of superannuation funds. Tax concessions compensate contributors for consumption forgone. They are intended to encourage people to make voluntary superannuation contributions</w:t>
      </w:r>
      <w:r w:rsidR="00A8443E" w:rsidRPr="00027624">
        <w:t xml:space="preserve"> — </w:t>
      </w:r>
      <w:r w:rsidRPr="00027624">
        <w:t xml:space="preserve">part of the </w:t>
      </w:r>
      <w:r w:rsidR="00A8443E" w:rsidRPr="00027624">
        <w:t>‘</w:t>
      </w:r>
      <w:r w:rsidRPr="00027624">
        <w:t>third</w:t>
      </w:r>
      <w:r w:rsidR="00A8443E" w:rsidRPr="00027624">
        <w:t>’</w:t>
      </w:r>
      <w:r w:rsidRPr="00027624">
        <w:t xml:space="preserve"> pillar of the retirement income system.</w:t>
      </w:r>
    </w:p>
    <w:p w14:paraId="6AAE1C5F" w14:textId="77777777" w:rsidR="0033541B" w:rsidRPr="00027624" w:rsidRDefault="0033541B" w:rsidP="00454F18">
      <w:r w:rsidRPr="00027624">
        <w:t xml:space="preserve">Most people make concessional contributions at or near the SG rate. </w:t>
      </w:r>
      <w:r w:rsidR="00282611" w:rsidRPr="00027624">
        <w:t xml:space="preserve">Around a quarter </w:t>
      </w:r>
      <w:r w:rsidRPr="00027624">
        <w:t>of people make voluntary contributions. This highlights the importance of the SG in increasing retirement savings for most people.</w:t>
      </w:r>
    </w:p>
    <w:p w14:paraId="3483511D" w14:textId="77777777" w:rsidR="0033541B" w:rsidRPr="00027624" w:rsidRDefault="0033541B" w:rsidP="00454F18">
      <w:r w:rsidRPr="00027624">
        <w:t>Voluntary contributions provide flexibility for those outside the compulsory system to contribute to superannuation, such as the self</w:t>
      </w:r>
      <w:r w:rsidR="00A8443E" w:rsidRPr="00027624">
        <w:noBreakHyphen/>
      </w:r>
      <w:r w:rsidRPr="00027624">
        <w:t>employed and those with interrupted working careers. Those making voluntary contributions are generally older people and higher</w:t>
      </w:r>
      <w:r w:rsidR="00A8443E" w:rsidRPr="00027624">
        <w:noBreakHyphen/>
      </w:r>
      <w:r w:rsidRPr="00027624">
        <w:t>income earners, although saving in any form is closely related to income and age. The main reason people say they do not make voluntary contributions to superannuation is budgetary constraints</w:t>
      </w:r>
      <w:r w:rsidR="00A8443E" w:rsidRPr="00027624">
        <w:t xml:space="preserve"> — </w:t>
      </w:r>
      <w:r w:rsidRPr="00027624">
        <w:t>their priority is to meet current expenses.</w:t>
      </w:r>
    </w:p>
    <w:p w14:paraId="2CCB8EE4" w14:textId="77777777" w:rsidR="0033541B" w:rsidRPr="00027624" w:rsidRDefault="0033541B" w:rsidP="00454F18">
      <w:r w:rsidRPr="00027624">
        <w:rPr>
          <w:b/>
        </w:rPr>
        <w:t>Tax concessions appear to have a limited impact on increasing voluntary savings</w:t>
      </w:r>
      <w:r w:rsidRPr="00027624">
        <w:rPr>
          <w:b/>
          <w:bCs/>
        </w:rPr>
        <w:t>.</w:t>
      </w:r>
      <w:r w:rsidRPr="00027624">
        <w:t xml:space="preserve"> Studies suggest they encourage saving in tax</w:t>
      </w:r>
      <w:r w:rsidR="00A8443E" w:rsidRPr="00027624">
        <w:noBreakHyphen/>
      </w:r>
      <w:r w:rsidRPr="00027624">
        <w:t>preferred forms, such as superannuation, but this largely displaces other forms of saving. As a result, there is almost no net increase in saving. Those making the largest contributions</w:t>
      </w:r>
      <w:r w:rsidR="00A8443E" w:rsidRPr="00027624">
        <w:t xml:space="preserve"> — </w:t>
      </w:r>
      <w:r w:rsidRPr="00027624">
        <w:t>higher</w:t>
      </w:r>
      <w:r w:rsidR="00A8443E" w:rsidRPr="00027624">
        <w:noBreakHyphen/>
      </w:r>
      <w:r w:rsidRPr="00027624">
        <w:t>income earners and older people</w:t>
      </w:r>
      <w:r w:rsidR="00A8443E" w:rsidRPr="00027624">
        <w:t xml:space="preserve"> — </w:t>
      </w:r>
      <w:r w:rsidRPr="00027624">
        <w:t>are less likely to require an incentive to save for their retirement.</w:t>
      </w:r>
    </w:p>
    <w:p w14:paraId="18359400" w14:textId="77777777" w:rsidR="0033541B" w:rsidRPr="00027624" w:rsidRDefault="0033541B" w:rsidP="00454F18">
      <w:r w:rsidRPr="00027624">
        <w:t>The self</w:t>
      </w:r>
      <w:r w:rsidR="00A8443E" w:rsidRPr="00027624">
        <w:noBreakHyphen/>
      </w:r>
      <w:r w:rsidRPr="00027624">
        <w:t>employed, who are not covered by the SG, make voluntary contributions and can also save in forms other than superannuation, such as in other financial assets, business assets or investment properties.</w:t>
      </w:r>
    </w:p>
    <w:p w14:paraId="5A7B8F4D" w14:textId="77777777" w:rsidR="0033541B" w:rsidRPr="00027624" w:rsidRDefault="0033541B" w:rsidP="00454F18">
      <w:r w:rsidRPr="00027624">
        <w:t>Government co</w:t>
      </w:r>
      <w:r w:rsidR="00A8443E" w:rsidRPr="00027624">
        <w:noBreakHyphen/>
      </w:r>
      <w:r w:rsidRPr="00027624">
        <w:t>contributions have a limited impact on superannuation contribution rates and household savings.</w:t>
      </w:r>
    </w:p>
    <w:p w14:paraId="51356BDE" w14:textId="77777777" w:rsidR="0033541B" w:rsidRPr="00027624" w:rsidRDefault="0033541B" w:rsidP="00454F18">
      <w:r w:rsidRPr="00027624">
        <w:t>The high effective marginal tax rate generated by the Age Pension means test could represent a disincentive to save, particularly for middle</w:t>
      </w:r>
      <w:r w:rsidR="00A8443E" w:rsidRPr="00027624">
        <w:noBreakHyphen/>
      </w:r>
      <w:r w:rsidRPr="00027624">
        <w:t>income earners, but there is little evidence that the Age Pension means test is affecting how much people save pre</w:t>
      </w:r>
      <w:r w:rsidR="00A8443E" w:rsidRPr="00027624">
        <w:noBreakHyphen/>
      </w:r>
      <w:r w:rsidRPr="00027624">
        <w:t>retirement.</w:t>
      </w:r>
    </w:p>
    <w:p w14:paraId="0977F6E6" w14:textId="77777777" w:rsidR="0033541B" w:rsidRPr="00027624" w:rsidRDefault="0033541B" w:rsidP="00454F18">
      <w:r w:rsidRPr="00027624">
        <w:lastRenderedPageBreak/>
        <w:t>Many submissions called for a reversal of the 2017 change in the taper rate for the assets test in the Age Pension. The review canvassed the impact of reducing the taper rate from $3 per $1,000 to $2.25. Such a change would:</w:t>
      </w:r>
    </w:p>
    <w:p w14:paraId="5A478176" w14:textId="77777777" w:rsidR="0033541B" w:rsidRPr="00027624" w:rsidRDefault="0033541B" w:rsidP="00454F18">
      <w:pPr>
        <w:pStyle w:val="Bullet"/>
      </w:pPr>
      <w:r w:rsidRPr="00027624">
        <w:t>Benefit retirees in the top half of the wealth distribution in the near term</w:t>
      </w:r>
    </w:p>
    <w:p w14:paraId="043E76A5" w14:textId="77777777" w:rsidR="0033541B" w:rsidRPr="00027624" w:rsidRDefault="0033541B" w:rsidP="00454F18">
      <w:pPr>
        <w:pStyle w:val="Bullet"/>
        <w:rPr>
          <w:rFonts w:eastAsiaTheme="minorEastAsia"/>
        </w:rPr>
      </w:pPr>
      <w:r w:rsidRPr="00027624">
        <w:t>In future, as the superannuation system matures, boost the replacement rates for middle</w:t>
      </w:r>
      <w:r w:rsidR="00A8443E" w:rsidRPr="00027624">
        <w:noBreakHyphen/>
      </w:r>
      <w:r w:rsidRPr="00027624">
        <w:t>income earners, although their replacement rates already exceed the 65</w:t>
      </w:r>
      <w:r w:rsidR="00A8443E" w:rsidRPr="00027624">
        <w:noBreakHyphen/>
      </w:r>
      <w:r w:rsidRPr="00027624">
        <w:t>75 per cent benchmark</w:t>
      </w:r>
    </w:p>
    <w:p w14:paraId="6B5A4532" w14:textId="77777777" w:rsidR="0033541B" w:rsidRPr="00027624" w:rsidRDefault="0033541B" w:rsidP="00454F18">
      <w:pPr>
        <w:pStyle w:val="Bullet"/>
      </w:pPr>
      <w:r w:rsidRPr="00027624">
        <w:t>Provide a reward for additional saving</w:t>
      </w:r>
      <w:r w:rsidR="00BE51D1" w:rsidRPr="00027624">
        <w:t>,</w:t>
      </w:r>
      <w:r w:rsidRPr="00027624">
        <w:t xml:space="preserve"> although it would lessen the incentive to draw down savings in retirement</w:t>
      </w:r>
    </w:p>
    <w:p w14:paraId="011D8448" w14:textId="77777777" w:rsidR="0033541B" w:rsidRPr="00027624" w:rsidRDefault="0033541B" w:rsidP="00454F18">
      <w:pPr>
        <w:pStyle w:val="Bullet"/>
      </w:pPr>
      <w:r w:rsidRPr="00027624">
        <w:t>Have a fiscal cost in 2019</w:t>
      </w:r>
      <w:r w:rsidR="00A8443E" w:rsidRPr="00027624">
        <w:noBreakHyphen/>
      </w:r>
      <w:r w:rsidRPr="00027624">
        <w:t>20 of $1 billion</w:t>
      </w:r>
      <w:r w:rsidR="00BE51D1" w:rsidRPr="00027624">
        <w:t>,</w:t>
      </w:r>
      <w:r w:rsidRPr="00027624">
        <w:t xml:space="preserve"> </w:t>
      </w:r>
      <w:r w:rsidR="00BE51D1" w:rsidRPr="00027624">
        <w:t>which</w:t>
      </w:r>
      <w:r w:rsidRPr="00027624">
        <w:t xml:space="preserve"> would grow to 0.20 per cent of GDP in the long term</w:t>
      </w:r>
    </w:p>
    <w:p w14:paraId="64686E09" w14:textId="77777777" w:rsidR="0033541B" w:rsidRPr="00027624" w:rsidRDefault="0033541B" w:rsidP="003A119F">
      <w:pPr>
        <w:pStyle w:val="Heading4"/>
      </w:pPr>
      <w:r w:rsidRPr="00027624">
        <w:t>Investing for retirement</w:t>
      </w:r>
    </w:p>
    <w:p w14:paraId="15522BBC" w14:textId="77777777" w:rsidR="0033541B" w:rsidRPr="00027624" w:rsidRDefault="0033541B" w:rsidP="00454F18">
      <w:r w:rsidRPr="00027624">
        <w:t>The two main assets held by people when they retire are their home and their superannuation. For lower</w:t>
      </w:r>
      <w:r w:rsidR="00A8443E" w:rsidRPr="00027624">
        <w:noBreakHyphen/>
      </w:r>
      <w:r w:rsidRPr="00027624">
        <w:t xml:space="preserve"> to medium</w:t>
      </w:r>
      <w:r w:rsidR="00A8443E" w:rsidRPr="00027624">
        <w:noBreakHyphen/>
      </w:r>
      <w:r w:rsidRPr="00027624">
        <w:t>income workers, their main asset is their home. But superannuation balances will increase as the superannuation system matures.</w:t>
      </w:r>
    </w:p>
    <w:p w14:paraId="0C648FC9" w14:textId="77777777" w:rsidR="0033541B" w:rsidRPr="00027624" w:rsidRDefault="0033541B" w:rsidP="00454F18">
      <w:r w:rsidRPr="00027624">
        <w:t>Home ownership is an important influence on a person</w:t>
      </w:r>
      <w:r w:rsidR="00A8443E" w:rsidRPr="00027624">
        <w:t>’</w:t>
      </w:r>
      <w:r w:rsidRPr="00027624">
        <w:t>s standard of living in retirement. Housing costs are generally lower in retirement and the house is an asset that can be drawn on to boost retirement income. Although as noted below, few people do so.</w:t>
      </w:r>
    </w:p>
    <w:p w14:paraId="08ECC640" w14:textId="77777777" w:rsidR="0033541B" w:rsidRPr="00027624" w:rsidRDefault="0033541B" w:rsidP="00454F18">
      <w:r w:rsidRPr="00027624">
        <w:rPr>
          <w:b/>
        </w:rPr>
        <w:t>Favourable treatment of a person</w:t>
      </w:r>
      <w:r w:rsidR="00A8443E" w:rsidRPr="00027624">
        <w:rPr>
          <w:b/>
        </w:rPr>
        <w:t>’</w:t>
      </w:r>
      <w:r w:rsidRPr="00027624">
        <w:rPr>
          <w:b/>
        </w:rPr>
        <w:t>s principal residence in the Age Pension assets test may encourage people to overinvest in their home.</w:t>
      </w:r>
      <w:r w:rsidRPr="00027624">
        <w:t xml:space="preserve"> There are also strong incentives outside the retirement income system encouraging home ownership.</w:t>
      </w:r>
    </w:p>
    <w:p w14:paraId="7E7E2983" w14:textId="77777777" w:rsidR="0033541B" w:rsidRPr="00027624" w:rsidRDefault="0033541B" w:rsidP="00454F18">
      <w:r w:rsidRPr="00027624">
        <w:t>Many people take little interest in the investment returns being achieved by their superannuation fund. The exception is people approaching or in retirement, who are sensitive to fluctuations in their superannuation balances when there is an economic shock such as the one caused by the COVID</w:t>
      </w:r>
      <w:r w:rsidR="00A8443E" w:rsidRPr="00027624">
        <w:noBreakHyphen/>
      </w:r>
      <w:r w:rsidRPr="00027624">
        <w:t>19 Pandemic. More generally, the complexity of the system may deter people from taking an interest in the investment performance of their superannuation. This is also influenced by SG payments being compulsorily made by employers and as such, superannuation is outside a person</w:t>
      </w:r>
      <w:r w:rsidR="00A8443E" w:rsidRPr="00027624">
        <w:t>’</w:t>
      </w:r>
      <w:r w:rsidRPr="00027624">
        <w:t>s area of focus. However, as highlighted in the Productivity Commission</w:t>
      </w:r>
      <w:r w:rsidR="00A8443E" w:rsidRPr="00027624">
        <w:t>’</w:t>
      </w:r>
      <w:r w:rsidRPr="00027624">
        <w:t xml:space="preserve">s report </w:t>
      </w:r>
      <w:r w:rsidRPr="00027624">
        <w:rPr>
          <w:i/>
          <w:iCs/>
        </w:rPr>
        <w:t>Superannuation: Assessing Efficiency and Competitiveness</w:t>
      </w:r>
      <w:r w:rsidRPr="00027624">
        <w:t>, the investment performance of a person</w:t>
      </w:r>
      <w:r w:rsidR="00A8443E" w:rsidRPr="00027624">
        <w:t>’</w:t>
      </w:r>
      <w:r w:rsidRPr="00027624">
        <w:t>s fund can have a major influence on their superannuation balance at retirement.</w:t>
      </w:r>
    </w:p>
    <w:p w14:paraId="490B837F" w14:textId="77777777" w:rsidR="0033541B" w:rsidRPr="00027624" w:rsidRDefault="0033541B" w:rsidP="003A119F">
      <w:pPr>
        <w:pStyle w:val="Heading4"/>
      </w:pPr>
      <w:r w:rsidRPr="00027624">
        <w:t>Incentives to work</w:t>
      </w:r>
    </w:p>
    <w:p w14:paraId="59C0712F" w14:textId="77777777" w:rsidR="0033541B" w:rsidRPr="00027624" w:rsidRDefault="0033541B" w:rsidP="00454F18">
      <w:r w:rsidRPr="00027624">
        <w:t>Discouraging people from retiring early voluntarily can increase retirement incomes. There is no mandatory retirement age for most workers, just ages when people can access their superannuation or are eligible to apply for the Age Pension. The eligibility age for the Age Pension and the preservation age have a strong influence on when people retire. People who are able to choose when they retire generally do so when they feel confident they have the income they think they need for financial security.</w:t>
      </w:r>
    </w:p>
    <w:p w14:paraId="46C2EDF1" w14:textId="77777777" w:rsidR="0033541B" w:rsidRPr="00027624" w:rsidRDefault="0033541B" w:rsidP="00454F18">
      <w:r w:rsidRPr="00027624">
        <w:t xml:space="preserve">The financial incentives to encourage people to continue to work include income tax reductions for people over 65, pension Work Bonus, Work Test for superannuation contributions, and transition to retirement arrangements. </w:t>
      </w:r>
      <w:r w:rsidRPr="00027624">
        <w:rPr>
          <w:b/>
        </w:rPr>
        <w:t>The evidence suggests that incentives to encourage people to continue to work have a limited impact on people</w:t>
      </w:r>
      <w:r w:rsidR="00A8443E" w:rsidRPr="00027624">
        <w:rPr>
          <w:b/>
        </w:rPr>
        <w:t>’</w:t>
      </w:r>
      <w:r w:rsidRPr="00027624">
        <w:rPr>
          <w:b/>
        </w:rPr>
        <w:t>s decisions to retire.</w:t>
      </w:r>
    </w:p>
    <w:p w14:paraId="3F2F1689" w14:textId="77777777" w:rsidR="0033541B" w:rsidRPr="00027624" w:rsidRDefault="0033541B" w:rsidP="00454F18">
      <w:r w:rsidRPr="00027624">
        <w:t>In 2018, 4 per cent of people on the Age Pension had declared earnings from work. Nevertheless, workforce participation of Australians over 65 is increasing as more Australians are working past Age Pension eligibility age.</w:t>
      </w:r>
    </w:p>
    <w:p w14:paraId="0C805366" w14:textId="77777777" w:rsidR="0033541B" w:rsidRPr="00027624" w:rsidRDefault="0033541B" w:rsidP="00454F18">
      <w:r w:rsidRPr="00027624">
        <w:lastRenderedPageBreak/>
        <w:t>Surveys suggest people over 55 are generally happy to be retired, and a sizeable proportion of people retire before Age Pension eligibility age. However, many of these people retire involuntarily. The main reasons for involuntary retirements are own ill health, caring responsibilities and job</w:t>
      </w:r>
      <w:r w:rsidR="00A8443E" w:rsidRPr="00027624">
        <w:noBreakHyphen/>
      </w:r>
      <w:r w:rsidRPr="00027624">
        <w:t>related issues, such as a reluctance to hire older workers</w:t>
      </w:r>
      <w:r w:rsidR="00A8443E" w:rsidRPr="00027624">
        <w:t xml:space="preserve"> — </w:t>
      </w:r>
      <w:r w:rsidRPr="00027624">
        <w:t>ageism. For people who retire before they want to, financial incentives to keep working are not relevant. Addressing the barriers that force people into retirement</w:t>
      </w:r>
      <w:r w:rsidR="00A8443E" w:rsidRPr="00027624">
        <w:t xml:space="preserve"> — </w:t>
      </w:r>
      <w:r w:rsidRPr="00027624">
        <w:t xml:space="preserve">such as reducing </w:t>
      </w:r>
      <w:r w:rsidR="00BE51D1" w:rsidRPr="00027624">
        <w:t xml:space="preserve">employer </w:t>
      </w:r>
      <w:r w:rsidRPr="00027624">
        <w:t>bias against older workers, retraining older workers and increasing flexibility between work and caring responsibilities</w:t>
      </w:r>
      <w:r w:rsidR="00A8443E" w:rsidRPr="00027624">
        <w:t xml:space="preserve"> — </w:t>
      </w:r>
      <w:r w:rsidRPr="00027624">
        <w:t>would be more effective in assisting people to stay in the workforce.</w:t>
      </w:r>
    </w:p>
    <w:p w14:paraId="320C2A6D" w14:textId="77777777" w:rsidR="0033541B" w:rsidRPr="00027624" w:rsidRDefault="0033541B" w:rsidP="003A119F">
      <w:pPr>
        <w:pStyle w:val="Heading3"/>
      </w:pPr>
      <w:r w:rsidRPr="00027624">
        <w:t>Drawing on assets to maximise retirement income effectively in retirement</w:t>
      </w:r>
    </w:p>
    <w:p w14:paraId="17C45E2F" w14:textId="77777777" w:rsidR="0033541B" w:rsidRPr="00027624" w:rsidRDefault="0033541B" w:rsidP="00454F18">
      <w:r w:rsidRPr="00027624">
        <w:t xml:space="preserve">In a coherent system, mechanisms would not only encourage people to save for their retirement but also to use these savings effectively to support their standard of living in retirement. </w:t>
      </w:r>
      <w:r w:rsidRPr="00027624">
        <w:rPr>
          <w:b/>
        </w:rPr>
        <w:t>A common theme throughout this report is that the focus is on the accumulation phase of the retirement income system and insufficient attention is given to the retirement phase.</w:t>
      </w:r>
      <w:r w:rsidRPr="00027624">
        <w:t xml:space="preserve"> The evidence indicates that retirees tend to hold on to their assets and leave significant bequests, even though surveys suggest people do not prioritise leaving a bequest. If people drew down more on their assets, they could have a higher standard of living in retirement. Alternatively, they need not have saved as much as they did for retirement and could have had a higher standard of living during their working years.</w:t>
      </w:r>
    </w:p>
    <w:p w14:paraId="635DE898" w14:textId="77777777" w:rsidR="0033541B" w:rsidRPr="00027624" w:rsidRDefault="0033541B" w:rsidP="00454F18">
      <w:r w:rsidRPr="00027624">
        <w:t>Some retirees do, however, consume more of their assets in retirement than others. For example, non</w:t>
      </w:r>
      <w:r w:rsidR="00A8443E" w:rsidRPr="00027624">
        <w:noBreakHyphen/>
      </w:r>
      <w:r w:rsidRPr="00027624">
        <w:t>home owner age pensioners consume their assets faster than other households, and people with low balances draw down their superannuation at a much higher rate than those with larger balances.</w:t>
      </w:r>
    </w:p>
    <w:p w14:paraId="24B0FFEA" w14:textId="77777777" w:rsidR="0033541B" w:rsidRPr="00027624" w:rsidRDefault="0033541B" w:rsidP="00454F18">
      <w:r w:rsidRPr="00027624">
        <w:rPr>
          <w:b/>
        </w:rPr>
        <w:t>Factors that contribute to low drawdown of assets in retirement</w:t>
      </w:r>
      <w:r w:rsidRPr="00027624">
        <w:t xml:space="preserve"> include:</w:t>
      </w:r>
    </w:p>
    <w:p w14:paraId="35566EAD" w14:textId="77777777" w:rsidR="0033541B" w:rsidRPr="00027624" w:rsidRDefault="0033541B" w:rsidP="00454F18">
      <w:pPr>
        <w:pStyle w:val="Bullet"/>
      </w:pPr>
      <w:r w:rsidRPr="00027624">
        <w:t>Complexity and little guidance on how to maximise retirement incomes</w:t>
      </w:r>
    </w:p>
    <w:p w14:paraId="4FE0C54E" w14:textId="77777777" w:rsidR="0033541B" w:rsidRPr="00027624" w:rsidRDefault="0033541B" w:rsidP="00454F18">
      <w:pPr>
        <w:pStyle w:val="Bullet"/>
      </w:pPr>
      <w:r w:rsidRPr="00027624">
        <w:t xml:space="preserve">Reluctance to consume funds that are called </w:t>
      </w:r>
      <w:r w:rsidR="00A8443E" w:rsidRPr="00027624">
        <w:t>‘</w:t>
      </w:r>
      <w:r w:rsidRPr="00027624">
        <w:t>investments</w:t>
      </w:r>
      <w:r w:rsidR="00A8443E" w:rsidRPr="00027624">
        <w:t>’</w:t>
      </w:r>
      <w:r w:rsidRPr="00027624">
        <w:t xml:space="preserve">, </w:t>
      </w:r>
      <w:r w:rsidR="00A8443E" w:rsidRPr="00027624">
        <w:t>‘</w:t>
      </w:r>
      <w:r w:rsidRPr="00027624">
        <w:t>savings</w:t>
      </w:r>
      <w:r w:rsidR="00A8443E" w:rsidRPr="00027624">
        <w:t>’</w:t>
      </w:r>
      <w:r w:rsidRPr="00027624">
        <w:t xml:space="preserve"> or </w:t>
      </w:r>
      <w:r w:rsidR="00A8443E" w:rsidRPr="00027624">
        <w:t>‘</w:t>
      </w:r>
      <w:r w:rsidRPr="00027624">
        <w:t>nest eggs</w:t>
      </w:r>
      <w:r w:rsidR="00A8443E" w:rsidRPr="00027624">
        <w:t>’</w:t>
      </w:r>
    </w:p>
    <w:p w14:paraId="7CFE0EBC" w14:textId="77777777" w:rsidR="0033541B" w:rsidRPr="00027624" w:rsidRDefault="0033541B" w:rsidP="00454F18">
      <w:pPr>
        <w:pStyle w:val="Bullet"/>
      </w:pPr>
      <w:r w:rsidRPr="00027624">
        <w:t>Adopting the minimum drawdown rates required for a superannuation pension account</w:t>
      </w:r>
    </w:p>
    <w:p w14:paraId="3988347D" w14:textId="77777777" w:rsidR="0033541B" w:rsidRPr="00027624" w:rsidRDefault="0033541B" w:rsidP="00454F18">
      <w:pPr>
        <w:pStyle w:val="Bullet"/>
      </w:pPr>
      <w:r w:rsidRPr="00027624">
        <w:t>Concern about possible future health and aged care costs</w:t>
      </w:r>
    </w:p>
    <w:p w14:paraId="3952725B" w14:textId="77777777" w:rsidR="0033541B" w:rsidRPr="00027624" w:rsidRDefault="0033541B" w:rsidP="00454F18">
      <w:pPr>
        <w:pStyle w:val="Bullet"/>
      </w:pPr>
      <w:r w:rsidRPr="00027624">
        <w:t>Concerns about outliving savings</w:t>
      </w:r>
    </w:p>
    <w:p w14:paraId="2AF9E9D2" w14:textId="77777777" w:rsidR="0033541B" w:rsidRPr="00027624" w:rsidRDefault="0033541B" w:rsidP="00454F18">
      <w:r w:rsidRPr="00027624">
        <w:t xml:space="preserve">Some of the </w:t>
      </w:r>
      <w:r w:rsidRPr="00027624">
        <w:rPr>
          <w:b/>
        </w:rPr>
        <w:t>measures raised in submissions to help people use their retirement savings</w:t>
      </w:r>
      <w:r w:rsidRPr="00027624">
        <w:t xml:space="preserve"> more effectively to support their standard of living in retirement include:</w:t>
      </w:r>
    </w:p>
    <w:p w14:paraId="508BF22F" w14:textId="77777777" w:rsidR="0033541B" w:rsidRPr="00027624" w:rsidRDefault="0033541B" w:rsidP="00454F18">
      <w:pPr>
        <w:pStyle w:val="Bullet"/>
      </w:pPr>
      <w:r w:rsidRPr="00027624">
        <w:t>Funds providing regular estimates of an individual</w:t>
      </w:r>
      <w:r w:rsidR="00A8443E" w:rsidRPr="00027624">
        <w:t>’</w:t>
      </w:r>
      <w:r w:rsidRPr="00027624">
        <w:t>s retirement savings being expressed in terms of an income stream rather than balance at retirement</w:t>
      </w:r>
    </w:p>
    <w:p w14:paraId="23D6C733" w14:textId="77777777" w:rsidR="0033541B" w:rsidRPr="00027624" w:rsidRDefault="0033541B" w:rsidP="00454F18">
      <w:pPr>
        <w:pStyle w:val="Bullet"/>
      </w:pPr>
      <w:r w:rsidRPr="00027624">
        <w:t>Educating people that their health and aged care costs are heavily subsidised by the Government</w:t>
      </w:r>
    </w:p>
    <w:p w14:paraId="01A4A601" w14:textId="77777777" w:rsidR="0033541B" w:rsidRPr="00027624" w:rsidRDefault="0033541B" w:rsidP="00454F18">
      <w:pPr>
        <w:pStyle w:val="Bullet"/>
      </w:pPr>
      <w:r w:rsidRPr="00027624">
        <w:t>Emphasising that the Age Pension provides a safety net for people who outlive their savings or when the value of their retirement savings falls significantly</w:t>
      </w:r>
    </w:p>
    <w:p w14:paraId="248129DD" w14:textId="77777777" w:rsidR="0033541B" w:rsidRPr="00027624" w:rsidRDefault="0033541B" w:rsidP="00454F18">
      <w:pPr>
        <w:pStyle w:val="Bullet"/>
      </w:pPr>
      <w:r w:rsidRPr="00027624">
        <w:t>Amend</w:t>
      </w:r>
      <w:r w:rsidR="00BE51D1" w:rsidRPr="00027624">
        <w:t>ing</w:t>
      </w:r>
      <w:r w:rsidRPr="00027624">
        <w:t xml:space="preserve"> the minimum drawdown rates so that income is delivered when people are more likely to consume it, namely earlier in their retirement rather than the current drawdown rates, which are highest at ages 85</w:t>
      </w:r>
      <w:r w:rsidR="00A8443E" w:rsidRPr="00027624">
        <w:noBreakHyphen/>
      </w:r>
      <w:r w:rsidRPr="00027624">
        <w:t>90</w:t>
      </w:r>
    </w:p>
    <w:p w14:paraId="0A2FD14A" w14:textId="77777777" w:rsidR="0033541B" w:rsidRPr="00027624" w:rsidRDefault="0033541B" w:rsidP="00454F18">
      <w:pPr>
        <w:pStyle w:val="Bullet"/>
      </w:pPr>
      <w:r w:rsidRPr="00027624">
        <w:t>At retirement, guid</w:t>
      </w:r>
      <w:r w:rsidR="00BE51D1" w:rsidRPr="00027624">
        <w:t>ing</w:t>
      </w:r>
      <w:r w:rsidRPr="00027624">
        <w:t xml:space="preserve"> people towards products that deliver an income stream and provide protection against market fluctuations and outliving savings</w:t>
      </w:r>
    </w:p>
    <w:p w14:paraId="677CC63B" w14:textId="77777777" w:rsidR="0033541B" w:rsidRPr="00027624" w:rsidRDefault="0033541B" w:rsidP="00454F18">
      <w:r w:rsidRPr="00027624">
        <w:t>Few retirees use the equity in their home to support their standard of living in retirement. The options available to do so include reverse mortgages, equity release schemes, home equity loans and downsizing. Reverse mortgages are the main product available, but usage is low.</w:t>
      </w:r>
    </w:p>
    <w:p w14:paraId="38CDAC6C" w14:textId="77777777" w:rsidR="0033541B" w:rsidRPr="00027624" w:rsidRDefault="0033541B" w:rsidP="00454F18">
      <w:r w:rsidRPr="00027624">
        <w:rPr>
          <w:b/>
          <w:bCs/>
        </w:rPr>
        <w:lastRenderedPageBreak/>
        <w:t>Two</w:t>
      </w:r>
      <w:r w:rsidRPr="00027624">
        <w:t xml:space="preserve"> </w:t>
      </w:r>
      <w:r w:rsidRPr="00027624">
        <w:rPr>
          <w:b/>
        </w:rPr>
        <w:t>Government measures to encourage retirees to access the value of their home to fund their retirement</w:t>
      </w:r>
      <w:r w:rsidRPr="00027624">
        <w:t xml:space="preserve"> are the:</w:t>
      </w:r>
    </w:p>
    <w:p w14:paraId="455C8B71" w14:textId="77777777" w:rsidR="0033541B" w:rsidRPr="00027624" w:rsidRDefault="0033541B" w:rsidP="00454F18">
      <w:pPr>
        <w:pStyle w:val="Bullet"/>
        <w:rPr>
          <w:rFonts w:asciiTheme="minorHAnsi" w:eastAsiaTheme="minorEastAsia" w:hAnsiTheme="minorHAnsi" w:cstheme="minorBidi"/>
        </w:rPr>
      </w:pPr>
      <w:r w:rsidRPr="00027624">
        <w:t>Pension Loans Scheme</w:t>
      </w:r>
      <w:r w:rsidR="00A8443E" w:rsidRPr="00027624">
        <w:t xml:space="preserve"> — </w:t>
      </w:r>
      <w:r w:rsidRPr="00027624">
        <w:t>This is effectively a reverse mortgage for age pensioners and self</w:t>
      </w:r>
      <w:r w:rsidR="00A8443E" w:rsidRPr="00027624">
        <w:noBreakHyphen/>
      </w:r>
      <w:r w:rsidRPr="00027624">
        <w:t>funded retirees, where income from the scheme is not assessable in the Age Pension means test.</w:t>
      </w:r>
    </w:p>
    <w:p w14:paraId="0A5E5096" w14:textId="77777777" w:rsidR="0033541B" w:rsidRPr="00027624" w:rsidRDefault="0033541B" w:rsidP="00454F18">
      <w:pPr>
        <w:pStyle w:val="Bullet"/>
      </w:pPr>
      <w:r w:rsidRPr="00027624">
        <w:t>Downsizer contribution</w:t>
      </w:r>
      <w:r w:rsidR="00A8443E" w:rsidRPr="00027624">
        <w:t xml:space="preserve"> — </w:t>
      </w:r>
      <w:r w:rsidRPr="00027624">
        <w:t xml:space="preserve">This allows </w:t>
      </w:r>
      <w:r w:rsidRPr="00027624" w:rsidDel="001A3E98">
        <w:t xml:space="preserve">people </w:t>
      </w:r>
      <w:r w:rsidRPr="00027624">
        <w:t>aged over 65 to contribute up to $300,000 to superannuation if they sell their home.</w:t>
      </w:r>
    </w:p>
    <w:p w14:paraId="5F46387F" w14:textId="77777777" w:rsidR="0033541B" w:rsidRPr="00027624" w:rsidRDefault="0033541B" w:rsidP="00454F18">
      <w:pPr>
        <w:rPr>
          <w:sz w:val="24"/>
          <w:szCs w:val="24"/>
        </w:rPr>
      </w:pPr>
      <w:r w:rsidRPr="00027624">
        <w:t>Use of the Pension Loans Scheme is limited. Between 1 July 2018 and 17 January 2020, more than 9,000 people made downsizer contributions.</w:t>
      </w:r>
    </w:p>
    <w:p w14:paraId="23F24E35" w14:textId="77777777" w:rsidR="0033541B" w:rsidRPr="00027624" w:rsidRDefault="0033541B" w:rsidP="003A119F">
      <w:pPr>
        <w:pStyle w:val="Heading4"/>
      </w:pPr>
      <w:r w:rsidRPr="00027624">
        <w:t>Dealing with complexity</w:t>
      </w:r>
    </w:p>
    <w:p w14:paraId="21AF1A94" w14:textId="77777777" w:rsidR="0033541B" w:rsidRPr="00027624" w:rsidRDefault="0033541B" w:rsidP="00454F18">
      <w:r w:rsidRPr="00027624">
        <w:t>The retirement income system is complex and hard to navigate. The broader retirement environment is also complex and involves many uncertainties, as can be seen in the context of the COVID</w:t>
      </w:r>
      <w:r w:rsidR="00A8443E" w:rsidRPr="00027624">
        <w:noBreakHyphen/>
      </w:r>
      <w:r w:rsidRPr="00027624">
        <w:t xml:space="preserve">19 Pandemic. </w:t>
      </w:r>
      <w:r w:rsidRPr="00027624">
        <w:rPr>
          <w:b/>
          <w:bCs/>
        </w:rPr>
        <w:t>This complexity and uncertainty, combined with a lack of assistance, guidance or advice, and low financial literacy, makes it hard for people to make well</w:t>
      </w:r>
      <w:r w:rsidR="00A8443E" w:rsidRPr="00027624">
        <w:rPr>
          <w:b/>
          <w:bCs/>
        </w:rPr>
        <w:noBreakHyphen/>
      </w:r>
      <w:r w:rsidRPr="00027624">
        <w:rPr>
          <w:b/>
          <w:bCs/>
        </w:rPr>
        <w:t>informed choices about their retirement income.</w:t>
      </w:r>
    </w:p>
    <w:p w14:paraId="559B52A4" w14:textId="77777777" w:rsidR="0033541B" w:rsidRPr="00027624" w:rsidRDefault="0033541B" w:rsidP="00454F18">
      <w:pPr>
        <w:rPr>
          <w:sz w:val="24"/>
          <w:szCs w:val="24"/>
        </w:rPr>
      </w:pPr>
      <w:r w:rsidRPr="00027624">
        <w:t>Adding to complexity is the interaction with other systems, such as aged care, the tax system and other benefits available for older Australians.</w:t>
      </w:r>
    </w:p>
    <w:p w14:paraId="42BE443B" w14:textId="77777777" w:rsidR="0033541B" w:rsidRPr="00027624" w:rsidRDefault="0033541B" w:rsidP="003A119F">
      <w:pPr>
        <w:pStyle w:val="Heading4"/>
      </w:pPr>
      <w:r w:rsidRPr="00027624">
        <w:t>Reducing complexity</w:t>
      </w:r>
    </w:p>
    <w:p w14:paraId="184C5F6E" w14:textId="77777777" w:rsidR="0033541B" w:rsidRPr="00027624" w:rsidRDefault="0033541B" w:rsidP="00454F18">
      <w:r w:rsidRPr="00027624">
        <w:t>Submissions raised a range of ways to tackle the complexity of the retirement income system. These included simplifying the design of the system by removing the Age Pension means test and creating a universal pension. Another suggestion was to have a one</w:t>
      </w:r>
      <w:r w:rsidR="00A8443E" w:rsidRPr="00027624">
        <w:noBreakHyphen/>
      </w:r>
      <w:r w:rsidRPr="00027624">
        <w:t>off means test. There were also suggestions to improve the administration of the Age Pension, such as reducing reporting requirements and using data sharing to pre</w:t>
      </w:r>
      <w:r w:rsidR="00A8443E" w:rsidRPr="00027624">
        <w:noBreakHyphen/>
      </w:r>
      <w:r w:rsidRPr="00027624">
        <w:t>fill forms and make application for the Age Pension easier.</w:t>
      </w:r>
    </w:p>
    <w:p w14:paraId="44F5CA30" w14:textId="77777777" w:rsidR="0033541B" w:rsidRPr="00027624" w:rsidRDefault="0033541B" w:rsidP="003A119F">
      <w:pPr>
        <w:pStyle w:val="Heading4"/>
      </w:pPr>
      <w:r w:rsidRPr="00027624">
        <w:t>A merged means test</w:t>
      </w:r>
    </w:p>
    <w:p w14:paraId="245A7B5D" w14:textId="77777777" w:rsidR="0033541B" w:rsidRPr="00027624" w:rsidRDefault="0033541B" w:rsidP="00454F18">
      <w:pPr>
        <w:rPr>
          <w:sz w:val="20"/>
        </w:rPr>
      </w:pPr>
      <w:r w:rsidRPr="00027624">
        <w:t xml:space="preserve">Some stakeholders suggested merging the income and assets tests in order to reduce the complexity of the Age Pension means test. It would be challenging to design a merged means test without compromising some of the retirement income system objectives of adequacy, equity, sustainability </w:t>
      </w:r>
      <w:r w:rsidRPr="00027624">
        <w:rPr>
          <w:szCs w:val="22"/>
        </w:rPr>
        <w:t>and cohesion. An example of a merged means test is outlined in the report.</w:t>
      </w:r>
    </w:p>
    <w:p w14:paraId="3E3B7627" w14:textId="77777777" w:rsidR="0033541B" w:rsidRPr="00027624" w:rsidRDefault="0033541B" w:rsidP="003A119F">
      <w:pPr>
        <w:pStyle w:val="Heading4"/>
      </w:pPr>
      <w:r w:rsidRPr="00027624">
        <w:t>Default products in the retirement phase</w:t>
      </w:r>
    </w:p>
    <w:p w14:paraId="0A308811" w14:textId="77777777" w:rsidR="0033541B" w:rsidRPr="00027624" w:rsidRDefault="0033541B" w:rsidP="00454F18">
      <w:r w:rsidRPr="00027624">
        <w:t xml:space="preserve">The </w:t>
      </w:r>
      <w:r w:rsidR="00346E3E" w:rsidRPr="00027624">
        <w:t>pre</w:t>
      </w:r>
      <w:r w:rsidR="00A8443E" w:rsidRPr="00027624">
        <w:noBreakHyphen/>
      </w:r>
      <w:r w:rsidR="00346E3E" w:rsidRPr="00027624">
        <w:t>retirement phase</w:t>
      </w:r>
      <w:r w:rsidRPr="00027624">
        <w:t xml:space="preserve"> of the retirement income system has substantial compulsion and defaults, and as a result, people do not have to make decisions about their superannuation contributions. For example, the SG involves compulsory superannuation contributions, which come with default mechanisms for selecting a superannuation fund and products. A downside of defaults is</w:t>
      </w:r>
      <w:r w:rsidR="00BE51D1" w:rsidRPr="00027624">
        <w:t xml:space="preserve"> that</w:t>
      </w:r>
      <w:r w:rsidRPr="00027624">
        <w:t xml:space="preserve"> people fail to engage with their superannuation. The</w:t>
      </w:r>
      <w:r w:rsidR="00AE344B" w:rsidRPr="00027624">
        <w:t xml:space="preserve"> Productivity Commission</w:t>
      </w:r>
      <w:r w:rsidRPr="00027624">
        <w:t xml:space="preserve"> </w:t>
      </w:r>
      <w:sdt>
        <w:sdtPr>
          <w:id w:val="249395950"/>
          <w:citation/>
        </w:sdtPr>
        <w:sdtEndPr/>
        <w:sdtContent>
          <w:r w:rsidR="00AE344B" w:rsidRPr="00027624">
            <w:fldChar w:fldCharType="begin"/>
          </w:r>
          <w:r w:rsidR="00AE344B" w:rsidRPr="00027624">
            <w:instrText xml:space="preserve">CITATION Pro18 \n  \l 3081 </w:instrText>
          </w:r>
          <w:r w:rsidR="00AE344B" w:rsidRPr="00027624">
            <w:fldChar w:fldCharType="separate"/>
          </w:r>
          <w:r w:rsidR="00E83F6E">
            <w:rPr>
              <w:noProof/>
            </w:rPr>
            <w:t>(2018a)</w:t>
          </w:r>
          <w:r w:rsidR="00AE344B" w:rsidRPr="00027624">
            <w:fldChar w:fldCharType="end"/>
          </w:r>
        </w:sdtContent>
      </w:sdt>
      <w:r w:rsidRPr="00027624">
        <w:t xml:space="preserve"> suggested default settings be set to encourage people to make active choices, but also to protect those who do not.</w:t>
      </w:r>
    </w:p>
    <w:p w14:paraId="02E0BC1C" w14:textId="77777777" w:rsidR="0033541B" w:rsidRPr="00027624" w:rsidRDefault="0033541B" w:rsidP="00454F18">
      <w:r w:rsidRPr="00027624">
        <w:t>The retirement phase is more complex than the pre</w:t>
      </w:r>
      <w:r w:rsidR="00A8443E" w:rsidRPr="00027624">
        <w:noBreakHyphen/>
      </w:r>
      <w:r w:rsidRPr="00027624">
        <w:t>retirement phase, but little guidance is available to help people choose their retirement income products. To address this, stakeholders suggested:</w:t>
      </w:r>
    </w:p>
    <w:p w14:paraId="029D400A" w14:textId="77777777" w:rsidR="0033541B" w:rsidRPr="00027624" w:rsidRDefault="0033541B" w:rsidP="00454F18">
      <w:pPr>
        <w:pStyle w:val="Bullet"/>
      </w:pPr>
      <w:r w:rsidRPr="00027624">
        <w:t xml:space="preserve">Advancing the </w:t>
      </w:r>
      <w:r w:rsidRPr="00027624">
        <w:rPr>
          <w:b/>
          <w:bCs/>
        </w:rPr>
        <w:t>Comprehensive Income Products for Retirement</w:t>
      </w:r>
      <w:r w:rsidRPr="00027624">
        <w:t xml:space="preserve"> concept and making available regulated, simple and safe retirement products</w:t>
      </w:r>
    </w:p>
    <w:p w14:paraId="65AE6625" w14:textId="77777777" w:rsidR="0033541B" w:rsidRPr="00027624" w:rsidRDefault="0033541B" w:rsidP="00454F18">
      <w:pPr>
        <w:pStyle w:val="Bullet"/>
      </w:pPr>
      <w:r w:rsidRPr="00027624">
        <w:lastRenderedPageBreak/>
        <w:t xml:space="preserve">Developing the proposed </w:t>
      </w:r>
      <w:r w:rsidRPr="00027624">
        <w:rPr>
          <w:b/>
          <w:bCs/>
        </w:rPr>
        <w:t>Retirement Income Covenant</w:t>
      </w:r>
      <w:r w:rsidRPr="00027624">
        <w:t xml:space="preserve"> under which superannuation trustees would be required to develop a retirement income strategy, and provide guidance to help retirees choose a retirement income product</w:t>
      </w:r>
    </w:p>
    <w:p w14:paraId="6E919836" w14:textId="77777777" w:rsidR="0033541B" w:rsidRPr="00027624" w:rsidRDefault="0033541B" w:rsidP="00454F18">
      <w:pPr>
        <w:pStyle w:val="Bullet"/>
      </w:pPr>
      <w:r w:rsidRPr="00027624">
        <w:rPr>
          <w:rStyle w:val="normaltextrun"/>
          <w:rFonts w:cs="Calibri"/>
          <w:b/>
          <w:bCs/>
          <w:szCs w:val="22"/>
          <w:shd w:val="clear" w:color="auto" w:fill="FFFFFF"/>
        </w:rPr>
        <w:t>Introducing defaults</w:t>
      </w:r>
      <w:r w:rsidRPr="00027624">
        <w:rPr>
          <w:rStyle w:val="normaltextrun"/>
          <w:rFonts w:cs="Calibri"/>
          <w:b/>
          <w:szCs w:val="22"/>
          <w:shd w:val="clear" w:color="auto" w:fill="FFFFFF"/>
        </w:rPr>
        <w:t>,</w:t>
      </w:r>
      <w:r w:rsidRPr="00027624">
        <w:rPr>
          <w:rStyle w:val="normaltextrun"/>
          <w:rFonts w:cs="Calibri"/>
          <w:szCs w:val="22"/>
          <w:shd w:val="clear" w:color="auto" w:fill="FFFFFF"/>
        </w:rPr>
        <w:t xml:space="preserve"> and while recognising the difficulty of designing an optimal default given that people</w:t>
      </w:r>
      <w:r w:rsidR="00A8443E" w:rsidRPr="00027624">
        <w:rPr>
          <w:rStyle w:val="normaltextrun"/>
          <w:rFonts w:cs="Calibri"/>
          <w:szCs w:val="22"/>
          <w:shd w:val="clear" w:color="auto" w:fill="FFFFFF"/>
        </w:rPr>
        <w:t>’</w:t>
      </w:r>
      <w:r w:rsidRPr="00027624">
        <w:rPr>
          <w:rStyle w:val="normaltextrun"/>
          <w:rFonts w:cs="Calibri"/>
          <w:szCs w:val="22"/>
          <w:shd w:val="clear" w:color="auto" w:fill="FFFFFF"/>
        </w:rPr>
        <w:t>s circumstances vary, making pre</w:t>
      </w:r>
      <w:r w:rsidR="00A8443E" w:rsidRPr="00027624">
        <w:rPr>
          <w:rStyle w:val="normaltextrun"/>
          <w:rFonts w:cs="Calibri"/>
          <w:szCs w:val="22"/>
          <w:shd w:val="clear" w:color="auto" w:fill="FFFFFF"/>
        </w:rPr>
        <w:noBreakHyphen/>
      </w:r>
      <w:r w:rsidRPr="00027624">
        <w:rPr>
          <w:rStyle w:val="normaltextrun"/>
          <w:rFonts w:cs="Calibri"/>
          <w:szCs w:val="22"/>
          <w:shd w:val="clear" w:color="auto" w:fill="FFFFFF"/>
        </w:rPr>
        <w:t xml:space="preserve">selected or </w:t>
      </w:r>
      <w:r w:rsidR="00A8443E" w:rsidRPr="00027624">
        <w:rPr>
          <w:rStyle w:val="normaltextrun"/>
          <w:rFonts w:cs="Calibri"/>
          <w:szCs w:val="22"/>
          <w:shd w:val="clear" w:color="auto" w:fill="FFFFFF"/>
        </w:rPr>
        <w:t>‘</w:t>
      </w:r>
      <w:r w:rsidRPr="00027624">
        <w:rPr>
          <w:rStyle w:val="normaltextrun"/>
          <w:rFonts w:cs="Calibri"/>
          <w:szCs w:val="22"/>
          <w:shd w:val="clear" w:color="auto" w:fill="FFFFFF"/>
        </w:rPr>
        <w:t>soft</w:t>
      </w:r>
      <w:r w:rsidR="00A8443E" w:rsidRPr="00027624">
        <w:rPr>
          <w:rStyle w:val="normaltextrun"/>
          <w:rFonts w:cs="Calibri"/>
          <w:szCs w:val="22"/>
          <w:shd w:val="clear" w:color="auto" w:fill="FFFFFF"/>
        </w:rPr>
        <w:t>’</w:t>
      </w:r>
      <w:r w:rsidRPr="00027624">
        <w:rPr>
          <w:rStyle w:val="normaltextrun"/>
          <w:rFonts w:cs="Calibri"/>
          <w:szCs w:val="22"/>
          <w:shd w:val="clear" w:color="auto" w:fill="FFFFFF"/>
        </w:rPr>
        <w:t xml:space="preserve"> default products available. Alternatively, similar to approaches in some other countries, it could be mandatory that part of a person</w:t>
      </w:r>
      <w:r w:rsidR="00A8443E" w:rsidRPr="00027624">
        <w:rPr>
          <w:rStyle w:val="normaltextrun"/>
          <w:rFonts w:cs="Calibri"/>
          <w:szCs w:val="22"/>
          <w:shd w:val="clear" w:color="auto" w:fill="FFFFFF"/>
        </w:rPr>
        <w:t>’</w:t>
      </w:r>
      <w:r w:rsidRPr="00027624">
        <w:rPr>
          <w:rStyle w:val="normaltextrun"/>
          <w:rFonts w:cs="Calibri"/>
          <w:szCs w:val="22"/>
          <w:shd w:val="clear" w:color="auto" w:fill="FFFFFF"/>
        </w:rPr>
        <w:t>s retirement savings be taken as an annuity</w:t>
      </w:r>
    </w:p>
    <w:p w14:paraId="62895510" w14:textId="77777777" w:rsidR="0033541B" w:rsidRPr="00027624" w:rsidRDefault="0033541B" w:rsidP="00454F18">
      <w:pPr>
        <w:pStyle w:val="Bullet"/>
      </w:pPr>
      <w:r w:rsidRPr="00027624">
        <w:rPr>
          <w:b/>
          <w:bCs/>
        </w:rPr>
        <w:t>Limiting options offered</w:t>
      </w:r>
      <w:r w:rsidRPr="00027624">
        <w:t>, such as the UK approach where every defined contribution pension has only four investment pathways</w:t>
      </w:r>
    </w:p>
    <w:p w14:paraId="499133FC" w14:textId="77777777" w:rsidR="0033541B" w:rsidRPr="00027624" w:rsidRDefault="0033541B" w:rsidP="003A119F">
      <w:pPr>
        <w:pStyle w:val="Heading4"/>
      </w:pPr>
      <w:r w:rsidRPr="00027624">
        <w:t>Retirement advice and guidance</w:t>
      </w:r>
    </w:p>
    <w:p w14:paraId="628416F9" w14:textId="77777777" w:rsidR="0033541B" w:rsidRPr="00027624" w:rsidRDefault="0033541B" w:rsidP="00454F18">
      <w:r w:rsidRPr="00027624">
        <w:t>Submissions raised a range of proposals aimed at giving people more information, guidance and better advice tailored to their circumstances.</w:t>
      </w:r>
    </w:p>
    <w:p w14:paraId="007232CA" w14:textId="77777777" w:rsidR="0033541B" w:rsidRPr="00027624" w:rsidRDefault="0033541B" w:rsidP="00454F18">
      <w:r w:rsidRPr="00027624">
        <w:t xml:space="preserve">The evidence suggests that </w:t>
      </w:r>
      <w:r w:rsidRPr="00027624">
        <w:rPr>
          <w:b/>
        </w:rPr>
        <w:t>most people do not seek advice about retirement income planning.</w:t>
      </w:r>
      <w:r w:rsidRPr="00027624">
        <w:t xml:space="preserve"> Barriers against seeking advice include cost, small finances and lack of trust.</w:t>
      </w:r>
    </w:p>
    <w:p w14:paraId="38132B2D" w14:textId="77777777" w:rsidR="0033541B" w:rsidRPr="00027624" w:rsidRDefault="0033541B" w:rsidP="00454F18">
      <w:r w:rsidRPr="00027624">
        <w:t>People need advice and assistance to make better informed decisions. But the advice has to be sound. Assessments by regulators and the Hayne Royal Commission, identified weaknesses and misconduct in financial</w:t>
      </w:r>
      <w:r w:rsidRPr="00027624" w:rsidDel="4640EEC2">
        <w:t xml:space="preserve"> advice</w:t>
      </w:r>
      <w:r w:rsidRPr="00027624">
        <w:t>. Reforms are underway to remove conflicts of interest for those giving advice and to improve their education. Superannuation funds are uniquely placed to provide advice and guidance because members have to contact their fund to commence a retirement income product. But funds can have a conflict of interest between the interest of members and maximising funds under management. Funds are also restricted in what they can consider when providing intra</w:t>
      </w:r>
      <w:r w:rsidR="00A8443E" w:rsidRPr="00027624">
        <w:noBreakHyphen/>
      </w:r>
      <w:r w:rsidRPr="00027624">
        <w:t>fund advice. Changes would need to be made to the regulatory framework to facilitate funds providing more guidance at retirement.</w:t>
      </w:r>
    </w:p>
    <w:p w14:paraId="526C353D" w14:textId="77777777" w:rsidR="0033541B" w:rsidRPr="00027624" w:rsidRDefault="0033541B" w:rsidP="00454F18">
      <w:r w:rsidRPr="00027624">
        <w:t>Automated or digital advice could be more accessible and affordable. The take</w:t>
      </w:r>
      <w:r w:rsidR="00A8443E" w:rsidRPr="00027624">
        <w:noBreakHyphen/>
      </w:r>
      <w:r w:rsidRPr="00027624">
        <w:t>up of such advice is currently low, with people lacking trust in this form of advice and thinking it should be free.</w:t>
      </w:r>
    </w:p>
    <w:p w14:paraId="1C434CF0" w14:textId="77777777" w:rsidR="0033541B" w:rsidRPr="00027624" w:rsidRDefault="0033541B" w:rsidP="00454F18">
      <w:pPr>
        <w:rPr>
          <w:sz w:val="24"/>
          <w:szCs w:val="24"/>
        </w:rPr>
      </w:pPr>
      <w:r w:rsidRPr="00027624">
        <w:t>There may also be a role for the Government to provide comparison tools to help consumers compare products. Some submissions suggested expanding ASIC</w:t>
      </w:r>
      <w:r w:rsidR="00A8443E" w:rsidRPr="00027624">
        <w:t>’</w:t>
      </w:r>
      <w:r w:rsidRPr="00027624">
        <w:t>s MoneySmart website and the Financial Information Service</w:t>
      </w:r>
      <w:r w:rsidRPr="00027624">
        <w:rPr>
          <w:sz w:val="24"/>
          <w:szCs w:val="24"/>
        </w:rPr>
        <w:t>.</w:t>
      </w:r>
    </w:p>
    <w:p w14:paraId="5CEB5C9E" w14:textId="77777777" w:rsidR="0033541B" w:rsidRPr="00027624" w:rsidRDefault="0033541B" w:rsidP="00454F18">
      <w:r w:rsidRPr="00027624">
        <w:t>Overall, in terms of the cohesion of the system, the evidence suggests that:</w:t>
      </w:r>
    </w:p>
    <w:p w14:paraId="4C4CF389" w14:textId="77777777" w:rsidR="0033541B" w:rsidRPr="00027624" w:rsidRDefault="0033541B" w:rsidP="00454F18">
      <w:pPr>
        <w:pStyle w:val="Bullet"/>
      </w:pPr>
      <w:r w:rsidRPr="00027624">
        <w:t>The SG is effective in increasing savings for retirement</w:t>
      </w:r>
      <w:r w:rsidR="00BE51D1" w:rsidRPr="00027624">
        <w:t>,</w:t>
      </w:r>
      <w:r w:rsidRPr="00027624">
        <w:t xml:space="preserve"> while tax concessions appear to have a weak influence on overall savings behaviour</w:t>
      </w:r>
    </w:p>
    <w:p w14:paraId="3F27BC51" w14:textId="77777777" w:rsidR="0033541B" w:rsidRPr="00027624" w:rsidRDefault="0033541B" w:rsidP="00454F18">
      <w:pPr>
        <w:pStyle w:val="Bullet"/>
      </w:pPr>
      <w:r w:rsidRPr="00027624">
        <w:t>Retirement income projections, greater use of longevity risk management products and more financial advice and guidance would lead to higher drawdown in retirement</w:t>
      </w:r>
    </w:p>
    <w:p w14:paraId="72703854" w14:textId="77777777" w:rsidR="0033541B" w:rsidRPr="00027624" w:rsidRDefault="0033541B" w:rsidP="00454F18">
      <w:pPr>
        <w:pStyle w:val="Bullet"/>
      </w:pPr>
      <w:r w:rsidRPr="00027624">
        <w:t>Reducing complexity would lead to better retirement outcomes for individuals</w:t>
      </w:r>
    </w:p>
    <w:p w14:paraId="562DE49A" w14:textId="77777777" w:rsidR="0033541B" w:rsidRPr="00027624" w:rsidRDefault="0033541B" w:rsidP="00454F18">
      <w:pPr>
        <w:pStyle w:val="Bullet"/>
      </w:pPr>
      <w:r w:rsidRPr="00027624">
        <w:t>Carefully designed defaults, guidance from superannuation funds, as well as accessible and affordable advice at retirement, would help people get better outcomes in retirement</w:t>
      </w:r>
    </w:p>
    <w:p w14:paraId="39A7CBFA" w14:textId="77777777" w:rsidR="00E63125" w:rsidRPr="00027624" w:rsidRDefault="00E63125" w:rsidP="00E63125"/>
    <w:p w14:paraId="7548FC1A" w14:textId="77777777" w:rsidR="00445DFF" w:rsidRPr="00027624" w:rsidRDefault="00445DFF">
      <w:pPr>
        <w:spacing w:before="0" w:after="160" w:line="259" w:lineRule="auto"/>
        <w:sectPr w:rsidR="00445DFF" w:rsidRPr="00027624" w:rsidSect="0060556C">
          <w:type w:val="oddPage"/>
          <w:pgSz w:w="11906" w:h="16838" w:code="9"/>
          <w:pgMar w:top="1418" w:right="1418" w:bottom="1418" w:left="1418" w:header="709" w:footer="709" w:gutter="0"/>
          <w:cols w:space="708"/>
          <w:titlePg/>
          <w:docGrid w:linePitch="360"/>
        </w:sectPr>
      </w:pPr>
    </w:p>
    <w:p w14:paraId="0BFC59D3" w14:textId="77777777" w:rsidR="00D178A4" w:rsidRPr="00027624" w:rsidRDefault="0010191F" w:rsidP="0022347E">
      <w:pPr>
        <w:spacing w:before="0" w:after="160" w:line="259" w:lineRule="auto"/>
      </w:pPr>
      <w:r w:rsidRPr="00027624">
        <w:rPr>
          <w:noProof/>
        </w:rPr>
        <w:lastRenderedPageBreak/>
        <w:drawing>
          <wp:anchor distT="0" distB="0" distL="114300" distR="114300" simplePos="0" relativeHeight="251658241" behindDoc="1" locked="0" layoutInCell="1" allowOverlap="1" wp14:anchorId="6D0A7721" wp14:editId="4589148A">
            <wp:simplePos x="0" y="0"/>
            <wp:positionH relativeFrom="page">
              <wp:align>center</wp:align>
            </wp:positionH>
            <wp:positionV relativeFrom="page">
              <wp:align>top</wp:align>
            </wp:positionV>
            <wp:extent cx="7570800" cy="10709018"/>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tirement Income Review - chapter title pages2.jpg"/>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570800" cy="107090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0EA82D" w14:textId="77777777" w:rsidR="00D178A4" w:rsidRPr="00027624" w:rsidRDefault="00D178A4" w:rsidP="0022347E">
      <w:pPr>
        <w:pStyle w:val="Chapterheading"/>
        <w:numPr>
          <w:ilvl w:val="0"/>
          <w:numId w:val="21"/>
        </w:numPr>
        <w:spacing w:before="1080"/>
        <w:ind w:left="2977" w:hanging="709"/>
      </w:pPr>
      <w:bookmarkStart w:id="112" w:name="_Toc45520420"/>
      <w:bookmarkStart w:id="113" w:name="_Toc46133531"/>
      <w:r w:rsidRPr="00027624">
        <w:t>Outline of Australia</w:t>
      </w:r>
      <w:r w:rsidR="00A8443E" w:rsidRPr="00027624">
        <w:t>’</w:t>
      </w:r>
      <w:r w:rsidRPr="00027624">
        <w:t>s retirement income system</w:t>
      </w:r>
      <w:bookmarkEnd w:id="112"/>
      <w:bookmarkEnd w:id="113"/>
    </w:p>
    <w:p w14:paraId="2C56ACDA" w14:textId="77777777" w:rsidR="00D178A4" w:rsidRPr="00027624" w:rsidRDefault="00D178A4" w:rsidP="00D178A4">
      <w:pPr>
        <w:pStyle w:val="Heading2"/>
      </w:pPr>
      <w:bookmarkStart w:id="114" w:name="_Toc45520421"/>
      <w:bookmarkStart w:id="115" w:name="_Toc46133532"/>
      <w:r w:rsidRPr="00027624">
        <w:rPr>
          <w:rStyle w:val="normaltextrun"/>
        </w:rPr>
        <w:t>Outline of this chapter</w:t>
      </w:r>
      <w:bookmarkEnd w:id="114"/>
      <w:bookmarkEnd w:id="115"/>
    </w:p>
    <w:p w14:paraId="1431ED42" w14:textId="77777777" w:rsidR="00D178A4" w:rsidRPr="00027624" w:rsidRDefault="00D178A4" w:rsidP="00D178A4">
      <w:pPr>
        <w:rPr>
          <w:rFonts w:ascii="Segoe UI" w:hAnsi="Segoe UI" w:cs="Segoe UI"/>
          <w:sz w:val="18"/>
          <w:szCs w:val="18"/>
        </w:rPr>
      </w:pPr>
      <w:bookmarkStart w:id="116" w:name="_Hlk44863833"/>
      <w:r w:rsidRPr="00027624">
        <w:rPr>
          <w:rStyle w:val="normaltextrun"/>
          <w:rFonts w:cs="Calibri"/>
          <w:szCs w:val="22"/>
        </w:rPr>
        <w:t>This chapter provides background to the retirement income system and introduces key concepts relied on in this report. The chapter is organised in four parts:</w:t>
      </w:r>
    </w:p>
    <w:p w14:paraId="5A67AA15" w14:textId="77777777" w:rsidR="00D178A4" w:rsidRPr="00027624" w:rsidRDefault="00D178A4" w:rsidP="00D178A4">
      <w:pPr>
        <w:rPr>
          <w:rFonts w:ascii="Segoe UI" w:hAnsi="Segoe UI" w:cs="Segoe UI"/>
          <w:sz w:val="18"/>
          <w:szCs w:val="18"/>
        </w:rPr>
      </w:pPr>
      <w:r w:rsidRPr="00027624">
        <w:rPr>
          <w:rStyle w:val="normaltextrun"/>
          <w:rFonts w:cs="Calibri"/>
          <w:szCs w:val="22"/>
        </w:rPr>
        <w:t xml:space="preserve">First, it examines how the concept of retirement has changed over time, explores historical trends in when people retire, and defines what is meant by </w:t>
      </w:r>
      <w:r w:rsidR="00A8443E" w:rsidRPr="00027624">
        <w:rPr>
          <w:rStyle w:val="normaltextrun"/>
          <w:rFonts w:cs="Calibri"/>
          <w:szCs w:val="22"/>
        </w:rPr>
        <w:t>‘</w:t>
      </w:r>
      <w:r w:rsidRPr="00027624">
        <w:rPr>
          <w:rStyle w:val="normaltextrun"/>
          <w:rFonts w:cs="Calibri"/>
          <w:szCs w:val="22"/>
        </w:rPr>
        <w:t>retirement</w:t>
      </w:r>
      <w:r w:rsidR="00A8443E" w:rsidRPr="00027624">
        <w:rPr>
          <w:rStyle w:val="normaltextrun"/>
          <w:rFonts w:cs="Calibri"/>
          <w:szCs w:val="22"/>
        </w:rPr>
        <w:t>’</w:t>
      </w:r>
      <w:r w:rsidRPr="00027624">
        <w:rPr>
          <w:rStyle w:val="normaltextrun"/>
          <w:rFonts w:cs="Calibri"/>
          <w:szCs w:val="22"/>
        </w:rPr>
        <w:t xml:space="preserve"> for the purposes of this report.</w:t>
      </w:r>
    </w:p>
    <w:bookmarkEnd w:id="116"/>
    <w:p w14:paraId="55F4CECE" w14:textId="77777777" w:rsidR="00D178A4" w:rsidRPr="00027624" w:rsidRDefault="00544411" w:rsidP="00D178A4">
      <w:pPr>
        <w:rPr>
          <w:rFonts w:ascii="Segoe UI" w:hAnsi="Segoe UI" w:cs="Segoe UI"/>
          <w:sz w:val="18"/>
          <w:szCs w:val="18"/>
        </w:rPr>
      </w:pPr>
      <w:r w:rsidRPr="00027624">
        <w:rPr>
          <w:rStyle w:val="normaltextrun"/>
          <w:rFonts w:cs="Calibri"/>
          <w:szCs w:val="22"/>
        </w:rPr>
        <w:t>S</w:t>
      </w:r>
      <w:r w:rsidR="00D178A4" w:rsidRPr="00027624">
        <w:rPr>
          <w:rStyle w:val="normaltextrun"/>
          <w:rFonts w:cs="Calibri"/>
          <w:szCs w:val="22"/>
        </w:rPr>
        <w:t>econd</w:t>
      </w:r>
      <w:r w:rsidR="009C31EA" w:rsidRPr="00027624">
        <w:rPr>
          <w:rStyle w:val="normaltextrun"/>
          <w:rFonts w:cs="Calibri"/>
          <w:szCs w:val="22"/>
        </w:rPr>
        <w:t>,</w:t>
      </w:r>
      <w:r w:rsidR="00D178A4" w:rsidRPr="00027624">
        <w:rPr>
          <w:rStyle w:val="normaltextrun"/>
          <w:rFonts w:cs="Calibri"/>
          <w:szCs w:val="22"/>
        </w:rPr>
        <w:t xml:space="preserve"> </w:t>
      </w:r>
      <w:r w:rsidR="009C31EA" w:rsidRPr="00027624">
        <w:rPr>
          <w:rStyle w:val="normaltextrun"/>
          <w:rFonts w:cs="Calibri"/>
          <w:szCs w:val="22"/>
        </w:rPr>
        <w:t xml:space="preserve">it </w:t>
      </w:r>
      <w:r w:rsidR="00D178A4" w:rsidRPr="00027624">
        <w:rPr>
          <w:rStyle w:val="normaltextrun"/>
          <w:rFonts w:cs="Calibri"/>
          <w:szCs w:val="22"/>
        </w:rPr>
        <w:t>outlines the design of Australia</w:t>
      </w:r>
      <w:r w:rsidR="00A8443E" w:rsidRPr="00027624">
        <w:rPr>
          <w:rStyle w:val="normaltextrun"/>
          <w:rFonts w:cs="Calibri"/>
          <w:szCs w:val="22"/>
        </w:rPr>
        <w:t>’</w:t>
      </w:r>
      <w:r w:rsidR="00D178A4" w:rsidRPr="00027624">
        <w:rPr>
          <w:rStyle w:val="normaltextrun"/>
          <w:rFonts w:cs="Calibri"/>
          <w:szCs w:val="22"/>
        </w:rPr>
        <w:t>s retirement income system and how different parts of the system interact. It includes background on the history of the system and current system settings, as well as an overview of the sources of income for recent retirees and a brief international comparison.</w:t>
      </w:r>
    </w:p>
    <w:p w14:paraId="2BAE933F" w14:textId="77777777" w:rsidR="00D178A4" w:rsidRPr="00027624" w:rsidRDefault="009C31EA" w:rsidP="00D178A4">
      <w:pPr>
        <w:rPr>
          <w:rFonts w:ascii="Segoe UI" w:hAnsi="Segoe UI" w:cs="Segoe UI"/>
          <w:sz w:val="18"/>
          <w:szCs w:val="18"/>
        </w:rPr>
      </w:pPr>
      <w:r w:rsidRPr="00027624">
        <w:rPr>
          <w:rStyle w:val="normaltextrun"/>
          <w:rFonts w:cs="Calibri"/>
          <w:szCs w:val="22"/>
        </w:rPr>
        <w:t>T</w:t>
      </w:r>
      <w:r w:rsidR="00D178A4" w:rsidRPr="00027624">
        <w:rPr>
          <w:rStyle w:val="normaltextrun"/>
          <w:rFonts w:cs="Calibri"/>
          <w:szCs w:val="22"/>
        </w:rPr>
        <w:t>hird</w:t>
      </w:r>
      <w:r w:rsidRPr="00027624">
        <w:rPr>
          <w:rStyle w:val="normaltextrun"/>
          <w:rFonts w:cs="Calibri"/>
          <w:szCs w:val="22"/>
        </w:rPr>
        <w:t>, it</w:t>
      </w:r>
      <w:r w:rsidR="00D178A4" w:rsidRPr="00027624">
        <w:rPr>
          <w:rStyle w:val="normaltextrun"/>
          <w:rFonts w:cs="Calibri"/>
          <w:szCs w:val="22"/>
        </w:rPr>
        <w:t xml:space="preserve"> suggests an objective for Australia</w:t>
      </w:r>
      <w:r w:rsidR="00A8443E" w:rsidRPr="00027624">
        <w:rPr>
          <w:rStyle w:val="normaltextrun"/>
          <w:rFonts w:cs="Calibri"/>
          <w:szCs w:val="22"/>
        </w:rPr>
        <w:t>’</w:t>
      </w:r>
      <w:r w:rsidR="00D178A4" w:rsidRPr="00027624">
        <w:rPr>
          <w:rStyle w:val="normaltextrun"/>
          <w:rFonts w:cs="Calibri"/>
          <w:szCs w:val="22"/>
        </w:rPr>
        <w:t xml:space="preserve">s retirement income system and considers the roles of system participants and </w:t>
      </w:r>
      <w:r w:rsidRPr="00027624">
        <w:rPr>
          <w:rStyle w:val="normaltextrun"/>
          <w:rFonts w:cs="Calibri"/>
          <w:szCs w:val="22"/>
        </w:rPr>
        <w:t>pillars</w:t>
      </w:r>
      <w:r w:rsidR="00D178A4" w:rsidRPr="00027624">
        <w:rPr>
          <w:rStyle w:val="normaltextrun"/>
          <w:rFonts w:cs="Calibri"/>
          <w:szCs w:val="22"/>
        </w:rPr>
        <w:t>.</w:t>
      </w:r>
    </w:p>
    <w:p w14:paraId="6353ACA1" w14:textId="77777777" w:rsidR="00D178A4" w:rsidRPr="00027624" w:rsidRDefault="00D178A4" w:rsidP="00D178A4">
      <w:pPr>
        <w:rPr>
          <w:rFonts w:ascii="Segoe UI" w:hAnsi="Segoe UI" w:cs="Segoe UI"/>
          <w:sz w:val="18"/>
          <w:szCs w:val="18"/>
        </w:rPr>
      </w:pPr>
      <w:r w:rsidRPr="00027624">
        <w:rPr>
          <w:rStyle w:val="normaltextrun"/>
          <w:rFonts w:cs="Calibri"/>
          <w:szCs w:val="22"/>
        </w:rPr>
        <w:t>Finally, it identifies the broad demographic and economic factors that could affect the retirement income system.</w:t>
      </w:r>
    </w:p>
    <w:p w14:paraId="1C12870A" w14:textId="77777777" w:rsidR="00952957" w:rsidRPr="00027624" w:rsidRDefault="00952957" w:rsidP="00952957">
      <w:pPr>
        <w:sectPr w:rsidR="00952957" w:rsidRPr="00027624" w:rsidSect="0060556C">
          <w:type w:val="oddPage"/>
          <w:pgSz w:w="11906" w:h="16838" w:code="9"/>
          <w:pgMar w:top="1418" w:right="1418" w:bottom="1418" w:left="1418" w:header="709" w:footer="709" w:gutter="0"/>
          <w:cols w:space="708"/>
          <w:titlePg/>
          <w:docGrid w:linePitch="360"/>
        </w:sectPr>
      </w:pPr>
      <w:bookmarkStart w:id="117" w:name="_Toc31209564"/>
      <w:bookmarkStart w:id="118" w:name="_Toc31270926"/>
      <w:bookmarkStart w:id="119" w:name="_Toc31274370"/>
      <w:bookmarkStart w:id="120" w:name="_Toc31276202"/>
      <w:bookmarkStart w:id="121" w:name="_Toc31352200"/>
      <w:bookmarkStart w:id="122" w:name="_Toc31720336"/>
      <w:bookmarkStart w:id="123" w:name="_Toc35274469"/>
      <w:bookmarkStart w:id="124" w:name="_Toc40287059"/>
      <w:bookmarkStart w:id="125" w:name="_Toc45520422"/>
      <w:bookmarkStart w:id="126" w:name="_Toc31209561"/>
      <w:bookmarkStart w:id="127" w:name="_Toc31270923"/>
      <w:bookmarkStart w:id="128" w:name="_Toc31274367"/>
      <w:bookmarkStart w:id="129" w:name="_Toc31276199"/>
      <w:bookmarkStart w:id="130" w:name="_Toc31352197"/>
      <w:bookmarkStart w:id="131" w:name="_Toc31720333"/>
    </w:p>
    <w:p w14:paraId="0DD3495A" w14:textId="77777777" w:rsidR="00D178A4" w:rsidRPr="00027624" w:rsidRDefault="00D178A4" w:rsidP="00FC7361">
      <w:pPr>
        <w:pStyle w:val="Heading1"/>
        <w:numPr>
          <w:ilvl w:val="1"/>
          <w:numId w:val="53"/>
        </w:numPr>
      </w:pPr>
      <w:bookmarkStart w:id="132" w:name="_Toc46133533"/>
      <w:r w:rsidRPr="00027624">
        <w:lastRenderedPageBreak/>
        <w:t>What is retirement?</w:t>
      </w:r>
      <w:bookmarkEnd w:id="117"/>
      <w:bookmarkEnd w:id="118"/>
      <w:bookmarkEnd w:id="119"/>
      <w:bookmarkEnd w:id="120"/>
      <w:bookmarkEnd w:id="121"/>
      <w:bookmarkEnd w:id="122"/>
      <w:bookmarkEnd w:id="123"/>
      <w:bookmarkEnd w:id="124"/>
      <w:bookmarkEnd w:id="125"/>
      <w:bookmarkEnd w:id="132"/>
    </w:p>
    <w:tbl>
      <w:tblPr>
        <w:tblW w:w="5000" w:type="pct"/>
        <w:shd w:val="clear" w:color="auto" w:fill="DFD7E7" w:themeFill="accent3" w:themeFillTint="33"/>
        <w:tblLook w:val="01E0" w:firstRow="1" w:lastRow="1" w:firstColumn="1" w:lastColumn="1" w:noHBand="0" w:noVBand="0"/>
      </w:tblPr>
      <w:tblGrid>
        <w:gridCol w:w="9070"/>
      </w:tblGrid>
      <w:tr w:rsidR="00D178A4" w:rsidRPr="00027624" w14:paraId="383F138A" w14:textId="77777777" w:rsidTr="00D178A4">
        <w:tc>
          <w:tcPr>
            <w:tcW w:w="5000" w:type="pct"/>
            <w:shd w:val="clear" w:color="auto" w:fill="DFD7E7" w:themeFill="accent3" w:themeFillTint="33"/>
          </w:tcPr>
          <w:p w14:paraId="7DB1B671" w14:textId="77777777" w:rsidR="00D178A4" w:rsidRPr="00027624" w:rsidRDefault="00D178A4" w:rsidP="00FF29AF">
            <w:pPr>
              <w:pStyle w:val="BoxHeading"/>
            </w:pPr>
            <w:r w:rsidRPr="00027624">
              <w:t>Section summary</w:t>
            </w:r>
          </w:p>
          <w:p w14:paraId="25B10876" w14:textId="77777777" w:rsidR="00D178A4" w:rsidRPr="00027624" w:rsidRDefault="00D178A4" w:rsidP="00D178A4">
            <w:pPr>
              <w:pStyle w:val="BoxBullet"/>
            </w:pPr>
            <w:r w:rsidRPr="00027624">
              <w:rPr>
                <w:b/>
                <w:bCs/>
              </w:rPr>
              <w:t>People have diverse timings for and pathways to retirement</w:t>
            </w:r>
            <w:r w:rsidRPr="00027624">
              <w:rPr>
                <w:b/>
              </w:rPr>
              <w:t xml:space="preserve">. </w:t>
            </w:r>
            <w:r w:rsidRPr="00027624">
              <w:t>Many work part time as they transition to retirement. Not all choose when they retire (involuntary retirement). Some retire multiple times.</w:t>
            </w:r>
          </w:p>
          <w:p w14:paraId="139E50A4" w14:textId="77777777" w:rsidR="00D178A4" w:rsidRPr="00027624" w:rsidRDefault="00D178A4" w:rsidP="00D178A4">
            <w:pPr>
              <w:pStyle w:val="BoxBullet"/>
            </w:pPr>
            <w:r w:rsidRPr="00027624">
              <w:rPr>
                <w:b/>
                <w:bCs/>
              </w:rPr>
              <w:t xml:space="preserve">For most workers there is not a mandatory </w:t>
            </w:r>
            <w:r w:rsidR="00A8443E" w:rsidRPr="00027624">
              <w:rPr>
                <w:b/>
                <w:bCs/>
              </w:rPr>
              <w:t>‘</w:t>
            </w:r>
            <w:r w:rsidRPr="00027624">
              <w:rPr>
                <w:b/>
                <w:bCs/>
              </w:rPr>
              <w:t>retirement age</w:t>
            </w:r>
            <w:r w:rsidR="00A8443E" w:rsidRPr="00027624">
              <w:rPr>
                <w:b/>
                <w:bCs/>
              </w:rPr>
              <w:t>’</w:t>
            </w:r>
            <w:r w:rsidRPr="00027624">
              <w:rPr>
                <w:b/>
              </w:rPr>
              <w:t>.</w:t>
            </w:r>
            <w:r w:rsidRPr="00027624">
              <w:rPr>
                <w:b/>
                <w:bCs/>
              </w:rPr>
              <w:t xml:space="preserve"> </w:t>
            </w:r>
            <w:r w:rsidRPr="00027624">
              <w:rPr>
                <w:bCs/>
              </w:rPr>
              <w:t>Retirement can be triggered by</w:t>
            </w:r>
            <w:r w:rsidRPr="00027624">
              <w:rPr>
                <w:b/>
                <w:bCs/>
              </w:rPr>
              <w:t xml:space="preserve"> </w:t>
            </w:r>
            <w:r w:rsidRPr="00027624">
              <w:t xml:space="preserve">the main ages in the retirement income system, which are when people can access their superannuation (the preservation age) and when they are eligible to apply for the Age Pension. </w:t>
            </w:r>
          </w:p>
          <w:p w14:paraId="3B8858C7" w14:textId="77777777" w:rsidR="00D178A4" w:rsidRPr="00027624" w:rsidRDefault="00D178A4" w:rsidP="00D178A4">
            <w:pPr>
              <w:pStyle w:val="BoxBullet"/>
            </w:pPr>
            <w:r w:rsidRPr="00027624">
              <w:rPr>
                <w:b/>
                <w:bCs/>
              </w:rPr>
              <w:t>The average age of retirement for both men and women has increased over the past two decades</w:t>
            </w:r>
            <w:r w:rsidRPr="00027624">
              <w:rPr>
                <w:b/>
              </w:rPr>
              <w:t>.</w:t>
            </w:r>
            <w:r w:rsidRPr="00027624">
              <w:t xml:space="preserve"> On average, people currently retire around ages 62</w:t>
            </w:r>
            <w:r w:rsidR="00A8443E" w:rsidRPr="00027624">
              <w:noBreakHyphen/>
            </w:r>
            <w:r w:rsidRPr="00027624">
              <w:t xml:space="preserve">65, with women tending to retire one to three years earlier than men. </w:t>
            </w:r>
          </w:p>
          <w:p w14:paraId="78C2A2C8" w14:textId="77777777" w:rsidR="00D178A4" w:rsidRPr="00027624" w:rsidRDefault="00D178A4" w:rsidP="00D178A4">
            <w:pPr>
              <w:pStyle w:val="BoxBullet"/>
            </w:pPr>
            <w:r w:rsidRPr="00027624">
              <w:rPr>
                <w:b/>
                <w:bCs/>
              </w:rPr>
              <w:t>The average age of retirement is expected to rise.</w:t>
            </w:r>
            <w:r w:rsidRPr="00027624">
              <w:t xml:space="preserve"> Legislated increases to the preservation and Age Pension eligibility ages, as well as improved health and higher average levels of educational attainment, are expected to continue to support higher average retirement ages. However, the economic and financial consequences of the COVID</w:t>
            </w:r>
            <w:r w:rsidR="00A8443E" w:rsidRPr="00027624">
              <w:noBreakHyphen/>
            </w:r>
            <w:r w:rsidRPr="00027624">
              <w:t xml:space="preserve">19 Pandemic may have mixed effects on when people retire, particularly in the short term. Falls in the value of retirement savings may influence some people to work longer, while higher unemployment rates may result in some people retiring earlier than they had planned. </w:t>
            </w:r>
          </w:p>
          <w:p w14:paraId="5DEBC05A" w14:textId="77777777" w:rsidR="00D178A4" w:rsidRPr="00027624" w:rsidRDefault="00D178A4" w:rsidP="00D178A4">
            <w:pPr>
              <w:pStyle w:val="BoxBullet"/>
            </w:pPr>
            <w:r w:rsidRPr="00027624">
              <w:rPr>
                <w:b/>
                <w:bCs/>
              </w:rPr>
              <w:t xml:space="preserve">For the purposes of defining </w:t>
            </w:r>
            <w:r w:rsidR="00A8443E" w:rsidRPr="00027624">
              <w:rPr>
                <w:b/>
                <w:bCs/>
              </w:rPr>
              <w:t>‘</w:t>
            </w:r>
            <w:r w:rsidRPr="00027624">
              <w:rPr>
                <w:b/>
                <w:bCs/>
              </w:rPr>
              <w:t>early retirement</w:t>
            </w:r>
            <w:r w:rsidR="00A8443E" w:rsidRPr="00027624">
              <w:rPr>
                <w:b/>
                <w:bCs/>
              </w:rPr>
              <w:t>’</w:t>
            </w:r>
            <w:r w:rsidRPr="00027624">
              <w:rPr>
                <w:b/>
                <w:bCs/>
              </w:rPr>
              <w:t xml:space="preserve"> and </w:t>
            </w:r>
            <w:r w:rsidR="00A8443E" w:rsidRPr="00027624">
              <w:rPr>
                <w:b/>
                <w:bCs/>
              </w:rPr>
              <w:t>‘</w:t>
            </w:r>
            <w:r w:rsidRPr="00027624">
              <w:rPr>
                <w:b/>
                <w:bCs/>
              </w:rPr>
              <w:t>late retirement</w:t>
            </w:r>
            <w:r w:rsidR="00A8443E" w:rsidRPr="00027624">
              <w:rPr>
                <w:b/>
                <w:bCs/>
              </w:rPr>
              <w:t>’</w:t>
            </w:r>
            <w:r w:rsidRPr="00027624">
              <w:rPr>
                <w:b/>
                <w:bCs/>
              </w:rPr>
              <w:t xml:space="preserve">, the review uses the Age Pension eligibility age as the </w:t>
            </w:r>
            <w:r w:rsidR="00A8443E" w:rsidRPr="00027624">
              <w:rPr>
                <w:b/>
                <w:bCs/>
              </w:rPr>
              <w:t>‘</w:t>
            </w:r>
            <w:r w:rsidRPr="00027624">
              <w:rPr>
                <w:b/>
                <w:bCs/>
              </w:rPr>
              <w:t>standard</w:t>
            </w:r>
            <w:r w:rsidR="00A8443E" w:rsidRPr="00027624">
              <w:rPr>
                <w:b/>
                <w:bCs/>
              </w:rPr>
              <w:t>’</w:t>
            </w:r>
            <w:r w:rsidRPr="00027624">
              <w:rPr>
                <w:b/>
                <w:bCs/>
              </w:rPr>
              <w:t xml:space="preserve"> retirement age</w:t>
            </w:r>
            <w:r w:rsidRPr="00027624">
              <w:rPr>
                <w:b/>
              </w:rPr>
              <w:t xml:space="preserve">. </w:t>
            </w:r>
            <w:r w:rsidRPr="00027624">
              <w:t>This reference point was selected as more people withdraw from the labour force at this age than any other age.</w:t>
            </w:r>
          </w:p>
        </w:tc>
      </w:tr>
    </w:tbl>
    <w:p w14:paraId="66DD5C9D" w14:textId="77777777" w:rsidR="00D178A4" w:rsidRPr="00027624" w:rsidRDefault="00D178A4">
      <w:pPr>
        <w:pStyle w:val="SingleParagraph"/>
      </w:pPr>
    </w:p>
    <w:tbl>
      <w:tblPr>
        <w:tblStyle w:val="TableGrid"/>
        <w:tblW w:w="5000" w:type="pct"/>
        <w:shd w:val="clear" w:color="auto" w:fill="FFF8EA"/>
        <w:tblLook w:val="04A0" w:firstRow="1" w:lastRow="0" w:firstColumn="1" w:lastColumn="0" w:noHBand="0" w:noVBand="1"/>
      </w:tblPr>
      <w:tblGrid>
        <w:gridCol w:w="9070"/>
      </w:tblGrid>
      <w:tr w:rsidR="00D178A4" w:rsidRPr="00027624" w14:paraId="6A1E48B8" w14:textId="77777777" w:rsidTr="00D178A4">
        <w:tc>
          <w:tcPr>
            <w:tcW w:w="5000" w:type="pct"/>
            <w:shd w:val="clear" w:color="auto" w:fill="FFF8EA"/>
          </w:tcPr>
          <w:p w14:paraId="5536D7D0" w14:textId="77777777" w:rsidR="00D178A4" w:rsidRPr="00027624" w:rsidRDefault="00D178A4" w:rsidP="00D178A4">
            <w:pPr>
              <w:pStyle w:val="BoxHeading"/>
            </w:pPr>
            <w:bookmarkStart w:id="133" w:name="_Ref44873390"/>
            <w:r w:rsidRPr="00027624">
              <w:t>Stakeholder views on the concept of retirement</w:t>
            </w:r>
            <w:bookmarkEnd w:id="133"/>
          </w:p>
          <w:p w14:paraId="34022C2B" w14:textId="77777777" w:rsidR="00D178A4" w:rsidRPr="00027624" w:rsidRDefault="00D178A4" w:rsidP="00D178A4">
            <w:pPr>
              <w:pStyle w:val="BoxText"/>
            </w:pPr>
            <w:r w:rsidRPr="00027624">
              <w:t>Many submissions referred to the Age Pension eligibility age as the retirement age. No submissions defined any other age as the retirement age. However, a few submissions recognised the changing nature of retirement and that expectations of retirement age can vary between certain occupations and industries. One submission noted:</w:t>
            </w:r>
          </w:p>
          <w:p w14:paraId="52652CC9" w14:textId="77777777" w:rsidR="00D178A4" w:rsidRPr="00027624" w:rsidRDefault="00A8443E" w:rsidP="00D178A4">
            <w:pPr>
              <w:pStyle w:val="Quote"/>
              <w:rPr>
                <w:i w:val="0"/>
              </w:rPr>
            </w:pPr>
            <w:r w:rsidRPr="00027624">
              <w:t>‘</w:t>
            </w:r>
            <w:r w:rsidR="00D178A4" w:rsidRPr="00027624">
              <w:t>Retirement is now a continuum between reduced participation in the paid workforce … and leaving it altogether.</w:t>
            </w:r>
            <w:r w:rsidRPr="00027624">
              <w:t>’</w:t>
            </w:r>
            <w:r w:rsidR="00D178A4" w:rsidRPr="00027624">
              <w:t xml:space="preserve"> </w:t>
            </w:r>
            <w:sdt>
              <w:sdtPr>
                <w:id w:val="-2056152556"/>
                <w:citation/>
              </w:sdtPr>
              <w:sdtEndPr>
                <w:rPr>
                  <w:i w:val="0"/>
                </w:rPr>
              </w:sdtEndPr>
              <w:sdtContent>
                <w:r w:rsidR="00D178A4" w:rsidRPr="00027624">
                  <w:rPr>
                    <w:i w:val="0"/>
                  </w:rPr>
                  <w:fldChar w:fldCharType="begin"/>
                </w:r>
                <w:r w:rsidR="00D178A4" w:rsidRPr="00027624">
                  <w:rPr>
                    <w:i w:val="0"/>
                  </w:rPr>
                  <w:instrText xml:space="preserve">CITATION ACO202 \p 12 \l 3081 </w:instrText>
                </w:r>
                <w:r w:rsidR="00D178A4" w:rsidRPr="00027624">
                  <w:rPr>
                    <w:i w:val="0"/>
                  </w:rPr>
                  <w:fldChar w:fldCharType="separate"/>
                </w:r>
                <w:r w:rsidR="00E83F6E">
                  <w:rPr>
                    <w:noProof/>
                  </w:rPr>
                  <w:t>(Australian Council of Social Service, 2020, p. 12)</w:t>
                </w:r>
                <w:r w:rsidR="00D178A4" w:rsidRPr="00027624">
                  <w:rPr>
                    <w:i w:val="0"/>
                  </w:rPr>
                  <w:fldChar w:fldCharType="end"/>
                </w:r>
              </w:sdtContent>
            </w:sdt>
          </w:p>
          <w:p w14:paraId="0E73F995" w14:textId="77777777" w:rsidR="00D178A4" w:rsidRPr="00027624" w:rsidRDefault="00D178A4" w:rsidP="00D178A4">
            <w:pPr>
              <w:pStyle w:val="BoxText"/>
            </w:pPr>
            <w:r w:rsidRPr="00027624">
              <w:t>One submission suggested participation in work is an important part of the retirement income system:</w:t>
            </w:r>
          </w:p>
          <w:p w14:paraId="123A8573" w14:textId="77777777" w:rsidR="00D178A4" w:rsidRPr="00027624" w:rsidRDefault="00A8443E" w:rsidP="00D178A4">
            <w:pPr>
              <w:pStyle w:val="Quote"/>
            </w:pPr>
            <w:r w:rsidRPr="00027624">
              <w:t>‘</w:t>
            </w:r>
            <w:r w:rsidR="00D178A4" w:rsidRPr="00027624">
              <w:t xml:space="preserve">… if the primary objective or purpose of the retirement income system is to </w:t>
            </w:r>
            <w:r w:rsidRPr="00027624">
              <w:t>“</w:t>
            </w:r>
            <w:r w:rsidR="00D178A4" w:rsidRPr="00027624">
              <w:t>generate income to support consumption in retirement</w:t>
            </w:r>
            <w:r w:rsidRPr="00027624">
              <w:t>”</w:t>
            </w:r>
            <w:r w:rsidR="00D178A4" w:rsidRPr="00027624">
              <w:t>, then considerations of the role of work (both pre and post retirement age) should be included as part of the retirement income system.</w:t>
            </w:r>
            <w:r w:rsidRPr="00027624">
              <w:t>’</w:t>
            </w:r>
            <w:r w:rsidR="00D178A4" w:rsidRPr="00027624">
              <w:t xml:space="preserve"> </w:t>
            </w:r>
            <w:sdt>
              <w:sdtPr>
                <w:rPr>
                  <w:i w:val="0"/>
                </w:rPr>
                <w:id w:val="2028756490"/>
                <w:citation/>
              </w:sdtPr>
              <w:sdtEndPr/>
              <w:sdtContent>
                <w:r w:rsidR="00D178A4" w:rsidRPr="00027624">
                  <w:rPr>
                    <w:i w:val="0"/>
                  </w:rPr>
                  <w:fldChar w:fldCharType="begin"/>
                </w:r>
                <w:r w:rsidR="00D178A4" w:rsidRPr="00027624">
                  <w:rPr>
                    <w:i w:val="0"/>
                  </w:rPr>
                  <w:instrText xml:space="preserve">CITATION Nat20 \p 13 \l 3081 </w:instrText>
                </w:r>
                <w:r w:rsidR="00D178A4" w:rsidRPr="00027624">
                  <w:rPr>
                    <w:i w:val="0"/>
                  </w:rPr>
                  <w:fldChar w:fldCharType="separate"/>
                </w:r>
                <w:r w:rsidR="00E83F6E">
                  <w:rPr>
                    <w:noProof/>
                  </w:rPr>
                  <w:t>(National Seniors Australia, 2020, p. 13)</w:t>
                </w:r>
                <w:r w:rsidR="00D178A4" w:rsidRPr="00027624">
                  <w:rPr>
                    <w:i w:val="0"/>
                  </w:rPr>
                  <w:fldChar w:fldCharType="end"/>
                </w:r>
              </w:sdtContent>
            </w:sdt>
          </w:p>
        </w:tc>
      </w:tr>
    </w:tbl>
    <w:p w14:paraId="26D8A0AC" w14:textId="77777777" w:rsidR="00D178A4" w:rsidRPr="00027624" w:rsidRDefault="00D178A4" w:rsidP="00D178A4">
      <w:pPr>
        <w:pStyle w:val="Heading2"/>
      </w:pPr>
      <w:bookmarkStart w:id="134" w:name="_Toc40287060"/>
      <w:bookmarkStart w:id="135" w:name="_Toc45520423"/>
      <w:bookmarkStart w:id="136" w:name="_Toc46133534"/>
      <w:r w:rsidRPr="00027624">
        <w:t>Diverse p</w:t>
      </w:r>
      <w:r w:rsidRPr="00027624">
        <w:rPr>
          <w:rFonts w:eastAsiaTheme="minorEastAsia"/>
        </w:rPr>
        <w:t>athways to retirement</w:t>
      </w:r>
      <w:bookmarkEnd w:id="134"/>
      <w:bookmarkEnd w:id="135"/>
      <w:bookmarkEnd w:id="136"/>
      <w:r w:rsidRPr="00027624">
        <w:rPr>
          <w:rFonts w:eastAsiaTheme="minorEastAsia"/>
        </w:rPr>
        <w:t xml:space="preserve"> </w:t>
      </w:r>
    </w:p>
    <w:p w14:paraId="5F98BA8D" w14:textId="6DCFFE83" w:rsidR="00D178A4" w:rsidRPr="00027624" w:rsidRDefault="00D178A4">
      <w:r w:rsidRPr="00027624">
        <w:t>The concept of retirement has changed over time. In the past, retirement was viewed as an abrupt change from a full</w:t>
      </w:r>
      <w:r w:rsidR="00A8443E" w:rsidRPr="00027624">
        <w:noBreakHyphen/>
      </w:r>
      <w:r w:rsidRPr="00027624">
        <w:t>time job to permanently leaving the workforce. Today, switching to part</w:t>
      </w:r>
      <w:r w:rsidR="00A8443E" w:rsidRPr="00027624">
        <w:noBreakHyphen/>
      </w:r>
      <w:r w:rsidRPr="00027624">
        <w:t>time employment as people transition to retirement is becoming more common. In 2018</w:t>
      </w:r>
      <w:r w:rsidR="00A8443E" w:rsidRPr="00027624">
        <w:noBreakHyphen/>
      </w:r>
      <w:r w:rsidRPr="00027624">
        <w:t xml:space="preserve">19, 39 per cent of retired Australians stated their last job before retirement was part time </w:t>
      </w:r>
      <w:sdt>
        <w:sdtPr>
          <w:id w:val="-216359531"/>
          <w:citation/>
        </w:sdtPr>
        <w:sdtEndPr/>
        <w:sdtContent>
          <w:r w:rsidRPr="00027624">
            <w:fldChar w:fldCharType="begin"/>
          </w:r>
          <w:r w:rsidRPr="00027624">
            <w:instrText xml:space="preserve"> CITATION ABS205 \l 3081 </w:instrText>
          </w:r>
          <w:r w:rsidRPr="00027624">
            <w:fldChar w:fldCharType="separate"/>
          </w:r>
          <w:r w:rsidR="00E83F6E">
            <w:rPr>
              <w:noProof/>
            </w:rPr>
            <w:t>(ABS, 2020n)</w:t>
          </w:r>
          <w:r w:rsidRPr="00027624">
            <w:fldChar w:fldCharType="end"/>
          </w:r>
        </w:sdtContent>
      </w:sdt>
      <w:r w:rsidRPr="00027624">
        <w:t>. Supporting this, longitudinal analysis shows that, on average, wage income declines after age 55 (</w:t>
      </w:r>
      <w:r w:rsidRPr="00027624">
        <w:fldChar w:fldCharType="begin"/>
      </w:r>
      <w:r w:rsidRPr="00027624">
        <w:instrText xml:space="preserve"> REF _Ref35851251 \r \h  \* MERGEFORMAT </w:instrText>
      </w:r>
      <w:r w:rsidRPr="00027624">
        <w:fldChar w:fldCharType="separate"/>
      </w:r>
      <w:r w:rsidR="00891058">
        <w:t>Chart 1A-1</w:t>
      </w:r>
      <w:r w:rsidRPr="00027624">
        <w:fldChar w:fldCharType="end"/>
      </w:r>
      <w:r w:rsidRPr="00027624">
        <w:t>), partly due to part</w:t>
      </w:r>
      <w:r w:rsidR="00A8443E" w:rsidRPr="00027624">
        <w:noBreakHyphen/>
      </w:r>
      <w:r w:rsidRPr="00027624">
        <w:t xml:space="preserve">time employment. </w:t>
      </w:r>
    </w:p>
    <w:p w14:paraId="0139ABC9" w14:textId="77777777" w:rsidR="00D178A4" w:rsidRPr="00027624" w:rsidRDefault="00D178A4" w:rsidP="00325A8D">
      <w:pPr>
        <w:pStyle w:val="ChartMainHeading"/>
        <w:numPr>
          <w:ilvl w:val="2"/>
          <w:numId w:val="16"/>
        </w:numPr>
      </w:pPr>
      <w:bookmarkStart w:id="137" w:name="_Ref35851251"/>
      <w:r w:rsidRPr="00027624">
        <w:lastRenderedPageBreak/>
        <w:t>Weekly wage as a per cent of average weekly ordinary time earnings, by age</w:t>
      </w:r>
      <w:bookmarkEnd w:id="137"/>
    </w:p>
    <w:p w14:paraId="1C7FFB77" w14:textId="77777777" w:rsidR="00D178A4" w:rsidRPr="00027624" w:rsidRDefault="00F226AF" w:rsidP="00D178A4">
      <w:pPr>
        <w:pStyle w:val="ChartGraphic"/>
      </w:pPr>
      <w:r>
        <w:rPr>
          <w:noProof/>
        </w:rPr>
        <w:drawing>
          <wp:inline distT="0" distB="0" distL="0" distR="0" wp14:anchorId="36E5CD2C" wp14:editId="28FCDF10">
            <wp:extent cx="5585460" cy="2567940"/>
            <wp:effectExtent l="0" t="0" r="0" b="3810"/>
            <wp:docPr id="145" name="Picture 145" descr="This chart shows that for the 20th, 50th, and 80th wage percentiles, average weekly earnings decline as people age, particularly after age 55." title="Chart 1A-1 Weekly wage as a per cent of average weekly ordinary time earnings,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85460" cy="2567940"/>
                    </a:xfrm>
                    <a:prstGeom prst="rect">
                      <a:avLst/>
                    </a:prstGeom>
                    <a:noFill/>
                  </pic:spPr>
                </pic:pic>
              </a:graphicData>
            </a:graphic>
          </wp:inline>
        </w:drawing>
      </w:r>
    </w:p>
    <w:p w14:paraId="74DEB59B" w14:textId="77777777" w:rsidR="00D178A4" w:rsidRPr="00027624" w:rsidRDefault="00D178A4">
      <w:pPr>
        <w:pStyle w:val="ChartorTableNote"/>
      </w:pPr>
      <w:r w:rsidRPr="00027624">
        <w:t>Note: Follows the same cohort from ages 40</w:t>
      </w:r>
      <w:r w:rsidR="00A8443E" w:rsidRPr="00027624">
        <w:noBreakHyphen/>
      </w:r>
      <w:r w:rsidRPr="00027624">
        <w:t>64. This cohort was aged 64 in 2017. Uses the June value of average weekly ordinary time earnings in the relevant year (e.g. average weekly ordinary time earnings at age 50 is average weekly ordinary time earnings at June 2003). Uses median wage of the wage percentile. Wage percentiles are calculated using the sum of wages over 2008 to 201</w:t>
      </w:r>
      <w:r w:rsidR="007A1F0B" w:rsidRPr="00027624">
        <w:t>7. Source: ATO analysis of ATO Longitudinal I</w:t>
      </w:r>
      <w:r w:rsidRPr="00027624">
        <w:t xml:space="preserve">nformation </w:t>
      </w:r>
      <w:r w:rsidR="007A1F0B" w:rsidRPr="00027624">
        <w:t>F</w:t>
      </w:r>
      <w:r w:rsidRPr="00027624">
        <w:t>iles (ALife).</w:t>
      </w:r>
    </w:p>
    <w:p w14:paraId="1EE9FB8D" w14:textId="77777777" w:rsidR="00D178A4" w:rsidRPr="00027624" w:rsidRDefault="00D178A4" w:rsidP="00D178A4">
      <w:r w:rsidRPr="00027624">
        <w:t>Retirement is not always a single event. A significant number of people who retire re</w:t>
      </w:r>
      <w:r w:rsidR="00A8443E" w:rsidRPr="00027624">
        <w:noBreakHyphen/>
      </w:r>
      <w:r w:rsidRPr="00027624">
        <w:t>enter the labour force and potentially retire several times. In 2018</w:t>
      </w:r>
      <w:r w:rsidR="00A8443E" w:rsidRPr="00027624">
        <w:noBreakHyphen/>
      </w:r>
      <w:r w:rsidRPr="00027624">
        <w:t>19, 169,000 people aged 45 and over who had previously retired were, at the time of the survey, either in the labour force or were planning to look for, or take up, work in the future. The most common reasons people re</w:t>
      </w:r>
      <w:r w:rsidR="00A8443E" w:rsidRPr="00027624">
        <w:noBreakHyphen/>
      </w:r>
      <w:r w:rsidRPr="00027624">
        <w:t>entered or planned to re</w:t>
      </w:r>
      <w:r w:rsidR="00A8443E" w:rsidRPr="00027624">
        <w:noBreakHyphen/>
      </w:r>
      <w:r w:rsidRPr="00027624">
        <w:t>enter the labour force after retiring were financial need and boredom/needed something to do</w:t>
      </w:r>
      <w:sdt>
        <w:sdtPr>
          <w:id w:val="-1784255013"/>
          <w:citation/>
        </w:sdtPr>
        <w:sdtEndPr/>
        <w:sdtContent>
          <w:r w:rsidRPr="00027624">
            <w:fldChar w:fldCharType="begin"/>
          </w:r>
          <w:r w:rsidRPr="00027624">
            <w:instrText xml:space="preserve"> CITATION ABS205 \l 3081 </w:instrText>
          </w:r>
          <w:r w:rsidRPr="00027624">
            <w:fldChar w:fldCharType="separate"/>
          </w:r>
          <w:r w:rsidR="00E83F6E">
            <w:rPr>
              <w:noProof/>
            </w:rPr>
            <w:t xml:space="preserve"> (ABS, 2020n)</w:t>
          </w:r>
          <w:r w:rsidRPr="00027624">
            <w:fldChar w:fldCharType="end"/>
          </w:r>
        </w:sdtContent>
      </w:sdt>
      <w:r w:rsidRPr="00027624">
        <w:t>.</w:t>
      </w:r>
    </w:p>
    <w:p w14:paraId="1164123D" w14:textId="77777777" w:rsidR="00D178A4" w:rsidRPr="00027624" w:rsidRDefault="00D178A4" w:rsidP="00D178A4">
      <w:r w:rsidRPr="00027624">
        <w:t>Few workers have a mandatory retirement age.</w:t>
      </w:r>
      <w:r w:rsidRPr="00027624">
        <w:rPr>
          <w:rStyle w:val="FootnoteReference"/>
        </w:rPr>
        <w:footnoteReference w:id="3"/>
      </w:r>
      <w:r w:rsidRPr="00027624">
        <w:t xml:space="preserve"> The main ages in the retirement income system are when people can access their superannuation (preservation age) and when they are eligible to apply for the Age Pension. </w:t>
      </w:r>
    </w:p>
    <w:p w14:paraId="471C629C" w14:textId="77777777" w:rsidR="00D178A4" w:rsidRPr="00027624" w:rsidRDefault="00D178A4" w:rsidP="00D178A4">
      <w:r w:rsidRPr="00027624">
        <w:t>Changing careers can be used by people to prolong their working life, pursue an interest or change their work conditions. This practice has always been common in some professions (e.g. professional sports, military personnel), but it is now becoming increasingly common for many older workers (both professional and non</w:t>
      </w:r>
      <w:r w:rsidR="00A8443E" w:rsidRPr="00027624">
        <w:noBreakHyphen/>
      </w:r>
      <w:r w:rsidRPr="00027624">
        <w:t xml:space="preserve">professional) </w:t>
      </w:r>
      <w:sdt>
        <w:sdtPr>
          <w:id w:val="1869488192"/>
          <w:citation/>
        </w:sdtPr>
        <w:sdtEndPr/>
        <w:sdtContent>
          <w:r w:rsidRPr="00027624">
            <w:fldChar w:fldCharType="begin"/>
          </w:r>
          <w:r w:rsidRPr="00027624">
            <w:instrText xml:space="preserve">CITATION Ken11 \p 2 \l 3081 </w:instrText>
          </w:r>
          <w:r w:rsidRPr="00027624">
            <w:fldChar w:fldCharType="separate"/>
          </w:r>
          <w:r w:rsidR="00E83F6E">
            <w:rPr>
              <w:noProof/>
            </w:rPr>
            <w:t>(Shultz &amp; Wang, 2011, p. 2)</w:t>
          </w:r>
          <w:r w:rsidRPr="00027624">
            <w:fldChar w:fldCharType="end"/>
          </w:r>
        </w:sdtContent>
      </w:sdt>
      <w:r w:rsidRPr="00027624">
        <w:t>.</w:t>
      </w:r>
    </w:p>
    <w:p w14:paraId="26FFDA35" w14:textId="77777777" w:rsidR="00D178A4" w:rsidRPr="00027624" w:rsidRDefault="00D178A4" w:rsidP="00D178A4">
      <w:r w:rsidRPr="00027624">
        <w:t>Some people also never leave the paid workforce. Around 2</w:t>
      </w:r>
      <w:r w:rsidRPr="00027624" w:rsidDel="00920F9A">
        <w:t> per cent</w:t>
      </w:r>
      <w:r w:rsidRPr="00027624">
        <w:t xml:space="preserve"> of people aged 70 and over never intend to retire from the paid workforce</w:t>
      </w:r>
      <w:sdt>
        <w:sdtPr>
          <w:id w:val="-61713013"/>
          <w:citation/>
        </w:sdtPr>
        <w:sdtEndPr/>
        <w:sdtContent>
          <w:r w:rsidRPr="00027624">
            <w:fldChar w:fldCharType="begin"/>
          </w:r>
          <w:r w:rsidRPr="00027624">
            <w:instrText xml:space="preserve"> CITATION ABS205 \l 3081 </w:instrText>
          </w:r>
          <w:r w:rsidRPr="00027624">
            <w:fldChar w:fldCharType="separate"/>
          </w:r>
          <w:r w:rsidR="00E83F6E">
            <w:rPr>
              <w:noProof/>
            </w:rPr>
            <w:t xml:space="preserve"> (ABS, 2020n)</w:t>
          </w:r>
          <w:r w:rsidRPr="00027624">
            <w:fldChar w:fldCharType="end"/>
          </w:r>
        </w:sdtContent>
      </w:sdt>
      <w:r w:rsidRPr="00027624">
        <w:t>.</w:t>
      </w:r>
    </w:p>
    <w:p w14:paraId="4062ED6F" w14:textId="77777777" w:rsidR="00D178A4" w:rsidRPr="00027624" w:rsidRDefault="00D178A4" w:rsidP="00D178A4">
      <w:pPr>
        <w:rPr>
          <w:szCs w:val="22"/>
        </w:rPr>
      </w:pPr>
      <w:r w:rsidRPr="00027624">
        <w:t>The reasons for entering retirement vary considerably. Common reasons include reaching preservation age or Age Pension eligibility age, the desire to have more leisure time, their own or someone else</w:t>
      </w:r>
      <w:r w:rsidR="00A8443E" w:rsidRPr="00027624">
        <w:t>’</w:t>
      </w:r>
      <w:r w:rsidRPr="00027624">
        <w:t>s ill health</w:t>
      </w:r>
      <w:r w:rsidR="00BE51D1" w:rsidRPr="00027624">
        <w:t>,</w:t>
      </w:r>
      <w:r w:rsidRPr="00027624">
        <w:t xml:space="preserve"> and difficulties finding appropriate work. </w:t>
      </w:r>
      <w:r w:rsidRPr="00027624">
        <w:rPr>
          <w:szCs w:val="22"/>
        </w:rPr>
        <w:t xml:space="preserve">The prevalence of, and reasons for, involuntary and voluntary retirement are explored in </w:t>
      </w:r>
      <w:r w:rsidRPr="00027624">
        <w:rPr>
          <w:i/>
        </w:rPr>
        <w:t>3E. Age of retirement</w:t>
      </w:r>
      <w:r w:rsidRPr="00027624">
        <w:rPr>
          <w:szCs w:val="22"/>
        </w:rPr>
        <w:t xml:space="preserve">. </w:t>
      </w:r>
    </w:p>
    <w:p w14:paraId="2E3B8E6C" w14:textId="77777777" w:rsidR="00D178A4" w:rsidRPr="00027624" w:rsidRDefault="00D178A4" w:rsidP="001A24C1">
      <w:pPr>
        <w:pStyle w:val="Heading2"/>
        <w:spacing w:before="240"/>
      </w:pPr>
      <w:bookmarkStart w:id="138" w:name="_Toc40287061"/>
      <w:bookmarkStart w:id="139" w:name="_Toc45520424"/>
      <w:bookmarkStart w:id="140" w:name="_Toc46133535"/>
      <w:r w:rsidRPr="00027624">
        <w:t>Trends in the average age of retirement</w:t>
      </w:r>
      <w:bookmarkEnd w:id="138"/>
      <w:bookmarkEnd w:id="139"/>
      <w:bookmarkEnd w:id="140"/>
      <w:r w:rsidRPr="00027624">
        <w:t xml:space="preserve"> </w:t>
      </w:r>
    </w:p>
    <w:p w14:paraId="3DD38992" w14:textId="14F15D64" w:rsidR="00D178A4" w:rsidRPr="00027624" w:rsidRDefault="00D178A4" w:rsidP="00D178A4">
      <w:r w:rsidRPr="00027624">
        <w:t>Although the retirement income system does not mandate retirement at a particular age, retirement broadly takes place between the ages of 50 and 80</w:t>
      </w:r>
      <w:sdt>
        <w:sdtPr>
          <w:id w:val="239135121"/>
          <w:citation/>
        </w:sdtPr>
        <w:sdtEndPr/>
        <w:sdtContent>
          <w:r w:rsidRPr="00027624">
            <w:fldChar w:fldCharType="begin"/>
          </w:r>
          <w:r w:rsidRPr="00027624">
            <w:instrText xml:space="preserve">CITATION ABS3 \l 3081 </w:instrText>
          </w:r>
          <w:r w:rsidRPr="00027624">
            <w:fldChar w:fldCharType="separate"/>
          </w:r>
          <w:r w:rsidR="00E83F6E">
            <w:rPr>
              <w:noProof/>
            </w:rPr>
            <w:t xml:space="preserve"> (ABS, 2016a)</w:t>
          </w:r>
          <w:r w:rsidRPr="00027624">
            <w:fldChar w:fldCharType="end"/>
          </w:r>
        </w:sdtContent>
      </w:sdt>
      <w:r w:rsidRPr="00027624">
        <w:t xml:space="preserve">. Of those who retired between </w:t>
      </w:r>
      <w:r w:rsidRPr="00027624">
        <w:lastRenderedPageBreak/>
        <w:t>July 2013 and June 2019, 13</w:t>
      </w:r>
      <w:r w:rsidRPr="00027624" w:rsidDel="00920F9A">
        <w:t> per</w:t>
      </w:r>
      <w:r w:rsidRPr="00027624">
        <w:t> cent were younger than age 55 and another 15</w:t>
      </w:r>
      <w:r w:rsidRPr="00027624" w:rsidDel="00920F9A">
        <w:t> per cent</w:t>
      </w:r>
      <w:r w:rsidRPr="00027624">
        <w:t xml:space="preserve"> were </w:t>
      </w:r>
      <w:r w:rsidR="00BE51D1" w:rsidRPr="00027624">
        <w:t>aged 70</w:t>
      </w:r>
      <w:r w:rsidRPr="00027624">
        <w:t xml:space="preserve"> and over (</w:t>
      </w:r>
      <w:r w:rsidRPr="00027624">
        <w:fldChar w:fldCharType="begin"/>
      </w:r>
      <w:r w:rsidRPr="00027624">
        <w:instrText xml:space="preserve"> REF _Ref44873407 \r \h </w:instrText>
      </w:r>
      <w:r w:rsidR="00FA7639" w:rsidRPr="00027624">
        <w:instrText xml:space="preserve"> \* MERGEFORMAT </w:instrText>
      </w:r>
      <w:r w:rsidRPr="00027624">
        <w:fldChar w:fldCharType="separate"/>
      </w:r>
      <w:r w:rsidR="00891058">
        <w:t>Chart 1A-2</w:t>
      </w:r>
      <w:r w:rsidRPr="00027624">
        <w:fldChar w:fldCharType="end"/>
      </w:r>
      <w:r w:rsidRPr="00027624">
        <w:t>).</w:t>
      </w:r>
    </w:p>
    <w:p w14:paraId="775172B0" w14:textId="77777777" w:rsidR="00D178A4" w:rsidRPr="00027624" w:rsidRDefault="00D178A4" w:rsidP="00E110FE">
      <w:pPr>
        <w:pStyle w:val="ChartMainHeading"/>
        <w:numPr>
          <w:ilvl w:val="2"/>
          <w:numId w:val="16"/>
        </w:numPr>
      </w:pPr>
      <w:bookmarkStart w:id="141" w:name="_Toc35274470"/>
      <w:bookmarkStart w:id="142" w:name="_Ref35688175"/>
      <w:bookmarkStart w:id="143" w:name="_Ref35688204"/>
      <w:bookmarkStart w:id="144" w:name="_Ref36628081"/>
      <w:bookmarkStart w:id="145" w:name="_Ref37229041"/>
      <w:bookmarkStart w:id="146" w:name="_Ref41293297"/>
      <w:bookmarkStart w:id="147" w:name="_Ref44873407"/>
      <w:r w:rsidRPr="00027624">
        <w:t>Proportion of people retiring at particular ages</w:t>
      </w:r>
      <w:bookmarkEnd w:id="141"/>
      <w:bookmarkEnd w:id="142"/>
      <w:bookmarkEnd w:id="143"/>
      <w:bookmarkEnd w:id="144"/>
      <w:bookmarkEnd w:id="145"/>
      <w:bookmarkEnd w:id="146"/>
      <w:bookmarkEnd w:id="147"/>
    </w:p>
    <w:p w14:paraId="0AA9C32D" w14:textId="77777777" w:rsidR="00D178A4" w:rsidRPr="00027624" w:rsidRDefault="00F226AF" w:rsidP="00D178A4">
      <w:pPr>
        <w:pStyle w:val="ChartGraphic"/>
      </w:pPr>
      <w:r>
        <w:rPr>
          <w:noProof/>
        </w:rPr>
        <w:drawing>
          <wp:inline distT="0" distB="0" distL="0" distR="0" wp14:anchorId="080626A2" wp14:editId="6F04C2B5">
            <wp:extent cx="5608320" cy="2415540"/>
            <wp:effectExtent l="0" t="0" r="0" b="3810"/>
            <wp:docPr id="147" name="Picture 147" descr="This chart shows that most people retire between ages 60 and 69. From July 2013 to June 2019, around 55 per cent of  people retired at these ages." title="Chart 1A-2 Per cent of people retiring at particular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08320" cy="2415540"/>
                    </a:xfrm>
                    <a:prstGeom prst="rect">
                      <a:avLst/>
                    </a:prstGeom>
                    <a:noFill/>
                  </pic:spPr>
                </pic:pic>
              </a:graphicData>
            </a:graphic>
          </wp:inline>
        </w:drawing>
      </w:r>
    </w:p>
    <w:p w14:paraId="2DB144EE" w14:textId="77777777" w:rsidR="00D178A4" w:rsidRPr="00027624" w:rsidRDefault="00D178A4">
      <w:pPr>
        <w:pStyle w:val="ChartorTableNote"/>
        <w:rPr>
          <w:i/>
        </w:rPr>
      </w:pPr>
      <w:r w:rsidRPr="00027624">
        <w:t>Note: Includes people who retired between July 2013 and June 2019. Assumes the age of retirement is equal to the age of ceasing last job. Source: Analysis of</w:t>
      </w:r>
      <w:sdt>
        <w:sdtPr>
          <w:id w:val="1895775924"/>
          <w:citation/>
        </w:sdtPr>
        <w:sdtEndPr/>
        <w:sdtContent>
          <w:r w:rsidR="003E716F">
            <w:fldChar w:fldCharType="begin"/>
          </w:r>
          <w:r w:rsidR="003E716F">
            <w:instrText xml:space="preserve"> CITATION ABSR20 \l 3081 </w:instrText>
          </w:r>
          <w:r w:rsidR="003E716F">
            <w:fldChar w:fldCharType="separate"/>
          </w:r>
          <w:r w:rsidR="00E83F6E">
            <w:rPr>
              <w:noProof/>
            </w:rPr>
            <w:t xml:space="preserve"> (ABS, 2020p)</w:t>
          </w:r>
          <w:r w:rsidR="003E716F">
            <w:fldChar w:fldCharType="end"/>
          </w:r>
        </w:sdtContent>
      </w:sdt>
      <w:r w:rsidRPr="00027624">
        <w:t xml:space="preserve">. </w:t>
      </w:r>
    </w:p>
    <w:p w14:paraId="04AE1F0E" w14:textId="77777777" w:rsidR="00D178A4" w:rsidRPr="00027624" w:rsidRDefault="00D178A4" w:rsidP="00D178A4">
      <w:r w:rsidRPr="00027624">
        <w:t>While t</w:t>
      </w:r>
      <w:r w:rsidRPr="00027624" w:rsidDel="00C92985">
        <w:t>he average age o</w:t>
      </w:r>
      <w:r w:rsidRPr="00027624">
        <w:t>f retirement varies across surveys, it tends to be around ages 62</w:t>
      </w:r>
      <w:r w:rsidR="00A8443E" w:rsidRPr="00027624">
        <w:noBreakHyphen/>
      </w:r>
      <w:r w:rsidRPr="00027624">
        <w:t>65, near the Age Pension eligibility age.</w:t>
      </w:r>
      <w:r w:rsidRPr="00027624">
        <w:rPr>
          <w:rStyle w:val="FootnoteReference"/>
        </w:rPr>
        <w:footnoteReference w:id="4"/>
      </w:r>
      <w:r w:rsidRPr="00027624" w:rsidDel="00C92985">
        <w:t xml:space="preserve"> </w:t>
      </w:r>
      <w:r w:rsidRPr="00027624">
        <w:t>Women tend to retire one to three years earlier than men, on average.</w:t>
      </w:r>
      <w:r w:rsidRPr="00027624">
        <w:rPr>
          <w:rStyle w:val="FootnoteReference"/>
        </w:rPr>
        <w:footnoteReference w:id="5"/>
      </w:r>
      <w:r w:rsidRPr="00027624">
        <w:t xml:space="preserve"> </w:t>
      </w:r>
      <w:r w:rsidRPr="00027624" w:rsidDel="00C92985">
        <w:t>Th</w:t>
      </w:r>
      <w:r w:rsidRPr="00027624">
        <w:t xml:space="preserve">e variability in data </w:t>
      </w:r>
      <w:r w:rsidRPr="00027624" w:rsidDel="00C92985">
        <w:t>is because the definition of retirement is not always consistent</w:t>
      </w:r>
      <w:r w:rsidRPr="00027624">
        <w:t xml:space="preserve"> across surveys and</w:t>
      </w:r>
      <w:r w:rsidRPr="00027624" w:rsidDel="00C92985">
        <w:t xml:space="preserve"> some people come out of retirement and return to work</w:t>
      </w:r>
      <w:r w:rsidRPr="00027624">
        <w:t xml:space="preserve">. </w:t>
      </w:r>
    </w:p>
    <w:p w14:paraId="26E9FF3B" w14:textId="1A16BDB4" w:rsidR="00D178A4" w:rsidRDefault="00D178A4" w:rsidP="00D178A4">
      <w:r w:rsidRPr="00027624">
        <w:t>The average age of retirement in Australia has been relatively similar to the OECD average over the past decade (</w:t>
      </w:r>
      <w:r w:rsidRPr="00027624">
        <w:fldChar w:fldCharType="begin"/>
      </w:r>
      <w:r w:rsidRPr="00027624">
        <w:instrText xml:space="preserve"> REF _Ref41389649 \r \h  \* MERGEFORMAT </w:instrText>
      </w:r>
      <w:r w:rsidRPr="00027624">
        <w:fldChar w:fldCharType="separate"/>
      </w:r>
      <w:r w:rsidR="00891058">
        <w:t>Chart 1A-3</w:t>
      </w:r>
      <w:r w:rsidRPr="00027624">
        <w:fldChar w:fldCharType="end"/>
      </w:r>
      <w:r w:rsidRPr="00027624">
        <w:t>).</w:t>
      </w:r>
    </w:p>
    <w:p w14:paraId="79F1352D" w14:textId="77777777" w:rsidR="001A24C1" w:rsidRPr="00027624" w:rsidRDefault="001A24C1" w:rsidP="001A24C1">
      <w:r w:rsidRPr="00027624">
        <w:t xml:space="preserve">The average age of retirement changes in response to a wide range of economic conditions and policy influences. For example, Australia saw a trend towards earlier retirement in the 1970s and 1980s, partly due to more people having the financial means to retire earlier and increased retrenchment of older workers in some industries </w:t>
      </w:r>
      <w:sdt>
        <w:sdtPr>
          <w:id w:val="742911147"/>
          <w:citation/>
        </w:sdtPr>
        <w:sdtEndPr/>
        <w:sdtContent>
          <w:r w:rsidRPr="00027624">
            <w:fldChar w:fldCharType="begin"/>
          </w:r>
          <w:r w:rsidRPr="00027624">
            <w:instrText xml:space="preserve">CITATION Pro151 \p 56 \l 3081 </w:instrText>
          </w:r>
          <w:r w:rsidRPr="00027624">
            <w:fldChar w:fldCharType="separate"/>
          </w:r>
          <w:r w:rsidR="00E83F6E">
            <w:rPr>
              <w:noProof/>
            </w:rPr>
            <w:t>(Productivity Commission, 2015b, p. 56)</w:t>
          </w:r>
          <w:r w:rsidRPr="00027624">
            <w:fldChar w:fldCharType="end"/>
          </w:r>
        </w:sdtContent>
      </w:sdt>
      <w:r w:rsidRPr="00027624">
        <w:t xml:space="preserve">. </w:t>
      </w:r>
    </w:p>
    <w:p w14:paraId="3591E8C6" w14:textId="26FE3ABE" w:rsidR="001A24C1" w:rsidRPr="00027624" w:rsidRDefault="001A24C1" w:rsidP="001A24C1">
      <w:r w:rsidRPr="00027624">
        <w:t>More recently, the average retirement age has gradually increased for both men and women (</w:t>
      </w:r>
      <w:r w:rsidRPr="00027624">
        <w:fldChar w:fldCharType="begin"/>
      </w:r>
      <w:r w:rsidRPr="00027624">
        <w:instrText xml:space="preserve"> REF _Ref36628648 \r \h  \* MERGEFORMAT </w:instrText>
      </w:r>
      <w:r w:rsidRPr="00027624">
        <w:fldChar w:fldCharType="separate"/>
      </w:r>
      <w:r w:rsidR="00891058">
        <w:t>Chart 1A-3</w:t>
      </w:r>
      <w:r w:rsidRPr="00027624">
        <w:fldChar w:fldCharType="end"/>
      </w:r>
      <w:r w:rsidRPr="00027624">
        <w:t xml:space="preserve">). The participation rate of people aged 60-64 rose by 22 percentage points between April 2000 and April 2020. The participation rate for people aged 65 and over also increased by more than 7 percentage points during this period </w:t>
      </w:r>
      <w:sdt>
        <w:sdtPr>
          <w:id w:val="1622421279"/>
          <w:citation/>
        </w:sdtPr>
        <w:sdtEndPr/>
        <w:sdtContent>
          <w:r w:rsidRPr="00027624">
            <w:fldChar w:fldCharType="begin"/>
          </w:r>
          <w:r w:rsidRPr="00027624">
            <w:instrText xml:space="preserve"> CITATION ABS207 \l 3081 </w:instrText>
          </w:r>
          <w:r w:rsidRPr="00027624">
            <w:fldChar w:fldCharType="separate"/>
          </w:r>
          <w:r w:rsidR="00E83F6E">
            <w:rPr>
              <w:noProof/>
            </w:rPr>
            <w:t>(ABS, 2020j)</w:t>
          </w:r>
          <w:r w:rsidRPr="00027624">
            <w:fldChar w:fldCharType="end"/>
          </w:r>
        </w:sdtContent>
      </w:sdt>
      <w:r w:rsidRPr="00027624">
        <w:t xml:space="preserve">. </w:t>
      </w:r>
    </w:p>
    <w:p w14:paraId="399BBD49" w14:textId="77777777" w:rsidR="001A24C1" w:rsidRPr="00027624" w:rsidRDefault="001A24C1" w:rsidP="00D178A4">
      <w:r w:rsidRPr="00027624">
        <w:t>Over the past two decades, multiple labour market supply and demand side factors have led people to remain in the workforce longer on average. On the supply side, increased longevity, improved health and growth in average levels of educational attainment</w:t>
      </w:r>
      <w:r w:rsidRPr="00027624">
        <w:rPr>
          <w:rStyle w:val="FootnoteReference"/>
        </w:rPr>
        <w:footnoteReference w:id="6"/>
      </w:r>
      <w:r w:rsidRPr="00027624">
        <w:t xml:space="preserve"> are facilitating people to work longer to ensure they have adequate savings for retirement (see </w:t>
      </w:r>
      <w:r w:rsidRPr="00027624">
        <w:rPr>
          <w:i/>
        </w:rPr>
        <w:t>1D. The changing Australian landscape</w:t>
      </w:r>
      <w:r w:rsidRPr="00027624">
        <w:t xml:space="preserve">). On the demand side, people are encouraged to remain in the workforce by growth in more flexible and less physically demanding jobs </w:t>
      </w:r>
      <w:sdt>
        <w:sdtPr>
          <w:id w:val="-880859962"/>
          <w:citation/>
        </w:sdtPr>
        <w:sdtEndPr/>
        <w:sdtContent>
          <w:r w:rsidRPr="00027624">
            <w:fldChar w:fldCharType="begin"/>
          </w:r>
          <w:r w:rsidRPr="00027624">
            <w:instrText xml:space="preserve">CITATION DebR19 \l 3081 </w:instrText>
          </w:r>
          <w:r w:rsidRPr="00027624">
            <w:fldChar w:fldCharType="separate"/>
          </w:r>
          <w:r w:rsidR="00E83F6E">
            <w:rPr>
              <w:noProof/>
            </w:rPr>
            <w:t>(Debelle, 2019)</w:t>
          </w:r>
          <w:r w:rsidRPr="00027624">
            <w:fldChar w:fldCharType="end"/>
          </w:r>
        </w:sdtContent>
      </w:sdt>
      <w:r w:rsidRPr="00027624">
        <w:t xml:space="preserve">, and employers becoming more willing to employ </w:t>
      </w:r>
      <w:r w:rsidRPr="00027624">
        <w:lastRenderedPageBreak/>
        <w:t xml:space="preserve">older workers. Certain policy changes, such as increasing preservation and Age Pension eligibility ages have also encouraged later retirement (see </w:t>
      </w:r>
      <w:r w:rsidRPr="00027624">
        <w:rPr>
          <w:i/>
        </w:rPr>
        <w:t>5A. Cohesion</w:t>
      </w:r>
      <w:r>
        <w:t xml:space="preserve">). </w:t>
      </w:r>
    </w:p>
    <w:p w14:paraId="26B96CB1" w14:textId="77777777" w:rsidR="00D178A4" w:rsidRPr="00027624" w:rsidRDefault="00D178A4" w:rsidP="00E110FE">
      <w:pPr>
        <w:pStyle w:val="ChartMainHeading"/>
        <w:numPr>
          <w:ilvl w:val="2"/>
          <w:numId w:val="16"/>
        </w:numPr>
      </w:pPr>
      <w:bookmarkStart w:id="148" w:name="_Toc35274472"/>
      <w:bookmarkStart w:id="149" w:name="_Ref35688245"/>
      <w:bookmarkStart w:id="150" w:name="_Ref36628648"/>
      <w:bookmarkStart w:id="151" w:name="_Ref37232867"/>
      <w:bookmarkStart w:id="152" w:name="_Ref41389649"/>
      <w:r w:rsidRPr="00027624">
        <w:t>Average age of retirement</w:t>
      </w:r>
      <w:bookmarkEnd w:id="148"/>
      <w:bookmarkEnd w:id="149"/>
      <w:bookmarkEnd w:id="150"/>
      <w:bookmarkEnd w:id="151"/>
      <w:r w:rsidRPr="00027624">
        <w:t>, by gender</w:t>
      </w:r>
      <w:bookmarkEnd w:id="152"/>
    </w:p>
    <w:tbl>
      <w:tblPr>
        <w:tblStyle w:val="TableGrid"/>
        <w:tblW w:w="0" w:type="auto"/>
        <w:tblCellMar>
          <w:left w:w="0" w:type="dxa"/>
          <w:right w:w="0" w:type="dxa"/>
        </w:tblCellMar>
        <w:tblLook w:val="04A0" w:firstRow="1" w:lastRow="0" w:firstColumn="1" w:lastColumn="0" w:noHBand="0" w:noVBand="1"/>
      </w:tblPr>
      <w:tblGrid>
        <w:gridCol w:w="4534"/>
        <w:gridCol w:w="4536"/>
      </w:tblGrid>
      <w:tr w:rsidR="008625D0" w:rsidRPr="00027624" w14:paraId="39387A5A" w14:textId="77777777" w:rsidTr="008625D0">
        <w:tc>
          <w:tcPr>
            <w:tcW w:w="4549" w:type="dxa"/>
            <w:shd w:val="clear" w:color="auto" w:fill="auto"/>
          </w:tcPr>
          <w:p w14:paraId="328B8D9B" w14:textId="77777777" w:rsidR="008625D0" w:rsidRDefault="008625D0" w:rsidP="008625D0">
            <w:pPr>
              <w:pStyle w:val="ChartSecondHeading"/>
            </w:pPr>
            <w:r w:rsidRPr="00027624">
              <w:t>Men</w:t>
            </w:r>
          </w:p>
        </w:tc>
        <w:tc>
          <w:tcPr>
            <w:tcW w:w="4521" w:type="dxa"/>
            <w:shd w:val="clear" w:color="auto" w:fill="auto"/>
          </w:tcPr>
          <w:p w14:paraId="2EC43BD7" w14:textId="77777777" w:rsidR="008625D0" w:rsidRDefault="008625D0" w:rsidP="008625D0">
            <w:pPr>
              <w:pStyle w:val="ChartSecondHeading"/>
            </w:pPr>
            <w:r w:rsidRPr="00027624">
              <w:t>Women</w:t>
            </w:r>
          </w:p>
        </w:tc>
      </w:tr>
      <w:tr w:rsidR="001A24C1" w:rsidRPr="00027624" w14:paraId="163F3E7C" w14:textId="77777777" w:rsidTr="008625D0">
        <w:tc>
          <w:tcPr>
            <w:tcW w:w="4549" w:type="dxa"/>
            <w:shd w:val="clear" w:color="auto" w:fill="auto"/>
          </w:tcPr>
          <w:p w14:paraId="46BAA0F7" w14:textId="77777777" w:rsidR="00D178A4" w:rsidRPr="00027624" w:rsidRDefault="00304DE2" w:rsidP="004008D7">
            <w:pPr>
              <w:pStyle w:val="ChartGraphic"/>
            </w:pPr>
            <w:r>
              <w:rPr>
                <w:noProof/>
              </w:rPr>
              <w:drawing>
                <wp:inline distT="0" distB="0" distL="0" distR="0" wp14:anchorId="24AE79E4" wp14:editId="5486D51A">
                  <wp:extent cx="2872740" cy="2887980"/>
                  <wp:effectExtent l="0" t="0" r="3810" b="7620"/>
                  <wp:docPr id="152" name="Picture 152" descr="This chart shows the average age of retirement in Australia for men has a similar trajectory to the OECD. It has trended downwards from the 1970s, then slightly back up in the last two decades. The gap between the Australian and OECD average age of retirement has narrowed over the past two decades." title="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72740" cy="2887980"/>
                          </a:xfrm>
                          <a:prstGeom prst="rect">
                            <a:avLst/>
                          </a:prstGeom>
                          <a:noFill/>
                        </pic:spPr>
                      </pic:pic>
                    </a:graphicData>
                  </a:graphic>
                </wp:inline>
              </w:drawing>
            </w:r>
          </w:p>
        </w:tc>
        <w:tc>
          <w:tcPr>
            <w:tcW w:w="4521" w:type="dxa"/>
            <w:shd w:val="clear" w:color="auto" w:fill="auto"/>
          </w:tcPr>
          <w:p w14:paraId="00BE0E82" w14:textId="77777777" w:rsidR="00D178A4" w:rsidRPr="00027624" w:rsidRDefault="00304DE2" w:rsidP="00D178A4">
            <w:pPr>
              <w:pStyle w:val="ChartGraphic"/>
            </w:pPr>
            <w:r>
              <w:rPr>
                <w:noProof/>
              </w:rPr>
              <w:drawing>
                <wp:inline distT="0" distB="0" distL="0" distR="0" wp14:anchorId="53AA25E7" wp14:editId="417CF87E">
                  <wp:extent cx="2880360" cy="2887980"/>
                  <wp:effectExtent l="0" t="0" r="0" b="7620"/>
                  <wp:docPr id="741687585" name="Picture 741687585" descr="This chart shows the average age of retirement in Australia for women has a similar trajectory to the OECD. It has trended downwards from the 1970s, then slightly back up in the last two decades. The gap between the Australian and OECD average age of retirement has narrowed over the past two decades." title="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tc>
      </w:tr>
    </w:tbl>
    <w:p w14:paraId="134CE9CD" w14:textId="77777777" w:rsidR="00D178A4" w:rsidRPr="00027624" w:rsidRDefault="00D178A4" w:rsidP="008625D0">
      <w:pPr>
        <w:pStyle w:val="ChartorTableNote"/>
      </w:pPr>
      <w:r w:rsidRPr="00027624">
        <w:t xml:space="preserve">Note: </w:t>
      </w:r>
      <w:r w:rsidR="00A8443E" w:rsidRPr="00027624">
        <w:t>‘</w:t>
      </w:r>
      <w:r w:rsidRPr="00027624">
        <w:t>OECD</w:t>
      </w:r>
      <w:r w:rsidR="00A8443E" w:rsidRPr="00027624">
        <w:t>’</w:t>
      </w:r>
      <w:r w:rsidRPr="00027624">
        <w:t xml:space="preserve"> includes the average of all members of the OECD in the year. For example, in 2018 there were 36 members of the OECD. The average age of retirement is the average age of all persons withdrawing from the labour force in a given period. Source:</w:t>
      </w:r>
      <w:sdt>
        <w:sdtPr>
          <w:id w:val="-2140402093"/>
          <w:citation/>
        </w:sdtPr>
        <w:sdtEndPr/>
        <w:sdtContent>
          <w:r w:rsidR="00B32579" w:rsidRPr="00027624">
            <w:fldChar w:fldCharType="begin"/>
          </w:r>
          <w:r w:rsidR="00B32579" w:rsidRPr="00027624">
            <w:instrText xml:space="preserve"> CITATION OEC194 \l 3081 </w:instrText>
          </w:r>
          <w:r w:rsidR="00B32579" w:rsidRPr="00027624">
            <w:fldChar w:fldCharType="separate"/>
          </w:r>
          <w:r w:rsidR="00E83F6E">
            <w:rPr>
              <w:noProof/>
            </w:rPr>
            <w:t xml:space="preserve"> (OECD, 2019a)</w:t>
          </w:r>
          <w:r w:rsidR="00B32579" w:rsidRPr="00027624">
            <w:fldChar w:fldCharType="end"/>
          </w:r>
        </w:sdtContent>
      </w:sdt>
      <w:r w:rsidRPr="00027624">
        <w:t>.</w:t>
      </w:r>
    </w:p>
    <w:p w14:paraId="08B218C8" w14:textId="77777777" w:rsidR="00D178A4" w:rsidRPr="00027624" w:rsidRDefault="00D178A4" w:rsidP="00D178A4">
      <w:r w:rsidRPr="00027624">
        <w:t>The economic and financial consequences of the COVID</w:t>
      </w:r>
      <w:r w:rsidR="00A8443E" w:rsidRPr="00027624">
        <w:noBreakHyphen/>
      </w:r>
      <w:r w:rsidRPr="00027624">
        <w:t>19 Pandemic are likely to have mixed effects on when people retire, at least in the short term. The impact on retirement savings and income may lead some workers to remain in the workforce for longer than they had originally planned. This occurred after the GFC, with a 2008 survey showing many Australians aged 50</w:t>
      </w:r>
      <w:r w:rsidR="00BE51D1" w:rsidRPr="00027624">
        <w:t>-</w:t>
      </w:r>
      <w:r w:rsidRPr="00027624">
        <w:t xml:space="preserve">64 planned to postpone retirement </w:t>
      </w:r>
      <w:sdt>
        <w:sdtPr>
          <w:id w:val="1479265759"/>
          <w:citation/>
        </w:sdtPr>
        <w:sdtEndPr/>
        <w:sdtContent>
          <w:r w:rsidRPr="00027624">
            <w:fldChar w:fldCharType="begin"/>
          </w:r>
          <w:r w:rsidRPr="00027624">
            <w:instrText xml:space="preserve"> CITATION Ken13 \l 3081 </w:instrText>
          </w:r>
          <w:r w:rsidRPr="00027624">
            <w:fldChar w:fldCharType="separate"/>
          </w:r>
          <w:r w:rsidR="00E83F6E">
            <w:rPr>
              <w:noProof/>
            </w:rPr>
            <w:t>(Kendig, et al., 2013)</w:t>
          </w:r>
          <w:r w:rsidRPr="00027624">
            <w:fldChar w:fldCharType="end"/>
          </w:r>
        </w:sdtContent>
      </w:sdt>
      <w:r w:rsidRPr="00027624">
        <w:t>. A higher unemployment rate may also increase involuntary retirement as people who lose their job and cannot find another one in a more competitive environment retire earlier than planned. HILDA Survey data from 2001</w:t>
      </w:r>
      <w:r w:rsidR="00A8443E" w:rsidRPr="00027624">
        <w:noBreakHyphen/>
      </w:r>
      <w:r w:rsidRPr="00027624">
        <w:t xml:space="preserve">18 shows people aged 55 and over are three times more likely than those in their 20s to become discouraged and leave the labour force following one year of unemployment </w:t>
      </w:r>
      <w:sdt>
        <w:sdtPr>
          <w:id w:val="254412612"/>
          <w:citation/>
        </w:sdtPr>
        <w:sdtEndPr/>
        <w:sdtContent>
          <w:r w:rsidRPr="00027624">
            <w:fldChar w:fldCharType="begin"/>
          </w:r>
          <w:r w:rsidRPr="00027624">
            <w:instrText xml:space="preserve">CITATION Cho20 \p 4 \l 3081 </w:instrText>
          </w:r>
          <w:r w:rsidRPr="00027624">
            <w:fldChar w:fldCharType="separate"/>
          </w:r>
          <w:r w:rsidR="00E83F6E">
            <w:rPr>
              <w:noProof/>
            </w:rPr>
            <w:t>(Chomik, R, 2020, p. 4)</w:t>
          </w:r>
          <w:r w:rsidRPr="00027624">
            <w:fldChar w:fldCharType="end"/>
          </w:r>
        </w:sdtContent>
      </w:sdt>
      <w:r w:rsidRPr="00027624">
        <w:t>.</w:t>
      </w:r>
    </w:p>
    <w:p w14:paraId="336D6E70" w14:textId="77777777" w:rsidR="00D178A4" w:rsidRPr="00027624" w:rsidRDefault="00D178A4" w:rsidP="00D178A4">
      <w:r w:rsidRPr="00027624">
        <w:t>Although forecasting is difficult, over the medium term the average age of retirement is expected to continue to increase, for three reasons:</w:t>
      </w:r>
    </w:p>
    <w:p w14:paraId="08327C3F" w14:textId="77777777" w:rsidR="00D178A4" w:rsidRPr="00027624" w:rsidRDefault="00D178A4" w:rsidP="00FC7361">
      <w:pPr>
        <w:pStyle w:val="OutlineNumbered1"/>
        <w:numPr>
          <w:ilvl w:val="0"/>
          <w:numId w:val="98"/>
        </w:numPr>
      </w:pPr>
      <w:bookmarkStart w:id="153" w:name="_Hlk44867510"/>
      <w:r w:rsidRPr="00027624">
        <w:rPr>
          <w:b/>
          <w:bCs/>
        </w:rPr>
        <w:t>The average person is expected to be healthier for longer</w:t>
      </w:r>
      <w:r w:rsidRPr="00027624">
        <w:rPr>
          <w:b/>
        </w:rPr>
        <w:t>.</w:t>
      </w:r>
      <w:r w:rsidRPr="00027624">
        <w:t xml:space="preserve"> People born in 2015 could expect to live disability</w:t>
      </w:r>
      <w:r w:rsidR="00BE51D1" w:rsidRPr="00027624">
        <w:t>-</w:t>
      </w:r>
      <w:r w:rsidRPr="00027624">
        <w:t>free for more years than people born in 2003</w:t>
      </w:r>
      <w:bookmarkEnd w:id="153"/>
      <w:sdt>
        <w:sdtPr>
          <w:id w:val="-2123062003"/>
          <w:citation/>
        </w:sdtPr>
        <w:sdtEndPr/>
        <w:sdtContent>
          <w:r w:rsidRPr="00027624">
            <w:fldChar w:fldCharType="begin"/>
          </w:r>
          <w:r w:rsidRPr="00027624">
            <w:instrText xml:space="preserve"> CITATION AIH17 \l 3081 </w:instrText>
          </w:r>
          <w:r w:rsidRPr="00027624">
            <w:fldChar w:fldCharType="separate"/>
          </w:r>
          <w:r w:rsidR="00E83F6E">
            <w:rPr>
              <w:noProof/>
            </w:rPr>
            <w:t xml:space="preserve"> (Australian Institute of Health and Welfare, 2017)</w:t>
          </w:r>
          <w:r w:rsidRPr="00027624">
            <w:fldChar w:fldCharType="end"/>
          </w:r>
        </w:sdtContent>
      </w:sdt>
      <w:r w:rsidRPr="00027624">
        <w:t xml:space="preserve">. Older people who report themselves as in good health are around twice as likely to participate in the labour force as those in poor health </w:t>
      </w:r>
      <w:sdt>
        <w:sdtPr>
          <w:id w:val="1317838791"/>
          <w:citation/>
        </w:sdtPr>
        <w:sdtEndPr/>
        <w:sdtContent>
          <w:r w:rsidRPr="00027624">
            <w:fldChar w:fldCharType="begin"/>
          </w:r>
          <w:r w:rsidRPr="00027624">
            <w:instrText xml:space="preserve"> CITATION RBA18 \l 3081 </w:instrText>
          </w:r>
          <w:r w:rsidRPr="00027624">
            <w:fldChar w:fldCharType="separate"/>
          </w:r>
          <w:r w:rsidR="00E83F6E">
            <w:rPr>
              <w:noProof/>
            </w:rPr>
            <w:t>(RBA, 2018)</w:t>
          </w:r>
          <w:r w:rsidRPr="00027624">
            <w:fldChar w:fldCharType="end"/>
          </w:r>
        </w:sdtContent>
      </w:sdt>
      <w:r w:rsidRPr="00027624">
        <w:t>.</w:t>
      </w:r>
    </w:p>
    <w:p w14:paraId="13D5258A" w14:textId="77777777" w:rsidR="00D178A4" w:rsidRPr="00027624" w:rsidRDefault="00D178A4" w:rsidP="00282611">
      <w:pPr>
        <w:pStyle w:val="OutlineNumbered1"/>
      </w:pPr>
      <w:r w:rsidRPr="00027624">
        <w:rPr>
          <w:b/>
          <w:bCs/>
        </w:rPr>
        <w:t>Education levels are rising</w:t>
      </w:r>
      <w:r w:rsidRPr="00027624">
        <w:rPr>
          <w:b/>
        </w:rPr>
        <w:t>.</w:t>
      </w:r>
      <w:r w:rsidRPr="00027624">
        <w:t xml:space="preserve"> Between 2006 and 2016, the proportion of Australians holding a post</w:t>
      </w:r>
      <w:r w:rsidR="00A8443E" w:rsidRPr="00027624">
        <w:noBreakHyphen/>
      </w:r>
      <w:r w:rsidRPr="00027624">
        <w:t xml:space="preserve">school qualification increased by 10 percentage points, particularly for women </w:t>
      </w:r>
      <w:sdt>
        <w:sdtPr>
          <w:id w:val="-326132107"/>
          <w:citation/>
        </w:sdtPr>
        <w:sdtEndPr/>
        <w:sdtContent>
          <w:r w:rsidRPr="00027624">
            <w:fldChar w:fldCharType="begin"/>
          </w:r>
          <w:r w:rsidRPr="00027624">
            <w:instrText xml:space="preserve">CITATION ABS78 \l 3081 </w:instrText>
          </w:r>
          <w:r w:rsidRPr="00027624">
            <w:fldChar w:fldCharType="separate"/>
          </w:r>
          <w:r w:rsidR="00E83F6E">
            <w:rPr>
              <w:noProof/>
            </w:rPr>
            <w:t>(ABS, 2017a)</w:t>
          </w:r>
          <w:r w:rsidRPr="00027624">
            <w:fldChar w:fldCharType="end"/>
          </w:r>
        </w:sdtContent>
      </w:sdt>
      <w:r w:rsidRPr="00027624">
        <w:t xml:space="preserve">. This trend is likely to continue as the Commonwealth and state and territory governments have set targets to increase the average level of educational attainment </w:t>
      </w:r>
      <w:sdt>
        <w:sdtPr>
          <w:id w:val="-601259787"/>
          <w:citation/>
        </w:sdtPr>
        <w:sdtEndPr/>
        <w:sdtContent>
          <w:r w:rsidRPr="00027624">
            <w:fldChar w:fldCharType="begin"/>
          </w:r>
          <w:r w:rsidRPr="00027624">
            <w:instrText xml:space="preserve"> CITATION Dep19 \l 3081 </w:instrText>
          </w:r>
          <w:r w:rsidRPr="00027624">
            <w:fldChar w:fldCharType="separate"/>
          </w:r>
          <w:r w:rsidR="00E83F6E">
            <w:rPr>
              <w:noProof/>
            </w:rPr>
            <w:t>(Department of Skills, Education and Employment, 2019)</w:t>
          </w:r>
          <w:r w:rsidRPr="00027624">
            <w:fldChar w:fldCharType="end"/>
          </w:r>
        </w:sdtContent>
      </w:sdt>
      <w:r w:rsidRPr="00027624">
        <w:t xml:space="preserve">. People with higher education levels remain in the labour force until later ages, on average (see </w:t>
      </w:r>
      <w:r w:rsidRPr="00027624">
        <w:rPr>
          <w:i/>
        </w:rPr>
        <w:t>3E. Age of retirement</w:t>
      </w:r>
      <w:r w:rsidRPr="00027624">
        <w:t>).</w:t>
      </w:r>
    </w:p>
    <w:p w14:paraId="730DD424" w14:textId="77777777" w:rsidR="00D178A4" w:rsidRPr="00027624" w:rsidRDefault="00D178A4" w:rsidP="00282611">
      <w:pPr>
        <w:pStyle w:val="OutlineNumbered1"/>
      </w:pPr>
      <w:r w:rsidRPr="00027624">
        <w:rPr>
          <w:b/>
          <w:bCs/>
        </w:rPr>
        <w:t>Preservation and Age Pension eligibility ages are increasing to 60 and 67 years, respectively</w:t>
      </w:r>
      <w:r w:rsidRPr="00027624">
        <w:rPr>
          <w:b/>
        </w:rPr>
        <w:t xml:space="preserve">. </w:t>
      </w:r>
      <w:r w:rsidRPr="00027624">
        <w:t xml:space="preserve">Evidence suggests that retirement decisions are influenced by changes to the Age Pension eligibility age (see </w:t>
      </w:r>
      <w:r w:rsidRPr="00027624">
        <w:rPr>
          <w:i/>
        </w:rPr>
        <w:t>5A. Cohesion</w:t>
      </w:r>
      <w:r w:rsidRPr="00027624">
        <w:t xml:space="preserve">). </w:t>
      </w:r>
    </w:p>
    <w:p w14:paraId="749069B1" w14:textId="77777777" w:rsidR="00D178A4" w:rsidRPr="00027624" w:rsidRDefault="00D178A4" w:rsidP="00D178A4">
      <w:pPr>
        <w:pStyle w:val="Heading2"/>
      </w:pPr>
      <w:bookmarkStart w:id="154" w:name="_Toc40287063"/>
      <w:bookmarkStart w:id="155" w:name="_Toc45520425"/>
      <w:bookmarkStart w:id="156" w:name="_Toc46133536"/>
      <w:r w:rsidRPr="00027624">
        <w:lastRenderedPageBreak/>
        <w:t>Retirement timing expectations</w:t>
      </w:r>
      <w:bookmarkEnd w:id="154"/>
      <w:bookmarkEnd w:id="155"/>
      <w:bookmarkEnd w:id="156"/>
    </w:p>
    <w:p w14:paraId="6333903A" w14:textId="77777777" w:rsidR="00D178A4" w:rsidRPr="00027624" w:rsidRDefault="00D178A4" w:rsidP="00D178A4">
      <w:r w:rsidRPr="00027624">
        <w:t>On average, current working</w:t>
      </w:r>
      <w:r w:rsidR="00A8443E" w:rsidRPr="00027624">
        <w:noBreakHyphen/>
      </w:r>
      <w:r w:rsidRPr="00027624">
        <w:t>age Australians expect to retire at later ages than current retirees. The average age of intended retirement increased from 62.3 to 65.5 years based on surveys conducted in 2004</w:t>
      </w:r>
      <w:r w:rsidR="00A8443E" w:rsidRPr="00027624">
        <w:noBreakHyphen/>
      </w:r>
      <w:r w:rsidRPr="00027624">
        <w:t>05 and 2018</w:t>
      </w:r>
      <w:r w:rsidR="00A8443E" w:rsidRPr="00027624">
        <w:noBreakHyphen/>
      </w:r>
      <w:r w:rsidRPr="00027624">
        <w:t>19 of people aged 45 and over</w:t>
      </w:r>
      <w:sdt>
        <w:sdtPr>
          <w:id w:val="-1962404637"/>
          <w:citation/>
        </w:sdtPr>
        <w:sdtEndPr/>
        <w:sdtContent>
          <w:r w:rsidR="00B216E7">
            <w:fldChar w:fldCharType="begin"/>
          </w:r>
          <w:r w:rsidR="00B216E7">
            <w:instrText xml:space="preserve"> CITATION ABS205 \l 3081  \m ABS06</w:instrText>
          </w:r>
          <w:r w:rsidR="00B216E7">
            <w:fldChar w:fldCharType="separate"/>
          </w:r>
          <w:r w:rsidR="00E83F6E">
            <w:rPr>
              <w:noProof/>
            </w:rPr>
            <w:t xml:space="preserve"> (ABS, 2020n; ABS, 2006b)</w:t>
          </w:r>
          <w:r w:rsidR="00B216E7">
            <w:fldChar w:fldCharType="end"/>
          </w:r>
        </w:sdtContent>
      </w:sdt>
      <w:r w:rsidRPr="00027624">
        <w:t>.</w:t>
      </w:r>
      <w:r w:rsidRPr="00027624">
        <w:rPr>
          <w:rStyle w:val="FootnoteReference"/>
        </w:rPr>
        <w:footnoteReference w:id="7"/>
      </w:r>
      <w:r w:rsidRPr="00027624">
        <w:t xml:space="preserve"> </w:t>
      </w:r>
    </w:p>
    <w:p w14:paraId="4C30F4AF" w14:textId="77777777" w:rsidR="00D178A4" w:rsidRPr="00027624" w:rsidRDefault="00D178A4" w:rsidP="00D178A4">
      <w:r w:rsidRPr="00027624">
        <w:t>However, people</w:t>
      </w:r>
      <w:r w:rsidR="00A8443E" w:rsidRPr="00027624">
        <w:t>’</w:t>
      </w:r>
      <w:r w:rsidRPr="00027624">
        <w:t>s actual retirement age and pathway to retirement can often differ from their expectations. Many people who intend to gradually transition to retirement do not do so</w:t>
      </w:r>
      <w:sdt>
        <w:sdtPr>
          <w:id w:val="-313032619"/>
          <w:citation/>
        </w:sdtPr>
        <w:sdtEndPr/>
        <w:sdtContent>
          <w:r w:rsidRPr="00027624">
            <w:fldChar w:fldCharType="begin"/>
          </w:r>
          <w:r w:rsidRPr="00027624">
            <w:instrText xml:space="preserve"> CITATION Dia15 \l 3081 </w:instrText>
          </w:r>
          <w:r w:rsidRPr="00027624">
            <w:fldChar w:fldCharType="separate"/>
          </w:r>
          <w:r w:rsidR="00E83F6E">
            <w:rPr>
              <w:noProof/>
            </w:rPr>
            <w:t xml:space="preserve"> (Warren, 2015)</w:t>
          </w:r>
          <w:r w:rsidRPr="00027624">
            <w:fldChar w:fldCharType="end"/>
          </w:r>
        </w:sdtContent>
      </w:sdt>
      <w:r w:rsidRPr="00027624">
        <w:t>. One survey indicated 50</w:t>
      </w:r>
      <w:r w:rsidRPr="00027624" w:rsidDel="00920F9A">
        <w:t> per cent</w:t>
      </w:r>
      <w:r w:rsidRPr="00027624">
        <w:t xml:space="preserve"> of people retired from full</w:t>
      </w:r>
      <w:r w:rsidR="00A8443E" w:rsidRPr="00027624">
        <w:noBreakHyphen/>
      </w:r>
      <w:r w:rsidRPr="00027624">
        <w:t>time employment at an earlier age than planned, primarily due to ill health, job</w:t>
      </w:r>
      <w:r w:rsidR="00A8443E" w:rsidRPr="00027624">
        <w:noBreakHyphen/>
      </w:r>
      <w:r w:rsidRPr="00027624">
        <w:t>related issues and caring responsibilities. In contrast, 12</w:t>
      </w:r>
      <w:r w:rsidRPr="00027624" w:rsidDel="00920F9A">
        <w:t> per cent</w:t>
      </w:r>
      <w:r w:rsidRPr="00027624">
        <w:t xml:space="preserve"> of people retired from full</w:t>
      </w:r>
      <w:r w:rsidR="00A8443E" w:rsidRPr="00027624">
        <w:noBreakHyphen/>
      </w:r>
      <w:r w:rsidRPr="00027624">
        <w:t>time employment at a later age than they had planned, most commonly driven by the need to boost financial security in retirement or the desire to keep working.</w:t>
      </w:r>
      <w:r w:rsidRPr="00027624">
        <w:rPr>
          <w:rStyle w:val="FootnoteReference"/>
        </w:rPr>
        <w:footnoteReference w:id="8"/>
      </w:r>
    </w:p>
    <w:p w14:paraId="0D27C1D5" w14:textId="77777777" w:rsidR="00D178A4" w:rsidRPr="00027624" w:rsidRDefault="00D178A4" w:rsidP="001B67E8">
      <w:pPr>
        <w:pStyle w:val="Heading2"/>
      </w:pPr>
      <w:bookmarkStart w:id="157" w:name="_Toc40287064"/>
      <w:bookmarkStart w:id="158" w:name="_Toc45520426"/>
      <w:bookmarkStart w:id="159" w:name="_Toc46133537"/>
      <w:r w:rsidRPr="00027624">
        <w:rPr>
          <w:rStyle w:val="Heading2Char"/>
          <w:b/>
          <w:iCs/>
        </w:rPr>
        <w:t xml:space="preserve">Definition of </w:t>
      </w:r>
      <w:r w:rsidR="00A8443E" w:rsidRPr="00027624">
        <w:rPr>
          <w:rStyle w:val="Heading2Char"/>
          <w:b/>
          <w:iCs/>
        </w:rPr>
        <w:t>‘</w:t>
      </w:r>
      <w:r w:rsidRPr="00027624">
        <w:rPr>
          <w:rStyle w:val="Heading2Char"/>
          <w:b/>
          <w:iCs/>
        </w:rPr>
        <w:t>early retirement</w:t>
      </w:r>
      <w:r w:rsidR="00A8443E" w:rsidRPr="00027624">
        <w:rPr>
          <w:rStyle w:val="Heading2Char"/>
          <w:b/>
          <w:iCs/>
        </w:rPr>
        <w:t>’</w:t>
      </w:r>
      <w:r w:rsidRPr="00027624">
        <w:rPr>
          <w:rStyle w:val="Heading2Char"/>
          <w:b/>
          <w:iCs/>
        </w:rPr>
        <w:t xml:space="preserve"> and </w:t>
      </w:r>
      <w:r w:rsidR="00A8443E" w:rsidRPr="00027624">
        <w:rPr>
          <w:rStyle w:val="Heading2Char"/>
          <w:b/>
          <w:iCs/>
        </w:rPr>
        <w:t>‘</w:t>
      </w:r>
      <w:r w:rsidRPr="00027624">
        <w:rPr>
          <w:rStyle w:val="Heading2Char"/>
          <w:b/>
          <w:iCs/>
        </w:rPr>
        <w:t>late retirement</w:t>
      </w:r>
      <w:r w:rsidR="00A8443E" w:rsidRPr="00027624">
        <w:rPr>
          <w:rStyle w:val="Heading2Char"/>
          <w:b/>
          <w:iCs/>
        </w:rPr>
        <w:t>’</w:t>
      </w:r>
      <w:bookmarkEnd w:id="157"/>
      <w:bookmarkEnd w:id="158"/>
      <w:bookmarkEnd w:id="159"/>
    </w:p>
    <w:p w14:paraId="4943BD34" w14:textId="77777777" w:rsidR="00D178A4" w:rsidRPr="00027624" w:rsidRDefault="00D178A4">
      <w:r w:rsidRPr="00027624">
        <w:t xml:space="preserve">In the absence of a mandated retirement age, the Age Pension eligibility age has been used as the reference point for the retirement age since more people withdraw from the labour force at this age than any other age (see </w:t>
      </w:r>
      <w:r w:rsidRPr="00027624">
        <w:rPr>
          <w:i/>
        </w:rPr>
        <w:t>5A. Cohesion</w:t>
      </w:r>
      <w:r w:rsidRPr="00027624">
        <w:t>).</w:t>
      </w:r>
      <w:r w:rsidRPr="00027624">
        <w:rPr>
          <w:rStyle w:val="FootnoteReference"/>
        </w:rPr>
        <w:footnoteReference w:id="9"/>
      </w:r>
      <w:r w:rsidRPr="00027624">
        <w:t xml:space="preserve"> As such, in this report, </w:t>
      </w:r>
      <w:r w:rsidR="00A8443E" w:rsidRPr="00027624">
        <w:t>‘</w:t>
      </w:r>
      <w:r w:rsidRPr="00027624">
        <w:t>early retirement</w:t>
      </w:r>
      <w:r w:rsidR="00A8443E" w:rsidRPr="00027624">
        <w:t>’</w:t>
      </w:r>
      <w:r w:rsidRPr="00027624">
        <w:t xml:space="preserve"> means retiring before Age Pension eligibility age, and </w:t>
      </w:r>
      <w:r w:rsidR="00A8443E" w:rsidRPr="00027624">
        <w:t>‘</w:t>
      </w:r>
      <w:r w:rsidRPr="00027624">
        <w:t>late retirement</w:t>
      </w:r>
      <w:r w:rsidR="00A8443E" w:rsidRPr="00027624">
        <w:t>’</w:t>
      </w:r>
      <w:r w:rsidRPr="00027624">
        <w:t xml:space="preserve"> means retiring after Age Pension eligibility age.</w:t>
      </w:r>
    </w:p>
    <w:p w14:paraId="46BE4FE7" w14:textId="77777777" w:rsidR="00D178A4" w:rsidRPr="00027624" w:rsidRDefault="00D178A4">
      <w:r w:rsidRPr="00027624">
        <w:t xml:space="preserve">For discussion of the outcomes of retiring at different ages, see </w:t>
      </w:r>
      <w:r w:rsidRPr="00027624">
        <w:rPr>
          <w:i/>
        </w:rPr>
        <w:t>3E. Age of retirement</w:t>
      </w:r>
      <w:r w:rsidRPr="00027624">
        <w:t>.</w:t>
      </w:r>
    </w:p>
    <w:p w14:paraId="0E0C2CDC" w14:textId="77777777" w:rsidR="00952957" w:rsidRPr="00027624" w:rsidRDefault="00952957">
      <w:pPr>
        <w:sectPr w:rsidR="00952957" w:rsidRPr="00027624" w:rsidSect="00952957">
          <w:headerReference w:type="first" r:id="rId59"/>
          <w:type w:val="oddPage"/>
          <w:pgSz w:w="11906" w:h="16838" w:code="9"/>
          <w:pgMar w:top="1418" w:right="1418" w:bottom="1418" w:left="1418" w:header="709" w:footer="709" w:gutter="0"/>
          <w:cols w:space="708"/>
          <w:titlePg/>
          <w:docGrid w:linePitch="360"/>
        </w:sectPr>
      </w:pPr>
    </w:p>
    <w:bookmarkEnd w:id="131" w:displacedByCustomXml="next"/>
    <w:bookmarkEnd w:id="130" w:displacedByCustomXml="next"/>
    <w:bookmarkEnd w:id="129" w:displacedByCustomXml="next"/>
    <w:bookmarkEnd w:id="128" w:displacedByCustomXml="next"/>
    <w:bookmarkEnd w:id="127" w:displacedByCustomXml="next"/>
    <w:bookmarkEnd w:id="126" w:displacedByCustomXml="next"/>
    <w:bookmarkStart w:id="160" w:name="_Toc46133538" w:displacedByCustomXml="next"/>
    <w:bookmarkStart w:id="161" w:name="_Toc43284589" w:displacedByCustomXml="next"/>
    <w:bookmarkStart w:id="162" w:name="_Toc34222084" w:displacedByCustomXml="next"/>
    <w:bookmarkStart w:id="163" w:name="_Toc31720329" w:displacedByCustomXml="next"/>
    <w:bookmarkStart w:id="164" w:name="_Toc31352193" w:displacedByCustomXml="next"/>
    <w:bookmarkStart w:id="165" w:name="_Toc31276195" w:displacedByCustomXml="next"/>
    <w:bookmarkStart w:id="166" w:name="_Toc31274363" w:displacedByCustomXml="next"/>
    <w:bookmarkStart w:id="167" w:name="_Toc31270919" w:displacedByCustomXml="next"/>
    <w:bookmarkStart w:id="168" w:name="_Toc31209557" w:displacedByCustomXml="next"/>
    <w:bookmarkStart w:id="169" w:name="_Toc45520427" w:displacedByCustomXml="next"/>
    <w:sdt>
      <w:sdtPr>
        <w:rPr>
          <w:rFonts w:cs="Times New Roman"/>
          <w:color w:val="auto"/>
          <w:kern w:val="0"/>
          <w:sz w:val="22"/>
          <w:szCs w:val="20"/>
        </w:rPr>
        <w:id w:val="-573587230"/>
        <w:bibliography/>
      </w:sdtPr>
      <w:sdtEndPr/>
      <w:sdtContent>
        <w:p w14:paraId="0421A288" w14:textId="77777777" w:rsidR="00D178A4" w:rsidRPr="00027624" w:rsidRDefault="00D178A4" w:rsidP="00FC7361">
          <w:pPr>
            <w:pStyle w:val="Heading1"/>
            <w:numPr>
              <w:ilvl w:val="1"/>
              <w:numId w:val="74"/>
            </w:numPr>
          </w:pPr>
          <w:r w:rsidRPr="00027624">
            <w:t>Design of Australia</w:t>
          </w:r>
          <w:r w:rsidR="00A8443E" w:rsidRPr="00027624">
            <w:t>’</w:t>
          </w:r>
          <w:r w:rsidRPr="00027624">
            <w:t>s retirement income system</w:t>
          </w:r>
          <w:bookmarkEnd w:id="169"/>
          <w:bookmarkEnd w:id="168"/>
          <w:bookmarkEnd w:id="167"/>
          <w:bookmarkEnd w:id="166"/>
          <w:bookmarkEnd w:id="165"/>
          <w:bookmarkEnd w:id="164"/>
          <w:bookmarkEnd w:id="163"/>
          <w:bookmarkEnd w:id="162"/>
          <w:bookmarkEnd w:id="161"/>
          <w:bookmarkEnd w:id="160"/>
        </w:p>
        <w:tbl>
          <w:tblPr>
            <w:tblW w:w="5000" w:type="pct"/>
            <w:shd w:val="clear" w:color="auto" w:fill="DFD7E7" w:themeFill="accent3" w:themeFillTint="33"/>
            <w:tblLook w:val="01E0" w:firstRow="1" w:lastRow="1" w:firstColumn="1" w:lastColumn="1" w:noHBand="0" w:noVBand="0"/>
          </w:tblPr>
          <w:tblGrid>
            <w:gridCol w:w="9070"/>
          </w:tblGrid>
          <w:tr w:rsidR="00D178A4" w:rsidRPr="00027624" w14:paraId="4952C2CA" w14:textId="77777777" w:rsidTr="00D178A4">
            <w:tc>
              <w:tcPr>
                <w:tcW w:w="5000" w:type="pct"/>
                <w:shd w:val="clear" w:color="auto" w:fill="DFD7E7" w:themeFill="accent3" w:themeFillTint="33"/>
              </w:tcPr>
              <w:p w14:paraId="1964EE23" w14:textId="77777777" w:rsidR="00D178A4" w:rsidRPr="00027624" w:rsidRDefault="00D178A4" w:rsidP="00D178A4">
                <w:pPr>
                  <w:pStyle w:val="BoxHeading"/>
                </w:pPr>
                <w:bookmarkStart w:id="170" w:name="_Toc31209558"/>
                <w:bookmarkStart w:id="171" w:name="_Toc31270920"/>
                <w:bookmarkStart w:id="172" w:name="_Toc31274364"/>
                <w:bookmarkStart w:id="173" w:name="_Toc31276196"/>
                <w:bookmarkStart w:id="174" w:name="_Toc31352194"/>
                <w:bookmarkStart w:id="175" w:name="_Toc31720330"/>
                <w:r w:rsidRPr="00027624">
                  <w:t>Section summary</w:t>
                </w:r>
              </w:p>
              <w:p w14:paraId="50106711" w14:textId="77777777" w:rsidR="00D178A4" w:rsidRPr="00027624" w:rsidRDefault="00D178A4" w:rsidP="00D178A4">
                <w:pPr>
                  <w:pStyle w:val="BoxBullet"/>
                </w:pPr>
                <w:bookmarkStart w:id="176" w:name="_Hlk44867483"/>
                <w:r w:rsidRPr="00027624">
                  <w:rPr>
                    <w:b/>
                  </w:rPr>
                  <w:t>Australia</w:t>
                </w:r>
                <w:r w:rsidR="00A8443E" w:rsidRPr="00027624">
                  <w:rPr>
                    <w:b/>
                  </w:rPr>
                  <w:t>’</w:t>
                </w:r>
                <w:r w:rsidRPr="00027624">
                  <w:rPr>
                    <w:b/>
                  </w:rPr>
                  <w:t>s retirement income system is unique and complex.</w:t>
                </w:r>
                <w:r w:rsidRPr="00027624">
                  <w:t xml:space="preserve"> Its main components are a publicly funded Age Pension, a privately managed superannuation system and voluntary savings.</w:t>
                </w:r>
              </w:p>
              <w:bookmarkEnd w:id="176"/>
              <w:p w14:paraId="204ED36A" w14:textId="77777777" w:rsidR="00D178A4" w:rsidRPr="00027624" w:rsidRDefault="00D178A4" w:rsidP="00D178A4">
                <w:pPr>
                  <w:pStyle w:val="BoxBullet"/>
                </w:pPr>
                <w:r w:rsidRPr="00027624">
                  <w:rPr>
                    <w:b/>
                    <w:bCs/>
                  </w:rPr>
                  <w:t>The Age Pension is means tested and provides a minimum standard of living in retirement for Australians with limited financial means. The Age Pension also supplements the retirement income of middle</w:t>
                </w:r>
                <w:r w:rsidR="00A8443E" w:rsidRPr="00027624">
                  <w:rPr>
                    <w:b/>
                    <w:bCs/>
                  </w:rPr>
                  <w:noBreakHyphen/>
                </w:r>
                <w:r w:rsidRPr="00027624">
                  <w:rPr>
                    <w:b/>
                    <w:bCs/>
                  </w:rPr>
                  <w:t>income earners.</w:t>
                </w:r>
                <w:r w:rsidRPr="00027624">
                  <w:t xml:space="preserve"> Age pensioners can currently receive up to $24,552 a year for singles, and $37,014 a year for couples combined, subject to a means test.</w:t>
                </w:r>
              </w:p>
              <w:p w14:paraId="0B1153FD" w14:textId="77777777" w:rsidR="00D178A4" w:rsidRPr="00027624" w:rsidRDefault="00D178A4" w:rsidP="00D178A4">
                <w:pPr>
                  <w:pStyle w:val="BoxBullet"/>
                </w:pPr>
                <w:r w:rsidRPr="00027624">
                  <w:rPr>
                    <w:b/>
                    <w:bCs/>
                  </w:rPr>
                  <w:t>The superannuation system includes both a compulsory element and voluntary contributions.</w:t>
                </w:r>
                <w:r w:rsidRPr="00027624">
                  <w:t xml:space="preserve"> The Superannuation Guarantee (SG) currently requires employers to pay 9.5 per cent of certain wages and salaries into a superannuation fund. The SG rate is legislated to increase by increments until reaching 12 per cent in 2024</w:t>
                </w:r>
                <w:r w:rsidR="00A8443E" w:rsidRPr="00027624">
                  <w:noBreakHyphen/>
                </w:r>
                <w:r w:rsidRPr="00027624">
                  <w:t>25. Voluntary superannuation provides the flexibility for people not covered by the SG to contribute, for people to make catch</w:t>
                </w:r>
                <w:r w:rsidR="00A8443E" w:rsidRPr="00027624">
                  <w:noBreakHyphen/>
                </w:r>
                <w:r w:rsidRPr="00027624">
                  <w:t xml:space="preserve">up contributions after periods out of the workforce, and for people to make additional contributions. </w:t>
                </w:r>
              </w:p>
              <w:p w14:paraId="32CFD984" w14:textId="77777777" w:rsidR="00D178A4" w:rsidRPr="00027624" w:rsidRDefault="00D178A4" w:rsidP="00D178A4">
                <w:pPr>
                  <w:pStyle w:val="BoxBullet"/>
                </w:pPr>
                <w:r w:rsidRPr="00027624">
                  <w:rPr>
                    <w:b/>
                    <w:bCs/>
                  </w:rPr>
                  <w:t>Many Australians provide for their retirement through voluntary savings separate to superannuation.</w:t>
                </w:r>
                <w:r w:rsidRPr="00027624">
                  <w:t xml:space="preserve"> Most household wealth for people aged 65 and over is held outside the superannuation system, with owner</w:t>
                </w:r>
                <w:r w:rsidR="00A8443E" w:rsidRPr="00027624">
                  <w:noBreakHyphen/>
                </w:r>
                <w:r w:rsidRPr="00027624">
                  <w:t>occupied housing the largest asset for most retirees. Home ownership supports retirement income by reducing housing expenses and acts as a store of wealth that can be accessed in retirement.</w:t>
                </w:r>
              </w:p>
              <w:p w14:paraId="6AD8772A" w14:textId="77777777" w:rsidR="00D178A4" w:rsidRPr="00027624" w:rsidRDefault="00D178A4" w:rsidP="00D178A4">
                <w:pPr>
                  <w:pStyle w:val="BoxBullet"/>
                </w:pPr>
                <w:r w:rsidRPr="00027624">
                  <w:rPr>
                    <w:b/>
                    <w:bCs/>
                  </w:rPr>
                  <w:t xml:space="preserve">Free or subsidised health and aged care services support Australian retirees. </w:t>
                </w:r>
                <w:r w:rsidRPr="00027624">
                  <w:t>Retirees also receive a range of other concessions.</w:t>
                </w:r>
              </w:p>
              <w:p w14:paraId="0D607AC6" w14:textId="77777777" w:rsidR="00D178A4" w:rsidRPr="00027624" w:rsidRDefault="00D178A4" w:rsidP="00D178A4">
                <w:pPr>
                  <w:pStyle w:val="BoxBullet"/>
                  <w:rPr>
                    <w:rFonts w:asciiTheme="minorHAnsi" w:eastAsiaTheme="minorEastAsia" w:hAnsiTheme="minorHAnsi" w:cstheme="minorBidi"/>
                  </w:rPr>
                </w:pPr>
                <w:r w:rsidRPr="00027624">
                  <w:rPr>
                    <w:b/>
                    <w:bCs/>
                  </w:rPr>
                  <w:t>Australia</w:t>
                </w:r>
                <w:r w:rsidR="00A8443E" w:rsidRPr="00027624">
                  <w:rPr>
                    <w:b/>
                    <w:bCs/>
                  </w:rPr>
                  <w:t>’</w:t>
                </w:r>
                <w:r w:rsidRPr="00027624">
                  <w:rPr>
                    <w:b/>
                    <w:bCs/>
                  </w:rPr>
                  <w:t>s three</w:t>
                </w:r>
                <w:r w:rsidR="00A8443E" w:rsidRPr="00027624">
                  <w:rPr>
                    <w:b/>
                    <w:bCs/>
                  </w:rPr>
                  <w:noBreakHyphen/>
                </w:r>
                <w:r w:rsidRPr="00027624">
                  <w:rPr>
                    <w:b/>
                    <w:bCs/>
                  </w:rPr>
                  <w:t>pillar retirement income system compares favourably in international comparisons.</w:t>
                </w:r>
                <w:r w:rsidRPr="00027624">
                  <w:t xml:space="preserve"> Australia</w:t>
                </w:r>
                <w:r w:rsidR="00A8443E" w:rsidRPr="00027624">
                  <w:t>’</w:t>
                </w:r>
                <w:r w:rsidRPr="00027624">
                  <w:t>s Age Pension, compulsory superannuation and private savings, including voluntary superannuation and a high level of home ownership, gives Australians flexibility to achieve retirement incomes that suit their circumstances. Many overseas systems do not perform to a similar standard.</w:t>
                </w:r>
              </w:p>
            </w:tc>
          </w:tr>
        </w:tbl>
        <w:p w14:paraId="07079674" w14:textId="77777777" w:rsidR="00D178A4" w:rsidRPr="00027624" w:rsidRDefault="00D178A4" w:rsidP="00D178A4">
          <w:pPr>
            <w:pStyle w:val="Heading2"/>
          </w:pPr>
          <w:bookmarkStart w:id="177" w:name="_Toc43284590"/>
          <w:bookmarkStart w:id="178" w:name="_Toc45520428"/>
          <w:bookmarkStart w:id="179" w:name="_Toc46133539"/>
          <w:r w:rsidRPr="00027624">
            <w:t>Outline of this section</w:t>
          </w:r>
          <w:bookmarkEnd w:id="177"/>
          <w:bookmarkEnd w:id="178"/>
          <w:bookmarkEnd w:id="179"/>
        </w:p>
        <w:p w14:paraId="4923962A" w14:textId="77777777" w:rsidR="00D178A4" w:rsidRPr="00027624" w:rsidRDefault="00D178A4" w:rsidP="00D178A4">
          <w:pPr>
            <w:pStyle w:val="Bullet"/>
            <w:numPr>
              <w:ilvl w:val="0"/>
              <w:numId w:val="0"/>
            </w:numPr>
          </w:pPr>
          <w:r w:rsidRPr="00027624">
            <w:t>This section outlines the main elements of Australia</w:t>
          </w:r>
          <w:r w:rsidR="00A8443E" w:rsidRPr="00027624">
            <w:t>’</w:t>
          </w:r>
          <w:r w:rsidRPr="00027624">
            <w:t xml:space="preserve">s retirement income system and the interactions between these elements. </w:t>
          </w:r>
          <w:bookmarkStart w:id="180" w:name="_Toc31209559"/>
          <w:bookmarkStart w:id="181" w:name="_Toc31270921"/>
          <w:bookmarkStart w:id="182" w:name="_Toc31274365"/>
          <w:bookmarkStart w:id="183" w:name="_Toc31276197"/>
          <w:bookmarkStart w:id="184" w:name="_Toc31352195"/>
          <w:bookmarkStart w:id="185" w:name="_Toc31720331"/>
          <w:bookmarkEnd w:id="170"/>
          <w:bookmarkEnd w:id="171"/>
          <w:bookmarkEnd w:id="172"/>
          <w:bookmarkEnd w:id="173"/>
          <w:bookmarkEnd w:id="174"/>
          <w:bookmarkEnd w:id="175"/>
          <w:r w:rsidRPr="00027624">
            <w:t>It also provides an overview of the sources of income for recent retirees and an international comparison of the Australian system.</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D178A4" w:rsidRPr="00027624" w14:paraId="32F2F2FD" w14:textId="77777777" w:rsidTr="00D178A4">
            <w:tc>
              <w:tcPr>
                <w:tcW w:w="5000" w:type="pct"/>
                <w:shd w:val="clear" w:color="auto" w:fill="FFF8EA"/>
              </w:tcPr>
              <w:p w14:paraId="7544A1AC" w14:textId="77777777" w:rsidR="00D178A4" w:rsidRPr="00027624" w:rsidRDefault="00D178A4" w:rsidP="00D178A4">
                <w:pPr>
                  <w:pStyle w:val="BoxHeading"/>
                </w:pPr>
                <w:bookmarkStart w:id="186" w:name="_Ref36713661"/>
                <w:r w:rsidRPr="00027624">
                  <w:t xml:space="preserve">Stakeholder views on </w:t>
                </w:r>
                <w:bookmarkEnd w:id="186"/>
                <w:r w:rsidRPr="00027624">
                  <w:t>the design of the retirement income system</w:t>
                </w:r>
              </w:p>
              <w:p w14:paraId="64FB2A36" w14:textId="77777777" w:rsidR="00D178A4" w:rsidRPr="00027624" w:rsidRDefault="00D178A4" w:rsidP="00D178A4">
                <w:pPr>
                  <w:pStyle w:val="BoxText"/>
                </w:pPr>
                <w:r w:rsidRPr="00027624">
                  <w:t xml:space="preserve">Submissions generally supported the current design of the retirement income system, with most focusing on changes to settings within the existing framework. </w:t>
                </w:r>
              </w:p>
              <w:p w14:paraId="128F34A8" w14:textId="77777777" w:rsidR="00D178A4" w:rsidRPr="00027624" w:rsidRDefault="00D178A4" w:rsidP="00D178A4">
                <w:pPr>
                  <w:pStyle w:val="BoxText"/>
                </w:pPr>
                <w:r w:rsidRPr="00027624">
                  <w:t>Most submissions discussed the system in terms of three pillars: the Age Pension, compulsory superannuation and voluntary savings. A number of submissions referred to additional pillars, such as the JobSeeker Payment (formerly Newstart Allowance) for involuntary retirees, and health and aged care services available to retirees. Some suggested housing should be treated as a separate pillar.</w:t>
                </w:r>
              </w:p>
              <w:p w14:paraId="1AE3DF1C" w14:textId="77777777" w:rsidR="00D178A4" w:rsidRPr="00027624" w:rsidRDefault="00D178A4" w:rsidP="00D178A4">
                <w:pPr>
                  <w:pStyle w:val="BoxText"/>
                </w:pPr>
                <w:r w:rsidRPr="00027624">
                  <w:t>Submissions noted that the system</w:t>
                </w:r>
                <w:r w:rsidR="00A8443E" w:rsidRPr="00027624">
                  <w:t>’</w:t>
                </w:r>
                <w:r w:rsidRPr="00027624">
                  <w:t>s multi</w:t>
                </w:r>
                <w:r w:rsidR="00A8443E" w:rsidRPr="00027624">
                  <w:noBreakHyphen/>
                </w:r>
                <w:r w:rsidRPr="00027624">
                  <w:t>tiered structure was directed at alleviating poverty in retirement and allowing retirees to supplement the Age Pension with other savings.</w:t>
                </w:r>
              </w:p>
            </w:tc>
          </w:tr>
        </w:tbl>
        <w:p w14:paraId="2D60A822" w14:textId="77777777" w:rsidR="00D178A4" w:rsidRPr="00027624" w:rsidRDefault="00D178A4" w:rsidP="00D178A4">
          <w:pPr>
            <w:pStyle w:val="Heading2"/>
          </w:pPr>
          <w:bookmarkStart w:id="187" w:name="_Toc43284591"/>
          <w:bookmarkStart w:id="188" w:name="_Toc45520429"/>
          <w:bookmarkStart w:id="189" w:name="_Toc46133540"/>
          <w:r w:rsidRPr="00027624">
            <w:lastRenderedPageBreak/>
            <w:t>System interactions</w:t>
          </w:r>
          <w:bookmarkEnd w:id="187"/>
          <w:bookmarkEnd w:id="188"/>
          <w:bookmarkEnd w:id="189"/>
        </w:p>
        <w:p w14:paraId="701EDA1E" w14:textId="2B7A759F" w:rsidR="00D178A4" w:rsidRPr="00027624" w:rsidRDefault="00D178A4" w:rsidP="00D178A4">
          <w:r w:rsidRPr="00027624">
            <w:t>The main components of Australia</w:t>
          </w:r>
          <w:r w:rsidR="00A8443E" w:rsidRPr="00027624">
            <w:t>’</w:t>
          </w:r>
          <w:r w:rsidRPr="00027624">
            <w:t>s retirement income system are the Age Pension, compulsory superannuation and voluntary savings. These income sources are complemented by other systems that support retirees</w:t>
          </w:r>
          <w:r w:rsidR="00A8443E" w:rsidRPr="00027624">
            <w:t>’</w:t>
          </w:r>
          <w:r w:rsidRPr="00027624">
            <w:t xml:space="preserve"> living standards (</w:t>
          </w:r>
          <w:r w:rsidRPr="00027624">
            <w:fldChar w:fldCharType="begin"/>
          </w:r>
          <w:r w:rsidRPr="00027624">
            <w:instrText xml:space="preserve"> REF _Ref24549066 \r \h  \* MERGEFORMAT </w:instrText>
          </w:r>
          <w:r w:rsidRPr="00027624">
            <w:fldChar w:fldCharType="separate"/>
          </w:r>
          <w:r w:rsidR="00891058">
            <w:t>Figure 1B-1</w:t>
          </w:r>
          <w:r w:rsidRPr="00027624">
            <w:fldChar w:fldCharType="end"/>
          </w:r>
          <w:r w:rsidRPr="00027624">
            <w:t>).</w:t>
          </w:r>
        </w:p>
        <w:p w14:paraId="6AA2B2D2" w14:textId="77777777" w:rsidR="00D178A4" w:rsidRPr="00027624" w:rsidRDefault="00D178A4" w:rsidP="00D178A4">
          <w:r w:rsidRPr="00027624">
            <w:t xml:space="preserve">The interaction between the tax system and the retirement income system is important in determining retirement income outcomes. </w:t>
          </w:r>
        </w:p>
        <w:p w14:paraId="7EB3214A" w14:textId="3B4AA50F" w:rsidR="00D178A4" w:rsidRPr="00027624" w:rsidRDefault="00D178A4" w:rsidP="00D178A4">
          <w:r w:rsidRPr="00027624">
            <w:t>Social transfers in kind, which include free or subsidised health and aged care services, are also key to retirement outcomes. They are an important source of support for lower</w:t>
          </w:r>
          <w:r w:rsidR="00A8443E" w:rsidRPr="00027624">
            <w:noBreakHyphen/>
          </w:r>
          <w:r w:rsidRPr="00027624">
            <w:t>income retirees but are received across the income distribution, including by higher</w:t>
          </w:r>
          <w:r w:rsidR="00A8443E" w:rsidRPr="00027624">
            <w:noBreakHyphen/>
          </w:r>
          <w:r w:rsidRPr="00027624">
            <w:t xml:space="preserve">income retirees. See </w:t>
          </w:r>
          <w:r w:rsidRPr="00027624">
            <w:fldChar w:fldCharType="begin"/>
          </w:r>
          <w:r w:rsidRPr="00027624">
            <w:instrText xml:space="preserve"> REF _Ref42593577 \r \h  \* MERGEFORMAT </w:instrText>
          </w:r>
          <w:r w:rsidRPr="00027624">
            <w:fldChar w:fldCharType="separate"/>
          </w:r>
          <w:r w:rsidR="00891058">
            <w:t>Chart 1B-5</w:t>
          </w:r>
          <w:r w:rsidRPr="00027624">
            <w:fldChar w:fldCharType="end"/>
          </w:r>
          <w:r w:rsidRPr="00027624">
            <w:t xml:space="preserve"> for details of the value of social transfers in kind to people of different age groups.</w:t>
          </w:r>
        </w:p>
        <w:p w14:paraId="39110F84" w14:textId="77777777" w:rsidR="00D178A4" w:rsidRPr="00027624" w:rsidRDefault="00D178A4" w:rsidP="00FC7361">
          <w:pPr>
            <w:pStyle w:val="FigureHeading"/>
            <w:numPr>
              <w:ilvl w:val="4"/>
              <w:numId w:val="103"/>
            </w:numPr>
          </w:pPr>
          <w:bookmarkStart w:id="190" w:name="_Ref24549066"/>
          <w:bookmarkStart w:id="191" w:name="_Ref24549058"/>
          <w:r w:rsidRPr="00027624">
            <w:t>Key retirement income system interactions</w:t>
          </w:r>
          <w:bookmarkEnd w:id="190"/>
          <w:bookmarkEnd w:id="191"/>
        </w:p>
        <w:p w14:paraId="5E8D09B4" w14:textId="77777777" w:rsidR="00D178A4" w:rsidRPr="00027624" w:rsidRDefault="00304DE2" w:rsidP="00D178A4">
          <w:pPr>
            <w:pStyle w:val="ChartGraphic"/>
          </w:pPr>
          <w:r>
            <w:rPr>
              <w:noProof/>
            </w:rPr>
            <w:drawing>
              <wp:inline distT="0" distB="0" distL="0" distR="0" wp14:anchorId="7255D0FD" wp14:editId="613F643B">
                <wp:extent cx="5760720" cy="3238500"/>
                <wp:effectExtent l="0" t="0" r="0" b="0"/>
                <wp:docPr id="741687587" name="Picture 741687587" descr="This figure shows the interaction between elements of the retirement income system and related policies or systems. Elements inside the retirement income system include the Age Pension, Commonwealth Rent Assistance, concession cards, Pension Loans Scheme and savings – both compulsory (the Superannuation Guarantee) and voluntary (including housing, voluntary superannuation contributions and other assets). They interact with other income support payments, Aged care and other social transfers in kind, and the tax system." title="Figure 1B-1 Key retirement income system inte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pic:spPr>
                    </pic:pic>
                  </a:graphicData>
                </a:graphic>
              </wp:inline>
            </w:drawing>
          </w:r>
        </w:p>
        <w:p w14:paraId="63BA148E" w14:textId="77777777" w:rsidR="00D178A4" w:rsidRPr="00027624" w:rsidRDefault="00D178A4" w:rsidP="00D178A4">
          <w:pPr>
            <w:pStyle w:val="Heading2"/>
          </w:pPr>
          <w:bookmarkStart w:id="192" w:name="_Toc43284592"/>
          <w:bookmarkStart w:id="193" w:name="_Toc45520430"/>
          <w:bookmarkStart w:id="194" w:name="_Toc46133541"/>
          <w:r w:rsidRPr="00027624">
            <w:t>Overview of the Age Pension</w:t>
          </w:r>
          <w:bookmarkEnd w:id="192"/>
          <w:bookmarkEnd w:id="193"/>
          <w:bookmarkEnd w:id="194"/>
        </w:p>
        <w:p w14:paraId="74B38771" w14:textId="77777777" w:rsidR="00D178A4" w:rsidRPr="00027624" w:rsidRDefault="00D178A4" w:rsidP="00D178A4">
          <w:r w:rsidRPr="00027624">
            <w:t>The Age Pension is a means</w:t>
          </w:r>
          <w:r w:rsidR="00A8443E" w:rsidRPr="00027624">
            <w:noBreakHyphen/>
          </w:r>
          <w:r w:rsidRPr="00027624">
            <w:t>tested payment for older Australians. The Age Pension is not based on past income or contributions, or taxes paid during a person</w:t>
          </w:r>
          <w:r w:rsidR="00A8443E" w:rsidRPr="00027624">
            <w:t>’</w:t>
          </w:r>
          <w:r w:rsidRPr="00027624">
            <w:t xml:space="preserve">s working life. When introduced in 1909, the purpose of the Age Pension was to provide a </w:t>
          </w:r>
          <w:r w:rsidR="00A8443E" w:rsidRPr="00027624">
            <w:t>‘</w:t>
          </w:r>
          <w:r w:rsidRPr="00027624">
            <w:t>safety net</w:t>
          </w:r>
          <w:r w:rsidR="00A8443E" w:rsidRPr="00027624">
            <w:t>’</w:t>
          </w:r>
          <w:r w:rsidRPr="00027624">
            <w:t xml:space="preserve"> of income support, targeted to those most in need, determined by a means test </w:t>
          </w:r>
          <w:sdt>
            <w:sdtPr>
              <w:id w:val="1175541425"/>
              <w:citation/>
            </w:sdtPr>
            <w:sdtEndPr/>
            <w:sdtContent>
              <w:r w:rsidRPr="00027624">
                <w:fldChar w:fldCharType="begin"/>
              </w:r>
              <w:r w:rsidRPr="00027624">
                <w:instrText xml:space="preserve"> CITATION Gro08 \l 3081  \m Dan11</w:instrText>
              </w:r>
              <w:r w:rsidRPr="00027624">
                <w:fldChar w:fldCharType="separate"/>
              </w:r>
              <w:r w:rsidR="00E83F6E">
                <w:rPr>
                  <w:noProof/>
                </w:rPr>
                <w:t>(Groom, 1908; Parliamentary Library, 2011)</w:t>
              </w:r>
              <w:r w:rsidRPr="00027624">
                <w:fldChar w:fldCharType="end"/>
              </w:r>
            </w:sdtContent>
          </w:sdt>
          <w:r w:rsidRPr="00027624">
            <w:t>. Its primary function was poverty alleviation.</w:t>
          </w:r>
        </w:p>
        <w:p w14:paraId="265FDD8F" w14:textId="6FAE41F6" w:rsidR="00D178A4" w:rsidRPr="00027624" w:rsidRDefault="00D178A4" w:rsidP="00D178A4">
          <w:pPr>
            <w:pStyle w:val="Bullet"/>
            <w:numPr>
              <w:ilvl w:val="0"/>
              <w:numId w:val="0"/>
            </w:numPr>
          </w:pPr>
          <w:r w:rsidRPr="00027624">
            <w:t>The Age Pension is the main source of retirement income for people who were lower</w:t>
          </w:r>
          <w:r w:rsidR="00A8443E" w:rsidRPr="00027624">
            <w:noBreakHyphen/>
          </w:r>
          <w:r w:rsidRPr="00027624">
            <w:t xml:space="preserve"> to middle</w:t>
          </w:r>
          <w:r w:rsidR="00A8443E" w:rsidRPr="00027624">
            <w:noBreakHyphen/>
          </w:r>
          <w:r w:rsidRPr="00027624">
            <w:t>income earners during their working lives. Particularly for middle</w:t>
          </w:r>
          <w:r w:rsidR="00A8443E" w:rsidRPr="00027624">
            <w:noBreakHyphen/>
          </w:r>
          <w:r w:rsidRPr="00027624">
            <w:t xml:space="preserve">income earners, it supplements superannuation and other savings (see </w:t>
          </w:r>
          <w:r w:rsidRPr="00027624">
            <w:fldChar w:fldCharType="begin"/>
          </w:r>
          <w:r w:rsidRPr="00027624">
            <w:instrText xml:space="preserve"> REF _Ref42593953 \r \h  \* MERGEFORMAT </w:instrText>
          </w:r>
          <w:r w:rsidRPr="00027624">
            <w:fldChar w:fldCharType="separate"/>
          </w:r>
          <w:r w:rsidR="00891058">
            <w:t>Chart 1B-4</w:t>
          </w:r>
          <w:r w:rsidRPr="00027624">
            <w:fldChar w:fldCharType="end"/>
          </w:r>
          <w:r w:rsidR="00842A7C" w:rsidRPr="00027624">
            <w:t>)</w:t>
          </w:r>
          <w:r w:rsidRPr="00027624">
            <w:t>.</w:t>
          </w:r>
        </w:p>
        <w:p w14:paraId="46C372D1" w14:textId="77777777" w:rsidR="00D178A4" w:rsidRPr="00027624" w:rsidRDefault="00D178A4" w:rsidP="00D178A4">
          <w:pPr>
            <w:pStyle w:val="Heading3"/>
          </w:pPr>
          <w:bookmarkStart w:id="195" w:name="_Toc43284593"/>
          <w:r w:rsidRPr="00027624">
            <w:lastRenderedPageBreak/>
            <w:t>Eligibility</w:t>
          </w:r>
          <w:bookmarkEnd w:id="195"/>
        </w:p>
        <w:p w14:paraId="53189AC9" w14:textId="34978A59" w:rsidR="00D178A4" w:rsidRPr="00027624" w:rsidRDefault="00D178A4" w:rsidP="00D178A4">
          <w:pPr>
            <w:rPr>
              <w:rFonts w:asciiTheme="majorHAnsi" w:hAnsiTheme="majorHAnsi" w:cstheme="majorBidi"/>
            </w:rPr>
          </w:pPr>
          <w:r w:rsidRPr="00027624">
            <w:rPr>
              <w:rFonts w:asciiTheme="majorHAnsi" w:hAnsiTheme="majorHAnsi" w:cstheme="majorBidi"/>
            </w:rPr>
            <w:t>To receive the Age Pension, a person must meet age, residency and means</w:t>
          </w:r>
          <w:r w:rsidR="00BE51D1" w:rsidRPr="00027624">
            <w:rPr>
              <w:rFonts w:asciiTheme="majorHAnsi" w:hAnsiTheme="majorHAnsi" w:cstheme="majorBidi"/>
            </w:rPr>
            <w:t>-</w:t>
          </w:r>
          <w:r w:rsidRPr="00027624">
            <w:rPr>
              <w:rFonts w:asciiTheme="majorHAnsi" w:hAnsiTheme="majorHAnsi" w:cstheme="majorBidi"/>
            </w:rPr>
            <w:t xml:space="preserve">testing requirements </w:t>
          </w:r>
          <w:r w:rsidR="00BE51D1" w:rsidRPr="00027624">
            <w:rPr>
              <w:rFonts w:asciiTheme="majorHAnsi" w:hAnsiTheme="majorHAnsi" w:cstheme="majorBidi"/>
            </w:rPr>
            <w:t>(</w:t>
          </w:r>
          <w:r w:rsidRPr="00027624">
            <w:rPr>
              <w:rFonts w:asciiTheme="majorHAnsi" w:hAnsiTheme="majorHAnsi" w:cstheme="majorBidi"/>
            </w:rPr>
            <w:fldChar w:fldCharType="begin"/>
          </w:r>
          <w:r w:rsidRPr="00027624">
            <w:rPr>
              <w:rFonts w:asciiTheme="majorHAnsi" w:hAnsiTheme="majorHAnsi" w:cstheme="majorBidi"/>
            </w:rPr>
            <w:instrText xml:space="preserve"> REF _Ref42613573 \r \h  \* MERGEFORMAT </w:instrText>
          </w:r>
          <w:r w:rsidRPr="00027624">
            <w:rPr>
              <w:rFonts w:asciiTheme="majorHAnsi" w:hAnsiTheme="majorHAnsi" w:cstheme="majorBidi"/>
            </w:rPr>
          </w:r>
          <w:r w:rsidRPr="00027624">
            <w:rPr>
              <w:rFonts w:asciiTheme="majorHAnsi" w:hAnsiTheme="majorHAnsi" w:cstheme="majorBidi"/>
            </w:rPr>
            <w:fldChar w:fldCharType="separate"/>
          </w:r>
          <w:r w:rsidR="00891058">
            <w:rPr>
              <w:rFonts w:asciiTheme="majorHAnsi" w:hAnsiTheme="majorHAnsi" w:cstheme="majorBidi"/>
            </w:rPr>
            <w:t>Table 1B-1</w:t>
          </w:r>
          <w:r w:rsidRPr="00027624">
            <w:rPr>
              <w:rFonts w:asciiTheme="majorHAnsi" w:hAnsiTheme="majorHAnsi" w:cstheme="majorBidi"/>
            </w:rPr>
            <w:fldChar w:fldCharType="end"/>
          </w:r>
          <w:r w:rsidRPr="00027624">
            <w:rPr>
              <w:rFonts w:asciiTheme="majorHAnsi" w:hAnsiTheme="majorHAnsi" w:cstheme="majorBidi"/>
            </w:rPr>
            <w:t>).</w:t>
          </w:r>
          <w:r w:rsidRPr="00027624">
            <w:rPr>
              <w:rStyle w:val="FootnoteReference"/>
              <w:rFonts w:cstheme="majorBidi"/>
            </w:rPr>
            <w:footnoteReference w:id="10"/>
          </w:r>
        </w:p>
        <w:p w14:paraId="71F6E935" w14:textId="77777777" w:rsidR="00D178A4" w:rsidRPr="00027624" w:rsidRDefault="00D178A4" w:rsidP="00FC7361">
          <w:pPr>
            <w:pStyle w:val="TableMainHeading"/>
            <w:numPr>
              <w:ilvl w:val="3"/>
              <w:numId w:val="64"/>
            </w:numPr>
          </w:pPr>
          <w:bookmarkStart w:id="196" w:name="_Ref42613573"/>
          <w:r w:rsidRPr="00027624">
            <w:t>Age Pension eligibility criteria</w:t>
          </w:r>
          <w:bookmarkEnd w:id="196"/>
        </w:p>
        <w:tbl>
          <w:tblPr>
            <w:tblW w:w="5000" w:type="pct"/>
            <w:tblLook w:val="01E0" w:firstRow="1" w:lastRow="1" w:firstColumn="1" w:lastColumn="1" w:noHBand="0" w:noVBand="0"/>
          </w:tblPr>
          <w:tblGrid>
            <w:gridCol w:w="1702"/>
            <w:gridCol w:w="7368"/>
          </w:tblGrid>
          <w:tr w:rsidR="00D178A4" w:rsidRPr="00027624" w14:paraId="1240CD70" w14:textId="77777777" w:rsidTr="00D178A4">
            <w:trPr>
              <w:trHeight w:val="270"/>
              <w:tblHeader/>
            </w:trPr>
            <w:tc>
              <w:tcPr>
                <w:tcW w:w="938" w:type="pct"/>
                <w:shd w:val="clear" w:color="auto" w:fill="E5E5E5"/>
              </w:tcPr>
              <w:p w14:paraId="285D8E71" w14:textId="77777777" w:rsidR="00D178A4" w:rsidRPr="00027624" w:rsidRDefault="00D178A4" w:rsidP="00D178A4">
                <w:pPr>
                  <w:pStyle w:val="TableColumnHeadingCentred"/>
                  <w:jc w:val="left"/>
                </w:pPr>
                <w:r w:rsidRPr="00027624">
                  <w:t>Criteria type</w:t>
                </w:r>
              </w:p>
            </w:tc>
            <w:tc>
              <w:tcPr>
                <w:tcW w:w="4062" w:type="pct"/>
                <w:shd w:val="clear" w:color="auto" w:fill="E5E5E5"/>
              </w:tcPr>
              <w:p w14:paraId="282E4604" w14:textId="77777777" w:rsidR="00D178A4" w:rsidRPr="00027624" w:rsidRDefault="00D178A4" w:rsidP="00D178A4">
                <w:pPr>
                  <w:pStyle w:val="TableColumnHeadingLeft"/>
                </w:pPr>
                <w:r w:rsidRPr="00027624">
                  <w:t>Eligibility rule</w:t>
                </w:r>
              </w:p>
            </w:tc>
          </w:tr>
          <w:tr w:rsidR="00D178A4" w:rsidRPr="00027624" w14:paraId="2C463455" w14:textId="77777777" w:rsidTr="00D178A4">
            <w:trPr>
              <w:trHeight w:val="270"/>
            </w:trPr>
            <w:tc>
              <w:tcPr>
                <w:tcW w:w="938" w:type="pct"/>
              </w:tcPr>
              <w:p w14:paraId="5B160E30" w14:textId="77777777" w:rsidR="00D178A4" w:rsidRPr="00027624" w:rsidRDefault="00D178A4" w:rsidP="00D178A4">
                <w:pPr>
                  <w:pStyle w:val="TableTextLeft"/>
                </w:pPr>
                <w:r w:rsidRPr="00027624">
                  <w:t>Age</w:t>
                </w:r>
              </w:p>
            </w:tc>
            <w:tc>
              <w:tcPr>
                <w:tcW w:w="4062" w:type="pct"/>
              </w:tcPr>
              <w:p w14:paraId="782B32BB" w14:textId="77777777" w:rsidR="00D178A4" w:rsidRPr="00027624" w:rsidRDefault="00D178A4" w:rsidP="00D178A4">
                <w:pPr>
                  <w:pStyle w:val="TableTextLeft"/>
                </w:pPr>
                <w:r w:rsidRPr="00027624">
                  <w:t>Age pensioners must be over Age Pension eligibility age. From 1 July 2019, the Age Pension eligibility age is 66 years.</w:t>
                </w:r>
              </w:p>
            </w:tc>
          </w:tr>
          <w:tr w:rsidR="00D178A4" w:rsidRPr="00027624" w14:paraId="00F87989" w14:textId="77777777" w:rsidTr="00D178A4">
            <w:trPr>
              <w:trHeight w:val="270"/>
            </w:trPr>
            <w:tc>
              <w:tcPr>
                <w:tcW w:w="938" w:type="pct"/>
              </w:tcPr>
              <w:p w14:paraId="1C527939" w14:textId="77777777" w:rsidR="00D178A4" w:rsidRPr="00027624" w:rsidRDefault="00D178A4" w:rsidP="00D178A4">
                <w:pPr>
                  <w:pStyle w:val="TableTextLeft"/>
                </w:pPr>
                <w:r w:rsidRPr="00027624">
                  <w:t>Residency</w:t>
                </w:r>
              </w:p>
            </w:tc>
            <w:tc>
              <w:tcPr>
                <w:tcW w:w="4062" w:type="pct"/>
              </w:tcPr>
              <w:p w14:paraId="2301391B" w14:textId="77777777" w:rsidR="00D178A4" w:rsidRPr="00027624" w:rsidRDefault="00D178A4" w:rsidP="00D178A4">
                <w:pPr>
                  <w:pStyle w:val="TableTextLeft"/>
                </w:pPr>
                <w:r w:rsidRPr="00027624">
                  <w:t>Age pensioners must be Australian permanent residents for 10 years, with at least 5 years being continuous.</w:t>
                </w:r>
                <w:r w:rsidRPr="00027624">
                  <w:rPr>
                    <w:rFonts w:asciiTheme="majorHAnsi" w:hAnsiTheme="majorHAnsi" w:cstheme="majorBidi"/>
                    <w:vertAlign w:val="superscript"/>
                  </w:rPr>
                  <w:footnoteReference w:id="11"/>
                </w:r>
              </w:p>
            </w:tc>
          </w:tr>
          <w:tr w:rsidR="00D178A4" w:rsidRPr="00027624" w14:paraId="20E982B0" w14:textId="77777777" w:rsidTr="00D178A4">
            <w:trPr>
              <w:trHeight w:val="270"/>
            </w:trPr>
            <w:tc>
              <w:tcPr>
                <w:tcW w:w="938" w:type="pct"/>
              </w:tcPr>
              <w:p w14:paraId="575B1D23" w14:textId="77777777" w:rsidR="00D178A4" w:rsidRPr="00027624" w:rsidRDefault="00D178A4" w:rsidP="00D178A4">
                <w:pPr>
                  <w:pStyle w:val="TableTextLeft"/>
                </w:pPr>
                <w:r w:rsidRPr="00027624">
                  <w:t>Means test</w:t>
                </w:r>
              </w:p>
            </w:tc>
            <w:tc>
              <w:tcPr>
                <w:tcW w:w="4062" w:type="pct"/>
              </w:tcPr>
              <w:p w14:paraId="5D79B389" w14:textId="77777777" w:rsidR="00D178A4" w:rsidRPr="00027624" w:rsidRDefault="00D178A4" w:rsidP="00D178A4">
                <w:pPr>
                  <w:pStyle w:val="TableTextLeft"/>
                </w:pPr>
                <w:r w:rsidRPr="00027624">
                  <w:t xml:space="preserve">Age pensioners must meet both the income test and the assets test. </w:t>
                </w:r>
              </w:p>
            </w:tc>
          </w:tr>
        </w:tbl>
        <w:p w14:paraId="39474D57" w14:textId="77777777" w:rsidR="00D178A4" w:rsidRPr="00027624" w:rsidRDefault="00D178A4" w:rsidP="00D178A4">
          <w:pPr>
            <w:pStyle w:val="ChartorTableNote"/>
          </w:pPr>
          <w:r w:rsidRPr="00027624">
            <w:t xml:space="preserve">Source: </w:t>
          </w:r>
          <w:sdt>
            <w:sdtPr>
              <w:id w:val="-1017157374"/>
              <w:citation/>
            </w:sdtPr>
            <w:sdtEndPr/>
            <w:sdtContent>
              <w:r w:rsidRPr="00027624">
                <w:fldChar w:fldCharType="begin"/>
              </w:r>
              <w:r w:rsidR="00B32579" w:rsidRPr="00027624">
                <w:instrText xml:space="preserve">CITATION DSS204 \l 3081 </w:instrText>
              </w:r>
              <w:r w:rsidRPr="00027624">
                <w:fldChar w:fldCharType="separate"/>
              </w:r>
              <w:r w:rsidR="00E83F6E">
                <w:rPr>
                  <w:noProof/>
                </w:rPr>
                <w:t>(Department of Social Services, 2020e)</w:t>
              </w:r>
              <w:r w:rsidRPr="00027624">
                <w:fldChar w:fldCharType="end"/>
              </w:r>
            </w:sdtContent>
          </w:sdt>
          <w:r w:rsidRPr="00027624">
            <w:t>.</w:t>
          </w:r>
        </w:p>
        <w:p w14:paraId="7F6ECD4E" w14:textId="77777777" w:rsidR="00D178A4" w:rsidRPr="00027624" w:rsidRDefault="00D178A4" w:rsidP="00D178A4">
          <w:pPr>
            <w:pStyle w:val="Heading4"/>
          </w:pPr>
          <w:bookmarkStart w:id="197" w:name="_Toc43284594"/>
          <w:r w:rsidRPr="00027624">
            <w:t>Age Pension eligibility age</w:t>
          </w:r>
          <w:bookmarkEnd w:id="197"/>
        </w:p>
        <w:p w14:paraId="58C72D35" w14:textId="77777777" w:rsidR="00D178A4" w:rsidRPr="00027624" w:rsidRDefault="00D178A4" w:rsidP="00D178A4">
          <w:pPr>
            <w:rPr>
              <w:rFonts w:asciiTheme="majorHAnsi" w:hAnsiTheme="majorHAnsi" w:cstheme="majorBidi"/>
            </w:rPr>
          </w:pPr>
          <w:r w:rsidRPr="00027624">
            <w:rPr>
              <w:rFonts w:asciiTheme="majorHAnsi" w:hAnsiTheme="majorHAnsi" w:cstheme="majorBidi"/>
            </w:rPr>
            <w:t xml:space="preserve">In 1909, the Commonwealth Government introduced a national </w:t>
          </w:r>
          <w:r w:rsidR="00A8443E" w:rsidRPr="00027624">
            <w:rPr>
              <w:rFonts w:asciiTheme="majorHAnsi" w:hAnsiTheme="majorHAnsi" w:cstheme="majorBidi"/>
            </w:rPr>
            <w:t>‘</w:t>
          </w:r>
          <w:r w:rsidRPr="00027624">
            <w:rPr>
              <w:rFonts w:asciiTheme="majorHAnsi" w:hAnsiTheme="majorHAnsi" w:cstheme="majorBidi"/>
            </w:rPr>
            <w:t>old age</w:t>
          </w:r>
          <w:r w:rsidR="00A8443E" w:rsidRPr="00027624">
            <w:rPr>
              <w:rFonts w:asciiTheme="majorHAnsi" w:hAnsiTheme="majorHAnsi" w:cstheme="majorBidi"/>
            </w:rPr>
            <w:t>’</w:t>
          </w:r>
          <w:r w:rsidRPr="00027624">
            <w:rPr>
              <w:rFonts w:asciiTheme="majorHAnsi" w:hAnsiTheme="majorHAnsi" w:cstheme="majorBidi"/>
            </w:rPr>
            <w:t xml:space="preserve"> pension age from age 65 for both men and women, before later reducing it to age 60 for women. The eligibility age for women remained at 60 until 1 July 1995, when </w:t>
          </w:r>
          <w:r w:rsidRPr="00027624">
            <w:rPr>
              <w:rFonts w:asciiTheme="majorHAnsi" w:hAnsiTheme="majorHAnsi" w:cstheme="majorBidi"/>
              <w:color w:val="111111"/>
              <w:lang w:val="en"/>
            </w:rPr>
            <w:t>it started increasing by 6 months every two years</w:t>
          </w:r>
          <w:r w:rsidRPr="00027624">
            <w:rPr>
              <w:rFonts w:asciiTheme="majorHAnsi" w:hAnsiTheme="majorHAnsi" w:cstheme="majorBidi"/>
            </w:rPr>
            <w:t>, until reaching 65 on 1 July 2013.</w:t>
          </w:r>
        </w:p>
        <w:p w14:paraId="6C1E3E77" w14:textId="77777777" w:rsidR="00D178A4" w:rsidRPr="00027624" w:rsidRDefault="00D178A4" w:rsidP="00D178A4">
          <w:pPr>
            <w:rPr>
              <w:rFonts w:asciiTheme="majorHAnsi" w:hAnsiTheme="majorHAnsi" w:cstheme="majorBidi"/>
            </w:rPr>
          </w:pPr>
          <w:r w:rsidRPr="00027624">
            <w:rPr>
              <w:rFonts w:asciiTheme="majorHAnsi" w:hAnsiTheme="majorHAnsi" w:cstheme="majorBidi"/>
            </w:rPr>
            <w:t>Based on legislation passed in 2009, the Age Pension eligibility age for men and women was increased to 65 and 6 months on 1 July 2017. It is scheduled to increase by six months every two years until it reaches 67 years on 1 July 2023.</w:t>
          </w:r>
        </w:p>
        <w:p w14:paraId="5F4F50DE" w14:textId="77777777" w:rsidR="00D178A4" w:rsidRPr="00027624" w:rsidRDefault="00D178A4" w:rsidP="00D178A4">
          <w:pPr>
            <w:pStyle w:val="Heading3"/>
          </w:pPr>
          <w:bookmarkStart w:id="198" w:name="_Toc43284595"/>
          <w:r w:rsidRPr="00027624">
            <w:t>Age Pension payment rates</w:t>
          </w:r>
          <w:bookmarkEnd w:id="198"/>
        </w:p>
        <w:p w14:paraId="00DE3563" w14:textId="74418572" w:rsidR="00D178A4" w:rsidRPr="00027624" w:rsidRDefault="00D178A4" w:rsidP="00D178A4">
          <w:r w:rsidRPr="00027624">
            <w:t>The maximum rate of the Age Pension includes the base pension rate, the Pension Supplement and the Energy Supplement (</w:t>
          </w:r>
          <w:r w:rsidRPr="00027624">
            <w:fldChar w:fldCharType="begin"/>
          </w:r>
          <w:r w:rsidRPr="00027624">
            <w:instrText xml:space="preserve"> REF _Ref42593135 \r \h  \* MERGEFORMAT </w:instrText>
          </w:r>
          <w:r w:rsidRPr="00027624">
            <w:fldChar w:fldCharType="separate"/>
          </w:r>
          <w:r w:rsidR="00891058">
            <w:t>Table 1B-2</w:t>
          </w:r>
          <w:r w:rsidRPr="00027624">
            <w:fldChar w:fldCharType="end"/>
          </w:r>
          <w:r w:rsidRPr="00027624">
            <w:t xml:space="preserve">). Almost all age pensioners receive the Pension Supplement and the Energy Supplement. </w:t>
          </w:r>
        </w:p>
        <w:p w14:paraId="67B2B72F" w14:textId="77777777" w:rsidR="00D178A4" w:rsidRPr="00027624" w:rsidRDefault="00D178A4" w:rsidP="00D178A4">
          <w:pPr>
            <w:pStyle w:val="TableMainHeading"/>
          </w:pPr>
          <w:bookmarkStart w:id="199" w:name="_Ref42593135"/>
          <w:r w:rsidRPr="00027624">
            <w:t>Maximum Age Pension rates, as at 1 May 2020</w:t>
          </w:r>
          <w:bookmarkEnd w:id="199"/>
        </w:p>
        <w:tbl>
          <w:tblPr>
            <w:tblW w:w="5000" w:type="pct"/>
            <w:tblLook w:val="01E0" w:firstRow="1" w:lastRow="1" w:firstColumn="1" w:lastColumn="1" w:noHBand="0" w:noVBand="0"/>
          </w:tblPr>
          <w:tblGrid>
            <w:gridCol w:w="4535"/>
            <w:gridCol w:w="4535"/>
          </w:tblGrid>
          <w:tr w:rsidR="00D178A4" w:rsidRPr="00027624" w14:paraId="6411BFE8" w14:textId="77777777" w:rsidTr="00D178A4">
            <w:trPr>
              <w:tblHeader/>
            </w:trPr>
            <w:tc>
              <w:tcPr>
                <w:tcW w:w="2500" w:type="pct"/>
                <w:shd w:val="clear" w:color="auto" w:fill="E5E5E5"/>
              </w:tcPr>
              <w:p w14:paraId="4E2A63F6" w14:textId="77777777" w:rsidR="00D178A4" w:rsidRPr="00027624" w:rsidRDefault="00D178A4" w:rsidP="00D178A4">
                <w:pPr>
                  <w:pStyle w:val="TableColumnHeadingCentred"/>
                </w:pPr>
                <w:r w:rsidRPr="00027624">
                  <w:br w:type="page"/>
                  <w:t>Status</w:t>
                </w:r>
              </w:p>
            </w:tc>
            <w:tc>
              <w:tcPr>
                <w:tcW w:w="2500" w:type="pct"/>
                <w:shd w:val="clear" w:color="auto" w:fill="E5E5E5"/>
              </w:tcPr>
              <w:p w14:paraId="4B49AA29" w14:textId="77777777" w:rsidR="00D178A4" w:rsidRPr="00027624" w:rsidRDefault="00D178A4" w:rsidP="00D178A4">
                <w:pPr>
                  <w:pStyle w:val="TableColumnHeadingCentred"/>
                </w:pPr>
                <w:r w:rsidRPr="00027624">
                  <w:t>Maximum rate of Age Pension</w:t>
                </w:r>
              </w:p>
            </w:tc>
          </w:tr>
          <w:tr w:rsidR="00D178A4" w:rsidRPr="00027624" w14:paraId="2FC56D0B" w14:textId="77777777" w:rsidTr="00D178A4">
            <w:tc>
              <w:tcPr>
                <w:tcW w:w="2500" w:type="pct"/>
              </w:tcPr>
              <w:p w14:paraId="17FC1F65" w14:textId="77777777" w:rsidR="00D178A4" w:rsidRPr="00027624" w:rsidRDefault="00D178A4" w:rsidP="00D178A4">
                <w:pPr>
                  <w:pStyle w:val="TableTextLeft"/>
                </w:pPr>
                <w:r w:rsidRPr="00027624">
                  <w:t>Single, and illness</w:t>
                </w:r>
                <w:r w:rsidR="00A8443E" w:rsidRPr="00027624">
                  <w:noBreakHyphen/>
                </w:r>
                <w:r w:rsidRPr="00027624">
                  <w:t>separated couples</w:t>
                </w:r>
                <w:r w:rsidRPr="00027624" w:rsidDel="00D14FC0">
                  <w:t xml:space="preserve"> </w:t>
                </w:r>
              </w:p>
            </w:tc>
            <w:tc>
              <w:tcPr>
                <w:tcW w:w="2500" w:type="pct"/>
              </w:tcPr>
              <w:p w14:paraId="3E4D1FB0" w14:textId="77777777" w:rsidR="00D178A4" w:rsidRPr="00027624" w:rsidRDefault="00D178A4" w:rsidP="00D178A4">
                <w:pPr>
                  <w:pStyle w:val="TableTextLeft"/>
                  <w:jc w:val="center"/>
                </w:pPr>
                <w:r w:rsidRPr="00027624">
                  <w:t>$944.30 per fortnight ($24,551.80 a year)</w:t>
                </w:r>
              </w:p>
            </w:tc>
          </w:tr>
          <w:tr w:rsidR="00D178A4" w:rsidRPr="00027624" w14:paraId="05EF58E9" w14:textId="77777777" w:rsidTr="00D178A4">
            <w:tc>
              <w:tcPr>
                <w:tcW w:w="2500" w:type="pct"/>
              </w:tcPr>
              <w:p w14:paraId="43F50B20" w14:textId="77777777" w:rsidR="00D178A4" w:rsidRPr="00027624" w:rsidRDefault="00D178A4" w:rsidP="00D178A4">
                <w:pPr>
                  <w:pStyle w:val="TableTextLeft"/>
                </w:pPr>
                <w:r w:rsidRPr="00027624">
                  <w:t>Member of a couple (each)</w:t>
                </w:r>
              </w:p>
            </w:tc>
            <w:tc>
              <w:tcPr>
                <w:tcW w:w="2500" w:type="pct"/>
              </w:tcPr>
              <w:p w14:paraId="2AB89315" w14:textId="77777777" w:rsidR="00D178A4" w:rsidRPr="00027624" w:rsidRDefault="00D178A4" w:rsidP="00D178A4">
                <w:pPr>
                  <w:pStyle w:val="TableTextLeft"/>
                  <w:jc w:val="center"/>
                </w:pPr>
                <w:r w:rsidRPr="00027624">
                  <w:t>$711.80 per fortnight ($18,506.80 a year)</w:t>
                </w:r>
              </w:p>
            </w:tc>
          </w:tr>
        </w:tbl>
        <w:p w14:paraId="4A3292AC" w14:textId="77777777" w:rsidR="00D178A4" w:rsidRPr="00027624" w:rsidRDefault="00D178A4" w:rsidP="00D178A4">
          <w:pPr>
            <w:pStyle w:val="ChartorTableNote"/>
          </w:pPr>
          <w:r w:rsidRPr="00027624">
            <w:t>Note: These rates apply for age pensioners, Carer Payment recipients and adult Disability Support Pensioners. Rates are for non</w:t>
          </w:r>
          <w:r w:rsidR="00A8443E" w:rsidRPr="00027624">
            <w:noBreakHyphen/>
          </w:r>
          <w:r w:rsidRPr="00027624">
            <w:t>transitional Australian residents and include the Pension Supplement and Energy Supplement. Maximum rates do not include Commonwealth Rent Assistance. Source:</w:t>
          </w:r>
          <w:sdt>
            <w:sdtPr>
              <w:id w:val="1755311393"/>
              <w:citation/>
            </w:sdtPr>
            <w:sdtEndPr/>
            <w:sdtContent>
              <w:r w:rsidRPr="00027624">
                <w:fldChar w:fldCharType="begin"/>
              </w:r>
              <w:r w:rsidRPr="00027624">
                <w:instrText xml:space="preserve">CITATION Serv19 \l 3081 </w:instrText>
              </w:r>
              <w:r w:rsidRPr="00027624">
                <w:fldChar w:fldCharType="separate"/>
              </w:r>
              <w:r w:rsidR="00E83F6E">
                <w:rPr>
                  <w:noProof/>
                </w:rPr>
                <w:t xml:space="preserve"> (Services Australia, 2019)</w:t>
              </w:r>
              <w:r w:rsidRPr="00027624">
                <w:fldChar w:fldCharType="end"/>
              </w:r>
            </w:sdtContent>
          </w:sdt>
          <w:r w:rsidRPr="00027624">
            <w:t>.</w:t>
          </w:r>
        </w:p>
        <w:p w14:paraId="1131BAE3" w14:textId="77777777" w:rsidR="00D178A4" w:rsidRPr="00027624" w:rsidRDefault="00D178A4" w:rsidP="00D178A4">
          <w:pPr>
            <w:pStyle w:val="Heading4"/>
          </w:pPr>
          <w:bookmarkStart w:id="200" w:name="_Toc43284596"/>
          <w:r w:rsidRPr="00027624">
            <w:lastRenderedPageBreak/>
            <w:t>Indexation</w:t>
          </w:r>
          <w:bookmarkEnd w:id="200"/>
        </w:p>
        <w:p w14:paraId="3BDB473E" w14:textId="77777777" w:rsidR="00D178A4" w:rsidRPr="00027624" w:rsidRDefault="00D178A4" w:rsidP="00D178A4">
          <w:r w:rsidRPr="00027624">
            <w:t>Age Pension rates (and other adult pensions) are indexed every March and September.</w:t>
          </w:r>
        </w:p>
        <w:p w14:paraId="6648F8E0" w14:textId="77777777" w:rsidR="00D178A4" w:rsidRPr="00027624" w:rsidRDefault="00D178A4" w:rsidP="00D178A4">
          <w:r w:rsidRPr="00027624">
            <w:t>Base pension rates are indexed according to the higher of the six</w:t>
          </w:r>
          <w:r w:rsidR="00A8443E" w:rsidRPr="00027624">
            <w:noBreakHyphen/>
          </w:r>
          <w:r w:rsidRPr="00027624">
            <w:t xml:space="preserve">month growth in the consumer price index (CPI) or the pensioner and beneficiary living cost index. After price indexation, base pension rates are then compared to male total average weekly earnings and are increased if below a set benchmark. </w:t>
          </w:r>
        </w:p>
        <w:p w14:paraId="1880A409" w14:textId="77777777" w:rsidR="00D178A4" w:rsidRPr="00027624" w:rsidRDefault="00D178A4" w:rsidP="00D178A4">
          <w:r w:rsidRPr="00027624">
            <w:t xml:space="preserve">From September 1997, the single base rate of the Age Pension was benchmarked to 25 per cent of male total average weekly earnings </w:t>
          </w:r>
          <w:sdt>
            <w:sdtPr>
              <w:id w:val="1786688952"/>
              <w:citation/>
            </w:sdtPr>
            <w:sdtEndPr/>
            <w:sdtContent>
              <w:r w:rsidRPr="00027624">
                <w:fldChar w:fldCharType="begin"/>
              </w:r>
              <w:r w:rsidRPr="00027624">
                <w:instrText xml:space="preserve">CITATION Har09 \p 65 \l 3081 </w:instrText>
              </w:r>
              <w:r w:rsidRPr="00027624">
                <w:fldChar w:fldCharType="separate"/>
              </w:r>
              <w:r w:rsidR="00E83F6E">
                <w:rPr>
                  <w:noProof/>
                </w:rPr>
                <w:t>(Harmer, 2009, p. 65)</w:t>
              </w:r>
              <w:r w:rsidRPr="00027624">
                <w:fldChar w:fldCharType="end"/>
              </w:r>
            </w:sdtContent>
          </w:sdt>
          <w:r w:rsidRPr="00027624">
            <w:t xml:space="preserve">. From 20 March 2010, the male total average weekly earnings benchmark was revised, effectively benchmarking the single base rate of the Age Pension to 27.7 per cent of male total average weekly earnings </w:t>
          </w:r>
          <w:sdt>
            <w:sdtPr>
              <w:id w:val="1273597170"/>
              <w:citation/>
            </w:sdtPr>
            <w:sdtEndPr/>
            <w:sdtContent>
              <w:r w:rsidRPr="00027624">
                <w:fldChar w:fldCharType="begin"/>
              </w:r>
              <w:r w:rsidRPr="00027624">
                <w:instrText xml:space="preserve">CITATION Par09 \p 10 \l 3081 </w:instrText>
              </w:r>
              <w:r w:rsidRPr="00027624">
                <w:fldChar w:fldCharType="separate"/>
              </w:r>
              <w:r w:rsidR="00E83F6E">
                <w:rPr>
                  <w:noProof/>
                </w:rPr>
                <w:t>(Parliament of Australia, 2009, p. 10)</w:t>
              </w:r>
              <w:r w:rsidRPr="00027624">
                <w:fldChar w:fldCharType="end"/>
              </w:r>
            </w:sdtContent>
          </w:sdt>
          <w:r w:rsidRPr="00027624">
            <w:t>.</w:t>
          </w:r>
          <w:r w:rsidRPr="00027624">
            <w:rPr>
              <w:rStyle w:val="FootnoteReference"/>
            </w:rPr>
            <w:footnoteReference w:id="12"/>
          </w:r>
          <w:r w:rsidRPr="00027624">
            <w:t xml:space="preserve"> </w:t>
          </w:r>
        </w:p>
        <w:p w14:paraId="1A21AE03" w14:textId="77777777" w:rsidR="00D178A4" w:rsidRPr="00027624" w:rsidRDefault="00D178A4" w:rsidP="00D178A4">
          <w:r w:rsidRPr="00027624">
            <w:t xml:space="preserve">The Pension Supplement is indexed to CPI growth every March and September. The Energy Supplement is not indexed. </w:t>
          </w:r>
        </w:p>
        <w:p w14:paraId="191D5A2C" w14:textId="77777777" w:rsidR="00D178A4" w:rsidRPr="00027624" w:rsidRDefault="00D178A4" w:rsidP="00D178A4">
          <w:pPr>
            <w:pStyle w:val="Heading4"/>
            <w:spacing w:before="0"/>
          </w:pPr>
          <w:bookmarkStart w:id="201" w:name="_Toc43284597"/>
          <w:r w:rsidRPr="00027624">
            <w:t>Other components of the Age Pension</w:t>
          </w:r>
          <w:bookmarkEnd w:id="201"/>
        </w:p>
        <w:p w14:paraId="1618FC7D" w14:textId="77777777" w:rsidR="00D178A4" w:rsidRPr="00027624" w:rsidRDefault="00D178A4" w:rsidP="00D178A4">
          <w:r w:rsidRPr="00027624">
            <w:t>Age pensioners can also receive other supplementary payments, such as:</w:t>
          </w:r>
        </w:p>
        <w:p w14:paraId="579B0B38" w14:textId="77777777" w:rsidR="00D178A4" w:rsidRPr="00027624" w:rsidRDefault="00D178A4" w:rsidP="00D178A4">
          <w:pPr>
            <w:pStyle w:val="Bullet"/>
          </w:pPr>
          <w:r w:rsidRPr="00027624">
            <w:t>Commonwealth Rent Assistance</w:t>
          </w:r>
        </w:p>
        <w:p w14:paraId="720A4BF1" w14:textId="77777777" w:rsidR="00D178A4" w:rsidRPr="00027624" w:rsidRDefault="00D178A4" w:rsidP="00D178A4">
          <w:pPr>
            <w:pStyle w:val="Bullet"/>
          </w:pPr>
          <w:r w:rsidRPr="00027624">
            <w:t>Carer Allowance and Carer Supplement</w:t>
          </w:r>
        </w:p>
        <w:p w14:paraId="10104C46" w14:textId="77777777" w:rsidR="00D178A4" w:rsidRPr="00027624" w:rsidRDefault="00D178A4" w:rsidP="00D178A4">
          <w:pPr>
            <w:pStyle w:val="Bullet"/>
          </w:pPr>
          <w:r w:rsidRPr="00027624">
            <w:t xml:space="preserve">Mobility Allowance </w:t>
          </w:r>
        </w:p>
        <w:p w14:paraId="5C4AC64F" w14:textId="77777777" w:rsidR="00D178A4" w:rsidRPr="00027624" w:rsidRDefault="00D178A4" w:rsidP="00D178A4">
          <w:pPr>
            <w:pStyle w:val="Bullet"/>
          </w:pPr>
          <w:r w:rsidRPr="00027624">
            <w:t>Pensioner Education Supplement</w:t>
          </w:r>
        </w:p>
        <w:p w14:paraId="3BA6BD56" w14:textId="77777777" w:rsidR="00D178A4" w:rsidRPr="00027624" w:rsidRDefault="00D178A4" w:rsidP="00D178A4">
          <w:pPr>
            <w:pStyle w:val="Bullet"/>
          </w:pPr>
          <w:r w:rsidRPr="00027624">
            <w:t>Family Tax Benefit</w:t>
          </w:r>
          <w:r w:rsidR="00C47EBA" w:rsidRPr="00027624">
            <w:t xml:space="preserve"> (FTB)</w:t>
          </w:r>
          <w:r w:rsidRPr="00027624">
            <w:t>, if they have dependent children in their care</w:t>
          </w:r>
        </w:p>
        <w:p w14:paraId="06BA50A8" w14:textId="77777777" w:rsidR="00D178A4" w:rsidRPr="00027624" w:rsidRDefault="00D178A4" w:rsidP="00D178A4">
          <w:pPr>
            <w:pStyle w:val="Heading4"/>
            <w:spacing w:before="0"/>
          </w:pPr>
          <w:bookmarkStart w:id="202" w:name="_Toc43284598"/>
          <w:r w:rsidRPr="00027624">
            <w:t>Housing tenure and Commonwealth Rent Assistance</w:t>
          </w:r>
          <w:bookmarkEnd w:id="202"/>
        </w:p>
        <w:p w14:paraId="34B4EA4A" w14:textId="77777777" w:rsidR="00D178A4" w:rsidRPr="00027624" w:rsidRDefault="00D178A4" w:rsidP="00D178A4">
          <w:r w:rsidRPr="00027624">
            <w:t>The majority of Age Pension recipients are home owners. In June 2019, 73 per of age pensioners owned their own home, while 14 per cent received Commonwealth Rent Assistance for private rental costs.</w:t>
          </w:r>
          <w:r w:rsidRPr="00027624">
            <w:rPr>
              <w:vertAlign w:val="superscript"/>
            </w:rPr>
            <w:footnoteReference w:id="13"/>
          </w:r>
          <w:r w:rsidRPr="00027624">
            <w:t xml:space="preserve"> Five per cent lived in residential aged care and 4 per cent in public housing.</w:t>
          </w:r>
          <w:r w:rsidRPr="00027624">
            <w:rPr>
              <w:rStyle w:val="FootnoteReference"/>
            </w:rPr>
            <w:footnoteReference w:id="14"/>
          </w:r>
        </w:p>
        <w:p w14:paraId="1B8CE7A3" w14:textId="77777777" w:rsidR="00D178A4" w:rsidRPr="00027624" w:rsidRDefault="00D178A4" w:rsidP="00D178A4">
          <w:r w:rsidRPr="00027624">
            <w:t>Once a recipient</w:t>
          </w:r>
          <w:r w:rsidR="00A8443E" w:rsidRPr="00027624">
            <w:t>’</w:t>
          </w:r>
          <w:r w:rsidRPr="00027624">
            <w:t>s rent is above a threshold, Commonwealth Rent Assistance pays 75 per cent of their rent up to a cap. For a single person without dependent children, the threshold is currently $124.60 per fortnight. The maximum Commonwealth Rent Assistance payment is capped at $139.60 per fortnight for rents of $310.73 or more per fortnight. Different rates and thresholds apply to couples, those sharing accommodation or those with dependent children. The maximum payment amounts and rent thresholds are indexed by CPI in March and September each year.</w:t>
          </w:r>
        </w:p>
        <w:p w14:paraId="079F0806" w14:textId="77777777" w:rsidR="00D178A4" w:rsidRPr="00027624" w:rsidRDefault="00D178A4" w:rsidP="00D178A4">
          <w:r w:rsidRPr="00027624">
            <w:t>Over time, an increasing proportion of age pensioners have received the maximum rate of Commonwealth Rent Assistance. Single age pensioners receiving Commonwealth Rent Assistance in 2019 received, on average, 85 per cent of the maximum rate; couples received 90 per cent of the maximum. This compares with 70 per cent for singles and 79 per cent for couples in 2001.</w:t>
          </w:r>
          <w:r w:rsidRPr="00027624">
            <w:rPr>
              <w:rStyle w:val="FootnoteReference"/>
            </w:rPr>
            <w:footnoteReference w:id="15"/>
          </w:r>
        </w:p>
        <w:p w14:paraId="7B037D4E" w14:textId="77777777" w:rsidR="00D178A4" w:rsidRPr="00027624" w:rsidRDefault="00D178A4" w:rsidP="00D178A4">
          <w:r w:rsidRPr="00027624">
            <w:lastRenderedPageBreak/>
            <w:t>In June 2019, around 133,800 single women, 86,800 single men and 79,500 couples received Commonwealth Rent Assistance on top of their Age Pension.</w:t>
          </w:r>
          <w:r w:rsidRPr="00027624">
            <w:rPr>
              <w:rStyle w:val="FootnoteReference"/>
            </w:rPr>
            <w:footnoteReference w:id="16"/>
          </w:r>
          <w:r w:rsidRPr="00027624">
            <w:t xml:space="preserve"> </w:t>
          </w:r>
        </w:p>
        <w:p w14:paraId="4FEB2334" w14:textId="77777777" w:rsidR="00D178A4" w:rsidRPr="00027624" w:rsidRDefault="00D178A4" w:rsidP="00D178A4">
          <w:pPr>
            <w:pStyle w:val="Heading3"/>
          </w:pPr>
          <w:bookmarkStart w:id="203" w:name="_Toc43284599"/>
          <w:r w:rsidRPr="00027624">
            <w:t>Means testing</w:t>
          </w:r>
          <w:bookmarkEnd w:id="203"/>
        </w:p>
        <w:p w14:paraId="0AB26420" w14:textId="77777777" w:rsidR="00D178A4" w:rsidRPr="00027624" w:rsidRDefault="00D178A4" w:rsidP="00D178A4">
          <w:r w:rsidRPr="00027624">
            <w:t>Means testing is used to target payments to those in need. All income support payments, apart from pensions paid to people who are blind, are subject to means testing.</w:t>
          </w:r>
        </w:p>
        <w:p w14:paraId="78B7D81E" w14:textId="77777777" w:rsidR="00D178A4" w:rsidRPr="00027624" w:rsidRDefault="00D178A4" w:rsidP="00D178A4">
          <w:r w:rsidRPr="00027624">
            <w:t>The Age Pension has two means tests: an income test and an assets test. A person</w:t>
          </w:r>
          <w:r w:rsidR="00A8443E" w:rsidRPr="00027624">
            <w:t>’</w:t>
          </w:r>
          <w:r w:rsidRPr="00027624">
            <w:t>s entitlement to the Age Pension is assessed under both tests, with the lower result determining how much they receive.</w:t>
          </w:r>
        </w:p>
        <w:p w14:paraId="3FEAF574" w14:textId="77777777" w:rsidR="00D178A4" w:rsidRPr="00027624" w:rsidRDefault="00D178A4" w:rsidP="00D178A4">
          <w:r w:rsidRPr="00027624">
            <w:t>The income and assets tests assess means in different ways:</w:t>
          </w:r>
        </w:p>
        <w:p w14:paraId="33D7350A" w14:textId="77777777" w:rsidR="00D178A4" w:rsidRPr="00027624" w:rsidRDefault="00D178A4" w:rsidP="00D178A4">
          <w:pPr>
            <w:pStyle w:val="Bullet"/>
          </w:pPr>
          <w:r w:rsidRPr="00027624">
            <w:t xml:space="preserve">The </w:t>
          </w:r>
          <w:r w:rsidRPr="00027624">
            <w:rPr>
              <w:b/>
              <w:bCs/>
            </w:rPr>
            <w:t>income test</w:t>
          </w:r>
          <w:r w:rsidRPr="00027624">
            <w:t xml:space="preserve"> assesses the income a person has from employment, overseas pensions and other sources, including </w:t>
          </w:r>
          <w:r w:rsidR="00A8443E" w:rsidRPr="00027624">
            <w:t>‘</w:t>
          </w:r>
          <w:r w:rsidRPr="00027624">
            <w:t>deemed</w:t>
          </w:r>
          <w:r w:rsidR="00A8443E" w:rsidRPr="00027624">
            <w:t>’</w:t>
          </w:r>
          <w:r w:rsidRPr="00027624">
            <w:t xml:space="preserve"> returns on financial assets, such as superannuation and bank accounts. </w:t>
          </w:r>
        </w:p>
        <w:p w14:paraId="621A8890" w14:textId="77777777" w:rsidR="00D178A4" w:rsidRPr="00027624" w:rsidRDefault="00D178A4" w:rsidP="00D178A4">
          <w:pPr>
            <w:pStyle w:val="Bullet"/>
          </w:pPr>
          <w:r w:rsidRPr="00027624">
            <w:t xml:space="preserve">The </w:t>
          </w:r>
          <w:r w:rsidRPr="00027624">
            <w:rPr>
              <w:b/>
              <w:bCs/>
            </w:rPr>
            <w:t>assets test</w:t>
          </w:r>
          <w:r w:rsidRPr="00027624">
            <w:t xml:space="preserve"> assesses financial and non</w:t>
          </w:r>
          <w:r w:rsidR="00A8443E" w:rsidRPr="00027624">
            <w:noBreakHyphen/>
          </w:r>
          <w:r w:rsidRPr="00027624">
            <w:t>financial wealth. The assets test recognises that people with significant assets have the capacity to draw down on those assets to support themselves in retirement.</w:t>
          </w:r>
        </w:p>
        <w:p w14:paraId="2EF5E48A" w14:textId="77777777" w:rsidR="00D178A4" w:rsidRPr="00027624" w:rsidRDefault="00D178A4" w:rsidP="00D178A4">
          <w:r w:rsidRPr="00027624">
            <w:t>The income and assets tests have two elements:</w:t>
          </w:r>
        </w:p>
        <w:p w14:paraId="2A4D4F03" w14:textId="77777777" w:rsidR="00D178A4" w:rsidRPr="00027624" w:rsidRDefault="00D178A4" w:rsidP="00325A8D">
          <w:pPr>
            <w:numPr>
              <w:ilvl w:val="0"/>
              <w:numId w:val="14"/>
            </w:numPr>
          </w:pPr>
          <w:r w:rsidRPr="00027624">
            <w:rPr>
              <w:b/>
              <w:bCs/>
            </w:rPr>
            <w:t>A free area</w:t>
          </w:r>
          <w:r w:rsidRPr="00027624">
            <w:t xml:space="preserve">, which allows people to have certain levels of income or assets without affecting their Age Pension rate. </w:t>
          </w:r>
        </w:p>
        <w:p w14:paraId="72DCE780" w14:textId="4A0F9865" w:rsidR="00D178A4" w:rsidRPr="00027624" w:rsidRDefault="00D178A4" w:rsidP="00325A8D">
          <w:pPr>
            <w:numPr>
              <w:ilvl w:val="0"/>
              <w:numId w:val="14"/>
            </w:numPr>
          </w:pPr>
          <w:r w:rsidRPr="00027624">
            <w:rPr>
              <w:b/>
              <w:bCs/>
            </w:rPr>
            <w:t>A taper rate</w:t>
          </w:r>
          <w:r w:rsidRPr="00027624">
            <w:t xml:space="preserve">, which progressively reduces the Age Pension for people with higher levels of assessable means. </w:t>
          </w:r>
          <w:r w:rsidRPr="00027624">
            <w:fldChar w:fldCharType="begin"/>
          </w:r>
          <w:r w:rsidRPr="00027624">
            <w:instrText xml:space="preserve"> REF _Ref42598897 \r \h  \* MERGEFORMAT </w:instrText>
          </w:r>
          <w:r w:rsidRPr="00027624">
            <w:fldChar w:fldCharType="separate"/>
          </w:r>
          <w:r w:rsidR="00891058">
            <w:t>Box 1B-3</w:t>
          </w:r>
          <w:r w:rsidRPr="00027624">
            <w:fldChar w:fldCharType="end"/>
          </w:r>
          <w:r w:rsidRPr="00027624">
            <w:t xml:space="preserve"> details the operation of the means tests. </w:t>
          </w:r>
        </w:p>
        <w:p w14:paraId="1FAA094C" w14:textId="77777777" w:rsidR="00D178A4" w:rsidRPr="00027624" w:rsidRDefault="00D178A4" w:rsidP="00D178A4">
          <w:pPr>
            <w:pStyle w:val="Heading4"/>
            <w:spacing w:before="0"/>
          </w:pPr>
          <w:bookmarkStart w:id="204" w:name="_Toc43284600"/>
          <w:r w:rsidRPr="00027624">
            <w:t>Employment earnings</w:t>
          </w:r>
          <w:bookmarkEnd w:id="204"/>
        </w:p>
        <w:p w14:paraId="59335C62" w14:textId="77777777" w:rsidR="00D178A4" w:rsidRPr="00027624" w:rsidRDefault="00D178A4" w:rsidP="00D178A4">
          <w:pPr>
            <w:pStyle w:val="Bullet"/>
            <w:numPr>
              <w:ilvl w:val="0"/>
              <w:numId w:val="0"/>
            </w:numPr>
          </w:pPr>
          <w:r w:rsidRPr="00027624">
            <w:t>Few retirees on the Age Pension earn income from employment. The proportion of retirees with employment income has remained steady at around 4 per cent since 2012.</w:t>
          </w:r>
          <w:r w:rsidRPr="00027624">
            <w:rPr>
              <w:rStyle w:val="FootnoteReference"/>
            </w:rPr>
            <w:footnoteReference w:id="17"/>
          </w:r>
          <w:r w:rsidRPr="00027624">
            <w:t xml:space="preserve"> This contrasts with the proportion of the wider population of older Australians with earnings, which has been steadily increasing over the same period (see </w:t>
          </w:r>
          <w:r w:rsidRPr="00027624">
            <w:rPr>
              <w:i/>
            </w:rPr>
            <w:t>1D. The changing Australian landscape</w:t>
          </w:r>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D178A4" w:rsidRPr="00027624" w14:paraId="61D44AD0" w14:textId="77777777" w:rsidTr="00D178A4">
            <w:tc>
              <w:tcPr>
                <w:tcW w:w="5000" w:type="pct"/>
                <w:shd w:val="clear" w:color="auto" w:fill="FFF8EA"/>
              </w:tcPr>
              <w:p w14:paraId="226C0926" w14:textId="77777777" w:rsidR="00D178A4" w:rsidRPr="00027624" w:rsidRDefault="00D178A4" w:rsidP="00D178A4">
                <w:pPr>
                  <w:pStyle w:val="BoxHeading"/>
                </w:pPr>
                <w:bookmarkStart w:id="205" w:name="_Ref42598897"/>
                <w:r w:rsidRPr="00027624">
                  <w:t xml:space="preserve">Age Pension income and </w:t>
                </w:r>
                <w:r w:rsidR="00E627E2" w:rsidRPr="00027624">
                  <w:t>assets test</w:t>
                </w:r>
                <w:r w:rsidRPr="00027624">
                  <w:t>ing</w:t>
                </w:r>
                <w:bookmarkEnd w:id="205"/>
              </w:p>
              <w:p w14:paraId="25A7BFB6" w14:textId="77777777" w:rsidR="00D178A4" w:rsidRPr="00027624" w:rsidRDefault="00D178A4" w:rsidP="00D178A4">
                <w:pPr>
                  <w:pStyle w:val="Heading6"/>
                  <w:outlineLvl w:val="5"/>
                </w:pPr>
                <w:r w:rsidRPr="00027624">
                  <w:t>Income test</w:t>
                </w:r>
              </w:p>
              <w:p w14:paraId="2F7278D8" w14:textId="77777777" w:rsidR="00D178A4" w:rsidRPr="00027624" w:rsidRDefault="00D178A4" w:rsidP="00D178A4">
                <w:r w:rsidRPr="00027624">
                  <w:t xml:space="preserve">The Age Pension income test provides different free areas based on whether an age pensioner is single or partnered. </w:t>
                </w:r>
                <w:r w:rsidRPr="00027624">
                  <w:rPr>
                    <w:rFonts w:asciiTheme="minorHAnsi" w:hAnsiTheme="minorHAnsi" w:cstheme="minorHAnsi"/>
                  </w:rPr>
                  <w:t>For each dollar of income over the income test free area in a given fortnight, the single rate of Age Pension is reduced by 50 cents (the taper rate). For couples, their combined rate of Age Pension is reduced by 50 cents.</w:t>
                </w:r>
              </w:p>
              <w:p w14:paraId="5592B422" w14:textId="77777777" w:rsidR="00D178A4" w:rsidRPr="00027624" w:rsidRDefault="00D178A4" w:rsidP="00445DFF">
                <w:pPr>
                  <w:pStyle w:val="TableMainHeading"/>
                  <w:keepLines/>
                </w:pPr>
                <w:r w:rsidRPr="00027624">
                  <w:t>Income test free areas and cut</w:t>
                </w:r>
                <w:r w:rsidR="00A8443E" w:rsidRPr="00027624">
                  <w:noBreakHyphen/>
                </w:r>
                <w:r w:rsidRPr="00027624">
                  <w:t>offs, as at 1 May 2020</w:t>
                </w:r>
              </w:p>
              <w:tbl>
                <w:tblPr>
                  <w:tblW w:w="5000" w:type="pct"/>
                  <w:tblLook w:val="01E0" w:firstRow="1" w:lastRow="1" w:firstColumn="1" w:lastColumn="1" w:noHBand="0" w:noVBand="0"/>
                </w:tblPr>
                <w:tblGrid>
                  <w:gridCol w:w="2950"/>
                  <w:gridCol w:w="2952"/>
                  <w:gridCol w:w="2952"/>
                </w:tblGrid>
                <w:tr w:rsidR="00D178A4" w:rsidRPr="00027624" w14:paraId="2406F736" w14:textId="77777777" w:rsidTr="00D178A4">
                  <w:trPr>
                    <w:trHeight w:val="270"/>
                    <w:tblHeader/>
                  </w:trPr>
                  <w:tc>
                    <w:tcPr>
                      <w:tcW w:w="1666" w:type="pct"/>
                      <w:shd w:val="clear" w:color="auto" w:fill="E5E5E5"/>
                    </w:tcPr>
                    <w:p w14:paraId="781568FF" w14:textId="77777777" w:rsidR="00D178A4" w:rsidRPr="00027624" w:rsidRDefault="00D178A4" w:rsidP="007B222E">
                      <w:pPr>
                        <w:pStyle w:val="TableColumnHeadingCentred"/>
                        <w:keepLines/>
                        <w:framePr w:hSpace="180" w:wrap="around" w:vAnchor="text" w:hAnchor="text" w:y="1"/>
                        <w:suppressOverlap/>
                        <w:jc w:val="left"/>
                      </w:pPr>
                      <w:r w:rsidRPr="00027624">
                        <w:t>Status</w:t>
                      </w:r>
                    </w:p>
                  </w:tc>
                  <w:tc>
                    <w:tcPr>
                      <w:tcW w:w="1667" w:type="pct"/>
                      <w:shd w:val="clear" w:color="auto" w:fill="E5E5E5"/>
                    </w:tcPr>
                    <w:p w14:paraId="6869E702" w14:textId="77777777" w:rsidR="00D178A4" w:rsidRPr="00027624" w:rsidRDefault="00D178A4" w:rsidP="007B222E">
                      <w:pPr>
                        <w:pStyle w:val="TableColumnHeadingCentred"/>
                        <w:keepLines/>
                        <w:framePr w:hSpace="180" w:wrap="around" w:vAnchor="text" w:hAnchor="text" w:y="1"/>
                        <w:suppressOverlap/>
                      </w:pPr>
                      <w:r w:rsidRPr="00027624">
                        <w:t>Free area</w:t>
                      </w:r>
                    </w:p>
                    <w:p w14:paraId="41D038FA" w14:textId="77777777" w:rsidR="00D178A4" w:rsidRPr="00027624" w:rsidRDefault="00D178A4" w:rsidP="007B222E">
                      <w:pPr>
                        <w:pStyle w:val="TableColumnHeadingCentred"/>
                        <w:keepLines/>
                        <w:framePr w:hSpace="180" w:wrap="around" w:vAnchor="text" w:hAnchor="text" w:y="1"/>
                        <w:suppressOverlap/>
                      </w:pPr>
                      <w:r w:rsidRPr="00027624">
                        <w:t>($, per fortnight)</w:t>
                      </w:r>
                    </w:p>
                  </w:tc>
                  <w:tc>
                    <w:tcPr>
                      <w:tcW w:w="1667" w:type="pct"/>
                      <w:shd w:val="clear" w:color="auto" w:fill="E5E5E5"/>
                    </w:tcPr>
                    <w:p w14:paraId="6C26B552" w14:textId="77777777" w:rsidR="00D178A4" w:rsidRPr="00027624" w:rsidRDefault="00D178A4" w:rsidP="007B222E">
                      <w:pPr>
                        <w:pStyle w:val="TableColumnHeadingCentred"/>
                        <w:keepLines/>
                        <w:framePr w:hSpace="180" w:wrap="around" w:vAnchor="text" w:hAnchor="text" w:y="1"/>
                        <w:suppressOverlap/>
                      </w:pPr>
                      <w:r w:rsidRPr="00027624">
                        <w:t>Cut</w:t>
                      </w:r>
                      <w:r w:rsidR="00A8443E" w:rsidRPr="00027624">
                        <w:noBreakHyphen/>
                      </w:r>
                      <w:r w:rsidRPr="00027624">
                        <w:t>off</w:t>
                      </w:r>
                      <w:r w:rsidRPr="00027624">
                        <w:br/>
                        <w:t>($, per fortnight)</w:t>
                      </w:r>
                    </w:p>
                  </w:tc>
                </w:tr>
                <w:tr w:rsidR="00D178A4" w:rsidRPr="00027624" w14:paraId="3BAEB0DA" w14:textId="77777777" w:rsidTr="00D178A4">
                  <w:trPr>
                    <w:trHeight w:val="270"/>
                  </w:trPr>
                  <w:tc>
                    <w:tcPr>
                      <w:tcW w:w="1666" w:type="pct"/>
                    </w:tcPr>
                    <w:p w14:paraId="3A46A62A" w14:textId="77777777" w:rsidR="00D178A4" w:rsidRPr="00027624" w:rsidRDefault="00D178A4" w:rsidP="007B222E">
                      <w:pPr>
                        <w:pStyle w:val="TableTextLeft"/>
                        <w:keepLines/>
                        <w:framePr w:hSpace="180" w:wrap="around" w:vAnchor="text" w:hAnchor="text" w:y="1"/>
                        <w:suppressOverlap/>
                      </w:pPr>
                      <w:r w:rsidRPr="00027624">
                        <w:t>Single</w:t>
                      </w:r>
                    </w:p>
                  </w:tc>
                  <w:tc>
                    <w:tcPr>
                      <w:tcW w:w="1667" w:type="pct"/>
                    </w:tcPr>
                    <w:p w14:paraId="4361610A" w14:textId="77777777" w:rsidR="00D178A4" w:rsidRPr="00027624" w:rsidRDefault="00D178A4" w:rsidP="007B222E">
                      <w:pPr>
                        <w:pStyle w:val="TableTextCentered"/>
                        <w:keepLines/>
                        <w:framePr w:hSpace="180" w:wrap="around" w:vAnchor="text" w:hAnchor="text" w:y="1"/>
                        <w:suppressOverlap/>
                      </w:pPr>
                      <w:r w:rsidRPr="00027624">
                        <w:t>174</w:t>
                      </w:r>
                    </w:p>
                  </w:tc>
                  <w:tc>
                    <w:tcPr>
                      <w:tcW w:w="1667" w:type="pct"/>
                    </w:tcPr>
                    <w:p w14:paraId="09D496ED" w14:textId="77777777" w:rsidR="00D178A4" w:rsidRPr="00027624" w:rsidRDefault="00D178A4" w:rsidP="007B222E">
                      <w:pPr>
                        <w:pStyle w:val="TableTextCentered"/>
                        <w:keepLines/>
                        <w:framePr w:hSpace="180" w:wrap="around" w:vAnchor="text" w:hAnchor="text" w:y="1"/>
                        <w:suppressOverlap/>
                      </w:pPr>
                      <w:r w:rsidRPr="00027624">
                        <w:t>2,062.60</w:t>
                      </w:r>
                    </w:p>
                  </w:tc>
                </w:tr>
                <w:tr w:rsidR="00D178A4" w:rsidRPr="00027624" w14:paraId="474FB076" w14:textId="77777777" w:rsidTr="00D178A4">
                  <w:trPr>
                    <w:trHeight w:val="270"/>
                  </w:trPr>
                  <w:tc>
                    <w:tcPr>
                      <w:tcW w:w="1666" w:type="pct"/>
                    </w:tcPr>
                    <w:p w14:paraId="37C38239" w14:textId="77777777" w:rsidR="00D178A4" w:rsidRPr="00027624" w:rsidRDefault="00D178A4" w:rsidP="007B222E">
                      <w:pPr>
                        <w:pStyle w:val="TableTextLeft"/>
                        <w:keepLines/>
                        <w:framePr w:hSpace="180" w:wrap="around" w:vAnchor="text" w:hAnchor="text" w:y="1"/>
                        <w:suppressOverlap/>
                      </w:pPr>
                      <w:r w:rsidRPr="00027624">
                        <w:t>Couple, combined</w:t>
                      </w:r>
                    </w:p>
                  </w:tc>
                  <w:tc>
                    <w:tcPr>
                      <w:tcW w:w="1667" w:type="pct"/>
                    </w:tcPr>
                    <w:p w14:paraId="6267952E" w14:textId="77777777" w:rsidR="00D178A4" w:rsidRPr="00027624" w:rsidRDefault="00D178A4" w:rsidP="007B222E">
                      <w:pPr>
                        <w:pStyle w:val="TableTextCentered"/>
                        <w:keepLines/>
                        <w:framePr w:hSpace="180" w:wrap="around" w:vAnchor="text" w:hAnchor="text" w:y="1"/>
                        <w:suppressOverlap/>
                      </w:pPr>
                      <w:r w:rsidRPr="00027624">
                        <w:t>308</w:t>
                      </w:r>
                    </w:p>
                  </w:tc>
                  <w:tc>
                    <w:tcPr>
                      <w:tcW w:w="1667" w:type="pct"/>
                    </w:tcPr>
                    <w:p w14:paraId="3AD2E2B3" w14:textId="77777777" w:rsidR="00D178A4" w:rsidRPr="00027624" w:rsidRDefault="00D178A4" w:rsidP="007B222E">
                      <w:pPr>
                        <w:pStyle w:val="TableTextCentered"/>
                        <w:keepLines/>
                        <w:framePr w:hSpace="180" w:wrap="around" w:vAnchor="text" w:hAnchor="text" w:y="1"/>
                        <w:suppressOverlap/>
                      </w:pPr>
                      <w:r w:rsidRPr="00027624">
                        <w:t>3,155.20</w:t>
                      </w:r>
                    </w:p>
                  </w:tc>
                </w:tr>
              </w:tbl>
              <w:p w14:paraId="57318AFD" w14:textId="77777777" w:rsidR="00D178A4" w:rsidRPr="00027624" w:rsidRDefault="00D178A4" w:rsidP="00445DFF">
                <w:pPr>
                  <w:pStyle w:val="ChartorTableNote"/>
                  <w:keepLines/>
                  <w:spacing w:after="120"/>
                </w:pPr>
                <w:r w:rsidRPr="00027624">
                  <w:t xml:space="preserve">Note: </w:t>
                </w:r>
                <w:r w:rsidR="00A8443E" w:rsidRPr="00027624">
                  <w:t>‘</w:t>
                </w:r>
                <w:r w:rsidRPr="00027624">
                  <w:t>Cut</w:t>
                </w:r>
                <w:r w:rsidR="00A8443E" w:rsidRPr="00027624">
                  <w:noBreakHyphen/>
                </w:r>
                <w:r w:rsidRPr="00027624">
                  <w:t>off</w:t>
                </w:r>
                <w:r w:rsidR="00A8443E" w:rsidRPr="00027624">
                  <w:t>’</w:t>
                </w:r>
                <w:r w:rsidRPr="00027624">
                  <w:t xml:space="preserve"> refers to the point at which the Age Pension is no longer payable. Cut</w:t>
                </w:r>
                <w:r w:rsidR="00A8443E" w:rsidRPr="00027624">
                  <w:noBreakHyphen/>
                </w:r>
                <w:r w:rsidRPr="00027624">
                  <w:t>offs may be higher if the age pensioner receives Commonwealth Rent Assistance. The deeming rules and the Work Bonus (see below) mean that some pensioners have private income above the cut</w:t>
                </w:r>
                <w:r w:rsidR="00A8443E" w:rsidRPr="00027624">
                  <w:noBreakHyphen/>
                </w:r>
                <w:r w:rsidRPr="00027624">
                  <w:t xml:space="preserve">off. Source: </w:t>
                </w:r>
                <w:sdt>
                  <w:sdtPr>
                    <w:id w:val="-1736080505"/>
                    <w:citation/>
                  </w:sdtPr>
                  <w:sdtEndPr/>
                  <w:sdtContent>
                    <w:r w:rsidRPr="00027624">
                      <w:fldChar w:fldCharType="begin"/>
                    </w:r>
                    <w:r w:rsidRPr="00027624">
                      <w:instrText xml:space="preserve"> CITATION Serv19 \l 3081 </w:instrText>
                    </w:r>
                    <w:r w:rsidRPr="00027624">
                      <w:fldChar w:fldCharType="separate"/>
                    </w:r>
                    <w:r w:rsidR="00E83F6E">
                      <w:rPr>
                        <w:noProof/>
                      </w:rPr>
                      <w:t>(Services Australia, 2019)</w:t>
                    </w:r>
                    <w:r w:rsidRPr="00027624">
                      <w:fldChar w:fldCharType="end"/>
                    </w:r>
                  </w:sdtContent>
                </w:sdt>
                <w:r w:rsidRPr="00027624">
                  <w:t>.</w:t>
                </w:r>
              </w:p>
              <w:p w14:paraId="22ADE9DF" w14:textId="77777777" w:rsidR="00D178A4" w:rsidRPr="00027624" w:rsidRDefault="00D178A4" w:rsidP="00D178A4">
                <w:r w:rsidRPr="00027624">
                  <w:lastRenderedPageBreak/>
                  <w:t>Age pensioners may also access the Work Bonus. Under the Work Bonus, the first $300 of work income per fortnight is not counted in the Age Pension income test. Any unused amounts of the $300 fortnightly exemption can be built up to a total of $7,800, which can be used to exempt future earnings from the Age Pension income test.</w:t>
                </w:r>
              </w:p>
              <w:p w14:paraId="04F1E150" w14:textId="77777777" w:rsidR="00D178A4" w:rsidRPr="00027624" w:rsidRDefault="00D178A4" w:rsidP="00D178A4">
                <w:pPr>
                  <w:pStyle w:val="Heading6"/>
                  <w:outlineLvl w:val="5"/>
                </w:pPr>
                <w:r w:rsidRPr="00027624">
                  <w:t xml:space="preserve">Deeming </w:t>
                </w:r>
              </w:p>
              <w:p w14:paraId="4E5D709C" w14:textId="77777777" w:rsidR="00D178A4" w:rsidRPr="00027624" w:rsidRDefault="00D178A4" w:rsidP="00445DFF">
                <w:pPr>
                  <w:pStyle w:val="BoxText"/>
                  <w:rPr>
                    <w:lang w:val="en-US"/>
                  </w:rPr>
                </w:pPr>
                <w:r w:rsidRPr="00027624">
                  <w:t>Deeming is a set of rules used to assess income from financial investments for social security purposes. Deeming assumes financial investments earn a certain rate of income, regardless of the amount actually earned.</w:t>
                </w:r>
                <w:r w:rsidRPr="00027624">
                  <w:rPr>
                    <w:rStyle w:val="FootnoteReference"/>
                    <w:rFonts w:cstheme="minorBidi"/>
                  </w:rPr>
                  <w:footnoteReference w:id="18"/>
                </w:r>
                <w:r w:rsidRPr="00027624">
                  <w:t xml:space="preserve"> The Government periodically adjusts deeming rates to reflect the returns available from financial investments.</w:t>
                </w:r>
              </w:p>
              <w:p w14:paraId="71B5F380" w14:textId="77777777" w:rsidR="00D178A4" w:rsidRPr="00027624" w:rsidRDefault="00D178A4" w:rsidP="00445DFF">
                <w:pPr>
                  <w:pStyle w:val="BoxText"/>
                </w:pPr>
                <w:r w:rsidRPr="00027624">
                  <w:t xml:space="preserve">Before the deeming rules, many income support recipients maximised their income support payment, instead of their total disposable income, by investing in low interest accounts </w:t>
                </w:r>
                <w:sdt>
                  <w:sdtPr>
                    <w:rPr>
                      <w:rFonts w:cstheme="minorHAnsi"/>
                    </w:rPr>
                    <w:id w:val="632835196"/>
                    <w:citation/>
                  </w:sdtPr>
                  <w:sdtEndPr/>
                  <w:sdtContent>
                    <w:r w:rsidRPr="00027624">
                      <w:rPr>
                        <w:rFonts w:cstheme="minorHAnsi"/>
                      </w:rPr>
                      <w:fldChar w:fldCharType="begin"/>
                    </w:r>
                    <w:r w:rsidRPr="00027624">
                      <w:rPr>
                        <w:rFonts w:cstheme="minorHAnsi"/>
                      </w:rPr>
                      <w:instrText xml:space="preserve">CITATION Har09 \p 137 \l 3081 </w:instrText>
                    </w:r>
                    <w:r w:rsidRPr="00027624">
                      <w:rPr>
                        <w:rFonts w:cstheme="minorHAnsi"/>
                      </w:rPr>
                      <w:fldChar w:fldCharType="separate"/>
                    </w:r>
                    <w:r w:rsidR="00E83F6E" w:rsidRPr="00E83F6E">
                      <w:rPr>
                        <w:rFonts w:cstheme="minorHAnsi"/>
                        <w:noProof/>
                      </w:rPr>
                      <w:t>(Harmer, 2009, p. 137)</w:t>
                    </w:r>
                    <w:r w:rsidRPr="00027624">
                      <w:rPr>
                        <w:rFonts w:cstheme="minorHAnsi"/>
                      </w:rPr>
                      <w:fldChar w:fldCharType="end"/>
                    </w:r>
                  </w:sdtContent>
                </w:sdt>
                <w:r w:rsidRPr="00027624">
                  <w:t>. Deeming was introduced in 1991 to encourage income support recipients to choose investments based on their merit. The aim was to encourage people to seek better returns to maximise their overall income before turning to the community for support. Deeming also increases the predictability in income support payments by reducing payments fluctuations.</w:t>
                </w:r>
              </w:p>
              <w:p w14:paraId="6C4B65BD" w14:textId="77777777" w:rsidR="00D178A4" w:rsidRPr="00027624" w:rsidRDefault="00D178A4" w:rsidP="00D178A4">
                <w:pPr>
                  <w:pStyle w:val="Heading6"/>
                  <w:outlineLvl w:val="5"/>
                </w:pPr>
                <w:r w:rsidRPr="00027624">
                  <w:t>Assets test</w:t>
                </w:r>
              </w:p>
              <w:p w14:paraId="238B07C3" w14:textId="77777777" w:rsidR="00D178A4" w:rsidRPr="00027624" w:rsidRDefault="00D178A4" w:rsidP="00D178A4">
                <w:r w:rsidRPr="00027624">
                  <w:t>The Age Pension assets test provides different free areas based on whether an age pensioner is single or partnered and their home ownership status. The value of a person</w:t>
                </w:r>
                <w:r w:rsidR="00A8443E" w:rsidRPr="00027624">
                  <w:t>’</w:t>
                </w:r>
                <w:r w:rsidRPr="00027624">
                  <w:t>s assets above the assets test free area reduces their Age Pension by $3 per fortnight for each additional $1,000 in assets.</w:t>
                </w:r>
              </w:p>
              <w:p w14:paraId="27B5804F" w14:textId="77777777" w:rsidR="00D178A4" w:rsidRPr="00027624" w:rsidRDefault="00D178A4" w:rsidP="00D178A4">
                <w:pPr>
                  <w:pStyle w:val="TableMainHeading"/>
                </w:pPr>
                <w:r w:rsidRPr="00027624">
                  <w:t>Assets test free areas and cut</w:t>
                </w:r>
                <w:r w:rsidR="00A8443E" w:rsidRPr="00027624">
                  <w:noBreakHyphen/>
                </w:r>
                <w:r w:rsidRPr="00027624">
                  <w:t>offs, as at 1 May 2020</w:t>
                </w:r>
              </w:p>
              <w:tbl>
                <w:tblPr>
                  <w:tblW w:w="5000" w:type="pct"/>
                  <w:tblLook w:val="01E0" w:firstRow="1" w:lastRow="1" w:firstColumn="1" w:lastColumn="1" w:noHBand="0" w:noVBand="0"/>
                </w:tblPr>
                <w:tblGrid>
                  <w:gridCol w:w="2950"/>
                  <w:gridCol w:w="2952"/>
                  <w:gridCol w:w="2952"/>
                </w:tblGrid>
                <w:tr w:rsidR="00D178A4" w:rsidRPr="00027624" w14:paraId="548422FA" w14:textId="77777777" w:rsidTr="00D178A4">
                  <w:trPr>
                    <w:trHeight w:val="270"/>
                    <w:tblHeader/>
                  </w:trPr>
                  <w:tc>
                    <w:tcPr>
                      <w:tcW w:w="1666" w:type="pct"/>
                      <w:shd w:val="clear" w:color="auto" w:fill="E5E5E5"/>
                    </w:tcPr>
                    <w:p w14:paraId="79082093" w14:textId="77777777" w:rsidR="00D178A4" w:rsidRPr="00027624" w:rsidRDefault="00D178A4" w:rsidP="007B222E">
                      <w:pPr>
                        <w:pStyle w:val="TableColumnHeadingCentred"/>
                        <w:framePr w:hSpace="180" w:wrap="around" w:vAnchor="text" w:hAnchor="text" w:y="1"/>
                        <w:suppressOverlap/>
                      </w:pPr>
                      <w:r w:rsidRPr="00027624">
                        <w:t>Status</w:t>
                      </w:r>
                    </w:p>
                  </w:tc>
                  <w:tc>
                    <w:tcPr>
                      <w:tcW w:w="1667" w:type="pct"/>
                      <w:shd w:val="clear" w:color="auto" w:fill="E5E5E5"/>
                    </w:tcPr>
                    <w:p w14:paraId="47D6AB5A" w14:textId="77777777" w:rsidR="00D178A4" w:rsidRPr="00027624" w:rsidRDefault="00D178A4" w:rsidP="007B222E">
                      <w:pPr>
                        <w:pStyle w:val="TableColumnHeadingCentred"/>
                        <w:framePr w:hSpace="180" w:wrap="around" w:vAnchor="text" w:hAnchor="text" w:y="1"/>
                        <w:suppressOverlap/>
                      </w:pPr>
                      <w:r w:rsidRPr="00027624">
                        <w:t>Free area</w:t>
                      </w:r>
                      <w:r w:rsidRPr="00027624">
                        <w:br/>
                        <w:t>($)</w:t>
                      </w:r>
                    </w:p>
                  </w:tc>
                  <w:tc>
                    <w:tcPr>
                      <w:tcW w:w="1667" w:type="pct"/>
                      <w:shd w:val="clear" w:color="auto" w:fill="E5E5E5"/>
                    </w:tcPr>
                    <w:p w14:paraId="11787098" w14:textId="77777777" w:rsidR="00D178A4" w:rsidRPr="00027624" w:rsidRDefault="00D178A4" w:rsidP="007B222E">
                      <w:pPr>
                        <w:pStyle w:val="TableColumnHeadingCentred"/>
                        <w:framePr w:hSpace="180" w:wrap="around" w:vAnchor="text" w:hAnchor="text" w:y="1"/>
                        <w:suppressOverlap/>
                      </w:pPr>
                      <w:r w:rsidRPr="00027624">
                        <w:t>Cut</w:t>
                      </w:r>
                      <w:r w:rsidR="00A8443E" w:rsidRPr="00027624">
                        <w:noBreakHyphen/>
                      </w:r>
                      <w:r w:rsidRPr="00027624">
                        <w:t>off</w:t>
                      </w:r>
                      <w:r w:rsidRPr="00027624">
                        <w:br/>
                        <w:t>($)</w:t>
                      </w:r>
                    </w:p>
                  </w:tc>
                </w:tr>
                <w:tr w:rsidR="00D178A4" w:rsidRPr="00027624" w14:paraId="01F7E0C2" w14:textId="77777777" w:rsidTr="00D178A4">
                  <w:trPr>
                    <w:trHeight w:val="270"/>
                  </w:trPr>
                  <w:tc>
                    <w:tcPr>
                      <w:tcW w:w="1666" w:type="pct"/>
                    </w:tcPr>
                    <w:p w14:paraId="6C3EADA7" w14:textId="77777777" w:rsidR="00D178A4" w:rsidRPr="00027624" w:rsidRDefault="00D178A4" w:rsidP="007B222E">
                      <w:pPr>
                        <w:pStyle w:val="TableTextLeft"/>
                        <w:framePr w:hSpace="180" w:wrap="around" w:vAnchor="text" w:hAnchor="text" w:y="1"/>
                        <w:suppressOverlap/>
                      </w:pPr>
                      <w:r w:rsidRPr="00027624">
                        <w:t>Single home owner</w:t>
                      </w:r>
                    </w:p>
                  </w:tc>
                  <w:tc>
                    <w:tcPr>
                      <w:tcW w:w="1667" w:type="pct"/>
                    </w:tcPr>
                    <w:p w14:paraId="3B98E1E5" w14:textId="77777777" w:rsidR="00D178A4" w:rsidRPr="00027624" w:rsidRDefault="00D178A4" w:rsidP="007B222E">
                      <w:pPr>
                        <w:pStyle w:val="TableTextCentered"/>
                        <w:framePr w:hSpace="180" w:wrap="around" w:vAnchor="text" w:hAnchor="text" w:y="1"/>
                        <w:suppressOverlap/>
                      </w:pPr>
                      <w:r w:rsidRPr="00027624">
                        <w:t>263,250</w:t>
                      </w:r>
                    </w:p>
                  </w:tc>
                  <w:tc>
                    <w:tcPr>
                      <w:tcW w:w="1667" w:type="pct"/>
                    </w:tcPr>
                    <w:p w14:paraId="731EDC57" w14:textId="77777777" w:rsidR="00D178A4" w:rsidRPr="00027624" w:rsidRDefault="00D178A4" w:rsidP="007B222E">
                      <w:pPr>
                        <w:pStyle w:val="TableTextCentered"/>
                        <w:framePr w:hSpace="180" w:wrap="around" w:vAnchor="text" w:hAnchor="text" w:y="1"/>
                        <w:suppressOverlap/>
                      </w:pPr>
                      <w:r w:rsidRPr="00027624">
                        <w:t>578,250</w:t>
                      </w:r>
                    </w:p>
                  </w:tc>
                </w:tr>
                <w:tr w:rsidR="00D178A4" w:rsidRPr="00027624" w14:paraId="4C88F7B5" w14:textId="77777777" w:rsidTr="00D178A4">
                  <w:trPr>
                    <w:trHeight w:val="270"/>
                  </w:trPr>
                  <w:tc>
                    <w:tcPr>
                      <w:tcW w:w="1666" w:type="pct"/>
                    </w:tcPr>
                    <w:p w14:paraId="1D761C5D" w14:textId="77777777" w:rsidR="00D178A4" w:rsidRPr="00027624" w:rsidRDefault="00D178A4" w:rsidP="007B222E">
                      <w:pPr>
                        <w:pStyle w:val="TableTextLeft"/>
                        <w:framePr w:hSpace="180" w:wrap="around" w:vAnchor="text" w:hAnchor="text" w:y="1"/>
                        <w:suppressOverlap/>
                      </w:pPr>
                      <w:r w:rsidRPr="00027624">
                        <w:t>Single non</w:t>
                      </w:r>
                      <w:r w:rsidR="00A8443E" w:rsidRPr="00027624">
                        <w:noBreakHyphen/>
                      </w:r>
                      <w:r w:rsidRPr="00027624">
                        <w:t>home owner</w:t>
                      </w:r>
                    </w:p>
                  </w:tc>
                  <w:tc>
                    <w:tcPr>
                      <w:tcW w:w="1667" w:type="pct"/>
                    </w:tcPr>
                    <w:p w14:paraId="572AE3DE" w14:textId="77777777" w:rsidR="00D178A4" w:rsidRPr="00027624" w:rsidRDefault="00D178A4" w:rsidP="007B222E">
                      <w:pPr>
                        <w:pStyle w:val="TableTextCentered"/>
                        <w:framePr w:hSpace="180" w:wrap="around" w:vAnchor="text" w:hAnchor="text" w:y="1"/>
                        <w:suppressOverlap/>
                      </w:pPr>
                      <w:r w:rsidRPr="00027624">
                        <w:t>473,750</w:t>
                      </w:r>
                    </w:p>
                  </w:tc>
                  <w:tc>
                    <w:tcPr>
                      <w:tcW w:w="1667" w:type="pct"/>
                    </w:tcPr>
                    <w:p w14:paraId="2374A274" w14:textId="77777777" w:rsidR="00D178A4" w:rsidRPr="00027624" w:rsidRDefault="00D178A4" w:rsidP="007B222E">
                      <w:pPr>
                        <w:pStyle w:val="TableTextCentered"/>
                        <w:framePr w:hSpace="180" w:wrap="around" w:vAnchor="text" w:hAnchor="text" w:y="1"/>
                        <w:suppressOverlap/>
                      </w:pPr>
                      <w:r w:rsidRPr="00027624">
                        <w:t>869,500</w:t>
                      </w:r>
                    </w:p>
                  </w:tc>
                </w:tr>
                <w:tr w:rsidR="00D178A4" w:rsidRPr="00027624" w14:paraId="13235C8B" w14:textId="77777777" w:rsidTr="00D178A4">
                  <w:trPr>
                    <w:trHeight w:val="270"/>
                  </w:trPr>
                  <w:tc>
                    <w:tcPr>
                      <w:tcW w:w="1666" w:type="pct"/>
                    </w:tcPr>
                    <w:p w14:paraId="3D93C41B" w14:textId="77777777" w:rsidR="00D178A4" w:rsidRPr="00027624" w:rsidRDefault="00D178A4" w:rsidP="007B222E">
                      <w:pPr>
                        <w:pStyle w:val="TableTextLeft"/>
                        <w:framePr w:hSpace="180" w:wrap="around" w:vAnchor="text" w:hAnchor="text" w:y="1"/>
                        <w:suppressOverlap/>
                      </w:pPr>
                      <w:r w:rsidRPr="00027624">
                        <w:t>Couple home owners, combined</w:t>
                      </w:r>
                    </w:p>
                  </w:tc>
                  <w:tc>
                    <w:tcPr>
                      <w:tcW w:w="1667" w:type="pct"/>
                    </w:tcPr>
                    <w:p w14:paraId="68D7021E" w14:textId="77777777" w:rsidR="00D178A4" w:rsidRPr="00027624" w:rsidRDefault="00D178A4" w:rsidP="007B222E">
                      <w:pPr>
                        <w:pStyle w:val="TableTextCentered"/>
                        <w:framePr w:hSpace="180" w:wrap="around" w:vAnchor="text" w:hAnchor="text" w:y="1"/>
                        <w:suppressOverlap/>
                      </w:pPr>
                      <w:r w:rsidRPr="00027624">
                        <w:t>394,500</w:t>
                      </w:r>
                    </w:p>
                  </w:tc>
                  <w:tc>
                    <w:tcPr>
                      <w:tcW w:w="1667" w:type="pct"/>
                    </w:tcPr>
                    <w:p w14:paraId="1B792F96" w14:textId="77777777" w:rsidR="00D178A4" w:rsidRPr="00027624" w:rsidRDefault="00D178A4" w:rsidP="007B222E">
                      <w:pPr>
                        <w:pStyle w:val="TableTextCentered"/>
                        <w:framePr w:hSpace="180" w:wrap="around" w:vAnchor="text" w:hAnchor="text" w:y="1"/>
                        <w:suppressOverlap/>
                      </w:pPr>
                      <w:r w:rsidRPr="00027624">
                        <w:t>788,750</w:t>
                      </w:r>
                    </w:p>
                  </w:tc>
                </w:tr>
                <w:tr w:rsidR="00D178A4" w:rsidRPr="00027624" w14:paraId="5175B8F5" w14:textId="77777777" w:rsidTr="00D178A4">
                  <w:trPr>
                    <w:trHeight w:val="270"/>
                  </w:trPr>
                  <w:tc>
                    <w:tcPr>
                      <w:tcW w:w="1666" w:type="pct"/>
                    </w:tcPr>
                    <w:p w14:paraId="4EA20C2C" w14:textId="77777777" w:rsidR="00D178A4" w:rsidRPr="00027624" w:rsidRDefault="00D178A4" w:rsidP="007B222E">
                      <w:pPr>
                        <w:pStyle w:val="TableTextLeft"/>
                        <w:framePr w:hSpace="180" w:wrap="around" w:vAnchor="text" w:hAnchor="text" w:y="1"/>
                        <w:suppressOverlap/>
                      </w:pPr>
                      <w:r w:rsidRPr="00027624">
                        <w:t>Couple non</w:t>
                      </w:r>
                      <w:r w:rsidR="00A8443E" w:rsidRPr="00027624">
                        <w:noBreakHyphen/>
                      </w:r>
                      <w:r w:rsidRPr="00027624">
                        <w:t>home owners, combined</w:t>
                      </w:r>
                    </w:p>
                  </w:tc>
                  <w:tc>
                    <w:tcPr>
                      <w:tcW w:w="1667" w:type="pct"/>
                    </w:tcPr>
                    <w:p w14:paraId="39B9DF5B" w14:textId="77777777" w:rsidR="00D178A4" w:rsidRPr="00027624" w:rsidRDefault="00D178A4" w:rsidP="007B222E">
                      <w:pPr>
                        <w:pStyle w:val="TableTextCentered"/>
                        <w:framePr w:hSpace="180" w:wrap="around" w:vAnchor="text" w:hAnchor="text" w:y="1"/>
                        <w:suppressOverlap/>
                      </w:pPr>
                      <w:r w:rsidRPr="00027624">
                        <w:t>605,000</w:t>
                      </w:r>
                    </w:p>
                  </w:tc>
                  <w:tc>
                    <w:tcPr>
                      <w:tcW w:w="1667" w:type="pct"/>
                    </w:tcPr>
                    <w:p w14:paraId="2ABA8B10" w14:textId="77777777" w:rsidR="00D178A4" w:rsidRPr="00027624" w:rsidRDefault="00D178A4" w:rsidP="007B222E">
                      <w:pPr>
                        <w:pStyle w:val="TableTextCentered"/>
                        <w:framePr w:hSpace="180" w:wrap="around" w:vAnchor="text" w:hAnchor="text" w:y="1"/>
                        <w:suppressOverlap/>
                      </w:pPr>
                      <w:r w:rsidRPr="00027624">
                        <w:t>1,080,000</w:t>
                      </w:r>
                    </w:p>
                  </w:tc>
                </w:tr>
              </w:tbl>
              <w:p w14:paraId="2C45682C" w14:textId="77777777" w:rsidR="00D178A4" w:rsidRPr="00027624" w:rsidRDefault="00D178A4" w:rsidP="00D178A4">
                <w:pPr>
                  <w:pStyle w:val="ChartorTableNote"/>
                </w:pPr>
                <w:r w:rsidRPr="00027624">
                  <w:t xml:space="preserve">Note: </w:t>
                </w:r>
                <w:r w:rsidR="00A8443E" w:rsidRPr="00027624">
                  <w:t>‘</w:t>
                </w:r>
                <w:r w:rsidRPr="00027624">
                  <w:t>Cut</w:t>
                </w:r>
                <w:r w:rsidR="00A8443E" w:rsidRPr="00027624">
                  <w:noBreakHyphen/>
                </w:r>
                <w:r w:rsidRPr="00027624">
                  <w:t>off</w:t>
                </w:r>
                <w:r w:rsidR="00A8443E" w:rsidRPr="00027624">
                  <w:t>’</w:t>
                </w:r>
                <w:r w:rsidRPr="00027624">
                  <w:t xml:space="preserve"> refers to the point at which the Age Pension is no longer payable. Cut</w:t>
                </w:r>
                <w:r w:rsidR="00A8443E" w:rsidRPr="00027624">
                  <w:noBreakHyphen/>
                </w:r>
                <w:r w:rsidRPr="00027624">
                  <w:t xml:space="preserve">offs may be higher if the age pensioner receives Commonwealth Rent Assistance. Source: </w:t>
                </w:r>
                <w:sdt>
                  <w:sdtPr>
                    <w:id w:val="715010706"/>
                    <w:citation/>
                  </w:sdtPr>
                  <w:sdtEndPr/>
                  <w:sdtContent>
                    <w:r w:rsidRPr="00027624">
                      <w:fldChar w:fldCharType="begin"/>
                    </w:r>
                    <w:r w:rsidRPr="00027624">
                      <w:instrText xml:space="preserve"> CITATION Serv19 \l 3081 </w:instrText>
                    </w:r>
                    <w:r w:rsidRPr="00027624">
                      <w:fldChar w:fldCharType="separate"/>
                    </w:r>
                    <w:r w:rsidR="00E83F6E">
                      <w:rPr>
                        <w:noProof/>
                      </w:rPr>
                      <w:t>(Services Australia, 2019)</w:t>
                    </w:r>
                    <w:r w:rsidRPr="00027624">
                      <w:fldChar w:fldCharType="end"/>
                    </w:r>
                  </w:sdtContent>
                </w:sdt>
                <w:r w:rsidRPr="00027624">
                  <w:t>.</w:t>
                </w:r>
              </w:p>
              <w:p w14:paraId="7DBA194D" w14:textId="77777777" w:rsidR="00D178A4" w:rsidRPr="00027624" w:rsidRDefault="00D178A4" w:rsidP="00D178A4">
                <w:r w:rsidRPr="00027624">
                  <w:t>Most people with assets above these thresholds are assets tested as a result of deeming, unless they have significant income from other sources.</w:t>
                </w:r>
              </w:p>
              <w:p w14:paraId="67699D73" w14:textId="77777777" w:rsidR="00D178A4" w:rsidRPr="00027624" w:rsidRDefault="00D178A4" w:rsidP="00D178A4">
                <w:r w:rsidRPr="00027624">
                  <w:t>The principal home and some adjacent land have been exempt from the assets test since it was introduced in 1985.</w:t>
                </w:r>
              </w:p>
              <w:p w14:paraId="59CA35FE" w14:textId="77777777" w:rsidR="00D178A4" w:rsidRPr="00027624" w:rsidRDefault="00D178A4" w:rsidP="00D178A4">
                <w:pPr>
                  <w:pStyle w:val="Heading6"/>
                  <w:outlineLvl w:val="5"/>
                </w:pPr>
                <w:r w:rsidRPr="00027624">
                  <w:t>Indexation</w:t>
                </w:r>
              </w:p>
              <w:p w14:paraId="3D863CB9" w14:textId="77777777" w:rsidR="00D178A4" w:rsidRPr="00027624" w:rsidRDefault="00D178A4" w:rsidP="00D178A4">
                <w:pPr>
                  <w:pStyle w:val="Heading6"/>
                  <w:outlineLvl w:val="5"/>
                  <w:rPr>
                    <w:rFonts w:cs="Times New Roman"/>
                    <w:b w:val="0"/>
                    <w:color w:val="auto"/>
                    <w:kern w:val="0"/>
                    <w:sz w:val="20"/>
                    <w:szCs w:val="20"/>
                  </w:rPr>
                </w:pPr>
                <w:r w:rsidRPr="00027624">
                  <w:rPr>
                    <w:rFonts w:cs="Times New Roman"/>
                    <w:b w:val="0"/>
                    <w:color w:val="auto"/>
                    <w:kern w:val="0"/>
                    <w:sz w:val="20"/>
                    <w:szCs w:val="20"/>
                  </w:rPr>
                  <w:t>The income and assets test free areas are indexed to the CPI every 1 July.</w:t>
                </w:r>
              </w:p>
            </w:tc>
          </w:tr>
        </w:tbl>
        <w:p w14:paraId="284703F3" w14:textId="77777777" w:rsidR="00D178A4" w:rsidRPr="00027624" w:rsidRDefault="00D178A4" w:rsidP="00D178A4">
          <w:pPr>
            <w:pStyle w:val="Heading3"/>
          </w:pPr>
          <w:bookmarkStart w:id="206" w:name="_Toc43284601"/>
          <w:r w:rsidRPr="00027624">
            <w:lastRenderedPageBreak/>
            <w:t>Taxation of the Age Pension</w:t>
          </w:r>
          <w:bookmarkEnd w:id="206"/>
        </w:p>
        <w:p w14:paraId="476F5AD1" w14:textId="77777777" w:rsidR="00D178A4" w:rsidRPr="00027624" w:rsidRDefault="00D178A4" w:rsidP="00D178A4">
          <w:r w:rsidRPr="00027624">
            <w:t>Age Pension payments form part of a person</w:t>
          </w:r>
          <w:r w:rsidR="00A8443E" w:rsidRPr="00027624">
            <w:t>’</w:t>
          </w:r>
          <w:r w:rsidRPr="00027624">
            <w:t>s taxable income. This is consistent with most working</w:t>
          </w:r>
          <w:r w:rsidR="00A8443E" w:rsidRPr="00027624">
            <w:noBreakHyphen/>
          </w:r>
          <w:r w:rsidRPr="00027624">
            <w:t>age income support payments, including the JobSeeker Payment and Parenting Payment. Commonwealth Rent Assistance payments are not taxable.</w:t>
          </w:r>
        </w:p>
        <w:p w14:paraId="15FBE017" w14:textId="77777777" w:rsidR="00D178A4" w:rsidRPr="00027624" w:rsidRDefault="00D178A4" w:rsidP="00D178A4">
          <w:r w:rsidRPr="00027624">
            <w:t>By accessing various tax offsets, including the seniors and pensioners tax offset, the low income tax offset, and the low and middle income tax offset, age pensioners with incomes up to $33,088 (or $29,783 for each member of a couple) pay no income tax. For singles, the seniors and pensioners tax offset begins to phase out at incomes above $33,088 and is fully phased out at an income of $50,928.</w:t>
          </w:r>
        </w:p>
        <w:p w14:paraId="7AD095DD" w14:textId="77777777" w:rsidR="00D178A4" w:rsidRPr="00027624" w:rsidRDefault="00D178A4" w:rsidP="00D178A4">
          <w:pPr>
            <w:pStyle w:val="Heading3"/>
          </w:pPr>
          <w:bookmarkStart w:id="207" w:name="_Toc43284602"/>
          <w:r w:rsidRPr="00027624">
            <w:t>Age Pension coverage and expenditure</w:t>
          </w:r>
          <w:bookmarkEnd w:id="207"/>
        </w:p>
        <w:p w14:paraId="2F123260" w14:textId="2D04B8C3" w:rsidR="00D178A4" w:rsidRPr="00027624" w:rsidRDefault="00D178A4" w:rsidP="00D178A4">
          <w:r w:rsidRPr="00027624">
            <w:t>In June 2019, around 2,533,000 people, or 65 per cent of people over Age Pension eligibility age received the Age Pension.</w:t>
          </w:r>
          <w:r w:rsidR="00FA7D52" w:rsidRPr="00027624">
            <w:rPr>
              <w:rStyle w:val="FootnoteReference"/>
            </w:rPr>
            <w:footnoteReference w:id="19"/>
          </w:r>
          <w:r w:rsidR="00FA7D52" w:rsidRPr="00027624">
            <w:t xml:space="preserve"> </w:t>
          </w:r>
          <w:r w:rsidRPr="00027624">
            <w:t xml:space="preserve"> This compares with around 1,725,000, or 67 per cent, in 1999 (</w:t>
          </w:r>
          <w:r w:rsidRPr="00027624">
            <w:fldChar w:fldCharType="begin"/>
          </w:r>
          <w:r w:rsidRPr="00027624">
            <w:instrText xml:space="preserve"> REF _Ref42603151 \r \h  \* MERGEFORMAT </w:instrText>
          </w:r>
          <w:r w:rsidRPr="00027624">
            <w:fldChar w:fldCharType="separate"/>
          </w:r>
          <w:r w:rsidR="00891058">
            <w:t>Chart 1B-1</w:t>
          </w:r>
          <w:r w:rsidRPr="00027624">
            <w:fldChar w:fldCharType="end"/>
          </w:r>
          <w:r w:rsidRPr="00027624">
            <w:t>).</w:t>
          </w:r>
        </w:p>
        <w:p w14:paraId="682366B6" w14:textId="77777777" w:rsidR="00D178A4" w:rsidRPr="00027624" w:rsidRDefault="00D178A4" w:rsidP="00325A8D">
          <w:pPr>
            <w:pStyle w:val="ChartMainHeading"/>
            <w:numPr>
              <w:ilvl w:val="2"/>
              <w:numId w:val="17"/>
            </w:numPr>
          </w:pPr>
          <w:bookmarkStart w:id="208" w:name="_Ref42603151"/>
          <w:r w:rsidRPr="00027624">
            <w:t>Number of Age Pension recipients</w:t>
          </w:r>
          <w:bookmarkEnd w:id="208"/>
        </w:p>
        <w:p w14:paraId="31284C27" w14:textId="77777777" w:rsidR="00D178A4" w:rsidRPr="00027624" w:rsidRDefault="00304DE2" w:rsidP="00D178A4">
          <w:pPr>
            <w:pStyle w:val="ChartGraphic"/>
          </w:pPr>
          <w:r>
            <w:rPr>
              <w:noProof/>
            </w:rPr>
            <w:drawing>
              <wp:inline distT="0" distB="0" distL="0" distR="0" wp14:anchorId="57F5220B" wp14:editId="7227EE70">
                <wp:extent cx="5577840" cy="2522220"/>
                <wp:effectExtent l="0" t="0" r="3810" b="0"/>
                <wp:docPr id="741687588" name="Picture 741687588" descr="This chart shows that the number of Age Pension recipients has increased from around 1.7 million in 1999 to around 2.5 million in 2019. Women are more likely to be on the Age Pension than men." title="Chart 1B-1 Number of Age Pension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71FE4D8E" w14:textId="77777777" w:rsidR="00D178A4" w:rsidRPr="00027624" w:rsidRDefault="00D178A4" w:rsidP="00D178A4">
          <w:pPr>
            <w:pStyle w:val="ChartorTableNote"/>
          </w:pPr>
          <w:r w:rsidRPr="00027624">
            <w:t>Note: 1999</w:t>
          </w:r>
          <w:r w:rsidR="00A8443E" w:rsidRPr="00027624">
            <w:noBreakHyphen/>
          </w:r>
          <w:r w:rsidRPr="00027624">
            <w:t>2013 data includes Age Pension recipients paid by the Department of Veterans</w:t>
          </w:r>
          <w:r w:rsidR="00A8443E" w:rsidRPr="00027624">
            <w:t>’</w:t>
          </w:r>
          <w:r w:rsidRPr="00027624">
            <w:t xml:space="preserve"> Affairs. 2014</w:t>
          </w:r>
          <w:r w:rsidR="00A8443E" w:rsidRPr="00027624">
            <w:noBreakHyphen/>
          </w:r>
          <w:r w:rsidRPr="00027624">
            <w:t>2019 data does not include recipients paid by the Department of Veterans</w:t>
          </w:r>
          <w:r w:rsidR="00A8443E" w:rsidRPr="00027624">
            <w:t>’</w:t>
          </w:r>
          <w:r w:rsidRPr="00027624">
            <w:t xml:space="preserve"> Affairs. Source: Department of Social Services payment data 1999</w:t>
          </w:r>
          <w:r w:rsidR="00A8443E" w:rsidRPr="00027624">
            <w:noBreakHyphen/>
          </w:r>
          <w:r w:rsidRPr="00027624">
            <w:t>2019.</w:t>
          </w:r>
        </w:p>
        <w:p w14:paraId="43F2352D" w14:textId="77777777" w:rsidR="00D178A4" w:rsidRPr="00027624" w:rsidRDefault="00D178A4" w:rsidP="00D178A4">
          <w:r w:rsidRPr="00027624">
            <w:t>The proportion of older Australians receiving the Age Pension increases with age. At 30 June 2019, 42 per cent of people aged 66 received the Age Pension, compared with 80 per cent of people aged 80.</w:t>
          </w:r>
          <w:r w:rsidRPr="00027624">
            <w:rPr>
              <w:rStyle w:val="FootnoteReference"/>
            </w:rPr>
            <w:footnoteReference w:id="20"/>
          </w:r>
          <w:r w:rsidRPr="00027624">
            <w:t xml:space="preserve"> </w:t>
          </w:r>
        </w:p>
        <w:p w14:paraId="3DEECB1A" w14:textId="77777777" w:rsidR="00D178A4" w:rsidRPr="00027624" w:rsidRDefault="00D178A4" w:rsidP="00D178A4">
          <w:r w:rsidRPr="00027624">
            <w:t>At June 2019, 3 per cent of people over Age Pension eligibility age received a payment similar to the Age Pension from the Department of Veterans</w:t>
          </w:r>
          <w:r w:rsidR="00A8443E" w:rsidRPr="00027624">
            <w:t>’</w:t>
          </w:r>
          <w:r w:rsidRPr="00027624">
            <w:t xml:space="preserve"> Affairs. A further 3 per cent received some other income support payment, such as the Disability Support Pension, Carer Payment or Special Benefit.</w:t>
          </w:r>
          <w:r w:rsidRPr="00027624">
            <w:rPr>
              <w:rStyle w:val="FootnoteReference"/>
            </w:rPr>
            <w:footnoteReference w:id="21"/>
          </w:r>
          <w:r w:rsidRPr="00027624">
            <w:t xml:space="preserve"> In total, around 71 per cent of people over Age Pension eligibility age receive some kind of income support payment.</w:t>
          </w:r>
        </w:p>
        <w:p w14:paraId="0CF2706D" w14:textId="77777777" w:rsidR="00D178A4" w:rsidRPr="00027624" w:rsidRDefault="00D178A4" w:rsidP="00D178A4">
          <w:pPr>
            <w:rPr>
              <w:b/>
            </w:rPr>
          </w:pPr>
          <w:r w:rsidRPr="00027624">
            <w:rPr>
              <w:rFonts w:asciiTheme="minorHAnsi" w:hAnsiTheme="minorHAnsi" w:cstheme="minorBidi"/>
            </w:rPr>
            <w:t>Ag</w:t>
          </w:r>
          <w:r w:rsidRPr="00027624">
            <w:t>e Pension expenditure has increased in real terms from $24 billion in 2000</w:t>
          </w:r>
          <w:r w:rsidR="00A8443E" w:rsidRPr="00027624">
            <w:noBreakHyphen/>
          </w:r>
          <w:r w:rsidRPr="00027624">
            <w:t>01 to $46 billion in 2018</w:t>
          </w:r>
          <w:r w:rsidR="00A8443E" w:rsidRPr="00027624">
            <w:noBreakHyphen/>
          </w:r>
          <w:r w:rsidRPr="00027624">
            <w:t xml:space="preserve">19. It has remained relatively stable as a proportion of </w:t>
          </w:r>
          <w:r w:rsidR="00E627E2" w:rsidRPr="00027624">
            <w:t>GDP</w:t>
          </w:r>
          <w:r w:rsidRPr="00027624">
            <w:t xml:space="preserve"> (2.4 per cent in 2018</w:t>
          </w:r>
          <w:r w:rsidR="00A8443E" w:rsidRPr="00027624">
            <w:noBreakHyphen/>
          </w:r>
          <w:r w:rsidRPr="00027624">
            <w:t>19) and as a proportion of the Federal Budget (9.7 per cent in 2018</w:t>
          </w:r>
          <w:r w:rsidR="00A8443E" w:rsidRPr="00027624">
            <w:noBreakHyphen/>
          </w:r>
          <w:r w:rsidRPr="00027624">
            <w:t xml:space="preserve">19) (see </w:t>
          </w:r>
          <w:r w:rsidRPr="00027624">
            <w:rPr>
              <w:i/>
            </w:rPr>
            <w:t>4. Sustainability</w:t>
          </w:r>
          <w:r w:rsidRPr="00027624">
            <w:t>).</w:t>
          </w:r>
        </w:p>
        <w:p w14:paraId="4BCFC01E" w14:textId="77777777" w:rsidR="00D178A4" w:rsidRPr="00027624" w:rsidRDefault="00D178A4" w:rsidP="00D178A4">
          <w:pPr>
            <w:pStyle w:val="Heading3"/>
          </w:pPr>
          <w:bookmarkStart w:id="209" w:name="_Toc43284603"/>
          <w:r w:rsidRPr="00027624">
            <w:lastRenderedPageBreak/>
            <w:t>Concessions</w:t>
          </w:r>
          <w:bookmarkEnd w:id="209"/>
        </w:p>
        <w:p w14:paraId="7C0A136A" w14:textId="77777777" w:rsidR="00D178A4" w:rsidRPr="00027624" w:rsidRDefault="00D178A4" w:rsidP="00D178A4">
          <w:pPr>
            <w:rPr>
              <w:rFonts w:asciiTheme="minorHAnsi" w:eastAsiaTheme="minorEastAsia" w:hAnsiTheme="minorHAnsi" w:cstheme="minorBidi"/>
              <w:lang w:eastAsia="en-US"/>
            </w:rPr>
          </w:pPr>
          <w:r w:rsidRPr="00027624">
            <w:rPr>
              <w:rFonts w:asciiTheme="minorHAnsi" w:eastAsiaTheme="minorEastAsia" w:hAnsiTheme="minorHAnsi" w:cstheme="minorBidi"/>
              <w:lang w:eastAsia="en-US"/>
            </w:rPr>
            <w:t>The Australian Government provides concessions to income support recipients and lower</w:t>
          </w:r>
          <w:r w:rsidR="00A8443E" w:rsidRPr="00027624">
            <w:rPr>
              <w:rFonts w:asciiTheme="minorHAnsi" w:eastAsiaTheme="minorEastAsia" w:hAnsiTheme="minorHAnsi" w:cstheme="minorBidi"/>
              <w:lang w:eastAsia="en-US"/>
            </w:rPr>
            <w:noBreakHyphen/>
          </w:r>
          <w:r w:rsidRPr="00027624">
            <w:rPr>
              <w:rFonts w:asciiTheme="minorHAnsi" w:eastAsiaTheme="minorEastAsia" w:hAnsiTheme="minorHAnsi" w:cstheme="minorBidi"/>
              <w:lang w:eastAsia="en-US"/>
            </w:rPr>
            <w:t xml:space="preserve">income earners. State and territory governments also provide concessions and subsidised services to older Australians. Subsidised aged care and health services are of particular significance to improving retirement outcomes (see </w:t>
          </w:r>
          <w:r w:rsidRPr="00027624">
            <w:rPr>
              <w:i/>
              <w:szCs w:val="22"/>
            </w:rPr>
            <w:t xml:space="preserve">2A. </w:t>
          </w:r>
          <w:r w:rsidRPr="00027624">
            <w:rPr>
              <w:i/>
            </w:rPr>
            <w:t>Achieving a minimum standard of living in retirement</w:t>
          </w:r>
          <w:r w:rsidRPr="00027624">
            <w:rPr>
              <w:szCs w:val="22"/>
            </w:rPr>
            <w:t>)</w:t>
          </w:r>
          <w:r w:rsidRPr="00027624">
            <w:rPr>
              <w:rFonts w:asciiTheme="minorHAnsi" w:eastAsiaTheme="minorEastAsia" w:hAnsiTheme="minorHAnsi" w:cstheme="minorBidi"/>
              <w:lang w:eastAsia="en-US"/>
            </w:rPr>
            <w:t>.</w:t>
          </w:r>
        </w:p>
        <w:p w14:paraId="2997C584" w14:textId="77777777" w:rsidR="00D178A4" w:rsidRPr="00027624" w:rsidRDefault="00D178A4" w:rsidP="00D178A4">
          <w:pPr>
            <w:pStyle w:val="Heading4"/>
          </w:pPr>
          <w:bookmarkStart w:id="210" w:name="_Toc43284604"/>
          <w:r w:rsidRPr="00027624">
            <w:t>Pensioner Concession Card</w:t>
          </w:r>
          <w:bookmarkEnd w:id="210"/>
        </w:p>
        <w:p w14:paraId="3E81241B" w14:textId="77777777" w:rsidR="00D178A4" w:rsidRPr="00027624" w:rsidRDefault="00D178A4" w:rsidP="00D178A4">
          <w:pPr>
            <w:rPr>
              <w:rFonts w:asciiTheme="minorHAnsi" w:eastAsiaTheme="minorEastAsia" w:hAnsiTheme="minorHAnsi" w:cstheme="minorBidi"/>
              <w:lang w:eastAsia="en-US"/>
            </w:rPr>
          </w:pPr>
          <w:r w:rsidRPr="00027624">
            <w:rPr>
              <w:rFonts w:asciiTheme="minorHAnsi" w:eastAsiaTheme="minorEastAsia" w:hAnsiTheme="minorHAnsi" w:cstheme="minorBidi"/>
              <w:lang w:eastAsia="en-US"/>
            </w:rPr>
            <w:t>The Pensioner Concession Card is automatically issued to recipients of the Age Pension, Parenting Payment Single, Disability Support Pension and Carer Payment.</w:t>
          </w:r>
        </w:p>
        <w:p w14:paraId="7B5300C3" w14:textId="77777777" w:rsidR="00D178A4" w:rsidRPr="00027624" w:rsidRDefault="00D178A4" w:rsidP="00D178A4">
          <w:pPr>
            <w:rPr>
              <w:rFonts w:asciiTheme="minorHAnsi" w:eastAsiaTheme="minorEastAsia" w:hAnsiTheme="minorHAnsi" w:cstheme="minorBidi"/>
              <w:lang w:eastAsia="en-US"/>
            </w:rPr>
          </w:pPr>
          <w:r w:rsidRPr="00027624">
            <w:rPr>
              <w:rFonts w:asciiTheme="minorHAnsi" w:eastAsiaTheme="minorEastAsia" w:hAnsiTheme="minorHAnsi" w:cstheme="minorBidi"/>
              <w:lang w:eastAsia="en-US"/>
            </w:rPr>
            <w:t>People aged over 60 who have been continuously receiving one (or a combination) of the following payments for more than 39 weeks can also receive the Pensioner Concession Card: JobSeeker Payment (formerly Newstart Allowance), Sickness Allowance, Widow Allowance, Partner Allowance, Parenting Payment Partnered or Special Benefit.</w:t>
          </w:r>
        </w:p>
        <w:p w14:paraId="3A513AB1" w14:textId="77777777" w:rsidR="00D178A4" w:rsidRPr="00027624" w:rsidRDefault="00D178A4" w:rsidP="00D178A4">
          <w:pPr>
            <w:rPr>
              <w:rFonts w:asciiTheme="minorHAnsi" w:eastAsiaTheme="minorEastAsia" w:hAnsiTheme="minorHAnsi" w:cstheme="minorBidi"/>
              <w:lang w:eastAsia="en-US"/>
            </w:rPr>
          </w:pPr>
          <w:r w:rsidRPr="00027624">
            <w:rPr>
              <w:rFonts w:asciiTheme="minorHAnsi" w:eastAsiaTheme="minorEastAsia" w:hAnsiTheme="minorHAnsi" w:cstheme="minorBidi"/>
              <w:lang w:eastAsia="en-US"/>
            </w:rPr>
            <w:t>People holding a Pensioner Concession Card and their dependants can access:</w:t>
          </w:r>
        </w:p>
        <w:p w14:paraId="594569E5" w14:textId="77777777" w:rsidR="00D178A4" w:rsidRPr="00027624" w:rsidRDefault="00D178A4" w:rsidP="00D178A4">
          <w:pPr>
            <w:pStyle w:val="Bullet"/>
            <w:rPr>
              <w:rFonts w:eastAsiaTheme="minorEastAsia"/>
              <w:lang w:eastAsia="en-US"/>
            </w:rPr>
          </w:pPr>
          <w:r w:rsidRPr="00027624">
            <w:rPr>
              <w:rFonts w:eastAsiaTheme="minorEastAsia"/>
              <w:lang w:eastAsia="en-US"/>
            </w:rPr>
            <w:t>Cheaper Pharmaceutical Benefits Scheme</w:t>
          </w:r>
          <w:r w:rsidR="00A8443E" w:rsidRPr="00027624">
            <w:rPr>
              <w:rFonts w:eastAsiaTheme="minorEastAsia"/>
              <w:lang w:eastAsia="en-US"/>
            </w:rPr>
            <w:noBreakHyphen/>
          </w:r>
          <w:r w:rsidRPr="00027624">
            <w:rPr>
              <w:rFonts w:eastAsiaTheme="minorEastAsia"/>
              <w:lang w:eastAsia="en-US"/>
            </w:rPr>
            <w:t>listed medicines</w:t>
          </w:r>
        </w:p>
        <w:p w14:paraId="56FC6EFA" w14:textId="77777777" w:rsidR="00D178A4" w:rsidRPr="00027624" w:rsidRDefault="00D178A4" w:rsidP="00D178A4">
          <w:pPr>
            <w:pStyle w:val="Bullet"/>
            <w:rPr>
              <w:rFonts w:eastAsiaTheme="minorEastAsia"/>
              <w:lang w:eastAsia="en-US"/>
            </w:rPr>
          </w:pPr>
          <w:r w:rsidRPr="00027624">
            <w:rPr>
              <w:rFonts w:eastAsiaTheme="minorEastAsia"/>
              <w:lang w:eastAsia="en-US"/>
            </w:rPr>
            <w:t>Reduced out</w:t>
          </w:r>
          <w:r w:rsidR="00A8443E" w:rsidRPr="00027624">
            <w:rPr>
              <w:rFonts w:eastAsiaTheme="minorEastAsia"/>
              <w:lang w:eastAsia="en-US"/>
            </w:rPr>
            <w:noBreakHyphen/>
          </w:r>
          <w:r w:rsidRPr="00027624">
            <w:rPr>
              <w:rFonts w:eastAsiaTheme="minorEastAsia"/>
              <w:lang w:eastAsia="en-US"/>
            </w:rPr>
            <w:t>of</w:t>
          </w:r>
          <w:r w:rsidR="00A8443E" w:rsidRPr="00027624">
            <w:rPr>
              <w:rFonts w:eastAsiaTheme="minorEastAsia"/>
              <w:lang w:eastAsia="en-US"/>
            </w:rPr>
            <w:noBreakHyphen/>
          </w:r>
          <w:r w:rsidRPr="00027624">
            <w:rPr>
              <w:rFonts w:eastAsiaTheme="minorEastAsia"/>
              <w:lang w:eastAsia="en-US"/>
            </w:rPr>
            <w:t>hospital medical expenses after reaching the Concessional Extended Medicare Safety Net threshold</w:t>
          </w:r>
        </w:p>
        <w:p w14:paraId="2D3A3F2B" w14:textId="77777777" w:rsidR="00D178A4" w:rsidRPr="00027624" w:rsidRDefault="00D178A4" w:rsidP="00D178A4">
          <w:pPr>
            <w:pStyle w:val="Bullet"/>
            <w:rPr>
              <w:rFonts w:eastAsiaTheme="minorEastAsia"/>
              <w:lang w:eastAsia="en-US"/>
            </w:rPr>
          </w:pPr>
          <w:r w:rsidRPr="00027624">
            <w:rPr>
              <w:rFonts w:eastAsiaTheme="minorEastAsia"/>
              <w:lang w:eastAsia="en-US"/>
            </w:rPr>
            <w:t>Bulk</w:t>
          </w:r>
          <w:r w:rsidR="00A8443E" w:rsidRPr="00027624">
            <w:rPr>
              <w:rFonts w:eastAsiaTheme="minorEastAsia"/>
              <w:lang w:eastAsia="en-US"/>
            </w:rPr>
            <w:noBreakHyphen/>
          </w:r>
          <w:r w:rsidRPr="00027624">
            <w:rPr>
              <w:rFonts w:eastAsiaTheme="minorEastAsia"/>
              <w:lang w:eastAsia="en-US"/>
            </w:rPr>
            <w:t>billed general practitioner appointments at the discretion of the doctor</w:t>
          </w:r>
        </w:p>
        <w:p w14:paraId="2E962000" w14:textId="77777777" w:rsidR="00D178A4" w:rsidRPr="00027624" w:rsidRDefault="00D178A4" w:rsidP="00D178A4">
          <w:pPr>
            <w:pStyle w:val="Bullet"/>
            <w:rPr>
              <w:rFonts w:eastAsiaTheme="minorEastAsia"/>
              <w:lang w:eastAsia="en-US"/>
            </w:rPr>
          </w:pPr>
          <w:r w:rsidRPr="00027624">
            <w:rPr>
              <w:rFonts w:eastAsiaTheme="minorEastAsia"/>
              <w:lang w:eastAsia="en-US"/>
            </w:rPr>
            <w:t>Free hearing assessments and hearing rehabilitation, including supplying and fitting hearing aids</w:t>
          </w:r>
        </w:p>
        <w:p w14:paraId="50566F80" w14:textId="77777777" w:rsidR="00D178A4" w:rsidRPr="00027624" w:rsidRDefault="00D178A4" w:rsidP="00D178A4">
          <w:pPr>
            <w:rPr>
              <w:b/>
              <w:bCs/>
            </w:rPr>
          </w:pPr>
          <w:r w:rsidRPr="00027624">
            <w:rPr>
              <w:rFonts w:asciiTheme="minorHAnsi" w:eastAsiaTheme="minorEastAsia" w:hAnsiTheme="minorHAnsi" w:cstheme="minorBidi"/>
              <w:lang w:eastAsia="en-US"/>
            </w:rPr>
            <w:t xml:space="preserve">In December 2019, around 2,649,000 people aged 65 and over held Pensioner Concession Cards </w:t>
          </w:r>
          <w:sdt>
            <w:sdtPr>
              <w:rPr>
                <w:rFonts w:asciiTheme="minorHAnsi" w:eastAsiaTheme="minorEastAsia" w:hAnsiTheme="minorHAnsi" w:cstheme="minorBidi"/>
                <w:lang w:eastAsia="en-US"/>
              </w:rPr>
              <w:id w:val="421451733"/>
              <w:citation/>
            </w:sdtPr>
            <w:sdtEndPr/>
            <w:sdtContent>
              <w:r w:rsidRPr="00027624">
                <w:rPr>
                  <w:rFonts w:asciiTheme="minorHAnsi" w:eastAsiaTheme="minorEastAsia" w:hAnsiTheme="minorHAnsi" w:cstheme="minorBidi"/>
                  <w:lang w:eastAsia="en-US"/>
                </w:rPr>
                <w:fldChar w:fldCharType="begin"/>
              </w:r>
              <w:r w:rsidRPr="00027624">
                <w:rPr>
                  <w:rFonts w:asciiTheme="minorHAnsi" w:eastAsiaTheme="minorEastAsia" w:hAnsiTheme="minorHAnsi" w:cstheme="minorBidi"/>
                  <w:lang w:eastAsia="en-US"/>
                </w:rPr>
                <w:instrText xml:space="preserve">CITATION DSS2020f \l 3081 </w:instrText>
              </w:r>
              <w:r w:rsidRPr="00027624">
                <w:rPr>
                  <w:rFonts w:asciiTheme="minorHAnsi" w:eastAsiaTheme="minorEastAsia" w:hAnsiTheme="minorHAnsi" w:cstheme="minorBidi"/>
                  <w:lang w:eastAsia="en-US"/>
                </w:rPr>
                <w:fldChar w:fldCharType="separate"/>
              </w:r>
              <w:r w:rsidR="00E83F6E" w:rsidRPr="00E83F6E">
                <w:rPr>
                  <w:rFonts w:asciiTheme="minorHAnsi" w:eastAsiaTheme="minorEastAsia" w:hAnsiTheme="minorHAnsi" w:cstheme="minorBidi"/>
                  <w:noProof/>
                  <w:lang w:eastAsia="en-US"/>
                </w:rPr>
                <w:t>(Department of Social Services, 2020b)</w:t>
              </w:r>
              <w:r w:rsidRPr="00027624">
                <w:rPr>
                  <w:rFonts w:asciiTheme="minorHAnsi" w:eastAsiaTheme="minorEastAsia" w:hAnsiTheme="minorHAnsi" w:cstheme="minorBidi"/>
                  <w:lang w:eastAsia="en-US"/>
                </w:rPr>
                <w:fldChar w:fldCharType="end"/>
              </w:r>
            </w:sdtContent>
          </w:sdt>
          <w:r w:rsidRPr="00027624">
            <w:rPr>
              <w:rFonts w:asciiTheme="minorHAnsi" w:eastAsiaTheme="minorEastAsia" w:hAnsiTheme="minorHAnsi" w:cstheme="minorBidi"/>
              <w:lang w:eastAsia="en-US"/>
            </w:rPr>
            <w:t>.</w:t>
          </w:r>
        </w:p>
        <w:p w14:paraId="1F0050A0" w14:textId="77777777" w:rsidR="00D178A4" w:rsidRPr="00027624" w:rsidRDefault="00D178A4" w:rsidP="00D178A4">
          <w:pPr>
            <w:pStyle w:val="Heading4"/>
          </w:pPr>
          <w:bookmarkStart w:id="211" w:name="_Toc43284605"/>
          <w:r w:rsidRPr="00027624">
            <w:t>Commonwealth Seniors Health Card</w:t>
          </w:r>
          <w:bookmarkEnd w:id="211"/>
        </w:p>
        <w:p w14:paraId="6A21DCC5" w14:textId="77777777" w:rsidR="00D178A4" w:rsidRPr="00027624" w:rsidRDefault="00D178A4" w:rsidP="00D178A4">
          <w:pPr>
            <w:rPr>
              <w:rFonts w:asciiTheme="minorHAnsi" w:eastAsiaTheme="minorEastAsia" w:hAnsiTheme="minorHAnsi" w:cstheme="minorBidi"/>
              <w:lang w:eastAsia="en-US"/>
            </w:rPr>
          </w:pPr>
          <w:r w:rsidRPr="00027624">
            <w:rPr>
              <w:rFonts w:asciiTheme="minorHAnsi" w:eastAsiaTheme="minorEastAsia" w:hAnsiTheme="minorHAnsi" w:cstheme="minorBidi"/>
              <w:lang w:eastAsia="en-US"/>
            </w:rPr>
            <w:t>The Commonwealth Seniors Health Card gives eligible Australians above Age Pension eligibility age who do not receive an income support payment access to Australian Government health concessions.</w:t>
          </w:r>
        </w:p>
        <w:p w14:paraId="301F58D2" w14:textId="77777777" w:rsidR="00D178A4" w:rsidRPr="00027624" w:rsidRDefault="00D178A4" w:rsidP="00D178A4">
          <w:r w:rsidRPr="00027624">
            <w:t>The Commonwealth Seniors Health Card is not an automatically issued concession card. A person must claim for the card and must meet the eligibility criteria, including an income test of $55,808 per year for singles and $89,290 per year for couples, with additional allowances for each child recipients have in their care. These thresholds are indexed in September each year in line with the CPI. The Commonwealth Seniors Health Card is not subject to an assets test.</w:t>
          </w:r>
        </w:p>
        <w:p w14:paraId="3D9F2F4E" w14:textId="77777777" w:rsidR="00D178A4" w:rsidRPr="00027624" w:rsidRDefault="00D178A4" w:rsidP="00D178A4">
          <w:r w:rsidRPr="00027624">
            <w:rPr>
              <w:lang w:val="en-US"/>
            </w:rPr>
            <w:t xml:space="preserve">People holding a Commonwealth Seniors Health Card </w:t>
          </w:r>
          <w:r w:rsidRPr="00027624">
            <w:t>have access to the same Australian Government concessions as those holding Pensioner Concession Cards, except for hearing services.</w:t>
          </w:r>
        </w:p>
        <w:p w14:paraId="1EE693F6" w14:textId="77777777" w:rsidR="00D178A4" w:rsidRPr="00027624" w:rsidRDefault="00D178A4" w:rsidP="00D178A4">
          <w:pPr>
            <w:pStyle w:val="BodyText"/>
            <w:spacing w:before="40"/>
            <w:rPr>
              <w:color w:val="auto"/>
              <w:lang w:eastAsia="en-AU"/>
            </w:rPr>
          </w:pPr>
          <w:r w:rsidRPr="00027624">
            <w:rPr>
              <w:color w:val="auto"/>
              <w:lang w:eastAsia="en-AU"/>
            </w:rPr>
            <w:t xml:space="preserve">In December 2019, 386,690 people held a Commonwealth Seniors Concession Card </w:t>
          </w:r>
          <w:sdt>
            <w:sdtPr>
              <w:rPr>
                <w:color w:val="auto"/>
                <w:lang w:eastAsia="en-AU"/>
              </w:rPr>
              <w:id w:val="1501168607"/>
              <w:citation/>
            </w:sdtPr>
            <w:sdtEndPr/>
            <w:sdtContent>
              <w:r w:rsidRPr="00027624">
                <w:rPr>
                  <w:color w:val="auto"/>
                  <w:lang w:eastAsia="en-AU"/>
                </w:rPr>
                <w:fldChar w:fldCharType="begin"/>
              </w:r>
              <w:r w:rsidRPr="00027624">
                <w:rPr>
                  <w:color w:val="auto"/>
                  <w:lang w:eastAsia="en-AU"/>
                </w:rPr>
                <w:instrText xml:space="preserve">CITATION DSS2020f \l 3081 </w:instrText>
              </w:r>
              <w:r w:rsidRPr="00027624">
                <w:rPr>
                  <w:color w:val="auto"/>
                  <w:lang w:eastAsia="en-AU"/>
                </w:rPr>
                <w:fldChar w:fldCharType="separate"/>
              </w:r>
              <w:r w:rsidR="00E83F6E" w:rsidRPr="00E83F6E">
                <w:rPr>
                  <w:noProof/>
                  <w:color w:val="auto"/>
                  <w:lang w:eastAsia="en-AU"/>
                </w:rPr>
                <w:t>(Department of Social Services, 2020b)</w:t>
              </w:r>
              <w:r w:rsidRPr="00027624">
                <w:rPr>
                  <w:color w:val="auto"/>
                  <w:lang w:eastAsia="en-AU"/>
                </w:rPr>
                <w:fldChar w:fldCharType="end"/>
              </w:r>
            </w:sdtContent>
          </w:sdt>
          <w:r w:rsidRPr="00027624">
            <w:rPr>
              <w:color w:val="auto"/>
              <w:lang w:eastAsia="en-AU"/>
            </w:rPr>
            <w:t>.</w:t>
          </w:r>
        </w:p>
        <w:p w14:paraId="0EC708EE" w14:textId="77777777" w:rsidR="00D178A4" w:rsidRPr="00027624" w:rsidRDefault="00D178A4" w:rsidP="00D178A4">
          <w:pPr>
            <w:pStyle w:val="Heading3"/>
          </w:pPr>
          <w:bookmarkStart w:id="212" w:name="_Toc43284606"/>
          <w:r w:rsidRPr="00027624">
            <w:t>Pension Loans Scheme</w:t>
          </w:r>
          <w:bookmarkEnd w:id="212"/>
        </w:p>
        <w:p w14:paraId="04AE4DA9" w14:textId="77777777" w:rsidR="00D178A4" w:rsidRPr="00027624" w:rsidRDefault="00D178A4" w:rsidP="00D178A4">
          <w:pPr>
            <w:pStyle w:val="Bullet"/>
            <w:numPr>
              <w:ilvl w:val="0"/>
              <w:numId w:val="0"/>
            </w:numPr>
          </w:pPr>
          <w:r w:rsidRPr="00027624">
            <w:t>The Pension Loans Scheme was established in 1985 to allow eligible age pensioners to receive a fortnightly payment, drawn against real assets, to support their living standards in retirement.</w:t>
          </w:r>
        </w:p>
        <w:p w14:paraId="2DE5EC8A" w14:textId="66CF7966" w:rsidR="00D178A4" w:rsidRPr="00027624" w:rsidRDefault="00D178A4" w:rsidP="00D178A4">
          <w:pPr>
            <w:pStyle w:val="Bullet"/>
            <w:numPr>
              <w:ilvl w:val="0"/>
              <w:numId w:val="0"/>
            </w:numPr>
          </w:pPr>
          <w:r w:rsidRPr="00027624">
            <w:t>The Government introduced major reforms to the Pension Loans Scheme on 1 July 2019, expanding the scheme to include self</w:t>
          </w:r>
          <w:r w:rsidR="00A8443E" w:rsidRPr="00027624">
            <w:noBreakHyphen/>
          </w:r>
          <w:r w:rsidRPr="00027624">
            <w:t xml:space="preserve">funded retirees. Under these changes, the amount a person could access under the scheme was increased. A pensioner (or their partner) can now top up their pension so their pension plus loan amount can be up to 150 per cent of the maximum fortnightly rate of </w:t>
          </w:r>
          <w:r w:rsidRPr="00027624">
            <w:lastRenderedPageBreak/>
            <w:t>Age Pension. Self</w:t>
          </w:r>
          <w:r w:rsidR="00A8443E" w:rsidRPr="00027624">
            <w:noBreakHyphen/>
          </w:r>
          <w:r w:rsidRPr="00027624">
            <w:t xml:space="preserve">funded retirees can receive the entire 150 per cent amount as a loan. Pension Loans Scheme payments are </w:t>
          </w:r>
          <w:r w:rsidR="006B03BC">
            <w:t xml:space="preserve">not </w:t>
          </w:r>
          <w:r w:rsidRPr="00027624">
            <w:t xml:space="preserve">taxable. </w:t>
          </w:r>
        </w:p>
        <w:p w14:paraId="68B0410C" w14:textId="77777777" w:rsidR="00D178A4" w:rsidRPr="00027624" w:rsidRDefault="00D178A4" w:rsidP="00D178A4">
          <w:pPr>
            <w:pStyle w:val="Bullet"/>
            <w:numPr>
              <w:ilvl w:val="0"/>
              <w:numId w:val="0"/>
            </w:numPr>
          </w:pPr>
          <w:r w:rsidRPr="00027624">
            <w:t>Under the scheme, the additional payments above any Age Pension entitlement accrue as a debt secured against real estate the person owns. The interest rate on the debt is currently 4.5 per cent.</w:t>
          </w:r>
          <w:r w:rsidRPr="00027624">
            <w:rPr>
              <w:rStyle w:val="FootnoteReference"/>
            </w:rPr>
            <w:footnoteReference w:id="22"/>
          </w:r>
          <w:r w:rsidRPr="00027624">
            <w:t xml:space="preserve"> Safeguards limit the maximum loan that can accrue. The Government generally recovers the debt when the property securing the loan is sold, or from the person</w:t>
          </w:r>
          <w:r w:rsidR="00A8443E" w:rsidRPr="00027624">
            <w:t>’</w:t>
          </w:r>
          <w:r w:rsidRPr="00027624">
            <w:t>s estate after the person has died. The scheme is voluntary and people can withdraw at any time.</w:t>
          </w:r>
        </w:p>
        <w:p w14:paraId="4CBC5E2C" w14:textId="77777777" w:rsidR="00D178A4" w:rsidRPr="00027624" w:rsidRDefault="00D178A4" w:rsidP="00D178A4">
          <w:pPr>
            <w:pStyle w:val="Heading2"/>
          </w:pPr>
          <w:bookmarkStart w:id="213" w:name="_Toc34222088"/>
          <w:bookmarkStart w:id="214" w:name="_Toc43284607"/>
          <w:bookmarkStart w:id="215" w:name="_Toc45520431"/>
          <w:bookmarkStart w:id="216" w:name="_Toc46133542"/>
          <w:r w:rsidRPr="00027624">
            <w:t>Overview of compulsory superannuatio</w:t>
          </w:r>
          <w:bookmarkEnd w:id="213"/>
          <w:r w:rsidRPr="00027624">
            <w:t>n</w:t>
          </w:r>
          <w:bookmarkEnd w:id="214"/>
          <w:bookmarkEnd w:id="215"/>
          <w:bookmarkEnd w:id="216"/>
        </w:p>
        <w:p w14:paraId="71759EA4" w14:textId="77777777" w:rsidR="00D178A4" w:rsidRPr="00027624" w:rsidRDefault="00D178A4" w:rsidP="00D178A4">
          <w:pPr>
            <w:pStyle w:val="Heading3"/>
          </w:pPr>
          <w:bookmarkStart w:id="217" w:name="_Toc43284608"/>
          <w:r w:rsidRPr="00027624">
            <w:t>The Superannuation Guarantee</w:t>
          </w:r>
          <w:bookmarkEnd w:id="217"/>
        </w:p>
        <w:p w14:paraId="4853DF8E" w14:textId="4486E785" w:rsidR="00D178A4" w:rsidRPr="00027624" w:rsidRDefault="00D178A4" w:rsidP="00D178A4">
          <w:r w:rsidRPr="00027624">
            <w:t>Employers must pay the SG for eligible employees on a quarterly basis. Generally, the SG must be paid into a superannuation fund the employee chooses. Currently the SG rate is 9.5 per cent, calculated on the employee</w:t>
          </w:r>
          <w:r w:rsidR="00A8443E" w:rsidRPr="00027624">
            <w:t>’</w:t>
          </w:r>
          <w:r w:rsidRPr="00027624">
            <w:t xml:space="preserve">s ordinary time earnings. Ordinary time earnings are the amounts earned for ordinary hours of work, not including overtime payments or parental leave. SG contributions are a deductible expense for employers. Compulsory contributions are generally taxed at a rate of 15 per cent, which for most people is a concessional rate compared to how their regular income is taxed (see </w:t>
          </w:r>
          <w:r w:rsidRPr="00027624">
            <w:rPr>
              <w:i/>
            </w:rPr>
            <w:fldChar w:fldCharType="begin"/>
          </w:r>
          <w:r w:rsidRPr="00027624">
            <w:rPr>
              <w:i/>
            </w:rPr>
            <w:instrText xml:space="preserve"> REF _Ref44501656 \h  \* MERGEFORMAT </w:instrText>
          </w:r>
          <w:r w:rsidRPr="00027624">
            <w:rPr>
              <w:i/>
            </w:rPr>
          </w:r>
          <w:r w:rsidRPr="00027624">
            <w:rPr>
              <w:i/>
            </w:rPr>
            <w:fldChar w:fldCharType="separate"/>
          </w:r>
          <w:r w:rsidR="00891058" w:rsidRPr="00891058">
            <w:rPr>
              <w:i/>
            </w:rPr>
            <w:t>Regulation and taxation of superannuation</w:t>
          </w:r>
          <w:r w:rsidRPr="00027624">
            <w:rPr>
              <w:i/>
            </w:rPr>
            <w:fldChar w:fldCharType="end"/>
          </w:r>
          <w:r w:rsidRPr="00027624">
            <w:t xml:space="preserve">, below). </w:t>
          </w:r>
        </w:p>
        <w:p w14:paraId="54B42CAB" w14:textId="77777777" w:rsidR="00D178A4" w:rsidRPr="00027624" w:rsidRDefault="00D178A4" w:rsidP="00D178A4">
          <w:r w:rsidRPr="00027624">
            <w:t>Some Australians are not covered by the SG. Self</w:t>
          </w:r>
          <w:r w:rsidR="00A8443E" w:rsidRPr="00027624">
            <w:noBreakHyphen/>
          </w:r>
          <w:r w:rsidRPr="00027624">
            <w:t xml:space="preserve">employed people, employees who earn less than $450 per month, employees who are under 18 and work less than 30 hours per week, and people who do work of a private or domestic nature for </w:t>
          </w:r>
          <w:r w:rsidR="00E627E2" w:rsidRPr="00027624">
            <w:t>less</w:t>
          </w:r>
          <w:r w:rsidRPr="00027624">
            <w:t xml:space="preserve"> than 30 hours per week are not covered (see </w:t>
          </w:r>
          <w:r w:rsidR="009C3D63">
            <w:rPr>
              <w:i/>
            </w:rPr>
            <w:t>3D. SG coverage</w:t>
          </w:r>
          <w:r w:rsidRPr="00027624">
            <w:t>). Higher</w:t>
          </w:r>
          <w:r w:rsidR="00A8443E" w:rsidRPr="00027624">
            <w:noBreakHyphen/>
          </w:r>
          <w:r w:rsidRPr="00027624">
            <w:t>income Australians</w:t>
          </w:r>
          <w:r w:rsidR="00A8443E" w:rsidRPr="00027624">
            <w:t>’</w:t>
          </w:r>
          <w:r w:rsidRPr="00027624">
            <w:t xml:space="preserve"> earnings are covered by the SG up to a threshold (currently $55,270 of income per quarter) beyond which the SG is not payable.</w:t>
          </w:r>
        </w:p>
        <w:p w14:paraId="1F226D0C" w14:textId="77777777" w:rsidR="00D178A4" w:rsidRPr="00027624" w:rsidRDefault="00D178A4" w:rsidP="00D178A4">
          <w:r w:rsidRPr="00027624">
            <w:t xml:space="preserve">The SG rate has incrementally increased since its introduction at 3 per cent in 1992. It is legislated to rise in increments from its current rate of 9.5 per cent to 12 per cent by 1 July 2025. While the minimum is 9.5 per cent, some employees receive higher superannuation contributions from their employers, such as those negotiated through enterprise agreements. </w:t>
          </w:r>
        </w:p>
        <w:p w14:paraId="06BE1F6F" w14:textId="77777777" w:rsidR="00D178A4" w:rsidRPr="00027624" w:rsidRDefault="00D178A4" w:rsidP="00D178A4">
          <w:pPr>
            <w:pStyle w:val="Heading3"/>
          </w:pPr>
          <w:bookmarkStart w:id="218" w:name="_Toc43284609"/>
          <w:r w:rsidRPr="00027624">
            <w:t>Preservation</w:t>
          </w:r>
          <w:bookmarkEnd w:id="218"/>
          <w:r w:rsidRPr="00027624">
            <w:t xml:space="preserve"> </w:t>
          </w:r>
        </w:p>
        <w:p w14:paraId="46C89009" w14:textId="77777777" w:rsidR="00D178A4" w:rsidRPr="00027624" w:rsidRDefault="00D178A4" w:rsidP="00D178A4">
          <w:pPr>
            <w:pStyle w:val="Bullet"/>
            <w:numPr>
              <w:ilvl w:val="0"/>
              <w:numId w:val="0"/>
            </w:numPr>
          </w:pPr>
          <w:r w:rsidRPr="00027624">
            <w:t xml:space="preserve">Superannuation savings cannot generally be accessed until a person reaches their </w:t>
          </w:r>
          <w:r w:rsidR="00A8443E" w:rsidRPr="00027624">
            <w:t>‘</w:t>
          </w:r>
          <w:r w:rsidRPr="00027624">
            <w:t>preservation age</w:t>
          </w:r>
          <w:r w:rsidR="00A8443E" w:rsidRPr="00027624">
            <w:t>’</w:t>
          </w:r>
          <w:r w:rsidRPr="00027624">
            <w:t xml:space="preserve"> and they meet a condition of release. This is usually on retirement, or in some very limited other circumstances. In line with longer life expectancies, the preservation age is slowly increasing from 55 to 60. The preservation age is 55 for those born before 1 July 1960. It increases to 60 for those born after 1 July 1964.</w:t>
          </w:r>
        </w:p>
        <w:p w14:paraId="174A7147" w14:textId="77777777" w:rsidR="00D178A4" w:rsidRPr="00027624" w:rsidRDefault="00D178A4" w:rsidP="00D178A4">
          <w:pPr>
            <w:pStyle w:val="Heading3"/>
          </w:pPr>
          <w:bookmarkStart w:id="219" w:name="_Toc43284610"/>
          <w:r w:rsidRPr="00027624">
            <w:t>The role of defaults for compulsory superannuation</w:t>
          </w:r>
          <w:bookmarkEnd w:id="219"/>
        </w:p>
        <w:p w14:paraId="1DE879A0" w14:textId="77777777" w:rsidR="00D178A4" w:rsidRPr="00027624" w:rsidRDefault="00D178A4" w:rsidP="00D178A4">
          <w:pPr>
            <w:pStyle w:val="Bullet"/>
            <w:numPr>
              <w:ilvl w:val="0"/>
              <w:numId w:val="0"/>
            </w:numPr>
          </w:pPr>
          <w:r w:rsidRPr="00027624">
            <w:rPr>
              <w:b/>
              <w:bCs/>
            </w:rPr>
            <w:t>Default settings are important in the retirement income system</w:t>
          </w:r>
          <w:r w:rsidRPr="00027624">
            <w:t xml:space="preserve"> as people generally do not engage with their superannuation. Defaults also assist those with limited knowledge of money management, removing their need to make investment decisions. Defaults, particularly those dealing with contribution levels, are important in the </w:t>
          </w:r>
          <w:r w:rsidR="00346E3E" w:rsidRPr="00027624">
            <w:t>pre</w:t>
          </w:r>
          <w:r w:rsidR="00A8443E" w:rsidRPr="00027624">
            <w:noBreakHyphen/>
          </w:r>
          <w:r w:rsidR="00346E3E" w:rsidRPr="00027624">
            <w:t>retirement phase</w:t>
          </w:r>
          <w:r w:rsidRPr="00027624">
            <w:t xml:space="preserve"> as the further people are from retiring, the less they engage.</w:t>
          </w:r>
        </w:p>
        <w:p w14:paraId="7A8EB7E1" w14:textId="77777777" w:rsidR="00D178A4" w:rsidRPr="00027624" w:rsidRDefault="00D178A4" w:rsidP="00D178A4">
          <w:pPr>
            <w:pStyle w:val="Bullet"/>
            <w:numPr>
              <w:ilvl w:val="0"/>
              <w:numId w:val="0"/>
            </w:numPr>
          </w:pPr>
          <w:r w:rsidRPr="00027624">
            <w:t xml:space="preserve">Most employees can choose the superannuation fund into which their SG is paid. If an employee does not choose a superannuation fund, they are defaulted into a </w:t>
          </w:r>
          <w:r w:rsidR="00A8443E" w:rsidRPr="00027624">
            <w:t>‘</w:t>
          </w:r>
          <w:r w:rsidRPr="00027624">
            <w:t>MySuper</w:t>
          </w:r>
          <w:r w:rsidR="00A8443E" w:rsidRPr="00027624">
            <w:t>’</w:t>
          </w:r>
          <w:r w:rsidRPr="00027624">
            <w:t xml:space="preserve"> product. Since 1 January 2014, only funds offering a MySuper product have been eligible to receive default superannuation contributions for new employees. MySuper products provide a simple, </w:t>
          </w:r>
          <w:r w:rsidRPr="00027624">
            <w:lastRenderedPageBreak/>
            <w:t>cost</w:t>
          </w:r>
          <w:r w:rsidR="00A8443E" w:rsidRPr="00027624">
            <w:noBreakHyphen/>
          </w:r>
          <w:r w:rsidRPr="00027624">
            <w:t>effective, balanced product</w:t>
          </w:r>
          <w:r w:rsidRPr="00027624">
            <w:rPr>
              <w:rStyle w:val="FootnoteReference"/>
            </w:rPr>
            <w:footnoteReference w:id="23"/>
          </w:r>
          <w:r w:rsidRPr="00027624">
            <w:t xml:space="preserve"> for the vast majority of people who are invested in the default option of their current fund.</w:t>
          </w:r>
        </w:p>
        <w:p w14:paraId="50311AE3" w14:textId="77777777" w:rsidR="00D178A4" w:rsidRPr="00027624" w:rsidRDefault="00D178A4" w:rsidP="00D178A4">
          <w:r w:rsidRPr="00027624">
            <w:t>Another default setting is the provision of insurance. Superannuation fund members receive death and permanent disability insurance by default. Premiums for this insurance are deducted from the member</w:t>
          </w:r>
          <w:r w:rsidR="00A8443E" w:rsidRPr="00027624">
            <w:t>’</w:t>
          </w:r>
          <w:r w:rsidRPr="00027624">
            <w:t>s superannuation balance. Changes legislated in 2019 mean that only opt</w:t>
          </w:r>
          <w:r w:rsidR="00A8443E" w:rsidRPr="00027624">
            <w:noBreakHyphen/>
          </w:r>
          <w:r w:rsidRPr="00027624">
            <w:t>in insurance can be offered where a member is under 25 years of age or their account is less than $6,000, unless that member is in a high</w:t>
          </w:r>
          <w:r w:rsidR="00A8443E" w:rsidRPr="00027624">
            <w:noBreakHyphen/>
          </w:r>
          <w:r w:rsidRPr="00027624">
            <w:t>risk occupation. The changes also prevent insurance premiums from being deducted from accounts that are inactive.</w:t>
          </w:r>
        </w:p>
        <w:p w14:paraId="06E162E4" w14:textId="77777777" w:rsidR="00D178A4" w:rsidRPr="00027624" w:rsidRDefault="00D178A4" w:rsidP="00D178A4">
          <w:pPr>
            <w:pStyle w:val="Heading2"/>
          </w:pPr>
          <w:bookmarkStart w:id="220" w:name="_Toc34222089"/>
          <w:bookmarkStart w:id="221" w:name="_Toc43284611"/>
          <w:bookmarkStart w:id="222" w:name="_Toc45520432"/>
          <w:bookmarkStart w:id="223" w:name="_Toc46133543"/>
          <w:r w:rsidRPr="00027624">
            <w:t>Overview of voluntary savings</w:t>
          </w:r>
          <w:bookmarkEnd w:id="220"/>
          <w:bookmarkEnd w:id="221"/>
          <w:bookmarkEnd w:id="222"/>
          <w:bookmarkEnd w:id="223"/>
        </w:p>
        <w:p w14:paraId="0F9B71F0" w14:textId="77777777" w:rsidR="00D178A4" w:rsidRPr="00027624" w:rsidRDefault="00D178A4" w:rsidP="00D178A4">
          <w:pPr>
            <w:pStyle w:val="Bullet"/>
            <w:numPr>
              <w:ilvl w:val="0"/>
              <w:numId w:val="0"/>
            </w:numPr>
          </w:pPr>
          <w:r w:rsidRPr="00027624">
            <w:rPr>
              <w:b/>
              <w:bCs/>
            </w:rPr>
            <w:t>Voluntary savings make an important contribution to people</w:t>
          </w:r>
          <w:r w:rsidR="00A8443E" w:rsidRPr="00027624">
            <w:rPr>
              <w:b/>
              <w:bCs/>
            </w:rPr>
            <w:t>’</w:t>
          </w:r>
          <w:r w:rsidRPr="00027624">
            <w:rPr>
              <w:b/>
              <w:bCs/>
            </w:rPr>
            <w:t xml:space="preserve">s retirement incomes. </w:t>
          </w:r>
          <w:r w:rsidRPr="00027624">
            <w:t>For those who are not covered by compulsory superannuation for a significant portion of their working lives, such as sole traders and small business owners, or those with extended career breaks, voluntary superannuation contributions provide the necessary flexibility to contribute to the system. More broadly, voluntary savings allow people to choose how much they save for retirement.</w:t>
          </w:r>
        </w:p>
        <w:p w14:paraId="596EC500" w14:textId="77777777" w:rsidR="00D178A4" w:rsidRPr="00027624" w:rsidRDefault="00D178A4" w:rsidP="003346BB">
          <w:r w:rsidRPr="00027624">
            <w:t>Voluntary savings can include business assets, real estate including owner</w:t>
          </w:r>
          <w:r w:rsidR="00A8443E" w:rsidRPr="00027624">
            <w:noBreakHyphen/>
          </w:r>
          <w:r w:rsidRPr="00027624">
            <w:t>occupied dwellings, and other financial and non</w:t>
          </w:r>
          <w:r w:rsidR="00A8443E" w:rsidRPr="00027624">
            <w:noBreakHyphen/>
          </w:r>
          <w:r w:rsidRPr="00027624">
            <w:t>financial assets. Although these assets supplement retirement incomes, they are often accumulated for purposes unrelated to saving for retirement. The main way Government policy settings affect voluntary saving for retirement is through concessions for voluntary superannuation contributions.</w:t>
          </w:r>
        </w:p>
        <w:p w14:paraId="09886F6A" w14:textId="1224E296" w:rsidR="00D178A4" w:rsidRPr="00027624" w:rsidRDefault="00D178A4" w:rsidP="00D178A4">
          <w:pPr>
            <w:pStyle w:val="Bullet"/>
            <w:numPr>
              <w:ilvl w:val="0"/>
              <w:numId w:val="0"/>
            </w:numPr>
          </w:pPr>
          <w:r w:rsidRPr="00027624">
            <w:t>The family home is an important voluntary savings vehicle for most Australians as it reduces accommodation expenses in retirement. On average, equity in the family home represents the largest share of net wealth for Australians aged 65 and over (</w:t>
          </w:r>
          <w:r w:rsidRPr="00027624">
            <w:fldChar w:fldCharType="begin"/>
          </w:r>
          <w:r w:rsidRPr="00027624">
            <w:instrText xml:space="preserve"> REF _Ref44501777 \r \h  \* MERGEFORMAT </w:instrText>
          </w:r>
          <w:r w:rsidRPr="00027624">
            <w:fldChar w:fldCharType="separate"/>
          </w:r>
          <w:r w:rsidR="00891058">
            <w:t>Chart 1B-2</w:t>
          </w:r>
          <w:r w:rsidRPr="00027624">
            <w:fldChar w:fldCharType="end"/>
          </w:r>
          <w:r w:rsidRPr="00027624">
            <w:t>).</w:t>
          </w:r>
        </w:p>
        <w:p w14:paraId="5226E3E3" w14:textId="77777777" w:rsidR="00D178A4" w:rsidRPr="00027624" w:rsidRDefault="00D178A4" w:rsidP="00E627E2">
          <w:pPr>
            <w:pStyle w:val="ChartMainHeading"/>
            <w:numPr>
              <w:ilvl w:val="2"/>
              <w:numId w:val="17"/>
            </w:numPr>
          </w:pPr>
          <w:bookmarkStart w:id="224" w:name="_Ref44501777"/>
          <w:r w:rsidRPr="00027624">
            <w:t>Average net household wealth by age group, 2017</w:t>
          </w:r>
          <w:r w:rsidR="00A8443E" w:rsidRPr="00027624">
            <w:noBreakHyphen/>
          </w:r>
          <w:r w:rsidRPr="00027624">
            <w:t>18</w:t>
          </w:r>
          <w:bookmarkEnd w:id="224"/>
        </w:p>
        <w:p w14:paraId="39016603" w14:textId="77777777" w:rsidR="00D178A4" w:rsidRPr="00027624" w:rsidRDefault="003323F8" w:rsidP="00D178A4">
          <w:pPr>
            <w:pStyle w:val="ChartGraphic"/>
          </w:pPr>
          <w:r>
            <w:rPr>
              <w:noProof/>
            </w:rPr>
            <w:drawing>
              <wp:inline distT="0" distB="0" distL="0" distR="0" wp14:anchorId="00F334DB" wp14:editId="0D3F53E8">
                <wp:extent cx="5526000" cy="2498400"/>
                <wp:effectExtent l="0" t="0" r="0" b="0"/>
                <wp:docPr id="741687599" name="Picture 741687599" descr="This chart shows average net household wealth held by different age cohorts in 2017-18. The data is arranged in 10 year age brackets from ages 15-24, up to 75 and over. The largest asset held, excluding 15-24 year olds, is owner occupied housing. Average net wealth increases with age, peaking at ages 65-74. Median net wealth also increases with age but stabilises at ages 55-64 and 65-74 before declining. Liabilities are the greatest for households aged 35-44 and 45-54." title="Chart 1B-2 Average net household wealth by age group, 2017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6000" cy="2498400"/>
                        </a:xfrm>
                        <a:prstGeom prst="rect">
                          <a:avLst/>
                        </a:prstGeom>
                        <a:noFill/>
                      </pic:spPr>
                    </pic:pic>
                  </a:graphicData>
                </a:graphic>
              </wp:inline>
            </w:drawing>
          </w:r>
        </w:p>
        <w:p w14:paraId="05B3662C" w14:textId="77777777" w:rsidR="00D178A4" w:rsidRPr="00027624" w:rsidRDefault="00D178A4" w:rsidP="00D178A4">
          <w:pPr>
            <w:pStyle w:val="ChartorTableNote"/>
          </w:pPr>
          <w:r w:rsidRPr="00027624">
            <w:t xml:space="preserve">Note: A small number of estimates have high standard errors and should be used with caution. Source: </w:t>
          </w:r>
          <w:sdt>
            <w:sdtPr>
              <w:id w:val="-922567335"/>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w:t>
          </w:r>
        </w:p>
        <w:p w14:paraId="4E635ABC" w14:textId="77777777" w:rsidR="00D178A4" w:rsidRPr="00027624" w:rsidRDefault="00D178A4" w:rsidP="00D178A4">
          <w:pPr>
            <w:pStyle w:val="Heading3"/>
            <w:spacing w:before="0"/>
          </w:pPr>
          <w:bookmarkStart w:id="225" w:name="_Toc43284612"/>
          <w:r w:rsidRPr="00027624">
            <w:t>Voluntary contributions to superannuation</w:t>
          </w:r>
          <w:bookmarkEnd w:id="225"/>
          <w:r w:rsidRPr="00027624">
            <w:t xml:space="preserve"> </w:t>
          </w:r>
        </w:p>
        <w:p w14:paraId="549CB357" w14:textId="2D983145" w:rsidR="00D178A4" w:rsidRPr="00027624" w:rsidRDefault="00D178A4" w:rsidP="00D178A4">
          <w:pPr>
            <w:pStyle w:val="Bullet"/>
            <w:numPr>
              <w:ilvl w:val="0"/>
              <w:numId w:val="0"/>
            </w:numPr>
          </w:pPr>
          <w:r w:rsidRPr="00027624">
            <w:t>People can make additional contributions to superannuation. In 2017</w:t>
          </w:r>
          <w:r w:rsidR="00A8443E" w:rsidRPr="00027624">
            <w:noBreakHyphen/>
          </w:r>
          <w:r w:rsidRPr="00027624">
            <w:t>18, voluntary contributions made up around 40 per cent of the total contributions to superannuation (</w:t>
          </w:r>
          <w:r w:rsidRPr="00027624">
            <w:fldChar w:fldCharType="begin"/>
          </w:r>
          <w:r w:rsidRPr="00027624">
            <w:instrText xml:space="preserve"> REF _Ref42683027 \r \h  \* MERGEFORMAT </w:instrText>
          </w:r>
          <w:r w:rsidRPr="00027624">
            <w:fldChar w:fldCharType="separate"/>
          </w:r>
          <w:r w:rsidR="00891058">
            <w:t>Table 1B-5</w:t>
          </w:r>
          <w:r w:rsidRPr="00027624">
            <w:fldChar w:fldCharType="end"/>
          </w:r>
          <w:r w:rsidRPr="00027624">
            <w:t xml:space="preserve">). As </w:t>
          </w:r>
          <w:r w:rsidRPr="00027624">
            <w:lastRenderedPageBreak/>
            <w:t>superannuation is concessionally taxed, it can be an attractive savings vehicle. However, caps on superannuation contributions limit access to these concessions. These caps have changed over time (</w:t>
          </w:r>
          <w:r w:rsidRPr="00027624">
            <w:fldChar w:fldCharType="begin"/>
          </w:r>
          <w:r w:rsidRPr="00027624">
            <w:instrText xml:space="preserve"> REF _Ref42606265 \r \h  \* MERGEFORMAT </w:instrText>
          </w:r>
          <w:r w:rsidRPr="00027624">
            <w:fldChar w:fldCharType="separate"/>
          </w:r>
          <w:r w:rsidR="00891058">
            <w:t>Box 1B-4</w:t>
          </w:r>
          <w:r w:rsidRPr="00027624">
            <w:fldChar w:fldCharType="end"/>
          </w:r>
          <w:r w:rsidRPr="00027624">
            <w:t>).</w:t>
          </w:r>
        </w:p>
        <w:p w14:paraId="1A98F0AB" w14:textId="77777777" w:rsidR="00D178A4" w:rsidRPr="00027624" w:rsidRDefault="00D178A4" w:rsidP="00D178A4">
          <w:pPr>
            <w:pStyle w:val="TableMainHeading"/>
          </w:pPr>
          <w:bookmarkStart w:id="226" w:name="_Ref42683027"/>
          <w:r w:rsidRPr="00027624">
            <w:t>Superannuation contributions</w:t>
          </w:r>
          <w:bookmarkEnd w:id="226"/>
        </w:p>
        <w:tbl>
          <w:tblPr>
            <w:tblW w:w="5000" w:type="pct"/>
            <w:tblLook w:val="01E0" w:firstRow="1" w:lastRow="1" w:firstColumn="1" w:lastColumn="1" w:noHBand="0" w:noVBand="0"/>
          </w:tblPr>
          <w:tblGrid>
            <w:gridCol w:w="4052"/>
            <w:gridCol w:w="2509"/>
            <w:gridCol w:w="2509"/>
          </w:tblGrid>
          <w:tr w:rsidR="00D178A4" w:rsidRPr="00027624" w14:paraId="3AE56766" w14:textId="77777777" w:rsidTr="00D178A4">
            <w:trPr>
              <w:trHeight w:val="270"/>
              <w:tblHeader/>
            </w:trPr>
            <w:tc>
              <w:tcPr>
                <w:tcW w:w="2234" w:type="pct"/>
                <w:shd w:val="clear" w:color="auto" w:fill="E5E5E5"/>
              </w:tcPr>
              <w:p w14:paraId="78557E59" w14:textId="77777777" w:rsidR="00D178A4" w:rsidRPr="00027624" w:rsidRDefault="00D178A4" w:rsidP="00D178A4">
                <w:pPr>
                  <w:pStyle w:val="TableColumnHeadingLeft"/>
                </w:pPr>
                <w:r w:rsidRPr="00027624">
                  <w:t>Contribution type</w:t>
                </w:r>
              </w:p>
            </w:tc>
            <w:tc>
              <w:tcPr>
                <w:tcW w:w="1383" w:type="pct"/>
                <w:shd w:val="clear" w:color="auto" w:fill="E5E5E5"/>
              </w:tcPr>
              <w:p w14:paraId="02DD1F50" w14:textId="77777777" w:rsidR="00D178A4" w:rsidRPr="00027624" w:rsidRDefault="00D178A4" w:rsidP="00FB0379">
                <w:pPr>
                  <w:pStyle w:val="TableColumnHeadingCentred"/>
                </w:pPr>
                <w:r w:rsidRPr="00027624">
                  <w:t>Amount ($billion)</w:t>
                </w:r>
              </w:p>
            </w:tc>
            <w:tc>
              <w:tcPr>
                <w:tcW w:w="1383" w:type="pct"/>
                <w:shd w:val="clear" w:color="auto" w:fill="E5E5E5"/>
              </w:tcPr>
              <w:p w14:paraId="7806E0A7" w14:textId="77777777" w:rsidR="00D178A4" w:rsidRPr="00027624" w:rsidRDefault="00D178A4" w:rsidP="00D178A4">
                <w:pPr>
                  <w:pStyle w:val="TableColumnHeadingCentred"/>
                </w:pPr>
                <w:r w:rsidRPr="00027624">
                  <w:t>Per cent</w:t>
                </w:r>
              </w:p>
            </w:tc>
          </w:tr>
          <w:tr w:rsidR="00D178A4" w:rsidRPr="00027624" w14:paraId="5B9765CA" w14:textId="77777777" w:rsidTr="00D178A4">
            <w:trPr>
              <w:trHeight w:val="270"/>
            </w:trPr>
            <w:tc>
              <w:tcPr>
                <w:tcW w:w="2234" w:type="pct"/>
              </w:tcPr>
              <w:p w14:paraId="0DBC80DC" w14:textId="77777777" w:rsidR="00D178A4" w:rsidRPr="00027624" w:rsidRDefault="00D178A4" w:rsidP="00D178A4">
                <w:pPr>
                  <w:pStyle w:val="TableTextLeft"/>
                </w:pPr>
                <w:r w:rsidRPr="00027624">
                  <w:t>Employer (excluding salary sacrifice)</w:t>
                </w:r>
              </w:p>
            </w:tc>
            <w:tc>
              <w:tcPr>
                <w:tcW w:w="1383" w:type="pct"/>
              </w:tcPr>
              <w:p w14:paraId="13A8325E" w14:textId="77777777" w:rsidR="00D178A4" w:rsidRPr="00027624" w:rsidRDefault="00D178A4" w:rsidP="00D178A4">
                <w:pPr>
                  <w:pStyle w:val="TableTextCentered"/>
                </w:pPr>
                <w:r w:rsidRPr="00027624">
                  <w:t>62.9</w:t>
                </w:r>
              </w:p>
            </w:tc>
            <w:tc>
              <w:tcPr>
                <w:tcW w:w="1383" w:type="pct"/>
              </w:tcPr>
              <w:p w14:paraId="36A10DB3" w14:textId="77777777" w:rsidR="00D178A4" w:rsidRPr="00027624" w:rsidRDefault="00D178A4" w:rsidP="00D178A4">
                <w:pPr>
                  <w:pStyle w:val="TableTextCentered"/>
                </w:pPr>
                <w:r w:rsidRPr="00027624">
                  <w:t>62</w:t>
                </w:r>
              </w:p>
            </w:tc>
          </w:tr>
          <w:tr w:rsidR="00D178A4" w:rsidRPr="00027624" w14:paraId="4509F3A5" w14:textId="77777777" w:rsidTr="00D178A4">
            <w:trPr>
              <w:trHeight w:val="270"/>
            </w:trPr>
            <w:tc>
              <w:tcPr>
                <w:tcW w:w="2234" w:type="pct"/>
              </w:tcPr>
              <w:p w14:paraId="5A28E773" w14:textId="77777777" w:rsidR="00D178A4" w:rsidRPr="00027624" w:rsidRDefault="00D178A4" w:rsidP="00D178A4">
                <w:pPr>
                  <w:pStyle w:val="TableTextLeft"/>
                </w:pPr>
                <w:r w:rsidRPr="00027624">
                  <w:t>Concessional — salary sacrifice</w:t>
                </w:r>
              </w:p>
            </w:tc>
            <w:tc>
              <w:tcPr>
                <w:tcW w:w="1383" w:type="pct"/>
              </w:tcPr>
              <w:p w14:paraId="6E440449" w14:textId="77777777" w:rsidR="00D178A4" w:rsidRPr="00027624" w:rsidRDefault="00D178A4" w:rsidP="00D178A4">
                <w:pPr>
                  <w:pStyle w:val="TableTextCentered"/>
                </w:pPr>
                <w:r w:rsidRPr="00027624">
                  <w:t>10.9</w:t>
                </w:r>
              </w:p>
            </w:tc>
            <w:tc>
              <w:tcPr>
                <w:tcW w:w="1383" w:type="pct"/>
              </w:tcPr>
              <w:p w14:paraId="426558BC" w14:textId="77777777" w:rsidR="00D178A4" w:rsidRPr="00027624" w:rsidRDefault="00D178A4" w:rsidP="00D178A4">
                <w:pPr>
                  <w:pStyle w:val="TableTextCentered"/>
                </w:pPr>
                <w:r w:rsidRPr="00027624">
                  <w:t>11</w:t>
                </w:r>
              </w:p>
            </w:tc>
          </w:tr>
          <w:tr w:rsidR="00D178A4" w:rsidRPr="00027624" w14:paraId="00A7169E" w14:textId="77777777" w:rsidTr="00D178A4">
            <w:trPr>
              <w:trHeight w:val="270"/>
            </w:trPr>
            <w:tc>
              <w:tcPr>
                <w:tcW w:w="2234" w:type="pct"/>
              </w:tcPr>
              <w:p w14:paraId="29D4E87E" w14:textId="77777777" w:rsidR="00D178A4" w:rsidRPr="00027624" w:rsidRDefault="00D178A4" w:rsidP="00D178A4">
                <w:pPr>
                  <w:pStyle w:val="TableTextLeft"/>
                </w:pPr>
                <w:r w:rsidRPr="00027624">
                  <w:t>Concessional — personal deductible</w:t>
                </w:r>
              </w:p>
            </w:tc>
            <w:tc>
              <w:tcPr>
                <w:tcW w:w="1383" w:type="pct"/>
              </w:tcPr>
              <w:p w14:paraId="67E804A9" w14:textId="77777777" w:rsidR="00D178A4" w:rsidRPr="00027624" w:rsidRDefault="00D178A4" w:rsidP="00D178A4">
                <w:pPr>
                  <w:pStyle w:val="TableTextCentered"/>
                </w:pPr>
                <w:r w:rsidRPr="00027624">
                  <w:t>5.0</w:t>
                </w:r>
              </w:p>
            </w:tc>
            <w:tc>
              <w:tcPr>
                <w:tcW w:w="1383" w:type="pct"/>
              </w:tcPr>
              <w:p w14:paraId="4B07ADE5" w14:textId="77777777" w:rsidR="00D178A4" w:rsidRPr="00027624" w:rsidRDefault="00D178A4" w:rsidP="00D178A4">
                <w:pPr>
                  <w:pStyle w:val="TableTextCentered"/>
                </w:pPr>
                <w:r w:rsidRPr="00027624">
                  <w:t>5</w:t>
                </w:r>
              </w:p>
            </w:tc>
          </w:tr>
          <w:tr w:rsidR="00D178A4" w:rsidRPr="00027624" w14:paraId="0DD7B0E4" w14:textId="77777777" w:rsidTr="00D178A4">
            <w:trPr>
              <w:trHeight w:val="270"/>
            </w:trPr>
            <w:tc>
              <w:tcPr>
                <w:tcW w:w="2234" w:type="pct"/>
              </w:tcPr>
              <w:p w14:paraId="251B5882" w14:textId="77777777" w:rsidR="00D178A4" w:rsidRPr="00027624" w:rsidRDefault="00D178A4" w:rsidP="00D178A4">
                <w:pPr>
                  <w:pStyle w:val="TableTextLeft"/>
                </w:pPr>
                <w:r w:rsidRPr="00027624">
                  <w:t>Non</w:t>
                </w:r>
                <w:r w:rsidR="00A8443E" w:rsidRPr="00027624">
                  <w:noBreakHyphen/>
                </w:r>
                <w:r w:rsidRPr="00027624">
                  <w:t>concessional</w:t>
                </w:r>
              </w:p>
            </w:tc>
            <w:tc>
              <w:tcPr>
                <w:tcW w:w="1383" w:type="pct"/>
              </w:tcPr>
              <w:p w14:paraId="251F340B" w14:textId="77777777" w:rsidR="00D178A4" w:rsidRPr="00027624" w:rsidRDefault="00D178A4" w:rsidP="00D178A4">
                <w:pPr>
                  <w:pStyle w:val="TableTextCentered"/>
                </w:pPr>
                <w:r w:rsidRPr="00027624">
                  <w:t>23.1</w:t>
                </w:r>
              </w:p>
            </w:tc>
            <w:tc>
              <w:tcPr>
                <w:tcW w:w="1383" w:type="pct"/>
              </w:tcPr>
              <w:p w14:paraId="391C4D8B" w14:textId="77777777" w:rsidR="00D178A4" w:rsidRPr="00027624" w:rsidRDefault="00D178A4" w:rsidP="00D178A4">
                <w:pPr>
                  <w:pStyle w:val="TableTextCentered"/>
                </w:pPr>
                <w:r w:rsidRPr="00027624">
                  <w:t>23</w:t>
                </w:r>
              </w:p>
            </w:tc>
          </w:tr>
          <w:tr w:rsidR="00D178A4" w:rsidRPr="00027624" w14:paraId="6638F18E" w14:textId="77777777" w:rsidTr="00D178A4">
            <w:trPr>
              <w:trHeight w:val="270"/>
            </w:trPr>
            <w:tc>
              <w:tcPr>
                <w:tcW w:w="2234" w:type="pct"/>
              </w:tcPr>
              <w:p w14:paraId="26A9DF77" w14:textId="77777777" w:rsidR="00D178A4" w:rsidRPr="00027624" w:rsidRDefault="00D178A4" w:rsidP="00D178A4">
                <w:pPr>
                  <w:pStyle w:val="TableTextLeft"/>
                  <w:rPr>
                    <w:b/>
                  </w:rPr>
                </w:pPr>
                <w:r w:rsidRPr="00027624">
                  <w:rPr>
                    <w:b/>
                  </w:rPr>
                  <w:t>Total</w:t>
                </w:r>
              </w:p>
            </w:tc>
            <w:tc>
              <w:tcPr>
                <w:tcW w:w="1383" w:type="pct"/>
              </w:tcPr>
              <w:p w14:paraId="5DEE9A64" w14:textId="77777777" w:rsidR="00D178A4" w:rsidRPr="00027624" w:rsidRDefault="00D178A4" w:rsidP="00D178A4">
                <w:pPr>
                  <w:pStyle w:val="TableTextCentered"/>
                  <w:rPr>
                    <w:b/>
                  </w:rPr>
                </w:pPr>
                <w:r w:rsidRPr="00027624">
                  <w:rPr>
                    <w:b/>
                  </w:rPr>
                  <w:t>101.9</w:t>
                </w:r>
              </w:p>
            </w:tc>
            <w:tc>
              <w:tcPr>
                <w:tcW w:w="1383" w:type="pct"/>
              </w:tcPr>
              <w:p w14:paraId="25A5D714" w14:textId="77777777" w:rsidR="00D178A4" w:rsidRPr="00027624" w:rsidRDefault="00D178A4" w:rsidP="00D178A4">
                <w:pPr>
                  <w:pStyle w:val="TableTextCentered"/>
                  <w:rPr>
                    <w:b/>
                  </w:rPr>
                </w:pPr>
                <w:r w:rsidRPr="00027624">
                  <w:rPr>
                    <w:b/>
                  </w:rPr>
                  <w:t>100</w:t>
                </w:r>
              </w:p>
            </w:tc>
          </w:tr>
        </w:tbl>
        <w:p w14:paraId="3197C5E1" w14:textId="77777777" w:rsidR="00D178A4" w:rsidRPr="00027624" w:rsidRDefault="00FB0379" w:rsidP="00D178A4">
          <w:pPr>
            <w:pStyle w:val="ChartorTableNote"/>
          </w:pPr>
          <w:r>
            <w:t xml:space="preserve">Note: </w:t>
          </w:r>
          <w:r w:rsidR="00D178A4" w:rsidRPr="00027624">
            <w:t xml:space="preserve">Does not include those with no member contribution statement. Does not include </w:t>
          </w:r>
          <w:r w:rsidR="00A8443E" w:rsidRPr="00027624">
            <w:t>‘</w:t>
          </w:r>
          <w:r w:rsidR="00D178A4" w:rsidRPr="00027624">
            <w:t>other</w:t>
          </w:r>
          <w:r w:rsidR="00A8443E" w:rsidRPr="00027624">
            <w:t>’</w:t>
          </w:r>
          <w:r w:rsidR="00D178A4" w:rsidRPr="00027624">
            <w:t xml:space="preserve"> superannuation contributions, such as spouse contributions and Government co</w:t>
          </w:r>
          <w:r w:rsidR="00A8443E" w:rsidRPr="00027624">
            <w:noBreakHyphen/>
          </w:r>
          <w:r w:rsidR="00D178A4" w:rsidRPr="00027624">
            <w:t>contributions. Does not include contributions to defined benefit funds. Source: Analysis of ATO individual income tax returns and member contributions statements, 2017</w:t>
          </w:r>
          <w:r w:rsidR="00A8443E" w:rsidRPr="00027624">
            <w:noBreakHyphen/>
          </w:r>
          <w:r w:rsidR="00D178A4" w:rsidRPr="00027624">
            <w:t>18.</w:t>
          </w:r>
        </w:p>
        <w:p w14:paraId="268F14CB" w14:textId="77777777" w:rsidR="00D178A4" w:rsidRPr="00027624" w:rsidRDefault="00D178A4" w:rsidP="00664585">
          <w:r w:rsidRPr="00027624">
            <w:t>People make two broad types of voluntary contributions:</w:t>
          </w:r>
        </w:p>
        <w:p w14:paraId="5A1D713B" w14:textId="77777777" w:rsidR="00D178A4" w:rsidRPr="00027624" w:rsidRDefault="00D178A4" w:rsidP="00664585">
          <w:pPr>
            <w:pStyle w:val="Bullet"/>
          </w:pPr>
          <w:r w:rsidRPr="00027624">
            <w:rPr>
              <w:b/>
            </w:rPr>
            <w:t>Concessional contributions</w:t>
          </w:r>
          <w:r w:rsidRPr="00027624">
            <w:t xml:space="preserve"> are made from pre</w:t>
          </w:r>
          <w:r w:rsidR="00A8443E" w:rsidRPr="00027624">
            <w:noBreakHyphen/>
          </w:r>
          <w:r w:rsidRPr="00027624">
            <w:t>tax income and taxed at 15 per cent in the fund. Employees may salary sacrifice or make tax</w:t>
          </w:r>
          <w:r w:rsidR="00A8443E" w:rsidRPr="00027624">
            <w:noBreakHyphen/>
          </w:r>
          <w:r w:rsidRPr="00027624">
            <w:t xml:space="preserve">deductible contributions to a superannuation fund. SG contributions are generally </w:t>
          </w:r>
          <w:r w:rsidRPr="00664585">
            <w:t>concessional</w:t>
          </w:r>
          <w:r w:rsidRPr="00027624">
            <w:t xml:space="preserve"> contributions. People without access to salary sacrifice arrangements (such as self</w:t>
          </w:r>
          <w:r w:rsidR="00A8443E" w:rsidRPr="00027624">
            <w:noBreakHyphen/>
          </w:r>
          <w:r w:rsidRPr="00027624">
            <w:t xml:space="preserve">employed people) generally make concessional contributions by contributing to a superannuation fund and claiming a tax deduction for the contribution. </w:t>
          </w:r>
        </w:p>
        <w:p w14:paraId="368DDB32" w14:textId="77777777" w:rsidR="00026BF2" w:rsidRPr="00027624" w:rsidRDefault="00D178A4" w:rsidP="00664585">
          <w:pPr>
            <w:pStyle w:val="Bullet"/>
          </w:pPr>
          <w:r w:rsidRPr="00027624">
            <w:rPr>
              <w:b/>
            </w:rPr>
            <w:t>Non</w:t>
          </w:r>
          <w:r w:rsidR="00A8443E" w:rsidRPr="00027624">
            <w:rPr>
              <w:b/>
            </w:rPr>
            <w:noBreakHyphen/>
          </w:r>
          <w:r w:rsidRPr="00027624">
            <w:rPr>
              <w:b/>
            </w:rPr>
            <w:t>concessional contributions</w:t>
          </w:r>
          <w:r w:rsidRPr="00027624">
            <w:t xml:space="preserve"> are made from post</w:t>
          </w:r>
          <w:r w:rsidR="00A8443E" w:rsidRPr="00027624">
            <w:noBreakHyphen/>
          </w:r>
          <w:r w:rsidRPr="00027624">
            <w:t>tax income.</w:t>
          </w:r>
        </w:p>
        <w:p w14:paraId="7B1EE32E" w14:textId="77777777" w:rsidR="00026BF2" w:rsidRPr="00027624" w:rsidRDefault="00026BF2" w:rsidP="00664585">
          <w:r w:rsidRPr="00027624">
            <w:t xml:space="preserve">Currently, people can make up to $25,000 of </w:t>
          </w:r>
          <w:r w:rsidRPr="00027624">
            <w:rPr>
              <w:b/>
            </w:rPr>
            <w:t>concessional contributions</w:t>
          </w:r>
          <w:r w:rsidRPr="00027624">
            <w:t xml:space="preserve"> each year. Since 1 July 2018, people have been able to ‘carry forward’ some of their unused concessional contributions cap for up to five subsequent years if their superannuation balance is less than $500,000.</w:t>
          </w:r>
        </w:p>
        <w:p w14:paraId="6AFE49A1" w14:textId="77777777" w:rsidR="00026BF2" w:rsidRPr="00027624" w:rsidRDefault="00026BF2" w:rsidP="00664585">
          <w:r w:rsidRPr="00027624">
            <w:t xml:space="preserve">People can make up to $100,000 in </w:t>
          </w:r>
          <w:r w:rsidRPr="00027624">
            <w:rPr>
              <w:b/>
            </w:rPr>
            <w:t>non</w:t>
          </w:r>
          <w:r w:rsidRPr="00027624">
            <w:rPr>
              <w:b/>
            </w:rPr>
            <w:noBreakHyphen/>
            <w:t>concessional contributions</w:t>
          </w:r>
          <w:r w:rsidRPr="00027624">
            <w:t xml:space="preserve"> each year. People with superannuation fund balances of $1.6 million or more cannot make non</w:t>
          </w:r>
          <w:r w:rsidRPr="00027624">
            <w:noBreakHyphen/>
            <w:t>concessional contributions. ‘Bring forward’ arrangements allow people under 65 to make up to three years’ of non</w:t>
          </w:r>
          <w:r w:rsidRPr="00027624">
            <w:noBreakHyphen/>
            <w:t>concessional contributions (i.e. $300,000) in one year, provided the contribution does not mean the person’s balance breaches the $1.6 million cap.</w:t>
          </w:r>
          <w:r w:rsidRPr="00027624">
            <w:rPr>
              <w:rStyle w:val="FootnoteReference"/>
            </w:rPr>
            <w:footnoteReference w:id="24"/>
          </w:r>
        </w:p>
        <w:p w14:paraId="385B9150" w14:textId="77777777" w:rsidR="00026BF2" w:rsidRPr="00027624" w:rsidRDefault="00026BF2" w:rsidP="00664585">
          <w:r w:rsidRPr="00027624">
            <w:t xml:space="preserve">From 1 July 2017, the </w:t>
          </w:r>
          <w:r w:rsidRPr="00027624">
            <w:rPr>
              <w:b/>
            </w:rPr>
            <w:t>concessional contributions cap</w:t>
          </w:r>
          <w:r w:rsidRPr="00027624">
            <w:t xml:space="preserve"> was indexed to average weekly ordinary time earnings. It is increased in increments of $2,500. The non</w:t>
          </w:r>
          <w:r w:rsidRPr="00027624">
            <w:noBreakHyphen/>
            <w:t xml:space="preserve">concessional contributions cap is indexed in line with the concessional contributions cap. </w:t>
          </w:r>
        </w:p>
        <w:p w14:paraId="2BE26C3A" w14:textId="77777777" w:rsidR="00664585" w:rsidRDefault="00026BF2" w:rsidP="00026BF2">
          <w:r w:rsidRPr="00027624">
            <w:t xml:space="preserve">People are also subject to </w:t>
          </w:r>
          <w:r w:rsidRPr="00027624">
            <w:rPr>
              <w:b/>
            </w:rPr>
            <w:t>age</w:t>
          </w:r>
          <w:r w:rsidRPr="00027624">
            <w:rPr>
              <w:b/>
            </w:rPr>
            <w:noBreakHyphen/>
            <w:t>based contribution rules</w:t>
          </w:r>
          <w:r w:rsidRPr="00027624">
            <w:t>. From 1 July 2020, those aged 67 and over can only contribute if they meet the ‘work test’ by working more than 40 hours in a 30</w:t>
          </w:r>
          <w:r w:rsidRPr="00027624">
            <w:noBreakHyphen/>
            <w:t>day period at some point in the relevant year.</w:t>
          </w:r>
          <w:r w:rsidRPr="00027624">
            <w:rPr>
              <w:rStyle w:val="FootnoteReference"/>
            </w:rPr>
            <w:footnoteReference w:id="25"/>
          </w:r>
          <w:r w:rsidRPr="00027624">
            <w:t xml:space="preserve"> Those aged 75 and over cannot make voluntary contributions to superannuation.</w:t>
          </w:r>
        </w:p>
        <w:p w14:paraId="285EAF75" w14:textId="77777777" w:rsidR="00664585" w:rsidRPr="00027624" w:rsidRDefault="00664585" w:rsidP="00664585">
          <w:r w:rsidRPr="00027624">
            <w:t xml:space="preserve">People can also contribute to superannuation in a number of </w:t>
          </w:r>
          <w:r w:rsidRPr="00027624">
            <w:rPr>
              <w:b/>
            </w:rPr>
            <w:t>specific circumstances</w:t>
          </w:r>
          <w:r w:rsidRPr="00027624">
            <w:t>. For example, specific rules apply to personal injury payments, proceeds from downsizing a home, and proceeds from selling a small business.</w:t>
          </w:r>
        </w:p>
        <w:p w14:paraId="537DF2CB" w14:textId="77777777" w:rsidR="00664585" w:rsidRPr="00027624" w:rsidRDefault="00664585" w:rsidP="00026BF2">
          <w:r w:rsidRPr="00027624">
            <w:rPr>
              <w:b/>
            </w:rPr>
            <w:t>Downsizer contributions</w:t>
          </w:r>
          <w:r w:rsidRPr="00027624">
            <w:t xml:space="preserve"> allow a person aged 65 or over to make a contribution of up to $300,000 from the proceeds of the sale of their home. Certain conditions apply, including that the home has been held for at least 10 years prior to the sale.</w:t>
          </w:r>
        </w:p>
        <w:tbl>
          <w:tblPr>
            <w:tblStyle w:val="TableGrid"/>
            <w:tblW w:w="5000" w:type="pct"/>
            <w:shd w:val="clear" w:color="auto" w:fill="FFF8EA"/>
            <w:tblLook w:val="04A0" w:firstRow="1" w:lastRow="0" w:firstColumn="1" w:lastColumn="0" w:noHBand="0" w:noVBand="1"/>
          </w:tblPr>
          <w:tblGrid>
            <w:gridCol w:w="9070"/>
          </w:tblGrid>
          <w:tr w:rsidR="00D178A4" w:rsidRPr="00027624" w14:paraId="1402EFF1" w14:textId="77777777" w:rsidTr="00664585">
            <w:trPr>
              <w:cantSplit/>
            </w:trPr>
            <w:tc>
              <w:tcPr>
                <w:tcW w:w="5000" w:type="pct"/>
                <w:shd w:val="clear" w:color="auto" w:fill="FFF8EA"/>
              </w:tcPr>
              <w:p w14:paraId="21D8470A" w14:textId="77777777" w:rsidR="00D178A4" w:rsidRPr="00027624" w:rsidRDefault="00D178A4" w:rsidP="00664585">
                <w:pPr>
                  <w:pStyle w:val="BoxHeading"/>
                </w:pPr>
                <w:bookmarkStart w:id="227" w:name="_Ref42606265"/>
                <w:r w:rsidRPr="00027624">
                  <w:lastRenderedPageBreak/>
                  <w:t>Historic changes to contribution rules</w:t>
                </w:r>
                <w:bookmarkEnd w:id="227"/>
              </w:p>
              <w:p w14:paraId="012A16B0" w14:textId="77777777" w:rsidR="00D178A4" w:rsidRPr="00027624" w:rsidRDefault="00D178A4" w:rsidP="00664585">
                <w:pPr>
                  <w:pStyle w:val="BoxText"/>
                  <w:rPr>
                    <w:rFonts w:eastAsiaTheme="minorEastAsia"/>
                    <w:lang w:eastAsia="en-US"/>
                  </w:rPr>
                </w:pPr>
                <w:r w:rsidRPr="00027624">
                  <w:t>Non</w:t>
                </w:r>
                <w:r w:rsidR="00A8443E" w:rsidRPr="00027624">
                  <w:noBreakHyphen/>
                </w:r>
                <w:r w:rsidRPr="00027624">
                  <w:t xml:space="preserve">concessional contributions were uncapped before May 2006, </w:t>
                </w:r>
                <w:r w:rsidRPr="00027624">
                  <w:rPr>
                    <w:rFonts w:eastAsiaTheme="minorEastAsia"/>
                    <w:lang w:eastAsia="en-US"/>
                  </w:rPr>
                  <w:t>limited to $1 million between 10 May 2006 and June 2007,</w:t>
                </w:r>
                <w:r w:rsidRPr="00027624">
                  <w:rPr>
                    <w:rStyle w:val="FootnoteReference"/>
                    <w:rFonts w:eastAsiaTheme="minorEastAsia" w:cs="Calibri"/>
                    <w:color w:val="000000"/>
                    <w:lang w:eastAsia="en-US"/>
                  </w:rPr>
                  <w:footnoteReference w:id="26"/>
                </w:r>
                <w:r w:rsidRPr="00027624">
                  <w:rPr>
                    <w:rFonts w:eastAsiaTheme="minorEastAsia"/>
                    <w:lang w:eastAsia="en-US"/>
                  </w:rPr>
                  <w:t xml:space="preserve"> $150,000 from 2007</w:t>
                </w:r>
                <w:r w:rsidR="00A8443E" w:rsidRPr="00027624">
                  <w:rPr>
                    <w:rFonts w:eastAsiaTheme="minorEastAsia"/>
                    <w:lang w:eastAsia="en-US"/>
                  </w:rPr>
                  <w:noBreakHyphen/>
                </w:r>
                <w:r w:rsidRPr="00027624">
                  <w:rPr>
                    <w:rFonts w:eastAsiaTheme="minorEastAsia"/>
                    <w:lang w:eastAsia="en-US"/>
                  </w:rPr>
                  <w:t>08 to 2013</w:t>
                </w:r>
                <w:r w:rsidR="00A8443E" w:rsidRPr="00027624">
                  <w:rPr>
                    <w:rFonts w:eastAsiaTheme="minorEastAsia"/>
                    <w:lang w:eastAsia="en-US"/>
                  </w:rPr>
                  <w:noBreakHyphen/>
                </w:r>
                <w:r w:rsidRPr="00027624">
                  <w:rPr>
                    <w:rFonts w:eastAsiaTheme="minorEastAsia"/>
                    <w:lang w:eastAsia="en-US"/>
                  </w:rPr>
                  <w:t>14, $180,000 for 2014</w:t>
                </w:r>
                <w:r w:rsidR="00A8443E" w:rsidRPr="00027624">
                  <w:rPr>
                    <w:rFonts w:eastAsiaTheme="minorEastAsia"/>
                    <w:lang w:eastAsia="en-US"/>
                  </w:rPr>
                  <w:noBreakHyphen/>
                </w:r>
                <w:r w:rsidRPr="00027624">
                  <w:rPr>
                    <w:rFonts w:eastAsiaTheme="minorEastAsia"/>
                    <w:lang w:eastAsia="en-US"/>
                  </w:rPr>
                  <w:t>15 to 2016</w:t>
                </w:r>
                <w:r w:rsidR="00A8443E" w:rsidRPr="00027624">
                  <w:rPr>
                    <w:rFonts w:eastAsiaTheme="minorEastAsia"/>
                    <w:lang w:eastAsia="en-US"/>
                  </w:rPr>
                  <w:noBreakHyphen/>
                </w:r>
                <w:r w:rsidRPr="00027624">
                  <w:rPr>
                    <w:rFonts w:eastAsiaTheme="minorEastAsia"/>
                    <w:lang w:eastAsia="en-US"/>
                  </w:rPr>
                  <w:t>17, and $100,000 from 1 July 2017 onwards.</w:t>
                </w:r>
              </w:p>
              <w:p w14:paraId="46B51F6D" w14:textId="1AC0C675" w:rsidR="00D178A4" w:rsidRDefault="00D178A4" w:rsidP="00664585">
                <w:pPr>
                  <w:pStyle w:val="BoxText"/>
                  <w:rPr>
                    <w:rFonts w:eastAsiaTheme="minorEastAsia"/>
                    <w:lang w:eastAsia="en-US"/>
                  </w:rPr>
                </w:pPr>
                <w:r w:rsidRPr="00027624">
                  <w:rPr>
                    <w:rFonts w:eastAsiaTheme="minorEastAsia"/>
                    <w:lang w:eastAsia="en-US"/>
                  </w:rPr>
                  <w:t xml:space="preserve">Similarly, concessional </w:t>
                </w:r>
                <w:r w:rsidR="00404B9D" w:rsidRPr="00027624">
                  <w:rPr>
                    <w:rFonts w:eastAsiaTheme="minorEastAsia"/>
                    <w:lang w:eastAsia="en-US"/>
                  </w:rPr>
                  <w:t>contributions cap</w:t>
                </w:r>
                <w:r w:rsidRPr="00027624">
                  <w:rPr>
                    <w:rFonts w:eastAsiaTheme="minorEastAsia"/>
                    <w:lang w:eastAsia="en-US"/>
                  </w:rPr>
                  <w:t xml:space="preserve">s have changed over time, </w:t>
                </w:r>
                <w:r w:rsidR="00E627E2" w:rsidRPr="00027624">
                  <w:rPr>
                    <w:rFonts w:eastAsiaTheme="minorEastAsia"/>
                    <w:lang w:eastAsia="en-US"/>
                  </w:rPr>
                  <w:t>typicall</w:t>
                </w:r>
                <w:r w:rsidRPr="00027624">
                  <w:rPr>
                    <w:rFonts w:eastAsiaTheme="minorEastAsia"/>
                    <w:lang w:eastAsia="en-US"/>
                  </w:rPr>
                  <w:t>y to make them less generous (</w:t>
                </w:r>
                <w:r w:rsidR="006B5413">
                  <w:rPr>
                    <w:rFonts w:eastAsiaTheme="minorEastAsia"/>
                    <w:lang w:eastAsia="en-US"/>
                  </w:rPr>
                  <w:fldChar w:fldCharType="begin"/>
                </w:r>
                <w:r w:rsidR="006B5413">
                  <w:rPr>
                    <w:rFonts w:eastAsiaTheme="minorEastAsia"/>
                    <w:lang w:eastAsia="en-US"/>
                  </w:rPr>
                  <w:instrText xml:space="preserve"> REF _Ref45823802 \r \h </w:instrText>
                </w:r>
                <w:r w:rsidR="006B5413">
                  <w:rPr>
                    <w:rFonts w:eastAsiaTheme="minorEastAsia"/>
                    <w:lang w:eastAsia="en-US"/>
                  </w:rPr>
                </w:r>
                <w:r w:rsidR="006B5413">
                  <w:rPr>
                    <w:rFonts w:eastAsiaTheme="minorEastAsia"/>
                    <w:lang w:eastAsia="en-US"/>
                  </w:rPr>
                  <w:fldChar w:fldCharType="separate"/>
                </w:r>
                <w:r w:rsidR="00891058">
                  <w:rPr>
                    <w:rFonts w:eastAsiaTheme="minorEastAsia"/>
                    <w:lang w:eastAsia="en-US"/>
                  </w:rPr>
                  <w:t>Chart 1B-3</w:t>
                </w:r>
                <w:r w:rsidR="006B5413">
                  <w:rPr>
                    <w:rFonts w:eastAsiaTheme="minorEastAsia"/>
                    <w:lang w:eastAsia="en-US"/>
                  </w:rPr>
                  <w:fldChar w:fldCharType="end"/>
                </w:r>
                <w:r w:rsidRPr="00027624">
                  <w:rPr>
                    <w:rFonts w:eastAsiaTheme="minorEastAsia"/>
                    <w:lang w:eastAsia="en-US"/>
                  </w:rPr>
                  <w:t>).</w:t>
                </w:r>
              </w:p>
              <w:p w14:paraId="2D836900" w14:textId="77777777" w:rsidR="00664585" w:rsidRPr="00027624" w:rsidRDefault="00664585" w:rsidP="0006635D">
                <w:pPr>
                  <w:pStyle w:val="ChartMainHeading"/>
                  <w:numPr>
                    <w:ilvl w:val="2"/>
                    <w:numId w:val="17"/>
                  </w:numPr>
                  <w:outlineLvl w:val="2"/>
                </w:pPr>
                <w:bookmarkStart w:id="228" w:name="_Ref45823802"/>
                <w:r w:rsidRPr="00027624">
                  <w:t>Changes in superannuation concessional contributions caps</w:t>
                </w:r>
                <w:bookmarkEnd w:id="228"/>
              </w:p>
              <w:p w14:paraId="255FE01F" w14:textId="77777777" w:rsidR="00664585" w:rsidRPr="00027624" w:rsidRDefault="007C6DAC" w:rsidP="00664585">
                <w:pPr>
                  <w:pStyle w:val="ChartGraphic"/>
                  <w:keepLines/>
                </w:pPr>
                <w:r>
                  <w:rPr>
                    <w:noProof/>
                  </w:rPr>
                  <w:drawing>
                    <wp:inline distT="0" distB="0" distL="0" distR="0" wp14:anchorId="5182B469" wp14:editId="1E501047">
                      <wp:extent cx="5577840" cy="2613660"/>
                      <wp:effectExtent l="0" t="0" r="3810" b="0"/>
                      <wp:docPr id="2099192803" name="Picture 2099192803" descr="This chart shows how superannuation concessional contributions caps have been subject to a number of policy changes since 2007-08. In 2007-08, the cap for people aged 50 and over was $100,000, and for people aged 49 and under it was $50,000. The caps have been increased and decreased over time. The current concessional contributions cap for 2019-20 is $25,000. It applies to people of all ages." title="Chart 1B-3 Changes in superannuation concessional contributions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7840" cy="2613660"/>
                              </a:xfrm>
                              <a:prstGeom prst="rect">
                                <a:avLst/>
                              </a:prstGeom>
                              <a:noFill/>
                            </pic:spPr>
                          </pic:pic>
                        </a:graphicData>
                      </a:graphic>
                    </wp:inline>
                  </w:drawing>
                </w:r>
              </w:p>
              <w:p w14:paraId="6A25C4CC" w14:textId="77777777" w:rsidR="00664585" w:rsidRPr="00027624" w:rsidRDefault="00664585" w:rsidP="00664585">
                <w:pPr>
                  <w:pStyle w:val="ChartorTableNote"/>
                  <w:keepNext/>
                  <w:keepLines/>
                </w:pPr>
                <w:r w:rsidRPr="00027624">
                  <w:t>Note: ‘Older people’ are people aged 50 and over in 2007</w:t>
                </w:r>
                <w:r w:rsidRPr="00027624">
                  <w:noBreakHyphen/>
                  <w:t>08 to 2011</w:t>
                </w:r>
                <w:r w:rsidRPr="00027624">
                  <w:noBreakHyphen/>
                  <w:t>12, people aged 59 and over in 2013</w:t>
                </w:r>
                <w:r w:rsidRPr="00027624">
                  <w:noBreakHyphen/>
                  <w:t>14 and people aged 49 and over in 2014</w:t>
                </w:r>
                <w:r w:rsidRPr="00027624">
                  <w:noBreakHyphen/>
                  <w:t>15 to 2016</w:t>
                </w:r>
                <w:r w:rsidRPr="00027624">
                  <w:noBreakHyphen/>
                  <w:t>17. ‘Younger people’ are people younger than 50 in 2007</w:t>
                </w:r>
                <w:r w:rsidRPr="00027624">
                  <w:noBreakHyphen/>
                  <w:t>08 to 2011</w:t>
                </w:r>
                <w:r w:rsidRPr="00027624">
                  <w:noBreakHyphen/>
                  <w:t>12, people younger than 59 in 2013</w:t>
                </w:r>
                <w:r w:rsidRPr="00027624">
                  <w:noBreakHyphen/>
                  <w:t>14 and people younger than 49 in 2014</w:t>
                </w:r>
                <w:r w:rsidRPr="00027624">
                  <w:noBreakHyphen/>
                  <w:t>15 to 2016</w:t>
                </w:r>
                <w:r w:rsidRPr="00027624">
                  <w:noBreakHyphen/>
                  <w:t xml:space="preserve">17. ‘All people’ are the contributions caps that apply to people of all ages. Source </w:t>
                </w:r>
                <w:sdt>
                  <w:sdtPr>
                    <w:id w:val="490454493"/>
                    <w:citation/>
                  </w:sdtPr>
                  <w:sdtEndPr/>
                  <w:sdtContent>
                    <w:r w:rsidRPr="00027624">
                      <w:fldChar w:fldCharType="begin"/>
                    </w:r>
                    <w:r w:rsidRPr="00027624">
                      <w:instrText xml:space="preserve"> CITATION Raf18 \l 3081 </w:instrText>
                    </w:r>
                    <w:r w:rsidRPr="00027624">
                      <w:fldChar w:fldCharType="separate"/>
                    </w:r>
                    <w:r w:rsidR="00E83F6E">
                      <w:rPr>
                        <w:noProof/>
                      </w:rPr>
                      <w:t>(CEPAR, 2018b)</w:t>
                    </w:r>
                    <w:r w:rsidRPr="00027624">
                      <w:fldChar w:fldCharType="end"/>
                    </w:r>
                  </w:sdtContent>
                </w:sdt>
                <w:r w:rsidRPr="00027624">
                  <w:t>.</w:t>
                </w:r>
              </w:p>
              <w:p w14:paraId="45FBC783" w14:textId="77777777" w:rsidR="00664585" w:rsidRPr="00027624" w:rsidRDefault="00664585" w:rsidP="00664585">
                <w:pPr>
                  <w:pStyle w:val="BoxText"/>
                  <w:keepNext/>
                  <w:keepLines/>
                </w:pPr>
                <w:r w:rsidRPr="00027624">
                  <w:rPr>
                    <w:rFonts w:eastAsiaTheme="minorEastAsia"/>
                    <w:lang w:eastAsia="en-US"/>
                  </w:rPr>
                  <w:t>Prior to 2007, self</w:t>
                </w:r>
                <w:r w:rsidRPr="00027624">
                  <w:rPr>
                    <w:rFonts w:eastAsiaTheme="minorEastAsia"/>
                    <w:lang w:eastAsia="en-US"/>
                  </w:rPr>
                  <w:noBreakHyphen/>
                  <w:t>employed people received a 100 per cent tax deduction for only the first $5,000 of a contribution (increased from $3,000 in 2002) and 75 per cent of any subsequent contributions. They were also not eligible for the Government co</w:t>
                </w:r>
                <w:r w:rsidRPr="00027624">
                  <w:rPr>
                    <w:rFonts w:eastAsiaTheme="minorEastAsia"/>
                    <w:lang w:eastAsia="en-US"/>
                  </w:rPr>
                  <w:noBreakHyphen/>
                  <w:t>contribution scheme available to employees. From 1 July 2007, self</w:t>
                </w:r>
                <w:r w:rsidRPr="00027624">
                  <w:rPr>
                    <w:rFonts w:eastAsiaTheme="minorEastAsia"/>
                    <w:lang w:eastAsia="en-US"/>
                  </w:rPr>
                  <w:noBreakHyphen/>
                  <w:t>employed people under age 75 were able to claim all personal superannuation contributions as a tax deduction, but they were required to earn less than 10 per cent of their income as an employee to make a contribution. From 1 July 2017, the 10 per cent restriction was removed. Today, anyone can make deductible superannuation contributions (both the self</w:t>
                </w:r>
                <w:r w:rsidRPr="00027624">
                  <w:rPr>
                    <w:rFonts w:eastAsiaTheme="minorEastAsia"/>
                    <w:lang w:eastAsia="en-US"/>
                  </w:rPr>
                  <w:noBreakHyphen/>
                  <w:t>employed and employees who do not have access to salary sacrificing arrangements).</w:t>
                </w:r>
              </w:p>
              <w:p w14:paraId="6721BAAA" w14:textId="77777777" w:rsidR="00664585" w:rsidRPr="00027624" w:rsidRDefault="00664585" w:rsidP="00664585">
                <w:pPr>
                  <w:pStyle w:val="BoxText"/>
                </w:pPr>
                <w:r w:rsidRPr="00027624">
                  <w:t>Reforms that took effect from 1 July 2017 generally prevent people with a total superannuation balance above $1.6 million from making post</w:t>
                </w:r>
                <w:r w:rsidRPr="00027624">
                  <w:noBreakHyphen/>
                  <w:t>tax voluntary contributions.</w:t>
                </w:r>
                <w:r w:rsidRPr="00027624">
                  <w:rPr>
                    <w:rStyle w:val="FootnoteReference"/>
                  </w:rPr>
                  <w:footnoteReference w:id="27"/>
                </w:r>
                <w:r w:rsidRPr="00027624">
                  <w:t xml:space="preserve"> Since these reforms, voluntary contributions have declined from 33 per cent of all superannuation contributions in 2015</w:t>
                </w:r>
                <w:r w:rsidRPr="00027624">
                  <w:noBreakHyphen/>
                  <w:t>16, to 25 per cent in 2018</w:t>
                </w:r>
                <w:r w:rsidRPr="00027624">
                  <w:noBreakHyphen/>
                  <w:t xml:space="preserve">19 (see </w:t>
                </w:r>
                <w:r w:rsidRPr="00027624">
                  <w:rPr>
                    <w:i/>
                  </w:rPr>
                  <w:t>1D. The changing Australian landscape</w:t>
                </w:r>
                <w:r w:rsidRPr="00027624">
                  <w:t>).</w:t>
                </w:r>
              </w:p>
            </w:tc>
          </w:tr>
        </w:tbl>
        <w:p w14:paraId="4FBB9E68" w14:textId="77777777" w:rsidR="00D178A4" w:rsidRPr="00027624" w:rsidRDefault="00D178A4" w:rsidP="00D178A4">
          <w:r w:rsidRPr="00027624">
            <w:rPr>
              <w:b/>
            </w:rPr>
            <w:t>Small businesses</w:t>
          </w:r>
          <w:r w:rsidRPr="00027624">
            <w:t xml:space="preserve"> may contribute the capital proceeds of the sale of certain small business assets, subject to certain conditions. This allows small business owners to contribute the assets they have accumulated through their business to their retirement savings. The total lifetime contributions must </w:t>
          </w:r>
          <w:r w:rsidRPr="00027624">
            <w:lastRenderedPageBreak/>
            <w:t>not exceed $1.565 million in 2020</w:t>
          </w:r>
          <w:r w:rsidR="00A8443E" w:rsidRPr="00027624">
            <w:noBreakHyphen/>
          </w:r>
          <w:r w:rsidRPr="00027624">
            <w:t xml:space="preserve">21. This cap is indexed annually. These contributions do not count for other </w:t>
          </w:r>
          <w:r w:rsidR="00404B9D" w:rsidRPr="00027624">
            <w:t>contributions cap</w:t>
          </w:r>
          <w:r w:rsidRPr="00027624">
            <w:t>s and can be made even if the person has a balance exceeding the transfer balance cap of $1.6 million.</w:t>
          </w:r>
        </w:p>
        <w:p w14:paraId="6BB8DBE9" w14:textId="77777777" w:rsidR="00D178A4" w:rsidRPr="00027624" w:rsidRDefault="00D178A4" w:rsidP="00D178A4">
          <w:pPr>
            <w:pStyle w:val="Heading4"/>
            <w:spacing w:before="0"/>
          </w:pPr>
          <w:bookmarkStart w:id="229" w:name="_Toc43284613"/>
          <w:r w:rsidRPr="00027624">
            <w:t>Government contributions and offsets</w:t>
          </w:r>
          <w:bookmarkEnd w:id="229"/>
          <w:r w:rsidRPr="00027624">
            <w:t xml:space="preserve"> </w:t>
          </w:r>
        </w:p>
        <w:p w14:paraId="2DD97B92" w14:textId="77777777" w:rsidR="00D178A4" w:rsidRPr="00027624" w:rsidRDefault="00D178A4" w:rsidP="00D178A4">
          <w:r w:rsidRPr="00027624">
            <w:t>The Government provides certain contributions and offsets to eligible people, usually those with lower</w:t>
          </w:r>
          <w:r w:rsidR="00A8443E" w:rsidRPr="00027624">
            <w:noBreakHyphen/>
          </w:r>
          <w:r w:rsidRPr="00027624">
            <w:t>to</w:t>
          </w:r>
          <w:r w:rsidR="00A8443E" w:rsidRPr="00027624">
            <w:noBreakHyphen/>
          </w:r>
          <w:r w:rsidRPr="00027624">
            <w:t>medium incomes. Government contributions and offsets are generally aimed at improving equity for people who would otherwise receive smaller benefits from superannuation tax concessions. They include the low income superannuation tax offset, Government co</w:t>
          </w:r>
          <w:r w:rsidR="00A8443E" w:rsidRPr="00027624">
            <w:noBreakHyphen/>
          </w:r>
          <w:r w:rsidRPr="00027624">
            <w:t>contributions for certain lower</w:t>
          </w:r>
          <w:r w:rsidR="00A8443E" w:rsidRPr="00027624">
            <w:noBreakHyphen/>
          </w:r>
          <w:r w:rsidRPr="00027624">
            <w:t>income earners and spouse tax offsets.</w:t>
          </w:r>
        </w:p>
        <w:p w14:paraId="0B6668AF" w14:textId="77777777" w:rsidR="00D178A4" w:rsidRPr="00027624" w:rsidRDefault="00D178A4" w:rsidP="00D178A4">
          <w:r w:rsidRPr="00027624">
            <w:t xml:space="preserve">The </w:t>
          </w:r>
          <w:r w:rsidRPr="00027624">
            <w:rPr>
              <w:b/>
            </w:rPr>
            <w:t>low income superannuation tax offset</w:t>
          </w:r>
          <w:r w:rsidRPr="00027624">
            <w:t xml:space="preserve"> refunds the 15 per cent tax incurred on concessional superannuation contributions to people with a taxable income of less than $37,000. In 2018</w:t>
          </w:r>
          <w:r w:rsidR="00A8443E" w:rsidRPr="00027624">
            <w:noBreakHyphen/>
          </w:r>
          <w:r w:rsidRPr="00027624">
            <w:t>19, almost 3 million people benefited from the low income superannuation tax offset, 60 per cent of whom were women.</w:t>
          </w:r>
          <w:r w:rsidRPr="00027624">
            <w:rPr>
              <w:rStyle w:val="FootnoteReference"/>
            </w:rPr>
            <w:footnoteReference w:id="28"/>
          </w:r>
          <w:r w:rsidRPr="00027624">
            <w:t xml:space="preserve"> In practice, the offset removes a tax penalty by refunding tax paid on superannuation contributions to ensure lower</w:t>
          </w:r>
          <w:r w:rsidR="00A8443E" w:rsidRPr="00027624">
            <w:noBreakHyphen/>
          </w:r>
          <w:r w:rsidRPr="00027624">
            <w:t>income earners pay no more tax than they would if receiving contributions as income.</w:t>
          </w:r>
        </w:p>
        <w:p w14:paraId="72CAB07A" w14:textId="77777777" w:rsidR="00D178A4" w:rsidRPr="00027624" w:rsidRDefault="00D178A4" w:rsidP="00D178A4">
          <w:r w:rsidRPr="00027624">
            <w:t xml:space="preserve">The </w:t>
          </w:r>
          <w:r w:rsidRPr="00027624">
            <w:rPr>
              <w:b/>
            </w:rPr>
            <w:t>Government co</w:t>
          </w:r>
          <w:r w:rsidR="00A8443E" w:rsidRPr="00027624">
            <w:rPr>
              <w:b/>
            </w:rPr>
            <w:noBreakHyphen/>
          </w:r>
          <w:r w:rsidRPr="00027624">
            <w:rPr>
              <w:b/>
            </w:rPr>
            <w:t>contribution</w:t>
          </w:r>
          <w:r w:rsidRPr="00027624">
            <w:t xml:space="preserve"> provides up to $500 per year as a 50 per cent matching contribution for any personal non</w:t>
          </w:r>
          <w:r w:rsidR="00A8443E" w:rsidRPr="00027624">
            <w:noBreakHyphen/>
          </w:r>
          <w:r w:rsidRPr="00027624">
            <w:t>concessional contributions made by people aged under 71. The rate of co</w:t>
          </w:r>
          <w:r w:rsidR="00A8443E" w:rsidRPr="00027624">
            <w:noBreakHyphen/>
          </w:r>
          <w:r w:rsidRPr="00027624">
            <w:t>contribution decreases where a person</w:t>
          </w:r>
          <w:r w:rsidR="00A8443E" w:rsidRPr="00027624">
            <w:t>’</w:t>
          </w:r>
          <w:r w:rsidRPr="00027624">
            <w:t>s income is above the low</w:t>
          </w:r>
          <w:r w:rsidR="00A8443E" w:rsidRPr="00027624">
            <w:noBreakHyphen/>
          </w:r>
          <w:r w:rsidRPr="00027624">
            <w:t>income threshold ($39,837 for 2020</w:t>
          </w:r>
          <w:r w:rsidR="00A8443E" w:rsidRPr="00027624">
            <w:noBreakHyphen/>
          </w:r>
          <w:r w:rsidRPr="00027624">
            <w:t>21) to the point where no contribution is payable for those with income above the high</w:t>
          </w:r>
          <w:r w:rsidR="00A8443E" w:rsidRPr="00027624">
            <w:noBreakHyphen/>
          </w:r>
          <w:r w:rsidRPr="00027624">
            <w:t>income threshold ($54,837 for 2020</w:t>
          </w:r>
          <w:r w:rsidR="00A8443E" w:rsidRPr="00027624">
            <w:noBreakHyphen/>
          </w:r>
          <w:r w:rsidRPr="00027624">
            <w:t xml:space="preserve">21). </w:t>
          </w:r>
          <w:r w:rsidRPr="00027624">
            <w:rPr>
              <w:color w:val="000000"/>
            </w:rPr>
            <w:t>In 2018</w:t>
          </w:r>
          <w:r w:rsidR="00A8443E" w:rsidRPr="00027624">
            <w:rPr>
              <w:color w:val="000000"/>
            </w:rPr>
            <w:noBreakHyphen/>
          </w:r>
          <w:r w:rsidRPr="00027624">
            <w:rPr>
              <w:color w:val="000000"/>
            </w:rPr>
            <w:t>19, around 376,000 people received co</w:t>
          </w:r>
          <w:r w:rsidR="00A8443E" w:rsidRPr="00027624">
            <w:rPr>
              <w:color w:val="000000"/>
            </w:rPr>
            <w:noBreakHyphen/>
          </w:r>
          <w:r w:rsidRPr="00027624">
            <w:rPr>
              <w:color w:val="000000"/>
            </w:rPr>
            <w:t>contributions, 65 per cent of whom were women.</w:t>
          </w:r>
          <w:r w:rsidRPr="00027624">
            <w:rPr>
              <w:rStyle w:val="FootnoteReference"/>
              <w:color w:val="000000"/>
            </w:rPr>
            <w:footnoteReference w:id="29"/>
          </w:r>
        </w:p>
        <w:p w14:paraId="64E12D48" w14:textId="77777777" w:rsidR="00D178A4" w:rsidRPr="00027624" w:rsidRDefault="00D178A4" w:rsidP="00D178A4">
          <w:r w:rsidRPr="00027624">
            <w:t xml:space="preserve">The </w:t>
          </w:r>
          <w:r w:rsidRPr="00027624">
            <w:rPr>
              <w:b/>
            </w:rPr>
            <w:t>spouse tax offset</w:t>
          </w:r>
          <w:r w:rsidRPr="00027624">
            <w:t xml:space="preserve"> provides a tax offset of up to $540 to people who contribute to their low</w:t>
          </w:r>
          <w:r w:rsidR="00A8443E" w:rsidRPr="00027624">
            <w:noBreakHyphen/>
          </w:r>
          <w:r w:rsidRPr="00027624">
            <w:t>income spouse</w:t>
          </w:r>
          <w:r w:rsidR="00A8443E" w:rsidRPr="00027624">
            <w:t>’</w:t>
          </w:r>
          <w:r w:rsidRPr="00027624">
            <w:t>s superannuation.</w:t>
          </w:r>
          <w:r w:rsidRPr="00027624">
            <w:rPr>
              <w:rStyle w:val="FootnoteReference"/>
            </w:rPr>
            <w:footnoteReference w:id="30"/>
          </w:r>
          <w:r w:rsidRPr="00027624">
            <w:t xml:space="preserve"> The maximum offset reduces as the spouse</w:t>
          </w:r>
          <w:r w:rsidR="00A8443E" w:rsidRPr="00027624">
            <w:t>’</w:t>
          </w:r>
          <w:r w:rsidRPr="00027624">
            <w:t>s income exceeds $37,000 and phases out at $40,000.</w:t>
          </w:r>
        </w:p>
        <w:p w14:paraId="2D9311D4" w14:textId="77777777" w:rsidR="00D178A4" w:rsidRPr="00027624" w:rsidRDefault="00D178A4" w:rsidP="00D178A4">
          <w:pPr>
            <w:pStyle w:val="Heading3"/>
          </w:pPr>
          <w:bookmarkStart w:id="230" w:name="_Toc43284614"/>
          <w:r w:rsidRPr="00027624">
            <w:t>Using superannuation to fund retirement</w:t>
          </w:r>
          <w:bookmarkEnd w:id="230"/>
        </w:p>
        <w:p w14:paraId="7E1FB05A" w14:textId="77777777" w:rsidR="00D178A4" w:rsidRPr="00027624" w:rsidRDefault="00D178A4" w:rsidP="00D178A4">
          <w:r w:rsidRPr="00027624">
            <w:t xml:space="preserve">Retirees generally have two choices for using their superannuation to fund their retirement: </w:t>
          </w:r>
        </w:p>
        <w:p w14:paraId="20BD71B2" w14:textId="77777777" w:rsidR="00D178A4" w:rsidRPr="00027624" w:rsidRDefault="00D178A4" w:rsidP="00FC7361">
          <w:pPr>
            <w:pStyle w:val="OutlineNumbered1"/>
            <w:numPr>
              <w:ilvl w:val="0"/>
              <w:numId w:val="104"/>
            </w:numPr>
          </w:pPr>
          <w:r w:rsidRPr="00027624">
            <w:rPr>
              <w:b/>
            </w:rPr>
            <w:t>Lump sums</w:t>
          </w:r>
          <w:r w:rsidRPr="00027624">
            <w:t>. Traditionally, the superannuation system paid out lump sums at retirement age. This was influenced by historical features of the retirement income system, such as tax settings that favoured lump sums in the 1970s and 1980s, and the former predominance of employer</w:t>
          </w:r>
          <w:r w:rsidR="00A8443E" w:rsidRPr="00027624">
            <w:noBreakHyphen/>
          </w:r>
          <w:r w:rsidRPr="00027624">
            <w:t>based defined benefit schemes that paid entitlements as lump sums.</w:t>
          </w:r>
        </w:p>
        <w:p w14:paraId="1EBF7D07" w14:textId="77777777" w:rsidR="00D178A4" w:rsidRPr="00027624" w:rsidRDefault="00D178A4" w:rsidP="005672A8">
          <w:pPr>
            <w:pStyle w:val="OutlineNumbered1"/>
          </w:pPr>
          <w:r w:rsidRPr="00027624">
            <w:rPr>
              <w:b/>
            </w:rPr>
            <w:t>Income streams</w:t>
          </w:r>
          <w:r w:rsidRPr="00027624">
            <w:t>. Current policy settings favour income streams over lump sums, as earnings on funds supporting income streams are tax</w:t>
          </w:r>
          <w:r w:rsidR="00A8443E" w:rsidRPr="00027624">
            <w:noBreakHyphen/>
          </w:r>
          <w:r w:rsidRPr="00027624">
            <w:t>free in the retirement phase. Superannuation income streams provide a retiree with a regular payment. This comes in the form of an allocated or account</w:t>
          </w:r>
          <w:r w:rsidR="00A8443E" w:rsidRPr="00027624">
            <w:noBreakHyphen/>
          </w:r>
          <w:r w:rsidRPr="00027624">
            <w:t>based pension purchased from the fund when the member</w:t>
          </w:r>
          <w:r w:rsidR="00A8443E" w:rsidRPr="00027624">
            <w:t>’</w:t>
          </w:r>
          <w:r w:rsidRPr="00027624">
            <w:t xml:space="preserve">s balance is rolled into a pension account at the point of retirement. </w:t>
          </w:r>
        </w:p>
        <w:p w14:paraId="332C3456" w14:textId="77777777" w:rsidR="00D178A4" w:rsidRPr="00027624" w:rsidRDefault="00D178A4" w:rsidP="005672A8">
          <w:pPr>
            <w:pStyle w:val="OutlineNumbered1"/>
            <w:numPr>
              <w:ilvl w:val="0"/>
              <w:numId w:val="0"/>
            </w:numPr>
            <w:ind w:left="907"/>
          </w:pPr>
          <w:r w:rsidRPr="00027624">
            <w:t>Around 83 per cent of income streams are account</w:t>
          </w:r>
          <w:r w:rsidR="00A8443E" w:rsidRPr="00027624">
            <w:noBreakHyphen/>
          </w:r>
          <w:r w:rsidRPr="00027624">
            <w:t>based</w:t>
          </w:r>
          <w:sdt>
            <w:sdtPr>
              <w:id w:val="1902866691"/>
              <w:citation/>
            </w:sdtPr>
            <w:sdtEndPr/>
            <w:sdtContent>
              <w:r w:rsidR="00062066" w:rsidRPr="00027624">
                <w:fldChar w:fldCharType="begin"/>
              </w:r>
              <w:r w:rsidR="00062066" w:rsidRPr="00027624">
                <w:instrText xml:space="preserve">CITATION APR19 \t  \l 3081 </w:instrText>
              </w:r>
              <w:r w:rsidR="00062066" w:rsidRPr="00027624">
                <w:fldChar w:fldCharType="separate"/>
              </w:r>
              <w:r w:rsidR="00E83F6E">
                <w:rPr>
                  <w:noProof/>
                </w:rPr>
                <w:t xml:space="preserve"> (Australian Prudential Regulation Authority, 2020a)</w:t>
              </w:r>
              <w:r w:rsidR="00062066" w:rsidRPr="00027624">
                <w:fldChar w:fldCharType="end"/>
              </w:r>
            </w:sdtContent>
          </w:sdt>
          <w:r w:rsidRPr="00027624">
            <w:t>. Account</w:t>
          </w:r>
          <w:r w:rsidR="00A8443E" w:rsidRPr="00027624">
            <w:noBreakHyphen/>
          </w:r>
          <w:r w:rsidRPr="00027624">
            <w:t>based income streams offer the benefit of a regular income and the flexibility of access to lump sums of money held in an account where funds can be withdrawn at any time.</w:t>
          </w:r>
        </w:p>
        <w:p w14:paraId="41E082F6" w14:textId="77777777" w:rsidR="00D178A4" w:rsidRPr="00027624" w:rsidRDefault="00D178A4" w:rsidP="00D178A4">
          <w:r w:rsidRPr="00027624">
            <w:lastRenderedPageBreak/>
            <w:t>People have significant flexibility in how they use their superannuation. Minimum drawdown rates limit the ability of retirees to retain funds in the retirement phase indefinitely in order to remain exempt from tax on investment earnings. Minimum drawdown rates increase with age, from 4 per cent for a person under 65, to 14 per cent for a person over 95.</w:t>
          </w:r>
          <w:r w:rsidRPr="00027624">
            <w:rPr>
              <w:rStyle w:val="FootnoteReference"/>
            </w:rPr>
            <w:footnoteReference w:id="31"/>
          </w:r>
          <w:r w:rsidRPr="00027624">
            <w:t xml:space="preserve"> These rates have temporarily been halved for the 2019</w:t>
          </w:r>
          <w:r w:rsidR="00A8443E" w:rsidRPr="00027624">
            <w:noBreakHyphen/>
          </w:r>
          <w:r w:rsidRPr="00027624">
            <w:t>20 and 2020</w:t>
          </w:r>
          <w:r w:rsidR="00A8443E" w:rsidRPr="00027624">
            <w:noBreakHyphen/>
          </w:r>
          <w:r w:rsidRPr="00027624">
            <w:t>21 income years to allow for reduced superannuation balances following the COVID</w:t>
          </w:r>
          <w:r w:rsidR="00A8443E" w:rsidRPr="00027624">
            <w:noBreakHyphen/>
          </w:r>
          <w:r w:rsidRPr="00027624">
            <w:t>19 Pandemic.</w:t>
          </w:r>
        </w:p>
        <w:p w14:paraId="5D0CE84A" w14:textId="77777777" w:rsidR="00D178A4" w:rsidRPr="00027624" w:rsidRDefault="00D178A4" w:rsidP="00D178A4">
          <w:pPr>
            <w:pStyle w:val="Heading3"/>
          </w:pPr>
          <w:bookmarkStart w:id="231" w:name="_Toc43284615"/>
          <w:bookmarkStart w:id="232" w:name="_Ref44501656"/>
          <w:r w:rsidRPr="00027624">
            <w:t>Regulation and taxation of superannuation</w:t>
          </w:r>
          <w:bookmarkEnd w:id="231"/>
          <w:bookmarkEnd w:id="232"/>
        </w:p>
        <w:p w14:paraId="53383F51" w14:textId="77777777" w:rsidR="00D178A4" w:rsidRPr="00027624" w:rsidRDefault="00D178A4" w:rsidP="00D178A4">
          <w:pPr>
            <w:pStyle w:val="Heading4"/>
          </w:pPr>
          <w:bookmarkStart w:id="233" w:name="_Toc43284616"/>
          <w:r w:rsidRPr="00027624">
            <w:t>Regulation</w:t>
          </w:r>
          <w:bookmarkEnd w:id="233"/>
        </w:p>
        <w:p w14:paraId="2FE1D780" w14:textId="77777777" w:rsidR="00D178A4" w:rsidRPr="00027624" w:rsidRDefault="00D178A4" w:rsidP="00D178A4">
          <w:pPr>
            <w:autoSpaceDE w:val="0"/>
            <w:autoSpaceDN w:val="0"/>
            <w:adjustRightInd w:val="0"/>
            <w:spacing w:before="0" w:after="0"/>
            <w:rPr>
              <w:rFonts w:eastAsiaTheme="minorHAnsi" w:cs="Calibri"/>
              <w:szCs w:val="22"/>
              <w:lang w:eastAsia="en-US"/>
            </w:rPr>
          </w:pPr>
          <w:r w:rsidRPr="00027624">
            <w:rPr>
              <w:rFonts w:eastAsiaTheme="minorHAnsi" w:cs="Calibri"/>
              <w:szCs w:val="22"/>
              <w:lang w:eastAsia="en-US"/>
            </w:rPr>
            <w:t>Compulsory superannuation contributions were extended to nearly all employees in 1992. The following year, a regulatory framework was introduced to ensure superannuation funds were managed prudently and in the best interests of their members.</w:t>
          </w:r>
        </w:p>
        <w:p w14:paraId="06151183" w14:textId="77777777" w:rsidR="00D178A4" w:rsidRPr="00027624" w:rsidRDefault="00D178A4" w:rsidP="00D178A4">
          <w:r w:rsidRPr="00027624">
            <w:t xml:space="preserve">Superannuation funds operate under a trustee model derived from the general law of equity and legislated in the </w:t>
          </w:r>
          <w:r w:rsidRPr="00027624">
            <w:rPr>
              <w:i/>
            </w:rPr>
            <w:t xml:space="preserve">Superannuation Industry (Supervision) Act 1993 </w:t>
          </w:r>
          <w:r w:rsidRPr="00027624">
            <w:t>(SIS Act)</w:t>
          </w:r>
          <w:r w:rsidRPr="00027624">
            <w:rPr>
              <w:iCs/>
            </w:rPr>
            <w:t>.</w:t>
          </w:r>
          <w:r w:rsidRPr="00027624">
            <w:t xml:space="preserve"> A corporate trustee, or a group of individual trustees, controls the fund</w:t>
          </w:r>
          <w:r w:rsidR="00A8443E" w:rsidRPr="00027624">
            <w:t>’</w:t>
          </w:r>
          <w:r w:rsidRPr="00027624">
            <w:t>s assets and operates it solely for the benefit of its members and beneficiaries. The trustee has a fiduciary obligation to the members and beneficiaries. The trustee has ultimate responsibility for the entity and an obligation to manage the assets of the entity with competence, diligence, prudence and honesty.</w:t>
          </w:r>
        </w:p>
        <w:p w14:paraId="714D710E" w14:textId="77777777" w:rsidR="00D178A4" w:rsidRPr="00027624" w:rsidRDefault="00D178A4" w:rsidP="00D178A4">
          <w:r w:rsidRPr="00027624">
            <w:t>Unlike many other jurisdictions and earlier iterations of the Australian system, most members are now in defined contribution arrangements rather than defined benefit arrangements.</w:t>
          </w:r>
        </w:p>
        <w:p w14:paraId="42F71534" w14:textId="77777777" w:rsidR="00D178A4" w:rsidRPr="00027624" w:rsidRDefault="00D178A4" w:rsidP="00D178A4">
          <w:r w:rsidRPr="00027624">
            <w:t>The mandating of contributions and the provision of taxation incentives to encourage superannuation saving necessitates prudential regulation of superannuation entit</w:t>
          </w:r>
          <w:r w:rsidR="00410DDD" w:rsidRPr="00027624">
            <w:t xml:space="preserve">ies, which is conducted by </w:t>
          </w:r>
          <w:r w:rsidRPr="00027624">
            <w:t xml:space="preserve">APRA. </w:t>
          </w:r>
        </w:p>
        <w:p w14:paraId="1BF5541E" w14:textId="77777777" w:rsidR="00D178A4" w:rsidRPr="00027624" w:rsidRDefault="00D178A4" w:rsidP="00D178A4">
          <w:r w:rsidRPr="00027624">
            <w:t>Trustees of APRA</w:t>
          </w:r>
          <w:r w:rsidR="00A8443E" w:rsidRPr="00027624">
            <w:noBreakHyphen/>
          </w:r>
          <w:r w:rsidRPr="00027624">
            <w:t>regulated funds must, among other things, demonstrate that they meet minimum standards of fitness and propriety; possess adequate human, technical and financial resources to meet their trustee responsibilities; and have appropriate risk management arrangements in place.</w:t>
          </w:r>
        </w:p>
        <w:p w14:paraId="2DA8CFC7" w14:textId="77777777" w:rsidR="00D178A4" w:rsidRPr="00027624" w:rsidRDefault="00D178A4" w:rsidP="00D178A4">
          <w:r w:rsidRPr="00027624">
            <w:t>Prudential regulation does not guarantee that a superannuation entity will not fail, or that superannuation fund members will not suffer investment losses. Rather, it aims to ensure the prudent management of superannuation entities, so they can meet their financial promises to their members and beneficiaries. ASIC regulates the conduct and disclosure obligations of superannuation trustees.</w:t>
          </w:r>
        </w:p>
        <w:p w14:paraId="4037C6B5" w14:textId="77777777" w:rsidR="00D178A4" w:rsidRPr="00027624" w:rsidRDefault="00D178A4" w:rsidP="00D178A4">
          <w:r w:rsidRPr="00027624">
            <w:t>Around two</w:t>
          </w:r>
          <w:r w:rsidR="00A8443E" w:rsidRPr="00027624">
            <w:noBreakHyphen/>
          </w:r>
          <w:r w:rsidRPr="00027624">
            <w:t>thirds of the system (in terms of total value of assets) is APRA</w:t>
          </w:r>
          <w:r w:rsidR="00A8443E" w:rsidRPr="00027624">
            <w:noBreakHyphen/>
          </w:r>
          <w:r w:rsidRPr="00027624">
            <w:t>regulated. The remainder is held by self</w:t>
          </w:r>
          <w:r w:rsidR="00A8443E" w:rsidRPr="00027624">
            <w:noBreakHyphen/>
          </w:r>
          <w:r w:rsidRPr="00027624">
            <w:t>managed superannuation funds (SMSFs), balance of life office statutory funds or exempt public sector superannuation schemes.</w:t>
          </w:r>
          <w:r w:rsidRPr="00027624">
            <w:rPr>
              <w:rStyle w:val="FootnoteReference"/>
            </w:rPr>
            <w:footnoteReference w:id="32"/>
          </w:r>
          <w:r w:rsidRPr="00027624">
            <w:t xml:space="preserve"> SMSFs may include up to four members, all of whom must be trustees or directors of the corporate trustee. These funds are exempt from prudential regulation on the basis that there is no difference in interests between trustees and members. The ATO is responsible for regulating SMSFs.</w:t>
          </w:r>
        </w:p>
        <w:p w14:paraId="36CED72F" w14:textId="77777777" w:rsidR="00D178A4" w:rsidRPr="00027624" w:rsidRDefault="00D178A4" w:rsidP="00D178A4">
          <w:pPr>
            <w:pStyle w:val="Heading4"/>
          </w:pPr>
          <w:bookmarkStart w:id="234" w:name="_Toc43284617"/>
          <w:r w:rsidRPr="00027624">
            <w:lastRenderedPageBreak/>
            <w:t>Taxation</w:t>
          </w:r>
          <w:bookmarkEnd w:id="234"/>
        </w:p>
        <w:p w14:paraId="38220037" w14:textId="77777777" w:rsidR="00D178A4" w:rsidRPr="00027624" w:rsidRDefault="00D178A4" w:rsidP="00D178A4">
          <w:r w:rsidRPr="00027624">
            <w:rPr>
              <w:b/>
            </w:rPr>
            <w:t xml:space="preserve">Contributions tax </w:t>
          </w:r>
          <w:r w:rsidRPr="00027624">
            <w:t xml:space="preserve">applies to superannuation contributions that have not otherwise been taxed. These </w:t>
          </w:r>
          <w:r w:rsidR="00A8443E" w:rsidRPr="00027624">
            <w:t>‘</w:t>
          </w:r>
          <w:r w:rsidRPr="00027624">
            <w:t>pre</w:t>
          </w:r>
          <w:r w:rsidR="00A8443E" w:rsidRPr="00027624">
            <w:noBreakHyphen/>
          </w:r>
          <w:r w:rsidRPr="00027624">
            <w:t>tax</w:t>
          </w:r>
          <w:r w:rsidR="00A8443E" w:rsidRPr="00027624">
            <w:t>’</w:t>
          </w:r>
          <w:r w:rsidRPr="00027624">
            <w:t xml:space="preserve"> or concessional contributions are generally taxed at the flat rate of 15 per cent in the superannuation fund.</w:t>
          </w:r>
        </w:p>
        <w:p w14:paraId="0B6F052A" w14:textId="77777777" w:rsidR="00D178A4" w:rsidRPr="00027624" w:rsidRDefault="00D178A4" w:rsidP="00D178A4">
          <w:r w:rsidRPr="00027624">
            <w:rPr>
              <w:b/>
            </w:rPr>
            <w:t>Division 293 tax</w:t>
          </w:r>
          <w:r w:rsidRPr="00027624">
            <w:t xml:space="preserve"> requires people with an adjusted income of $250,000 and over to pay 30 per cent tax, instead of 15 per cent, on concessional contributions.</w:t>
          </w:r>
          <w:r w:rsidRPr="00027624">
            <w:rPr>
              <w:rStyle w:val="FootnoteReference"/>
            </w:rPr>
            <w:footnoteReference w:id="33"/>
          </w:r>
          <w:r w:rsidRPr="00027624">
            <w:t xml:space="preserve"> </w:t>
          </w:r>
          <w:r w:rsidR="00814818" w:rsidRPr="00027624">
            <w:t>Division 293 tax</w:t>
          </w:r>
          <w:r w:rsidRPr="00027624">
            <w:t xml:space="preserve"> ensures people with annual incomes of $250,000 and over receive only a 17 per cent tax saving on superannuation contributions above this threshold. This tax advantage is lower than most other income levels. In 2018</w:t>
          </w:r>
          <w:r w:rsidR="00A8443E" w:rsidRPr="00027624">
            <w:noBreakHyphen/>
          </w:r>
          <w:r w:rsidRPr="00027624">
            <w:t>19, around 230,000 people paid tax under Division 293, 77 per cent of whom were men.</w:t>
          </w:r>
        </w:p>
        <w:p w14:paraId="3D25E52A" w14:textId="77777777" w:rsidR="00D178A4" w:rsidRPr="00027624" w:rsidRDefault="00D178A4" w:rsidP="00D178A4">
          <w:r w:rsidRPr="00027624">
            <w:rPr>
              <w:b/>
              <w:bCs/>
            </w:rPr>
            <w:t>Earnings tax</w:t>
          </w:r>
          <w:r w:rsidRPr="00027624">
            <w:t xml:space="preserve"> is paid when superannuation assets grow in value. Earnings on superannuation assets are taxed in the superannuation fund at 15 per cent in the accumulation phase and are tax</w:t>
          </w:r>
          <w:r w:rsidR="00A8443E" w:rsidRPr="00027624">
            <w:noBreakHyphen/>
          </w:r>
          <w:r w:rsidRPr="00027624">
            <w:t>free when the assets are in the retirement phase (i.e. they are providing a pension). Capital gains are also taxed at 15 per cent, with a one</w:t>
          </w:r>
          <w:r w:rsidR="00A8443E" w:rsidRPr="00027624">
            <w:noBreakHyphen/>
          </w:r>
          <w:r w:rsidRPr="00027624">
            <w:t>third discount for assets held for more than one year.</w:t>
          </w:r>
        </w:p>
        <w:p w14:paraId="71D54BFB" w14:textId="77777777" w:rsidR="00D178A4" w:rsidRPr="00027624" w:rsidRDefault="00D178A4" w:rsidP="00D178A4">
          <w:r w:rsidRPr="00027624">
            <w:t>The effective earnings tax rate may be lower than 15 per cent in the accumulation phase. This is because superannuation assets are eligible for franking credit tax offsets and a one</w:t>
          </w:r>
          <w:r w:rsidR="00A8443E" w:rsidRPr="00027624">
            <w:noBreakHyphen/>
          </w:r>
          <w:r w:rsidRPr="00027624">
            <w:t xml:space="preserve">third capital gains discount if the assets have been owned for at least 12 months. As a result, the effective tax rate in the accumulation phase averages around 7 per cent. </w:t>
          </w:r>
        </w:p>
        <w:p w14:paraId="1ED0C037" w14:textId="77777777" w:rsidR="00D178A4" w:rsidRPr="00027624" w:rsidRDefault="00D178A4" w:rsidP="00D178A4">
          <w:pPr>
            <w:rPr>
              <w:b/>
            </w:rPr>
          </w:pPr>
          <w:r w:rsidRPr="00027624">
            <w:t>To limit the total value of assets subject to earnings tax exemptions in the retirement phase, people</w:t>
          </w:r>
          <w:r w:rsidRPr="00027624">
            <w:rPr>
              <w:rFonts w:eastAsiaTheme="minorHAnsi" w:cs="Calibri"/>
              <w:color w:val="000000"/>
              <w:szCs w:val="22"/>
              <w:lang w:eastAsia="en-US"/>
            </w:rPr>
            <w:t xml:space="preserve"> are limited to the amount they can transfer to the tax</w:t>
          </w:r>
          <w:r w:rsidR="00A8443E" w:rsidRPr="00027624">
            <w:rPr>
              <w:rFonts w:eastAsiaTheme="minorHAnsi" w:cs="Calibri"/>
              <w:color w:val="000000"/>
              <w:szCs w:val="22"/>
              <w:lang w:eastAsia="en-US"/>
            </w:rPr>
            <w:noBreakHyphen/>
          </w:r>
          <w:r w:rsidRPr="00027624">
            <w:rPr>
              <w:rFonts w:eastAsiaTheme="minorHAnsi" w:cs="Calibri"/>
              <w:color w:val="000000"/>
              <w:szCs w:val="22"/>
              <w:lang w:eastAsia="en-US"/>
            </w:rPr>
            <w:t>free retirement phase by the transfer balance cap. The transfer balance cap is currently $1.6 million. It is indexed each July in line with CPI, in $100,000 increments.</w:t>
          </w:r>
        </w:p>
        <w:p w14:paraId="496AC456" w14:textId="77777777" w:rsidR="00D178A4" w:rsidRPr="00664585" w:rsidRDefault="00D178A4" w:rsidP="00664585">
          <w:pPr>
            <w:pStyle w:val="Heading2"/>
          </w:pPr>
          <w:bookmarkStart w:id="235" w:name="_Toc43284618"/>
          <w:bookmarkStart w:id="236" w:name="_Toc45520433"/>
          <w:bookmarkStart w:id="237" w:name="_Toc46133544"/>
          <w:bookmarkStart w:id="238" w:name="_Toc31209560"/>
          <w:bookmarkStart w:id="239" w:name="_Toc31270922"/>
          <w:bookmarkStart w:id="240" w:name="_Toc31274366"/>
          <w:bookmarkStart w:id="241" w:name="_Toc31276198"/>
          <w:bookmarkStart w:id="242" w:name="_Toc31352196"/>
          <w:bookmarkStart w:id="243" w:name="_Toc31720332"/>
          <w:bookmarkEnd w:id="180"/>
          <w:bookmarkEnd w:id="181"/>
          <w:bookmarkEnd w:id="182"/>
          <w:bookmarkEnd w:id="183"/>
          <w:bookmarkEnd w:id="184"/>
          <w:bookmarkEnd w:id="185"/>
          <w:r w:rsidRPr="00664585">
            <w:t>Overview of sources of income for recent retirees</w:t>
          </w:r>
          <w:bookmarkEnd w:id="235"/>
          <w:bookmarkEnd w:id="236"/>
          <w:bookmarkEnd w:id="237"/>
        </w:p>
        <w:p w14:paraId="1FFB0697" w14:textId="77777777" w:rsidR="00D178A4" w:rsidRPr="00027624" w:rsidRDefault="00D178A4" w:rsidP="00D178A4">
          <w:r w:rsidRPr="00027624">
            <w:rPr>
              <w:b/>
            </w:rPr>
            <w:t>Half of retirees rely on the Age Pension for at least 80 per cent of their income.</w:t>
          </w:r>
          <w:r w:rsidRPr="00027624">
            <w:t xml:space="preserve"> At June 2019, almost 62 per cent of age pensioners received the maximum rate of pension, with the remaining 38 per cent receiving a part</w:t>
          </w:r>
          <w:r w:rsidR="00A8443E" w:rsidRPr="00027624">
            <w:noBreakHyphen/>
          </w:r>
          <w:r w:rsidRPr="00027624">
            <w:t>rate pension.</w:t>
          </w:r>
          <w:r w:rsidRPr="00027624">
            <w:rPr>
              <w:rStyle w:val="FootnoteReference"/>
            </w:rPr>
            <w:footnoteReference w:id="34"/>
          </w:r>
          <w:r w:rsidRPr="00027624">
            <w:t xml:space="preserve"> </w:t>
          </w:r>
        </w:p>
        <w:p w14:paraId="7C387F2E" w14:textId="00BB4560" w:rsidR="00D178A4" w:rsidRPr="00027624" w:rsidRDefault="00D178A4" w:rsidP="00D178A4">
          <w:r w:rsidRPr="00027624">
            <w:t>In 2017</w:t>
          </w:r>
          <w:r w:rsidR="00A8443E" w:rsidRPr="00027624">
            <w:noBreakHyphen/>
          </w:r>
          <w:r w:rsidRPr="00027624">
            <w:t>18, the median retiree household had equivalised</w:t>
          </w:r>
          <w:r w:rsidRPr="00027624">
            <w:rPr>
              <w:rStyle w:val="FootnoteReference"/>
            </w:rPr>
            <w:footnoteReference w:id="35"/>
          </w:r>
          <w:r w:rsidRPr="00027624">
            <w:t xml:space="preserve"> income of $521 per week, primarily from the Age Pension, with a small supplemental income from superannuation and investments (</w:t>
          </w:r>
          <w:r w:rsidRPr="00027624">
            <w:fldChar w:fldCharType="begin"/>
          </w:r>
          <w:r w:rsidRPr="00027624">
            <w:instrText xml:space="preserve"> REF _Ref42609047 \r \h  \* MERGEFORMAT </w:instrText>
          </w:r>
          <w:r w:rsidRPr="00027624">
            <w:fldChar w:fldCharType="separate"/>
          </w:r>
          <w:r w:rsidR="00891058">
            <w:t>Chart 1B-4</w:t>
          </w:r>
          <w:r w:rsidRPr="00027624">
            <w:fldChar w:fldCharType="end"/>
          </w:r>
          <w:r w:rsidRPr="00027624">
            <w:t xml:space="preserve">). </w:t>
          </w:r>
        </w:p>
        <w:p w14:paraId="1E740DFC" w14:textId="77777777" w:rsidR="00D178A4" w:rsidRPr="00027624" w:rsidRDefault="00D178A4" w:rsidP="00D178A4">
          <w:r w:rsidRPr="00027624">
            <w:t>Retiree households in the top two income deciles rely more on income from superannuation and investments than Government payments. Higher</w:t>
          </w:r>
          <w:r w:rsidR="00A8443E" w:rsidRPr="00027624">
            <w:noBreakHyphen/>
          </w:r>
          <w:r w:rsidRPr="00027624">
            <w:t xml:space="preserve">income households are also more likely to be earning business or employment income. </w:t>
          </w:r>
        </w:p>
        <w:p w14:paraId="65494334" w14:textId="77777777" w:rsidR="00D178A4" w:rsidRPr="00E110FE" w:rsidRDefault="00D178A4" w:rsidP="00663302">
          <w:pPr>
            <w:pStyle w:val="ChartMainHeading"/>
            <w:numPr>
              <w:ilvl w:val="2"/>
              <w:numId w:val="17"/>
            </w:numPr>
          </w:pPr>
          <w:bookmarkStart w:id="244" w:name="_Ref36112636"/>
          <w:bookmarkStart w:id="245" w:name="_Ref42593953"/>
          <w:bookmarkStart w:id="246" w:name="_Ref42609047"/>
          <w:r w:rsidRPr="00E110FE">
            <w:lastRenderedPageBreak/>
            <w:t xml:space="preserve">Equivalised retiree household weekly disposable income, by source </w:t>
          </w:r>
          <w:r w:rsidR="000B6C94">
            <w:br/>
          </w:r>
          <w:r w:rsidRPr="00E110FE">
            <w:t>and income decile</w:t>
          </w:r>
          <w:bookmarkEnd w:id="244"/>
          <w:bookmarkEnd w:id="245"/>
          <w:bookmarkEnd w:id="246"/>
        </w:p>
        <w:p w14:paraId="46A406BE" w14:textId="77777777" w:rsidR="00D178A4" w:rsidRPr="00027624" w:rsidRDefault="007C6DAC" w:rsidP="00D178A4">
          <w:pPr>
            <w:pStyle w:val="ChartGraphic"/>
          </w:pPr>
          <w:r>
            <w:rPr>
              <w:noProof/>
            </w:rPr>
            <w:drawing>
              <wp:inline distT="0" distB="0" distL="0" distR="0" wp14:anchorId="008D33C9" wp14:editId="44085E24">
                <wp:extent cx="5526000" cy="2498400"/>
                <wp:effectExtent l="0" t="0" r="0" b="0"/>
                <wp:docPr id="2099192807" name="Picture 2099192807" descr="This chart shows that for most income deciles the majority of equivalised household weekly disposable income for retirees comes from government payments. For deciles 9 and 10, superannuation draw downs and investment income are a larger source of disposable income than government payments. Disposable income for deciles 2-4 are similar at around $437 to $485 per week, increasing slightly from decile 5 upwards. The greatest difference in weekly disposable income is between decile 9 and 10 of over $1,000." title="Chart 1B-4 Equivalised retiree household weekly disposable income, by source and income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6000" cy="2498400"/>
                        </a:xfrm>
                        <a:prstGeom prst="rect">
                          <a:avLst/>
                        </a:prstGeom>
                        <a:noFill/>
                      </pic:spPr>
                    </pic:pic>
                  </a:graphicData>
                </a:graphic>
              </wp:inline>
            </w:drawing>
          </w:r>
        </w:p>
        <w:p w14:paraId="1DA39399" w14:textId="77777777" w:rsidR="00D178A4" w:rsidRPr="00027624" w:rsidRDefault="00D178A4" w:rsidP="00664585">
          <w:pPr>
            <w:pStyle w:val="ChartorTableNote"/>
            <w:spacing w:before="0" w:after="60"/>
            <w:rPr>
              <w:rStyle w:val="CommentReference"/>
              <w:rFonts w:asciiTheme="minorHAnsi" w:eastAsiaTheme="minorHAnsi" w:hAnsiTheme="minorHAnsi" w:cstheme="minorBidi"/>
              <w:color w:val="auto"/>
              <w:lang w:eastAsia="en-US"/>
            </w:rPr>
          </w:pPr>
          <w:r w:rsidRPr="00027624">
            <w:t>Note: Numbers above the column are total equivalised weekly income for each decile. Government payments include social security payments administered by Services Australia and the Department of Veterans</w:t>
          </w:r>
          <w:r w:rsidR="00A8443E" w:rsidRPr="00027624">
            <w:t>’</w:t>
          </w:r>
          <w:r w:rsidRPr="00027624">
            <w:t xml:space="preserve"> Affairs, including compensation payments and family payments. Other includes income such as child support, income from non</w:t>
          </w:r>
          <w:r w:rsidR="00A8443E" w:rsidRPr="00027624">
            <w:noBreakHyphen/>
          </w:r>
          <w:r w:rsidRPr="00027624">
            <w:t>superannuation annuities or financial support received from family members. Retirees are defined as households where the reference person is aged 65 or older and is no longer in the labour force. Household wealth has been equivalised using the OECD equivalence scale in order to take account of differences in a household</w:t>
          </w:r>
          <w:r w:rsidR="00A8443E" w:rsidRPr="00027624">
            <w:t>’</w:t>
          </w:r>
          <w:r w:rsidRPr="00027624">
            <w:t xml:space="preserve">s size and composition. Low government income at decile one is influenced by households with assets in excess of the Age Pension </w:t>
          </w:r>
          <w:r w:rsidR="00E627E2" w:rsidRPr="00027624">
            <w:t>assets test</w:t>
          </w:r>
          <w:r w:rsidRPr="00027624">
            <w:t xml:space="preserve"> minimum threshold who may be drawing on assets not well captured in ABS income survey methodology. Average equivalised net wealth for the first income decile is over $900,000. Values are in 2017</w:t>
          </w:r>
          <w:r w:rsidR="00A8443E" w:rsidRPr="00027624">
            <w:noBreakHyphen/>
          </w:r>
          <w:r w:rsidRPr="00027624">
            <w:t xml:space="preserve">18 dollars. Source: Analysis of </w:t>
          </w:r>
          <w:sdt>
            <w:sdtPr>
              <w:id w:val="-1642494741"/>
              <w:citation/>
            </w:sdtPr>
            <w:sdtEndPr/>
            <w:sdtContent>
              <w:r w:rsidRPr="00027624">
                <w:fldChar w:fldCharType="begin"/>
              </w:r>
              <w:r w:rsidRPr="00027624">
                <w:instrText xml:space="preserve"> CITATION ABS196 \l 3081 </w:instrText>
              </w:r>
              <w:r w:rsidRPr="00027624">
                <w:fldChar w:fldCharType="separate"/>
              </w:r>
              <w:r w:rsidR="00E83F6E">
                <w:rPr>
                  <w:noProof/>
                </w:rPr>
                <w:t>(ABS, 2019s)</w:t>
              </w:r>
              <w:r w:rsidRPr="00027624">
                <w:fldChar w:fldCharType="end"/>
              </w:r>
            </w:sdtContent>
          </w:sdt>
          <w:r w:rsidRPr="00027624">
            <w:t>.</w:t>
          </w:r>
          <w:r w:rsidRPr="00027624">
            <w:rPr>
              <w:rStyle w:val="CommentReference"/>
              <w:rFonts w:asciiTheme="minorHAnsi" w:eastAsiaTheme="minorHAnsi" w:hAnsiTheme="minorHAnsi" w:cstheme="minorBidi"/>
              <w:lang w:eastAsia="en-US"/>
            </w:rPr>
            <w:t xml:space="preserve"> </w:t>
          </w:r>
        </w:p>
        <w:p w14:paraId="27620FA1" w14:textId="77777777" w:rsidR="00D178A4" w:rsidRPr="00027624" w:rsidRDefault="00D178A4" w:rsidP="00664585">
          <w:pPr>
            <w:pStyle w:val="Heading3"/>
            <w:spacing w:before="200"/>
          </w:pPr>
          <w:bookmarkStart w:id="247" w:name="_Toc43284619"/>
          <w:r w:rsidRPr="00027624">
            <w:t>The value of government services for retirees</w:t>
          </w:r>
          <w:bookmarkEnd w:id="247"/>
        </w:p>
        <w:p w14:paraId="77FE4C0E" w14:textId="48F5FBF4" w:rsidR="00D178A4" w:rsidRPr="00027624" w:rsidRDefault="00D178A4" w:rsidP="00DD5362">
          <w:r w:rsidRPr="00027624">
            <w:t>All Australian households receive support in the form of government</w:t>
          </w:r>
          <w:r w:rsidR="00A8443E" w:rsidRPr="00027624">
            <w:noBreakHyphen/>
          </w:r>
          <w:r w:rsidRPr="00027624">
            <w:t>provided services, also referred to as social transfers in kind. The type of service, and degree to which it is used, changes as households age. Younger households receive significant in</w:t>
          </w:r>
          <w:r w:rsidR="00A8443E" w:rsidRPr="00027624">
            <w:noBreakHyphen/>
          </w:r>
          <w:r w:rsidRPr="00027624">
            <w:t>kind support through benefits associated with primary, secondary and tertiary education. Older households receive significant social transfers through health services (</w:t>
          </w:r>
          <w:r w:rsidRPr="00027624">
            <w:fldChar w:fldCharType="begin"/>
          </w:r>
          <w:r w:rsidRPr="00027624">
            <w:instrText xml:space="preserve"> REF _Ref42609249 \r \h  \* MERGEFORMAT </w:instrText>
          </w:r>
          <w:r w:rsidRPr="00027624">
            <w:fldChar w:fldCharType="separate"/>
          </w:r>
          <w:r w:rsidR="00891058">
            <w:t>Chart 1B-5</w:t>
          </w:r>
          <w:r w:rsidRPr="00027624">
            <w:fldChar w:fldCharType="end"/>
          </w:r>
          <w:r w:rsidRPr="00027624">
            <w:t xml:space="preserve">), which are higher as a proportion of their income than other age groups </w:t>
          </w:r>
          <w:sdt>
            <w:sdtPr>
              <w:id w:val="-342709554"/>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 xml:space="preserve">. </w:t>
          </w:r>
        </w:p>
        <w:p w14:paraId="71B8BA9B" w14:textId="77777777" w:rsidR="00D178A4" w:rsidRPr="00027624" w:rsidRDefault="00D178A4" w:rsidP="00663302">
          <w:pPr>
            <w:pStyle w:val="ChartMainHeading"/>
            <w:numPr>
              <w:ilvl w:val="2"/>
              <w:numId w:val="17"/>
            </w:numPr>
          </w:pPr>
          <w:bookmarkStart w:id="248" w:name="_Ref35585992"/>
          <w:bookmarkStart w:id="249" w:name="_Ref42593577"/>
          <w:bookmarkStart w:id="250" w:name="_Ref42609249"/>
          <w:r w:rsidRPr="00027624">
            <w:t>Average weekly value of social transfers in kind, by age group</w:t>
          </w:r>
          <w:bookmarkEnd w:id="248"/>
          <w:bookmarkEnd w:id="249"/>
          <w:bookmarkEnd w:id="250"/>
        </w:p>
        <w:p w14:paraId="56DBC085" w14:textId="77777777" w:rsidR="00D178A4" w:rsidRPr="00027624" w:rsidRDefault="007C6DAC" w:rsidP="00D178A4">
          <w:pPr>
            <w:pStyle w:val="ChartGraphic"/>
          </w:pPr>
          <w:r>
            <w:rPr>
              <w:noProof/>
            </w:rPr>
            <w:drawing>
              <wp:inline distT="0" distB="0" distL="0" distR="0" wp14:anchorId="101066CB" wp14:editId="60444546">
                <wp:extent cx="5526000" cy="2498400"/>
                <wp:effectExtent l="0" t="0" r="0" b="0"/>
                <wp:docPr id="2099192811" name="Picture 2099192811" descr="This chart shows the average weekly value of social transfers in kind for different age cohorts. Social transfers in kind include education, acute care institutions, community health services, pharmaceuticals, other health benefits, child care assistance, housing and electricity, and ‘other’. For households aged 55 and over, the majority of social transfers in kind they receive are for health, including acute care institutions, community health services and pharmaceuticals. Whereas, households age 54 and under receive a large share of their social transfers in kind from education benefits. The average weekly value of social transfers in kind is around $350 per week at age 55 64, increasing up to around $600 per week for households aged 75 and over. " title="Chart 1B-5 Average weekly value of social transfers in kind,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26000" cy="2498400"/>
                        </a:xfrm>
                        <a:prstGeom prst="rect">
                          <a:avLst/>
                        </a:prstGeom>
                        <a:noFill/>
                      </pic:spPr>
                    </pic:pic>
                  </a:graphicData>
                </a:graphic>
              </wp:inline>
            </w:drawing>
          </w:r>
        </w:p>
        <w:p w14:paraId="4775A407" w14:textId="77777777" w:rsidR="00D178A4" w:rsidRPr="00027624" w:rsidRDefault="00D178A4" w:rsidP="00664585">
          <w:pPr>
            <w:pStyle w:val="ChartorTableNote"/>
            <w:spacing w:before="0" w:after="0"/>
          </w:pPr>
          <w:r w:rsidRPr="00027624">
            <w:t xml:space="preserve">Note: Social transfers in kind are goods and services provided free or at subsidised prices by the Government. Education benefits includes school, tertiary and other education benefits. </w:t>
          </w:r>
          <w:r w:rsidR="00A8443E" w:rsidRPr="00027624">
            <w:t>‘</w:t>
          </w:r>
          <w:r w:rsidRPr="00027624">
            <w:t>Other health benefits</w:t>
          </w:r>
          <w:r w:rsidR="00A8443E" w:rsidRPr="00027624">
            <w:t>’</w:t>
          </w:r>
          <w:r w:rsidRPr="00027624">
            <w:t xml:space="preserve"> includes private health insurance rebate and other health benefits. </w:t>
          </w:r>
          <w:r w:rsidR="00A8443E" w:rsidRPr="00027624">
            <w:t>‘</w:t>
          </w:r>
          <w:r w:rsidRPr="00027624">
            <w:t>Other</w:t>
          </w:r>
          <w:r w:rsidR="00A8443E" w:rsidRPr="00027624">
            <w:t>’</w:t>
          </w:r>
          <w:r w:rsidRPr="00027624">
            <w:t xml:space="preserve"> is the residual of total selected social transfers in kind not covered. Values are in 2017</w:t>
          </w:r>
          <w:r w:rsidR="00A8443E" w:rsidRPr="00027624">
            <w:noBreakHyphen/>
          </w:r>
          <w:r w:rsidRPr="00027624">
            <w:t>18 dollars. Source:</w:t>
          </w:r>
          <w:sdt>
            <w:sdtPr>
              <w:id w:val="1206221945"/>
              <w:citation/>
            </w:sdtPr>
            <w:sdtEndPr/>
            <w:sdtContent>
              <w:r w:rsidRPr="00027624">
                <w:fldChar w:fldCharType="begin"/>
              </w:r>
              <w:r w:rsidRPr="00027624">
                <w:instrText xml:space="preserve"> CITATION ABS198 \l 3081 </w:instrText>
              </w:r>
              <w:r w:rsidRPr="00027624">
                <w:fldChar w:fldCharType="separate"/>
              </w:r>
              <w:r w:rsidR="00E83F6E">
                <w:rPr>
                  <w:noProof/>
                </w:rPr>
                <w:t xml:space="preserve"> (ABS, 2019k)</w:t>
              </w:r>
              <w:r w:rsidRPr="00027624">
                <w:fldChar w:fldCharType="end"/>
              </w:r>
            </w:sdtContent>
          </w:sdt>
          <w:r w:rsidRPr="00027624">
            <w:t>.</w:t>
          </w:r>
        </w:p>
        <w:p w14:paraId="07228819" w14:textId="77777777" w:rsidR="00D178A4" w:rsidRPr="00027624" w:rsidRDefault="00D178A4" w:rsidP="00DD5362">
          <w:pPr>
            <w:pStyle w:val="Heading3"/>
          </w:pPr>
          <w:bookmarkStart w:id="251" w:name="_Toc43284620"/>
          <w:r w:rsidRPr="00027624">
            <w:lastRenderedPageBreak/>
            <w:t>Assets of retirees</w:t>
          </w:r>
          <w:bookmarkEnd w:id="251"/>
        </w:p>
        <w:p w14:paraId="52CBDB9B" w14:textId="7CC2487C" w:rsidR="00D178A4" w:rsidRPr="00027624" w:rsidRDefault="00D178A4" w:rsidP="00D178A4">
          <w:r w:rsidRPr="00027624">
            <w:rPr>
              <w:b/>
              <w:bCs/>
            </w:rPr>
            <w:t>For most households aged 65 and over, the family home is their largest asset</w:t>
          </w:r>
          <w:r w:rsidRPr="00027624">
            <w:t xml:space="preserve"> (</w:t>
          </w:r>
          <w:r w:rsidRPr="00027624">
            <w:fldChar w:fldCharType="begin"/>
          </w:r>
          <w:r w:rsidRPr="00027624">
            <w:instrText xml:space="preserve"> REF _Ref42609352 \r \h  \* MERGEFORMAT </w:instrText>
          </w:r>
          <w:r w:rsidRPr="00027624">
            <w:fldChar w:fldCharType="separate"/>
          </w:r>
          <w:r w:rsidR="00891058">
            <w:t>Chart 1B-6</w:t>
          </w:r>
          <w:r w:rsidRPr="00027624">
            <w:fldChar w:fldCharType="end"/>
          </w:r>
          <w:r w:rsidRPr="00027624">
            <w:t>). The home makes up 60</w:t>
          </w:r>
          <w:r w:rsidR="00A8443E" w:rsidRPr="00027624">
            <w:noBreakHyphen/>
          </w:r>
          <w:r w:rsidRPr="00027624">
            <w:t>72 per cent of net wealth for households in the 40</w:t>
          </w:r>
          <w:r w:rsidRPr="00027624">
            <w:rPr>
              <w:vertAlign w:val="superscript"/>
            </w:rPr>
            <w:t>th</w:t>
          </w:r>
          <w:r w:rsidRPr="00027624">
            <w:t xml:space="preserve"> to 70</w:t>
          </w:r>
          <w:r w:rsidRPr="00027624">
            <w:rPr>
              <w:vertAlign w:val="superscript"/>
            </w:rPr>
            <w:t>th</w:t>
          </w:r>
          <w:r w:rsidRPr="00027624">
            <w:t xml:space="preserve"> percentile of the wealth distribution.</w:t>
          </w:r>
        </w:p>
        <w:p w14:paraId="71B4AFCF" w14:textId="77777777" w:rsidR="00D178A4" w:rsidRPr="00027624" w:rsidRDefault="00D178A4" w:rsidP="00D178A4">
          <w:r w:rsidRPr="00027624">
            <w:t>Excluding the family home, the median retiree household has around $165,000 in net wealth. For most households in retirement in 2017</w:t>
          </w:r>
          <w:r w:rsidR="00A8443E" w:rsidRPr="00027624">
            <w:noBreakHyphen/>
          </w:r>
          <w:r w:rsidRPr="00027624">
            <w:t>18, superannuation makes up a relatively small share of net wealth.</w:t>
          </w:r>
        </w:p>
        <w:p w14:paraId="3BC9849F" w14:textId="77777777" w:rsidR="00D178A4" w:rsidRPr="00027624" w:rsidRDefault="00D178A4" w:rsidP="00D178A4">
          <w:r w:rsidRPr="00027624">
            <w:t>Households in the top 20 per cent by wealth have on average more than $500,000 in equivalised wealth outside the home. Their wealth is held across financial, property and superannuation assets.</w:t>
          </w:r>
        </w:p>
        <w:p w14:paraId="3CF19B4F" w14:textId="77777777" w:rsidR="00D178A4" w:rsidRPr="00027624" w:rsidRDefault="00D178A4" w:rsidP="00663302">
          <w:pPr>
            <w:pStyle w:val="ChartMainHeading"/>
            <w:numPr>
              <w:ilvl w:val="2"/>
              <w:numId w:val="17"/>
            </w:numPr>
          </w:pPr>
          <w:bookmarkStart w:id="252" w:name="_Ref35856828"/>
          <w:bookmarkStart w:id="253" w:name="_Ref42609352"/>
          <w:r w:rsidRPr="00027624">
            <w:t>Equivalised household wealth by asset type, for retirees</w:t>
          </w:r>
          <w:bookmarkEnd w:id="252"/>
          <w:bookmarkEnd w:id="253"/>
        </w:p>
        <w:p w14:paraId="1BDFED7C" w14:textId="77777777" w:rsidR="00D178A4" w:rsidRPr="00027624" w:rsidRDefault="00D1612D" w:rsidP="00D178A4">
          <w:pPr>
            <w:pStyle w:val="ChartGraphic"/>
          </w:pPr>
          <w:r>
            <w:rPr>
              <w:noProof/>
            </w:rPr>
            <w:drawing>
              <wp:inline distT="0" distB="0" distL="0" distR="0" wp14:anchorId="36226BDE" wp14:editId="6190EA87">
                <wp:extent cx="5577840" cy="2522220"/>
                <wp:effectExtent l="0" t="0" r="3810" b="0"/>
                <wp:docPr id="236" name="Picture 236" descr="This chart shows the equivalised household wealth by asset type for retirees, which includes home, superannuation, financial, property and ‘other’. The home represents the majority of assets for all wealth deciles, excluding the 10th wealth decile which has a more even distribution of assets." title="Chart 1B-6 Equivalised household wealth by asset type, for reti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78A661F8" w14:textId="77777777" w:rsidR="00D178A4" w:rsidRPr="00027624" w:rsidRDefault="00D178A4" w:rsidP="00D178A4">
          <w:pPr>
            <w:pStyle w:val="ChartorTableNote"/>
            <w:rPr>
              <w:rStyle w:val="CommentReference"/>
              <w:rFonts w:asciiTheme="minorHAnsi" w:eastAsiaTheme="minorHAnsi" w:hAnsiTheme="minorHAnsi" w:cstheme="minorBidi"/>
              <w:color w:val="auto"/>
              <w:lang w:eastAsia="en-US"/>
            </w:rPr>
          </w:pPr>
          <w:r w:rsidRPr="00027624">
            <w:t>Note: Retirees are defined as households where the reference person is aged 65 or older and is no longer in the labour force. Household wealth has been equivalised using the OECD equivalence scale in order to take account of differences in a household</w:t>
          </w:r>
          <w:r w:rsidR="00A8443E" w:rsidRPr="00027624">
            <w:t>’</w:t>
          </w:r>
          <w:r w:rsidRPr="00027624">
            <w:t>s size and composition. Values in 2017</w:t>
          </w:r>
          <w:r w:rsidR="00A8443E" w:rsidRPr="00027624">
            <w:noBreakHyphen/>
          </w:r>
          <w:r w:rsidRPr="00027624">
            <w:t xml:space="preserve">18 dollars. Source: Analysis of </w:t>
          </w:r>
          <w:sdt>
            <w:sdtPr>
              <w:id w:val="1320311448"/>
              <w:citation/>
            </w:sdtPr>
            <w:sdtEndPr/>
            <w:sdtContent>
              <w:r w:rsidRPr="00027624">
                <w:fldChar w:fldCharType="begin"/>
              </w:r>
              <w:r w:rsidRPr="00027624">
                <w:instrText xml:space="preserve"> CITATION ABS196 \l 3081 </w:instrText>
              </w:r>
              <w:r w:rsidRPr="00027624">
                <w:fldChar w:fldCharType="separate"/>
              </w:r>
              <w:r w:rsidR="00E83F6E">
                <w:rPr>
                  <w:noProof/>
                </w:rPr>
                <w:t>(ABS, 2019s)</w:t>
              </w:r>
              <w:r w:rsidRPr="00027624">
                <w:fldChar w:fldCharType="end"/>
              </w:r>
            </w:sdtContent>
          </w:sdt>
          <w:r w:rsidRPr="00027624">
            <w:t xml:space="preserve">. </w:t>
          </w:r>
        </w:p>
        <w:p w14:paraId="22096294" w14:textId="77777777" w:rsidR="00D178A4" w:rsidRPr="00027624" w:rsidRDefault="00D178A4" w:rsidP="00D178A4">
          <w:pPr>
            <w:pStyle w:val="Heading4"/>
          </w:pPr>
          <w:bookmarkStart w:id="254" w:name="_Toc43284621"/>
          <w:r w:rsidRPr="00027624">
            <w:t>Superannuation wealth for people in or near retirement</w:t>
          </w:r>
          <w:bookmarkEnd w:id="254"/>
        </w:p>
        <w:p w14:paraId="5D17886D" w14:textId="77777777" w:rsidR="00D178A4" w:rsidRPr="00027624" w:rsidRDefault="00D178A4" w:rsidP="00D178A4">
          <w:r w:rsidRPr="00027624">
            <w:t>While superannuation is a minor source of wealth for most current retirees, it will be an increasingly important asset as the system matures.</w:t>
          </w:r>
        </w:p>
        <w:p w14:paraId="6AD9B46E" w14:textId="78BB9F0A" w:rsidR="00D178A4" w:rsidRPr="00027624" w:rsidRDefault="00D178A4" w:rsidP="00D178A4">
          <w:r w:rsidRPr="00027624">
            <w:t>Currently, most people approaching retirement have some superannuation. However, they will have received the SG for only part of their working lives, and at a relatively low rate for some of this time. Superannuation balances for people approaching retirement are skewed towards higher</w:t>
          </w:r>
          <w:r w:rsidR="00410DDD" w:rsidRPr="00027624">
            <w:t>-</w:t>
          </w:r>
          <w:r w:rsidRPr="00027624">
            <w:t>wealth households (</w:t>
          </w:r>
          <w:r w:rsidRPr="00027624">
            <w:fldChar w:fldCharType="begin"/>
          </w:r>
          <w:r w:rsidRPr="00027624">
            <w:instrText xml:space="preserve"> REF _Ref35511718 \r \h </w:instrText>
          </w:r>
          <w:r w:rsidR="00FA7639" w:rsidRPr="00027624">
            <w:instrText xml:space="preserve"> \* MERGEFORMAT </w:instrText>
          </w:r>
          <w:r w:rsidRPr="00027624">
            <w:fldChar w:fldCharType="separate"/>
          </w:r>
          <w:r w:rsidR="00891058">
            <w:t>Chart 1B-7</w:t>
          </w:r>
          <w:r w:rsidRPr="00027624">
            <w:fldChar w:fldCharType="end"/>
          </w:r>
          <w:r w:rsidRPr="00027624">
            <w:t xml:space="preserve"> and </w:t>
          </w:r>
          <w:r w:rsidRPr="00027624">
            <w:fldChar w:fldCharType="begin"/>
          </w:r>
          <w:r w:rsidRPr="00027624">
            <w:instrText xml:space="preserve"> REF _Ref35511727 \r \h </w:instrText>
          </w:r>
          <w:r w:rsidR="00FA7639" w:rsidRPr="00027624">
            <w:instrText xml:space="preserve"> \* MERGEFORMAT </w:instrText>
          </w:r>
          <w:r w:rsidRPr="00027624">
            <w:fldChar w:fldCharType="separate"/>
          </w:r>
          <w:r w:rsidR="00891058">
            <w:t>Chart 1B-8</w:t>
          </w:r>
          <w:r w:rsidRPr="00027624">
            <w:fldChar w:fldCharType="end"/>
          </w:r>
          <w:r w:rsidRPr="00027624">
            <w:t>). For people approaching retirement in 2017</w:t>
          </w:r>
          <w:r w:rsidR="00A8443E" w:rsidRPr="00027624">
            <w:noBreakHyphen/>
          </w:r>
          <w:r w:rsidRPr="00027624">
            <w:t>18, the average superannuation balance for those at the fifth decile of the household wealth distribution was close to $140,000 compared with more than $1 million for the top decile.</w:t>
          </w:r>
        </w:p>
        <w:tbl>
          <w:tblPr>
            <w:tblW w:w="5000" w:type="pct"/>
            <w:tblCellMar>
              <w:left w:w="0" w:type="dxa"/>
              <w:right w:w="0" w:type="dxa"/>
            </w:tblCellMar>
            <w:tblLook w:val="01E0" w:firstRow="1" w:lastRow="1" w:firstColumn="1" w:lastColumn="1" w:noHBand="0" w:noVBand="0"/>
          </w:tblPr>
          <w:tblGrid>
            <w:gridCol w:w="4517"/>
            <w:gridCol w:w="4553"/>
          </w:tblGrid>
          <w:tr w:rsidR="00D178A4" w:rsidRPr="00FB0379" w14:paraId="786CCF20" w14:textId="77777777" w:rsidTr="00FB0379">
            <w:trPr>
              <w:trHeight w:val="624"/>
              <w:tblHeader/>
            </w:trPr>
            <w:tc>
              <w:tcPr>
                <w:tcW w:w="4770" w:type="dxa"/>
                <w:hideMark/>
              </w:tcPr>
              <w:p w14:paraId="3CEBE350" w14:textId="77777777" w:rsidR="00D178A4" w:rsidRPr="00FB0379" w:rsidRDefault="00D178A4" w:rsidP="00663302">
                <w:pPr>
                  <w:pStyle w:val="ChartMainHeading"/>
                  <w:numPr>
                    <w:ilvl w:val="2"/>
                    <w:numId w:val="17"/>
                  </w:numPr>
                </w:pPr>
                <w:bookmarkStart w:id="255" w:name="_Ref35511718"/>
                <w:r w:rsidRPr="00FB0379">
                  <w:lastRenderedPageBreak/>
                  <w:t>Equivalised superannuation balances of households aged 60</w:t>
                </w:r>
                <w:r w:rsidR="00FB0379" w:rsidRPr="00FB0379">
                  <w:t>-</w:t>
                </w:r>
                <w:r w:rsidRPr="00FB0379">
                  <w:t>64</w:t>
                </w:r>
                <w:bookmarkEnd w:id="255"/>
              </w:p>
            </w:tc>
            <w:tc>
              <w:tcPr>
                <w:tcW w:w="4722" w:type="dxa"/>
                <w:hideMark/>
              </w:tcPr>
              <w:p w14:paraId="407C3793" w14:textId="77777777" w:rsidR="00D178A4" w:rsidRPr="00FB0379" w:rsidRDefault="00D178A4" w:rsidP="00663302">
                <w:pPr>
                  <w:pStyle w:val="ChartMainHeading"/>
                  <w:numPr>
                    <w:ilvl w:val="2"/>
                    <w:numId w:val="17"/>
                  </w:numPr>
                </w:pPr>
                <w:bookmarkStart w:id="256" w:name="_Ref35511727"/>
                <w:r w:rsidRPr="00FB0379">
                  <w:t>Superannuation balances of people aged 65</w:t>
                </w:r>
                <w:r w:rsidR="00FB0379" w:rsidRPr="00FB0379">
                  <w:t>-</w:t>
                </w:r>
                <w:r w:rsidRPr="00FB0379">
                  <w:t>74</w:t>
                </w:r>
                <w:bookmarkEnd w:id="256"/>
              </w:p>
            </w:tc>
          </w:tr>
          <w:tr w:rsidR="00D178A4" w:rsidRPr="00027624" w14:paraId="6A500532" w14:textId="77777777" w:rsidTr="00130691">
            <w:trPr>
              <w:trHeight w:val="4605"/>
            </w:trPr>
            <w:tc>
              <w:tcPr>
                <w:tcW w:w="4770" w:type="dxa"/>
                <w:hideMark/>
              </w:tcPr>
              <w:p w14:paraId="0152FED5" w14:textId="77777777" w:rsidR="00D178A4" w:rsidRPr="00027624" w:rsidRDefault="00D1612D" w:rsidP="00D178A4">
                <w:pPr>
                  <w:pStyle w:val="ChartGraphic"/>
                  <w:rPr>
                    <w:lang w:eastAsia="en-US"/>
                  </w:rPr>
                </w:pPr>
                <w:r>
                  <w:rPr>
                    <w:noProof/>
                  </w:rPr>
                  <w:drawing>
                    <wp:inline distT="0" distB="0" distL="0" distR="0" wp14:anchorId="0F8236CE" wp14:editId="117D36AF">
                      <wp:extent cx="2880360" cy="2887980"/>
                      <wp:effectExtent l="0" t="0" r="0" b="7620"/>
                      <wp:docPr id="2099192814" name="Picture 2099192814" descr="This chart shows equivalised superannuation balances increase by wealth decile for households aged 60-64. Deciles 1 to 3 have less than $100,000 on average, deciles 4 to 6 have less than $200,000, and there is a large jump at decile 9 and 10 which have around $550,000 and $1 million in superannuation, respectively." title="Chart 1B-7 Equivalised superannuation balances of households aged 60 to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tc>
            <w:tc>
              <w:tcPr>
                <w:tcW w:w="4722" w:type="dxa"/>
                <w:hideMark/>
              </w:tcPr>
              <w:p w14:paraId="6806DCC3" w14:textId="77777777" w:rsidR="00D178A4" w:rsidRPr="00027624" w:rsidRDefault="00D1612D" w:rsidP="00D178A4">
                <w:pPr>
                  <w:pStyle w:val="ChartGraphic"/>
                  <w:rPr>
                    <w:lang w:eastAsia="en-US"/>
                  </w:rPr>
                </w:pPr>
                <w:r>
                  <w:rPr>
                    <w:noProof/>
                  </w:rPr>
                  <w:drawing>
                    <wp:inline distT="0" distB="0" distL="0" distR="0" wp14:anchorId="0BA793BF" wp14:editId="36DBB465">
                      <wp:extent cx="2903220" cy="2880360"/>
                      <wp:effectExtent l="0" t="0" r="0" b="0"/>
                      <wp:docPr id="2099192815" name="Picture 2099192815" descr="This chart shows a large gap between the mean and the median superannuation balances of people aged 65-74, between 2003-04 and 2017-18. In 2017-18 this gap was over $150,000, compared to half that gap in 2003 04." title="Chart 1B-8 Superannuation balances of people aged 65 to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03220" cy="2880360"/>
                              </a:xfrm>
                              <a:prstGeom prst="rect">
                                <a:avLst/>
                              </a:prstGeom>
                              <a:noFill/>
                            </pic:spPr>
                          </pic:pic>
                        </a:graphicData>
                      </a:graphic>
                    </wp:inline>
                  </w:drawing>
                </w:r>
              </w:p>
            </w:tc>
          </w:tr>
        </w:tbl>
        <w:p w14:paraId="1AE44B19" w14:textId="032F6942" w:rsidR="00D178A4" w:rsidRPr="00027624" w:rsidRDefault="00D178A4" w:rsidP="00FB0379">
          <w:pPr>
            <w:pStyle w:val="ChartorTableNote"/>
          </w:pPr>
          <w:r w:rsidRPr="00027624">
            <w:t>Note: All values are in 2017</w:t>
          </w:r>
          <w:r w:rsidR="00A8443E" w:rsidRPr="00027624">
            <w:noBreakHyphen/>
          </w:r>
          <w:r w:rsidRPr="00027624">
            <w:t>18 dollars. Household wealth has been equivalised using the OECD equivalence scale in order to take account of differences in a household</w:t>
          </w:r>
          <w:r w:rsidR="00A8443E" w:rsidRPr="00027624">
            <w:t>’</w:t>
          </w:r>
          <w:r w:rsidRPr="00027624">
            <w:t xml:space="preserve">s size and composition. Superannuation balances presented in </w:t>
          </w:r>
          <w:r w:rsidRPr="00027624">
            <w:fldChar w:fldCharType="begin"/>
          </w:r>
          <w:r w:rsidRPr="00027624">
            <w:instrText xml:space="preserve"> REF _Ref35511727 \r \h </w:instrText>
          </w:r>
          <w:r w:rsidR="00FA7639" w:rsidRPr="00027624">
            <w:instrText xml:space="preserve"> \* MERGEFORMAT </w:instrText>
          </w:r>
          <w:r w:rsidRPr="00027624">
            <w:fldChar w:fldCharType="separate"/>
          </w:r>
          <w:r w:rsidR="00891058">
            <w:t>Chart 1B-8</w:t>
          </w:r>
          <w:r w:rsidRPr="00027624">
            <w:fldChar w:fldCharType="end"/>
          </w:r>
          <w:r w:rsidRPr="00027624">
            <w:t xml:space="preserve"> are on an individual rather than household basis. Data on </w:t>
          </w:r>
          <w:r w:rsidRPr="00FB0379">
            <w:t>superannuation</w:t>
          </w:r>
          <w:r w:rsidRPr="00027624">
            <w:t xml:space="preserve"> was not collected in 2007</w:t>
          </w:r>
          <w:r w:rsidR="00A8443E" w:rsidRPr="00027624">
            <w:noBreakHyphen/>
          </w:r>
          <w:r w:rsidRPr="00027624">
            <w:t xml:space="preserve">08. Source Analysis of </w:t>
          </w:r>
          <w:sdt>
            <w:sdtPr>
              <w:id w:val="-777028341"/>
              <w:citation/>
            </w:sdtPr>
            <w:sdtEndPr/>
            <w:sdtContent>
              <w:r w:rsidRPr="00027624">
                <w:fldChar w:fldCharType="begin"/>
              </w:r>
              <w:r w:rsidRPr="00027624">
                <w:instrText xml:space="preserve"> CITATION ABS196 \l 3081 </w:instrText>
              </w:r>
              <w:r w:rsidRPr="00027624">
                <w:fldChar w:fldCharType="separate"/>
              </w:r>
              <w:r w:rsidR="00E83F6E">
                <w:rPr>
                  <w:noProof/>
                </w:rPr>
                <w:t>(ABS, 2019s)</w:t>
              </w:r>
              <w:r w:rsidRPr="00027624">
                <w:fldChar w:fldCharType="end"/>
              </w:r>
            </w:sdtContent>
          </w:sdt>
          <w:r w:rsidRPr="00027624">
            <w:t xml:space="preserve">; </w:t>
          </w:r>
          <w:sdt>
            <w:sdtPr>
              <w:id w:val="-728604466"/>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w:t>
          </w:r>
        </w:p>
        <w:p w14:paraId="4321C231" w14:textId="77777777" w:rsidR="00D178A4" w:rsidRPr="00027624" w:rsidRDefault="00D178A4" w:rsidP="00D178A4">
          <w:pPr>
            <w:pStyle w:val="Heading2"/>
          </w:pPr>
          <w:bookmarkStart w:id="257" w:name="_Toc43284622"/>
          <w:bookmarkStart w:id="258" w:name="_Toc45520434"/>
          <w:bookmarkStart w:id="259" w:name="_Toc46133545"/>
          <w:bookmarkEnd w:id="238"/>
          <w:bookmarkEnd w:id="239"/>
          <w:bookmarkEnd w:id="240"/>
          <w:bookmarkEnd w:id="241"/>
          <w:bookmarkEnd w:id="242"/>
          <w:bookmarkEnd w:id="243"/>
          <w:r w:rsidRPr="00027624">
            <w:t>International comparison of Australia</w:t>
          </w:r>
          <w:r w:rsidR="00A8443E" w:rsidRPr="00027624">
            <w:t>’</w:t>
          </w:r>
          <w:r w:rsidRPr="00027624">
            <w:t>s retirement income system</w:t>
          </w:r>
          <w:bookmarkEnd w:id="257"/>
          <w:bookmarkEnd w:id="258"/>
          <w:bookmarkEnd w:id="259"/>
        </w:p>
        <w:p w14:paraId="0123AFEA" w14:textId="77777777" w:rsidR="00D178A4" w:rsidRPr="00027624" w:rsidRDefault="00D178A4" w:rsidP="00D178A4">
          <w:r w:rsidRPr="00027624">
            <w:rPr>
              <w:b/>
              <w:bCs/>
            </w:rPr>
            <w:t>Australia</w:t>
          </w:r>
          <w:r w:rsidR="00A8443E" w:rsidRPr="00027624">
            <w:rPr>
              <w:b/>
              <w:bCs/>
            </w:rPr>
            <w:t>’</w:t>
          </w:r>
          <w:r w:rsidRPr="00027624">
            <w:rPr>
              <w:b/>
              <w:bCs/>
            </w:rPr>
            <w:t xml:space="preserve">s retirement income system generally ranks highly in international comparisons of retirement income systems. </w:t>
          </w:r>
          <w:r w:rsidRPr="00027624">
            <w:t xml:space="preserve">For example, the Melbourne Mercer Global Pension Index ranked the Australian system third of 37 countries in 2019, behind the Netherlands and Denmark </w:t>
          </w:r>
          <w:sdt>
            <w:sdtPr>
              <w:id w:val="-204639778"/>
              <w:citation/>
            </w:sdtPr>
            <w:sdtEndPr/>
            <w:sdtContent>
              <w:r w:rsidR="00973961" w:rsidRPr="00027624">
                <w:fldChar w:fldCharType="begin"/>
              </w:r>
              <w:r w:rsidR="00973961" w:rsidRPr="00027624">
                <w:instrText xml:space="preserve"> CITATION MerP191 \l 3081 </w:instrText>
              </w:r>
              <w:r w:rsidR="00973961" w:rsidRPr="00027624">
                <w:fldChar w:fldCharType="separate"/>
              </w:r>
              <w:r w:rsidR="00E83F6E">
                <w:rPr>
                  <w:noProof/>
                </w:rPr>
                <w:t>(Mercer, 2019b)</w:t>
              </w:r>
              <w:r w:rsidR="00973961" w:rsidRPr="00027624">
                <w:fldChar w:fldCharType="end"/>
              </w:r>
            </w:sdtContent>
          </w:sdt>
          <w:r w:rsidRPr="00027624">
            <w:t>. It ranks highly on both adequacy and sustainability compared to others as it is more fully funded than most through superannuation contributions. It is also rated highly on integrity, as a result of the regulatory and governance requirements for superannuation funds operating in Australia.</w:t>
          </w:r>
        </w:p>
        <w:p w14:paraId="51205CE1" w14:textId="77777777" w:rsidR="00D178A4" w:rsidRPr="00027624" w:rsidRDefault="00D178A4" w:rsidP="00D178A4">
          <w:r w:rsidRPr="00027624">
            <w:t>Australia was one of the first countries to adopt a retirement income system with three pillars, comprising a means</w:t>
          </w:r>
          <w:r w:rsidR="00410DDD" w:rsidRPr="00027624">
            <w:t>-</w:t>
          </w:r>
          <w:r w:rsidRPr="00027624">
            <w:t>tested Age Pension, compulsory superannuation and tax incentives to encourage voluntary contributions to superannuation. The Australian approach has been endorsed by the World Bank as international best practice</w:t>
          </w:r>
          <w:sdt>
            <w:sdtPr>
              <w:id w:val="-1324503022"/>
              <w:citation/>
            </w:sdtPr>
            <w:sdtEndPr/>
            <w:sdtContent>
              <w:r w:rsidRPr="00027624">
                <w:fldChar w:fldCharType="begin"/>
              </w:r>
              <w:r w:rsidRPr="00027624">
                <w:instrText xml:space="preserve"> CITATION Nie10 \l 3081 </w:instrText>
              </w:r>
              <w:r w:rsidRPr="00027624">
                <w:fldChar w:fldCharType="separate"/>
              </w:r>
              <w:r w:rsidR="00E83F6E">
                <w:rPr>
                  <w:noProof/>
                </w:rPr>
                <w:t xml:space="preserve"> (Nielson &amp; Harris, 2010)</w:t>
              </w:r>
              <w:r w:rsidRPr="00027624">
                <w:fldChar w:fldCharType="end"/>
              </w:r>
            </w:sdtContent>
          </w:sdt>
          <w:r w:rsidRPr="00027624">
            <w:t>.</w:t>
          </w:r>
        </w:p>
        <w:p w14:paraId="6197F868" w14:textId="77777777" w:rsidR="00D178A4" w:rsidRPr="00027624" w:rsidRDefault="00D178A4" w:rsidP="00D178A4">
          <w:r w:rsidRPr="00027624">
            <w:rPr>
              <w:b/>
              <w:bCs/>
            </w:rPr>
            <w:t>Australia</w:t>
          </w:r>
          <w:r w:rsidR="00A8443E" w:rsidRPr="00027624">
            <w:rPr>
              <w:b/>
              <w:bCs/>
            </w:rPr>
            <w:t>’</w:t>
          </w:r>
          <w:r w:rsidRPr="00027624">
            <w:rPr>
              <w:b/>
              <w:bCs/>
            </w:rPr>
            <w:t>s Age Pension is unique</w:t>
          </w:r>
          <w:r w:rsidRPr="00027624">
            <w:t xml:space="preserve">. Some countries, mostly those in Scandinavia and Southern Europe, have a basic pension for poverty alleviation that covers a much smaller range of people. Around 71 per cent of Australians over Age Pension eligibility age receive an income support payment. According to CEPAR, Australian pensions involve higher payments and slower rates of withdrawal than most other countries </w:t>
          </w:r>
          <w:sdt>
            <w:sdtPr>
              <w:id w:val="-1989007190"/>
              <w:citation/>
            </w:sdtPr>
            <w:sdtEndPr/>
            <w:sdtContent>
              <w:r w:rsidRPr="00027624">
                <w:fldChar w:fldCharType="begin"/>
              </w:r>
              <w:r w:rsidRPr="00027624">
                <w:instrText xml:space="preserve">CITATION CEPAR2020 \p 4 \l 3081 </w:instrText>
              </w:r>
              <w:r w:rsidRPr="00027624">
                <w:fldChar w:fldCharType="separate"/>
              </w:r>
              <w:r w:rsidR="00E83F6E">
                <w:rPr>
                  <w:noProof/>
                </w:rPr>
                <w:t>(CEPAR, 2020, p. 4)</w:t>
              </w:r>
              <w:r w:rsidRPr="00027624">
                <w:fldChar w:fldCharType="end"/>
              </w:r>
            </w:sdtContent>
          </w:sdt>
          <w:r w:rsidRPr="00027624">
            <w:t>. However, most other countries have publicly funded contributory social security systems that provide benefits higher than basic pensions.</w:t>
          </w:r>
        </w:p>
        <w:p w14:paraId="1E219CD4" w14:textId="77777777" w:rsidR="00D178A4" w:rsidRPr="00027624" w:rsidRDefault="00D178A4" w:rsidP="00D178A4">
          <w:r w:rsidRPr="00027624">
            <w:t>A key consideration in Australia</w:t>
          </w:r>
          <w:r w:rsidR="00A8443E" w:rsidRPr="00027624">
            <w:t>’</w:t>
          </w:r>
          <w:r w:rsidRPr="00027624">
            <w:t xml:space="preserve">s retirement income support is housing. Australian levels of home ownership are high by international standards, particularly compared with Europe, where lifelong residence in </w:t>
          </w:r>
          <w:r w:rsidR="00A8443E" w:rsidRPr="00027624">
            <w:t>‘</w:t>
          </w:r>
          <w:r w:rsidRPr="00027624">
            <w:t>public housing</w:t>
          </w:r>
          <w:r w:rsidR="00A8443E" w:rsidRPr="00027624">
            <w:t>’</w:t>
          </w:r>
          <w:r w:rsidRPr="00027624">
            <w:t xml:space="preserve"> is common for a significant percentage of lower</w:t>
          </w:r>
          <w:r w:rsidR="00A8443E" w:rsidRPr="00027624">
            <w:noBreakHyphen/>
          </w:r>
          <w:r w:rsidRPr="00027624">
            <w:t xml:space="preserve">income earners. For many Australians, the family home is their most significant form of voluntary savings. Home </w:t>
          </w:r>
          <w:r w:rsidRPr="00027624">
            <w:lastRenderedPageBreak/>
            <w:t>ownership is important in determining the adequacy of retirement income, because most home owners have significantly lower housing costs than a retiree renting on the private market.</w:t>
          </w:r>
        </w:p>
        <w:p w14:paraId="0A8A2BD7" w14:textId="77777777" w:rsidR="00D178A4" w:rsidRPr="00027624" w:rsidRDefault="00D178A4" w:rsidP="00D178A4">
          <w:r w:rsidRPr="00027624">
            <w:t xml:space="preserve">Internationally, the two most common retirement income schemes are: </w:t>
          </w:r>
        </w:p>
        <w:p w14:paraId="71C07AC5" w14:textId="77777777" w:rsidR="00D178A4" w:rsidRPr="00027624" w:rsidRDefault="00D178A4" w:rsidP="00325A8D">
          <w:pPr>
            <w:numPr>
              <w:ilvl w:val="0"/>
              <w:numId w:val="15"/>
            </w:numPr>
          </w:pPr>
          <w:r w:rsidRPr="00027624">
            <w:rPr>
              <w:b/>
              <w:bCs/>
            </w:rPr>
            <w:t>Government social insurance schemes</w:t>
          </w:r>
          <w:r w:rsidRPr="00027624">
            <w:t xml:space="preserve"> are operated by many European governments. They involve an extra tax paid every year from employment income, with the promise of a regular payment in retirement. For example, the current rate of National Insurance in the UK for most employees is 12 per cent. Social security contributions are 18.6 per cent in Germany and 9.2 per cent in France. These schemes are often unfunded, meaning the additional tax paid is not separated or quarantined from other government funds to pay for pensions in the future.</w:t>
          </w:r>
        </w:p>
        <w:p w14:paraId="0032C318" w14:textId="77777777" w:rsidR="00D178A4" w:rsidRPr="00027624" w:rsidRDefault="00D178A4" w:rsidP="00325A8D">
          <w:pPr>
            <w:numPr>
              <w:ilvl w:val="0"/>
              <w:numId w:val="15"/>
            </w:numPr>
          </w:pPr>
          <w:r w:rsidRPr="00027624">
            <w:rPr>
              <w:b/>
              <w:bCs/>
            </w:rPr>
            <w:t>Employer</w:t>
          </w:r>
          <w:r w:rsidR="00A8443E" w:rsidRPr="00027624">
            <w:rPr>
              <w:b/>
              <w:bCs/>
            </w:rPr>
            <w:noBreakHyphen/>
          </w:r>
          <w:r w:rsidRPr="00027624">
            <w:rPr>
              <w:b/>
              <w:bCs/>
            </w:rPr>
            <w:t>based defined benefit schemes</w:t>
          </w:r>
          <w:r w:rsidRPr="00027624">
            <w:t xml:space="preserve"> involve employers providing retirement incomes to their employees. These schemes were the most common type of retirement income system internationally until the early 1990s, and were designed to retain employees. They typically paid a multiple of an employee</w:t>
          </w:r>
          <w:r w:rsidR="00A8443E" w:rsidRPr="00027624">
            <w:t>’</w:t>
          </w:r>
          <w:r w:rsidRPr="00027624">
            <w:t>s final average salary based on their number of years of service. These schemes placed investment risk on the employer, meaning the employee received the same benefit irrespective of market returns. Following many companies struggling to meet these liabilities, particularly in the UK and US, defined benefit schemes are now less common.</w:t>
          </w:r>
        </w:p>
        <w:p w14:paraId="36731602" w14:textId="77777777" w:rsidR="00D178A4" w:rsidRPr="00027624" w:rsidRDefault="00D178A4" w:rsidP="00D178A4">
          <w:r w:rsidRPr="00027624">
            <w:rPr>
              <w:b/>
              <w:bCs/>
            </w:rPr>
            <w:t>Australia</w:t>
          </w:r>
          <w:r w:rsidR="00A8443E" w:rsidRPr="00027624">
            <w:rPr>
              <w:b/>
              <w:bCs/>
            </w:rPr>
            <w:t>’</w:t>
          </w:r>
          <w:r w:rsidRPr="00027624">
            <w:rPr>
              <w:b/>
              <w:bCs/>
            </w:rPr>
            <w:t>s compulsory, privately managed superannuation system is unique</w:t>
          </w:r>
          <w:r w:rsidRPr="00027624">
            <w:t xml:space="preserve">. The most closely comparable schemes in the US or Canada are not compulsory. Instead, they encourage participation through tax incentives or behavioural </w:t>
          </w:r>
          <w:r w:rsidR="00A8443E" w:rsidRPr="00027624">
            <w:t>‘</w:t>
          </w:r>
          <w:r w:rsidRPr="00027624">
            <w:t>nudges</w:t>
          </w:r>
          <w:r w:rsidR="00A8443E" w:rsidRPr="00027624">
            <w:t>’</w:t>
          </w:r>
          <w:r w:rsidRPr="00027624">
            <w:t>, such as automatic enrolment when starting a new job.</w:t>
          </w:r>
        </w:p>
        <w:p w14:paraId="78201D98" w14:textId="77777777" w:rsidR="00D178A4" w:rsidRPr="00027624" w:rsidRDefault="00D178A4" w:rsidP="00D178A4">
          <w:r w:rsidRPr="00027624">
            <w:t>Private management of a pool of funds collected from member contributions places investment risk on the employee and retiree. This differs from employer defined benefit schemes or government social security schemes, and can expose retirees to lower incomes if market returns are low during retirement. However, experience with employer schemes demonstrated that employers do not always manage this risk effectively. Insolvency of some large US and UK firms has led to employees losing both employment and retirement savings. Unfunded government schemes carry a risk of governments reducing benefits in the future if the scheme becomes difficult to afford. This is particularly a risk for countries with ageing populations.</w:t>
          </w:r>
        </w:p>
        <w:p w14:paraId="031C5AC4" w14:textId="77777777" w:rsidR="00D178A4" w:rsidRPr="00027624" w:rsidRDefault="00D178A4" w:rsidP="00D178A4">
          <w:r w:rsidRPr="00027624">
            <w:t xml:space="preserve">Preservation of retirement savings until retirement age is strictly enforced in Australia. With some small exceptions for </w:t>
          </w:r>
          <w:r w:rsidR="00A8443E" w:rsidRPr="00027624">
            <w:t>‘</w:t>
          </w:r>
          <w:r w:rsidRPr="00027624">
            <w:t>early release</w:t>
          </w:r>
          <w:r w:rsidR="00A8443E" w:rsidRPr="00027624">
            <w:t>’</w:t>
          </w:r>
          <w:r w:rsidRPr="00027624">
            <w:t>, in circumstances of severe financial hardship or on compassionate grounds, superannuation can only be accessed after reaching preservation age. In contrast, overseas systems, for example funds established under section 401K of the US Internal Revenue Code, sometimes allow access to retirement savings earlier in life, but with a tax penalty (10 per cent in the US system).</w:t>
          </w:r>
        </w:p>
        <w:p w14:paraId="71D2BF22" w14:textId="77777777" w:rsidR="00952957" w:rsidRPr="00027624" w:rsidRDefault="00D178A4" w:rsidP="00D178A4">
          <w:pPr>
            <w:sectPr w:rsidR="00952957" w:rsidRPr="00027624" w:rsidSect="00952957">
              <w:type w:val="oddPage"/>
              <w:pgSz w:w="11906" w:h="16838" w:code="9"/>
              <w:pgMar w:top="1418" w:right="1418" w:bottom="1418" w:left="1418" w:header="709" w:footer="709" w:gutter="0"/>
              <w:cols w:space="708"/>
              <w:titlePg/>
              <w:docGrid w:linePitch="360"/>
            </w:sectPr>
          </w:pPr>
          <w:r w:rsidRPr="00027624">
            <w:t>Australia</w:t>
          </w:r>
          <w:r w:rsidR="00A8443E" w:rsidRPr="00027624">
            <w:t>’</w:t>
          </w:r>
          <w:r w:rsidRPr="00027624">
            <w:t>s superannuation system provides more flexibility in retirement than most schemes. Retirees can access lump sums to pay for large one</w:t>
          </w:r>
          <w:r w:rsidR="00A8443E" w:rsidRPr="00027624">
            <w:noBreakHyphen/>
          </w:r>
          <w:r w:rsidRPr="00027624">
            <w:t>off expenses (e.g. to finalise a mortgage or buy a car) or access an income stream over the longer term. European pension schemes typically provide an income stream, but do not offer access to a lump sum.</w:t>
          </w:r>
        </w:p>
        <w:p w14:paraId="3CFB6275" w14:textId="77777777" w:rsidR="00D178A4" w:rsidRPr="00027624" w:rsidRDefault="00D178A4" w:rsidP="00D178A4">
          <w:pPr>
            <w:pStyle w:val="Heading1"/>
            <w:pageBreakBefore/>
          </w:pPr>
          <w:bookmarkStart w:id="260" w:name="_Toc34643423"/>
          <w:bookmarkStart w:id="261" w:name="_Toc40251843"/>
          <w:bookmarkStart w:id="262" w:name="_Toc45520435"/>
          <w:bookmarkStart w:id="263" w:name="_Toc46133546"/>
          <w:r w:rsidRPr="00027624">
            <w:lastRenderedPageBreak/>
            <w:t>The objective of the system and the roles of the pillars</w:t>
          </w:r>
          <w:bookmarkEnd w:id="260"/>
          <w:bookmarkEnd w:id="261"/>
          <w:bookmarkEnd w:id="262"/>
          <w:bookmarkEnd w:id="263"/>
        </w:p>
        <w:tbl>
          <w:tblPr>
            <w:tblW w:w="5000" w:type="pct"/>
            <w:shd w:val="clear" w:color="auto" w:fill="DFD7E7" w:themeFill="accent3" w:themeFillTint="33"/>
            <w:tblLook w:val="01E0" w:firstRow="1" w:lastRow="1" w:firstColumn="1" w:lastColumn="1" w:noHBand="0" w:noVBand="0"/>
          </w:tblPr>
          <w:tblGrid>
            <w:gridCol w:w="9070"/>
          </w:tblGrid>
          <w:tr w:rsidR="00D178A4" w:rsidRPr="00027624" w14:paraId="67F0B9E8" w14:textId="77777777" w:rsidTr="00D178A4">
            <w:tc>
              <w:tcPr>
                <w:tcW w:w="5000" w:type="pct"/>
                <w:shd w:val="clear" w:color="auto" w:fill="DFD7E7" w:themeFill="accent3" w:themeFillTint="33"/>
              </w:tcPr>
              <w:p w14:paraId="12FCEAAA" w14:textId="77777777" w:rsidR="00D178A4" w:rsidRPr="00027624" w:rsidRDefault="00C4466A" w:rsidP="00D178A4">
                <w:pPr>
                  <w:pStyle w:val="BoxHeading"/>
                </w:pPr>
                <w:bookmarkStart w:id="264" w:name="_Toc31209562"/>
                <w:bookmarkStart w:id="265" w:name="_Toc31270924"/>
                <w:bookmarkStart w:id="266" w:name="_Toc31274368"/>
                <w:bookmarkStart w:id="267" w:name="_Toc31276200"/>
                <w:bookmarkStart w:id="268" w:name="_Toc31352198"/>
                <w:bookmarkStart w:id="269" w:name="_Toc31720334"/>
                <w:r w:rsidRPr="00027624">
                  <w:t>Section s</w:t>
                </w:r>
                <w:r w:rsidR="00D178A4" w:rsidRPr="00027624">
                  <w:t>ummary</w:t>
                </w:r>
              </w:p>
              <w:p w14:paraId="0BC32C2A" w14:textId="77777777" w:rsidR="00D178A4" w:rsidRPr="00027624" w:rsidRDefault="00D178A4" w:rsidP="00D178A4">
                <w:pPr>
                  <w:pStyle w:val="BoxBullet"/>
                  <w:rPr>
                    <w:b/>
                    <w:bCs/>
                    <w:color w:val="604878" w:themeColor="accent3"/>
                  </w:rPr>
                </w:pPr>
                <w:r w:rsidRPr="00027624">
                  <w:rPr>
                    <w:b/>
                    <w:bCs/>
                  </w:rPr>
                  <w:t xml:space="preserve">The retirement income system needs a clear objective </w:t>
                </w:r>
                <w:r w:rsidRPr="00027624">
                  <w:t>to:</w:t>
                </w:r>
              </w:p>
              <w:p w14:paraId="598207C5" w14:textId="77777777" w:rsidR="00D178A4" w:rsidRPr="00027624" w:rsidRDefault="00D178A4" w:rsidP="00D178A4">
                <w:pPr>
                  <w:pStyle w:val="BoxDash"/>
                </w:pPr>
                <w:r w:rsidRPr="00027624">
                  <w:t>Anchor the policy direction of the system</w:t>
                </w:r>
              </w:p>
              <w:p w14:paraId="6C70F977" w14:textId="77777777" w:rsidR="00D178A4" w:rsidRPr="00027624" w:rsidRDefault="00D178A4" w:rsidP="00D178A4">
                <w:pPr>
                  <w:pStyle w:val="BoxDash"/>
                </w:pPr>
                <w:r w:rsidRPr="00027624">
                  <w:t>Ensure the community understands the role and purpose of the system</w:t>
                </w:r>
              </w:p>
              <w:p w14:paraId="451F2F75" w14:textId="77777777" w:rsidR="00D178A4" w:rsidRPr="00027624" w:rsidRDefault="00D178A4" w:rsidP="00D178A4">
                <w:pPr>
                  <w:pStyle w:val="BoxDash"/>
                  <w:rPr>
                    <w:rFonts w:asciiTheme="minorHAnsi" w:eastAsiaTheme="minorEastAsia" w:hAnsiTheme="minorHAnsi" w:cstheme="minorBidi"/>
                  </w:rPr>
                </w:pPr>
                <w:r w:rsidRPr="00027624">
                  <w:t>Provide a framework for assessing the system</w:t>
                </w:r>
                <w:r w:rsidR="00A8443E" w:rsidRPr="00027624">
                  <w:t>’</w:t>
                </w:r>
                <w:r w:rsidRPr="00027624">
                  <w:t>s performance</w:t>
                </w:r>
              </w:p>
              <w:p w14:paraId="586C84A1" w14:textId="77777777" w:rsidR="00D178A4" w:rsidRPr="00027624" w:rsidRDefault="00D178A4" w:rsidP="00D178A4">
                <w:pPr>
                  <w:pStyle w:val="BoxBullet"/>
                </w:pPr>
                <w:r w:rsidRPr="00027624">
                  <w:rPr>
                    <w:bCs/>
                  </w:rPr>
                  <w:t>The Australian community will ultimately have to endorse the system</w:t>
                </w:r>
                <w:r w:rsidR="00A8443E" w:rsidRPr="00027624">
                  <w:rPr>
                    <w:bCs/>
                  </w:rPr>
                  <w:t>’</w:t>
                </w:r>
                <w:r w:rsidRPr="00027624">
                  <w:rPr>
                    <w:bCs/>
                  </w:rPr>
                  <w:t>s objective through the Government</w:t>
                </w:r>
                <w:r w:rsidRPr="00027624">
                  <w:rPr>
                    <w:b/>
                    <w:bCs/>
                  </w:rPr>
                  <w:t>.</w:t>
                </w:r>
                <w:r w:rsidRPr="00027624">
                  <w:t xml:space="preserve"> To that end, the following broad objective for the system is suggested:</w:t>
                </w:r>
              </w:p>
              <w:p w14:paraId="5628E842" w14:textId="77777777" w:rsidR="00D178A4" w:rsidRPr="00027624" w:rsidRDefault="00D178A4" w:rsidP="00D178A4">
                <w:pPr>
                  <w:pStyle w:val="BoxBullet"/>
                  <w:numPr>
                    <w:ilvl w:val="0"/>
                    <w:numId w:val="0"/>
                  </w:numPr>
                  <w:ind w:left="284"/>
                  <w:rPr>
                    <w:b/>
                    <w:bCs/>
                  </w:rPr>
                </w:pPr>
                <w:r w:rsidRPr="00027624">
                  <w:rPr>
                    <w:b/>
                    <w:i/>
                    <w:iCs/>
                  </w:rPr>
                  <w:t>The retirement income system should deliver adequate standards of living in retirement in an equitable, sustainable and cohesive way</w:t>
                </w:r>
              </w:p>
              <w:p w14:paraId="7A6308A9" w14:textId="77777777" w:rsidR="00D178A4" w:rsidRPr="00027624" w:rsidRDefault="00D178A4" w:rsidP="00D178A4">
                <w:pPr>
                  <w:pStyle w:val="BoxBullet"/>
                </w:pPr>
                <w:r w:rsidRPr="00027624">
                  <w:rPr>
                    <w:b/>
                  </w:rPr>
                  <w:t>To expand on this broad objective, the following elements are suggested</w:t>
                </w:r>
                <w:r w:rsidRPr="00027624">
                  <w:t>:</w:t>
                </w:r>
              </w:p>
              <w:p w14:paraId="44502FAF" w14:textId="77777777" w:rsidR="00D178A4" w:rsidRPr="00027624" w:rsidRDefault="00D178A4" w:rsidP="00325A8D">
                <w:pPr>
                  <w:pStyle w:val="BoxDash"/>
                  <w:numPr>
                    <w:ilvl w:val="1"/>
                    <w:numId w:val="18"/>
                  </w:numPr>
                </w:pPr>
                <w:r w:rsidRPr="00027624">
                  <w:t xml:space="preserve">The system should ensure a minimum standard of living for retirees with limited financial means that is consistent with prevailing community standards. </w:t>
                </w:r>
              </w:p>
              <w:p w14:paraId="534222D1" w14:textId="77777777" w:rsidR="00D178A4" w:rsidRPr="00027624" w:rsidRDefault="00D178A4" w:rsidP="00325A8D">
                <w:pPr>
                  <w:pStyle w:val="BoxDash"/>
                  <w:numPr>
                    <w:ilvl w:val="1"/>
                    <w:numId w:val="18"/>
                  </w:numPr>
                </w:pPr>
                <w:r w:rsidRPr="00027624">
                  <w:t>The system should facilitate people to reasonably maintain their standard of living in retirement.</w:t>
                </w:r>
              </w:p>
              <w:p w14:paraId="2B3E8864" w14:textId="77777777" w:rsidR="00D178A4" w:rsidRPr="00027624" w:rsidRDefault="00D178A4" w:rsidP="00325A8D">
                <w:pPr>
                  <w:pStyle w:val="BoxDash"/>
                  <w:numPr>
                    <w:ilvl w:val="1"/>
                    <w:numId w:val="18"/>
                  </w:numPr>
                </w:pPr>
                <w:r w:rsidRPr="00027624">
                  <w:t>The system should target Government support to those in need.</w:t>
                </w:r>
              </w:p>
              <w:p w14:paraId="19031D5A" w14:textId="77777777" w:rsidR="00D178A4" w:rsidRPr="00027624" w:rsidRDefault="00D178A4" w:rsidP="00325A8D">
                <w:pPr>
                  <w:pStyle w:val="BoxDash"/>
                  <w:numPr>
                    <w:ilvl w:val="1"/>
                    <w:numId w:val="18"/>
                  </w:numPr>
                </w:pPr>
                <w:r w:rsidRPr="00027624">
                  <w:t>The system should provide similar outcomes for people in similar circumstances.</w:t>
                </w:r>
              </w:p>
              <w:p w14:paraId="2789C1F1" w14:textId="77777777" w:rsidR="00D178A4" w:rsidRPr="00027624" w:rsidRDefault="00D178A4" w:rsidP="00325A8D">
                <w:pPr>
                  <w:pStyle w:val="BoxDash"/>
                  <w:numPr>
                    <w:ilvl w:val="1"/>
                    <w:numId w:val="18"/>
                  </w:numPr>
                </w:pPr>
                <w:r w:rsidRPr="00027624">
                  <w:t>The system should be cost</w:t>
                </w:r>
                <w:r w:rsidR="00A8443E" w:rsidRPr="00027624">
                  <w:noBreakHyphen/>
                </w:r>
                <w:r w:rsidRPr="00027624">
                  <w:t xml:space="preserve">effective for taxpayers in achieving adequate outcomes. </w:t>
                </w:r>
              </w:p>
              <w:p w14:paraId="6AE1EF86" w14:textId="77777777" w:rsidR="00D178A4" w:rsidRPr="00027624" w:rsidRDefault="00D178A4" w:rsidP="00325A8D">
                <w:pPr>
                  <w:pStyle w:val="BoxDash"/>
                  <w:numPr>
                    <w:ilvl w:val="1"/>
                    <w:numId w:val="18"/>
                  </w:numPr>
                </w:pPr>
                <w:r w:rsidRPr="00027624">
                  <w:t xml:space="preserve">The system should be sustainable and robust to demographic, economic and social change. </w:t>
                </w:r>
              </w:p>
              <w:p w14:paraId="78AED1A0" w14:textId="77777777" w:rsidR="00D178A4" w:rsidRPr="00027624" w:rsidRDefault="00D178A4" w:rsidP="00325A8D">
                <w:pPr>
                  <w:pStyle w:val="BoxDash"/>
                  <w:numPr>
                    <w:ilvl w:val="1"/>
                    <w:numId w:val="18"/>
                  </w:numPr>
                  <w:rPr>
                    <w:rFonts w:asciiTheme="minorHAnsi" w:eastAsiaTheme="minorEastAsia" w:hAnsiTheme="minorHAnsi" w:cstheme="minorBidi"/>
                  </w:rPr>
                </w:pPr>
                <w:r w:rsidRPr="00027624">
                  <w:t xml:space="preserve">The system should have effective incentives to smooth consumption and support people in taking personal responsibility for their retirement incomes. </w:t>
                </w:r>
              </w:p>
              <w:p w14:paraId="65ACE155" w14:textId="77777777" w:rsidR="00D178A4" w:rsidRPr="00027624" w:rsidRDefault="00D178A4" w:rsidP="00325A8D">
                <w:pPr>
                  <w:pStyle w:val="BoxDash"/>
                  <w:numPr>
                    <w:ilvl w:val="1"/>
                    <w:numId w:val="18"/>
                  </w:numPr>
                </w:pPr>
                <w:r w:rsidRPr="00027624">
                  <w:t xml:space="preserve">The system should interact effectively with other systems. </w:t>
                </w:r>
              </w:p>
              <w:p w14:paraId="344D5D9C" w14:textId="77777777" w:rsidR="00D178A4" w:rsidRPr="00027624" w:rsidRDefault="00D178A4" w:rsidP="00325A8D">
                <w:pPr>
                  <w:pStyle w:val="BoxDash"/>
                  <w:numPr>
                    <w:ilvl w:val="1"/>
                    <w:numId w:val="18"/>
                  </w:numPr>
                  <w:rPr>
                    <w:rFonts w:asciiTheme="minorHAnsi" w:eastAsiaTheme="minorEastAsia" w:hAnsiTheme="minorHAnsi" w:cstheme="minorBidi"/>
                  </w:rPr>
                </w:pPr>
                <w:r w:rsidRPr="00027624">
                  <w:t>The system should not be unnecessarily complex for consumers.</w:t>
                </w:r>
              </w:p>
              <w:p w14:paraId="170CFA73" w14:textId="77777777" w:rsidR="00D178A4" w:rsidRPr="00027624" w:rsidRDefault="00D178A4" w:rsidP="00D178A4">
                <w:pPr>
                  <w:pStyle w:val="BoxBullet"/>
                </w:pPr>
                <w:r w:rsidRPr="00027624">
                  <w:rPr>
                    <w:b/>
                  </w:rPr>
                  <w:t>The roles of the Government, individuals, the private sector and the three pillars will be influenced by the system</w:t>
                </w:r>
                <w:r w:rsidR="00A8443E" w:rsidRPr="00027624">
                  <w:rPr>
                    <w:b/>
                  </w:rPr>
                  <w:t>’</w:t>
                </w:r>
                <w:r w:rsidRPr="00027624">
                  <w:rPr>
                    <w:b/>
                  </w:rPr>
                  <w:t>s objective</w:t>
                </w:r>
                <w:r w:rsidRPr="00027624">
                  <w:t>. The role of the pillars will depend on their effectiveness, including cost</w:t>
                </w:r>
                <w:r w:rsidR="00A8443E" w:rsidRPr="00027624">
                  <w:noBreakHyphen/>
                </w:r>
                <w:r w:rsidRPr="00027624">
                  <w:t>effectiveness, in achieving the system</w:t>
                </w:r>
                <w:r w:rsidR="00A8443E" w:rsidRPr="00027624">
                  <w:t>’</w:t>
                </w:r>
                <w:r w:rsidRPr="00027624">
                  <w:t>s objective. All support for retirees — such as social transfers in</w:t>
                </w:r>
                <w:r w:rsidR="00A8443E" w:rsidRPr="00027624">
                  <w:noBreakHyphen/>
                </w:r>
                <w:r w:rsidRPr="00027624">
                  <w:t>kind — need to be considered.</w:t>
                </w:r>
              </w:p>
            </w:tc>
          </w:tr>
        </w:tbl>
        <w:p w14:paraId="1918F8F6" w14:textId="77777777" w:rsidR="00D178A4" w:rsidRPr="00027624" w:rsidRDefault="00D178A4" w:rsidP="00D178A4">
          <w:pPr>
            <w:pStyle w:val="Heading2"/>
          </w:pPr>
          <w:bookmarkStart w:id="270" w:name="_Toc40251844"/>
          <w:bookmarkStart w:id="271" w:name="_Toc45520436"/>
          <w:bookmarkStart w:id="272" w:name="_Toc46133547"/>
          <w:r w:rsidRPr="00027624">
            <w:t xml:space="preserve">Outline of this </w:t>
          </w:r>
          <w:bookmarkEnd w:id="270"/>
          <w:r w:rsidRPr="00027624">
            <w:t>section</w:t>
          </w:r>
          <w:bookmarkEnd w:id="271"/>
          <w:bookmarkEnd w:id="272"/>
        </w:p>
        <w:p w14:paraId="6E13BC9F" w14:textId="77777777" w:rsidR="00D178A4" w:rsidRPr="00027624" w:rsidRDefault="00D178A4" w:rsidP="00D178A4">
          <w:r w:rsidRPr="00027624">
            <w:t>This section suggests an objective for the retirement income system and considers the roles of system participants and pillars.</w:t>
          </w:r>
        </w:p>
        <w:p w14:paraId="06381601" w14:textId="26CE850C" w:rsidR="00D178A4" w:rsidRPr="00027624" w:rsidRDefault="00D178A4" w:rsidP="00D178A4">
          <w:r w:rsidRPr="00027624">
            <w:t>The objective of the retirement income system is ultimately a decision for the community (</w:t>
          </w:r>
          <w:r w:rsidRPr="00027624">
            <w:fldChar w:fldCharType="begin"/>
          </w:r>
          <w:r w:rsidRPr="00027624">
            <w:instrText xml:space="preserve"> REF _Ref41550676 \r \h  \* MERGEFORMAT </w:instrText>
          </w:r>
          <w:r w:rsidRPr="00027624">
            <w:fldChar w:fldCharType="separate"/>
          </w:r>
          <w:r w:rsidR="00891058">
            <w:t>Box 1C-2</w:t>
          </w:r>
          <w:r w:rsidRPr="00027624">
            <w:fldChar w:fldCharType="end"/>
          </w:r>
          <w:r w:rsidRPr="00027624">
            <w:t>). This section suggests issues to consider in deciding on the objective. The roles of system participants and pillars will stem from the objective the community endorses through the Government.</w:t>
          </w:r>
        </w:p>
        <w:tbl>
          <w:tblPr>
            <w:tblStyle w:val="TableGrid"/>
            <w:tblW w:w="5000" w:type="pct"/>
            <w:shd w:val="clear" w:color="auto" w:fill="FFF8EA"/>
            <w:tblLook w:val="04A0" w:firstRow="1" w:lastRow="0" w:firstColumn="1" w:lastColumn="0" w:noHBand="0" w:noVBand="1"/>
          </w:tblPr>
          <w:tblGrid>
            <w:gridCol w:w="9070"/>
          </w:tblGrid>
          <w:tr w:rsidR="00D178A4" w:rsidRPr="00027624" w14:paraId="006B84AF" w14:textId="77777777" w:rsidTr="00D178A4">
            <w:tc>
              <w:tcPr>
                <w:tcW w:w="5000" w:type="pct"/>
                <w:shd w:val="clear" w:color="auto" w:fill="FFF8EA"/>
              </w:tcPr>
              <w:p w14:paraId="30B0C9C1" w14:textId="77777777" w:rsidR="00D178A4" w:rsidRPr="00027624" w:rsidRDefault="00D178A4" w:rsidP="00D178A4">
                <w:pPr>
                  <w:pStyle w:val="BoxHeading"/>
                </w:pPr>
                <w:bookmarkStart w:id="273" w:name="_Ref41550676"/>
                <w:r w:rsidRPr="00027624">
                  <w:lastRenderedPageBreak/>
                  <w:t>The system</w:t>
                </w:r>
                <w:r w:rsidR="00A8443E" w:rsidRPr="00027624">
                  <w:t>’</w:t>
                </w:r>
                <w:r w:rsidRPr="00027624">
                  <w:t>s objective and community</w:t>
                </w:r>
                <w:bookmarkEnd w:id="273"/>
                <w:r w:rsidRPr="00027624">
                  <w:t xml:space="preserve"> endorsement</w:t>
                </w:r>
              </w:p>
              <w:p w14:paraId="0938BD18" w14:textId="77777777" w:rsidR="00D178A4" w:rsidRPr="00027624" w:rsidRDefault="00D178A4" w:rsidP="00D178A4">
                <w:r w:rsidRPr="00027624">
                  <w:t>The retirement income system</w:t>
                </w:r>
                <w:r w:rsidR="00A8443E" w:rsidRPr="00027624">
                  <w:t>’</w:t>
                </w:r>
                <w:r w:rsidRPr="00027624">
                  <w:t>s objective should be established and endorsed by the Australian community through the Government. To help determine what this objective should be, and to facilitate this r</w:t>
                </w:r>
                <w:r w:rsidRPr="00027624">
                  <w:rPr>
                    <w:iCs/>
                  </w:rPr>
                  <w:t>eview</w:t>
                </w:r>
                <w:r w:rsidRPr="00027624">
                  <w:t xml:space="preserve">, the </w:t>
                </w:r>
                <w:r w:rsidR="00410DDD" w:rsidRPr="00027624">
                  <w:t>p</w:t>
                </w:r>
                <w:r w:rsidRPr="00027624">
                  <w:t>anel has identified a possible objective and nine supporting elements for the system. The roles of system pillars should be determined by the objective, taking into account each pillar</w:t>
                </w:r>
                <w:r w:rsidR="00A8443E" w:rsidRPr="00027624">
                  <w:t>’</w:t>
                </w:r>
                <w:r w:rsidRPr="00027624">
                  <w:t>s effectiveness in achieving that objective.</w:t>
                </w:r>
              </w:p>
              <w:p w14:paraId="60BAFC3C" w14:textId="77777777" w:rsidR="00D178A4" w:rsidRPr="00027624" w:rsidRDefault="00D178A4" w:rsidP="00D178A4">
                <w:pPr>
                  <w:pStyle w:val="BoxText"/>
                </w:pPr>
                <w:r w:rsidRPr="00027624">
                  <w:t>The system objective and roles of the pillars should be endorsed by the community to ensure public support for the system</w:t>
                </w:r>
                <w:r w:rsidR="00A8443E" w:rsidRPr="00027624">
                  <w:t>’</w:t>
                </w:r>
                <w:r w:rsidRPr="00027624">
                  <w:t>s purpose and operation. It would be preferable if the objective of the retirement income system was legislated and not subject to frequent change.</w:t>
                </w:r>
              </w:p>
            </w:tc>
          </w:tr>
        </w:tbl>
        <w:p w14:paraId="37CDDCDB" w14:textId="43A7DC23" w:rsidR="00D178A4" w:rsidRPr="00027624" w:rsidRDefault="00D178A4" w:rsidP="00D178A4">
          <w:r w:rsidRPr="00027624">
            <w:t>The retirement income system and its component parts (the pillars) currently lack a stated objective. A clearly articulated objective is essential for anchoring the system</w:t>
          </w:r>
          <w:r w:rsidR="00A8443E" w:rsidRPr="00027624">
            <w:t>’</w:t>
          </w:r>
          <w:r w:rsidRPr="00027624">
            <w:t>s policy direction, ensuring the community understands its purpose, and providing a framework to measure system performance. Many submissions endorsed the need to clearly establish the objective of the retirement income system and roles of the pillars (</w:t>
          </w:r>
          <w:r w:rsidRPr="00027624">
            <w:fldChar w:fldCharType="begin"/>
          </w:r>
          <w:r w:rsidRPr="00027624">
            <w:instrText xml:space="preserve"> REF _Ref41554813 \r \h  \* MERGEFORMAT </w:instrText>
          </w:r>
          <w:r w:rsidRPr="00027624">
            <w:fldChar w:fldCharType="separate"/>
          </w:r>
          <w:r w:rsidR="00891058">
            <w:t>Box 1C-3</w:t>
          </w:r>
          <w:r w:rsidRPr="00027624">
            <w:fldChar w:fldCharType="end"/>
          </w:r>
          <w:r w:rsidRPr="00027624">
            <w:t>).</w:t>
          </w:r>
        </w:p>
        <w:tbl>
          <w:tblPr>
            <w:tblStyle w:val="TableGrid"/>
            <w:tblpPr w:leftFromText="180" w:rightFromText="180" w:vertAnchor="text" w:horzAnchor="margin" w:tblpY="145"/>
            <w:tblW w:w="5000" w:type="pct"/>
            <w:shd w:val="clear" w:color="auto" w:fill="FFF8EA"/>
            <w:tblLook w:val="04A0" w:firstRow="1" w:lastRow="0" w:firstColumn="1" w:lastColumn="0" w:noHBand="0" w:noVBand="1"/>
          </w:tblPr>
          <w:tblGrid>
            <w:gridCol w:w="9070"/>
          </w:tblGrid>
          <w:tr w:rsidR="00D178A4" w:rsidRPr="00027624" w14:paraId="58CE5E5E" w14:textId="77777777" w:rsidTr="00D178A4">
            <w:tc>
              <w:tcPr>
                <w:tcW w:w="5000" w:type="pct"/>
                <w:shd w:val="clear" w:color="auto" w:fill="FFF8EA"/>
              </w:tcPr>
              <w:p w14:paraId="6F9E88A3" w14:textId="77777777" w:rsidR="00D178A4" w:rsidRPr="00027624" w:rsidRDefault="00D178A4" w:rsidP="00D178A4">
                <w:pPr>
                  <w:pStyle w:val="BoxHeading"/>
                </w:pPr>
                <w:bookmarkStart w:id="274" w:name="_Ref41554813"/>
                <w:r w:rsidRPr="00027624">
                  <w:t>Stakeholder input on the importance of the objective</w:t>
                </w:r>
                <w:bookmarkEnd w:id="274"/>
                <w:r w:rsidRPr="00027624">
                  <w:t xml:space="preserve"> for the system</w:t>
                </w:r>
              </w:p>
              <w:p w14:paraId="2FECBAAB" w14:textId="77777777" w:rsidR="00D178A4" w:rsidRPr="00027624" w:rsidRDefault="00D178A4" w:rsidP="00D178A4">
                <w:pPr>
                  <w:pStyle w:val="BoxText"/>
                </w:pPr>
                <w:r w:rsidRPr="00027624">
                  <w:t>Stakeholders strongly agreed on the need for well</w:t>
                </w:r>
                <w:r w:rsidR="00A8443E" w:rsidRPr="00027624">
                  <w:noBreakHyphen/>
                </w:r>
                <w:r w:rsidRPr="00027624">
                  <w:t>defined system objective. Stakeholders observed the lack of an objective has led to poor public understanding of the retirement income system and a lack of clear policy direction. Stakeholders also suggested that a formal objective would help in assessing the system</w:t>
                </w:r>
                <w:r w:rsidR="00A8443E" w:rsidRPr="00027624">
                  <w:t>’</w:t>
                </w:r>
                <w:r w:rsidRPr="00027624">
                  <w:t xml:space="preserve">s performance. </w:t>
                </w:r>
              </w:p>
              <w:p w14:paraId="27C209DD" w14:textId="3D551EFE" w:rsidR="00D178A4" w:rsidRPr="00027624" w:rsidRDefault="00D178A4" w:rsidP="00D178A4">
                <w:pPr>
                  <w:pStyle w:val="BoxBullet"/>
                </w:pPr>
                <w:r w:rsidRPr="00027624">
                  <w:t>A wide range of stakeholders noted the public lacks a common understanding of the system</w:t>
                </w:r>
                <w:r w:rsidR="00A8443E" w:rsidRPr="00027624">
                  <w:t>’</w:t>
                </w:r>
                <w:r w:rsidRPr="00027624">
                  <w:t>s objective, at least partly because the Government has not defined one (</w:t>
                </w:r>
                <w:r w:rsidR="00432FB4">
                  <w:t>Committee for Sustainable Retirement Incomes</w:t>
                </w:r>
                <w:r w:rsidRPr="00027624">
                  <w:t xml:space="preserve">; AMP; Challenger; Financial Planning Association of Australia; National Seniors; Rice Warner). </w:t>
                </w:r>
              </w:p>
              <w:p w14:paraId="5A0131A9" w14:textId="77777777" w:rsidR="00D178A4" w:rsidRPr="00027624" w:rsidRDefault="00D178A4" w:rsidP="00D178A4">
                <w:pPr>
                  <w:pStyle w:val="BoxBullet"/>
                  <w:rPr>
                    <w:rFonts w:asciiTheme="minorHAnsi" w:eastAsiaTheme="minorEastAsia" w:hAnsiTheme="minorHAnsi" w:cstheme="minorBidi"/>
                  </w:rPr>
                </w:pPr>
                <w:r w:rsidRPr="00027624">
                  <w:t>Some suggested that a lack of clear roles for each pillar is a key reason people do not understand the overall system</w:t>
                </w:r>
                <w:r w:rsidR="00A8443E" w:rsidRPr="00027624">
                  <w:t>’</w:t>
                </w:r>
                <w:r w:rsidRPr="00027624">
                  <w:t xml:space="preserve">s objective (Actuaries Institute). Others similarly observed that more clearly defining what each pillar is trying to achieve would assist public understanding of an overall system objective (Australian Super). Many submissions singled out the lack of a clear purpose for superannuation as being harmful in assisting public understanding (AIA Australia; AIST; Centre for Law, Markets and Regulation). </w:t>
                </w:r>
              </w:p>
              <w:p w14:paraId="7ADAFA15" w14:textId="77777777" w:rsidR="00D178A4" w:rsidRPr="00027624" w:rsidRDefault="00D178A4" w:rsidP="00D178A4">
                <w:pPr>
                  <w:pStyle w:val="BoxBullet"/>
                </w:pPr>
                <w:r w:rsidRPr="00027624">
                  <w:t>Some noted that a system objective is needed to guide the review</w:t>
                </w:r>
                <w:r w:rsidR="00A8443E" w:rsidRPr="00027624">
                  <w:t>’</w:t>
                </w:r>
                <w:r w:rsidRPr="00027624">
                  <w:t xml:space="preserve">s performance assessment (ASFA; AIST; Business Council of Australia). </w:t>
                </w:r>
              </w:p>
              <w:p w14:paraId="3DB8E1BA" w14:textId="77777777" w:rsidR="00D178A4" w:rsidRPr="00027624" w:rsidRDefault="00D178A4" w:rsidP="00D178A4">
                <w:pPr>
                  <w:pStyle w:val="BoxBullet"/>
                </w:pPr>
                <w:r w:rsidRPr="00027624">
                  <w:t xml:space="preserve">One view was that an objective would guide more coherent policy change, and this would reduce complexity and improve confidence (Business Council of Australia). Similar views were expressed that a clear system objective would help steer policy around pillar roles (Financial Planning Association of Australia). </w:t>
                </w:r>
              </w:p>
              <w:p w14:paraId="78B87E33" w14:textId="77777777" w:rsidR="00D178A4" w:rsidRPr="00027624" w:rsidRDefault="00D178A4" w:rsidP="00D178A4">
                <w:pPr>
                  <w:pStyle w:val="BoxBullet"/>
                </w:pPr>
                <w:r w:rsidRPr="00027624">
                  <w:t xml:space="preserve">Many stakeholders held the general view that the system lacked a clear objective and establishing an objective is an important step (Alliance for a Fairer Retirement System; IOOF; Australian Unity; Dr Gaurav Khemka and Associate Professor Geoff Warren; Grattan Institute). </w:t>
                </w:r>
              </w:p>
            </w:tc>
          </w:tr>
        </w:tbl>
        <w:p w14:paraId="00070F19" w14:textId="77777777" w:rsidR="00D178A4" w:rsidRPr="00027624" w:rsidRDefault="00D178A4" w:rsidP="00D178A4">
          <w:pPr>
            <w:pStyle w:val="Heading2"/>
          </w:pPr>
          <w:bookmarkStart w:id="275" w:name="_Toc34643425"/>
          <w:bookmarkStart w:id="276" w:name="_Toc40251845"/>
          <w:bookmarkStart w:id="277" w:name="_Toc45520437"/>
          <w:bookmarkStart w:id="278" w:name="_Toc46133548"/>
          <w:r w:rsidRPr="00027624">
            <w:t>The principles of the retirement income system</w:t>
          </w:r>
          <w:bookmarkEnd w:id="275"/>
          <w:bookmarkEnd w:id="276"/>
          <w:bookmarkEnd w:id="277"/>
          <w:bookmarkEnd w:id="278"/>
        </w:p>
        <w:p w14:paraId="29DAE87B" w14:textId="77777777" w:rsidR="00D178A4" w:rsidRPr="00027624" w:rsidRDefault="00D178A4" w:rsidP="00D178A4">
          <w:r w:rsidRPr="00027624">
            <w:t>The consultation paper released in November 2019 suggested that the principles for the retirement income system should be adequacy, equity, sustainability and cohesion.</w:t>
          </w:r>
        </w:p>
        <w:p w14:paraId="4E158B94" w14:textId="77777777" w:rsidR="00D178A4" w:rsidRPr="00027624" w:rsidRDefault="00D178A4" w:rsidP="00D178A4">
          <w:r w:rsidRPr="00027624">
            <w:t xml:space="preserve">Stakeholders largely endorsed these principles. Several additional principles were suggested, but these are generally captured by the principles outlined in the consultation paper. </w:t>
          </w:r>
        </w:p>
        <w:p w14:paraId="2B988C87" w14:textId="77777777" w:rsidR="00D178A4" w:rsidRPr="00027624" w:rsidRDefault="00D178A4" w:rsidP="00D178A4">
          <w:pPr>
            <w:pStyle w:val="Bullet"/>
          </w:pPr>
          <w:r w:rsidRPr="00027624">
            <w:lastRenderedPageBreak/>
            <w:t xml:space="preserve">Some stakeholders suggested </w:t>
          </w:r>
          <w:r w:rsidRPr="00027624">
            <w:rPr>
              <w:bCs/>
            </w:rPr>
            <w:t>efficiency, competition or innovation.</w:t>
          </w:r>
          <w:r w:rsidRPr="00027624">
            <w:rPr>
              <w:rStyle w:val="FootnoteReference"/>
              <w:bCs/>
            </w:rPr>
            <w:footnoteReference w:id="36"/>
          </w:r>
          <w:r w:rsidRPr="00027624">
            <w:t xml:space="preserve"> These can be interpreted as part of the principle of sustainability. </w:t>
          </w:r>
        </w:p>
        <w:p w14:paraId="1653CFC4" w14:textId="77777777" w:rsidR="00D178A4" w:rsidRPr="00027624" w:rsidRDefault="00D178A4" w:rsidP="00D178A4">
          <w:pPr>
            <w:pStyle w:val="Bullet"/>
          </w:pPr>
          <w:r w:rsidRPr="00027624">
            <w:t xml:space="preserve">Several stakeholders suggested </w:t>
          </w:r>
          <w:r w:rsidRPr="00027624">
            <w:rPr>
              <w:bCs/>
            </w:rPr>
            <w:t xml:space="preserve">certainty </w:t>
          </w:r>
          <w:r w:rsidRPr="00027624">
            <w:t xml:space="preserve">and </w:t>
          </w:r>
          <w:r w:rsidRPr="00027624">
            <w:rPr>
              <w:bCs/>
            </w:rPr>
            <w:t>integrity.</w:t>
          </w:r>
          <w:r w:rsidRPr="00027624">
            <w:rPr>
              <w:rStyle w:val="FootnoteReference"/>
              <w:bCs/>
            </w:rPr>
            <w:footnoteReference w:id="37"/>
          </w:r>
          <w:r w:rsidRPr="00027624">
            <w:t xml:space="preserve"> These can be seen as being part of public confidence under the principle of sustainability.</w:t>
          </w:r>
        </w:p>
        <w:p w14:paraId="285658F0" w14:textId="77777777" w:rsidR="00D178A4" w:rsidRPr="00027624" w:rsidRDefault="00D178A4" w:rsidP="00D178A4">
          <w:pPr>
            <w:pStyle w:val="Bullet"/>
          </w:pPr>
          <w:r w:rsidRPr="00027624">
            <w:t xml:space="preserve">A number of stakeholders suggested </w:t>
          </w:r>
          <w:r w:rsidRPr="00027624">
            <w:rPr>
              <w:bCs/>
            </w:rPr>
            <w:t>simplicity.</w:t>
          </w:r>
          <w:r w:rsidRPr="00027624">
            <w:rPr>
              <w:rStyle w:val="FootnoteReference"/>
            </w:rPr>
            <w:footnoteReference w:id="38"/>
          </w:r>
          <w:r w:rsidRPr="00027624">
            <w:t xml:space="preserve"> This is covered as part of the principle of cohesion.</w:t>
          </w:r>
        </w:p>
        <w:p w14:paraId="139EB4A6" w14:textId="77777777" w:rsidR="00D178A4" w:rsidRPr="00027624" w:rsidRDefault="00D178A4" w:rsidP="00D178A4">
          <w:pPr>
            <w:pStyle w:val="Bullet"/>
          </w:pPr>
          <w:r w:rsidRPr="00027624">
            <w:rPr>
              <w:bCs/>
            </w:rPr>
            <w:t>One</w:t>
          </w:r>
          <w:r w:rsidRPr="00027624">
            <w:t xml:space="preserve"> stakeholder suggested </w:t>
          </w:r>
          <w:r w:rsidRPr="00027624">
            <w:rPr>
              <w:bCs/>
            </w:rPr>
            <w:t>fairness.</w:t>
          </w:r>
          <w:r w:rsidRPr="00027624">
            <w:rPr>
              <w:rStyle w:val="FootnoteReference"/>
            </w:rPr>
            <w:footnoteReference w:id="39"/>
          </w:r>
          <w:r w:rsidRPr="00027624">
            <w:t xml:space="preserve"> This is covered under the principle of equity.</w:t>
          </w:r>
          <w:r w:rsidRPr="00027624">
            <w:rPr>
              <w:b/>
              <w:bCs/>
            </w:rPr>
            <w:t xml:space="preserve"> </w:t>
          </w:r>
        </w:p>
        <w:p w14:paraId="4A850664" w14:textId="77777777" w:rsidR="00D178A4" w:rsidRPr="00027624" w:rsidRDefault="00D178A4" w:rsidP="00D178A4">
          <w:pPr>
            <w:pStyle w:val="Bullet"/>
          </w:pPr>
          <w:r w:rsidRPr="00027624">
            <w:t xml:space="preserve">Other stakeholders suggested </w:t>
          </w:r>
          <w:r w:rsidRPr="00027624">
            <w:rPr>
              <w:bCs/>
            </w:rPr>
            <w:t>personal responsibility.</w:t>
          </w:r>
          <w:r w:rsidRPr="00027624">
            <w:rPr>
              <w:rStyle w:val="FootnoteReference"/>
            </w:rPr>
            <w:footnoteReference w:id="40"/>
          </w:r>
          <w:r w:rsidRPr="00027624">
            <w:t xml:space="preserve"> This is incorporated in the principle of cohesion. </w:t>
          </w:r>
        </w:p>
        <w:p w14:paraId="6C530C1B" w14:textId="77777777" w:rsidR="00D178A4" w:rsidRPr="00027624" w:rsidRDefault="00D178A4" w:rsidP="00D178A4">
          <w:r w:rsidRPr="00027624">
            <w:t xml:space="preserve">A number of studies and reviews have previously proposed principles for the system. These previous suggestions are broadly consistent with the principles outlined in the </w:t>
          </w:r>
          <w:r w:rsidRPr="00027624">
            <w:rPr>
              <w:i/>
            </w:rPr>
            <w:t>review</w:t>
          </w:r>
          <w:r w:rsidR="00A8443E" w:rsidRPr="00027624">
            <w:rPr>
              <w:i/>
              <w:iCs/>
            </w:rPr>
            <w:t>’</w:t>
          </w:r>
          <w:r w:rsidRPr="00027624">
            <w:rPr>
              <w:i/>
              <w:iCs/>
            </w:rPr>
            <w:t>s</w:t>
          </w:r>
          <w:r w:rsidRPr="00027624">
            <w:t xml:space="preserve"> consultation paper, albeit with differences in emphasis. </w:t>
          </w:r>
        </w:p>
        <w:p w14:paraId="49046996" w14:textId="77777777" w:rsidR="00D178A4" w:rsidRPr="00027624" w:rsidRDefault="00D178A4" w:rsidP="00D178A4">
          <w:pPr>
            <w:pStyle w:val="Bullet"/>
          </w:pPr>
          <w:r w:rsidRPr="00027624">
            <w:t>A</w:t>
          </w:r>
          <w:r w:rsidRPr="00027624">
            <w:rPr>
              <w:i/>
              <w:iCs/>
            </w:rPr>
            <w:t>ustralia</w:t>
          </w:r>
          <w:r w:rsidR="00A8443E" w:rsidRPr="00027624">
            <w:rPr>
              <w:i/>
              <w:iCs/>
            </w:rPr>
            <w:t>’</w:t>
          </w:r>
          <w:r w:rsidRPr="00027624">
            <w:rPr>
              <w:i/>
              <w:iCs/>
            </w:rPr>
            <w:t>s Future Tax System Review</w:t>
          </w:r>
          <w:sdt>
            <w:sdtPr>
              <w:id w:val="-499736652"/>
              <w:citation/>
            </w:sdtPr>
            <w:sdtEndPr/>
            <w:sdtContent>
              <w:r w:rsidRPr="00027624">
                <w:fldChar w:fldCharType="begin"/>
              </w:r>
              <w:r w:rsidRPr="00027624">
                <w:instrText xml:space="preserve">CITATION Hen09 \n  \t  \l 3081 </w:instrText>
              </w:r>
              <w:r w:rsidRPr="00027624">
                <w:fldChar w:fldCharType="separate"/>
              </w:r>
              <w:r w:rsidR="00E83F6E">
                <w:rPr>
                  <w:noProof/>
                </w:rPr>
                <w:t xml:space="preserve"> (2009)</w:t>
              </w:r>
              <w:r w:rsidRPr="00027624">
                <w:fldChar w:fldCharType="end"/>
              </w:r>
            </w:sdtContent>
          </w:sdt>
          <w:r w:rsidRPr="00027624">
            <w:t xml:space="preserve"> (the Henry Review) proposed that the system should be broad and adequate, simple and approachable, acceptable (which includes equity), robust and sustainable. </w:t>
          </w:r>
        </w:p>
        <w:p w14:paraId="49536A0C" w14:textId="77777777" w:rsidR="00D178A4" w:rsidRPr="00027624" w:rsidRDefault="00D178A4" w:rsidP="00D178A4">
          <w:pPr>
            <w:pStyle w:val="Bullet"/>
          </w:pPr>
          <w:r w:rsidRPr="00027624">
            <w:rPr>
              <w:iCs/>
            </w:rPr>
            <w:t xml:space="preserve">The </w:t>
          </w:r>
          <w:r w:rsidRPr="00027624">
            <w:rPr>
              <w:i/>
              <w:iCs/>
            </w:rPr>
            <w:t>Super System Review</w:t>
          </w:r>
          <w:sdt>
            <w:sdtPr>
              <w:rPr>
                <w:i/>
                <w:iCs/>
              </w:rPr>
              <w:id w:val="480590946"/>
              <w:citation/>
            </w:sdtPr>
            <w:sdtEndPr/>
            <w:sdtContent>
              <w:r w:rsidR="00B216E7">
                <w:rPr>
                  <w:i/>
                  <w:iCs/>
                </w:rPr>
                <w:fldChar w:fldCharType="begin"/>
              </w:r>
              <w:r w:rsidR="00CA1D47">
                <w:instrText xml:space="preserve">CITATION Sup10 \n  \t  \l 3081 </w:instrText>
              </w:r>
              <w:r w:rsidR="00B216E7">
                <w:rPr>
                  <w:i/>
                  <w:iCs/>
                </w:rPr>
                <w:fldChar w:fldCharType="separate"/>
              </w:r>
              <w:r w:rsidR="00E83F6E">
                <w:rPr>
                  <w:noProof/>
                </w:rPr>
                <w:t xml:space="preserve"> (2010)</w:t>
              </w:r>
              <w:r w:rsidR="00B216E7">
                <w:rPr>
                  <w:i/>
                  <w:iCs/>
                </w:rPr>
                <w:fldChar w:fldCharType="end"/>
              </w:r>
            </w:sdtContent>
          </w:sdt>
          <w:r w:rsidRPr="00027624">
            <w:t xml:space="preserve"> (the Cooper Review) contained 10 principles for the superannuation system. These principles mostly pertained to the internal operation of the superannuation system, rather than the outcomes the broader retirement income system produces. </w:t>
          </w:r>
        </w:p>
        <w:p w14:paraId="20181DEF" w14:textId="77777777" w:rsidR="00D178A4" w:rsidRPr="00027624" w:rsidRDefault="00D178A4" w:rsidP="00D178A4">
          <w:pPr>
            <w:pStyle w:val="Bullet"/>
          </w:pPr>
          <w:r w:rsidRPr="00027624">
            <w:t>The Superannuation Charter Group</w:t>
          </w:r>
          <w:sdt>
            <w:sdtPr>
              <w:id w:val="321702892"/>
              <w:citation/>
            </w:sdtPr>
            <w:sdtEndPr/>
            <w:sdtContent>
              <w:r w:rsidRPr="00027624">
                <w:fldChar w:fldCharType="begin"/>
              </w:r>
              <w:r w:rsidRPr="00027624">
                <w:instrText xml:space="preserve">CITATION Coo13 \n  \t  \l 3081 </w:instrText>
              </w:r>
              <w:r w:rsidRPr="00027624">
                <w:fldChar w:fldCharType="separate"/>
              </w:r>
              <w:r w:rsidR="00E83F6E">
                <w:rPr>
                  <w:noProof/>
                </w:rPr>
                <w:t xml:space="preserve"> (2013)</w:t>
              </w:r>
              <w:r w:rsidRPr="00027624">
                <w:fldChar w:fldCharType="end"/>
              </w:r>
            </w:sdtContent>
          </w:sdt>
          <w:r w:rsidRPr="00027624">
            <w:t xml:space="preserve"> proposed adequacy, sustainability, certainty and fairness as principles to guide superannuation policy. </w:t>
          </w:r>
        </w:p>
        <w:p w14:paraId="58412FEA" w14:textId="77777777" w:rsidR="00D178A4" w:rsidRPr="00027624" w:rsidRDefault="00D178A4" w:rsidP="00D178A4">
          <w:pPr>
            <w:pStyle w:val="Bullet"/>
          </w:pPr>
          <w:r w:rsidRPr="00027624">
            <w:t xml:space="preserve">The </w:t>
          </w:r>
          <w:r w:rsidRPr="00027624">
            <w:rPr>
              <w:i/>
            </w:rPr>
            <w:t>Financial System Inquiry</w:t>
          </w:r>
          <w:sdt>
            <w:sdtPr>
              <w:rPr>
                <w:i/>
              </w:rPr>
              <w:id w:val="1784764609"/>
              <w:citation/>
            </w:sdtPr>
            <w:sdtEndPr/>
            <w:sdtContent>
              <w:r w:rsidRPr="00027624">
                <w:rPr>
                  <w:i/>
                </w:rPr>
                <w:fldChar w:fldCharType="begin"/>
              </w:r>
              <w:r w:rsidRPr="00027624">
                <w:rPr>
                  <w:i/>
                </w:rPr>
                <w:instrText xml:space="preserve">CITATION Fin04 \n  \t  \l 3081 </w:instrText>
              </w:r>
              <w:r w:rsidRPr="00027624">
                <w:rPr>
                  <w:i/>
                </w:rPr>
                <w:fldChar w:fldCharType="separate"/>
              </w:r>
              <w:r w:rsidR="00E83F6E">
                <w:rPr>
                  <w:i/>
                  <w:noProof/>
                </w:rPr>
                <w:t xml:space="preserve"> </w:t>
              </w:r>
              <w:r w:rsidR="00E83F6E">
                <w:rPr>
                  <w:noProof/>
                </w:rPr>
                <w:t>(2014)</w:t>
              </w:r>
              <w:r w:rsidRPr="00027624">
                <w:rPr>
                  <w:i/>
                </w:rPr>
                <w:fldChar w:fldCharType="end"/>
              </w:r>
            </w:sdtContent>
          </w:sdt>
          <w:r w:rsidRPr="00027624">
            <w:t xml:space="preserve"> (the Murray Inquiry) proposed that superannuation policy should ensure retirement income is the ultimate goal. It also argued that choice, freedom, competition and innovation are important, but behavioural biases must be recognised and accounted for.</w:t>
          </w:r>
        </w:p>
        <w:p w14:paraId="57D818E5" w14:textId="77777777" w:rsidR="00D178A4" w:rsidRPr="00027624" w:rsidRDefault="00D178A4" w:rsidP="00D178A4">
          <w:pPr>
            <w:pStyle w:val="Bullet"/>
          </w:pPr>
          <w:r w:rsidRPr="00027624">
            <w:t xml:space="preserve">The Productivity Commission </w:t>
          </w:r>
          <w:sdt>
            <w:sdtPr>
              <w:id w:val="925150254"/>
              <w:citation/>
            </w:sdtPr>
            <w:sdtEndPr/>
            <w:sdtContent>
              <w:r w:rsidRPr="00027624">
                <w:fldChar w:fldCharType="begin"/>
              </w:r>
              <w:r w:rsidRPr="00027624">
                <w:instrText xml:space="preserve">CITATION Pro16 \n  \t  \l 3081 </w:instrText>
              </w:r>
              <w:r w:rsidRPr="00027624">
                <w:fldChar w:fldCharType="separate"/>
              </w:r>
              <w:r w:rsidR="00E83F6E">
                <w:rPr>
                  <w:noProof/>
                </w:rPr>
                <w:t>(2016)</w:t>
              </w:r>
              <w:r w:rsidRPr="00027624">
                <w:fldChar w:fldCharType="end"/>
              </w:r>
            </w:sdtContent>
          </w:sdt>
          <w:r w:rsidRPr="00027624">
            <w:t xml:space="preserve"> developed a framework of objectives to assess the efficiency and competitiveness of the superannuation system. These objectives spoke to the performance of the superannuation system as a market that sells products and services to consumers, rather than the broader consideration of retirement outcomes. </w:t>
          </w:r>
        </w:p>
        <w:p w14:paraId="183FF0D2" w14:textId="77777777" w:rsidR="00D178A4" w:rsidRPr="00027624" w:rsidRDefault="00D178A4" w:rsidP="00D178A4">
          <w:pPr>
            <w:pStyle w:val="Bullet"/>
          </w:pPr>
          <w:r w:rsidRPr="00027624">
            <w:t xml:space="preserve">The OECD </w:t>
          </w:r>
          <w:sdt>
            <w:sdtPr>
              <w:id w:val="-299852122"/>
              <w:citation/>
            </w:sdtPr>
            <w:sdtEndPr/>
            <w:sdtContent>
              <w:r w:rsidRPr="00027624">
                <w:fldChar w:fldCharType="begin"/>
              </w:r>
              <w:r w:rsidRPr="00027624">
                <w:instrText xml:space="preserve">CITATION OEC18 \n  \t  \l 3081 </w:instrText>
              </w:r>
              <w:r w:rsidRPr="00027624">
                <w:fldChar w:fldCharType="separate"/>
              </w:r>
              <w:r w:rsidR="00E83F6E">
                <w:rPr>
                  <w:noProof/>
                </w:rPr>
                <w:t>(2018a)</w:t>
              </w:r>
              <w:r w:rsidRPr="00027624">
                <w:fldChar w:fldCharType="end"/>
              </w:r>
            </w:sdtContent>
          </w:sdt>
          <w:r w:rsidRPr="00027624">
            <w:t xml:space="preserve"> emphasised poverty relief, redistribution, sustainability and consumption smoothing. </w:t>
          </w:r>
        </w:p>
        <w:p w14:paraId="680663C8" w14:textId="77777777" w:rsidR="00D178A4" w:rsidRPr="00027624" w:rsidRDefault="00D178A4" w:rsidP="00D178A4">
          <w:pPr>
            <w:pStyle w:val="Bullet"/>
          </w:pPr>
          <w:r w:rsidRPr="00027624">
            <w:t xml:space="preserve">The World Bank </w:t>
          </w:r>
          <w:sdt>
            <w:sdtPr>
              <w:id w:val="1575472892"/>
              <w:citation/>
            </w:sdtPr>
            <w:sdtEndPr/>
            <w:sdtContent>
              <w:r w:rsidRPr="00027624">
                <w:fldChar w:fldCharType="begin"/>
              </w:r>
              <w:r w:rsidRPr="00027624">
                <w:instrText xml:space="preserve">CITATION Wor08 \n  \t  \l 3081 </w:instrText>
              </w:r>
              <w:r w:rsidRPr="00027624">
                <w:fldChar w:fldCharType="separate"/>
              </w:r>
              <w:r w:rsidR="00E83F6E">
                <w:rPr>
                  <w:noProof/>
                </w:rPr>
                <w:t>(2008)</w:t>
              </w:r>
              <w:r w:rsidRPr="00027624">
                <w:fldChar w:fldCharType="end"/>
              </w:r>
            </w:sdtContent>
          </w:sdt>
          <w:r w:rsidRPr="00027624">
            <w:t xml:space="preserve"> proposed that retirement income systems should be adequate, affordable, sustainable and robust. </w:t>
          </w:r>
        </w:p>
        <w:p w14:paraId="582ED209" w14:textId="77777777" w:rsidR="00D178A4" w:rsidRPr="00027624" w:rsidRDefault="00D178A4" w:rsidP="00D178A4">
          <w:bookmarkStart w:id="279" w:name="_Toc40251847"/>
          <w:r w:rsidRPr="00027624">
            <w:t>Some submissions queried whether it was constructive for this review to put forward yet another set of principles. This is a valid point. Rather than successive reviews of the retirement income system proposing a new version of principles for the system, these should be decided by the Government, endorsed by the community and incorporated in the agreed objective of the system.</w:t>
          </w:r>
        </w:p>
        <w:p w14:paraId="173C9011" w14:textId="77777777" w:rsidR="00D178A4" w:rsidRPr="00027624" w:rsidRDefault="00D178A4" w:rsidP="00D178A4">
          <w:pPr>
            <w:pStyle w:val="Heading2"/>
          </w:pPr>
          <w:bookmarkStart w:id="280" w:name="_Toc45520438"/>
          <w:bookmarkStart w:id="281" w:name="_Toc46133549"/>
          <w:r w:rsidRPr="00027624">
            <w:lastRenderedPageBreak/>
            <w:t>The retirement income system</w:t>
          </w:r>
          <w:bookmarkEnd w:id="279"/>
          <w:r w:rsidR="00A8443E" w:rsidRPr="00027624">
            <w:t>’</w:t>
          </w:r>
          <w:r w:rsidRPr="00027624">
            <w:t>s objective</w:t>
          </w:r>
          <w:bookmarkEnd w:id="280"/>
          <w:bookmarkEnd w:id="281"/>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3C98D073" w14:textId="77777777" w:rsidTr="00D178A4">
            <w:tc>
              <w:tcPr>
                <w:tcW w:w="5000" w:type="pct"/>
                <w:shd w:val="clear" w:color="auto" w:fill="EBEBEB"/>
              </w:tcPr>
              <w:p w14:paraId="096FAC21" w14:textId="77777777" w:rsidR="00D178A4" w:rsidRPr="00027624" w:rsidRDefault="00D178A4" w:rsidP="00D178A4">
                <w:pPr>
                  <w:pStyle w:val="BoxHeading"/>
                  <w:numPr>
                    <w:ilvl w:val="0"/>
                    <w:numId w:val="0"/>
                  </w:numPr>
                  <w:rPr>
                    <w:b w:val="0"/>
                  </w:rPr>
                </w:pPr>
                <w:r w:rsidRPr="00027624">
                  <w:t>Suggested objective for the system</w:t>
                </w:r>
              </w:p>
              <w:p w14:paraId="1C2B1A33" w14:textId="77777777" w:rsidR="00D178A4" w:rsidRPr="00027624" w:rsidRDefault="00D178A4" w:rsidP="00D178A4">
                <w:pPr>
                  <w:pStyle w:val="BoxText"/>
                  <w:jc w:val="center"/>
                  <w:rPr>
                    <w:b/>
                  </w:rPr>
                </w:pPr>
                <w:r w:rsidRPr="00027624">
                  <w:rPr>
                    <w:b/>
                  </w:rPr>
                  <w:t>To deliver adequate standards of living in retirement in an equitable, sustainable and cohesive way.</w:t>
                </w:r>
              </w:p>
            </w:tc>
          </w:tr>
        </w:tbl>
        <w:p w14:paraId="4D818EEA" w14:textId="77777777" w:rsidR="00D178A4" w:rsidRPr="00027624" w:rsidRDefault="00D178A4" w:rsidP="00D178A4">
          <w:r w:rsidRPr="00027624">
            <w:t xml:space="preserve">For this objective to serve as a guide for policy setting and a basis for assessing system performance, it needs to be expressed as clearly as possible. For example, what constitutes </w:t>
          </w:r>
          <w:r w:rsidR="00A8443E" w:rsidRPr="00027624">
            <w:t>‘</w:t>
          </w:r>
          <w:r w:rsidRPr="00027624">
            <w:t>adequacy, equity, sustainability and cohesion</w:t>
          </w:r>
          <w:r w:rsidR="00A8443E" w:rsidRPr="00027624">
            <w:t>’</w:t>
          </w:r>
          <w:r w:rsidRPr="00027624">
            <w:t xml:space="preserve"> will need to be clarified. A vague, ambiguous objective that is open to interpretation will not provide the guidance required. </w:t>
          </w:r>
        </w:p>
        <w:p w14:paraId="7E547741" w14:textId="77777777" w:rsidR="00D178A4" w:rsidRPr="00027624" w:rsidRDefault="00D178A4" w:rsidP="00D178A4">
          <w:r w:rsidRPr="00027624">
            <w:t xml:space="preserve">A single sentence that attempts to cover the objective for the retirement system cannot encompass all the aspects and goals with the clarity required. The following nine elements provide additional detail on how the broad system objective could be clarified. </w:t>
          </w:r>
        </w:p>
        <w:p w14:paraId="096FE710" w14:textId="77777777" w:rsidR="00D178A4" w:rsidRPr="00027624" w:rsidRDefault="00D178A4" w:rsidP="00D178A4">
          <w:pPr>
            <w:pStyle w:val="Heading3"/>
          </w:pPr>
          <w:bookmarkStart w:id="282" w:name="_Toc40251848"/>
          <w:r w:rsidRPr="00027624">
            <w:t>Adequacy</w:t>
          </w:r>
          <w:bookmarkEnd w:id="282"/>
        </w:p>
        <w:p w14:paraId="24FFFA66" w14:textId="77777777" w:rsidR="00D178A4" w:rsidRPr="00027624" w:rsidRDefault="00D178A4" w:rsidP="00D178A4">
          <w:pPr>
            <w:pStyle w:val="Dash"/>
            <w:numPr>
              <w:ilvl w:val="1"/>
              <w:numId w:val="0"/>
            </w:numPr>
            <w:spacing w:after="240"/>
          </w:pPr>
          <w:r w:rsidRPr="00027624">
            <w:t xml:space="preserve">Two elements are suggested </w:t>
          </w:r>
          <w:r w:rsidRPr="00027624" w:rsidDel="00966B71">
            <w:t xml:space="preserve">to </w:t>
          </w:r>
          <w:r w:rsidRPr="00027624">
            <w:t>meet the objective of an adequate retirement income. Stakeholders broadly agree on the first element but differ as to how the second element should be expressed.</w:t>
          </w:r>
          <w:r w:rsidRPr="00027624">
            <w:rPr>
              <w:rStyle w:val="FootnoteReference"/>
            </w:rPr>
            <w:footnoteReference w:id="41"/>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602BC647" w14:textId="77777777" w:rsidTr="00D178A4">
            <w:tc>
              <w:tcPr>
                <w:tcW w:w="5000" w:type="pct"/>
                <w:shd w:val="clear" w:color="auto" w:fill="EBEBEB"/>
              </w:tcPr>
              <w:p w14:paraId="0B35EDA1" w14:textId="77777777" w:rsidR="00D178A4" w:rsidRPr="00027624" w:rsidRDefault="00D178A4" w:rsidP="00D178A4">
                <w:pPr>
                  <w:pStyle w:val="BoxHeading"/>
                  <w:numPr>
                    <w:ilvl w:val="0"/>
                    <w:numId w:val="0"/>
                  </w:numPr>
                  <w:rPr>
                    <w:b w:val="0"/>
                  </w:rPr>
                </w:pPr>
                <w:r w:rsidRPr="00027624">
                  <w:t>Element 1</w:t>
                </w:r>
              </w:p>
              <w:p w14:paraId="2EE9F369" w14:textId="77777777" w:rsidR="00D178A4" w:rsidRPr="00027624" w:rsidRDefault="00D178A4" w:rsidP="00D178A4">
                <w:pPr>
                  <w:pStyle w:val="BoxDash"/>
                  <w:numPr>
                    <w:ilvl w:val="1"/>
                    <w:numId w:val="0"/>
                  </w:numPr>
                  <w:ind w:left="283"/>
                  <w:jc w:val="center"/>
                  <w:rPr>
                    <w:b/>
                    <w:bCs/>
                  </w:rPr>
                </w:pPr>
                <w:r w:rsidRPr="00027624">
                  <w:rPr>
                    <w:b/>
                    <w:bCs/>
                  </w:rPr>
                  <w:t>The system should ensure a minimum standard of living for retirees with limited financial means that is consistent with prevailing community standards</w:t>
                </w:r>
                <w:r w:rsidRPr="00027624">
                  <w:t>.</w:t>
                </w:r>
              </w:p>
            </w:tc>
          </w:tr>
        </w:tbl>
        <w:p w14:paraId="0A628868" w14:textId="77777777" w:rsidR="00D178A4" w:rsidRPr="00027624" w:rsidRDefault="00D178A4" w:rsidP="00D178A4">
          <w:r w:rsidRPr="00027624">
            <w:t>Australia</w:t>
          </w:r>
          <w:r w:rsidR="00A8443E" w:rsidRPr="00027624">
            <w:t>’</w:t>
          </w:r>
          <w:r w:rsidRPr="00027624">
            <w:t>s retirement income system aims to ensure retirees have a minimum standard of living in retirement in line with prevailing community standards and, in particular, to ensure that no older Australian should live in poverty.</w:t>
          </w:r>
          <w:r w:rsidRPr="00027624">
            <w:rPr>
              <w:rStyle w:val="FootnoteReference"/>
            </w:rPr>
            <w:footnoteReference w:id="42"/>
          </w:r>
          <w:r w:rsidRPr="00027624">
            <w:t xml:space="preserve"> Broadly, this is consistent with the </w:t>
          </w:r>
          <w:r w:rsidRPr="00027624" w:rsidDel="00CE42C0">
            <w:t xml:space="preserve">current </w:t>
          </w:r>
          <w:r w:rsidRPr="00027624">
            <w:t>settings of the Age Pension, which ensure the maximum rate of the Age Pension moves with the higher of wages or living costs (</w:t>
          </w:r>
          <w:r w:rsidRPr="00027624">
            <w:rPr>
              <w:iCs/>
            </w:rPr>
            <w:t>see</w:t>
          </w:r>
          <w:r w:rsidRPr="00027624">
            <w:rPr>
              <w:i/>
              <w:iCs/>
            </w:rPr>
            <w:t xml:space="preserve"> 2A. Achieving a minimum standard of living in retirement</w:t>
          </w:r>
          <w:r w:rsidRPr="00027624">
            <w:rPr>
              <w:iCs/>
            </w:rPr>
            <w:t>)</w:t>
          </w:r>
          <w:r w:rsidRPr="00027624">
            <w:rPr>
              <w:i/>
              <w:iCs/>
            </w:rPr>
            <w:t>.</w:t>
          </w:r>
          <w:r w:rsidRPr="00027624">
            <w:t xml:space="preserve"> Older Australians also receive substantial in</w:t>
          </w:r>
          <w:r w:rsidR="00A8443E" w:rsidRPr="00027624">
            <w:noBreakHyphen/>
          </w:r>
          <w:r w:rsidRPr="00027624">
            <w:t>kind support in addition to the Age Pension.</w:t>
          </w:r>
        </w:p>
        <w:p w14:paraId="0117C5DE" w14:textId="77777777" w:rsidR="00D178A4" w:rsidRPr="00027624" w:rsidRDefault="00D178A4" w:rsidP="00D178A4">
          <w:r w:rsidRPr="00027624">
            <w:t>There are trade</w:t>
          </w:r>
          <w:r w:rsidR="00A8443E" w:rsidRPr="00027624">
            <w:noBreakHyphen/>
          </w:r>
          <w:r w:rsidRPr="00027624">
            <w:t>offs between the generosity of the minimum standard and the:</w:t>
          </w:r>
        </w:p>
        <w:p w14:paraId="080E7F16" w14:textId="77777777" w:rsidR="00D178A4" w:rsidRPr="00027624" w:rsidRDefault="00D178A4" w:rsidP="00D178A4">
          <w:pPr>
            <w:pStyle w:val="Bullet"/>
          </w:pPr>
          <w:r w:rsidRPr="00027624">
            <w:t>Sustainability of the system</w:t>
          </w:r>
        </w:p>
        <w:p w14:paraId="2F2E33A1" w14:textId="77777777" w:rsidR="00D178A4" w:rsidRPr="00027624" w:rsidRDefault="00D178A4" w:rsidP="00D178A4">
          <w:pPr>
            <w:pStyle w:val="Bullet"/>
          </w:pPr>
          <w:r w:rsidRPr="00027624">
            <w:t xml:space="preserve">Incentives for people to take a more active role in funding their own retirement </w:t>
          </w:r>
        </w:p>
        <w:p w14:paraId="1A7F7527" w14:textId="77777777" w:rsidR="00D178A4" w:rsidRPr="00027624" w:rsidRDefault="00D178A4" w:rsidP="00D178A4">
          <w:r w:rsidRPr="00027624">
            <w:t>The Age Pension provides more than a safety net for older Australians who do not have a sufficient level of financial resources to achieve a minimum standard of living. It supplements the savings of lower</w:t>
          </w:r>
          <w:r w:rsidR="00A8443E" w:rsidRPr="00027624">
            <w:noBreakHyphen/>
          </w:r>
          <w:r w:rsidRPr="00027624">
            <w:t xml:space="preserve"> to middle</w:t>
          </w:r>
          <w:r w:rsidR="00A8443E" w:rsidRPr="00027624">
            <w:noBreakHyphen/>
          </w:r>
          <w:r w:rsidRPr="00027624">
            <w:t>income people and households to maintain their standard of living in retirement. This is the second suggested element of the objective of achieving an adequate retirement income.</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27FF794B" w14:textId="77777777" w:rsidTr="00D178A4">
            <w:tc>
              <w:tcPr>
                <w:tcW w:w="5000" w:type="pct"/>
                <w:shd w:val="clear" w:color="auto" w:fill="EBEBEB"/>
              </w:tcPr>
              <w:p w14:paraId="26BE2A34" w14:textId="77777777" w:rsidR="00D178A4" w:rsidRPr="00027624" w:rsidRDefault="00D178A4" w:rsidP="00D178A4">
                <w:pPr>
                  <w:pStyle w:val="BoxHeading"/>
                  <w:numPr>
                    <w:ilvl w:val="0"/>
                    <w:numId w:val="0"/>
                  </w:numPr>
                  <w:rPr>
                    <w:b w:val="0"/>
                  </w:rPr>
                </w:pPr>
                <w:r w:rsidRPr="00027624">
                  <w:lastRenderedPageBreak/>
                  <w:t>Element 2</w:t>
                </w:r>
              </w:p>
              <w:p w14:paraId="6865E498" w14:textId="77777777" w:rsidR="00D178A4" w:rsidRPr="00027624" w:rsidRDefault="00D178A4" w:rsidP="00D178A4">
                <w:pPr>
                  <w:pStyle w:val="BoxText"/>
                  <w:jc w:val="center"/>
                </w:pPr>
                <w:r w:rsidRPr="00027624">
                  <w:rPr>
                    <w:b/>
                  </w:rPr>
                  <w:t xml:space="preserve">The system should facilitate people to reasonably maintain their standard of living in retirement. </w:t>
                </w:r>
              </w:p>
            </w:tc>
          </w:tr>
        </w:tbl>
        <w:p w14:paraId="0EDCFAC8" w14:textId="77777777" w:rsidR="00D178A4" w:rsidRPr="00027624" w:rsidRDefault="00D178A4" w:rsidP="00D178A4">
          <w:r w:rsidRPr="00027624">
            <w:t>Stakeholders differ as to whether element 2 should be expressed in aspirational terms or if the aim should be, as stated, for retirees to maintain their living standards into retirement.</w:t>
          </w:r>
          <w:r w:rsidRPr="00027624">
            <w:rPr>
              <w:rStyle w:val="FootnoteReference"/>
            </w:rPr>
            <w:footnoteReference w:id="43"/>
          </w:r>
          <w:r w:rsidRPr="00027624">
            <w:t xml:space="preserve"> As outlined subsequently, the weight of evidence supports the second approach. This is often referred to as </w:t>
          </w:r>
          <w:r w:rsidR="00A8443E" w:rsidRPr="00027624">
            <w:t>‘</w:t>
          </w:r>
          <w:r w:rsidRPr="00027624">
            <w:t>consumption smoothing</w:t>
          </w:r>
          <w:r w:rsidR="00A8443E" w:rsidRPr="00027624">
            <w:t>’</w:t>
          </w:r>
          <w:r w:rsidRPr="00027624">
            <w:t>, which balances the trade</w:t>
          </w:r>
          <w:r w:rsidR="00A8443E" w:rsidRPr="00027624">
            <w:noBreakHyphen/>
          </w:r>
          <w:r w:rsidRPr="00027624">
            <w:t xml:space="preserve">off between consumption in working years and consumption in retirement. </w:t>
          </w:r>
        </w:p>
        <w:p w14:paraId="4E8D778A" w14:textId="77777777" w:rsidR="00D178A4" w:rsidRPr="00027624" w:rsidRDefault="00D178A4" w:rsidP="00D178A4">
          <w:r w:rsidRPr="00027624">
            <w:t xml:space="preserve">For most individuals or households, maintaining living standards in retirement requires them to save while working, so they can draw on those savings in retirement. A tendency to undersave means some intervention (such as from the Government) is needed to encourage retirement saving and therefore maximise lifetime wellbeing. </w:t>
          </w:r>
        </w:p>
        <w:p w14:paraId="242FBB68" w14:textId="77777777" w:rsidR="00D178A4" w:rsidRPr="00027624" w:rsidRDefault="00D178A4" w:rsidP="00D178A4">
          <w:r w:rsidRPr="00027624">
            <w:t>The</w:t>
          </w:r>
          <w:r w:rsidRPr="00027624">
            <w:rPr>
              <w:rStyle w:val="normaltextrun"/>
              <w:rFonts w:cs="Calibri"/>
              <w:color w:val="000000"/>
              <w:shd w:val="clear" w:color="auto" w:fill="FFFFFF"/>
            </w:rPr>
            <w:t xml:space="preserve"> amount of income that </w:t>
          </w:r>
          <w:r w:rsidRPr="00027624">
            <w:rPr>
              <w:rStyle w:val="normaltextrun"/>
              <w:rFonts w:cs="Calibri"/>
              <w:color w:val="000000" w:themeColor="text1"/>
            </w:rPr>
            <w:t xml:space="preserve">retirees </w:t>
          </w:r>
          <w:r w:rsidRPr="00027624">
            <w:rPr>
              <w:rStyle w:val="normaltextrun"/>
              <w:rFonts w:cs="Calibri"/>
              <w:color w:val="000000"/>
              <w:shd w:val="clear" w:color="auto" w:fill="FFFFFF"/>
            </w:rPr>
            <w:t>need to maintain a similar standard of living in retirement as in their working life is generally lower than their pre</w:t>
          </w:r>
          <w:r w:rsidR="00A8443E" w:rsidRPr="00027624">
            <w:rPr>
              <w:rStyle w:val="normaltextrun"/>
              <w:rFonts w:cs="Calibri"/>
              <w:color w:val="000000"/>
              <w:shd w:val="clear" w:color="auto" w:fill="FFFFFF"/>
            </w:rPr>
            <w:noBreakHyphen/>
          </w:r>
          <w:r w:rsidRPr="00027624">
            <w:rPr>
              <w:rStyle w:val="normaltextrun"/>
              <w:rFonts w:cs="Calibri"/>
              <w:color w:val="000000"/>
              <w:shd w:val="clear" w:color="auto" w:fill="FFFFFF"/>
            </w:rPr>
            <w:t>retirement income. This is because:</w:t>
          </w:r>
        </w:p>
        <w:p w14:paraId="56354931" w14:textId="77777777" w:rsidR="00D178A4" w:rsidRPr="00027624" w:rsidRDefault="00D178A4" w:rsidP="00D178A4">
          <w:pPr>
            <w:pStyle w:val="Bullet"/>
          </w:pPr>
          <w:r w:rsidRPr="00027624">
            <w:t>Expenses typically fall in retirement, increasingly so as individuals and households age. For example, children move out and mortgages are often extinguished</w:t>
          </w:r>
        </w:p>
        <w:p w14:paraId="5545B06B" w14:textId="77777777" w:rsidR="00D178A4" w:rsidRPr="00027624" w:rsidRDefault="00D178A4" w:rsidP="00D178A4">
          <w:pPr>
            <w:pStyle w:val="Bullet"/>
          </w:pPr>
          <w:r w:rsidRPr="00027624">
            <w:t xml:space="preserve">People no longer need to save for retirement </w:t>
          </w:r>
        </w:p>
        <w:p w14:paraId="6D8DEDFB" w14:textId="77777777" w:rsidR="00D178A4" w:rsidRPr="00027624" w:rsidRDefault="00D178A4" w:rsidP="00D178A4">
          <w:pPr>
            <w:pStyle w:val="Bullet"/>
          </w:pPr>
          <w:r w:rsidRPr="00027624">
            <w:t>In</w:t>
          </w:r>
          <w:r w:rsidR="00A8443E" w:rsidRPr="00027624">
            <w:noBreakHyphen/>
          </w:r>
          <w:r w:rsidRPr="00027624">
            <w:t>kind support from the Government subsidises living costs for most retirees</w:t>
          </w:r>
        </w:p>
        <w:p w14:paraId="78EFB2B6" w14:textId="77777777" w:rsidR="00D178A4" w:rsidRPr="00027624" w:rsidRDefault="00D178A4" w:rsidP="00D178A4">
          <w:r w:rsidRPr="00027624">
            <w:t>Consumption smoothing is most relevant for middle</w:t>
          </w:r>
          <w:r w:rsidR="00A8443E" w:rsidRPr="00027624">
            <w:noBreakHyphen/>
          </w:r>
          <w:r w:rsidRPr="00027624">
            <w:t xml:space="preserve">income households. This is why the objective of maintaining living standards in retirement is qualified with the word </w:t>
          </w:r>
          <w:r w:rsidR="00A8443E" w:rsidRPr="00027624">
            <w:t>‘</w:t>
          </w:r>
          <w:r w:rsidRPr="00027624">
            <w:t>reasonably</w:t>
          </w:r>
          <w:r w:rsidR="00A8443E" w:rsidRPr="00027624">
            <w:t>’</w:t>
          </w:r>
          <w:r w:rsidRPr="00027624">
            <w:t>. For many lower</w:t>
          </w:r>
          <w:r w:rsidR="00A8443E" w:rsidRPr="00027624">
            <w:noBreakHyphen/>
          </w:r>
          <w:r w:rsidRPr="00027624">
            <w:t xml:space="preserve">income individuals or households, the Age Pension represents an increase in their income in retirement (see </w:t>
          </w:r>
          <w:r w:rsidRPr="00027624">
            <w:rPr>
              <w:i/>
            </w:rPr>
            <w:t>2C. Maintaining standards of living in retirement)</w:t>
          </w:r>
          <w:r w:rsidRPr="00027624">
            <w:t xml:space="preserve">. In these cases, achieving a minimum standard of adequacy is more relevant than consumption smoothing. </w:t>
          </w:r>
        </w:p>
        <w:p w14:paraId="1EA7EC20" w14:textId="77777777" w:rsidR="00D178A4" w:rsidRPr="00027624" w:rsidRDefault="00D178A4" w:rsidP="00D178A4">
          <w:r w:rsidRPr="00027624">
            <w:t>Higher</w:t>
          </w:r>
          <w:r w:rsidR="00A8443E" w:rsidRPr="00027624">
            <w:noBreakHyphen/>
          </w:r>
          <w:r w:rsidRPr="00027624">
            <w:t>income earners have additional wealth to draw on and capacity for voluntary saving. There is less of a rationale for policy based on compulsory superannuation contributions to target consumption smoothing for higher</w:t>
          </w:r>
          <w:r w:rsidR="00A8443E" w:rsidRPr="00027624">
            <w:noBreakHyphen/>
          </w:r>
          <w:r w:rsidRPr="00027624">
            <w:t>income earners in the same way it would for others.</w:t>
          </w:r>
        </w:p>
        <w:p w14:paraId="2B1A52C8" w14:textId="77777777" w:rsidR="00D178A4" w:rsidRPr="00027624" w:rsidRDefault="00D178A4" w:rsidP="00D178A4">
          <w:r w:rsidRPr="00027624">
            <w:t>Some stakeholders proposed that risk management (against longevity, market or inflation risk) should be an explicit goal of the system.</w:t>
          </w:r>
          <w:r w:rsidRPr="00027624">
            <w:rPr>
              <w:rStyle w:val="FootnoteReference"/>
            </w:rPr>
            <w:footnoteReference w:id="44"/>
          </w:r>
          <w:r w:rsidRPr="00027624">
            <w:t xml:space="preserve"> Risk management is clearly important. However, it is arguably covered in the adequacy elements. A minimum standard provides some degree of insurance against these risks by providing an income level that retirees do not fall below. A system that enables people to efficiently maintain their living standard throughout retirement also manages longevity risk.</w:t>
          </w:r>
        </w:p>
        <w:p w14:paraId="2BE67D40" w14:textId="77777777" w:rsidR="00D178A4" w:rsidRPr="00027624" w:rsidRDefault="00D178A4" w:rsidP="00D178A4">
          <w:pPr>
            <w:pStyle w:val="Heading3"/>
          </w:pPr>
          <w:bookmarkStart w:id="283" w:name="_Toc40251849"/>
          <w:r w:rsidRPr="00027624">
            <w:t>Equity</w:t>
          </w:r>
          <w:bookmarkEnd w:id="283"/>
        </w:p>
        <w:p w14:paraId="445FDBBD" w14:textId="77777777" w:rsidR="00D178A4" w:rsidRPr="00027624" w:rsidRDefault="00D178A4" w:rsidP="00D178A4">
          <w:r w:rsidRPr="00027624">
            <w:t>Retirement outcomes will inevitably be different across the population because they reflect differences in pre</w:t>
          </w:r>
          <w:r w:rsidR="00A8443E" w:rsidRPr="00027624">
            <w:noBreakHyphen/>
          </w:r>
          <w:r w:rsidRPr="00027624">
            <w:t xml:space="preserve">retirement income and wealth, and individual circumstances. Although stakeholders agreed that equity was an objective of the retirement income system, a range of views were offered regarding what constitutes equity. Many submissions focused on whether particular cohorts of the population (such as women, Aboriginal and Torres Strait Islander people, renters, the </w:t>
          </w:r>
          <w:r w:rsidRPr="00027624">
            <w:lastRenderedPageBreak/>
            <w:t>self</w:t>
          </w:r>
          <w:r w:rsidR="00A8443E" w:rsidRPr="00027624">
            <w:noBreakHyphen/>
          </w:r>
          <w:r w:rsidRPr="00027624">
            <w:t>employed, and involuntary retirees) were achieving equitable outcomes in retirement.</w:t>
          </w:r>
          <w:r w:rsidRPr="00027624">
            <w:rPr>
              <w:rStyle w:val="FootnoteReference"/>
            </w:rPr>
            <w:footnoteReference w:id="45"/>
          </w:r>
          <w:r w:rsidRPr="00027624">
            <w:t xml:space="preserve"> The retirement outcomes of these groups of people and for people across the income and wealth distribution are considered in </w:t>
          </w:r>
          <w:r w:rsidRPr="00027624">
            <w:rPr>
              <w:i/>
              <w:iCs/>
            </w:rPr>
            <w:t>3. Equity</w:t>
          </w:r>
          <w:r w:rsidRPr="00027624">
            <w:t xml:space="preserve">. </w:t>
          </w:r>
        </w:p>
        <w:p w14:paraId="2C7DB32F" w14:textId="77777777" w:rsidR="00D178A4" w:rsidRPr="00027624" w:rsidRDefault="00D178A4" w:rsidP="00D178A4">
          <w:r w:rsidRPr="00027624">
            <w:t>A key aspect of the objective of equitable retirement outcomes is that Government support is targeted to those in need.</w:t>
          </w:r>
        </w:p>
        <w:tbl>
          <w:tblPr>
            <w:tblStyle w:val="TableGrid"/>
            <w:tblpPr w:leftFromText="180" w:rightFromText="180" w:vertAnchor="text" w:horzAnchor="margin" w:tblpY="185"/>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0B871EBF" w14:textId="77777777" w:rsidTr="00D178A4">
            <w:tc>
              <w:tcPr>
                <w:tcW w:w="5000" w:type="pct"/>
                <w:shd w:val="clear" w:color="auto" w:fill="EBEBEB"/>
              </w:tcPr>
              <w:p w14:paraId="6D4FDD86" w14:textId="77777777" w:rsidR="00D178A4" w:rsidRPr="00027624" w:rsidRDefault="00D178A4" w:rsidP="00D178A4">
                <w:pPr>
                  <w:pStyle w:val="BoxHeading"/>
                  <w:numPr>
                    <w:ilvl w:val="0"/>
                    <w:numId w:val="0"/>
                  </w:numPr>
                  <w:rPr>
                    <w:b w:val="0"/>
                  </w:rPr>
                </w:pPr>
                <w:r w:rsidRPr="00027624">
                  <w:t>Element 3</w:t>
                </w:r>
              </w:p>
              <w:p w14:paraId="2BF25A83" w14:textId="77777777" w:rsidR="00D178A4" w:rsidRPr="00027624" w:rsidRDefault="00D178A4" w:rsidP="00D178A4">
                <w:pPr>
                  <w:pStyle w:val="BoxText"/>
                  <w:jc w:val="center"/>
                  <w:rPr>
                    <w:b/>
                    <w:bCs/>
                  </w:rPr>
                </w:pPr>
                <w:r w:rsidRPr="00027624">
                  <w:rPr>
                    <w:b/>
                    <w:bCs/>
                  </w:rPr>
                  <w:t xml:space="preserve">The system should target Government support to those in need. </w:t>
                </w:r>
              </w:p>
            </w:tc>
          </w:tr>
        </w:tbl>
        <w:p w14:paraId="59B33FFB" w14:textId="77777777" w:rsidR="00D178A4" w:rsidRPr="00027624" w:rsidRDefault="00D178A4" w:rsidP="00D178A4">
          <w:r w:rsidRPr="00027624">
            <w:t>Targeting Government support to those in need is consistent with the broader community consensus on the design of Australia</w:t>
          </w:r>
          <w:r w:rsidR="00A8443E" w:rsidRPr="00027624">
            <w:t>’</w:t>
          </w:r>
          <w:r w:rsidRPr="00027624">
            <w:t xml:space="preserve">s transfer system, which is one of the most targeted in the OECD </w:t>
          </w:r>
          <w:sdt>
            <w:sdtPr>
              <w:id w:val="-2128384377"/>
              <w:citation/>
            </w:sdtPr>
            <w:sdtEndPr/>
            <w:sdtContent>
              <w:r w:rsidRPr="00027624">
                <w:fldChar w:fldCharType="begin"/>
              </w:r>
              <w:r w:rsidRPr="00027624">
                <w:instrText xml:space="preserve"> CITATION Pet15 \l 3081 </w:instrText>
              </w:r>
              <w:r w:rsidRPr="00027624">
                <w:fldChar w:fldCharType="separate"/>
              </w:r>
              <w:r w:rsidR="00E83F6E">
                <w:rPr>
                  <w:noProof/>
                </w:rPr>
                <w:t>(Whiteford, 2015)</w:t>
              </w:r>
              <w:r w:rsidRPr="00027624">
                <w:fldChar w:fldCharType="end"/>
              </w:r>
            </w:sdtContent>
          </w:sdt>
          <w:r w:rsidRPr="00027624">
            <w:t>. Targeted support should not discourage people from saving for their retirement if they can.</w:t>
          </w:r>
        </w:p>
        <w:p w14:paraId="4CAA5BAC" w14:textId="77777777" w:rsidR="00D178A4" w:rsidRPr="00027624" w:rsidRDefault="00D178A4" w:rsidP="00D178A4">
          <w:r w:rsidRPr="00027624">
            <w:t>The largest and most important elements of Government support are the Age Pension and superannuation tax concessions. But other interventions, such as social transfers in</w:t>
          </w:r>
          <w:r w:rsidR="00A8443E" w:rsidRPr="00027624">
            <w:noBreakHyphen/>
          </w:r>
          <w:r w:rsidRPr="00027624">
            <w:t xml:space="preserve">kind, also affect retirement outcomes (discussed more below). </w:t>
          </w:r>
        </w:p>
        <w:p w14:paraId="3E8BA702" w14:textId="77777777" w:rsidR="00D178A4" w:rsidRPr="00027624" w:rsidRDefault="00D178A4">
          <w:r w:rsidRPr="00027624">
            <w:t>There is a trade</w:t>
          </w:r>
          <w:r w:rsidR="00A8443E" w:rsidRPr="00027624">
            <w:noBreakHyphen/>
          </w:r>
          <w:r w:rsidRPr="00027624">
            <w:t>off between targeting and complexity. Universal Government support would be simpler to administer but would be inconsistent with community preferences. Therefore, targeted support should be designed without unnecessary complexity.</w:t>
          </w:r>
        </w:p>
        <w:tbl>
          <w:tblPr>
            <w:tblStyle w:val="TableGrid"/>
            <w:tblpPr w:leftFromText="180" w:rightFromText="180" w:vertAnchor="text" w:horzAnchor="margin" w:tblpY="185"/>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2732B9B7" w14:textId="77777777" w:rsidTr="00D178A4">
            <w:tc>
              <w:tcPr>
                <w:tcW w:w="5000" w:type="pct"/>
                <w:shd w:val="clear" w:color="auto" w:fill="EBEBEB"/>
              </w:tcPr>
              <w:p w14:paraId="0E92C32F" w14:textId="77777777" w:rsidR="00D178A4" w:rsidRPr="00027624" w:rsidRDefault="00D178A4" w:rsidP="00D178A4">
                <w:pPr>
                  <w:pStyle w:val="BoxHeading"/>
                  <w:numPr>
                    <w:ilvl w:val="0"/>
                    <w:numId w:val="0"/>
                  </w:numPr>
                  <w:rPr>
                    <w:b w:val="0"/>
                  </w:rPr>
                </w:pPr>
                <w:r w:rsidRPr="00027624">
                  <w:t>Element 4</w:t>
                </w:r>
              </w:p>
              <w:p w14:paraId="2F56922E" w14:textId="77777777" w:rsidR="00D178A4" w:rsidRPr="00027624" w:rsidRDefault="00D178A4" w:rsidP="00D178A4">
                <w:pPr>
                  <w:ind w:firstLine="720"/>
                  <w:rPr>
                    <w:b/>
                    <w:bCs/>
                    <w:sz w:val="24"/>
                    <w:szCs w:val="24"/>
                  </w:rPr>
                </w:pPr>
                <w:r w:rsidRPr="00027624">
                  <w:rPr>
                    <w:b/>
                    <w:bCs/>
                  </w:rPr>
                  <w:t>The system should provide similar outcomes for people in similar circumstances.</w:t>
                </w:r>
              </w:p>
            </w:tc>
          </w:tr>
        </w:tbl>
        <w:p w14:paraId="600B7480" w14:textId="77777777" w:rsidR="00D178A4" w:rsidRPr="00027624" w:rsidRDefault="00D178A4" w:rsidP="00D178A4">
          <w:bookmarkStart w:id="284" w:name="_Toc40251850"/>
          <w:r w:rsidRPr="00027624">
            <w:t>Targeting should ensure that people in similar circumstances receive similar levels of support. Similar circumstances can include similarities in income and wealth levels, and household composition.</w:t>
          </w:r>
        </w:p>
        <w:p w14:paraId="3281363B" w14:textId="77777777" w:rsidR="00D178A4" w:rsidRPr="00027624" w:rsidRDefault="00D178A4" w:rsidP="00D178A4">
          <w:pPr>
            <w:pStyle w:val="Heading3"/>
          </w:pPr>
          <w:r w:rsidRPr="00027624">
            <w:t>Sustainability</w:t>
          </w:r>
          <w:bookmarkEnd w:id="284"/>
        </w:p>
        <w:p w14:paraId="220A4635" w14:textId="77777777" w:rsidR="00D178A4" w:rsidRPr="00027624" w:rsidRDefault="00D178A4" w:rsidP="00D178A4">
          <w:r w:rsidRPr="00027624">
            <w:t>Sustainability, which focuses on the costs of the system, has two elements. First, whether the system is cost</w:t>
          </w:r>
          <w:r w:rsidR="00A8443E" w:rsidRPr="00027624">
            <w:noBreakHyphen/>
          </w:r>
          <w:r w:rsidRPr="00027624">
            <w:t>effective in achieving adequate outcomes (element 5). Second, whether the system can continue to deliver adequate outcomes in the future (element 6). In both cases, the potential impacts on public confidence and community support are important.</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1DEF8F6F" w14:textId="77777777" w:rsidTr="00D178A4">
            <w:tc>
              <w:tcPr>
                <w:tcW w:w="5000" w:type="pct"/>
                <w:shd w:val="clear" w:color="auto" w:fill="EBEBEB"/>
              </w:tcPr>
              <w:p w14:paraId="7F3431BF" w14:textId="77777777" w:rsidR="00D178A4" w:rsidRPr="00027624" w:rsidRDefault="00D178A4" w:rsidP="00D178A4">
                <w:pPr>
                  <w:pStyle w:val="BoxHeading"/>
                  <w:numPr>
                    <w:ilvl w:val="0"/>
                    <w:numId w:val="0"/>
                  </w:numPr>
                  <w:rPr>
                    <w:b w:val="0"/>
                  </w:rPr>
                </w:pPr>
                <w:r w:rsidRPr="00027624">
                  <w:t>Element 5</w:t>
                </w:r>
              </w:p>
              <w:p w14:paraId="10656C11" w14:textId="77777777" w:rsidR="00D178A4" w:rsidRPr="00027624" w:rsidRDefault="00D178A4" w:rsidP="00D178A4">
                <w:pPr>
                  <w:pStyle w:val="BoxText"/>
                  <w:jc w:val="center"/>
                </w:pPr>
                <w:r w:rsidRPr="00027624">
                  <w:rPr>
                    <w:b/>
                    <w:bCs/>
                  </w:rPr>
                  <w:t>The system should be cost</w:t>
                </w:r>
                <w:r w:rsidR="00A8443E" w:rsidRPr="00027624">
                  <w:rPr>
                    <w:b/>
                    <w:bCs/>
                  </w:rPr>
                  <w:noBreakHyphen/>
                </w:r>
                <w:r w:rsidRPr="00027624">
                  <w:rPr>
                    <w:b/>
                    <w:bCs/>
                  </w:rPr>
                  <w:t xml:space="preserve">effective for taxpayers in achieving adequate outcomes. </w:t>
                </w:r>
              </w:p>
            </w:tc>
          </w:tr>
        </w:tbl>
        <w:p w14:paraId="0A5E6534" w14:textId="77777777" w:rsidR="00D178A4" w:rsidRPr="00027624" w:rsidRDefault="00D178A4" w:rsidP="00D178A4">
          <w:r w:rsidRPr="00027624">
            <w:t>The retirement income system contains a wide range of costs for different parties:</w:t>
          </w:r>
        </w:p>
        <w:p w14:paraId="625D2121" w14:textId="77777777" w:rsidR="00D178A4" w:rsidRPr="00027624" w:rsidRDefault="00D178A4" w:rsidP="00D178A4">
          <w:pPr>
            <w:pStyle w:val="Bullet"/>
          </w:pPr>
          <w:r w:rsidRPr="00027624">
            <w:rPr>
              <w:bCs/>
            </w:rPr>
            <w:t>Government</w:t>
          </w:r>
          <w:r w:rsidRPr="00027624">
            <w:t>. The Age Pension, superannuation tax concessions and in</w:t>
          </w:r>
          <w:r w:rsidR="00A8443E" w:rsidRPr="00027624">
            <w:noBreakHyphen/>
          </w:r>
          <w:r w:rsidRPr="00027624">
            <w:t xml:space="preserve">kind support for retirees. </w:t>
          </w:r>
        </w:p>
        <w:p w14:paraId="29CCD365" w14:textId="77777777" w:rsidR="00D178A4" w:rsidRPr="00027624" w:rsidRDefault="00D178A4" w:rsidP="00D178A4">
          <w:pPr>
            <w:pStyle w:val="Bullet"/>
          </w:pPr>
          <w:r w:rsidRPr="00027624">
            <w:rPr>
              <w:bCs/>
            </w:rPr>
            <w:t>Individuals</w:t>
          </w:r>
          <w:r w:rsidRPr="00027624">
            <w:t xml:space="preserve">. The cost of the fees charged by the superannuation industry. </w:t>
          </w:r>
        </w:p>
        <w:p w14:paraId="31D68C74" w14:textId="77777777" w:rsidR="00D178A4" w:rsidRPr="00027624" w:rsidRDefault="00D178A4" w:rsidP="00D178A4">
          <w:r w:rsidRPr="00027624">
            <w:t xml:space="preserve">From both a community support and a general cost sustainability perspective, this money should be efficiently directed towards achieving adequate retirement outcomes. </w:t>
          </w:r>
        </w:p>
        <w:p w14:paraId="0ED711EA" w14:textId="77777777" w:rsidR="00D178A4" w:rsidRPr="00027624" w:rsidRDefault="00D178A4" w:rsidP="00D178A4">
          <w:r w:rsidRPr="00027624">
            <w:lastRenderedPageBreak/>
            <w:t xml:space="preserve">This does not mean solely focusing on identifying </w:t>
          </w:r>
          <w:r w:rsidR="00A8443E" w:rsidRPr="00027624">
            <w:t>‘</w:t>
          </w:r>
          <w:r w:rsidRPr="00027624">
            <w:t>waste</w:t>
          </w:r>
          <w:r w:rsidR="00A8443E" w:rsidRPr="00027624">
            <w:t>’</w:t>
          </w:r>
          <w:r w:rsidRPr="00027624">
            <w:t xml:space="preserve"> and reducing the overall cost of the system, but identifying whether existing resources could be redeployed to achieve better adequacy outcomes. </w:t>
          </w:r>
        </w:p>
        <w:p w14:paraId="6BD6F454" w14:textId="77777777" w:rsidR="00D178A4" w:rsidRPr="00027624" w:rsidRDefault="00D178A4" w:rsidP="00D178A4">
          <w:r w:rsidRPr="00027624">
            <w:t xml:space="preserve">This is an important relationship between sustainability, equity and adequacy. If there is scope to reallocate resources to better achieve adequacy objectives, this may imply that Government support could be better targeted. </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3490BABA" w14:textId="77777777" w:rsidTr="00D178A4">
            <w:tc>
              <w:tcPr>
                <w:tcW w:w="5000" w:type="pct"/>
                <w:shd w:val="clear" w:color="auto" w:fill="EBEBEB"/>
              </w:tcPr>
              <w:p w14:paraId="30682ECE" w14:textId="77777777" w:rsidR="00D178A4" w:rsidRPr="00027624" w:rsidRDefault="00D178A4" w:rsidP="00D178A4">
                <w:pPr>
                  <w:pStyle w:val="BoxHeading"/>
                  <w:numPr>
                    <w:ilvl w:val="0"/>
                    <w:numId w:val="0"/>
                  </w:numPr>
                  <w:rPr>
                    <w:b w:val="0"/>
                  </w:rPr>
                </w:pPr>
                <w:r w:rsidRPr="00027624">
                  <w:t>Element 6</w:t>
                </w:r>
              </w:p>
              <w:p w14:paraId="27D86B15" w14:textId="77777777" w:rsidR="00D178A4" w:rsidRPr="00027624" w:rsidRDefault="00D178A4" w:rsidP="00D178A4">
                <w:pPr>
                  <w:pStyle w:val="BoxDash"/>
                  <w:numPr>
                    <w:ilvl w:val="1"/>
                    <w:numId w:val="0"/>
                  </w:numPr>
                  <w:jc w:val="center"/>
                </w:pPr>
                <w:r w:rsidRPr="00027624">
                  <w:rPr>
                    <w:b/>
                    <w:bCs/>
                  </w:rPr>
                  <w:t>The system cost should be sustainable and robust to demographic, economic and social change.</w:t>
                </w:r>
              </w:p>
            </w:tc>
          </w:tr>
        </w:tbl>
        <w:p w14:paraId="2F5850F5" w14:textId="77777777" w:rsidR="00D178A4" w:rsidRPr="00027624" w:rsidRDefault="00D178A4" w:rsidP="00D178A4">
          <w:r w:rsidRPr="00027624">
            <w:t>The first part of element 6 (the system should be sustainable) considers all the different costs of the system. Costs that grow faster than the nation</w:t>
          </w:r>
          <w:r w:rsidR="00A8443E" w:rsidRPr="00027624">
            <w:t>’</w:t>
          </w:r>
          <w:r w:rsidRPr="00027624">
            <w:t xml:space="preserve">s ability to pay may lead to public perceptions that the Government is making unrealistic promises. This may undermine public confidence that the system is sustainable. Conversely, public confidence can be enhanced by ensuring people have a personal stake in the system and are supported in taking personal responsibility for their retirement. </w:t>
          </w:r>
        </w:p>
        <w:p w14:paraId="6A26833E" w14:textId="77777777" w:rsidR="00D178A4" w:rsidRPr="00027624" w:rsidRDefault="00D178A4" w:rsidP="00D178A4">
          <w:r w:rsidRPr="00027624">
            <w:t>The second part of element 6 (robustness to change) considers how achieving the system</w:t>
          </w:r>
          <w:r w:rsidR="00A8443E" w:rsidRPr="00027624">
            <w:t>’</w:t>
          </w:r>
          <w:r w:rsidRPr="00027624">
            <w:t>s objective might be affected by adverse external forces, such as lower wage growth or reduced investment returns. The system cannot be impervious to broader forces; the examples listed above will naturally affect the adequacy of retirement incomes. Rather, the system needs to be able to weather such forces and, to some extent, offset their impacts.</w:t>
          </w:r>
        </w:p>
        <w:p w14:paraId="6285E339" w14:textId="77777777" w:rsidR="00D178A4" w:rsidRPr="00027624" w:rsidRDefault="00D178A4" w:rsidP="00D178A4">
          <w:pPr>
            <w:pStyle w:val="Heading3"/>
          </w:pPr>
          <w:bookmarkStart w:id="285" w:name="_Toc40251851"/>
          <w:r w:rsidRPr="00027624">
            <w:t>Cohesion</w:t>
          </w:r>
          <w:bookmarkEnd w:id="285"/>
        </w:p>
        <w:p w14:paraId="456AEBA8" w14:textId="77777777" w:rsidR="00D178A4" w:rsidRPr="00027624" w:rsidRDefault="00D178A4" w:rsidP="00D178A4">
          <w:bookmarkStart w:id="286" w:name="_Toc31209563"/>
          <w:bookmarkStart w:id="287" w:name="_Toc31270925"/>
          <w:bookmarkStart w:id="288" w:name="_Toc31274369"/>
          <w:bookmarkStart w:id="289" w:name="_Toc31276201"/>
          <w:bookmarkStart w:id="290" w:name="_Toc31352199"/>
          <w:bookmarkStart w:id="291" w:name="_Toc31720335"/>
          <w:r w:rsidRPr="00027624">
            <w:t xml:space="preserve">Cohesion considers whether the processes, mechanisms and </w:t>
          </w:r>
          <w:r w:rsidRPr="00027624" w:rsidDel="00046B77">
            <w:t xml:space="preserve">incentives </w:t>
          </w:r>
          <w:r w:rsidRPr="00027624">
            <w:t>that contribute to retirement outcomes are achieving the system</w:t>
          </w:r>
          <w:r w:rsidR="00A8443E" w:rsidRPr="00027624">
            <w:t>’</w:t>
          </w:r>
          <w:r w:rsidRPr="00027624">
            <w:t>s objective in a well</w:t>
          </w:r>
          <w:r w:rsidR="00A8443E" w:rsidRPr="00027624">
            <w:noBreakHyphen/>
          </w:r>
          <w:r w:rsidRPr="00027624">
            <w:t>integrated way. This includes whether the incentives in the system are effective and complementary, whether the system interacts effectively with other systems and whether the system</w:t>
          </w:r>
          <w:r w:rsidR="00A8443E" w:rsidRPr="00027624">
            <w:t>’</w:t>
          </w:r>
          <w:r w:rsidRPr="00027624">
            <w:t>s processes are easy to engage with, or if they are too complex.</w:t>
          </w:r>
        </w:p>
        <w:p w14:paraId="31DF5FBA" w14:textId="77777777" w:rsidR="00D178A4" w:rsidRPr="00027624" w:rsidRDefault="00D178A4" w:rsidP="00D178A4">
          <w:r w:rsidRPr="00027624">
            <w:t xml:space="preserve">The retirement income system is not a discrete entity. It comprises </w:t>
          </w:r>
          <w:r w:rsidRPr="00027624" w:rsidDel="00046B77">
            <w:t xml:space="preserve">multiple </w:t>
          </w:r>
          <w:r w:rsidRPr="00027624">
            <w:t xml:space="preserve">components that have </w:t>
          </w:r>
          <w:r w:rsidRPr="00027624" w:rsidDel="00F4712E">
            <w:t xml:space="preserve">evolved </w:t>
          </w:r>
          <w:r w:rsidRPr="00027624">
            <w:t xml:space="preserve">over a century. Considering whether these components operate in a cohesive fashion is important. </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337BC054" w14:textId="77777777" w:rsidTr="00D178A4">
            <w:tc>
              <w:tcPr>
                <w:tcW w:w="5000" w:type="pct"/>
                <w:shd w:val="clear" w:color="auto" w:fill="EBEBEB"/>
              </w:tcPr>
              <w:p w14:paraId="61683849" w14:textId="77777777" w:rsidR="00D178A4" w:rsidRPr="00027624" w:rsidRDefault="00D178A4" w:rsidP="00D178A4">
                <w:pPr>
                  <w:pStyle w:val="BoxHeading"/>
                  <w:numPr>
                    <w:ilvl w:val="0"/>
                    <w:numId w:val="0"/>
                  </w:numPr>
                  <w:rPr>
                    <w:b w:val="0"/>
                  </w:rPr>
                </w:pPr>
                <w:r w:rsidRPr="00027624">
                  <w:t>Element 7</w:t>
                </w:r>
              </w:p>
              <w:p w14:paraId="764440ED" w14:textId="77777777" w:rsidR="00D178A4" w:rsidRPr="00027624" w:rsidRDefault="00D178A4" w:rsidP="00D178A4">
                <w:pPr>
                  <w:pStyle w:val="BoxText"/>
                  <w:jc w:val="center"/>
                </w:pPr>
                <w:r w:rsidRPr="00027624">
                  <w:rPr>
                    <w:b/>
                    <w:bCs/>
                  </w:rPr>
                  <w:t>The system should have effective incentives to smooth consumption and support people in taking personal responsibility for their retirement incomes.</w:t>
                </w:r>
              </w:p>
            </w:tc>
          </w:tr>
        </w:tbl>
        <w:p w14:paraId="2D8E36A6" w14:textId="77777777" w:rsidR="00D178A4" w:rsidRPr="00027624" w:rsidRDefault="00D178A4">
          <w:r w:rsidRPr="00027624">
            <w:t>For the system to help people reasonably maintain their living standards in retirement (element 2), all policy settings should encourage optimal consumption smoothing. In practice, this means incentives must balance a person</w:t>
          </w:r>
          <w:r w:rsidR="00A8443E" w:rsidRPr="00027624">
            <w:t>’</w:t>
          </w:r>
          <w:r w:rsidRPr="00027624">
            <w:t xml:space="preserve">s working, saving, investing and spending across their lifetime. </w:t>
          </w:r>
        </w:p>
        <w:p w14:paraId="43D359DE" w14:textId="77777777" w:rsidR="00D178A4" w:rsidRPr="00027624" w:rsidRDefault="00D178A4">
          <w:r w:rsidRPr="00027624">
            <w:t xml:space="preserve">Incentives should encourage and enable people to take responsibility for their retirement incomes. Having people contribute to their retirement income is central to the objective of people maintaining their living standards. </w:t>
          </w:r>
        </w:p>
        <w:p w14:paraId="1E2B7224" w14:textId="77777777" w:rsidR="00D178A4" w:rsidRPr="00027624" w:rsidRDefault="00D178A4">
          <w:r w:rsidRPr="00027624">
            <w:t xml:space="preserve">For many people, this encouragement is in the form of compulsory superannuation. But there also need to be incentives for those who are not covered by compulsory superannuation. People should not only be encouraged to take responsibility for saving for their retirement, they should also be encouraged to use their savings to support their living standards in retirement as effectively as possible. </w:t>
          </w:r>
        </w:p>
        <w:p w14:paraId="03C6966A" w14:textId="77777777" w:rsidR="00D178A4" w:rsidRPr="00027624" w:rsidRDefault="00D178A4" w:rsidP="00D178A4">
          <w:r w:rsidRPr="00027624">
            <w:lastRenderedPageBreak/>
            <w:t>Incentives operate in a complex policy environment, including:</w:t>
          </w:r>
        </w:p>
        <w:p w14:paraId="748510FC" w14:textId="77777777" w:rsidR="00D178A4" w:rsidRPr="00027624" w:rsidRDefault="00D178A4" w:rsidP="00D178A4">
          <w:pPr>
            <w:pStyle w:val="Bullet"/>
          </w:pPr>
          <w:r w:rsidRPr="00027624">
            <w:t>In accumulation, the tax incentives associated with voluntary savings; in particular, purchasing housing and making voluntary superannuation contributions</w:t>
          </w:r>
        </w:p>
        <w:p w14:paraId="2FE98165" w14:textId="77777777" w:rsidR="00D178A4" w:rsidRPr="00027624" w:rsidRDefault="00D178A4" w:rsidP="00D178A4">
          <w:pPr>
            <w:pStyle w:val="Bullet"/>
          </w:pPr>
          <w:r w:rsidRPr="00027624">
            <w:t xml:space="preserve">Approaching retirement, the preservation and Age Pension eligibility ages, and also the incentives stemming from the interaction of private savings and the Age Pension means test </w:t>
          </w:r>
        </w:p>
        <w:p w14:paraId="2C15BE42" w14:textId="77777777" w:rsidR="00D178A4" w:rsidRPr="00027624" w:rsidRDefault="00D178A4" w:rsidP="00D178A4">
          <w:pPr>
            <w:pStyle w:val="Bullet"/>
          </w:pPr>
          <w:r w:rsidRPr="00027624">
            <w:t>In retirement, the incentives to drawdown savings to finance living standards</w:t>
          </w:r>
        </w:p>
        <w:p w14:paraId="5930B727" w14:textId="77777777" w:rsidR="00D178A4" w:rsidRPr="00027624" w:rsidRDefault="00D178A4" w:rsidP="00D178A4">
          <w:r w:rsidRPr="00027624">
            <w:t>These incentives create many trade</w:t>
          </w:r>
          <w:r w:rsidR="00A8443E" w:rsidRPr="00027624">
            <w:noBreakHyphen/>
          </w:r>
          <w:r w:rsidRPr="00027624">
            <w:t>offs against other objectives. For example, tax incentives come at a cost to the system. Hence</w:t>
          </w:r>
          <w:r w:rsidR="00410DDD" w:rsidRPr="00027624">
            <w:t>,</w:t>
          </w:r>
          <w:r w:rsidRPr="00027624">
            <w:t xml:space="preserve"> it is important that the incentives are </w:t>
          </w:r>
          <w:r w:rsidR="00A8443E" w:rsidRPr="00027624">
            <w:t>‘</w:t>
          </w:r>
          <w:r w:rsidRPr="00027624">
            <w:t>effective</w:t>
          </w:r>
          <w:r w:rsidR="00A8443E" w:rsidRPr="00027624">
            <w:t>’</w:t>
          </w:r>
          <w:r w:rsidRPr="00027624">
            <w:t xml:space="preserve"> (shifting behaviour in the intended direction) rather than just rewarding behaviour that would occur regardless. </w:t>
          </w:r>
        </w:p>
        <w:p w14:paraId="3CEF3074" w14:textId="77777777" w:rsidR="00D178A4" w:rsidRPr="00027624" w:rsidRDefault="00D178A4" w:rsidP="00D178A4">
          <w:r w:rsidRPr="00027624">
            <w:t>The intent of incentives to support personal responsibility is to contribute to retirement incomes, rather than boosting savings in their own right. This is particularly relevant where savings go beyond what is needed for generating retirement incomes that maintain people</w:t>
          </w:r>
          <w:r w:rsidR="00A8443E" w:rsidRPr="00027624">
            <w:t>’</w:t>
          </w:r>
          <w:r w:rsidRPr="00027624">
            <w:t xml:space="preserve">s living standards. It is also relevant when people do not effectively draw on their savings to maintain their living standards in retirement and leave the bulk of their wealth as a bequest. </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2A5F15F8" w14:textId="77777777" w:rsidTr="00D178A4">
            <w:tc>
              <w:tcPr>
                <w:tcW w:w="5000" w:type="pct"/>
                <w:shd w:val="clear" w:color="auto" w:fill="EBEBEB"/>
              </w:tcPr>
              <w:p w14:paraId="3F22B173" w14:textId="77777777" w:rsidR="00D178A4" w:rsidRPr="00027624" w:rsidRDefault="00D178A4" w:rsidP="00D178A4">
                <w:pPr>
                  <w:pStyle w:val="BoxHeading"/>
                  <w:numPr>
                    <w:ilvl w:val="0"/>
                    <w:numId w:val="0"/>
                  </w:numPr>
                  <w:rPr>
                    <w:b w:val="0"/>
                  </w:rPr>
                </w:pPr>
                <w:r w:rsidRPr="00027624">
                  <w:t>Element 8</w:t>
                </w:r>
              </w:p>
              <w:p w14:paraId="30FE646A" w14:textId="77777777" w:rsidR="00D178A4" w:rsidRPr="00027624" w:rsidRDefault="00D178A4" w:rsidP="00D178A4">
                <w:pPr>
                  <w:pStyle w:val="BoxText"/>
                  <w:jc w:val="center"/>
                </w:pPr>
                <w:r w:rsidRPr="00027624">
                  <w:rPr>
                    <w:b/>
                    <w:bCs/>
                  </w:rPr>
                  <w:t>The system should interact effectively with other systems.</w:t>
                </w:r>
              </w:p>
            </w:tc>
          </w:tr>
        </w:tbl>
        <w:p w14:paraId="1CDA8E4F" w14:textId="77777777" w:rsidR="00D178A4" w:rsidRPr="00027624" w:rsidRDefault="00D178A4" w:rsidP="00D178A4">
          <w:r w:rsidRPr="00027624">
            <w:t>Many other factors outside the retirement income system influence people</w:t>
          </w:r>
          <w:r w:rsidR="00A8443E" w:rsidRPr="00027624">
            <w:t>’</w:t>
          </w:r>
          <w:r w:rsidRPr="00027624">
            <w:t>s retirement outcomes. For example, the need to address health issues and to plan for aged care influences people</w:t>
          </w:r>
          <w:r w:rsidR="00A8443E" w:rsidRPr="00027624">
            <w:t>’</w:t>
          </w:r>
          <w:r w:rsidRPr="00027624">
            <w:t>s savings and spending behaviour in retirement. Wherever possible, these interactions should be effective and not undermine either system</w:t>
          </w:r>
          <w:r w:rsidR="00A8443E" w:rsidRPr="00027624">
            <w:t>’</w:t>
          </w:r>
          <w:r w:rsidRPr="00027624">
            <w:t xml:space="preserve">s objectives. </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D178A4" w:rsidRPr="00027624" w14:paraId="78438F08" w14:textId="77777777" w:rsidTr="00D178A4">
            <w:tc>
              <w:tcPr>
                <w:tcW w:w="5000" w:type="pct"/>
                <w:shd w:val="clear" w:color="auto" w:fill="EBEBEB"/>
              </w:tcPr>
              <w:p w14:paraId="07921D8E" w14:textId="77777777" w:rsidR="00D178A4" w:rsidRPr="00027624" w:rsidRDefault="00D178A4" w:rsidP="00D178A4">
                <w:pPr>
                  <w:pStyle w:val="BoxHeading"/>
                  <w:numPr>
                    <w:ilvl w:val="0"/>
                    <w:numId w:val="0"/>
                  </w:numPr>
                  <w:rPr>
                    <w:b w:val="0"/>
                  </w:rPr>
                </w:pPr>
                <w:r w:rsidRPr="00027624">
                  <w:t>Element 9</w:t>
                </w:r>
              </w:p>
              <w:p w14:paraId="0B84948D" w14:textId="77777777" w:rsidR="00D178A4" w:rsidRPr="00027624" w:rsidRDefault="00D178A4" w:rsidP="00D178A4">
                <w:pPr>
                  <w:pStyle w:val="BoxText"/>
                  <w:jc w:val="center"/>
                </w:pPr>
                <w:r w:rsidRPr="00027624">
                  <w:rPr>
                    <w:b/>
                    <w:bCs/>
                  </w:rPr>
                  <w:t xml:space="preserve">The system should not be unnecessary complex for consumers. </w:t>
                </w:r>
              </w:p>
            </w:tc>
          </w:tr>
        </w:tbl>
        <w:p w14:paraId="52D30D62" w14:textId="77777777" w:rsidR="00D178A4" w:rsidRPr="00027624" w:rsidRDefault="00D178A4" w:rsidP="00D178A4">
          <w:r w:rsidRPr="00027624">
            <w:t xml:space="preserve">Ideally, the retirement income system should be as simple to navigate as possible. Simpler systems are easier to understand and are more likely to lead to good decisions. </w:t>
          </w:r>
        </w:p>
        <w:p w14:paraId="05B53C9A" w14:textId="77777777" w:rsidR="00D178A4" w:rsidRPr="00027624" w:rsidRDefault="00D178A4" w:rsidP="00D178A4">
          <w:r w:rsidRPr="00027624">
            <w:t>However, producing adequate retirement outcomes in an equitable, sustainable and cohesive way requires input from Government, individuals and the private sector; pillars that span income support and the funds management industry; social transfers in kind that draw together services from across different systems; the tax system; and a multitude of trade</w:t>
          </w:r>
          <w:r w:rsidR="00A8443E" w:rsidRPr="00027624">
            <w:noBreakHyphen/>
          </w:r>
          <w:r w:rsidRPr="00027624">
            <w:t xml:space="preserve">offs. </w:t>
          </w:r>
        </w:p>
        <w:p w14:paraId="14E284D0" w14:textId="77777777" w:rsidR="00D178A4" w:rsidRPr="00027624" w:rsidRDefault="00D178A4" w:rsidP="00D178A4">
          <w:r w:rsidRPr="00027624">
            <w:t>Inevitably, the system will be complex. The issue is not whether the system itself is complex, but rather:</w:t>
          </w:r>
        </w:p>
        <w:p w14:paraId="510DE120" w14:textId="77777777" w:rsidR="00D178A4" w:rsidRPr="00027624" w:rsidRDefault="00D178A4" w:rsidP="00D178A4">
          <w:pPr>
            <w:pStyle w:val="Bullet"/>
          </w:pPr>
          <w:r w:rsidRPr="00027624">
            <w:t>Whether the system is unnecessarily complex</w:t>
          </w:r>
        </w:p>
        <w:p w14:paraId="1C825FFE" w14:textId="77777777" w:rsidR="00D178A4" w:rsidRPr="00027624" w:rsidRDefault="00D178A4" w:rsidP="00D178A4">
          <w:pPr>
            <w:pStyle w:val="Bullet"/>
          </w:pPr>
          <w:r w:rsidRPr="00027624">
            <w:t xml:space="preserve">Whether effective steps, including regulation, are taken to help people navigate the system to achieve good retirement outcomes </w:t>
          </w:r>
        </w:p>
        <w:p w14:paraId="50A9652B" w14:textId="77777777" w:rsidR="00D178A4" w:rsidRPr="00027624" w:rsidRDefault="00D178A4" w:rsidP="00D178A4">
          <w:pPr>
            <w:rPr>
              <w:rFonts w:eastAsia="Calibri"/>
            </w:rPr>
          </w:pPr>
          <w:r w:rsidRPr="00027624">
            <w:t xml:space="preserve">Complexity can arise slowly and unexpectedly, so regular stocktakes as to whether it is necessary are important. Government and the private sector have a role in </w:t>
          </w:r>
          <w:r w:rsidRPr="00027624">
            <w:rPr>
              <w:rFonts w:eastAsia="Calibri"/>
            </w:rPr>
            <w:t xml:space="preserve">developing tools or interfaces that bypass complexity and make it easier for individuals and households to engage with the system </w:t>
          </w:r>
          <w:r w:rsidRPr="00027624">
            <w:t xml:space="preserve">(see </w:t>
          </w:r>
          <w:r w:rsidRPr="00027624">
            <w:rPr>
              <w:i/>
            </w:rPr>
            <w:t>5A. Cohesion</w:t>
          </w:r>
          <w:r w:rsidRPr="00027624">
            <w:t>)</w:t>
          </w:r>
          <w:r w:rsidRPr="00027624">
            <w:rPr>
              <w:rFonts w:eastAsia="Calibri"/>
            </w:rPr>
            <w:t>.</w:t>
          </w:r>
          <w:bookmarkEnd w:id="286"/>
          <w:bookmarkEnd w:id="287"/>
          <w:bookmarkEnd w:id="288"/>
          <w:bookmarkEnd w:id="289"/>
          <w:bookmarkEnd w:id="290"/>
          <w:bookmarkEnd w:id="291"/>
        </w:p>
        <w:p w14:paraId="0D9B10EB" w14:textId="77777777" w:rsidR="00D178A4" w:rsidRPr="00027624" w:rsidRDefault="00D178A4" w:rsidP="00D178A4">
          <w:pPr>
            <w:pStyle w:val="Heading2"/>
          </w:pPr>
          <w:bookmarkStart w:id="292" w:name="_Toc45520439"/>
          <w:bookmarkStart w:id="293" w:name="_Toc46133550"/>
          <w:r w:rsidRPr="00027624">
            <w:lastRenderedPageBreak/>
            <w:t>Key considerations in approaching the elements</w:t>
          </w:r>
          <w:bookmarkEnd w:id="292"/>
          <w:bookmarkEnd w:id="293"/>
        </w:p>
        <w:p w14:paraId="10E4C93C" w14:textId="77777777" w:rsidR="00D178A4" w:rsidRPr="00027624" w:rsidRDefault="00D178A4" w:rsidP="00D178A4">
          <w:pPr>
            <w:rPr>
              <w:b/>
              <w:bCs/>
            </w:rPr>
          </w:pPr>
          <w:r w:rsidRPr="00027624">
            <w:rPr>
              <w:b/>
              <w:bCs/>
            </w:rPr>
            <w:t>The elements are interrelated</w:t>
          </w:r>
          <w:r w:rsidRPr="00027624">
            <w:rPr>
              <w:b/>
            </w:rPr>
            <w:t>.</w:t>
          </w:r>
          <w:r w:rsidRPr="00027624">
            <w:t xml:space="preserve"> For example, achieving adequate standard</w:t>
          </w:r>
          <w:r w:rsidR="00716B23" w:rsidRPr="00027624">
            <w:t>s</w:t>
          </w:r>
          <w:r w:rsidRPr="00027624">
            <w:t xml:space="preserve"> of living in retirement is inherently related to equity; namely, do all people have an equal opportunity to obtain adequate standard</w:t>
          </w:r>
          <w:r w:rsidR="00716B23" w:rsidRPr="00027624">
            <w:t>s</w:t>
          </w:r>
          <w:r w:rsidRPr="00027624">
            <w:t xml:space="preserve"> of living in retirement? Similarly, the standard of living being sought in retirement is closely connected to whether the system is sustainable.</w:t>
          </w:r>
        </w:p>
        <w:p w14:paraId="3408CFAD" w14:textId="77777777" w:rsidR="00D178A4" w:rsidRPr="00027624" w:rsidRDefault="00D178A4" w:rsidP="00D178A4">
          <w:r w:rsidRPr="00027624">
            <w:rPr>
              <w:b/>
            </w:rPr>
            <w:t>The elements should clearly focus on supporting a standard of living in retirement rather than on wealth accumulation in and of itself.</w:t>
          </w:r>
          <w:r w:rsidRPr="00027624">
            <w:t xml:space="preserve"> Stakeholders and previous studies overwhelmingly agree that the retirement income system should aim to produce income for consumption in retirement, and not be used as a vehicle for estate planning. </w:t>
          </w:r>
        </w:p>
        <w:p w14:paraId="5113E142" w14:textId="77777777" w:rsidR="00D178A4" w:rsidRPr="00027624" w:rsidRDefault="00D178A4" w:rsidP="00D178A4">
          <w:r w:rsidRPr="00027624">
            <w:rPr>
              <w:b/>
              <w:bCs/>
            </w:rPr>
            <w:t>Opinions differ over whether the adequacy elements of the system should be aspirational</w:t>
          </w:r>
          <w:r w:rsidRPr="00027624">
            <w:rPr>
              <w:b/>
            </w:rPr>
            <w:t>.</w:t>
          </w:r>
          <w:r w:rsidRPr="00027624">
            <w:t xml:space="preserve"> Some stakeholders recommended objectives such as achieving a </w:t>
          </w:r>
          <w:r w:rsidR="00A8443E" w:rsidRPr="00027624">
            <w:t>‘</w:t>
          </w:r>
          <w:r w:rsidRPr="00027624">
            <w:t>comfortable retirement</w:t>
          </w:r>
          <w:r w:rsidR="00A8443E" w:rsidRPr="00027624">
            <w:t>’</w:t>
          </w:r>
          <w:r w:rsidRPr="00027624">
            <w:t xml:space="preserve">, a </w:t>
          </w:r>
          <w:r w:rsidR="00A8443E" w:rsidRPr="00027624">
            <w:t>‘</w:t>
          </w:r>
          <w:r w:rsidRPr="00027624">
            <w:t>dignified retirement</w:t>
          </w:r>
          <w:r w:rsidR="00A8443E" w:rsidRPr="00027624">
            <w:t>’</w:t>
          </w:r>
          <w:r w:rsidRPr="00027624">
            <w:t xml:space="preserve"> and a </w:t>
          </w:r>
          <w:r w:rsidR="00A8443E" w:rsidRPr="00027624">
            <w:t>‘</w:t>
          </w:r>
          <w:r w:rsidRPr="00027624">
            <w:t>…retirement [people] want and deserve</w:t>
          </w:r>
          <w:r w:rsidR="00A8443E" w:rsidRPr="00027624">
            <w:t>’</w:t>
          </w:r>
          <w:r w:rsidRPr="00027624">
            <w:t>.</w:t>
          </w:r>
          <w:r w:rsidRPr="00027624">
            <w:rPr>
              <w:rStyle w:val="FootnoteReference"/>
            </w:rPr>
            <w:footnoteReference w:id="46"/>
          </w:r>
          <w:r w:rsidRPr="00027624">
            <w:t xml:space="preserve"> Often these suggested objectives result in target budget standards comprising a basket of goods and services (rather than replacement rates that compare income in working life with income in retirement). Other stakeholders pointed out that such aspirational objectives would involve many people having a higher income in retirement than they have in their working years, which may reduce their standard of living before retirement.</w:t>
          </w:r>
          <w:r w:rsidRPr="00027624">
            <w:rPr>
              <w:rStyle w:val="FootnoteReference"/>
            </w:rPr>
            <w:footnoteReference w:id="47"/>
          </w:r>
        </w:p>
        <w:p w14:paraId="02B590C6" w14:textId="77777777" w:rsidR="00D178A4" w:rsidRPr="00027624" w:rsidRDefault="00D178A4" w:rsidP="00D178A4">
          <w:r w:rsidRPr="00027624">
            <w:t>The degree to which an increase in the SG is considered to affect wages growth is critical to this issue. If the SG is not considered to reduce wages growth pre</w:t>
          </w:r>
          <w:r w:rsidR="00A8443E" w:rsidRPr="00027624">
            <w:noBreakHyphen/>
          </w:r>
          <w:r w:rsidRPr="00027624">
            <w:t>retirement, then the impact of aspirational retirement income objectives on pre</w:t>
          </w:r>
          <w:r w:rsidR="00A8443E" w:rsidRPr="00027624">
            <w:noBreakHyphen/>
          </w:r>
          <w:r w:rsidRPr="00027624">
            <w:t xml:space="preserve">retirement income is not an issue. </w:t>
          </w:r>
        </w:p>
        <w:p w14:paraId="0A7FAFB5" w14:textId="77777777" w:rsidR="00D178A4" w:rsidRPr="00027624" w:rsidRDefault="00D178A4" w:rsidP="00D178A4">
          <w:pPr>
            <w:pStyle w:val="Dash"/>
            <w:numPr>
              <w:ilvl w:val="1"/>
              <w:numId w:val="0"/>
            </w:numPr>
          </w:pPr>
          <w:r w:rsidRPr="00027624">
            <w:t>The report examines this issue in detail, concluding that the weight of evidence suggests increases in the SG have an impact on wages growth.</w:t>
          </w:r>
          <w:r w:rsidRPr="00027624">
            <w:rPr>
              <w:i/>
              <w:iCs/>
            </w:rPr>
            <w:t xml:space="preserve"> </w:t>
          </w:r>
          <w:r w:rsidRPr="00027624">
            <w:t>Budget standards do not measure the trade</w:t>
          </w:r>
          <w:r w:rsidR="00A8443E" w:rsidRPr="00027624">
            <w:noBreakHyphen/>
          </w:r>
          <w:r w:rsidRPr="00027624">
            <w:t>off between retirement and working</w:t>
          </w:r>
          <w:r w:rsidR="00A8443E" w:rsidRPr="00027624">
            <w:noBreakHyphen/>
          </w:r>
          <w:r w:rsidRPr="00027624">
            <w:t xml:space="preserve">life living standards. While a person can choose how much consumption to forgo to save for retirement, in a system based on compulsory superannuation, it would not be optimal to set a retirement objective that requires inappropriate sacrifices during working life (see </w:t>
          </w:r>
          <w:r w:rsidRPr="00027624">
            <w:rPr>
              <w:i/>
            </w:rPr>
            <w:t>2C. Maintaining standards of living in retirement</w:t>
          </w:r>
          <w:r w:rsidRPr="00027624">
            <w:t>).</w:t>
          </w:r>
        </w:p>
        <w:p w14:paraId="5F8479F0" w14:textId="77777777" w:rsidR="00D178A4" w:rsidRPr="00027624" w:rsidRDefault="00D178A4" w:rsidP="00D178A4">
          <w:r w:rsidRPr="00027624">
            <w:rPr>
              <w:b/>
              <w:bCs/>
            </w:rPr>
            <w:t>The system should be centred on achieving the best outcomes for individuals</w:t>
          </w:r>
          <w:r w:rsidRPr="00027624">
            <w:t>. Some stakeholders proposed that the retirement income system should explicitly aim to reduce the share of retirees drawing on the Age Pension.</w:t>
          </w:r>
          <w:r w:rsidRPr="00027624">
            <w:rPr>
              <w:rStyle w:val="FootnoteReference"/>
            </w:rPr>
            <w:footnoteReference w:id="48"/>
          </w:r>
          <w:r w:rsidRPr="00027624">
            <w:t xml:space="preserve"> This should not be an aim in itself. The system should prioritise individual outcomes above Government outcomes. If the system specifically aimed to reduce the share of retirees drawing on the Age Pension, optimal retirement outcomes would not necessarily be achieved. For example, such an objective could imply the Age Pension means tests be set so that as few people as possible would qualify. Government costs are best assessed by looking at the fiscal impact of the whole retirement income system. The proportion of the population receiving the Age Pension is only a proxy for the cost of one element of the system. While Government costs are an important consideration, they need to be considered holistically and in the context of the retirement outcomes they produce for individuals. </w:t>
          </w:r>
        </w:p>
        <w:p w14:paraId="7846CC15" w14:textId="77777777" w:rsidR="00D178A4" w:rsidRPr="00027624" w:rsidRDefault="00D178A4" w:rsidP="00D178A4">
          <w:pPr>
            <w:pStyle w:val="Heading2"/>
          </w:pPr>
          <w:bookmarkStart w:id="294" w:name="_Toc40251852"/>
          <w:bookmarkStart w:id="295" w:name="_Toc45520440"/>
          <w:bookmarkStart w:id="296" w:name="_Toc46133551"/>
          <w:r w:rsidRPr="00027624">
            <w:lastRenderedPageBreak/>
            <w:t>The roles of the Government, individuals and the private sector</w:t>
          </w:r>
          <w:bookmarkEnd w:id="294"/>
          <w:bookmarkEnd w:id="295"/>
          <w:bookmarkEnd w:id="296"/>
        </w:p>
        <w:p w14:paraId="4F1045BA" w14:textId="77777777" w:rsidR="00D178A4" w:rsidRPr="00027624" w:rsidRDefault="005A2BEB" w:rsidP="00D178A4">
          <w:r w:rsidRPr="00027624">
            <w:t>Achieving the objective</w:t>
          </w:r>
          <w:r w:rsidR="00D178A4" w:rsidRPr="00027624">
            <w:t xml:space="preserve"> of the retirement income system requires involvement by the Government, individuals and the private sector. This shared responsibility is reflected in the structure of the system. </w:t>
          </w:r>
        </w:p>
        <w:p w14:paraId="3E4FD367" w14:textId="77777777" w:rsidR="00D178A4" w:rsidRPr="00027624" w:rsidRDefault="00D178A4" w:rsidP="00D178A4">
          <w:pPr>
            <w:pStyle w:val="Heading3"/>
          </w:pPr>
          <w:bookmarkStart w:id="297" w:name="_Toc40251853"/>
          <w:r w:rsidRPr="00027624">
            <w:t>The Government</w:t>
          </w:r>
          <w:bookmarkEnd w:id="297"/>
        </w:p>
        <w:p w14:paraId="176DE04D" w14:textId="77777777" w:rsidR="00D178A4" w:rsidRPr="00027624" w:rsidRDefault="00D178A4" w:rsidP="00D178A4">
          <w:r w:rsidRPr="00027624">
            <w:t>The Government has the foundational role in the system of setting retirement income policy.</w:t>
          </w:r>
        </w:p>
        <w:p w14:paraId="6D42A131" w14:textId="77777777" w:rsidR="00D178A4" w:rsidRPr="00027624" w:rsidRDefault="00D178A4" w:rsidP="00D178A4">
          <w:r w:rsidRPr="00027624">
            <w:t>The Government guarantees a minimum standard of living in the form of the Age Pension, which also helps many low</w:t>
          </w:r>
          <w:r w:rsidR="00A8443E" w:rsidRPr="00027624">
            <w:noBreakHyphen/>
          </w:r>
          <w:r w:rsidRPr="00027624">
            <w:t xml:space="preserve"> and middle</w:t>
          </w:r>
          <w:r w:rsidR="00A8443E" w:rsidRPr="00027624">
            <w:noBreakHyphen/>
          </w:r>
          <w:r w:rsidRPr="00027624">
            <w:t xml:space="preserve">income people maintain their standard of living in retirement. In addition, the Age Pension helps insure against longevity, inflation and market risk. For many age pensioners who do not own their own home, </w:t>
          </w:r>
          <w:bookmarkStart w:id="298" w:name="_Hlk42349276"/>
          <w:r w:rsidRPr="00027624">
            <w:t xml:space="preserve">Commonwealth Rent Assistance </w:t>
          </w:r>
          <w:bookmarkEnd w:id="298"/>
          <w:r w:rsidRPr="00027624">
            <w:t>assists with their retirement outcomes. The Government also provides support via superannuation tax concessions.</w:t>
          </w:r>
        </w:p>
        <w:p w14:paraId="302ECFFC" w14:textId="77777777" w:rsidR="00D178A4" w:rsidRPr="00027624" w:rsidRDefault="00D178A4" w:rsidP="00D178A4">
          <w:r w:rsidRPr="00027624">
            <w:t>The Government compels employees to save a portion of their income via compulsory superannuation. Some stakeholders argue this compulsion implies the Government should take primary responsibility for appropriate default settings for the disengaged and regulating superannuation savings once invested</w:t>
          </w:r>
          <w:sdt>
            <w:sdtPr>
              <w:id w:val="-662778014"/>
              <w:citation/>
            </w:sdtPr>
            <w:sdtEndPr/>
            <w:sdtContent>
              <w:r w:rsidRPr="00027624">
                <w:fldChar w:fldCharType="begin"/>
              </w:r>
              <w:r w:rsidRPr="00027624">
                <w:instrText>CITATION Pro18 \t  \m Min14 \t  \m Min15 \n  \t  \l 3081  \m Fin04</w:instrText>
              </w:r>
              <w:r w:rsidRPr="00027624">
                <w:fldChar w:fldCharType="separate"/>
              </w:r>
              <w:r w:rsidR="00E83F6E">
                <w:rPr>
                  <w:noProof/>
                </w:rPr>
                <w:t xml:space="preserve"> (Productivity Commission, 2018a; Minifie, et al., 2014; 2015; Financial System Inquiry, 2014)</w:t>
              </w:r>
              <w:r w:rsidRPr="00027624">
                <w:fldChar w:fldCharType="end"/>
              </w:r>
            </w:sdtContent>
          </w:sdt>
          <w:r w:rsidRPr="00027624">
            <w:t xml:space="preserve">. </w:t>
          </w:r>
        </w:p>
        <w:p w14:paraId="0EEDC1B4" w14:textId="77777777" w:rsidR="00D178A4" w:rsidRPr="00027624" w:rsidRDefault="00D178A4" w:rsidP="00D178A4">
          <w:r w:rsidRPr="00027624">
            <w:t xml:space="preserve">As the custodian of policy, the Government is also responsible for ensuring retirement income policies are sustainable and cohesive. </w:t>
          </w:r>
        </w:p>
        <w:p w14:paraId="522CD0FC" w14:textId="77777777" w:rsidR="00D178A4" w:rsidRPr="00027624" w:rsidRDefault="00D178A4" w:rsidP="00D178A4">
          <w:pPr>
            <w:pStyle w:val="Heading3"/>
          </w:pPr>
          <w:bookmarkStart w:id="299" w:name="_Toc40251854"/>
          <w:r w:rsidRPr="00027624">
            <w:t>Individuals</w:t>
          </w:r>
          <w:bookmarkEnd w:id="299"/>
        </w:p>
        <w:p w14:paraId="1C5A2F09" w14:textId="77777777" w:rsidR="00D178A4" w:rsidRPr="00027624" w:rsidRDefault="00D178A4" w:rsidP="00D178A4">
          <w:r w:rsidRPr="00027624">
            <w:t>The Government</w:t>
          </w:r>
          <w:r w:rsidR="00A8443E" w:rsidRPr="00027624">
            <w:t>’</w:t>
          </w:r>
          <w:r w:rsidRPr="00027624">
            <w:t>s role (providing the Age Pension and compelling superannuation payments through the SG) could be seen to suggest that the role for individuals is limited to making voluntary savings for retirement. However, the individual</w:t>
          </w:r>
          <w:r w:rsidR="00A8443E" w:rsidRPr="00027624">
            <w:t>’</w:t>
          </w:r>
          <w:r w:rsidRPr="00027624">
            <w:t>s role is more substantial than this for several reasons.</w:t>
          </w:r>
        </w:p>
        <w:p w14:paraId="4ACB3DCB" w14:textId="77777777" w:rsidR="00D178A4" w:rsidRPr="00027624" w:rsidRDefault="00D178A4" w:rsidP="00D178A4">
          <w:r w:rsidRPr="00027624">
            <w:t>Not everyone is covered by the SG. For example, self</w:t>
          </w:r>
          <w:r w:rsidR="00A8443E" w:rsidRPr="00027624">
            <w:noBreakHyphen/>
          </w:r>
          <w:r w:rsidRPr="00027624">
            <w:t>employed people need to take a more active role in making retirement savings, particularly if they want to maintain their living standards at a level beyond what the Age Pension provides.</w:t>
          </w:r>
        </w:p>
        <w:p w14:paraId="720E6032" w14:textId="77777777" w:rsidR="00D178A4" w:rsidRPr="00027624" w:rsidRDefault="00D178A4" w:rsidP="00D178A4">
          <w:r w:rsidRPr="00027624">
            <w:t>Individuals bear the risks of adverse market outcomes or poor investment performance. Ideally, people should take an active interest in ensuring their finances are well</w:t>
          </w:r>
          <w:r w:rsidR="00A8443E" w:rsidRPr="00027624">
            <w:noBreakHyphen/>
          </w:r>
          <w:r w:rsidRPr="00027624">
            <w:t xml:space="preserve">positioned to manage these risks. Knowledge of the relative performance of their investments or the value of diversification can help people to achieve good retirement outcomes. </w:t>
          </w:r>
        </w:p>
        <w:p w14:paraId="2C8D5AFF" w14:textId="77777777" w:rsidR="00D178A4" w:rsidRPr="00027624" w:rsidRDefault="00D178A4" w:rsidP="00D178A4">
          <w:r w:rsidRPr="00027624">
            <w:t>Some stakeholders argued individuals have a responsibility to take an active role in managing their superannuation in the accumulation phase, whether compulsory or voluntary.</w:t>
          </w:r>
          <w:r w:rsidRPr="00027624">
            <w:rPr>
              <w:rStyle w:val="FootnoteReference"/>
            </w:rPr>
            <w:footnoteReference w:id="49"/>
          </w:r>
          <w:r w:rsidRPr="00027624">
            <w:t xml:space="preserve"> Although this is desirable, it comes with many obstacles. The system is inherently complex and not all working Australians can understand complex financial products. The Productivity Commission </w:t>
          </w:r>
          <w:sdt>
            <w:sdtPr>
              <w:id w:val="204993656"/>
              <w:citation/>
            </w:sdtPr>
            <w:sdtEndPr/>
            <w:sdtContent>
              <w:r w:rsidRPr="00027624">
                <w:fldChar w:fldCharType="begin"/>
              </w:r>
              <w:r w:rsidRPr="00027624">
                <w:instrText xml:space="preserve">CITATION Pro18 \n  \t  \l 3081 </w:instrText>
              </w:r>
              <w:r w:rsidRPr="00027624">
                <w:fldChar w:fldCharType="separate"/>
              </w:r>
              <w:r w:rsidR="00E83F6E">
                <w:rPr>
                  <w:noProof/>
                </w:rPr>
                <w:t>(2018a)</w:t>
              </w:r>
              <w:r w:rsidRPr="00027624">
                <w:fldChar w:fldCharType="end"/>
              </w:r>
            </w:sdtContent>
          </w:sdt>
          <w:r w:rsidRPr="00027624">
            <w:t xml:space="preserve"> found a significant share of Australians either cannot or will not actively manage their superannuation. This underlines the importance of strong default settings that protect those who are unable or unwilling to engage. </w:t>
          </w:r>
        </w:p>
        <w:p w14:paraId="45E8B3CA" w14:textId="77777777" w:rsidR="00D178A4" w:rsidRPr="00027624" w:rsidRDefault="00D178A4" w:rsidP="00D178A4">
          <w:r w:rsidRPr="00027624">
            <w:t xml:space="preserve">Defaults can, however, encourage disengagement. Improving financial literacy and understanding of superannuation is important to allow people to take an active and informed interest in their </w:t>
          </w:r>
          <w:r w:rsidRPr="00027624">
            <w:lastRenderedPageBreak/>
            <w:t xml:space="preserve">retirement savings. The Productivity Commission </w:t>
          </w:r>
          <w:sdt>
            <w:sdtPr>
              <w:id w:val="1454748957"/>
              <w:citation/>
            </w:sdtPr>
            <w:sdtEndPr/>
            <w:sdtContent>
              <w:r w:rsidRPr="00027624">
                <w:fldChar w:fldCharType="begin"/>
              </w:r>
              <w:r w:rsidRPr="00027624">
                <w:instrText xml:space="preserve">CITATION Pro18 \n  \t  \l 3081 </w:instrText>
              </w:r>
              <w:r w:rsidRPr="00027624">
                <w:fldChar w:fldCharType="separate"/>
              </w:r>
              <w:r w:rsidR="00E83F6E">
                <w:rPr>
                  <w:noProof/>
                </w:rPr>
                <w:t>(2018a)</w:t>
              </w:r>
              <w:r w:rsidRPr="00027624">
                <w:fldChar w:fldCharType="end"/>
              </w:r>
            </w:sdtContent>
          </w:sdt>
          <w:r w:rsidRPr="00027624">
            <w:t xml:space="preserve"> suggested default settings be set to encourage people to make active choices while also protecting those who do not.</w:t>
          </w:r>
        </w:p>
        <w:p w14:paraId="0B462D58" w14:textId="77777777" w:rsidR="00D178A4" w:rsidRPr="00027624" w:rsidRDefault="00D178A4">
          <w:r w:rsidRPr="00027624">
            <w:t>Individuals need to take a more active role when they retire, in particular, using accumulated superannuation balances and other savings to support their standard of living in retirement. This means people need to have the confidence to draw down their savings in retirement. In doing so, they will have to assess products that will help manage market and longevity risks. Here, the private sector plays an important role, particularly in providing financial advice, guidance and information.</w:t>
          </w:r>
        </w:p>
        <w:p w14:paraId="1E463E18" w14:textId="77777777" w:rsidR="00D178A4" w:rsidRPr="00027624" w:rsidRDefault="00D178A4" w:rsidP="00D178A4">
          <w:pPr>
            <w:pStyle w:val="Heading3"/>
          </w:pPr>
          <w:bookmarkStart w:id="300" w:name="_Toc40251855"/>
          <w:r w:rsidRPr="00027624">
            <w:t>The private sector</w:t>
          </w:r>
          <w:bookmarkEnd w:id="300"/>
        </w:p>
        <w:p w14:paraId="07C8F03F" w14:textId="77777777" w:rsidR="00D178A4" w:rsidRPr="00027624" w:rsidRDefault="00D178A4" w:rsidP="00D178A4">
          <w:r w:rsidRPr="00027624">
            <w:t>Private sector participants in the retirement income system include, most notably, employers, superannuation funds and financial advisers.</w:t>
          </w:r>
        </w:p>
        <w:p w14:paraId="42B545FA" w14:textId="77777777" w:rsidR="00D178A4" w:rsidRPr="00027624" w:rsidRDefault="00D178A4" w:rsidP="00D178A4">
          <w:r w:rsidRPr="00027624">
            <w:rPr>
              <w:b/>
              <w:bCs/>
            </w:rPr>
            <w:t>Employers</w:t>
          </w:r>
          <w:r w:rsidRPr="00027624">
            <w:t xml:space="preserve"> are required to fulfil their obligations under the </w:t>
          </w:r>
          <w:r w:rsidRPr="00027624">
            <w:rPr>
              <w:i/>
              <w:iCs/>
            </w:rPr>
            <w:t xml:space="preserve">Superannuation Guarantee (Administration) Act 1992 </w:t>
          </w:r>
          <w:r w:rsidRPr="00027624">
            <w:t>(or under industrial agreements in many cases)</w:t>
          </w:r>
          <w:r w:rsidRPr="00027624">
            <w:rPr>
              <w:i/>
              <w:iCs/>
            </w:rPr>
            <w:t xml:space="preserve"> </w:t>
          </w:r>
          <w:r w:rsidRPr="00027624">
            <w:t xml:space="preserve">to make superannuation contributions on behalf of their employees. Some employers are also required to select a default fund for their employees. It has been recommended that this decision should rest elsewhere as employers are not optimally positioned for this role </w:t>
          </w:r>
          <w:sdt>
            <w:sdtPr>
              <w:id w:val="-1509206922"/>
              <w:citation/>
            </w:sdtPr>
            <w:sdtEndPr/>
            <w:sdtContent>
              <w:r w:rsidRPr="00027624">
                <w:fldChar w:fldCharType="begin"/>
              </w:r>
              <w:r w:rsidRPr="00027624">
                <w:instrText xml:space="preserve">CITATION Pro18 \t  \l 3081 </w:instrText>
              </w:r>
              <w:r w:rsidRPr="00027624">
                <w:fldChar w:fldCharType="separate"/>
              </w:r>
              <w:r w:rsidR="00E83F6E">
                <w:rPr>
                  <w:noProof/>
                </w:rPr>
                <w:t>(Productivity Commission, 2018a)</w:t>
              </w:r>
              <w:r w:rsidRPr="00027624">
                <w:fldChar w:fldCharType="end"/>
              </w:r>
            </w:sdtContent>
          </w:sdt>
          <w:r w:rsidRPr="00027624">
            <w:t>.</w:t>
          </w:r>
        </w:p>
        <w:p w14:paraId="3F4A5E4A" w14:textId="77777777" w:rsidR="00D178A4" w:rsidRPr="00027624" w:rsidRDefault="00D178A4" w:rsidP="00D178A4">
          <w:r w:rsidRPr="00027624">
            <w:t xml:space="preserve">Broadly, the role for </w:t>
          </w:r>
          <w:r w:rsidRPr="00027624">
            <w:rPr>
              <w:b/>
              <w:bCs/>
            </w:rPr>
            <w:t>superannuation funds</w:t>
          </w:r>
          <w:r w:rsidRPr="00027624">
            <w:t xml:space="preserve"> is codified in legislation as acting in their members</w:t>
          </w:r>
          <w:r w:rsidR="00A8443E" w:rsidRPr="00027624">
            <w:t>’</w:t>
          </w:r>
          <w:r w:rsidRPr="00027624">
            <w:t xml:space="preserve"> best interests with the sole purpose of providing retirement benefits. What this means in practice has been interpreted differently by different parties </w:t>
          </w:r>
          <w:sdt>
            <w:sdtPr>
              <w:id w:val="-459260987"/>
              <w:citation/>
            </w:sdtPr>
            <w:sdtEndPr/>
            <w:sdtContent>
              <w:r w:rsidRPr="00027624">
                <w:fldChar w:fldCharType="begin"/>
              </w:r>
              <w:r w:rsidRPr="00027624">
                <w:instrText>CITATION Pro18 \l 3081  \m Hay19</w:instrText>
              </w:r>
              <w:r w:rsidRPr="00027624">
                <w:fldChar w:fldCharType="separate"/>
              </w:r>
              <w:r w:rsidR="00E83F6E">
                <w:rPr>
                  <w:noProof/>
                </w:rPr>
                <w:t>(Productivity Commission, 2018a; Royal Commission into Misconduct in the Banking, Superannuation and Financial Services Industry, 2019)</w:t>
              </w:r>
              <w:r w:rsidRPr="00027624">
                <w:fldChar w:fldCharType="end"/>
              </w:r>
            </w:sdtContent>
          </w:sdt>
          <w:r w:rsidRPr="00027624">
            <w:t xml:space="preserve">. Changes stemming from the </w:t>
          </w:r>
          <w:r w:rsidRPr="00027624">
            <w:rPr>
              <w:i/>
            </w:rPr>
            <w:t xml:space="preserve">Royal Commission into Misconduct in the Banking, Superannuation and Financial Services Industry </w:t>
          </w:r>
          <w:r w:rsidRPr="00027624">
            <w:t>aim to ensure these obligations are consistently enforced by regulators.</w:t>
          </w:r>
        </w:p>
        <w:bookmarkEnd w:id="264"/>
        <w:bookmarkEnd w:id="265"/>
        <w:bookmarkEnd w:id="266"/>
        <w:bookmarkEnd w:id="267"/>
        <w:bookmarkEnd w:id="268"/>
        <w:bookmarkEnd w:id="269"/>
        <w:p w14:paraId="231007E3" w14:textId="77777777" w:rsidR="00D178A4" w:rsidRPr="00027624" w:rsidRDefault="00D178A4" w:rsidP="00D178A4">
          <w:pPr>
            <w:pStyle w:val="Dash"/>
            <w:numPr>
              <w:ilvl w:val="1"/>
              <w:numId w:val="0"/>
            </w:numPr>
            <w:spacing w:after="240"/>
          </w:pPr>
          <w:r w:rsidRPr="00027624">
            <w:t>The private sector also helps to manage risks for individuals and households. With balances at retirement continuing to grow as the superannuation system matures, greater innovation is needed to deliver retirement incomes that meet retirees</w:t>
          </w:r>
          <w:r w:rsidR="00A8443E" w:rsidRPr="00027624">
            <w:t>’</w:t>
          </w:r>
          <w:r w:rsidRPr="00027624">
            <w:t xml:space="preserve"> needs. The proposed Retirement Income Covenant would require </w:t>
          </w:r>
          <w:r w:rsidRPr="00027624">
            <w:rPr>
              <w:b/>
              <w:bCs/>
            </w:rPr>
            <w:t>superannuation funds</w:t>
          </w:r>
          <w:r w:rsidRPr="00027624">
            <w:t xml:space="preserve"> to play a larger role in longevity and market risk management for members in retirement. The role of quality advice and guidance in helping individuals manage these risks will become increasing important (see</w:t>
          </w:r>
          <w:r w:rsidRPr="00027624">
            <w:rPr>
              <w:i/>
              <w:iCs/>
            </w:rPr>
            <w:t xml:space="preserve"> 5A. Cohesion</w:t>
          </w:r>
          <w:r w:rsidRPr="00027624">
            <w:t>).</w:t>
          </w:r>
        </w:p>
        <w:p w14:paraId="390B627C" w14:textId="77777777" w:rsidR="00D178A4" w:rsidRPr="00027624" w:rsidRDefault="00D178A4" w:rsidP="00D178A4">
          <w:pPr>
            <w:pStyle w:val="Heading2"/>
          </w:pPr>
          <w:bookmarkStart w:id="301" w:name="_Toc40251856"/>
          <w:bookmarkStart w:id="302" w:name="_Toc45520441"/>
          <w:bookmarkStart w:id="303" w:name="_Toc46133552"/>
          <w:r w:rsidRPr="00027624">
            <w:t>The roles of the pillars</w:t>
          </w:r>
          <w:bookmarkEnd w:id="301"/>
          <w:bookmarkEnd w:id="302"/>
          <w:bookmarkEnd w:id="303"/>
          <w:r w:rsidRPr="00027624">
            <w:t xml:space="preserve"> </w:t>
          </w:r>
        </w:p>
        <w:p w14:paraId="04CE12C8" w14:textId="77777777" w:rsidR="00D178A4" w:rsidRPr="00027624" w:rsidRDefault="00D178A4" w:rsidP="00D178A4">
          <w:r w:rsidRPr="00027624">
            <w:t>Views differ as to what constitutes the retirement income system. The terms of reference for the review refer to its three pillars: the Age Pension; compulsory superannuation; and voluntary savings, including voluntary superannuation contributions and home ownership. Several submissions suggested more pillars, ranging from work in retirement,</w:t>
          </w:r>
          <w:r w:rsidRPr="00027624">
            <w:rPr>
              <w:rStyle w:val="FootnoteReference"/>
            </w:rPr>
            <w:footnoteReference w:id="50"/>
          </w:r>
          <w:r w:rsidRPr="00027624">
            <w:t xml:space="preserve"> non</w:t>
          </w:r>
          <w:r w:rsidR="00A8443E" w:rsidRPr="00027624">
            <w:noBreakHyphen/>
          </w:r>
          <w:r w:rsidRPr="00027624">
            <w:t>financial arrangements,</w:t>
          </w:r>
          <w:r w:rsidRPr="00027624">
            <w:rPr>
              <w:rStyle w:val="FootnoteReference"/>
            </w:rPr>
            <w:footnoteReference w:id="51"/>
          </w:r>
          <w:r w:rsidRPr="00027624">
            <w:t xml:space="preserve"> Jobseeker Allowance (formerly Newstart) for the involuntarily retired,</w:t>
          </w:r>
          <w:r w:rsidRPr="00027624">
            <w:rPr>
              <w:rStyle w:val="FootnoteReference"/>
            </w:rPr>
            <w:footnoteReference w:id="52"/>
          </w:r>
          <w:r w:rsidRPr="00027624">
            <w:t xml:space="preserve"> private intergenerational transfers</w:t>
          </w:r>
          <w:r w:rsidRPr="00027624">
            <w:rPr>
              <w:rStyle w:val="FootnoteReference"/>
            </w:rPr>
            <w:footnoteReference w:id="53"/>
          </w:r>
          <w:r w:rsidRPr="00027624">
            <w:t xml:space="preserve"> and health and long</w:t>
          </w:r>
          <w:r w:rsidR="00A8443E" w:rsidRPr="00027624">
            <w:noBreakHyphen/>
          </w:r>
          <w:r w:rsidRPr="00027624">
            <w:t>term care.</w:t>
          </w:r>
          <w:r w:rsidRPr="00027624">
            <w:rPr>
              <w:rStyle w:val="FootnoteReference"/>
            </w:rPr>
            <w:footnoteReference w:id="54"/>
          </w:r>
        </w:p>
        <w:p w14:paraId="70B32D10" w14:textId="77777777" w:rsidR="00D178A4" w:rsidRPr="00027624" w:rsidRDefault="00D178A4" w:rsidP="00D178A4">
          <w:r w:rsidRPr="00027624">
            <w:t xml:space="preserve">The World Bank </w:t>
          </w:r>
          <w:sdt>
            <w:sdtPr>
              <w:id w:val="-371693243"/>
              <w:citation/>
            </w:sdtPr>
            <w:sdtEndPr/>
            <w:sdtContent>
              <w:r w:rsidRPr="00027624">
                <w:fldChar w:fldCharType="begin"/>
              </w:r>
              <w:r w:rsidRPr="00027624">
                <w:instrText xml:space="preserve">CITATION Wor08 \n  \t  \l 3081 </w:instrText>
              </w:r>
              <w:r w:rsidRPr="00027624">
                <w:fldChar w:fldCharType="separate"/>
              </w:r>
              <w:r w:rsidR="00E83F6E">
                <w:rPr>
                  <w:noProof/>
                </w:rPr>
                <w:t>(2008)</w:t>
              </w:r>
              <w:r w:rsidRPr="00027624">
                <w:fldChar w:fldCharType="end"/>
              </w:r>
            </w:sdtContent>
          </w:sdt>
          <w:r w:rsidRPr="00027624">
            <w:t xml:space="preserve"> proposes a five</w:t>
          </w:r>
          <w:r w:rsidR="00A8443E" w:rsidRPr="00027624">
            <w:noBreakHyphen/>
          </w:r>
          <w:r w:rsidRPr="00027624">
            <w:t xml:space="preserve">pillar framework that includes social transfers in kind outside the formal pension system. Social transfers in kind are a significant factor influencing retirement outcomes. All sources of income and support that people can draw on to support their standard of living in retirement are important and should be considered. </w:t>
          </w:r>
        </w:p>
        <w:p w14:paraId="24D4B7AC" w14:textId="77777777" w:rsidR="00D178A4" w:rsidRPr="00027624" w:rsidRDefault="00D178A4" w:rsidP="00D178A4">
          <w:r w:rsidRPr="00027624">
            <w:lastRenderedPageBreak/>
            <w:t>The re</w:t>
          </w:r>
          <w:r w:rsidRPr="00027624">
            <w:rPr>
              <w:iCs/>
            </w:rPr>
            <w:t>view</w:t>
          </w:r>
          <w:r w:rsidRPr="00027624">
            <w:t xml:space="preserve"> focused on the three pillars identified in its terms of reference. These pillars involve measures by the Government specifically aimed at supporting incomes in retirement by:</w:t>
          </w:r>
        </w:p>
        <w:p w14:paraId="0F971AE1" w14:textId="77777777" w:rsidR="00D178A4" w:rsidRPr="00027624" w:rsidRDefault="00D178A4" w:rsidP="00D178A4">
          <w:pPr>
            <w:pStyle w:val="Bullet"/>
          </w:pPr>
          <w:r w:rsidRPr="00027624">
            <w:t>Directly funding eligible people through the Age Pension</w:t>
          </w:r>
        </w:p>
        <w:p w14:paraId="32EED19A" w14:textId="77777777" w:rsidR="00D178A4" w:rsidRPr="00027624" w:rsidRDefault="00D178A4" w:rsidP="00D178A4">
          <w:pPr>
            <w:pStyle w:val="Bullet"/>
          </w:pPr>
          <w:r w:rsidRPr="00027624">
            <w:t>Requiring people to contribute a proportion of their wages to superannuation</w:t>
          </w:r>
        </w:p>
        <w:p w14:paraId="0EEBCCB3" w14:textId="77777777" w:rsidR="00D178A4" w:rsidRPr="00027624" w:rsidRDefault="00D178A4" w:rsidP="00D178A4">
          <w:pPr>
            <w:pStyle w:val="Bullet"/>
          </w:pPr>
          <w:r w:rsidRPr="00027624">
            <w:t>Providing tax advantages to encourage voluntary contributions to superannuation</w:t>
          </w:r>
        </w:p>
        <w:p w14:paraId="0718BB02" w14:textId="77777777" w:rsidR="00D178A4" w:rsidRPr="00027624" w:rsidRDefault="00D178A4" w:rsidP="00D178A4">
          <w:r w:rsidRPr="00027624">
            <w:t>Owner</w:t>
          </w:r>
          <w:r w:rsidR="00A8443E" w:rsidRPr="00027624">
            <w:noBreakHyphen/>
          </w:r>
          <w:r w:rsidRPr="00027624">
            <w:t xml:space="preserve">occupied housing is an important component of voluntary savings. It is supported by a range of government policies, including exemptions from much taxation and means testing. Home ownership reduces housing costs for most retirees and creates an asset that can be drawn on to supplement retirement income. For most retirees, the home is their largest form of saving (see </w:t>
          </w:r>
          <w:r w:rsidRPr="00027624">
            <w:rPr>
              <w:i/>
            </w:rPr>
            <w:t>1B. Design of Australia</w:t>
          </w:r>
          <w:r w:rsidR="00A8443E" w:rsidRPr="00027624">
            <w:rPr>
              <w:i/>
            </w:rPr>
            <w:t>’</w:t>
          </w:r>
          <w:r w:rsidRPr="00027624">
            <w:rPr>
              <w:i/>
            </w:rPr>
            <w:t>s retirement income system</w:t>
          </w:r>
          <w:r w:rsidRPr="00027624">
            <w:t>).</w:t>
          </w:r>
        </w:p>
        <w:p w14:paraId="5ACAF63F" w14:textId="77777777" w:rsidR="00D178A4" w:rsidRPr="00027624" w:rsidRDefault="00D178A4" w:rsidP="00D178A4">
          <w:r w:rsidRPr="00027624">
            <w:t>Regardless of their number, the retirement income system pillars should be well</w:t>
          </w:r>
          <w:r w:rsidR="00A8443E" w:rsidRPr="00027624">
            <w:noBreakHyphen/>
          </w:r>
          <w:r w:rsidRPr="00027624">
            <w:t xml:space="preserve">integrated and operating coherently as a </w:t>
          </w:r>
          <w:r w:rsidR="00A8443E" w:rsidRPr="00027624">
            <w:t>‘</w:t>
          </w:r>
          <w:r w:rsidRPr="00027624">
            <w:t>system</w:t>
          </w:r>
          <w:r w:rsidR="00A8443E" w:rsidRPr="00027624">
            <w:t>’</w:t>
          </w:r>
          <w:r w:rsidRPr="00027624">
            <w:t>. Therefore, pillar roles are best thought of as partial and may not be clearly distinct from one another. They should not be considered in isolation. Several stakeholders echoed this sentiment.</w:t>
          </w:r>
          <w:r w:rsidRPr="00027624">
            <w:rPr>
              <w:rStyle w:val="FootnoteReference"/>
            </w:rPr>
            <w:footnoteReference w:id="55"/>
          </w:r>
          <w:r w:rsidRPr="00027624">
            <w:t xml:space="preserve"> </w:t>
          </w:r>
        </w:p>
        <w:p w14:paraId="3755A368" w14:textId="77777777" w:rsidR="00D178A4" w:rsidRPr="00027624" w:rsidRDefault="00D178A4" w:rsidP="00D178A4">
          <w:r w:rsidRPr="00027624">
            <w:t>Following is an assessment of some of the factors to consider when determining each pillar</w:t>
          </w:r>
          <w:r w:rsidR="00A8443E" w:rsidRPr="00027624">
            <w:t>’</w:t>
          </w:r>
          <w:r w:rsidRPr="00027624">
            <w:t>s role. As mentioned above, the exact role that each pillar should</w:t>
          </w:r>
          <w:r w:rsidRPr="00027624">
            <w:rPr>
              <w:i/>
            </w:rPr>
            <w:t xml:space="preserve"> </w:t>
          </w:r>
          <w:r w:rsidRPr="00027624">
            <w:t>play is a function of the system objective, which is ultimately for the community to endorse through the Government.</w:t>
          </w:r>
        </w:p>
        <w:p w14:paraId="6B6AA26C" w14:textId="77777777" w:rsidR="00D178A4" w:rsidRPr="00027624" w:rsidRDefault="00D178A4" w:rsidP="00D178A4">
          <w:pPr>
            <w:pStyle w:val="Heading3"/>
          </w:pPr>
          <w:bookmarkStart w:id="304" w:name="_Toc40251857"/>
          <w:r w:rsidRPr="00027624">
            <w:t>The Age Pension</w:t>
          </w:r>
          <w:bookmarkEnd w:id="304"/>
        </w:p>
        <w:p w14:paraId="74E5FAAC" w14:textId="77777777" w:rsidR="00D178A4" w:rsidRPr="00027624" w:rsidRDefault="00D178A4" w:rsidP="00D178A4">
          <w:r w:rsidRPr="00027624">
            <w:t xml:space="preserve">The Age Pension serves two key roles: </w:t>
          </w:r>
        </w:p>
        <w:p w14:paraId="35CE98FD" w14:textId="77777777" w:rsidR="00D178A4" w:rsidRPr="00027624" w:rsidRDefault="00D178A4" w:rsidP="00325A8D">
          <w:pPr>
            <w:numPr>
              <w:ilvl w:val="0"/>
              <w:numId w:val="19"/>
            </w:numPr>
          </w:pPr>
          <w:r w:rsidRPr="00027624">
            <w:t>Providing a safety net for those Australians who do not have the financial means to support a minimum standard of living in retirement.</w:t>
          </w:r>
        </w:p>
        <w:p w14:paraId="51CFE92B" w14:textId="77777777" w:rsidR="00D178A4" w:rsidRPr="00027624" w:rsidRDefault="00D178A4" w:rsidP="00325A8D">
          <w:pPr>
            <w:numPr>
              <w:ilvl w:val="0"/>
              <w:numId w:val="19"/>
            </w:numPr>
          </w:pPr>
          <w:r w:rsidRPr="00027624">
            <w:t>Supplementing the retirement incomes of a large proportion of low</w:t>
          </w:r>
          <w:r w:rsidR="00A8443E" w:rsidRPr="00027624">
            <w:noBreakHyphen/>
          </w:r>
          <w:r w:rsidRPr="00027624">
            <w:t xml:space="preserve"> and middle</w:t>
          </w:r>
          <w:r w:rsidR="00A8443E" w:rsidRPr="00027624">
            <w:noBreakHyphen/>
          </w:r>
          <w:r w:rsidRPr="00027624">
            <w:t xml:space="preserve">income retirees. </w:t>
          </w:r>
        </w:p>
        <w:p w14:paraId="3030E67F" w14:textId="77777777" w:rsidR="00D178A4" w:rsidRPr="00027624" w:rsidRDefault="00D178A4" w:rsidP="00D178A4">
          <w:r w:rsidRPr="00027624">
            <w:t xml:space="preserve">In both these roles, the Age Pension reduces income inequality in retirement (see </w:t>
          </w:r>
          <w:r w:rsidRPr="00027624">
            <w:rPr>
              <w:i/>
            </w:rPr>
            <w:t>3A. Income and wealth distribution</w:t>
          </w:r>
          <w:r w:rsidRPr="00027624">
            <w:t>). Balancing these roles revolves around the targeting of the Age Pension. Targeting could primarily aim to provide a safety net or aim to play an expanded role in supplementing the income of low</w:t>
          </w:r>
          <w:r w:rsidR="00A8443E" w:rsidRPr="00027624">
            <w:noBreakHyphen/>
          </w:r>
          <w:r w:rsidRPr="00027624">
            <w:t xml:space="preserve"> to middle</w:t>
          </w:r>
          <w:r w:rsidR="00A8443E" w:rsidRPr="00027624">
            <w:noBreakHyphen/>
          </w:r>
          <w:r w:rsidRPr="00027624">
            <w:t xml:space="preserve">income people and help them maintain their living standards in retirement. </w:t>
          </w:r>
        </w:p>
        <w:p w14:paraId="5F0761BD" w14:textId="77777777" w:rsidR="00D178A4" w:rsidRPr="00027624" w:rsidRDefault="00D178A4" w:rsidP="00D178A4">
          <w:r w:rsidRPr="00027624">
            <w:t>Determining this balance will depend on the relative effectiveness, including cost</w:t>
          </w:r>
          <w:r w:rsidR="00A8443E" w:rsidRPr="00027624">
            <w:noBreakHyphen/>
          </w:r>
          <w:r w:rsidRPr="00027624">
            <w:t>effectiveness, of the Age Pension and the other pillars.</w:t>
          </w:r>
        </w:p>
        <w:p w14:paraId="393D7411" w14:textId="77777777" w:rsidR="00D178A4" w:rsidRPr="00027624" w:rsidRDefault="00D178A4" w:rsidP="00D178A4">
          <w:pPr>
            <w:pStyle w:val="Heading4"/>
          </w:pPr>
          <w:bookmarkStart w:id="305" w:name="_Toc40251858"/>
          <w:r w:rsidRPr="00027624">
            <w:t>A safety net level of income</w:t>
          </w:r>
          <w:bookmarkEnd w:id="305"/>
        </w:p>
        <w:p w14:paraId="059A72F1" w14:textId="77777777" w:rsidR="00D178A4" w:rsidRPr="00027624" w:rsidRDefault="00D178A4" w:rsidP="00D178A4">
          <w:r w:rsidRPr="00027624">
            <w:t>Stakeholders had diverse views about the level of income the Age Pension should provide. Many stakeholders suggested the Age Pension</w:t>
          </w:r>
          <w:r w:rsidR="00A8443E" w:rsidRPr="00027624">
            <w:t>’</w:t>
          </w:r>
          <w:r w:rsidRPr="00027624">
            <w:t>s role is poverty alleviation.</w:t>
          </w:r>
          <w:r w:rsidRPr="00027624">
            <w:rPr>
              <w:rStyle w:val="FootnoteReference"/>
            </w:rPr>
            <w:footnoteReference w:id="56"/>
          </w:r>
          <w:r w:rsidRPr="00027624">
            <w:t xml:space="preserve"> However, using poverty alleviation as the basis for the Age Pension is complicated by the various poverty definitions available: some are absolute budget measures, and some are relative to prevailing living standards (see</w:t>
          </w:r>
          <w:r w:rsidRPr="00027624">
            <w:rPr>
              <w:i/>
            </w:rPr>
            <w:t xml:space="preserve"> 2A. Achieving a minimum standard of living in retirement</w:t>
          </w:r>
          <w:r w:rsidRPr="00027624">
            <w:t xml:space="preserve">). </w:t>
          </w:r>
        </w:p>
        <w:p w14:paraId="113834F6" w14:textId="77777777" w:rsidR="00D178A4" w:rsidRPr="00027624" w:rsidRDefault="00D178A4" w:rsidP="00D178A4">
          <w:r w:rsidRPr="00027624">
            <w:t xml:space="preserve">Previous work has suggested the safety net role of the Age Pension is </w:t>
          </w:r>
          <w:r w:rsidRPr="00027624">
            <w:rPr>
              <w:i/>
              <w:iCs/>
            </w:rPr>
            <w:t>at least</w:t>
          </w:r>
          <w:r w:rsidRPr="00027624">
            <w:t xml:space="preserve"> poverty alleviation by some relative measure, if not to provide a standard of living somewhere above this. </w:t>
          </w:r>
          <w:r w:rsidRPr="00027624">
            <w:rPr>
              <w:i/>
            </w:rPr>
            <w:t xml:space="preserve">The Pension Review </w:t>
          </w:r>
          <w:sdt>
            <w:sdtPr>
              <w:id w:val="-465898725"/>
              <w:citation/>
            </w:sdtPr>
            <w:sdtEndPr/>
            <w:sdtContent>
              <w:r w:rsidRPr="00027624">
                <w:fldChar w:fldCharType="begin"/>
              </w:r>
              <w:r w:rsidRPr="00027624">
                <w:instrText xml:space="preserve">CITATION Har09 \n  \t  \l 3081 </w:instrText>
              </w:r>
              <w:r w:rsidRPr="00027624">
                <w:fldChar w:fldCharType="separate"/>
              </w:r>
              <w:r w:rsidR="00E83F6E">
                <w:rPr>
                  <w:noProof/>
                </w:rPr>
                <w:t>(2009)</w:t>
              </w:r>
              <w:r w:rsidRPr="00027624">
                <w:fldChar w:fldCharType="end"/>
              </w:r>
            </w:sdtContent>
          </w:sdt>
          <w:r w:rsidRPr="00027624">
            <w:t xml:space="preserve"> (the Harmer Review) suggested the role of the Age Pension is to provide a basic, </w:t>
          </w:r>
          <w:r w:rsidRPr="00027624">
            <w:lastRenderedPageBreak/>
            <w:t xml:space="preserve">acceptable standard of living, accounting for prevailing living standards. The Henry Review </w:t>
          </w:r>
          <w:sdt>
            <w:sdtPr>
              <w:id w:val="617039523"/>
              <w:citation/>
            </w:sdtPr>
            <w:sdtEndPr/>
            <w:sdtContent>
              <w:r w:rsidRPr="00027624">
                <w:fldChar w:fldCharType="begin"/>
              </w:r>
              <w:r w:rsidRPr="00027624">
                <w:instrText xml:space="preserve">CITATION Hen09 \n  \t  \l 3081 </w:instrText>
              </w:r>
              <w:r w:rsidRPr="00027624">
                <w:fldChar w:fldCharType="separate"/>
              </w:r>
              <w:r w:rsidR="00E83F6E">
                <w:rPr>
                  <w:noProof/>
                </w:rPr>
                <w:t>(2009)</w:t>
              </w:r>
              <w:r w:rsidRPr="00027624">
                <w:fldChar w:fldCharType="end"/>
              </w:r>
            </w:sdtContent>
          </w:sdt>
          <w:r w:rsidRPr="00027624">
            <w:t xml:space="preserve"> suggested the Age Pension be enough to provide a reasonable minimum standard of living. </w:t>
          </w:r>
        </w:p>
        <w:p w14:paraId="345477B1" w14:textId="77777777" w:rsidR="00D178A4" w:rsidRPr="00027624" w:rsidRDefault="00D178A4" w:rsidP="00D178A4">
          <w:r w:rsidRPr="00027624">
            <w:t xml:space="preserve">The maximum rate of the Age Pension has been benchmarked to a given portion of different measures of wages since the early 1970s </w:t>
          </w:r>
          <w:sdt>
            <w:sdtPr>
              <w:id w:val="1500927818"/>
              <w:citation/>
            </w:sdtPr>
            <w:sdtEndPr/>
            <w:sdtContent>
              <w:r w:rsidRPr="00027624">
                <w:fldChar w:fldCharType="begin"/>
              </w:r>
              <w:r w:rsidRPr="00027624">
                <w:instrText xml:space="preserve">CITATION Mic14 \l 3081 </w:instrText>
              </w:r>
              <w:r w:rsidRPr="00027624">
                <w:fldChar w:fldCharType="separate"/>
              </w:r>
              <w:r w:rsidR="00E83F6E">
                <w:rPr>
                  <w:noProof/>
                </w:rPr>
                <w:t>(Yeend, 2009)</w:t>
              </w:r>
              <w:r w:rsidRPr="00027624">
                <w:fldChar w:fldCharType="end"/>
              </w:r>
            </w:sdtContent>
          </w:sdt>
          <w:r w:rsidRPr="00027624">
            <w:t>. Ensuring the Age Pension</w:t>
          </w:r>
          <w:r w:rsidR="00A8443E" w:rsidRPr="00027624">
            <w:t>’</w:t>
          </w:r>
          <w:r w:rsidRPr="00027624">
            <w:t xml:space="preserve">s safety net level of income takes account of prevailing living standards is likely to be consistent with the broader community consensus. </w:t>
          </w:r>
        </w:p>
        <w:p w14:paraId="27808F3A" w14:textId="77777777" w:rsidR="00D178A4" w:rsidRPr="00027624" w:rsidRDefault="00D178A4" w:rsidP="00D178A4">
          <w:r w:rsidRPr="00027624">
            <w:t>However, there are trade</w:t>
          </w:r>
          <w:r w:rsidR="00A8443E" w:rsidRPr="00027624">
            <w:noBreakHyphen/>
          </w:r>
          <w:r w:rsidRPr="00027624">
            <w:t xml:space="preserve">offs with the degree to which the Age Pension takes account of prevailing living standards. Set too generously, the incentives to save for retirement may be muted, and the Age Pension could jeopardise the sustainability of the system, particularly in the face of an ageing population. </w:t>
          </w:r>
        </w:p>
        <w:p w14:paraId="0A037A51" w14:textId="77777777" w:rsidR="00D178A4" w:rsidRPr="00027624" w:rsidRDefault="00D178A4" w:rsidP="00D178A4">
          <w:r w:rsidRPr="00027624">
            <w:t>The safety net has traditionally been set with reference to the needs of retirees who own their homes. Commonwealth Rent Assistance acts as a supplement to the Age Pension to improve the living standards of those who pay rent.</w:t>
          </w:r>
          <w:r w:rsidRPr="00027624">
            <w:rPr>
              <w:rStyle w:val="FootnoteReference"/>
            </w:rPr>
            <w:footnoteReference w:id="57"/>
          </w:r>
          <w:r w:rsidRPr="00027624">
            <w:t xml:space="preserve"> </w:t>
          </w:r>
        </w:p>
        <w:p w14:paraId="42782B86" w14:textId="77777777" w:rsidR="00D178A4" w:rsidRPr="00027624" w:rsidRDefault="00D178A4" w:rsidP="00D178A4">
          <w:pPr>
            <w:pStyle w:val="Heading4"/>
          </w:pPr>
          <w:bookmarkStart w:id="306" w:name="_Toc40251859"/>
          <w:r w:rsidRPr="00027624">
            <w:t>Supplementing income</w:t>
          </w:r>
          <w:bookmarkEnd w:id="306"/>
        </w:p>
        <w:p w14:paraId="172A9311" w14:textId="77777777" w:rsidR="00D178A4" w:rsidRPr="00027624" w:rsidRDefault="00D178A4" w:rsidP="00D178A4">
          <w:r w:rsidRPr="00027624">
            <w:t>Several submissions raised the role of the Age Pension in supplementing the retirement income of lower</w:t>
          </w:r>
          <w:r w:rsidR="00A8443E" w:rsidRPr="00027624">
            <w:noBreakHyphen/>
          </w:r>
          <w:r w:rsidRPr="00027624">
            <w:t xml:space="preserve"> to middle</w:t>
          </w:r>
          <w:r w:rsidR="00A8443E" w:rsidRPr="00027624">
            <w:noBreakHyphen/>
          </w:r>
          <w:r w:rsidRPr="00027624">
            <w:t>income earners.</w:t>
          </w:r>
          <w:r w:rsidRPr="00027624">
            <w:rPr>
              <w:rStyle w:val="FootnoteReference"/>
            </w:rPr>
            <w:footnoteReference w:id="58"/>
          </w:r>
          <w:r w:rsidRPr="00027624">
            <w:t xml:space="preserve"> For many lower</w:t>
          </w:r>
          <w:r w:rsidR="00A8443E" w:rsidRPr="00027624">
            <w:noBreakHyphen/>
          </w:r>
          <w:r w:rsidRPr="00027624">
            <w:t xml:space="preserve"> to middle</w:t>
          </w:r>
          <w:r w:rsidR="00A8443E" w:rsidRPr="00027624">
            <w:noBreakHyphen/>
          </w:r>
          <w:r w:rsidRPr="00027624">
            <w:t xml:space="preserve">income Australians, their retirement income is the combination of a part Age Pension and other income sources, particularly superannuation. The Age Pension component tends to take on more importance as people age and other income sources deplete. </w:t>
          </w:r>
        </w:p>
        <w:p w14:paraId="5758AF6B" w14:textId="77777777" w:rsidR="00D178A4" w:rsidRPr="00027624" w:rsidRDefault="00D178A4" w:rsidP="00D178A4">
          <w:r w:rsidRPr="00027624">
            <w:t>Many stakeholders acknowledged a role for the Age Pension in longevity and/or market risk protection.</w:t>
          </w:r>
          <w:r w:rsidRPr="00027624">
            <w:rPr>
              <w:rStyle w:val="FootnoteReference"/>
            </w:rPr>
            <w:footnoteReference w:id="59"/>
          </w:r>
          <w:r w:rsidRPr="00027624">
            <w:t xml:space="preserve"> This role was reaffirmed in previous reviews </w:t>
          </w:r>
          <w:sdt>
            <w:sdtPr>
              <w:id w:val="-353119384"/>
              <w:citation/>
            </w:sdtPr>
            <w:sdtEndPr/>
            <w:sdtContent>
              <w:r w:rsidRPr="00027624">
                <w:fldChar w:fldCharType="begin"/>
              </w:r>
              <w:r w:rsidRPr="00027624">
                <w:instrText xml:space="preserve">CITATION Hen09 \m Har09 \l 3081 </w:instrText>
              </w:r>
              <w:r w:rsidRPr="00027624">
                <w:fldChar w:fldCharType="separate"/>
              </w:r>
              <w:r w:rsidR="00E83F6E">
                <w:rPr>
                  <w:noProof/>
                </w:rPr>
                <w:t>(Australia’s Future Tax System Review, 2009; Harmer, 2009)</w:t>
              </w:r>
              <w:r w:rsidRPr="00027624">
                <w:fldChar w:fldCharType="end"/>
              </w:r>
            </w:sdtContent>
          </w:sdt>
          <w:r w:rsidRPr="00027624">
            <w:t>. The Age Pension provides a degree of protection against these risks. If someone lives longer than their private savings last, they will be supported by the Age Pension</w:t>
          </w:r>
          <w:r w:rsidR="00A8443E" w:rsidRPr="00027624">
            <w:t>’</w:t>
          </w:r>
          <w:r w:rsidRPr="00027624">
            <w:t>s safety net level of income. If someone</w:t>
          </w:r>
          <w:r w:rsidR="00A8443E" w:rsidRPr="00027624">
            <w:t>’</w:t>
          </w:r>
          <w:r w:rsidRPr="00027624">
            <w:t xml:space="preserve">s private assets or income </w:t>
          </w:r>
          <w:r w:rsidR="008037C5" w:rsidRPr="00027624">
            <w:t>are</w:t>
          </w:r>
          <w:r w:rsidRPr="00027624">
            <w:t xml:space="preserve"> reduced, such as with a market downturn, their income will be supplemented by the Age Pension. The community may not sufficiently recognise this role of the Age Pension. </w:t>
          </w:r>
        </w:p>
        <w:p w14:paraId="004E7737" w14:textId="77777777" w:rsidR="00D178A4" w:rsidRPr="00027624" w:rsidRDefault="00D178A4" w:rsidP="00D178A4">
          <w:pPr>
            <w:pStyle w:val="Heading3"/>
          </w:pPr>
          <w:bookmarkStart w:id="307" w:name="_Toc40251860"/>
          <w:r w:rsidRPr="00027624">
            <w:t>Compulsory superannuation</w:t>
          </w:r>
          <w:bookmarkEnd w:id="307"/>
        </w:p>
        <w:p w14:paraId="5D401633" w14:textId="77777777" w:rsidR="00D178A4" w:rsidRPr="00027624" w:rsidRDefault="00D178A4" w:rsidP="00D178A4">
          <w:r w:rsidRPr="00027624">
            <w:t>Stakeholders had diverse views as to the role of compulsory superannuation in the retirement income system, particularly around whether its role is to replace or supplement the Age Pension. Previous studies came to different conclusions.</w:t>
          </w:r>
          <w:r w:rsidRPr="00027624">
            <w:rPr>
              <w:rStyle w:val="FootnoteReference"/>
            </w:rPr>
            <w:footnoteReference w:id="60"/>
          </w:r>
          <w:r w:rsidRPr="00027624">
            <w:t xml:space="preserve"> However, there is general agreement about the need for compulsion per se. </w:t>
          </w:r>
        </w:p>
        <w:p w14:paraId="7EA09C95" w14:textId="77777777" w:rsidR="00D178A4" w:rsidRPr="00027624" w:rsidRDefault="00D178A4" w:rsidP="00D178A4">
          <w:r w:rsidRPr="00027624">
            <w:t xml:space="preserve">Clarity on the role of compulsory superannuation is important so as to provide guidance for a range of policy variables, including the SG rate, the coverage of individuals </w:t>
          </w:r>
          <w:r w:rsidR="008037C5" w:rsidRPr="00027624">
            <w:t>who</w:t>
          </w:r>
          <w:r w:rsidRPr="00027624">
            <w:t xml:space="preserve"> are compelled to save, the extent of tax concessions and the targeting of the Age Pension.</w:t>
          </w:r>
        </w:p>
        <w:p w14:paraId="72A40A98" w14:textId="77777777" w:rsidR="00D178A4" w:rsidRPr="00027624" w:rsidRDefault="00D178A4" w:rsidP="00D178A4">
          <w:r w:rsidRPr="00027624">
            <w:t>Important trade</w:t>
          </w:r>
          <w:r w:rsidR="00A8443E" w:rsidRPr="00027624">
            <w:noBreakHyphen/>
          </w:r>
          <w:r w:rsidRPr="00027624">
            <w:t>offs must be managed across these policy variables. For example, the SG compels people to trade off future and current consumption</w:t>
          </w:r>
          <w:r w:rsidRPr="00027624">
            <w:rPr>
              <w:i/>
              <w:iCs/>
            </w:rPr>
            <w:t xml:space="preserve"> </w:t>
          </w:r>
          <w:r w:rsidRPr="00027624">
            <w:rPr>
              <w:iCs/>
            </w:rPr>
            <w:t>(see</w:t>
          </w:r>
          <w:r w:rsidRPr="00027624">
            <w:rPr>
              <w:i/>
              <w:iCs/>
            </w:rPr>
            <w:t xml:space="preserve"> 2C. Maintaining standards of living in retirement</w:t>
          </w:r>
          <w:r w:rsidRPr="00027624">
            <w:rPr>
              <w:iCs/>
            </w:rPr>
            <w:t>)</w:t>
          </w:r>
          <w:r w:rsidRPr="00027624">
            <w:t>, and the extent of tax concessions has sustainability implications.</w:t>
          </w:r>
        </w:p>
        <w:p w14:paraId="1A375CD6" w14:textId="77777777" w:rsidR="00D178A4" w:rsidRPr="00027624" w:rsidRDefault="00D178A4" w:rsidP="00D178A4">
          <w:r w:rsidRPr="00027624">
            <w:lastRenderedPageBreak/>
            <w:t xml:space="preserve">Previously suggested roles of compulsory superannuation have centred on its effect on the Commonwealth Government budget (reducing Age Pension expenditure), boosting national savings and providing retirement income. Another rationale when compulsory superannuation was introduced was to reduce inflationary wage pressure present at that time. </w:t>
          </w:r>
        </w:p>
        <w:p w14:paraId="58F13BB5" w14:textId="77777777" w:rsidR="00D178A4" w:rsidRPr="00027624" w:rsidRDefault="00D178A4" w:rsidP="00D178A4">
          <w:r w:rsidRPr="00027624">
            <w:t xml:space="preserve">Broadly, compulsion is typically justified on the basis that individuals or households would </w:t>
          </w:r>
          <w:r w:rsidR="00A8443E" w:rsidRPr="00027624">
            <w:t>‘</w:t>
          </w:r>
          <w:r w:rsidRPr="00027624">
            <w:t>undersave</w:t>
          </w:r>
          <w:r w:rsidR="00A8443E" w:rsidRPr="00027624">
            <w:t>’</w:t>
          </w:r>
          <w:r w:rsidRPr="00027624">
            <w:t xml:space="preserve"> in its absence. When compulsory superannuation was introduced, it was noted that people tended to be short</w:t>
          </w:r>
          <w:r w:rsidR="00A8443E" w:rsidRPr="00027624">
            <w:noBreakHyphen/>
          </w:r>
          <w:r w:rsidRPr="00027624">
            <w:t>sighted about providing for their own long</w:t>
          </w:r>
          <w:r w:rsidR="00A8443E" w:rsidRPr="00027624">
            <w:noBreakHyphen/>
          </w:r>
          <w:r w:rsidRPr="00027624">
            <w:t xml:space="preserve">term needs </w:t>
          </w:r>
          <w:sdt>
            <w:sdtPr>
              <w:id w:val="1538624675"/>
              <w:citation/>
            </w:sdtPr>
            <w:sdtEndPr/>
            <w:sdtContent>
              <w:r w:rsidRPr="00027624">
                <w:fldChar w:fldCharType="begin"/>
              </w:r>
              <w:r w:rsidRPr="00027624">
                <w:instrText xml:space="preserve">CITATION Vin93 \l 3081 </w:instrText>
              </w:r>
              <w:r w:rsidRPr="00027624">
                <w:fldChar w:fldCharType="separate"/>
              </w:r>
              <w:r w:rsidR="00E83F6E">
                <w:rPr>
                  <w:noProof/>
                </w:rPr>
                <w:t>(Fitzgerald, 1993)</w:t>
              </w:r>
              <w:r w:rsidRPr="00027624">
                <w:fldChar w:fldCharType="end"/>
              </w:r>
            </w:sdtContent>
          </w:sdt>
          <w:r w:rsidRPr="00027624">
            <w:t>. This behavioural, bias</w:t>
          </w:r>
          <w:r w:rsidR="00A8443E" w:rsidRPr="00027624">
            <w:noBreakHyphen/>
          </w:r>
          <w:r w:rsidRPr="00027624">
            <w:t xml:space="preserve">based reasoning is consistent with international guidance </w:t>
          </w:r>
          <w:sdt>
            <w:sdtPr>
              <w:id w:val="286941926"/>
              <w:citation/>
            </w:sdtPr>
            <w:sdtEndPr/>
            <w:sdtContent>
              <w:r w:rsidRPr="00027624">
                <w:fldChar w:fldCharType="begin"/>
              </w:r>
              <w:r w:rsidRPr="00027624">
                <w:instrText xml:space="preserve">CITATION Wor94 \m Wor08 \n  \t  \m OEC18 \l 3081 </w:instrText>
              </w:r>
              <w:r w:rsidRPr="00027624">
                <w:fldChar w:fldCharType="separate"/>
              </w:r>
              <w:r w:rsidR="00E83F6E">
                <w:rPr>
                  <w:noProof/>
                </w:rPr>
                <w:t>(World Bank, 1994; 2008; OECD, 2018a)</w:t>
              </w:r>
              <w:r w:rsidRPr="00027624">
                <w:fldChar w:fldCharType="end"/>
              </w:r>
            </w:sdtContent>
          </w:sdt>
          <w:r w:rsidRPr="00027624">
            <w:t xml:space="preserve">. </w:t>
          </w:r>
        </w:p>
        <w:p w14:paraId="398C70E9" w14:textId="77777777" w:rsidR="00D178A4" w:rsidRPr="00027624" w:rsidRDefault="00D178A4" w:rsidP="00D178A4">
          <w:pPr>
            <w:pStyle w:val="Heading4"/>
          </w:pPr>
          <w:bookmarkStart w:id="308" w:name="_Toc40251861"/>
          <w:r w:rsidRPr="00027624">
            <w:t>The Government budget</w:t>
          </w:r>
          <w:bookmarkEnd w:id="308"/>
          <w:r w:rsidRPr="00027624">
            <w:t xml:space="preserve"> </w:t>
          </w:r>
        </w:p>
        <w:p w14:paraId="5BD47289" w14:textId="77777777" w:rsidR="00D178A4" w:rsidRPr="00027624" w:rsidRDefault="00D178A4" w:rsidP="00D178A4">
          <w:r w:rsidRPr="00027624">
            <w:t xml:space="preserve">When compulsory superannuation was introduced, one of its intended roles was to ease pressure on the budget in the face of an ageing population </w:t>
          </w:r>
          <w:sdt>
            <w:sdtPr>
              <w:id w:val="276234905"/>
              <w:citation/>
            </w:sdtPr>
            <w:sdtEndPr/>
            <w:sdtContent>
              <w:r w:rsidRPr="00027624">
                <w:fldChar w:fldCharType="begin"/>
              </w:r>
              <w:r w:rsidRPr="00027624">
                <w:instrText xml:space="preserve">CITATION Sen92 \m Joh92 \m Tre91 \m Vin93 \l 3081 </w:instrText>
              </w:r>
              <w:r w:rsidRPr="00027624">
                <w:fldChar w:fldCharType="separate"/>
              </w:r>
              <w:r w:rsidR="00E83F6E">
                <w:rPr>
                  <w:noProof/>
                </w:rPr>
                <w:t>(Senate Select Committee on Superannuation, 1992; House of Representatives, 1992; The Treasury, 1991; Fitzgerald, 1993)</w:t>
              </w:r>
              <w:r w:rsidRPr="00027624">
                <w:fldChar w:fldCharType="end"/>
              </w:r>
            </w:sdtContent>
          </w:sdt>
          <w:r w:rsidRPr="00027624">
            <w:t xml:space="preserve">. The goal of easing pressure on Age Pension expenditure has been supported more recently by the Superannuation Charter Group </w:t>
          </w:r>
          <w:sdt>
            <w:sdtPr>
              <w:id w:val="-1956630967"/>
              <w:citation/>
            </w:sdtPr>
            <w:sdtEndPr/>
            <w:sdtContent>
              <w:r w:rsidRPr="00027624">
                <w:fldChar w:fldCharType="begin"/>
              </w:r>
              <w:r w:rsidRPr="00027624">
                <w:instrText xml:space="preserve">CITATION Coo13 \n  \t  \l 3081 </w:instrText>
              </w:r>
              <w:r w:rsidRPr="00027624">
                <w:fldChar w:fldCharType="separate"/>
              </w:r>
              <w:r w:rsidR="00E83F6E">
                <w:rPr>
                  <w:noProof/>
                </w:rPr>
                <w:t>(2013)</w:t>
              </w:r>
              <w:r w:rsidRPr="00027624">
                <w:fldChar w:fldCharType="end"/>
              </w:r>
            </w:sdtContent>
          </w:sdt>
          <w:r w:rsidRPr="00027624">
            <w:t xml:space="preserve"> and the Murray Inquiry </w:t>
          </w:r>
          <w:sdt>
            <w:sdtPr>
              <w:id w:val="-428584860"/>
              <w:citation/>
            </w:sdtPr>
            <w:sdtEndPr/>
            <w:sdtContent>
              <w:r w:rsidRPr="00027624">
                <w:fldChar w:fldCharType="begin"/>
              </w:r>
              <w:r w:rsidRPr="00027624">
                <w:instrText xml:space="preserve">CITATION Fin04 \n  \t  \l 3081 </w:instrText>
              </w:r>
              <w:r w:rsidRPr="00027624">
                <w:fldChar w:fldCharType="separate"/>
              </w:r>
              <w:r w:rsidR="00E83F6E">
                <w:rPr>
                  <w:noProof/>
                </w:rPr>
                <w:t>(2014)</w:t>
              </w:r>
              <w:r w:rsidRPr="00027624">
                <w:fldChar w:fldCharType="end"/>
              </w:r>
            </w:sdtContent>
          </w:sdt>
          <w:r w:rsidRPr="00027624">
            <w:t>. These reports did not anticipate replacing the Age Pension.</w:t>
          </w:r>
        </w:p>
        <w:p w14:paraId="003ACE16" w14:textId="77777777" w:rsidR="00D178A4" w:rsidRPr="00027624" w:rsidRDefault="00D178A4" w:rsidP="00D178A4">
          <w:r w:rsidRPr="00027624">
            <w:t>The underlying intent of this goal relates to how the retirement income system affects the Government</w:t>
          </w:r>
          <w:r w:rsidR="00A8443E" w:rsidRPr="00027624">
            <w:t>’</w:t>
          </w:r>
          <w:r w:rsidRPr="00027624">
            <w:t>s overall fiscal position over time. As such, the budgetary impact of the SG is best considered not by looking at the impact of the SG on Age Pension costs alone, but at the costs across the entire system, including the cost to the budget of superannuation tax concessions.</w:t>
          </w:r>
        </w:p>
        <w:p w14:paraId="6B00CD13" w14:textId="77777777" w:rsidR="00D178A4" w:rsidRPr="00027624" w:rsidRDefault="00D178A4" w:rsidP="00D178A4">
          <w:pPr>
            <w:pStyle w:val="Heading4"/>
          </w:pPr>
          <w:bookmarkStart w:id="309" w:name="_Toc40251862"/>
          <w:r w:rsidRPr="00027624">
            <w:t>National savings</w:t>
          </w:r>
          <w:bookmarkEnd w:id="309"/>
        </w:p>
        <w:p w14:paraId="18C83CC1" w14:textId="77777777" w:rsidR="00D178A4" w:rsidRPr="00027624" w:rsidRDefault="00D178A4" w:rsidP="00D178A4">
          <w:r w:rsidRPr="00027624">
            <w:t>When compulsory superannuation was introduced, increased national savings was one of the policy</w:t>
          </w:r>
          <w:r w:rsidR="00A8443E" w:rsidRPr="00027624">
            <w:t>’</w:t>
          </w:r>
          <w:r w:rsidRPr="00027624">
            <w:t xml:space="preserve">s explicit goals </w:t>
          </w:r>
          <w:sdt>
            <w:sdtPr>
              <w:id w:val="496687674"/>
              <w:citation/>
            </w:sdtPr>
            <w:sdtEndPr/>
            <w:sdtContent>
              <w:r w:rsidRPr="00027624">
                <w:fldChar w:fldCharType="begin"/>
              </w:r>
              <w:r w:rsidR="0091327B">
                <w:instrText>CITATION Pau91 \l 3081  \m Daw92</w:instrText>
              </w:r>
              <w:r w:rsidRPr="00027624">
                <w:fldChar w:fldCharType="separate"/>
              </w:r>
              <w:r w:rsidR="00E83F6E">
                <w:rPr>
                  <w:noProof/>
                </w:rPr>
                <w:t>(Keating, 1991; Dawkins, 1992)</w:t>
              </w:r>
              <w:r w:rsidRPr="00027624">
                <w:fldChar w:fldCharType="end"/>
              </w:r>
            </w:sdtContent>
          </w:sdt>
          <w:r w:rsidRPr="00027624">
            <w:t xml:space="preserve">. Fitzgerald </w:t>
          </w:r>
          <w:sdt>
            <w:sdtPr>
              <w:id w:val="-1469431399"/>
              <w:citation/>
            </w:sdtPr>
            <w:sdtEndPr/>
            <w:sdtContent>
              <w:r w:rsidRPr="00027624">
                <w:fldChar w:fldCharType="begin"/>
              </w:r>
              <w:r w:rsidRPr="00027624">
                <w:instrText xml:space="preserve">CITATION Vin93 \n  \t  \l 3081 </w:instrText>
              </w:r>
              <w:r w:rsidRPr="00027624">
                <w:fldChar w:fldCharType="separate"/>
              </w:r>
              <w:r w:rsidR="00E83F6E">
                <w:rPr>
                  <w:noProof/>
                </w:rPr>
                <w:t>(1993)</w:t>
              </w:r>
              <w:r w:rsidRPr="00027624">
                <w:fldChar w:fldCharType="end"/>
              </w:r>
            </w:sdtContent>
          </w:sdt>
          <w:r w:rsidRPr="00027624">
            <w:t xml:space="preserve"> predicted the SG would increase annual national savings by almost 0.75 per cent of GDP over the following decade. Gruen and Soding </w:t>
          </w:r>
          <w:sdt>
            <w:sdtPr>
              <w:id w:val="-1951622109"/>
              <w:citation/>
            </w:sdtPr>
            <w:sdtEndPr/>
            <w:sdtContent>
              <w:r w:rsidRPr="00027624">
                <w:fldChar w:fldCharType="begin"/>
              </w:r>
              <w:r w:rsidRPr="00027624">
                <w:instrText xml:space="preserve">CITATION Gru11 \n  \t  \l 3081 </w:instrText>
              </w:r>
              <w:r w:rsidRPr="00027624">
                <w:fldChar w:fldCharType="separate"/>
              </w:r>
              <w:r w:rsidR="00E83F6E">
                <w:rPr>
                  <w:noProof/>
                </w:rPr>
                <w:t>(2011)</w:t>
              </w:r>
              <w:r w:rsidRPr="00027624">
                <w:fldChar w:fldCharType="end"/>
              </w:r>
            </w:sdtContent>
          </w:sdt>
          <w:r w:rsidRPr="00027624">
            <w:t xml:space="preserve"> found compulsory superannuation led to a net increase in the national private savings rate of around 1.5 per cent of GDP. Stakeholders did not suggest increased national savings currently constitutes an explicit role of compulsory superannuation.</w:t>
          </w:r>
        </w:p>
        <w:p w14:paraId="54CF7AB9" w14:textId="77777777" w:rsidR="00D178A4" w:rsidRPr="00027624" w:rsidRDefault="00D178A4" w:rsidP="00D178A4">
          <w:r w:rsidRPr="00027624">
            <w:t xml:space="preserve">Some submissions said that the broader economic benefits of the SG system should be recognised. </w:t>
          </w:r>
        </w:p>
        <w:p w14:paraId="36A3F768" w14:textId="77777777" w:rsidR="00D178A4" w:rsidRPr="00027624" w:rsidRDefault="00D178A4" w:rsidP="00D178A4">
          <w:pPr>
            <w:pStyle w:val="Heading4"/>
          </w:pPr>
          <w:bookmarkStart w:id="310" w:name="_Toc40251863"/>
          <w:r w:rsidRPr="00027624">
            <w:t>Retirement income</w:t>
          </w:r>
          <w:bookmarkEnd w:id="310"/>
        </w:p>
        <w:p w14:paraId="4B570F59" w14:textId="77777777" w:rsidR="00D178A4" w:rsidRPr="00027624" w:rsidRDefault="00D178A4" w:rsidP="00D178A4">
          <w:r w:rsidRPr="00027624">
            <w:t>Providing income in retirement is the fundamental role of compulsory superannuation.</w:t>
          </w:r>
        </w:p>
        <w:p w14:paraId="65F49682" w14:textId="77777777" w:rsidR="00D178A4" w:rsidRPr="00027624" w:rsidRDefault="00D178A4" w:rsidP="00D178A4">
          <w:r w:rsidRPr="00027624">
            <w:t>The Murray Inquiry</w:t>
          </w:r>
          <w:sdt>
            <w:sdtPr>
              <w:id w:val="-1101414942"/>
              <w:citation/>
            </w:sdtPr>
            <w:sdtEndPr/>
            <w:sdtContent>
              <w:r w:rsidRPr="00027624">
                <w:fldChar w:fldCharType="begin"/>
              </w:r>
              <w:r w:rsidRPr="00027624">
                <w:instrText xml:space="preserve">CITATION Fin04 \n  \t  \l 3081 </w:instrText>
              </w:r>
              <w:r w:rsidRPr="00027624">
                <w:fldChar w:fldCharType="separate"/>
              </w:r>
              <w:r w:rsidR="00E83F6E">
                <w:rPr>
                  <w:noProof/>
                </w:rPr>
                <w:t xml:space="preserve"> (2014)</w:t>
              </w:r>
              <w:r w:rsidRPr="00027624">
                <w:fldChar w:fldCharType="end"/>
              </w:r>
            </w:sdtContent>
          </w:sdt>
          <w:r w:rsidRPr="00027624">
            <w:t xml:space="preserve"> recommended that the objective of the superannuation system should be to </w:t>
          </w:r>
          <w:r w:rsidR="00A8443E" w:rsidRPr="00027624">
            <w:t>‘</w:t>
          </w:r>
          <w:r w:rsidRPr="00027624">
            <w:t>provide income in retirement to substitute or supplement the Age Pension</w:t>
          </w:r>
          <w:r w:rsidR="00A8443E" w:rsidRPr="00027624">
            <w:t>’</w:t>
          </w:r>
          <w:r w:rsidRPr="00027624">
            <w:t xml:space="preserve">. This recommendation was subject to consultation and drafted into Bill form but remains unlegislated. A number of submissions on the Bill raised problems with how the objective was specified, pointing out the significant differences between </w:t>
          </w:r>
          <w:r w:rsidR="00A8443E" w:rsidRPr="00027624">
            <w:t>‘</w:t>
          </w:r>
          <w:r w:rsidRPr="00027624">
            <w:t>replacing</w:t>
          </w:r>
          <w:r w:rsidR="00A8443E" w:rsidRPr="00027624">
            <w:t>’</w:t>
          </w:r>
          <w:r w:rsidRPr="00027624">
            <w:t xml:space="preserve"> and </w:t>
          </w:r>
          <w:r w:rsidR="00A8443E" w:rsidRPr="00027624">
            <w:t>‘</w:t>
          </w:r>
          <w:r w:rsidRPr="00027624">
            <w:t>supplementing</w:t>
          </w:r>
          <w:r w:rsidR="00A8443E" w:rsidRPr="00027624">
            <w:t>’</w:t>
          </w:r>
          <w:r w:rsidRPr="00027624">
            <w:t xml:space="preserve"> the Age Pension. Some noted it was unrealistic to expect superannuation income to replace Age Pension income for most people </w:t>
          </w:r>
          <w:sdt>
            <w:sdtPr>
              <w:id w:val="302049466"/>
              <w:citation/>
            </w:sdtPr>
            <w:sdtEndPr/>
            <w:sdtContent>
              <w:r w:rsidRPr="00027624">
                <w:fldChar w:fldCharType="begin"/>
              </w:r>
              <w:r w:rsidRPr="00027624">
                <w:instrText xml:space="preserve"> CITATION ACO16 \l 3081 </w:instrText>
              </w:r>
              <w:r w:rsidRPr="00027624">
                <w:fldChar w:fldCharType="separate"/>
              </w:r>
              <w:r w:rsidR="00E83F6E">
                <w:rPr>
                  <w:noProof/>
                </w:rPr>
                <w:t>(Australian Council of Social Service, 2016)</w:t>
              </w:r>
              <w:r w:rsidRPr="00027624">
                <w:fldChar w:fldCharType="end"/>
              </w:r>
            </w:sdtContent>
          </w:sdt>
          <w:r w:rsidRPr="00027624">
            <w:t>.</w:t>
          </w:r>
        </w:p>
        <w:p w14:paraId="733ED682" w14:textId="77777777" w:rsidR="00D178A4" w:rsidRPr="00027624" w:rsidRDefault="00D178A4" w:rsidP="00D178A4">
          <w:r w:rsidRPr="00027624">
            <w:t xml:space="preserve">At its inception, compulsory superannuation was generally described as offering income </w:t>
          </w:r>
          <w:r w:rsidRPr="00027624">
            <w:rPr>
              <w:i/>
              <w:iCs/>
            </w:rPr>
            <w:t>additional</w:t>
          </w:r>
          <w:r w:rsidRPr="00027624">
            <w:t xml:space="preserve"> to the Age Pension, rather than replacing it </w:t>
          </w:r>
          <w:sdt>
            <w:sdtPr>
              <w:id w:val="-1476987477"/>
              <w:citation/>
            </w:sdtPr>
            <w:sdtEndPr/>
            <w:sdtContent>
              <w:r w:rsidRPr="00027624">
                <w:fldChar w:fldCharType="begin"/>
              </w:r>
              <w:r w:rsidR="0091327B">
                <w:instrText>CITATION Vin93 \m Joh92 \t  \m Pau91 \m Tre91 \l 3081  \m Daw92</w:instrText>
              </w:r>
              <w:r w:rsidRPr="00027624">
                <w:fldChar w:fldCharType="separate"/>
              </w:r>
              <w:r w:rsidR="00E83F6E">
                <w:rPr>
                  <w:noProof/>
                </w:rPr>
                <w:t>(Fitzgerald, 1993; House of Representatives, 1992; Keating, 1991; The Treasury, 1991; Dawkins, 1992)</w:t>
              </w:r>
              <w:r w:rsidRPr="00027624">
                <w:fldChar w:fldCharType="end"/>
              </w:r>
            </w:sdtContent>
          </w:sdt>
          <w:r w:rsidRPr="00027624">
            <w:t xml:space="preserve">. At the time, the Age Pension was expected to remain the foundation of equity and adequacy in the system </w:t>
          </w:r>
          <w:sdt>
            <w:sdtPr>
              <w:id w:val="1929689165"/>
              <w:citation/>
            </w:sdtPr>
            <w:sdtEndPr/>
            <w:sdtContent>
              <w:r w:rsidRPr="00027624">
                <w:fldChar w:fldCharType="begin"/>
              </w:r>
              <w:r w:rsidRPr="00027624">
                <w:instrText xml:space="preserve"> CITATION Pau91 \l 3081 </w:instrText>
              </w:r>
              <w:r w:rsidRPr="00027624">
                <w:fldChar w:fldCharType="separate"/>
              </w:r>
              <w:r w:rsidR="00E83F6E">
                <w:rPr>
                  <w:noProof/>
                </w:rPr>
                <w:t>(Keating, 1991)</w:t>
              </w:r>
              <w:r w:rsidRPr="00027624">
                <w:fldChar w:fldCharType="end"/>
              </w:r>
            </w:sdtContent>
          </w:sdt>
          <w:r w:rsidRPr="00027624">
            <w:t xml:space="preserve">. If the role of the SG is to replace the Age Pension for most people, its rate would have to be higher than if its role was to supplement </w:t>
          </w:r>
          <w:r w:rsidRPr="00027624">
            <w:lastRenderedPageBreak/>
            <w:t xml:space="preserve">the Age Pension. Fitzgerald </w:t>
          </w:r>
          <w:sdt>
            <w:sdtPr>
              <w:id w:val="-2092385084"/>
              <w:citation/>
            </w:sdtPr>
            <w:sdtEndPr/>
            <w:sdtContent>
              <w:r w:rsidRPr="00027624">
                <w:fldChar w:fldCharType="begin"/>
              </w:r>
              <w:r w:rsidRPr="00027624">
                <w:instrText xml:space="preserve">CITATION Vin93 \n  \t  \l 3081 </w:instrText>
              </w:r>
              <w:r w:rsidRPr="00027624">
                <w:fldChar w:fldCharType="separate"/>
              </w:r>
              <w:r w:rsidR="00E83F6E">
                <w:rPr>
                  <w:noProof/>
                </w:rPr>
                <w:t>(1993)</w:t>
              </w:r>
              <w:r w:rsidRPr="00027624">
                <w:fldChar w:fldCharType="end"/>
              </w:r>
            </w:sdtContent>
          </w:sdt>
          <w:r w:rsidRPr="00027624">
            <w:t xml:space="preserve"> estimated that a rate of 18 per cent would be necessary to meet this goal. </w:t>
          </w:r>
        </w:p>
        <w:p w14:paraId="4CB83EE6" w14:textId="77777777" w:rsidR="00D178A4" w:rsidRPr="00027624" w:rsidRDefault="00D178A4" w:rsidP="00D178A4">
          <w:r w:rsidRPr="00027624">
            <w:t>Many submissions highlighted that compulsory superannuation should not aim to be the single source of adequacy for most individuals or households,</w:t>
          </w:r>
          <w:r w:rsidRPr="00027624">
            <w:rPr>
              <w:rStyle w:val="FootnoteReference"/>
            </w:rPr>
            <w:footnoteReference w:id="61"/>
          </w:r>
          <w:r w:rsidRPr="00027624">
            <w:t xml:space="preserve"> and that the Age Pension will inevitably play an important role for most individuals or households. However, there were different points of emphasis, with some stakeholders suggesting:</w:t>
          </w:r>
        </w:p>
        <w:p w14:paraId="5351D931" w14:textId="77777777" w:rsidR="00D178A4" w:rsidRPr="00027624" w:rsidRDefault="00D178A4" w:rsidP="00D178A4">
          <w:pPr>
            <w:pStyle w:val="Bullet"/>
          </w:pPr>
          <w:r w:rsidRPr="00027624">
            <w:t>Compulsory superannuation, combined with the Age Pension, should provide no more income than the average standard of living during working life</w:t>
          </w:r>
        </w:p>
        <w:p w14:paraId="06060C43" w14:textId="77777777" w:rsidR="00D178A4" w:rsidRPr="00027624" w:rsidRDefault="00D178A4" w:rsidP="00D178A4">
          <w:pPr>
            <w:pStyle w:val="Bullet"/>
          </w:pPr>
          <w:r w:rsidRPr="00027624">
            <w:t xml:space="preserve">Compulsory superannuation and the Age Pension should work together to ensure a </w:t>
          </w:r>
          <w:r w:rsidR="00A8443E" w:rsidRPr="00027624">
            <w:t>‘</w:t>
          </w:r>
          <w:r w:rsidRPr="00027624">
            <w:t>comfortable</w:t>
          </w:r>
          <w:r w:rsidR="00A8443E" w:rsidRPr="00027624">
            <w:t>’</w:t>
          </w:r>
          <w:r w:rsidRPr="00027624">
            <w:t xml:space="preserve"> standard of living </w:t>
          </w:r>
        </w:p>
        <w:p w14:paraId="3111298D" w14:textId="77777777" w:rsidR="00D178A4" w:rsidRPr="00027624" w:rsidRDefault="00D178A4" w:rsidP="00D178A4">
          <w:r w:rsidRPr="00027624">
            <w:t xml:space="preserve">The Henry Review </w:t>
          </w:r>
          <w:sdt>
            <w:sdtPr>
              <w:id w:val="-1451320373"/>
              <w:citation/>
            </w:sdtPr>
            <w:sdtEndPr/>
            <w:sdtContent>
              <w:r w:rsidRPr="00027624">
                <w:fldChar w:fldCharType="begin"/>
              </w:r>
              <w:r w:rsidRPr="00027624">
                <w:instrText xml:space="preserve">CITATION Hen09 \n  \t  \l 3081 </w:instrText>
              </w:r>
              <w:r w:rsidRPr="00027624">
                <w:fldChar w:fldCharType="separate"/>
              </w:r>
              <w:r w:rsidR="00E83F6E">
                <w:rPr>
                  <w:noProof/>
                </w:rPr>
                <w:t>(2009)</w:t>
              </w:r>
              <w:r w:rsidRPr="00027624">
                <w:fldChar w:fldCharType="end"/>
              </w:r>
            </w:sdtContent>
          </w:sdt>
          <w:r w:rsidRPr="00027624">
            <w:t xml:space="preserve"> did not explicitly tie the purpose of compulsory superannuation to the Age Pension, instead suggesting the SG be informed by a moderate replacement rate for a typical median</w:t>
          </w:r>
          <w:r w:rsidR="008037C5" w:rsidRPr="00027624">
            <w:t>-</w:t>
          </w:r>
          <w:r w:rsidRPr="00027624">
            <w:t>income earner. Some stakeholders suggested a similar approach.</w:t>
          </w:r>
          <w:r w:rsidRPr="00027624">
            <w:rPr>
              <w:rStyle w:val="FootnoteReference"/>
            </w:rPr>
            <w:footnoteReference w:id="62"/>
          </w:r>
          <w:r w:rsidRPr="00027624">
            <w:t xml:space="preserve"> H</w:t>
          </w:r>
          <w:r w:rsidR="008037C5" w:rsidRPr="00027624">
            <w:t>owever, by targeting the median-</w:t>
          </w:r>
          <w:r w:rsidRPr="00027624">
            <w:t>income earner</w:t>
          </w:r>
          <w:r w:rsidR="00A8443E" w:rsidRPr="00027624">
            <w:t>’</w:t>
          </w:r>
          <w:r w:rsidRPr="00027624">
            <w:t xml:space="preserve">s replacement rate, the framing implicitly takes account of the Age Pension income that feeds into that replacement rate. </w:t>
          </w:r>
        </w:p>
        <w:p w14:paraId="7A73DD70" w14:textId="77777777" w:rsidR="00D178A4" w:rsidRPr="00027624" w:rsidRDefault="00D178A4" w:rsidP="00D178A4">
          <w:r w:rsidRPr="00027624">
            <w:t xml:space="preserve">The use of median or average incomes or living standards in calibrating the role for compulsory superannuation is compelling. The SG mandates the same level of savings across the population, regardless of income, wealth or personal objectives. Studies have found a reasonably wide range of </w:t>
          </w:r>
          <w:r w:rsidR="00A8443E" w:rsidRPr="00027624">
            <w:t>‘</w:t>
          </w:r>
          <w:r w:rsidRPr="00027624">
            <w:t>optimal</w:t>
          </w:r>
          <w:r w:rsidR="00A8443E" w:rsidRPr="00027624">
            <w:t>’</w:t>
          </w:r>
          <w:r w:rsidRPr="00027624">
            <w:t xml:space="preserve"> SG rates across the population </w:t>
          </w:r>
          <w:sdt>
            <w:sdtPr>
              <w:id w:val="-1102560444"/>
              <w:citation/>
            </w:sdtPr>
            <w:sdtEndPr/>
            <w:sdtContent>
              <w:r w:rsidRPr="00027624">
                <w:fldChar w:fldCharType="begin"/>
              </w:r>
              <w:r w:rsidRPr="00027624">
                <w:instrText xml:space="preserve">CITATION War20 \t  \l 3081 </w:instrText>
              </w:r>
              <w:r w:rsidRPr="00027624">
                <w:fldChar w:fldCharType="separate"/>
              </w:r>
              <w:r w:rsidR="00E83F6E">
                <w:rPr>
                  <w:noProof/>
                </w:rPr>
                <w:t>(Warren, et al., 2020)</w:t>
              </w:r>
              <w:r w:rsidRPr="00027624">
                <w:fldChar w:fldCharType="end"/>
              </w:r>
            </w:sdtContent>
          </w:sdt>
          <w:r w:rsidRPr="00027624">
            <w:t>. A system that contains a range of rates depending on the person would be overly complex and almost certainly unworkable. On this basis it is appropriate the SG rate be set with regard to the circumstances of a</w:t>
          </w:r>
          <w:r w:rsidR="008037C5" w:rsidRPr="00027624">
            <w:t>n average or</w:t>
          </w:r>
          <w:r w:rsidRPr="00027624">
            <w:t xml:space="preserve"> median</w:t>
          </w:r>
          <w:r w:rsidR="008037C5" w:rsidRPr="00027624">
            <w:noBreakHyphen/>
          </w:r>
          <w:r w:rsidRPr="00027624">
            <w:t>income earner with a typical working life.</w:t>
          </w:r>
        </w:p>
        <w:p w14:paraId="4A02FC03" w14:textId="77777777" w:rsidR="00D178A4" w:rsidRPr="00027624" w:rsidRDefault="00D178A4" w:rsidP="00D178A4">
          <w:r w:rsidRPr="00027624">
            <w:t>Preservation of superannuation means the SG provides only upward flexibility in personal saving rates (i.e. people can only save more, not less). Therefore, setting the SG rate too high is arguably worse than setting it too low, forcing some individuals and households to save more than would be required in retirement and compromising working</w:t>
          </w:r>
          <w:r w:rsidR="00A8443E" w:rsidRPr="00027624">
            <w:noBreakHyphen/>
          </w:r>
          <w:r w:rsidRPr="00027624">
            <w:t xml:space="preserve">life living standards. According to the World Bank </w:t>
          </w:r>
          <w:sdt>
            <w:sdtPr>
              <w:id w:val="-2062152773"/>
              <w:citation/>
            </w:sdtPr>
            <w:sdtEndPr/>
            <w:sdtContent>
              <w:r w:rsidRPr="00027624">
                <w:fldChar w:fldCharType="begin"/>
              </w:r>
              <w:r w:rsidRPr="00027624">
                <w:instrText xml:space="preserve">CITATION Wor94 \n  \t  \l 3081 </w:instrText>
              </w:r>
              <w:r w:rsidRPr="00027624">
                <w:fldChar w:fldCharType="separate"/>
              </w:r>
              <w:r w:rsidR="00E83F6E">
                <w:rPr>
                  <w:noProof/>
                </w:rPr>
                <w:t>(1994)</w:t>
              </w:r>
              <w:r w:rsidRPr="00027624">
                <w:fldChar w:fldCharType="end"/>
              </w:r>
            </w:sdtContent>
          </w:sdt>
          <w:r w:rsidRPr="00027624">
            <w:t>, it is not unreasonable to set mandatory contributions rates slightly below a reasonable replacement rate estimate to allow for individual heterogeneity. Alternatively, loss aversion suggests that underestimating the savings needed for retirement may cause more harm than overestimating.</w:t>
          </w:r>
        </w:p>
        <w:p w14:paraId="6F8ACF56" w14:textId="77777777" w:rsidR="00D178A4" w:rsidRPr="00027624" w:rsidRDefault="00D178A4" w:rsidP="00D178A4">
          <w:r w:rsidRPr="00027624">
            <w:t>An individual and household adequacy outcome (one that balances the trade</w:t>
          </w:r>
          <w:r w:rsidR="00A8443E" w:rsidRPr="00027624">
            <w:noBreakHyphen/>
          </w:r>
          <w:r w:rsidRPr="00027624">
            <w:t>offs between present and future consumption) supports the historical view of compulsory superannuation being generally supplemental to the Age Pension. In performing this role, as the superannuation system matures, compulsory superannuation will reduce reliance on the Age Pension in supporting retirement outcomes.</w:t>
          </w:r>
        </w:p>
        <w:p w14:paraId="3B4104B0" w14:textId="77777777" w:rsidR="00D178A4" w:rsidRPr="00027624" w:rsidRDefault="00D178A4" w:rsidP="00D178A4">
          <w:pPr>
            <w:pStyle w:val="Heading3"/>
          </w:pPr>
          <w:bookmarkStart w:id="311" w:name="_Toc40251864"/>
          <w:r w:rsidRPr="00027624">
            <w:t>Voluntary savings</w:t>
          </w:r>
          <w:bookmarkEnd w:id="311"/>
        </w:p>
        <w:p w14:paraId="485DA3E3" w14:textId="77777777" w:rsidR="00D178A4" w:rsidRPr="00027624" w:rsidRDefault="00D178A4" w:rsidP="00D178A4">
          <w:r w:rsidRPr="00027624">
            <w:t>Voluntary savings are far more expansive than the Age Pension and compulsory superannuation. They incorporate the flexibility offered by voluntary superannuation contributions, as well as owner</w:t>
          </w:r>
          <w:r w:rsidR="00A8443E" w:rsidRPr="00027624">
            <w:noBreakHyphen/>
          </w:r>
          <w:r w:rsidRPr="00027624">
            <w:t>occupied housing, and other investments such as property, shares or bank deposits. This diversity makes the role of voluntary savings in the retirement income system less clear.</w:t>
          </w:r>
          <w:bookmarkStart w:id="312" w:name="_Toc40251865"/>
        </w:p>
        <w:p w14:paraId="4B650E09" w14:textId="77777777" w:rsidR="00D178A4" w:rsidRPr="00027624" w:rsidRDefault="00D178A4" w:rsidP="00D178A4">
          <w:pPr>
            <w:pStyle w:val="Heading4"/>
          </w:pPr>
          <w:bookmarkStart w:id="313" w:name="_Toc40251866"/>
          <w:bookmarkEnd w:id="312"/>
          <w:r w:rsidRPr="00027624">
            <w:lastRenderedPageBreak/>
            <w:t>Flexibility</w:t>
          </w:r>
          <w:bookmarkEnd w:id="313"/>
        </w:p>
        <w:p w14:paraId="7ED84F8D" w14:textId="77777777" w:rsidR="00D178A4" w:rsidRPr="00027624" w:rsidRDefault="00D178A4" w:rsidP="00D178A4">
          <w:r w:rsidRPr="00027624">
            <w:t>Many stakeholders cited individual flexibility as a key role for voluntary savings (in particular, voluntary superannuation contributions).</w:t>
          </w:r>
          <w:r w:rsidRPr="00027624">
            <w:rPr>
              <w:rStyle w:val="FootnoteReference"/>
            </w:rPr>
            <w:footnoteReference w:id="63"/>
          </w:r>
        </w:p>
        <w:p w14:paraId="4B70BDB9" w14:textId="77777777" w:rsidR="00D178A4" w:rsidRPr="00027624" w:rsidRDefault="00D178A4" w:rsidP="00D178A4">
          <w:r w:rsidRPr="00027624">
            <w:t>For those not subject to the SG, such as the self</w:t>
          </w:r>
          <w:r w:rsidR="00A8443E" w:rsidRPr="00027624">
            <w:noBreakHyphen/>
          </w:r>
          <w:r w:rsidRPr="00027624">
            <w:t xml:space="preserve">employed, voluntary savings (and voluntary superannuation contributions in particular) take on a much more important role. When compulsory superannuation was introduced, Fitzgerald </w:t>
          </w:r>
          <w:sdt>
            <w:sdtPr>
              <w:id w:val="-1825810178"/>
              <w:citation/>
            </w:sdtPr>
            <w:sdtEndPr/>
            <w:sdtContent>
              <w:r w:rsidRPr="00027624">
                <w:fldChar w:fldCharType="begin"/>
              </w:r>
              <w:r w:rsidRPr="00027624">
                <w:instrText xml:space="preserve">CITATION Vin93 \n  \t  \l 3081 </w:instrText>
              </w:r>
              <w:r w:rsidRPr="00027624">
                <w:fldChar w:fldCharType="separate"/>
              </w:r>
              <w:r w:rsidR="00E83F6E">
                <w:rPr>
                  <w:noProof/>
                </w:rPr>
                <w:t>(1993)</w:t>
              </w:r>
              <w:r w:rsidRPr="00027624">
                <w:fldChar w:fldCharType="end"/>
              </w:r>
            </w:sdtContent>
          </w:sdt>
          <w:r w:rsidRPr="00027624">
            <w:t xml:space="preserve"> noted the justification for compelling employees to save was likely applicable to the self</w:t>
          </w:r>
          <w:r w:rsidR="00A8443E" w:rsidRPr="00027624">
            <w:noBreakHyphen/>
          </w:r>
          <w:r w:rsidRPr="00027624">
            <w:t>employed as well. Many stakeholders suggested SG coverage should be extended to the self</w:t>
          </w:r>
          <w:r w:rsidR="00A8443E" w:rsidRPr="00027624">
            <w:noBreakHyphen/>
          </w:r>
          <w:r w:rsidRPr="00027624">
            <w:t>employed.</w:t>
          </w:r>
          <w:r w:rsidRPr="00027624">
            <w:rPr>
              <w:rStyle w:val="FootnoteReference"/>
            </w:rPr>
            <w:footnoteReference w:id="64"/>
          </w:r>
        </w:p>
        <w:p w14:paraId="3F2B3275" w14:textId="77777777" w:rsidR="00D178A4" w:rsidRPr="00027624" w:rsidRDefault="00D178A4" w:rsidP="00D178A4">
          <w:r w:rsidRPr="00027624">
            <w:t xml:space="preserve">Flexibility provides the opportunity for some people to save more for retirement than the savings stemming from the SG, including to make </w:t>
          </w:r>
          <w:r w:rsidR="00A8443E" w:rsidRPr="00027624">
            <w:t>‘</w:t>
          </w:r>
          <w:r w:rsidRPr="00027624">
            <w:t>catch</w:t>
          </w:r>
          <w:r w:rsidR="00A8443E" w:rsidRPr="00027624">
            <w:noBreakHyphen/>
          </w:r>
          <w:r w:rsidRPr="00027624">
            <w:t>up</w:t>
          </w:r>
          <w:r w:rsidR="00A8443E" w:rsidRPr="00027624">
            <w:t>’</w:t>
          </w:r>
          <w:r w:rsidRPr="00027624">
            <w:t xml:space="preserve"> payments following periods out of the workforce. Some stakeholders suggested that the flexibility offered by voluntary superannuation contributions only really applies to higher</w:t>
          </w:r>
          <w:r w:rsidR="00A8443E" w:rsidRPr="00027624">
            <w:noBreakHyphen/>
          </w:r>
          <w:r w:rsidRPr="00027624">
            <w:t>income earners.</w:t>
          </w:r>
          <w:r w:rsidRPr="00027624">
            <w:rPr>
              <w:rStyle w:val="FootnoteReference"/>
            </w:rPr>
            <w:footnoteReference w:id="65"/>
          </w:r>
        </w:p>
        <w:p w14:paraId="773B7A95" w14:textId="77777777" w:rsidR="00D178A4" w:rsidRPr="00027624" w:rsidRDefault="00D178A4" w:rsidP="00D178A4">
          <w:r w:rsidRPr="00027624">
            <w:t>Voluntary superannuation savings are subject to concessional tax treatment. Voluntary contributions can be made from pre</w:t>
          </w:r>
          <w:r w:rsidR="00A8443E" w:rsidRPr="00027624">
            <w:noBreakHyphen/>
          </w:r>
          <w:r w:rsidRPr="00027624">
            <w:t>tax income and are subject to concessional earnings taxation once invested. The role of tax concessions in encouraging voluntary contributions to superannuation is an important consideration, both in terms of their effectiveness (</w:t>
          </w:r>
          <w:r w:rsidRPr="00027624">
            <w:rPr>
              <w:iCs/>
            </w:rPr>
            <w:t>see</w:t>
          </w:r>
          <w:r w:rsidRPr="00027624">
            <w:rPr>
              <w:i/>
              <w:iCs/>
            </w:rPr>
            <w:t xml:space="preserve"> 5A. Cohesion</w:t>
          </w:r>
          <w:r w:rsidRPr="00027624">
            <w:t>)</w:t>
          </w:r>
          <w:r w:rsidRPr="00027624">
            <w:rPr>
              <w:i/>
              <w:iCs/>
            </w:rPr>
            <w:t xml:space="preserve"> </w:t>
          </w:r>
          <w:r w:rsidRPr="00027624">
            <w:t>and the trade</w:t>
          </w:r>
          <w:r w:rsidR="00A8443E" w:rsidRPr="00027624">
            <w:noBreakHyphen/>
          </w:r>
          <w:r w:rsidRPr="00027624">
            <w:t xml:space="preserve">offs associated with equity and sustainability </w:t>
          </w:r>
          <w:r w:rsidRPr="00027624">
            <w:rPr>
              <w:iCs/>
            </w:rPr>
            <w:t>(see</w:t>
          </w:r>
          <w:r w:rsidRPr="00027624">
            <w:rPr>
              <w:i/>
              <w:iCs/>
            </w:rPr>
            <w:t xml:space="preserve"> 3. Equity </w:t>
          </w:r>
          <w:r w:rsidRPr="00027624">
            <w:rPr>
              <w:iCs/>
            </w:rPr>
            <w:t>and</w:t>
          </w:r>
          <w:r w:rsidRPr="00027624">
            <w:rPr>
              <w:i/>
              <w:iCs/>
            </w:rPr>
            <w:t xml:space="preserve"> 4. Sustainability</w:t>
          </w:r>
          <w:r w:rsidRPr="00027624">
            <w:rPr>
              <w:iCs/>
            </w:rPr>
            <w:t>)</w:t>
          </w:r>
          <w:r w:rsidRPr="00027624">
            <w:t>.</w:t>
          </w:r>
        </w:p>
        <w:p w14:paraId="3FDA9C4B" w14:textId="77777777" w:rsidR="00D178A4" w:rsidRPr="00027624" w:rsidRDefault="00D178A4" w:rsidP="00D178A4">
          <w:pPr>
            <w:pStyle w:val="Heading4"/>
          </w:pPr>
          <w:r w:rsidRPr="00027624">
            <w:t>Housing</w:t>
          </w:r>
        </w:p>
        <w:p w14:paraId="40AAADF5" w14:textId="77777777" w:rsidR="00D178A4" w:rsidRPr="00027624" w:rsidRDefault="00D178A4" w:rsidP="00D178A4">
          <w:r w:rsidRPr="00027624">
            <w:t>Housing is an important component of voluntary savings and a key determinant of retirement outcomes. Those who enter retirement with owner</w:t>
          </w:r>
          <w:r w:rsidR="00A8443E" w:rsidRPr="00027624">
            <w:noBreakHyphen/>
          </w:r>
          <w:r w:rsidRPr="00027624">
            <w:t xml:space="preserve">occupied housing typically enjoy higher effective living standards by avoiding rental costs (including protection against rent increases) (see </w:t>
          </w:r>
          <w:r w:rsidRPr="00027624">
            <w:rPr>
              <w:i/>
            </w:rPr>
            <w:t>2A. Achieving a minimum standard of living in retirement</w:t>
          </w:r>
          <w:r w:rsidRPr="00027624">
            <w:t>). Owner</w:t>
          </w:r>
          <w:r w:rsidR="00A8443E" w:rsidRPr="00027624">
            <w:noBreakHyphen/>
          </w:r>
          <w:r w:rsidRPr="00027624">
            <w:t xml:space="preserve">occupied housing acts as a store of capital security while being mostly exempt from the tax and transfer system (although this is arguably a broader feature of the tax system that goes beyond the retirement income system). Home ownership also serves as a source of emotional security and safety </w:t>
          </w:r>
          <w:sdt>
            <w:sdtPr>
              <w:id w:val="-940759419"/>
              <w:citation/>
            </w:sdtPr>
            <w:sdtEndPr/>
            <w:sdtContent>
              <w:r w:rsidRPr="00027624">
                <w:fldChar w:fldCharType="begin"/>
              </w:r>
              <w:r w:rsidRPr="00027624">
                <w:instrText xml:space="preserve">CITATION Hen09 \l 3081 </w:instrText>
              </w:r>
              <w:r w:rsidRPr="00027624">
                <w:fldChar w:fldCharType="separate"/>
              </w:r>
              <w:r w:rsidR="00E83F6E">
                <w:rPr>
                  <w:noProof/>
                </w:rPr>
                <w:t>(Australia’s Future Tax System Review, 2009)</w:t>
              </w:r>
              <w:r w:rsidRPr="00027624">
                <w:fldChar w:fldCharType="end"/>
              </w:r>
            </w:sdtContent>
          </w:sdt>
          <w:r w:rsidRPr="00027624">
            <w:t>. These roles were noted by numerous stakeholders, with some submissions suggesting an explicit objective to ensure retirees have stable and affordable housing, and others arguing owner</w:t>
          </w:r>
          <w:r w:rsidR="00A8443E" w:rsidRPr="00027624">
            <w:noBreakHyphen/>
          </w:r>
          <w:r w:rsidRPr="00027624">
            <w:t>occupied housing should be seen as a separate pillar.</w:t>
          </w:r>
          <w:r w:rsidRPr="00027624">
            <w:rPr>
              <w:rStyle w:val="FootnoteReference"/>
            </w:rPr>
            <w:footnoteReference w:id="66"/>
          </w:r>
        </w:p>
        <w:p w14:paraId="6EE05922" w14:textId="77777777" w:rsidR="00D178A4" w:rsidRPr="00027624" w:rsidRDefault="00D178A4" w:rsidP="00D178A4">
          <w:r w:rsidRPr="00027624">
            <w:t xml:space="preserve">Arguably, it is the </w:t>
          </w:r>
          <w:r w:rsidRPr="00027624">
            <w:rPr>
              <w:i/>
              <w:iCs/>
            </w:rPr>
            <w:t xml:space="preserve">service </w:t>
          </w:r>
          <w:r w:rsidRPr="00027624">
            <w:t>that owner</w:t>
          </w:r>
          <w:r w:rsidR="00A8443E" w:rsidRPr="00027624">
            <w:noBreakHyphen/>
          </w:r>
          <w:r w:rsidRPr="00027624">
            <w:t>occupied housing provides that is most important, rather than the actual savings. If housing were a stand</w:t>
          </w:r>
          <w:r w:rsidR="00A8443E" w:rsidRPr="00027624">
            <w:noBreakHyphen/>
          </w:r>
          <w:r w:rsidRPr="00027624">
            <w:t xml:space="preserve">alone pillar it should constitute housing services, and therefore would include rental accommodation. </w:t>
          </w:r>
        </w:p>
        <w:p w14:paraId="2FC851FB" w14:textId="77777777" w:rsidR="00D178A4" w:rsidRPr="00027624" w:rsidRDefault="00D178A4" w:rsidP="00D178A4">
          <w:r w:rsidRPr="00027624">
            <w:t xml:space="preserve">Home owners also have the opportunity to access the equity in their home to supplement retirement income and manage longevity risk, although few currently do so. If this potential were realised, housing would take on an even more important role in the retirement income system. </w:t>
          </w:r>
        </w:p>
        <w:p w14:paraId="32FDE1ED" w14:textId="77777777" w:rsidR="00D178A4" w:rsidRPr="00027624" w:rsidRDefault="00D178A4" w:rsidP="00D178A4">
          <w:pPr>
            <w:pStyle w:val="Heading3"/>
          </w:pPr>
          <w:r w:rsidRPr="00027624">
            <w:t>Social transfers in kind</w:t>
          </w:r>
        </w:p>
        <w:p w14:paraId="50D10F79" w14:textId="77777777" w:rsidR="00D178A4" w:rsidRPr="00027624" w:rsidRDefault="00D178A4">
          <w:r w:rsidRPr="00027624">
            <w:t>Social transfers in kind are not an explicit pillar of the retirement income system as laid out in the terms of reference. However, they are an important factor in influencing retirement outcomes (see</w:t>
          </w:r>
          <w:r w:rsidRPr="00027624">
            <w:rPr>
              <w:i/>
            </w:rPr>
            <w:t xml:space="preserve"> </w:t>
          </w:r>
          <w:r w:rsidRPr="00027624">
            <w:rPr>
              <w:i/>
            </w:rPr>
            <w:lastRenderedPageBreak/>
            <w:t xml:space="preserve">2A. </w:t>
          </w:r>
          <w:r w:rsidRPr="00027624">
            <w:rPr>
              <w:i/>
              <w:iCs/>
            </w:rPr>
            <w:t>Achieving a minimum standard of living in retirement</w:t>
          </w:r>
          <w:r w:rsidRPr="00027624">
            <w:t xml:space="preserve">). All sources of income and support that people can draw on to support their standard of living in retirement are important and should be taken into account. </w:t>
          </w:r>
        </w:p>
        <w:p w14:paraId="7F4B6EA5" w14:textId="77777777" w:rsidR="00D178A4" w:rsidRPr="00027624" w:rsidRDefault="00D178A4">
          <w:r w:rsidRPr="00027624">
            <w:t>The World Bank</w:t>
          </w:r>
          <w:r w:rsidR="00A8443E" w:rsidRPr="00027624">
            <w:t>’</w:t>
          </w:r>
          <w:r w:rsidRPr="00027624">
            <w:t xml:space="preserve">s </w:t>
          </w:r>
          <w:sdt>
            <w:sdtPr>
              <w:id w:val="-530033311"/>
              <w:citation/>
            </w:sdtPr>
            <w:sdtEndPr/>
            <w:sdtContent>
              <w:r w:rsidRPr="00027624">
                <w:fldChar w:fldCharType="begin"/>
              </w:r>
              <w:r w:rsidRPr="00027624">
                <w:instrText xml:space="preserve">CITATION Wor08 \n  \t  \l 3081 </w:instrText>
              </w:r>
              <w:r w:rsidRPr="00027624">
                <w:fldChar w:fldCharType="separate"/>
              </w:r>
              <w:r w:rsidR="00E83F6E">
                <w:rPr>
                  <w:noProof/>
                </w:rPr>
                <w:t>(2008)</w:t>
              </w:r>
              <w:r w:rsidRPr="00027624">
                <w:fldChar w:fldCharType="end"/>
              </w:r>
            </w:sdtContent>
          </w:sdt>
          <w:r w:rsidRPr="00027624">
            <w:t xml:space="preserve"> five</w:t>
          </w:r>
          <w:r w:rsidR="00A8443E" w:rsidRPr="00027624">
            <w:noBreakHyphen/>
          </w:r>
          <w:r w:rsidRPr="00027624">
            <w:t xml:space="preserve">pillar framework for retirement income systems describes pillar four as access to informal and formal support and social programs. This acknowledges the important role social transfers in kind play in supporting effective living standards for retirees. </w:t>
          </w:r>
        </w:p>
        <w:p w14:paraId="0BE09A0B" w14:textId="77777777" w:rsidR="00D178A4" w:rsidRPr="00027624" w:rsidRDefault="00D178A4" w:rsidP="00D178A4">
          <w:r w:rsidRPr="00027624">
            <w:t>Some social transfers in kind are targeted based on needs, while others are universal. Social transfers in kind support adequacy by reducing retiree</w:t>
          </w:r>
          <w:r w:rsidR="00A8443E" w:rsidRPr="00027624">
            <w:t>’</w:t>
          </w:r>
          <w:r w:rsidRPr="00027624">
            <w:t>s living costs, and therefore boosting their effective living standards for a given level of income. The role of social transfers in kind in the retirement income system may not be sufficiently recognised in the community, or by retirees themselves (see</w:t>
          </w:r>
          <w:r w:rsidRPr="00027624">
            <w:rPr>
              <w:i/>
            </w:rPr>
            <w:t xml:space="preserve"> 5A. Cohesion</w:t>
          </w:r>
          <w:r w:rsidRPr="00027624">
            <w:t>).</w:t>
          </w:r>
        </w:p>
        <w:p w14:paraId="42825344" w14:textId="77777777" w:rsidR="00952957" w:rsidRPr="00027624" w:rsidRDefault="00952957">
          <w:pPr>
            <w:spacing w:before="0" w:after="160" w:line="259" w:lineRule="auto"/>
            <w:sectPr w:rsidR="00952957" w:rsidRPr="00027624" w:rsidSect="00952957">
              <w:type w:val="oddPage"/>
              <w:pgSz w:w="11906" w:h="16838" w:code="9"/>
              <w:pgMar w:top="1418" w:right="1418" w:bottom="1418" w:left="1418" w:header="709" w:footer="709" w:gutter="0"/>
              <w:cols w:space="708"/>
              <w:titlePg/>
              <w:docGrid w:linePitch="360"/>
            </w:sectPr>
          </w:pPr>
        </w:p>
        <w:p w14:paraId="1CC1252E" w14:textId="77777777" w:rsidR="00D178A4" w:rsidRPr="00027624" w:rsidRDefault="00D178A4" w:rsidP="00325A8D">
          <w:pPr>
            <w:pStyle w:val="Heading1"/>
            <w:numPr>
              <w:ilvl w:val="1"/>
              <w:numId w:val="20"/>
            </w:numPr>
          </w:pPr>
          <w:bookmarkStart w:id="314" w:name="_Toc31209565"/>
          <w:bookmarkStart w:id="315" w:name="_Toc31270927"/>
          <w:bookmarkStart w:id="316" w:name="_Toc31274371"/>
          <w:bookmarkStart w:id="317" w:name="_Toc31276203"/>
          <w:bookmarkStart w:id="318" w:name="_Toc31352201"/>
          <w:bookmarkStart w:id="319" w:name="_Toc31720337"/>
          <w:bookmarkStart w:id="320" w:name="_Toc34643501"/>
          <w:bookmarkStart w:id="321" w:name="_Toc45520442"/>
          <w:bookmarkStart w:id="322" w:name="_Toc46133553"/>
          <w:r w:rsidRPr="00027624">
            <w:lastRenderedPageBreak/>
            <w:t>The changing Australian landscape</w:t>
          </w:r>
          <w:bookmarkEnd w:id="314"/>
          <w:bookmarkEnd w:id="315"/>
          <w:bookmarkEnd w:id="316"/>
          <w:bookmarkEnd w:id="317"/>
          <w:bookmarkEnd w:id="318"/>
          <w:bookmarkEnd w:id="319"/>
          <w:bookmarkEnd w:id="320"/>
          <w:bookmarkEnd w:id="321"/>
          <w:bookmarkEnd w:id="322"/>
          <w:r w:rsidRPr="00027624">
            <w:t xml:space="preserve"> </w:t>
          </w:r>
        </w:p>
        <w:tbl>
          <w:tblPr>
            <w:tblW w:w="5000" w:type="pct"/>
            <w:shd w:val="clear" w:color="auto" w:fill="DFD7E7" w:themeFill="accent3" w:themeFillTint="33"/>
            <w:tblLook w:val="01E0" w:firstRow="1" w:lastRow="1" w:firstColumn="1" w:lastColumn="1" w:noHBand="0" w:noVBand="0"/>
          </w:tblPr>
          <w:tblGrid>
            <w:gridCol w:w="9070"/>
          </w:tblGrid>
          <w:tr w:rsidR="00D178A4" w:rsidRPr="00027624" w14:paraId="415FC7DF" w14:textId="77777777" w:rsidTr="00B720F6">
            <w:tc>
              <w:tcPr>
                <w:tcW w:w="5000" w:type="pct"/>
                <w:shd w:val="clear" w:color="auto" w:fill="DFD7E7" w:themeFill="accent3" w:themeFillTint="33"/>
              </w:tcPr>
              <w:p w14:paraId="38BC2882" w14:textId="77777777" w:rsidR="00D178A4" w:rsidRPr="00027624" w:rsidRDefault="00D178A4" w:rsidP="00325A8D">
                <w:pPr>
                  <w:pStyle w:val="BoxHeading"/>
                  <w:numPr>
                    <w:ilvl w:val="5"/>
                    <w:numId w:val="20"/>
                  </w:numPr>
                </w:pPr>
                <w:bookmarkStart w:id="323" w:name="_Toc31209566"/>
                <w:bookmarkStart w:id="324" w:name="_Toc31270928"/>
                <w:bookmarkStart w:id="325" w:name="_Toc31274372"/>
                <w:bookmarkStart w:id="326" w:name="_Toc31276204"/>
                <w:bookmarkStart w:id="327" w:name="_Toc31352202"/>
                <w:bookmarkStart w:id="328" w:name="_Toc31720338"/>
                <w:bookmarkStart w:id="329" w:name="_Toc34643502"/>
                <w:r w:rsidRPr="00027624">
                  <w:t>Section summary</w:t>
                </w:r>
              </w:p>
              <w:p w14:paraId="256AD20E" w14:textId="77777777" w:rsidR="00D178A4" w:rsidRPr="00027624" w:rsidRDefault="00D178A4" w:rsidP="00140525">
                <w:pPr>
                  <w:pStyle w:val="BoxBullet"/>
                  <w:rPr>
                    <w:b/>
                  </w:rPr>
                </w:pPr>
                <w:r w:rsidRPr="00027624">
                  <w:rPr>
                    <w:b/>
                  </w:rPr>
                  <w:t>Australia</w:t>
                </w:r>
                <w:r w:rsidR="00A8443E" w:rsidRPr="00027624">
                  <w:rPr>
                    <w:b/>
                  </w:rPr>
                  <w:t>’</w:t>
                </w:r>
                <w:r w:rsidRPr="00027624">
                  <w:rPr>
                    <w:b/>
                  </w:rPr>
                  <w:t>s population is growing and ageing.</w:t>
                </w:r>
                <w:r w:rsidRPr="00027624">
                  <w:t xml:space="preserve"> As at December 2019, the population was projected to increase from 26 million people in 2020 to 42 million in 2060. Projections indicate that the population aged 65 and over will increase from 16 per cent in 2020 to 22 per cent by 2060. This is a result of lower fertility rates since the 1960s, partly mitigated by net overseas migration, which has slowed population ageing. The COVID</w:t>
                </w:r>
                <w:r w:rsidR="00A8443E" w:rsidRPr="00027624">
                  <w:noBreakHyphen/>
                </w:r>
                <w:r w:rsidRPr="00027624">
                  <w:t>19 Pandemic may accelerate the rate of population ageing</w:t>
                </w:r>
                <w:r w:rsidRPr="00027624">
                  <w:rPr>
                    <w:b/>
                  </w:rPr>
                  <w:t>.</w:t>
                </w:r>
              </w:p>
              <w:p w14:paraId="0E0919DD" w14:textId="77777777" w:rsidR="00D178A4" w:rsidRPr="00027624" w:rsidRDefault="00D178A4" w:rsidP="00140525">
                <w:pPr>
                  <w:pStyle w:val="BoxBullet"/>
                  <w:ind w:left="284" w:hanging="284"/>
                </w:pPr>
                <w:r w:rsidRPr="00027624">
                  <w:rPr>
                    <w:b/>
                  </w:rPr>
                  <w:t>Australians are living longer.</w:t>
                </w:r>
                <w:r w:rsidRPr="00027624">
                  <w:t xml:space="preserve"> Life expectancies across all ages have increased over the past 40 years, particularly for men. Although women continue to have greater life expectancy and longevity than men, the life expectancy gap reduces with age. </w:t>
                </w:r>
              </w:p>
              <w:p w14:paraId="0E31DE4C" w14:textId="77777777" w:rsidR="00D178A4" w:rsidRPr="00027624" w:rsidRDefault="00D178A4" w:rsidP="00140525">
                <w:pPr>
                  <w:pStyle w:val="BoxBullet"/>
                  <w:ind w:left="284" w:hanging="284"/>
                  <w:rPr>
                    <w:b/>
                  </w:rPr>
                </w:pPr>
                <w:r w:rsidRPr="00027624">
                  <w:rPr>
                    <w:b/>
                  </w:rPr>
                  <w:t>More Australians, particularly women, are in the labour force today than 40 years ago.</w:t>
                </w:r>
                <w:r w:rsidRPr="00027624">
                  <w:t xml:space="preserve"> Total labour force participation increased by 5 percentage points from 1980 to 2019. Female participation increased by 16 percentage points over this period, with sustained increases in participation across all ages. This increase in female participation was partly offset by lower participation among men under age 55. </w:t>
                </w:r>
              </w:p>
              <w:p w14:paraId="2A29C721" w14:textId="77777777" w:rsidR="00D178A4" w:rsidRPr="00027624" w:rsidRDefault="00D178A4" w:rsidP="00140525">
                <w:pPr>
                  <w:pStyle w:val="BoxBullet"/>
                  <w:ind w:left="284" w:hanging="284"/>
                </w:pPr>
                <w:r w:rsidRPr="00027624">
                  <w:rPr>
                    <w:b/>
                  </w:rPr>
                  <w:t>Economic conditions have been positive for the past three decades but are uncertain in the short</w:t>
                </w:r>
                <w:r w:rsidR="00A8443E" w:rsidRPr="00027624">
                  <w:rPr>
                    <w:b/>
                  </w:rPr>
                  <w:noBreakHyphen/>
                </w:r>
                <w:r w:rsidRPr="00027624">
                  <w:rPr>
                    <w:b/>
                  </w:rPr>
                  <w:t xml:space="preserve"> to medium</w:t>
                </w:r>
                <w:r w:rsidR="00A8443E" w:rsidRPr="00027624">
                  <w:rPr>
                    <w:b/>
                  </w:rPr>
                  <w:noBreakHyphen/>
                </w:r>
                <w:r w:rsidRPr="00027624">
                  <w:rPr>
                    <w:b/>
                  </w:rPr>
                  <w:t>term in light of the COVID</w:t>
                </w:r>
                <w:r w:rsidR="00A8443E" w:rsidRPr="00027624">
                  <w:rPr>
                    <w:b/>
                  </w:rPr>
                  <w:noBreakHyphen/>
                </w:r>
                <w:r w:rsidRPr="00027624">
                  <w:rPr>
                    <w:b/>
                  </w:rPr>
                  <w:t>19 Pandemic.</w:t>
                </w:r>
                <w:r w:rsidRPr="00027624">
                  <w:t xml:space="preserve"> The Australian economy has experienced sustained growth since the early 1990s. Unemployment has generally fallen during this time, remaining below its 40</w:t>
                </w:r>
                <w:r w:rsidR="00A8443E" w:rsidRPr="00027624">
                  <w:noBreakHyphen/>
                </w:r>
                <w:r w:rsidRPr="00027624">
                  <w:t xml:space="preserve">year average since 2002. Real wage growth has been on average positive over the past 20 years. </w:t>
                </w:r>
              </w:p>
              <w:p w14:paraId="1FC8F556" w14:textId="77777777" w:rsidR="00D178A4" w:rsidRPr="00027624" w:rsidRDefault="00D178A4" w:rsidP="00140525">
                <w:pPr>
                  <w:pStyle w:val="BoxBullet"/>
                  <w:ind w:left="284" w:hanging="284"/>
                </w:pPr>
                <w:r w:rsidRPr="00027624">
                  <w:rPr>
                    <w:b/>
                  </w:rPr>
                  <w:t xml:space="preserve">Growth in domestic and international equity markets </w:t>
                </w:r>
                <w:r w:rsidRPr="00027624">
                  <w:rPr>
                    <w:b/>
                    <w:bCs/>
                  </w:rPr>
                  <w:t>has</w:t>
                </w:r>
                <w:r w:rsidRPr="00027624">
                  <w:rPr>
                    <w:b/>
                  </w:rPr>
                  <w:t xml:space="preserve"> been strong</w:t>
                </w:r>
                <w:r w:rsidRPr="00027624">
                  <w:t xml:space="preserve"> </w:t>
                </w:r>
                <w:r w:rsidRPr="00027624">
                  <w:rPr>
                    <w:b/>
                  </w:rPr>
                  <w:t>over the past 40 years</w:t>
                </w:r>
                <w:r w:rsidRPr="00027624" w:rsidDel="00B103B6">
                  <w:rPr>
                    <w:b/>
                  </w:rPr>
                  <w:t>,</w:t>
                </w:r>
                <w:r w:rsidRPr="00027624">
                  <w:rPr>
                    <w:b/>
                  </w:rPr>
                  <w:t xml:space="preserve"> </w:t>
                </w:r>
                <w:r w:rsidRPr="00027624">
                  <w:t>although there have been sharp declines during economic shocks. Over the past decade market interest rates have fallen domestically and internatio</w:t>
                </w:r>
                <w:r w:rsidR="0027057A" w:rsidRPr="00027624">
                  <w:t>nally to historic</w:t>
                </w:r>
                <w:r w:rsidRPr="00027624">
                  <w:t xml:space="preserve"> lows.</w:t>
                </w:r>
              </w:p>
              <w:p w14:paraId="7B78AE7E" w14:textId="77777777" w:rsidR="00D178A4" w:rsidRPr="00027624" w:rsidRDefault="00D178A4" w:rsidP="00140525">
                <w:pPr>
                  <w:pStyle w:val="BoxBullet"/>
                  <w:ind w:left="284" w:hanging="284"/>
                </w:pPr>
                <w:r w:rsidRPr="00027624">
                  <w:rPr>
                    <w:b/>
                  </w:rPr>
                  <w:t xml:space="preserve">The superannuation system will fully mature in the 2040s when the workforce will have experienced </w:t>
                </w:r>
                <w:r w:rsidRPr="00027624" w:rsidDel="00E04C9C">
                  <w:rPr>
                    <w:b/>
                  </w:rPr>
                  <w:t xml:space="preserve">SG </w:t>
                </w:r>
                <w:r w:rsidRPr="00027624">
                  <w:rPr>
                    <w:b/>
                  </w:rPr>
                  <w:t>rates of at least 9 per cent for 40 years</w:t>
                </w:r>
                <w:r w:rsidRPr="00027624">
                  <w:t xml:space="preserve">. Seven in ten Australians aged 15 and over are now covered by superannuation. Strong investment returns and increasing contributions have nearly doubled assets under management as a per cent of GDP since 2005. Superannuation is now the largest asset held by most households outside the family home. </w:t>
                </w:r>
              </w:p>
              <w:p w14:paraId="5FCB1833" w14:textId="77777777" w:rsidR="00D178A4" w:rsidRPr="00027624" w:rsidRDefault="00D178A4" w:rsidP="00140525">
                <w:pPr>
                  <w:pStyle w:val="BoxBullet"/>
                  <w:ind w:left="284" w:hanging="284"/>
                </w:pPr>
                <w:r w:rsidRPr="00027624">
                  <w:rPr>
                    <w:b/>
                  </w:rPr>
                  <w:t>Higher home and superannuation values have increased household wealth over the past 30 years.</w:t>
                </w:r>
                <w:r w:rsidRPr="00027624">
                  <w:t xml:space="preserve"> Increases in housing wealth have benefited existing home owners. People buying a home have increasingly needed to take on greater household debt and are spending larger proportions of their working</w:t>
                </w:r>
                <w:r w:rsidR="00A8443E" w:rsidRPr="00027624">
                  <w:noBreakHyphen/>
                </w:r>
                <w:r w:rsidRPr="00027624">
                  <w:t xml:space="preserve">life incomes on housing. Mortgage debt among households aged 55 and over has increased in the past 20 years. </w:t>
                </w:r>
              </w:p>
              <w:p w14:paraId="0D6C4342" w14:textId="77777777" w:rsidR="00D178A4" w:rsidRPr="00027624" w:rsidRDefault="00D178A4" w:rsidP="00140525">
                <w:pPr>
                  <w:pStyle w:val="BoxBullet"/>
                  <w:ind w:left="284" w:hanging="284"/>
                </w:pPr>
                <w:r w:rsidRPr="00027624">
                  <w:rPr>
                    <w:b/>
                  </w:rPr>
                  <w:t>Home ownership has fallen for younger and lower</w:t>
                </w:r>
                <w:r w:rsidR="00A8443E" w:rsidRPr="00027624">
                  <w:rPr>
                    <w:b/>
                  </w:rPr>
                  <w:noBreakHyphen/>
                </w:r>
                <w:r w:rsidRPr="00027624">
                  <w:rPr>
                    <w:b/>
                  </w:rPr>
                  <w:t xml:space="preserve"> to middle</w:t>
                </w:r>
                <w:r w:rsidR="00A8443E" w:rsidRPr="00027624">
                  <w:rPr>
                    <w:b/>
                  </w:rPr>
                  <w:noBreakHyphen/>
                </w:r>
                <w:r w:rsidRPr="00027624">
                  <w:rPr>
                    <w:b/>
                  </w:rPr>
                  <w:t>income Australians over the past 40 years.</w:t>
                </w:r>
                <w:r w:rsidRPr="00027624">
                  <w:t xml:space="preserve"> Increases in residential property prices, later workforce entry and household formation have delayed and reduced the affordability of home ownership. Ownership rates for households aged 65 and over and higher</w:t>
                </w:r>
                <w:r w:rsidR="00A8443E" w:rsidRPr="00027624">
                  <w:noBreakHyphen/>
                </w:r>
                <w:r w:rsidRPr="00027624">
                  <w:t>income households have remained relatively stable.</w:t>
                </w:r>
              </w:p>
              <w:p w14:paraId="0D5CEF94" w14:textId="77777777" w:rsidR="00D178A4" w:rsidRPr="00027624" w:rsidRDefault="00D178A4" w:rsidP="00140525">
                <w:pPr>
                  <w:pStyle w:val="BoxBullet"/>
                  <w:ind w:left="284" w:hanging="284"/>
                  <w:rPr>
                    <w:b/>
                  </w:rPr>
                </w:pPr>
                <w:r w:rsidRPr="00027624">
                  <w:rPr>
                    <w:b/>
                  </w:rPr>
                  <w:t>Older households are increasingly renting through the private market.</w:t>
                </w:r>
                <w:r w:rsidRPr="00027624">
                  <w:t xml:space="preserve"> Private market rental costs are generally higher than those of public housing. Overall, rates of renting by households aged 65 and over have been stable over the past 10 years. Current trends in home ownership suggest lower</w:t>
                </w:r>
                <w:r w:rsidR="00A8443E" w:rsidRPr="00027624">
                  <w:noBreakHyphen/>
                </w:r>
                <w:r w:rsidRPr="00027624">
                  <w:t xml:space="preserve">income retiree households may be more likely to rent in future. </w:t>
                </w:r>
              </w:p>
            </w:tc>
          </w:tr>
        </w:tbl>
        <w:p w14:paraId="12839E51" w14:textId="77777777" w:rsidR="00D178A4" w:rsidRPr="00027624" w:rsidRDefault="00D178A4" w:rsidP="00D178A4">
          <w:pPr>
            <w:pStyle w:val="Heading2"/>
          </w:pPr>
          <w:bookmarkStart w:id="330" w:name="_Toc45520443"/>
          <w:bookmarkStart w:id="331" w:name="_Toc46133554"/>
          <w:bookmarkStart w:id="332" w:name="_Toc31720399"/>
          <w:bookmarkStart w:id="333" w:name="_Toc31352256"/>
          <w:bookmarkStart w:id="334" w:name="_Toc31276249"/>
          <w:bookmarkStart w:id="335" w:name="_Toc31274417"/>
          <w:bookmarkStart w:id="336" w:name="_Toc31270973"/>
          <w:bookmarkStart w:id="337" w:name="_Toc31209607"/>
          <w:bookmarkEnd w:id="323"/>
          <w:bookmarkEnd w:id="324"/>
          <w:bookmarkEnd w:id="325"/>
          <w:bookmarkEnd w:id="326"/>
          <w:bookmarkEnd w:id="327"/>
          <w:bookmarkEnd w:id="328"/>
          <w:bookmarkEnd w:id="329"/>
          <w:r w:rsidRPr="00027624">
            <w:t>Outline of this section</w:t>
          </w:r>
          <w:bookmarkEnd w:id="330"/>
          <w:bookmarkEnd w:id="331"/>
        </w:p>
        <w:p w14:paraId="5E5D36E8" w14:textId="77777777" w:rsidR="00D178A4" w:rsidRPr="00027624" w:rsidRDefault="00D178A4" w:rsidP="00D178A4">
          <w:r w:rsidRPr="00027624">
            <w:t>This section identifies the broader demographic and economic trends that could affect the retirement income system and its ability to deliver adequate outcomes:</w:t>
          </w:r>
        </w:p>
        <w:p w14:paraId="391045F0" w14:textId="77777777" w:rsidR="00D178A4" w:rsidRPr="00027624" w:rsidRDefault="00D178A4" w:rsidP="00D178A4">
          <w:pPr>
            <w:pStyle w:val="Bullet"/>
          </w:pPr>
          <w:r w:rsidRPr="00027624">
            <w:lastRenderedPageBreak/>
            <w:t xml:space="preserve">Demographic trends </w:t>
          </w:r>
        </w:p>
        <w:p w14:paraId="4057D1FE" w14:textId="77777777" w:rsidR="00D178A4" w:rsidRPr="00027624" w:rsidRDefault="00D178A4" w:rsidP="00D178A4">
          <w:pPr>
            <w:pStyle w:val="Bullet"/>
          </w:pPr>
          <w:r w:rsidRPr="00027624">
            <w:t>Labour force trends</w:t>
          </w:r>
        </w:p>
        <w:p w14:paraId="041FD3E5" w14:textId="77777777" w:rsidR="00D178A4" w:rsidRPr="00027624" w:rsidRDefault="00D178A4" w:rsidP="00D178A4">
          <w:pPr>
            <w:pStyle w:val="Bullet"/>
          </w:pPr>
          <w:r w:rsidRPr="00027624">
            <w:t>Economic growth and returns on investments</w:t>
          </w:r>
        </w:p>
        <w:p w14:paraId="5410AAC4" w14:textId="77777777" w:rsidR="00D178A4" w:rsidRPr="00027624" w:rsidRDefault="00D178A4" w:rsidP="00D178A4">
          <w:pPr>
            <w:pStyle w:val="Bullet"/>
          </w:pPr>
          <w:r w:rsidRPr="00027624">
            <w:t xml:space="preserve">Maturity of the superannuation system </w:t>
          </w:r>
        </w:p>
        <w:p w14:paraId="1E741259" w14:textId="77777777" w:rsidR="00D178A4" w:rsidRPr="00027624" w:rsidRDefault="00D178A4" w:rsidP="00D178A4">
          <w:pPr>
            <w:pStyle w:val="Bullet"/>
          </w:pPr>
          <w:r w:rsidRPr="00027624">
            <w:t>Household wealth and debt</w:t>
          </w:r>
        </w:p>
        <w:p w14:paraId="65F09E72" w14:textId="77777777" w:rsidR="00D178A4" w:rsidRPr="00027624" w:rsidRDefault="00D178A4" w:rsidP="00D178A4">
          <w:pPr>
            <w:pStyle w:val="Bullet"/>
          </w:pPr>
          <w:r w:rsidRPr="00027624">
            <w:t>Housing</w:t>
          </w:r>
        </w:p>
        <w:p w14:paraId="5AFB6B81" w14:textId="77777777" w:rsidR="00D178A4" w:rsidRPr="00027624" w:rsidRDefault="00D178A4" w:rsidP="00D178A4">
          <w:r w:rsidRPr="00027624">
            <w:t>Trends are generally shown over a historical 10</w:t>
          </w:r>
          <w:r w:rsidR="00A8443E" w:rsidRPr="00027624">
            <w:noBreakHyphen/>
          </w:r>
          <w:r w:rsidRPr="00027624">
            <w:t>40</w:t>
          </w:r>
          <w:r w:rsidR="00A8443E" w:rsidRPr="00027624">
            <w:noBreakHyphen/>
          </w:r>
          <w:r w:rsidRPr="00027624">
            <w:t xml:space="preserve">year horizon depending on available data. </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D178A4" w:rsidRPr="00027624" w14:paraId="65EF922A" w14:textId="77777777" w:rsidTr="0027057A">
            <w:tc>
              <w:tcPr>
                <w:tcW w:w="5000" w:type="pct"/>
                <w:shd w:val="clear" w:color="auto" w:fill="FFF8EA"/>
              </w:tcPr>
              <w:p w14:paraId="7A5829DF" w14:textId="77777777" w:rsidR="00D178A4" w:rsidRPr="00027624" w:rsidRDefault="00D178A4" w:rsidP="0027057A">
                <w:pPr>
                  <w:pStyle w:val="BoxHeading"/>
                  <w:numPr>
                    <w:ilvl w:val="5"/>
                    <w:numId w:val="20"/>
                  </w:numPr>
                </w:pPr>
                <w:r w:rsidRPr="00027624">
                  <w:t>COVID</w:t>
                </w:r>
                <w:r w:rsidR="00A8443E" w:rsidRPr="00027624">
                  <w:noBreakHyphen/>
                </w:r>
                <w:r w:rsidRPr="00027624">
                  <w:t>19 and economic trends</w:t>
                </w:r>
              </w:p>
              <w:p w14:paraId="234B5370" w14:textId="77777777" w:rsidR="00D178A4" w:rsidRPr="00027624" w:rsidRDefault="00D178A4" w:rsidP="0027057A">
                <w:pPr>
                  <w:pStyle w:val="BoxText"/>
                </w:pPr>
                <w:r w:rsidRPr="00027624">
                  <w:rPr>
                    <w:rFonts w:eastAsiaTheme="minorHAnsi"/>
                    <w:lang w:eastAsia="en-US"/>
                  </w:rPr>
                  <w:t>To improve understanding of how the retirement income system performs over the long term, c</w:t>
                </w:r>
                <w:r w:rsidRPr="00027624">
                  <w:t>ameo and population</w:t>
                </w:r>
                <w:r w:rsidR="00A8443E" w:rsidRPr="00027624">
                  <w:noBreakHyphen/>
                </w:r>
                <w:r w:rsidRPr="00027624">
                  <w:t>level modelling was used to project potential future outcomes. Such modelling exercises give a guide to the direction and magnitude of possible outcomes relative to how the system performs today. It does not predict outcomes.</w:t>
                </w:r>
              </w:p>
              <w:p w14:paraId="1BCCBA3E" w14:textId="77777777" w:rsidR="00D178A4" w:rsidRPr="00027624" w:rsidRDefault="00D178A4" w:rsidP="0027057A">
                <w:pPr>
                  <w:pStyle w:val="BoxText"/>
                  <w:rPr>
                    <w:lang w:eastAsia="en-US"/>
                  </w:rPr>
                </w:pPr>
                <w:r w:rsidRPr="00027624">
                  <w:t>Like most medium</w:t>
                </w:r>
                <w:r w:rsidR="00A8443E" w:rsidRPr="00027624">
                  <w:noBreakHyphen/>
                </w:r>
                <w:r w:rsidRPr="00027624">
                  <w:t xml:space="preserve"> to long</w:t>
                </w:r>
                <w:r w:rsidR="00A8443E" w:rsidRPr="00027624">
                  <w:noBreakHyphen/>
                </w:r>
                <w:r w:rsidRPr="00027624">
                  <w:t>term analysis, including that presented in the Intergenerational Report</w:t>
                </w:r>
                <w:sdt>
                  <w:sdtPr>
                    <w:id w:val="513040375"/>
                    <w:citation/>
                  </w:sdtPr>
                  <w:sdtEndPr/>
                  <w:sdtContent>
                    <w:r w:rsidRPr="00027624">
                      <w:fldChar w:fldCharType="begin"/>
                    </w:r>
                    <w:r w:rsidRPr="00027624">
                      <w:instrText xml:space="preserve"> CITATION The15 \l 3081 </w:instrText>
                    </w:r>
                    <w:r w:rsidRPr="00027624">
                      <w:fldChar w:fldCharType="separate"/>
                    </w:r>
                    <w:r w:rsidR="00E83F6E">
                      <w:rPr>
                        <w:noProof/>
                      </w:rPr>
                      <w:t xml:space="preserve"> (Commonwealth of Australia, 2015)</w:t>
                    </w:r>
                    <w:r w:rsidRPr="00027624">
                      <w:fldChar w:fldCharType="end"/>
                    </w:r>
                  </w:sdtContent>
                </w:sdt>
                <w:r w:rsidRPr="00027624">
                  <w:t>, the modelling focuses on medium</w:t>
                </w:r>
                <w:r w:rsidR="00A8443E" w:rsidRPr="00027624">
                  <w:noBreakHyphen/>
                </w:r>
                <w:r w:rsidRPr="00027624">
                  <w:t xml:space="preserve"> to long</w:t>
                </w:r>
                <w:r w:rsidR="00A8443E" w:rsidRPr="00027624">
                  <w:noBreakHyphen/>
                </w:r>
                <w:r w:rsidRPr="00027624">
                  <w:t>term trends in the economy rather than short</w:t>
                </w:r>
                <w:r w:rsidR="00A8443E" w:rsidRPr="00027624">
                  <w:noBreakHyphen/>
                </w:r>
                <w:r w:rsidRPr="00027624">
                  <w:t>run fluctuations. A wide</w:t>
                </w:r>
                <w:r w:rsidRPr="00027624">
                  <w:rPr>
                    <w:lang w:eastAsia="en-US"/>
                  </w:rPr>
                  <w:t xml:space="preserve"> range of short</w:t>
                </w:r>
                <w:r w:rsidR="00A8443E" w:rsidRPr="00027624">
                  <w:rPr>
                    <w:lang w:eastAsia="en-US"/>
                  </w:rPr>
                  <w:noBreakHyphen/>
                </w:r>
                <w:r w:rsidRPr="00027624">
                  <w:rPr>
                    <w:lang w:eastAsia="en-US"/>
                  </w:rPr>
                  <w:t>term factors, such as business cycles, and labour market and financial market shocks, will affect the actual path of Australia</w:t>
                </w:r>
                <w:r w:rsidR="00A8443E" w:rsidRPr="00027624">
                  <w:rPr>
                    <w:lang w:eastAsia="en-US"/>
                  </w:rPr>
                  <w:t>’</w:t>
                </w:r>
                <w:r w:rsidRPr="00027624">
                  <w:rPr>
                    <w:lang w:eastAsia="en-US"/>
                  </w:rPr>
                  <w:t xml:space="preserve">s economy to 2060. </w:t>
                </w:r>
              </w:p>
              <w:p w14:paraId="1811AC1A" w14:textId="77777777" w:rsidR="00D178A4" w:rsidRPr="00027624" w:rsidRDefault="00D178A4" w:rsidP="0027057A">
                <w:pPr>
                  <w:spacing w:after="0"/>
                  <w:rPr>
                    <w:rFonts w:eastAsiaTheme="minorHAnsi"/>
                    <w:i/>
                  </w:rPr>
                </w:pPr>
                <w:r w:rsidRPr="00027624">
                  <w:rPr>
                    <w:lang w:eastAsia="en-US"/>
                  </w:rPr>
                  <w:t>S</w:t>
                </w:r>
                <w:r w:rsidRPr="00027624">
                  <w:t>hort</w:t>
                </w:r>
                <w:r w:rsidR="00A8443E" w:rsidRPr="00027624">
                  <w:noBreakHyphen/>
                </w:r>
                <w:r w:rsidRPr="00027624">
                  <w:t>term factors should not materially affect the analysis of very long</w:t>
                </w:r>
                <w:r w:rsidR="00A8443E" w:rsidRPr="00027624">
                  <w:noBreakHyphen/>
                </w:r>
                <w:r w:rsidRPr="00027624">
                  <w:t>term outcomes. They may, however, result in substantial short</w:t>
                </w:r>
                <w:r w:rsidR="00A8443E" w:rsidRPr="00027624">
                  <w:noBreakHyphen/>
                </w:r>
                <w:r w:rsidRPr="00027624">
                  <w:t>run deviations from the long</w:t>
                </w:r>
                <w:r w:rsidR="00A8443E" w:rsidRPr="00027624">
                  <w:noBreakHyphen/>
                </w:r>
                <w:r w:rsidRPr="00027624">
                  <w:t>term trends. The full extent of COVID</w:t>
                </w:r>
                <w:r w:rsidR="00A8443E" w:rsidRPr="00027624">
                  <w:noBreakHyphen/>
                </w:r>
                <w:r w:rsidRPr="00027624">
                  <w:t>19</w:t>
                </w:r>
                <w:r w:rsidR="00A8443E" w:rsidRPr="00027624">
                  <w:t>’</w:t>
                </w:r>
                <w:r w:rsidRPr="00027624">
                  <w:t>s effect on the Australian and global economies is not reflected in the long</w:t>
                </w:r>
                <w:r w:rsidR="00A8443E" w:rsidRPr="00027624">
                  <w:noBreakHyphen/>
                </w:r>
                <w:r w:rsidRPr="00027624">
                  <w:t>term trends outlined in this chapter. For example, the COVID</w:t>
                </w:r>
                <w:r w:rsidR="00A8443E" w:rsidRPr="00027624">
                  <w:noBreakHyphen/>
                </w:r>
                <w:r w:rsidRPr="00027624">
                  <w:t>19 Pandemic is expected to result in below</w:t>
                </w:r>
                <w:r w:rsidR="00A8443E" w:rsidRPr="00027624">
                  <w:noBreakHyphen/>
                </w:r>
                <w:r w:rsidRPr="00027624">
                  <w:t>trend economic growth, participation rates, wage growth and population growth in Australia in 2020</w:t>
                </w:r>
                <w:r w:rsidR="00A8443E" w:rsidRPr="00027624">
                  <w:noBreakHyphen/>
                </w:r>
                <w:r w:rsidRPr="00027624">
                  <w:t xml:space="preserve">21. The OECD has projected a global economic recession </w:t>
                </w:r>
                <w:sdt>
                  <w:sdtPr>
                    <w:id w:val="-621841719"/>
                    <w:citation/>
                  </w:sdtPr>
                  <w:sdtEndPr/>
                  <w:sdtContent>
                    <w:r w:rsidRPr="00027624">
                      <w:fldChar w:fldCharType="begin"/>
                    </w:r>
                    <w:r w:rsidRPr="00027624">
                      <w:instrText xml:space="preserve">CITATION OEC20c \l 3081 </w:instrText>
                    </w:r>
                    <w:r w:rsidRPr="00027624">
                      <w:fldChar w:fldCharType="separate"/>
                    </w:r>
                    <w:r w:rsidR="00E83F6E">
                      <w:rPr>
                        <w:noProof/>
                      </w:rPr>
                      <w:t>(OECD, 2020a)</w:t>
                    </w:r>
                    <w:r w:rsidRPr="00027624">
                      <w:fldChar w:fldCharType="end"/>
                    </w:r>
                  </w:sdtContent>
                </w:sdt>
                <w:r w:rsidRPr="00027624">
                  <w:t>. The effects of these deviations may continue to be felt for some time with decreasing severity. Short</w:t>
                </w:r>
                <w:r w:rsidR="00A8443E" w:rsidRPr="00027624">
                  <w:noBreakHyphen/>
                </w:r>
                <w:r w:rsidRPr="00027624">
                  <w:t>term shocks can have large effects on superannuation balances.</w:t>
                </w:r>
                <w:r w:rsidRPr="00027624">
                  <w:rPr>
                    <w:rFonts w:eastAsiaTheme="minorHAnsi"/>
                    <w:lang w:eastAsia="en-US"/>
                  </w:rPr>
                  <w:t xml:space="preserve"> The short</w:t>
                </w:r>
                <w:r w:rsidR="00A8443E" w:rsidRPr="00027624">
                  <w:rPr>
                    <w:rFonts w:eastAsiaTheme="minorHAnsi"/>
                    <w:lang w:eastAsia="en-US"/>
                  </w:rPr>
                  <w:noBreakHyphen/>
                </w:r>
                <w:r w:rsidRPr="00027624">
                  <w:rPr>
                    <w:rFonts w:eastAsiaTheme="minorHAnsi"/>
                    <w:lang w:eastAsia="en-US"/>
                  </w:rPr>
                  <w:t>term effects of market volatility for people in or nearing retirement are explored in</w:t>
                </w:r>
                <w:r w:rsidRPr="00027624">
                  <w:rPr>
                    <w:i/>
                  </w:rPr>
                  <w:t xml:space="preserve"> 2C. Maintaining standards of living in retirement</w:t>
                </w:r>
                <w:r w:rsidRPr="00027624">
                  <w:rPr>
                    <w:rFonts w:eastAsiaTheme="minorHAnsi"/>
                    <w:lang w:eastAsia="en-US"/>
                  </w:rPr>
                  <w:t xml:space="preserve">. </w:t>
                </w:r>
              </w:p>
              <w:p w14:paraId="7904112C" w14:textId="77777777" w:rsidR="00D178A4" w:rsidRPr="00027624" w:rsidRDefault="00D178A4" w:rsidP="0027057A">
                <w:pPr>
                  <w:pStyle w:val="BoxText"/>
                </w:pPr>
                <w:r w:rsidRPr="00027624">
                  <w:rPr>
                    <w:lang w:eastAsia="en-US"/>
                  </w:rPr>
                  <w:t>Economic outcomes over the medium</w:t>
                </w:r>
                <w:r w:rsidR="00A8443E" w:rsidRPr="00027624">
                  <w:rPr>
                    <w:lang w:eastAsia="en-US"/>
                  </w:rPr>
                  <w:noBreakHyphen/>
                </w:r>
                <w:r w:rsidRPr="00027624">
                  <w:rPr>
                    <w:lang w:eastAsia="en-US"/>
                  </w:rPr>
                  <w:t xml:space="preserve"> to long</w:t>
                </w:r>
                <w:r w:rsidR="00A8443E" w:rsidRPr="00027624">
                  <w:rPr>
                    <w:lang w:eastAsia="en-US"/>
                  </w:rPr>
                  <w:noBreakHyphen/>
                </w:r>
                <w:r w:rsidRPr="00027624">
                  <w:rPr>
                    <w:lang w:eastAsia="en-US"/>
                  </w:rPr>
                  <w:t>term are driven by factors such as population growth, labour force participation and productivity. The analysis and long</w:t>
                </w:r>
                <w:r w:rsidR="00A8443E" w:rsidRPr="00027624">
                  <w:rPr>
                    <w:lang w:eastAsia="en-US"/>
                  </w:rPr>
                  <w:noBreakHyphen/>
                </w:r>
                <w:r w:rsidRPr="00027624">
                  <w:rPr>
                    <w:lang w:eastAsia="en-US"/>
                  </w:rPr>
                  <w:t>term projections in this report incorporate assumptions for these variables based on trends over the past 40 years. This incorporates periods of slower and faster economic growth, including the GFC in 2008</w:t>
                </w:r>
                <w:r w:rsidR="00A8443E" w:rsidRPr="00027624">
                  <w:rPr>
                    <w:lang w:eastAsia="en-US"/>
                  </w:rPr>
                  <w:noBreakHyphen/>
                </w:r>
                <w:r w:rsidRPr="00027624">
                  <w:rPr>
                    <w:lang w:eastAsia="en-US"/>
                  </w:rPr>
                  <w:t>09.</w:t>
                </w:r>
              </w:p>
              <w:p w14:paraId="2C13B9E0" w14:textId="77777777" w:rsidR="00D178A4" w:rsidRPr="00027624" w:rsidRDefault="00D178A4" w:rsidP="0027057A">
                <w:pPr>
                  <w:pStyle w:val="BoxText"/>
                </w:pPr>
                <w:r w:rsidRPr="00027624">
                  <w:t>The modelling framework underpinning this report (and Intergenerational Reports) takes into account long</w:t>
                </w:r>
                <w:r w:rsidR="00A8443E" w:rsidRPr="00027624">
                  <w:noBreakHyphen/>
                </w:r>
                <w:r w:rsidRPr="00027624">
                  <w:t>run averages of key macroeconomic variables to model long</w:t>
                </w:r>
                <w:r w:rsidR="00A8443E" w:rsidRPr="00027624">
                  <w:noBreakHyphen/>
                </w:r>
                <w:r w:rsidRPr="00027624">
                  <w:t>term changes in the structure of the Australian population and labour force over the coming decades. Although the economic impacts of COVID</w:t>
                </w:r>
                <w:r w:rsidR="00A8443E" w:rsidRPr="00027624">
                  <w:noBreakHyphen/>
                </w:r>
                <w:r w:rsidRPr="00027624">
                  <w:t>19 were beginning to be observed during the course of the review, the full effects and any long</w:t>
                </w:r>
                <w:r w:rsidR="00A8443E" w:rsidRPr="00027624">
                  <w:noBreakHyphen/>
                </w:r>
                <w:r w:rsidRPr="00027624">
                  <w:t>term economic consequences will not be known for some time. Predicting the economic impacts of a pandemic is difficult and outside the scope of this report.</w:t>
                </w:r>
              </w:p>
              <w:p w14:paraId="0BCE87A4" w14:textId="77777777" w:rsidR="00D178A4" w:rsidRPr="00027624" w:rsidRDefault="00D178A4" w:rsidP="0027057A">
                <w:pPr>
                  <w:pStyle w:val="BoxText"/>
                </w:pPr>
                <w:r w:rsidRPr="00027624">
                  <w:t>Given this uncertainty, this report includes sensitivity analysis</w:t>
                </w:r>
                <w:r w:rsidRPr="00027624">
                  <w:rPr>
                    <w:lang w:eastAsia="en-US"/>
                  </w:rPr>
                  <w:t xml:space="preserve"> to assess the potential impact of deviations from the assumed long</w:t>
                </w:r>
                <w:r w:rsidR="00A8443E" w:rsidRPr="00027624">
                  <w:rPr>
                    <w:lang w:eastAsia="en-US"/>
                  </w:rPr>
                  <w:noBreakHyphen/>
                </w:r>
                <w:r w:rsidRPr="00027624">
                  <w:rPr>
                    <w:lang w:eastAsia="en-US"/>
                  </w:rPr>
                  <w:t xml:space="preserve">term trends. For example, </w:t>
                </w:r>
                <w:r w:rsidRPr="00027624">
                  <w:rPr>
                    <w:i/>
                  </w:rPr>
                  <w:t xml:space="preserve">2C. Maintaining standards of living in retirement </w:t>
                </w:r>
                <w:r w:rsidRPr="00027624">
                  <w:rPr>
                    <w:lang w:eastAsia="en-US"/>
                  </w:rPr>
                  <w:t xml:space="preserve">and </w:t>
                </w:r>
                <w:r w:rsidRPr="00027624">
                  <w:rPr>
                    <w:i/>
                    <w:lang w:eastAsia="en-US"/>
                  </w:rPr>
                  <w:t>4. Sustainability</w:t>
                </w:r>
                <w:r w:rsidRPr="00027624">
                  <w:rPr>
                    <w:lang w:eastAsia="en-US"/>
                  </w:rPr>
                  <w:t xml:space="preserve"> assess the effects of negative</w:t>
                </w:r>
                <w:r w:rsidRPr="00027624">
                  <w:rPr>
                    <w:color w:val="1F497D"/>
                    <w:lang w:eastAsia="en-US"/>
                  </w:rPr>
                  <w:t xml:space="preserve"> </w:t>
                </w:r>
                <w:r w:rsidRPr="00027624">
                  <w:rPr>
                    <w:lang w:eastAsia="en-US"/>
                  </w:rPr>
                  <w:t>short</w:t>
                </w:r>
                <w:r w:rsidR="00A8443E" w:rsidRPr="00027624">
                  <w:rPr>
                    <w:lang w:eastAsia="en-US"/>
                  </w:rPr>
                  <w:noBreakHyphen/>
                </w:r>
                <w:r w:rsidRPr="00027624">
                  <w:rPr>
                    <w:lang w:eastAsia="en-US"/>
                  </w:rPr>
                  <w:t>term shocks to wage growth and investment returns on outcomes for individuals and to the cost and performance of the system</w:t>
                </w:r>
                <w:r w:rsidRPr="00027624">
                  <w:t xml:space="preserve">. </w:t>
                </w:r>
              </w:p>
              <w:p w14:paraId="0D365A13" w14:textId="77777777" w:rsidR="00D178A4" w:rsidRPr="00027624" w:rsidRDefault="00D178A4" w:rsidP="0027057A">
                <w:pPr>
                  <w:pStyle w:val="BoxText"/>
                  <w:rPr>
                    <w:rFonts w:eastAsiaTheme="minorHAnsi"/>
                    <w:lang w:eastAsia="en-US"/>
                  </w:rPr>
                </w:pPr>
                <w:r w:rsidRPr="00027624">
                  <w:rPr>
                    <w:rFonts w:eastAsiaTheme="minorHAnsi"/>
                    <w:lang w:eastAsia="en-US"/>
                  </w:rPr>
                  <w:t xml:space="preserve">Modelling has been used to illustrate how policy outcomes over a long period may be affected by policy settings. A range of scenarios was explored and outcomes compared with a modelled baseline (see </w:t>
                </w:r>
                <w:r w:rsidRPr="00027624">
                  <w:rPr>
                    <w:i/>
                  </w:rPr>
                  <w:t>2C. Maintaining standards</w:t>
                </w:r>
                <w:r w:rsidRPr="00027624">
                  <w:rPr>
                    <w:rFonts w:eastAsiaTheme="minorHAnsi"/>
                    <w:i/>
                    <w:lang w:eastAsia="en-US"/>
                  </w:rPr>
                  <w:t xml:space="preserve"> of </w:t>
                </w:r>
                <w:r w:rsidRPr="00027624">
                  <w:rPr>
                    <w:i/>
                  </w:rPr>
                  <w:t>living in</w:t>
                </w:r>
                <w:r w:rsidRPr="00027624">
                  <w:rPr>
                    <w:rFonts w:eastAsiaTheme="minorHAnsi"/>
                    <w:i/>
                    <w:lang w:eastAsia="en-US"/>
                  </w:rPr>
                  <w:t xml:space="preserve"> retirement</w:t>
                </w:r>
                <w:r w:rsidRPr="00027624">
                  <w:rPr>
                    <w:rFonts w:eastAsiaTheme="minorHAnsi"/>
                    <w:i/>
                  </w:rPr>
                  <w:t xml:space="preserve"> </w:t>
                </w:r>
                <w:r w:rsidRPr="00027624">
                  <w:rPr>
                    <w:lang w:eastAsia="en-US"/>
                  </w:rPr>
                  <w:t xml:space="preserve">and </w:t>
                </w:r>
                <w:r w:rsidRPr="00027624">
                  <w:rPr>
                    <w:i/>
                    <w:lang w:eastAsia="en-US"/>
                  </w:rPr>
                  <w:t>4. Sustainability)</w:t>
                </w:r>
                <w:r w:rsidRPr="00027624">
                  <w:rPr>
                    <w:rFonts w:eastAsiaTheme="minorHAnsi"/>
                    <w:lang w:eastAsia="en-US"/>
                  </w:rPr>
                  <w:t xml:space="preserve">. If the relationships between trends underpinning the modelling framework remain largely unchanged, the effect is not expected to be sensitive to economic shocks. </w:t>
                </w:r>
                <w:r w:rsidRPr="00027624">
                  <w:t>Any short</w:t>
                </w:r>
                <w:r w:rsidR="00A8443E" w:rsidRPr="00027624">
                  <w:noBreakHyphen/>
                </w:r>
                <w:r w:rsidRPr="00027624">
                  <w:t>term shocks would affect both the baseline and the policy lever scenarios.</w:t>
                </w:r>
              </w:p>
              <w:p w14:paraId="792A46EB" w14:textId="77777777" w:rsidR="00D178A4" w:rsidRPr="00027624" w:rsidRDefault="00D178A4" w:rsidP="0027057A">
                <w:pPr>
                  <w:pStyle w:val="BoxText"/>
                </w:pPr>
                <w:r w:rsidRPr="00027624">
                  <w:t xml:space="preserve">Details of the models and modelling approaches used in this report are included in </w:t>
                </w:r>
                <w:r w:rsidRPr="00027624">
                  <w:rPr>
                    <w:i/>
                    <w:lang w:eastAsia="en-US"/>
                  </w:rPr>
                  <w:t>Appendix 6A. Detailed modelling methods and assumptions</w:t>
                </w:r>
                <w:r w:rsidRPr="00027624">
                  <w:rPr>
                    <w:lang w:eastAsia="en-US"/>
                  </w:rPr>
                  <w:t>.</w:t>
                </w:r>
              </w:p>
            </w:tc>
          </w:tr>
        </w:tbl>
        <w:tbl>
          <w:tblPr>
            <w:tblStyle w:val="TableGrid"/>
            <w:tblW w:w="5000" w:type="pct"/>
            <w:shd w:val="clear" w:color="auto" w:fill="FFF8EA"/>
            <w:tblLook w:val="04A0" w:firstRow="1" w:lastRow="0" w:firstColumn="1" w:lastColumn="0" w:noHBand="0" w:noVBand="1"/>
          </w:tblPr>
          <w:tblGrid>
            <w:gridCol w:w="9070"/>
          </w:tblGrid>
          <w:tr w:rsidR="00D178A4" w:rsidRPr="00027624" w14:paraId="682959BA" w14:textId="77777777" w:rsidTr="00D178A4">
            <w:tc>
              <w:tcPr>
                <w:tcW w:w="5000" w:type="pct"/>
                <w:shd w:val="clear" w:color="auto" w:fill="FFF8EA"/>
              </w:tcPr>
              <w:p w14:paraId="32C74B92" w14:textId="77777777" w:rsidR="00D178A4" w:rsidRPr="00027624" w:rsidRDefault="00D178A4" w:rsidP="00325A8D">
                <w:pPr>
                  <w:pStyle w:val="BoxHeading"/>
                  <w:numPr>
                    <w:ilvl w:val="5"/>
                    <w:numId w:val="20"/>
                  </w:numPr>
                </w:pPr>
                <w:r w:rsidRPr="00027624">
                  <w:lastRenderedPageBreak/>
                  <w:t>Stakeholder views on broad trends that affect the retirement income system</w:t>
                </w:r>
              </w:p>
              <w:p w14:paraId="22AAF29D" w14:textId="77777777" w:rsidR="00D178A4" w:rsidRPr="00027624" w:rsidRDefault="00D178A4" w:rsidP="00D178A4">
                <w:pPr>
                  <w:pStyle w:val="BoxText"/>
                </w:pPr>
                <w:r w:rsidRPr="00027624">
                  <w:t xml:space="preserve">Stakeholders identified the ageing population as the prominent trend affecting the retirement income system, noting this impact has been moderated due to sustained migration. This places Australia in a better situation than other countries facing the challenges of an ageing population, with improved life expectancy and health outcomes for older people increasing demand for aged care services. </w:t>
                </w:r>
              </w:p>
              <w:p w14:paraId="132A2AF5" w14:textId="77777777" w:rsidR="00D178A4" w:rsidRPr="00027624" w:rsidRDefault="00D178A4" w:rsidP="00D178A4">
                <w:pPr>
                  <w:pStyle w:val="BoxText"/>
                </w:pPr>
                <w:r w:rsidRPr="00027624">
                  <w:t xml:space="preserve">The intersection of the ageing population and the maturing superannuation system was noted. As people live longer and superannuation balances increase, it was emphasised that the system will need to mitigate longevity and sequencing risks. </w:t>
                </w:r>
              </w:p>
              <w:p w14:paraId="53BEBC24" w14:textId="77777777" w:rsidR="00D178A4" w:rsidRPr="00027624" w:rsidRDefault="00D178A4" w:rsidP="00D178A4">
                <w:pPr>
                  <w:pStyle w:val="BoxText"/>
                </w:pPr>
                <w:r w:rsidRPr="00027624">
                  <w:t>Stakeholders commented on the impact the ageing population will have on broader economic trends. An ageing population may lead to lower productivity growth and economic growth because older people tend to be more risk</w:t>
                </w:r>
                <w:r w:rsidR="00A8443E" w:rsidRPr="00027624">
                  <w:noBreakHyphen/>
                </w:r>
                <w:r w:rsidRPr="00027624">
                  <w:t xml:space="preserve">averse and take on less entrepreneurial risks than younger people. </w:t>
                </w:r>
              </w:p>
              <w:p w14:paraId="57448153" w14:textId="77777777" w:rsidR="00D178A4" w:rsidRPr="00027624" w:rsidRDefault="00D178A4" w:rsidP="00D178A4">
                <w:pPr>
                  <w:pStyle w:val="BoxText"/>
                </w:pPr>
                <w:r w:rsidRPr="00027624">
                  <w:t xml:space="preserve">Stakeholders identified a number of trends affecting women and their outcomes under the retirement income system. These included increasing longevity, rates of divorce, homelessness and the prevalence of renting in retirement. </w:t>
                </w:r>
              </w:p>
              <w:p w14:paraId="7A223B98" w14:textId="77777777" w:rsidR="00D178A4" w:rsidRPr="00027624" w:rsidRDefault="00D178A4" w:rsidP="00D178A4">
                <w:pPr>
                  <w:pStyle w:val="BoxText"/>
                </w:pPr>
                <w:r w:rsidRPr="00027624">
                  <w:t>Stakeholders suggested historical trends in home ownership may not continue. Many cited declining ownership among younger Australians, suggesting more retirees will be renting and paying mortgages in future. The insecurity of tenure associated with renting was of concern to stakeholders, who noted lower</w:t>
                </w:r>
                <w:r w:rsidR="00A8443E" w:rsidRPr="00027624">
                  <w:noBreakHyphen/>
                </w:r>
                <w:r w:rsidRPr="00027624">
                  <w:t xml:space="preserve">income earners and women were at particular risk. Stakeholders noted retirement income system policy settings were often designed on the assumption that a retiree owns their home outright. They cautioned that current policy settings and emerging home ownership trends would lead to future adequacy and equity challenges. </w:t>
                </w:r>
              </w:p>
              <w:p w14:paraId="0E552C62" w14:textId="77777777" w:rsidR="00D178A4" w:rsidRPr="00027624" w:rsidRDefault="00D178A4" w:rsidP="00D178A4">
                <w:pPr>
                  <w:pStyle w:val="BoxText"/>
                </w:pPr>
                <w:r w:rsidRPr="00027624">
                  <w:t>Stakeholders identified significant changes in the labour market affecting the retirement income system</w:t>
                </w:r>
                <w:r w:rsidR="00A8443E" w:rsidRPr="00027624">
                  <w:t>’</w:t>
                </w:r>
                <w:r w:rsidRPr="00027624">
                  <w:t>s ability to support Australians in retirement, including:</w:t>
                </w:r>
              </w:p>
              <w:p w14:paraId="7494704F" w14:textId="77777777" w:rsidR="00D178A4" w:rsidRPr="00027624" w:rsidRDefault="00D178A4" w:rsidP="00D178A4">
                <w:pPr>
                  <w:pStyle w:val="BoxBullet"/>
                </w:pPr>
                <w:r w:rsidRPr="00027624">
                  <w:t>Improvements in technology and health reducing the physical demands of some positions and allowing people to work longer</w:t>
                </w:r>
              </w:p>
              <w:p w14:paraId="7DA57630" w14:textId="77777777" w:rsidR="00D178A4" w:rsidRPr="00027624" w:rsidRDefault="00D178A4" w:rsidP="00D178A4">
                <w:pPr>
                  <w:pStyle w:val="BoxBullet"/>
                </w:pPr>
                <w:r w:rsidRPr="00027624">
                  <w:t>Increases in flexible employment arrangements such as part</w:t>
                </w:r>
                <w:r w:rsidR="00A8443E" w:rsidRPr="00027624">
                  <w:noBreakHyphen/>
                </w:r>
                <w:r w:rsidRPr="00027624">
                  <w:t xml:space="preserve">time, casual and </w:t>
                </w:r>
                <w:r w:rsidR="00A8443E" w:rsidRPr="00027624">
                  <w:t>‘</w:t>
                </w:r>
                <w:r w:rsidRPr="00027624">
                  <w:t>gig economy</w:t>
                </w:r>
                <w:r w:rsidR="00A8443E" w:rsidRPr="00027624">
                  <w:t>’</w:t>
                </w:r>
                <w:r w:rsidRPr="00027624">
                  <w:t xml:space="preserve"> workers</w:t>
                </w:r>
              </w:p>
              <w:p w14:paraId="4FB41A6E" w14:textId="77777777" w:rsidR="00D178A4" w:rsidRPr="00027624" w:rsidRDefault="00D178A4" w:rsidP="00D178A4">
                <w:pPr>
                  <w:pStyle w:val="BoxBullet"/>
                </w:pPr>
                <w:r w:rsidRPr="00027624">
                  <w:t>Rising participation rates for the women and those aged 55 and over</w:t>
                </w:r>
              </w:p>
              <w:p w14:paraId="4B66C5B4" w14:textId="77777777" w:rsidR="00D178A4" w:rsidRPr="00027624" w:rsidRDefault="00D178A4" w:rsidP="00D178A4">
                <w:pPr>
                  <w:pStyle w:val="BoxBullet"/>
                </w:pPr>
                <w:r w:rsidRPr="00027624">
                  <w:t>Lower wages growth</w:t>
                </w:r>
              </w:p>
              <w:p w14:paraId="40BB58C4" w14:textId="77777777" w:rsidR="00D178A4" w:rsidRPr="00027624" w:rsidRDefault="00D178A4" w:rsidP="00D178A4">
                <w:pPr>
                  <w:pStyle w:val="BoxBullet"/>
                </w:pPr>
                <w:r w:rsidRPr="00027624">
                  <w:t>High youth unemployment</w:t>
                </w:r>
              </w:p>
              <w:p w14:paraId="6E4930E4" w14:textId="77777777" w:rsidR="00D178A4" w:rsidRPr="00027624" w:rsidRDefault="00D178A4" w:rsidP="00D178A4">
                <w:pPr>
                  <w:pStyle w:val="BoxText"/>
                </w:pPr>
                <w:r w:rsidRPr="00027624">
                  <w:t>Lower SG coverage, barriers to workforce participation and inability to save were some of the concerns raised around these changes.</w:t>
                </w:r>
              </w:p>
              <w:p w14:paraId="08E584EE" w14:textId="77777777" w:rsidR="00D178A4" w:rsidRPr="00027624" w:rsidRDefault="00D178A4" w:rsidP="00D178A4">
                <w:pPr>
                  <w:pStyle w:val="BoxText"/>
                </w:pPr>
                <w:r w:rsidRPr="00027624">
                  <w:t>Climate change was identified as an emerging trend that would affect the retirement income system. Stakeholders suggested climate change would likely increase the cost of living, negatively affecting retirees who were unable to absorb higher costs. However, as these impacts are difficult to quantify, the impacts of climate change have not been assessed.</w:t>
                </w:r>
              </w:p>
            </w:tc>
          </w:tr>
        </w:tbl>
        <w:p w14:paraId="1564286A" w14:textId="77777777" w:rsidR="00D178A4" w:rsidRPr="00027624" w:rsidRDefault="00D178A4" w:rsidP="00D178A4">
          <w:pPr>
            <w:pStyle w:val="Heading2"/>
          </w:pPr>
          <w:bookmarkStart w:id="338" w:name="_Toc45520444"/>
          <w:bookmarkStart w:id="339" w:name="_Toc46133555"/>
          <w:bookmarkStart w:id="340" w:name="_Toc34643508"/>
          <w:r w:rsidRPr="00027624">
            <w:t>Demographic trends</w:t>
          </w:r>
          <w:bookmarkEnd w:id="338"/>
          <w:bookmarkEnd w:id="339"/>
        </w:p>
        <w:p w14:paraId="3E6F16F1" w14:textId="77777777" w:rsidR="00D178A4" w:rsidRPr="00027624" w:rsidRDefault="00D178A4" w:rsidP="00D178A4">
          <w:r w:rsidRPr="00027624">
            <w:t>Demographic trends affect the sustainability of the retirement income system because they determine the number of people the system needs to support. Australia</w:t>
          </w:r>
          <w:r w:rsidR="00A8443E" w:rsidRPr="00027624">
            <w:t>’</w:t>
          </w:r>
          <w:r w:rsidRPr="00027624">
            <w:t xml:space="preserve">s ageing population means the retirement income system must support more people for longer periods. This is explored in </w:t>
          </w:r>
          <w:r w:rsidRPr="00027624">
            <w:rPr>
              <w:i/>
            </w:rPr>
            <w:t>4. Sustainability</w:t>
          </w:r>
          <w:r w:rsidRPr="00027624">
            <w:t>.</w:t>
          </w:r>
        </w:p>
        <w:p w14:paraId="46CFEA60" w14:textId="77777777" w:rsidR="00D178A4" w:rsidRPr="00027624" w:rsidRDefault="00D178A4" w:rsidP="008242AD">
          <w:pPr>
            <w:pStyle w:val="Heading3"/>
            <w:spacing w:before="200"/>
          </w:pPr>
          <w:r w:rsidRPr="00027624">
            <w:lastRenderedPageBreak/>
            <w:t>Population size and distribution</w:t>
          </w:r>
        </w:p>
        <w:p w14:paraId="315F4203" w14:textId="77777777" w:rsidR="00D178A4" w:rsidRPr="00027624" w:rsidRDefault="00D178A4" w:rsidP="00D178A4">
          <w:pPr>
            <w:pStyle w:val="Bullet"/>
            <w:numPr>
              <w:ilvl w:val="0"/>
              <w:numId w:val="0"/>
            </w:numPr>
          </w:pPr>
          <w:r w:rsidRPr="00027624">
            <w:t xml:space="preserve">The size and age distribution of the population influences the demand for government services and support, and the capacity of the workforce to fund government expenditure through taxation. </w:t>
          </w:r>
        </w:p>
        <w:p w14:paraId="2E743E77" w14:textId="77777777" w:rsidR="00D178A4" w:rsidRPr="00027624" w:rsidRDefault="00D178A4" w:rsidP="00D178A4">
          <w:pPr>
            <w:pStyle w:val="Bullet"/>
            <w:numPr>
              <w:ilvl w:val="0"/>
              <w:numId w:val="0"/>
            </w:numPr>
          </w:pPr>
          <w:r w:rsidRPr="00027624">
            <w:t xml:space="preserve">Increases in the proportion of the population aged 65 and over may lead to rising government expenditure on the Age Pension, health care and aged care services, despite a possibly shrinking workforce. </w:t>
          </w:r>
        </w:p>
        <w:p w14:paraId="3C8D18BF" w14:textId="4E7CE447" w:rsidR="00D178A4" w:rsidRPr="00027624" w:rsidRDefault="00D178A4" w:rsidP="00D178A4">
          <w:pPr>
            <w:pStyle w:val="Bullet"/>
            <w:numPr>
              <w:ilvl w:val="0"/>
              <w:numId w:val="0"/>
            </w:numPr>
          </w:pPr>
          <w:r w:rsidRPr="00027624">
            <w:t>As at December 2019</w:t>
          </w:r>
          <w:r w:rsidR="0027057A" w:rsidRPr="00027624">
            <w:t>,</w:t>
          </w:r>
          <w:r w:rsidRPr="00027624">
            <w:t xml:space="preserve"> Australia</w:t>
          </w:r>
          <w:r w:rsidR="00A8443E" w:rsidRPr="00027624">
            <w:t>’</w:t>
          </w:r>
          <w:r w:rsidRPr="00027624">
            <w:t>s population was projected to increase from an estimated 25.8 million in 2020 to 42.2 million in 2060.</w:t>
          </w:r>
          <w:r w:rsidRPr="00027624">
            <w:rPr>
              <w:rStyle w:val="FootnoteReference"/>
            </w:rPr>
            <w:footnoteReference w:id="67"/>
          </w:r>
          <w:r w:rsidRPr="00027624">
            <w:t xml:space="preserve"> The number and proportion of older Australians to the total population is also projected to increase (</w:t>
          </w:r>
          <w:r w:rsidRPr="00027624">
            <w:fldChar w:fldCharType="begin"/>
          </w:r>
          <w:r w:rsidRPr="00027624">
            <w:instrText xml:space="preserve"> REF _Ref44319173 \r \h  \* MERGEFORMAT </w:instrText>
          </w:r>
          <w:r w:rsidRPr="00027624">
            <w:fldChar w:fldCharType="separate"/>
          </w:r>
          <w:r w:rsidR="00891058">
            <w:t>Table 1D-1</w:t>
          </w:r>
          <w:r w:rsidRPr="00027624">
            <w:fldChar w:fldCharType="end"/>
          </w:r>
          <w:r w:rsidRPr="00027624">
            <w:t xml:space="preserve">). </w:t>
          </w:r>
        </w:p>
        <w:p w14:paraId="0BFB3619" w14:textId="77777777" w:rsidR="00D178A4" w:rsidRPr="00027624" w:rsidRDefault="00D178A4" w:rsidP="00FC7361">
          <w:pPr>
            <w:pStyle w:val="TableMainHeading"/>
            <w:numPr>
              <w:ilvl w:val="3"/>
              <w:numId w:val="60"/>
            </w:numPr>
          </w:pPr>
          <w:bookmarkStart w:id="341" w:name="_Ref44319173"/>
          <w:r w:rsidRPr="00027624">
            <w:t>Actual and projected number of Australians aged 65 and over</w:t>
          </w:r>
          <w:bookmarkEnd w:id="341"/>
        </w:p>
        <w:tbl>
          <w:tblPr>
            <w:tblW w:w="5000" w:type="pct"/>
            <w:tblLook w:val="01E0" w:firstRow="1" w:lastRow="1" w:firstColumn="1" w:lastColumn="1" w:noHBand="0" w:noVBand="0"/>
          </w:tblPr>
          <w:tblGrid>
            <w:gridCol w:w="1897"/>
            <w:gridCol w:w="699"/>
            <w:gridCol w:w="698"/>
            <w:gridCol w:w="698"/>
            <w:gridCol w:w="702"/>
            <w:gridCol w:w="704"/>
            <w:gridCol w:w="736"/>
            <w:gridCol w:w="736"/>
            <w:gridCol w:w="736"/>
            <w:gridCol w:w="733"/>
            <w:gridCol w:w="731"/>
          </w:tblGrid>
          <w:tr w:rsidR="00D178A4" w:rsidRPr="00027624" w14:paraId="5C4C8408" w14:textId="77777777" w:rsidTr="00D178A4">
            <w:trPr>
              <w:trHeight w:val="270"/>
              <w:tblHeader/>
            </w:trPr>
            <w:tc>
              <w:tcPr>
                <w:tcW w:w="1045" w:type="pct"/>
                <w:shd w:val="clear" w:color="auto" w:fill="E5E5E5"/>
              </w:tcPr>
              <w:p w14:paraId="3F572756" w14:textId="77777777" w:rsidR="00D178A4" w:rsidRPr="00027624" w:rsidRDefault="00D178A4" w:rsidP="00D178A4">
                <w:pPr>
                  <w:pStyle w:val="TableTextLeft"/>
                </w:pPr>
              </w:p>
            </w:tc>
            <w:tc>
              <w:tcPr>
                <w:tcW w:w="1930" w:type="pct"/>
                <w:gridSpan w:val="5"/>
                <w:tcBorders>
                  <w:right w:val="single" w:sz="4" w:space="0" w:color="auto"/>
                </w:tcBorders>
                <w:shd w:val="clear" w:color="auto" w:fill="E5E5E5"/>
              </w:tcPr>
              <w:p w14:paraId="0D8CE84F" w14:textId="77777777" w:rsidR="00D178A4" w:rsidRPr="00027624" w:rsidRDefault="00D178A4" w:rsidP="00D178A4">
                <w:pPr>
                  <w:pStyle w:val="TableColumnHeadingCentred"/>
                </w:pPr>
                <w:r w:rsidRPr="00027624">
                  <w:t>Number (millions)</w:t>
                </w:r>
              </w:p>
            </w:tc>
            <w:tc>
              <w:tcPr>
                <w:tcW w:w="2025" w:type="pct"/>
                <w:gridSpan w:val="5"/>
                <w:tcBorders>
                  <w:left w:val="single" w:sz="4" w:space="0" w:color="auto"/>
                </w:tcBorders>
                <w:shd w:val="clear" w:color="auto" w:fill="E5E5E5"/>
              </w:tcPr>
              <w:p w14:paraId="71B8DEE9" w14:textId="77777777" w:rsidR="00D178A4" w:rsidRPr="00027624" w:rsidRDefault="00D178A4" w:rsidP="00D178A4">
                <w:pPr>
                  <w:pStyle w:val="TableColumnHeadingCentred"/>
                </w:pPr>
                <w:r w:rsidRPr="00027624">
                  <w:t>Portion of population (per cent)</w:t>
                </w:r>
              </w:p>
            </w:tc>
          </w:tr>
          <w:tr w:rsidR="00D178A4" w:rsidRPr="00027624" w14:paraId="0CD0D4BB" w14:textId="77777777" w:rsidTr="00D178A4">
            <w:trPr>
              <w:trHeight w:val="270"/>
              <w:tblHeader/>
            </w:trPr>
            <w:tc>
              <w:tcPr>
                <w:tcW w:w="1045" w:type="pct"/>
                <w:shd w:val="clear" w:color="auto" w:fill="E5E5E5"/>
              </w:tcPr>
              <w:p w14:paraId="7E721C9D" w14:textId="77777777" w:rsidR="00D178A4" w:rsidRPr="00027624" w:rsidRDefault="00D178A4" w:rsidP="00D178A4">
                <w:pPr>
                  <w:pStyle w:val="TableTextLeft"/>
                </w:pPr>
              </w:p>
            </w:tc>
            <w:tc>
              <w:tcPr>
                <w:tcW w:w="385" w:type="pct"/>
                <w:shd w:val="clear" w:color="auto" w:fill="E5E5E5"/>
              </w:tcPr>
              <w:p w14:paraId="7AC0C0F2" w14:textId="77777777" w:rsidR="00D178A4" w:rsidRPr="00027624" w:rsidRDefault="00D178A4" w:rsidP="00D178A4">
                <w:pPr>
                  <w:pStyle w:val="TableTextLeft"/>
                  <w:jc w:val="center"/>
                </w:pPr>
                <w:r w:rsidRPr="00027624">
                  <w:t>1980</w:t>
                </w:r>
              </w:p>
            </w:tc>
            <w:tc>
              <w:tcPr>
                <w:tcW w:w="385" w:type="pct"/>
                <w:shd w:val="clear" w:color="auto" w:fill="E5E5E5"/>
              </w:tcPr>
              <w:p w14:paraId="4FB70551" w14:textId="77777777" w:rsidR="00D178A4" w:rsidRPr="00027624" w:rsidRDefault="00D178A4" w:rsidP="00D178A4">
                <w:pPr>
                  <w:pStyle w:val="TableTextLeft"/>
                  <w:jc w:val="center"/>
                </w:pPr>
                <w:r w:rsidRPr="00027624">
                  <w:t>2000</w:t>
                </w:r>
              </w:p>
            </w:tc>
            <w:tc>
              <w:tcPr>
                <w:tcW w:w="385" w:type="pct"/>
                <w:shd w:val="clear" w:color="auto" w:fill="E5E5E5"/>
              </w:tcPr>
              <w:p w14:paraId="3B53C294" w14:textId="77777777" w:rsidR="00D178A4" w:rsidRPr="00027624" w:rsidRDefault="00D178A4" w:rsidP="00D178A4">
                <w:pPr>
                  <w:pStyle w:val="TableTextLeft"/>
                  <w:jc w:val="center"/>
                </w:pPr>
                <w:r w:rsidRPr="00027624">
                  <w:t>2020</w:t>
                </w:r>
              </w:p>
            </w:tc>
            <w:tc>
              <w:tcPr>
                <w:tcW w:w="387" w:type="pct"/>
                <w:shd w:val="clear" w:color="auto" w:fill="E5E5E5"/>
              </w:tcPr>
              <w:p w14:paraId="175C6C8D" w14:textId="77777777" w:rsidR="00D178A4" w:rsidRPr="00027624" w:rsidRDefault="00D178A4" w:rsidP="00D178A4">
                <w:pPr>
                  <w:pStyle w:val="TableTextLeft"/>
                  <w:jc w:val="center"/>
                </w:pPr>
                <w:r w:rsidRPr="00027624">
                  <w:t>2040</w:t>
                </w:r>
              </w:p>
            </w:tc>
            <w:tc>
              <w:tcPr>
                <w:tcW w:w="388" w:type="pct"/>
                <w:tcBorders>
                  <w:right w:val="single" w:sz="4" w:space="0" w:color="auto"/>
                </w:tcBorders>
                <w:shd w:val="clear" w:color="auto" w:fill="E5E5E5"/>
              </w:tcPr>
              <w:p w14:paraId="4FBD2D52" w14:textId="77777777" w:rsidR="00D178A4" w:rsidRPr="00027624" w:rsidRDefault="00D178A4" w:rsidP="00D178A4">
                <w:pPr>
                  <w:pStyle w:val="TableTextLeft"/>
                  <w:jc w:val="center"/>
                </w:pPr>
                <w:r w:rsidRPr="00027624">
                  <w:t>2060</w:t>
                </w:r>
              </w:p>
            </w:tc>
            <w:tc>
              <w:tcPr>
                <w:tcW w:w="406" w:type="pct"/>
                <w:tcBorders>
                  <w:left w:val="single" w:sz="4" w:space="0" w:color="auto"/>
                </w:tcBorders>
                <w:shd w:val="clear" w:color="auto" w:fill="E5E5E5"/>
              </w:tcPr>
              <w:p w14:paraId="2780834C" w14:textId="77777777" w:rsidR="00D178A4" w:rsidRPr="00027624" w:rsidRDefault="00D178A4" w:rsidP="00D178A4">
                <w:pPr>
                  <w:pStyle w:val="TableTextLeft"/>
                  <w:jc w:val="center"/>
                </w:pPr>
                <w:r w:rsidRPr="00027624">
                  <w:t>1980</w:t>
                </w:r>
              </w:p>
            </w:tc>
            <w:tc>
              <w:tcPr>
                <w:tcW w:w="406" w:type="pct"/>
                <w:shd w:val="clear" w:color="auto" w:fill="E5E5E5"/>
              </w:tcPr>
              <w:p w14:paraId="0839D2A7" w14:textId="77777777" w:rsidR="00D178A4" w:rsidRPr="00027624" w:rsidRDefault="00D178A4" w:rsidP="00D178A4">
                <w:pPr>
                  <w:pStyle w:val="TableTextLeft"/>
                  <w:jc w:val="center"/>
                </w:pPr>
                <w:r w:rsidRPr="00027624">
                  <w:t>2000</w:t>
                </w:r>
              </w:p>
            </w:tc>
            <w:tc>
              <w:tcPr>
                <w:tcW w:w="406" w:type="pct"/>
                <w:shd w:val="clear" w:color="auto" w:fill="E5E5E5"/>
              </w:tcPr>
              <w:p w14:paraId="2D53148E" w14:textId="77777777" w:rsidR="00D178A4" w:rsidRPr="00027624" w:rsidRDefault="00D178A4" w:rsidP="00D178A4">
                <w:pPr>
                  <w:pStyle w:val="TableTextLeft"/>
                  <w:jc w:val="center"/>
                </w:pPr>
                <w:r w:rsidRPr="00027624">
                  <w:t>2020</w:t>
                </w:r>
              </w:p>
            </w:tc>
            <w:tc>
              <w:tcPr>
                <w:tcW w:w="404" w:type="pct"/>
                <w:shd w:val="clear" w:color="auto" w:fill="E5E5E5"/>
              </w:tcPr>
              <w:p w14:paraId="674854CA" w14:textId="77777777" w:rsidR="00D178A4" w:rsidRPr="00027624" w:rsidRDefault="00D178A4" w:rsidP="00D178A4">
                <w:pPr>
                  <w:pStyle w:val="TableTextLeft"/>
                  <w:jc w:val="center"/>
                </w:pPr>
                <w:r w:rsidRPr="00027624">
                  <w:t>2040</w:t>
                </w:r>
              </w:p>
            </w:tc>
            <w:tc>
              <w:tcPr>
                <w:tcW w:w="403" w:type="pct"/>
                <w:shd w:val="clear" w:color="auto" w:fill="E5E5E5"/>
              </w:tcPr>
              <w:p w14:paraId="5CE9B4FA" w14:textId="77777777" w:rsidR="00D178A4" w:rsidRPr="00027624" w:rsidRDefault="00D178A4" w:rsidP="00D178A4">
                <w:pPr>
                  <w:pStyle w:val="TableTextLeft"/>
                  <w:jc w:val="center"/>
                </w:pPr>
                <w:r w:rsidRPr="00027624">
                  <w:t>2060</w:t>
                </w:r>
              </w:p>
            </w:tc>
          </w:tr>
          <w:tr w:rsidR="00D178A4" w:rsidRPr="00027624" w14:paraId="377DF06E" w14:textId="77777777" w:rsidTr="00D178A4">
            <w:trPr>
              <w:trHeight w:val="270"/>
            </w:trPr>
            <w:tc>
              <w:tcPr>
                <w:tcW w:w="1045" w:type="pct"/>
              </w:tcPr>
              <w:p w14:paraId="427DD1B7" w14:textId="77777777" w:rsidR="00D178A4" w:rsidRPr="00027624" w:rsidRDefault="00D178A4" w:rsidP="00D178A4">
                <w:pPr>
                  <w:pStyle w:val="TableTextLeft"/>
                </w:pPr>
                <w:r w:rsidRPr="00027624">
                  <w:t>Aged 65 and over</w:t>
                </w:r>
              </w:p>
            </w:tc>
            <w:tc>
              <w:tcPr>
                <w:tcW w:w="385" w:type="pct"/>
              </w:tcPr>
              <w:p w14:paraId="6FE333C4" w14:textId="77777777" w:rsidR="00D178A4" w:rsidRPr="00027624" w:rsidRDefault="00D178A4" w:rsidP="00D178A4">
                <w:pPr>
                  <w:pStyle w:val="TableTextLeft"/>
                  <w:jc w:val="center"/>
                </w:pPr>
                <w:r w:rsidRPr="00027624">
                  <w:t>1.4</w:t>
                </w:r>
              </w:p>
            </w:tc>
            <w:tc>
              <w:tcPr>
                <w:tcW w:w="385" w:type="pct"/>
              </w:tcPr>
              <w:p w14:paraId="7A45E1AF" w14:textId="77777777" w:rsidR="00D178A4" w:rsidRPr="00027624" w:rsidRDefault="00D178A4" w:rsidP="00D178A4">
                <w:pPr>
                  <w:pStyle w:val="TableTextLeft"/>
                  <w:jc w:val="center"/>
                </w:pPr>
                <w:r w:rsidRPr="00027624">
                  <w:t>2.4</w:t>
                </w:r>
              </w:p>
            </w:tc>
            <w:tc>
              <w:tcPr>
                <w:tcW w:w="385" w:type="pct"/>
              </w:tcPr>
              <w:p w14:paraId="65EFDD99" w14:textId="77777777" w:rsidR="00D178A4" w:rsidRPr="00027624" w:rsidRDefault="00D178A4" w:rsidP="00D178A4">
                <w:pPr>
                  <w:pStyle w:val="TableTextLeft"/>
                  <w:jc w:val="center"/>
                </w:pPr>
                <w:r w:rsidRPr="00027624">
                  <w:t>4.2</w:t>
                </w:r>
              </w:p>
            </w:tc>
            <w:tc>
              <w:tcPr>
                <w:tcW w:w="387" w:type="pct"/>
              </w:tcPr>
              <w:p w14:paraId="3E152D7E" w14:textId="77777777" w:rsidR="00D178A4" w:rsidRPr="00027624" w:rsidRDefault="00D178A4" w:rsidP="00D178A4">
                <w:pPr>
                  <w:pStyle w:val="TableTextLeft"/>
                  <w:jc w:val="center"/>
                </w:pPr>
                <w:r w:rsidRPr="00027624">
                  <w:t>6.7</w:t>
                </w:r>
              </w:p>
            </w:tc>
            <w:tc>
              <w:tcPr>
                <w:tcW w:w="388" w:type="pct"/>
                <w:tcBorders>
                  <w:right w:val="single" w:sz="4" w:space="0" w:color="auto"/>
                </w:tcBorders>
              </w:tcPr>
              <w:p w14:paraId="4D7F1EBA" w14:textId="77777777" w:rsidR="00D178A4" w:rsidRPr="00027624" w:rsidRDefault="00D178A4" w:rsidP="00D178A4">
                <w:pPr>
                  <w:pStyle w:val="TableTextLeft"/>
                  <w:jc w:val="center"/>
                </w:pPr>
                <w:r w:rsidRPr="00027624">
                  <w:t>9.3</w:t>
                </w:r>
              </w:p>
            </w:tc>
            <w:tc>
              <w:tcPr>
                <w:tcW w:w="406" w:type="pct"/>
                <w:tcBorders>
                  <w:left w:val="single" w:sz="4" w:space="0" w:color="auto"/>
                </w:tcBorders>
              </w:tcPr>
              <w:p w14:paraId="20CAAB40" w14:textId="77777777" w:rsidR="00D178A4" w:rsidRPr="00027624" w:rsidRDefault="00D178A4" w:rsidP="00D178A4">
                <w:pPr>
                  <w:pStyle w:val="TableTextLeft"/>
                  <w:jc w:val="center"/>
                </w:pPr>
                <w:r w:rsidRPr="00027624">
                  <w:t>9.6</w:t>
                </w:r>
              </w:p>
            </w:tc>
            <w:tc>
              <w:tcPr>
                <w:tcW w:w="406" w:type="pct"/>
              </w:tcPr>
              <w:p w14:paraId="1A187C63" w14:textId="77777777" w:rsidR="00D178A4" w:rsidRPr="00027624" w:rsidRDefault="00D178A4" w:rsidP="00D178A4">
                <w:pPr>
                  <w:pStyle w:val="TableTextLeft"/>
                  <w:jc w:val="center"/>
                </w:pPr>
                <w:r w:rsidRPr="00027624">
                  <w:t>12.4</w:t>
                </w:r>
              </w:p>
            </w:tc>
            <w:tc>
              <w:tcPr>
                <w:tcW w:w="406" w:type="pct"/>
              </w:tcPr>
              <w:p w14:paraId="3868960A" w14:textId="77777777" w:rsidR="00D178A4" w:rsidRPr="00027624" w:rsidRDefault="00D178A4" w:rsidP="00D178A4">
                <w:pPr>
                  <w:pStyle w:val="TableTextLeft"/>
                  <w:jc w:val="center"/>
                </w:pPr>
                <w:r w:rsidRPr="00027624">
                  <w:t>16.1</w:t>
                </w:r>
              </w:p>
            </w:tc>
            <w:tc>
              <w:tcPr>
                <w:tcW w:w="404" w:type="pct"/>
              </w:tcPr>
              <w:p w14:paraId="1F50E0B1" w14:textId="77777777" w:rsidR="00D178A4" w:rsidRPr="00027624" w:rsidRDefault="00D178A4" w:rsidP="00D178A4">
                <w:pPr>
                  <w:pStyle w:val="TableTextLeft"/>
                  <w:jc w:val="center"/>
                </w:pPr>
                <w:r w:rsidRPr="00027624">
                  <w:t>19.7</w:t>
                </w:r>
              </w:p>
            </w:tc>
            <w:tc>
              <w:tcPr>
                <w:tcW w:w="403" w:type="pct"/>
              </w:tcPr>
              <w:p w14:paraId="7CC89EB8" w14:textId="77777777" w:rsidR="00D178A4" w:rsidRPr="00027624" w:rsidRDefault="00D178A4" w:rsidP="00D178A4">
                <w:pPr>
                  <w:pStyle w:val="TableTextLeft"/>
                  <w:jc w:val="center"/>
                </w:pPr>
                <w:r w:rsidRPr="00027624">
                  <w:t>22.0</w:t>
                </w:r>
              </w:p>
            </w:tc>
          </w:tr>
          <w:tr w:rsidR="00D178A4" w:rsidRPr="00027624" w14:paraId="2CCD8B3B" w14:textId="77777777" w:rsidTr="00D178A4">
            <w:trPr>
              <w:trHeight w:val="270"/>
            </w:trPr>
            <w:tc>
              <w:tcPr>
                <w:tcW w:w="1045" w:type="pct"/>
              </w:tcPr>
              <w:p w14:paraId="757D81E7" w14:textId="77777777" w:rsidR="00D178A4" w:rsidRPr="00027624" w:rsidRDefault="00D178A4" w:rsidP="00D178A4">
                <w:pPr>
                  <w:pStyle w:val="TableTextLeft"/>
                </w:pPr>
                <w:r w:rsidRPr="00027624">
                  <w:t>Aged 75 and over</w:t>
                </w:r>
              </w:p>
            </w:tc>
            <w:tc>
              <w:tcPr>
                <w:tcW w:w="385" w:type="pct"/>
              </w:tcPr>
              <w:p w14:paraId="6AED61DE" w14:textId="77777777" w:rsidR="00D178A4" w:rsidRPr="00027624" w:rsidRDefault="00D178A4" w:rsidP="00D178A4">
                <w:pPr>
                  <w:pStyle w:val="TableTextLeft"/>
                  <w:jc w:val="center"/>
                </w:pPr>
                <w:r w:rsidRPr="00027624">
                  <w:t>0.5</w:t>
                </w:r>
              </w:p>
            </w:tc>
            <w:tc>
              <w:tcPr>
                <w:tcW w:w="385" w:type="pct"/>
              </w:tcPr>
              <w:p w14:paraId="2FD071AB" w14:textId="77777777" w:rsidR="00D178A4" w:rsidRPr="00027624" w:rsidRDefault="00D178A4" w:rsidP="00D178A4">
                <w:pPr>
                  <w:pStyle w:val="TableTextLeft"/>
                  <w:jc w:val="center"/>
                </w:pPr>
                <w:r w:rsidRPr="00027624">
                  <w:t>1.1</w:t>
                </w:r>
              </w:p>
            </w:tc>
            <w:tc>
              <w:tcPr>
                <w:tcW w:w="385" w:type="pct"/>
              </w:tcPr>
              <w:p w14:paraId="6AA575E0" w14:textId="77777777" w:rsidR="00D178A4" w:rsidRPr="00027624" w:rsidRDefault="00D178A4" w:rsidP="00D178A4">
                <w:pPr>
                  <w:pStyle w:val="TableTextLeft"/>
                  <w:jc w:val="center"/>
                </w:pPr>
                <w:r w:rsidRPr="00027624">
                  <w:t>1.8</w:t>
                </w:r>
              </w:p>
            </w:tc>
            <w:tc>
              <w:tcPr>
                <w:tcW w:w="387" w:type="pct"/>
              </w:tcPr>
              <w:p w14:paraId="68A7FA86" w14:textId="77777777" w:rsidR="00D178A4" w:rsidRPr="00027624" w:rsidRDefault="00D178A4" w:rsidP="00D178A4">
                <w:pPr>
                  <w:pStyle w:val="TableTextLeft"/>
                  <w:jc w:val="center"/>
                </w:pPr>
                <w:r w:rsidRPr="00027624">
                  <w:t>3.7</w:t>
                </w:r>
              </w:p>
            </w:tc>
            <w:tc>
              <w:tcPr>
                <w:tcW w:w="388" w:type="pct"/>
                <w:tcBorders>
                  <w:right w:val="single" w:sz="4" w:space="0" w:color="auto"/>
                </w:tcBorders>
              </w:tcPr>
              <w:p w14:paraId="0F42D2F4" w14:textId="77777777" w:rsidR="00D178A4" w:rsidRPr="00027624" w:rsidRDefault="00D178A4" w:rsidP="00D178A4">
                <w:pPr>
                  <w:pStyle w:val="TableTextLeft"/>
                  <w:jc w:val="center"/>
                </w:pPr>
                <w:r w:rsidRPr="00027624">
                  <w:t>5.1</w:t>
                </w:r>
              </w:p>
            </w:tc>
            <w:tc>
              <w:tcPr>
                <w:tcW w:w="406" w:type="pct"/>
                <w:tcBorders>
                  <w:left w:val="single" w:sz="4" w:space="0" w:color="auto"/>
                </w:tcBorders>
              </w:tcPr>
              <w:p w14:paraId="11A3A02D" w14:textId="77777777" w:rsidR="00D178A4" w:rsidRPr="00027624" w:rsidRDefault="00D178A4" w:rsidP="00D178A4">
                <w:pPr>
                  <w:pStyle w:val="TableTextLeft"/>
                  <w:jc w:val="center"/>
                </w:pPr>
                <w:r w:rsidRPr="00027624">
                  <w:t>3.4</w:t>
                </w:r>
              </w:p>
            </w:tc>
            <w:tc>
              <w:tcPr>
                <w:tcW w:w="406" w:type="pct"/>
              </w:tcPr>
              <w:p w14:paraId="4D44A767" w14:textId="77777777" w:rsidR="00D178A4" w:rsidRPr="00027624" w:rsidRDefault="00D178A4" w:rsidP="00D178A4">
                <w:pPr>
                  <w:pStyle w:val="TableTextLeft"/>
                  <w:jc w:val="center"/>
                </w:pPr>
                <w:r w:rsidRPr="00027624">
                  <w:t>5.6</w:t>
                </w:r>
              </w:p>
            </w:tc>
            <w:tc>
              <w:tcPr>
                <w:tcW w:w="406" w:type="pct"/>
              </w:tcPr>
              <w:p w14:paraId="5DD6F814" w14:textId="77777777" w:rsidR="00D178A4" w:rsidRPr="00027624" w:rsidRDefault="00D178A4" w:rsidP="00D178A4">
                <w:pPr>
                  <w:pStyle w:val="TableTextLeft"/>
                  <w:jc w:val="center"/>
                </w:pPr>
                <w:r w:rsidRPr="00027624">
                  <w:t>7.0</w:t>
                </w:r>
              </w:p>
            </w:tc>
            <w:tc>
              <w:tcPr>
                <w:tcW w:w="404" w:type="pct"/>
              </w:tcPr>
              <w:p w14:paraId="1AF7F30E" w14:textId="77777777" w:rsidR="00D178A4" w:rsidRPr="00027624" w:rsidRDefault="00D178A4" w:rsidP="00D178A4">
                <w:pPr>
                  <w:pStyle w:val="TableTextLeft"/>
                  <w:jc w:val="center"/>
                </w:pPr>
                <w:r w:rsidRPr="00027624">
                  <w:t>10.8</w:t>
                </w:r>
              </w:p>
            </w:tc>
            <w:tc>
              <w:tcPr>
                <w:tcW w:w="403" w:type="pct"/>
              </w:tcPr>
              <w:p w14:paraId="3534271E" w14:textId="77777777" w:rsidR="00D178A4" w:rsidRPr="00027624" w:rsidRDefault="00D178A4" w:rsidP="00D178A4">
                <w:pPr>
                  <w:pStyle w:val="TableTextLeft"/>
                  <w:jc w:val="center"/>
                </w:pPr>
                <w:r w:rsidRPr="00027624">
                  <w:t>12.2</w:t>
                </w:r>
              </w:p>
            </w:tc>
          </w:tr>
          <w:tr w:rsidR="00D178A4" w:rsidRPr="00027624" w14:paraId="597A1B75" w14:textId="77777777" w:rsidTr="00D178A4">
            <w:trPr>
              <w:trHeight w:val="270"/>
            </w:trPr>
            <w:tc>
              <w:tcPr>
                <w:tcW w:w="1045" w:type="pct"/>
              </w:tcPr>
              <w:p w14:paraId="64632E66" w14:textId="77777777" w:rsidR="00D178A4" w:rsidRPr="00027624" w:rsidRDefault="00D178A4" w:rsidP="00D178A4">
                <w:pPr>
                  <w:pStyle w:val="TableTextLeft"/>
                </w:pPr>
                <w:r w:rsidRPr="00027624">
                  <w:t>Aged 85 and over</w:t>
                </w:r>
              </w:p>
            </w:tc>
            <w:tc>
              <w:tcPr>
                <w:tcW w:w="385" w:type="pct"/>
              </w:tcPr>
              <w:p w14:paraId="4BF7E256" w14:textId="77777777" w:rsidR="00D178A4" w:rsidRPr="00027624" w:rsidRDefault="00D178A4" w:rsidP="00D178A4">
                <w:pPr>
                  <w:pStyle w:val="TableTextLeft"/>
                  <w:jc w:val="center"/>
                </w:pPr>
                <w:r w:rsidRPr="00027624">
                  <w:t>0.1</w:t>
                </w:r>
              </w:p>
            </w:tc>
            <w:tc>
              <w:tcPr>
                <w:tcW w:w="385" w:type="pct"/>
              </w:tcPr>
              <w:p w14:paraId="7FB2CA91" w14:textId="77777777" w:rsidR="00D178A4" w:rsidRPr="00027624" w:rsidRDefault="00D178A4" w:rsidP="00D178A4">
                <w:pPr>
                  <w:pStyle w:val="TableTextLeft"/>
                  <w:jc w:val="center"/>
                </w:pPr>
                <w:r w:rsidRPr="00027624">
                  <w:t>0.3</w:t>
                </w:r>
              </w:p>
            </w:tc>
            <w:tc>
              <w:tcPr>
                <w:tcW w:w="385" w:type="pct"/>
              </w:tcPr>
              <w:p w14:paraId="091207E7" w14:textId="77777777" w:rsidR="00D178A4" w:rsidRPr="00027624" w:rsidRDefault="00D178A4" w:rsidP="00D178A4">
                <w:pPr>
                  <w:pStyle w:val="TableTextLeft"/>
                  <w:jc w:val="center"/>
                </w:pPr>
                <w:r w:rsidRPr="00027624">
                  <w:t>0.5</w:t>
                </w:r>
              </w:p>
            </w:tc>
            <w:tc>
              <w:tcPr>
                <w:tcW w:w="387" w:type="pct"/>
              </w:tcPr>
              <w:p w14:paraId="13C5D9B3" w14:textId="77777777" w:rsidR="00D178A4" w:rsidRPr="00027624" w:rsidRDefault="00D178A4" w:rsidP="00D178A4">
                <w:pPr>
                  <w:pStyle w:val="TableTextLeft"/>
                  <w:jc w:val="center"/>
                </w:pPr>
                <w:r w:rsidRPr="00027624">
                  <w:t>1.2</w:t>
                </w:r>
              </w:p>
            </w:tc>
            <w:tc>
              <w:tcPr>
                <w:tcW w:w="388" w:type="pct"/>
                <w:tcBorders>
                  <w:right w:val="single" w:sz="4" w:space="0" w:color="auto"/>
                </w:tcBorders>
              </w:tcPr>
              <w:p w14:paraId="283D6505" w14:textId="77777777" w:rsidR="00D178A4" w:rsidRPr="00027624" w:rsidRDefault="00D178A4" w:rsidP="00D178A4">
                <w:pPr>
                  <w:pStyle w:val="TableTextLeft"/>
                  <w:jc w:val="center"/>
                </w:pPr>
                <w:r w:rsidRPr="00027624">
                  <w:t>2.1</w:t>
                </w:r>
              </w:p>
            </w:tc>
            <w:tc>
              <w:tcPr>
                <w:tcW w:w="406" w:type="pct"/>
                <w:tcBorders>
                  <w:left w:val="single" w:sz="4" w:space="0" w:color="auto"/>
                </w:tcBorders>
              </w:tcPr>
              <w:p w14:paraId="5659451C" w14:textId="77777777" w:rsidR="00D178A4" w:rsidRPr="00027624" w:rsidRDefault="00D178A4" w:rsidP="00D178A4">
                <w:pPr>
                  <w:pStyle w:val="TableTextLeft"/>
                  <w:jc w:val="center"/>
                </w:pPr>
                <w:r w:rsidRPr="00027624">
                  <w:t>0.7</w:t>
                </w:r>
              </w:p>
            </w:tc>
            <w:tc>
              <w:tcPr>
                <w:tcW w:w="406" w:type="pct"/>
              </w:tcPr>
              <w:p w14:paraId="39BD2A46" w14:textId="77777777" w:rsidR="00D178A4" w:rsidRPr="00027624" w:rsidRDefault="00D178A4" w:rsidP="00D178A4">
                <w:pPr>
                  <w:pStyle w:val="TableTextLeft"/>
                  <w:jc w:val="center"/>
                </w:pPr>
                <w:r w:rsidRPr="00027624">
                  <w:t>1.3</w:t>
                </w:r>
              </w:p>
            </w:tc>
            <w:tc>
              <w:tcPr>
                <w:tcW w:w="406" w:type="pct"/>
              </w:tcPr>
              <w:p w14:paraId="290B96DF" w14:textId="77777777" w:rsidR="00D178A4" w:rsidRPr="00027624" w:rsidRDefault="00D178A4" w:rsidP="00D178A4">
                <w:pPr>
                  <w:pStyle w:val="TableTextLeft"/>
                  <w:jc w:val="center"/>
                </w:pPr>
                <w:r w:rsidRPr="00027624">
                  <w:t>2.0</w:t>
                </w:r>
              </w:p>
            </w:tc>
            <w:tc>
              <w:tcPr>
                <w:tcW w:w="404" w:type="pct"/>
              </w:tcPr>
              <w:p w14:paraId="3CA7C1E1" w14:textId="77777777" w:rsidR="00D178A4" w:rsidRPr="00027624" w:rsidRDefault="00D178A4" w:rsidP="00D178A4">
                <w:pPr>
                  <w:pStyle w:val="TableTextLeft"/>
                  <w:jc w:val="center"/>
                </w:pPr>
                <w:r w:rsidRPr="00027624">
                  <w:t>3.6</w:t>
                </w:r>
              </w:p>
            </w:tc>
            <w:tc>
              <w:tcPr>
                <w:tcW w:w="403" w:type="pct"/>
              </w:tcPr>
              <w:p w14:paraId="0AC5988D" w14:textId="77777777" w:rsidR="00D178A4" w:rsidRPr="00027624" w:rsidRDefault="00D178A4" w:rsidP="00D178A4">
                <w:pPr>
                  <w:pStyle w:val="TableTextLeft"/>
                  <w:jc w:val="center"/>
                </w:pPr>
                <w:r w:rsidRPr="00027624">
                  <w:t>4.9</w:t>
                </w:r>
              </w:p>
            </w:tc>
          </w:tr>
        </w:tbl>
        <w:p w14:paraId="3C7C4739" w14:textId="77777777" w:rsidR="00D178A4" w:rsidRPr="00027624" w:rsidRDefault="00D178A4" w:rsidP="008242AD">
          <w:pPr>
            <w:pStyle w:val="ChartorTableNote"/>
            <w:spacing w:after="200"/>
          </w:pPr>
          <w:r w:rsidRPr="00027624">
            <w:t xml:space="preserve">Source: Analysis of </w:t>
          </w:r>
          <w:sdt>
            <w:sdtPr>
              <w:id w:val="386765696"/>
              <w:citation/>
            </w:sdtPr>
            <w:sdtEndPr/>
            <w:sdtContent>
              <w:r w:rsidRPr="00027624">
                <w:fldChar w:fldCharType="begin"/>
              </w:r>
              <w:r w:rsidRPr="00027624">
                <w:instrText xml:space="preserve"> CITATION ABS194 \l 3081 </w:instrText>
              </w:r>
              <w:r w:rsidRPr="00027624">
                <w:fldChar w:fldCharType="separate"/>
              </w:r>
              <w:r w:rsidR="00E83F6E">
                <w:rPr>
                  <w:noProof/>
                </w:rPr>
                <w:t>(ABS, 2019c)</w:t>
              </w:r>
              <w:r w:rsidRPr="00027624">
                <w:fldChar w:fldCharType="end"/>
              </w:r>
            </w:sdtContent>
          </w:sdt>
          <w:r w:rsidRPr="00027624">
            <w:t>, population projections by Centre for Population, The Treasury as at December 2019.</w:t>
          </w:r>
        </w:p>
        <w:p w14:paraId="06C528E2" w14:textId="77777777" w:rsidR="00D178A4" w:rsidRPr="00027624" w:rsidRDefault="00D178A4" w:rsidP="00D178A4">
          <w:pPr>
            <w:pStyle w:val="Bullet"/>
            <w:numPr>
              <w:ilvl w:val="0"/>
              <w:numId w:val="0"/>
            </w:numPr>
          </w:pPr>
          <w:r w:rsidRPr="00027624">
            <w:t>Declining fertility rates have contributed to Australia</w:t>
          </w:r>
          <w:r w:rsidR="00A8443E" w:rsidRPr="00027624">
            <w:t>’</w:t>
          </w:r>
          <w:r w:rsidRPr="00027624">
            <w:t>s ageing population. Since its peak of 3.5 births per woman in 1961, the fertility rate has declined, falling below the replacement rate of 2.1 after 1975</w:t>
          </w:r>
          <w:sdt>
            <w:sdtPr>
              <w:id w:val="208697932"/>
              <w:citation/>
            </w:sdtPr>
            <w:sdtEndPr/>
            <w:sdtContent>
              <w:r w:rsidRPr="00027624">
                <w:fldChar w:fldCharType="begin"/>
              </w:r>
              <w:r w:rsidRPr="00027624">
                <w:instrText xml:space="preserve"> CITATION ABS194 \l 3081 </w:instrText>
              </w:r>
              <w:r w:rsidRPr="00027624">
                <w:fldChar w:fldCharType="separate"/>
              </w:r>
              <w:r w:rsidR="00E83F6E">
                <w:rPr>
                  <w:noProof/>
                </w:rPr>
                <w:t xml:space="preserve"> (ABS, 2019c)</w:t>
              </w:r>
              <w:r w:rsidRPr="00027624">
                <w:fldChar w:fldCharType="end"/>
              </w:r>
            </w:sdtContent>
          </w:sdt>
          <w:r w:rsidRPr="00027624">
            <w:t>. Fertility rates are projected to continue to stay below the replacement rate</w:t>
          </w:r>
          <w:sdt>
            <w:sdtPr>
              <w:id w:val="-1320963783"/>
              <w:citation/>
            </w:sdtPr>
            <w:sdtEndPr/>
            <w:sdtContent>
              <w:r w:rsidRPr="00027624">
                <w:fldChar w:fldCharType="begin"/>
              </w:r>
              <w:r w:rsidRPr="00027624">
                <w:instrText xml:space="preserve">CITATION Placeholder1 \l 3081 </w:instrText>
              </w:r>
              <w:r w:rsidRPr="00027624">
                <w:fldChar w:fldCharType="separate"/>
              </w:r>
              <w:r w:rsidR="00E83F6E">
                <w:rPr>
                  <w:noProof/>
                </w:rPr>
                <w:t xml:space="preserve"> (ABS, 2018g)</w:t>
              </w:r>
              <w:r w:rsidRPr="00027624">
                <w:fldChar w:fldCharType="end"/>
              </w:r>
            </w:sdtContent>
          </w:sdt>
          <w:r w:rsidRPr="00027624">
            <w:t xml:space="preserve">. In 2018, the fertility rate was 1.7 </w:t>
          </w:r>
          <w:sdt>
            <w:sdtPr>
              <w:id w:val="-802919894"/>
              <w:citation/>
            </w:sdtPr>
            <w:sdtEndPr/>
            <w:sdtContent>
              <w:r w:rsidRPr="00027624">
                <w:fldChar w:fldCharType="begin"/>
              </w:r>
              <w:r w:rsidRPr="00027624">
                <w:instrText xml:space="preserve">CITATION ABS208 \l 3081 </w:instrText>
              </w:r>
              <w:r w:rsidRPr="00027624">
                <w:fldChar w:fldCharType="separate"/>
              </w:r>
              <w:r w:rsidR="00E83F6E">
                <w:rPr>
                  <w:noProof/>
                </w:rPr>
                <w:t>(ABS, 2019e)</w:t>
              </w:r>
              <w:r w:rsidRPr="00027624">
                <w:fldChar w:fldCharType="end"/>
              </w:r>
            </w:sdtContent>
          </w:sdt>
          <w:r w:rsidRPr="00027624">
            <w:t>. Net overseas migration has helped to offset the growing proportion of older Australians, as migrants are generally of working age</w:t>
          </w:r>
          <w:sdt>
            <w:sdtPr>
              <w:id w:val="1899626048"/>
              <w:citation/>
            </w:sdtPr>
            <w:sdtEndPr/>
            <w:sdtContent>
              <w:r w:rsidRPr="00027624">
                <w:fldChar w:fldCharType="begin"/>
              </w:r>
              <w:r w:rsidRPr="00027624">
                <w:instrText xml:space="preserve">CITATION ABS195f \t  \l 3081 </w:instrText>
              </w:r>
              <w:r w:rsidRPr="00027624">
                <w:fldChar w:fldCharType="separate"/>
              </w:r>
              <w:r w:rsidR="00E83F6E">
                <w:rPr>
                  <w:noProof/>
                </w:rPr>
                <w:t xml:space="preserve"> (ABS, 2020m)</w:t>
              </w:r>
              <w:r w:rsidRPr="00027624">
                <w:fldChar w:fldCharType="end"/>
              </w:r>
            </w:sdtContent>
          </w:sdt>
          <w:r w:rsidRPr="00027624">
            <w:t xml:space="preserve">. </w:t>
          </w:r>
        </w:p>
        <w:p w14:paraId="54BE0B0A" w14:textId="603F7E48" w:rsidR="00D178A4" w:rsidRPr="00027624" w:rsidRDefault="00D178A4" w:rsidP="008242AD">
          <w:pPr>
            <w:pStyle w:val="Bullet"/>
            <w:numPr>
              <w:ilvl w:val="0"/>
              <w:numId w:val="0"/>
            </w:numPr>
            <w:spacing w:after="0"/>
          </w:pPr>
          <w:r w:rsidRPr="00027624">
            <w:t>The generation born while the fertility rate was high represents a larger portion of the population compared with other generations, contributing to the ageing population. From 2010, as this generation started reaching age 65, the old</w:t>
          </w:r>
          <w:r w:rsidR="00A8443E" w:rsidRPr="00027624">
            <w:noBreakHyphen/>
          </w:r>
          <w:r w:rsidRPr="00027624">
            <w:t>age dependency ratio began rising steeply (</w:t>
          </w:r>
          <w:r w:rsidRPr="00027624">
            <w:fldChar w:fldCharType="begin"/>
          </w:r>
          <w:r w:rsidRPr="00027624">
            <w:instrText xml:space="preserve"> REF _Ref45204257 \r \h </w:instrText>
          </w:r>
          <w:r w:rsidR="00FA7639" w:rsidRPr="00027624">
            <w:instrText xml:space="preserve"> \* MERGEFORMAT </w:instrText>
          </w:r>
          <w:r w:rsidRPr="00027624">
            <w:fldChar w:fldCharType="separate"/>
          </w:r>
          <w:r w:rsidR="00891058">
            <w:t>Chart 1D-1</w:t>
          </w:r>
          <w:r w:rsidRPr="00027624">
            <w:fldChar w:fldCharType="end"/>
          </w:r>
          <w:r w:rsidRPr="00027624">
            <w:t>). From 2030, the ratio was projected to grow more slowly as subsequent generations are smaller in size.</w:t>
          </w:r>
        </w:p>
        <w:p w14:paraId="19BA6D88" w14:textId="77777777" w:rsidR="00D178A4" w:rsidRPr="00027624" w:rsidRDefault="00D178A4" w:rsidP="00FC7361">
          <w:pPr>
            <w:pStyle w:val="ChartMainHeading"/>
            <w:numPr>
              <w:ilvl w:val="2"/>
              <w:numId w:val="61"/>
            </w:numPr>
            <w:spacing w:before="0"/>
          </w:pPr>
          <w:bookmarkStart w:id="342" w:name="_Ref45204257"/>
          <w:bookmarkStart w:id="343" w:name="_Ref38460366"/>
          <w:r w:rsidRPr="00027624">
            <w:t>Actual and projected old</w:t>
          </w:r>
          <w:r w:rsidR="00A8443E" w:rsidRPr="00027624">
            <w:noBreakHyphen/>
          </w:r>
          <w:r w:rsidRPr="00027624">
            <w:t>age dependency ratio</w:t>
          </w:r>
          <w:bookmarkEnd w:id="342"/>
          <w:bookmarkEnd w:id="343"/>
        </w:p>
        <w:p w14:paraId="2008A74A" w14:textId="77777777" w:rsidR="00D178A4" w:rsidRPr="00027624" w:rsidRDefault="00D1612D" w:rsidP="00D178A4">
          <w:pPr>
            <w:pStyle w:val="ChartGraphic"/>
          </w:pPr>
          <w:r>
            <w:rPr>
              <w:noProof/>
            </w:rPr>
            <w:drawing>
              <wp:inline distT="0" distB="0" distL="0" distR="0" wp14:anchorId="25A44E66" wp14:editId="2B607260">
                <wp:extent cx="5577840" cy="2598420"/>
                <wp:effectExtent l="0" t="0" r="3810" b="0"/>
                <wp:docPr id="2099192816" name="Picture 2099192816" descr="This chart shows that the old age dependency ratio has increased from around 15 people aged 65 and over per 100 working-age people (aged 15-64) in 1980, to around 25 people in 2020. The ratio is projected to increase further to around 36 people in 2060." title="Chart 1D-1 Actual and projected old-age dependency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77840" cy="2598420"/>
                        </a:xfrm>
                        <a:prstGeom prst="rect">
                          <a:avLst/>
                        </a:prstGeom>
                        <a:noFill/>
                      </pic:spPr>
                    </pic:pic>
                  </a:graphicData>
                </a:graphic>
              </wp:inline>
            </w:drawing>
          </w:r>
        </w:p>
        <w:p w14:paraId="07069428" w14:textId="77777777" w:rsidR="00D178A4" w:rsidRPr="00027624" w:rsidRDefault="00D178A4" w:rsidP="008242AD">
          <w:pPr>
            <w:pStyle w:val="ChartorTableNote"/>
            <w:spacing w:before="0" w:after="0"/>
          </w:pPr>
          <w:r w:rsidRPr="00027624">
            <w:t>Note: The old</w:t>
          </w:r>
          <w:r w:rsidR="00A8443E" w:rsidRPr="00027624">
            <w:noBreakHyphen/>
          </w:r>
          <w:r w:rsidRPr="00027624">
            <w:t>age dependency ratio represents the number of people aged 65 and over per 100 working</w:t>
          </w:r>
          <w:r w:rsidR="00A8443E" w:rsidRPr="00027624">
            <w:noBreakHyphen/>
          </w:r>
          <w:r w:rsidRPr="00027624">
            <w:t>age (15</w:t>
          </w:r>
          <w:r w:rsidR="00A8443E" w:rsidRPr="00027624">
            <w:noBreakHyphen/>
          </w:r>
          <w:r w:rsidRPr="00027624">
            <w:t xml:space="preserve">64) people. Source: Analysis of </w:t>
          </w:r>
          <w:sdt>
            <w:sdtPr>
              <w:id w:val="-513611339"/>
              <w:citation/>
            </w:sdtPr>
            <w:sdtEndPr/>
            <w:sdtContent>
              <w:r w:rsidRPr="00027624">
                <w:fldChar w:fldCharType="begin"/>
              </w:r>
              <w:r w:rsidRPr="00027624">
                <w:instrText xml:space="preserve"> CITATION ABS194 \l 3081 </w:instrText>
              </w:r>
              <w:r w:rsidRPr="00027624">
                <w:fldChar w:fldCharType="separate"/>
              </w:r>
              <w:r w:rsidR="00E83F6E">
                <w:rPr>
                  <w:noProof/>
                </w:rPr>
                <w:t>(ABS, 2019c)</w:t>
              </w:r>
              <w:r w:rsidRPr="00027624">
                <w:fldChar w:fldCharType="end"/>
              </w:r>
            </w:sdtContent>
          </w:sdt>
          <w:r w:rsidRPr="00027624">
            <w:t>, population projections by Centre for Population, The Treasury as at December 2019.</w:t>
          </w:r>
        </w:p>
        <w:p w14:paraId="226E86F1" w14:textId="77777777" w:rsidR="00D178A4" w:rsidRPr="00027624" w:rsidRDefault="00D178A4" w:rsidP="00D178A4">
          <w:r w:rsidRPr="00027624">
            <w:lastRenderedPageBreak/>
            <w:t>These projections do not account for possible short</w:t>
          </w:r>
          <w:r w:rsidR="00A8443E" w:rsidRPr="00027624">
            <w:noBreakHyphen/>
          </w:r>
          <w:r w:rsidRPr="00027624">
            <w:t xml:space="preserve"> to medium</w:t>
          </w:r>
          <w:r w:rsidR="00A8443E" w:rsidRPr="00027624">
            <w:noBreakHyphen/>
          </w:r>
          <w:r w:rsidRPr="00027624">
            <w:t>term demographic changes associated with the COVID</w:t>
          </w:r>
          <w:r w:rsidR="00A8443E" w:rsidRPr="00027624">
            <w:noBreakHyphen/>
          </w:r>
          <w:r w:rsidRPr="00027624">
            <w:t>19 Pandemic. There may be a significant fall in net overseas migration during 2019</w:t>
          </w:r>
          <w:r w:rsidR="00A8443E" w:rsidRPr="00027624">
            <w:noBreakHyphen/>
          </w:r>
          <w:r w:rsidRPr="00027624">
            <w:t xml:space="preserve">2021 </w:t>
          </w:r>
          <w:sdt>
            <w:sdtPr>
              <w:id w:val="93146593"/>
              <w:citation/>
            </w:sdtPr>
            <w:sdtEndPr/>
            <w:sdtContent>
              <w:r w:rsidRPr="00027624">
                <w:fldChar w:fldCharType="begin"/>
              </w:r>
              <w:r w:rsidRPr="00027624">
                <w:instrText xml:space="preserve"> CITATION Pri20 \l 3081 </w:instrText>
              </w:r>
              <w:r w:rsidRPr="00027624">
                <w:fldChar w:fldCharType="separate"/>
              </w:r>
              <w:r w:rsidR="00E83F6E">
                <w:rPr>
                  <w:noProof/>
                </w:rPr>
                <w:t>(Prime Minister of Australia, 2020)</w:t>
              </w:r>
              <w:r w:rsidRPr="00027624">
                <w:fldChar w:fldCharType="end"/>
              </w:r>
            </w:sdtContent>
          </w:sdt>
          <w:r w:rsidRPr="00027624">
            <w:t>, which could see the old</w:t>
          </w:r>
          <w:r w:rsidR="00A8443E" w:rsidRPr="00027624">
            <w:noBreakHyphen/>
          </w:r>
          <w:r w:rsidRPr="00027624">
            <w:t>age dependency ratio increase more sharply over this period. There may also be a</w:t>
          </w:r>
          <w:r w:rsidRPr="00027624" w:rsidDel="000D4C40">
            <w:t xml:space="preserve"> </w:t>
          </w:r>
          <w:r w:rsidRPr="00027624">
            <w:t>further short</w:t>
          </w:r>
          <w:r w:rsidR="00A8443E" w:rsidRPr="00027624">
            <w:noBreakHyphen/>
          </w:r>
          <w:r w:rsidRPr="00027624">
            <w:t xml:space="preserve">term decline in the fertility </w:t>
          </w:r>
          <w:r w:rsidRPr="00027624" w:rsidDel="00D62F79">
            <w:t>rate</w:t>
          </w:r>
          <w:r w:rsidRPr="00027624">
            <w:t>.</w:t>
          </w:r>
        </w:p>
        <w:p w14:paraId="053B9F2D" w14:textId="77777777" w:rsidR="00D178A4" w:rsidRPr="00027624" w:rsidRDefault="00D178A4" w:rsidP="00D178A4">
          <w:pPr>
            <w:pStyle w:val="Heading3"/>
          </w:pPr>
          <w:r w:rsidRPr="00027624">
            <w:t>Life expectancy and longevity</w:t>
          </w:r>
        </w:p>
        <w:p w14:paraId="5B5629BC" w14:textId="77777777" w:rsidR="00D178A4" w:rsidRPr="00027624" w:rsidRDefault="00D178A4" w:rsidP="00D178A4">
          <w:r w:rsidRPr="00027624">
            <w:t xml:space="preserve">Improvements in longevity and life expectancy mean people spend more time in retirement if working lives are not similarly extended. As a consequence, retirement incomes need to last longer. </w:t>
          </w:r>
          <w:r w:rsidRPr="00027624">
            <w:rPr>
              <w:i/>
            </w:rPr>
            <w:t>2C.</w:t>
          </w:r>
          <w:r w:rsidRPr="00027624">
            <w:t xml:space="preserve"> </w:t>
          </w:r>
          <w:r w:rsidRPr="00027624">
            <w:rPr>
              <w:i/>
            </w:rPr>
            <w:t>Maintaining standards of living in retirement</w:t>
          </w:r>
          <w:r w:rsidRPr="00027624" w:rsidDel="000924CC">
            <w:rPr>
              <w:i/>
            </w:rPr>
            <w:t xml:space="preserve"> </w:t>
          </w:r>
          <w:r w:rsidRPr="00027624">
            <w:t xml:space="preserve">and </w:t>
          </w:r>
          <w:r w:rsidRPr="00027624">
            <w:rPr>
              <w:i/>
            </w:rPr>
            <w:t>4.</w:t>
          </w:r>
          <w:r w:rsidRPr="00027624">
            <w:t xml:space="preserve"> </w:t>
          </w:r>
          <w:r w:rsidRPr="00027624">
            <w:rPr>
              <w:i/>
            </w:rPr>
            <w:t>Sustainability</w:t>
          </w:r>
          <w:r w:rsidRPr="00027624">
            <w:t xml:space="preserve"> explore these issues.</w:t>
          </w:r>
        </w:p>
        <w:p w14:paraId="138BE778" w14:textId="68B2EF1E" w:rsidR="00D178A4" w:rsidRPr="00027624" w:rsidRDefault="00D178A4" w:rsidP="00D178A4">
          <w:r w:rsidRPr="00027624">
            <w:t>Over the past 40 years, life expectancy has increased significantly. Women continue to have longer life expectancy than men</w:t>
          </w:r>
          <w:r w:rsidR="0027057A" w:rsidRPr="00027624">
            <w:t>,</w:t>
          </w:r>
          <w:r w:rsidRPr="00027624">
            <w:t xml:space="preserve"> despite the gap closing over time and reducing with age (</w:t>
          </w:r>
          <w:r w:rsidRPr="00027624">
            <w:fldChar w:fldCharType="begin"/>
          </w:r>
          <w:r w:rsidRPr="00027624">
            <w:instrText xml:space="preserve"> REF _Ref38460344 \r \h  \* MERGEFORMAT </w:instrText>
          </w:r>
          <w:r w:rsidRPr="00027624">
            <w:fldChar w:fldCharType="separate"/>
          </w:r>
          <w:r w:rsidR="00891058">
            <w:t>Chart 1D-2</w:t>
          </w:r>
          <w:r w:rsidRPr="00027624">
            <w:fldChar w:fldCharType="end"/>
          </w:r>
          <w:r w:rsidRPr="00027624">
            <w:t xml:space="preserve">). </w:t>
          </w:r>
        </w:p>
        <w:p w14:paraId="793B95B8" w14:textId="77777777" w:rsidR="00D178A4" w:rsidRPr="00027624" w:rsidRDefault="00D178A4" w:rsidP="00325A8D">
          <w:pPr>
            <w:pStyle w:val="ChartMainHeading"/>
            <w:numPr>
              <w:ilvl w:val="2"/>
              <w:numId w:val="20"/>
            </w:numPr>
          </w:pPr>
          <w:bookmarkStart w:id="344" w:name="_Ref38460344"/>
          <w:r w:rsidRPr="00027624">
            <w:t>Life expectancy</w:t>
          </w:r>
          <w:bookmarkEnd w:id="344"/>
        </w:p>
        <w:tbl>
          <w:tblPr>
            <w:tblStyle w:val="TableGrid"/>
            <w:tblW w:w="0" w:type="auto"/>
            <w:tblLook w:val="04A0" w:firstRow="1" w:lastRow="0" w:firstColumn="1" w:lastColumn="0" w:noHBand="0" w:noVBand="1"/>
          </w:tblPr>
          <w:tblGrid>
            <w:gridCol w:w="4535"/>
            <w:gridCol w:w="4535"/>
          </w:tblGrid>
          <w:tr w:rsidR="00D178A4" w:rsidRPr="00027624" w14:paraId="5A412244" w14:textId="77777777" w:rsidTr="009A1256">
            <w:tc>
              <w:tcPr>
                <w:tcW w:w="4535" w:type="dxa"/>
                <w:shd w:val="clear" w:color="auto" w:fill="auto"/>
              </w:tcPr>
              <w:p w14:paraId="7DEBBDB5" w14:textId="77777777" w:rsidR="00D178A4" w:rsidRPr="00027624" w:rsidRDefault="00D178A4" w:rsidP="00D178A4">
                <w:pPr>
                  <w:pStyle w:val="ChartSecondHeading"/>
                </w:pPr>
                <w:r w:rsidRPr="00027624">
                  <w:t>At birth</w:t>
                </w:r>
              </w:p>
            </w:tc>
            <w:tc>
              <w:tcPr>
                <w:tcW w:w="4535" w:type="dxa"/>
                <w:shd w:val="clear" w:color="auto" w:fill="auto"/>
              </w:tcPr>
              <w:p w14:paraId="57D9D159" w14:textId="77777777" w:rsidR="00D178A4" w:rsidRPr="00027624" w:rsidRDefault="00D178A4" w:rsidP="00D178A4">
                <w:pPr>
                  <w:pStyle w:val="ChartSecondHeading"/>
                </w:pPr>
                <w:r w:rsidRPr="00027624">
                  <w:t>At age 65</w:t>
                </w:r>
              </w:p>
            </w:tc>
          </w:tr>
        </w:tbl>
        <w:p w14:paraId="0FCC69DE" w14:textId="77777777" w:rsidR="009A1256" w:rsidRDefault="009A1256" w:rsidP="009A1256">
          <w:pPr>
            <w:pStyle w:val="ChartGraphic"/>
          </w:pPr>
          <w:r>
            <w:rPr>
              <w:noProof/>
            </w:rPr>
            <w:drawing>
              <wp:inline distT="0" distB="0" distL="0" distR="0" wp14:anchorId="2E10A61E" wp14:editId="4FC18D30">
                <wp:extent cx="2865120" cy="2880360"/>
                <wp:effectExtent l="0" t="0" r="0" b="0"/>
                <wp:docPr id="2099192817" name="Picture 2099192817" descr="This chart shows that the gap between men and women’s life expectancy at birth has reduced slightly since the 1980s to 2015. In 2015, at birth, women's life expectancy is about 4 years higher than men’s." title="At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5120" cy="2880360"/>
                        </a:xfrm>
                        <a:prstGeom prst="rect">
                          <a:avLst/>
                        </a:prstGeom>
                        <a:noFill/>
                      </pic:spPr>
                    </pic:pic>
                  </a:graphicData>
                </a:graphic>
              </wp:inline>
            </w:drawing>
          </w:r>
          <w:r>
            <w:rPr>
              <w:noProof/>
            </w:rPr>
            <w:drawing>
              <wp:inline distT="0" distB="0" distL="0" distR="0" wp14:anchorId="4F523E6E" wp14:editId="2131F38E">
                <wp:extent cx="2865120" cy="2887980"/>
                <wp:effectExtent l="0" t="0" r="0" b="7620"/>
                <wp:docPr id="2099192818" name="Picture 2099192818" descr="This chart shows the gap between men and women's life expectancy at age 65 is smaller than that at birth. It has decreased over time and is now around 2 years in 2015. Life expectancy at age 65 is also higher for both genders than at birth." title="At 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65120" cy="2887980"/>
                        </a:xfrm>
                        <a:prstGeom prst="rect">
                          <a:avLst/>
                        </a:prstGeom>
                        <a:noFill/>
                      </pic:spPr>
                    </pic:pic>
                  </a:graphicData>
                </a:graphic>
              </wp:inline>
            </w:drawing>
          </w:r>
        </w:p>
        <w:p w14:paraId="300610FD" w14:textId="77777777" w:rsidR="00D178A4" w:rsidRPr="00027624" w:rsidRDefault="00D178A4" w:rsidP="00D178A4">
          <w:pPr>
            <w:pStyle w:val="ChartorTableNote"/>
          </w:pPr>
          <w:r w:rsidRPr="00027624">
            <w:t xml:space="preserve">Note: Years at age 65 represents total expected years of life, not just expected years remaining. Source: </w:t>
          </w:r>
          <w:sdt>
            <w:sdtPr>
              <w:id w:val="-344784611"/>
              <w:citation/>
            </w:sdtPr>
            <w:sdtEndPr/>
            <w:sdtContent>
              <w:r w:rsidRPr="00027624">
                <w:fldChar w:fldCharType="begin"/>
              </w:r>
              <w:r w:rsidRPr="00027624">
                <w:instrText xml:space="preserve">CITATION ABS194 \l 3081 </w:instrText>
              </w:r>
              <w:r w:rsidRPr="00027624">
                <w:fldChar w:fldCharType="separate"/>
              </w:r>
              <w:r w:rsidR="00E83F6E">
                <w:rPr>
                  <w:noProof/>
                </w:rPr>
                <w:t>(ABS, 2019c)</w:t>
              </w:r>
              <w:r w:rsidRPr="00027624">
                <w:fldChar w:fldCharType="end"/>
              </w:r>
            </w:sdtContent>
          </w:sdt>
          <w:r w:rsidRPr="00027624">
            <w:t>.</w:t>
          </w:r>
        </w:p>
        <w:p w14:paraId="73C67B3F" w14:textId="77777777" w:rsidR="00D178A4" w:rsidRPr="00027624" w:rsidRDefault="00D178A4" w:rsidP="00D178A4">
          <w:r w:rsidRPr="00027624">
            <w:t xml:space="preserve">Aboriginal and Torres Strait Islander people have lower life expectancies than the total population. This affects their outcomes in the retirement income system. Aboriginal and Torres Strait Islander demographics and outcomes are explored in greater detail in </w:t>
          </w:r>
          <w:r w:rsidRPr="00027624">
            <w:rPr>
              <w:i/>
            </w:rPr>
            <w:t>3F. Aboriginal and Torres Strait Islander people</w:t>
          </w:r>
          <w:r w:rsidRPr="00027624">
            <w:t>.</w:t>
          </w:r>
        </w:p>
        <w:p w14:paraId="207308B7" w14:textId="77777777" w:rsidR="00D178A4" w:rsidRPr="00027624" w:rsidRDefault="00D178A4" w:rsidP="00D178A4">
          <w:r w:rsidRPr="00027624">
            <w:t>Life expectancies are a measure of the average number of years someone could be expected to live</w:t>
          </w:r>
          <w:sdt>
            <w:sdtPr>
              <w:id w:val="-1694994040"/>
              <w:citation/>
            </w:sdtPr>
            <w:sdtEndPr/>
            <w:sdtContent>
              <w:r w:rsidRPr="00027624">
                <w:fldChar w:fldCharType="begin"/>
              </w:r>
              <w:r w:rsidRPr="00027624">
                <w:instrText xml:space="preserve">CITATION AGA19 \p 10 \l 3081 </w:instrText>
              </w:r>
              <w:r w:rsidRPr="00027624">
                <w:fldChar w:fldCharType="separate"/>
              </w:r>
              <w:r w:rsidR="00E83F6E">
                <w:rPr>
                  <w:noProof/>
                </w:rPr>
                <w:t xml:space="preserve"> (Australian Government Actuary, 2019, p. 10)</w:t>
              </w:r>
              <w:r w:rsidRPr="00027624">
                <w:fldChar w:fldCharType="end"/>
              </w:r>
            </w:sdtContent>
          </w:sdt>
          <w:r w:rsidRPr="00027624">
            <w:t xml:space="preserve">. They show a simple </w:t>
          </w:r>
          <w:r w:rsidRPr="00027624">
            <w:rPr>
              <w:i/>
            </w:rPr>
            <w:t>probability</w:t>
          </w:r>
          <w:r w:rsidRPr="00027624">
            <w:t xml:space="preserve"> of longevity, not </w:t>
          </w:r>
          <w:r w:rsidRPr="00027624">
            <w:rPr>
              <w:i/>
            </w:rPr>
            <w:t>actual</w:t>
          </w:r>
          <w:r w:rsidRPr="00027624">
            <w:t xml:space="preserve"> longevity. Projected cohort life expectancies factor in long</w:t>
          </w:r>
          <w:r w:rsidR="00A8443E" w:rsidRPr="00027624">
            <w:noBreakHyphen/>
          </w:r>
          <w:r w:rsidRPr="00027624">
            <w:t xml:space="preserve">term trends in improvements to mortality rates, but they cannot capture unforeseen future changes in living conditions and technology that may extend longevity. </w:t>
          </w:r>
        </w:p>
        <w:p w14:paraId="78220C73" w14:textId="264B22BE" w:rsidR="00D178A4" w:rsidRPr="00027624" w:rsidRDefault="00D178A4" w:rsidP="00D178A4">
          <w:r w:rsidRPr="00027624">
            <w:t xml:space="preserve">Life expectancies are also unable to provide information on the diversity of longevity outcomes </w:t>
          </w:r>
          <w:sdt>
            <w:sdtPr>
              <w:id w:val="1113322236"/>
              <w:citation/>
            </w:sdtPr>
            <w:sdtEndPr/>
            <w:sdtContent>
              <w:r w:rsidRPr="00027624">
                <w:fldChar w:fldCharType="begin"/>
              </w:r>
              <w:r w:rsidRPr="00027624">
                <w:instrText xml:space="preserve">CITATION AGA14 \p 12 \l 3081 </w:instrText>
              </w:r>
              <w:r w:rsidRPr="00027624">
                <w:fldChar w:fldCharType="separate"/>
              </w:r>
              <w:r w:rsidR="00E83F6E">
                <w:rPr>
                  <w:noProof/>
                </w:rPr>
                <w:t>(Australian Government Actuary, 2014, p. 12)</w:t>
              </w:r>
              <w:r w:rsidRPr="00027624">
                <w:fldChar w:fldCharType="end"/>
              </w:r>
            </w:sdtContent>
          </w:sdt>
          <w:r w:rsidRPr="00027624">
            <w:t>. Factors such as lifestyle, health and disability status, technology and exposure to hazardous events all affect how long people live. As a result, a significant proportion of the population lives beyond life expectancy (</w:t>
          </w:r>
          <w:r w:rsidRPr="00027624">
            <w:fldChar w:fldCharType="begin"/>
          </w:r>
          <w:r w:rsidRPr="00027624">
            <w:instrText xml:space="preserve"> REF _Ref44320982 \r \h  \* MERGEFORMAT </w:instrText>
          </w:r>
          <w:r w:rsidRPr="00027624">
            <w:fldChar w:fldCharType="separate"/>
          </w:r>
          <w:r w:rsidR="00891058">
            <w:t>Table 1D-2</w:t>
          </w:r>
          <w:r w:rsidRPr="00027624">
            <w:fldChar w:fldCharType="end"/>
          </w:r>
          <w:r w:rsidRPr="00027624">
            <w:t xml:space="preserve">). </w:t>
          </w:r>
        </w:p>
        <w:p w14:paraId="4D448BEA" w14:textId="77777777" w:rsidR="00D178A4" w:rsidRPr="00027624" w:rsidRDefault="00D178A4" w:rsidP="00325A8D">
          <w:pPr>
            <w:pStyle w:val="TableMainHeading"/>
            <w:numPr>
              <w:ilvl w:val="3"/>
              <w:numId w:val="20"/>
            </w:numPr>
          </w:pPr>
          <w:bookmarkStart w:id="345" w:name="_Ref39052115"/>
          <w:bookmarkStart w:id="346" w:name="_Ref44320982"/>
          <w:r w:rsidRPr="00027624">
            <w:lastRenderedPageBreak/>
            <w:t xml:space="preserve">Longevity </w:t>
          </w:r>
          <w:bookmarkEnd w:id="345"/>
          <w:r w:rsidRPr="00027624">
            <w:t>for those born in 1932</w:t>
          </w:r>
          <w:r w:rsidR="00A8443E" w:rsidRPr="00027624">
            <w:noBreakHyphen/>
          </w:r>
          <w:r w:rsidRPr="00027624">
            <w:t>34</w:t>
          </w:r>
          <w:bookmarkEnd w:id="346"/>
        </w:p>
        <w:tbl>
          <w:tblPr>
            <w:tblW w:w="5000" w:type="pct"/>
            <w:tblLook w:val="01E0" w:firstRow="1" w:lastRow="1" w:firstColumn="1" w:lastColumn="1" w:noHBand="0" w:noVBand="0"/>
          </w:tblPr>
          <w:tblGrid>
            <w:gridCol w:w="853"/>
            <w:gridCol w:w="2055"/>
            <w:gridCol w:w="2055"/>
            <w:gridCol w:w="2055"/>
            <w:gridCol w:w="2052"/>
          </w:tblGrid>
          <w:tr w:rsidR="00D178A4" w:rsidRPr="00027624" w14:paraId="15287CB5" w14:textId="77777777" w:rsidTr="00D178A4">
            <w:trPr>
              <w:trHeight w:val="273"/>
              <w:tblHeader/>
            </w:trPr>
            <w:tc>
              <w:tcPr>
                <w:tcW w:w="470" w:type="pct"/>
                <w:shd w:val="clear" w:color="auto" w:fill="E5E5E5"/>
                <w:vAlign w:val="center"/>
              </w:tcPr>
              <w:p w14:paraId="59B87ED3" w14:textId="77777777" w:rsidR="00D178A4" w:rsidRPr="00027624" w:rsidRDefault="00D178A4" w:rsidP="00D178A4">
                <w:pPr>
                  <w:pStyle w:val="TableTextLeft"/>
                  <w:jc w:val="center"/>
                </w:pPr>
              </w:p>
            </w:tc>
            <w:tc>
              <w:tcPr>
                <w:tcW w:w="1133" w:type="pct"/>
                <w:shd w:val="clear" w:color="auto" w:fill="E5E5E5"/>
                <w:vAlign w:val="center"/>
              </w:tcPr>
              <w:p w14:paraId="15E6574C" w14:textId="77777777" w:rsidR="00D178A4" w:rsidRPr="00027624" w:rsidRDefault="00D178A4">
                <w:pPr>
                  <w:pStyle w:val="TableColumnHeadingCentred"/>
                </w:pPr>
                <w:r w:rsidRPr="00027624">
                  <w:t>Total life expectancy at birth (years)</w:t>
                </w:r>
              </w:p>
            </w:tc>
            <w:tc>
              <w:tcPr>
                <w:tcW w:w="1133" w:type="pct"/>
                <w:shd w:val="clear" w:color="auto" w:fill="E5E5E5"/>
                <w:vAlign w:val="center"/>
              </w:tcPr>
              <w:p w14:paraId="40AFAEA4" w14:textId="77777777" w:rsidR="00D178A4" w:rsidRPr="00027624" w:rsidRDefault="00D178A4">
                <w:pPr>
                  <w:pStyle w:val="TableColumnHeadingCentred"/>
                </w:pPr>
                <w:r w:rsidRPr="00027624">
                  <w:t>Total life expectancy at age 65 (years)</w:t>
                </w:r>
              </w:p>
            </w:tc>
            <w:tc>
              <w:tcPr>
                <w:tcW w:w="1133" w:type="pct"/>
                <w:shd w:val="clear" w:color="auto" w:fill="E5E5E5"/>
                <w:vAlign w:val="center"/>
              </w:tcPr>
              <w:p w14:paraId="2ECB8D9D" w14:textId="77777777" w:rsidR="00D178A4" w:rsidRPr="00027624" w:rsidRDefault="00D178A4">
                <w:pPr>
                  <w:pStyle w:val="TableColumnHeadingCentred"/>
                </w:pPr>
                <w:r w:rsidRPr="00027624">
                  <w:t>Per cent who lived to at least life expectancy at birth</w:t>
                </w:r>
              </w:p>
            </w:tc>
            <w:tc>
              <w:tcPr>
                <w:tcW w:w="1133" w:type="pct"/>
                <w:shd w:val="clear" w:color="auto" w:fill="E5E5E5"/>
                <w:vAlign w:val="center"/>
              </w:tcPr>
              <w:p w14:paraId="5204972D" w14:textId="77777777" w:rsidR="00D178A4" w:rsidRPr="00027624" w:rsidRDefault="00D178A4">
                <w:pPr>
                  <w:pStyle w:val="TableColumnHeadingCentred"/>
                </w:pPr>
                <w:r w:rsidRPr="00027624">
                  <w:t>Per cent who lived to at least life expectancy at age 65</w:t>
                </w:r>
              </w:p>
            </w:tc>
          </w:tr>
          <w:tr w:rsidR="00D178A4" w:rsidRPr="00027624" w14:paraId="41989BA0" w14:textId="77777777" w:rsidTr="00D178A4">
            <w:trPr>
              <w:trHeight w:val="273"/>
            </w:trPr>
            <w:tc>
              <w:tcPr>
                <w:tcW w:w="470" w:type="pct"/>
              </w:tcPr>
              <w:p w14:paraId="4D44D9AF" w14:textId="77777777" w:rsidR="00D178A4" w:rsidRPr="00027624" w:rsidRDefault="00D178A4" w:rsidP="00D178A4">
                <w:pPr>
                  <w:pStyle w:val="TableTextLeft"/>
                </w:pPr>
                <w:r w:rsidRPr="00027624">
                  <w:t>Women</w:t>
                </w:r>
              </w:p>
            </w:tc>
            <w:tc>
              <w:tcPr>
                <w:tcW w:w="1133" w:type="pct"/>
                <w:vAlign w:val="center"/>
              </w:tcPr>
              <w:p w14:paraId="655FF5AC" w14:textId="77777777" w:rsidR="00D178A4" w:rsidRPr="00027624" w:rsidRDefault="00D178A4" w:rsidP="00D178A4">
                <w:pPr>
                  <w:pStyle w:val="TableTextLeft"/>
                  <w:jc w:val="center"/>
                </w:pPr>
                <w:r w:rsidRPr="00027624">
                  <w:t>68</w:t>
                </w:r>
              </w:p>
            </w:tc>
            <w:tc>
              <w:tcPr>
                <w:tcW w:w="1133" w:type="pct"/>
                <w:vAlign w:val="center"/>
              </w:tcPr>
              <w:p w14:paraId="2D60C54A" w14:textId="77777777" w:rsidR="00D178A4" w:rsidRPr="00027624" w:rsidRDefault="00D178A4" w:rsidP="00D178A4">
                <w:pPr>
                  <w:pStyle w:val="TableTextLeft"/>
                  <w:jc w:val="center"/>
                </w:pPr>
                <w:r w:rsidRPr="00027624">
                  <w:t>86</w:t>
                </w:r>
              </w:p>
            </w:tc>
            <w:tc>
              <w:tcPr>
                <w:tcW w:w="1133" w:type="pct"/>
                <w:vAlign w:val="center"/>
              </w:tcPr>
              <w:p w14:paraId="747D80BF" w14:textId="77777777" w:rsidR="00D178A4" w:rsidRPr="00027624" w:rsidRDefault="00D178A4" w:rsidP="00D178A4">
                <w:pPr>
                  <w:pStyle w:val="TableTextLeft"/>
                  <w:jc w:val="center"/>
                </w:pPr>
                <w:r w:rsidRPr="00027624">
                  <w:t>88.8</w:t>
                </w:r>
              </w:p>
            </w:tc>
            <w:tc>
              <w:tcPr>
                <w:tcW w:w="1133" w:type="pct"/>
                <w:vAlign w:val="center"/>
              </w:tcPr>
              <w:p w14:paraId="0DC10990" w14:textId="77777777" w:rsidR="00D178A4" w:rsidRPr="00027624" w:rsidRDefault="00D178A4" w:rsidP="00D178A4">
                <w:pPr>
                  <w:spacing w:before="0" w:after="0"/>
                  <w:jc w:val="center"/>
                  <w:rPr>
                    <w:color w:val="000000"/>
                    <w:sz w:val="18"/>
                  </w:rPr>
                </w:pPr>
                <w:r w:rsidRPr="00027624">
                  <w:rPr>
                    <w:color w:val="000000"/>
                    <w:sz w:val="18"/>
                  </w:rPr>
                  <w:t>*</w:t>
                </w:r>
              </w:p>
            </w:tc>
          </w:tr>
          <w:tr w:rsidR="00D178A4" w:rsidRPr="00027624" w14:paraId="551B868E" w14:textId="77777777" w:rsidTr="00D178A4">
            <w:trPr>
              <w:trHeight w:val="273"/>
            </w:trPr>
            <w:tc>
              <w:tcPr>
                <w:tcW w:w="470" w:type="pct"/>
              </w:tcPr>
              <w:p w14:paraId="16971973" w14:textId="77777777" w:rsidR="00D178A4" w:rsidRPr="00027624" w:rsidRDefault="00D178A4" w:rsidP="00D178A4">
                <w:pPr>
                  <w:pStyle w:val="TableTextLeft"/>
                </w:pPr>
                <w:r w:rsidRPr="00027624">
                  <w:t>Men</w:t>
                </w:r>
              </w:p>
            </w:tc>
            <w:tc>
              <w:tcPr>
                <w:tcW w:w="1133" w:type="pct"/>
                <w:vAlign w:val="center"/>
              </w:tcPr>
              <w:p w14:paraId="3DB81FD4" w14:textId="77777777" w:rsidR="00D178A4" w:rsidRPr="00027624" w:rsidRDefault="00D178A4" w:rsidP="00D178A4">
                <w:pPr>
                  <w:pStyle w:val="TableTextLeft"/>
                  <w:jc w:val="center"/>
                </w:pPr>
                <w:r w:rsidRPr="00027624">
                  <w:t>64</w:t>
                </w:r>
              </w:p>
            </w:tc>
            <w:tc>
              <w:tcPr>
                <w:tcW w:w="1133" w:type="pct"/>
                <w:vAlign w:val="center"/>
              </w:tcPr>
              <w:p w14:paraId="5BA9D3B1" w14:textId="77777777" w:rsidR="00D178A4" w:rsidRPr="00027624" w:rsidRDefault="00D178A4" w:rsidP="00D178A4">
                <w:pPr>
                  <w:pStyle w:val="TableTextLeft"/>
                  <w:jc w:val="center"/>
                </w:pPr>
                <w:r w:rsidRPr="00027624">
                  <w:t>82</w:t>
                </w:r>
              </w:p>
            </w:tc>
            <w:tc>
              <w:tcPr>
                <w:tcW w:w="1133" w:type="pct"/>
                <w:vAlign w:val="center"/>
              </w:tcPr>
              <w:p w14:paraId="1D2B18AD" w14:textId="77777777" w:rsidR="00D178A4" w:rsidRPr="00027624" w:rsidRDefault="00D178A4" w:rsidP="00D178A4">
                <w:pPr>
                  <w:pStyle w:val="TableTextLeft"/>
                  <w:jc w:val="center"/>
                </w:pPr>
                <w:r w:rsidRPr="00027624">
                  <w:t>84.4</w:t>
                </w:r>
              </w:p>
            </w:tc>
            <w:tc>
              <w:tcPr>
                <w:tcW w:w="1133" w:type="pct"/>
                <w:vAlign w:val="center"/>
              </w:tcPr>
              <w:p w14:paraId="195E637E" w14:textId="77777777" w:rsidR="00D178A4" w:rsidRPr="00027624" w:rsidRDefault="00D178A4" w:rsidP="00D178A4">
                <w:pPr>
                  <w:spacing w:before="0" w:after="0"/>
                  <w:jc w:val="center"/>
                  <w:rPr>
                    <w:color w:val="000000"/>
                    <w:sz w:val="18"/>
                  </w:rPr>
                </w:pPr>
                <w:r w:rsidRPr="00027624">
                  <w:rPr>
                    <w:color w:val="000000"/>
                    <w:sz w:val="18"/>
                  </w:rPr>
                  <w:t>56.6</w:t>
                </w:r>
              </w:p>
            </w:tc>
          </w:tr>
        </w:tbl>
        <w:p w14:paraId="1C05CEC1" w14:textId="77777777" w:rsidR="00D178A4" w:rsidRPr="00027624" w:rsidRDefault="00D178A4" w:rsidP="00D178A4">
          <w:pPr>
            <w:pStyle w:val="ChartorTableNote"/>
          </w:pPr>
          <w:r w:rsidRPr="00027624">
            <w:t>Note: Total life expectancy is rounded up to nearest whole year. *Cohort has not reached life expectancy yet. In 2015</w:t>
          </w:r>
          <w:r w:rsidR="00A8443E" w:rsidRPr="00027624">
            <w:noBreakHyphen/>
          </w:r>
          <w:r w:rsidRPr="00027624">
            <w:t xml:space="preserve">17, 67.1 per cent of these women had reached age 83. Source: Analysis of </w:t>
          </w:r>
          <w:sdt>
            <w:sdtPr>
              <w:id w:val="661205455"/>
              <w:citation/>
            </w:sdtPr>
            <w:sdtEndPr/>
            <w:sdtContent>
              <w:r w:rsidRPr="00027624">
                <w:fldChar w:fldCharType="begin"/>
              </w:r>
              <w:r w:rsidRPr="00027624">
                <w:instrText xml:space="preserve">CITATION ABS194 \l 3081 </w:instrText>
              </w:r>
              <w:r w:rsidRPr="00027624">
                <w:fldChar w:fldCharType="separate"/>
              </w:r>
              <w:r w:rsidR="00E83F6E">
                <w:rPr>
                  <w:noProof/>
                </w:rPr>
                <w:t>(ABS, 2019c)</w:t>
              </w:r>
              <w:r w:rsidRPr="00027624">
                <w:fldChar w:fldCharType="end"/>
              </w:r>
            </w:sdtContent>
          </w:sdt>
          <w:r w:rsidRPr="00027624">
            <w:t xml:space="preserve">. </w:t>
          </w:r>
        </w:p>
        <w:p w14:paraId="25D97B6F" w14:textId="77777777" w:rsidR="00D178A4" w:rsidRPr="00027624" w:rsidRDefault="00D178A4" w:rsidP="00D178A4">
          <w:r w:rsidRPr="00027624">
            <w:t>Over the past 40 years, average lifespans have increased, particularly for men as a result of improvements in health outcomes and workplace safety. The proportion of men who live to 65 years increased at more than twice the rate of women from 1980 to 2015. This means men are now more likely to reach retirement age than in the past</w:t>
          </w:r>
          <w:sdt>
            <w:sdtPr>
              <w:id w:val="1143082972"/>
              <w:citation/>
            </w:sdtPr>
            <w:sdtEndPr/>
            <w:sdtContent>
              <w:r w:rsidRPr="00027624">
                <w:fldChar w:fldCharType="begin"/>
              </w:r>
              <w:r w:rsidRPr="00027624">
                <w:instrText xml:space="preserve">CITATION ABS194 \l 3081 </w:instrText>
              </w:r>
              <w:r w:rsidRPr="00027624">
                <w:fldChar w:fldCharType="separate"/>
              </w:r>
              <w:r w:rsidR="00E83F6E">
                <w:rPr>
                  <w:noProof/>
                </w:rPr>
                <w:t xml:space="preserve"> (ABS, 2019c)</w:t>
              </w:r>
              <w:r w:rsidRPr="00027624">
                <w:fldChar w:fldCharType="end"/>
              </w:r>
            </w:sdtContent>
          </w:sdt>
          <w:r w:rsidRPr="00027624">
            <w:t xml:space="preserve">. </w:t>
          </w:r>
        </w:p>
        <w:p w14:paraId="23612971" w14:textId="77777777" w:rsidR="00D178A4" w:rsidRPr="00027624" w:rsidRDefault="00D178A4" w:rsidP="00D178A4">
          <w:r w:rsidRPr="00027624">
            <w:t xml:space="preserve">Women still generally live longer than men. In 2015, approximately 61 per cent of women born in 1930 lived to 85 years, compared with 46.5 per cent of men </w:t>
          </w:r>
          <w:sdt>
            <w:sdtPr>
              <w:id w:val="-1157309754"/>
              <w:citation/>
            </w:sdtPr>
            <w:sdtEndPr/>
            <w:sdtContent>
              <w:r w:rsidRPr="00027624">
                <w:fldChar w:fldCharType="begin"/>
              </w:r>
              <w:r w:rsidRPr="00027624">
                <w:instrText xml:space="preserve">CITATION AGA19 \t  \l 3081 </w:instrText>
              </w:r>
              <w:r w:rsidRPr="00027624">
                <w:fldChar w:fldCharType="separate"/>
              </w:r>
              <w:r w:rsidR="00E83F6E">
                <w:rPr>
                  <w:noProof/>
                </w:rPr>
                <w:t>(Australian Government Actuary, 2019)</w:t>
              </w:r>
              <w:r w:rsidRPr="00027624">
                <w:fldChar w:fldCharType="end"/>
              </w:r>
            </w:sdtContent>
          </w:sdt>
          <w:r w:rsidRPr="00027624">
            <w:t xml:space="preserve">. Variances in longevity affect outcomes across genders, as explored in greater detail in </w:t>
          </w:r>
          <w:r w:rsidRPr="00027624">
            <w:rPr>
              <w:i/>
            </w:rPr>
            <w:t>3B. Gender and partnered status</w:t>
          </w:r>
          <w:r w:rsidRPr="00027624">
            <w:t>.</w:t>
          </w:r>
        </w:p>
        <w:p w14:paraId="617F9EE7" w14:textId="77777777" w:rsidR="00D178A4" w:rsidRPr="00027624" w:rsidRDefault="00D178A4" w:rsidP="00D178A4">
          <w:r w:rsidRPr="00027624">
            <w:t xml:space="preserve">Increased life expectancies and longevity are correlated with other lifetime trends. The median age people achieve milestones, such as finishing education, entering and leaving the workforce, home ownership and marriage, is higher than it was 50 years ago </w:t>
          </w:r>
          <w:sdt>
            <w:sdtPr>
              <w:id w:val="-1806772810"/>
              <w:citation/>
            </w:sdtPr>
            <w:sdtEndPr/>
            <w:sdtContent>
              <w:r w:rsidRPr="00027624">
                <w:fldChar w:fldCharType="begin"/>
              </w:r>
              <w:r w:rsidRPr="00027624">
                <w:instrText xml:space="preserve">CITATION CEP19 \p 9 \l 3081 </w:instrText>
              </w:r>
              <w:r w:rsidRPr="00027624">
                <w:fldChar w:fldCharType="separate"/>
              </w:r>
              <w:r w:rsidR="00E83F6E">
                <w:rPr>
                  <w:noProof/>
                </w:rPr>
                <w:t>(CEPAR, 2019, p. 9)</w:t>
              </w:r>
              <w:r w:rsidRPr="00027624">
                <w:fldChar w:fldCharType="end"/>
              </w:r>
            </w:sdtContent>
          </w:sdt>
          <w:r w:rsidRPr="00027624">
            <w:t xml:space="preserve">. </w:t>
          </w:r>
        </w:p>
        <w:p w14:paraId="77FFEF5D" w14:textId="77777777" w:rsidR="00D178A4" w:rsidRPr="00027624" w:rsidRDefault="00D178A4" w:rsidP="00D178A4">
          <w:pPr>
            <w:pStyle w:val="Heading2"/>
          </w:pPr>
          <w:bookmarkStart w:id="347" w:name="_Toc45520445"/>
          <w:bookmarkStart w:id="348" w:name="_Toc46133556"/>
          <w:r w:rsidRPr="00027624">
            <w:t>Labour force trends</w:t>
          </w:r>
          <w:bookmarkEnd w:id="347"/>
          <w:bookmarkEnd w:id="348"/>
        </w:p>
        <w:p w14:paraId="308EAEC2" w14:textId="77777777" w:rsidR="00D178A4" w:rsidRPr="00027624" w:rsidRDefault="00D178A4" w:rsidP="00D178A4">
          <w:r w:rsidRPr="00027624">
            <w:t>The retirement income system</w:t>
          </w:r>
          <w:r w:rsidR="00A8443E" w:rsidRPr="00027624">
            <w:t>’</w:t>
          </w:r>
          <w:r w:rsidRPr="00027624">
            <w:t>s performance is directly related to labour force trends. As employers pay the SG, higher levels of workforce participation generally lead to greater superannuation coverage and higher superannuation balances at retirement. Greater superannuation coverage reduces reliance on the Age Pension. This reduces Age Pension expenditure but increases superannuation tax concessions.</w:t>
          </w:r>
        </w:p>
        <w:p w14:paraId="6CD31893" w14:textId="77777777" w:rsidR="00D178A4" w:rsidRPr="00027624" w:rsidRDefault="00D178A4" w:rsidP="00D178A4">
          <w:pPr>
            <w:pStyle w:val="Heading3"/>
          </w:pPr>
          <w:r w:rsidRPr="00027624">
            <w:t>General labour force trends</w:t>
          </w:r>
        </w:p>
        <w:p w14:paraId="79629FE8" w14:textId="01FBB165" w:rsidR="00D178A4" w:rsidRPr="00027624" w:rsidRDefault="00D178A4" w:rsidP="008242AD">
          <w:pPr>
            <w:spacing w:after="60"/>
          </w:pPr>
          <w:r w:rsidRPr="00027624">
            <w:t xml:space="preserve">Total labour force participation has increased from around 61 per cent in 1980 to a high of around 66 per cent in early 2020 </w:t>
          </w:r>
          <w:sdt>
            <w:sdtPr>
              <w:id w:val="-2087675739"/>
              <w:citation/>
            </w:sdtPr>
            <w:sdtEndPr/>
            <w:sdtContent>
              <w:r w:rsidRPr="00027624">
                <w:fldChar w:fldCharType="begin"/>
              </w:r>
              <w:r w:rsidRPr="00027624">
                <w:instrText xml:space="preserve">CITATION ABS0lp \l 3081 </w:instrText>
              </w:r>
              <w:r w:rsidRPr="00027624">
                <w:fldChar w:fldCharType="separate"/>
              </w:r>
              <w:r w:rsidR="00E83F6E">
                <w:rPr>
                  <w:noProof/>
                </w:rPr>
                <w:t>(ABS, 2020k)</w:t>
              </w:r>
              <w:r w:rsidRPr="00027624">
                <w:fldChar w:fldCharType="end"/>
              </w:r>
            </w:sdtContent>
          </w:sdt>
          <w:r w:rsidRPr="00027624">
            <w:t>. The increase is due to greater female participation, partly offset by lower male participation (</w:t>
          </w:r>
          <w:r w:rsidRPr="00027624">
            <w:fldChar w:fldCharType="begin"/>
          </w:r>
          <w:r w:rsidRPr="00027624">
            <w:instrText xml:space="preserve"> REF _Ref38460521 \r \h  \* MERGEFORMAT </w:instrText>
          </w:r>
          <w:r w:rsidRPr="00027624">
            <w:fldChar w:fldCharType="separate"/>
          </w:r>
          <w:r w:rsidR="00891058">
            <w:t>Chart 1D-3</w:t>
          </w:r>
          <w:r w:rsidRPr="00027624">
            <w:fldChar w:fldCharType="end"/>
          </w:r>
          <w:r w:rsidRPr="00027624">
            <w:t>).</w:t>
          </w:r>
        </w:p>
        <w:p w14:paraId="579D85AF" w14:textId="77777777" w:rsidR="00D178A4" w:rsidRPr="00027624" w:rsidRDefault="00D178A4" w:rsidP="008242AD">
          <w:pPr>
            <w:pStyle w:val="ChartMainHeading"/>
            <w:numPr>
              <w:ilvl w:val="2"/>
              <w:numId w:val="20"/>
            </w:numPr>
            <w:spacing w:before="0"/>
          </w:pPr>
          <w:bookmarkStart w:id="349" w:name="_Ref38460521"/>
          <w:r w:rsidRPr="00027624">
            <w:lastRenderedPageBreak/>
            <w:t>Total labour force participation rate, by gender</w:t>
          </w:r>
          <w:bookmarkEnd w:id="349"/>
        </w:p>
        <w:p w14:paraId="511E74E6" w14:textId="77777777" w:rsidR="00D178A4" w:rsidRPr="00027624" w:rsidRDefault="009A1256" w:rsidP="00D178A4">
          <w:pPr>
            <w:pStyle w:val="ChartGraphic"/>
          </w:pPr>
          <w:r>
            <w:rPr>
              <w:noProof/>
            </w:rPr>
            <w:drawing>
              <wp:inline distT="0" distB="0" distL="0" distR="0" wp14:anchorId="14595027" wp14:editId="4164992C">
                <wp:extent cx="5577840" cy="2872740"/>
                <wp:effectExtent l="0" t="0" r="3810" b="3810"/>
                <wp:docPr id="2099192819" name="Picture 2099192819" descr="This chart shows that the labour force participation rate for men has declined and for women it has increased, between May 1980 and May 2020. These changes have resulted in the total labour force participation rate increasing by about 5 percentage points since 1980. Women's labour force participation rate in May 2020 was about 61 percent and men’s was about 71 per cent." title="Chart 1D-3 Total labour force participation rate, by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7840" cy="2872740"/>
                        </a:xfrm>
                        <a:prstGeom prst="rect">
                          <a:avLst/>
                        </a:prstGeom>
                        <a:noFill/>
                      </pic:spPr>
                    </pic:pic>
                  </a:graphicData>
                </a:graphic>
              </wp:inline>
            </w:drawing>
          </w:r>
        </w:p>
        <w:p w14:paraId="18776BBB" w14:textId="77777777" w:rsidR="00D178A4" w:rsidRPr="00027624" w:rsidRDefault="00D178A4" w:rsidP="008242AD">
          <w:pPr>
            <w:pStyle w:val="ChartorTableNote"/>
            <w:spacing w:before="0" w:after="0"/>
          </w:pPr>
          <w:r w:rsidRPr="00027624">
            <w:t>Note: Rolling 12</w:t>
          </w:r>
          <w:r w:rsidR="00A8443E" w:rsidRPr="00027624">
            <w:noBreakHyphen/>
          </w:r>
          <w:r w:rsidRPr="00027624">
            <w:t>month average. Source: Analysis of</w:t>
          </w:r>
          <w:sdt>
            <w:sdtPr>
              <w:id w:val="264733418"/>
              <w:citation/>
            </w:sdtPr>
            <w:sdtEndPr/>
            <w:sdtContent>
              <w:r w:rsidRPr="00027624">
                <w:fldChar w:fldCharType="begin"/>
              </w:r>
              <w:r w:rsidRPr="00027624">
                <w:instrText xml:space="preserve">CITATION ABS0lp \l 3081 </w:instrText>
              </w:r>
              <w:r w:rsidRPr="00027624">
                <w:fldChar w:fldCharType="separate"/>
              </w:r>
              <w:r w:rsidR="00E83F6E">
                <w:rPr>
                  <w:noProof/>
                </w:rPr>
                <w:t xml:space="preserve"> (ABS, 2020k)</w:t>
              </w:r>
              <w:r w:rsidRPr="00027624">
                <w:fldChar w:fldCharType="end"/>
              </w:r>
            </w:sdtContent>
          </w:sdt>
          <w:r w:rsidRPr="00027624">
            <w:t>.</w:t>
          </w:r>
        </w:p>
        <w:p w14:paraId="386CA60C" w14:textId="77777777" w:rsidR="00D178A4" w:rsidRPr="00027624" w:rsidRDefault="00D178A4" w:rsidP="00D178A4">
          <w:r w:rsidRPr="00027624">
            <w:t>Changes to the societal role of women, flexible working arrangements and childcare access have likely contributed to greater female participation. Women are more likely than men to participate in education</w:t>
          </w:r>
          <w:sdt>
            <w:sdtPr>
              <w:id w:val="-1514610733"/>
              <w:citation/>
            </w:sdtPr>
            <w:sdtEndPr/>
            <w:sdtContent>
              <w:r w:rsidRPr="00027624">
                <w:fldChar w:fldCharType="begin"/>
              </w:r>
              <w:r w:rsidRPr="00027624">
                <w:instrText xml:space="preserve"> CITATION ABS19 \l 3081 </w:instrText>
              </w:r>
              <w:r w:rsidRPr="00027624">
                <w:fldChar w:fldCharType="separate"/>
              </w:r>
              <w:r w:rsidR="00E83F6E">
                <w:rPr>
                  <w:noProof/>
                </w:rPr>
                <w:t xml:space="preserve"> (ABS, 2019j)</w:t>
              </w:r>
              <w:r w:rsidRPr="00027624">
                <w:fldChar w:fldCharType="end"/>
              </w:r>
            </w:sdtContent>
          </w:sdt>
          <w:r w:rsidRPr="00027624">
            <w:t xml:space="preserve">, suggesting female participation rates may continue to converge on male rates in future. Differences in male and female workforce participation leads to different outcomes during retirement. These effects are explored in more detail in </w:t>
          </w:r>
          <w:r w:rsidRPr="00027624">
            <w:rPr>
              <w:i/>
            </w:rPr>
            <w:t>3B. Gender and partnered status</w:t>
          </w:r>
          <w:r w:rsidRPr="00027624">
            <w:t>.</w:t>
          </w:r>
        </w:p>
        <w:p w14:paraId="3B2AEE48" w14:textId="025F1B68" w:rsidR="00D178A4" w:rsidRPr="00027624" w:rsidRDefault="00D178A4" w:rsidP="00D178A4">
          <w:r w:rsidRPr="00027624">
            <w:t xml:space="preserve">Labour force participation represents the pool of </w:t>
          </w:r>
          <w:r w:rsidRPr="00027624">
            <w:rPr>
              <w:i/>
            </w:rPr>
            <w:t>potential</w:t>
          </w:r>
          <w:r w:rsidRPr="00027624">
            <w:t xml:space="preserve"> workers — not the pool of </w:t>
          </w:r>
          <w:r w:rsidRPr="00027624">
            <w:rPr>
              <w:i/>
            </w:rPr>
            <w:t>actual</w:t>
          </w:r>
          <w:r w:rsidRPr="00027624">
            <w:t xml:space="preserve"> workers. Employment rates affect the retirement income system</w:t>
          </w:r>
          <w:r w:rsidR="00A8443E" w:rsidRPr="00027624">
            <w:t>’</w:t>
          </w:r>
          <w:r w:rsidRPr="00027624">
            <w:t>s sustainability and outcomes. Over the past 40 years, unemployment has averaged 6.8 per cent (</w:t>
          </w:r>
          <w:r w:rsidRPr="00027624">
            <w:fldChar w:fldCharType="begin"/>
          </w:r>
          <w:r w:rsidRPr="00027624">
            <w:instrText xml:space="preserve"> REF _Ref44311455 \r \h  \* MERGEFORMAT </w:instrText>
          </w:r>
          <w:r w:rsidRPr="00027624">
            <w:fldChar w:fldCharType="separate"/>
          </w:r>
          <w:r w:rsidR="00891058">
            <w:t>Chart 1D-4</w:t>
          </w:r>
          <w:r w:rsidRPr="00027624">
            <w:fldChar w:fldCharType="end"/>
          </w:r>
          <w:r w:rsidRPr="00027624">
            <w:t>). Over the same period, underemployment has averaged 6.2 per cent, despite being persistently above this average since the early 1990s</w:t>
          </w:r>
          <w:sdt>
            <w:sdtPr>
              <w:id w:val="-1004670994"/>
              <w:citation/>
            </w:sdtPr>
            <w:sdtEndPr/>
            <w:sdtContent>
              <w:r w:rsidRPr="00027624">
                <w:fldChar w:fldCharType="begin"/>
              </w:r>
              <w:r w:rsidRPr="00027624">
                <w:instrText xml:space="preserve">CITATION ABS0lp \l 3081 </w:instrText>
              </w:r>
              <w:r w:rsidRPr="00027624">
                <w:fldChar w:fldCharType="separate"/>
              </w:r>
              <w:r w:rsidR="00E83F6E">
                <w:rPr>
                  <w:noProof/>
                </w:rPr>
                <w:t xml:space="preserve"> (ABS, 2020k)</w:t>
              </w:r>
              <w:r w:rsidRPr="00027624">
                <w:fldChar w:fldCharType="end"/>
              </w:r>
            </w:sdtContent>
          </w:sdt>
          <w:r w:rsidRPr="00027624">
            <w:t>. How long it may take for the unemployment and underemployment rates to fall following the COVID</w:t>
          </w:r>
          <w:r w:rsidR="00A8443E" w:rsidRPr="00027624">
            <w:noBreakHyphen/>
          </w:r>
          <w:r w:rsidRPr="00027624">
            <w:t>19 Pandemic is uncertain.</w:t>
          </w:r>
        </w:p>
        <w:p w14:paraId="7904046A" w14:textId="77777777" w:rsidR="00D178A4" w:rsidRPr="00027624" w:rsidRDefault="00D178A4" w:rsidP="00325A8D">
          <w:pPr>
            <w:pStyle w:val="ChartMainHeading"/>
            <w:numPr>
              <w:ilvl w:val="2"/>
              <w:numId w:val="20"/>
            </w:numPr>
          </w:pPr>
          <w:bookmarkStart w:id="350" w:name="_Ref44311455"/>
          <w:r w:rsidRPr="00027624">
            <w:t>Historical unemployment and underemployment rates</w:t>
          </w:r>
          <w:bookmarkEnd w:id="350"/>
        </w:p>
        <w:p w14:paraId="2A2A428E" w14:textId="77777777" w:rsidR="00D178A4" w:rsidRPr="00027624" w:rsidRDefault="009A1256" w:rsidP="00D178A4">
          <w:pPr>
            <w:pStyle w:val="ChartGraphic"/>
          </w:pPr>
          <w:r>
            <w:rPr>
              <w:noProof/>
            </w:rPr>
            <w:drawing>
              <wp:inline distT="0" distB="0" distL="0" distR="0" wp14:anchorId="4B54FEE1" wp14:editId="16C2EC09">
                <wp:extent cx="5577840" cy="2872740"/>
                <wp:effectExtent l="0" t="0" r="3810" b="3810"/>
                <wp:docPr id="2099192820" name="Picture 2099192820" descr="This chart shows the unemployment rate was above the underemployment rate from the 1980s to around 2000, after which the underemployment rate has been consistently higher than the unemployment rate. There are peaks in both rates at points of economic instability including the 1991 recession, the GFC, and the initial impacts of the COVID-19 Pandemic." title="Chart 1D-4 Historical unemployment and underemploymen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7840" cy="2872740"/>
                        </a:xfrm>
                        <a:prstGeom prst="rect">
                          <a:avLst/>
                        </a:prstGeom>
                        <a:noFill/>
                      </pic:spPr>
                    </pic:pic>
                  </a:graphicData>
                </a:graphic>
              </wp:inline>
            </w:drawing>
          </w:r>
        </w:p>
        <w:p w14:paraId="324818BB" w14:textId="77777777" w:rsidR="00D178A4" w:rsidRPr="00027624" w:rsidRDefault="00D178A4" w:rsidP="00D178A4">
          <w:pPr>
            <w:pStyle w:val="ChartorTableNote"/>
          </w:pPr>
          <w:r w:rsidRPr="00027624">
            <w:t xml:space="preserve">Source: </w:t>
          </w:r>
          <w:sdt>
            <w:sdtPr>
              <w:id w:val="1364553655"/>
              <w:citation/>
            </w:sdtPr>
            <w:sdtEndPr/>
            <w:sdtContent>
              <w:r w:rsidRPr="00027624">
                <w:fldChar w:fldCharType="begin"/>
              </w:r>
              <w:r w:rsidRPr="00027624">
                <w:instrText xml:space="preserve">CITATION ABS0lp \l 3081 </w:instrText>
              </w:r>
              <w:r w:rsidRPr="00027624">
                <w:fldChar w:fldCharType="separate"/>
              </w:r>
              <w:r w:rsidR="00E83F6E">
                <w:rPr>
                  <w:noProof/>
                </w:rPr>
                <w:t>(ABS, 2020k)</w:t>
              </w:r>
              <w:r w:rsidRPr="00027624">
                <w:fldChar w:fldCharType="end"/>
              </w:r>
            </w:sdtContent>
          </w:sdt>
          <w:r w:rsidRPr="00027624">
            <w:t>.</w:t>
          </w:r>
        </w:p>
        <w:p w14:paraId="12E97AEE" w14:textId="77777777" w:rsidR="00D178A4" w:rsidRPr="00027624" w:rsidRDefault="00D178A4" w:rsidP="00D178A4">
          <w:pPr>
            <w:pStyle w:val="Heading3"/>
          </w:pPr>
          <w:r w:rsidRPr="00027624">
            <w:lastRenderedPageBreak/>
            <w:t>Labour force trends across age groups</w:t>
          </w:r>
        </w:p>
        <w:p w14:paraId="221DAA65" w14:textId="7FEBD324" w:rsidR="00D178A4" w:rsidRDefault="00D178A4" w:rsidP="00D178A4">
          <w:r w:rsidRPr="00027624">
            <w:t>Improved health outcomes, greater flexibility in working arrangements and increasing rates of education, especially for women, have likely increased older people</w:t>
          </w:r>
          <w:r w:rsidR="00A8443E" w:rsidRPr="00027624">
            <w:t>’</w:t>
          </w:r>
          <w:r w:rsidRPr="00027624">
            <w:t>s labour force participation (</w:t>
          </w:r>
          <w:r w:rsidRPr="00027624">
            <w:fldChar w:fldCharType="begin"/>
          </w:r>
          <w:r w:rsidRPr="00027624">
            <w:instrText xml:space="preserve"> REF _Ref38460704 \r \h  \* MERGEFORMAT </w:instrText>
          </w:r>
          <w:r w:rsidRPr="00027624">
            <w:fldChar w:fldCharType="separate"/>
          </w:r>
          <w:r w:rsidR="00891058">
            <w:t>Chart 1D-5</w:t>
          </w:r>
          <w:r w:rsidRPr="00027624">
            <w:fldChar w:fldCharType="end"/>
          </w:r>
          <w:r w:rsidRPr="00027624">
            <w:t xml:space="preserve">). Increasing household debt and the later age people pay it off may also be behind this increased participation (discussed under </w:t>
          </w:r>
          <w:r w:rsidRPr="00027624">
            <w:rPr>
              <w:i/>
            </w:rPr>
            <w:fldChar w:fldCharType="begin"/>
          </w:r>
          <w:r w:rsidRPr="00027624">
            <w:rPr>
              <w:i/>
            </w:rPr>
            <w:instrText xml:space="preserve"> REF _Ref41377435 \h  \* MERGEFORMAT </w:instrText>
          </w:r>
          <w:r w:rsidRPr="00027624">
            <w:rPr>
              <w:i/>
            </w:rPr>
          </w:r>
          <w:r w:rsidRPr="00027624">
            <w:rPr>
              <w:i/>
            </w:rPr>
            <w:fldChar w:fldCharType="separate"/>
          </w:r>
          <w:r w:rsidR="00891058" w:rsidRPr="00891058">
            <w:rPr>
              <w:i/>
            </w:rPr>
            <w:t>Household wealth and debt</w:t>
          </w:r>
          <w:r w:rsidRPr="00027624">
            <w:rPr>
              <w:i/>
            </w:rPr>
            <w:fldChar w:fldCharType="end"/>
          </w:r>
          <w:r w:rsidRPr="00027624">
            <w:t>,</w:t>
          </w:r>
          <w:r w:rsidRPr="00027624">
            <w:rPr>
              <w:i/>
            </w:rPr>
            <w:t xml:space="preserve"> </w:t>
          </w:r>
          <w:r w:rsidRPr="00027624">
            <w:t>below).</w:t>
          </w:r>
        </w:p>
        <w:p w14:paraId="671EA56D" w14:textId="77777777" w:rsidR="008242AD" w:rsidRPr="00027624" w:rsidRDefault="008242AD" w:rsidP="008242AD">
          <w:r w:rsidRPr="00027624">
            <w:t>Retirement income system policy settings are strongly correlated with labour force participation. As the women’s Age Pension eligibility age rose from 60 in 1995 to 66 in 2019, the peak age for women leaving the labour force shifted in parallel, from 63 to 65 between 2006 and 2016</w:t>
          </w:r>
          <w:sdt>
            <w:sdtPr>
              <w:id w:val="1967235013"/>
              <w:citation/>
            </w:sdtPr>
            <w:sdtEndPr/>
            <w:sdtContent>
              <w:r w:rsidRPr="00027624">
                <w:fldChar w:fldCharType="begin"/>
              </w:r>
              <w:r w:rsidRPr="00027624">
                <w:instrText xml:space="preserve"> CITATION Aus16 \l 3081  \m ABSs11</w:instrText>
              </w:r>
              <w:r w:rsidRPr="00027624">
                <w:fldChar w:fldCharType="separate"/>
              </w:r>
              <w:r w:rsidR="00E83F6E">
                <w:rPr>
                  <w:noProof/>
                </w:rPr>
                <w:t xml:space="preserve"> (ABS, 2006a; ABS, 2011a)</w:t>
              </w:r>
              <w:r w:rsidRPr="00027624">
                <w:fldChar w:fldCharType="end"/>
              </w:r>
            </w:sdtContent>
          </w:sdt>
          <w:r w:rsidRPr="00027624">
            <w:t xml:space="preserve">. Over the same period, the men’s peak was maintained at 65 years — the men’s Age Pension eligibility age. Increasing labour force participation among older Australians may continue as the Age Pension eligibility age rises to 67 on 1 July 2023. </w:t>
          </w:r>
        </w:p>
        <w:p w14:paraId="1DBD4468" w14:textId="77777777" w:rsidR="008242AD" w:rsidRDefault="008242AD" w:rsidP="00D178A4">
          <w:r w:rsidRPr="00027624">
            <w:t>Participation rates of men and women aged 15</w:t>
          </w:r>
          <w:r w:rsidRPr="00027624">
            <w:noBreakHyphen/>
            <w:t>24 are now similar. As the number of jobs requiring formal qualifications has increased, time spent studying means younger generations are entering the workforce at older ages than in the past. The median age for completing education has increased from 17 in 1981, to 22 in 2016</w:t>
          </w:r>
          <w:sdt>
            <w:sdtPr>
              <w:id w:val="1514339034"/>
              <w:citation/>
            </w:sdtPr>
            <w:sdtEndPr/>
            <w:sdtContent>
              <w:r w:rsidRPr="00027624">
                <w:fldChar w:fldCharType="begin"/>
              </w:r>
              <w:r w:rsidRPr="00027624">
                <w:instrText xml:space="preserve">CITATION CEP19 \p 10 \l 3081 </w:instrText>
              </w:r>
              <w:r w:rsidRPr="00027624">
                <w:fldChar w:fldCharType="separate"/>
              </w:r>
              <w:r w:rsidR="00E83F6E">
                <w:rPr>
                  <w:noProof/>
                </w:rPr>
                <w:t xml:space="preserve"> (CEPAR, 2019, p. 10)</w:t>
              </w:r>
              <w:r w:rsidRPr="00027624">
                <w:fldChar w:fldCharType="end"/>
              </w:r>
            </w:sdtContent>
          </w:sdt>
          <w:r>
            <w:t xml:space="preserve">. </w:t>
          </w:r>
        </w:p>
        <w:p w14:paraId="00F5FC49" w14:textId="77777777" w:rsidR="008242AD" w:rsidRPr="00027624" w:rsidRDefault="008242AD" w:rsidP="00D178A4">
          <w:r w:rsidRPr="00027624">
            <w:t>The median age of people entering full</w:t>
          </w:r>
          <w:r w:rsidRPr="00027624">
            <w:noBreakHyphen/>
            <w:t>time employment has increased more quickly than the median age of exiting the labour force</w:t>
          </w:r>
          <w:sdt>
            <w:sdtPr>
              <w:id w:val="-766612679"/>
              <w:citation/>
            </w:sdtPr>
            <w:sdtEndPr/>
            <w:sdtContent>
              <w:r w:rsidRPr="00027624">
                <w:fldChar w:fldCharType="begin"/>
              </w:r>
              <w:r w:rsidRPr="00027624">
                <w:instrText xml:space="preserve">CITATION CEP19 \p 9 \l 3081 </w:instrText>
              </w:r>
              <w:r w:rsidRPr="00027624">
                <w:fldChar w:fldCharType="separate"/>
              </w:r>
              <w:r w:rsidR="00E83F6E">
                <w:rPr>
                  <w:noProof/>
                </w:rPr>
                <w:t xml:space="preserve"> (CEPAR, 2019, p. 9)</w:t>
              </w:r>
              <w:r w:rsidRPr="00027624">
                <w:fldChar w:fldCharType="end"/>
              </w:r>
            </w:sdtContent>
          </w:sdt>
          <w:r w:rsidRPr="00027624">
            <w:t xml:space="preserve">, reflecting generational differences in working lives. People who have delayed their workforce entry may delay their exit from the workforce in future. However, if they do not, they will spend less time working and more in retirement. How shorter and interrupted working lives affect retirement outcomes is explored in </w:t>
          </w:r>
          <w:r w:rsidRPr="00027624">
            <w:rPr>
              <w:i/>
            </w:rPr>
            <w:t xml:space="preserve">2C. Maintaining standards of living in retirement </w:t>
          </w:r>
          <w:r w:rsidRPr="00027624">
            <w:t>and</w:t>
          </w:r>
          <w:r w:rsidRPr="00027624">
            <w:rPr>
              <w:i/>
            </w:rPr>
            <w:t xml:space="preserve"> 3E. Age of retirement</w:t>
          </w:r>
          <w:r>
            <w:t>.</w:t>
          </w:r>
        </w:p>
        <w:p w14:paraId="77DC4054" w14:textId="77777777" w:rsidR="00D178A4" w:rsidRPr="00027624" w:rsidRDefault="00D178A4" w:rsidP="00325A8D">
          <w:pPr>
            <w:pStyle w:val="ChartMainHeading"/>
            <w:numPr>
              <w:ilvl w:val="2"/>
              <w:numId w:val="20"/>
            </w:numPr>
          </w:pPr>
          <w:bookmarkStart w:id="351" w:name="_Ref38460704"/>
          <w:r w:rsidRPr="00027624">
            <w:t>Labour force participation, by age</w:t>
          </w:r>
          <w:bookmarkEnd w:id="351"/>
          <w:r w:rsidRPr="00027624">
            <w:t xml:space="preserve"> </w:t>
          </w:r>
        </w:p>
        <w:tbl>
          <w:tblPr>
            <w:tblStyle w:val="TableGrid"/>
            <w:tblW w:w="0" w:type="auto"/>
            <w:tblLook w:val="04A0" w:firstRow="1" w:lastRow="0" w:firstColumn="1" w:lastColumn="0" w:noHBand="0" w:noVBand="1"/>
          </w:tblPr>
          <w:tblGrid>
            <w:gridCol w:w="4535"/>
            <w:gridCol w:w="4535"/>
          </w:tblGrid>
          <w:tr w:rsidR="00D178A4" w:rsidRPr="00027624" w14:paraId="06DD5BDF" w14:textId="77777777" w:rsidTr="00D178A4">
            <w:tc>
              <w:tcPr>
                <w:tcW w:w="4536" w:type="dxa"/>
                <w:shd w:val="clear" w:color="auto" w:fill="auto"/>
              </w:tcPr>
              <w:p w14:paraId="579CBF1E" w14:textId="77777777" w:rsidR="00D178A4" w:rsidRPr="00027624" w:rsidRDefault="00F77408" w:rsidP="00D178A4">
                <w:pPr>
                  <w:pStyle w:val="ChartSecondHeading"/>
                </w:pPr>
                <w:r>
                  <w:t>Women</w:t>
                </w:r>
              </w:p>
            </w:tc>
            <w:tc>
              <w:tcPr>
                <w:tcW w:w="4536" w:type="dxa"/>
                <w:shd w:val="clear" w:color="auto" w:fill="auto"/>
              </w:tcPr>
              <w:p w14:paraId="335CB6CB" w14:textId="77777777" w:rsidR="00D178A4" w:rsidRPr="00027624" w:rsidRDefault="00F77408" w:rsidP="00D178A4">
                <w:pPr>
                  <w:pStyle w:val="ChartSecondHeading"/>
                </w:pPr>
                <w:r>
                  <w:t>Men</w:t>
                </w:r>
              </w:p>
            </w:tc>
          </w:tr>
          <w:tr w:rsidR="00D178A4" w:rsidRPr="00027624" w14:paraId="373B18CC" w14:textId="77777777" w:rsidTr="00D178A4">
            <w:tc>
              <w:tcPr>
                <w:tcW w:w="4536" w:type="dxa"/>
                <w:shd w:val="clear" w:color="auto" w:fill="auto"/>
              </w:tcPr>
              <w:p w14:paraId="751A307B" w14:textId="77777777" w:rsidR="00D178A4" w:rsidRPr="00027624" w:rsidRDefault="009A1256" w:rsidP="00D178A4">
                <w:pPr>
                  <w:pStyle w:val="ChartGraphic"/>
                </w:pPr>
                <w:r w:rsidRPr="009A1256">
                  <w:rPr>
                    <w:noProof/>
                  </w:rPr>
                  <w:drawing>
                    <wp:inline distT="0" distB="0" distL="0" distR="0" wp14:anchorId="4EE5D722" wp14:editId="627B003A">
                      <wp:extent cx="2653200" cy="2858400"/>
                      <wp:effectExtent l="0" t="0" r="0" b="0"/>
                      <wp:docPr id="2099192821" name="Picture 2099192821" descr="This chart shows labour force participation for women has increased over time. In particular, for women aged 55-64, the rate has increased from around 20 per cent in 1980 to around 60 per cent at May 2020. Women's participation rate at older ages (65 and over) has increased slightly over time to 10 per cent at May 2020, but remains at about 10 percentage points lower than men’s (see Chart 1D-15)." title="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53200" cy="2858400"/>
                              </a:xfrm>
                              <a:prstGeom prst="rect">
                                <a:avLst/>
                              </a:prstGeom>
                              <a:noFill/>
                            </pic:spPr>
                          </pic:pic>
                        </a:graphicData>
                      </a:graphic>
                    </wp:inline>
                  </w:drawing>
                </w:r>
              </w:p>
            </w:tc>
            <w:tc>
              <w:tcPr>
                <w:tcW w:w="4536" w:type="dxa"/>
                <w:shd w:val="clear" w:color="auto" w:fill="auto"/>
              </w:tcPr>
              <w:p w14:paraId="08C2E0EA" w14:textId="77777777" w:rsidR="00D178A4" w:rsidRPr="00027624" w:rsidRDefault="009A1256" w:rsidP="00D178A4">
                <w:pPr>
                  <w:pStyle w:val="ChartGraphic"/>
                </w:pPr>
                <w:r w:rsidRPr="009A1256">
                  <w:rPr>
                    <w:noProof/>
                  </w:rPr>
                  <w:drawing>
                    <wp:inline distT="0" distB="0" distL="0" distR="0" wp14:anchorId="23C498D9" wp14:editId="48288643">
                      <wp:extent cx="2700000" cy="2844000"/>
                      <wp:effectExtent l="0" t="0" r="5715" b="0"/>
                      <wp:docPr id="2099192822" name="Picture 2099192822" descr="This chart shows men’s labour force participation rates have remained either relatively stable or decreased slightly for working-age cohorts between May 1980 and 2020. There has been a slight increase for men aged 55-64 (following a dip between the late 1980s and early 2000s), with the largest increase for men aged 65 and over, of 10 percentage points." title="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00000" cy="2844000"/>
                              </a:xfrm>
                              <a:prstGeom prst="rect">
                                <a:avLst/>
                              </a:prstGeom>
                              <a:noFill/>
                            </pic:spPr>
                          </pic:pic>
                        </a:graphicData>
                      </a:graphic>
                    </wp:inline>
                  </w:drawing>
                </w:r>
              </w:p>
            </w:tc>
          </w:tr>
        </w:tbl>
        <w:p w14:paraId="71330EE4" w14:textId="77777777" w:rsidR="00D178A4" w:rsidRPr="00027624" w:rsidRDefault="00D178A4" w:rsidP="00D178A4">
          <w:pPr>
            <w:pStyle w:val="ChartorTableNote"/>
          </w:pPr>
          <w:r w:rsidRPr="00027624">
            <w:t>Note: Rolling 12</w:t>
          </w:r>
          <w:r w:rsidR="00A8443E" w:rsidRPr="00027624">
            <w:noBreakHyphen/>
          </w:r>
          <w:r w:rsidRPr="00027624">
            <w:t>month average. Source: Analysis of</w:t>
          </w:r>
          <w:sdt>
            <w:sdtPr>
              <w:id w:val="-437527175"/>
              <w:citation/>
            </w:sdtPr>
            <w:sdtEndPr/>
            <w:sdtContent>
              <w:r w:rsidRPr="00027624">
                <w:fldChar w:fldCharType="begin"/>
              </w:r>
              <w:r w:rsidRPr="00027624">
                <w:instrText xml:space="preserve">CITATION ABS0lp \l 3081 </w:instrText>
              </w:r>
              <w:r w:rsidRPr="00027624">
                <w:fldChar w:fldCharType="separate"/>
              </w:r>
              <w:r w:rsidR="00E83F6E">
                <w:rPr>
                  <w:noProof/>
                </w:rPr>
                <w:t xml:space="preserve"> (ABS, 2020k)</w:t>
              </w:r>
              <w:r w:rsidRPr="00027624">
                <w:fldChar w:fldCharType="end"/>
              </w:r>
            </w:sdtContent>
          </w:sdt>
          <w:r w:rsidRPr="00027624">
            <w:t>.</w:t>
          </w:r>
        </w:p>
        <w:p w14:paraId="4ECF374A" w14:textId="77777777" w:rsidR="00D178A4" w:rsidRPr="00027624" w:rsidRDefault="00D178A4" w:rsidP="00D178A4">
          <w:pPr>
            <w:pStyle w:val="Heading3"/>
          </w:pPr>
          <w:r w:rsidRPr="00027624">
            <w:t>Wage growth</w:t>
          </w:r>
        </w:p>
        <w:p w14:paraId="7E88F276" w14:textId="77777777" w:rsidR="00D178A4" w:rsidRPr="00027624" w:rsidRDefault="00D178A4" w:rsidP="00D178A4">
          <w:pPr>
            <w:rPr>
              <w:rStyle w:val="normaltextrun1"/>
            </w:rPr>
          </w:pPr>
          <w:r w:rsidRPr="00027624">
            <w:t xml:space="preserve">Wage growth affects the outcomes and sustainability of the retirement income system. Real wage growth boosts savings capacity and higher superannuation contributions, increasing superannuation balances. </w:t>
          </w:r>
        </w:p>
        <w:p w14:paraId="66CA9E3D" w14:textId="24D92AB7" w:rsidR="00D178A4" w:rsidRPr="00027624" w:rsidRDefault="00D178A4" w:rsidP="00D178A4">
          <w:pPr>
            <w:rPr>
              <w:rStyle w:val="normaltextrun1"/>
              <w:rFonts w:cs="Calibri"/>
              <w:szCs w:val="22"/>
            </w:rPr>
          </w:pPr>
          <w:r w:rsidRPr="00027624">
            <w:rPr>
              <w:rStyle w:val="normaltextrun1"/>
              <w:rFonts w:cs="Calibri"/>
              <w:szCs w:val="22"/>
            </w:rPr>
            <w:t>Over the past 20 years, annual nominal growth in average weekly earnings averaged 3.7 per cent (1.0 per cent real)</w:t>
          </w:r>
          <w:r w:rsidRPr="00027624" w:rsidDel="00166302">
            <w:rPr>
              <w:rStyle w:val="normaltextrun1"/>
              <w:rFonts w:cs="Calibri"/>
              <w:szCs w:val="22"/>
            </w:rPr>
            <w:t xml:space="preserve"> </w:t>
          </w:r>
          <w:r w:rsidRPr="00027624">
            <w:rPr>
              <w:rStyle w:val="normaltextrun1"/>
              <w:rFonts w:cs="Calibri"/>
              <w:szCs w:val="22"/>
            </w:rPr>
            <w:t xml:space="preserve">but only 2.8 per cent (0.7 per cent real) over the past ten years since the end of </w:t>
          </w:r>
          <w:r w:rsidRPr="00027624">
            <w:rPr>
              <w:rStyle w:val="normaltextrun1"/>
              <w:rFonts w:cs="Calibri"/>
              <w:szCs w:val="22"/>
            </w:rPr>
            <w:lastRenderedPageBreak/>
            <w:t>the GFC (</w:t>
          </w:r>
          <w:r w:rsidRPr="00027624">
            <w:rPr>
              <w:rStyle w:val="normaltextrun1"/>
              <w:rFonts w:cs="Calibri"/>
              <w:szCs w:val="22"/>
            </w:rPr>
            <w:fldChar w:fldCharType="begin"/>
          </w:r>
          <w:r w:rsidRPr="00027624">
            <w:rPr>
              <w:rStyle w:val="normaltextrun1"/>
              <w:rFonts w:cs="Calibri"/>
              <w:szCs w:val="22"/>
            </w:rPr>
            <w:instrText xml:space="preserve"> REF _Ref38462196 \r \h  \* MERGEFORMAT </w:instrText>
          </w:r>
          <w:r w:rsidRPr="00027624">
            <w:rPr>
              <w:rStyle w:val="normaltextrun1"/>
              <w:rFonts w:cs="Calibri"/>
              <w:szCs w:val="22"/>
            </w:rPr>
          </w:r>
          <w:r w:rsidRPr="00027624">
            <w:rPr>
              <w:rStyle w:val="normaltextrun1"/>
              <w:rFonts w:cs="Calibri"/>
              <w:szCs w:val="22"/>
            </w:rPr>
            <w:fldChar w:fldCharType="separate"/>
          </w:r>
          <w:r w:rsidR="00891058">
            <w:rPr>
              <w:rStyle w:val="normaltextrun1"/>
              <w:rFonts w:cs="Calibri"/>
              <w:szCs w:val="22"/>
            </w:rPr>
            <w:t>Chart 1D-6</w:t>
          </w:r>
          <w:r w:rsidRPr="00027624">
            <w:rPr>
              <w:rStyle w:val="normaltextrun1"/>
              <w:rFonts w:cs="Calibri"/>
              <w:szCs w:val="22"/>
            </w:rPr>
            <w:fldChar w:fldCharType="end"/>
          </w:r>
          <w:r w:rsidRPr="00027624">
            <w:rPr>
              <w:rStyle w:val="normaltextrun1"/>
              <w:rFonts w:cs="Calibri"/>
              <w:szCs w:val="22"/>
            </w:rPr>
            <w:t xml:space="preserve">). A number of factors have weighed on wage growth, with possible causes including reduced rates of job switching and changing market conditions, with lower growth noted in other developed economies </w:t>
          </w:r>
          <w:sdt>
            <w:sdtPr>
              <w:rPr>
                <w:rStyle w:val="normaltextrun1"/>
                <w:rFonts w:cs="Calibri"/>
                <w:szCs w:val="22"/>
              </w:rPr>
              <w:id w:val="623354997"/>
              <w:citation/>
            </w:sdtPr>
            <w:sdtEndPr>
              <w:rPr>
                <w:rStyle w:val="normaltextrun1"/>
              </w:rPr>
            </w:sdtEndPr>
            <w:sdtContent>
              <w:r w:rsidRPr="00027624">
                <w:rPr>
                  <w:rStyle w:val="normaltextrun1"/>
                  <w:rFonts w:cs="Calibri"/>
                  <w:szCs w:val="22"/>
                </w:rPr>
                <w:fldChar w:fldCharType="begin"/>
              </w:r>
              <w:r w:rsidRPr="00027624">
                <w:rPr>
                  <w:rStyle w:val="normaltextrun1"/>
                  <w:rFonts w:cs="Calibri"/>
                  <w:szCs w:val="22"/>
                </w:rPr>
                <w:instrText xml:space="preserve">CITATION And19d \l 3081 </w:instrText>
              </w:r>
              <w:r w:rsidRPr="00027624">
                <w:rPr>
                  <w:rStyle w:val="normaltextrun1"/>
                  <w:rFonts w:cs="Calibri"/>
                  <w:szCs w:val="22"/>
                </w:rPr>
                <w:fldChar w:fldCharType="separate"/>
              </w:r>
              <w:r w:rsidR="00E83F6E" w:rsidRPr="00E83F6E">
                <w:rPr>
                  <w:rFonts w:cs="Calibri"/>
                  <w:noProof/>
                  <w:szCs w:val="22"/>
                </w:rPr>
                <w:t>(Andrews, et al., 2019)</w:t>
              </w:r>
              <w:r w:rsidRPr="00027624">
                <w:rPr>
                  <w:rStyle w:val="normaltextrun1"/>
                  <w:rFonts w:cs="Calibri"/>
                  <w:szCs w:val="22"/>
                </w:rPr>
                <w:fldChar w:fldCharType="end"/>
              </w:r>
            </w:sdtContent>
          </w:sdt>
          <w:r w:rsidRPr="00027624">
            <w:rPr>
              <w:rStyle w:val="normaltextrun1"/>
              <w:rFonts w:cs="Calibri"/>
            </w:rPr>
            <w:t>.</w:t>
          </w:r>
        </w:p>
        <w:p w14:paraId="0625704B" w14:textId="77777777" w:rsidR="00D178A4" w:rsidRPr="00027624" w:rsidRDefault="00D178A4" w:rsidP="00325A8D">
          <w:pPr>
            <w:pStyle w:val="ChartMainHeading"/>
            <w:numPr>
              <w:ilvl w:val="2"/>
              <w:numId w:val="20"/>
            </w:numPr>
          </w:pPr>
          <w:bookmarkStart w:id="352" w:name="_Ref38462196"/>
          <w:r w:rsidRPr="00027624">
            <w:t xml:space="preserve">Average annual growth in </w:t>
          </w:r>
          <w:bookmarkEnd w:id="352"/>
          <w:r w:rsidRPr="00027624">
            <w:t>average weekly earnings</w:t>
          </w:r>
        </w:p>
        <w:p w14:paraId="65519076" w14:textId="77777777" w:rsidR="00D178A4" w:rsidRPr="00027624" w:rsidRDefault="00F77408" w:rsidP="00D178A4">
          <w:pPr>
            <w:pStyle w:val="ChartGraphic"/>
          </w:pPr>
          <w:r>
            <w:rPr>
              <w:noProof/>
            </w:rPr>
            <w:drawing>
              <wp:inline distT="0" distB="0" distL="0" distR="0" wp14:anchorId="55B3927A" wp14:editId="65073FDD">
                <wp:extent cx="5577840" cy="2522220"/>
                <wp:effectExtent l="0" t="0" r="3810" b="0"/>
                <wp:docPr id="2099192823" name="Picture 2099192823" descr="This chart shows average annual growth in average weekly earnings was between 3 and 5 per cent from 2000 to 2013. This declined to between 1 and 3 per cent from 2014 to 2019. " title="Chart 1D-6 Average annual growth in average weekly e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051FE6F2" w14:textId="77777777" w:rsidR="00D178A4" w:rsidRPr="00027624" w:rsidRDefault="00D178A4" w:rsidP="00D178A4">
          <w:pPr>
            <w:pStyle w:val="ChartorTableNote"/>
          </w:pPr>
          <w:r w:rsidRPr="00027624">
            <w:t>Note: Change in nominal average weekly earnings. Source:</w:t>
          </w:r>
          <w:sdt>
            <w:sdtPr>
              <w:id w:val="329104158"/>
              <w:citation/>
            </w:sdtPr>
            <w:sdtEndPr/>
            <w:sdtContent>
              <w:r w:rsidRPr="00027624">
                <w:fldChar w:fldCharType="begin"/>
              </w:r>
              <w:r w:rsidR="00AE2BB3">
                <w:instrText xml:space="preserve">CITATION ABS20d \l 3081 </w:instrText>
              </w:r>
              <w:r w:rsidRPr="00027624">
                <w:fldChar w:fldCharType="separate"/>
              </w:r>
              <w:r w:rsidR="00E83F6E">
                <w:rPr>
                  <w:noProof/>
                </w:rPr>
                <w:t xml:space="preserve"> (ABS, 2020d)</w:t>
              </w:r>
              <w:r w:rsidRPr="00027624">
                <w:fldChar w:fldCharType="end"/>
              </w:r>
            </w:sdtContent>
          </w:sdt>
          <w:r w:rsidRPr="00027624">
            <w:t>.</w:t>
          </w:r>
        </w:p>
        <w:p w14:paraId="33EB90DB" w14:textId="77777777" w:rsidR="00D178A4" w:rsidRPr="00027624" w:rsidRDefault="00D178A4" w:rsidP="00D178A4">
          <w:pPr>
            <w:rPr>
              <w:rStyle w:val="normaltextrun1"/>
            </w:rPr>
          </w:pPr>
          <w:r w:rsidRPr="00027624">
            <w:t xml:space="preserve">In the long term, real wage growth is driven by productivity. </w:t>
          </w:r>
          <w:r w:rsidRPr="00027624">
            <w:rPr>
              <w:rStyle w:val="normaltextrun1"/>
              <w:rFonts w:cs="Calibri"/>
              <w:szCs w:val="22"/>
            </w:rPr>
            <w:t>Over the past decade, productivity growth has fallen from its long</w:t>
          </w:r>
          <w:r w:rsidR="00A8443E" w:rsidRPr="00027624">
            <w:rPr>
              <w:rStyle w:val="normaltextrun1"/>
              <w:rFonts w:cs="Calibri"/>
              <w:szCs w:val="22"/>
            </w:rPr>
            <w:noBreakHyphen/>
          </w:r>
          <w:r w:rsidRPr="00027624">
            <w:rPr>
              <w:rStyle w:val="normaltextrun1"/>
              <w:rFonts w:cs="Calibri"/>
              <w:szCs w:val="22"/>
            </w:rPr>
            <w:t xml:space="preserve">term average of 1.7 per cent to an average of 1.2 per cent, partly because of low capital investment </w:t>
          </w:r>
          <w:sdt>
            <w:sdtPr>
              <w:id w:val="1575157497"/>
              <w:citation/>
            </w:sdtPr>
            <w:sdtEndPr/>
            <w:sdtContent>
              <w:r w:rsidRPr="00027624">
                <w:fldChar w:fldCharType="begin"/>
              </w:r>
              <w:r w:rsidRPr="00027624">
                <w:instrText xml:space="preserve">CITATION PC19 \p 3-9 \l 3081 </w:instrText>
              </w:r>
              <w:r w:rsidRPr="00027624">
                <w:fldChar w:fldCharType="separate"/>
              </w:r>
              <w:r w:rsidR="00E83F6E">
                <w:rPr>
                  <w:noProof/>
                </w:rPr>
                <w:t>(Productivity Commission, 2019a, pp. 3-9)</w:t>
              </w:r>
              <w:r w:rsidRPr="00027624">
                <w:fldChar w:fldCharType="end"/>
              </w:r>
            </w:sdtContent>
          </w:sdt>
          <w:r w:rsidRPr="00027624">
            <w:rPr>
              <w:rStyle w:val="normaltextrun1"/>
              <w:rFonts w:cs="Calibri"/>
              <w:szCs w:val="22"/>
            </w:rPr>
            <w:t>.</w:t>
          </w:r>
        </w:p>
        <w:p w14:paraId="6F20EB36" w14:textId="77777777" w:rsidR="00D178A4" w:rsidRPr="00027624" w:rsidRDefault="00D178A4" w:rsidP="00D178A4">
          <w:pPr>
            <w:rPr>
              <w:rStyle w:val="normaltextrun1"/>
              <w:rFonts w:cs="Calibri"/>
              <w:szCs w:val="22"/>
            </w:rPr>
          </w:pPr>
          <w:r w:rsidRPr="00027624">
            <w:rPr>
              <w:rStyle w:val="normaltextrun1"/>
              <w:rFonts w:cs="Calibri"/>
              <w:szCs w:val="22"/>
            </w:rPr>
            <w:t xml:space="preserve">The possible effects of sustained lower wage growth on the retirement income system and its outcomes are explored in </w:t>
          </w:r>
          <w:r w:rsidRPr="00027624">
            <w:rPr>
              <w:rStyle w:val="normaltextrun1"/>
              <w:rFonts w:cs="Calibri"/>
              <w:i/>
              <w:szCs w:val="22"/>
            </w:rPr>
            <w:t xml:space="preserve">2C. Maintaining standards of living in retirement </w:t>
          </w:r>
          <w:r w:rsidRPr="00027624">
            <w:rPr>
              <w:rStyle w:val="normaltextrun1"/>
              <w:rFonts w:cs="Calibri"/>
              <w:szCs w:val="22"/>
            </w:rPr>
            <w:t>and</w:t>
          </w:r>
          <w:r w:rsidRPr="00027624">
            <w:rPr>
              <w:rStyle w:val="normaltextrun1"/>
              <w:rFonts w:cs="Calibri"/>
              <w:i/>
              <w:szCs w:val="22"/>
            </w:rPr>
            <w:t xml:space="preserve"> 4. Sustainability</w:t>
          </w:r>
          <w:r w:rsidRPr="00027624">
            <w:rPr>
              <w:rStyle w:val="normaltextrun1"/>
              <w:rFonts w:cs="Calibri"/>
              <w:szCs w:val="22"/>
            </w:rPr>
            <w:t>.</w:t>
          </w:r>
        </w:p>
        <w:p w14:paraId="5CEC65A9" w14:textId="77777777" w:rsidR="00D178A4" w:rsidRPr="00027624" w:rsidRDefault="00D178A4" w:rsidP="00D178A4">
          <w:pPr>
            <w:pStyle w:val="Heading2"/>
          </w:pPr>
          <w:bookmarkStart w:id="353" w:name="_Toc45520446"/>
          <w:bookmarkStart w:id="354" w:name="_Toc46133557"/>
          <w:r w:rsidRPr="00027624">
            <w:t>Economic growth and returns on investments</w:t>
          </w:r>
          <w:bookmarkEnd w:id="353"/>
          <w:bookmarkEnd w:id="354"/>
        </w:p>
        <w:p w14:paraId="7404E5B9" w14:textId="77777777" w:rsidR="00D178A4" w:rsidRPr="00027624" w:rsidRDefault="00D178A4" w:rsidP="00D178A4">
          <w:pPr>
            <w:rPr>
              <w:rStyle w:val="normaltextrun1"/>
              <w:rFonts w:cs="Calibri"/>
              <w:szCs w:val="22"/>
            </w:rPr>
          </w:pPr>
          <w:r w:rsidRPr="00027624">
            <w:rPr>
              <w:rStyle w:val="normaltextrun1"/>
              <w:rFonts w:cs="Calibri"/>
              <w:szCs w:val="22"/>
            </w:rPr>
            <w:t>Economic growth and returns on investments heavily influence the retirement income system</w:t>
          </w:r>
          <w:r w:rsidR="00A8443E" w:rsidRPr="00027624">
            <w:rPr>
              <w:rStyle w:val="normaltextrun1"/>
              <w:rFonts w:cs="Calibri"/>
              <w:szCs w:val="22"/>
            </w:rPr>
            <w:t>’</w:t>
          </w:r>
          <w:r w:rsidRPr="00027624">
            <w:rPr>
              <w:rStyle w:val="normaltextrun1"/>
              <w:rFonts w:cs="Calibri"/>
              <w:szCs w:val="22"/>
            </w:rPr>
            <w:t>s sustainability and outcomes.</w:t>
          </w:r>
        </w:p>
        <w:p w14:paraId="7AEDE888" w14:textId="77777777" w:rsidR="00D178A4" w:rsidRPr="00027624" w:rsidRDefault="00D178A4" w:rsidP="00D178A4">
          <w:pPr>
            <w:pStyle w:val="Heading3"/>
            <w:rPr>
              <w:rStyle w:val="normaltextrun1"/>
              <w:rFonts w:cs="Calibri"/>
              <w:szCs w:val="22"/>
            </w:rPr>
          </w:pPr>
          <w:r w:rsidRPr="00027624">
            <w:rPr>
              <w:rStyle w:val="normaltextrun1"/>
              <w:rFonts w:cs="Calibri"/>
              <w:szCs w:val="22"/>
            </w:rPr>
            <w:t>Economic growth</w:t>
          </w:r>
        </w:p>
        <w:p w14:paraId="13FEB334" w14:textId="77777777" w:rsidR="00D178A4" w:rsidRPr="00027624" w:rsidRDefault="00D178A4" w:rsidP="00D178A4">
          <w:pPr>
            <w:rPr>
              <w:rStyle w:val="normaltextrun1"/>
              <w:rFonts w:cs="Calibri"/>
              <w:szCs w:val="22"/>
            </w:rPr>
          </w:pPr>
          <w:r w:rsidRPr="00027624">
            <w:rPr>
              <w:rStyle w:val="normaltextrun1"/>
              <w:rFonts w:cs="Calibri"/>
              <w:szCs w:val="22"/>
            </w:rPr>
            <w:t>Economic growth generally leads to higher superannuation coverage through greater employment. It also influences the Government</w:t>
          </w:r>
          <w:r w:rsidR="00A8443E" w:rsidRPr="00027624">
            <w:rPr>
              <w:rStyle w:val="normaltextrun1"/>
              <w:rFonts w:cs="Calibri"/>
              <w:szCs w:val="22"/>
            </w:rPr>
            <w:t>’</w:t>
          </w:r>
          <w:r w:rsidRPr="00027624">
            <w:rPr>
              <w:rStyle w:val="normaltextrun1"/>
              <w:rFonts w:cs="Calibri"/>
              <w:szCs w:val="22"/>
            </w:rPr>
            <w:t>s ability to maintain spending on the Age Pension.</w:t>
          </w:r>
        </w:p>
        <w:p w14:paraId="2D2D86DE" w14:textId="071C1795" w:rsidR="00D178A4" w:rsidRPr="00027624" w:rsidRDefault="00D178A4" w:rsidP="00D178A4">
          <w:pPr>
            <w:tabs>
              <w:tab w:val="num" w:pos="720"/>
            </w:tabs>
          </w:pPr>
          <w:r w:rsidRPr="00027624">
            <w:t>Australia</w:t>
          </w:r>
          <w:r w:rsidR="00A8443E" w:rsidRPr="00027624">
            <w:t>’</w:t>
          </w:r>
          <w:r w:rsidRPr="00027624">
            <w:t>s real GDP growth has averaged 3.1 per cent over the past 40 years (</w:t>
          </w:r>
          <w:r w:rsidRPr="00027624">
            <w:fldChar w:fldCharType="begin"/>
          </w:r>
          <w:r w:rsidRPr="00027624">
            <w:instrText xml:space="preserve"> REF _Ref38532790 \r \h  \* MERGEFORMAT </w:instrText>
          </w:r>
          <w:r w:rsidRPr="00027624">
            <w:fldChar w:fldCharType="separate"/>
          </w:r>
          <w:r w:rsidR="00891058">
            <w:t>Chart 1D-7</w:t>
          </w:r>
          <w:r w:rsidRPr="00027624">
            <w:fldChar w:fldCharType="end"/>
          </w:r>
          <w:r w:rsidRPr="00027624">
            <w:t xml:space="preserve">). Negative economic growth during the early 1980s and 1990s coincided with global recessions. </w:t>
          </w:r>
          <w:bookmarkStart w:id="355" w:name="_Hlk40250429"/>
          <w:r w:rsidRPr="00027624">
            <w:t>Since 2010, the economy has been growing below the long</w:t>
          </w:r>
          <w:r w:rsidR="00A8443E" w:rsidRPr="00027624">
            <w:noBreakHyphen/>
          </w:r>
          <w:r w:rsidRPr="00027624">
            <w:t xml:space="preserve">term trend. </w:t>
          </w:r>
          <w:bookmarkEnd w:id="355"/>
          <w:r w:rsidRPr="00027624">
            <w:t>The effect of the COVID</w:t>
          </w:r>
          <w:r w:rsidR="00A8443E" w:rsidRPr="00027624">
            <w:noBreakHyphen/>
          </w:r>
          <w:r w:rsidRPr="00027624">
            <w:t xml:space="preserve">19 Pandemic on global economic growth remains uncertain, with some suggestions of a global recession </w:t>
          </w:r>
          <w:sdt>
            <w:sdtPr>
              <w:id w:val="50747772"/>
              <w:citation/>
            </w:sdtPr>
            <w:sdtEndPr/>
            <w:sdtContent>
              <w:r w:rsidRPr="00027624">
                <w:fldChar w:fldCharType="begin"/>
              </w:r>
              <w:r w:rsidRPr="00027624">
                <w:instrText xml:space="preserve">CITATION OEC20c \l 3081 </w:instrText>
              </w:r>
              <w:r w:rsidRPr="00027624">
                <w:fldChar w:fldCharType="separate"/>
              </w:r>
              <w:r w:rsidR="00E83F6E">
                <w:rPr>
                  <w:noProof/>
                </w:rPr>
                <w:t>(OECD, 2020a)</w:t>
              </w:r>
              <w:r w:rsidRPr="00027624">
                <w:fldChar w:fldCharType="end"/>
              </w:r>
            </w:sdtContent>
          </w:sdt>
          <w:r w:rsidRPr="00027624">
            <w:t>.</w:t>
          </w:r>
          <w:r w:rsidRPr="00027624">
            <w:rPr>
              <w:rStyle w:val="CommentReference"/>
            </w:rPr>
            <w:t xml:space="preserve"> </w:t>
          </w:r>
        </w:p>
        <w:p w14:paraId="469BB63C" w14:textId="77777777" w:rsidR="00D178A4" w:rsidRPr="00027624" w:rsidRDefault="00D178A4" w:rsidP="00325A8D">
          <w:pPr>
            <w:pStyle w:val="ChartMainHeading"/>
            <w:numPr>
              <w:ilvl w:val="2"/>
              <w:numId w:val="20"/>
            </w:numPr>
          </w:pPr>
          <w:bookmarkStart w:id="356" w:name="_Ref38532790"/>
          <w:r w:rsidRPr="00027624">
            <w:lastRenderedPageBreak/>
            <w:t>Annual through the year real GDP growth</w:t>
          </w:r>
          <w:bookmarkEnd w:id="356"/>
        </w:p>
        <w:p w14:paraId="5EAAEF7D" w14:textId="77777777" w:rsidR="00D178A4" w:rsidRPr="00027624" w:rsidRDefault="00F77408" w:rsidP="003346BB">
          <w:pPr>
            <w:pStyle w:val="ChartGraphic"/>
            <w:rPr>
              <w:rStyle w:val="normaltextrun1"/>
              <w:rFonts w:cs="Calibri"/>
              <w:szCs w:val="22"/>
            </w:rPr>
          </w:pPr>
          <w:r>
            <w:rPr>
              <w:rStyle w:val="normaltextrun1"/>
              <w:rFonts w:cs="Calibri"/>
              <w:noProof/>
              <w:szCs w:val="22"/>
            </w:rPr>
            <w:drawing>
              <wp:inline distT="0" distB="0" distL="0" distR="0" wp14:anchorId="6229F08D" wp14:editId="7DFE474E">
                <wp:extent cx="5577840" cy="2522220"/>
                <wp:effectExtent l="0" t="0" r="3810" b="0"/>
                <wp:docPr id="2099192824" name="Picture 2099192824" descr="This chart shows annual real GDP growth through the year has largely been below the 40 year average of 3.1 per cent in recent years. " title="Chart 1D-7 Annual through the year real GDP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EB28A7D" w14:textId="77777777" w:rsidR="00D178A4" w:rsidRPr="00027624" w:rsidRDefault="00D178A4" w:rsidP="00D178A4">
          <w:pPr>
            <w:pStyle w:val="ChartorTableNote"/>
          </w:pPr>
          <w:r w:rsidRPr="00027624">
            <w:t xml:space="preserve">Note: Per cent growth rate through the year. Average 40 year growth rate calculated using compound average growth rate. Source: Analysis of </w:t>
          </w:r>
          <w:sdt>
            <w:sdtPr>
              <w:id w:val="585047548"/>
              <w:citation/>
            </w:sdtPr>
            <w:sdtEndPr/>
            <w:sdtContent>
              <w:r w:rsidRPr="00027624">
                <w:fldChar w:fldCharType="begin"/>
              </w:r>
              <w:r w:rsidRPr="00027624">
                <w:instrText xml:space="preserve"> CITATION ABS0qv \l 3081 </w:instrText>
              </w:r>
              <w:r w:rsidRPr="00027624">
                <w:fldChar w:fldCharType="separate"/>
              </w:r>
              <w:r w:rsidR="00E83F6E">
                <w:rPr>
                  <w:noProof/>
                </w:rPr>
                <w:t>(ABS, 2020b)</w:t>
              </w:r>
              <w:r w:rsidRPr="00027624">
                <w:fldChar w:fldCharType="end"/>
              </w:r>
            </w:sdtContent>
          </w:sdt>
          <w:r w:rsidRPr="00027624">
            <w:t>.</w:t>
          </w:r>
        </w:p>
        <w:p w14:paraId="0277D5D3" w14:textId="77777777" w:rsidR="00D178A4" w:rsidRPr="00027624" w:rsidRDefault="00D178A4" w:rsidP="00D178A4">
          <w:pPr>
            <w:pStyle w:val="Heading3"/>
            <w:rPr>
              <w:rStyle w:val="normaltextrun1"/>
              <w:rFonts w:cs="Calibri"/>
              <w:szCs w:val="22"/>
            </w:rPr>
          </w:pPr>
          <w:r w:rsidRPr="00027624">
            <w:rPr>
              <w:rStyle w:val="normaltextrun1"/>
              <w:rFonts w:cs="Calibri"/>
              <w:szCs w:val="22"/>
            </w:rPr>
            <w:t>Return on investments</w:t>
          </w:r>
        </w:p>
        <w:p w14:paraId="4A52AF28" w14:textId="77777777" w:rsidR="00D178A4" w:rsidRPr="00027624" w:rsidRDefault="00D178A4" w:rsidP="00D178A4">
          <w:pPr>
            <w:rPr>
              <w:rStyle w:val="normaltextrun1"/>
              <w:rFonts w:cs="Calibri"/>
              <w:szCs w:val="22"/>
            </w:rPr>
          </w:pPr>
          <w:r w:rsidRPr="00027624">
            <w:rPr>
              <w:rStyle w:val="normaltextrun1"/>
              <w:rFonts w:cs="Calibri"/>
              <w:szCs w:val="22"/>
            </w:rPr>
            <w:t xml:space="preserve">Economic growth, market interest rates and movements in equity markets influence investment returns, which affect the value of superannuation and voluntary savings. </w:t>
          </w:r>
        </w:p>
        <w:p w14:paraId="61167184" w14:textId="77777777" w:rsidR="00D178A4" w:rsidRPr="00027624" w:rsidRDefault="00D178A4" w:rsidP="00D178A4">
          <w:pPr>
            <w:rPr>
              <w:rStyle w:val="normaltextrun1"/>
              <w:rFonts w:cs="Calibri"/>
              <w:szCs w:val="22"/>
            </w:rPr>
          </w:pPr>
          <w:r w:rsidRPr="00027624">
            <w:rPr>
              <w:rStyle w:val="normaltextrun1"/>
              <w:rFonts w:cs="Calibri"/>
              <w:szCs w:val="22"/>
            </w:rPr>
            <w:t>Higher investment returns increase the value of superannuation and voluntary savings more quickly. This generally lowers reliance on the Age Pension. Conversely, the value of savings increase</w:t>
          </w:r>
          <w:r w:rsidR="0027057A" w:rsidRPr="00027624">
            <w:rPr>
              <w:rStyle w:val="normaltextrun1"/>
              <w:rFonts w:cs="Calibri"/>
              <w:szCs w:val="22"/>
            </w:rPr>
            <w:t>s</w:t>
          </w:r>
          <w:r w:rsidRPr="00027624">
            <w:rPr>
              <w:rStyle w:val="normaltextrun1"/>
              <w:rFonts w:cs="Calibri"/>
              <w:szCs w:val="22"/>
            </w:rPr>
            <w:t xml:space="preserve"> more slowly during periods of lower returns, increasing or maintaining reliance on the Age Pension. </w:t>
          </w:r>
        </w:p>
        <w:p w14:paraId="350DB995" w14:textId="268BB37D" w:rsidR="00D178A4" w:rsidRPr="00027624" w:rsidRDefault="00D178A4" w:rsidP="00D178A4">
          <w:r w:rsidRPr="00027624">
            <w:t>Equities have grown strongly over the past 40 years (</w:t>
          </w:r>
          <w:r w:rsidRPr="00027624">
            <w:fldChar w:fldCharType="begin"/>
          </w:r>
          <w:r w:rsidRPr="00027624">
            <w:instrText xml:space="preserve"> REF _Ref38463566 \r \h  \* MERGEFORMAT </w:instrText>
          </w:r>
          <w:r w:rsidRPr="00027624">
            <w:fldChar w:fldCharType="separate"/>
          </w:r>
          <w:r w:rsidR="00891058">
            <w:t>Chart 1D-8</w:t>
          </w:r>
          <w:r w:rsidRPr="00027624">
            <w:fldChar w:fldCharType="end"/>
          </w:r>
          <w:r w:rsidRPr="00027624">
            <w:t>), but experience volatility and potential decline during economic shocks, such as the GFC and the COVID</w:t>
          </w:r>
          <w:r w:rsidR="00A8443E" w:rsidRPr="00027624">
            <w:noBreakHyphen/>
          </w:r>
          <w:r w:rsidRPr="00027624">
            <w:t xml:space="preserve">19 Pandemic. </w:t>
          </w:r>
          <w:r w:rsidRPr="00027624">
            <w:rPr>
              <w:rStyle w:val="normaltextrun1"/>
              <w:rFonts w:cs="Calibri"/>
              <w:szCs w:val="22"/>
            </w:rPr>
            <w:t>Superannuation funds are heavily invested in equities, holding an estimated 35 per cent</w:t>
          </w:r>
          <w:r w:rsidRPr="00027624">
            <w:t xml:space="preserve"> of the total market capitalisation of the</w:t>
          </w:r>
          <w:r w:rsidR="0027057A" w:rsidRPr="00027624">
            <w:t xml:space="preserve"> Australian Stock Exchange</w:t>
          </w:r>
          <w:r w:rsidRPr="00027624">
            <w:t xml:space="preserve"> </w:t>
          </w:r>
          <w:r w:rsidR="0027057A" w:rsidRPr="00027624">
            <w:t>(</w:t>
          </w:r>
          <w:r w:rsidRPr="00027624">
            <w:t>ASX</w:t>
          </w:r>
          <w:r w:rsidR="0027057A" w:rsidRPr="00027624">
            <w:t>)</w:t>
          </w:r>
          <w:r w:rsidRPr="00027624">
            <w:t xml:space="preserve">. On current trends, this will increase to more than 60 per cent in 2038 </w:t>
          </w:r>
          <w:sdt>
            <w:sdtPr>
              <w:id w:val="-2040116261"/>
              <w:citation/>
            </w:sdtPr>
            <w:sdtEndPr/>
            <w:sdtContent>
              <w:r w:rsidRPr="00027624">
                <w:fldChar w:fldCharType="begin"/>
              </w:r>
              <w:r w:rsidRPr="00027624">
                <w:instrText xml:space="preserve">CITATION Del19 \p 18 \t  \l 3081 </w:instrText>
              </w:r>
              <w:r w:rsidRPr="00027624">
                <w:fldChar w:fldCharType="separate"/>
              </w:r>
              <w:r w:rsidR="00E83F6E">
                <w:rPr>
                  <w:noProof/>
                </w:rPr>
                <w:t>(Deloitte Actuaries &amp; Consultants, 2019, p. 18)</w:t>
              </w:r>
              <w:r w:rsidRPr="00027624">
                <w:fldChar w:fldCharType="end"/>
              </w:r>
            </w:sdtContent>
          </w:sdt>
          <w:r w:rsidRPr="00027624">
            <w:t>.</w:t>
          </w:r>
        </w:p>
        <w:p w14:paraId="6A9560CB" w14:textId="25477220" w:rsidR="00D178A4" w:rsidRPr="00027624" w:rsidRDefault="00D178A4" w:rsidP="00D178A4">
          <w:r w:rsidRPr="00027624">
            <w:t xml:space="preserve">The effect of these investments on the superannuation system is discussed under </w:t>
          </w:r>
          <w:r w:rsidRPr="00027624">
            <w:rPr>
              <w:i/>
            </w:rPr>
            <w:fldChar w:fldCharType="begin"/>
          </w:r>
          <w:r w:rsidRPr="00027624">
            <w:rPr>
              <w:i/>
            </w:rPr>
            <w:instrText xml:space="preserve"> REF _Ref41377492 \h  \* MERGEFORMAT </w:instrText>
          </w:r>
          <w:r w:rsidRPr="00027624">
            <w:rPr>
              <w:i/>
            </w:rPr>
          </w:r>
          <w:r w:rsidRPr="00027624">
            <w:rPr>
              <w:i/>
            </w:rPr>
            <w:fldChar w:fldCharType="separate"/>
          </w:r>
          <w:r w:rsidR="00891058" w:rsidRPr="00891058">
            <w:rPr>
              <w:i/>
            </w:rPr>
            <w:t>Maturity of the superannuation system</w:t>
          </w:r>
          <w:r w:rsidRPr="00027624">
            <w:rPr>
              <w:i/>
            </w:rPr>
            <w:fldChar w:fldCharType="end"/>
          </w:r>
          <w:r w:rsidRPr="00027624">
            <w:rPr>
              <w:i/>
            </w:rPr>
            <w:t xml:space="preserve"> </w:t>
          </w:r>
          <w:r w:rsidRPr="00027624">
            <w:t xml:space="preserve">below. </w:t>
          </w:r>
        </w:p>
        <w:p w14:paraId="7FAF3983" w14:textId="77777777" w:rsidR="00D178A4" w:rsidRPr="00027624" w:rsidRDefault="00D178A4" w:rsidP="00325A8D">
          <w:pPr>
            <w:pStyle w:val="ChartMainHeading"/>
            <w:numPr>
              <w:ilvl w:val="2"/>
              <w:numId w:val="20"/>
            </w:numPr>
            <w:rPr>
              <w:lang w:val="en-US"/>
            </w:rPr>
          </w:pPr>
          <w:bookmarkStart w:id="357" w:name="_Ref38463566"/>
          <w:r w:rsidRPr="00027624">
            <w:rPr>
              <w:lang w:val="en-US"/>
            </w:rPr>
            <w:lastRenderedPageBreak/>
            <w:t>Equity market indices</w:t>
          </w:r>
          <w:bookmarkEnd w:id="357"/>
        </w:p>
        <w:p w14:paraId="003E5AC4" w14:textId="77777777" w:rsidR="00D178A4" w:rsidRPr="00027624" w:rsidRDefault="00F77408" w:rsidP="00D178A4">
          <w:pPr>
            <w:pStyle w:val="ChartGraphic"/>
          </w:pPr>
          <w:r>
            <w:rPr>
              <w:noProof/>
            </w:rPr>
            <w:drawing>
              <wp:inline distT="0" distB="0" distL="0" distR="0" wp14:anchorId="1F0285BB" wp14:editId="3ED11D4B">
                <wp:extent cx="5600700" cy="2880360"/>
                <wp:effectExtent l="0" t="0" r="0" b="0"/>
                <wp:docPr id="2099192825" name="Picture 2099192825" descr="This chart shows the MSCI World Index and the All Ordinaries Index have grown in a similar pattern from May 1980 to 2020, increasing on average over this period." title="Chart 1D-8 Equity market i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00700" cy="2880360"/>
                        </a:xfrm>
                        <a:prstGeom prst="rect">
                          <a:avLst/>
                        </a:prstGeom>
                        <a:noFill/>
                      </pic:spPr>
                    </pic:pic>
                  </a:graphicData>
                </a:graphic>
              </wp:inline>
            </w:drawing>
          </w:r>
        </w:p>
        <w:p w14:paraId="732CD490" w14:textId="77777777" w:rsidR="00D178A4" w:rsidRPr="00027624" w:rsidRDefault="00D178A4" w:rsidP="00D178A4">
          <w:pPr>
            <w:pStyle w:val="ChartorTableNote"/>
          </w:pPr>
          <w:r w:rsidRPr="00027624">
            <w:t>Note: Indices to log scale, end May 1980 = 100. The All Ordinaries Index is made up of the largest 500 companies as measured by market capitalisation that are listed on the ASX. The MSCI World Index represents approximately 85 per cent of the free float</w:t>
          </w:r>
          <w:r w:rsidR="00A8443E" w:rsidRPr="00027624">
            <w:noBreakHyphen/>
          </w:r>
          <w:r w:rsidRPr="00027624">
            <w:t xml:space="preserve">adjusted market capitalisation of 23 developed markets. Source: Analysis of </w:t>
          </w:r>
          <w:sdt>
            <w:sdtPr>
              <w:id w:val="1124734832"/>
              <w:citation/>
            </w:sdtPr>
            <w:sdtEndPr/>
            <w:sdtContent>
              <w:r w:rsidRPr="00027624">
                <w:fldChar w:fldCharType="begin"/>
              </w:r>
              <w:r w:rsidRPr="00027624">
                <w:instrText xml:space="preserve">CITATION Blo20 \l 3081 </w:instrText>
              </w:r>
              <w:r w:rsidRPr="00027624">
                <w:fldChar w:fldCharType="separate"/>
              </w:r>
              <w:r w:rsidR="00E83F6E">
                <w:rPr>
                  <w:noProof/>
                </w:rPr>
                <w:t>(Bloomberg L.P., 2020)</w:t>
              </w:r>
              <w:r w:rsidRPr="00027624">
                <w:fldChar w:fldCharType="end"/>
              </w:r>
            </w:sdtContent>
          </w:sdt>
          <w:r w:rsidRPr="00027624">
            <w:t xml:space="preserve">. </w:t>
          </w:r>
        </w:p>
        <w:p w14:paraId="19E37D78" w14:textId="1C7CB120" w:rsidR="00D178A4" w:rsidRPr="00027624" w:rsidRDefault="00D178A4" w:rsidP="00D178A4">
          <w:pPr>
            <w:rPr>
              <w:rStyle w:val="normaltextrun1"/>
              <w:rFonts w:cs="Calibri"/>
              <w:szCs w:val="22"/>
            </w:rPr>
          </w:pPr>
          <w:r w:rsidRPr="00027624">
            <w:rPr>
              <w:rStyle w:val="normaltextrun1"/>
              <w:rFonts w:cs="Calibri"/>
              <w:szCs w:val="22"/>
            </w:rPr>
            <w:t>Market interest rates influence the returns on generally low</w:t>
          </w:r>
          <w:r w:rsidR="00A8443E" w:rsidRPr="00027624">
            <w:rPr>
              <w:rStyle w:val="normaltextrun1"/>
              <w:rFonts w:cs="Calibri"/>
              <w:szCs w:val="22"/>
            </w:rPr>
            <w:noBreakHyphen/>
          </w:r>
          <w:r w:rsidRPr="00027624">
            <w:rPr>
              <w:rStyle w:val="normaltextrun1"/>
              <w:rFonts w:cs="Calibri"/>
              <w:szCs w:val="22"/>
            </w:rPr>
            <w:t>risk, fixed</w:t>
          </w:r>
          <w:r w:rsidR="00A8443E" w:rsidRPr="00027624">
            <w:rPr>
              <w:rStyle w:val="normaltextrun1"/>
              <w:rFonts w:cs="Calibri"/>
              <w:szCs w:val="22"/>
            </w:rPr>
            <w:noBreakHyphen/>
          </w:r>
          <w:r w:rsidRPr="00027624">
            <w:rPr>
              <w:rStyle w:val="normaltextrun1"/>
              <w:rFonts w:cs="Calibri"/>
              <w:szCs w:val="22"/>
            </w:rPr>
            <w:t>interest investments, such as term deposits. Interest rates are currently at historic lows, both in Australia and globally. The RBA cash rate target has fallen from 4.75 per cent in November 2010 to a record low of 0.25 per cent in March 2020 (</w:t>
          </w:r>
          <w:r w:rsidRPr="00027624">
            <w:rPr>
              <w:rStyle w:val="normaltextrun1"/>
              <w:rFonts w:cs="Calibri"/>
              <w:szCs w:val="22"/>
            </w:rPr>
            <w:fldChar w:fldCharType="begin"/>
          </w:r>
          <w:r w:rsidRPr="00027624">
            <w:rPr>
              <w:rStyle w:val="normaltextrun1"/>
              <w:rFonts w:cs="Calibri"/>
              <w:szCs w:val="22"/>
            </w:rPr>
            <w:instrText xml:space="preserve"> REF _Ref38464266 \r \h  \* MERGEFORMAT </w:instrText>
          </w:r>
          <w:r w:rsidRPr="00027624">
            <w:rPr>
              <w:rStyle w:val="normaltextrun1"/>
              <w:rFonts w:cs="Calibri"/>
              <w:szCs w:val="22"/>
            </w:rPr>
          </w:r>
          <w:r w:rsidRPr="00027624">
            <w:rPr>
              <w:rStyle w:val="normaltextrun1"/>
              <w:rFonts w:cs="Calibri"/>
              <w:szCs w:val="22"/>
            </w:rPr>
            <w:fldChar w:fldCharType="separate"/>
          </w:r>
          <w:r w:rsidR="00891058">
            <w:rPr>
              <w:rStyle w:val="normaltextrun1"/>
              <w:rFonts w:cs="Calibri"/>
              <w:szCs w:val="22"/>
            </w:rPr>
            <w:t>Chart 1D-9</w:t>
          </w:r>
          <w:r w:rsidRPr="00027624">
            <w:rPr>
              <w:rStyle w:val="normaltextrun1"/>
              <w:rFonts w:cs="Calibri"/>
              <w:szCs w:val="22"/>
            </w:rPr>
            <w:fldChar w:fldCharType="end"/>
          </w:r>
          <w:r w:rsidRPr="00027624">
            <w:rPr>
              <w:rStyle w:val="normaltextrun1"/>
              <w:rFonts w:cs="Calibri"/>
              <w:szCs w:val="22"/>
            </w:rPr>
            <w:t>). As a result, investors holding fixed</w:t>
          </w:r>
          <w:r w:rsidR="00A8443E" w:rsidRPr="00027624">
            <w:rPr>
              <w:rStyle w:val="normaltextrun1"/>
              <w:rFonts w:cs="Calibri"/>
              <w:szCs w:val="22"/>
            </w:rPr>
            <w:noBreakHyphen/>
          </w:r>
          <w:r w:rsidRPr="00027624">
            <w:rPr>
              <w:rStyle w:val="normaltextrun1"/>
              <w:rFonts w:cs="Calibri"/>
              <w:szCs w:val="22"/>
            </w:rPr>
            <w:t>interest investments have seen investment returns decline and risk</w:t>
          </w:r>
          <w:r w:rsidR="00A8443E" w:rsidRPr="00027624">
            <w:rPr>
              <w:rStyle w:val="normaltextrun1"/>
              <w:rFonts w:cs="Calibri"/>
              <w:szCs w:val="22"/>
            </w:rPr>
            <w:noBreakHyphen/>
          </w:r>
          <w:r w:rsidRPr="00027624">
            <w:rPr>
              <w:rStyle w:val="normaltextrun1"/>
              <w:rFonts w:cs="Calibri"/>
              <w:szCs w:val="22"/>
            </w:rPr>
            <w:t>averse retirees, who rely on these investments for income, have received lower incomes.</w:t>
          </w:r>
        </w:p>
        <w:p w14:paraId="47512EB3" w14:textId="77777777" w:rsidR="00D178A4" w:rsidRPr="00027624" w:rsidRDefault="00D178A4" w:rsidP="00325A8D">
          <w:pPr>
            <w:pStyle w:val="ChartMainHeading"/>
            <w:numPr>
              <w:ilvl w:val="2"/>
              <w:numId w:val="20"/>
            </w:numPr>
            <w:rPr>
              <w:lang w:val="en-US"/>
            </w:rPr>
          </w:pPr>
          <w:bookmarkStart w:id="358" w:name="_Ref38464266"/>
          <w:r w:rsidRPr="00027624">
            <w:rPr>
              <w:lang w:val="en-US"/>
            </w:rPr>
            <w:t xml:space="preserve">Monthly interbank overnight cash rate </w:t>
          </w:r>
          <w:bookmarkEnd w:id="358"/>
        </w:p>
        <w:p w14:paraId="10795528" w14:textId="77777777" w:rsidR="00D178A4" w:rsidRPr="00027624" w:rsidRDefault="00F77408" w:rsidP="00D178A4">
          <w:pPr>
            <w:pStyle w:val="ChartGraphic"/>
          </w:pPr>
          <w:r>
            <w:rPr>
              <w:noProof/>
            </w:rPr>
            <w:drawing>
              <wp:inline distT="0" distB="0" distL="0" distR="0" wp14:anchorId="775D8F39" wp14:editId="5B4C7AC3">
                <wp:extent cx="5585460" cy="2880360"/>
                <wp:effectExtent l="0" t="0" r="0" b="0"/>
                <wp:docPr id="2099192826" name="Picture 2099192826" descr="This chart shows the cash rate is at its lowest point in the last 3 decades. It has declined from around 15 per cent in 1990 to its rate at May 2020 of 0.25 per cent." title="Chart 1D-9  Monthly interbank overnight cash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85460" cy="2880360"/>
                        </a:xfrm>
                        <a:prstGeom prst="rect">
                          <a:avLst/>
                        </a:prstGeom>
                        <a:noFill/>
                      </pic:spPr>
                    </pic:pic>
                  </a:graphicData>
                </a:graphic>
              </wp:inline>
            </w:drawing>
          </w:r>
        </w:p>
        <w:p w14:paraId="19C4A7FD" w14:textId="77777777" w:rsidR="00D178A4" w:rsidRPr="00027624" w:rsidRDefault="00D178A4" w:rsidP="00D178A4">
          <w:pPr>
            <w:pStyle w:val="ChartorTableNote"/>
            <w:rPr>
              <w:lang w:val="en-US"/>
            </w:rPr>
          </w:pPr>
          <w:r w:rsidRPr="00027624">
            <w:t>Source</w:t>
          </w:r>
          <w:r w:rsidRPr="00027624">
            <w:rPr>
              <w:lang w:val="en-US"/>
            </w:rPr>
            <w:t xml:space="preserve">: </w:t>
          </w:r>
          <w:sdt>
            <w:sdtPr>
              <w:rPr>
                <w:lang w:val="en-US"/>
              </w:rPr>
              <w:id w:val="1441269106"/>
              <w:citation/>
            </w:sdtPr>
            <w:sdtEndPr/>
            <w:sdtContent>
              <w:r w:rsidRPr="00027624">
                <w:rPr>
                  <w:lang w:val="en-US"/>
                </w:rPr>
                <w:fldChar w:fldCharType="begin"/>
              </w:r>
              <w:r w:rsidRPr="00027624">
                <w:instrText xml:space="preserve">CITATION RBA201 \l 3081 </w:instrText>
              </w:r>
              <w:r w:rsidRPr="00027624">
                <w:rPr>
                  <w:lang w:val="en-US"/>
                </w:rPr>
                <w:fldChar w:fldCharType="separate"/>
              </w:r>
              <w:r w:rsidR="00E83F6E">
                <w:rPr>
                  <w:noProof/>
                </w:rPr>
                <w:t>(RBA, 2020c)</w:t>
              </w:r>
              <w:r w:rsidRPr="00027624">
                <w:rPr>
                  <w:lang w:val="en-US"/>
                </w:rPr>
                <w:fldChar w:fldCharType="end"/>
              </w:r>
            </w:sdtContent>
          </w:sdt>
          <w:r w:rsidRPr="00027624">
            <w:rPr>
              <w:lang w:val="en-US"/>
            </w:rPr>
            <w:t>.</w:t>
          </w:r>
        </w:p>
        <w:p w14:paraId="286D6130" w14:textId="77777777" w:rsidR="008242AD" w:rsidRPr="00027624" w:rsidRDefault="008242AD" w:rsidP="008242AD">
          <w:pPr>
            <w:rPr>
              <w:rFonts w:cs="Calibri"/>
              <w:szCs w:val="22"/>
            </w:rPr>
          </w:pPr>
          <w:r w:rsidRPr="00027624">
            <w:rPr>
              <w:rStyle w:val="normaltextrun1"/>
              <w:rFonts w:cs="Calibri"/>
              <w:szCs w:val="22"/>
            </w:rPr>
            <w:t>Interest rates in developed economies have steadily fallen since the 1980s</w:t>
          </w:r>
          <w:sdt>
            <w:sdtPr>
              <w:rPr>
                <w:rStyle w:val="normaltextrun1"/>
                <w:rFonts w:cs="Calibri"/>
                <w:szCs w:val="22"/>
              </w:rPr>
              <w:id w:val="-988250453"/>
              <w:citation/>
            </w:sdtPr>
            <w:sdtEndPr>
              <w:rPr>
                <w:rStyle w:val="normaltextrun1"/>
              </w:rPr>
            </w:sdtEndPr>
            <w:sdtContent>
              <w:r w:rsidRPr="00027624">
                <w:rPr>
                  <w:rStyle w:val="normaltextrun1"/>
                  <w:rFonts w:cs="Calibri"/>
                  <w:szCs w:val="22"/>
                </w:rPr>
                <w:fldChar w:fldCharType="begin"/>
              </w:r>
              <w:r w:rsidRPr="00027624">
                <w:rPr>
                  <w:rStyle w:val="normaltextrun1"/>
                  <w:rFonts w:cs="Calibri"/>
                  <w:szCs w:val="22"/>
                </w:rPr>
                <w:instrText xml:space="preserve">CITATION Mar18 \l 3081 </w:instrText>
              </w:r>
              <w:r w:rsidRPr="00027624">
                <w:rPr>
                  <w:rStyle w:val="normaltextrun1"/>
                  <w:rFonts w:cs="Calibri"/>
                  <w:szCs w:val="22"/>
                </w:rPr>
                <w:fldChar w:fldCharType="separate"/>
              </w:r>
              <w:r w:rsidR="00E83F6E">
                <w:rPr>
                  <w:rStyle w:val="normaltextrun1"/>
                  <w:rFonts w:cs="Calibri"/>
                  <w:noProof/>
                  <w:szCs w:val="22"/>
                </w:rPr>
                <w:t xml:space="preserve"> </w:t>
              </w:r>
              <w:r w:rsidR="00E83F6E" w:rsidRPr="00E83F6E">
                <w:rPr>
                  <w:rFonts w:cs="Calibri"/>
                  <w:noProof/>
                  <w:szCs w:val="22"/>
                </w:rPr>
                <w:t>(Negro, et al., 2018)</w:t>
              </w:r>
              <w:r w:rsidRPr="00027624">
                <w:rPr>
                  <w:rStyle w:val="normaltextrun1"/>
                  <w:rFonts w:cs="Calibri"/>
                  <w:szCs w:val="22"/>
                </w:rPr>
                <w:fldChar w:fldCharType="end"/>
              </w:r>
            </w:sdtContent>
          </w:sdt>
          <w:r w:rsidRPr="00027624">
            <w:rPr>
              <w:rStyle w:val="normaltextrun1"/>
              <w:rFonts w:cs="Calibri"/>
              <w:szCs w:val="22"/>
            </w:rPr>
            <w:t xml:space="preserve">. These lower rates are the result of increased global savings brought on by weaker investment, demographic changes and debt repayment </w:t>
          </w:r>
          <w:sdt>
            <w:sdtPr>
              <w:rPr>
                <w:rStyle w:val="normaltextrun1"/>
                <w:rFonts w:cs="Calibri"/>
                <w:szCs w:val="22"/>
              </w:rPr>
              <w:id w:val="489841251"/>
              <w:citation/>
            </w:sdtPr>
            <w:sdtEndPr>
              <w:rPr>
                <w:rStyle w:val="normaltextrun1"/>
              </w:rPr>
            </w:sdtEndPr>
            <w:sdtContent>
              <w:r w:rsidRPr="00027624">
                <w:rPr>
                  <w:rStyle w:val="normaltextrun1"/>
                  <w:rFonts w:cs="Calibri"/>
                  <w:szCs w:val="22"/>
                </w:rPr>
                <w:fldChar w:fldCharType="begin"/>
              </w:r>
              <w:r w:rsidRPr="00027624">
                <w:rPr>
                  <w:rStyle w:val="normaltextrun1"/>
                  <w:rFonts w:cs="Calibri"/>
                  <w:szCs w:val="22"/>
                </w:rPr>
                <w:instrText xml:space="preserve">CITATION Par19 \l 3081 </w:instrText>
              </w:r>
              <w:r w:rsidRPr="00027624">
                <w:rPr>
                  <w:rStyle w:val="normaltextrun1"/>
                  <w:rFonts w:cs="Calibri"/>
                  <w:szCs w:val="22"/>
                </w:rPr>
                <w:fldChar w:fldCharType="separate"/>
              </w:r>
              <w:r w:rsidR="00E83F6E" w:rsidRPr="00E83F6E">
                <w:rPr>
                  <w:rFonts w:cs="Calibri"/>
                  <w:noProof/>
                  <w:szCs w:val="22"/>
                </w:rPr>
                <w:t>(House of Representatives, 2019)</w:t>
              </w:r>
              <w:r w:rsidRPr="00027624">
                <w:rPr>
                  <w:rStyle w:val="normaltextrun1"/>
                  <w:rFonts w:cs="Calibri"/>
                  <w:szCs w:val="22"/>
                </w:rPr>
                <w:fldChar w:fldCharType="end"/>
              </w:r>
            </w:sdtContent>
          </w:sdt>
          <w:r w:rsidRPr="00027624">
            <w:rPr>
              <w:rStyle w:val="normaltextrun1"/>
              <w:rFonts w:cs="Calibri"/>
              <w:szCs w:val="22"/>
            </w:rPr>
            <w:t>.</w:t>
          </w:r>
        </w:p>
        <w:p w14:paraId="073644D5" w14:textId="77777777" w:rsidR="008242AD" w:rsidRPr="00027624" w:rsidRDefault="008242AD" w:rsidP="008242AD">
          <w:pPr>
            <w:rPr>
              <w:rStyle w:val="normaltextrun1"/>
              <w:rFonts w:cs="Calibri"/>
              <w:szCs w:val="22"/>
            </w:rPr>
          </w:pPr>
          <w:r w:rsidRPr="00027624">
            <w:rPr>
              <w:rStyle w:val="normaltextrun1"/>
              <w:rFonts w:cs="Calibri"/>
              <w:szCs w:val="22"/>
            </w:rPr>
            <w:lastRenderedPageBreak/>
            <w:t>From March 2020, the RBA has begun purchasing government bonds to further reduce market interest rates</w:t>
          </w:r>
          <w:sdt>
            <w:sdtPr>
              <w:rPr>
                <w:rStyle w:val="normaltextrun1"/>
                <w:rFonts w:cs="Calibri"/>
                <w:szCs w:val="22"/>
              </w:rPr>
              <w:id w:val="1323234573"/>
              <w:citation/>
            </w:sdtPr>
            <w:sdtEndPr>
              <w:rPr>
                <w:rStyle w:val="normaltextrun1"/>
              </w:rPr>
            </w:sdtEndPr>
            <w:sdtContent>
              <w:r w:rsidRPr="00027624">
                <w:rPr>
                  <w:rStyle w:val="normaltextrun1"/>
                  <w:rFonts w:cs="Calibri"/>
                  <w:szCs w:val="22"/>
                </w:rPr>
                <w:fldChar w:fldCharType="begin"/>
              </w:r>
              <w:r w:rsidRPr="00027624">
                <w:rPr>
                  <w:rStyle w:val="normaltextrun1"/>
                  <w:rFonts w:cs="Calibri"/>
                  <w:szCs w:val="22"/>
                </w:rPr>
                <w:instrText xml:space="preserve">CITATION RBAp203 \l 3081 </w:instrText>
              </w:r>
              <w:r w:rsidRPr="00027624">
                <w:rPr>
                  <w:rStyle w:val="normaltextrun1"/>
                  <w:rFonts w:cs="Calibri"/>
                  <w:szCs w:val="22"/>
                </w:rPr>
                <w:fldChar w:fldCharType="separate"/>
              </w:r>
              <w:r w:rsidR="00E83F6E">
                <w:rPr>
                  <w:rStyle w:val="normaltextrun1"/>
                  <w:rFonts w:cs="Calibri"/>
                  <w:noProof/>
                  <w:szCs w:val="22"/>
                </w:rPr>
                <w:t xml:space="preserve"> </w:t>
              </w:r>
              <w:r w:rsidR="00E83F6E" w:rsidRPr="00E83F6E">
                <w:rPr>
                  <w:rFonts w:cs="Calibri"/>
                  <w:noProof/>
                  <w:szCs w:val="22"/>
                </w:rPr>
                <w:t>(RBA, 2020d)</w:t>
              </w:r>
              <w:r w:rsidRPr="00027624">
                <w:rPr>
                  <w:rStyle w:val="normaltextrun1"/>
                  <w:rFonts w:cs="Calibri"/>
                  <w:szCs w:val="22"/>
                </w:rPr>
                <w:fldChar w:fldCharType="end"/>
              </w:r>
            </w:sdtContent>
          </w:sdt>
          <w:r w:rsidRPr="00027624">
            <w:rPr>
              <w:rStyle w:val="normaltextrun1"/>
              <w:rFonts w:cs="Calibri"/>
              <w:szCs w:val="22"/>
            </w:rPr>
            <w:t xml:space="preserve">. This suggests interest rates may remain relatively low for the foreseeable future. </w:t>
          </w:r>
        </w:p>
        <w:p w14:paraId="47FB636A" w14:textId="77777777" w:rsidR="00D178A4" w:rsidRPr="00027624" w:rsidRDefault="00D178A4" w:rsidP="00D178A4">
          <w:pPr>
            <w:rPr>
              <w:rStyle w:val="normaltextrun1"/>
              <w:rFonts w:cs="Calibri"/>
              <w:szCs w:val="22"/>
            </w:rPr>
          </w:pPr>
          <w:r w:rsidRPr="00027624">
            <w:rPr>
              <w:rStyle w:val="normaltextrun1"/>
              <w:rFonts w:cs="Calibri"/>
              <w:szCs w:val="22"/>
            </w:rPr>
            <w:t>Low interest rates mean lower returns on fixed</w:t>
          </w:r>
          <w:r w:rsidR="00A8443E" w:rsidRPr="00027624">
            <w:rPr>
              <w:rStyle w:val="normaltextrun1"/>
              <w:rFonts w:cs="Calibri"/>
              <w:szCs w:val="22"/>
            </w:rPr>
            <w:noBreakHyphen/>
          </w:r>
          <w:r w:rsidRPr="00027624">
            <w:rPr>
              <w:rStyle w:val="normaltextrun1"/>
              <w:rFonts w:cs="Calibri"/>
              <w:szCs w:val="22"/>
            </w:rPr>
            <w:t xml:space="preserve">interest investments, such as term deposits, but not necessarily lower returns on overall savings. Superannuation funds and people may respond to lower interest rates by investing more in higher yielding assets, such as equities and property. </w:t>
          </w:r>
        </w:p>
        <w:p w14:paraId="1221B0A7" w14:textId="77777777" w:rsidR="00D178A4" w:rsidRPr="00027624" w:rsidRDefault="00D178A4" w:rsidP="00D178A4">
          <w:r w:rsidRPr="00027624">
            <w:t xml:space="preserve">The effect of persistently lower or negative overall returns on investments on the system and its outcomes are explored further in </w:t>
          </w:r>
          <w:r w:rsidRPr="00027624">
            <w:rPr>
              <w:i/>
            </w:rPr>
            <w:t xml:space="preserve">2C. Maintaining standards of living in retirement </w:t>
          </w:r>
          <w:r w:rsidRPr="00027624">
            <w:t>and</w:t>
          </w:r>
          <w:r w:rsidRPr="00027624">
            <w:rPr>
              <w:i/>
            </w:rPr>
            <w:t xml:space="preserve"> 4. Sustainability</w:t>
          </w:r>
          <w:r w:rsidRPr="00027624">
            <w:t>.</w:t>
          </w:r>
        </w:p>
        <w:p w14:paraId="3182B3A9" w14:textId="77777777" w:rsidR="00D178A4" w:rsidRPr="00027624" w:rsidRDefault="00D178A4" w:rsidP="00D178A4">
          <w:pPr>
            <w:pStyle w:val="Heading2"/>
          </w:pPr>
          <w:bookmarkStart w:id="359" w:name="_Ref41377492"/>
          <w:bookmarkStart w:id="360" w:name="_Toc45520447"/>
          <w:bookmarkStart w:id="361" w:name="_Toc46133558"/>
          <w:r w:rsidRPr="00027624">
            <w:t>Maturity of the superannuation system</w:t>
          </w:r>
          <w:bookmarkEnd w:id="340"/>
          <w:bookmarkEnd w:id="359"/>
          <w:bookmarkEnd w:id="360"/>
          <w:bookmarkEnd w:id="361"/>
        </w:p>
        <w:p w14:paraId="7E332EAF" w14:textId="77777777" w:rsidR="00D178A4" w:rsidRPr="00027624" w:rsidRDefault="00D178A4" w:rsidP="00D178A4">
          <w:pPr>
            <w:rPr>
              <w:rFonts w:eastAsiaTheme="minorHAnsi"/>
              <w:lang w:eastAsia="en-US"/>
            </w:rPr>
          </w:pPr>
          <w:r w:rsidRPr="00027624">
            <w:rPr>
              <w:rFonts w:eastAsiaTheme="minorHAnsi"/>
              <w:lang w:eastAsia="en-US"/>
            </w:rPr>
            <w:t>The maturity of the superannuation system influences the level of assets people hold when they reach retirement and how much they rely on the Age Pension. Australia</w:t>
          </w:r>
          <w:r w:rsidR="00A8443E" w:rsidRPr="00027624">
            <w:rPr>
              <w:rFonts w:eastAsiaTheme="minorHAnsi"/>
              <w:lang w:eastAsia="en-US"/>
            </w:rPr>
            <w:t>’</w:t>
          </w:r>
          <w:r w:rsidRPr="00027624">
            <w:rPr>
              <w:rFonts w:eastAsiaTheme="minorHAnsi"/>
              <w:lang w:eastAsia="en-US"/>
            </w:rPr>
            <w:t xml:space="preserve">s superannuation system </w:t>
          </w:r>
          <w:r w:rsidRPr="00027624">
            <w:rPr>
              <w:rFonts w:eastAsiaTheme="minorEastAsia"/>
              <w:lang w:eastAsia="en-US"/>
            </w:rPr>
            <w:t>will have matured by</w:t>
          </w:r>
          <w:r w:rsidRPr="00027624">
            <w:rPr>
              <w:rFonts w:eastAsiaTheme="minorHAnsi"/>
              <w:lang w:eastAsia="en-US"/>
            </w:rPr>
            <w:t xml:space="preserve"> the 2040s, when the SG will have been at least 9 per cent for 40 years (the average length of a working life — see</w:t>
          </w:r>
          <w:r w:rsidRPr="00027624">
            <w:rPr>
              <w:i/>
            </w:rPr>
            <w:t xml:space="preserve"> 2C. Maintaining standards of living in retirement</w:t>
          </w:r>
          <w:r w:rsidRPr="00027624">
            <w:t>)</w:t>
          </w:r>
          <w:r w:rsidRPr="00027624">
            <w:rPr>
              <w:rFonts w:eastAsiaTheme="minorHAnsi"/>
              <w:lang w:eastAsia="en-US"/>
            </w:rPr>
            <w:t xml:space="preserve">. </w:t>
          </w:r>
          <w:r w:rsidRPr="00027624">
            <w:t>Most people entering retirement over the past five years have only had around 20 years of superannuation accumulating at relatively low rates.</w:t>
          </w:r>
        </w:p>
        <w:p w14:paraId="0C92FD0B" w14:textId="77777777" w:rsidR="00D178A4" w:rsidRPr="00027624" w:rsidRDefault="00D178A4" w:rsidP="00D178A4">
          <w:r w:rsidRPr="00027624">
            <w:t>Compulsory superannuation was introduced in 1992 through the SG, expanding superannuation coverage from those working in professional, government and executive positions to a much broader range of employees. Superannuation coverage</w:t>
          </w:r>
          <w:r w:rsidRPr="00027624">
            <w:rPr>
              <w:rStyle w:val="FootnoteReference"/>
            </w:rPr>
            <w:footnoteReference w:id="68"/>
          </w:r>
          <w:r w:rsidRPr="00027624">
            <w:t xml:space="preserve"> for those aged 15 and over rose from 63.9 per cent in 2003</w:t>
          </w:r>
          <w:r w:rsidR="00A8443E" w:rsidRPr="00027624">
            <w:noBreakHyphen/>
          </w:r>
          <w:r w:rsidRPr="00027624">
            <w:t>04 to 71.9 per cent in 2017</w:t>
          </w:r>
          <w:r w:rsidR="00A8443E" w:rsidRPr="00027624">
            <w:noBreakHyphen/>
          </w:r>
          <w:r w:rsidRPr="00027624">
            <w:t>18</w:t>
          </w:r>
          <w:sdt>
            <w:sdtPr>
              <w:id w:val="-868295577"/>
              <w:citation/>
            </w:sdtPr>
            <w:sdtEndPr/>
            <w:sdtContent>
              <w:r w:rsidRPr="00027624">
                <w:fldChar w:fldCharType="begin"/>
              </w:r>
              <w:r w:rsidRPr="00027624">
                <w:instrText xml:space="preserve"> CITATION ABS198 \l 3081 </w:instrText>
              </w:r>
              <w:r w:rsidRPr="00027624">
                <w:fldChar w:fldCharType="separate"/>
              </w:r>
              <w:r w:rsidR="00E83F6E">
                <w:rPr>
                  <w:noProof/>
                </w:rPr>
                <w:t xml:space="preserve"> (ABS, 2019k)</w:t>
              </w:r>
              <w:r w:rsidRPr="00027624">
                <w:fldChar w:fldCharType="end"/>
              </w:r>
            </w:sdtContent>
          </w:sdt>
          <w:r w:rsidRPr="00027624">
            <w:t xml:space="preserve">. Superannuation coverage is explored further in </w:t>
          </w:r>
          <w:r w:rsidR="009C3D63">
            <w:rPr>
              <w:i/>
            </w:rPr>
            <w:t>3D. SG coverage</w:t>
          </w:r>
          <w:r w:rsidRPr="00027624">
            <w:t>.</w:t>
          </w:r>
        </w:p>
        <w:p w14:paraId="7E024012" w14:textId="09C7BA59" w:rsidR="00D178A4" w:rsidRPr="00027624" w:rsidRDefault="00D178A4" w:rsidP="00D178A4">
          <w:r w:rsidRPr="00027624">
            <w:t>In 1992, the SG rate was set at 3 per cent, increasing over time to 9.5 per cent from 1 July 2014. Total contributions made to superannuation accounts increased from $67 billion in 2004</w:t>
          </w:r>
          <w:r w:rsidR="00A8443E" w:rsidRPr="00027624">
            <w:noBreakHyphen/>
          </w:r>
          <w:r w:rsidRPr="00027624">
            <w:t>05 to $130 billion in 2018</w:t>
          </w:r>
          <w:r w:rsidR="00A8443E" w:rsidRPr="00027624">
            <w:noBreakHyphen/>
          </w:r>
          <w:r w:rsidRPr="00027624">
            <w:t>19</w:t>
          </w:r>
          <w:sdt>
            <w:sdtPr>
              <w:id w:val="-60023741"/>
              <w:citation/>
            </w:sdtPr>
            <w:sdtEndPr/>
            <w:sdtContent>
              <w:r w:rsidRPr="00027624">
                <w:fldChar w:fldCharType="begin"/>
              </w:r>
              <w:r w:rsidRPr="00027624">
                <w:instrText xml:space="preserve">CITATION APR19 \t  \l 3081 </w:instrText>
              </w:r>
              <w:r w:rsidRPr="00027624">
                <w:fldChar w:fldCharType="separate"/>
              </w:r>
              <w:r w:rsidR="00E83F6E">
                <w:rPr>
                  <w:noProof/>
                </w:rPr>
                <w:t xml:space="preserve"> (Australian Prudential Regulation Authority, 2020a)</w:t>
              </w:r>
              <w:r w:rsidRPr="00027624">
                <w:fldChar w:fldCharType="end"/>
              </w:r>
            </w:sdtContent>
          </w:sdt>
          <w:r w:rsidRPr="00027624">
            <w:t>. Member contributions spiked in 2006</w:t>
          </w:r>
          <w:r w:rsidR="00A8443E" w:rsidRPr="00027624">
            <w:noBreakHyphen/>
          </w:r>
          <w:r w:rsidRPr="00027624">
            <w:t>07, coinciding with policy reform announcements, which included a one</w:t>
          </w:r>
          <w:r w:rsidR="00A8443E" w:rsidRPr="00027624">
            <w:noBreakHyphen/>
          </w:r>
          <w:r w:rsidRPr="00027624">
            <w:t>off opportunity to contribute up to $1 million to superannuation in some situations (</w:t>
          </w:r>
          <w:r w:rsidRPr="00027624">
            <w:fldChar w:fldCharType="begin"/>
          </w:r>
          <w:r w:rsidRPr="00027624">
            <w:instrText xml:space="preserve"> REF _Ref44326705 \r \h  \* MERGEFORMAT </w:instrText>
          </w:r>
          <w:r w:rsidRPr="00027624">
            <w:fldChar w:fldCharType="separate"/>
          </w:r>
          <w:r w:rsidR="00891058">
            <w:t>Chart 1D-10</w:t>
          </w:r>
          <w:r w:rsidRPr="00027624">
            <w:fldChar w:fldCharType="end"/>
          </w:r>
          <w:r w:rsidRPr="00027624">
            <w:t>). The spike in 2016</w:t>
          </w:r>
          <w:r w:rsidR="00A8443E" w:rsidRPr="00027624">
            <w:noBreakHyphen/>
          </w:r>
          <w:r w:rsidRPr="00027624">
            <w:t xml:space="preserve">17 and subsequent decline reflects the impact of changes to tighten </w:t>
          </w:r>
          <w:r w:rsidR="00404B9D" w:rsidRPr="00027624">
            <w:t>contributions cap</w:t>
          </w:r>
          <w:r w:rsidRPr="00027624">
            <w:t>s that took effect from 1 July 2017. Growth in wages and the SG rate have increased the share of employer contributions relative to total contributions from 58 per cent in 2004</w:t>
          </w:r>
          <w:r w:rsidR="00A8443E" w:rsidRPr="00027624">
            <w:noBreakHyphen/>
          </w:r>
          <w:r w:rsidRPr="00027624">
            <w:t>05, to 75 per cent in 2018</w:t>
          </w:r>
          <w:r w:rsidR="00A8443E" w:rsidRPr="00027624">
            <w:noBreakHyphen/>
          </w:r>
          <w:r w:rsidRPr="00027624">
            <w:t xml:space="preserve">19. </w:t>
          </w:r>
        </w:p>
        <w:p w14:paraId="3760F1C5" w14:textId="77777777" w:rsidR="00D178A4" w:rsidRPr="00027624" w:rsidRDefault="00D178A4" w:rsidP="00325A8D">
          <w:pPr>
            <w:pStyle w:val="ChartMainHeading"/>
            <w:numPr>
              <w:ilvl w:val="2"/>
              <w:numId w:val="20"/>
            </w:numPr>
          </w:pPr>
          <w:bookmarkStart w:id="362" w:name="_Ref37933410"/>
          <w:bookmarkStart w:id="363" w:name="_Ref44326705"/>
          <w:r w:rsidRPr="00027624">
            <w:lastRenderedPageBreak/>
            <w:t>Annual superannuation contributions</w:t>
          </w:r>
          <w:bookmarkEnd w:id="362"/>
          <w:r w:rsidRPr="00027624">
            <w:t>, by contribution type</w:t>
          </w:r>
          <w:bookmarkEnd w:id="363"/>
        </w:p>
        <w:p w14:paraId="1D27D687" w14:textId="77777777" w:rsidR="00D178A4" w:rsidRPr="00027624" w:rsidRDefault="002D3C86" w:rsidP="00D178A4">
          <w:pPr>
            <w:pStyle w:val="ChartGraphic"/>
          </w:pPr>
          <w:r>
            <w:rPr>
              <w:noProof/>
            </w:rPr>
            <w:drawing>
              <wp:inline distT="0" distB="0" distL="0" distR="0" wp14:anchorId="200E6AD3" wp14:editId="6424EE47">
                <wp:extent cx="5554980" cy="2971800"/>
                <wp:effectExtent l="0" t="0" r="7620" b="0"/>
                <wp:docPr id="2002235493" name="Picture 2" descr="This chart shows total, employer and member annual superannuation contributions. The fluctuation in total contributions is largely in line with the amount of member contributions. The chart also shows employer contributions have increased since 2004-05 from around $40 billion to around $100 billion in 2018-19." title="Chart 1D-10 Annual superannuation contributions, by contribu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0"/>
                        <a:stretch>
                          <a:fillRect/>
                        </a:stretch>
                      </pic:blipFill>
                      <pic:spPr>
                        <a:xfrm>
                          <a:off x="0" y="0"/>
                          <a:ext cx="5554980" cy="2971800"/>
                        </a:xfrm>
                        <a:prstGeom prst="rect">
                          <a:avLst/>
                        </a:prstGeom>
                      </pic:spPr>
                    </pic:pic>
                  </a:graphicData>
                </a:graphic>
              </wp:inline>
            </w:drawing>
          </w:r>
        </w:p>
        <w:p w14:paraId="1C5DC938" w14:textId="77777777" w:rsidR="00D178A4" w:rsidRPr="00027624" w:rsidRDefault="00D178A4" w:rsidP="00D178A4">
          <w:pPr>
            <w:pStyle w:val="ChartorTableNote"/>
          </w:pPr>
          <w:r w:rsidRPr="00027624">
            <w:t>Note: Employer contribution represents contributions made by an employer on behalf of the member. Includes SG, award or other obligations; salary sacrifice arrangements; transfers from consolidated revenue funds for exempt public sector superannuation schemes and constit</w:t>
          </w:r>
          <w:r w:rsidR="001023AA" w:rsidRPr="00027624">
            <w:t>utionally protected funds; and SG</w:t>
          </w:r>
          <w:r w:rsidRPr="00027624">
            <w:t xml:space="preserve"> charge and the taxable component of any super holding accounts special account amounts that the ATO transferred to the provider on behalf of the member. Member contributions represents contributions made by a member including non</w:t>
          </w:r>
          <w:r w:rsidR="00A8443E" w:rsidRPr="00027624">
            <w:noBreakHyphen/>
          </w:r>
          <w:r w:rsidRPr="00027624">
            <w:t>excluded capital gains or capital proceeds and personal injury payments, direct termination payments, other third party contributions (government contributions and other family and friend contributions) and other contributions made by a person other than the employer. Total contributions represents employer and member contributions. Values are in nominal dollars. Source:</w:t>
          </w:r>
          <w:sdt>
            <w:sdtPr>
              <w:id w:val="1039406501"/>
              <w:citation/>
            </w:sdtPr>
            <w:sdtEndPr/>
            <w:sdtContent>
              <w:r w:rsidRPr="00027624">
                <w:fldChar w:fldCharType="begin"/>
              </w:r>
              <w:r w:rsidRPr="00027624">
                <w:instrText xml:space="preserve">CITATION APR19 \t  \l 3081 </w:instrText>
              </w:r>
              <w:r w:rsidRPr="00027624">
                <w:fldChar w:fldCharType="separate"/>
              </w:r>
              <w:r w:rsidR="00E83F6E">
                <w:rPr>
                  <w:noProof/>
                </w:rPr>
                <w:t xml:space="preserve"> (Australian Prudential Regulation Authority, 2020a)</w:t>
              </w:r>
              <w:r w:rsidRPr="00027624">
                <w:fldChar w:fldCharType="end"/>
              </w:r>
            </w:sdtContent>
          </w:sdt>
          <w:r w:rsidRPr="00027624">
            <w:t>.</w:t>
          </w:r>
        </w:p>
        <w:p w14:paraId="54FD2A75" w14:textId="3822F0FE" w:rsidR="00D178A4" w:rsidRPr="00027624" w:rsidRDefault="00D178A4" w:rsidP="00D178A4">
          <w:r w:rsidRPr="00027624">
            <w:rPr>
              <w:rFonts w:eastAsiaTheme="minorHAnsi" w:cs="Calibri"/>
              <w:color w:val="000000"/>
              <w:szCs w:val="22"/>
              <w:lang w:eastAsia="en-US"/>
            </w:rPr>
            <w:t xml:space="preserve">Assets under management have grown from $750.5 billion in June 2005 (81 per cent of GDP) to nearly $2.9 trillion in June 2019 (148 per cent of GDP) </w:t>
          </w:r>
          <w:sdt>
            <w:sdtPr>
              <w:rPr>
                <w:rFonts w:eastAsiaTheme="minorHAnsi" w:cs="Calibri"/>
                <w:color w:val="000000"/>
                <w:szCs w:val="22"/>
                <w:lang w:eastAsia="en-US"/>
              </w:rPr>
              <w:id w:val="-1647352668"/>
              <w:citation/>
            </w:sdtPr>
            <w:sdtEndPr/>
            <w:sdtContent>
              <w:r w:rsidRPr="00027624">
                <w:rPr>
                  <w:rFonts w:eastAsiaTheme="minorHAnsi" w:cs="Calibri"/>
                  <w:color w:val="000000"/>
                  <w:szCs w:val="22"/>
                  <w:lang w:eastAsia="en-US"/>
                </w:rPr>
                <w:fldChar w:fldCharType="begin"/>
              </w:r>
              <w:r w:rsidRPr="00027624">
                <w:rPr>
                  <w:rFonts w:eastAsiaTheme="minorHAnsi" w:cs="Calibri"/>
                  <w:color w:val="000000"/>
                  <w:szCs w:val="22"/>
                  <w:lang w:eastAsia="en-US"/>
                </w:rPr>
                <w:instrText xml:space="preserve">CITATION APR19 \t  \l 3081 </w:instrText>
              </w:r>
              <w:r w:rsidRPr="00027624">
                <w:rPr>
                  <w:rFonts w:eastAsiaTheme="minorHAnsi" w:cs="Calibri"/>
                  <w:color w:val="000000"/>
                  <w:szCs w:val="22"/>
                  <w:lang w:eastAsia="en-US"/>
                </w:rPr>
                <w:fldChar w:fldCharType="separate"/>
              </w:r>
              <w:r w:rsidR="00E83F6E" w:rsidRPr="00E83F6E">
                <w:rPr>
                  <w:rFonts w:eastAsiaTheme="minorHAnsi" w:cs="Calibri"/>
                  <w:noProof/>
                  <w:color w:val="000000"/>
                  <w:szCs w:val="22"/>
                  <w:lang w:eastAsia="en-US"/>
                </w:rPr>
                <w:t>(Australian Prudential Regulation Authority, 2020a)</w:t>
              </w:r>
              <w:r w:rsidRPr="00027624">
                <w:rPr>
                  <w:rFonts w:eastAsiaTheme="minorHAnsi" w:cs="Calibri"/>
                  <w:color w:val="000000"/>
                  <w:szCs w:val="22"/>
                  <w:lang w:eastAsia="en-US"/>
                </w:rPr>
                <w:fldChar w:fldCharType="end"/>
              </w:r>
            </w:sdtContent>
          </w:sdt>
          <w:r w:rsidRPr="00027624">
            <w:rPr>
              <w:rFonts w:eastAsiaTheme="minorHAnsi" w:cs="Calibri"/>
              <w:color w:val="000000"/>
              <w:szCs w:val="22"/>
              <w:lang w:eastAsia="en-US"/>
            </w:rPr>
            <w:t>. Strong investment returns and total contributions after tax and surcharge added nearly $3.2 trillion over the period, partially offset by benefit payments (</w:t>
          </w:r>
          <w:r w:rsidRPr="00027624">
            <w:rPr>
              <w:rFonts w:eastAsiaTheme="minorHAnsi" w:cs="Calibri"/>
              <w:color w:val="000000"/>
              <w:szCs w:val="22"/>
              <w:lang w:eastAsia="en-US"/>
            </w:rPr>
            <w:fldChar w:fldCharType="begin"/>
          </w:r>
          <w:r w:rsidRPr="00027624">
            <w:rPr>
              <w:rFonts w:eastAsiaTheme="minorHAnsi" w:cs="Calibri"/>
              <w:color w:val="000000"/>
              <w:szCs w:val="22"/>
              <w:lang w:eastAsia="en-US"/>
            </w:rPr>
            <w:instrText xml:space="preserve"> REF _Ref38990791 \r \h  \* MERGEFORMAT </w:instrText>
          </w:r>
          <w:r w:rsidRPr="00027624">
            <w:rPr>
              <w:rFonts w:eastAsiaTheme="minorHAnsi" w:cs="Calibri"/>
              <w:color w:val="000000"/>
              <w:szCs w:val="22"/>
              <w:lang w:eastAsia="en-US"/>
            </w:rPr>
          </w:r>
          <w:r w:rsidRPr="00027624">
            <w:rPr>
              <w:rFonts w:eastAsiaTheme="minorHAnsi" w:cs="Calibri"/>
              <w:color w:val="000000"/>
              <w:szCs w:val="22"/>
              <w:lang w:eastAsia="en-US"/>
            </w:rPr>
            <w:fldChar w:fldCharType="separate"/>
          </w:r>
          <w:r w:rsidR="00891058">
            <w:rPr>
              <w:rFonts w:eastAsiaTheme="minorHAnsi" w:cs="Calibri"/>
              <w:color w:val="000000"/>
              <w:szCs w:val="22"/>
              <w:lang w:eastAsia="en-US"/>
            </w:rPr>
            <w:t>Chart 1D-11</w:t>
          </w:r>
          <w:r w:rsidRPr="00027624">
            <w:rPr>
              <w:rFonts w:eastAsiaTheme="minorHAnsi" w:cs="Calibri"/>
              <w:color w:val="000000"/>
              <w:szCs w:val="22"/>
              <w:lang w:eastAsia="en-US"/>
            </w:rPr>
            <w:fldChar w:fldCharType="end"/>
          </w:r>
          <w:r w:rsidRPr="00027624">
            <w:rPr>
              <w:rFonts w:eastAsiaTheme="minorHAnsi" w:cs="Calibri"/>
              <w:color w:val="000000"/>
              <w:szCs w:val="22"/>
              <w:lang w:eastAsia="en-US"/>
            </w:rPr>
            <w:t>)</w:t>
          </w:r>
          <w:r w:rsidRPr="00027624">
            <w:t>.</w:t>
          </w:r>
        </w:p>
        <w:p w14:paraId="0F529E6D" w14:textId="77777777" w:rsidR="00D178A4" w:rsidRPr="00027624" w:rsidRDefault="00D178A4" w:rsidP="00325A8D">
          <w:pPr>
            <w:pStyle w:val="ChartMainHeading"/>
            <w:numPr>
              <w:ilvl w:val="2"/>
              <w:numId w:val="20"/>
            </w:numPr>
            <w:rPr>
              <w:rFonts w:eastAsiaTheme="minorHAnsi"/>
            </w:rPr>
          </w:pPr>
          <w:bookmarkStart w:id="364" w:name="_Ref38990791"/>
          <w:r w:rsidRPr="00027624">
            <w:rPr>
              <w:rFonts w:eastAsiaTheme="minorHAnsi"/>
            </w:rPr>
            <w:t>Growth in</w:t>
          </w:r>
          <w:r w:rsidRPr="00027624" w:rsidDel="00D738C4">
            <w:rPr>
              <w:rFonts w:eastAsiaTheme="minorHAnsi"/>
            </w:rPr>
            <w:t xml:space="preserve"> </w:t>
          </w:r>
          <w:r w:rsidRPr="00027624">
            <w:rPr>
              <w:rFonts w:eastAsiaTheme="minorHAnsi"/>
            </w:rPr>
            <w:t>assets under management</w:t>
          </w:r>
          <w:bookmarkEnd w:id="364"/>
          <w:r w:rsidRPr="00027624">
            <w:rPr>
              <w:rFonts w:eastAsiaTheme="minorHAnsi"/>
            </w:rPr>
            <w:t>, by flow type</w:t>
          </w:r>
        </w:p>
        <w:p w14:paraId="6F947FDB" w14:textId="77777777" w:rsidR="00D178A4" w:rsidRPr="00027624" w:rsidRDefault="00F77408" w:rsidP="00D178A4">
          <w:pPr>
            <w:pStyle w:val="ChartGraphic"/>
            <w:rPr>
              <w:rFonts w:eastAsiaTheme="minorHAnsi"/>
              <w:lang w:eastAsia="en-US"/>
            </w:rPr>
          </w:pPr>
          <w:r>
            <w:rPr>
              <w:rFonts w:eastAsiaTheme="minorHAnsi"/>
              <w:noProof/>
            </w:rPr>
            <w:drawing>
              <wp:inline distT="0" distB="0" distL="0" distR="0" wp14:anchorId="77D5FA86" wp14:editId="66F8D3A0">
                <wp:extent cx="5585460" cy="2880360"/>
                <wp:effectExtent l="0" t="0" r="0" b="0"/>
                <wp:docPr id="2099192827" name="Picture 2099192827" descr="This chart shows benefit payments have grown from 2004-05 to 2018-19, but are generally offset by contributions and investment income, resulting in net growth in assets under management over this period. The exception was in the 2007-08 and 2008-09 financial years, where investment losses from the GFC resulted in a net reduction in assets under management." title="Chart 1D-11 Growth in assets under management, by flow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85460" cy="2880360"/>
                        </a:xfrm>
                        <a:prstGeom prst="rect">
                          <a:avLst/>
                        </a:prstGeom>
                        <a:noFill/>
                      </pic:spPr>
                    </pic:pic>
                  </a:graphicData>
                </a:graphic>
              </wp:inline>
            </w:drawing>
          </w:r>
        </w:p>
        <w:p w14:paraId="2EF9E09B" w14:textId="7B380D34" w:rsidR="00D178A4" w:rsidRPr="00027624" w:rsidRDefault="00D178A4" w:rsidP="00D178A4">
          <w:pPr>
            <w:pStyle w:val="ChartorTableNote"/>
            <w:rPr>
              <w:rFonts w:eastAsiaTheme="minorHAnsi"/>
            </w:rPr>
          </w:pPr>
          <w:r w:rsidRPr="00027624">
            <w:rPr>
              <w:rFonts w:eastAsiaTheme="minorHAnsi"/>
            </w:rPr>
            <w:t xml:space="preserve">Note: Total contributions after tax and surcharge represents total contributions less tax expenses relating to taxable contributions made to the superannuation entity and contributions surcharge tax. See note in </w:t>
          </w:r>
          <w:r w:rsidRPr="00027624">
            <w:rPr>
              <w:rFonts w:eastAsiaTheme="minorHAnsi"/>
            </w:rPr>
            <w:fldChar w:fldCharType="begin"/>
          </w:r>
          <w:r w:rsidRPr="00027624">
            <w:rPr>
              <w:rFonts w:eastAsiaTheme="minorHAnsi"/>
            </w:rPr>
            <w:instrText xml:space="preserve"> REF _Ref44326705 \r \h  \* MERGEFORMAT </w:instrText>
          </w:r>
          <w:r w:rsidRPr="00027624">
            <w:rPr>
              <w:rFonts w:eastAsiaTheme="minorHAnsi"/>
            </w:rPr>
          </w:r>
          <w:r w:rsidRPr="00027624">
            <w:rPr>
              <w:rFonts w:eastAsiaTheme="minorHAnsi"/>
            </w:rPr>
            <w:fldChar w:fldCharType="separate"/>
          </w:r>
          <w:r w:rsidR="00891058">
            <w:rPr>
              <w:rFonts w:eastAsiaTheme="minorHAnsi"/>
            </w:rPr>
            <w:t>Chart 1D-10</w:t>
          </w:r>
          <w:r w:rsidRPr="00027624">
            <w:rPr>
              <w:rFonts w:eastAsiaTheme="minorHAnsi"/>
            </w:rPr>
            <w:fldChar w:fldCharType="end"/>
          </w:r>
          <w:r w:rsidRPr="00027624">
            <w:rPr>
              <w:rFonts w:eastAsiaTheme="minorHAnsi"/>
            </w:rPr>
            <w:t xml:space="preserve"> for more </w:t>
          </w:r>
          <w:r w:rsidRPr="00027624">
            <w:rPr>
              <w:rFonts w:eastAsiaTheme="minorHAnsi"/>
            </w:rPr>
            <w:lastRenderedPageBreak/>
            <w:t>information on how total contributions is calculated. Net investment income represents gross revenue in the form of income or distributions from investments, including interest, dividends, rental income, trust distributions, less expenses that relate to the investment of the assets of the entity, including expenses for which investment fees are charged and expenses associated with generating income on investments. Benefit payments includes lump</w:t>
          </w:r>
          <w:r w:rsidR="00A8443E" w:rsidRPr="00027624">
            <w:rPr>
              <w:rFonts w:eastAsiaTheme="minorHAnsi"/>
            </w:rPr>
            <w:noBreakHyphen/>
          </w:r>
          <w:r w:rsidRPr="00027624">
            <w:rPr>
              <w:rFonts w:eastAsiaTheme="minorHAnsi"/>
            </w:rPr>
            <w:t>sum benefit payments and pension benefits paid directly to members, but excludes rollovers and successor fund transfers. Net growth in</w:t>
          </w:r>
          <w:r w:rsidRPr="00027624" w:rsidDel="00D738C4">
            <w:rPr>
              <w:rFonts w:eastAsiaTheme="minorHAnsi"/>
            </w:rPr>
            <w:t xml:space="preserve"> </w:t>
          </w:r>
          <w:r w:rsidRPr="00027624">
            <w:rPr>
              <w:rFonts w:eastAsiaTheme="minorHAnsi"/>
            </w:rPr>
            <w:t xml:space="preserve">assets under management is the figure published by APRA and may include items and amounts not represented in the other chart series. Values are in nominal dollars. </w:t>
          </w:r>
          <w:r w:rsidRPr="00027624">
            <w:t>Source: Analysis of</w:t>
          </w:r>
          <w:sdt>
            <w:sdtPr>
              <w:id w:val="269982179"/>
              <w:citation/>
            </w:sdtPr>
            <w:sdtEndPr/>
            <w:sdtContent>
              <w:r w:rsidRPr="00027624">
                <w:fldChar w:fldCharType="begin"/>
              </w:r>
              <w:r w:rsidRPr="00027624">
                <w:instrText xml:space="preserve">CITATION APR19 \t  \l 3081 </w:instrText>
              </w:r>
              <w:r w:rsidRPr="00027624">
                <w:fldChar w:fldCharType="separate"/>
              </w:r>
              <w:r w:rsidR="00E83F6E">
                <w:rPr>
                  <w:noProof/>
                </w:rPr>
                <w:t xml:space="preserve"> (Australian Prudential Regulation Authority, 2020a)</w:t>
              </w:r>
              <w:r w:rsidRPr="00027624">
                <w:fldChar w:fldCharType="end"/>
              </w:r>
            </w:sdtContent>
          </w:sdt>
          <w:r w:rsidRPr="00027624">
            <w:t>.</w:t>
          </w:r>
        </w:p>
        <w:p w14:paraId="432A7173" w14:textId="58A3BDC3" w:rsidR="00D178A4" w:rsidRPr="00027624" w:rsidRDefault="00D178A4" w:rsidP="00D178A4">
          <w:r w:rsidRPr="00027624">
            <w:t>Most of the growth in assets under management occurs in the pre</w:t>
          </w:r>
          <w:r w:rsidR="00A8443E" w:rsidRPr="00027624">
            <w:noBreakHyphen/>
          </w:r>
          <w:r w:rsidRPr="00027624">
            <w:t>retirement phase. Assets held in the pre</w:t>
          </w:r>
          <w:r w:rsidR="00A8443E" w:rsidRPr="00027624">
            <w:noBreakHyphen/>
          </w:r>
          <w:r w:rsidRPr="00027624">
            <w:t>retirement phase by institutional funds rose from $992 billion in 2015 to $1,600 billion in 2019 (</w:t>
          </w:r>
          <w:r w:rsidRPr="00027624">
            <w:fldChar w:fldCharType="begin"/>
          </w:r>
          <w:r w:rsidRPr="00027624">
            <w:instrText xml:space="preserve"> REF _Ref38888247 \r \h  \* MERGEFORMAT </w:instrText>
          </w:r>
          <w:r w:rsidRPr="00027624">
            <w:fldChar w:fldCharType="separate"/>
          </w:r>
          <w:r w:rsidR="00891058">
            <w:t>Chart 1D-12</w:t>
          </w:r>
          <w:r w:rsidRPr="00027624">
            <w:fldChar w:fldCharType="end"/>
          </w:r>
          <w:r w:rsidRPr="00027624">
            <w:t>).</w:t>
          </w:r>
          <w:r w:rsidRPr="00027624" w:rsidDel="00D738C4">
            <w:t xml:space="preserve"> </w:t>
          </w:r>
          <w:r w:rsidRPr="00027624">
            <w:t xml:space="preserve">Assets in the retirement phase by institutional funds increased more slowly, from $374 billion in 2015 to $472 billion in 2019. </w:t>
          </w:r>
        </w:p>
        <w:p w14:paraId="4E4F2C22" w14:textId="77777777" w:rsidR="00D178A4" w:rsidRPr="00027624" w:rsidRDefault="00D178A4" w:rsidP="00325A8D">
          <w:pPr>
            <w:pStyle w:val="ChartMainHeading"/>
            <w:numPr>
              <w:ilvl w:val="2"/>
              <w:numId w:val="20"/>
            </w:numPr>
          </w:pPr>
          <w:bookmarkStart w:id="365" w:name="_Ref38888247"/>
          <w:r w:rsidRPr="00027624">
            <w:t>Allocation of assets under management</w:t>
          </w:r>
          <w:bookmarkEnd w:id="365"/>
          <w:r w:rsidRPr="00027624">
            <w:t xml:space="preserve"> by institutional funds, at June year</w:t>
          </w:r>
          <w:r w:rsidR="00A8443E" w:rsidRPr="00027624">
            <w:noBreakHyphen/>
          </w:r>
          <w:r w:rsidRPr="00027624">
            <w:t>end</w:t>
          </w:r>
        </w:p>
        <w:p w14:paraId="4E5CE8A5" w14:textId="77777777" w:rsidR="00D178A4" w:rsidRPr="00027624" w:rsidRDefault="00EE09F3" w:rsidP="00D178A4">
          <w:pPr>
            <w:pStyle w:val="ChartGraphic"/>
          </w:pPr>
          <w:r>
            <w:rPr>
              <w:noProof/>
            </w:rPr>
            <w:drawing>
              <wp:inline distT="0" distB="0" distL="0" distR="0" wp14:anchorId="72DB7F28" wp14:editId="69AA2028">
                <wp:extent cx="5577840" cy="2880360"/>
                <wp:effectExtent l="0" t="0" r="3810" b="0"/>
                <wp:docPr id="2099192828" name="Picture 2099192828" descr="This chart shows assets under management by institutional funds has increased from under $500 billion in 2004 to over $2 trillion in 2019. The majority of assets are in the pre-retirement phase." title="Chart 1D-12 Allocation of assets under management by institutional funds, at June yea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77840" cy="2880360"/>
                        </a:xfrm>
                        <a:prstGeom prst="rect">
                          <a:avLst/>
                        </a:prstGeom>
                        <a:noFill/>
                      </pic:spPr>
                    </pic:pic>
                  </a:graphicData>
                </a:graphic>
              </wp:inline>
            </w:drawing>
          </w:r>
        </w:p>
        <w:p w14:paraId="5D55E90B" w14:textId="77777777" w:rsidR="00D178A4" w:rsidRPr="00027624" w:rsidRDefault="00D178A4" w:rsidP="00D178A4">
          <w:pPr>
            <w:pStyle w:val="ChartorTableNote"/>
          </w:pPr>
          <w:r w:rsidRPr="00027624">
            <w:t>Note: Data excludes SMSFs and only includes entities with more than four members. APRA commenced collecting retirement</w:t>
          </w:r>
          <w:r w:rsidR="001023AA" w:rsidRPr="00027624">
            <w:t xml:space="preserve"> </w:t>
          </w:r>
          <w:r w:rsidRPr="00027624">
            <w:t>phase data from June year</w:t>
          </w:r>
          <w:r w:rsidR="00A8443E" w:rsidRPr="00027624">
            <w:noBreakHyphen/>
          </w:r>
          <w:r w:rsidRPr="00027624">
            <w:t>ending 2015. Values are in nominal dollars. Source: Analysis of</w:t>
          </w:r>
          <w:sdt>
            <w:sdtPr>
              <w:id w:val="1398938973"/>
              <w:citation/>
            </w:sdtPr>
            <w:sdtEndPr/>
            <w:sdtContent>
              <w:r w:rsidRPr="00027624">
                <w:fldChar w:fldCharType="begin"/>
              </w:r>
              <w:r w:rsidRPr="00027624">
                <w:instrText xml:space="preserve">CITATION APR19 \t  \l 3081 </w:instrText>
              </w:r>
              <w:r w:rsidRPr="00027624">
                <w:fldChar w:fldCharType="separate"/>
              </w:r>
              <w:r w:rsidR="00E83F6E">
                <w:rPr>
                  <w:noProof/>
                </w:rPr>
                <w:t xml:space="preserve"> (Australian Prudential Regulation Authority, 2020a)</w:t>
              </w:r>
              <w:r w:rsidRPr="00027624">
                <w:fldChar w:fldCharType="end"/>
              </w:r>
            </w:sdtContent>
          </w:sdt>
          <w:r w:rsidRPr="00027624">
            <w:t xml:space="preserve">. </w:t>
          </w:r>
        </w:p>
        <w:p w14:paraId="43DA2270" w14:textId="77777777" w:rsidR="00D178A4" w:rsidRPr="00027624" w:rsidRDefault="00D178A4" w:rsidP="00D178A4">
          <w:r w:rsidRPr="00027624">
            <w:t xml:space="preserve">Future projections of the superannuation system and its effects on Age Pension expenditure are explored in </w:t>
          </w:r>
          <w:r w:rsidRPr="00027624">
            <w:rPr>
              <w:i/>
            </w:rPr>
            <w:t>4. Sustainability</w:t>
          </w:r>
          <w:r w:rsidRPr="00027624">
            <w:t>.</w:t>
          </w:r>
        </w:p>
        <w:p w14:paraId="2267FB8E" w14:textId="77777777" w:rsidR="00D178A4" w:rsidRPr="00027624" w:rsidRDefault="00D178A4" w:rsidP="00D178A4">
          <w:pPr>
            <w:pStyle w:val="Heading2"/>
          </w:pPr>
          <w:bookmarkStart w:id="366" w:name="_Ref41377435"/>
          <w:bookmarkStart w:id="367" w:name="_Toc45520448"/>
          <w:bookmarkStart w:id="368" w:name="_Toc46133559"/>
          <w:bookmarkStart w:id="369" w:name="_Toc34643509"/>
          <w:r w:rsidRPr="00027624">
            <w:t>Household wealth and debt</w:t>
          </w:r>
          <w:bookmarkEnd w:id="366"/>
          <w:bookmarkEnd w:id="367"/>
          <w:bookmarkEnd w:id="368"/>
        </w:p>
        <w:p w14:paraId="0A2A3A66" w14:textId="77777777" w:rsidR="00D178A4" w:rsidRPr="00027624" w:rsidRDefault="00D178A4" w:rsidP="00D178A4">
          <w:r w:rsidRPr="00027624">
            <w:t xml:space="preserve">The size and composition of household wealth influences retirement incomes. Households with more financial assets at retirement are generally less likely to rely on the Age Pension for retirement income. Less liquid wealth, such as housing, can also support people in retirement, providing accommodation as well as a potential source of income. </w:t>
          </w:r>
        </w:p>
        <w:p w14:paraId="110F1D4B" w14:textId="77777777" w:rsidR="00D178A4" w:rsidRPr="00027624" w:rsidRDefault="00D178A4" w:rsidP="00D178A4">
          <w:r w:rsidRPr="00027624">
            <w:t>However, if households are diverting their income to pay down large mortgage debts, they could struggle to build retirement savings outside the home. This could delay when some households retire.</w:t>
          </w:r>
        </w:p>
        <w:p w14:paraId="0BE38F9B" w14:textId="372828E4" w:rsidR="00D178A4" w:rsidRPr="00027624" w:rsidRDefault="00D178A4" w:rsidP="00D178A4">
          <w:r w:rsidRPr="00027624">
            <w:t>Australian household net wealth has increased over the past 30 years (</w:t>
          </w:r>
          <w:r w:rsidRPr="00027624">
            <w:fldChar w:fldCharType="begin"/>
          </w:r>
          <w:r w:rsidRPr="00027624">
            <w:instrText xml:space="preserve"> REF _Ref38993478 \r \h  \* MERGEFORMAT </w:instrText>
          </w:r>
          <w:r w:rsidRPr="00027624">
            <w:fldChar w:fldCharType="separate"/>
          </w:r>
          <w:r w:rsidR="00891058">
            <w:t>Chart 1D-13</w:t>
          </w:r>
          <w:r w:rsidRPr="00027624">
            <w:fldChar w:fldCharType="end"/>
          </w:r>
          <w:r w:rsidRPr="00027624">
            <w:t>). Most of the increase can be attributed to growth in the value of housing and superannuation, with superannuation asset values as a percentage of household disposable income more than tripling over this period. In 2017</w:t>
          </w:r>
          <w:r w:rsidR="00A8443E" w:rsidRPr="00027624">
            <w:noBreakHyphen/>
          </w:r>
          <w:r w:rsidRPr="00027624">
            <w:t>18,</w:t>
          </w:r>
          <w:r w:rsidRPr="00027624" w:rsidDel="000A1826">
            <w:t xml:space="preserve"> </w:t>
          </w:r>
          <w:r w:rsidRPr="00027624">
            <w:t>on average, the family home continued to be a household</w:t>
          </w:r>
          <w:r w:rsidR="00A8443E" w:rsidRPr="00027624">
            <w:t>’</w:t>
          </w:r>
          <w:r w:rsidRPr="00027624">
            <w:t>s largest asset in dollar terms, followed by superannuation</w:t>
          </w:r>
          <w:sdt>
            <w:sdtPr>
              <w:id w:val="-1064022879"/>
              <w:citation/>
            </w:sdtPr>
            <w:sdtEndPr/>
            <w:sdtContent>
              <w:r w:rsidRPr="00027624">
                <w:fldChar w:fldCharType="begin"/>
              </w:r>
              <w:r w:rsidRPr="00027624">
                <w:instrText xml:space="preserve"> CITATION ABS198 \l 3081 </w:instrText>
              </w:r>
              <w:r w:rsidRPr="00027624">
                <w:fldChar w:fldCharType="separate"/>
              </w:r>
              <w:r w:rsidR="00E83F6E">
                <w:rPr>
                  <w:noProof/>
                </w:rPr>
                <w:t xml:space="preserve"> (ABS, 2019k)</w:t>
              </w:r>
              <w:r w:rsidRPr="00027624">
                <w:fldChar w:fldCharType="end"/>
              </w:r>
            </w:sdtContent>
          </w:sdt>
          <w:r w:rsidRPr="00027624">
            <w:t xml:space="preserve">. </w:t>
          </w:r>
        </w:p>
        <w:p w14:paraId="3408DA1E" w14:textId="77777777" w:rsidR="00D178A4" w:rsidRPr="00027624" w:rsidRDefault="00D178A4" w:rsidP="00D178A4">
          <w:r w:rsidRPr="00027624">
            <w:lastRenderedPageBreak/>
            <w:t>Growth in the value of these assets is uncertain in the short</w:t>
          </w:r>
          <w:r w:rsidR="00A8443E" w:rsidRPr="00027624">
            <w:noBreakHyphen/>
          </w:r>
          <w:r w:rsidRPr="00027624">
            <w:t xml:space="preserve"> to medium</w:t>
          </w:r>
          <w:r w:rsidR="00A8443E" w:rsidRPr="00027624">
            <w:noBreakHyphen/>
          </w:r>
          <w:r w:rsidRPr="00027624">
            <w:t>term because of the lower economic and population growth and higher unemployment caused by the COVID</w:t>
          </w:r>
          <w:r w:rsidR="00A8443E" w:rsidRPr="00027624">
            <w:noBreakHyphen/>
          </w:r>
          <w:r w:rsidRPr="00027624">
            <w:t>19 Pandemic.</w:t>
          </w:r>
        </w:p>
        <w:p w14:paraId="52A47C33" w14:textId="77777777" w:rsidR="00D178A4" w:rsidRPr="00027624" w:rsidRDefault="00D178A4" w:rsidP="00325A8D">
          <w:pPr>
            <w:pStyle w:val="ChartMainHeading"/>
            <w:numPr>
              <w:ilvl w:val="2"/>
              <w:numId w:val="20"/>
            </w:numPr>
          </w:pPr>
          <w:bookmarkStart w:id="370" w:name="_Ref38993478"/>
          <w:r w:rsidRPr="00027624">
            <w:t>Household wealth as a percentage of disposable income</w:t>
          </w:r>
          <w:bookmarkEnd w:id="370"/>
        </w:p>
        <w:p w14:paraId="0B3D9F6D" w14:textId="77777777" w:rsidR="00D178A4" w:rsidRPr="00027624" w:rsidRDefault="00EE09F3" w:rsidP="00D178A4">
          <w:pPr>
            <w:pStyle w:val="ChartGraphic"/>
          </w:pPr>
          <w:r>
            <w:rPr>
              <w:noProof/>
            </w:rPr>
            <w:drawing>
              <wp:inline distT="0" distB="0" distL="0" distR="0" wp14:anchorId="3EA09DD6" wp14:editId="32D3E586">
                <wp:extent cx="5295900" cy="2979420"/>
                <wp:effectExtent l="0" t="0" r="0" b="0"/>
                <wp:docPr id="2099192829" name="Picture 2099192829" descr="This chart shows that household net wealth has increased as a percentage of disposable income, from March quarter 1990 to March quarter 2020. This is largely driven by the growth residential land and dwelling assets, and to a smaller extent and in more recent years by superannuation assets. " title="Chart 1D-13 Household wealth as a percentage of disposabl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95900" cy="2979420"/>
                        </a:xfrm>
                        <a:prstGeom prst="rect">
                          <a:avLst/>
                        </a:prstGeom>
                        <a:noFill/>
                      </pic:spPr>
                    </pic:pic>
                  </a:graphicData>
                </a:graphic>
              </wp:inline>
            </w:drawing>
          </w:r>
        </w:p>
        <w:p w14:paraId="5619C57B" w14:textId="77777777" w:rsidR="00D178A4" w:rsidRPr="00027624" w:rsidRDefault="00D178A4" w:rsidP="00D178A4">
          <w:pPr>
            <w:pStyle w:val="ChartorTableNote"/>
          </w:pPr>
          <w:r w:rsidRPr="00027624">
            <w:t>Note: Income is annualised gross disposable income before the deduction of interest payments. Net worth is all household assets series less household debt. Includes debt and assets held by unincorporated enterprises. Non</w:t>
          </w:r>
          <w:r w:rsidR="00A8443E" w:rsidRPr="00027624">
            <w:noBreakHyphen/>
          </w:r>
          <w:r w:rsidRPr="00027624">
            <w:t>financial assets includes consumer durables. Residential land and dwelling assets includes all residential property, not just owner</w:t>
          </w:r>
          <w:r w:rsidR="00A8443E" w:rsidRPr="00027624">
            <w:noBreakHyphen/>
          </w:r>
          <w:r w:rsidRPr="00027624">
            <w:t>occupied. Source: Analysis of</w:t>
          </w:r>
          <w:sdt>
            <w:sdtPr>
              <w:id w:val="-1043980783"/>
              <w:citation/>
            </w:sdtPr>
            <w:sdtEndPr/>
            <w:sdtContent>
              <w:r w:rsidRPr="00027624">
                <w:fldChar w:fldCharType="begin"/>
              </w:r>
              <w:r w:rsidRPr="00027624">
                <w:instrText>CITATION ABS0q1 \l 3081  \m ABS0qv</w:instrText>
              </w:r>
              <w:r w:rsidRPr="00027624">
                <w:fldChar w:fldCharType="separate"/>
              </w:r>
              <w:r w:rsidR="00E83F6E">
                <w:rPr>
                  <w:noProof/>
                </w:rPr>
                <w:t xml:space="preserve"> (ABS, 2020a; ABS, 2020b)</w:t>
              </w:r>
              <w:r w:rsidRPr="00027624">
                <w:fldChar w:fldCharType="end"/>
              </w:r>
            </w:sdtContent>
          </w:sdt>
          <w:r w:rsidRPr="00027624">
            <w:t>.</w:t>
          </w:r>
        </w:p>
        <w:p w14:paraId="35B9D1F5" w14:textId="77777777" w:rsidR="00D178A4" w:rsidRPr="00027624" w:rsidRDefault="00D178A4" w:rsidP="00D178A4">
          <w:pPr>
            <w:pStyle w:val="Heading3"/>
          </w:pPr>
          <w:r w:rsidRPr="00027624">
            <w:t>Housing wealth</w:t>
          </w:r>
        </w:p>
        <w:p w14:paraId="34B8686A" w14:textId="77777777" w:rsidR="00D178A4" w:rsidRPr="00027624" w:rsidRDefault="00D178A4" w:rsidP="00D178A4">
          <w:r w:rsidRPr="00027624">
            <w:t xml:space="preserve">The value of housing has significantly increased since the 1990s, nearly doubling relative to household disposable income. Existing home owners have benefited from increases in their net worth. </w:t>
          </w:r>
        </w:p>
        <w:p w14:paraId="218A7E21" w14:textId="4110773C" w:rsidR="00D178A4" w:rsidRPr="00027624" w:rsidRDefault="00D178A4" w:rsidP="00D178A4">
          <w:r w:rsidRPr="00027624">
            <w:t>However, the share of working</w:t>
          </w:r>
          <w:r w:rsidR="00A8443E" w:rsidRPr="00027624">
            <w:noBreakHyphen/>
          </w:r>
          <w:r w:rsidRPr="00027624">
            <w:t>life income required to service a mortgage has more than tripled since 1980 (</w:t>
          </w:r>
          <w:r w:rsidRPr="00027624">
            <w:fldChar w:fldCharType="begin"/>
          </w:r>
          <w:r w:rsidRPr="00027624">
            <w:instrText xml:space="preserve"> REF _Ref39008954 \r \h  \* MERGEFORMAT </w:instrText>
          </w:r>
          <w:r w:rsidRPr="00027624">
            <w:fldChar w:fldCharType="separate"/>
          </w:r>
          <w:r w:rsidR="00891058">
            <w:t>Chart 1D-14</w:t>
          </w:r>
          <w:r w:rsidRPr="00027624">
            <w:fldChar w:fldCharType="end"/>
          </w:r>
          <w:r w:rsidRPr="00027624">
            <w:t>).</w:t>
          </w:r>
          <w:r w:rsidRPr="00027624">
            <w:rPr>
              <w:rFonts w:cs="Calibri"/>
              <w:szCs w:val="22"/>
            </w:rPr>
            <w:t xml:space="preserve"> </w:t>
          </w:r>
          <w:r w:rsidRPr="00027624">
            <w:t>Increases in home values mean prospective home owners need to spend more of their working</w:t>
          </w:r>
          <w:r w:rsidR="00A8443E" w:rsidRPr="00027624">
            <w:noBreakHyphen/>
          </w:r>
          <w:r w:rsidRPr="00027624">
            <w:t xml:space="preserve">life incomes to finance their purchase. As a result, people have less income available to either spend during working life or invest in other savings vehicles. </w:t>
          </w:r>
        </w:p>
        <w:p w14:paraId="591586BD" w14:textId="77777777" w:rsidR="00D178A4" w:rsidRPr="00027624" w:rsidRDefault="00D178A4" w:rsidP="00325A8D">
          <w:pPr>
            <w:pStyle w:val="ChartMainHeading"/>
            <w:numPr>
              <w:ilvl w:val="2"/>
              <w:numId w:val="20"/>
            </w:numPr>
          </w:pPr>
          <w:bookmarkStart w:id="371" w:name="_Ref39008954"/>
          <w:r w:rsidRPr="00027624">
            <w:lastRenderedPageBreak/>
            <w:t xml:space="preserve">Total home deposit and mortgage costs as a percentage of household </w:t>
          </w:r>
          <w:r w:rsidR="000B6C94">
            <w:br/>
          </w:r>
          <w:r w:rsidRPr="00027624">
            <w:t>working</w:t>
          </w:r>
          <w:r w:rsidR="00A8443E" w:rsidRPr="00027624">
            <w:noBreakHyphen/>
          </w:r>
          <w:r w:rsidRPr="00027624">
            <w:t xml:space="preserve">life </w:t>
          </w:r>
          <w:r w:rsidRPr="00027624" w:rsidDel="00775FC5">
            <w:t>income</w:t>
          </w:r>
          <w:bookmarkEnd w:id="371"/>
        </w:p>
        <w:p w14:paraId="29DED6D4" w14:textId="77777777" w:rsidR="00D178A4" w:rsidRPr="00027624" w:rsidRDefault="00EE09F3" w:rsidP="00D178A4">
          <w:pPr>
            <w:pStyle w:val="ChartGraphic"/>
          </w:pPr>
          <w:r>
            <w:rPr>
              <w:noProof/>
            </w:rPr>
            <w:drawing>
              <wp:inline distT="0" distB="0" distL="0" distR="0" wp14:anchorId="061903CD" wp14:editId="08B372D8">
                <wp:extent cx="5326380" cy="2522220"/>
                <wp:effectExtent l="0" t="0" r="7620" b="0"/>
                <wp:docPr id="2099192830" name="Picture 2099192830" descr="This chart shows that total home deposit and mortgage costs as a percentage of household working-life income has increased from around 4 per cent in 1980 to just under 16 per cent in 2020. It peaked at around 17 per cent in 2018. Slightly more than half of the cost is principal repayment with the remaining cost interest  payments." title="Chart 1D-14 Total home deposit and mortgage costs as a percentage of household working-lif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26380" cy="2522220"/>
                        </a:xfrm>
                        <a:prstGeom prst="rect">
                          <a:avLst/>
                        </a:prstGeom>
                        <a:noFill/>
                      </pic:spPr>
                    </pic:pic>
                  </a:graphicData>
                </a:graphic>
              </wp:inline>
            </w:drawing>
          </w:r>
        </w:p>
        <w:p w14:paraId="64E45882" w14:textId="77777777" w:rsidR="00D178A4" w:rsidRPr="00027624" w:rsidRDefault="00D178A4" w:rsidP="00D178A4">
          <w:pPr>
            <w:pStyle w:val="ChartorTableNote"/>
            <w:rPr>
              <w:i/>
            </w:rPr>
          </w:pPr>
          <w:r w:rsidRPr="00027624">
            <w:t xml:space="preserve">Note: </w:t>
          </w:r>
          <w:r w:rsidRPr="00027624">
            <w:rPr>
              <w:bCs/>
              <w:iCs/>
            </w:rPr>
            <w:t>This chart is a hypothetical comparison between different generations of households with the median income, who pay 20% deposit and service a 25</w:t>
          </w:r>
          <w:r w:rsidR="00A8443E" w:rsidRPr="00027624">
            <w:rPr>
              <w:bCs/>
              <w:iCs/>
            </w:rPr>
            <w:noBreakHyphen/>
          </w:r>
          <w:r w:rsidRPr="00027624">
            <w:rPr>
              <w:bCs/>
              <w:iCs/>
            </w:rPr>
            <w:t>year mortgage for a median</w:t>
          </w:r>
          <w:r w:rsidR="00A8443E" w:rsidRPr="00027624">
            <w:rPr>
              <w:bCs/>
              <w:iCs/>
            </w:rPr>
            <w:noBreakHyphen/>
          </w:r>
          <w:r w:rsidRPr="00027624">
            <w:rPr>
              <w:bCs/>
              <w:iCs/>
            </w:rPr>
            <w:t>value dwelling at the market variable rate. Working</w:t>
          </w:r>
          <w:r w:rsidR="00A8443E" w:rsidRPr="00027624">
            <w:rPr>
              <w:bCs/>
              <w:iCs/>
            </w:rPr>
            <w:noBreakHyphen/>
          </w:r>
          <w:r w:rsidRPr="00027624">
            <w:rPr>
              <w:bCs/>
              <w:iCs/>
            </w:rPr>
            <w:t>life income is calculated post</w:t>
          </w:r>
          <w:r w:rsidR="00A8443E" w:rsidRPr="00027624">
            <w:rPr>
              <w:bCs/>
              <w:iCs/>
            </w:rPr>
            <w:noBreakHyphen/>
          </w:r>
          <w:r w:rsidRPr="00027624">
            <w:rPr>
              <w:bCs/>
              <w:iCs/>
            </w:rPr>
            <w:t>tax, and assumes a 40</w:t>
          </w:r>
          <w:r w:rsidR="00A8443E" w:rsidRPr="00027624">
            <w:rPr>
              <w:bCs/>
              <w:iCs/>
            </w:rPr>
            <w:noBreakHyphen/>
          </w:r>
          <w:r w:rsidRPr="00027624">
            <w:rPr>
              <w:bCs/>
              <w:iCs/>
            </w:rPr>
            <w:t>year period (ages 27</w:t>
          </w:r>
          <w:r w:rsidR="00A8443E" w:rsidRPr="00027624">
            <w:rPr>
              <w:bCs/>
              <w:iCs/>
            </w:rPr>
            <w:noBreakHyphen/>
          </w:r>
          <w:r w:rsidRPr="00027624">
            <w:rPr>
              <w:bCs/>
              <w:iCs/>
            </w:rPr>
            <w:t>66).</w:t>
          </w:r>
          <w:r w:rsidRPr="00027624">
            <w:t xml:space="preserve"> Analysis factors in deferral of first home purchase for recent generations. Analysis also assumes interest rates and wages move to a long</w:t>
          </w:r>
          <w:r w:rsidR="00A8443E" w:rsidRPr="00027624">
            <w:noBreakHyphen/>
          </w:r>
          <w:r w:rsidRPr="00027624">
            <w:t xml:space="preserve">run average consistent with cameo modelling undertaken for the review. More information on these assumptions can be found in </w:t>
          </w:r>
          <w:r w:rsidR="00BD73BF" w:rsidRPr="00BD73BF">
            <w:rPr>
              <w:i/>
            </w:rPr>
            <w:t xml:space="preserve">Appendix </w:t>
          </w:r>
          <w:r w:rsidRPr="00027624">
            <w:rPr>
              <w:i/>
            </w:rPr>
            <w:t>6A.</w:t>
          </w:r>
          <w:bookmarkStart w:id="372" w:name="_Toc31209603"/>
          <w:bookmarkStart w:id="373" w:name="_Toc31270969"/>
          <w:bookmarkStart w:id="374" w:name="_Toc31274413"/>
          <w:bookmarkStart w:id="375" w:name="_Toc31276245"/>
          <w:bookmarkStart w:id="376" w:name="_Toc31352252"/>
          <w:bookmarkStart w:id="377" w:name="_Toc31720395"/>
          <w:bookmarkStart w:id="378" w:name="_Toc34645267"/>
          <w:r w:rsidRPr="00027624">
            <w:rPr>
              <w:i/>
            </w:rPr>
            <w:t xml:space="preserve"> Detailed modelling methods and assumptions</w:t>
          </w:r>
          <w:bookmarkEnd w:id="372"/>
          <w:bookmarkEnd w:id="373"/>
          <w:bookmarkEnd w:id="374"/>
          <w:bookmarkEnd w:id="375"/>
          <w:bookmarkEnd w:id="376"/>
          <w:bookmarkEnd w:id="377"/>
          <w:bookmarkEnd w:id="378"/>
          <w:r w:rsidRPr="00027624">
            <w:rPr>
              <w:i/>
            </w:rPr>
            <w:t xml:space="preserve">. </w:t>
          </w:r>
          <w:r w:rsidRPr="00027624">
            <w:t xml:space="preserve">Source: Analysis of </w:t>
          </w:r>
          <w:sdt>
            <w:sdtPr>
              <w:id w:val="500935691"/>
              <w:citation/>
            </w:sdtPr>
            <w:sdtEndPr/>
            <w:sdtContent>
              <w:r w:rsidRPr="00027624">
                <w:fldChar w:fldCharType="begin"/>
              </w:r>
              <w:r w:rsidRPr="00027624">
                <w:instrText xml:space="preserve"> CITATION ABS194 \l 3081 </w:instrText>
              </w:r>
              <w:r w:rsidRPr="00027624">
                <w:fldChar w:fldCharType="separate"/>
              </w:r>
              <w:r w:rsidR="00E83F6E">
                <w:rPr>
                  <w:noProof/>
                </w:rPr>
                <w:t>(ABS, 2019c)</w:t>
              </w:r>
              <w:r w:rsidRPr="00027624">
                <w:fldChar w:fldCharType="end"/>
              </w:r>
            </w:sdtContent>
          </w:sdt>
          <w:r w:rsidRPr="00027624">
            <w:t xml:space="preserve">, </w:t>
          </w:r>
          <w:sdt>
            <w:sdtPr>
              <w:id w:val="1470246444"/>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 xml:space="preserve">, </w:t>
          </w:r>
          <w:sdt>
            <w:sdtPr>
              <w:id w:val="-2099014895"/>
              <w:citation/>
            </w:sdtPr>
            <w:sdtEndPr/>
            <w:sdtContent>
              <w:r w:rsidRPr="00027624">
                <w:fldChar w:fldCharType="begin"/>
              </w:r>
              <w:r w:rsidRPr="00027624">
                <w:instrText xml:space="preserve"> CITATION CEP19 \l 3081 </w:instrText>
              </w:r>
              <w:r w:rsidRPr="00027624">
                <w:fldChar w:fldCharType="separate"/>
              </w:r>
              <w:r w:rsidR="00E83F6E">
                <w:rPr>
                  <w:noProof/>
                </w:rPr>
                <w:t>(CEPAR, 2019)</w:t>
              </w:r>
              <w:r w:rsidRPr="00027624">
                <w:fldChar w:fldCharType="end"/>
              </w:r>
            </w:sdtContent>
          </w:sdt>
          <w:r w:rsidRPr="00027624">
            <w:t xml:space="preserve">, </w:t>
          </w:r>
          <w:sdt>
            <w:sdtPr>
              <w:id w:val="-146441353"/>
              <w:citation/>
            </w:sdtPr>
            <w:sdtEndPr/>
            <w:sdtContent>
              <w:r w:rsidRPr="00027624">
                <w:fldChar w:fldCharType="begin"/>
              </w:r>
              <w:r w:rsidRPr="00027624">
                <w:instrText xml:space="preserve"> CITATION ABS203 \l 3081 </w:instrText>
              </w:r>
              <w:r w:rsidRPr="00027624">
                <w:fldChar w:fldCharType="separate"/>
              </w:r>
              <w:r w:rsidR="00E83F6E">
                <w:rPr>
                  <w:noProof/>
                </w:rPr>
                <w:t>(ABS, 2020c)</w:t>
              </w:r>
              <w:r w:rsidRPr="00027624">
                <w:fldChar w:fldCharType="end"/>
              </w:r>
            </w:sdtContent>
          </w:sdt>
          <w:r w:rsidRPr="00027624">
            <w:t xml:space="preserve">, CoreLogic home price </w:t>
          </w:r>
          <w:r w:rsidRPr="00027624" w:rsidDel="004678BE">
            <w:t>data</w:t>
          </w:r>
          <w:r w:rsidRPr="00027624">
            <w:t xml:space="preserve"> and RBA Statistical Tables — Indicator Lending Rates F5. </w:t>
          </w:r>
        </w:p>
        <w:p w14:paraId="272456BC" w14:textId="35CCB424" w:rsidR="00D178A4" w:rsidRPr="00027624" w:rsidRDefault="00D178A4" w:rsidP="00D178A4">
          <w:r w:rsidRPr="00027624">
            <w:t>Increased home values have coincided with rising housing debt. Household debt is now at historically high levels, mainly relating to increases in housing debt (</w:t>
          </w:r>
          <w:r w:rsidRPr="00027624">
            <w:fldChar w:fldCharType="begin"/>
          </w:r>
          <w:r w:rsidRPr="00027624">
            <w:instrText xml:space="preserve"> REF _Ref37942448 \r \h  \* MERGEFORMAT </w:instrText>
          </w:r>
          <w:r w:rsidRPr="00027624">
            <w:fldChar w:fldCharType="separate"/>
          </w:r>
          <w:r w:rsidR="00891058">
            <w:t>Chart 1D-15</w:t>
          </w:r>
          <w:r w:rsidRPr="00027624">
            <w:fldChar w:fldCharType="end"/>
          </w:r>
          <w:r w:rsidRPr="00027624">
            <w:t>)</w:t>
          </w:r>
          <w:sdt>
            <w:sdtPr>
              <w:id w:val="-1818408214"/>
              <w:citation/>
            </w:sdtPr>
            <w:sdtEndPr/>
            <w:sdtContent>
              <w:r w:rsidRPr="00027624">
                <w:fldChar w:fldCharType="begin"/>
              </w:r>
              <w:r w:rsidRPr="00027624">
                <w:instrText xml:space="preserve">CITATION RBA20v \l 3081 </w:instrText>
              </w:r>
              <w:r w:rsidRPr="00027624">
                <w:fldChar w:fldCharType="separate"/>
              </w:r>
              <w:r w:rsidR="00E83F6E">
                <w:rPr>
                  <w:noProof/>
                </w:rPr>
                <w:t xml:space="preserve"> (RBA, 2020a)</w:t>
              </w:r>
              <w:r w:rsidRPr="00027624">
                <w:fldChar w:fldCharType="end"/>
              </w:r>
            </w:sdtContent>
          </w:sdt>
          <w:r w:rsidRPr="00027624">
            <w:t>. Studies note a correlation between increased national net household debt and pension assets as a per cent of GDP</w:t>
          </w:r>
          <w:r w:rsidR="00FB032B" w:rsidRPr="00FB032B">
            <w:t xml:space="preserve"> </w:t>
          </w:r>
          <w:sdt>
            <w:sdtPr>
              <w:id w:val="-1740861990"/>
              <w:citation/>
            </w:sdtPr>
            <w:sdtEndPr/>
            <w:sdtContent>
              <w:r w:rsidR="00FB032B" w:rsidRPr="00027624">
                <w:fldChar w:fldCharType="begin"/>
              </w:r>
              <w:r w:rsidR="00FB032B">
                <w:instrText xml:space="preserve">CITATION MerP191 \p 10 \l 3081 </w:instrText>
              </w:r>
              <w:r w:rsidR="00FB032B" w:rsidRPr="00027624">
                <w:fldChar w:fldCharType="separate"/>
              </w:r>
              <w:r w:rsidR="00E83F6E">
                <w:rPr>
                  <w:noProof/>
                </w:rPr>
                <w:t>(Mercer, 2019b, p. 10)</w:t>
              </w:r>
              <w:r w:rsidR="00FB032B" w:rsidRPr="00027624">
                <w:fldChar w:fldCharType="end"/>
              </w:r>
            </w:sdtContent>
          </w:sdt>
          <w:r w:rsidRPr="00027624">
            <w:t>. Increasing superannuation wealth, particularly as a result of the SG, may be increasing households</w:t>
          </w:r>
          <w:r w:rsidR="00A8443E" w:rsidRPr="00027624">
            <w:t>’</w:t>
          </w:r>
          <w:r w:rsidRPr="00027624">
            <w:t xml:space="preserve"> confidence about their finances and wealth, encouraging them to take on more debt as net wealth rises</w:t>
          </w:r>
          <w:sdt>
            <w:sdtPr>
              <w:id w:val="1886915560"/>
              <w:citation/>
            </w:sdtPr>
            <w:sdtEndPr/>
            <w:sdtContent>
              <w:r w:rsidRPr="00027624">
                <w:fldChar w:fldCharType="begin"/>
              </w:r>
              <w:r w:rsidRPr="00027624">
                <w:instrText xml:space="preserve">CITATION Rut20 \p 27 \l 3081 </w:instrText>
              </w:r>
              <w:r w:rsidRPr="00027624">
                <w:fldChar w:fldCharType="separate"/>
              </w:r>
              <w:r w:rsidR="00E83F6E">
                <w:rPr>
                  <w:noProof/>
                </w:rPr>
                <w:t xml:space="preserve"> (Ruthbah &amp; Pham, 2020a, p. 27)</w:t>
              </w:r>
              <w:r w:rsidRPr="00027624">
                <w:fldChar w:fldCharType="end"/>
              </w:r>
            </w:sdtContent>
          </w:sdt>
          <w:r w:rsidRPr="00027624">
            <w:t>.</w:t>
          </w:r>
        </w:p>
        <w:p w14:paraId="3820262A" w14:textId="77777777" w:rsidR="00D178A4" w:rsidRPr="00027624" w:rsidRDefault="00D178A4" w:rsidP="00325A8D">
          <w:pPr>
            <w:pStyle w:val="ChartMainHeading"/>
            <w:numPr>
              <w:ilvl w:val="2"/>
              <w:numId w:val="20"/>
            </w:numPr>
          </w:pPr>
          <w:bookmarkStart w:id="379" w:name="_Ref37942448"/>
          <w:r w:rsidRPr="00027624">
            <w:t>Household debt as a percentage of disposable income</w:t>
          </w:r>
          <w:bookmarkEnd w:id="379"/>
        </w:p>
        <w:p w14:paraId="4464F81E" w14:textId="77777777" w:rsidR="00D178A4" w:rsidRPr="00027624" w:rsidRDefault="00EE09F3" w:rsidP="00D178A4">
          <w:pPr>
            <w:pStyle w:val="ChartGraphic"/>
          </w:pPr>
          <w:r>
            <w:rPr>
              <w:noProof/>
            </w:rPr>
            <w:drawing>
              <wp:inline distT="0" distB="0" distL="0" distR="0" wp14:anchorId="674971C1" wp14:editId="079DD62E">
                <wp:extent cx="5334000" cy="2979420"/>
                <wp:effectExtent l="0" t="0" r="0" b="0"/>
                <wp:docPr id="2099192831" name="Picture 2099192831" descr="This chart shows household debt as a percentage of disposable income has increased from around 65 per cent in March 1990 quarter to around 185 per cent in the March 2020 quarter. Household debt is made up of housing debt and other debt, which includes personal debt, student loans and other household liabilities. Other debt has remained largely stable, with almost all of the increase due to the rise in housing debt. " title="Chart 1D-15 Household debt as a percentage of disposabl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34000" cy="2979420"/>
                        </a:xfrm>
                        <a:prstGeom prst="rect">
                          <a:avLst/>
                        </a:prstGeom>
                        <a:noFill/>
                      </pic:spPr>
                    </pic:pic>
                  </a:graphicData>
                </a:graphic>
              </wp:inline>
            </w:drawing>
          </w:r>
        </w:p>
        <w:p w14:paraId="708F6F16" w14:textId="77777777" w:rsidR="00D178A4" w:rsidRPr="00027624" w:rsidRDefault="00D178A4" w:rsidP="00D178A4">
          <w:pPr>
            <w:pStyle w:val="ChartorTableNote"/>
          </w:pPr>
          <w:r w:rsidRPr="00027624">
            <w:t>Note: Income is annualised gross disposable income before the deduction of interest payments. Other debt includes personal debt, student loans and other household liabilities. Includes debt owed by unincorporated enterprises. Housing debt includes all debt financing for residential property, not just owner</w:t>
          </w:r>
          <w:r w:rsidR="00A8443E" w:rsidRPr="00027624">
            <w:noBreakHyphen/>
          </w:r>
          <w:r w:rsidRPr="00027624">
            <w:t xml:space="preserve">occupied. Source: Analysis of </w:t>
          </w:r>
          <w:sdt>
            <w:sdtPr>
              <w:id w:val="-1053699911"/>
              <w:citation/>
            </w:sdtPr>
            <w:sdtEndPr/>
            <w:sdtContent>
              <w:r w:rsidRPr="00027624">
                <w:fldChar w:fldCharType="begin"/>
              </w:r>
              <w:r w:rsidRPr="00027624">
                <w:instrText>CITATION ABS0q1 \l 3081  \m ABS0qv</w:instrText>
              </w:r>
              <w:r w:rsidRPr="00027624">
                <w:fldChar w:fldCharType="separate"/>
              </w:r>
              <w:r w:rsidR="00E83F6E">
                <w:rPr>
                  <w:noProof/>
                </w:rPr>
                <w:t>(ABS, 2020a; ABS, 2020b)</w:t>
              </w:r>
              <w:r w:rsidRPr="00027624">
                <w:fldChar w:fldCharType="end"/>
              </w:r>
            </w:sdtContent>
          </w:sdt>
          <w:r w:rsidRPr="00027624">
            <w:t>.</w:t>
          </w:r>
        </w:p>
        <w:p w14:paraId="49A5972D" w14:textId="4CCDAF25" w:rsidR="00D178A4" w:rsidRPr="00027624" w:rsidRDefault="00D178A4" w:rsidP="00D178A4">
          <w:r w:rsidRPr="00027624">
            <w:lastRenderedPageBreak/>
            <w:t>Increasing mortgage commitments have coincided with more owner</w:t>
          </w:r>
          <w:r w:rsidR="00A8443E" w:rsidRPr="00027624">
            <w:noBreakHyphen/>
          </w:r>
          <w:r w:rsidRPr="00027624">
            <w:t>occupied households holding a mortgage at older ages. The median age for paying off a mortgage increased from 52 in 1981 to 62 in 2016</w:t>
          </w:r>
          <w:sdt>
            <w:sdtPr>
              <w:id w:val="1764725809"/>
              <w:citation/>
            </w:sdtPr>
            <w:sdtEndPr/>
            <w:sdtContent>
              <w:r w:rsidRPr="00027624">
                <w:fldChar w:fldCharType="begin"/>
              </w:r>
              <w:r w:rsidRPr="00027624">
                <w:instrText xml:space="preserve">CITATION CEP19 \p 9 \l 3081 </w:instrText>
              </w:r>
              <w:r w:rsidRPr="00027624">
                <w:fldChar w:fldCharType="separate"/>
              </w:r>
              <w:r w:rsidR="00E83F6E">
                <w:rPr>
                  <w:noProof/>
                </w:rPr>
                <w:t xml:space="preserve"> (CEPAR, 2019, p. 9)</w:t>
              </w:r>
              <w:r w:rsidRPr="00027624">
                <w:fldChar w:fldCharType="end"/>
              </w:r>
            </w:sdtContent>
          </w:sdt>
          <w:r w:rsidRPr="00027624">
            <w:t>. The rate of owner</w:t>
          </w:r>
          <w:r w:rsidR="00A8443E" w:rsidRPr="00027624">
            <w:noBreakHyphen/>
          </w:r>
          <w:r w:rsidRPr="00027624">
            <w:t>occupied households aged 55 and over with mortgage debt has increased over the past 20 years (</w:t>
          </w:r>
          <w:r w:rsidRPr="00027624">
            <w:fldChar w:fldCharType="begin"/>
          </w:r>
          <w:r w:rsidRPr="00027624">
            <w:instrText xml:space="preserve"> REF _Ref38441610 \r \h  \* MERGEFORMAT </w:instrText>
          </w:r>
          <w:r w:rsidRPr="00027624">
            <w:fldChar w:fldCharType="separate"/>
          </w:r>
          <w:r w:rsidR="00891058">
            <w:t>Chart 1D-16</w:t>
          </w:r>
          <w:r w:rsidRPr="00027624">
            <w:fldChar w:fldCharType="end"/>
          </w:r>
          <w:r w:rsidRPr="00027624">
            <w:t xml:space="preserve">). </w:t>
          </w:r>
        </w:p>
        <w:p w14:paraId="70A580AC" w14:textId="77777777" w:rsidR="00D178A4" w:rsidRPr="00027624" w:rsidRDefault="00D178A4" w:rsidP="00325A8D">
          <w:pPr>
            <w:pStyle w:val="ChartMainHeading"/>
            <w:numPr>
              <w:ilvl w:val="2"/>
              <w:numId w:val="20"/>
            </w:numPr>
          </w:pPr>
          <w:bookmarkStart w:id="380" w:name="_Ref38441610"/>
          <w:r w:rsidRPr="00027624">
            <w:t>Percentage of owner</w:t>
          </w:r>
          <w:r w:rsidR="00A8443E" w:rsidRPr="00027624">
            <w:noBreakHyphen/>
          </w:r>
          <w:r w:rsidRPr="00027624">
            <w:t>occupied households with mortgage debt, by age</w:t>
          </w:r>
          <w:bookmarkEnd w:id="380"/>
          <w:r w:rsidRPr="00027624">
            <w:t xml:space="preserve"> group</w:t>
          </w:r>
        </w:p>
        <w:p w14:paraId="184632D5" w14:textId="77777777" w:rsidR="00D178A4" w:rsidRPr="00027624" w:rsidRDefault="003E71B7" w:rsidP="00D178A4">
          <w:pPr>
            <w:pStyle w:val="ChartGraphic"/>
          </w:pPr>
          <w:r>
            <w:rPr>
              <w:noProof/>
            </w:rPr>
            <w:drawing>
              <wp:inline distT="0" distB="0" distL="0" distR="0" wp14:anchorId="4D2E46C0" wp14:editId="035D1BC1">
                <wp:extent cx="5577840" cy="2628900"/>
                <wp:effectExtent l="0" t="0" r="3810" b="0"/>
                <wp:docPr id="8" name="Picture 8" descr="This chart shows the proportion of owner-occupied households aged 55-64, and 65 and over with mortgage debt has increased between 1997-98 and 2017-18. The cohort aged 55-64 with mortgage debt has increased the fastest from around 20 per cent in 1997-98 to over 50 per cent in 2017-18. Whereas, the 65 and over cohort has increased but at a slower rate, from around 3 per cent to around 12 per cent over the same period." title="Chart 1D-16 Percentage of owner-occupied households with mortgage debt,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77840" cy="2628900"/>
                        </a:xfrm>
                        <a:prstGeom prst="rect">
                          <a:avLst/>
                        </a:prstGeom>
                        <a:noFill/>
                      </pic:spPr>
                    </pic:pic>
                  </a:graphicData>
                </a:graphic>
              </wp:inline>
            </w:drawing>
          </w:r>
        </w:p>
        <w:p w14:paraId="5818E208" w14:textId="77777777" w:rsidR="00D178A4" w:rsidRPr="00027624" w:rsidRDefault="00D178A4" w:rsidP="00D178A4">
          <w:pPr>
            <w:pStyle w:val="ChartorTableNote"/>
          </w:pPr>
          <w:r w:rsidRPr="00027624">
            <w:t>Note: Age refers to age of household reference person. Series was conducted continuously by the ABS from 1994</w:t>
          </w:r>
          <w:r w:rsidR="00A8443E" w:rsidRPr="00027624">
            <w:noBreakHyphen/>
          </w:r>
          <w:r w:rsidRPr="00027624">
            <w:t>95 to 1997</w:t>
          </w:r>
          <w:r w:rsidR="00A8443E" w:rsidRPr="00027624">
            <w:noBreakHyphen/>
          </w:r>
          <w:r w:rsidRPr="00027624">
            <w:t>98, and then in 1999</w:t>
          </w:r>
          <w:r w:rsidR="00A8443E" w:rsidRPr="00027624">
            <w:noBreakHyphen/>
          </w:r>
          <w:r w:rsidRPr="00027624">
            <w:t>2000, 2000</w:t>
          </w:r>
          <w:r w:rsidR="00A8443E" w:rsidRPr="00027624">
            <w:noBreakHyphen/>
          </w:r>
          <w:r w:rsidRPr="00027624">
            <w:t>01 and 2002</w:t>
          </w:r>
          <w:r w:rsidR="00A8443E" w:rsidRPr="00027624">
            <w:noBreakHyphen/>
          </w:r>
          <w:r w:rsidRPr="00027624">
            <w:t>03. From 2003</w:t>
          </w:r>
          <w:r w:rsidR="00A8443E" w:rsidRPr="00027624">
            <w:noBreakHyphen/>
          </w:r>
          <w:r w:rsidRPr="00027624">
            <w:t>04 the series has been conducted every two years. Source: Analysis of Housing Occupancy and Costs 1997</w:t>
          </w:r>
          <w:r w:rsidR="00A8443E" w:rsidRPr="00027624">
            <w:noBreakHyphen/>
          </w:r>
          <w:r w:rsidRPr="00027624">
            <w:t>98 to 2017</w:t>
          </w:r>
          <w:r w:rsidR="00A8443E" w:rsidRPr="00027624">
            <w:noBreakHyphen/>
          </w:r>
          <w:r w:rsidRPr="00027624">
            <w:t>2018</w:t>
          </w:r>
          <w:sdt>
            <w:sdtPr>
              <w:id w:val="1283843715"/>
              <w:citation/>
            </w:sdtPr>
            <w:sdtEndPr/>
            <w:sdtContent>
              <w:r w:rsidRPr="00027624">
                <w:fldChar w:fldCharType="begin"/>
              </w:r>
              <w:r w:rsidRPr="00027624">
                <w:instrText xml:space="preserve">CITATION ABS9i \l 3081 </w:instrText>
              </w:r>
              <w:r w:rsidRPr="00027624">
                <w:fldChar w:fldCharType="separate"/>
              </w:r>
              <w:r w:rsidR="00E83F6E">
                <w:rPr>
                  <w:noProof/>
                </w:rPr>
                <w:t xml:space="preserve"> (ABS, 2019n)</w:t>
              </w:r>
              <w:r w:rsidRPr="00027624">
                <w:fldChar w:fldCharType="end"/>
              </w:r>
            </w:sdtContent>
          </w:sdt>
          <w:r w:rsidRPr="00027624">
            <w:t>.</w:t>
          </w:r>
        </w:p>
        <w:p w14:paraId="4DA41FC7" w14:textId="77777777" w:rsidR="00D178A4" w:rsidRPr="00027624" w:rsidRDefault="00D178A4" w:rsidP="00D178A4">
          <w:r w:rsidRPr="00027624">
            <w:t xml:space="preserve">Indebtedness increases the likelihood of labour market participation </w:t>
          </w:r>
          <w:sdt>
            <w:sdtPr>
              <w:id w:val="1193655407"/>
              <w:citation/>
            </w:sdtPr>
            <w:sdtEndPr/>
            <w:sdtContent>
              <w:r w:rsidRPr="00027624">
                <w:fldChar w:fldCharType="begin"/>
              </w:r>
              <w:r w:rsidRPr="00027624">
                <w:instrText xml:space="preserve">CITATION RBA07 \t  \l 3081 </w:instrText>
              </w:r>
              <w:r w:rsidRPr="00027624">
                <w:fldChar w:fldCharType="separate"/>
              </w:r>
              <w:r w:rsidR="00E83F6E">
                <w:rPr>
                  <w:noProof/>
                </w:rPr>
                <w:t>(Belkar, et al., 2007)</w:t>
              </w:r>
              <w:r w:rsidRPr="00027624">
                <w:fldChar w:fldCharType="end"/>
              </w:r>
            </w:sdtContent>
          </w:sdt>
          <w:r w:rsidRPr="00027624">
            <w:t xml:space="preserve">, meaning households with mortgage debt at older ages are more likely to continue working. </w:t>
          </w:r>
        </w:p>
        <w:p w14:paraId="2C63EB16" w14:textId="77777777" w:rsidR="00D178A4" w:rsidRPr="00027624" w:rsidRDefault="00D178A4" w:rsidP="00D178A4">
          <w:pPr>
            <w:spacing w:before="0" w:after="0"/>
            <w:textAlignment w:val="baseline"/>
          </w:pPr>
          <w:r w:rsidRPr="00027624">
            <w:rPr>
              <w:rFonts w:cs="Calibri"/>
              <w:szCs w:val="22"/>
            </w:rPr>
            <w:t>Older owner</w:t>
          </w:r>
          <w:r w:rsidR="00A8443E" w:rsidRPr="00027624">
            <w:rPr>
              <w:rFonts w:cs="Calibri"/>
              <w:szCs w:val="22"/>
            </w:rPr>
            <w:noBreakHyphen/>
          </w:r>
          <w:r w:rsidRPr="00027624">
            <w:rPr>
              <w:rFonts w:cs="Calibri"/>
              <w:szCs w:val="22"/>
            </w:rPr>
            <w:t xml:space="preserve">occupied households with mortgage debt are </w:t>
          </w:r>
          <w:r w:rsidRPr="00027624">
            <w:t xml:space="preserve">more vulnerable to negative economic and market shocks, especially if they retire. Declines in income or asset values could impede their ability to service mortgage repayments and push some households into financial hardship. The effects of wealth and debt on outcomes for retired households are explored further in </w:t>
          </w:r>
          <w:r w:rsidRPr="00027624">
            <w:rPr>
              <w:i/>
            </w:rPr>
            <w:t>2C. Maintaining standards of living in retirement.</w:t>
          </w:r>
        </w:p>
        <w:p w14:paraId="103E8403" w14:textId="77777777" w:rsidR="00D178A4" w:rsidRPr="00027624" w:rsidRDefault="00D178A4" w:rsidP="00D178A4">
          <w:pPr>
            <w:pStyle w:val="Heading2"/>
          </w:pPr>
          <w:bookmarkStart w:id="381" w:name="_Toc45520449"/>
          <w:bookmarkStart w:id="382" w:name="_Toc46133560"/>
          <w:bookmarkEnd w:id="369"/>
          <w:r w:rsidRPr="00027624">
            <w:t>Housing</w:t>
          </w:r>
          <w:bookmarkEnd w:id="381"/>
          <w:bookmarkEnd w:id="382"/>
        </w:p>
        <w:p w14:paraId="495B1279" w14:textId="77777777" w:rsidR="00D178A4" w:rsidRPr="00027624" w:rsidRDefault="00D178A4" w:rsidP="00D178A4">
          <w:r w:rsidRPr="00027624">
            <w:t>Housing status is a strong determinant of retirement outcomes. People who own their home outright have generally lower housing costs compared with renters, as well as a store of wealth that can be drawn on in retirement.</w:t>
          </w:r>
          <w:r w:rsidRPr="00027624" w:rsidDel="002A4434">
            <w:t xml:space="preserve"> </w:t>
          </w:r>
          <w:r w:rsidRPr="00027624">
            <w:t xml:space="preserve">People who rent may require incomes similar to working life to maintain living standards in retirement. This is further explored in </w:t>
          </w:r>
          <w:r w:rsidRPr="00027624">
            <w:rPr>
              <w:i/>
            </w:rPr>
            <w:t>2C. Maintaining standards of living in retirement</w:t>
          </w:r>
          <w:r w:rsidRPr="00027624">
            <w:t>.</w:t>
          </w:r>
        </w:p>
        <w:p w14:paraId="45E08C51" w14:textId="77777777" w:rsidR="00D178A4" w:rsidRPr="00027624" w:rsidRDefault="00D178A4" w:rsidP="00D178A4">
          <w:pPr>
            <w:pStyle w:val="Heading3"/>
          </w:pPr>
          <w:r w:rsidRPr="00027624">
            <w:t>Home ownership</w:t>
          </w:r>
        </w:p>
        <w:p w14:paraId="5273C987" w14:textId="77777777" w:rsidR="00D178A4" w:rsidRPr="00027624" w:rsidRDefault="00D178A4" w:rsidP="00D178A4">
          <w:r w:rsidRPr="00027624">
            <w:t>Over the past 40 years, increases in home values and delayed workforce entry have contributed to falling home ownership rates. These factors have particularly affected lower</w:t>
          </w:r>
          <w:r w:rsidR="00A8443E" w:rsidRPr="00027624">
            <w:noBreakHyphen/>
          </w:r>
          <w:r w:rsidRPr="00027624">
            <w:t>income and younger households.</w:t>
          </w:r>
        </w:p>
        <w:p w14:paraId="3F073289" w14:textId="62452D0B" w:rsidR="00D178A4" w:rsidRPr="00027624" w:rsidRDefault="00D178A4" w:rsidP="00D178A4">
          <w:r w:rsidRPr="00027624">
            <w:lastRenderedPageBreak/>
            <w:t xml:space="preserve">Overall, home ownership rates have declined slightly from 70 per cent in 1981 to 67 per cent in 2016 </w:t>
          </w:r>
          <w:sdt>
            <w:sdtPr>
              <w:id w:val="781779466"/>
              <w:citation/>
            </w:sdtPr>
            <w:sdtEndPr/>
            <w:sdtContent>
              <w:r w:rsidRPr="00027624">
                <w:fldChar w:fldCharType="begin"/>
              </w:r>
              <w:r w:rsidRPr="00027624">
                <w:instrText>CITATION ABS07 \p 13 \t  \l 3081  \m ABS3</w:instrText>
              </w:r>
              <w:r w:rsidRPr="00027624">
                <w:fldChar w:fldCharType="separate"/>
              </w:r>
              <w:r w:rsidR="00E83F6E">
                <w:rPr>
                  <w:noProof/>
                </w:rPr>
                <w:t>(ABS, 2007, p. 13; ABS, 2016a)</w:t>
              </w:r>
              <w:r w:rsidRPr="00027624">
                <w:fldChar w:fldCharType="end"/>
              </w:r>
            </w:sdtContent>
          </w:sdt>
          <w:r w:rsidRPr="00027624">
            <w:t>.</w:t>
          </w:r>
          <w:r w:rsidRPr="00027624">
            <w:rPr>
              <w:rStyle w:val="FootnoteReference"/>
            </w:rPr>
            <w:footnoteReference w:id="69"/>
          </w:r>
          <w:r w:rsidRPr="00027624">
            <w:t xml:space="preserve"> Among people aged 55 and over, rates of home ownership have been consistently high. Home ownership has fallen among younger age groups (</w:t>
          </w:r>
          <w:r w:rsidRPr="00027624">
            <w:fldChar w:fldCharType="begin"/>
          </w:r>
          <w:r w:rsidRPr="00027624">
            <w:instrText xml:space="preserve"> REF _Ref37943218 \r \h  \* MERGEFORMAT </w:instrText>
          </w:r>
          <w:r w:rsidRPr="00027624">
            <w:fldChar w:fldCharType="separate"/>
          </w:r>
          <w:r w:rsidR="00891058">
            <w:t>Chart 1D-17</w:t>
          </w:r>
          <w:r w:rsidRPr="00027624">
            <w:fldChar w:fldCharType="end"/>
          </w:r>
          <w:r w:rsidRPr="00027624">
            <w:t>).</w:t>
          </w:r>
        </w:p>
        <w:p w14:paraId="122A7A3A" w14:textId="77777777" w:rsidR="00D178A4" w:rsidRPr="00027624" w:rsidRDefault="00D178A4" w:rsidP="00325A8D">
          <w:pPr>
            <w:pStyle w:val="ChartMainHeading"/>
            <w:numPr>
              <w:ilvl w:val="2"/>
              <w:numId w:val="20"/>
            </w:numPr>
          </w:pPr>
          <w:bookmarkStart w:id="383" w:name="_Ref37943218"/>
          <w:r w:rsidRPr="00027624">
            <w:t>Home ownership rates, by age</w:t>
          </w:r>
          <w:bookmarkEnd w:id="383"/>
          <w:r w:rsidRPr="00027624">
            <w:t xml:space="preserve"> group</w:t>
          </w:r>
        </w:p>
        <w:p w14:paraId="029FCF5A" w14:textId="77777777" w:rsidR="00D178A4" w:rsidRPr="00027624" w:rsidRDefault="00A55740" w:rsidP="00D178A4">
          <w:pPr>
            <w:pStyle w:val="ChartGraphic"/>
          </w:pPr>
          <w:r>
            <w:rPr>
              <w:noProof/>
            </w:rPr>
            <w:drawing>
              <wp:inline distT="0" distB="0" distL="0" distR="0" wp14:anchorId="25FE7316" wp14:editId="2D91E0C5">
                <wp:extent cx="5585460" cy="2522220"/>
                <wp:effectExtent l="0" t="0" r="0" b="0"/>
                <wp:docPr id="983014691" name="Picture 983014691" descr="This chart shows home ownership rates for ages 25-64 have declined between 1981 and 2016. The largest decline has been for younger cohorts aged 25-44. Home ownership for those aged 65 and over has fluctuated over this period around 80 per cent." title="Chart 1D-17 Home ownership rates,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47E25FB9" w14:textId="77777777" w:rsidR="00D178A4" w:rsidRPr="00027624" w:rsidRDefault="00D178A4" w:rsidP="00D178A4">
          <w:pPr>
            <w:pStyle w:val="ChartorTableNote"/>
          </w:pPr>
          <w:r w:rsidRPr="00027624">
            <w:t>Note: Per cent of occupied private dwellings. Age refers to age of household reference person. Excludes households with tenure type not stated. Source:</w:t>
          </w:r>
          <w:sdt>
            <w:sdtPr>
              <w:id w:val="518972047"/>
              <w:citation/>
            </w:sdtPr>
            <w:sdtEndPr/>
            <w:sdtContent>
              <w:r w:rsidRPr="00027624">
                <w:fldChar w:fldCharType="begin"/>
              </w:r>
              <w:r w:rsidRPr="00027624">
                <w:instrText xml:space="preserve">CITATION Dal18f \l 3081 </w:instrText>
              </w:r>
              <w:r w:rsidRPr="00027624">
                <w:fldChar w:fldCharType="separate"/>
              </w:r>
              <w:r w:rsidR="00E83F6E">
                <w:rPr>
                  <w:noProof/>
                </w:rPr>
                <w:t xml:space="preserve"> (Daley, et al., 2018a)</w:t>
              </w:r>
              <w:r w:rsidRPr="00027624">
                <w:fldChar w:fldCharType="end"/>
              </w:r>
            </w:sdtContent>
          </w:sdt>
          <w:r w:rsidRPr="00027624">
            <w:t>.</w:t>
          </w:r>
        </w:p>
        <w:p w14:paraId="527F269B" w14:textId="69353D77" w:rsidR="00D178A4" w:rsidRPr="00027624" w:rsidRDefault="00D178A4" w:rsidP="00D178A4">
          <w:r w:rsidRPr="00027624">
            <w:t>Since 1981, ownership rates for lower</w:t>
          </w:r>
          <w:r w:rsidR="00A8443E" w:rsidRPr="00027624">
            <w:noBreakHyphen/>
          </w:r>
          <w:r w:rsidRPr="00027624">
            <w:t xml:space="preserve"> to middle</w:t>
          </w:r>
          <w:r w:rsidR="00A8443E" w:rsidRPr="00027624">
            <w:noBreakHyphen/>
          </w:r>
          <w:r w:rsidRPr="00027624">
            <w:t>income households have fallen more for those aged under 65 than for those aged 65 and over (</w:t>
          </w:r>
          <w:r w:rsidRPr="00027624">
            <w:fldChar w:fldCharType="begin"/>
          </w:r>
          <w:r w:rsidRPr="00027624">
            <w:instrText xml:space="preserve"> REF _Ref37942925 \r \h  \* MERGEFORMAT </w:instrText>
          </w:r>
          <w:r w:rsidRPr="00027624">
            <w:fldChar w:fldCharType="separate"/>
          </w:r>
          <w:r w:rsidR="00891058">
            <w:t>Chart 1D-18</w:t>
          </w:r>
          <w:r w:rsidRPr="00027624">
            <w:fldChar w:fldCharType="end"/>
          </w:r>
          <w:r w:rsidRPr="00027624">
            <w:t>). In comparison, higher</w:t>
          </w:r>
          <w:r w:rsidR="00A8443E" w:rsidRPr="00027624">
            <w:noBreakHyphen/>
          </w:r>
          <w:r w:rsidRPr="00027624">
            <w:t xml:space="preserve">income households have been relatively stable. </w:t>
          </w:r>
        </w:p>
        <w:p w14:paraId="72F8F673" w14:textId="77777777" w:rsidR="00D178A4" w:rsidRPr="00027624" w:rsidRDefault="00D178A4" w:rsidP="00325A8D">
          <w:pPr>
            <w:pStyle w:val="ChartMainHeading"/>
            <w:numPr>
              <w:ilvl w:val="2"/>
              <w:numId w:val="20"/>
            </w:numPr>
          </w:pPr>
          <w:bookmarkStart w:id="384" w:name="_Ref37942925"/>
          <w:r w:rsidRPr="00027624">
            <w:t xml:space="preserve">Change in home ownership rates from 1981 to 2016, by age group </w:t>
          </w:r>
          <w:r w:rsidR="001A79F4">
            <w:br/>
          </w:r>
          <w:r w:rsidRPr="00027624">
            <w:t>and equivalised income</w:t>
          </w:r>
          <w:bookmarkEnd w:id="384"/>
          <w:r w:rsidRPr="00027624">
            <w:t xml:space="preserve"> quintile</w:t>
          </w:r>
        </w:p>
        <w:tbl>
          <w:tblPr>
            <w:tblStyle w:val="TableGrid"/>
            <w:tblW w:w="0" w:type="auto"/>
            <w:tblLook w:val="04A0" w:firstRow="1" w:lastRow="0" w:firstColumn="1" w:lastColumn="0" w:noHBand="0" w:noVBand="1"/>
          </w:tblPr>
          <w:tblGrid>
            <w:gridCol w:w="566"/>
            <w:gridCol w:w="1586"/>
            <w:gridCol w:w="1588"/>
            <w:gridCol w:w="1587"/>
            <w:gridCol w:w="1588"/>
            <w:gridCol w:w="1588"/>
            <w:gridCol w:w="567"/>
          </w:tblGrid>
          <w:tr w:rsidR="00D178A4" w:rsidRPr="00027624" w14:paraId="168FE579" w14:textId="77777777" w:rsidTr="00D178A4">
            <w:tc>
              <w:tcPr>
                <w:tcW w:w="567" w:type="dxa"/>
                <w:shd w:val="clear" w:color="auto" w:fill="auto"/>
              </w:tcPr>
              <w:p w14:paraId="54139A6E" w14:textId="77777777" w:rsidR="00D178A4" w:rsidRPr="00027624" w:rsidRDefault="00D178A4" w:rsidP="00D178A4">
                <w:pPr>
                  <w:pStyle w:val="ChartSecondHeading"/>
                </w:pPr>
              </w:p>
            </w:tc>
            <w:tc>
              <w:tcPr>
                <w:tcW w:w="1587" w:type="dxa"/>
                <w:shd w:val="clear" w:color="auto" w:fill="auto"/>
              </w:tcPr>
              <w:p w14:paraId="0F184328" w14:textId="77777777" w:rsidR="00D178A4" w:rsidRPr="00027624" w:rsidRDefault="00D178A4" w:rsidP="00D178A4">
                <w:pPr>
                  <w:pStyle w:val="ChartSecondHeading"/>
                </w:pPr>
                <w:r w:rsidRPr="00027624">
                  <w:t>25</w:t>
                </w:r>
                <w:r w:rsidR="00A8443E" w:rsidRPr="00027624">
                  <w:noBreakHyphen/>
                </w:r>
                <w:r w:rsidRPr="00027624">
                  <w:t>34</w:t>
                </w:r>
              </w:p>
            </w:tc>
            <w:tc>
              <w:tcPr>
                <w:tcW w:w="1588" w:type="dxa"/>
                <w:shd w:val="clear" w:color="auto" w:fill="auto"/>
              </w:tcPr>
              <w:p w14:paraId="30D51D2A" w14:textId="77777777" w:rsidR="00D178A4" w:rsidRPr="00027624" w:rsidRDefault="00D178A4" w:rsidP="00D178A4">
                <w:pPr>
                  <w:pStyle w:val="ChartSecondHeading"/>
                </w:pPr>
                <w:r w:rsidRPr="00027624">
                  <w:t>35</w:t>
                </w:r>
                <w:r w:rsidR="00A8443E" w:rsidRPr="00027624">
                  <w:noBreakHyphen/>
                </w:r>
                <w:r w:rsidRPr="00027624">
                  <w:t>44</w:t>
                </w:r>
              </w:p>
            </w:tc>
            <w:tc>
              <w:tcPr>
                <w:tcW w:w="1587" w:type="dxa"/>
                <w:shd w:val="clear" w:color="auto" w:fill="auto"/>
              </w:tcPr>
              <w:p w14:paraId="7ACCA09B" w14:textId="77777777" w:rsidR="00D178A4" w:rsidRPr="00027624" w:rsidRDefault="00D178A4" w:rsidP="00D178A4">
                <w:pPr>
                  <w:pStyle w:val="ChartSecondHeading"/>
                </w:pPr>
                <w:r w:rsidRPr="00027624">
                  <w:t>45</w:t>
                </w:r>
                <w:r w:rsidR="00A8443E" w:rsidRPr="00027624">
                  <w:noBreakHyphen/>
                </w:r>
                <w:r w:rsidRPr="00027624">
                  <w:t>54</w:t>
                </w:r>
              </w:p>
            </w:tc>
            <w:tc>
              <w:tcPr>
                <w:tcW w:w="1588" w:type="dxa"/>
                <w:shd w:val="clear" w:color="auto" w:fill="auto"/>
              </w:tcPr>
              <w:p w14:paraId="173A5E09" w14:textId="77777777" w:rsidR="00D178A4" w:rsidRPr="00027624" w:rsidRDefault="00D178A4" w:rsidP="00D178A4">
                <w:pPr>
                  <w:pStyle w:val="ChartSecondHeading"/>
                </w:pPr>
                <w:r w:rsidRPr="00027624">
                  <w:t>55</w:t>
                </w:r>
                <w:r w:rsidR="00A8443E" w:rsidRPr="00027624">
                  <w:noBreakHyphen/>
                </w:r>
                <w:r w:rsidRPr="00027624">
                  <w:t>64</w:t>
                </w:r>
              </w:p>
            </w:tc>
            <w:tc>
              <w:tcPr>
                <w:tcW w:w="1588" w:type="dxa"/>
                <w:shd w:val="clear" w:color="auto" w:fill="auto"/>
              </w:tcPr>
              <w:p w14:paraId="35363F56" w14:textId="77777777" w:rsidR="00D178A4" w:rsidRPr="00027624" w:rsidRDefault="00D178A4" w:rsidP="00D178A4">
                <w:pPr>
                  <w:pStyle w:val="ChartSecondHeading"/>
                </w:pPr>
                <w:r w:rsidRPr="00027624">
                  <w:t>65 and older</w:t>
                </w:r>
              </w:p>
            </w:tc>
            <w:tc>
              <w:tcPr>
                <w:tcW w:w="567" w:type="dxa"/>
                <w:shd w:val="clear" w:color="auto" w:fill="auto"/>
              </w:tcPr>
              <w:p w14:paraId="7D288554" w14:textId="77777777" w:rsidR="00D178A4" w:rsidRPr="00027624" w:rsidRDefault="00D178A4" w:rsidP="00D178A4">
                <w:pPr>
                  <w:pStyle w:val="ChartSecondHeading"/>
                </w:pPr>
              </w:p>
            </w:tc>
          </w:tr>
        </w:tbl>
        <w:p w14:paraId="29631379" w14:textId="77777777" w:rsidR="00D178A4" w:rsidRPr="00027624" w:rsidRDefault="00A55740" w:rsidP="00D178A4">
          <w:pPr>
            <w:pStyle w:val="ChartGraphic"/>
          </w:pPr>
          <w:r>
            <w:rPr>
              <w:noProof/>
            </w:rPr>
            <w:drawing>
              <wp:inline distT="0" distB="0" distL="0" distR="0" wp14:anchorId="5068ADDF" wp14:editId="5AE328B7">
                <wp:extent cx="5577840" cy="2522220"/>
                <wp:effectExtent l="0" t="0" r="3810" b="0"/>
                <wp:docPr id="983014693" name="Picture 983014693" descr="This chart shows that home ownership rates from 1981 to 2016 have declined the most for younger age cohorts and for lower income quintiles." title="Chart 1D-18 Change in home ownership rates from 1981 to 2016, by age group and equivalised income qui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8EECB7E" w14:textId="77777777" w:rsidR="00D178A4" w:rsidRPr="00027624" w:rsidRDefault="00D178A4" w:rsidP="00D178A4">
          <w:pPr>
            <w:pStyle w:val="ChartorTableNote"/>
          </w:pPr>
          <w:r w:rsidRPr="00027624">
            <w:t xml:space="preserve">Note: Age refers to age of household reference person. Equivalised means that income quintiles are adjusted for household size. Source: Analysis of </w:t>
          </w:r>
          <w:sdt>
            <w:sdtPr>
              <w:id w:val="512657371"/>
              <w:citation/>
            </w:sdtPr>
            <w:sdtEndPr/>
            <w:sdtContent>
              <w:r w:rsidRPr="00027624">
                <w:fldChar w:fldCharType="begin"/>
              </w:r>
              <w:r w:rsidRPr="00027624">
                <w:instrText xml:space="preserve">CITATION ABS81 \l 3081 </w:instrText>
              </w:r>
              <w:r w:rsidRPr="00027624">
                <w:fldChar w:fldCharType="separate"/>
              </w:r>
              <w:r w:rsidR="00E83F6E">
                <w:rPr>
                  <w:noProof/>
                </w:rPr>
                <w:t>(ABS, 1983)</w:t>
              </w:r>
              <w:r w:rsidRPr="00027624">
                <w:fldChar w:fldCharType="end"/>
              </w:r>
            </w:sdtContent>
          </w:sdt>
          <w:r w:rsidRPr="00027624">
            <w:t xml:space="preserve"> and </w:t>
          </w:r>
          <w:sdt>
            <w:sdtPr>
              <w:id w:val="-1864975708"/>
              <w:citation/>
            </w:sdtPr>
            <w:sdtEndPr/>
            <w:sdtContent>
              <w:r w:rsidRPr="00027624">
                <w:fldChar w:fldCharType="begin"/>
              </w:r>
              <w:r w:rsidRPr="00027624">
                <w:instrText xml:space="preserve"> CITATION ABS3 \l 3081 </w:instrText>
              </w:r>
              <w:r w:rsidRPr="00027624">
                <w:fldChar w:fldCharType="separate"/>
              </w:r>
              <w:r w:rsidR="00E83F6E">
                <w:rPr>
                  <w:noProof/>
                </w:rPr>
                <w:t>(ABS, 2016a)</w:t>
              </w:r>
              <w:r w:rsidRPr="00027624">
                <w:fldChar w:fldCharType="end"/>
              </w:r>
            </w:sdtContent>
          </w:sdt>
          <w:r w:rsidRPr="00027624">
            <w:t>, based on previous analysis by</w:t>
          </w:r>
          <w:sdt>
            <w:sdtPr>
              <w:id w:val="443342597"/>
              <w:citation/>
            </w:sdtPr>
            <w:sdtEndPr/>
            <w:sdtContent>
              <w:r w:rsidRPr="00027624">
                <w:fldChar w:fldCharType="begin"/>
              </w:r>
              <w:r w:rsidRPr="00027624">
                <w:instrText xml:space="preserve">CITATION Dal18f \l 3081 </w:instrText>
              </w:r>
              <w:r w:rsidRPr="00027624">
                <w:fldChar w:fldCharType="separate"/>
              </w:r>
              <w:r w:rsidR="00E83F6E">
                <w:rPr>
                  <w:noProof/>
                </w:rPr>
                <w:t xml:space="preserve"> (Daley, et al., 2018a)</w:t>
              </w:r>
              <w:r w:rsidRPr="00027624">
                <w:fldChar w:fldCharType="end"/>
              </w:r>
            </w:sdtContent>
          </w:sdt>
          <w:r w:rsidRPr="00027624">
            <w:t>.</w:t>
          </w:r>
        </w:p>
        <w:p w14:paraId="5C018600" w14:textId="7215B8E7" w:rsidR="00D178A4" w:rsidRPr="00027624" w:rsidRDefault="00D178A4" w:rsidP="00D178A4">
          <w:r w:rsidRPr="00027624">
            <w:t xml:space="preserve">The median age of people buying their first home increased from 24 in 1981, to 33 in 2016 </w:t>
          </w:r>
          <w:sdt>
            <w:sdtPr>
              <w:id w:val="-189763541"/>
              <w:citation/>
            </w:sdtPr>
            <w:sdtEndPr/>
            <w:sdtContent>
              <w:r w:rsidRPr="00027624">
                <w:fldChar w:fldCharType="begin"/>
              </w:r>
              <w:r w:rsidRPr="00027624">
                <w:instrText xml:space="preserve">CITATION CEP19 \p 9 \l 3081 </w:instrText>
              </w:r>
              <w:r w:rsidRPr="00027624">
                <w:fldChar w:fldCharType="separate"/>
              </w:r>
              <w:r w:rsidR="00E83F6E">
                <w:rPr>
                  <w:noProof/>
                </w:rPr>
                <w:t>(CEPAR, 2019, p. 9)</w:t>
              </w:r>
              <w:r w:rsidRPr="00027624">
                <w:fldChar w:fldCharType="end"/>
              </w:r>
            </w:sdtContent>
          </w:sdt>
          <w:r w:rsidRPr="00027624">
            <w:t xml:space="preserve">. Deferred workforce entry for younger generations delays their ability to start earning and </w:t>
          </w:r>
          <w:r w:rsidRPr="00027624">
            <w:lastRenderedPageBreak/>
            <w:t>save a deposit for a house. Increasing home values means younger generations not only start saving later in life, but also need to save more and contribute more of their incomes. Delays in household and family formation may also delay some people</w:t>
          </w:r>
          <w:r w:rsidR="00A8443E" w:rsidRPr="00027624">
            <w:t>’</w:t>
          </w:r>
          <w:r w:rsidRPr="00027624">
            <w:t>s home ownership intentions. While declines in home ownership among younger people may lead to lower rates of home ownership at retirement in future, the extent of this impact is not clear (</w:t>
          </w:r>
          <w:r w:rsidRPr="00027624">
            <w:fldChar w:fldCharType="begin"/>
          </w:r>
          <w:r w:rsidRPr="00027624">
            <w:instrText xml:space="preserve"> REF _Ref42261951 \r \h  \* MERGEFORMAT </w:instrText>
          </w:r>
          <w:r w:rsidRPr="00027624">
            <w:fldChar w:fldCharType="separate"/>
          </w:r>
          <w:r w:rsidR="00891058">
            <w:t>Box 1D-4</w:t>
          </w:r>
          <w:r w:rsidRPr="00027624">
            <w:fldChar w:fldCharType="end"/>
          </w:r>
          <w:r w:rsidRPr="00027624">
            <w:t xml:space="preserve">). </w:t>
          </w:r>
        </w:p>
        <w:p w14:paraId="417E970D" w14:textId="77777777" w:rsidR="00D178A4" w:rsidRPr="00027624" w:rsidRDefault="00D178A4" w:rsidP="00D178A4">
          <w:r w:rsidRPr="00027624">
            <w:t xml:space="preserve">Home ownership is further explored in </w:t>
          </w:r>
          <w:r w:rsidRPr="00027624">
            <w:rPr>
              <w:i/>
            </w:rPr>
            <w:t>3C. Home ownership status</w:t>
          </w:r>
          <w:r w:rsidRPr="00027624">
            <w:t xml:space="preserve">. </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D178A4" w:rsidRPr="00027624" w14:paraId="5FB45B98" w14:textId="77777777" w:rsidTr="00D178A4">
            <w:tc>
              <w:tcPr>
                <w:tcW w:w="5000" w:type="pct"/>
                <w:shd w:val="clear" w:color="auto" w:fill="FFF8EA"/>
              </w:tcPr>
              <w:p w14:paraId="30759A87" w14:textId="77777777" w:rsidR="00D178A4" w:rsidRPr="00027624" w:rsidRDefault="00D178A4" w:rsidP="00325A8D">
                <w:pPr>
                  <w:pStyle w:val="BoxHeading"/>
                  <w:numPr>
                    <w:ilvl w:val="5"/>
                    <w:numId w:val="20"/>
                  </w:numPr>
                </w:pPr>
                <w:bookmarkStart w:id="385" w:name="_Ref42261951"/>
                <w:r w:rsidRPr="00027624">
                  <w:t>Future of home ownership at retirement</w:t>
                </w:r>
                <w:bookmarkEnd w:id="385"/>
              </w:p>
              <w:p w14:paraId="2AB5E77D" w14:textId="6EC60B74" w:rsidR="00D178A4" w:rsidRPr="00027624" w:rsidRDefault="00D178A4" w:rsidP="00D178A4">
                <w:pPr>
                  <w:pStyle w:val="BoxText"/>
                </w:pPr>
                <w:r w:rsidRPr="00027624">
                  <w:t>Submissions highlighted the drop in home ownership rates among younger generations (</w:t>
                </w:r>
                <w:r w:rsidRPr="00027624">
                  <w:fldChar w:fldCharType="begin"/>
                </w:r>
                <w:r w:rsidRPr="00027624">
                  <w:instrText xml:space="preserve"> REF _Ref37943218 \r \h  \* MERGEFORMAT </w:instrText>
                </w:r>
                <w:r w:rsidRPr="00027624">
                  <w:fldChar w:fldCharType="separate"/>
                </w:r>
                <w:r w:rsidR="00891058">
                  <w:t>Chart 1D-17</w:t>
                </w:r>
                <w:r w:rsidRPr="00027624">
                  <w:fldChar w:fldCharType="end"/>
                </w:r>
                <w:r w:rsidRPr="00027624">
                  <w:t>), and raised concerns about potential future declines in home ownership among retirees. It is debatable, however, how much falls in home ownership rates at younger ages will flow through to future retirees.</w:t>
                </w:r>
              </w:p>
              <w:p w14:paraId="1F7E73F7" w14:textId="77777777" w:rsidR="00D178A4" w:rsidRPr="00027624" w:rsidRDefault="00A8443E" w:rsidP="00D178A4">
                <w:pPr>
                  <w:pStyle w:val="BoxBullet"/>
                  <w:rPr>
                    <w:bCs/>
                  </w:rPr>
                </w:pPr>
                <w:r w:rsidRPr="00027624">
                  <w:rPr>
                    <w:b/>
                    <w:bCs/>
                  </w:rPr>
                  <w:t>‘</w:t>
                </w:r>
                <w:r w:rsidR="00D178A4" w:rsidRPr="00027624">
                  <w:rPr>
                    <w:b/>
                    <w:bCs/>
                  </w:rPr>
                  <w:t>Catch up</w:t>
                </w:r>
                <w:r w:rsidRPr="00027624">
                  <w:rPr>
                    <w:b/>
                    <w:bCs/>
                  </w:rPr>
                  <w:t>’</w:t>
                </w:r>
                <w:r w:rsidR="00D178A4" w:rsidRPr="00027624">
                  <w:rPr>
                    <w:b/>
                    <w:bCs/>
                  </w:rPr>
                  <w:t xml:space="preserve"> at older ages.</w:t>
                </w:r>
                <w:r w:rsidR="00D178A4" w:rsidRPr="00027624" w:rsidDel="009F18BD">
                  <w:rPr>
                    <w:bCs/>
                  </w:rPr>
                  <w:t xml:space="preserve"> </w:t>
                </w:r>
                <w:r w:rsidR="00D178A4" w:rsidRPr="00027624">
                  <w:rPr>
                    <w:bCs/>
                  </w:rPr>
                  <w:t xml:space="preserve">Current falls in home ownership rates in younger age cohorts may be less pronounced if these cohorts </w:t>
                </w:r>
                <w:r w:rsidRPr="00027624">
                  <w:rPr>
                    <w:bCs/>
                  </w:rPr>
                  <w:t>‘</w:t>
                </w:r>
                <w:r w:rsidR="00D178A4" w:rsidRPr="00027624">
                  <w:rPr>
                    <w:bCs/>
                  </w:rPr>
                  <w:t>catch up</w:t>
                </w:r>
                <w:r w:rsidRPr="00027624">
                  <w:rPr>
                    <w:bCs/>
                  </w:rPr>
                  <w:t>’</w:t>
                </w:r>
                <w:r w:rsidR="00D178A4" w:rsidRPr="00027624">
                  <w:rPr>
                    <w:bCs/>
                  </w:rPr>
                  <w:t xml:space="preserve"> and achieve home ownership similar to current retirees.</w:t>
                </w:r>
                <w:r w:rsidR="00D178A4" w:rsidRPr="00027624">
                  <w:t xml:space="preserve"> </w:t>
                </w:r>
                <w:r w:rsidR="00D178A4" w:rsidRPr="00027624">
                  <w:rPr>
                    <w:bCs/>
                  </w:rPr>
                  <w:t xml:space="preserve">However, evidence of </w:t>
                </w:r>
                <w:r w:rsidR="00D178A4" w:rsidRPr="00027624">
                  <w:t>such</w:t>
                </w:r>
                <w:r w:rsidR="00D178A4" w:rsidRPr="00027624">
                  <w:rPr>
                    <w:bCs/>
                  </w:rPr>
                  <w:t xml:space="preserve"> a catch up is mixed. One study suggested delayed home ownership was correlated with people marrying later in life </w:t>
                </w:r>
                <w:sdt>
                  <w:sdtPr>
                    <w:id w:val="-1742942683"/>
                    <w:citation/>
                  </w:sdtPr>
                  <w:sdtEndPr/>
                  <w:sdtContent>
                    <w:r w:rsidR="00D178A4" w:rsidRPr="00027624">
                      <w:fldChar w:fldCharType="begin"/>
                    </w:r>
                    <w:r w:rsidR="00D178A4" w:rsidRPr="00027624">
                      <w:instrText xml:space="preserve">CITATION Bax05 \l 3081 </w:instrText>
                    </w:r>
                    <w:r w:rsidR="00D178A4" w:rsidRPr="00027624">
                      <w:fldChar w:fldCharType="separate"/>
                    </w:r>
                    <w:r w:rsidR="00E83F6E">
                      <w:rPr>
                        <w:noProof/>
                      </w:rPr>
                      <w:t>(Baxter &amp; McDonald, 2005)</w:t>
                    </w:r>
                    <w:r w:rsidR="00D178A4" w:rsidRPr="00027624">
                      <w:fldChar w:fldCharType="end"/>
                    </w:r>
                  </w:sdtContent>
                </w:sdt>
                <w:r w:rsidR="00D178A4" w:rsidRPr="00027624">
                  <w:rPr>
                    <w:bCs/>
                  </w:rPr>
                  <w:t xml:space="preserve">. Conversely, a later study found that falls in home ownership rates among younger generations were driven by affordability and that significant catch up was unlikely </w:t>
                </w:r>
                <w:sdt>
                  <w:sdtPr>
                    <w:id w:val="1575707864"/>
                    <w:citation/>
                  </w:sdtPr>
                  <w:sdtEndPr/>
                  <w:sdtContent>
                    <w:r w:rsidR="00D178A4" w:rsidRPr="00027624">
                      <w:fldChar w:fldCharType="begin"/>
                    </w:r>
                    <w:r w:rsidR="00D178A4" w:rsidRPr="00027624">
                      <w:instrText xml:space="preserve"> CITATION Ste15 \l 3081 </w:instrText>
                    </w:r>
                    <w:r w:rsidR="00D178A4" w:rsidRPr="00027624">
                      <w:fldChar w:fldCharType="separate"/>
                    </w:r>
                    <w:r w:rsidR="00E83F6E">
                      <w:rPr>
                        <w:noProof/>
                      </w:rPr>
                      <w:t>(Stebbing &amp; Spies-Butcher, 2015)</w:t>
                    </w:r>
                    <w:r w:rsidR="00D178A4" w:rsidRPr="00027624">
                      <w:fldChar w:fldCharType="end"/>
                    </w:r>
                  </w:sdtContent>
                </w:sdt>
                <w:r w:rsidR="00D178A4" w:rsidRPr="00027624">
                  <w:rPr>
                    <w:bCs/>
                  </w:rPr>
                  <w:t>.</w:t>
                </w:r>
              </w:p>
              <w:p w14:paraId="51337E21" w14:textId="77777777" w:rsidR="00D178A4" w:rsidRPr="00027624" w:rsidRDefault="00D178A4" w:rsidP="00D178A4">
                <w:pPr>
                  <w:pStyle w:val="BoxBullet"/>
                  <w:rPr>
                    <w:bCs/>
                  </w:rPr>
                </w:pPr>
                <w:r w:rsidRPr="00027624">
                  <w:rPr>
                    <w:b/>
                    <w:bCs/>
                  </w:rPr>
                  <w:t>Effects of temporary migration.</w:t>
                </w:r>
                <w:r w:rsidRPr="00027624">
                  <w:rPr>
                    <w:bCs/>
                  </w:rPr>
                  <w:t xml:space="preserve"> Sustained net arrivals of migrants on temporary visas</w:t>
                </w:r>
                <w:r w:rsidRPr="00027624">
                  <w:rPr>
                    <w:rStyle w:val="FootnoteReference"/>
                    <w:bCs/>
                  </w:rPr>
                  <w:footnoteReference w:id="70"/>
                </w:r>
                <w:r w:rsidRPr="00027624">
                  <w:rPr>
                    <w:bCs/>
                  </w:rPr>
                  <w:t xml:space="preserve"> over the past decade has increased the number of migrants in Australia </w:t>
                </w:r>
                <w:sdt>
                  <w:sdtPr>
                    <w:id w:val="1164515341"/>
                    <w:citation/>
                  </w:sdtPr>
                  <w:sdtEndPr/>
                  <w:sdtContent>
                    <w:r w:rsidRPr="00027624">
                      <w:fldChar w:fldCharType="begin"/>
                    </w:r>
                    <w:r w:rsidRPr="00027624">
                      <w:instrText xml:space="preserve"> CITATION ABS195f \l 3081 </w:instrText>
                    </w:r>
                    <w:r w:rsidRPr="00027624">
                      <w:fldChar w:fldCharType="separate"/>
                    </w:r>
                    <w:r w:rsidR="00E83F6E">
                      <w:rPr>
                        <w:noProof/>
                      </w:rPr>
                      <w:t>(ABS, 2020m)</w:t>
                    </w:r>
                    <w:r w:rsidRPr="00027624">
                      <w:fldChar w:fldCharType="end"/>
                    </w:r>
                  </w:sdtContent>
                </w:sdt>
                <w:r w:rsidRPr="00027624">
                  <w:rPr>
                    <w:bCs/>
                  </w:rPr>
                  <w:t xml:space="preserve">. Their inclusion in the ABS Census </w:t>
                </w:r>
                <w:r w:rsidRPr="00027624">
                  <w:t>may lower</w:t>
                </w:r>
                <w:r w:rsidRPr="00027624">
                  <w:rPr>
                    <w:bCs/>
                  </w:rPr>
                  <w:t xml:space="preserve"> home ownership rates, particularly </w:t>
                </w:r>
                <w:r w:rsidRPr="00027624">
                  <w:t>among</w:t>
                </w:r>
                <w:r w:rsidRPr="00027624">
                  <w:rPr>
                    <w:bCs/>
                  </w:rPr>
                  <w:t xml:space="preserve"> younger people, as </w:t>
                </w:r>
                <w:r w:rsidRPr="00027624">
                  <w:t>temporary migrants are generally of working age and less likely to purchase homes</w:t>
                </w:r>
                <w:r w:rsidRPr="00027624">
                  <w:rPr>
                    <w:bCs/>
                  </w:rPr>
                  <w:t>. Excluding temporary migrants from the calculations increases the rate of home ownership for people aged 25</w:t>
                </w:r>
                <w:r w:rsidR="00A8443E" w:rsidRPr="00027624">
                  <w:rPr>
                    <w:bCs/>
                  </w:rPr>
                  <w:noBreakHyphen/>
                </w:r>
                <w:r w:rsidRPr="00027624">
                  <w:rPr>
                    <w:bCs/>
                  </w:rPr>
                  <w:t xml:space="preserve">34 by 6 percentage points in 2016. Nevertheless, even after this adjustment, the rate </w:t>
                </w:r>
                <w:r w:rsidRPr="00027624">
                  <w:rPr>
                    <w:bCs/>
                    <w:i/>
                  </w:rPr>
                  <w:t>fell</w:t>
                </w:r>
                <w:r w:rsidRPr="00027624">
                  <w:rPr>
                    <w:bCs/>
                  </w:rPr>
                  <w:t xml:space="preserve"> 7 percentage points between 2006 and 2016.</w:t>
                </w:r>
                <w:r w:rsidRPr="00027624">
                  <w:rPr>
                    <w:rStyle w:val="FootnoteReference"/>
                    <w:bCs/>
                  </w:rPr>
                  <w:footnoteReference w:id="71"/>
                </w:r>
              </w:p>
              <w:p w14:paraId="3F7AA90E" w14:textId="77777777" w:rsidR="00D178A4" w:rsidRPr="00027624" w:rsidRDefault="00D178A4" w:rsidP="001023AA">
                <w:pPr>
                  <w:pStyle w:val="BoxBullet"/>
                  <w:rPr>
                    <w:bCs/>
                  </w:rPr>
                </w:pPr>
                <w:r w:rsidRPr="00027624">
                  <w:rPr>
                    <w:b/>
                    <w:bCs/>
                  </w:rPr>
                  <w:t>Renters who own other residential property.</w:t>
                </w:r>
                <w:r w:rsidRPr="00027624">
                  <w:rPr>
                    <w:bCs/>
                  </w:rPr>
                  <w:t xml:space="preserve"> A significant number of residential property owners choose to rent another property</w:t>
                </w:r>
                <w:r w:rsidRPr="00027624">
                  <w:t>.</w:t>
                </w:r>
                <w:r w:rsidRPr="00027624" w:rsidDel="008F645A">
                  <w:rPr>
                    <w:bCs/>
                  </w:rPr>
                  <w:t xml:space="preserve"> </w:t>
                </w:r>
                <w:r w:rsidRPr="00027624">
                  <w:rPr>
                    <w:bCs/>
                  </w:rPr>
                  <w:t>In 2017</w:t>
                </w:r>
                <w:r w:rsidR="00A8443E" w:rsidRPr="00027624">
                  <w:rPr>
                    <w:bCs/>
                  </w:rPr>
                  <w:noBreakHyphen/>
                </w:r>
                <w:r w:rsidRPr="00027624">
                  <w:rPr>
                    <w:bCs/>
                  </w:rPr>
                  <w:t xml:space="preserve">18, 12 per cent of households </w:t>
                </w:r>
                <w:r w:rsidR="001023AA" w:rsidRPr="00027624">
                  <w:rPr>
                    <w:bCs/>
                  </w:rPr>
                  <w:t>that</w:t>
                </w:r>
                <w:r w:rsidRPr="00027624">
                  <w:rPr>
                    <w:bCs/>
                  </w:rPr>
                  <w:t xml:space="preserve"> rented their principal place of residence owned residential property elsewhere</w:t>
                </w:r>
                <w:sdt>
                  <w:sdtPr>
                    <w:id w:val="-79602046"/>
                    <w:citation/>
                  </w:sdtPr>
                  <w:sdtEndPr/>
                  <w:sdtContent>
                    <w:r w:rsidRPr="00027624">
                      <w:fldChar w:fldCharType="begin"/>
                    </w:r>
                    <w:r w:rsidRPr="00027624">
                      <w:instrText xml:space="preserve"> CITATION ABS9i \l 3081 </w:instrText>
                    </w:r>
                    <w:r w:rsidRPr="00027624">
                      <w:fldChar w:fldCharType="separate"/>
                    </w:r>
                    <w:r w:rsidR="00E83F6E">
                      <w:rPr>
                        <w:noProof/>
                      </w:rPr>
                      <w:t xml:space="preserve"> (ABS, 2019n)</w:t>
                    </w:r>
                    <w:r w:rsidRPr="00027624">
                      <w:fldChar w:fldCharType="end"/>
                    </w:r>
                  </w:sdtContent>
                </w:sdt>
                <w:r w:rsidRPr="00027624">
                  <w:rPr>
                    <w:bCs/>
                  </w:rPr>
                  <w:t>. Over the past decade the proportion of renters who own other residential property has remained stable.</w:t>
                </w:r>
                <w:r w:rsidRPr="00027624">
                  <w:rPr>
                    <w:rStyle w:val="FootnoteReference"/>
                    <w:bCs/>
                  </w:rPr>
                  <w:footnoteReference w:id="72"/>
                </w:r>
              </w:p>
            </w:tc>
          </w:tr>
        </w:tbl>
        <w:p w14:paraId="252ACA6F" w14:textId="77777777" w:rsidR="00D178A4" w:rsidRPr="00027624" w:rsidRDefault="00D178A4" w:rsidP="00D178A4">
          <w:pPr>
            <w:pStyle w:val="Heading3"/>
          </w:pPr>
          <w:r w:rsidRPr="00027624">
            <w:t>Renters</w:t>
          </w:r>
        </w:p>
        <w:p w14:paraId="75A4D398" w14:textId="77777777" w:rsidR="00D178A4" w:rsidRPr="00027624" w:rsidRDefault="00D178A4" w:rsidP="00D178A4">
          <w:r w:rsidRPr="00027624">
            <w:t>Current rates of home ownership for households aged 65 and over may not be maintained in future, particularly for lower</w:t>
          </w:r>
          <w:r w:rsidR="00A8443E" w:rsidRPr="00027624">
            <w:noBreakHyphen/>
          </w:r>
          <w:r w:rsidRPr="00027624">
            <w:t xml:space="preserve"> to middle</w:t>
          </w:r>
          <w:r w:rsidR="00A8443E" w:rsidRPr="00027624">
            <w:noBreakHyphen/>
          </w:r>
          <w:r w:rsidRPr="00027624">
            <w:t xml:space="preserve">income households. If these households are unable to save enough to cover rents in retirement, their retirement incomes will likely be inadequate to maintain living standards. </w:t>
          </w:r>
        </w:p>
        <w:p w14:paraId="4F56752A" w14:textId="77777777" w:rsidR="00D178A4" w:rsidRPr="00027624" w:rsidRDefault="00D178A4" w:rsidP="00D178A4">
          <w:r w:rsidRPr="00027624">
            <w:t xml:space="preserve">The Government provides additional payments through Commonwealth Rent Assistance to age pensioners who rent, as they generally face higher housing costs than home owners. Commonwealth Rent Assistance is explored further in </w:t>
          </w:r>
          <w:r w:rsidRPr="00027624">
            <w:rPr>
              <w:i/>
            </w:rPr>
            <w:t>2B. Policy scenario: Implications of increasing Commonwealth Rent Assistance</w:t>
          </w:r>
          <w:r w:rsidRPr="00027624">
            <w:t>.</w:t>
          </w:r>
        </w:p>
        <w:p w14:paraId="42D9AB58" w14:textId="5BEE630F" w:rsidR="00D178A4" w:rsidRPr="00027624" w:rsidRDefault="00D178A4" w:rsidP="00D178A4">
          <w:r w:rsidRPr="00027624">
            <w:t>Renting through public housing has fallen. But renting in the private market has risen for households aged 65 and over, despite overall rates of renting remaining stable over the past 10 years (</w:t>
          </w:r>
          <w:r w:rsidRPr="00027624">
            <w:fldChar w:fldCharType="begin"/>
          </w:r>
          <w:r w:rsidRPr="00027624">
            <w:instrText xml:space="preserve"> REF _Ref38465520 \r \h  \* MERGEFORMAT </w:instrText>
          </w:r>
          <w:r w:rsidRPr="00027624">
            <w:fldChar w:fldCharType="separate"/>
          </w:r>
          <w:r w:rsidR="00891058">
            <w:t>Chart 1D-19</w:t>
          </w:r>
          <w:r w:rsidRPr="00027624">
            <w:fldChar w:fldCharType="end"/>
          </w:r>
          <w:r w:rsidRPr="00027624">
            <w:t xml:space="preserve">). </w:t>
          </w:r>
          <w:bookmarkStart w:id="386" w:name="_Ref37945632"/>
        </w:p>
        <w:p w14:paraId="338F15B4" w14:textId="77777777" w:rsidR="00D178A4" w:rsidRPr="00027624" w:rsidRDefault="00D178A4" w:rsidP="00D178A4">
          <w:pPr>
            <w:pStyle w:val="ChartMainHeading"/>
          </w:pPr>
          <w:bookmarkStart w:id="387" w:name="_Ref38465520"/>
          <w:r w:rsidRPr="00027624">
            <w:lastRenderedPageBreak/>
            <w:t>Proportion of households aged 65 and over</w:t>
          </w:r>
          <w:bookmarkEnd w:id="386"/>
          <w:bookmarkEnd w:id="387"/>
          <w:r w:rsidRPr="00027624">
            <w:t xml:space="preserve"> that rent, by landlord type</w:t>
          </w:r>
        </w:p>
        <w:p w14:paraId="13405FDA" w14:textId="77777777" w:rsidR="00D178A4" w:rsidRPr="00027624" w:rsidRDefault="003E71B7" w:rsidP="00D178A4">
          <w:pPr>
            <w:pStyle w:val="ChartGraphic"/>
          </w:pPr>
          <w:r>
            <w:rPr>
              <w:noProof/>
            </w:rPr>
            <w:drawing>
              <wp:inline distT="0" distB="0" distL="0" distR="0" wp14:anchorId="579DD31D" wp14:editId="5CB8E92F">
                <wp:extent cx="5585460" cy="2522220"/>
                <wp:effectExtent l="0" t="0" r="0" b="0"/>
                <wp:docPr id="12" name="Picture 12" descr="This chart shows that the proportion of total renters aged 65 and over has fluctuated between around 12 to around 14 per cent from 2007-08 to 2017-18. The chart also shows there has been a decline in the proportion of people that are in state or territory public housing from around 6 per cent in 2007-08 to around 3 per cent in 2017-18." title="Chart 1D-19 Proportion of households aged 65 and over that rent, by landlor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27A9F049" w14:textId="77777777" w:rsidR="00D178A4" w:rsidRPr="00027624" w:rsidRDefault="00D178A4" w:rsidP="00AD52A5">
          <w:pPr>
            <w:pStyle w:val="ChartorTableNote"/>
            <w:spacing w:before="0" w:after="200"/>
          </w:pPr>
          <w:r w:rsidRPr="00027624">
            <w:t>Note: Age refers to age of household reference person. Private landlord includes real estate agent, person not in same household — parent/other relative, or other person. Total renters includes those with other landlord type, which includes owner/manager of caravan park, employer — Defence Housing Authority, government or other employer, housing co</w:t>
          </w:r>
          <w:r w:rsidR="00A8443E" w:rsidRPr="00027624">
            <w:noBreakHyphen/>
          </w:r>
          <w:r w:rsidRPr="00027624">
            <w:t>operative/community/church group, and other.</w:t>
          </w:r>
          <w:r w:rsidRPr="00027624" w:rsidDel="00AB18DE">
            <w:t xml:space="preserve"> </w:t>
          </w:r>
          <w:r w:rsidRPr="00027624">
            <w:t>Source: Analysis of Housing Occupancy and Costs 2007</w:t>
          </w:r>
          <w:r w:rsidR="00A8443E" w:rsidRPr="00027624">
            <w:noBreakHyphen/>
          </w:r>
          <w:r w:rsidRPr="00027624">
            <w:t>08 to 2017</w:t>
          </w:r>
          <w:r w:rsidR="00A8443E" w:rsidRPr="00027624">
            <w:noBreakHyphen/>
          </w:r>
          <w:r w:rsidRPr="00027624">
            <w:t>18</w:t>
          </w:r>
          <w:sdt>
            <w:sdtPr>
              <w:id w:val="-191848464"/>
              <w:citation/>
            </w:sdtPr>
            <w:sdtEndPr/>
            <w:sdtContent>
              <w:r w:rsidRPr="00027624">
                <w:fldChar w:fldCharType="begin"/>
              </w:r>
              <w:r w:rsidRPr="00027624">
                <w:instrText xml:space="preserve"> CITATION ABS9i \l 3081 </w:instrText>
              </w:r>
              <w:r w:rsidRPr="00027624">
                <w:fldChar w:fldCharType="separate"/>
              </w:r>
              <w:r w:rsidR="00E83F6E">
                <w:rPr>
                  <w:noProof/>
                </w:rPr>
                <w:t xml:space="preserve"> (ABS, 2019n)</w:t>
              </w:r>
              <w:r w:rsidRPr="00027624">
                <w:fldChar w:fldCharType="end"/>
              </w:r>
            </w:sdtContent>
          </w:sdt>
          <w:r w:rsidRPr="00027624">
            <w:t>.</w:t>
          </w:r>
        </w:p>
        <w:p w14:paraId="3D73DBF0" w14:textId="77777777" w:rsidR="00D178A4" w:rsidRPr="00027624" w:rsidRDefault="00D178A4" w:rsidP="00845AEA">
          <w:r w:rsidRPr="00027624">
            <w:t>Over the past 10 years, the ratio of rents to household income have been consistently higher in the private market compared with public housing for households aged 65 and over that rent.</w:t>
          </w:r>
          <w:r w:rsidRPr="00027624">
            <w:rPr>
              <w:rStyle w:val="FootnoteReference"/>
            </w:rPr>
            <w:footnoteReference w:id="73"/>
          </w:r>
          <w:r w:rsidRPr="00027624">
            <w:t xml:space="preserve"> In future, greater renting through the private market could see more renters aged 65 and over facing higher housing costs as a proportion of their income.</w:t>
          </w:r>
        </w:p>
        <w:bookmarkStart w:id="388" w:name="_Toc34643510" w:displacedByCustomXml="next"/>
        <w:bookmarkEnd w:id="388" w:displacedByCustomXml="next"/>
        <w:bookmarkStart w:id="389" w:name="_Ref37945893" w:displacedByCustomXml="next"/>
        <w:bookmarkEnd w:id="389" w:displacedByCustomXml="next"/>
        <w:bookmarkStart w:id="390" w:name="_Ref37946578" w:displacedByCustomXml="next"/>
        <w:bookmarkEnd w:id="390" w:displacedByCustomXml="next"/>
        <w:bookmarkStart w:id="391" w:name="_Ref38449288" w:displacedByCustomXml="next"/>
        <w:bookmarkEnd w:id="391" w:displacedByCustomXml="next"/>
        <w:bookmarkStart w:id="392" w:name="_Toc34643513" w:displacedByCustomXml="next"/>
        <w:bookmarkEnd w:id="392" w:displacedByCustomXml="next"/>
        <w:bookmarkEnd w:id="337" w:displacedByCustomXml="next"/>
        <w:bookmarkEnd w:id="336" w:displacedByCustomXml="next"/>
        <w:bookmarkEnd w:id="335" w:displacedByCustomXml="next"/>
        <w:bookmarkEnd w:id="334" w:displacedByCustomXml="next"/>
        <w:bookmarkEnd w:id="333" w:displacedByCustomXml="next"/>
        <w:bookmarkEnd w:id="332" w:displacedByCustomXml="next"/>
      </w:sdtContent>
    </w:sdt>
    <w:p w14:paraId="20C9619A" w14:textId="77777777" w:rsidR="0092060F" w:rsidRPr="00027624" w:rsidRDefault="0092060F">
      <w:pPr>
        <w:spacing w:before="0" w:after="160" w:line="259" w:lineRule="auto"/>
        <w:sectPr w:rsidR="0092060F" w:rsidRPr="00027624" w:rsidSect="00952957">
          <w:type w:val="oddPage"/>
          <w:pgSz w:w="11906" w:h="16838" w:code="9"/>
          <w:pgMar w:top="1418" w:right="1418" w:bottom="1418" w:left="1418" w:header="709" w:footer="709" w:gutter="0"/>
          <w:cols w:space="708"/>
          <w:titlePg/>
          <w:docGrid w:linePitch="360"/>
        </w:sectPr>
      </w:pPr>
    </w:p>
    <w:sdt>
      <w:sdtPr>
        <w:id w:val="-380257162"/>
        <w:docPartObj>
          <w:docPartGallery w:val="Cover Pages"/>
          <w:docPartUnique/>
        </w:docPartObj>
      </w:sdtPr>
      <w:sdtEndPr>
        <w:rPr>
          <w:noProof/>
        </w:rPr>
      </w:sdtEndPr>
      <w:sdtContent>
        <w:p w14:paraId="68B21B7F" w14:textId="77777777" w:rsidR="0092760B" w:rsidRPr="00027624" w:rsidRDefault="00883EEA" w:rsidP="002A2FAE">
          <w:pPr>
            <w:pStyle w:val="SingleParagraph"/>
          </w:pPr>
          <w:r w:rsidRPr="00027624">
            <w:rPr>
              <w:noProof/>
            </w:rPr>
            <w:drawing>
              <wp:anchor distT="0" distB="0" distL="114300" distR="114300" simplePos="0" relativeHeight="251658242" behindDoc="1" locked="0" layoutInCell="1" allowOverlap="1" wp14:anchorId="3CD68E42" wp14:editId="0E1C602F">
                <wp:simplePos x="0" y="0"/>
                <wp:positionH relativeFrom="page">
                  <wp:align>center</wp:align>
                </wp:positionH>
                <wp:positionV relativeFrom="page">
                  <wp:align>top</wp:align>
                </wp:positionV>
                <wp:extent cx="7570800" cy="107100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tirement Income Review - chapter title pages2.jpg"/>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570800" cy="1071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D5CD14" w14:textId="77777777" w:rsidR="0092760B" w:rsidRPr="00027624" w:rsidRDefault="0092760B" w:rsidP="00975545">
          <w:pPr>
            <w:pStyle w:val="Chapterheading"/>
            <w:numPr>
              <w:ilvl w:val="0"/>
              <w:numId w:val="26"/>
            </w:numPr>
            <w:spacing w:before="1080"/>
          </w:pPr>
          <w:bookmarkStart w:id="393" w:name="_Toc45520450"/>
          <w:bookmarkStart w:id="394" w:name="_Toc46133561"/>
          <w:r w:rsidRPr="00027624">
            <w:t>Adequacy</w:t>
          </w:r>
          <w:bookmarkEnd w:id="393"/>
          <w:bookmarkEnd w:id="394"/>
        </w:p>
        <w:p w14:paraId="0C292800" w14:textId="77777777" w:rsidR="0092760B" w:rsidRPr="00027624" w:rsidRDefault="0092760B" w:rsidP="002A2FAE">
          <w:pPr>
            <w:pStyle w:val="Heading2"/>
            <w:keepNext w:val="0"/>
            <w:tabs>
              <w:tab w:val="left" w:pos="2694"/>
            </w:tabs>
          </w:pPr>
          <w:bookmarkStart w:id="395" w:name="_Toc45520451"/>
          <w:bookmarkStart w:id="396" w:name="_Toc46133562"/>
          <w:r w:rsidRPr="00027624">
            <w:t>Outline of this chapter</w:t>
          </w:r>
          <w:bookmarkEnd w:id="395"/>
          <w:bookmarkEnd w:id="396"/>
        </w:p>
        <w:p w14:paraId="21F0302A" w14:textId="77777777" w:rsidR="0092760B" w:rsidRPr="00027624" w:rsidRDefault="0092760B" w:rsidP="002A2FAE">
          <w:pPr>
            <w:tabs>
              <w:tab w:val="left" w:pos="2694"/>
            </w:tabs>
          </w:pPr>
          <w:r w:rsidRPr="00027624">
            <w:t xml:space="preserve">This chapter examines whether the retirement income system is achieving the objective of delivering adequate outcomes, against two elements (see </w:t>
          </w:r>
          <w:r w:rsidRPr="00027624">
            <w:rPr>
              <w:i/>
              <w:iCs/>
            </w:rPr>
            <w:t>1C. The objective of the system and</w:t>
          </w:r>
          <w:r w:rsidR="009548B6">
            <w:rPr>
              <w:i/>
              <w:iCs/>
            </w:rPr>
            <w:t xml:space="preserve"> the</w:t>
          </w:r>
          <w:r w:rsidRPr="00027624">
            <w:rPr>
              <w:i/>
              <w:iCs/>
            </w:rPr>
            <w:t xml:space="preserve"> role</w:t>
          </w:r>
          <w:r w:rsidR="00FA7D52">
            <w:rPr>
              <w:i/>
              <w:iCs/>
            </w:rPr>
            <w:t>s</w:t>
          </w:r>
          <w:r w:rsidRPr="00027624">
            <w:rPr>
              <w:i/>
              <w:iCs/>
            </w:rPr>
            <w:t xml:space="preserve"> of the pillars</w:t>
          </w:r>
          <w:r w:rsidRPr="00027624">
            <w:t>). The system should:</w:t>
          </w:r>
        </w:p>
        <w:p w14:paraId="16747C86" w14:textId="77777777" w:rsidR="0092760B" w:rsidRPr="00027624" w:rsidRDefault="0092760B" w:rsidP="00FC7361">
          <w:pPr>
            <w:pStyle w:val="OutlineNumbered1"/>
            <w:numPr>
              <w:ilvl w:val="0"/>
              <w:numId w:val="78"/>
            </w:numPr>
          </w:pPr>
          <w:r w:rsidRPr="00027624">
            <w:t>Ensure a minimum standard of living for retirees with limited financial means that is consistent with prevailing community standards</w:t>
          </w:r>
        </w:p>
        <w:p w14:paraId="0DD9DC2D" w14:textId="77777777" w:rsidR="0092760B" w:rsidRPr="00027624" w:rsidRDefault="0092760B" w:rsidP="00E63125">
          <w:pPr>
            <w:pStyle w:val="OutlineNumbered1"/>
          </w:pPr>
          <w:r w:rsidRPr="00027624">
            <w:t>Facilitate people to reasonably maintain their standard of living in retirement</w:t>
          </w:r>
        </w:p>
        <w:p w14:paraId="79E0665D" w14:textId="77777777" w:rsidR="0092760B" w:rsidRPr="00027624" w:rsidRDefault="0092760B" w:rsidP="002A2FAE">
          <w:pPr>
            <w:tabs>
              <w:tab w:val="left" w:pos="2694"/>
            </w:tabs>
            <w:spacing w:before="0"/>
          </w:pPr>
          <w:r w:rsidRPr="00027624">
            <w:t>First, it considers the performance of the system, especially the Age Pension and in</w:t>
          </w:r>
          <w:r w:rsidR="00A8443E" w:rsidRPr="00027624">
            <w:noBreakHyphen/>
          </w:r>
          <w:r w:rsidRPr="00027624">
            <w:t>kind support, in providing a minimum standard of living. As the community lacks consensus on a suitable metric for a minimum standard of living in retirement, this issue is considered by looking at a range of measures.</w:t>
          </w:r>
        </w:p>
        <w:p w14:paraId="30C3EA95" w14:textId="77777777" w:rsidR="0092760B" w:rsidRPr="00027624" w:rsidRDefault="0092760B" w:rsidP="002A2FAE">
          <w:pPr>
            <w:tabs>
              <w:tab w:val="left" w:pos="2694"/>
            </w:tabs>
            <w:spacing w:before="0"/>
          </w:pPr>
          <w:r w:rsidRPr="00027624">
            <w:t>Second, it explores the implications of increasing Commonwealth Rent Assistance on performance of the retirement income system, including on the minimum standard of living in retirement.</w:t>
          </w:r>
        </w:p>
        <w:p w14:paraId="670B2613" w14:textId="77777777" w:rsidR="0092760B" w:rsidRPr="00027624" w:rsidRDefault="0092760B" w:rsidP="002A2FAE">
          <w:pPr>
            <w:tabs>
              <w:tab w:val="left" w:pos="2694"/>
            </w:tabs>
            <w:spacing w:before="0"/>
          </w:pPr>
          <w:r w:rsidRPr="00027624">
            <w:t>Third, the chapter considers the system</w:t>
          </w:r>
          <w:r w:rsidR="00A8443E" w:rsidRPr="00027624">
            <w:t>’</w:t>
          </w:r>
          <w:r w:rsidRPr="00027624">
            <w:t>s ability to facilitate people to reasonably maintain living standards between working life and retirement.</w:t>
          </w:r>
        </w:p>
        <w:p w14:paraId="31C09FD6" w14:textId="77777777" w:rsidR="00C7577C" w:rsidRPr="00027624" w:rsidRDefault="0092760B" w:rsidP="00C7577C">
          <w:r w:rsidRPr="00027624">
            <w:t>Finally, the chapter considers the implications of maintaining the Superannuation Guarantee (SG) rate at 9.5 per cent on the performance of the system, including the impact on facilitating people to reasonably maintain living standards between working life and retirement.</w:t>
          </w:r>
        </w:p>
        <w:p w14:paraId="45C0B506" w14:textId="77777777" w:rsidR="00C7577C" w:rsidRPr="00027624" w:rsidRDefault="00C7577C" w:rsidP="00C7577C"/>
        <w:p w14:paraId="0CED90AF" w14:textId="77777777" w:rsidR="00C7577C" w:rsidRPr="00027624" w:rsidRDefault="00C7577C" w:rsidP="00C7577C">
          <w:pPr>
            <w:rPr>
              <w:noProof/>
            </w:rPr>
            <w:sectPr w:rsidR="00C7577C" w:rsidRPr="00027624" w:rsidSect="0092060F">
              <w:type w:val="oddPage"/>
              <w:pgSz w:w="11906" w:h="16838" w:code="9"/>
              <w:pgMar w:top="1418" w:right="1418" w:bottom="1418" w:left="1418" w:header="709" w:footer="709" w:gutter="0"/>
              <w:cols w:space="708"/>
              <w:titlePg/>
              <w:docGrid w:linePitch="360"/>
            </w:sectPr>
          </w:pPr>
        </w:p>
        <w:p w14:paraId="10D43376" w14:textId="77777777" w:rsidR="00952957" w:rsidRPr="00027624" w:rsidRDefault="007B222E" w:rsidP="00C7577C">
          <w:pPr>
            <w:rPr>
              <w:noProof/>
            </w:rPr>
          </w:pPr>
        </w:p>
      </w:sdtContent>
    </w:sdt>
    <w:bookmarkStart w:id="397" w:name="_Toc33706466" w:displacedByCustomXml="prev"/>
    <w:bookmarkEnd w:id="397" w:displacedByCustomXml="prev"/>
    <w:bookmarkStart w:id="398" w:name="_Toc33527824" w:displacedByCustomXml="prev"/>
    <w:bookmarkEnd w:id="398" w:displacedByCustomXml="prev"/>
    <w:bookmarkStart w:id="399" w:name="_Toc31720345" w:displacedByCustomXml="prev"/>
    <w:bookmarkEnd w:id="399" w:displacedByCustomXml="prev"/>
    <w:bookmarkStart w:id="400" w:name="_Toc31352209" w:displacedByCustomXml="prev"/>
    <w:bookmarkEnd w:id="400" w:displacedByCustomXml="prev"/>
    <w:bookmarkStart w:id="401" w:name="_Toc31274476" w:displacedByCustomXml="prev"/>
    <w:bookmarkEnd w:id="401" w:displacedByCustomXml="prev"/>
    <w:bookmarkStart w:id="402" w:name="_Toc31274380" w:displacedByCustomXml="prev"/>
    <w:bookmarkEnd w:id="402" w:displacedByCustomXml="prev"/>
    <w:bookmarkStart w:id="403" w:name="_Toc31209574" w:displacedByCustomXml="prev"/>
    <w:bookmarkEnd w:id="403" w:displacedByCustomXml="prev"/>
    <w:bookmarkStart w:id="404" w:name="_Toc45520452" w:displacedByCustomXml="prev"/>
    <w:p w14:paraId="37C6FDF3" w14:textId="77777777" w:rsidR="0092760B" w:rsidRPr="00027624" w:rsidRDefault="0092760B" w:rsidP="00C7577C">
      <w:pPr>
        <w:pStyle w:val="Heading1"/>
      </w:pPr>
      <w:bookmarkStart w:id="405" w:name="_Toc46133563"/>
      <w:r w:rsidRPr="00027624">
        <w:t>Achieving a minimum standard of living in retirement</w:t>
      </w:r>
      <w:bookmarkEnd w:id="405"/>
      <w:bookmarkEnd w:id="404"/>
    </w:p>
    <w:tbl>
      <w:tblPr>
        <w:tblW w:w="5000" w:type="pct"/>
        <w:shd w:val="clear" w:color="auto" w:fill="DFD7E7" w:themeFill="accent3" w:themeFillTint="33"/>
        <w:tblLook w:val="01E0" w:firstRow="1" w:lastRow="1" w:firstColumn="1" w:lastColumn="1" w:noHBand="0" w:noVBand="0"/>
      </w:tblPr>
      <w:tblGrid>
        <w:gridCol w:w="9070"/>
      </w:tblGrid>
      <w:tr w:rsidR="0092760B" w:rsidRPr="00027624" w14:paraId="1D20249F" w14:textId="77777777" w:rsidTr="002A2FAE">
        <w:tc>
          <w:tcPr>
            <w:tcW w:w="5000" w:type="pct"/>
            <w:shd w:val="clear" w:color="auto" w:fill="DFD7E7" w:themeFill="accent3" w:themeFillTint="33"/>
          </w:tcPr>
          <w:p w14:paraId="68092313" w14:textId="77777777" w:rsidR="0092760B" w:rsidRPr="00027624" w:rsidRDefault="0092760B" w:rsidP="00325A8D">
            <w:pPr>
              <w:pStyle w:val="BoxHeading"/>
            </w:pPr>
            <w:r w:rsidRPr="00027624">
              <w:t>Section summary</w:t>
            </w:r>
          </w:p>
          <w:p w14:paraId="41937AE6" w14:textId="77777777" w:rsidR="0092760B" w:rsidRPr="00027624" w:rsidRDefault="0092760B" w:rsidP="0092760B">
            <w:pPr>
              <w:pStyle w:val="BoxBullet"/>
              <w:rPr>
                <w:b/>
              </w:rPr>
            </w:pPr>
            <w:r w:rsidRPr="00027624">
              <w:rPr>
                <w:b/>
              </w:rPr>
              <w:t>The level of income delivered through the Age Pension and government services provides a minimum standard of living in retirement for retirees with limited financial means that is consistent with community standards.</w:t>
            </w:r>
          </w:p>
          <w:p w14:paraId="51DEB214" w14:textId="77777777" w:rsidR="0092760B" w:rsidRPr="00027624" w:rsidRDefault="0092760B" w:rsidP="0092760B">
            <w:pPr>
              <w:pStyle w:val="BoxBullet"/>
            </w:pPr>
            <w:r w:rsidRPr="00027624">
              <w:rPr>
                <w:b/>
              </w:rPr>
              <w:t>The Age Pension has grown faster than both wages and prices since 2009.</w:t>
            </w:r>
            <w:r w:rsidRPr="00027624">
              <w:t xml:space="preserve"> The maximum rate compares favourably internationally and is above available absolute poverty benchmarks. Rates of financial stress for people with few other means drop substantially when entering retirement. Older Australians:</w:t>
            </w:r>
          </w:p>
          <w:p w14:paraId="67629203" w14:textId="77777777" w:rsidR="0092760B" w:rsidRPr="00027624" w:rsidRDefault="0092760B" w:rsidP="0092760B">
            <w:pPr>
              <w:pStyle w:val="BoxDash"/>
              <w:ind w:left="567"/>
              <w:rPr>
                <w:b/>
              </w:rPr>
            </w:pPr>
            <w:r w:rsidRPr="00027624">
              <w:rPr>
                <w:b/>
              </w:rPr>
              <w:t>Generally have lower levels of financial stress compared to the working</w:t>
            </w:r>
            <w:r w:rsidR="00A8443E" w:rsidRPr="00027624">
              <w:rPr>
                <w:b/>
              </w:rPr>
              <w:noBreakHyphen/>
            </w:r>
            <w:r w:rsidRPr="00027624">
              <w:rPr>
                <w:b/>
              </w:rPr>
              <w:t>age population.</w:t>
            </w:r>
          </w:p>
          <w:p w14:paraId="4B887ABF" w14:textId="77777777" w:rsidR="0092760B" w:rsidRPr="00027624" w:rsidRDefault="0092760B" w:rsidP="002A2FAE">
            <w:pPr>
              <w:pStyle w:val="BoxDash"/>
              <w:rPr>
                <w:b/>
              </w:rPr>
            </w:pPr>
            <w:r w:rsidRPr="00027624">
              <w:rPr>
                <w:b/>
              </w:rPr>
              <w:t>In lower</w:t>
            </w:r>
            <w:r w:rsidR="00A8443E" w:rsidRPr="00027624">
              <w:rPr>
                <w:b/>
              </w:rPr>
              <w:noBreakHyphen/>
            </w:r>
            <w:r w:rsidRPr="00027624">
              <w:rPr>
                <w:b/>
              </w:rPr>
              <w:t xml:space="preserve">income households, experience improved living standards on entering retirement </w:t>
            </w:r>
            <w:r w:rsidRPr="00027624">
              <w:rPr>
                <w:bCs/>
              </w:rPr>
              <w:t>a</w:t>
            </w:r>
            <w:r w:rsidRPr="00027624">
              <w:t>s the Age Pension is</w:t>
            </w:r>
            <w:r w:rsidRPr="00027624">
              <w:rPr>
                <w:b/>
              </w:rPr>
              <w:t xml:space="preserve"> </w:t>
            </w:r>
            <w:r w:rsidRPr="00027624">
              <w:t>higher than some working</w:t>
            </w:r>
            <w:r w:rsidR="00A8443E" w:rsidRPr="00027624">
              <w:noBreakHyphen/>
            </w:r>
            <w:r w:rsidRPr="00027624">
              <w:t>age welfare payments and income levels.</w:t>
            </w:r>
          </w:p>
          <w:p w14:paraId="4DD9BC51" w14:textId="77777777" w:rsidR="0092760B" w:rsidRPr="00027624" w:rsidRDefault="0092760B" w:rsidP="002A2FAE">
            <w:pPr>
              <w:pStyle w:val="BoxDash"/>
            </w:pPr>
            <w:r w:rsidRPr="00027624">
              <w:rPr>
                <w:b/>
                <w:bCs/>
              </w:rPr>
              <w:t xml:space="preserve">Have </w:t>
            </w:r>
            <w:r w:rsidRPr="00027624">
              <w:rPr>
                <w:b/>
              </w:rPr>
              <w:t>experienced</w:t>
            </w:r>
            <w:r w:rsidRPr="00027624">
              <w:rPr>
                <w:b/>
                <w:bCs/>
              </w:rPr>
              <w:t xml:space="preserve"> reduced income poverty rates over the past decade</w:t>
            </w:r>
            <w:r w:rsidRPr="00027624">
              <w:rPr>
                <w:b/>
              </w:rPr>
              <w:t>,</w:t>
            </w:r>
            <w:r w:rsidRPr="00027624">
              <w:t xml:space="preserve"> especially singles and renters, although poverty rates remain elevated for some retirees who rent.</w:t>
            </w:r>
          </w:p>
          <w:p w14:paraId="351A3B7B" w14:textId="77777777" w:rsidR="0092760B" w:rsidRPr="00027624" w:rsidRDefault="0092760B" w:rsidP="002A2FAE">
            <w:pPr>
              <w:pStyle w:val="BoxDash"/>
              <w:rPr>
                <w:b/>
                <w:bCs/>
              </w:rPr>
            </w:pPr>
            <w:r w:rsidRPr="00027624">
              <w:rPr>
                <w:b/>
              </w:rPr>
              <w:t>Receive</w:t>
            </w:r>
            <w:r w:rsidRPr="00027624">
              <w:rPr>
                <w:b/>
                <w:bCs/>
              </w:rPr>
              <w:t xml:space="preserve"> significant support from non</w:t>
            </w:r>
            <w:r w:rsidR="00A8443E" w:rsidRPr="00027624">
              <w:rPr>
                <w:b/>
                <w:bCs/>
              </w:rPr>
              <w:noBreakHyphen/>
            </w:r>
            <w:r w:rsidRPr="00027624">
              <w:rPr>
                <w:b/>
                <w:bCs/>
              </w:rPr>
              <w:t xml:space="preserve">income sources. </w:t>
            </w:r>
            <w:r w:rsidRPr="00027624">
              <w:t xml:space="preserve">Governments meet many of the health and aged care needs of </w:t>
            </w:r>
            <w:r w:rsidR="001023AA" w:rsidRPr="00027624">
              <w:t>older Australians</w:t>
            </w:r>
            <w:r w:rsidRPr="00027624">
              <w:t>. In 2015</w:t>
            </w:r>
            <w:r w:rsidR="00A8443E" w:rsidRPr="00027624">
              <w:noBreakHyphen/>
            </w:r>
            <w:r w:rsidRPr="00027624">
              <w:t>16, households aged 65 and over accessed government services worth more than the Age Pension, with this value growing faster for retirees than any other age group. Reduced housing costs through high home ownership rates and higher levels of assets than working</w:t>
            </w:r>
            <w:r w:rsidR="00A8443E" w:rsidRPr="00027624">
              <w:noBreakHyphen/>
            </w:r>
            <w:r w:rsidRPr="00027624">
              <w:t>age households are also significant forms of support for most retirees.</w:t>
            </w:r>
          </w:p>
          <w:p w14:paraId="4A689F2C" w14:textId="77777777" w:rsidR="0092760B" w:rsidRPr="00027624" w:rsidRDefault="0092760B" w:rsidP="002A2FAE">
            <w:pPr>
              <w:pStyle w:val="BoxBullet"/>
            </w:pPr>
            <w:r w:rsidRPr="00027624">
              <w:rPr>
                <w:b/>
              </w:rPr>
              <w:t>Renters</w:t>
            </w:r>
            <w:r w:rsidRPr="00027624">
              <w:rPr>
                <w:b/>
                <w:bCs/>
              </w:rPr>
              <w:t xml:space="preserve"> and those who retire before Age Pension eligibility age are at higher risk of poor outcomes in retirement.</w:t>
            </w:r>
            <w:r w:rsidRPr="00027624">
              <w:t xml:space="preserve"> These groups experience higher levels of financial stress and poverty than the working</w:t>
            </w:r>
            <w:r w:rsidR="00A8443E" w:rsidRPr="00027624">
              <w:noBreakHyphen/>
            </w:r>
            <w:r w:rsidRPr="00027624">
              <w:t xml:space="preserve">age population and other retirees. </w:t>
            </w:r>
            <w:r w:rsidRPr="00027624">
              <w:rPr>
                <w:rFonts w:eastAsia="Calibri" w:cs="Calibri"/>
              </w:rPr>
              <w:t>The additional support Commonwealth Rent Assistance provides is far below the additional housing cost private renters face compared to home owners.</w:t>
            </w:r>
          </w:p>
          <w:p w14:paraId="2AAF2B62" w14:textId="77777777" w:rsidR="0092760B" w:rsidRPr="00027624" w:rsidRDefault="0092760B" w:rsidP="002A2FAE">
            <w:pPr>
              <w:pStyle w:val="BoxBullet"/>
            </w:pPr>
            <w:r w:rsidRPr="00027624">
              <w:rPr>
                <w:b/>
              </w:rPr>
              <w:t>Retirees still paying a mortgage are also at risk of poorer outcomes in retirement</w:t>
            </w:r>
            <w:r w:rsidRPr="00027624">
              <w:t>. They experience higher levels of income poverty than the working</w:t>
            </w:r>
            <w:r w:rsidR="00A8443E" w:rsidRPr="00027624">
              <w:noBreakHyphen/>
            </w:r>
            <w:r w:rsidRPr="00027624">
              <w:t>age population and are more exposed to interest rate and investment shocks than home owners.</w:t>
            </w:r>
          </w:p>
        </w:tc>
      </w:tr>
    </w:tbl>
    <w:p w14:paraId="7529AF51" w14:textId="77777777" w:rsidR="0092760B" w:rsidRPr="00027624" w:rsidRDefault="0092760B" w:rsidP="002A2FAE">
      <w:pPr>
        <w:pStyle w:val="Heading2"/>
        <w:tabs>
          <w:tab w:val="left" w:pos="2694"/>
        </w:tabs>
      </w:pPr>
      <w:bookmarkStart w:id="406" w:name="_Toc45520453"/>
      <w:bookmarkStart w:id="407" w:name="_Toc46133564"/>
      <w:r w:rsidRPr="00027624">
        <w:t>Outline of this section</w:t>
      </w:r>
      <w:bookmarkEnd w:id="406"/>
      <w:bookmarkEnd w:id="407"/>
    </w:p>
    <w:p w14:paraId="5B37A22C" w14:textId="77777777" w:rsidR="0092760B" w:rsidRPr="00027624" w:rsidRDefault="0092760B" w:rsidP="002A2FAE">
      <w:pPr>
        <w:tabs>
          <w:tab w:val="left" w:pos="2694"/>
        </w:tabs>
      </w:pPr>
      <w:r w:rsidRPr="00027624">
        <w:t>This section analyses the evidence whether the retirement income system, especially the Age Pension, provides a minimum standard of living. The section focuses on:</w:t>
      </w:r>
    </w:p>
    <w:p w14:paraId="0055539F" w14:textId="77777777" w:rsidR="0092760B" w:rsidRPr="00027624" w:rsidRDefault="0092760B" w:rsidP="002A2FAE">
      <w:pPr>
        <w:pStyle w:val="Bullet"/>
        <w:tabs>
          <w:tab w:val="left" w:pos="2694"/>
        </w:tabs>
        <w:ind w:left="0" w:firstLine="0"/>
      </w:pPr>
      <w:r w:rsidRPr="00027624">
        <w:t>The adequacy of the minimum standard of living provided by the Age Pension</w:t>
      </w:r>
    </w:p>
    <w:p w14:paraId="6475A1DF" w14:textId="77777777" w:rsidR="0092760B" w:rsidRPr="00027624" w:rsidRDefault="0092760B" w:rsidP="002A2FAE">
      <w:pPr>
        <w:pStyle w:val="Bullet"/>
        <w:tabs>
          <w:tab w:val="left" w:pos="2694"/>
        </w:tabs>
        <w:ind w:left="0" w:firstLine="0"/>
      </w:pPr>
      <w:r w:rsidRPr="00027624">
        <w:t>Wellbeing and poverty outcomes for recent retirees</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097E8742" w14:textId="77777777" w:rsidTr="002A2FAE">
        <w:tc>
          <w:tcPr>
            <w:tcW w:w="5000" w:type="pct"/>
            <w:shd w:val="clear" w:color="auto" w:fill="FFF8EA"/>
          </w:tcPr>
          <w:p w14:paraId="0FCFE12D" w14:textId="77777777" w:rsidR="0092760B" w:rsidRPr="00027624" w:rsidRDefault="0092760B" w:rsidP="00325A8D">
            <w:pPr>
              <w:pStyle w:val="BoxHeading"/>
            </w:pPr>
            <w:r w:rsidRPr="00027624">
              <w:t>Stakeholder views on achieving a minimum standard of living in retirement</w:t>
            </w:r>
          </w:p>
          <w:p w14:paraId="34FE3232" w14:textId="77777777" w:rsidR="0092760B" w:rsidRPr="00027624" w:rsidRDefault="0092760B" w:rsidP="002A2FAE">
            <w:pPr>
              <w:tabs>
                <w:tab w:val="left" w:pos="2694"/>
              </w:tabs>
            </w:pPr>
            <w:r w:rsidRPr="00027624">
              <w:t>Many submissions agreed that measuring adequacy required balancing a number of outcomes, particularly the need for an appropriate minimum level of income.</w:t>
            </w:r>
          </w:p>
          <w:p w14:paraId="16D88082" w14:textId="77777777" w:rsidR="0092760B" w:rsidRPr="00027624" w:rsidRDefault="0092760B" w:rsidP="002A2FAE">
            <w:pPr>
              <w:tabs>
                <w:tab w:val="left" w:pos="2694"/>
              </w:tabs>
            </w:pPr>
            <w:r w:rsidRPr="00027624">
              <w:lastRenderedPageBreak/>
              <w:t>A number of submissions suggested no one should live in poverty in retirement, but opinions differed on how best to measure poverty.</w:t>
            </w:r>
            <w:r w:rsidRPr="00027624">
              <w:rPr>
                <w:b/>
              </w:rPr>
              <w:t xml:space="preserve"> </w:t>
            </w:r>
            <w:r w:rsidRPr="00027624">
              <w:t>Submissions also recognised a need to achieve a standard of living above a basic level; however, different views emerged about how this should be defined and measured.</w:t>
            </w:r>
          </w:p>
          <w:p w14:paraId="0AC6B4A0" w14:textId="77777777" w:rsidR="0092760B" w:rsidRPr="00027624" w:rsidRDefault="00A8443E" w:rsidP="00C85BD1">
            <w:pPr>
              <w:pStyle w:val="Quote"/>
              <w:tabs>
                <w:tab w:val="left" w:pos="2694"/>
              </w:tabs>
              <w:ind w:left="604"/>
            </w:pPr>
            <w:r w:rsidRPr="00027624">
              <w:t>‘</w:t>
            </w:r>
            <w:r w:rsidR="0092760B" w:rsidRPr="00027624">
              <w:t>The purpose of the social security pillar should be to prevent poverty. This means that minimum rates of payment should be adequate to cover the costs of essentials, including for those who face the higher costs associated with renting privately.</w:t>
            </w:r>
            <w:r w:rsidRPr="00027624">
              <w:t>’</w:t>
            </w:r>
            <w:r w:rsidR="00563492">
              <w:br/>
            </w:r>
            <w:sdt>
              <w:sdtPr>
                <w:id w:val="-2092295652"/>
                <w:citation/>
              </w:sdtPr>
              <w:sdtEndPr>
                <w:rPr>
                  <w:i w:val="0"/>
                </w:rPr>
              </w:sdtEndPr>
              <w:sdtContent>
                <w:r w:rsidR="00563492" w:rsidRPr="00027624">
                  <w:rPr>
                    <w:i w:val="0"/>
                  </w:rPr>
                  <w:fldChar w:fldCharType="begin"/>
                </w:r>
                <w:r w:rsidR="00563492">
                  <w:rPr>
                    <w:i w:val="0"/>
                  </w:rPr>
                  <w:instrText xml:space="preserve">CITATION ACO202 \p 17 \l 3081 </w:instrText>
                </w:r>
                <w:r w:rsidR="00563492" w:rsidRPr="00027624">
                  <w:rPr>
                    <w:i w:val="0"/>
                  </w:rPr>
                  <w:fldChar w:fldCharType="separate"/>
                </w:r>
                <w:r w:rsidR="00E83F6E">
                  <w:rPr>
                    <w:noProof/>
                  </w:rPr>
                  <w:t>(Australian Council of Social Service, 2020, p. 17)</w:t>
                </w:r>
                <w:r w:rsidR="00563492" w:rsidRPr="00027624">
                  <w:rPr>
                    <w:i w:val="0"/>
                  </w:rPr>
                  <w:fldChar w:fldCharType="end"/>
                </w:r>
              </w:sdtContent>
            </w:sdt>
          </w:p>
          <w:p w14:paraId="040C16DA" w14:textId="77777777" w:rsidR="0092760B" w:rsidRPr="00027624" w:rsidRDefault="0092760B" w:rsidP="002A2FAE">
            <w:pPr>
              <w:tabs>
                <w:tab w:val="left" w:pos="2694"/>
              </w:tabs>
            </w:pPr>
            <w:r w:rsidRPr="00027624">
              <w:t>Submissions took two main approaches for measuring poverty. Some discussed poverty with reference to a dollar</w:t>
            </w:r>
            <w:r w:rsidR="00A8443E" w:rsidRPr="00027624">
              <w:noBreakHyphen/>
            </w:r>
            <w:r w:rsidRPr="00027624">
              <w:t>based budget standard or the poverty line, which they noted are easier for people to understand. Others discussed poverty relative to the living standards in the broader community.</w:t>
            </w:r>
          </w:p>
          <w:p w14:paraId="5ED54990" w14:textId="77777777" w:rsidR="0092760B" w:rsidRPr="00027624" w:rsidRDefault="00A8443E" w:rsidP="00C85BD1">
            <w:pPr>
              <w:pStyle w:val="Quote"/>
              <w:tabs>
                <w:tab w:val="left" w:pos="2694"/>
              </w:tabs>
              <w:ind w:left="604"/>
            </w:pPr>
            <w:r w:rsidRPr="00027624">
              <w:t>‘</w:t>
            </w:r>
            <w:r w:rsidR="0092760B" w:rsidRPr="00027624">
              <w:t xml:space="preserve"> … budget standards may be used as an indicator of poverty and to assess the adequacy of social security payments to retired Australians.</w:t>
            </w:r>
            <w:r w:rsidRPr="00027624">
              <w:t>’</w:t>
            </w:r>
            <w:sdt>
              <w:sdtPr>
                <w:id w:val="1497379464"/>
                <w:citation/>
              </w:sdtPr>
              <w:sdtEndPr/>
              <w:sdtContent>
                <w:r w:rsidR="0092760B" w:rsidRPr="00027624">
                  <w:fldChar w:fldCharType="begin"/>
                </w:r>
                <w:r w:rsidR="0092760B" w:rsidRPr="00027624">
                  <w:instrText xml:space="preserve">CITATION Sup20 \p 5 \l 3081 </w:instrText>
                </w:r>
                <w:r w:rsidR="0092760B" w:rsidRPr="00027624">
                  <w:fldChar w:fldCharType="separate"/>
                </w:r>
                <w:r w:rsidR="00E83F6E">
                  <w:rPr>
                    <w:noProof/>
                  </w:rPr>
                  <w:t xml:space="preserve"> (Super Consumers Australia, 2020, p. 5)</w:t>
                </w:r>
                <w:r w:rsidR="0092760B" w:rsidRPr="00027624">
                  <w:fldChar w:fldCharType="end"/>
                </w:r>
              </w:sdtContent>
            </w:sdt>
          </w:p>
          <w:p w14:paraId="37740523" w14:textId="77777777" w:rsidR="0092760B" w:rsidRPr="00027624" w:rsidRDefault="0092760B" w:rsidP="002A2FAE">
            <w:pPr>
              <w:tabs>
                <w:tab w:val="left" w:pos="2694"/>
              </w:tabs>
            </w:pPr>
            <w:r w:rsidRPr="00027624">
              <w:t>Some submissions argued that the Age Pension should be set based on alternative measures of wages. The Age Pension is currently benchmarked to male total average weekly earnings, which is unlikely to be a contemporary measure of wages for the broader community.</w:t>
            </w:r>
          </w:p>
          <w:p w14:paraId="78F5D1CC" w14:textId="77777777" w:rsidR="0092760B" w:rsidRPr="00027624" w:rsidRDefault="00A8443E" w:rsidP="00C85BD1">
            <w:pPr>
              <w:pStyle w:val="Quote"/>
              <w:tabs>
                <w:tab w:val="left" w:pos="2694"/>
              </w:tabs>
              <w:ind w:left="604"/>
            </w:pPr>
            <w:r w:rsidRPr="00027624">
              <w:t>‘</w:t>
            </w:r>
            <w:r w:rsidR="0092760B" w:rsidRPr="00027624">
              <w:t>It would be reasonable to start setting it (the Age Pension rate) against all full</w:t>
            </w:r>
            <w:r w:rsidRPr="00027624">
              <w:noBreakHyphen/>
            </w:r>
            <w:r w:rsidR="0092760B" w:rsidRPr="00027624">
              <w:t>time wages (males and females combined).</w:t>
            </w:r>
            <w:r w:rsidRPr="00027624">
              <w:t>’</w:t>
            </w:r>
            <w:sdt>
              <w:sdtPr>
                <w:id w:val="-1987691372"/>
                <w:citation/>
              </w:sdtPr>
              <w:sdtEndPr/>
              <w:sdtContent>
                <w:r w:rsidR="0092760B" w:rsidRPr="00027624">
                  <w:fldChar w:fldCharType="begin"/>
                </w:r>
                <w:r w:rsidR="0092760B" w:rsidRPr="00027624">
                  <w:instrText xml:space="preserve">CITATION Ric20 \p 8 \l 3081 </w:instrText>
                </w:r>
                <w:r w:rsidR="0092760B" w:rsidRPr="00027624">
                  <w:fldChar w:fldCharType="separate"/>
                </w:r>
                <w:r w:rsidR="00E83F6E">
                  <w:rPr>
                    <w:noProof/>
                  </w:rPr>
                  <w:t xml:space="preserve"> (Rice Warner, 2020, p. 8)</w:t>
                </w:r>
                <w:r w:rsidR="0092760B" w:rsidRPr="00027624">
                  <w:fldChar w:fldCharType="end"/>
                </w:r>
              </w:sdtContent>
            </w:sdt>
          </w:p>
        </w:tc>
      </w:tr>
    </w:tbl>
    <w:p w14:paraId="5617A41A" w14:textId="77777777" w:rsidR="0092760B" w:rsidRPr="00027624" w:rsidRDefault="0092760B" w:rsidP="002A2FAE">
      <w:pPr>
        <w:pStyle w:val="Heading2"/>
        <w:tabs>
          <w:tab w:val="left" w:pos="2694"/>
        </w:tabs>
      </w:pPr>
      <w:bookmarkStart w:id="408" w:name="_Ref34925041"/>
      <w:bookmarkStart w:id="409" w:name="_Toc45520454"/>
      <w:bookmarkStart w:id="410" w:name="_Toc46133565"/>
      <w:bookmarkEnd w:id="408"/>
      <w:r w:rsidRPr="00027624">
        <w:lastRenderedPageBreak/>
        <w:t>Assessing minimum standards</w:t>
      </w:r>
      <w:bookmarkEnd w:id="409"/>
      <w:bookmarkEnd w:id="410"/>
    </w:p>
    <w:p w14:paraId="63FF4AF7" w14:textId="77777777" w:rsidR="0092760B" w:rsidRPr="00027624" w:rsidRDefault="0092760B" w:rsidP="002A2FAE">
      <w:pPr>
        <w:tabs>
          <w:tab w:val="left" w:pos="2694"/>
        </w:tabs>
      </w:pPr>
      <w:r w:rsidRPr="00027624">
        <w:t>No single measure is available to determine whether the system delivers a minimum standard of living in retirement for those with limited financial means. Judgement is required, ultimately by the community as a whole.</w:t>
      </w:r>
    </w:p>
    <w:p w14:paraId="53EBD78C" w14:textId="77777777" w:rsidR="0092760B" w:rsidRPr="00027624" w:rsidRDefault="0092760B" w:rsidP="002A2FAE">
      <w:pPr>
        <w:tabs>
          <w:tab w:val="left" w:pos="2694"/>
        </w:tabs>
      </w:pPr>
      <w:r w:rsidRPr="00027624">
        <w:rPr>
          <w:b/>
        </w:rPr>
        <w:t>A basket of indicators has been used to assess whether retirees are achieving minimum standards of living in line with prevailing community standards.</w:t>
      </w:r>
      <w:r w:rsidRPr="00027624">
        <w:t xml:space="preserve"> This assessment is informed by the approach in the 2009 </w:t>
      </w:r>
      <w:r w:rsidRPr="00027624">
        <w:rPr>
          <w:i/>
          <w:iCs/>
        </w:rPr>
        <w:t>Pension Review</w:t>
      </w:r>
      <w:r w:rsidRPr="00027624">
        <w:t xml:space="preserve"> (Harmer Review), international practices and submissions.</w:t>
      </w:r>
    </w:p>
    <w:p w14:paraId="19B8EC54" w14:textId="77777777" w:rsidR="0092760B" w:rsidRPr="00027624" w:rsidRDefault="0092760B" w:rsidP="002A2FAE">
      <w:pPr>
        <w:tabs>
          <w:tab w:val="left" w:pos="2694"/>
        </w:tabs>
      </w:pPr>
      <w:r w:rsidRPr="00027624">
        <w:t>Looking at income alone will underestimate the adequacy of the retirement income system in providing a minimum standard of living in retirement. This is because a retiree</w:t>
      </w:r>
      <w:r w:rsidR="00A8443E" w:rsidRPr="00027624">
        <w:t>’</w:t>
      </w:r>
      <w:r w:rsidRPr="00027624">
        <w:t>s standard of living depends on whether they own their home, what government services they receive and if they have assets to draw on in retirement.</w:t>
      </w:r>
      <w:bookmarkStart w:id="411" w:name="_Hlk37837181"/>
      <w:bookmarkEnd w:id="411"/>
    </w:p>
    <w:p w14:paraId="664F1D84" w14:textId="77777777" w:rsidR="0092760B" w:rsidRPr="00027624" w:rsidRDefault="0092760B" w:rsidP="002A2FAE">
      <w:pPr>
        <w:tabs>
          <w:tab w:val="left" w:pos="2694"/>
        </w:tabs>
      </w:pPr>
      <w:r w:rsidRPr="00027624">
        <w:t>Two perspectives have been considered in assessing whether the system is delivering a minimum standard of living in retirement.</w:t>
      </w:r>
    </w:p>
    <w:p w14:paraId="042C4A57" w14:textId="2FC86667" w:rsidR="0092760B" w:rsidRPr="00027624" w:rsidRDefault="0092760B" w:rsidP="00FC7361">
      <w:pPr>
        <w:pStyle w:val="OutlineNumbered1"/>
        <w:numPr>
          <w:ilvl w:val="0"/>
          <w:numId w:val="79"/>
        </w:numPr>
      </w:pPr>
      <w:r w:rsidRPr="00027624">
        <w:rPr>
          <w:b/>
          <w:bCs/>
        </w:rPr>
        <w:t>Support provided by the maximum rate of the Age Pension</w:t>
      </w:r>
      <w:r w:rsidRPr="00027624">
        <w:t>. Whether income from the Age Pension alone delivers a minimum standard of living and how the Age Pension has kept pace with community standards since the reforms in 2009 (</w:t>
      </w:r>
      <w:r w:rsidRPr="00027624">
        <w:fldChar w:fldCharType="begin"/>
      </w:r>
      <w:r w:rsidRPr="00027624">
        <w:instrText xml:space="preserve"> REF _Ref40765465 \r \h  \* MERGEFORMAT </w:instrText>
      </w:r>
      <w:r w:rsidRPr="00027624">
        <w:fldChar w:fldCharType="separate"/>
      </w:r>
      <w:r w:rsidR="00891058">
        <w:t>Box 2A-3</w:t>
      </w:r>
      <w:r w:rsidRPr="00027624">
        <w:fldChar w:fldCharType="end"/>
      </w:r>
      <w:r w:rsidRPr="00027624">
        <w:t>).</w:t>
      </w:r>
    </w:p>
    <w:p w14:paraId="322CA8F9" w14:textId="77777777" w:rsidR="0092760B" w:rsidRPr="00027624" w:rsidRDefault="0092760B" w:rsidP="00881D46">
      <w:pPr>
        <w:pStyle w:val="OutlineNumbered1"/>
      </w:pPr>
      <w:r w:rsidRPr="00027624">
        <w:t>Comparing outcomes for the working</w:t>
      </w:r>
      <w:r w:rsidR="00A8443E" w:rsidRPr="00027624">
        <w:noBreakHyphen/>
      </w:r>
      <w:r w:rsidRPr="00027624">
        <w:t>age population with those of retirees.</w:t>
      </w:r>
    </w:p>
    <w:p w14:paraId="765B293A" w14:textId="77777777" w:rsidR="0092760B" w:rsidRPr="00027624" w:rsidRDefault="0092760B" w:rsidP="002A2FAE">
      <w:pPr>
        <w:pStyle w:val="Heading2"/>
        <w:tabs>
          <w:tab w:val="left" w:pos="2694"/>
        </w:tabs>
      </w:pPr>
      <w:bookmarkStart w:id="412" w:name="_Ref45190854"/>
      <w:bookmarkStart w:id="413" w:name="_Toc45520455"/>
      <w:bookmarkStart w:id="414" w:name="_Toc46133566"/>
      <w:r w:rsidRPr="00027624">
        <w:t>Assessing the adequacy of the Age Pension</w:t>
      </w:r>
      <w:bookmarkEnd w:id="412"/>
      <w:bookmarkEnd w:id="413"/>
      <w:bookmarkEnd w:id="414"/>
    </w:p>
    <w:p w14:paraId="22498EEF" w14:textId="35EDF246" w:rsidR="0092760B" w:rsidRPr="00027624" w:rsidRDefault="0092760B" w:rsidP="002A2FAE">
      <w:pPr>
        <w:tabs>
          <w:tab w:val="left" w:pos="2694"/>
        </w:tabs>
      </w:pPr>
      <w:r w:rsidRPr="00027624">
        <w:t>Following the Harmer Review, the Age Pension was increased to better reflect community standards (</w:t>
      </w:r>
      <w:r w:rsidRPr="00027624">
        <w:fldChar w:fldCharType="begin"/>
      </w:r>
      <w:r w:rsidRPr="00027624">
        <w:instrText xml:space="preserve"> REF _Ref37072379 \r \h  \* MERGEFORMAT </w:instrText>
      </w:r>
      <w:r w:rsidRPr="00027624">
        <w:fldChar w:fldCharType="separate"/>
      </w:r>
      <w:r w:rsidR="00891058">
        <w:t>Box 2A-3</w:t>
      </w:r>
      <w:r w:rsidRPr="00027624">
        <w:fldChar w:fldCharType="end"/>
      </w:r>
      <w:r w:rsidRPr="00027624">
        <w:t>). The following is an assessment of whether the maximum rate of the Age Pension remains in line with community standards, based on considering a range of wage metrics, international pension systems, price changes and measures of absolute poverty.</w:t>
      </w:r>
    </w:p>
    <w:tbl>
      <w:tblPr>
        <w:tblStyle w:val="TableGrid"/>
        <w:tblpPr w:leftFromText="180" w:rightFromText="180" w:vertAnchor="text" w:horzAnchor="margin" w:tblpY="68"/>
        <w:tblW w:w="5000" w:type="pct"/>
        <w:shd w:val="clear" w:color="auto" w:fill="FFF8EA"/>
        <w:tblLook w:val="04A0" w:firstRow="1" w:lastRow="0" w:firstColumn="1" w:lastColumn="0" w:noHBand="0" w:noVBand="1"/>
      </w:tblPr>
      <w:tblGrid>
        <w:gridCol w:w="9070"/>
      </w:tblGrid>
      <w:tr w:rsidR="0092760B" w:rsidRPr="00027624" w14:paraId="2484E437" w14:textId="77777777" w:rsidTr="002A2FAE">
        <w:tc>
          <w:tcPr>
            <w:tcW w:w="5000" w:type="pct"/>
            <w:shd w:val="clear" w:color="auto" w:fill="FFF8EA"/>
          </w:tcPr>
          <w:p w14:paraId="7AFD19D9" w14:textId="77777777" w:rsidR="0092760B" w:rsidRPr="00027624" w:rsidRDefault="0092760B" w:rsidP="00325A8D">
            <w:pPr>
              <w:pStyle w:val="BoxHeading"/>
              <w:pageBreakBefore/>
            </w:pPr>
            <w:bookmarkStart w:id="415" w:name="_Ref37072379"/>
            <w:bookmarkStart w:id="416" w:name="_Ref40765465"/>
            <w:bookmarkEnd w:id="415"/>
            <w:r w:rsidRPr="00027624">
              <w:lastRenderedPageBreak/>
              <w:t>The Harmer Review and the 2009</w:t>
            </w:r>
            <w:r w:rsidR="00A8443E" w:rsidRPr="00027624">
              <w:noBreakHyphen/>
            </w:r>
            <w:r w:rsidRPr="00027624">
              <w:t xml:space="preserve">10 </w:t>
            </w:r>
            <w:r w:rsidRPr="00027624">
              <w:rPr>
                <w:i/>
              </w:rPr>
              <w:t>Secure and Sustainable Pensions Budget measure</w:t>
            </w:r>
            <w:bookmarkEnd w:id="416"/>
            <w:r w:rsidRPr="00027624">
              <w:rPr>
                <w:i/>
              </w:rPr>
              <w:t>s</w:t>
            </w:r>
          </w:p>
          <w:p w14:paraId="5AD58E6B" w14:textId="77777777" w:rsidR="0092760B" w:rsidRPr="00027624" w:rsidRDefault="0092760B" w:rsidP="002A2FAE">
            <w:pPr>
              <w:tabs>
                <w:tab w:val="left" w:pos="2694"/>
              </w:tabs>
            </w:pPr>
            <w:r w:rsidRPr="00027624">
              <w:t>The Harmer Review was the last major review to examine whether the level of the Age Pension was appropriate. To assess the adequacy of the Age Pension, the Harmer Review examined a range of indicators, including the value of the pension compared with prices and wages; comparisons with budget standards, international pension systems and poverty standards; and indicators of revealed wellbeing.</w:t>
            </w:r>
          </w:p>
          <w:p w14:paraId="4DC590FD" w14:textId="77777777" w:rsidR="0092760B" w:rsidRPr="00027624" w:rsidRDefault="0092760B" w:rsidP="002A2FAE">
            <w:pPr>
              <w:tabs>
                <w:tab w:val="left" w:pos="2694"/>
              </w:tabs>
            </w:pPr>
            <w:r w:rsidRPr="00027624">
              <w:t>The Harmer Review found that:</w:t>
            </w:r>
          </w:p>
          <w:p w14:paraId="2F5805E4" w14:textId="77777777" w:rsidR="0092760B" w:rsidRPr="00027624" w:rsidRDefault="0092760B" w:rsidP="0092760B">
            <w:pPr>
              <w:pStyle w:val="BoxBullet"/>
            </w:pPr>
            <w:r w:rsidRPr="00027624">
              <w:rPr>
                <w:b/>
              </w:rPr>
              <w:t>Pension rates did not fully recognise the costs faced by single pensioners living alone</w:t>
            </w:r>
            <w:r w:rsidRPr="00027624">
              <w:t xml:space="preserve"> and that the approach of paying ad hoc bonuses did not provide financial security</w:t>
            </w:r>
          </w:p>
          <w:p w14:paraId="5EE6B658" w14:textId="77777777" w:rsidR="0092760B" w:rsidRPr="00027624" w:rsidRDefault="0092760B" w:rsidP="002A2FAE">
            <w:pPr>
              <w:pStyle w:val="Bullet"/>
              <w:tabs>
                <w:tab w:val="left" w:pos="2694"/>
              </w:tabs>
              <w:ind w:left="0" w:firstLine="0"/>
            </w:pPr>
            <w:r w:rsidRPr="00027624">
              <w:rPr>
                <w:b/>
                <w:bCs/>
              </w:rPr>
              <w:t>Many pensioners who rented privately had high costs and poor outcomes</w:t>
            </w:r>
          </w:p>
          <w:p w14:paraId="53EE48DA" w14:textId="77777777" w:rsidR="0092760B" w:rsidRPr="00027624" w:rsidRDefault="0092760B" w:rsidP="0092760B">
            <w:pPr>
              <w:pStyle w:val="BoxBullet"/>
            </w:pPr>
            <w:r w:rsidRPr="00027624">
              <w:rPr>
                <w:b/>
              </w:rPr>
              <w:t>Indexation</w:t>
            </w:r>
            <w:r w:rsidRPr="00027624">
              <w:rPr>
                <w:b/>
                <w:bCs/>
              </w:rPr>
              <w:t xml:space="preserve"> arrangements for pensions needed to link pensions more transparently to community living standards</w:t>
            </w:r>
            <w:r w:rsidRPr="00027624">
              <w:t xml:space="preserve"> and better respond to the price changes experienced by pensioners </w:t>
            </w:r>
            <w:sdt>
              <w:sdtPr>
                <w:id w:val="-1402586983"/>
                <w:citation/>
              </w:sdtPr>
              <w:sdtEndPr/>
              <w:sdtContent>
                <w:r w:rsidRPr="00027624">
                  <w:fldChar w:fldCharType="begin"/>
                </w:r>
                <w:r w:rsidRPr="00027624">
                  <w:instrText xml:space="preserve">CITATION Har09 \l 3081 </w:instrText>
                </w:r>
                <w:r w:rsidRPr="00027624">
                  <w:fldChar w:fldCharType="separate"/>
                </w:r>
                <w:r w:rsidR="00E83F6E">
                  <w:rPr>
                    <w:noProof/>
                  </w:rPr>
                  <w:t>(Harmer, 2009)</w:t>
                </w:r>
                <w:r w:rsidRPr="00027624">
                  <w:fldChar w:fldCharType="end"/>
                </w:r>
              </w:sdtContent>
            </w:sdt>
          </w:p>
          <w:p w14:paraId="776DA8D6" w14:textId="77777777" w:rsidR="0092760B" w:rsidRPr="00027624" w:rsidRDefault="0092760B" w:rsidP="002A2FAE">
            <w:pPr>
              <w:tabs>
                <w:tab w:val="left" w:pos="2694"/>
              </w:tabs>
            </w:pPr>
            <w:r w:rsidRPr="00027624">
              <w:t xml:space="preserve">In response to the Harmer Review, the then Government implemented a suite of reforms (the </w:t>
            </w:r>
            <w:r w:rsidRPr="00027624">
              <w:rPr>
                <w:i/>
              </w:rPr>
              <w:t xml:space="preserve">Secure and Sustainable Pensions </w:t>
            </w:r>
            <w:r w:rsidRPr="00027624">
              <w:t>budget measure),</w:t>
            </w:r>
            <w:r w:rsidRPr="00027624">
              <w:rPr>
                <w:rStyle w:val="FootnoteReference"/>
              </w:rPr>
              <w:footnoteReference w:id="74"/>
            </w:r>
            <w:r w:rsidRPr="00027624">
              <w:t xml:space="preserve"> which included:</w:t>
            </w:r>
          </w:p>
          <w:p w14:paraId="44F30B2F" w14:textId="77777777" w:rsidR="0092760B" w:rsidRPr="00027624" w:rsidRDefault="0092760B" w:rsidP="0092760B">
            <w:pPr>
              <w:pStyle w:val="BoxBullet"/>
            </w:pPr>
            <w:r w:rsidRPr="00027624">
              <w:rPr>
                <w:b/>
              </w:rPr>
              <w:t>A one</w:t>
            </w:r>
            <w:r w:rsidR="00A8443E" w:rsidRPr="00027624">
              <w:rPr>
                <w:b/>
              </w:rPr>
              <w:noBreakHyphen/>
            </w:r>
            <w:r w:rsidRPr="00027624">
              <w:rPr>
                <w:b/>
              </w:rPr>
              <w:t>off increase to the maximum value of the single Age Pension</w:t>
            </w:r>
            <w:r w:rsidRPr="00027624">
              <w:t xml:space="preserve"> by just over $30 per week. The maximum value for couples was also increased by around $10 per week (see below).</w:t>
            </w:r>
          </w:p>
          <w:p w14:paraId="3B00E437" w14:textId="77777777" w:rsidR="0092760B" w:rsidRPr="00027624" w:rsidRDefault="0092760B" w:rsidP="0092760B">
            <w:pPr>
              <w:pStyle w:val="BoxBullet"/>
            </w:pPr>
            <w:r w:rsidRPr="00027624">
              <w:rPr>
                <w:b/>
              </w:rPr>
              <w:t>Changing the indexation arrangements of the Age Pension.</w:t>
            </w:r>
            <w:r w:rsidRPr="00027624">
              <w:t xml:space="preserve"> A new cost</w:t>
            </w:r>
            <w:r w:rsidR="00A8443E" w:rsidRPr="00027624">
              <w:noBreakHyphen/>
            </w:r>
            <w:r w:rsidRPr="00027624">
              <w:t>of</w:t>
            </w:r>
            <w:r w:rsidR="00A8443E" w:rsidRPr="00027624">
              <w:noBreakHyphen/>
            </w:r>
            <w:r w:rsidRPr="00027624">
              <w:t xml:space="preserve">living index, the </w:t>
            </w:r>
            <w:bookmarkStart w:id="417" w:name="_Hlk45187171"/>
            <w:r w:rsidRPr="00027624">
              <w:t>Pensioner and Beneficiary Living Cost Index</w:t>
            </w:r>
            <w:bookmarkEnd w:id="417"/>
            <w:r w:rsidRPr="00027624">
              <w:t>, was introduced to more closely measure the living costs faced by these households. Since these changes, the Age Pension has been adjusted in line with either the Consumer Price Index (CPI) or Pensioner and Beneficiary Living Cost Index, whichever is the higher.</w:t>
            </w:r>
          </w:p>
          <w:p w14:paraId="2C3FD92A" w14:textId="77777777" w:rsidR="0092760B" w:rsidRPr="00027624" w:rsidRDefault="0092760B" w:rsidP="0092760B">
            <w:pPr>
              <w:pStyle w:val="BoxBullet"/>
            </w:pPr>
            <w:r w:rsidRPr="00027624">
              <w:rPr>
                <w:b/>
              </w:rPr>
              <w:t>Changing</w:t>
            </w:r>
            <w:r w:rsidRPr="00027624">
              <w:rPr>
                <w:b/>
                <w:bCs/>
              </w:rPr>
              <w:t xml:space="preserve"> how the Age Pension is benchmarked to wages</w:t>
            </w:r>
            <w:r w:rsidRPr="00027624">
              <w:t>. The maximum combined couple rate of pension was benchmarked to 41.76 per cent of male total average weekly earnings. The rate of the single pension was increased to 27.7 per cent of male total average weekly earnings</w:t>
            </w:r>
            <w:r w:rsidRPr="00027624" w:rsidDel="0071503F">
              <w:t xml:space="preserve"> </w:t>
            </w:r>
            <w:r w:rsidRPr="00027624">
              <w:t>— up from 25 per cent of male total average weekly earnings.</w:t>
            </w:r>
            <w:r w:rsidRPr="00027624" w:rsidDel="0071503F">
              <w:t xml:space="preserve"> </w:t>
            </w:r>
          </w:p>
          <w:p w14:paraId="287AE92A" w14:textId="77777777" w:rsidR="0092760B" w:rsidRPr="00027624" w:rsidRDefault="0092760B" w:rsidP="0092760B">
            <w:pPr>
              <w:pStyle w:val="BoxBullet"/>
            </w:pPr>
            <w:r w:rsidRPr="00027624">
              <w:rPr>
                <w:b/>
              </w:rPr>
              <w:t>Merging pension supplements into a single supplement</w:t>
            </w:r>
            <w:r w:rsidRPr="00027624">
              <w:t>. The total value of the supplements also increased by around $2.50 a week for singles and $10 a week for couples combined.</w:t>
            </w:r>
          </w:p>
          <w:p w14:paraId="0E4FBFFC" w14:textId="77777777" w:rsidR="0092760B" w:rsidRPr="00027624" w:rsidRDefault="0092760B" w:rsidP="002A2FAE">
            <w:pPr>
              <w:pStyle w:val="Bullet"/>
              <w:numPr>
                <w:ilvl w:val="0"/>
                <w:numId w:val="0"/>
              </w:numPr>
              <w:tabs>
                <w:tab w:val="left" w:pos="2694"/>
              </w:tabs>
            </w:pPr>
            <w:r w:rsidRPr="00027624">
              <w:t>The extra support offered to age pensioners whose rent was not changed, despite the Harmer Review identifying this group as having poorer outcomes than other pensioners.</w:t>
            </w:r>
          </w:p>
        </w:tc>
      </w:tr>
    </w:tbl>
    <w:p w14:paraId="1933D844" w14:textId="77777777" w:rsidR="0092760B" w:rsidRPr="00027624" w:rsidRDefault="0092760B" w:rsidP="002A2FAE">
      <w:pPr>
        <w:pStyle w:val="Heading3"/>
        <w:tabs>
          <w:tab w:val="left" w:pos="2694"/>
        </w:tabs>
      </w:pPr>
      <w:r w:rsidRPr="00027624">
        <w:t>Social benchmarks</w:t>
      </w:r>
    </w:p>
    <w:p w14:paraId="74FC6AB6" w14:textId="77777777" w:rsidR="0092760B" w:rsidRPr="00027624" w:rsidRDefault="0092760B" w:rsidP="00AD52A5">
      <w:pPr>
        <w:tabs>
          <w:tab w:val="left" w:pos="2694"/>
        </w:tabs>
        <w:spacing w:after="0"/>
      </w:pPr>
      <w:r w:rsidRPr="00027624">
        <w:t>Given wages growth is commonly used as a proxy for changes in community living standards, the Age Pension should increase in line with worker incomes to maintain basic living standards in retirement.</w:t>
      </w:r>
    </w:p>
    <w:p w14:paraId="1296C94C" w14:textId="77777777" w:rsidR="0092760B" w:rsidRPr="00027624" w:rsidRDefault="0092760B" w:rsidP="00AD52A5">
      <w:pPr>
        <w:pStyle w:val="Heading4"/>
        <w:tabs>
          <w:tab w:val="left" w:pos="2694"/>
        </w:tabs>
        <w:spacing w:before="240"/>
      </w:pPr>
      <w:r w:rsidRPr="00027624">
        <w:t>The Age Pension compared with wages</w:t>
      </w:r>
    </w:p>
    <w:p w14:paraId="3DB521C8" w14:textId="7A800B2B" w:rsidR="0092760B" w:rsidRPr="00027624" w:rsidRDefault="0092760B" w:rsidP="002A2FAE">
      <w:pPr>
        <w:tabs>
          <w:tab w:val="left" w:pos="2694"/>
        </w:tabs>
        <w:spacing w:before="0"/>
      </w:pPr>
      <w:r w:rsidRPr="00027624">
        <w:t>Since the 2009 reforms, the Age Pension has grown faster than wages (</w:t>
      </w:r>
      <w:r w:rsidRPr="00027624">
        <w:fldChar w:fldCharType="begin"/>
      </w:r>
      <w:r w:rsidRPr="00027624">
        <w:instrText xml:space="preserve"> REF _Ref38264184 \r \h  \* MERGEFORMAT </w:instrText>
      </w:r>
      <w:r w:rsidRPr="00027624">
        <w:fldChar w:fldCharType="separate"/>
      </w:r>
      <w:r w:rsidR="00891058">
        <w:t>Chart 2A-1</w:t>
      </w:r>
      <w:r w:rsidRPr="00027624">
        <w:fldChar w:fldCharType="end"/>
      </w:r>
      <w:r w:rsidRPr="00027624">
        <w:t>) due to its indexation arrangements, which consist of two components:</w:t>
      </w:r>
    </w:p>
    <w:p w14:paraId="68DDBFD5" w14:textId="77777777" w:rsidR="0092760B" w:rsidRPr="00027624" w:rsidRDefault="0092760B" w:rsidP="00FC7361">
      <w:pPr>
        <w:pStyle w:val="OutlineNumbered1"/>
        <w:numPr>
          <w:ilvl w:val="0"/>
          <w:numId w:val="80"/>
        </w:numPr>
      </w:pPr>
      <w:r w:rsidRPr="00027624">
        <w:t xml:space="preserve">The Age Pension </w:t>
      </w:r>
      <w:r w:rsidRPr="00027624">
        <w:rPr>
          <w:b/>
          <w:bCs/>
        </w:rPr>
        <w:t>base rate</w:t>
      </w:r>
      <w:r w:rsidRPr="00027624">
        <w:t xml:space="preserve"> is increased using whichever is higher of the Pensioner and Beneficiary Living Cost Index or the CPI. The rate of the Age Pension is then set based on the higher of this indexed amount or the wages benchmark, which is 27.7 per cent of male total average weekly earnings for the single rate of the Age Pension.</w:t>
      </w:r>
    </w:p>
    <w:p w14:paraId="1E1547D7" w14:textId="77777777" w:rsidR="0092760B" w:rsidRPr="00027624" w:rsidRDefault="0092760B" w:rsidP="00881D46">
      <w:pPr>
        <w:pStyle w:val="OutlineNumbered1"/>
      </w:pPr>
      <w:r w:rsidRPr="00027624">
        <w:t>The</w:t>
      </w:r>
      <w:r w:rsidRPr="00027624">
        <w:rPr>
          <w:b/>
        </w:rPr>
        <w:t xml:space="preserve"> Pension Supplement</w:t>
      </w:r>
      <w:r w:rsidRPr="00027624">
        <w:t xml:space="preserve"> is provided in addition to the base rate and is indexed to the CPI.</w:t>
      </w:r>
    </w:p>
    <w:p w14:paraId="3171C771" w14:textId="3CCA4182" w:rsidR="0092760B" w:rsidRPr="00027624" w:rsidRDefault="0092760B" w:rsidP="002A2FAE">
      <w:pPr>
        <w:tabs>
          <w:tab w:val="left" w:pos="2694"/>
        </w:tabs>
        <w:spacing w:before="0"/>
      </w:pPr>
      <w:r w:rsidRPr="00027624">
        <w:rPr>
          <w:b/>
        </w:rPr>
        <w:lastRenderedPageBreak/>
        <w:t xml:space="preserve">Combined with low wages growth, these indexation arrangements have resulted in the Age Pension rising faster than wages from early 2014 </w:t>
      </w:r>
      <w:r w:rsidRPr="00027624">
        <w:t>(</w:t>
      </w:r>
      <w:r w:rsidRPr="00027624">
        <w:fldChar w:fldCharType="begin"/>
      </w:r>
      <w:r w:rsidRPr="00027624">
        <w:instrText xml:space="preserve"> REF _Ref44487383 \r \h  \* MERGEFORMAT </w:instrText>
      </w:r>
      <w:r w:rsidRPr="00027624">
        <w:fldChar w:fldCharType="separate"/>
      </w:r>
      <w:r w:rsidR="00891058">
        <w:t>Chart 2A-1</w:t>
      </w:r>
      <w:r w:rsidRPr="00027624">
        <w:fldChar w:fldCharType="end"/>
      </w:r>
      <w:r w:rsidRPr="00027624">
        <w:t>). The base rate of the Age Pension is currently about 4 per cent above the wages benchmark. The increase above the wages benchmark is not permanent and the Age Pension is expected to return to its benchmark rate in the long run.</w:t>
      </w:r>
    </w:p>
    <w:p w14:paraId="74FD06B3" w14:textId="77777777" w:rsidR="0092760B" w:rsidRPr="00027624" w:rsidRDefault="0092760B" w:rsidP="002A2FAE">
      <w:pPr>
        <w:tabs>
          <w:tab w:val="left" w:pos="2694"/>
        </w:tabs>
        <w:spacing w:before="0"/>
      </w:pPr>
      <w:r w:rsidRPr="00027624">
        <w:t>For many retirees, the Age Pension provides a higher level of income than they receive during working life after adjusting for tax. For example, the maximum</w:t>
      </w:r>
      <w:r w:rsidR="00A8443E" w:rsidRPr="00027624">
        <w:noBreakHyphen/>
      </w:r>
      <w:r w:rsidRPr="00027624">
        <w:t>rate Age Pension is higher than wages for 21 per cent of people, and 15 per cent of households, aged 25</w:t>
      </w:r>
      <w:r w:rsidR="00A8443E" w:rsidRPr="00027624">
        <w:noBreakHyphen/>
      </w:r>
      <w:r w:rsidRPr="00027624">
        <w:t>64.</w:t>
      </w:r>
    </w:p>
    <w:p w14:paraId="29F6FA43" w14:textId="77777777" w:rsidR="0092760B" w:rsidRPr="0006635D" w:rsidRDefault="0092760B" w:rsidP="00FC7361">
      <w:pPr>
        <w:pStyle w:val="ChartMainHeading"/>
        <w:numPr>
          <w:ilvl w:val="2"/>
          <w:numId w:val="62"/>
        </w:numPr>
      </w:pPr>
      <w:bookmarkStart w:id="418" w:name="_Ref38264184"/>
      <w:bookmarkStart w:id="419" w:name="_Ref44487383"/>
      <w:r w:rsidRPr="0006635D">
        <w:t>Maximum rate of the single Age Pension as a proportion of wage benchmarks</w:t>
      </w:r>
      <w:bookmarkEnd w:id="418"/>
      <w:bookmarkEnd w:id="419"/>
    </w:p>
    <w:p w14:paraId="02EBB249" w14:textId="77777777" w:rsidR="0092760B" w:rsidRPr="00027624" w:rsidRDefault="006745B4" w:rsidP="002A2FAE">
      <w:pPr>
        <w:pStyle w:val="ChartGraphic"/>
        <w:rPr>
          <w:noProof/>
        </w:rPr>
      </w:pPr>
      <w:r>
        <w:rPr>
          <w:noProof/>
        </w:rPr>
        <w:drawing>
          <wp:inline distT="0" distB="0" distL="0" distR="0" wp14:anchorId="71A29542" wp14:editId="0544E8EF">
            <wp:extent cx="5577840" cy="2522220"/>
            <wp:effectExtent l="0" t="0" r="3810" b="0"/>
            <wp:docPr id="983014705" name="Picture 983014705" descr="This chart shows that the value of the maximum single Age Pension as a proportion of different wage measures. Its value has increased following the one-off boost in 2009 from around 25 per cent to around 31 per cent of male total average weekly earnings today. After the one-off increase, the Age Pension has gradually increased further as a proportion of male total average weekly earnings. Similarly, the Age Pension has increased relative to other wage measures such as the minimum wage, average weekly earnings, and average full-time earnings." title="Chart 2A-1 Maximum rate of the single Age Pension as a proportion of wage bench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7235B1C" w14:textId="77777777" w:rsidR="0092760B" w:rsidRPr="00027624" w:rsidRDefault="0092760B" w:rsidP="002A2FAE">
      <w:pPr>
        <w:pStyle w:val="ChartorTableNote"/>
        <w:rPr>
          <w:lang w:eastAsia="en-US"/>
        </w:rPr>
      </w:pPr>
      <w:r w:rsidRPr="00027624">
        <w:rPr>
          <w:lang w:eastAsia="en-US"/>
        </w:rPr>
        <w:t xml:space="preserve">Note: AWE: average weekly earnings, measures the total earnings of all workers. AWOTE: average weekly ordinary time earnings, measures earnings based on award, standard or agreed hours of work and excludes overtime and salary sacrificed income. MTAWE: male total average weekly earnings, measures total earnings of all male workers. AWOTE is in seasonally adjusted terms. Source: Analysis of data provided by The Treasury and </w:t>
      </w:r>
      <w:sdt>
        <w:sdtPr>
          <w:rPr>
            <w:lang w:eastAsia="en-US"/>
          </w:rPr>
          <w:id w:val="-417872202"/>
          <w:citation/>
        </w:sdtPr>
        <w:sdtEndPr/>
        <w:sdtContent>
          <w:r w:rsidRPr="00027624">
            <w:rPr>
              <w:lang w:eastAsia="en-US"/>
            </w:rPr>
            <w:fldChar w:fldCharType="begin"/>
          </w:r>
          <w:r w:rsidR="00973961" w:rsidRPr="00027624">
            <w:rPr>
              <w:lang w:eastAsia="en-US"/>
            </w:rPr>
            <w:instrText>CITATION ABS20d \l 3081  \m Fai191</w:instrText>
          </w:r>
          <w:r w:rsidRPr="00027624">
            <w:rPr>
              <w:lang w:eastAsia="en-US"/>
            </w:rPr>
            <w:fldChar w:fldCharType="separate"/>
          </w:r>
          <w:r w:rsidR="00E83F6E">
            <w:rPr>
              <w:noProof/>
              <w:lang w:eastAsia="en-US"/>
            </w:rPr>
            <w:t>(ABS, 2020d; Fair Work Commission, 2019c)</w:t>
          </w:r>
          <w:r w:rsidRPr="00027624">
            <w:rPr>
              <w:lang w:eastAsia="en-US"/>
            </w:rPr>
            <w:fldChar w:fldCharType="end"/>
          </w:r>
        </w:sdtContent>
      </w:sdt>
      <w:r w:rsidRPr="00027624">
        <w:rPr>
          <w:lang w:eastAsia="en-US"/>
        </w:rPr>
        <w:t>.</w:t>
      </w:r>
    </w:p>
    <w:p w14:paraId="126B0AAF" w14:textId="77777777" w:rsidR="0092760B" w:rsidRPr="00027624" w:rsidRDefault="0092760B" w:rsidP="002A2FAE">
      <w:pPr>
        <w:pStyle w:val="Heading4"/>
        <w:tabs>
          <w:tab w:val="left" w:pos="2694"/>
        </w:tabs>
      </w:pPr>
      <w:r w:rsidRPr="00027624">
        <w:t>The Age Pension compared with prices</w:t>
      </w:r>
    </w:p>
    <w:p w14:paraId="2F8586F6" w14:textId="77777777" w:rsidR="0092760B" w:rsidRPr="00027624" w:rsidRDefault="0092760B" w:rsidP="002A2FAE">
      <w:pPr>
        <w:tabs>
          <w:tab w:val="left" w:pos="2694"/>
        </w:tabs>
        <w:spacing w:before="0"/>
      </w:pPr>
      <w:r w:rsidRPr="00027624">
        <w:t>The real value of the Age Pension has increased since the 2009 reforms, up 10 per cent since 2010. In nominal (unadjusted) terms, the Age Pension has increased by 32 per cent while the CPI has increased by 20 per cent.</w:t>
      </w:r>
    </w:p>
    <w:p w14:paraId="3097455D" w14:textId="77777777" w:rsidR="0092760B" w:rsidRPr="00027624" w:rsidRDefault="0092760B" w:rsidP="002A2FAE">
      <w:pPr>
        <w:tabs>
          <w:tab w:val="left" w:pos="2694"/>
        </w:tabs>
        <w:spacing w:before="0"/>
      </w:pPr>
      <w:r w:rsidRPr="00027624">
        <w:t>The ABS has three living cost indices to reflect the goods and services used by older Australians.</w:t>
      </w:r>
    </w:p>
    <w:p w14:paraId="364CCAE4" w14:textId="77777777" w:rsidR="0092760B" w:rsidRPr="00027624" w:rsidRDefault="0092760B" w:rsidP="00881D46">
      <w:pPr>
        <w:pStyle w:val="Bullet"/>
      </w:pPr>
      <w:r w:rsidRPr="00027624">
        <w:rPr>
          <w:b/>
        </w:rPr>
        <w:t>The Pensioner and Beneficiary Living Cost Index</w:t>
      </w:r>
      <w:r w:rsidRPr="00027624">
        <w:t xml:space="preserve"> measures the effect of changes in prices on the out</w:t>
      </w:r>
      <w:r w:rsidR="00A8443E" w:rsidRPr="00027624">
        <w:noBreakHyphen/>
      </w:r>
      <w:r w:rsidRPr="00027624">
        <w:t>of</w:t>
      </w:r>
      <w:r w:rsidR="00A8443E" w:rsidRPr="00027624">
        <w:noBreakHyphen/>
      </w:r>
      <w:r w:rsidRPr="00027624">
        <w:t>pocket living expenses experienced by age pensioner households and households receiving other social security benefits. Housing, food and non</w:t>
      </w:r>
      <w:r w:rsidR="00A8443E" w:rsidRPr="00027624">
        <w:noBreakHyphen/>
      </w:r>
      <w:r w:rsidRPr="00027624">
        <w:t>alcoholic beverages are the highest weighted spending categories under this index.</w:t>
      </w:r>
    </w:p>
    <w:p w14:paraId="3B1058F5" w14:textId="77777777" w:rsidR="0092760B" w:rsidRPr="00027624" w:rsidRDefault="0092760B" w:rsidP="00881D46">
      <w:pPr>
        <w:pStyle w:val="Bullet"/>
      </w:pPr>
      <w:r w:rsidRPr="00027624">
        <w:rPr>
          <w:b/>
        </w:rPr>
        <w:t>The self</w:t>
      </w:r>
      <w:r w:rsidR="00A8443E" w:rsidRPr="00027624">
        <w:rPr>
          <w:b/>
        </w:rPr>
        <w:noBreakHyphen/>
      </w:r>
      <w:r w:rsidRPr="00027624">
        <w:rPr>
          <w:b/>
        </w:rPr>
        <w:t>funded retiree living cost index</w:t>
      </w:r>
      <w:r w:rsidRPr="00027624">
        <w:t xml:space="preserve"> measures the effect of changes in prices on the out</w:t>
      </w:r>
      <w:r w:rsidR="00A8443E" w:rsidRPr="00027624">
        <w:noBreakHyphen/>
      </w:r>
      <w:r w:rsidRPr="00027624">
        <w:t>of</w:t>
      </w:r>
      <w:r w:rsidR="00A8443E" w:rsidRPr="00027624">
        <w:noBreakHyphen/>
      </w:r>
      <w:r w:rsidRPr="00027624">
        <w:t>pocket expenses of self</w:t>
      </w:r>
      <w:r w:rsidR="00A8443E" w:rsidRPr="00027624">
        <w:noBreakHyphen/>
      </w:r>
      <w:r w:rsidRPr="00027624">
        <w:t>funded retirees. This index weights expenditure on recreation and culture, and alcohol and tobacco more highly than other indices. Housing costs have a relatively lower weight, reflecting high levels of home ownership among self</w:t>
      </w:r>
      <w:r w:rsidR="00A8443E" w:rsidRPr="00027624">
        <w:noBreakHyphen/>
      </w:r>
      <w:r w:rsidRPr="00027624">
        <w:t>funded retirees.</w:t>
      </w:r>
    </w:p>
    <w:p w14:paraId="7D317775" w14:textId="77777777" w:rsidR="0092760B" w:rsidRPr="00027624" w:rsidRDefault="0092760B" w:rsidP="00881D46">
      <w:pPr>
        <w:pStyle w:val="Bullet"/>
      </w:pPr>
      <w:r w:rsidRPr="00027624">
        <w:rPr>
          <w:b/>
          <w:bCs/>
        </w:rPr>
        <w:t>The age pensioner living cost index</w:t>
      </w:r>
      <w:r w:rsidRPr="00027624">
        <w:t xml:space="preserve"> measures the effect of price changes on the out</w:t>
      </w:r>
      <w:r w:rsidR="00A8443E" w:rsidRPr="00027624">
        <w:noBreakHyphen/>
      </w:r>
      <w:r w:rsidRPr="00027624">
        <w:t>of</w:t>
      </w:r>
      <w:r w:rsidR="00A8443E" w:rsidRPr="00027624">
        <w:noBreakHyphen/>
      </w:r>
      <w:r w:rsidRPr="00027624">
        <w:t>pocket expenses of all age pensioners. This index has a similar composition to the Pensioner and Beneficiary Living Cost Index, but it places greater weight on recreation and health spending, and slightly less weight on housing costs.</w:t>
      </w:r>
    </w:p>
    <w:p w14:paraId="6DC0B624" w14:textId="4C507DB4" w:rsidR="0092760B" w:rsidRPr="00027624" w:rsidRDefault="0092760B" w:rsidP="002A2FAE">
      <w:pPr>
        <w:tabs>
          <w:tab w:val="left" w:pos="2694"/>
        </w:tabs>
        <w:spacing w:before="0"/>
      </w:pPr>
      <w:r w:rsidRPr="00027624">
        <w:t>These indices have all increased by around 20</w:t>
      </w:r>
      <w:r w:rsidR="00A8443E" w:rsidRPr="00027624">
        <w:noBreakHyphen/>
      </w:r>
      <w:r w:rsidRPr="00027624">
        <w:t>21 per cent since 2010 (</w:t>
      </w:r>
      <w:r w:rsidRPr="00027624">
        <w:fldChar w:fldCharType="begin"/>
      </w:r>
      <w:r w:rsidRPr="00027624">
        <w:instrText xml:space="preserve"> REF _Ref43470598 \r \h </w:instrText>
      </w:r>
      <w:r w:rsidR="00FA7639" w:rsidRPr="00027624">
        <w:instrText xml:space="preserve"> \* MERGEFORMAT </w:instrText>
      </w:r>
      <w:r w:rsidRPr="00027624">
        <w:fldChar w:fldCharType="separate"/>
      </w:r>
      <w:r w:rsidR="00891058">
        <w:t>Chart 2A-2</w:t>
      </w:r>
      <w:r w:rsidRPr="00027624">
        <w:fldChar w:fldCharType="end"/>
      </w:r>
      <w:r w:rsidRPr="00027624">
        <w:t>).</w:t>
      </w:r>
    </w:p>
    <w:p w14:paraId="15187FFD" w14:textId="77777777" w:rsidR="0092760B" w:rsidRPr="00027624" w:rsidRDefault="0092760B" w:rsidP="00FC7361">
      <w:pPr>
        <w:pStyle w:val="ChartMainHeading"/>
        <w:numPr>
          <w:ilvl w:val="2"/>
          <w:numId w:val="62"/>
        </w:numPr>
      </w:pPr>
      <w:bookmarkStart w:id="420" w:name="_Ref43470598"/>
      <w:r w:rsidRPr="00027624">
        <w:lastRenderedPageBreak/>
        <w:t>Increase in the value of the Age Pension, wages and price indices</w:t>
      </w:r>
      <w:bookmarkEnd w:id="420"/>
    </w:p>
    <w:p w14:paraId="67F2B897" w14:textId="77777777" w:rsidR="0092760B" w:rsidRPr="00027624" w:rsidRDefault="006745B4" w:rsidP="002A2FAE">
      <w:pPr>
        <w:pStyle w:val="ChartGraphic"/>
      </w:pPr>
      <w:r>
        <w:rPr>
          <w:noProof/>
        </w:rPr>
        <w:drawing>
          <wp:inline distT="0" distB="0" distL="0" distR="0" wp14:anchorId="3FA8D84A" wp14:editId="4B7E62F4">
            <wp:extent cx="5443200" cy="2473200"/>
            <wp:effectExtent l="0" t="0" r="5715" b="3810"/>
            <wp:docPr id="983014706" name="Picture 983014706" descr="This chart shows that between July 2010 and July 2019, the value of the maximum single Age Pension increased 32 per cent, faster than average weekly wages, which increased by almost 27 per cent. Cost of living measures, such as the consumer price index and the pensioner and beneficiaries living cost index, have increased by around 20-21 per cent. " title="Chart 2A-2 Increase in the value of the Age Pension, wages and price i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43200" cy="2473200"/>
                    </a:xfrm>
                    <a:prstGeom prst="rect">
                      <a:avLst/>
                    </a:prstGeom>
                    <a:noFill/>
                  </pic:spPr>
                </pic:pic>
              </a:graphicData>
            </a:graphic>
          </wp:inline>
        </w:drawing>
      </w:r>
    </w:p>
    <w:p w14:paraId="65A07516" w14:textId="77777777" w:rsidR="0092760B" w:rsidRPr="00027624" w:rsidRDefault="0092760B" w:rsidP="00DD237F">
      <w:pPr>
        <w:pStyle w:val="ChartorTableNote"/>
        <w:tabs>
          <w:tab w:val="left" w:pos="2694"/>
        </w:tabs>
        <w:spacing w:after="180"/>
      </w:pPr>
      <w:r w:rsidRPr="00027624">
        <w:t xml:space="preserve">Note: Measures growth in value of indices since 1 July 2010. Wages is based on average weekly earnings, in original terms. Source: Analysis of </w:t>
      </w:r>
      <w:sdt>
        <w:sdtPr>
          <w:id w:val="1331093766"/>
          <w:citation/>
        </w:sdtPr>
        <w:sdtEndPr/>
        <w:sdtContent>
          <w:r w:rsidRPr="00027624">
            <w:fldChar w:fldCharType="begin"/>
          </w:r>
          <w:r w:rsidR="00041075" w:rsidRPr="00027624">
            <w:instrText xml:space="preserve">CITATION ABS202e \l 3081 </w:instrText>
          </w:r>
          <w:r w:rsidRPr="00027624">
            <w:fldChar w:fldCharType="separate"/>
          </w:r>
          <w:r w:rsidR="00E83F6E">
            <w:rPr>
              <w:noProof/>
            </w:rPr>
            <w:t>(ABS, 2020e)</w:t>
          </w:r>
          <w:r w:rsidRPr="00027624">
            <w:fldChar w:fldCharType="end"/>
          </w:r>
        </w:sdtContent>
      </w:sdt>
      <w:sdt>
        <w:sdtPr>
          <w:id w:val="-1602791469"/>
          <w:citation/>
        </w:sdtPr>
        <w:sdtEndPr/>
        <w:sdtContent>
          <w:r w:rsidR="00041075" w:rsidRPr="00027624">
            <w:fldChar w:fldCharType="begin"/>
          </w:r>
          <w:r w:rsidR="00041075" w:rsidRPr="00027624">
            <w:instrText xml:space="preserve"> CITATION ABS202 \l 3081 </w:instrText>
          </w:r>
          <w:r w:rsidR="00041075" w:rsidRPr="00027624">
            <w:fldChar w:fldCharType="separate"/>
          </w:r>
          <w:r w:rsidR="00E83F6E">
            <w:rPr>
              <w:noProof/>
            </w:rPr>
            <w:t xml:space="preserve"> (ABS, 2020q)</w:t>
          </w:r>
          <w:r w:rsidR="00041075" w:rsidRPr="00027624">
            <w:fldChar w:fldCharType="end"/>
          </w:r>
        </w:sdtContent>
      </w:sdt>
      <w:r w:rsidRPr="00027624">
        <w:t xml:space="preserve">, and </w:t>
      </w:r>
      <w:r w:rsidR="00041075" w:rsidRPr="00027624">
        <w:t>data provided by the Treasury</w:t>
      </w:r>
      <w:r w:rsidRPr="00027624">
        <w:t>.</w:t>
      </w:r>
    </w:p>
    <w:p w14:paraId="57B8ACF9" w14:textId="195F5FB5" w:rsidR="0092760B" w:rsidRPr="00027624" w:rsidRDefault="0092760B" w:rsidP="002A2FAE">
      <w:pPr>
        <w:tabs>
          <w:tab w:val="left" w:pos="2694"/>
        </w:tabs>
        <w:spacing w:before="0"/>
      </w:pPr>
      <w:r w:rsidRPr="00027624">
        <w:t>The two largest expenses for most age pensioner households (food and housing costs) have both grown below the rate of increase in the Age Pension over the past decade (</w:t>
      </w:r>
      <w:r w:rsidRPr="00027624">
        <w:fldChar w:fldCharType="begin"/>
      </w:r>
      <w:r w:rsidRPr="00027624">
        <w:instrText xml:space="preserve"> REF _Ref44495402 \r \h  \* MERGEFORMAT </w:instrText>
      </w:r>
      <w:r w:rsidRPr="00027624">
        <w:fldChar w:fldCharType="separate"/>
      </w:r>
      <w:r w:rsidR="00891058">
        <w:t>Chart 2A-3</w:t>
      </w:r>
      <w:r w:rsidRPr="00027624">
        <w:fldChar w:fldCharType="end"/>
      </w:r>
      <w:r w:rsidRPr="00027624">
        <w:t xml:space="preserve">). Although alcohol and tobacco price increases have grown at a faster rate than the Age Pension, these are small areas of expense for retirees. Health prices, where spending accounts for around 10 per cent of household budgets, have also outpaced increases in the Age Pension. This is not a significant issue for many retirees as the government significantly helps age pensioners meet their health costs (see </w:t>
      </w:r>
      <w:r w:rsidRPr="00027624">
        <w:fldChar w:fldCharType="begin"/>
      </w:r>
      <w:r w:rsidRPr="00027624">
        <w:instrText xml:space="preserve"> REF _Ref35448429 \r \h  \* MERGEFORMAT </w:instrText>
      </w:r>
      <w:r w:rsidRPr="00027624">
        <w:fldChar w:fldCharType="separate"/>
      </w:r>
      <w:r w:rsidR="00891058">
        <w:t>Box 2A-4</w:t>
      </w:r>
      <w:r w:rsidRPr="00027624">
        <w:fldChar w:fldCharType="end"/>
      </w:r>
      <w:r w:rsidRPr="00027624">
        <w:t>).</w:t>
      </w:r>
    </w:p>
    <w:p w14:paraId="62D0C072" w14:textId="77777777" w:rsidR="0092760B" w:rsidRPr="00027624" w:rsidRDefault="0092760B" w:rsidP="00FC7361">
      <w:pPr>
        <w:pStyle w:val="ChartMainHeading"/>
        <w:numPr>
          <w:ilvl w:val="2"/>
          <w:numId w:val="62"/>
        </w:numPr>
      </w:pPr>
      <w:bookmarkStart w:id="421" w:name="_Ref37255763"/>
      <w:bookmarkStart w:id="422" w:name="_Ref43723526"/>
      <w:bookmarkStart w:id="423" w:name="_Ref44495402"/>
      <w:r w:rsidRPr="00027624">
        <w:t>Age pensioner expenses and price increases</w:t>
      </w:r>
      <w:bookmarkEnd w:id="421"/>
      <w:bookmarkEnd w:id="422"/>
      <w:bookmarkEnd w:id="423"/>
      <w:r w:rsidRPr="00027624">
        <w:t xml:space="preserve"> by category</w:t>
      </w:r>
    </w:p>
    <w:p w14:paraId="7D73B625" w14:textId="77777777" w:rsidR="0092760B" w:rsidRPr="00027624" w:rsidRDefault="006745B4" w:rsidP="002A2FAE">
      <w:pPr>
        <w:pStyle w:val="ChartGraphic"/>
      </w:pPr>
      <w:r>
        <w:rPr>
          <w:noProof/>
        </w:rPr>
        <w:drawing>
          <wp:inline distT="0" distB="0" distL="0" distR="0" wp14:anchorId="4AA6FCD6" wp14:editId="033E818D">
            <wp:extent cx="5508000" cy="2473200"/>
            <wp:effectExtent l="0" t="0" r="0" b="3810"/>
            <wp:docPr id="983014707" name="Picture 983014707" descr="This chart shows that the average annual increase in the maximum single Age Pension has increased faster than the average annual increase for most expenditure categories over the period September 2009 to September 2019. The only expense categories that increased faster than the rate of increase in the Age Pension were: &#10;- health expenses, which make up around 10 per cent of pensioners’ expenses and increased around 4 per cent on average per year; and&#10;- alcohol and tobacco, which makes up 6 per cent of total expenses and increased at a rate of 6 per cent per year on average.&#10;" title="Chart 2A-3 Age pensioner expenses and price increases by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08000" cy="2473200"/>
                    </a:xfrm>
                    <a:prstGeom prst="rect">
                      <a:avLst/>
                    </a:prstGeom>
                    <a:noFill/>
                  </pic:spPr>
                </pic:pic>
              </a:graphicData>
            </a:graphic>
          </wp:inline>
        </w:drawing>
      </w:r>
    </w:p>
    <w:p w14:paraId="5B1F9663" w14:textId="77777777" w:rsidR="0092760B" w:rsidRPr="00027624" w:rsidRDefault="0092760B" w:rsidP="00DD237F">
      <w:pPr>
        <w:pStyle w:val="ChartorTableNote"/>
        <w:spacing w:after="180"/>
      </w:pPr>
      <w:r w:rsidRPr="00027624">
        <w:t xml:space="preserve">Note: Price and Age Pension increases are the average annual increase in value between 2009 and 2019. Share of expenditure is at September 2017. Source: </w:t>
      </w:r>
      <w:sdt>
        <w:sdtPr>
          <w:id w:val="1739899160"/>
          <w:citation/>
        </w:sdtPr>
        <w:sdtEndPr/>
        <w:sdtContent>
          <w:r w:rsidRPr="00027624">
            <w:fldChar w:fldCharType="begin"/>
          </w:r>
          <w:r w:rsidR="00041075" w:rsidRPr="00027624">
            <w:instrText>CITATION ABS202e \m ABS7e \l 3081  \m ABSdfd</w:instrText>
          </w:r>
          <w:r w:rsidRPr="00027624">
            <w:fldChar w:fldCharType="separate"/>
          </w:r>
          <w:r w:rsidR="00E83F6E">
            <w:rPr>
              <w:noProof/>
            </w:rPr>
            <w:t>(ABS, 2020e; ABS, 2017f; ABS, 2017e)</w:t>
          </w:r>
          <w:r w:rsidRPr="00027624">
            <w:fldChar w:fldCharType="end"/>
          </w:r>
        </w:sdtContent>
      </w:sdt>
      <w:r w:rsidRPr="00027624">
        <w:t>, Treasury payment parameters.</w:t>
      </w:r>
    </w:p>
    <w:p w14:paraId="65D931FF" w14:textId="77777777" w:rsidR="0092760B" w:rsidRPr="00027624" w:rsidRDefault="0092760B" w:rsidP="002A2FAE">
      <w:pPr>
        <w:pStyle w:val="Heading3"/>
        <w:tabs>
          <w:tab w:val="left" w:pos="2694"/>
        </w:tabs>
      </w:pPr>
      <w:r w:rsidRPr="00027624">
        <w:t>International comparison</w:t>
      </w:r>
    </w:p>
    <w:p w14:paraId="58600244" w14:textId="1995F394" w:rsidR="0092760B" w:rsidRPr="00027624" w:rsidRDefault="0092760B" w:rsidP="002A2FAE">
      <w:pPr>
        <w:tabs>
          <w:tab w:val="left" w:pos="2694"/>
        </w:tabs>
      </w:pPr>
      <w:r w:rsidRPr="00027624">
        <w:t xml:space="preserve">Another indicator of the adequacy of the Age Pension is how it compares with safety net arrangements in other developed economies. </w:t>
      </w:r>
      <w:r w:rsidRPr="00027624">
        <w:rPr>
          <w:b/>
        </w:rPr>
        <w:t>Measured as a proportion of gross earnings, at 27.8 per cent, the Age Pension places Australia eighth out of 36 OECD countries</w:t>
      </w:r>
      <w:r w:rsidRPr="00027624">
        <w:t xml:space="preserve"> (</w:t>
      </w:r>
      <w:r w:rsidRPr="00027624">
        <w:fldChar w:fldCharType="begin"/>
      </w:r>
      <w:r w:rsidRPr="00027624">
        <w:instrText xml:space="preserve"> REF _Ref43723314 \r \h </w:instrText>
      </w:r>
      <w:r w:rsidR="00FA7639" w:rsidRPr="00027624">
        <w:instrText xml:space="preserve"> \* MERGEFORMAT </w:instrText>
      </w:r>
      <w:r w:rsidRPr="00027624">
        <w:fldChar w:fldCharType="separate"/>
      </w:r>
      <w:r w:rsidR="00891058">
        <w:t>Chart 2A-4</w:t>
      </w:r>
      <w:r w:rsidRPr="00027624">
        <w:fldChar w:fldCharType="end"/>
      </w:r>
      <w:r w:rsidRPr="00027624">
        <w:t>)</w:t>
      </w:r>
      <w:r w:rsidRPr="00027624">
        <w:rPr>
          <w:b/>
        </w:rPr>
        <w:t>.</w:t>
      </w:r>
      <w:r w:rsidRPr="00027624">
        <w:t xml:space="preserve"> However, this measure misses some aspects of the Australian situation, including social transfers in kind such as Medicare and the Pharmaceutical Benefits Scheme and highly subsidised aged care services.</w:t>
      </w:r>
    </w:p>
    <w:p w14:paraId="7643C37D" w14:textId="77777777" w:rsidR="0092760B" w:rsidRPr="00027624" w:rsidRDefault="0092760B" w:rsidP="00FC7361">
      <w:pPr>
        <w:pStyle w:val="ChartMainHeading"/>
        <w:numPr>
          <w:ilvl w:val="2"/>
          <w:numId w:val="62"/>
        </w:numPr>
      </w:pPr>
      <w:bookmarkStart w:id="424" w:name="_Ref37255864"/>
      <w:bookmarkStart w:id="425" w:name="_Ref43723314"/>
      <w:r w:rsidRPr="00027624">
        <w:lastRenderedPageBreak/>
        <w:t>Value of international safety net pension</w:t>
      </w:r>
      <w:bookmarkEnd w:id="424"/>
      <w:bookmarkEnd w:id="425"/>
      <w:r w:rsidRPr="00027624">
        <w:t>s as a proportion of average earnings</w:t>
      </w:r>
    </w:p>
    <w:p w14:paraId="20AF9BFB" w14:textId="77777777" w:rsidR="0092760B" w:rsidRPr="00027624" w:rsidRDefault="00021BA7" w:rsidP="002A2FAE">
      <w:pPr>
        <w:pStyle w:val="ChartGraphic"/>
      </w:pPr>
      <w:r>
        <w:rPr>
          <w:noProof/>
        </w:rPr>
        <w:drawing>
          <wp:inline distT="0" distB="0" distL="0" distR="0" wp14:anchorId="0FFCAF9B" wp14:editId="6BE97552">
            <wp:extent cx="5577840" cy="2522220"/>
            <wp:effectExtent l="0" t="0" r="3810" b="0"/>
            <wp:docPr id="4" name="Picture 4" descr="This chart shows the value of OECD countries safety-net pension schemes relative to average earnings. Australia’s Age Pension is the 8th highest out of the 36 OECD countries shown at almost 28 per cent of average earnings. The OECD average is around 20 per cent of average earnings.  " title="Chart 2A-4 Value of international safety net pensions as a proportion of average e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0BFFB28B" w14:textId="77777777" w:rsidR="0092760B" w:rsidRPr="00027624" w:rsidRDefault="0092760B" w:rsidP="002A2FAE">
      <w:pPr>
        <w:pStyle w:val="ChartorTableNote"/>
      </w:pPr>
      <w:r w:rsidRPr="00027624">
        <w:t xml:space="preserve">Note: Australia and OECD averaged figures highlighted in yellow. Australian system classified as </w:t>
      </w:r>
      <w:r w:rsidR="00A8443E" w:rsidRPr="00027624">
        <w:t>‘</w:t>
      </w:r>
      <w:r w:rsidRPr="00027624">
        <w:t>Targeted</w:t>
      </w:r>
      <w:r w:rsidR="00A8443E" w:rsidRPr="00027624">
        <w:t>’</w:t>
      </w:r>
      <w:r w:rsidRPr="00027624">
        <w:t xml:space="preserve"> while OECD is the combined average. Figures are benefit value in 2018 as a proportion of average weekly earnings. </w:t>
      </w:r>
      <w:r w:rsidR="00A8443E" w:rsidRPr="00027624">
        <w:t>‘</w:t>
      </w:r>
      <w:r w:rsidRPr="00027624">
        <w:t>Residence based basic</w:t>
      </w:r>
      <w:r w:rsidR="00A8443E" w:rsidRPr="00027624">
        <w:t>’</w:t>
      </w:r>
      <w:r w:rsidRPr="00027624">
        <w:t xml:space="preserve"> pensions typically do not apply a means test in determining eligibility for payment, though other criteria such as residency or minimum contribution requirements may apply. </w:t>
      </w:r>
      <w:r w:rsidR="00A8443E" w:rsidRPr="00027624">
        <w:t>‘</w:t>
      </w:r>
      <w:r w:rsidRPr="00027624">
        <w:t>Targeted</w:t>
      </w:r>
      <w:r w:rsidR="00A8443E" w:rsidRPr="00027624">
        <w:t>’</w:t>
      </w:r>
      <w:r w:rsidRPr="00027624">
        <w:t xml:space="preserve"> pensions apply a means test in determining eligibility for payment. The Age Pension is a targeted pension scheme. Source:</w:t>
      </w:r>
      <w:sdt>
        <w:sdtPr>
          <w:id w:val="1766416468"/>
          <w:citation/>
        </w:sdtPr>
        <w:sdtEndPr/>
        <w:sdtContent>
          <w:r w:rsidR="00DA20E9">
            <w:fldChar w:fldCharType="begin"/>
          </w:r>
          <w:r w:rsidR="00DA20E9">
            <w:instrText xml:space="preserve"> CITATION OEC19d \l 3081 </w:instrText>
          </w:r>
          <w:r w:rsidR="00DA20E9">
            <w:fldChar w:fldCharType="separate"/>
          </w:r>
          <w:r w:rsidR="00E83F6E">
            <w:rPr>
              <w:noProof/>
            </w:rPr>
            <w:t xml:space="preserve"> (OECD, 2019b)</w:t>
          </w:r>
          <w:r w:rsidR="00DA20E9">
            <w:fldChar w:fldCharType="end"/>
          </w:r>
        </w:sdtContent>
      </w:sdt>
      <w:r w:rsidRPr="00027624">
        <w:t>.</w:t>
      </w:r>
    </w:p>
    <w:p w14:paraId="6B714779" w14:textId="77777777" w:rsidR="0092760B" w:rsidRPr="00027624" w:rsidRDefault="0092760B" w:rsidP="002A2FAE">
      <w:pPr>
        <w:pStyle w:val="Heading3"/>
        <w:tabs>
          <w:tab w:val="left" w:pos="2694"/>
        </w:tabs>
      </w:pPr>
      <w:r w:rsidRPr="00027624">
        <w:t>Absolute poverty lines</w:t>
      </w:r>
    </w:p>
    <w:p w14:paraId="73CFEA02" w14:textId="77777777" w:rsidR="0092760B" w:rsidRPr="00027624" w:rsidRDefault="0092760B" w:rsidP="002A2FAE">
      <w:pPr>
        <w:tabs>
          <w:tab w:val="left" w:pos="2694"/>
        </w:tabs>
      </w:pPr>
      <w:r w:rsidRPr="00027624">
        <w:t>Absolute poverty measures calculate the cost of a basket of goods and services to provide a certain minimum lifestyle. People with income below this level are considered to be living in poverty.</w:t>
      </w:r>
    </w:p>
    <w:p w14:paraId="0A515514" w14:textId="77777777" w:rsidR="0092760B" w:rsidRPr="00027624" w:rsidRDefault="0092760B" w:rsidP="002A2FAE">
      <w:pPr>
        <w:tabs>
          <w:tab w:val="left" w:pos="2694"/>
        </w:tabs>
      </w:pPr>
      <w:r w:rsidRPr="00027624">
        <w:t>These measures are useful in determining whether households have access to the goods and services required to participate in society. But absolute benchmarks have limitations. An absolute benchmark reflects the cost of living in a particular location for a particular household type. It may not be universally applicable as some costs, especially housing, vary across locations.</w:t>
      </w:r>
    </w:p>
    <w:p w14:paraId="6D39879A" w14:textId="77777777" w:rsidR="0092760B" w:rsidRPr="00027624" w:rsidRDefault="0092760B" w:rsidP="002A2FAE">
      <w:pPr>
        <w:pStyle w:val="Heading4"/>
        <w:tabs>
          <w:tab w:val="left" w:pos="2694"/>
        </w:tabs>
      </w:pPr>
      <w:r w:rsidRPr="00027624">
        <w:t>The Henderson Poverty Line</w:t>
      </w:r>
    </w:p>
    <w:p w14:paraId="531406A5" w14:textId="77777777" w:rsidR="0092760B" w:rsidRPr="00027624" w:rsidRDefault="0092760B" w:rsidP="002A2FAE">
      <w:pPr>
        <w:tabs>
          <w:tab w:val="left" w:pos="2694"/>
        </w:tabs>
      </w:pPr>
      <w:r w:rsidRPr="00027624">
        <w:t xml:space="preserve">In Australia, the Henderson Poverty Line is the most commonly used poverty benchmark. Developed in 1973 as part of the </w:t>
      </w:r>
      <w:r w:rsidRPr="00027624">
        <w:rPr>
          <w:i/>
        </w:rPr>
        <w:t>Commission of Inquiry into Poverty</w:t>
      </w:r>
      <w:r w:rsidRPr="00027624">
        <w:t>, it calculated the expenditure required to meet the basic needs of a family of four. Living costs for different households were then derived from that expenditure level.</w:t>
      </w:r>
    </w:p>
    <w:p w14:paraId="424FD0C4" w14:textId="77777777" w:rsidR="0092760B" w:rsidRPr="00027624" w:rsidRDefault="0092760B" w:rsidP="002A2FAE">
      <w:pPr>
        <w:tabs>
          <w:tab w:val="left" w:pos="2694"/>
        </w:tabs>
      </w:pPr>
      <w:r w:rsidRPr="00027624">
        <w:t xml:space="preserve">The poverty line has since been updated for different ages and household types, and indexed regularly to per </w:t>
      </w:r>
      <w:r w:rsidR="00972C34" w:rsidRPr="00027624">
        <w:t>person</w:t>
      </w:r>
      <w:r w:rsidRPr="00027624">
        <w:t xml:space="preserve"> disposable income. On this measure, the maximum rate of the Age Pension is around $80 per week above the poverty line for a couple including housing costs, and $26 per week above the poverty line for a single including housing costs</w:t>
      </w:r>
      <w:sdt>
        <w:sdtPr>
          <w:id w:val="-2134084262"/>
          <w:citation/>
        </w:sdtPr>
        <w:sdtEndPr/>
        <w:sdtContent>
          <w:r w:rsidRPr="00027624">
            <w:fldChar w:fldCharType="begin"/>
          </w:r>
          <w:r w:rsidRPr="00027624">
            <w:instrText xml:space="preserve">CITATION Mel19 \p 1 \l 3081 </w:instrText>
          </w:r>
          <w:r w:rsidRPr="00027624">
            <w:fldChar w:fldCharType="separate"/>
          </w:r>
          <w:r w:rsidR="00E83F6E">
            <w:rPr>
              <w:noProof/>
            </w:rPr>
            <w:t xml:space="preserve"> (Melbourne Institute, 2019, p. 1)</w:t>
          </w:r>
          <w:r w:rsidRPr="00027624">
            <w:fldChar w:fldCharType="end"/>
          </w:r>
        </w:sdtContent>
      </w:sdt>
      <w:r w:rsidRPr="00027624">
        <w:t>.</w:t>
      </w:r>
      <w:r w:rsidRPr="00027624">
        <w:rPr>
          <w:rStyle w:val="FootnoteReference"/>
        </w:rPr>
        <w:footnoteReference w:id="75"/>
      </w:r>
    </w:p>
    <w:p w14:paraId="0B08CD77" w14:textId="4EE8E479" w:rsidR="0092760B" w:rsidRPr="00027624" w:rsidRDefault="0092760B" w:rsidP="002A2FAE">
      <w:pPr>
        <w:tabs>
          <w:tab w:val="left" w:pos="2694"/>
        </w:tabs>
      </w:pPr>
      <w:r w:rsidRPr="00027624">
        <w:t xml:space="preserve">Absolute poverty lines highlight where households are achieving poor minimum outcomes. But they are not designed to show whether people are keeping up with broader community living standards. Income poverty, discussed subsequently below in </w:t>
      </w:r>
      <w:r w:rsidRPr="00027624">
        <w:rPr>
          <w:i/>
          <w:iCs/>
        </w:rPr>
        <w:fldChar w:fldCharType="begin"/>
      </w:r>
      <w:r w:rsidRPr="00027624">
        <w:rPr>
          <w:i/>
        </w:rPr>
        <w:instrText xml:space="preserve"> REF _Ref42253700 \h </w:instrText>
      </w:r>
      <w:r w:rsidRPr="00027624">
        <w:rPr>
          <w:i/>
          <w:iCs/>
        </w:rPr>
        <w:instrText xml:space="preserve"> \* MERGEFORMAT </w:instrText>
      </w:r>
      <w:r w:rsidRPr="00027624">
        <w:rPr>
          <w:i/>
          <w:iCs/>
        </w:rPr>
      </w:r>
      <w:r w:rsidRPr="00027624">
        <w:rPr>
          <w:i/>
          <w:iCs/>
        </w:rPr>
        <w:fldChar w:fldCharType="separate"/>
      </w:r>
      <w:r w:rsidR="00891058" w:rsidRPr="00891058">
        <w:rPr>
          <w:i/>
        </w:rPr>
        <w:t>Assessing retirement outcomes against minimum standards</w:t>
      </w:r>
      <w:r w:rsidRPr="00027624">
        <w:rPr>
          <w:i/>
          <w:iCs/>
        </w:rPr>
        <w:fldChar w:fldCharType="end"/>
      </w:r>
      <w:r w:rsidRPr="00027624">
        <w:t>, provides a clearer picture of how well groups are keeping up with changes in community living standards.</w:t>
      </w:r>
    </w:p>
    <w:p w14:paraId="6BBF1509" w14:textId="77777777" w:rsidR="0092760B" w:rsidRPr="00027624" w:rsidRDefault="0092760B" w:rsidP="00377A0E">
      <w:pPr>
        <w:pStyle w:val="Heading3"/>
      </w:pPr>
      <w:r w:rsidRPr="00027624">
        <w:lastRenderedPageBreak/>
        <w:t>Other budget standards</w:t>
      </w:r>
    </w:p>
    <w:p w14:paraId="1C96ED10" w14:textId="77777777" w:rsidR="0092760B" w:rsidRPr="00027624" w:rsidRDefault="0092760B" w:rsidP="002A2FAE">
      <w:pPr>
        <w:tabs>
          <w:tab w:val="left" w:pos="2694"/>
        </w:tabs>
      </w:pPr>
      <w:r w:rsidRPr="00027624">
        <w:t>Budget standards may also attempt to measure an absolute poverty line. They are an estimate of what is needed, in terms of goods, services and activities, to achieve a particular standard of living and what that costs in a particular place and time</w:t>
      </w:r>
      <w:sdt>
        <w:sdtPr>
          <w:id w:val="1740750477"/>
          <w:citation/>
        </w:sdtPr>
        <w:sdtEndPr/>
        <w:sdtContent>
          <w:r w:rsidRPr="00027624">
            <w:fldChar w:fldCharType="begin"/>
          </w:r>
          <w:r w:rsidRPr="00027624">
            <w:instrText xml:space="preserve">CITATION Sua99 \l 3081 </w:instrText>
          </w:r>
          <w:r w:rsidRPr="00027624">
            <w:fldChar w:fldCharType="separate"/>
          </w:r>
          <w:r w:rsidR="00E83F6E">
            <w:rPr>
              <w:noProof/>
            </w:rPr>
            <w:t xml:space="preserve"> (Saunders, 1999)</w:t>
          </w:r>
          <w:r w:rsidRPr="00027624">
            <w:fldChar w:fldCharType="end"/>
          </w:r>
        </w:sdtContent>
      </w:sdt>
      <w:r w:rsidRPr="00027624">
        <w:t>. Budget standards are usually designed to reflect the needs of a particular household type. They have the advantage of being easy to understand and based on a clear</w:t>
      </w:r>
      <w:r w:rsidR="00A8443E" w:rsidRPr="00027624">
        <w:noBreakHyphen/>
      </w:r>
      <w:r w:rsidRPr="00027624">
        <w:t>cut basket of goods and services.</w:t>
      </w:r>
    </w:p>
    <w:p w14:paraId="65113CC7" w14:textId="77777777" w:rsidR="0092760B" w:rsidRPr="00027624" w:rsidRDefault="0092760B" w:rsidP="002A2FAE">
      <w:pPr>
        <w:tabs>
          <w:tab w:val="left" w:pos="2694"/>
        </w:tabs>
      </w:pPr>
      <w:r w:rsidRPr="00027624">
        <w:t xml:space="preserve">The 2009 Harmer Review examined the value of the Age Pension compared with a </w:t>
      </w:r>
      <w:r w:rsidR="00972C34" w:rsidRPr="00027624">
        <w:t>L</w:t>
      </w:r>
      <w:r w:rsidRPr="00027624">
        <w:t>ow</w:t>
      </w:r>
      <w:r w:rsidR="00972C34" w:rsidRPr="00027624">
        <w:t xml:space="preserve"> C</w:t>
      </w:r>
      <w:r w:rsidRPr="00027624">
        <w:t xml:space="preserve">ost </w:t>
      </w:r>
      <w:r w:rsidR="00972C34" w:rsidRPr="00027624">
        <w:t>B</w:t>
      </w:r>
      <w:r w:rsidRPr="00027624">
        <w:t xml:space="preserve">udget </w:t>
      </w:r>
      <w:r w:rsidR="00972C34" w:rsidRPr="00027624">
        <w:t>S</w:t>
      </w:r>
      <w:r w:rsidRPr="00027624">
        <w:t>tandard, originally developed by the Social Policy Research Centre in 1998</w:t>
      </w:r>
      <w:sdt>
        <w:sdtPr>
          <w:id w:val="1326703776"/>
          <w:citation/>
        </w:sdtPr>
        <w:sdtEndPr/>
        <w:sdtContent>
          <w:r w:rsidRPr="00027624">
            <w:fldChar w:fldCharType="begin"/>
          </w:r>
          <w:r w:rsidRPr="00027624">
            <w:instrText xml:space="preserve">CITATION Har09 \p 33 \l 3081 </w:instrText>
          </w:r>
          <w:r w:rsidRPr="00027624">
            <w:fldChar w:fldCharType="separate"/>
          </w:r>
          <w:r w:rsidR="00E83F6E">
            <w:rPr>
              <w:noProof/>
            </w:rPr>
            <w:t xml:space="preserve"> (Harmer, 2009, p. 33)</w:t>
          </w:r>
          <w:r w:rsidRPr="00027624">
            <w:fldChar w:fldCharType="end"/>
          </w:r>
        </w:sdtContent>
      </w:sdt>
      <w:r w:rsidRPr="00027624">
        <w:t>. This standard estimated the cost of meeting a household</w:t>
      </w:r>
      <w:r w:rsidR="00A8443E" w:rsidRPr="00027624">
        <w:t>’</w:t>
      </w:r>
      <w:r w:rsidRPr="00027624">
        <w:t xml:space="preserve">s basic needs at a frugal level while maintaining social and economic participation in line with community expectations </w:t>
      </w:r>
      <w:sdt>
        <w:sdtPr>
          <w:id w:val="2075621729"/>
          <w:citation/>
        </w:sdtPr>
        <w:sdtEndPr/>
        <w:sdtContent>
          <w:r w:rsidRPr="00027624">
            <w:fldChar w:fldCharType="begin"/>
          </w:r>
          <w:r w:rsidRPr="00027624">
            <w:instrText xml:space="preserve">CITATION Sua99 \l 3081 </w:instrText>
          </w:r>
          <w:r w:rsidRPr="00027624">
            <w:fldChar w:fldCharType="separate"/>
          </w:r>
          <w:r w:rsidR="00E83F6E">
            <w:rPr>
              <w:noProof/>
            </w:rPr>
            <w:t>(Saunders, 1999)</w:t>
          </w:r>
          <w:r w:rsidRPr="00027624">
            <w:fldChar w:fldCharType="end"/>
          </w:r>
        </w:sdtContent>
      </w:sdt>
      <w:r w:rsidRPr="00027624">
        <w:t>.</w:t>
      </w:r>
    </w:p>
    <w:p w14:paraId="61558073" w14:textId="77777777" w:rsidR="0092760B" w:rsidRPr="00027624" w:rsidRDefault="0092760B" w:rsidP="002A2FAE">
      <w:pPr>
        <w:tabs>
          <w:tab w:val="left" w:pos="2694"/>
        </w:tabs>
      </w:pPr>
      <w:r w:rsidRPr="00027624">
        <w:t xml:space="preserve">The Harmer Review found the Age Pension was above the value of the </w:t>
      </w:r>
      <w:r w:rsidR="00972C34" w:rsidRPr="00027624">
        <w:t xml:space="preserve">Low Cost Budget Standard </w:t>
      </w:r>
      <w:r w:rsidRPr="00027624">
        <w:t xml:space="preserve">for couple households, but below the </w:t>
      </w:r>
      <w:r w:rsidR="00972C34" w:rsidRPr="00027624">
        <w:t xml:space="preserve">Low Cost Budget Standard </w:t>
      </w:r>
      <w:r w:rsidRPr="00027624">
        <w:t xml:space="preserve">for single households </w:t>
      </w:r>
      <w:sdt>
        <w:sdtPr>
          <w:id w:val="818073470"/>
          <w:citation/>
        </w:sdtPr>
        <w:sdtEndPr/>
        <w:sdtContent>
          <w:r w:rsidRPr="00027624">
            <w:fldChar w:fldCharType="begin"/>
          </w:r>
          <w:r w:rsidRPr="00027624">
            <w:instrText xml:space="preserve">CITATION Har09 \p 33-34 \l 3081 </w:instrText>
          </w:r>
          <w:r w:rsidRPr="00027624">
            <w:fldChar w:fldCharType="separate"/>
          </w:r>
          <w:r w:rsidR="00E83F6E">
            <w:rPr>
              <w:noProof/>
            </w:rPr>
            <w:t>(Harmer, 2009, pp. 33-34)</w:t>
          </w:r>
          <w:r w:rsidRPr="00027624">
            <w:fldChar w:fldCharType="end"/>
          </w:r>
        </w:sdtContent>
      </w:sdt>
      <w:r w:rsidRPr="00027624">
        <w:t xml:space="preserve"> Following the Harmer Review, the Age Pension was increased.</w:t>
      </w:r>
    </w:p>
    <w:p w14:paraId="282D93AC" w14:textId="77777777" w:rsidR="0092760B" w:rsidRPr="00027624" w:rsidRDefault="0092760B" w:rsidP="002A2FAE">
      <w:pPr>
        <w:tabs>
          <w:tab w:val="left" w:pos="2694"/>
        </w:tabs>
      </w:pPr>
      <w:r w:rsidRPr="00027624">
        <w:t xml:space="preserve">The Low Cost Budget Standard has not been updated since 1998. It is no longer an appropriate benchmark given significant changes in technology and spending patterns over the last two decades. Given the Age Pension has outpaced price and wages growth since 2009, it may compare favourably, even to an updated </w:t>
      </w:r>
      <w:r w:rsidR="00972C34" w:rsidRPr="00027624">
        <w:t>Low Cost Budget Standard</w:t>
      </w:r>
      <w:r w:rsidRPr="00027624">
        <w:t>.</w:t>
      </w:r>
    </w:p>
    <w:p w14:paraId="7786E36E" w14:textId="77777777" w:rsidR="0092760B" w:rsidRPr="00027624" w:rsidRDefault="0092760B" w:rsidP="002A2FAE">
      <w:pPr>
        <w:tabs>
          <w:tab w:val="left" w:pos="2694"/>
        </w:tabs>
        <w:rPr>
          <w:rStyle w:val="eop"/>
          <w:rFonts w:cs="Calibri"/>
          <w:color w:val="000000"/>
          <w:szCs w:val="22"/>
          <w:shd w:val="clear" w:color="auto" w:fill="FFFFFF"/>
        </w:rPr>
      </w:pPr>
      <w:r w:rsidRPr="00027624">
        <w:t xml:space="preserve">Some submissions suggested using the ASFA Retirement Standards, which were originally developed by the Social Policy Research Centre in 1998 and 2004. ASFA regularly reviews and updates these standards to reflect changes in prices and broader consumption patterns. </w:t>
      </w:r>
      <w:r w:rsidRPr="00027624">
        <w:rPr>
          <w:rStyle w:val="normaltextrun"/>
          <w:rFonts w:cs="Calibri"/>
          <w:color w:val="000000"/>
          <w:szCs w:val="22"/>
          <w:shd w:val="clear" w:color="auto" w:fill="FFFFFF"/>
        </w:rPr>
        <w:t xml:space="preserve">The current ASFA </w:t>
      </w:r>
      <w:r w:rsidR="00A8443E" w:rsidRPr="00027624">
        <w:rPr>
          <w:rStyle w:val="normaltextrun"/>
          <w:rFonts w:cs="Calibri"/>
          <w:color w:val="000000"/>
          <w:szCs w:val="22"/>
          <w:shd w:val="clear" w:color="auto" w:fill="FFFFFF"/>
        </w:rPr>
        <w:t>‘</w:t>
      </w:r>
      <w:r w:rsidRPr="00027624">
        <w:rPr>
          <w:rStyle w:val="normaltextrun"/>
          <w:rFonts w:cs="Calibri"/>
          <w:color w:val="000000"/>
          <w:szCs w:val="22"/>
          <w:shd w:val="clear" w:color="auto" w:fill="FFFFFF"/>
        </w:rPr>
        <w:t>modest standard</w:t>
      </w:r>
      <w:r w:rsidR="00A8443E" w:rsidRPr="00027624">
        <w:rPr>
          <w:rStyle w:val="normaltextrun"/>
          <w:rFonts w:cs="Calibri"/>
          <w:color w:val="000000"/>
          <w:szCs w:val="22"/>
          <w:shd w:val="clear" w:color="auto" w:fill="FFFFFF"/>
        </w:rPr>
        <w:t>’</w:t>
      </w:r>
      <w:r w:rsidRPr="00027624">
        <w:rPr>
          <w:rStyle w:val="normaltextrun"/>
          <w:rFonts w:cs="Calibri"/>
          <w:color w:val="000000"/>
          <w:szCs w:val="22"/>
          <w:shd w:val="clear" w:color="auto" w:fill="FFFFFF"/>
        </w:rPr>
        <w:t xml:space="preserve"> is described as </w:t>
      </w:r>
      <w:r w:rsidR="00A8443E" w:rsidRPr="00027624">
        <w:rPr>
          <w:rStyle w:val="normaltextrun"/>
          <w:rFonts w:cs="Calibri"/>
          <w:color w:val="000000"/>
          <w:szCs w:val="22"/>
          <w:shd w:val="clear" w:color="auto" w:fill="FFFFFF"/>
        </w:rPr>
        <w:t>‘</w:t>
      </w:r>
      <w:r w:rsidRPr="00027624">
        <w:rPr>
          <w:rStyle w:val="normaltextrun"/>
          <w:rFonts w:cs="Calibri"/>
          <w:color w:val="000000"/>
          <w:szCs w:val="22"/>
          <w:shd w:val="clear" w:color="auto" w:fill="FFFFFF"/>
        </w:rPr>
        <w:t>better than the Age Pension, but still only allows for the basics</w:t>
      </w:r>
      <w:r w:rsidR="00A8443E" w:rsidRPr="00027624">
        <w:rPr>
          <w:rStyle w:val="normaltextrun"/>
          <w:rFonts w:cs="Calibri"/>
          <w:color w:val="000000"/>
          <w:szCs w:val="22"/>
          <w:shd w:val="clear" w:color="auto" w:fill="FFFFFF"/>
        </w:rPr>
        <w:t>’</w:t>
      </w:r>
      <w:r w:rsidRPr="00027624">
        <w:rPr>
          <w:rStyle w:val="normaltextrun"/>
          <w:rFonts w:cs="Calibri"/>
          <w:color w:val="000000"/>
          <w:szCs w:val="22"/>
          <w:shd w:val="clear" w:color="auto" w:fill="FFFFFF"/>
        </w:rPr>
        <w:t xml:space="preserve"> </w:t>
      </w:r>
      <w:sdt>
        <w:sdtPr>
          <w:rPr>
            <w:rStyle w:val="normaltextrun"/>
            <w:rFonts w:cs="Calibri"/>
            <w:color w:val="000000"/>
            <w:szCs w:val="22"/>
          </w:rPr>
          <w:id w:val="588669270"/>
          <w:citation/>
        </w:sdtPr>
        <w:sdtEndPr>
          <w:rPr>
            <w:rStyle w:val="normaltextrun"/>
          </w:rPr>
        </w:sdtEndPr>
        <w:sdtContent>
          <w:r w:rsidRPr="00A905B8">
            <w:rPr>
              <w:rStyle w:val="normaltextrun"/>
              <w:rFonts w:cs="Calibri"/>
              <w:color w:val="000000"/>
              <w:szCs w:val="22"/>
            </w:rPr>
            <w:fldChar w:fldCharType="begin"/>
          </w:r>
          <w:r w:rsidRPr="00A905B8">
            <w:rPr>
              <w:rStyle w:val="normaltextrun"/>
              <w:rFonts w:cs="Calibri"/>
              <w:color w:val="000000"/>
              <w:szCs w:val="22"/>
            </w:rPr>
            <w:instrText xml:space="preserve">CITATION ASF18 \p 3 \l 3081 </w:instrText>
          </w:r>
          <w:r w:rsidRPr="00A905B8">
            <w:rPr>
              <w:rStyle w:val="normaltextrun"/>
              <w:rFonts w:cs="Calibri"/>
              <w:color w:val="000000"/>
              <w:szCs w:val="22"/>
            </w:rPr>
            <w:fldChar w:fldCharType="separate"/>
          </w:r>
          <w:r w:rsidR="00E83F6E" w:rsidRPr="00A905B8">
            <w:rPr>
              <w:rFonts w:cs="Calibri"/>
              <w:noProof/>
              <w:color w:val="000000"/>
              <w:szCs w:val="22"/>
            </w:rPr>
            <w:t>(ASFA, 2018a, p. 3)</w:t>
          </w:r>
          <w:r w:rsidRPr="00A905B8">
            <w:rPr>
              <w:rStyle w:val="normaltextrun"/>
              <w:rFonts w:cs="Calibri"/>
              <w:color w:val="000000"/>
              <w:szCs w:val="22"/>
            </w:rPr>
            <w:fldChar w:fldCharType="end"/>
          </w:r>
        </w:sdtContent>
      </w:sdt>
      <w:r w:rsidRPr="00A905B8">
        <w:rPr>
          <w:rStyle w:val="normaltextrun"/>
          <w:rFonts w:cs="Calibri"/>
          <w:color w:val="000000"/>
          <w:szCs w:val="22"/>
        </w:rPr>
        <w:t>. It is not appropriate to compare the value of the Age Pension to the ASFA mo</w:t>
      </w:r>
      <w:r w:rsidRPr="00027624">
        <w:rPr>
          <w:rStyle w:val="normaltextrun"/>
          <w:rFonts w:cs="Calibri"/>
          <w:color w:val="000000"/>
          <w:szCs w:val="22"/>
          <w:shd w:val="clear" w:color="auto" w:fill="FFFFFF"/>
        </w:rPr>
        <w:t>dest standard as it is explicitly designed to exceed the Age Pension.</w:t>
      </w:r>
    </w:p>
    <w:p w14:paraId="0CCFEAC6" w14:textId="77777777" w:rsidR="0092760B" w:rsidRPr="00027624" w:rsidRDefault="0092760B" w:rsidP="002A2FAE">
      <w:pPr>
        <w:pStyle w:val="Heading2"/>
        <w:tabs>
          <w:tab w:val="left" w:pos="2694"/>
        </w:tabs>
      </w:pPr>
      <w:bookmarkStart w:id="426" w:name="_Ref42253700"/>
      <w:bookmarkStart w:id="427" w:name="_Toc45520456"/>
      <w:bookmarkStart w:id="428" w:name="_Toc46133567"/>
      <w:r w:rsidRPr="00027624">
        <w:t>Assessing retirement outcomes against minimum standards</w:t>
      </w:r>
      <w:bookmarkEnd w:id="426"/>
      <w:bookmarkEnd w:id="427"/>
      <w:bookmarkEnd w:id="428"/>
    </w:p>
    <w:p w14:paraId="1F6E727E" w14:textId="77777777" w:rsidR="0092760B" w:rsidRPr="00027624" w:rsidRDefault="0092760B" w:rsidP="002A2FAE">
      <w:pPr>
        <w:tabs>
          <w:tab w:val="left" w:pos="2694"/>
        </w:tabs>
      </w:pPr>
      <w:r w:rsidRPr="00027624">
        <w:t xml:space="preserve">Many submissions noted poverty alleviation is a key minimum standard that should be delivered through the retirement income system. However, poverty can be measured and conceptualised in many ways. </w:t>
      </w:r>
      <w:r w:rsidR="00D06749" w:rsidRPr="00027624">
        <w:t xml:space="preserve">Following is an </w:t>
      </w:r>
      <w:r w:rsidRPr="00027624">
        <w:t>examin</w:t>
      </w:r>
      <w:r w:rsidR="00D06749" w:rsidRPr="00027624">
        <w:t xml:space="preserve">ation of </w:t>
      </w:r>
      <w:r w:rsidRPr="00027624">
        <w:t>a variety of measures to assess outcomes for different groups of retirees.</w:t>
      </w:r>
    </w:p>
    <w:p w14:paraId="6B2B06F7" w14:textId="12FF92B4" w:rsidR="0092760B" w:rsidRPr="00027624" w:rsidRDefault="0092760B" w:rsidP="002A2FAE">
      <w:pPr>
        <w:tabs>
          <w:tab w:val="left" w:pos="2694"/>
        </w:tabs>
      </w:pPr>
      <w:r w:rsidRPr="00027624">
        <w:t>Retirees receive a broad range of non</w:t>
      </w:r>
      <w:r w:rsidR="00A8443E" w:rsidRPr="00027624">
        <w:noBreakHyphen/>
      </w:r>
      <w:r w:rsidRPr="00027624">
        <w:t>monetary supports, including social transfers in kind, that reduce the level of income required to achieve a particular living standard (</w:t>
      </w:r>
      <w:r w:rsidRPr="00027624">
        <w:fldChar w:fldCharType="begin"/>
      </w:r>
      <w:r w:rsidRPr="00027624">
        <w:instrText xml:space="preserve"> REF _Ref37142938 \r \h  \* MERGEFORMAT </w:instrText>
      </w:r>
      <w:r w:rsidRPr="00027624">
        <w:fldChar w:fldCharType="separate"/>
      </w:r>
      <w:r w:rsidR="00891058">
        <w:t>Box 2A-4</w:t>
      </w:r>
      <w:r w:rsidRPr="00027624">
        <w:fldChar w:fldCharType="end"/>
      </w:r>
      <w:r w:rsidRPr="00027624">
        <w:t>). When assessing retiree poverty, these supports should be taken into account, including whether retirees are using their assets to fund their retirement. Otherwise, asset</w:t>
      </w:r>
      <w:r w:rsidR="00A8443E" w:rsidRPr="00027624">
        <w:noBreakHyphen/>
      </w:r>
      <w:r w:rsidRPr="00027624">
        <w:t xml:space="preserve">rich households may be counted as </w:t>
      </w:r>
      <w:r w:rsidR="00A8443E" w:rsidRPr="00027624">
        <w:t>‘</w:t>
      </w:r>
      <w:r w:rsidRPr="00027624">
        <w:t>living in poverty</w:t>
      </w:r>
      <w:r w:rsidR="00A8443E" w:rsidRPr="00027624">
        <w:t>’</w:t>
      </w:r>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1ECF504B" w14:textId="77777777" w:rsidTr="002A2FAE">
        <w:tc>
          <w:tcPr>
            <w:tcW w:w="9072" w:type="dxa"/>
            <w:shd w:val="clear" w:color="auto" w:fill="FFF8EA"/>
          </w:tcPr>
          <w:p w14:paraId="6CB71E99" w14:textId="77777777" w:rsidR="0092760B" w:rsidRPr="00027624" w:rsidRDefault="0092760B" w:rsidP="00325A8D">
            <w:pPr>
              <w:pStyle w:val="BoxHeading"/>
            </w:pPr>
            <w:bookmarkStart w:id="429" w:name="_Ref35448429"/>
            <w:bookmarkStart w:id="430" w:name="_Ref37142938"/>
            <w:r w:rsidRPr="00027624">
              <w:t>Non</w:t>
            </w:r>
            <w:r w:rsidR="00A8443E" w:rsidRPr="00027624">
              <w:noBreakHyphen/>
            </w:r>
            <w:r w:rsidRPr="00027624">
              <w:t>income support for retirees</w:t>
            </w:r>
            <w:bookmarkEnd w:id="429"/>
            <w:bookmarkEnd w:id="430"/>
          </w:p>
          <w:p w14:paraId="481DD0F0" w14:textId="63AD1328" w:rsidR="0092760B" w:rsidRPr="00027624" w:rsidRDefault="0092760B" w:rsidP="002A2FAE">
            <w:pPr>
              <w:tabs>
                <w:tab w:val="left" w:pos="2694"/>
              </w:tabs>
            </w:pPr>
            <w:r w:rsidRPr="00027624">
              <w:t>Non</w:t>
            </w:r>
            <w:r w:rsidR="00A8443E" w:rsidRPr="00027624">
              <w:noBreakHyphen/>
            </w:r>
            <w:r w:rsidRPr="00027624">
              <w:t>income support that can improve a retiree</w:t>
            </w:r>
            <w:r w:rsidR="00A8443E" w:rsidRPr="00027624">
              <w:t>’</w:t>
            </w:r>
            <w:r w:rsidRPr="00027624">
              <w:t>s standard of living (</w:t>
            </w:r>
            <w:r w:rsidRPr="00027624">
              <w:fldChar w:fldCharType="begin"/>
            </w:r>
            <w:r w:rsidRPr="00027624">
              <w:instrText xml:space="preserve"> REF _Ref35856468 \r \h  \* MERGEFORMAT </w:instrText>
            </w:r>
            <w:r w:rsidRPr="00027624">
              <w:fldChar w:fldCharType="separate"/>
            </w:r>
            <w:r w:rsidR="00891058">
              <w:t>Chart 2A-5</w:t>
            </w:r>
            <w:r w:rsidRPr="00027624">
              <w:fldChar w:fldCharType="end"/>
            </w:r>
            <w:r w:rsidRPr="00027624">
              <w:t>) include:</w:t>
            </w:r>
          </w:p>
          <w:p w14:paraId="3AE55CAE" w14:textId="77777777" w:rsidR="0092760B" w:rsidRPr="00027624" w:rsidRDefault="0092760B" w:rsidP="0092760B">
            <w:pPr>
              <w:pStyle w:val="BoxBullet"/>
            </w:pPr>
            <w:r w:rsidRPr="00027624">
              <w:rPr>
                <w:b/>
              </w:rPr>
              <w:t xml:space="preserve">Social transfers in kind. </w:t>
            </w:r>
            <w:r w:rsidRPr="00027624">
              <w:rPr>
                <w:bCs/>
              </w:rPr>
              <w:t>Retirees receive relatively more support from transfers in kind than working</w:t>
            </w:r>
            <w:r w:rsidR="00A8443E" w:rsidRPr="00027624">
              <w:rPr>
                <w:bCs/>
              </w:rPr>
              <w:noBreakHyphen/>
            </w:r>
            <w:r w:rsidRPr="00027624">
              <w:rPr>
                <w:bCs/>
              </w:rPr>
              <w:t>age households.</w:t>
            </w:r>
            <w:r w:rsidRPr="00027624">
              <w:t xml:space="preserve"> On average, households aged 65 and above access transfers in kind worth </w:t>
            </w:r>
            <w:r w:rsidRPr="00027624" w:rsidDel="001275C2">
              <w:t xml:space="preserve">more than </w:t>
            </w:r>
            <w:r w:rsidRPr="00027624">
              <w:t xml:space="preserve">the maximum rate of the single Age Pension </w:t>
            </w:r>
            <w:sdt>
              <w:sdtPr>
                <w:id w:val="-1046221718"/>
                <w:citation/>
              </w:sdtPr>
              <w:sdtEndPr/>
              <w:sdtContent>
                <w:r w:rsidRPr="00027624">
                  <w:fldChar w:fldCharType="begin"/>
                </w:r>
                <w:r w:rsidRPr="00027624">
                  <w:instrText xml:space="preserve">CITATION ABS18 \l 3081 </w:instrText>
                </w:r>
                <w:r w:rsidRPr="00027624">
                  <w:fldChar w:fldCharType="separate"/>
                </w:r>
                <w:r w:rsidR="00E83F6E">
                  <w:rPr>
                    <w:noProof/>
                  </w:rPr>
                  <w:t>(ABS, 2018c)</w:t>
                </w:r>
                <w:r w:rsidRPr="00027624">
                  <w:fldChar w:fldCharType="end"/>
                </w:r>
              </w:sdtContent>
            </w:sdt>
            <w:r w:rsidRPr="00027624">
              <w:t>. This reduces out</w:t>
            </w:r>
            <w:r w:rsidR="00A8443E" w:rsidRPr="00027624">
              <w:noBreakHyphen/>
            </w:r>
            <w:r w:rsidRPr="00027624">
              <w:t>of</w:t>
            </w:r>
            <w:r w:rsidR="00A8443E" w:rsidRPr="00027624">
              <w:noBreakHyphen/>
            </w:r>
            <w:r w:rsidRPr="00027624">
              <w:t>pocket costs as health and care needs increase with age.</w:t>
            </w:r>
          </w:p>
          <w:p w14:paraId="0C2162B8" w14:textId="77777777" w:rsidR="0092760B" w:rsidRPr="00027624" w:rsidRDefault="0092760B" w:rsidP="0092760B">
            <w:pPr>
              <w:pStyle w:val="BoxBullet"/>
            </w:pPr>
            <w:r w:rsidRPr="00027624">
              <w:rPr>
                <w:b/>
              </w:rPr>
              <w:t xml:space="preserve">Concessions. </w:t>
            </w:r>
            <w:r w:rsidRPr="00027624">
              <w:rPr>
                <w:bCs/>
              </w:rPr>
              <w:t xml:space="preserve">Access to concessions </w:t>
            </w:r>
            <w:r w:rsidRPr="00027624">
              <w:t>reduce</w:t>
            </w:r>
            <w:r w:rsidRPr="00027624">
              <w:rPr>
                <w:bCs/>
              </w:rPr>
              <w:t xml:space="preserve"> out</w:t>
            </w:r>
            <w:r w:rsidR="00A8443E" w:rsidRPr="00027624">
              <w:rPr>
                <w:bCs/>
              </w:rPr>
              <w:noBreakHyphen/>
            </w:r>
            <w:r w:rsidRPr="00027624">
              <w:rPr>
                <w:bCs/>
              </w:rPr>
              <w:t>of</w:t>
            </w:r>
            <w:r w:rsidR="00A8443E" w:rsidRPr="00027624">
              <w:rPr>
                <w:bCs/>
              </w:rPr>
              <w:noBreakHyphen/>
            </w:r>
            <w:r w:rsidRPr="00027624">
              <w:rPr>
                <w:bCs/>
              </w:rPr>
              <w:t>pocket expenses.</w:t>
            </w:r>
            <w:r w:rsidRPr="00027624">
              <w:t xml:space="preserve"> For example, the Pensioner Concession Card gives card holders access to subsidised pharmaceuticals and bulk</w:t>
            </w:r>
            <w:r w:rsidR="00A8443E" w:rsidRPr="00027624">
              <w:noBreakHyphen/>
            </w:r>
            <w:r w:rsidRPr="00027624">
              <w:t>billed medical appointments. Other benefits include a range of discounted services through state governments and local councils, such as discounted utilities and council rates, car registration and concessional pricing for public transport (</w:t>
            </w:r>
            <w:r w:rsidRPr="00027624">
              <w:rPr>
                <w:i/>
              </w:rPr>
              <w:t>1B. Design of Australia</w:t>
            </w:r>
            <w:r w:rsidR="00A8443E" w:rsidRPr="00027624">
              <w:rPr>
                <w:i/>
              </w:rPr>
              <w:t>’</w:t>
            </w:r>
            <w:r w:rsidRPr="00027624">
              <w:rPr>
                <w:i/>
              </w:rPr>
              <w:t>s retirement income system</w:t>
            </w:r>
            <w:r w:rsidRPr="00027624">
              <w:t>).</w:t>
            </w:r>
          </w:p>
          <w:p w14:paraId="77D4E8B5" w14:textId="77777777" w:rsidR="0092760B" w:rsidRPr="00027624" w:rsidRDefault="0092760B" w:rsidP="0092760B">
            <w:pPr>
              <w:pStyle w:val="BoxBullet"/>
            </w:pPr>
            <w:r w:rsidRPr="00027624">
              <w:rPr>
                <w:b/>
              </w:rPr>
              <w:lastRenderedPageBreak/>
              <w:t xml:space="preserve">Tax concessions. </w:t>
            </w:r>
            <w:r w:rsidRPr="00027624">
              <w:rPr>
                <w:bCs/>
              </w:rPr>
              <w:t>Retirees typically pay less tax for a given amount of income.</w:t>
            </w:r>
            <w:r w:rsidRPr="00027624">
              <w:t xml:space="preserve"> The higher tax</w:t>
            </w:r>
            <w:r w:rsidR="00A8443E" w:rsidRPr="00027624">
              <w:noBreakHyphen/>
            </w:r>
            <w:r w:rsidRPr="00027624">
              <w:t>free threshold provided through the seniors and pensioners tax offset allows older Australians to keep more of their income than during working life. Superannuation earnings in the pension phase are also tax</w:t>
            </w:r>
            <w:r w:rsidR="00A8443E" w:rsidRPr="00027624">
              <w:noBreakHyphen/>
            </w:r>
            <w:r w:rsidRPr="00027624">
              <w:t>free.</w:t>
            </w:r>
          </w:p>
          <w:p w14:paraId="3DF06CFA" w14:textId="77777777" w:rsidR="0092760B" w:rsidRPr="00027624" w:rsidRDefault="0092760B" w:rsidP="0092760B">
            <w:pPr>
              <w:pStyle w:val="BoxBullet"/>
            </w:pPr>
            <w:r w:rsidRPr="00027624">
              <w:rPr>
                <w:b/>
                <w:bCs/>
              </w:rPr>
              <w:t xml:space="preserve">Personal assets. </w:t>
            </w:r>
            <w:r w:rsidRPr="00027624">
              <w:t>Measures of income often fail to include when retirees make irregular withdrawals from superannuation; use financial assets, such as withdrawing funds from savings accounts; sell shares; or sell non</w:t>
            </w:r>
            <w:r w:rsidR="00A8443E" w:rsidRPr="00027624">
              <w:noBreakHyphen/>
            </w:r>
            <w:r w:rsidRPr="00027624">
              <w:t>financial assets.</w:t>
            </w:r>
          </w:p>
          <w:p w14:paraId="4B918B29" w14:textId="77777777" w:rsidR="0092760B" w:rsidRPr="00027624" w:rsidRDefault="0092760B" w:rsidP="0092760B">
            <w:pPr>
              <w:pStyle w:val="BoxBullet"/>
            </w:pPr>
            <w:r w:rsidRPr="00027624">
              <w:rPr>
                <w:b/>
              </w:rPr>
              <w:t>Home ownership</w:t>
            </w:r>
            <w:r w:rsidRPr="00027624">
              <w:t>. Australians aged 65 and over have significantly higher rates of outright home ownership than working</w:t>
            </w:r>
            <w:r w:rsidR="00A8443E" w:rsidRPr="00027624">
              <w:noBreakHyphen/>
            </w:r>
            <w:r w:rsidRPr="00027624">
              <w:t>age Australians (</w:t>
            </w:r>
            <w:r w:rsidR="00347F4A">
              <w:t xml:space="preserve">see </w:t>
            </w:r>
            <w:r w:rsidRPr="00027624">
              <w:rPr>
                <w:i/>
              </w:rPr>
              <w:t>1D. The changing Australian landscape</w:t>
            </w:r>
            <w:r w:rsidRPr="00027624">
              <w:t>). Home ownership reduces ongoing housing expenses and can act as an asset to be drawn on in retirement.</w:t>
            </w:r>
          </w:p>
          <w:p w14:paraId="299483A8" w14:textId="77777777" w:rsidR="0092760B" w:rsidRPr="00027624" w:rsidRDefault="0092760B" w:rsidP="00FC7361">
            <w:pPr>
              <w:pStyle w:val="ChartMainHeading"/>
              <w:numPr>
                <w:ilvl w:val="2"/>
                <w:numId w:val="62"/>
              </w:numPr>
              <w:outlineLvl w:val="2"/>
            </w:pPr>
            <w:bookmarkStart w:id="431" w:name="_Ref35003431"/>
            <w:bookmarkStart w:id="432" w:name="_Ref35856468"/>
            <w:r w:rsidRPr="00027624">
              <w:t>Average weekly value of final household income by age range</w:t>
            </w:r>
            <w:bookmarkEnd w:id="431"/>
            <w:bookmarkEnd w:id="432"/>
          </w:p>
          <w:p w14:paraId="418B7CC1" w14:textId="77777777" w:rsidR="0092760B" w:rsidRPr="00027624" w:rsidRDefault="00DD237F" w:rsidP="002A2FAE">
            <w:pPr>
              <w:pStyle w:val="ChartGraphic"/>
            </w:pPr>
            <w:r>
              <w:rPr>
                <w:noProof/>
              </w:rPr>
              <w:drawing>
                <wp:inline distT="0" distB="0" distL="0" distR="0" wp14:anchorId="7646BB7A" wp14:editId="12933EB8">
                  <wp:extent cx="5745600" cy="2473200"/>
                  <wp:effectExtent l="0" t="0" r="7620" b="3810"/>
                  <wp:docPr id="983014709" name="Picture 983014709" descr="This chart shows the average weekly value of: government services, private income, social security, imputed rent and tax paid by age range. Private income and taxation peaks at ages 45-54. Households aged 65 and over receive less private income and pay less tax than other age groups. They also have a higher proportion of income from social security payments, imputed rent and government services than younger households." title="Chart 2A-5 Average weekly value of final household income by ag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45600" cy="2473200"/>
                          </a:xfrm>
                          <a:prstGeom prst="rect">
                            <a:avLst/>
                          </a:prstGeom>
                          <a:noFill/>
                        </pic:spPr>
                      </pic:pic>
                    </a:graphicData>
                  </a:graphic>
                </wp:inline>
              </w:drawing>
            </w:r>
          </w:p>
          <w:p w14:paraId="1F3DBED9" w14:textId="77777777" w:rsidR="0092760B" w:rsidRPr="00027624" w:rsidRDefault="0092760B" w:rsidP="002A2FAE">
            <w:pPr>
              <w:pStyle w:val="ChartorTableNote"/>
            </w:pPr>
            <w:r w:rsidRPr="00027624">
              <w:t>Note: 2015</w:t>
            </w:r>
            <w:r w:rsidR="00A8443E" w:rsidRPr="00027624">
              <w:noBreakHyphen/>
            </w:r>
            <w:r w:rsidRPr="00027624">
              <w:t>16 data. Final household income includes private income from labour force participation and financial assets, such as superannuation; social security payments; the value of government services, such as education or health care; and the value provided by the home for home owners (imputed rent). Imputed rent is calculated based on the market value of the rental equivalent, less housing costs (e.g. mortgage interest, rates, water rates, building insurance and repairs and maintenance). Households aged 65 and over may continue to receive income from people participating in the labour force, which will increase private income for these age ranges. Source:</w:t>
            </w:r>
            <w:sdt>
              <w:sdtPr>
                <w:id w:val="1617180016"/>
                <w:citation/>
              </w:sdtPr>
              <w:sdtEndPr/>
              <w:sdtContent>
                <w:r w:rsidRPr="00027624">
                  <w:fldChar w:fldCharType="begin"/>
                </w:r>
                <w:r w:rsidRPr="00027624">
                  <w:instrText xml:space="preserve">CITATION ABS18 \l 3081 </w:instrText>
                </w:r>
                <w:r w:rsidRPr="00027624">
                  <w:fldChar w:fldCharType="separate"/>
                </w:r>
                <w:r w:rsidR="00E83F6E">
                  <w:rPr>
                    <w:noProof/>
                  </w:rPr>
                  <w:t xml:space="preserve"> (ABS, 2018c)</w:t>
                </w:r>
                <w:r w:rsidRPr="00027624">
                  <w:fldChar w:fldCharType="end"/>
                </w:r>
              </w:sdtContent>
            </w:sdt>
            <w:r w:rsidRPr="00027624">
              <w:t>.</w:t>
            </w:r>
          </w:p>
        </w:tc>
      </w:tr>
    </w:tbl>
    <w:p w14:paraId="12480F56" w14:textId="77777777" w:rsidR="00B92310" w:rsidRPr="00027624" w:rsidRDefault="00B92310" w:rsidP="00B92310">
      <w:pPr>
        <w:pStyle w:val="Heading3"/>
      </w:pPr>
      <w:r w:rsidRPr="00027624">
        <w:lastRenderedPageBreak/>
        <w:t>Assessing wellbeing and poverty outcomes for retirees</w:t>
      </w:r>
    </w:p>
    <w:p w14:paraId="718111A8" w14:textId="77777777" w:rsidR="0092760B" w:rsidRPr="00027624" w:rsidRDefault="0092760B" w:rsidP="002A2FAE">
      <w:pPr>
        <w:pStyle w:val="Heading4"/>
        <w:tabs>
          <w:tab w:val="left" w:pos="2694"/>
        </w:tabs>
      </w:pPr>
      <w:r w:rsidRPr="00027624">
        <w:t>Revealed wellbeing of retirees</w:t>
      </w:r>
    </w:p>
    <w:p w14:paraId="7F8F5BCE" w14:textId="7410EFA1" w:rsidR="0092760B" w:rsidRPr="00027624" w:rsidRDefault="0092760B" w:rsidP="002A2FAE">
      <w:pPr>
        <w:tabs>
          <w:tab w:val="left" w:pos="2694"/>
        </w:tabs>
      </w:pPr>
      <w:r w:rsidRPr="00027624">
        <w:t>Measures of revealed wellbeing (</w:t>
      </w:r>
      <w:r w:rsidRPr="00027624">
        <w:fldChar w:fldCharType="begin"/>
      </w:r>
      <w:r w:rsidRPr="00027624">
        <w:instrText xml:space="preserve"> REF _Ref40766227 \r \h  \* MERGEFORMAT </w:instrText>
      </w:r>
      <w:r w:rsidRPr="00027624">
        <w:fldChar w:fldCharType="separate"/>
      </w:r>
      <w:r w:rsidR="00891058">
        <w:t>Table 2A-1</w:t>
      </w:r>
      <w:r w:rsidRPr="00027624">
        <w:fldChar w:fldCharType="end"/>
      </w:r>
      <w:r w:rsidRPr="00027624">
        <w:t>) not only cover the adequacy of the Age Pension; they implicitly include the value of free or subsidised government services, home ownership and assets drawn on in retirement. They capture the benefits of income and non</w:t>
      </w:r>
      <w:r w:rsidR="00A8443E" w:rsidRPr="00027624">
        <w:noBreakHyphen/>
      </w:r>
      <w:r w:rsidRPr="00027624">
        <w:t>income supports to retirees by exploring the degree to which households:</w:t>
      </w:r>
    </w:p>
    <w:p w14:paraId="39C1DEC1" w14:textId="77777777" w:rsidR="0092760B" w:rsidRPr="00027624" w:rsidRDefault="0092760B" w:rsidP="0092760B">
      <w:pPr>
        <w:pStyle w:val="Bullet"/>
      </w:pPr>
      <w:r w:rsidRPr="00027624">
        <w:rPr>
          <w:b/>
          <w:bCs/>
        </w:rPr>
        <w:t>Feel satisfied with their circumstances</w:t>
      </w:r>
      <w:r w:rsidRPr="00027624">
        <w:rPr>
          <w:b/>
        </w:rPr>
        <w:t>,</w:t>
      </w:r>
      <w:r w:rsidRPr="00027624">
        <w:t xml:space="preserve"> having the resources to enjoy experiences that support wellbeing</w:t>
      </w:r>
    </w:p>
    <w:p w14:paraId="5D8B61C3" w14:textId="77777777" w:rsidR="0092760B" w:rsidRPr="00027624" w:rsidRDefault="0092760B" w:rsidP="0092760B">
      <w:pPr>
        <w:pStyle w:val="Bullet"/>
      </w:pPr>
      <w:r w:rsidRPr="00027624">
        <w:rPr>
          <w:b/>
          <w:bCs/>
        </w:rPr>
        <w:t>Are under financial stresses</w:t>
      </w:r>
      <w:r w:rsidRPr="00027624">
        <w:rPr>
          <w:b/>
        </w:rPr>
        <w:t>,</w:t>
      </w:r>
      <w:r w:rsidRPr="00027624">
        <w:t xml:space="preserve"> such as having to go without goods or services or delay bill payments due to financial circumstances</w:t>
      </w:r>
    </w:p>
    <w:p w14:paraId="473252E7" w14:textId="77777777" w:rsidR="0092760B" w:rsidRPr="00027624" w:rsidRDefault="0092760B" w:rsidP="002A2FAE">
      <w:pPr>
        <w:tabs>
          <w:tab w:val="left" w:pos="2694"/>
        </w:tabs>
      </w:pPr>
      <w:r w:rsidRPr="00027624">
        <w:t>Because financial stress measures capture a broad range of experiences, no category of households (by income level or age group) has zero rates of financial stress</w:t>
      </w:r>
      <w:sdt>
        <w:sdtPr>
          <w:id w:val="459304983"/>
          <w:citation/>
        </w:sdtPr>
        <w:sdtEndPr/>
        <w:sdtContent>
          <w:r w:rsidRPr="00027624">
            <w:fldChar w:fldCharType="begin"/>
          </w:r>
          <w:r w:rsidRPr="00027624">
            <w:instrText xml:space="preserve">CITATION Wil16 \p 86-87 \l 3081 </w:instrText>
          </w:r>
          <w:r w:rsidRPr="00027624">
            <w:fldChar w:fldCharType="separate"/>
          </w:r>
          <w:r w:rsidR="00E83F6E">
            <w:rPr>
              <w:noProof/>
            </w:rPr>
            <w:t xml:space="preserve"> (Wilkins, 2016, pp. 86-87)</w:t>
          </w:r>
          <w:r w:rsidRPr="00027624">
            <w:fldChar w:fldCharType="end"/>
          </w:r>
        </w:sdtContent>
      </w:sdt>
      <w:r w:rsidRPr="00027624">
        <w:t>.</w:t>
      </w:r>
    </w:p>
    <w:p w14:paraId="70A33252" w14:textId="77777777" w:rsidR="0092760B" w:rsidRPr="00027624" w:rsidRDefault="0092760B" w:rsidP="00FC7361">
      <w:pPr>
        <w:pStyle w:val="TableMainHeading"/>
        <w:pageBreakBefore/>
        <w:numPr>
          <w:ilvl w:val="3"/>
          <w:numId w:val="63"/>
        </w:numPr>
      </w:pPr>
      <w:bookmarkStart w:id="433" w:name="_Toc33527827"/>
      <w:bookmarkStart w:id="434" w:name="_Toc33706469"/>
      <w:bookmarkStart w:id="435" w:name="_Ref35863460"/>
      <w:bookmarkStart w:id="436" w:name="_Ref35864598"/>
      <w:bookmarkStart w:id="437" w:name="_Ref40766227"/>
      <w:r w:rsidRPr="00027624">
        <w:lastRenderedPageBreak/>
        <w:t>Examples of revealed wellbeing indicators</w:t>
      </w:r>
      <w:bookmarkEnd w:id="433"/>
      <w:bookmarkEnd w:id="434"/>
      <w:bookmarkEnd w:id="435"/>
      <w:bookmarkEnd w:id="436"/>
      <w:bookmarkEnd w:id="437"/>
    </w:p>
    <w:tbl>
      <w:tblPr>
        <w:tblW w:w="5000" w:type="pct"/>
        <w:tblLook w:val="01E0" w:firstRow="1" w:lastRow="1" w:firstColumn="1" w:lastColumn="1" w:noHBand="0" w:noVBand="0"/>
      </w:tblPr>
      <w:tblGrid>
        <w:gridCol w:w="4535"/>
        <w:gridCol w:w="4535"/>
      </w:tblGrid>
      <w:tr w:rsidR="0092760B" w:rsidRPr="00027624" w14:paraId="383A8A9F" w14:textId="77777777" w:rsidTr="002A2FAE">
        <w:trPr>
          <w:tblHeader/>
        </w:trPr>
        <w:tc>
          <w:tcPr>
            <w:tcW w:w="2500" w:type="pct"/>
            <w:shd w:val="clear" w:color="auto" w:fill="E5E5E5"/>
          </w:tcPr>
          <w:p w14:paraId="3FCE5BCA" w14:textId="77777777" w:rsidR="0092760B" w:rsidRPr="00027624" w:rsidRDefault="0092760B" w:rsidP="002A2FAE">
            <w:pPr>
              <w:tabs>
                <w:tab w:val="left" w:pos="2694"/>
              </w:tabs>
              <w:spacing w:before="40" w:after="40"/>
              <w:jc w:val="center"/>
              <w:rPr>
                <w:b/>
                <w:color w:val="004A7F"/>
                <w:sz w:val="20"/>
              </w:rPr>
            </w:pPr>
            <w:r w:rsidRPr="00027624">
              <w:rPr>
                <w:b/>
                <w:color w:val="004A7F"/>
                <w:sz w:val="20"/>
              </w:rPr>
              <w:br w:type="page"/>
              <w:t>Financial stress experiences</w:t>
            </w:r>
          </w:p>
        </w:tc>
        <w:tc>
          <w:tcPr>
            <w:tcW w:w="2500" w:type="pct"/>
            <w:shd w:val="clear" w:color="auto" w:fill="E5E5E5"/>
          </w:tcPr>
          <w:p w14:paraId="6AA432B7" w14:textId="77777777" w:rsidR="0092760B" w:rsidRPr="00027624" w:rsidRDefault="0092760B" w:rsidP="002A2FAE">
            <w:pPr>
              <w:tabs>
                <w:tab w:val="left" w:pos="2694"/>
              </w:tabs>
              <w:spacing w:before="40" w:after="40"/>
              <w:jc w:val="center"/>
              <w:rPr>
                <w:b/>
                <w:color w:val="004A7F"/>
                <w:sz w:val="20"/>
              </w:rPr>
            </w:pPr>
            <w:r w:rsidRPr="00027624">
              <w:rPr>
                <w:b/>
                <w:color w:val="004A7F"/>
                <w:sz w:val="20"/>
              </w:rPr>
              <w:t>Missing out experiences</w:t>
            </w:r>
          </w:p>
        </w:tc>
      </w:tr>
      <w:tr w:rsidR="0092760B" w:rsidRPr="00027624" w14:paraId="08497460" w14:textId="77777777" w:rsidTr="002A2FAE">
        <w:tc>
          <w:tcPr>
            <w:tcW w:w="2500" w:type="pct"/>
          </w:tcPr>
          <w:p w14:paraId="38E4BE11" w14:textId="77777777" w:rsidR="0092760B" w:rsidRPr="00027624" w:rsidRDefault="0092760B" w:rsidP="002A2FAE">
            <w:pPr>
              <w:tabs>
                <w:tab w:val="left" w:pos="2694"/>
              </w:tabs>
              <w:spacing w:before="40" w:after="40"/>
              <w:rPr>
                <w:color w:val="000000"/>
                <w:sz w:val="18"/>
              </w:rPr>
            </w:pPr>
            <w:r w:rsidRPr="00027624">
              <w:rPr>
                <w:color w:val="000000"/>
                <w:sz w:val="18"/>
              </w:rPr>
              <w:t>Assistance sought from welfare/community organisations due to shortage of money</w:t>
            </w:r>
          </w:p>
        </w:tc>
        <w:tc>
          <w:tcPr>
            <w:tcW w:w="2500" w:type="pct"/>
          </w:tcPr>
          <w:p w14:paraId="3A5C76E1" w14:textId="77777777" w:rsidR="0092760B" w:rsidRPr="00027624" w:rsidRDefault="0092760B" w:rsidP="002A2FAE">
            <w:pPr>
              <w:tabs>
                <w:tab w:val="left" w:pos="2694"/>
              </w:tabs>
              <w:spacing w:before="40" w:after="40"/>
              <w:rPr>
                <w:color w:val="000000"/>
                <w:sz w:val="18"/>
              </w:rPr>
            </w:pPr>
            <w:r w:rsidRPr="00027624">
              <w:rPr>
                <w:color w:val="000000"/>
                <w:sz w:val="18"/>
              </w:rPr>
              <w:t>Household does not have a night out once a fortnight</w:t>
            </w:r>
          </w:p>
        </w:tc>
      </w:tr>
      <w:tr w:rsidR="0092760B" w:rsidRPr="00027624" w14:paraId="18D81678" w14:textId="77777777" w:rsidTr="002A2FAE">
        <w:tc>
          <w:tcPr>
            <w:tcW w:w="2500" w:type="pct"/>
          </w:tcPr>
          <w:p w14:paraId="05024A2A" w14:textId="77777777" w:rsidR="0092760B" w:rsidRPr="00027624" w:rsidRDefault="0092760B" w:rsidP="002A2FAE">
            <w:pPr>
              <w:tabs>
                <w:tab w:val="left" w:pos="2694"/>
              </w:tabs>
              <w:spacing w:before="40" w:after="40"/>
              <w:rPr>
                <w:color w:val="000000"/>
                <w:sz w:val="18"/>
              </w:rPr>
            </w:pPr>
            <w:r w:rsidRPr="00027624">
              <w:rPr>
                <w:color w:val="000000"/>
                <w:sz w:val="18"/>
              </w:rPr>
              <w:t>Sought financial help from friends/family due to shortage of money</w:t>
            </w:r>
          </w:p>
        </w:tc>
        <w:tc>
          <w:tcPr>
            <w:tcW w:w="2500" w:type="pct"/>
          </w:tcPr>
          <w:p w14:paraId="43E3E514" w14:textId="77777777" w:rsidR="0092760B" w:rsidRPr="00027624" w:rsidRDefault="0092760B" w:rsidP="002A2FAE">
            <w:pPr>
              <w:tabs>
                <w:tab w:val="left" w:pos="2694"/>
              </w:tabs>
              <w:spacing w:before="40" w:after="40"/>
              <w:rPr>
                <w:color w:val="000000"/>
                <w:sz w:val="18"/>
              </w:rPr>
            </w:pPr>
            <w:r w:rsidRPr="00027624">
              <w:rPr>
                <w:color w:val="000000"/>
                <w:sz w:val="18"/>
              </w:rPr>
              <w:t>Household does not have a special meal once a week</w:t>
            </w:r>
          </w:p>
        </w:tc>
      </w:tr>
      <w:tr w:rsidR="0092760B" w:rsidRPr="00027624" w14:paraId="52BB3795" w14:textId="77777777" w:rsidTr="002A2FAE">
        <w:tc>
          <w:tcPr>
            <w:tcW w:w="2500" w:type="pct"/>
          </w:tcPr>
          <w:p w14:paraId="34E2CA25" w14:textId="77777777" w:rsidR="0092760B" w:rsidRPr="00027624" w:rsidRDefault="0092760B" w:rsidP="002A2FAE">
            <w:pPr>
              <w:tabs>
                <w:tab w:val="left" w:pos="2694"/>
              </w:tabs>
              <w:spacing w:before="40" w:after="40"/>
              <w:rPr>
                <w:color w:val="000000"/>
                <w:sz w:val="18"/>
              </w:rPr>
            </w:pPr>
            <w:r w:rsidRPr="00027624">
              <w:rPr>
                <w:color w:val="000000"/>
                <w:sz w:val="18"/>
              </w:rPr>
              <w:t>Unable to heat home due to shortage of money</w:t>
            </w:r>
          </w:p>
        </w:tc>
        <w:tc>
          <w:tcPr>
            <w:tcW w:w="2500" w:type="pct"/>
          </w:tcPr>
          <w:p w14:paraId="7B71AB07" w14:textId="77777777" w:rsidR="0092760B" w:rsidRPr="00027624" w:rsidRDefault="0092760B" w:rsidP="002A2FAE">
            <w:pPr>
              <w:tabs>
                <w:tab w:val="left" w:pos="2694"/>
              </w:tabs>
              <w:spacing w:before="40" w:after="40"/>
              <w:rPr>
                <w:color w:val="000000"/>
                <w:sz w:val="18"/>
              </w:rPr>
            </w:pPr>
            <w:r w:rsidRPr="00027624">
              <w:rPr>
                <w:color w:val="000000"/>
                <w:sz w:val="18"/>
              </w:rPr>
              <w:t>Household does not have friends or family over for a meal once a month</w:t>
            </w:r>
          </w:p>
        </w:tc>
      </w:tr>
      <w:tr w:rsidR="0092760B" w:rsidRPr="00027624" w14:paraId="27CF3843" w14:textId="77777777" w:rsidTr="002A2FAE">
        <w:tc>
          <w:tcPr>
            <w:tcW w:w="2500" w:type="pct"/>
          </w:tcPr>
          <w:p w14:paraId="73503BB2" w14:textId="77777777" w:rsidR="0092760B" w:rsidRPr="00027624" w:rsidRDefault="0092760B" w:rsidP="002A2FAE">
            <w:pPr>
              <w:tabs>
                <w:tab w:val="left" w:pos="2694"/>
              </w:tabs>
              <w:spacing w:before="40" w:after="40"/>
              <w:rPr>
                <w:color w:val="000000"/>
                <w:sz w:val="18"/>
              </w:rPr>
            </w:pPr>
            <w:r w:rsidRPr="00027624">
              <w:rPr>
                <w:color w:val="000000"/>
                <w:sz w:val="18"/>
              </w:rPr>
              <w:t>Went without meals due to shortage of money</w:t>
            </w:r>
          </w:p>
        </w:tc>
        <w:tc>
          <w:tcPr>
            <w:tcW w:w="2500" w:type="pct"/>
          </w:tcPr>
          <w:p w14:paraId="680F236F" w14:textId="77777777" w:rsidR="0092760B" w:rsidRPr="00027624" w:rsidRDefault="0092760B" w:rsidP="002A2FAE">
            <w:pPr>
              <w:tabs>
                <w:tab w:val="left" w:pos="2694"/>
              </w:tabs>
              <w:spacing w:before="40" w:after="40"/>
              <w:rPr>
                <w:color w:val="000000"/>
                <w:sz w:val="18"/>
              </w:rPr>
            </w:pPr>
            <w:r w:rsidRPr="00027624">
              <w:rPr>
                <w:color w:val="000000"/>
                <w:sz w:val="18"/>
              </w:rPr>
              <w:t>Household does not have a holiday away from home for at least one week a year</w:t>
            </w:r>
          </w:p>
        </w:tc>
      </w:tr>
      <w:tr w:rsidR="0092760B" w:rsidRPr="00027624" w14:paraId="01155936" w14:textId="77777777" w:rsidTr="002A2FAE">
        <w:tc>
          <w:tcPr>
            <w:tcW w:w="2500" w:type="pct"/>
          </w:tcPr>
          <w:p w14:paraId="53AE1B22" w14:textId="77777777" w:rsidR="0092760B" w:rsidRPr="00027624" w:rsidRDefault="0092760B" w:rsidP="002A2FAE">
            <w:pPr>
              <w:tabs>
                <w:tab w:val="left" w:pos="2694"/>
              </w:tabs>
              <w:spacing w:before="40" w:after="40"/>
              <w:rPr>
                <w:color w:val="000000"/>
                <w:sz w:val="18"/>
              </w:rPr>
            </w:pPr>
            <w:r w:rsidRPr="00027624">
              <w:rPr>
                <w:color w:val="000000"/>
                <w:sz w:val="18"/>
              </w:rPr>
              <w:t>Whether could pay gas/electricity/telephone bill on time due to shortage of money</w:t>
            </w:r>
          </w:p>
        </w:tc>
        <w:tc>
          <w:tcPr>
            <w:tcW w:w="2500" w:type="pct"/>
          </w:tcPr>
          <w:p w14:paraId="5953DB6A" w14:textId="77777777" w:rsidR="0092760B" w:rsidRPr="00027624" w:rsidRDefault="0092760B" w:rsidP="002A2FAE">
            <w:pPr>
              <w:tabs>
                <w:tab w:val="left" w:pos="2694"/>
              </w:tabs>
              <w:spacing w:before="40" w:after="40"/>
              <w:rPr>
                <w:color w:val="000000"/>
                <w:sz w:val="18"/>
              </w:rPr>
            </w:pPr>
            <w:r w:rsidRPr="00027624">
              <w:rPr>
                <w:color w:val="000000"/>
                <w:sz w:val="18"/>
              </w:rPr>
              <w:t>Household buys second</w:t>
            </w:r>
            <w:r w:rsidR="00A8443E" w:rsidRPr="00027624">
              <w:rPr>
                <w:color w:val="000000"/>
                <w:sz w:val="18"/>
              </w:rPr>
              <w:noBreakHyphen/>
            </w:r>
            <w:r w:rsidRPr="00027624">
              <w:rPr>
                <w:color w:val="000000"/>
                <w:sz w:val="18"/>
              </w:rPr>
              <w:t>hand clothes most of the time</w:t>
            </w:r>
          </w:p>
        </w:tc>
      </w:tr>
      <w:tr w:rsidR="0092760B" w:rsidRPr="00027624" w14:paraId="26F63D5B" w14:textId="77777777" w:rsidTr="002A2FAE">
        <w:tc>
          <w:tcPr>
            <w:tcW w:w="2500" w:type="pct"/>
          </w:tcPr>
          <w:p w14:paraId="2B0C2F15" w14:textId="77777777" w:rsidR="0092760B" w:rsidRPr="00027624" w:rsidRDefault="0092760B" w:rsidP="002A2FAE">
            <w:pPr>
              <w:tabs>
                <w:tab w:val="left" w:pos="2694"/>
              </w:tabs>
              <w:spacing w:before="40" w:after="40"/>
              <w:rPr>
                <w:color w:val="000000"/>
                <w:sz w:val="18"/>
              </w:rPr>
            </w:pPr>
            <w:r w:rsidRPr="00027624">
              <w:rPr>
                <w:color w:val="000000"/>
                <w:sz w:val="18"/>
              </w:rPr>
              <w:t>Whether could not pay registration/insurance on time due to shortage of money</w:t>
            </w:r>
          </w:p>
        </w:tc>
        <w:tc>
          <w:tcPr>
            <w:tcW w:w="2500" w:type="pct"/>
          </w:tcPr>
          <w:p w14:paraId="0D76F088" w14:textId="77777777" w:rsidR="0092760B" w:rsidRPr="00027624" w:rsidRDefault="0092760B" w:rsidP="002A2FAE">
            <w:pPr>
              <w:tabs>
                <w:tab w:val="left" w:pos="2694"/>
              </w:tabs>
              <w:spacing w:before="40" w:after="40"/>
              <w:rPr>
                <w:color w:val="000000"/>
                <w:sz w:val="18"/>
                <w:szCs w:val="18"/>
              </w:rPr>
            </w:pPr>
            <w:r w:rsidRPr="00027624">
              <w:rPr>
                <w:color w:val="000000" w:themeColor="text1"/>
                <w:sz w:val="18"/>
                <w:szCs w:val="18"/>
              </w:rPr>
              <w:t>Household does not spend time on leisure or hobby activities</w:t>
            </w:r>
          </w:p>
        </w:tc>
      </w:tr>
      <w:tr w:rsidR="0092760B" w:rsidRPr="00027624" w14:paraId="519DA7AC" w14:textId="77777777" w:rsidTr="002A2FAE">
        <w:tc>
          <w:tcPr>
            <w:tcW w:w="2500" w:type="pct"/>
          </w:tcPr>
          <w:p w14:paraId="4F9C80C5" w14:textId="77777777" w:rsidR="0092760B" w:rsidRPr="00027624" w:rsidRDefault="0092760B" w:rsidP="002A2FAE">
            <w:pPr>
              <w:tabs>
                <w:tab w:val="left" w:pos="2694"/>
              </w:tabs>
              <w:spacing w:before="40" w:after="40"/>
              <w:rPr>
                <w:color w:val="000000"/>
                <w:sz w:val="18"/>
              </w:rPr>
            </w:pPr>
            <w:r w:rsidRPr="00027624">
              <w:rPr>
                <w:color w:val="000000"/>
                <w:sz w:val="18"/>
              </w:rPr>
              <w:t>Ability to raise emergency money</w:t>
            </w:r>
          </w:p>
        </w:tc>
        <w:tc>
          <w:tcPr>
            <w:tcW w:w="2500" w:type="pct"/>
          </w:tcPr>
          <w:p w14:paraId="4204EA4F" w14:textId="77777777" w:rsidR="0092760B" w:rsidRPr="00027624" w:rsidRDefault="0092760B" w:rsidP="002A2FAE">
            <w:pPr>
              <w:tabs>
                <w:tab w:val="left" w:pos="2694"/>
              </w:tabs>
              <w:spacing w:before="40" w:after="40"/>
              <w:rPr>
                <w:color w:val="000000"/>
                <w:sz w:val="18"/>
              </w:rPr>
            </w:pPr>
          </w:p>
        </w:tc>
      </w:tr>
      <w:tr w:rsidR="0092760B" w:rsidRPr="00027624" w14:paraId="63421AE4" w14:textId="77777777" w:rsidTr="002A2FAE">
        <w:tc>
          <w:tcPr>
            <w:tcW w:w="2500" w:type="pct"/>
          </w:tcPr>
          <w:p w14:paraId="28365C8F" w14:textId="77777777" w:rsidR="0092760B" w:rsidRPr="00027624" w:rsidRDefault="0092760B" w:rsidP="002A2FAE">
            <w:pPr>
              <w:tabs>
                <w:tab w:val="left" w:pos="2694"/>
              </w:tabs>
              <w:spacing w:before="40" w:after="40"/>
              <w:rPr>
                <w:color w:val="000000"/>
                <w:sz w:val="18"/>
              </w:rPr>
            </w:pPr>
            <w:r w:rsidRPr="00027624">
              <w:rPr>
                <w:color w:val="000000"/>
                <w:sz w:val="18"/>
              </w:rPr>
              <w:t>Pawned or sold something due to shortage of money</w:t>
            </w:r>
          </w:p>
        </w:tc>
        <w:tc>
          <w:tcPr>
            <w:tcW w:w="2500" w:type="pct"/>
          </w:tcPr>
          <w:p w14:paraId="4889A314" w14:textId="77777777" w:rsidR="0092760B" w:rsidRPr="00027624" w:rsidRDefault="0092760B" w:rsidP="002A2FAE">
            <w:pPr>
              <w:tabs>
                <w:tab w:val="left" w:pos="2694"/>
              </w:tabs>
              <w:spacing w:before="40" w:after="40"/>
              <w:rPr>
                <w:color w:val="000000"/>
                <w:sz w:val="18"/>
              </w:rPr>
            </w:pPr>
          </w:p>
        </w:tc>
      </w:tr>
    </w:tbl>
    <w:p w14:paraId="7A0E9ADB" w14:textId="77777777" w:rsidR="0092760B" w:rsidRPr="00027624" w:rsidRDefault="0092760B" w:rsidP="002A2FAE">
      <w:pPr>
        <w:pStyle w:val="ChartorTableNote"/>
        <w:tabs>
          <w:tab w:val="left" w:pos="2694"/>
        </w:tabs>
      </w:pPr>
      <w:r w:rsidRPr="00027624">
        <w:t xml:space="preserve">Source: </w:t>
      </w:r>
      <w:sdt>
        <w:sdtPr>
          <w:id w:val="-17467148"/>
          <w:citation/>
        </w:sdtPr>
        <w:sdtEndPr/>
        <w:sdtContent>
          <w:r w:rsidRPr="00027624">
            <w:fldChar w:fldCharType="begin"/>
          </w:r>
          <w:r w:rsidR="00041075" w:rsidRPr="00027624">
            <w:instrText xml:space="preserve">CITATION ABSc17 \l 3081 </w:instrText>
          </w:r>
          <w:r w:rsidRPr="00027624">
            <w:fldChar w:fldCharType="separate"/>
          </w:r>
          <w:r w:rsidR="00E83F6E">
            <w:rPr>
              <w:noProof/>
            </w:rPr>
            <w:t>(ABS, 2017d)</w:t>
          </w:r>
          <w:r w:rsidRPr="00027624">
            <w:fldChar w:fldCharType="end"/>
          </w:r>
        </w:sdtContent>
      </w:sdt>
      <w:r w:rsidRPr="00027624">
        <w:t>.</w:t>
      </w:r>
    </w:p>
    <w:p w14:paraId="1D57B155" w14:textId="77777777" w:rsidR="0092760B" w:rsidRPr="00027624" w:rsidRDefault="0092760B" w:rsidP="002A2FAE">
      <w:pPr>
        <w:tabs>
          <w:tab w:val="left" w:pos="2694"/>
        </w:tabs>
      </w:pPr>
      <w:r w:rsidRPr="00027624">
        <w:t xml:space="preserve">The ABS classifies households with four or more financial stress or </w:t>
      </w:r>
      <w:r w:rsidR="00A8443E" w:rsidRPr="00027624">
        <w:t>‘</w:t>
      </w:r>
      <w:r w:rsidRPr="00027624">
        <w:t>missing out</w:t>
      </w:r>
      <w:r w:rsidR="00A8443E" w:rsidRPr="00027624">
        <w:t>’</w:t>
      </w:r>
      <w:r w:rsidRPr="00027624">
        <w:t xml:space="preserve"> experiences as being </w:t>
      </w:r>
      <w:r w:rsidR="00A8443E" w:rsidRPr="00027624">
        <w:t>‘</w:t>
      </w:r>
      <w:r w:rsidRPr="00027624">
        <w:t>in financial stress</w:t>
      </w:r>
      <w:r w:rsidR="00A8443E" w:rsidRPr="00027624">
        <w:t>’</w:t>
      </w:r>
      <w:r w:rsidRPr="00027624">
        <w:t xml:space="preserve"> </w:t>
      </w:r>
      <w:sdt>
        <w:sdtPr>
          <w:id w:val="-1601559952"/>
          <w:citation/>
        </w:sdtPr>
        <w:sdtEndPr/>
        <w:sdtContent>
          <w:r w:rsidRPr="00027624">
            <w:fldChar w:fldCharType="begin"/>
          </w:r>
          <w:r w:rsidR="001F08BC" w:rsidRPr="00027624">
            <w:instrText xml:space="preserve">CITATION ABSc17 \l 3081 </w:instrText>
          </w:r>
          <w:r w:rsidRPr="00027624">
            <w:fldChar w:fldCharType="separate"/>
          </w:r>
          <w:r w:rsidR="00E83F6E">
            <w:rPr>
              <w:noProof/>
            </w:rPr>
            <w:t>(ABS, 2017d)</w:t>
          </w:r>
          <w:r w:rsidRPr="00027624">
            <w:fldChar w:fldCharType="end"/>
          </w:r>
        </w:sdtContent>
      </w:sdt>
      <w:r w:rsidRPr="00027624">
        <w:t>. If retiree groups have higher levels of financial stress than the working</w:t>
      </w:r>
      <w:r w:rsidR="00A8443E" w:rsidRPr="00027624">
        <w:noBreakHyphen/>
      </w:r>
      <w:r w:rsidRPr="00027624">
        <w:t>age average, this may indicate the retirement income system is not achieving adequate minimum standards for those retirees</w:t>
      </w:r>
      <w:r w:rsidRPr="00027624" w:rsidDel="001919A5">
        <w:t>.</w:t>
      </w:r>
    </w:p>
    <w:p w14:paraId="483AC167" w14:textId="77777777" w:rsidR="0092760B" w:rsidRPr="00027624" w:rsidRDefault="0092760B" w:rsidP="00377A0E">
      <w:pPr>
        <w:pStyle w:val="Heading5"/>
      </w:pPr>
      <w:r w:rsidRPr="00027624">
        <w:t>Financial satisfaction</w:t>
      </w:r>
    </w:p>
    <w:p w14:paraId="111A56C0" w14:textId="6B6809E4" w:rsidR="0092760B" w:rsidRPr="00027624" w:rsidRDefault="0092760B" w:rsidP="002A2FAE">
      <w:pPr>
        <w:tabs>
          <w:tab w:val="left" w:pos="2694"/>
        </w:tabs>
      </w:pPr>
      <w:r w:rsidRPr="00027624">
        <w:rPr>
          <w:b/>
        </w:rPr>
        <w:t>Retirees generally report higher financial satisfaction than working</w:t>
      </w:r>
      <w:r w:rsidR="00A8443E" w:rsidRPr="00027624">
        <w:rPr>
          <w:b/>
        </w:rPr>
        <w:noBreakHyphen/>
      </w:r>
      <w:r w:rsidRPr="00027624">
        <w:rPr>
          <w:b/>
        </w:rPr>
        <w:t>age people across the income distribution (</w:t>
      </w:r>
      <w:r w:rsidRPr="00027624">
        <w:rPr>
          <w:b/>
        </w:rPr>
        <w:fldChar w:fldCharType="begin"/>
      </w:r>
      <w:r w:rsidRPr="00027624">
        <w:rPr>
          <w:b/>
        </w:rPr>
        <w:instrText xml:space="preserve"> REF _Ref44513650 \r \h  \* MERGEFORMAT </w:instrText>
      </w:r>
      <w:r w:rsidRPr="00027624">
        <w:rPr>
          <w:b/>
        </w:rPr>
      </w:r>
      <w:r w:rsidRPr="00027624">
        <w:rPr>
          <w:b/>
        </w:rPr>
        <w:fldChar w:fldCharType="separate"/>
      </w:r>
      <w:r w:rsidR="00891058">
        <w:rPr>
          <w:b/>
        </w:rPr>
        <w:t>Chart 2A-6</w:t>
      </w:r>
      <w:r w:rsidRPr="00027624">
        <w:rPr>
          <w:b/>
        </w:rPr>
        <w:fldChar w:fldCharType="end"/>
      </w:r>
      <w:r w:rsidRPr="00027624">
        <w:rPr>
          <w:b/>
        </w:rPr>
        <w:t>).</w:t>
      </w:r>
      <w:r w:rsidRPr="00027624">
        <w:t xml:space="preserve"> Cost pressures, such as mortgages and raising children, generally fall as people approach and enter retirement.</w:t>
      </w:r>
    </w:p>
    <w:p w14:paraId="3A7EBE6B" w14:textId="51D9036A" w:rsidR="0092760B" w:rsidRPr="00027624" w:rsidRDefault="0092760B" w:rsidP="002A2FAE">
      <w:pPr>
        <w:tabs>
          <w:tab w:val="left" w:pos="2694"/>
        </w:tabs>
      </w:pPr>
      <w:r w:rsidRPr="00027624">
        <w:rPr>
          <w:b/>
          <w:bCs/>
        </w:rPr>
        <w:t>Government services help low</w:t>
      </w:r>
      <w:r w:rsidR="00A8443E" w:rsidRPr="00027624">
        <w:rPr>
          <w:b/>
          <w:bCs/>
        </w:rPr>
        <w:noBreakHyphen/>
      </w:r>
      <w:r w:rsidRPr="00027624">
        <w:rPr>
          <w:b/>
          <w:bCs/>
        </w:rPr>
        <w:t>income retirees to reduce financial stress</w:t>
      </w:r>
      <w:r w:rsidRPr="00027624">
        <w:rPr>
          <w:b/>
        </w:rPr>
        <w:t>.</w:t>
      </w:r>
      <w:r w:rsidRPr="00027624">
        <w:t xml:space="preserve"> Differences in financial satisfaction between retirees and working</w:t>
      </w:r>
      <w:r w:rsidR="00A8443E" w:rsidRPr="00027624">
        <w:noBreakHyphen/>
      </w:r>
      <w:r w:rsidRPr="00027624">
        <w:t>age people are greatest for low</w:t>
      </w:r>
      <w:r w:rsidR="00A8443E" w:rsidRPr="00027624">
        <w:noBreakHyphen/>
      </w:r>
      <w:r w:rsidRPr="00027624">
        <w:t>income households (</w:t>
      </w:r>
      <w:r w:rsidRPr="00027624">
        <w:fldChar w:fldCharType="begin"/>
      </w:r>
      <w:r w:rsidRPr="00027624">
        <w:instrText xml:space="preserve"> REF _Ref35448733 \r \h  \* MERGEFORMAT </w:instrText>
      </w:r>
      <w:r w:rsidRPr="00027624">
        <w:fldChar w:fldCharType="separate"/>
      </w:r>
      <w:r w:rsidR="00891058">
        <w:t>Chart 2A-6</w:t>
      </w:r>
      <w:r w:rsidRPr="00027624">
        <w:fldChar w:fldCharType="end"/>
      </w:r>
      <w:r w:rsidRPr="00027624">
        <w:t>). This may reflect the higher value of the Age Pension compared to working</w:t>
      </w:r>
      <w:r w:rsidR="00A8443E" w:rsidRPr="00027624">
        <w:noBreakHyphen/>
      </w:r>
      <w:r w:rsidRPr="00027624">
        <w:t>age social security payments. For example, as at 1 May 2020 the maximum value of the single Age Pension was around $944 per fortnight compared to almost $574 for the JobSeeker Payment (including the Energy Supplement but excluding the temporary Coronavirus Supplement).</w:t>
      </w:r>
    </w:p>
    <w:p w14:paraId="2B5BF154" w14:textId="77777777" w:rsidR="0092760B" w:rsidRPr="00027624" w:rsidRDefault="0092760B" w:rsidP="00FC7361">
      <w:pPr>
        <w:pStyle w:val="ChartMainHeading"/>
        <w:numPr>
          <w:ilvl w:val="2"/>
          <w:numId w:val="62"/>
        </w:numPr>
      </w:pPr>
      <w:bookmarkStart w:id="438" w:name="_Ref45013399"/>
      <w:bookmarkStart w:id="439" w:name="_Ref35448733"/>
      <w:bookmarkStart w:id="440" w:name="_Ref44513650"/>
      <w:r w:rsidRPr="00027624">
        <w:t>Financial satisfaction, by age and income</w:t>
      </w:r>
      <w:bookmarkEnd w:id="438"/>
      <w:bookmarkEnd w:id="439"/>
      <w:bookmarkEnd w:id="440"/>
    </w:p>
    <w:p w14:paraId="0145F0EC" w14:textId="77777777" w:rsidR="0092760B" w:rsidRPr="00027624" w:rsidRDefault="005B5724" w:rsidP="002A2FAE">
      <w:pPr>
        <w:pStyle w:val="ChartGraphic"/>
      </w:pPr>
      <w:r>
        <w:rPr>
          <w:noProof/>
        </w:rPr>
        <w:drawing>
          <wp:inline distT="0" distB="0" distL="0" distR="0" wp14:anchorId="35D9D503" wp14:editId="00CDA877">
            <wp:extent cx="5517211" cy="2600325"/>
            <wp:effectExtent l="0" t="0" r="7620" b="0"/>
            <wp:docPr id="2002235500" name="Picture 2" descr="This chart shows that at all income levels, financial satisfaction is higher for households aged 65 and over than working age households. Comparing financial satisfaction levels between ages shows that higher income earners experience a smaller increase in financial satisfaction on reaching 65 than lower- and middle-income earners. " title="Chart 2A-6 Financial satisfaction, by age and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5"/>
                    <a:stretch>
                      <a:fillRect/>
                    </a:stretch>
                  </pic:blipFill>
                  <pic:spPr>
                    <a:xfrm>
                      <a:off x="0" y="0"/>
                      <a:ext cx="5531116" cy="2606879"/>
                    </a:xfrm>
                    <a:prstGeom prst="rect">
                      <a:avLst/>
                    </a:prstGeom>
                  </pic:spPr>
                </pic:pic>
              </a:graphicData>
            </a:graphic>
          </wp:inline>
        </w:drawing>
      </w:r>
    </w:p>
    <w:p w14:paraId="73383332" w14:textId="77777777" w:rsidR="0092760B" w:rsidRPr="00027624" w:rsidRDefault="0092760B" w:rsidP="002A2FAE">
      <w:pPr>
        <w:pStyle w:val="ChartorTableNote"/>
        <w:tabs>
          <w:tab w:val="left" w:pos="2694"/>
        </w:tabs>
      </w:pPr>
      <w:r w:rsidRPr="00027624">
        <w:t>Note: Income deciles are calculated at the population level. Source: Analysis of HILDA Survey data (Wave 18).</w:t>
      </w:r>
    </w:p>
    <w:p w14:paraId="4E10FE79" w14:textId="70CD6656" w:rsidR="00AD52A5" w:rsidRPr="00027624" w:rsidRDefault="00AD52A5" w:rsidP="00AD52A5">
      <w:pPr>
        <w:tabs>
          <w:tab w:val="left" w:pos="2694"/>
        </w:tabs>
      </w:pPr>
      <w:r w:rsidRPr="00027624">
        <w:lastRenderedPageBreak/>
        <w:fldChar w:fldCharType="begin"/>
      </w:r>
      <w:r w:rsidRPr="00027624">
        <w:instrText xml:space="preserve"> REF _Ref45013399 \r \h  \* MERGEFORMAT </w:instrText>
      </w:r>
      <w:r w:rsidRPr="00027624">
        <w:fldChar w:fldCharType="separate"/>
      </w:r>
      <w:r w:rsidR="00891058">
        <w:t>Chart 2A-6</w:t>
      </w:r>
      <w:r w:rsidRPr="00027624">
        <w:fldChar w:fldCharType="end"/>
      </w:r>
      <w:r w:rsidRPr="00027624">
        <w:t xml:space="preserve"> also suggests that income has a weaker relationship with financial satisfaction for retirees compared to working</w:t>
      </w:r>
      <w:r w:rsidRPr="00027624">
        <w:noBreakHyphen/>
        <w:t xml:space="preserve">age households. For those on higher incomes, the </w:t>
      </w:r>
      <w:r w:rsidRPr="00027624" w:rsidDel="008A32CF">
        <w:t xml:space="preserve">increase in financial wellbeing </w:t>
      </w:r>
      <w:r w:rsidRPr="00027624">
        <w:t>between</w:t>
      </w:r>
      <w:r w:rsidRPr="00027624" w:rsidDel="008A32CF">
        <w:t xml:space="preserve"> </w:t>
      </w:r>
      <w:r w:rsidRPr="00027624">
        <w:t>working age and retirement is more muted.</w:t>
      </w:r>
    </w:p>
    <w:p w14:paraId="7CFF5054" w14:textId="77777777" w:rsidR="0092760B" w:rsidRPr="00027624" w:rsidRDefault="0092760B" w:rsidP="00377A0E">
      <w:pPr>
        <w:pStyle w:val="Heading5"/>
      </w:pPr>
      <w:r w:rsidRPr="00027624">
        <w:t>Financial stress</w:t>
      </w:r>
    </w:p>
    <w:p w14:paraId="69B9A7B1" w14:textId="1996E1ED" w:rsidR="0092760B" w:rsidRPr="00027624" w:rsidRDefault="0092760B" w:rsidP="002A2FAE">
      <w:pPr>
        <w:tabs>
          <w:tab w:val="left" w:pos="2694"/>
        </w:tabs>
      </w:pPr>
      <w:r w:rsidRPr="00027624">
        <w:rPr>
          <w:b/>
        </w:rPr>
        <w:t>Rates of financial stress decline as households approach and enter retirement. This difference is most pronounced among lower</w:t>
      </w:r>
      <w:r w:rsidR="00A8443E" w:rsidRPr="00027624">
        <w:rPr>
          <w:b/>
        </w:rPr>
        <w:noBreakHyphen/>
      </w:r>
      <w:r w:rsidRPr="00027624">
        <w:rPr>
          <w:b/>
        </w:rPr>
        <w:t>wealth households</w:t>
      </w:r>
      <w:r w:rsidRPr="00027624">
        <w:t>, where</w:t>
      </w:r>
      <w:r w:rsidRPr="00027624">
        <w:rPr>
          <w:b/>
        </w:rPr>
        <w:t xml:space="preserve"> </w:t>
      </w:r>
      <w:r w:rsidRPr="00027624">
        <w:t>rates of financial stress drop about 10 percentage points at age 65 from elevated levels between ages 40</w:t>
      </w:r>
      <w:r w:rsidR="00A8443E" w:rsidRPr="00027624">
        <w:noBreakHyphen/>
      </w:r>
      <w:r w:rsidRPr="00027624">
        <w:t>60 (</w:t>
      </w:r>
      <w:r w:rsidRPr="00027624">
        <w:fldChar w:fldCharType="begin"/>
      </w:r>
      <w:r w:rsidRPr="00027624">
        <w:instrText xml:space="preserve"> REF _Ref35448759 \r \h  \* MERGEFORMAT </w:instrText>
      </w:r>
      <w:r w:rsidRPr="00027624">
        <w:fldChar w:fldCharType="separate"/>
      </w:r>
      <w:r w:rsidR="00891058">
        <w:t>Chart 2A-7</w:t>
      </w:r>
      <w:r w:rsidRPr="00027624">
        <w:fldChar w:fldCharType="end"/>
      </w:r>
      <w:r w:rsidRPr="00027624">
        <w:t>).</w:t>
      </w:r>
    </w:p>
    <w:p w14:paraId="126310D6" w14:textId="77777777" w:rsidR="0092760B" w:rsidRPr="00027624" w:rsidRDefault="0092760B" w:rsidP="00FC7361">
      <w:pPr>
        <w:pStyle w:val="ChartMainHeading"/>
        <w:numPr>
          <w:ilvl w:val="2"/>
          <w:numId w:val="62"/>
        </w:numPr>
      </w:pPr>
      <w:bookmarkStart w:id="441" w:name="_Toc33527828"/>
      <w:bookmarkStart w:id="442" w:name="_Toc33706470"/>
      <w:bookmarkStart w:id="443" w:name="_Ref35448759"/>
      <w:bookmarkStart w:id="444" w:name="_Ref37314020"/>
      <w:r w:rsidRPr="00027624">
        <w:t>Proportion of households in financial stress, by age and wealth</w:t>
      </w:r>
      <w:bookmarkEnd w:id="441"/>
      <w:bookmarkEnd w:id="442"/>
      <w:bookmarkEnd w:id="443"/>
      <w:bookmarkEnd w:id="444"/>
    </w:p>
    <w:p w14:paraId="7D89ABEB" w14:textId="77777777" w:rsidR="0092760B" w:rsidRPr="00027624" w:rsidRDefault="00DD237F" w:rsidP="002A2FAE">
      <w:pPr>
        <w:pStyle w:val="ChartGraphic"/>
      </w:pPr>
      <w:r>
        <w:rPr>
          <w:noProof/>
        </w:rPr>
        <w:drawing>
          <wp:inline distT="0" distB="0" distL="0" distR="0" wp14:anchorId="6CC47E92" wp14:editId="4938A0B9">
            <wp:extent cx="5577840" cy="2514600"/>
            <wp:effectExtent l="0" t="0" r="3810" b="0"/>
            <wp:docPr id="983014711" name="Picture 983014711" descr="This chart shows that low wealth households experience high levels of financial stress at most ages, peaking at around 50 per cent at ages 45-50 years. Financial stress among low wealth households decreases to around 30 per cent at age 65 and over. Middle and higher wealth households experience significantly lower levels of financial stress at all ages, with middle-wealth financial stress peaking at ages 30-35 and 45-40 at around 12 per cent. The proportion of these groups in financial stress does not clearly fall at age 65." title="Chart 2A-7 Proportion of households in financial stress, by age and w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77840" cy="2514600"/>
                    </a:xfrm>
                    <a:prstGeom prst="rect">
                      <a:avLst/>
                    </a:prstGeom>
                    <a:noFill/>
                  </pic:spPr>
                </pic:pic>
              </a:graphicData>
            </a:graphic>
          </wp:inline>
        </w:drawing>
      </w:r>
    </w:p>
    <w:p w14:paraId="25954FD5" w14:textId="77777777" w:rsidR="0092760B" w:rsidRPr="00027624" w:rsidRDefault="0092760B" w:rsidP="002A2FAE">
      <w:pPr>
        <w:pStyle w:val="ChartorTableNote"/>
      </w:pPr>
      <w:r w:rsidRPr="00027624">
        <w:t>Note: Wealth deciles are calculated by age range rather than at a population level. Lower wealth is the bottom 20 per cent of households, middle wealth is the 40</w:t>
      </w:r>
      <w:r w:rsidRPr="00027624">
        <w:rPr>
          <w:vertAlign w:val="superscript"/>
        </w:rPr>
        <w:t>th</w:t>
      </w:r>
      <w:r w:rsidRPr="00027624">
        <w:t xml:space="preserve"> to 59</w:t>
      </w:r>
      <w:r w:rsidRPr="00027624">
        <w:rPr>
          <w:vertAlign w:val="superscript"/>
        </w:rPr>
        <w:t>th</w:t>
      </w:r>
      <w:r w:rsidRPr="00027624">
        <w:t xml:space="preserve"> percentiles, and higher wealth is the top 20 per cent, based on equivalised household wealth within age groups. Source: </w:t>
      </w:r>
      <w:r w:rsidR="0054168C" w:rsidRPr="00027624">
        <w:t>Analysis of ABS Household Expenditure Survey Confidentialised Unit Record File, 2015-16</w:t>
      </w:r>
      <w:r w:rsidRPr="00027624">
        <w:t>.</w:t>
      </w:r>
    </w:p>
    <w:p w14:paraId="6C2462C9" w14:textId="77777777" w:rsidR="0092760B" w:rsidRPr="00027624" w:rsidRDefault="0092760B" w:rsidP="002A2FAE">
      <w:pPr>
        <w:tabs>
          <w:tab w:val="left" w:pos="2694"/>
        </w:tabs>
      </w:pPr>
      <w:r w:rsidRPr="00027624">
        <w:t>Retirees are less likely to be in financial stress than working</w:t>
      </w:r>
      <w:r w:rsidR="00A8443E" w:rsidRPr="00027624">
        <w:noBreakHyphen/>
      </w:r>
      <w:r w:rsidRPr="00027624">
        <w:t>age households. About 11 per cent of retirees are in financial stress, compared with 16 per cent of working</w:t>
      </w:r>
      <w:r w:rsidR="00A8443E" w:rsidRPr="00027624">
        <w:noBreakHyphen/>
      </w:r>
      <w:r w:rsidRPr="00027624">
        <w:t>age households or 11 per cent of employed working</w:t>
      </w:r>
      <w:r w:rsidR="00A8443E" w:rsidRPr="00027624">
        <w:noBreakHyphen/>
      </w:r>
      <w:r w:rsidRPr="00027624">
        <w:t>age households. These rates are similar in the HILDA Survey, where 4 per cent of retirees and 9 per cent of working</w:t>
      </w:r>
      <w:r w:rsidR="00A8443E" w:rsidRPr="00027624">
        <w:noBreakHyphen/>
      </w:r>
      <w:r w:rsidRPr="00027624">
        <w:t>age people experience financial stress.</w:t>
      </w:r>
      <w:r w:rsidR="0054168C" w:rsidRPr="00027624">
        <w:rPr>
          <w:rStyle w:val="FootnoteReference"/>
        </w:rPr>
        <w:footnoteReference w:id="76"/>
      </w:r>
    </w:p>
    <w:p w14:paraId="4AEEB301" w14:textId="77777777" w:rsidR="0092760B" w:rsidRPr="00027624" w:rsidRDefault="0092760B" w:rsidP="002A2FAE">
      <w:pPr>
        <w:tabs>
          <w:tab w:val="left" w:pos="2694"/>
        </w:tabs>
      </w:pPr>
      <w:r w:rsidRPr="00027624">
        <w:t>Retirees are also less likely to experience any indicators of financial stress than working</w:t>
      </w:r>
      <w:r w:rsidR="00E8303B" w:rsidRPr="00027624">
        <w:t>-</w:t>
      </w:r>
      <w:r w:rsidRPr="00027624">
        <w:t>age households. Around two</w:t>
      </w:r>
      <w:r w:rsidR="00A8443E" w:rsidRPr="00027624">
        <w:noBreakHyphen/>
      </w:r>
      <w:r w:rsidRPr="00027624">
        <w:t>thirds of retirees have no financial stress indicators, compared with 56 per cent of the working</w:t>
      </w:r>
      <w:r w:rsidR="00E8303B" w:rsidRPr="00027624">
        <w:t>-</w:t>
      </w:r>
      <w:r w:rsidRPr="00027624">
        <w:t xml:space="preserve">age population aged 25 and over. </w:t>
      </w:r>
    </w:p>
    <w:p w14:paraId="4255FC1D" w14:textId="77777777" w:rsidR="0092760B" w:rsidRPr="00027624" w:rsidRDefault="0092760B" w:rsidP="002A2FAE">
      <w:pPr>
        <w:tabs>
          <w:tab w:val="left" w:pos="2694"/>
        </w:tabs>
      </w:pPr>
      <w:r w:rsidRPr="00027624">
        <w:t>These findings are supported by a measure of wellbeing derived by the Harmer Review, based on the 5 per cent of the population with the most adverse outcomes. Using this measure, retirees in 2017</w:t>
      </w:r>
      <w:r w:rsidR="00A8443E" w:rsidRPr="00027624">
        <w:noBreakHyphen/>
      </w:r>
      <w:r w:rsidRPr="00027624">
        <w:t>18 were half as likely to be in the most financially stressed 5 per cent of the population as working</w:t>
      </w:r>
      <w:r w:rsidR="00E8303B" w:rsidRPr="00027624">
        <w:t>-</w:t>
      </w:r>
      <w:r w:rsidRPr="00027624">
        <w:t>age households.</w:t>
      </w:r>
    </w:p>
    <w:p w14:paraId="77B5BAB3" w14:textId="77777777" w:rsidR="0092760B" w:rsidRPr="00027624" w:rsidRDefault="0092760B" w:rsidP="002A2FAE">
      <w:pPr>
        <w:pStyle w:val="Heading5"/>
        <w:tabs>
          <w:tab w:val="left" w:pos="2694"/>
        </w:tabs>
      </w:pPr>
      <w:r w:rsidRPr="00027624">
        <w:t>Financial stress within groups of retirees</w:t>
      </w:r>
    </w:p>
    <w:p w14:paraId="11C860E3" w14:textId="012A7D23" w:rsidR="0092760B" w:rsidRPr="00027624" w:rsidRDefault="0092760B" w:rsidP="002A2FAE">
      <w:pPr>
        <w:tabs>
          <w:tab w:val="left" w:pos="2694"/>
        </w:tabs>
      </w:pPr>
      <w:r w:rsidRPr="00027624">
        <w:t>A number of groups of retirees experience rates of financial stress significantly above the working</w:t>
      </w:r>
      <w:r w:rsidR="00A8443E" w:rsidRPr="00027624">
        <w:noBreakHyphen/>
      </w:r>
      <w:r w:rsidRPr="00027624">
        <w:t xml:space="preserve">age average. </w:t>
      </w:r>
      <w:r w:rsidRPr="00027624">
        <w:rPr>
          <w:b/>
          <w:bCs/>
        </w:rPr>
        <w:t>In particular, the retirement income system does not appear to be delivering an appropriate minimum standard of living for renters and many who retire early</w:t>
      </w:r>
      <w:r w:rsidRPr="00027624">
        <w:t xml:space="preserve"> (</w:t>
      </w:r>
      <w:r w:rsidRPr="00027624">
        <w:fldChar w:fldCharType="begin"/>
      </w:r>
      <w:r w:rsidRPr="00027624">
        <w:instrText xml:space="preserve"> REF _Ref37228424 \r \h  \* MERGEFORMAT </w:instrText>
      </w:r>
      <w:r w:rsidRPr="00027624">
        <w:fldChar w:fldCharType="separate"/>
      </w:r>
      <w:r w:rsidR="00891058">
        <w:t>Chart 2A-8</w:t>
      </w:r>
      <w:r w:rsidRPr="00027624">
        <w:fldChar w:fldCharType="end"/>
      </w:r>
      <w:r w:rsidRPr="00027624">
        <w:t>).</w:t>
      </w:r>
      <w:r w:rsidRPr="00027624">
        <w:rPr>
          <w:rStyle w:val="FootnoteReference"/>
        </w:rPr>
        <w:footnoteReference w:id="77"/>
      </w:r>
    </w:p>
    <w:p w14:paraId="4F39A1AE" w14:textId="77777777" w:rsidR="0092760B" w:rsidRPr="00027624" w:rsidRDefault="0092760B" w:rsidP="00FC7361">
      <w:pPr>
        <w:pStyle w:val="ChartMainHeading"/>
        <w:numPr>
          <w:ilvl w:val="2"/>
          <w:numId w:val="62"/>
        </w:numPr>
      </w:pPr>
      <w:bookmarkStart w:id="445" w:name="_Ref37228424"/>
      <w:bookmarkStart w:id="446" w:name="_Ref43725008"/>
      <w:bookmarkStart w:id="447" w:name="_Ref44519000"/>
      <w:bookmarkStart w:id="448" w:name="_Toc33527829"/>
      <w:bookmarkStart w:id="449" w:name="_Toc33706471"/>
      <w:r w:rsidRPr="00027624">
        <w:lastRenderedPageBreak/>
        <w:t>Financial stress rates of retiree households</w:t>
      </w:r>
      <w:bookmarkEnd w:id="445"/>
      <w:bookmarkEnd w:id="446"/>
      <w:bookmarkEnd w:id="447"/>
      <w:bookmarkEnd w:id="448"/>
      <w:bookmarkEnd w:id="449"/>
    </w:p>
    <w:p w14:paraId="70FC7968" w14:textId="77777777" w:rsidR="0092760B" w:rsidRPr="00027624" w:rsidRDefault="00021BA7" w:rsidP="00347F4A">
      <w:pPr>
        <w:pStyle w:val="ChartGraphic"/>
        <w:rPr>
          <w:noProof/>
        </w:rPr>
      </w:pPr>
      <w:r>
        <w:rPr>
          <w:noProof/>
        </w:rPr>
        <w:drawing>
          <wp:inline distT="0" distB="0" distL="0" distR="0" wp14:anchorId="1C7ABDFD" wp14:editId="2BD75227">
            <wp:extent cx="5577840" cy="2613660"/>
            <wp:effectExtent l="0" t="0" r="3810" b="0"/>
            <wp:docPr id="5" name="Picture 5" descr="This chart shows rates of financial stress among different retiree cohorts. Early retired renters experience the highest levels of financial stress, at around 55 per cent. Almost 39 per cent of retired public renters, who make up 4 per cent of retirees, are in financial stress. Couple renters, early retired households, single renters, low wealth home owning pensioner households, private renters and mortgagors also experience financial stress at a rate in excess of the retiree average of 11 per cent. Homeowners have the lowest rates of financial stress." title="Chart 2A-8 Financial stress rates of retiree house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77840" cy="2613660"/>
                    </a:xfrm>
                    <a:prstGeom prst="rect">
                      <a:avLst/>
                    </a:prstGeom>
                    <a:noFill/>
                  </pic:spPr>
                </pic:pic>
              </a:graphicData>
            </a:graphic>
          </wp:inline>
        </w:drawing>
      </w:r>
    </w:p>
    <w:p w14:paraId="20CA8BE3" w14:textId="77777777" w:rsidR="0092760B" w:rsidRPr="00027624" w:rsidRDefault="0092760B" w:rsidP="00A24910">
      <w:pPr>
        <w:pStyle w:val="ChartorTableNote"/>
        <w:tabs>
          <w:tab w:val="left" w:pos="2694"/>
        </w:tabs>
        <w:spacing w:after="180"/>
      </w:pPr>
      <w:r w:rsidRPr="00027624">
        <w:t>Note: Percentages in chart represent the size of the group compared with the total retired population. Some categories overlap; for example, the couple and couple renter categories. Retiree defined as household reference person being aged 65 and over. Early retired means aged 55</w:t>
      </w:r>
      <w:r w:rsidR="00A8443E" w:rsidRPr="00027624">
        <w:noBreakHyphen/>
      </w:r>
      <w:r w:rsidRPr="00027624">
        <w:t xml:space="preserve">64 and not in the labour force. Low </w:t>
      </w:r>
      <w:r w:rsidRPr="00027624" w:rsidDel="0045635B">
        <w:t xml:space="preserve">means </w:t>
      </w:r>
      <w:r w:rsidRPr="00027624">
        <w:t>households are in the bottom 20 per cent for both wealth and income. Home owner (HO) means outright home owner. Employed population includes households of working age where household reference person is in employment. Elevated stress defined as at least 5 percentage points above employed population average. Source: Analysis of ABS Household Expenditure Survey Confidentialised Unit Record File, 2015</w:t>
      </w:r>
      <w:r w:rsidR="00A8443E" w:rsidRPr="00027624">
        <w:noBreakHyphen/>
      </w:r>
      <w:r w:rsidRPr="00027624">
        <w:t>16.</w:t>
      </w:r>
    </w:p>
    <w:p w14:paraId="156535BF" w14:textId="77777777" w:rsidR="0092760B" w:rsidRPr="00027624" w:rsidRDefault="0092760B" w:rsidP="00377A0E">
      <w:pPr>
        <w:pStyle w:val="Heading6"/>
      </w:pPr>
      <w:r w:rsidRPr="00027624">
        <w:t>Private renters</w:t>
      </w:r>
    </w:p>
    <w:p w14:paraId="66CB8F4A" w14:textId="23083C8F" w:rsidR="0092760B" w:rsidRPr="00027624" w:rsidRDefault="0092760B" w:rsidP="002A2FAE">
      <w:pPr>
        <w:tabs>
          <w:tab w:val="left" w:pos="2694"/>
        </w:tabs>
      </w:pPr>
      <w:r w:rsidRPr="00027624">
        <w:t>Almost one</w:t>
      </w:r>
      <w:r w:rsidR="00A8443E" w:rsidRPr="00027624">
        <w:noBreakHyphen/>
      </w:r>
      <w:r w:rsidRPr="00027624">
        <w:t>quarter of retirees who rent privately are in financial stress (</w:t>
      </w:r>
      <w:r w:rsidRPr="00027624">
        <w:fldChar w:fldCharType="begin"/>
      </w:r>
      <w:r w:rsidRPr="00027624">
        <w:instrText xml:space="preserve"> REF _Ref37228424 \r \h  \* MERGEFORMAT </w:instrText>
      </w:r>
      <w:r w:rsidRPr="00027624">
        <w:fldChar w:fldCharType="separate"/>
      </w:r>
      <w:r w:rsidR="00891058">
        <w:t>Chart 2A-8</w:t>
      </w:r>
      <w:r w:rsidRPr="00027624">
        <w:fldChar w:fldCharType="end"/>
      </w:r>
      <w:r w:rsidRPr="00027624">
        <w:t>). High housing costs are likely to be the primary driver of the financial stress experienced by this group.</w:t>
      </w:r>
    </w:p>
    <w:p w14:paraId="2A44FED9" w14:textId="62A7AF32" w:rsidR="0092760B" w:rsidRPr="00027624" w:rsidRDefault="0092760B" w:rsidP="002A2FAE">
      <w:pPr>
        <w:tabs>
          <w:tab w:val="left" w:pos="2694"/>
        </w:tabs>
      </w:pPr>
      <w:r w:rsidRPr="00027624">
        <w:t>Renters face higher housing costs than home owners in retirement: an additional $6,900 per year for the median single, and $12,200 per</w:t>
      </w:r>
      <w:r w:rsidRPr="00027624" w:rsidDel="00F800A3">
        <w:t xml:space="preserve"> </w:t>
      </w:r>
      <w:r w:rsidRPr="00027624">
        <w:t>year for the median couple (</w:t>
      </w:r>
      <w:r w:rsidRPr="00027624">
        <w:fldChar w:fldCharType="begin"/>
      </w:r>
      <w:r w:rsidRPr="00027624">
        <w:instrText xml:space="preserve"> REF _Ref44938149 \r \h </w:instrText>
      </w:r>
      <w:r w:rsidR="00FA7639" w:rsidRPr="00027624">
        <w:instrText xml:space="preserve"> \* MERGEFORMAT </w:instrText>
      </w:r>
      <w:r w:rsidRPr="00027624">
        <w:fldChar w:fldCharType="separate"/>
      </w:r>
      <w:r w:rsidR="00891058">
        <w:t>Chart 2A-9</w:t>
      </w:r>
      <w:r w:rsidRPr="00027624">
        <w:fldChar w:fldCharType="end"/>
      </w:r>
      <w:r w:rsidRPr="00027624">
        <w:t>).</w:t>
      </w:r>
    </w:p>
    <w:p w14:paraId="33F19310" w14:textId="77777777" w:rsidR="0092760B" w:rsidRPr="00027624" w:rsidRDefault="0092760B" w:rsidP="00FC7361">
      <w:pPr>
        <w:pStyle w:val="ChartMainHeading"/>
        <w:numPr>
          <w:ilvl w:val="2"/>
          <w:numId w:val="62"/>
        </w:numPr>
      </w:pPr>
      <w:bookmarkStart w:id="450" w:name="_Ref44938149"/>
      <w:r w:rsidRPr="00027624">
        <w:t>Housing expenditure and rental stress</w:t>
      </w:r>
      <w:bookmarkEnd w:id="450"/>
    </w:p>
    <w:tbl>
      <w:tblPr>
        <w:tblW w:w="5000" w:type="pct"/>
        <w:tblCellMar>
          <w:left w:w="0" w:type="dxa"/>
          <w:right w:w="0" w:type="dxa"/>
        </w:tblCellMar>
        <w:tblLook w:val="01E0" w:firstRow="1" w:lastRow="1" w:firstColumn="1" w:lastColumn="1" w:noHBand="0" w:noVBand="0"/>
      </w:tblPr>
      <w:tblGrid>
        <w:gridCol w:w="4709"/>
        <w:gridCol w:w="4361"/>
      </w:tblGrid>
      <w:tr w:rsidR="0092760B" w:rsidRPr="00027624" w14:paraId="6542334F" w14:textId="77777777" w:rsidTr="002B212C">
        <w:trPr>
          <w:tblHeader/>
        </w:trPr>
        <w:tc>
          <w:tcPr>
            <w:tcW w:w="2596" w:type="pct"/>
            <w:shd w:val="clear" w:color="auto" w:fill="auto"/>
          </w:tcPr>
          <w:p w14:paraId="55A3AA8C" w14:textId="77777777" w:rsidR="0092760B" w:rsidRPr="00027624" w:rsidRDefault="0092760B" w:rsidP="002A2FAE">
            <w:pPr>
              <w:pStyle w:val="TableTextLeft"/>
              <w:jc w:val="center"/>
              <w:rPr>
                <w:b/>
                <w:color w:val="004A7F"/>
                <w:sz w:val="20"/>
              </w:rPr>
            </w:pPr>
            <w:r w:rsidRPr="00027624">
              <w:rPr>
                <w:b/>
                <w:color w:val="004A7F"/>
                <w:sz w:val="20"/>
              </w:rPr>
              <w:br w:type="page"/>
              <w:t>Retirees</w:t>
            </w:r>
            <w:r w:rsidR="00A8443E" w:rsidRPr="00027624">
              <w:rPr>
                <w:b/>
                <w:color w:val="004A7F"/>
                <w:sz w:val="20"/>
              </w:rPr>
              <w:t>’</w:t>
            </w:r>
            <w:r w:rsidRPr="00027624">
              <w:rPr>
                <w:b/>
                <w:color w:val="004A7F"/>
                <w:sz w:val="20"/>
              </w:rPr>
              <w:t xml:space="preserve"> housing expenditure, 2017</w:t>
            </w:r>
            <w:r w:rsidR="00A8443E" w:rsidRPr="00027624">
              <w:rPr>
                <w:b/>
                <w:color w:val="004A7F"/>
                <w:sz w:val="20"/>
              </w:rPr>
              <w:noBreakHyphen/>
            </w:r>
            <w:r w:rsidRPr="00027624">
              <w:rPr>
                <w:b/>
                <w:color w:val="004A7F"/>
                <w:sz w:val="20"/>
              </w:rPr>
              <w:t>18</w:t>
            </w:r>
          </w:p>
        </w:tc>
        <w:tc>
          <w:tcPr>
            <w:tcW w:w="2404" w:type="pct"/>
            <w:shd w:val="clear" w:color="auto" w:fill="auto"/>
          </w:tcPr>
          <w:p w14:paraId="02D29F9E" w14:textId="77777777" w:rsidR="0092760B" w:rsidRPr="00027624" w:rsidRDefault="0092760B" w:rsidP="002A2FAE">
            <w:pPr>
              <w:pStyle w:val="TableTextLeft"/>
              <w:jc w:val="center"/>
              <w:rPr>
                <w:b/>
                <w:color w:val="004A7F"/>
                <w:sz w:val="20"/>
              </w:rPr>
            </w:pPr>
            <w:bookmarkStart w:id="451" w:name="_Ref37868888"/>
            <w:r w:rsidRPr="00027624">
              <w:rPr>
                <w:b/>
                <w:color w:val="004A7F"/>
                <w:sz w:val="20"/>
              </w:rPr>
              <w:t>Proportion of renters in rental stress, by age</w:t>
            </w:r>
            <w:bookmarkEnd w:id="451"/>
          </w:p>
        </w:tc>
      </w:tr>
      <w:tr w:rsidR="0092760B" w:rsidRPr="00027624" w14:paraId="26FDB05C" w14:textId="77777777" w:rsidTr="0055644C">
        <w:trPr>
          <w:trHeight w:val="4510"/>
        </w:trPr>
        <w:tc>
          <w:tcPr>
            <w:tcW w:w="2596" w:type="pct"/>
          </w:tcPr>
          <w:p w14:paraId="37B73F69" w14:textId="77777777" w:rsidR="0092760B" w:rsidRPr="00027624" w:rsidRDefault="00DD237F" w:rsidP="002B212C">
            <w:pPr>
              <w:pStyle w:val="ChartGraphic"/>
            </w:pPr>
            <w:r>
              <w:rPr>
                <w:noProof/>
              </w:rPr>
              <w:drawing>
                <wp:inline distT="0" distB="0" distL="0" distR="0" wp14:anchorId="7E776154" wp14:editId="44DDD870">
                  <wp:extent cx="2682240" cy="2682240"/>
                  <wp:effectExtent l="0" t="0" r="3810" b="3810"/>
                  <wp:docPr id="983014713" name="Picture 983014713" descr="This chart shows that renter retiree households have higher housing expenses than home owning retiree households. Home owner households have annual housing expenses around $2,000 per annum, while single renters have median housing expenses of close to $10,000, and renter couples of around $15,000. Renters also have more varied costs than homeowners." title="Chart 2A-9 Housing expenditure and rental stress – Retirees’ housing expenditure,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82463" cy="2682463"/>
                          </a:xfrm>
                          <a:prstGeom prst="rect">
                            <a:avLst/>
                          </a:prstGeom>
                          <a:noFill/>
                        </pic:spPr>
                      </pic:pic>
                    </a:graphicData>
                  </a:graphic>
                </wp:inline>
              </w:drawing>
            </w:r>
          </w:p>
          <w:p w14:paraId="0C08643B" w14:textId="77777777" w:rsidR="0092760B" w:rsidRPr="00027624" w:rsidRDefault="0092760B" w:rsidP="00881D46">
            <w:pPr>
              <w:pStyle w:val="ChartorTableNote"/>
              <w:tabs>
                <w:tab w:val="left" w:pos="2694"/>
              </w:tabs>
              <w:spacing w:after="0"/>
            </w:pPr>
            <w:r w:rsidRPr="00027624">
              <w:t xml:space="preserve">Source: Analysis of </w:t>
            </w:r>
            <w:sdt>
              <w:sdtPr>
                <w:id w:val="-1569179310"/>
                <w:citation/>
              </w:sdtPr>
              <w:sdtEndPr/>
              <w:sdtContent>
                <w:r w:rsidRPr="00027624">
                  <w:fldChar w:fldCharType="begin"/>
                </w:r>
                <w:r w:rsidRPr="00027624">
                  <w:instrText xml:space="preserve"> CITATION ABS196 \l 3081 </w:instrText>
                </w:r>
                <w:r w:rsidRPr="00027624">
                  <w:fldChar w:fldCharType="separate"/>
                </w:r>
                <w:r w:rsidR="00E83F6E">
                  <w:rPr>
                    <w:noProof/>
                  </w:rPr>
                  <w:t>(ABS, 2019s)</w:t>
                </w:r>
                <w:r w:rsidRPr="00027624">
                  <w:fldChar w:fldCharType="end"/>
                </w:r>
              </w:sdtContent>
            </w:sdt>
            <w:r w:rsidRPr="00027624">
              <w:t>.</w:t>
            </w:r>
          </w:p>
        </w:tc>
        <w:tc>
          <w:tcPr>
            <w:tcW w:w="2404" w:type="pct"/>
          </w:tcPr>
          <w:p w14:paraId="38F9F10B" w14:textId="77777777" w:rsidR="0092760B" w:rsidRPr="00027624" w:rsidRDefault="00A24910" w:rsidP="002B212C">
            <w:pPr>
              <w:pStyle w:val="ChartGraphic"/>
            </w:pPr>
            <w:r>
              <w:rPr>
                <w:noProof/>
              </w:rPr>
              <w:drawing>
                <wp:inline distT="0" distB="0" distL="0" distR="0" wp14:anchorId="0DC52385" wp14:editId="5EF06F32">
                  <wp:extent cx="2606040" cy="2781686"/>
                  <wp:effectExtent l="0" t="0" r="3810" b="0"/>
                  <wp:docPr id="983014714" name="Picture 983014714" descr="This chart shows that a higher proportion of retirees were in rental stress in 2011-12 compared to 2001-02. Rental stress has increased by around 19 percentage points over the period for households aged 65-74, and 12 percentage points for households aged 75 and over. Younger households experienced a small change in rental stress between 2001-02 and 2011-12." title="Chart 2A-9 Housing expenditure and rental stress – Proportion of renters in rental stress,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23014" cy="2799805"/>
                          </a:xfrm>
                          <a:prstGeom prst="rect">
                            <a:avLst/>
                          </a:prstGeom>
                          <a:noFill/>
                        </pic:spPr>
                      </pic:pic>
                    </a:graphicData>
                  </a:graphic>
                </wp:inline>
              </w:drawing>
            </w:r>
          </w:p>
          <w:p w14:paraId="67A10304" w14:textId="77777777" w:rsidR="0092760B" w:rsidRPr="00027624" w:rsidRDefault="0092760B" w:rsidP="0055644C">
            <w:pPr>
              <w:pStyle w:val="ChartorTableNote"/>
              <w:tabs>
                <w:tab w:val="left" w:pos="2694"/>
              </w:tabs>
              <w:spacing w:before="0" w:after="0"/>
            </w:pPr>
            <w:r w:rsidRPr="00027624">
              <w:t xml:space="preserve">Source: </w:t>
            </w:r>
            <w:sdt>
              <w:sdtPr>
                <w:id w:val="-1209570035"/>
                <w:citation/>
              </w:sdtPr>
              <w:sdtEndPr/>
              <w:sdtContent>
                <w:r w:rsidRPr="00027624">
                  <w:fldChar w:fldCharType="begin"/>
                </w:r>
                <w:r w:rsidRPr="00027624">
                  <w:instrText xml:space="preserve">CITATION Pro15 \l 3081 </w:instrText>
                </w:r>
                <w:r w:rsidRPr="00027624">
                  <w:fldChar w:fldCharType="separate"/>
                </w:r>
                <w:r w:rsidR="00E83F6E">
                  <w:rPr>
                    <w:noProof/>
                  </w:rPr>
                  <w:t>(Productivity Commission, 2015a)</w:t>
                </w:r>
                <w:r w:rsidRPr="00027624">
                  <w:fldChar w:fldCharType="end"/>
                </w:r>
              </w:sdtContent>
            </w:sdt>
            <w:r w:rsidRPr="00027624">
              <w:t xml:space="preserve"> </w:t>
            </w:r>
          </w:p>
        </w:tc>
      </w:tr>
    </w:tbl>
    <w:p w14:paraId="6D636F38" w14:textId="77777777" w:rsidR="0092760B" w:rsidRPr="00027624" w:rsidRDefault="0092760B" w:rsidP="00A24910">
      <w:pPr>
        <w:pStyle w:val="ChartorTableNote"/>
        <w:tabs>
          <w:tab w:val="left" w:pos="2694"/>
        </w:tabs>
        <w:spacing w:after="180"/>
      </w:pPr>
      <w:r w:rsidRPr="00027624">
        <w:t>Note: Housing expenditure is in 2017</w:t>
      </w:r>
      <w:r w:rsidR="00A8443E" w:rsidRPr="00027624">
        <w:noBreakHyphen/>
      </w:r>
      <w:r w:rsidRPr="00027624">
        <w:t>18 dollars, on annual terms and is a comprehensive measure of net housing costs including interest component of mortgage payments, rent, maintenance payments and other related fees such as body corporate. Commonwealth Rent Assistance has not been deducted from rent payments and is included as income.</w:t>
      </w:r>
    </w:p>
    <w:p w14:paraId="1AAEA138" w14:textId="4E02617E" w:rsidR="00AD52A5" w:rsidRPr="00027624" w:rsidRDefault="00AD52A5" w:rsidP="00BD5F1C">
      <w:pPr>
        <w:tabs>
          <w:tab w:val="left" w:pos="2694"/>
        </w:tabs>
        <w:spacing w:after="80"/>
      </w:pPr>
      <w:bookmarkStart w:id="452" w:name="_Hlk42083753"/>
      <w:r w:rsidRPr="00027624">
        <w:lastRenderedPageBreak/>
        <w:t>Renters in retirement are becoming more vulnerable to rental stress compared with renters in other age groups (</w:t>
      </w:r>
      <w:r w:rsidRPr="00027624">
        <w:fldChar w:fldCharType="begin"/>
      </w:r>
      <w:r w:rsidRPr="00027624">
        <w:instrText xml:space="preserve"> REF _Ref44938149 \r \h  \* MERGEFORMAT </w:instrText>
      </w:r>
      <w:r w:rsidRPr="00027624">
        <w:fldChar w:fldCharType="separate"/>
      </w:r>
      <w:r w:rsidR="00891058">
        <w:t>Chart 2A-9</w:t>
      </w:r>
      <w:r w:rsidRPr="00027624">
        <w:fldChar w:fldCharType="end"/>
      </w:r>
      <w:r w:rsidRPr="00027624">
        <w:t>).</w:t>
      </w:r>
      <w:r w:rsidRPr="00027624">
        <w:rPr>
          <w:rStyle w:val="FootnoteReference"/>
        </w:rPr>
        <w:footnoteReference w:id="78"/>
      </w:r>
      <w:r w:rsidRPr="00027624">
        <w:t xml:space="preserve"> Lower disposable income after housing costs contributes to higher financial stress among renters in retirement </w:t>
      </w:r>
      <w:sdt>
        <w:sdtPr>
          <w:id w:val="1221025396"/>
          <w:citation/>
        </w:sdtPr>
        <w:sdtEndPr/>
        <w:sdtContent>
          <w:r w:rsidRPr="00027624">
            <w:fldChar w:fldCharType="begin"/>
          </w:r>
          <w:r w:rsidRPr="00027624">
            <w:instrText xml:space="preserve">CITATION Pro19 \l 3081 </w:instrText>
          </w:r>
          <w:r w:rsidRPr="00027624">
            <w:fldChar w:fldCharType="separate"/>
          </w:r>
          <w:r w:rsidR="00E83F6E">
            <w:rPr>
              <w:noProof/>
            </w:rPr>
            <w:t>(Productivity Commission, 2019b)</w:t>
          </w:r>
          <w:r w:rsidRPr="00027624">
            <w:fldChar w:fldCharType="end"/>
          </w:r>
        </w:sdtContent>
      </w:sdt>
      <w:r w:rsidRPr="00027624">
        <w:t xml:space="preserve">. </w:t>
      </w:r>
    </w:p>
    <w:p w14:paraId="386BAE25" w14:textId="77777777" w:rsidR="0092760B" w:rsidRPr="00027624" w:rsidRDefault="0092760B" w:rsidP="006D240A">
      <w:pPr>
        <w:pStyle w:val="Heading6"/>
        <w:spacing w:after="0"/>
      </w:pPr>
      <w:r w:rsidRPr="00027624">
        <w:t>Public renters</w:t>
      </w:r>
    </w:p>
    <w:p w14:paraId="1604A240" w14:textId="77777777" w:rsidR="0092760B" w:rsidRPr="00027624" w:rsidRDefault="0092760B" w:rsidP="006D240A">
      <w:pPr>
        <w:tabs>
          <w:tab w:val="left" w:pos="2694"/>
        </w:tabs>
        <w:spacing w:before="80"/>
      </w:pPr>
      <w:r w:rsidRPr="00027624">
        <w:rPr>
          <w:b/>
          <w:bCs/>
        </w:rPr>
        <w:t>More than one</w:t>
      </w:r>
      <w:r w:rsidR="00A8443E" w:rsidRPr="00027624">
        <w:rPr>
          <w:b/>
          <w:bCs/>
        </w:rPr>
        <w:noBreakHyphen/>
      </w:r>
      <w:r w:rsidRPr="00027624">
        <w:rPr>
          <w:b/>
          <w:bCs/>
        </w:rPr>
        <w:t>third of public renter retirees are in financial stress</w:t>
      </w:r>
      <w:r w:rsidRPr="00027624">
        <w:rPr>
          <w:b/>
        </w:rPr>
        <w:t>.</w:t>
      </w:r>
      <w:r w:rsidRPr="00027624">
        <w:t xml:space="preserve"> Within the public rental system, rents are capped at a proportion of the renter</w:t>
      </w:r>
      <w:r w:rsidR="00A8443E" w:rsidRPr="00027624">
        <w:t>’</w:t>
      </w:r>
      <w:r w:rsidRPr="00027624">
        <w:t>s income, commonly 25 per cent. This means their housing costs are generally higher than age pensioners who own their own homes, but typically</w:t>
      </w:r>
      <w:r w:rsidRPr="00027624" w:rsidDel="00C752B4">
        <w:t xml:space="preserve"> </w:t>
      </w:r>
      <w:r w:rsidRPr="00027624">
        <w:t>lower than for those in the private market.</w:t>
      </w:r>
    </w:p>
    <w:p w14:paraId="4AD13ECD" w14:textId="77777777" w:rsidR="0092760B" w:rsidRPr="00027624" w:rsidRDefault="0092760B" w:rsidP="00BD5F1C">
      <w:pPr>
        <w:tabs>
          <w:tab w:val="left" w:pos="2694"/>
        </w:tabs>
        <w:spacing w:after="80"/>
      </w:pPr>
      <w:r w:rsidRPr="00027624">
        <w:t>This group</w:t>
      </w:r>
      <w:r w:rsidR="00A8443E" w:rsidRPr="00027624">
        <w:t>’</w:t>
      </w:r>
      <w:r w:rsidRPr="00027624">
        <w:t xml:space="preserve">s high rates of financial stress may also be caused by other cost of living pressures. The tight targeting of public housing means tenants may be from disadvantaged groups. About 38 per cent of households in public housing include a person with disability and 13 per cent include an Indigenous person </w:t>
      </w:r>
      <w:sdt>
        <w:sdtPr>
          <w:id w:val="-1405906631"/>
          <w:citation/>
        </w:sdtPr>
        <w:sdtEndPr/>
        <w:sdtContent>
          <w:r w:rsidRPr="00027624">
            <w:fldChar w:fldCharType="begin"/>
          </w:r>
          <w:r w:rsidRPr="00027624">
            <w:instrText xml:space="preserve">CITATION AIH19 \l 3081 </w:instrText>
          </w:r>
          <w:r w:rsidRPr="00027624">
            <w:fldChar w:fldCharType="separate"/>
          </w:r>
          <w:r w:rsidR="00E83F6E">
            <w:rPr>
              <w:noProof/>
            </w:rPr>
            <w:t>(Australian Institute of Health and Welfare, 2019)</w:t>
          </w:r>
          <w:r w:rsidRPr="00027624">
            <w:fldChar w:fldCharType="end"/>
          </w:r>
        </w:sdtContent>
      </w:sdt>
      <w:r w:rsidRPr="00027624">
        <w:t xml:space="preserve">. </w:t>
      </w:r>
    </w:p>
    <w:bookmarkEnd w:id="452"/>
    <w:p w14:paraId="5863183C" w14:textId="77777777" w:rsidR="0092760B" w:rsidRPr="00027624" w:rsidRDefault="0092760B" w:rsidP="006D240A">
      <w:pPr>
        <w:pStyle w:val="Heading6"/>
        <w:spacing w:after="0"/>
      </w:pPr>
      <w:r w:rsidRPr="00027624">
        <w:t>Retired before Age Pension eligibility age</w:t>
      </w:r>
    </w:p>
    <w:p w14:paraId="6CA5A6DC" w14:textId="77777777" w:rsidR="0092760B" w:rsidRPr="00027624" w:rsidRDefault="0092760B" w:rsidP="006D240A">
      <w:pPr>
        <w:tabs>
          <w:tab w:val="left" w:pos="2694"/>
        </w:tabs>
        <w:spacing w:before="80"/>
      </w:pPr>
      <w:r w:rsidRPr="00027624">
        <w:t>Around 28 per cent of early retirees experience financial stress.</w:t>
      </w:r>
      <w:r w:rsidRPr="00027624">
        <w:rPr>
          <w:rStyle w:val="FootnoteReference"/>
        </w:rPr>
        <w:footnoteReference w:id="79"/>
      </w:r>
      <w:r w:rsidRPr="00027624">
        <w:t xml:space="preserve"> This may be because unemployment in the lead</w:t>
      </w:r>
      <w:r w:rsidR="00A8443E" w:rsidRPr="00027624">
        <w:noBreakHyphen/>
      </w:r>
      <w:r w:rsidRPr="00027624">
        <w:t>up to retirement forces households to draw on savings and assets that would have otherwise been saved for retirement. Early retirement may also interrupt voluntary savings that households may otherwise have made in later working years as they prepared for retirement.</w:t>
      </w:r>
    </w:p>
    <w:p w14:paraId="29FF49CC" w14:textId="77777777" w:rsidR="0092760B" w:rsidRPr="00027624" w:rsidRDefault="0092760B" w:rsidP="00881D46">
      <w:pPr>
        <w:tabs>
          <w:tab w:val="left" w:pos="2694"/>
        </w:tabs>
      </w:pPr>
      <w:r w:rsidRPr="00027624">
        <w:t xml:space="preserve">People with low wealth are more likely to retire involuntarily </w:t>
      </w:r>
      <w:r w:rsidRPr="00027624" w:rsidDel="00EE1FAB">
        <w:t>(</w:t>
      </w:r>
      <w:r w:rsidRPr="00027624">
        <w:t xml:space="preserve">see </w:t>
      </w:r>
      <w:r w:rsidRPr="00027624">
        <w:rPr>
          <w:i/>
          <w:iCs/>
        </w:rPr>
        <w:t>3E. Age of Retirement</w:t>
      </w:r>
      <w:r w:rsidRPr="00027624">
        <w:rPr>
          <w:iCs/>
        </w:rPr>
        <w:t>)</w:t>
      </w:r>
      <w:r w:rsidRPr="00027624">
        <w:t>. These households may not have access to private financial resources. Around 10 per cent of entrants on the Age Pension between September 2018 and September 2019 were on Newstart Allowance immediately prior to qualifying for the Age Pension.</w:t>
      </w:r>
      <w:r w:rsidR="001F6124" w:rsidRPr="00027624">
        <w:rPr>
          <w:rStyle w:val="FootnoteReference"/>
        </w:rPr>
        <w:footnoteReference w:id="80"/>
      </w:r>
    </w:p>
    <w:p w14:paraId="41BEE4F6" w14:textId="77777777" w:rsidR="0092760B" w:rsidRPr="00027624" w:rsidRDefault="0092760B" w:rsidP="00BD5F1C">
      <w:pPr>
        <w:tabs>
          <w:tab w:val="left" w:pos="2694"/>
        </w:tabs>
        <w:spacing w:after="80"/>
      </w:pPr>
      <w:r w:rsidRPr="00027624">
        <w:rPr>
          <w:b/>
          <w:bCs/>
        </w:rPr>
        <w:t>Renters who retire early have the highest levels of financial stress of any retiree group.</w:t>
      </w:r>
      <w:r w:rsidRPr="00027624">
        <w:t xml:space="preserve"> Over half of these households are in financial stress. This may be due to a combination of low financial resources and high housing costs.</w:t>
      </w:r>
    </w:p>
    <w:p w14:paraId="536280A4" w14:textId="77777777" w:rsidR="0092760B" w:rsidRPr="00027624" w:rsidRDefault="0092760B" w:rsidP="006D240A">
      <w:pPr>
        <w:pStyle w:val="Heading6"/>
        <w:spacing w:after="0"/>
      </w:pPr>
      <w:r w:rsidRPr="00027624">
        <w:t>Low wealth</w:t>
      </w:r>
    </w:p>
    <w:p w14:paraId="04EDF42A" w14:textId="77777777" w:rsidR="0092760B" w:rsidRPr="00027624" w:rsidRDefault="0092760B" w:rsidP="006D240A">
      <w:pPr>
        <w:tabs>
          <w:tab w:val="left" w:pos="2694"/>
        </w:tabs>
        <w:spacing w:before="80" w:after="0"/>
      </w:pPr>
      <w:r w:rsidRPr="00027624">
        <w:t>Low wealth by itself does not appear to be a driver of high financial stress in retirement.</w:t>
      </w:r>
    </w:p>
    <w:p w14:paraId="37BCA7E8" w14:textId="77777777" w:rsidR="0092760B" w:rsidRPr="00027624" w:rsidRDefault="0092760B" w:rsidP="00881D46">
      <w:pPr>
        <w:tabs>
          <w:tab w:val="left" w:pos="2694"/>
        </w:tabs>
        <w:spacing w:after="0"/>
      </w:pPr>
      <w:r w:rsidRPr="00027624">
        <w:t>Financial stress rates for low</w:t>
      </w:r>
      <w:r w:rsidR="00A8443E" w:rsidRPr="00027624">
        <w:noBreakHyphen/>
      </w:r>
      <w:r w:rsidRPr="00027624">
        <w:t xml:space="preserve">wealth households are more </w:t>
      </w:r>
      <w:r w:rsidRPr="00027624" w:rsidDel="00962F3D">
        <w:t xml:space="preserve">closely </w:t>
      </w:r>
      <w:r w:rsidRPr="00027624">
        <w:t>related to housing, as two</w:t>
      </w:r>
      <w:r w:rsidR="00A8443E" w:rsidRPr="00027624">
        <w:noBreakHyphen/>
      </w:r>
      <w:r w:rsidRPr="00027624">
        <w:t>thirds of this group are renters. Controlling for housing, 33 per cent of low</w:t>
      </w:r>
      <w:r w:rsidR="00A8443E" w:rsidRPr="00027624">
        <w:noBreakHyphen/>
      </w:r>
      <w:r w:rsidRPr="00027624">
        <w:t>wealth renters are in stress, whereas around 22 per cent of low</w:t>
      </w:r>
      <w:r w:rsidR="00A8443E" w:rsidRPr="00027624">
        <w:noBreakHyphen/>
      </w:r>
      <w:r w:rsidRPr="00027624">
        <w:t>wealth home owners are in stress.</w:t>
      </w:r>
      <w:r w:rsidRPr="00027624">
        <w:rPr>
          <w:rStyle w:val="FootnoteReference"/>
        </w:rPr>
        <w:footnoteReference w:id="81"/>
      </w:r>
    </w:p>
    <w:p w14:paraId="5B822F0B" w14:textId="64C1008F" w:rsidR="0092760B" w:rsidRPr="00027624" w:rsidRDefault="0092760B" w:rsidP="00BD5F1C">
      <w:pPr>
        <w:tabs>
          <w:tab w:val="left" w:pos="2694"/>
        </w:tabs>
        <w:spacing w:after="80"/>
      </w:pPr>
      <w:r w:rsidRPr="00027624">
        <w:t>Yet financial stress still drops significantly at retirement for</w:t>
      </w:r>
      <w:r w:rsidRPr="00027624" w:rsidDel="00D23D91">
        <w:t xml:space="preserve"> </w:t>
      </w:r>
      <w:r w:rsidRPr="00027624">
        <w:t>low</w:t>
      </w:r>
      <w:r w:rsidR="00A8443E" w:rsidRPr="00027624">
        <w:noBreakHyphen/>
      </w:r>
      <w:r w:rsidRPr="00027624">
        <w:t>wealth households (</w:t>
      </w:r>
      <w:r w:rsidRPr="00027624">
        <w:fldChar w:fldCharType="begin"/>
      </w:r>
      <w:r w:rsidRPr="00027624">
        <w:instrText xml:space="preserve"> REF _Ref37314020 \r \h  \* MERGEFORMAT </w:instrText>
      </w:r>
      <w:r w:rsidRPr="00027624">
        <w:fldChar w:fldCharType="separate"/>
      </w:r>
      <w:r w:rsidR="00891058">
        <w:t>Chart 2A-7</w:t>
      </w:r>
      <w:r w:rsidRPr="00027624">
        <w:fldChar w:fldCharType="end"/>
      </w:r>
      <w:r w:rsidRPr="00027624">
        <w:t>) and this group experiences low levels of income poverty. Low wealth exacerbates financial stress where other critical drivers are present, including renting and retiring prior to Age Pension eligibility age. A lack of outside resources to help meet high housing costs or make up for lower government payments appears to magnify financial stress. This suggests that the Age Pension and social transfers in kind improve wellbeing in retirement compared with working life for low</w:t>
      </w:r>
      <w:r w:rsidR="00A8443E" w:rsidRPr="00027624">
        <w:noBreakHyphen/>
      </w:r>
      <w:r w:rsidRPr="00027624">
        <w:t>wealth households.</w:t>
      </w:r>
    </w:p>
    <w:p w14:paraId="2C53A8F1" w14:textId="77777777" w:rsidR="0092760B" w:rsidRPr="00027624" w:rsidRDefault="0092760B" w:rsidP="006D240A">
      <w:pPr>
        <w:pStyle w:val="Heading6"/>
        <w:spacing w:after="0"/>
      </w:pPr>
      <w:r w:rsidRPr="00027624">
        <w:t>Gender</w:t>
      </w:r>
    </w:p>
    <w:p w14:paraId="2084E744" w14:textId="77777777" w:rsidR="0092760B" w:rsidRPr="00027624" w:rsidRDefault="0092760B" w:rsidP="006D240A">
      <w:pPr>
        <w:tabs>
          <w:tab w:val="left" w:pos="2694"/>
        </w:tabs>
        <w:spacing w:before="80"/>
      </w:pPr>
      <w:r w:rsidRPr="00027624">
        <w:t>The proportion of single retired men and single retired women in financial stress is broadly similar: around 12 per cent. Single female retired renters are marginally more likely to be in financial stress than single male retired renters: 25 per cent and 22 per cent</w:t>
      </w:r>
      <w:r w:rsidR="00E8303B" w:rsidRPr="00027624">
        <w:t>,</w:t>
      </w:r>
      <w:r w:rsidRPr="00027624">
        <w:t xml:space="preserve"> respectively.</w:t>
      </w:r>
    </w:p>
    <w:p w14:paraId="25A8DAA5" w14:textId="77777777" w:rsidR="0092760B" w:rsidRPr="00027624" w:rsidRDefault="0092760B" w:rsidP="00377A0E">
      <w:pPr>
        <w:pStyle w:val="Heading6"/>
      </w:pPr>
      <w:r w:rsidRPr="00027624">
        <w:lastRenderedPageBreak/>
        <w:t>Disability status</w:t>
      </w:r>
    </w:p>
    <w:p w14:paraId="59D8B598" w14:textId="77777777" w:rsidR="0092760B" w:rsidRPr="00027624" w:rsidRDefault="0092760B" w:rsidP="00881D46">
      <w:pPr>
        <w:tabs>
          <w:tab w:val="left" w:pos="2694"/>
        </w:tabs>
        <w:spacing w:after="0"/>
      </w:pPr>
      <w:r w:rsidRPr="00027624">
        <w:t>Around 11 per cent of households with a person with disability in retirement are in financial stress, in line with the retired population average.</w:t>
      </w:r>
    </w:p>
    <w:p w14:paraId="69BB7743" w14:textId="77777777" w:rsidR="0092760B" w:rsidRPr="00027624" w:rsidRDefault="0092760B" w:rsidP="00881D46">
      <w:pPr>
        <w:tabs>
          <w:tab w:val="left" w:pos="2694"/>
        </w:tabs>
        <w:spacing w:after="0"/>
      </w:pPr>
      <w:r w:rsidRPr="00027624">
        <w:t>The proportion in financial stress only marginally changes with the severity of the disability or disabilities. Around 10 per cent of households with a person with a mild or moderate core activity limitation in retirement are in financial stress. Around 15 per cent of households with a person with a profound or severe core activity limitation in retirement are in financial stress.</w:t>
      </w:r>
    </w:p>
    <w:p w14:paraId="57DB2685" w14:textId="77777777" w:rsidR="0092760B" w:rsidRPr="00027624" w:rsidRDefault="0092760B" w:rsidP="00881D46">
      <w:pPr>
        <w:tabs>
          <w:tab w:val="left" w:pos="2694"/>
        </w:tabs>
        <w:spacing w:after="0"/>
      </w:pPr>
      <w:r w:rsidRPr="00027624">
        <w:t>Around one</w:t>
      </w:r>
      <w:r w:rsidR="00A8443E" w:rsidRPr="00027624">
        <w:noBreakHyphen/>
      </w:r>
      <w:r w:rsidRPr="00027624">
        <w:t>third of renting households with a person with a profound or severe core activity limitation in retirement are in financial stress, above the retired renting population average of 25 per cent.</w:t>
      </w:r>
    </w:p>
    <w:p w14:paraId="0D61ACB6" w14:textId="77777777" w:rsidR="0092760B" w:rsidRPr="00027624" w:rsidRDefault="0092760B" w:rsidP="00881D46">
      <w:pPr>
        <w:pStyle w:val="Heading4"/>
        <w:tabs>
          <w:tab w:val="left" w:pos="2694"/>
        </w:tabs>
        <w:spacing w:before="240"/>
      </w:pPr>
      <w:r w:rsidRPr="00027624">
        <w:t>Income poverty</w:t>
      </w:r>
    </w:p>
    <w:p w14:paraId="772B8746" w14:textId="240A031C" w:rsidR="0092760B" w:rsidRPr="00027624" w:rsidRDefault="0092760B" w:rsidP="00881D46">
      <w:pPr>
        <w:tabs>
          <w:tab w:val="left" w:pos="2694"/>
        </w:tabs>
        <w:spacing w:after="0"/>
      </w:pPr>
      <w:r w:rsidRPr="00027624">
        <w:t xml:space="preserve">Poverty rates estimate the level of income inequality in a society and between different groups within society, in either absolute or relative terms. The following analysis focuses on relative poverty, or </w:t>
      </w:r>
      <w:r w:rsidR="00A8443E" w:rsidRPr="00027624">
        <w:t>‘</w:t>
      </w:r>
      <w:r w:rsidRPr="00027624">
        <w:t>income poverty</w:t>
      </w:r>
      <w:r w:rsidR="00A8443E" w:rsidRPr="00027624">
        <w:t>’</w:t>
      </w:r>
      <w:r w:rsidRPr="00027624">
        <w:t xml:space="preserve">, based on wage rises and gains in community living standards. Absolute poverty is discussed in </w:t>
      </w:r>
      <w:r w:rsidRPr="00027624">
        <w:rPr>
          <w:i/>
          <w:iCs/>
        </w:rPr>
        <w:fldChar w:fldCharType="begin"/>
      </w:r>
      <w:r w:rsidRPr="00027624">
        <w:rPr>
          <w:i/>
        </w:rPr>
        <w:instrText xml:space="preserve"> REF _Ref45190854 \h  \* MERGEFORMAT </w:instrText>
      </w:r>
      <w:r w:rsidRPr="00027624">
        <w:rPr>
          <w:i/>
          <w:iCs/>
        </w:rPr>
      </w:r>
      <w:r w:rsidRPr="00027624">
        <w:rPr>
          <w:i/>
          <w:iCs/>
        </w:rPr>
        <w:fldChar w:fldCharType="separate"/>
      </w:r>
      <w:r w:rsidR="00891058" w:rsidRPr="00891058">
        <w:rPr>
          <w:i/>
        </w:rPr>
        <w:t>Assessing the adequacy of the Age Pension</w:t>
      </w:r>
      <w:r w:rsidRPr="00027624">
        <w:rPr>
          <w:i/>
          <w:iCs/>
        </w:rPr>
        <w:fldChar w:fldCharType="end"/>
      </w:r>
      <w:r w:rsidRPr="00027624">
        <w:rPr>
          <w:i/>
          <w:iCs/>
        </w:rPr>
        <w:t xml:space="preserve"> </w:t>
      </w:r>
      <w:r w:rsidRPr="00027624">
        <w:rPr>
          <w:iCs/>
        </w:rPr>
        <w:t>above</w:t>
      </w:r>
      <w:r w:rsidRPr="00027624">
        <w:t>.</w:t>
      </w:r>
    </w:p>
    <w:p w14:paraId="5BF17B5E" w14:textId="64E35E38" w:rsidR="0092760B" w:rsidRPr="00027624" w:rsidRDefault="0092760B" w:rsidP="00881D46">
      <w:pPr>
        <w:spacing w:after="0"/>
      </w:pPr>
      <w:r w:rsidRPr="00027624">
        <w:rPr>
          <w:b/>
        </w:rPr>
        <w:t>Although the income poverty measure has limitations, in being solely income</w:t>
      </w:r>
      <w:r w:rsidR="00A8443E" w:rsidRPr="00027624">
        <w:rPr>
          <w:b/>
        </w:rPr>
        <w:noBreakHyphen/>
      </w:r>
      <w:r w:rsidRPr="00027624">
        <w:rPr>
          <w:b/>
        </w:rPr>
        <w:t>based, it is useful to identify trends and where groups are falling behind</w:t>
      </w:r>
      <w:r w:rsidRPr="00027624">
        <w:t xml:space="preserve"> (</w:t>
      </w:r>
      <w:r w:rsidR="00535E98" w:rsidRPr="00027624">
        <w:fldChar w:fldCharType="begin"/>
      </w:r>
      <w:r w:rsidR="00535E98" w:rsidRPr="00027624">
        <w:instrText xml:space="preserve"> REF _Ref44519846 \r \h  \* MERGEFORMAT </w:instrText>
      </w:r>
      <w:r w:rsidR="00535E98" w:rsidRPr="00027624">
        <w:fldChar w:fldCharType="separate"/>
      </w:r>
      <w:r w:rsidR="00891058">
        <w:t>Chart 2A-10</w:t>
      </w:r>
      <w:r w:rsidR="00535E98" w:rsidRPr="00027624">
        <w:fldChar w:fldCharType="end"/>
      </w:r>
      <w:r w:rsidRPr="00027624">
        <w:t>). Income poverty is measured based on the approaches used by ACOSS</w:t>
      </w:r>
      <w:sdt>
        <w:sdtPr>
          <w:id w:val="725114422"/>
          <w:citation/>
        </w:sdtPr>
        <w:sdtEndPr/>
        <w:sdtContent>
          <w:r w:rsidRPr="00027624">
            <w:fldChar w:fldCharType="begin"/>
          </w:r>
          <w:r w:rsidRPr="00027624">
            <w:instrText xml:space="preserve">CITATION Dav18 \l 3081 </w:instrText>
          </w:r>
          <w:r w:rsidRPr="00027624">
            <w:fldChar w:fldCharType="separate"/>
          </w:r>
          <w:r w:rsidR="00E83F6E">
            <w:rPr>
              <w:noProof/>
            </w:rPr>
            <w:t xml:space="preserve"> (Davidson, et al., 2018)</w:t>
          </w:r>
          <w:r w:rsidRPr="00027624">
            <w:fldChar w:fldCharType="end"/>
          </w:r>
        </w:sdtContent>
      </w:sdt>
      <w:r w:rsidRPr="00027624">
        <w:t xml:space="preserve"> and CEPAR</w:t>
      </w:r>
      <w:sdt>
        <w:sdtPr>
          <w:id w:val="-1858335594"/>
          <w:citation/>
        </w:sdtPr>
        <w:sdtEndPr/>
        <w:sdtContent>
          <w:r w:rsidRPr="00027624">
            <w:fldChar w:fldCharType="begin"/>
          </w:r>
          <w:r w:rsidRPr="00027624">
            <w:instrText xml:space="preserve">CITATION CEP18 \n  \t  \l 3081 </w:instrText>
          </w:r>
          <w:r w:rsidRPr="00027624">
            <w:fldChar w:fldCharType="separate"/>
          </w:r>
          <w:r w:rsidR="00E83F6E">
            <w:rPr>
              <w:noProof/>
            </w:rPr>
            <w:t xml:space="preserve"> (2018a)</w:t>
          </w:r>
          <w:r w:rsidRPr="00027624">
            <w:fldChar w:fldCharType="end"/>
          </w:r>
        </w:sdtContent>
      </w:sdt>
      <w:r w:rsidRPr="00027624">
        <w:t>, defined as 50 per cent of median equivalised weekly income once housing costs have been deducted.</w:t>
      </w:r>
      <w:r w:rsidRPr="00027624">
        <w:rPr>
          <w:rStyle w:val="FootnoteReference"/>
        </w:rPr>
        <w:footnoteReference w:id="82"/>
      </w:r>
    </w:p>
    <w:p w14:paraId="5A16B790" w14:textId="77777777" w:rsidR="0092760B" w:rsidRPr="00027624" w:rsidRDefault="0092760B" w:rsidP="00FC7361">
      <w:pPr>
        <w:pStyle w:val="ChartMainHeading"/>
        <w:numPr>
          <w:ilvl w:val="2"/>
          <w:numId w:val="62"/>
        </w:numPr>
      </w:pPr>
      <w:bookmarkStart w:id="453" w:name="_Ref44519846"/>
      <w:r w:rsidRPr="00027624">
        <w:t>Incidence of income poverty among different retiree groups, 2017</w:t>
      </w:r>
      <w:r w:rsidR="00A8443E" w:rsidRPr="00027624">
        <w:noBreakHyphen/>
      </w:r>
      <w:r w:rsidRPr="00027624">
        <w:t>18</w:t>
      </w:r>
      <w:bookmarkEnd w:id="453"/>
    </w:p>
    <w:p w14:paraId="348CF72A" w14:textId="77777777" w:rsidR="0092760B" w:rsidRPr="00027624" w:rsidRDefault="00A24910" w:rsidP="002A2FAE">
      <w:pPr>
        <w:pStyle w:val="ChartGraphic"/>
      </w:pPr>
      <w:r>
        <w:rPr>
          <w:noProof/>
        </w:rPr>
        <w:drawing>
          <wp:inline distT="0" distB="0" distL="0" distR="0" wp14:anchorId="48E6AEC0" wp14:editId="54CAD091">
            <wp:extent cx="5577840" cy="2522220"/>
            <wp:effectExtent l="0" t="0" r="3810" b="0"/>
            <wp:docPr id="983014718" name="Picture 983014718" descr="This chart shows the incidence of income poverty amongst different retiree cohorts. Single renters experience the greatest levels of income poverty in retirement, at around 60 per cent. Renters, early retired households and couple renters also experience income poverty at a greater rate than the retiree average of 16 per cent. Home owner retirees have the lowest rates of income poverty." title="Chart 2A-10 Incidence of income poverty among different retiree groups, 2017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EF2D6A9" w14:textId="77777777" w:rsidR="0092760B" w:rsidRDefault="0092760B" w:rsidP="002A2FAE">
      <w:pPr>
        <w:pStyle w:val="ChartorTableNote"/>
      </w:pPr>
      <w:r w:rsidRPr="00027624">
        <w:t>Note: Data relates to 2017</w:t>
      </w:r>
      <w:r w:rsidR="00A8443E" w:rsidRPr="00027624">
        <w:noBreakHyphen/>
      </w:r>
      <w:r w:rsidRPr="00027624">
        <w:t xml:space="preserve">18 financial year. Elevated poverty rate defined as 5 percentage points above retiree average. Retirees are where household reference person is aged 65 and over. There is overlap between some categories; for example, the age pensioner and all couple retiree categories. </w:t>
      </w:r>
      <w:r w:rsidRPr="00027624">
        <w:rPr>
          <w:szCs w:val="27"/>
        </w:rPr>
        <w:t>Early retired means aged 55</w:t>
      </w:r>
      <w:r w:rsidR="00A8443E" w:rsidRPr="00027624">
        <w:rPr>
          <w:szCs w:val="27"/>
        </w:rPr>
        <w:noBreakHyphen/>
      </w:r>
      <w:r w:rsidRPr="00027624">
        <w:rPr>
          <w:szCs w:val="27"/>
        </w:rPr>
        <w:t xml:space="preserve">64 and not in the labour force. </w:t>
      </w:r>
      <w:r w:rsidRPr="00027624">
        <w:t>Low</w:t>
      </w:r>
      <w:r w:rsidR="00A8443E" w:rsidRPr="00027624">
        <w:noBreakHyphen/>
      </w:r>
      <w:r w:rsidRPr="00027624">
        <w:t>wealth HO pensioner</w:t>
      </w:r>
      <w:r w:rsidRPr="00027624" w:rsidDel="0046156F">
        <w:t xml:space="preserve"> </w:t>
      </w:r>
      <w:r w:rsidRPr="00027624">
        <w:t xml:space="preserve">means outright home owning retired households in receipt of government payments and in the bottom 20 per cent of the wealth distribution. Housing costs includes the value of both principal and interest components of mortgage repayments. Source: </w:t>
      </w:r>
      <w:r w:rsidR="001F6124" w:rsidRPr="00027624">
        <w:t>Analysis of ABS Survey of Income and Housing Confidentialised Unit Record File, 2017-18</w:t>
      </w:r>
      <w:r w:rsidRPr="00027624">
        <w:t>.</w:t>
      </w:r>
    </w:p>
    <w:p w14:paraId="6521C10C" w14:textId="34D3A706" w:rsidR="00623AFC" w:rsidRDefault="00623AFC" w:rsidP="00623AFC">
      <w:pPr>
        <w:tabs>
          <w:tab w:val="left" w:pos="2694"/>
        </w:tabs>
        <w:spacing w:after="0"/>
      </w:pPr>
      <w:r w:rsidRPr="00027624">
        <w:t xml:space="preserve">An ‘after housing cost’ measure reflects the value that many retirees gain from lower housing expenses through home ownership. Under this approach, around 16 per cent of retirees were in </w:t>
      </w:r>
      <w:r w:rsidRPr="00027624">
        <w:lastRenderedPageBreak/>
        <w:t>income poverty in 2017</w:t>
      </w:r>
      <w:r w:rsidRPr="00027624">
        <w:noBreakHyphen/>
        <w:t>18, compared with 15 per cent for the working</w:t>
      </w:r>
      <w:r w:rsidRPr="00027624">
        <w:noBreakHyphen/>
        <w:t>age population (</w:t>
      </w:r>
      <w:r w:rsidRPr="00027624">
        <w:fldChar w:fldCharType="begin"/>
      </w:r>
      <w:r w:rsidRPr="00027624">
        <w:instrText xml:space="preserve"> REF _Ref44519846 \r \h  \* MERGEFORMAT </w:instrText>
      </w:r>
      <w:r w:rsidRPr="00027624">
        <w:fldChar w:fldCharType="separate"/>
      </w:r>
      <w:r w:rsidR="00891058">
        <w:t>Chart 2A-10</w:t>
      </w:r>
      <w:r w:rsidRPr="00027624">
        <w:fldChar w:fldCharType="end"/>
      </w:r>
      <w:r w:rsidRPr="00027624">
        <w:t>).</w:t>
      </w:r>
      <w:r w:rsidRPr="00027624">
        <w:rPr>
          <w:sz w:val="20"/>
          <w:vertAlign w:val="superscript"/>
        </w:rPr>
        <w:footnoteReference w:id="83"/>
      </w:r>
      <w:r w:rsidRPr="00027624">
        <w:t xml:space="preserve"> Under this approach the proportion of retirees who are in poverty dips substantially (</w:t>
      </w:r>
      <w:r w:rsidRPr="00027624">
        <w:fldChar w:fldCharType="begin"/>
      </w:r>
      <w:r w:rsidRPr="00027624">
        <w:instrText xml:space="preserve"> REF _Ref35615266 \r \h  \* MERGEFORMAT </w:instrText>
      </w:r>
      <w:r w:rsidRPr="00027624">
        <w:fldChar w:fldCharType="separate"/>
      </w:r>
      <w:r w:rsidR="00891058">
        <w:t>Box 2A-5</w:t>
      </w:r>
      <w:r w:rsidRPr="00027624">
        <w:fldChar w:fldCharType="end"/>
      </w:r>
      <w:r>
        <w:t>).</w:t>
      </w:r>
    </w:p>
    <w:p w14:paraId="5AF7D747" w14:textId="77777777" w:rsidR="00623AFC" w:rsidRPr="00623AFC" w:rsidRDefault="00623AFC" w:rsidP="00623AFC">
      <w:pPr>
        <w:tabs>
          <w:tab w:val="left" w:pos="2694"/>
        </w:tabs>
        <w:spacing w:after="0"/>
      </w:pP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2509CC5A" w14:textId="77777777" w:rsidTr="002A2FAE">
        <w:tc>
          <w:tcPr>
            <w:tcW w:w="5000" w:type="pct"/>
            <w:shd w:val="clear" w:color="auto" w:fill="FFF8EA"/>
          </w:tcPr>
          <w:p w14:paraId="710AAA8A" w14:textId="77777777" w:rsidR="0092760B" w:rsidRPr="00027624" w:rsidRDefault="0092760B" w:rsidP="00251628">
            <w:pPr>
              <w:pStyle w:val="BoxHeading"/>
              <w:spacing w:before="120"/>
            </w:pPr>
            <w:bookmarkStart w:id="454" w:name="_Ref35615266"/>
            <w:r w:rsidRPr="00027624">
              <w:t>How the OECD measures income poverty</w:t>
            </w:r>
            <w:bookmarkEnd w:id="454"/>
          </w:p>
          <w:p w14:paraId="413D519D" w14:textId="77777777" w:rsidR="0092760B" w:rsidRPr="00027624" w:rsidRDefault="0092760B" w:rsidP="00251628">
            <w:pPr>
              <w:tabs>
                <w:tab w:val="left" w:pos="2694"/>
              </w:tabs>
              <w:spacing w:before="80" w:after="80"/>
            </w:pPr>
            <w:r w:rsidRPr="00027624">
              <w:t xml:space="preserve">The OECD uses relative poverty rates to measure the outcomes delivered by different pension systems, calculating income poverty as 50 per cent of median equivalised weekly income on a </w:t>
            </w:r>
            <w:r w:rsidR="00A8443E" w:rsidRPr="00027624">
              <w:t>‘</w:t>
            </w:r>
            <w:r w:rsidRPr="00027624">
              <w:t>before housing costs</w:t>
            </w:r>
            <w:r w:rsidR="00A8443E" w:rsidRPr="00027624">
              <w:t>’</w:t>
            </w:r>
            <w:r w:rsidRPr="00027624">
              <w:t xml:space="preserve"> basis</w:t>
            </w:r>
            <w:sdt>
              <w:sdtPr>
                <w:id w:val="1692956712"/>
                <w:citation/>
              </w:sdtPr>
              <w:sdtEndPr/>
              <w:sdtContent>
                <w:r w:rsidRPr="00027624">
                  <w:fldChar w:fldCharType="begin"/>
                </w:r>
                <w:r w:rsidRPr="00027624">
                  <w:instrText xml:space="preserve">CITATION OEC13 \p 65 \t  \l 3081 </w:instrText>
                </w:r>
                <w:r w:rsidRPr="00027624">
                  <w:fldChar w:fldCharType="separate"/>
                </w:r>
                <w:r w:rsidR="00E83F6E">
                  <w:rPr>
                    <w:noProof/>
                  </w:rPr>
                  <w:t xml:space="preserve"> (OECD, 2013, p. 65)</w:t>
                </w:r>
                <w:r w:rsidRPr="00027624">
                  <w:fldChar w:fldCharType="end"/>
                </w:r>
              </w:sdtContent>
            </w:sdt>
            <w:r w:rsidRPr="00027624">
              <w:t xml:space="preserve">. In contrast, the European Union uses 60 per cent of median equivalised disposable income </w:t>
            </w:r>
            <w:sdt>
              <w:sdtPr>
                <w:id w:val="507336019"/>
                <w:citation/>
              </w:sdtPr>
              <w:sdtEndPr/>
              <w:sdtContent>
                <w:r w:rsidRPr="00027624">
                  <w:fldChar w:fldCharType="begin"/>
                </w:r>
                <w:r w:rsidRPr="00027624">
                  <w:instrText xml:space="preserve">CITATION Eur18 \l 3081 </w:instrText>
                </w:r>
                <w:r w:rsidRPr="00027624">
                  <w:fldChar w:fldCharType="separate"/>
                </w:r>
                <w:r w:rsidR="00E83F6E">
                  <w:rPr>
                    <w:noProof/>
                  </w:rPr>
                  <w:t>(Eurostat, 2018)</w:t>
                </w:r>
                <w:r w:rsidRPr="00027624">
                  <w:fldChar w:fldCharType="end"/>
                </w:r>
              </w:sdtContent>
            </w:sdt>
            <w:r w:rsidRPr="00027624">
              <w:t>.</w:t>
            </w:r>
          </w:p>
          <w:p w14:paraId="6870DA03" w14:textId="4F4A6D62" w:rsidR="0092760B" w:rsidRPr="00027624" w:rsidRDefault="0092760B" w:rsidP="00251628">
            <w:pPr>
              <w:tabs>
                <w:tab w:val="left" w:pos="2694"/>
              </w:tabs>
              <w:spacing w:before="80" w:after="80"/>
            </w:pPr>
            <w:r w:rsidRPr="00027624">
              <w:t>Under the OECD approach, the poverty rate of Australian retirees is high compared to other countries (</w:t>
            </w:r>
            <w:r w:rsidRPr="00027624">
              <w:fldChar w:fldCharType="begin"/>
            </w:r>
            <w:r w:rsidRPr="00027624">
              <w:instrText xml:space="preserve"> REF _Ref43461592 \r \h  \* MERGEFORMAT </w:instrText>
            </w:r>
            <w:r w:rsidRPr="00027624">
              <w:fldChar w:fldCharType="separate"/>
            </w:r>
            <w:r w:rsidR="00891058">
              <w:t>Chart 2A-11</w:t>
            </w:r>
            <w:r w:rsidRPr="00027624">
              <w:fldChar w:fldCharType="end"/>
            </w:r>
            <w:r w:rsidRPr="00027624">
              <w:t>). However, the OECD measure of poverty is a poor fit because high rates of home ownership among Australian retirees reduce their living expenses and boost standards of living.</w:t>
            </w:r>
          </w:p>
          <w:p w14:paraId="4C688718" w14:textId="77777777" w:rsidR="0092760B" w:rsidRPr="00027624" w:rsidRDefault="0092760B" w:rsidP="00FC7361">
            <w:pPr>
              <w:pStyle w:val="ChartMainHeading"/>
              <w:numPr>
                <w:ilvl w:val="2"/>
                <w:numId w:val="62"/>
              </w:numPr>
              <w:outlineLvl w:val="2"/>
            </w:pPr>
            <w:bookmarkStart w:id="455" w:name="_Ref43461592"/>
            <w:r w:rsidRPr="00027624">
              <w:t>Income poverty rate of older households, OECD countries</w:t>
            </w:r>
            <w:bookmarkEnd w:id="455"/>
          </w:p>
          <w:p w14:paraId="61139409" w14:textId="3CD5345F" w:rsidR="0092760B" w:rsidRPr="00027624" w:rsidRDefault="00C76222" w:rsidP="002A2FAE">
            <w:pPr>
              <w:pStyle w:val="ChartGraphic"/>
            </w:pPr>
            <w:r>
              <w:rPr>
                <w:noProof/>
              </w:rPr>
              <w:drawing>
                <wp:inline distT="0" distB="0" distL="0" distR="0" wp14:anchorId="74E39CBE" wp14:editId="26BF936A">
                  <wp:extent cx="5577840" cy="2339340"/>
                  <wp:effectExtent l="0" t="0" r="3810" b="3810"/>
                  <wp:docPr id="2002235494" name="Picture 2002235494" descr="This chart shows the rate of retiree income poverty of different OECD countries on a ‘before housing costs’ and ‘after housing costs’ basis. Australia has the third highest level of retiree income poverty on a ‘before housing costs’ basis at 24 per cent. Once housing costs have been taken into account, Australia’s retiree income poverty drops significantly to around 8 per cent, which is towards the middle of the range for OECD countries. " title="Chart 2A-11 Income poverty rate of older households, OECD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77840" cy="2339340"/>
                          </a:xfrm>
                          <a:prstGeom prst="rect">
                            <a:avLst/>
                          </a:prstGeom>
                          <a:noFill/>
                        </pic:spPr>
                      </pic:pic>
                    </a:graphicData>
                  </a:graphic>
                </wp:inline>
              </w:drawing>
            </w:r>
          </w:p>
          <w:p w14:paraId="472301D3" w14:textId="77777777" w:rsidR="0092760B" w:rsidRPr="00027624" w:rsidRDefault="0092760B" w:rsidP="00251628">
            <w:pPr>
              <w:pStyle w:val="ChartorTableNote"/>
              <w:spacing w:after="0"/>
              <w:rPr>
                <w:color w:val="auto"/>
                <w:sz w:val="20"/>
              </w:rPr>
            </w:pPr>
            <w:r w:rsidRPr="00027624">
              <w:t xml:space="preserve">Note: Poverty rates among households aged 65 and older. Source: </w:t>
            </w:r>
            <w:sdt>
              <w:sdtPr>
                <w:id w:val="-1392034864"/>
                <w:citation/>
              </w:sdtPr>
              <w:sdtEndPr/>
              <w:sdtContent>
                <w:r w:rsidRPr="00027624">
                  <w:fldChar w:fldCharType="begin"/>
                </w:r>
                <w:r w:rsidRPr="00027624">
                  <w:instrText xml:space="preserve">CITATION CEP18 \l 3081 </w:instrText>
                </w:r>
                <w:r w:rsidRPr="00027624">
                  <w:fldChar w:fldCharType="separate"/>
                </w:r>
                <w:r w:rsidR="00E83F6E">
                  <w:rPr>
                    <w:noProof/>
                  </w:rPr>
                  <w:t>(CEPAR, 2018a)</w:t>
                </w:r>
                <w:r w:rsidRPr="00027624">
                  <w:fldChar w:fldCharType="end"/>
                </w:r>
              </w:sdtContent>
            </w:sdt>
            <w:r w:rsidRPr="00027624">
              <w:t>.</w:t>
            </w:r>
          </w:p>
        </w:tc>
      </w:tr>
    </w:tbl>
    <w:p w14:paraId="03F1643A" w14:textId="77777777" w:rsidR="0092760B" w:rsidRPr="00027624" w:rsidRDefault="0092760B" w:rsidP="00377A0E">
      <w:pPr>
        <w:pStyle w:val="Heading5"/>
      </w:pPr>
      <w:r w:rsidRPr="00027624">
        <w:t>Income poverty among different retiree groups</w:t>
      </w:r>
    </w:p>
    <w:p w14:paraId="5E9EBC24" w14:textId="77777777" w:rsidR="0092760B" w:rsidRPr="00027624" w:rsidRDefault="0092760B" w:rsidP="002A2FAE">
      <w:r w:rsidRPr="00027624">
        <w:t xml:space="preserve">The following considers poverty rates of different groups of retirees, including those </w:t>
      </w:r>
      <w:r w:rsidR="001F6124" w:rsidRPr="00027624">
        <w:t>with elevated levels of stress</w:t>
      </w:r>
      <w:r w:rsidRPr="00027624">
        <w:t>.</w:t>
      </w:r>
    </w:p>
    <w:p w14:paraId="0AA49E54" w14:textId="77777777" w:rsidR="0092760B" w:rsidRPr="00027624" w:rsidRDefault="0092760B" w:rsidP="00377A0E">
      <w:pPr>
        <w:pStyle w:val="Heading6"/>
      </w:pPr>
      <w:r w:rsidRPr="00027624">
        <w:t>Renters</w:t>
      </w:r>
    </w:p>
    <w:p w14:paraId="685AA98C" w14:textId="77777777" w:rsidR="0092760B" w:rsidRPr="00027624" w:rsidRDefault="0092760B" w:rsidP="002A2FAE">
      <w:pPr>
        <w:tabs>
          <w:tab w:val="left" w:pos="2694"/>
        </w:tabs>
      </w:pPr>
      <w:r w:rsidRPr="00027624">
        <w:t xml:space="preserve">One in eight households aged 65 and over are renters and around 48 per cent of renters experience income poverty </w:t>
      </w:r>
      <w:sdt>
        <w:sdtPr>
          <w:id w:val="256337139"/>
          <w:citation/>
        </w:sdtPr>
        <w:sdtEndPr/>
        <w:sdtContent>
          <w:r w:rsidRPr="00027624">
            <w:fldChar w:fldCharType="begin"/>
          </w:r>
          <w:r w:rsidRPr="00027624">
            <w:instrText xml:space="preserve">CITATION ABS9i \l 3081 </w:instrText>
          </w:r>
          <w:r w:rsidRPr="00027624">
            <w:fldChar w:fldCharType="separate"/>
          </w:r>
          <w:r w:rsidR="00E83F6E">
            <w:rPr>
              <w:noProof/>
            </w:rPr>
            <w:t>(ABS, 2019n)</w:t>
          </w:r>
          <w:r w:rsidRPr="00027624">
            <w:fldChar w:fldCharType="end"/>
          </w:r>
        </w:sdtContent>
      </w:sdt>
      <w:r w:rsidRPr="00027624">
        <w:t>. Single renter households have even higher rates of income poverty — in excess of 60 per cent.</w:t>
      </w:r>
    </w:p>
    <w:p w14:paraId="79274010" w14:textId="13B8BF91" w:rsidR="0092760B" w:rsidRPr="00027624" w:rsidRDefault="0092760B" w:rsidP="002A2FAE">
      <w:pPr>
        <w:tabs>
          <w:tab w:val="left" w:pos="2694"/>
        </w:tabs>
      </w:pPr>
      <w:r w:rsidRPr="00027624">
        <w:t xml:space="preserve">As renters are more likely to have lower income and wealth, they rely more on government payments such as the Age Pension and Commonwealth Rent Assistance to meet increased housing costs (see </w:t>
      </w:r>
      <w:r w:rsidRPr="00027624">
        <w:fldChar w:fldCharType="begin"/>
      </w:r>
      <w:r w:rsidRPr="00027624">
        <w:instrText xml:space="preserve"> REF _Ref39563970 \r \h  \* MERGEFORMAT </w:instrText>
      </w:r>
      <w:r w:rsidRPr="00027624">
        <w:fldChar w:fldCharType="separate"/>
      </w:r>
      <w:r w:rsidR="00891058">
        <w:t>Box 2A-6</w:t>
      </w:r>
      <w:r w:rsidRPr="00027624">
        <w:fldChar w:fldCharType="end"/>
      </w:r>
      <w:r w:rsidRPr="00027624">
        <w:t xml:space="preserve"> for details on Commonwealth Rent Assistance).</w:t>
      </w:r>
    </w:p>
    <w:p w14:paraId="71D1AEB4" w14:textId="77777777" w:rsidR="0092760B" w:rsidRPr="00027624" w:rsidRDefault="0092760B" w:rsidP="002A2FAE">
      <w:pPr>
        <w:tabs>
          <w:tab w:val="left" w:pos="2694"/>
        </w:tabs>
        <w:rPr>
          <w:b/>
        </w:rPr>
      </w:pPr>
      <w:r w:rsidRPr="00027624">
        <w:rPr>
          <w:b/>
        </w:rPr>
        <w:t>High levels of income poverty among these households reflects the greater housing costs incurred by renters in retirement, compared with most retirees who own their home outright.</w:t>
      </w:r>
    </w:p>
    <w:p w14:paraId="14282A33" w14:textId="77777777" w:rsidR="0092760B" w:rsidRPr="00027624" w:rsidRDefault="0092760B" w:rsidP="002A2FAE">
      <w:pPr>
        <w:tabs>
          <w:tab w:val="left" w:pos="2694"/>
        </w:tabs>
      </w:pPr>
      <w:r w:rsidRPr="00027624">
        <w:t>In June 2019, the average fortnightly rent for retiree households receiving Commonwealth Rent Assistance was around $438. Maximum Commonwealth Rent Assistance covered around 34 per cent of the average single household</w:t>
      </w:r>
      <w:r w:rsidR="00A8443E" w:rsidRPr="00027624">
        <w:t>’</w:t>
      </w:r>
      <w:r w:rsidRPr="00027624">
        <w:t xml:space="preserve">s fortnightly rent, and </w:t>
      </w:r>
      <w:r w:rsidR="00424CDD">
        <w:t>24</w:t>
      </w:r>
      <w:r w:rsidRPr="00027624">
        <w:t xml:space="preserve"> per cent of rent for couples (Department of </w:t>
      </w:r>
      <w:r w:rsidRPr="00027624">
        <w:lastRenderedPageBreak/>
        <w:t>Social Services administration data). More broadly, the maximum value of Commonwealth Rent Assistance covers less than 20 per cent of average market rents</w:t>
      </w:r>
      <w:sdt>
        <w:sdtPr>
          <w:id w:val="-1690524176"/>
          <w:citation/>
        </w:sdtPr>
        <w:sdtEndPr/>
        <w:sdtContent>
          <w:r w:rsidRPr="00027624">
            <w:fldChar w:fldCharType="begin"/>
          </w:r>
          <w:r w:rsidRPr="00027624">
            <w:instrText xml:space="preserve">CITATION CEP19 \p 57 \l 3081 </w:instrText>
          </w:r>
          <w:r w:rsidRPr="00027624">
            <w:fldChar w:fldCharType="separate"/>
          </w:r>
          <w:r w:rsidR="00E83F6E">
            <w:rPr>
              <w:noProof/>
            </w:rPr>
            <w:t xml:space="preserve"> (CEPAR, 2019, p. 57)</w:t>
          </w:r>
          <w:r w:rsidRPr="00027624">
            <w:fldChar w:fldCharType="end"/>
          </w:r>
        </w:sdtContent>
      </w:sdt>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4DF6DC37" w14:textId="77777777" w:rsidTr="00716CEE">
        <w:trPr>
          <w:cantSplit/>
        </w:trPr>
        <w:tc>
          <w:tcPr>
            <w:tcW w:w="5000" w:type="pct"/>
            <w:shd w:val="clear" w:color="auto" w:fill="FFF8EA"/>
          </w:tcPr>
          <w:p w14:paraId="63E7B546" w14:textId="77777777" w:rsidR="0092760B" w:rsidRPr="00027624" w:rsidRDefault="0092760B" w:rsidP="001F6124">
            <w:pPr>
              <w:pStyle w:val="BoxHeading"/>
              <w:spacing w:before="120"/>
            </w:pPr>
            <w:r w:rsidRPr="00027624">
              <w:t>Commonwealth Rent Assistance and the costs of renting</w:t>
            </w:r>
            <w:bookmarkStart w:id="456" w:name="_Ref39563970"/>
            <w:bookmarkEnd w:id="456"/>
          </w:p>
          <w:p w14:paraId="4B223AF6" w14:textId="77777777" w:rsidR="0092760B" w:rsidRPr="00027624" w:rsidRDefault="0092760B" w:rsidP="00AC2B79">
            <w:pPr>
              <w:tabs>
                <w:tab w:val="left" w:pos="2694"/>
              </w:tabs>
              <w:spacing w:before="0" w:after="100" w:line="259" w:lineRule="auto"/>
              <w:rPr>
                <w:color w:val="000000"/>
                <w:sz w:val="18"/>
              </w:rPr>
            </w:pPr>
            <w:r w:rsidRPr="00027624">
              <w:t>Commonwealth Rent Assistance is a supplement available to retirees who are renting and is means tested with the Age Pension. The payment covers 75 per cent of rental costs above a minimum threshold and is capped at a maximum amount (around $300 per fortnight for a single). Market rents in some areas can significantly exceed the value of these caps.</w:t>
            </w:r>
          </w:p>
          <w:p w14:paraId="7B3CC4DB" w14:textId="77777777" w:rsidR="0092760B" w:rsidRPr="00027624" w:rsidRDefault="0092760B" w:rsidP="00AC2B79">
            <w:pPr>
              <w:tabs>
                <w:tab w:val="left" w:pos="2694"/>
              </w:tabs>
              <w:spacing w:after="100"/>
              <w:jc w:val="left"/>
            </w:pPr>
            <w:r w:rsidRPr="00027624">
              <w:t>The maximum value of Commonwealth Rent Assistance has not kept pace with market rents, especially for low</w:t>
            </w:r>
            <w:r w:rsidR="00A8443E" w:rsidRPr="00027624">
              <w:noBreakHyphen/>
            </w:r>
            <w:r w:rsidRPr="00027624">
              <w:t>income renters.</w:t>
            </w:r>
          </w:p>
          <w:p w14:paraId="65590F6D" w14:textId="7771FA63" w:rsidR="0092760B" w:rsidRPr="00027624" w:rsidRDefault="0092760B" w:rsidP="00AC2B79">
            <w:pPr>
              <w:pStyle w:val="BoxBullet"/>
              <w:spacing w:after="100"/>
              <w:ind w:left="284" w:hanging="284"/>
            </w:pPr>
            <w:r w:rsidRPr="00027624">
              <w:t>There was a one</w:t>
            </w:r>
            <w:r w:rsidR="00A8443E" w:rsidRPr="00027624">
              <w:noBreakHyphen/>
            </w:r>
            <w:r w:rsidRPr="00027624">
              <w:t>off 10 per cent increase in Commonwealth Rent Assistance in 2000, but since then its value has fallen relative to rental costs. Rents for lower</w:t>
            </w:r>
            <w:r w:rsidR="00A8443E" w:rsidRPr="00027624">
              <w:noBreakHyphen/>
            </w:r>
            <w:r w:rsidRPr="00027624">
              <w:t>income earners have risen particularly quickly compared to average (</w:t>
            </w:r>
            <w:r w:rsidRPr="00027624">
              <w:fldChar w:fldCharType="begin"/>
            </w:r>
            <w:r w:rsidRPr="00027624">
              <w:instrText xml:space="preserve"> REF _Ref40702264 \r \h  \* MERGEFORMAT </w:instrText>
            </w:r>
            <w:r w:rsidRPr="00027624">
              <w:fldChar w:fldCharType="separate"/>
            </w:r>
            <w:r w:rsidR="00891058">
              <w:t>Chart 2A-12</w:t>
            </w:r>
            <w:r w:rsidRPr="00027624">
              <w:fldChar w:fldCharType="end"/>
            </w:r>
            <w:r w:rsidRPr="00027624">
              <w:t>).</w:t>
            </w:r>
          </w:p>
          <w:p w14:paraId="24B1AAD5" w14:textId="77777777" w:rsidR="0092760B" w:rsidRPr="00027624" w:rsidRDefault="0092760B" w:rsidP="00AC2B79">
            <w:pPr>
              <w:pStyle w:val="BoxBullet"/>
              <w:spacing w:after="100"/>
              <w:ind w:left="284" w:hanging="284"/>
            </w:pPr>
            <w:r w:rsidRPr="00027624">
              <w:t xml:space="preserve">Commonwealth Rent Assistance is covering a smaller share of rental costs now than it did two decades ago. The payment is increasingly less effective in preventing income poverty and assisting eligible renters to secure an adequate standard of living in retirement </w:t>
            </w:r>
            <w:sdt>
              <w:sdtPr>
                <w:id w:val="1598060975"/>
                <w:citation/>
              </w:sdtPr>
              <w:sdtEndPr/>
              <w:sdtContent>
                <w:r w:rsidRPr="00027624">
                  <w:fldChar w:fldCharType="begin"/>
                </w:r>
                <w:r w:rsidR="001F6124" w:rsidRPr="00027624">
                  <w:instrText>CITATION Pro19 \l 3081  \m Hen09</w:instrText>
                </w:r>
                <w:r w:rsidRPr="00027624">
                  <w:fldChar w:fldCharType="separate"/>
                </w:r>
                <w:r w:rsidR="00E83F6E">
                  <w:rPr>
                    <w:noProof/>
                  </w:rPr>
                  <w:t>(Productivity Commission, 2019b; Australia’s Future Tax System Review, 2009)</w:t>
                </w:r>
                <w:r w:rsidRPr="00027624">
                  <w:fldChar w:fldCharType="end"/>
                </w:r>
              </w:sdtContent>
            </w:sdt>
            <w:r w:rsidRPr="00027624">
              <w:t>.</w:t>
            </w:r>
          </w:p>
          <w:p w14:paraId="4EF365E0" w14:textId="42EAD4AB" w:rsidR="00716CEE" w:rsidRDefault="0092760B" w:rsidP="00716CEE">
            <w:pPr>
              <w:tabs>
                <w:tab w:val="left" w:pos="2694"/>
              </w:tabs>
            </w:pPr>
            <w:r w:rsidRPr="00027624">
              <w:t xml:space="preserve">The impact of changes to the support provided by Commonwealth Rent Assistance is considered in </w:t>
            </w:r>
            <w:r w:rsidR="002F4219">
              <w:rPr>
                <w:i/>
              </w:rPr>
              <w:t xml:space="preserve">2B. Policy scenario: Implications of increasing </w:t>
            </w:r>
            <w:r w:rsidR="00E95D1A">
              <w:rPr>
                <w:i/>
              </w:rPr>
              <w:t>Commonwealth</w:t>
            </w:r>
            <w:r w:rsidR="002F4219">
              <w:rPr>
                <w:i/>
              </w:rPr>
              <w:t xml:space="preserve"> Rent </w:t>
            </w:r>
            <w:r w:rsidR="00E95D1A">
              <w:rPr>
                <w:i/>
              </w:rPr>
              <w:t>Assistance</w:t>
            </w:r>
            <w:r w:rsidRPr="00027624">
              <w:t>.</w:t>
            </w:r>
          </w:p>
          <w:p w14:paraId="6A981A90" w14:textId="77777777" w:rsidR="00623AFC" w:rsidRPr="00027624" w:rsidRDefault="00623AFC" w:rsidP="00FC7361">
            <w:pPr>
              <w:pStyle w:val="ChartMainHeading"/>
              <w:numPr>
                <w:ilvl w:val="2"/>
                <w:numId w:val="62"/>
              </w:numPr>
              <w:outlineLvl w:val="2"/>
            </w:pPr>
            <w:bookmarkStart w:id="457" w:name="_Ref40702264"/>
            <w:r w:rsidRPr="00027624">
              <w:t xml:space="preserve">Growth in value of Commonwealth Rent Assistance </w:t>
            </w:r>
            <w:r w:rsidRPr="00027624" w:rsidDel="007C7F8A">
              <w:t>and</w:t>
            </w:r>
            <w:r w:rsidRPr="00027624">
              <w:t xml:space="preserve"> rent costs</w:t>
            </w:r>
            <w:bookmarkEnd w:id="457"/>
          </w:p>
          <w:p w14:paraId="683FFE7F" w14:textId="77777777" w:rsidR="00623AFC" w:rsidRPr="00027624" w:rsidRDefault="00A24910" w:rsidP="00623AFC">
            <w:pPr>
              <w:pStyle w:val="ChartGraphic"/>
              <w:keepLines/>
            </w:pPr>
            <w:r>
              <w:rPr>
                <w:noProof/>
              </w:rPr>
              <w:drawing>
                <wp:inline distT="0" distB="0" distL="0" distR="0" wp14:anchorId="377D61F7" wp14:editId="60241240">
                  <wp:extent cx="5577840" cy="2522220"/>
                  <wp:effectExtent l="0" t="0" r="3810" b="0"/>
                  <wp:docPr id="2050622946" name="Picture 2050622946" descr="This chart shows that Commonwealth Rent Assistance has grown at a slower rate than rent indices since 2001. The Commonwealth Rent Assistance has increased from an index value of 100 in 2001 to almost 160 in 2019. The low income rent index increased from 100 to over 200 over that period, with the rent index for all households increasing from 100 to over 170. " title="Chart 2A-12 Growth in value of Commonwealth Rent Assistance and rent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7A133576" w14:textId="77777777" w:rsidR="00623AFC" w:rsidRPr="00027624" w:rsidRDefault="00623AFC" w:rsidP="0026181F">
            <w:pPr>
              <w:pStyle w:val="ChartorTableNote"/>
              <w:rPr>
                <w:b/>
              </w:rPr>
            </w:pPr>
            <w:r w:rsidRPr="00027624">
              <w:t xml:space="preserve">Source: </w:t>
            </w:r>
            <w:sdt>
              <w:sdtPr>
                <w:id w:val="237069421"/>
                <w:citation/>
              </w:sdtPr>
              <w:sdtEndPr/>
              <w:sdtContent>
                <w:r w:rsidRPr="00027624">
                  <w:fldChar w:fldCharType="begin"/>
                </w:r>
                <w:r w:rsidRPr="00027624">
                  <w:instrText>CITATION DSS20 \m ABS202e \l 3081  \m Pro7d</w:instrText>
                </w:r>
                <w:r w:rsidRPr="00027624">
                  <w:fldChar w:fldCharType="separate"/>
                </w:r>
                <w:r w:rsidR="00E83F6E">
                  <w:rPr>
                    <w:noProof/>
                  </w:rPr>
                  <w:t>(Department of Social Services, 2020c; ABS, 2020e; Productivity Commission, 2017)</w:t>
                </w:r>
                <w:r w:rsidRPr="00027624">
                  <w:fldChar w:fldCharType="end"/>
                </w:r>
              </w:sdtContent>
            </w:sdt>
            <w:r w:rsidRPr="00027624">
              <w:t>.</w:t>
            </w:r>
          </w:p>
        </w:tc>
      </w:tr>
    </w:tbl>
    <w:p w14:paraId="126AF6A3" w14:textId="77777777" w:rsidR="0092760B" w:rsidRPr="00027624" w:rsidRDefault="0092760B" w:rsidP="00623AFC">
      <w:pPr>
        <w:pStyle w:val="Heading6"/>
        <w:spacing w:before="240"/>
      </w:pPr>
      <w:r w:rsidRPr="00027624">
        <w:t>Single households</w:t>
      </w:r>
    </w:p>
    <w:p w14:paraId="2C8477B9" w14:textId="77777777" w:rsidR="0092760B" w:rsidRPr="00027624" w:rsidRDefault="0092760B" w:rsidP="002A2FAE">
      <w:pPr>
        <w:tabs>
          <w:tab w:val="left" w:pos="2694"/>
        </w:tabs>
      </w:pPr>
      <w:r w:rsidRPr="00027624">
        <w:t>In 2017</w:t>
      </w:r>
      <w:r w:rsidR="00A8443E" w:rsidRPr="00027624">
        <w:noBreakHyphen/>
      </w:r>
      <w:r w:rsidRPr="00027624">
        <w:t>18, around 24 per cent of single</w:t>
      </w:r>
      <w:r w:rsidR="00A8443E" w:rsidRPr="00027624">
        <w:noBreakHyphen/>
      </w:r>
      <w:r w:rsidRPr="00027624">
        <w:t xml:space="preserve">person </w:t>
      </w:r>
      <w:r w:rsidR="009E2251" w:rsidRPr="00027624">
        <w:t xml:space="preserve">retiree </w:t>
      </w:r>
      <w:r w:rsidRPr="00027624">
        <w:t>households were in poverty, above the retiree average. However, housing rather than relationship status is the main driver of poverty. More than 20 per cent of older single households rent, compared with around 8 per cent of older couples.</w:t>
      </w:r>
      <w:r w:rsidRPr="00027624">
        <w:rPr>
          <w:rStyle w:val="FootnoteReference"/>
        </w:rPr>
        <w:footnoteReference w:id="84"/>
      </w:r>
      <w:r w:rsidRPr="00027624">
        <w:t xml:space="preserve"> More than 60 per cent of single renter households experience income poverty, while 12 per cent of single home owners are in income poverty.</w:t>
      </w:r>
    </w:p>
    <w:p w14:paraId="70F1C9FF" w14:textId="77777777" w:rsidR="0092760B" w:rsidRPr="00027624" w:rsidRDefault="0092760B" w:rsidP="00377A0E">
      <w:pPr>
        <w:pStyle w:val="Heading6"/>
      </w:pPr>
      <w:r w:rsidRPr="00027624">
        <w:t>Households with mortgages</w:t>
      </w:r>
    </w:p>
    <w:p w14:paraId="06DF3B05" w14:textId="77777777" w:rsidR="0092760B" w:rsidRPr="00027624" w:rsidRDefault="0092760B" w:rsidP="002A2FAE">
      <w:pPr>
        <w:tabs>
          <w:tab w:val="left" w:pos="2694"/>
        </w:tabs>
      </w:pPr>
      <w:r w:rsidRPr="00027624">
        <w:t xml:space="preserve">People who enter retirement with a mortgage also have a higher level of income poverty than the average retiree. Ten per cent of households aged 65 and over have a mortgage on their home (see </w:t>
      </w:r>
      <w:r w:rsidRPr="00027624">
        <w:rPr>
          <w:i/>
        </w:rPr>
        <w:lastRenderedPageBreak/>
        <w:t>1D. The changing Australian landscape</w:t>
      </w:r>
      <w:r w:rsidRPr="00027624">
        <w:rPr>
          <w:iCs/>
        </w:rPr>
        <w:t>)</w:t>
      </w:r>
      <w:r w:rsidRPr="00027624">
        <w:t>. In 2017</w:t>
      </w:r>
      <w:r w:rsidR="00A8443E" w:rsidRPr="00027624">
        <w:noBreakHyphen/>
      </w:r>
      <w:r w:rsidRPr="00027624">
        <w:t>18, around 20 per cent of these households were in income poverty.</w:t>
      </w:r>
    </w:p>
    <w:p w14:paraId="3CE7DA33" w14:textId="77777777" w:rsidR="0092760B" w:rsidRPr="00027624" w:rsidRDefault="0092760B" w:rsidP="002A2FAE">
      <w:pPr>
        <w:tabs>
          <w:tab w:val="left" w:pos="2694"/>
        </w:tabs>
      </w:pPr>
      <w:r w:rsidRPr="00027624">
        <w:t>Higher poverty for this group largely reflects the costs associated with continued mortgage repayments. Despite higher than average income poverty among mortgagors, their rates of financial stress are similar to the retiree and working</w:t>
      </w:r>
      <w:r w:rsidR="00A8443E" w:rsidRPr="00027624">
        <w:noBreakHyphen/>
      </w:r>
      <w:r w:rsidRPr="00027624">
        <w:t>age averages. Even excluding the family home, these households have a higher net worth than renters.</w:t>
      </w:r>
    </w:p>
    <w:p w14:paraId="25AAB6E3" w14:textId="77777777" w:rsidR="0092760B" w:rsidRPr="00027624" w:rsidRDefault="0092760B" w:rsidP="002A2FAE">
      <w:pPr>
        <w:tabs>
          <w:tab w:val="left" w:pos="2694"/>
        </w:tabs>
      </w:pPr>
      <w:r w:rsidRPr="00027624">
        <w:t>Mortgagors are also are exposed to a higher level of risks, including exposure to interest rate changes and greater exposure to sequencing risk</w:t>
      </w:r>
      <w:r w:rsidRPr="00027624">
        <w:rPr>
          <w:rStyle w:val="FootnoteReference"/>
        </w:rPr>
        <w:footnoteReference w:id="85"/>
      </w:r>
      <w:r w:rsidRPr="00027624">
        <w:t xml:space="preserve">, than other retirees (see </w:t>
      </w:r>
      <w:r w:rsidRPr="00027624">
        <w:rPr>
          <w:i/>
        </w:rPr>
        <w:t>2C. Maintaining standards of living in retirement</w:t>
      </w:r>
      <w:r w:rsidRPr="00027624">
        <w:t>). Higher house prices and rising mortgages in retirement could reduce standards of living even further for future retirees with a mortgage.</w:t>
      </w:r>
    </w:p>
    <w:p w14:paraId="2136EC92" w14:textId="77777777" w:rsidR="0092760B" w:rsidRPr="00027624" w:rsidRDefault="0092760B" w:rsidP="00377A0E">
      <w:pPr>
        <w:pStyle w:val="Heading6"/>
      </w:pPr>
      <w:r w:rsidRPr="00027624">
        <w:t>Gender</w:t>
      </w:r>
    </w:p>
    <w:p w14:paraId="531E692A" w14:textId="77777777" w:rsidR="0092760B" w:rsidRPr="00027624" w:rsidRDefault="0092760B" w:rsidP="002A2FAE">
      <w:pPr>
        <w:tabs>
          <w:tab w:val="left" w:pos="2694"/>
        </w:tabs>
      </w:pPr>
      <w:r w:rsidRPr="00027624">
        <w:t>The proportion of single retired men and single retired women in income poverty is broadly similar: around 25 per cent for single men and 23 per cent for single women. Single retired renting women are marginally more likely to be in income poverty than single retired renting men: 63 per cent and 59 per cent, respectively.</w:t>
      </w:r>
    </w:p>
    <w:p w14:paraId="50B55F13" w14:textId="77777777" w:rsidR="0092760B" w:rsidRPr="00027624" w:rsidRDefault="0092760B" w:rsidP="00377A0E">
      <w:pPr>
        <w:pStyle w:val="Heading6"/>
      </w:pPr>
      <w:r w:rsidRPr="00027624">
        <w:t>Disability status</w:t>
      </w:r>
    </w:p>
    <w:p w14:paraId="590D4E8B" w14:textId="77777777" w:rsidR="0092760B" w:rsidRPr="00027624" w:rsidRDefault="0092760B" w:rsidP="002A2FAE">
      <w:pPr>
        <w:tabs>
          <w:tab w:val="left" w:pos="2694"/>
        </w:tabs>
      </w:pPr>
      <w:r w:rsidRPr="00027624">
        <w:t>Those with disability are marginally less likely to be in income poverty than the retiree average. Fourteen per cent of households with a person with disability in retirement are in income poverty. This is broadly constant across the severity of disability.</w:t>
      </w:r>
    </w:p>
    <w:p w14:paraId="6E8B00E3" w14:textId="77777777" w:rsidR="0092760B" w:rsidRPr="00027624" w:rsidRDefault="0092760B" w:rsidP="002A2FAE">
      <w:pPr>
        <w:tabs>
          <w:tab w:val="left" w:pos="2694"/>
        </w:tabs>
      </w:pPr>
      <w:r w:rsidRPr="00027624">
        <w:t>A lower proportion of people with a profound or severe core activity limitation who rent in retirement are in income poverty (32 per cent), compared to renters across the retiree population (48 per cent). This may be due to a high proportion of this group having rent</w:t>
      </w:r>
      <w:r w:rsidR="00A8443E" w:rsidRPr="00027624">
        <w:noBreakHyphen/>
      </w:r>
      <w:r w:rsidRPr="00027624">
        <w:t xml:space="preserve">free living arrangements, or who rent through public housing (13 per cent, compared to 6 per cent for the total retiree population) </w:t>
      </w:r>
      <w:sdt>
        <w:sdtPr>
          <w:id w:val="-1036425720"/>
          <w:citation/>
        </w:sdtPr>
        <w:sdtEndPr/>
        <w:sdtContent>
          <w:r w:rsidRPr="00027624">
            <w:fldChar w:fldCharType="begin"/>
          </w:r>
          <w:r w:rsidRPr="00027624">
            <w:instrText xml:space="preserve"> CITATION ABS9j \l 3081 </w:instrText>
          </w:r>
          <w:r w:rsidRPr="00027624">
            <w:fldChar w:fldCharType="separate"/>
          </w:r>
          <w:r w:rsidR="00E83F6E">
            <w:rPr>
              <w:noProof/>
            </w:rPr>
            <w:t>(ABS, 2019g)</w:t>
          </w:r>
          <w:r w:rsidRPr="00027624">
            <w:fldChar w:fldCharType="end"/>
          </w:r>
        </w:sdtContent>
      </w:sdt>
      <w:r w:rsidRPr="00027624">
        <w:t>.</w:t>
      </w:r>
    </w:p>
    <w:p w14:paraId="65ADEEDC" w14:textId="77777777" w:rsidR="0092760B" w:rsidRPr="00027624" w:rsidRDefault="0092760B" w:rsidP="002A2FAE">
      <w:pPr>
        <w:pStyle w:val="Heading4"/>
        <w:tabs>
          <w:tab w:val="left" w:pos="2694"/>
        </w:tabs>
      </w:pPr>
      <w:r w:rsidRPr="00027624">
        <w:t>Historical income poverty rates</w:t>
      </w:r>
    </w:p>
    <w:p w14:paraId="5CB16B6D" w14:textId="064EB60D" w:rsidR="0092760B" w:rsidRPr="00027624" w:rsidRDefault="0092760B" w:rsidP="002A2FAE">
      <w:pPr>
        <w:tabs>
          <w:tab w:val="left" w:pos="2694"/>
        </w:tabs>
      </w:pPr>
      <w:r w:rsidRPr="00027624">
        <w:rPr>
          <w:b/>
        </w:rPr>
        <w:t>The incidence of income poverty among older Australians has fallen in the past decade.</w:t>
      </w:r>
      <w:r w:rsidRPr="00027624">
        <w:t xml:space="preserve"> Changes to the Age Pension in 2009 led to a large drop in poverty rates, which continued to decline (</w:t>
      </w:r>
      <w:r w:rsidRPr="00027624">
        <w:fldChar w:fldCharType="begin"/>
      </w:r>
      <w:r w:rsidRPr="00027624">
        <w:instrText xml:space="preserve"> REF _Ref35436787 \r \h  \* MERGEFORMAT </w:instrText>
      </w:r>
      <w:r w:rsidRPr="00027624">
        <w:fldChar w:fldCharType="separate"/>
      </w:r>
      <w:r w:rsidR="00891058">
        <w:t>Chart 2A-13</w:t>
      </w:r>
      <w:r w:rsidRPr="00027624">
        <w:fldChar w:fldCharType="end"/>
      </w:r>
      <w:r w:rsidRPr="00027624">
        <w:t>).</w:t>
      </w:r>
    </w:p>
    <w:p w14:paraId="1D7317F4" w14:textId="7405236A" w:rsidR="0092760B" w:rsidRPr="00027624" w:rsidRDefault="0092760B" w:rsidP="002A2FAE">
      <w:pPr>
        <w:tabs>
          <w:tab w:val="left" w:pos="2694"/>
        </w:tabs>
      </w:pPr>
      <w:r w:rsidRPr="00027624">
        <w:t>More than 40 per cent of single person retiree households and over half of renter retiree households were in income poverty in 2007</w:t>
      </w:r>
      <w:r w:rsidR="00A8443E" w:rsidRPr="00027624">
        <w:noBreakHyphen/>
      </w:r>
      <w:r w:rsidRPr="00027624">
        <w:t>08 (</w:t>
      </w:r>
      <w:r w:rsidRPr="00027624">
        <w:fldChar w:fldCharType="begin"/>
      </w:r>
      <w:r w:rsidRPr="00027624">
        <w:instrText xml:space="preserve"> REF _Ref44769414 \r \h  \* MERGEFORMAT </w:instrText>
      </w:r>
      <w:r w:rsidRPr="00027624">
        <w:fldChar w:fldCharType="separate"/>
      </w:r>
      <w:r w:rsidR="00891058">
        <w:t>Chart 2A-13</w:t>
      </w:r>
      <w:r w:rsidRPr="00027624">
        <w:fldChar w:fldCharType="end"/>
      </w:r>
      <w:r w:rsidRPr="00027624">
        <w:t xml:space="preserve">). Analysis by ACOSS </w:t>
      </w:r>
      <w:sdt>
        <w:sdtPr>
          <w:id w:val="-2143030510"/>
          <w:citation/>
        </w:sdtPr>
        <w:sdtEndPr/>
        <w:sdtContent>
          <w:r w:rsidRPr="00027624">
            <w:fldChar w:fldCharType="begin"/>
          </w:r>
          <w:r w:rsidRPr="00027624">
            <w:instrText xml:space="preserve">CITATION Dav18 \p 13 \l 3081 </w:instrText>
          </w:r>
          <w:r w:rsidRPr="00027624">
            <w:fldChar w:fldCharType="separate"/>
          </w:r>
          <w:r w:rsidR="00E83F6E">
            <w:rPr>
              <w:noProof/>
            </w:rPr>
            <w:t>(Davidson, et al., 2018, p. 13)</w:t>
          </w:r>
          <w:r w:rsidRPr="00027624">
            <w:fldChar w:fldCharType="end"/>
          </w:r>
        </w:sdtContent>
      </w:sdt>
      <w:r w:rsidRPr="00027624">
        <w:t xml:space="preserve"> suggests poverty outcomes for most retiree groups improved following changes to the Age Pension in 2009.</w:t>
      </w:r>
    </w:p>
    <w:p w14:paraId="636ABFEF" w14:textId="77777777" w:rsidR="0092760B" w:rsidRPr="00027624" w:rsidRDefault="0092760B" w:rsidP="002A2FAE">
      <w:pPr>
        <w:tabs>
          <w:tab w:val="left" w:pos="2694"/>
        </w:tabs>
      </w:pPr>
      <w:r w:rsidRPr="00027624">
        <w:t>Although poverty rates have improved, retiree renters continue to have income poverty level</w:t>
      </w:r>
      <w:r w:rsidR="00E8303B" w:rsidRPr="00027624">
        <w:t>s well in excess of the average</w:t>
      </w:r>
      <w:r w:rsidRPr="00027624" w:rsidDel="00154A24">
        <w:t xml:space="preserve"> </w:t>
      </w:r>
      <w:r w:rsidRPr="00027624">
        <w:t>rates for retirees and working</w:t>
      </w:r>
      <w:r w:rsidR="00A8443E" w:rsidRPr="00027624">
        <w:noBreakHyphen/>
      </w:r>
      <w:r w:rsidRPr="00027624">
        <w:t>age people, suggesting retirement incomes for renters are not meeting community standards.</w:t>
      </w:r>
    </w:p>
    <w:p w14:paraId="11521AEE" w14:textId="77777777" w:rsidR="0092760B" w:rsidRPr="00027624" w:rsidRDefault="0092760B" w:rsidP="002A2FAE">
      <w:pPr>
        <w:tabs>
          <w:tab w:val="left" w:pos="2694"/>
        </w:tabs>
      </w:pPr>
      <w:r w:rsidRPr="00027624">
        <w:t xml:space="preserve">Poverty measures have some limitations when comparing between groups. These differences may be due to issues with the measure itself, explored in </w:t>
      </w:r>
      <w:r w:rsidRPr="00027624">
        <w:rPr>
          <w:i/>
        </w:rPr>
        <w:t>Limitations of income poverty</w:t>
      </w:r>
      <w:r w:rsidR="0055644C">
        <w:t>,</w:t>
      </w:r>
      <w:r w:rsidRPr="00027624">
        <w:t xml:space="preserve"> below</w:t>
      </w:r>
      <w:r w:rsidRPr="00027624">
        <w:rPr>
          <w:i/>
        </w:rPr>
        <w:t>.</w:t>
      </w:r>
    </w:p>
    <w:p w14:paraId="15DFCD8B" w14:textId="77777777" w:rsidR="0092760B" w:rsidRPr="00027624" w:rsidRDefault="0092760B" w:rsidP="00FC7361">
      <w:pPr>
        <w:pStyle w:val="ChartMainHeading"/>
        <w:numPr>
          <w:ilvl w:val="2"/>
          <w:numId w:val="62"/>
        </w:numPr>
      </w:pPr>
      <w:bookmarkStart w:id="458" w:name="_Ref35436787"/>
      <w:bookmarkStart w:id="459" w:name="_Ref41980529"/>
      <w:bookmarkStart w:id="460" w:name="_Ref44769414"/>
      <w:r w:rsidRPr="00027624">
        <w:lastRenderedPageBreak/>
        <w:t>Historical income poverty rates, by retiree group</w:t>
      </w:r>
      <w:bookmarkEnd w:id="458"/>
      <w:bookmarkEnd w:id="459"/>
      <w:bookmarkEnd w:id="460"/>
    </w:p>
    <w:p w14:paraId="45DCFFFF" w14:textId="77777777" w:rsidR="0092760B" w:rsidRPr="00027624" w:rsidRDefault="00A24910" w:rsidP="003346BB">
      <w:pPr>
        <w:pStyle w:val="ChartGraphic"/>
        <w:rPr>
          <w:rStyle w:val="CommentReference"/>
          <w:rFonts w:asciiTheme="minorHAnsi" w:eastAsiaTheme="minorEastAsia" w:hAnsiTheme="minorHAnsi" w:cstheme="minorBidi"/>
          <w:lang w:eastAsia="en-US"/>
        </w:rPr>
      </w:pPr>
      <w:r>
        <w:rPr>
          <w:rStyle w:val="CommentReference"/>
          <w:rFonts w:asciiTheme="minorHAnsi" w:eastAsiaTheme="minorEastAsia" w:hAnsiTheme="minorHAnsi" w:cstheme="minorBidi"/>
          <w:noProof/>
        </w:rPr>
        <w:drawing>
          <wp:inline distT="0" distB="0" distL="0" distR="0" wp14:anchorId="62DD1310" wp14:editId="563149A4">
            <wp:extent cx="5526000" cy="2498400"/>
            <wp:effectExtent l="0" t="0" r="0" b="0"/>
            <wp:docPr id="2050622947" name="Picture 2050622947" descr="This chart shows that for most retiree cohorts, income poverty peaked in 2007-08 and declined following the 2009 Age Pension reforms. Couple retirees have had consistently low levels of income poverty while singles and renters have higher rates." title="Chart 2A-13 Historical income poverty rates, by retire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26000" cy="2498400"/>
                    </a:xfrm>
                    <a:prstGeom prst="rect">
                      <a:avLst/>
                    </a:prstGeom>
                    <a:noFill/>
                  </pic:spPr>
                </pic:pic>
              </a:graphicData>
            </a:graphic>
          </wp:inline>
        </w:drawing>
      </w:r>
    </w:p>
    <w:p w14:paraId="4A55C3CF" w14:textId="77777777" w:rsidR="0092760B" w:rsidRPr="00027624" w:rsidRDefault="0092760B" w:rsidP="00623AFC">
      <w:pPr>
        <w:pStyle w:val="ChartorTableNote"/>
        <w:spacing w:before="0"/>
      </w:pPr>
      <w:r w:rsidRPr="00027624">
        <w:t xml:space="preserve">Note: Households aged 65 and over. </w:t>
      </w:r>
      <w:r w:rsidR="00A8443E" w:rsidRPr="00027624">
        <w:t>‘</w:t>
      </w:r>
      <w:r w:rsidRPr="00027624">
        <w:t>pensioner</w:t>
      </w:r>
      <w:r w:rsidR="00A8443E" w:rsidRPr="00027624">
        <w:t>’</w:t>
      </w:r>
      <w:r w:rsidRPr="00027624">
        <w:t xml:space="preserve"> includes households on government social security payments. </w:t>
      </w:r>
      <w:r w:rsidR="00A8443E" w:rsidRPr="00027624">
        <w:t>‘</w:t>
      </w:r>
      <w:r w:rsidRPr="00027624">
        <w:t>Average</w:t>
      </w:r>
      <w:r w:rsidR="00A8443E" w:rsidRPr="00027624">
        <w:t>’</w:t>
      </w:r>
      <w:r w:rsidRPr="00027624">
        <w:t xml:space="preserve"> refers to the entire population and is not confined to households aged 65 and older.</w:t>
      </w:r>
      <w:r w:rsidRPr="00027624" w:rsidDel="000D28C0">
        <w:t xml:space="preserve"> </w:t>
      </w:r>
      <w:r w:rsidRPr="00027624">
        <w:t xml:space="preserve">Source: </w:t>
      </w:r>
      <w:sdt>
        <w:sdtPr>
          <w:id w:val="-99333019"/>
          <w:citation/>
        </w:sdtPr>
        <w:sdtEndPr/>
        <w:sdtContent>
          <w:r w:rsidRPr="00027624">
            <w:fldChar w:fldCharType="begin"/>
          </w:r>
          <w:r w:rsidRPr="00027624">
            <w:instrText xml:space="preserve">CITATION Dav18 \l 3081 </w:instrText>
          </w:r>
          <w:r w:rsidRPr="00027624">
            <w:fldChar w:fldCharType="separate"/>
          </w:r>
          <w:r w:rsidR="00E83F6E">
            <w:rPr>
              <w:noProof/>
            </w:rPr>
            <w:t>(Davidson, et al., 2018)</w:t>
          </w:r>
          <w:r w:rsidRPr="00027624">
            <w:fldChar w:fldCharType="end"/>
          </w:r>
        </w:sdtContent>
      </w:sdt>
      <w:r w:rsidRPr="00027624">
        <w:t>.</w:t>
      </w:r>
    </w:p>
    <w:p w14:paraId="5745C4CC" w14:textId="77777777" w:rsidR="0092760B" w:rsidRPr="00027624" w:rsidRDefault="0092760B" w:rsidP="00623AFC">
      <w:pPr>
        <w:pStyle w:val="Heading4"/>
        <w:tabs>
          <w:tab w:val="left" w:pos="2694"/>
        </w:tabs>
        <w:spacing w:before="240"/>
      </w:pPr>
      <w:r w:rsidRPr="00027624">
        <w:t>Limitations of income poverty</w:t>
      </w:r>
    </w:p>
    <w:p w14:paraId="2A9BB5D4" w14:textId="77777777" w:rsidR="0092760B" w:rsidRPr="00027624" w:rsidRDefault="0092760B" w:rsidP="002A2FAE">
      <w:pPr>
        <w:tabs>
          <w:tab w:val="left" w:pos="2694"/>
        </w:tabs>
      </w:pPr>
      <w:r w:rsidRPr="00027624">
        <w:rPr>
          <w:b/>
        </w:rPr>
        <w:t>Measures of income poverty may overstate disadvantage among older Australians</w:t>
      </w:r>
      <w:r w:rsidRPr="00027624">
        <w:t xml:space="preserve"> as they:</w:t>
      </w:r>
    </w:p>
    <w:p w14:paraId="329B5930" w14:textId="77777777" w:rsidR="0092760B" w:rsidRPr="00027624" w:rsidRDefault="0092760B" w:rsidP="002A2FAE">
      <w:pPr>
        <w:pStyle w:val="Bullet"/>
        <w:tabs>
          <w:tab w:val="left" w:pos="2694"/>
        </w:tabs>
        <w:ind w:left="0" w:firstLine="0"/>
      </w:pPr>
      <w:r w:rsidRPr="00027624">
        <w:t>Vary significantly depending on the definition of poverty used</w:t>
      </w:r>
    </w:p>
    <w:p w14:paraId="0CB951BE" w14:textId="77777777" w:rsidR="0092760B" w:rsidRPr="00027624" w:rsidRDefault="0092760B" w:rsidP="0092760B">
      <w:pPr>
        <w:pStyle w:val="Bullet"/>
      </w:pPr>
      <w:r w:rsidRPr="00027624">
        <w:t>Fail to recognise both the wealth that retirees may draw on to fund their living standards and the value of social transfers in kind</w:t>
      </w:r>
    </w:p>
    <w:p w14:paraId="3C81AE8E" w14:textId="77777777" w:rsidR="0092760B" w:rsidRPr="00027624" w:rsidRDefault="0092760B" w:rsidP="0092760B">
      <w:pPr>
        <w:pStyle w:val="Bullet"/>
      </w:pPr>
      <w:r w:rsidRPr="00027624">
        <w:t>Depend on an absolute line that people are either above or below, without showing how far people are below the line</w:t>
      </w:r>
    </w:p>
    <w:p w14:paraId="561250D5" w14:textId="3DB2D135" w:rsidR="0092760B" w:rsidRPr="00027624" w:rsidRDefault="0092760B" w:rsidP="002A2FAE">
      <w:pPr>
        <w:tabs>
          <w:tab w:val="left" w:pos="2694"/>
        </w:tabs>
      </w:pPr>
      <w:r w:rsidRPr="00027624">
        <w:t>Retirees classified as being in poverty but not in financial stress tend to have significantly more non</w:t>
      </w:r>
      <w:r w:rsidR="00A8443E" w:rsidRPr="00027624">
        <w:noBreakHyphen/>
      </w:r>
      <w:r w:rsidRPr="00027624">
        <w:t>housing wealth than r</w:t>
      </w:r>
      <w:r w:rsidR="00673E47" w:rsidRPr="00027624">
        <w:t xml:space="preserve">etirees in financial stress </w:t>
      </w:r>
      <w:r w:rsidRPr="00027624">
        <w:t>(</w:t>
      </w:r>
      <w:r w:rsidRPr="00027624">
        <w:fldChar w:fldCharType="begin"/>
      </w:r>
      <w:r w:rsidRPr="00027624">
        <w:instrText xml:space="preserve"> REF _Ref36537563 \r \h </w:instrText>
      </w:r>
      <w:r w:rsidR="00FA7639" w:rsidRPr="00027624">
        <w:instrText xml:space="preserve"> \* MERGEFORMAT </w:instrText>
      </w:r>
      <w:r w:rsidRPr="00027624">
        <w:fldChar w:fldCharType="separate"/>
      </w:r>
      <w:r w:rsidR="00891058">
        <w:t>Chart 2A-14</w:t>
      </w:r>
      <w:r w:rsidRPr="00027624">
        <w:fldChar w:fldCharType="end"/>
      </w:r>
      <w:r w:rsidRPr="00027624">
        <w:t>). Retirees in income poverty but not stress have equivalised median assets outside the home of $314,000 on average. These households may be drawing on their assets outside superannuation to help fund retirement, but these drawdowns are not classified as income in ABS surveys</w:t>
      </w:r>
      <w:sdt>
        <w:sdtPr>
          <w:id w:val="-87240558"/>
          <w:citation/>
        </w:sdtPr>
        <w:sdtEndPr/>
        <w:sdtContent>
          <w:r w:rsidRPr="00027624">
            <w:fldChar w:fldCharType="begin"/>
          </w:r>
          <w:r w:rsidRPr="00027624">
            <w:instrText xml:space="preserve"> CITATION ABS196 \l 3081 </w:instrText>
          </w:r>
          <w:r w:rsidRPr="00027624">
            <w:fldChar w:fldCharType="separate"/>
          </w:r>
          <w:r w:rsidR="00E83F6E">
            <w:rPr>
              <w:noProof/>
            </w:rPr>
            <w:t xml:space="preserve"> (ABS, 2019s)</w:t>
          </w:r>
          <w:r w:rsidRPr="00027624">
            <w:fldChar w:fldCharType="end"/>
          </w:r>
        </w:sdtContent>
      </w:sdt>
      <w:r w:rsidRPr="00027624">
        <w:t>.</w:t>
      </w:r>
    </w:p>
    <w:p w14:paraId="17B3CDA7" w14:textId="77777777" w:rsidR="0092760B" w:rsidRPr="00027624" w:rsidRDefault="0092760B" w:rsidP="00FC7361">
      <w:pPr>
        <w:pStyle w:val="ChartMainHeading"/>
        <w:numPr>
          <w:ilvl w:val="2"/>
          <w:numId w:val="62"/>
        </w:numPr>
      </w:pPr>
      <w:bookmarkStart w:id="461" w:name="_Ref36537563"/>
      <w:bookmarkStart w:id="462" w:name="_Ref43736775"/>
      <w:r w:rsidRPr="00027624">
        <w:t>Comparison of income poverty and financial stress measures for retirees</w:t>
      </w:r>
      <w:bookmarkEnd w:id="461"/>
      <w:bookmarkEnd w:id="462"/>
    </w:p>
    <w:p w14:paraId="67E54413" w14:textId="77777777" w:rsidR="0092760B" w:rsidRPr="00027624" w:rsidRDefault="00A24910" w:rsidP="002A2FAE">
      <w:pPr>
        <w:pStyle w:val="ChartGraphic"/>
      </w:pPr>
      <w:r>
        <w:rPr>
          <w:noProof/>
        </w:rPr>
        <w:drawing>
          <wp:inline distT="0" distB="0" distL="0" distR="0" wp14:anchorId="3BE309F2" wp14:editId="10015BF0">
            <wp:extent cx="5518800" cy="2480400"/>
            <wp:effectExtent l="0" t="0" r="5715" b="0"/>
            <wp:docPr id="2050622948" name="Picture 2050622948" descr="This chart shows that households in financial stress but not income poverty have high levels of home ownership but low non-housing wealth. Households in income poverty but not in financial stress have relatively high levels of both non-housing wealth, while households in both income poverty and financial stress have low levels of both home ownership and non-housing wealth. " title="Chart 2A-14 Comparison of income poverty and financial stress measures for reti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18800" cy="2480400"/>
                    </a:xfrm>
                    <a:prstGeom prst="rect">
                      <a:avLst/>
                    </a:prstGeom>
                    <a:noFill/>
                  </pic:spPr>
                </pic:pic>
              </a:graphicData>
            </a:graphic>
          </wp:inline>
        </w:drawing>
      </w:r>
    </w:p>
    <w:p w14:paraId="617186E2" w14:textId="77777777" w:rsidR="0092760B" w:rsidRPr="00027624" w:rsidRDefault="0092760B" w:rsidP="00623AFC">
      <w:pPr>
        <w:pStyle w:val="ChartorTableNote"/>
        <w:spacing w:before="0" w:after="0"/>
      </w:pPr>
      <w:r w:rsidRPr="00027624">
        <w:rPr>
          <w:szCs w:val="18"/>
        </w:rPr>
        <w:t>Note: Figures are in 2015</w:t>
      </w:r>
      <w:r w:rsidR="00A8443E" w:rsidRPr="00027624">
        <w:rPr>
          <w:szCs w:val="18"/>
        </w:rPr>
        <w:noBreakHyphen/>
      </w:r>
      <w:r w:rsidRPr="00027624">
        <w:rPr>
          <w:szCs w:val="18"/>
        </w:rPr>
        <w:t xml:space="preserve">16 dollars. </w:t>
      </w:r>
      <w:r w:rsidRPr="00027624">
        <w:t>Retiree defined as household reference person being aged 65 and over. Home owners are outright owners. Non</w:t>
      </w:r>
      <w:r w:rsidR="00A8443E" w:rsidRPr="00027624">
        <w:noBreakHyphen/>
      </w:r>
      <w:r w:rsidRPr="00027624">
        <w:t xml:space="preserve">housing wealth is equivalised for household size. </w:t>
      </w:r>
      <w:r w:rsidRPr="00027624">
        <w:rPr>
          <w:szCs w:val="18"/>
        </w:rPr>
        <w:t xml:space="preserve">Source: </w:t>
      </w:r>
      <w:r w:rsidR="00AC2B79" w:rsidRPr="00027624">
        <w:t>Analysis of ABS Survey of Income and Housing Confidentialised Unit Record File, 2015-16; Analysis of ABS Household Expenditure Survey Confidentialised Unit Record File, 2015-16</w:t>
      </w:r>
      <w:r w:rsidRPr="00027624">
        <w:rPr>
          <w:szCs w:val="18"/>
        </w:rPr>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414DB9C4" w14:textId="77777777" w:rsidTr="002A2FAE">
        <w:tc>
          <w:tcPr>
            <w:tcW w:w="5000" w:type="pct"/>
            <w:shd w:val="clear" w:color="auto" w:fill="FFF8EA"/>
          </w:tcPr>
          <w:p w14:paraId="5B508137" w14:textId="77777777" w:rsidR="0092760B" w:rsidRPr="00027624" w:rsidRDefault="0092760B" w:rsidP="00325A8D">
            <w:pPr>
              <w:pStyle w:val="BoxHeading"/>
            </w:pPr>
            <w:bookmarkStart w:id="463" w:name="_Hlk42088748"/>
            <w:bookmarkStart w:id="464" w:name="_Toc31352211"/>
            <w:bookmarkStart w:id="465" w:name="_Toc31720347"/>
            <w:bookmarkStart w:id="466" w:name="_Toc33527835"/>
            <w:bookmarkStart w:id="467" w:name="_Toc33706477"/>
            <w:r w:rsidRPr="00027624">
              <w:lastRenderedPageBreak/>
              <w:t>Impacts of policy settings on the adequacy of the minimum standard</w:t>
            </w:r>
          </w:p>
          <w:bookmarkEnd w:id="463"/>
          <w:p w14:paraId="3A79F126" w14:textId="77777777" w:rsidR="0092760B" w:rsidRPr="00027624" w:rsidRDefault="00C74316" w:rsidP="002A2FAE">
            <w:pPr>
              <w:tabs>
                <w:tab w:val="left" w:pos="2694"/>
              </w:tabs>
            </w:pPr>
            <w:r w:rsidRPr="00027624">
              <w:t>Many</w:t>
            </w:r>
            <w:r w:rsidR="0092760B" w:rsidRPr="00027624">
              <w:t xml:space="preserve"> submissions proposed changes affecting how retirees achieve a minimum standard of living. The following outlines some implications of some of those proposals.</w:t>
            </w:r>
          </w:p>
          <w:p w14:paraId="7325144C" w14:textId="2A0DF4B7" w:rsidR="0092760B" w:rsidRPr="00027624" w:rsidRDefault="0092760B" w:rsidP="0092760B">
            <w:pPr>
              <w:pStyle w:val="BoxBullet"/>
            </w:pPr>
            <w:r w:rsidRPr="00027624">
              <w:rPr>
                <w:b/>
              </w:rPr>
              <w:t>Increase</w:t>
            </w:r>
            <w:r w:rsidRPr="00027624">
              <w:rPr>
                <w:b/>
                <w:bCs/>
              </w:rPr>
              <w:t xml:space="preserve"> assistance for renters.</w:t>
            </w:r>
            <w:r w:rsidRPr="00027624">
              <w:t xml:space="preserve"> Retirees who rent experience higher levels of financial stress and income poverty than other retirees. While the indexation of the Commonwealth Rent Assistance has not kept pace with increases in rents, even large increases in Commonwealth Rent Assistance would only be a fraction of the additional housing costs faced by retiree renters (see</w:t>
            </w:r>
            <w:r w:rsidRPr="00027624">
              <w:rPr>
                <w:i/>
              </w:rPr>
              <w:t xml:space="preserve"> </w:t>
            </w:r>
            <w:r w:rsidR="002F4219">
              <w:rPr>
                <w:i/>
              </w:rPr>
              <w:t xml:space="preserve">2B. Policy scenario: Implications of increasing </w:t>
            </w:r>
            <w:r w:rsidR="007C6C2E">
              <w:rPr>
                <w:i/>
              </w:rPr>
              <w:t>Commonwealth</w:t>
            </w:r>
            <w:r w:rsidR="002F4219">
              <w:rPr>
                <w:i/>
              </w:rPr>
              <w:t xml:space="preserve"> Rent </w:t>
            </w:r>
            <w:r w:rsidR="007C6C2E">
              <w:rPr>
                <w:i/>
              </w:rPr>
              <w:t>Assistance</w:t>
            </w:r>
            <w:r w:rsidRPr="00027624">
              <w:t xml:space="preserve">). </w:t>
            </w:r>
            <w:bookmarkStart w:id="468" w:name="_Hlk42088521"/>
            <w:r w:rsidRPr="00027624">
              <w:t>A new approach is required to help renters achieve a minimum standard of living in retirement and reduce levels of income poverty in retirement.</w:t>
            </w:r>
            <w:bookmarkEnd w:id="468"/>
          </w:p>
          <w:p w14:paraId="70888B1D" w14:textId="77777777" w:rsidR="0092760B" w:rsidRPr="00027624" w:rsidRDefault="0092760B" w:rsidP="0092760B">
            <w:pPr>
              <w:pStyle w:val="BoxBullet"/>
            </w:pPr>
            <w:r w:rsidRPr="00027624">
              <w:rPr>
                <w:b/>
                <w:bCs/>
              </w:rPr>
              <w:t xml:space="preserve">Increase income </w:t>
            </w:r>
            <w:r w:rsidRPr="00027624">
              <w:rPr>
                <w:b/>
              </w:rPr>
              <w:t>support</w:t>
            </w:r>
            <w:r w:rsidRPr="00027624">
              <w:rPr>
                <w:b/>
                <w:bCs/>
              </w:rPr>
              <w:t xml:space="preserve"> for involuntary retirees. </w:t>
            </w:r>
            <w:r w:rsidRPr="00027624">
              <w:t>Involuntary retirees experience higher levels of financial stress and income poverty than most retirees. Income support for households under Age Pension eligibility age is not considered to be part of the retirement income system. Whether people who retire involuntarily before Age Pension eligibility age achieve a minimum standard of living will depend on the level of the JobSeeker Payment. Any change in the rate of the JobSeeker Payment must consider its broader implications as it applies to all age groups and many recipients may re</w:t>
            </w:r>
            <w:r w:rsidR="00A8443E" w:rsidRPr="00027624">
              <w:noBreakHyphen/>
            </w:r>
            <w:r w:rsidRPr="00027624">
              <w:t xml:space="preserve">enter the workforce (see </w:t>
            </w:r>
            <w:r w:rsidRPr="00027624">
              <w:rPr>
                <w:i/>
              </w:rPr>
              <w:t>3E. Age of retirement</w:t>
            </w:r>
            <w:r w:rsidRPr="00027624">
              <w:t>).</w:t>
            </w:r>
          </w:p>
        </w:tc>
      </w:tr>
    </w:tbl>
    <w:p w14:paraId="5DDC7323" w14:textId="77777777" w:rsidR="0092760B" w:rsidRPr="00027624" w:rsidRDefault="0092760B" w:rsidP="002A2FAE">
      <w:pPr>
        <w:tabs>
          <w:tab w:val="left" w:pos="2694"/>
        </w:tabs>
      </w:pPr>
    </w:p>
    <w:p w14:paraId="6D39E4DF" w14:textId="77777777" w:rsidR="00952957" w:rsidRPr="00027624" w:rsidRDefault="00952957">
      <w:pPr>
        <w:spacing w:before="0" w:after="160" w:line="259" w:lineRule="auto"/>
        <w:sectPr w:rsidR="00952957" w:rsidRPr="00027624" w:rsidSect="0092060F">
          <w:type w:val="oddPage"/>
          <w:pgSz w:w="11906" w:h="16838" w:code="9"/>
          <w:pgMar w:top="1418" w:right="1418" w:bottom="1418" w:left="1418" w:header="709" w:footer="709" w:gutter="0"/>
          <w:cols w:space="708"/>
          <w:titlePg/>
          <w:docGrid w:linePitch="360"/>
        </w:sectPr>
      </w:pPr>
    </w:p>
    <w:p w14:paraId="610E3313" w14:textId="77777777" w:rsidR="0092760B" w:rsidRPr="00027624" w:rsidRDefault="0092760B" w:rsidP="00975545">
      <w:pPr>
        <w:pStyle w:val="Heading1"/>
        <w:numPr>
          <w:ilvl w:val="1"/>
          <w:numId w:val="22"/>
        </w:numPr>
      </w:pPr>
      <w:bookmarkStart w:id="469" w:name="_Toc34643880"/>
      <w:bookmarkStart w:id="470" w:name="_Toc45520457"/>
      <w:bookmarkStart w:id="471" w:name="_Toc46133568"/>
      <w:r w:rsidRPr="00027624">
        <w:lastRenderedPageBreak/>
        <w:t>Policy scenario: Implications of increasing Commonwealth Rent Assistance</w:t>
      </w:r>
      <w:bookmarkEnd w:id="469"/>
      <w:bookmarkEnd w:id="470"/>
      <w:bookmarkEnd w:id="471"/>
    </w:p>
    <w:tbl>
      <w:tblPr>
        <w:tblpPr w:leftFromText="180" w:rightFromText="180" w:vertAnchor="text" w:horzAnchor="margin" w:tblpY="97"/>
        <w:tblW w:w="5000" w:type="pct"/>
        <w:shd w:val="clear" w:color="auto" w:fill="DFD7E7" w:themeFill="accent3" w:themeFillTint="33"/>
        <w:tblLook w:val="01E0" w:firstRow="1" w:lastRow="1" w:firstColumn="1" w:lastColumn="1" w:noHBand="0" w:noVBand="0"/>
      </w:tblPr>
      <w:tblGrid>
        <w:gridCol w:w="9070"/>
      </w:tblGrid>
      <w:tr w:rsidR="0092760B" w:rsidRPr="00027624" w14:paraId="75405DEF" w14:textId="77777777" w:rsidTr="002A2FAE">
        <w:tc>
          <w:tcPr>
            <w:tcW w:w="5000" w:type="pct"/>
            <w:shd w:val="clear" w:color="auto" w:fill="DFD7E7" w:themeFill="accent3" w:themeFillTint="33"/>
          </w:tcPr>
          <w:p w14:paraId="78CA47AD" w14:textId="77777777" w:rsidR="0092760B" w:rsidRPr="00027624" w:rsidRDefault="0092760B" w:rsidP="00325A8D">
            <w:pPr>
              <w:pStyle w:val="BoxHeading"/>
            </w:pPr>
            <w:r w:rsidRPr="00027624">
              <w:t>Section summary</w:t>
            </w:r>
          </w:p>
          <w:p w14:paraId="032CA7A5" w14:textId="77777777" w:rsidR="0092760B" w:rsidRPr="00027624" w:rsidRDefault="0092760B" w:rsidP="00140525">
            <w:pPr>
              <w:pStyle w:val="BoxBullet"/>
            </w:pPr>
            <w:r w:rsidRPr="00027624">
              <w:rPr>
                <w:b/>
              </w:rPr>
              <w:t>Increasing Commonwealth Rent Assistance would provide some additional support to people most likely to fall below a minimum standard of living in retirement.</w:t>
            </w:r>
            <w:r w:rsidRPr="00027624">
              <w:t xml:space="preserve"> For the typical renter, increasing the maximum rate by 40 per cent would reduce retiree renters</w:t>
            </w:r>
            <w:r w:rsidR="00A8443E" w:rsidRPr="00027624">
              <w:t>’</w:t>
            </w:r>
            <w:r w:rsidRPr="00027624">
              <w:t xml:space="preserve"> housing expenditure and increase their disposable income after housing by a small amount; around $28 per week. This would marginally reduce the housing expenditure gap between renters and home owners by around 8 per cent for retirees at the median income.</w:t>
            </w:r>
          </w:p>
          <w:p w14:paraId="632818B7" w14:textId="77777777" w:rsidR="0092760B" w:rsidRPr="00027624" w:rsidRDefault="0092760B" w:rsidP="008D184F">
            <w:pPr>
              <w:pStyle w:val="BoxBullet"/>
            </w:pPr>
            <w:r w:rsidRPr="00027624">
              <w:rPr>
                <w:b/>
              </w:rPr>
              <w:t>The increase in Commonwealth Rent Assistance would only reduce financial stress among renting retirees by around 1 percentage point.</w:t>
            </w:r>
            <w:r w:rsidRPr="00027624">
              <w:t xml:space="preserve"> This would narrow the gap in financial stress rates between renters and home owners by 10 per cent. The effect on income poverty and retirement incomes would be minor, reflecting that most renters in income poverty have incomes substantially below poverty benchmarks.</w:t>
            </w:r>
          </w:p>
          <w:p w14:paraId="14491208" w14:textId="77777777" w:rsidR="0092760B" w:rsidRPr="00027624" w:rsidRDefault="0092760B" w:rsidP="008D184F">
            <w:pPr>
              <w:pStyle w:val="BoxBullet"/>
            </w:pPr>
            <w:r w:rsidRPr="00027624">
              <w:rPr>
                <w:b/>
              </w:rPr>
              <w:t>The increase in Commonwealth Rent Assistance would marginally redress retirement equity for disadvantaged groups.</w:t>
            </w:r>
            <w:r w:rsidRPr="00027624">
              <w:t xml:space="preserve"> Some groups that experience poorer outcomes in retirement, such as women and the involuntarily retired, are more likely to rent. Increases in Commonwealth Rent Assistance would marginally benefit these groups and reduce their retirement income gap with other retirees.</w:t>
            </w:r>
          </w:p>
          <w:p w14:paraId="52457673" w14:textId="77777777" w:rsidR="0092760B" w:rsidRPr="00027624" w:rsidRDefault="0092760B" w:rsidP="008D184F">
            <w:pPr>
              <w:pStyle w:val="BoxBullet"/>
            </w:pPr>
            <w:r w:rsidRPr="00027624">
              <w:rPr>
                <w:b/>
              </w:rPr>
              <w:t>The increase in Commonwealth Rent Assistance would slightly reduce the inequity between home owners and renters.</w:t>
            </w:r>
            <w:r w:rsidRPr="00027624">
              <w:t xml:space="preserve"> Home owner retirees would continue to receive higher Age Pension payments than renters with similar asset values.</w:t>
            </w:r>
          </w:p>
          <w:p w14:paraId="4DDE06CC" w14:textId="77777777" w:rsidR="0092760B" w:rsidRPr="00027624" w:rsidRDefault="0092760B" w:rsidP="008D184F">
            <w:pPr>
              <w:pStyle w:val="BoxBullet"/>
            </w:pPr>
            <w:r w:rsidRPr="00027624">
              <w:rPr>
                <w:b/>
              </w:rPr>
              <w:t>The fiscal cost of a 40 per cent increase in the maximum rate of Commonwealth Rent Assistance is estimated to be $370 million for Age Pension recipients and $1.7 billion for all Commonwealth Rent Assistance recipients.</w:t>
            </w:r>
            <w:r w:rsidRPr="00027624">
              <w:t xml:space="preserve"> An increase in Commonwealth Rent Assistance is not expected to have a significant impact on market rents.</w:t>
            </w:r>
          </w:p>
          <w:p w14:paraId="59B7A4F6" w14:textId="77777777" w:rsidR="0092760B" w:rsidRPr="00027624" w:rsidRDefault="0092760B" w:rsidP="008D184F">
            <w:pPr>
              <w:pStyle w:val="BoxBullet"/>
            </w:pPr>
            <w:r w:rsidRPr="00027624">
              <w:rPr>
                <w:b/>
              </w:rPr>
              <w:t>Even if the maximum rate is increased by 40 per cent, Commonwealth Rent Assistance remains a small proportion of the housing expenses faced by retiree renters and does not significantly alleviate stress and income poverty rates for renters in retirement.</w:t>
            </w:r>
            <w:r w:rsidRPr="00027624">
              <w:t xml:space="preserve"> The current design of Commonwealth Rent Assistance has limited capacity to help retiree renters achieve adequate retirement outcomes. A broader approach to support renters in retirement should be considered.</w:t>
            </w:r>
          </w:p>
        </w:tc>
      </w:tr>
    </w:tbl>
    <w:p w14:paraId="4160A198" w14:textId="77777777" w:rsidR="0092760B" w:rsidRPr="00027624" w:rsidRDefault="0092760B" w:rsidP="002A2FAE">
      <w:pPr>
        <w:pStyle w:val="Heading2"/>
      </w:pPr>
      <w:bookmarkStart w:id="472" w:name="_Toc45520458"/>
      <w:bookmarkStart w:id="473" w:name="_Toc46133569"/>
      <w:r w:rsidRPr="00027624">
        <w:t>Outline of this section</w:t>
      </w:r>
      <w:bookmarkEnd w:id="472"/>
      <w:bookmarkEnd w:id="473"/>
    </w:p>
    <w:p w14:paraId="33242327" w14:textId="77777777" w:rsidR="0092760B" w:rsidRPr="00027624" w:rsidRDefault="0092760B">
      <w:r w:rsidRPr="00027624">
        <w:t>Many submissions suggested increasing Commonwealth Rent Assistance. T</w:t>
      </w:r>
      <w:r w:rsidRPr="00027624">
        <w:rPr>
          <w:rStyle w:val="normaltextrun1"/>
        </w:rPr>
        <w:t>o improve understanding of how increasing Commonwealth Rent Assistance would affect outcomes for retiree renters, t</w:t>
      </w:r>
      <w:r w:rsidRPr="00027624">
        <w:t>his section considers:</w:t>
      </w:r>
    </w:p>
    <w:p w14:paraId="0C656E55" w14:textId="77777777" w:rsidR="0092760B" w:rsidRPr="00027624" w:rsidRDefault="0092760B" w:rsidP="00FC7361">
      <w:pPr>
        <w:pStyle w:val="OutlineNumbered1"/>
        <w:numPr>
          <w:ilvl w:val="0"/>
          <w:numId w:val="81"/>
        </w:numPr>
      </w:pPr>
      <w:r w:rsidRPr="00027624">
        <w:t>The purpose of Commonwealth Rent Assistance, with reference to different housing expenses for renters and home owners</w:t>
      </w:r>
    </w:p>
    <w:p w14:paraId="2A465A38" w14:textId="77777777" w:rsidR="0092760B" w:rsidRPr="00027624" w:rsidRDefault="0092760B" w:rsidP="00716CEE">
      <w:pPr>
        <w:pStyle w:val="OutlineNumbered1"/>
      </w:pPr>
      <w:r w:rsidRPr="00027624">
        <w:t>The impact of increasing Commonwealth Rent Assistance to compensate for the disparity between the maximum Commonwealth Rent Assistance rate and market rents</w:t>
      </w:r>
    </w:p>
    <w:p w14:paraId="67FFD7AE" w14:textId="77777777" w:rsidR="0092760B" w:rsidRPr="00027624" w:rsidRDefault="0092760B" w:rsidP="00716CEE">
      <w:pPr>
        <w:pStyle w:val="OutlineNumbered1"/>
      </w:pPr>
      <w:r w:rsidRPr="00027624">
        <w:t>The effect of increasing Commonwealth Rent Assistance on the adequacy, equity and sustainability of the retirement income system</w:t>
      </w:r>
    </w:p>
    <w:tbl>
      <w:tblPr>
        <w:tblStyle w:val="TableGrid"/>
        <w:tblW w:w="5000" w:type="pct"/>
        <w:shd w:val="clear" w:color="auto" w:fill="FFF8EA"/>
        <w:tblLook w:val="04A0" w:firstRow="1" w:lastRow="0" w:firstColumn="1" w:lastColumn="0" w:noHBand="0" w:noVBand="1"/>
      </w:tblPr>
      <w:tblGrid>
        <w:gridCol w:w="9070"/>
      </w:tblGrid>
      <w:tr w:rsidR="0092760B" w:rsidRPr="00027624" w14:paraId="5B55F217" w14:textId="77777777" w:rsidTr="002A2FAE">
        <w:tc>
          <w:tcPr>
            <w:tcW w:w="5000" w:type="pct"/>
            <w:shd w:val="clear" w:color="auto" w:fill="FFF8EA"/>
          </w:tcPr>
          <w:p w14:paraId="5D021709" w14:textId="77777777" w:rsidR="0092760B" w:rsidRPr="00027624" w:rsidRDefault="0092760B" w:rsidP="00325A8D">
            <w:pPr>
              <w:pStyle w:val="BoxHeading"/>
            </w:pPr>
            <w:bookmarkStart w:id="474" w:name="_Ref43712974"/>
            <w:r w:rsidRPr="00027624">
              <w:lastRenderedPageBreak/>
              <w:t>Stakeholder views on Commonwealth Rent Assistance</w:t>
            </w:r>
            <w:bookmarkEnd w:id="474"/>
          </w:p>
          <w:p w14:paraId="343A9288" w14:textId="77777777" w:rsidR="0092760B" w:rsidRPr="00027624" w:rsidRDefault="00C74316" w:rsidP="002A2FAE">
            <w:pPr>
              <w:pStyle w:val="BoxText"/>
            </w:pPr>
            <w:r w:rsidRPr="00027624">
              <w:t>Many</w:t>
            </w:r>
            <w:r w:rsidR="0092760B" w:rsidRPr="00027624">
              <w:t xml:space="preserve"> submissions highlighted the need to change the policy settings of Commonwealth Rent Assistance. </w:t>
            </w:r>
          </w:p>
          <w:p w14:paraId="46143237" w14:textId="77777777" w:rsidR="0092760B" w:rsidRPr="00027624" w:rsidRDefault="0092760B" w:rsidP="002A2FAE">
            <w:pPr>
              <w:pStyle w:val="BoxText"/>
            </w:pPr>
            <w:r w:rsidRPr="00027624">
              <w:t>Stakeholders noted that:</w:t>
            </w:r>
          </w:p>
          <w:p w14:paraId="0FD73469" w14:textId="77777777" w:rsidR="0092760B" w:rsidRPr="00027624" w:rsidRDefault="0092760B" w:rsidP="0092760B">
            <w:pPr>
              <w:pStyle w:val="Bullet"/>
              <w:rPr>
                <w:b/>
                <w:bCs/>
              </w:rPr>
            </w:pPr>
            <w:r w:rsidRPr="00027624">
              <w:rPr>
                <w:b/>
                <w:bCs/>
              </w:rPr>
              <w:t xml:space="preserve">Retirement outcomes for renters were poor on average relative to home owners. </w:t>
            </w:r>
            <w:r w:rsidRPr="00027624">
              <w:rPr>
                <w:bCs/>
              </w:rPr>
              <w:t>Lower</w:t>
            </w:r>
            <w:r w:rsidR="00A8443E" w:rsidRPr="00027624">
              <w:rPr>
                <w:bCs/>
              </w:rPr>
              <w:noBreakHyphen/>
            </w:r>
            <w:r w:rsidRPr="00027624">
              <w:rPr>
                <w:bCs/>
              </w:rPr>
              <w:t>income earners</w:t>
            </w:r>
            <w:r w:rsidRPr="00027624">
              <w:rPr>
                <w:b/>
                <w:bCs/>
              </w:rPr>
              <w:t xml:space="preserve"> </w:t>
            </w:r>
            <w:r w:rsidRPr="00027624">
              <w:t>renting in retirement may struggle to have adequate retirement incomes. Poverty among older Australians is concentrated among private renters.</w:t>
            </w:r>
          </w:p>
          <w:p w14:paraId="4E025E1C" w14:textId="77777777" w:rsidR="0092760B" w:rsidRPr="00027624" w:rsidRDefault="0092760B" w:rsidP="0092760B">
            <w:pPr>
              <w:pStyle w:val="Bullet"/>
              <w:rPr>
                <w:b/>
                <w:bCs/>
              </w:rPr>
            </w:pPr>
            <w:r w:rsidRPr="00027624">
              <w:rPr>
                <w:b/>
                <w:bCs/>
              </w:rPr>
              <w:t xml:space="preserve">The rate of Commonwealth Rent Assistance is low relative to market rents and does not help renters achieve adequate retirement incomes. </w:t>
            </w:r>
            <w:r w:rsidRPr="00027624">
              <w:t>The indexation of Commonwealth Rent Assistance to CPI erodes the adequacy of the payment over time, given that growth in market rents has outpaced growth in the CPI.</w:t>
            </w:r>
          </w:p>
          <w:p w14:paraId="4BE13A54" w14:textId="77777777" w:rsidR="0092760B" w:rsidRPr="00027624" w:rsidRDefault="0092760B" w:rsidP="002A2FAE">
            <w:pPr>
              <w:pStyle w:val="BoxText"/>
            </w:pPr>
            <w:r w:rsidRPr="00027624">
              <w:t>Numerous submissions argued for an increase in Commonwealth Rent Assistance to improve outcomes for renters in retirement and as a targeted measure to reduce old</w:t>
            </w:r>
            <w:r w:rsidR="00A8443E" w:rsidRPr="00027624">
              <w:noBreakHyphen/>
            </w:r>
            <w:r w:rsidRPr="00027624">
              <w:t>age poverty.</w:t>
            </w:r>
          </w:p>
          <w:p w14:paraId="1A878069" w14:textId="77777777" w:rsidR="0092760B" w:rsidRPr="00027624" w:rsidRDefault="0092760B" w:rsidP="002A2FAE">
            <w:pPr>
              <w:pStyle w:val="BoxText"/>
              <w:rPr>
                <w:bCs/>
              </w:rPr>
            </w:pPr>
            <w:r w:rsidRPr="00027624">
              <w:rPr>
                <w:bCs/>
              </w:rPr>
              <w:t>Submissions also argued that the indexation method for Commonwealth Rent Assistance should change, but had different opinions on the appropriate benchmark.</w:t>
            </w:r>
          </w:p>
        </w:tc>
      </w:tr>
    </w:tbl>
    <w:p w14:paraId="0B35542B" w14:textId="77777777" w:rsidR="0092760B" w:rsidRPr="00027624" w:rsidRDefault="0092760B" w:rsidP="002A2FAE">
      <w:pPr>
        <w:pStyle w:val="Heading2"/>
      </w:pPr>
      <w:bookmarkStart w:id="475" w:name="_Toc45520459"/>
      <w:bookmarkStart w:id="476" w:name="_Toc46133570"/>
      <w:r w:rsidRPr="00027624">
        <w:t>The role of Commonwealth Rent Assistance in retirement</w:t>
      </w:r>
      <w:bookmarkEnd w:id="475"/>
      <w:bookmarkEnd w:id="476"/>
    </w:p>
    <w:p w14:paraId="17EABA1C" w14:textId="77777777" w:rsidR="0092760B" w:rsidRPr="00027624" w:rsidRDefault="0092760B" w:rsidP="002A2FAE">
      <w:pPr>
        <w:spacing w:before="0"/>
      </w:pPr>
      <w:r w:rsidRPr="00027624">
        <w:t>Commonwealth Rent Assistance is a tax</w:t>
      </w:r>
      <w:r w:rsidR="00A8443E" w:rsidRPr="00027624">
        <w:noBreakHyphen/>
      </w:r>
      <w:r w:rsidRPr="00027624">
        <w:t>free payment made to private renters who receive social security benefits, including the Age Pension. About 22 per cent of all Commonwealth Rent Assistance recipients receive the Age Pension</w:t>
      </w:r>
      <w:sdt>
        <w:sdtPr>
          <w:id w:val="2051716348"/>
          <w:citation/>
        </w:sdtPr>
        <w:sdtEndPr/>
        <w:sdtContent>
          <w:r w:rsidR="00427AAD">
            <w:fldChar w:fldCharType="begin"/>
          </w:r>
          <w:r w:rsidR="00427AAD">
            <w:instrText xml:space="preserve"> CITATION Ser19 \l 3081 </w:instrText>
          </w:r>
          <w:r w:rsidR="00427AAD">
            <w:fldChar w:fldCharType="separate"/>
          </w:r>
          <w:r w:rsidR="00E83F6E">
            <w:rPr>
              <w:noProof/>
            </w:rPr>
            <w:t xml:space="preserve"> (Department of Social Services, 2020a)</w:t>
          </w:r>
          <w:r w:rsidR="00427AAD">
            <w:fldChar w:fldCharType="end"/>
          </w:r>
        </w:sdtContent>
      </w:sdt>
      <w:r w:rsidRPr="00027624">
        <w:t>. Age Pension recipients who are not private renters, such as those in public housing and residential aged care, do not receive Commonwealth Rent Assistance.</w:t>
      </w:r>
    </w:p>
    <w:p w14:paraId="22F27866" w14:textId="77777777" w:rsidR="0092760B" w:rsidRPr="00027624" w:rsidRDefault="0092760B" w:rsidP="002A2FAE">
      <w:pPr>
        <w:spacing w:before="0"/>
      </w:pPr>
      <w:r w:rsidRPr="00027624">
        <w:rPr>
          <w:b/>
        </w:rPr>
        <w:t>Commonwealth Rent Assistance currently covers less than half of rent expenses</w:t>
      </w:r>
      <w:r w:rsidRPr="00027624">
        <w:t>. It provides 75 per cent of fortnightly rental expenses between $124.60 and $310.73 for single renters, and between $201.80 and $377.27 for couple renters as at 1 May 2020. Commonwealth Rent Assistance is not paid if rent is below the lower threshold. The maximum fortnightly payment is $139.60 for singles and $131.60 combined for couples if their rental expenses are at or above the upper threshold.</w:t>
      </w:r>
      <w:r w:rsidRPr="00027624">
        <w:rPr>
          <w:rStyle w:val="FootnoteReference"/>
        </w:rPr>
        <w:footnoteReference w:id="86"/>
      </w:r>
      <w:r w:rsidRPr="00027624">
        <w:t xml:space="preserve"> Rent thresholds and maximum payments are indexed in March and September each year to reflect changes in the CPI.</w:t>
      </w:r>
    </w:p>
    <w:p w14:paraId="4B01ABAF" w14:textId="77777777" w:rsidR="0092760B" w:rsidRPr="00027624" w:rsidRDefault="0092760B" w:rsidP="002A2FAE">
      <w:pPr>
        <w:spacing w:before="0"/>
      </w:pPr>
      <w:r w:rsidRPr="00027624">
        <w:t xml:space="preserve">As outlined in </w:t>
      </w:r>
      <w:r w:rsidRPr="00027624">
        <w:rPr>
          <w:i/>
        </w:rPr>
        <w:t>2A. Achieving a minimum standard of living in retirement</w:t>
      </w:r>
      <w:r w:rsidRPr="00027624">
        <w:t>, the median housing cost (mainly rent expenses) for retirees is around $350 per fortnight for single renters and around $570 for couple renters. While Commonwealth Rent Assistance covers 45 per cent of retirees</w:t>
      </w:r>
      <w:r w:rsidR="00A8443E" w:rsidRPr="00027624">
        <w:t>’</w:t>
      </w:r>
      <w:r w:rsidRPr="00027624">
        <w:t xml:space="preserve"> rent expenses at most, f</w:t>
      </w:r>
      <w:r w:rsidRPr="00027624">
        <w:rPr>
          <w:szCs w:val="22"/>
        </w:rPr>
        <w:t>or two</w:t>
      </w:r>
      <w:r w:rsidR="00A8443E" w:rsidRPr="00027624">
        <w:rPr>
          <w:szCs w:val="22"/>
        </w:rPr>
        <w:noBreakHyphen/>
      </w:r>
      <w:r w:rsidRPr="00027624">
        <w:rPr>
          <w:szCs w:val="22"/>
        </w:rPr>
        <w:t xml:space="preserve">thirds of recipients it covers less than a third. This is because most renting retirees face rent expenses far above the upper rent threshold that Commonwealth Rent Assistance is paid on. For all renting retirees, </w:t>
      </w:r>
      <w:r w:rsidRPr="00027624">
        <w:t>Commonwealth Rent Assistance covers an average of 13 per cent of their rent expenses.</w:t>
      </w:r>
      <w:r w:rsidRPr="00027624">
        <w:rPr>
          <w:rStyle w:val="FootnoteReference"/>
          <w:szCs w:val="22"/>
        </w:rPr>
        <w:footnoteReference w:id="87"/>
      </w:r>
    </w:p>
    <w:p w14:paraId="1A242F1E" w14:textId="77777777" w:rsidR="0092760B" w:rsidRPr="00027624" w:rsidRDefault="0092760B" w:rsidP="00A8443E">
      <w:r w:rsidRPr="00027624">
        <w:rPr>
          <w:szCs w:val="22"/>
        </w:rPr>
        <w:t xml:space="preserve">Even with Commonwealth Rent Assistance, retired households </w:t>
      </w:r>
      <w:r w:rsidR="00673E47" w:rsidRPr="00027624">
        <w:rPr>
          <w:szCs w:val="22"/>
        </w:rPr>
        <w:t>that</w:t>
      </w:r>
      <w:r w:rsidRPr="00027624">
        <w:rPr>
          <w:szCs w:val="22"/>
        </w:rPr>
        <w:t xml:space="preserve"> rent still face substantially higher housing expenses than home owners. The ratio of Commonwealth Rent Assistance rate to market rent has been declining over the past three decades because Commonwealth Rent Assistance is indexed to the CPI, which has been growing more slowly than rental inflation on average over that time (see </w:t>
      </w:r>
      <w:r w:rsidRPr="00027624">
        <w:rPr>
          <w:i/>
          <w:szCs w:val="22"/>
        </w:rPr>
        <w:t>2A. Achieving a minimum standard of living in retirement</w:t>
      </w:r>
      <w:r w:rsidRPr="00027624">
        <w:rPr>
          <w:szCs w:val="22"/>
        </w:rPr>
        <w:t>).</w:t>
      </w:r>
    </w:p>
    <w:p w14:paraId="793063DE" w14:textId="77777777" w:rsidR="0092760B" w:rsidRPr="00027624" w:rsidRDefault="0092760B" w:rsidP="002A2FAE">
      <w:r w:rsidRPr="00027624">
        <w:t xml:space="preserve">Because retired renters achieve poorer outcomes than most home owners, previous reviews suggested a considerable increase in Commonwealth Rent Assistance to reduce poverty and financial </w:t>
      </w:r>
      <w:r w:rsidRPr="00027624">
        <w:lastRenderedPageBreak/>
        <w:t>stress rates among retirees</w:t>
      </w:r>
      <w:sdt>
        <w:sdtPr>
          <w:id w:val="-1443605683"/>
          <w:citation/>
        </w:sdtPr>
        <w:sdtEndPr/>
        <w:sdtContent>
          <w:r w:rsidR="00976594">
            <w:fldChar w:fldCharType="begin"/>
          </w:r>
          <w:r w:rsidR="00976594">
            <w:instrText xml:space="preserve"> CITATION Hen09 \l 3081 </w:instrText>
          </w:r>
          <w:r w:rsidR="00976594">
            <w:fldChar w:fldCharType="separate"/>
          </w:r>
          <w:r w:rsidR="00E83F6E">
            <w:rPr>
              <w:noProof/>
            </w:rPr>
            <w:t xml:space="preserve"> (Australia’s Future Tax System Review, 2009)</w:t>
          </w:r>
          <w:r w:rsidR="00976594">
            <w:fldChar w:fldCharType="end"/>
          </w:r>
        </w:sdtContent>
      </w:sdt>
      <w:r w:rsidRPr="00027624">
        <w:t>. It was argued that increases in Commonwealth Rent Assistance payments would target those who need additional support because renters in retirement are most likely to be in the bottom three income deciles and are generally full</w:t>
      </w:r>
      <w:r w:rsidR="00A8443E" w:rsidRPr="00027624">
        <w:noBreakHyphen/>
      </w:r>
      <w:r w:rsidRPr="00027624">
        <w:t xml:space="preserve">rate age pensioners with low asset levels. </w:t>
      </w:r>
    </w:p>
    <w:p w14:paraId="507430E9" w14:textId="77777777" w:rsidR="0092760B" w:rsidRPr="00027624" w:rsidRDefault="0092760B" w:rsidP="002A2FAE">
      <w:r w:rsidRPr="00027624">
        <w:t>In the course of this review, some stakeholders suggested increasing Commonwealth Rent Assistance by 20</w:t>
      </w:r>
      <w:r w:rsidR="00A8443E" w:rsidRPr="00027624">
        <w:noBreakHyphen/>
      </w:r>
      <w:r w:rsidRPr="00027624">
        <w:t>100 per cent, while others suggested increasing the maximum rate by 40 per cent.</w:t>
      </w:r>
      <w:r w:rsidRPr="00027624" w:rsidDel="00D411F9">
        <w:t xml:space="preserve"> </w:t>
      </w:r>
      <w:r w:rsidRPr="00027624">
        <w:t>Changing the way Commonwealth Rent Assistance is indexed was also suggested to better reflect developments in the rental market and provide consistent and adequate support for renters.</w:t>
      </w:r>
      <w:bookmarkStart w:id="477" w:name="_Toc34643882"/>
    </w:p>
    <w:p w14:paraId="14853ED4" w14:textId="77777777" w:rsidR="0092760B" w:rsidRPr="00027624" w:rsidRDefault="0092760B" w:rsidP="00976594">
      <w:pPr>
        <w:pStyle w:val="Heading3"/>
      </w:pPr>
      <w:bookmarkStart w:id="478" w:name="_Toc45520460"/>
      <w:r w:rsidRPr="00027624">
        <w:t>Impact of an increase in the rate of Commonwealth Rent Assistance</w:t>
      </w:r>
      <w:bookmarkEnd w:id="478"/>
    </w:p>
    <w:p w14:paraId="56C7F8DF" w14:textId="634EF952" w:rsidR="0092760B" w:rsidRPr="00027624" w:rsidRDefault="0092760B" w:rsidP="002A2FAE">
      <w:r w:rsidRPr="00027624">
        <w:rPr>
          <w:rStyle w:val="normaltextrun1"/>
          <w:rFonts w:cs="Calibri"/>
          <w:szCs w:val="22"/>
        </w:rPr>
        <w:t xml:space="preserve">Following is an analysis of </w:t>
      </w:r>
      <w:r w:rsidRPr="00027624">
        <w:t xml:space="preserve">the effect of a 40 per cent increase in the maximum rate of Commonwealth Rent Assistance on retirement outcomes for renters. This would be an increase in the maximum payment by around $28 per week or $1,450 per year. This increase reflects the difference in the increase in the rent inflation index and the CPI over the past 15 years (see </w:t>
      </w:r>
      <w:r w:rsidR="002F4219">
        <w:fldChar w:fldCharType="begin"/>
      </w:r>
      <w:r w:rsidR="002F4219">
        <w:instrText xml:space="preserve"> REF _Ref40702264 \r \h </w:instrText>
      </w:r>
      <w:r w:rsidR="002F4219">
        <w:fldChar w:fldCharType="separate"/>
      </w:r>
      <w:r w:rsidR="00891058">
        <w:t>Chart 2A-12</w:t>
      </w:r>
      <w:r w:rsidR="002F4219">
        <w:fldChar w:fldCharType="end"/>
      </w:r>
      <w:r w:rsidRPr="00027624">
        <w:t xml:space="preserve"> in </w:t>
      </w:r>
      <w:r w:rsidRPr="00027624">
        <w:rPr>
          <w:i/>
        </w:rPr>
        <w:t xml:space="preserve">2A. </w:t>
      </w:r>
      <w:r w:rsidRPr="00027624">
        <w:rPr>
          <w:i/>
          <w:iCs/>
        </w:rPr>
        <w:t>Achieving</w:t>
      </w:r>
      <w:r w:rsidRPr="00027624">
        <w:rPr>
          <w:i/>
        </w:rPr>
        <w:t xml:space="preserve"> a minimum standard of living in retirement</w:t>
      </w:r>
      <w:r w:rsidRPr="00027624">
        <w:t>). This scenario involves an increase in the maximum payment threshold to around $385 for single renters and to around $447 for couple renters per fortnight (</w:t>
      </w:r>
      <w:r w:rsidRPr="00027624">
        <w:fldChar w:fldCharType="begin"/>
      </w:r>
      <w:r w:rsidRPr="00027624">
        <w:instrText xml:space="preserve"> REF _Ref38608824 \r \h  \* MERGEFORMAT </w:instrText>
      </w:r>
      <w:r w:rsidRPr="00027624">
        <w:fldChar w:fldCharType="separate"/>
      </w:r>
      <w:r w:rsidR="00891058">
        <w:t>Chart 2B-1</w:t>
      </w:r>
      <w:r w:rsidRPr="00027624">
        <w:fldChar w:fldCharType="end"/>
      </w:r>
      <w:r w:rsidRPr="00027624">
        <w:t>).</w:t>
      </w:r>
    </w:p>
    <w:p w14:paraId="50A36325" w14:textId="77777777" w:rsidR="0092760B" w:rsidRPr="00027624" w:rsidRDefault="0092760B" w:rsidP="00FC7361">
      <w:pPr>
        <w:pStyle w:val="ChartMainHeading"/>
        <w:numPr>
          <w:ilvl w:val="2"/>
          <w:numId w:val="27"/>
        </w:numPr>
      </w:pPr>
      <w:bookmarkStart w:id="479" w:name="_Ref37076555"/>
      <w:r w:rsidRPr="00027624">
        <w:t>Commonwealth Rent Assistance payment by fortnightly rent</w:t>
      </w:r>
      <w:bookmarkStart w:id="480" w:name="_Ref38608824"/>
      <w:bookmarkEnd w:id="479"/>
      <w:bookmarkEnd w:id="480"/>
    </w:p>
    <w:p w14:paraId="271F5E01" w14:textId="77777777" w:rsidR="0092760B" w:rsidRPr="00027624" w:rsidRDefault="004922AE" w:rsidP="002A2FAE">
      <w:pPr>
        <w:pStyle w:val="ChartGraphic"/>
      </w:pPr>
      <w:r>
        <w:rPr>
          <w:noProof/>
        </w:rPr>
        <w:drawing>
          <wp:inline distT="0" distB="0" distL="0" distR="0" wp14:anchorId="1F30C38E" wp14:editId="2CCAEF5C">
            <wp:extent cx="5577840" cy="2529840"/>
            <wp:effectExtent l="0" t="0" r="3810" b="3810"/>
            <wp:docPr id="2050622958" name="Picture 2050622958" descr="This chart shows how Commonwealth Rent Assistance (CRA) payments increase as fortnightly rent increases past a certain threshold, peaking at around $140 per fortnight for rent in excess of $310 per fortnight for a single, and $130 per member of a couple for fortnightly rents in excess of $380. The chart also shows the scenario of higher CRA payments which would pay CRA of $195 for rents in excess of $385 per fortnight for a single and $182 per member of a couple for fortnightly rent above $447." title="Chart 2B-1 Commonwealth Rent Assistance payment by fortnightly 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796624DA" w14:textId="77777777" w:rsidR="0092760B" w:rsidRPr="00027624" w:rsidRDefault="0092760B" w:rsidP="002A2FAE">
      <w:pPr>
        <w:pStyle w:val="ChartorTableNote"/>
      </w:pPr>
      <w:r w:rsidRPr="00027624">
        <w:t>Note: Values are in 2020 dollars. Calculated based on a typical maximum</w:t>
      </w:r>
      <w:r w:rsidR="00A8443E" w:rsidRPr="00027624">
        <w:noBreakHyphen/>
      </w:r>
      <w:r w:rsidRPr="00027624">
        <w:t>rate age pensioner household: single non</w:t>
      </w:r>
      <w:r w:rsidR="00A8443E" w:rsidRPr="00027624">
        <w:noBreakHyphen/>
      </w:r>
      <w:r w:rsidRPr="00027624">
        <w:t xml:space="preserve">sharer and couple living together, without dependants. Solid lines represent the current policy, dashed lines represent the 40 per cent higher Commonwealth Rent Assistance scenario. Source: Calculations based on pension and Commonwealth Rent Assistance rates and thresholds as at 1 May 2020. </w:t>
      </w:r>
    </w:p>
    <w:p w14:paraId="5EA0ACE4" w14:textId="77777777" w:rsidR="0092760B" w:rsidRPr="00027624" w:rsidRDefault="0092760B" w:rsidP="002A2FAE">
      <w:r w:rsidRPr="00027624">
        <w:t xml:space="preserve">Given that Commonwealth Rent Assistance is a supplement to many social security payments, higher Commonwealth Rent Assistance payments would benefit many more </w:t>
      </w:r>
      <w:r w:rsidR="00673E47" w:rsidRPr="00027624">
        <w:t xml:space="preserve">people </w:t>
      </w:r>
      <w:r w:rsidRPr="00027624">
        <w:t>than just Age Pension recipients. Targeting Commonwealth Rent Assistance increases only at Age Pension recipients would also be administratively difficult. This analysis focuses only on the impact on retirees through the effect on the adequacy, equity and sustainability of the retirement income system.</w:t>
      </w:r>
    </w:p>
    <w:p w14:paraId="55157DAB" w14:textId="77777777" w:rsidR="0092760B" w:rsidRPr="00027624" w:rsidRDefault="0092760B" w:rsidP="002A2FAE">
      <w:pPr>
        <w:pStyle w:val="Heading2"/>
      </w:pPr>
      <w:bookmarkStart w:id="481" w:name="_Toc45520461"/>
      <w:bookmarkStart w:id="482" w:name="_Toc46133571"/>
      <w:r w:rsidRPr="00027624">
        <w:lastRenderedPageBreak/>
        <w:t>Effects of higher Commonwealth Rent Assistance on the retirement income system</w:t>
      </w:r>
      <w:bookmarkEnd w:id="481"/>
      <w:bookmarkEnd w:id="482"/>
    </w:p>
    <w:p w14:paraId="3482F6F8" w14:textId="77777777" w:rsidR="0092760B" w:rsidRPr="00976594" w:rsidRDefault="00976594" w:rsidP="00976594">
      <w:pPr>
        <w:pStyle w:val="Heading3"/>
      </w:pPr>
      <w:r w:rsidRPr="00976594">
        <w:t>E</w:t>
      </w:r>
      <w:r w:rsidR="0092760B" w:rsidRPr="00976594">
        <w:t>ffect on adequacy</w:t>
      </w:r>
    </w:p>
    <w:p w14:paraId="1F494683" w14:textId="77777777" w:rsidR="0092760B" w:rsidRPr="00027624" w:rsidRDefault="0092760B" w:rsidP="002A2FAE">
      <w:pPr>
        <w:pStyle w:val="Heading4"/>
      </w:pPr>
      <w:r w:rsidRPr="00027624">
        <w:t>Housing expenditure</w:t>
      </w:r>
    </w:p>
    <w:p w14:paraId="5922CED4" w14:textId="77777777" w:rsidR="0092760B" w:rsidRPr="00027624" w:rsidRDefault="0092760B" w:rsidP="002A2FAE">
      <w:r w:rsidRPr="00027624">
        <w:t>A 40 per cent increase in the maximum Commonwealth Rent Assistance rate would help reduce the housing costs for lower</w:t>
      </w:r>
      <w:r w:rsidR="00A8443E" w:rsidRPr="00027624">
        <w:noBreakHyphen/>
      </w:r>
      <w:r w:rsidRPr="00027624">
        <w:t>income earners (</w:t>
      </w:r>
      <w:r w:rsidR="00C85BD1">
        <w:t>Chart 2B-2</w:t>
      </w:r>
      <w:r w:rsidRPr="00027624">
        <w:t>). On average, renters have lower incomes. Almost two</w:t>
      </w:r>
      <w:r w:rsidR="00A8443E" w:rsidRPr="00027624">
        <w:noBreakHyphen/>
      </w:r>
      <w:r w:rsidRPr="00027624">
        <w:t>thirds are in the bottom five income deciles in retirement. For a renter with median income, on average, the increase in Commonwealth Rent Assistance would cover 17 per cent of housing expenditure, compared with 11 per cent under current policy settings. It would only close the housing expenditure gap between renters and home owners by around 8 per cent.</w:t>
      </w:r>
      <w:r w:rsidRPr="00027624">
        <w:rPr>
          <w:rStyle w:val="FootnoteReference"/>
        </w:rPr>
        <w:t xml:space="preserve"> </w:t>
      </w:r>
      <w:r w:rsidRPr="00027624">
        <w:rPr>
          <w:rStyle w:val="FootnoteReference"/>
        </w:rPr>
        <w:footnoteReference w:id="88"/>
      </w:r>
      <w:r w:rsidRPr="00027624">
        <w:t xml:space="preserve"> </w:t>
      </w:r>
    </w:p>
    <w:p w14:paraId="2765808C" w14:textId="77777777" w:rsidR="0092760B" w:rsidRPr="00027624" w:rsidRDefault="0092760B" w:rsidP="00FC7361">
      <w:pPr>
        <w:pStyle w:val="ChartMainHeading"/>
        <w:numPr>
          <w:ilvl w:val="2"/>
          <w:numId w:val="27"/>
        </w:numPr>
      </w:pPr>
      <w:r w:rsidRPr="00027624">
        <w:t>Weekly housing expenditure for retired households by income decile</w:t>
      </w:r>
    </w:p>
    <w:p w14:paraId="7C01330D" w14:textId="77777777" w:rsidR="0092760B" w:rsidRPr="00027624" w:rsidRDefault="004922AE" w:rsidP="002A2FAE">
      <w:pPr>
        <w:pStyle w:val="ChartGraphic"/>
      </w:pPr>
      <w:r>
        <w:rPr>
          <w:noProof/>
        </w:rPr>
        <w:drawing>
          <wp:inline distT="0" distB="0" distL="0" distR="0" wp14:anchorId="004D6EEC" wp14:editId="35A506B0">
            <wp:extent cx="5760720" cy="2522220"/>
            <wp:effectExtent l="0" t="0" r="0" b="0"/>
            <wp:docPr id="2050622959" name="Picture 2050622959" descr="This chart shows that the scenario for higher Commonwealth Rent Assistance would marginally reduce housing costs for renters at all income deciles relative to the current policy. Housing costs would remain significantly above those for home owners. " title="Chart 2B-2 Weekly housing expenditure for retired households by income dec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0720" cy="2522220"/>
                    </a:xfrm>
                    <a:prstGeom prst="rect">
                      <a:avLst/>
                    </a:prstGeom>
                    <a:noFill/>
                  </pic:spPr>
                </pic:pic>
              </a:graphicData>
            </a:graphic>
          </wp:inline>
        </w:drawing>
      </w:r>
    </w:p>
    <w:p w14:paraId="551082C4" w14:textId="77777777" w:rsidR="0092760B" w:rsidRPr="00027624" w:rsidRDefault="0092760B" w:rsidP="002A2FAE">
      <w:pPr>
        <w:pStyle w:val="ChartorTableNote"/>
      </w:pPr>
      <w:r w:rsidRPr="00027624">
        <w:t xml:space="preserve">Note: CRA stands for </w:t>
      </w:r>
      <w:r w:rsidRPr="00027624" w:rsidDel="00BB79A3">
        <w:t>Commonwealth Rent Assistance</w:t>
      </w:r>
      <w:r w:rsidRPr="00027624">
        <w:t>. Income deciles calculated using pre</w:t>
      </w:r>
      <w:r w:rsidR="00A8443E" w:rsidRPr="00027624">
        <w:noBreakHyphen/>
      </w:r>
      <w:r w:rsidRPr="00027624" w:rsidDel="00BB79A3">
        <w:t>Commonwealth Rent Assistance</w:t>
      </w:r>
      <w:r w:rsidRPr="00027624">
        <w:t xml:space="preserve"> income and equivalised for household size. Population weighted. Values are in 2017</w:t>
      </w:r>
      <w:r w:rsidR="00A8443E" w:rsidRPr="00027624">
        <w:noBreakHyphen/>
      </w:r>
      <w:r w:rsidRPr="00027624">
        <w:t>18 dollars. Source: Analysis of ABS Survey of Income and Housing Confidentialised Unit Record File, 2017</w:t>
      </w:r>
      <w:r w:rsidR="00A8443E" w:rsidRPr="00027624">
        <w:noBreakHyphen/>
      </w:r>
      <w:r w:rsidRPr="00027624">
        <w:t>18.</w:t>
      </w:r>
    </w:p>
    <w:p w14:paraId="75757B95" w14:textId="3F2C292F" w:rsidR="0092760B" w:rsidRPr="00027624" w:rsidRDefault="0092760B" w:rsidP="002A2FAE">
      <w:r w:rsidRPr="00027624">
        <w:t>Housing expenditure takes up a large share of retired renters</w:t>
      </w:r>
      <w:r w:rsidR="00A8443E" w:rsidRPr="00027624">
        <w:t>’</w:t>
      </w:r>
      <w:r w:rsidRPr="00027624">
        <w:t xml:space="preserve"> disposable income.</w:t>
      </w:r>
      <w:r w:rsidRPr="00027624">
        <w:rPr>
          <w:rStyle w:val="FootnoteReference"/>
        </w:rPr>
        <w:footnoteReference w:id="89"/>
      </w:r>
      <w:r w:rsidRPr="00027624">
        <w:t xml:space="preserve"> Increasing the value of Commonwealth Rent Assistance payments would increase their income, after housing expenditure, but not by a significant amount (</w:t>
      </w:r>
      <w:r w:rsidRPr="00027624">
        <w:fldChar w:fldCharType="begin"/>
      </w:r>
      <w:r w:rsidRPr="00027624">
        <w:instrText xml:space="preserve"> REF _Ref38994111 \r \h  \* MERGEFORMAT </w:instrText>
      </w:r>
      <w:r w:rsidRPr="00027624">
        <w:fldChar w:fldCharType="separate"/>
      </w:r>
      <w:r w:rsidR="00891058">
        <w:t>Chart 2B-3</w:t>
      </w:r>
      <w:r w:rsidRPr="00027624">
        <w:fldChar w:fldCharType="end"/>
      </w:r>
      <w:r w:rsidRPr="00027624">
        <w:t xml:space="preserve">). For a renter with median income, average weekly income after housing expenditure would increase by approximately 3 per cent, from $556 to $572. At the margin, this would reduce financial stress and income poverty for retired renters, especially those with lower incomes. </w:t>
      </w:r>
    </w:p>
    <w:p w14:paraId="3712EFED" w14:textId="77777777" w:rsidR="0092760B" w:rsidRPr="00027624" w:rsidRDefault="0092760B" w:rsidP="00FC7361">
      <w:pPr>
        <w:pStyle w:val="ChartMainHeading"/>
        <w:numPr>
          <w:ilvl w:val="2"/>
          <w:numId w:val="27"/>
        </w:numPr>
      </w:pPr>
      <w:bookmarkStart w:id="483" w:name="_Ref38994111"/>
      <w:r w:rsidRPr="00027624">
        <w:lastRenderedPageBreak/>
        <w:t xml:space="preserve">Weekly disposable income after housing expenditure, retired households </w:t>
      </w:r>
      <w:r w:rsidR="005D67A6">
        <w:br/>
      </w:r>
      <w:r w:rsidRPr="00027624">
        <w:t>by income decile</w:t>
      </w:r>
      <w:bookmarkEnd w:id="483"/>
    </w:p>
    <w:p w14:paraId="6C8B270B" w14:textId="77777777" w:rsidR="0092760B" w:rsidRPr="00027624" w:rsidRDefault="004922AE" w:rsidP="008154EB">
      <w:pPr>
        <w:pStyle w:val="ChartGraphic"/>
      </w:pPr>
      <w:r>
        <w:rPr>
          <w:noProof/>
        </w:rPr>
        <w:drawing>
          <wp:inline distT="0" distB="0" distL="0" distR="0" wp14:anchorId="16FE5533" wp14:editId="36173D6D">
            <wp:extent cx="5577840" cy="2659380"/>
            <wp:effectExtent l="0" t="0" r="3810" b="7620"/>
            <wp:docPr id="2050622960" name="Picture 2050622960" descr="This chart shows that the Commonwealth Rent Assistance scenario would not significantly improve renters after housing cost disposable income at all income levels. Home owners would continue to have higher levels of after housing cost disposable income." title="Chart 2B-3 Weekly disposable income after housing expenditure, retired households by income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77840" cy="2659380"/>
                    </a:xfrm>
                    <a:prstGeom prst="rect">
                      <a:avLst/>
                    </a:prstGeom>
                    <a:noFill/>
                  </pic:spPr>
                </pic:pic>
              </a:graphicData>
            </a:graphic>
          </wp:inline>
        </w:drawing>
      </w:r>
    </w:p>
    <w:p w14:paraId="3165C9EE" w14:textId="77777777" w:rsidR="0092760B" w:rsidRPr="00027624" w:rsidRDefault="0092760B" w:rsidP="008154EB">
      <w:pPr>
        <w:pStyle w:val="ChartorTableNote"/>
      </w:pPr>
      <w:r w:rsidRPr="00027624">
        <w:t>Note: Values are in 2017</w:t>
      </w:r>
      <w:r w:rsidR="00A8443E" w:rsidRPr="00027624">
        <w:noBreakHyphen/>
      </w:r>
      <w:r w:rsidRPr="00027624">
        <w:t>18 dollars. Source: Analysis of ABS Survey of Income and Housing Confidentialised Unit Record File, 2017</w:t>
      </w:r>
      <w:r w:rsidR="00A8443E" w:rsidRPr="00027624">
        <w:noBreakHyphen/>
      </w:r>
      <w:r w:rsidRPr="00027624">
        <w:t>18.</w:t>
      </w:r>
    </w:p>
    <w:p w14:paraId="29008FE5" w14:textId="77777777" w:rsidR="0092760B" w:rsidRPr="00027624" w:rsidRDefault="0092760B">
      <w:pPr>
        <w:pStyle w:val="Heading4"/>
      </w:pPr>
      <w:r w:rsidRPr="00027624">
        <w:t>Financial stress</w:t>
      </w:r>
    </w:p>
    <w:p w14:paraId="159D1544" w14:textId="2DDFE274" w:rsidR="0092760B" w:rsidRPr="00027624" w:rsidRDefault="0092760B" w:rsidP="002A2FAE">
      <w:r w:rsidRPr="00027624">
        <w:t>As discussed in</w:t>
      </w:r>
      <w:r w:rsidRPr="00027624">
        <w:rPr>
          <w:i/>
          <w:szCs w:val="22"/>
        </w:rPr>
        <w:t xml:space="preserve"> 2A. Achieving a minimum standard of living in </w:t>
      </w:r>
      <w:r w:rsidRPr="00027624" w:rsidDel="007C62D3">
        <w:rPr>
          <w:i/>
          <w:szCs w:val="22"/>
        </w:rPr>
        <w:t>retirement</w:t>
      </w:r>
      <w:r w:rsidRPr="00027624">
        <w:t>, retired renters have much higher rates of financial stress</w:t>
      </w:r>
      <w:r w:rsidRPr="00027624">
        <w:rPr>
          <w:rStyle w:val="FootnoteReference"/>
        </w:rPr>
        <w:footnoteReference w:id="90"/>
      </w:r>
      <w:r w:rsidRPr="00027624">
        <w:t xml:space="preserve"> than home owners. </w:t>
      </w:r>
      <w:r w:rsidRPr="00027624">
        <w:rPr>
          <w:b/>
          <w:bCs/>
        </w:rPr>
        <w:t xml:space="preserve">Increasing the maximum </w:t>
      </w:r>
      <w:r w:rsidRPr="00027624">
        <w:rPr>
          <w:b/>
        </w:rPr>
        <w:t>Commonwealth Rent Assistance</w:t>
      </w:r>
      <w:r w:rsidRPr="00027624">
        <w:t xml:space="preserve"> </w:t>
      </w:r>
      <w:r w:rsidRPr="00027624">
        <w:rPr>
          <w:b/>
          <w:bCs/>
        </w:rPr>
        <w:t>rate by 40 per cent is estimated to reduce retired renters</w:t>
      </w:r>
      <w:r w:rsidR="00A8443E" w:rsidRPr="00027624">
        <w:rPr>
          <w:b/>
          <w:bCs/>
        </w:rPr>
        <w:t>’</w:t>
      </w:r>
      <w:r w:rsidRPr="00027624">
        <w:rPr>
          <w:b/>
          <w:bCs/>
        </w:rPr>
        <w:t xml:space="preserve"> rate of financial stress by around 1.1 percentage points</w:t>
      </w:r>
      <w:r w:rsidRPr="00027624">
        <w:rPr>
          <w:rStyle w:val="FootnoteReference"/>
          <w:b/>
          <w:bCs/>
        </w:rPr>
        <w:footnoteReference w:id="91"/>
      </w:r>
      <w:r w:rsidRPr="00027624">
        <w:t xml:space="preserve"> (</w:t>
      </w:r>
      <w:r w:rsidRPr="00027624">
        <w:fldChar w:fldCharType="begin"/>
      </w:r>
      <w:r w:rsidRPr="00027624">
        <w:instrText xml:space="preserve"> REF _Ref38137944 \r \h  \* MERGEFORMAT </w:instrText>
      </w:r>
      <w:r w:rsidRPr="00027624">
        <w:fldChar w:fldCharType="separate"/>
      </w:r>
      <w:r w:rsidR="00891058">
        <w:t>Chart 2B-4</w:t>
      </w:r>
      <w:r w:rsidRPr="00027624">
        <w:fldChar w:fldCharType="end"/>
      </w:r>
      <w:r w:rsidRPr="00027624">
        <w:t xml:space="preserve">). This would narrow the gap in financial stress rates between renters and home owners </w:t>
      </w:r>
      <w:r w:rsidRPr="00027624">
        <w:rPr>
          <w:rStyle w:val="normaltextrun1"/>
          <w:rFonts w:cs="Calibri"/>
          <w:szCs w:val="22"/>
        </w:rPr>
        <w:t>by around 10 per cent</w:t>
      </w:r>
      <w:r w:rsidRPr="00027624">
        <w:t xml:space="preserve">. </w:t>
      </w:r>
    </w:p>
    <w:p w14:paraId="464599B6" w14:textId="77777777" w:rsidR="0092760B" w:rsidRPr="00027624" w:rsidRDefault="0092760B" w:rsidP="002A2FAE">
      <w:r w:rsidRPr="00027624">
        <w:t>Because financial stress is self</w:t>
      </w:r>
      <w:r w:rsidR="00A8443E" w:rsidRPr="00027624">
        <w:noBreakHyphen/>
      </w:r>
      <w:r w:rsidRPr="00027624">
        <w:t xml:space="preserve">assessed, the effect of reduced housing expenditure on stress can only be inferred from historical data. A statistical model was used to estimate the relationship between financial stress and income for retired renters, as well other key financial and demographic variables (see </w:t>
      </w:r>
      <w:r w:rsidRPr="00027624" w:rsidDel="00D07F15">
        <w:rPr>
          <w:i/>
        </w:rPr>
        <w:t xml:space="preserve">Appendix </w:t>
      </w:r>
      <w:r w:rsidRPr="00027624">
        <w:rPr>
          <w:i/>
        </w:rPr>
        <w:t>6A.</w:t>
      </w:r>
      <w:r w:rsidRPr="00027624" w:rsidDel="00D07F15">
        <w:rPr>
          <w:i/>
        </w:rPr>
        <w:t xml:space="preserve"> Detailed modelling</w:t>
      </w:r>
      <w:r w:rsidRPr="00027624">
        <w:rPr>
          <w:i/>
        </w:rPr>
        <w:t xml:space="preserve"> methods and assumptions</w:t>
      </w:r>
      <w:r w:rsidRPr="00027624">
        <w:t>).</w:t>
      </w:r>
      <w:r w:rsidRPr="00027624">
        <w:rPr>
          <w:rStyle w:val="FootnoteReference"/>
        </w:rPr>
        <w:footnoteReference w:id="92"/>
      </w:r>
      <w:r w:rsidRPr="00027624">
        <w:t xml:space="preserve"> The estimates should be considered suggestive as they do not control for the effects of unobserved differences across households on financial stress.</w:t>
      </w:r>
    </w:p>
    <w:p w14:paraId="7726A3F2" w14:textId="77777777" w:rsidR="0092760B" w:rsidRPr="00027624" w:rsidRDefault="0092760B" w:rsidP="00FC7361">
      <w:pPr>
        <w:pStyle w:val="ChartMainHeading"/>
        <w:numPr>
          <w:ilvl w:val="2"/>
          <w:numId w:val="27"/>
        </w:numPr>
      </w:pPr>
      <w:bookmarkStart w:id="484" w:name="_Ref45276033"/>
      <w:r w:rsidRPr="00027624">
        <w:lastRenderedPageBreak/>
        <w:t>Financial stress rates of home owner and renter households in retirement</w:t>
      </w:r>
      <w:bookmarkStart w:id="485" w:name="_Ref38137944"/>
      <w:bookmarkEnd w:id="484"/>
      <w:bookmarkEnd w:id="485"/>
    </w:p>
    <w:p w14:paraId="206C6A09" w14:textId="77777777" w:rsidR="0092760B" w:rsidRPr="00027624" w:rsidRDefault="004922AE" w:rsidP="008154EB">
      <w:pPr>
        <w:pStyle w:val="ChartGraphic"/>
      </w:pPr>
      <w:r>
        <w:rPr>
          <w:noProof/>
        </w:rPr>
        <w:drawing>
          <wp:inline distT="0" distB="0" distL="0" distR="0" wp14:anchorId="349C4568" wp14:editId="6A1F7335">
            <wp:extent cx="5585460" cy="2522220"/>
            <wp:effectExtent l="0" t="0" r="0" b="0"/>
            <wp:docPr id="2050622961" name="Picture 2050622961" descr="This chart shows that the Commonwealth Rent Assistance scenario would modestly reduce rates of financial stress among single and couple renter households. Financial stress for single renters is projected to decrease from 16 per cent to 15 per cent. For couple renters, financial stress is projected to decline from 32 per cent to 31 per cent. Financial stress rates for renters would remain significantly above those for home owners. " title="Chart 2B-4 Financial stress rates of home owner and renter households in retir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7A2C9D21" w14:textId="77777777" w:rsidR="0092760B" w:rsidRPr="00027624" w:rsidRDefault="0092760B" w:rsidP="008154EB">
      <w:pPr>
        <w:pStyle w:val="ChartorTableNote"/>
      </w:pPr>
      <w:r w:rsidRPr="00027624">
        <w:t>Note: This analysis uses a multinomial probit model to explain household financial stress. Marginal effects are estimated using the income of renters in 2015</w:t>
      </w:r>
      <w:r w:rsidR="00A8443E" w:rsidRPr="00027624">
        <w:noBreakHyphen/>
      </w:r>
      <w:r w:rsidRPr="00027624">
        <w:t>16 by family type, and then applied to data in 2019</w:t>
      </w:r>
      <w:r w:rsidR="00A8443E" w:rsidRPr="00027624">
        <w:noBreakHyphen/>
      </w:r>
      <w:r w:rsidRPr="00027624">
        <w:t xml:space="preserve">20 to calculate the effect of the </w:t>
      </w:r>
      <w:r w:rsidRPr="00027624" w:rsidDel="00BB79A3">
        <w:t>Commonwealth Rent Assistance</w:t>
      </w:r>
      <w:r w:rsidRPr="00027624">
        <w:t xml:space="preserve"> payment increase. Control variables include wealth, disability status, household and tenure type. Home owners are unaffected. Source: Analysis of ABS Household Expenditure Survey Confidentialised Unit Record File, 2015</w:t>
      </w:r>
      <w:r w:rsidR="00A8443E" w:rsidRPr="00027624">
        <w:noBreakHyphen/>
      </w:r>
      <w:r w:rsidRPr="00027624">
        <w:t>16.</w:t>
      </w:r>
    </w:p>
    <w:p w14:paraId="1C94EE3B" w14:textId="5A1D2332" w:rsidR="0092760B" w:rsidRPr="00027624" w:rsidRDefault="0092760B" w:rsidP="002A2FAE">
      <w:r w:rsidRPr="00027624">
        <w:t xml:space="preserve">Estimates suggest </w:t>
      </w:r>
      <w:r w:rsidRPr="00027624">
        <w:rPr>
          <w:b/>
          <w:bCs/>
        </w:rPr>
        <w:t xml:space="preserve">higher </w:t>
      </w:r>
      <w:r w:rsidRPr="00027624">
        <w:rPr>
          <w:b/>
        </w:rPr>
        <w:t>Commonwealth Rent Assistance</w:t>
      </w:r>
      <w:r w:rsidRPr="00027624">
        <w:rPr>
          <w:b/>
          <w:bCs/>
        </w:rPr>
        <w:t xml:space="preserve"> payments would marginally reduce stress for retirees in the first wealth quintile</w:t>
      </w:r>
      <w:r w:rsidRPr="00027624">
        <w:t xml:space="preserve"> (</w:t>
      </w:r>
      <w:r w:rsidRPr="00027624">
        <w:fldChar w:fldCharType="begin"/>
      </w:r>
      <w:r w:rsidRPr="00027624">
        <w:instrText xml:space="preserve"> REF _Ref38609379 \r \h  \* MERGEFORMAT </w:instrText>
      </w:r>
      <w:r w:rsidRPr="00027624">
        <w:fldChar w:fldCharType="separate"/>
      </w:r>
      <w:r w:rsidR="00891058">
        <w:t>Chart 2B-5</w:t>
      </w:r>
      <w:r w:rsidRPr="00027624">
        <w:fldChar w:fldCharType="end"/>
      </w:r>
      <w:r w:rsidRPr="00027624">
        <w:t>), where renters experiencing financial stress are concentrated. Their rate of financial stress is estimated to fall by 1 percentage point.</w:t>
      </w:r>
      <w:r w:rsidRPr="00027624">
        <w:rPr>
          <w:rStyle w:val="FootnoteReference"/>
        </w:rPr>
        <w:footnoteReference w:id="93"/>
      </w:r>
    </w:p>
    <w:p w14:paraId="18840F00" w14:textId="77777777" w:rsidR="0092760B" w:rsidRPr="00027624" w:rsidRDefault="0092760B" w:rsidP="00FC7361">
      <w:pPr>
        <w:pStyle w:val="ChartMainHeading"/>
        <w:numPr>
          <w:ilvl w:val="2"/>
          <w:numId w:val="27"/>
        </w:numPr>
      </w:pPr>
      <w:r w:rsidRPr="00027624">
        <w:t>Financial stress rates of retired households by wealth quintile</w:t>
      </w:r>
      <w:bookmarkStart w:id="486" w:name="_Ref38609379"/>
      <w:bookmarkEnd w:id="486"/>
    </w:p>
    <w:p w14:paraId="1D402401" w14:textId="77777777" w:rsidR="0092760B" w:rsidRPr="00027624" w:rsidRDefault="004922AE" w:rsidP="008154EB">
      <w:pPr>
        <w:pStyle w:val="ChartGraphic"/>
      </w:pPr>
      <w:r>
        <w:rPr>
          <w:noProof/>
        </w:rPr>
        <w:drawing>
          <wp:inline distT="0" distB="0" distL="0" distR="0" wp14:anchorId="53939C95" wp14:editId="60EAE249">
            <wp:extent cx="5577840" cy="2522220"/>
            <wp:effectExtent l="0" t="0" r="3810" b="0"/>
            <wp:docPr id="2050622962" name="Picture 2050622962" descr="This chart shows that households in the lowest wealth quintile would experience a modest reduction in financial stress under a higher Commonwealth Rent Assistance scenario, from 47 per cent to 46 per cent. There is negligible impact on financial stress rates among all other wealth quintiles." title="Chart 2B-5 Financial stress rates of retired households by wealth quint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40B20C43" w14:textId="5ADEAC78" w:rsidR="0092760B" w:rsidRPr="00027624" w:rsidRDefault="0092760B" w:rsidP="008154EB">
      <w:pPr>
        <w:pStyle w:val="ChartorTableNote"/>
      </w:pPr>
      <w:r w:rsidRPr="00027624">
        <w:t xml:space="preserve">Note: Same as </w:t>
      </w:r>
      <w:r w:rsidRPr="00027624">
        <w:fldChar w:fldCharType="begin"/>
      </w:r>
      <w:r w:rsidRPr="00027624">
        <w:instrText xml:space="preserve"> REF _Ref45276033 \r \h  \* MERGEFORMAT </w:instrText>
      </w:r>
      <w:r w:rsidRPr="00027624">
        <w:fldChar w:fldCharType="separate"/>
      </w:r>
      <w:r w:rsidR="00891058">
        <w:t>Chart 2B-4</w:t>
      </w:r>
      <w:r w:rsidRPr="00027624">
        <w:fldChar w:fldCharType="end"/>
      </w:r>
      <w:r w:rsidRPr="00027624">
        <w:t>. Wealth is equivalised for household size. Source: Analysis of ABS Household Expenditure Survey Confidentialised Unit Record File, 2015</w:t>
      </w:r>
      <w:r w:rsidR="00A8443E" w:rsidRPr="00027624">
        <w:noBreakHyphen/>
      </w:r>
      <w:r w:rsidRPr="00027624">
        <w:t>16.</w:t>
      </w:r>
    </w:p>
    <w:p w14:paraId="098D2E46" w14:textId="77777777" w:rsidR="0092760B" w:rsidRPr="00027624" w:rsidRDefault="0092760B" w:rsidP="002A2FAE">
      <w:pPr>
        <w:pStyle w:val="Heading4"/>
      </w:pPr>
      <w:r w:rsidRPr="00027624">
        <w:lastRenderedPageBreak/>
        <w:t>Income poverty</w:t>
      </w:r>
    </w:p>
    <w:p w14:paraId="0834F54C" w14:textId="77777777" w:rsidR="0092760B" w:rsidRPr="00027624" w:rsidRDefault="0092760B" w:rsidP="002A2FAE">
      <w:r w:rsidRPr="00027624">
        <w:rPr>
          <w:b/>
          <w:bCs/>
        </w:rPr>
        <w:t>Renting retirees experience high rates of income poverty</w:t>
      </w:r>
      <w:r w:rsidRPr="00027624">
        <w:rPr>
          <w:bCs/>
        </w:rPr>
        <w:t>.</w:t>
      </w:r>
      <w:r w:rsidRPr="00027624">
        <w:rPr>
          <w:rStyle w:val="FootnoteReference"/>
        </w:rPr>
        <w:footnoteReference w:id="94"/>
      </w:r>
      <w:r w:rsidRPr="00027624">
        <w:t xml:space="preserve"> This is consistent with renting retirees generally being in the bottom half of the income and wealth distributions (see </w:t>
      </w:r>
      <w:r w:rsidRPr="00027624">
        <w:rPr>
          <w:i/>
        </w:rPr>
        <w:t>2A. Achieving a minimum standard of living in retirement).</w:t>
      </w:r>
    </w:p>
    <w:p w14:paraId="72B30B1F" w14:textId="19FC69CB" w:rsidR="0092760B" w:rsidRPr="00027624" w:rsidRDefault="0092760B" w:rsidP="002A2FAE">
      <w:r w:rsidRPr="00027624">
        <w:rPr>
          <w:b/>
          <w:bCs/>
        </w:rPr>
        <w:t xml:space="preserve">Increases to </w:t>
      </w:r>
      <w:r w:rsidRPr="00027624">
        <w:rPr>
          <w:b/>
        </w:rPr>
        <w:t>Commonwealth Rent Assistance</w:t>
      </w:r>
      <w:r w:rsidRPr="00027624">
        <w:t xml:space="preserve"> </w:t>
      </w:r>
      <w:r w:rsidRPr="00027624">
        <w:rPr>
          <w:b/>
          <w:bCs/>
        </w:rPr>
        <w:t>would reduce these rates only moderately</w:t>
      </w:r>
      <w:r w:rsidRPr="00027624">
        <w:t xml:space="preserve"> (</w:t>
      </w:r>
      <w:r w:rsidRPr="00027624">
        <w:fldChar w:fldCharType="begin"/>
      </w:r>
      <w:r w:rsidRPr="00027624">
        <w:instrText xml:space="preserve"> REF _Ref39552489 \r \h  \* MERGEFORMAT </w:instrText>
      </w:r>
      <w:r w:rsidRPr="00027624">
        <w:fldChar w:fldCharType="separate"/>
      </w:r>
      <w:r w:rsidR="00891058">
        <w:t>Chart 2B-6</w:t>
      </w:r>
      <w:r w:rsidRPr="00027624">
        <w:fldChar w:fldCharType="end"/>
      </w:r>
      <w:r w:rsidRPr="00027624">
        <w:t>). A 40 per cent increase in the maximum Commonwealth Rent Assistance rate would reduce the rate of income poverty for renting retiree households by around 3 percentage points. The largest reduction would be for single renters, with their rate of income poverty estimated to fall by almost 4 percentage points, from 57 per cent to 53 per cent.</w:t>
      </w:r>
    </w:p>
    <w:p w14:paraId="59BE8C09" w14:textId="77777777" w:rsidR="0092760B" w:rsidRPr="00027624" w:rsidRDefault="0092760B" w:rsidP="00FC7361">
      <w:pPr>
        <w:pStyle w:val="ChartMainHeading"/>
        <w:numPr>
          <w:ilvl w:val="2"/>
          <w:numId w:val="27"/>
        </w:numPr>
      </w:pPr>
      <w:bookmarkStart w:id="487" w:name="_Ref38994578"/>
      <w:r w:rsidRPr="00027624">
        <w:t>Income poverty rates of home owner and renter households in retirement</w:t>
      </w:r>
      <w:bookmarkStart w:id="488" w:name="_Ref39552489"/>
      <w:bookmarkEnd w:id="487"/>
      <w:bookmarkEnd w:id="488"/>
    </w:p>
    <w:p w14:paraId="7E0F2522" w14:textId="77777777" w:rsidR="0092760B" w:rsidRPr="00027624" w:rsidRDefault="004922AE" w:rsidP="002A2FAE">
      <w:pPr>
        <w:pStyle w:val="ChartGraphic"/>
      </w:pPr>
      <w:r>
        <w:rPr>
          <w:noProof/>
        </w:rPr>
        <w:drawing>
          <wp:inline distT="0" distB="0" distL="0" distR="0" wp14:anchorId="2DF7E269" wp14:editId="19B5B275">
            <wp:extent cx="5585460" cy="2522220"/>
            <wp:effectExtent l="0" t="0" r="0" b="0"/>
            <wp:docPr id="2050622963" name="Picture 2050622963" descr="This chart shows that a higher Commonwealth Rent Assistance scenario would modestly reduce income poverty rates among renter households – from 48 per cent to 45 per cent for all renters. Income poverty is projected to decline by 4 percentage points for single renters, and 2 percentage points for couple renters." title="Chart 2B-6 Income poverty rates of home owner and renter households in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261090D3" w14:textId="77777777" w:rsidR="0092760B" w:rsidRPr="00027624" w:rsidRDefault="0092760B" w:rsidP="002A2FAE">
      <w:pPr>
        <w:pStyle w:val="ChartorTableNote"/>
      </w:pPr>
      <w:r w:rsidRPr="00027624">
        <w:t>Note: Income poverty is estimated with Commonwealth Rent Assistance threshold increases in 2017</w:t>
      </w:r>
      <w:r w:rsidR="00A8443E" w:rsidRPr="00027624">
        <w:noBreakHyphen/>
      </w:r>
      <w:r w:rsidRPr="00027624">
        <w:t>18 by family type. Home owners are unaffected. Source: Estimate based on analysis of ABS Survey of Income and Housing Confidentialised Unit Record File, 2017</w:t>
      </w:r>
      <w:r w:rsidR="00A8443E" w:rsidRPr="00027624">
        <w:noBreakHyphen/>
      </w:r>
      <w:r w:rsidRPr="00027624">
        <w:t>18.</w:t>
      </w:r>
    </w:p>
    <w:p w14:paraId="6490B1B6" w14:textId="79BC3CFA" w:rsidR="0092760B" w:rsidRPr="00027624" w:rsidRDefault="0092760B" w:rsidP="002A2FAE">
      <w:pPr>
        <w:rPr>
          <w:sz w:val="18"/>
          <w:szCs w:val="18"/>
        </w:rPr>
      </w:pPr>
      <w:r w:rsidRPr="00027624">
        <w:t>While the additional Commonwealth Rent Assistance would help to narrow the poverty gap between renters and owners in retirement, the increase is not sufficient to change most renters</w:t>
      </w:r>
      <w:r w:rsidR="00A8443E" w:rsidRPr="00027624">
        <w:t>’</w:t>
      </w:r>
      <w:r w:rsidRPr="00027624">
        <w:t xml:space="preserve"> income poverty classification (</w:t>
      </w:r>
      <w:r w:rsidRPr="00027624">
        <w:fldChar w:fldCharType="begin"/>
      </w:r>
      <w:r w:rsidRPr="00027624">
        <w:instrText xml:space="preserve"> REF _Ref44946465 \r \h  \* MERGEFORMAT </w:instrText>
      </w:r>
      <w:r w:rsidRPr="00027624">
        <w:fldChar w:fldCharType="separate"/>
      </w:r>
      <w:r w:rsidR="00891058">
        <w:t>Chart 2B-7</w:t>
      </w:r>
      <w:r w:rsidRPr="00027624">
        <w:fldChar w:fldCharType="end"/>
      </w:r>
      <w:r w:rsidRPr="00027624">
        <w:t xml:space="preserve">). Estimates suggest that most renter retiree households in income poverty are below the poverty threshold (of 50 per cent of median equivalised disposable income) by more than $28 per week, which is the increase in the maximum rate of Commonwealth Rent Assistance assessed here. </w:t>
      </w:r>
      <w:r w:rsidRPr="00027624">
        <w:rPr>
          <w:rStyle w:val="normaltextrun1"/>
          <w:rFonts w:cs="Calibri"/>
          <w:szCs w:val="22"/>
        </w:rPr>
        <w:t>The gap in income poverty rates between renters and home owners would narrow by around 11 per cent.</w:t>
      </w:r>
    </w:p>
    <w:p w14:paraId="1DFE82C3" w14:textId="77777777" w:rsidR="0092760B" w:rsidRPr="004B5315" w:rsidRDefault="0092760B" w:rsidP="00FC7361">
      <w:pPr>
        <w:pStyle w:val="ChartMainHeading"/>
        <w:numPr>
          <w:ilvl w:val="2"/>
          <w:numId w:val="27"/>
        </w:numPr>
      </w:pPr>
      <w:bookmarkStart w:id="489" w:name="_Ref44946465"/>
      <w:r w:rsidRPr="00027624">
        <w:lastRenderedPageBreak/>
        <w:t xml:space="preserve">Number of retired households below income poverty benchmark </w:t>
      </w:r>
      <w:r w:rsidRPr="004B5315">
        <w:t>by wealth decile</w:t>
      </w:r>
    </w:p>
    <w:bookmarkEnd w:id="489"/>
    <w:p w14:paraId="47EB3F0B" w14:textId="77777777" w:rsidR="0092760B" w:rsidRPr="00027624" w:rsidRDefault="004922AE" w:rsidP="002A2FAE">
      <w:pPr>
        <w:pStyle w:val="ChartGraphic"/>
        <w:rPr>
          <w:rFonts w:eastAsia="Calibri" w:cs="Calibri"/>
        </w:rPr>
      </w:pPr>
      <w:r>
        <w:rPr>
          <w:rFonts w:eastAsia="Calibri" w:cs="Calibri"/>
          <w:noProof/>
        </w:rPr>
        <w:drawing>
          <wp:inline distT="0" distB="0" distL="0" distR="0" wp14:anchorId="6A8C03F3" wp14:editId="18806C21">
            <wp:extent cx="5577840" cy="2529840"/>
            <wp:effectExtent l="0" t="0" r="3810" b="3810"/>
            <wp:docPr id="2050622965" name="Picture 2050622965" descr="This chart shows that a large number of retired low wealth households are below the income poverty benchmark by more than $26 dollars per week. A much smaller number of retired low wealth households are below the income poverty benchmark by less than $26 per week. " title="Chart 2B-7 Number of retired households below income poverty benchmark by wealth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26DE586C" w14:textId="77777777" w:rsidR="0092760B" w:rsidRPr="00027624" w:rsidRDefault="0092760B" w:rsidP="008154EB">
      <w:pPr>
        <w:pStyle w:val="ChartorTableNote"/>
      </w:pPr>
      <w:r w:rsidRPr="00027624">
        <w:t xml:space="preserve">Note: The chart includes all retirees. Renters affected by the Commonwealth Rent Assistance increase are mostly in the </w:t>
      </w:r>
      <w:r w:rsidR="00B2720D" w:rsidRPr="00027624">
        <w:t>lower-wealth</w:t>
      </w:r>
      <w:r w:rsidRPr="00027624">
        <w:t xml:space="preserve"> decides. Due to inflation, $26 in 2017</w:t>
      </w:r>
      <w:r w:rsidR="00A8443E" w:rsidRPr="00027624">
        <w:noBreakHyphen/>
      </w:r>
      <w:r w:rsidRPr="00027624">
        <w:t>18 dollars is equivalent to $28 in 2019</w:t>
      </w:r>
      <w:r w:rsidR="00A8443E" w:rsidRPr="00027624">
        <w:noBreakHyphen/>
      </w:r>
      <w:r w:rsidRPr="00027624">
        <w:t>20 dollars. Source: Estimate based on analysis of ABS Survey of Income and Housing Confidentialised Unit Record File, 2017</w:t>
      </w:r>
      <w:r w:rsidR="00A8443E" w:rsidRPr="00027624">
        <w:noBreakHyphen/>
      </w:r>
      <w:r w:rsidRPr="00027624">
        <w:t>18.</w:t>
      </w:r>
    </w:p>
    <w:p w14:paraId="3AF2EF64" w14:textId="4A6C1734" w:rsidR="0092760B" w:rsidRPr="00027624" w:rsidRDefault="0092760B" w:rsidP="002A2FAE">
      <w:pPr>
        <w:spacing w:before="240"/>
      </w:pPr>
      <w:r w:rsidRPr="00027624">
        <w:t>In line with the wealth status of renting retirees, the increase in maximum rate of Commonwealth Rent Assistance would reduce income poverty rates predominantly for those in the bottom two deciles of the wealth distribution (</w:t>
      </w:r>
      <w:r w:rsidRPr="00027624">
        <w:fldChar w:fldCharType="begin"/>
      </w:r>
      <w:r w:rsidRPr="00027624">
        <w:instrText xml:space="preserve"> REF _Ref44946488 \r \h </w:instrText>
      </w:r>
      <w:r w:rsidR="00FA7639" w:rsidRPr="00027624">
        <w:instrText xml:space="preserve"> \* MERGEFORMAT </w:instrText>
      </w:r>
      <w:r w:rsidRPr="00027624">
        <w:fldChar w:fldCharType="separate"/>
      </w:r>
      <w:r w:rsidR="00891058">
        <w:t>Chart 2B-8</w:t>
      </w:r>
      <w:r w:rsidRPr="00027624">
        <w:fldChar w:fldCharType="end"/>
      </w:r>
      <w:r w:rsidRPr="00027624">
        <w:t>). These decreases for these deciles are estimated to be around 2 percentage points.</w:t>
      </w:r>
    </w:p>
    <w:p w14:paraId="14D6A619" w14:textId="77777777" w:rsidR="0092760B" w:rsidRPr="00027624" w:rsidRDefault="0092760B" w:rsidP="00FC7361">
      <w:pPr>
        <w:pStyle w:val="ChartMainHeading"/>
        <w:numPr>
          <w:ilvl w:val="2"/>
          <w:numId w:val="27"/>
        </w:numPr>
      </w:pPr>
      <w:bookmarkStart w:id="490" w:name="_Ref44946488"/>
      <w:r w:rsidRPr="00027624">
        <w:t>Retired household income poverty rates by wealth decile</w:t>
      </w:r>
    </w:p>
    <w:bookmarkEnd w:id="490"/>
    <w:p w14:paraId="09AECD99" w14:textId="77777777" w:rsidR="0092760B" w:rsidRPr="00027624" w:rsidRDefault="004922AE" w:rsidP="002A2FAE">
      <w:pPr>
        <w:pStyle w:val="ChartGraphic"/>
      </w:pPr>
      <w:r>
        <w:rPr>
          <w:noProof/>
        </w:rPr>
        <w:drawing>
          <wp:inline distT="0" distB="0" distL="0" distR="0" wp14:anchorId="11C0E237" wp14:editId="2FB3229C">
            <wp:extent cx="5585460" cy="2522220"/>
            <wp:effectExtent l="0" t="0" r="0" b="0"/>
            <wp:docPr id="2050622966" name="Picture 2050622966" descr="This chart shows that a higher Commonwealth Rent Assistance scenario would modestly reduce income poverty among low wealth retired households, and would have no impact on income poverty for households above the 4th wealth decile." title="Chart 2B-8 Retired household income poverty rates by wealth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1212291F" w14:textId="77777777" w:rsidR="0092760B" w:rsidRPr="00027624" w:rsidRDefault="0092760B" w:rsidP="002A2FAE">
      <w:pPr>
        <w:pStyle w:val="ChartorTableNote"/>
      </w:pPr>
      <w:r w:rsidRPr="00027624">
        <w:t>Note: Income poverty is estimated with Commonwealth Rent Assistance threshold increases in 2017</w:t>
      </w:r>
      <w:r w:rsidR="00A8443E" w:rsidRPr="00027624">
        <w:noBreakHyphen/>
      </w:r>
      <w:r w:rsidRPr="00027624">
        <w:t>18 by family type. Wealth deciles of retired households and equivalised for household size. Home owners are unaffected. Population weighted. Source: Estimate based on analysis of ABS Survey of Income and Housing Confidentialised Unit Record File, 2017</w:t>
      </w:r>
      <w:r w:rsidR="00A8443E" w:rsidRPr="00027624">
        <w:noBreakHyphen/>
      </w:r>
      <w:r w:rsidRPr="00027624">
        <w:t>18.</w:t>
      </w:r>
    </w:p>
    <w:p w14:paraId="5DC04920" w14:textId="77777777" w:rsidR="0092760B" w:rsidRPr="00027624" w:rsidRDefault="0092760B" w:rsidP="002A2FAE">
      <w:pPr>
        <w:pStyle w:val="Heading4"/>
      </w:pPr>
      <w:r w:rsidRPr="00027624">
        <w:t>Replacement rates</w:t>
      </w:r>
    </w:p>
    <w:p w14:paraId="34C239AD" w14:textId="77777777" w:rsidR="0092760B" w:rsidRPr="00027624" w:rsidRDefault="0092760B" w:rsidP="002A2FAE">
      <w:pPr>
        <w:rPr>
          <w:rFonts w:asciiTheme="minorHAnsi" w:eastAsiaTheme="minorEastAsia" w:hAnsiTheme="minorHAnsi"/>
          <w:sz w:val="18"/>
        </w:rPr>
      </w:pPr>
      <w:r w:rsidRPr="00027624">
        <w:rPr>
          <w:b/>
        </w:rPr>
        <w:t>Increasing the maximum rate of Commonwealth Rent Assistance would have a small effect on renters</w:t>
      </w:r>
      <w:r w:rsidR="00A8443E" w:rsidRPr="00027624">
        <w:rPr>
          <w:b/>
        </w:rPr>
        <w:t>’</w:t>
      </w:r>
      <w:r w:rsidRPr="00027624">
        <w:rPr>
          <w:b/>
        </w:rPr>
        <w:t xml:space="preserve"> income replacement rates</w:t>
      </w:r>
      <w:r w:rsidRPr="00027624">
        <w:t>. Calculations using a hypothetical cameo model suggest those in the bottom half of the income distribution in 2060 would see their income replacement rates increase by less than 2 percentage points, with smaller increases for higher</w:t>
      </w:r>
      <w:r w:rsidR="00A8443E" w:rsidRPr="00027624">
        <w:noBreakHyphen/>
      </w:r>
      <w:r w:rsidRPr="00027624">
        <w:t>income renters. The small size of these effects is consistent with the maximum additional payments totalling only around $1,450 per year (around 3 per cent of the median wage).</w:t>
      </w:r>
    </w:p>
    <w:p w14:paraId="1A2B6EA7" w14:textId="77777777" w:rsidR="0092760B" w:rsidRPr="00027624" w:rsidRDefault="0092760B" w:rsidP="002A2FAE">
      <w:r w:rsidRPr="00027624">
        <w:lastRenderedPageBreak/>
        <w:t>This analysis assumes Commonwealth Rent Assistance continues to be indexed to CPI after the 40 per cent increase in the maximum Commonwealth Rent Assistance rate. Changes to Commonwealth Rent Assistance indexation arrangements that resulted in higher increases would have larger effects on future income replacement rates.</w:t>
      </w:r>
    </w:p>
    <w:p w14:paraId="0F40B71E" w14:textId="77777777" w:rsidR="0092760B" w:rsidRPr="00027624" w:rsidRDefault="0092760B" w:rsidP="002A2FAE">
      <w:pPr>
        <w:pStyle w:val="Heading3"/>
      </w:pPr>
      <w:r w:rsidRPr="00027624">
        <w:t>Effect on equity</w:t>
      </w:r>
    </w:p>
    <w:p w14:paraId="40BDA116" w14:textId="77777777" w:rsidR="0092760B" w:rsidRPr="00027624" w:rsidRDefault="0092760B" w:rsidP="002A2FAE">
      <w:pPr>
        <w:pStyle w:val="Heading4"/>
      </w:pPr>
      <w:r w:rsidRPr="00027624">
        <w:t>Home ownership status</w:t>
      </w:r>
    </w:p>
    <w:p w14:paraId="45D9A2C2" w14:textId="77777777" w:rsidR="0092760B" w:rsidRPr="00027624" w:rsidRDefault="0092760B" w:rsidP="002A2FAE">
      <w:r w:rsidRPr="00027624">
        <w:t xml:space="preserve">Home owners, in general, receive higher Age Pension payments than renters with similar asset values. Commonwealth Rent Assistance provides a significantly smaller benefit than exempting the principal residence from the Age Pension assets test for all retirees, except those with very low wealth levels (see </w:t>
      </w:r>
      <w:r w:rsidRPr="00027624">
        <w:rPr>
          <w:i/>
        </w:rPr>
        <w:t>3C. Home ownership status)</w:t>
      </w:r>
      <w:r w:rsidRPr="00027624">
        <w:t>.</w:t>
      </w:r>
    </w:p>
    <w:p w14:paraId="4945B72E" w14:textId="671B97A1" w:rsidR="0092760B" w:rsidRPr="00027624" w:rsidRDefault="00673E47" w:rsidP="002A2FAE">
      <w:r w:rsidRPr="00027624">
        <w:t>Increasing</w:t>
      </w:r>
      <w:r w:rsidR="0092760B" w:rsidRPr="00027624">
        <w:t xml:space="preserve"> </w:t>
      </w:r>
      <w:r w:rsidRPr="00027624">
        <w:t>the</w:t>
      </w:r>
      <w:r w:rsidR="0092760B" w:rsidRPr="00027624">
        <w:t xml:space="preserve"> maximum Commonwealth Rent Assistance rate by 40 per cent would not change this significantly (</w:t>
      </w:r>
      <w:r w:rsidR="0092760B" w:rsidRPr="00027624">
        <w:fldChar w:fldCharType="begin"/>
      </w:r>
      <w:r w:rsidR="0092760B" w:rsidRPr="00027624">
        <w:instrText xml:space="preserve"> REF _Ref38467110 \r \h  \* MERGEFORMAT </w:instrText>
      </w:r>
      <w:r w:rsidR="0092760B" w:rsidRPr="00027624">
        <w:fldChar w:fldCharType="separate"/>
      </w:r>
      <w:r w:rsidR="00891058">
        <w:t>Chart 2B-9</w:t>
      </w:r>
      <w:r w:rsidR="0092760B" w:rsidRPr="00027624">
        <w:fldChar w:fldCharType="end"/>
      </w:r>
      <w:r w:rsidR="0092760B" w:rsidRPr="00027624">
        <w:t>). Retirees with a median</w:t>
      </w:r>
      <w:r w:rsidR="00A8443E" w:rsidRPr="00027624">
        <w:noBreakHyphen/>
      </w:r>
      <w:r w:rsidR="0092760B" w:rsidRPr="00027624">
        <w:t>valued home in retirement would continue to receive higher Age Pension payments than renters with the same total wealth, when their non</w:t>
      </w:r>
      <w:r w:rsidR="00A8443E" w:rsidRPr="00027624">
        <w:noBreakHyphen/>
      </w:r>
      <w:r w:rsidR="0092760B" w:rsidRPr="00027624">
        <w:t>home assets are worth more than around $90,000. This gap would be reduced by the $1,450 per year increase in Commonwealth Rent Assistance for retirees with non</w:t>
      </w:r>
      <w:r w:rsidR="00A8443E" w:rsidRPr="00027624">
        <w:noBreakHyphen/>
      </w:r>
      <w:r w:rsidR="0092760B" w:rsidRPr="00027624">
        <w:t xml:space="preserve">home asset values below around $350,000. </w:t>
      </w:r>
      <w:r w:rsidR="0092760B" w:rsidRPr="00027624">
        <w:rPr>
          <w:b/>
        </w:rPr>
        <w:t>The increase in Commonwealth Rent Assistance</w:t>
      </w:r>
      <w:r w:rsidR="0092760B" w:rsidRPr="00027624">
        <w:t xml:space="preserve"> </w:t>
      </w:r>
      <w:r w:rsidR="0092760B" w:rsidRPr="00027624">
        <w:rPr>
          <w:b/>
          <w:bCs/>
        </w:rPr>
        <w:t>has little effect on reducing the inequity between home owners and renters due to the Age Pension assets test</w:t>
      </w:r>
      <w:r w:rsidR="0092760B" w:rsidRPr="00027624">
        <w:t>.</w:t>
      </w:r>
    </w:p>
    <w:p w14:paraId="12913D39" w14:textId="77777777" w:rsidR="0092760B" w:rsidRPr="00027624" w:rsidRDefault="0092760B" w:rsidP="00FC7361">
      <w:pPr>
        <w:pStyle w:val="ChartMainHeading"/>
        <w:numPr>
          <w:ilvl w:val="2"/>
          <w:numId w:val="27"/>
        </w:numPr>
      </w:pPr>
      <w:bookmarkStart w:id="491" w:name="_Ref40976039"/>
      <w:bookmarkStart w:id="492" w:name="_Ref43303218"/>
      <w:r w:rsidRPr="00027624">
        <w:t>Annual value of exempting the principal residence from the Age Pension assets test</w:t>
      </w:r>
      <w:bookmarkStart w:id="493" w:name="_Ref38467110"/>
      <w:bookmarkEnd w:id="491"/>
      <w:bookmarkEnd w:id="492"/>
      <w:bookmarkEnd w:id="493"/>
    </w:p>
    <w:p w14:paraId="68E6818E" w14:textId="77777777" w:rsidR="0092760B" w:rsidRPr="00027624" w:rsidRDefault="00DF754F" w:rsidP="002A2FAE">
      <w:pPr>
        <w:pStyle w:val="ChartGraphic"/>
      </w:pPr>
      <w:r>
        <w:rPr>
          <w:noProof/>
        </w:rPr>
        <w:drawing>
          <wp:inline distT="0" distB="0" distL="0" distR="0" wp14:anchorId="06439138" wp14:editId="6926BCF3">
            <wp:extent cx="5577840" cy="2522220"/>
            <wp:effectExtent l="0" t="0" r="3810" b="0"/>
            <wp:docPr id="2050622967" name="Picture 2050622967" descr="This chart shows the value of the home exemption from the assets test by value of non-housing assets. Currently the exemption is worth $10,000 or more for people with non-housing assets of $200,000 to $450,000. An increased rate of Commonwealth Rent Assistance would reduce the value of the exemption by about $2,000 for people with non-housing assets below $400,000.  " title="Chart 2B-9 Annual value of exempting the principal residence from the Age Pension assets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E051A39" w14:textId="77777777" w:rsidR="0092760B" w:rsidRPr="00027624" w:rsidRDefault="0092760B" w:rsidP="002A2FAE">
      <w:pPr>
        <w:pStyle w:val="ChartorTableNote"/>
        <w:rPr>
          <w:rFonts w:eastAsiaTheme="minorEastAsia"/>
        </w:rPr>
      </w:pPr>
      <w:r w:rsidRPr="00027624">
        <w:rPr>
          <w:rFonts w:eastAsiaTheme="minorEastAsia"/>
        </w:rPr>
        <w:t>Note: Values are in 2019</w:t>
      </w:r>
      <w:r w:rsidR="00A8443E" w:rsidRPr="00027624">
        <w:rPr>
          <w:rFonts w:eastAsiaTheme="minorEastAsia"/>
        </w:rPr>
        <w:noBreakHyphen/>
      </w:r>
      <w:r w:rsidRPr="00027624">
        <w:rPr>
          <w:rFonts w:eastAsiaTheme="minorEastAsia"/>
        </w:rPr>
        <w:t>20 dollars. This chart</w:t>
      </w:r>
      <w:r w:rsidRPr="00027624">
        <w:t xml:space="preserve"> is a theoretical comparison, which</w:t>
      </w:r>
      <w:r w:rsidRPr="00027624">
        <w:rPr>
          <w:rFonts w:eastAsiaTheme="minorEastAsia"/>
        </w:rPr>
        <w:t xml:space="preserve"> shows the differential value of annual Age Pension payments in the year 2019</w:t>
      </w:r>
      <w:r w:rsidR="00A8443E" w:rsidRPr="00027624">
        <w:rPr>
          <w:rFonts w:eastAsiaTheme="minorEastAsia"/>
        </w:rPr>
        <w:noBreakHyphen/>
      </w:r>
      <w:r w:rsidRPr="00027624">
        <w:rPr>
          <w:rFonts w:eastAsiaTheme="minorEastAsia"/>
        </w:rPr>
        <w:t>20 for single home owners with a $450,000 home compared with renters with the same total asset value, by non</w:t>
      </w:r>
      <w:r w:rsidR="00A8443E" w:rsidRPr="00027624">
        <w:rPr>
          <w:rFonts w:eastAsiaTheme="minorEastAsia"/>
        </w:rPr>
        <w:noBreakHyphen/>
      </w:r>
      <w:r w:rsidRPr="00027624">
        <w:rPr>
          <w:rFonts w:eastAsiaTheme="minorEastAsia"/>
        </w:rPr>
        <w:t>housing deemed asset value. Based on Age Pension payment rates and thresholds as at 20 March 2020. Source: Cameo modelling undertaken for the review.</w:t>
      </w:r>
    </w:p>
    <w:p w14:paraId="54CBDD4A" w14:textId="77777777" w:rsidR="0092760B" w:rsidRPr="00027624" w:rsidRDefault="00976594" w:rsidP="002A2FAE">
      <w:pPr>
        <w:pStyle w:val="Heading4"/>
      </w:pPr>
      <w:r>
        <w:t>Groups affected</w:t>
      </w:r>
    </w:p>
    <w:p w14:paraId="2BF53EF8" w14:textId="77777777" w:rsidR="0092760B" w:rsidRPr="00027624" w:rsidRDefault="0092760B" w:rsidP="002A2FAE">
      <w:r w:rsidRPr="00027624">
        <w:t xml:space="preserve">Increases in Commonwealth Rent Assistance would benefit those in need. Groups that experience poorer outcomes in retirement are more likely to be renters. For example, women retirees are expected to gain from Commonwealth Rent Assistance increases. As shown in </w:t>
      </w:r>
      <w:r w:rsidRPr="00027624">
        <w:rPr>
          <w:i/>
          <w:iCs/>
        </w:rPr>
        <w:t>3B. Gender and partnered status</w:t>
      </w:r>
      <w:r w:rsidRPr="00027624">
        <w:t>, a larger number of renters in retirement are women. Higher Commonwealth Rent Assistance payments would have a small effect on improving gender equity in retirement.</w:t>
      </w:r>
    </w:p>
    <w:p w14:paraId="7A7D76D3" w14:textId="73C286EA" w:rsidR="0092760B" w:rsidRPr="00027624" w:rsidRDefault="0092760B" w:rsidP="002A2FAE">
      <w:r w:rsidRPr="00027624">
        <w:t>Modelling suggests increasing the maximum Commonwealth Rent Assistance rate would reduce income poverty more for single women renters than it would for men (</w:t>
      </w:r>
      <w:r w:rsidRPr="00027624">
        <w:fldChar w:fldCharType="begin"/>
      </w:r>
      <w:r w:rsidRPr="00027624">
        <w:instrText xml:space="preserve"> REF _Ref38380592 \r \h  \* MERGEFORMAT </w:instrText>
      </w:r>
      <w:r w:rsidRPr="00027624">
        <w:fldChar w:fldCharType="separate"/>
      </w:r>
      <w:r w:rsidR="00891058">
        <w:t>Chart 2B-10</w:t>
      </w:r>
      <w:r w:rsidRPr="00027624">
        <w:fldChar w:fldCharType="end"/>
      </w:r>
      <w:r w:rsidRPr="00027624">
        <w:t>). The rate of income poverty for single women retirees is estimated to fall from 63 to 58 per cent.</w:t>
      </w:r>
    </w:p>
    <w:p w14:paraId="3A44687A" w14:textId="77777777" w:rsidR="0092760B" w:rsidRPr="00027624" w:rsidRDefault="0092760B" w:rsidP="00FC7361">
      <w:pPr>
        <w:pStyle w:val="ChartMainHeading"/>
        <w:numPr>
          <w:ilvl w:val="2"/>
          <w:numId w:val="27"/>
        </w:numPr>
      </w:pPr>
      <w:r w:rsidRPr="00027624">
        <w:lastRenderedPageBreak/>
        <w:t>Income poverty rates of retired renting households</w:t>
      </w:r>
      <w:bookmarkStart w:id="494" w:name="_Ref38380592"/>
      <w:bookmarkStart w:id="495" w:name="_Ref38648832"/>
      <w:bookmarkEnd w:id="494"/>
      <w:bookmarkEnd w:id="495"/>
    </w:p>
    <w:p w14:paraId="6D68D27B" w14:textId="77777777" w:rsidR="0092760B" w:rsidRPr="00027624" w:rsidRDefault="00DF754F" w:rsidP="002A2FAE">
      <w:pPr>
        <w:pStyle w:val="ChartGraphic"/>
      </w:pPr>
      <w:r>
        <w:rPr>
          <w:noProof/>
        </w:rPr>
        <w:drawing>
          <wp:inline distT="0" distB="0" distL="0" distR="0" wp14:anchorId="0E2BAB8B" wp14:editId="3C60B13D">
            <wp:extent cx="5577840" cy="2522220"/>
            <wp:effectExtent l="0" t="0" r="3810" b="0"/>
            <wp:docPr id="2050622968" name="Picture 2050622968" descr="This chart shows that a higher rate of Commonwealth Rent Assistance would modestly reduce income poverty in retirement for households with elevated levels of poverty including single person households, early retired households and those with disability." title="Chart 2B-10 Income poverty rates of retired renting house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95FA16E" w14:textId="77777777" w:rsidR="0092760B" w:rsidRPr="00027624" w:rsidRDefault="0092760B" w:rsidP="002A2FAE">
      <w:pPr>
        <w:pStyle w:val="ChartorTableNote"/>
        <w:rPr>
          <w:rFonts w:asciiTheme="minorHAnsi" w:hAnsiTheme="minorHAnsi" w:cstheme="minorHAnsi"/>
        </w:rPr>
      </w:pPr>
      <w:r w:rsidRPr="00027624">
        <w:rPr>
          <w:rFonts w:asciiTheme="minorHAnsi" w:hAnsiTheme="minorHAnsi" w:cstheme="minorHAnsi"/>
        </w:rPr>
        <w:t xml:space="preserve">Note: </w:t>
      </w:r>
      <w:r w:rsidRPr="00027624">
        <w:t>Income poverty is estimated with Commonwealth Rent Assistance threshold increases in 2017</w:t>
      </w:r>
      <w:r w:rsidR="00A8443E" w:rsidRPr="00027624">
        <w:noBreakHyphen/>
      </w:r>
      <w:r w:rsidRPr="00027624">
        <w:t>18 by family type.</w:t>
      </w:r>
      <w:r w:rsidRPr="00027624">
        <w:rPr>
          <w:rFonts w:asciiTheme="minorHAnsi" w:hAnsiTheme="minorHAnsi" w:cstheme="minorHAnsi"/>
        </w:rPr>
        <w:t xml:space="preserve"> Population weighted. Source: </w:t>
      </w:r>
      <w:r w:rsidRPr="00027624">
        <w:t>Estimate based on analysis of ABS Survey of Income and Housing Confidentialised Unit Record File, 2017</w:t>
      </w:r>
      <w:r w:rsidR="00A8443E" w:rsidRPr="00027624">
        <w:noBreakHyphen/>
      </w:r>
      <w:r w:rsidRPr="00027624">
        <w:t>18.</w:t>
      </w:r>
    </w:p>
    <w:p w14:paraId="14C0F6C5" w14:textId="15FA0C20" w:rsidR="0092760B" w:rsidRPr="00027624" w:rsidRDefault="0092760B" w:rsidP="002A2FAE">
      <w:pPr>
        <w:spacing w:before="240"/>
      </w:pPr>
      <w:r w:rsidRPr="00027624">
        <w:t>Early retired households, those not in the labour force aged 55</w:t>
      </w:r>
      <w:r w:rsidR="00A8443E" w:rsidRPr="00027624">
        <w:noBreakHyphen/>
      </w:r>
      <w:r w:rsidRPr="00027624">
        <w:t>64 and retirees with disability are also likely to benefit from the Commonwealth Rent Assistance increase because they are more likely to rent. These renters have some of the highest rates of income poverty among retirees, and a significant number of them report being in financial stress. Estimates suggest a 40 per cent increase of the maximum Commonwealth Rent Assistance rate would marginally reduce income poverty rates for these groups, by around 5 percentage points (</w:t>
      </w:r>
      <w:r w:rsidRPr="00027624">
        <w:fldChar w:fldCharType="begin"/>
      </w:r>
      <w:r w:rsidRPr="00027624">
        <w:instrText xml:space="preserve"> REF _Ref38648832 \r \h  \* MERGEFORMAT </w:instrText>
      </w:r>
      <w:r w:rsidRPr="00027624">
        <w:fldChar w:fldCharType="separate"/>
      </w:r>
      <w:r w:rsidR="00891058">
        <w:t>Chart 2B-10</w:t>
      </w:r>
      <w:r w:rsidRPr="00027624">
        <w:fldChar w:fldCharType="end"/>
      </w:r>
      <w:r w:rsidRPr="00027624">
        <w:t>).</w:t>
      </w:r>
    </w:p>
    <w:p w14:paraId="49C79611" w14:textId="77777777" w:rsidR="0092760B" w:rsidRPr="00027624" w:rsidRDefault="0092760B" w:rsidP="002A2FAE">
      <w:r w:rsidRPr="00027624">
        <w:t xml:space="preserve">Similarly, Aboriginal and Torres Strait Islander retirees have a much higher rate of renting than the rest of the population (see </w:t>
      </w:r>
      <w:r w:rsidRPr="00027624">
        <w:rPr>
          <w:i/>
        </w:rPr>
        <w:t>3F. Aboriginal and Torres Strait Islander people</w:t>
      </w:r>
      <w:r w:rsidRPr="00027624">
        <w:t>). Changes to Commonwealth Rent Assistance may therefore redress some equity balance in retirement for these households.</w:t>
      </w:r>
    </w:p>
    <w:p w14:paraId="08D4F45A" w14:textId="77777777" w:rsidR="0092760B" w:rsidRPr="00027624" w:rsidRDefault="0092760B" w:rsidP="002A2FAE">
      <w:pPr>
        <w:pStyle w:val="Heading3"/>
      </w:pPr>
      <w:r w:rsidRPr="00027624">
        <w:t>Effect on sustainability</w:t>
      </w:r>
    </w:p>
    <w:p w14:paraId="6CAEE2EE" w14:textId="77777777" w:rsidR="0092760B" w:rsidRPr="00027624" w:rsidRDefault="0092760B" w:rsidP="002A2FAE">
      <w:pPr>
        <w:pStyle w:val="Heading4"/>
      </w:pPr>
      <w:r w:rsidRPr="00027624">
        <w:t>Fiscal costs</w:t>
      </w:r>
    </w:p>
    <w:p w14:paraId="0C44B42F" w14:textId="77777777" w:rsidR="0092760B" w:rsidRPr="00027624" w:rsidRDefault="0092760B" w:rsidP="002A2FAE">
      <w:r w:rsidRPr="00027624">
        <w:t>The total fiscal costs of increasing the maximum rate of Commonwealth Rent Assistance by 40 per cent is estimated to be around $1.7 billion in 2019</w:t>
      </w:r>
      <w:r w:rsidR="00A8443E" w:rsidRPr="00027624">
        <w:noBreakHyphen/>
      </w:r>
      <w:r w:rsidRPr="00027624">
        <w:t>20 (0.1 per cent of GDP). Most of this cost reflects additional support accruing to working</w:t>
      </w:r>
      <w:r w:rsidR="00A8443E" w:rsidRPr="00027624">
        <w:noBreakHyphen/>
      </w:r>
      <w:r w:rsidRPr="00027624">
        <w:t>age social security payment recipients. The estimated fiscal cost of increasing the maximum Commonwealth Rent Assistance rate for Age Pension recipients by 40 per cent, or about $28 per week, is around $370 million in 2019</w:t>
      </w:r>
      <w:r w:rsidR="00A8443E" w:rsidRPr="00027624">
        <w:noBreakHyphen/>
      </w:r>
      <w:r w:rsidRPr="00027624">
        <w:t>20.</w:t>
      </w:r>
      <w:r w:rsidRPr="00027624">
        <w:rPr>
          <w:rStyle w:val="FootnoteReference"/>
        </w:rPr>
        <w:footnoteReference w:id="95"/>
      </w:r>
    </w:p>
    <w:p w14:paraId="42C11BF5" w14:textId="77777777" w:rsidR="0092760B" w:rsidRPr="00027624" w:rsidRDefault="0092760B" w:rsidP="002A2FAE">
      <w:pPr>
        <w:pStyle w:val="Heading4"/>
      </w:pPr>
      <w:r w:rsidRPr="00027624">
        <w:t>Impact on the broader economy</w:t>
      </w:r>
    </w:p>
    <w:p w14:paraId="055A5847" w14:textId="77777777" w:rsidR="0092760B" w:rsidRPr="00027624" w:rsidRDefault="0092760B" w:rsidP="002A2FAE">
      <w:r w:rsidRPr="00027624">
        <w:t>When this issue has been considered on previous occasions, concerns have been raised that Commonwealth Rent Assistance increases could increase rental rates</w:t>
      </w:r>
      <w:sdt>
        <w:sdtPr>
          <w:id w:val="-2026706526"/>
          <w:citation/>
        </w:sdtPr>
        <w:sdtEndPr/>
        <w:sdtContent>
          <w:r w:rsidRPr="00027624">
            <w:fldChar w:fldCharType="begin"/>
          </w:r>
          <w:r w:rsidRPr="00027624">
            <w:instrText xml:space="preserve">CITATION Coma15 \l 3081 </w:instrText>
          </w:r>
          <w:r w:rsidRPr="00027624">
            <w:fldChar w:fldCharType="separate"/>
          </w:r>
          <w:r w:rsidR="00E83F6E">
            <w:rPr>
              <w:noProof/>
            </w:rPr>
            <w:t xml:space="preserve"> (Senate Economics Reference Committee, 2015)</w:t>
          </w:r>
          <w:r w:rsidRPr="00027624">
            <w:fldChar w:fldCharType="end"/>
          </w:r>
        </w:sdtContent>
      </w:sdt>
      <w:r w:rsidRPr="00027624">
        <w:t>.This would negate some of the benefits of higher payments for Commonwealth Rent Assistance recipients.</w:t>
      </w:r>
    </w:p>
    <w:p w14:paraId="75F96033" w14:textId="77777777" w:rsidR="0092760B" w:rsidRPr="00027624" w:rsidRDefault="0092760B" w:rsidP="002A2FAE">
      <w:r w:rsidRPr="00027624">
        <w:lastRenderedPageBreak/>
        <w:t>Commonwealth Rent Assistance recipients do not form a large portion of renters in the market segments where they rent. Three</w:t>
      </w:r>
      <w:r w:rsidR="00A8443E" w:rsidRPr="00027624">
        <w:noBreakHyphen/>
      </w:r>
      <w:r w:rsidRPr="00027624">
        <w:t>quarters of Commonwealth Rent Assistance recipients are in the bottom half of the income distribution. They comprise around only 7 per cent of all renters in these income groups.</w:t>
      </w:r>
      <w:r w:rsidRPr="00027624">
        <w:rPr>
          <w:rStyle w:val="FootnoteReference"/>
        </w:rPr>
        <w:footnoteReference w:id="96"/>
      </w:r>
      <w:r w:rsidRPr="00027624">
        <w:t xml:space="preserve"> </w:t>
      </w:r>
      <w:r w:rsidRPr="00027624">
        <w:rPr>
          <w:b/>
          <w:bCs/>
        </w:rPr>
        <w:t xml:space="preserve">Providing social security recipients with additional </w:t>
      </w:r>
      <w:r w:rsidRPr="00027624">
        <w:rPr>
          <w:b/>
        </w:rPr>
        <w:t>Commonwealth Rent Assistance in</w:t>
      </w:r>
      <w:r w:rsidRPr="00027624">
        <w:t xml:space="preserve"> </w:t>
      </w:r>
      <w:r w:rsidRPr="00027624">
        <w:rPr>
          <w:b/>
          <w:bCs/>
        </w:rPr>
        <w:t>the order of $28 per week is unlikely to have a large effect on the total demand for rental properties or aggregate rents</w:t>
      </w:r>
      <w:r w:rsidRPr="00027624">
        <w:t>.</w:t>
      </w:r>
    </w:p>
    <w:p w14:paraId="7AEC7E82" w14:textId="77777777" w:rsidR="0092760B" w:rsidRPr="00027624" w:rsidRDefault="0092760B" w:rsidP="002A2FAE">
      <w:pPr>
        <w:pStyle w:val="Heading2"/>
      </w:pPr>
      <w:bookmarkStart w:id="496" w:name="_Toc45520462"/>
      <w:bookmarkStart w:id="497" w:name="_Toc46133572"/>
      <w:r w:rsidRPr="00027624">
        <w:t>Implications for the retirement income system</w:t>
      </w:r>
      <w:bookmarkEnd w:id="496"/>
      <w:bookmarkEnd w:id="497"/>
    </w:p>
    <w:p w14:paraId="5DBE3657" w14:textId="77777777" w:rsidR="0092760B" w:rsidRPr="00027624" w:rsidRDefault="0092760B" w:rsidP="002A2FAE">
      <w:r w:rsidRPr="00027624">
        <w:t>Commonwealth Rent Assistance has a limited ability to redress differences in adequacy outcomes for renters compared to home owners. For the 40 per cent increase in the maximum rate assessed, retirement outcomes for renters would be little changed as:</w:t>
      </w:r>
    </w:p>
    <w:p w14:paraId="65377DD9" w14:textId="77777777" w:rsidR="0092760B" w:rsidRPr="00027624" w:rsidRDefault="0092760B" w:rsidP="0092760B">
      <w:pPr>
        <w:pStyle w:val="Bullet"/>
      </w:pPr>
      <w:r w:rsidRPr="00027624">
        <w:t>The increase covers a fraction of their additional housing costs</w:t>
      </w:r>
    </w:p>
    <w:p w14:paraId="1CE3CA4C" w14:textId="77777777" w:rsidR="0092760B" w:rsidRPr="00027624" w:rsidRDefault="0092760B" w:rsidP="0092760B">
      <w:pPr>
        <w:pStyle w:val="Bullet"/>
      </w:pPr>
      <w:r w:rsidRPr="00027624">
        <w:t>Their financial stress rates are estimated to remain more than twice that of home owners</w:t>
      </w:r>
    </w:p>
    <w:p w14:paraId="69D47EA1" w14:textId="77777777" w:rsidR="0092760B" w:rsidRPr="00027624" w:rsidRDefault="0092760B" w:rsidP="0092760B">
      <w:pPr>
        <w:pStyle w:val="Bullet"/>
      </w:pPr>
      <w:r w:rsidRPr="00027624">
        <w:t>Around 45 per cent of them would continue to be in income poverty</w:t>
      </w:r>
    </w:p>
    <w:p w14:paraId="180AC919" w14:textId="5D4F39C2" w:rsidR="0092760B" w:rsidRPr="00027624" w:rsidRDefault="0092760B" w:rsidP="002A2FAE">
      <w:r w:rsidRPr="00027624">
        <w:t>Alternative changes to Commonwealth Rent Assistance would not materially change these results. Estimates suggest increasing the maximum payment threshold by 60 to 100 per cent would reduce income poverty by a modest amount (</w:t>
      </w:r>
      <w:r w:rsidRPr="00027624">
        <w:fldChar w:fldCharType="begin"/>
      </w:r>
      <w:r w:rsidRPr="00027624">
        <w:instrText xml:space="preserve"> REF _Ref43909789 \r \h  \* MERGEFORMAT </w:instrText>
      </w:r>
      <w:r w:rsidRPr="00027624">
        <w:fldChar w:fldCharType="separate"/>
      </w:r>
      <w:r w:rsidR="00891058">
        <w:t>Table 2B-1</w:t>
      </w:r>
      <w:r w:rsidRPr="00027624">
        <w:fldChar w:fldCharType="end"/>
      </w:r>
      <w:r w:rsidRPr="00027624">
        <w:t>). Removing the lower threshold completely (to cover the 75 per cent of rent costs from the first dollar of rent) would have only slightly larger effects. Under both approaches, a significant share of renting retirees remain in income poverty.</w:t>
      </w:r>
    </w:p>
    <w:p w14:paraId="70D1790E" w14:textId="77777777" w:rsidR="0092760B" w:rsidRPr="00027624" w:rsidRDefault="0092760B" w:rsidP="00FC7361">
      <w:pPr>
        <w:pStyle w:val="TableMainHeading"/>
        <w:numPr>
          <w:ilvl w:val="3"/>
          <w:numId w:val="65"/>
        </w:numPr>
      </w:pPr>
      <w:bookmarkStart w:id="498" w:name="_Ref40859537"/>
      <w:bookmarkStart w:id="499" w:name="_Ref43909789"/>
      <w:r w:rsidRPr="00027624">
        <w:t>Effects and indicative fiscal costs of alternative Commonwealth Rent Assistance scenarios</w:t>
      </w:r>
      <w:bookmarkEnd w:id="498"/>
      <w:bookmarkEnd w:id="499"/>
    </w:p>
    <w:tbl>
      <w:tblPr>
        <w:tblStyle w:val="TableGrid"/>
        <w:tblW w:w="5000" w:type="pct"/>
        <w:tblLayout w:type="fixed"/>
        <w:tblLook w:val="04A0" w:firstRow="1" w:lastRow="0" w:firstColumn="1" w:lastColumn="0" w:noHBand="0" w:noVBand="1"/>
      </w:tblPr>
      <w:tblGrid>
        <w:gridCol w:w="2287"/>
        <w:gridCol w:w="969"/>
        <w:gridCol w:w="969"/>
        <w:gridCol w:w="969"/>
        <w:gridCol w:w="969"/>
        <w:gridCol w:w="969"/>
        <w:gridCol w:w="969"/>
        <w:gridCol w:w="969"/>
      </w:tblGrid>
      <w:tr w:rsidR="0092760B" w:rsidRPr="00027624" w14:paraId="63DC82ED" w14:textId="77777777" w:rsidTr="006D6D26">
        <w:tc>
          <w:tcPr>
            <w:tcW w:w="2410" w:type="dxa"/>
          </w:tcPr>
          <w:p w14:paraId="2F1DF809" w14:textId="77777777" w:rsidR="0092760B" w:rsidRPr="00027624" w:rsidRDefault="0092760B" w:rsidP="002A2FAE">
            <w:pPr>
              <w:pStyle w:val="TableColumnHeadingCentred"/>
            </w:pPr>
            <w:r w:rsidRPr="00027624">
              <w:t>Change</w:t>
            </w:r>
          </w:p>
        </w:tc>
        <w:tc>
          <w:tcPr>
            <w:tcW w:w="2026" w:type="dxa"/>
            <w:gridSpan w:val="2"/>
            <w:vAlign w:val="center"/>
          </w:tcPr>
          <w:p w14:paraId="2BC1451E" w14:textId="77777777" w:rsidR="0092760B" w:rsidRPr="00027624" w:rsidRDefault="0092760B" w:rsidP="002A2FAE">
            <w:pPr>
              <w:pStyle w:val="TableColumnHeadingCentred"/>
            </w:pPr>
            <w:r w:rsidRPr="00027624">
              <w:t>Maximum payment increase</w:t>
            </w:r>
          </w:p>
        </w:tc>
        <w:tc>
          <w:tcPr>
            <w:tcW w:w="3039" w:type="dxa"/>
            <w:gridSpan w:val="3"/>
            <w:vAlign w:val="center"/>
          </w:tcPr>
          <w:p w14:paraId="30854D31" w14:textId="77777777" w:rsidR="0092760B" w:rsidRPr="00027624" w:rsidRDefault="0092760B" w:rsidP="002A2FAE">
            <w:pPr>
              <w:pStyle w:val="TableColumnHeadingCentred"/>
            </w:pPr>
            <w:r w:rsidRPr="00027624">
              <w:t>Retiree income poverty</w:t>
            </w:r>
            <w:r w:rsidRPr="00027624">
              <w:br/>
              <w:t>(per cent)</w:t>
            </w:r>
          </w:p>
        </w:tc>
        <w:tc>
          <w:tcPr>
            <w:tcW w:w="2026" w:type="dxa"/>
            <w:gridSpan w:val="2"/>
            <w:vAlign w:val="center"/>
          </w:tcPr>
          <w:p w14:paraId="04EF1A9C" w14:textId="77777777" w:rsidR="0092760B" w:rsidRPr="00027624" w:rsidRDefault="0092760B" w:rsidP="002A2FAE">
            <w:pPr>
              <w:pStyle w:val="TableColumnHeadingCentred"/>
            </w:pPr>
            <w:r w:rsidRPr="00027624">
              <w:t xml:space="preserve">Indicative fiscal cost </w:t>
            </w:r>
            <w:r w:rsidRPr="00027624">
              <w:br/>
              <w:t>($million)</w:t>
            </w:r>
          </w:p>
        </w:tc>
      </w:tr>
      <w:tr w:rsidR="0092760B" w:rsidRPr="00027624" w14:paraId="66F50FA3" w14:textId="77777777" w:rsidTr="006D6D26">
        <w:tc>
          <w:tcPr>
            <w:tcW w:w="2410" w:type="dxa"/>
            <w:shd w:val="clear" w:color="auto" w:fill="auto"/>
          </w:tcPr>
          <w:p w14:paraId="1D97970A" w14:textId="77777777" w:rsidR="0092760B" w:rsidRPr="00027624" w:rsidRDefault="0092760B" w:rsidP="002A2FAE">
            <w:pPr>
              <w:pStyle w:val="TableTextLeft"/>
            </w:pPr>
          </w:p>
        </w:tc>
        <w:tc>
          <w:tcPr>
            <w:tcW w:w="1013" w:type="dxa"/>
            <w:shd w:val="clear" w:color="auto" w:fill="auto"/>
            <w:vAlign w:val="center"/>
          </w:tcPr>
          <w:p w14:paraId="5B8A2569" w14:textId="77777777" w:rsidR="0092760B" w:rsidRPr="00027624" w:rsidRDefault="0092760B" w:rsidP="002A2FAE">
            <w:pPr>
              <w:pStyle w:val="TableTextLeft"/>
              <w:jc w:val="center"/>
            </w:pPr>
            <w:r w:rsidRPr="00027624">
              <w:t>Per cent</w:t>
            </w:r>
          </w:p>
        </w:tc>
        <w:tc>
          <w:tcPr>
            <w:tcW w:w="1013" w:type="dxa"/>
            <w:shd w:val="clear" w:color="auto" w:fill="auto"/>
            <w:vAlign w:val="center"/>
          </w:tcPr>
          <w:p w14:paraId="5DCA119F" w14:textId="77777777" w:rsidR="0092760B" w:rsidRPr="00027624" w:rsidRDefault="0092760B" w:rsidP="002A2FAE">
            <w:pPr>
              <w:pStyle w:val="TableTextLeft"/>
              <w:jc w:val="center"/>
            </w:pPr>
            <w:r w:rsidRPr="00027624">
              <w:t>$ per year</w:t>
            </w:r>
          </w:p>
        </w:tc>
        <w:tc>
          <w:tcPr>
            <w:tcW w:w="1013" w:type="dxa"/>
            <w:shd w:val="clear" w:color="auto" w:fill="auto"/>
            <w:vAlign w:val="center"/>
          </w:tcPr>
          <w:p w14:paraId="2C12F0DB" w14:textId="77777777" w:rsidR="0092760B" w:rsidRPr="00027624" w:rsidRDefault="0092760B" w:rsidP="002A2FAE">
            <w:pPr>
              <w:pStyle w:val="TableTextLeft"/>
              <w:jc w:val="center"/>
            </w:pPr>
            <w:r w:rsidRPr="00027624">
              <w:t>All renters</w:t>
            </w:r>
          </w:p>
        </w:tc>
        <w:tc>
          <w:tcPr>
            <w:tcW w:w="1013" w:type="dxa"/>
            <w:shd w:val="clear" w:color="auto" w:fill="auto"/>
            <w:vAlign w:val="center"/>
          </w:tcPr>
          <w:p w14:paraId="6DAED134" w14:textId="77777777" w:rsidR="0092760B" w:rsidRPr="00027624" w:rsidRDefault="0092760B" w:rsidP="002A2FAE">
            <w:pPr>
              <w:pStyle w:val="TableTextLeft"/>
              <w:jc w:val="center"/>
            </w:pPr>
            <w:r w:rsidRPr="00027624">
              <w:t>Single renters</w:t>
            </w:r>
          </w:p>
        </w:tc>
        <w:tc>
          <w:tcPr>
            <w:tcW w:w="1013" w:type="dxa"/>
            <w:shd w:val="clear" w:color="auto" w:fill="auto"/>
            <w:vAlign w:val="center"/>
          </w:tcPr>
          <w:p w14:paraId="669CBB50" w14:textId="77777777" w:rsidR="0092760B" w:rsidRPr="00027624" w:rsidRDefault="0092760B" w:rsidP="002A2FAE">
            <w:pPr>
              <w:pStyle w:val="TableTextLeft"/>
              <w:jc w:val="center"/>
            </w:pPr>
            <w:r w:rsidRPr="00027624">
              <w:t>Couple renters</w:t>
            </w:r>
          </w:p>
        </w:tc>
        <w:tc>
          <w:tcPr>
            <w:tcW w:w="1013" w:type="dxa"/>
            <w:shd w:val="clear" w:color="auto" w:fill="auto"/>
            <w:vAlign w:val="center"/>
          </w:tcPr>
          <w:p w14:paraId="25CADCFB" w14:textId="77777777" w:rsidR="0092760B" w:rsidRPr="00027624" w:rsidRDefault="0092760B" w:rsidP="002A2FAE">
            <w:pPr>
              <w:pStyle w:val="TableTextLeft"/>
              <w:jc w:val="center"/>
            </w:pPr>
            <w:r w:rsidRPr="00027624">
              <w:t>Total</w:t>
            </w:r>
          </w:p>
        </w:tc>
        <w:tc>
          <w:tcPr>
            <w:tcW w:w="1013" w:type="dxa"/>
            <w:shd w:val="clear" w:color="auto" w:fill="auto"/>
            <w:vAlign w:val="center"/>
          </w:tcPr>
          <w:p w14:paraId="728C58C1" w14:textId="77777777" w:rsidR="0092760B" w:rsidRPr="00027624" w:rsidRDefault="0092760B" w:rsidP="002A2FAE">
            <w:pPr>
              <w:pStyle w:val="TableTextLeft"/>
              <w:jc w:val="center"/>
            </w:pPr>
            <w:r w:rsidRPr="00027624">
              <w:t>Age</w:t>
            </w:r>
          </w:p>
          <w:p w14:paraId="0D35E093" w14:textId="77777777" w:rsidR="0092760B" w:rsidRPr="00027624" w:rsidRDefault="0092760B" w:rsidP="002A2FAE">
            <w:pPr>
              <w:pStyle w:val="TableTextLeft"/>
              <w:jc w:val="center"/>
            </w:pPr>
            <w:r w:rsidRPr="00027624">
              <w:t>Pension recipients</w:t>
            </w:r>
          </w:p>
        </w:tc>
      </w:tr>
      <w:tr w:rsidR="0092760B" w:rsidRPr="00027624" w14:paraId="732FC31D" w14:textId="77777777" w:rsidTr="006D6D26">
        <w:tc>
          <w:tcPr>
            <w:tcW w:w="2410" w:type="dxa"/>
            <w:shd w:val="clear" w:color="auto" w:fill="auto"/>
            <w:vAlign w:val="bottom"/>
          </w:tcPr>
          <w:p w14:paraId="6265CECF" w14:textId="77777777" w:rsidR="0092760B" w:rsidRPr="00027624" w:rsidRDefault="0092760B" w:rsidP="002A2FAE">
            <w:pPr>
              <w:pStyle w:val="TableTextLeft"/>
            </w:pPr>
            <w:r w:rsidRPr="00027624">
              <w:t>Increased upper threshold</w:t>
            </w:r>
          </w:p>
        </w:tc>
        <w:tc>
          <w:tcPr>
            <w:tcW w:w="1013" w:type="dxa"/>
            <w:shd w:val="clear" w:color="auto" w:fill="auto"/>
            <w:vAlign w:val="bottom"/>
          </w:tcPr>
          <w:p w14:paraId="76BBB8EE" w14:textId="77777777" w:rsidR="0092760B" w:rsidRPr="00027624" w:rsidRDefault="0092760B" w:rsidP="002A2FAE">
            <w:pPr>
              <w:pStyle w:val="TableTextLeft"/>
              <w:jc w:val="center"/>
            </w:pPr>
            <w:r w:rsidRPr="00027624">
              <w:t>0</w:t>
            </w:r>
          </w:p>
        </w:tc>
        <w:tc>
          <w:tcPr>
            <w:tcW w:w="1013" w:type="dxa"/>
            <w:shd w:val="clear" w:color="auto" w:fill="auto"/>
          </w:tcPr>
          <w:p w14:paraId="1AB28B95" w14:textId="77777777" w:rsidR="0092760B" w:rsidRPr="00027624" w:rsidRDefault="0092760B" w:rsidP="002A2FAE">
            <w:pPr>
              <w:pStyle w:val="TableTextLeft"/>
              <w:jc w:val="center"/>
            </w:pPr>
            <w:r w:rsidRPr="00027624">
              <w:t>0</w:t>
            </w:r>
          </w:p>
        </w:tc>
        <w:tc>
          <w:tcPr>
            <w:tcW w:w="1013" w:type="dxa"/>
            <w:shd w:val="clear" w:color="auto" w:fill="auto"/>
            <w:vAlign w:val="bottom"/>
          </w:tcPr>
          <w:p w14:paraId="4EA19630" w14:textId="77777777" w:rsidR="0092760B" w:rsidRPr="00027624" w:rsidRDefault="0092760B" w:rsidP="002A2FAE">
            <w:pPr>
              <w:pStyle w:val="TableTextLeft"/>
              <w:jc w:val="center"/>
            </w:pPr>
            <w:r w:rsidRPr="00027624">
              <w:rPr>
                <w:rFonts w:cs="Calibri"/>
              </w:rPr>
              <w:t>48.3</w:t>
            </w:r>
          </w:p>
        </w:tc>
        <w:tc>
          <w:tcPr>
            <w:tcW w:w="1013" w:type="dxa"/>
            <w:shd w:val="clear" w:color="auto" w:fill="auto"/>
            <w:vAlign w:val="bottom"/>
          </w:tcPr>
          <w:p w14:paraId="280B9F15" w14:textId="77777777" w:rsidR="0092760B" w:rsidRPr="00027624" w:rsidRDefault="0092760B" w:rsidP="002A2FAE">
            <w:pPr>
              <w:pStyle w:val="TableTextLeft"/>
              <w:jc w:val="center"/>
            </w:pPr>
            <w:r w:rsidRPr="00027624">
              <w:rPr>
                <w:rFonts w:cs="Calibri"/>
              </w:rPr>
              <w:t>56.</w:t>
            </w:r>
            <w:r w:rsidRPr="00027624" w:rsidDel="00DD30FB">
              <w:rPr>
                <w:rFonts w:cs="Calibri"/>
              </w:rPr>
              <w:t>9</w:t>
            </w:r>
          </w:p>
        </w:tc>
        <w:tc>
          <w:tcPr>
            <w:tcW w:w="1013" w:type="dxa"/>
            <w:shd w:val="clear" w:color="auto" w:fill="auto"/>
            <w:vAlign w:val="bottom"/>
          </w:tcPr>
          <w:p w14:paraId="60E2B4D4" w14:textId="77777777" w:rsidR="0092760B" w:rsidRPr="00027624" w:rsidRDefault="0092760B" w:rsidP="002A2FAE">
            <w:pPr>
              <w:pStyle w:val="TableTextLeft"/>
              <w:jc w:val="center"/>
            </w:pPr>
            <w:r w:rsidRPr="00027624">
              <w:rPr>
                <w:rFonts w:cs="Calibri"/>
              </w:rPr>
              <w:t>23.2</w:t>
            </w:r>
          </w:p>
        </w:tc>
        <w:tc>
          <w:tcPr>
            <w:tcW w:w="1013" w:type="dxa"/>
            <w:shd w:val="clear" w:color="auto" w:fill="auto"/>
            <w:vAlign w:val="bottom"/>
          </w:tcPr>
          <w:p w14:paraId="74401ECD" w14:textId="77777777" w:rsidR="0092760B" w:rsidRPr="00027624" w:rsidRDefault="0092760B">
            <w:pPr>
              <w:pStyle w:val="TableTextLeft"/>
              <w:jc w:val="center"/>
            </w:pPr>
            <w:r w:rsidRPr="00027624">
              <w:rPr>
                <w:rFonts w:cs="Calibri"/>
              </w:rPr>
              <w:t>0</w:t>
            </w:r>
          </w:p>
        </w:tc>
        <w:tc>
          <w:tcPr>
            <w:tcW w:w="1013" w:type="dxa"/>
            <w:shd w:val="clear" w:color="auto" w:fill="auto"/>
            <w:vAlign w:val="bottom"/>
          </w:tcPr>
          <w:p w14:paraId="5AEA8CFE" w14:textId="77777777" w:rsidR="0092760B" w:rsidRPr="00027624" w:rsidRDefault="0092760B">
            <w:pPr>
              <w:pStyle w:val="TableTextLeft"/>
              <w:jc w:val="center"/>
            </w:pPr>
            <w:r w:rsidRPr="00027624">
              <w:rPr>
                <w:rFonts w:cs="Calibri"/>
              </w:rPr>
              <w:t>0</w:t>
            </w:r>
          </w:p>
        </w:tc>
      </w:tr>
      <w:tr w:rsidR="0092760B" w:rsidRPr="00027624" w14:paraId="53D9AFAA" w14:textId="77777777" w:rsidTr="006D6D26">
        <w:tc>
          <w:tcPr>
            <w:tcW w:w="2410" w:type="dxa"/>
            <w:shd w:val="clear" w:color="auto" w:fill="auto"/>
          </w:tcPr>
          <w:p w14:paraId="0A5D1D62" w14:textId="77777777" w:rsidR="0092760B" w:rsidRPr="00027624" w:rsidRDefault="0092760B" w:rsidP="002A2FAE">
            <w:pPr>
              <w:pStyle w:val="TableTextLeft"/>
            </w:pPr>
            <w:r w:rsidRPr="00027624">
              <w:t>Increased upper threshold</w:t>
            </w:r>
          </w:p>
        </w:tc>
        <w:tc>
          <w:tcPr>
            <w:tcW w:w="1013" w:type="dxa"/>
            <w:shd w:val="clear" w:color="auto" w:fill="auto"/>
            <w:vAlign w:val="bottom"/>
          </w:tcPr>
          <w:p w14:paraId="313CF72B" w14:textId="77777777" w:rsidR="0092760B" w:rsidRPr="00027624" w:rsidRDefault="0092760B" w:rsidP="002A2FAE">
            <w:pPr>
              <w:pStyle w:val="TableTextLeft"/>
              <w:jc w:val="center"/>
            </w:pPr>
            <w:r w:rsidRPr="00027624">
              <w:t>20</w:t>
            </w:r>
          </w:p>
        </w:tc>
        <w:tc>
          <w:tcPr>
            <w:tcW w:w="1013" w:type="dxa"/>
            <w:shd w:val="clear" w:color="auto" w:fill="auto"/>
          </w:tcPr>
          <w:p w14:paraId="0AE2F9CD" w14:textId="77777777" w:rsidR="0092760B" w:rsidRPr="00027624" w:rsidRDefault="0092760B" w:rsidP="002A2FAE">
            <w:pPr>
              <w:pStyle w:val="TableTextLeft"/>
              <w:jc w:val="center"/>
            </w:pPr>
            <w:r w:rsidRPr="00027624">
              <w:t>730</w:t>
            </w:r>
          </w:p>
        </w:tc>
        <w:tc>
          <w:tcPr>
            <w:tcW w:w="1013" w:type="dxa"/>
            <w:shd w:val="clear" w:color="auto" w:fill="auto"/>
            <w:vAlign w:val="bottom"/>
          </w:tcPr>
          <w:p w14:paraId="4095E465" w14:textId="77777777" w:rsidR="0092760B" w:rsidRPr="00027624" w:rsidRDefault="0092760B" w:rsidP="002A2FAE">
            <w:pPr>
              <w:pStyle w:val="TableTextLeft"/>
              <w:jc w:val="center"/>
            </w:pPr>
            <w:r w:rsidRPr="00027624">
              <w:rPr>
                <w:rFonts w:cs="Calibri"/>
              </w:rPr>
              <w:t>46.1</w:t>
            </w:r>
          </w:p>
        </w:tc>
        <w:tc>
          <w:tcPr>
            <w:tcW w:w="1013" w:type="dxa"/>
            <w:shd w:val="clear" w:color="auto" w:fill="auto"/>
            <w:vAlign w:val="bottom"/>
          </w:tcPr>
          <w:p w14:paraId="5167D600" w14:textId="77777777" w:rsidR="0092760B" w:rsidRPr="00027624" w:rsidRDefault="0092760B" w:rsidP="002A2FAE">
            <w:pPr>
              <w:pStyle w:val="TableTextLeft"/>
              <w:jc w:val="center"/>
            </w:pPr>
            <w:r w:rsidRPr="00027624">
              <w:rPr>
                <w:rFonts w:cs="Calibri"/>
              </w:rPr>
              <w:t>54.2</w:t>
            </w:r>
          </w:p>
        </w:tc>
        <w:tc>
          <w:tcPr>
            <w:tcW w:w="1013" w:type="dxa"/>
            <w:shd w:val="clear" w:color="auto" w:fill="auto"/>
            <w:vAlign w:val="bottom"/>
          </w:tcPr>
          <w:p w14:paraId="178999A4" w14:textId="77777777" w:rsidR="0092760B" w:rsidRPr="00027624" w:rsidRDefault="0092760B" w:rsidP="002A2FAE">
            <w:pPr>
              <w:pStyle w:val="TableTextLeft"/>
              <w:jc w:val="center"/>
            </w:pPr>
            <w:r w:rsidRPr="00027624">
              <w:rPr>
                <w:rFonts w:cs="Calibri"/>
              </w:rPr>
              <w:t>22.6</w:t>
            </w:r>
          </w:p>
        </w:tc>
        <w:tc>
          <w:tcPr>
            <w:tcW w:w="1013" w:type="dxa"/>
            <w:shd w:val="clear" w:color="auto" w:fill="auto"/>
            <w:vAlign w:val="bottom"/>
          </w:tcPr>
          <w:p w14:paraId="14D7E1AD" w14:textId="77777777" w:rsidR="0092760B" w:rsidRPr="00027624" w:rsidRDefault="0092760B" w:rsidP="002A2FAE">
            <w:pPr>
              <w:pStyle w:val="TableTextLeft"/>
              <w:jc w:val="center"/>
            </w:pPr>
            <w:r w:rsidRPr="00027624">
              <w:rPr>
                <w:rFonts w:cs="Calibri"/>
              </w:rPr>
              <w:t>870</w:t>
            </w:r>
          </w:p>
        </w:tc>
        <w:tc>
          <w:tcPr>
            <w:tcW w:w="1013" w:type="dxa"/>
            <w:shd w:val="clear" w:color="auto" w:fill="auto"/>
            <w:vAlign w:val="bottom"/>
          </w:tcPr>
          <w:p w14:paraId="38F96D0F" w14:textId="77777777" w:rsidR="0092760B" w:rsidRPr="00027624" w:rsidRDefault="0092760B">
            <w:pPr>
              <w:pStyle w:val="TableTextLeft"/>
              <w:jc w:val="center"/>
            </w:pPr>
            <w:r w:rsidRPr="00027624">
              <w:rPr>
                <w:rFonts w:cs="Calibri"/>
              </w:rPr>
              <w:t>180</w:t>
            </w:r>
          </w:p>
        </w:tc>
      </w:tr>
      <w:tr w:rsidR="0092760B" w:rsidRPr="00027624" w14:paraId="31743D74" w14:textId="77777777" w:rsidTr="006D6D26">
        <w:tc>
          <w:tcPr>
            <w:tcW w:w="2410" w:type="dxa"/>
            <w:shd w:val="clear" w:color="auto" w:fill="auto"/>
          </w:tcPr>
          <w:p w14:paraId="6134F714" w14:textId="77777777" w:rsidR="0092760B" w:rsidRPr="00027624" w:rsidRDefault="0092760B" w:rsidP="002A2FAE">
            <w:pPr>
              <w:pStyle w:val="TableTextLeft"/>
            </w:pPr>
            <w:r w:rsidRPr="00027624">
              <w:t>Increased upper threshold</w:t>
            </w:r>
          </w:p>
        </w:tc>
        <w:tc>
          <w:tcPr>
            <w:tcW w:w="1013" w:type="dxa"/>
            <w:shd w:val="clear" w:color="auto" w:fill="auto"/>
            <w:vAlign w:val="bottom"/>
          </w:tcPr>
          <w:p w14:paraId="47F7B0CD" w14:textId="77777777" w:rsidR="0092760B" w:rsidRPr="00027624" w:rsidRDefault="0092760B" w:rsidP="002A2FAE">
            <w:pPr>
              <w:pStyle w:val="TableTextLeft"/>
              <w:jc w:val="center"/>
            </w:pPr>
            <w:r w:rsidRPr="00027624">
              <w:t>40</w:t>
            </w:r>
          </w:p>
        </w:tc>
        <w:tc>
          <w:tcPr>
            <w:tcW w:w="1013" w:type="dxa"/>
            <w:shd w:val="clear" w:color="auto" w:fill="auto"/>
          </w:tcPr>
          <w:p w14:paraId="04468FF4" w14:textId="77777777" w:rsidR="0092760B" w:rsidRPr="00027624" w:rsidRDefault="0092760B" w:rsidP="002A2FAE">
            <w:pPr>
              <w:pStyle w:val="TableTextLeft"/>
              <w:jc w:val="center"/>
            </w:pPr>
            <w:r w:rsidRPr="00027624">
              <w:t>1,450</w:t>
            </w:r>
          </w:p>
        </w:tc>
        <w:tc>
          <w:tcPr>
            <w:tcW w:w="1013" w:type="dxa"/>
            <w:shd w:val="clear" w:color="auto" w:fill="auto"/>
            <w:vAlign w:val="bottom"/>
          </w:tcPr>
          <w:p w14:paraId="220D3133" w14:textId="77777777" w:rsidR="0092760B" w:rsidRPr="00027624" w:rsidRDefault="0092760B" w:rsidP="002A2FAE">
            <w:pPr>
              <w:pStyle w:val="TableTextLeft"/>
              <w:jc w:val="center"/>
            </w:pPr>
            <w:r w:rsidRPr="00027624">
              <w:rPr>
                <w:rFonts w:cs="Calibri"/>
              </w:rPr>
              <w:t>45.0</w:t>
            </w:r>
          </w:p>
        </w:tc>
        <w:tc>
          <w:tcPr>
            <w:tcW w:w="1013" w:type="dxa"/>
            <w:shd w:val="clear" w:color="auto" w:fill="auto"/>
            <w:vAlign w:val="bottom"/>
          </w:tcPr>
          <w:p w14:paraId="6F2535C9" w14:textId="77777777" w:rsidR="0092760B" w:rsidRPr="00027624" w:rsidRDefault="0092760B" w:rsidP="002A2FAE">
            <w:pPr>
              <w:pStyle w:val="TableTextLeft"/>
              <w:jc w:val="center"/>
            </w:pPr>
            <w:r w:rsidRPr="00027624">
              <w:rPr>
                <w:rFonts w:cs="Calibri"/>
              </w:rPr>
              <w:t>53.2</w:t>
            </w:r>
          </w:p>
        </w:tc>
        <w:tc>
          <w:tcPr>
            <w:tcW w:w="1013" w:type="dxa"/>
            <w:shd w:val="clear" w:color="auto" w:fill="auto"/>
            <w:vAlign w:val="bottom"/>
          </w:tcPr>
          <w:p w14:paraId="018D4C12" w14:textId="77777777" w:rsidR="0092760B" w:rsidRPr="00027624" w:rsidRDefault="0092760B" w:rsidP="002A2FAE">
            <w:pPr>
              <w:pStyle w:val="TableTextLeft"/>
              <w:jc w:val="center"/>
            </w:pPr>
            <w:r w:rsidRPr="00027624">
              <w:rPr>
                <w:rFonts w:cs="Calibri"/>
              </w:rPr>
              <w:t>21.1</w:t>
            </w:r>
          </w:p>
        </w:tc>
        <w:tc>
          <w:tcPr>
            <w:tcW w:w="1013" w:type="dxa"/>
            <w:shd w:val="clear" w:color="auto" w:fill="auto"/>
            <w:vAlign w:val="bottom"/>
          </w:tcPr>
          <w:p w14:paraId="24ABFF52" w14:textId="77777777" w:rsidR="0092760B" w:rsidRPr="00027624" w:rsidRDefault="0092760B" w:rsidP="002A2FAE">
            <w:pPr>
              <w:pStyle w:val="TableTextLeft"/>
              <w:jc w:val="center"/>
            </w:pPr>
            <w:r w:rsidRPr="00027624">
              <w:rPr>
                <w:rFonts w:cs="Calibri"/>
              </w:rPr>
              <w:t>1,740</w:t>
            </w:r>
          </w:p>
        </w:tc>
        <w:tc>
          <w:tcPr>
            <w:tcW w:w="1013" w:type="dxa"/>
            <w:shd w:val="clear" w:color="auto" w:fill="auto"/>
            <w:vAlign w:val="bottom"/>
          </w:tcPr>
          <w:p w14:paraId="756EA9C7" w14:textId="77777777" w:rsidR="0092760B" w:rsidRPr="00027624" w:rsidRDefault="0092760B">
            <w:pPr>
              <w:pStyle w:val="TableTextLeft"/>
              <w:jc w:val="center"/>
            </w:pPr>
            <w:r w:rsidRPr="00027624">
              <w:rPr>
                <w:rFonts w:cs="Calibri"/>
              </w:rPr>
              <w:t>370</w:t>
            </w:r>
          </w:p>
        </w:tc>
      </w:tr>
      <w:tr w:rsidR="0092760B" w:rsidRPr="00027624" w14:paraId="24D32E2E" w14:textId="77777777" w:rsidTr="006D6D26">
        <w:tc>
          <w:tcPr>
            <w:tcW w:w="2410" w:type="dxa"/>
            <w:shd w:val="clear" w:color="auto" w:fill="auto"/>
          </w:tcPr>
          <w:p w14:paraId="53665AA4" w14:textId="77777777" w:rsidR="0092760B" w:rsidRPr="00027624" w:rsidRDefault="0092760B" w:rsidP="002A2FAE">
            <w:pPr>
              <w:pStyle w:val="TableTextLeft"/>
            </w:pPr>
            <w:r w:rsidRPr="00027624">
              <w:t>Increased upper threshold</w:t>
            </w:r>
          </w:p>
        </w:tc>
        <w:tc>
          <w:tcPr>
            <w:tcW w:w="1013" w:type="dxa"/>
            <w:shd w:val="clear" w:color="auto" w:fill="auto"/>
            <w:vAlign w:val="bottom"/>
          </w:tcPr>
          <w:p w14:paraId="18B014B5" w14:textId="77777777" w:rsidR="0092760B" w:rsidRPr="00027624" w:rsidRDefault="0092760B" w:rsidP="002A2FAE">
            <w:pPr>
              <w:pStyle w:val="TableTextLeft"/>
              <w:jc w:val="center"/>
            </w:pPr>
            <w:r w:rsidRPr="00027624">
              <w:t>60</w:t>
            </w:r>
          </w:p>
        </w:tc>
        <w:tc>
          <w:tcPr>
            <w:tcW w:w="1013" w:type="dxa"/>
            <w:shd w:val="clear" w:color="auto" w:fill="auto"/>
          </w:tcPr>
          <w:p w14:paraId="3617100A" w14:textId="77777777" w:rsidR="0092760B" w:rsidRPr="00027624" w:rsidRDefault="0092760B" w:rsidP="002A2FAE">
            <w:pPr>
              <w:pStyle w:val="TableTextLeft"/>
              <w:jc w:val="center"/>
            </w:pPr>
            <w:r w:rsidRPr="00027624">
              <w:t>2,180</w:t>
            </w:r>
          </w:p>
        </w:tc>
        <w:tc>
          <w:tcPr>
            <w:tcW w:w="1013" w:type="dxa"/>
            <w:shd w:val="clear" w:color="auto" w:fill="auto"/>
            <w:vAlign w:val="bottom"/>
          </w:tcPr>
          <w:p w14:paraId="2DCF1086" w14:textId="77777777" w:rsidR="0092760B" w:rsidRPr="00027624" w:rsidRDefault="0092760B" w:rsidP="002A2FAE">
            <w:pPr>
              <w:pStyle w:val="TableTextLeft"/>
              <w:jc w:val="center"/>
            </w:pPr>
            <w:r w:rsidRPr="00027624">
              <w:rPr>
                <w:rFonts w:cs="Calibri"/>
              </w:rPr>
              <w:t>44.0</w:t>
            </w:r>
          </w:p>
        </w:tc>
        <w:tc>
          <w:tcPr>
            <w:tcW w:w="1013" w:type="dxa"/>
            <w:shd w:val="clear" w:color="auto" w:fill="auto"/>
            <w:vAlign w:val="bottom"/>
          </w:tcPr>
          <w:p w14:paraId="7BB9A3B1" w14:textId="77777777" w:rsidR="0092760B" w:rsidRPr="00027624" w:rsidRDefault="0092760B" w:rsidP="002A2FAE">
            <w:pPr>
              <w:pStyle w:val="TableTextLeft"/>
              <w:jc w:val="center"/>
            </w:pPr>
            <w:r w:rsidRPr="00027624">
              <w:rPr>
                <w:rFonts w:cs="Calibri"/>
              </w:rPr>
              <w:t>51.9</w:t>
            </w:r>
          </w:p>
        </w:tc>
        <w:tc>
          <w:tcPr>
            <w:tcW w:w="1013" w:type="dxa"/>
            <w:shd w:val="clear" w:color="auto" w:fill="auto"/>
            <w:vAlign w:val="bottom"/>
          </w:tcPr>
          <w:p w14:paraId="1BC9B44A" w14:textId="77777777" w:rsidR="0092760B" w:rsidRPr="00027624" w:rsidRDefault="0092760B" w:rsidP="002A2FAE">
            <w:pPr>
              <w:pStyle w:val="TableTextLeft"/>
              <w:jc w:val="center"/>
            </w:pPr>
            <w:r w:rsidRPr="00027624">
              <w:rPr>
                <w:rFonts w:cs="Calibri"/>
              </w:rPr>
              <w:t>20.9</w:t>
            </w:r>
          </w:p>
        </w:tc>
        <w:tc>
          <w:tcPr>
            <w:tcW w:w="1013" w:type="dxa"/>
            <w:shd w:val="clear" w:color="auto" w:fill="auto"/>
            <w:vAlign w:val="bottom"/>
          </w:tcPr>
          <w:p w14:paraId="24163F72" w14:textId="77777777" w:rsidR="0092760B" w:rsidRPr="00027624" w:rsidRDefault="0092760B" w:rsidP="002A2FAE">
            <w:pPr>
              <w:pStyle w:val="TableTextLeft"/>
              <w:jc w:val="center"/>
            </w:pPr>
            <w:r w:rsidRPr="00027624">
              <w:rPr>
                <w:rFonts w:cs="Calibri"/>
              </w:rPr>
              <w:t>2,610</w:t>
            </w:r>
          </w:p>
        </w:tc>
        <w:tc>
          <w:tcPr>
            <w:tcW w:w="1013" w:type="dxa"/>
            <w:shd w:val="clear" w:color="auto" w:fill="auto"/>
            <w:vAlign w:val="bottom"/>
          </w:tcPr>
          <w:p w14:paraId="048CB39D" w14:textId="77777777" w:rsidR="0092760B" w:rsidRPr="00027624" w:rsidRDefault="0092760B">
            <w:pPr>
              <w:pStyle w:val="TableTextLeft"/>
              <w:jc w:val="center"/>
            </w:pPr>
            <w:r w:rsidRPr="00027624">
              <w:rPr>
                <w:rFonts w:cs="Calibri"/>
              </w:rPr>
              <w:t>550</w:t>
            </w:r>
          </w:p>
        </w:tc>
      </w:tr>
      <w:tr w:rsidR="0092760B" w:rsidRPr="00027624" w14:paraId="00CE70E1" w14:textId="77777777" w:rsidTr="006D6D26">
        <w:tc>
          <w:tcPr>
            <w:tcW w:w="2410" w:type="dxa"/>
            <w:shd w:val="clear" w:color="auto" w:fill="auto"/>
          </w:tcPr>
          <w:p w14:paraId="549F71A0" w14:textId="77777777" w:rsidR="0092760B" w:rsidRPr="00027624" w:rsidRDefault="0092760B" w:rsidP="002A2FAE">
            <w:pPr>
              <w:pStyle w:val="TableTextLeft"/>
            </w:pPr>
            <w:r w:rsidRPr="00027624">
              <w:t>Increased upper threshold</w:t>
            </w:r>
          </w:p>
        </w:tc>
        <w:tc>
          <w:tcPr>
            <w:tcW w:w="1013" w:type="dxa"/>
            <w:shd w:val="clear" w:color="auto" w:fill="auto"/>
            <w:vAlign w:val="bottom"/>
          </w:tcPr>
          <w:p w14:paraId="03D6FBF1" w14:textId="77777777" w:rsidR="0092760B" w:rsidRPr="00027624" w:rsidRDefault="0092760B" w:rsidP="002A2FAE">
            <w:pPr>
              <w:pStyle w:val="TableTextLeft"/>
              <w:jc w:val="center"/>
            </w:pPr>
            <w:r w:rsidRPr="00027624">
              <w:t>80</w:t>
            </w:r>
          </w:p>
        </w:tc>
        <w:tc>
          <w:tcPr>
            <w:tcW w:w="1013" w:type="dxa"/>
            <w:shd w:val="clear" w:color="auto" w:fill="auto"/>
          </w:tcPr>
          <w:p w14:paraId="698C06D8" w14:textId="77777777" w:rsidR="0092760B" w:rsidRPr="00027624" w:rsidRDefault="0092760B" w:rsidP="002A2FAE">
            <w:pPr>
              <w:pStyle w:val="TableTextLeft"/>
              <w:jc w:val="center"/>
            </w:pPr>
            <w:r w:rsidRPr="00027624">
              <w:t>2,900</w:t>
            </w:r>
          </w:p>
        </w:tc>
        <w:tc>
          <w:tcPr>
            <w:tcW w:w="1013" w:type="dxa"/>
            <w:shd w:val="clear" w:color="auto" w:fill="auto"/>
            <w:vAlign w:val="bottom"/>
          </w:tcPr>
          <w:p w14:paraId="3BEF7272" w14:textId="77777777" w:rsidR="0092760B" w:rsidRPr="00027624" w:rsidRDefault="0092760B" w:rsidP="002A2FAE">
            <w:pPr>
              <w:pStyle w:val="TableTextLeft"/>
              <w:jc w:val="center"/>
            </w:pPr>
            <w:r w:rsidRPr="00027624">
              <w:rPr>
                <w:rFonts w:cs="Calibri"/>
              </w:rPr>
              <w:t>42.6</w:t>
            </w:r>
          </w:p>
        </w:tc>
        <w:tc>
          <w:tcPr>
            <w:tcW w:w="1013" w:type="dxa"/>
            <w:shd w:val="clear" w:color="auto" w:fill="auto"/>
            <w:vAlign w:val="bottom"/>
          </w:tcPr>
          <w:p w14:paraId="6C06616B" w14:textId="77777777" w:rsidR="0092760B" w:rsidRPr="00027624" w:rsidRDefault="0092760B" w:rsidP="002A2FAE">
            <w:pPr>
              <w:pStyle w:val="TableTextLeft"/>
              <w:jc w:val="center"/>
            </w:pPr>
            <w:r w:rsidRPr="00027624">
              <w:rPr>
                <w:rFonts w:cs="Calibri"/>
              </w:rPr>
              <w:t>50.3</w:t>
            </w:r>
          </w:p>
        </w:tc>
        <w:tc>
          <w:tcPr>
            <w:tcW w:w="1013" w:type="dxa"/>
            <w:shd w:val="clear" w:color="auto" w:fill="auto"/>
            <w:vAlign w:val="bottom"/>
          </w:tcPr>
          <w:p w14:paraId="4BD43630" w14:textId="77777777" w:rsidR="0092760B" w:rsidRPr="00027624" w:rsidRDefault="0092760B" w:rsidP="002A2FAE">
            <w:pPr>
              <w:pStyle w:val="TableTextLeft"/>
              <w:jc w:val="center"/>
            </w:pPr>
            <w:r w:rsidRPr="00027624">
              <w:rPr>
                <w:rFonts w:cs="Calibri"/>
              </w:rPr>
              <w:t>20.5</w:t>
            </w:r>
          </w:p>
        </w:tc>
        <w:tc>
          <w:tcPr>
            <w:tcW w:w="1013" w:type="dxa"/>
            <w:shd w:val="clear" w:color="auto" w:fill="auto"/>
            <w:vAlign w:val="bottom"/>
          </w:tcPr>
          <w:p w14:paraId="272FB411" w14:textId="77777777" w:rsidR="0092760B" w:rsidRPr="00027624" w:rsidRDefault="0092760B">
            <w:pPr>
              <w:pStyle w:val="TableTextLeft"/>
              <w:jc w:val="center"/>
            </w:pPr>
            <w:r w:rsidRPr="00027624">
              <w:rPr>
                <w:rFonts w:cs="Calibri"/>
              </w:rPr>
              <w:t>3,470</w:t>
            </w:r>
          </w:p>
        </w:tc>
        <w:tc>
          <w:tcPr>
            <w:tcW w:w="1013" w:type="dxa"/>
            <w:shd w:val="clear" w:color="auto" w:fill="auto"/>
            <w:vAlign w:val="bottom"/>
          </w:tcPr>
          <w:p w14:paraId="6C1BC7D7" w14:textId="77777777" w:rsidR="0092760B" w:rsidRPr="00027624" w:rsidRDefault="0092760B" w:rsidP="002A2FAE">
            <w:pPr>
              <w:pStyle w:val="TableTextLeft"/>
              <w:jc w:val="center"/>
            </w:pPr>
            <w:r w:rsidRPr="00027624">
              <w:rPr>
                <w:rFonts w:cs="Calibri"/>
              </w:rPr>
              <w:t>740</w:t>
            </w:r>
          </w:p>
        </w:tc>
      </w:tr>
      <w:tr w:rsidR="0092760B" w:rsidRPr="00027624" w14:paraId="4AD9FF92" w14:textId="77777777" w:rsidTr="006D6D26">
        <w:tc>
          <w:tcPr>
            <w:tcW w:w="2410" w:type="dxa"/>
            <w:shd w:val="clear" w:color="auto" w:fill="auto"/>
          </w:tcPr>
          <w:p w14:paraId="0ACD1F44" w14:textId="77777777" w:rsidR="0092760B" w:rsidRPr="00027624" w:rsidRDefault="0092760B" w:rsidP="002A2FAE">
            <w:pPr>
              <w:pStyle w:val="TableTextLeft"/>
            </w:pPr>
            <w:r w:rsidRPr="00027624">
              <w:t>Increased upper threshold</w:t>
            </w:r>
          </w:p>
        </w:tc>
        <w:tc>
          <w:tcPr>
            <w:tcW w:w="1013" w:type="dxa"/>
            <w:shd w:val="clear" w:color="auto" w:fill="auto"/>
            <w:vAlign w:val="bottom"/>
          </w:tcPr>
          <w:p w14:paraId="7A3517AB" w14:textId="77777777" w:rsidR="0092760B" w:rsidRPr="00027624" w:rsidRDefault="0092760B" w:rsidP="002A2FAE">
            <w:pPr>
              <w:pStyle w:val="TableTextLeft"/>
              <w:jc w:val="center"/>
            </w:pPr>
            <w:r w:rsidRPr="00027624">
              <w:t>100</w:t>
            </w:r>
          </w:p>
        </w:tc>
        <w:tc>
          <w:tcPr>
            <w:tcW w:w="1013" w:type="dxa"/>
            <w:shd w:val="clear" w:color="auto" w:fill="auto"/>
          </w:tcPr>
          <w:p w14:paraId="61D9E7A7" w14:textId="77777777" w:rsidR="0092760B" w:rsidRPr="00027624" w:rsidRDefault="0092760B" w:rsidP="002A2FAE">
            <w:pPr>
              <w:pStyle w:val="TableTextLeft"/>
              <w:jc w:val="center"/>
            </w:pPr>
            <w:r w:rsidRPr="00027624">
              <w:t>3,630</w:t>
            </w:r>
          </w:p>
        </w:tc>
        <w:tc>
          <w:tcPr>
            <w:tcW w:w="1013" w:type="dxa"/>
            <w:shd w:val="clear" w:color="auto" w:fill="auto"/>
            <w:vAlign w:val="bottom"/>
          </w:tcPr>
          <w:p w14:paraId="7F98E2E2" w14:textId="77777777" w:rsidR="0092760B" w:rsidRPr="00027624" w:rsidRDefault="0092760B" w:rsidP="002A2FAE">
            <w:pPr>
              <w:pStyle w:val="TableTextLeft"/>
              <w:jc w:val="center"/>
            </w:pPr>
            <w:r w:rsidRPr="00027624">
              <w:rPr>
                <w:rFonts w:cs="Calibri"/>
              </w:rPr>
              <w:t>41.8</w:t>
            </w:r>
          </w:p>
        </w:tc>
        <w:tc>
          <w:tcPr>
            <w:tcW w:w="1013" w:type="dxa"/>
            <w:shd w:val="clear" w:color="auto" w:fill="auto"/>
            <w:vAlign w:val="bottom"/>
          </w:tcPr>
          <w:p w14:paraId="2744E38D" w14:textId="77777777" w:rsidR="0092760B" w:rsidRPr="00027624" w:rsidRDefault="0092760B" w:rsidP="002A2FAE">
            <w:pPr>
              <w:pStyle w:val="TableTextLeft"/>
              <w:jc w:val="center"/>
            </w:pPr>
            <w:r w:rsidRPr="00027624">
              <w:rPr>
                <w:rFonts w:cs="Calibri"/>
              </w:rPr>
              <w:t>49.7</w:t>
            </w:r>
          </w:p>
        </w:tc>
        <w:tc>
          <w:tcPr>
            <w:tcW w:w="1013" w:type="dxa"/>
            <w:shd w:val="clear" w:color="auto" w:fill="auto"/>
            <w:vAlign w:val="bottom"/>
          </w:tcPr>
          <w:p w14:paraId="18DA5DFC" w14:textId="77777777" w:rsidR="0092760B" w:rsidRPr="00027624" w:rsidRDefault="0092760B" w:rsidP="002A2FAE">
            <w:pPr>
              <w:pStyle w:val="TableTextLeft"/>
              <w:jc w:val="center"/>
            </w:pPr>
            <w:r w:rsidRPr="00027624">
              <w:rPr>
                <w:rFonts w:cs="Calibri"/>
              </w:rPr>
              <w:t>19.0</w:t>
            </w:r>
          </w:p>
        </w:tc>
        <w:tc>
          <w:tcPr>
            <w:tcW w:w="1013" w:type="dxa"/>
            <w:shd w:val="clear" w:color="auto" w:fill="auto"/>
            <w:vAlign w:val="bottom"/>
          </w:tcPr>
          <w:p w14:paraId="0C544426" w14:textId="77777777" w:rsidR="0092760B" w:rsidRPr="00027624" w:rsidRDefault="0092760B">
            <w:pPr>
              <w:pStyle w:val="TableTextLeft"/>
              <w:jc w:val="center"/>
            </w:pPr>
            <w:r w:rsidRPr="00027624">
              <w:rPr>
                <w:rFonts w:cs="Calibri"/>
              </w:rPr>
              <w:t>4,340</w:t>
            </w:r>
          </w:p>
        </w:tc>
        <w:tc>
          <w:tcPr>
            <w:tcW w:w="1013" w:type="dxa"/>
            <w:shd w:val="clear" w:color="auto" w:fill="auto"/>
            <w:vAlign w:val="bottom"/>
          </w:tcPr>
          <w:p w14:paraId="17C710BE" w14:textId="77777777" w:rsidR="0092760B" w:rsidRPr="00027624" w:rsidRDefault="0092760B" w:rsidP="002A2FAE">
            <w:pPr>
              <w:pStyle w:val="TableTextLeft"/>
              <w:jc w:val="center"/>
            </w:pPr>
            <w:r w:rsidRPr="00027624">
              <w:rPr>
                <w:rFonts w:cs="Calibri"/>
              </w:rPr>
              <w:t>920</w:t>
            </w:r>
          </w:p>
        </w:tc>
      </w:tr>
      <w:tr w:rsidR="0092760B" w:rsidRPr="00027624" w14:paraId="7CBE1251" w14:textId="77777777" w:rsidTr="006D6D26">
        <w:tc>
          <w:tcPr>
            <w:tcW w:w="2410" w:type="dxa"/>
            <w:shd w:val="clear" w:color="auto" w:fill="auto"/>
            <w:vAlign w:val="bottom"/>
          </w:tcPr>
          <w:p w14:paraId="282E66DF" w14:textId="77777777" w:rsidR="0092760B" w:rsidRPr="00027624" w:rsidRDefault="0092760B" w:rsidP="002A2FAE">
            <w:pPr>
              <w:pStyle w:val="TableTextLeft"/>
            </w:pPr>
            <w:r w:rsidRPr="00027624">
              <w:t>Removed lower threshold</w:t>
            </w:r>
          </w:p>
        </w:tc>
        <w:tc>
          <w:tcPr>
            <w:tcW w:w="1013" w:type="dxa"/>
            <w:shd w:val="clear" w:color="auto" w:fill="auto"/>
            <w:vAlign w:val="bottom"/>
          </w:tcPr>
          <w:p w14:paraId="172D42E5" w14:textId="77777777" w:rsidR="0092760B" w:rsidRPr="00027624" w:rsidRDefault="0092760B" w:rsidP="002A2FAE">
            <w:pPr>
              <w:pStyle w:val="TableTextLeft"/>
              <w:jc w:val="center"/>
            </w:pPr>
            <w:r w:rsidRPr="00027624">
              <w:t>n/a</w:t>
            </w:r>
          </w:p>
        </w:tc>
        <w:tc>
          <w:tcPr>
            <w:tcW w:w="1013" w:type="dxa"/>
            <w:shd w:val="clear" w:color="auto" w:fill="auto"/>
          </w:tcPr>
          <w:p w14:paraId="3E6C026A" w14:textId="77777777" w:rsidR="0092760B" w:rsidRPr="00027624" w:rsidRDefault="0092760B" w:rsidP="002A2FAE">
            <w:pPr>
              <w:pStyle w:val="TableTextLeft"/>
              <w:jc w:val="center"/>
            </w:pPr>
            <w:r w:rsidRPr="00027624">
              <w:t>3,730</w:t>
            </w:r>
          </w:p>
        </w:tc>
        <w:tc>
          <w:tcPr>
            <w:tcW w:w="1013" w:type="dxa"/>
            <w:shd w:val="clear" w:color="auto" w:fill="auto"/>
            <w:vAlign w:val="bottom"/>
          </w:tcPr>
          <w:p w14:paraId="50A57153" w14:textId="77777777" w:rsidR="0092760B" w:rsidRPr="00027624" w:rsidRDefault="0092760B" w:rsidP="002A2FAE">
            <w:pPr>
              <w:pStyle w:val="TableTextLeft"/>
              <w:jc w:val="center"/>
            </w:pPr>
            <w:r w:rsidRPr="00027624">
              <w:rPr>
                <w:rFonts w:cs="Calibri"/>
              </w:rPr>
              <w:t>40.9</w:t>
            </w:r>
          </w:p>
        </w:tc>
        <w:tc>
          <w:tcPr>
            <w:tcW w:w="1013" w:type="dxa"/>
            <w:shd w:val="clear" w:color="auto" w:fill="auto"/>
            <w:vAlign w:val="bottom"/>
          </w:tcPr>
          <w:p w14:paraId="75F96EAA" w14:textId="77777777" w:rsidR="0092760B" w:rsidRPr="00027624" w:rsidRDefault="0092760B" w:rsidP="002A2FAE">
            <w:pPr>
              <w:pStyle w:val="TableTextLeft"/>
              <w:jc w:val="center"/>
            </w:pPr>
            <w:r w:rsidRPr="00027624">
              <w:rPr>
                <w:rFonts w:cs="Calibri"/>
              </w:rPr>
              <w:t>49.2</w:t>
            </w:r>
          </w:p>
        </w:tc>
        <w:tc>
          <w:tcPr>
            <w:tcW w:w="1013" w:type="dxa"/>
            <w:shd w:val="clear" w:color="auto" w:fill="auto"/>
            <w:vAlign w:val="bottom"/>
          </w:tcPr>
          <w:p w14:paraId="7D177713" w14:textId="77777777" w:rsidR="0092760B" w:rsidRPr="00027624" w:rsidRDefault="0092760B" w:rsidP="002A2FAE">
            <w:pPr>
              <w:pStyle w:val="TableTextLeft"/>
              <w:jc w:val="center"/>
            </w:pPr>
            <w:r w:rsidRPr="00027624">
              <w:rPr>
                <w:rFonts w:cs="Calibri"/>
              </w:rPr>
              <w:t>16.8</w:t>
            </w:r>
          </w:p>
        </w:tc>
        <w:tc>
          <w:tcPr>
            <w:tcW w:w="1013" w:type="dxa"/>
            <w:shd w:val="clear" w:color="auto" w:fill="auto"/>
            <w:vAlign w:val="bottom"/>
          </w:tcPr>
          <w:p w14:paraId="084015E8" w14:textId="77777777" w:rsidR="0092760B" w:rsidRPr="00027624" w:rsidRDefault="0092760B">
            <w:pPr>
              <w:pStyle w:val="TableTextLeft"/>
              <w:jc w:val="center"/>
            </w:pPr>
            <w:r w:rsidRPr="00027624">
              <w:rPr>
                <w:rFonts w:cs="Calibri"/>
              </w:rPr>
              <w:t>4,080</w:t>
            </w:r>
          </w:p>
        </w:tc>
        <w:tc>
          <w:tcPr>
            <w:tcW w:w="1013" w:type="dxa"/>
            <w:shd w:val="clear" w:color="auto" w:fill="auto"/>
            <w:vAlign w:val="bottom"/>
          </w:tcPr>
          <w:p w14:paraId="1D951E74" w14:textId="77777777" w:rsidR="0092760B" w:rsidRPr="00027624" w:rsidRDefault="0092760B" w:rsidP="002A2FAE">
            <w:pPr>
              <w:pStyle w:val="TableTextLeft"/>
              <w:jc w:val="center"/>
            </w:pPr>
            <w:r w:rsidRPr="00027624">
              <w:rPr>
                <w:rFonts w:cs="Calibri"/>
              </w:rPr>
              <w:t>960</w:t>
            </w:r>
          </w:p>
        </w:tc>
      </w:tr>
    </w:tbl>
    <w:p w14:paraId="22D1A6E3" w14:textId="77777777" w:rsidR="0092760B" w:rsidRPr="00027624" w:rsidRDefault="0092760B" w:rsidP="00A8443E">
      <w:r w:rsidRPr="00027624">
        <w:rPr>
          <w:rFonts w:asciiTheme="minorHAnsi" w:hAnsiTheme="minorHAnsi" w:cstheme="minorHAnsi"/>
          <w:sz w:val="18"/>
          <w:szCs w:val="18"/>
        </w:rPr>
        <w:t xml:space="preserve">Source: </w:t>
      </w:r>
      <w:r w:rsidRPr="00027624">
        <w:rPr>
          <w:sz w:val="18"/>
        </w:rPr>
        <w:t>Estimate based on analysis of ABS Survey of Income and Housing Confidentialised Unit Record File, 2017</w:t>
      </w:r>
      <w:r w:rsidR="00A8443E" w:rsidRPr="00027624">
        <w:rPr>
          <w:sz w:val="18"/>
        </w:rPr>
        <w:noBreakHyphen/>
      </w:r>
      <w:r w:rsidRPr="00027624">
        <w:rPr>
          <w:sz w:val="18"/>
        </w:rPr>
        <w:t>18.</w:t>
      </w:r>
    </w:p>
    <w:bookmarkEnd w:id="477"/>
    <w:p w14:paraId="5FFC16DF" w14:textId="77777777" w:rsidR="0092760B" w:rsidRPr="00027624" w:rsidRDefault="0092760B" w:rsidP="002A2FAE">
      <w:r w:rsidRPr="00027624">
        <w:t>This reflects that renters have significantly higher housing costs than home owners (see</w:t>
      </w:r>
      <w:r w:rsidRPr="00027624">
        <w:rPr>
          <w:i/>
          <w:iCs/>
        </w:rPr>
        <w:t xml:space="preserve"> </w:t>
      </w:r>
      <w:r w:rsidRPr="00027624">
        <w:rPr>
          <w:i/>
        </w:rPr>
        <w:t>2A</w:t>
      </w:r>
      <w:r w:rsidRPr="00027624">
        <w:rPr>
          <w:i/>
          <w:iCs/>
        </w:rPr>
        <w:t>.</w:t>
      </w:r>
      <w:r w:rsidRPr="00027624">
        <w:rPr>
          <w:i/>
          <w:szCs w:val="22"/>
        </w:rPr>
        <w:t xml:space="preserve"> Achieving a minimum standard of living in retirement</w:t>
      </w:r>
      <w:r w:rsidRPr="00027624">
        <w:t>). While Commonwealth Rent Assistance benefits renters as a disadvantaged group, even large increases in Commonwealth Rent Assistance would only cover a small proportion of the housing expenses faced by a large number of renting retirees. In addition, a significant share (31 per cent) of renting retirees in income poverty reside in public housing and do not receive Commonwealth Rent Assistance benefits.</w:t>
      </w:r>
      <w:r w:rsidRPr="00027624">
        <w:rPr>
          <w:rStyle w:val="FootnoteReference"/>
        </w:rPr>
        <w:footnoteReference w:id="97"/>
      </w:r>
    </w:p>
    <w:p w14:paraId="650662FE" w14:textId="7A7648A7" w:rsidR="0092760B" w:rsidRPr="00027624" w:rsidRDefault="0092760B" w:rsidP="002A2FAE">
      <w:r w:rsidRPr="00027624">
        <w:lastRenderedPageBreak/>
        <w:t xml:space="preserve">The alternative options outlined in </w:t>
      </w:r>
      <w:r w:rsidRPr="00027624">
        <w:fldChar w:fldCharType="begin"/>
      </w:r>
      <w:r w:rsidRPr="00027624">
        <w:instrText xml:space="preserve"> REF _Ref43909789 \r \h  \* MERGEFORMAT </w:instrText>
      </w:r>
      <w:r w:rsidRPr="00027624">
        <w:fldChar w:fldCharType="separate"/>
      </w:r>
      <w:r w:rsidR="00891058">
        <w:t>Table 2B-1</w:t>
      </w:r>
      <w:r w:rsidRPr="00027624">
        <w:fldChar w:fldCharType="end"/>
      </w:r>
      <w:r w:rsidRPr="00027624">
        <w:t xml:space="preserve"> involve increased fiscal costs. A significant amount of this would support working</w:t>
      </w:r>
      <w:r w:rsidR="00A8443E" w:rsidRPr="00027624">
        <w:noBreakHyphen/>
      </w:r>
      <w:r w:rsidRPr="00027624">
        <w:t>age renters, as Commonwealth Rent Assistance is a component of the broader income support system. A change in Commonwealth Rent Assistance would have effects beyond the retirement income system, including the way the broader income support and housing support systems operate.</w:t>
      </w:r>
    </w:p>
    <w:p w14:paraId="41109F63" w14:textId="4FC08922" w:rsidR="0092760B" w:rsidRPr="00027624" w:rsidRDefault="0092760B" w:rsidP="002A2FAE">
      <w:r w:rsidRPr="00027624">
        <w:t xml:space="preserve">Even at a higher rate (e.g. </w:t>
      </w:r>
      <w:r w:rsidR="00673E47" w:rsidRPr="00027624">
        <w:t xml:space="preserve">an </w:t>
      </w:r>
      <w:r w:rsidRPr="00027624">
        <w:t>additional $</w:t>
      </w:r>
      <w:r w:rsidRPr="00027624">
        <w:rPr>
          <w:color w:val="000000" w:themeColor="text1"/>
        </w:rPr>
        <w:t>3,630 per year after a 100 per cent increase in the maximum rate of Commonwealth Rent Assistance</w:t>
      </w:r>
      <w:r w:rsidRPr="00027624">
        <w:t>), Commonwealth Rent Assistance still provides a smaller benefit for renters than the annual value of exempting the principal residence from the Age Pension assets test for most home owners (</w:t>
      </w:r>
      <w:r w:rsidRPr="00027624">
        <w:fldChar w:fldCharType="begin"/>
      </w:r>
      <w:r w:rsidRPr="00027624">
        <w:instrText xml:space="preserve"> REF _Ref40976039 \r \h  \* MERGEFORMAT </w:instrText>
      </w:r>
      <w:r w:rsidRPr="00027624">
        <w:fldChar w:fldCharType="separate"/>
      </w:r>
      <w:r w:rsidR="00891058">
        <w:t>Chart 2B-9</w:t>
      </w:r>
      <w:r w:rsidRPr="00027624">
        <w:fldChar w:fldCharType="end"/>
      </w:r>
      <w:r w:rsidRPr="00027624">
        <w:t>).</w:t>
      </w:r>
    </w:p>
    <w:p w14:paraId="35BF6F22" w14:textId="77777777" w:rsidR="0092760B" w:rsidRPr="00027624" w:rsidRDefault="0092760B" w:rsidP="002A2FAE">
      <w:r w:rsidRPr="00027624">
        <w:t>In light of these considerations, a broader approach to assisting renters in retirement appears necessary.</w:t>
      </w:r>
    </w:p>
    <w:p w14:paraId="0C1740D9" w14:textId="77777777" w:rsidR="001B6C0B" w:rsidRPr="00027624" w:rsidRDefault="001B6C0B">
      <w:pPr>
        <w:spacing w:before="0" w:after="160" w:line="259" w:lineRule="auto"/>
        <w:sectPr w:rsidR="001B6C0B" w:rsidRPr="00027624" w:rsidSect="0092060F">
          <w:type w:val="oddPage"/>
          <w:pgSz w:w="11906" w:h="16838" w:code="9"/>
          <w:pgMar w:top="1418" w:right="1418" w:bottom="1418" w:left="1418" w:header="709" w:footer="709" w:gutter="0"/>
          <w:cols w:space="708"/>
          <w:titlePg/>
          <w:docGrid w:linePitch="360"/>
        </w:sectPr>
      </w:pPr>
    </w:p>
    <w:p w14:paraId="731F81F9" w14:textId="77777777" w:rsidR="0092760B" w:rsidRPr="00027624" w:rsidRDefault="0092760B" w:rsidP="00325A8D">
      <w:pPr>
        <w:pStyle w:val="Heading1"/>
      </w:pPr>
      <w:bookmarkStart w:id="500" w:name="_Toc45520463"/>
      <w:bookmarkStart w:id="501" w:name="_Toc46133573"/>
      <w:r w:rsidRPr="00027624">
        <w:lastRenderedPageBreak/>
        <w:t>M</w:t>
      </w:r>
      <w:bookmarkStart w:id="502" w:name="_Ref44940694"/>
      <w:bookmarkEnd w:id="502"/>
      <w:r w:rsidRPr="00027624">
        <w:t>aintaining standards of living in retirement</w:t>
      </w:r>
      <w:bookmarkEnd w:id="500"/>
      <w:bookmarkEnd w:id="501"/>
    </w:p>
    <w:tbl>
      <w:tblPr>
        <w:tblpPr w:leftFromText="180" w:rightFromText="180" w:vertAnchor="text" w:tblpY="1"/>
        <w:tblOverlap w:val="never"/>
        <w:tblW w:w="5000" w:type="pct"/>
        <w:shd w:val="clear" w:color="auto" w:fill="DFD7E7" w:themeFill="accent3" w:themeFillTint="33"/>
        <w:tblLayout w:type="fixed"/>
        <w:tblLook w:val="01E0" w:firstRow="1" w:lastRow="1" w:firstColumn="1" w:lastColumn="1" w:noHBand="0" w:noVBand="0"/>
      </w:tblPr>
      <w:tblGrid>
        <w:gridCol w:w="9070"/>
      </w:tblGrid>
      <w:tr w:rsidR="0092760B" w:rsidRPr="00027624" w14:paraId="5888E709" w14:textId="77777777" w:rsidTr="002A2FAE">
        <w:tc>
          <w:tcPr>
            <w:tcW w:w="5000" w:type="pct"/>
            <w:shd w:val="clear" w:color="auto" w:fill="DFD7E7" w:themeFill="accent3" w:themeFillTint="33"/>
          </w:tcPr>
          <w:p w14:paraId="1ACA0FB1" w14:textId="77777777" w:rsidR="0092760B" w:rsidRPr="00027624" w:rsidRDefault="0092760B" w:rsidP="00623AFC">
            <w:pPr>
              <w:pStyle w:val="BoxHeading"/>
              <w:spacing w:before="120"/>
            </w:pPr>
            <w:r w:rsidRPr="00027624">
              <w:t>Section summary</w:t>
            </w:r>
          </w:p>
          <w:p w14:paraId="54C8B1DF" w14:textId="77777777" w:rsidR="0092760B" w:rsidRPr="00027624" w:rsidRDefault="0092760B" w:rsidP="008D184F">
            <w:pPr>
              <w:pStyle w:val="BoxBullet"/>
            </w:pPr>
            <w:r w:rsidRPr="00027624">
              <w:rPr>
                <w:b/>
              </w:rPr>
              <w:t>The retirement income system should seek to balance working life and retirement incomes</w:t>
            </w:r>
            <w:r w:rsidRPr="00027624">
              <w:t>. Without government intervention, many people would not save enough for their retirement. But saving too much can</w:t>
            </w:r>
            <w:r w:rsidRPr="00027624" w:rsidDel="005F50FE">
              <w:t xml:space="preserve"> </w:t>
            </w:r>
            <w:r w:rsidRPr="00027624">
              <w:t>reduce lifetime wellbeing, particularly for lower</w:t>
            </w:r>
            <w:r w:rsidR="00A8443E" w:rsidRPr="00027624">
              <w:noBreakHyphen/>
            </w:r>
            <w:r w:rsidRPr="00027624">
              <w:t>income people. The aim should be to maintain a person</w:t>
            </w:r>
            <w:r w:rsidR="00A8443E" w:rsidRPr="00027624">
              <w:t>’</w:t>
            </w:r>
            <w:r w:rsidRPr="00027624">
              <w:t>s living standard in their working life through into their retirement.</w:t>
            </w:r>
          </w:p>
          <w:p w14:paraId="325C972C" w14:textId="77777777" w:rsidR="0092760B" w:rsidRPr="00027624" w:rsidRDefault="0092760B" w:rsidP="008D184F">
            <w:pPr>
              <w:pStyle w:val="BoxDash"/>
            </w:pPr>
            <w:r w:rsidRPr="00027624">
              <w:rPr>
                <w:b/>
              </w:rPr>
              <w:t>The weight of evidence suggests higher SG contributions mostly come at the cost of lower wage growth.</w:t>
            </w:r>
            <w:r w:rsidRPr="00027624">
              <w:t xml:space="preserve"> This relationship means SG policy should aim to smooth consumption over working life and retirement.</w:t>
            </w:r>
          </w:p>
          <w:p w14:paraId="252040B0" w14:textId="77777777" w:rsidR="0092760B" w:rsidRPr="00027624" w:rsidRDefault="0092760B" w:rsidP="008D184F">
            <w:pPr>
              <w:pStyle w:val="BoxDash"/>
            </w:pPr>
            <w:r w:rsidRPr="00027624">
              <w:rPr>
                <w:b/>
                <w:bCs/>
              </w:rPr>
              <w:t>Replacement rates are the most appropriate tool for assessing whether people can maintain living standards in retirement.</w:t>
            </w:r>
            <w:r w:rsidRPr="00027624">
              <w:t xml:space="preserve"> They measure the objective directly and acknowledge the trade</w:t>
            </w:r>
            <w:r w:rsidR="00A8443E" w:rsidRPr="00027624">
              <w:noBreakHyphen/>
            </w:r>
            <w:r w:rsidRPr="00027624">
              <w:t>offs between working life and retirement incomes.</w:t>
            </w:r>
          </w:p>
          <w:p w14:paraId="615E6146" w14:textId="77777777" w:rsidR="0092760B" w:rsidRPr="00027624" w:rsidRDefault="0092760B" w:rsidP="008D184F">
            <w:pPr>
              <w:pStyle w:val="BoxDash"/>
            </w:pPr>
            <w:r w:rsidRPr="00027624">
              <w:rPr>
                <w:b/>
                <w:bCs/>
              </w:rPr>
              <w:t>Retirees can maintain their living standards with lower income than when working</w:t>
            </w:r>
            <w:r w:rsidRPr="00027624">
              <w:t>. Housing and other costs generally fall, while Government support increases. Therefore, to assess adequacy, a benchmark replacement rate of 65</w:t>
            </w:r>
            <w:r w:rsidR="00A8443E" w:rsidRPr="00027624">
              <w:noBreakHyphen/>
            </w:r>
            <w:r w:rsidRPr="00027624">
              <w:t>75 per cent of pre</w:t>
            </w:r>
            <w:r w:rsidR="00A8443E" w:rsidRPr="00027624">
              <w:noBreakHyphen/>
            </w:r>
            <w:r w:rsidRPr="00027624">
              <w:t>retirement income has been used.</w:t>
            </w:r>
          </w:p>
          <w:p w14:paraId="7CC6A340" w14:textId="77777777" w:rsidR="0092760B" w:rsidRPr="00027624" w:rsidRDefault="0092760B" w:rsidP="008D184F">
            <w:pPr>
              <w:pStyle w:val="BoxBullet"/>
            </w:pPr>
            <w:r w:rsidRPr="00027624">
              <w:rPr>
                <w:rStyle w:val="normaltextrun"/>
                <w:rFonts w:cs="Calibri"/>
                <w:b/>
                <w:bCs/>
                <w:color w:val="000000"/>
                <w:shd w:val="clear" w:color="auto" w:fill="DFD7E7"/>
              </w:rPr>
              <w:t>Most people who have retired in recent years appear to have adequate outcomes.</w:t>
            </w:r>
            <w:r w:rsidRPr="00027624">
              <w:t xml:space="preserve"> Qualitative surveys suggest recent retirees generally feel happier than in working life and typically have the same level of satisfaction with their finances compared to just before retirement. They also tend to be less financially stressed than employed people.</w:t>
            </w:r>
          </w:p>
          <w:p w14:paraId="6B71D2DF" w14:textId="77777777" w:rsidR="0092760B" w:rsidRPr="00027624" w:rsidRDefault="0092760B" w:rsidP="008D184F">
            <w:pPr>
              <w:pStyle w:val="BoxBullet"/>
              <w:rPr>
                <w:rFonts w:asciiTheme="minorHAnsi" w:eastAsiaTheme="minorEastAsia" w:hAnsiTheme="minorHAnsi" w:cstheme="minorBidi"/>
                <w:b/>
                <w:bCs/>
              </w:rPr>
            </w:pPr>
            <w:r w:rsidRPr="00027624">
              <w:rPr>
                <w:b/>
                <w:bCs/>
              </w:rPr>
              <w:t>Projections</w:t>
            </w:r>
            <w:r w:rsidRPr="00027624">
              <w:rPr>
                <w:rFonts w:cs="Calibri"/>
                <w:b/>
                <w:bCs/>
              </w:rPr>
              <w:t xml:space="preserve"> show that, under current policy settings, including the legislated increase in the SG rate to 12 per cent, people with typical workforce patterns can achieve replacement rates that meet or exceed the 65</w:t>
            </w:r>
            <w:r w:rsidR="00A8443E" w:rsidRPr="00027624">
              <w:rPr>
                <w:rFonts w:cs="Calibri"/>
                <w:b/>
                <w:bCs/>
              </w:rPr>
              <w:noBreakHyphen/>
            </w:r>
            <w:r w:rsidRPr="00027624">
              <w:rPr>
                <w:rFonts w:cs="Calibri"/>
                <w:b/>
                <w:bCs/>
              </w:rPr>
              <w:t xml:space="preserve">75 per cent benchmark. </w:t>
            </w:r>
            <w:r w:rsidRPr="00027624">
              <w:rPr>
                <w:rFonts w:cs="Calibri"/>
              </w:rPr>
              <w:t>The results are consistent for different households (singles, couples and women) and across most income levels. Most lower</w:t>
            </w:r>
            <w:r w:rsidR="00A8443E" w:rsidRPr="00027624">
              <w:rPr>
                <w:rFonts w:cs="Calibri"/>
              </w:rPr>
              <w:noBreakHyphen/>
            </w:r>
            <w:r w:rsidRPr="00027624">
              <w:rPr>
                <w:rFonts w:cs="Calibri"/>
              </w:rPr>
              <w:t xml:space="preserve"> to middle</w:t>
            </w:r>
            <w:r w:rsidR="00A8443E" w:rsidRPr="00027624">
              <w:rPr>
                <w:rFonts w:cs="Calibri"/>
              </w:rPr>
              <w:noBreakHyphen/>
            </w:r>
            <w:r w:rsidRPr="00027624">
              <w:rPr>
                <w:rFonts w:cs="Calibri"/>
              </w:rPr>
              <w:t xml:space="preserve">income workers will have replacement rates that </w:t>
            </w:r>
            <w:r w:rsidRPr="00027624">
              <w:t>exceed</w:t>
            </w:r>
            <w:r w:rsidRPr="00027624">
              <w:rPr>
                <w:rFonts w:cs="Calibri"/>
              </w:rPr>
              <w:t xml:space="preserve"> the benchmark. They may be forgoing more working</w:t>
            </w:r>
            <w:r w:rsidR="00A8443E" w:rsidRPr="00027624">
              <w:rPr>
                <w:rFonts w:cs="Calibri"/>
              </w:rPr>
              <w:noBreakHyphen/>
            </w:r>
            <w:r w:rsidRPr="00027624">
              <w:rPr>
                <w:rFonts w:cs="Calibri"/>
              </w:rPr>
              <w:t>life income than is necessary to maintain living standards in retirement.</w:t>
            </w:r>
          </w:p>
          <w:p w14:paraId="08B3A256" w14:textId="77777777" w:rsidR="0092760B" w:rsidRPr="00027624" w:rsidRDefault="0092760B" w:rsidP="008D184F">
            <w:pPr>
              <w:pStyle w:val="BoxDash"/>
            </w:pPr>
            <w:r w:rsidRPr="00027624">
              <w:rPr>
                <w:b/>
                <w:bCs/>
              </w:rPr>
              <w:t>These outcomes assume people draw down their savings in retirement.</w:t>
            </w:r>
            <w:r w:rsidRPr="00027624">
              <w:t xml:space="preserve"> If they only draw down their superannuation at the legislated minimum rates, which many people currently do, those in the upper half of the income distribution will not achieve the 65</w:t>
            </w:r>
            <w:r w:rsidR="00A8443E" w:rsidRPr="00027624">
              <w:noBreakHyphen/>
            </w:r>
            <w:r w:rsidRPr="00027624">
              <w:t xml:space="preserve">75 per cent benchmark. </w:t>
            </w:r>
          </w:p>
          <w:p w14:paraId="6E677151" w14:textId="77777777" w:rsidR="0092760B" w:rsidRPr="00027624" w:rsidRDefault="0092760B" w:rsidP="008D184F">
            <w:pPr>
              <w:pStyle w:val="BoxDash"/>
              <w:rPr>
                <w:b/>
                <w:bCs/>
              </w:rPr>
            </w:pPr>
            <w:r w:rsidRPr="00027624">
              <w:rPr>
                <w:b/>
                <w:bCs/>
              </w:rPr>
              <w:t xml:space="preserve">Assisting retirees to use existing assets more efficiently, and draw down their assets in retirement, can have a bigger impact on improving retirement incomes than changes to the SG rate. </w:t>
            </w:r>
            <w:r w:rsidRPr="00027624">
              <w:t>Without improving the way retirees draw down their assets, extra contributions to superannuation will not result in most retirees maintaining their living standards. It will lead to larger bequests</w:t>
            </w:r>
            <w:r w:rsidRPr="00027624">
              <w:rPr>
                <w:bCs/>
              </w:rPr>
              <w:t xml:space="preserve">. </w:t>
            </w:r>
            <w:r w:rsidRPr="00027624">
              <w:t>Fully drawing down superannuation can substantially boost retirement incomes, without having to increase contributions. Other options to improve retirement incomes include strategies and products to achieve greater certainty around income or drawing on equity in the principal residence.</w:t>
            </w:r>
          </w:p>
          <w:p w14:paraId="1173137C" w14:textId="77777777" w:rsidR="0092760B" w:rsidRPr="00027624" w:rsidRDefault="0092760B" w:rsidP="008D184F">
            <w:pPr>
              <w:pStyle w:val="BoxDash"/>
              <w:rPr>
                <w:b/>
              </w:rPr>
            </w:pPr>
            <w:r w:rsidRPr="00027624">
              <w:rPr>
                <w:b/>
              </w:rPr>
              <w:t>The Age Pension will continue to provide significant retirement income for lower</w:t>
            </w:r>
            <w:r w:rsidR="00A8443E" w:rsidRPr="00027624">
              <w:rPr>
                <w:b/>
              </w:rPr>
              <w:noBreakHyphen/>
            </w:r>
            <w:r w:rsidRPr="00027624">
              <w:rPr>
                <w:b/>
              </w:rPr>
              <w:t xml:space="preserve"> and middle</w:t>
            </w:r>
            <w:r w:rsidR="00A8443E" w:rsidRPr="00027624">
              <w:rPr>
                <w:b/>
              </w:rPr>
              <w:noBreakHyphen/>
            </w:r>
            <w:r w:rsidRPr="00027624">
              <w:rPr>
                <w:b/>
              </w:rPr>
              <w:t>income earners, even in a mature superannuation system.</w:t>
            </w:r>
          </w:p>
          <w:p w14:paraId="06BF349F" w14:textId="77777777" w:rsidR="0092760B" w:rsidRPr="00027624" w:rsidRDefault="0092760B" w:rsidP="008D184F">
            <w:pPr>
              <w:pStyle w:val="BoxBullet"/>
            </w:pPr>
            <w:r w:rsidRPr="00027624">
              <w:rPr>
                <w:b/>
              </w:rPr>
              <w:t>The focus of assessing universal policy settings like the SG should be on middle</w:t>
            </w:r>
            <w:r w:rsidR="00A8443E" w:rsidRPr="00027624">
              <w:rPr>
                <w:b/>
              </w:rPr>
              <w:noBreakHyphen/>
            </w:r>
            <w:r w:rsidRPr="00027624">
              <w:rPr>
                <w:b/>
              </w:rPr>
              <w:t>income earners.</w:t>
            </w:r>
            <w:r w:rsidRPr="00027624">
              <w:t xml:space="preserve"> This group needs the most assistance as they cannot rely on the Age Pension alone to maintain their living standards and they have relatively low rates of voluntary saving. The bottom 30 per cent of retirees by income have their working</w:t>
            </w:r>
            <w:r w:rsidR="00F833C7" w:rsidRPr="00027624">
              <w:t>-</w:t>
            </w:r>
            <w:r w:rsidRPr="00027624">
              <w:t>life living standards maintained, or exceeded by, the Age Pension. Higher</w:t>
            </w:r>
            <w:r w:rsidR="00A8443E" w:rsidRPr="00027624">
              <w:noBreakHyphen/>
            </w:r>
            <w:r w:rsidRPr="00027624">
              <w:t>income earners have retirement incomes that exceed the ASFA comfortable standard.</w:t>
            </w:r>
          </w:p>
          <w:p w14:paraId="7052708E" w14:textId="77777777" w:rsidR="0092760B" w:rsidRPr="00027624" w:rsidRDefault="0092760B" w:rsidP="008D184F">
            <w:pPr>
              <w:pStyle w:val="BoxBullet"/>
              <w:rPr>
                <w:b/>
                <w:bCs/>
              </w:rPr>
            </w:pPr>
            <w:r w:rsidRPr="00027624">
              <w:rPr>
                <w:b/>
              </w:rPr>
              <w:t xml:space="preserve">Review projections assume retiree spending grows in line with prices, rather than wages. </w:t>
            </w:r>
            <w:r w:rsidRPr="00027624">
              <w:t>The weight of domestic and international evidence points to retirees</w:t>
            </w:r>
            <w:r w:rsidR="00A8443E" w:rsidRPr="00027624">
              <w:t>’</w:t>
            </w:r>
            <w:r w:rsidRPr="00027624">
              <w:t xml:space="preserve"> spending falling or staying flat relative to prices, even for those who can afford to spend more.</w:t>
            </w:r>
          </w:p>
          <w:p w14:paraId="25B4EBA7" w14:textId="77777777" w:rsidR="0092760B" w:rsidRPr="00027624" w:rsidRDefault="0092760B" w:rsidP="008D184F">
            <w:pPr>
              <w:pStyle w:val="BoxBullet"/>
              <w:rPr>
                <w:rFonts w:asciiTheme="minorHAnsi" w:eastAsiaTheme="minorEastAsia" w:hAnsiTheme="minorHAnsi" w:cstheme="minorBidi"/>
                <w:b/>
              </w:rPr>
            </w:pPr>
            <w:r w:rsidRPr="00027624">
              <w:rPr>
                <w:b/>
              </w:rPr>
              <w:lastRenderedPageBreak/>
              <w:t>Offering prudent and limited access to superannuation prior to retirement is consistent with the objective of balancing living standards pre</w:t>
            </w:r>
            <w:r w:rsidR="00A8443E" w:rsidRPr="00027624">
              <w:rPr>
                <w:b/>
              </w:rPr>
              <w:noBreakHyphen/>
            </w:r>
            <w:r w:rsidRPr="00027624">
              <w:rPr>
                <w:b/>
              </w:rPr>
              <w:t xml:space="preserve"> and post</w:t>
            </w:r>
            <w:r w:rsidR="00A8443E" w:rsidRPr="00027624">
              <w:rPr>
                <w:b/>
              </w:rPr>
              <w:noBreakHyphen/>
            </w:r>
            <w:r w:rsidRPr="00027624">
              <w:rPr>
                <w:b/>
              </w:rPr>
              <w:t xml:space="preserve">retirement. </w:t>
            </w:r>
            <w:r w:rsidRPr="00027624">
              <w:t>Early access</w:t>
            </w:r>
            <w:r w:rsidR="00C74316" w:rsidRPr="00027624">
              <w:t xml:space="preserve"> in limited </w:t>
            </w:r>
            <w:r w:rsidR="00F833C7" w:rsidRPr="00027624">
              <w:t>circumstances</w:t>
            </w:r>
            <w:r w:rsidRPr="00027624">
              <w:rPr>
                <w:b/>
              </w:rPr>
              <w:t xml:space="preserve"> </w:t>
            </w:r>
            <w:r w:rsidRPr="00027624">
              <w:t>allows the system to respond to severe financial pressures people may face in their working lives while still achieving adequacy targets.</w:t>
            </w:r>
          </w:p>
          <w:p w14:paraId="28C12715" w14:textId="77777777" w:rsidR="0092760B" w:rsidRPr="00027624" w:rsidRDefault="0092760B" w:rsidP="008D184F">
            <w:pPr>
              <w:pStyle w:val="BoxBullet"/>
            </w:pPr>
            <w:r w:rsidRPr="00027624">
              <w:rPr>
                <w:b/>
              </w:rPr>
              <w:t>The assessment that living standards can be maintained in retirement holds true under a wide range of different circumstances.</w:t>
            </w:r>
            <w:r w:rsidRPr="00027624">
              <w:t xml:space="preserve"> H</w:t>
            </w:r>
            <w:r w:rsidRPr="00027624">
              <w:rPr>
                <w:rFonts w:cs="Calibri"/>
              </w:rPr>
              <w:t>ouseholds estimated to</w:t>
            </w:r>
            <w:r w:rsidRPr="00027624">
              <w:t xml:space="preserve"> have replacement rates below the 65</w:t>
            </w:r>
            <w:r w:rsidR="00A8443E" w:rsidRPr="00027624">
              <w:noBreakHyphen/>
            </w:r>
            <w:r w:rsidRPr="00027624">
              <w:t xml:space="preserve">75 per cent replacement rate benchmark would </w:t>
            </w:r>
            <w:r w:rsidRPr="00027624">
              <w:rPr>
                <w:rFonts w:cs="Calibri"/>
              </w:rPr>
              <w:t>typically</w:t>
            </w:r>
            <w:r w:rsidRPr="00027624">
              <w:t xml:space="preserve"> have careers of 25 years or less and retire before superannuation preservation age. </w:t>
            </w:r>
            <w:r w:rsidRPr="00027624">
              <w:rPr>
                <w:rFonts w:cs="Calibri"/>
              </w:rPr>
              <w:t xml:space="preserve">But even then, their outcomes would be </w:t>
            </w:r>
            <w:r w:rsidRPr="00027624">
              <w:t xml:space="preserve">adequate </w:t>
            </w:r>
            <w:r w:rsidRPr="00027624">
              <w:rPr>
                <w:rFonts w:cs="Calibri"/>
              </w:rPr>
              <w:t xml:space="preserve">if they </w:t>
            </w:r>
            <w:r w:rsidRPr="00027624">
              <w:t>retire for disability</w:t>
            </w:r>
            <w:r w:rsidR="00A8443E" w:rsidRPr="00027624">
              <w:noBreakHyphen/>
            </w:r>
            <w:r w:rsidRPr="00027624">
              <w:t xml:space="preserve">related reasons or to care for someone, </w:t>
            </w:r>
            <w:r w:rsidRPr="00027624">
              <w:rPr>
                <w:rFonts w:cs="Calibri"/>
              </w:rPr>
              <w:t xml:space="preserve">provided they </w:t>
            </w:r>
            <w:r w:rsidRPr="00027624">
              <w:t>access the associated welfare payments.</w:t>
            </w:r>
          </w:p>
          <w:p w14:paraId="15051A10" w14:textId="77777777" w:rsidR="0092760B" w:rsidRPr="00027624" w:rsidRDefault="0092760B" w:rsidP="008D184F">
            <w:pPr>
              <w:pStyle w:val="BoxBullet"/>
              <w:rPr>
                <w:rFonts w:ascii="Times New Roman" w:hAnsi="Times New Roman"/>
                <w:sz w:val="24"/>
                <w:szCs w:val="24"/>
              </w:rPr>
            </w:pPr>
            <w:r w:rsidRPr="00027624">
              <w:rPr>
                <w:b/>
              </w:rPr>
              <w:t>The COVID</w:t>
            </w:r>
            <w:r w:rsidR="00A8443E" w:rsidRPr="00027624">
              <w:rPr>
                <w:b/>
              </w:rPr>
              <w:noBreakHyphen/>
            </w:r>
            <w:r w:rsidRPr="00027624">
              <w:rPr>
                <w:b/>
              </w:rPr>
              <w:t>19 Pandemic has highlighted the impact investment risk can have on retirement outcomes</w:t>
            </w:r>
            <w:r w:rsidRPr="00027624">
              <w:t>. Australia</w:t>
            </w:r>
            <w:r w:rsidR="00A8443E" w:rsidRPr="00027624">
              <w:t>’</w:t>
            </w:r>
            <w:r w:rsidRPr="00027624">
              <w:t>s superannuation system exposes people to market risk. For most people invested in a fund with good returns, exposure to market returns is a strength of the system. Fund diversification and the Age Pension have moderated the short</w:t>
            </w:r>
            <w:r w:rsidR="00A8443E" w:rsidRPr="00027624">
              <w:noBreakHyphen/>
            </w:r>
            <w:r w:rsidRPr="00027624">
              <w:t>term impact of market downturns on retirement incomes.</w:t>
            </w:r>
          </w:p>
          <w:p w14:paraId="7FC58B96" w14:textId="77777777" w:rsidR="0092760B" w:rsidRPr="00027624" w:rsidRDefault="0092760B" w:rsidP="008D184F">
            <w:pPr>
              <w:pStyle w:val="BoxBullet"/>
            </w:pPr>
            <w:r w:rsidRPr="00027624">
              <w:rPr>
                <w:b/>
                <w:bCs/>
              </w:rPr>
              <w:t xml:space="preserve">The </w:t>
            </w:r>
            <w:r w:rsidRPr="00027624">
              <w:rPr>
                <w:b/>
              </w:rPr>
              <w:t>increase</w:t>
            </w:r>
            <w:r w:rsidRPr="00027624">
              <w:rPr>
                <w:b/>
                <w:bCs/>
              </w:rPr>
              <w:t xml:space="preserve"> in the SG rate to 12 per cent will not reduce the gap in superannuation balances between men and women</w:t>
            </w:r>
            <w:r w:rsidRPr="00027624">
              <w:t>. The increase w</w:t>
            </w:r>
            <w:r w:rsidR="00F833C7" w:rsidRPr="00027624">
              <w:t>ill</w:t>
            </w:r>
            <w:r w:rsidRPr="00027624">
              <w:t xml:space="preserve"> benefit men more than women.</w:t>
            </w:r>
          </w:p>
        </w:tc>
      </w:tr>
    </w:tbl>
    <w:p w14:paraId="171433B1" w14:textId="77777777" w:rsidR="0092760B" w:rsidRPr="00623AFC" w:rsidRDefault="0092760B" w:rsidP="00623AFC">
      <w:pPr>
        <w:pStyle w:val="Heading2"/>
        <w:spacing w:before="240"/>
        <w:rPr>
          <w:rStyle w:val="Heading2Char"/>
          <w:b/>
          <w:iCs/>
        </w:rPr>
      </w:pPr>
      <w:bookmarkStart w:id="503" w:name="_Toc45520464"/>
      <w:bookmarkStart w:id="504" w:name="_Toc46133574"/>
      <w:r w:rsidRPr="00623AFC">
        <w:rPr>
          <w:rStyle w:val="Heading2Char"/>
          <w:b/>
          <w:iCs/>
        </w:rPr>
        <w:lastRenderedPageBreak/>
        <w:t>Outline of this section</w:t>
      </w:r>
      <w:bookmarkEnd w:id="503"/>
      <w:bookmarkEnd w:id="504"/>
    </w:p>
    <w:p w14:paraId="7D0FC498" w14:textId="77777777" w:rsidR="0092760B" w:rsidRPr="00027624" w:rsidRDefault="0092760B" w:rsidP="002A2FAE">
      <w:bookmarkStart w:id="505" w:name="_Hlk42090142"/>
      <w:bookmarkStart w:id="506" w:name="_Hlk42091691"/>
      <w:r w:rsidRPr="00027624">
        <w:t>This section analyses whether the retirement income system enables people to reasonably maintain standards of living in retirement. This measure of adequacy is appropriate because:</w:t>
      </w:r>
    </w:p>
    <w:p w14:paraId="60F5FD5E" w14:textId="77777777" w:rsidR="0092760B" w:rsidRPr="00027624" w:rsidRDefault="0092760B" w:rsidP="0092760B">
      <w:pPr>
        <w:pStyle w:val="Bullet"/>
      </w:pPr>
      <w:r w:rsidRPr="00027624">
        <w:t>A relatively stable lifetime standard of living maximises wellbeing</w:t>
      </w:r>
    </w:p>
    <w:p w14:paraId="5805EC9E" w14:textId="77777777" w:rsidR="0092760B" w:rsidRPr="00027624" w:rsidRDefault="0092760B" w:rsidP="0092760B">
      <w:pPr>
        <w:pStyle w:val="Bullet"/>
      </w:pPr>
      <w:r w:rsidRPr="00027624">
        <w:t>It recognises the trade</w:t>
      </w:r>
      <w:r w:rsidR="00A8443E" w:rsidRPr="00027624">
        <w:noBreakHyphen/>
      </w:r>
      <w:r w:rsidRPr="00027624">
        <w:t>off between consumption in either working life or retirement</w:t>
      </w:r>
      <w:bookmarkEnd w:id="505"/>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6669D0A0" w14:textId="77777777" w:rsidTr="002A2FAE">
        <w:tc>
          <w:tcPr>
            <w:tcW w:w="5000" w:type="pct"/>
            <w:shd w:val="clear" w:color="auto" w:fill="FFF8EA"/>
          </w:tcPr>
          <w:bookmarkEnd w:id="506"/>
          <w:p w14:paraId="765351B2" w14:textId="77777777" w:rsidR="0092760B" w:rsidRPr="00027624" w:rsidRDefault="0092760B" w:rsidP="00623AFC">
            <w:pPr>
              <w:pStyle w:val="BoxHeading"/>
              <w:spacing w:before="120"/>
            </w:pPr>
            <w:r w:rsidRPr="00027624">
              <w:t xml:space="preserve">Stakeholder views on helping people to reasonably maintain their standard of living in retirement </w:t>
            </w:r>
          </w:p>
          <w:p w14:paraId="757213DF" w14:textId="77777777" w:rsidR="0092760B" w:rsidRPr="00027624" w:rsidRDefault="0092760B" w:rsidP="002A2FAE">
            <w:r w:rsidRPr="00027624">
              <w:t>Some submissions suggested adequacy analysis should focus on maintaining people</w:t>
            </w:r>
            <w:r w:rsidR="00A8443E" w:rsidRPr="00027624">
              <w:t>’</w:t>
            </w:r>
            <w:r w:rsidR="00F833C7" w:rsidRPr="00027624">
              <w:t>s working-</w:t>
            </w:r>
            <w:r w:rsidRPr="00027624">
              <w:t>life living standards in retirement. They argued that relative measures, such as replacement rates, are the appropriate measure for assessing this goal as they recognise the trade</w:t>
            </w:r>
            <w:r w:rsidR="00A8443E" w:rsidRPr="00027624">
              <w:noBreakHyphen/>
            </w:r>
            <w:r w:rsidRPr="00027624">
              <w:t>off between working life and retirement income. Many stakeholders agreed absolute standards were useful in assessing adequacy but suggested they should be confined to assessing if the system is delivering minimum standards.</w:t>
            </w:r>
          </w:p>
          <w:p w14:paraId="347135BE" w14:textId="77777777" w:rsidR="0092760B" w:rsidRPr="00027624" w:rsidRDefault="00A8443E" w:rsidP="00623AFC">
            <w:pPr>
              <w:pStyle w:val="Quote"/>
              <w:spacing w:before="120" w:after="120"/>
              <w:ind w:left="862" w:right="862"/>
            </w:pPr>
            <w:r w:rsidRPr="00027624">
              <w:t>‘</w:t>
            </w:r>
            <w:r w:rsidR="0092760B" w:rsidRPr="00027624">
              <w:t>Absolute and relative measures of adequacy serve different purposes. Absolute measures are often used to assess to what extent the retirement income system relieves poverty. Relative measures are often used when assessing whether the system would allow retirees to maintain the standard of living they experienced during their working years.</w:t>
            </w:r>
            <w:r w:rsidRPr="00027624">
              <w:t>’</w:t>
            </w:r>
            <w:r w:rsidR="004F427E" w:rsidRPr="00027624">
              <w:t xml:space="preserve"> </w:t>
            </w:r>
            <w:sdt>
              <w:sdtPr>
                <w:id w:val="534625928"/>
                <w:citation/>
              </w:sdtPr>
              <w:sdtEndPr/>
              <w:sdtContent>
                <w:r w:rsidR="004F427E" w:rsidRPr="00027624">
                  <w:fldChar w:fldCharType="begin"/>
                </w:r>
                <w:r w:rsidR="004F427E">
                  <w:instrText xml:space="preserve">CITATION Act \p 4 \l 3081 </w:instrText>
                </w:r>
                <w:r w:rsidR="004F427E" w:rsidRPr="00027624">
                  <w:fldChar w:fldCharType="separate"/>
                </w:r>
                <w:r w:rsidR="00E83F6E">
                  <w:rPr>
                    <w:noProof/>
                  </w:rPr>
                  <w:t>(Actuaries Institute, 2020, p. 4)</w:t>
                </w:r>
                <w:r w:rsidR="004F427E" w:rsidRPr="00027624">
                  <w:fldChar w:fldCharType="end"/>
                </w:r>
              </w:sdtContent>
            </w:sdt>
          </w:p>
          <w:p w14:paraId="76278ADE" w14:textId="77777777" w:rsidR="0092760B" w:rsidRPr="00027624" w:rsidRDefault="0092760B" w:rsidP="002A2FAE">
            <w:pPr>
              <w:jc w:val="left"/>
            </w:pPr>
            <w:r w:rsidRPr="00027624">
              <w:t>Some submissions argued for achieving a particular income level in retirement and favoured using an absolute measure, such as a budget standard. They noted that replacement rates approaches are not suitable for lower</w:t>
            </w:r>
            <w:r w:rsidR="00A8443E" w:rsidRPr="00027624">
              <w:noBreakHyphen/>
            </w:r>
            <w:r w:rsidRPr="00027624">
              <w:t>income earners and the system should aim to deliver objective levels of comfort and security in retirement.</w:t>
            </w:r>
            <w:r w:rsidRPr="00027624">
              <w:rPr>
                <w:rFonts w:eastAsia="Calibri"/>
              </w:rPr>
              <w:t xml:space="preserve"> </w:t>
            </w:r>
            <w:r w:rsidRPr="00027624">
              <w:t>Many superannuation bodies suggested using the ASFA budget standards as they are well</w:t>
            </w:r>
            <w:r w:rsidR="00A8443E" w:rsidRPr="00027624">
              <w:noBreakHyphen/>
            </w:r>
            <w:r w:rsidRPr="00027624">
              <w:t>known, established benchmarks.</w:t>
            </w:r>
          </w:p>
          <w:p w14:paraId="66076679" w14:textId="77777777" w:rsidR="0092760B" w:rsidRPr="00027624" w:rsidRDefault="00A8443E" w:rsidP="00623AFC">
            <w:pPr>
              <w:pStyle w:val="Quote"/>
              <w:spacing w:before="120" w:after="120"/>
              <w:ind w:left="862" w:right="862"/>
            </w:pPr>
            <w:r w:rsidRPr="00027624">
              <w:t>‘</w:t>
            </w:r>
            <w:r w:rsidR="0092760B" w:rsidRPr="00027624">
              <w:t>ASFA Comfortable is an objective income benchmark that is consistent with community expectations.</w:t>
            </w:r>
            <w:r w:rsidRPr="00027624">
              <w:t>’</w:t>
            </w:r>
            <w:sdt>
              <w:sdtPr>
                <w:rPr>
                  <w:i w:val="0"/>
                </w:rPr>
                <w:id w:val="-1305003782"/>
                <w:citation/>
              </w:sdtPr>
              <w:sdtEndPr/>
              <w:sdtContent>
                <w:r w:rsidR="0092760B" w:rsidRPr="00027624">
                  <w:rPr>
                    <w:i w:val="0"/>
                  </w:rPr>
                  <w:fldChar w:fldCharType="begin"/>
                </w:r>
                <w:r w:rsidR="0092760B" w:rsidRPr="00027624">
                  <w:rPr>
                    <w:i w:val="0"/>
                  </w:rPr>
                  <w:instrText xml:space="preserve">CITATION ASF20Sub \p 5 \l 3081 </w:instrText>
                </w:r>
                <w:r w:rsidR="0092760B" w:rsidRPr="00027624">
                  <w:rPr>
                    <w:i w:val="0"/>
                  </w:rPr>
                  <w:fldChar w:fldCharType="separate"/>
                </w:r>
                <w:r w:rsidR="00E83F6E">
                  <w:rPr>
                    <w:i w:val="0"/>
                    <w:noProof/>
                  </w:rPr>
                  <w:t xml:space="preserve"> </w:t>
                </w:r>
                <w:r w:rsidR="00E83F6E">
                  <w:rPr>
                    <w:noProof/>
                  </w:rPr>
                  <w:t>(ASFA, 2020a, p. 5)</w:t>
                </w:r>
                <w:r w:rsidR="0092760B" w:rsidRPr="00027624">
                  <w:rPr>
                    <w:i w:val="0"/>
                  </w:rPr>
                  <w:fldChar w:fldCharType="end"/>
                </w:r>
              </w:sdtContent>
            </w:sdt>
          </w:p>
          <w:p w14:paraId="44F32BAA" w14:textId="77777777" w:rsidR="0092760B" w:rsidRPr="00027624" w:rsidRDefault="0092760B" w:rsidP="002A2FAE">
            <w:pPr>
              <w:jc w:val="left"/>
            </w:pPr>
            <w:r w:rsidRPr="00027624">
              <w:t>Other submissions suggested further research on retiree spending needs was required to determine an appropriate standard. They also noted that people find dollar</w:t>
            </w:r>
            <w:r w:rsidR="00A8443E" w:rsidRPr="00027624">
              <w:noBreakHyphen/>
            </w:r>
            <w:r w:rsidRPr="00027624">
              <w:t>based approaches easy to understand.</w:t>
            </w:r>
          </w:p>
          <w:p w14:paraId="3FDEEE54" w14:textId="77777777" w:rsidR="0092760B" w:rsidRPr="00027624" w:rsidRDefault="00A8443E" w:rsidP="00623AFC">
            <w:pPr>
              <w:pStyle w:val="Quote"/>
              <w:spacing w:before="120" w:after="120"/>
              <w:ind w:left="862" w:right="862"/>
            </w:pPr>
            <w:r w:rsidRPr="00027624">
              <w:rPr>
                <w:rFonts w:eastAsia="Calibri"/>
              </w:rPr>
              <w:t>‘</w:t>
            </w:r>
            <w:r w:rsidR="0092760B" w:rsidRPr="00027624">
              <w:rPr>
                <w:rFonts w:eastAsia="Calibri"/>
              </w:rPr>
              <w:t xml:space="preserve">They [budget standards] are valuable for those planning for retirement in that they detail the quality and quantity of </w:t>
            </w:r>
            <w:r w:rsidR="0092760B" w:rsidRPr="00623AFC">
              <w:t>different</w:t>
            </w:r>
            <w:r w:rsidR="0092760B" w:rsidRPr="00027624">
              <w:rPr>
                <w:rFonts w:eastAsia="Calibri"/>
              </w:rPr>
              <w:t xml:space="preserve"> consumption items a retiree will be able to afford given a certain level of expenditure.</w:t>
            </w:r>
            <w:r w:rsidRPr="00027624">
              <w:rPr>
                <w:rFonts w:eastAsia="Calibri"/>
              </w:rPr>
              <w:t>’</w:t>
            </w:r>
            <w:r w:rsidR="00AB0822" w:rsidRPr="00027624">
              <w:t xml:space="preserve"> </w:t>
            </w:r>
            <w:sdt>
              <w:sdtPr>
                <w:id w:val="1641308633"/>
                <w:citation/>
              </w:sdtPr>
              <w:sdtEndPr/>
              <w:sdtContent>
                <w:r w:rsidR="00AB0822" w:rsidRPr="00027624">
                  <w:fldChar w:fldCharType="begin"/>
                </w:r>
                <w:r w:rsidR="00AB0822" w:rsidRPr="00027624">
                  <w:instrText xml:space="preserve">CITATION Sup20 \p 5 \l 3081 </w:instrText>
                </w:r>
                <w:r w:rsidR="00AB0822" w:rsidRPr="00027624">
                  <w:fldChar w:fldCharType="separate"/>
                </w:r>
                <w:r w:rsidR="00E83F6E">
                  <w:rPr>
                    <w:noProof/>
                  </w:rPr>
                  <w:t>(Super Consumers Australia, 2020, p. 5)</w:t>
                </w:r>
                <w:r w:rsidR="00AB0822" w:rsidRPr="00027624">
                  <w:fldChar w:fldCharType="end"/>
                </w:r>
              </w:sdtContent>
            </w:sdt>
          </w:p>
        </w:tc>
      </w:tr>
    </w:tbl>
    <w:p w14:paraId="0475683D" w14:textId="77777777" w:rsidR="0092760B" w:rsidRPr="00027624" w:rsidRDefault="0092760B" w:rsidP="002A2FAE">
      <w:pPr>
        <w:pStyle w:val="Heading2"/>
        <w:keepNext w:val="0"/>
      </w:pPr>
      <w:bookmarkStart w:id="507" w:name="_Toc45520465"/>
      <w:bookmarkStart w:id="508" w:name="_Toc46133575"/>
      <w:r w:rsidRPr="00027624">
        <w:lastRenderedPageBreak/>
        <w:t>Maintaining a stable lifetime standard of living maximises wellbeing</w:t>
      </w:r>
      <w:bookmarkEnd w:id="507"/>
      <w:bookmarkEnd w:id="508"/>
    </w:p>
    <w:p w14:paraId="272CA508" w14:textId="77777777" w:rsidR="0092760B" w:rsidRPr="00027624" w:rsidRDefault="0092760B" w:rsidP="002A2FAE">
      <w:r w:rsidRPr="00027624">
        <w:t xml:space="preserve">Maintaining living standards in retirement is a goal for retirement income systems in most countries </w:t>
      </w:r>
      <w:sdt>
        <w:sdtPr>
          <w:id w:val="-902133173"/>
          <w:citation/>
        </w:sdtPr>
        <w:sdtEndPr/>
        <w:sdtContent>
          <w:r w:rsidRPr="00027624">
            <w:fldChar w:fldCharType="begin"/>
          </w:r>
          <w:r w:rsidRPr="00027624">
            <w:instrText xml:space="preserve"> CITATION OEC19d \l 3081 </w:instrText>
          </w:r>
          <w:r w:rsidRPr="00027624">
            <w:fldChar w:fldCharType="separate"/>
          </w:r>
          <w:r w:rsidR="00E83F6E">
            <w:rPr>
              <w:noProof/>
            </w:rPr>
            <w:t>(OECD, 2019b)</w:t>
          </w:r>
          <w:r w:rsidRPr="00027624">
            <w:fldChar w:fldCharType="end"/>
          </w:r>
        </w:sdtContent>
      </w:sdt>
      <w:r w:rsidRPr="00027624">
        <w:t>.</w:t>
      </w:r>
    </w:p>
    <w:p w14:paraId="76C3F892" w14:textId="77777777" w:rsidR="0092760B" w:rsidRPr="00027624" w:rsidRDefault="0092760B" w:rsidP="002A2FAE">
      <w:r w:rsidRPr="00027624">
        <w:rPr>
          <w:b/>
        </w:rPr>
        <w:t>Achieving a similar living standard in retirement and working life involves a trade</w:t>
      </w:r>
      <w:r w:rsidR="00A8443E" w:rsidRPr="00027624">
        <w:rPr>
          <w:b/>
        </w:rPr>
        <w:noBreakHyphen/>
      </w:r>
      <w:r w:rsidRPr="00027624">
        <w:rPr>
          <w:b/>
        </w:rPr>
        <w:t>off between consuming during working life and consuming in retirement.</w:t>
      </w:r>
      <w:r w:rsidRPr="00027624">
        <w:t xml:space="preserve"> Economic</w:t>
      </w:r>
      <w:r w:rsidRPr="00027624" w:rsidDel="000D7092">
        <w:t xml:space="preserve"> </w:t>
      </w:r>
      <w:r w:rsidRPr="00027624">
        <w:t>theory suggests that people should save in periods of higher</w:t>
      </w:r>
      <w:r w:rsidR="00A8443E" w:rsidRPr="00027624">
        <w:noBreakHyphen/>
      </w:r>
      <w:r w:rsidRPr="00027624">
        <w:t>income, such as when working, and draw on their assets in periods of lower income, including in retirement</w:t>
      </w:r>
      <w:sdt>
        <w:sdtPr>
          <w:id w:val="-871680727"/>
          <w:citation/>
        </w:sdtPr>
        <w:sdtEndPr/>
        <w:sdtContent>
          <w:r w:rsidRPr="00027624">
            <w:fldChar w:fldCharType="begin"/>
          </w:r>
          <w:r w:rsidRPr="00027624">
            <w:instrText xml:space="preserve">CITATION Bro01 \l 3081 </w:instrText>
          </w:r>
          <w:r w:rsidRPr="00027624">
            <w:fldChar w:fldCharType="separate"/>
          </w:r>
          <w:r w:rsidR="00E83F6E">
            <w:rPr>
              <w:noProof/>
            </w:rPr>
            <w:t xml:space="preserve"> (Browning &amp; Crossley, 2001)</w:t>
          </w:r>
          <w:r w:rsidRPr="00027624">
            <w:fldChar w:fldCharType="end"/>
          </w:r>
        </w:sdtContent>
      </w:sdt>
      <w:r w:rsidRPr="00027624">
        <w:t>.</w:t>
      </w:r>
    </w:p>
    <w:p w14:paraId="572402FB" w14:textId="1687B0F3" w:rsidR="0092760B" w:rsidRPr="00027624" w:rsidRDefault="0092760B" w:rsidP="002A2FAE">
      <w:r w:rsidRPr="00027624">
        <w:t>In reality, complex decisions make retirement planning difficult. Apart from uncertainty about how long they will live, people have behavioural biases that mean their decisions are not always in their long</w:t>
      </w:r>
      <w:r w:rsidR="00A8443E" w:rsidRPr="00027624">
        <w:noBreakHyphen/>
      </w:r>
      <w:r w:rsidRPr="00027624">
        <w:t>term interest (</w:t>
      </w:r>
      <w:r w:rsidRPr="00027624">
        <w:fldChar w:fldCharType="begin"/>
      </w:r>
      <w:r w:rsidRPr="00027624">
        <w:instrText xml:space="preserve"> REF _Ref41051083 \r \h  \* MERGEFORMAT </w:instrText>
      </w:r>
      <w:r w:rsidRPr="00027624">
        <w:fldChar w:fldCharType="separate"/>
      </w:r>
      <w:r w:rsidR="00891058">
        <w:t>Box 2C-3</w:t>
      </w:r>
      <w:r w:rsidRPr="00027624">
        <w:fldChar w:fldCharType="end"/>
      </w:r>
      <w:r w:rsidRPr="00027624">
        <w:t xml:space="preserve">). For example, without intervention retirees may fall well short of achieving the level of saving needed to maintain their standard of living in retirement </w:t>
      </w:r>
      <w:sdt>
        <w:sdtPr>
          <w:id w:val="467944273"/>
          <w:citation/>
        </w:sdtPr>
        <w:sdtEndPr/>
        <w:sdtContent>
          <w:r w:rsidRPr="00027624">
            <w:fldChar w:fldCharType="begin"/>
          </w:r>
          <w:r w:rsidRPr="00027624">
            <w:instrText xml:space="preserve">CITATION Mun07 \l 3081 </w:instrText>
          </w:r>
          <w:r w:rsidRPr="00027624">
            <w:fldChar w:fldCharType="separate"/>
          </w:r>
          <w:r w:rsidR="00E83F6E">
            <w:rPr>
              <w:noProof/>
            </w:rPr>
            <w:t>(Munnell, et al., 2007)</w:t>
          </w:r>
          <w:r w:rsidRPr="00027624">
            <w:fldChar w:fldCharType="end"/>
          </w:r>
        </w:sdtContent>
      </w:sdt>
      <w:r w:rsidRPr="00027624">
        <w:t xml:space="preserve">. Concern that they may outlive their retirement savings may prevent them drawing down their savings to support their living standards </w:t>
      </w:r>
      <w:r w:rsidRPr="00027624">
        <w:rPr>
          <w:iCs/>
        </w:rPr>
        <w:t xml:space="preserve">(see </w:t>
      </w:r>
      <w:r w:rsidRPr="00027624">
        <w:rPr>
          <w:i/>
          <w:iCs/>
        </w:rPr>
        <w:t>5A. Cohesion</w:t>
      </w:r>
      <w:r w:rsidRPr="00027624">
        <w:rPr>
          <w:iCs/>
        </w:rPr>
        <w:t>).</w:t>
      </w:r>
    </w:p>
    <w:p w14:paraId="1B934076" w14:textId="77777777" w:rsidR="0092760B" w:rsidRPr="00027624" w:rsidRDefault="0092760B" w:rsidP="002A2FAE">
      <w:r w:rsidRPr="00027624">
        <w:t>Policy intervention is needed because people find it difficult to make complex, long</w:t>
      </w:r>
      <w:r w:rsidR="00A8443E" w:rsidRPr="00027624">
        <w:noBreakHyphen/>
      </w:r>
      <w:r w:rsidRPr="00027624">
        <w:t>term decisions. Without assistance, many Australians would experience a drop in their living standard when they retire. Policies that make people save, like the SG, can improve lifetime wellbeing.</w:t>
      </w:r>
    </w:p>
    <w:p w14:paraId="7B1CAA35" w14:textId="77777777" w:rsidR="0092760B" w:rsidRPr="00027624" w:rsidRDefault="0092760B" w:rsidP="002A2FAE">
      <w:r w:rsidRPr="00027624">
        <w:t>Yet saving to improve retirement incomes needs to be balanced with the cost imposed during working life. Encouraging people to save too much, and reducing their standard of living in their working life, can harm their overall wellbeing. The standard of living achieved in retirement should not come at the cost of forgoing spending to an excessive degree during working life.</w:t>
      </w:r>
    </w:p>
    <w:p w14:paraId="15BAAE10" w14:textId="77777777" w:rsidR="0092760B" w:rsidRPr="00027624" w:rsidRDefault="0092760B">
      <w:pPr>
        <w:spacing w:after="240"/>
      </w:pPr>
      <w:r w:rsidRPr="00027624">
        <w:t>Many people aspire to a high standard of living in retirement. However, with compulsory superannuation adequacy targets are system</w:t>
      </w:r>
      <w:r w:rsidR="00A8443E" w:rsidRPr="00027624">
        <w:noBreakHyphen/>
      </w:r>
      <w:r w:rsidRPr="00027624">
        <w:t xml:space="preserve">wide goals that apply to everyone and need to account for a range of incomes and preferences. Therefore, </w:t>
      </w:r>
      <w:r w:rsidRPr="00027624">
        <w:rPr>
          <w:b/>
        </w:rPr>
        <w:t>a goal based on maintaining, rather than improving, living standards in retirement is appropriate.</w:t>
      </w:r>
      <w:r w:rsidRPr="00027624">
        <w:t xml:space="preserve"> People who aspire to higher living standards in retirement than when they were working should achieve these higher standards through voluntary savings.</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15CE1ED9" w14:textId="77777777" w:rsidTr="002A2FAE">
        <w:tc>
          <w:tcPr>
            <w:tcW w:w="5000" w:type="pct"/>
            <w:shd w:val="clear" w:color="auto" w:fill="FFF8EA"/>
          </w:tcPr>
          <w:p w14:paraId="35B46A90" w14:textId="77777777" w:rsidR="0092760B" w:rsidRPr="00027624" w:rsidRDefault="0092760B" w:rsidP="00325A8D">
            <w:pPr>
              <w:pStyle w:val="BoxHeading"/>
              <w:spacing w:before="120"/>
            </w:pPr>
            <w:bookmarkStart w:id="509" w:name="_Ref41051083"/>
            <w:bookmarkStart w:id="510" w:name="_Ref35610056"/>
            <w:r w:rsidRPr="00027624">
              <w:t>Behavioural biases affect saving decisions</w:t>
            </w:r>
            <w:bookmarkEnd w:id="509"/>
          </w:p>
          <w:bookmarkEnd w:id="510"/>
          <w:p w14:paraId="6568EC7A" w14:textId="77777777" w:rsidR="0092760B" w:rsidRPr="00027624" w:rsidRDefault="0092760B" w:rsidP="002A2FAE">
            <w:pPr>
              <w:keepNext/>
              <w:spacing w:before="0"/>
            </w:pPr>
            <w:r w:rsidRPr="00027624">
              <w:t>Lifetime consumption smoothing assumes that people make rational, calculated decisions about how they save for retirement. But households do not actually make decisions this way. A number of biases lead to undersaving, including:</w:t>
            </w:r>
          </w:p>
          <w:p w14:paraId="0545002E" w14:textId="77777777" w:rsidR="0092760B" w:rsidRPr="00027624" w:rsidRDefault="0092760B" w:rsidP="0092760B">
            <w:pPr>
              <w:pStyle w:val="Bullet"/>
              <w:rPr>
                <w:b/>
              </w:rPr>
            </w:pPr>
            <w:r w:rsidRPr="00027624">
              <w:rPr>
                <w:b/>
              </w:rPr>
              <w:t xml:space="preserve">Bounded rationality. </w:t>
            </w:r>
            <w:r w:rsidRPr="00027624">
              <w:t>Lifetime decisions are complicated. People find it hard to calculate how much they would need to save to support their needs in retirement. For example, the savings someone needs will depend on how long they live. Yet people tend to underestimate how long they are likely to live, increasing the risk of a financial shortfall later in retirement (longevity bias).</w:t>
            </w:r>
          </w:p>
          <w:p w14:paraId="4324A1DA" w14:textId="77777777" w:rsidR="0092760B" w:rsidRPr="00027624" w:rsidRDefault="0092760B" w:rsidP="0092760B">
            <w:pPr>
              <w:pStyle w:val="Bullet"/>
              <w:rPr>
                <w:b/>
              </w:rPr>
            </w:pPr>
            <w:r w:rsidRPr="00027624">
              <w:rPr>
                <w:b/>
              </w:rPr>
              <w:t xml:space="preserve">Present bias. </w:t>
            </w:r>
            <w:r w:rsidRPr="00027624">
              <w:t>People tend to overvalue the present and undervalue the future. They may not save enough for retirement because they (wrongly) think that whatever they do later is not as important as what they are doing now.</w:t>
            </w:r>
          </w:p>
          <w:p w14:paraId="6F620A6C" w14:textId="77777777" w:rsidR="0092760B" w:rsidRPr="00027624" w:rsidRDefault="0092760B" w:rsidP="0092760B">
            <w:pPr>
              <w:pStyle w:val="Bullet"/>
              <w:rPr>
                <w:b/>
              </w:rPr>
            </w:pPr>
            <w:r w:rsidRPr="00027624">
              <w:rPr>
                <w:b/>
              </w:rPr>
              <w:t xml:space="preserve">Status quo bias (inertia). </w:t>
            </w:r>
            <w:r w:rsidRPr="00027624">
              <w:t>People tend to continue their current behaviour even when they want, or have agreed, to change. If they are unaccustomed to saving, they may find it hard to start saving for retirement, even when they know they should.</w:t>
            </w:r>
          </w:p>
          <w:p w14:paraId="1F36D676" w14:textId="77777777" w:rsidR="0092760B" w:rsidRPr="00027624" w:rsidRDefault="0092760B" w:rsidP="002A2FAE">
            <w:pPr>
              <w:pStyle w:val="ChartorTableNote"/>
            </w:pPr>
            <w:r w:rsidRPr="00027624">
              <w:t xml:space="preserve">Source: Adapted from </w:t>
            </w:r>
            <w:sdt>
              <w:sdtPr>
                <w:id w:val="-768313408"/>
                <w:citation/>
              </w:sdtPr>
              <w:sdtEndPr/>
              <w:sdtContent>
                <w:r w:rsidRPr="00027624">
                  <w:fldChar w:fldCharType="begin"/>
                </w:r>
                <w:r w:rsidR="004F63FF" w:rsidRPr="00027624">
                  <w:instrText xml:space="preserve">CITATION Tha04 \l 3081 </w:instrText>
                </w:r>
                <w:r w:rsidRPr="00027624">
                  <w:fldChar w:fldCharType="separate"/>
                </w:r>
                <w:r w:rsidR="00E83F6E">
                  <w:rPr>
                    <w:noProof/>
                  </w:rPr>
                  <w:t>(Thaler &amp; Benartzi, 2004)</w:t>
                </w:r>
                <w:r w:rsidRPr="00027624">
                  <w:fldChar w:fldCharType="end"/>
                </w:r>
              </w:sdtContent>
            </w:sdt>
            <w:r w:rsidRPr="00027624">
              <w:t>.</w:t>
            </w:r>
          </w:p>
        </w:tc>
      </w:tr>
    </w:tbl>
    <w:p w14:paraId="1F82243B" w14:textId="77777777" w:rsidR="0092760B" w:rsidRPr="00027624" w:rsidRDefault="0092760B" w:rsidP="002A2FAE">
      <w:pPr>
        <w:pStyle w:val="Heading2"/>
      </w:pPr>
      <w:bookmarkStart w:id="511" w:name="_Toc45520466"/>
      <w:bookmarkStart w:id="512" w:name="_Toc46133576"/>
      <w:r w:rsidRPr="00027624">
        <w:lastRenderedPageBreak/>
        <w:t>The trade</w:t>
      </w:r>
      <w:r w:rsidR="00A8443E" w:rsidRPr="00027624">
        <w:noBreakHyphen/>
      </w:r>
      <w:r w:rsidRPr="00027624">
        <w:t>off between working life and retirement income</w:t>
      </w:r>
      <w:bookmarkEnd w:id="511"/>
      <w:bookmarkEnd w:id="512"/>
    </w:p>
    <w:p w14:paraId="5EB4A427" w14:textId="77777777" w:rsidR="0092760B" w:rsidRPr="00027624" w:rsidRDefault="0092760B" w:rsidP="002A2FAE">
      <w:r w:rsidRPr="00027624">
        <w:rPr>
          <w:b/>
          <w:bCs/>
        </w:rPr>
        <w:t>The retirement income system has to accommodate the trade</w:t>
      </w:r>
      <w:r w:rsidR="00A8443E" w:rsidRPr="00027624">
        <w:rPr>
          <w:b/>
          <w:bCs/>
        </w:rPr>
        <w:noBreakHyphen/>
      </w:r>
      <w:r w:rsidRPr="00027624">
        <w:rPr>
          <w:b/>
          <w:bCs/>
        </w:rPr>
        <w:t>off between working life and retirement living standards.</w:t>
      </w:r>
      <w:r w:rsidRPr="00027624">
        <w:t xml:space="preserve"> Governments and individuals both facilitate this trade</w:t>
      </w:r>
      <w:r w:rsidR="00A8443E" w:rsidRPr="00027624">
        <w:noBreakHyphen/>
      </w:r>
      <w:r w:rsidRPr="00027624">
        <w:t>off:</w:t>
      </w:r>
    </w:p>
    <w:p w14:paraId="530A5943" w14:textId="77777777" w:rsidR="0092760B" w:rsidRPr="00027624" w:rsidRDefault="0092760B" w:rsidP="0092760B">
      <w:pPr>
        <w:pStyle w:val="Bullet"/>
      </w:pPr>
      <w:r w:rsidRPr="00027624">
        <w:t>The Government taxes people more during their working lives and provides higher levels of support in retirement, including income support, more services and lower taxes.</w:t>
      </w:r>
    </w:p>
    <w:p w14:paraId="4F0F4B29" w14:textId="77777777" w:rsidR="0092760B" w:rsidRPr="00027624" w:rsidRDefault="0092760B" w:rsidP="0092760B">
      <w:pPr>
        <w:pStyle w:val="Bullet"/>
      </w:pPr>
      <w:r w:rsidRPr="00027624">
        <w:t>Individuals make trade</w:t>
      </w:r>
      <w:r w:rsidR="00A8443E" w:rsidRPr="00027624">
        <w:noBreakHyphen/>
      </w:r>
      <w:r w:rsidRPr="00027624">
        <w:t>offs when saving for retirement. They forgo spending today to increase their spending in retirement. People can be compelled to make this trade</w:t>
      </w:r>
      <w:r w:rsidR="00A8443E" w:rsidRPr="00027624">
        <w:noBreakHyphen/>
      </w:r>
      <w:r w:rsidRPr="00027624">
        <w:t>off, such as via the SG, or choose it voluntarily.</w:t>
      </w:r>
    </w:p>
    <w:p w14:paraId="18C34C59" w14:textId="77777777" w:rsidR="0092760B" w:rsidRPr="00027624" w:rsidRDefault="0092760B" w:rsidP="002A2FAE">
      <w:r w:rsidRPr="00027624">
        <w:t>Some stakeholders did not accept the concept that a balance must be achieved between pre</w:t>
      </w:r>
      <w:r w:rsidR="00A8443E" w:rsidRPr="00027624">
        <w:noBreakHyphen/>
      </w:r>
      <w:r w:rsidRPr="00027624">
        <w:t xml:space="preserve"> and post</w:t>
      </w:r>
      <w:r w:rsidR="00A8443E" w:rsidRPr="00027624">
        <w:noBreakHyphen/>
      </w:r>
      <w:r w:rsidRPr="00027624">
        <w:t xml:space="preserve">retirement living standards. As outlined in </w:t>
      </w:r>
      <w:r w:rsidRPr="00027624">
        <w:rPr>
          <w:i/>
        </w:rPr>
        <w:t>1C. The objective of the system and</w:t>
      </w:r>
      <w:r w:rsidR="009548B6">
        <w:rPr>
          <w:i/>
        </w:rPr>
        <w:t xml:space="preserve"> the</w:t>
      </w:r>
      <w:r w:rsidRPr="00027624">
        <w:rPr>
          <w:i/>
        </w:rPr>
        <w:t xml:space="preserve"> role</w:t>
      </w:r>
      <w:r w:rsidR="00FA7D52">
        <w:rPr>
          <w:i/>
        </w:rPr>
        <w:t>s</w:t>
      </w:r>
      <w:r w:rsidRPr="00027624">
        <w:rPr>
          <w:i/>
        </w:rPr>
        <w:t xml:space="preserve"> of the pillars</w:t>
      </w:r>
      <w:r w:rsidRPr="00027624">
        <w:t>,</w:t>
      </w:r>
      <w:r w:rsidRPr="00027624">
        <w:rPr>
          <w:i/>
          <w:iCs/>
        </w:rPr>
        <w:t xml:space="preserve"> </w:t>
      </w:r>
      <w:r w:rsidRPr="00027624">
        <w:t>some submissions advocated that an objective of the retirement income system should be to achieve an aspirational standard of living.</w:t>
      </w:r>
    </w:p>
    <w:p w14:paraId="1754ADC1" w14:textId="77777777" w:rsidR="0092760B" w:rsidRPr="00027624" w:rsidRDefault="0092760B" w:rsidP="002A2FAE">
      <w:r w:rsidRPr="00027624">
        <w:t>A key factor influencing this view was the belief that the SG does not come at a cost of wage increases and, as such, it does not involve a trade</w:t>
      </w:r>
      <w:r w:rsidR="00A8443E" w:rsidRPr="00027624">
        <w:noBreakHyphen/>
      </w:r>
      <w:r w:rsidRPr="00027624">
        <w:t>off between pre</w:t>
      </w:r>
      <w:r w:rsidR="00A8443E" w:rsidRPr="00027624">
        <w:noBreakHyphen/>
      </w:r>
      <w:r w:rsidRPr="00027624">
        <w:t xml:space="preserve"> and post</w:t>
      </w:r>
      <w:r w:rsidR="00A8443E" w:rsidRPr="00027624">
        <w:noBreakHyphen/>
      </w:r>
      <w:r w:rsidRPr="00027624">
        <w:t>retirement living standards.</w:t>
      </w:r>
    </w:p>
    <w:p w14:paraId="269A7A2A" w14:textId="77777777" w:rsidR="0092760B" w:rsidRPr="00027624" w:rsidRDefault="0092760B" w:rsidP="002A2FAE">
      <w:pPr>
        <w:rPr>
          <w:b/>
          <w:bCs/>
        </w:rPr>
      </w:pPr>
      <w:r w:rsidRPr="00027624">
        <w:rPr>
          <w:b/>
          <w:bCs/>
        </w:rPr>
        <w:t>Whether an increase to the SG is offset by forgone wages growth or results in additional compensation for workers is central to determining the adequacy objective of the retirement income system.</w:t>
      </w:r>
    </w:p>
    <w:p w14:paraId="0F4D67D1" w14:textId="77777777" w:rsidR="0092760B" w:rsidRPr="00027624" w:rsidRDefault="0092760B" w:rsidP="002A2FAE">
      <w:r w:rsidRPr="00027624">
        <w:t>Reflecting policy intent and economic theory, governments, Treasury and other analy</w:t>
      </w:r>
      <w:r w:rsidR="00F833C7" w:rsidRPr="00027624">
        <w:t>sts</w:t>
      </w:r>
      <w:r w:rsidRPr="00027624">
        <w:t xml:space="preserve"> ha</w:t>
      </w:r>
      <w:r w:rsidR="00F833C7" w:rsidRPr="00027624">
        <w:t>ve</w:t>
      </w:r>
      <w:r w:rsidRPr="00027624">
        <w:t xml:space="preserve"> typically assumed full pass</w:t>
      </w:r>
      <w:r w:rsidR="00A8443E" w:rsidRPr="00027624">
        <w:noBreakHyphen/>
      </w:r>
      <w:r w:rsidRPr="00027624">
        <w:t xml:space="preserve">through of SG increases to lower wage growth </w:t>
      </w:r>
      <w:sdt>
        <w:sdtPr>
          <w:id w:val="-161542640"/>
          <w:citation/>
        </w:sdtPr>
        <w:sdtEndPr/>
        <w:sdtContent>
          <w:r w:rsidRPr="00027624">
            <w:fldChar w:fldCharType="begin"/>
          </w:r>
          <w:r w:rsidRPr="00027624">
            <w:instrText>CITATION Gal12 \m Rot11 \l 3081  \m Hen09</w:instrText>
          </w:r>
          <w:r w:rsidRPr="00027624">
            <w:fldChar w:fldCharType="separate"/>
          </w:r>
          <w:r w:rsidR="00E83F6E">
            <w:rPr>
              <w:noProof/>
            </w:rPr>
            <w:t>(Gallagher, 2012; Rothman, 2011; Australia’s Future Tax System Review, 2009)</w:t>
          </w:r>
          <w:r w:rsidRPr="00027624">
            <w:fldChar w:fldCharType="end"/>
          </w:r>
        </w:sdtContent>
      </w:sdt>
      <w:r w:rsidRPr="00027624">
        <w:t xml:space="preserve">. </w:t>
      </w:r>
      <w:r w:rsidR="005313FA" w:rsidRPr="00027624">
        <w:t>I</w:t>
      </w:r>
      <w:r w:rsidRPr="00027624">
        <w:t xml:space="preserve">n 2007, Paul Keating remarked that </w:t>
      </w:r>
      <w:r w:rsidR="00A8443E" w:rsidRPr="00027624">
        <w:t>‘</w:t>
      </w:r>
      <w:r w:rsidRPr="00027624">
        <w:t>the cost of superannuation was never borne by employers. It was absorbed into the overall wage cost</w:t>
      </w:r>
      <w:r w:rsidR="00A8443E" w:rsidRPr="00027624">
        <w:t>’</w:t>
      </w:r>
      <w:r w:rsidRPr="00027624">
        <w:t xml:space="preserve">  </w:t>
      </w:r>
      <w:sdt>
        <w:sdtPr>
          <w:id w:val="-1191903089"/>
          <w:citation/>
        </w:sdtPr>
        <w:sdtEndPr/>
        <w:sdtContent>
          <w:r w:rsidRPr="00027624">
            <w:fldChar w:fldCharType="begin"/>
          </w:r>
          <w:r w:rsidRPr="00027624">
            <w:instrText xml:space="preserve"> CITATION Kea07 \l 3081 </w:instrText>
          </w:r>
          <w:r w:rsidRPr="00027624">
            <w:fldChar w:fldCharType="separate"/>
          </w:r>
          <w:r w:rsidR="00E83F6E">
            <w:rPr>
              <w:noProof/>
            </w:rPr>
            <w:t>(Keating, 2007)</w:t>
          </w:r>
          <w:r w:rsidRPr="00027624">
            <w:fldChar w:fldCharType="end"/>
          </w:r>
        </w:sdtContent>
      </w:sdt>
      <w:r w:rsidRPr="00027624">
        <w:t>.</w:t>
      </w:r>
    </w:p>
    <w:p w14:paraId="27946623" w14:textId="77777777" w:rsidR="0092760B" w:rsidRPr="00027624" w:rsidRDefault="0092760B" w:rsidP="006A593F">
      <w:pPr>
        <w:pStyle w:val="ChartMainHeading"/>
        <w:numPr>
          <w:ilvl w:val="2"/>
          <w:numId w:val="116"/>
        </w:numPr>
      </w:pPr>
      <w:bookmarkStart w:id="513" w:name="_Ref39237586"/>
      <w:bookmarkStart w:id="514" w:name="_Ref39243592"/>
      <w:r w:rsidRPr="00027624">
        <w:t>Estimates of how much increases in SG or mandated benefits reduce wages</w:t>
      </w:r>
      <w:bookmarkEnd w:id="513"/>
      <w:bookmarkEnd w:id="514"/>
      <w:r w:rsidRPr="00027624">
        <w:t xml:space="preserve"> growth, 95 per cent confidence intervals</w:t>
      </w:r>
    </w:p>
    <w:p w14:paraId="031F22D0" w14:textId="77777777" w:rsidR="0092760B" w:rsidRPr="00027624" w:rsidRDefault="00FA136B" w:rsidP="002A2FAE">
      <w:pPr>
        <w:pStyle w:val="ChartGraphic"/>
      </w:pPr>
      <w:r>
        <w:rPr>
          <w:noProof/>
        </w:rPr>
        <w:drawing>
          <wp:inline distT="0" distB="0" distL="0" distR="0" wp14:anchorId="647C3E69" wp14:editId="0D732667">
            <wp:extent cx="5577840" cy="2522220"/>
            <wp:effectExtent l="0" t="0" r="3810" b="0"/>
            <wp:docPr id="2050622975" name="Picture 2050622975" descr="This chart shows that studies estimate most of the increase in SG comes at the expense of lower wage growth. It shows that recent estimates in Australia are that 80 per cent or more of the increase is passed through to lower wages. International meta studies find weaker pass through in the short term, but long term estimates are similar to the recent Australian studies." title="Chart 2C-1 Estimates of how much increases in SG or mandated benefits reduce wages growth, 95 per cent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C872DB9" w14:textId="77777777" w:rsidR="0092760B" w:rsidRPr="00027624" w:rsidRDefault="0092760B" w:rsidP="002A2FAE">
      <w:pPr>
        <w:pStyle w:val="ChartorTableNote"/>
      </w:pPr>
      <w:r w:rsidRPr="00027624">
        <w:t>Note: 100 per cent implies all the costs of SG or mandated benefits changes are passed through as reductions in wages growth. Breunig and Sobeck</w:t>
      </w:r>
      <w:r w:rsidR="00A8443E" w:rsidRPr="00027624">
        <w:t>’</w:t>
      </w:r>
      <w:r w:rsidRPr="00027624">
        <w:t xml:space="preserve">s </w:t>
      </w:r>
      <w:sdt>
        <w:sdtPr>
          <w:id w:val="-276800043"/>
          <w:citation/>
        </w:sdtPr>
        <w:sdtEndPr/>
        <w:sdtContent>
          <w:r w:rsidRPr="00027624">
            <w:fldChar w:fldCharType="begin"/>
          </w:r>
          <w:r w:rsidRPr="00027624">
            <w:instrText xml:space="preserve">CITATION Bre20 \n  \t  \l 3081 </w:instrText>
          </w:r>
          <w:r w:rsidRPr="00027624">
            <w:fldChar w:fldCharType="separate"/>
          </w:r>
          <w:r w:rsidR="00E83F6E">
            <w:rPr>
              <w:noProof/>
            </w:rPr>
            <w:t>(2020)</w:t>
          </w:r>
          <w:r w:rsidRPr="00027624">
            <w:fldChar w:fldCharType="end"/>
          </w:r>
        </w:sdtContent>
      </w:sdt>
      <w:r w:rsidRPr="00027624">
        <w:t xml:space="preserve"> estimate relates to the SG change for 2002</w:t>
      </w:r>
      <w:r w:rsidR="00A8443E" w:rsidRPr="00027624">
        <w:noBreakHyphen/>
      </w:r>
      <w:r w:rsidRPr="00027624">
        <w:t>03. Coates, et al.</w:t>
      </w:r>
      <w:r w:rsidR="00A8443E" w:rsidRPr="00027624">
        <w:t>’</w:t>
      </w:r>
      <w:r w:rsidRPr="00027624">
        <w:t xml:space="preserve">s </w:t>
      </w:r>
      <w:sdt>
        <w:sdtPr>
          <w:id w:val="651180373"/>
          <w:citation/>
        </w:sdtPr>
        <w:sdtEndPr/>
        <w:sdtContent>
          <w:r w:rsidR="004F63FF" w:rsidRPr="00027624">
            <w:fldChar w:fldCharType="begin"/>
          </w:r>
          <w:r w:rsidR="004F63FF" w:rsidRPr="00027624">
            <w:instrText xml:space="preserve">CITATION Coa20 \n  \t  \l 3081 </w:instrText>
          </w:r>
          <w:r w:rsidR="004F63FF" w:rsidRPr="00027624">
            <w:fldChar w:fldCharType="separate"/>
          </w:r>
          <w:r w:rsidR="00E83F6E">
            <w:rPr>
              <w:noProof/>
            </w:rPr>
            <w:t>(2020)</w:t>
          </w:r>
          <w:r w:rsidR="004F63FF" w:rsidRPr="00027624">
            <w:fldChar w:fldCharType="end"/>
          </w:r>
        </w:sdtContent>
      </w:sdt>
      <w:r w:rsidRPr="00027624">
        <w:t xml:space="preserve"> estimate uses the authors</w:t>
      </w:r>
      <w:r w:rsidR="00A8443E" w:rsidRPr="00027624">
        <w:t>’</w:t>
      </w:r>
      <w:r w:rsidRPr="00027624">
        <w:t xml:space="preserve"> preferred model. International meta</w:t>
      </w:r>
      <w:r w:rsidR="00A8443E" w:rsidRPr="00027624">
        <w:noBreakHyphen/>
      </w:r>
      <w:r w:rsidRPr="00027624">
        <w:t xml:space="preserve">analysis of mandated benefits is based on 52 empirical studies looking at the incidence of labour taxes and social security contributions </w:t>
      </w:r>
      <w:sdt>
        <w:sdtPr>
          <w:id w:val="-1179658633"/>
          <w:citation/>
        </w:sdtPr>
        <w:sdtEndPr/>
        <w:sdtContent>
          <w:r w:rsidRPr="00027624">
            <w:fldChar w:fldCharType="begin"/>
          </w:r>
          <w:r w:rsidRPr="00027624">
            <w:instrText xml:space="preserve">CITATION Mel13 \l 3081 </w:instrText>
          </w:r>
          <w:r w:rsidRPr="00027624">
            <w:fldChar w:fldCharType="separate"/>
          </w:r>
          <w:r w:rsidR="00E83F6E">
            <w:rPr>
              <w:noProof/>
            </w:rPr>
            <w:t>(Melguizo &amp; González-Páramo, 2013)</w:t>
          </w:r>
          <w:r w:rsidRPr="00027624">
            <w:fldChar w:fldCharType="end"/>
          </w:r>
        </w:sdtContent>
      </w:sdt>
      <w:r w:rsidRPr="00027624">
        <w:t>. Source: Review analysis.</w:t>
      </w:r>
    </w:p>
    <w:p w14:paraId="48F1F9D6" w14:textId="7272662C" w:rsidR="0092760B" w:rsidRPr="00027624" w:rsidRDefault="0092760B" w:rsidP="002A2FAE">
      <w:pPr>
        <w:spacing w:before="240"/>
      </w:pPr>
      <w:r w:rsidRPr="00027624">
        <w:t xml:space="preserve">In addition to policy intent, </w:t>
      </w:r>
      <w:r w:rsidRPr="00027624">
        <w:rPr>
          <w:b/>
        </w:rPr>
        <w:t>the weight of evidence suggests the majority of increases in the SG come at the expense of growth in wages</w:t>
      </w:r>
      <w:r w:rsidRPr="00027624">
        <w:t xml:space="preserve"> as outlined in detail in </w:t>
      </w:r>
      <w:r w:rsidRPr="00027624">
        <w:rPr>
          <w:i/>
        </w:rPr>
        <w:t xml:space="preserve">Appendix 6A. Detailed modelling </w:t>
      </w:r>
      <w:r w:rsidRPr="00027624">
        <w:rPr>
          <w:i/>
        </w:rPr>
        <w:lastRenderedPageBreak/>
        <w:t xml:space="preserve">methods and assumptions </w:t>
      </w:r>
      <w:r w:rsidRPr="00027624">
        <w:t>(</w:t>
      </w:r>
      <w:r w:rsidRPr="00027624">
        <w:fldChar w:fldCharType="begin"/>
      </w:r>
      <w:r w:rsidRPr="00027624">
        <w:instrText xml:space="preserve"> REF _Ref39237586 \r \h  \* MERGEFORMAT </w:instrText>
      </w:r>
      <w:r w:rsidRPr="00027624">
        <w:fldChar w:fldCharType="separate"/>
      </w:r>
      <w:r w:rsidR="00891058">
        <w:t>Chart 2C-1</w:t>
      </w:r>
      <w:r w:rsidRPr="00027624">
        <w:fldChar w:fldCharType="end"/>
      </w:r>
      <w:r w:rsidRPr="00027624">
        <w:t>). This result is consistent with the SG</w:t>
      </w:r>
      <w:r w:rsidR="00A8443E" w:rsidRPr="00027624">
        <w:t>’</w:t>
      </w:r>
      <w:r w:rsidRPr="00027624">
        <w:t>s original policy purpose that it involved a trade</w:t>
      </w:r>
      <w:r w:rsidR="00A8443E" w:rsidRPr="00027624">
        <w:noBreakHyphen/>
      </w:r>
      <w:r w:rsidRPr="00027624">
        <w:t>off between working life and retirement income:</w:t>
      </w:r>
    </w:p>
    <w:p w14:paraId="060A593E" w14:textId="5785499F" w:rsidR="0092760B" w:rsidRPr="00027624" w:rsidRDefault="00A8443E" w:rsidP="002A2FAE">
      <w:pPr>
        <w:pStyle w:val="Quote"/>
      </w:pPr>
      <w:r w:rsidRPr="00027624">
        <w:t>‘</w:t>
      </w:r>
      <w:r w:rsidR="0092760B" w:rsidRPr="00027624">
        <w:t>A major challenge for retirement incomes policy is the need for current consumption to be deferred in favour of future income in retirement … Real take home pay will increase but at a correspondingly lower rate than would otherwise be the case.</w:t>
      </w:r>
      <w:r w:rsidRPr="00027624">
        <w:t>’</w:t>
      </w:r>
      <w:sdt>
        <w:sdtPr>
          <w:id w:val="-290207487"/>
          <w:citation/>
        </w:sdtPr>
        <w:sdtEndPr/>
        <w:sdtContent>
          <w:r w:rsidR="0092760B" w:rsidRPr="00027624">
            <w:fldChar w:fldCharType="begin"/>
          </w:r>
          <w:r w:rsidR="0092760B" w:rsidRPr="00027624">
            <w:instrText xml:space="preserve">CITATION Daw92 \p 17,40 \l 3081 </w:instrText>
          </w:r>
          <w:r w:rsidR="0092760B" w:rsidRPr="00027624">
            <w:fldChar w:fldCharType="separate"/>
          </w:r>
          <w:r w:rsidR="00E83F6E">
            <w:rPr>
              <w:noProof/>
            </w:rPr>
            <w:t xml:space="preserve"> (Dawkins, 1992, pp. 17,40)</w:t>
          </w:r>
          <w:r w:rsidR="0092760B" w:rsidRPr="00027624">
            <w:fldChar w:fldCharType="end"/>
          </w:r>
        </w:sdtContent>
      </w:sdt>
    </w:p>
    <w:p w14:paraId="560E5279" w14:textId="77777777" w:rsidR="0092760B" w:rsidRPr="00027624" w:rsidRDefault="0092760B" w:rsidP="002A2FAE">
      <w:r w:rsidRPr="00027624">
        <w:t>The relationship between SG rate increases and wages growth is supported by two micro</w:t>
      </w:r>
      <w:r w:rsidR="00A8443E" w:rsidRPr="00027624">
        <w:noBreakHyphen/>
      </w:r>
      <w:r w:rsidRPr="00027624">
        <w:t>econometric studies, which use different data sources and approaches:</w:t>
      </w:r>
    </w:p>
    <w:p w14:paraId="7E7ED993" w14:textId="77777777" w:rsidR="0092760B" w:rsidRPr="00027624" w:rsidRDefault="0092760B" w:rsidP="00FC7361">
      <w:pPr>
        <w:pStyle w:val="OutlineNumbered1"/>
        <w:numPr>
          <w:ilvl w:val="0"/>
          <w:numId w:val="82"/>
        </w:numPr>
      </w:pPr>
      <w:r w:rsidRPr="00027624">
        <w:t xml:space="preserve">Breunig and Sobeck </w:t>
      </w:r>
      <w:sdt>
        <w:sdtPr>
          <w:id w:val="-776950143"/>
          <w:citation/>
        </w:sdtPr>
        <w:sdtEndPr/>
        <w:sdtContent>
          <w:r w:rsidRPr="00027624">
            <w:fldChar w:fldCharType="begin"/>
          </w:r>
          <w:r w:rsidRPr="00027624">
            <w:instrText xml:space="preserve">CITATION Bre20 \n  \t  \l 3081 </w:instrText>
          </w:r>
          <w:r w:rsidRPr="00027624">
            <w:fldChar w:fldCharType="separate"/>
          </w:r>
          <w:r w:rsidR="00E83F6E">
            <w:rPr>
              <w:noProof/>
            </w:rPr>
            <w:t>(2020)</w:t>
          </w:r>
          <w:r w:rsidRPr="00027624">
            <w:fldChar w:fldCharType="end"/>
          </w:r>
        </w:sdtContent>
      </w:sdt>
      <w:r w:rsidRPr="00027624">
        <w:t xml:space="preserve"> found that changes to the SG causally lower wages growth, with a pass</w:t>
      </w:r>
      <w:r w:rsidR="00A8443E" w:rsidRPr="00027624">
        <w:noBreakHyphen/>
      </w:r>
      <w:r w:rsidRPr="00027624">
        <w:t xml:space="preserve">through of close to 100 per cent. This study used an extensive dataset of linked taxpayer records that has only recently become available to researchers (see </w:t>
      </w:r>
      <w:r w:rsidRPr="00027624">
        <w:rPr>
          <w:i/>
        </w:rPr>
        <w:t>Appendix 6C. Outcomes of research</w:t>
      </w:r>
      <w:r w:rsidRPr="00027624">
        <w:t>).</w:t>
      </w:r>
    </w:p>
    <w:p w14:paraId="636DD2A3" w14:textId="77777777" w:rsidR="0092760B" w:rsidRPr="00027624" w:rsidRDefault="0092760B" w:rsidP="00716CEE">
      <w:pPr>
        <w:pStyle w:val="OutlineNumbered1"/>
      </w:pPr>
      <w:r w:rsidRPr="00027624">
        <w:t>Another study found that about 80 per cent of SG increases is passed to workers through lower wage growth over a two</w:t>
      </w:r>
      <w:r w:rsidR="00A8443E" w:rsidRPr="00027624">
        <w:noBreakHyphen/>
      </w:r>
      <w:r w:rsidRPr="00027624">
        <w:t xml:space="preserve"> to three</w:t>
      </w:r>
      <w:r w:rsidR="00A8443E" w:rsidRPr="00027624">
        <w:noBreakHyphen/>
      </w:r>
      <w:r w:rsidRPr="00027624">
        <w:t>year period</w:t>
      </w:r>
      <w:sdt>
        <w:sdtPr>
          <w:id w:val="2108388186"/>
          <w:citation/>
        </w:sdtPr>
        <w:sdtEndPr/>
        <w:sdtContent>
          <w:r w:rsidRPr="00027624">
            <w:fldChar w:fldCharType="begin"/>
          </w:r>
          <w:r w:rsidRPr="00027624">
            <w:instrText xml:space="preserve">CITATION Coa20 \l 3081 </w:instrText>
          </w:r>
          <w:r w:rsidRPr="00027624">
            <w:fldChar w:fldCharType="separate"/>
          </w:r>
          <w:r w:rsidR="00E83F6E">
            <w:rPr>
              <w:noProof/>
            </w:rPr>
            <w:t xml:space="preserve"> (Coates, et al., 2020)</w:t>
          </w:r>
          <w:r w:rsidRPr="00027624">
            <w:fldChar w:fldCharType="end"/>
          </w:r>
        </w:sdtContent>
      </w:sdt>
      <w:r w:rsidRPr="00027624">
        <w:t>. This study analysed data on federal workplace agreements.</w:t>
      </w:r>
    </w:p>
    <w:p w14:paraId="0736A956" w14:textId="77777777" w:rsidR="0092760B" w:rsidRPr="00027624" w:rsidRDefault="0092760B" w:rsidP="002A2FAE">
      <w:r w:rsidRPr="00027624">
        <w:t>In contrast</w:t>
      </w:r>
      <w:r w:rsidR="003A119F" w:rsidRPr="00027624">
        <w:t>,</w:t>
      </w:r>
      <w:r w:rsidRPr="00027624">
        <w:t xml:space="preserve"> work by Taylor </w:t>
      </w:r>
      <w:sdt>
        <w:sdtPr>
          <w:id w:val="-887943899"/>
          <w:citation/>
        </w:sdtPr>
        <w:sdtEndPr/>
        <w:sdtContent>
          <w:r w:rsidR="00AC2B79" w:rsidRPr="00027624">
            <w:fldChar w:fldCharType="begin"/>
          </w:r>
          <w:r w:rsidR="00AC2B79" w:rsidRPr="00027624">
            <w:instrText xml:space="preserve">CITATION Kyl19 \n  \t  \l 3081 </w:instrText>
          </w:r>
          <w:r w:rsidR="00AC2B79" w:rsidRPr="00027624">
            <w:fldChar w:fldCharType="separate"/>
          </w:r>
          <w:r w:rsidR="00E83F6E">
            <w:rPr>
              <w:noProof/>
            </w:rPr>
            <w:t>(2019)</w:t>
          </w:r>
          <w:r w:rsidR="00AC2B79" w:rsidRPr="00027624">
            <w:fldChar w:fldCharType="end"/>
          </w:r>
        </w:sdtContent>
      </w:sdt>
      <w:r w:rsidR="00E44A93" w:rsidRPr="00027624">
        <w:t xml:space="preserve"> and Stanford</w:t>
      </w:r>
      <w:sdt>
        <w:sdtPr>
          <w:id w:val="-275870423"/>
          <w:citation/>
        </w:sdtPr>
        <w:sdtEndPr/>
        <w:sdtContent>
          <w:r w:rsidR="00AC2B79" w:rsidRPr="00027624">
            <w:fldChar w:fldCharType="begin"/>
          </w:r>
          <w:r w:rsidR="00AC2B79" w:rsidRPr="00027624">
            <w:instrText xml:space="preserve">CITATION Sta19 \n  \t  \l 3081 </w:instrText>
          </w:r>
          <w:r w:rsidR="00AC2B79" w:rsidRPr="00027624">
            <w:fldChar w:fldCharType="separate"/>
          </w:r>
          <w:r w:rsidR="00E83F6E">
            <w:rPr>
              <w:noProof/>
            </w:rPr>
            <w:t xml:space="preserve"> (2019)</w:t>
          </w:r>
          <w:r w:rsidR="00AC2B79" w:rsidRPr="00027624">
            <w:fldChar w:fldCharType="end"/>
          </w:r>
        </w:sdtContent>
      </w:sdt>
      <w:r w:rsidRPr="00027624">
        <w:t xml:space="preserve"> using macro</w:t>
      </w:r>
      <w:r w:rsidR="00A8443E" w:rsidRPr="00027624">
        <w:noBreakHyphen/>
      </w:r>
      <w:r w:rsidRPr="00027624">
        <w:t>econometric approaches</w:t>
      </w:r>
      <w:r w:rsidRPr="00027624">
        <w:rPr>
          <w:rStyle w:val="normaltextrun"/>
          <w:rFonts w:cs="Calibri"/>
          <w:color w:val="000000"/>
          <w:szCs w:val="22"/>
          <w:shd w:val="clear" w:color="auto" w:fill="FFFFFF"/>
        </w:rPr>
        <w:t>,</w:t>
      </w:r>
      <w:r w:rsidRPr="00027624">
        <w:t xml:space="preserve"> found no significant pass</w:t>
      </w:r>
      <w:r w:rsidR="00A8443E" w:rsidRPr="00027624">
        <w:noBreakHyphen/>
      </w:r>
      <w:r w:rsidRPr="00027624">
        <w:t>through of SG costs to wages. However,</w:t>
      </w:r>
      <w:r w:rsidRPr="00027624">
        <w:rPr>
          <w:rStyle w:val="normaltextrun"/>
          <w:rFonts w:cs="Calibri"/>
          <w:color w:val="000000"/>
          <w:szCs w:val="22"/>
          <w:shd w:val="clear" w:color="auto" w:fill="FFFFFF"/>
        </w:rPr>
        <w:t xml:space="preserve"> </w:t>
      </w:r>
      <w:r w:rsidRPr="00027624">
        <w:t>such</w:t>
      </w:r>
      <w:r w:rsidRPr="00027624">
        <w:rPr>
          <w:rStyle w:val="normaltextrun"/>
          <w:rFonts w:cs="Calibri"/>
          <w:color w:val="000000"/>
          <w:szCs w:val="22"/>
          <w:shd w:val="clear" w:color="auto" w:fill="FFFFFF"/>
        </w:rPr>
        <w:t xml:space="preserve"> </w:t>
      </w:r>
      <w:r w:rsidRPr="00027624">
        <w:t>approaches</w:t>
      </w:r>
      <w:r w:rsidRPr="00027624">
        <w:rPr>
          <w:rStyle w:val="normaltextrun"/>
          <w:rFonts w:cs="Calibri"/>
          <w:color w:val="000000"/>
          <w:szCs w:val="22"/>
          <w:shd w:val="clear" w:color="auto" w:fill="FFFFFF"/>
        </w:rPr>
        <w:t xml:space="preserve"> have difficulty estimating the long</w:t>
      </w:r>
      <w:r w:rsidR="00A8443E" w:rsidRPr="00027624">
        <w:rPr>
          <w:rStyle w:val="normaltextrun"/>
          <w:rFonts w:cs="Calibri"/>
          <w:color w:val="000000"/>
          <w:szCs w:val="22"/>
          <w:shd w:val="clear" w:color="auto" w:fill="FFFFFF"/>
        </w:rPr>
        <w:noBreakHyphen/>
      </w:r>
      <w:r w:rsidRPr="00027624">
        <w:rPr>
          <w:rStyle w:val="normaltextrun"/>
          <w:rFonts w:cs="Calibri"/>
          <w:color w:val="000000"/>
          <w:szCs w:val="22"/>
          <w:shd w:val="clear" w:color="auto" w:fill="FFFFFF"/>
        </w:rPr>
        <w:t xml:space="preserve">run incidence of increases in the SG on wages </w:t>
      </w:r>
      <w:sdt>
        <w:sdtPr>
          <w:rPr>
            <w:rStyle w:val="normaltextrun"/>
            <w:rFonts w:cs="Calibri"/>
            <w:color w:val="000000"/>
            <w:szCs w:val="22"/>
            <w:shd w:val="clear" w:color="auto" w:fill="FFFFFF"/>
          </w:rPr>
          <w:id w:val="-1074434571"/>
          <w:citation/>
        </w:sdtPr>
        <w:sdtEndPr>
          <w:rPr>
            <w:rStyle w:val="normaltextrun"/>
          </w:rPr>
        </w:sdtEndPr>
        <w:sdtContent>
          <w:r w:rsidRPr="00027624">
            <w:rPr>
              <w:rStyle w:val="normaltextrun"/>
              <w:rFonts w:cs="Calibri"/>
              <w:color w:val="000000"/>
              <w:szCs w:val="22"/>
              <w:shd w:val="clear" w:color="auto" w:fill="FFFFFF"/>
            </w:rPr>
            <w:fldChar w:fldCharType="begin"/>
          </w:r>
          <w:r w:rsidRPr="00027624">
            <w:rPr>
              <w:rStyle w:val="normaltextrun"/>
              <w:rFonts w:cs="Calibri"/>
              <w:color w:val="000000"/>
              <w:szCs w:val="22"/>
              <w:shd w:val="clear" w:color="auto" w:fill="FFFFFF"/>
            </w:rPr>
            <w:instrText xml:space="preserve"> CITATION Eur15 \l 3081 </w:instrText>
          </w:r>
          <w:r w:rsidRPr="00027624">
            <w:rPr>
              <w:rStyle w:val="normaltextrun"/>
              <w:rFonts w:cs="Calibri"/>
              <w:color w:val="000000"/>
              <w:szCs w:val="22"/>
              <w:shd w:val="clear" w:color="auto" w:fill="FFFFFF"/>
            </w:rPr>
            <w:fldChar w:fldCharType="separate"/>
          </w:r>
          <w:r w:rsidR="00E83F6E" w:rsidRPr="00E83F6E">
            <w:rPr>
              <w:rFonts w:cs="Calibri"/>
              <w:noProof/>
              <w:color w:val="000000"/>
              <w:szCs w:val="22"/>
              <w:shd w:val="clear" w:color="auto" w:fill="FFFFFF"/>
            </w:rPr>
            <w:t>(European Commission, 2015)</w:t>
          </w:r>
          <w:r w:rsidRPr="00027624">
            <w:rPr>
              <w:rStyle w:val="normaltextrun"/>
              <w:rFonts w:cs="Calibri"/>
              <w:color w:val="000000"/>
              <w:szCs w:val="22"/>
              <w:shd w:val="clear" w:color="auto" w:fill="FFFFFF"/>
            </w:rPr>
            <w:fldChar w:fldCharType="end"/>
          </w:r>
        </w:sdtContent>
      </w:sdt>
      <w:r w:rsidRPr="00027624">
        <w:rPr>
          <w:rStyle w:val="normaltextrun"/>
          <w:rFonts w:cs="Calibri"/>
          <w:color w:val="000000"/>
          <w:szCs w:val="22"/>
          <w:shd w:val="clear" w:color="auto" w:fill="FFFFFF"/>
        </w:rPr>
        <w:t>. Macroeconomic data relies on a limited number of observations and cannot identify drivers of the SG and wages relationship.</w:t>
      </w:r>
    </w:p>
    <w:p w14:paraId="570AEDDB" w14:textId="77777777" w:rsidR="0092760B" w:rsidRPr="00027624" w:rsidRDefault="0092760B" w:rsidP="002A2FAE">
      <w:r w:rsidRPr="00027624">
        <w:t>The assessments identifying a trade</w:t>
      </w:r>
      <w:r w:rsidR="00A8443E" w:rsidRPr="00027624">
        <w:noBreakHyphen/>
      </w:r>
      <w:r w:rsidRPr="00027624">
        <w:t xml:space="preserve">off between the SG and wages growth are consistent with economic theory and international evidence of other benefits </w:t>
      </w:r>
      <w:r w:rsidR="00F833C7" w:rsidRPr="00027624">
        <w:t xml:space="preserve">that </w:t>
      </w:r>
      <w:r w:rsidRPr="00027624">
        <w:t>employees receive on top of their take</w:t>
      </w:r>
      <w:r w:rsidR="00A8443E" w:rsidRPr="00027624">
        <w:noBreakHyphen/>
      </w:r>
      <w:r w:rsidRPr="00027624">
        <w:t>home wages.</w:t>
      </w:r>
    </w:p>
    <w:p w14:paraId="5953CB71" w14:textId="77777777" w:rsidR="0092760B" w:rsidRPr="00027624" w:rsidRDefault="0092760B" w:rsidP="0092760B">
      <w:pPr>
        <w:pStyle w:val="Bullet"/>
      </w:pPr>
      <w:r w:rsidRPr="00027624">
        <w:t xml:space="preserve">Research shows the cost of </w:t>
      </w:r>
      <w:r w:rsidR="00A8443E" w:rsidRPr="00027624">
        <w:t>‘</w:t>
      </w:r>
      <w:r w:rsidRPr="00027624">
        <w:t>mandated benefits</w:t>
      </w:r>
      <w:r w:rsidR="00A8443E" w:rsidRPr="00027624">
        <w:t>’</w:t>
      </w:r>
      <w:r w:rsidRPr="00027624">
        <w:t xml:space="preserve"> are more likely to be paid for by employees when, like compulsory superannuation, they provide strong, direct benefits </w:t>
      </w:r>
      <w:sdt>
        <w:sdtPr>
          <w:id w:val="727343418"/>
          <w:citation/>
        </w:sdtPr>
        <w:sdtEndPr/>
        <w:sdtContent>
          <w:r w:rsidRPr="00027624">
            <w:fldChar w:fldCharType="begin"/>
          </w:r>
          <w:r w:rsidRPr="00027624">
            <w:instrText xml:space="preserve">CITATION Mel13 \l 3081 </w:instrText>
          </w:r>
          <w:r w:rsidRPr="00027624">
            <w:fldChar w:fldCharType="separate"/>
          </w:r>
          <w:r w:rsidR="00E83F6E">
            <w:rPr>
              <w:noProof/>
            </w:rPr>
            <w:t>(Melguizo &amp; González-Páramo, 2013)</w:t>
          </w:r>
          <w:r w:rsidRPr="00027624">
            <w:fldChar w:fldCharType="end"/>
          </w:r>
        </w:sdtContent>
      </w:sdt>
      <w:r w:rsidRPr="00027624">
        <w:t>.</w:t>
      </w:r>
    </w:p>
    <w:p w14:paraId="7EB08291" w14:textId="77777777" w:rsidR="0092760B" w:rsidRPr="00027624" w:rsidRDefault="0092760B" w:rsidP="0092760B">
      <w:pPr>
        <w:pStyle w:val="Bullet"/>
      </w:pPr>
      <w:r w:rsidRPr="00027624">
        <w:t>Evidence across a number of countries supports this conclusion, suggesting that the trade</w:t>
      </w:r>
      <w:r w:rsidR="00A8443E" w:rsidRPr="00027624">
        <w:noBreakHyphen/>
      </w:r>
      <w:r w:rsidRPr="00027624">
        <w:t>off is larger in the long run</w:t>
      </w:r>
      <w:sdt>
        <w:sdtPr>
          <w:id w:val="389541686"/>
          <w:citation/>
        </w:sdtPr>
        <w:sdtEndPr/>
        <w:sdtContent>
          <w:r w:rsidRPr="00027624">
            <w:fldChar w:fldCharType="begin"/>
          </w:r>
          <w:r w:rsidRPr="00027624">
            <w:instrText xml:space="preserve">CITATION Mel13 \l 3081 </w:instrText>
          </w:r>
          <w:r w:rsidRPr="00027624">
            <w:fldChar w:fldCharType="separate"/>
          </w:r>
          <w:r w:rsidR="00E83F6E">
            <w:rPr>
              <w:noProof/>
            </w:rPr>
            <w:t xml:space="preserve"> (Melguizo &amp; González-Páramo, 2013)</w:t>
          </w:r>
          <w:r w:rsidRPr="00027624">
            <w:fldChar w:fldCharType="end"/>
          </w:r>
        </w:sdtContent>
      </w:sdt>
      <w:r w:rsidRPr="00027624">
        <w:t>. This research indicates that the costs to employees are higher for programs like superannuation where employees receive most of the benefits, but are lower for programs with weaker benefits.</w:t>
      </w:r>
    </w:p>
    <w:p w14:paraId="548DF0AE" w14:textId="77777777" w:rsidR="0092760B" w:rsidRPr="00027624" w:rsidRDefault="0092760B" w:rsidP="002A2FAE">
      <w:r w:rsidRPr="00027624">
        <w:t>Further analysis of the trade</w:t>
      </w:r>
      <w:r w:rsidR="00A8443E" w:rsidRPr="00027624">
        <w:noBreakHyphen/>
      </w:r>
      <w:r w:rsidRPr="00027624">
        <w:t xml:space="preserve">off is in </w:t>
      </w:r>
      <w:r w:rsidRPr="00027624">
        <w:rPr>
          <w:i/>
        </w:rPr>
        <w:t>Appendix 6A. Detailed modelling methods and assumptions</w:t>
      </w:r>
      <w:r w:rsidRPr="00027624">
        <w:t>.</w:t>
      </w:r>
    </w:p>
    <w:p w14:paraId="645734BA" w14:textId="77777777" w:rsidR="0092760B" w:rsidRPr="00027624" w:rsidRDefault="0092760B" w:rsidP="002A2FAE">
      <w:pPr>
        <w:pStyle w:val="Heading2"/>
      </w:pPr>
      <w:bookmarkStart w:id="515" w:name="_Toc45520467"/>
      <w:bookmarkStart w:id="516" w:name="_Toc46133577"/>
      <w:r w:rsidRPr="00027624">
        <w:t>Measuring if living standards are maintained</w:t>
      </w:r>
      <w:bookmarkEnd w:id="515"/>
      <w:bookmarkEnd w:id="516"/>
    </w:p>
    <w:p w14:paraId="008EA488" w14:textId="77777777" w:rsidR="0092760B" w:rsidRPr="00027624" w:rsidRDefault="0092760B" w:rsidP="002A2FAE">
      <w:r w:rsidRPr="00027624">
        <w:t>Submissions proposed two ways of measuring adequacy: budget standards, which set a dollar value target; and replacement rates, which set targets based on working</w:t>
      </w:r>
      <w:r w:rsidR="00A8443E" w:rsidRPr="00027624">
        <w:noBreakHyphen/>
      </w:r>
      <w:r w:rsidRPr="00027624">
        <w:t>life income. This section examines which of these is the appropriate metric for determining if the system appropriately maintains living standards in retirement.</w:t>
      </w:r>
    </w:p>
    <w:p w14:paraId="7B4AAA87" w14:textId="77777777" w:rsidR="0092760B" w:rsidRPr="00027624" w:rsidRDefault="0092760B" w:rsidP="002A2FAE">
      <w:pPr>
        <w:pStyle w:val="Heading3"/>
      </w:pPr>
      <w:r w:rsidRPr="00027624">
        <w:t>Replacement rates</w:t>
      </w:r>
    </w:p>
    <w:p w14:paraId="7A7CF4ED" w14:textId="77777777" w:rsidR="0092760B" w:rsidRPr="00027624" w:rsidRDefault="0092760B" w:rsidP="002A2FAE">
      <w:r w:rsidRPr="00027624">
        <w:t xml:space="preserve">Replacement rates compare income in retirement with income while working. They are the main measure used by the OECD to assess the adequacy of retirement income systems </w:t>
      </w:r>
      <w:sdt>
        <w:sdtPr>
          <w:id w:val="308220659"/>
          <w:citation/>
        </w:sdtPr>
        <w:sdtEndPr/>
        <w:sdtContent>
          <w:r w:rsidRPr="00027624">
            <w:fldChar w:fldCharType="begin"/>
          </w:r>
          <w:r w:rsidRPr="00027624">
            <w:instrText xml:space="preserve"> CITATION OEC19d \l 3081 </w:instrText>
          </w:r>
          <w:r w:rsidRPr="00027624">
            <w:fldChar w:fldCharType="separate"/>
          </w:r>
          <w:r w:rsidR="00E83F6E">
            <w:rPr>
              <w:noProof/>
            </w:rPr>
            <w:t>(OECD, 2019b)</w:t>
          </w:r>
          <w:r w:rsidRPr="00027624">
            <w:fldChar w:fldCharType="end"/>
          </w:r>
        </w:sdtContent>
      </w:sdt>
      <w:r w:rsidRPr="00027624">
        <w:t xml:space="preserve"> and by reviews in other countries</w:t>
      </w:r>
      <w:sdt>
        <w:sdtPr>
          <w:id w:val="1706517486"/>
          <w:citation/>
        </w:sdtPr>
        <w:sdtEndPr/>
        <w:sdtContent>
          <w:r w:rsidR="002F1484">
            <w:fldChar w:fldCharType="begin"/>
          </w:r>
          <w:r w:rsidR="002F1484">
            <w:instrText xml:space="preserve"> CITATION Pen041 \l 3081 </w:instrText>
          </w:r>
          <w:r w:rsidR="002F1484">
            <w:fldChar w:fldCharType="separate"/>
          </w:r>
          <w:r w:rsidR="00E83F6E">
            <w:rPr>
              <w:noProof/>
            </w:rPr>
            <w:t xml:space="preserve"> (Pensions Commission, 2004)</w:t>
          </w:r>
          <w:r w:rsidR="002F1484">
            <w:fldChar w:fldCharType="end"/>
          </w:r>
        </w:sdtContent>
      </w:sdt>
      <w:r w:rsidRPr="00027624">
        <w:t>.</w:t>
      </w:r>
    </w:p>
    <w:p w14:paraId="26CD2574" w14:textId="4394E030" w:rsidR="0092760B" w:rsidRPr="00027624" w:rsidRDefault="0092760B" w:rsidP="002A2FAE">
      <w:r w:rsidRPr="00027624">
        <w:rPr>
          <w:b/>
        </w:rPr>
        <w:t>Replacement rates are a preferred metric because they provide adequacy targets based on the income a person earned while they were working</w:t>
      </w:r>
      <w:r w:rsidRPr="00027624">
        <w:t xml:space="preserve"> (</w:t>
      </w:r>
      <w:r w:rsidRPr="00027624">
        <w:fldChar w:fldCharType="begin"/>
      </w:r>
      <w:r w:rsidRPr="00027624">
        <w:instrText xml:space="preserve"> REF _Ref41051204 \r \h  \* MERGEFORMAT </w:instrText>
      </w:r>
      <w:r w:rsidRPr="00027624">
        <w:fldChar w:fldCharType="separate"/>
      </w:r>
      <w:r w:rsidR="00891058">
        <w:t>Chart 2C-2</w:t>
      </w:r>
      <w:r w:rsidRPr="00027624">
        <w:fldChar w:fldCharType="end"/>
      </w:r>
      <w:r w:rsidRPr="00027624">
        <w:t>). Since replacement rates are a proportion of working</w:t>
      </w:r>
      <w:r w:rsidR="00A8443E" w:rsidRPr="00027624">
        <w:noBreakHyphen/>
      </w:r>
      <w:r w:rsidRPr="00027624">
        <w:t>life income, changes in working</w:t>
      </w:r>
      <w:r w:rsidR="00A8443E" w:rsidRPr="00027624">
        <w:noBreakHyphen/>
      </w:r>
      <w:r w:rsidRPr="00027624">
        <w:t xml:space="preserve">life income and retirement income both affect </w:t>
      </w:r>
      <w:r w:rsidRPr="00027624">
        <w:lastRenderedPageBreak/>
        <w:t>the measure. They can account for the trade</w:t>
      </w:r>
      <w:r w:rsidR="00A8443E" w:rsidRPr="00027624">
        <w:noBreakHyphen/>
      </w:r>
      <w:r w:rsidRPr="00027624">
        <w:t>off required between working</w:t>
      </w:r>
      <w:r w:rsidR="00A8443E" w:rsidRPr="00027624">
        <w:noBreakHyphen/>
      </w:r>
      <w:r w:rsidRPr="00027624">
        <w:t>life and retirement income. For this reason, replacement rates align with the</w:t>
      </w:r>
      <w:r w:rsidRPr="00027624" w:rsidDel="001B5D2B">
        <w:t xml:space="preserve"> </w:t>
      </w:r>
      <w:r w:rsidRPr="00027624">
        <w:t>view that the appropriate objective for adequacy in the retirement income system is maintaining living standards in retirement.</w:t>
      </w:r>
    </w:p>
    <w:p w14:paraId="2722A8A3" w14:textId="77777777" w:rsidR="0092760B" w:rsidRPr="00027624" w:rsidRDefault="0092760B" w:rsidP="00FC7361">
      <w:pPr>
        <w:pStyle w:val="ChartMainHeading"/>
        <w:numPr>
          <w:ilvl w:val="2"/>
          <w:numId w:val="66"/>
        </w:numPr>
      </w:pPr>
      <w:bookmarkStart w:id="517" w:name="_Ref39243308"/>
      <w:bookmarkStart w:id="518" w:name="_Ref41051204"/>
      <w:r w:rsidRPr="00027624">
        <w:t>Projected target retirement income</w:t>
      </w:r>
      <w:bookmarkEnd w:id="517"/>
      <w:r w:rsidRPr="00027624">
        <w:t xml:space="preserve"> using replacement rate</w:t>
      </w:r>
      <w:bookmarkEnd w:id="518"/>
      <w:r w:rsidRPr="00027624">
        <w:t>s</w:t>
      </w:r>
    </w:p>
    <w:p w14:paraId="77AC325A" w14:textId="77777777" w:rsidR="0092760B" w:rsidRPr="00027624" w:rsidRDefault="00BA2F83" w:rsidP="002A2FAE">
      <w:pPr>
        <w:pStyle w:val="ChartGraphic"/>
      </w:pPr>
      <w:r>
        <w:rPr>
          <w:noProof/>
        </w:rPr>
        <w:drawing>
          <wp:inline distT="0" distB="0" distL="0" distR="0" wp14:anchorId="1594F23F" wp14:editId="0E1E108A">
            <wp:extent cx="5577840" cy="2522220"/>
            <wp:effectExtent l="0" t="0" r="3810" b="0"/>
            <wp:docPr id="761061954" name="Picture 761061954" descr="This chart shows that a replacement rate target means retirement income targets are progressively higher across the income distribution. It also shows that the system minimum delivered by the Age Pension is higher than the implied income targets for the 30th percentile and below." title="Chart 2C-2 Projected target retirement income using replacemen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414AF4B" w14:textId="77777777" w:rsidR="0092760B" w:rsidRPr="00027624" w:rsidRDefault="0092760B" w:rsidP="002A2FAE">
      <w:pPr>
        <w:pStyle w:val="ChartorTableNote"/>
      </w:pPr>
      <w:r w:rsidRPr="00027624">
        <w:t xml:space="preserve">Note: Target retirement income is based on the average in the 10 years before retirement and </w:t>
      </w:r>
      <w:r w:rsidR="00A8443E" w:rsidRPr="00027624">
        <w:t>‘</w:t>
      </w:r>
      <w:r w:rsidRPr="00027624">
        <w:t>system minimum</w:t>
      </w:r>
      <w:r w:rsidR="00A8443E" w:rsidRPr="00027624">
        <w:t>’</w:t>
      </w:r>
      <w:r w:rsidRPr="00027624">
        <w:t xml:space="preserve"> is the maximum Age Pension for singles. Uses the review</w:t>
      </w:r>
      <w:r w:rsidR="00A8443E" w:rsidRPr="00027624">
        <w:t>’</w:t>
      </w:r>
      <w:r w:rsidRPr="00027624">
        <w:t>s adequacy benchmark replacement rate of 65</w:t>
      </w:r>
      <w:r w:rsidR="00A8443E" w:rsidRPr="00027624">
        <w:noBreakHyphen/>
      </w:r>
      <w:r w:rsidRPr="00027624">
        <w:t>75 per cent. Deflated to 2019 dollars using wages. Source: Cameo modelling undertaken for the review.</w:t>
      </w:r>
    </w:p>
    <w:p w14:paraId="489588D1" w14:textId="77777777" w:rsidR="0092760B" w:rsidRPr="00027624" w:rsidRDefault="0092760B" w:rsidP="002A2FAE">
      <w:r w:rsidRPr="00027624">
        <w:t>Replacement rates do have some limitations. They are:</w:t>
      </w:r>
    </w:p>
    <w:p w14:paraId="2BAE9916" w14:textId="02260CE9" w:rsidR="0092760B" w:rsidRPr="00027624" w:rsidRDefault="0092760B" w:rsidP="0092760B">
      <w:pPr>
        <w:pStyle w:val="Bullet"/>
      </w:pPr>
      <w:r w:rsidRPr="00027624">
        <w:rPr>
          <w:b/>
          <w:bCs/>
        </w:rPr>
        <w:t>Poorly suited to lower</w:t>
      </w:r>
      <w:r w:rsidR="00A8443E" w:rsidRPr="00027624">
        <w:rPr>
          <w:b/>
          <w:bCs/>
        </w:rPr>
        <w:noBreakHyphen/>
      </w:r>
      <w:r w:rsidRPr="00027624">
        <w:rPr>
          <w:b/>
          <w:bCs/>
        </w:rPr>
        <w:t>income earners</w:t>
      </w:r>
      <w:r w:rsidRPr="00027624">
        <w:t xml:space="preserve"> who need higher rates of replacement to avoid poverty.</w:t>
      </w:r>
      <w:r w:rsidRPr="00027624" w:rsidDel="001B5D2B">
        <w:t xml:space="preserve"> </w:t>
      </w:r>
      <w:r w:rsidRPr="00027624">
        <w:t>Replacement rates of 65 per cent, for example, would not be enough to prevent poverty for retirees</w:t>
      </w:r>
      <w:r w:rsidRPr="00027624">
        <w:rPr>
          <w:rStyle w:val="normaltextrun"/>
          <w:rFonts w:cs="Calibri"/>
          <w:shd w:val="clear" w:color="auto" w:fill="FFFFFF"/>
        </w:rPr>
        <w:t xml:space="preserve"> at the bottom 20 per cent of the income distribution (</w:t>
      </w:r>
      <w:r w:rsidRPr="00027624">
        <w:rPr>
          <w:rStyle w:val="normaltextrun"/>
          <w:rFonts w:cs="Calibri"/>
          <w:shd w:val="clear" w:color="auto" w:fill="FFFFFF"/>
        </w:rPr>
        <w:fldChar w:fldCharType="begin"/>
      </w:r>
      <w:r w:rsidRPr="00027624">
        <w:rPr>
          <w:rStyle w:val="normaltextrun"/>
          <w:rFonts w:cs="Calibri"/>
          <w:shd w:val="clear" w:color="auto" w:fill="FFFFFF"/>
        </w:rPr>
        <w:instrText xml:space="preserve"> REF _Ref41051204 \r \h </w:instrText>
      </w:r>
      <w:r w:rsidR="00FA7639" w:rsidRPr="00027624">
        <w:rPr>
          <w:rStyle w:val="normaltextrun"/>
          <w:rFonts w:cs="Calibri"/>
          <w:shd w:val="clear" w:color="auto" w:fill="FFFFFF"/>
        </w:rPr>
        <w:instrText xml:space="preserve"> \* MERGEFORMAT </w:instrText>
      </w:r>
      <w:r w:rsidRPr="00027624">
        <w:rPr>
          <w:rStyle w:val="normaltextrun"/>
          <w:rFonts w:cs="Calibri"/>
          <w:shd w:val="clear" w:color="auto" w:fill="FFFFFF"/>
        </w:rPr>
      </w:r>
      <w:r w:rsidRPr="00027624">
        <w:rPr>
          <w:rStyle w:val="normaltextrun"/>
          <w:rFonts w:cs="Calibri"/>
          <w:shd w:val="clear" w:color="auto" w:fill="FFFFFF"/>
        </w:rPr>
        <w:fldChar w:fldCharType="separate"/>
      </w:r>
      <w:r w:rsidR="00891058">
        <w:rPr>
          <w:rStyle w:val="normaltextrun"/>
          <w:rFonts w:cs="Calibri"/>
          <w:shd w:val="clear" w:color="auto" w:fill="FFFFFF"/>
        </w:rPr>
        <w:t>Chart 2C-2</w:t>
      </w:r>
      <w:r w:rsidRPr="00027624">
        <w:rPr>
          <w:rStyle w:val="normaltextrun"/>
          <w:rFonts w:cs="Calibri"/>
          <w:shd w:val="clear" w:color="auto" w:fill="FFFFFF"/>
        </w:rPr>
        <w:fldChar w:fldCharType="end"/>
      </w:r>
      <w:r w:rsidRPr="00027624">
        <w:rPr>
          <w:rStyle w:val="normaltextrun"/>
          <w:rFonts w:cs="Calibri"/>
          <w:shd w:val="clear" w:color="auto" w:fill="FFFFFF"/>
        </w:rPr>
        <w:t xml:space="preserve">). </w:t>
      </w:r>
      <w:r w:rsidRPr="00027624">
        <w:t xml:space="preserve">To address this issue, the first element of the adequacy objective of the retirement income system is that: </w:t>
      </w:r>
      <w:r w:rsidR="00A8443E" w:rsidRPr="00027624">
        <w:t>‘</w:t>
      </w:r>
      <w:r w:rsidRPr="00027624">
        <w:t>The system should ensure a minimum standard of living</w:t>
      </w:r>
      <w:r w:rsidRPr="00027624">
        <w:rPr>
          <w:i/>
          <w:iCs/>
        </w:rPr>
        <w:t xml:space="preserve"> for retirees with limited financial means </w:t>
      </w:r>
      <w:r w:rsidRPr="00027624">
        <w:rPr>
          <w:iCs/>
        </w:rPr>
        <w:t>that is</w:t>
      </w:r>
      <w:r w:rsidRPr="00027624">
        <w:rPr>
          <w:i/>
          <w:iCs/>
        </w:rPr>
        <w:t xml:space="preserve"> </w:t>
      </w:r>
      <w:r w:rsidRPr="00027624">
        <w:t>consistent with prevailing community standards</w:t>
      </w:r>
      <w:r w:rsidR="00A8443E" w:rsidRPr="00027624">
        <w:t>’</w:t>
      </w:r>
      <w:r w:rsidRPr="00027624">
        <w:t xml:space="preserve"> (see</w:t>
      </w:r>
      <w:r w:rsidRPr="00027624">
        <w:rPr>
          <w:i/>
        </w:rPr>
        <w:t xml:space="preserve"> 1C. </w:t>
      </w:r>
      <w:r w:rsidR="00FD473F" w:rsidRPr="00027624">
        <w:rPr>
          <w:i/>
        </w:rPr>
        <w:t>The o</w:t>
      </w:r>
      <w:r w:rsidRPr="00027624">
        <w:rPr>
          <w:i/>
        </w:rPr>
        <w:t xml:space="preserve">bjective of the system and </w:t>
      </w:r>
      <w:r w:rsidR="00FD473F" w:rsidRPr="00027624">
        <w:rPr>
          <w:i/>
        </w:rPr>
        <w:t xml:space="preserve">the </w:t>
      </w:r>
      <w:r w:rsidRPr="00027624">
        <w:rPr>
          <w:i/>
        </w:rPr>
        <w:t>role</w:t>
      </w:r>
      <w:r w:rsidR="00FD473F" w:rsidRPr="00027624">
        <w:rPr>
          <w:i/>
        </w:rPr>
        <w:t>s</w:t>
      </w:r>
      <w:r w:rsidRPr="00027624">
        <w:rPr>
          <w:i/>
        </w:rPr>
        <w:t xml:space="preserve"> of the pillars</w:t>
      </w:r>
      <w:r w:rsidRPr="00027624">
        <w:t>). This is provided through the Age Pension and other Government support. For some lower</w:t>
      </w:r>
      <w:r w:rsidR="00A8443E" w:rsidRPr="00027624">
        <w:noBreakHyphen/>
      </w:r>
      <w:r w:rsidRPr="00027624">
        <w:t>income earners, the Age Pension results in them achieving replacement rates in retirement above 100 per cent.</w:t>
      </w:r>
    </w:p>
    <w:p w14:paraId="6433AEB1" w14:textId="77777777" w:rsidR="0092760B" w:rsidRPr="00027624" w:rsidRDefault="0092760B" w:rsidP="0092760B">
      <w:pPr>
        <w:pStyle w:val="Bullet"/>
      </w:pPr>
      <w:r w:rsidRPr="00027624">
        <w:rPr>
          <w:b/>
          <w:bCs/>
        </w:rPr>
        <w:t>More difficult for people to understand than an income target</w:t>
      </w:r>
      <w:sdt>
        <w:sdtPr>
          <w:rPr>
            <w:b/>
            <w:bCs/>
          </w:rPr>
          <w:id w:val="901174295"/>
          <w:citation/>
        </w:sdtPr>
        <w:sdtEndPr/>
        <w:sdtContent>
          <w:r w:rsidR="00AB0822">
            <w:rPr>
              <w:b/>
              <w:bCs/>
            </w:rPr>
            <w:fldChar w:fldCharType="begin"/>
          </w:r>
          <w:r w:rsidR="00AB0822">
            <w:instrText xml:space="preserve"> CITATION Ric19 \l 3081 </w:instrText>
          </w:r>
          <w:r w:rsidR="00AB0822">
            <w:rPr>
              <w:b/>
              <w:bCs/>
            </w:rPr>
            <w:fldChar w:fldCharType="separate"/>
          </w:r>
          <w:r w:rsidR="00E83F6E">
            <w:rPr>
              <w:noProof/>
            </w:rPr>
            <w:t xml:space="preserve"> (Rice Warner, 2019d)</w:t>
          </w:r>
          <w:r w:rsidR="00AB0822">
            <w:rPr>
              <w:b/>
              <w:bCs/>
            </w:rPr>
            <w:fldChar w:fldCharType="end"/>
          </w:r>
        </w:sdtContent>
      </w:sdt>
      <w:r w:rsidRPr="00027624">
        <w:t>. Discussing retirement targets in terms of a basket of goods or level of expenditure may be clearer to people planning their retirement. To address this issue, d</w:t>
      </w:r>
      <w:r w:rsidRPr="00027624">
        <w:rPr>
          <w:rStyle w:val="normaltextrun"/>
          <w:rFonts w:cs="Calibri"/>
          <w:shd w:val="clear" w:color="auto" w:fill="FFFFFF"/>
        </w:rPr>
        <w:t>ifferent tools can be used for advising individual consumers.</w:t>
      </w:r>
    </w:p>
    <w:p w14:paraId="2DC1A401" w14:textId="77777777" w:rsidR="0092760B" w:rsidRPr="00027624" w:rsidRDefault="0092760B" w:rsidP="002A2FAE">
      <w:pPr>
        <w:pStyle w:val="Heading3"/>
      </w:pPr>
      <w:r w:rsidRPr="00027624">
        <w:t>Budget standards</w:t>
      </w:r>
    </w:p>
    <w:p w14:paraId="78BD7CD2" w14:textId="77777777" w:rsidR="0092760B" w:rsidRPr="00027624" w:rsidRDefault="0092760B" w:rsidP="002A2FAE">
      <w:r w:rsidRPr="00027624">
        <w:t>Budget standards estimate the cost of purchasing a basket of goods and services consistent with a given standard of living. Baskets of goods and services are usually constructed by analysing spending patterns of households with the relevant standard of living</w:t>
      </w:r>
      <w:sdt>
        <w:sdtPr>
          <w:id w:val="438647389"/>
          <w:citation/>
        </w:sdtPr>
        <w:sdtEndPr/>
        <w:sdtContent>
          <w:r w:rsidRPr="00027624">
            <w:fldChar w:fldCharType="begin"/>
          </w:r>
          <w:r w:rsidRPr="00027624">
            <w:instrText xml:space="preserve"> CITATION SPR17 \l 3081 </w:instrText>
          </w:r>
          <w:r w:rsidRPr="00027624">
            <w:fldChar w:fldCharType="separate"/>
          </w:r>
          <w:r w:rsidR="00E83F6E">
            <w:rPr>
              <w:noProof/>
            </w:rPr>
            <w:t xml:space="preserve"> (Saunders &amp; Bedford, 2017)</w:t>
          </w:r>
          <w:r w:rsidRPr="00027624">
            <w:fldChar w:fldCharType="end"/>
          </w:r>
        </w:sdtContent>
      </w:sdt>
      <w:r w:rsidRPr="00027624">
        <w:t>. While they are often used to estimate the income needed to avoid poverty (</w:t>
      </w:r>
      <w:r w:rsidRPr="00027624">
        <w:rPr>
          <w:i/>
        </w:rPr>
        <w:t>2A. Achieving a minimum standard of living in retirement</w:t>
      </w:r>
      <w:r w:rsidRPr="00027624">
        <w:t>), budget standards can also be set at higher levels for more aspirational targets.</w:t>
      </w:r>
    </w:p>
    <w:p w14:paraId="186A88EA" w14:textId="77777777" w:rsidR="0092760B" w:rsidRPr="00027624" w:rsidRDefault="0092760B" w:rsidP="002A2FAE">
      <w:r w:rsidRPr="00027624">
        <w:t>The main benefit of budget standards is as a communication tool, helping people to plan for retirement and specifically budget for a certain living standard.</w:t>
      </w:r>
    </w:p>
    <w:p w14:paraId="4A133FF7" w14:textId="77777777" w:rsidR="0092760B" w:rsidRPr="00027624" w:rsidRDefault="0092760B" w:rsidP="002A2FAE">
      <w:r w:rsidRPr="00027624">
        <w:t>For assessing the adequacy of a retirement income system, budget standards have several weaknesses:</w:t>
      </w:r>
    </w:p>
    <w:p w14:paraId="5F89C118" w14:textId="77777777" w:rsidR="0092760B" w:rsidRPr="00027624" w:rsidRDefault="0092760B" w:rsidP="0092760B">
      <w:pPr>
        <w:pStyle w:val="Bullet"/>
      </w:pPr>
      <w:r w:rsidRPr="00027624">
        <w:rPr>
          <w:b/>
          <w:bCs/>
        </w:rPr>
        <w:lastRenderedPageBreak/>
        <w:t>They are designed for a specific cohort</w:t>
      </w:r>
      <w:r w:rsidRPr="00027624">
        <w:t>, in a specific location at a given point in time.</w:t>
      </w:r>
    </w:p>
    <w:p w14:paraId="42C191CE" w14:textId="77777777" w:rsidR="0092760B" w:rsidRPr="00027624" w:rsidRDefault="0092760B" w:rsidP="0092760B">
      <w:pPr>
        <w:pStyle w:val="Bullet"/>
      </w:pPr>
      <w:r w:rsidRPr="00027624">
        <w:rPr>
          <w:b/>
          <w:bCs/>
        </w:rPr>
        <w:t>They are subjective</w:t>
      </w:r>
      <w:r w:rsidRPr="00027624">
        <w:t>. A specific bundle of goods and services and the lifestyle it delivers may not be adequate or preferred for all groups.</w:t>
      </w:r>
    </w:p>
    <w:p w14:paraId="17036EBE" w14:textId="77777777" w:rsidR="0092760B" w:rsidRPr="00027624" w:rsidRDefault="0092760B" w:rsidP="0092760B">
      <w:pPr>
        <w:pStyle w:val="Bullet"/>
      </w:pPr>
      <w:r w:rsidRPr="00027624">
        <w:rPr>
          <w:b/>
          <w:bCs/>
        </w:rPr>
        <w:t>They do not measure the trade</w:t>
      </w:r>
      <w:r w:rsidR="00A8443E" w:rsidRPr="00027624">
        <w:rPr>
          <w:b/>
          <w:bCs/>
        </w:rPr>
        <w:noBreakHyphen/>
      </w:r>
      <w:r w:rsidRPr="00027624">
        <w:rPr>
          <w:b/>
          <w:bCs/>
        </w:rPr>
        <w:t>off between retirement and working</w:t>
      </w:r>
      <w:r w:rsidR="00B61AA5" w:rsidRPr="00027624">
        <w:rPr>
          <w:b/>
          <w:bCs/>
        </w:rPr>
        <w:t>-</w:t>
      </w:r>
      <w:r w:rsidRPr="00027624">
        <w:rPr>
          <w:b/>
          <w:bCs/>
        </w:rPr>
        <w:t>life living standards</w:t>
      </w:r>
      <w:r w:rsidRPr="00027624">
        <w:t>. A retirement objective is not effective if achieving it requires inappropriate sacrifices during working life.</w:t>
      </w:r>
    </w:p>
    <w:p w14:paraId="79BC3FDE" w14:textId="493995AB" w:rsidR="0092760B" w:rsidRPr="00027624" w:rsidRDefault="0092760B" w:rsidP="002A2FAE">
      <w:r w:rsidRPr="00027624">
        <w:t xml:space="preserve">For example, the </w:t>
      </w:r>
      <w:r w:rsidR="00A8443E" w:rsidRPr="00027624">
        <w:t>‘</w:t>
      </w:r>
      <w:r w:rsidRPr="00027624">
        <w:t>comfortable</w:t>
      </w:r>
      <w:r w:rsidR="00A8443E" w:rsidRPr="00027624">
        <w:t>’</w:t>
      </w:r>
      <w:r w:rsidRPr="00027624">
        <w:t xml:space="preserve"> retirement standard used by ASFA was originally designed for the top 20 per cent of income </w:t>
      </w:r>
      <w:r w:rsidR="00B61AA5" w:rsidRPr="00027624">
        <w:t>earners and exceeds the working-</w:t>
      </w:r>
      <w:r w:rsidRPr="00027624">
        <w:t>life living standards of 70 per cent of singles and 60 per cent of couples of working age (</w:t>
      </w:r>
      <w:r w:rsidRPr="00027624">
        <w:fldChar w:fldCharType="begin"/>
      </w:r>
      <w:r w:rsidRPr="00027624">
        <w:instrText xml:space="preserve"> REF _Ref39244920 \r \h  \* MERGEFORMAT </w:instrText>
      </w:r>
      <w:r w:rsidRPr="00027624">
        <w:fldChar w:fldCharType="separate"/>
      </w:r>
      <w:r w:rsidR="00891058">
        <w:t>Chart 2C-3</w:t>
      </w:r>
      <w:r w:rsidRPr="00027624">
        <w:fldChar w:fldCharType="end"/>
      </w:r>
      <w:r w:rsidRPr="00027624">
        <w:t>). ASFA</w:t>
      </w:r>
      <w:r w:rsidR="00A8443E" w:rsidRPr="00027624">
        <w:t>’</w:t>
      </w:r>
      <w:r w:rsidRPr="00027624">
        <w:t>s modelling shows that middle</w:t>
      </w:r>
      <w:r w:rsidR="00A8443E" w:rsidRPr="00027624">
        <w:noBreakHyphen/>
      </w:r>
      <w:r w:rsidRPr="00027624">
        <w:t>income earners would require significant sacrifices in working life to achieve the standard:</w:t>
      </w:r>
      <w:r w:rsidRPr="00027624">
        <w:rPr>
          <w:rStyle w:val="FootnoteReference"/>
        </w:rPr>
        <w:footnoteReference w:id="98"/>
      </w:r>
    </w:p>
    <w:p w14:paraId="45EB277A" w14:textId="77777777" w:rsidR="0092760B" w:rsidRPr="00027624" w:rsidRDefault="0092760B" w:rsidP="0092760B">
      <w:pPr>
        <w:pStyle w:val="Bullet"/>
      </w:pPr>
      <w:r w:rsidRPr="00027624">
        <w:t>A median earner starting work today would require an SG rate of 16.5 per cent to achieve the ASFA comfortable standard.</w:t>
      </w:r>
      <w:r w:rsidRPr="00027624">
        <w:rPr>
          <w:rStyle w:val="FootnoteReference"/>
        </w:rPr>
        <w:footnoteReference w:id="99"/>
      </w:r>
    </w:p>
    <w:p w14:paraId="695648A9" w14:textId="77777777" w:rsidR="0092760B" w:rsidRPr="00027624" w:rsidRDefault="0092760B" w:rsidP="0092760B">
      <w:pPr>
        <w:pStyle w:val="Bullet"/>
      </w:pPr>
      <w:r w:rsidRPr="00027624">
        <w:t>A median</w:t>
      </w:r>
      <w:r w:rsidR="00A8443E" w:rsidRPr="00027624">
        <w:noBreakHyphen/>
      </w:r>
      <w:r w:rsidRPr="00027624">
        <w:t>income male could only achieve the standard by working every year from age 19 to age 67. In 2018, less than half of men who had recently retired had careers of 48 years or more.</w:t>
      </w:r>
      <w:r w:rsidRPr="00027624">
        <w:rPr>
          <w:rStyle w:val="FootnoteReference"/>
        </w:rPr>
        <w:footnoteReference w:id="100"/>
      </w:r>
    </w:p>
    <w:p w14:paraId="2E2E7754" w14:textId="77777777" w:rsidR="0092760B" w:rsidRPr="00027624" w:rsidRDefault="0092760B" w:rsidP="0092760B">
      <w:pPr>
        <w:pStyle w:val="Bullet"/>
      </w:pPr>
      <w:r w:rsidRPr="00027624">
        <w:t xml:space="preserve">Fewer women will achieve the standard given their lower incomes and shorter working lives (see </w:t>
      </w:r>
      <w:r w:rsidRPr="00027624">
        <w:rPr>
          <w:i/>
        </w:rPr>
        <w:t>Appendix 6A. Detailed modelling methods and assumptions</w:t>
      </w:r>
      <w:r w:rsidRPr="00027624">
        <w:t>).</w:t>
      </w:r>
    </w:p>
    <w:p w14:paraId="47A495A0" w14:textId="77777777" w:rsidR="0092760B" w:rsidRPr="00027624" w:rsidRDefault="0092760B" w:rsidP="002A2FAE">
      <w:r w:rsidRPr="00027624">
        <w:t>While not appropriate as a universal target for middle</w:t>
      </w:r>
      <w:r w:rsidR="00A8443E" w:rsidRPr="00027624">
        <w:noBreakHyphen/>
      </w:r>
      <w:r w:rsidRPr="00027624">
        <w:t>income earners, the ASFA comfortable standard may be of relevance for higher</w:t>
      </w:r>
      <w:r w:rsidR="00A8443E" w:rsidRPr="00027624">
        <w:noBreakHyphen/>
      </w:r>
      <w:r w:rsidRPr="00027624">
        <w:t>income earners as this is the income group that the standard was originally based on.</w:t>
      </w:r>
    </w:p>
    <w:p w14:paraId="100CF93D" w14:textId="77777777" w:rsidR="0092760B" w:rsidRPr="00027624" w:rsidRDefault="0092760B" w:rsidP="00FC7361">
      <w:pPr>
        <w:pStyle w:val="ChartMainHeading"/>
        <w:numPr>
          <w:ilvl w:val="2"/>
          <w:numId w:val="66"/>
        </w:numPr>
      </w:pPr>
      <w:bookmarkStart w:id="519" w:name="_Ref39244920"/>
      <w:r w:rsidRPr="00027624">
        <w:t>Working</w:t>
      </w:r>
      <w:r w:rsidR="00A8443E" w:rsidRPr="00027624">
        <w:noBreakHyphen/>
      </w:r>
      <w:r w:rsidRPr="00027624">
        <w:t>life annual expenditure compared with the ASFA standard</w:t>
      </w:r>
      <w:bookmarkEnd w:id="519"/>
      <w:r w:rsidRPr="00027624">
        <w:t>s</w:t>
      </w:r>
    </w:p>
    <w:tbl>
      <w:tblPr>
        <w:tblW w:w="5000" w:type="pct"/>
        <w:tblLook w:val="01E0" w:firstRow="1" w:lastRow="1" w:firstColumn="1" w:lastColumn="1" w:noHBand="0" w:noVBand="0"/>
      </w:tblPr>
      <w:tblGrid>
        <w:gridCol w:w="4305"/>
        <w:gridCol w:w="4765"/>
      </w:tblGrid>
      <w:tr w:rsidR="0092760B" w:rsidRPr="00027624" w14:paraId="7D61D7FB" w14:textId="77777777" w:rsidTr="00BA2F83">
        <w:trPr>
          <w:cantSplit/>
          <w:trHeight w:val="329"/>
        </w:trPr>
        <w:tc>
          <w:tcPr>
            <w:tcW w:w="2373" w:type="pct"/>
          </w:tcPr>
          <w:p w14:paraId="5CC25208" w14:textId="77777777" w:rsidR="0092760B" w:rsidRPr="00027624" w:rsidRDefault="0092760B" w:rsidP="00BA2F83">
            <w:pPr>
              <w:pStyle w:val="ChartSecondHeading"/>
            </w:pPr>
            <w:r w:rsidRPr="00027624">
              <w:br w:type="page"/>
              <w:t>Singles</w:t>
            </w:r>
          </w:p>
        </w:tc>
        <w:tc>
          <w:tcPr>
            <w:tcW w:w="2627" w:type="pct"/>
          </w:tcPr>
          <w:p w14:paraId="25D1D194" w14:textId="77777777" w:rsidR="0092760B" w:rsidRPr="00027624" w:rsidRDefault="0092760B" w:rsidP="00BA2F83">
            <w:pPr>
              <w:pStyle w:val="ChartSecondHeading"/>
            </w:pPr>
            <w:r w:rsidRPr="00027624">
              <w:t>Couples</w:t>
            </w:r>
          </w:p>
        </w:tc>
      </w:tr>
    </w:tbl>
    <w:p w14:paraId="2DA7A162" w14:textId="77777777" w:rsidR="00BA2F83" w:rsidRDefault="00BA2F83" w:rsidP="00980C3F">
      <w:pPr>
        <w:pStyle w:val="ChartGraphic"/>
      </w:pPr>
      <w:r>
        <w:rPr>
          <w:noProof/>
        </w:rPr>
        <w:drawing>
          <wp:inline distT="0" distB="0" distL="0" distR="0" wp14:anchorId="326D33B5" wp14:editId="22657BBA">
            <wp:extent cx="2851200" cy="2851200"/>
            <wp:effectExtent l="0" t="0" r="6350" b="6350"/>
            <wp:docPr id="761061955" name="Picture 761061955" descr="These charts show that most singles and couples spend less than the ASFA comfortable standard during working life and retirement. It shows the ASFA comfortable standard is higher than the spending of 70 per cent of singles and 60 per cent of couples of working age. It also shows that only the top 20 per cent of retired couples spend more than the ASFA comfortable standard." title="Chart 2C-3 Working-life annual expenditure compared with the ASFA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51200" cy="2851200"/>
                    </a:xfrm>
                    <a:prstGeom prst="rect">
                      <a:avLst/>
                    </a:prstGeom>
                    <a:noFill/>
                  </pic:spPr>
                </pic:pic>
              </a:graphicData>
            </a:graphic>
          </wp:inline>
        </w:drawing>
      </w:r>
      <w:r>
        <w:rPr>
          <w:noProof/>
        </w:rPr>
        <w:drawing>
          <wp:inline distT="0" distB="0" distL="0" distR="0" wp14:anchorId="2A48414C" wp14:editId="30FDD953">
            <wp:extent cx="2851200" cy="2851200"/>
            <wp:effectExtent l="0" t="0" r="6350" b="6350"/>
            <wp:docPr id="761061959" name="Picture 76106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1200" cy="2851200"/>
                    </a:xfrm>
                    <a:prstGeom prst="rect">
                      <a:avLst/>
                    </a:prstGeom>
                    <a:noFill/>
                  </pic:spPr>
                </pic:pic>
              </a:graphicData>
            </a:graphic>
          </wp:inline>
        </w:drawing>
      </w:r>
    </w:p>
    <w:p w14:paraId="12E70758" w14:textId="77777777" w:rsidR="00980C3F" w:rsidRPr="006D6608" w:rsidRDefault="0092760B" w:rsidP="006D6608">
      <w:pPr>
        <w:pStyle w:val="ChartorTableNote"/>
      </w:pPr>
      <w:r w:rsidRPr="00027624">
        <w:t xml:space="preserve">Note: Expenditure is equivalised except for partners because this spending is accounted for in their higher ASFA standard. ASFA standards are as at September 2015 to align with collection of expenditure data. Source: </w:t>
      </w:r>
      <w:sdt>
        <w:sdtPr>
          <w:id w:val="1074237776"/>
          <w:citation/>
        </w:sdtPr>
        <w:sdtEndPr/>
        <w:sdtContent>
          <w:r w:rsidR="00D00D11" w:rsidRPr="00027624">
            <w:fldChar w:fldCharType="begin"/>
          </w:r>
          <w:r w:rsidR="00D00D11" w:rsidRPr="00027624">
            <w:instrText xml:space="preserve"> CITATION Dal18 \l 3081 </w:instrText>
          </w:r>
          <w:r w:rsidR="00D00D11" w:rsidRPr="00027624">
            <w:fldChar w:fldCharType="separate"/>
          </w:r>
          <w:r w:rsidR="00E83F6E">
            <w:rPr>
              <w:noProof/>
            </w:rPr>
            <w:t>(Daley, et al., 2018b)</w:t>
          </w:r>
          <w:r w:rsidR="00D00D11" w:rsidRPr="00027624">
            <w:fldChar w:fldCharType="end"/>
          </w:r>
        </w:sdtContent>
      </w:sdt>
      <w:r w:rsidRPr="00027624">
        <w:t xml:space="preserve"> based on analysis of Analysis of ABS Household Expenditure Survey Confidentialised Unit Record File, 2015</w:t>
      </w:r>
      <w:r w:rsidR="00A8443E" w:rsidRPr="00027624">
        <w:noBreakHyphen/>
      </w:r>
      <w:r w:rsidRPr="00027624">
        <w:t>16.</w:t>
      </w:r>
    </w:p>
    <w:p w14:paraId="44116D2C" w14:textId="77777777" w:rsidR="0092760B" w:rsidRPr="00027624" w:rsidRDefault="0092760B" w:rsidP="006F2616">
      <w:pPr>
        <w:spacing w:before="0" w:after="0"/>
      </w:pPr>
      <w:r w:rsidRPr="00027624">
        <w:rPr>
          <w:b/>
        </w:rPr>
        <w:t>Replacement rates are the preferred tool for assessing the</w:t>
      </w:r>
      <w:r w:rsidRPr="00027624" w:rsidDel="006B18AB">
        <w:rPr>
          <w:b/>
        </w:rPr>
        <w:t xml:space="preserve"> </w:t>
      </w:r>
      <w:r w:rsidRPr="00027624">
        <w:rPr>
          <w:b/>
        </w:rPr>
        <w:t>objective of maintaining living standards in retirement.</w:t>
      </w:r>
      <w:r w:rsidRPr="00027624">
        <w:t xml:space="preserve"> By definition, they compare income in working life and retirement, allowing for an assessment of whether the system is delivering the correct balance.</w:t>
      </w:r>
    </w:p>
    <w:p w14:paraId="6B95FF48" w14:textId="77777777" w:rsidR="0092760B" w:rsidRPr="00027624" w:rsidRDefault="0092760B" w:rsidP="002A2FAE">
      <w:pPr>
        <w:pStyle w:val="Heading2"/>
      </w:pPr>
      <w:bookmarkStart w:id="520" w:name="_Toc45520468"/>
      <w:bookmarkStart w:id="521" w:name="_Toc46133578"/>
      <w:r w:rsidRPr="00027624">
        <w:lastRenderedPageBreak/>
        <w:t>How the system maintains living standards</w:t>
      </w:r>
      <w:bookmarkEnd w:id="520"/>
      <w:bookmarkEnd w:id="521"/>
    </w:p>
    <w:p w14:paraId="746F663D" w14:textId="77777777" w:rsidR="0092760B" w:rsidRPr="00027624" w:rsidRDefault="0092760B" w:rsidP="002A2FAE">
      <w:pPr>
        <w:rPr>
          <w:b/>
        </w:rPr>
      </w:pPr>
      <w:r w:rsidRPr="00027624">
        <w:rPr>
          <w:b/>
        </w:rPr>
        <w:t>A retirement income system based on compulsory superannuation needs to deliver a default retirement income that is adequate for as many people as possible but does not force people to save too much in their working life.</w:t>
      </w:r>
    </w:p>
    <w:p w14:paraId="70B22061" w14:textId="77777777" w:rsidR="0092760B" w:rsidRPr="00027624" w:rsidRDefault="0092760B" w:rsidP="002A2FAE">
      <w:r w:rsidRPr="00027624">
        <w:t>Getting the balance right is difficult, requiring consideration of two dynamics:</w:t>
      </w:r>
    </w:p>
    <w:p w14:paraId="7C910A91" w14:textId="77777777" w:rsidR="0092760B" w:rsidRPr="00027624" w:rsidRDefault="0092760B" w:rsidP="00FC7361">
      <w:pPr>
        <w:pStyle w:val="OutlineNumbered1"/>
        <w:numPr>
          <w:ilvl w:val="0"/>
          <w:numId w:val="83"/>
        </w:numPr>
        <w:ind w:left="908" w:hanging="454"/>
      </w:pPr>
      <w:r w:rsidRPr="00027624">
        <w:rPr>
          <w:b/>
          <w:bCs/>
        </w:rPr>
        <w:t>Middle</w:t>
      </w:r>
      <w:r w:rsidR="00A8443E" w:rsidRPr="00027624">
        <w:rPr>
          <w:b/>
          <w:bCs/>
        </w:rPr>
        <w:noBreakHyphen/>
      </w:r>
      <w:r w:rsidRPr="00027624">
        <w:rPr>
          <w:b/>
          <w:bCs/>
        </w:rPr>
        <w:t>income earners are the primary target group</w:t>
      </w:r>
      <w:r w:rsidRPr="00027624">
        <w:t xml:space="preserve"> for the default retirement income delivered by the combination of the Age Pension and the SG. Based on review projections, they will not be able to maintain their living standard in retirement by relying on the Age Pension alone</w:t>
      </w:r>
      <w:r w:rsidR="00B61AA5" w:rsidRPr="00027624">
        <w:t>,</w:t>
      </w:r>
      <w:r w:rsidRPr="00027624">
        <w:t xml:space="preserve"> and they save for retirement mainly through compulsory superannuation (aside from their home). Lower</w:t>
      </w:r>
      <w:r w:rsidR="00A8443E" w:rsidRPr="00027624">
        <w:noBreakHyphen/>
      </w:r>
      <w:r w:rsidRPr="00027624">
        <w:t>income earners can maintain (if not improve) their retirement living standards through the Age Pension alone. Higher</w:t>
      </w:r>
      <w:r w:rsidR="00A8443E" w:rsidRPr="00027624">
        <w:noBreakHyphen/>
      </w:r>
      <w:r w:rsidRPr="00027624">
        <w:t>income earners are more likely to accumulate sufficient wealth through superannuation and other voluntary saving to meet their income needs in retirement.</w:t>
      </w:r>
    </w:p>
    <w:p w14:paraId="634F5B14" w14:textId="57F120B4" w:rsidR="0092760B" w:rsidRPr="00027624" w:rsidRDefault="0092760B" w:rsidP="00716CEE">
      <w:pPr>
        <w:pStyle w:val="OutlineNumbered1"/>
      </w:pPr>
      <w:r w:rsidRPr="00027624">
        <w:rPr>
          <w:b/>
          <w:bCs/>
        </w:rPr>
        <w:t>Universal policy settings under the Age Pension and SG are asymmetric</w:t>
      </w:r>
      <w:r w:rsidRPr="00027624">
        <w:t>. If default saving is too low, people can save more voluntarily; if too high, it can be hard for people to save less (</w:t>
      </w:r>
      <w:r w:rsidRPr="00027624">
        <w:fldChar w:fldCharType="begin"/>
      </w:r>
      <w:r w:rsidRPr="00027624">
        <w:instrText xml:space="preserve"> REF _Ref41051272 \r \h  \* MERGEFORMAT </w:instrText>
      </w:r>
      <w:r w:rsidRPr="00027624">
        <w:fldChar w:fldCharType="separate"/>
      </w:r>
      <w:r w:rsidR="00891058">
        <w:t>Figure 2C-1</w:t>
      </w:r>
      <w:r w:rsidRPr="00027624">
        <w:fldChar w:fldCharType="end"/>
      </w:r>
      <w:r w:rsidRPr="00027624">
        <w:t>). This highlights the importance of balance when setting the default level of retirement income. People with lower incomes are particularly vulnerable to compulsory savings rates set too high. These groups tend not to save voluntarily. They have limited flexibility to reduce other savings in response to higher default savings levels (</w:t>
      </w:r>
      <w:r w:rsidR="005E06CE">
        <w:t xml:space="preserve">see </w:t>
      </w:r>
      <w:r w:rsidRPr="005E06CE">
        <w:rPr>
          <w:i/>
        </w:rPr>
        <w:t>5A. Cohesion</w:t>
      </w:r>
      <w:r w:rsidRPr="00027624">
        <w:t xml:space="preserve">). </w:t>
      </w:r>
    </w:p>
    <w:p w14:paraId="7665F896" w14:textId="77777777" w:rsidR="0092760B" w:rsidRPr="00027624" w:rsidRDefault="0092760B" w:rsidP="00975545">
      <w:pPr>
        <w:pStyle w:val="FigureHeading"/>
        <w:numPr>
          <w:ilvl w:val="4"/>
          <w:numId w:val="25"/>
        </w:numPr>
      </w:pPr>
      <w:bookmarkStart w:id="522" w:name="_Ref41051272"/>
      <w:r w:rsidRPr="00027624">
        <w:t>Illustrative example of asymmetry of retirement income system policy setting</w:t>
      </w:r>
      <w:bookmarkEnd w:id="522"/>
    </w:p>
    <w:p w14:paraId="40FE8907" w14:textId="77777777" w:rsidR="0092760B" w:rsidRPr="00027624" w:rsidRDefault="00980C3F" w:rsidP="002A2FAE">
      <w:pPr>
        <w:pStyle w:val="ChartGraphic"/>
        <w:spacing w:after="240"/>
      </w:pPr>
      <w:r>
        <w:rPr>
          <w:noProof/>
        </w:rPr>
        <w:drawing>
          <wp:inline distT="0" distB="0" distL="0" distR="0" wp14:anchorId="15872164" wp14:editId="7C18C3CE">
            <wp:extent cx="5402580" cy="2468880"/>
            <wp:effectExtent l="0" t="0" r="7620" b="7620"/>
            <wp:docPr id="761061960" name="Picture 761061960" descr="This figure is a visualisation of the idea that if a person wants a higher replacement rate they can save more to achieve it but that if they want a lower replacement rate it is difficult to reduce their level of saving given the minimum provided by the system." title="Figure 2C-1 Illustrative example of asymmetry of retirement income system policy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2580" cy="2468880"/>
                    </a:xfrm>
                    <a:prstGeom prst="rect">
                      <a:avLst/>
                    </a:prstGeom>
                    <a:noFill/>
                  </pic:spPr>
                </pic:pic>
              </a:graphicData>
            </a:graphic>
          </wp:inline>
        </w:drawing>
      </w:r>
    </w:p>
    <w:p w14:paraId="7FDBB92A" w14:textId="77777777" w:rsidR="0092760B" w:rsidRPr="00027624" w:rsidRDefault="0092760B" w:rsidP="002A2FAE">
      <w:pPr>
        <w:pStyle w:val="Bullet"/>
        <w:numPr>
          <w:ilvl w:val="0"/>
          <w:numId w:val="0"/>
        </w:numPr>
      </w:pPr>
      <w:r w:rsidRPr="00027624">
        <w:rPr>
          <w:color w:val="000000"/>
          <w:szCs w:val="27"/>
        </w:rPr>
        <w:t>Lower</w:t>
      </w:r>
      <w:r w:rsidR="00A8443E" w:rsidRPr="00027624">
        <w:rPr>
          <w:color w:val="000000"/>
          <w:szCs w:val="27"/>
        </w:rPr>
        <w:noBreakHyphen/>
      </w:r>
      <w:r w:rsidRPr="00027624">
        <w:rPr>
          <w:color w:val="000000"/>
          <w:szCs w:val="27"/>
        </w:rPr>
        <w:t>income earners are defined as those in the bottom 30 per cent of all earners, higher</w:t>
      </w:r>
      <w:r w:rsidR="00A8443E" w:rsidRPr="00027624">
        <w:rPr>
          <w:color w:val="000000"/>
          <w:szCs w:val="27"/>
        </w:rPr>
        <w:noBreakHyphen/>
      </w:r>
      <w:r w:rsidRPr="00027624">
        <w:rPr>
          <w:color w:val="000000"/>
          <w:szCs w:val="27"/>
        </w:rPr>
        <w:t xml:space="preserve">income earners </w:t>
      </w:r>
      <w:r w:rsidR="00B61AA5" w:rsidRPr="00027624">
        <w:rPr>
          <w:color w:val="000000"/>
          <w:szCs w:val="27"/>
        </w:rPr>
        <w:t xml:space="preserve">are </w:t>
      </w:r>
      <w:r w:rsidRPr="00027624">
        <w:rPr>
          <w:color w:val="000000"/>
          <w:szCs w:val="27"/>
        </w:rPr>
        <w:t>in the top 20 per cent and middle</w:t>
      </w:r>
      <w:r w:rsidR="00A8443E" w:rsidRPr="00027624">
        <w:rPr>
          <w:color w:val="000000"/>
          <w:szCs w:val="27"/>
        </w:rPr>
        <w:noBreakHyphen/>
      </w:r>
      <w:r w:rsidRPr="00027624">
        <w:rPr>
          <w:color w:val="000000"/>
          <w:szCs w:val="27"/>
        </w:rPr>
        <w:t xml:space="preserve">income earners are those in between. </w:t>
      </w:r>
      <w:r w:rsidRPr="00027624">
        <w:t>This section examines the retirement outcomes for these income groups. It uses projections based on cameo modelling under current policy settings, including legislated incremental increases in the SG rate to 12 per cent.</w:t>
      </w:r>
      <w:r w:rsidRPr="00027624">
        <w:rPr>
          <w:rStyle w:val="FootnoteReference"/>
        </w:rPr>
        <w:footnoteReference w:id="101"/>
      </w:r>
    </w:p>
    <w:p w14:paraId="2B5B887B" w14:textId="77777777" w:rsidR="0092760B" w:rsidRPr="00027624" w:rsidRDefault="0092760B" w:rsidP="002A2FAE">
      <w:pPr>
        <w:pStyle w:val="Heading3"/>
      </w:pPr>
      <w:r w:rsidRPr="00027624">
        <w:lastRenderedPageBreak/>
        <w:t>Lower</w:t>
      </w:r>
      <w:r w:rsidR="00A8443E" w:rsidRPr="00027624">
        <w:noBreakHyphen/>
      </w:r>
      <w:r w:rsidRPr="00027624">
        <w:t>income earners</w:t>
      </w:r>
    </w:p>
    <w:p w14:paraId="718F92D9" w14:textId="525E7547" w:rsidR="0092760B" w:rsidRPr="00027624" w:rsidRDefault="0092760B" w:rsidP="002A2FAE">
      <w:r w:rsidRPr="00027624">
        <w:rPr>
          <w:b/>
          <w:bCs/>
        </w:rPr>
        <w:t>For lower</w:t>
      </w:r>
      <w:r w:rsidR="00A8443E" w:rsidRPr="00027624">
        <w:rPr>
          <w:b/>
          <w:bCs/>
        </w:rPr>
        <w:noBreakHyphen/>
      </w:r>
      <w:r w:rsidRPr="00027624">
        <w:rPr>
          <w:b/>
          <w:bCs/>
        </w:rPr>
        <w:t>income earners, the Age Pension alone will maintain living standards in retirement for incomes up to the 30</w:t>
      </w:r>
      <w:r w:rsidRPr="00027624">
        <w:rPr>
          <w:b/>
          <w:bCs/>
          <w:vertAlign w:val="superscript"/>
        </w:rPr>
        <w:t>th</w:t>
      </w:r>
      <w:r w:rsidRPr="00027624">
        <w:rPr>
          <w:b/>
          <w:bCs/>
        </w:rPr>
        <w:t xml:space="preserve"> percentile</w:t>
      </w:r>
      <w:r w:rsidRPr="00027624">
        <w:t>, with the 40</w:t>
      </w:r>
      <w:r w:rsidRPr="00027624">
        <w:rPr>
          <w:vertAlign w:val="superscript"/>
        </w:rPr>
        <w:t>th</w:t>
      </w:r>
      <w:r w:rsidRPr="00027624">
        <w:t xml:space="preserve"> percentile marginally below the replacement rate benchmark (</w:t>
      </w:r>
      <w:r w:rsidRPr="00027624">
        <w:fldChar w:fldCharType="begin"/>
      </w:r>
      <w:r w:rsidRPr="00027624">
        <w:instrText xml:space="preserve"> REF _Ref39499163 \r \h  \* MERGEFORMAT </w:instrText>
      </w:r>
      <w:r w:rsidRPr="00027624">
        <w:fldChar w:fldCharType="separate"/>
      </w:r>
      <w:r w:rsidR="00891058">
        <w:t>Chart 2C-4</w:t>
      </w:r>
      <w:r w:rsidRPr="00027624">
        <w:fldChar w:fldCharType="end"/>
      </w:r>
      <w:r w:rsidRPr="00027624">
        <w:t>). The Age Pension either maintains or increases retirement living standards for groups with little or no labour market participation.</w:t>
      </w:r>
    </w:p>
    <w:p w14:paraId="2C018991" w14:textId="77777777" w:rsidR="0092760B" w:rsidRPr="00027624" w:rsidRDefault="0092760B" w:rsidP="00FC7361">
      <w:pPr>
        <w:pStyle w:val="ChartMainHeading"/>
        <w:numPr>
          <w:ilvl w:val="2"/>
          <w:numId w:val="66"/>
        </w:numPr>
      </w:pPr>
      <w:bookmarkStart w:id="523" w:name="_Ref39499163"/>
      <w:bookmarkStart w:id="524" w:name="_Ref39263633"/>
      <w:r w:rsidRPr="00027624">
        <w:t>Projected income replacement delivered by the Age Pension alone</w:t>
      </w:r>
      <w:bookmarkEnd w:id="523"/>
      <w:bookmarkEnd w:id="524"/>
    </w:p>
    <w:p w14:paraId="52074788" w14:textId="77777777" w:rsidR="0092760B" w:rsidRPr="00027624" w:rsidRDefault="00980C3F" w:rsidP="008154EB">
      <w:pPr>
        <w:pStyle w:val="ChartGraphic"/>
      </w:pPr>
      <w:r>
        <w:rPr>
          <w:noProof/>
        </w:rPr>
        <w:drawing>
          <wp:inline distT="0" distB="0" distL="0" distR="0" wp14:anchorId="5D1CA4CE" wp14:editId="2EEB4D20">
            <wp:extent cx="5608320" cy="2514600"/>
            <wp:effectExtent l="0" t="0" r="0" b="0"/>
            <wp:docPr id="761061964" name="Picture 761061964" descr="This chart shows the replacement rate that people would have with only the Age Pension for income percentiles up the 50th. It shows that Age Pension alone is above the review’s benchmark for incomes up to the 30th percentile, with the 40th percentile marginally below the benchmark." title="Chart 2C-4 Projected income replacement delivered by the Age Pension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08320" cy="2514600"/>
                    </a:xfrm>
                    <a:prstGeom prst="rect">
                      <a:avLst/>
                    </a:prstGeom>
                    <a:noFill/>
                  </pic:spPr>
                </pic:pic>
              </a:graphicData>
            </a:graphic>
          </wp:inline>
        </w:drawing>
      </w:r>
    </w:p>
    <w:p w14:paraId="7C500DA9" w14:textId="77777777" w:rsidR="0092760B" w:rsidRPr="00027624" w:rsidRDefault="0092760B" w:rsidP="008154EB">
      <w:pPr>
        <w:pStyle w:val="ChartorTableNote"/>
      </w:pPr>
      <w:r w:rsidRPr="00027624">
        <w:t>Note: Assumes only source of retirement income is the Age Pension. Source: Cameo modelling undertaken for the review.</w:t>
      </w:r>
    </w:p>
    <w:p w14:paraId="262903C2" w14:textId="77777777" w:rsidR="0092760B" w:rsidRPr="00027624" w:rsidRDefault="0092760B" w:rsidP="002A2FAE">
      <w:bookmarkStart w:id="525" w:name="_Hlk42097152"/>
      <w:r w:rsidRPr="00027624">
        <w:t>Many lower</w:t>
      </w:r>
      <w:r w:rsidR="00A8443E" w:rsidRPr="00027624">
        <w:noBreakHyphen/>
      </w:r>
      <w:r w:rsidRPr="00027624">
        <w:t>income earners make SG contributions. These savings supplement the Age Pension and are important for giving lower</w:t>
      </w:r>
      <w:r w:rsidR="00A8443E" w:rsidRPr="00027624">
        <w:noBreakHyphen/>
      </w:r>
      <w:r w:rsidRPr="00027624">
        <w:t>income earners access to a lump sum of assets in retirement.</w:t>
      </w:r>
    </w:p>
    <w:bookmarkEnd w:id="525"/>
    <w:p w14:paraId="0E81EA98" w14:textId="77777777" w:rsidR="0092760B" w:rsidRPr="00027624" w:rsidRDefault="0092760B" w:rsidP="002A2FAE">
      <w:r w:rsidRPr="00027624">
        <w:t>Lower</w:t>
      </w:r>
      <w:r w:rsidR="00A8443E" w:rsidRPr="00027624">
        <w:noBreakHyphen/>
      </w:r>
      <w:r w:rsidRPr="00027624">
        <w:t>income earners make limited voluntary savings and are the least likely to own their home.</w:t>
      </w:r>
      <w:r w:rsidRPr="00027624">
        <w:rPr>
          <w:rStyle w:val="FootnoteReference"/>
        </w:rPr>
        <w:footnoteReference w:id="102"/>
      </w:r>
      <w:r w:rsidRPr="00027624">
        <w:t xml:space="preserve"> They may need further support to maintain a minimum standard of living in retirement.</w:t>
      </w:r>
    </w:p>
    <w:p w14:paraId="291176C7" w14:textId="77777777" w:rsidR="0092760B" w:rsidRPr="00027624" w:rsidRDefault="0092760B" w:rsidP="002A2FAE">
      <w:r w:rsidRPr="00027624">
        <w:t>Given living standards in retirement are higher than in working life for many lower</w:t>
      </w:r>
      <w:r w:rsidR="00A8443E" w:rsidRPr="00027624">
        <w:noBreakHyphen/>
      </w:r>
      <w:r w:rsidRPr="00027624">
        <w:t>income earners, this group would benefit from prudent early release of their superannuation to cover certain financial stresses. For example, those caused by periods of unemployment, illness, or for large and unexpected expenses.</w:t>
      </w:r>
    </w:p>
    <w:p w14:paraId="1E06748E" w14:textId="77777777" w:rsidR="0092760B" w:rsidRPr="00027624" w:rsidRDefault="0092760B" w:rsidP="002A2FAE">
      <w:pPr>
        <w:pStyle w:val="Heading3"/>
      </w:pPr>
      <w:r w:rsidRPr="00027624">
        <w:t>Middle</w:t>
      </w:r>
      <w:r w:rsidR="00A8443E" w:rsidRPr="00027624">
        <w:noBreakHyphen/>
      </w:r>
      <w:r w:rsidRPr="00027624">
        <w:t>income earners</w:t>
      </w:r>
    </w:p>
    <w:p w14:paraId="78B23144" w14:textId="77777777" w:rsidR="0092760B" w:rsidRPr="00027624" w:rsidRDefault="0092760B" w:rsidP="002A2FAE">
      <w:r w:rsidRPr="00027624">
        <w:rPr>
          <w:b/>
        </w:rPr>
        <w:t>Middle</w:t>
      </w:r>
      <w:r w:rsidR="00A8443E" w:rsidRPr="00027624">
        <w:rPr>
          <w:b/>
        </w:rPr>
        <w:noBreakHyphen/>
      </w:r>
      <w:r w:rsidRPr="00027624">
        <w:rPr>
          <w:b/>
        </w:rPr>
        <w:t>income earners require a combination of superannuation, voluntary savings and the Age Pension to maintain their living standards in retirement.</w:t>
      </w:r>
      <w:r w:rsidRPr="00027624">
        <w:t xml:space="preserve"> Their main voluntary saving is through buying a home. Home ownership rates for middle wealth retirees currently exceed 95 per cent</w:t>
      </w:r>
      <w:r w:rsidR="00B61AA5" w:rsidRPr="00027624">
        <w:t>,</w:t>
      </w:r>
      <w:r w:rsidRPr="00027624">
        <w:t xml:space="preserve"> although rates of home ownership are declining (see</w:t>
      </w:r>
      <w:r w:rsidRPr="00027624">
        <w:rPr>
          <w:i/>
        </w:rPr>
        <w:t xml:space="preserve"> 1D. The changing Australian landscape</w:t>
      </w:r>
      <w:r w:rsidRPr="00027624">
        <w:t>).</w:t>
      </w:r>
    </w:p>
    <w:p w14:paraId="6718FB0E" w14:textId="246A0BA5" w:rsidR="0092760B" w:rsidRPr="00027624" w:rsidRDefault="0092760B" w:rsidP="002A2FAE">
      <w:bookmarkStart w:id="526" w:name="_Ref37418821"/>
      <w:r w:rsidRPr="00027624">
        <w:t>While the Age Pension alone is not sufficient to maintain the standard of living of middle</w:t>
      </w:r>
      <w:r w:rsidR="00A8443E" w:rsidRPr="00027624">
        <w:noBreakHyphen/>
      </w:r>
      <w:r w:rsidRPr="00027624">
        <w:t>income earners in retirement, it does play a significant role in supplementing the retirement incomes of this group. In a mature system, middle</w:t>
      </w:r>
      <w:r w:rsidR="00A8443E" w:rsidRPr="00027624">
        <w:noBreakHyphen/>
      </w:r>
      <w:r w:rsidRPr="00027624">
        <w:t>income earners are still expected to rely on some level of the Age Pension for much of their retirement, particularly in older ages as they draw down other assets (</w:t>
      </w:r>
      <w:r w:rsidRPr="00027624">
        <w:fldChar w:fldCharType="begin"/>
      </w:r>
      <w:r w:rsidRPr="00027624">
        <w:instrText xml:space="preserve"> REF _Ref39499134 \r \h  \* MERGEFORMAT </w:instrText>
      </w:r>
      <w:r w:rsidRPr="00027624">
        <w:fldChar w:fldCharType="separate"/>
      </w:r>
      <w:r w:rsidR="00891058">
        <w:t>Chart 2C-5</w:t>
      </w:r>
      <w:r w:rsidRPr="00027624">
        <w:fldChar w:fldCharType="end"/>
      </w:r>
      <w:r w:rsidRPr="00027624">
        <w:t>).</w:t>
      </w:r>
    </w:p>
    <w:p w14:paraId="446443F1" w14:textId="77777777" w:rsidR="0092760B" w:rsidRPr="00027624" w:rsidRDefault="0092760B" w:rsidP="002A2FAE">
      <w:r w:rsidRPr="00027624">
        <w:t>Middle</w:t>
      </w:r>
      <w:r w:rsidR="00A8443E" w:rsidRPr="00027624">
        <w:noBreakHyphen/>
      </w:r>
      <w:r w:rsidRPr="00027624">
        <w:t>income earners have modest voluntarily savings or wealth outside of their home (</w:t>
      </w:r>
      <w:r w:rsidRPr="00027624">
        <w:rPr>
          <w:i/>
        </w:rPr>
        <w:t>1</w:t>
      </w:r>
      <w:r w:rsidR="005E06CE">
        <w:rPr>
          <w:i/>
        </w:rPr>
        <w:t>B</w:t>
      </w:r>
      <w:r w:rsidRPr="00027624">
        <w:rPr>
          <w:i/>
        </w:rPr>
        <w:t>. Design of Australia</w:t>
      </w:r>
      <w:r w:rsidR="00A8443E" w:rsidRPr="00027624">
        <w:rPr>
          <w:i/>
        </w:rPr>
        <w:t>’</w:t>
      </w:r>
      <w:r w:rsidRPr="00027624">
        <w:rPr>
          <w:i/>
        </w:rPr>
        <w:t>s retirement income system</w:t>
      </w:r>
      <w:r w:rsidRPr="00027624">
        <w:t>). As the SG matures, this should significantly boost the non</w:t>
      </w:r>
      <w:r w:rsidR="00A8443E" w:rsidRPr="00027624">
        <w:noBreakHyphen/>
      </w:r>
      <w:r w:rsidRPr="00027624">
        <w:t>housing wealth of this group.</w:t>
      </w:r>
    </w:p>
    <w:p w14:paraId="558F580E" w14:textId="77777777" w:rsidR="0092760B" w:rsidRPr="00027624" w:rsidRDefault="0092760B" w:rsidP="002A2FAE">
      <w:pPr>
        <w:rPr>
          <w:b/>
          <w:bCs/>
        </w:rPr>
      </w:pPr>
      <w:r w:rsidRPr="00027624">
        <w:lastRenderedPageBreak/>
        <w:t>Compulsory superannuation contributions are important for middle</w:t>
      </w:r>
      <w:r w:rsidR="00A8443E" w:rsidRPr="00027624">
        <w:noBreakHyphen/>
      </w:r>
      <w:r w:rsidRPr="00027624">
        <w:t xml:space="preserve">income earners. </w:t>
      </w:r>
      <w:r w:rsidRPr="00027624">
        <w:rPr>
          <w:b/>
          <w:bCs/>
        </w:rPr>
        <w:t>The SG is necessary to help this group achieve adequate retirement outcomes.</w:t>
      </w:r>
    </w:p>
    <w:p w14:paraId="7731F350" w14:textId="77777777" w:rsidR="0092760B" w:rsidRPr="00027624" w:rsidRDefault="0092760B" w:rsidP="00FC7361">
      <w:pPr>
        <w:pStyle w:val="ChartMainHeading"/>
        <w:numPr>
          <w:ilvl w:val="2"/>
          <w:numId w:val="66"/>
        </w:numPr>
      </w:pPr>
      <w:bookmarkStart w:id="527" w:name="_Ref39315679"/>
      <w:bookmarkStart w:id="528" w:name="_Ref39499134"/>
      <w:bookmarkEnd w:id="527"/>
      <w:r w:rsidRPr="00027624">
        <w:t>Projected retirement income by source, median</w:t>
      </w:r>
      <w:r w:rsidR="00A8443E" w:rsidRPr="00027624">
        <w:noBreakHyphen/>
      </w:r>
      <w:r w:rsidRPr="00027624">
        <w:t>income earner</w:t>
      </w:r>
      <w:bookmarkEnd w:id="528"/>
    </w:p>
    <w:bookmarkEnd w:id="526"/>
    <w:p w14:paraId="52504949" w14:textId="77777777" w:rsidR="0092760B" w:rsidRPr="00027624" w:rsidRDefault="00980C3F" w:rsidP="002A2FAE">
      <w:pPr>
        <w:pStyle w:val="ChartGraphic"/>
      </w:pPr>
      <w:r>
        <w:rPr>
          <w:noProof/>
        </w:rPr>
        <w:drawing>
          <wp:inline distT="0" distB="0" distL="0" distR="0" wp14:anchorId="13FA99BF" wp14:editId="0FE8F50E">
            <wp:extent cx="5585460" cy="2522220"/>
            <wp:effectExtent l="0" t="0" r="0" b="0"/>
            <wp:docPr id="761061966" name="Picture 761061966" descr="This chart shows the projected sources of retirement income for a median income earner from the start of retirement to age 91. It shows that at the beginning of their retirement most of their income will come from superannuation. However by about halfway through their retirement the Age Pension will make up the majority or their income. At the end of retirement the Age Pension will make up about three-quarters of their income." title="Chart 2C-5 Projected retirement income by source, median-income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6D184DDC" w14:textId="77777777" w:rsidR="0092760B" w:rsidRPr="00027624" w:rsidRDefault="0092760B" w:rsidP="002A2FAE">
      <w:pPr>
        <w:pStyle w:val="ChartorTableNote"/>
      </w:pPr>
      <w:r w:rsidRPr="00027624">
        <w:t>Source: Cameo modelling undertaken for the review.</w:t>
      </w:r>
    </w:p>
    <w:p w14:paraId="586FD0AE" w14:textId="77777777" w:rsidR="0092760B" w:rsidRPr="00027624" w:rsidRDefault="0092760B" w:rsidP="002A2FAE">
      <w:pPr>
        <w:pStyle w:val="Heading3"/>
      </w:pPr>
      <w:r w:rsidRPr="00027624">
        <w:t>Higher</w:t>
      </w:r>
      <w:r w:rsidR="00A8443E" w:rsidRPr="00027624">
        <w:noBreakHyphen/>
      </w:r>
      <w:r w:rsidRPr="00027624">
        <w:t>income earners</w:t>
      </w:r>
    </w:p>
    <w:p w14:paraId="54A58272" w14:textId="77777777" w:rsidR="0092760B" w:rsidRPr="00027624" w:rsidRDefault="0092760B" w:rsidP="002A2FAE">
      <w:r w:rsidRPr="00027624">
        <w:t>Higher</w:t>
      </w:r>
      <w:r w:rsidR="00A8443E" w:rsidRPr="00027624">
        <w:noBreakHyphen/>
      </w:r>
      <w:r w:rsidRPr="00027624">
        <w:t>income earners will generally not receive the Age Pension until late in their retirement due to the means test. They rely on the SG and voluntary contributions (including the home and other savings) for their retirement income.</w:t>
      </w:r>
    </w:p>
    <w:p w14:paraId="6C8A2415" w14:textId="1E05825F" w:rsidR="0092760B" w:rsidRPr="00027624" w:rsidRDefault="0092760B" w:rsidP="002A2FAE">
      <w:r w:rsidRPr="00027624">
        <w:t>Higher</w:t>
      </w:r>
      <w:r w:rsidR="00A8443E" w:rsidRPr="00027624">
        <w:noBreakHyphen/>
      </w:r>
      <w:r w:rsidRPr="00027624">
        <w:t>income earners are more likely to make voluntary savings. Their saving rates are higher than other income groups (</w:t>
      </w:r>
      <w:r w:rsidRPr="00027624">
        <w:fldChar w:fldCharType="begin"/>
      </w:r>
      <w:r w:rsidRPr="00027624">
        <w:instrText xml:space="preserve"> REF _Ref41053322 \r \h  \* MERGEFORMAT </w:instrText>
      </w:r>
      <w:r w:rsidRPr="00027624">
        <w:fldChar w:fldCharType="separate"/>
      </w:r>
      <w:r w:rsidR="00891058">
        <w:t>Chart 2C-6</w:t>
      </w:r>
      <w:r w:rsidRPr="00027624">
        <w:fldChar w:fldCharType="end"/>
      </w:r>
      <w:r w:rsidRPr="00027624">
        <w:t>) and their financial literacy levels tend to be higher</w:t>
      </w:r>
      <w:sdt>
        <w:sdtPr>
          <w:id w:val="-819650817"/>
          <w:citation/>
        </w:sdtPr>
        <w:sdtEndPr/>
        <w:sdtContent>
          <w:r w:rsidR="002F1484">
            <w:fldChar w:fldCharType="begin"/>
          </w:r>
          <w:r w:rsidR="002F1484">
            <w:instrText xml:space="preserve"> CITATION Pro18 \l 3081 </w:instrText>
          </w:r>
          <w:r w:rsidR="002F1484">
            <w:fldChar w:fldCharType="separate"/>
          </w:r>
          <w:r w:rsidR="00E83F6E">
            <w:rPr>
              <w:noProof/>
            </w:rPr>
            <w:t xml:space="preserve"> (Productivity Commission, 2018a)</w:t>
          </w:r>
          <w:r w:rsidR="002F1484">
            <w:fldChar w:fldCharType="end"/>
          </w:r>
        </w:sdtContent>
      </w:sdt>
      <w:r w:rsidRPr="00027624">
        <w:t>. These outcomes suggest higher</w:t>
      </w:r>
      <w:r w:rsidR="00A8443E" w:rsidRPr="00027624">
        <w:noBreakHyphen/>
      </w:r>
      <w:r w:rsidRPr="00027624">
        <w:t>income earners are better able to save for retirement without the need to rely solely on compulsory SG compared with other groups. For example, of people aged 55 with superannuation balances at the 80</w:t>
      </w:r>
      <w:r w:rsidRPr="00027624">
        <w:rPr>
          <w:vertAlign w:val="superscript"/>
        </w:rPr>
        <w:t>th</w:t>
      </w:r>
      <w:r w:rsidRPr="00027624">
        <w:t xml:space="preserve"> percentile, 68 per cent contributed voluntarily in at least four out of eight years.</w:t>
      </w:r>
    </w:p>
    <w:p w14:paraId="0A971D36" w14:textId="77777777" w:rsidR="0092760B" w:rsidRPr="00027624" w:rsidRDefault="0092760B" w:rsidP="002A2FAE">
      <w:r w:rsidRPr="00027624">
        <w:rPr>
          <w:b/>
        </w:rPr>
        <w:t>Higher</w:t>
      </w:r>
      <w:r w:rsidR="00A8443E" w:rsidRPr="00027624">
        <w:rPr>
          <w:b/>
        </w:rPr>
        <w:noBreakHyphen/>
      </w:r>
      <w:r w:rsidRPr="00027624">
        <w:rPr>
          <w:b/>
        </w:rPr>
        <w:t>income earners are expected to have significantly higher retirement incomes than other groups.</w:t>
      </w:r>
      <w:r w:rsidRPr="00027624">
        <w:t xml:space="preserve"> For example, the average retirement income for an 80</w:t>
      </w:r>
      <w:r w:rsidRPr="00027624">
        <w:rPr>
          <w:vertAlign w:val="superscript"/>
        </w:rPr>
        <w:t>th</w:t>
      </w:r>
      <w:r w:rsidRPr="00027624">
        <w:t xml:space="preserve"> percentile income earner retiring in 2060 is projected to be 25 per cent higher than the median retiree and above the ASFA comfortable standard.</w:t>
      </w:r>
    </w:p>
    <w:p w14:paraId="62486387" w14:textId="77777777" w:rsidR="0092760B" w:rsidRPr="00027624" w:rsidRDefault="0092760B" w:rsidP="00FC7361">
      <w:pPr>
        <w:pStyle w:val="ChartMainHeading"/>
        <w:numPr>
          <w:ilvl w:val="2"/>
          <w:numId w:val="66"/>
        </w:numPr>
      </w:pPr>
      <w:bookmarkStart w:id="529" w:name="_Ref41053322"/>
      <w:bookmarkStart w:id="530" w:name="_Ref38104171"/>
      <w:r w:rsidRPr="00027624">
        <w:lastRenderedPageBreak/>
        <w:t>Proportion of 55</w:t>
      </w:r>
      <w:r w:rsidR="00A8443E" w:rsidRPr="00027624">
        <w:noBreakHyphen/>
      </w:r>
      <w:r w:rsidRPr="00027624">
        <w:t>year</w:t>
      </w:r>
      <w:r w:rsidR="00A8443E" w:rsidRPr="00027624">
        <w:noBreakHyphen/>
      </w:r>
      <w:r w:rsidRPr="00027624">
        <w:t xml:space="preserve">olds in 2010 that made a voluntary superannuation contribution </w:t>
      </w:r>
      <w:bookmarkEnd w:id="529"/>
      <w:r w:rsidRPr="00027624">
        <w:t>over an eight</w:t>
      </w:r>
      <w:r w:rsidR="00A8443E" w:rsidRPr="00027624">
        <w:noBreakHyphen/>
      </w:r>
      <w:r w:rsidRPr="00027624">
        <w:t>year period</w:t>
      </w:r>
    </w:p>
    <w:bookmarkEnd w:id="530"/>
    <w:p w14:paraId="0E1F13C1" w14:textId="77777777" w:rsidR="0092760B" w:rsidRPr="00027624" w:rsidRDefault="00980C3F" w:rsidP="008154EB">
      <w:pPr>
        <w:pStyle w:val="ChartGraphic"/>
      </w:pPr>
      <w:r>
        <w:rPr>
          <w:noProof/>
        </w:rPr>
        <w:drawing>
          <wp:inline distT="0" distB="0" distL="0" distR="0" wp14:anchorId="770DC431" wp14:editId="662C8F26">
            <wp:extent cx="5577840" cy="2522220"/>
            <wp:effectExtent l="0" t="0" r="3810" b="0"/>
            <wp:docPr id="761061967" name="Picture 761061967" descr="This chart shows that 55 year olds with higher superannuation balances are much more likely to make voluntary contributions. At least two-thirds of people in the 8th and 9th superannuation balance deciles made a voluntary contribution in four of eight years." title="Chart 2C-6 Proportion of 55-year-olds in 2010 that made a voluntary superannuation contribution over an eight-year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9458131" w14:textId="77777777" w:rsidR="0092760B" w:rsidRPr="00027624" w:rsidRDefault="0092760B" w:rsidP="002A2FAE">
      <w:pPr>
        <w:pStyle w:val="ChartorTableNote"/>
      </w:pPr>
      <w:r w:rsidRPr="00027624">
        <w:t>Note: Data follows a cohort who were aged 55 in 2010 over an eight</w:t>
      </w:r>
      <w:r w:rsidR="00A8443E" w:rsidRPr="00027624">
        <w:noBreakHyphen/>
      </w:r>
      <w:r w:rsidRPr="00027624">
        <w:t xml:space="preserve">year period. Average includes men and women. Includes all voluntary contributions to superannuation. Deciles refer to superannuation balance as at 2010. Source: ATO Longitudinal Information Files </w:t>
      </w:r>
      <w:r w:rsidRPr="00027624">
        <w:rPr>
          <w:color w:val="auto"/>
        </w:rPr>
        <w:t>(ALife)</w:t>
      </w:r>
      <w:r w:rsidRPr="00027624">
        <w:rPr>
          <w:b/>
          <w:color w:val="auto"/>
        </w:rPr>
        <w:t xml:space="preserve">, </w:t>
      </w:r>
      <w:r w:rsidRPr="00027624">
        <w:rPr>
          <w:color w:val="auto"/>
        </w:rPr>
        <w:t>2020</w:t>
      </w:r>
      <w:r w:rsidRPr="00027624">
        <w:rPr>
          <w:b/>
          <w:color w:val="auto"/>
        </w:rPr>
        <w:t>.</w:t>
      </w:r>
    </w:p>
    <w:p w14:paraId="5A7A29D6" w14:textId="77777777" w:rsidR="0092760B" w:rsidRPr="00027624" w:rsidRDefault="0092760B" w:rsidP="002A2FAE">
      <w:pPr>
        <w:pStyle w:val="Heading2"/>
      </w:pPr>
      <w:bookmarkStart w:id="531" w:name="_Toc45520469"/>
      <w:bookmarkStart w:id="532" w:name="_Toc46133579"/>
      <w:r w:rsidRPr="00027624">
        <w:t>Income needs in retirement</w:t>
      </w:r>
      <w:bookmarkEnd w:id="531"/>
      <w:bookmarkEnd w:id="532"/>
    </w:p>
    <w:p w14:paraId="1BA3EC4F" w14:textId="77777777" w:rsidR="0092760B" w:rsidRPr="00027624" w:rsidRDefault="0092760B" w:rsidP="002A2FAE">
      <w:r w:rsidRPr="00027624">
        <w:t>The adequacy of retirement incomes depends on what retirees need to spend to maintain their living standards in retirement. Estimating this has two components:</w:t>
      </w:r>
    </w:p>
    <w:p w14:paraId="7AAD45F2" w14:textId="77777777" w:rsidR="0092760B" w:rsidRPr="00027624" w:rsidRDefault="0092760B" w:rsidP="00FC7361">
      <w:pPr>
        <w:pStyle w:val="OutlineNumbered1"/>
        <w:numPr>
          <w:ilvl w:val="0"/>
          <w:numId w:val="84"/>
        </w:numPr>
        <w:ind w:left="908" w:hanging="454"/>
      </w:pPr>
      <w:r w:rsidRPr="00027624">
        <w:t>The proportion of working</w:t>
      </w:r>
      <w:r w:rsidR="00A8443E" w:rsidRPr="00027624">
        <w:noBreakHyphen/>
      </w:r>
      <w:r w:rsidRPr="00027624">
        <w:t>life income needed in retirement.</w:t>
      </w:r>
    </w:p>
    <w:p w14:paraId="64615E68" w14:textId="77777777" w:rsidR="0092760B" w:rsidRPr="00027624" w:rsidRDefault="0092760B" w:rsidP="00716CEE">
      <w:pPr>
        <w:pStyle w:val="OutlineNumbered1"/>
      </w:pPr>
      <w:r w:rsidRPr="00027624">
        <w:t>How this income needs to grow during retirement.</w:t>
      </w:r>
    </w:p>
    <w:p w14:paraId="066FA19D" w14:textId="77777777" w:rsidR="0092760B" w:rsidRPr="00027624" w:rsidRDefault="0092760B" w:rsidP="002A2FAE">
      <w:pPr>
        <w:pStyle w:val="Heading3"/>
      </w:pPr>
      <w:r w:rsidRPr="00027624">
        <w:t>The proportion of working</w:t>
      </w:r>
      <w:r w:rsidR="00A8443E" w:rsidRPr="00027624">
        <w:noBreakHyphen/>
      </w:r>
      <w:r w:rsidRPr="00027624">
        <w:t>life income needed in retirement</w:t>
      </w:r>
    </w:p>
    <w:p w14:paraId="0397B1BF" w14:textId="77777777" w:rsidR="0092760B" w:rsidRPr="00027624" w:rsidRDefault="0092760B" w:rsidP="002A2FAE">
      <w:r w:rsidRPr="00027624">
        <w:t>A replacement rate benchmark of 65</w:t>
      </w:r>
      <w:r w:rsidR="00A8443E" w:rsidRPr="00027624">
        <w:noBreakHyphen/>
      </w:r>
      <w:r w:rsidRPr="00027624">
        <w:t>75 per cent of disposable income has been used to measure the adequacy of retirement incomes. Using a range rather than a single number avoids false precision. It also reflects that no one level of retirement income is appropriate for all retirees.</w:t>
      </w:r>
    </w:p>
    <w:p w14:paraId="6D8A9838" w14:textId="77777777" w:rsidR="0092760B" w:rsidRPr="00027624" w:rsidRDefault="0092760B" w:rsidP="002A2FAE">
      <w:r w:rsidRPr="00027624">
        <w:rPr>
          <w:b/>
        </w:rPr>
        <w:t>Evidence suggests 65</w:t>
      </w:r>
      <w:r w:rsidR="00A8443E" w:rsidRPr="00027624">
        <w:rPr>
          <w:b/>
        </w:rPr>
        <w:noBreakHyphen/>
      </w:r>
      <w:r w:rsidRPr="00027624">
        <w:rPr>
          <w:b/>
        </w:rPr>
        <w:t>75 per cent of working</w:t>
      </w:r>
      <w:r w:rsidR="00A8443E" w:rsidRPr="00027624">
        <w:rPr>
          <w:b/>
        </w:rPr>
        <w:noBreakHyphen/>
      </w:r>
      <w:r w:rsidRPr="00027624">
        <w:rPr>
          <w:b/>
        </w:rPr>
        <w:t>life income will allow most retirees to maintain their standards of living in retirement.</w:t>
      </w:r>
      <w:r w:rsidRPr="00027624">
        <w:t xml:space="preserve"> This benchmark:</w:t>
      </w:r>
    </w:p>
    <w:p w14:paraId="78FE8025" w14:textId="77777777" w:rsidR="0092760B" w:rsidRPr="00027624" w:rsidRDefault="0092760B" w:rsidP="0092760B">
      <w:pPr>
        <w:pStyle w:val="Bullet"/>
      </w:pPr>
      <w:r w:rsidRPr="00027624">
        <w:t>Is consistent with most industry and international benchmarks. Typical benchmarks vary from 50</w:t>
      </w:r>
      <w:r w:rsidR="00A8443E" w:rsidRPr="00027624">
        <w:noBreakHyphen/>
      </w:r>
      <w:r w:rsidRPr="00027624">
        <w:t>85 per cent, with 70 per cent being the most common.</w:t>
      </w:r>
    </w:p>
    <w:p w14:paraId="5687098B" w14:textId="77777777" w:rsidR="0092760B" w:rsidRPr="00027624" w:rsidRDefault="0092760B" w:rsidP="0092760B">
      <w:pPr>
        <w:pStyle w:val="Bullet"/>
      </w:pPr>
      <w:r w:rsidRPr="00027624">
        <w:t>Matches the share of income people spend during their working lives, excluding costs that are unlikely to be present in retirement.</w:t>
      </w:r>
    </w:p>
    <w:p w14:paraId="15860E50" w14:textId="11B2AD79" w:rsidR="0092760B" w:rsidRPr="00027624" w:rsidRDefault="0092760B" w:rsidP="0092760B">
      <w:pPr>
        <w:pStyle w:val="Bullet"/>
      </w:pPr>
      <w:r w:rsidRPr="00027624">
        <w:t xml:space="preserve">Is slightly higher than the actual replacement rates achieved by current retirees, who generally achieved adequate retirement outcomes (see </w:t>
      </w:r>
      <w:r w:rsidRPr="00027624">
        <w:rPr>
          <w:i/>
        </w:rPr>
        <w:fldChar w:fldCharType="begin"/>
      </w:r>
      <w:r w:rsidRPr="00027624">
        <w:rPr>
          <w:i/>
        </w:rPr>
        <w:instrText xml:space="preserve"> REF _Ref45207067 \h  \* MERGEFORMAT </w:instrText>
      </w:r>
      <w:r w:rsidRPr="00027624">
        <w:rPr>
          <w:i/>
        </w:rPr>
      </w:r>
      <w:r w:rsidRPr="00027624">
        <w:rPr>
          <w:i/>
        </w:rPr>
        <w:fldChar w:fldCharType="separate"/>
      </w:r>
      <w:r w:rsidR="00891058" w:rsidRPr="00891058">
        <w:rPr>
          <w:i/>
        </w:rPr>
        <w:t>Assessing outcomes for recent retirees</w:t>
      </w:r>
      <w:r w:rsidRPr="00027624">
        <w:rPr>
          <w:i/>
        </w:rPr>
        <w:fldChar w:fldCharType="end"/>
      </w:r>
      <w:r w:rsidR="007A1F0B" w:rsidRPr="00027624">
        <w:t>, below)</w:t>
      </w:r>
      <w:r w:rsidRPr="00027624">
        <w:t>.</w:t>
      </w:r>
    </w:p>
    <w:p w14:paraId="52DFCD5B" w14:textId="77777777" w:rsidR="0092760B" w:rsidRPr="00027624" w:rsidRDefault="0092760B" w:rsidP="0092760B">
      <w:pPr>
        <w:pStyle w:val="Bullet"/>
      </w:pPr>
      <w:r w:rsidRPr="00027624">
        <w:t>Reflects that future retirees will spend more of their working</w:t>
      </w:r>
      <w:r w:rsidR="00A8443E" w:rsidRPr="00027624">
        <w:noBreakHyphen/>
      </w:r>
      <w:r w:rsidRPr="00027624">
        <w:t>life income on housing (see</w:t>
      </w:r>
      <w:r w:rsidRPr="00027624">
        <w:rPr>
          <w:i/>
        </w:rPr>
        <w:t xml:space="preserve"> 1D. The changing Australian landscape</w:t>
      </w:r>
      <w:r w:rsidRPr="00027624">
        <w:t>). Consequently, future retirees will have reduced working</w:t>
      </w:r>
      <w:r w:rsidR="00A8443E" w:rsidRPr="00027624">
        <w:noBreakHyphen/>
      </w:r>
      <w:r w:rsidRPr="00027624">
        <w:t>life incomes after housing costs, requiring a downward adjustment from the standard 70 per cent replacement rate benchmark, which is based on historical housing costs.</w:t>
      </w:r>
    </w:p>
    <w:p w14:paraId="6ED60209" w14:textId="77777777" w:rsidR="0092760B" w:rsidRPr="00027624" w:rsidRDefault="0092760B" w:rsidP="002A2FAE">
      <w:r w:rsidRPr="00027624">
        <w:t>A 65</w:t>
      </w:r>
      <w:r w:rsidR="00A8443E" w:rsidRPr="00027624">
        <w:noBreakHyphen/>
      </w:r>
      <w:r w:rsidRPr="00027624">
        <w:t>75 per cent replacement benchmark is broadly applicable for a wide group of retirees, especially middle</w:t>
      </w:r>
      <w:r w:rsidR="00A8443E" w:rsidRPr="00027624">
        <w:noBreakHyphen/>
      </w:r>
      <w:r w:rsidRPr="00027624">
        <w:t>income earners. Nevertheless, this replacement rate range may not be appropriate for some retirees:</w:t>
      </w:r>
    </w:p>
    <w:p w14:paraId="2318F547" w14:textId="77777777" w:rsidR="0092760B" w:rsidRPr="00027624" w:rsidRDefault="0092760B" w:rsidP="0092760B">
      <w:pPr>
        <w:pStyle w:val="Bullet"/>
      </w:pPr>
      <w:r w:rsidRPr="00027624">
        <w:rPr>
          <w:b/>
          <w:bCs/>
        </w:rPr>
        <w:lastRenderedPageBreak/>
        <w:t>Renters</w:t>
      </w:r>
      <w:r w:rsidRPr="00027624">
        <w:t xml:space="preserve"> require higher replacement rates than most home owners because they have higher housing costs in retirement. Accounting for these costs, an appropriate benchmark for renting retirees is around 90 to 100 per cent</w:t>
      </w:r>
      <w:r w:rsidRPr="00027624" w:rsidDel="009C6DC3">
        <w:t>.</w:t>
      </w:r>
    </w:p>
    <w:p w14:paraId="0F866EC0" w14:textId="77777777" w:rsidR="0092760B" w:rsidRPr="00027624" w:rsidRDefault="0092760B" w:rsidP="0092760B">
      <w:pPr>
        <w:pStyle w:val="Bullet"/>
      </w:pPr>
      <w:r w:rsidRPr="00027624">
        <w:rPr>
          <w:b/>
          <w:bCs/>
        </w:rPr>
        <w:t>Higher</w:t>
      </w:r>
      <w:r w:rsidR="00A8443E" w:rsidRPr="00027624">
        <w:rPr>
          <w:b/>
          <w:bCs/>
        </w:rPr>
        <w:noBreakHyphen/>
      </w:r>
      <w:r w:rsidRPr="00027624">
        <w:rPr>
          <w:b/>
          <w:bCs/>
        </w:rPr>
        <w:t>income earners</w:t>
      </w:r>
      <w:r w:rsidRPr="00027624">
        <w:t xml:space="preserve"> save significantly more than lower</w:t>
      </w:r>
      <w:r w:rsidR="00A8443E" w:rsidRPr="00027624">
        <w:noBreakHyphen/>
      </w:r>
      <w:r w:rsidRPr="00027624">
        <w:t xml:space="preserve"> to middle</w:t>
      </w:r>
      <w:r w:rsidR="00A8443E" w:rsidRPr="00027624">
        <w:noBreakHyphen/>
      </w:r>
      <w:r w:rsidRPr="00027624">
        <w:t>income earners and achieve higher retirement incomes. They are likely to maintain their living standard with replacement rates 10 to 20 percentage points lower than middle</w:t>
      </w:r>
      <w:r w:rsidR="00A8443E" w:rsidRPr="00027624">
        <w:noBreakHyphen/>
      </w:r>
      <w:r w:rsidRPr="00027624">
        <w:t>income retirees.</w:t>
      </w:r>
    </w:p>
    <w:p w14:paraId="335379F1" w14:textId="77777777" w:rsidR="0092760B" w:rsidRPr="00027624" w:rsidRDefault="0092760B" w:rsidP="0092760B">
      <w:pPr>
        <w:pStyle w:val="Bullet"/>
      </w:pPr>
      <w:r w:rsidRPr="00027624">
        <w:rPr>
          <w:b/>
          <w:bCs/>
        </w:rPr>
        <w:t>Lower</w:t>
      </w:r>
      <w:r w:rsidR="00A8443E" w:rsidRPr="00027624">
        <w:rPr>
          <w:b/>
          <w:bCs/>
        </w:rPr>
        <w:noBreakHyphen/>
      </w:r>
      <w:r w:rsidRPr="00027624">
        <w:rPr>
          <w:b/>
          <w:bCs/>
        </w:rPr>
        <w:t>income earners</w:t>
      </w:r>
      <w:r w:rsidRPr="00027624">
        <w:t xml:space="preserve"> need higher replacement rates than the benchmark to achieve a minimum standard of living in retirement. (See </w:t>
      </w:r>
      <w:r w:rsidRPr="00027624">
        <w:rPr>
          <w:i/>
        </w:rPr>
        <w:t>2A. Achieving a minimum standard of living in retirement</w:t>
      </w:r>
      <w:r w:rsidRPr="00027624">
        <w:t>).</w:t>
      </w:r>
    </w:p>
    <w:p w14:paraId="2479E340" w14:textId="77777777" w:rsidR="0092760B" w:rsidRPr="00027624" w:rsidRDefault="0092760B" w:rsidP="002A2FAE">
      <w:pPr>
        <w:pStyle w:val="Bullet"/>
        <w:numPr>
          <w:ilvl w:val="0"/>
          <w:numId w:val="0"/>
        </w:numPr>
      </w:pPr>
      <w:r w:rsidRPr="00027624">
        <w:t xml:space="preserve">See </w:t>
      </w:r>
      <w:r w:rsidRPr="00027624">
        <w:rPr>
          <w:i/>
        </w:rPr>
        <w:t>Appendix 6A. Detailed modelling methods and assumptions</w:t>
      </w:r>
      <w:r w:rsidRPr="00027624">
        <w:t xml:space="preserve"> for further research on the appropriate replacement rate benchmark.</w:t>
      </w:r>
    </w:p>
    <w:p w14:paraId="730FD9C6" w14:textId="77777777" w:rsidR="0092760B" w:rsidRPr="00027624" w:rsidRDefault="0092760B" w:rsidP="002A2FAE">
      <w:pPr>
        <w:pStyle w:val="Heading3"/>
      </w:pPr>
      <w:r w:rsidRPr="00027624">
        <w:t>How to assess replacement rate outcomes</w:t>
      </w:r>
    </w:p>
    <w:p w14:paraId="422284BB" w14:textId="77777777" w:rsidR="0092760B" w:rsidRPr="00027624" w:rsidRDefault="0092760B" w:rsidP="002A2FAE">
      <w:r w:rsidRPr="00027624">
        <w:rPr>
          <w:b/>
        </w:rPr>
        <w:t>A well</w:t>
      </w:r>
      <w:r w:rsidR="00A8443E" w:rsidRPr="00027624">
        <w:rPr>
          <w:b/>
        </w:rPr>
        <w:noBreakHyphen/>
      </w:r>
      <w:r w:rsidRPr="00027624">
        <w:rPr>
          <w:b/>
        </w:rPr>
        <w:t>functioning system should aim for average</w:t>
      </w:r>
      <w:r w:rsidR="00B61AA5" w:rsidRPr="00027624">
        <w:rPr>
          <w:b/>
        </w:rPr>
        <w:t>-</w:t>
      </w:r>
      <w:r w:rsidRPr="00027624">
        <w:rPr>
          <w:b/>
        </w:rPr>
        <w:t>income earners with typical working lives to achieve replacement rates within the benchmark.</w:t>
      </w:r>
      <w:r w:rsidRPr="00027624">
        <w:t xml:space="preserve"> Missing the benchmark in either direction implies the system is not correctly balancing incomes between working lives and retirement.</w:t>
      </w:r>
    </w:p>
    <w:p w14:paraId="414AC0E4" w14:textId="77777777" w:rsidR="0092760B" w:rsidRPr="00027624" w:rsidRDefault="0092760B" w:rsidP="0092760B">
      <w:pPr>
        <w:pStyle w:val="Bullet"/>
      </w:pPr>
      <w:r w:rsidRPr="00027624">
        <w:rPr>
          <w:b/>
          <w:bCs/>
        </w:rPr>
        <w:t xml:space="preserve">Replacement rates below the benchmark </w:t>
      </w:r>
      <w:r w:rsidRPr="00027624">
        <w:t>mean retirees will experience a drop in their living standards when they reach retirement, which would be a poor outcome for lifetime wellbeing. Falling below the benchmark is more concerning than exceeding the benchmark. People tend to be loss averse, meaning negative shocks have a particularly large impact on wellbeing</w:t>
      </w:r>
      <w:sdt>
        <w:sdtPr>
          <w:id w:val="-655841136"/>
          <w:citation/>
        </w:sdtPr>
        <w:sdtEndPr/>
        <w:sdtContent>
          <w:r w:rsidRPr="00027624">
            <w:fldChar w:fldCharType="begin"/>
          </w:r>
          <w:r w:rsidRPr="00027624">
            <w:instrText xml:space="preserve"> CITATION Tve92 \l 3081 </w:instrText>
          </w:r>
          <w:r w:rsidRPr="00027624">
            <w:fldChar w:fldCharType="separate"/>
          </w:r>
          <w:r w:rsidR="00E83F6E">
            <w:rPr>
              <w:noProof/>
            </w:rPr>
            <w:t xml:space="preserve"> (Tversky &amp; Kahneman, 1992)</w:t>
          </w:r>
          <w:r w:rsidRPr="00027624">
            <w:fldChar w:fldCharType="end"/>
          </w:r>
        </w:sdtContent>
      </w:sdt>
      <w:r w:rsidRPr="00027624">
        <w:t>.</w:t>
      </w:r>
    </w:p>
    <w:p w14:paraId="6BD6C530" w14:textId="77777777" w:rsidR="0092760B" w:rsidRPr="00027624" w:rsidRDefault="0092760B" w:rsidP="0092760B">
      <w:pPr>
        <w:pStyle w:val="Bullet"/>
      </w:pPr>
      <w:r w:rsidRPr="00027624">
        <w:rPr>
          <w:b/>
          <w:bCs/>
        </w:rPr>
        <w:t>Replacement rates above the benchmark</w:t>
      </w:r>
      <w:r w:rsidRPr="00027624">
        <w:t xml:space="preserve"> imply retirees may be better off with more income available to them during their working lives. Exceeding the benchmark means lower spending and wellbeing during around 40 years of working life. Where possible,</w:t>
      </w:r>
      <w:r w:rsidRPr="00027624" w:rsidDel="00897204">
        <w:t xml:space="preserve"> </w:t>
      </w:r>
      <w:r w:rsidRPr="00027624">
        <w:t>a system based on compulsory superannuation contributions should prevent unnecessary reductions to spending in working life.</w:t>
      </w:r>
    </w:p>
    <w:p w14:paraId="2957C4E4" w14:textId="77777777" w:rsidR="0092760B" w:rsidRPr="00027624" w:rsidRDefault="0092760B" w:rsidP="002A2FAE">
      <w:r w:rsidRPr="00027624">
        <w:t>Universal policy settings (the Age Pension and the SG) mean the system cannot deliver perfect outcomes for all incomes groups and personal circumstances. Some differences in replacement rates between groups are unavoidable.</w:t>
      </w:r>
    </w:p>
    <w:p w14:paraId="27291B72" w14:textId="77777777" w:rsidR="0092760B" w:rsidRPr="00027624" w:rsidRDefault="0092760B" w:rsidP="002A2FAE">
      <w:pPr>
        <w:pStyle w:val="Heading2"/>
      </w:pPr>
      <w:bookmarkStart w:id="533" w:name="_Toc45520470"/>
      <w:bookmarkStart w:id="534" w:name="_Toc46133580"/>
      <w:r w:rsidRPr="00027624">
        <w:t>How spending needs grow in retirement</w:t>
      </w:r>
      <w:bookmarkStart w:id="535" w:name="_Ref37500887"/>
      <w:bookmarkEnd w:id="533"/>
      <w:bookmarkEnd w:id="534"/>
    </w:p>
    <w:p w14:paraId="6F0EBC3A" w14:textId="77777777" w:rsidR="0092760B" w:rsidRPr="00027624" w:rsidRDefault="0092760B" w:rsidP="002A2FAE">
      <w:r w:rsidRPr="00027624">
        <w:t>The rate of growth of spending in retirement is important in determining whether retirees</w:t>
      </w:r>
      <w:r w:rsidR="00A8443E" w:rsidRPr="00027624">
        <w:t>’</w:t>
      </w:r>
      <w:r w:rsidRPr="00027624">
        <w:t xml:space="preserve"> income is adequate for all their retirement years. </w:t>
      </w:r>
      <w:r w:rsidRPr="00027624">
        <w:rPr>
          <w:b/>
        </w:rPr>
        <w:t>Domestic and international evidence points to retirees</w:t>
      </w:r>
      <w:r w:rsidR="00A8443E" w:rsidRPr="00027624">
        <w:rPr>
          <w:b/>
        </w:rPr>
        <w:t>’</w:t>
      </w:r>
      <w:r w:rsidRPr="00027624">
        <w:rPr>
          <w:b/>
        </w:rPr>
        <w:t xml:space="preserve"> spending needs growing in line with prices.</w:t>
      </w:r>
    </w:p>
    <w:p w14:paraId="2357F8C7" w14:textId="69CC772F" w:rsidR="0092760B" w:rsidRPr="00027624" w:rsidRDefault="0092760B" w:rsidP="002A2FAE">
      <w:r w:rsidRPr="00027624">
        <w:t>On this basis, retirement income projections in the review have been deflated by the CPI. The outcomes are significantly different if retirement incomes are deflated by assumed growth in wages (</w:t>
      </w:r>
      <w:r w:rsidRPr="00027624">
        <w:fldChar w:fldCharType="begin"/>
      </w:r>
      <w:r w:rsidRPr="00027624">
        <w:instrText xml:space="preserve"> REF _Ref39494651 \r \h  \* MERGEFORMAT </w:instrText>
      </w:r>
      <w:r w:rsidRPr="00027624">
        <w:fldChar w:fldCharType="separate"/>
      </w:r>
      <w:r w:rsidR="00891058">
        <w:t>Chart 2C-7</w:t>
      </w:r>
      <w:r w:rsidRPr="00027624">
        <w:fldChar w:fldCharType="end"/>
      </w:r>
      <w:r w:rsidRPr="00027624">
        <w:t>).</w:t>
      </w:r>
    </w:p>
    <w:p w14:paraId="00EFBFF1" w14:textId="77777777" w:rsidR="0092760B" w:rsidRPr="00027624" w:rsidRDefault="0092760B" w:rsidP="00FC7361">
      <w:pPr>
        <w:pStyle w:val="ChartMainHeading"/>
        <w:numPr>
          <w:ilvl w:val="2"/>
          <w:numId w:val="66"/>
        </w:numPr>
      </w:pPr>
      <w:bookmarkStart w:id="536" w:name="_Ref39494651"/>
      <w:r w:rsidRPr="00027624">
        <w:lastRenderedPageBreak/>
        <w:t>Wage versus price growth in retirement, median retiree</w:t>
      </w:r>
      <w:bookmarkEnd w:id="536"/>
    </w:p>
    <w:p w14:paraId="08A32545" w14:textId="77777777" w:rsidR="0092760B" w:rsidRPr="00027624" w:rsidRDefault="00980C3F" w:rsidP="002A2FAE">
      <w:pPr>
        <w:pStyle w:val="ChartGraphic"/>
      </w:pPr>
      <w:r>
        <w:rPr>
          <w:noProof/>
        </w:rPr>
        <w:drawing>
          <wp:inline distT="0" distB="0" distL="0" distR="0" wp14:anchorId="567C8EAD" wp14:editId="037A75F1">
            <wp:extent cx="5547360" cy="2522220"/>
            <wp:effectExtent l="0" t="0" r="0" b="0"/>
            <wp:docPr id="761061968" name="Picture 761061968" descr="This chart shows that in wage-deflated terms working life income has a hump shape with income peaking in middle age and gradually declining as people reach age 67. In retirement, wage-indexed retirement incomes would deliver increasing real income, while price indexed income would deliver a flat income profile." title="Chart 2C-7 Wage versus price growth in retirement, median reti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47360" cy="2522220"/>
                    </a:xfrm>
                    <a:prstGeom prst="rect">
                      <a:avLst/>
                    </a:prstGeom>
                    <a:noFill/>
                  </pic:spPr>
                </pic:pic>
              </a:graphicData>
            </a:graphic>
          </wp:inline>
        </w:drawing>
      </w:r>
    </w:p>
    <w:p w14:paraId="75D97BB1" w14:textId="77777777" w:rsidR="0092760B" w:rsidRPr="00027624" w:rsidRDefault="0092760B" w:rsidP="002A2FAE">
      <w:pPr>
        <w:pStyle w:val="ChartorTableNote"/>
      </w:pPr>
      <w:r w:rsidRPr="00027624">
        <w:t>Note: Values are in 2019</w:t>
      </w:r>
      <w:r w:rsidR="00A8443E" w:rsidRPr="00027624">
        <w:noBreakHyphen/>
      </w:r>
      <w:r w:rsidRPr="00027624">
        <w:t>20 dollars. Assumes retirement at 67. Working</w:t>
      </w:r>
      <w:r w:rsidR="00A8443E" w:rsidRPr="00027624">
        <w:noBreakHyphen/>
      </w:r>
      <w:r w:rsidRPr="00027624">
        <w:t>life income is deflated by average weekly earnings. Replacement rate is in the middle of the 65</w:t>
      </w:r>
      <w:r w:rsidR="00A8443E" w:rsidRPr="00027624">
        <w:noBreakHyphen/>
      </w:r>
      <w:r w:rsidRPr="00027624">
        <w:t>75 per cent benchmark. Source: Cameo modelling undertaken for the review.</w:t>
      </w:r>
    </w:p>
    <w:p w14:paraId="336B2069" w14:textId="77777777" w:rsidR="0092760B" w:rsidRPr="00027624" w:rsidRDefault="0092760B" w:rsidP="002A2FAE">
      <w:pPr>
        <w:pStyle w:val="Heading3"/>
      </w:pPr>
      <w:r w:rsidRPr="00027624">
        <w:t>Wage growth in retirement</w:t>
      </w:r>
    </w:p>
    <w:bookmarkEnd w:id="535"/>
    <w:p w14:paraId="2FC73BFB" w14:textId="77777777" w:rsidR="0092760B" w:rsidRPr="00027624" w:rsidRDefault="0092760B" w:rsidP="002A2FAE">
      <w:r w:rsidRPr="00027624">
        <w:t>Proponents of wage</w:t>
      </w:r>
      <w:r w:rsidR="00A8443E" w:rsidRPr="00027624">
        <w:noBreakHyphen/>
      </w:r>
      <w:r w:rsidRPr="00027624">
        <w:t>linked growth for retirement incomes argue that adequacy should be measured relative to prevailing living standards. Under this view, growing retirement incomes using prices is problematic because of the significant changes to society</w:t>
      </w:r>
      <w:r w:rsidR="00A8443E" w:rsidRPr="00027624">
        <w:t>’</w:t>
      </w:r>
      <w:r w:rsidRPr="00027624">
        <w:t>s living standards over long timeframes.</w:t>
      </w:r>
    </w:p>
    <w:p w14:paraId="0954CBE0" w14:textId="77777777" w:rsidR="0092760B" w:rsidRPr="00027624" w:rsidRDefault="0092760B" w:rsidP="002A2FAE">
      <w:r w:rsidRPr="00027624">
        <w:t>An argument sometimes raised in favour of wage</w:t>
      </w:r>
      <w:r w:rsidR="00A8443E" w:rsidRPr="00027624">
        <w:noBreakHyphen/>
      </w:r>
      <w:r w:rsidRPr="00027624">
        <w:t>linked growth is that, because the Australian Government indexes public pensions to wages, all retirement income should be assessed on this basis</w:t>
      </w:r>
      <w:sdt>
        <w:sdtPr>
          <w:id w:val="-1874221296"/>
          <w:citation/>
        </w:sdtPr>
        <w:sdtEndPr/>
        <w:sdtContent>
          <w:r w:rsidRPr="00027624">
            <w:fldChar w:fldCharType="begin"/>
          </w:r>
          <w:r w:rsidRPr="00027624">
            <w:instrText xml:space="preserve">CITATION Ind20 \p 347 \l 3081 </w:instrText>
          </w:r>
          <w:r w:rsidRPr="00027624">
            <w:fldChar w:fldCharType="separate"/>
          </w:r>
          <w:r w:rsidR="00E83F6E">
            <w:rPr>
              <w:noProof/>
            </w:rPr>
            <w:t xml:space="preserve"> (Industry Super Australia, 2020, p. 347)</w:t>
          </w:r>
          <w:r w:rsidRPr="00027624">
            <w:fldChar w:fldCharType="end"/>
          </w:r>
        </w:sdtContent>
      </w:sdt>
      <w:r w:rsidRPr="00027624">
        <w:t>. But the goal of helping people to maintain their living standards in retirement is different from the goal of delivering a minimum standard of living in retirement for people with limited financial means.</w:t>
      </w:r>
    </w:p>
    <w:p w14:paraId="151E12FD" w14:textId="77777777" w:rsidR="0092760B" w:rsidRPr="00027624" w:rsidRDefault="0092760B" w:rsidP="002A2FAE">
      <w:r w:rsidRPr="00027624">
        <w:t xml:space="preserve">A minimum standard of living is a </w:t>
      </w:r>
      <w:r w:rsidRPr="00027624">
        <w:rPr>
          <w:i/>
          <w:iCs/>
        </w:rPr>
        <w:t>society</w:t>
      </w:r>
      <w:r w:rsidR="00A8443E" w:rsidRPr="00027624">
        <w:rPr>
          <w:i/>
          <w:iCs/>
        </w:rPr>
        <w:noBreakHyphen/>
      </w:r>
      <w:r w:rsidRPr="00027624">
        <w:rPr>
          <w:i/>
          <w:iCs/>
        </w:rPr>
        <w:t>wide goal</w:t>
      </w:r>
      <w:r w:rsidRPr="00027624">
        <w:t xml:space="preserve"> that no retiree should fall below and the minimum standard is set in line with prevailing community standards. This is achieved by benchmarking Age Pension to wages. In contrast, maintaining living standards in retirement is an </w:t>
      </w:r>
      <w:r w:rsidRPr="00027624">
        <w:rPr>
          <w:i/>
          <w:iCs/>
        </w:rPr>
        <w:t>individual</w:t>
      </w:r>
      <w:r w:rsidR="00A8443E" w:rsidRPr="00027624">
        <w:rPr>
          <w:i/>
          <w:iCs/>
        </w:rPr>
        <w:noBreakHyphen/>
      </w:r>
      <w:r w:rsidRPr="00027624">
        <w:rPr>
          <w:i/>
          <w:iCs/>
        </w:rPr>
        <w:t>level goal</w:t>
      </w:r>
      <w:r w:rsidRPr="00027624">
        <w:t xml:space="preserve">, where a person aims to have a similar standard of living </w:t>
      </w:r>
      <w:r w:rsidR="00B61AA5" w:rsidRPr="00027624">
        <w:t>both</w:t>
      </w:r>
      <w:r w:rsidRPr="00027624">
        <w:t xml:space="preserve"> pre</w:t>
      </w:r>
      <w:r w:rsidR="00A8443E" w:rsidRPr="00027624">
        <w:noBreakHyphen/>
      </w:r>
      <w:r w:rsidRPr="00027624">
        <w:t xml:space="preserve"> and post</w:t>
      </w:r>
      <w:r w:rsidR="00A8443E" w:rsidRPr="00027624">
        <w:noBreakHyphen/>
      </w:r>
      <w:r w:rsidRPr="00027624">
        <w:t xml:space="preserve"> retirement.</w:t>
      </w:r>
    </w:p>
    <w:p w14:paraId="3DCB39BE" w14:textId="77777777" w:rsidR="0092760B" w:rsidRPr="00027624" w:rsidRDefault="0092760B" w:rsidP="002A2FAE">
      <w:r w:rsidRPr="00027624" w:rsidDel="008C4AB9">
        <w:t>Basing replacement rates on wage</w:t>
      </w:r>
      <w:r w:rsidR="00A8443E" w:rsidRPr="00027624">
        <w:noBreakHyphen/>
      </w:r>
      <w:r w:rsidRPr="00027624" w:rsidDel="008C4AB9">
        <w:t>linked spending growth in retirement, would require a level of saving that comes at a significant cost to working</w:t>
      </w:r>
      <w:r w:rsidR="00A8443E" w:rsidRPr="00027624">
        <w:noBreakHyphen/>
      </w:r>
      <w:r w:rsidRPr="00027624" w:rsidDel="008C4AB9">
        <w:t>life living standards.</w:t>
      </w:r>
      <w:r w:rsidRPr="00027624">
        <w:t xml:space="preserve"> Because of this trade</w:t>
      </w:r>
      <w:r w:rsidR="00A8443E" w:rsidRPr="00027624">
        <w:noBreakHyphen/>
      </w:r>
      <w:r w:rsidRPr="00027624">
        <w:t>off, a system should only deliver higher spending growth if that is the preference of retirees.</w:t>
      </w:r>
    </w:p>
    <w:p w14:paraId="387312F4" w14:textId="77777777" w:rsidR="0092760B" w:rsidRPr="00027624" w:rsidRDefault="0092760B" w:rsidP="002A2FAE">
      <w:pPr>
        <w:pStyle w:val="Heading3"/>
      </w:pPr>
      <w:r w:rsidRPr="00027624">
        <w:t>Price growth in retirement</w:t>
      </w:r>
    </w:p>
    <w:p w14:paraId="31AAE7D1" w14:textId="77777777" w:rsidR="0092760B" w:rsidRPr="00027624" w:rsidRDefault="0092760B" w:rsidP="002A2FAE">
      <w:pPr>
        <w:rPr>
          <w:b/>
          <w:bCs/>
        </w:rPr>
      </w:pPr>
      <w:r w:rsidRPr="00027624">
        <w:rPr>
          <w:b/>
          <w:bCs/>
        </w:rPr>
        <w:t>Spending in retirement that grows with prices is consistent with people having a similar standard of living in their retirement as they had in their working life.</w:t>
      </w:r>
    </w:p>
    <w:p w14:paraId="048C1A37" w14:textId="77777777" w:rsidR="0092760B" w:rsidRPr="00027624" w:rsidRDefault="0092760B" w:rsidP="002A2FAE">
      <w:r w:rsidRPr="00027624">
        <w:t>The evidence that points to retiree spending needs rising with prices includes:</w:t>
      </w:r>
    </w:p>
    <w:p w14:paraId="0DD668EE" w14:textId="77777777" w:rsidR="0092760B" w:rsidRPr="00027624" w:rsidRDefault="0092760B" w:rsidP="0092760B">
      <w:pPr>
        <w:pStyle w:val="Bullet"/>
      </w:pPr>
      <w:r w:rsidRPr="00027624">
        <w:rPr>
          <w:b/>
          <w:bCs/>
        </w:rPr>
        <w:t>Spending tends to fall or remain flat as people age.</w:t>
      </w:r>
      <w:r w:rsidRPr="00027624">
        <w:t xml:space="preserve"> This pattern holds across multiple generations of retirees and is consistent with other research</w:t>
      </w:r>
      <w:r w:rsidR="00FA18E5" w:rsidRPr="00FA18E5">
        <w:t xml:space="preserve"> </w:t>
      </w:r>
      <w:sdt>
        <w:sdtPr>
          <w:id w:val="1231805095"/>
          <w:citation/>
        </w:sdtPr>
        <w:sdtEndPr/>
        <w:sdtContent>
          <w:r w:rsidR="00FA18E5" w:rsidRPr="00027624">
            <w:fldChar w:fldCharType="begin"/>
          </w:r>
          <w:r w:rsidR="00FA18E5">
            <w:instrText xml:space="preserve">CITATION CEPAR2020 \l 3081 </w:instrText>
          </w:r>
          <w:r w:rsidR="00FA18E5" w:rsidRPr="00027624">
            <w:fldChar w:fldCharType="separate"/>
          </w:r>
          <w:r w:rsidR="00E83F6E">
            <w:rPr>
              <w:noProof/>
            </w:rPr>
            <w:t>(CEPAR, 2020)</w:t>
          </w:r>
          <w:r w:rsidR="00FA18E5" w:rsidRPr="00027624">
            <w:fldChar w:fldCharType="end"/>
          </w:r>
        </w:sdtContent>
      </w:sdt>
      <w:r w:rsidRPr="00027624">
        <w:t>.</w:t>
      </w:r>
    </w:p>
    <w:p w14:paraId="758427BB" w14:textId="77777777" w:rsidR="0092760B" w:rsidRPr="00027624" w:rsidRDefault="0092760B" w:rsidP="0092760B">
      <w:pPr>
        <w:pStyle w:val="Bullet"/>
      </w:pPr>
      <w:r w:rsidRPr="00027624">
        <w:rPr>
          <w:b/>
        </w:rPr>
        <w:t>Spending falls or</w:t>
      </w:r>
      <w:r w:rsidR="00B61AA5" w:rsidRPr="00027624">
        <w:rPr>
          <w:b/>
        </w:rPr>
        <w:t xml:space="preserve"> remains flat even among higher-</w:t>
      </w:r>
      <w:r w:rsidRPr="00027624">
        <w:rPr>
          <w:b/>
        </w:rPr>
        <w:t>wealth retirees</w:t>
      </w:r>
      <w:r w:rsidRPr="00027624">
        <w:t>, suggesting falls in spending are due to preferences not budget constraints. Current retirees in the top 20 per cent will have a similar amount of assets to a median retiree in a mature system, suggesting they could behave in a similar way.</w:t>
      </w:r>
    </w:p>
    <w:p w14:paraId="69F536C1" w14:textId="77777777" w:rsidR="0092760B" w:rsidRPr="00027624" w:rsidRDefault="0092760B" w:rsidP="0092760B">
      <w:pPr>
        <w:pStyle w:val="Bullet"/>
      </w:pPr>
      <w:r w:rsidRPr="00027624">
        <w:rPr>
          <w:b/>
        </w:rPr>
        <w:lastRenderedPageBreak/>
        <w:t>Health costs in retirement increase but not enough to increase overall spending</w:t>
      </w:r>
      <w:r w:rsidRPr="00027624">
        <w:t>. Health expenses increase as people age but government transfers in Australia limit out</w:t>
      </w:r>
      <w:r w:rsidR="00A8443E" w:rsidRPr="00027624">
        <w:noBreakHyphen/>
      </w:r>
      <w:r w:rsidRPr="00027624">
        <w:t>of</w:t>
      </w:r>
      <w:r w:rsidR="00A8443E" w:rsidRPr="00027624">
        <w:noBreakHyphen/>
      </w:r>
      <w:r w:rsidRPr="00027624">
        <w:t>pocket costs. A prominent US study appeared to contradict falling expenditure by showing U</w:t>
      </w:r>
      <w:r w:rsidR="00A8443E" w:rsidRPr="00027624">
        <w:noBreakHyphen/>
      </w:r>
      <w:r w:rsidRPr="00027624">
        <w:t>shaped expenditure patterns, under very different health policy settings compared with Australia. Yet results still showed real consumption falls at older ages, just not as fast as declines in the real spending in the middle of retirement</w:t>
      </w:r>
      <w:sdt>
        <w:sdtPr>
          <w:id w:val="-297928815"/>
          <w:citation/>
        </w:sdtPr>
        <w:sdtEndPr/>
        <w:sdtContent>
          <w:r w:rsidRPr="00027624">
            <w:fldChar w:fldCharType="begin"/>
          </w:r>
          <w:r w:rsidRPr="00027624">
            <w:instrText xml:space="preserve">CITATION DBl14 \l 3081 </w:instrText>
          </w:r>
          <w:r w:rsidRPr="00027624">
            <w:fldChar w:fldCharType="separate"/>
          </w:r>
          <w:r w:rsidR="00E83F6E">
            <w:rPr>
              <w:noProof/>
            </w:rPr>
            <w:t xml:space="preserve"> (Blanchett, 2014)</w:t>
          </w:r>
          <w:r w:rsidRPr="00027624">
            <w:fldChar w:fldCharType="end"/>
          </w:r>
        </w:sdtContent>
      </w:sdt>
      <w:r w:rsidRPr="00027624">
        <w:t>.</w:t>
      </w:r>
    </w:p>
    <w:p w14:paraId="7F4273D5" w14:textId="77777777" w:rsidR="0092760B" w:rsidRPr="00027624" w:rsidRDefault="0092760B" w:rsidP="0092760B">
      <w:pPr>
        <w:pStyle w:val="Bullet"/>
      </w:pPr>
      <w:r w:rsidRPr="00027624">
        <w:rPr>
          <w:b/>
        </w:rPr>
        <w:t>Most OECD countries with comparable schemes index to prices</w:t>
      </w:r>
      <w:r w:rsidRPr="00027624">
        <w:t>. Almost two</w:t>
      </w:r>
      <w:r w:rsidR="00A8443E" w:rsidRPr="00027624">
        <w:noBreakHyphen/>
      </w:r>
      <w:r w:rsidRPr="00027624">
        <w:t>thirds of OECD countries index their retirement incomes predomina</w:t>
      </w:r>
      <w:r w:rsidR="003320C7" w:rsidRPr="00027624">
        <w:t>n</w:t>
      </w:r>
      <w:r w:rsidRPr="00027624">
        <w:t>tly to prices.</w:t>
      </w:r>
    </w:p>
    <w:p w14:paraId="3362BDE6" w14:textId="77777777" w:rsidR="0092760B" w:rsidRPr="00027624" w:rsidRDefault="0092760B" w:rsidP="0092760B">
      <w:pPr>
        <w:pStyle w:val="Bullet"/>
        <w:rPr>
          <w:b/>
        </w:rPr>
      </w:pPr>
      <w:r w:rsidRPr="00027624">
        <w:rPr>
          <w:b/>
        </w:rPr>
        <w:t>Most financial products available to Australian retirees are indexed to prices.</w:t>
      </w:r>
    </w:p>
    <w:p w14:paraId="6E1BDC6B" w14:textId="77777777" w:rsidR="0092760B" w:rsidRPr="00027624" w:rsidRDefault="0092760B" w:rsidP="002A2FAE">
      <w:r w:rsidRPr="00027624">
        <w:t xml:space="preserve">See </w:t>
      </w:r>
      <w:r w:rsidRPr="00027624">
        <w:rPr>
          <w:i/>
        </w:rPr>
        <w:t>Appendix 6A. Detailed modelling methods and assumptions</w:t>
      </w:r>
      <w:r w:rsidRPr="00027624">
        <w:t xml:space="preserve"> for further discussion of spending needs for retirees.</w:t>
      </w:r>
    </w:p>
    <w:p w14:paraId="3DE3FA18" w14:textId="77777777" w:rsidR="0092760B" w:rsidRPr="00027624" w:rsidRDefault="0092760B" w:rsidP="002A2FAE">
      <w:r w:rsidRPr="00027624">
        <w:rPr>
          <w:b/>
        </w:rPr>
        <w:t>Using the measure of retirement incomes growing in line with prices does not mean future cohorts of retirees miss out on improvements in standards of living.</w:t>
      </w:r>
      <w:r w:rsidRPr="00027624">
        <w:t xml:space="preserve"> Modelling by Treasury and Rice Warner shows that superannuation balances for successive cohorts of retirees will grow faster than wages</w:t>
      </w:r>
      <w:r w:rsidRPr="00027624">
        <w:rPr>
          <w:rStyle w:val="FootnoteReference"/>
        </w:rPr>
        <w:footnoteReference w:id="103"/>
      </w:r>
      <w:r w:rsidRPr="00027624">
        <w:t>. Combined with the Age Pension being indexed to wages, retirement incomes for successive cohorts of retirees will rise with living standards.</w:t>
      </w:r>
    </w:p>
    <w:p w14:paraId="6DFE430F" w14:textId="77777777" w:rsidR="0092760B" w:rsidRPr="00027624" w:rsidRDefault="0092760B" w:rsidP="002A2FAE">
      <w:r w:rsidRPr="00027624">
        <w:t xml:space="preserve">Evidence suggests that retirement incomes growing by prices does not increase financial stress. Older retirees have maintained their spending in real terms throughout retirement, despite their incomes growing significantly faster (see </w:t>
      </w:r>
      <w:r w:rsidRPr="00027624">
        <w:rPr>
          <w:i/>
        </w:rPr>
        <w:t>Appendix 6A. Detailed modelling methods and assumptions</w:t>
      </w:r>
      <w:r w:rsidRPr="00027624">
        <w:t xml:space="preserve">). These older retirees have the lowest rates of financial stress of any group of retirees (see </w:t>
      </w:r>
      <w:r w:rsidRPr="00027624">
        <w:rPr>
          <w:i/>
        </w:rPr>
        <w:t>2A. Achieving a minimum standard of living in retirement</w:t>
      </w:r>
      <w:r w:rsidRPr="00027624">
        <w:t>).</w:t>
      </w:r>
    </w:p>
    <w:p w14:paraId="4E5F7635" w14:textId="77777777" w:rsidR="0092760B" w:rsidRPr="00027624" w:rsidRDefault="0092760B" w:rsidP="002A2FAE">
      <w:pPr>
        <w:pStyle w:val="Heading2"/>
      </w:pPr>
      <w:bookmarkStart w:id="537" w:name="_Ref45207067"/>
      <w:bookmarkStart w:id="538" w:name="_Toc45520471"/>
      <w:bookmarkStart w:id="539" w:name="_Toc46133581"/>
      <w:r w:rsidRPr="00027624">
        <w:t>Assessing outcomes for recent retirees</w:t>
      </w:r>
      <w:bookmarkEnd w:id="537"/>
      <w:bookmarkEnd w:id="538"/>
      <w:bookmarkEnd w:id="539"/>
    </w:p>
    <w:p w14:paraId="3F46AE7D" w14:textId="77777777" w:rsidR="0092760B" w:rsidRPr="00027624" w:rsidRDefault="0092760B" w:rsidP="002A2FAE">
      <w:r w:rsidRPr="00027624">
        <w:t>Traditionally, retirement income modelling has used long</w:t>
      </w:r>
      <w:r w:rsidR="00A8443E" w:rsidRPr="00027624">
        <w:noBreakHyphen/>
      </w:r>
      <w:r w:rsidRPr="00027624">
        <w:t>term models to project outcomes for people starting work today and retiring in 40 or so years.</w:t>
      </w:r>
      <w:r w:rsidRPr="00027624">
        <w:rPr>
          <w:rStyle w:val="FootnoteReference"/>
        </w:rPr>
        <w:footnoteReference w:id="104"/>
      </w:r>
      <w:r w:rsidRPr="00027624">
        <w:t xml:space="preserve"> Relying solely on this approach has limitations, as results depend on assumptions. In addition to projecting future retirement incomes,</w:t>
      </w:r>
      <w:r w:rsidRPr="00027624">
        <w:rPr>
          <w:b/>
        </w:rPr>
        <w:t xml:space="preserve"> </w:t>
      </w:r>
      <w:r w:rsidRPr="00027624">
        <w:t>the adequacy of retirement outcomes for current retirees have also been assessed using two approaches:</w:t>
      </w:r>
    </w:p>
    <w:p w14:paraId="15A0C615" w14:textId="77777777" w:rsidR="0092760B" w:rsidRPr="00027624" w:rsidRDefault="0092760B" w:rsidP="00FC7361">
      <w:pPr>
        <w:pStyle w:val="OutlineNumbered1"/>
        <w:numPr>
          <w:ilvl w:val="0"/>
          <w:numId w:val="85"/>
        </w:numPr>
        <w:ind w:left="908" w:hanging="454"/>
      </w:pPr>
      <w:r w:rsidRPr="00027624">
        <w:t>Income survey data to estimate replacement rates of recent retirees.</w:t>
      </w:r>
    </w:p>
    <w:p w14:paraId="53DBD0D8" w14:textId="77777777" w:rsidR="0092760B" w:rsidRPr="00027624" w:rsidRDefault="0092760B" w:rsidP="00716CEE">
      <w:pPr>
        <w:pStyle w:val="OutlineNumbered1"/>
      </w:pPr>
      <w:r w:rsidRPr="00027624">
        <w:t>Qualitative surveys on the impact of retirement on general and financial wellbeing.</w:t>
      </w:r>
    </w:p>
    <w:p w14:paraId="32E7D7AB" w14:textId="77777777" w:rsidR="0092760B" w:rsidRPr="00027624" w:rsidRDefault="0092760B" w:rsidP="002A2FAE">
      <w:r w:rsidRPr="00027624">
        <w:t>Future reviews of the retirement income system will be able to use data</w:t>
      </w:r>
      <w:r w:rsidR="00A8443E" w:rsidRPr="00027624">
        <w:noBreakHyphen/>
      </w:r>
      <w:r w:rsidRPr="00027624">
        <w:t>based approaches to assess retirement outcomes as superannuation matures and datasets improve.</w:t>
      </w:r>
    </w:p>
    <w:p w14:paraId="034995DD" w14:textId="77777777" w:rsidR="0092760B" w:rsidRPr="00027624" w:rsidRDefault="0092760B" w:rsidP="002A2FAE">
      <w:r w:rsidRPr="00027624">
        <w:t>Although outcomes for current retirees reflect previous policy settings and are affected by data limitations, they provide useful insights into retirement adequacy. With a maturing superannuation system, future retirement outcomes should generally improve compared with outcomes for current retirees. These outcomes also reflect the circumstances of retirees at a specific point in time and do not include the impact of the COVID</w:t>
      </w:r>
      <w:r w:rsidR="00A8443E" w:rsidRPr="00027624">
        <w:noBreakHyphen/>
      </w:r>
      <w:r w:rsidRPr="00027624">
        <w:t>19 Pandemic.</w:t>
      </w:r>
    </w:p>
    <w:p w14:paraId="3906F17D" w14:textId="77777777" w:rsidR="0092760B" w:rsidRPr="00027624" w:rsidRDefault="0092760B" w:rsidP="002A2FAE">
      <w:pPr>
        <w:pStyle w:val="Heading3"/>
      </w:pPr>
      <w:r w:rsidRPr="00027624">
        <w:t>Replacement rates for recent retirees</w:t>
      </w:r>
    </w:p>
    <w:p w14:paraId="5A6B16B6" w14:textId="77777777" w:rsidR="0092760B" w:rsidRPr="00027624" w:rsidRDefault="0092760B" w:rsidP="002A2FAE">
      <w:bookmarkStart w:id="540" w:name="_Ref38629219"/>
      <w:bookmarkStart w:id="541" w:name="_Ref37939589"/>
      <w:r w:rsidRPr="00027624">
        <w:t>The outcomes for recent retirees can provide an indication of the performance of the retirement income system under past policy settings. Yet due to data limitations, replacement rates for recent retirees are difficult to calculate and should be considered indicative only.</w:t>
      </w:r>
    </w:p>
    <w:p w14:paraId="59532DD7" w14:textId="39156716" w:rsidR="0092760B" w:rsidRPr="00027624" w:rsidRDefault="0092760B" w:rsidP="002A2FAE">
      <w:r w:rsidRPr="00027624">
        <w:lastRenderedPageBreak/>
        <w:t>Replacement rates for people born from 1943</w:t>
      </w:r>
      <w:r w:rsidR="00A8443E" w:rsidRPr="00027624">
        <w:noBreakHyphen/>
      </w:r>
      <w:r w:rsidRPr="00027624">
        <w:t>1952 have been calculated by comparing retirement incomes for those aged 65</w:t>
      </w:r>
      <w:r w:rsidR="00A8443E" w:rsidRPr="00027624">
        <w:noBreakHyphen/>
      </w:r>
      <w:r w:rsidRPr="00027624">
        <w:t>74 in 2017</w:t>
      </w:r>
      <w:r w:rsidR="00A8443E" w:rsidRPr="00027624">
        <w:noBreakHyphen/>
      </w:r>
      <w:r w:rsidRPr="00027624">
        <w:t>18</w:t>
      </w:r>
      <w:r w:rsidR="003320C7" w:rsidRPr="00027624">
        <w:t>,</w:t>
      </w:r>
      <w:r w:rsidRPr="00027624">
        <w:t xml:space="preserve"> with working</w:t>
      </w:r>
      <w:r w:rsidR="00A8443E" w:rsidRPr="00027624">
        <w:noBreakHyphen/>
      </w:r>
      <w:r w:rsidRPr="00027624">
        <w:t>life income for those aged 55</w:t>
      </w:r>
      <w:r w:rsidR="00A8443E" w:rsidRPr="00027624">
        <w:noBreakHyphen/>
      </w:r>
      <w:r w:rsidRPr="00027624">
        <w:t>64 in 2007</w:t>
      </w:r>
      <w:r w:rsidR="00A8443E" w:rsidRPr="00027624">
        <w:noBreakHyphen/>
      </w:r>
      <w:r w:rsidRPr="00027624">
        <w:t>08. The estimates suggest that middle</w:t>
      </w:r>
      <w:r w:rsidR="00A8443E" w:rsidRPr="00027624">
        <w:noBreakHyphen/>
      </w:r>
      <w:r w:rsidRPr="00027624">
        <w:t xml:space="preserve"> to higher</w:t>
      </w:r>
      <w:r w:rsidR="00A8443E" w:rsidRPr="00027624">
        <w:noBreakHyphen/>
      </w:r>
      <w:r w:rsidRPr="00027624">
        <w:t>income households (those in the 40</w:t>
      </w:r>
      <w:r w:rsidRPr="00027624">
        <w:rPr>
          <w:vertAlign w:val="superscript"/>
        </w:rPr>
        <w:t>th</w:t>
      </w:r>
      <w:r w:rsidRPr="00027624">
        <w:t xml:space="preserve"> percentile and above) have replacement rates around</w:t>
      </w:r>
      <w:r w:rsidRPr="00027624" w:rsidDel="00022619">
        <w:t xml:space="preserve"> 65</w:t>
      </w:r>
      <w:r w:rsidRPr="00027624">
        <w:t> per cent or higher (</w:t>
      </w:r>
      <w:r w:rsidRPr="00027624">
        <w:fldChar w:fldCharType="begin"/>
      </w:r>
      <w:r w:rsidRPr="00027624">
        <w:instrText xml:space="preserve"> REF _Ref41053439 \r \h  \* MERGEFORMAT </w:instrText>
      </w:r>
      <w:r w:rsidRPr="00027624">
        <w:fldChar w:fldCharType="separate"/>
      </w:r>
      <w:r w:rsidR="00891058">
        <w:t>Chart 2C-8</w:t>
      </w:r>
      <w:r w:rsidRPr="00027624">
        <w:fldChar w:fldCharType="end"/>
      </w:r>
      <w:r w:rsidRPr="00027624">
        <w:t>).</w:t>
      </w:r>
      <w:r w:rsidRPr="00027624" w:rsidDel="00022619">
        <w:t xml:space="preserve"> </w:t>
      </w:r>
      <w:r w:rsidRPr="00027624">
        <w:t>Lower</w:t>
      </w:r>
      <w:r w:rsidR="00A8443E" w:rsidRPr="00027624">
        <w:noBreakHyphen/>
      </w:r>
      <w:r w:rsidRPr="00027624">
        <w:t>income earners have replacement rates around 100 per cent.</w:t>
      </w:r>
    </w:p>
    <w:p w14:paraId="67127642" w14:textId="77777777" w:rsidR="0092760B" w:rsidRPr="00027624" w:rsidRDefault="0092760B" w:rsidP="002A2FAE">
      <w:r w:rsidRPr="00027624">
        <w:t>This analysis is informative for the outcomes of existing retirees but has significant limitations. It compares a cohort of people, rather than specific people before and after their retirement. In addition, members of the household may have already retired by age 55 to 64 or may still be working past age 65, which could create an upward bias in the estimates.</w:t>
      </w:r>
    </w:p>
    <w:p w14:paraId="4A4FA40F" w14:textId="77777777" w:rsidR="0092760B" w:rsidRPr="00027624" w:rsidRDefault="0092760B" w:rsidP="00FC7361">
      <w:pPr>
        <w:pStyle w:val="ChartMainHeading"/>
        <w:numPr>
          <w:ilvl w:val="2"/>
          <w:numId w:val="66"/>
        </w:numPr>
      </w:pPr>
      <w:bookmarkStart w:id="542" w:name="_Ref41053439"/>
      <w:r w:rsidRPr="00027624">
        <w:t>Replacement rates for households aged 65</w:t>
      </w:r>
      <w:r w:rsidR="00A8443E" w:rsidRPr="00027624">
        <w:noBreakHyphen/>
      </w:r>
      <w:r w:rsidRPr="00027624">
        <w:t>74 in 2017</w:t>
      </w:r>
      <w:r w:rsidR="00A8443E" w:rsidRPr="00027624">
        <w:noBreakHyphen/>
      </w:r>
      <w:r w:rsidRPr="00027624">
        <w:t>18</w:t>
      </w:r>
      <w:bookmarkEnd w:id="540"/>
      <w:bookmarkEnd w:id="541"/>
      <w:bookmarkEnd w:id="542"/>
    </w:p>
    <w:p w14:paraId="6C55A45F" w14:textId="77777777" w:rsidR="0092760B" w:rsidRPr="00027624" w:rsidRDefault="00E53B56" w:rsidP="002A2FAE">
      <w:pPr>
        <w:pStyle w:val="ChartGraphic"/>
      </w:pPr>
      <w:r>
        <w:rPr>
          <w:noProof/>
        </w:rPr>
        <w:drawing>
          <wp:inline distT="0" distB="0" distL="0" distR="0" wp14:anchorId="0C0B5208" wp14:editId="2956A837">
            <wp:extent cx="5570220" cy="2522220"/>
            <wp:effectExtent l="0" t="0" r="0" b="0"/>
            <wp:docPr id="761061969" name="Picture 761061969" descr="This chart shows that recent retirees in the 3rd decile and below have actual replacement rates which exceed the 65-75 per cent benchmark. Other deciles are within the benchmark but tend to be at the lower end." title="Chart 2C-8 Replacement rates for households aged 65-74 in 2017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70220" cy="2522220"/>
                    </a:xfrm>
                    <a:prstGeom prst="rect">
                      <a:avLst/>
                    </a:prstGeom>
                    <a:noFill/>
                  </pic:spPr>
                </pic:pic>
              </a:graphicData>
            </a:graphic>
          </wp:inline>
        </w:drawing>
      </w:r>
    </w:p>
    <w:p w14:paraId="2C8FB0F2" w14:textId="77777777" w:rsidR="0092760B" w:rsidRPr="00027624" w:rsidRDefault="0092760B" w:rsidP="002A2FAE">
      <w:pPr>
        <w:pStyle w:val="ChartorTableNote"/>
      </w:pPr>
      <w:r w:rsidRPr="00027624">
        <w:t>Note: Uses a cohort methodology where households aged 55</w:t>
      </w:r>
      <w:r w:rsidR="00A8443E" w:rsidRPr="00027624">
        <w:noBreakHyphen/>
      </w:r>
      <w:r w:rsidRPr="00027624">
        <w:t>64 surveyed in 2007</w:t>
      </w:r>
      <w:r w:rsidR="00A8443E" w:rsidRPr="00027624">
        <w:noBreakHyphen/>
      </w:r>
      <w:r w:rsidRPr="00027624">
        <w:t>08 are compared with households aged 65</w:t>
      </w:r>
      <w:r w:rsidR="00A8443E" w:rsidRPr="00027624">
        <w:noBreakHyphen/>
      </w:r>
      <w:r w:rsidRPr="00027624">
        <w:t>74 surveyed in 2017</w:t>
      </w:r>
      <w:r w:rsidR="00A8443E" w:rsidRPr="00027624">
        <w:noBreakHyphen/>
      </w:r>
      <w:r w:rsidRPr="00027624">
        <w:t>18. This will not be the same household but is broadly indicative given the household belongs to the same age cohort. This approach may include some people who are retired but aged 55</w:t>
      </w:r>
      <w:r w:rsidR="00A8443E" w:rsidRPr="00027624">
        <w:noBreakHyphen/>
      </w:r>
      <w:r w:rsidRPr="00027624">
        <w:t>64 and not retired aged 65</w:t>
      </w:r>
      <w:r w:rsidR="00A8443E" w:rsidRPr="00027624">
        <w:noBreakHyphen/>
      </w:r>
      <w:r w:rsidRPr="00027624">
        <w:t>74. Incomes from 2007</w:t>
      </w:r>
      <w:r w:rsidR="00A8443E" w:rsidRPr="00027624">
        <w:noBreakHyphen/>
      </w:r>
      <w:r w:rsidRPr="00027624">
        <w:t>08 have been inflated using wages, consistent with the review</w:t>
      </w:r>
      <w:r w:rsidR="00A8443E" w:rsidRPr="00027624">
        <w:t>’</w:t>
      </w:r>
      <w:r w:rsidRPr="00027624">
        <w:t>s mixed deflator methodology. The income measure is equivalised disposable household income, which includes actual drawdowns from superannuation. Source: Analysis of ABS Survey of Income and Housing Confidentialised Unit Record File, 2007</w:t>
      </w:r>
      <w:r w:rsidR="00A8443E" w:rsidRPr="00027624">
        <w:noBreakHyphen/>
      </w:r>
      <w:r w:rsidRPr="00027624">
        <w:t>08 and 2017</w:t>
      </w:r>
      <w:r w:rsidR="00A8443E" w:rsidRPr="00027624">
        <w:noBreakHyphen/>
      </w:r>
      <w:r w:rsidRPr="00027624">
        <w:t>18.</w:t>
      </w:r>
    </w:p>
    <w:p w14:paraId="1F840510" w14:textId="77777777" w:rsidR="0092760B" w:rsidRPr="00027624" w:rsidRDefault="0092760B" w:rsidP="002A2FAE">
      <w:r w:rsidRPr="00027624">
        <w:rPr>
          <w:rStyle w:val="normaltextrun"/>
          <w:rFonts w:cs="Calibri"/>
          <w:color w:val="000000"/>
          <w:szCs w:val="22"/>
          <w:shd w:val="clear" w:color="auto" w:fill="FFFFFF"/>
        </w:rPr>
        <w:t>An alternative approach to calculating replacement rates of recent retirees using HILDA data shows broadly comparable results (</w:t>
      </w:r>
      <w:r w:rsidRPr="00027624">
        <w:t xml:space="preserve">see </w:t>
      </w:r>
      <w:r w:rsidRPr="00027624">
        <w:rPr>
          <w:i/>
        </w:rPr>
        <w:t>Appendix 6A. Detailed modelling methods and assumptions</w:t>
      </w:r>
      <w:r w:rsidRPr="00027624">
        <w:t>).</w:t>
      </w:r>
    </w:p>
    <w:p w14:paraId="26C305CA" w14:textId="77777777" w:rsidR="0092760B" w:rsidRPr="00027624" w:rsidRDefault="0092760B">
      <w:r w:rsidRPr="00027624">
        <w:t>While the longitudinal approach better reflects the experience of people who retire, it also has data limitations. The number of years available and sample size of the HILDA Survey means that calculations are based on a small number of years before and after retirement. Longer periods would have been more accurate as they are less affected by events like transitioning to retirement or uneven drawdown of superannuation. Longitudinal surveys are also affected by people dropping out of the survey, and this could also bias results.</w:t>
      </w:r>
    </w:p>
    <w:p w14:paraId="22C1DB18" w14:textId="77777777" w:rsidR="0092760B" w:rsidRPr="00027624" w:rsidRDefault="0092760B" w:rsidP="002A2FAE">
      <w:pPr>
        <w:pStyle w:val="Heading3"/>
      </w:pPr>
      <w:r w:rsidRPr="00027624">
        <w:t>Qualitative surveys on retirement outcomes</w:t>
      </w:r>
    </w:p>
    <w:p w14:paraId="01FEF0DA" w14:textId="77777777" w:rsidR="0092760B" w:rsidRPr="00027624" w:rsidRDefault="0092760B" w:rsidP="002A2FAE">
      <w:r w:rsidRPr="00027624">
        <w:t>Wellbeing surveys can also help to assess whether retirees maintain their standard of living in retirement, tracking self</w:t>
      </w:r>
      <w:r w:rsidR="00A8443E" w:rsidRPr="00027624">
        <w:noBreakHyphen/>
      </w:r>
      <w:r w:rsidRPr="00027624">
        <w:t>assessed levels of general and financial satisfaction. Such surveys provide explicit feedback on how wellbeing changes due to retirement. However, responses are subjective and can be sensitive to how questions are asked. These surveys were conducted prior to the COVID</w:t>
      </w:r>
      <w:r w:rsidR="00A8443E" w:rsidRPr="00027624">
        <w:noBreakHyphen/>
      </w:r>
      <w:r w:rsidRPr="00027624">
        <w:t>19 Pandemic and, just as the uncertainty associated from the Pandemic is impacting on all aspects of society, it will also be influencing current retirees</w:t>
      </w:r>
      <w:r w:rsidR="00A8443E" w:rsidRPr="00027624">
        <w:t>’</w:t>
      </w:r>
      <w:r w:rsidRPr="00027624">
        <w:t xml:space="preserve"> perceptions around the adequacy of their retirement incomes.</w:t>
      </w:r>
    </w:p>
    <w:p w14:paraId="2C6A9976" w14:textId="77777777" w:rsidR="0092760B" w:rsidRPr="00027624" w:rsidRDefault="0092760B" w:rsidP="002A2FAE">
      <w:r w:rsidRPr="00027624">
        <w:lastRenderedPageBreak/>
        <w:t>Surveys undertaken prior to the COVID</w:t>
      </w:r>
      <w:r w:rsidR="00A8443E" w:rsidRPr="00027624">
        <w:noBreakHyphen/>
      </w:r>
      <w:r w:rsidRPr="00027624">
        <w:t>19 Pandemic suggest that most people maintain or improve their wellbeing in retirement:</w:t>
      </w:r>
    </w:p>
    <w:p w14:paraId="108E1B8A" w14:textId="77777777" w:rsidR="0092760B" w:rsidRPr="00027624" w:rsidRDefault="0092760B" w:rsidP="00975545">
      <w:pPr>
        <w:numPr>
          <w:ilvl w:val="0"/>
          <w:numId w:val="23"/>
        </w:numPr>
      </w:pPr>
      <w:r w:rsidRPr="00027624">
        <w:rPr>
          <w:b/>
          <w:bCs/>
        </w:rPr>
        <w:t>General wellbeing.</w:t>
      </w:r>
      <w:r w:rsidRPr="00027624">
        <w:t xml:space="preserve"> Most retirees feel happier in retirement, more satisfied with their lives and do better than working</w:t>
      </w:r>
      <w:r w:rsidR="00A8443E" w:rsidRPr="00027624">
        <w:noBreakHyphen/>
      </w:r>
      <w:r w:rsidRPr="00027624">
        <w:t>age people in wellbeing indices.</w:t>
      </w:r>
    </w:p>
    <w:p w14:paraId="36C3352E" w14:textId="77777777" w:rsidR="0092760B" w:rsidRPr="00027624" w:rsidRDefault="0092760B" w:rsidP="00975545">
      <w:pPr>
        <w:numPr>
          <w:ilvl w:val="0"/>
          <w:numId w:val="23"/>
        </w:numPr>
      </w:pPr>
      <w:r w:rsidRPr="00027624">
        <w:rPr>
          <w:b/>
          <w:bCs/>
        </w:rPr>
        <w:t>Financial wellbeing.</w:t>
      </w:r>
      <w:r w:rsidRPr="00027624">
        <w:t xml:space="preserve"> On average, retirees assess themselves as at least as well</w:t>
      </w:r>
      <w:r w:rsidR="00A8443E" w:rsidRPr="00027624">
        <w:noBreakHyphen/>
      </w:r>
      <w:r w:rsidRPr="00027624">
        <w:t>off financially as they were during working life. Multiple financial wellbeing indices suggest retirees are the most financially secure age group. Surveys tend to show most retirees either maintain or improve their financial security in retirement. That said, some groups suffer a loss of financial wellbeing, particularly if they retire early for reasons outside their control.</w:t>
      </w:r>
    </w:p>
    <w:p w14:paraId="79DBFA74" w14:textId="77777777" w:rsidR="0092760B" w:rsidRPr="00027624" w:rsidRDefault="0092760B" w:rsidP="00FC7361">
      <w:pPr>
        <w:pStyle w:val="Heading4"/>
      </w:pPr>
      <w:r w:rsidRPr="00027624">
        <w:t>General wellbeing</w:t>
      </w:r>
    </w:p>
    <w:p w14:paraId="07241EB1" w14:textId="4D5B4D4F" w:rsidR="0092760B" w:rsidRPr="00027624" w:rsidRDefault="0092760B" w:rsidP="002A2FAE">
      <w:r w:rsidRPr="00027624">
        <w:rPr>
          <w:b/>
          <w:bCs/>
        </w:rPr>
        <w:t>HILDA data</w:t>
      </w:r>
      <w:r w:rsidRPr="00027624">
        <w:t xml:space="preserve"> </w:t>
      </w:r>
      <w:r w:rsidRPr="00027624">
        <w:rPr>
          <w:b/>
        </w:rPr>
        <w:t>shows that people mostly feel happier when they retire:</w:t>
      </w:r>
      <w:r w:rsidRPr="00027624">
        <w:t xml:space="preserve"> 62 per cent of surveyed retirees reported their level of happiness was </w:t>
      </w:r>
      <w:r w:rsidR="00A8443E" w:rsidRPr="00027624">
        <w:t>‘</w:t>
      </w:r>
      <w:r w:rsidRPr="00027624">
        <w:t>better</w:t>
      </w:r>
      <w:r w:rsidR="00A8443E" w:rsidRPr="00027624">
        <w:t>’</w:t>
      </w:r>
      <w:r w:rsidRPr="00027624">
        <w:t xml:space="preserve"> or </w:t>
      </w:r>
      <w:r w:rsidR="00A8443E" w:rsidRPr="00027624">
        <w:t>‘</w:t>
      </w:r>
      <w:r w:rsidRPr="00027624">
        <w:t>much better</w:t>
      </w:r>
      <w:r w:rsidR="00A8443E" w:rsidRPr="00027624">
        <w:t>’</w:t>
      </w:r>
      <w:r w:rsidRPr="00027624">
        <w:t xml:space="preserve"> in retirement, while only 5 per cent said they felt </w:t>
      </w:r>
      <w:r w:rsidR="00A8443E" w:rsidRPr="00027624">
        <w:t>‘</w:t>
      </w:r>
      <w:r w:rsidRPr="00027624">
        <w:t>worse</w:t>
      </w:r>
      <w:r w:rsidR="00A8443E" w:rsidRPr="00027624">
        <w:t>’</w:t>
      </w:r>
      <w:r w:rsidRPr="00027624">
        <w:t xml:space="preserve"> or </w:t>
      </w:r>
      <w:r w:rsidR="00A8443E" w:rsidRPr="00027624">
        <w:t>‘</w:t>
      </w:r>
      <w:r w:rsidRPr="00027624">
        <w:t>much worse</w:t>
      </w:r>
      <w:r w:rsidR="00A8443E" w:rsidRPr="00027624">
        <w:t>’</w:t>
      </w:r>
      <w:r w:rsidRPr="00027624">
        <w:t xml:space="preserve"> (</w:t>
      </w:r>
      <w:r w:rsidRPr="00027624">
        <w:fldChar w:fldCharType="begin"/>
      </w:r>
      <w:r w:rsidRPr="00027624">
        <w:instrText xml:space="preserve"> REF _Ref41053472 \r \h  \* MERGEFORMAT </w:instrText>
      </w:r>
      <w:r w:rsidRPr="00027624">
        <w:fldChar w:fldCharType="separate"/>
      </w:r>
      <w:r w:rsidR="00891058">
        <w:t>Chart 2C-9</w:t>
      </w:r>
      <w:r w:rsidRPr="00027624">
        <w:fldChar w:fldCharType="end"/>
      </w:r>
      <w:r w:rsidRPr="00027624">
        <w:t>).</w:t>
      </w:r>
    </w:p>
    <w:p w14:paraId="0FBA2B2B" w14:textId="77777777" w:rsidR="0092760B" w:rsidRPr="00027624" w:rsidRDefault="0092760B" w:rsidP="00FC7361">
      <w:pPr>
        <w:pStyle w:val="ChartMainHeading"/>
        <w:numPr>
          <w:ilvl w:val="2"/>
          <w:numId w:val="66"/>
        </w:numPr>
      </w:pPr>
      <w:bookmarkStart w:id="543" w:name="_Ref39494778"/>
      <w:bookmarkStart w:id="544" w:name="_Ref41053472"/>
      <w:r w:rsidRPr="00027624">
        <w:t>Happiness in retirement compared to when working</w:t>
      </w:r>
      <w:bookmarkEnd w:id="543"/>
      <w:bookmarkEnd w:id="544"/>
    </w:p>
    <w:p w14:paraId="7416D34E" w14:textId="77777777" w:rsidR="0092760B" w:rsidRPr="00027624" w:rsidRDefault="00E53B56" w:rsidP="002A2FAE">
      <w:pPr>
        <w:pStyle w:val="ChartGraphic"/>
      </w:pPr>
      <w:r>
        <w:rPr>
          <w:noProof/>
        </w:rPr>
        <w:drawing>
          <wp:inline distT="0" distB="0" distL="0" distR="0" wp14:anchorId="7C801F5E" wp14:editId="5A404DBC">
            <wp:extent cx="5577840" cy="2522220"/>
            <wp:effectExtent l="0" t="0" r="3810" b="0"/>
            <wp:docPr id="761061970" name="Picture 761061970" descr="This chart shows that the majority of retirees are happier in retirement. It also shows that about a third say they have the same level of happiness, and few retirees reported happiness being worse." title="Chart 2C-9 Happiness in retirement compared to when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AB54A81" w14:textId="77777777" w:rsidR="0092760B" w:rsidRPr="00027624" w:rsidRDefault="0092760B" w:rsidP="002A2FAE">
      <w:pPr>
        <w:pStyle w:val="ChartorTableNote"/>
      </w:pPr>
      <w:r w:rsidRPr="00027624">
        <w:t xml:space="preserve">Note: Proportion of responses to </w:t>
      </w:r>
      <w:r w:rsidR="00A8443E" w:rsidRPr="00027624">
        <w:t>‘</w:t>
      </w:r>
      <w:r w:rsidRPr="00027624">
        <w:t>Better or worse since you retired</w:t>
      </w:r>
      <w:r w:rsidR="00A8443E" w:rsidRPr="00027624">
        <w:t xml:space="preserve"> — </w:t>
      </w:r>
      <w:r w:rsidRPr="00027624">
        <w:t>your overall happiness?</w:t>
      </w:r>
      <w:r w:rsidR="00A8443E" w:rsidRPr="00027624">
        <w:t>’</w:t>
      </w:r>
      <w:r w:rsidRPr="00027624">
        <w:t xml:space="preserve"> last asked in 2015. Source: Analysis of HILDA Survey data (Wave 15).</w:t>
      </w:r>
    </w:p>
    <w:p w14:paraId="07F7F163" w14:textId="77777777" w:rsidR="0092760B" w:rsidRPr="00027624" w:rsidRDefault="0092760B" w:rsidP="002A2FAE">
      <w:r w:rsidRPr="00027624">
        <w:t>Health and disability issues, which tend to worsen with age, may be a significant driver for those who experience worse wellbeing outcomes in retirement. For example, about half of Australians over 65 have a disability</w:t>
      </w:r>
      <w:sdt>
        <w:sdtPr>
          <w:id w:val="1020966756"/>
          <w:citation/>
        </w:sdtPr>
        <w:sdtEndPr/>
        <w:sdtContent>
          <w:r w:rsidRPr="00027624">
            <w:fldChar w:fldCharType="begin"/>
          </w:r>
          <w:r w:rsidRPr="00027624">
            <w:instrText xml:space="preserve"> CITATION ABS9j \l 3081 </w:instrText>
          </w:r>
          <w:r w:rsidRPr="00027624">
            <w:fldChar w:fldCharType="separate"/>
          </w:r>
          <w:r w:rsidR="00E83F6E">
            <w:rPr>
              <w:noProof/>
            </w:rPr>
            <w:t xml:space="preserve"> (ABS, 2019g)</w:t>
          </w:r>
          <w:r w:rsidRPr="00027624">
            <w:fldChar w:fldCharType="end"/>
          </w:r>
        </w:sdtContent>
      </w:sdt>
      <w:r w:rsidRPr="00027624">
        <w:t xml:space="preserve">. The </w:t>
      </w:r>
      <w:r w:rsidRPr="00027624">
        <w:rPr>
          <w:bCs/>
        </w:rPr>
        <w:t>Australian Unity wellbeing index also shows better life satisfaction and higher personal wellbeing for retirees in all categories except health</w:t>
      </w:r>
      <w:sdt>
        <w:sdtPr>
          <w:id w:val="2031916095"/>
          <w:citation/>
        </w:sdtPr>
        <w:sdtEndPr/>
        <w:sdtContent>
          <w:r w:rsidRPr="00027624">
            <w:fldChar w:fldCharType="begin"/>
          </w:r>
          <w:r w:rsidRPr="00027624">
            <w:instrText xml:space="preserve"> CITATION Kho19 \l 3081 </w:instrText>
          </w:r>
          <w:r w:rsidRPr="00027624">
            <w:fldChar w:fldCharType="separate"/>
          </w:r>
          <w:r w:rsidR="00E83F6E">
            <w:rPr>
              <w:noProof/>
            </w:rPr>
            <w:t xml:space="preserve"> (Khor, et al., 2019)</w:t>
          </w:r>
          <w:r w:rsidRPr="00027624">
            <w:fldChar w:fldCharType="end"/>
          </w:r>
        </w:sdtContent>
      </w:sdt>
      <w:r w:rsidRPr="00027624">
        <w:t>.</w:t>
      </w:r>
    </w:p>
    <w:p w14:paraId="4DF4111F" w14:textId="77777777" w:rsidR="0092760B" w:rsidRPr="00027624" w:rsidRDefault="0092760B" w:rsidP="002A2FAE">
      <w:pPr>
        <w:pStyle w:val="Heading4"/>
        <w:rPr>
          <w:bCs/>
        </w:rPr>
      </w:pPr>
      <w:r w:rsidRPr="00027624">
        <w:t>Financial wellbeing</w:t>
      </w:r>
    </w:p>
    <w:p w14:paraId="2741A7E8" w14:textId="35ECD75B" w:rsidR="0092760B" w:rsidRPr="00027624" w:rsidRDefault="0092760B" w:rsidP="002A2FAE">
      <w:r w:rsidRPr="00027624">
        <w:rPr>
          <w:b/>
        </w:rPr>
        <w:t>Australians who recently retired are generally financially satisfied</w:t>
      </w:r>
      <w:r w:rsidRPr="00027624">
        <w:t>: 88 per cent were satisfied with, or neutral about, their financial circumstances (</w:t>
      </w:r>
      <w:r w:rsidRPr="00027624">
        <w:fldChar w:fldCharType="begin"/>
      </w:r>
      <w:r w:rsidRPr="00027624">
        <w:instrText xml:space="preserve"> REF _Ref41053535 \r \h  \* MERGEFORMAT </w:instrText>
      </w:r>
      <w:r w:rsidRPr="00027624">
        <w:fldChar w:fldCharType="separate"/>
      </w:r>
      <w:r w:rsidR="00891058">
        <w:t>Chart 2C-10</w:t>
      </w:r>
      <w:r w:rsidRPr="00027624">
        <w:fldChar w:fldCharType="end"/>
      </w:r>
      <w:r w:rsidRPr="00027624">
        <w:t>). A major drive of dissatisfaction appears to be due to renting in retirement (</w:t>
      </w:r>
      <w:r w:rsidRPr="00027624">
        <w:rPr>
          <w:i/>
        </w:rPr>
        <w:t>see 2A: Achieving a minimum standard of living in retirement)</w:t>
      </w:r>
      <w:r w:rsidRPr="00027624">
        <w:t xml:space="preserve">. </w:t>
      </w:r>
    </w:p>
    <w:p w14:paraId="1CD33A5D" w14:textId="77777777" w:rsidR="0092760B" w:rsidRPr="00027624" w:rsidRDefault="0092760B" w:rsidP="002A2FAE">
      <w:pPr>
        <w:autoSpaceDE w:val="0"/>
        <w:autoSpaceDN w:val="0"/>
        <w:adjustRightInd w:val="0"/>
        <w:spacing w:before="0" w:after="0"/>
      </w:pPr>
      <w:r w:rsidRPr="00027624">
        <w:t xml:space="preserve">In general, rates of financial satisfaction tend to improve as Australians age. Satisfaction is lowest for households in their 40s and then consistently increases with age from 50 onwards </w:t>
      </w:r>
      <w:sdt>
        <w:sdtPr>
          <w:id w:val="1573770631"/>
          <w:citation/>
        </w:sdtPr>
        <w:sdtEndPr/>
        <w:sdtContent>
          <w:r w:rsidRPr="00027624">
            <w:fldChar w:fldCharType="begin"/>
          </w:r>
          <w:r w:rsidRPr="00027624">
            <w:instrText xml:space="preserve">CITATION AusE162 \p 19 \l 3081 </w:instrText>
          </w:r>
          <w:r w:rsidRPr="00027624">
            <w:fldChar w:fldCharType="separate"/>
          </w:r>
          <w:r w:rsidR="00E83F6E">
            <w:rPr>
              <w:noProof/>
            </w:rPr>
            <w:t>(Australian Centre for Financial Studies, 2016, p. 19)</w:t>
          </w:r>
          <w:r w:rsidRPr="00027624">
            <w:fldChar w:fldCharType="end"/>
          </w:r>
        </w:sdtContent>
      </w:sdt>
      <w:r w:rsidRPr="00027624">
        <w:t>.</w:t>
      </w:r>
    </w:p>
    <w:p w14:paraId="6E72B569" w14:textId="77777777" w:rsidR="0092760B" w:rsidRPr="00027624" w:rsidRDefault="0092760B" w:rsidP="00FC7361">
      <w:pPr>
        <w:pStyle w:val="ChartMainHeading"/>
      </w:pPr>
      <w:bookmarkStart w:id="545" w:name="_Ref41053535"/>
      <w:r w:rsidRPr="00027624">
        <w:lastRenderedPageBreak/>
        <w:t>Financial satisfaction among recent retirees</w:t>
      </w:r>
      <w:bookmarkEnd w:id="545"/>
    </w:p>
    <w:p w14:paraId="41A65CC1" w14:textId="77777777" w:rsidR="0092760B" w:rsidRPr="00027624" w:rsidRDefault="00E53B56" w:rsidP="002A2FAE">
      <w:pPr>
        <w:pStyle w:val="ChartGraphic"/>
      </w:pPr>
      <w:r>
        <w:rPr>
          <w:noProof/>
        </w:rPr>
        <w:drawing>
          <wp:inline distT="0" distB="0" distL="0" distR="0" wp14:anchorId="6FF31769" wp14:editId="5BD6097C">
            <wp:extent cx="5585460" cy="2522220"/>
            <wp:effectExtent l="0" t="0" r="0" b="0"/>
            <wp:docPr id="761061971" name="Picture 761061971" descr="This charts shows just under 80 per cent of retirees are financially satisfied, while about 10 per cent are dissatisfied and 10 per cent are neutral." title="Chart 2C-10 Financial satisfaction among recent reti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26412943" w14:textId="77777777" w:rsidR="0092760B" w:rsidRPr="00027624" w:rsidRDefault="0092760B" w:rsidP="002A2FAE">
      <w:pPr>
        <w:pStyle w:val="ChartorTableNote"/>
      </w:pPr>
      <w:r w:rsidRPr="00027624">
        <w:t xml:space="preserve">Note: Recent retirees refers to people who retired in the five years up to 2018. </w:t>
      </w:r>
      <w:r w:rsidR="00A8443E" w:rsidRPr="00027624">
        <w:t>‘</w:t>
      </w:r>
      <w:r w:rsidRPr="00027624">
        <w:t>Satisfied</w:t>
      </w:r>
      <w:r w:rsidR="00A8443E" w:rsidRPr="00027624">
        <w:t>’</w:t>
      </w:r>
      <w:r w:rsidRPr="00027624">
        <w:t xml:space="preserve"> refers to retirees who reported a financial satisfaction score of 6 or greater in 2018, </w:t>
      </w:r>
      <w:r w:rsidR="00A8443E" w:rsidRPr="00027624">
        <w:t>‘</w:t>
      </w:r>
      <w:r w:rsidRPr="00027624">
        <w:t>Neutral</w:t>
      </w:r>
      <w:r w:rsidR="00A8443E" w:rsidRPr="00027624">
        <w:t>’</w:t>
      </w:r>
      <w:r w:rsidRPr="00027624">
        <w:t xml:space="preserve"> is a score of 5 and </w:t>
      </w:r>
      <w:r w:rsidR="00A8443E" w:rsidRPr="00027624">
        <w:t>‘</w:t>
      </w:r>
      <w:r w:rsidRPr="00027624">
        <w:t>Dissatisfied</w:t>
      </w:r>
      <w:r w:rsidR="00A8443E" w:rsidRPr="00027624">
        <w:t>’</w:t>
      </w:r>
      <w:r w:rsidRPr="00027624">
        <w:t xml:space="preserve"> is 4 or less. Source: Analysis of HILDA Survey data (Wave 18).</w:t>
      </w:r>
    </w:p>
    <w:p w14:paraId="2CD8BE51" w14:textId="77777777" w:rsidR="003320C7" w:rsidRPr="00027624" w:rsidRDefault="0092760B" w:rsidP="002A2FAE">
      <w:r w:rsidRPr="00027624">
        <w:t>Multiple surveys suggest retirees tend to be more financially comfortable compared with working</w:t>
      </w:r>
      <w:r w:rsidR="00A8443E" w:rsidRPr="00027624">
        <w:noBreakHyphen/>
      </w:r>
      <w:r w:rsidRPr="00027624">
        <w:t xml:space="preserve">age people. </w:t>
      </w:r>
      <w:r w:rsidR="003320C7" w:rsidRPr="00027624">
        <w:t>More retirees say they have enough money to do the things they want compared with non</w:t>
      </w:r>
      <w:r w:rsidR="003320C7" w:rsidRPr="00027624">
        <w:noBreakHyphen/>
        <w:t xml:space="preserve">retired people </w:t>
      </w:r>
      <w:sdt>
        <w:sdtPr>
          <w:id w:val="-655289894"/>
          <w:citation/>
        </w:sdtPr>
        <w:sdtEndPr/>
        <w:sdtContent>
          <w:r w:rsidR="003320C7" w:rsidRPr="00027624">
            <w:fldChar w:fldCharType="begin"/>
          </w:r>
          <w:r w:rsidR="003320C7" w:rsidRPr="00027624">
            <w:instrText xml:space="preserve">CITATION Cor20D \l 3081 </w:instrText>
          </w:r>
          <w:r w:rsidR="003320C7" w:rsidRPr="00027624">
            <w:fldChar w:fldCharType="separate"/>
          </w:r>
          <w:r w:rsidR="00E83F6E">
            <w:rPr>
              <w:noProof/>
            </w:rPr>
            <w:t>(Core Data, 2020)</w:t>
          </w:r>
          <w:r w:rsidR="003320C7" w:rsidRPr="00027624">
            <w:fldChar w:fldCharType="end"/>
          </w:r>
        </w:sdtContent>
      </w:sdt>
      <w:r w:rsidR="003320C7" w:rsidRPr="00027624">
        <w:t>. Survey data from Core Data indicates about half of Australian retirees have enough money to do the things they want to do most or all of the time compared with a third of non</w:t>
      </w:r>
      <w:r w:rsidR="003320C7" w:rsidRPr="00027624">
        <w:noBreakHyphen/>
        <w:t>retired Australians aged 45 and above. A substantial proportion of retirees, about 30 per cent, rarely or never have enough money to do the things they want. This is about 8 per cent lower than the same figure for non</w:t>
      </w:r>
      <w:r w:rsidR="003320C7" w:rsidRPr="00027624">
        <w:noBreakHyphen/>
        <w:t>retirees.</w:t>
      </w:r>
    </w:p>
    <w:p w14:paraId="1209EE23" w14:textId="77777777" w:rsidR="0092760B" w:rsidRPr="00027624" w:rsidRDefault="0092760B" w:rsidP="002A2FAE">
      <w:r w:rsidRPr="00027624">
        <w:t>In a 2019 survey of almost 700 retirees, 67 per cent said they were either comfortable or were able to afford basic expenses, with a little left over for extras. For Australians aged over 40 but yet to retire, 52 per cent beli</w:t>
      </w:r>
      <w:r w:rsidR="003320C7" w:rsidRPr="00027624">
        <w:t>eve they would be able to do so</w:t>
      </w:r>
      <w:r w:rsidRPr="00027624">
        <w:t>.</w:t>
      </w:r>
      <w:r w:rsidRPr="00027624">
        <w:rPr>
          <w:rStyle w:val="FootnoteReference"/>
        </w:rPr>
        <w:footnoteReference w:id="105"/>
      </w:r>
    </w:p>
    <w:p w14:paraId="22017DD9" w14:textId="77777777" w:rsidR="0092760B" w:rsidRPr="00027624" w:rsidRDefault="0092760B" w:rsidP="002A2FAE">
      <w:r w:rsidRPr="00027624">
        <w:t xml:space="preserve">Survey data from Susan Bell Research </w:t>
      </w:r>
      <w:sdt>
        <w:sdtPr>
          <w:id w:val="-1171557416"/>
          <w:citation/>
        </w:sdtPr>
        <w:sdtEndPr/>
        <w:sdtContent>
          <w:r w:rsidRPr="00027624">
            <w:fldChar w:fldCharType="begin"/>
          </w:r>
          <w:r w:rsidRPr="00027624">
            <w:instrText xml:space="preserve">CITATION Sus20 \n  \t  \l 3081 </w:instrText>
          </w:r>
          <w:r w:rsidRPr="00027624">
            <w:fldChar w:fldCharType="separate"/>
          </w:r>
          <w:r w:rsidR="00E83F6E">
            <w:rPr>
              <w:noProof/>
            </w:rPr>
            <w:t>(2020)</w:t>
          </w:r>
          <w:r w:rsidRPr="00027624">
            <w:fldChar w:fldCharType="end"/>
          </w:r>
        </w:sdtContent>
      </w:sdt>
      <w:r w:rsidRPr="00027624">
        <w:t xml:space="preserve"> found similar results regarding financial comfort: 62 per cent of retirees had spare cash or were comfortable; 38 per cent described their circumstances as not making ends meet or on a very tight budget.</w:t>
      </w:r>
    </w:p>
    <w:p w14:paraId="2E45AC19" w14:textId="77777777" w:rsidR="0092760B" w:rsidRPr="00027624" w:rsidRDefault="0092760B" w:rsidP="002A2FAE">
      <w:r w:rsidRPr="00027624">
        <w:t xml:space="preserve">A qualitative 2019 study conducted by Challenger on behalf of National Seniors Australia found that most people considered themselves financially comfortable in retirement </w:t>
      </w:r>
      <w:sdt>
        <w:sdtPr>
          <w:id w:val="-517472605"/>
          <w:citation/>
        </w:sdtPr>
        <w:sdtEndPr/>
        <w:sdtContent>
          <w:r w:rsidRPr="00027624">
            <w:fldChar w:fldCharType="begin"/>
          </w:r>
          <w:r w:rsidRPr="00027624">
            <w:instrText xml:space="preserve"> CITATION Nat19 \l 3081 </w:instrText>
          </w:r>
          <w:r w:rsidRPr="00027624">
            <w:fldChar w:fldCharType="separate"/>
          </w:r>
          <w:r w:rsidR="00E83F6E">
            <w:rPr>
              <w:noProof/>
            </w:rPr>
            <w:t>(McCallum, et al., 2019)</w:t>
          </w:r>
          <w:r w:rsidRPr="00027624">
            <w:fldChar w:fldCharType="end"/>
          </w:r>
        </w:sdtContent>
      </w:sdt>
      <w:r w:rsidRPr="00027624">
        <w:t>.</w:t>
      </w:r>
    </w:p>
    <w:p w14:paraId="41E812C0" w14:textId="77777777" w:rsidR="0092760B" w:rsidRPr="00027624" w:rsidRDefault="0092760B" w:rsidP="002A2FAE">
      <w:r w:rsidRPr="00027624">
        <w:t>Financial wellbeing indices also point to improved levels of wellbeing as people age.</w:t>
      </w:r>
    </w:p>
    <w:p w14:paraId="7F241727" w14:textId="77777777" w:rsidR="0092760B" w:rsidRPr="00027624" w:rsidRDefault="0092760B" w:rsidP="0092760B">
      <w:pPr>
        <w:pStyle w:val="Bullet"/>
      </w:pPr>
      <w:r w:rsidRPr="00027624">
        <w:t>ANZ</w:t>
      </w:r>
      <w:r w:rsidR="00A8443E" w:rsidRPr="00027624">
        <w:t>’</w:t>
      </w:r>
      <w:r w:rsidRPr="00027624">
        <w:t>s financial wellbeing index suggests that Australians of retirement age are better off financially than young and middle</w:t>
      </w:r>
      <w:r w:rsidR="00A8443E" w:rsidRPr="00027624">
        <w:noBreakHyphen/>
      </w:r>
      <w:r w:rsidRPr="00027624">
        <w:t>aged people in all the categories they measure</w:t>
      </w:r>
      <w:sdt>
        <w:sdtPr>
          <w:id w:val="1414739827"/>
          <w:citation/>
        </w:sdtPr>
        <w:sdtEndPr/>
        <w:sdtContent>
          <w:r w:rsidRPr="00027624">
            <w:fldChar w:fldCharType="begin"/>
          </w:r>
          <w:r w:rsidRPr="00027624">
            <w:instrText xml:space="preserve"> CITATION Rus18 \l 3081 </w:instrText>
          </w:r>
          <w:r w:rsidRPr="00027624">
            <w:fldChar w:fldCharType="separate"/>
          </w:r>
          <w:r w:rsidR="00E83F6E">
            <w:rPr>
              <w:noProof/>
            </w:rPr>
            <w:t xml:space="preserve"> (Russell, et al., 2018)</w:t>
          </w:r>
          <w:r w:rsidRPr="00027624">
            <w:fldChar w:fldCharType="end"/>
          </w:r>
        </w:sdtContent>
      </w:sdt>
      <w:r w:rsidRPr="00027624">
        <w:t>. Australians aged 65 and over had a financial wellbeing score of 71 versus 59 for people across all age categories.</w:t>
      </w:r>
    </w:p>
    <w:p w14:paraId="26993758" w14:textId="77777777" w:rsidR="0092760B" w:rsidRPr="00027624" w:rsidRDefault="0092760B" w:rsidP="0092760B">
      <w:pPr>
        <w:pStyle w:val="Bullet"/>
      </w:pPr>
      <w:r w:rsidRPr="00027624">
        <w:t>A recent survey by ME Bank found that retirees are the most well</w:t>
      </w:r>
      <w:r w:rsidR="00A8443E" w:rsidRPr="00027624">
        <w:noBreakHyphen/>
      </w:r>
      <w:r w:rsidRPr="00027624">
        <w:t>off cohort in terms of financial wellbeing</w:t>
      </w:r>
      <w:sdt>
        <w:sdtPr>
          <w:id w:val="-1400974923"/>
          <w:citation/>
        </w:sdtPr>
        <w:sdtEndPr/>
        <w:sdtContent>
          <w:r w:rsidRPr="00027624">
            <w:fldChar w:fldCharType="begin"/>
          </w:r>
          <w:r w:rsidRPr="00027624">
            <w:instrText xml:space="preserve"> CITATION MEB20 \l 3081 </w:instrText>
          </w:r>
          <w:r w:rsidRPr="00027624">
            <w:fldChar w:fldCharType="separate"/>
          </w:r>
          <w:r w:rsidR="00E83F6E">
            <w:rPr>
              <w:noProof/>
            </w:rPr>
            <w:t xml:space="preserve"> (ME Bank, 2020)</w:t>
          </w:r>
          <w:r w:rsidRPr="00027624">
            <w:fldChar w:fldCharType="end"/>
          </w:r>
        </w:sdtContent>
      </w:sdt>
      <w:r w:rsidRPr="00027624">
        <w:t>. This result has been consistent over the past seven years.</w:t>
      </w:r>
    </w:p>
    <w:p w14:paraId="5EECEE54" w14:textId="7BD7F061" w:rsidR="0092760B" w:rsidRPr="00027624" w:rsidRDefault="0092760B" w:rsidP="002A2FAE">
      <w:r w:rsidRPr="00027624">
        <w:t>Most retirees maintain their level of financial comfort when they enter retirement, with 51 per cent reporting a level of financial comfort equal to before they retired (</w:t>
      </w:r>
      <w:r w:rsidRPr="00027624">
        <w:fldChar w:fldCharType="begin"/>
      </w:r>
      <w:r w:rsidRPr="00027624">
        <w:instrText xml:space="preserve"> REF _Ref39161276 \r \h  \* MERGEFORMAT </w:instrText>
      </w:r>
      <w:r w:rsidRPr="00027624">
        <w:fldChar w:fldCharType="separate"/>
      </w:r>
      <w:r w:rsidR="00891058">
        <w:t>Chart 2C-11</w:t>
      </w:r>
      <w:r w:rsidRPr="00027624">
        <w:fldChar w:fldCharType="end"/>
      </w:r>
      <w:r w:rsidRPr="00027624">
        <w:t xml:space="preserve">). About 26 per cent say their financial security is worse or much worse than it was before retirement. A significant portion of this is explained by involuntary retirement: 34 per cent of people who retired involuntarily said their financial security had declined (see </w:t>
      </w:r>
      <w:r w:rsidRPr="00027624">
        <w:rPr>
          <w:i/>
        </w:rPr>
        <w:t>3E. Age of Retirement</w:t>
      </w:r>
      <w:r w:rsidRPr="00027624">
        <w:t xml:space="preserve"> for further details).</w:t>
      </w:r>
    </w:p>
    <w:p w14:paraId="427FF1AB" w14:textId="77777777" w:rsidR="0092760B" w:rsidRPr="00027624" w:rsidRDefault="0092760B" w:rsidP="00FC7361">
      <w:pPr>
        <w:pStyle w:val="ChartMainHeading"/>
      </w:pPr>
      <w:bookmarkStart w:id="546" w:name="_Ref39161276"/>
      <w:r w:rsidRPr="00027624">
        <w:lastRenderedPageBreak/>
        <w:t xml:space="preserve">Perceived </w:t>
      </w:r>
      <w:r w:rsidRPr="00FC7361">
        <w:t>change</w:t>
      </w:r>
      <w:r w:rsidRPr="00027624">
        <w:t xml:space="preserve"> in financial </w:t>
      </w:r>
      <w:bookmarkEnd w:id="546"/>
      <w:r w:rsidRPr="00027624">
        <w:t>security after retiring</w:t>
      </w:r>
    </w:p>
    <w:p w14:paraId="41670F34" w14:textId="77777777" w:rsidR="0092760B" w:rsidRPr="00027624" w:rsidRDefault="00E53B56" w:rsidP="002A2FAE">
      <w:pPr>
        <w:pStyle w:val="ChartGraphic"/>
      </w:pPr>
      <w:r>
        <w:rPr>
          <w:noProof/>
        </w:rPr>
        <w:drawing>
          <wp:inline distT="0" distB="0" distL="0" distR="0" wp14:anchorId="3D36BB14" wp14:editId="77B3D0B8">
            <wp:extent cx="5577840" cy="2522220"/>
            <wp:effectExtent l="0" t="0" r="3810" b="0"/>
            <wp:docPr id="761061972" name="Picture 761061972" descr="This chart shows that most retirees say their financial security is the same after retiring. It shows around a fifth say their financial security is better after retiring and about a quarter say it is worse." title="Chart 2C-11 Perceived change in financial security after reti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9BF0ED1" w14:textId="77777777" w:rsidR="0092760B" w:rsidRPr="00027624" w:rsidRDefault="0092760B" w:rsidP="002A2FAE">
      <w:pPr>
        <w:pStyle w:val="ChartorTableNote"/>
      </w:pPr>
      <w:r w:rsidRPr="00027624">
        <w:t xml:space="preserve">Note: Proportion of responses to </w:t>
      </w:r>
      <w:r w:rsidR="00A8443E" w:rsidRPr="00027624">
        <w:t>‘</w:t>
      </w:r>
      <w:r w:rsidRPr="00027624">
        <w:t>Better or worse since you retired</w:t>
      </w:r>
      <w:r w:rsidR="00A8443E" w:rsidRPr="00027624">
        <w:t xml:space="preserve"> — </w:t>
      </w:r>
      <w:r w:rsidRPr="00027624">
        <w:t>your financial security?</w:t>
      </w:r>
      <w:r w:rsidR="00A8443E" w:rsidRPr="00027624">
        <w:t>’</w:t>
      </w:r>
      <w:r w:rsidRPr="00027624">
        <w:t xml:space="preserve"> last asked in 2015. Source: Analysis of HILDA Survey data (Wave 15).</w:t>
      </w:r>
    </w:p>
    <w:p w14:paraId="21A821FF" w14:textId="43AE701B" w:rsidR="0092760B" w:rsidRPr="00027624" w:rsidRDefault="0092760B" w:rsidP="002A2FAE">
      <w:r w:rsidRPr="00027624">
        <w:t>Financial stress rates stay broadly constant throughout working life when comparing employed Australians with retirees (</w:t>
      </w:r>
      <w:r w:rsidRPr="00027624">
        <w:fldChar w:fldCharType="begin"/>
      </w:r>
      <w:r w:rsidRPr="00027624">
        <w:instrText xml:space="preserve"> REF _Ref37944790 \r \h  \* MERGEFORMAT </w:instrText>
      </w:r>
      <w:r w:rsidRPr="00027624">
        <w:fldChar w:fldCharType="separate"/>
      </w:r>
      <w:r w:rsidR="00891058">
        <w:t>Chart 2C-12</w:t>
      </w:r>
      <w:r w:rsidRPr="00027624">
        <w:fldChar w:fldCharType="end"/>
      </w:r>
      <w:r w:rsidRPr="00027624">
        <w:t>). Comparing retirees to employed people, rather than all Australians, is a better comparison for assessing whether living standards are being maintained</w:t>
      </w:r>
      <w:r w:rsidR="00FA18E5" w:rsidRPr="00FA18E5">
        <w:t xml:space="preserve"> </w:t>
      </w:r>
      <w:sdt>
        <w:sdtPr>
          <w:id w:val="-1887403220"/>
          <w:citation/>
        </w:sdtPr>
        <w:sdtEndPr/>
        <w:sdtContent>
          <w:r w:rsidR="00FA18E5" w:rsidRPr="00027624">
            <w:fldChar w:fldCharType="begin"/>
          </w:r>
          <w:r w:rsidR="00FA18E5">
            <w:instrText xml:space="preserve">CITATION CEPAR2020 \p 8 \l 3081 </w:instrText>
          </w:r>
          <w:r w:rsidR="00FA18E5" w:rsidRPr="00027624">
            <w:fldChar w:fldCharType="separate"/>
          </w:r>
          <w:r w:rsidR="00E83F6E">
            <w:rPr>
              <w:noProof/>
            </w:rPr>
            <w:t>(CEPAR, 2020, p. 8)</w:t>
          </w:r>
          <w:r w:rsidR="00FA18E5" w:rsidRPr="00027624">
            <w:fldChar w:fldCharType="end"/>
          </w:r>
        </w:sdtContent>
      </w:sdt>
      <w:r w:rsidRPr="00027624">
        <w:t xml:space="preserve">. Unemployed Australians typically experience improved wellbeing in retirement as the Age Pension provides more support than they received in working life (See </w:t>
      </w:r>
      <w:r w:rsidRPr="00027624">
        <w:rPr>
          <w:i/>
        </w:rPr>
        <w:t>2A. Achieving a minimum standard of living in retirement</w:t>
      </w:r>
      <w:r w:rsidRPr="00027624">
        <w:t>).</w:t>
      </w:r>
    </w:p>
    <w:p w14:paraId="4A2D04B5" w14:textId="77777777" w:rsidR="0092760B" w:rsidRPr="00027624" w:rsidRDefault="0092760B" w:rsidP="00325A8D">
      <w:pPr>
        <w:pStyle w:val="ChartMainHeading"/>
      </w:pPr>
      <w:bookmarkStart w:id="547" w:name="_Ref37944790"/>
      <w:r w:rsidRPr="00027624">
        <w:t>Financial stress rate by age</w:t>
      </w:r>
      <w:bookmarkEnd w:id="547"/>
      <w:r w:rsidRPr="00027624">
        <w:t xml:space="preserve"> and employment status</w:t>
      </w:r>
    </w:p>
    <w:p w14:paraId="3C1A8220" w14:textId="77777777" w:rsidR="0092760B" w:rsidRPr="00027624" w:rsidRDefault="006445C3" w:rsidP="002A2FAE">
      <w:pPr>
        <w:pStyle w:val="ChartGraphic"/>
      </w:pPr>
      <w:r>
        <w:rPr>
          <w:noProof/>
        </w:rPr>
        <w:drawing>
          <wp:inline distT="0" distB="0" distL="0" distR="0" wp14:anchorId="485B169C" wp14:editId="697F2A92">
            <wp:extent cx="5577840" cy="2522220"/>
            <wp:effectExtent l="0" t="0" r="3810" b="0"/>
            <wp:docPr id="761061978" name="Picture 761061978" descr="This chart shows that employed people have about the same financial stress levels during their working life and retirement. Unemployed people have much higher financial stress rates (above 50 per cent) which fall as they age and then retire." title="Chart 2C-12 Financial stress rate by age and employmen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FFECE74" w14:textId="77777777" w:rsidR="0092760B" w:rsidRPr="00027624" w:rsidRDefault="0092760B" w:rsidP="002A2FAE">
      <w:pPr>
        <w:pStyle w:val="ChartorTableNote"/>
      </w:pPr>
      <w:r w:rsidRPr="00027624">
        <w:t>Note: All people age 65 and above classified as retired. Source: Analysis of ABS Survey of Income and Housing Confidentialised Unit Record File, 2017</w:t>
      </w:r>
      <w:r w:rsidR="00A8443E" w:rsidRPr="00027624">
        <w:noBreakHyphen/>
      </w:r>
      <w:r w:rsidRPr="00027624">
        <w:t>18.</w:t>
      </w:r>
    </w:p>
    <w:p w14:paraId="4D432742" w14:textId="77777777" w:rsidR="0092760B" w:rsidRPr="00027624" w:rsidRDefault="0092760B" w:rsidP="002A2FAE">
      <w:pPr>
        <w:pStyle w:val="Heading2"/>
      </w:pPr>
      <w:bookmarkStart w:id="548" w:name="_Toc45520472"/>
      <w:bookmarkStart w:id="549" w:name="_Toc46133582"/>
      <w:r w:rsidRPr="00027624">
        <w:t>Early release of superannuation</w:t>
      </w:r>
      <w:bookmarkEnd w:id="548"/>
      <w:bookmarkEnd w:id="549"/>
    </w:p>
    <w:p w14:paraId="2445F721" w14:textId="77777777" w:rsidR="0092760B" w:rsidRPr="00027624" w:rsidRDefault="0092760B" w:rsidP="002A2FAE">
      <w:r w:rsidRPr="00027624">
        <w:t xml:space="preserve">The SG and superannuation tax concessions are designed to encourage people to save for their retirement. Similarly, superannuation benefits are generally preserved to provide income in retirement. </w:t>
      </w:r>
      <w:r w:rsidRPr="00027624">
        <w:rPr>
          <w:b/>
        </w:rPr>
        <w:t>But some people experience adverse events during their working lives that are difficult to foresee.</w:t>
      </w:r>
      <w:r w:rsidRPr="00027624">
        <w:t xml:space="preserve"> Examples include unemployment, illness and unexpected large expenses.</w:t>
      </w:r>
    </w:p>
    <w:p w14:paraId="2B2672E6" w14:textId="77777777" w:rsidR="0092760B" w:rsidRPr="00027624" w:rsidRDefault="0092760B" w:rsidP="002A2FAE">
      <w:r w:rsidRPr="00027624">
        <w:lastRenderedPageBreak/>
        <w:t>A range of government programs assist with some of these adverse events. For example, JobSeeker Allowance provides income support for people who are unemployed and the public health system provides free health care.</w:t>
      </w:r>
    </w:p>
    <w:p w14:paraId="7D12A716" w14:textId="77777777" w:rsidR="0092760B" w:rsidRPr="00027624" w:rsidRDefault="0092760B" w:rsidP="002A2FAE">
      <w:r w:rsidRPr="00027624">
        <w:t xml:space="preserve">People facing genuine hardship may also be able to access their superannuation before preservation age. </w:t>
      </w:r>
      <w:r w:rsidRPr="00027624">
        <w:rPr>
          <w:b/>
        </w:rPr>
        <w:t>Early release of superannuation recognises that, in some individual circumstances, the benefits of early access to superannuation will exceed the benefits of preserving balances until retirement.</w:t>
      </w:r>
      <w:r w:rsidRPr="00027624">
        <w:t xml:space="preserve"> This is consistent with the approach that saving for retirement should not come at an excessive cost to people</w:t>
      </w:r>
      <w:r w:rsidR="00A8443E" w:rsidRPr="00027624">
        <w:t>’</w:t>
      </w:r>
      <w:r w:rsidRPr="00027624">
        <w:t>s standard of living in working life, which is particularly relevant when people do not have the option to reduce their compulsory superannuation savings.</w:t>
      </w:r>
    </w:p>
    <w:p w14:paraId="4FA0E669" w14:textId="77777777" w:rsidR="0092760B" w:rsidRPr="00027624" w:rsidRDefault="0092760B" w:rsidP="002A2FAE">
      <w:r w:rsidRPr="00027624">
        <w:t>Five sets of circumstances are recognised as compassionate grounds for early release:</w:t>
      </w:r>
    </w:p>
    <w:p w14:paraId="6AB427E1" w14:textId="77777777" w:rsidR="0092760B" w:rsidRPr="00027624" w:rsidRDefault="0092760B" w:rsidP="00FC7361">
      <w:pPr>
        <w:pStyle w:val="OutlineNumbered1"/>
        <w:numPr>
          <w:ilvl w:val="0"/>
          <w:numId w:val="86"/>
        </w:numPr>
        <w:ind w:left="908" w:hanging="454"/>
      </w:pPr>
      <w:r w:rsidRPr="00027624">
        <w:t>Medical treatment and medical transport</w:t>
      </w:r>
    </w:p>
    <w:p w14:paraId="1C6AC57F" w14:textId="77777777" w:rsidR="0092760B" w:rsidRPr="00027624" w:rsidRDefault="0092760B" w:rsidP="00716CEE">
      <w:pPr>
        <w:pStyle w:val="OutlineNumbered1"/>
      </w:pPr>
      <w:r w:rsidRPr="00027624">
        <w:t>To prevent foreclosure or forced sale of home</w:t>
      </w:r>
    </w:p>
    <w:p w14:paraId="47275C0C" w14:textId="77777777" w:rsidR="0092760B" w:rsidRPr="00027624" w:rsidRDefault="0092760B" w:rsidP="00716CEE">
      <w:pPr>
        <w:pStyle w:val="OutlineNumbered1"/>
      </w:pPr>
      <w:r w:rsidRPr="00027624">
        <w:t>Modifying a home or vehicle or buying disability aids for a severe disability</w:t>
      </w:r>
    </w:p>
    <w:p w14:paraId="4C031A11" w14:textId="77777777" w:rsidR="0092760B" w:rsidRPr="00027624" w:rsidRDefault="0092760B" w:rsidP="00716CEE">
      <w:pPr>
        <w:pStyle w:val="OutlineNumbered1"/>
      </w:pPr>
      <w:r w:rsidRPr="00027624">
        <w:t>Palliative care</w:t>
      </w:r>
    </w:p>
    <w:p w14:paraId="2E0BD29F" w14:textId="77777777" w:rsidR="0092760B" w:rsidRPr="00027624" w:rsidRDefault="0092760B" w:rsidP="00716CEE">
      <w:pPr>
        <w:pStyle w:val="OutlineNumbered1"/>
      </w:pPr>
      <w:r w:rsidRPr="00027624">
        <w:t>Funeral expenses</w:t>
      </w:r>
    </w:p>
    <w:p w14:paraId="169BEC70" w14:textId="77777777" w:rsidR="0092760B" w:rsidRPr="00027624" w:rsidRDefault="0092760B" w:rsidP="002A2FAE">
      <w:r w:rsidRPr="00027624">
        <w:t>Early release is also allowed on severe financial hardship grounds if a person has received qualifying Commonwealth income support payments for 26 continuous weeks and they are not able to meet reasonable and immediate family living expenses.</w:t>
      </w:r>
    </w:p>
    <w:p w14:paraId="76CA53E2" w14:textId="77777777" w:rsidR="0092760B" w:rsidRPr="00027624" w:rsidRDefault="0092760B" w:rsidP="002A2FAE">
      <w:r w:rsidRPr="00027624">
        <w:t>Accessing superannuation early has a more significant effect on superannuation balances for younger age groups due to the loss of compound returns. Although, the Age Pension ameliorates some of this effect on retirement income, particularly for the median</w:t>
      </w:r>
      <w:r w:rsidR="00A8443E" w:rsidRPr="00027624">
        <w:noBreakHyphen/>
      </w:r>
      <w:r w:rsidRPr="00027624">
        <w:t>income earner.</w:t>
      </w:r>
    </w:p>
    <w:p w14:paraId="4B010514" w14:textId="7179559E" w:rsidR="0092760B" w:rsidRPr="00027624" w:rsidRDefault="0092760B" w:rsidP="002A2FAE">
      <w:r w:rsidRPr="00027624">
        <w:t>For example, a person withdrawing $10,000 in two consecutive years from age 30 would lower their superannuation</w:t>
      </w:r>
      <w:r w:rsidR="00143018" w:rsidRPr="00027624">
        <w:t xml:space="preserve"> at retirement</w:t>
      </w:r>
      <w:r w:rsidRPr="00027624">
        <w:t xml:space="preserve"> by $40,300 in wage</w:t>
      </w:r>
      <w:r w:rsidR="00A8443E" w:rsidRPr="00027624">
        <w:noBreakHyphen/>
      </w:r>
      <w:r w:rsidRPr="00027624">
        <w:t>adjusted terms. The same withdrawals at age 55 would lower their superannuation balance at retirement by $24,600 (</w:t>
      </w:r>
      <w:r w:rsidRPr="00027624">
        <w:fldChar w:fldCharType="begin"/>
      </w:r>
      <w:r w:rsidRPr="00027624">
        <w:instrText xml:space="preserve"> REF _Ref45208358 \w \h </w:instrText>
      </w:r>
      <w:r w:rsidR="00FA7639" w:rsidRPr="00027624">
        <w:instrText xml:space="preserve"> \* MERGEFORMAT </w:instrText>
      </w:r>
      <w:r w:rsidRPr="00027624">
        <w:fldChar w:fldCharType="separate"/>
      </w:r>
      <w:r w:rsidR="00891058">
        <w:t>Table 2C-1</w:t>
      </w:r>
      <w:r w:rsidRPr="00027624">
        <w:fldChar w:fldCharType="end"/>
      </w:r>
      <w:r w:rsidRPr="00027624">
        <w:t>).</w:t>
      </w:r>
    </w:p>
    <w:p w14:paraId="012CB366" w14:textId="77777777" w:rsidR="0092760B" w:rsidRPr="00027624" w:rsidRDefault="0092760B" w:rsidP="00FC7361">
      <w:pPr>
        <w:pStyle w:val="TableMainHeading"/>
        <w:numPr>
          <w:ilvl w:val="3"/>
          <w:numId w:val="107"/>
        </w:numPr>
      </w:pPr>
      <w:bookmarkStart w:id="550" w:name="_Ref45208358"/>
      <w:r w:rsidRPr="00027624">
        <w:t>Projected effect on retirement incomes of early release of superannuation, median earner retiring in 2060</w:t>
      </w:r>
      <w:bookmarkEnd w:id="550"/>
    </w:p>
    <w:tbl>
      <w:tblPr>
        <w:tblW w:w="5000" w:type="pct"/>
        <w:tblLook w:val="01E0" w:firstRow="1" w:lastRow="1" w:firstColumn="1" w:lastColumn="1" w:noHBand="0" w:noVBand="0"/>
      </w:tblPr>
      <w:tblGrid>
        <w:gridCol w:w="852"/>
        <w:gridCol w:w="1702"/>
        <w:gridCol w:w="2266"/>
        <w:gridCol w:w="2438"/>
        <w:gridCol w:w="1812"/>
      </w:tblGrid>
      <w:tr w:rsidR="0092760B" w:rsidRPr="00027624" w14:paraId="4FBD2F18" w14:textId="77777777" w:rsidTr="002A2FAE">
        <w:trPr>
          <w:trHeight w:val="270"/>
          <w:tblHeader/>
        </w:trPr>
        <w:tc>
          <w:tcPr>
            <w:tcW w:w="469" w:type="pct"/>
            <w:shd w:val="clear" w:color="auto" w:fill="E5E5E5"/>
          </w:tcPr>
          <w:p w14:paraId="2AEB0F72" w14:textId="77777777" w:rsidR="0092760B" w:rsidRPr="00027624" w:rsidRDefault="0092760B" w:rsidP="002A2FAE">
            <w:pPr>
              <w:pStyle w:val="TableColumnHeadingLeft"/>
              <w:rPr>
                <w:lang w:eastAsia="en-US"/>
              </w:rPr>
            </w:pPr>
            <w:r w:rsidRPr="00027624">
              <w:rPr>
                <w:lang w:eastAsia="en-US"/>
              </w:rPr>
              <w:t>Age</w:t>
            </w:r>
          </w:p>
        </w:tc>
        <w:tc>
          <w:tcPr>
            <w:tcW w:w="938" w:type="pct"/>
            <w:shd w:val="clear" w:color="auto" w:fill="E5E5E5"/>
            <w:hideMark/>
          </w:tcPr>
          <w:p w14:paraId="16BC5585" w14:textId="77777777" w:rsidR="0092760B" w:rsidRPr="00027624" w:rsidRDefault="0092760B" w:rsidP="002A2FAE">
            <w:pPr>
              <w:pStyle w:val="TableColumnHeadingCentred"/>
              <w:rPr>
                <w:lang w:eastAsia="en-US"/>
              </w:rPr>
            </w:pPr>
            <w:r w:rsidRPr="00027624">
              <w:rPr>
                <w:lang w:eastAsia="en-US"/>
              </w:rPr>
              <w:t>Early release amount ($)*</w:t>
            </w:r>
          </w:p>
        </w:tc>
        <w:tc>
          <w:tcPr>
            <w:tcW w:w="1249" w:type="pct"/>
            <w:shd w:val="clear" w:color="auto" w:fill="E5E5E5"/>
            <w:hideMark/>
          </w:tcPr>
          <w:p w14:paraId="52298AC5" w14:textId="77777777" w:rsidR="0092760B" w:rsidRPr="00027624" w:rsidRDefault="0092760B" w:rsidP="002A2FAE">
            <w:pPr>
              <w:pStyle w:val="TableColumnHeadingCentred"/>
              <w:rPr>
                <w:lang w:eastAsia="en-US"/>
              </w:rPr>
            </w:pPr>
            <w:r w:rsidRPr="00027624">
              <w:rPr>
                <w:lang w:eastAsia="en-US"/>
              </w:rPr>
              <w:t xml:space="preserve">Change in superannuation balance at retirement </w:t>
            </w:r>
            <w:r w:rsidRPr="00027624">
              <w:rPr>
                <w:lang w:eastAsia="en-US"/>
              </w:rPr>
              <w:br/>
              <w:t>($, deflated by average weekly earnings)</w:t>
            </w:r>
          </w:p>
        </w:tc>
        <w:tc>
          <w:tcPr>
            <w:tcW w:w="1344" w:type="pct"/>
            <w:shd w:val="clear" w:color="auto" w:fill="E5E5E5"/>
            <w:hideMark/>
          </w:tcPr>
          <w:p w14:paraId="1EBD99A6" w14:textId="77777777" w:rsidR="0092760B" w:rsidRPr="00027624" w:rsidRDefault="0092760B" w:rsidP="002A2FAE">
            <w:pPr>
              <w:pStyle w:val="TableColumnHeadingCentred"/>
              <w:rPr>
                <w:lang w:eastAsia="en-US"/>
              </w:rPr>
            </w:pPr>
            <w:r w:rsidRPr="00027624">
              <w:rPr>
                <w:lang w:eastAsia="en-US"/>
              </w:rPr>
              <w:t xml:space="preserve">Change in superannuation balance at retirement </w:t>
            </w:r>
            <w:r w:rsidRPr="00027624">
              <w:rPr>
                <w:lang w:eastAsia="en-US"/>
              </w:rPr>
              <w:br/>
              <w:t>($, deflated by CPI)</w:t>
            </w:r>
          </w:p>
        </w:tc>
        <w:tc>
          <w:tcPr>
            <w:tcW w:w="999" w:type="pct"/>
            <w:shd w:val="clear" w:color="auto" w:fill="E5E5E5"/>
          </w:tcPr>
          <w:p w14:paraId="6ABC2AA7" w14:textId="77777777" w:rsidR="0092760B" w:rsidRPr="00027624" w:rsidRDefault="0092760B" w:rsidP="002A2FAE">
            <w:pPr>
              <w:pStyle w:val="TableColumnHeadingCentred"/>
              <w:rPr>
                <w:lang w:eastAsia="en-US"/>
              </w:rPr>
            </w:pPr>
            <w:r w:rsidRPr="00027624">
              <w:rPr>
                <w:lang w:eastAsia="en-US"/>
              </w:rPr>
              <w:t>Change in retirement income (per cent)</w:t>
            </w:r>
          </w:p>
        </w:tc>
      </w:tr>
      <w:tr w:rsidR="0092760B" w:rsidRPr="00027624" w14:paraId="6C7D210A" w14:textId="77777777" w:rsidTr="002A2FAE">
        <w:trPr>
          <w:trHeight w:val="270"/>
        </w:trPr>
        <w:tc>
          <w:tcPr>
            <w:tcW w:w="469" w:type="pct"/>
            <w:tcBorders>
              <w:left w:val="nil"/>
              <w:bottom w:val="nil"/>
              <w:right w:val="nil"/>
            </w:tcBorders>
            <w:hideMark/>
          </w:tcPr>
          <w:p w14:paraId="27C4912C" w14:textId="77777777" w:rsidR="0092760B" w:rsidRPr="00027624" w:rsidRDefault="0092760B" w:rsidP="002A2FAE">
            <w:pPr>
              <w:pStyle w:val="TableTextLeft"/>
              <w:spacing w:line="256" w:lineRule="auto"/>
              <w:rPr>
                <w:lang w:eastAsia="en-US"/>
              </w:rPr>
            </w:pPr>
            <w:r w:rsidRPr="00027624">
              <w:rPr>
                <w:lang w:eastAsia="en-US"/>
              </w:rPr>
              <w:t>30</w:t>
            </w:r>
          </w:p>
        </w:tc>
        <w:tc>
          <w:tcPr>
            <w:tcW w:w="938" w:type="pct"/>
            <w:tcBorders>
              <w:left w:val="nil"/>
              <w:bottom w:val="nil"/>
              <w:right w:val="nil"/>
            </w:tcBorders>
            <w:hideMark/>
          </w:tcPr>
          <w:p w14:paraId="3B021C94" w14:textId="77777777" w:rsidR="0092760B" w:rsidRPr="00027624" w:rsidRDefault="0092760B" w:rsidP="002A2FAE">
            <w:pPr>
              <w:pStyle w:val="TableTextLeft"/>
              <w:spacing w:line="256" w:lineRule="auto"/>
              <w:jc w:val="center"/>
              <w:rPr>
                <w:lang w:eastAsia="en-US"/>
              </w:rPr>
            </w:pPr>
            <w:r w:rsidRPr="00027624">
              <w:rPr>
                <w:lang w:eastAsia="en-US"/>
              </w:rPr>
              <w:t>20,000</w:t>
            </w:r>
          </w:p>
        </w:tc>
        <w:tc>
          <w:tcPr>
            <w:tcW w:w="1249" w:type="pct"/>
            <w:tcBorders>
              <w:left w:val="nil"/>
              <w:bottom w:val="nil"/>
              <w:right w:val="nil"/>
            </w:tcBorders>
            <w:vAlign w:val="bottom"/>
            <w:hideMark/>
          </w:tcPr>
          <w:p w14:paraId="5B0F1A34"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40,300</w:t>
            </w:r>
          </w:p>
        </w:tc>
        <w:tc>
          <w:tcPr>
            <w:tcW w:w="1344" w:type="pct"/>
            <w:tcBorders>
              <w:left w:val="nil"/>
              <w:bottom w:val="nil"/>
              <w:right w:val="nil"/>
            </w:tcBorders>
            <w:vAlign w:val="bottom"/>
            <w:hideMark/>
          </w:tcPr>
          <w:p w14:paraId="6D6D1ED2"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69,300</w:t>
            </w:r>
          </w:p>
        </w:tc>
        <w:tc>
          <w:tcPr>
            <w:tcW w:w="999" w:type="pct"/>
            <w:tcBorders>
              <w:left w:val="nil"/>
              <w:bottom w:val="nil"/>
              <w:right w:val="nil"/>
            </w:tcBorders>
          </w:tcPr>
          <w:p w14:paraId="0E4447A4"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2.1</w:t>
            </w:r>
          </w:p>
        </w:tc>
      </w:tr>
      <w:tr w:rsidR="0092760B" w:rsidRPr="00027624" w14:paraId="2172F93F" w14:textId="77777777" w:rsidTr="002A2FAE">
        <w:trPr>
          <w:trHeight w:val="270"/>
        </w:trPr>
        <w:tc>
          <w:tcPr>
            <w:tcW w:w="469" w:type="pct"/>
            <w:hideMark/>
          </w:tcPr>
          <w:p w14:paraId="17695AE5" w14:textId="77777777" w:rsidR="0092760B" w:rsidRPr="00027624" w:rsidRDefault="0092760B" w:rsidP="002A2FAE">
            <w:pPr>
              <w:pStyle w:val="TableTextLeft"/>
              <w:spacing w:line="256" w:lineRule="auto"/>
              <w:rPr>
                <w:lang w:eastAsia="en-US"/>
              </w:rPr>
            </w:pPr>
            <w:r w:rsidRPr="00027624">
              <w:rPr>
                <w:lang w:eastAsia="en-US"/>
              </w:rPr>
              <w:t>35</w:t>
            </w:r>
          </w:p>
        </w:tc>
        <w:tc>
          <w:tcPr>
            <w:tcW w:w="938" w:type="pct"/>
            <w:hideMark/>
          </w:tcPr>
          <w:p w14:paraId="3FD0CA26" w14:textId="77777777" w:rsidR="0092760B" w:rsidRPr="00027624" w:rsidRDefault="0092760B" w:rsidP="002A2FAE">
            <w:pPr>
              <w:pStyle w:val="TableTextLeft"/>
              <w:spacing w:line="256" w:lineRule="auto"/>
              <w:jc w:val="center"/>
              <w:rPr>
                <w:lang w:eastAsia="en-US"/>
              </w:rPr>
            </w:pPr>
            <w:r w:rsidRPr="00027624">
              <w:rPr>
                <w:lang w:eastAsia="en-US"/>
              </w:rPr>
              <w:t>20,000</w:t>
            </w:r>
          </w:p>
        </w:tc>
        <w:tc>
          <w:tcPr>
            <w:tcW w:w="1249" w:type="pct"/>
            <w:vAlign w:val="bottom"/>
            <w:hideMark/>
          </w:tcPr>
          <w:p w14:paraId="47E7EE2B"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36,300</w:t>
            </w:r>
          </w:p>
        </w:tc>
        <w:tc>
          <w:tcPr>
            <w:tcW w:w="1344" w:type="pct"/>
            <w:vAlign w:val="bottom"/>
            <w:hideMark/>
          </w:tcPr>
          <w:p w14:paraId="27A8C3B6"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62,500</w:t>
            </w:r>
          </w:p>
        </w:tc>
        <w:tc>
          <w:tcPr>
            <w:tcW w:w="999" w:type="pct"/>
          </w:tcPr>
          <w:p w14:paraId="1068D9AA"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1.9</w:t>
            </w:r>
          </w:p>
        </w:tc>
      </w:tr>
      <w:tr w:rsidR="0092760B" w:rsidRPr="00027624" w14:paraId="2953CD71" w14:textId="77777777" w:rsidTr="002A2FAE">
        <w:trPr>
          <w:trHeight w:val="270"/>
        </w:trPr>
        <w:tc>
          <w:tcPr>
            <w:tcW w:w="469" w:type="pct"/>
            <w:hideMark/>
          </w:tcPr>
          <w:p w14:paraId="52D098FD" w14:textId="77777777" w:rsidR="0092760B" w:rsidRPr="00027624" w:rsidRDefault="0092760B" w:rsidP="002A2FAE">
            <w:pPr>
              <w:pStyle w:val="TableTextLeft"/>
              <w:spacing w:line="256" w:lineRule="auto"/>
              <w:rPr>
                <w:lang w:eastAsia="en-US"/>
              </w:rPr>
            </w:pPr>
            <w:r w:rsidRPr="00027624">
              <w:rPr>
                <w:lang w:eastAsia="en-US"/>
              </w:rPr>
              <w:t>40</w:t>
            </w:r>
          </w:p>
        </w:tc>
        <w:tc>
          <w:tcPr>
            <w:tcW w:w="938" w:type="pct"/>
            <w:hideMark/>
          </w:tcPr>
          <w:p w14:paraId="2789F71B" w14:textId="77777777" w:rsidR="0092760B" w:rsidRPr="00027624" w:rsidRDefault="0092760B" w:rsidP="002A2FAE">
            <w:pPr>
              <w:pStyle w:val="TableTextLeft"/>
              <w:spacing w:line="256" w:lineRule="auto"/>
              <w:jc w:val="center"/>
              <w:rPr>
                <w:lang w:eastAsia="en-US"/>
              </w:rPr>
            </w:pPr>
            <w:r w:rsidRPr="00027624">
              <w:rPr>
                <w:lang w:eastAsia="en-US"/>
              </w:rPr>
              <w:t>20,000</w:t>
            </w:r>
          </w:p>
        </w:tc>
        <w:tc>
          <w:tcPr>
            <w:tcW w:w="1249" w:type="pct"/>
            <w:vAlign w:val="bottom"/>
            <w:hideMark/>
          </w:tcPr>
          <w:p w14:paraId="72D98E70"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33,000</w:t>
            </w:r>
          </w:p>
        </w:tc>
        <w:tc>
          <w:tcPr>
            <w:tcW w:w="1344" w:type="pct"/>
            <w:vAlign w:val="bottom"/>
            <w:hideMark/>
          </w:tcPr>
          <w:p w14:paraId="1F3A5168"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56,700</w:t>
            </w:r>
          </w:p>
        </w:tc>
        <w:tc>
          <w:tcPr>
            <w:tcW w:w="999" w:type="pct"/>
          </w:tcPr>
          <w:p w14:paraId="1B51B9DB"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1.7</w:t>
            </w:r>
          </w:p>
        </w:tc>
      </w:tr>
      <w:tr w:rsidR="0092760B" w:rsidRPr="00027624" w14:paraId="14D2EB22" w14:textId="77777777" w:rsidTr="002A2FAE">
        <w:trPr>
          <w:trHeight w:val="270"/>
        </w:trPr>
        <w:tc>
          <w:tcPr>
            <w:tcW w:w="469" w:type="pct"/>
            <w:hideMark/>
          </w:tcPr>
          <w:p w14:paraId="0EFD3B73" w14:textId="77777777" w:rsidR="0092760B" w:rsidRPr="00027624" w:rsidRDefault="0092760B" w:rsidP="002A2FAE">
            <w:pPr>
              <w:pStyle w:val="TableTextLeft"/>
              <w:spacing w:line="256" w:lineRule="auto"/>
              <w:rPr>
                <w:lang w:eastAsia="en-US"/>
              </w:rPr>
            </w:pPr>
            <w:r w:rsidRPr="00027624">
              <w:rPr>
                <w:lang w:eastAsia="en-US"/>
              </w:rPr>
              <w:t>45</w:t>
            </w:r>
          </w:p>
        </w:tc>
        <w:tc>
          <w:tcPr>
            <w:tcW w:w="938" w:type="pct"/>
            <w:hideMark/>
          </w:tcPr>
          <w:p w14:paraId="23DE64A0" w14:textId="77777777" w:rsidR="0092760B" w:rsidRPr="00027624" w:rsidRDefault="0092760B" w:rsidP="002A2FAE">
            <w:pPr>
              <w:pStyle w:val="TableTextLeft"/>
              <w:spacing w:line="256" w:lineRule="auto"/>
              <w:jc w:val="center"/>
              <w:rPr>
                <w:lang w:eastAsia="en-US"/>
              </w:rPr>
            </w:pPr>
            <w:r w:rsidRPr="00027624">
              <w:rPr>
                <w:lang w:eastAsia="en-US"/>
              </w:rPr>
              <w:t>20,000</w:t>
            </w:r>
          </w:p>
        </w:tc>
        <w:tc>
          <w:tcPr>
            <w:tcW w:w="1249" w:type="pct"/>
            <w:vAlign w:val="bottom"/>
            <w:hideMark/>
          </w:tcPr>
          <w:p w14:paraId="25C70A4B"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29,900</w:t>
            </w:r>
          </w:p>
        </w:tc>
        <w:tc>
          <w:tcPr>
            <w:tcW w:w="1344" w:type="pct"/>
            <w:vAlign w:val="bottom"/>
            <w:hideMark/>
          </w:tcPr>
          <w:p w14:paraId="5FE2B39D"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51,400</w:t>
            </w:r>
          </w:p>
        </w:tc>
        <w:tc>
          <w:tcPr>
            <w:tcW w:w="999" w:type="pct"/>
          </w:tcPr>
          <w:p w14:paraId="17117C1C"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1.7</w:t>
            </w:r>
          </w:p>
        </w:tc>
      </w:tr>
      <w:tr w:rsidR="0092760B" w:rsidRPr="00027624" w14:paraId="0CD33E52" w14:textId="77777777" w:rsidTr="002A2FAE">
        <w:trPr>
          <w:trHeight w:val="270"/>
        </w:trPr>
        <w:tc>
          <w:tcPr>
            <w:tcW w:w="469" w:type="pct"/>
            <w:hideMark/>
          </w:tcPr>
          <w:p w14:paraId="7A932A3A" w14:textId="77777777" w:rsidR="0092760B" w:rsidRPr="00027624" w:rsidRDefault="0092760B" w:rsidP="002A2FAE">
            <w:pPr>
              <w:pStyle w:val="TableTextLeft"/>
              <w:spacing w:line="256" w:lineRule="auto"/>
              <w:rPr>
                <w:lang w:eastAsia="en-US"/>
              </w:rPr>
            </w:pPr>
            <w:r w:rsidRPr="00027624">
              <w:rPr>
                <w:lang w:eastAsia="en-US"/>
              </w:rPr>
              <w:t>50</w:t>
            </w:r>
          </w:p>
        </w:tc>
        <w:tc>
          <w:tcPr>
            <w:tcW w:w="938" w:type="pct"/>
            <w:hideMark/>
          </w:tcPr>
          <w:p w14:paraId="7AC7D9B8" w14:textId="77777777" w:rsidR="0092760B" w:rsidRPr="00027624" w:rsidRDefault="0092760B" w:rsidP="002A2FAE">
            <w:pPr>
              <w:pStyle w:val="TableTextLeft"/>
              <w:spacing w:line="256" w:lineRule="auto"/>
              <w:jc w:val="center"/>
              <w:rPr>
                <w:lang w:eastAsia="en-US"/>
              </w:rPr>
            </w:pPr>
            <w:r w:rsidRPr="00027624">
              <w:rPr>
                <w:lang w:eastAsia="en-US"/>
              </w:rPr>
              <w:t>20,000</w:t>
            </w:r>
          </w:p>
        </w:tc>
        <w:tc>
          <w:tcPr>
            <w:tcW w:w="1249" w:type="pct"/>
            <w:vAlign w:val="bottom"/>
            <w:hideMark/>
          </w:tcPr>
          <w:p w14:paraId="5FF8625A"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27,100</w:t>
            </w:r>
          </w:p>
        </w:tc>
        <w:tc>
          <w:tcPr>
            <w:tcW w:w="1344" w:type="pct"/>
            <w:vAlign w:val="bottom"/>
            <w:hideMark/>
          </w:tcPr>
          <w:p w14:paraId="56E1EFEF"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46,600</w:t>
            </w:r>
          </w:p>
        </w:tc>
        <w:tc>
          <w:tcPr>
            <w:tcW w:w="999" w:type="pct"/>
          </w:tcPr>
          <w:p w14:paraId="34BE8A7A"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1.4</w:t>
            </w:r>
          </w:p>
        </w:tc>
      </w:tr>
      <w:tr w:rsidR="0092760B" w:rsidRPr="00027624" w14:paraId="055D47FD" w14:textId="77777777" w:rsidTr="002A2FAE">
        <w:trPr>
          <w:trHeight w:val="270"/>
        </w:trPr>
        <w:tc>
          <w:tcPr>
            <w:tcW w:w="469" w:type="pct"/>
            <w:hideMark/>
          </w:tcPr>
          <w:p w14:paraId="1F0A74A8" w14:textId="77777777" w:rsidR="0092760B" w:rsidRPr="00027624" w:rsidRDefault="0092760B" w:rsidP="002A2FAE">
            <w:pPr>
              <w:pStyle w:val="TableTextLeft"/>
              <w:spacing w:line="256" w:lineRule="auto"/>
              <w:rPr>
                <w:lang w:eastAsia="en-US"/>
              </w:rPr>
            </w:pPr>
            <w:r w:rsidRPr="00027624">
              <w:rPr>
                <w:lang w:eastAsia="en-US"/>
              </w:rPr>
              <w:t>55</w:t>
            </w:r>
          </w:p>
        </w:tc>
        <w:tc>
          <w:tcPr>
            <w:tcW w:w="938" w:type="pct"/>
            <w:hideMark/>
          </w:tcPr>
          <w:p w14:paraId="6F2A1297" w14:textId="77777777" w:rsidR="0092760B" w:rsidRPr="00027624" w:rsidRDefault="0092760B" w:rsidP="002A2FAE">
            <w:pPr>
              <w:pStyle w:val="TableTextLeft"/>
              <w:spacing w:line="256" w:lineRule="auto"/>
              <w:jc w:val="center"/>
              <w:rPr>
                <w:lang w:eastAsia="en-US"/>
              </w:rPr>
            </w:pPr>
            <w:r w:rsidRPr="00027624">
              <w:rPr>
                <w:lang w:eastAsia="en-US"/>
              </w:rPr>
              <w:t>20,000</w:t>
            </w:r>
          </w:p>
        </w:tc>
        <w:tc>
          <w:tcPr>
            <w:tcW w:w="1249" w:type="pct"/>
            <w:vAlign w:val="bottom"/>
            <w:hideMark/>
          </w:tcPr>
          <w:p w14:paraId="3C182896"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24,600</w:t>
            </w:r>
          </w:p>
        </w:tc>
        <w:tc>
          <w:tcPr>
            <w:tcW w:w="1344" w:type="pct"/>
            <w:vAlign w:val="bottom"/>
            <w:hideMark/>
          </w:tcPr>
          <w:p w14:paraId="05D9D48B"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42,200</w:t>
            </w:r>
          </w:p>
        </w:tc>
        <w:tc>
          <w:tcPr>
            <w:tcW w:w="999" w:type="pct"/>
          </w:tcPr>
          <w:p w14:paraId="10BB8801" w14:textId="77777777" w:rsidR="0092760B" w:rsidRPr="00027624" w:rsidRDefault="00A8443E" w:rsidP="002A2FAE">
            <w:pPr>
              <w:pStyle w:val="TableTextLeft"/>
              <w:spacing w:line="256" w:lineRule="auto"/>
              <w:jc w:val="center"/>
              <w:rPr>
                <w:lang w:eastAsia="en-US"/>
              </w:rPr>
            </w:pPr>
            <w:r w:rsidRPr="00027624">
              <w:rPr>
                <w:lang w:eastAsia="en-US"/>
              </w:rPr>
              <w:noBreakHyphen/>
            </w:r>
            <w:r w:rsidR="0092760B" w:rsidRPr="00027624">
              <w:rPr>
                <w:lang w:eastAsia="en-US"/>
              </w:rPr>
              <w:t>1.2</w:t>
            </w:r>
          </w:p>
        </w:tc>
      </w:tr>
    </w:tbl>
    <w:p w14:paraId="669F5C2C" w14:textId="77777777" w:rsidR="0092760B" w:rsidRPr="00027624" w:rsidRDefault="0092760B" w:rsidP="002A2FAE">
      <w:pPr>
        <w:spacing w:after="240"/>
      </w:pPr>
      <w:r w:rsidRPr="00027624">
        <w:rPr>
          <w:sz w:val="18"/>
        </w:rPr>
        <w:t>Note: Values are in 2018</w:t>
      </w:r>
      <w:r w:rsidR="00A8443E" w:rsidRPr="00027624">
        <w:rPr>
          <w:sz w:val="18"/>
        </w:rPr>
        <w:noBreakHyphen/>
      </w:r>
      <w:r w:rsidRPr="00027624">
        <w:rPr>
          <w:sz w:val="18"/>
        </w:rPr>
        <w:t>19 dollars. $20,000 early release is split between two financial years, with $10,000 withdrawn in each year. Individuals commence work in 2020 at age 27 and draw down super at specified ages. Results are rounded to the nearest $100. CPI</w:t>
      </w:r>
      <w:r w:rsidR="00A8443E" w:rsidRPr="00027624">
        <w:rPr>
          <w:sz w:val="18"/>
        </w:rPr>
        <w:noBreakHyphen/>
      </w:r>
      <w:r w:rsidRPr="00027624">
        <w:rPr>
          <w:sz w:val="18"/>
        </w:rPr>
        <w:t>deflated results are presented for comparative purposes. The amount drawn down early is indexed to average weekly earnings. *Withdrawal amounts are indexed to average weekly earnings meaning more than $20,000 is withdrawn in CPI</w:t>
      </w:r>
      <w:r w:rsidR="00A8443E" w:rsidRPr="00027624">
        <w:rPr>
          <w:sz w:val="18"/>
        </w:rPr>
        <w:noBreakHyphen/>
      </w:r>
      <w:r w:rsidRPr="00027624">
        <w:rPr>
          <w:sz w:val="18"/>
        </w:rPr>
        <w:t>deflated terms for later ages and impact on balances at retirement is larger as a result. Source: Cameo modelling undertaken for the review.</w:t>
      </w:r>
    </w:p>
    <w:p w14:paraId="0A9FE4B8" w14:textId="7DE1F5DE" w:rsidR="0092760B" w:rsidRPr="00027624" w:rsidRDefault="0092760B" w:rsidP="002A2FAE">
      <w:r w:rsidRPr="00027624">
        <w:t>Recognising the unprecedented nature of the COVID</w:t>
      </w:r>
      <w:r w:rsidR="00A8443E" w:rsidRPr="00027624">
        <w:noBreakHyphen/>
      </w:r>
      <w:r w:rsidRPr="00027624">
        <w:t>19 Pandemic on the economy and on people</w:t>
      </w:r>
      <w:r w:rsidR="00A8443E" w:rsidRPr="00027624">
        <w:t>’</w:t>
      </w:r>
      <w:r w:rsidRPr="00027624">
        <w:t xml:space="preserve">s incomes, the Government allowed early release of up to $20,000 of superannuation (up to $10,000 </w:t>
      </w:r>
      <w:r w:rsidRPr="00027624">
        <w:lastRenderedPageBreak/>
        <w:t>prior to July 2020 and up to a further $10,000 from 1 July until 24 September in 2020).</w:t>
      </w:r>
      <w:r w:rsidRPr="00027624">
        <w:rPr>
          <w:rStyle w:val="FootnoteReference"/>
        </w:rPr>
        <w:footnoteReference w:id="106"/>
      </w:r>
      <w:r w:rsidRPr="00027624">
        <w:t xml:space="preserve"> People requesting early release of their superannuation aligned with the age groups most affected by unemployment in the early months of the COVID</w:t>
      </w:r>
      <w:r w:rsidR="00A8443E" w:rsidRPr="00027624">
        <w:noBreakHyphen/>
      </w:r>
      <w:r w:rsidRPr="00027624">
        <w:t>19 Pandemic (</w:t>
      </w:r>
      <w:r w:rsidRPr="00027624">
        <w:fldChar w:fldCharType="begin"/>
      </w:r>
      <w:r w:rsidRPr="00027624">
        <w:instrText xml:space="preserve"> REF _Ref42261507 \r \h  \* MERGEFORMAT </w:instrText>
      </w:r>
      <w:r w:rsidRPr="00027624">
        <w:fldChar w:fldCharType="separate"/>
      </w:r>
      <w:r w:rsidR="00891058">
        <w:t>Chart 2C-13</w:t>
      </w:r>
      <w:r w:rsidRPr="00027624">
        <w:fldChar w:fldCharType="end"/>
      </w:r>
      <w:r w:rsidRPr="00027624">
        <w:t>).</w:t>
      </w:r>
    </w:p>
    <w:p w14:paraId="33162D6D" w14:textId="77777777" w:rsidR="0092760B" w:rsidRPr="00027624" w:rsidRDefault="0092760B" w:rsidP="00325A8D">
      <w:pPr>
        <w:pStyle w:val="ChartMainHeading"/>
      </w:pPr>
      <w:bookmarkStart w:id="551" w:name="_Ref41991386"/>
      <w:bookmarkStart w:id="552" w:name="_Ref42261507"/>
      <w:r w:rsidRPr="00027624">
        <w:t>Comparison of utilisation of COVID</w:t>
      </w:r>
      <w:r w:rsidR="00A8443E" w:rsidRPr="00027624">
        <w:noBreakHyphen/>
      </w:r>
      <w:r w:rsidRPr="00027624">
        <w:t xml:space="preserve">19 Pandemic early release of superannuation with the share of </w:t>
      </w:r>
      <w:bookmarkEnd w:id="551"/>
      <w:r w:rsidRPr="00027624">
        <w:t>newly unemployed people, by age</w:t>
      </w:r>
    </w:p>
    <w:bookmarkEnd w:id="552"/>
    <w:p w14:paraId="74D98C7B" w14:textId="77777777" w:rsidR="0092760B" w:rsidRPr="00027624" w:rsidRDefault="006445C3" w:rsidP="002A2FAE">
      <w:pPr>
        <w:pStyle w:val="ChartGraphic"/>
      </w:pPr>
      <w:r>
        <w:rPr>
          <w:noProof/>
        </w:rPr>
        <w:drawing>
          <wp:inline distT="0" distB="0" distL="0" distR="0" wp14:anchorId="4E912351" wp14:editId="3104B311">
            <wp:extent cx="5547360" cy="2529840"/>
            <wp:effectExtent l="0" t="0" r="0" b="3810"/>
            <wp:docPr id="761061979" name="Picture 761061979" descr="This chart shows a correlation between age groups that experienced an increase in unemployment following the start of the COVID-19 Pandemic and accessing early release. Younger people were more likely to become unemployed and more likely to access early release. " title="Chart 2C-13 Comparison of utilisation of COVID-19 Pandemic early release of superannuation with the share of newly unemployed people,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47360" cy="2529840"/>
                    </a:xfrm>
                    <a:prstGeom prst="rect">
                      <a:avLst/>
                    </a:prstGeom>
                    <a:noFill/>
                  </pic:spPr>
                </pic:pic>
              </a:graphicData>
            </a:graphic>
          </wp:inline>
        </w:drawing>
      </w:r>
    </w:p>
    <w:p w14:paraId="58EF3B60" w14:textId="77777777" w:rsidR="0092760B" w:rsidRPr="00027624" w:rsidRDefault="0092760B" w:rsidP="002A2FAE">
      <w:pPr>
        <w:pStyle w:val="ChartorTableNote"/>
      </w:pPr>
      <w:r w:rsidRPr="00027624">
        <w:t>Note: Share of people applying for COVID</w:t>
      </w:r>
      <w:r w:rsidR="00A8443E" w:rsidRPr="00027624">
        <w:noBreakHyphen/>
      </w:r>
      <w:r w:rsidRPr="00027624">
        <w:t>19 early release of superannuation who were aged 20 or over as at 11 May 2020, share of new unemployed in March and April 2020 who are aged 21 or over. Age brackets shown on the chart are for the share of early release of superannuation. Age brackets for the share of new unemployed are five</w:t>
      </w:r>
      <w:r w:rsidR="00A8443E" w:rsidRPr="00027624">
        <w:noBreakHyphen/>
      </w:r>
      <w:r w:rsidRPr="00027624">
        <w:t xml:space="preserve">year brackets starting from age 20 (rather than 21). Source: </w:t>
      </w:r>
      <w:sdt>
        <w:sdtPr>
          <w:id w:val="1579633795"/>
          <w:citation/>
        </w:sdtPr>
        <w:sdtEndPr/>
        <w:sdtContent>
          <w:r w:rsidRPr="00027624">
            <w:fldChar w:fldCharType="begin"/>
          </w:r>
          <w:r w:rsidRPr="00027624">
            <w:instrText xml:space="preserve"> CITATION ABS20v \l 3081 </w:instrText>
          </w:r>
          <w:r w:rsidRPr="00027624">
            <w:fldChar w:fldCharType="separate"/>
          </w:r>
          <w:r w:rsidR="00E83F6E">
            <w:rPr>
              <w:noProof/>
            </w:rPr>
            <w:t>(ABS, 2020i)</w:t>
          </w:r>
          <w:r w:rsidRPr="00027624">
            <w:fldChar w:fldCharType="end"/>
          </w:r>
        </w:sdtContent>
      </w:sdt>
      <w:r w:rsidRPr="00027624">
        <w:t xml:space="preserve"> and </w:t>
      </w:r>
      <w:sdt>
        <w:sdtPr>
          <w:id w:val="-1040436161"/>
          <w:citation/>
        </w:sdtPr>
        <w:sdtEndPr/>
        <w:sdtContent>
          <w:r w:rsidRPr="00027624">
            <w:fldChar w:fldCharType="begin"/>
          </w:r>
          <w:r w:rsidRPr="00027624">
            <w:instrText xml:space="preserve"> CITATION Sen20 \l 3081 </w:instrText>
          </w:r>
          <w:r w:rsidRPr="00027624">
            <w:fldChar w:fldCharType="separate"/>
          </w:r>
          <w:r w:rsidR="00E83F6E">
            <w:rPr>
              <w:noProof/>
            </w:rPr>
            <w:t>(Senate Standing Committee on COVID-19, 2020)</w:t>
          </w:r>
          <w:r w:rsidRPr="00027624">
            <w:fldChar w:fldCharType="end"/>
          </w:r>
        </w:sdtContent>
      </w:sdt>
      <w:r w:rsidRPr="00027624">
        <w:t>.</w:t>
      </w:r>
    </w:p>
    <w:p w14:paraId="6CC5B2E8" w14:textId="77777777" w:rsidR="0092760B" w:rsidRPr="00027624" w:rsidRDefault="0092760B" w:rsidP="002A2FAE">
      <w:r w:rsidRPr="00027624">
        <w:t xml:space="preserve">Other circumstances that might justify the early release of superannuation were considered as part of the </w:t>
      </w:r>
      <w:r w:rsidRPr="00027624">
        <w:rPr>
          <w:i/>
        </w:rPr>
        <w:t>Review of the early release of superannuation benefits</w:t>
      </w:r>
      <w:sdt>
        <w:sdtPr>
          <w:id w:val="163752803"/>
          <w:citation/>
        </w:sdtPr>
        <w:sdtEndPr/>
        <w:sdtContent>
          <w:r w:rsidRPr="00027624">
            <w:fldChar w:fldCharType="begin"/>
          </w:r>
          <w:r w:rsidRPr="00027624">
            <w:instrText xml:space="preserve">CITATION Tre18SU \l 3081 </w:instrText>
          </w:r>
          <w:r w:rsidRPr="00027624">
            <w:fldChar w:fldCharType="separate"/>
          </w:r>
          <w:r w:rsidR="00E83F6E">
            <w:rPr>
              <w:noProof/>
            </w:rPr>
            <w:t xml:space="preserve"> (The Treasury, 2018c)</w:t>
          </w:r>
          <w:r w:rsidRPr="00027624">
            <w:fldChar w:fldCharType="end"/>
          </w:r>
        </w:sdtContent>
      </w:sdt>
      <w:r w:rsidRPr="00027624">
        <w:t>. Examples explored included paying rental arrears (as opposed to mortgage arrears) and situations of family or domestic violence.</w:t>
      </w:r>
    </w:p>
    <w:p w14:paraId="776D50BC" w14:textId="77777777" w:rsidR="0092760B" w:rsidRPr="00027624" w:rsidRDefault="0092760B" w:rsidP="002A2FAE">
      <w:r w:rsidRPr="00027624">
        <w:t>Some countries have a more open approach to early access to retirement savings. For example, in the US there is an option to access retirement funds early without any assessment of need, but the funds released are taxed as income at marginal rates plus a 10 per cent penalty.</w:t>
      </w:r>
    </w:p>
    <w:p w14:paraId="37BF3036" w14:textId="77777777" w:rsidR="0092760B" w:rsidRPr="00027624" w:rsidRDefault="0092760B" w:rsidP="002A2FAE">
      <w:r w:rsidRPr="00027624">
        <w:rPr>
          <w:b/>
          <w:bCs/>
        </w:rPr>
        <w:t>Offering prudent and limited access to superannuation prior to retirement is consistent with the objective of balancing living standards pre</w:t>
      </w:r>
      <w:r w:rsidR="00A8443E" w:rsidRPr="00027624">
        <w:rPr>
          <w:b/>
          <w:bCs/>
        </w:rPr>
        <w:noBreakHyphen/>
      </w:r>
      <w:r w:rsidRPr="00027624">
        <w:rPr>
          <w:b/>
          <w:bCs/>
        </w:rPr>
        <w:t xml:space="preserve"> and post</w:t>
      </w:r>
      <w:r w:rsidR="00A8443E" w:rsidRPr="00027624">
        <w:rPr>
          <w:b/>
          <w:bCs/>
        </w:rPr>
        <w:noBreakHyphen/>
      </w:r>
      <w:r w:rsidRPr="00027624">
        <w:rPr>
          <w:b/>
          <w:bCs/>
        </w:rPr>
        <w:t xml:space="preserve">retirement. </w:t>
      </w:r>
      <w:r w:rsidRPr="00027624">
        <w:t>Early access allows the system to respond to financial pressures people may face while still facilitating saving for retirement. Equally, superannuation is not intended to solve every financial problem experienced in working life. Shifting the balance too far in that direction would compromise its main objective of providing retirement income.</w:t>
      </w:r>
    </w:p>
    <w:p w14:paraId="3CA96175" w14:textId="77777777" w:rsidR="0092760B" w:rsidRPr="00027624" w:rsidRDefault="0092760B" w:rsidP="002A2FAE">
      <w:pPr>
        <w:pStyle w:val="Heading2"/>
      </w:pPr>
      <w:bookmarkStart w:id="553" w:name="_Toc45520473"/>
      <w:bookmarkStart w:id="554" w:name="_Toc46133583"/>
      <w:r w:rsidRPr="00027624">
        <w:t>Assessing outcomes for future retirees</w:t>
      </w:r>
      <w:bookmarkEnd w:id="553"/>
      <w:bookmarkEnd w:id="554"/>
    </w:p>
    <w:p w14:paraId="490C972D" w14:textId="77777777" w:rsidR="0092760B" w:rsidRPr="00027624" w:rsidRDefault="0092760B" w:rsidP="002A2FAE">
      <w:r w:rsidRPr="00027624">
        <w:t>Future outcome for retirees were modelled to assess whether the retirement income system is on track to deliver adequate outcomes.</w:t>
      </w:r>
    </w:p>
    <w:p w14:paraId="031072BE" w14:textId="77777777" w:rsidR="0092760B" w:rsidRPr="00027624" w:rsidRDefault="0092760B" w:rsidP="002A2FAE">
      <w:pPr>
        <w:pStyle w:val="Heading3"/>
      </w:pPr>
      <w:r w:rsidRPr="00027624">
        <w:lastRenderedPageBreak/>
        <w:t>How cameo modelling works</w:t>
      </w:r>
    </w:p>
    <w:p w14:paraId="290E8AE3" w14:textId="77777777" w:rsidR="0092760B" w:rsidRPr="00027624" w:rsidRDefault="0092760B" w:rsidP="002A2FAE">
      <w:pPr>
        <w:pStyle w:val="Heading4"/>
      </w:pPr>
      <w:r w:rsidRPr="00027624">
        <w:t>The cameo model</w:t>
      </w:r>
    </w:p>
    <w:p w14:paraId="2DF2F239" w14:textId="77777777" w:rsidR="0092760B" w:rsidRPr="00027624" w:rsidRDefault="0092760B" w:rsidP="002A2FAE">
      <w:r w:rsidRPr="00027624">
        <w:rPr>
          <w:b/>
        </w:rPr>
        <w:t>A hypothetical lifetime cameo retirement income model was used to measure retirement outcomes.</w:t>
      </w:r>
      <w:r w:rsidRPr="00027624">
        <w:t xml:space="preserve"> The model incorporates current policy settings, including the legislated increase in the SG rate to 12 per cent.</w:t>
      </w:r>
    </w:p>
    <w:p w14:paraId="5C433153" w14:textId="77777777" w:rsidR="0092760B" w:rsidRPr="00027624" w:rsidRDefault="0092760B" w:rsidP="002A2FAE">
      <w:r w:rsidRPr="00027624">
        <w:t xml:space="preserve">The model simulates the income of hypothetical individuals or couples starting work today for each year of their working life and retirement (see </w:t>
      </w:r>
      <w:r w:rsidRPr="00027624">
        <w:rPr>
          <w:i/>
        </w:rPr>
        <w:t>Appendix 6A. Detailed modelling methods and assumptions</w:t>
      </w:r>
      <w:r w:rsidRPr="00027624">
        <w:t>). Income earned each year is the average for employees adjusted for age and a person</w:t>
      </w:r>
      <w:r w:rsidR="00A8443E" w:rsidRPr="00027624">
        <w:t>’</w:t>
      </w:r>
      <w:r w:rsidRPr="00027624">
        <w:t>s point in the income distribution. Based on their age and income, people save over their working life to both superannuation and private savings. Upon retiring, they draw down these assets and could be eligible for the Age Pension.</w:t>
      </w:r>
    </w:p>
    <w:p w14:paraId="18C814F9" w14:textId="77777777" w:rsidR="0092760B" w:rsidRPr="00027624" w:rsidRDefault="0092760B" w:rsidP="002A2FAE">
      <w:r w:rsidRPr="00027624">
        <w:t>The model used has been adapted from Treasury</w:t>
      </w:r>
      <w:r w:rsidR="00A8443E" w:rsidRPr="00027624">
        <w:t>’</w:t>
      </w:r>
      <w:r w:rsidRPr="00027624">
        <w:t xml:space="preserve">s Excel Model of Retirement Incomes (EMORI). EMORI was extended, including by building in new data and assumptions and expanding the functionality for sensitivity analysis (see </w:t>
      </w:r>
      <w:r w:rsidRPr="00027624">
        <w:rPr>
          <w:i/>
        </w:rPr>
        <w:t>Appendix 6A. Detailed modelling methods and assumptions</w:t>
      </w:r>
      <w:r w:rsidRPr="00027624">
        <w:t>).</w:t>
      </w:r>
    </w:p>
    <w:p w14:paraId="4ED94370" w14:textId="77777777" w:rsidR="0092760B" w:rsidRPr="00027624" w:rsidRDefault="0092760B" w:rsidP="002A2FAE">
      <w:r w:rsidRPr="00027624">
        <w:t>Model results were tested to ensure they capture how typical Australians save for retirement. This testing shows the model produces similar superannuation balances to people who are currently working and superannuation balances at retirement that are similar to other long</w:t>
      </w:r>
      <w:r w:rsidR="00A8443E" w:rsidRPr="00027624">
        <w:noBreakHyphen/>
      </w:r>
      <w:r w:rsidRPr="00027624">
        <w:t xml:space="preserve">term models (see </w:t>
      </w:r>
      <w:r w:rsidRPr="00027624">
        <w:rPr>
          <w:i/>
        </w:rPr>
        <w:t>Appendix 6A. Detailed modelling methods and assumptions</w:t>
      </w:r>
      <w:r w:rsidRPr="00027624">
        <w:t>).</w:t>
      </w:r>
    </w:p>
    <w:p w14:paraId="7FFCF541" w14:textId="77777777" w:rsidR="0092760B" w:rsidRPr="00027624" w:rsidRDefault="0092760B" w:rsidP="002A2FAE">
      <w:pPr>
        <w:pStyle w:val="Heading4"/>
      </w:pPr>
      <w:r w:rsidRPr="00027624">
        <w:t>Groups analysed</w:t>
      </w:r>
    </w:p>
    <w:p w14:paraId="2659A917" w14:textId="77777777" w:rsidR="0092760B" w:rsidRPr="00027624" w:rsidRDefault="0092760B" w:rsidP="002A2FAE">
      <w:r w:rsidRPr="00027624">
        <w:t>The cameo modelling covered a representative range of Australians. The central case covered people with typical working lives and analysed outcomes for individuals, couples and women. Analysis was also conducted for multiple household types, including singles, couples and women.</w:t>
      </w:r>
    </w:p>
    <w:p w14:paraId="58B88F2D" w14:textId="77777777" w:rsidR="0092760B" w:rsidRPr="00027624" w:rsidRDefault="0092760B" w:rsidP="002A2FAE">
      <w:r w:rsidRPr="00027624">
        <w:t>Significant sensitivity testing was conducted as no one set of assumptions can cover Australia</w:t>
      </w:r>
      <w:r w:rsidR="00A8443E" w:rsidRPr="00027624">
        <w:t>’</w:t>
      </w:r>
      <w:r w:rsidRPr="00027624">
        <w:t>s diverse population. Where possible, these sensitivity tests were informed by the actual distribution of outcomes in the population.</w:t>
      </w:r>
    </w:p>
    <w:p w14:paraId="3B59978D" w14:textId="77777777" w:rsidR="0092760B" w:rsidRPr="00027624" w:rsidRDefault="0092760B" w:rsidP="002A2FAE">
      <w:r w:rsidRPr="00027624">
        <w:t>The cameo modelling does not include some segments of the population, such as:</w:t>
      </w:r>
    </w:p>
    <w:p w14:paraId="7717CCC4" w14:textId="77777777" w:rsidR="0092760B" w:rsidRPr="00027624" w:rsidRDefault="0092760B" w:rsidP="0092760B">
      <w:pPr>
        <w:pStyle w:val="Bullet"/>
      </w:pPr>
      <w:r w:rsidRPr="00027624">
        <w:rPr>
          <w:b/>
          <w:bCs/>
        </w:rPr>
        <w:t>Individuals with little or no wage income</w:t>
      </w:r>
      <w:r w:rsidRPr="00027624">
        <w:t>. For example, people with marginal attachment to the workforce or with a disability that limits their ability to work. Data from the Department of Social Services Priority Investment Approach to Welfare Actuarial Modelling shows that around 10 per cent of the population do not work much for at least 15 years prior to retirement (</w:t>
      </w:r>
      <w:r w:rsidRPr="00027624">
        <w:rPr>
          <w:i/>
        </w:rPr>
        <w:t>Appendix 6A. Detailed modelling methods and assumptions</w:t>
      </w:r>
      <w:r w:rsidRPr="00027624">
        <w:t>). Assessment of adequacy outcomes compared to a minimum standard is more appropriate for this group.</w:t>
      </w:r>
    </w:p>
    <w:p w14:paraId="67178585" w14:textId="77777777" w:rsidR="0092760B" w:rsidRPr="00027624" w:rsidRDefault="0092760B" w:rsidP="0092760B">
      <w:pPr>
        <w:pStyle w:val="Bullet"/>
      </w:pPr>
      <w:r w:rsidRPr="00027624">
        <w:rPr>
          <w:b/>
          <w:bCs/>
        </w:rPr>
        <w:t>People in self</w:t>
      </w:r>
      <w:r w:rsidR="00A8443E" w:rsidRPr="00027624">
        <w:rPr>
          <w:b/>
          <w:bCs/>
        </w:rPr>
        <w:noBreakHyphen/>
      </w:r>
      <w:r w:rsidRPr="00027624">
        <w:rPr>
          <w:b/>
          <w:bCs/>
        </w:rPr>
        <w:t>employment</w:t>
      </w:r>
      <w:r w:rsidRPr="00027624">
        <w:t>. Significantly different SG rules apply to people in non</w:t>
      </w:r>
      <w:r w:rsidR="00A8443E" w:rsidRPr="00027624">
        <w:noBreakHyphen/>
      </w:r>
      <w:r w:rsidRPr="00027624">
        <w:t xml:space="preserve">standard employment. See </w:t>
      </w:r>
      <w:r w:rsidR="009C3D63">
        <w:rPr>
          <w:i/>
          <w:iCs/>
        </w:rPr>
        <w:t>3D. SG coverage</w:t>
      </w:r>
      <w:r w:rsidRPr="00027624">
        <w:t xml:space="preserve"> for a detailed explanation of the complex issues surrounding the retirement outcomes for self</w:t>
      </w:r>
      <w:r w:rsidR="00A8443E" w:rsidRPr="00027624">
        <w:noBreakHyphen/>
      </w:r>
      <w:r w:rsidRPr="00027624">
        <w:t>employed people.</w:t>
      </w:r>
    </w:p>
    <w:p w14:paraId="0C6A2526" w14:textId="77777777" w:rsidR="0092760B" w:rsidRPr="00027624" w:rsidRDefault="0092760B" w:rsidP="00907FE9">
      <w:pPr>
        <w:pStyle w:val="Heading4"/>
        <w:rPr>
          <w:rFonts w:eastAsiaTheme="minorHAnsi"/>
          <w:noProof/>
        </w:rPr>
      </w:pPr>
      <w:r w:rsidRPr="00027624">
        <w:rPr>
          <w:rFonts w:eastAsiaTheme="minorHAnsi"/>
          <w:noProof/>
        </w:rPr>
        <w:t>Assumptions</w:t>
      </w:r>
    </w:p>
    <w:p w14:paraId="5F1FD082" w14:textId="77777777" w:rsidR="0092760B" w:rsidRPr="00027624" w:rsidRDefault="0092760B" w:rsidP="002A2FAE">
      <w:r w:rsidRPr="00027624">
        <w:t xml:space="preserve">All retirement income models use assumptions to project future outcomes. </w:t>
      </w:r>
      <w:r w:rsidRPr="00027624">
        <w:rPr>
          <w:b/>
        </w:rPr>
        <w:t>The assumptions used in the modelling in this review are evidence</w:t>
      </w:r>
      <w:r w:rsidR="00A8443E" w:rsidRPr="00027624">
        <w:rPr>
          <w:b/>
        </w:rPr>
        <w:noBreakHyphen/>
      </w:r>
      <w:r w:rsidRPr="00027624">
        <w:rPr>
          <w:b/>
        </w:rPr>
        <w:t>based, use leading data sources and align with the intent of government policy.</w:t>
      </w:r>
    </w:p>
    <w:p w14:paraId="628F03C9" w14:textId="77777777" w:rsidR="0092760B" w:rsidRPr="00027624" w:rsidRDefault="0092760B" w:rsidP="002A2FAE">
      <w:pPr>
        <w:rPr>
          <w:i/>
        </w:rPr>
      </w:pPr>
      <w:r w:rsidRPr="00027624">
        <w:rPr>
          <w:b/>
          <w:bCs/>
        </w:rPr>
        <w:t>Consistent with the policy intent that superannuation is to provide income in retirement, the modelling assumes retirees use all their superannuation assets to support their living standards in retirement.</w:t>
      </w:r>
      <w:r w:rsidRPr="00027624">
        <w:t xml:space="preserve"> This assumption shows what the system is able to deliver under current policy settings </w:t>
      </w:r>
      <w:r w:rsidRPr="00027624">
        <w:lastRenderedPageBreak/>
        <w:t>and recognises efforts to develop appropriate products to assist people to draw down their assets in retirement. The assumption that people use their assets is</w:t>
      </w:r>
      <w:r w:rsidRPr="00027624" w:rsidDel="004A6FA9">
        <w:t xml:space="preserve"> frequently used in re</w:t>
      </w:r>
      <w:r w:rsidRPr="00027624">
        <w:t xml:space="preserve">tirement modelling including in </w:t>
      </w:r>
      <w:r w:rsidRPr="00027624">
        <w:rPr>
          <w:i/>
        </w:rPr>
        <w:t>Australia</w:t>
      </w:r>
      <w:r w:rsidR="00A8443E" w:rsidRPr="00027624">
        <w:rPr>
          <w:i/>
        </w:rPr>
        <w:t>’</w:t>
      </w:r>
      <w:r w:rsidRPr="00027624">
        <w:rPr>
          <w:i/>
        </w:rPr>
        <w:t>s Future Tax System Review</w:t>
      </w:r>
      <w:r w:rsidRPr="00027624" w:rsidDel="004A6FA9">
        <w:t>, and submissions to the review from the superannuation industry and other stakeholders</w:t>
      </w:r>
      <w:r w:rsidRPr="00027624">
        <w:t>.</w:t>
      </w:r>
      <w:r w:rsidRPr="00027624">
        <w:rPr>
          <w:rStyle w:val="FootnoteReference"/>
        </w:rPr>
        <w:footnoteReference w:id="107"/>
      </w:r>
      <w:r w:rsidR="00B2720D" w:rsidRPr="00027624">
        <w:t xml:space="preserve"> </w:t>
      </w:r>
      <w:r w:rsidRPr="00027624">
        <w:t xml:space="preserve">Most retirees, however, do not efficiently use their assets in retirement. This is discussed in </w:t>
      </w:r>
      <w:r w:rsidRPr="00027624">
        <w:rPr>
          <w:i/>
        </w:rPr>
        <w:t>5A. Cohesion</w:t>
      </w:r>
      <w:r w:rsidRPr="00027624">
        <w:t>.</w:t>
      </w:r>
    </w:p>
    <w:p w14:paraId="239119D3" w14:textId="4B30BB99" w:rsidR="0092760B" w:rsidRPr="00027624" w:rsidRDefault="0092760B" w:rsidP="002A2FAE">
      <w:r w:rsidRPr="00027624">
        <w:t>Major assumptions for the central case and associated sensitivity analysis are included below (</w:t>
      </w:r>
      <w:r w:rsidRPr="00027624">
        <w:fldChar w:fldCharType="begin"/>
      </w:r>
      <w:r w:rsidRPr="00027624">
        <w:instrText xml:space="preserve"> REF _Ref39251784 \r \h </w:instrText>
      </w:r>
      <w:r w:rsidR="00FA7639" w:rsidRPr="00027624">
        <w:instrText xml:space="preserve"> \* MERGEFORMAT </w:instrText>
      </w:r>
      <w:r w:rsidRPr="00027624">
        <w:fldChar w:fldCharType="separate"/>
      </w:r>
      <w:r w:rsidR="00891058">
        <w:t>Table 2C-2</w:t>
      </w:r>
      <w:r w:rsidRPr="00027624">
        <w:fldChar w:fldCharType="end"/>
      </w:r>
      <w:r w:rsidRPr="00027624">
        <w:t>). In addition to the assumption that retirees draw down their superannuation in retirement, two other assumptions that have a big impact on replacement rates are:</w:t>
      </w:r>
    </w:p>
    <w:p w14:paraId="10988B66" w14:textId="77777777" w:rsidR="0092760B" w:rsidRPr="00027624" w:rsidRDefault="0092760B" w:rsidP="00FC7361">
      <w:pPr>
        <w:pStyle w:val="OutlineNumbered1"/>
        <w:numPr>
          <w:ilvl w:val="0"/>
          <w:numId w:val="87"/>
        </w:numPr>
        <w:ind w:left="908" w:hanging="454"/>
      </w:pPr>
      <w:r w:rsidRPr="00027624">
        <w:t xml:space="preserve">How spending needs grow in retirement (see </w:t>
      </w:r>
      <w:r w:rsidRPr="00027624">
        <w:rPr>
          <w:i/>
        </w:rPr>
        <w:t>How spending needs grow in retirement</w:t>
      </w:r>
      <w:r w:rsidRPr="00027624">
        <w:t>, above).</w:t>
      </w:r>
    </w:p>
    <w:p w14:paraId="47287011" w14:textId="77777777" w:rsidR="0092760B" w:rsidRPr="00027624" w:rsidRDefault="0092760B" w:rsidP="00716CEE">
      <w:pPr>
        <w:pStyle w:val="OutlineNumbered1"/>
      </w:pPr>
      <w:r w:rsidRPr="00027624">
        <w:t xml:space="preserve">Whether individuals retire before or after preservation age (see </w:t>
      </w:r>
      <w:r w:rsidRPr="00027624">
        <w:rPr>
          <w:i/>
        </w:rPr>
        <w:t>Years in the workforce</w:t>
      </w:r>
      <w:r w:rsidRPr="00027624">
        <w:t>, below).</w:t>
      </w:r>
    </w:p>
    <w:p w14:paraId="756015DD" w14:textId="77777777" w:rsidR="0092760B" w:rsidRPr="00027624" w:rsidRDefault="0092760B" w:rsidP="002A2FAE">
      <w:r w:rsidRPr="00027624">
        <w:t xml:space="preserve">See the </w:t>
      </w:r>
      <w:r w:rsidRPr="00027624">
        <w:rPr>
          <w:i/>
        </w:rPr>
        <w:t>Appendix 6A. Detailed modelling methods and assumptions</w:t>
      </w:r>
      <w:r w:rsidRPr="00027624">
        <w:t xml:space="preserve"> for further details of evidence behind the assumptions.</w:t>
      </w:r>
    </w:p>
    <w:p w14:paraId="0233A963" w14:textId="77777777" w:rsidR="0092760B" w:rsidRPr="00027624" w:rsidRDefault="0092760B" w:rsidP="00325A8D">
      <w:pPr>
        <w:pStyle w:val="TableMainHeading"/>
      </w:pPr>
      <w:bookmarkStart w:id="555" w:name="_Ref39251784"/>
      <w:r w:rsidRPr="00027624">
        <w:t>Major central case modelling assumptions</w:t>
      </w:r>
      <w:bookmarkEnd w:id="555"/>
    </w:p>
    <w:tbl>
      <w:tblPr>
        <w:tblW w:w="5000" w:type="pct"/>
        <w:tblLook w:val="01E0" w:firstRow="1" w:lastRow="1" w:firstColumn="1" w:lastColumn="1" w:noHBand="0" w:noVBand="0"/>
      </w:tblPr>
      <w:tblGrid>
        <w:gridCol w:w="2265"/>
        <w:gridCol w:w="2269"/>
        <w:gridCol w:w="2268"/>
        <w:gridCol w:w="2268"/>
      </w:tblGrid>
      <w:tr w:rsidR="0092760B" w:rsidRPr="00027624" w14:paraId="1C73F644" w14:textId="77777777" w:rsidTr="002A2FAE">
        <w:trPr>
          <w:trHeight w:val="270"/>
          <w:tblHeader/>
        </w:trPr>
        <w:tc>
          <w:tcPr>
            <w:tcW w:w="1249" w:type="pct"/>
            <w:shd w:val="clear" w:color="auto" w:fill="E5E5E5"/>
          </w:tcPr>
          <w:p w14:paraId="12F5F63C" w14:textId="77777777" w:rsidR="0092760B" w:rsidRPr="00027624" w:rsidRDefault="0092760B" w:rsidP="002A2FAE">
            <w:pPr>
              <w:pStyle w:val="TableColumnHeadingLeft"/>
            </w:pPr>
            <w:r w:rsidRPr="00027624">
              <w:t>Assumption</w:t>
            </w:r>
          </w:p>
        </w:tc>
        <w:tc>
          <w:tcPr>
            <w:tcW w:w="1251" w:type="pct"/>
            <w:shd w:val="clear" w:color="auto" w:fill="E5E5E5"/>
          </w:tcPr>
          <w:p w14:paraId="00F42947" w14:textId="77777777" w:rsidR="0092760B" w:rsidRPr="00027624" w:rsidRDefault="0092760B">
            <w:pPr>
              <w:pStyle w:val="TableColumnHeadingCentred"/>
              <w:jc w:val="left"/>
            </w:pPr>
            <w:r w:rsidRPr="00027624">
              <w:t>Central case</w:t>
            </w:r>
          </w:p>
        </w:tc>
        <w:tc>
          <w:tcPr>
            <w:tcW w:w="1250" w:type="pct"/>
            <w:shd w:val="clear" w:color="auto" w:fill="E5E5E5"/>
          </w:tcPr>
          <w:p w14:paraId="31E04C3B" w14:textId="77777777" w:rsidR="0092760B" w:rsidRPr="00027624" w:rsidRDefault="0092760B">
            <w:pPr>
              <w:pStyle w:val="TableColumnHeadingCentred"/>
              <w:jc w:val="left"/>
            </w:pPr>
            <w:r w:rsidRPr="00027624">
              <w:t>Basis</w:t>
            </w:r>
          </w:p>
        </w:tc>
        <w:tc>
          <w:tcPr>
            <w:tcW w:w="1250" w:type="pct"/>
            <w:shd w:val="clear" w:color="auto" w:fill="E5E5E5"/>
          </w:tcPr>
          <w:p w14:paraId="04D93932" w14:textId="77777777" w:rsidR="0092760B" w:rsidRPr="00027624" w:rsidRDefault="0092760B">
            <w:pPr>
              <w:pStyle w:val="TableColumnHeadingCentred"/>
              <w:jc w:val="left"/>
            </w:pPr>
            <w:r w:rsidRPr="00027624">
              <w:t>Sensitivity testing</w:t>
            </w:r>
          </w:p>
        </w:tc>
      </w:tr>
      <w:tr w:rsidR="0092760B" w:rsidRPr="00027624" w14:paraId="30CBD8C3" w14:textId="77777777" w:rsidTr="002A2FAE">
        <w:trPr>
          <w:trHeight w:val="270"/>
        </w:trPr>
        <w:tc>
          <w:tcPr>
            <w:tcW w:w="1249" w:type="pct"/>
          </w:tcPr>
          <w:p w14:paraId="27BB484A" w14:textId="77777777" w:rsidR="0092760B" w:rsidRPr="00027624" w:rsidRDefault="0092760B" w:rsidP="002A2FAE">
            <w:pPr>
              <w:pStyle w:val="TableTextLeft"/>
            </w:pPr>
            <w:r w:rsidRPr="00027624">
              <w:t>Life expectancy</w:t>
            </w:r>
          </w:p>
        </w:tc>
        <w:tc>
          <w:tcPr>
            <w:tcW w:w="1251" w:type="pct"/>
          </w:tcPr>
          <w:p w14:paraId="56D0F5D7" w14:textId="77777777" w:rsidR="0092760B" w:rsidRPr="00027624" w:rsidRDefault="0092760B" w:rsidP="002A2FAE">
            <w:pPr>
              <w:pStyle w:val="TableTextCentered"/>
              <w:jc w:val="left"/>
            </w:pPr>
            <w:r w:rsidRPr="00027624">
              <w:t>92 years</w:t>
            </w:r>
          </w:p>
        </w:tc>
        <w:tc>
          <w:tcPr>
            <w:tcW w:w="1250" w:type="pct"/>
          </w:tcPr>
          <w:p w14:paraId="29742F15" w14:textId="77777777" w:rsidR="0092760B" w:rsidRPr="00027624" w:rsidRDefault="0092760B" w:rsidP="002A2FAE">
            <w:pPr>
              <w:pStyle w:val="TableTextCentered"/>
              <w:jc w:val="left"/>
            </w:pPr>
            <w:r w:rsidRPr="00027624">
              <w:t xml:space="preserve">Projections from 2015 Intergenerational Report (IGR) </w:t>
            </w:r>
          </w:p>
        </w:tc>
        <w:tc>
          <w:tcPr>
            <w:tcW w:w="1250" w:type="pct"/>
          </w:tcPr>
          <w:p w14:paraId="693EFF0F" w14:textId="77777777" w:rsidR="0092760B" w:rsidRPr="00027624" w:rsidRDefault="0092760B">
            <w:pPr>
              <w:pStyle w:val="TableTextCentered"/>
              <w:jc w:val="left"/>
            </w:pPr>
            <w:r w:rsidRPr="00027624">
              <w:t>Longer life expectancy</w:t>
            </w:r>
          </w:p>
        </w:tc>
      </w:tr>
      <w:tr w:rsidR="0092760B" w:rsidRPr="00027624" w14:paraId="6456EDF5" w14:textId="77777777" w:rsidTr="002A2FAE">
        <w:trPr>
          <w:trHeight w:val="270"/>
        </w:trPr>
        <w:tc>
          <w:tcPr>
            <w:tcW w:w="1249" w:type="pct"/>
          </w:tcPr>
          <w:p w14:paraId="1747836A" w14:textId="77777777" w:rsidR="0092760B" w:rsidRPr="00027624" w:rsidRDefault="0092760B" w:rsidP="002A2FAE">
            <w:pPr>
              <w:pStyle w:val="TableTextLeft"/>
            </w:pPr>
            <w:r w:rsidRPr="00027624">
              <w:t>Length of working life</w:t>
            </w:r>
          </w:p>
        </w:tc>
        <w:tc>
          <w:tcPr>
            <w:tcW w:w="1251" w:type="pct"/>
          </w:tcPr>
          <w:p w14:paraId="2D89336E" w14:textId="77777777" w:rsidR="0092760B" w:rsidRPr="00027624" w:rsidRDefault="0092760B" w:rsidP="002A2FAE">
            <w:pPr>
              <w:pStyle w:val="TableTextCentered"/>
              <w:jc w:val="left"/>
            </w:pPr>
            <w:r w:rsidRPr="00027624">
              <w:t>40 years</w:t>
            </w:r>
          </w:p>
        </w:tc>
        <w:tc>
          <w:tcPr>
            <w:tcW w:w="1250" w:type="pct"/>
          </w:tcPr>
          <w:p w14:paraId="0386C61A" w14:textId="77777777" w:rsidR="0092760B" w:rsidRPr="00027624" w:rsidRDefault="0092760B">
            <w:pPr>
              <w:pStyle w:val="TableTextCentered"/>
              <w:jc w:val="left"/>
            </w:pPr>
            <w:r w:rsidRPr="00027624">
              <w:t>Median in HILDA, checked against labour force trends and MARIA modelling.</w:t>
            </w:r>
          </w:p>
        </w:tc>
        <w:tc>
          <w:tcPr>
            <w:tcW w:w="1250" w:type="pct"/>
          </w:tcPr>
          <w:p w14:paraId="646A7D54" w14:textId="77777777" w:rsidR="0092760B" w:rsidRPr="00027624" w:rsidRDefault="0092760B">
            <w:pPr>
              <w:pStyle w:val="TableTextCentered"/>
              <w:jc w:val="left"/>
            </w:pPr>
            <w:r w:rsidRPr="00027624">
              <w:t>Testing of different career lengths, checked against careers of retirees today.</w:t>
            </w:r>
          </w:p>
        </w:tc>
      </w:tr>
      <w:tr w:rsidR="0092760B" w:rsidRPr="00027624" w14:paraId="2615E186" w14:textId="77777777" w:rsidTr="002A2FAE">
        <w:trPr>
          <w:trHeight w:val="270"/>
        </w:trPr>
        <w:tc>
          <w:tcPr>
            <w:tcW w:w="1249" w:type="pct"/>
          </w:tcPr>
          <w:p w14:paraId="75F3C62A" w14:textId="77777777" w:rsidR="0092760B" w:rsidRPr="00027624" w:rsidRDefault="0092760B" w:rsidP="002A2FAE">
            <w:pPr>
              <w:pStyle w:val="TableTextLeft"/>
            </w:pPr>
            <w:r w:rsidRPr="00027624">
              <w:t>Incomes</w:t>
            </w:r>
          </w:p>
        </w:tc>
        <w:tc>
          <w:tcPr>
            <w:tcW w:w="1251" w:type="pct"/>
          </w:tcPr>
          <w:p w14:paraId="24062442" w14:textId="77777777" w:rsidR="0092760B" w:rsidRPr="00027624" w:rsidRDefault="0092760B" w:rsidP="002A2FAE">
            <w:pPr>
              <w:pStyle w:val="TableTextCentered"/>
              <w:jc w:val="left"/>
            </w:pPr>
            <w:r w:rsidRPr="00027624">
              <w:t xml:space="preserve">By age and income </w:t>
            </w:r>
          </w:p>
        </w:tc>
        <w:tc>
          <w:tcPr>
            <w:tcW w:w="1250" w:type="pct"/>
          </w:tcPr>
          <w:p w14:paraId="1AA9BA24" w14:textId="77777777" w:rsidR="0092760B" w:rsidRPr="00027624" w:rsidRDefault="0092760B">
            <w:pPr>
              <w:pStyle w:val="TableTextCentered"/>
              <w:jc w:val="left"/>
            </w:pPr>
            <w:r w:rsidRPr="00027624">
              <w:t xml:space="preserve">Tax return data </w:t>
            </w:r>
          </w:p>
        </w:tc>
        <w:tc>
          <w:tcPr>
            <w:tcW w:w="1250" w:type="pct"/>
          </w:tcPr>
          <w:p w14:paraId="7C56B976" w14:textId="77777777" w:rsidR="0092760B" w:rsidRPr="00027624" w:rsidRDefault="0092760B">
            <w:pPr>
              <w:pStyle w:val="TableTextCentered"/>
              <w:jc w:val="left"/>
            </w:pPr>
            <w:r w:rsidRPr="00027624">
              <w:t>N.A.</w:t>
            </w:r>
          </w:p>
        </w:tc>
      </w:tr>
      <w:tr w:rsidR="0092760B" w:rsidRPr="00027624" w14:paraId="72496B66" w14:textId="77777777" w:rsidTr="002A2FAE">
        <w:trPr>
          <w:trHeight w:val="270"/>
        </w:trPr>
        <w:tc>
          <w:tcPr>
            <w:tcW w:w="1249" w:type="pct"/>
          </w:tcPr>
          <w:p w14:paraId="30799CAF" w14:textId="77777777" w:rsidR="0092760B" w:rsidRPr="00027624" w:rsidRDefault="0092760B" w:rsidP="002A2FAE">
            <w:pPr>
              <w:pStyle w:val="TableTextLeft"/>
            </w:pPr>
            <w:r w:rsidRPr="00027624">
              <w:t>Nominal wages growth</w:t>
            </w:r>
          </w:p>
        </w:tc>
        <w:tc>
          <w:tcPr>
            <w:tcW w:w="1251" w:type="pct"/>
          </w:tcPr>
          <w:p w14:paraId="447CB898" w14:textId="77777777" w:rsidR="0092760B" w:rsidRPr="00027624" w:rsidRDefault="0092760B" w:rsidP="002A2FAE">
            <w:pPr>
              <w:pStyle w:val="TableTextCentered"/>
              <w:jc w:val="left"/>
            </w:pPr>
            <w:r w:rsidRPr="00027624">
              <w:t>MYEFO 2019</w:t>
            </w:r>
            <w:r w:rsidR="00A8443E" w:rsidRPr="00027624">
              <w:noBreakHyphen/>
            </w:r>
            <w:r w:rsidRPr="00027624">
              <w:t>20 for forward estimates</w:t>
            </w:r>
          </w:p>
          <w:p w14:paraId="7FC282F2" w14:textId="77777777" w:rsidR="0092760B" w:rsidRPr="00027624" w:rsidRDefault="0092760B" w:rsidP="002A2FAE">
            <w:pPr>
              <w:pStyle w:val="TableTextCentered"/>
              <w:jc w:val="left"/>
            </w:pPr>
            <w:r w:rsidRPr="00027624">
              <w:t>Long run ~4%ⁱ</w:t>
            </w:r>
          </w:p>
        </w:tc>
        <w:tc>
          <w:tcPr>
            <w:tcW w:w="1250" w:type="pct"/>
          </w:tcPr>
          <w:p w14:paraId="6426750C" w14:textId="77777777" w:rsidR="0092760B" w:rsidRPr="00027624" w:rsidRDefault="0092760B" w:rsidP="002A2FAE">
            <w:pPr>
              <w:pStyle w:val="TableTextCentered"/>
              <w:jc w:val="left"/>
            </w:pPr>
            <w:r w:rsidRPr="00027624">
              <w:t>Projections from IGR 2015; average weekly ordinary time earnings growth averaged 4% over past 20 years</w:t>
            </w:r>
          </w:p>
        </w:tc>
        <w:tc>
          <w:tcPr>
            <w:tcW w:w="1250" w:type="pct"/>
          </w:tcPr>
          <w:p w14:paraId="3265465F" w14:textId="77777777" w:rsidR="0092760B" w:rsidRPr="00027624" w:rsidRDefault="0092760B">
            <w:pPr>
              <w:pStyle w:val="TableTextCentered"/>
              <w:jc w:val="left"/>
            </w:pPr>
            <w:r w:rsidRPr="00027624">
              <w:t>0.5% lower</w:t>
            </w:r>
          </w:p>
        </w:tc>
      </w:tr>
      <w:tr w:rsidR="0092760B" w:rsidRPr="00027624" w14:paraId="4E10DCAF" w14:textId="77777777" w:rsidTr="002A2FAE">
        <w:trPr>
          <w:trHeight w:val="270"/>
        </w:trPr>
        <w:tc>
          <w:tcPr>
            <w:tcW w:w="1249" w:type="pct"/>
          </w:tcPr>
          <w:p w14:paraId="05AA0D70" w14:textId="77777777" w:rsidR="0092760B" w:rsidRPr="00027624" w:rsidRDefault="0092760B" w:rsidP="002A2FAE">
            <w:pPr>
              <w:pStyle w:val="TableTextLeft"/>
            </w:pPr>
            <w:r w:rsidRPr="00027624">
              <w:t>Investment returns (before fees and taxes)</w:t>
            </w:r>
          </w:p>
        </w:tc>
        <w:tc>
          <w:tcPr>
            <w:tcW w:w="1251" w:type="pct"/>
          </w:tcPr>
          <w:p w14:paraId="67D22C05" w14:textId="77777777" w:rsidR="0092760B" w:rsidRPr="00027624" w:rsidRDefault="0092760B" w:rsidP="002A2FAE">
            <w:pPr>
              <w:pStyle w:val="TableTextCentered"/>
              <w:jc w:val="left"/>
            </w:pPr>
            <w:r w:rsidRPr="00027624">
              <w:t>7.5% Accumulation phase</w:t>
            </w:r>
            <w:r w:rsidRPr="00027624">
              <w:br/>
              <w:t>6.2% Retirement phase</w:t>
            </w:r>
          </w:p>
        </w:tc>
        <w:tc>
          <w:tcPr>
            <w:tcW w:w="1250" w:type="pct"/>
          </w:tcPr>
          <w:p w14:paraId="04EFADB6" w14:textId="77777777" w:rsidR="0092760B" w:rsidRPr="00027624" w:rsidRDefault="0092760B">
            <w:pPr>
              <w:pStyle w:val="TableTextCentered"/>
              <w:jc w:val="left"/>
            </w:pPr>
            <w:r w:rsidRPr="00027624">
              <w:t>Forward</w:t>
            </w:r>
            <w:r w:rsidR="00A8443E" w:rsidRPr="00027624">
              <w:noBreakHyphen/>
            </w:r>
            <w:r w:rsidRPr="00027624">
              <w:t>looking investment return targets</w:t>
            </w:r>
          </w:p>
        </w:tc>
        <w:tc>
          <w:tcPr>
            <w:tcW w:w="1250" w:type="pct"/>
          </w:tcPr>
          <w:p w14:paraId="79E7D630" w14:textId="77777777" w:rsidR="0092760B" w:rsidRPr="00027624" w:rsidRDefault="0092760B">
            <w:pPr>
              <w:pStyle w:val="TableTextCentered"/>
              <w:jc w:val="left"/>
            </w:pPr>
            <w:r w:rsidRPr="00027624">
              <w:t>Higher/lower investment returns</w:t>
            </w:r>
          </w:p>
        </w:tc>
      </w:tr>
      <w:tr w:rsidR="0092760B" w:rsidRPr="00027624" w14:paraId="753CA305" w14:textId="77777777" w:rsidTr="002A2FAE">
        <w:trPr>
          <w:trHeight w:val="270"/>
        </w:trPr>
        <w:tc>
          <w:tcPr>
            <w:tcW w:w="1249" w:type="pct"/>
          </w:tcPr>
          <w:p w14:paraId="77EEF91E" w14:textId="77777777" w:rsidR="0092760B" w:rsidRPr="00027624" w:rsidRDefault="0092760B" w:rsidP="002A2FAE">
            <w:pPr>
              <w:pStyle w:val="TableTextLeft"/>
            </w:pPr>
            <w:r w:rsidRPr="00027624">
              <w:t>Voluntary superannuation contributions</w:t>
            </w:r>
            <w:r w:rsidRPr="00027624" w:rsidDel="00A300E9">
              <w:t xml:space="preserve"> </w:t>
            </w:r>
          </w:p>
        </w:tc>
        <w:tc>
          <w:tcPr>
            <w:tcW w:w="1251" w:type="pct"/>
          </w:tcPr>
          <w:p w14:paraId="25D7E20C" w14:textId="77777777" w:rsidR="0092760B" w:rsidRPr="00027624" w:rsidRDefault="0092760B" w:rsidP="002A2FAE">
            <w:pPr>
              <w:pStyle w:val="TableTextCentered"/>
              <w:jc w:val="left"/>
            </w:pPr>
            <w:r w:rsidRPr="00027624">
              <w:t>Salary sacrifice contributions only</w:t>
            </w:r>
          </w:p>
        </w:tc>
        <w:tc>
          <w:tcPr>
            <w:tcW w:w="1250" w:type="pct"/>
          </w:tcPr>
          <w:p w14:paraId="66079A6F" w14:textId="77777777" w:rsidR="0092760B" w:rsidRPr="00027624" w:rsidRDefault="0092760B">
            <w:pPr>
              <w:pStyle w:val="TableTextCentered"/>
              <w:jc w:val="left"/>
            </w:pPr>
            <w:r w:rsidRPr="00027624">
              <w:t>ATO income and tax data</w:t>
            </w:r>
          </w:p>
        </w:tc>
        <w:tc>
          <w:tcPr>
            <w:tcW w:w="1250" w:type="pct"/>
          </w:tcPr>
          <w:p w14:paraId="4CBC7761" w14:textId="77777777" w:rsidR="0092760B" w:rsidRPr="00027624" w:rsidRDefault="0092760B">
            <w:pPr>
              <w:pStyle w:val="TableTextCentered"/>
              <w:jc w:val="left"/>
            </w:pPr>
            <w:r w:rsidRPr="00027624">
              <w:t>No voluntary saving</w:t>
            </w:r>
          </w:p>
        </w:tc>
      </w:tr>
      <w:tr w:rsidR="0092760B" w:rsidRPr="00027624" w14:paraId="1A863D59" w14:textId="77777777" w:rsidTr="002A2FAE">
        <w:trPr>
          <w:trHeight w:val="270"/>
        </w:trPr>
        <w:tc>
          <w:tcPr>
            <w:tcW w:w="1249" w:type="pct"/>
          </w:tcPr>
          <w:p w14:paraId="3246EE67" w14:textId="77777777" w:rsidR="0092760B" w:rsidRPr="00027624" w:rsidRDefault="0092760B" w:rsidP="002A2FAE">
            <w:pPr>
              <w:pStyle w:val="TableTextLeft"/>
            </w:pPr>
            <w:r w:rsidRPr="00027624">
              <w:t>Superannuation drawdowns</w:t>
            </w:r>
          </w:p>
        </w:tc>
        <w:tc>
          <w:tcPr>
            <w:tcW w:w="1251" w:type="pct"/>
          </w:tcPr>
          <w:p w14:paraId="6634BB5C" w14:textId="77777777" w:rsidR="0092760B" w:rsidRPr="00027624" w:rsidRDefault="0092760B" w:rsidP="002A2FAE">
            <w:pPr>
              <w:pStyle w:val="TableTextCentered"/>
              <w:jc w:val="left"/>
            </w:pPr>
            <w:r w:rsidRPr="00027624">
              <w:t>Optimal draw down to exhaust at life expectancy</w:t>
            </w:r>
          </w:p>
        </w:tc>
        <w:tc>
          <w:tcPr>
            <w:tcW w:w="1250" w:type="pct"/>
          </w:tcPr>
          <w:p w14:paraId="10049F60" w14:textId="77777777" w:rsidR="0092760B" w:rsidRPr="00027624" w:rsidRDefault="0092760B">
            <w:pPr>
              <w:pStyle w:val="TableTextCentered"/>
              <w:jc w:val="left"/>
            </w:pPr>
            <w:r w:rsidRPr="00027624">
              <w:t>Aligns with system purpose</w:t>
            </w:r>
          </w:p>
        </w:tc>
        <w:tc>
          <w:tcPr>
            <w:tcW w:w="1250" w:type="pct"/>
          </w:tcPr>
          <w:p w14:paraId="1C62EF62" w14:textId="77777777" w:rsidR="0092760B" w:rsidRPr="00027624" w:rsidRDefault="0092760B">
            <w:pPr>
              <w:pStyle w:val="TableTextCentered"/>
              <w:jc w:val="left"/>
            </w:pPr>
            <w:r w:rsidRPr="00027624">
              <w:t>Minimum and observed drawdown rates</w:t>
            </w:r>
          </w:p>
        </w:tc>
      </w:tr>
      <w:tr w:rsidR="0092760B" w:rsidRPr="00027624" w14:paraId="7A1F5F41" w14:textId="77777777" w:rsidTr="002A2FAE">
        <w:trPr>
          <w:trHeight w:val="270"/>
        </w:trPr>
        <w:tc>
          <w:tcPr>
            <w:tcW w:w="1249" w:type="pct"/>
          </w:tcPr>
          <w:p w14:paraId="2AEC4265" w14:textId="77777777" w:rsidR="0092760B" w:rsidRPr="00027624" w:rsidRDefault="0092760B" w:rsidP="002A2FAE">
            <w:pPr>
              <w:pStyle w:val="TableTextLeft"/>
            </w:pPr>
            <w:r w:rsidRPr="00027624">
              <w:t>Management of longevity risk</w:t>
            </w:r>
          </w:p>
        </w:tc>
        <w:tc>
          <w:tcPr>
            <w:tcW w:w="1251" w:type="pct"/>
          </w:tcPr>
          <w:p w14:paraId="44BBE5F9" w14:textId="77777777" w:rsidR="0092760B" w:rsidRPr="00027624" w:rsidRDefault="0092760B" w:rsidP="002A2FAE">
            <w:pPr>
              <w:pStyle w:val="TableTextCentered"/>
              <w:jc w:val="left"/>
            </w:pPr>
            <w:r w:rsidRPr="00027624">
              <w:t>Purchase of a deferred pooled longevity product</w:t>
            </w:r>
          </w:p>
        </w:tc>
        <w:tc>
          <w:tcPr>
            <w:tcW w:w="1250" w:type="pct"/>
          </w:tcPr>
          <w:p w14:paraId="77724DA8" w14:textId="77777777" w:rsidR="0092760B" w:rsidRPr="00027624" w:rsidRDefault="0092760B">
            <w:pPr>
              <w:pStyle w:val="TableTextCentered"/>
              <w:jc w:val="left"/>
            </w:pPr>
            <w:r w:rsidRPr="00027624">
              <w:t>Aligns with system direction</w:t>
            </w:r>
          </w:p>
        </w:tc>
        <w:tc>
          <w:tcPr>
            <w:tcW w:w="1250" w:type="pct"/>
          </w:tcPr>
          <w:p w14:paraId="771A1BD1" w14:textId="77777777" w:rsidR="0092760B" w:rsidRPr="00027624" w:rsidRDefault="0092760B">
            <w:pPr>
              <w:pStyle w:val="TableTextCentered"/>
              <w:jc w:val="left"/>
            </w:pPr>
            <w:r w:rsidRPr="00027624">
              <w:t>No longevity protection</w:t>
            </w:r>
          </w:p>
          <w:p w14:paraId="3FAA0F72" w14:textId="77777777" w:rsidR="0092760B" w:rsidRPr="00027624" w:rsidRDefault="0092760B">
            <w:pPr>
              <w:pStyle w:val="TableTextCentered"/>
              <w:jc w:val="left"/>
            </w:pPr>
            <w:r w:rsidRPr="00027624">
              <w:t>Different pricing</w:t>
            </w:r>
          </w:p>
        </w:tc>
      </w:tr>
      <w:tr w:rsidR="0092760B" w:rsidRPr="00027624" w14:paraId="785DD353" w14:textId="77777777" w:rsidTr="002A2FAE">
        <w:trPr>
          <w:trHeight w:val="270"/>
        </w:trPr>
        <w:tc>
          <w:tcPr>
            <w:tcW w:w="1249" w:type="pct"/>
          </w:tcPr>
          <w:p w14:paraId="20962E76" w14:textId="77777777" w:rsidR="0092760B" w:rsidRPr="00027624" w:rsidRDefault="0092760B" w:rsidP="002A2FAE">
            <w:pPr>
              <w:pStyle w:val="TableTextLeft"/>
            </w:pPr>
            <w:r w:rsidRPr="00027624">
              <w:t>Replacement rate calculation</w:t>
            </w:r>
          </w:p>
        </w:tc>
        <w:tc>
          <w:tcPr>
            <w:tcW w:w="1251" w:type="pct"/>
          </w:tcPr>
          <w:p w14:paraId="3C81236F" w14:textId="77777777" w:rsidR="0092760B" w:rsidRPr="00027624" w:rsidRDefault="0092760B" w:rsidP="002A2FAE">
            <w:pPr>
              <w:pStyle w:val="TableTextCentered"/>
              <w:jc w:val="left"/>
            </w:pPr>
            <w:r w:rsidRPr="00027624">
              <w:t>Average annual whole of retirement disposable income divided by average annual disposable income 10 years before retirementⁱⁱ</w:t>
            </w:r>
          </w:p>
        </w:tc>
        <w:tc>
          <w:tcPr>
            <w:tcW w:w="1250" w:type="pct"/>
          </w:tcPr>
          <w:p w14:paraId="41392680" w14:textId="77777777" w:rsidR="0092760B" w:rsidRPr="00027624" w:rsidRDefault="0092760B" w:rsidP="002A2FAE">
            <w:pPr>
              <w:pStyle w:val="TableTextCentered"/>
              <w:jc w:val="left"/>
            </w:pPr>
            <w:r w:rsidRPr="00027624">
              <w:t>Analysis of spending needs</w:t>
            </w:r>
          </w:p>
        </w:tc>
        <w:tc>
          <w:tcPr>
            <w:tcW w:w="1250" w:type="pct"/>
          </w:tcPr>
          <w:p w14:paraId="4886D9C9" w14:textId="77777777" w:rsidR="0092760B" w:rsidRPr="00027624" w:rsidRDefault="0092760B">
            <w:pPr>
              <w:pStyle w:val="TableTextCentered"/>
              <w:jc w:val="left"/>
            </w:pPr>
            <w:r w:rsidRPr="00027624">
              <w:t>Alternative deflators and calculation periods</w:t>
            </w:r>
          </w:p>
        </w:tc>
      </w:tr>
      <w:tr w:rsidR="0092760B" w:rsidRPr="00027624" w14:paraId="1F643DCB" w14:textId="77777777" w:rsidTr="002A2FAE">
        <w:trPr>
          <w:trHeight w:val="270"/>
        </w:trPr>
        <w:tc>
          <w:tcPr>
            <w:tcW w:w="1249" w:type="pct"/>
          </w:tcPr>
          <w:p w14:paraId="42811927" w14:textId="77777777" w:rsidR="0092760B" w:rsidRPr="00027624" w:rsidRDefault="0092760B" w:rsidP="002A2FAE">
            <w:pPr>
              <w:pStyle w:val="TableTextLeft"/>
            </w:pPr>
            <w:r w:rsidRPr="00027624">
              <w:t>Home ownership</w:t>
            </w:r>
          </w:p>
        </w:tc>
        <w:tc>
          <w:tcPr>
            <w:tcW w:w="1251" w:type="pct"/>
          </w:tcPr>
          <w:p w14:paraId="6DAECCB3" w14:textId="77777777" w:rsidR="0092760B" w:rsidRPr="00027624" w:rsidRDefault="0092760B" w:rsidP="002A2FAE">
            <w:pPr>
              <w:pStyle w:val="TableTextCentered"/>
              <w:jc w:val="left"/>
            </w:pPr>
            <w:r w:rsidRPr="00027624">
              <w:t>Home owner</w:t>
            </w:r>
          </w:p>
        </w:tc>
        <w:tc>
          <w:tcPr>
            <w:tcW w:w="1250" w:type="pct"/>
          </w:tcPr>
          <w:p w14:paraId="65EFDF91" w14:textId="77777777" w:rsidR="0092760B" w:rsidRPr="00027624" w:rsidRDefault="0092760B">
            <w:pPr>
              <w:pStyle w:val="TableTextCentered"/>
              <w:jc w:val="left"/>
            </w:pPr>
            <w:r w:rsidRPr="00027624">
              <w:t xml:space="preserve">Home ownership rates for middle and </w:t>
            </w:r>
            <w:r w:rsidR="00B2720D" w:rsidRPr="00027624">
              <w:t>higher-wealth</w:t>
            </w:r>
            <w:r w:rsidRPr="00027624">
              <w:t xml:space="preserve"> retirees exceed 95 per cent</w:t>
            </w:r>
          </w:p>
        </w:tc>
        <w:tc>
          <w:tcPr>
            <w:tcW w:w="1250" w:type="pct"/>
          </w:tcPr>
          <w:p w14:paraId="3E60B749" w14:textId="77777777" w:rsidR="0092760B" w:rsidRPr="00027624" w:rsidRDefault="0092760B">
            <w:pPr>
              <w:pStyle w:val="TableTextCentered"/>
              <w:jc w:val="left"/>
            </w:pPr>
            <w:r w:rsidRPr="00027624">
              <w:t>Renter</w:t>
            </w:r>
          </w:p>
        </w:tc>
      </w:tr>
    </w:tbl>
    <w:p w14:paraId="63A35927" w14:textId="77777777" w:rsidR="0092760B" w:rsidRPr="00027624" w:rsidRDefault="0092760B" w:rsidP="002A2FAE">
      <w:pPr>
        <w:tabs>
          <w:tab w:val="left" w:pos="0"/>
        </w:tabs>
        <w:spacing w:after="60"/>
        <w:rPr>
          <w:iCs/>
          <w:sz w:val="18"/>
        </w:rPr>
      </w:pPr>
      <w:r w:rsidRPr="00027624">
        <w:rPr>
          <w:iCs/>
          <w:sz w:val="18"/>
        </w:rPr>
        <w:t xml:space="preserve">Note: </w:t>
      </w:r>
      <w:r w:rsidRPr="00027624">
        <w:rPr>
          <w:sz w:val="18"/>
        </w:rPr>
        <w:t xml:space="preserve">Central case assumptions for review modelling. </w:t>
      </w:r>
      <w:r w:rsidRPr="00027624">
        <w:rPr>
          <w:iCs/>
          <w:sz w:val="18"/>
        </w:rPr>
        <w:t>Particular settings or sensitivities are analysed as deviations from the central case.</w:t>
      </w:r>
      <w:r w:rsidRPr="00027624">
        <w:rPr>
          <w:sz w:val="18"/>
        </w:rPr>
        <w:t xml:space="preserve"> ⁱLong</w:t>
      </w:r>
      <w:r w:rsidR="00A8443E" w:rsidRPr="00027624">
        <w:rPr>
          <w:sz w:val="18"/>
        </w:rPr>
        <w:noBreakHyphen/>
      </w:r>
      <w:r w:rsidRPr="00027624">
        <w:rPr>
          <w:sz w:val="18"/>
        </w:rPr>
        <w:t xml:space="preserve">run inflation of 2.5 per cent and productivity growth of 1.5 per cent gives nominal wages growth just over 4 per cent. See </w:t>
      </w:r>
      <w:sdt>
        <w:sdtPr>
          <w:rPr>
            <w:sz w:val="18"/>
          </w:rPr>
          <w:id w:val="292255482"/>
          <w:citation/>
        </w:sdtPr>
        <w:sdtEndPr/>
        <w:sdtContent>
          <w:r w:rsidRPr="00027624">
            <w:rPr>
              <w:sz w:val="18"/>
            </w:rPr>
            <w:fldChar w:fldCharType="begin"/>
          </w:r>
          <w:r w:rsidRPr="00027624">
            <w:rPr>
              <w:sz w:val="18"/>
            </w:rPr>
            <w:instrText xml:space="preserve"> CITATION The15 \l 3081 </w:instrText>
          </w:r>
          <w:r w:rsidRPr="00027624">
            <w:rPr>
              <w:sz w:val="18"/>
            </w:rPr>
            <w:fldChar w:fldCharType="separate"/>
          </w:r>
          <w:r w:rsidR="00E83F6E" w:rsidRPr="00E83F6E">
            <w:rPr>
              <w:noProof/>
              <w:sz w:val="18"/>
            </w:rPr>
            <w:t>(Commonwealth of Australia, 2015)</w:t>
          </w:r>
          <w:r w:rsidRPr="00027624">
            <w:rPr>
              <w:sz w:val="18"/>
            </w:rPr>
            <w:fldChar w:fldCharType="end"/>
          </w:r>
        </w:sdtContent>
      </w:sdt>
      <w:r w:rsidRPr="00027624">
        <w:rPr>
          <w:sz w:val="18"/>
        </w:rPr>
        <w:t>. ⁱⁱReplacement rates are deflated using the review</w:t>
      </w:r>
      <w:r w:rsidR="00A8443E" w:rsidRPr="00027624">
        <w:rPr>
          <w:sz w:val="18"/>
        </w:rPr>
        <w:t>’</w:t>
      </w:r>
      <w:r w:rsidRPr="00027624">
        <w:rPr>
          <w:sz w:val="18"/>
        </w:rPr>
        <w:t>s mixed deflator.</w:t>
      </w:r>
    </w:p>
    <w:p w14:paraId="0CA02728" w14:textId="77777777" w:rsidR="0092760B" w:rsidRPr="00027624" w:rsidRDefault="0092760B" w:rsidP="002A2FAE">
      <w:pPr>
        <w:pStyle w:val="Heading2"/>
      </w:pPr>
      <w:bookmarkStart w:id="556" w:name="_Toc45520474"/>
      <w:bookmarkStart w:id="557" w:name="_Toc46133584"/>
      <w:r w:rsidRPr="00027624">
        <w:lastRenderedPageBreak/>
        <w:t>Adequacy for future retirees</w:t>
      </w:r>
      <w:bookmarkEnd w:id="556"/>
      <w:bookmarkEnd w:id="557"/>
    </w:p>
    <w:p w14:paraId="770AD1EA" w14:textId="77777777" w:rsidR="0092760B" w:rsidRPr="00027624" w:rsidRDefault="0092760B" w:rsidP="002A2FAE">
      <w:pPr>
        <w:pStyle w:val="Heading3"/>
      </w:pPr>
      <w:r w:rsidRPr="00027624">
        <w:t>Replacement rates</w:t>
      </w:r>
    </w:p>
    <w:p w14:paraId="7523FA89" w14:textId="4CD8D759" w:rsidR="0092760B" w:rsidRPr="00027624" w:rsidRDefault="0092760B" w:rsidP="002A2FAE">
      <w:r w:rsidRPr="00027624">
        <w:t>Replacement rates are projected to exceed or meet the 65</w:t>
      </w:r>
      <w:r w:rsidR="00A8443E" w:rsidRPr="00027624">
        <w:noBreakHyphen/>
      </w:r>
      <w:r w:rsidRPr="00027624">
        <w:t>75 per cent benchmark for all income levels when considering employees regardless of relationship status or gender (</w:t>
      </w:r>
      <w:r w:rsidRPr="00027624">
        <w:fldChar w:fldCharType="begin"/>
      </w:r>
      <w:r w:rsidRPr="00027624">
        <w:instrText xml:space="preserve"> REF _Ref41053673 \r \h  \* MERGEFORMAT </w:instrText>
      </w:r>
      <w:r w:rsidRPr="00027624">
        <w:fldChar w:fldCharType="separate"/>
      </w:r>
      <w:r w:rsidR="00891058">
        <w:t>Chart 2C-14</w:t>
      </w:r>
      <w:r w:rsidRPr="00027624">
        <w:fldChar w:fldCharType="end"/>
      </w:r>
      <w:r w:rsidRPr="00027624">
        <w:t>). This widely used approach is representative, capturing the broadest population. It does not factor in the circumstances of specific groups, such as women and couples, which are covered in modelling of other household types below.</w:t>
      </w:r>
    </w:p>
    <w:p w14:paraId="004F55C8" w14:textId="77777777" w:rsidR="0092760B" w:rsidRPr="00027624" w:rsidRDefault="0092760B" w:rsidP="002A2FAE">
      <w:r w:rsidRPr="00027624">
        <w:rPr>
          <w:b/>
        </w:rPr>
        <w:t>Modelling shows that people with incomes in the 60</w:t>
      </w:r>
      <w:r w:rsidRPr="00027624">
        <w:rPr>
          <w:b/>
          <w:vertAlign w:val="superscript"/>
        </w:rPr>
        <w:t>th</w:t>
      </w:r>
      <w:r w:rsidRPr="00027624">
        <w:rPr>
          <w:b/>
        </w:rPr>
        <w:t xml:space="preserve"> percentile and below exceed the replacement rate benchmark</w:t>
      </w:r>
      <w:r w:rsidRPr="00027624">
        <w:rPr>
          <w:bCs/>
        </w:rPr>
        <w:t>,</w:t>
      </w:r>
      <w:r w:rsidRPr="00027624">
        <w:t xml:space="preserve"> largely due to them receiving the Age Pension and income through the SG. This suggests the system may be leading people in the bottom half of the distribution to over</w:t>
      </w:r>
      <w:r w:rsidR="00B2720D" w:rsidRPr="00027624">
        <w:noBreakHyphen/>
      </w:r>
      <w:r w:rsidRPr="00027624">
        <w:t>save for retirement.</w:t>
      </w:r>
    </w:p>
    <w:p w14:paraId="7E9A7E71" w14:textId="77777777" w:rsidR="0092760B" w:rsidRPr="00027624" w:rsidRDefault="0092760B" w:rsidP="002A2FAE">
      <w:pPr>
        <w:rPr>
          <w:rFonts w:eastAsiaTheme="minorHAnsi"/>
          <w:noProof/>
        </w:rPr>
      </w:pPr>
      <w:r w:rsidRPr="00027624">
        <w:rPr>
          <w:rFonts w:eastAsiaTheme="minorHAnsi"/>
        </w:rPr>
        <w:t>Superannuation is projected to be a main source of income for median</w:t>
      </w:r>
      <w:r w:rsidR="00A8443E" w:rsidRPr="00027624">
        <w:rPr>
          <w:rFonts w:eastAsiaTheme="minorHAnsi"/>
        </w:rPr>
        <w:noBreakHyphen/>
      </w:r>
      <w:r w:rsidRPr="00027624">
        <w:rPr>
          <w:rFonts w:eastAsiaTheme="minorHAnsi"/>
        </w:rPr>
        <w:t xml:space="preserve">income earners and above. </w:t>
      </w:r>
      <w:r w:rsidRPr="00027624">
        <w:rPr>
          <w:rFonts w:eastAsiaTheme="minorHAnsi"/>
          <w:b/>
        </w:rPr>
        <w:t>Drawing down superannuation assets efficiently is critical for these groups to achieve replacement rate benchmarks.</w:t>
      </w:r>
      <w:r w:rsidRPr="00027624">
        <w:rPr>
          <w:rFonts w:eastAsiaTheme="minorHAnsi"/>
        </w:rPr>
        <w:t xml:space="preserve"> </w:t>
      </w:r>
      <w:r w:rsidRPr="00027624">
        <w:rPr>
          <w:rFonts w:eastAsiaTheme="minorHAnsi"/>
          <w:noProof/>
        </w:rPr>
        <w:t>Non</w:t>
      </w:r>
      <w:r w:rsidR="00A8443E" w:rsidRPr="00027624">
        <w:rPr>
          <w:rFonts w:eastAsiaTheme="minorHAnsi"/>
          <w:noProof/>
        </w:rPr>
        <w:noBreakHyphen/>
      </w:r>
      <w:r w:rsidRPr="00027624">
        <w:rPr>
          <w:rFonts w:eastAsiaTheme="minorHAnsi"/>
          <w:noProof/>
        </w:rPr>
        <w:t>superannuation assets are a large proportion of incomes for the 90</w:t>
      </w:r>
      <w:r w:rsidRPr="00027624">
        <w:rPr>
          <w:rFonts w:eastAsiaTheme="minorHAnsi"/>
          <w:noProof/>
          <w:vertAlign w:val="superscript"/>
        </w:rPr>
        <w:t>th</w:t>
      </w:r>
      <w:r w:rsidRPr="00027624">
        <w:rPr>
          <w:rFonts w:eastAsiaTheme="minorHAnsi"/>
          <w:noProof/>
        </w:rPr>
        <w:t> percentile and above.</w:t>
      </w:r>
    </w:p>
    <w:p w14:paraId="07F1BC60" w14:textId="77777777" w:rsidR="0092760B" w:rsidRPr="00027624" w:rsidRDefault="0092760B" w:rsidP="002A2FAE">
      <w:pPr>
        <w:rPr>
          <w:rFonts w:eastAsiaTheme="minorEastAsia"/>
          <w:noProof/>
        </w:rPr>
      </w:pPr>
      <w:r w:rsidRPr="00027624">
        <w:rPr>
          <w:rFonts w:eastAsiaTheme="minorEastAsia"/>
          <w:b/>
          <w:bCs/>
          <w:noProof/>
        </w:rPr>
        <w:t>The Age Pension is projected to contribute to retirement incomes for most income levels.</w:t>
      </w:r>
      <w:r w:rsidRPr="00027624">
        <w:rPr>
          <w:rFonts w:eastAsiaTheme="minorEastAsia"/>
          <w:noProof/>
        </w:rPr>
        <w:t xml:space="preserve"> Lower</w:t>
      </w:r>
      <w:r w:rsidR="00A8443E" w:rsidRPr="00027624">
        <w:rPr>
          <w:rFonts w:eastAsiaTheme="minorEastAsia"/>
          <w:noProof/>
        </w:rPr>
        <w:noBreakHyphen/>
      </w:r>
      <w:r w:rsidRPr="00027624">
        <w:rPr>
          <w:rFonts w:eastAsiaTheme="minorEastAsia"/>
          <w:noProof/>
        </w:rPr>
        <w:t xml:space="preserve"> and middle</w:t>
      </w:r>
      <w:r w:rsidR="00A8443E" w:rsidRPr="00027624">
        <w:rPr>
          <w:rFonts w:eastAsiaTheme="minorEastAsia"/>
          <w:noProof/>
        </w:rPr>
        <w:noBreakHyphen/>
      </w:r>
      <w:r w:rsidRPr="00027624">
        <w:rPr>
          <w:rFonts w:eastAsiaTheme="minorEastAsia"/>
          <w:noProof/>
        </w:rPr>
        <w:t>income earners will receive a large proportion of their retirement income from the Age Pension.</w:t>
      </w:r>
    </w:p>
    <w:p w14:paraId="5FD47262" w14:textId="77777777" w:rsidR="0092760B" w:rsidRPr="00027624" w:rsidRDefault="0092760B" w:rsidP="00325A8D">
      <w:pPr>
        <w:pStyle w:val="ChartMainHeading"/>
        <w:rPr>
          <w:rFonts w:eastAsiaTheme="minorEastAsia"/>
          <w:lang w:eastAsia="en-US"/>
        </w:rPr>
      </w:pPr>
      <w:bookmarkStart w:id="558" w:name="_Ref41053673"/>
      <w:r w:rsidRPr="00027624">
        <w:rPr>
          <w:rFonts w:eastAsiaTheme="minorEastAsia"/>
        </w:rPr>
        <w:t>Projection</w:t>
      </w:r>
      <w:r w:rsidRPr="00027624">
        <w:rPr>
          <w:rFonts w:eastAsiaTheme="minorEastAsia"/>
          <w:noProof/>
        </w:rPr>
        <w:t xml:space="preserve"> of replacement rates</w:t>
      </w:r>
    </w:p>
    <w:bookmarkEnd w:id="558"/>
    <w:p w14:paraId="74350CB0" w14:textId="77777777" w:rsidR="0092760B" w:rsidRPr="00027624" w:rsidRDefault="006445C3" w:rsidP="002A2FAE">
      <w:pPr>
        <w:pStyle w:val="ChartGraphic"/>
        <w:rPr>
          <w:rFonts w:eastAsiaTheme="minorEastAsia"/>
          <w:lang w:eastAsia="en-US"/>
        </w:rPr>
      </w:pPr>
      <w:r>
        <w:rPr>
          <w:rFonts w:eastAsiaTheme="minorEastAsia"/>
          <w:noProof/>
        </w:rPr>
        <w:drawing>
          <wp:inline distT="0" distB="0" distL="0" distR="0" wp14:anchorId="1C566872" wp14:editId="39F1AC04">
            <wp:extent cx="5562600" cy="2712720"/>
            <wp:effectExtent l="0" t="0" r="0" b="0"/>
            <wp:docPr id="761061980" name="Picture 761061980" descr="This chart shows that people with incomes in the 60th percentile and below are projected to have replacement rates that exceed the 65-75 per cent benchmark. It shows that the 70th to 95th percentiles have replacement rates within the benchmark. The 99th percentile has replacement rates above the benchmark." title="Chart 2C-14 Projection of replacemen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62600" cy="2712720"/>
                    </a:xfrm>
                    <a:prstGeom prst="rect">
                      <a:avLst/>
                    </a:prstGeom>
                    <a:noFill/>
                  </pic:spPr>
                </pic:pic>
              </a:graphicData>
            </a:graphic>
          </wp:inline>
        </w:drawing>
      </w:r>
    </w:p>
    <w:p w14:paraId="3234BC24" w14:textId="77777777" w:rsidR="0092760B" w:rsidRPr="00027624" w:rsidRDefault="0092760B" w:rsidP="002A2FAE">
      <w:pPr>
        <w:pStyle w:val="ChartorTableNote"/>
        <w:rPr>
          <w:noProof/>
          <w:sz w:val="20"/>
        </w:rPr>
      </w:pPr>
      <w:r w:rsidRPr="00027624">
        <w:rPr>
          <w:noProof/>
        </w:rPr>
        <w:t>Note: Minimum standard is the maximum rate of Age Pension. Based on all</w:t>
      </w:r>
      <w:r w:rsidR="00B2720D" w:rsidRPr="00027624">
        <w:rPr>
          <w:noProof/>
        </w:rPr>
        <w:t>-</w:t>
      </w:r>
      <w:r w:rsidRPr="00027624">
        <w:rPr>
          <w:noProof/>
        </w:rPr>
        <w:t>employees model. Replacement rates are projected for individuals commencing work in 2020 and retiring in 2060.</w:t>
      </w:r>
      <w:r w:rsidRPr="00027624">
        <w:t xml:space="preserve"> Source: Cameo modelling undertaken for the review.</w:t>
      </w:r>
    </w:p>
    <w:p w14:paraId="2C2282D4" w14:textId="77777777" w:rsidR="0092760B" w:rsidRPr="00027624" w:rsidRDefault="0092760B" w:rsidP="002A2FAE">
      <w:pPr>
        <w:pStyle w:val="Heading3"/>
      </w:pPr>
      <w:r w:rsidRPr="00027624">
        <w:t>Replacement rates for couples</w:t>
      </w:r>
    </w:p>
    <w:p w14:paraId="4301B903" w14:textId="77777777" w:rsidR="0092760B" w:rsidRPr="00027624" w:rsidRDefault="0092760B" w:rsidP="002A2FAE">
      <w:pPr>
        <w:rPr>
          <w:rFonts w:eastAsiaTheme="minorEastAsia"/>
          <w:noProof/>
        </w:rPr>
      </w:pPr>
      <w:r w:rsidRPr="00027624">
        <w:rPr>
          <w:rFonts w:eastAsiaTheme="minorEastAsia"/>
          <w:noProof/>
        </w:rPr>
        <w:t>Outcomes were also modelled for couples, given their careers, savings patterns and Age Pension rules differ from singles.</w:t>
      </w:r>
      <w:r w:rsidRPr="00027624">
        <w:rPr>
          <w:rFonts w:eastAsiaTheme="minorEastAsia"/>
          <w:b/>
        </w:rPr>
        <w:t xml:space="preserve"> Outcomes are broadly similar for couples and individuals, with some differences.</w:t>
      </w:r>
    </w:p>
    <w:p w14:paraId="34237232" w14:textId="77777777" w:rsidR="0092760B" w:rsidRPr="00027624" w:rsidRDefault="0092760B" w:rsidP="002A2FAE">
      <w:pPr>
        <w:rPr>
          <w:rFonts w:eastAsiaTheme="minorHAnsi"/>
          <w:noProof/>
        </w:rPr>
      </w:pPr>
      <w:r w:rsidRPr="00027624">
        <w:rPr>
          <w:rFonts w:eastAsiaTheme="minorHAnsi"/>
          <w:noProof/>
        </w:rPr>
        <w:t xml:space="preserve">The couples model captures the circumstances of people in a relationship while in retirement. </w:t>
      </w:r>
      <w:r w:rsidRPr="00027624">
        <w:rPr>
          <w:rFonts w:eastAsiaTheme="minorHAnsi"/>
        </w:rPr>
        <w:t>Around 70 per cent of people are part of a couple at the start of retirement, although this proportion declines with age.</w:t>
      </w:r>
    </w:p>
    <w:p w14:paraId="4EE0B44A" w14:textId="2E5EF563" w:rsidR="0092760B" w:rsidRPr="00027624" w:rsidRDefault="0092760B" w:rsidP="002A2FAE">
      <w:pPr>
        <w:rPr>
          <w:rFonts w:eastAsiaTheme="minorEastAsia"/>
          <w:noProof/>
        </w:rPr>
      </w:pPr>
      <w:r w:rsidRPr="00027624">
        <w:rPr>
          <w:rFonts w:eastAsiaTheme="minorEastAsia"/>
          <w:noProof/>
        </w:rPr>
        <w:lastRenderedPageBreak/>
        <w:t>Couples in the central scenario are projected to exceed or meet the replacement rate benchmark across all income levels (</w:t>
      </w:r>
      <w:r w:rsidRPr="00027624">
        <w:rPr>
          <w:rFonts w:eastAsiaTheme="minorEastAsia"/>
          <w:noProof/>
        </w:rPr>
        <w:fldChar w:fldCharType="begin"/>
      </w:r>
      <w:r w:rsidRPr="00027624">
        <w:rPr>
          <w:rFonts w:eastAsiaTheme="minorEastAsia"/>
          <w:noProof/>
        </w:rPr>
        <w:instrText xml:space="preserve"> REF _Ref39263930 \r \h  \* MERGEFORMAT </w:instrText>
      </w:r>
      <w:r w:rsidRPr="00027624">
        <w:rPr>
          <w:rFonts w:eastAsiaTheme="minorEastAsia"/>
          <w:noProof/>
        </w:rPr>
      </w:r>
      <w:r w:rsidRPr="00027624">
        <w:rPr>
          <w:rFonts w:eastAsiaTheme="minorEastAsia"/>
          <w:noProof/>
        </w:rPr>
        <w:fldChar w:fldCharType="separate"/>
      </w:r>
      <w:r w:rsidR="00891058">
        <w:rPr>
          <w:rFonts w:eastAsiaTheme="minorEastAsia"/>
          <w:noProof/>
        </w:rPr>
        <w:t>Chart 2C-15</w:t>
      </w:r>
      <w:r w:rsidRPr="00027624">
        <w:rPr>
          <w:rFonts w:eastAsiaTheme="minorEastAsia"/>
          <w:noProof/>
        </w:rPr>
        <w:fldChar w:fldCharType="end"/>
      </w:r>
      <w:r w:rsidRPr="00027624">
        <w:rPr>
          <w:rFonts w:eastAsiaTheme="minorEastAsia"/>
          <w:noProof/>
        </w:rPr>
        <w:t>). Outcomes tend to be lower than those for individuals, with less over</w:t>
      </w:r>
      <w:r w:rsidR="00A8443E" w:rsidRPr="00027624">
        <w:rPr>
          <w:rFonts w:eastAsiaTheme="minorEastAsia"/>
          <w:noProof/>
        </w:rPr>
        <w:noBreakHyphen/>
      </w:r>
      <w:r w:rsidRPr="00027624">
        <w:rPr>
          <w:rFonts w:eastAsiaTheme="minorEastAsia"/>
          <w:noProof/>
        </w:rPr>
        <w:t>saving for some middle</w:t>
      </w:r>
      <w:r w:rsidR="00A8443E" w:rsidRPr="00027624">
        <w:rPr>
          <w:rFonts w:eastAsiaTheme="minorEastAsia"/>
          <w:noProof/>
        </w:rPr>
        <w:noBreakHyphen/>
      </w:r>
      <w:r w:rsidRPr="00027624">
        <w:rPr>
          <w:rFonts w:eastAsiaTheme="minorEastAsia"/>
          <w:noProof/>
        </w:rPr>
        <w:t>income earners.</w:t>
      </w:r>
    </w:p>
    <w:p w14:paraId="1D7169B4" w14:textId="77777777" w:rsidR="0092760B" w:rsidRPr="00027624" w:rsidRDefault="0092760B" w:rsidP="002A2FAE">
      <w:pPr>
        <w:rPr>
          <w:rFonts w:eastAsiaTheme="minorHAnsi"/>
          <w:noProof/>
        </w:rPr>
      </w:pPr>
      <w:r w:rsidRPr="00027624">
        <w:rPr>
          <w:rFonts w:eastAsiaTheme="minorHAnsi"/>
          <w:noProof/>
        </w:rPr>
        <w:t>Drivers of differences between couples and other households include:</w:t>
      </w:r>
    </w:p>
    <w:p w14:paraId="22F0EAAB" w14:textId="77777777" w:rsidR="0092760B" w:rsidRPr="00027624" w:rsidRDefault="0092760B" w:rsidP="0092760B">
      <w:pPr>
        <w:pStyle w:val="Bullet"/>
        <w:rPr>
          <w:rFonts w:eastAsiaTheme="minorHAnsi"/>
        </w:rPr>
      </w:pPr>
      <w:r w:rsidRPr="00027624">
        <w:rPr>
          <w:rFonts w:eastAsiaTheme="minorHAnsi"/>
          <w:noProof/>
        </w:rPr>
        <w:t>Couples have higher incomes on average than an individual at an equivalent point in the individual income distribution (</w:t>
      </w:r>
      <w:r w:rsidRPr="00027624">
        <w:rPr>
          <w:rFonts w:eastAsiaTheme="minorHAnsi"/>
        </w:rPr>
        <w:t xml:space="preserve">see </w:t>
      </w:r>
      <w:r w:rsidRPr="00027624">
        <w:rPr>
          <w:i/>
        </w:rPr>
        <w:t>Appendix 6A. Detailed modelling methods and assumptions</w:t>
      </w:r>
      <w:r w:rsidRPr="00027624">
        <w:t>)</w:t>
      </w:r>
    </w:p>
    <w:p w14:paraId="0F677884" w14:textId="77777777" w:rsidR="0092760B" w:rsidRPr="00027624" w:rsidRDefault="0092760B" w:rsidP="0092760B">
      <w:pPr>
        <w:pStyle w:val="Bullet"/>
        <w:rPr>
          <w:rFonts w:eastAsiaTheme="minorHAnsi"/>
        </w:rPr>
      </w:pPr>
      <w:r w:rsidRPr="00027624">
        <w:rPr>
          <w:rFonts w:eastAsiaTheme="minorHAnsi"/>
          <w:noProof/>
        </w:rPr>
        <w:t>The couple rate of the Age Pension is less than double that for singles, meaning it makes up a smaller proportion of retirement income for couples than for individuals with similar means</w:t>
      </w:r>
    </w:p>
    <w:p w14:paraId="0F8723FE" w14:textId="77777777" w:rsidR="0092760B" w:rsidRPr="00027624" w:rsidRDefault="0092760B" w:rsidP="0092760B">
      <w:pPr>
        <w:pStyle w:val="Bullet"/>
        <w:rPr>
          <w:rFonts w:eastAsiaTheme="minorHAnsi"/>
        </w:rPr>
      </w:pPr>
      <w:r w:rsidRPr="00027624">
        <w:rPr>
          <w:rFonts w:eastAsiaTheme="minorHAnsi"/>
          <w:noProof/>
        </w:rPr>
        <w:t>Couples have higher savings than singles at an equivalent point in the income distribution. This includes higher concessional contributions and higher savings outside of superannuation</w:t>
      </w:r>
    </w:p>
    <w:p w14:paraId="4E7C780D" w14:textId="77777777" w:rsidR="0092760B" w:rsidRPr="00027624" w:rsidRDefault="0092760B" w:rsidP="00325A8D">
      <w:pPr>
        <w:pStyle w:val="ChartMainHeading"/>
      </w:pPr>
      <w:bookmarkStart w:id="559" w:name="_Ref39263930"/>
      <w:r w:rsidRPr="00027624">
        <w:t>Replacement rates for couples by income source</w:t>
      </w:r>
      <w:bookmarkEnd w:id="559"/>
    </w:p>
    <w:p w14:paraId="18166E15" w14:textId="77777777" w:rsidR="0092760B" w:rsidRPr="00027624" w:rsidRDefault="006445C3" w:rsidP="002A2FAE">
      <w:pPr>
        <w:pStyle w:val="ChartGraphic"/>
        <w:rPr>
          <w:rFonts w:eastAsiaTheme="minorHAnsi"/>
          <w:lang w:eastAsia="en-US"/>
        </w:rPr>
      </w:pPr>
      <w:r>
        <w:rPr>
          <w:rFonts w:eastAsiaTheme="minorHAnsi"/>
          <w:noProof/>
        </w:rPr>
        <w:drawing>
          <wp:inline distT="0" distB="0" distL="0" distR="0" wp14:anchorId="0760DDB0" wp14:editId="2A256050">
            <wp:extent cx="5554980" cy="2720340"/>
            <wp:effectExtent l="0" t="0" r="7620" b="3810"/>
            <wp:docPr id="761061981" name="Picture 761061981" descr="This chart shows that couples in the 60th percentile and below have replacement rates above the 65-75 per cent benchmark. It shows the 70th and 80th percentiles are within the benchmark, while the 90th percentile is just above the benchmark." title="Chart 2C-15 Replacement rates for couples by incom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54980" cy="2720340"/>
                    </a:xfrm>
                    <a:prstGeom prst="rect">
                      <a:avLst/>
                    </a:prstGeom>
                    <a:noFill/>
                  </pic:spPr>
                </pic:pic>
              </a:graphicData>
            </a:graphic>
          </wp:inline>
        </w:drawing>
      </w:r>
    </w:p>
    <w:p w14:paraId="2F89C990" w14:textId="77777777" w:rsidR="0092760B" w:rsidRPr="00027624" w:rsidRDefault="0092760B" w:rsidP="008154EB">
      <w:pPr>
        <w:pStyle w:val="ChartorTableNote"/>
        <w:rPr>
          <w:noProof/>
          <w:sz w:val="20"/>
        </w:rPr>
      </w:pPr>
      <w:r w:rsidRPr="00027624">
        <w:rPr>
          <w:noProof/>
        </w:rPr>
        <w:t>Note: Minimum standard is the maximum rate of Age Pension. Replacement rates are projected for couples commencing work in 2020 and retiring in 2060.</w:t>
      </w:r>
      <w:r w:rsidRPr="00027624">
        <w:t xml:space="preserve"> Source: Cameo modelling undertaken for the review.</w:t>
      </w:r>
    </w:p>
    <w:p w14:paraId="54065A0D" w14:textId="77777777" w:rsidR="0092760B" w:rsidRPr="00027624" w:rsidRDefault="0092760B" w:rsidP="002A2FAE">
      <w:pPr>
        <w:pStyle w:val="Heading3"/>
        <w:rPr>
          <w:rFonts w:eastAsiaTheme="minorHAnsi"/>
          <w:lang w:eastAsia="en-US"/>
        </w:rPr>
      </w:pPr>
      <w:r w:rsidRPr="00027624">
        <w:rPr>
          <w:rFonts w:eastAsiaTheme="minorHAnsi"/>
          <w:lang w:eastAsia="en-US"/>
        </w:rPr>
        <w:t>Replacement rates for women</w:t>
      </w:r>
    </w:p>
    <w:p w14:paraId="12B97C2B" w14:textId="77777777" w:rsidR="0092760B" w:rsidRPr="00027624" w:rsidRDefault="0092760B" w:rsidP="002A2FAE">
      <w:pPr>
        <w:rPr>
          <w:rFonts w:eastAsiaTheme="minorEastAsia"/>
          <w:lang w:eastAsia="en-US"/>
        </w:rPr>
      </w:pPr>
      <w:r w:rsidRPr="00027624">
        <w:rPr>
          <w:rFonts w:eastAsiaTheme="minorEastAsia"/>
          <w:lang w:eastAsia="en-US"/>
        </w:rPr>
        <w:t xml:space="preserve">A specific cameo model was developed for women, adjusting the default assumptions to reflect a shorter working life (38 years instead of 40), generally lower female wages, differences in rates of voluntary savings and different life expectancy (see </w:t>
      </w:r>
      <w:r w:rsidRPr="00027624">
        <w:rPr>
          <w:i/>
        </w:rPr>
        <w:t>Appendix 6A. Detailed modelling methods and assumptions</w:t>
      </w:r>
      <w:r w:rsidRPr="00027624">
        <w:rPr>
          <w:rFonts w:eastAsiaTheme="minorEastAsia"/>
          <w:lang w:eastAsia="en-US"/>
        </w:rPr>
        <w:t>).</w:t>
      </w:r>
    </w:p>
    <w:p w14:paraId="70DD301F" w14:textId="5E89C1AC" w:rsidR="0092760B" w:rsidRPr="00027624" w:rsidRDefault="0092760B" w:rsidP="002A2FAE">
      <w:pPr>
        <w:rPr>
          <w:rFonts w:eastAsiaTheme="minorEastAsia"/>
          <w:lang w:eastAsia="en-US"/>
        </w:rPr>
      </w:pPr>
      <w:r w:rsidRPr="00027624">
        <w:rPr>
          <w:rFonts w:eastAsiaTheme="minorEastAsia"/>
          <w:b/>
          <w:lang w:eastAsia="en-US"/>
        </w:rPr>
        <w:t>Women have, on average, replacement rates above the benchmark across all income percentiles</w:t>
      </w:r>
      <w:r w:rsidRPr="00027624">
        <w:rPr>
          <w:rFonts w:eastAsiaTheme="minorEastAsia"/>
          <w:lang w:eastAsia="en-US"/>
        </w:rPr>
        <w:t xml:space="preserve"> (</w:t>
      </w:r>
      <w:r w:rsidRPr="00027624">
        <w:rPr>
          <w:rFonts w:eastAsiaTheme="minorEastAsia"/>
          <w:lang w:eastAsia="en-US"/>
        </w:rPr>
        <w:fldChar w:fldCharType="begin"/>
      </w:r>
      <w:r w:rsidRPr="00027624">
        <w:rPr>
          <w:rFonts w:eastAsiaTheme="minorEastAsia"/>
          <w:lang w:eastAsia="en-US"/>
        </w:rPr>
        <w:instrText xml:space="preserve"> REF _Ref39263972 \r \h  \* MERGEFORMAT </w:instrText>
      </w:r>
      <w:r w:rsidRPr="00027624">
        <w:rPr>
          <w:rFonts w:eastAsiaTheme="minorEastAsia"/>
          <w:lang w:eastAsia="en-US"/>
        </w:rPr>
      </w:r>
      <w:r w:rsidRPr="00027624">
        <w:rPr>
          <w:rFonts w:eastAsiaTheme="minorEastAsia"/>
          <w:lang w:eastAsia="en-US"/>
        </w:rPr>
        <w:fldChar w:fldCharType="separate"/>
      </w:r>
      <w:r w:rsidR="00891058">
        <w:rPr>
          <w:rFonts w:eastAsiaTheme="minorEastAsia"/>
          <w:lang w:eastAsia="en-US"/>
        </w:rPr>
        <w:t>Chart 2C-16</w:t>
      </w:r>
      <w:r w:rsidRPr="00027624">
        <w:rPr>
          <w:rFonts w:eastAsiaTheme="minorEastAsia"/>
          <w:lang w:eastAsia="en-US"/>
        </w:rPr>
        <w:fldChar w:fldCharType="end"/>
      </w:r>
      <w:r w:rsidRPr="00027624">
        <w:rPr>
          <w:rFonts w:eastAsiaTheme="minorEastAsia"/>
          <w:lang w:eastAsia="en-US"/>
        </w:rPr>
        <w:t>). This result is due to:</w:t>
      </w:r>
    </w:p>
    <w:p w14:paraId="708BFF6F" w14:textId="77777777" w:rsidR="0092760B" w:rsidRPr="00027624" w:rsidRDefault="0092760B" w:rsidP="0092760B">
      <w:pPr>
        <w:pStyle w:val="Bullet"/>
      </w:pPr>
      <w:r w:rsidRPr="00027624">
        <w:rPr>
          <w:rFonts w:eastAsiaTheme="minorEastAsia"/>
          <w:lang w:eastAsia="en-US"/>
        </w:rPr>
        <w:t>Women</w:t>
      </w:r>
      <w:r w:rsidR="00A8443E" w:rsidRPr="00027624">
        <w:rPr>
          <w:rFonts w:eastAsiaTheme="minorEastAsia"/>
          <w:lang w:eastAsia="en-US"/>
        </w:rPr>
        <w:t>’</w:t>
      </w:r>
      <w:r w:rsidRPr="00027624">
        <w:rPr>
          <w:rFonts w:eastAsiaTheme="minorEastAsia"/>
          <w:lang w:eastAsia="en-US"/>
        </w:rPr>
        <w:t>s lower working</w:t>
      </w:r>
      <w:r w:rsidR="00A8443E" w:rsidRPr="00027624">
        <w:rPr>
          <w:rFonts w:eastAsiaTheme="minorEastAsia"/>
          <w:lang w:eastAsia="en-US"/>
        </w:rPr>
        <w:noBreakHyphen/>
      </w:r>
      <w:r w:rsidRPr="00027624">
        <w:rPr>
          <w:rFonts w:eastAsiaTheme="minorEastAsia"/>
          <w:lang w:eastAsia="en-US"/>
        </w:rPr>
        <w:t>life incomes and superannuation balances mean the Age Pension replaces a larger proportion of their working</w:t>
      </w:r>
      <w:r w:rsidR="00A8443E" w:rsidRPr="00027624">
        <w:rPr>
          <w:rFonts w:eastAsiaTheme="minorEastAsia"/>
          <w:lang w:eastAsia="en-US"/>
        </w:rPr>
        <w:noBreakHyphen/>
      </w:r>
      <w:r w:rsidRPr="00027624">
        <w:rPr>
          <w:rFonts w:eastAsiaTheme="minorEastAsia"/>
          <w:lang w:eastAsia="en-US"/>
        </w:rPr>
        <w:t>life income than for men.</w:t>
      </w:r>
    </w:p>
    <w:p w14:paraId="45D32E00" w14:textId="77777777" w:rsidR="0092760B" w:rsidRPr="00027624" w:rsidRDefault="0092760B" w:rsidP="002A2FAE">
      <w:pPr>
        <w:pStyle w:val="Dash"/>
        <w:ind w:left="567"/>
      </w:pPr>
      <w:r w:rsidRPr="00027624">
        <w:t xml:space="preserve">Due to lower incomes and lower rates of workforce participation, women also benefit relatively less from the SG. For example, the increase in the SG rate to 12 per cent is expected to benefit men more than women and not reduce the gender gap in retirement incomes (see </w:t>
      </w:r>
      <w:r w:rsidRPr="00027624">
        <w:rPr>
          <w:i/>
        </w:rPr>
        <w:t xml:space="preserve">3B. </w:t>
      </w:r>
      <w:r w:rsidRPr="00027624">
        <w:rPr>
          <w:rFonts w:eastAsiaTheme="minorHAnsi"/>
          <w:i/>
          <w:lang w:eastAsia="en-US"/>
        </w:rPr>
        <w:t>Gender and partnered status</w:t>
      </w:r>
      <w:r w:rsidRPr="00027624">
        <w:rPr>
          <w:rFonts w:eastAsiaTheme="minorHAnsi"/>
          <w:lang w:eastAsia="en-US"/>
        </w:rPr>
        <w:t xml:space="preserve"> and </w:t>
      </w:r>
      <w:r w:rsidRPr="00027624">
        <w:rPr>
          <w:i/>
        </w:rPr>
        <w:t>2D. Policy scenario: Implications of maintaining the SG rate</w:t>
      </w:r>
      <w:r w:rsidRPr="00027624">
        <w:t>).</w:t>
      </w:r>
      <w:r w:rsidRPr="00027624">
        <w:rPr>
          <w:i/>
        </w:rPr>
        <w:t xml:space="preserve"> </w:t>
      </w:r>
    </w:p>
    <w:p w14:paraId="51988666" w14:textId="77777777" w:rsidR="0092760B" w:rsidRPr="00027624" w:rsidRDefault="0092760B" w:rsidP="0092760B">
      <w:pPr>
        <w:pStyle w:val="Bullet"/>
      </w:pPr>
      <w:r w:rsidRPr="00027624">
        <w:rPr>
          <w:rFonts w:eastAsiaTheme="minorEastAsia"/>
          <w:lang w:eastAsia="en-US"/>
        </w:rPr>
        <w:t xml:space="preserve">Women having relatively higher voluntary savings rates. </w:t>
      </w:r>
      <w:r w:rsidRPr="00027624">
        <w:t>On average, women make higher voluntary contributions to superannuation as a proportion of their incomes than men</w:t>
      </w:r>
      <w:r w:rsidRPr="00027624">
        <w:rPr>
          <w:i/>
          <w:iCs/>
        </w:rPr>
        <w:t>.</w:t>
      </w:r>
    </w:p>
    <w:p w14:paraId="6368CD12" w14:textId="77777777" w:rsidR="0092760B" w:rsidRPr="00027624" w:rsidRDefault="0092760B" w:rsidP="002A2FAE">
      <w:pPr>
        <w:pStyle w:val="Dash"/>
        <w:ind w:left="567"/>
      </w:pPr>
      <w:r w:rsidRPr="00027624">
        <w:lastRenderedPageBreak/>
        <w:t xml:space="preserve">For women, voluntary contributions are largely made by those with higher balances, or those partnered to people with higher balances (see </w:t>
      </w:r>
      <w:r w:rsidR="00955FAD" w:rsidRPr="00955FAD">
        <w:rPr>
          <w:i/>
        </w:rPr>
        <w:t xml:space="preserve">Appendix </w:t>
      </w:r>
      <w:r w:rsidRPr="00027624">
        <w:rPr>
          <w:i/>
        </w:rPr>
        <w:t>6D. Supplementary equity charts</w:t>
      </w:r>
      <w:r w:rsidRPr="00027624">
        <w:rPr>
          <w:rFonts w:eastAsiaTheme="minorHAnsi"/>
          <w:lang w:eastAsia="en-US"/>
        </w:rPr>
        <w:t>)</w:t>
      </w:r>
      <w:r w:rsidRPr="00027624">
        <w:t>.</w:t>
      </w:r>
    </w:p>
    <w:p w14:paraId="46901975" w14:textId="77777777" w:rsidR="0092760B" w:rsidRPr="00027624" w:rsidRDefault="0092760B" w:rsidP="002A2FAE">
      <w:pPr>
        <w:pStyle w:val="Dash"/>
        <w:ind w:left="567"/>
      </w:pPr>
      <w:r w:rsidRPr="00027624">
        <w:t>The main form of voluntary savings for women is through non</w:t>
      </w:r>
      <w:r w:rsidR="00A8443E" w:rsidRPr="00027624">
        <w:noBreakHyphen/>
      </w:r>
      <w:r w:rsidRPr="00027624">
        <w:t>concessional contributions and is not included in this modelling.</w:t>
      </w:r>
    </w:p>
    <w:p w14:paraId="212D8941" w14:textId="77777777" w:rsidR="0092760B" w:rsidRPr="00027624" w:rsidRDefault="0092760B" w:rsidP="002A2FAE">
      <w:pPr>
        <w:rPr>
          <w:rFonts w:eastAsiaTheme="minorEastAsia"/>
          <w:lang w:eastAsia="en-US"/>
        </w:rPr>
      </w:pPr>
      <w:r w:rsidRPr="00027624">
        <w:rPr>
          <w:rFonts w:eastAsiaTheme="minorEastAsia"/>
          <w:lang w:eastAsia="en-US"/>
        </w:rPr>
        <w:t>Higher replacement rates do not mean women have better outcomes than men in retirement, as their total retirement incomes are lower, given lower working</w:t>
      </w:r>
      <w:r w:rsidR="00A8443E" w:rsidRPr="00027624">
        <w:rPr>
          <w:rFonts w:eastAsiaTheme="minorEastAsia"/>
          <w:lang w:eastAsia="en-US"/>
        </w:rPr>
        <w:noBreakHyphen/>
      </w:r>
      <w:r w:rsidRPr="00027624">
        <w:rPr>
          <w:rFonts w:eastAsiaTheme="minorEastAsia"/>
          <w:lang w:eastAsia="en-US"/>
        </w:rPr>
        <w:t xml:space="preserve">life incomes. Differences in retirement outcomes by gender are discussed in </w:t>
      </w:r>
      <w:r w:rsidRPr="00027624">
        <w:rPr>
          <w:rFonts w:eastAsiaTheme="minorEastAsia"/>
          <w:i/>
          <w:lang w:eastAsia="en-US"/>
        </w:rPr>
        <w:t>3B. Gender and partnered status</w:t>
      </w:r>
      <w:r w:rsidRPr="00027624">
        <w:rPr>
          <w:rFonts w:eastAsiaTheme="minorEastAsia"/>
          <w:lang w:eastAsia="en-US"/>
        </w:rPr>
        <w:t>.</w:t>
      </w:r>
    </w:p>
    <w:p w14:paraId="6AF73DBB" w14:textId="77777777" w:rsidR="0092760B" w:rsidRPr="00027624" w:rsidRDefault="0092760B" w:rsidP="00325A8D">
      <w:pPr>
        <w:pStyle w:val="ChartMainHeading"/>
        <w:rPr>
          <w:rFonts w:eastAsiaTheme="minorHAnsi"/>
        </w:rPr>
      </w:pPr>
      <w:bookmarkStart w:id="560" w:name="_Ref39263972"/>
      <w:r w:rsidRPr="00027624">
        <w:rPr>
          <w:rFonts w:eastAsiaTheme="minorHAnsi"/>
        </w:rPr>
        <w:t>Replacement</w:t>
      </w:r>
      <w:r w:rsidRPr="00027624">
        <w:rPr>
          <w:rFonts w:eastAsiaTheme="minorHAnsi"/>
          <w:lang w:eastAsia="en-US"/>
        </w:rPr>
        <w:t xml:space="preserve"> rates for women by income source</w:t>
      </w:r>
      <w:bookmarkEnd w:id="560"/>
    </w:p>
    <w:p w14:paraId="2A0814D6" w14:textId="77777777" w:rsidR="0092760B" w:rsidRPr="00027624" w:rsidRDefault="006445C3" w:rsidP="002A2FAE">
      <w:pPr>
        <w:pStyle w:val="ChartGraphic"/>
        <w:rPr>
          <w:rFonts w:eastAsiaTheme="minorHAnsi"/>
        </w:rPr>
      </w:pPr>
      <w:r>
        <w:rPr>
          <w:rFonts w:eastAsiaTheme="minorHAnsi"/>
          <w:noProof/>
        </w:rPr>
        <w:drawing>
          <wp:inline distT="0" distB="0" distL="0" distR="0" wp14:anchorId="76EC9974" wp14:editId="6DC7E06A">
            <wp:extent cx="5547360" cy="2720340"/>
            <wp:effectExtent l="0" t="0" r="0" b="3810"/>
            <wp:docPr id="761061982" name="Picture 761061982" descr="This chart shows than women in the 70th percentile and below have replacement rates above the 65-75 per cent benchmark. The 90th percentile and above have replacement rates above the benchmark.  " title="Chart 2C-16 Replacement rates for women by incom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47360" cy="2720340"/>
                    </a:xfrm>
                    <a:prstGeom prst="rect">
                      <a:avLst/>
                    </a:prstGeom>
                    <a:noFill/>
                  </pic:spPr>
                </pic:pic>
              </a:graphicData>
            </a:graphic>
          </wp:inline>
        </w:drawing>
      </w:r>
    </w:p>
    <w:p w14:paraId="131430C8" w14:textId="77777777" w:rsidR="0092760B" w:rsidRPr="00027624" w:rsidRDefault="0092760B" w:rsidP="002A2FAE">
      <w:pPr>
        <w:pStyle w:val="ChartorTableNote"/>
        <w:rPr>
          <w:color w:val="auto"/>
        </w:rPr>
      </w:pPr>
      <w:r w:rsidRPr="00027624">
        <w:t>Note: Minimum standard is the maximum rate of Age Pension</w:t>
      </w:r>
      <w:r w:rsidRPr="00027624">
        <w:rPr>
          <w:i/>
          <w:noProof/>
          <w:color w:val="000000" w:themeColor="text1"/>
        </w:rPr>
        <w:t xml:space="preserve">. </w:t>
      </w:r>
      <w:r w:rsidRPr="00027624">
        <w:rPr>
          <w:noProof/>
          <w:color w:val="000000" w:themeColor="text1"/>
        </w:rPr>
        <w:t>Replacement rates are projected for women retiring 40 years after starting work with a two</w:t>
      </w:r>
      <w:r w:rsidR="00A8443E" w:rsidRPr="00027624">
        <w:rPr>
          <w:noProof/>
          <w:color w:val="000000" w:themeColor="text1"/>
        </w:rPr>
        <w:noBreakHyphen/>
      </w:r>
      <w:r w:rsidRPr="00027624">
        <w:rPr>
          <w:noProof/>
          <w:color w:val="000000" w:themeColor="text1"/>
        </w:rPr>
        <w:t>year career break.</w:t>
      </w:r>
      <w:r w:rsidRPr="00027624">
        <w:rPr>
          <w:i/>
          <w:color w:val="000000" w:themeColor="text1"/>
        </w:rPr>
        <w:t xml:space="preserve"> </w:t>
      </w:r>
      <w:r w:rsidRPr="00027624">
        <w:rPr>
          <w:color w:val="000000" w:themeColor="text1"/>
        </w:rPr>
        <w:t>Source:</w:t>
      </w:r>
      <w:r w:rsidRPr="00027624">
        <w:t xml:space="preserve"> Cameo modelling undertaken for the review.</w:t>
      </w:r>
    </w:p>
    <w:tbl>
      <w:tblPr>
        <w:tblStyle w:val="TableGrid"/>
        <w:tblW w:w="5000" w:type="pct"/>
        <w:shd w:val="clear" w:color="auto" w:fill="FFF8EA"/>
        <w:tblLook w:val="04A0" w:firstRow="1" w:lastRow="0" w:firstColumn="1" w:lastColumn="0" w:noHBand="0" w:noVBand="1"/>
      </w:tblPr>
      <w:tblGrid>
        <w:gridCol w:w="9070"/>
      </w:tblGrid>
      <w:tr w:rsidR="0092760B" w:rsidRPr="00027624" w14:paraId="60E73B61" w14:textId="77777777" w:rsidTr="005B5724">
        <w:tc>
          <w:tcPr>
            <w:tcW w:w="9070" w:type="dxa"/>
            <w:shd w:val="clear" w:color="auto" w:fill="FFF8EA"/>
          </w:tcPr>
          <w:p w14:paraId="08A036BC" w14:textId="77777777" w:rsidR="0092760B" w:rsidRPr="00027624" w:rsidRDefault="0092760B" w:rsidP="00325A8D">
            <w:pPr>
              <w:pStyle w:val="BoxHeading"/>
              <w:keepNext w:val="0"/>
              <w:spacing w:before="120"/>
            </w:pPr>
            <w:bookmarkStart w:id="561" w:name="_Ref43129626"/>
            <w:r w:rsidRPr="00027624">
              <w:t>Options to boost adequacy</w:t>
            </w:r>
            <w:bookmarkEnd w:id="561"/>
          </w:p>
          <w:p w14:paraId="0560881E" w14:textId="77777777" w:rsidR="0092760B" w:rsidRPr="00027624" w:rsidRDefault="0092760B" w:rsidP="00F75B78">
            <w:pPr>
              <w:jc w:val="left"/>
            </w:pPr>
            <w:r w:rsidRPr="00027624">
              <w:t>Drawing down assets efficiently is crucial for many retirees to be able to maintain their living standards in retirement. Moreover, using assets more efficiently can boost retirement incomes without the need to save more during working life.</w:t>
            </w:r>
          </w:p>
          <w:p w14:paraId="635294C1" w14:textId="77777777" w:rsidR="0092760B" w:rsidRPr="00027624" w:rsidRDefault="0092760B" w:rsidP="00F75B78">
            <w:pPr>
              <w:pStyle w:val="ChartSecondHeading"/>
              <w:jc w:val="left"/>
            </w:pPr>
            <w:r w:rsidRPr="00027624">
              <w:t>Fully using superannuation assets</w:t>
            </w:r>
          </w:p>
          <w:p w14:paraId="7221903E" w14:textId="2044CDCD" w:rsidR="0092760B" w:rsidRPr="00027624" w:rsidRDefault="0092760B" w:rsidP="00F75B78">
            <w:r w:rsidRPr="00027624">
              <w:rPr>
                <w:b/>
                <w:bCs/>
              </w:rPr>
              <w:t>Whether retirees draw down at minimum rates or effectively use their superannuation is critical for adequacy outcomes</w:t>
            </w:r>
            <w:r w:rsidRPr="00027624">
              <w:t xml:space="preserve"> (</w:t>
            </w:r>
            <w:r w:rsidRPr="00027624">
              <w:fldChar w:fldCharType="begin"/>
            </w:r>
            <w:r w:rsidRPr="00027624">
              <w:instrText xml:space="preserve"> REF _Ref43129126 \r \h  \* MERGEFORMAT </w:instrText>
            </w:r>
            <w:r w:rsidRPr="00027624">
              <w:fldChar w:fldCharType="separate"/>
            </w:r>
            <w:r w:rsidR="00891058">
              <w:t>Chart 2C-18</w:t>
            </w:r>
            <w:r w:rsidRPr="00027624">
              <w:fldChar w:fldCharType="end"/>
            </w:r>
            <w:r w:rsidRPr="00027624">
              <w:t>). Middle</w:t>
            </w:r>
            <w:r w:rsidR="00A8443E" w:rsidRPr="00027624">
              <w:noBreakHyphen/>
            </w:r>
            <w:r w:rsidRPr="00027624">
              <w:t>income earners in the 60</w:t>
            </w:r>
            <w:r w:rsidRPr="00027624">
              <w:rPr>
                <w:vertAlign w:val="superscript"/>
              </w:rPr>
              <w:t>th</w:t>
            </w:r>
            <w:r w:rsidRPr="00027624">
              <w:t xml:space="preserve"> and 70</w:t>
            </w:r>
            <w:r w:rsidRPr="00027624">
              <w:rPr>
                <w:vertAlign w:val="superscript"/>
              </w:rPr>
              <w:t>th</w:t>
            </w:r>
            <w:r w:rsidRPr="00027624">
              <w:t xml:space="preserve"> percentiles have replacement rates below the benchmark if they draw down their superannuation at the statutory minimum rates.</w:t>
            </w:r>
          </w:p>
          <w:p w14:paraId="0CA79C74" w14:textId="77777777" w:rsidR="0092760B" w:rsidRPr="00027624" w:rsidRDefault="0092760B" w:rsidP="00F75B78">
            <w:r w:rsidRPr="00027624">
              <w:t xml:space="preserve">More than half of retirees older than 65 currently draw down at the minimum rate </w:t>
            </w:r>
            <w:sdt>
              <w:sdtPr>
                <w:id w:val="1883985556"/>
                <w:citation/>
              </w:sdtPr>
              <w:sdtEndPr/>
              <w:sdtContent>
                <w:r w:rsidRPr="00027624">
                  <w:fldChar w:fldCharType="begin"/>
                </w:r>
                <w:r w:rsidRPr="00027624">
                  <w:instrText xml:space="preserve"> CITATION Ric191 \l 3081 </w:instrText>
                </w:r>
                <w:r w:rsidRPr="00027624">
                  <w:fldChar w:fldCharType="separate"/>
                </w:r>
                <w:r w:rsidR="00E83F6E">
                  <w:rPr>
                    <w:noProof/>
                  </w:rPr>
                  <w:t>(Rice Warner, 2019b)</w:t>
                </w:r>
                <w:r w:rsidRPr="00027624">
                  <w:fldChar w:fldCharType="end"/>
                </w:r>
              </w:sdtContent>
            </w:sdt>
            <w:r w:rsidRPr="00027624">
              <w:t>, although retirees who do not use minimums draw down at faster rates, such as about 10 per cent a year for members aged 65</w:t>
            </w:r>
            <w:r w:rsidR="00A8443E" w:rsidRPr="00027624">
              <w:noBreakHyphen/>
            </w:r>
            <w:r w:rsidRPr="00027624">
              <w:t>79</w:t>
            </w:r>
            <w:sdt>
              <w:sdtPr>
                <w:id w:val="-82534932"/>
                <w:citation/>
              </w:sdtPr>
              <w:sdtEndPr/>
              <w:sdtContent>
                <w:r w:rsidRPr="00027624">
                  <w:fldChar w:fldCharType="begin"/>
                </w:r>
                <w:r w:rsidRPr="00027624">
                  <w:instrText xml:space="preserve"> CITATION Fir20Sub \l 3081 </w:instrText>
                </w:r>
                <w:r w:rsidRPr="00027624">
                  <w:fldChar w:fldCharType="separate"/>
                </w:r>
                <w:r w:rsidR="00E83F6E">
                  <w:rPr>
                    <w:noProof/>
                  </w:rPr>
                  <w:t xml:space="preserve"> (First State Super, 2020b)</w:t>
                </w:r>
                <w:r w:rsidRPr="00027624">
                  <w:fldChar w:fldCharType="end"/>
                </w:r>
              </w:sdtContent>
            </w:sdt>
            <w:r w:rsidRPr="00027624">
              <w:t>.</w:t>
            </w:r>
            <w:r w:rsidRPr="00027624" w:rsidDel="00F17BAE">
              <w:rPr>
                <w:rStyle w:val="FootnoteReference"/>
              </w:rPr>
              <w:t xml:space="preserve"> </w:t>
            </w:r>
            <w:r w:rsidRPr="00027624">
              <w:t>Longevity products can help protect retirees from the risk of outliving their assets, but their take</w:t>
            </w:r>
            <w:r w:rsidR="00A8443E" w:rsidRPr="00027624">
              <w:noBreakHyphen/>
            </w:r>
            <w:r w:rsidRPr="00027624">
              <w:t>up is low (</w:t>
            </w:r>
            <w:r w:rsidR="00673D11">
              <w:t xml:space="preserve">see </w:t>
            </w:r>
            <w:r w:rsidRPr="00027624">
              <w:rPr>
                <w:i/>
              </w:rPr>
              <w:t>5A. Cohesion</w:t>
            </w:r>
            <w:r w:rsidRPr="00027624">
              <w:t>).</w:t>
            </w:r>
          </w:p>
          <w:p w14:paraId="1529C06C" w14:textId="77777777" w:rsidR="0092760B" w:rsidRPr="00027624" w:rsidRDefault="0092760B" w:rsidP="00F75B78">
            <w:pPr>
              <w:jc w:val="left"/>
            </w:pPr>
            <w:r w:rsidRPr="00027624">
              <w:rPr>
                <w:b/>
                <w:bCs/>
              </w:rPr>
              <w:t xml:space="preserve">The purpose of superannuation is to provide income in retirement. </w:t>
            </w:r>
            <w:r w:rsidRPr="00027624">
              <w:t>Drawing</w:t>
            </w:r>
            <w:r w:rsidRPr="00027624">
              <w:rPr>
                <w:b/>
                <w:bCs/>
              </w:rPr>
              <w:t xml:space="preserve"> </w:t>
            </w:r>
            <w:r w:rsidRPr="00027624">
              <w:t>down superannuation assets throughout retirement is consistent with its policy purpose. Superannuation is not intended to provide significant bequests through a concessionally taxed environment. However, most retirees currently leave the bulk of their wealth as a bequest (</w:t>
            </w:r>
            <w:r w:rsidR="00673D11">
              <w:t xml:space="preserve">see </w:t>
            </w:r>
            <w:r w:rsidRPr="00027624">
              <w:rPr>
                <w:i/>
              </w:rPr>
              <w:t>5A. Cohesion</w:t>
            </w:r>
            <w:r w:rsidRPr="00027624">
              <w:t>).</w:t>
            </w:r>
          </w:p>
          <w:p w14:paraId="7DC79E23" w14:textId="77777777" w:rsidR="0092760B" w:rsidRPr="00027624" w:rsidRDefault="0092760B" w:rsidP="00325A8D">
            <w:pPr>
              <w:pStyle w:val="ChartMainHeading"/>
            </w:pPr>
            <w:bookmarkStart w:id="562" w:name="_Ref42859508"/>
            <w:r w:rsidRPr="00027624">
              <w:lastRenderedPageBreak/>
              <w:t>Projected superannuation bequests at age 92; different drawdown rates</w:t>
            </w:r>
          </w:p>
          <w:bookmarkEnd w:id="562"/>
          <w:p w14:paraId="6E0A99AD" w14:textId="77777777" w:rsidR="0092760B" w:rsidRPr="00027624" w:rsidRDefault="006445C3" w:rsidP="00F75B78">
            <w:pPr>
              <w:pStyle w:val="ChartGraphic"/>
            </w:pPr>
            <w:r>
              <w:rPr>
                <w:noProof/>
              </w:rPr>
              <w:drawing>
                <wp:inline distT="0" distB="0" distL="0" distR="0" wp14:anchorId="27F9244B" wp14:editId="1BF2065F">
                  <wp:extent cx="5585460" cy="2712720"/>
                  <wp:effectExtent l="0" t="0" r="0" b="0"/>
                  <wp:docPr id="761061983" name="Picture 761061983" descr="This chart shows that with minimum drawdowns retirees would leave substantial superannuation bequests. With the review’s efficient drawdown strategy, bequests from superannuation small or zero." title="Chart 2C-17 Projected superannuation bequests at age 92; different drawdown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85460" cy="2712720"/>
                          </a:xfrm>
                          <a:prstGeom prst="rect">
                            <a:avLst/>
                          </a:prstGeom>
                          <a:noFill/>
                        </pic:spPr>
                      </pic:pic>
                    </a:graphicData>
                  </a:graphic>
                </wp:inline>
              </w:drawing>
            </w:r>
          </w:p>
          <w:p w14:paraId="27B67085" w14:textId="77777777" w:rsidR="0092760B" w:rsidRPr="00027624" w:rsidRDefault="0092760B" w:rsidP="005A4479">
            <w:pPr>
              <w:pStyle w:val="ChartorTableNote"/>
              <w:spacing w:after="120"/>
            </w:pPr>
            <w:r w:rsidRPr="00027624">
              <w:t>Note: Bequests estimated based on remaining superannuation balance at life expectancy. Bequests do not include non</w:t>
            </w:r>
            <w:r w:rsidR="00A8443E" w:rsidRPr="00027624">
              <w:noBreakHyphen/>
            </w:r>
            <w:r w:rsidRPr="00027624">
              <w:t>super assets. Values are in 2019</w:t>
            </w:r>
            <w:r w:rsidR="00A8443E" w:rsidRPr="00027624">
              <w:noBreakHyphen/>
            </w:r>
            <w:r w:rsidRPr="00027624">
              <w:t>20 dollars, deflated using the review</w:t>
            </w:r>
            <w:r w:rsidR="00A8443E" w:rsidRPr="00027624">
              <w:t>’</w:t>
            </w:r>
            <w:r w:rsidRPr="00027624">
              <w:t>s mixed deflator. Minimum drawdown rates are consistent with legislated minimums by age. Minimum drawdown rate scenario does not include purchase of a longevity product. Review drawdowns exhausts superannuation balance at age 92 (with longevity protection) except for higher</w:t>
            </w:r>
            <w:r w:rsidR="00A8443E" w:rsidRPr="00027624">
              <w:noBreakHyphen/>
            </w:r>
            <w:r w:rsidRPr="00027624">
              <w:t>income earners. Source: Cameo modelling undertaken for the review.</w:t>
            </w:r>
          </w:p>
          <w:p w14:paraId="1D075CBC" w14:textId="77777777" w:rsidR="0092760B" w:rsidRPr="00027624" w:rsidRDefault="0092760B" w:rsidP="00F75B78">
            <w:pPr>
              <w:jc w:val="left"/>
            </w:pPr>
            <w:r w:rsidRPr="00027624">
              <w:rPr>
                <w:b/>
              </w:rPr>
              <w:t>If drawdown rates increase from those currently observed to match those assumed in the modelling, replacement rates could rise by 11 percentage points for the median earner retiring in 2060.</w:t>
            </w:r>
          </w:p>
          <w:p w14:paraId="3E7D5789" w14:textId="77777777" w:rsidR="0092760B" w:rsidRPr="00027624" w:rsidRDefault="0092760B" w:rsidP="00325A8D">
            <w:pPr>
              <w:pStyle w:val="ChartMainHeading"/>
            </w:pPr>
            <w:bookmarkStart w:id="563" w:name="_Ref43129126"/>
            <w:r w:rsidRPr="00027624">
              <w:t>Projected replacement rates under different drawdown rates</w:t>
            </w:r>
            <w:bookmarkEnd w:id="563"/>
          </w:p>
          <w:p w14:paraId="6994084C" w14:textId="77777777" w:rsidR="0092760B" w:rsidRPr="00027624" w:rsidRDefault="006C7066" w:rsidP="00F75B78">
            <w:pPr>
              <w:pStyle w:val="ChartGraphic"/>
            </w:pPr>
            <w:r>
              <w:rPr>
                <w:noProof/>
              </w:rPr>
              <w:drawing>
                <wp:inline distT="0" distB="0" distL="0" distR="0" wp14:anchorId="2EEB3C09" wp14:editId="116AF0BA">
                  <wp:extent cx="5577840" cy="2712720"/>
                  <wp:effectExtent l="0" t="0" r="3810" b="0"/>
                  <wp:docPr id="2062294272" name="Picture 2062294272" descr="This chart shows that efficient drawdowns result in significantly higher replacement rates compared with both observed and minimum drawdown rates across all income percentiles." title="Chart 2C-18 Projected replacement rates under different drawdown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77840" cy="2712720"/>
                          </a:xfrm>
                          <a:prstGeom prst="rect">
                            <a:avLst/>
                          </a:prstGeom>
                          <a:noFill/>
                        </pic:spPr>
                      </pic:pic>
                    </a:graphicData>
                  </a:graphic>
                </wp:inline>
              </w:drawing>
            </w:r>
          </w:p>
          <w:p w14:paraId="6F0F2A2B" w14:textId="77777777" w:rsidR="0092760B" w:rsidRPr="00027624" w:rsidRDefault="0092760B" w:rsidP="005A4479">
            <w:pPr>
              <w:pStyle w:val="ChartorTableNote"/>
              <w:spacing w:after="120"/>
              <w:rPr>
                <w:iCs/>
              </w:rPr>
            </w:pPr>
            <w:r w:rsidRPr="00027624">
              <w:t>Note: Replacement rates are calculated using the review</w:t>
            </w:r>
            <w:r w:rsidR="00A8443E" w:rsidRPr="00027624">
              <w:t>’</w:t>
            </w:r>
            <w:r w:rsidRPr="00027624">
              <w:t>s mixed deflator.</w:t>
            </w:r>
            <w:r w:rsidRPr="00027624">
              <w:rPr>
                <w:iCs/>
              </w:rPr>
              <w:t xml:space="preserve"> </w:t>
            </w:r>
            <w:r w:rsidRPr="00027624">
              <w:t>Minimum and observed drawdown rate scenarios do not include purchase of a longevity product. Source: Cameo modelling undertaken for the review.</w:t>
            </w:r>
          </w:p>
          <w:p w14:paraId="33D1964D" w14:textId="77777777" w:rsidR="0092760B" w:rsidRPr="00027624" w:rsidRDefault="0092760B" w:rsidP="005A4479">
            <w:pPr>
              <w:pStyle w:val="Heading5"/>
              <w:keepLines/>
              <w:tabs>
                <w:tab w:val="center" w:pos="4428"/>
              </w:tabs>
              <w:spacing w:before="120"/>
              <w:jc w:val="left"/>
              <w:outlineLvl w:val="4"/>
            </w:pPr>
            <w:r w:rsidRPr="00027624">
              <w:t>Achieving better after</w:t>
            </w:r>
            <w:r w:rsidR="00A8443E" w:rsidRPr="00027624">
              <w:noBreakHyphen/>
            </w:r>
            <w:r w:rsidRPr="00027624">
              <w:t>fee returns</w:t>
            </w:r>
          </w:p>
          <w:p w14:paraId="0A7FEA5B" w14:textId="02DA9190" w:rsidR="0092760B" w:rsidRPr="00027624" w:rsidRDefault="0092760B" w:rsidP="00F75B78">
            <w:pPr>
              <w:keepNext/>
              <w:keepLines/>
              <w:jc w:val="left"/>
            </w:pPr>
            <w:r w:rsidRPr="00027624">
              <w:t>Improving after</w:t>
            </w:r>
            <w:r w:rsidR="00A8443E" w:rsidRPr="00027624">
              <w:noBreakHyphen/>
            </w:r>
            <w:r w:rsidRPr="00027624">
              <w:t xml:space="preserve">fee investment returns in superannuation can significantly boost retirement incomes. </w:t>
            </w:r>
            <w:r w:rsidRPr="00027624">
              <w:rPr>
                <w:b/>
              </w:rPr>
              <w:t>A 0.5 per cent increase in after</w:t>
            </w:r>
            <w:r w:rsidR="00A8443E" w:rsidRPr="00027624">
              <w:rPr>
                <w:b/>
              </w:rPr>
              <w:noBreakHyphen/>
            </w:r>
            <w:r w:rsidRPr="00027624">
              <w:rPr>
                <w:b/>
              </w:rPr>
              <w:t>fee returns could boost replacement rates for the median earner by 4 percentage points (</w:t>
            </w:r>
            <w:r w:rsidRPr="00027624">
              <w:rPr>
                <w:b/>
              </w:rPr>
              <w:fldChar w:fldCharType="begin"/>
            </w:r>
            <w:r w:rsidRPr="00027624">
              <w:rPr>
                <w:b/>
              </w:rPr>
              <w:instrText xml:space="preserve"> REF _Ref44947404 \r \h  \* MERGEFORMAT </w:instrText>
            </w:r>
            <w:r w:rsidRPr="00027624">
              <w:rPr>
                <w:b/>
              </w:rPr>
            </w:r>
            <w:r w:rsidRPr="00027624">
              <w:rPr>
                <w:b/>
              </w:rPr>
              <w:fldChar w:fldCharType="separate"/>
            </w:r>
            <w:r w:rsidR="00891058">
              <w:rPr>
                <w:b/>
              </w:rPr>
              <w:t>Chart 2C-19</w:t>
            </w:r>
            <w:r w:rsidRPr="00027624">
              <w:rPr>
                <w:b/>
              </w:rPr>
              <w:fldChar w:fldCharType="end"/>
            </w:r>
            <w:r w:rsidRPr="00027624">
              <w:rPr>
                <w:b/>
              </w:rPr>
              <w:t>).</w:t>
            </w:r>
          </w:p>
          <w:p w14:paraId="684E6B7D" w14:textId="77777777" w:rsidR="0092760B" w:rsidRPr="00027624" w:rsidRDefault="0092760B" w:rsidP="00F75B78">
            <w:pPr>
              <w:keepNext/>
              <w:keepLines/>
              <w:jc w:val="left"/>
            </w:pPr>
            <w:r w:rsidRPr="00027624">
              <w:t>Options for improving net returns include:</w:t>
            </w:r>
          </w:p>
          <w:p w14:paraId="237E90B9" w14:textId="77777777" w:rsidR="0092760B" w:rsidRPr="00027624" w:rsidRDefault="0092760B" w:rsidP="00F75B78">
            <w:pPr>
              <w:pStyle w:val="Bullet"/>
              <w:keepNext/>
              <w:keepLines/>
              <w:jc w:val="left"/>
            </w:pPr>
            <w:r w:rsidRPr="00027624">
              <w:t>Implementing the reforms suggested in the Productivity Commission</w:t>
            </w:r>
            <w:r w:rsidR="00A8443E" w:rsidRPr="00027624">
              <w:t>’</w:t>
            </w:r>
            <w:r w:rsidRPr="00027624">
              <w:t xml:space="preserve">s report </w:t>
            </w:r>
            <w:r w:rsidRPr="00027624">
              <w:rPr>
                <w:i/>
                <w:iCs/>
              </w:rPr>
              <w:t>Superannuation: Assessing Efficiency and Competitiveness</w:t>
            </w:r>
            <w:r w:rsidRPr="00027624">
              <w:t xml:space="preserve">, intended to reduce costs for members. For example, moving from a </w:t>
            </w:r>
            <w:r w:rsidRPr="00027624">
              <w:lastRenderedPageBreak/>
              <w:t>MySuper fund in the bottom 20 per cent for fees to one in the top 20 per cent could boost after</w:t>
            </w:r>
            <w:r w:rsidR="00A8443E" w:rsidRPr="00027624">
              <w:noBreakHyphen/>
            </w:r>
            <w:r w:rsidRPr="00027624">
              <w:t>fee returns by 0.5 percentage points (review analysis of</w:t>
            </w:r>
            <w:sdt>
              <w:sdtPr>
                <w:id w:val="-1331287629"/>
                <w:citation/>
              </w:sdtPr>
              <w:sdtEndPr/>
              <w:sdtContent>
                <w:r w:rsidRPr="00027624">
                  <w:fldChar w:fldCharType="begin"/>
                </w:r>
                <w:r w:rsidRPr="00027624">
                  <w:instrText xml:space="preserve">CITATION APR19 \l 3081 </w:instrText>
                </w:r>
                <w:r w:rsidRPr="00027624">
                  <w:fldChar w:fldCharType="separate"/>
                </w:r>
                <w:r w:rsidR="00E83F6E">
                  <w:rPr>
                    <w:noProof/>
                  </w:rPr>
                  <w:t xml:space="preserve"> (Australian Prudential Regulation Authority, 2020a)</w:t>
                </w:r>
                <w:r w:rsidRPr="00027624">
                  <w:fldChar w:fldCharType="end"/>
                </w:r>
              </w:sdtContent>
            </w:sdt>
            <w:r w:rsidRPr="00027624">
              <w:t>).</w:t>
            </w:r>
          </w:p>
          <w:p w14:paraId="4982DBC7" w14:textId="77777777" w:rsidR="0092760B" w:rsidRPr="00027624" w:rsidRDefault="0092760B" w:rsidP="00F75B78">
            <w:pPr>
              <w:pStyle w:val="Bullet"/>
              <w:jc w:val="left"/>
            </w:pPr>
            <w:r w:rsidRPr="00027624">
              <w:t>Using investment strategies that mitigate sequencing risk, such as dynamic lifecycle strategies, to improve adequacy with lower downside risks</w:t>
            </w:r>
            <w:sdt>
              <w:sdtPr>
                <w:id w:val="-3520697"/>
                <w:citation/>
              </w:sdtPr>
              <w:sdtEndPr/>
              <w:sdtContent>
                <w:r w:rsidRPr="00027624">
                  <w:fldChar w:fldCharType="begin"/>
                </w:r>
                <w:r w:rsidRPr="00027624">
                  <w:instrText xml:space="preserve">CITATION Dre14 \l 3081 </w:instrText>
                </w:r>
                <w:r w:rsidRPr="00027624">
                  <w:fldChar w:fldCharType="separate"/>
                </w:r>
                <w:r w:rsidR="00E83F6E">
                  <w:rPr>
                    <w:noProof/>
                  </w:rPr>
                  <w:t xml:space="preserve"> (Drew, et al., 2014)</w:t>
                </w:r>
                <w:r w:rsidRPr="00027624">
                  <w:fldChar w:fldCharType="end"/>
                </w:r>
              </w:sdtContent>
            </w:sdt>
            <w:r w:rsidRPr="00027624">
              <w:t>.</w:t>
            </w:r>
          </w:p>
          <w:p w14:paraId="3C364194" w14:textId="77777777" w:rsidR="0092760B" w:rsidRPr="00027624" w:rsidRDefault="0092760B" w:rsidP="00325A8D">
            <w:pPr>
              <w:pStyle w:val="ChartMainHeading"/>
            </w:pPr>
            <w:bookmarkStart w:id="564" w:name="_Ref44947404"/>
            <w:r w:rsidRPr="00027624">
              <w:t>Projected impact of higher returns on replacement rates</w:t>
            </w:r>
            <w:bookmarkEnd w:id="564"/>
          </w:p>
          <w:p w14:paraId="087E8DE8" w14:textId="77777777" w:rsidR="0092760B" w:rsidRPr="00027624" w:rsidRDefault="006C7066" w:rsidP="00F75B78">
            <w:pPr>
              <w:pStyle w:val="ChartGraphic"/>
            </w:pPr>
            <w:r>
              <w:rPr>
                <w:noProof/>
              </w:rPr>
              <w:drawing>
                <wp:inline distT="0" distB="0" distL="0" distR="0" wp14:anchorId="4EA1BFAC" wp14:editId="2E431ADA">
                  <wp:extent cx="5463540" cy="2522220"/>
                  <wp:effectExtent l="0" t="0" r="3810" b="0"/>
                  <wp:docPr id="2062294273" name="Picture 2062294273" descr="This chart shows that higher investment returns would increase replacement rates for all income percentiles." title="Chart 2C-19 Projected impact of higher returns on replacemen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63540" cy="2522220"/>
                          </a:xfrm>
                          <a:prstGeom prst="rect">
                            <a:avLst/>
                          </a:prstGeom>
                          <a:noFill/>
                        </pic:spPr>
                      </pic:pic>
                    </a:graphicData>
                  </a:graphic>
                </wp:inline>
              </w:drawing>
            </w:r>
          </w:p>
          <w:p w14:paraId="7A16A72A" w14:textId="77777777" w:rsidR="0092760B" w:rsidRPr="00027624" w:rsidRDefault="0092760B" w:rsidP="005A4479">
            <w:pPr>
              <w:pStyle w:val="ChartorTableNote"/>
              <w:keepLines/>
              <w:spacing w:after="120"/>
              <w:rPr>
                <w:color w:val="auto"/>
              </w:rPr>
            </w:pPr>
            <w:r w:rsidRPr="00027624">
              <w:t xml:space="preserve">Note: Review assumption for investment returns is 7.5 per cent during the accumulation phase and 6.2 per cent in retirement. Source: </w:t>
            </w:r>
            <w:r w:rsidRPr="00027624">
              <w:rPr>
                <w:color w:val="auto"/>
              </w:rPr>
              <w:t>Cameo modelling undertaken for the review.</w:t>
            </w:r>
          </w:p>
          <w:p w14:paraId="5217E4B4" w14:textId="77777777" w:rsidR="0092760B" w:rsidRPr="00027624" w:rsidRDefault="0092760B" w:rsidP="005A4479">
            <w:pPr>
              <w:pStyle w:val="Heading5"/>
              <w:spacing w:before="120"/>
              <w:outlineLvl w:val="4"/>
            </w:pPr>
            <w:r w:rsidRPr="00027624">
              <w:t>Accessing equity in the home</w:t>
            </w:r>
          </w:p>
          <w:p w14:paraId="79AD9D56" w14:textId="55592BFF" w:rsidR="0092760B" w:rsidRPr="00027624" w:rsidRDefault="0092760B" w:rsidP="00F75B78">
            <w:pPr>
              <w:jc w:val="left"/>
            </w:pPr>
            <w:r w:rsidRPr="00027624">
              <w:t xml:space="preserve">For most retirees, the family home is their main asset. </w:t>
            </w:r>
            <w:r w:rsidRPr="00027624">
              <w:rPr>
                <w:b/>
              </w:rPr>
              <w:t>Using relatively small portions of home equity can substantially improve retirement incomes.</w:t>
            </w:r>
            <w:r w:rsidRPr="00027624">
              <w:t xml:space="preserve"> For example, using</w:t>
            </w:r>
            <w:r w:rsidRPr="00027624">
              <w:rPr>
                <w:rFonts w:eastAsiaTheme="minorEastAsia"/>
              </w:rPr>
              <w:t xml:space="preserve"> the Pension Loans Scheme to </w:t>
            </w:r>
            <w:r w:rsidRPr="00027624">
              <w:t xml:space="preserve">add </w:t>
            </w:r>
            <w:r w:rsidRPr="00027624">
              <w:rPr>
                <w:rFonts w:eastAsiaTheme="minorEastAsia"/>
              </w:rPr>
              <w:t xml:space="preserve">$5,000 </w:t>
            </w:r>
            <w:r w:rsidRPr="00027624">
              <w:t xml:space="preserve">to annual income </w:t>
            </w:r>
            <w:r w:rsidRPr="00027624">
              <w:rPr>
                <w:rFonts w:eastAsiaTheme="minorEastAsia"/>
              </w:rPr>
              <w:t>increases the replacement rate of the median earner by 10 percentage points (</w:t>
            </w:r>
            <w:r w:rsidRPr="00027624">
              <w:rPr>
                <w:rFonts w:eastAsiaTheme="minorEastAsia"/>
              </w:rPr>
              <w:fldChar w:fldCharType="begin"/>
            </w:r>
            <w:r w:rsidRPr="00027624">
              <w:rPr>
                <w:rFonts w:eastAsiaTheme="minorEastAsia"/>
              </w:rPr>
              <w:instrText xml:space="preserve"> REF _Ref43129212 \r \h  \* MERGEFORMAT </w:instrText>
            </w:r>
            <w:r w:rsidRPr="00027624">
              <w:rPr>
                <w:rFonts w:eastAsiaTheme="minorEastAsia"/>
              </w:rPr>
            </w:r>
            <w:r w:rsidRPr="00027624">
              <w:rPr>
                <w:rFonts w:eastAsiaTheme="minorEastAsia"/>
              </w:rPr>
              <w:fldChar w:fldCharType="separate"/>
            </w:r>
            <w:r w:rsidR="00891058">
              <w:rPr>
                <w:rFonts w:eastAsiaTheme="minorEastAsia"/>
              </w:rPr>
              <w:t>Chart 2C-20</w:t>
            </w:r>
            <w:r w:rsidRPr="00027624">
              <w:rPr>
                <w:rFonts w:eastAsiaTheme="minorEastAsia"/>
              </w:rPr>
              <w:fldChar w:fldCharType="end"/>
            </w:r>
            <w:r w:rsidRPr="00027624">
              <w:rPr>
                <w:rFonts w:eastAsiaTheme="minorEastAsia"/>
              </w:rPr>
              <w:t>).</w:t>
            </w:r>
            <w:r w:rsidRPr="00027624">
              <w:t xml:space="preserve"> </w:t>
            </w:r>
          </w:p>
          <w:p w14:paraId="1479E52E" w14:textId="77777777" w:rsidR="0092760B" w:rsidRPr="00027624" w:rsidRDefault="0092760B" w:rsidP="00F75B78">
            <w:pPr>
              <w:jc w:val="left"/>
            </w:pPr>
            <w:r w:rsidRPr="00027624">
              <w:t>Releasing home equity can boost retirement incomes with a modest impact on debt. Withdrawing $5,000 a year would mean that retirees still have about three</w:t>
            </w:r>
            <w:r w:rsidR="00A8443E" w:rsidRPr="00027624">
              <w:noBreakHyphen/>
            </w:r>
            <w:r w:rsidRPr="00027624">
              <w:t xml:space="preserve">quarters of </w:t>
            </w:r>
            <w:r w:rsidRPr="00027624">
              <w:rPr>
                <w:rFonts w:eastAsiaTheme="minorEastAsia"/>
              </w:rPr>
              <w:t>the value of their home</w:t>
            </w:r>
            <w:r w:rsidRPr="00027624">
              <w:t xml:space="preserve"> at age 92</w:t>
            </w:r>
            <w:r w:rsidRPr="00027624">
              <w:rPr>
                <w:rFonts w:eastAsiaTheme="minorEastAsia"/>
              </w:rPr>
              <w:t>, for a house worth $500,000 at retirement.</w:t>
            </w:r>
            <w:r w:rsidRPr="00027624">
              <w:t xml:space="preserve"> Retirees with higher value homes would maintain even higher proportions of home equity while still benefiting from significant improvements in replacement rates.</w:t>
            </w:r>
          </w:p>
          <w:p w14:paraId="2359CFC8" w14:textId="77777777" w:rsidR="0092760B" w:rsidRPr="00027624" w:rsidRDefault="0092760B" w:rsidP="00325A8D">
            <w:pPr>
              <w:pStyle w:val="ChartMainHeading"/>
            </w:pPr>
            <w:bookmarkStart w:id="565" w:name="_Ref43129212"/>
            <w:r w:rsidRPr="00027624">
              <w:t>Projected impact of home equity release on replacement rates</w:t>
            </w:r>
            <w:bookmarkEnd w:id="565"/>
          </w:p>
          <w:p w14:paraId="4784FCBB" w14:textId="77777777" w:rsidR="0092760B" w:rsidRPr="00027624" w:rsidRDefault="005B5724" w:rsidP="00F75B78">
            <w:pPr>
              <w:pStyle w:val="ChartGraphic"/>
              <w:jc w:val="left"/>
            </w:pPr>
            <w:r>
              <w:rPr>
                <w:noProof/>
              </w:rPr>
              <w:drawing>
                <wp:inline distT="0" distB="0" distL="0" distR="0" wp14:anchorId="5F69F037" wp14:editId="7E3151B5">
                  <wp:extent cx="5577840" cy="2529840"/>
                  <wp:effectExtent l="0" t="0" r="3810" b="3810"/>
                  <wp:docPr id="2002235501" name="Picture 2" descr="This chart shows that accessing $5,000 worth of annual income from the Pension Loans Scheme would increase replacement rates for all income percentiles." title="Chart 2C-20 Projected impact of home equity release on replacemen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6"/>
                          <a:stretch>
                            <a:fillRect/>
                          </a:stretch>
                        </pic:blipFill>
                        <pic:spPr>
                          <a:xfrm>
                            <a:off x="0" y="0"/>
                            <a:ext cx="5577840" cy="2529840"/>
                          </a:xfrm>
                          <a:prstGeom prst="rect">
                            <a:avLst/>
                          </a:prstGeom>
                        </pic:spPr>
                      </pic:pic>
                    </a:graphicData>
                  </a:graphic>
                </wp:inline>
              </w:drawing>
            </w:r>
          </w:p>
          <w:p w14:paraId="53E059F0" w14:textId="77777777" w:rsidR="0092760B" w:rsidRPr="00027624" w:rsidRDefault="0092760B" w:rsidP="005A4479">
            <w:pPr>
              <w:pStyle w:val="ChartorTableNote"/>
              <w:spacing w:after="0"/>
            </w:pPr>
            <w:r w:rsidRPr="00027624">
              <w:t>Note: Values are in 2019</w:t>
            </w:r>
            <w:r w:rsidR="00A8443E" w:rsidRPr="00027624">
              <w:noBreakHyphen/>
            </w:r>
            <w:r w:rsidRPr="00027624">
              <w:t>20 dollars, deflated using the review</w:t>
            </w:r>
            <w:r w:rsidR="00A8443E" w:rsidRPr="00027624">
              <w:t>’</w:t>
            </w:r>
            <w:r w:rsidRPr="00027624">
              <w:t>s mixed deflator. Home is worth $500,000 at retirement in wage</w:t>
            </w:r>
            <w:r w:rsidR="00A8443E" w:rsidRPr="00027624">
              <w:noBreakHyphen/>
            </w:r>
            <w:r w:rsidRPr="00027624">
              <w:t>deflated terms and house prices are assumed to grow with wages for the purpose of this scenario. Equity drawdown assume that the Pension Loans Scheme is used to add an extra $5,000 to annual income each year of retirement. Calculations assume Pension Loans Scheme interest rate and loan</w:t>
            </w:r>
            <w:r w:rsidR="00A8443E" w:rsidRPr="00027624">
              <w:noBreakHyphen/>
            </w:r>
            <w:r w:rsidRPr="00027624">
              <w:t>to</w:t>
            </w:r>
            <w:r w:rsidR="00A8443E" w:rsidRPr="00027624">
              <w:noBreakHyphen/>
            </w:r>
            <w:r w:rsidRPr="00027624">
              <w:t>value ratios at 1 January 2020. Source: Cameo modelling undertaken for the review.</w:t>
            </w:r>
          </w:p>
        </w:tc>
      </w:tr>
    </w:tbl>
    <w:p w14:paraId="21DDE75C" w14:textId="77777777" w:rsidR="0092760B" w:rsidRPr="00027624" w:rsidRDefault="00143018" w:rsidP="002A2FAE">
      <w:pPr>
        <w:pStyle w:val="Heading2"/>
      </w:pPr>
      <w:bookmarkStart w:id="566" w:name="_Toc46133585"/>
      <w:r w:rsidRPr="00027624">
        <w:lastRenderedPageBreak/>
        <w:t>Impact of different assumptions</w:t>
      </w:r>
      <w:bookmarkEnd w:id="566"/>
    </w:p>
    <w:p w14:paraId="59017635" w14:textId="77777777" w:rsidR="0092760B" w:rsidRPr="00027624" w:rsidRDefault="0092760B" w:rsidP="002A2FAE">
      <w:r w:rsidRPr="00027624">
        <w:t>Assessing whether the system is robust to risk requires sensitivity analysis to find out what happens when assumptions deviate from those made in the central case. The following sensitivity analysis was conducted across a range of factors, such as different career lengths, investment strategies and risks, and how people save and draw down their assets. The aim was to incorporate reasonable risks faced by an average person.</w:t>
      </w:r>
    </w:p>
    <w:p w14:paraId="2820BB87" w14:textId="77777777" w:rsidR="0092760B" w:rsidRPr="00027624" w:rsidRDefault="0092760B" w:rsidP="004D79D7">
      <w:pPr>
        <w:pStyle w:val="Heading3"/>
        <w:spacing w:before="200"/>
      </w:pPr>
      <w:r w:rsidRPr="00027624">
        <w:t>Outcomes under sensitivity analysis</w:t>
      </w:r>
    </w:p>
    <w:p w14:paraId="0AC6EF94" w14:textId="5874DD85" w:rsidR="0092760B" w:rsidRPr="00027624" w:rsidRDefault="0092760B" w:rsidP="002A2FAE">
      <w:r w:rsidRPr="00027624">
        <w:rPr>
          <w:b/>
        </w:rPr>
        <w:t>For median (</w:t>
      </w:r>
      <w:r w:rsidRPr="00027624">
        <w:rPr>
          <w:b/>
        </w:rPr>
        <w:fldChar w:fldCharType="begin"/>
      </w:r>
      <w:r w:rsidRPr="00027624">
        <w:rPr>
          <w:b/>
        </w:rPr>
        <w:instrText xml:space="preserve"> REF _Ref41053747 \r \h  \* MERGEFORMAT </w:instrText>
      </w:r>
      <w:r w:rsidRPr="00027624">
        <w:rPr>
          <w:b/>
        </w:rPr>
      </w:r>
      <w:r w:rsidRPr="00027624">
        <w:rPr>
          <w:b/>
        </w:rPr>
        <w:fldChar w:fldCharType="separate"/>
      </w:r>
      <w:r w:rsidR="00891058">
        <w:rPr>
          <w:b/>
        </w:rPr>
        <w:t>Table 2C-3</w:t>
      </w:r>
      <w:r w:rsidRPr="00027624">
        <w:rPr>
          <w:b/>
        </w:rPr>
        <w:fldChar w:fldCharType="end"/>
      </w:r>
      <w:r w:rsidRPr="00027624">
        <w:rPr>
          <w:b/>
        </w:rPr>
        <w:t>) and average (</w:t>
      </w:r>
      <w:r w:rsidRPr="00027624">
        <w:rPr>
          <w:b/>
        </w:rPr>
        <w:fldChar w:fldCharType="begin"/>
      </w:r>
      <w:r w:rsidRPr="00027624">
        <w:rPr>
          <w:b/>
        </w:rPr>
        <w:instrText xml:space="preserve"> REF _Ref41053770 \r \h  \* MERGEFORMAT </w:instrText>
      </w:r>
      <w:r w:rsidRPr="00027624">
        <w:rPr>
          <w:b/>
        </w:rPr>
      </w:r>
      <w:r w:rsidRPr="00027624">
        <w:rPr>
          <w:b/>
        </w:rPr>
        <w:fldChar w:fldCharType="separate"/>
      </w:r>
      <w:r w:rsidR="00891058">
        <w:rPr>
          <w:b/>
        </w:rPr>
        <w:t>Table 2C-4</w:t>
      </w:r>
      <w:r w:rsidRPr="00027624">
        <w:rPr>
          <w:b/>
        </w:rPr>
        <w:fldChar w:fldCharType="end"/>
      </w:r>
      <w:r w:rsidRPr="00027624">
        <w:rPr>
          <w:b/>
        </w:rPr>
        <w:t>) earners,</w:t>
      </w:r>
      <w:r w:rsidRPr="00027624">
        <w:t xml:space="preserve"> </w:t>
      </w:r>
      <w:r w:rsidRPr="00027624">
        <w:rPr>
          <w:b/>
        </w:rPr>
        <w:t>outcomes remain above or within the replacement rate benchmark for many deviations from the central case</w:t>
      </w:r>
      <w:r w:rsidRPr="00027624">
        <w:t>. For example, median singles or couples can have a 25</w:t>
      </w:r>
      <w:r w:rsidR="00A8443E" w:rsidRPr="00027624">
        <w:noBreakHyphen/>
      </w:r>
      <w:r w:rsidRPr="00027624">
        <w:t>year career and still achieve the benchmark provided they work to age 65. More than 80 per cent of people retiring today had careers of 25 years or longer.</w:t>
      </w:r>
    </w:p>
    <w:p w14:paraId="0CE1C9D3" w14:textId="710C0368" w:rsidR="0092760B" w:rsidRPr="00027624" w:rsidRDefault="0092760B" w:rsidP="002A2FAE">
      <w:r w:rsidRPr="00027624">
        <w:rPr>
          <w:b/>
        </w:rPr>
        <w:t>The Age Pension is a major reason that retirement incomes for median</w:t>
      </w:r>
      <w:r w:rsidR="00A8443E" w:rsidRPr="00027624">
        <w:rPr>
          <w:b/>
        </w:rPr>
        <w:noBreakHyphen/>
      </w:r>
      <w:r w:rsidRPr="00027624">
        <w:rPr>
          <w:b/>
        </w:rPr>
        <w:t xml:space="preserve">income earners remain adequate under different sensitivities. </w:t>
      </w:r>
      <w:r w:rsidRPr="00027624">
        <w:rPr>
          <w:bCs/>
        </w:rPr>
        <w:t>The Age Pension offsets the reduction in retirement income for middle</w:t>
      </w:r>
      <w:r w:rsidR="00A8443E" w:rsidRPr="00027624">
        <w:rPr>
          <w:bCs/>
        </w:rPr>
        <w:noBreakHyphen/>
      </w:r>
      <w:r w:rsidRPr="00027624">
        <w:rPr>
          <w:bCs/>
        </w:rPr>
        <w:t xml:space="preserve">income earners if negative shocks affect their superannuation balances </w:t>
      </w:r>
      <w:r w:rsidRPr="00027624">
        <w:t>(</w:t>
      </w:r>
      <w:r w:rsidRPr="00027624">
        <w:fldChar w:fldCharType="begin"/>
      </w:r>
      <w:r w:rsidRPr="00027624">
        <w:instrText xml:space="preserve"> REF _Ref39163962 \r \h  \* MERGEFORMAT </w:instrText>
      </w:r>
      <w:r w:rsidRPr="00027624">
        <w:fldChar w:fldCharType="separate"/>
      </w:r>
      <w:r w:rsidR="00891058">
        <w:t>Box 2C-5</w:t>
      </w:r>
      <w:r w:rsidRPr="00027624">
        <w:fldChar w:fldCharType="end"/>
      </w:r>
      <w:r w:rsidRPr="00027624">
        <w:t>). Replacement rates for average and median earners with typical careers are also above the replacement benchmark range, providing an additional buffer should negative risks reduce their retirement incomes.</w:t>
      </w:r>
    </w:p>
    <w:p w14:paraId="4D085AF3" w14:textId="77777777" w:rsidR="0092760B" w:rsidRPr="00027624" w:rsidRDefault="0092760B" w:rsidP="002A2FAE">
      <w:r w:rsidRPr="00027624">
        <w:t>Some median</w:t>
      </w:r>
      <w:r w:rsidR="00A8443E" w:rsidRPr="00027624">
        <w:noBreakHyphen/>
      </w:r>
      <w:r w:rsidRPr="00027624">
        <w:t xml:space="preserve"> or average</w:t>
      </w:r>
      <w:r w:rsidR="00A8443E" w:rsidRPr="00027624">
        <w:noBreakHyphen/>
      </w:r>
      <w:r w:rsidRPr="00027624">
        <w:t>income earners are below the benchmark in cases where:</w:t>
      </w:r>
    </w:p>
    <w:p w14:paraId="5495F810" w14:textId="77777777" w:rsidR="0092760B" w:rsidRPr="00027624" w:rsidRDefault="0092760B" w:rsidP="0092760B">
      <w:pPr>
        <w:pStyle w:val="Bullet"/>
      </w:pPr>
      <w:r w:rsidRPr="00027624">
        <w:t xml:space="preserve">People have careers of 25 years or less </w:t>
      </w:r>
      <w:r w:rsidRPr="00027624">
        <w:rPr>
          <w:i/>
          <w:iCs/>
        </w:rPr>
        <w:t>and</w:t>
      </w:r>
      <w:r w:rsidRPr="00027624">
        <w:t xml:space="preserve"> retire before superannuation preservation age, particularly for couples</w:t>
      </w:r>
    </w:p>
    <w:p w14:paraId="185A6B36" w14:textId="77777777" w:rsidR="0092760B" w:rsidRPr="00027624" w:rsidRDefault="0092760B" w:rsidP="0092760B">
      <w:pPr>
        <w:pStyle w:val="Bullet"/>
      </w:pPr>
      <w:r w:rsidRPr="00027624">
        <w:t>Couples only draw down their supe</w:t>
      </w:r>
      <w:r w:rsidR="00B2720D" w:rsidRPr="00027624">
        <w:t>rannuation at the minimum rates</w:t>
      </w:r>
    </w:p>
    <w:p w14:paraId="5FCFB196" w14:textId="77777777" w:rsidR="0092760B" w:rsidRPr="00027624" w:rsidRDefault="0092760B" w:rsidP="002A2FAE">
      <w:r w:rsidRPr="00027624">
        <w:t>Under sensitivity analysis, replacement rates are relatively lower for couples than for individuals and higher for women compared with individuals.</w:t>
      </w:r>
    </w:p>
    <w:p w14:paraId="3DDC9F75" w14:textId="03F8F54B" w:rsidR="0092760B" w:rsidRPr="00027624" w:rsidRDefault="0092760B" w:rsidP="002A2FAE">
      <w:r w:rsidRPr="00027624">
        <w:t xml:space="preserve">Detailed modelling of sensitivity analysis is included in the </w:t>
      </w:r>
      <w:r w:rsidRPr="00027624">
        <w:rPr>
          <w:i/>
        </w:rPr>
        <w:fldChar w:fldCharType="begin"/>
      </w:r>
      <w:r w:rsidRPr="00027624">
        <w:rPr>
          <w:i/>
        </w:rPr>
        <w:instrText xml:space="preserve"> REF _Ref45210291 \h  \* MERGEFORMAT </w:instrText>
      </w:r>
      <w:r w:rsidRPr="00027624">
        <w:rPr>
          <w:i/>
        </w:rPr>
      </w:r>
      <w:r w:rsidRPr="00027624">
        <w:rPr>
          <w:i/>
        </w:rPr>
        <w:fldChar w:fldCharType="separate"/>
      </w:r>
      <w:r w:rsidR="00891058" w:rsidRPr="00027624">
        <w:rPr>
          <w:i/>
        </w:rPr>
        <w:t>Annex — detailed sensitivity analysis</w:t>
      </w:r>
      <w:r w:rsidRPr="00027624">
        <w:rPr>
          <w:i/>
        </w:rPr>
        <w:fldChar w:fldCharType="end"/>
      </w:r>
      <w:r w:rsidRPr="00027624">
        <w:rPr>
          <w:i/>
        </w:rPr>
        <w:t xml:space="preserve"> </w:t>
      </w:r>
      <w:r w:rsidRPr="00027624">
        <w:t>at the end of this section. Modelling includes the impact of different assumptions on retirement outcomes across the population.</w:t>
      </w:r>
    </w:p>
    <w:p w14:paraId="53DE2EC8" w14:textId="77777777" w:rsidR="0092760B" w:rsidRPr="00027624" w:rsidRDefault="0092760B" w:rsidP="00325A8D">
      <w:pPr>
        <w:pStyle w:val="TableMainHeading"/>
      </w:pPr>
      <w:bookmarkStart w:id="567" w:name="_Ref37163268"/>
      <w:bookmarkStart w:id="568" w:name="_Ref41053747"/>
      <w:r w:rsidRPr="00027624">
        <w:t>Projected replacement rate</w:t>
      </w:r>
      <w:r w:rsidR="004D79D7">
        <w:t>s</w:t>
      </w:r>
      <w:r w:rsidRPr="00027624">
        <w:t>, median earner sensitivity analysis (50</w:t>
      </w:r>
      <w:r w:rsidRPr="00027624">
        <w:rPr>
          <w:vertAlign w:val="superscript"/>
        </w:rPr>
        <w:t>th</w:t>
      </w:r>
      <w:r w:rsidRPr="00027624">
        <w:t xml:space="preserve"> percentile)</w:t>
      </w:r>
      <w:bookmarkEnd w:id="567"/>
      <w:bookmarkEnd w:id="568"/>
    </w:p>
    <w:tbl>
      <w:tblPr>
        <w:tblW w:w="4922" w:type="pct"/>
        <w:tblInd w:w="1" w:type="dxa"/>
        <w:tblLayout w:type="fixed"/>
        <w:tblLook w:val="01E0" w:firstRow="1" w:lastRow="1" w:firstColumn="1" w:lastColumn="1" w:noHBand="0" w:noVBand="0"/>
      </w:tblPr>
      <w:tblGrid>
        <w:gridCol w:w="4252"/>
        <w:gridCol w:w="1134"/>
        <w:gridCol w:w="1134"/>
        <w:gridCol w:w="1134"/>
        <w:gridCol w:w="1275"/>
      </w:tblGrid>
      <w:tr w:rsidR="0092760B" w:rsidRPr="00027624" w14:paraId="75CAC14C" w14:textId="77777777" w:rsidTr="002A2FAE">
        <w:trPr>
          <w:trHeight w:val="270"/>
          <w:tblHeader/>
        </w:trPr>
        <w:tc>
          <w:tcPr>
            <w:tcW w:w="2381" w:type="pct"/>
            <w:shd w:val="clear" w:color="auto" w:fill="E5E5E5"/>
          </w:tcPr>
          <w:p w14:paraId="0DB5A259" w14:textId="77777777" w:rsidR="0092760B" w:rsidRPr="00027624" w:rsidRDefault="0092760B" w:rsidP="002A2FAE">
            <w:pPr>
              <w:pStyle w:val="TableColumnHeadingCentred"/>
            </w:pPr>
          </w:p>
        </w:tc>
        <w:tc>
          <w:tcPr>
            <w:tcW w:w="635" w:type="pct"/>
            <w:shd w:val="clear" w:color="auto" w:fill="E5E5E5"/>
          </w:tcPr>
          <w:p w14:paraId="0C21F532" w14:textId="77777777" w:rsidR="0092760B" w:rsidRPr="00027624" w:rsidRDefault="0092760B" w:rsidP="002A2FAE">
            <w:pPr>
              <w:pStyle w:val="TableColumnHeadingCentred"/>
            </w:pPr>
            <w:r w:rsidRPr="00027624">
              <w:t>All employees (per cent)</w:t>
            </w:r>
          </w:p>
        </w:tc>
        <w:tc>
          <w:tcPr>
            <w:tcW w:w="635" w:type="pct"/>
            <w:shd w:val="clear" w:color="auto" w:fill="E5E5E5"/>
          </w:tcPr>
          <w:p w14:paraId="0DC82FDF" w14:textId="77777777" w:rsidR="0092760B" w:rsidRPr="00027624" w:rsidRDefault="0092760B" w:rsidP="002A2FAE">
            <w:pPr>
              <w:pStyle w:val="TableColumnHeadingCentred"/>
            </w:pPr>
            <w:r w:rsidRPr="00027624">
              <w:t>Female only</w:t>
            </w:r>
            <w:r w:rsidRPr="00027624">
              <w:br/>
              <w:t>(per cent)</w:t>
            </w:r>
          </w:p>
        </w:tc>
        <w:tc>
          <w:tcPr>
            <w:tcW w:w="635" w:type="pct"/>
            <w:shd w:val="clear" w:color="auto" w:fill="E5E5E5"/>
          </w:tcPr>
          <w:p w14:paraId="53E13409" w14:textId="77777777" w:rsidR="0092760B" w:rsidRPr="00027624" w:rsidRDefault="0092760B" w:rsidP="002A2FAE">
            <w:pPr>
              <w:pStyle w:val="TableColumnHeadingCentred"/>
            </w:pPr>
            <w:r w:rsidRPr="00027624">
              <w:t xml:space="preserve">Singles only </w:t>
            </w:r>
            <w:r w:rsidRPr="00027624">
              <w:br/>
              <w:t>(per cent)</w:t>
            </w:r>
          </w:p>
        </w:tc>
        <w:tc>
          <w:tcPr>
            <w:tcW w:w="714" w:type="pct"/>
            <w:shd w:val="clear" w:color="auto" w:fill="E5E5E5"/>
          </w:tcPr>
          <w:p w14:paraId="019615B0" w14:textId="77777777" w:rsidR="0092760B" w:rsidRPr="00027624" w:rsidRDefault="0092760B" w:rsidP="002A2FAE">
            <w:pPr>
              <w:pStyle w:val="TableColumnHeadingCentred"/>
            </w:pPr>
            <w:r w:rsidRPr="00027624">
              <w:t xml:space="preserve">Couples only </w:t>
            </w:r>
            <w:r w:rsidRPr="00027624">
              <w:br/>
              <w:t>(per cent)</w:t>
            </w:r>
          </w:p>
        </w:tc>
      </w:tr>
      <w:tr w:rsidR="0092760B" w:rsidRPr="00027624" w14:paraId="4445C031" w14:textId="77777777" w:rsidTr="002A2FAE">
        <w:trPr>
          <w:trHeight w:val="270"/>
        </w:trPr>
        <w:tc>
          <w:tcPr>
            <w:tcW w:w="2381" w:type="pct"/>
            <w:vAlign w:val="center"/>
          </w:tcPr>
          <w:p w14:paraId="7E6681EF" w14:textId="77777777" w:rsidR="0092760B" w:rsidRPr="00027624" w:rsidRDefault="0092760B" w:rsidP="002A2FAE">
            <w:pPr>
              <w:pStyle w:val="TableTextLeft"/>
            </w:pPr>
            <w:r w:rsidRPr="00027624">
              <w:rPr>
                <w:rFonts w:cs="Calibri"/>
                <w:b/>
                <w:bCs/>
                <w:szCs w:val="18"/>
              </w:rPr>
              <w:t>Review replacement rate</w:t>
            </w:r>
          </w:p>
        </w:tc>
        <w:tc>
          <w:tcPr>
            <w:tcW w:w="635" w:type="pct"/>
            <w:vAlign w:val="center"/>
          </w:tcPr>
          <w:p w14:paraId="3D93A6D5" w14:textId="77777777" w:rsidR="0092760B" w:rsidRPr="00027624" w:rsidRDefault="0092760B" w:rsidP="002A2FAE">
            <w:pPr>
              <w:pStyle w:val="TableTextCentered"/>
            </w:pPr>
            <w:r w:rsidRPr="00027624">
              <w:t>87</w:t>
            </w:r>
          </w:p>
        </w:tc>
        <w:tc>
          <w:tcPr>
            <w:tcW w:w="635" w:type="pct"/>
            <w:vAlign w:val="center"/>
          </w:tcPr>
          <w:p w14:paraId="647420B4" w14:textId="77777777" w:rsidR="0092760B" w:rsidRPr="00027624" w:rsidRDefault="0092760B" w:rsidP="002A2FAE">
            <w:pPr>
              <w:pStyle w:val="TableTextCentered"/>
            </w:pPr>
            <w:r w:rsidRPr="00027624">
              <w:t>94</w:t>
            </w:r>
          </w:p>
        </w:tc>
        <w:tc>
          <w:tcPr>
            <w:tcW w:w="635" w:type="pct"/>
            <w:vAlign w:val="center"/>
          </w:tcPr>
          <w:p w14:paraId="561785BC" w14:textId="77777777" w:rsidR="0092760B" w:rsidRPr="00027624" w:rsidRDefault="0092760B" w:rsidP="002A2FAE">
            <w:pPr>
              <w:pStyle w:val="TableTextCentered"/>
            </w:pPr>
            <w:r w:rsidRPr="00027624">
              <w:t>88</w:t>
            </w:r>
          </w:p>
        </w:tc>
        <w:tc>
          <w:tcPr>
            <w:tcW w:w="714" w:type="pct"/>
            <w:vAlign w:val="center"/>
          </w:tcPr>
          <w:p w14:paraId="5F727029" w14:textId="77777777" w:rsidR="0092760B" w:rsidRPr="00027624" w:rsidRDefault="0092760B" w:rsidP="002A2FAE">
            <w:pPr>
              <w:pStyle w:val="TableTextCentered"/>
            </w:pPr>
            <w:r w:rsidRPr="00027624">
              <w:rPr>
                <w:rFonts w:cs="Calibri"/>
              </w:rPr>
              <w:t>82</w:t>
            </w:r>
          </w:p>
        </w:tc>
      </w:tr>
      <w:tr w:rsidR="0092760B" w:rsidRPr="00027624" w14:paraId="1228BC99" w14:textId="77777777" w:rsidTr="002A2FAE">
        <w:trPr>
          <w:trHeight w:val="270"/>
        </w:trPr>
        <w:tc>
          <w:tcPr>
            <w:tcW w:w="2381" w:type="pct"/>
            <w:vAlign w:val="center"/>
          </w:tcPr>
          <w:p w14:paraId="42EAF5D6" w14:textId="77777777" w:rsidR="0092760B" w:rsidRPr="00027624" w:rsidRDefault="0092760B" w:rsidP="002A2FAE">
            <w:pPr>
              <w:pStyle w:val="TableTextLeft"/>
              <w:rPr>
                <w:u w:val="single"/>
              </w:rPr>
            </w:pPr>
            <w:r w:rsidRPr="00027624">
              <w:rPr>
                <w:rFonts w:cs="Calibri"/>
                <w:b/>
                <w:bCs/>
                <w:szCs w:val="18"/>
              </w:rPr>
              <w:t>Sensitivity analysis</w:t>
            </w:r>
          </w:p>
        </w:tc>
        <w:tc>
          <w:tcPr>
            <w:tcW w:w="635" w:type="pct"/>
            <w:vAlign w:val="center"/>
          </w:tcPr>
          <w:p w14:paraId="4AE5EB02" w14:textId="77777777" w:rsidR="0092760B" w:rsidRPr="00027624" w:rsidRDefault="0092760B" w:rsidP="002A2FAE">
            <w:pPr>
              <w:pStyle w:val="TableTextCentered"/>
            </w:pPr>
          </w:p>
        </w:tc>
        <w:tc>
          <w:tcPr>
            <w:tcW w:w="635" w:type="pct"/>
            <w:vAlign w:val="center"/>
          </w:tcPr>
          <w:p w14:paraId="71758484" w14:textId="77777777" w:rsidR="0092760B" w:rsidRPr="00027624" w:rsidRDefault="0092760B" w:rsidP="002A2FAE">
            <w:pPr>
              <w:pStyle w:val="TableTextCentered"/>
            </w:pPr>
          </w:p>
        </w:tc>
        <w:tc>
          <w:tcPr>
            <w:tcW w:w="635" w:type="pct"/>
            <w:vAlign w:val="center"/>
          </w:tcPr>
          <w:p w14:paraId="44699F29" w14:textId="77777777" w:rsidR="0092760B" w:rsidRPr="00027624" w:rsidRDefault="0092760B" w:rsidP="002A2FAE">
            <w:pPr>
              <w:pStyle w:val="TableTextCentered"/>
            </w:pPr>
          </w:p>
        </w:tc>
        <w:tc>
          <w:tcPr>
            <w:tcW w:w="714" w:type="pct"/>
            <w:vAlign w:val="center"/>
          </w:tcPr>
          <w:p w14:paraId="230BAE41" w14:textId="77777777" w:rsidR="0092760B" w:rsidRPr="00027624" w:rsidRDefault="0092760B" w:rsidP="002A2FAE">
            <w:pPr>
              <w:pStyle w:val="TableTextCentered"/>
            </w:pPr>
          </w:p>
        </w:tc>
      </w:tr>
      <w:tr w:rsidR="0092760B" w:rsidRPr="00027624" w14:paraId="18CA3591" w14:textId="77777777" w:rsidTr="002A2FAE">
        <w:trPr>
          <w:trHeight w:val="270"/>
        </w:trPr>
        <w:tc>
          <w:tcPr>
            <w:tcW w:w="2381" w:type="pct"/>
            <w:vAlign w:val="center"/>
          </w:tcPr>
          <w:p w14:paraId="3FD7E9E9" w14:textId="77777777" w:rsidR="0092760B" w:rsidRPr="00027624" w:rsidRDefault="0092760B" w:rsidP="002A2FAE">
            <w:pPr>
              <w:pStyle w:val="TableTextLeft"/>
            </w:pPr>
            <w:r w:rsidRPr="00027624">
              <w:rPr>
                <w:rFonts w:cs="Calibri"/>
                <w:szCs w:val="18"/>
                <w:u w:val="single"/>
              </w:rPr>
              <w:t>Investment risks</w:t>
            </w:r>
          </w:p>
        </w:tc>
        <w:tc>
          <w:tcPr>
            <w:tcW w:w="635" w:type="pct"/>
            <w:vAlign w:val="center"/>
          </w:tcPr>
          <w:p w14:paraId="59356F8D" w14:textId="77777777" w:rsidR="0092760B" w:rsidRPr="00027624" w:rsidRDefault="0092760B" w:rsidP="002A2FAE">
            <w:pPr>
              <w:pStyle w:val="TableTextCentered"/>
            </w:pPr>
          </w:p>
        </w:tc>
        <w:tc>
          <w:tcPr>
            <w:tcW w:w="635" w:type="pct"/>
            <w:vAlign w:val="center"/>
          </w:tcPr>
          <w:p w14:paraId="7205613E" w14:textId="77777777" w:rsidR="0092760B" w:rsidRPr="00027624" w:rsidRDefault="0092760B" w:rsidP="002A2FAE">
            <w:pPr>
              <w:pStyle w:val="TableTextCentered"/>
            </w:pPr>
          </w:p>
        </w:tc>
        <w:tc>
          <w:tcPr>
            <w:tcW w:w="635" w:type="pct"/>
            <w:vAlign w:val="center"/>
          </w:tcPr>
          <w:p w14:paraId="53706C60" w14:textId="77777777" w:rsidR="0092760B" w:rsidRPr="00027624" w:rsidRDefault="0092760B" w:rsidP="002A2FAE">
            <w:pPr>
              <w:pStyle w:val="TableTextCentered"/>
            </w:pPr>
          </w:p>
        </w:tc>
        <w:tc>
          <w:tcPr>
            <w:tcW w:w="714" w:type="pct"/>
            <w:vAlign w:val="center"/>
          </w:tcPr>
          <w:p w14:paraId="1AFA8B99" w14:textId="77777777" w:rsidR="0092760B" w:rsidRPr="00027624" w:rsidRDefault="0092760B" w:rsidP="002A2FAE">
            <w:pPr>
              <w:pStyle w:val="TableTextCentered"/>
            </w:pPr>
          </w:p>
        </w:tc>
      </w:tr>
      <w:tr w:rsidR="0092760B" w:rsidRPr="00027624" w14:paraId="69AAC60A" w14:textId="77777777" w:rsidTr="002A2FAE">
        <w:trPr>
          <w:trHeight w:val="270"/>
        </w:trPr>
        <w:tc>
          <w:tcPr>
            <w:tcW w:w="2381" w:type="pct"/>
            <w:vAlign w:val="center"/>
          </w:tcPr>
          <w:p w14:paraId="2075AC02" w14:textId="77777777" w:rsidR="0092760B" w:rsidRPr="00027624" w:rsidRDefault="0092760B" w:rsidP="002A2FAE">
            <w:pPr>
              <w:pStyle w:val="TableTextLeft"/>
              <w:ind w:left="457"/>
            </w:pPr>
            <w:r w:rsidRPr="00027624">
              <w:rPr>
                <w:rFonts w:cs="Calibri"/>
                <w:szCs w:val="18"/>
              </w:rPr>
              <w:t>Investment returns 1.0 ppt lower</w:t>
            </w:r>
          </w:p>
        </w:tc>
        <w:tc>
          <w:tcPr>
            <w:tcW w:w="635" w:type="pct"/>
            <w:vAlign w:val="center"/>
          </w:tcPr>
          <w:p w14:paraId="5D548245" w14:textId="77777777" w:rsidR="0092760B" w:rsidRPr="00027624" w:rsidRDefault="0092760B" w:rsidP="002A2FAE">
            <w:pPr>
              <w:pStyle w:val="TableTextCentered"/>
            </w:pPr>
            <w:r w:rsidRPr="00027624">
              <w:t>81</w:t>
            </w:r>
          </w:p>
        </w:tc>
        <w:tc>
          <w:tcPr>
            <w:tcW w:w="635" w:type="pct"/>
            <w:vAlign w:val="center"/>
          </w:tcPr>
          <w:p w14:paraId="0E167E17" w14:textId="77777777" w:rsidR="0092760B" w:rsidRPr="00027624" w:rsidRDefault="0092760B" w:rsidP="002A2FAE">
            <w:pPr>
              <w:pStyle w:val="TableTextCentered"/>
            </w:pPr>
            <w:r w:rsidRPr="00027624">
              <w:t>89</w:t>
            </w:r>
          </w:p>
        </w:tc>
        <w:tc>
          <w:tcPr>
            <w:tcW w:w="635" w:type="pct"/>
            <w:vAlign w:val="center"/>
          </w:tcPr>
          <w:p w14:paraId="0FEFF6D9" w14:textId="77777777" w:rsidR="0092760B" w:rsidRPr="00027624" w:rsidRDefault="0092760B" w:rsidP="002A2FAE">
            <w:pPr>
              <w:pStyle w:val="TableTextCentered"/>
            </w:pPr>
            <w:r w:rsidRPr="00027624">
              <w:t>82</w:t>
            </w:r>
          </w:p>
        </w:tc>
        <w:tc>
          <w:tcPr>
            <w:tcW w:w="714" w:type="pct"/>
            <w:vAlign w:val="center"/>
          </w:tcPr>
          <w:p w14:paraId="03DDA90B" w14:textId="77777777" w:rsidR="0092760B" w:rsidRPr="00027624" w:rsidRDefault="0092760B" w:rsidP="002A2FAE">
            <w:pPr>
              <w:pStyle w:val="TableTextCentered"/>
            </w:pPr>
            <w:r w:rsidRPr="00027624">
              <w:rPr>
                <w:rFonts w:cs="Calibri"/>
              </w:rPr>
              <w:t>74</w:t>
            </w:r>
          </w:p>
        </w:tc>
      </w:tr>
      <w:tr w:rsidR="0092760B" w:rsidRPr="00027624" w14:paraId="284EC1AA" w14:textId="77777777" w:rsidTr="002A2FAE">
        <w:trPr>
          <w:trHeight w:val="270"/>
        </w:trPr>
        <w:tc>
          <w:tcPr>
            <w:tcW w:w="2381" w:type="pct"/>
            <w:vAlign w:val="center"/>
          </w:tcPr>
          <w:p w14:paraId="577C4C91" w14:textId="77777777" w:rsidR="0092760B" w:rsidRPr="00027624" w:rsidRDefault="0092760B" w:rsidP="002A2FAE">
            <w:pPr>
              <w:pStyle w:val="TableTextLeft"/>
              <w:ind w:left="457"/>
              <w:rPr>
                <w:u w:val="single"/>
              </w:rPr>
            </w:pPr>
            <w:r w:rsidRPr="00027624">
              <w:rPr>
                <w:rFonts w:cs="Calibri"/>
                <w:szCs w:val="18"/>
              </w:rPr>
              <w:t>Investment returns 0.5 ppt lower</w:t>
            </w:r>
          </w:p>
        </w:tc>
        <w:tc>
          <w:tcPr>
            <w:tcW w:w="635" w:type="pct"/>
            <w:vAlign w:val="center"/>
          </w:tcPr>
          <w:p w14:paraId="569235D5" w14:textId="77777777" w:rsidR="0092760B" w:rsidRPr="00027624" w:rsidRDefault="0092760B" w:rsidP="002A2FAE">
            <w:pPr>
              <w:pStyle w:val="TableTextCentered"/>
            </w:pPr>
            <w:r w:rsidRPr="00027624">
              <w:rPr>
                <w:rFonts w:cs="Calibri"/>
              </w:rPr>
              <w:t>84</w:t>
            </w:r>
          </w:p>
        </w:tc>
        <w:tc>
          <w:tcPr>
            <w:tcW w:w="635" w:type="pct"/>
            <w:vAlign w:val="center"/>
          </w:tcPr>
          <w:p w14:paraId="42282071" w14:textId="77777777" w:rsidR="0092760B" w:rsidRPr="00027624" w:rsidRDefault="0092760B" w:rsidP="002A2FAE">
            <w:pPr>
              <w:pStyle w:val="TableTextCentered"/>
            </w:pPr>
            <w:r w:rsidRPr="00027624">
              <w:t>92</w:t>
            </w:r>
          </w:p>
        </w:tc>
        <w:tc>
          <w:tcPr>
            <w:tcW w:w="635" w:type="pct"/>
            <w:vAlign w:val="center"/>
          </w:tcPr>
          <w:p w14:paraId="187176C1" w14:textId="77777777" w:rsidR="0092760B" w:rsidRPr="00027624" w:rsidRDefault="0092760B" w:rsidP="002A2FAE">
            <w:pPr>
              <w:pStyle w:val="TableTextCentered"/>
            </w:pPr>
            <w:r w:rsidRPr="00027624">
              <w:t>85</w:t>
            </w:r>
          </w:p>
        </w:tc>
        <w:tc>
          <w:tcPr>
            <w:tcW w:w="714" w:type="pct"/>
            <w:vAlign w:val="center"/>
          </w:tcPr>
          <w:p w14:paraId="53E58C93" w14:textId="77777777" w:rsidR="0092760B" w:rsidRPr="00027624" w:rsidRDefault="0092760B" w:rsidP="002A2FAE">
            <w:pPr>
              <w:pStyle w:val="TableTextCentered"/>
            </w:pPr>
            <w:r w:rsidRPr="00027624">
              <w:rPr>
                <w:rFonts w:cs="Calibri"/>
              </w:rPr>
              <w:t>77</w:t>
            </w:r>
          </w:p>
        </w:tc>
      </w:tr>
      <w:tr w:rsidR="0092760B" w:rsidRPr="00027624" w14:paraId="1A8A964E" w14:textId="77777777" w:rsidTr="002A2FAE">
        <w:trPr>
          <w:trHeight w:val="270"/>
        </w:trPr>
        <w:tc>
          <w:tcPr>
            <w:tcW w:w="2381" w:type="pct"/>
            <w:vAlign w:val="center"/>
          </w:tcPr>
          <w:p w14:paraId="70685D90" w14:textId="77777777" w:rsidR="0092760B" w:rsidRPr="00027624" w:rsidRDefault="0092760B" w:rsidP="002A2FAE">
            <w:pPr>
              <w:pStyle w:val="TableTextLeft"/>
              <w:ind w:left="457"/>
              <w:rPr>
                <w:rFonts w:cs="Calibri"/>
                <w:szCs w:val="18"/>
              </w:rPr>
            </w:pPr>
            <w:r w:rsidRPr="00027624">
              <w:rPr>
                <w:rFonts w:cs="Calibri"/>
                <w:szCs w:val="18"/>
              </w:rPr>
              <w:t>Low wage growth and lower investment returns</w:t>
            </w:r>
            <w:r w:rsidRPr="00027624">
              <w:rPr>
                <w:b/>
              </w:rPr>
              <w:t>ⁱ</w:t>
            </w:r>
          </w:p>
        </w:tc>
        <w:tc>
          <w:tcPr>
            <w:tcW w:w="635" w:type="pct"/>
            <w:vAlign w:val="center"/>
          </w:tcPr>
          <w:p w14:paraId="6EDA501A" w14:textId="77777777" w:rsidR="0092760B" w:rsidRPr="00027624" w:rsidRDefault="0092760B" w:rsidP="002A2FAE">
            <w:pPr>
              <w:pStyle w:val="TableTextCentered"/>
              <w:rPr>
                <w:rFonts w:cs="Calibri"/>
              </w:rPr>
            </w:pPr>
            <w:r w:rsidRPr="00027624">
              <w:rPr>
                <w:rFonts w:cs="Calibri"/>
              </w:rPr>
              <w:t>87</w:t>
            </w:r>
          </w:p>
        </w:tc>
        <w:tc>
          <w:tcPr>
            <w:tcW w:w="635" w:type="pct"/>
            <w:vAlign w:val="center"/>
          </w:tcPr>
          <w:p w14:paraId="483FD9C6" w14:textId="77777777" w:rsidR="0092760B" w:rsidRPr="00027624" w:rsidRDefault="0092760B" w:rsidP="002A2FAE">
            <w:pPr>
              <w:pStyle w:val="TableTextCentered"/>
              <w:rPr>
                <w:rFonts w:cs="Calibri"/>
              </w:rPr>
            </w:pPr>
            <w:r w:rsidRPr="00027624">
              <w:rPr>
                <w:rFonts w:cs="Calibri"/>
              </w:rPr>
              <w:t>95</w:t>
            </w:r>
          </w:p>
        </w:tc>
        <w:tc>
          <w:tcPr>
            <w:tcW w:w="635" w:type="pct"/>
            <w:vAlign w:val="center"/>
          </w:tcPr>
          <w:p w14:paraId="54926329" w14:textId="77777777" w:rsidR="0092760B" w:rsidRPr="00027624" w:rsidRDefault="0092760B" w:rsidP="002A2FAE">
            <w:pPr>
              <w:pStyle w:val="TableTextCentered"/>
            </w:pPr>
            <w:r w:rsidRPr="00027624">
              <w:t>89</w:t>
            </w:r>
          </w:p>
        </w:tc>
        <w:tc>
          <w:tcPr>
            <w:tcW w:w="714" w:type="pct"/>
            <w:vAlign w:val="center"/>
          </w:tcPr>
          <w:p w14:paraId="0EF2FAC2" w14:textId="77777777" w:rsidR="0092760B" w:rsidRPr="00027624" w:rsidRDefault="0092760B" w:rsidP="002A2FAE">
            <w:pPr>
              <w:pStyle w:val="TableTextCentered"/>
              <w:rPr>
                <w:rFonts w:cs="Calibri"/>
              </w:rPr>
            </w:pPr>
            <w:r w:rsidRPr="00027624">
              <w:rPr>
                <w:rFonts w:cs="Calibri"/>
              </w:rPr>
              <w:t>82</w:t>
            </w:r>
          </w:p>
        </w:tc>
      </w:tr>
      <w:tr w:rsidR="0092760B" w:rsidRPr="00027624" w14:paraId="2CCD9BAD" w14:textId="77777777" w:rsidTr="002A2FAE">
        <w:trPr>
          <w:trHeight w:val="270"/>
        </w:trPr>
        <w:tc>
          <w:tcPr>
            <w:tcW w:w="2381" w:type="pct"/>
            <w:vAlign w:val="center"/>
          </w:tcPr>
          <w:p w14:paraId="51B50028" w14:textId="77777777" w:rsidR="0092760B" w:rsidRPr="00027624" w:rsidRDefault="0092760B" w:rsidP="002A2FAE">
            <w:pPr>
              <w:pStyle w:val="TableTextLeft"/>
              <w:ind w:left="457"/>
            </w:pPr>
            <w:r w:rsidRPr="00027624">
              <w:rPr>
                <w:rFonts w:cs="Calibri"/>
                <w:szCs w:val="18"/>
              </w:rPr>
              <w:t>25 per cent investment shock</w:t>
            </w:r>
            <w:r w:rsidRPr="00027624">
              <w:rPr>
                <w:b/>
              </w:rPr>
              <w:t>ⁱⁱ</w:t>
            </w:r>
          </w:p>
        </w:tc>
        <w:tc>
          <w:tcPr>
            <w:tcW w:w="635" w:type="pct"/>
            <w:vAlign w:val="center"/>
          </w:tcPr>
          <w:p w14:paraId="27D3E5DC" w14:textId="77777777" w:rsidR="0092760B" w:rsidRPr="00027624" w:rsidRDefault="0092760B" w:rsidP="002A2FAE">
            <w:pPr>
              <w:pStyle w:val="TableTextCentered"/>
            </w:pPr>
            <w:r w:rsidRPr="00027624">
              <w:t>82</w:t>
            </w:r>
          </w:p>
        </w:tc>
        <w:tc>
          <w:tcPr>
            <w:tcW w:w="635" w:type="pct"/>
            <w:vAlign w:val="center"/>
          </w:tcPr>
          <w:p w14:paraId="0725EEE9" w14:textId="77777777" w:rsidR="0092760B" w:rsidRPr="00027624" w:rsidRDefault="0092760B" w:rsidP="002A2FAE">
            <w:pPr>
              <w:pStyle w:val="TableTextCentered"/>
            </w:pPr>
            <w:r w:rsidRPr="00027624">
              <w:t>90</w:t>
            </w:r>
          </w:p>
        </w:tc>
        <w:tc>
          <w:tcPr>
            <w:tcW w:w="635" w:type="pct"/>
            <w:vAlign w:val="center"/>
          </w:tcPr>
          <w:p w14:paraId="554B06C8" w14:textId="77777777" w:rsidR="0092760B" w:rsidRPr="00027624" w:rsidRDefault="0092760B" w:rsidP="002A2FAE">
            <w:pPr>
              <w:pStyle w:val="TableTextCentered"/>
            </w:pPr>
            <w:r w:rsidRPr="00027624">
              <w:t>83</w:t>
            </w:r>
          </w:p>
        </w:tc>
        <w:tc>
          <w:tcPr>
            <w:tcW w:w="714" w:type="pct"/>
            <w:vAlign w:val="center"/>
          </w:tcPr>
          <w:p w14:paraId="3A5011F4" w14:textId="77777777" w:rsidR="0092760B" w:rsidRPr="00027624" w:rsidRDefault="0092760B" w:rsidP="002A2FAE">
            <w:pPr>
              <w:pStyle w:val="TableTextCentered"/>
            </w:pPr>
            <w:r w:rsidRPr="00027624">
              <w:rPr>
                <w:rFonts w:cs="Calibri"/>
              </w:rPr>
              <w:t>74</w:t>
            </w:r>
          </w:p>
        </w:tc>
      </w:tr>
      <w:tr w:rsidR="0092760B" w:rsidRPr="00027624" w14:paraId="3A6BCBE8" w14:textId="77777777" w:rsidTr="002A2FAE">
        <w:trPr>
          <w:trHeight w:val="270"/>
        </w:trPr>
        <w:tc>
          <w:tcPr>
            <w:tcW w:w="2381" w:type="pct"/>
            <w:vAlign w:val="center"/>
          </w:tcPr>
          <w:p w14:paraId="66DA141C" w14:textId="77777777" w:rsidR="0092760B" w:rsidRPr="00027624" w:rsidRDefault="0092760B" w:rsidP="002A2FAE">
            <w:pPr>
              <w:pStyle w:val="TableTextLeft"/>
              <w:rPr>
                <w:u w:val="single"/>
              </w:rPr>
            </w:pPr>
            <w:r w:rsidRPr="00027624">
              <w:rPr>
                <w:rFonts w:cs="Calibri"/>
                <w:szCs w:val="18"/>
                <w:u w:val="single"/>
              </w:rPr>
              <w:t>Drawdown strategies</w:t>
            </w:r>
          </w:p>
        </w:tc>
        <w:tc>
          <w:tcPr>
            <w:tcW w:w="635" w:type="pct"/>
            <w:vAlign w:val="center"/>
          </w:tcPr>
          <w:p w14:paraId="57427553" w14:textId="77777777" w:rsidR="0092760B" w:rsidRPr="00027624" w:rsidRDefault="0092760B" w:rsidP="002A2FAE">
            <w:pPr>
              <w:pStyle w:val="TableTextCentered"/>
            </w:pPr>
          </w:p>
        </w:tc>
        <w:tc>
          <w:tcPr>
            <w:tcW w:w="635" w:type="pct"/>
            <w:vAlign w:val="center"/>
          </w:tcPr>
          <w:p w14:paraId="2B9BD45C" w14:textId="77777777" w:rsidR="0092760B" w:rsidRPr="00027624" w:rsidRDefault="0092760B" w:rsidP="002A2FAE">
            <w:pPr>
              <w:pStyle w:val="TableTextCentered"/>
            </w:pPr>
          </w:p>
        </w:tc>
        <w:tc>
          <w:tcPr>
            <w:tcW w:w="635" w:type="pct"/>
            <w:vAlign w:val="center"/>
          </w:tcPr>
          <w:p w14:paraId="142E93C8" w14:textId="77777777" w:rsidR="0092760B" w:rsidRPr="00027624" w:rsidRDefault="0092760B" w:rsidP="002A2FAE">
            <w:pPr>
              <w:pStyle w:val="TableTextCentered"/>
            </w:pPr>
          </w:p>
        </w:tc>
        <w:tc>
          <w:tcPr>
            <w:tcW w:w="714" w:type="pct"/>
            <w:vAlign w:val="center"/>
          </w:tcPr>
          <w:p w14:paraId="59E828A3" w14:textId="77777777" w:rsidR="0092760B" w:rsidRPr="00027624" w:rsidRDefault="0092760B" w:rsidP="002A2FAE">
            <w:pPr>
              <w:pStyle w:val="TableTextCentered"/>
            </w:pPr>
          </w:p>
        </w:tc>
      </w:tr>
      <w:tr w:rsidR="0092760B" w:rsidRPr="00027624" w14:paraId="5E03CDC7" w14:textId="77777777" w:rsidTr="002A2FAE">
        <w:trPr>
          <w:trHeight w:val="270"/>
        </w:trPr>
        <w:tc>
          <w:tcPr>
            <w:tcW w:w="2381" w:type="pct"/>
            <w:vAlign w:val="center"/>
          </w:tcPr>
          <w:p w14:paraId="547A6330" w14:textId="77777777" w:rsidR="0092760B" w:rsidRPr="00027624" w:rsidRDefault="0092760B" w:rsidP="002A2FAE">
            <w:pPr>
              <w:pStyle w:val="TableTextLeft"/>
              <w:ind w:left="457"/>
            </w:pPr>
            <w:r w:rsidRPr="00027624">
              <w:rPr>
                <w:rFonts w:cs="Calibri"/>
                <w:szCs w:val="18"/>
              </w:rPr>
              <w:t>Minimum drawdown</w:t>
            </w:r>
            <w:r w:rsidRPr="00027624">
              <w:rPr>
                <w:b/>
              </w:rPr>
              <w:t>ⁱⁱⁱ</w:t>
            </w:r>
          </w:p>
        </w:tc>
        <w:tc>
          <w:tcPr>
            <w:tcW w:w="635" w:type="pct"/>
            <w:vAlign w:val="center"/>
          </w:tcPr>
          <w:p w14:paraId="763C1575" w14:textId="77777777" w:rsidR="0092760B" w:rsidRPr="00027624" w:rsidRDefault="0092760B" w:rsidP="002A2FAE">
            <w:pPr>
              <w:pStyle w:val="TableTextCentered"/>
            </w:pPr>
            <w:r w:rsidRPr="00027624">
              <w:t>68</w:t>
            </w:r>
          </w:p>
        </w:tc>
        <w:tc>
          <w:tcPr>
            <w:tcW w:w="635" w:type="pct"/>
            <w:vAlign w:val="center"/>
          </w:tcPr>
          <w:p w14:paraId="7A100E5B" w14:textId="77777777" w:rsidR="0092760B" w:rsidRPr="00027624" w:rsidRDefault="0092760B" w:rsidP="002A2FAE">
            <w:pPr>
              <w:pStyle w:val="TableTextCentered"/>
            </w:pPr>
            <w:r w:rsidRPr="00027624">
              <w:t>81</w:t>
            </w:r>
          </w:p>
        </w:tc>
        <w:tc>
          <w:tcPr>
            <w:tcW w:w="635" w:type="pct"/>
            <w:vAlign w:val="center"/>
          </w:tcPr>
          <w:p w14:paraId="5503A5C7" w14:textId="77777777" w:rsidR="0092760B" w:rsidRPr="00027624" w:rsidRDefault="0092760B" w:rsidP="002A2FAE">
            <w:pPr>
              <w:pStyle w:val="TableTextCentered"/>
            </w:pPr>
            <w:r w:rsidRPr="00027624">
              <w:t>71</w:t>
            </w:r>
          </w:p>
        </w:tc>
        <w:tc>
          <w:tcPr>
            <w:tcW w:w="714" w:type="pct"/>
            <w:vAlign w:val="center"/>
          </w:tcPr>
          <w:p w14:paraId="07FBB2B7" w14:textId="77777777" w:rsidR="0092760B" w:rsidRPr="00027624" w:rsidRDefault="0092760B" w:rsidP="002A2FAE">
            <w:pPr>
              <w:pStyle w:val="TableTextCentered"/>
            </w:pPr>
            <w:r w:rsidRPr="00027624">
              <w:t>61</w:t>
            </w:r>
          </w:p>
        </w:tc>
      </w:tr>
      <w:tr w:rsidR="0092760B" w:rsidRPr="00027624" w14:paraId="1BB41920" w14:textId="77777777" w:rsidTr="002A2FAE">
        <w:trPr>
          <w:trHeight w:val="270"/>
        </w:trPr>
        <w:tc>
          <w:tcPr>
            <w:tcW w:w="2381" w:type="pct"/>
            <w:vAlign w:val="center"/>
          </w:tcPr>
          <w:p w14:paraId="52FA2714" w14:textId="77777777" w:rsidR="0092760B" w:rsidRPr="00027624" w:rsidRDefault="0092760B" w:rsidP="002A2FAE">
            <w:pPr>
              <w:pStyle w:val="TableTextLeft"/>
              <w:ind w:left="457"/>
            </w:pPr>
            <w:r w:rsidRPr="00027624">
              <w:rPr>
                <w:rFonts w:cs="Calibri"/>
                <w:szCs w:val="18"/>
              </w:rPr>
              <w:t>Observed drawdown</w:t>
            </w:r>
            <w:r w:rsidRPr="00027624">
              <w:rPr>
                <w:b/>
              </w:rPr>
              <w:t>ⁱⁱⁱ</w:t>
            </w:r>
          </w:p>
        </w:tc>
        <w:tc>
          <w:tcPr>
            <w:tcW w:w="635" w:type="pct"/>
            <w:vAlign w:val="center"/>
          </w:tcPr>
          <w:p w14:paraId="61BA17A9" w14:textId="77777777" w:rsidR="0092760B" w:rsidRPr="00027624" w:rsidRDefault="0092760B" w:rsidP="002A2FAE">
            <w:pPr>
              <w:pStyle w:val="TableTextCentered"/>
            </w:pPr>
            <w:r w:rsidRPr="00027624">
              <w:t>76</w:t>
            </w:r>
          </w:p>
        </w:tc>
        <w:tc>
          <w:tcPr>
            <w:tcW w:w="635" w:type="pct"/>
            <w:vAlign w:val="center"/>
          </w:tcPr>
          <w:p w14:paraId="3B2A8FBA" w14:textId="77777777" w:rsidR="0092760B" w:rsidRPr="00027624" w:rsidRDefault="0092760B" w:rsidP="002A2FAE">
            <w:pPr>
              <w:pStyle w:val="TableTextCentered"/>
            </w:pPr>
            <w:r w:rsidRPr="00027624">
              <w:t>n/a</w:t>
            </w:r>
          </w:p>
        </w:tc>
        <w:tc>
          <w:tcPr>
            <w:tcW w:w="635" w:type="pct"/>
            <w:vAlign w:val="center"/>
          </w:tcPr>
          <w:p w14:paraId="6AD8AA89" w14:textId="77777777" w:rsidR="0092760B" w:rsidRPr="00027624" w:rsidRDefault="0092760B" w:rsidP="002A2FAE">
            <w:pPr>
              <w:pStyle w:val="TableTextCentered"/>
            </w:pPr>
            <w:r w:rsidRPr="00027624">
              <w:t>n/a</w:t>
            </w:r>
          </w:p>
        </w:tc>
        <w:tc>
          <w:tcPr>
            <w:tcW w:w="714" w:type="pct"/>
            <w:vAlign w:val="center"/>
          </w:tcPr>
          <w:p w14:paraId="15132D0D" w14:textId="77777777" w:rsidR="0092760B" w:rsidRPr="00027624" w:rsidRDefault="0092760B" w:rsidP="002A2FAE">
            <w:pPr>
              <w:pStyle w:val="TableTextCentered"/>
            </w:pPr>
            <w:r w:rsidRPr="00027624">
              <w:t>n/a</w:t>
            </w:r>
          </w:p>
        </w:tc>
      </w:tr>
      <w:tr w:rsidR="0092760B" w:rsidRPr="00027624" w14:paraId="0FD7ED74" w14:textId="77777777" w:rsidTr="002A2FAE">
        <w:trPr>
          <w:trHeight w:val="270"/>
        </w:trPr>
        <w:tc>
          <w:tcPr>
            <w:tcW w:w="2381" w:type="pct"/>
            <w:vAlign w:val="center"/>
          </w:tcPr>
          <w:p w14:paraId="6734AC73" w14:textId="77777777" w:rsidR="0092760B" w:rsidRPr="00027624" w:rsidRDefault="0092760B" w:rsidP="002A2FAE">
            <w:pPr>
              <w:pStyle w:val="TableTextLeft"/>
            </w:pPr>
            <w:r w:rsidRPr="00027624">
              <w:rPr>
                <w:rFonts w:cs="Calibri"/>
                <w:szCs w:val="18"/>
                <w:u w:val="single"/>
              </w:rPr>
              <w:t>Voluntary saving</w:t>
            </w:r>
            <w:r w:rsidRPr="00027624">
              <w:rPr>
                <w:rFonts w:cs="Calibri"/>
                <w:b/>
                <w:szCs w:val="18"/>
                <w:vertAlign w:val="superscript"/>
              </w:rPr>
              <w:t>iv</w:t>
            </w:r>
          </w:p>
        </w:tc>
        <w:tc>
          <w:tcPr>
            <w:tcW w:w="635" w:type="pct"/>
            <w:vAlign w:val="center"/>
          </w:tcPr>
          <w:p w14:paraId="6AC8B115" w14:textId="77777777" w:rsidR="0092760B" w:rsidRPr="00027624" w:rsidRDefault="0092760B" w:rsidP="002A2FAE">
            <w:pPr>
              <w:pStyle w:val="TableTextCentered"/>
            </w:pPr>
          </w:p>
        </w:tc>
        <w:tc>
          <w:tcPr>
            <w:tcW w:w="635" w:type="pct"/>
            <w:vAlign w:val="center"/>
          </w:tcPr>
          <w:p w14:paraId="303E75C1" w14:textId="77777777" w:rsidR="0092760B" w:rsidRPr="00027624" w:rsidRDefault="0092760B" w:rsidP="002A2FAE">
            <w:pPr>
              <w:pStyle w:val="TableTextCentered"/>
            </w:pPr>
          </w:p>
        </w:tc>
        <w:tc>
          <w:tcPr>
            <w:tcW w:w="635" w:type="pct"/>
            <w:vAlign w:val="center"/>
          </w:tcPr>
          <w:p w14:paraId="67384228" w14:textId="77777777" w:rsidR="0092760B" w:rsidRPr="00027624" w:rsidRDefault="0092760B" w:rsidP="002A2FAE">
            <w:pPr>
              <w:pStyle w:val="TableTextCentered"/>
            </w:pPr>
          </w:p>
        </w:tc>
        <w:tc>
          <w:tcPr>
            <w:tcW w:w="714" w:type="pct"/>
            <w:vAlign w:val="center"/>
          </w:tcPr>
          <w:p w14:paraId="744ED896" w14:textId="77777777" w:rsidR="0092760B" w:rsidRPr="00027624" w:rsidRDefault="0092760B" w:rsidP="002A2FAE">
            <w:pPr>
              <w:pStyle w:val="TableTextCentered"/>
              <w:rPr>
                <w:color w:val="auto"/>
              </w:rPr>
            </w:pPr>
          </w:p>
        </w:tc>
      </w:tr>
      <w:tr w:rsidR="0092760B" w:rsidRPr="00027624" w14:paraId="3C4E13B9" w14:textId="77777777" w:rsidTr="002A2FAE">
        <w:trPr>
          <w:trHeight w:val="270"/>
        </w:trPr>
        <w:tc>
          <w:tcPr>
            <w:tcW w:w="2381" w:type="pct"/>
            <w:vAlign w:val="center"/>
          </w:tcPr>
          <w:p w14:paraId="69BD3176" w14:textId="77777777" w:rsidR="0092760B" w:rsidRPr="00027624" w:rsidRDefault="0092760B" w:rsidP="002A2FAE">
            <w:pPr>
              <w:pStyle w:val="TableTextLeft"/>
              <w:ind w:left="457"/>
              <w:rPr>
                <w:u w:val="single"/>
              </w:rPr>
            </w:pPr>
            <w:r w:rsidRPr="00027624">
              <w:rPr>
                <w:rFonts w:cs="Calibri"/>
                <w:szCs w:val="18"/>
              </w:rPr>
              <w:t>No non</w:t>
            </w:r>
            <w:r w:rsidR="00A8443E" w:rsidRPr="00027624">
              <w:rPr>
                <w:rFonts w:cs="Calibri"/>
                <w:szCs w:val="18"/>
              </w:rPr>
              <w:noBreakHyphen/>
            </w:r>
            <w:r w:rsidRPr="00027624">
              <w:rPr>
                <w:rFonts w:cs="Calibri"/>
                <w:szCs w:val="18"/>
              </w:rPr>
              <w:t>super savings</w:t>
            </w:r>
          </w:p>
        </w:tc>
        <w:tc>
          <w:tcPr>
            <w:tcW w:w="635" w:type="pct"/>
            <w:vAlign w:val="center"/>
          </w:tcPr>
          <w:p w14:paraId="1A1F7029" w14:textId="77777777" w:rsidR="0092760B" w:rsidRPr="00027624" w:rsidRDefault="0092760B" w:rsidP="002A2FAE">
            <w:pPr>
              <w:pStyle w:val="TableTextCentered"/>
            </w:pPr>
            <w:r w:rsidRPr="00027624">
              <w:rPr>
                <w:rFonts w:cs="Calibri"/>
              </w:rPr>
              <w:t>88</w:t>
            </w:r>
          </w:p>
        </w:tc>
        <w:tc>
          <w:tcPr>
            <w:tcW w:w="635" w:type="pct"/>
            <w:vAlign w:val="center"/>
          </w:tcPr>
          <w:p w14:paraId="431E84C6" w14:textId="77777777" w:rsidR="0092760B" w:rsidRPr="00027624" w:rsidRDefault="0092760B" w:rsidP="002A2FAE">
            <w:pPr>
              <w:pStyle w:val="TableTextCentered"/>
            </w:pPr>
            <w:r w:rsidRPr="00027624">
              <w:rPr>
                <w:rFonts w:cs="Calibri"/>
              </w:rPr>
              <w:t>95</w:t>
            </w:r>
          </w:p>
        </w:tc>
        <w:tc>
          <w:tcPr>
            <w:tcW w:w="635" w:type="pct"/>
            <w:vAlign w:val="center"/>
          </w:tcPr>
          <w:p w14:paraId="04D87C65" w14:textId="77777777" w:rsidR="0092760B" w:rsidRPr="00027624" w:rsidRDefault="0092760B" w:rsidP="002A2FAE">
            <w:pPr>
              <w:pStyle w:val="TableTextCentered"/>
            </w:pPr>
            <w:r w:rsidRPr="00027624">
              <w:t>89</w:t>
            </w:r>
          </w:p>
        </w:tc>
        <w:tc>
          <w:tcPr>
            <w:tcW w:w="714" w:type="pct"/>
            <w:vAlign w:val="center"/>
          </w:tcPr>
          <w:p w14:paraId="0028E7B7" w14:textId="77777777" w:rsidR="0092760B" w:rsidRPr="00027624" w:rsidRDefault="0092760B" w:rsidP="002A2FAE">
            <w:pPr>
              <w:pStyle w:val="TableTextCentered"/>
            </w:pPr>
            <w:r w:rsidRPr="00027624">
              <w:rPr>
                <w:rFonts w:cs="Calibri"/>
              </w:rPr>
              <w:t>82</w:t>
            </w:r>
          </w:p>
        </w:tc>
      </w:tr>
      <w:tr w:rsidR="0092760B" w:rsidRPr="00027624" w14:paraId="1EBF8318" w14:textId="77777777" w:rsidTr="002A2FAE">
        <w:trPr>
          <w:trHeight w:val="270"/>
        </w:trPr>
        <w:tc>
          <w:tcPr>
            <w:tcW w:w="2381" w:type="pct"/>
            <w:vAlign w:val="center"/>
          </w:tcPr>
          <w:p w14:paraId="1A577B8C" w14:textId="77777777" w:rsidR="0092760B" w:rsidRPr="00027624" w:rsidRDefault="0092760B" w:rsidP="002A2FAE">
            <w:pPr>
              <w:pStyle w:val="TableTextLeft"/>
              <w:ind w:left="457"/>
            </w:pPr>
            <w:r w:rsidRPr="00027624">
              <w:rPr>
                <w:rFonts w:cs="Calibri"/>
                <w:szCs w:val="18"/>
              </w:rPr>
              <w:t>No salary sacrificing</w:t>
            </w:r>
          </w:p>
        </w:tc>
        <w:tc>
          <w:tcPr>
            <w:tcW w:w="635" w:type="pct"/>
            <w:vAlign w:val="center"/>
          </w:tcPr>
          <w:p w14:paraId="292B7BD5" w14:textId="77777777" w:rsidR="0092760B" w:rsidRPr="00027624" w:rsidRDefault="0092760B" w:rsidP="002A2FAE">
            <w:pPr>
              <w:pStyle w:val="TableTextCentered"/>
            </w:pPr>
            <w:r w:rsidRPr="00027624">
              <w:rPr>
                <w:rFonts w:cs="Calibri"/>
              </w:rPr>
              <w:t>85</w:t>
            </w:r>
          </w:p>
        </w:tc>
        <w:tc>
          <w:tcPr>
            <w:tcW w:w="635" w:type="pct"/>
            <w:vAlign w:val="center"/>
          </w:tcPr>
          <w:p w14:paraId="043A6948" w14:textId="77777777" w:rsidR="0092760B" w:rsidRPr="00027624" w:rsidRDefault="0092760B" w:rsidP="002A2FAE">
            <w:pPr>
              <w:pStyle w:val="TableTextCentered"/>
            </w:pPr>
            <w:r w:rsidRPr="00027624">
              <w:rPr>
                <w:rFonts w:cs="Calibri"/>
              </w:rPr>
              <w:t>93</w:t>
            </w:r>
          </w:p>
        </w:tc>
        <w:tc>
          <w:tcPr>
            <w:tcW w:w="635" w:type="pct"/>
            <w:vAlign w:val="center"/>
          </w:tcPr>
          <w:p w14:paraId="4FE5ACE6" w14:textId="77777777" w:rsidR="0092760B" w:rsidRPr="00027624" w:rsidRDefault="0092760B" w:rsidP="002A2FAE">
            <w:pPr>
              <w:pStyle w:val="TableTextCentered"/>
            </w:pPr>
            <w:r w:rsidRPr="00027624">
              <w:t>87</w:t>
            </w:r>
          </w:p>
        </w:tc>
        <w:tc>
          <w:tcPr>
            <w:tcW w:w="714" w:type="pct"/>
            <w:vAlign w:val="center"/>
          </w:tcPr>
          <w:p w14:paraId="3926C0CE" w14:textId="77777777" w:rsidR="0092760B" w:rsidRPr="00027624" w:rsidRDefault="0092760B" w:rsidP="002A2FAE">
            <w:pPr>
              <w:pStyle w:val="TableTextCentered"/>
            </w:pPr>
            <w:r w:rsidRPr="00027624">
              <w:rPr>
                <w:rFonts w:cs="Calibri"/>
              </w:rPr>
              <w:t>78</w:t>
            </w:r>
          </w:p>
        </w:tc>
      </w:tr>
      <w:tr w:rsidR="0092760B" w:rsidRPr="00027624" w14:paraId="20B7B69D" w14:textId="77777777" w:rsidTr="002A2FAE">
        <w:trPr>
          <w:trHeight w:val="270"/>
        </w:trPr>
        <w:tc>
          <w:tcPr>
            <w:tcW w:w="2381" w:type="pct"/>
            <w:vAlign w:val="center"/>
          </w:tcPr>
          <w:p w14:paraId="3414E48B" w14:textId="77777777" w:rsidR="0092760B" w:rsidRPr="00027624" w:rsidRDefault="0092760B" w:rsidP="002A2FAE">
            <w:pPr>
              <w:pStyle w:val="TableTextLeft"/>
              <w:ind w:left="457"/>
            </w:pPr>
            <w:r w:rsidRPr="00027624">
              <w:rPr>
                <w:rFonts w:cs="Calibri"/>
                <w:szCs w:val="18"/>
              </w:rPr>
              <w:t>No non</w:t>
            </w:r>
            <w:r w:rsidR="00A8443E" w:rsidRPr="00027624">
              <w:rPr>
                <w:rFonts w:cs="Calibri"/>
                <w:szCs w:val="18"/>
              </w:rPr>
              <w:noBreakHyphen/>
            </w:r>
            <w:r w:rsidRPr="00027624">
              <w:rPr>
                <w:rFonts w:cs="Calibri"/>
                <w:szCs w:val="18"/>
              </w:rPr>
              <w:t>super or salary sacrificing</w:t>
            </w:r>
          </w:p>
        </w:tc>
        <w:tc>
          <w:tcPr>
            <w:tcW w:w="635" w:type="pct"/>
            <w:vAlign w:val="center"/>
          </w:tcPr>
          <w:p w14:paraId="20908483" w14:textId="77777777" w:rsidR="0092760B" w:rsidRPr="00027624" w:rsidRDefault="0092760B" w:rsidP="002A2FAE">
            <w:pPr>
              <w:pStyle w:val="TableTextCentered"/>
            </w:pPr>
            <w:r w:rsidRPr="00027624">
              <w:t>85</w:t>
            </w:r>
          </w:p>
        </w:tc>
        <w:tc>
          <w:tcPr>
            <w:tcW w:w="635" w:type="pct"/>
            <w:vAlign w:val="center"/>
          </w:tcPr>
          <w:p w14:paraId="63384B29" w14:textId="77777777" w:rsidR="0092760B" w:rsidRPr="00027624" w:rsidRDefault="0092760B" w:rsidP="002A2FAE">
            <w:pPr>
              <w:pStyle w:val="TableTextCentered"/>
            </w:pPr>
            <w:r w:rsidRPr="00027624">
              <w:rPr>
                <w:rFonts w:cs="Calibri"/>
              </w:rPr>
              <w:t>93</w:t>
            </w:r>
          </w:p>
        </w:tc>
        <w:tc>
          <w:tcPr>
            <w:tcW w:w="635" w:type="pct"/>
            <w:vAlign w:val="center"/>
          </w:tcPr>
          <w:p w14:paraId="01A85F3B" w14:textId="77777777" w:rsidR="0092760B" w:rsidRPr="00027624" w:rsidRDefault="0092760B" w:rsidP="002A2FAE">
            <w:pPr>
              <w:pStyle w:val="TableTextCentered"/>
            </w:pPr>
            <w:r w:rsidRPr="00027624">
              <w:t>87</w:t>
            </w:r>
          </w:p>
        </w:tc>
        <w:tc>
          <w:tcPr>
            <w:tcW w:w="714" w:type="pct"/>
            <w:vAlign w:val="center"/>
          </w:tcPr>
          <w:p w14:paraId="335A0D29" w14:textId="77777777" w:rsidR="0092760B" w:rsidRPr="00027624" w:rsidRDefault="0092760B" w:rsidP="002A2FAE">
            <w:pPr>
              <w:pStyle w:val="TableTextCentered"/>
            </w:pPr>
            <w:r w:rsidRPr="00027624">
              <w:rPr>
                <w:rFonts w:cs="Calibri"/>
              </w:rPr>
              <w:t>78</w:t>
            </w:r>
          </w:p>
        </w:tc>
      </w:tr>
      <w:tr w:rsidR="0092760B" w:rsidRPr="00027624" w14:paraId="35B9411C" w14:textId="77777777" w:rsidTr="002A2FAE">
        <w:trPr>
          <w:trHeight w:val="270"/>
        </w:trPr>
        <w:tc>
          <w:tcPr>
            <w:tcW w:w="2381" w:type="pct"/>
            <w:vAlign w:val="center"/>
          </w:tcPr>
          <w:p w14:paraId="42E56669" w14:textId="77777777" w:rsidR="0092760B" w:rsidRPr="00027624" w:rsidRDefault="0092760B" w:rsidP="002A2FAE">
            <w:pPr>
              <w:pStyle w:val="TableTextLeft"/>
            </w:pPr>
            <w:r w:rsidRPr="00027624">
              <w:rPr>
                <w:rFonts w:cs="Calibri"/>
                <w:szCs w:val="18"/>
                <w:u w:val="single"/>
              </w:rPr>
              <w:lastRenderedPageBreak/>
              <w:t>Working career and longevity</w:t>
            </w:r>
            <w:r w:rsidRPr="00027624">
              <w:rPr>
                <w:rFonts w:cs="Calibri"/>
                <w:b/>
                <w:szCs w:val="18"/>
                <w:vertAlign w:val="superscript"/>
              </w:rPr>
              <w:t>v</w:t>
            </w:r>
            <w:r w:rsidRPr="00027624">
              <w:rPr>
                <w:rFonts w:cs="Calibri"/>
                <w:szCs w:val="18"/>
              </w:rPr>
              <w:t xml:space="preserve"> </w:t>
            </w:r>
          </w:p>
        </w:tc>
        <w:tc>
          <w:tcPr>
            <w:tcW w:w="635" w:type="pct"/>
            <w:vAlign w:val="center"/>
          </w:tcPr>
          <w:p w14:paraId="7596A345" w14:textId="77777777" w:rsidR="0092760B" w:rsidRPr="00027624" w:rsidRDefault="0092760B" w:rsidP="002A2FAE">
            <w:pPr>
              <w:pStyle w:val="TableTextCentered"/>
            </w:pPr>
          </w:p>
        </w:tc>
        <w:tc>
          <w:tcPr>
            <w:tcW w:w="635" w:type="pct"/>
            <w:vAlign w:val="center"/>
          </w:tcPr>
          <w:p w14:paraId="2F027D69" w14:textId="77777777" w:rsidR="0092760B" w:rsidRPr="00027624" w:rsidRDefault="0092760B" w:rsidP="002A2FAE">
            <w:pPr>
              <w:pStyle w:val="TableTextCentered"/>
            </w:pPr>
          </w:p>
        </w:tc>
        <w:tc>
          <w:tcPr>
            <w:tcW w:w="635" w:type="pct"/>
            <w:vAlign w:val="center"/>
          </w:tcPr>
          <w:p w14:paraId="0D91FBFD" w14:textId="77777777" w:rsidR="0092760B" w:rsidRPr="00027624" w:rsidRDefault="0092760B" w:rsidP="002A2FAE">
            <w:pPr>
              <w:pStyle w:val="TableTextCentered"/>
            </w:pPr>
          </w:p>
        </w:tc>
        <w:tc>
          <w:tcPr>
            <w:tcW w:w="714" w:type="pct"/>
            <w:vAlign w:val="center"/>
          </w:tcPr>
          <w:p w14:paraId="347CE065" w14:textId="77777777" w:rsidR="0092760B" w:rsidRPr="00027624" w:rsidRDefault="0092760B" w:rsidP="002A2FAE">
            <w:pPr>
              <w:pStyle w:val="TableTextCentered"/>
            </w:pPr>
          </w:p>
        </w:tc>
      </w:tr>
      <w:tr w:rsidR="0092760B" w:rsidRPr="00027624" w14:paraId="0118D900" w14:textId="77777777" w:rsidTr="002A2FAE">
        <w:trPr>
          <w:trHeight w:val="270"/>
        </w:trPr>
        <w:tc>
          <w:tcPr>
            <w:tcW w:w="2381" w:type="pct"/>
            <w:vAlign w:val="center"/>
          </w:tcPr>
          <w:p w14:paraId="1F038E6A" w14:textId="77777777" w:rsidR="0092760B" w:rsidRPr="00027624" w:rsidRDefault="0092760B" w:rsidP="002A2FAE">
            <w:pPr>
              <w:pStyle w:val="TableTextLeft"/>
              <w:ind w:left="457"/>
            </w:pPr>
            <w:r w:rsidRPr="00027624">
              <w:rPr>
                <w:rFonts w:cs="Calibri"/>
                <w:szCs w:val="18"/>
              </w:rPr>
              <w:t>Shorter working life</w:t>
            </w:r>
          </w:p>
        </w:tc>
        <w:tc>
          <w:tcPr>
            <w:tcW w:w="635" w:type="pct"/>
            <w:vAlign w:val="center"/>
          </w:tcPr>
          <w:p w14:paraId="667B37AC" w14:textId="77777777" w:rsidR="0092760B" w:rsidRPr="00027624" w:rsidRDefault="0092760B" w:rsidP="002A2FAE">
            <w:pPr>
              <w:pStyle w:val="TableTextCentered"/>
            </w:pPr>
          </w:p>
        </w:tc>
        <w:tc>
          <w:tcPr>
            <w:tcW w:w="635" w:type="pct"/>
            <w:vAlign w:val="center"/>
          </w:tcPr>
          <w:p w14:paraId="2013A00C" w14:textId="77777777" w:rsidR="0092760B" w:rsidRPr="00027624" w:rsidRDefault="0092760B" w:rsidP="002A2FAE">
            <w:pPr>
              <w:pStyle w:val="TableTextCentered"/>
            </w:pPr>
          </w:p>
        </w:tc>
        <w:tc>
          <w:tcPr>
            <w:tcW w:w="635" w:type="pct"/>
            <w:vAlign w:val="center"/>
          </w:tcPr>
          <w:p w14:paraId="2BEFA8AE" w14:textId="77777777" w:rsidR="0092760B" w:rsidRPr="00027624" w:rsidRDefault="0092760B" w:rsidP="002A2FAE">
            <w:pPr>
              <w:pStyle w:val="TableTextCentered"/>
            </w:pPr>
          </w:p>
        </w:tc>
        <w:tc>
          <w:tcPr>
            <w:tcW w:w="714" w:type="pct"/>
            <w:vAlign w:val="center"/>
          </w:tcPr>
          <w:p w14:paraId="2426D728" w14:textId="77777777" w:rsidR="0092760B" w:rsidRPr="00027624" w:rsidRDefault="0092760B" w:rsidP="002A2FAE">
            <w:pPr>
              <w:pStyle w:val="TableTextCentered"/>
            </w:pPr>
          </w:p>
        </w:tc>
      </w:tr>
      <w:tr w:rsidR="0092760B" w:rsidRPr="00027624" w14:paraId="6638125F" w14:textId="77777777" w:rsidTr="002A2FAE">
        <w:trPr>
          <w:trHeight w:val="270"/>
        </w:trPr>
        <w:tc>
          <w:tcPr>
            <w:tcW w:w="2381" w:type="pct"/>
            <w:vAlign w:val="center"/>
          </w:tcPr>
          <w:p w14:paraId="314982B5" w14:textId="77777777" w:rsidR="0092760B" w:rsidRPr="00027624" w:rsidRDefault="0092760B" w:rsidP="002A2FAE">
            <w:pPr>
              <w:pStyle w:val="TableTextLeft"/>
              <w:ind w:left="720"/>
            </w:pPr>
            <w:r w:rsidRPr="00027624">
              <w:rPr>
                <w:rFonts w:cs="Calibri"/>
                <w:szCs w:val="18"/>
              </w:rPr>
              <w:t>(25 years) Retirement at 67</w:t>
            </w:r>
          </w:p>
        </w:tc>
        <w:tc>
          <w:tcPr>
            <w:tcW w:w="635" w:type="pct"/>
            <w:vAlign w:val="center"/>
          </w:tcPr>
          <w:p w14:paraId="6C282BF3" w14:textId="77777777" w:rsidR="0092760B" w:rsidRPr="00027624" w:rsidRDefault="0092760B" w:rsidP="002A2FAE">
            <w:pPr>
              <w:pStyle w:val="TableTextCentered"/>
            </w:pPr>
            <w:r w:rsidRPr="00027624">
              <w:rPr>
                <w:rFonts w:cs="Calibri"/>
              </w:rPr>
              <w:t>78</w:t>
            </w:r>
          </w:p>
        </w:tc>
        <w:tc>
          <w:tcPr>
            <w:tcW w:w="635" w:type="pct"/>
            <w:vAlign w:val="center"/>
          </w:tcPr>
          <w:p w14:paraId="5C2AF895" w14:textId="77777777" w:rsidR="0092760B" w:rsidRPr="00027624" w:rsidRDefault="0092760B" w:rsidP="002A2FAE">
            <w:pPr>
              <w:pStyle w:val="TableTextCentered"/>
            </w:pPr>
            <w:r w:rsidRPr="00027624">
              <w:rPr>
                <w:rFonts w:cs="Calibri"/>
              </w:rPr>
              <w:t>87</w:t>
            </w:r>
          </w:p>
        </w:tc>
        <w:tc>
          <w:tcPr>
            <w:tcW w:w="635" w:type="pct"/>
            <w:vAlign w:val="center"/>
          </w:tcPr>
          <w:p w14:paraId="778F528E" w14:textId="77777777" w:rsidR="0092760B" w:rsidRPr="00027624" w:rsidRDefault="0092760B" w:rsidP="002A2FAE">
            <w:pPr>
              <w:pStyle w:val="TableTextCentered"/>
            </w:pPr>
            <w:r w:rsidRPr="00027624">
              <w:t>79</w:t>
            </w:r>
          </w:p>
        </w:tc>
        <w:tc>
          <w:tcPr>
            <w:tcW w:w="714" w:type="pct"/>
            <w:vAlign w:val="center"/>
          </w:tcPr>
          <w:p w14:paraId="505EF70A" w14:textId="77777777" w:rsidR="0092760B" w:rsidRPr="00027624" w:rsidRDefault="0092760B" w:rsidP="002A2FAE">
            <w:pPr>
              <w:pStyle w:val="TableTextCentered"/>
            </w:pPr>
            <w:r w:rsidRPr="00027624">
              <w:t>70</w:t>
            </w:r>
            <w:r w:rsidRPr="00027624">
              <w:rPr>
                <w:vertAlign w:val="superscript"/>
              </w:rPr>
              <w:t>viii</w:t>
            </w:r>
          </w:p>
        </w:tc>
      </w:tr>
      <w:tr w:rsidR="0092760B" w:rsidRPr="00027624" w14:paraId="508753BD" w14:textId="77777777" w:rsidTr="002A2FAE">
        <w:trPr>
          <w:trHeight w:val="270"/>
        </w:trPr>
        <w:tc>
          <w:tcPr>
            <w:tcW w:w="2381" w:type="pct"/>
            <w:vAlign w:val="center"/>
          </w:tcPr>
          <w:p w14:paraId="1025BB41" w14:textId="77777777" w:rsidR="0092760B" w:rsidRPr="00027624" w:rsidRDefault="0092760B" w:rsidP="002A2FAE">
            <w:pPr>
              <w:pStyle w:val="TableTextLeft"/>
              <w:ind w:left="720"/>
            </w:pPr>
            <w:r w:rsidRPr="00027624">
              <w:rPr>
                <w:rFonts w:cs="Calibri"/>
                <w:szCs w:val="18"/>
              </w:rPr>
              <w:t>(30 years)</w:t>
            </w:r>
            <w:r w:rsidRPr="00027624">
              <w:t xml:space="preserve"> Retirement</w:t>
            </w:r>
            <w:r w:rsidRPr="00027624">
              <w:rPr>
                <w:rFonts w:cs="Calibri"/>
                <w:szCs w:val="18"/>
              </w:rPr>
              <w:t xml:space="preserve"> at 67</w:t>
            </w:r>
          </w:p>
        </w:tc>
        <w:tc>
          <w:tcPr>
            <w:tcW w:w="635" w:type="pct"/>
            <w:vAlign w:val="center"/>
          </w:tcPr>
          <w:p w14:paraId="128D5FF1" w14:textId="77777777" w:rsidR="0092760B" w:rsidRPr="00027624" w:rsidRDefault="0092760B" w:rsidP="002A2FAE">
            <w:pPr>
              <w:pStyle w:val="TableTextCentered"/>
            </w:pPr>
            <w:r w:rsidRPr="00027624">
              <w:rPr>
                <w:rFonts w:cs="Calibri"/>
              </w:rPr>
              <w:t>81</w:t>
            </w:r>
          </w:p>
        </w:tc>
        <w:tc>
          <w:tcPr>
            <w:tcW w:w="635" w:type="pct"/>
            <w:vAlign w:val="center"/>
          </w:tcPr>
          <w:p w14:paraId="54A66449" w14:textId="77777777" w:rsidR="0092760B" w:rsidRPr="00027624" w:rsidRDefault="0092760B" w:rsidP="002A2FAE">
            <w:pPr>
              <w:pStyle w:val="TableTextCentered"/>
            </w:pPr>
            <w:r w:rsidRPr="00027624">
              <w:rPr>
                <w:rFonts w:cs="Calibri"/>
              </w:rPr>
              <w:t>90</w:t>
            </w:r>
          </w:p>
        </w:tc>
        <w:tc>
          <w:tcPr>
            <w:tcW w:w="635" w:type="pct"/>
            <w:vAlign w:val="center"/>
          </w:tcPr>
          <w:p w14:paraId="0E622628" w14:textId="77777777" w:rsidR="0092760B" w:rsidRPr="00027624" w:rsidRDefault="0092760B" w:rsidP="002A2FAE">
            <w:pPr>
              <w:pStyle w:val="TableTextCentered"/>
            </w:pPr>
            <w:r w:rsidRPr="00027624">
              <w:t>83</w:t>
            </w:r>
          </w:p>
        </w:tc>
        <w:tc>
          <w:tcPr>
            <w:tcW w:w="714" w:type="pct"/>
            <w:vAlign w:val="center"/>
          </w:tcPr>
          <w:p w14:paraId="665E73A4" w14:textId="77777777" w:rsidR="0092760B" w:rsidRPr="00027624" w:rsidRDefault="0092760B" w:rsidP="002A2FAE">
            <w:pPr>
              <w:pStyle w:val="TableTextCentered"/>
            </w:pPr>
            <w:r w:rsidRPr="00027624">
              <w:t>73</w:t>
            </w:r>
            <w:r w:rsidRPr="00027624">
              <w:rPr>
                <w:vertAlign w:val="superscript"/>
              </w:rPr>
              <w:t>viii</w:t>
            </w:r>
          </w:p>
        </w:tc>
      </w:tr>
      <w:tr w:rsidR="0092760B" w:rsidRPr="00027624" w14:paraId="5E632776" w14:textId="77777777" w:rsidTr="002A2FAE">
        <w:trPr>
          <w:trHeight w:val="270"/>
        </w:trPr>
        <w:tc>
          <w:tcPr>
            <w:tcW w:w="2381" w:type="pct"/>
            <w:vAlign w:val="center"/>
          </w:tcPr>
          <w:p w14:paraId="72A4487B" w14:textId="77777777" w:rsidR="0092760B" w:rsidRPr="00027624" w:rsidRDefault="0092760B" w:rsidP="002A2FAE">
            <w:pPr>
              <w:pStyle w:val="TableTextLeft"/>
              <w:ind w:left="720"/>
            </w:pPr>
            <w:r w:rsidRPr="00027624">
              <w:rPr>
                <w:rFonts w:cs="Calibri"/>
                <w:szCs w:val="18"/>
              </w:rPr>
              <w:t>(35 years) Retirement at 67</w:t>
            </w:r>
          </w:p>
        </w:tc>
        <w:tc>
          <w:tcPr>
            <w:tcW w:w="635" w:type="pct"/>
            <w:vAlign w:val="center"/>
          </w:tcPr>
          <w:p w14:paraId="237D9A2F" w14:textId="77777777" w:rsidR="0092760B" w:rsidRPr="00027624" w:rsidRDefault="0092760B" w:rsidP="002A2FAE">
            <w:pPr>
              <w:pStyle w:val="TableTextCentered"/>
            </w:pPr>
            <w:r w:rsidRPr="00027624">
              <w:t>84</w:t>
            </w:r>
          </w:p>
        </w:tc>
        <w:tc>
          <w:tcPr>
            <w:tcW w:w="635" w:type="pct"/>
            <w:vAlign w:val="center"/>
          </w:tcPr>
          <w:p w14:paraId="2490CE86" w14:textId="77777777" w:rsidR="0092760B" w:rsidRPr="00027624" w:rsidRDefault="0092760B" w:rsidP="002A2FAE">
            <w:pPr>
              <w:pStyle w:val="TableTextCentered"/>
            </w:pPr>
            <w:r w:rsidRPr="00027624">
              <w:rPr>
                <w:rFonts w:cs="Calibri"/>
              </w:rPr>
              <w:t>93</w:t>
            </w:r>
          </w:p>
        </w:tc>
        <w:tc>
          <w:tcPr>
            <w:tcW w:w="635" w:type="pct"/>
            <w:vAlign w:val="center"/>
          </w:tcPr>
          <w:p w14:paraId="624FAF2A" w14:textId="77777777" w:rsidR="0092760B" w:rsidRPr="00027624" w:rsidRDefault="0092760B" w:rsidP="002A2FAE">
            <w:pPr>
              <w:pStyle w:val="TableTextCentered"/>
            </w:pPr>
            <w:r w:rsidRPr="00027624">
              <w:t>86</w:t>
            </w:r>
          </w:p>
        </w:tc>
        <w:tc>
          <w:tcPr>
            <w:tcW w:w="714" w:type="pct"/>
            <w:vAlign w:val="center"/>
          </w:tcPr>
          <w:p w14:paraId="25FFB8D9" w14:textId="77777777" w:rsidR="0092760B" w:rsidRPr="00027624" w:rsidRDefault="0092760B" w:rsidP="002A2FAE">
            <w:pPr>
              <w:pStyle w:val="TableTextCentered"/>
            </w:pPr>
            <w:r w:rsidRPr="00027624">
              <w:t>77</w:t>
            </w:r>
            <w:r w:rsidRPr="00027624">
              <w:rPr>
                <w:vertAlign w:val="superscript"/>
              </w:rPr>
              <w:t>viii</w:t>
            </w:r>
          </w:p>
        </w:tc>
      </w:tr>
      <w:tr w:rsidR="0092760B" w:rsidRPr="00027624" w14:paraId="5DD6BFB0" w14:textId="77777777" w:rsidTr="002A2FAE">
        <w:trPr>
          <w:trHeight w:val="270"/>
        </w:trPr>
        <w:tc>
          <w:tcPr>
            <w:tcW w:w="2381" w:type="pct"/>
            <w:vAlign w:val="center"/>
          </w:tcPr>
          <w:p w14:paraId="1CEDB069" w14:textId="77777777" w:rsidR="0092760B" w:rsidRPr="00027624" w:rsidRDefault="0092760B" w:rsidP="002A2FAE">
            <w:pPr>
              <w:pStyle w:val="TableTextLeft"/>
              <w:ind w:left="720"/>
            </w:pPr>
            <w:r w:rsidRPr="00027624">
              <w:rPr>
                <w:rFonts w:cs="Calibri"/>
                <w:szCs w:val="18"/>
              </w:rPr>
              <w:t>(25 years) Retirement at 60</w:t>
            </w:r>
          </w:p>
        </w:tc>
        <w:tc>
          <w:tcPr>
            <w:tcW w:w="635" w:type="pct"/>
            <w:vAlign w:val="center"/>
          </w:tcPr>
          <w:p w14:paraId="65957E1D" w14:textId="77777777" w:rsidR="0092760B" w:rsidRPr="00027624" w:rsidRDefault="0092760B" w:rsidP="002A2FAE">
            <w:pPr>
              <w:pStyle w:val="TableTextCentered"/>
            </w:pPr>
            <w:r w:rsidRPr="00027624">
              <w:t>69</w:t>
            </w:r>
          </w:p>
        </w:tc>
        <w:tc>
          <w:tcPr>
            <w:tcW w:w="635" w:type="pct"/>
            <w:vAlign w:val="center"/>
          </w:tcPr>
          <w:p w14:paraId="331413CD" w14:textId="77777777" w:rsidR="0092760B" w:rsidRPr="00027624" w:rsidRDefault="0092760B" w:rsidP="002A2FAE">
            <w:pPr>
              <w:pStyle w:val="TableTextCentered"/>
            </w:pPr>
            <w:r w:rsidRPr="00027624">
              <w:rPr>
                <w:rFonts w:cs="Calibri"/>
              </w:rPr>
              <w:t>79</w:t>
            </w:r>
          </w:p>
        </w:tc>
        <w:tc>
          <w:tcPr>
            <w:tcW w:w="635" w:type="pct"/>
            <w:vAlign w:val="center"/>
          </w:tcPr>
          <w:p w14:paraId="24485D37" w14:textId="77777777" w:rsidR="0092760B" w:rsidRPr="00027624" w:rsidRDefault="0092760B" w:rsidP="002A2FAE">
            <w:pPr>
              <w:pStyle w:val="TableTextCentered"/>
            </w:pPr>
            <w:r w:rsidRPr="00027624">
              <w:t>71</w:t>
            </w:r>
          </w:p>
        </w:tc>
        <w:tc>
          <w:tcPr>
            <w:tcW w:w="714" w:type="pct"/>
            <w:vAlign w:val="center"/>
          </w:tcPr>
          <w:p w14:paraId="072CD43C" w14:textId="77777777" w:rsidR="0092760B" w:rsidRPr="00027624" w:rsidRDefault="0092760B" w:rsidP="002A2FAE">
            <w:pPr>
              <w:pStyle w:val="TableTextCentered"/>
            </w:pPr>
            <w:r w:rsidRPr="00027624">
              <w:t>65</w:t>
            </w:r>
            <w:r w:rsidRPr="00027624">
              <w:rPr>
                <w:vertAlign w:val="superscript"/>
              </w:rPr>
              <w:t>viii</w:t>
            </w:r>
          </w:p>
        </w:tc>
      </w:tr>
      <w:tr w:rsidR="0092760B" w:rsidRPr="00027624" w14:paraId="12B5F18E" w14:textId="77777777" w:rsidTr="002A2FAE">
        <w:trPr>
          <w:trHeight w:val="270"/>
        </w:trPr>
        <w:tc>
          <w:tcPr>
            <w:tcW w:w="2381" w:type="pct"/>
            <w:vAlign w:val="center"/>
          </w:tcPr>
          <w:p w14:paraId="12849E21" w14:textId="77777777" w:rsidR="0092760B" w:rsidRPr="00027624" w:rsidRDefault="0092760B" w:rsidP="002A2FAE">
            <w:pPr>
              <w:pStyle w:val="TableTextLeft"/>
              <w:ind w:left="720"/>
            </w:pPr>
            <w:r w:rsidRPr="00027624">
              <w:rPr>
                <w:rFonts w:cs="Calibri"/>
                <w:szCs w:val="18"/>
              </w:rPr>
              <w:t>(30 years) Retirement at 60</w:t>
            </w:r>
          </w:p>
        </w:tc>
        <w:tc>
          <w:tcPr>
            <w:tcW w:w="635" w:type="pct"/>
            <w:vAlign w:val="center"/>
          </w:tcPr>
          <w:p w14:paraId="04B30DA4" w14:textId="77777777" w:rsidR="0092760B" w:rsidRPr="00027624" w:rsidRDefault="0092760B" w:rsidP="002A2FAE">
            <w:pPr>
              <w:pStyle w:val="TableTextCentered"/>
            </w:pPr>
            <w:r w:rsidRPr="00027624">
              <w:t>73</w:t>
            </w:r>
          </w:p>
        </w:tc>
        <w:tc>
          <w:tcPr>
            <w:tcW w:w="635" w:type="pct"/>
            <w:vAlign w:val="center"/>
          </w:tcPr>
          <w:p w14:paraId="641F0226" w14:textId="77777777" w:rsidR="0092760B" w:rsidRPr="00027624" w:rsidRDefault="0092760B" w:rsidP="002A2FAE">
            <w:pPr>
              <w:pStyle w:val="TableTextCentered"/>
              <w:rPr>
                <w:vertAlign w:val="superscript"/>
              </w:rPr>
            </w:pPr>
            <w:r w:rsidRPr="00027624">
              <w:rPr>
                <w:rFonts w:cs="Calibri"/>
              </w:rPr>
              <w:t>81</w:t>
            </w:r>
            <w:r w:rsidRPr="00027624">
              <w:rPr>
                <w:b/>
                <w:vertAlign w:val="superscript"/>
              </w:rPr>
              <w:t>vii</w:t>
            </w:r>
          </w:p>
        </w:tc>
        <w:tc>
          <w:tcPr>
            <w:tcW w:w="635" w:type="pct"/>
            <w:vAlign w:val="center"/>
          </w:tcPr>
          <w:p w14:paraId="14A26724" w14:textId="77777777" w:rsidR="0092760B" w:rsidRPr="00027624" w:rsidRDefault="0092760B" w:rsidP="002A2FAE">
            <w:pPr>
              <w:pStyle w:val="TableTextCentered"/>
            </w:pPr>
            <w:r w:rsidRPr="00027624">
              <w:t>73</w:t>
            </w:r>
          </w:p>
        </w:tc>
        <w:tc>
          <w:tcPr>
            <w:tcW w:w="714" w:type="pct"/>
            <w:vAlign w:val="center"/>
          </w:tcPr>
          <w:p w14:paraId="355B82CE" w14:textId="77777777" w:rsidR="0092760B" w:rsidRPr="00027624" w:rsidRDefault="0092760B" w:rsidP="002A2FAE">
            <w:pPr>
              <w:pStyle w:val="TableTextCentered"/>
            </w:pPr>
            <w:r w:rsidRPr="00027624">
              <w:t>68</w:t>
            </w:r>
            <w:r w:rsidRPr="00027624">
              <w:rPr>
                <w:vertAlign w:val="superscript"/>
              </w:rPr>
              <w:t>viii</w:t>
            </w:r>
          </w:p>
        </w:tc>
      </w:tr>
      <w:tr w:rsidR="0092760B" w:rsidRPr="00027624" w14:paraId="0E6E08D4" w14:textId="77777777" w:rsidTr="002A2FAE">
        <w:trPr>
          <w:trHeight w:val="270"/>
        </w:trPr>
        <w:tc>
          <w:tcPr>
            <w:tcW w:w="2381" w:type="pct"/>
            <w:vAlign w:val="center"/>
          </w:tcPr>
          <w:p w14:paraId="69008A75" w14:textId="77777777" w:rsidR="0092760B" w:rsidRPr="00027624" w:rsidRDefault="0092760B" w:rsidP="002A2FAE">
            <w:pPr>
              <w:pStyle w:val="TableTextLeft"/>
              <w:ind w:left="720"/>
              <w:rPr>
                <w:vertAlign w:val="superscript"/>
              </w:rPr>
            </w:pPr>
            <w:r w:rsidRPr="00027624">
              <w:rPr>
                <w:rFonts w:cs="Calibri"/>
                <w:szCs w:val="18"/>
              </w:rPr>
              <w:t>(35 years) Retirement at 60</w:t>
            </w:r>
            <w:r w:rsidRPr="00027624">
              <w:rPr>
                <w:rFonts w:cs="Calibri"/>
                <w:b/>
                <w:szCs w:val="18"/>
                <w:vertAlign w:val="superscript"/>
              </w:rPr>
              <w:t>vi</w:t>
            </w:r>
          </w:p>
        </w:tc>
        <w:tc>
          <w:tcPr>
            <w:tcW w:w="635" w:type="pct"/>
            <w:vAlign w:val="center"/>
          </w:tcPr>
          <w:p w14:paraId="54CC9B58" w14:textId="77777777" w:rsidR="0092760B" w:rsidRPr="00027624" w:rsidRDefault="0092760B" w:rsidP="002A2FAE">
            <w:pPr>
              <w:pStyle w:val="TableTextCentered"/>
            </w:pPr>
            <w:r w:rsidRPr="00027624">
              <w:t>76</w:t>
            </w:r>
          </w:p>
        </w:tc>
        <w:tc>
          <w:tcPr>
            <w:tcW w:w="635" w:type="pct"/>
            <w:vAlign w:val="center"/>
          </w:tcPr>
          <w:p w14:paraId="48706DF0" w14:textId="77777777" w:rsidR="0092760B" w:rsidRPr="00027624" w:rsidRDefault="0092760B" w:rsidP="002A2FAE">
            <w:pPr>
              <w:pStyle w:val="TableTextCentered"/>
              <w:rPr>
                <w:vertAlign w:val="superscript"/>
              </w:rPr>
            </w:pPr>
            <w:r w:rsidRPr="00027624">
              <w:rPr>
                <w:rFonts w:cs="Calibri"/>
              </w:rPr>
              <w:t>82</w:t>
            </w:r>
            <w:r w:rsidRPr="00027624">
              <w:rPr>
                <w:b/>
                <w:vertAlign w:val="superscript"/>
              </w:rPr>
              <w:t>vii</w:t>
            </w:r>
          </w:p>
        </w:tc>
        <w:tc>
          <w:tcPr>
            <w:tcW w:w="635" w:type="pct"/>
            <w:vAlign w:val="center"/>
          </w:tcPr>
          <w:p w14:paraId="1C366A67" w14:textId="77777777" w:rsidR="0092760B" w:rsidRPr="00027624" w:rsidRDefault="0092760B" w:rsidP="002A2FAE">
            <w:pPr>
              <w:pStyle w:val="TableTextCentered"/>
            </w:pPr>
            <w:r w:rsidRPr="00027624">
              <w:t>77</w:t>
            </w:r>
          </w:p>
        </w:tc>
        <w:tc>
          <w:tcPr>
            <w:tcW w:w="714" w:type="pct"/>
            <w:vAlign w:val="center"/>
          </w:tcPr>
          <w:p w14:paraId="6E9CBF91" w14:textId="77777777" w:rsidR="0092760B" w:rsidRPr="00027624" w:rsidRDefault="0092760B" w:rsidP="002A2FAE">
            <w:pPr>
              <w:pStyle w:val="TableTextCentered"/>
            </w:pPr>
            <w:r w:rsidRPr="00027624">
              <w:t>70</w:t>
            </w:r>
            <w:r w:rsidRPr="00027624">
              <w:rPr>
                <w:vertAlign w:val="superscript"/>
              </w:rPr>
              <w:t>viii</w:t>
            </w:r>
          </w:p>
        </w:tc>
      </w:tr>
      <w:tr w:rsidR="0092760B" w:rsidRPr="00027624" w14:paraId="1C2F1856" w14:textId="77777777" w:rsidTr="002A2FAE">
        <w:trPr>
          <w:trHeight w:val="270"/>
        </w:trPr>
        <w:tc>
          <w:tcPr>
            <w:tcW w:w="2381" w:type="pct"/>
            <w:vAlign w:val="center"/>
          </w:tcPr>
          <w:p w14:paraId="2E5556E7" w14:textId="77777777" w:rsidR="0092760B" w:rsidRPr="00027624" w:rsidRDefault="0092760B" w:rsidP="002A2FAE">
            <w:pPr>
              <w:pStyle w:val="TableTextLeft"/>
              <w:ind w:left="457"/>
            </w:pPr>
            <w:r w:rsidRPr="00027624">
              <w:rPr>
                <w:rFonts w:cs="Calibri"/>
                <w:szCs w:val="18"/>
              </w:rPr>
              <w:t>Early Retirement</w:t>
            </w:r>
          </w:p>
        </w:tc>
        <w:tc>
          <w:tcPr>
            <w:tcW w:w="635" w:type="pct"/>
            <w:vAlign w:val="center"/>
          </w:tcPr>
          <w:p w14:paraId="1AF3A400" w14:textId="77777777" w:rsidR="0092760B" w:rsidRPr="00027624" w:rsidRDefault="0092760B" w:rsidP="002A2FAE">
            <w:pPr>
              <w:pStyle w:val="TableTextCentered"/>
            </w:pPr>
          </w:p>
        </w:tc>
        <w:tc>
          <w:tcPr>
            <w:tcW w:w="635" w:type="pct"/>
            <w:vAlign w:val="center"/>
          </w:tcPr>
          <w:p w14:paraId="0FE763CD" w14:textId="77777777" w:rsidR="0092760B" w:rsidRPr="00027624" w:rsidRDefault="0092760B" w:rsidP="002A2FAE">
            <w:pPr>
              <w:pStyle w:val="TableTextCentered"/>
            </w:pPr>
          </w:p>
        </w:tc>
        <w:tc>
          <w:tcPr>
            <w:tcW w:w="1349" w:type="pct"/>
            <w:gridSpan w:val="2"/>
            <w:vAlign w:val="center"/>
          </w:tcPr>
          <w:p w14:paraId="3AEC741C" w14:textId="77777777" w:rsidR="0092760B" w:rsidRPr="00027624" w:rsidRDefault="0092760B" w:rsidP="002A2FAE">
            <w:pPr>
              <w:pStyle w:val="TableTextCentered"/>
            </w:pPr>
            <w:r w:rsidRPr="00027624">
              <w:t>Primary only/both</w:t>
            </w:r>
          </w:p>
        </w:tc>
      </w:tr>
      <w:tr w:rsidR="0092760B" w:rsidRPr="00027624" w14:paraId="2B62F7BB" w14:textId="77777777" w:rsidTr="002A2FAE">
        <w:trPr>
          <w:trHeight w:val="270"/>
        </w:trPr>
        <w:tc>
          <w:tcPr>
            <w:tcW w:w="2381" w:type="pct"/>
            <w:vAlign w:val="center"/>
          </w:tcPr>
          <w:p w14:paraId="55C55DA1" w14:textId="77777777" w:rsidR="0092760B" w:rsidRPr="00027624" w:rsidRDefault="0092760B" w:rsidP="002A2FAE">
            <w:pPr>
              <w:pStyle w:val="TableTextLeft"/>
              <w:ind w:left="720"/>
            </w:pPr>
            <w:r w:rsidRPr="00027624">
              <w:rPr>
                <w:rFonts w:cs="Calibri"/>
                <w:szCs w:val="18"/>
              </w:rPr>
              <w:t>Job</w:t>
            </w:r>
            <w:r w:rsidR="00A8443E" w:rsidRPr="00027624">
              <w:rPr>
                <w:rFonts w:cs="Calibri"/>
                <w:szCs w:val="18"/>
              </w:rPr>
              <w:noBreakHyphen/>
            </w:r>
            <w:r w:rsidRPr="00027624">
              <w:rPr>
                <w:rFonts w:cs="Calibri"/>
                <w:szCs w:val="18"/>
              </w:rPr>
              <w:t>related (57 years)</w:t>
            </w:r>
          </w:p>
        </w:tc>
        <w:tc>
          <w:tcPr>
            <w:tcW w:w="635" w:type="pct"/>
            <w:vAlign w:val="center"/>
          </w:tcPr>
          <w:p w14:paraId="0FA5C0C8" w14:textId="77777777" w:rsidR="0092760B" w:rsidRPr="00027624" w:rsidRDefault="0092760B" w:rsidP="002A2FAE">
            <w:pPr>
              <w:pStyle w:val="TableTextCentered"/>
            </w:pPr>
            <w:r w:rsidRPr="00027624">
              <w:t>72</w:t>
            </w:r>
          </w:p>
        </w:tc>
        <w:tc>
          <w:tcPr>
            <w:tcW w:w="635" w:type="pct"/>
            <w:vAlign w:val="center"/>
          </w:tcPr>
          <w:p w14:paraId="64E18395" w14:textId="77777777" w:rsidR="0092760B" w:rsidRPr="00027624" w:rsidRDefault="0092760B" w:rsidP="002A2FAE">
            <w:pPr>
              <w:pStyle w:val="TableTextCentered"/>
            </w:pPr>
            <w:r w:rsidRPr="00027624">
              <w:rPr>
                <w:rFonts w:cs="Calibri"/>
              </w:rPr>
              <w:t>79</w:t>
            </w:r>
          </w:p>
        </w:tc>
        <w:tc>
          <w:tcPr>
            <w:tcW w:w="635" w:type="pct"/>
            <w:vAlign w:val="center"/>
          </w:tcPr>
          <w:p w14:paraId="3A81DD8C" w14:textId="77777777" w:rsidR="0092760B" w:rsidRPr="00027624" w:rsidRDefault="0092760B" w:rsidP="002A2FAE">
            <w:pPr>
              <w:pStyle w:val="TableTextCentered"/>
            </w:pPr>
            <w:r w:rsidRPr="00027624">
              <w:t>74</w:t>
            </w:r>
          </w:p>
        </w:tc>
        <w:tc>
          <w:tcPr>
            <w:tcW w:w="714" w:type="pct"/>
            <w:vAlign w:val="center"/>
          </w:tcPr>
          <w:p w14:paraId="231D0559" w14:textId="77777777" w:rsidR="0092760B" w:rsidRPr="00027624" w:rsidRDefault="0092760B" w:rsidP="002A2FAE">
            <w:pPr>
              <w:pStyle w:val="TableTextCentered"/>
            </w:pPr>
            <w:r w:rsidRPr="00027624">
              <w:t>73/68</w:t>
            </w:r>
            <w:r w:rsidRPr="00027624">
              <w:rPr>
                <w:vertAlign w:val="superscript"/>
              </w:rPr>
              <w:t>ix</w:t>
            </w:r>
          </w:p>
        </w:tc>
      </w:tr>
      <w:tr w:rsidR="0092760B" w:rsidRPr="00027624" w14:paraId="4DA705CF" w14:textId="77777777" w:rsidTr="002A2FAE">
        <w:trPr>
          <w:trHeight w:val="270"/>
        </w:trPr>
        <w:tc>
          <w:tcPr>
            <w:tcW w:w="2381" w:type="pct"/>
            <w:vAlign w:val="center"/>
          </w:tcPr>
          <w:p w14:paraId="0EC696F4" w14:textId="77777777" w:rsidR="0092760B" w:rsidRPr="00027624" w:rsidRDefault="0092760B" w:rsidP="002A2FAE">
            <w:pPr>
              <w:pStyle w:val="TableTextLeft"/>
              <w:ind w:left="720"/>
            </w:pPr>
            <w:r w:rsidRPr="00027624">
              <w:rPr>
                <w:rFonts w:cs="Calibri"/>
                <w:szCs w:val="18"/>
              </w:rPr>
              <w:t>Job</w:t>
            </w:r>
            <w:r w:rsidR="00A8443E" w:rsidRPr="00027624">
              <w:rPr>
                <w:rFonts w:cs="Calibri"/>
                <w:szCs w:val="18"/>
              </w:rPr>
              <w:noBreakHyphen/>
            </w:r>
            <w:r w:rsidRPr="00027624">
              <w:rPr>
                <w:rFonts w:cs="Calibri"/>
                <w:szCs w:val="18"/>
              </w:rPr>
              <w:t>related (62 years)</w:t>
            </w:r>
          </w:p>
        </w:tc>
        <w:tc>
          <w:tcPr>
            <w:tcW w:w="635" w:type="pct"/>
            <w:vAlign w:val="center"/>
          </w:tcPr>
          <w:p w14:paraId="7399D632" w14:textId="77777777" w:rsidR="0092760B" w:rsidRPr="00027624" w:rsidRDefault="0092760B" w:rsidP="002A2FAE">
            <w:pPr>
              <w:pStyle w:val="TableTextCentered"/>
            </w:pPr>
            <w:r w:rsidRPr="00027624">
              <w:t>78</w:t>
            </w:r>
          </w:p>
        </w:tc>
        <w:tc>
          <w:tcPr>
            <w:tcW w:w="635" w:type="pct"/>
            <w:vAlign w:val="center"/>
          </w:tcPr>
          <w:p w14:paraId="6FBB27E9" w14:textId="77777777" w:rsidR="0092760B" w:rsidRPr="00027624" w:rsidRDefault="0092760B" w:rsidP="002A2FAE">
            <w:pPr>
              <w:pStyle w:val="TableTextCentered"/>
            </w:pPr>
            <w:r w:rsidRPr="00027624">
              <w:rPr>
                <w:rFonts w:cs="Calibri"/>
              </w:rPr>
              <w:t>85</w:t>
            </w:r>
          </w:p>
        </w:tc>
        <w:tc>
          <w:tcPr>
            <w:tcW w:w="635" w:type="pct"/>
            <w:vAlign w:val="center"/>
          </w:tcPr>
          <w:p w14:paraId="79F6F746" w14:textId="77777777" w:rsidR="0092760B" w:rsidRPr="00027624" w:rsidRDefault="0092760B" w:rsidP="002A2FAE">
            <w:pPr>
              <w:pStyle w:val="TableTextCentered"/>
            </w:pPr>
            <w:r w:rsidRPr="00027624">
              <w:t>80</w:t>
            </w:r>
          </w:p>
        </w:tc>
        <w:tc>
          <w:tcPr>
            <w:tcW w:w="714" w:type="pct"/>
            <w:vAlign w:val="center"/>
          </w:tcPr>
          <w:p w14:paraId="12792C59" w14:textId="77777777" w:rsidR="0092760B" w:rsidRPr="00027624" w:rsidRDefault="0092760B" w:rsidP="002A2FAE">
            <w:pPr>
              <w:pStyle w:val="TableTextCentered"/>
            </w:pPr>
            <w:r w:rsidRPr="00027624">
              <w:t>75/72</w:t>
            </w:r>
            <w:r w:rsidRPr="00027624">
              <w:rPr>
                <w:vertAlign w:val="superscript"/>
              </w:rPr>
              <w:t>ix</w:t>
            </w:r>
          </w:p>
        </w:tc>
      </w:tr>
      <w:tr w:rsidR="0092760B" w:rsidRPr="00027624" w14:paraId="6E65C975" w14:textId="77777777" w:rsidTr="002A2FAE">
        <w:trPr>
          <w:trHeight w:val="270"/>
        </w:trPr>
        <w:tc>
          <w:tcPr>
            <w:tcW w:w="2381" w:type="pct"/>
            <w:vAlign w:val="center"/>
          </w:tcPr>
          <w:p w14:paraId="1B96A7E0" w14:textId="77777777" w:rsidR="0092760B" w:rsidRPr="00027624" w:rsidRDefault="0092760B" w:rsidP="002A2FAE">
            <w:pPr>
              <w:pStyle w:val="TableTextLeft"/>
              <w:ind w:left="720"/>
            </w:pPr>
            <w:r w:rsidRPr="00027624">
              <w:rPr>
                <w:rFonts w:cs="Calibri"/>
                <w:szCs w:val="18"/>
              </w:rPr>
              <w:t>Disability</w:t>
            </w:r>
            <w:r w:rsidR="00A8443E" w:rsidRPr="00027624">
              <w:rPr>
                <w:rFonts w:cs="Calibri"/>
                <w:szCs w:val="18"/>
              </w:rPr>
              <w:noBreakHyphen/>
            </w:r>
            <w:r w:rsidRPr="00027624">
              <w:rPr>
                <w:rFonts w:cs="Calibri"/>
                <w:szCs w:val="18"/>
              </w:rPr>
              <w:t>related (57 years)</w:t>
            </w:r>
          </w:p>
        </w:tc>
        <w:tc>
          <w:tcPr>
            <w:tcW w:w="635" w:type="pct"/>
            <w:vAlign w:val="center"/>
          </w:tcPr>
          <w:p w14:paraId="7DB2EF66" w14:textId="77777777" w:rsidR="0092760B" w:rsidRPr="00027624" w:rsidRDefault="0092760B" w:rsidP="002A2FAE">
            <w:pPr>
              <w:pStyle w:val="TableTextCentered"/>
            </w:pPr>
            <w:r w:rsidRPr="00027624">
              <w:t>79</w:t>
            </w:r>
          </w:p>
        </w:tc>
        <w:tc>
          <w:tcPr>
            <w:tcW w:w="635" w:type="pct"/>
            <w:vAlign w:val="center"/>
          </w:tcPr>
          <w:p w14:paraId="549710A4" w14:textId="77777777" w:rsidR="0092760B" w:rsidRPr="00027624" w:rsidRDefault="0092760B" w:rsidP="002A2FAE">
            <w:pPr>
              <w:pStyle w:val="TableTextCentered"/>
            </w:pPr>
            <w:r w:rsidRPr="00027624">
              <w:rPr>
                <w:rFonts w:cs="Calibri"/>
              </w:rPr>
              <w:t>90</w:t>
            </w:r>
          </w:p>
        </w:tc>
        <w:tc>
          <w:tcPr>
            <w:tcW w:w="635" w:type="pct"/>
            <w:vAlign w:val="center"/>
          </w:tcPr>
          <w:p w14:paraId="426655B2" w14:textId="77777777" w:rsidR="0092760B" w:rsidRPr="00027624" w:rsidRDefault="0092760B" w:rsidP="002A2FAE">
            <w:pPr>
              <w:pStyle w:val="TableTextCentered"/>
            </w:pPr>
            <w:r w:rsidRPr="00027624">
              <w:t>82</w:t>
            </w:r>
          </w:p>
        </w:tc>
        <w:tc>
          <w:tcPr>
            <w:tcW w:w="714" w:type="pct"/>
            <w:vAlign w:val="center"/>
          </w:tcPr>
          <w:p w14:paraId="6AF259A4" w14:textId="77777777" w:rsidR="0092760B" w:rsidRPr="00027624" w:rsidRDefault="0092760B" w:rsidP="002A2FAE">
            <w:pPr>
              <w:pStyle w:val="TableTextCentered"/>
            </w:pPr>
            <w:r w:rsidRPr="00027624">
              <w:t>73/70</w:t>
            </w:r>
            <w:r w:rsidRPr="00027624">
              <w:rPr>
                <w:vertAlign w:val="superscript"/>
              </w:rPr>
              <w:t>ix</w:t>
            </w:r>
            <w:r w:rsidRPr="00027624" w:rsidDel="001D7B85">
              <w:rPr>
                <w:vertAlign w:val="superscript"/>
              </w:rPr>
              <w:t xml:space="preserve"> </w:t>
            </w:r>
          </w:p>
        </w:tc>
      </w:tr>
      <w:tr w:rsidR="0092760B" w:rsidRPr="00027624" w14:paraId="67F69D7D" w14:textId="77777777" w:rsidTr="002A2FAE">
        <w:trPr>
          <w:trHeight w:val="270"/>
        </w:trPr>
        <w:tc>
          <w:tcPr>
            <w:tcW w:w="2381" w:type="pct"/>
            <w:vAlign w:val="center"/>
          </w:tcPr>
          <w:p w14:paraId="51EE8876" w14:textId="77777777" w:rsidR="0092760B" w:rsidRPr="00027624" w:rsidRDefault="0092760B" w:rsidP="002A2FAE">
            <w:pPr>
              <w:pStyle w:val="TableTextLeft"/>
              <w:ind w:left="720"/>
              <w:rPr>
                <w:rFonts w:cs="Calibri"/>
                <w:szCs w:val="18"/>
              </w:rPr>
            </w:pPr>
            <w:r w:rsidRPr="00027624">
              <w:rPr>
                <w:rFonts w:cs="Calibri"/>
                <w:szCs w:val="18"/>
              </w:rPr>
              <w:t>Disability</w:t>
            </w:r>
            <w:r w:rsidR="00A8443E" w:rsidRPr="00027624">
              <w:rPr>
                <w:rFonts w:cs="Calibri"/>
                <w:szCs w:val="18"/>
              </w:rPr>
              <w:noBreakHyphen/>
            </w:r>
            <w:r w:rsidRPr="00027624">
              <w:rPr>
                <w:rFonts w:cs="Calibri"/>
                <w:szCs w:val="18"/>
              </w:rPr>
              <w:t>related (62 years)</w:t>
            </w:r>
          </w:p>
        </w:tc>
        <w:tc>
          <w:tcPr>
            <w:tcW w:w="635" w:type="pct"/>
            <w:vAlign w:val="center"/>
          </w:tcPr>
          <w:p w14:paraId="46F5F38E" w14:textId="77777777" w:rsidR="0092760B" w:rsidRPr="00027624" w:rsidRDefault="0092760B" w:rsidP="002A2FAE">
            <w:pPr>
              <w:pStyle w:val="TableTextCentered"/>
            </w:pPr>
            <w:r w:rsidRPr="00027624">
              <w:t>80</w:t>
            </w:r>
          </w:p>
        </w:tc>
        <w:tc>
          <w:tcPr>
            <w:tcW w:w="635" w:type="pct"/>
            <w:vAlign w:val="center"/>
          </w:tcPr>
          <w:p w14:paraId="648D5C82" w14:textId="77777777" w:rsidR="0092760B" w:rsidRPr="00027624" w:rsidRDefault="0092760B" w:rsidP="002A2FAE">
            <w:pPr>
              <w:pStyle w:val="TableTextCentered"/>
            </w:pPr>
            <w:r w:rsidRPr="00027624">
              <w:rPr>
                <w:rFonts w:cs="Calibri"/>
              </w:rPr>
              <w:t>90</w:t>
            </w:r>
          </w:p>
        </w:tc>
        <w:tc>
          <w:tcPr>
            <w:tcW w:w="635" w:type="pct"/>
            <w:vAlign w:val="center"/>
          </w:tcPr>
          <w:p w14:paraId="1E22E3D6" w14:textId="77777777" w:rsidR="0092760B" w:rsidRPr="00027624" w:rsidRDefault="0092760B" w:rsidP="002A2FAE">
            <w:pPr>
              <w:pStyle w:val="TableTextCentered"/>
            </w:pPr>
            <w:r w:rsidRPr="00027624">
              <w:t>82</w:t>
            </w:r>
          </w:p>
        </w:tc>
        <w:tc>
          <w:tcPr>
            <w:tcW w:w="714" w:type="pct"/>
            <w:vAlign w:val="center"/>
          </w:tcPr>
          <w:p w14:paraId="3B8B3ED7" w14:textId="77777777" w:rsidR="0092760B" w:rsidRPr="00027624" w:rsidRDefault="0092760B" w:rsidP="002A2FAE">
            <w:pPr>
              <w:pStyle w:val="TableTextCentered"/>
            </w:pPr>
            <w:r w:rsidRPr="00027624">
              <w:t>75/72</w:t>
            </w:r>
            <w:r w:rsidRPr="00027624">
              <w:rPr>
                <w:vertAlign w:val="superscript"/>
              </w:rPr>
              <w:t>ix</w:t>
            </w:r>
          </w:p>
        </w:tc>
      </w:tr>
      <w:tr w:rsidR="0092760B" w:rsidRPr="00027624" w14:paraId="7CA8C466" w14:textId="77777777" w:rsidTr="002A2FAE">
        <w:trPr>
          <w:trHeight w:val="270"/>
        </w:trPr>
        <w:tc>
          <w:tcPr>
            <w:tcW w:w="2381" w:type="pct"/>
            <w:vAlign w:val="center"/>
          </w:tcPr>
          <w:p w14:paraId="7B04A703" w14:textId="77777777" w:rsidR="0092760B" w:rsidRPr="00027624" w:rsidRDefault="0092760B" w:rsidP="002A2FAE">
            <w:pPr>
              <w:pStyle w:val="TableTextLeft"/>
              <w:ind w:left="457"/>
            </w:pPr>
            <w:r w:rsidRPr="00027624">
              <w:rPr>
                <w:rFonts w:cs="Calibri"/>
                <w:szCs w:val="18"/>
              </w:rPr>
              <w:t>Retirement at 70 (start age 27)</w:t>
            </w:r>
          </w:p>
        </w:tc>
        <w:tc>
          <w:tcPr>
            <w:tcW w:w="635" w:type="pct"/>
            <w:vAlign w:val="center"/>
          </w:tcPr>
          <w:p w14:paraId="7C881FCA" w14:textId="77777777" w:rsidR="0092760B" w:rsidRPr="00027624" w:rsidRDefault="0092760B" w:rsidP="002A2FAE">
            <w:pPr>
              <w:pStyle w:val="TableTextCentered"/>
            </w:pPr>
            <w:r w:rsidRPr="00027624">
              <w:t>92</w:t>
            </w:r>
          </w:p>
        </w:tc>
        <w:tc>
          <w:tcPr>
            <w:tcW w:w="635" w:type="pct"/>
            <w:vAlign w:val="center"/>
          </w:tcPr>
          <w:p w14:paraId="0D387269" w14:textId="77777777" w:rsidR="0092760B" w:rsidRPr="00027624" w:rsidRDefault="0092760B" w:rsidP="002A2FAE">
            <w:pPr>
              <w:pStyle w:val="TableTextCentered"/>
            </w:pPr>
            <w:r w:rsidRPr="00027624">
              <w:rPr>
                <w:rFonts w:cs="Calibri"/>
              </w:rPr>
              <w:t>98</w:t>
            </w:r>
          </w:p>
        </w:tc>
        <w:tc>
          <w:tcPr>
            <w:tcW w:w="635" w:type="pct"/>
            <w:vAlign w:val="center"/>
          </w:tcPr>
          <w:p w14:paraId="4989DA85" w14:textId="77777777" w:rsidR="0092760B" w:rsidRPr="00027624" w:rsidRDefault="0092760B" w:rsidP="002A2FAE">
            <w:pPr>
              <w:pStyle w:val="TableTextCentered"/>
            </w:pPr>
            <w:r w:rsidRPr="00027624">
              <w:t>93</w:t>
            </w:r>
          </w:p>
        </w:tc>
        <w:tc>
          <w:tcPr>
            <w:tcW w:w="714" w:type="pct"/>
            <w:vAlign w:val="center"/>
          </w:tcPr>
          <w:p w14:paraId="4890F8E2" w14:textId="77777777" w:rsidR="0092760B" w:rsidRPr="00027624" w:rsidRDefault="0092760B" w:rsidP="002A2FAE">
            <w:pPr>
              <w:pStyle w:val="TableTextCentered"/>
            </w:pPr>
            <w:r w:rsidRPr="00027624">
              <w:t>90</w:t>
            </w:r>
          </w:p>
        </w:tc>
      </w:tr>
      <w:tr w:rsidR="0092760B" w:rsidRPr="00027624" w14:paraId="0E48DF33" w14:textId="77777777" w:rsidTr="002A2FAE">
        <w:trPr>
          <w:trHeight w:val="270"/>
        </w:trPr>
        <w:tc>
          <w:tcPr>
            <w:tcW w:w="2381" w:type="pct"/>
            <w:vAlign w:val="center"/>
          </w:tcPr>
          <w:p w14:paraId="71837623" w14:textId="77777777" w:rsidR="0092760B" w:rsidRPr="00027624" w:rsidRDefault="0092760B" w:rsidP="002A2FAE">
            <w:pPr>
              <w:pStyle w:val="TableTextLeft"/>
              <w:ind w:left="457"/>
            </w:pPr>
            <w:r w:rsidRPr="00027624">
              <w:rPr>
                <w:rFonts w:cs="Calibri"/>
                <w:szCs w:val="18"/>
              </w:rPr>
              <w:t>Low SG coverage (8 years less)</w:t>
            </w:r>
            <w:r w:rsidRPr="00027624">
              <w:rPr>
                <w:rFonts w:cs="Calibri"/>
                <w:b/>
                <w:szCs w:val="18"/>
                <w:vertAlign w:val="superscript"/>
              </w:rPr>
              <w:t>x</w:t>
            </w:r>
          </w:p>
        </w:tc>
        <w:tc>
          <w:tcPr>
            <w:tcW w:w="635" w:type="pct"/>
            <w:vAlign w:val="center"/>
          </w:tcPr>
          <w:p w14:paraId="5B580AEF" w14:textId="77777777" w:rsidR="0092760B" w:rsidRPr="00027624" w:rsidRDefault="0092760B" w:rsidP="002A2FAE">
            <w:pPr>
              <w:pStyle w:val="TableTextCentered"/>
            </w:pPr>
            <w:r w:rsidRPr="00027624">
              <w:t>82</w:t>
            </w:r>
          </w:p>
        </w:tc>
        <w:tc>
          <w:tcPr>
            <w:tcW w:w="635" w:type="pct"/>
            <w:vAlign w:val="center"/>
          </w:tcPr>
          <w:p w14:paraId="5BA85428" w14:textId="77777777" w:rsidR="0092760B" w:rsidRPr="00027624" w:rsidRDefault="0092760B" w:rsidP="002A2FAE">
            <w:pPr>
              <w:pStyle w:val="TableTextCentered"/>
            </w:pPr>
            <w:r w:rsidRPr="00027624">
              <w:rPr>
                <w:rFonts w:cs="Calibri"/>
              </w:rPr>
              <w:t>90</w:t>
            </w:r>
          </w:p>
        </w:tc>
        <w:tc>
          <w:tcPr>
            <w:tcW w:w="635" w:type="pct"/>
            <w:vAlign w:val="center"/>
          </w:tcPr>
          <w:p w14:paraId="63B15A7F" w14:textId="77777777" w:rsidR="0092760B" w:rsidRPr="00027624" w:rsidRDefault="0092760B" w:rsidP="002A2FAE">
            <w:pPr>
              <w:pStyle w:val="TableTextCentered"/>
            </w:pPr>
            <w:r w:rsidRPr="00027624">
              <w:t>84</w:t>
            </w:r>
          </w:p>
        </w:tc>
        <w:tc>
          <w:tcPr>
            <w:tcW w:w="714" w:type="pct"/>
            <w:vAlign w:val="center"/>
          </w:tcPr>
          <w:p w14:paraId="25E99D6B" w14:textId="77777777" w:rsidR="0092760B" w:rsidRPr="00027624" w:rsidRDefault="0092760B" w:rsidP="002A2FAE">
            <w:pPr>
              <w:pStyle w:val="TableTextCentered"/>
            </w:pPr>
            <w:r w:rsidRPr="00027624">
              <w:t>75</w:t>
            </w:r>
          </w:p>
        </w:tc>
      </w:tr>
      <w:tr w:rsidR="0092760B" w:rsidRPr="00027624" w14:paraId="037A933B" w14:textId="77777777" w:rsidTr="002A2FAE">
        <w:trPr>
          <w:trHeight w:val="270"/>
        </w:trPr>
        <w:tc>
          <w:tcPr>
            <w:tcW w:w="2381" w:type="pct"/>
            <w:vAlign w:val="center"/>
          </w:tcPr>
          <w:p w14:paraId="1CA76C64" w14:textId="77777777" w:rsidR="0092760B" w:rsidRPr="00027624" w:rsidRDefault="0092760B" w:rsidP="002A2FAE">
            <w:pPr>
              <w:pStyle w:val="TableTextLeft"/>
              <w:ind w:left="457"/>
            </w:pPr>
            <w:r w:rsidRPr="00027624">
              <w:rPr>
                <w:rFonts w:cs="Calibri"/>
                <w:szCs w:val="18"/>
              </w:rPr>
              <w:t>Living to 102</w:t>
            </w:r>
          </w:p>
        </w:tc>
        <w:tc>
          <w:tcPr>
            <w:tcW w:w="635" w:type="pct"/>
            <w:vAlign w:val="center"/>
          </w:tcPr>
          <w:p w14:paraId="5DF5E908" w14:textId="77777777" w:rsidR="0092760B" w:rsidRPr="00027624" w:rsidRDefault="0092760B" w:rsidP="002A2FAE">
            <w:pPr>
              <w:pStyle w:val="TableTextCentered"/>
            </w:pPr>
            <w:r w:rsidRPr="00027624">
              <w:t>88</w:t>
            </w:r>
          </w:p>
        </w:tc>
        <w:tc>
          <w:tcPr>
            <w:tcW w:w="635" w:type="pct"/>
            <w:vAlign w:val="center"/>
          </w:tcPr>
          <w:p w14:paraId="3DF9B44B" w14:textId="77777777" w:rsidR="0092760B" w:rsidRPr="00027624" w:rsidRDefault="0092760B" w:rsidP="002A2FAE">
            <w:pPr>
              <w:pStyle w:val="TableTextCentered"/>
            </w:pPr>
            <w:r w:rsidRPr="00027624">
              <w:rPr>
                <w:rFonts w:cs="Calibri"/>
              </w:rPr>
              <w:t>99</w:t>
            </w:r>
          </w:p>
        </w:tc>
        <w:tc>
          <w:tcPr>
            <w:tcW w:w="635" w:type="pct"/>
            <w:vAlign w:val="center"/>
          </w:tcPr>
          <w:p w14:paraId="2F8679AA" w14:textId="77777777" w:rsidR="0092760B" w:rsidRPr="00027624" w:rsidRDefault="0092760B" w:rsidP="002A2FAE">
            <w:pPr>
              <w:pStyle w:val="TableTextCentered"/>
            </w:pPr>
            <w:r w:rsidRPr="00027624">
              <w:t>89</w:t>
            </w:r>
          </w:p>
        </w:tc>
        <w:tc>
          <w:tcPr>
            <w:tcW w:w="714" w:type="pct"/>
            <w:vAlign w:val="center"/>
          </w:tcPr>
          <w:p w14:paraId="54F62F1F" w14:textId="77777777" w:rsidR="0092760B" w:rsidRPr="00027624" w:rsidRDefault="0092760B" w:rsidP="002A2FAE">
            <w:pPr>
              <w:pStyle w:val="TableTextCentered"/>
            </w:pPr>
            <w:r w:rsidRPr="00027624">
              <w:t>83</w:t>
            </w:r>
          </w:p>
        </w:tc>
      </w:tr>
      <w:tr w:rsidR="0092760B" w:rsidRPr="00027624" w14:paraId="6F3F6EEA" w14:textId="77777777" w:rsidTr="002A2FAE">
        <w:trPr>
          <w:trHeight w:val="270"/>
        </w:trPr>
        <w:tc>
          <w:tcPr>
            <w:tcW w:w="2381" w:type="pct"/>
            <w:vAlign w:val="center"/>
          </w:tcPr>
          <w:p w14:paraId="106EDF2E" w14:textId="77777777" w:rsidR="0092760B" w:rsidRPr="00027624" w:rsidRDefault="0092760B" w:rsidP="002A2FAE">
            <w:pPr>
              <w:pStyle w:val="TableTextLeft"/>
              <w:ind w:left="457"/>
            </w:pPr>
            <w:r w:rsidRPr="00027624">
              <w:rPr>
                <w:rFonts w:cs="Calibri"/>
                <w:szCs w:val="18"/>
              </w:rPr>
              <w:t>Living to 102 no longevity product</w:t>
            </w:r>
            <w:r w:rsidRPr="00027624">
              <w:rPr>
                <w:b/>
              </w:rPr>
              <w:t>ⁱⁱⁱ</w:t>
            </w:r>
          </w:p>
        </w:tc>
        <w:tc>
          <w:tcPr>
            <w:tcW w:w="635" w:type="pct"/>
            <w:vAlign w:val="center"/>
          </w:tcPr>
          <w:p w14:paraId="0874A9A7" w14:textId="77777777" w:rsidR="0092760B" w:rsidRPr="00027624" w:rsidRDefault="0092760B" w:rsidP="002A2FAE">
            <w:pPr>
              <w:pStyle w:val="TableTextCentered"/>
            </w:pPr>
            <w:r w:rsidRPr="00027624">
              <w:rPr>
                <w:rFonts w:cs="Calibri"/>
              </w:rPr>
              <w:t>84</w:t>
            </w:r>
          </w:p>
        </w:tc>
        <w:tc>
          <w:tcPr>
            <w:tcW w:w="635" w:type="pct"/>
            <w:vAlign w:val="center"/>
          </w:tcPr>
          <w:p w14:paraId="7E9D1925" w14:textId="77777777" w:rsidR="0092760B" w:rsidRPr="00027624" w:rsidRDefault="0092760B" w:rsidP="002A2FAE">
            <w:pPr>
              <w:pStyle w:val="TableTextCentered"/>
            </w:pPr>
            <w:r w:rsidRPr="00027624">
              <w:rPr>
                <w:rFonts w:cs="Calibri"/>
              </w:rPr>
              <w:t>93</w:t>
            </w:r>
          </w:p>
        </w:tc>
        <w:tc>
          <w:tcPr>
            <w:tcW w:w="635" w:type="pct"/>
            <w:vAlign w:val="center"/>
          </w:tcPr>
          <w:p w14:paraId="6BDAAA75" w14:textId="77777777" w:rsidR="0092760B" w:rsidRPr="00027624" w:rsidRDefault="0092760B" w:rsidP="002A2FAE">
            <w:pPr>
              <w:pStyle w:val="TableTextCentered"/>
            </w:pPr>
            <w:r w:rsidRPr="00027624">
              <w:t>86</w:t>
            </w:r>
          </w:p>
        </w:tc>
        <w:tc>
          <w:tcPr>
            <w:tcW w:w="714" w:type="pct"/>
            <w:vAlign w:val="center"/>
          </w:tcPr>
          <w:p w14:paraId="3ECA3AD2" w14:textId="77777777" w:rsidR="0092760B" w:rsidRPr="00027624" w:rsidRDefault="0092760B" w:rsidP="002A2FAE">
            <w:pPr>
              <w:pStyle w:val="TableTextCentered"/>
            </w:pPr>
            <w:r w:rsidRPr="00027624">
              <w:t>78</w:t>
            </w:r>
          </w:p>
        </w:tc>
      </w:tr>
      <w:tr w:rsidR="0092760B" w:rsidRPr="00027624" w14:paraId="27C37465" w14:textId="77777777" w:rsidTr="002A2FAE">
        <w:trPr>
          <w:trHeight w:val="270"/>
        </w:trPr>
        <w:tc>
          <w:tcPr>
            <w:tcW w:w="2381" w:type="pct"/>
            <w:vAlign w:val="center"/>
          </w:tcPr>
          <w:p w14:paraId="6F8F0509" w14:textId="77777777" w:rsidR="0092760B" w:rsidRPr="00027624" w:rsidRDefault="0092760B" w:rsidP="002A2FAE">
            <w:pPr>
              <w:pStyle w:val="TableTextLeft"/>
            </w:pPr>
            <w:r w:rsidRPr="00027624">
              <w:rPr>
                <w:rFonts w:cs="Calibri"/>
                <w:szCs w:val="18"/>
                <w:u w:val="single"/>
              </w:rPr>
              <w:t>Calculation differences in replacement rates</w:t>
            </w:r>
          </w:p>
        </w:tc>
        <w:tc>
          <w:tcPr>
            <w:tcW w:w="635" w:type="pct"/>
            <w:vAlign w:val="center"/>
          </w:tcPr>
          <w:p w14:paraId="5CC11830" w14:textId="77777777" w:rsidR="0092760B" w:rsidRPr="00027624" w:rsidRDefault="0092760B" w:rsidP="002A2FAE">
            <w:pPr>
              <w:pStyle w:val="TableTextCentered"/>
            </w:pPr>
          </w:p>
        </w:tc>
        <w:tc>
          <w:tcPr>
            <w:tcW w:w="635" w:type="pct"/>
            <w:vAlign w:val="center"/>
          </w:tcPr>
          <w:p w14:paraId="76C9D542" w14:textId="77777777" w:rsidR="0092760B" w:rsidRPr="00027624" w:rsidRDefault="0092760B" w:rsidP="002A2FAE">
            <w:pPr>
              <w:pStyle w:val="TableTextCentered"/>
            </w:pPr>
          </w:p>
        </w:tc>
        <w:tc>
          <w:tcPr>
            <w:tcW w:w="635" w:type="pct"/>
            <w:vAlign w:val="center"/>
          </w:tcPr>
          <w:p w14:paraId="38072D6D" w14:textId="77777777" w:rsidR="0092760B" w:rsidRPr="00027624" w:rsidRDefault="0092760B" w:rsidP="002A2FAE">
            <w:pPr>
              <w:pStyle w:val="TableTextCentered"/>
            </w:pPr>
          </w:p>
        </w:tc>
        <w:tc>
          <w:tcPr>
            <w:tcW w:w="714" w:type="pct"/>
            <w:vAlign w:val="center"/>
          </w:tcPr>
          <w:p w14:paraId="06669088" w14:textId="77777777" w:rsidR="0092760B" w:rsidRPr="00027624" w:rsidRDefault="0092760B" w:rsidP="002A2FAE">
            <w:pPr>
              <w:pStyle w:val="TableTextCentered"/>
            </w:pPr>
          </w:p>
        </w:tc>
      </w:tr>
      <w:tr w:rsidR="0092760B" w:rsidRPr="00027624" w14:paraId="5710E24A" w14:textId="77777777" w:rsidTr="002A2FAE">
        <w:trPr>
          <w:trHeight w:val="270"/>
        </w:trPr>
        <w:tc>
          <w:tcPr>
            <w:tcW w:w="2381" w:type="pct"/>
            <w:vAlign w:val="center"/>
          </w:tcPr>
          <w:p w14:paraId="10550902" w14:textId="77777777" w:rsidR="0092760B" w:rsidRPr="00027624" w:rsidRDefault="0092760B" w:rsidP="002A2FAE">
            <w:pPr>
              <w:pStyle w:val="TableTextLeft"/>
              <w:ind w:left="457"/>
            </w:pPr>
            <w:r w:rsidRPr="00027624">
              <w:rPr>
                <w:rFonts w:cs="Calibri"/>
                <w:szCs w:val="18"/>
              </w:rPr>
              <w:t>5 years before/5 years after</w:t>
            </w:r>
          </w:p>
        </w:tc>
        <w:tc>
          <w:tcPr>
            <w:tcW w:w="635" w:type="pct"/>
            <w:vAlign w:val="center"/>
          </w:tcPr>
          <w:p w14:paraId="29473BB0" w14:textId="77777777" w:rsidR="0092760B" w:rsidRPr="00027624" w:rsidRDefault="0092760B" w:rsidP="002A2FAE">
            <w:pPr>
              <w:pStyle w:val="TableTextCentered"/>
            </w:pPr>
            <w:r w:rsidRPr="00027624">
              <w:t>90</w:t>
            </w:r>
          </w:p>
        </w:tc>
        <w:tc>
          <w:tcPr>
            <w:tcW w:w="635" w:type="pct"/>
            <w:vAlign w:val="center"/>
          </w:tcPr>
          <w:p w14:paraId="2CC99DFD" w14:textId="77777777" w:rsidR="0092760B" w:rsidRPr="00027624" w:rsidRDefault="0092760B" w:rsidP="002A2FAE">
            <w:pPr>
              <w:pStyle w:val="TableTextCentered"/>
            </w:pPr>
            <w:r w:rsidRPr="00027624">
              <w:rPr>
                <w:rFonts w:cs="Calibri"/>
              </w:rPr>
              <w:t>95</w:t>
            </w:r>
          </w:p>
        </w:tc>
        <w:tc>
          <w:tcPr>
            <w:tcW w:w="635" w:type="pct"/>
            <w:vAlign w:val="center"/>
          </w:tcPr>
          <w:p w14:paraId="4DBEBE96" w14:textId="77777777" w:rsidR="0092760B" w:rsidRPr="00027624" w:rsidRDefault="0092760B" w:rsidP="002A2FAE">
            <w:pPr>
              <w:pStyle w:val="TableTextCentered"/>
            </w:pPr>
            <w:r w:rsidRPr="00027624">
              <w:t>90</w:t>
            </w:r>
          </w:p>
        </w:tc>
        <w:tc>
          <w:tcPr>
            <w:tcW w:w="714" w:type="pct"/>
            <w:vAlign w:val="center"/>
          </w:tcPr>
          <w:p w14:paraId="29A26BDE" w14:textId="77777777" w:rsidR="0092760B" w:rsidRPr="00027624" w:rsidRDefault="0092760B" w:rsidP="002A2FAE">
            <w:pPr>
              <w:pStyle w:val="TableTextCentered"/>
            </w:pPr>
            <w:r w:rsidRPr="00027624">
              <w:t>91</w:t>
            </w:r>
          </w:p>
        </w:tc>
      </w:tr>
      <w:tr w:rsidR="0092760B" w:rsidRPr="00027624" w14:paraId="303F2B26" w14:textId="77777777" w:rsidTr="002A2FAE">
        <w:trPr>
          <w:trHeight w:val="270"/>
        </w:trPr>
        <w:tc>
          <w:tcPr>
            <w:tcW w:w="2381" w:type="pct"/>
            <w:vAlign w:val="center"/>
          </w:tcPr>
          <w:p w14:paraId="3DC60507" w14:textId="77777777" w:rsidR="0092760B" w:rsidRPr="00027624" w:rsidRDefault="0092760B" w:rsidP="002A2FAE">
            <w:pPr>
              <w:pStyle w:val="TableTextLeft"/>
              <w:ind w:left="457"/>
            </w:pPr>
            <w:r w:rsidRPr="00027624">
              <w:rPr>
                <w:rFonts w:cs="Calibri"/>
                <w:szCs w:val="18"/>
              </w:rPr>
              <w:t>15 years before/15 years after</w:t>
            </w:r>
          </w:p>
        </w:tc>
        <w:tc>
          <w:tcPr>
            <w:tcW w:w="635" w:type="pct"/>
            <w:vAlign w:val="center"/>
          </w:tcPr>
          <w:p w14:paraId="70BBB6B4" w14:textId="77777777" w:rsidR="0092760B" w:rsidRPr="00027624" w:rsidRDefault="0092760B" w:rsidP="002A2FAE">
            <w:pPr>
              <w:pStyle w:val="TableTextCentered"/>
            </w:pPr>
            <w:r w:rsidRPr="00027624">
              <w:t>84</w:t>
            </w:r>
          </w:p>
        </w:tc>
        <w:tc>
          <w:tcPr>
            <w:tcW w:w="635" w:type="pct"/>
            <w:vAlign w:val="center"/>
          </w:tcPr>
          <w:p w14:paraId="6C5D1D6F" w14:textId="77777777" w:rsidR="0092760B" w:rsidRPr="00027624" w:rsidRDefault="0092760B" w:rsidP="002A2FAE">
            <w:pPr>
              <w:pStyle w:val="TableTextCentered"/>
            </w:pPr>
            <w:r w:rsidRPr="00027624">
              <w:rPr>
                <w:rFonts w:cs="Calibri"/>
              </w:rPr>
              <w:t>91</w:t>
            </w:r>
          </w:p>
        </w:tc>
        <w:tc>
          <w:tcPr>
            <w:tcW w:w="635" w:type="pct"/>
            <w:vAlign w:val="center"/>
          </w:tcPr>
          <w:p w14:paraId="4B3F29E1" w14:textId="77777777" w:rsidR="0092760B" w:rsidRPr="00027624" w:rsidRDefault="0092760B" w:rsidP="002A2FAE">
            <w:pPr>
              <w:pStyle w:val="TableTextCentered"/>
            </w:pPr>
            <w:r w:rsidRPr="00027624">
              <w:t>86</w:t>
            </w:r>
          </w:p>
        </w:tc>
        <w:tc>
          <w:tcPr>
            <w:tcW w:w="714" w:type="pct"/>
            <w:vAlign w:val="center"/>
          </w:tcPr>
          <w:p w14:paraId="51366EA2" w14:textId="77777777" w:rsidR="0092760B" w:rsidRPr="00027624" w:rsidRDefault="0092760B" w:rsidP="002A2FAE">
            <w:pPr>
              <w:pStyle w:val="TableTextCentered"/>
            </w:pPr>
            <w:r w:rsidRPr="00027624">
              <w:t>75</w:t>
            </w:r>
          </w:p>
        </w:tc>
      </w:tr>
      <w:tr w:rsidR="0092760B" w:rsidRPr="00027624" w14:paraId="79F2F621" w14:textId="77777777" w:rsidTr="002A2FAE">
        <w:trPr>
          <w:trHeight w:val="270"/>
        </w:trPr>
        <w:tc>
          <w:tcPr>
            <w:tcW w:w="2381" w:type="pct"/>
            <w:vAlign w:val="center"/>
          </w:tcPr>
          <w:p w14:paraId="026712AC" w14:textId="77777777" w:rsidR="0092760B" w:rsidRPr="00027624" w:rsidRDefault="0092760B" w:rsidP="002A2FAE">
            <w:pPr>
              <w:pStyle w:val="TableTextLeft"/>
              <w:ind w:left="457"/>
            </w:pPr>
            <w:r w:rsidRPr="00027624">
              <w:rPr>
                <w:rFonts w:cs="Calibri"/>
                <w:szCs w:val="18"/>
              </w:rPr>
              <w:t>Wage deflator</w:t>
            </w:r>
          </w:p>
        </w:tc>
        <w:tc>
          <w:tcPr>
            <w:tcW w:w="635" w:type="pct"/>
            <w:vAlign w:val="center"/>
          </w:tcPr>
          <w:p w14:paraId="4743F6FF" w14:textId="77777777" w:rsidR="0092760B" w:rsidRPr="00027624" w:rsidRDefault="0092760B" w:rsidP="002A2FAE">
            <w:pPr>
              <w:pStyle w:val="TableTextCentered"/>
            </w:pPr>
            <w:r w:rsidRPr="00027624">
              <w:t>73</w:t>
            </w:r>
          </w:p>
        </w:tc>
        <w:tc>
          <w:tcPr>
            <w:tcW w:w="635" w:type="pct"/>
            <w:vAlign w:val="center"/>
          </w:tcPr>
          <w:p w14:paraId="15677C6B" w14:textId="77777777" w:rsidR="0092760B" w:rsidRPr="00027624" w:rsidRDefault="0092760B" w:rsidP="002A2FAE">
            <w:pPr>
              <w:pStyle w:val="TableTextCentered"/>
            </w:pPr>
            <w:r w:rsidRPr="00027624">
              <w:rPr>
                <w:rFonts w:cs="Calibri"/>
              </w:rPr>
              <w:t>79</w:t>
            </w:r>
          </w:p>
        </w:tc>
        <w:tc>
          <w:tcPr>
            <w:tcW w:w="635" w:type="pct"/>
            <w:vAlign w:val="center"/>
          </w:tcPr>
          <w:p w14:paraId="3E1CCEF1" w14:textId="77777777" w:rsidR="0092760B" w:rsidRPr="00027624" w:rsidRDefault="0092760B" w:rsidP="002A2FAE">
            <w:pPr>
              <w:pStyle w:val="TableTextCentered"/>
            </w:pPr>
            <w:r w:rsidRPr="00027624">
              <w:t>74</w:t>
            </w:r>
          </w:p>
        </w:tc>
        <w:tc>
          <w:tcPr>
            <w:tcW w:w="714" w:type="pct"/>
            <w:vAlign w:val="center"/>
          </w:tcPr>
          <w:p w14:paraId="723BC49F" w14:textId="77777777" w:rsidR="0092760B" w:rsidRPr="00027624" w:rsidRDefault="0092760B" w:rsidP="002A2FAE">
            <w:pPr>
              <w:pStyle w:val="TableTextCentered"/>
            </w:pPr>
            <w:r w:rsidRPr="00027624">
              <w:rPr>
                <w:rFonts w:cs="Calibri"/>
              </w:rPr>
              <w:t>69</w:t>
            </w:r>
          </w:p>
        </w:tc>
      </w:tr>
      <w:tr w:rsidR="0092760B" w:rsidRPr="00027624" w14:paraId="67634515" w14:textId="77777777" w:rsidTr="002A2FAE">
        <w:trPr>
          <w:trHeight w:val="270"/>
        </w:trPr>
        <w:tc>
          <w:tcPr>
            <w:tcW w:w="2381" w:type="pct"/>
            <w:vAlign w:val="center"/>
          </w:tcPr>
          <w:p w14:paraId="78D93F41" w14:textId="77777777" w:rsidR="0092760B" w:rsidRPr="00027624" w:rsidRDefault="0092760B" w:rsidP="002A2FAE">
            <w:pPr>
              <w:pStyle w:val="TableTextLeft"/>
              <w:ind w:left="457"/>
            </w:pPr>
            <w:r w:rsidRPr="00027624">
              <w:rPr>
                <w:rFonts w:cs="Calibri"/>
                <w:szCs w:val="18"/>
              </w:rPr>
              <w:t>CPI deflator</w:t>
            </w:r>
          </w:p>
        </w:tc>
        <w:tc>
          <w:tcPr>
            <w:tcW w:w="635" w:type="pct"/>
            <w:vAlign w:val="center"/>
          </w:tcPr>
          <w:p w14:paraId="415C96C7" w14:textId="77777777" w:rsidR="0092760B" w:rsidRPr="00027624" w:rsidRDefault="0092760B" w:rsidP="002A2FAE">
            <w:pPr>
              <w:pStyle w:val="TableTextCentered"/>
            </w:pPr>
            <w:r w:rsidRPr="00027624">
              <w:rPr>
                <w:rFonts w:cs="Calibri"/>
              </w:rPr>
              <w:t>95</w:t>
            </w:r>
          </w:p>
        </w:tc>
        <w:tc>
          <w:tcPr>
            <w:tcW w:w="635" w:type="pct"/>
            <w:vAlign w:val="center"/>
          </w:tcPr>
          <w:p w14:paraId="18111501" w14:textId="77777777" w:rsidR="0092760B" w:rsidRPr="00027624" w:rsidRDefault="0092760B" w:rsidP="002A2FAE">
            <w:pPr>
              <w:pStyle w:val="TableTextCentered"/>
            </w:pPr>
            <w:r w:rsidRPr="00027624">
              <w:rPr>
                <w:rFonts w:cs="Calibri"/>
              </w:rPr>
              <w:t>103</w:t>
            </w:r>
          </w:p>
        </w:tc>
        <w:tc>
          <w:tcPr>
            <w:tcW w:w="635" w:type="pct"/>
            <w:vAlign w:val="center"/>
          </w:tcPr>
          <w:p w14:paraId="625F907E" w14:textId="77777777" w:rsidR="0092760B" w:rsidRPr="00027624" w:rsidRDefault="0092760B" w:rsidP="002A2FAE">
            <w:pPr>
              <w:pStyle w:val="TableTextCentered"/>
            </w:pPr>
            <w:r w:rsidRPr="00027624">
              <w:t>96</w:t>
            </w:r>
          </w:p>
        </w:tc>
        <w:tc>
          <w:tcPr>
            <w:tcW w:w="714" w:type="pct"/>
            <w:vAlign w:val="center"/>
          </w:tcPr>
          <w:p w14:paraId="07371668" w14:textId="77777777" w:rsidR="0092760B" w:rsidRPr="00027624" w:rsidRDefault="0092760B" w:rsidP="002A2FAE">
            <w:pPr>
              <w:pStyle w:val="TableTextCentered"/>
            </w:pPr>
            <w:r w:rsidRPr="00027624">
              <w:t>89</w:t>
            </w:r>
          </w:p>
        </w:tc>
      </w:tr>
    </w:tbl>
    <w:p w14:paraId="665E2466" w14:textId="77777777" w:rsidR="0092760B" w:rsidRPr="00027624" w:rsidRDefault="0092760B" w:rsidP="0007307B">
      <w:pPr>
        <w:pStyle w:val="Caption"/>
        <w:spacing w:after="120"/>
        <w:rPr>
          <w:i w:val="0"/>
          <w:color w:val="auto"/>
        </w:rPr>
      </w:pPr>
      <w:r w:rsidRPr="00027624">
        <w:rPr>
          <w:i w:val="0"/>
          <w:color w:val="auto"/>
        </w:rPr>
        <w:t>Note: All sensitivities assume working life of 27</w:t>
      </w:r>
      <w:r w:rsidR="00A8443E" w:rsidRPr="00027624">
        <w:rPr>
          <w:i w:val="0"/>
          <w:color w:val="auto"/>
        </w:rPr>
        <w:noBreakHyphen/>
      </w:r>
      <w:r w:rsidRPr="00027624">
        <w:rPr>
          <w:i w:val="0"/>
          <w:color w:val="auto"/>
        </w:rPr>
        <w:t>67, starting in 2019</w:t>
      </w:r>
      <w:r w:rsidR="00A8443E" w:rsidRPr="00027624">
        <w:rPr>
          <w:i w:val="0"/>
          <w:color w:val="auto"/>
        </w:rPr>
        <w:noBreakHyphen/>
      </w:r>
      <w:r w:rsidRPr="00027624">
        <w:rPr>
          <w:i w:val="0"/>
          <w:color w:val="auto"/>
        </w:rPr>
        <w:t>20, unless otherwise specified. Income distributions are based on relevant cohorts, for example the median couple is based on the income distribution of couples</w:t>
      </w:r>
      <w:r w:rsidRPr="00027624">
        <w:rPr>
          <w:i w:val="0"/>
        </w:rPr>
        <w:t xml:space="preserve">. </w:t>
      </w:r>
      <w:r w:rsidRPr="00027624">
        <w:rPr>
          <w:i w:val="0"/>
          <w:color w:val="auto"/>
        </w:rPr>
        <w:t>ⁱLow wage</w:t>
      </w:r>
      <w:r w:rsidR="00A8443E" w:rsidRPr="00027624">
        <w:rPr>
          <w:i w:val="0"/>
          <w:color w:val="auto"/>
        </w:rPr>
        <w:noBreakHyphen/>
      </w:r>
      <w:r w:rsidRPr="00027624">
        <w:rPr>
          <w:i w:val="0"/>
          <w:color w:val="auto"/>
        </w:rPr>
        <w:t>growth scenario assumes 3.5 per cent nominal wages growth from 2032</w:t>
      </w:r>
      <w:r w:rsidR="00A8443E" w:rsidRPr="00027624">
        <w:rPr>
          <w:i w:val="0"/>
          <w:color w:val="auto"/>
        </w:rPr>
        <w:noBreakHyphen/>
      </w:r>
      <w:r w:rsidRPr="00027624">
        <w:rPr>
          <w:i w:val="0"/>
          <w:color w:val="auto"/>
        </w:rPr>
        <w:t>33 and 0.5 percentage point lower investment returns. ⁱⁱA once</w:t>
      </w:r>
      <w:r w:rsidR="00A8443E" w:rsidRPr="00027624">
        <w:rPr>
          <w:i w:val="0"/>
          <w:color w:val="auto"/>
        </w:rPr>
        <w:noBreakHyphen/>
      </w:r>
      <w:r w:rsidRPr="00027624">
        <w:rPr>
          <w:i w:val="0"/>
          <w:color w:val="auto"/>
        </w:rPr>
        <w:t xml:space="preserve">off 25 per cent reduction of super balances at retirement that does not recover. ⁱⁱⁱAssumes no longevity product purchase. </w:t>
      </w:r>
      <w:r w:rsidRPr="00027624">
        <w:rPr>
          <w:b/>
          <w:i w:val="0"/>
          <w:color w:val="auto"/>
          <w:vertAlign w:val="superscript"/>
        </w:rPr>
        <w:t>iv</w:t>
      </w:r>
      <w:r w:rsidRPr="00027624">
        <w:rPr>
          <w:i w:val="0"/>
          <w:color w:val="auto"/>
        </w:rPr>
        <w:t>Working</w:t>
      </w:r>
      <w:r w:rsidR="00A8443E" w:rsidRPr="00027624">
        <w:rPr>
          <w:i w:val="0"/>
          <w:color w:val="auto"/>
        </w:rPr>
        <w:noBreakHyphen/>
      </w:r>
      <w:r w:rsidRPr="00027624">
        <w:rPr>
          <w:i w:val="0"/>
          <w:color w:val="auto"/>
        </w:rPr>
        <w:t xml:space="preserve">life income from the central case is used as the replacement rate denominator to ensure consistency between results. </w:t>
      </w:r>
      <w:r w:rsidRPr="00027624">
        <w:rPr>
          <w:rFonts w:cs="Calibri"/>
          <w:b/>
          <w:i w:val="0"/>
          <w:color w:val="auto"/>
          <w:vertAlign w:val="superscript"/>
        </w:rPr>
        <w:t>v</w:t>
      </w:r>
      <w:r w:rsidRPr="00027624">
        <w:rPr>
          <w:i w:val="0"/>
          <w:color w:val="auto"/>
        </w:rPr>
        <w:t>Working</w:t>
      </w:r>
      <w:r w:rsidR="00A8443E" w:rsidRPr="00027624">
        <w:rPr>
          <w:i w:val="0"/>
          <w:color w:val="auto"/>
        </w:rPr>
        <w:noBreakHyphen/>
      </w:r>
      <w:r w:rsidRPr="00027624">
        <w:rPr>
          <w:i w:val="0"/>
          <w:color w:val="auto"/>
        </w:rPr>
        <w:t xml:space="preserve">life income from the central case is used as the replacement rate denominator to ensure consistency between results. People who retire earlier than 67 draw down super from age 60 at the higher of the maximum Age Pension less any income support they receive or minimum legislated rates until age 67. Review drawdowns assumptions used from age 67. Age Pension eligibility is for home owners and couples based on partnered eligibility; all other household types assume the person is single. </w:t>
      </w:r>
      <w:r w:rsidRPr="00027624">
        <w:rPr>
          <w:b/>
          <w:i w:val="0"/>
          <w:color w:val="auto"/>
          <w:vertAlign w:val="superscript"/>
        </w:rPr>
        <w:t>vi</w:t>
      </w:r>
      <w:r w:rsidRPr="00027624">
        <w:rPr>
          <w:i w:val="0"/>
          <w:color w:val="auto"/>
        </w:rPr>
        <w:t>Assumes people start work aged 25 in 2019</w:t>
      </w:r>
      <w:r w:rsidR="00A8443E" w:rsidRPr="00027624">
        <w:rPr>
          <w:i w:val="0"/>
          <w:color w:val="auto"/>
        </w:rPr>
        <w:noBreakHyphen/>
      </w:r>
      <w:r w:rsidRPr="00027624">
        <w:rPr>
          <w:i w:val="0"/>
          <w:color w:val="auto"/>
        </w:rPr>
        <w:t xml:space="preserve">20, and retire at age 60 in 2062. </w:t>
      </w:r>
      <w:r w:rsidRPr="00027624">
        <w:rPr>
          <w:b/>
          <w:i w:val="0"/>
          <w:color w:val="auto"/>
          <w:vertAlign w:val="superscript"/>
        </w:rPr>
        <w:t>vii</w:t>
      </w:r>
      <w:r w:rsidRPr="00027624">
        <w:rPr>
          <w:i w:val="0"/>
          <w:color w:val="auto"/>
        </w:rPr>
        <w:t>Assumes a two</w:t>
      </w:r>
      <w:r w:rsidR="00A8443E" w:rsidRPr="00027624">
        <w:rPr>
          <w:i w:val="0"/>
          <w:color w:val="auto"/>
        </w:rPr>
        <w:noBreakHyphen/>
      </w:r>
      <w:r w:rsidRPr="00027624">
        <w:rPr>
          <w:i w:val="0"/>
          <w:color w:val="auto"/>
        </w:rPr>
        <w:t>year career break for women from ages 30</w:t>
      </w:r>
      <w:r w:rsidR="00A8443E" w:rsidRPr="00027624">
        <w:rPr>
          <w:i w:val="0"/>
          <w:color w:val="auto"/>
        </w:rPr>
        <w:noBreakHyphen/>
      </w:r>
      <w:r w:rsidRPr="00027624">
        <w:rPr>
          <w:i w:val="0"/>
          <w:color w:val="auto"/>
        </w:rPr>
        <w:t xml:space="preserve">31. Women therefore work two years less in these scenarios. </w:t>
      </w:r>
      <w:r w:rsidRPr="00027624">
        <w:rPr>
          <w:rFonts w:cs="Calibri"/>
          <w:b/>
          <w:i w:val="0"/>
          <w:color w:val="auto"/>
          <w:vertAlign w:val="superscript"/>
        </w:rPr>
        <w:t>viii</w:t>
      </w:r>
      <w:r w:rsidRPr="00027624">
        <w:rPr>
          <w:rFonts w:cs="Calibri"/>
          <w:i w:val="0"/>
          <w:color w:val="auto"/>
        </w:rPr>
        <w:t xml:space="preserve">Assumes both members of the couple have shorter working lives. </w:t>
      </w:r>
      <w:r w:rsidRPr="00027624">
        <w:rPr>
          <w:rFonts w:cs="Calibri"/>
          <w:b/>
          <w:i w:val="0"/>
          <w:color w:val="auto"/>
          <w:vertAlign w:val="superscript"/>
        </w:rPr>
        <w:t>ix</w:t>
      </w:r>
      <w:r w:rsidRPr="00027624">
        <w:rPr>
          <w:rFonts w:cs="Calibri"/>
          <w:i w:val="0"/>
          <w:color w:val="auto"/>
        </w:rPr>
        <w:t xml:space="preserve">Coupled early retirement scenarios include: 1) the primary earner retires early, while the secondary earner works to age 67; 2) both members of the couple retire early. </w:t>
      </w:r>
      <w:r w:rsidRPr="00027624">
        <w:rPr>
          <w:rFonts w:cs="Calibri"/>
          <w:b/>
          <w:i w:val="0"/>
          <w:vertAlign w:val="superscript"/>
        </w:rPr>
        <w:t>x</w:t>
      </w:r>
      <w:r w:rsidRPr="00027624">
        <w:rPr>
          <w:i w:val="0"/>
          <w:color w:val="auto"/>
        </w:rPr>
        <w:t>Low SG coverage assumes no SG from ages 35</w:t>
      </w:r>
      <w:r w:rsidR="00A8443E" w:rsidRPr="00027624">
        <w:rPr>
          <w:i w:val="0"/>
          <w:color w:val="auto"/>
        </w:rPr>
        <w:noBreakHyphen/>
      </w:r>
      <w:r w:rsidRPr="00027624">
        <w:rPr>
          <w:i w:val="0"/>
          <w:color w:val="auto"/>
        </w:rPr>
        <w:t>42. Source:</w:t>
      </w:r>
      <w:r w:rsidRPr="00027624">
        <w:rPr>
          <w:i w:val="0"/>
          <w:color w:val="000000"/>
        </w:rPr>
        <w:t xml:space="preserve"> Cameo modelling undertaken for the review.</w:t>
      </w:r>
    </w:p>
    <w:p w14:paraId="44A73ADD" w14:textId="77777777" w:rsidR="0092760B" w:rsidRPr="00027624" w:rsidRDefault="0092760B" w:rsidP="00325A8D">
      <w:pPr>
        <w:pStyle w:val="TableMainHeading"/>
      </w:pPr>
      <w:bookmarkStart w:id="569" w:name="_Ref41053770"/>
      <w:r w:rsidRPr="00027624">
        <w:t>Projected replacement rate</w:t>
      </w:r>
      <w:r w:rsidR="004D79D7">
        <w:t>s</w:t>
      </w:r>
      <w:r w:rsidRPr="00027624">
        <w:t>, average earner sensitivity analysis (60</w:t>
      </w:r>
      <w:r w:rsidRPr="00027624">
        <w:rPr>
          <w:vertAlign w:val="superscript"/>
        </w:rPr>
        <w:t>th</w:t>
      </w:r>
      <w:r w:rsidRPr="00027624">
        <w:t xml:space="preserve"> percentile)</w:t>
      </w:r>
      <w:bookmarkEnd w:id="569"/>
    </w:p>
    <w:tbl>
      <w:tblPr>
        <w:tblW w:w="4923" w:type="pct"/>
        <w:tblInd w:w="1" w:type="dxa"/>
        <w:tblLook w:val="01E0" w:firstRow="1" w:lastRow="1" w:firstColumn="1" w:lastColumn="1" w:noHBand="0" w:noVBand="0"/>
      </w:tblPr>
      <w:tblGrid>
        <w:gridCol w:w="4253"/>
        <w:gridCol w:w="1134"/>
        <w:gridCol w:w="1134"/>
        <w:gridCol w:w="1132"/>
        <w:gridCol w:w="1277"/>
      </w:tblGrid>
      <w:tr w:rsidR="0092760B" w:rsidRPr="00027624" w14:paraId="274F868F" w14:textId="77777777" w:rsidTr="002A2FAE">
        <w:trPr>
          <w:trHeight w:val="270"/>
          <w:tblHeader/>
        </w:trPr>
        <w:tc>
          <w:tcPr>
            <w:tcW w:w="2381" w:type="pct"/>
            <w:shd w:val="clear" w:color="auto" w:fill="E5E5E5"/>
          </w:tcPr>
          <w:p w14:paraId="5E8A1A02" w14:textId="77777777" w:rsidR="0092760B" w:rsidRPr="00027624" w:rsidRDefault="0092760B" w:rsidP="002A2FAE">
            <w:pPr>
              <w:pStyle w:val="TableColumnHeadingCentred"/>
            </w:pPr>
          </w:p>
        </w:tc>
        <w:tc>
          <w:tcPr>
            <w:tcW w:w="635" w:type="pct"/>
            <w:shd w:val="clear" w:color="auto" w:fill="E5E5E5"/>
          </w:tcPr>
          <w:p w14:paraId="7314A3E1" w14:textId="77777777" w:rsidR="0092760B" w:rsidRPr="00027624" w:rsidRDefault="0092760B" w:rsidP="002A2FAE">
            <w:pPr>
              <w:pStyle w:val="TableColumnHeadingCentred"/>
            </w:pPr>
            <w:r w:rsidRPr="00027624">
              <w:t>All employees (per cent)</w:t>
            </w:r>
          </w:p>
        </w:tc>
        <w:tc>
          <w:tcPr>
            <w:tcW w:w="635" w:type="pct"/>
            <w:shd w:val="clear" w:color="auto" w:fill="E5E5E5"/>
          </w:tcPr>
          <w:p w14:paraId="79DFD0D1" w14:textId="77777777" w:rsidR="0092760B" w:rsidRPr="00027624" w:rsidRDefault="0092760B" w:rsidP="002A2FAE">
            <w:pPr>
              <w:pStyle w:val="TableColumnHeadingCentred"/>
            </w:pPr>
            <w:r w:rsidRPr="00027624">
              <w:t>Female only</w:t>
            </w:r>
            <w:r w:rsidRPr="00027624">
              <w:br/>
              <w:t>(per cent)</w:t>
            </w:r>
          </w:p>
        </w:tc>
        <w:tc>
          <w:tcPr>
            <w:tcW w:w="634" w:type="pct"/>
            <w:shd w:val="clear" w:color="auto" w:fill="E5E5E5"/>
          </w:tcPr>
          <w:p w14:paraId="1A5AD94A" w14:textId="77777777" w:rsidR="0092760B" w:rsidRPr="00027624" w:rsidRDefault="0092760B" w:rsidP="002A2FAE">
            <w:pPr>
              <w:pStyle w:val="TableColumnHeadingCentred"/>
            </w:pPr>
            <w:r w:rsidRPr="00027624">
              <w:t>Singles only</w:t>
            </w:r>
            <w:r w:rsidRPr="00027624">
              <w:br/>
              <w:t>(per cent)</w:t>
            </w:r>
          </w:p>
        </w:tc>
        <w:tc>
          <w:tcPr>
            <w:tcW w:w="715" w:type="pct"/>
            <w:shd w:val="clear" w:color="auto" w:fill="E5E5E5"/>
          </w:tcPr>
          <w:p w14:paraId="2A4EACFF" w14:textId="77777777" w:rsidR="0092760B" w:rsidRPr="00027624" w:rsidRDefault="0092760B" w:rsidP="002A2FAE">
            <w:pPr>
              <w:pStyle w:val="TableColumnHeadingCentred"/>
            </w:pPr>
            <w:r w:rsidRPr="00027624">
              <w:t xml:space="preserve">Couples only </w:t>
            </w:r>
            <w:r w:rsidRPr="00027624">
              <w:br/>
              <w:t>(per cent)</w:t>
            </w:r>
          </w:p>
        </w:tc>
      </w:tr>
      <w:tr w:rsidR="0092760B" w:rsidRPr="00027624" w14:paraId="5CB593F5" w14:textId="77777777" w:rsidTr="002A2FAE">
        <w:trPr>
          <w:trHeight w:val="270"/>
        </w:trPr>
        <w:tc>
          <w:tcPr>
            <w:tcW w:w="2381" w:type="pct"/>
            <w:vAlign w:val="center"/>
          </w:tcPr>
          <w:p w14:paraId="30E9E036" w14:textId="77777777" w:rsidR="0092760B" w:rsidRPr="00027624" w:rsidRDefault="0092760B" w:rsidP="002A2FAE">
            <w:pPr>
              <w:pStyle w:val="TableTextLeft"/>
            </w:pPr>
            <w:r w:rsidRPr="00027624">
              <w:rPr>
                <w:rFonts w:cs="Calibri"/>
                <w:b/>
                <w:bCs/>
                <w:szCs w:val="18"/>
              </w:rPr>
              <w:t>Review replacement rate</w:t>
            </w:r>
          </w:p>
        </w:tc>
        <w:tc>
          <w:tcPr>
            <w:tcW w:w="635" w:type="pct"/>
            <w:vAlign w:val="center"/>
          </w:tcPr>
          <w:p w14:paraId="174B3D4E" w14:textId="77777777" w:rsidR="0092760B" w:rsidRPr="00027624" w:rsidRDefault="0092760B" w:rsidP="002A2FAE">
            <w:pPr>
              <w:pStyle w:val="TableTextCentered"/>
            </w:pPr>
            <w:r w:rsidRPr="00027624">
              <w:t>80</w:t>
            </w:r>
          </w:p>
        </w:tc>
        <w:tc>
          <w:tcPr>
            <w:tcW w:w="635" w:type="pct"/>
            <w:vAlign w:val="center"/>
          </w:tcPr>
          <w:p w14:paraId="3C7B89F7" w14:textId="77777777" w:rsidR="0092760B" w:rsidRPr="00027624" w:rsidRDefault="0092760B" w:rsidP="002A2FAE">
            <w:pPr>
              <w:pStyle w:val="TableTextCentered"/>
            </w:pPr>
            <w:r w:rsidRPr="00027624">
              <w:rPr>
                <w:rFonts w:cs="Calibri"/>
              </w:rPr>
              <w:t>86</w:t>
            </w:r>
          </w:p>
        </w:tc>
        <w:tc>
          <w:tcPr>
            <w:tcW w:w="634" w:type="pct"/>
            <w:vAlign w:val="center"/>
          </w:tcPr>
          <w:p w14:paraId="6A689E25" w14:textId="77777777" w:rsidR="0092760B" w:rsidRPr="00027624" w:rsidRDefault="0092760B" w:rsidP="002A2FAE">
            <w:pPr>
              <w:pStyle w:val="TableTextCentered"/>
            </w:pPr>
            <w:r w:rsidRPr="00027624">
              <w:t>81</w:t>
            </w:r>
          </w:p>
        </w:tc>
        <w:tc>
          <w:tcPr>
            <w:tcW w:w="715" w:type="pct"/>
            <w:vAlign w:val="center"/>
          </w:tcPr>
          <w:p w14:paraId="4A87F457" w14:textId="77777777" w:rsidR="0092760B" w:rsidRPr="00027624" w:rsidRDefault="0092760B" w:rsidP="002A2FAE">
            <w:pPr>
              <w:pStyle w:val="TableTextCentered"/>
            </w:pPr>
            <w:r w:rsidRPr="00027624">
              <w:rPr>
                <w:rFonts w:cs="Calibri"/>
              </w:rPr>
              <w:t>77</w:t>
            </w:r>
          </w:p>
        </w:tc>
      </w:tr>
      <w:tr w:rsidR="0092760B" w:rsidRPr="00027624" w14:paraId="385D3C2C" w14:textId="77777777" w:rsidTr="002A2FAE">
        <w:trPr>
          <w:trHeight w:val="270"/>
        </w:trPr>
        <w:tc>
          <w:tcPr>
            <w:tcW w:w="2381" w:type="pct"/>
            <w:vAlign w:val="center"/>
          </w:tcPr>
          <w:p w14:paraId="3CF9FC7D" w14:textId="77777777" w:rsidR="0092760B" w:rsidRPr="00027624" w:rsidRDefault="0092760B" w:rsidP="002A2FAE">
            <w:pPr>
              <w:pStyle w:val="TableTextLeft"/>
              <w:rPr>
                <w:u w:val="single"/>
              </w:rPr>
            </w:pPr>
            <w:r w:rsidRPr="00027624">
              <w:rPr>
                <w:rFonts w:cs="Calibri"/>
                <w:b/>
                <w:bCs/>
                <w:szCs w:val="18"/>
              </w:rPr>
              <w:t>Sensitivity analysis</w:t>
            </w:r>
          </w:p>
        </w:tc>
        <w:tc>
          <w:tcPr>
            <w:tcW w:w="635" w:type="pct"/>
            <w:vAlign w:val="center"/>
          </w:tcPr>
          <w:p w14:paraId="5D58231F" w14:textId="77777777" w:rsidR="0092760B" w:rsidRPr="00027624" w:rsidRDefault="0092760B" w:rsidP="002A2FAE">
            <w:pPr>
              <w:pStyle w:val="TableTextCentered"/>
            </w:pPr>
          </w:p>
        </w:tc>
        <w:tc>
          <w:tcPr>
            <w:tcW w:w="635" w:type="pct"/>
            <w:vAlign w:val="center"/>
          </w:tcPr>
          <w:p w14:paraId="194842B1" w14:textId="77777777" w:rsidR="0092760B" w:rsidRPr="00027624" w:rsidRDefault="0092760B" w:rsidP="002A2FAE">
            <w:pPr>
              <w:pStyle w:val="TableTextCentered"/>
            </w:pPr>
          </w:p>
        </w:tc>
        <w:tc>
          <w:tcPr>
            <w:tcW w:w="634" w:type="pct"/>
            <w:vAlign w:val="center"/>
          </w:tcPr>
          <w:p w14:paraId="04333F65" w14:textId="77777777" w:rsidR="0092760B" w:rsidRPr="00027624" w:rsidRDefault="0092760B" w:rsidP="002A2FAE">
            <w:pPr>
              <w:pStyle w:val="TableTextCentered"/>
            </w:pPr>
          </w:p>
        </w:tc>
        <w:tc>
          <w:tcPr>
            <w:tcW w:w="715" w:type="pct"/>
            <w:vAlign w:val="center"/>
          </w:tcPr>
          <w:p w14:paraId="3D13B6EB" w14:textId="77777777" w:rsidR="0092760B" w:rsidRPr="00027624" w:rsidRDefault="0092760B" w:rsidP="002A2FAE">
            <w:pPr>
              <w:pStyle w:val="TableTextCentered"/>
            </w:pPr>
          </w:p>
        </w:tc>
      </w:tr>
      <w:tr w:rsidR="0092760B" w:rsidRPr="00027624" w14:paraId="25F4FFA6" w14:textId="77777777" w:rsidTr="002A2FAE">
        <w:trPr>
          <w:trHeight w:val="270"/>
        </w:trPr>
        <w:tc>
          <w:tcPr>
            <w:tcW w:w="2381" w:type="pct"/>
            <w:vAlign w:val="center"/>
          </w:tcPr>
          <w:p w14:paraId="6BDA45EA" w14:textId="77777777" w:rsidR="0092760B" w:rsidRPr="00027624" w:rsidRDefault="0092760B" w:rsidP="002A2FAE">
            <w:pPr>
              <w:pStyle w:val="TableTextLeft"/>
            </w:pPr>
            <w:r w:rsidRPr="00027624">
              <w:rPr>
                <w:rFonts w:cs="Calibri"/>
                <w:szCs w:val="18"/>
                <w:u w:val="single"/>
              </w:rPr>
              <w:t>Investment risks</w:t>
            </w:r>
          </w:p>
        </w:tc>
        <w:tc>
          <w:tcPr>
            <w:tcW w:w="635" w:type="pct"/>
            <w:vAlign w:val="center"/>
          </w:tcPr>
          <w:p w14:paraId="2FB90B5C" w14:textId="77777777" w:rsidR="0092760B" w:rsidRPr="00027624" w:rsidRDefault="0092760B" w:rsidP="002A2FAE">
            <w:pPr>
              <w:pStyle w:val="TableTextCentered"/>
            </w:pPr>
          </w:p>
        </w:tc>
        <w:tc>
          <w:tcPr>
            <w:tcW w:w="635" w:type="pct"/>
            <w:vAlign w:val="center"/>
          </w:tcPr>
          <w:p w14:paraId="68F58AE2" w14:textId="77777777" w:rsidR="0092760B" w:rsidRPr="00027624" w:rsidRDefault="0092760B" w:rsidP="002A2FAE">
            <w:pPr>
              <w:pStyle w:val="TableTextCentered"/>
            </w:pPr>
          </w:p>
        </w:tc>
        <w:tc>
          <w:tcPr>
            <w:tcW w:w="634" w:type="pct"/>
            <w:vAlign w:val="center"/>
          </w:tcPr>
          <w:p w14:paraId="2EDDDE5D" w14:textId="77777777" w:rsidR="0092760B" w:rsidRPr="00027624" w:rsidRDefault="0092760B" w:rsidP="002A2FAE">
            <w:pPr>
              <w:pStyle w:val="TableTextCentered"/>
            </w:pPr>
          </w:p>
        </w:tc>
        <w:tc>
          <w:tcPr>
            <w:tcW w:w="715" w:type="pct"/>
            <w:vAlign w:val="center"/>
          </w:tcPr>
          <w:p w14:paraId="10A85C98" w14:textId="77777777" w:rsidR="0092760B" w:rsidRPr="00027624" w:rsidRDefault="0092760B" w:rsidP="002A2FAE">
            <w:pPr>
              <w:pStyle w:val="TableTextCentered"/>
            </w:pPr>
          </w:p>
        </w:tc>
      </w:tr>
      <w:tr w:rsidR="0092760B" w:rsidRPr="00027624" w14:paraId="16EC8CF5" w14:textId="77777777" w:rsidTr="002A2FAE">
        <w:trPr>
          <w:trHeight w:val="270"/>
        </w:trPr>
        <w:tc>
          <w:tcPr>
            <w:tcW w:w="2381" w:type="pct"/>
            <w:vAlign w:val="center"/>
          </w:tcPr>
          <w:p w14:paraId="43004145" w14:textId="77777777" w:rsidR="0092760B" w:rsidRPr="00027624" w:rsidRDefault="0092760B" w:rsidP="002A2FAE">
            <w:pPr>
              <w:pStyle w:val="TableTextLeft"/>
              <w:ind w:left="457"/>
            </w:pPr>
            <w:r w:rsidRPr="00027624">
              <w:rPr>
                <w:rFonts w:cs="Calibri"/>
                <w:szCs w:val="18"/>
              </w:rPr>
              <w:t>Investment returns 1.0 ppt lower</w:t>
            </w:r>
          </w:p>
        </w:tc>
        <w:tc>
          <w:tcPr>
            <w:tcW w:w="635" w:type="pct"/>
            <w:vAlign w:val="center"/>
          </w:tcPr>
          <w:p w14:paraId="7BD4D638" w14:textId="77777777" w:rsidR="0092760B" w:rsidRPr="00027624" w:rsidRDefault="0092760B" w:rsidP="002A2FAE">
            <w:pPr>
              <w:pStyle w:val="TableTextCentered"/>
            </w:pPr>
            <w:r w:rsidRPr="00027624">
              <w:rPr>
                <w:rFonts w:cs="Calibri"/>
              </w:rPr>
              <w:t>73</w:t>
            </w:r>
          </w:p>
        </w:tc>
        <w:tc>
          <w:tcPr>
            <w:tcW w:w="635" w:type="pct"/>
            <w:vAlign w:val="center"/>
          </w:tcPr>
          <w:p w14:paraId="2F2B2099" w14:textId="77777777" w:rsidR="0092760B" w:rsidRPr="00027624" w:rsidRDefault="0092760B" w:rsidP="002A2FAE">
            <w:pPr>
              <w:pStyle w:val="TableTextCentered"/>
            </w:pPr>
            <w:r w:rsidRPr="00027624">
              <w:rPr>
                <w:rFonts w:cs="Calibri"/>
              </w:rPr>
              <w:t>81</w:t>
            </w:r>
          </w:p>
        </w:tc>
        <w:tc>
          <w:tcPr>
            <w:tcW w:w="634" w:type="pct"/>
            <w:vAlign w:val="center"/>
          </w:tcPr>
          <w:p w14:paraId="248E69F8" w14:textId="77777777" w:rsidR="0092760B" w:rsidRPr="00027624" w:rsidRDefault="0092760B" w:rsidP="002A2FAE">
            <w:pPr>
              <w:pStyle w:val="TableTextCentered"/>
            </w:pPr>
            <w:r w:rsidRPr="00027624">
              <w:t>75</w:t>
            </w:r>
          </w:p>
        </w:tc>
        <w:tc>
          <w:tcPr>
            <w:tcW w:w="715" w:type="pct"/>
            <w:vAlign w:val="center"/>
          </w:tcPr>
          <w:p w14:paraId="06842783" w14:textId="77777777" w:rsidR="0092760B" w:rsidRPr="00027624" w:rsidRDefault="0092760B" w:rsidP="002A2FAE">
            <w:pPr>
              <w:pStyle w:val="TableTextCentered"/>
            </w:pPr>
            <w:r w:rsidRPr="00027624">
              <w:rPr>
                <w:rFonts w:cs="Calibri"/>
              </w:rPr>
              <w:t>67</w:t>
            </w:r>
          </w:p>
        </w:tc>
      </w:tr>
      <w:tr w:rsidR="0092760B" w:rsidRPr="00027624" w14:paraId="57BF7479" w14:textId="77777777" w:rsidTr="002A2FAE">
        <w:trPr>
          <w:trHeight w:val="270"/>
        </w:trPr>
        <w:tc>
          <w:tcPr>
            <w:tcW w:w="2381" w:type="pct"/>
            <w:vAlign w:val="center"/>
          </w:tcPr>
          <w:p w14:paraId="0BE8479B" w14:textId="77777777" w:rsidR="0092760B" w:rsidRPr="00027624" w:rsidRDefault="0092760B" w:rsidP="002A2FAE">
            <w:pPr>
              <w:pStyle w:val="TableTextLeft"/>
              <w:ind w:left="457"/>
              <w:rPr>
                <w:u w:val="single"/>
              </w:rPr>
            </w:pPr>
            <w:r w:rsidRPr="00027624">
              <w:rPr>
                <w:rFonts w:cs="Calibri"/>
                <w:szCs w:val="18"/>
              </w:rPr>
              <w:t>Investment returns 0.5 ppt lower</w:t>
            </w:r>
          </w:p>
        </w:tc>
        <w:tc>
          <w:tcPr>
            <w:tcW w:w="635" w:type="pct"/>
            <w:vAlign w:val="center"/>
          </w:tcPr>
          <w:p w14:paraId="690FCC6A" w14:textId="77777777" w:rsidR="0092760B" w:rsidRPr="00027624" w:rsidRDefault="0092760B" w:rsidP="002A2FAE">
            <w:pPr>
              <w:pStyle w:val="TableTextCentered"/>
            </w:pPr>
            <w:r w:rsidRPr="00027624">
              <w:t>76</w:t>
            </w:r>
          </w:p>
        </w:tc>
        <w:tc>
          <w:tcPr>
            <w:tcW w:w="635" w:type="pct"/>
            <w:vAlign w:val="center"/>
          </w:tcPr>
          <w:p w14:paraId="1E21E6CF" w14:textId="77777777" w:rsidR="0092760B" w:rsidRPr="00027624" w:rsidRDefault="0092760B" w:rsidP="002A2FAE">
            <w:pPr>
              <w:pStyle w:val="TableTextCentered"/>
            </w:pPr>
            <w:r w:rsidRPr="00027624">
              <w:rPr>
                <w:rFonts w:cs="Calibri"/>
              </w:rPr>
              <w:t>83</w:t>
            </w:r>
          </w:p>
        </w:tc>
        <w:tc>
          <w:tcPr>
            <w:tcW w:w="634" w:type="pct"/>
            <w:vAlign w:val="center"/>
          </w:tcPr>
          <w:p w14:paraId="15A0670C" w14:textId="77777777" w:rsidR="0092760B" w:rsidRPr="00027624" w:rsidRDefault="0092760B" w:rsidP="002A2FAE">
            <w:pPr>
              <w:pStyle w:val="TableTextCentered"/>
            </w:pPr>
            <w:r w:rsidRPr="00027624">
              <w:t>78</w:t>
            </w:r>
          </w:p>
        </w:tc>
        <w:tc>
          <w:tcPr>
            <w:tcW w:w="715" w:type="pct"/>
            <w:vAlign w:val="center"/>
          </w:tcPr>
          <w:p w14:paraId="459DF4A7" w14:textId="77777777" w:rsidR="0092760B" w:rsidRPr="00027624" w:rsidRDefault="0092760B" w:rsidP="002A2FAE">
            <w:pPr>
              <w:pStyle w:val="TableTextCentered"/>
            </w:pPr>
            <w:r w:rsidRPr="00027624">
              <w:rPr>
                <w:rFonts w:cs="Calibri"/>
              </w:rPr>
              <w:t>72</w:t>
            </w:r>
          </w:p>
        </w:tc>
      </w:tr>
      <w:tr w:rsidR="0092760B" w:rsidRPr="00027624" w14:paraId="6561F7E3" w14:textId="77777777" w:rsidTr="002A2FAE">
        <w:trPr>
          <w:trHeight w:val="270"/>
        </w:trPr>
        <w:tc>
          <w:tcPr>
            <w:tcW w:w="2381" w:type="pct"/>
            <w:vAlign w:val="center"/>
          </w:tcPr>
          <w:p w14:paraId="66E41C92" w14:textId="77777777" w:rsidR="0092760B" w:rsidRPr="00027624" w:rsidRDefault="0092760B" w:rsidP="002A2FAE">
            <w:pPr>
              <w:pStyle w:val="TableTextLeft"/>
              <w:ind w:left="457"/>
              <w:rPr>
                <w:rFonts w:cs="Calibri"/>
                <w:szCs w:val="18"/>
              </w:rPr>
            </w:pPr>
            <w:r w:rsidRPr="00027624">
              <w:rPr>
                <w:rFonts w:cs="Calibri"/>
                <w:szCs w:val="18"/>
              </w:rPr>
              <w:t>Low wage growth and lower investment returns</w:t>
            </w:r>
            <w:r w:rsidRPr="00027624">
              <w:rPr>
                <w:b/>
              </w:rPr>
              <w:t>ⁱ</w:t>
            </w:r>
          </w:p>
        </w:tc>
        <w:tc>
          <w:tcPr>
            <w:tcW w:w="635" w:type="pct"/>
            <w:vAlign w:val="center"/>
          </w:tcPr>
          <w:p w14:paraId="58290C57" w14:textId="77777777" w:rsidR="0092760B" w:rsidRPr="00027624" w:rsidRDefault="0092760B" w:rsidP="002A2FAE">
            <w:pPr>
              <w:pStyle w:val="TableTextCentered"/>
            </w:pPr>
            <w:r w:rsidRPr="00027624">
              <w:t>80</w:t>
            </w:r>
          </w:p>
        </w:tc>
        <w:tc>
          <w:tcPr>
            <w:tcW w:w="635" w:type="pct"/>
            <w:vAlign w:val="center"/>
          </w:tcPr>
          <w:p w14:paraId="39CB56BF" w14:textId="77777777" w:rsidR="0092760B" w:rsidRPr="00027624" w:rsidRDefault="0092760B" w:rsidP="002A2FAE">
            <w:pPr>
              <w:pStyle w:val="TableTextCentered"/>
            </w:pPr>
            <w:r w:rsidRPr="00027624">
              <w:rPr>
                <w:rFonts w:cs="Calibri"/>
              </w:rPr>
              <w:t>87</w:t>
            </w:r>
          </w:p>
        </w:tc>
        <w:tc>
          <w:tcPr>
            <w:tcW w:w="634" w:type="pct"/>
            <w:vAlign w:val="center"/>
          </w:tcPr>
          <w:p w14:paraId="48CBC1DE" w14:textId="77777777" w:rsidR="0092760B" w:rsidRPr="00027624" w:rsidRDefault="0092760B" w:rsidP="002A2FAE">
            <w:pPr>
              <w:pStyle w:val="TableTextCentered"/>
              <w:rPr>
                <w:rFonts w:cs="Calibri"/>
              </w:rPr>
            </w:pPr>
            <w:r w:rsidRPr="00027624">
              <w:t>81</w:t>
            </w:r>
          </w:p>
        </w:tc>
        <w:tc>
          <w:tcPr>
            <w:tcW w:w="715" w:type="pct"/>
            <w:vAlign w:val="center"/>
          </w:tcPr>
          <w:p w14:paraId="4BD92B61" w14:textId="77777777" w:rsidR="0092760B" w:rsidRPr="00027624" w:rsidRDefault="0092760B" w:rsidP="002A2FAE">
            <w:pPr>
              <w:pStyle w:val="TableTextCentered"/>
              <w:rPr>
                <w:rFonts w:cs="Calibri"/>
              </w:rPr>
            </w:pPr>
            <w:r w:rsidRPr="00027624">
              <w:rPr>
                <w:rFonts w:cs="Calibri"/>
              </w:rPr>
              <w:t>76</w:t>
            </w:r>
          </w:p>
        </w:tc>
      </w:tr>
      <w:tr w:rsidR="0092760B" w:rsidRPr="00027624" w14:paraId="58BFB778" w14:textId="77777777" w:rsidTr="002A2FAE">
        <w:trPr>
          <w:trHeight w:val="270"/>
        </w:trPr>
        <w:tc>
          <w:tcPr>
            <w:tcW w:w="2381" w:type="pct"/>
            <w:vAlign w:val="center"/>
          </w:tcPr>
          <w:p w14:paraId="7A6F9C86" w14:textId="77777777" w:rsidR="0092760B" w:rsidRPr="00027624" w:rsidRDefault="0092760B" w:rsidP="002A2FAE">
            <w:pPr>
              <w:pStyle w:val="TableTextLeft"/>
              <w:ind w:left="457"/>
            </w:pPr>
            <w:r w:rsidRPr="00027624">
              <w:rPr>
                <w:rFonts w:cs="Calibri"/>
                <w:szCs w:val="18"/>
              </w:rPr>
              <w:t>25</w:t>
            </w:r>
            <w:r w:rsidR="004D79D7">
              <w:rPr>
                <w:rFonts w:cs="Calibri"/>
                <w:szCs w:val="18"/>
              </w:rPr>
              <w:t xml:space="preserve"> per cent</w:t>
            </w:r>
            <w:r w:rsidRPr="00027624">
              <w:rPr>
                <w:rFonts w:cs="Calibri"/>
                <w:szCs w:val="18"/>
              </w:rPr>
              <w:t xml:space="preserve"> investment shock</w:t>
            </w:r>
            <w:r w:rsidRPr="00027624">
              <w:rPr>
                <w:b/>
              </w:rPr>
              <w:t>ⁱⁱ</w:t>
            </w:r>
          </w:p>
        </w:tc>
        <w:tc>
          <w:tcPr>
            <w:tcW w:w="635" w:type="pct"/>
            <w:vAlign w:val="center"/>
          </w:tcPr>
          <w:p w14:paraId="26D4B173" w14:textId="77777777" w:rsidR="0092760B" w:rsidRPr="00027624" w:rsidRDefault="0092760B" w:rsidP="002A2FAE">
            <w:pPr>
              <w:pStyle w:val="TableTextCentered"/>
            </w:pPr>
            <w:r w:rsidRPr="00027624">
              <w:t>73</w:t>
            </w:r>
          </w:p>
        </w:tc>
        <w:tc>
          <w:tcPr>
            <w:tcW w:w="635" w:type="pct"/>
            <w:vAlign w:val="center"/>
          </w:tcPr>
          <w:p w14:paraId="48A84A7D" w14:textId="77777777" w:rsidR="0092760B" w:rsidRPr="00027624" w:rsidRDefault="0092760B" w:rsidP="002A2FAE">
            <w:pPr>
              <w:pStyle w:val="TableTextCentered"/>
            </w:pPr>
            <w:r w:rsidRPr="00027624">
              <w:rPr>
                <w:rFonts w:cs="Calibri"/>
              </w:rPr>
              <w:t>82</w:t>
            </w:r>
          </w:p>
        </w:tc>
        <w:tc>
          <w:tcPr>
            <w:tcW w:w="634" w:type="pct"/>
            <w:vAlign w:val="center"/>
          </w:tcPr>
          <w:p w14:paraId="7B3E82B6" w14:textId="77777777" w:rsidR="0092760B" w:rsidRPr="00027624" w:rsidRDefault="0092760B" w:rsidP="002A2FAE">
            <w:pPr>
              <w:pStyle w:val="TableTextCentered"/>
            </w:pPr>
            <w:r w:rsidRPr="00027624">
              <w:t>76</w:t>
            </w:r>
          </w:p>
        </w:tc>
        <w:tc>
          <w:tcPr>
            <w:tcW w:w="715" w:type="pct"/>
            <w:vAlign w:val="center"/>
          </w:tcPr>
          <w:p w14:paraId="28297023" w14:textId="77777777" w:rsidR="0092760B" w:rsidRPr="00027624" w:rsidRDefault="0092760B" w:rsidP="002A2FAE">
            <w:pPr>
              <w:pStyle w:val="TableTextCentered"/>
            </w:pPr>
            <w:r w:rsidRPr="00027624">
              <w:rPr>
                <w:rFonts w:cs="Calibri"/>
              </w:rPr>
              <w:t>68</w:t>
            </w:r>
          </w:p>
        </w:tc>
      </w:tr>
      <w:tr w:rsidR="0092760B" w:rsidRPr="00027624" w14:paraId="64CEBAC4" w14:textId="77777777" w:rsidTr="002A2FAE">
        <w:trPr>
          <w:trHeight w:val="270"/>
        </w:trPr>
        <w:tc>
          <w:tcPr>
            <w:tcW w:w="2381" w:type="pct"/>
            <w:vAlign w:val="center"/>
          </w:tcPr>
          <w:p w14:paraId="4DEE5EBE" w14:textId="77777777" w:rsidR="0092760B" w:rsidRPr="00027624" w:rsidRDefault="0092760B" w:rsidP="002A2FAE">
            <w:pPr>
              <w:pStyle w:val="TableTextLeft"/>
              <w:rPr>
                <w:u w:val="single"/>
              </w:rPr>
            </w:pPr>
            <w:r w:rsidRPr="00027624">
              <w:rPr>
                <w:rFonts w:cs="Calibri"/>
                <w:szCs w:val="18"/>
                <w:u w:val="single"/>
              </w:rPr>
              <w:lastRenderedPageBreak/>
              <w:t>Drawdown strategies</w:t>
            </w:r>
          </w:p>
        </w:tc>
        <w:tc>
          <w:tcPr>
            <w:tcW w:w="635" w:type="pct"/>
            <w:vAlign w:val="center"/>
          </w:tcPr>
          <w:p w14:paraId="4CB58B4B" w14:textId="77777777" w:rsidR="0092760B" w:rsidRPr="00027624" w:rsidRDefault="0092760B" w:rsidP="002A2FAE">
            <w:pPr>
              <w:pStyle w:val="TableTextCentered"/>
            </w:pPr>
          </w:p>
        </w:tc>
        <w:tc>
          <w:tcPr>
            <w:tcW w:w="635" w:type="pct"/>
            <w:vAlign w:val="center"/>
          </w:tcPr>
          <w:p w14:paraId="6BADA824" w14:textId="77777777" w:rsidR="0092760B" w:rsidRPr="00027624" w:rsidRDefault="0092760B" w:rsidP="002A2FAE">
            <w:pPr>
              <w:pStyle w:val="TableTextCentered"/>
            </w:pPr>
          </w:p>
        </w:tc>
        <w:tc>
          <w:tcPr>
            <w:tcW w:w="634" w:type="pct"/>
            <w:vAlign w:val="center"/>
          </w:tcPr>
          <w:p w14:paraId="00185C80" w14:textId="77777777" w:rsidR="0092760B" w:rsidRPr="00027624" w:rsidRDefault="0092760B" w:rsidP="002A2FAE">
            <w:pPr>
              <w:pStyle w:val="TableTextCentered"/>
            </w:pPr>
          </w:p>
        </w:tc>
        <w:tc>
          <w:tcPr>
            <w:tcW w:w="715" w:type="pct"/>
            <w:vAlign w:val="center"/>
          </w:tcPr>
          <w:p w14:paraId="41A151DF" w14:textId="77777777" w:rsidR="0092760B" w:rsidRPr="00027624" w:rsidRDefault="0092760B" w:rsidP="002A2FAE">
            <w:pPr>
              <w:pStyle w:val="TableTextCentered"/>
            </w:pPr>
          </w:p>
        </w:tc>
      </w:tr>
      <w:tr w:rsidR="0092760B" w:rsidRPr="00027624" w14:paraId="421E69E3" w14:textId="77777777" w:rsidTr="002A2FAE">
        <w:trPr>
          <w:trHeight w:val="270"/>
        </w:trPr>
        <w:tc>
          <w:tcPr>
            <w:tcW w:w="2381" w:type="pct"/>
            <w:vAlign w:val="center"/>
          </w:tcPr>
          <w:p w14:paraId="69DFE81D" w14:textId="77777777" w:rsidR="0092760B" w:rsidRPr="00027624" w:rsidRDefault="0092760B" w:rsidP="002A2FAE">
            <w:pPr>
              <w:pStyle w:val="TableTextLeft"/>
              <w:ind w:left="457"/>
            </w:pPr>
            <w:r w:rsidRPr="00027624">
              <w:rPr>
                <w:rFonts w:cs="Calibri"/>
                <w:szCs w:val="18"/>
              </w:rPr>
              <w:t>Minimum drawdowns</w:t>
            </w:r>
            <w:r w:rsidRPr="00027624">
              <w:rPr>
                <w:b/>
              </w:rPr>
              <w:t>ⁱⁱⁱ</w:t>
            </w:r>
          </w:p>
        </w:tc>
        <w:tc>
          <w:tcPr>
            <w:tcW w:w="635" w:type="pct"/>
            <w:vAlign w:val="center"/>
          </w:tcPr>
          <w:p w14:paraId="4DD8847D" w14:textId="77777777" w:rsidR="0092760B" w:rsidRPr="00027624" w:rsidRDefault="0092760B" w:rsidP="002A2FAE">
            <w:pPr>
              <w:pStyle w:val="TableTextCentered"/>
            </w:pPr>
            <w:r w:rsidRPr="00027624">
              <w:t>60</w:t>
            </w:r>
          </w:p>
        </w:tc>
        <w:tc>
          <w:tcPr>
            <w:tcW w:w="635" w:type="pct"/>
            <w:vAlign w:val="center"/>
          </w:tcPr>
          <w:p w14:paraId="065F9517" w14:textId="77777777" w:rsidR="0092760B" w:rsidRPr="00027624" w:rsidRDefault="0092760B" w:rsidP="002A2FAE">
            <w:pPr>
              <w:pStyle w:val="TableTextCentered"/>
            </w:pPr>
            <w:r w:rsidRPr="00027624">
              <w:t>69</w:t>
            </w:r>
          </w:p>
        </w:tc>
        <w:tc>
          <w:tcPr>
            <w:tcW w:w="634" w:type="pct"/>
            <w:vAlign w:val="center"/>
          </w:tcPr>
          <w:p w14:paraId="1BE7597E" w14:textId="77777777" w:rsidR="0092760B" w:rsidRPr="00027624" w:rsidRDefault="0092760B" w:rsidP="002A2FAE">
            <w:pPr>
              <w:pStyle w:val="TableTextCentered"/>
            </w:pPr>
            <w:r w:rsidRPr="00027624">
              <w:t>62</w:t>
            </w:r>
          </w:p>
        </w:tc>
        <w:tc>
          <w:tcPr>
            <w:tcW w:w="715" w:type="pct"/>
            <w:vAlign w:val="center"/>
          </w:tcPr>
          <w:p w14:paraId="1560EADA" w14:textId="77777777" w:rsidR="0092760B" w:rsidRPr="00027624" w:rsidRDefault="0092760B" w:rsidP="002A2FAE">
            <w:pPr>
              <w:pStyle w:val="TableTextCentered"/>
            </w:pPr>
            <w:r w:rsidRPr="00027624">
              <w:t>59</w:t>
            </w:r>
          </w:p>
        </w:tc>
      </w:tr>
      <w:tr w:rsidR="0092760B" w:rsidRPr="00027624" w14:paraId="3BAA8C0B" w14:textId="77777777" w:rsidTr="002A2FAE">
        <w:trPr>
          <w:trHeight w:val="270"/>
        </w:trPr>
        <w:tc>
          <w:tcPr>
            <w:tcW w:w="2381" w:type="pct"/>
            <w:vAlign w:val="center"/>
          </w:tcPr>
          <w:p w14:paraId="23D10840" w14:textId="77777777" w:rsidR="0092760B" w:rsidRPr="00027624" w:rsidRDefault="0092760B" w:rsidP="002A2FAE">
            <w:pPr>
              <w:pStyle w:val="TableTextLeft"/>
              <w:ind w:left="457"/>
            </w:pPr>
            <w:r w:rsidRPr="00027624">
              <w:rPr>
                <w:rFonts w:cs="Calibri"/>
                <w:szCs w:val="18"/>
              </w:rPr>
              <w:t>Observed drawdowns</w:t>
            </w:r>
            <w:r w:rsidRPr="00027624">
              <w:rPr>
                <w:b/>
              </w:rPr>
              <w:t>ⁱⁱⁱ</w:t>
            </w:r>
          </w:p>
        </w:tc>
        <w:tc>
          <w:tcPr>
            <w:tcW w:w="635" w:type="pct"/>
            <w:vAlign w:val="center"/>
          </w:tcPr>
          <w:p w14:paraId="25365079" w14:textId="77777777" w:rsidR="0092760B" w:rsidRPr="00027624" w:rsidRDefault="0092760B" w:rsidP="002A2FAE">
            <w:pPr>
              <w:pStyle w:val="TableTextCentered"/>
            </w:pPr>
            <w:r w:rsidRPr="00027624">
              <w:t>66</w:t>
            </w:r>
          </w:p>
        </w:tc>
        <w:tc>
          <w:tcPr>
            <w:tcW w:w="635" w:type="pct"/>
            <w:vAlign w:val="center"/>
          </w:tcPr>
          <w:p w14:paraId="2FBA07E7" w14:textId="77777777" w:rsidR="0092760B" w:rsidRPr="00027624" w:rsidRDefault="0092760B" w:rsidP="002A2FAE">
            <w:pPr>
              <w:pStyle w:val="TableTextCentered"/>
            </w:pPr>
            <w:r w:rsidRPr="00027624">
              <w:t>n/a</w:t>
            </w:r>
          </w:p>
        </w:tc>
        <w:tc>
          <w:tcPr>
            <w:tcW w:w="634" w:type="pct"/>
            <w:vAlign w:val="center"/>
          </w:tcPr>
          <w:p w14:paraId="0ECDE982" w14:textId="77777777" w:rsidR="0092760B" w:rsidRPr="00027624" w:rsidRDefault="0092760B" w:rsidP="002A2FAE">
            <w:pPr>
              <w:pStyle w:val="TableTextCentered"/>
            </w:pPr>
            <w:r w:rsidRPr="00027624">
              <w:t>n/a</w:t>
            </w:r>
          </w:p>
        </w:tc>
        <w:tc>
          <w:tcPr>
            <w:tcW w:w="715" w:type="pct"/>
            <w:vAlign w:val="center"/>
          </w:tcPr>
          <w:p w14:paraId="0C83E9BC" w14:textId="77777777" w:rsidR="0092760B" w:rsidRPr="00027624" w:rsidRDefault="0092760B" w:rsidP="002A2FAE">
            <w:pPr>
              <w:pStyle w:val="TableTextCentered"/>
            </w:pPr>
            <w:r w:rsidRPr="00027624">
              <w:t>n/a</w:t>
            </w:r>
          </w:p>
        </w:tc>
      </w:tr>
      <w:tr w:rsidR="0092760B" w:rsidRPr="00027624" w14:paraId="7115AE90" w14:textId="77777777" w:rsidTr="002A2FAE">
        <w:trPr>
          <w:trHeight w:val="270"/>
        </w:trPr>
        <w:tc>
          <w:tcPr>
            <w:tcW w:w="2381" w:type="pct"/>
            <w:vAlign w:val="center"/>
          </w:tcPr>
          <w:p w14:paraId="18CB450F" w14:textId="77777777" w:rsidR="0092760B" w:rsidRPr="00027624" w:rsidRDefault="0092760B" w:rsidP="002A2FAE">
            <w:pPr>
              <w:pStyle w:val="TableTextLeft"/>
            </w:pPr>
            <w:r w:rsidRPr="00027624">
              <w:rPr>
                <w:rFonts w:cs="Calibri"/>
                <w:szCs w:val="18"/>
                <w:u w:val="single"/>
              </w:rPr>
              <w:t>Voluntary saving</w:t>
            </w:r>
            <w:r w:rsidRPr="00027624">
              <w:rPr>
                <w:rFonts w:cs="Calibri"/>
                <w:b/>
                <w:szCs w:val="18"/>
                <w:vertAlign w:val="superscript"/>
              </w:rPr>
              <w:t>iv</w:t>
            </w:r>
          </w:p>
        </w:tc>
        <w:tc>
          <w:tcPr>
            <w:tcW w:w="635" w:type="pct"/>
            <w:vAlign w:val="center"/>
          </w:tcPr>
          <w:p w14:paraId="492519BB" w14:textId="77777777" w:rsidR="0092760B" w:rsidRPr="00027624" w:rsidRDefault="0092760B" w:rsidP="002A2FAE">
            <w:pPr>
              <w:pStyle w:val="TableTextCentered"/>
            </w:pPr>
          </w:p>
        </w:tc>
        <w:tc>
          <w:tcPr>
            <w:tcW w:w="635" w:type="pct"/>
            <w:vAlign w:val="center"/>
          </w:tcPr>
          <w:p w14:paraId="2F58E723" w14:textId="77777777" w:rsidR="0092760B" w:rsidRPr="00027624" w:rsidRDefault="0092760B" w:rsidP="002A2FAE">
            <w:pPr>
              <w:pStyle w:val="TableTextCentered"/>
            </w:pPr>
          </w:p>
        </w:tc>
        <w:tc>
          <w:tcPr>
            <w:tcW w:w="634" w:type="pct"/>
            <w:vAlign w:val="center"/>
          </w:tcPr>
          <w:p w14:paraId="00A7F925" w14:textId="77777777" w:rsidR="0092760B" w:rsidRPr="00027624" w:rsidRDefault="0092760B" w:rsidP="002A2FAE">
            <w:pPr>
              <w:pStyle w:val="TableTextCentered"/>
            </w:pPr>
          </w:p>
        </w:tc>
        <w:tc>
          <w:tcPr>
            <w:tcW w:w="715" w:type="pct"/>
            <w:vAlign w:val="center"/>
          </w:tcPr>
          <w:p w14:paraId="470DA23C" w14:textId="77777777" w:rsidR="0092760B" w:rsidRPr="00027624" w:rsidRDefault="0092760B" w:rsidP="002A2FAE">
            <w:pPr>
              <w:pStyle w:val="TableTextCentered"/>
            </w:pPr>
          </w:p>
        </w:tc>
      </w:tr>
      <w:tr w:rsidR="0092760B" w:rsidRPr="00027624" w14:paraId="21049621" w14:textId="77777777" w:rsidTr="002A2FAE">
        <w:trPr>
          <w:trHeight w:val="270"/>
        </w:trPr>
        <w:tc>
          <w:tcPr>
            <w:tcW w:w="2381" w:type="pct"/>
            <w:vAlign w:val="center"/>
          </w:tcPr>
          <w:p w14:paraId="67D6BCA7" w14:textId="77777777" w:rsidR="0092760B" w:rsidRPr="00027624" w:rsidRDefault="0092760B" w:rsidP="002A2FAE">
            <w:pPr>
              <w:pStyle w:val="TableTextLeft"/>
              <w:ind w:left="457"/>
              <w:rPr>
                <w:u w:val="single"/>
              </w:rPr>
            </w:pPr>
            <w:r w:rsidRPr="00027624">
              <w:rPr>
                <w:rFonts w:cs="Calibri"/>
                <w:szCs w:val="18"/>
              </w:rPr>
              <w:t>No non</w:t>
            </w:r>
            <w:r w:rsidR="00A8443E" w:rsidRPr="00027624">
              <w:rPr>
                <w:rFonts w:cs="Calibri"/>
                <w:szCs w:val="18"/>
              </w:rPr>
              <w:noBreakHyphen/>
            </w:r>
            <w:r w:rsidRPr="00027624">
              <w:rPr>
                <w:rFonts w:cs="Calibri"/>
                <w:szCs w:val="18"/>
              </w:rPr>
              <w:t>super savings</w:t>
            </w:r>
          </w:p>
        </w:tc>
        <w:tc>
          <w:tcPr>
            <w:tcW w:w="635" w:type="pct"/>
            <w:vAlign w:val="center"/>
          </w:tcPr>
          <w:p w14:paraId="341033B3" w14:textId="77777777" w:rsidR="0092760B" w:rsidRPr="00027624" w:rsidRDefault="0092760B" w:rsidP="002A2FAE">
            <w:pPr>
              <w:pStyle w:val="TableTextCentered"/>
            </w:pPr>
            <w:r w:rsidRPr="00027624">
              <w:t>80</w:t>
            </w:r>
          </w:p>
        </w:tc>
        <w:tc>
          <w:tcPr>
            <w:tcW w:w="635" w:type="pct"/>
            <w:vAlign w:val="center"/>
          </w:tcPr>
          <w:p w14:paraId="6C9C3C7B" w14:textId="77777777" w:rsidR="0092760B" w:rsidRPr="00027624" w:rsidRDefault="0092760B" w:rsidP="002A2FAE">
            <w:pPr>
              <w:pStyle w:val="TableTextCentered"/>
            </w:pPr>
            <w:r w:rsidRPr="00027624">
              <w:t>87</w:t>
            </w:r>
          </w:p>
        </w:tc>
        <w:tc>
          <w:tcPr>
            <w:tcW w:w="634" w:type="pct"/>
            <w:vAlign w:val="center"/>
          </w:tcPr>
          <w:p w14:paraId="40C92E73" w14:textId="77777777" w:rsidR="0092760B" w:rsidRPr="00027624" w:rsidRDefault="0092760B" w:rsidP="002A2FAE">
            <w:pPr>
              <w:pStyle w:val="TableTextCentered"/>
            </w:pPr>
            <w:r w:rsidRPr="00027624">
              <w:t>81</w:t>
            </w:r>
          </w:p>
        </w:tc>
        <w:tc>
          <w:tcPr>
            <w:tcW w:w="715" w:type="pct"/>
            <w:vAlign w:val="center"/>
          </w:tcPr>
          <w:p w14:paraId="0107BDAF" w14:textId="77777777" w:rsidR="0092760B" w:rsidRPr="00027624" w:rsidRDefault="0092760B" w:rsidP="002A2FAE">
            <w:pPr>
              <w:pStyle w:val="TableTextCentered"/>
            </w:pPr>
            <w:r w:rsidRPr="00027624">
              <w:t>76</w:t>
            </w:r>
          </w:p>
        </w:tc>
      </w:tr>
      <w:tr w:rsidR="0092760B" w:rsidRPr="00027624" w14:paraId="22D0FAB6" w14:textId="77777777" w:rsidTr="002A2FAE">
        <w:trPr>
          <w:trHeight w:val="270"/>
        </w:trPr>
        <w:tc>
          <w:tcPr>
            <w:tcW w:w="2381" w:type="pct"/>
            <w:vAlign w:val="center"/>
          </w:tcPr>
          <w:p w14:paraId="48002244" w14:textId="77777777" w:rsidR="0092760B" w:rsidRPr="00027624" w:rsidRDefault="0092760B" w:rsidP="002A2FAE">
            <w:pPr>
              <w:pStyle w:val="TableTextLeft"/>
              <w:ind w:left="457"/>
            </w:pPr>
            <w:r w:rsidRPr="00027624">
              <w:rPr>
                <w:rFonts w:cs="Calibri"/>
                <w:szCs w:val="18"/>
              </w:rPr>
              <w:t>No salary sacrificing</w:t>
            </w:r>
          </w:p>
        </w:tc>
        <w:tc>
          <w:tcPr>
            <w:tcW w:w="635" w:type="pct"/>
            <w:vAlign w:val="center"/>
          </w:tcPr>
          <w:p w14:paraId="482F6B79" w14:textId="77777777" w:rsidR="0092760B" w:rsidRPr="00027624" w:rsidRDefault="0092760B" w:rsidP="002A2FAE">
            <w:pPr>
              <w:pStyle w:val="TableTextCentered"/>
            </w:pPr>
            <w:r w:rsidRPr="00027624">
              <w:t>76</w:t>
            </w:r>
          </w:p>
        </w:tc>
        <w:tc>
          <w:tcPr>
            <w:tcW w:w="635" w:type="pct"/>
            <w:vAlign w:val="center"/>
          </w:tcPr>
          <w:p w14:paraId="5E3ADE2B" w14:textId="77777777" w:rsidR="0092760B" w:rsidRPr="00027624" w:rsidRDefault="0092760B" w:rsidP="002A2FAE">
            <w:pPr>
              <w:pStyle w:val="TableTextCentered"/>
            </w:pPr>
            <w:r w:rsidRPr="00027624">
              <w:t>84</w:t>
            </w:r>
          </w:p>
        </w:tc>
        <w:tc>
          <w:tcPr>
            <w:tcW w:w="634" w:type="pct"/>
            <w:vAlign w:val="center"/>
          </w:tcPr>
          <w:p w14:paraId="1369EFF7" w14:textId="77777777" w:rsidR="0092760B" w:rsidRPr="00027624" w:rsidRDefault="0092760B" w:rsidP="002A2FAE">
            <w:pPr>
              <w:pStyle w:val="TableTextCentered"/>
            </w:pPr>
            <w:r w:rsidRPr="00027624">
              <w:t>79</w:t>
            </w:r>
          </w:p>
        </w:tc>
        <w:tc>
          <w:tcPr>
            <w:tcW w:w="715" w:type="pct"/>
            <w:vAlign w:val="center"/>
          </w:tcPr>
          <w:p w14:paraId="62279020" w14:textId="77777777" w:rsidR="0092760B" w:rsidRPr="00027624" w:rsidRDefault="0092760B" w:rsidP="002A2FAE">
            <w:pPr>
              <w:pStyle w:val="TableTextCentered"/>
            </w:pPr>
            <w:r w:rsidRPr="00027624">
              <w:t>71</w:t>
            </w:r>
          </w:p>
        </w:tc>
      </w:tr>
      <w:tr w:rsidR="0092760B" w:rsidRPr="00027624" w14:paraId="5C2B3BAE" w14:textId="77777777" w:rsidTr="002A2FAE">
        <w:trPr>
          <w:trHeight w:val="270"/>
        </w:trPr>
        <w:tc>
          <w:tcPr>
            <w:tcW w:w="2381" w:type="pct"/>
            <w:vAlign w:val="center"/>
          </w:tcPr>
          <w:p w14:paraId="462EDED9" w14:textId="77777777" w:rsidR="0092760B" w:rsidRPr="00027624" w:rsidRDefault="0092760B" w:rsidP="002A2FAE">
            <w:pPr>
              <w:pStyle w:val="TableTextLeft"/>
              <w:ind w:left="457"/>
            </w:pPr>
            <w:r w:rsidRPr="00027624">
              <w:rPr>
                <w:rFonts w:cs="Calibri"/>
                <w:szCs w:val="18"/>
              </w:rPr>
              <w:t>No non</w:t>
            </w:r>
            <w:r w:rsidR="00A8443E" w:rsidRPr="00027624">
              <w:rPr>
                <w:rFonts w:cs="Calibri"/>
                <w:szCs w:val="18"/>
              </w:rPr>
              <w:noBreakHyphen/>
            </w:r>
            <w:r w:rsidRPr="00027624">
              <w:rPr>
                <w:rFonts w:cs="Calibri"/>
                <w:szCs w:val="18"/>
              </w:rPr>
              <w:t>super or salary sacrificing</w:t>
            </w:r>
          </w:p>
        </w:tc>
        <w:tc>
          <w:tcPr>
            <w:tcW w:w="635" w:type="pct"/>
            <w:vAlign w:val="center"/>
          </w:tcPr>
          <w:p w14:paraId="0F2816A8" w14:textId="77777777" w:rsidR="0092760B" w:rsidRPr="00027624" w:rsidRDefault="0092760B" w:rsidP="002A2FAE">
            <w:pPr>
              <w:pStyle w:val="TableTextCentered"/>
            </w:pPr>
            <w:r w:rsidRPr="00027624">
              <w:t>77</w:t>
            </w:r>
          </w:p>
        </w:tc>
        <w:tc>
          <w:tcPr>
            <w:tcW w:w="635" w:type="pct"/>
            <w:vAlign w:val="center"/>
          </w:tcPr>
          <w:p w14:paraId="0FF9ED1F" w14:textId="77777777" w:rsidR="0092760B" w:rsidRPr="00027624" w:rsidRDefault="0092760B" w:rsidP="002A2FAE">
            <w:pPr>
              <w:pStyle w:val="TableTextCentered"/>
            </w:pPr>
            <w:r w:rsidRPr="00027624">
              <w:t>84</w:t>
            </w:r>
          </w:p>
        </w:tc>
        <w:tc>
          <w:tcPr>
            <w:tcW w:w="634" w:type="pct"/>
            <w:vAlign w:val="center"/>
          </w:tcPr>
          <w:p w14:paraId="020A79AF" w14:textId="77777777" w:rsidR="0092760B" w:rsidRPr="00027624" w:rsidRDefault="0092760B" w:rsidP="002A2FAE">
            <w:pPr>
              <w:pStyle w:val="TableTextCentered"/>
            </w:pPr>
            <w:r w:rsidRPr="00027624">
              <w:t>80</w:t>
            </w:r>
          </w:p>
        </w:tc>
        <w:tc>
          <w:tcPr>
            <w:tcW w:w="715" w:type="pct"/>
            <w:vAlign w:val="center"/>
          </w:tcPr>
          <w:p w14:paraId="66EAE39F" w14:textId="77777777" w:rsidR="0092760B" w:rsidRPr="00027624" w:rsidRDefault="0092760B" w:rsidP="002A2FAE">
            <w:pPr>
              <w:pStyle w:val="TableTextCentered"/>
            </w:pPr>
            <w:r w:rsidRPr="00027624">
              <w:t>70</w:t>
            </w:r>
          </w:p>
        </w:tc>
      </w:tr>
      <w:tr w:rsidR="0092760B" w:rsidRPr="00027624" w14:paraId="7C9C155C" w14:textId="77777777" w:rsidTr="002A2FAE">
        <w:trPr>
          <w:trHeight w:val="270"/>
        </w:trPr>
        <w:tc>
          <w:tcPr>
            <w:tcW w:w="2381" w:type="pct"/>
            <w:vAlign w:val="center"/>
          </w:tcPr>
          <w:p w14:paraId="019D68CB" w14:textId="77777777" w:rsidR="0092760B" w:rsidRPr="00027624" w:rsidRDefault="0092760B" w:rsidP="002A2FAE">
            <w:pPr>
              <w:pStyle w:val="TableTextLeft"/>
            </w:pPr>
            <w:r w:rsidRPr="00027624">
              <w:rPr>
                <w:rFonts w:cs="Calibri"/>
                <w:szCs w:val="18"/>
                <w:u w:val="single"/>
              </w:rPr>
              <w:t>Working career and longevity</w:t>
            </w:r>
            <w:r w:rsidRPr="00027624">
              <w:rPr>
                <w:rFonts w:cs="Calibri"/>
                <w:b/>
                <w:szCs w:val="18"/>
                <w:vertAlign w:val="superscript"/>
              </w:rPr>
              <w:t>v</w:t>
            </w:r>
          </w:p>
        </w:tc>
        <w:tc>
          <w:tcPr>
            <w:tcW w:w="635" w:type="pct"/>
            <w:vAlign w:val="center"/>
          </w:tcPr>
          <w:p w14:paraId="0EC9DA6A" w14:textId="77777777" w:rsidR="0092760B" w:rsidRPr="00027624" w:rsidRDefault="0092760B" w:rsidP="002A2FAE">
            <w:pPr>
              <w:pStyle w:val="TableTextCentered"/>
            </w:pPr>
          </w:p>
        </w:tc>
        <w:tc>
          <w:tcPr>
            <w:tcW w:w="635" w:type="pct"/>
            <w:vAlign w:val="center"/>
          </w:tcPr>
          <w:p w14:paraId="70CCBD7E" w14:textId="77777777" w:rsidR="0092760B" w:rsidRPr="00027624" w:rsidRDefault="0092760B" w:rsidP="002A2FAE">
            <w:pPr>
              <w:pStyle w:val="TableTextCentered"/>
            </w:pPr>
          </w:p>
        </w:tc>
        <w:tc>
          <w:tcPr>
            <w:tcW w:w="634" w:type="pct"/>
            <w:vAlign w:val="center"/>
          </w:tcPr>
          <w:p w14:paraId="798E7DD3" w14:textId="77777777" w:rsidR="0092760B" w:rsidRPr="00027624" w:rsidRDefault="0092760B" w:rsidP="002A2FAE">
            <w:pPr>
              <w:pStyle w:val="TableTextCentered"/>
            </w:pPr>
          </w:p>
        </w:tc>
        <w:tc>
          <w:tcPr>
            <w:tcW w:w="715" w:type="pct"/>
            <w:vAlign w:val="center"/>
          </w:tcPr>
          <w:p w14:paraId="6A7DF139" w14:textId="77777777" w:rsidR="0092760B" w:rsidRPr="00027624" w:rsidRDefault="0092760B" w:rsidP="002A2FAE">
            <w:pPr>
              <w:pStyle w:val="TableTextCentered"/>
            </w:pPr>
          </w:p>
        </w:tc>
      </w:tr>
      <w:tr w:rsidR="0092760B" w:rsidRPr="00027624" w14:paraId="69CA28BF" w14:textId="77777777" w:rsidTr="002A2FAE">
        <w:trPr>
          <w:trHeight w:val="270"/>
        </w:trPr>
        <w:tc>
          <w:tcPr>
            <w:tcW w:w="2381" w:type="pct"/>
            <w:vAlign w:val="center"/>
          </w:tcPr>
          <w:p w14:paraId="0AEC5BB8" w14:textId="77777777" w:rsidR="0092760B" w:rsidRPr="00027624" w:rsidRDefault="0092760B" w:rsidP="002A2FAE">
            <w:pPr>
              <w:pStyle w:val="TableTextLeft"/>
              <w:ind w:left="457"/>
            </w:pPr>
            <w:r w:rsidRPr="00027624">
              <w:rPr>
                <w:rFonts w:cs="Calibri"/>
                <w:szCs w:val="18"/>
              </w:rPr>
              <w:t>Shorter working life</w:t>
            </w:r>
          </w:p>
        </w:tc>
        <w:tc>
          <w:tcPr>
            <w:tcW w:w="635" w:type="pct"/>
            <w:vAlign w:val="center"/>
          </w:tcPr>
          <w:p w14:paraId="28874789" w14:textId="77777777" w:rsidR="0092760B" w:rsidRPr="00027624" w:rsidRDefault="0092760B" w:rsidP="002A2FAE">
            <w:pPr>
              <w:pStyle w:val="TableTextCentered"/>
            </w:pPr>
          </w:p>
        </w:tc>
        <w:tc>
          <w:tcPr>
            <w:tcW w:w="635" w:type="pct"/>
            <w:vAlign w:val="center"/>
          </w:tcPr>
          <w:p w14:paraId="68D01441" w14:textId="77777777" w:rsidR="0092760B" w:rsidRPr="00027624" w:rsidRDefault="0092760B" w:rsidP="002A2FAE">
            <w:pPr>
              <w:pStyle w:val="TableTextCentered"/>
            </w:pPr>
          </w:p>
        </w:tc>
        <w:tc>
          <w:tcPr>
            <w:tcW w:w="634" w:type="pct"/>
            <w:vAlign w:val="center"/>
          </w:tcPr>
          <w:p w14:paraId="11A5F861" w14:textId="77777777" w:rsidR="0092760B" w:rsidRPr="00027624" w:rsidRDefault="0092760B" w:rsidP="002A2FAE">
            <w:pPr>
              <w:pStyle w:val="TableTextCentered"/>
            </w:pPr>
          </w:p>
        </w:tc>
        <w:tc>
          <w:tcPr>
            <w:tcW w:w="715" w:type="pct"/>
            <w:vAlign w:val="center"/>
          </w:tcPr>
          <w:p w14:paraId="273650E5" w14:textId="77777777" w:rsidR="0092760B" w:rsidRPr="00027624" w:rsidRDefault="0092760B" w:rsidP="002A2FAE">
            <w:pPr>
              <w:pStyle w:val="TableTextCentered"/>
            </w:pPr>
          </w:p>
        </w:tc>
      </w:tr>
      <w:tr w:rsidR="0092760B" w:rsidRPr="00027624" w14:paraId="0BEA2658" w14:textId="77777777" w:rsidTr="002A2FAE">
        <w:trPr>
          <w:trHeight w:val="270"/>
        </w:trPr>
        <w:tc>
          <w:tcPr>
            <w:tcW w:w="2381" w:type="pct"/>
            <w:vAlign w:val="center"/>
          </w:tcPr>
          <w:p w14:paraId="0B8A1323" w14:textId="77777777" w:rsidR="0092760B" w:rsidRPr="00027624" w:rsidRDefault="0092760B" w:rsidP="002A2FAE">
            <w:pPr>
              <w:pStyle w:val="TableTextLeft"/>
              <w:ind w:left="720"/>
            </w:pPr>
            <w:r w:rsidRPr="00027624">
              <w:rPr>
                <w:rFonts w:cs="Calibri"/>
                <w:szCs w:val="18"/>
              </w:rPr>
              <w:t>(25 years) Retirement at 67</w:t>
            </w:r>
          </w:p>
        </w:tc>
        <w:tc>
          <w:tcPr>
            <w:tcW w:w="635" w:type="pct"/>
            <w:vAlign w:val="center"/>
          </w:tcPr>
          <w:p w14:paraId="4B0CE0D5" w14:textId="77777777" w:rsidR="0092760B" w:rsidRPr="00027624" w:rsidRDefault="0092760B" w:rsidP="002A2FAE">
            <w:pPr>
              <w:pStyle w:val="TableTextCentered"/>
            </w:pPr>
            <w:r w:rsidRPr="00027624">
              <w:t>70</w:t>
            </w:r>
          </w:p>
        </w:tc>
        <w:tc>
          <w:tcPr>
            <w:tcW w:w="635" w:type="pct"/>
            <w:vAlign w:val="center"/>
          </w:tcPr>
          <w:p w14:paraId="481A3148" w14:textId="77777777" w:rsidR="0092760B" w:rsidRPr="00027624" w:rsidRDefault="0092760B" w:rsidP="002A2FAE">
            <w:pPr>
              <w:pStyle w:val="TableTextCentered"/>
            </w:pPr>
            <w:r w:rsidRPr="00027624">
              <w:t>80</w:t>
            </w:r>
          </w:p>
        </w:tc>
        <w:tc>
          <w:tcPr>
            <w:tcW w:w="634" w:type="pct"/>
            <w:vAlign w:val="center"/>
          </w:tcPr>
          <w:p w14:paraId="2FE17232" w14:textId="77777777" w:rsidR="0092760B" w:rsidRPr="00027624" w:rsidRDefault="0092760B" w:rsidP="002A2FAE">
            <w:pPr>
              <w:pStyle w:val="TableTextCentered"/>
            </w:pPr>
            <w:r w:rsidRPr="00027624">
              <w:t>72</w:t>
            </w:r>
          </w:p>
        </w:tc>
        <w:tc>
          <w:tcPr>
            <w:tcW w:w="715" w:type="pct"/>
            <w:vAlign w:val="center"/>
          </w:tcPr>
          <w:p w14:paraId="76E6B63C" w14:textId="77777777" w:rsidR="0092760B" w:rsidRPr="00027624" w:rsidRDefault="0092760B" w:rsidP="002A2FAE">
            <w:pPr>
              <w:pStyle w:val="TableTextCentered"/>
            </w:pPr>
            <w:r w:rsidRPr="00027624">
              <w:t>63</w:t>
            </w:r>
            <w:r w:rsidRPr="00027624">
              <w:rPr>
                <w:vertAlign w:val="superscript"/>
              </w:rPr>
              <w:t>viii</w:t>
            </w:r>
          </w:p>
        </w:tc>
      </w:tr>
      <w:tr w:rsidR="0092760B" w:rsidRPr="00027624" w14:paraId="3A059C78" w14:textId="77777777" w:rsidTr="002A2FAE">
        <w:trPr>
          <w:trHeight w:val="270"/>
        </w:trPr>
        <w:tc>
          <w:tcPr>
            <w:tcW w:w="2381" w:type="pct"/>
            <w:vAlign w:val="center"/>
          </w:tcPr>
          <w:p w14:paraId="30CDABE7" w14:textId="77777777" w:rsidR="0092760B" w:rsidRPr="00027624" w:rsidRDefault="0092760B" w:rsidP="002A2FAE">
            <w:pPr>
              <w:pStyle w:val="TableTextLeft"/>
              <w:ind w:left="720"/>
            </w:pPr>
            <w:r w:rsidRPr="00027624">
              <w:rPr>
                <w:rFonts w:cs="Calibri"/>
                <w:szCs w:val="18"/>
              </w:rPr>
              <w:t>(30 years)</w:t>
            </w:r>
            <w:r w:rsidRPr="00027624">
              <w:t xml:space="preserve"> Retirement</w:t>
            </w:r>
            <w:r w:rsidRPr="00027624">
              <w:rPr>
                <w:rFonts w:cs="Calibri"/>
                <w:szCs w:val="18"/>
              </w:rPr>
              <w:t xml:space="preserve"> at 67</w:t>
            </w:r>
          </w:p>
        </w:tc>
        <w:tc>
          <w:tcPr>
            <w:tcW w:w="635" w:type="pct"/>
            <w:vAlign w:val="center"/>
          </w:tcPr>
          <w:p w14:paraId="5D487DA8" w14:textId="77777777" w:rsidR="0092760B" w:rsidRPr="00027624" w:rsidRDefault="0092760B" w:rsidP="002A2FAE">
            <w:pPr>
              <w:pStyle w:val="TableTextCentered"/>
            </w:pPr>
            <w:r w:rsidRPr="00027624">
              <w:t>73</w:t>
            </w:r>
          </w:p>
        </w:tc>
        <w:tc>
          <w:tcPr>
            <w:tcW w:w="635" w:type="pct"/>
            <w:vAlign w:val="center"/>
          </w:tcPr>
          <w:p w14:paraId="41096D79" w14:textId="77777777" w:rsidR="0092760B" w:rsidRPr="00027624" w:rsidRDefault="0092760B" w:rsidP="002A2FAE">
            <w:pPr>
              <w:pStyle w:val="TableTextCentered"/>
            </w:pPr>
            <w:r w:rsidRPr="00027624">
              <w:t>83</w:t>
            </w:r>
          </w:p>
        </w:tc>
        <w:tc>
          <w:tcPr>
            <w:tcW w:w="634" w:type="pct"/>
            <w:vAlign w:val="center"/>
          </w:tcPr>
          <w:p w14:paraId="21B993D3" w14:textId="77777777" w:rsidR="0092760B" w:rsidRPr="00027624" w:rsidRDefault="0092760B" w:rsidP="002A2FAE">
            <w:pPr>
              <w:pStyle w:val="TableTextCentered"/>
            </w:pPr>
            <w:r w:rsidRPr="00027624">
              <w:t>75</w:t>
            </w:r>
          </w:p>
        </w:tc>
        <w:tc>
          <w:tcPr>
            <w:tcW w:w="715" w:type="pct"/>
            <w:vAlign w:val="center"/>
          </w:tcPr>
          <w:p w14:paraId="6768C976" w14:textId="77777777" w:rsidR="0092760B" w:rsidRPr="00027624" w:rsidRDefault="0092760B" w:rsidP="002A2FAE">
            <w:pPr>
              <w:pStyle w:val="TableTextCentered"/>
            </w:pPr>
            <w:r w:rsidRPr="00027624">
              <w:t>67</w:t>
            </w:r>
            <w:r w:rsidRPr="00027624">
              <w:rPr>
                <w:vertAlign w:val="superscript"/>
              </w:rPr>
              <w:t>viii</w:t>
            </w:r>
          </w:p>
        </w:tc>
      </w:tr>
      <w:tr w:rsidR="0092760B" w:rsidRPr="00027624" w14:paraId="6B81CD59" w14:textId="77777777" w:rsidTr="002A2FAE">
        <w:trPr>
          <w:trHeight w:val="270"/>
        </w:trPr>
        <w:tc>
          <w:tcPr>
            <w:tcW w:w="2381" w:type="pct"/>
            <w:vAlign w:val="center"/>
          </w:tcPr>
          <w:p w14:paraId="045070F4" w14:textId="77777777" w:rsidR="0092760B" w:rsidRPr="00027624" w:rsidRDefault="0092760B" w:rsidP="002A2FAE">
            <w:pPr>
              <w:pStyle w:val="TableTextLeft"/>
              <w:ind w:left="720"/>
            </w:pPr>
            <w:r w:rsidRPr="00027624">
              <w:rPr>
                <w:rFonts w:cs="Calibri"/>
                <w:szCs w:val="18"/>
              </w:rPr>
              <w:t>(35 years) Retirement at 67</w:t>
            </w:r>
          </w:p>
        </w:tc>
        <w:tc>
          <w:tcPr>
            <w:tcW w:w="635" w:type="pct"/>
            <w:vAlign w:val="center"/>
          </w:tcPr>
          <w:p w14:paraId="1D09ED73" w14:textId="77777777" w:rsidR="0092760B" w:rsidRPr="00027624" w:rsidRDefault="0092760B" w:rsidP="002A2FAE">
            <w:pPr>
              <w:pStyle w:val="TableTextCentered"/>
            </w:pPr>
            <w:r w:rsidRPr="00027624">
              <w:t>77</w:t>
            </w:r>
          </w:p>
        </w:tc>
        <w:tc>
          <w:tcPr>
            <w:tcW w:w="635" w:type="pct"/>
            <w:vAlign w:val="center"/>
          </w:tcPr>
          <w:p w14:paraId="20E72015" w14:textId="77777777" w:rsidR="0092760B" w:rsidRPr="00027624" w:rsidRDefault="0092760B" w:rsidP="002A2FAE">
            <w:pPr>
              <w:pStyle w:val="TableTextCentered"/>
            </w:pPr>
            <w:r w:rsidRPr="00027624">
              <w:t>85</w:t>
            </w:r>
          </w:p>
        </w:tc>
        <w:tc>
          <w:tcPr>
            <w:tcW w:w="634" w:type="pct"/>
            <w:vAlign w:val="center"/>
          </w:tcPr>
          <w:p w14:paraId="5DC68E28" w14:textId="77777777" w:rsidR="0092760B" w:rsidRPr="00027624" w:rsidRDefault="0092760B" w:rsidP="002A2FAE">
            <w:pPr>
              <w:pStyle w:val="TableTextCentered"/>
            </w:pPr>
            <w:r w:rsidRPr="00027624">
              <w:t>78</w:t>
            </w:r>
          </w:p>
        </w:tc>
        <w:tc>
          <w:tcPr>
            <w:tcW w:w="715" w:type="pct"/>
            <w:vAlign w:val="center"/>
          </w:tcPr>
          <w:p w14:paraId="25488E24" w14:textId="77777777" w:rsidR="0092760B" w:rsidRPr="00027624" w:rsidRDefault="0092760B" w:rsidP="002A2FAE">
            <w:pPr>
              <w:pStyle w:val="TableTextCentered"/>
            </w:pPr>
            <w:r w:rsidRPr="00027624">
              <w:t>72</w:t>
            </w:r>
            <w:r w:rsidRPr="00027624">
              <w:rPr>
                <w:vertAlign w:val="superscript"/>
              </w:rPr>
              <w:t>viii</w:t>
            </w:r>
          </w:p>
        </w:tc>
      </w:tr>
      <w:tr w:rsidR="0092760B" w:rsidRPr="00027624" w14:paraId="05541B2C" w14:textId="77777777" w:rsidTr="002A2FAE">
        <w:trPr>
          <w:trHeight w:val="270"/>
        </w:trPr>
        <w:tc>
          <w:tcPr>
            <w:tcW w:w="2381" w:type="pct"/>
            <w:vAlign w:val="center"/>
          </w:tcPr>
          <w:p w14:paraId="6DAFBA1A" w14:textId="77777777" w:rsidR="0092760B" w:rsidRPr="00027624" w:rsidRDefault="0092760B" w:rsidP="002A2FAE">
            <w:pPr>
              <w:pStyle w:val="TableTextLeft"/>
              <w:ind w:left="720"/>
            </w:pPr>
            <w:r w:rsidRPr="00027624">
              <w:rPr>
                <w:rFonts w:cs="Calibri"/>
                <w:szCs w:val="18"/>
              </w:rPr>
              <w:t>(25 years) Retirement at 60</w:t>
            </w:r>
          </w:p>
        </w:tc>
        <w:tc>
          <w:tcPr>
            <w:tcW w:w="635" w:type="pct"/>
            <w:vAlign w:val="center"/>
          </w:tcPr>
          <w:p w14:paraId="09837182" w14:textId="77777777" w:rsidR="0092760B" w:rsidRPr="00027624" w:rsidRDefault="0092760B" w:rsidP="002A2FAE">
            <w:pPr>
              <w:pStyle w:val="TableTextCentered"/>
            </w:pPr>
            <w:r w:rsidRPr="00027624">
              <w:t>64</w:t>
            </w:r>
          </w:p>
        </w:tc>
        <w:tc>
          <w:tcPr>
            <w:tcW w:w="635" w:type="pct"/>
            <w:vAlign w:val="center"/>
          </w:tcPr>
          <w:p w14:paraId="12A637A9" w14:textId="77777777" w:rsidR="0092760B" w:rsidRPr="00027624" w:rsidRDefault="0092760B" w:rsidP="002A2FAE">
            <w:pPr>
              <w:pStyle w:val="TableTextCentered"/>
            </w:pPr>
            <w:r w:rsidRPr="00027624">
              <w:t>71</w:t>
            </w:r>
          </w:p>
        </w:tc>
        <w:tc>
          <w:tcPr>
            <w:tcW w:w="634" w:type="pct"/>
            <w:vAlign w:val="center"/>
          </w:tcPr>
          <w:p w14:paraId="0DB2010D" w14:textId="77777777" w:rsidR="0092760B" w:rsidRPr="00027624" w:rsidRDefault="0092760B" w:rsidP="002A2FAE">
            <w:pPr>
              <w:pStyle w:val="TableTextCentered"/>
            </w:pPr>
            <w:r w:rsidRPr="00027624">
              <w:t>65</w:t>
            </w:r>
          </w:p>
        </w:tc>
        <w:tc>
          <w:tcPr>
            <w:tcW w:w="715" w:type="pct"/>
            <w:vAlign w:val="center"/>
          </w:tcPr>
          <w:p w14:paraId="00DEFB1C" w14:textId="77777777" w:rsidR="0092760B" w:rsidRPr="00027624" w:rsidRDefault="0092760B" w:rsidP="002A2FAE">
            <w:pPr>
              <w:pStyle w:val="TableTextCentered"/>
            </w:pPr>
            <w:r w:rsidRPr="00027624">
              <w:t>59</w:t>
            </w:r>
            <w:r w:rsidRPr="00027624">
              <w:rPr>
                <w:vertAlign w:val="superscript"/>
              </w:rPr>
              <w:t>viii</w:t>
            </w:r>
          </w:p>
        </w:tc>
      </w:tr>
      <w:tr w:rsidR="0092760B" w:rsidRPr="00027624" w14:paraId="2806B632" w14:textId="77777777" w:rsidTr="002A2FAE">
        <w:trPr>
          <w:trHeight w:val="270"/>
        </w:trPr>
        <w:tc>
          <w:tcPr>
            <w:tcW w:w="2381" w:type="pct"/>
            <w:vAlign w:val="center"/>
          </w:tcPr>
          <w:p w14:paraId="06A30ABB" w14:textId="77777777" w:rsidR="0092760B" w:rsidRPr="00027624" w:rsidRDefault="0092760B" w:rsidP="002A2FAE">
            <w:pPr>
              <w:pStyle w:val="TableTextLeft"/>
              <w:ind w:left="720"/>
            </w:pPr>
            <w:r w:rsidRPr="00027624">
              <w:rPr>
                <w:rFonts w:cs="Calibri"/>
                <w:szCs w:val="18"/>
              </w:rPr>
              <w:t>(30 years) Retirement at 60</w:t>
            </w:r>
          </w:p>
        </w:tc>
        <w:tc>
          <w:tcPr>
            <w:tcW w:w="635" w:type="pct"/>
            <w:vAlign w:val="center"/>
          </w:tcPr>
          <w:p w14:paraId="37DF5932" w14:textId="77777777" w:rsidR="0092760B" w:rsidRPr="00027624" w:rsidRDefault="0092760B" w:rsidP="002A2FAE">
            <w:pPr>
              <w:pStyle w:val="TableTextCentered"/>
            </w:pPr>
            <w:r w:rsidRPr="00027624">
              <w:t>67</w:t>
            </w:r>
          </w:p>
        </w:tc>
        <w:tc>
          <w:tcPr>
            <w:tcW w:w="635" w:type="pct"/>
            <w:vAlign w:val="center"/>
          </w:tcPr>
          <w:p w14:paraId="0E6DA2A5" w14:textId="77777777" w:rsidR="0092760B" w:rsidRPr="00027624" w:rsidRDefault="0092760B" w:rsidP="002A2FAE">
            <w:pPr>
              <w:pStyle w:val="TableTextCentered"/>
            </w:pPr>
            <w:r w:rsidRPr="00027624">
              <w:t>73</w:t>
            </w:r>
            <w:r w:rsidRPr="00027624">
              <w:rPr>
                <w:vertAlign w:val="superscript"/>
              </w:rPr>
              <w:t>vii</w:t>
            </w:r>
          </w:p>
        </w:tc>
        <w:tc>
          <w:tcPr>
            <w:tcW w:w="634" w:type="pct"/>
            <w:vAlign w:val="center"/>
          </w:tcPr>
          <w:p w14:paraId="1F053CEE" w14:textId="77777777" w:rsidR="0092760B" w:rsidRPr="00027624" w:rsidRDefault="0092760B" w:rsidP="002A2FAE">
            <w:pPr>
              <w:pStyle w:val="TableTextCentered"/>
            </w:pPr>
            <w:r w:rsidRPr="00027624">
              <w:t>69</w:t>
            </w:r>
          </w:p>
        </w:tc>
        <w:tc>
          <w:tcPr>
            <w:tcW w:w="715" w:type="pct"/>
            <w:vAlign w:val="center"/>
          </w:tcPr>
          <w:p w14:paraId="26FF37A7" w14:textId="77777777" w:rsidR="0092760B" w:rsidRPr="00027624" w:rsidRDefault="0092760B" w:rsidP="002A2FAE">
            <w:pPr>
              <w:pStyle w:val="TableTextCentered"/>
            </w:pPr>
            <w:r w:rsidRPr="00027624">
              <w:t>62</w:t>
            </w:r>
            <w:r w:rsidRPr="00027624">
              <w:rPr>
                <w:vertAlign w:val="superscript"/>
              </w:rPr>
              <w:t>viii</w:t>
            </w:r>
          </w:p>
        </w:tc>
      </w:tr>
      <w:tr w:rsidR="0092760B" w:rsidRPr="00027624" w14:paraId="5B044B05" w14:textId="77777777" w:rsidTr="002A2FAE">
        <w:trPr>
          <w:trHeight w:val="270"/>
        </w:trPr>
        <w:tc>
          <w:tcPr>
            <w:tcW w:w="2381" w:type="pct"/>
            <w:vAlign w:val="center"/>
          </w:tcPr>
          <w:p w14:paraId="24885C4E" w14:textId="77777777" w:rsidR="0092760B" w:rsidRPr="00027624" w:rsidRDefault="0092760B" w:rsidP="002A2FAE">
            <w:pPr>
              <w:pStyle w:val="TableTextLeft"/>
              <w:ind w:left="720"/>
            </w:pPr>
            <w:r w:rsidRPr="00027624">
              <w:rPr>
                <w:rFonts w:cs="Calibri"/>
                <w:szCs w:val="18"/>
              </w:rPr>
              <w:t>(35 years) Retirement at 60</w:t>
            </w:r>
            <w:r w:rsidRPr="00027624">
              <w:rPr>
                <w:rFonts w:cs="Calibri"/>
                <w:b/>
                <w:szCs w:val="18"/>
                <w:vertAlign w:val="superscript"/>
              </w:rPr>
              <w:t>vi</w:t>
            </w:r>
          </w:p>
        </w:tc>
        <w:tc>
          <w:tcPr>
            <w:tcW w:w="635" w:type="pct"/>
            <w:vAlign w:val="center"/>
          </w:tcPr>
          <w:p w14:paraId="1E49E265" w14:textId="77777777" w:rsidR="0092760B" w:rsidRPr="00027624" w:rsidRDefault="0092760B" w:rsidP="002A2FAE">
            <w:pPr>
              <w:pStyle w:val="TableTextCentered"/>
            </w:pPr>
            <w:r w:rsidRPr="00027624">
              <w:t>69</w:t>
            </w:r>
          </w:p>
        </w:tc>
        <w:tc>
          <w:tcPr>
            <w:tcW w:w="635" w:type="pct"/>
            <w:vAlign w:val="center"/>
          </w:tcPr>
          <w:p w14:paraId="137F102A" w14:textId="77777777" w:rsidR="0092760B" w:rsidRPr="00027624" w:rsidRDefault="0092760B" w:rsidP="002A2FAE">
            <w:pPr>
              <w:pStyle w:val="TableTextCentered"/>
            </w:pPr>
            <w:r w:rsidRPr="00027624">
              <w:t>75</w:t>
            </w:r>
            <w:r w:rsidRPr="00027624">
              <w:rPr>
                <w:vertAlign w:val="superscript"/>
              </w:rPr>
              <w:t>vii</w:t>
            </w:r>
          </w:p>
        </w:tc>
        <w:tc>
          <w:tcPr>
            <w:tcW w:w="634" w:type="pct"/>
            <w:vAlign w:val="center"/>
          </w:tcPr>
          <w:p w14:paraId="0C9BDC13" w14:textId="77777777" w:rsidR="0092760B" w:rsidRPr="00027624" w:rsidRDefault="0092760B" w:rsidP="002A2FAE">
            <w:pPr>
              <w:pStyle w:val="TableTextCentered"/>
            </w:pPr>
            <w:r w:rsidRPr="00027624">
              <w:t>71</w:t>
            </w:r>
          </w:p>
        </w:tc>
        <w:tc>
          <w:tcPr>
            <w:tcW w:w="715" w:type="pct"/>
            <w:vAlign w:val="center"/>
          </w:tcPr>
          <w:p w14:paraId="52567CF3" w14:textId="77777777" w:rsidR="0092760B" w:rsidRPr="00027624" w:rsidRDefault="0092760B" w:rsidP="002A2FAE">
            <w:pPr>
              <w:pStyle w:val="TableTextCentered"/>
            </w:pPr>
            <w:r w:rsidRPr="00027624">
              <w:t>64</w:t>
            </w:r>
            <w:r w:rsidRPr="00027624">
              <w:rPr>
                <w:vertAlign w:val="superscript"/>
              </w:rPr>
              <w:t>viii</w:t>
            </w:r>
          </w:p>
        </w:tc>
      </w:tr>
      <w:tr w:rsidR="0092760B" w:rsidRPr="00027624" w14:paraId="666A30AC" w14:textId="77777777" w:rsidTr="002A2FAE">
        <w:trPr>
          <w:trHeight w:val="270"/>
        </w:trPr>
        <w:tc>
          <w:tcPr>
            <w:tcW w:w="2381" w:type="pct"/>
            <w:vAlign w:val="center"/>
          </w:tcPr>
          <w:p w14:paraId="4EBEE95D" w14:textId="77777777" w:rsidR="0092760B" w:rsidRPr="00027624" w:rsidRDefault="0092760B" w:rsidP="002A2FAE">
            <w:pPr>
              <w:pStyle w:val="TableTextLeft"/>
              <w:ind w:left="457"/>
            </w:pPr>
            <w:r w:rsidRPr="00027624">
              <w:rPr>
                <w:rFonts w:cs="Calibri"/>
                <w:szCs w:val="18"/>
              </w:rPr>
              <w:t>Early Retirement</w:t>
            </w:r>
          </w:p>
        </w:tc>
        <w:tc>
          <w:tcPr>
            <w:tcW w:w="635" w:type="pct"/>
            <w:vAlign w:val="center"/>
          </w:tcPr>
          <w:p w14:paraId="0D0B79DE" w14:textId="77777777" w:rsidR="0092760B" w:rsidRPr="00027624" w:rsidRDefault="0092760B" w:rsidP="002A2FAE">
            <w:pPr>
              <w:pStyle w:val="TableTextCentered"/>
            </w:pPr>
          </w:p>
        </w:tc>
        <w:tc>
          <w:tcPr>
            <w:tcW w:w="635" w:type="pct"/>
            <w:vAlign w:val="center"/>
          </w:tcPr>
          <w:p w14:paraId="0C4EEE67" w14:textId="77777777" w:rsidR="0092760B" w:rsidRPr="00027624" w:rsidRDefault="0092760B" w:rsidP="002A2FAE">
            <w:pPr>
              <w:pStyle w:val="TableTextCentered"/>
            </w:pPr>
          </w:p>
        </w:tc>
        <w:tc>
          <w:tcPr>
            <w:tcW w:w="634" w:type="pct"/>
            <w:vAlign w:val="center"/>
          </w:tcPr>
          <w:p w14:paraId="4B1C9419" w14:textId="77777777" w:rsidR="0092760B" w:rsidRPr="00027624" w:rsidRDefault="0092760B" w:rsidP="002A2FAE">
            <w:pPr>
              <w:pStyle w:val="TableTextCentered"/>
            </w:pPr>
          </w:p>
        </w:tc>
        <w:tc>
          <w:tcPr>
            <w:tcW w:w="715" w:type="pct"/>
            <w:vAlign w:val="center"/>
          </w:tcPr>
          <w:p w14:paraId="226A6324" w14:textId="77777777" w:rsidR="0092760B" w:rsidRPr="00027624" w:rsidRDefault="0092760B" w:rsidP="002A2FAE">
            <w:pPr>
              <w:pStyle w:val="TableTextCentered"/>
            </w:pPr>
            <w:r w:rsidRPr="00027624">
              <w:t>Primary/both</w:t>
            </w:r>
          </w:p>
        </w:tc>
      </w:tr>
      <w:tr w:rsidR="0092760B" w:rsidRPr="00027624" w14:paraId="176BB163" w14:textId="77777777" w:rsidTr="002A2FAE">
        <w:trPr>
          <w:trHeight w:val="270"/>
        </w:trPr>
        <w:tc>
          <w:tcPr>
            <w:tcW w:w="2381" w:type="pct"/>
            <w:vAlign w:val="center"/>
          </w:tcPr>
          <w:p w14:paraId="12DA1319" w14:textId="77777777" w:rsidR="0092760B" w:rsidRPr="00027624" w:rsidRDefault="0092760B" w:rsidP="002A2FAE">
            <w:pPr>
              <w:pStyle w:val="TableTextLeft"/>
              <w:ind w:left="720"/>
            </w:pPr>
            <w:r w:rsidRPr="00027624">
              <w:rPr>
                <w:rFonts w:cs="Calibri"/>
                <w:szCs w:val="18"/>
              </w:rPr>
              <w:t>Job</w:t>
            </w:r>
            <w:r w:rsidR="00A8443E" w:rsidRPr="00027624">
              <w:rPr>
                <w:rFonts w:cs="Calibri"/>
                <w:szCs w:val="18"/>
              </w:rPr>
              <w:noBreakHyphen/>
            </w:r>
            <w:r w:rsidRPr="00027624">
              <w:rPr>
                <w:rFonts w:cs="Calibri"/>
                <w:szCs w:val="18"/>
              </w:rPr>
              <w:t>related (57 years)</w:t>
            </w:r>
          </w:p>
        </w:tc>
        <w:tc>
          <w:tcPr>
            <w:tcW w:w="635" w:type="pct"/>
            <w:vAlign w:val="center"/>
          </w:tcPr>
          <w:p w14:paraId="531B6D0A" w14:textId="77777777" w:rsidR="0092760B" w:rsidRPr="00027624" w:rsidRDefault="0092760B" w:rsidP="002A2FAE">
            <w:pPr>
              <w:pStyle w:val="TableTextCentered"/>
            </w:pPr>
            <w:r w:rsidRPr="00027624">
              <w:t>66</w:t>
            </w:r>
          </w:p>
        </w:tc>
        <w:tc>
          <w:tcPr>
            <w:tcW w:w="635" w:type="pct"/>
            <w:vAlign w:val="center"/>
          </w:tcPr>
          <w:p w14:paraId="5E32F2FF" w14:textId="77777777" w:rsidR="0092760B" w:rsidRPr="00027624" w:rsidRDefault="0092760B" w:rsidP="002A2FAE">
            <w:pPr>
              <w:pStyle w:val="TableTextCentered"/>
            </w:pPr>
            <w:r w:rsidRPr="00027624">
              <w:t>73</w:t>
            </w:r>
          </w:p>
        </w:tc>
        <w:tc>
          <w:tcPr>
            <w:tcW w:w="634" w:type="pct"/>
            <w:vAlign w:val="center"/>
          </w:tcPr>
          <w:p w14:paraId="63A0FCB9" w14:textId="77777777" w:rsidR="0092760B" w:rsidRPr="00027624" w:rsidRDefault="0092760B" w:rsidP="002A2FAE">
            <w:pPr>
              <w:pStyle w:val="TableTextCentered"/>
            </w:pPr>
            <w:r w:rsidRPr="00027624">
              <w:t>69</w:t>
            </w:r>
          </w:p>
        </w:tc>
        <w:tc>
          <w:tcPr>
            <w:tcW w:w="715" w:type="pct"/>
            <w:vAlign w:val="center"/>
          </w:tcPr>
          <w:p w14:paraId="320C281D" w14:textId="77777777" w:rsidR="0092760B" w:rsidRPr="00027624" w:rsidRDefault="0092760B" w:rsidP="002A2FAE">
            <w:pPr>
              <w:pStyle w:val="TableTextCentered"/>
            </w:pPr>
            <w:r w:rsidRPr="00027624">
              <w:t>66/61</w:t>
            </w:r>
            <w:r w:rsidRPr="00027624">
              <w:rPr>
                <w:vertAlign w:val="superscript"/>
              </w:rPr>
              <w:t>ix</w:t>
            </w:r>
          </w:p>
        </w:tc>
      </w:tr>
      <w:tr w:rsidR="0092760B" w:rsidRPr="00027624" w14:paraId="1EEC293D" w14:textId="77777777" w:rsidTr="002A2FAE">
        <w:trPr>
          <w:trHeight w:val="270"/>
        </w:trPr>
        <w:tc>
          <w:tcPr>
            <w:tcW w:w="2381" w:type="pct"/>
            <w:vAlign w:val="center"/>
          </w:tcPr>
          <w:p w14:paraId="1980D612" w14:textId="77777777" w:rsidR="0092760B" w:rsidRPr="00027624" w:rsidRDefault="0092760B" w:rsidP="002A2FAE">
            <w:pPr>
              <w:pStyle w:val="TableTextLeft"/>
              <w:ind w:left="720"/>
            </w:pPr>
            <w:r w:rsidRPr="00027624">
              <w:rPr>
                <w:rFonts w:cs="Calibri"/>
                <w:szCs w:val="18"/>
              </w:rPr>
              <w:t>Job</w:t>
            </w:r>
            <w:r w:rsidR="00A8443E" w:rsidRPr="00027624">
              <w:rPr>
                <w:rFonts w:cs="Calibri"/>
                <w:szCs w:val="18"/>
              </w:rPr>
              <w:noBreakHyphen/>
            </w:r>
            <w:r w:rsidRPr="00027624">
              <w:rPr>
                <w:rFonts w:cs="Calibri"/>
                <w:szCs w:val="18"/>
              </w:rPr>
              <w:t>related (62 years)</w:t>
            </w:r>
          </w:p>
        </w:tc>
        <w:tc>
          <w:tcPr>
            <w:tcW w:w="635" w:type="pct"/>
            <w:vAlign w:val="center"/>
          </w:tcPr>
          <w:p w14:paraId="7EA11F5E" w14:textId="77777777" w:rsidR="0092760B" w:rsidRPr="00027624" w:rsidRDefault="0092760B" w:rsidP="002A2FAE">
            <w:pPr>
              <w:pStyle w:val="TableTextCentered"/>
            </w:pPr>
            <w:r w:rsidRPr="00027624">
              <w:t>71</w:t>
            </w:r>
          </w:p>
        </w:tc>
        <w:tc>
          <w:tcPr>
            <w:tcW w:w="635" w:type="pct"/>
            <w:vAlign w:val="center"/>
          </w:tcPr>
          <w:p w14:paraId="063D4726" w14:textId="77777777" w:rsidR="0092760B" w:rsidRPr="00027624" w:rsidRDefault="0092760B" w:rsidP="002A2FAE">
            <w:pPr>
              <w:pStyle w:val="TableTextCentered"/>
            </w:pPr>
            <w:r w:rsidRPr="00027624">
              <w:t>79</w:t>
            </w:r>
          </w:p>
        </w:tc>
        <w:tc>
          <w:tcPr>
            <w:tcW w:w="634" w:type="pct"/>
            <w:vAlign w:val="center"/>
          </w:tcPr>
          <w:p w14:paraId="77DF22CA" w14:textId="77777777" w:rsidR="0092760B" w:rsidRPr="00027624" w:rsidRDefault="0092760B" w:rsidP="002A2FAE">
            <w:pPr>
              <w:pStyle w:val="TableTextCentered"/>
            </w:pPr>
            <w:r w:rsidRPr="00027624">
              <w:t>74</w:t>
            </w:r>
          </w:p>
        </w:tc>
        <w:tc>
          <w:tcPr>
            <w:tcW w:w="715" w:type="pct"/>
            <w:vAlign w:val="center"/>
          </w:tcPr>
          <w:p w14:paraId="4646A31B" w14:textId="77777777" w:rsidR="0092760B" w:rsidRPr="00027624" w:rsidRDefault="0092760B" w:rsidP="002A2FAE">
            <w:pPr>
              <w:pStyle w:val="TableTextCentered"/>
            </w:pPr>
            <w:r w:rsidRPr="00027624">
              <w:t>69/66</w:t>
            </w:r>
            <w:r w:rsidRPr="00027624">
              <w:rPr>
                <w:vertAlign w:val="superscript"/>
              </w:rPr>
              <w:t>ix</w:t>
            </w:r>
          </w:p>
        </w:tc>
      </w:tr>
      <w:tr w:rsidR="0092760B" w:rsidRPr="00027624" w14:paraId="7807AE46" w14:textId="77777777" w:rsidTr="002A2FAE">
        <w:trPr>
          <w:trHeight w:val="270"/>
        </w:trPr>
        <w:tc>
          <w:tcPr>
            <w:tcW w:w="2381" w:type="pct"/>
            <w:vAlign w:val="center"/>
          </w:tcPr>
          <w:p w14:paraId="64F6C83F" w14:textId="77777777" w:rsidR="0092760B" w:rsidRPr="00027624" w:rsidRDefault="0092760B" w:rsidP="002A2FAE">
            <w:pPr>
              <w:pStyle w:val="TableTextLeft"/>
              <w:ind w:left="720"/>
            </w:pPr>
            <w:r w:rsidRPr="00027624">
              <w:rPr>
                <w:rFonts w:cs="Calibri"/>
                <w:szCs w:val="18"/>
              </w:rPr>
              <w:t>Disability</w:t>
            </w:r>
            <w:r w:rsidR="00A8443E" w:rsidRPr="00027624">
              <w:rPr>
                <w:rFonts w:cs="Calibri"/>
                <w:szCs w:val="18"/>
              </w:rPr>
              <w:noBreakHyphen/>
            </w:r>
            <w:r w:rsidRPr="00027624">
              <w:rPr>
                <w:rFonts w:cs="Calibri"/>
                <w:szCs w:val="18"/>
              </w:rPr>
              <w:t>related (57 years)</w:t>
            </w:r>
          </w:p>
        </w:tc>
        <w:tc>
          <w:tcPr>
            <w:tcW w:w="635" w:type="pct"/>
            <w:vAlign w:val="center"/>
          </w:tcPr>
          <w:p w14:paraId="6A6D16D7" w14:textId="77777777" w:rsidR="0092760B" w:rsidRPr="00027624" w:rsidRDefault="0092760B" w:rsidP="002A2FAE">
            <w:pPr>
              <w:pStyle w:val="TableTextCentered"/>
            </w:pPr>
            <w:r w:rsidRPr="00027624">
              <w:t>70</w:t>
            </w:r>
          </w:p>
        </w:tc>
        <w:tc>
          <w:tcPr>
            <w:tcW w:w="635" w:type="pct"/>
            <w:vAlign w:val="center"/>
          </w:tcPr>
          <w:p w14:paraId="76121CE7" w14:textId="77777777" w:rsidR="0092760B" w:rsidRPr="00027624" w:rsidRDefault="0092760B" w:rsidP="002A2FAE">
            <w:pPr>
              <w:pStyle w:val="TableTextCentered"/>
            </w:pPr>
            <w:r w:rsidRPr="00027624">
              <w:t>81</w:t>
            </w:r>
          </w:p>
        </w:tc>
        <w:tc>
          <w:tcPr>
            <w:tcW w:w="634" w:type="pct"/>
            <w:vAlign w:val="center"/>
          </w:tcPr>
          <w:p w14:paraId="2FEBD237" w14:textId="77777777" w:rsidR="0092760B" w:rsidRPr="00027624" w:rsidRDefault="0092760B" w:rsidP="002A2FAE">
            <w:pPr>
              <w:pStyle w:val="TableTextCentered"/>
            </w:pPr>
            <w:r w:rsidRPr="00027624">
              <w:t>74</w:t>
            </w:r>
          </w:p>
        </w:tc>
        <w:tc>
          <w:tcPr>
            <w:tcW w:w="715" w:type="pct"/>
            <w:vAlign w:val="center"/>
          </w:tcPr>
          <w:p w14:paraId="04EC4B0C" w14:textId="77777777" w:rsidR="0092760B" w:rsidRPr="00027624" w:rsidRDefault="0092760B" w:rsidP="002A2FAE">
            <w:pPr>
              <w:pStyle w:val="TableTextCentered"/>
            </w:pPr>
            <w:r w:rsidRPr="00027624">
              <w:t>66/62</w:t>
            </w:r>
            <w:r w:rsidRPr="00027624">
              <w:rPr>
                <w:vertAlign w:val="superscript"/>
              </w:rPr>
              <w:t>ix</w:t>
            </w:r>
          </w:p>
        </w:tc>
      </w:tr>
      <w:tr w:rsidR="0092760B" w:rsidRPr="00027624" w14:paraId="22878061" w14:textId="77777777" w:rsidTr="002A2FAE">
        <w:trPr>
          <w:trHeight w:val="270"/>
        </w:trPr>
        <w:tc>
          <w:tcPr>
            <w:tcW w:w="2381" w:type="pct"/>
            <w:vAlign w:val="center"/>
          </w:tcPr>
          <w:p w14:paraId="59B5A5FE" w14:textId="77777777" w:rsidR="0092760B" w:rsidRPr="00027624" w:rsidRDefault="0092760B" w:rsidP="002A2FAE">
            <w:pPr>
              <w:pStyle w:val="TableTextLeft"/>
              <w:ind w:left="720"/>
              <w:rPr>
                <w:rFonts w:cs="Calibri"/>
                <w:szCs w:val="18"/>
              </w:rPr>
            </w:pPr>
            <w:r w:rsidRPr="00027624">
              <w:rPr>
                <w:rFonts w:cs="Calibri"/>
                <w:szCs w:val="18"/>
              </w:rPr>
              <w:t>Disability</w:t>
            </w:r>
            <w:r w:rsidR="00A8443E" w:rsidRPr="00027624">
              <w:rPr>
                <w:rFonts w:cs="Calibri"/>
                <w:szCs w:val="18"/>
              </w:rPr>
              <w:noBreakHyphen/>
            </w:r>
            <w:r w:rsidRPr="00027624">
              <w:rPr>
                <w:rFonts w:cs="Calibri"/>
                <w:szCs w:val="18"/>
              </w:rPr>
              <w:t>related (62 years)</w:t>
            </w:r>
          </w:p>
        </w:tc>
        <w:tc>
          <w:tcPr>
            <w:tcW w:w="635" w:type="pct"/>
            <w:vAlign w:val="center"/>
          </w:tcPr>
          <w:p w14:paraId="28ADF723" w14:textId="77777777" w:rsidR="0092760B" w:rsidRPr="00027624" w:rsidRDefault="0092760B" w:rsidP="002A2FAE">
            <w:pPr>
              <w:pStyle w:val="TableTextCentered"/>
            </w:pPr>
            <w:r w:rsidRPr="00027624">
              <w:t>71</w:t>
            </w:r>
          </w:p>
        </w:tc>
        <w:tc>
          <w:tcPr>
            <w:tcW w:w="635" w:type="pct"/>
            <w:vAlign w:val="center"/>
          </w:tcPr>
          <w:p w14:paraId="34EEC8D7" w14:textId="77777777" w:rsidR="0092760B" w:rsidRPr="00027624" w:rsidRDefault="0092760B" w:rsidP="002A2FAE">
            <w:pPr>
              <w:pStyle w:val="TableTextCentered"/>
            </w:pPr>
            <w:r w:rsidRPr="00027624">
              <w:t>81</w:t>
            </w:r>
          </w:p>
        </w:tc>
        <w:tc>
          <w:tcPr>
            <w:tcW w:w="634" w:type="pct"/>
            <w:vAlign w:val="center"/>
          </w:tcPr>
          <w:p w14:paraId="479BB2C0" w14:textId="77777777" w:rsidR="0092760B" w:rsidRPr="00027624" w:rsidRDefault="0092760B" w:rsidP="002A2FAE">
            <w:pPr>
              <w:pStyle w:val="TableTextCentered"/>
            </w:pPr>
            <w:r w:rsidRPr="00027624">
              <w:t>74</w:t>
            </w:r>
          </w:p>
        </w:tc>
        <w:tc>
          <w:tcPr>
            <w:tcW w:w="715" w:type="pct"/>
            <w:vAlign w:val="center"/>
          </w:tcPr>
          <w:p w14:paraId="3B255700" w14:textId="77777777" w:rsidR="0092760B" w:rsidRPr="00027624" w:rsidRDefault="0092760B" w:rsidP="002A2FAE">
            <w:pPr>
              <w:pStyle w:val="TableTextCentered"/>
            </w:pPr>
            <w:r w:rsidRPr="00027624">
              <w:t>69/66</w:t>
            </w:r>
            <w:r w:rsidRPr="00027624">
              <w:rPr>
                <w:vertAlign w:val="superscript"/>
              </w:rPr>
              <w:t>ix</w:t>
            </w:r>
          </w:p>
        </w:tc>
      </w:tr>
      <w:tr w:rsidR="0092760B" w:rsidRPr="00027624" w14:paraId="2C2AB908" w14:textId="77777777" w:rsidTr="002A2FAE">
        <w:trPr>
          <w:trHeight w:val="270"/>
        </w:trPr>
        <w:tc>
          <w:tcPr>
            <w:tcW w:w="2381" w:type="pct"/>
            <w:vAlign w:val="center"/>
          </w:tcPr>
          <w:p w14:paraId="4354D9DC" w14:textId="77777777" w:rsidR="0092760B" w:rsidRPr="00027624" w:rsidRDefault="0092760B" w:rsidP="002A2FAE">
            <w:pPr>
              <w:pStyle w:val="TableTextLeft"/>
              <w:ind w:left="457"/>
            </w:pPr>
            <w:r w:rsidRPr="00027624">
              <w:rPr>
                <w:rFonts w:cs="Calibri"/>
                <w:szCs w:val="18"/>
              </w:rPr>
              <w:t>Retirement at 70</w:t>
            </w:r>
          </w:p>
        </w:tc>
        <w:tc>
          <w:tcPr>
            <w:tcW w:w="635" w:type="pct"/>
            <w:vAlign w:val="center"/>
          </w:tcPr>
          <w:p w14:paraId="2936B7D9" w14:textId="77777777" w:rsidR="0092760B" w:rsidRPr="00027624" w:rsidRDefault="0092760B" w:rsidP="002A2FAE">
            <w:pPr>
              <w:pStyle w:val="TableTextCentered"/>
            </w:pPr>
            <w:r w:rsidRPr="00027624">
              <w:t>87</w:t>
            </w:r>
          </w:p>
        </w:tc>
        <w:tc>
          <w:tcPr>
            <w:tcW w:w="635" w:type="pct"/>
            <w:vAlign w:val="center"/>
          </w:tcPr>
          <w:p w14:paraId="3337BB07" w14:textId="77777777" w:rsidR="0092760B" w:rsidRPr="00027624" w:rsidRDefault="0092760B" w:rsidP="002A2FAE">
            <w:pPr>
              <w:pStyle w:val="TableTextCentered"/>
            </w:pPr>
            <w:r w:rsidRPr="00027624">
              <w:t>91</w:t>
            </w:r>
          </w:p>
        </w:tc>
        <w:tc>
          <w:tcPr>
            <w:tcW w:w="634" w:type="pct"/>
            <w:vAlign w:val="center"/>
          </w:tcPr>
          <w:p w14:paraId="7C0EC20C" w14:textId="77777777" w:rsidR="0092760B" w:rsidRPr="00027624" w:rsidRDefault="0092760B" w:rsidP="002A2FAE">
            <w:pPr>
              <w:pStyle w:val="TableTextCentered"/>
            </w:pPr>
            <w:r w:rsidRPr="00027624">
              <w:t>88</w:t>
            </w:r>
          </w:p>
        </w:tc>
        <w:tc>
          <w:tcPr>
            <w:tcW w:w="715" w:type="pct"/>
            <w:vAlign w:val="center"/>
          </w:tcPr>
          <w:p w14:paraId="5D3743A3" w14:textId="77777777" w:rsidR="0092760B" w:rsidRPr="00027624" w:rsidRDefault="0092760B" w:rsidP="002A2FAE">
            <w:pPr>
              <w:pStyle w:val="TableTextCentered"/>
            </w:pPr>
            <w:r w:rsidRPr="00027624">
              <w:t>87</w:t>
            </w:r>
          </w:p>
        </w:tc>
      </w:tr>
      <w:tr w:rsidR="0092760B" w:rsidRPr="00027624" w14:paraId="7A285F6B" w14:textId="77777777" w:rsidTr="002A2FAE">
        <w:trPr>
          <w:trHeight w:val="270"/>
        </w:trPr>
        <w:tc>
          <w:tcPr>
            <w:tcW w:w="2381" w:type="pct"/>
            <w:vAlign w:val="center"/>
          </w:tcPr>
          <w:p w14:paraId="7E092232" w14:textId="77777777" w:rsidR="0092760B" w:rsidRPr="00027624" w:rsidRDefault="0092760B" w:rsidP="002A2FAE">
            <w:pPr>
              <w:pStyle w:val="TableTextLeft"/>
              <w:ind w:left="457"/>
            </w:pPr>
            <w:r w:rsidRPr="00027624">
              <w:rPr>
                <w:rFonts w:cs="Calibri"/>
                <w:szCs w:val="18"/>
              </w:rPr>
              <w:t>Low SG coverage</w:t>
            </w:r>
            <w:r w:rsidRPr="00027624">
              <w:rPr>
                <w:rFonts w:cs="Calibri"/>
                <w:b/>
                <w:color w:val="604878" w:themeColor="accent3"/>
                <w:szCs w:val="18"/>
                <w:vertAlign w:val="superscript"/>
              </w:rPr>
              <w:t>x</w:t>
            </w:r>
          </w:p>
        </w:tc>
        <w:tc>
          <w:tcPr>
            <w:tcW w:w="635" w:type="pct"/>
            <w:vAlign w:val="center"/>
          </w:tcPr>
          <w:p w14:paraId="3F71E481" w14:textId="77777777" w:rsidR="0092760B" w:rsidRPr="00027624" w:rsidRDefault="0092760B" w:rsidP="002A2FAE">
            <w:pPr>
              <w:pStyle w:val="TableTextCentered"/>
            </w:pPr>
            <w:r w:rsidRPr="00027624">
              <w:t>74</w:t>
            </w:r>
          </w:p>
        </w:tc>
        <w:tc>
          <w:tcPr>
            <w:tcW w:w="635" w:type="pct"/>
            <w:vAlign w:val="center"/>
          </w:tcPr>
          <w:p w14:paraId="0F580AF3" w14:textId="77777777" w:rsidR="0092760B" w:rsidRPr="00027624" w:rsidRDefault="0092760B" w:rsidP="002A2FAE">
            <w:pPr>
              <w:pStyle w:val="TableTextCentered"/>
            </w:pPr>
            <w:r w:rsidRPr="00027624">
              <w:t>82</w:t>
            </w:r>
          </w:p>
        </w:tc>
        <w:tc>
          <w:tcPr>
            <w:tcW w:w="634" w:type="pct"/>
            <w:vAlign w:val="center"/>
          </w:tcPr>
          <w:p w14:paraId="3FA8B6D6" w14:textId="77777777" w:rsidR="0092760B" w:rsidRPr="00027624" w:rsidRDefault="0092760B" w:rsidP="002A2FAE">
            <w:pPr>
              <w:pStyle w:val="TableTextCentered"/>
            </w:pPr>
            <w:r w:rsidRPr="00027624">
              <w:t>76</w:t>
            </w:r>
          </w:p>
        </w:tc>
        <w:tc>
          <w:tcPr>
            <w:tcW w:w="715" w:type="pct"/>
            <w:vAlign w:val="center"/>
          </w:tcPr>
          <w:p w14:paraId="467B102D" w14:textId="77777777" w:rsidR="0092760B" w:rsidRPr="00027624" w:rsidRDefault="0092760B" w:rsidP="002A2FAE">
            <w:pPr>
              <w:pStyle w:val="TableTextCentered"/>
            </w:pPr>
            <w:r w:rsidRPr="00027624">
              <w:t>69</w:t>
            </w:r>
          </w:p>
        </w:tc>
      </w:tr>
      <w:tr w:rsidR="0092760B" w:rsidRPr="00027624" w14:paraId="18CD8A70" w14:textId="77777777" w:rsidTr="002A2FAE">
        <w:trPr>
          <w:trHeight w:val="270"/>
        </w:trPr>
        <w:tc>
          <w:tcPr>
            <w:tcW w:w="2381" w:type="pct"/>
            <w:vAlign w:val="center"/>
          </w:tcPr>
          <w:p w14:paraId="79E17A3D" w14:textId="77777777" w:rsidR="0092760B" w:rsidRPr="00027624" w:rsidRDefault="0092760B" w:rsidP="002A2FAE">
            <w:pPr>
              <w:pStyle w:val="TableTextLeft"/>
              <w:ind w:left="457"/>
            </w:pPr>
            <w:r w:rsidRPr="00027624">
              <w:rPr>
                <w:rFonts w:cs="Calibri"/>
                <w:szCs w:val="18"/>
              </w:rPr>
              <w:t>Living to 102</w:t>
            </w:r>
          </w:p>
        </w:tc>
        <w:tc>
          <w:tcPr>
            <w:tcW w:w="635" w:type="pct"/>
            <w:vAlign w:val="center"/>
          </w:tcPr>
          <w:p w14:paraId="5A1B656D" w14:textId="77777777" w:rsidR="0092760B" w:rsidRPr="00027624" w:rsidRDefault="0092760B" w:rsidP="002A2FAE">
            <w:pPr>
              <w:pStyle w:val="TableTextCentered"/>
            </w:pPr>
            <w:r w:rsidRPr="00027624">
              <w:t>81</w:t>
            </w:r>
          </w:p>
        </w:tc>
        <w:tc>
          <w:tcPr>
            <w:tcW w:w="635" w:type="pct"/>
            <w:vAlign w:val="center"/>
          </w:tcPr>
          <w:p w14:paraId="680EFCC2" w14:textId="77777777" w:rsidR="0092760B" w:rsidRPr="00027624" w:rsidRDefault="0092760B" w:rsidP="002A2FAE">
            <w:pPr>
              <w:pStyle w:val="TableTextCentered"/>
            </w:pPr>
            <w:r w:rsidRPr="00027624">
              <w:t>91</w:t>
            </w:r>
          </w:p>
        </w:tc>
        <w:tc>
          <w:tcPr>
            <w:tcW w:w="634" w:type="pct"/>
            <w:vAlign w:val="center"/>
          </w:tcPr>
          <w:p w14:paraId="2203897A" w14:textId="77777777" w:rsidR="0092760B" w:rsidRPr="00027624" w:rsidRDefault="0092760B" w:rsidP="002A2FAE">
            <w:pPr>
              <w:pStyle w:val="TableTextCentered"/>
            </w:pPr>
            <w:r w:rsidRPr="00027624">
              <w:t>82</w:t>
            </w:r>
          </w:p>
        </w:tc>
        <w:tc>
          <w:tcPr>
            <w:tcW w:w="715" w:type="pct"/>
            <w:vAlign w:val="center"/>
          </w:tcPr>
          <w:p w14:paraId="7CBDCF7B" w14:textId="77777777" w:rsidR="0092760B" w:rsidRPr="00027624" w:rsidRDefault="0092760B" w:rsidP="002A2FAE">
            <w:pPr>
              <w:pStyle w:val="TableTextCentered"/>
            </w:pPr>
            <w:r w:rsidRPr="00027624">
              <w:t>77</w:t>
            </w:r>
          </w:p>
        </w:tc>
      </w:tr>
      <w:tr w:rsidR="0092760B" w:rsidRPr="00027624" w14:paraId="423F5554" w14:textId="77777777" w:rsidTr="002A2FAE">
        <w:trPr>
          <w:trHeight w:val="270"/>
        </w:trPr>
        <w:tc>
          <w:tcPr>
            <w:tcW w:w="2381" w:type="pct"/>
            <w:vAlign w:val="center"/>
          </w:tcPr>
          <w:p w14:paraId="20449BC5" w14:textId="77777777" w:rsidR="0092760B" w:rsidRPr="00027624" w:rsidRDefault="0092760B" w:rsidP="002A2FAE">
            <w:pPr>
              <w:pStyle w:val="TableTextLeft"/>
              <w:ind w:left="457"/>
            </w:pPr>
            <w:r w:rsidRPr="00027624">
              <w:rPr>
                <w:rFonts w:cs="Calibri"/>
                <w:szCs w:val="18"/>
              </w:rPr>
              <w:t>Living to 102 no longevity product</w:t>
            </w:r>
            <w:r w:rsidRPr="00027624">
              <w:rPr>
                <w:b/>
              </w:rPr>
              <w:t>ⁱⁱⁱ</w:t>
            </w:r>
          </w:p>
        </w:tc>
        <w:tc>
          <w:tcPr>
            <w:tcW w:w="635" w:type="pct"/>
            <w:vAlign w:val="center"/>
          </w:tcPr>
          <w:p w14:paraId="03188712" w14:textId="77777777" w:rsidR="0092760B" w:rsidRPr="00027624" w:rsidRDefault="0092760B" w:rsidP="002A2FAE">
            <w:pPr>
              <w:pStyle w:val="TableTextCentered"/>
            </w:pPr>
            <w:r w:rsidRPr="00027624">
              <w:t>77</w:t>
            </w:r>
          </w:p>
        </w:tc>
        <w:tc>
          <w:tcPr>
            <w:tcW w:w="635" w:type="pct"/>
            <w:vAlign w:val="center"/>
          </w:tcPr>
          <w:p w14:paraId="5F028159" w14:textId="77777777" w:rsidR="0092760B" w:rsidRPr="00027624" w:rsidRDefault="0092760B" w:rsidP="002A2FAE">
            <w:pPr>
              <w:pStyle w:val="TableTextCentered"/>
            </w:pPr>
            <w:r w:rsidRPr="00027624">
              <w:t>85</w:t>
            </w:r>
          </w:p>
        </w:tc>
        <w:tc>
          <w:tcPr>
            <w:tcW w:w="634" w:type="pct"/>
            <w:vAlign w:val="center"/>
          </w:tcPr>
          <w:p w14:paraId="7E291BEE" w14:textId="77777777" w:rsidR="0092760B" w:rsidRPr="00027624" w:rsidRDefault="0092760B" w:rsidP="002A2FAE">
            <w:pPr>
              <w:pStyle w:val="TableTextCentered"/>
            </w:pPr>
            <w:r w:rsidRPr="00027624">
              <w:t>78</w:t>
            </w:r>
          </w:p>
        </w:tc>
        <w:tc>
          <w:tcPr>
            <w:tcW w:w="715" w:type="pct"/>
            <w:vAlign w:val="center"/>
          </w:tcPr>
          <w:p w14:paraId="0A218030" w14:textId="77777777" w:rsidR="0092760B" w:rsidRPr="00027624" w:rsidRDefault="0092760B" w:rsidP="002A2FAE">
            <w:pPr>
              <w:pStyle w:val="TableTextCentered"/>
            </w:pPr>
            <w:r w:rsidRPr="00027624">
              <w:t>73</w:t>
            </w:r>
          </w:p>
        </w:tc>
      </w:tr>
      <w:tr w:rsidR="0092760B" w:rsidRPr="00027624" w14:paraId="0AB7E2F9" w14:textId="77777777" w:rsidTr="002A2FAE">
        <w:trPr>
          <w:trHeight w:val="270"/>
        </w:trPr>
        <w:tc>
          <w:tcPr>
            <w:tcW w:w="2381" w:type="pct"/>
            <w:vAlign w:val="center"/>
          </w:tcPr>
          <w:p w14:paraId="12B95195" w14:textId="77777777" w:rsidR="0092760B" w:rsidRPr="00027624" w:rsidRDefault="0092760B" w:rsidP="002A2FAE">
            <w:pPr>
              <w:pStyle w:val="TableTextLeft"/>
            </w:pPr>
            <w:r w:rsidRPr="00027624">
              <w:rPr>
                <w:rFonts w:cs="Calibri"/>
                <w:szCs w:val="18"/>
                <w:u w:val="single"/>
              </w:rPr>
              <w:t>Calculation differences in replacement rates</w:t>
            </w:r>
          </w:p>
        </w:tc>
        <w:tc>
          <w:tcPr>
            <w:tcW w:w="635" w:type="pct"/>
            <w:vAlign w:val="center"/>
          </w:tcPr>
          <w:p w14:paraId="6A7B8157" w14:textId="77777777" w:rsidR="0092760B" w:rsidRPr="00027624" w:rsidRDefault="0092760B" w:rsidP="002A2FAE">
            <w:pPr>
              <w:pStyle w:val="TableTextCentered"/>
            </w:pPr>
          </w:p>
        </w:tc>
        <w:tc>
          <w:tcPr>
            <w:tcW w:w="635" w:type="pct"/>
            <w:vAlign w:val="center"/>
          </w:tcPr>
          <w:p w14:paraId="1F1DD9FF" w14:textId="77777777" w:rsidR="0092760B" w:rsidRPr="00027624" w:rsidRDefault="0092760B" w:rsidP="002A2FAE">
            <w:pPr>
              <w:pStyle w:val="TableTextCentered"/>
            </w:pPr>
          </w:p>
        </w:tc>
        <w:tc>
          <w:tcPr>
            <w:tcW w:w="634" w:type="pct"/>
            <w:vAlign w:val="center"/>
          </w:tcPr>
          <w:p w14:paraId="5740DAFC" w14:textId="77777777" w:rsidR="0092760B" w:rsidRPr="00027624" w:rsidRDefault="0092760B" w:rsidP="002A2FAE">
            <w:pPr>
              <w:pStyle w:val="TableTextCentered"/>
            </w:pPr>
          </w:p>
        </w:tc>
        <w:tc>
          <w:tcPr>
            <w:tcW w:w="715" w:type="pct"/>
            <w:vAlign w:val="center"/>
          </w:tcPr>
          <w:p w14:paraId="6E1DDD18" w14:textId="77777777" w:rsidR="0092760B" w:rsidRPr="00027624" w:rsidRDefault="0092760B" w:rsidP="002A2FAE">
            <w:pPr>
              <w:pStyle w:val="TableTextCentered"/>
            </w:pPr>
          </w:p>
        </w:tc>
      </w:tr>
      <w:tr w:rsidR="0092760B" w:rsidRPr="00027624" w14:paraId="127C9D5D" w14:textId="77777777" w:rsidTr="002A2FAE">
        <w:trPr>
          <w:trHeight w:val="270"/>
        </w:trPr>
        <w:tc>
          <w:tcPr>
            <w:tcW w:w="2381" w:type="pct"/>
            <w:vAlign w:val="center"/>
          </w:tcPr>
          <w:p w14:paraId="4B8B2AAC" w14:textId="77777777" w:rsidR="0092760B" w:rsidRPr="00027624" w:rsidRDefault="0092760B" w:rsidP="002A2FAE">
            <w:pPr>
              <w:pStyle w:val="TableTextLeft"/>
              <w:ind w:left="457"/>
            </w:pPr>
            <w:r w:rsidRPr="00027624">
              <w:rPr>
                <w:rFonts w:cs="Calibri"/>
                <w:szCs w:val="18"/>
              </w:rPr>
              <w:t>5 years before/5 years after</w:t>
            </w:r>
          </w:p>
        </w:tc>
        <w:tc>
          <w:tcPr>
            <w:tcW w:w="635" w:type="pct"/>
            <w:vAlign w:val="center"/>
          </w:tcPr>
          <w:p w14:paraId="34F0D583" w14:textId="77777777" w:rsidR="0092760B" w:rsidRPr="00027624" w:rsidRDefault="0092760B" w:rsidP="002A2FAE">
            <w:pPr>
              <w:pStyle w:val="TableTextCentered"/>
            </w:pPr>
            <w:r w:rsidRPr="00027624">
              <w:t>82</w:t>
            </w:r>
          </w:p>
        </w:tc>
        <w:tc>
          <w:tcPr>
            <w:tcW w:w="635" w:type="pct"/>
            <w:vAlign w:val="center"/>
          </w:tcPr>
          <w:p w14:paraId="163BD1F1" w14:textId="77777777" w:rsidR="0092760B" w:rsidRPr="00027624" w:rsidRDefault="0092760B" w:rsidP="002A2FAE">
            <w:pPr>
              <w:pStyle w:val="TableTextCentered"/>
            </w:pPr>
            <w:r w:rsidRPr="00027624">
              <w:t>87</w:t>
            </w:r>
          </w:p>
        </w:tc>
        <w:tc>
          <w:tcPr>
            <w:tcW w:w="634" w:type="pct"/>
            <w:vAlign w:val="center"/>
          </w:tcPr>
          <w:p w14:paraId="0FF1CBBE" w14:textId="77777777" w:rsidR="0092760B" w:rsidRPr="00027624" w:rsidRDefault="0092760B" w:rsidP="002A2FAE">
            <w:pPr>
              <w:pStyle w:val="TableTextCentered"/>
            </w:pPr>
            <w:r w:rsidRPr="00027624">
              <w:t>78</w:t>
            </w:r>
          </w:p>
        </w:tc>
        <w:tc>
          <w:tcPr>
            <w:tcW w:w="715" w:type="pct"/>
            <w:vAlign w:val="center"/>
          </w:tcPr>
          <w:p w14:paraId="4A21EC8C" w14:textId="77777777" w:rsidR="0092760B" w:rsidRPr="00027624" w:rsidRDefault="0092760B" w:rsidP="002A2FAE">
            <w:pPr>
              <w:pStyle w:val="TableTextCentered"/>
            </w:pPr>
            <w:r w:rsidRPr="00027624">
              <w:t>82</w:t>
            </w:r>
          </w:p>
        </w:tc>
      </w:tr>
      <w:tr w:rsidR="0092760B" w:rsidRPr="00027624" w14:paraId="414073E8" w14:textId="77777777" w:rsidTr="002A2FAE">
        <w:trPr>
          <w:trHeight w:val="270"/>
        </w:trPr>
        <w:tc>
          <w:tcPr>
            <w:tcW w:w="2381" w:type="pct"/>
            <w:vAlign w:val="center"/>
          </w:tcPr>
          <w:p w14:paraId="51ADBED8" w14:textId="77777777" w:rsidR="0092760B" w:rsidRPr="00027624" w:rsidRDefault="0092760B" w:rsidP="002A2FAE">
            <w:pPr>
              <w:pStyle w:val="TableTextLeft"/>
              <w:ind w:left="457"/>
            </w:pPr>
            <w:r w:rsidRPr="00027624">
              <w:rPr>
                <w:rFonts w:cs="Calibri"/>
                <w:szCs w:val="18"/>
              </w:rPr>
              <w:t>15 years before/15 years after</w:t>
            </w:r>
          </w:p>
        </w:tc>
        <w:tc>
          <w:tcPr>
            <w:tcW w:w="635" w:type="pct"/>
            <w:vAlign w:val="center"/>
          </w:tcPr>
          <w:p w14:paraId="117F37F1" w14:textId="77777777" w:rsidR="0092760B" w:rsidRPr="00027624" w:rsidRDefault="0092760B" w:rsidP="002A2FAE">
            <w:pPr>
              <w:pStyle w:val="TableTextCentered"/>
            </w:pPr>
            <w:r w:rsidRPr="00027624">
              <w:t>77</w:t>
            </w:r>
          </w:p>
        </w:tc>
        <w:tc>
          <w:tcPr>
            <w:tcW w:w="635" w:type="pct"/>
            <w:vAlign w:val="center"/>
          </w:tcPr>
          <w:p w14:paraId="5891D95D" w14:textId="77777777" w:rsidR="0092760B" w:rsidRPr="00027624" w:rsidRDefault="0092760B" w:rsidP="002A2FAE">
            <w:pPr>
              <w:pStyle w:val="TableTextCentered"/>
            </w:pPr>
            <w:r w:rsidRPr="00027624">
              <w:t>83</w:t>
            </w:r>
          </w:p>
        </w:tc>
        <w:tc>
          <w:tcPr>
            <w:tcW w:w="634" w:type="pct"/>
            <w:vAlign w:val="center"/>
          </w:tcPr>
          <w:p w14:paraId="6E4CA331" w14:textId="77777777" w:rsidR="0092760B" w:rsidRPr="00027624" w:rsidRDefault="0092760B" w:rsidP="002A2FAE">
            <w:pPr>
              <w:pStyle w:val="TableTextCentered"/>
            </w:pPr>
            <w:r w:rsidRPr="00027624">
              <w:t>78</w:t>
            </w:r>
          </w:p>
        </w:tc>
        <w:tc>
          <w:tcPr>
            <w:tcW w:w="715" w:type="pct"/>
            <w:vAlign w:val="center"/>
          </w:tcPr>
          <w:p w14:paraId="0D1D89E9" w14:textId="77777777" w:rsidR="0092760B" w:rsidRPr="00027624" w:rsidRDefault="0092760B" w:rsidP="002A2FAE">
            <w:pPr>
              <w:pStyle w:val="TableTextCentered"/>
            </w:pPr>
            <w:r w:rsidRPr="00027624">
              <w:t>72</w:t>
            </w:r>
          </w:p>
        </w:tc>
      </w:tr>
      <w:tr w:rsidR="0092760B" w:rsidRPr="00027624" w14:paraId="40EBE8D1" w14:textId="77777777" w:rsidTr="002A2FAE">
        <w:trPr>
          <w:trHeight w:val="270"/>
        </w:trPr>
        <w:tc>
          <w:tcPr>
            <w:tcW w:w="2381" w:type="pct"/>
            <w:vAlign w:val="center"/>
          </w:tcPr>
          <w:p w14:paraId="60AB50F7" w14:textId="77777777" w:rsidR="0092760B" w:rsidRPr="00027624" w:rsidRDefault="0092760B" w:rsidP="002A2FAE">
            <w:pPr>
              <w:pStyle w:val="TableTextLeft"/>
              <w:ind w:left="457"/>
            </w:pPr>
            <w:r w:rsidRPr="00027624">
              <w:rPr>
                <w:rFonts w:cs="Calibri"/>
                <w:szCs w:val="18"/>
              </w:rPr>
              <w:t>Wage deflator</w:t>
            </w:r>
          </w:p>
        </w:tc>
        <w:tc>
          <w:tcPr>
            <w:tcW w:w="635" w:type="pct"/>
            <w:vAlign w:val="center"/>
          </w:tcPr>
          <w:p w14:paraId="274DEAB9" w14:textId="77777777" w:rsidR="0092760B" w:rsidRPr="00027624" w:rsidRDefault="0092760B" w:rsidP="002A2FAE">
            <w:pPr>
              <w:pStyle w:val="TableTextCentered"/>
            </w:pPr>
            <w:r w:rsidRPr="00027624">
              <w:t>67</w:t>
            </w:r>
          </w:p>
        </w:tc>
        <w:tc>
          <w:tcPr>
            <w:tcW w:w="635" w:type="pct"/>
            <w:vAlign w:val="center"/>
          </w:tcPr>
          <w:p w14:paraId="7332909F" w14:textId="77777777" w:rsidR="0092760B" w:rsidRPr="00027624" w:rsidRDefault="0092760B" w:rsidP="002A2FAE">
            <w:pPr>
              <w:pStyle w:val="TableTextCentered"/>
            </w:pPr>
            <w:r w:rsidRPr="00027624">
              <w:t>72</w:t>
            </w:r>
          </w:p>
        </w:tc>
        <w:tc>
          <w:tcPr>
            <w:tcW w:w="634" w:type="pct"/>
            <w:vAlign w:val="center"/>
          </w:tcPr>
          <w:p w14:paraId="75E326A9" w14:textId="77777777" w:rsidR="0092760B" w:rsidRPr="00027624" w:rsidRDefault="0092760B" w:rsidP="002A2FAE">
            <w:pPr>
              <w:pStyle w:val="TableTextCentered"/>
            </w:pPr>
            <w:r w:rsidRPr="00027624">
              <w:t>68</w:t>
            </w:r>
          </w:p>
        </w:tc>
        <w:tc>
          <w:tcPr>
            <w:tcW w:w="715" w:type="pct"/>
            <w:vAlign w:val="center"/>
          </w:tcPr>
          <w:p w14:paraId="264F07D3" w14:textId="77777777" w:rsidR="0092760B" w:rsidRPr="00027624" w:rsidRDefault="0092760B" w:rsidP="002A2FAE">
            <w:pPr>
              <w:pStyle w:val="TableTextCentered"/>
            </w:pPr>
            <w:r w:rsidRPr="00027624">
              <w:t>65</w:t>
            </w:r>
          </w:p>
        </w:tc>
      </w:tr>
      <w:tr w:rsidR="0092760B" w:rsidRPr="00027624" w14:paraId="55508890" w14:textId="77777777" w:rsidTr="002A2FAE">
        <w:trPr>
          <w:trHeight w:val="270"/>
        </w:trPr>
        <w:tc>
          <w:tcPr>
            <w:tcW w:w="2381" w:type="pct"/>
            <w:vAlign w:val="center"/>
          </w:tcPr>
          <w:p w14:paraId="354F787C" w14:textId="77777777" w:rsidR="0092760B" w:rsidRPr="00027624" w:rsidRDefault="0092760B" w:rsidP="002A2FAE">
            <w:pPr>
              <w:pStyle w:val="TableTextLeft"/>
              <w:ind w:left="457"/>
            </w:pPr>
            <w:r w:rsidRPr="00027624">
              <w:rPr>
                <w:rFonts w:cs="Calibri"/>
                <w:szCs w:val="18"/>
              </w:rPr>
              <w:t>CPI deflator</w:t>
            </w:r>
          </w:p>
        </w:tc>
        <w:tc>
          <w:tcPr>
            <w:tcW w:w="635" w:type="pct"/>
            <w:vAlign w:val="center"/>
          </w:tcPr>
          <w:p w14:paraId="44CE0FBA" w14:textId="77777777" w:rsidR="0092760B" w:rsidRPr="00027624" w:rsidRDefault="0092760B" w:rsidP="002A2FAE">
            <w:pPr>
              <w:pStyle w:val="TableTextCentered"/>
            </w:pPr>
            <w:r w:rsidRPr="00027624">
              <w:t>87</w:t>
            </w:r>
          </w:p>
        </w:tc>
        <w:tc>
          <w:tcPr>
            <w:tcW w:w="635" w:type="pct"/>
            <w:vAlign w:val="center"/>
          </w:tcPr>
          <w:p w14:paraId="303E34E1" w14:textId="77777777" w:rsidR="0092760B" w:rsidRPr="00027624" w:rsidRDefault="0092760B" w:rsidP="002A2FAE">
            <w:pPr>
              <w:pStyle w:val="TableTextCentered"/>
            </w:pPr>
            <w:r w:rsidRPr="00027624">
              <w:t>94</w:t>
            </w:r>
          </w:p>
        </w:tc>
        <w:tc>
          <w:tcPr>
            <w:tcW w:w="634" w:type="pct"/>
            <w:vAlign w:val="center"/>
          </w:tcPr>
          <w:p w14:paraId="5D7F5B33" w14:textId="77777777" w:rsidR="0092760B" w:rsidRPr="00027624" w:rsidRDefault="0092760B" w:rsidP="002A2FAE">
            <w:pPr>
              <w:pStyle w:val="TableTextCentered"/>
            </w:pPr>
            <w:r w:rsidRPr="00027624">
              <w:t>88</w:t>
            </w:r>
          </w:p>
        </w:tc>
        <w:tc>
          <w:tcPr>
            <w:tcW w:w="715" w:type="pct"/>
            <w:vAlign w:val="center"/>
          </w:tcPr>
          <w:p w14:paraId="79DAADF5" w14:textId="77777777" w:rsidR="0092760B" w:rsidRPr="00027624" w:rsidRDefault="0092760B" w:rsidP="002A2FAE">
            <w:pPr>
              <w:pStyle w:val="TableTextCentered"/>
            </w:pPr>
            <w:r w:rsidRPr="00027624">
              <w:t>84</w:t>
            </w:r>
          </w:p>
        </w:tc>
      </w:tr>
    </w:tbl>
    <w:p w14:paraId="0D93E032" w14:textId="77777777" w:rsidR="0092760B" w:rsidRDefault="0092760B" w:rsidP="002A2FAE">
      <w:pPr>
        <w:pStyle w:val="Caption"/>
        <w:spacing w:after="240"/>
        <w:rPr>
          <w:i w:val="0"/>
          <w:color w:val="000000"/>
        </w:rPr>
      </w:pPr>
      <w:r w:rsidRPr="00027624">
        <w:rPr>
          <w:i w:val="0"/>
          <w:color w:val="auto"/>
        </w:rPr>
        <w:t>Note: All sensitivities assume working life of 27</w:t>
      </w:r>
      <w:r w:rsidR="00A8443E" w:rsidRPr="00027624">
        <w:rPr>
          <w:i w:val="0"/>
          <w:color w:val="auto"/>
        </w:rPr>
        <w:noBreakHyphen/>
      </w:r>
      <w:r w:rsidRPr="00027624">
        <w:rPr>
          <w:i w:val="0"/>
          <w:color w:val="auto"/>
        </w:rPr>
        <w:t>67, starting in 2019</w:t>
      </w:r>
      <w:r w:rsidR="00A8443E" w:rsidRPr="00027624">
        <w:rPr>
          <w:i w:val="0"/>
          <w:color w:val="auto"/>
        </w:rPr>
        <w:noBreakHyphen/>
      </w:r>
      <w:r w:rsidRPr="00027624">
        <w:rPr>
          <w:i w:val="0"/>
          <w:color w:val="auto"/>
        </w:rPr>
        <w:t>20, unless otherwise specified. Income distributions are based on relevant cohorts, for example the median couple is based on the income distribution of couples</w:t>
      </w:r>
      <w:r w:rsidRPr="00027624">
        <w:rPr>
          <w:i w:val="0"/>
        </w:rPr>
        <w:t xml:space="preserve">. </w:t>
      </w:r>
      <w:r w:rsidRPr="00027624">
        <w:rPr>
          <w:i w:val="0"/>
          <w:color w:val="auto"/>
        </w:rPr>
        <w:t>ⁱLow wage growth scenario assumes 3.5 per cent nominal wages growth from 2032</w:t>
      </w:r>
      <w:r w:rsidR="00A8443E" w:rsidRPr="00027624">
        <w:rPr>
          <w:i w:val="0"/>
          <w:color w:val="auto"/>
        </w:rPr>
        <w:noBreakHyphen/>
      </w:r>
      <w:r w:rsidRPr="00027624">
        <w:rPr>
          <w:i w:val="0"/>
          <w:color w:val="auto"/>
        </w:rPr>
        <w:t>33 and 0.5 percentage point lower investment returns. ⁱⁱA once</w:t>
      </w:r>
      <w:r w:rsidR="00A8443E" w:rsidRPr="00027624">
        <w:rPr>
          <w:i w:val="0"/>
          <w:color w:val="auto"/>
        </w:rPr>
        <w:noBreakHyphen/>
      </w:r>
      <w:r w:rsidRPr="00027624">
        <w:rPr>
          <w:i w:val="0"/>
          <w:color w:val="auto"/>
        </w:rPr>
        <w:t xml:space="preserve">off 25 per cent reduction of super balances at retirement that does not recover. ⁱⁱⁱAssumes no longevity product purchase. </w:t>
      </w:r>
      <w:r w:rsidRPr="00027624">
        <w:rPr>
          <w:b/>
          <w:i w:val="0"/>
          <w:color w:val="auto"/>
          <w:vertAlign w:val="superscript"/>
        </w:rPr>
        <w:t>iv</w:t>
      </w:r>
      <w:r w:rsidRPr="00027624">
        <w:rPr>
          <w:i w:val="0"/>
          <w:color w:val="auto"/>
        </w:rPr>
        <w:t>Working</w:t>
      </w:r>
      <w:r w:rsidR="00A8443E" w:rsidRPr="00027624">
        <w:rPr>
          <w:i w:val="0"/>
          <w:color w:val="auto"/>
        </w:rPr>
        <w:noBreakHyphen/>
      </w:r>
      <w:r w:rsidRPr="00027624">
        <w:rPr>
          <w:i w:val="0"/>
          <w:color w:val="auto"/>
        </w:rPr>
        <w:t xml:space="preserve">life income from the central case is used as the replacement rate denominator to ensure consistency between results. </w:t>
      </w:r>
      <w:r w:rsidRPr="00027624">
        <w:rPr>
          <w:rFonts w:cs="Calibri"/>
          <w:b/>
          <w:i w:val="0"/>
          <w:color w:val="auto"/>
          <w:vertAlign w:val="superscript"/>
        </w:rPr>
        <w:t>v</w:t>
      </w:r>
      <w:r w:rsidRPr="00027624">
        <w:rPr>
          <w:i w:val="0"/>
          <w:color w:val="auto"/>
        </w:rPr>
        <w:t xml:space="preserve"> Working</w:t>
      </w:r>
      <w:r w:rsidR="00A8443E" w:rsidRPr="00027624">
        <w:rPr>
          <w:i w:val="0"/>
          <w:color w:val="auto"/>
        </w:rPr>
        <w:noBreakHyphen/>
      </w:r>
      <w:r w:rsidRPr="00027624">
        <w:rPr>
          <w:i w:val="0"/>
          <w:color w:val="auto"/>
        </w:rPr>
        <w:t xml:space="preserve">life income from the central case is used as the replacement rate denominator to ensure consistency between results. People who retire earlier than 67 draw down super from age 60 at the higher of the maximum Age Pension less any income support they receive or minimum legislated rates until age 67. Review drawdowns assumptions used from age 67. Age Pension eligibility is for home owners and couples based on partnered eligibility; all other household types assume the person is single. </w:t>
      </w:r>
      <w:r w:rsidRPr="00027624">
        <w:rPr>
          <w:b/>
          <w:i w:val="0"/>
          <w:color w:val="auto"/>
          <w:vertAlign w:val="superscript"/>
        </w:rPr>
        <w:t>vi</w:t>
      </w:r>
      <w:r w:rsidRPr="00027624">
        <w:rPr>
          <w:i w:val="0"/>
          <w:color w:val="auto"/>
        </w:rPr>
        <w:t>Assumes people start work aged 25 in 2019</w:t>
      </w:r>
      <w:r w:rsidR="00A8443E" w:rsidRPr="00027624">
        <w:rPr>
          <w:i w:val="0"/>
          <w:color w:val="auto"/>
        </w:rPr>
        <w:noBreakHyphen/>
      </w:r>
      <w:r w:rsidRPr="00027624">
        <w:rPr>
          <w:i w:val="0"/>
          <w:color w:val="auto"/>
        </w:rPr>
        <w:t xml:space="preserve">20, and retire at age 60 in 2062. </w:t>
      </w:r>
      <w:r w:rsidRPr="00027624">
        <w:rPr>
          <w:b/>
          <w:i w:val="0"/>
          <w:color w:val="auto"/>
          <w:vertAlign w:val="superscript"/>
        </w:rPr>
        <w:t>vi</w:t>
      </w:r>
      <w:r w:rsidRPr="00027624">
        <w:rPr>
          <w:i w:val="0"/>
          <w:color w:val="auto"/>
        </w:rPr>
        <w:t>Assumes a two</w:t>
      </w:r>
      <w:r w:rsidR="00A8443E" w:rsidRPr="00027624">
        <w:rPr>
          <w:i w:val="0"/>
          <w:color w:val="auto"/>
        </w:rPr>
        <w:noBreakHyphen/>
      </w:r>
      <w:r w:rsidRPr="00027624">
        <w:rPr>
          <w:i w:val="0"/>
          <w:color w:val="auto"/>
        </w:rPr>
        <w:t>year career break for women from ages 30</w:t>
      </w:r>
      <w:r w:rsidR="00A8443E" w:rsidRPr="00027624">
        <w:rPr>
          <w:i w:val="0"/>
          <w:color w:val="auto"/>
        </w:rPr>
        <w:noBreakHyphen/>
      </w:r>
      <w:r w:rsidRPr="00027624">
        <w:rPr>
          <w:i w:val="0"/>
          <w:color w:val="auto"/>
        </w:rPr>
        <w:t xml:space="preserve">31. Women therefore work two years less in these scenarios. </w:t>
      </w:r>
      <w:r w:rsidRPr="00027624">
        <w:rPr>
          <w:rFonts w:cs="Calibri"/>
          <w:b/>
          <w:i w:val="0"/>
          <w:color w:val="auto"/>
          <w:vertAlign w:val="superscript"/>
        </w:rPr>
        <w:t>viii</w:t>
      </w:r>
      <w:r w:rsidRPr="00027624">
        <w:rPr>
          <w:rFonts w:cs="Calibri"/>
          <w:i w:val="0"/>
          <w:color w:val="auto"/>
        </w:rPr>
        <w:t xml:space="preserve">Assumes both members of the couple have shorter working lives. </w:t>
      </w:r>
      <w:r w:rsidRPr="00027624">
        <w:rPr>
          <w:rFonts w:cs="Calibri"/>
          <w:b/>
          <w:i w:val="0"/>
          <w:color w:val="auto"/>
          <w:vertAlign w:val="superscript"/>
        </w:rPr>
        <w:t>ix</w:t>
      </w:r>
      <w:r w:rsidRPr="00027624">
        <w:rPr>
          <w:rFonts w:cs="Calibri"/>
          <w:i w:val="0"/>
          <w:color w:val="auto"/>
        </w:rPr>
        <w:t xml:space="preserve">Coupled early retirement scenarios include: 1) the primary earner retires early, while the secondary earner works to age 67; 2) both members of the couple retire early. </w:t>
      </w:r>
      <w:r w:rsidRPr="00027624">
        <w:rPr>
          <w:rFonts w:cs="Calibri"/>
          <w:b/>
          <w:i w:val="0"/>
          <w:vertAlign w:val="superscript"/>
        </w:rPr>
        <w:t>x</w:t>
      </w:r>
      <w:r w:rsidRPr="00027624">
        <w:rPr>
          <w:i w:val="0"/>
          <w:color w:val="auto"/>
        </w:rPr>
        <w:t>Low SG coverage assumes no SG from ages 35</w:t>
      </w:r>
      <w:r w:rsidR="00A8443E" w:rsidRPr="00027624">
        <w:rPr>
          <w:i w:val="0"/>
          <w:color w:val="auto"/>
        </w:rPr>
        <w:noBreakHyphen/>
      </w:r>
      <w:r w:rsidRPr="00027624">
        <w:rPr>
          <w:i w:val="0"/>
          <w:color w:val="auto"/>
        </w:rPr>
        <w:t>42. Source:</w:t>
      </w:r>
      <w:r w:rsidRPr="00027624">
        <w:rPr>
          <w:i w:val="0"/>
          <w:color w:val="000000"/>
        </w:rPr>
        <w:t xml:space="preserve"> Cameo modelling undertaken for the review.</w:t>
      </w:r>
    </w:p>
    <w:p w14:paraId="7D0C9682" w14:textId="77777777" w:rsidR="0092760B" w:rsidRPr="0007307B" w:rsidRDefault="0007307B" w:rsidP="0007307B">
      <w:pPr>
        <w:rPr>
          <w:sz w:val="18"/>
          <w:szCs w:val="18"/>
        </w:rPr>
      </w:pPr>
      <w:r>
        <w:br w:type="page"/>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0C267E28" w14:textId="77777777" w:rsidTr="002A2FAE">
        <w:tc>
          <w:tcPr>
            <w:tcW w:w="9072" w:type="dxa"/>
            <w:shd w:val="clear" w:color="auto" w:fill="FFF8EA"/>
          </w:tcPr>
          <w:p w14:paraId="66F6E9D7" w14:textId="77777777" w:rsidR="0092760B" w:rsidRPr="00027624" w:rsidRDefault="0092760B" w:rsidP="00325A8D">
            <w:pPr>
              <w:pStyle w:val="BoxHeading"/>
              <w:spacing w:before="120"/>
            </w:pPr>
            <w:bookmarkStart w:id="570" w:name="_Ref39163962"/>
            <w:r w:rsidRPr="00027624">
              <w:lastRenderedPageBreak/>
              <w:t>The Age Pension means test and sensitivity analysis</w:t>
            </w:r>
            <w:bookmarkEnd w:id="570"/>
          </w:p>
          <w:p w14:paraId="2975DD9C" w14:textId="77777777" w:rsidR="0092760B" w:rsidRPr="00027624" w:rsidRDefault="0092760B" w:rsidP="002A2FAE">
            <w:r w:rsidRPr="00027624">
              <w:t>Because of the Age Pension, even using different modelling assumptions, many retirees are expected to achieve adequate outcomes. This reflects that:</w:t>
            </w:r>
          </w:p>
          <w:p w14:paraId="29C370DB" w14:textId="3558A8F3" w:rsidR="0092760B" w:rsidRPr="00027624" w:rsidRDefault="0092760B" w:rsidP="0092760B">
            <w:pPr>
              <w:pStyle w:val="Bullet"/>
            </w:pPr>
            <w:r w:rsidRPr="00027624">
              <w:t>The maximum rate of the Age Pension gives retirees a minimum level of support. The Age Pension alone can replace about half the income for the median earner retiring in 2060 (</w:t>
            </w:r>
            <w:r w:rsidRPr="00027624">
              <w:fldChar w:fldCharType="begin"/>
            </w:r>
            <w:r w:rsidRPr="00027624">
              <w:instrText xml:space="preserve"> REF _Ref39499163 \r \h  \* MERGEFORMAT </w:instrText>
            </w:r>
            <w:r w:rsidRPr="00027624">
              <w:fldChar w:fldCharType="separate"/>
            </w:r>
            <w:r w:rsidR="00891058">
              <w:t>Chart 2C-4</w:t>
            </w:r>
            <w:r w:rsidRPr="00027624">
              <w:fldChar w:fldCharType="end"/>
            </w:r>
            <w:r w:rsidRPr="00027624">
              <w:t>).</w:t>
            </w:r>
          </w:p>
          <w:p w14:paraId="49CD4A77" w14:textId="77777777" w:rsidR="0092760B" w:rsidRPr="00027624" w:rsidRDefault="0092760B" w:rsidP="0092760B">
            <w:pPr>
              <w:pStyle w:val="Bullet"/>
            </w:pPr>
            <w:r w:rsidRPr="00027624">
              <w:t>The means test increases retirement incomes if assets (or incomes) are lower. The taper rate under the assets test compensates for a large portion of the lost income from lower asset balances.</w:t>
            </w:r>
          </w:p>
          <w:p w14:paraId="63AE86F4" w14:textId="77777777" w:rsidR="0092760B" w:rsidRPr="00027624" w:rsidRDefault="0092760B" w:rsidP="002A2FAE">
            <w:r w:rsidRPr="00027624">
              <w:t>Sensitivity analysis shows that, even when retirees have lower assets at retirement, they only experience minor changes in replacement rates. The impact of lower assets is offset by higher Age Pension payments, which can rise significantly due to the taper rate under the assets test (</w:t>
            </w:r>
            <w:r w:rsidRPr="00027624">
              <w:rPr>
                <w:i/>
              </w:rPr>
              <w:t>see 5B. Policy scenario: Implications of changing Age Pension means test settings</w:t>
            </w:r>
            <w:r w:rsidRPr="00027624">
              <w:t xml:space="preserve">). </w:t>
            </w:r>
          </w:p>
          <w:p w14:paraId="397C22AC" w14:textId="77777777" w:rsidR="0092760B" w:rsidRPr="00027624" w:rsidRDefault="0092760B" w:rsidP="002A2FAE">
            <w:r w:rsidRPr="00027624">
              <w:t>For example, an investment shock that reduces the median earner</w:t>
            </w:r>
            <w:r w:rsidR="00A8443E" w:rsidRPr="00027624">
              <w:t>’</w:t>
            </w:r>
            <w:r w:rsidRPr="00027624">
              <w:t xml:space="preserve">s superannuation balance from around $450,000 to $300,000 (bringing their retirement balance into the bottom 30 per cent) would only reduce their retirement income by about $5,000. </w:t>
            </w:r>
          </w:p>
          <w:p w14:paraId="6A4AE6C4" w14:textId="77777777" w:rsidR="0092760B" w:rsidRPr="00027624" w:rsidRDefault="0092760B" w:rsidP="00325A8D">
            <w:pPr>
              <w:pStyle w:val="ChartMainHeading"/>
              <w:keepLines/>
              <w:pageBreakBefore/>
            </w:pPr>
            <w:r w:rsidRPr="00027624">
              <w:t>Projected annual retirement income by superannuation balance</w:t>
            </w:r>
          </w:p>
          <w:p w14:paraId="5683D594" w14:textId="77777777" w:rsidR="0092760B" w:rsidRPr="00027624" w:rsidRDefault="001B0D35" w:rsidP="002A2FAE">
            <w:pPr>
              <w:pStyle w:val="ChartGraphic"/>
            </w:pPr>
            <w:r>
              <w:rPr>
                <w:noProof/>
              </w:rPr>
              <w:drawing>
                <wp:inline distT="0" distB="0" distL="0" distR="0" wp14:anchorId="451883E4" wp14:editId="58889479">
                  <wp:extent cx="5577840" cy="2667000"/>
                  <wp:effectExtent l="0" t="0" r="3810" b="0"/>
                  <wp:docPr id="2062294292" name="Picture 2062294292" descr="This chart shows that higher superannuation balances don’t necessarily increase retirement incomes significantly for some lower- and middle-income earners due to lower Age Pension payments." title="Chart 2C-21 Projected annual retirement income by superannuation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77840" cy="2667000"/>
                          </a:xfrm>
                          <a:prstGeom prst="rect">
                            <a:avLst/>
                          </a:prstGeom>
                          <a:noFill/>
                        </pic:spPr>
                      </pic:pic>
                    </a:graphicData>
                  </a:graphic>
                </wp:inline>
              </w:drawing>
            </w:r>
          </w:p>
          <w:p w14:paraId="1AA56995" w14:textId="77777777" w:rsidR="0092760B" w:rsidRPr="00027624" w:rsidRDefault="0092760B" w:rsidP="002A2FAE">
            <w:pPr>
              <w:pStyle w:val="ChartorTableNote"/>
            </w:pPr>
            <w:r w:rsidRPr="00027624">
              <w:t>Note: Assumes people draw down 10 per cent of their superannuation assets, values are for 2060 and deflated to today</w:t>
            </w:r>
            <w:r w:rsidR="00A8443E" w:rsidRPr="00027624">
              <w:t>’</w:t>
            </w:r>
            <w:r w:rsidRPr="00027624">
              <w:t>s dollars using review deflator. Assumes no non</w:t>
            </w:r>
            <w:r w:rsidR="00A8443E" w:rsidRPr="00027624">
              <w:noBreakHyphen/>
            </w:r>
            <w:r w:rsidRPr="00027624">
              <w:t>superannuation assets for illustrative purposes. First year of retirement in 2060 only. Source: Cameo modelling undertaken for the review.</w:t>
            </w:r>
          </w:p>
          <w:p w14:paraId="56D0324C" w14:textId="77777777" w:rsidR="0092760B" w:rsidRPr="00027624" w:rsidRDefault="0092760B" w:rsidP="00632966">
            <w:pPr>
              <w:keepNext/>
              <w:keepLines/>
            </w:pPr>
            <w:r w:rsidRPr="00027624">
              <w:t>The importance of means testing in determining people</w:t>
            </w:r>
            <w:r w:rsidR="00A8443E" w:rsidRPr="00027624">
              <w:t>’</w:t>
            </w:r>
            <w:r w:rsidRPr="00027624">
              <w:t>s retirement outcomes is expected to grow in the future. The proportion of age pensioners receiving part</w:t>
            </w:r>
            <w:r w:rsidR="00A8443E" w:rsidRPr="00027624">
              <w:noBreakHyphen/>
            </w:r>
            <w:r w:rsidRPr="00027624">
              <w:t>rate Age Pensions is estimated to increase from 3</w:t>
            </w:r>
            <w:r w:rsidR="00121600" w:rsidRPr="00027624">
              <w:t>8</w:t>
            </w:r>
            <w:r w:rsidRPr="00027624">
              <w:t> per cent of age pensioners today, to 6</w:t>
            </w:r>
            <w:r w:rsidR="00121600" w:rsidRPr="00027624">
              <w:t>3</w:t>
            </w:r>
            <w:r w:rsidRPr="00027624">
              <w:t> per cent of age pensioners in 2060 (</w:t>
            </w:r>
            <w:r w:rsidRPr="00027624">
              <w:rPr>
                <w:i/>
              </w:rPr>
              <w:t xml:space="preserve">see </w:t>
            </w:r>
            <w:r w:rsidR="00121600" w:rsidRPr="00027624">
              <w:rPr>
                <w:i/>
              </w:rPr>
              <w:t>4</w:t>
            </w:r>
            <w:r w:rsidRPr="00027624">
              <w:rPr>
                <w:i/>
              </w:rPr>
              <w:t>. Sustainability</w:t>
            </w:r>
            <w:r w:rsidRPr="00027624">
              <w:t>).</w:t>
            </w:r>
          </w:p>
        </w:tc>
      </w:tr>
    </w:tbl>
    <w:p w14:paraId="3BC27144" w14:textId="77777777" w:rsidR="0092760B" w:rsidRPr="00027624" w:rsidRDefault="0092760B" w:rsidP="002A2FAE">
      <w:pPr>
        <w:pStyle w:val="Heading2"/>
      </w:pPr>
      <w:bookmarkStart w:id="571" w:name="_Toc45520476"/>
      <w:bookmarkStart w:id="572" w:name="_Toc46133586"/>
      <w:r w:rsidRPr="00027624">
        <w:lastRenderedPageBreak/>
        <w:t>The retirement income system and the risk of economic shocks</w:t>
      </w:r>
      <w:bookmarkEnd w:id="571"/>
      <w:bookmarkEnd w:id="572"/>
    </w:p>
    <w:tbl>
      <w:tblPr>
        <w:tblStyle w:val="TableGrid"/>
        <w:tblW w:w="5000" w:type="pct"/>
        <w:shd w:val="clear" w:color="auto" w:fill="FFF8EA"/>
        <w:tblLook w:val="04A0" w:firstRow="1" w:lastRow="0" w:firstColumn="1" w:lastColumn="0" w:noHBand="0" w:noVBand="1"/>
      </w:tblPr>
      <w:tblGrid>
        <w:gridCol w:w="9070"/>
      </w:tblGrid>
      <w:tr w:rsidR="0092760B" w:rsidRPr="00027624" w14:paraId="53A43ADD" w14:textId="77777777" w:rsidTr="002A2FAE">
        <w:tc>
          <w:tcPr>
            <w:tcW w:w="5000" w:type="pct"/>
            <w:shd w:val="clear" w:color="auto" w:fill="FFF8EA"/>
          </w:tcPr>
          <w:p w14:paraId="2D80020A" w14:textId="77777777" w:rsidR="0092760B" w:rsidRPr="00027624" w:rsidRDefault="0092760B" w:rsidP="00325A8D">
            <w:pPr>
              <w:pStyle w:val="BoxHeading"/>
            </w:pPr>
            <w:bookmarkStart w:id="573" w:name="_Ref44948410"/>
            <w:r w:rsidRPr="00027624">
              <w:t>Retirement income adequacy and economic shocks</w:t>
            </w:r>
            <w:bookmarkEnd w:id="573"/>
          </w:p>
          <w:p w14:paraId="22DB0649" w14:textId="77777777" w:rsidR="0092760B" w:rsidRPr="00027624" w:rsidRDefault="0092760B" w:rsidP="0092760B">
            <w:pPr>
              <w:pStyle w:val="BoxBullet"/>
            </w:pPr>
            <w:r w:rsidRPr="00027624">
              <w:rPr>
                <w:b/>
              </w:rPr>
              <w:t>Exposure to market returns is a strength of Australia</w:t>
            </w:r>
            <w:r w:rsidR="00A8443E" w:rsidRPr="00027624">
              <w:rPr>
                <w:b/>
              </w:rPr>
              <w:t>’</w:t>
            </w:r>
            <w:r w:rsidRPr="00027624">
              <w:rPr>
                <w:b/>
              </w:rPr>
              <w:t xml:space="preserve">s superannuation income system. </w:t>
            </w:r>
            <w:r w:rsidRPr="00027624">
              <w:t>Most Australians are invested in a superannuation fund that yields solid market returns in the long term. But markets are vulnerable to investment and sequencing risk, which can impair retirement outcomes.</w:t>
            </w:r>
          </w:p>
          <w:p w14:paraId="478CF164" w14:textId="77777777" w:rsidR="0092760B" w:rsidRPr="00027624" w:rsidRDefault="0092760B" w:rsidP="0092760B">
            <w:pPr>
              <w:pStyle w:val="BoxBullet"/>
            </w:pPr>
            <w:r w:rsidRPr="00027624">
              <w:rPr>
                <w:b/>
              </w:rPr>
              <w:t>The system provides significant protection from stock market falls.</w:t>
            </w:r>
          </w:p>
          <w:p w14:paraId="05155F20" w14:textId="7BAA2CF2" w:rsidR="0092760B" w:rsidRPr="00027624" w:rsidRDefault="0092760B" w:rsidP="0092760B">
            <w:pPr>
              <w:pStyle w:val="BoxDash"/>
              <w:ind w:left="567"/>
            </w:pPr>
            <w:r w:rsidRPr="00027624">
              <w:t>Superannuation fund returns, on average, are less affected than the stock market (</w:t>
            </w:r>
            <w:r w:rsidRPr="00027624">
              <w:fldChar w:fldCharType="begin"/>
            </w:r>
            <w:r w:rsidRPr="00027624">
              <w:instrText xml:space="preserve"> REF _Ref39265794 \r \h  \* MERGEFORMAT </w:instrText>
            </w:r>
            <w:r w:rsidRPr="00027624">
              <w:fldChar w:fldCharType="separate"/>
            </w:r>
            <w:r w:rsidR="00891058">
              <w:t>Chart 2C-22</w:t>
            </w:r>
            <w:r w:rsidRPr="00027624">
              <w:fldChar w:fldCharType="end"/>
            </w:r>
            <w:r w:rsidRPr="00027624">
              <w:t xml:space="preserve">). </w:t>
            </w:r>
          </w:p>
          <w:p w14:paraId="1FEF0147" w14:textId="77777777" w:rsidR="0092760B" w:rsidRPr="00027624" w:rsidRDefault="0092760B" w:rsidP="0092760B">
            <w:pPr>
              <w:pStyle w:val="BoxDash"/>
              <w:ind w:left="567"/>
            </w:pPr>
            <w:r w:rsidRPr="00027624">
              <w:t>The Age Pension provides a risk buffer for many retirees during market downturns.</w:t>
            </w:r>
          </w:p>
          <w:p w14:paraId="2F10D28B" w14:textId="77777777" w:rsidR="0092760B" w:rsidRPr="00027624" w:rsidRDefault="0092760B" w:rsidP="0092760B">
            <w:pPr>
              <w:pStyle w:val="BoxDash"/>
              <w:ind w:left="567"/>
            </w:pPr>
            <w:r w:rsidRPr="00027624">
              <w:t>The benefits of home ownership are largely unchanged during market downturns.</w:t>
            </w:r>
          </w:p>
          <w:p w14:paraId="3369D87E" w14:textId="77777777" w:rsidR="0092760B" w:rsidRPr="00027624" w:rsidRDefault="0092760B" w:rsidP="0092760B">
            <w:pPr>
              <w:pStyle w:val="BoxBullet"/>
            </w:pPr>
            <w:r w:rsidRPr="00027624">
              <w:rPr>
                <w:b/>
              </w:rPr>
              <w:t>Stakeholders in the system can assist individuals to transition through significant market downturns.</w:t>
            </w:r>
            <w:r w:rsidRPr="00027624">
              <w:t xml:space="preserve"> Discretionary policy changes by the Government can assist retirees during economic shocks. Superannuation funds have an important role to help guide retirees through the stress and complexity of significant financial market volatility.</w:t>
            </w:r>
          </w:p>
          <w:p w14:paraId="7EA323E0" w14:textId="77777777" w:rsidR="0092760B" w:rsidRPr="00027624" w:rsidRDefault="0092760B" w:rsidP="0092760B">
            <w:pPr>
              <w:pStyle w:val="BoxBullet"/>
            </w:pPr>
            <w:r w:rsidRPr="00027624">
              <w:rPr>
                <w:b/>
              </w:rPr>
              <w:t xml:space="preserve">If downturns affect workforce participation, retirement incomes may fall. </w:t>
            </w:r>
            <w:r w:rsidRPr="00027624">
              <w:t>Yet younger people who go through periods of unemployment or underemployment can still meet or exceed the replacement rate benchmark. They may also have the option of accessing some superannuation early to tide them over the economic shock.</w:t>
            </w:r>
          </w:p>
        </w:tc>
      </w:tr>
    </w:tbl>
    <w:p w14:paraId="5E731F1A" w14:textId="77777777" w:rsidR="0092760B" w:rsidRPr="00027624" w:rsidRDefault="0092760B" w:rsidP="002A2FAE">
      <w:r w:rsidRPr="00027624">
        <w:t>Market volatility can be stressful for retirees and people approaching retirement. They are forced to make decisions in market downturns that may have a permanent impact on their retirement income. These issues have become prominent in the context of the COVID</w:t>
      </w:r>
      <w:r w:rsidR="00A8443E" w:rsidRPr="00027624">
        <w:noBreakHyphen/>
      </w:r>
      <w:r w:rsidRPr="00027624">
        <w:t>19 Pandemic.</w:t>
      </w:r>
    </w:p>
    <w:p w14:paraId="017D1B17" w14:textId="77777777" w:rsidR="0092760B" w:rsidRPr="00027624" w:rsidRDefault="0092760B" w:rsidP="002A2FAE">
      <w:pPr>
        <w:pStyle w:val="Heading3"/>
      </w:pPr>
      <w:r w:rsidRPr="00027624">
        <w:t>Retirement incomes in a market downturn</w:t>
      </w:r>
    </w:p>
    <w:p w14:paraId="3784F163" w14:textId="77777777" w:rsidR="0092760B" w:rsidRPr="00027624" w:rsidRDefault="0092760B" w:rsidP="002A2FAE">
      <w:pPr>
        <w:rPr>
          <w:b/>
        </w:rPr>
      </w:pPr>
      <w:r w:rsidRPr="00027624">
        <w:rPr>
          <w:b/>
        </w:rPr>
        <w:t>Market volatility affecting retirement incomes is a fundamental feature of Australia</w:t>
      </w:r>
      <w:r w:rsidR="00A8443E" w:rsidRPr="00027624">
        <w:rPr>
          <w:b/>
        </w:rPr>
        <w:t>’</w:t>
      </w:r>
      <w:r w:rsidRPr="00027624">
        <w:rPr>
          <w:b/>
        </w:rPr>
        <w:t>s defined contributions system.</w:t>
      </w:r>
    </w:p>
    <w:p w14:paraId="022D2701" w14:textId="77777777" w:rsidR="0092760B" w:rsidRPr="00027624" w:rsidRDefault="0092760B" w:rsidP="002A2FAE">
      <w:r w:rsidRPr="00027624">
        <w:t>Among other benefits, Australia</w:t>
      </w:r>
      <w:r w:rsidR="00A8443E" w:rsidRPr="00027624">
        <w:t>’</w:t>
      </w:r>
      <w:r w:rsidRPr="00027624">
        <w:t>s defined contribution scheme lets people enjoy the benefits of higher returns available on financial markets. The retirement income system is highly regarded worldwide and was robust to risks during the GFC, largely due to the Age Pension</w:t>
      </w:r>
      <w:sdt>
        <w:sdtPr>
          <w:id w:val="544334466"/>
          <w:citation/>
        </w:sdtPr>
        <w:sdtEndPr/>
        <w:sdtContent>
          <w:r w:rsidRPr="00027624">
            <w:fldChar w:fldCharType="begin"/>
          </w:r>
          <w:r w:rsidRPr="00027624">
            <w:instrText xml:space="preserve">CITATION HBa09 \l 3081 </w:instrText>
          </w:r>
          <w:r w:rsidRPr="00027624">
            <w:fldChar w:fldCharType="separate"/>
          </w:r>
          <w:r w:rsidR="00E83F6E">
            <w:rPr>
              <w:noProof/>
            </w:rPr>
            <w:t xml:space="preserve"> (Bateman, 2009)</w:t>
          </w:r>
          <w:r w:rsidRPr="00027624">
            <w:fldChar w:fldCharType="end"/>
          </w:r>
        </w:sdtContent>
      </w:sdt>
      <w:r w:rsidRPr="00027624">
        <w:t>.</w:t>
      </w:r>
    </w:p>
    <w:p w14:paraId="193E0D9C" w14:textId="77777777" w:rsidR="0092760B" w:rsidRPr="00027624" w:rsidRDefault="0092760B" w:rsidP="002A2FAE">
      <w:r w:rsidRPr="00027624">
        <w:t>However, the same feature means Australians face greater investment risk compared to those in other retirement systems. Market downturns from economic shocks can significantly affect retirees</w:t>
      </w:r>
      <w:r w:rsidR="00A8443E" w:rsidRPr="00027624">
        <w:t>’</w:t>
      </w:r>
      <w:r w:rsidRPr="00027624">
        <w:t xml:space="preserve"> asset balances. The retirement income system, through superannuation, the Age Pension and housing, provides a significant buffer for retirees from market volatility.</w:t>
      </w:r>
    </w:p>
    <w:p w14:paraId="7C9CCEA5" w14:textId="77777777" w:rsidR="0092760B" w:rsidRPr="00027624" w:rsidRDefault="0092760B" w:rsidP="002A2FAE">
      <w:pPr>
        <w:pStyle w:val="Heading4"/>
      </w:pPr>
      <w:r w:rsidRPr="00027624">
        <w:t>Superannuation funds and investment risk</w:t>
      </w:r>
    </w:p>
    <w:p w14:paraId="26B090E5" w14:textId="77777777" w:rsidR="0092760B" w:rsidRPr="00027624" w:rsidRDefault="0092760B" w:rsidP="002A2FAE">
      <w:r w:rsidRPr="00027624">
        <w:t xml:space="preserve">Superannuation funds help protect members from investment risk through prudent and diversified investment strategies. As a result, </w:t>
      </w:r>
      <w:r w:rsidRPr="00027624">
        <w:rPr>
          <w:b/>
        </w:rPr>
        <w:t>falls in superannuation fund returns are typically significantly lower than those in equity markets.</w:t>
      </w:r>
    </w:p>
    <w:p w14:paraId="5EB36BE5" w14:textId="5BE997F4" w:rsidR="0092760B" w:rsidRPr="00027624" w:rsidRDefault="0092760B" w:rsidP="002A2FAE">
      <w:r w:rsidRPr="00027624">
        <w:t>This was seen during the GFC. Between September 2007 and March 2009, the ASX accumulation index (which incorporates total returns by including dividend payments) fell by 41 per cent. Yet the fall in superannuation fund returns over the same period was 24 per cent (</w:t>
      </w:r>
      <w:r w:rsidRPr="00027624">
        <w:fldChar w:fldCharType="begin"/>
      </w:r>
      <w:r w:rsidRPr="00027624">
        <w:instrText xml:space="preserve"> REF _Ref39265794 \r \h  \* MERGEFORMAT </w:instrText>
      </w:r>
      <w:r w:rsidRPr="00027624">
        <w:fldChar w:fldCharType="separate"/>
      </w:r>
      <w:r w:rsidR="00891058">
        <w:t>Chart 2C-22</w:t>
      </w:r>
      <w:r w:rsidRPr="00027624">
        <w:fldChar w:fldCharType="end"/>
      </w:r>
      <w:r w:rsidRPr="00027624">
        <w:t>).</w:t>
      </w:r>
    </w:p>
    <w:p w14:paraId="243F0DB4" w14:textId="77777777" w:rsidR="0092760B" w:rsidRPr="00027624" w:rsidRDefault="0092760B" w:rsidP="00325A8D">
      <w:pPr>
        <w:pStyle w:val="ChartMainHeading"/>
      </w:pPr>
      <w:bookmarkStart w:id="574" w:name="_Ref39265794"/>
      <w:r w:rsidRPr="00027624">
        <w:lastRenderedPageBreak/>
        <w:t>Superannuation fund and share market returns</w:t>
      </w:r>
      <w:bookmarkEnd w:id="574"/>
    </w:p>
    <w:p w14:paraId="21FD803E" w14:textId="77777777" w:rsidR="0092760B" w:rsidRPr="00027624" w:rsidRDefault="001B0D35" w:rsidP="002A2FAE">
      <w:pPr>
        <w:pStyle w:val="ChartGraphic"/>
      </w:pPr>
      <w:r>
        <w:rPr>
          <w:noProof/>
        </w:rPr>
        <w:drawing>
          <wp:inline distT="0" distB="0" distL="0" distR="0" wp14:anchorId="0AB4CD36" wp14:editId="55314FA2">
            <wp:extent cx="5577840" cy="2522220"/>
            <wp:effectExtent l="0" t="0" r="3810" b="0"/>
            <wp:docPr id="2062294293" name="Picture 2062294293" descr="This chart shows that superannuation fund returns fell by less than the ASX accumulation index and the ASX200 index during the Global Financial Crisis." title="Chart 2C-22 Superannuation fund and share market ret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52D99CD" w14:textId="77777777" w:rsidR="0092760B" w:rsidRPr="00027624" w:rsidRDefault="0092760B" w:rsidP="008154EB">
      <w:pPr>
        <w:pStyle w:val="ChartorTableNote"/>
      </w:pPr>
      <w:r w:rsidRPr="00027624">
        <w:t xml:space="preserve">Note: The ASX accumulation series includes dividends and is more comparable to fund returns. Index 100 = Dec 2006. Source: </w:t>
      </w:r>
      <w:sdt>
        <w:sdtPr>
          <w:id w:val="-203957812"/>
          <w:citation/>
        </w:sdtPr>
        <w:sdtEndPr/>
        <w:sdtContent>
          <w:r w:rsidR="00F4198A">
            <w:fldChar w:fldCharType="begin"/>
          </w:r>
          <w:r w:rsidR="00F4198A">
            <w:instrText xml:space="preserve"> CITATION APRQ201 \l 3081  \m Mar201</w:instrText>
          </w:r>
          <w:r w:rsidR="00F4198A">
            <w:fldChar w:fldCharType="separate"/>
          </w:r>
          <w:r w:rsidR="00E83F6E">
            <w:rPr>
              <w:noProof/>
            </w:rPr>
            <w:t>(Australian Prudential Regulation Authority, 2020c; Market Index, 2020)</w:t>
          </w:r>
          <w:r w:rsidR="00F4198A">
            <w:fldChar w:fldCharType="end"/>
          </w:r>
        </w:sdtContent>
      </w:sdt>
      <w:r w:rsidR="00F4198A">
        <w:t>.</w:t>
      </w:r>
    </w:p>
    <w:p w14:paraId="117207B2" w14:textId="77777777" w:rsidR="0092760B" w:rsidRPr="00027624" w:rsidRDefault="0092760B" w:rsidP="002A2FAE">
      <w:pPr>
        <w:pStyle w:val="Heading4"/>
      </w:pPr>
      <w:r w:rsidRPr="00027624">
        <w:t>The Age Pension and net retirement incomes</w:t>
      </w:r>
    </w:p>
    <w:p w14:paraId="5E9DF04F" w14:textId="77777777" w:rsidR="0092760B" w:rsidRPr="00027624" w:rsidRDefault="0092760B" w:rsidP="002A2FAE">
      <w:r w:rsidRPr="00027624">
        <w:rPr>
          <w:b/>
        </w:rPr>
        <w:t>The Age Pension provides significant automatic assistance during downturns.</w:t>
      </w:r>
      <w:r w:rsidRPr="00027624">
        <w:t xml:space="preserve"> Lower incomes and asset levels in these periods increase Age Pension entitlements because of the means test.</w:t>
      </w:r>
    </w:p>
    <w:p w14:paraId="6C18ECD3" w14:textId="19BFB0B6" w:rsidR="0092760B" w:rsidRPr="00027624" w:rsidRDefault="0092760B" w:rsidP="002A2FAE">
      <w:r w:rsidRPr="00027624">
        <w:t>Consider a hypothetical scenario where equity markets drop 25 per cent in the year after an individual retires and a superannuation fund</w:t>
      </w:r>
      <w:r w:rsidR="00A8443E" w:rsidRPr="00027624">
        <w:t>’</w:t>
      </w:r>
      <w:r w:rsidRPr="00027624">
        <w:t>s returns fall 12.5 per cent in the same year (</w:t>
      </w:r>
      <w:r w:rsidRPr="00027624">
        <w:fldChar w:fldCharType="begin"/>
      </w:r>
      <w:r w:rsidRPr="00027624">
        <w:instrText xml:space="preserve"> REF _Ref39500652 \r \h </w:instrText>
      </w:r>
      <w:r w:rsidR="00FA7639" w:rsidRPr="00027624">
        <w:instrText xml:space="preserve"> \* MERGEFORMAT </w:instrText>
      </w:r>
      <w:r w:rsidRPr="00027624">
        <w:fldChar w:fldCharType="separate"/>
      </w:r>
      <w:r w:rsidR="00891058">
        <w:t>Chart 2C-23</w:t>
      </w:r>
      <w:r w:rsidRPr="00027624">
        <w:fldChar w:fldCharType="end"/>
      </w:r>
      <w:r w:rsidRPr="00027624">
        <w:t>). Asset values are then assumed to recover to trend over the next five years, similar to the GFC.</w:t>
      </w:r>
    </w:p>
    <w:p w14:paraId="13424A99" w14:textId="77777777" w:rsidR="0092760B" w:rsidRPr="00027624" w:rsidRDefault="0092760B" w:rsidP="002A2FAE">
      <w:r w:rsidRPr="00027624">
        <w:t>In the case of a median</w:t>
      </w:r>
      <w:r w:rsidR="00A8443E" w:rsidRPr="00027624">
        <w:noBreakHyphen/>
      </w:r>
      <w:r w:rsidRPr="00027624">
        <w:t>income earner who retires the year before the shock, the Age Pension provides a buffer against an immediate drop in income. The 25 per cent market fall reduces retirement income by just 5 per cent in the following year. The reduction in superannuation drawdowns (</w:t>
      </w:r>
      <w:r w:rsidR="00A8443E" w:rsidRPr="00027624">
        <w:noBreakHyphen/>
      </w:r>
      <w:r w:rsidRPr="00027624">
        <w:t>19 per cent) is largely offset by higher pension entitlements (+14 per cent).</w:t>
      </w:r>
      <w:r w:rsidRPr="00027624">
        <w:rPr>
          <w:rStyle w:val="FootnoteReference"/>
        </w:rPr>
        <w:footnoteReference w:id="108"/>
      </w:r>
    </w:p>
    <w:p w14:paraId="71349171" w14:textId="77777777" w:rsidR="0092760B" w:rsidRPr="00027624" w:rsidRDefault="0092760B" w:rsidP="002A2FAE">
      <w:r w:rsidRPr="00027624">
        <w:t>The permanent effect of the downturn is about a 1 per cent fall in income over the course of retirement. In this scenario, selling financial assets below their trend value means people realise losses and miss out on elevated returns in the years following the downturn. In reality, the returns following a market shock are uncertain and will depend on the specific circumstances.</w:t>
      </w:r>
    </w:p>
    <w:p w14:paraId="08BC8F4B" w14:textId="77777777" w:rsidR="0092760B" w:rsidRPr="00027624" w:rsidRDefault="0092760B" w:rsidP="002A2FAE">
      <w:r w:rsidRPr="00027624">
        <w:t xml:space="preserve">In this scenario, </w:t>
      </w:r>
      <w:r w:rsidR="00B2720D" w:rsidRPr="00027624">
        <w:t>higher-wealth</w:t>
      </w:r>
      <w:r w:rsidRPr="00027624">
        <w:t xml:space="preserve"> retirees have a different experience than median earners. For someone in the 80</w:t>
      </w:r>
      <w:r w:rsidRPr="00027624">
        <w:rPr>
          <w:vertAlign w:val="superscript"/>
        </w:rPr>
        <w:t>th</w:t>
      </w:r>
      <w:r w:rsidRPr="00027624">
        <w:t xml:space="preserve"> percentile, their income drops 19 per cent during the downturn with no higher Age Pension payments. Retirement income remains under pre</w:t>
      </w:r>
      <w:r w:rsidR="00A8443E" w:rsidRPr="00027624">
        <w:noBreakHyphen/>
      </w:r>
      <w:r w:rsidRPr="00027624">
        <w:t xml:space="preserve">shock levels for longer than a median earner and does not fully recover until </w:t>
      </w:r>
      <w:r w:rsidR="00B2720D" w:rsidRPr="00027624">
        <w:t>higher-wealth</w:t>
      </w:r>
      <w:r w:rsidRPr="00027624">
        <w:t xml:space="preserve"> retirees begin to receive the Age Pension.</w:t>
      </w:r>
    </w:p>
    <w:p w14:paraId="44D1F1CF" w14:textId="77777777" w:rsidR="0092760B" w:rsidRPr="00027624" w:rsidRDefault="0092760B" w:rsidP="002A2FAE">
      <w:r w:rsidRPr="00027624">
        <w:t xml:space="preserve">Neither outcome factors in individuals using investment risk management strategies. Permanent losses under these scenarios could be reduced through the strategies outlined in </w:t>
      </w:r>
      <w:r w:rsidRPr="00027624">
        <w:rPr>
          <w:i/>
          <w:iCs/>
        </w:rPr>
        <w:t xml:space="preserve">Responsibilities for managing risk </w:t>
      </w:r>
      <w:r w:rsidRPr="00027624">
        <w:rPr>
          <w:iCs/>
        </w:rPr>
        <w:t>below</w:t>
      </w:r>
      <w:r w:rsidRPr="00027624">
        <w:t>.</w:t>
      </w:r>
    </w:p>
    <w:p w14:paraId="45366991" w14:textId="77777777" w:rsidR="0092760B" w:rsidRPr="00027624" w:rsidRDefault="0092760B" w:rsidP="002A2FAE">
      <w:r w:rsidRPr="00027624">
        <w:t>Long</w:t>
      </w:r>
      <w:r w:rsidR="00A8443E" w:rsidRPr="00027624">
        <w:noBreakHyphen/>
      </w:r>
      <w:r w:rsidRPr="00027624">
        <w:t>run system</w:t>
      </w:r>
      <w:r w:rsidR="00A8443E" w:rsidRPr="00027624">
        <w:noBreakHyphen/>
      </w:r>
      <w:r w:rsidRPr="00027624">
        <w:t>level effects from a short</w:t>
      </w:r>
      <w:r w:rsidR="00A8443E" w:rsidRPr="00027624">
        <w:noBreakHyphen/>
      </w:r>
      <w:r w:rsidRPr="00027624">
        <w:t xml:space="preserve">run shock, including aggregate Age Pension payments, are discussed in </w:t>
      </w:r>
      <w:r w:rsidRPr="00673D11">
        <w:t>Box 4A</w:t>
      </w:r>
      <w:r w:rsidR="00A8443E" w:rsidRPr="00673D11">
        <w:noBreakHyphen/>
      </w:r>
      <w:r w:rsidRPr="00673D11">
        <w:t>4</w:t>
      </w:r>
      <w:r w:rsidRPr="00027624">
        <w:t xml:space="preserve"> in </w:t>
      </w:r>
      <w:r w:rsidRPr="00027624">
        <w:rPr>
          <w:i/>
        </w:rPr>
        <w:t>4. Sustainability</w:t>
      </w:r>
      <w:r w:rsidRPr="00027624">
        <w:t>.</w:t>
      </w:r>
    </w:p>
    <w:p w14:paraId="537CB192" w14:textId="77777777" w:rsidR="0092760B" w:rsidRPr="00027624" w:rsidRDefault="0092760B" w:rsidP="00325A8D">
      <w:pPr>
        <w:pStyle w:val="ChartMainHeading"/>
      </w:pPr>
      <w:bookmarkStart w:id="575" w:name="_Ref39500652"/>
      <w:r w:rsidRPr="00027624">
        <w:lastRenderedPageBreak/>
        <w:t>Impact of a 25 per cent market fall on retirement incomes</w:t>
      </w:r>
      <w:bookmarkEnd w:id="575"/>
    </w:p>
    <w:tbl>
      <w:tblPr>
        <w:tblStyle w:val="TableGrid"/>
        <w:tblW w:w="9488" w:type="dxa"/>
        <w:tblLayout w:type="fixed"/>
        <w:tblLook w:val="04A0" w:firstRow="1" w:lastRow="0" w:firstColumn="1" w:lastColumn="0" w:noHBand="0" w:noVBand="1"/>
      </w:tblPr>
      <w:tblGrid>
        <w:gridCol w:w="4744"/>
        <w:gridCol w:w="4744"/>
      </w:tblGrid>
      <w:tr w:rsidR="0092760B" w:rsidRPr="00027624" w14:paraId="22BEC5C3" w14:textId="77777777" w:rsidTr="002A2FAE">
        <w:tc>
          <w:tcPr>
            <w:tcW w:w="4744" w:type="dxa"/>
            <w:shd w:val="clear" w:color="auto" w:fill="auto"/>
          </w:tcPr>
          <w:p w14:paraId="71B51C55" w14:textId="77777777" w:rsidR="0092760B" w:rsidRPr="00027624" w:rsidRDefault="0092760B">
            <w:pPr>
              <w:pStyle w:val="ChartSecondHeading"/>
            </w:pPr>
            <w:r w:rsidRPr="00027624">
              <w:t>Median earner</w:t>
            </w:r>
          </w:p>
        </w:tc>
        <w:tc>
          <w:tcPr>
            <w:tcW w:w="4744" w:type="dxa"/>
            <w:shd w:val="clear" w:color="auto" w:fill="auto"/>
          </w:tcPr>
          <w:p w14:paraId="4C0CD11B" w14:textId="77777777" w:rsidR="0092760B" w:rsidRPr="00027624" w:rsidRDefault="0092760B">
            <w:pPr>
              <w:pStyle w:val="ChartSecondHeading"/>
            </w:pPr>
            <w:r w:rsidRPr="00027624">
              <w:t>80</w:t>
            </w:r>
            <w:r w:rsidRPr="00027624">
              <w:rPr>
                <w:vertAlign w:val="superscript"/>
              </w:rPr>
              <w:t>th</w:t>
            </w:r>
            <w:r w:rsidRPr="00027624">
              <w:t xml:space="preserve"> percentile earner</w:t>
            </w:r>
          </w:p>
        </w:tc>
      </w:tr>
      <w:tr w:rsidR="0092760B" w:rsidRPr="00027624" w14:paraId="480525F7" w14:textId="77777777" w:rsidTr="002A2FAE">
        <w:trPr>
          <w:trHeight w:val="4200"/>
        </w:trPr>
        <w:tc>
          <w:tcPr>
            <w:tcW w:w="4744" w:type="dxa"/>
            <w:shd w:val="clear" w:color="auto" w:fill="auto"/>
          </w:tcPr>
          <w:p w14:paraId="0BB59239" w14:textId="77777777" w:rsidR="0092760B" w:rsidRPr="00027624" w:rsidRDefault="00D5784C" w:rsidP="002A2FAE">
            <w:pPr>
              <w:pStyle w:val="ChartGraphic"/>
            </w:pPr>
            <w:r>
              <w:rPr>
                <w:noProof/>
              </w:rPr>
              <w:drawing>
                <wp:inline distT="0" distB="0" distL="0" distR="0" wp14:anchorId="5FC8CA79" wp14:editId="350C6EE1">
                  <wp:extent cx="2735580" cy="2880360"/>
                  <wp:effectExtent l="0" t="0" r="7620" b="0"/>
                  <wp:docPr id="2062294294" name="Picture 2062294294" descr="This chart shows that the impact of a 25 per cent market fall on the retirement incomes of median earners is small as the Age Pension largely offsets the impact. " title="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35580" cy="2880360"/>
                          </a:xfrm>
                          <a:prstGeom prst="rect">
                            <a:avLst/>
                          </a:prstGeom>
                          <a:noFill/>
                        </pic:spPr>
                      </pic:pic>
                    </a:graphicData>
                  </a:graphic>
                </wp:inline>
              </w:drawing>
            </w:r>
          </w:p>
        </w:tc>
        <w:tc>
          <w:tcPr>
            <w:tcW w:w="4744" w:type="dxa"/>
            <w:shd w:val="clear" w:color="auto" w:fill="auto"/>
          </w:tcPr>
          <w:p w14:paraId="4FB75A04" w14:textId="77777777" w:rsidR="0092760B" w:rsidRPr="00027624" w:rsidRDefault="00D5784C" w:rsidP="002A2FAE">
            <w:pPr>
              <w:pStyle w:val="ChartGraphic"/>
            </w:pPr>
            <w:r>
              <w:rPr>
                <w:noProof/>
              </w:rPr>
              <w:drawing>
                <wp:inline distT="0" distB="0" distL="0" distR="0" wp14:anchorId="39068F4C" wp14:editId="4BB41D1E">
                  <wp:extent cx="2872740" cy="2880360"/>
                  <wp:effectExtent l="0" t="0" r="3810" b="0"/>
                  <wp:docPr id="2062294295" name="Picture 2062294295" descr="This chart shows that retirees in the 80th percentile experience a more significant fall in retirement incomes as a result of a 25 per cent market fall, as higher income earners do not receive higher Age Pension payments. However, the impact for both median income and 80th percentile earners is small after about 5 years." title="80th percentile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tc>
      </w:tr>
      <w:tr w:rsidR="0092760B" w:rsidRPr="00027624" w14:paraId="58D5ECC6" w14:textId="77777777" w:rsidTr="002A2FAE">
        <w:tc>
          <w:tcPr>
            <w:tcW w:w="9488" w:type="dxa"/>
            <w:gridSpan w:val="2"/>
            <w:shd w:val="clear" w:color="auto" w:fill="auto"/>
          </w:tcPr>
          <w:p w14:paraId="088E5EC2" w14:textId="77777777" w:rsidR="0092760B" w:rsidRPr="00027624" w:rsidRDefault="0092760B" w:rsidP="002A2FAE">
            <w:pPr>
              <w:pStyle w:val="ChartorTableNote"/>
            </w:pPr>
            <w:r w:rsidRPr="00027624">
              <w:t>Note: Based on a 25 per cent fall in market returns in a single year, which results in a 12.5 per cent fall in superannuation balances and non</w:t>
            </w:r>
            <w:r w:rsidR="00A8443E" w:rsidRPr="00027624">
              <w:noBreakHyphen/>
            </w:r>
            <w:r w:rsidRPr="00027624">
              <w:t>superannuation assets instead of the standard return of 6.2 per cent before fees. Asset prices recover to long</w:t>
            </w:r>
            <w:r w:rsidR="00A8443E" w:rsidRPr="00027624">
              <w:noBreakHyphen/>
            </w:r>
            <w:r w:rsidRPr="00027624">
              <w:t>term levels in five years. Source: Cameo modelling undertaken for the review.</w:t>
            </w:r>
          </w:p>
        </w:tc>
      </w:tr>
    </w:tbl>
    <w:p w14:paraId="21E95FE4" w14:textId="77777777" w:rsidR="0092760B" w:rsidRPr="00027624" w:rsidRDefault="0092760B" w:rsidP="002A2FAE">
      <w:pPr>
        <w:pStyle w:val="Heading4"/>
        <w:spacing w:before="0"/>
      </w:pPr>
      <w:r w:rsidRPr="00027624">
        <w:t>Owner</w:t>
      </w:r>
      <w:r w:rsidR="00A8443E" w:rsidRPr="00027624">
        <w:noBreakHyphen/>
      </w:r>
      <w:r w:rsidRPr="00027624">
        <w:t>occupied housing</w:t>
      </w:r>
    </w:p>
    <w:p w14:paraId="11108041" w14:textId="77777777" w:rsidR="0092760B" w:rsidRPr="00027624" w:rsidRDefault="0092760B" w:rsidP="002A2FAE">
      <w:r w:rsidRPr="00027624">
        <w:t>The principal residence is the most significant asset for more than 80 per cent of retirees (see</w:t>
      </w:r>
      <w:r w:rsidRPr="00027624">
        <w:rPr>
          <w:i/>
        </w:rPr>
        <w:t xml:space="preserve"> 1</w:t>
      </w:r>
      <w:r w:rsidR="005E06CE">
        <w:rPr>
          <w:i/>
        </w:rPr>
        <w:t>B</w:t>
      </w:r>
      <w:r w:rsidRPr="00027624">
        <w:rPr>
          <w:i/>
        </w:rPr>
        <w:t>. Design of Australia</w:t>
      </w:r>
      <w:r w:rsidR="00A8443E" w:rsidRPr="00027624">
        <w:rPr>
          <w:i/>
        </w:rPr>
        <w:t>’</w:t>
      </w:r>
      <w:r w:rsidRPr="00027624">
        <w:rPr>
          <w:i/>
        </w:rPr>
        <w:t>s retirement income system</w:t>
      </w:r>
      <w:r w:rsidRPr="00027624">
        <w:t>), acting as a form of risk mitigation. A mortgage is a form of forced saving and the principal residence is the largest store of wealth for most retirees.</w:t>
      </w:r>
    </w:p>
    <w:p w14:paraId="4114E999" w14:textId="77777777" w:rsidR="0092760B" w:rsidRPr="00027624" w:rsidRDefault="0092760B" w:rsidP="002A2FAE">
      <w:r w:rsidRPr="00027624">
        <w:t>While a downturn may affect the value of the home, the ability of retirees to enjoy the benefits of living in their home is largely unaffected. The home can also act as a source of wealth to be drawn on to cover potential shortfalls in other income sources.</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76C3609D" w14:textId="77777777" w:rsidTr="002A2FAE">
        <w:tc>
          <w:tcPr>
            <w:tcW w:w="9072" w:type="dxa"/>
            <w:shd w:val="clear" w:color="auto" w:fill="FFF8EA"/>
          </w:tcPr>
          <w:p w14:paraId="5A525DF5" w14:textId="77777777" w:rsidR="0092760B" w:rsidRPr="00027624" w:rsidRDefault="0092760B" w:rsidP="00325A8D">
            <w:pPr>
              <w:pStyle w:val="BoxHeading"/>
              <w:spacing w:before="120"/>
            </w:pPr>
            <w:r w:rsidRPr="00027624">
              <w:t>Economic downturn: impact on retirement incomes of working</w:t>
            </w:r>
            <w:r w:rsidR="00A8443E" w:rsidRPr="00027624">
              <w:noBreakHyphen/>
            </w:r>
            <w:r w:rsidRPr="00027624">
              <w:t>age people</w:t>
            </w:r>
          </w:p>
          <w:p w14:paraId="24EB75DE" w14:textId="77777777" w:rsidR="0092760B" w:rsidRPr="00027624" w:rsidRDefault="0092760B" w:rsidP="002A2FAE">
            <w:pPr>
              <w:rPr>
                <w:b/>
                <w:sz w:val="22"/>
                <w:szCs w:val="22"/>
              </w:rPr>
            </w:pPr>
            <w:r w:rsidRPr="00027624">
              <w:rPr>
                <w:b/>
                <w:sz w:val="22"/>
                <w:szCs w:val="22"/>
              </w:rPr>
              <w:t>T</w:t>
            </w:r>
            <w:r w:rsidRPr="00027624">
              <w:rPr>
                <w:b/>
                <w:szCs w:val="22"/>
              </w:rPr>
              <w:t xml:space="preserve">he retirement incomes of young people can be affected </w:t>
            </w:r>
            <w:r w:rsidRPr="00027624">
              <w:rPr>
                <w:b/>
                <w:sz w:val="22"/>
                <w:szCs w:val="22"/>
              </w:rPr>
              <w:t xml:space="preserve">by economic downturns, such as </w:t>
            </w:r>
            <w:r w:rsidRPr="00027624">
              <w:rPr>
                <w:b/>
                <w:szCs w:val="22"/>
              </w:rPr>
              <w:t>if they become unemployed or release their superannuation early.</w:t>
            </w:r>
          </w:p>
          <w:p w14:paraId="781594C5" w14:textId="77777777" w:rsidR="0092760B" w:rsidRPr="00027624" w:rsidRDefault="0092760B" w:rsidP="009F1DD2">
            <w:pPr>
              <w:pStyle w:val="BoxText"/>
            </w:pPr>
            <w:r w:rsidRPr="00027624">
              <w:t>The following scenario examines the impact of an illustrative economic downturn on a 32</w:t>
            </w:r>
            <w:r w:rsidR="00A8443E" w:rsidRPr="00027624">
              <w:noBreakHyphen/>
            </w:r>
            <w:r w:rsidRPr="00027624">
              <w:t>year</w:t>
            </w:r>
            <w:r w:rsidR="00A8443E" w:rsidRPr="00027624">
              <w:noBreakHyphen/>
            </w:r>
            <w:r w:rsidRPr="00027624">
              <w:t>old. This person is unemployed for three years and draws $20,000 from their superannuation over two years. After three years, the person finds work but is underemployed for five more years.</w:t>
            </w:r>
          </w:p>
          <w:p w14:paraId="6EF94293" w14:textId="76A84003" w:rsidR="0092760B" w:rsidRPr="00027624" w:rsidRDefault="0092760B" w:rsidP="009F1DD2">
            <w:pPr>
              <w:pStyle w:val="BoxText"/>
            </w:pPr>
            <w:r w:rsidRPr="00027624">
              <w:t>In this example, lower</w:t>
            </w:r>
            <w:r w:rsidR="00A8443E" w:rsidRPr="00027624">
              <w:noBreakHyphen/>
            </w:r>
            <w:r w:rsidRPr="00027624">
              <w:t xml:space="preserve"> and middle</w:t>
            </w:r>
            <w:r w:rsidR="00A8443E" w:rsidRPr="00027624">
              <w:noBreakHyphen/>
            </w:r>
            <w:r w:rsidRPr="00027624">
              <w:t>income earners still achieve replacement rates above the benchmark (</w:t>
            </w:r>
            <w:r w:rsidRPr="00027624">
              <w:fldChar w:fldCharType="begin"/>
            </w:r>
            <w:r w:rsidRPr="00027624">
              <w:instrText xml:space="preserve"> REF _Ref41055068 \r \h  \* MERGEFORMAT </w:instrText>
            </w:r>
            <w:r w:rsidRPr="00027624">
              <w:fldChar w:fldCharType="separate"/>
            </w:r>
            <w:r w:rsidR="00891058">
              <w:t>Chart 2C-24</w:t>
            </w:r>
            <w:r w:rsidRPr="00027624">
              <w:fldChar w:fldCharType="end"/>
            </w:r>
            <w:r w:rsidRPr="00027624">
              <w:t>). Some higher</w:t>
            </w:r>
            <w:r w:rsidR="00A8443E" w:rsidRPr="00027624">
              <w:noBreakHyphen/>
            </w:r>
            <w:r w:rsidRPr="00027624">
              <w:t>income earners could fall below the benchmark but would have incomes that exceed the ASFA comfortable standard.</w:t>
            </w:r>
          </w:p>
          <w:p w14:paraId="6B7BE8BA" w14:textId="1066EA69" w:rsidR="0092760B" w:rsidRPr="00027624" w:rsidRDefault="0092760B" w:rsidP="009F1DD2">
            <w:pPr>
              <w:pStyle w:val="BoxText"/>
            </w:pPr>
            <w:r w:rsidRPr="00027624">
              <w:t>The economic downturn reduces superannuation balances at retirement, predominantly due to lower employment income for median ea</w:t>
            </w:r>
            <w:r w:rsidR="009F1DD2">
              <w:t>rners (s</w:t>
            </w:r>
            <w:r w:rsidRPr="00027624">
              <w:t xml:space="preserve">ee </w:t>
            </w:r>
            <w:r w:rsidR="009F1DD2">
              <w:fldChar w:fldCharType="begin"/>
            </w:r>
            <w:r w:rsidR="009F1DD2">
              <w:instrText xml:space="preserve"> REF _Ref40371245 \r \h </w:instrText>
            </w:r>
            <w:r w:rsidR="009F1DD2">
              <w:fldChar w:fldCharType="separate"/>
            </w:r>
            <w:r w:rsidR="00891058">
              <w:t>Table 2C-5</w:t>
            </w:r>
            <w:r w:rsidR="009F1DD2">
              <w:fldChar w:fldCharType="end"/>
            </w:r>
            <w:r w:rsidRPr="00027624">
              <w:t>). Age Pension payments rise as a result of lower balances.</w:t>
            </w:r>
          </w:p>
          <w:p w14:paraId="0B9C13FF" w14:textId="77777777" w:rsidR="0092760B" w:rsidRPr="00027624" w:rsidRDefault="0092760B" w:rsidP="009F1DD2">
            <w:pPr>
              <w:pStyle w:val="BoxText"/>
            </w:pPr>
            <w:r w:rsidRPr="00027624">
              <w:t>This scenario shows that prudent early release can assist people to manage negative working</w:t>
            </w:r>
            <w:r w:rsidR="00A8443E" w:rsidRPr="00027624">
              <w:noBreakHyphen/>
            </w:r>
            <w:r w:rsidRPr="00027624">
              <w:t>life events without significantly reducing their retirement income. The significant period between the economic downturn and retirement allows affected people to adjust their behaviour to improve their retirement incomes if they wish. For example, they could make higher voluntary contributions towards retirement to boost their retirement incomes.</w:t>
            </w:r>
          </w:p>
          <w:p w14:paraId="7DB7CAD1" w14:textId="77777777" w:rsidR="0092760B" w:rsidRPr="00027624" w:rsidRDefault="0092760B" w:rsidP="00325A8D">
            <w:pPr>
              <w:pStyle w:val="TableMainHeading"/>
            </w:pPr>
            <w:bookmarkStart w:id="576" w:name="_Ref40371245"/>
            <w:r w:rsidRPr="00027624">
              <w:lastRenderedPageBreak/>
              <w:t>Projected change in retirement incomes from a hypothetical economic downturn</w:t>
            </w:r>
            <w:bookmarkEnd w:id="576"/>
          </w:p>
          <w:tbl>
            <w:tblPr>
              <w:tblW w:w="4774" w:type="pct"/>
              <w:jc w:val="center"/>
              <w:tblLook w:val="01E0" w:firstRow="1" w:lastRow="1" w:firstColumn="1" w:lastColumn="1" w:noHBand="0" w:noVBand="0"/>
            </w:tblPr>
            <w:tblGrid>
              <w:gridCol w:w="2784"/>
              <w:gridCol w:w="1452"/>
              <w:gridCol w:w="2421"/>
              <w:gridCol w:w="1797"/>
            </w:tblGrid>
            <w:tr w:rsidR="0092760B" w:rsidRPr="00027624" w14:paraId="01DA851F" w14:textId="77777777" w:rsidTr="002A2FAE">
              <w:trPr>
                <w:trHeight w:val="200"/>
                <w:tblHeader/>
                <w:jc w:val="center"/>
              </w:trPr>
              <w:tc>
                <w:tcPr>
                  <w:tcW w:w="1646" w:type="pct"/>
                  <w:shd w:val="clear" w:color="auto" w:fill="E5E5E5"/>
                </w:tcPr>
                <w:p w14:paraId="0EECA213" w14:textId="77777777" w:rsidR="0092760B" w:rsidRPr="00027624" w:rsidRDefault="0092760B" w:rsidP="007B222E">
                  <w:pPr>
                    <w:pStyle w:val="TableColumnHeadingLeft"/>
                    <w:framePr w:hSpace="180" w:wrap="around" w:vAnchor="text" w:hAnchor="text" w:y="1"/>
                    <w:suppressOverlap/>
                  </w:pPr>
                </w:p>
              </w:tc>
              <w:tc>
                <w:tcPr>
                  <w:tcW w:w="859" w:type="pct"/>
                  <w:shd w:val="clear" w:color="auto" w:fill="E5E5E5"/>
                  <w:hideMark/>
                </w:tcPr>
                <w:p w14:paraId="271266FB" w14:textId="77777777" w:rsidR="0092760B" w:rsidRPr="00027624" w:rsidRDefault="0092760B" w:rsidP="007B222E">
                  <w:pPr>
                    <w:pStyle w:val="TableColumnHeadingCentred"/>
                    <w:framePr w:hSpace="180" w:wrap="around" w:vAnchor="text" w:hAnchor="text" w:y="1"/>
                    <w:suppressOverlap/>
                  </w:pPr>
                  <w:r w:rsidRPr="00027624">
                    <w:t>20</w:t>
                  </w:r>
                  <w:r w:rsidRPr="00027624">
                    <w:rPr>
                      <w:vertAlign w:val="superscript"/>
                    </w:rPr>
                    <w:t>th</w:t>
                  </w:r>
                  <w:r w:rsidRPr="00027624">
                    <w:t xml:space="preserve"> percentile</w:t>
                  </w:r>
                </w:p>
              </w:tc>
              <w:tc>
                <w:tcPr>
                  <w:tcW w:w="1432" w:type="pct"/>
                  <w:shd w:val="clear" w:color="auto" w:fill="E5E5E5"/>
                  <w:hideMark/>
                </w:tcPr>
                <w:p w14:paraId="080567E1" w14:textId="77777777" w:rsidR="0092760B" w:rsidRPr="00027624" w:rsidRDefault="0092760B" w:rsidP="007B222E">
                  <w:pPr>
                    <w:pStyle w:val="TableColumnHeadingCentred"/>
                    <w:framePr w:hSpace="180" w:wrap="around" w:vAnchor="text" w:hAnchor="text" w:y="1"/>
                    <w:suppressOverlap/>
                  </w:pPr>
                  <w:r w:rsidRPr="00027624">
                    <w:t>50</w:t>
                  </w:r>
                  <w:r w:rsidRPr="00027624">
                    <w:rPr>
                      <w:vertAlign w:val="superscript"/>
                    </w:rPr>
                    <w:t>th</w:t>
                  </w:r>
                  <w:r w:rsidRPr="00027624">
                    <w:t xml:space="preserve"> percentile </w:t>
                  </w:r>
                </w:p>
              </w:tc>
              <w:tc>
                <w:tcPr>
                  <w:tcW w:w="1063" w:type="pct"/>
                  <w:shd w:val="clear" w:color="auto" w:fill="E5E5E5"/>
                  <w:hideMark/>
                </w:tcPr>
                <w:p w14:paraId="526EDB29" w14:textId="77777777" w:rsidR="0092760B" w:rsidRPr="00027624" w:rsidRDefault="0092760B" w:rsidP="007B222E">
                  <w:pPr>
                    <w:pStyle w:val="TableColumnHeadingCentred"/>
                    <w:framePr w:hSpace="180" w:wrap="around" w:vAnchor="text" w:hAnchor="text" w:y="1"/>
                    <w:suppressOverlap/>
                  </w:pPr>
                  <w:r w:rsidRPr="00027624">
                    <w:t>80</w:t>
                  </w:r>
                  <w:r w:rsidRPr="00027624">
                    <w:rPr>
                      <w:vertAlign w:val="superscript"/>
                    </w:rPr>
                    <w:t>th</w:t>
                  </w:r>
                  <w:r w:rsidRPr="00027624">
                    <w:t xml:space="preserve"> percentile </w:t>
                  </w:r>
                </w:p>
              </w:tc>
            </w:tr>
            <w:tr w:rsidR="0092760B" w:rsidRPr="00027624" w14:paraId="5F102A3E" w14:textId="77777777" w:rsidTr="002A2FAE">
              <w:trPr>
                <w:trHeight w:val="386"/>
                <w:jc w:val="center"/>
              </w:trPr>
              <w:tc>
                <w:tcPr>
                  <w:tcW w:w="1646" w:type="pct"/>
                  <w:shd w:val="clear" w:color="auto" w:fill="auto"/>
                </w:tcPr>
                <w:p w14:paraId="3731A5D8" w14:textId="77777777" w:rsidR="0092760B" w:rsidRPr="00027624" w:rsidRDefault="0092760B" w:rsidP="007B222E">
                  <w:pPr>
                    <w:pStyle w:val="TableTextLeft"/>
                    <w:framePr w:hSpace="180" w:wrap="around" w:vAnchor="text" w:hAnchor="text" w:y="1"/>
                    <w:suppressOverlap/>
                  </w:pPr>
                  <w:r w:rsidRPr="00027624">
                    <w:t>Change in replacement rate (percentage points)</w:t>
                  </w:r>
                </w:p>
              </w:tc>
              <w:tc>
                <w:tcPr>
                  <w:tcW w:w="859" w:type="pct"/>
                </w:tcPr>
                <w:p w14:paraId="06B41010"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9</w:t>
                  </w:r>
                </w:p>
              </w:tc>
              <w:tc>
                <w:tcPr>
                  <w:tcW w:w="1432" w:type="pct"/>
                </w:tcPr>
                <w:p w14:paraId="44D8EFF5"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5</w:t>
                  </w:r>
                </w:p>
              </w:tc>
              <w:tc>
                <w:tcPr>
                  <w:tcW w:w="1063" w:type="pct"/>
                </w:tcPr>
                <w:p w14:paraId="517A620B"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7</w:t>
                  </w:r>
                </w:p>
              </w:tc>
            </w:tr>
            <w:tr w:rsidR="0092760B" w:rsidRPr="00027624" w14:paraId="072C44C9" w14:textId="77777777" w:rsidTr="002A2FAE">
              <w:trPr>
                <w:trHeight w:val="386"/>
                <w:jc w:val="center"/>
              </w:trPr>
              <w:tc>
                <w:tcPr>
                  <w:tcW w:w="1646" w:type="pct"/>
                  <w:shd w:val="clear" w:color="auto" w:fill="auto"/>
                  <w:hideMark/>
                </w:tcPr>
                <w:p w14:paraId="0A317C18" w14:textId="77777777" w:rsidR="0092760B" w:rsidRPr="00027624" w:rsidRDefault="0092760B" w:rsidP="007B222E">
                  <w:pPr>
                    <w:pStyle w:val="TableTextLeft"/>
                    <w:framePr w:hSpace="180" w:wrap="around" w:vAnchor="text" w:hAnchor="text" w:y="1"/>
                    <w:suppressOverlap/>
                  </w:pPr>
                  <w:r w:rsidRPr="00027624">
                    <w:t>Change in annual average retirement income ($)</w:t>
                  </w:r>
                </w:p>
              </w:tc>
              <w:tc>
                <w:tcPr>
                  <w:tcW w:w="859" w:type="pct"/>
                  <w:hideMark/>
                </w:tcPr>
                <w:p w14:paraId="277269F4"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2,500</w:t>
                  </w:r>
                </w:p>
              </w:tc>
              <w:tc>
                <w:tcPr>
                  <w:tcW w:w="1432" w:type="pct"/>
                  <w:hideMark/>
                </w:tcPr>
                <w:p w14:paraId="6B57892F"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2,300</w:t>
                  </w:r>
                </w:p>
              </w:tc>
              <w:tc>
                <w:tcPr>
                  <w:tcW w:w="1063" w:type="pct"/>
                  <w:hideMark/>
                </w:tcPr>
                <w:p w14:paraId="1836BE39"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5,800</w:t>
                  </w:r>
                </w:p>
              </w:tc>
            </w:tr>
            <w:tr w:rsidR="0092760B" w:rsidRPr="00027624" w14:paraId="0D8DAFC5" w14:textId="77777777" w:rsidTr="002A2FAE">
              <w:trPr>
                <w:trHeight w:val="334"/>
                <w:jc w:val="center"/>
              </w:trPr>
              <w:tc>
                <w:tcPr>
                  <w:tcW w:w="1646" w:type="pct"/>
                  <w:shd w:val="clear" w:color="auto" w:fill="auto"/>
                  <w:hideMark/>
                </w:tcPr>
                <w:p w14:paraId="48578FB6" w14:textId="77777777" w:rsidR="0092760B" w:rsidRPr="00027624" w:rsidRDefault="0092760B" w:rsidP="007B222E">
                  <w:pPr>
                    <w:pStyle w:val="TableTextLeft"/>
                    <w:framePr w:hSpace="180" w:wrap="around" w:vAnchor="text" w:hAnchor="text" w:y="1"/>
                    <w:suppressOverlap/>
                  </w:pPr>
                  <w:r w:rsidRPr="00027624">
                    <w:t>Change in annual average working</w:t>
                  </w:r>
                  <w:r w:rsidR="00A8443E" w:rsidRPr="00027624">
                    <w:noBreakHyphen/>
                  </w:r>
                  <w:r w:rsidRPr="00027624">
                    <w:t>life income ($)</w:t>
                  </w:r>
                </w:p>
              </w:tc>
              <w:tc>
                <w:tcPr>
                  <w:tcW w:w="859" w:type="pct"/>
                  <w:hideMark/>
                </w:tcPr>
                <w:p w14:paraId="623117E6"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2,500</w:t>
                  </w:r>
                </w:p>
              </w:tc>
              <w:tc>
                <w:tcPr>
                  <w:tcW w:w="1432" w:type="pct"/>
                  <w:hideMark/>
                </w:tcPr>
                <w:p w14:paraId="106ECA25"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5,100</w:t>
                  </w:r>
                </w:p>
              </w:tc>
              <w:tc>
                <w:tcPr>
                  <w:tcW w:w="1063" w:type="pct"/>
                  <w:hideMark/>
                </w:tcPr>
                <w:p w14:paraId="054D9D06"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8,600</w:t>
                  </w:r>
                </w:p>
              </w:tc>
            </w:tr>
            <w:tr w:rsidR="0092760B" w:rsidRPr="00027624" w14:paraId="2106A751" w14:textId="77777777" w:rsidTr="002A2FAE">
              <w:trPr>
                <w:trHeight w:val="334"/>
                <w:jc w:val="center"/>
              </w:trPr>
              <w:tc>
                <w:tcPr>
                  <w:tcW w:w="1646" w:type="pct"/>
                  <w:shd w:val="clear" w:color="auto" w:fill="auto"/>
                </w:tcPr>
                <w:p w14:paraId="0F9CE213" w14:textId="77777777" w:rsidR="0092760B" w:rsidRPr="00027624" w:rsidRDefault="0092760B" w:rsidP="007B222E">
                  <w:pPr>
                    <w:pStyle w:val="TableTextLeft"/>
                    <w:framePr w:hSpace="180" w:wrap="around" w:vAnchor="text" w:hAnchor="text" w:y="1"/>
                    <w:suppressOverlap/>
                  </w:pPr>
                  <w:r w:rsidRPr="00027624">
                    <w:t>Change in superannuation balance at retirement ($)</w:t>
                  </w:r>
                </w:p>
              </w:tc>
              <w:tc>
                <w:tcPr>
                  <w:tcW w:w="859" w:type="pct"/>
                </w:tcPr>
                <w:p w14:paraId="1099ADA6"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69,300</w:t>
                  </w:r>
                </w:p>
              </w:tc>
              <w:tc>
                <w:tcPr>
                  <w:tcW w:w="1432" w:type="pct"/>
                </w:tcPr>
                <w:p w14:paraId="72A77C5D"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104,000</w:t>
                  </w:r>
                </w:p>
              </w:tc>
              <w:tc>
                <w:tcPr>
                  <w:tcW w:w="1063" w:type="pct"/>
                </w:tcPr>
                <w:p w14:paraId="1E5AEB6E" w14:textId="77777777" w:rsidR="0092760B" w:rsidRPr="00027624" w:rsidRDefault="00A8443E" w:rsidP="007B222E">
                  <w:pPr>
                    <w:pStyle w:val="TableTextCentered"/>
                    <w:framePr w:hSpace="180" w:wrap="around" w:vAnchor="text" w:hAnchor="text" w:y="1"/>
                    <w:suppressOverlap/>
                  </w:pPr>
                  <w:r w:rsidRPr="00027624">
                    <w:noBreakHyphen/>
                  </w:r>
                  <w:r w:rsidR="0092760B" w:rsidRPr="00027624">
                    <w:t>147,200</w:t>
                  </w:r>
                </w:p>
              </w:tc>
            </w:tr>
            <w:tr w:rsidR="0092760B" w:rsidRPr="00027624" w14:paraId="65C6D7A1" w14:textId="77777777" w:rsidTr="002A2FAE">
              <w:trPr>
                <w:trHeight w:val="200"/>
                <w:jc w:val="center"/>
              </w:trPr>
              <w:tc>
                <w:tcPr>
                  <w:tcW w:w="1646" w:type="pct"/>
                  <w:shd w:val="clear" w:color="auto" w:fill="auto"/>
                  <w:hideMark/>
                </w:tcPr>
                <w:p w14:paraId="174D856D" w14:textId="77777777" w:rsidR="0092760B" w:rsidRPr="00027624" w:rsidRDefault="0092760B" w:rsidP="007B222E">
                  <w:pPr>
                    <w:pStyle w:val="TableTextLeft"/>
                    <w:framePr w:hSpace="180" w:wrap="around" w:vAnchor="text" w:hAnchor="text" w:y="1"/>
                    <w:suppressOverlap/>
                  </w:pPr>
                  <w:r w:rsidRPr="00027624">
                    <w:rPr>
                      <w:i/>
                    </w:rPr>
                    <w:t>Change in balance due to early release</w:t>
                  </w:r>
                  <w:r w:rsidRPr="00027624">
                    <w:t xml:space="preserve"> only ($)</w:t>
                  </w:r>
                </w:p>
              </w:tc>
              <w:tc>
                <w:tcPr>
                  <w:tcW w:w="859" w:type="pct"/>
                  <w:hideMark/>
                </w:tcPr>
                <w:p w14:paraId="14046684" w14:textId="77777777" w:rsidR="0092760B" w:rsidRPr="00027624" w:rsidRDefault="00A8443E" w:rsidP="007B222E">
                  <w:pPr>
                    <w:pStyle w:val="TableTextCentered"/>
                    <w:framePr w:hSpace="180" w:wrap="around" w:vAnchor="text" w:hAnchor="text" w:y="1"/>
                    <w:suppressOverlap/>
                    <w:rPr>
                      <w:i/>
                    </w:rPr>
                  </w:pPr>
                  <w:r w:rsidRPr="00027624">
                    <w:rPr>
                      <w:i/>
                    </w:rPr>
                    <w:noBreakHyphen/>
                  </w:r>
                  <w:r w:rsidR="0092760B" w:rsidRPr="00027624">
                    <w:rPr>
                      <w:i/>
                    </w:rPr>
                    <w:t>38,600</w:t>
                  </w:r>
                </w:p>
              </w:tc>
              <w:tc>
                <w:tcPr>
                  <w:tcW w:w="1432" w:type="pct"/>
                  <w:hideMark/>
                </w:tcPr>
                <w:p w14:paraId="07DD871C" w14:textId="77777777" w:rsidR="0092760B" w:rsidRPr="00027624" w:rsidRDefault="00A8443E" w:rsidP="007B222E">
                  <w:pPr>
                    <w:pStyle w:val="TableTextCentered"/>
                    <w:framePr w:hSpace="180" w:wrap="around" w:vAnchor="text" w:hAnchor="text" w:y="1"/>
                    <w:suppressOverlap/>
                    <w:rPr>
                      <w:i/>
                    </w:rPr>
                  </w:pPr>
                  <w:r w:rsidRPr="00027624">
                    <w:rPr>
                      <w:i/>
                    </w:rPr>
                    <w:noBreakHyphen/>
                  </w:r>
                  <w:r w:rsidR="0092760B" w:rsidRPr="00027624">
                    <w:rPr>
                      <w:i/>
                    </w:rPr>
                    <w:t>38,600</w:t>
                  </w:r>
                </w:p>
              </w:tc>
              <w:tc>
                <w:tcPr>
                  <w:tcW w:w="1063" w:type="pct"/>
                  <w:hideMark/>
                </w:tcPr>
                <w:p w14:paraId="5894F6A4" w14:textId="77777777" w:rsidR="0092760B" w:rsidRPr="00027624" w:rsidRDefault="00A8443E" w:rsidP="007B222E">
                  <w:pPr>
                    <w:pStyle w:val="TableTextCentered"/>
                    <w:framePr w:hSpace="180" w:wrap="around" w:vAnchor="text" w:hAnchor="text" w:y="1"/>
                    <w:suppressOverlap/>
                    <w:rPr>
                      <w:i/>
                    </w:rPr>
                  </w:pPr>
                  <w:r w:rsidRPr="00027624">
                    <w:rPr>
                      <w:i/>
                    </w:rPr>
                    <w:noBreakHyphen/>
                  </w:r>
                  <w:r w:rsidR="0092760B" w:rsidRPr="00027624">
                    <w:rPr>
                      <w:i/>
                    </w:rPr>
                    <w:t>38,600</w:t>
                  </w:r>
                </w:p>
              </w:tc>
            </w:tr>
          </w:tbl>
          <w:p w14:paraId="184B2477" w14:textId="77777777" w:rsidR="0092760B" w:rsidRPr="00027624" w:rsidRDefault="0092760B" w:rsidP="002A2FAE">
            <w:pPr>
              <w:pStyle w:val="ChartorTableNote"/>
            </w:pPr>
            <w:r w:rsidRPr="00027624">
              <w:t>Note: Values are in 2019</w:t>
            </w:r>
            <w:r w:rsidR="00A8443E" w:rsidRPr="00027624">
              <w:noBreakHyphen/>
            </w:r>
            <w:r w:rsidRPr="00027624">
              <w:t>20 dollars using the review</w:t>
            </w:r>
            <w:r w:rsidR="00A8443E" w:rsidRPr="00027624">
              <w:t>’</w:t>
            </w:r>
            <w:r w:rsidRPr="00027624">
              <w:t>s mixed deflator and rounded to the nearest $100. Person is eligible for JobSeeker Payment (excluding the Coronavirus Supplement) when unemployed. L</w:t>
            </w:r>
            <w:r w:rsidRPr="00027624">
              <w:rPr>
                <w:szCs w:val="22"/>
              </w:rPr>
              <w:t>ower</w:t>
            </w:r>
            <w:r w:rsidR="00A8443E" w:rsidRPr="00027624">
              <w:rPr>
                <w:szCs w:val="22"/>
              </w:rPr>
              <w:noBreakHyphen/>
            </w:r>
            <w:r w:rsidRPr="00027624">
              <w:rPr>
                <w:szCs w:val="22"/>
              </w:rPr>
              <w:t>income earners do not have $20,000 superannuation at age 32. Around $5,000 is added to lower</w:t>
            </w:r>
            <w:r w:rsidR="00A8443E" w:rsidRPr="00027624">
              <w:rPr>
                <w:szCs w:val="22"/>
              </w:rPr>
              <w:noBreakHyphen/>
            </w:r>
            <w:r w:rsidRPr="00027624">
              <w:rPr>
                <w:szCs w:val="22"/>
              </w:rPr>
              <w:t>income earner superannuation balances in both central case and economic downturn scenarios for comparability with other income percentiles. Underemployment in the scenario reduces incomes by 40 per cent for three years and 20 per cent for a further two years. The person re</w:t>
            </w:r>
            <w:r w:rsidR="00A8443E" w:rsidRPr="00027624">
              <w:rPr>
                <w:szCs w:val="22"/>
              </w:rPr>
              <w:noBreakHyphen/>
            </w:r>
            <w:r w:rsidRPr="00027624">
              <w:rPr>
                <w:szCs w:val="22"/>
              </w:rPr>
              <w:t>enters employment earning the wage they received before the downturn and catches up to where their wage would have otherwise been over a five</w:t>
            </w:r>
            <w:r w:rsidR="00A8443E" w:rsidRPr="00027624">
              <w:rPr>
                <w:szCs w:val="22"/>
              </w:rPr>
              <w:noBreakHyphen/>
            </w:r>
            <w:r w:rsidRPr="00027624">
              <w:rPr>
                <w:szCs w:val="22"/>
              </w:rPr>
              <w:t xml:space="preserve">year period. </w:t>
            </w:r>
            <w:r w:rsidRPr="00027624">
              <w:t>Source:</w:t>
            </w:r>
            <w:r w:rsidRPr="00027624">
              <w:rPr>
                <w:szCs w:val="18"/>
              </w:rPr>
              <w:t xml:space="preserve"> Cameo modelling undertaken for the review</w:t>
            </w:r>
            <w:r w:rsidRPr="00027624">
              <w:t>.</w:t>
            </w:r>
          </w:p>
          <w:p w14:paraId="15C2AF11" w14:textId="77777777" w:rsidR="0092760B" w:rsidRPr="00027624" w:rsidRDefault="0092760B" w:rsidP="00325A8D">
            <w:pPr>
              <w:pStyle w:val="ChartMainHeading"/>
            </w:pPr>
            <w:bookmarkStart w:id="577" w:name="_Ref41055068"/>
            <w:r w:rsidRPr="00027624">
              <w:t xml:space="preserve">Projected change in retirement incomes due to </w:t>
            </w:r>
            <w:bookmarkEnd w:id="577"/>
            <w:r w:rsidRPr="00027624">
              <w:t>economic downturn</w:t>
            </w:r>
          </w:p>
          <w:tbl>
            <w:tblPr>
              <w:tblStyle w:val="TableGrid"/>
              <w:tblW w:w="0" w:type="auto"/>
              <w:tblLook w:val="04A0" w:firstRow="1" w:lastRow="0" w:firstColumn="1" w:lastColumn="0" w:noHBand="0" w:noVBand="1"/>
            </w:tblPr>
            <w:tblGrid>
              <w:gridCol w:w="4427"/>
              <w:gridCol w:w="4427"/>
            </w:tblGrid>
            <w:tr w:rsidR="0092760B" w:rsidRPr="00027624" w14:paraId="1A9F74D1" w14:textId="77777777" w:rsidTr="002A2FAE">
              <w:tc>
                <w:tcPr>
                  <w:tcW w:w="4428" w:type="dxa"/>
                  <w:shd w:val="clear" w:color="auto" w:fill="auto"/>
                </w:tcPr>
                <w:p w14:paraId="68C2DDBD" w14:textId="77777777" w:rsidR="0092760B" w:rsidRPr="00027624" w:rsidRDefault="0092760B" w:rsidP="007B222E">
                  <w:pPr>
                    <w:pStyle w:val="ChartSecondHeading"/>
                    <w:framePr w:hSpace="180" w:wrap="around" w:vAnchor="text" w:hAnchor="text" w:y="1"/>
                    <w:suppressOverlap/>
                  </w:pPr>
                  <w:r w:rsidRPr="00027624">
                    <w:t>Replacement rate change</w:t>
                  </w:r>
                </w:p>
              </w:tc>
              <w:tc>
                <w:tcPr>
                  <w:tcW w:w="4428" w:type="dxa"/>
                  <w:shd w:val="clear" w:color="auto" w:fill="auto"/>
                </w:tcPr>
                <w:p w14:paraId="16C18F34" w14:textId="77777777" w:rsidR="0092760B" w:rsidRPr="00027624" w:rsidRDefault="0092760B" w:rsidP="007B222E">
                  <w:pPr>
                    <w:pStyle w:val="ChartSecondHeading"/>
                    <w:framePr w:hSpace="180" w:wrap="around" w:vAnchor="text" w:hAnchor="text" w:y="1"/>
                    <w:suppressOverlap/>
                  </w:pPr>
                  <w:r w:rsidRPr="00027624">
                    <w:t>Change in annual retirement income</w:t>
                  </w:r>
                </w:p>
              </w:tc>
            </w:tr>
            <w:tr w:rsidR="0092760B" w:rsidRPr="00027624" w14:paraId="5C0C4BD6" w14:textId="77777777" w:rsidTr="002A2FAE">
              <w:tc>
                <w:tcPr>
                  <w:tcW w:w="4428" w:type="dxa"/>
                  <w:shd w:val="clear" w:color="auto" w:fill="auto"/>
                </w:tcPr>
                <w:p w14:paraId="72512EDE" w14:textId="77777777" w:rsidR="0092760B" w:rsidRPr="00027624" w:rsidRDefault="00D5784C" w:rsidP="007B222E">
                  <w:pPr>
                    <w:pStyle w:val="ChartGraphic"/>
                    <w:framePr w:hSpace="180" w:wrap="around" w:vAnchor="text" w:hAnchor="text" w:y="1"/>
                    <w:suppressOverlap/>
                  </w:pPr>
                  <w:r>
                    <w:rPr>
                      <w:noProof/>
                    </w:rPr>
                    <w:drawing>
                      <wp:inline distT="0" distB="0" distL="0" distR="0" wp14:anchorId="57CDDED0" wp14:editId="0FE9C661">
                        <wp:extent cx="2743200" cy="2880360"/>
                        <wp:effectExtent l="0" t="0" r="0" b="0"/>
                        <wp:docPr id="2062294296" name="Picture 2062294296" descr="This chart shows that replacement rates are worse for all income percentiles in the event of an economic downturn that affects someone in their working life. Replacement rates only fall below the benchmark for people in 80th and 90th percentiles in this scenario. " title="Replacement rat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880360"/>
                                </a:xfrm>
                                <a:prstGeom prst="rect">
                                  <a:avLst/>
                                </a:prstGeom>
                                <a:noFill/>
                              </pic:spPr>
                            </pic:pic>
                          </a:graphicData>
                        </a:graphic>
                      </wp:inline>
                    </w:drawing>
                  </w:r>
                </w:p>
              </w:tc>
              <w:tc>
                <w:tcPr>
                  <w:tcW w:w="4428" w:type="dxa"/>
                  <w:shd w:val="clear" w:color="auto" w:fill="auto"/>
                </w:tcPr>
                <w:p w14:paraId="2F7FFCA6" w14:textId="77777777" w:rsidR="0092760B" w:rsidRPr="00027624" w:rsidRDefault="00D5784C" w:rsidP="007B222E">
                  <w:pPr>
                    <w:pStyle w:val="ChartGraphic"/>
                    <w:framePr w:hSpace="180" w:wrap="around" w:vAnchor="text" w:hAnchor="text" w:y="1"/>
                    <w:suppressOverlap/>
                  </w:pPr>
                  <w:r>
                    <w:rPr>
                      <w:noProof/>
                    </w:rPr>
                    <w:drawing>
                      <wp:inline distT="0" distB="0" distL="0" distR="0" wp14:anchorId="166C3189" wp14:editId="4FB51462">
                        <wp:extent cx="2743200" cy="2887980"/>
                        <wp:effectExtent l="0" t="0" r="0" b="7620"/>
                        <wp:docPr id="2062294297" name="Picture 2062294297" descr="This chart shows that increases in income from the Age Pension offset some of the decrease in superannuation income for the 20th to 80th percentiles." title="Change in annual retirement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43200" cy="2887980"/>
                                </a:xfrm>
                                <a:prstGeom prst="rect">
                                  <a:avLst/>
                                </a:prstGeom>
                                <a:noFill/>
                              </pic:spPr>
                            </pic:pic>
                          </a:graphicData>
                        </a:graphic>
                      </wp:inline>
                    </w:drawing>
                  </w:r>
                </w:p>
              </w:tc>
            </w:tr>
          </w:tbl>
          <w:p w14:paraId="5EC64148" w14:textId="77777777" w:rsidR="0092760B" w:rsidRPr="00027624" w:rsidRDefault="0092760B" w:rsidP="002A2FAE">
            <w:pPr>
              <w:pStyle w:val="ChartorTableNote"/>
              <w:rPr>
                <w:sz w:val="22"/>
              </w:rPr>
            </w:pPr>
            <w:r w:rsidRPr="00027624">
              <w:t>Note: Lower</w:t>
            </w:r>
            <w:r w:rsidR="00A8443E" w:rsidRPr="00027624">
              <w:noBreakHyphen/>
            </w:r>
            <w:r w:rsidRPr="00027624">
              <w:t>income earners do not have $20,000 superannuation at age 32 under normal assumptions for review cameo modelling. Around $5,000 is added to lower</w:t>
            </w:r>
            <w:r w:rsidR="00A8443E" w:rsidRPr="00027624">
              <w:noBreakHyphen/>
            </w:r>
            <w:r w:rsidRPr="00027624">
              <w:t>income earner superannuation balances in the central and downturn cases to examine the impact of a $20,000 withdrawal on retirement balances. Source: Cameo modelling undertaken for the review.</w:t>
            </w:r>
          </w:p>
        </w:tc>
      </w:tr>
    </w:tbl>
    <w:p w14:paraId="405E51BC" w14:textId="77777777" w:rsidR="0092760B" w:rsidRPr="00027624" w:rsidRDefault="0092760B" w:rsidP="002A2FAE">
      <w:pPr>
        <w:pStyle w:val="Heading3"/>
      </w:pPr>
      <w:r w:rsidRPr="00027624">
        <w:lastRenderedPageBreak/>
        <w:t>Responsibilities for managing risk</w:t>
      </w:r>
    </w:p>
    <w:p w14:paraId="7D7265F2" w14:textId="77777777" w:rsidR="0092760B" w:rsidRPr="00027624" w:rsidRDefault="0092760B" w:rsidP="002A2FAE">
      <w:pPr>
        <w:rPr>
          <w:b/>
        </w:rPr>
      </w:pPr>
      <w:r w:rsidRPr="00027624">
        <w:rPr>
          <w:b/>
        </w:rPr>
        <w:t>In addition to the automatic risk management features in the system, individuals, funds and government can all help to alleviate the impact of market shocks to retirement outcomes.</w:t>
      </w:r>
    </w:p>
    <w:p w14:paraId="28BDEE26" w14:textId="77777777" w:rsidR="0092760B" w:rsidRPr="00027624" w:rsidRDefault="0092760B" w:rsidP="002A2FAE">
      <w:r w:rsidRPr="00027624">
        <w:t>Asset prices</w:t>
      </w:r>
      <w:r w:rsidRPr="00027624" w:rsidDel="00C06CB9">
        <w:t xml:space="preserve"> </w:t>
      </w:r>
      <w:r w:rsidRPr="00027624">
        <w:t>fall in response to economic shocks and tend to recover in later years. Individual retirement incomes will suffer if people sell their assets at market lows.</w:t>
      </w:r>
    </w:p>
    <w:p w14:paraId="1965FDC0" w14:textId="77777777" w:rsidR="0092760B" w:rsidRPr="00027624" w:rsidRDefault="0092760B" w:rsidP="002A2FAE">
      <w:r w:rsidRPr="00027624">
        <w:rPr>
          <w:b/>
          <w:bCs/>
        </w:rPr>
        <w:t>Individuals</w:t>
      </w:r>
      <w:r w:rsidRPr="00027624">
        <w:t xml:space="preserve"> can mitigate risk by using:</w:t>
      </w:r>
    </w:p>
    <w:p w14:paraId="78C46F56" w14:textId="77777777" w:rsidR="0092760B" w:rsidRPr="00027624" w:rsidRDefault="0092760B" w:rsidP="0092760B">
      <w:pPr>
        <w:pStyle w:val="Bullet"/>
      </w:pPr>
      <w:r w:rsidRPr="00027624">
        <w:rPr>
          <w:b/>
          <w:bCs/>
        </w:rPr>
        <w:lastRenderedPageBreak/>
        <w:t>Adaptable drawdown strategies</w:t>
      </w:r>
      <w:r w:rsidRPr="00027624">
        <w:t xml:space="preserve"> where retirees draw down based on a proportion of their balance, rather than fixed amounts. For example, the 10 per cent drawdown strategy used in Industry Super Australia modelling</w:t>
      </w:r>
      <w:sdt>
        <w:sdtPr>
          <w:id w:val="1605146688"/>
          <w:citation/>
        </w:sdtPr>
        <w:sdtEndPr/>
        <w:sdtContent>
          <w:r w:rsidRPr="00027624">
            <w:fldChar w:fldCharType="begin"/>
          </w:r>
          <w:r w:rsidRPr="00027624">
            <w:instrText xml:space="preserve">CITATION Ind20 \l 3081 </w:instrText>
          </w:r>
          <w:r w:rsidRPr="00027624">
            <w:fldChar w:fldCharType="separate"/>
          </w:r>
          <w:r w:rsidR="00E83F6E">
            <w:rPr>
              <w:noProof/>
            </w:rPr>
            <w:t xml:space="preserve"> (Industry Super Australia, 2020)</w:t>
          </w:r>
          <w:r w:rsidRPr="00027624">
            <w:fldChar w:fldCharType="end"/>
          </w:r>
        </w:sdtContent>
      </w:sdt>
      <w:r w:rsidRPr="00027624">
        <w:t>. Such strategies lower drawdowns if assets are lower, reducing the need to sell assets at the bottom of the market. Whereas, strategies that rely on a fixed dollar draw down could result in retirees running out of money when there is a market downturn.</w:t>
      </w:r>
    </w:p>
    <w:p w14:paraId="22F0261D" w14:textId="77777777" w:rsidR="0092760B" w:rsidRPr="00027624" w:rsidRDefault="0092760B" w:rsidP="0092760B">
      <w:pPr>
        <w:pStyle w:val="Bullet"/>
      </w:pPr>
      <w:r w:rsidRPr="00027624">
        <w:rPr>
          <w:b/>
          <w:bCs/>
        </w:rPr>
        <w:t>Bucketing strategies</w:t>
      </w:r>
      <w:r w:rsidRPr="00027624">
        <w:t xml:space="preserve"> where retirees create a reserve of cash to provide income for a fixed period as part of a retiree</w:t>
      </w:r>
      <w:r w:rsidR="00A8443E" w:rsidRPr="00027624">
        <w:t>’</w:t>
      </w:r>
      <w:r w:rsidRPr="00027624">
        <w:t>s portfolio. This allows people to draw down cash during market downturns, avoiding the need to sell growth assets at market lows. The effectiveness of this strategy depends on the cash bucket being sufficient to outlast the market downturn.</w:t>
      </w:r>
    </w:p>
    <w:p w14:paraId="71F2E15A" w14:textId="77777777" w:rsidR="0092760B" w:rsidRPr="00027624" w:rsidRDefault="0092760B" w:rsidP="0092760B">
      <w:pPr>
        <w:pStyle w:val="Bullet"/>
      </w:pPr>
      <w:r w:rsidRPr="00027624">
        <w:rPr>
          <w:b/>
          <w:bCs/>
        </w:rPr>
        <w:t>Lifecycle portfolio strategies</w:t>
      </w:r>
      <w:r w:rsidRPr="00027624">
        <w:t xml:space="preserve"> that reduce investment risk as people age, by weighting their portfolios towards cash and defensive assets. This strategy blunts the effect of negative shocks since defensive assets are less affected in market downturns. It can be effective for older retirees for whom long</w:t>
      </w:r>
      <w:r w:rsidR="00A8443E" w:rsidRPr="00027624">
        <w:noBreakHyphen/>
      </w:r>
      <w:r w:rsidRPr="00027624">
        <w:t>term growth is less important.</w:t>
      </w:r>
    </w:p>
    <w:p w14:paraId="0DBC2A17" w14:textId="77777777" w:rsidR="0092760B" w:rsidRPr="00027624" w:rsidRDefault="0092760B" w:rsidP="002A2FAE">
      <w:r w:rsidRPr="00027624">
        <w:t xml:space="preserve">Central to managing these risks is </w:t>
      </w:r>
      <w:r w:rsidR="00D50CC0" w:rsidRPr="00027624">
        <w:t>people</w:t>
      </w:r>
      <w:r w:rsidRPr="00027624">
        <w:t xml:space="preserve"> being informed and appropriately advised where necessary.</w:t>
      </w:r>
    </w:p>
    <w:p w14:paraId="06A77985" w14:textId="77777777" w:rsidR="0092760B" w:rsidRPr="00027624" w:rsidRDefault="0092760B" w:rsidP="002A2FAE">
      <w:r w:rsidRPr="00027624">
        <w:rPr>
          <w:b/>
        </w:rPr>
        <w:t xml:space="preserve">Some </w:t>
      </w:r>
      <w:r w:rsidR="00D50CC0" w:rsidRPr="00027624">
        <w:rPr>
          <w:b/>
        </w:rPr>
        <w:t>people</w:t>
      </w:r>
      <w:r w:rsidRPr="00027624">
        <w:rPr>
          <w:b/>
        </w:rPr>
        <w:t xml:space="preserve"> will also be able to </w:t>
      </w:r>
      <w:r w:rsidRPr="00027624">
        <w:rPr>
          <w:b/>
          <w:bCs/>
        </w:rPr>
        <w:t>delay retirement</w:t>
      </w:r>
      <w:r w:rsidRPr="00027624">
        <w:t>. Older Australians may have responded to the GFC by working longer</w:t>
      </w:r>
      <w:sdt>
        <w:sdtPr>
          <w:id w:val="1264029783"/>
          <w:citation/>
        </w:sdtPr>
        <w:sdtEndPr/>
        <w:sdtContent>
          <w:r w:rsidRPr="00027624">
            <w:fldChar w:fldCharType="begin"/>
          </w:r>
          <w:r w:rsidRPr="00027624">
            <w:instrText xml:space="preserve"> CITATION Plu10 \l 3081 </w:instrText>
          </w:r>
          <w:r w:rsidRPr="00027624">
            <w:fldChar w:fldCharType="separate"/>
          </w:r>
          <w:r w:rsidR="00E83F6E">
            <w:rPr>
              <w:noProof/>
            </w:rPr>
            <w:t xml:space="preserve"> (Plumb, et al., 2010)</w:t>
          </w:r>
          <w:r w:rsidRPr="00027624">
            <w:fldChar w:fldCharType="end"/>
          </w:r>
        </w:sdtContent>
      </w:sdt>
      <w:r w:rsidRPr="00027624">
        <w:t>. But delaying retirement may not be an option for people with poor health or who are made redundant in the downturn.</w:t>
      </w:r>
    </w:p>
    <w:p w14:paraId="61ED8987" w14:textId="77777777" w:rsidR="0092760B" w:rsidRPr="00027624" w:rsidRDefault="0092760B" w:rsidP="002A2FAE">
      <w:pPr>
        <w:pStyle w:val="Bullet"/>
        <w:numPr>
          <w:ilvl w:val="0"/>
          <w:numId w:val="0"/>
        </w:numPr>
      </w:pPr>
      <w:r w:rsidRPr="00027624">
        <w:rPr>
          <w:b/>
          <w:bCs/>
        </w:rPr>
        <w:t>Government</w:t>
      </w:r>
      <w:r w:rsidRPr="00027624">
        <w:rPr>
          <w:b/>
        </w:rPr>
        <w:t xml:space="preserve"> can</w:t>
      </w:r>
      <w:r w:rsidRPr="00027624">
        <w:t>:</w:t>
      </w:r>
    </w:p>
    <w:p w14:paraId="70C1F24E" w14:textId="77777777" w:rsidR="0092760B" w:rsidRPr="00027624" w:rsidRDefault="0092760B" w:rsidP="0092760B">
      <w:pPr>
        <w:pStyle w:val="Bullet"/>
      </w:pPr>
      <w:bookmarkStart w:id="578" w:name="_Hlk42246186"/>
      <w:r w:rsidRPr="00027624">
        <w:rPr>
          <w:b/>
          <w:bCs/>
        </w:rPr>
        <w:t>Continue to</w:t>
      </w:r>
      <w:r w:rsidRPr="00027624">
        <w:t xml:space="preserve"> </w:t>
      </w:r>
      <w:r w:rsidRPr="00027624">
        <w:rPr>
          <w:b/>
          <w:bCs/>
        </w:rPr>
        <w:t>support the development of default retirement products</w:t>
      </w:r>
      <w:r w:rsidRPr="00027624">
        <w:t xml:space="preserve"> that help retirees manage their drawdowns. Sensible retirement defaults could reduce volatility and protect retirees from longevity risk.</w:t>
      </w:r>
    </w:p>
    <w:p w14:paraId="5B799A9D" w14:textId="77777777" w:rsidR="0092760B" w:rsidRPr="00027624" w:rsidRDefault="0092760B" w:rsidP="0092760B">
      <w:pPr>
        <w:pStyle w:val="Bullet"/>
      </w:pPr>
      <w:r w:rsidRPr="00027624">
        <w:rPr>
          <w:b/>
          <w:bCs/>
        </w:rPr>
        <w:t>Adjust policy settings</w:t>
      </w:r>
      <w:r w:rsidRPr="00027624">
        <w:t xml:space="preserve"> in a market downturn, by:</w:t>
      </w:r>
    </w:p>
    <w:p w14:paraId="632D51AC" w14:textId="77777777" w:rsidR="0092760B" w:rsidRPr="00027624" w:rsidRDefault="0092760B" w:rsidP="00975545">
      <w:pPr>
        <w:pStyle w:val="Dash"/>
        <w:numPr>
          <w:ilvl w:val="1"/>
          <w:numId w:val="24"/>
        </w:numPr>
      </w:pPr>
      <w:r w:rsidRPr="00027624">
        <w:t>Temporarily lowering minimum drawdown rates, reducing the need for retirees to sell financial assets at market lows.</w:t>
      </w:r>
    </w:p>
    <w:p w14:paraId="5CA32F1D" w14:textId="77777777" w:rsidR="0092760B" w:rsidRPr="00027624" w:rsidRDefault="0092760B" w:rsidP="00975545">
      <w:pPr>
        <w:pStyle w:val="Dash"/>
        <w:numPr>
          <w:ilvl w:val="1"/>
          <w:numId w:val="24"/>
        </w:numPr>
      </w:pPr>
      <w:r w:rsidRPr="00027624">
        <w:t>Adjusting deeming rates to ensure they are in line with market returns</w:t>
      </w:r>
      <w:r w:rsidRPr="00027624" w:rsidDel="003542B2">
        <w:t>.</w:t>
      </w:r>
    </w:p>
    <w:bookmarkEnd w:id="578"/>
    <w:p w14:paraId="7B53607F" w14:textId="77777777" w:rsidR="0092760B" w:rsidRPr="00027624" w:rsidRDefault="0092760B" w:rsidP="002A2FAE">
      <w:pPr>
        <w:pStyle w:val="Bullet"/>
        <w:numPr>
          <w:ilvl w:val="0"/>
          <w:numId w:val="0"/>
        </w:numPr>
        <w:ind w:left="283" w:hanging="283"/>
      </w:pPr>
      <w:r w:rsidRPr="00027624">
        <w:rPr>
          <w:b/>
          <w:bCs/>
        </w:rPr>
        <w:t>Superannuation funds</w:t>
      </w:r>
      <w:r w:rsidRPr="00027624">
        <w:t xml:space="preserve"> </w:t>
      </w:r>
      <w:r w:rsidRPr="00027624">
        <w:rPr>
          <w:b/>
        </w:rPr>
        <w:t>can</w:t>
      </w:r>
      <w:r w:rsidRPr="00027624">
        <w:t>:</w:t>
      </w:r>
    </w:p>
    <w:p w14:paraId="48A9D6BB" w14:textId="77777777" w:rsidR="0092760B" w:rsidRPr="00027624" w:rsidRDefault="0092760B" w:rsidP="0092760B">
      <w:pPr>
        <w:pStyle w:val="Bullet"/>
      </w:pPr>
      <w:r w:rsidRPr="00027624">
        <w:rPr>
          <w:b/>
          <w:bCs/>
        </w:rPr>
        <w:t>Provide guidance to people</w:t>
      </w:r>
      <w:r w:rsidRPr="00027624">
        <w:t>. Falling markets can be stressful and the complexity of navigating the system is an issue during downturns</w:t>
      </w:r>
      <w:sdt>
        <w:sdtPr>
          <w:id w:val="854311537"/>
          <w:citation/>
        </w:sdtPr>
        <w:sdtEndPr/>
        <w:sdtContent>
          <w:r w:rsidRPr="00027624">
            <w:fldChar w:fldCharType="begin"/>
          </w:r>
          <w:r w:rsidRPr="00027624">
            <w:instrText xml:space="preserve">CITATION HBa09 \l 3081 </w:instrText>
          </w:r>
          <w:r w:rsidRPr="00027624">
            <w:fldChar w:fldCharType="separate"/>
          </w:r>
          <w:r w:rsidR="00E83F6E">
            <w:rPr>
              <w:noProof/>
            </w:rPr>
            <w:t xml:space="preserve"> (Bateman, 2009)</w:t>
          </w:r>
          <w:r w:rsidRPr="00027624">
            <w:fldChar w:fldCharType="end"/>
          </w:r>
        </w:sdtContent>
      </w:sdt>
      <w:r w:rsidRPr="00027624">
        <w:t>. Complexity, combined with fear and uncertainty, can result in people making poor choices. Unadvised members are particularly susceptible to this risk</w:t>
      </w:r>
      <w:sdt>
        <w:sdtPr>
          <w:id w:val="-1526017486"/>
          <w:citation/>
        </w:sdtPr>
        <w:sdtEndPr/>
        <w:sdtContent>
          <w:r w:rsidRPr="00027624">
            <w:fldChar w:fldCharType="begin"/>
          </w:r>
          <w:r w:rsidRPr="00027624">
            <w:instrText xml:space="preserve">CITATION Tah20 \l 3081 </w:instrText>
          </w:r>
          <w:r w:rsidRPr="00027624">
            <w:fldChar w:fldCharType="separate"/>
          </w:r>
          <w:r w:rsidR="00E83F6E">
            <w:rPr>
              <w:noProof/>
            </w:rPr>
            <w:t xml:space="preserve"> (Sharpe, 2020)</w:t>
          </w:r>
          <w:r w:rsidRPr="00027624">
            <w:fldChar w:fldCharType="end"/>
          </w:r>
        </w:sdtContent>
      </w:sdt>
      <w:r w:rsidRPr="00027624">
        <w:t>.</w:t>
      </w:r>
    </w:p>
    <w:p w14:paraId="369FA1AB" w14:textId="77777777" w:rsidR="0092760B" w:rsidRPr="00027624" w:rsidRDefault="0092760B">
      <w:pPr>
        <w:pStyle w:val="Bullet"/>
        <w:numPr>
          <w:ilvl w:val="0"/>
          <w:numId w:val="0"/>
        </w:numPr>
      </w:pPr>
      <w:r w:rsidRPr="00027624">
        <w:rPr>
          <w:b/>
          <w:bCs/>
        </w:rPr>
        <w:t>For example, forthcoming research by First State Super points to the importance of guidance and advice in reassuring members and helping them stay the course when markets fall</w:t>
      </w:r>
      <w:r w:rsidRPr="00027624">
        <w:t>. The research compared largely unadvised retirees with those receiving more advice.</w:t>
      </w:r>
      <w:r w:rsidRPr="00027624">
        <w:rPr>
          <w:rStyle w:val="FootnoteReference"/>
        </w:rPr>
        <w:footnoteReference w:id="109"/>
      </w:r>
      <w:r w:rsidRPr="00027624">
        <w:t xml:space="preserve"> Among the largely unadvised retirees, 7.7 per cent switched investment options between February and April 2020, moving 84 per cent of their account balance on average. This was 4.3 times higher than the level of switching observed among those receiving more advice. Only 1.8 per cent of retirees receiving advice switched and when they did, they only switched 33 per cent of their account on average. Across both groups, close to 80 per cent of switches were into a more defensive investment option, with about half of these being switches to cash.</w:t>
      </w:r>
    </w:p>
    <w:p w14:paraId="2509FFE1" w14:textId="20F8361D" w:rsidR="0092760B" w:rsidRPr="00027624" w:rsidRDefault="0092760B">
      <w:pPr>
        <w:pStyle w:val="Bullet"/>
        <w:numPr>
          <w:ilvl w:val="0"/>
          <w:numId w:val="0"/>
        </w:numPr>
      </w:pPr>
      <w:r w:rsidRPr="00027624">
        <w:lastRenderedPageBreak/>
        <w:t>Earlier research by First State Super found that 83 per cent of First State Super members over age 50 who switched to a more defensive option during the GFC missed the rebound in markets and had not switched back by the end of 2009</w:t>
      </w:r>
      <w:r w:rsidR="00A8443E" w:rsidRPr="00027624">
        <w:noBreakHyphen/>
      </w:r>
      <w:r w:rsidRPr="00027624">
        <w:t>10. This suggests that members who switch during periods of market stress may not switch back without prompting, further emphasising the value in ready access to advice and guidance. Switching can protect funds from further falls, but cash performs significantly worse in the long run than balanced funds (</w:t>
      </w:r>
      <w:r w:rsidRPr="00027624">
        <w:fldChar w:fldCharType="begin"/>
      </w:r>
      <w:r w:rsidRPr="00027624">
        <w:instrText xml:space="preserve"> REF _Ref39242089 \r \h  \* MERGEFORMAT </w:instrText>
      </w:r>
      <w:r w:rsidRPr="00027624">
        <w:fldChar w:fldCharType="separate"/>
      </w:r>
      <w:r w:rsidR="00891058">
        <w:t>Chart 2C-25</w:t>
      </w:r>
      <w:r w:rsidRPr="00027624">
        <w:fldChar w:fldCharType="end"/>
      </w:r>
      <w:r w:rsidRPr="00027624">
        <w:t>).</w:t>
      </w:r>
    </w:p>
    <w:p w14:paraId="0BAA1DA7" w14:textId="77777777" w:rsidR="0092760B" w:rsidRPr="00027624" w:rsidRDefault="0092760B" w:rsidP="00325A8D">
      <w:pPr>
        <w:pStyle w:val="ChartMainHeading"/>
      </w:pPr>
      <w:bookmarkStart w:id="579" w:name="_Ref39242089"/>
      <w:r w:rsidRPr="00027624">
        <w:t>Index of unit prices by investment strategy</w:t>
      </w:r>
      <w:bookmarkEnd w:id="579"/>
    </w:p>
    <w:p w14:paraId="18404B04" w14:textId="77777777" w:rsidR="0092760B" w:rsidRPr="00027624" w:rsidRDefault="00BC4CD9" w:rsidP="002A2FAE">
      <w:pPr>
        <w:pStyle w:val="ChartGraphic"/>
      </w:pPr>
      <w:r>
        <w:rPr>
          <w:noProof/>
        </w:rPr>
        <w:drawing>
          <wp:inline distT="0" distB="0" distL="0" distR="0" wp14:anchorId="70DBD59B" wp14:editId="3C9E8BA0">
            <wp:extent cx="5577840" cy="2522220"/>
            <wp:effectExtent l="0" t="0" r="3810" b="0"/>
            <wp:docPr id="2062294298" name="Picture 2062294298" descr="This chart shows that the return on investments held in cash was substantially lower than that of typical superannuation portfolios over the period 2004-2020. While prices for high growth funds fell more during the GFC, they overtook returns to cash within 5 years from the market low." title="Chart 2C-25 Index of unit prices by investment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758A8688" w14:textId="77777777" w:rsidR="0092760B" w:rsidRPr="00027624" w:rsidRDefault="0092760B" w:rsidP="002A2FAE">
      <w:pPr>
        <w:pStyle w:val="ChartorTableNote"/>
      </w:pPr>
      <w:r w:rsidRPr="00027624">
        <w:t>Note: Index 100 = values as at pre</w:t>
      </w:r>
      <w:r w:rsidR="00A8443E" w:rsidRPr="00027624">
        <w:noBreakHyphen/>
      </w:r>
      <w:r w:rsidRPr="00027624">
        <w:t xml:space="preserve">GFC peak as at December 2007, value based on first day in month. Source: </w:t>
      </w:r>
      <w:sdt>
        <w:sdtPr>
          <w:id w:val="-249422831"/>
          <w:citation/>
        </w:sdtPr>
        <w:sdtEndPr/>
        <w:sdtContent>
          <w:r w:rsidRPr="00027624">
            <w:fldChar w:fldCharType="begin"/>
          </w:r>
          <w:r w:rsidRPr="00027624">
            <w:instrText xml:space="preserve"> CITATION Res20 \l 3081 </w:instrText>
          </w:r>
          <w:r w:rsidRPr="00027624">
            <w:fldChar w:fldCharType="separate"/>
          </w:r>
          <w:r w:rsidR="00E83F6E">
            <w:rPr>
              <w:noProof/>
            </w:rPr>
            <w:t>(Rest Super, 2020)</w:t>
          </w:r>
          <w:r w:rsidRPr="00027624">
            <w:fldChar w:fldCharType="end"/>
          </w:r>
        </w:sdtContent>
      </w:sdt>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3DBF0793" w14:textId="77777777" w:rsidTr="002A2FAE">
        <w:tc>
          <w:tcPr>
            <w:tcW w:w="5000" w:type="pct"/>
            <w:shd w:val="clear" w:color="auto" w:fill="FFF8EA"/>
          </w:tcPr>
          <w:p w14:paraId="5E580471" w14:textId="77777777" w:rsidR="0092760B" w:rsidRPr="00027624" w:rsidRDefault="0092760B" w:rsidP="00325A8D">
            <w:pPr>
              <w:pStyle w:val="BoxHeading"/>
            </w:pPr>
            <w:r w:rsidRPr="00027624">
              <w:t>Impacts of certain policy settings on maintaining living standards in retirement</w:t>
            </w:r>
          </w:p>
          <w:p w14:paraId="71AF58C3" w14:textId="77777777" w:rsidR="0092760B" w:rsidRPr="00027624" w:rsidRDefault="0092760B" w:rsidP="002A2FAE">
            <w:r w:rsidRPr="00027624">
              <w:t>A significant number of submissions raised policy suggestions to improve people</w:t>
            </w:r>
            <w:r w:rsidR="00A8443E" w:rsidRPr="00027624">
              <w:t>’</w:t>
            </w:r>
            <w:r w:rsidRPr="00027624">
              <w:t>s ability to maintain their living standards in retirement. The following outlines some implications of some of those proposals.</w:t>
            </w:r>
          </w:p>
          <w:p w14:paraId="6EED1863" w14:textId="77777777" w:rsidR="0092760B" w:rsidRPr="00027624" w:rsidRDefault="0092760B" w:rsidP="0092760B">
            <w:pPr>
              <w:pStyle w:val="Bullet"/>
              <w:rPr>
                <w:b/>
              </w:rPr>
            </w:pPr>
            <w:r w:rsidRPr="00027624">
              <w:rPr>
                <w:b/>
              </w:rPr>
              <w:t>Maintain the SG rate at 9.5 per cent:</w:t>
            </w:r>
            <w:r w:rsidRPr="00027624">
              <w:t xml:space="preserve"> Whether the majority of people maintain their standard of living in retirement if the SG remains at 9.5 per cent will depend on whether they efficiently draw down their superannuation balances in retirement. If they do, they can have higher living standards in their working life while maintaining their living standards in retirement. This is further examined in </w:t>
            </w:r>
            <w:r w:rsidRPr="00027624">
              <w:rPr>
                <w:i/>
              </w:rPr>
              <w:t>2D. Policy scenario: Implications of maintaining the SG rate</w:t>
            </w:r>
            <w:r w:rsidRPr="00027624">
              <w:t>.</w:t>
            </w:r>
          </w:p>
          <w:p w14:paraId="18CD8F5E" w14:textId="77777777" w:rsidR="0092760B" w:rsidRPr="00027624" w:rsidRDefault="0092760B" w:rsidP="0092760B">
            <w:pPr>
              <w:pStyle w:val="Bullet"/>
              <w:rPr>
                <w:b/>
                <w:bCs/>
              </w:rPr>
            </w:pPr>
            <w:r w:rsidRPr="00027624">
              <w:rPr>
                <w:b/>
                <w:bCs/>
              </w:rPr>
              <w:t xml:space="preserve">Lower the assets test taper rate for the Age Pension: </w:t>
            </w:r>
            <w:r w:rsidRPr="00027624">
              <w:t xml:space="preserve">Lowering the taper rate would increase replacement rates for most retirees. It </w:t>
            </w:r>
            <w:r w:rsidRPr="00027624">
              <w:rPr>
                <w:rFonts w:cs="Calibri"/>
              </w:rPr>
              <w:t>would increase replacement rates further above the benchmark for many middle</w:t>
            </w:r>
            <w:r w:rsidR="00A8443E" w:rsidRPr="00027624">
              <w:rPr>
                <w:rFonts w:cs="Calibri"/>
              </w:rPr>
              <w:noBreakHyphen/>
            </w:r>
            <w:r w:rsidRPr="00027624">
              <w:rPr>
                <w:rFonts w:cs="Calibri"/>
              </w:rPr>
              <w:t>income earners.</w:t>
            </w:r>
            <w:r w:rsidRPr="00027624">
              <w:t xml:space="preserve"> The largest increases in replacement rates are projected to occur in the 60</w:t>
            </w:r>
            <w:r w:rsidRPr="00027624">
              <w:rPr>
                <w:vertAlign w:val="superscript"/>
              </w:rPr>
              <w:t>th</w:t>
            </w:r>
            <w:r w:rsidRPr="00027624">
              <w:t xml:space="preserve"> to 80</w:t>
            </w:r>
            <w:r w:rsidRPr="00027624">
              <w:rPr>
                <w:vertAlign w:val="superscript"/>
              </w:rPr>
              <w:t>th</w:t>
            </w:r>
            <w:r w:rsidRPr="00027624">
              <w:t xml:space="preserve"> income percentiles. It would reduce the incentive for retirees to draw down their assets. This is examined further in </w:t>
            </w:r>
            <w:r w:rsidRPr="00027624">
              <w:rPr>
                <w:i/>
              </w:rPr>
              <w:t>5B. Policy scenario: Implications of changing</w:t>
            </w:r>
            <w:r w:rsidRPr="00027624" w:rsidDel="004115B1">
              <w:rPr>
                <w:i/>
              </w:rPr>
              <w:t xml:space="preserve"> </w:t>
            </w:r>
            <w:r w:rsidRPr="00027624">
              <w:rPr>
                <w:i/>
              </w:rPr>
              <w:t>Age Pension means test settings</w:t>
            </w:r>
            <w:r w:rsidRPr="00027624">
              <w:rPr>
                <w:bCs/>
              </w:rPr>
              <w:t>.</w:t>
            </w:r>
          </w:p>
          <w:p w14:paraId="2101D74D" w14:textId="77777777" w:rsidR="0092760B" w:rsidRPr="00027624" w:rsidRDefault="0092760B" w:rsidP="0092760B">
            <w:pPr>
              <w:pStyle w:val="Bullet"/>
            </w:pPr>
            <w:r w:rsidRPr="00027624">
              <w:rPr>
                <w:b/>
                <w:bCs/>
              </w:rPr>
              <w:t xml:space="preserve">Increase the standard payment rate and change the indexation of JobSeeker Payment: </w:t>
            </w:r>
            <w:r w:rsidRPr="00027624">
              <w:t>These changes would improve outcomes for many early and involuntary retirees</w:t>
            </w:r>
            <w:r w:rsidRPr="00027624">
              <w:rPr>
                <w:bCs/>
              </w:rPr>
              <w:t xml:space="preserve">. </w:t>
            </w:r>
            <w:r w:rsidRPr="00027624">
              <w:t>Any change to the payment rate of JobSeeker Payment should also consider the broader policy objectives of working</w:t>
            </w:r>
            <w:r w:rsidR="00A8443E" w:rsidRPr="00027624">
              <w:noBreakHyphen/>
            </w:r>
            <w:r w:rsidRPr="00027624">
              <w:t xml:space="preserve">age payments (see </w:t>
            </w:r>
            <w:r w:rsidRPr="00027624">
              <w:rPr>
                <w:i/>
              </w:rPr>
              <w:t>3E. Age of Retirement</w:t>
            </w:r>
            <w:r w:rsidRPr="00027624">
              <w:t>).</w:t>
            </w:r>
          </w:p>
          <w:p w14:paraId="5EAD69C1" w14:textId="77777777" w:rsidR="0092760B" w:rsidRPr="00027624" w:rsidRDefault="0092760B" w:rsidP="0092760B">
            <w:pPr>
              <w:pStyle w:val="Bullet"/>
            </w:pPr>
            <w:r w:rsidRPr="00027624" w:rsidDel="00EA4EDB">
              <w:rPr>
                <w:b/>
                <w:bCs/>
              </w:rPr>
              <w:t xml:space="preserve">Narrow the </w:t>
            </w:r>
            <w:r w:rsidRPr="00027624">
              <w:rPr>
                <w:b/>
                <w:bCs/>
              </w:rPr>
              <w:t>SG compliance</w:t>
            </w:r>
            <w:r w:rsidRPr="00027624" w:rsidDel="00EA4EDB">
              <w:rPr>
                <w:b/>
                <w:bCs/>
              </w:rPr>
              <w:t xml:space="preserve"> gap</w:t>
            </w:r>
            <w:r w:rsidRPr="00027624">
              <w:rPr>
                <w:b/>
                <w:bCs/>
              </w:rPr>
              <w:t xml:space="preserve">: </w:t>
            </w:r>
            <w:r w:rsidRPr="00027624">
              <w:t xml:space="preserve">Continuing to </w:t>
            </w:r>
            <w:r w:rsidRPr="00027624" w:rsidDel="00EA4EDB">
              <w:t xml:space="preserve">narrow the </w:t>
            </w:r>
            <w:r w:rsidRPr="00027624">
              <w:t>SG compliance</w:t>
            </w:r>
            <w:r w:rsidRPr="00027624" w:rsidDel="00EA4EDB">
              <w:t xml:space="preserve"> gap</w:t>
            </w:r>
            <w:r w:rsidRPr="00027624">
              <w:t>, including helping employees and the ATO to identify underpayment more quickly, will help people get the SG to which they are entitled. Improved employer compliance with the SG will particularly benefit lower</w:t>
            </w:r>
            <w:r w:rsidR="00A8443E" w:rsidRPr="00027624">
              <w:noBreakHyphen/>
            </w:r>
            <w:r w:rsidRPr="00027624">
              <w:t xml:space="preserve">income workers and those in certain industries, such as construction, and accommodation and food services (see </w:t>
            </w:r>
            <w:r w:rsidR="009C3D63">
              <w:rPr>
                <w:i/>
              </w:rPr>
              <w:t>3D. SG coverage</w:t>
            </w:r>
            <w:r w:rsidRPr="00027624">
              <w:t>).</w:t>
            </w:r>
          </w:p>
        </w:tc>
      </w:tr>
    </w:tbl>
    <w:p w14:paraId="649272E8" w14:textId="77777777" w:rsidR="0092760B" w:rsidRPr="00027624" w:rsidRDefault="0092760B">
      <w:pPr>
        <w:spacing w:before="0" w:after="160" w:line="259" w:lineRule="auto"/>
        <w:rPr>
          <w:rFonts w:cs="Arial"/>
          <w:b/>
          <w:color w:val="144E60" w:themeColor="accent1"/>
          <w:kern w:val="32"/>
          <w:sz w:val="26"/>
          <w:szCs w:val="26"/>
        </w:rPr>
      </w:pPr>
      <w:r w:rsidRPr="00027624">
        <w:br w:type="page"/>
      </w:r>
    </w:p>
    <w:p w14:paraId="614F2CAF" w14:textId="77777777" w:rsidR="0092760B" w:rsidRPr="00027624" w:rsidRDefault="0092760B" w:rsidP="003767FD">
      <w:pPr>
        <w:pStyle w:val="Heading2"/>
        <w:rPr>
          <w:i/>
        </w:rPr>
      </w:pPr>
      <w:bookmarkStart w:id="580" w:name="_Ref45210291"/>
      <w:bookmarkStart w:id="581" w:name="_Toc46133587"/>
      <w:r w:rsidRPr="00027624">
        <w:rPr>
          <w:i/>
        </w:rPr>
        <w:lastRenderedPageBreak/>
        <w:t>Annex</w:t>
      </w:r>
      <w:r w:rsidR="00A8443E" w:rsidRPr="00027624">
        <w:rPr>
          <w:i/>
        </w:rPr>
        <w:t xml:space="preserve"> — </w:t>
      </w:r>
      <w:r w:rsidRPr="00027624">
        <w:rPr>
          <w:i/>
        </w:rPr>
        <w:t>detailed sensitivity analysis</w:t>
      </w:r>
      <w:bookmarkEnd w:id="580"/>
      <w:bookmarkEnd w:id="581"/>
    </w:p>
    <w:p w14:paraId="35721FD3" w14:textId="77777777" w:rsidR="0092760B" w:rsidRPr="00027624" w:rsidRDefault="0092760B" w:rsidP="002A2FAE">
      <w:r w:rsidRPr="00027624">
        <w:t>This section includes detailed modelling on the sensitivity of replacement rates and retirement outcomes to different assumptions.</w:t>
      </w:r>
    </w:p>
    <w:p w14:paraId="763BAADB" w14:textId="77777777" w:rsidR="0092760B" w:rsidRPr="00027624" w:rsidRDefault="0092760B" w:rsidP="00054173">
      <w:pPr>
        <w:pStyle w:val="Heading3"/>
      </w:pPr>
      <w:r w:rsidRPr="00027624">
        <w:t>Years in the workforce</w:t>
      </w:r>
    </w:p>
    <w:p w14:paraId="6A167F27" w14:textId="77777777" w:rsidR="0092760B" w:rsidRPr="00027624" w:rsidRDefault="0092760B" w:rsidP="002A2FAE">
      <w:pPr>
        <w:rPr>
          <w:noProof/>
        </w:rPr>
      </w:pPr>
      <w:r w:rsidRPr="00027624">
        <w:t xml:space="preserve">The cameo modelling focuses on people with typical working lives. It does not cover people with less than 10 years in the workforce. </w:t>
      </w:r>
      <w:r w:rsidRPr="00027624">
        <w:rPr>
          <w:noProof/>
        </w:rPr>
        <w:t>Australia</w:t>
      </w:r>
      <w:r w:rsidR="00A8443E" w:rsidRPr="00027624">
        <w:rPr>
          <w:noProof/>
        </w:rPr>
        <w:t>’</w:t>
      </w:r>
      <w:r w:rsidRPr="00027624">
        <w:rPr>
          <w:noProof/>
        </w:rPr>
        <w:t>s contributory SG system means this group</w:t>
      </w:r>
      <w:r w:rsidRPr="00027624">
        <w:t xml:space="preserve"> will mostly likely rely on the Age Pension and, provided they have low incomes, would experience improved living standards in retirement.</w:t>
      </w:r>
    </w:p>
    <w:p w14:paraId="7C18F513" w14:textId="77777777" w:rsidR="0092760B" w:rsidRPr="00027624" w:rsidRDefault="0092760B" w:rsidP="00325A8D">
      <w:pPr>
        <w:pStyle w:val="ChartMainHeading"/>
      </w:pPr>
      <w:bookmarkStart w:id="582" w:name="_Ref44349519"/>
      <w:r w:rsidRPr="00027624">
        <w:t>People working more than a certain number of years</w:t>
      </w:r>
      <w:bookmarkEnd w:id="582"/>
    </w:p>
    <w:tbl>
      <w:tblPr>
        <w:tblW w:w="5000" w:type="pct"/>
        <w:tblLook w:val="01E0" w:firstRow="1" w:lastRow="1" w:firstColumn="1" w:lastColumn="1" w:noHBand="0" w:noVBand="0"/>
      </w:tblPr>
      <w:tblGrid>
        <w:gridCol w:w="4535"/>
        <w:gridCol w:w="4535"/>
      </w:tblGrid>
      <w:tr w:rsidR="0092760B" w:rsidRPr="00027624" w14:paraId="57B8DBF5" w14:textId="77777777" w:rsidTr="002A2FAE">
        <w:trPr>
          <w:cantSplit/>
          <w:trHeight w:val="4536"/>
        </w:trPr>
        <w:tc>
          <w:tcPr>
            <w:tcW w:w="4536" w:type="dxa"/>
          </w:tcPr>
          <w:p w14:paraId="647EC80C" w14:textId="77777777" w:rsidR="0092760B" w:rsidRPr="00027624" w:rsidRDefault="0092760B">
            <w:pPr>
              <w:pStyle w:val="ChartGraphic"/>
              <w:rPr>
                <w:b/>
              </w:rPr>
            </w:pPr>
            <w:r w:rsidRPr="00027624">
              <w:br w:type="page"/>
            </w:r>
            <w:r w:rsidRPr="00027624">
              <w:rPr>
                <w:b/>
              </w:rPr>
              <w:t>Men</w:t>
            </w:r>
          </w:p>
          <w:p w14:paraId="6ECD4ECC" w14:textId="77777777" w:rsidR="0092760B" w:rsidRPr="00027624" w:rsidRDefault="00503691" w:rsidP="002A2FAE">
            <w:pPr>
              <w:pStyle w:val="ChartGraphic"/>
            </w:pPr>
            <w:r>
              <w:rPr>
                <w:noProof/>
              </w:rPr>
              <w:drawing>
                <wp:inline distT="0" distB="0" distL="0" distR="0" wp14:anchorId="295F5DC1" wp14:editId="4A9C8CC7">
                  <wp:extent cx="2735580" cy="2880360"/>
                  <wp:effectExtent l="0" t="0" r="7620" b="0"/>
                  <wp:docPr id="2062294299" name="Picture 2062294299" descr="These charts show that men have longer working lives than women on average (44 to 34 years respectively). Men are less likely to work fewer than 30 years over their life." title="Chart 2C-26 People working more than a certain number of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35580" cy="2880360"/>
                          </a:xfrm>
                          <a:prstGeom prst="rect">
                            <a:avLst/>
                          </a:prstGeom>
                          <a:noFill/>
                        </pic:spPr>
                      </pic:pic>
                    </a:graphicData>
                  </a:graphic>
                </wp:inline>
              </w:drawing>
            </w:r>
          </w:p>
        </w:tc>
        <w:tc>
          <w:tcPr>
            <w:tcW w:w="4536" w:type="dxa"/>
          </w:tcPr>
          <w:p w14:paraId="5554CB2A" w14:textId="77777777" w:rsidR="0092760B" w:rsidRPr="00027624" w:rsidRDefault="0092760B">
            <w:pPr>
              <w:pStyle w:val="ChartGraphic"/>
              <w:rPr>
                <w:b/>
              </w:rPr>
            </w:pPr>
            <w:r w:rsidRPr="00027624">
              <w:rPr>
                <w:b/>
              </w:rPr>
              <w:t>Women</w:t>
            </w:r>
          </w:p>
          <w:p w14:paraId="3102E931" w14:textId="77777777" w:rsidR="0092760B" w:rsidRPr="00027624" w:rsidRDefault="00503691" w:rsidP="002A2FAE">
            <w:pPr>
              <w:pStyle w:val="ChartGraphic"/>
            </w:pPr>
            <w:r>
              <w:rPr>
                <w:noProof/>
              </w:rPr>
              <w:drawing>
                <wp:inline distT="0" distB="0" distL="0" distR="0" wp14:anchorId="72D19C0F" wp14:editId="6E5CEF9F">
                  <wp:extent cx="2743200" cy="2880360"/>
                  <wp:effectExtent l="0" t="0" r="0" b="0"/>
                  <wp:docPr id="2062294300" name="Picture 206229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43200" cy="2880360"/>
                          </a:xfrm>
                          <a:prstGeom prst="rect">
                            <a:avLst/>
                          </a:prstGeom>
                          <a:noFill/>
                        </pic:spPr>
                      </pic:pic>
                    </a:graphicData>
                  </a:graphic>
                </wp:inline>
              </w:drawing>
            </w:r>
          </w:p>
        </w:tc>
      </w:tr>
    </w:tbl>
    <w:p w14:paraId="69DB3A11" w14:textId="77777777" w:rsidR="0092760B" w:rsidRPr="00027624" w:rsidRDefault="0092760B" w:rsidP="002A2FAE">
      <w:pPr>
        <w:pStyle w:val="ChartorTableNote"/>
      </w:pPr>
      <w:r w:rsidRPr="00027624">
        <w:t>Note: Includes people aged 65 and above who work more than 10 years. Source: Analysis of HILDA Survey data (Wave 18).</w:t>
      </w:r>
    </w:p>
    <w:p w14:paraId="1A4F85E1" w14:textId="6770481C" w:rsidR="0092760B" w:rsidRPr="00027624" w:rsidRDefault="0092760B" w:rsidP="002A2FAE">
      <w:r w:rsidRPr="00027624">
        <w:t>The modelling assumes a career of 40 years to reflect the population average for people with significant workforce attachment (</w:t>
      </w:r>
      <w:r w:rsidRPr="00027624">
        <w:fldChar w:fldCharType="begin"/>
      </w:r>
      <w:r w:rsidRPr="00027624">
        <w:instrText xml:space="preserve"> REF _Ref44349519 \r \h </w:instrText>
      </w:r>
      <w:r w:rsidR="00FA7639" w:rsidRPr="00027624">
        <w:instrText xml:space="preserve"> \* MERGEFORMAT </w:instrText>
      </w:r>
      <w:r w:rsidRPr="00027624">
        <w:fldChar w:fldCharType="separate"/>
      </w:r>
      <w:r w:rsidR="00891058">
        <w:t>Chart 2C-26</w:t>
      </w:r>
      <w:r w:rsidRPr="00027624">
        <w:fldChar w:fldCharType="end"/>
      </w:r>
      <w:r w:rsidRPr="00027624">
        <w:t>). Assumptions for gender</w:t>
      </w:r>
      <w:r w:rsidR="00A8443E" w:rsidRPr="00027624">
        <w:noBreakHyphen/>
      </w:r>
      <w:r w:rsidRPr="00027624">
        <w:t>based modelling are 38 years for women and 42 years for men, based on the following data:</w:t>
      </w:r>
    </w:p>
    <w:p w14:paraId="77CFCB32" w14:textId="77777777" w:rsidR="0092760B" w:rsidRPr="00027624" w:rsidRDefault="0092760B" w:rsidP="0092760B">
      <w:pPr>
        <w:pStyle w:val="Bullet"/>
      </w:pPr>
      <w:r w:rsidRPr="00027624">
        <w:rPr>
          <w:noProof/>
        </w:rPr>
        <w:t>Men aged 65 and over today worked 45 years on average. About 80 per cent worked for 40 years or more.</w:t>
      </w:r>
    </w:p>
    <w:p w14:paraId="79B341C9" w14:textId="4F650596" w:rsidR="0092760B" w:rsidRPr="00027624" w:rsidRDefault="0092760B" w:rsidP="0092760B">
      <w:pPr>
        <w:pStyle w:val="Bullet"/>
      </w:pPr>
      <w:r w:rsidRPr="00027624">
        <w:rPr>
          <w:noProof/>
        </w:rPr>
        <w:t xml:space="preserve">Women aged 65 and over today worked 34 years on average. This figure is likely grow due to rising female workforce participation </w:t>
      </w:r>
      <w:r w:rsidRPr="00027624">
        <w:t xml:space="preserve">(see </w:t>
      </w:r>
      <w:r w:rsidRPr="00027624">
        <w:rPr>
          <w:i/>
        </w:rPr>
        <w:t>1D. The changing Australian landscape</w:t>
      </w:r>
      <w:r w:rsidRPr="00027624">
        <w:t>). For example, a trend measure shows average female years in the workforce has increased from approximately 24 years in 1980, to 37 years in 2020 (</w:t>
      </w:r>
      <w:r w:rsidRPr="00027624">
        <w:fldChar w:fldCharType="begin"/>
      </w:r>
      <w:r w:rsidRPr="00027624">
        <w:instrText xml:space="preserve"> REF _Ref44349506 \r \h  \* MERGEFORMAT </w:instrText>
      </w:r>
      <w:r w:rsidRPr="00027624">
        <w:fldChar w:fldCharType="separate"/>
      </w:r>
      <w:r w:rsidR="00891058">
        <w:t>Chart 2C-27</w:t>
      </w:r>
      <w:r w:rsidRPr="00027624">
        <w:fldChar w:fldCharType="end"/>
      </w:r>
      <w:r w:rsidRPr="00027624">
        <w:t>). An average woman entering the workforce today could work around 40 years in total if female participation continues to increase.</w:t>
      </w:r>
    </w:p>
    <w:p w14:paraId="6CEFA956" w14:textId="77777777" w:rsidR="0092760B" w:rsidRPr="00027624" w:rsidRDefault="0092760B" w:rsidP="0092760B">
      <w:pPr>
        <w:pStyle w:val="Bullet"/>
      </w:pPr>
      <w:r w:rsidRPr="00027624">
        <w:t>Treasury</w:t>
      </w:r>
      <w:r w:rsidR="00A8443E" w:rsidRPr="00027624">
        <w:t>’</w:t>
      </w:r>
      <w:r w:rsidRPr="00027624">
        <w:t>s MARIA model projects median careers of 37.9 years for women and 43.5 years for men for those starting work in 2020 and retiring in 2060 (</w:t>
      </w:r>
      <w:r w:rsidRPr="00027624">
        <w:rPr>
          <w:rFonts w:eastAsiaTheme="minorEastAsia"/>
          <w:lang w:eastAsia="en-US"/>
        </w:rPr>
        <w:t xml:space="preserve">see </w:t>
      </w:r>
      <w:r w:rsidRPr="00027624">
        <w:rPr>
          <w:i/>
        </w:rPr>
        <w:t>Appendix 6A. Detailed modelling methods and assumptions</w:t>
      </w:r>
      <w:r w:rsidRPr="00027624">
        <w:t>).</w:t>
      </w:r>
    </w:p>
    <w:p w14:paraId="4140490B" w14:textId="77777777" w:rsidR="0092760B" w:rsidRPr="00027624" w:rsidRDefault="0092760B" w:rsidP="00325A8D">
      <w:pPr>
        <w:pStyle w:val="ChartMainHeading"/>
      </w:pPr>
      <w:bookmarkStart w:id="583" w:name="_Ref44349506"/>
      <w:r w:rsidRPr="00027624">
        <w:lastRenderedPageBreak/>
        <w:t>Years in workforce by gender and total population</w:t>
      </w:r>
      <w:bookmarkEnd w:id="583"/>
    </w:p>
    <w:p w14:paraId="5A3F0E20" w14:textId="77777777" w:rsidR="0092760B" w:rsidRPr="00027624" w:rsidRDefault="007A3D80" w:rsidP="002A2FAE">
      <w:pPr>
        <w:pStyle w:val="ChartGraphic"/>
        <w:jc w:val="left"/>
        <w:rPr>
          <w:color w:val="auto"/>
          <w:sz w:val="18"/>
          <w:szCs w:val="18"/>
        </w:rPr>
      </w:pPr>
      <w:r>
        <w:rPr>
          <w:noProof/>
          <w:color w:val="auto"/>
          <w:sz w:val="18"/>
          <w:szCs w:val="18"/>
        </w:rPr>
        <w:drawing>
          <wp:inline distT="0" distB="0" distL="0" distR="0" wp14:anchorId="7E61907B" wp14:editId="7FF0CA45">
            <wp:extent cx="5570220" cy="2514600"/>
            <wp:effectExtent l="0" t="0" r="0" b="0"/>
            <wp:docPr id="2062294301" name="Picture 2062294301" descr="This chart shows that average years in the workforce has slightly declined for men since the 1980s to 2020 to about 42 years, while average years in the workforce for females has substantially increased from about 25 to 37 years. It shows average years in the workforce among the total population has increased." title="Chart 2C-27 Years in workforce by gender and tot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70220" cy="2514600"/>
                    </a:xfrm>
                    <a:prstGeom prst="rect">
                      <a:avLst/>
                    </a:prstGeom>
                    <a:noFill/>
                  </pic:spPr>
                </pic:pic>
              </a:graphicData>
            </a:graphic>
          </wp:inline>
        </w:drawing>
      </w:r>
    </w:p>
    <w:p w14:paraId="400DC761" w14:textId="77777777" w:rsidR="0092760B" w:rsidRPr="00027624" w:rsidRDefault="0092760B" w:rsidP="008154EB">
      <w:pPr>
        <w:pStyle w:val="ChartorTableNote"/>
      </w:pPr>
      <w:r w:rsidRPr="00027624">
        <w:t>Note: Data expressed as a four</w:t>
      </w:r>
      <w:r w:rsidR="00A8443E" w:rsidRPr="00027624">
        <w:noBreakHyphen/>
      </w:r>
      <w:r w:rsidRPr="00027624">
        <w:t>quarter moving average. Years in workforce is calculated by adding participation rates by age and gender for ages 15</w:t>
      </w:r>
      <w:r w:rsidR="00A8443E" w:rsidRPr="00027624">
        <w:noBreakHyphen/>
      </w:r>
      <w:r w:rsidRPr="00027624">
        <w:t>70. Participation rates for ages 65</w:t>
      </w:r>
      <w:r w:rsidR="00A8443E" w:rsidRPr="00027624">
        <w:noBreakHyphen/>
      </w:r>
      <w:r w:rsidRPr="00027624">
        <w:t xml:space="preserve">70 are based on rates for people aged 65 and over. </w:t>
      </w:r>
      <w:r w:rsidRPr="00027624">
        <w:rPr>
          <w:szCs w:val="18"/>
        </w:rPr>
        <w:t xml:space="preserve">Source: </w:t>
      </w:r>
      <w:r w:rsidRPr="00027624">
        <w:t xml:space="preserve">Analysis of </w:t>
      </w:r>
      <w:sdt>
        <w:sdtPr>
          <w:id w:val="-972902110"/>
          <w:citation/>
        </w:sdtPr>
        <w:sdtEndPr/>
        <w:sdtContent>
          <w:r w:rsidRPr="00027624">
            <w:fldChar w:fldCharType="begin"/>
          </w:r>
          <w:r w:rsidRPr="00027624">
            <w:instrText xml:space="preserve"> CITATION ABS206 \l 3081 </w:instrText>
          </w:r>
          <w:r w:rsidRPr="00027624">
            <w:fldChar w:fldCharType="separate"/>
          </w:r>
          <w:r w:rsidR="00E83F6E">
            <w:rPr>
              <w:noProof/>
            </w:rPr>
            <w:t>(ABS, 2020g)</w:t>
          </w:r>
          <w:r w:rsidRPr="00027624">
            <w:fldChar w:fldCharType="end"/>
          </w:r>
        </w:sdtContent>
      </w:sdt>
      <w:r w:rsidRPr="00027624">
        <w:rPr>
          <w:szCs w:val="18"/>
        </w:rPr>
        <w:t>.</w:t>
      </w:r>
    </w:p>
    <w:p w14:paraId="6BA6A156" w14:textId="77777777" w:rsidR="0092760B" w:rsidRPr="00027624" w:rsidRDefault="0092760B" w:rsidP="00054173">
      <w:pPr>
        <w:pStyle w:val="Heading3"/>
      </w:pPr>
      <w:r w:rsidRPr="00027624">
        <w:t>Sensitivity analysis for different career lengths</w:t>
      </w:r>
    </w:p>
    <w:p w14:paraId="72885CEC" w14:textId="77777777" w:rsidR="0092760B" w:rsidRPr="00027624" w:rsidRDefault="0092760B" w:rsidP="002A2FAE">
      <w:r w:rsidRPr="00027624">
        <w:t>Although people starting work today expect to have a 40</w:t>
      </w:r>
      <w:r w:rsidR="00A8443E" w:rsidRPr="00027624">
        <w:noBreakHyphen/>
      </w:r>
      <w:r w:rsidRPr="00027624">
        <w:t>year working life, some people may retire early due to:</w:t>
      </w:r>
    </w:p>
    <w:p w14:paraId="7461AD29" w14:textId="77777777" w:rsidR="0092760B" w:rsidRPr="00027624" w:rsidRDefault="0092760B" w:rsidP="0092760B">
      <w:pPr>
        <w:pStyle w:val="Bullet"/>
      </w:pPr>
      <w:r w:rsidRPr="00027624">
        <w:rPr>
          <w:b/>
          <w:bCs/>
        </w:rPr>
        <w:t>Personal choice.</w:t>
      </w:r>
      <w:r w:rsidRPr="00027624">
        <w:t xml:space="preserve"> People may retire as soon as they feel they have sufficient savings or choose to trade</w:t>
      </w:r>
      <w:r w:rsidR="00A8443E" w:rsidRPr="00027624">
        <w:noBreakHyphen/>
      </w:r>
      <w:r w:rsidRPr="00027624">
        <w:t>off a shorter working life for a relatively lower incomes in retirement.</w:t>
      </w:r>
    </w:p>
    <w:p w14:paraId="623CFF98" w14:textId="77777777" w:rsidR="0092760B" w:rsidRPr="00027624" w:rsidRDefault="0092760B" w:rsidP="0092760B">
      <w:pPr>
        <w:pStyle w:val="Bullet"/>
      </w:pPr>
      <w:r w:rsidRPr="00027624">
        <w:rPr>
          <w:b/>
          <w:bCs/>
        </w:rPr>
        <w:t>Involuntary retirement</w:t>
      </w:r>
      <w:r w:rsidRPr="00027624">
        <w:t xml:space="preserve">. People may be retrenched, acquire a disability or have to provide care. Modelling shows outcomes are adequate for those early retirees who are able to access the Disability Support Pension or Carer Payment, pointing to the importance of the broader social security system in supporting people who retire involuntarily. </w:t>
      </w:r>
    </w:p>
    <w:p w14:paraId="5926543E" w14:textId="77777777" w:rsidR="0092760B" w:rsidRPr="00027624" w:rsidRDefault="0092760B" w:rsidP="002A2FAE">
      <w:r w:rsidRPr="00027624">
        <w:t xml:space="preserve">See </w:t>
      </w:r>
      <w:r w:rsidRPr="00027624">
        <w:rPr>
          <w:i/>
          <w:iCs/>
        </w:rPr>
        <w:t>3E. Age of Retirement</w:t>
      </w:r>
      <w:r w:rsidRPr="00027624">
        <w:t xml:space="preserve"> for a detailed discussion of how the age, and degree of choice in the timing of retirement affects retirement outcomes.</w:t>
      </w:r>
    </w:p>
    <w:p w14:paraId="2E7AA930" w14:textId="77777777" w:rsidR="0092760B" w:rsidRPr="00027624" w:rsidRDefault="0092760B" w:rsidP="002A2FAE">
      <w:r w:rsidRPr="00027624">
        <w:rPr>
          <w:b/>
        </w:rPr>
        <w:t>Median</w:t>
      </w:r>
      <w:r w:rsidR="00A8443E" w:rsidRPr="00027624">
        <w:rPr>
          <w:b/>
        </w:rPr>
        <w:noBreakHyphen/>
      </w:r>
      <w:r w:rsidRPr="00027624">
        <w:rPr>
          <w:b/>
        </w:rPr>
        <w:t>income earners with significant variation in the number of years they work can still achieve adequate retirement outcomes.</w:t>
      </w:r>
      <w:r w:rsidRPr="00027624">
        <w:t xml:space="preserve"> Even if the median earner works only 25 years, they will still have adequate retirement income, providing they do not retire before preservation age. Someone in the 60</w:t>
      </w:r>
      <w:r w:rsidRPr="00027624">
        <w:rPr>
          <w:vertAlign w:val="superscript"/>
        </w:rPr>
        <w:t>th</w:t>
      </w:r>
      <w:r w:rsidRPr="00027624">
        <w:t xml:space="preserve"> income percentile only has a replacement rate below the benchmark if they work 25 years to age 60.</w:t>
      </w:r>
    </w:p>
    <w:p w14:paraId="32B96809" w14:textId="5A15CECF" w:rsidR="0092760B" w:rsidRPr="00027624" w:rsidRDefault="0092760B" w:rsidP="002A2FAE">
      <w:r w:rsidRPr="00027624">
        <w:t>The age that people start work does not greatly impact their replacement rate (</w:t>
      </w:r>
      <w:r w:rsidRPr="00027624">
        <w:fldChar w:fldCharType="begin"/>
      </w:r>
      <w:r w:rsidRPr="00027624">
        <w:instrText xml:space="preserve"> REF _Ref44350205 \n \h  \* MERGEFORMAT </w:instrText>
      </w:r>
      <w:r w:rsidRPr="00027624">
        <w:fldChar w:fldCharType="separate"/>
      </w:r>
      <w:r w:rsidR="00891058">
        <w:t>Table 2C-6</w:t>
      </w:r>
      <w:r w:rsidRPr="00027624">
        <w:fldChar w:fldCharType="end"/>
      </w:r>
      <w:r w:rsidRPr="00027624">
        <w:t>). A median earner can achieve the benchmark if they take career breaks</w:t>
      </w:r>
      <w:r w:rsidR="0010191F">
        <w:t xml:space="preserve"> provided they work at least 25 </w:t>
      </w:r>
      <w:r w:rsidRPr="00027624">
        <w:t>years.</w:t>
      </w:r>
    </w:p>
    <w:p w14:paraId="0DD8F3B2" w14:textId="77777777" w:rsidR="0092760B" w:rsidRPr="00027624" w:rsidRDefault="0092760B" w:rsidP="002A2FAE">
      <w:r w:rsidRPr="00027624">
        <w:t>Retirement age has a bigger impact on replacement rates than starting age. For example, a person working 40 years from 20</w:t>
      </w:r>
      <w:r w:rsidR="00A8443E" w:rsidRPr="00027624">
        <w:noBreakHyphen/>
      </w:r>
      <w:r w:rsidRPr="00027624">
        <w:t>60 has a replacement rate of 77 per cent. This is a lower outcome than for a person who works 40 years retiring at age 67, whose replacement rate is 87 per cent. Reasons for this difference include:</w:t>
      </w:r>
    </w:p>
    <w:p w14:paraId="57099FA5" w14:textId="77777777" w:rsidR="0092760B" w:rsidRPr="00027624" w:rsidRDefault="0092760B" w:rsidP="0092760B">
      <w:pPr>
        <w:pStyle w:val="Bullet"/>
      </w:pPr>
      <w:r w:rsidRPr="00027624">
        <w:t>Retiring earlier means that people must make their retirement savings last longer and draw down on them at a slower rate. For example, someone retiring at 67 in 2060 can expect around 25 years in retirement, compared with 32 years for someone retiring at age 60 (</w:t>
      </w:r>
      <w:r w:rsidRPr="00027624">
        <w:rPr>
          <w:rFonts w:eastAsiaTheme="minorEastAsia"/>
          <w:lang w:eastAsia="en-US"/>
        </w:rPr>
        <w:t xml:space="preserve">see </w:t>
      </w:r>
      <w:r w:rsidRPr="00027624">
        <w:rPr>
          <w:i/>
        </w:rPr>
        <w:t>Appendix 6A. Detailed modelling methods and assumptions</w:t>
      </w:r>
      <w:r w:rsidRPr="00027624">
        <w:rPr>
          <w:iCs/>
        </w:rPr>
        <w:t>).</w:t>
      </w:r>
    </w:p>
    <w:p w14:paraId="273E6EAF" w14:textId="77777777" w:rsidR="0092760B" w:rsidRPr="00027624" w:rsidRDefault="0092760B" w:rsidP="0092760B">
      <w:pPr>
        <w:pStyle w:val="Bullet"/>
      </w:pPr>
      <w:r w:rsidRPr="00027624">
        <w:lastRenderedPageBreak/>
        <w:t>People generally make larger voluntary contributions later in life such as in their late 50s and early 60s. Retiring early, especially involuntarily, may mean people miss out on the opportunity to make these savings.</w:t>
      </w:r>
    </w:p>
    <w:p w14:paraId="2128FF13" w14:textId="77777777" w:rsidR="0092760B" w:rsidRPr="00027624" w:rsidRDefault="0092760B" w:rsidP="00325A8D">
      <w:pPr>
        <w:pStyle w:val="TableMainHeading"/>
      </w:pPr>
      <w:bookmarkStart w:id="584" w:name="_Ref44350205"/>
      <w:r w:rsidRPr="00027624">
        <w:t>Median earner replacement rates, various start and retirement ages</w:t>
      </w:r>
      <w:bookmarkEnd w:id="584"/>
    </w:p>
    <w:tbl>
      <w:tblPr>
        <w:tblW w:w="5000" w:type="pct"/>
        <w:tblLook w:val="01E0" w:firstRow="1" w:lastRow="1" w:firstColumn="1" w:lastColumn="1" w:noHBand="0" w:noVBand="0"/>
      </w:tblPr>
      <w:tblGrid>
        <w:gridCol w:w="1513"/>
        <w:gridCol w:w="1513"/>
        <w:gridCol w:w="1511"/>
        <w:gridCol w:w="1511"/>
        <w:gridCol w:w="1511"/>
        <w:gridCol w:w="1511"/>
      </w:tblGrid>
      <w:tr w:rsidR="0092760B" w:rsidRPr="00027624" w14:paraId="7E8FFEAF" w14:textId="77777777" w:rsidTr="00F75B78">
        <w:trPr>
          <w:trHeight w:val="270"/>
          <w:tblHeader/>
        </w:trPr>
        <w:tc>
          <w:tcPr>
            <w:tcW w:w="834" w:type="pct"/>
            <w:vMerge w:val="restart"/>
            <w:shd w:val="clear" w:color="auto" w:fill="E5E5E5"/>
          </w:tcPr>
          <w:p w14:paraId="3CCE4B07" w14:textId="77777777" w:rsidR="0092760B" w:rsidRPr="00027624" w:rsidRDefault="0092760B" w:rsidP="002A2FAE">
            <w:pPr>
              <w:pStyle w:val="TableColumnHeadingLeft"/>
            </w:pPr>
            <w:r w:rsidRPr="00027624">
              <w:t>Starting age of work</w:t>
            </w:r>
          </w:p>
        </w:tc>
        <w:tc>
          <w:tcPr>
            <w:tcW w:w="4166" w:type="pct"/>
            <w:gridSpan w:val="5"/>
            <w:tcBorders>
              <w:left w:val="nil"/>
            </w:tcBorders>
            <w:shd w:val="clear" w:color="auto" w:fill="E5E5E5"/>
          </w:tcPr>
          <w:p w14:paraId="51211E30" w14:textId="77777777" w:rsidR="0092760B" w:rsidRPr="00027624" w:rsidRDefault="0092760B" w:rsidP="002A2FAE">
            <w:pPr>
              <w:pStyle w:val="TableColumnHeadingCentred"/>
            </w:pPr>
            <w:r w:rsidRPr="00027624">
              <w:t>Retirement age</w:t>
            </w:r>
          </w:p>
        </w:tc>
      </w:tr>
      <w:tr w:rsidR="0092760B" w:rsidRPr="00027624" w14:paraId="77FD34F1" w14:textId="77777777" w:rsidTr="00F75B78">
        <w:trPr>
          <w:trHeight w:val="270"/>
          <w:tblHeader/>
        </w:trPr>
        <w:tc>
          <w:tcPr>
            <w:tcW w:w="834" w:type="pct"/>
            <w:vMerge/>
            <w:shd w:val="clear" w:color="auto" w:fill="E5E5E5"/>
          </w:tcPr>
          <w:p w14:paraId="752A8B50" w14:textId="77777777" w:rsidR="0092760B" w:rsidRPr="00027624" w:rsidRDefault="0092760B" w:rsidP="002A2FAE">
            <w:pPr>
              <w:pStyle w:val="TableTextLeft"/>
            </w:pPr>
          </w:p>
        </w:tc>
        <w:tc>
          <w:tcPr>
            <w:tcW w:w="834" w:type="pct"/>
            <w:tcBorders>
              <w:left w:val="nil"/>
            </w:tcBorders>
            <w:shd w:val="clear" w:color="auto" w:fill="E5E5E5"/>
          </w:tcPr>
          <w:p w14:paraId="7C2F731F" w14:textId="77777777" w:rsidR="0092760B" w:rsidRPr="00027624" w:rsidRDefault="0092760B" w:rsidP="002A2FAE">
            <w:pPr>
              <w:pStyle w:val="TableTextLeft"/>
              <w:jc w:val="center"/>
            </w:pPr>
            <w:r w:rsidRPr="00027624">
              <w:t>55</w:t>
            </w:r>
          </w:p>
        </w:tc>
        <w:tc>
          <w:tcPr>
            <w:tcW w:w="833" w:type="pct"/>
            <w:shd w:val="clear" w:color="auto" w:fill="E5E5E5"/>
          </w:tcPr>
          <w:p w14:paraId="43605E3A" w14:textId="77777777" w:rsidR="0092760B" w:rsidRPr="00027624" w:rsidRDefault="0092760B" w:rsidP="002A2FAE">
            <w:pPr>
              <w:pStyle w:val="TableTextLeft"/>
              <w:jc w:val="center"/>
            </w:pPr>
            <w:r w:rsidRPr="00027624">
              <w:t>60</w:t>
            </w:r>
          </w:p>
        </w:tc>
        <w:tc>
          <w:tcPr>
            <w:tcW w:w="833" w:type="pct"/>
            <w:shd w:val="clear" w:color="auto" w:fill="E5E5E5"/>
          </w:tcPr>
          <w:p w14:paraId="630BBB8C" w14:textId="77777777" w:rsidR="0092760B" w:rsidRPr="00027624" w:rsidRDefault="0092760B" w:rsidP="002A2FAE">
            <w:pPr>
              <w:pStyle w:val="TableTextLeft"/>
              <w:jc w:val="center"/>
            </w:pPr>
            <w:r w:rsidRPr="00027624">
              <w:t>65</w:t>
            </w:r>
          </w:p>
        </w:tc>
        <w:tc>
          <w:tcPr>
            <w:tcW w:w="833" w:type="pct"/>
            <w:shd w:val="clear" w:color="auto" w:fill="E5E5E5"/>
          </w:tcPr>
          <w:p w14:paraId="5426D9F4" w14:textId="77777777" w:rsidR="0092760B" w:rsidRPr="00027624" w:rsidRDefault="0092760B" w:rsidP="002A2FAE">
            <w:pPr>
              <w:pStyle w:val="TableTextLeft"/>
              <w:jc w:val="center"/>
            </w:pPr>
            <w:r w:rsidRPr="00027624">
              <w:t>67</w:t>
            </w:r>
          </w:p>
        </w:tc>
        <w:tc>
          <w:tcPr>
            <w:tcW w:w="833" w:type="pct"/>
            <w:shd w:val="clear" w:color="auto" w:fill="E5E5E5"/>
          </w:tcPr>
          <w:p w14:paraId="71843549" w14:textId="77777777" w:rsidR="0092760B" w:rsidRPr="00027624" w:rsidRDefault="0092760B" w:rsidP="002A2FAE">
            <w:pPr>
              <w:pStyle w:val="TableTextLeft"/>
              <w:jc w:val="center"/>
            </w:pPr>
            <w:r w:rsidRPr="00027624">
              <w:t>70</w:t>
            </w:r>
          </w:p>
        </w:tc>
      </w:tr>
      <w:tr w:rsidR="0092760B" w:rsidRPr="00027624" w14:paraId="2BBF277E" w14:textId="77777777" w:rsidTr="00F75B78">
        <w:trPr>
          <w:trHeight w:val="270"/>
        </w:trPr>
        <w:tc>
          <w:tcPr>
            <w:tcW w:w="834" w:type="pct"/>
          </w:tcPr>
          <w:p w14:paraId="47E4F278" w14:textId="77777777" w:rsidR="0092760B" w:rsidRPr="00027624" w:rsidRDefault="0092760B" w:rsidP="002A2FAE">
            <w:pPr>
              <w:pStyle w:val="TableTextLeft"/>
            </w:pPr>
            <w:r w:rsidRPr="00027624">
              <w:t>35</w:t>
            </w:r>
          </w:p>
        </w:tc>
        <w:tc>
          <w:tcPr>
            <w:tcW w:w="834" w:type="pct"/>
            <w:tcBorders>
              <w:left w:val="nil"/>
            </w:tcBorders>
          </w:tcPr>
          <w:p w14:paraId="3536B53E" w14:textId="77777777" w:rsidR="0092760B" w:rsidRPr="00027624" w:rsidRDefault="0092760B" w:rsidP="002A2FAE">
            <w:pPr>
              <w:pStyle w:val="TableTextLeft"/>
              <w:jc w:val="center"/>
            </w:pPr>
            <w:r w:rsidRPr="00027624">
              <w:t>66%</w:t>
            </w:r>
          </w:p>
        </w:tc>
        <w:tc>
          <w:tcPr>
            <w:tcW w:w="833" w:type="pct"/>
          </w:tcPr>
          <w:p w14:paraId="0ED3E896" w14:textId="77777777" w:rsidR="0092760B" w:rsidRPr="00027624" w:rsidRDefault="0092760B" w:rsidP="002A2FAE">
            <w:pPr>
              <w:pStyle w:val="TableTextLeft"/>
              <w:jc w:val="center"/>
            </w:pPr>
            <w:r w:rsidRPr="00027624">
              <w:t>69%</w:t>
            </w:r>
          </w:p>
        </w:tc>
        <w:tc>
          <w:tcPr>
            <w:tcW w:w="833" w:type="pct"/>
          </w:tcPr>
          <w:p w14:paraId="728E8CE5" w14:textId="77777777" w:rsidR="0092760B" w:rsidRPr="00027624" w:rsidRDefault="0092760B" w:rsidP="002A2FAE">
            <w:pPr>
              <w:pStyle w:val="TableTextLeft"/>
              <w:jc w:val="center"/>
            </w:pPr>
            <w:r w:rsidRPr="00027624">
              <w:t>79%</w:t>
            </w:r>
          </w:p>
        </w:tc>
        <w:tc>
          <w:tcPr>
            <w:tcW w:w="833" w:type="pct"/>
          </w:tcPr>
          <w:p w14:paraId="61C01531" w14:textId="77777777" w:rsidR="0092760B" w:rsidRPr="00027624" w:rsidRDefault="0092760B" w:rsidP="002A2FAE">
            <w:pPr>
              <w:pStyle w:val="TableTextLeft"/>
              <w:jc w:val="center"/>
            </w:pPr>
            <w:r w:rsidRPr="00027624">
              <w:t>83%</w:t>
            </w:r>
          </w:p>
        </w:tc>
        <w:tc>
          <w:tcPr>
            <w:tcW w:w="833" w:type="pct"/>
          </w:tcPr>
          <w:p w14:paraId="20F9D723" w14:textId="77777777" w:rsidR="0092760B" w:rsidRPr="00027624" w:rsidRDefault="0092760B" w:rsidP="002A2FAE">
            <w:pPr>
              <w:pStyle w:val="TableTextLeft"/>
              <w:jc w:val="center"/>
            </w:pPr>
            <w:r w:rsidRPr="00027624">
              <w:t>87%</w:t>
            </w:r>
          </w:p>
        </w:tc>
      </w:tr>
      <w:tr w:rsidR="0092760B" w:rsidRPr="00027624" w14:paraId="41AC796F" w14:textId="77777777" w:rsidTr="00F75B78">
        <w:trPr>
          <w:trHeight w:val="270"/>
        </w:trPr>
        <w:tc>
          <w:tcPr>
            <w:tcW w:w="834" w:type="pct"/>
          </w:tcPr>
          <w:p w14:paraId="5F5AD514" w14:textId="77777777" w:rsidR="0092760B" w:rsidRPr="00027624" w:rsidRDefault="0092760B" w:rsidP="002A2FAE">
            <w:pPr>
              <w:pStyle w:val="TableTextLeft"/>
            </w:pPr>
            <w:r w:rsidRPr="00027624">
              <w:t>30</w:t>
            </w:r>
          </w:p>
        </w:tc>
        <w:tc>
          <w:tcPr>
            <w:tcW w:w="834" w:type="pct"/>
            <w:tcBorders>
              <w:left w:val="nil"/>
            </w:tcBorders>
          </w:tcPr>
          <w:p w14:paraId="3AAD44F8" w14:textId="77777777" w:rsidR="0092760B" w:rsidRPr="00027624" w:rsidRDefault="0092760B" w:rsidP="002A2FAE">
            <w:pPr>
              <w:pStyle w:val="TableTextLeft"/>
              <w:jc w:val="center"/>
            </w:pPr>
            <w:r w:rsidRPr="00027624">
              <w:t>68%</w:t>
            </w:r>
          </w:p>
        </w:tc>
        <w:tc>
          <w:tcPr>
            <w:tcW w:w="833" w:type="pct"/>
          </w:tcPr>
          <w:p w14:paraId="243BBCBB" w14:textId="77777777" w:rsidR="0092760B" w:rsidRPr="00027624" w:rsidRDefault="0092760B" w:rsidP="002A2FAE">
            <w:pPr>
              <w:pStyle w:val="TableTextLeft"/>
              <w:jc w:val="center"/>
            </w:pPr>
            <w:r w:rsidRPr="00027624">
              <w:t>73%</w:t>
            </w:r>
          </w:p>
        </w:tc>
        <w:tc>
          <w:tcPr>
            <w:tcW w:w="833" w:type="pct"/>
          </w:tcPr>
          <w:p w14:paraId="22C41539" w14:textId="77777777" w:rsidR="0092760B" w:rsidRPr="00027624" w:rsidRDefault="0092760B" w:rsidP="002A2FAE">
            <w:pPr>
              <w:pStyle w:val="TableTextLeft"/>
              <w:jc w:val="center"/>
            </w:pPr>
            <w:r w:rsidRPr="00027624">
              <w:t>82%</w:t>
            </w:r>
          </w:p>
        </w:tc>
        <w:tc>
          <w:tcPr>
            <w:tcW w:w="833" w:type="pct"/>
          </w:tcPr>
          <w:p w14:paraId="576EE387" w14:textId="77777777" w:rsidR="0092760B" w:rsidRPr="00027624" w:rsidRDefault="0092760B" w:rsidP="002A2FAE">
            <w:pPr>
              <w:pStyle w:val="TableTextLeft"/>
              <w:jc w:val="center"/>
            </w:pPr>
            <w:r w:rsidRPr="00027624">
              <w:t>85%</w:t>
            </w:r>
          </w:p>
        </w:tc>
        <w:tc>
          <w:tcPr>
            <w:tcW w:w="833" w:type="pct"/>
          </w:tcPr>
          <w:p w14:paraId="541B983F" w14:textId="77777777" w:rsidR="0092760B" w:rsidRPr="00027624" w:rsidRDefault="0092760B" w:rsidP="002A2FAE">
            <w:pPr>
              <w:pStyle w:val="TableTextLeft"/>
              <w:jc w:val="center"/>
            </w:pPr>
            <w:r w:rsidRPr="00027624">
              <w:t>90%</w:t>
            </w:r>
          </w:p>
        </w:tc>
      </w:tr>
      <w:tr w:rsidR="0092760B" w:rsidRPr="00027624" w14:paraId="44D68A33" w14:textId="77777777" w:rsidTr="00F75B78">
        <w:trPr>
          <w:trHeight w:val="270"/>
        </w:trPr>
        <w:tc>
          <w:tcPr>
            <w:tcW w:w="834" w:type="pct"/>
          </w:tcPr>
          <w:p w14:paraId="10BB7B48" w14:textId="77777777" w:rsidR="0092760B" w:rsidRPr="00027624" w:rsidRDefault="0092760B" w:rsidP="002A2FAE">
            <w:pPr>
              <w:pStyle w:val="TableTextLeft"/>
            </w:pPr>
            <w:r w:rsidRPr="00027624">
              <w:t>27</w:t>
            </w:r>
          </w:p>
        </w:tc>
        <w:tc>
          <w:tcPr>
            <w:tcW w:w="834" w:type="pct"/>
            <w:tcBorders>
              <w:left w:val="nil"/>
            </w:tcBorders>
          </w:tcPr>
          <w:p w14:paraId="0375387A" w14:textId="77777777" w:rsidR="0092760B" w:rsidRPr="00027624" w:rsidRDefault="0092760B" w:rsidP="002A2FAE">
            <w:pPr>
              <w:pStyle w:val="TableTextLeft"/>
              <w:jc w:val="center"/>
            </w:pPr>
            <w:r w:rsidRPr="00027624">
              <w:t>71%</w:t>
            </w:r>
          </w:p>
        </w:tc>
        <w:tc>
          <w:tcPr>
            <w:tcW w:w="833" w:type="pct"/>
          </w:tcPr>
          <w:p w14:paraId="43044017" w14:textId="77777777" w:rsidR="0092760B" w:rsidRPr="00027624" w:rsidRDefault="0092760B" w:rsidP="002A2FAE">
            <w:pPr>
              <w:pStyle w:val="TableTextLeft"/>
              <w:jc w:val="center"/>
            </w:pPr>
            <w:r w:rsidRPr="00027624">
              <w:t>76%</w:t>
            </w:r>
          </w:p>
        </w:tc>
        <w:tc>
          <w:tcPr>
            <w:tcW w:w="833" w:type="pct"/>
          </w:tcPr>
          <w:p w14:paraId="151B8CCC" w14:textId="77777777" w:rsidR="0092760B" w:rsidRPr="00027624" w:rsidRDefault="0092760B" w:rsidP="002A2FAE">
            <w:pPr>
              <w:pStyle w:val="TableTextLeft"/>
              <w:jc w:val="center"/>
            </w:pPr>
            <w:r w:rsidRPr="00027624">
              <w:t>83%</w:t>
            </w:r>
          </w:p>
        </w:tc>
        <w:tc>
          <w:tcPr>
            <w:tcW w:w="833" w:type="pct"/>
          </w:tcPr>
          <w:p w14:paraId="5CF52ACD" w14:textId="77777777" w:rsidR="0092760B" w:rsidRPr="00027624" w:rsidRDefault="0092760B" w:rsidP="002A2FAE">
            <w:pPr>
              <w:pStyle w:val="TableTextLeft"/>
              <w:jc w:val="center"/>
            </w:pPr>
            <w:r w:rsidRPr="00027624">
              <w:t>87%</w:t>
            </w:r>
          </w:p>
        </w:tc>
        <w:tc>
          <w:tcPr>
            <w:tcW w:w="833" w:type="pct"/>
          </w:tcPr>
          <w:p w14:paraId="4477D942" w14:textId="77777777" w:rsidR="0092760B" w:rsidRPr="00027624" w:rsidRDefault="0092760B" w:rsidP="002A2FAE">
            <w:pPr>
              <w:pStyle w:val="TableTextLeft"/>
              <w:jc w:val="center"/>
            </w:pPr>
            <w:r w:rsidRPr="00027624">
              <w:t>92%</w:t>
            </w:r>
          </w:p>
        </w:tc>
      </w:tr>
      <w:tr w:rsidR="0092760B" w:rsidRPr="00027624" w14:paraId="6D8FB821" w14:textId="77777777" w:rsidTr="00F75B78">
        <w:trPr>
          <w:trHeight w:val="270"/>
        </w:trPr>
        <w:tc>
          <w:tcPr>
            <w:tcW w:w="834" w:type="pct"/>
          </w:tcPr>
          <w:p w14:paraId="75809C78" w14:textId="77777777" w:rsidR="0092760B" w:rsidRPr="00027624" w:rsidRDefault="0092760B" w:rsidP="002A2FAE">
            <w:pPr>
              <w:pStyle w:val="TableTextLeft"/>
            </w:pPr>
            <w:r w:rsidRPr="00027624">
              <w:t>25</w:t>
            </w:r>
          </w:p>
        </w:tc>
        <w:tc>
          <w:tcPr>
            <w:tcW w:w="834" w:type="pct"/>
            <w:tcBorders>
              <w:left w:val="nil"/>
            </w:tcBorders>
          </w:tcPr>
          <w:p w14:paraId="61FF8E8B" w14:textId="77777777" w:rsidR="0092760B" w:rsidRPr="00027624" w:rsidRDefault="0092760B" w:rsidP="002A2FAE">
            <w:pPr>
              <w:pStyle w:val="TableTextLeft"/>
              <w:jc w:val="center"/>
            </w:pPr>
            <w:r w:rsidRPr="00027624">
              <w:t>72%</w:t>
            </w:r>
          </w:p>
        </w:tc>
        <w:tc>
          <w:tcPr>
            <w:tcW w:w="833" w:type="pct"/>
          </w:tcPr>
          <w:p w14:paraId="240C5A84" w14:textId="77777777" w:rsidR="0092760B" w:rsidRPr="00027624" w:rsidRDefault="0092760B" w:rsidP="002A2FAE">
            <w:pPr>
              <w:pStyle w:val="TableTextLeft"/>
              <w:jc w:val="center"/>
            </w:pPr>
            <w:r w:rsidRPr="00027624">
              <w:t>76%</w:t>
            </w:r>
          </w:p>
        </w:tc>
        <w:tc>
          <w:tcPr>
            <w:tcW w:w="833" w:type="pct"/>
          </w:tcPr>
          <w:p w14:paraId="08F942A3" w14:textId="77777777" w:rsidR="0092760B" w:rsidRPr="00027624" w:rsidRDefault="0092760B" w:rsidP="002A2FAE">
            <w:pPr>
              <w:pStyle w:val="TableTextLeft"/>
              <w:jc w:val="center"/>
            </w:pPr>
            <w:r w:rsidRPr="00027624">
              <w:t>84%</w:t>
            </w:r>
          </w:p>
        </w:tc>
        <w:tc>
          <w:tcPr>
            <w:tcW w:w="833" w:type="pct"/>
          </w:tcPr>
          <w:p w14:paraId="5D7E2208" w14:textId="77777777" w:rsidR="0092760B" w:rsidRPr="00027624" w:rsidRDefault="0092760B" w:rsidP="002A2FAE">
            <w:pPr>
              <w:pStyle w:val="TableTextLeft"/>
              <w:jc w:val="center"/>
            </w:pPr>
            <w:r w:rsidRPr="00027624">
              <w:t>88%</w:t>
            </w:r>
          </w:p>
        </w:tc>
        <w:tc>
          <w:tcPr>
            <w:tcW w:w="833" w:type="pct"/>
          </w:tcPr>
          <w:p w14:paraId="4AEC7D4C" w14:textId="77777777" w:rsidR="0092760B" w:rsidRPr="00027624" w:rsidRDefault="0092760B" w:rsidP="002A2FAE">
            <w:pPr>
              <w:pStyle w:val="TableTextLeft"/>
              <w:jc w:val="center"/>
            </w:pPr>
            <w:r w:rsidRPr="00027624">
              <w:t>93%</w:t>
            </w:r>
          </w:p>
        </w:tc>
      </w:tr>
      <w:tr w:rsidR="0092760B" w:rsidRPr="00027624" w14:paraId="7AEB8AC6" w14:textId="77777777" w:rsidTr="00F75B78">
        <w:trPr>
          <w:trHeight w:val="270"/>
        </w:trPr>
        <w:tc>
          <w:tcPr>
            <w:tcW w:w="834" w:type="pct"/>
          </w:tcPr>
          <w:p w14:paraId="3D97BCEE" w14:textId="77777777" w:rsidR="0092760B" w:rsidRPr="00027624" w:rsidRDefault="0092760B" w:rsidP="002A2FAE">
            <w:pPr>
              <w:pStyle w:val="TableTextLeft"/>
            </w:pPr>
            <w:r w:rsidRPr="00027624">
              <w:t>20</w:t>
            </w:r>
          </w:p>
        </w:tc>
        <w:tc>
          <w:tcPr>
            <w:tcW w:w="834" w:type="pct"/>
            <w:tcBorders>
              <w:left w:val="nil"/>
            </w:tcBorders>
          </w:tcPr>
          <w:p w14:paraId="0137C284" w14:textId="77777777" w:rsidR="0092760B" w:rsidRPr="00027624" w:rsidRDefault="0092760B" w:rsidP="002A2FAE">
            <w:pPr>
              <w:pStyle w:val="TableTextLeft"/>
              <w:jc w:val="center"/>
            </w:pPr>
            <w:r w:rsidRPr="00027624">
              <w:t>74%</w:t>
            </w:r>
          </w:p>
        </w:tc>
        <w:tc>
          <w:tcPr>
            <w:tcW w:w="833" w:type="pct"/>
          </w:tcPr>
          <w:p w14:paraId="532E0371" w14:textId="77777777" w:rsidR="0092760B" w:rsidRPr="00027624" w:rsidRDefault="0092760B" w:rsidP="002A2FAE">
            <w:pPr>
              <w:pStyle w:val="TableTextLeft"/>
              <w:jc w:val="center"/>
            </w:pPr>
            <w:r w:rsidRPr="00027624">
              <w:t>77%</w:t>
            </w:r>
          </w:p>
        </w:tc>
        <w:tc>
          <w:tcPr>
            <w:tcW w:w="833" w:type="pct"/>
          </w:tcPr>
          <w:p w14:paraId="2746D674" w14:textId="77777777" w:rsidR="0092760B" w:rsidRPr="00027624" w:rsidRDefault="0092760B" w:rsidP="002A2FAE">
            <w:pPr>
              <w:pStyle w:val="TableTextLeft"/>
              <w:jc w:val="center"/>
            </w:pPr>
            <w:r w:rsidRPr="00027624">
              <w:t>85%</w:t>
            </w:r>
          </w:p>
        </w:tc>
        <w:tc>
          <w:tcPr>
            <w:tcW w:w="833" w:type="pct"/>
          </w:tcPr>
          <w:p w14:paraId="639DDB42" w14:textId="77777777" w:rsidR="0092760B" w:rsidRPr="00027624" w:rsidRDefault="0092760B" w:rsidP="002A2FAE">
            <w:pPr>
              <w:pStyle w:val="TableTextLeft"/>
              <w:jc w:val="center"/>
            </w:pPr>
            <w:r w:rsidRPr="00027624">
              <w:t>89%</w:t>
            </w:r>
          </w:p>
        </w:tc>
        <w:tc>
          <w:tcPr>
            <w:tcW w:w="833" w:type="pct"/>
          </w:tcPr>
          <w:p w14:paraId="39F158E1" w14:textId="77777777" w:rsidR="0092760B" w:rsidRPr="00027624" w:rsidRDefault="0092760B" w:rsidP="002A2FAE">
            <w:pPr>
              <w:pStyle w:val="TableTextLeft"/>
              <w:jc w:val="center"/>
            </w:pPr>
            <w:r w:rsidRPr="00027624">
              <w:t>96%</w:t>
            </w:r>
          </w:p>
        </w:tc>
      </w:tr>
    </w:tbl>
    <w:p w14:paraId="3937C25E" w14:textId="77777777" w:rsidR="0092760B" w:rsidRPr="00027624" w:rsidRDefault="0092760B" w:rsidP="002A2FAE">
      <w:pPr>
        <w:pStyle w:val="Caption"/>
        <w:spacing w:after="240"/>
        <w:rPr>
          <w:i w:val="0"/>
          <w:color w:val="auto"/>
        </w:rPr>
      </w:pPr>
      <w:r w:rsidRPr="00027624">
        <w:rPr>
          <w:i w:val="0"/>
          <w:color w:val="auto"/>
        </w:rPr>
        <w:t xml:space="preserve">Note: Early retirement scenarios assume </w:t>
      </w:r>
      <w:r w:rsidR="00D50CC0" w:rsidRPr="00027624">
        <w:rPr>
          <w:i w:val="0"/>
          <w:color w:val="auto"/>
        </w:rPr>
        <w:t>people</w:t>
      </w:r>
      <w:r w:rsidRPr="00027624">
        <w:rPr>
          <w:i w:val="0"/>
          <w:color w:val="auto"/>
        </w:rPr>
        <w:t xml:space="preserve"> receive working</w:t>
      </w:r>
      <w:r w:rsidR="00A8443E" w:rsidRPr="00027624">
        <w:rPr>
          <w:i w:val="0"/>
          <w:color w:val="auto"/>
        </w:rPr>
        <w:noBreakHyphen/>
      </w:r>
      <w:r w:rsidRPr="00027624">
        <w:rPr>
          <w:i w:val="0"/>
          <w:color w:val="auto"/>
        </w:rPr>
        <w:t>life income support if eligible according to means testing and access their superannuation from preservation age. People who retire earlier than age 67 draw down superannuation from age 60 at the higher of the maximum Age Pension or minimum legislated rates until age 67 using use review drawdown rates thereafter. For comparability, the level of working</w:t>
      </w:r>
      <w:r w:rsidR="00A8443E" w:rsidRPr="00027624">
        <w:rPr>
          <w:i w:val="0"/>
          <w:color w:val="auto"/>
        </w:rPr>
        <w:noBreakHyphen/>
      </w:r>
      <w:r w:rsidRPr="00027624">
        <w:rPr>
          <w:i w:val="0"/>
          <w:color w:val="auto"/>
        </w:rPr>
        <w:t>life income to be replaced is the same for sensitivities. Source: Cameo modelling undertaken for the review.</w:t>
      </w:r>
    </w:p>
    <w:p w14:paraId="2B28747B" w14:textId="77777777" w:rsidR="0092760B" w:rsidRPr="00027624" w:rsidRDefault="0092760B" w:rsidP="00054173">
      <w:pPr>
        <w:pStyle w:val="Heading3"/>
        <w:rPr>
          <w:lang w:eastAsia="en-US"/>
        </w:rPr>
      </w:pPr>
      <w:r w:rsidRPr="00027624">
        <w:rPr>
          <w:lang w:eastAsia="en-US"/>
        </w:rPr>
        <w:t>Distribution of outcomes based on working life and retirement age</w:t>
      </w:r>
    </w:p>
    <w:p w14:paraId="4A094E7A" w14:textId="071E6656" w:rsidR="0092760B" w:rsidRPr="00027624" w:rsidRDefault="0092760B" w:rsidP="002A2FAE">
      <w:pPr>
        <w:rPr>
          <w:lang w:eastAsia="en-US"/>
        </w:rPr>
      </w:pPr>
      <w:r w:rsidRPr="00027624">
        <w:rPr>
          <w:lang w:eastAsia="en-US"/>
        </w:rPr>
        <w:t>If the current distribut</w:t>
      </w:r>
      <w:r w:rsidR="00885DFE" w:rsidRPr="00027624">
        <w:rPr>
          <w:lang w:eastAsia="en-US"/>
        </w:rPr>
        <w:t>ions of retirement age, working-</w:t>
      </w:r>
      <w:r w:rsidRPr="00027624">
        <w:rPr>
          <w:lang w:eastAsia="en-US"/>
        </w:rPr>
        <w:t>life length and income remain stable, modelling suggests about 90 per cent of the population will have replacement rates within or above the</w:t>
      </w:r>
      <w:r w:rsidRPr="00027624" w:rsidDel="00BD0D85">
        <w:rPr>
          <w:lang w:eastAsia="en-US"/>
        </w:rPr>
        <w:t xml:space="preserve"> </w:t>
      </w:r>
      <w:r w:rsidRPr="00027624">
        <w:rPr>
          <w:lang w:eastAsia="en-US"/>
        </w:rPr>
        <w:t>benchmark in a mature system (</w:t>
      </w:r>
      <w:r w:rsidRPr="00027624">
        <w:rPr>
          <w:lang w:eastAsia="en-US"/>
        </w:rPr>
        <w:fldChar w:fldCharType="begin"/>
      </w:r>
      <w:r w:rsidRPr="00027624">
        <w:rPr>
          <w:lang w:eastAsia="en-US"/>
        </w:rPr>
        <w:instrText xml:space="preserve"> REF _Ref44350343 \r \h </w:instrText>
      </w:r>
      <w:r w:rsidR="00FA7639" w:rsidRPr="00027624">
        <w:rPr>
          <w:lang w:eastAsia="en-US"/>
        </w:rPr>
        <w:instrText xml:space="preserve"> \* MERGEFORMAT </w:instrText>
      </w:r>
      <w:r w:rsidRPr="00027624">
        <w:rPr>
          <w:lang w:eastAsia="en-US"/>
        </w:rPr>
      </w:r>
      <w:r w:rsidRPr="00027624">
        <w:rPr>
          <w:lang w:eastAsia="en-US"/>
        </w:rPr>
        <w:fldChar w:fldCharType="separate"/>
      </w:r>
      <w:r w:rsidR="00891058">
        <w:rPr>
          <w:lang w:eastAsia="en-US"/>
        </w:rPr>
        <w:t>Chart 2C-28</w:t>
      </w:r>
      <w:r w:rsidRPr="00027624">
        <w:rPr>
          <w:lang w:eastAsia="en-US"/>
        </w:rPr>
        <w:fldChar w:fldCharType="end"/>
      </w:r>
      <w:r w:rsidRPr="00027624">
        <w:rPr>
          <w:lang w:eastAsia="en-US"/>
        </w:rPr>
        <w:t xml:space="preserve">). </w:t>
      </w:r>
      <w:r w:rsidRPr="00027624">
        <w:rPr>
          <w:b/>
          <w:lang w:eastAsia="en-US"/>
        </w:rPr>
        <w:t>Few retirees currently have career lengths that would lead to inadequate outcomes in a mature retirement income system.</w:t>
      </w:r>
    </w:p>
    <w:p w14:paraId="62147636" w14:textId="77777777" w:rsidR="0092760B" w:rsidRPr="00027624" w:rsidRDefault="0092760B" w:rsidP="00325A8D">
      <w:pPr>
        <w:pStyle w:val="ChartMainHeading"/>
        <w:rPr>
          <w:lang w:eastAsia="en-US"/>
        </w:rPr>
      </w:pPr>
      <w:bookmarkStart w:id="585" w:name="_Ref44350343"/>
      <w:r w:rsidRPr="00027624">
        <w:rPr>
          <w:lang w:eastAsia="en-US"/>
        </w:rPr>
        <w:t xml:space="preserve">Projected </w:t>
      </w:r>
      <w:r w:rsidRPr="00027624">
        <w:t>distribution</w:t>
      </w:r>
      <w:r w:rsidRPr="00027624">
        <w:rPr>
          <w:lang w:eastAsia="en-US"/>
        </w:rPr>
        <w:t xml:space="preserve"> of outcomes, entire population</w:t>
      </w:r>
      <w:bookmarkEnd w:id="585"/>
    </w:p>
    <w:tbl>
      <w:tblPr>
        <w:tblStyle w:val="TableGrid"/>
        <w:tblW w:w="0" w:type="auto"/>
        <w:tblLayout w:type="fixed"/>
        <w:tblCellMar>
          <w:left w:w="0" w:type="dxa"/>
          <w:right w:w="0" w:type="dxa"/>
        </w:tblCellMar>
        <w:tblLook w:val="04A0" w:firstRow="1" w:lastRow="0" w:firstColumn="1" w:lastColumn="0" w:noHBand="0" w:noVBand="1"/>
      </w:tblPr>
      <w:tblGrid>
        <w:gridCol w:w="4536"/>
        <w:gridCol w:w="4536"/>
      </w:tblGrid>
      <w:tr w:rsidR="0092760B" w:rsidRPr="00027624" w14:paraId="5E7E7721" w14:textId="77777777" w:rsidTr="002A2FAE">
        <w:trPr>
          <w:trHeight w:val="132"/>
        </w:trPr>
        <w:tc>
          <w:tcPr>
            <w:tcW w:w="4536" w:type="dxa"/>
            <w:shd w:val="clear" w:color="auto" w:fill="auto"/>
          </w:tcPr>
          <w:p w14:paraId="4607D1EE" w14:textId="77777777" w:rsidR="0092760B" w:rsidRPr="00027624" w:rsidRDefault="0092760B" w:rsidP="002A2FAE">
            <w:pPr>
              <w:pStyle w:val="ChartSecondHeading"/>
              <w:rPr>
                <w:lang w:eastAsia="en-US"/>
              </w:rPr>
            </w:pPr>
            <w:r w:rsidRPr="00027624">
              <w:rPr>
                <w:lang w:eastAsia="en-US"/>
              </w:rPr>
              <w:t>Population distribution by years worked</w:t>
            </w:r>
          </w:p>
        </w:tc>
        <w:tc>
          <w:tcPr>
            <w:tcW w:w="4536" w:type="dxa"/>
            <w:shd w:val="clear" w:color="auto" w:fill="auto"/>
          </w:tcPr>
          <w:p w14:paraId="350D68E9" w14:textId="77777777" w:rsidR="0092760B" w:rsidRPr="00027624" w:rsidRDefault="0092760B" w:rsidP="002A2FAE">
            <w:pPr>
              <w:pStyle w:val="ChartSecondHeading"/>
              <w:rPr>
                <w:lang w:eastAsia="en-US"/>
              </w:rPr>
            </w:pPr>
            <w:r w:rsidRPr="00027624">
              <w:rPr>
                <w:lang w:eastAsia="en-US"/>
              </w:rPr>
              <w:t xml:space="preserve">Replacement rates relative to benchmark </w:t>
            </w:r>
          </w:p>
        </w:tc>
      </w:tr>
      <w:tr w:rsidR="0092760B" w:rsidRPr="00027624" w14:paraId="7AA5903B" w14:textId="77777777" w:rsidTr="002A2FAE">
        <w:trPr>
          <w:trHeight w:val="132"/>
        </w:trPr>
        <w:tc>
          <w:tcPr>
            <w:tcW w:w="4536" w:type="dxa"/>
            <w:shd w:val="clear" w:color="auto" w:fill="auto"/>
          </w:tcPr>
          <w:p w14:paraId="34AD0794" w14:textId="77777777" w:rsidR="0092760B" w:rsidRPr="00027624" w:rsidRDefault="007A3D80" w:rsidP="002A2FAE">
            <w:pPr>
              <w:pStyle w:val="ChartGraphic"/>
              <w:rPr>
                <w:lang w:eastAsia="en-US"/>
              </w:rPr>
            </w:pPr>
            <w:r>
              <w:rPr>
                <w:noProof/>
              </w:rPr>
              <w:drawing>
                <wp:inline distT="0" distB="0" distL="0" distR="0" wp14:anchorId="538CC88E" wp14:editId="5AF6C36E">
                  <wp:extent cx="2872740" cy="2880360"/>
                  <wp:effectExtent l="0" t="0" r="3810" b="0"/>
                  <wp:docPr id="2062294302" name="Picture 2062294302" descr="This chart shows that middle- and higher-wealth retirees are more likely than lower-wealth retirees to have worked 35 years or more." title="Population distribution by years wo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tc>
        <w:tc>
          <w:tcPr>
            <w:tcW w:w="4536" w:type="dxa"/>
            <w:shd w:val="clear" w:color="auto" w:fill="auto"/>
          </w:tcPr>
          <w:p w14:paraId="6D088364" w14:textId="77777777" w:rsidR="0092760B" w:rsidRPr="00027624" w:rsidRDefault="007A3D80" w:rsidP="002A2FAE">
            <w:pPr>
              <w:pStyle w:val="ChartGraphic"/>
              <w:rPr>
                <w:lang w:eastAsia="en-US"/>
              </w:rPr>
            </w:pPr>
            <w:r>
              <w:rPr>
                <w:noProof/>
              </w:rPr>
              <w:drawing>
                <wp:inline distT="0" distB="0" distL="0" distR="0" wp14:anchorId="47B4369E" wp14:editId="67A01533">
                  <wp:extent cx="2712720" cy="2887980"/>
                  <wp:effectExtent l="0" t="0" r="0" b="7620"/>
                  <wp:docPr id="2062294303" name="Picture 2062294303" descr="This chart shows that about 16 per cent of the population are projected to have replacement rates under the benchmark and about two-thirds above the benchmark. It shows higher income earners are the most likely to not meet the benchmark, and that some middle income earners do not meet the benchmark. It also shows no lower income earners are projected to not meet the benchmark." title="Replacement rates relative to bench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12720" cy="2887980"/>
                          </a:xfrm>
                          <a:prstGeom prst="rect">
                            <a:avLst/>
                          </a:prstGeom>
                          <a:noFill/>
                        </pic:spPr>
                      </pic:pic>
                    </a:graphicData>
                  </a:graphic>
                </wp:inline>
              </w:drawing>
            </w:r>
          </w:p>
        </w:tc>
      </w:tr>
    </w:tbl>
    <w:p w14:paraId="3C9B1FD8" w14:textId="77777777" w:rsidR="0092760B" w:rsidRPr="00027624" w:rsidRDefault="0092760B" w:rsidP="002A2FAE">
      <w:pPr>
        <w:pStyle w:val="ChartorTableNote"/>
        <w:rPr>
          <w:rStyle w:val="BulletChar"/>
        </w:rPr>
      </w:pPr>
      <w:r w:rsidRPr="00027624">
        <w:rPr>
          <w:lang w:eastAsia="en-US"/>
        </w:rPr>
        <w:t>Note: Lower</w:t>
      </w:r>
      <w:r w:rsidR="00A8443E" w:rsidRPr="00027624">
        <w:rPr>
          <w:lang w:eastAsia="en-US"/>
        </w:rPr>
        <w:noBreakHyphen/>
      </w:r>
      <w:r w:rsidRPr="00027624">
        <w:rPr>
          <w:lang w:eastAsia="en-US"/>
        </w:rPr>
        <w:t>income earners are in the 30</w:t>
      </w:r>
      <w:r w:rsidRPr="00027624">
        <w:rPr>
          <w:vertAlign w:val="superscript"/>
          <w:lang w:eastAsia="en-US"/>
        </w:rPr>
        <w:t>th</w:t>
      </w:r>
      <w:r w:rsidRPr="00027624">
        <w:rPr>
          <w:lang w:eastAsia="en-US"/>
        </w:rPr>
        <w:t xml:space="preserve"> percentile and below, higher</w:t>
      </w:r>
      <w:r w:rsidR="00A8443E" w:rsidRPr="00027624">
        <w:rPr>
          <w:lang w:eastAsia="en-US"/>
        </w:rPr>
        <w:noBreakHyphen/>
      </w:r>
      <w:r w:rsidRPr="00027624">
        <w:rPr>
          <w:lang w:eastAsia="en-US"/>
        </w:rPr>
        <w:t>income earners in the 80</w:t>
      </w:r>
      <w:r w:rsidRPr="00027624">
        <w:rPr>
          <w:vertAlign w:val="superscript"/>
          <w:lang w:eastAsia="en-US"/>
        </w:rPr>
        <w:t>th</w:t>
      </w:r>
      <w:r w:rsidRPr="00027624">
        <w:rPr>
          <w:lang w:eastAsia="en-US"/>
        </w:rPr>
        <w:t xml:space="preserve"> percentile and above. Source: </w:t>
      </w:r>
      <w:r w:rsidRPr="00027624">
        <w:t>Review analysis of HILDA (Wave 18)</w:t>
      </w:r>
      <w:r w:rsidRPr="00027624">
        <w:rPr>
          <w:lang w:eastAsia="en-US"/>
        </w:rPr>
        <w:t>, cameo modelling undertaken for the review.</w:t>
      </w:r>
    </w:p>
    <w:p w14:paraId="2621776A" w14:textId="77777777" w:rsidR="005A4479" w:rsidRPr="00027624" w:rsidRDefault="005A4479" w:rsidP="005A4479">
      <w:pPr>
        <w:rPr>
          <w:lang w:eastAsia="en-US"/>
        </w:rPr>
      </w:pPr>
      <w:r w:rsidRPr="00027624">
        <w:rPr>
          <w:lang w:eastAsia="en-US"/>
        </w:rPr>
        <w:t>The population of people who would not have adequate replacement rates consists entirely of middle</w:t>
      </w:r>
      <w:r w:rsidRPr="00027624">
        <w:rPr>
          <w:lang w:eastAsia="en-US"/>
        </w:rPr>
        <w:noBreakHyphen/>
        <w:t xml:space="preserve"> and higher</w:t>
      </w:r>
      <w:r w:rsidRPr="00027624">
        <w:rPr>
          <w:lang w:eastAsia="en-US"/>
        </w:rPr>
        <w:noBreakHyphen/>
        <w:t>income earners. Lower</w:t>
      </w:r>
      <w:r w:rsidRPr="00027624">
        <w:rPr>
          <w:lang w:eastAsia="en-US"/>
        </w:rPr>
        <w:noBreakHyphen/>
        <w:t>income earners will always exceed the benchmark as the Age Pension provides higher</w:t>
      </w:r>
      <w:r w:rsidRPr="00027624">
        <w:rPr>
          <w:lang w:eastAsia="en-US"/>
        </w:rPr>
        <w:noBreakHyphen/>
        <w:t>income than the amount needed to maintain their living standards in retirement.</w:t>
      </w:r>
    </w:p>
    <w:p w14:paraId="6CEEDE18" w14:textId="77777777" w:rsidR="005A4479" w:rsidRPr="00027624" w:rsidRDefault="005A4479" w:rsidP="006F2616">
      <w:pPr>
        <w:keepNext/>
        <w:rPr>
          <w:lang w:eastAsia="en-US"/>
        </w:rPr>
      </w:pPr>
      <w:r w:rsidRPr="00027624">
        <w:rPr>
          <w:lang w:eastAsia="en-US"/>
        </w:rPr>
        <w:lastRenderedPageBreak/>
        <w:t>Of the 16 per cent of people projected to have replacement rates below the benchmark:</w:t>
      </w:r>
    </w:p>
    <w:p w14:paraId="22CB2E97" w14:textId="77777777" w:rsidR="005A4479" w:rsidRPr="00027624" w:rsidRDefault="005A4479" w:rsidP="005A4479">
      <w:pPr>
        <w:pStyle w:val="Bullet"/>
        <w:rPr>
          <w:lang w:eastAsia="en-US"/>
        </w:rPr>
      </w:pPr>
      <w:r w:rsidRPr="00027624">
        <w:rPr>
          <w:lang w:eastAsia="en-US"/>
        </w:rPr>
        <w:t>About a quarter are middle</w:t>
      </w:r>
      <w:r w:rsidRPr="00027624">
        <w:rPr>
          <w:lang w:eastAsia="en-US"/>
        </w:rPr>
        <w:noBreakHyphen/>
        <w:t xml:space="preserve"> and higher</w:t>
      </w:r>
      <w:r w:rsidRPr="00027624">
        <w:rPr>
          <w:lang w:eastAsia="en-US"/>
        </w:rPr>
        <w:noBreakHyphen/>
        <w:t>income earners who work 15 years or less.</w:t>
      </w:r>
    </w:p>
    <w:p w14:paraId="67C711AC" w14:textId="77777777" w:rsidR="005A4479" w:rsidRPr="00027624" w:rsidRDefault="005A4479" w:rsidP="005A4479">
      <w:pPr>
        <w:pStyle w:val="Bullet"/>
        <w:rPr>
          <w:lang w:eastAsia="en-US"/>
        </w:rPr>
      </w:pPr>
      <w:r w:rsidRPr="00027624">
        <w:rPr>
          <w:lang w:eastAsia="en-US"/>
        </w:rPr>
        <w:t>Two</w:t>
      </w:r>
      <w:r w:rsidRPr="00027624">
        <w:rPr>
          <w:lang w:eastAsia="en-US"/>
        </w:rPr>
        <w:noBreakHyphen/>
        <w:t>thirds are higher</w:t>
      </w:r>
      <w:r w:rsidRPr="00027624">
        <w:rPr>
          <w:lang w:eastAsia="en-US"/>
        </w:rPr>
        <w:noBreakHyphen/>
        <w:t>income earners who work less than 40 years. Higher</w:t>
      </w:r>
      <w:r w:rsidRPr="00027624">
        <w:rPr>
          <w:lang w:eastAsia="en-US"/>
        </w:rPr>
        <w:noBreakHyphen/>
        <w:t>income earners can maintain standards of living at replacement rates significantly lower than the benchmark and are less likely to retire involuntarily.</w:t>
      </w:r>
    </w:p>
    <w:p w14:paraId="5AFDE3E0" w14:textId="77777777" w:rsidR="005A4479" w:rsidRPr="00027624" w:rsidRDefault="005A4479" w:rsidP="005A4479">
      <w:pPr>
        <w:rPr>
          <w:lang w:eastAsia="en-US"/>
        </w:rPr>
      </w:pPr>
      <w:r w:rsidRPr="00027624">
        <w:rPr>
          <w:lang w:eastAsia="en-US"/>
        </w:rPr>
        <w:t>About three</w:t>
      </w:r>
      <w:r w:rsidRPr="00027624">
        <w:rPr>
          <w:lang w:eastAsia="en-US"/>
        </w:rPr>
        <w:noBreakHyphen/>
        <w:t>quarters of middle</w:t>
      </w:r>
      <w:r w:rsidRPr="00027624">
        <w:rPr>
          <w:lang w:eastAsia="en-US"/>
        </w:rPr>
        <w:noBreakHyphen/>
        <w:t xml:space="preserve">income earners </w:t>
      </w:r>
      <w:r w:rsidRPr="00027624" w:rsidDel="00D2563D">
        <w:rPr>
          <w:lang w:eastAsia="en-US"/>
        </w:rPr>
        <w:t xml:space="preserve">are projected to </w:t>
      </w:r>
      <w:r w:rsidRPr="00027624">
        <w:rPr>
          <w:lang w:eastAsia="en-US"/>
        </w:rPr>
        <w:t>exceed the benchmark, suggesting that, even taking into account variance in careers and retirement ages, this group may be over</w:t>
      </w:r>
      <w:r w:rsidRPr="00027624">
        <w:rPr>
          <w:lang w:eastAsia="en-US"/>
        </w:rPr>
        <w:noBreakHyphen/>
        <w:t xml:space="preserve">saving for retirement. </w:t>
      </w:r>
      <w:r w:rsidRPr="00027624">
        <w:rPr>
          <w:rStyle w:val="normaltextrun"/>
          <w:rFonts w:cs="Calibri"/>
          <w:color w:val="000000"/>
          <w:szCs w:val="22"/>
          <w:shd w:val="clear" w:color="auto" w:fill="FFFFFF"/>
        </w:rPr>
        <w:t>Higher</w:t>
      </w:r>
      <w:r w:rsidRPr="00027624">
        <w:rPr>
          <w:rStyle w:val="normaltextrun"/>
          <w:rFonts w:cs="Calibri"/>
          <w:color w:val="000000"/>
          <w:szCs w:val="22"/>
          <w:shd w:val="clear" w:color="auto" w:fill="FFFFFF"/>
        </w:rPr>
        <w:noBreakHyphen/>
        <w:t>income earners are the most likely to achieve within the benchmark, with about 27 per cent projected to have retirement incomes that fall within the benchmark.</w:t>
      </w:r>
    </w:p>
    <w:p w14:paraId="591BF3E5" w14:textId="77777777" w:rsidR="0092760B" w:rsidRPr="00027624" w:rsidRDefault="0092760B" w:rsidP="00054173">
      <w:pPr>
        <w:pStyle w:val="Heading3"/>
      </w:pPr>
      <w:r w:rsidRPr="00027624">
        <w:rPr>
          <w:lang w:eastAsia="en-US"/>
        </w:rPr>
        <w:t>Career breaks</w:t>
      </w:r>
    </w:p>
    <w:p w14:paraId="20688B22" w14:textId="77777777" w:rsidR="0092760B" w:rsidRPr="00027624" w:rsidRDefault="0092760B" w:rsidP="002A2FAE">
      <w:pPr>
        <w:rPr>
          <w:lang w:eastAsia="en-US"/>
        </w:rPr>
      </w:pPr>
      <w:r w:rsidRPr="00027624">
        <w:rPr>
          <w:lang w:eastAsia="en-US"/>
        </w:rPr>
        <w:t>The central case assumes that an individual works a 40</w:t>
      </w:r>
      <w:r w:rsidR="00A8443E" w:rsidRPr="00027624">
        <w:rPr>
          <w:lang w:eastAsia="en-US"/>
        </w:rPr>
        <w:noBreakHyphen/>
      </w:r>
      <w:r w:rsidRPr="00027624">
        <w:rPr>
          <w:lang w:eastAsia="en-US"/>
        </w:rPr>
        <w:t>year career from age 27</w:t>
      </w:r>
      <w:r w:rsidR="00A8443E" w:rsidRPr="00027624">
        <w:rPr>
          <w:lang w:eastAsia="en-US"/>
        </w:rPr>
        <w:noBreakHyphen/>
      </w:r>
      <w:r w:rsidRPr="00027624">
        <w:rPr>
          <w:lang w:eastAsia="en-US"/>
        </w:rPr>
        <w:t>67. This is a simplifying assumption for modelling purposes. Many people would start work at a younger age but have a mid</w:t>
      </w:r>
      <w:r w:rsidR="00A8443E" w:rsidRPr="00027624">
        <w:rPr>
          <w:lang w:eastAsia="en-US"/>
        </w:rPr>
        <w:noBreakHyphen/>
      </w:r>
      <w:r w:rsidRPr="00027624">
        <w:rPr>
          <w:lang w:eastAsia="en-US"/>
        </w:rPr>
        <w:t>career break.</w:t>
      </w:r>
    </w:p>
    <w:p w14:paraId="65AE6340" w14:textId="77777777" w:rsidR="0092760B" w:rsidRPr="00027624" w:rsidRDefault="0092760B" w:rsidP="002A2FAE">
      <w:pPr>
        <w:rPr>
          <w:lang w:eastAsia="en-US"/>
        </w:rPr>
      </w:pPr>
      <w:r w:rsidRPr="00027624">
        <w:rPr>
          <w:b/>
          <w:bCs/>
          <w:lang w:eastAsia="en-US"/>
        </w:rPr>
        <w:t xml:space="preserve">Sensitivity analysis shows that the timing of career breaks does not substantially affect replacement rates. </w:t>
      </w:r>
      <w:r w:rsidRPr="00027624">
        <w:rPr>
          <w:lang w:eastAsia="en-US"/>
        </w:rPr>
        <w:t>For example, working from age 20</w:t>
      </w:r>
      <w:r w:rsidR="00A8443E" w:rsidRPr="00027624">
        <w:rPr>
          <w:lang w:eastAsia="en-US"/>
        </w:rPr>
        <w:noBreakHyphen/>
      </w:r>
      <w:r w:rsidRPr="00027624">
        <w:rPr>
          <w:lang w:eastAsia="en-US"/>
        </w:rPr>
        <w:t>67 with a career break from age 30</w:t>
      </w:r>
      <w:r w:rsidR="00A8443E" w:rsidRPr="00027624">
        <w:rPr>
          <w:lang w:eastAsia="en-US"/>
        </w:rPr>
        <w:noBreakHyphen/>
      </w:r>
      <w:r w:rsidRPr="00027624">
        <w:rPr>
          <w:lang w:eastAsia="en-US"/>
        </w:rPr>
        <w:t>36 gives a replacement rate of 84 per cent, 3 percentage points lower than the central case. In this example, lower incomes earned during younger ages are offset by longer accumulation periods.</w:t>
      </w:r>
    </w:p>
    <w:p w14:paraId="6E228E86" w14:textId="77777777" w:rsidR="0092760B" w:rsidRPr="00027624" w:rsidRDefault="0092760B" w:rsidP="00054173">
      <w:pPr>
        <w:pStyle w:val="Heading3"/>
      </w:pPr>
      <w:r w:rsidRPr="00027624">
        <w:t>Life expectancy</w:t>
      </w:r>
    </w:p>
    <w:p w14:paraId="3EC2A9AF" w14:textId="77777777" w:rsidR="0092760B" w:rsidRPr="00027624" w:rsidRDefault="0092760B" w:rsidP="002A2FAE">
      <w:r w:rsidRPr="00027624">
        <w:t>The average Australian commencing work today can expect to live to age 92</w:t>
      </w:r>
      <w:r w:rsidRPr="00027624">
        <w:fldChar w:fldCharType="begin"/>
      </w:r>
      <w:r w:rsidRPr="00027624">
        <w:instrText xml:space="preserve"> CITATION The15 \l 3081 </w:instrText>
      </w:r>
      <w:r w:rsidRPr="00027624">
        <w:fldChar w:fldCharType="separate"/>
      </w:r>
      <w:r w:rsidR="00E83F6E">
        <w:rPr>
          <w:noProof/>
        </w:rPr>
        <w:t xml:space="preserve"> (Commonwealth of Australia, 2015)</w:t>
      </w:r>
      <w:r w:rsidRPr="00027624">
        <w:fldChar w:fldCharType="end"/>
      </w:r>
      <w:r w:rsidRPr="00027624">
        <w:t xml:space="preserve"> and </w:t>
      </w:r>
      <w:r w:rsidR="00D50CC0" w:rsidRPr="00027624">
        <w:t>people</w:t>
      </w:r>
      <w:r w:rsidRPr="00027624">
        <w:t xml:space="preserve"> retiring at age 67 can expect about 25 years in retirement.</w:t>
      </w:r>
    </w:p>
    <w:p w14:paraId="4CF473EB" w14:textId="77777777" w:rsidR="0092760B" w:rsidRPr="00027624" w:rsidRDefault="0092760B" w:rsidP="002A2FAE">
      <w:r w:rsidRPr="00027624">
        <w:t xml:space="preserve">Longevity risk protection is important as it allows people to confidently draw down assets to fund their retirement. </w:t>
      </w:r>
      <w:r w:rsidRPr="00027624">
        <w:rPr>
          <w:b/>
        </w:rPr>
        <w:t>Without longevity protection, concern about running out of savings may contribute to retirees undertaking costly strategies to protect against the risk of running out of money,</w:t>
      </w:r>
      <w:r w:rsidRPr="00027624">
        <w:t xml:space="preserve"> including:</w:t>
      </w:r>
    </w:p>
    <w:p w14:paraId="590FD3F0" w14:textId="77777777" w:rsidR="0092760B" w:rsidRPr="00027624" w:rsidRDefault="0092760B" w:rsidP="0092760B">
      <w:pPr>
        <w:pStyle w:val="Bullet"/>
      </w:pPr>
      <w:r w:rsidRPr="00027624">
        <w:t>Drawing down the minimum from their superannuation assets and lowering their potential retirement living standards</w:t>
      </w:r>
    </w:p>
    <w:p w14:paraId="4F4288A9" w14:textId="77777777" w:rsidR="0092760B" w:rsidRPr="00027624" w:rsidRDefault="0092760B" w:rsidP="0092760B">
      <w:pPr>
        <w:pStyle w:val="Bullet"/>
      </w:pPr>
      <w:r w:rsidRPr="00027624">
        <w:t>Saving more when working, lowering their working</w:t>
      </w:r>
      <w:r w:rsidR="00885DFE" w:rsidRPr="00027624">
        <w:t>-</w:t>
      </w:r>
      <w:r w:rsidRPr="00027624">
        <w:t>life living standards</w:t>
      </w:r>
    </w:p>
    <w:p w14:paraId="46819981" w14:textId="77777777" w:rsidR="0092760B" w:rsidRPr="00027624" w:rsidRDefault="0092760B" w:rsidP="002A2FAE">
      <w:r w:rsidRPr="00027624">
        <w:t xml:space="preserve">To account for longevity risk (the risk of outliving savings), the modelling assumes that </w:t>
      </w:r>
      <w:r w:rsidR="00D50CC0" w:rsidRPr="00027624">
        <w:t>people</w:t>
      </w:r>
      <w:r w:rsidRPr="00027624">
        <w:t xml:space="preserve"> purchase a deferred longevity product that starts paying an income stream at age 92 (around life expectancy) and maintains income in real terms in combination with the Age Pension.</w:t>
      </w:r>
    </w:p>
    <w:p w14:paraId="74EAC918" w14:textId="77777777" w:rsidR="0092760B" w:rsidRPr="00027624" w:rsidRDefault="0092760B" w:rsidP="002A2FAE">
      <w:r w:rsidRPr="00027624">
        <w:t xml:space="preserve">The assumption is that </w:t>
      </w:r>
      <w:r w:rsidR="00D50CC0" w:rsidRPr="00027624">
        <w:t>people</w:t>
      </w:r>
      <w:r w:rsidRPr="00027624">
        <w:t xml:space="preserve"> will invest 5 per cent of upfront balances to provide a consistent real income stream from age 92. A relatively small proportion of upfront balances can provide longevity protection as:</w:t>
      </w:r>
    </w:p>
    <w:p w14:paraId="6E3198C0" w14:textId="77777777" w:rsidR="0092760B" w:rsidRPr="00027624" w:rsidRDefault="0092760B" w:rsidP="0092760B">
      <w:pPr>
        <w:pStyle w:val="Bullet"/>
      </w:pPr>
      <w:r w:rsidRPr="00027624">
        <w:t>The accumulation of investment returns is substantial over 25 years between 67 and 92, even with conservative assumptions regarding after</w:t>
      </w:r>
      <w:r w:rsidR="00A8443E" w:rsidRPr="00027624">
        <w:noBreakHyphen/>
      </w:r>
      <w:r w:rsidRPr="00027624">
        <w:t>fee investment returns for the product</w:t>
      </w:r>
    </w:p>
    <w:p w14:paraId="7FBDE17A" w14:textId="77777777" w:rsidR="0092760B" w:rsidRPr="00027624" w:rsidRDefault="0092760B" w:rsidP="0092760B">
      <w:pPr>
        <w:pStyle w:val="Bullet"/>
      </w:pPr>
      <w:r w:rsidRPr="00027624">
        <w:t xml:space="preserve">Many people will not reach the age where the product begins to pay an income stream, leading to </w:t>
      </w:r>
      <w:r w:rsidR="00A8443E" w:rsidRPr="00027624">
        <w:t>‘</w:t>
      </w:r>
      <w:r w:rsidRPr="00027624">
        <w:t>mortality credits</w:t>
      </w:r>
      <w:r w:rsidR="00A8443E" w:rsidRPr="00027624">
        <w:t>’</w:t>
      </w:r>
      <w:r w:rsidRPr="00027624">
        <w:t xml:space="preserve"> that are paid to people who did reach that age, supporting higher payments</w:t>
      </w:r>
    </w:p>
    <w:p w14:paraId="327FFC88" w14:textId="77777777" w:rsidR="0092760B" w:rsidRPr="00027624" w:rsidRDefault="0092760B" w:rsidP="0092760B">
      <w:pPr>
        <w:pStyle w:val="Bullet"/>
      </w:pPr>
      <w:r w:rsidRPr="00027624">
        <w:t>The Age Pension is also a substantial longevity protection product, providing a significant proportion of incomes at later ages in life</w:t>
      </w:r>
    </w:p>
    <w:p w14:paraId="7307C6F1" w14:textId="649019BC" w:rsidR="0092760B" w:rsidRPr="00027624" w:rsidRDefault="0092760B" w:rsidP="002A2FAE">
      <w:r w:rsidRPr="00027624">
        <w:t>The benefit of longevity products is demonstrated by assessing the impact of longevity risk on retirement income with and without a longevity product (</w:t>
      </w:r>
      <w:r w:rsidR="009F1DD2">
        <w:fldChar w:fldCharType="begin"/>
      </w:r>
      <w:r w:rsidR="009F1DD2">
        <w:instrText xml:space="preserve"> REF _Ref45886981 \r \h </w:instrText>
      </w:r>
      <w:r w:rsidR="009F1DD2">
        <w:fldChar w:fldCharType="separate"/>
      </w:r>
      <w:r w:rsidR="00891058">
        <w:t>Chart 2C-29</w:t>
      </w:r>
      <w:r w:rsidR="009F1DD2">
        <w:fldChar w:fldCharType="end"/>
      </w:r>
      <w:r w:rsidRPr="00027624">
        <w:t>) (</w:t>
      </w:r>
      <w:r w:rsidRPr="00027624">
        <w:rPr>
          <w:rFonts w:eastAsiaTheme="minorEastAsia"/>
          <w:i/>
          <w:lang w:eastAsia="en-US"/>
        </w:rPr>
        <w:t xml:space="preserve">see </w:t>
      </w:r>
      <w:r w:rsidRPr="00027624">
        <w:rPr>
          <w:i/>
        </w:rPr>
        <w:t>Appendix 6A. Detailed modelling methods and assumptions</w:t>
      </w:r>
      <w:r w:rsidRPr="00027624">
        <w:t xml:space="preserve"> for more details on the longevity product).</w:t>
      </w:r>
    </w:p>
    <w:p w14:paraId="0C680E14" w14:textId="77777777" w:rsidR="0092760B" w:rsidRPr="00027624" w:rsidRDefault="0092760B" w:rsidP="002A2FAE">
      <w:r w:rsidRPr="00027624">
        <w:rPr>
          <w:b/>
        </w:rPr>
        <w:lastRenderedPageBreak/>
        <w:t xml:space="preserve">Even without longevity protection, retirement incomes remain within or exceed the replacement rate benchmark for median earners across all ages. </w:t>
      </w:r>
      <w:r w:rsidRPr="00027624">
        <w:t>For average earners in the 60</w:t>
      </w:r>
      <w:r w:rsidRPr="00027624">
        <w:rPr>
          <w:vertAlign w:val="superscript"/>
        </w:rPr>
        <w:t>th</w:t>
      </w:r>
      <w:r w:rsidRPr="00027624">
        <w:t xml:space="preserve"> percentile, incomes drop below the benchmark after age 92. Replacement rates begin to rise after this point as the Age Pension is indexed to wages and grows in real terms.</w:t>
      </w:r>
    </w:p>
    <w:p w14:paraId="0EF0D8EE" w14:textId="77777777" w:rsidR="0092760B" w:rsidRPr="00027624" w:rsidRDefault="0092760B" w:rsidP="002A2FAE">
      <w:r w:rsidRPr="00027624">
        <w:t>Arguably, without longevity protection people would not have the confidence to completely use their assets. A slower drawdown strategy would reduce incomes in early retirement and boost incomes after age 91 compared to the central case assumption.</w:t>
      </w:r>
    </w:p>
    <w:p w14:paraId="48BED6C3" w14:textId="77777777" w:rsidR="0092760B" w:rsidRPr="00027624" w:rsidRDefault="0092760B" w:rsidP="002A2FAE">
      <w:r w:rsidRPr="00027624">
        <w:rPr>
          <w:b/>
          <w:bCs/>
        </w:rPr>
        <w:t>Few people in Australia purchase longevity products in retirement.</w:t>
      </w:r>
      <w:r w:rsidRPr="00027624">
        <w:t xml:space="preserve"> To help address this, the Government has proposed the </w:t>
      </w:r>
      <w:r w:rsidR="00814818" w:rsidRPr="00027624">
        <w:t>Retirement Income Covenant</w:t>
      </w:r>
      <w:r w:rsidRPr="00027624">
        <w:t>. The covenant would ensure funds have a strategy to provide high and stable retirement incomes for retirees, improving the market for longevity products (</w:t>
      </w:r>
      <w:r w:rsidRPr="00027624">
        <w:rPr>
          <w:i/>
        </w:rPr>
        <w:t>5A. Cohesion).</w:t>
      </w:r>
      <w:r w:rsidRPr="00027624">
        <w:t xml:space="preserve"> The approach modelled throughout the review illustrates what the covenant could achieve.</w:t>
      </w:r>
    </w:p>
    <w:p w14:paraId="5C41C86F" w14:textId="77777777" w:rsidR="0092760B" w:rsidRPr="00027624" w:rsidRDefault="0092760B" w:rsidP="00325A8D">
      <w:pPr>
        <w:pStyle w:val="ChartMainHeading"/>
      </w:pPr>
      <w:bookmarkStart w:id="586" w:name="_Ref45886981"/>
      <w:r w:rsidRPr="00027624">
        <w:t>Projected annual replacement rates with and without longevity protection</w:t>
      </w:r>
      <w:bookmarkEnd w:id="586"/>
    </w:p>
    <w:tbl>
      <w:tblPr>
        <w:tblW w:w="5000" w:type="pct"/>
        <w:tblLayout w:type="fixed"/>
        <w:tblCellMar>
          <w:left w:w="0" w:type="dxa"/>
          <w:right w:w="0" w:type="dxa"/>
        </w:tblCellMar>
        <w:tblLook w:val="01E0" w:firstRow="1" w:lastRow="1" w:firstColumn="1" w:lastColumn="1" w:noHBand="0" w:noVBand="0"/>
      </w:tblPr>
      <w:tblGrid>
        <w:gridCol w:w="4320"/>
        <w:gridCol w:w="4750"/>
      </w:tblGrid>
      <w:tr w:rsidR="0092760B" w:rsidRPr="00027624" w14:paraId="4B1DC8B2" w14:textId="77777777" w:rsidTr="002A2FAE">
        <w:trPr>
          <w:cantSplit/>
          <w:trHeight w:val="340"/>
        </w:trPr>
        <w:tc>
          <w:tcPr>
            <w:tcW w:w="4321" w:type="dxa"/>
          </w:tcPr>
          <w:p w14:paraId="62B3431B" w14:textId="77777777" w:rsidR="0092760B" w:rsidRPr="00027624" w:rsidRDefault="0092760B" w:rsidP="002A2FAE">
            <w:pPr>
              <w:pStyle w:val="ChartSecondHeading"/>
            </w:pPr>
            <w:r w:rsidRPr="00027624">
              <w:rPr>
                <w:noProof/>
              </w:rPr>
              <w:t>Median earner</w:t>
            </w:r>
          </w:p>
        </w:tc>
        <w:tc>
          <w:tcPr>
            <w:tcW w:w="4751" w:type="dxa"/>
          </w:tcPr>
          <w:p w14:paraId="12225B85" w14:textId="77777777" w:rsidR="0092760B" w:rsidRPr="00027624" w:rsidRDefault="0092760B" w:rsidP="002A2FAE">
            <w:pPr>
              <w:pStyle w:val="ChartSecondHeading"/>
              <w:rPr>
                <w:noProof/>
              </w:rPr>
            </w:pPr>
            <w:r w:rsidRPr="00027624">
              <w:rPr>
                <w:noProof/>
              </w:rPr>
              <w:t>60</w:t>
            </w:r>
            <w:r w:rsidRPr="00027624">
              <w:rPr>
                <w:noProof/>
                <w:vertAlign w:val="superscript"/>
              </w:rPr>
              <w:t>th</w:t>
            </w:r>
            <w:r w:rsidRPr="00027624">
              <w:rPr>
                <w:noProof/>
              </w:rPr>
              <w:t xml:space="preserve"> percentile</w:t>
            </w:r>
          </w:p>
        </w:tc>
      </w:tr>
      <w:tr w:rsidR="0092760B" w:rsidRPr="00027624" w14:paraId="5749383F" w14:textId="77777777" w:rsidTr="002A2FAE">
        <w:trPr>
          <w:cantSplit/>
          <w:trHeight w:val="95"/>
        </w:trPr>
        <w:tc>
          <w:tcPr>
            <w:tcW w:w="4321" w:type="dxa"/>
          </w:tcPr>
          <w:p w14:paraId="50A9242A" w14:textId="77777777" w:rsidR="0092760B" w:rsidRPr="00027624" w:rsidRDefault="0092760B" w:rsidP="002A2FAE">
            <w:pPr>
              <w:pStyle w:val="ChartGraphic"/>
            </w:pPr>
            <w:r w:rsidRPr="00027624">
              <w:br w:type="page"/>
            </w:r>
            <w:r w:rsidR="007A3D80">
              <w:rPr>
                <w:noProof/>
              </w:rPr>
              <w:drawing>
                <wp:inline distT="0" distB="0" distL="0" distR="0" wp14:anchorId="035A4283" wp14:editId="38B64E2B">
                  <wp:extent cx="2743200" cy="2880360"/>
                  <wp:effectExtent l="0" t="0" r="0" b="0"/>
                  <wp:docPr id="1929377057" name="Picture 1929377057" descr="This chart shows that without longevity protection retirement incomes for the median earner would decrease at age 92 but remain within the benchmark " title="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43200" cy="2880360"/>
                          </a:xfrm>
                          <a:prstGeom prst="rect">
                            <a:avLst/>
                          </a:prstGeom>
                          <a:noFill/>
                        </pic:spPr>
                      </pic:pic>
                    </a:graphicData>
                  </a:graphic>
                </wp:inline>
              </w:drawing>
            </w:r>
          </w:p>
        </w:tc>
        <w:tc>
          <w:tcPr>
            <w:tcW w:w="4751" w:type="dxa"/>
          </w:tcPr>
          <w:p w14:paraId="03DD2E63" w14:textId="77777777" w:rsidR="0092760B" w:rsidRPr="00027624" w:rsidRDefault="007A3D80" w:rsidP="002A2FAE">
            <w:pPr>
              <w:pStyle w:val="ChartGraphic"/>
            </w:pPr>
            <w:r>
              <w:rPr>
                <w:noProof/>
              </w:rPr>
              <w:drawing>
                <wp:inline distT="0" distB="0" distL="0" distR="0" wp14:anchorId="44E19266" wp14:editId="1CBA3789">
                  <wp:extent cx="2735580" cy="2880360"/>
                  <wp:effectExtent l="0" t="0" r="7620" b="0"/>
                  <wp:docPr id="1929377059" name="Picture 1929377059" descr="This chart shows that without longevity protection retirement incomes at the 60th percentile would fall below the benchmark at age 92 until about age 100." title="60th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35580" cy="2880360"/>
                          </a:xfrm>
                          <a:prstGeom prst="rect">
                            <a:avLst/>
                          </a:prstGeom>
                          <a:noFill/>
                        </pic:spPr>
                      </pic:pic>
                    </a:graphicData>
                  </a:graphic>
                </wp:inline>
              </w:drawing>
            </w:r>
          </w:p>
        </w:tc>
      </w:tr>
    </w:tbl>
    <w:p w14:paraId="2EFFB024" w14:textId="77777777" w:rsidR="0092760B" w:rsidRPr="00027624" w:rsidRDefault="0092760B" w:rsidP="002A2FAE">
      <w:pPr>
        <w:pStyle w:val="ChartorTableNote"/>
      </w:pPr>
      <w:r w:rsidRPr="00027624">
        <w:t>Note: Annual replacement rate refers to the proportion of working</w:t>
      </w:r>
      <w:r w:rsidR="00A8443E" w:rsidRPr="00027624">
        <w:noBreakHyphen/>
      </w:r>
      <w:r w:rsidRPr="00027624">
        <w:t>life income replaced at that particular age. Source: Cameo modelling undertaken for the review.</w:t>
      </w:r>
    </w:p>
    <w:p w14:paraId="22151418" w14:textId="77777777" w:rsidR="0092760B" w:rsidRPr="00027624" w:rsidRDefault="0092760B" w:rsidP="00054173">
      <w:pPr>
        <w:pStyle w:val="Heading3"/>
      </w:pPr>
      <w:r w:rsidRPr="00027624">
        <w:t>Investment risk</w:t>
      </w:r>
    </w:p>
    <w:p w14:paraId="1DB0AD58" w14:textId="77777777" w:rsidR="0092760B" w:rsidRPr="00027624" w:rsidRDefault="0092760B" w:rsidP="002A2FAE">
      <w:r w:rsidRPr="00027624">
        <w:t>Variations in investment returns alter retirement outcomes. The central case assumes investment returns are calibrated to how retirees typically invest their portfolios: with 40 per cent in defensive assets and 60 per cent equities. The impact of investment returns on retirement incomes is estimated using a model by the Australian Government Actuary.</w:t>
      </w:r>
      <w:r w:rsidRPr="00027624">
        <w:rPr>
          <w:rStyle w:val="FootnoteReference"/>
        </w:rPr>
        <w:footnoteReference w:id="110"/>
      </w:r>
    </w:p>
    <w:p w14:paraId="1DF6CD88" w14:textId="77777777" w:rsidR="0092760B" w:rsidRPr="00027624" w:rsidRDefault="0092760B" w:rsidP="002A2FAE">
      <w:r w:rsidRPr="00027624">
        <w:t>The modelled portfolio has a mean return of 6.2 per cent (equal to the retirement phase earnings assumption in the review</w:t>
      </w:r>
      <w:r w:rsidR="00A8443E" w:rsidRPr="00027624">
        <w:t>’</w:t>
      </w:r>
      <w:r w:rsidRPr="00027624">
        <w:t>s modelling) and a standard deviation of 8.3 per cent. This standard deviation is similar to that for the average annual superannuation return</w:t>
      </w:r>
      <w:sdt>
        <w:sdtPr>
          <w:id w:val="-1473361746"/>
          <w:citation/>
        </w:sdtPr>
        <w:sdtEndPr/>
        <w:sdtContent>
          <w:r w:rsidR="00062066" w:rsidRPr="00027624">
            <w:fldChar w:fldCharType="begin"/>
          </w:r>
          <w:r w:rsidR="00062066" w:rsidRPr="00027624">
            <w:instrText xml:space="preserve">CITATION APR19 \t  \l 3081 </w:instrText>
          </w:r>
          <w:r w:rsidR="00062066" w:rsidRPr="00027624">
            <w:fldChar w:fldCharType="separate"/>
          </w:r>
          <w:r w:rsidR="00E83F6E">
            <w:rPr>
              <w:noProof/>
            </w:rPr>
            <w:t xml:space="preserve"> (Australian Prudential Regulation Authority, 2020a)</w:t>
          </w:r>
          <w:r w:rsidR="00062066" w:rsidRPr="00027624">
            <w:fldChar w:fldCharType="end"/>
          </w:r>
        </w:sdtContent>
      </w:sdt>
      <w:r w:rsidRPr="00027624">
        <w:t>.</w:t>
      </w:r>
    </w:p>
    <w:p w14:paraId="2037959A" w14:textId="10E2C375" w:rsidR="0092760B" w:rsidRPr="00027624" w:rsidRDefault="0092760B" w:rsidP="002A2FAE">
      <w:r w:rsidRPr="00027624">
        <w:rPr>
          <w:b/>
        </w:rPr>
        <w:t>Even when investment returns vary, replacement rates still exceed the benchmark for the median earner.</w:t>
      </w:r>
      <w:r w:rsidRPr="00027624">
        <w:t xml:space="preserve"> Average replacement rates at age 85 range from 77</w:t>
      </w:r>
      <w:r w:rsidR="00A8443E" w:rsidRPr="00027624">
        <w:noBreakHyphen/>
      </w:r>
      <w:r w:rsidRPr="00027624">
        <w:t>90 per cent for the 25</w:t>
      </w:r>
      <w:r w:rsidRPr="00027624">
        <w:rPr>
          <w:vertAlign w:val="superscript"/>
        </w:rPr>
        <w:t>th</w:t>
      </w:r>
      <w:r w:rsidRPr="00027624">
        <w:t xml:space="preserve"> and </w:t>
      </w:r>
      <w:r w:rsidRPr="00027624">
        <w:lastRenderedPageBreak/>
        <w:t>75</w:t>
      </w:r>
      <w:r w:rsidRPr="00027624">
        <w:rPr>
          <w:vertAlign w:val="superscript"/>
        </w:rPr>
        <w:t>th</w:t>
      </w:r>
      <w:r w:rsidRPr="00027624">
        <w:t> percentile investment return results (compared with 87 per cent with no variability). The Age Pension means testing narrows the range of replacement rates as lower returns are partially offset by higher pension payments, and vice versa (</w:t>
      </w:r>
      <w:r w:rsidRPr="00027624">
        <w:fldChar w:fldCharType="begin"/>
      </w:r>
      <w:r w:rsidRPr="00027624">
        <w:instrText xml:space="preserve"> REF _Ref44351209 \r \h  \* MERGEFORMAT </w:instrText>
      </w:r>
      <w:r w:rsidRPr="00027624">
        <w:fldChar w:fldCharType="separate"/>
      </w:r>
      <w:r w:rsidR="00891058">
        <w:t>Chart 2C-30</w:t>
      </w:r>
      <w:r w:rsidRPr="00027624">
        <w:fldChar w:fldCharType="end"/>
      </w:r>
      <w:r w:rsidRPr="00027624">
        <w:t>).</w:t>
      </w:r>
    </w:p>
    <w:p w14:paraId="0F72FB75" w14:textId="77777777" w:rsidR="0092760B" w:rsidRPr="00027624" w:rsidRDefault="0092760B" w:rsidP="00325A8D">
      <w:pPr>
        <w:pStyle w:val="ChartMainHeading"/>
      </w:pPr>
      <w:bookmarkStart w:id="587" w:name="_Ref44351209"/>
      <w:r w:rsidRPr="00027624">
        <w:t>Projected replacement rates under variable investment returns, median earner</w:t>
      </w:r>
      <w:bookmarkEnd w:id="587"/>
    </w:p>
    <w:p w14:paraId="4925680F" w14:textId="77777777" w:rsidR="0092760B" w:rsidRPr="00027624" w:rsidRDefault="002C1BEA" w:rsidP="008154EB">
      <w:pPr>
        <w:pStyle w:val="ChartGraphic"/>
      </w:pPr>
      <w:r>
        <w:rPr>
          <w:noProof/>
        </w:rPr>
        <w:drawing>
          <wp:inline distT="0" distB="0" distL="0" distR="0" wp14:anchorId="2EF14C80" wp14:editId="7A109A25">
            <wp:extent cx="5577840" cy="2522220"/>
            <wp:effectExtent l="0" t="0" r="3810" b="0"/>
            <wp:docPr id="1929377060" name="Picture 1929377060" descr="This chart shows that, for the median earner, replacement rates meet or exceed the benchmark even when investment returns vary. Investment returns in the 10th percentile deliver replacement rates within the benchmark. Investment returns in the 25th percentile and above deliver replacement rates above the benchmark." title="Chart 2C-30 Projected replacement rates under variable investment returns, 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3B15D5E6" w14:textId="77777777" w:rsidR="0092760B" w:rsidRPr="00027624" w:rsidRDefault="0092760B" w:rsidP="002A2FAE">
      <w:pPr>
        <w:pStyle w:val="ChartorTableNote"/>
      </w:pPr>
      <w:r w:rsidRPr="00027624">
        <w:t>Note: Results are based on the Australian Government Actuary model calibrated to results for the median earner in 2060 under review modelling. Drawdown strategy is based on the review</w:t>
      </w:r>
      <w:r w:rsidR="00A8443E" w:rsidRPr="00027624">
        <w:t>’</w:t>
      </w:r>
      <w:r w:rsidRPr="00027624">
        <w:t>s drawdown assumption with the purchase of a longevity protection product that begins to pay at age 92 and does not increase real incomes. Source: Review analysis using Australian Government Actuary modelling provided to the review.</w:t>
      </w:r>
    </w:p>
    <w:p w14:paraId="4FBBB936" w14:textId="77777777" w:rsidR="0092760B" w:rsidRPr="00027624" w:rsidRDefault="0092760B" w:rsidP="00054173">
      <w:pPr>
        <w:pStyle w:val="Heading3"/>
      </w:pPr>
      <w:r w:rsidRPr="00027624">
        <w:t>Low Superannuation Guarantee coverage</w:t>
      </w:r>
    </w:p>
    <w:p w14:paraId="6FBD3298" w14:textId="77777777" w:rsidR="0092760B" w:rsidRPr="00027624" w:rsidRDefault="0092760B" w:rsidP="002A2FAE">
      <w:r w:rsidRPr="00027624">
        <w:t xml:space="preserve">The central case assumes employees are paid full SG contributions. But some </w:t>
      </w:r>
      <w:r w:rsidR="00D50CC0" w:rsidRPr="00027624">
        <w:t>people</w:t>
      </w:r>
      <w:r w:rsidRPr="00027624">
        <w:t xml:space="preserve"> may not receive SG payments due to either their employment arrangements or non</w:t>
      </w:r>
      <w:r w:rsidR="00A8443E" w:rsidRPr="00027624">
        <w:noBreakHyphen/>
      </w:r>
      <w:r w:rsidRPr="00027624">
        <w:t>compliance by their employer. The ATO estimates 3.9 per cent of superannuation was unpaid in 2016</w:t>
      </w:r>
      <w:r w:rsidR="00A8443E" w:rsidRPr="00027624">
        <w:noBreakHyphen/>
      </w:r>
      <w:r w:rsidRPr="00027624">
        <w:t>17, down from 6.5 per cent in 2011</w:t>
      </w:r>
      <w:r w:rsidR="00A8443E" w:rsidRPr="00027624">
        <w:noBreakHyphen/>
      </w:r>
      <w:r w:rsidRPr="00027624">
        <w:t>12</w:t>
      </w:r>
      <w:sdt>
        <w:sdtPr>
          <w:id w:val="-893958276"/>
          <w:citation/>
        </w:sdtPr>
        <w:sdtEndPr/>
        <w:sdtContent>
          <w:r w:rsidRPr="00027624">
            <w:fldChar w:fldCharType="begin"/>
          </w:r>
          <w:r w:rsidRPr="00027624">
            <w:instrText xml:space="preserve"> CITATION ATO0e \l 3081 </w:instrText>
          </w:r>
          <w:r w:rsidRPr="00027624">
            <w:fldChar w:fldCharType="separate"/>
          </w:r>
          <w:r w:rsidR="00E83F6E">
            <w:rPr>
              <w:noProof/>
            </w:rPr>
            <w:t xml:space="preserve"> (ATO, 2020e)</w:t>
          </w:r>
          <w:r w:rsidRPr="00027624">
            <w:fldChar w:fldCharType="end"/>
          </w:r>
        </w:sdtContent>
      </w:sdt>
      <w:r w:rsidRPr="00027624">
        <w:t>. For further discussion of non</w:t>
      </w:r>
      <w:r w:rsidR="00A8443E" w:rsidRPr="00027624">
        <w:noBreakHyphen/>
      </w:r>
      <w:r w:rsidRPr="00027624">
        <w:t>payment of superannuation see</w:t>
      </w:r>
      <w:r w:rsidRPr="00027624">
        <w:rPr>
          <w:i/>
        </w:rPr>
        <w:t xml:space="preserve"> </w:t>
      </w:r>
      <w:r w:rsidR="009C3D63">
        <w:rPr>
          <w:i/>
        </w:rPr>
        <w:t>3D. SG coverage</w:t>
      </w:r>
      <w:r w:rsidRPr="00027624">
        <w:t>.</w:t>
      </w:r>
    </w:p>
    <w:p w14:paraId="484AD33A" w14:textId="77777777" w:rsidR="0092760B" w:rsidRPr="00027624" w:rsidRDefault="0092760B" w:rsidP="002A2FAE">
      <w:r w:rsidRPr="00027624">
        <w:t>To assess the sensitivity of SG non</w:t>
      </w:r>
      <w:r w:rsidR="00A8443E" w:rsidRPr="00027624">
        <w:noBreakHyphen/>
      </w:r>
      <w:r w:rsidRPr="00027624">
        <w:t xml:space="preserve">payment, the modelling assumes </w:t>
      </w:r>
      <w:r w:rsidR="00D50CC0" w:rsidRPr="00027624">
        <w:t>people</w:t>
      </w:r>
      <w:r w:rsidRPr="00027624">
        <w:t xml:space="preserve"> are not paid SG contributions for eight years, or one</w:t>
      </w:r>
      <w:r w:rsidR="00A8443E" w:rsidRPr="00027624">
        <w:noBreakHyphen/>
      </w:r>
      <w:r w:rsidRPr="00027624">
        <w:t>fifth of their working life, between ages 35 and 42.</w:t>
      </w:r>
    </w:p>
    <w:p w14:paraId="79962205" w14:textId="19B5C715" w:rsidR="0092760B" w:rsidRPr="00027624" w:rsidRDefault="0092760B" w:rsidP="002A2FAE">
      <w:r w:rsidRPr="00027624">
        <w:t>Under this scenario, low</w:t>
      </w:r>
      <w:r w:rsidR="00A8443E" w:rsidRPr="00027624">
        <w:noBreakHyphen/>
      </w:r>
      <w:r w:rsidRPr="00027624">
        <w:t xml:space="preserve"> and middle</w:t>
      </w:r>
      <w:r w:rsidR="00A8443E" w:rsidRPr="00027624">
        <w:noBreakHyphen/>
      </w:r>
      <w:r w:rsidRPr="00027624">
        <w:t>income earners with low coverage can still expect replacement rates above the benchmark (</w:t>
      </w:r>
      <w:r w:rsidRPr="00027624">
        <w:fldChar w:fldCharType="begin"/>
      </w:r>
      <w:r w:rsidRPr="00027624">
        <w:instrText xml:space="preserve"> REF _Ref44351322 \r \h  \* MERGEFORMAT </w:instrText>
      </w:r>
      <w:r w:rsidRPr="00027624">
        <w:fldChar w:fldCharType="separate"/>
      </w:r>
      <w:r w:rsidR="00891058">
        <w:t>Chart 2C-31</w:t>
      </w:r>
      <w:r w:rsidRPr="00027624">
        <w:fldChar w:fldCharType="end"/>
      </w:r>
      <w:r w:rsidRPr="00027624">
        <w:t>). The Age Pension replaces around a third to a half of the income for middle</w:t>
      </w:r>
      <w:r w:rsidR="00A8443E" w:rsidRPr="00027624">
        <w:noBreakHyphen/>
      </w:r>
      <w:r w:rsidRPr="00027624">
        <w:t>income earners. Higher</w:t>
      </w:r>
      <w:r w:rsidR="00A8443E" w:rsidRPr="00027624">
        <w:noBreakHyphen/>
      </w:r>
      <w:r w:rsidRPr="00027624">
        <w:t>income earners have larger reductions in their replacement rates as they receive smaller offsets from the Age Pension.</w:t>
      </w:r>
    </w:p>
    <w:p w14:paraId="0FA424BD" w14:textId="77777777" w:rsidR="0092760B" w:rsidRPr="00027624" w:rsidRDefault="0092760B" w:rsidP="00325A8D">
      <w:pPr>
        <w:pStyle w:val="ChartMainHeading"/>
      </w:pPr>
      <w:bookmarkStart w:id="588" w:name="_Ref44351322"/>
      <w:r w:rsidRPr="00027624">
        <w:lastRenderedPageBreak/>
        <w:t>Projected replacement rates with low SG coverage</w:t>
      </w:r>
      <w:bookmarkEnd w:id="588"/>
    </w:p>
    <w:p w14:paraId="27221125" w14:textId="77777777" w:rsidR="0092760B" w:rsidRPr="00027624" w:rsidRDefault="003E71B7" w:rsidP="002A2FAE">
      <w:pPr>
        <w:pStyle w:val="ChartGraphic"/>
      </w:pPr>
      <w:r>
        <w:rPr>
          <w:noProof/>
        </w:rPr>
        <w:drawing>
          <wp:inline distT="0" distB="0" distL="0" distR="0" wp14:anchorId="69F680DD" wp14:editId="30BA8F34">
            <wp:extent cx="5577840" cy="2522220"/>
            <wp:effectExtent l="0" t="0" r="3810" b="0"/>
            <wp:docPr id="13" name="Picture 13" descr="This chart shows that lower- and middle-income earners with low superannuation coverage are projected to have replacement rates within or above the 65-75 per cent benchmark. It shows the 80th and 90th percentiles would have replacement rates below the benchmark with lower SG coverage." title="2C-31 Projected replacement rates with low SG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0F891E7" w14:textId="77777777" w:rsidR="0092760B" w:rsidRPr="00027624" w:rsidRDefault="0092760B" w:rsidP="008154EB">
      <w:pPr>
        <w:pStyle w:val="ChartorTableNote"/>
      </w:pPr>
      <w:r w:rsidRPr="00027624">
        <w:t>Note: Low SG coverage scenario removes SG contributions for eight years from age 35</w:t>
      </w:r>
      <w:r w:rsidR="00A8443E" w:rsidRPr="00027624">
        <w:noBreakHyphen/>
      </w:r>
      <w:r w:rsidRPr="00027624">
        <w:t>42. Source: Cameo modelling undertaken for the review.</w:t>
      </w:r>
    </w:p>
    <w:p w14:paraId="3B02467A" w14:textId="77777777" w:rsidR="0092760B" w:rsidRPr="00027624" w:rsidRDefault="0092760B" w:rsidP="00054173">
      <w:pPr>
        <w:pStyle w:val="Heading3"/>
      </w:pPr>
      <w:r w:rsidRPr="00027624">
        <w:t>Salary sacrificing</w:t>
      </w:r>
    </w:p>
    <w:p w14:paraId="61567DF3" w14:textId="77777777" w:rsidR="0092760B" w:rsidRPr="00027624" w:rsidRDefault="0092760B" w:rsidP="002A2FAE">
      <w:r w:rsidRPr="00027624">
        <w:t xml:space="preserve">The central case assumes employees make extra concessional contributions (salary sacrifice) into superannuation. ATO ALife longitudinal tax data shows </w:t>
      </w:r>
      <w:r w:rsidR="00885DFE" w:rsidRPr="00027624">
        <w:t xml:space="preserve">that </w:t>
      </w:r>
      <w:r w:rsidRPr="00027624">
        <w:t>most people consistently make salary sacrifice contributions at higher incomes, where these contributions matter most to retirement incomes.</w:t>
      </w:r>
    </w:p>
    <w:p w14:paraId="4E2AC5FE" w14:textId="77777777" w:rsidR="0092760B" w:rsidRPr="00027624" w:rsidRDefault="0092760B" w:rsidP="002A2FAE">
      <w:r w:rsidRPr="00027624">
        <w:t xml:space="preserve">However, some </w:t>
      </w:r>
      <w:r w:rsidR="00D50CC0" w:rsidRPr="00027624">
        <w:t>people</w:t>
      </w:r>
      <w:r w:rsidRPr="00027624">
        <w:t xml:space="preserve"> do not make voluntary contributions, whether due to choice or financial constraints. To cover this situation, a scenario is included with no salary sacrificing.</w:t>
      </w:r>
    </w:p>
    <w:p w14:paraId="59FA7EA2" w14:textId="2B4D3C33" w:rsidR="0092760B" w:rsidRPr="00027624" w:rsidRDefault="0092760B" w:rsidP="002A2FAE">
      <w:r w:rsidRPr="00027624">
        <w:rPr>
          <w:b/>
        </w:rPr>
        <w:t>Without salary sacrificing, lower</w:t>
      </w:r>
      <w:r w:rsidR="00A8443E" w:rsidRPr="00027624">
        <w:rPr>
          <w:b/>
        </w:rPr>
        <w:noBreakHyphen/>
      </w:r>
      <w:r w:rsidRPr="00027624">
        <w:rPr>
          <w:b/>
        </w:rPr>
        <w:t xml:space="preserve"> and middle</w:t>
      </w:r>
      <w:r w:rsidR="00A8443E" w:rsidRPr="00027624">
        <w:rPr>
          <w:b/>
        </w:rPr>
        <w:noBreakHyphen/>
      </w:r>
      <w:r w:rsidRPr="00027624">
        <w:rPr>
          <w:b/>
        </w:rPr>
        <w:t>income earners can still expect replacement rates above the 65</w:t>
      </w:r>
      <w:r w:rsidR="00A8443E" w:rsidRPr="00027624">
        <w:rPr>
          <w:b/>
        </w:rPr>
        <w:noBreakHyphen/>
      </w:r>
      <w:r w:rsidRPr="00027624">
        <w:rPr>
          <w:b/>
        </w:rPr>
        <w:t>75 per cent replacement benchmark.</w:t>
      </w:r>
      <w:r w:rsidRPr="00027624">
        <w:t xml:space="preserve"> For example, the median earner</w:t>
      </w:r>
      <w:r w:rsidR="00A8443E" w:rsidRPr="00027624">
        <w:t>’</w:t>
      </w:r>
      <w:r w:rsidRPr="00027624">
        <w:t>s replacement rate falls about 2 percentage points but remains above the benchmark (</w:t>
      </w:r>
      <w:r w:rsidRPr="00027624">
        <w:fldChar w:fldCharType="begin"/>
      </w:r>
      <w:r w:rsidRPr="00027624">
        <w:instrText xml:space="preserve"> REF _Ref44351378 \r \h  \* MERGEFORMAT </w:instrText>
      </w:r>
      <w:r w:rsidRPr="00027624">
        <w:fldChar w:fldCharType="separate"/>
      </w:r>
      <w:r w:rsidR="00891058">
        <w:t>Chart 2C-32</w:t>
      </w:r>
      <w:r w:rsidRPr="00027624">
        <w:fldChar w:fldCharType="end"/>
      </w:r>
      <w:r w:rsidRPr="00027624">
        <w:t>). Salary sacrifice contributions for lower</w:t>
      </w:r>
      <w:r w:rsidR="00A8443E" w:rsidRPr="00027624">
        <w:noBreakHyphen/>
      </w:r>
      <w:r w:rsidRPr="00027624">
        <w:t xml:space="preserve"> and middle</w:t>
      </w:r>
      <w:r w:rsidR="00A8443E" w:rsidRPr="00027624">
        <w:noBreakHyphen/>
      </w:r>
      <w:r w:rsidRPr="00027624">
        <w:t>income earners are small relative to their SG contributions. The Age Pension also partially compensates for the lower saving with higher pension payments.</w:t>
      </w:r>
    </w:p>
    <w:p w14:paraId="79D8F320" w14:textId="77777777" w:rsidR="0092760B" w:rsidRPr="00027624" w:rsidRDefault="0092760B" w:rsidP="002A2FAE">
      <w:r w:rsidRPr="00027624">
        <w:t>The fall in replacement rates is larger for higher</w:t>
      </w:r>
      <w:r w:rsidR="00A8443E" w:rsidRPr="00027624">
        <w:noBreakHyphen/>
      </w:r>
      <w:r w:rsidRPr="00027624">
        <w:t>income earners who tend to make larger salary sacrifice contributions. Higher</w:t>
      </w:r>
      <w:r w:rsidR="00A8443E" w:rsidRPr="00027624">
        <w:noBreakHyphen/>
      </w:r>
      <w:r w:rsidRPr="00027624">
        <w:t>income earners are the most likely to make salary sacrifice contributions, around 68 per cent made voluntary contributions in half the years of an eight</w:t>
      </w:r>
      <w:r w:rsidR="00A8443E" w:rsidRPr="00027624">
        <w:noBreakHyphen/>
      </w:r>
      <w:r w:rsidRPr="00027624">
        <w:t>year period. This group is also less likely to receive higher Age Pension payments to compensate for lower savings.</w:t>
      </w:r>
    </w:p>
    <w:p w14:paraId="12F41082" w14:textId="77777777" w:rsidR="0092760B" w:rsidRPr="00027624" w:rsidRDefault="0092760B" w:rsidP="00325A8D">
      <w:pPr>
        <w:pStyle w:val="ChartMainHeading"/>
      </w:pPr>
      <w:bookmarkStart w:id="589" w:name="_Ref44351378"/>
      <w:r w:rsidRPr="00027624">
        <w:lastRenderedPageBreak/>
        <w:t>Projected replacement rates by salary sacrificing</w:t>
      </w:r>
      <w:bookmarkEnd w:id="589"/>
    </w:p>
    <w:p w14:paraId="382A04B3" w14:textId="77777777" w:rsidR="0092760B" w:rsidRPr="00027624" w:rsidRDefault="00140A9A" w:rsidP="002A2FAE">
      <w:pPr>
        <w:pStyle w:val="ChartGraphic"/>
      </w:pPr>
      <w:r>
        <w:rPr>
          <w:noProof/>
        </w:rPr>
        <w:drawing>
          <wp:inline distT="0" distB="0" distL="0" distR="0" wp14:anchorId="00148D78" wp14:editId="2F83E453">
            <wp:extent cx="5577840" cy="2712720"/>
            <wp:effectExtent l="0" t="0" r="3810" b="0"/>
            <wp:docPr id="14" name="Picture 14" descr="This chart shows that without salary sacrificing, lower- and middle-income earners are still projected to have replacement rates within or above the 65-75 per cent benchmark. It shows the 80th and 90th percentiles would have replacement rates below the benchmark without salary sacrificing." title="Chart 2C-32 Projected replacement rates by salary sacrif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77840" cy="2712720"/>
                    </a:xfrm>
                    <a:prstGeom prst="rect">
                      <a:avLst/>
                    </a:prstGeom>
                    <a:noFill/>
                  </pic:spPr>
                </pic:pic>
              </a:graphicData>
            </a:graphic>
          </wp:inline>
        </w:drawing>
      </w:r>
    </w:p>
    <w:p w14:paraId="3F0306B7" w14:textId="77777777" w:rsidR="0092760B" w:rsidRPr="00027624" w:rsidRDefault="0092760B" w:rsidP="008154EB">
      <w:pPr>
        <w:pStyle w:val="ChartorTableNote"/>
      </w:pPr>
      <w:r w:rsidRPr="00027624">
        <w:t xml:space="preserve">Note: Salary sacrificing based on tax file data on averages rates by age and income percentile. Source: </w:t>
      </w:r>
      <w:r w:rsidRPr="00027624">
        <w:rPr>
          <w:noProof/>
        </w:rPr>
        <w:t>Cameo modelling undertaken for the review.</w:t>
      </w:r>
    </w:p>
    <w:p w14:paraId="72258374" w14:textId="77777777" w:rsidR="0092760B" w:rsidRPr="00027624" w:rsidRDefault="0092760B" w:rsidP="00054173">
      <w:pPr>
        <w:pStyle w:val="Heading3"/>
      </w:pPr>
      <w:r w:rsidRPr="00027624">
        <w:t>Saving outside of superannuation</w:t>
      </w:r>
    </w:p>
    <w:p w14:paraId="2430E557" w14:textId="77777777" w:rsidR="0092760B" w:rsidRPr="00027624" w:rsidRDefault="0092760B" w:rsidP="002A2FAE">
      <w:r w:rsidRPr="00027624">
        <w:t>For those able to do so, voluntary savings can contribute significantly to retirement incomes. But individual circumstances mean some people will not save outside of super</w:t>
      </w:r>
      <w:r w:rsidR="00885DFE" w:rsidRPr="00027624">
        <w:t>annuation</w:t>
      </w:r>
      <w:r w:rsidRPr="00027624">
        <w:t>.</w:t>
      </w:r>
    </w:p>
    <w:p w14:paraId="02DAF92D" w14:textId="43A9DB69" w:rsidR="0092760B" w:rsidRPr="00027624" w:rsidRDefault="0092760B" w:rsidP="002A2FAE">
      <w:r w:rsidRPr="00027624">
        <w:t>Modelling shows not saving outside superannuation has little impact on projections for lower</w:t>
      </w:r>
      <w:r w:rsidR="00A8443E" w:rsidRPr="00027624">
        <w:noBreakHyphen/>
      </w:r>
      <w:r w:rsidRPr="00027624">
        <w:t xml:space="preserve"> and middle</w:t>
      </w:r>
      <w:r w:rsidR="00A8443E" w:rsidRPr="00027624">
        <w:noBreakHyphen/>
      </w:r>
      <w:r w:rsidRPr="00027624">
        <w:t>income earners, who typically have little non</w:t>
      </w:r>
      <w:r w:rsidR="00A8443E" w:rsidRPr="00027624">
        <w:noBreakHyphen/>
      </w:r>
      <w:r w:rsidRPr="00027624">
        <w:t>superannuation savings outside their own home on average (</w:t>
      </w:r>
      <w:r w:rsidRPr="00027624">
        <w:fldChar w:fldCharType="begin"/>
      </w:r>
      <w:r w:rsidRPr="00027624">
        <w:instrText xml:space="preserve"> REF _Ref44351408 \r \h  \* MERGEFORMAT </w:instrText>
      </w:r>
      <w:r w:rsidRPr="00027624">
        <w:fldChar w:fldCharType="separate"/>
      </w:r>
      <w:r w:rsidR="00891058">
        <w:t>Chart 2C-33</w:t>
      </w:r>
      <w:r w:rsidRPr="00027624">
        <w:fldChar w:fldCharType="end"/>
      </w:r>
      <w:r w:rsidRPr="00027624">
        <w:t>). Non</w:t>
      </w:r>
      <w:r w:rsidR="00A8443E" w:rsidRPr="00027624">
        <w:noBreakHyphen/>
      </w:r>
      <w:r w:rsidRPr="00027624">
        <w:t>superannuation assets are most significant for retirees in the top wealth decile (see</w:t>
      </w:r>
      <w:r w:rsidRPr="00027624">
        <w:rPr>
          <w:i/>
        </w:rPr>
        <w:t xml:space="preserve"> 1</w:t>
      </w:r>
      <w:r w:rsidR="005E06CE">
        <w:rPr>
          <w:i/>
        </w:rPr>
        <w:t>B</w:t>
      </w:r>
      <w:r w:rsidRPr="00027624">
        <w:rPr>
          <w:i/>
        </w:rPr>
        <w:t>. Design of Australia</w:t>
      </w:r>
      <w:r w:rsidR="00A8443E" w:rsidRPr="00027624">
        <w:rPr>
          <w:i/>
        </w:rPr>
        <w:t>’</w:t>
      </w:r>
      <w:r w:rsidRPr="00027624">
        <w:rPr>
          <w:i/>
        </w:rPr>
        <w:t>s retirement income system</w:t>
      </w:r>
      <w:r w:rsidRPr="00027624">
        <w:t xml:space="preserve">). </w:t>
      </w:r>
      <w:r w:rsidRPr="00027624">
        <w:rPr>
          <w:b/>
        </w:rPr>
        <w:t>Without savings outside superannuation,</w:t>
      </w:r>
      <w:r w:rsidRPr="00027624" w:rsidDel="00F30FCB">
        <w:rPr>
          <w:b/>
        </w:rPr>
        <w:t xml:space="preserve"> </w:t>
      </w:r>
      <w:r w:rsidRPr="00027624">
        <w:rPr>
          <w:b/>
        </w:rPr>
        <w:t>some higher</w:t>
      </w:r>
      <w:r w:rsidR="00A8443E" w:rsidRPr="00027624">
        <w:rPr>
          <w:b/>
        </w:rPr>
        <w:noBreakHyphen/>
      </w:r>
      <w:r w:rsidRPr="00027624">
        <w:rPr>
          <w:b/>
        </w:rPr>
        <w:t>income earners in the 90</w:t>
      </w:r>
      <w:r w:rsidRPr="00027624">
        <w:rPr>
          <w:b/>
          <w:vertAlign w:val="superscript"/>
        </w:rPr>
        <w:t>th</w:t>
      </w:r>
      <w:r w:rsidRPr="00027624">
        <w:rPr>
          <w:b/>
        </w:rPr>
        <w:t xml:space="preserve"> percentile and above fall below the benchmark but still achieve the ASFA comfortable standard. </w:t>
      </w:r>
      <w:r w:rsidRPr="00027624">
        <w:t>Other percentiles are not substantially affected.</w:t>
      </w:r>
    </w:p>
    <w:p w14:paraId="2595DA2A" w14:textId="77777777" w:rsidR="0092760B" w:rsidRPr="00027624" w:rsidRDefault="0092760B" w:rsidP="00325A8D">
      <w:pPr>
        <w:pStyle w:val="ChartMainHeading"/>
      </w:pPr>
      <w:bookmarkStart w:id="590" w:name="_Ref44351408"/>
      <w:r w:rsidRPr="00027624">
        <w:t>Projected replacement rates by saving outside of superannuation</w:t>
      </w:r>
      <w:bookmarkEnd w:id="590"/>
    </w:p>
    <w:p w14:paraId="00DF3430" w14:textId="77777777" w:rsidR="0092760B" w:rsidRPr="00027624" w:rsidRDefault="00140A9A" w:rsidP="002A2FAE">
      <w:pPr>
        <w:pStyle w:val="ChartGraphic"/>
      </w:pPr>
      <w:r>
        <w:rPr>
          <w:noProof/>
        </w:rPr>
        <w:drawing>
          <wp:inline distT="0" distB="0" distL="0" distR="0" wp14:anchorId="71DB12AD" wp14:editId="7C686C1B">
            <wp:extent cx="5577840" cy="2522220"/>
            <wp:effectExtent l="0" t="0" r="3810" b="0"/>
            <wp:docPr id="15" name="Picture 15" descr="This chart shows that without savings outside of superannuation, people up to the 80 would have replacement rates above or within the 65-75 per cent benchmark. It shows the 90th percentile and above would have replacement rates below the benchmark." title="Chart 2C-33 Projected replacement rates by saving outside of superann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0DE1BF07" w14:textId="77777777" w:rsidR="0092760B" w:rsidRPr="00027624" w:rsidRDefault="0092760B" w:rsidP="008154EB">
      <w:pPr>
        <w:pStyle w:val="ChartorTableNote"/>
      </w:pPr>
      <w:r w:rsidRPr="00027624">
        <w:t xml:space="preserve">Note: Average saving outside of superannuation is applied at retirement, based on Survey of Income and Housing data (see </w:t>
      </w:r>
      <w:r w:rsidRPr="00BD73BF">
        <w:rPr>
          <w:i/>
        </w:rPr>
        <w:t>Appendix 6A. Detailed modelling methods and assumptions</w:t>
      </w:r>
      <w:r w:rsidRPr="00027624">
        <w:t xml:space="preserve">). Source: </w:t>
      </w:r>
      <w:r w:rsidRPr="00027624">
        <w:rPr>
          <w:noProof/>
        </w:rPr>
        <w:t>Cameo modelling undertaken for the review.</w:t>
      </w:r>
    </w:p>
    <w:p w14:paraId="286A1BC1" w14:textId="77777777" w:rsidR="0092760B" w:rsidRPr="00027624" w:rsidRDefault="0092760B" w:rsidP="00054173">
      <w:pPr>
        <w:pStyle w:val="Heading3"/>
      </w:pPr>
      <w:r w:rsidRPr="00027624">
        <w:lastRenderedPageBreak/>
        <w:t>Low investment returns</w:t>
      </w:r>
    </w:p>
    <w:p w14:paraId="09B7808A" w14:textId="77777777" w:rsidR="0092760B" w:rsidRPr="00027624" w:rsidRDefault="0092760B" w:rsidP="002A2FAE">
      <w:r w:rsidRPr="00027624">
        <w:t xml:space="preserve">Modelling assumes investment returns of 7.5 per cent during the </w:t>
      </w:r>
      <w:r w:rsidR="00336D14" w:rsidRPr="00027624">
        <w:t>pre-retirement</w:t>
      </w:r>
      <w:r w:rsidRPr="00027624">
        <w:t xml:space="preserve"> phase, and 6.2 per cent during the retirement phase, before fees and taxes. These returns are based on fund investment targets and fees are based on those for the average fund (see </w:t>
      </w:r>
      <w:r w:rsidRPr="00027624">
        <w:rPr>
          <w:i/>
        </w:rPr>
        <w:t>Appendix 6A. Detailed modelling methods and assumptions</w:t>
      </w:r>
      <w:r w:rsidRPr="00027624">
        <w:t>). These returns are around 1 percentage point lower than historic average fund returns.</w:t>
      </w:r>
    </w:p>
    <w:p w14:paraId="5FCAD98D" w14:textId="77777777" w:rsidR="0092760B" w:rsidRPr="00027624" w:rsidRDefault="0092760B" w:rsidP="002A2FAE">
      <w:r w:rsidRPr="00027624">
        <w:t>But people could receive lower returns due to variety of factors. For example, an individual could be in a poorly performing fund with high fees or their investments could suffer an economic shock, as seen during the COVID</w:t>
      </w:r>
      <w:r w:rsidR="00A8443E" w:rsidRPr="00027624">
        <w:noBreakHyphen/>
      </w:r>
      <w:r w:rsidRPr="00027624">
        <w:t>19 Pandemic, which could reduce returns for everyone.</w:t>
      </w:r>
    </w:p>
    <w:p w14:paraId="0408ED40" w14:textId="77777777" w:rsidR="0092760B" w:rsidRPr="00027624" w:rsidRDefault="0092760B" w:rsidP="002A2FAE">
      <w:r w:rsidRPr="00027624">
        <w:t>This scenario looks at the impact of a 1.0 percentage point lower investment return in both the accumulation and retirement phases. For comparison, a reduction in net returns of 0.5 percentage points might occur by shifting from a MySuper fund with fees in the lowest 20 per cent of funds to one with fees in the highest 20 per cent (review calculations using</w:t>
      </w:r>
      <w:sdt>
        <w:sdtPr>
          <w:id w:val="657498600"/>
          <w:citation/>
        </w:sdtPr>
        <w:sdtEndPr/>
        <w:sdtContent>
          <w:r w:rsidR="00F4198A">
            <w:fldChar w:fldCharType="begin"/>
          </w:r>
          <w:r w:rsidR="00F4198A">
            <w:instrText xml:space="preserve"> CITATION APRP19 \l 3081 </w:instrText>
          </w:r>
          <w:r w:rsidR="00F4198A">
            <w:fldChar w:fldCharType="separate"/>
          </w:r>
          <w:r w:rsidR="00E83F6E">
            <w:rPr>
              <w:noProof/>
            </w:rPr>
            <w:t xml:space="preserve"> (Australian Prudential Regulation Authority, 2019a)</w:t>
          </w:r>
          <w:r w:rsidR="00F4198A">
            <w:fldChar w:fldCharType="end"/>
          </w:r>
        </w:sdtContent>
      </w:sdt>
      <w:r w:rsidRPr="00027624">
        <w:t>).</w:t>
      </w:r>
    </w:p>
    <w:p w14:paraId="65826526" w14:textId="1C6E83DD" w:rsidR="0092760B" w:rsidRPr="00027624" w:rsidRDefault="0092760B" w:rsidP="002A2FAE">
      <w:r w:rsidRPr="00027624">
        <w:rPr>
          <w:b/>
        </w:rPr>
        <w:t>Modelling shows that middle</w:t>
      </w:r>
      <w:r w:rsidR="00A8443E" w:rsidRPr="00027624">
        <w:rPr>
          <w:b/>
        </w:rPr>
        <w:noBreakHyphen/>
      </w:r>
      <w:r w:rsidRPr="00027624">
        <w:rPr>
          <w:b/>
        </w:rPr>
        <w:t xml:space="preserve">income earners still achieve adequate replacement rates under a low investment return scenario, partly due to higher Age Pension payments </w:t>
      </w:r>
      <w:r w:rsidRPr="00027624">
        <w:t>(</w:t>
      </w:r>
      <w:r w:rsidRPr="00027624">
        <w:fldChar w:fldCharType="begin"/>
      </w:r>
      <w:r w:rsidRPr="00027624">
        <w:instrText xml:space="preserve"> REF _Ref44351941 \r \h  \* MERGEFORMAT </w:instrText>
      </w:r>
      <w:r w:rsidRPr="00027624">
        <w:fldChar w:fldCharType="separate"/>
      </w:r>
      <w:r w:rsidR="00891058">
        <w:t>Chart 2C-34</w:t>
      </w:r>
      <w:r w:rsidRPr="00027624">
        <w:fldChar w:fldCharType="end"/>
      </w:r>
      <w:r w:rsidRPr="00027624">
        <w:t>). Higher</w:t>
      </w:r>
      <w:r w:rsidR="00A8443E" w:rsidRPr="00027624">
        <w:noBreakHyphen/>
      </w:r>
      <w:r w:rsidRPr="00027624">
        <w:t>income earners experience the largest falls due to higher balances and a lower compensating increase from Age Pension payments.</w:t>
      </w:r>
    </w:p>
    <w:p w14:paraId="566F45C9" w14:textId="77777777" w:rsidR="0092760B" w:rsidRPr="00027624" w:rsidRDefault="0092760B" w:rsidP="00325A8D">
      <w:pPr>
        <w:pStyle w:val="ChartMainHeading"/>
      </w:pPr>
      <w:bookmarkStart w:id="591" w:name="_Ref44351941"/>
      <w:r w:rsidRPr="00027624">
        <w:t>Projected replacement rates when investment returns lower by 1 percentage point</w:t>
      </w:r>
      <w:bookmarkEnd w:id="591"/>
    </w:p>
    <w:p w14:paraId="05D507D7" w14:textId="77777777" w:rsidR="0092760B" w:rsidRPr="00027624" w:rsidRDefault="00140A9A" w:rsidP="002A2FAE">
      <w:pPr>
        <w:pStyle w:val="ChartGraphic"/>
      </w:pPr>
      <w:r>
        <w:rPr>
          <w:noProof/>
        </w:rPr>
        <w:drawing>
          <wp:inline distT="0" distB="0" distL="0" distR="0" wp14:anchorId="4D08525A" wp14:editId="534C1AFD">
            <wp:extent cx="5615940" cy="2522220"/>
            <wp:effectExtent l="0" t="0" r="3810" b="0"/>
            <wp:docPr id="16" name="Picture 16" descr="This chart shows that when investment returns are one percentage point lower, lower and middle income earners would have replacement rates above or within the 65-75 per cent benchmark. It shows the 80th and 90th percentiles would have replacement rates below the benchmark." title="Chart 2C-34 Projected replacement rates when investment returns lower by 1 percentag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5940" cy="2522220"/>
                    </a:xfrm>
                    <a:prstGeom prst="rect">
                      <a:avLst/>
                    </a:prstGeom>
                    <a:noFill/>
                  </pic:spPr>
                </pic:pic>
              </a:graphicData>
            </a:graphic>
          </wp:inline>
        </w:drawing>
      </w:r>
    </w:p>
    <w:p w14:paraId="589A7216" w14:textId="77777777" w:rsidR="0092760B" w:rsidRPr="00027624" w:rsidRDefault="0092760B" w:rsidP="008154EB">
      <w:pPr>
        <w:pStyle w:val="ChartorTableNote"/>
      </w:pPr>
      <w:r w:rsidRPr="00027624">
        <w:t>Note: Replacement rates using the review</w:t>
      </w:r>
      <w:r w:rsidR="00A8443E" w:rsidRPr="00027624">
        <w:t>’</w:t>
      </w:r>
      <w:r w:rsidRPr="00027624">
        <w:t xml:space="preserve">s mixed deflator. Review assumption for investment returns is 7.5 per cent during the </w:t>
      </w:r>
      <w:r w:rsidR="00336D14" w:rsidRPr="00027624">
        <w:t xml:space="preserve">pre-retirement </w:t>
      </w:r>
      <w:r w:rsidRPr="00027624">
        <w:t>phase and 6.2 per cent in retirement. Source: Cameo modelling undertaken for the review.</w:t>
      </w:r>
    </w:p>
    <w:p w14:paraId="38178B90" w14:textId="77777777" w:rsidR="0092760B" w:rsidRPr="00027624" w:rsidRDefault="0092760B" w:rsidP="00054173">
      <w:pPr>
        <w:pStyle w:val="Heading3"/>
      </w:pPr>
      <w:r w:rsidRPr="00027624">
        <w:t>Home ownership status</w:t>
      </w:r>
    </w:p>
    <w:p w14:paraId="7A51D76B" w14:textId="77777777" w:rsidR="0092760B" w:rsidRPr="00027624" w:rsidRDefault="0092760B" w:rsidP="002A2FAE">
      <w:r w:rsidRPr="00027624">
        <w:rPr>
          <w:b/>
        </w:rPr>
        <w:t>Home ownership rates for households above the 2</w:t>
      </w:r>
      <w:r w:rsidRPr="00027624">
        <w:rPr>
          <w:b/>
          <w:vertAlign w:val="superscript"/>
        </w:rPr>
        <w:t>nd</w:t>
      </w:r>
      <w:r w:rsidRPr="00027624">
        <w:rPr>
          <w:b/>
        </w:rPr>
        <w:t xml:space="preserve"> wealth decile exceed 95 per cent.</w:t>
      </w:r>
      <w:r w:rsidRPr="00027624">
        <w:t xml:space="preserve"> Renting is currently concentrated among retirees with the lowest wealth. Renters require higher replacement rates of around 90</w:t>
      </w:r>
      <w:r w:rsidR="00A8443E" w:rsidRPr="00027624">
        <w:noBreakHyphen/>
      </w:r>
      <w:r w:rsidRPr="00027624">
        <w:t xml:space="preserve">100 per cent to maintain living standards as their housing costs do not fall in retirement (see the </w:t>
      </w:r>
      <w:r w:rsidR="00BD73BF" w:rsidRPr="00BD73BF">
        <w:rPr>
          <w:i/>
        </w:rPr>
        <w:t>Appendix</w:t>
      </w:r>
      <w:r w:rsidR="00BD73BF">
        <w:t xml:space="preserve"> </w:t>
      </w:r>
      <w:r w:rsidRPr="00027624">
        <w:rPr>
          <w:i/>
        </w:rPr>
        <w:t>6A. Detailed modelling methods and assumptions</w:t>
      </w:r>
      <w:r w:rsidRPr="00027624">
        <w:t>).</w:t>
      </w:r>
    </w:p>
    <w:p w14:paraId="30C22858" w14:textId="77777777" w:rsidR="0092760B" w:rsidRPr="00027624" w:rsidRDefault="0092760B" w:rsidP="002A2FAE">
      <w:r w:rsidRPr="00027624">
        <w:t>Adequacy outcomes for renters are best assessed against the minimum retirement standards. Modelling shows low</w:t>
      </w:r>
      <w:r w:rsidR="00A8443E" w:rsidRPr="00027624">
        <w:noBreakHyphen/>
      </w:r>
      <w:r w:rsidRPr="00027624">
        <w:t xml:space="preserve">income renters are at risk of not achieving a minimum that meets community standards (see </w:t>
      </w:r>
      <w:r w:rsidRPr="00027624">
        <w:rPr>
          <w:i/>
        </w:rPr>
        <w:t>2A. Achieving a minimum standard of living in retirement</w:t>
      </w:r>
      <w:r w:rsidRPr="00027624">
        <w:t>). A combination of Commonwealth Rent Assistance and more generous means</w:t>
      </w:r>
      <w:r w:rsidR="00336D14" w:rsidRPr="00027624">
        <w:t>-</w:t>
      </w:r>
      <w:r w:rsidRPr="00027624">
        <w:t>test limits improve replacement rates for renters relative to home owners.</w:t>
      </w:r>
    </w:p>
    <w:p w14:paraId="23929734" w14:textId="77777777" w:rsidR="0092760B" w:rsidRPr="00027624" w:rsidRDefault="0092760B" w:rsidP="002A2FAE">
      <w:r w:rsidRPr="00027624">
        <w:lastRenderedPageBreak/>
        <w:t>For median</w:t>
      </w:r>
      <w:r w:rsidR="00A8443E" w:rsidRPr="00027624">
        <w:noBreakHyphen/>
      </w:r>
      <w:r w:rsidRPr="00027624">
        <w:t>income retirees who rent, analysis indicates replacement rates would be above 90</w:t>
      </w:r>
      <w:r w:rsidR="00A8443E" w:rsidRPr="00027624">
        <w:noBreakHyphen/>
      </w:r>
      <w:r w:rsidRPr="00027624">
        <w:t>100 per cent; enough that they should be able to maintain their standard of living in retirement.</w:t>
      </w:r>
    </w:p>
    <w:p w14:paraId="49BF7A8F" w14:textId="77777777" w:rsidR="0092760B" w:rsidRPr="00027624" w:rsidRDefault="0092760B" w:rsidP="002A2FAE">
      <w:r w:rsidRPr="00027624">
        <w:t>Middle</w:t>
      </w:r>
      <w:r w:rsidR="00A8443E" w:rsidRPr="00027624">
        <w:noBreakHyphen/>
      </w:r>
      <w:r w:rsidRPr="00027624">
        <w:t xml:space="preserve"> and higher</w:t>
      </w:r>
      <w:r w:rsidR="00A8443E" w:rsidRPr="00027624">
        <w:noBreakHyphen/>
      </w:r>
      <w:r w:rsidRPr="00027624">
        <w:t>income groups who rent are expected to have significant superannuation and other non</w:t>
      </w:r>
      <w:r w:rsidR="00A8443E" w:rsidRPr="00027624">
        <w:noBreakHyphen/>
      </w:r>
      <w:r w:rsidRPr="00027624">
        <w:t>housing assets. They are unlikely to face the significant rates of poverty that lower</w:t>
      </w:r>
      <w:r w:rsidR="00A8443E" w:rsidRPr="00027624">
        <w:noBreakHyphen/>
      </w:r>
      <w:r w:rsidRPr="00027624">
        <w:t>income renters do in retirement.</w:t>
      </w:r>
    </w:p>
    <w:p w14:paraId="51CDA387" w14:textId="77777777" w:rsidR="0092760B" w:rsidRPr="00027624" w:rsidRDefault="0092760B" w:rsidP="002A2FAE">
      <w:r w:rsidRPr="00027624">
        <w:t>Although renting is currently rare for middle</w:t>
      </w:r>
      <w:r w:rsidR="00A8443E" w:rsidRPr="00027624">
        <w:noBreakHyphen/>
      </w:r>
      <w:r w:rsidRPr="00027624">
        <w:t xml:space="preserve"> and higher</w:t>
      </w:r>
      <w:r w:rsidR="00A8443E" w:rsidRPr="00027624">
        <w:noBreakHyphen/>
      </w:r>
      <w:r w:rsidRPr="00027624">
        <w:t xml:space="preserve">income earners in retirement, these groups may rent at </w:t>
      </w:r>
      <w:r w:rsidR="00336D14" w:rsidRPr="00027624">
        <w:t xml:space="preserve">higher rates in </w:t>
      </w:r>
      <w:r w:rsidRPr="00027624">
        <w:t>future. The impact of falling home ownership on adequacy will depend on the working</w:t>
      </w:r>
      <w:r w:rsidR="00A8443E" w:rsidRPr="00027624">
        <w:noBreakHyphen/>
      </w:r>
      <w:r w:rsidRPr="00027624">
        <w:t>life incomes of new renters and whether people save more to compensate for not purchasing a home.</w:t>
      </w:r>
    </w:p>
    <w:p w14:paraId="59075B3E" w14:textId="77777777" w:rsidR="0092760B" w:rsidRPr="00027624" w:rsidRDefault="0092760B" w:rsidP="00054173">
      <w:pPr>
        <w:pStyle w:val="Heading3"/>
      </w:pPr>
      <w:r w:rsidRPr="00027624">
        <w:t>Retiring with a mortgage</w:t>
      </w:r>
    </w:p>
    <w:p w14:paraId="0A443444" w14:textId="77777777" w:rsidR="0092760B" w:rsidRPr="00027624" w:rsidRDefault="0092760B" w:rsidP="002A2FAE">
      <w:r w:rsidRPr="00027624">
        <w:t>Most people retire as outright owners of their home, with 10 per cent of households age 65 and over having a mortgage in 2017</w:t>
      </w:r>
      <w:r w:rsidR="00A8443E" w:rsidRPr="00027624">
        <w:noBreakHyphen/>
      </w:r>
      <w:r w:rsidRPr="00027624">
        <w:t>18 (</w:t>
      </w:r>
      <w:r w:rsidRPr="009F1DD2">
        <w:t>see</w:t>
      </w:r>
      <w:r w:rsidRPr="00027624">
        <w:rPr>
          <w:i/>
        </w:rPr>
        <w:t xml:space="preserve"> 1D: The changing Australian landscape)</w:t>
      </w:r>
      <w:r w:rsidRPr="00027624">
        <w:t>. However, larger mortgages and delays in paying off a mortgage have caused concerns about using superannuation to pay off debt.</w:t>
      </w:r>
    </w:p>
    <w:p w14:paraId="7595C6E7" w14:textId="77777777" w:rsidR="0092760B" w:rsidRPr="00027624" w:rsidRDefault="0092760B" w:rsidP="002A2FAE">
      <w:r w:rsidRPr="00027624">
        <w:t>The drivers of higher mortgages are multifaceted, including higher house prices and people buying homes later in life. Some studies show a correlation between net household debt and pension assets (like superannuation) as a per cent of GDP, although the cause is unclear</w:t>
      </w:r>
      <w:sdt>
        <w:sdtPr>
          <w:id w:val="-997182302"/>
          <w:citation/>
        </w:sdtPr>
        <w:sdtEndPr/>
        <w:sdtContent>
          <w:r w:rsidR="00F4198A">
            <w:fldChar w:fldCharType="begin"/>
          </w:r>
          <w:r w:rsidR="00F4198A">
            <w:instrText xml:space="preserve"> CITATION MerP191 \l 3081 </w:instrText>
          </w:r>
          <w:r w:rsidR="00F4198A">
            <w:fldChar w:fldCharType="separate"/>
          </w:r>
          <w:r w:rsidR="00E83F6E">
            <w:rPr>
              <w:noProof/>
            </w:rPr>
            <w:t xml:space="preserve"> (Mercer, 2019b)</w:t>
          </w:r>
          <w:r w:rsidR="00F4198A">
            <w:fldChar w:fldCharType="end"/>
          </w:r>
        </w:sdtContent>
      </w:sdt>
      <w:r w:rsidRPr="00027624">
        <w:t>.</w:t>
      </w:r>
    </w:p>
    <w:p w14:paraId="0DFC8096" w14:textId="77777777" w:rsidR="0092760B" w:rsidRPr="00027624" w:rsidRDefault="0092760B" w:rsidP="002A2FAE">
      <w:r w:rsidRPr="00027624">
        <w:t>For example, consider someone who decides to pay off their mortgage with superannuation. This person has 10 years of mortgage repayments remaining at retirement worth about 23 per cent of the median person</w:t>
      </w:r>
      <w:r w:rsidR="00A8443E" w:rsidRPr="00027624">
        <w:t>’</w:t>
      </w:r>
      <w:r w:rsidRPr="00027624">
        <w:t>s superannuation balance.</w:t>
      </w:r>
    </w:p>
    <w:p w14:paraId="2ADDA6ED" w14:textId="6EFD4AC0" w:rsidR="0092760B" w:rsidRPr="00027624" w:rsidRDefault="0092760B" w:rsidP="002A2FAE">
      <w:r w:rsidRPr="00027624">
        <w:rPr>
          <w:bCs/>
        </w:rPr>
        <w:t>Using this example,</w:t>
      </w:r>
      <w:r w:rsidRPr="00027624">
        <w:rPr>
          <w:b/>
        </w:rPr>
        <w:t xml:space="preserve"> e</w:t>
      </w:r>
      <w:r w:rsidRPr="00027624" w:rsidDel="001D199E">
        <w:rPr>
          <w:b/>
        </w:rPr>
        <w:t xml:space="preserve">ven with mortgage </w:t>
      </w:r>
      <w:r w:rsidRPr="00027624">
        <w:rPr>
          <w:b/>
        </w:rPr>
        <w:t xml:space="preserve">worth about $100,000 </w:t>
      </w:r>
      <w:r w:rsidRPr="00027624" w:rsidDel="001D199E">
        <w:rPr>
          <w:b/>
        </w:rPr>
        <w:t>outstanding at retirement, middle</w:t>
      </w:r>
      <w:r w:rsidR="00A8443E" w:rsidRPr="00027624">
        <w:rPr>
          <w:b/>
        </w:rPr>
        <w:noBreakHyphen/>
      </w:r>
      <w:r w:rsidRPr="00027624" w:rsidDel="001D199E">
        <w:rPr>
          <w:b/>
        </w:rPr>
        <w:t>income earners have retirement incomes that exceed the benchmark (</w:t>
      </w:r>
      <w:r w:rsidRPr="00027624">
        <w:rPr>
          <w:b/>
        </w:rPr>
        <w:fldChar w:fldCharType="begin"/>
      </w:r>
      <w:r w:rsidRPr="00027624">
        <w:rPr>
          <w:b/>
        </w:rPr>
        <w:instrText xml:space="preserve"> REF _Ref44352738 \r \h  \* MERGEFORMAT </w:instrText>
      </w:r>
      <w:r w:rsidRPr="00027624">
        <w:rPr>
          <w:b/>
        </w:rPr>
      </w:r>
      <w:r w:rsidRPr="00027624">
        <w:rPr>
          <w:b/>
        </w:rPr>
        <w:fldChar w:fldCharType="separate"/>
      </w:r>
      <w:r w:rsidR="00891058">
        <w:rPr>
          <w:b/>
        </w:rPr>
        <w:t>Chart 2C-35</w:t>
      </w:r>
      <w:r w:rsidRPr="00027624">
        <w:rPr>
          <w:b/>
        </w:rPr>
        <w:fldChar w:fldCharType="end"/>
      </w:r>
      <w:r w:rsidRPr="00027624">
        <w:rPr>
          <w:b/>
        </w:rPr>
        <w:t>)</w:t>
      </w:r>
      <w:r w:rsidRPr="00027624" w:rsidDel="001D199E">
        <w:t>.</w:t>
      </w:r>
      <w:r w:rsidRPr="00027624" w:rsidDel="001D199E">
        <w:rPr>
          <w:b/>
        </w:rPr>
        <w:t xml:space="preserve"> </w:t>
      </w:r>
      <w:r w:rsidRPr="00027624">
        <w:t>Using superannuation to pay off this mortgage only modestly reduces replacement rates for a median</w:t>
      </w:r>
      <w:r w:rsidR="00A8443E" w:rsidRPr="00027624">
        <w:noBreakHyphen/>
      </w:r>
      <w:r w:rsidRPr="00027624">
        <w:t>income earner. In this case, the replacement rate remains well above the benchmark as Age Pension payments rise to compensate for much of the lost superannuation income.</w:t>
      </w:r>
    </w:p>
    <w:p w14:paraId="1459A0ED" w14:textId="77777777" w:rsidR="0092760B" w:rsidRPr="00027624" w:rsidRDefault="0092760B" w:rsidP="00325A8D">
      <w:pPr>
        <w:pStyle w:val="ChartMainHeading"/>
      </w:pPr>
      <w:bookmarkStart w:id="592" w:name="_Ref44352738"/>
      <w:r w:rsidRPr="00027624">
        <w:t>Projected replacement rates after using superannuation to pay off mortgage debt</w:t>
      </w:r>
      <w:bookmarkEnd w:id="592"/>
    </w:p>
    <w:p w14:paraId="4D7F5ADF" w14:textId="77777777" w:rsidR="0092760B" w:rsidRPr="00027624" w:rsidRDefault="005B5724" w:rsidP="008154EB">
      <w:pPr>
        <w:pStyle w:val="ChartGraphic"/>
      </w:pPr>
      <w:r>
        <w:rPr>
          <w:noProof/>
        </w:rPr>
        <w:drawing>
          <wp:inline distT="0" distB="0" distL="0" distR="0" wp14:anchorId="29B44303" wp14:editId="037BA189">
            <wp:extent cx="5478780" cy="2621280"/>
            <wp:effectExtent l="0" t="0" r="7620" b="7620"/>
            <wp:docPr id="2002235503" name="Picture 2" descr="This chart shows that with a mortgage of $100,000 at retirement, lower and middle income earners would have retirement incomes within or above the 65-75 per cent benchmark. Only the 80th percentile income earner would fall below the benchmark" title="Chart 2C-35 Projected replacement rates after using superannuation to pay off mortgage de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6"/>
                    <a:stretch>
                      <a:fillRect/>
                    </a:stretch>
                  </pic:blipFill>
                  <pic:spPr>
                    <a:xfrm>
                      <a:off x="0" y="0"/>
                      <a:ext cx="5478780" cy="2621280"/>
                    </a:xfrm>
                    <a:prstGeom prst="rect">
                      <a:avLst/>
                    </a:prstGeom>
                  </pic:spPr>
                </pic:pic>
              </a:graphicData>
            </a:graphic>
          </wp:inline>
        </w:drawing>
      </w:r>
    </w:p>
    <w:p w14:paraId="29CDEE63" w14:textId="77777777" w:rsidR="0092760B" w:rsidRPr="00027624" w:rsidRDefault="0092760B" w:rsidP="008154EB">
      <w:pPr>
        <w:pStyle w:val="ChartorTableNote"/>
      </w:pPr>
      <w:r w:rsidRPr="00027624">
        <w:t>Note: Outright owner takes out a home loan of $400,000 in wage</w:t>
      </w:r>
      <w:r w:rsidR="00A8443E" w:rsidRPr="00027624">
        <w:noBreakHyphen/>
      </w:r>
      <w:r w:rsidRPr="00027624">
        <w:t>adjusted terms at age 42, and pays off the mortgage over 25 years so that it is paid off by age 66. Mortgagor scenario is a $500,000 home loan in wage</w:t>
      </w:r>
      <w:r w:rsidR="00A8443E" w:rsidRPr="00027624">
        <w:noBreakHyphen/>
      </w:r>
      <w:r w:rsidRPr="00027624">
        <w:t>adjusted terms, paid off over 35 years with 10 years of repayments left at retirement. Super balance is used to pay off the remaining principal with no other fees, totalling around $103,000 in wage</w:t>
      </w:r>
      <w:r w:rsidR="00A8443E" w:rsidRPr="00027624">
        <w:noBreakHyphen/>
      </w:r>
      <w:r w:rsidRPr="00027624">
        <w:t>adjusted terms. Source: Cameo modelling undertaken for the review.</w:t>
      </w:r>
    </w:p>
    <w:p w14:paraId="5C3F097B" w14:textId="77777777" w:rsidR="0092760B" w:rsidRPr="00027624" w:rsidRDefault="0092760B" w:rsidP="00F75B78">
      <w:pPr>
        <w:keepNext/>
      </w:pPr>
      <w:r w:rsidRPr="00027624">
        <w:lastRenderedPageBreak/>
        <w:t>Carrying a larger mortgage into retirement has issues including:</w:t>
      </w:r>
    </w:p>
    <w:p w14:paraId="795B9264" w14:textId="77777777" w:rsidR="0092760B" w:rsidRPr="00027624" w:rsidRDefault="0092760B" w:rsidP="0092760B">
      <w:pPr>
        <w:pStyle w:val="Bullet"/>
      </w:pPr>
      <w:r w:rsidRPr="00027624">
        <w:rPr>
          <w:b/>
          <w:bCs/>
        </w:rPr>
        <w:t>Increased exposure to sequencing risk</w:t>
      </w:r>
      <w:r w:rsidRPr="00027624">
        <w:t>. If asset values fall significantly just before retirement, then a larger proportion of their superannuation is required to pay off the debt.</w:t>
      </w:r>
    </w:p>
    <w:p w14:paraId="490BF6F2" w14:textId="77777777" w:rsidR="0092760B" w:rsidRPr="00027624" w:rsidRDefault="0092760B" w:rsidP="0092760B">
      <w:pPr>
        <w:pStyle w:val="Bullet"/>
      </w:pPr>
      <w:r w:rsidRPr="00027624">
        <w:rPr>
          <w:b/>
        </w:rPr>
        <w:t>Older mortgagors have higher financial stress than outright owners</w:t>
      </w:r>
      <w:r w:rsidRPr="00027624">
        <w:t>, although less than renters. One study found mortgage size was less important than difficulty making repayments, which is often due to shocks, such as divorce or unemployment</w:t>
      </w:r>
      <w:sdt>
        <w:sdtPr>
          <w:id w:val="1023756148"/>
          <w:citation/>
        </w:sdtPr>
        <w:sdtEndPr/>
        <w:sdtContent>
          <w:r w:rsidR="002164FC">
            <w:fldChar w:fldCharType="begin"/>
          </w:r>
          <w:r w:rsidR="002164FC">
            <w:instrText xml:space="preserve"> CITATION Ong19 \l 3081 </w:instrText>
          </w:r>
          <w:r w:rsidR="002164FC">
            <w:fldChar w:fldCharType="separate"/>
          </w:r>
          <w:r w:rsidR="00E83F6E">
            <w:rPr>
              <w:noProof/>
            </w:rPr>
            <w:t xml:space="preserve"> (Ong, et al., 2019)</w:t>
          </w:r>
          <w:r w:rsidR="002164FC">
            <w:fldChar w:fldCharType="end"/>
          </w:r>
        </w:sdtContent>
      </w:sdt>
      <w:r w:rsidRPr="00027624">
        <w:t>.</w:t>
      </w:r>
    </w:p>
    <w:p w14:paraId="6B0D7C0D" w14:textId="77777777" w:rsidR="0092760B" w:rsidRPr="00027624" w:rsidRDefault="0092760B" w:rsidP="002A2FAE">
      <w:r w:rsidRPr="00027624">
        <w:t xml:space="preserve">That said, the more valuable homes associated with larger mortgages can have retirement benefits including: </w:t>
      </w:r>
    </w:p>
    <w:p w14:paraId="7F5CEC44" w14:textId="77777777" w:rsidR="0092760B" w:rsidRPr="00027624" w:rsidRDefault="0092760B" w:rsidP="0092760B">
      <w:pPr>
        <w:pStyle w:val="Bullet"/>
      </w:pPr>
      <w:r w:rsidRPr="00027624">
        <w:rPr>
          <w:b/>
          <w:bCs/>
        </w:rPr>
        <w:t>Allowing the transfer of wealth into housing</w:t>
      </w:r>
      <w:r w:rsidRPr="00027624">
        <w:t>, increasing eligibility for the Age Pension. Higher Age Pension payments help offset the impact of higher housing costs on retirement incomes.</w:t>
      </w:r>
    </w:p>
    <w:p w14:paraId="2AE0DC20" w14:textId="047C6BA7" w:rsidR="0092760B" w:rsidRPr="00027624" w:rsidRDefault="0092760B" w:rsidP="0092760B">
      <w:pPr>
        <w:pStyle w:val="Bullet"/>
      </w:pPr>
      <w:r w:rsidRPr="00027624">
        <w:rPr>
          <w:b/>
          <w:bCs/>
        </w:rPr>
        <w:t>Creating additional home equity that can be accessed to boost income in retirement</w:t>
      </w:r>
      <w:r w:rsidRPr="00027624">
        <w:t xml:space="preserve"> (see</w:t>
      </w:r>
      <w:r w:rsidRPr="00027624">
        <w:rPr>
          <w:i/>
        </w:rPr>
        <w:t xml:space="preserve"> </w:t>
      </w:r>
      <w:r w:rsidRPr="00027624">
        <w:rPr>
          <w:i/>
        </w:rPr>
        <w:fldChar w:fldCharType="begin"/>
      </w:r>
      <w:r w:rsidRPr="00027624">
        <w:rPr>
          <w:i/>
        </w:rPr>
        <w:instrText xml:space="preserve"> REF _Ref43129626 \r \h </w:instrText>
      </w:r>
      <w:r w:rsidR="00FA7639" w:rsidRPr="00027624">
        <w:rPr>
          <w:i/>
        </w:rPr>
        <w:instrText xml:space="preserve"> \* MERGEFORMAT </w:instrText>
      </w:r>
      <w:r w:rsidRPr="00027624">
        <w:rPr>
          <w:i/>
        </w:rPr>
      </w:r>
      <w:r w:rsidRPr="00027624">
        <w:rPr>
          <w:i/>
        </w:rPr>
        <w:fldChar w:fldCharType="separate"/>
      </w:r>
      <w:r w:rsidR="00891058">
        <w:rPr>
          <w:i/>
        </w:rPr>
        <w:t>Box 2C-4</w:t>
      </w:r>
      <w:r w:rsidRPr="00027624">
        <w:rPr>
          <w:i/>
        </w:rPr>
        <w:fldChar w:fldCharType="end"/>
      </w:r>
      <w:r w:rsidRPr="00027624">
        <w:rPr>
          <w:i/>
        </w:rPr>
        <w:t>)</w:t>
      </w:r>
      <w:r w:rsidRPr="00027624">
        <w:t>. Accessing home equity can help offset the impact on people</w:t>
      </w:r>
      <w:r w:rsidR="00A8443E" w:rsidRPr="00027624">
        <w:t>’</w:t>
      </w:r>
      <w:r w:rsidRPr="00027624">
        <w:t>s liquid assets from using superannuation to pay off a mortgage.</w:t>
      </w:r>
    </w:p>
    <w:p w14:paraId="0F696F00" w14:textId="77777777" w:rsidR="0092760B" w:rsidRPr="00027624" w:rsidRDefault="0092760B" w:rsidP="002A2FAE"/>
    <w:p w14:paraId="5AD40F64" w14:textId="77777777" w:rsidR="001B6C0B" w:rsidRPr="00027624" w:rsidRDefault="001B6C0B" w:rsidP="001B6C0B">
      <w:pPr>
        <w:sectPr w:rsidR="001B6C0B" w:rsidRPr="00027624" w:rsidSect="0092060F">
          <w:type w:val="oddPage"/>
          <w:pgSz w:w="11906" w:h="16838" w:code="9"/>
          <w:pgMar w:top="1418" w:right="1418" w:bottom="1418" w:left="1418" w:header="709" w:footer="709" w:gutter="0"/>
          <w:cols w:space="708"/>
          <w:titlePg/>
          <w:docGrid w:linePitch="360"/>
        </w:sectPr>
      </w:pPr>
      <w:bookmarkStart w:id="593" w:name="_Toc31209586"/>
      <w:bookmarkStart w:id="594" w:name="_Toc31270948"/>
      <w:bookmarkStart w:id="595" w:name="_Toc31274392"/>
      <w:bookmarkStart w:id="596" w:name="_Toc31276224"/>
      <w:bookmarkStart w:id="597" w:name="_Toc31352222"/>
      <w:bookmarkStart w:id="598" w:name="_Toc31720365"/>
      <w:bookmarkStart w:id="599" w:name="_Toc34645026"/>
      <w:bookmarkStart w:id="600" w:name="_Ref43200343"/>
      <w:bookmarkStart w:id="601" w:name="_Ref44350451"/>
    </w:p>
    <w:p w14:paraId="145F589B" w14:textId="77777777" w:rsidR="0092760B" w:rsidRPr="00027624" w:rsidRDefault="0092760B" w:rsidP="000F6C72">
      <w:pPr>
        <w:pStyle w:val="Heading1"/>
      </w:pPr>
      <w:bookmarkStart w:id="602" w:name="_Toc45520477"/>
      <w:bookmarkStart w:id="603" w:name="_Toc46133588"/>
      <w:r w:rsidRPr="00027624">
        <w:lastRenderedPageBreak/>
        <w:t>Policy scenario: Implications of maintaining the SG rate</w:t>
      </w:r>
      <w:bookmarkEnd w:id="593"/>
      <w:bookmarkEnd w:id="594"/>
      <w:bookmarkEnd w:id="595"/>
      <w:bookmarkEnd w:id="596"/>
      <w:bookmarkEnd w:id="597"/>
      <w:bookmarkEnd w:id="598"/>
      <w:bookmarkEnd w:id="599"/>
      <w:bookmarkEnd w:id="600"/>
      <w:bookmarkEnd w:id="602"/>
      <w:bookmarkEnd w:id="603"/>
    </w:p>
    <w:tbl>
      <w:tblPr>
        <w:tblpPr w:leftFromText="180" w:rightFromText="180" w:vertAnchor="text" w:tblpY="1"/>
        <w:tblOverlap w:val="never"/>
        <w:tblW w:w="5000" w:type="pct"/>
        <w:shd w:val="clear" w:color="auto" w:fill="DFD7E7" w:themeFill="accent3" w:themeFillTint="33"/>
        <w:tblLook w:val="01E0" w:firstRow="1" w:lastRow="1" w:firstColumn="1" w:lastColumn="1" w:noHBand="0" w:noVBand="0"/>
      </w:tblPr>
      <w:tblGrid>
        <w:gridCol w:w="9070"/>
      </w:tblGrid>
      <w:tr w:rsidR="0092760B" w:rsidRPr="00027624" w14:paraId="28818A4C" w14:textId="77777777" w:rsidTr="002A2FAE">
        <w:tc>
          <w:tcPr>
            <w:tcW w:w="5000" w:type="pct"/>
            <w:shd w:val="clear" w:color="auto" w:fill="DFD7E7" w:themeFill="accent3" w:themeFillTint="33"/>
          </w:tcPr>
          <w:p w14:paraId="28D6EDA7" w14:textId="77777777" w:rsidR="0092760B" w:rsidRPr="00027624" w:rsidRDefault="0092760B" w:rsidP="00325A8D">
            <w:pPr>
              <w:pStyle w:val="BoxHeading"/>
            </w:pPr>
            <w:r w:rsidRPr="00027624">
              <w:t>Section summary</w:t>
            </w:r>
          </w:p>
          <w:p w14:paraId="5867F41C" w14:textId="77777777" w:rsidR="0092760B" w:rsidRPr="00027624" w:rsidRDefault="0092760B" w:rsidP="0092760B">
            <w:pPr>
              <w:pStyle w:val="BoxBullet"/>
              <w:rPr>
                <w:rFonts w:asciiTheme="minorHAnsi" w:eastAsiaTheme="minorEastAsia" w:hAnsiTheme="minorHAnsi" w:cstheme="minorBidi"/>
                <w:b/>
                <w:bCs/>
              </w:rPr>
            </w:pPr>
            <w:r w:rsidRPr="00027624">
              <w:rPr>
                <w:b/>
                <w:bCs/>
              </w:rPr>
              <w:t xml:space="preserve">Projections based on maintaining the SG rate at 9.5 per cent highlight that efficient use of savings can have a major impact on the adequacy of retirement outcomes. </w:t>
            </w:r>
            <w:r w:rsidRPr="00027624">
              <w:t>Efficiently drawing down assets in retirement provides people with the opportunity to save less for retirement and maintain higher working</w:t>
            </w:r>
            <w:r w:rsidR="00A8443E" w:rsidRPr="00027624">
              <w:noBreakHyphen/>
            </w:r>
            <w:r w:rsidRPr="00027624">
              <w:t>life incomes. Insufficient attention has been given to assisting people</w:t>
            </w:r>
            <w:r w:rsidR="00A32A9A" w:rsidRPr="00027624">
              <w:t xml:space="preserve"> to</w:t>
            </w:r>
            <w:r w:rsidRPr="00027624">
              <w:t xml:space="preserve"> optimise their retirement income through the efficient use of their savings.</w:t>
            </w:r>
          </w:p>
          <w:p w14:paraId="270CCB36" w14:textId="77777777" w:rsidR="0092760B" w:rsidRPr="00027624" w:rsidRDefault="0092760B" w:rsidP="0092760B">
            <w:pPr>
              <w:pStyle w:val="BoxBullet"/>
              <w:rPr>
                <w:b/>
              </w:rPr>
            </w:pPr>
            <w:r w:rsidRPr="00027624">
              <w:rPr>
                <w:b/>
              </w:rPr>
              <w:t>Balancing people</w:t>
            </w:r>
            <w:r w:rsidR="00A8443E" w:rsidRPr="00027624">
              <w:rPr>
                <w:b/>
              </w:rPr>
              <w:t>’</w:t>
            </w:r>
            <w:r w:rsidRPr="00027624">
              <w:rPr>
                <w:b/>
              </w:rPr>
              <w:t>s standard of living between working life and retirement with a universal SG is challenging.</w:t>
            </w:r>
            <w:r w:rsidRPr="00027624">
              <w:t xml:space="preserve"> There is a diverse range of incomes and working</w:t>
            </w:r>
            <w:r w:rsidR="00A8443E" w:rsidRPr="00027624">
              <w:noBreakHyphen/>
            </w:r>
            <w:r w:rsidRPr="00027624">
              <w:t>life experience across the population that affect how the SG will impact their retirement and working</w:t>
            </w:r>
            <w:r w:rsidR="00A8443E" w:rsidRPr="00027624">
              <w:noBreakHyphen/>
            </w:r>
            <w:r w:rsidRPr="00027624">
              <w:t>life incomes.</w:t>
            </w:r>
          </w:p>
          <w:p w14:paraId="30DCA5D1" w14:textId="77777777" w:rsidR="0092760B" w:rsidRPr="00027624" w:rsidRDefault="0092760B" w:rsidP="0092760B">
            <w:pPr>
              <w:pStyle w:val="BoxBullet"/>
              <w:rPr>
                <w:b/>
              </w:rPr>
            </w:pPr>
            <w:r w:rsidRPr="00027624">
              <w:rPr>
                <w:b/>
              </w:rPr>
              <w:t>Maintaining the SG at 9.5 per cent, instead of increasing to 12 per cent, would lead to lower superannuation balances at all income levels.</w:t>
            </w:r>
          </w:p>
          <w:p w14:paraId="1BD21C8B" w14:textId="77777777" w:rsidR="0092760B" w:rsidRPr="00027624" w:rsidRDefault="0092760B" w:rsidP="0092760B">
            <w:pPr>
              <w:pStyle w:val="BoxBullet"/>
            </w:pPr>
            <w:r w:rsidRPr="00027624">
              <w:rPr>
                <w:b/>
                <w:bCs/>
              </w:rPr>
              <w:t xml:space="preserve">If people efficiently use their assets, then with the SG rate remaining at 9.5 per cent, most could achieve adequate retirement incomes when combined with the Age Pension. </w:t>
            </w:r>
            <w:r w:rsidRPr="00027624">
              <w:rPr>
                <w:bCs/>
              </w:rPr>
              <w:t>They could achieve a better balance between their working life and retirement incomes.</w:t>
            </w:r>
          </w:p>
          <w:p w14:paraId="669DBD43" w14:textId="77777777" w:rsidR="0092760B" w:rsidRPr="00027624" w:rsidRDefault="0092760B" w:rsidP="0092760B">
            <w:pPr>
              <w:pStyle w:val="BoxDash"/>
              <w:ind w:left="567"/>
            </w:pPr>
            <w:r w:rsidRPr="00027624">
              <w:rPr>
                <w:b/>
              </w:rPr>
              <w:t>For lower</w:t>
            </w:r>
            <w:r w:rsidR="00A8443E" w:rsidRPr="00027624">
              <w:rPr>
                <w:b/>
              </w:rPr>
              <w:noBreakHyphen/>
            </w:r>
            <w:r w:rsidRPr="00027624">
              <w:rPr>
                <w:b/>
              </w:rPr>
              <w:t xml:space="preserve"> and middle</w:t>
            </w:r>
            <w:r w:rsidR="00A8443E" w:rsidRPr="00027624">
              <w:rPr>
                <w:b/>
              </w:rPr>
              <w:noBreakHyphen/>
            </w:r>
            <w:r w:rsidRPr="00027624">
              <w:rPr>
                <w:b/>
              </w:rPr>
              <w:t>income earners, retirement incomes would be lower than with the SG going to 12 per cent, but would remain above or within the replacement rate benchmark of 65</w:t>
            </w:r>
            <w:r w:rsidR="00A8443E" w:rsidRPr="00027624">
              <w:rPr>
                <w:b/>
              </w:rPr>
              <w:noBreakHyphen/>
            </w:r>
            <w:r w:rsidRPr="00027624">
              <w:rPr>
                <w:b/>
              </w:rPr>
              <w:t xml:space="preserve">75 per cent. </w:t>
            </w:r>
            <w:r w:rsidRPr="00027624">
              <w:t>If these groups draw down their savings in retirement, they could have higher incomes during their working life while still being able to maintain living standards in retirement if the SG stayed at 9.5 per cent.</w:t>
            </w:r>
          </w:p>
          <w:p w14:paraId="4C729918" w14:textId="77777777" w:rsidR="0092760B" w:rsidRPr="00027624" w:rsidRDefault="0092760B" w:rsidP="0092760B">
            <w:pPr>
              <w:pStyle w:val="BoxDash"/>
              <w:ind w:left="567"/>
            </w:pPr>
            <w:r w:rsidRPr="00027624">
              <w:rPr>
                <w:b/>
                <w:bCs/>
              </w:rPr>
              <w:t>Some higher</w:t>
            </w:r>
            <w:r w:rsidR="00A8443E" w:rsidRPr="00027624">
              <w:rPr>
                <w:b/>
                <w:bCs/>
              </w:rPr>
              <w:noBreakHyphen/>
            </w:r>
            <w:r w:rsidRPr="00027624">
              <w:rPr>
                <w:b/>
                <w:bCs/>
              </w:rPr>
              <w:t>income earners would fall marginally below the benchmark replacement rate with a 9.5 per cent SG rate.</w:t>
            </w:r>
            <w:r w:rsidRPr="00027624">
              <w:t xml:space="preserve"> These groups still achieve a level of retirement income that exceeds the ASFA comfortable standard.</w:t>
            </w:r>
          </w:p>
          <w:p w14:paraId="6367FAD1" w14:textId="77777777" w:rsidR="0092760B" w:rsidRPr="00027624" w:rsidRDefault="0092760B" w:rsidP="0092760B">
            <w:pPr>
              <w:pStyle w:val="BoxDash"/>
              <w:ind w:left="567"/>
              <w:rPr>
                <w:b/>
              </w:rPr>
            </w:pPr>
            <w:r w:rsidRPr="00027624">
              <w:rPr>
                <w:b/>
              </w:rPr>
              <w:t>Maintaining the SG rate at 9.5 per cent would allow for higher living standards in working life</w:t>
            </w:r>
            <w:r w:rsidRPr="00027624">
              <w:t>. Working</w:t>
            </w:r>
            <w:r w:rsidR="00A8443E" w:rsidRPr="00027624">
              <w:noBreakHyphen/>
            </w:r>
            <w:r w:rsidRPr="00027624">
              <w:t>life income for most people would be around 2 per cent higher in the longer run.</w:t>
            </w:r>
          </w:p>
          <w:p w14:paraId="270E209C" w14:textId="77777777" w:rsidR="0092760B" w:rsidRPr="00027624" w:rsidRDefault="0092760B" w:rsidP="0092760B">
            <w:pPr>
              <w:pStyle w:val="BoxDash"/>
              <w:ind w:left="567"/>
            </w:pPr>
            <w:r w:rsidRPr="00027624">
              <w:rPr>
                <w:b/>
                <w:bCs/>
              </w:rPr>
              <w:t>Across a lifetime, the increase in total working</w:t>
            </w:r>
            <w:r w:rsidR="00A8443E" w:rsidRPr="00027624">
              <w:rPr>
                <w:b/>
                <w:bCs/>
              </w:rPr>
              <w:noBreakHyphen/>
            </w:r>
            <w:r w:rsidRPr="00027624">
              <w:rPr>
                <w:b/>
                <w:bCs/>
              </w:rPr>
              <w:t>life income could be similar to the fall in total retirement income for middle</w:t>
            </w:r>
            <w:r w:rsidR="00A8443E" w:rsidRPr="00027624">
              <w:rPr>
                <w:b/>
                <w:bCs/>
              </w:rPr>
              <w:noBreakHyphen/>
            </w:r>
            <w:r w:rsidRPr="00027624">
              <w:rPr>
                <w:b/>
                <w:bCs/>
              </w:rPr>
              <w:t>income earners, if people draw on their savings in retirement</w:t>
            </w:r>
            <w:r w:rsidRPr="00027624">
              <w:rPr>
                <w:b/>
              </w:rPr>
              <w:t>.</w:t>
            </w:r>
            <w:r w:rsidRPr="00027624">
              <w:rPr>
                <w:b/>
                <w:bCs/>
              </w:rPr>
              <w:t xml:space="preserve"> </w:t>
            </w:r>
            <w:r w:rsidRPr="00027624">
              <w:t>Lower</w:t>
            </w:r>
            <w:r w:rsidR="00A8443E" w:rsidRPr="00027624">
              <w:noBreakHyphen/>
            </w:r>
            <w:r w:rsidRPr="00027624">
              <w:t xml:space="preserve"> and higher</w:t>
            </w:r>
            <w:r w:rsidR="00A8443E" w:rsidRPr="00027624">
              <w:noBreakHyphen/>
            </w:r>
            <w:r w:rsidRPr="00027624">
              <w:t>income earners lose more retirement income than they gain in working</w:t>
            </w:r>
            <w:r w:rsidR="00A8443E" w:rsidRPr="00027624">
              <w:noBreakHyphen/>
            </w:r>
            <w:r w:rsidRPr="00027624">
              <w:t>life income.</w:t>
            </w:r>
          </w:p>
          <w:p w14:paraId="6405BDBD" w14:textId="77777777" w:rsidR="0092760B" w:rsidRPr="00027624" w:rsidRDefault="0092760B" w:rsidP="0092760B">
            <w:pPr>
              <w:pStyle w:val="BoxDash"/>
              <w:ind w:left="567"/>
            </w:pPr>
            <w:r w:rsidRPr="00027624">
              <w:rPr>
                <w:b/>
              </w:rPr>
              <w:t xml:space="preserve">Many </w:t>
            </w:r>
            <w:r w:rsidR="00D50CC0" w:rsidRPr="00027624">
              <w:rPr>
                <w:b/>
              </w:rPr>
              <w:t>people</w:t>
            </w:r>
            <w:r w:rsidRPr="00027624">
              <w:rPr>
                <w:b/>
              </w:rPr>
              <w:t xml:space="preserve"> in the top half of incomes would not achieve benchmark replacement rates under either a 9.5 per cent or 12 per cent SG rate if they drew down on superannuation at minimum legislated rates.</w:t>
            </w:r>
          </w:p>
          <w:p w14:paraId="4B4CD6EC" w14:textId="77777777" w:rsidR="0092760B" w:rsidRPr="00027624" w:rsidRDefault="0092760B" w:rsidP="0092760B">
            <w:pPr>
              <w:pStyle w:val="BoxBullet"/>
            </w:pPr>
            <w:r w:rsidRPr="00027624">
              <w:rPr>
                <w:b/>
                <w:bCs/>
              </w:rPr>
              <w:t>Maintaining the SG at 9.5 per cent would avoid the increases in inequities associated with the SG rate rising to 12 per cent.</w:t>
            </w:r>
            <w:r w:rsidRPr="00027624">
              <w:t xml:space="preserve"> Since increases in the SG benefit men more than women, maintaining the SG rate at 9.5 per cent would not contribute to widening the retirement income gap between men and women.</w:t>
            </w:r>
          </w:p>
          <w:p w14:paraId="5DDDFEB7" w14:textId="77777777" w:rsidR="0092760B" w:rsidRPr="00027624" w:rsidRDefault="0092760B" w:rsidP="0092760B">
            <w:pPr>
              <w:pStyle w:val="BoxBullet"/>
            </w:pPr>
            <w:r w:rsidRPr="00027624">
              <w:rPr>
                <w:b/>
              </w:rPr>
              <w:t>Maintaining the SG rate at 9.5 per cent would improve the sustainability of the system.</w:t>
            </w:r>
            <w:r w:rsidRPr="00027624">
              <w:t xml:space="preserve"> Higher tax revenues from lower superannuation tax concessions are projected to outweigh higher Age Pension expenditure until the late 2050s. The cumulative saving by 2060 of the change is projected to be about 2.0 per cent of GDP.</w:t>
            </w:r>
          </w:p>
        </w:tc>
      </w:tr>
    </w:tbl>
    <w:p w14:paraId="0CA35AF5" w14:textId="77777777" w:rsidR="0092760B" w:rsidRPr="00027624" w:rsidRDefault="0092760B" w:rsidP="002A2FAE">
      <w:pPr>
        <w:pStyle w:val="Heading2"/>
      </w:pPr>
      <w:bookmarkStart w:id="604" w:name="_Toc45520478"/>
      <w:bookmarkStart w:id="605" w:name="_Toc46133589"/>
      <w:r w:rsidRPr="00027624">
        <w:lastRenderedPageBreak/>
        <w:t xml:space="preserve">Outline of </w:t>
      </w:r>
      <w:r w:rsidR="00594B63" w:rsidRPr="00027624">
        <w:t xml:space="preserve">this </w:t>
      </w:r>
      <w:r w:rsidRPr="00027624">
        <w:t>section</w:t>
      </w:r>
      <w:bookmarkEnd w:id="604"/>
      <w:bookmarkEnd w:id="605"/>
    </w:p>
    <w:p w14:paraId="71E51835" w14:textId="77777777" w:rsidR="0092760B" w:rsidRPr="00027624" w:rsidRDefault="0092760B" w:rsidP="002A2FAE">
      <w:r w:rsidRPr="00027624">
        <w:t>A number of submissions advocated maintaining the SG rate 9.5 per cent. Many others supported the legislated increase in the rate to 12 per cent in five equal instalments commencing from July 2021. Towards improving understanding of the impact of increasing the SG rate, this section assesses the implications of an SG rate at 9.5 per cent compared with the legislated increase to 12 per cent.</w:t>
      </w:r>
    </w:p>
    <w:p w14:paraId="7CDE93B9" w14:textId="77777777" w:rsidR="0092760B" w:rsidRPr="00027624" w:rsidRDefault="0092760B" w:rsidP="002A2FAE">
      <w:r w:rsidRPr="00027624">
        <w:t xml:space="preserve">Analysis focuses on projected retirement outcomes in 2060 for an individual commencing in the workforce in 2020. Consistent with the analysis in </w:t>
      </w:r>
      <w:r w:rsidRPr="00027624">
        <w:rPr>
          <w:i/>
        </w:rPr>
        <w:t>2C. Maintaining living standards in retirement</w:t>
      </w:r>
      <w:r w:rsidRPr="00027624">
        <w:t>, it assumes people efficiently draw down their superannuation assets in retirement. The effect on the adequacy of outcomes should people draw down their superannuation at lower rates is also explored.</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6B8CD2A2" w14:textId="77777777" w:rsidTr="002A2FAE">
        <w:tc>
          <w:tcPr>
            <w:tcW w:w="5000" w:type="pct"/>
            <w:shd w:val="clear" w:color="auto" w:fill="FFF8EA"/>
          </w:tcPr>
          <w:p w14:paraId="01D624C2" w14:textId="77777777" w:rsidR="0092760B" w:rsidRPr="00027624" w:rsidRDefault="0092760B" w:rsidP="005A4479">
            <w:pPr>
              <w:pStyle w:val="BoxHeading"/>
              <w:spacing w:before="120"/>
            </w:pPr>
            <w:bookmarkStart w:id="606" w:name="_Toc31209587"/>
            <w:bookmarkStart w:id="607" w:name="_Toc31270949"/>
            <w:bookmarkStart w:id="608" w:name="_Toc31274393"/>
            <w:bookmarkStart w:id="609" w:name="_Toc31276225"/>
            <w:bookmarkStart w:id="610" w:name="_Toc31352223"/>
            <w:bookmarkStart w:id="611" w:name="_Toc31720366"/>
            <w:bookmarkStart w:id="612" w:name="_Toc34645027"/>
            <w:r w:rsidRPr="00027624">
              <w:t>Stakeholder views on the SG rate</w:t>
            </w:r>
          </w:p>
          <w:p w14:paraId="0F4CE665" w14:textId="77777777" w:rsidR="0092760B" w:rsidRPr="00027624" w:rsidRDefault="0092760B" w:rsidP="005A4479">
            <w:pPr>
              <w:pStyle w:val="BoxText"/>
              <w:spacing w:after="80"/>
            </w:pPr>
            <w:r w:rsidRPr="00027624">
              <w:t>Many submissions noted the importance of SG in improving retirement incomes. Submissions expressed a range of views on the appropriate level of SG and the associated trade</w:t>
            </w:r>
            <w:r w:rsidR="00A8443E" w:rsidRPr="00027624">
              <w:noBreakHyphen/>
            </w:r>
            <w:r w:rsidRPr="00027624">
              <w:t>offs.</w:t>
            </w:r>
            <w:r w:rsidR="000F6C72" w:rsidRPr="00027624">
              <w:t xml:space="preserve"> </w:t>
            </w:r>
          </w:p>
          <w:p w14:paraId="142F61DA" w14:textId="77777777" w:rsidR="0092760B" w:rsidRPr="00027624" w:rsidRDefault="0092760B" w:rsidP="005A4479">
            <w:pPr>
              <w:spacing w:after="80"/>
            </w:pPr>
            <w:r w:rsidRPr="00027624">
              <w:t>Submissions</w:t>
            </w:r>
            <w:r w:rsidR="00A32A9A" w:rsidRPr="00027624">
              <w:t xml:space="preserve"> that supported a 12 per cent or</w:t>
            </w:r>
            <w:r w:rsidRPr="00027624">
              <w:t xml:space="preserve"> higher SG rate suggested the following range of benefits:</w:t>
            </w:r>
          </w:p>
          <w:p w14:paraId="78C9924D" w14:textId="77777777" w:rsidR="0092760B" w:rsidRPr="00027624" w:rsidRDefault="0092760B" w:rsidP="005A4479">
            <w:pPr>
              <w:pStyle w:val="BoxBullet"/>
              <w:spacing w:after="80"/>
            </w:pPr>
            <w:r w:rsidRPr="00027624">
              <w:rPr>
                <w:b/>
              </w:rPr>
              <w:t>Higher superannuation balances at retirement</w:t>
            </w:r>
            <w:r w:rsidRPr="00027624">
              <w:t>. Higher lifetime superannuation contributions increase the potential for higher retirement incomes and improved adequacy outcomes for groups who may otherwise be at risk of lower living standards in retirement.</w:t>
            </w:r>
          </w:p>
          <w:p w14:paraId="67FE9752" w14:textId="77777777" w:rsidR="0092760B" w:rsidRPr="00027624" w:rsidRDefault="0092760B" w:rsidP="005A4479">
            <w:pPr>
              <w:pStyle w:val="BoxBullet"/>
              <w:spacing w:after="80"/>
            </w:pPr>
            <w:r w:rsidRPr="00027624">
              <w:rPr>
                <w:b/>
              </w:rPr>
              <w:t>A higher proportion of the population achieving the ASFA comfortable standard</w:t>
            </w:r>
            <w:r w:rsidRPr="00027624">
              <w:t>. Several superannuation funds and unions noted that a higher SG rate would increase the proportion of the population who achieve the ASFA comfortable standard under a mature system.</w:t>
            </w:r>
          </w:p>
          <w:p w14:paraId="2D000EAA" w14:textId="77777777" w:rsidR="0092760B" w:rsidRPr="00027624" w:rsidRDefault="00A8443E" w:rsidP="005A4479">
            <w:pPr>
              <w:pStyle w:val="Quote"/>
              <w:spacing w:before="120" w:after="120"/>
              <w:ind w:left="862" w:right="862"/>
            </w:pPr>
            <w:r w:rsidRPr="00027624">
              <w:t>‘</w:t>
            </w:r>
            <w:r w:rsidR="0092760B" w:rsidRPr="00027624">
              <w:t>Increasing the SG to 12 per cent will help workers in the middle‐income cohorts reach ASFA Comfortable, by the time of retirement, who otherwise might not attain that benchmark.</w:t>
            </w:r>
            <w:r w:rsidRPr="00027624">
              <w:t>’</w:t>
            </w:r>
            <w:sdt>
              <w:sdtPr>
                <w:id w:val="2119021008"/>
                <w:citation/>
              </w:sdtPr>
              <w:sdtEndPr/>
              <w:sdtContent>
                <w:r w:rsidR="003C6636">
                  <w:fldChar w:fldCharType="begin"/>
                </w:r>
                <w:r w:rsidR="003C6636">
                  <w:instrText xml:space="preserve">CITATION ASF20Sub \p 12 \l 3081 </w:instrText>
                </w:r>
                <w:r w:rsidR="003C6636">
                  <w:fldChar w:fldCharType="separate"/>
                </w:r>
                <w:r w:rsidR="00E83F6E">
                  <w:rPr>
                    <w:noProof/>
                  </w:rPr>
                  <w:t xml:space="preserve"> (ASFA, 2020a, p. 12)</w:t>
                </w:r>
                <w:r w:rsidR="003C6636">
                  <w:fldChar w:fldCharType="end"/>
                </w:r>
              </w:sdtContent>
            </w:sdt>
          </w:p>
          <w:p w14:paraId="763F5C7B" w14:textId="77777777" w:rsidR="0092760B" w:rsidRPr="00027624" w:rsidRDefault="0092760B" w:rsidP="005A4479">
            <w:pPr>
              <w:pStyle w:val="BoxBullet"/>
              <w:spacing w:after="80"/>
            </w:pPr>
            <w:r w:rsidRPr="00027624">
              <w:rPr>
                <w:b/>
                <w:bCs/>
              </w:rPr>
              <w:t>Improve retirement outcomes for women.</w:t>
            </w:r>
            <w:r w:rsidRPr="00027624">
              <w:t xml:space="preserve"> A range of views were put forward concerning the impact of higher SG on women. Some submissions noted that by improving retirement incomes for all lower</w:t>
            </w:r>
            <w:r w:rsidR="00A8443E" w:rsidRPr="00027624">
              <w:noBreakHyphen/>
            </w:r>
            <w:r w:rsidRPr="00027624">
              <w:t>income earners, higher SG would improve adequacy for women. Other submissions suggested that higher SG will help women with broken work patterns to build superannuation balances, reducing the gender retirement income gap.</w:t>
            </w:r>
          </w:p>
          <w:p w14:paraId="77CBDAE2" w14:textId="77777777" w:rsidR="0092760B" w:rsidRPr="00027624" w:rsidRDefault="0092760B" w:rsidP="005A4479">
            <w:pPr>
              <w:pStyle w:val="BoxBullet"/>
              <w:spacing w:after="80"/>
            </w:pPr>
            <w:r w:rsidRPr="00027624">
              <w:rPr>
                <w:b/>
                <w:bCs/>
              </w:rPr>
              <w:t>Improve long</w:t>
            </w:r>
            <w:r w:rsidR="00A8443E" w:rsidRPr="00027624">
              <w:rPr>
                <w:b/>
                <w:bCs/>
              </w:rPr>
              <w:noBreakHyphen/>
            </w:r>
            <w:r w:rsidRPr="00027624">
              <w:rPr>
                <w:b/>
                <w:bCs/>
              </w:rPr>
              <w:t xml:space="preserve">term fiscal sustainability through lower Age Pension </w:t>
            </w:r>
            <w:r w:rsidRPr="00027624">
              <w:rPr>
                <w:b/>
              </w:rPr>
              <w:t>expenditure</w:t>
            </w:r>
            <w:r w:rsidRPr="00027624">
              <w:t>. Submissions noted that higher SG would lead to a smaller proportion of the population relying on the Age Pension in retirement, with more pensioners relying on a part</w:t>
            </w:r>
            <w:r w:rsidR="00A8443E" w:rsidRPr="00027624">
              <w:noBreakHyphen/>
            </w:r>
            <w:r w:rsidRPr="00027624">
              <w:t>rate rather than full</w:t>
            </w:r>
            <w:r w:rsidR="00A8443E" w:rsidRPr="00027624">
              <w:noBreakHyphen/>
            </w:r>
            <w:r w:rsidRPr="00027624">
              <w:t>rate pension. Lower Age Pension reliance would reduce the fiscal cost to future governments.</w:t>
            </w:r>
          </w:p>
          <w:p w14:paraId="62990836" w14:textId="77777777" w:rsidR="0092760B" w:rsidRPr="00027624" w:rsidRDefault="0092760B" w:rsidP="005A4479">
            <w:pPr>
              <w:pStyle w:val="BoxText"/>
              <w:spacing w:after="80"/>
            </w:pPr>
            <w:r w:rsidRPr="00027624">
              <w:t>Other submissions drew attention to:</w:t>
            </w:r>
          </w:p>
          <w:p w14:paraId="23DCE00D" w14:textId="77777777" w:rsidR="0092760B" w:rsidRPr="00027624" w:rsidRDefault="0092760B" w:rsidP="005A4479">
            <w:pPr>
              <w:pStyle w:val="BoxBullet"/>
              <w:spacing w:after="80"/>
            </w:pPr>
            <w:r w:rsidRPr="00027624">
              <w:rPr>
                <w:b/>
                <w:bCs/>
              </w:rPr>
              <w:t>Replacement rates with a 9.5 per cent SG rate are adequate for most incomes</w:t>
            </w:r>
            <w:r w:rsidRPr="00027624">
              <w:rPr>
                <w:b/>
              </w:rPr>
              <w:t>.</w:t>
            </w:r>
            <w:r w:rsidRPr="00027624">
              <w:t xml:space="preserve"> Submissions noted that for most incomes, replacement rates being delivered to retirees at least meet replacement rate targets.</w:t>
            </w:r>
          </w:p>
          <w:p w14:paraId="6B8C23CB" w14:textId="77777777" w:rsidR="0092760B" w:rsidRPr="00027624" w:rsidRDefault="0092760B" w:rsidP="005A4479">
            <w:pPr>
              <w:pStyle w:val="BoxBullet"/>
              <w:spacing w:after="80"/>
            </w:pPr>
            <w:r w:rsidRPr="00027624">
              <w:rPr>
                <w:b/>
                <w:bCs/>
              </w:rPr>
              <w:t>Higher SG rates may make the system relatively less equitable</w:t>
            </w:r>
            <w:r w:rsidRPr="00027624">
              <w:t xml:space="preserve"> by amplifying income inequality experienced during working life. A higher SG could increase pressure on lower</w:t>
            </w:r>
            <w:r w:rsidR="00A8443E" w:rsidRPr="00027624">
              <w:noBreakHyphen/>
            </w:r>
            <w:r w:rsidRPr="00027624">
              <w:t>income earners during working life through lower incomes, while providing higher</w:t>
            </w:r>
            <w:r w:rsidR="00A8443E" w:rsidRPr="00027624">
              <w:noBreakHyphen/>
            </w:r>
            <w:r w:rsidRPr="00027624">
              <w:t>income earners with much of the benefit of an increase through higher relative tax concessions.</w:t>
            </w:r>
          </w:p>
          <w:p w14:paraId="7A46111D" w14:textId="77777777" w:rsidR="0092760B" w:rsidRPr="00027624" w:rsidRDefault="00A8443E" w:rsidP="005A4479">
            <w:pPr>
              <w:pStyle w:val="Quote"/>
              <w:spacing w:before="120" w:after="120"/>
              <w:ind w:left="862" w:right="862"/>
            </w:pPr>
            <w:r w:rsidRPr="00027624">
              <w:t>‘</w:t>
            </w:r>
            <w:r w:rsidR="0092760B" w:rsidRPr="00027624">
              <w:t>To the extent that compulsory superannuation contributions are offset by lower wage increases, a Superannuation Guarantee at 12% could exacerbate financial pressures for people with persistently low incomes during working life, including many workers with limited qualifications, women with broken employment patterns, and people with disabilities or chronic illness.</w:t>
            </w:r>
            <w:r w:rsidRPr="00027624">
              <w:t>’</w:t>
            </w:r>
            <w:r w:rsidR="00563492" w:rsidRPr="00027624">
              <w:t xml:space="preserve"> </w:t>
            </w:r>
            <w:sdt>
              <w:sdtPr>
                <w:id w:val="399261749"/>
                <w:citation/>
              </w:sdtPr>
              <w:sdtEndPr>
                <w:rPr>
                  <w:i w:val="0"/>
                </w:rPr>
              </w:sdtEndPr>
              <w:sdtContent>
                <w:r w:rsidR="00563492" w:rsidRPr="00027624">
                  <w:rPr>
                    <w:i w:val="0"/>
                  </w:rPr>
                  <w:fldChar w:fldCharType="begin"/>
                </w:r>
                <w:r w:rsidR="00563492">
                  <w:rPr>
                    <w:i w:val="0"/>
                  </w:rPr>
                  <w:instrText xml:space="preserve">CITATION ACO202 \p 27 \l 3081 </w:instrText>
                </w:r>
                <w:r w:rsidR="00563492" w:rsidRPr="00027624">
                  <w:rPr>
                    <w:i w:val="0"/>
                  </w:rPr>
                  <w:fldChar w:fldCharType="separate"/>
                </w:r>
                <w:r w:rsidR="00E83F6E">
                  <w:rPr>
                    <w:noProof/>
                  </w:rPr>
                  <w:t>(Australian Council of Social Service, 2020, p. 27)</w:t>
                </w:r>
                <w:r w:rsidR="00563492" w:rsidRPr="00027624">
                  <w:rPr>
                    <w:i w:val="0"/>
                  </w:rPr>
                  <w:fldChar w:fldCharType="end"/>
                </w:r>
              </w:sdtContent>
            </w:sdt>
          </w:p>
          <w:p w14:paraId="6D0B74CD" w14:textId="77777777" w:rsidR="0092760B" w:rsidRPr="00027624" w:rsidRDefault="0092760B" w:rsidP="0092760B">
            <w:pPr>
              <w:pStyle w:val="BoxBullet"/>
            </w:pPr>
            <w:r w:rsidRPr="00027624">
              <w:rPr>
                <w:b/>
                <w:bCs/>
              </w:rPr>
              <w:t xml:space="preserve">Higher SG may negatively impact the sustainability of the system. </w:t>
            </w:r>
            <w:r w:rsidRPr="00027624">
              <w:rPr>
                <w:bCs/>
              </w:rPr>
              <w:t>The cost of higher superannuation tax concessions may exceed the reduction in Age Pension expenditure</w:t>
            </w:r>
            <w:r w:rsidRPr="00027624">
              <w:t xml:space="preserve">. </w:t>
            </w:r>
          </w:p>
        </w:tc>
      </w:tr>
    </w:tbl>
    <w:p w14:paraId="14797BED" w14:textId="77777777" w:rsidR="0092760B" w:rsidRPr="00027624" w:rsidRDefault="0092760B" w:rsidP="002A2FAE">
      <w:pPr>
        <w:pStyle w:val="Heading2"/>
      </w:pPr>
      <w:bookmarkStart w:id="613" w:name="_Toc45520479"/>
      <w:bookmarkStart w:id="614" w:name="_Toc46133590"/>
      <w:bookmarkEnd w:id="606"/>
      <w:bookmarkEnd w:id="607"/>
      <w:bookmarkEnd w:id="608"/>
      <w:bookmarkEnd w:id="609"/>
      <w:bookmarkEnd w:id="610"/>
      <w:bookmarkEnd w:id="611"/>
      <w:bookmarkEnd w:id="612"/>
      <w:r w:rsidRPr="00027624">
        <w:lastRenderedPageBreak/>
        <w:t>The impact of maintaining the SG at its current rate</w:t>
      </w:r>
      <w:bookmarkEnd w:id="613"/>
      <w:bookmarkEnd w:id="614"/>
    </w:p>
    <w:p w14:paraId="1393FC4E" w14:textId="77777777" w:rsidR="0092760B" w:rsidRPr="00027624" w:rsidRDefault="0092760B" w:rsidP="002A2FAE">
      <w:pPr>
        <w:pStyle w:val="Heading3"/>
      </w:pPr>
      <w:r w:rsidRPr="00027624">
        <w:t>Effect on adequacy</w:t>
      </w:r>
    </w:p>
    <w:p w14:paraId="2F430192" w14:textId="77777777" w:rsidR="0092760B" w:rsidRPr="00027624" w:rsidRDefault="0092760B" w:rsidP="002A2FAE">
      <w:pPr>
        <w:pStyle w:val="Heading4"/>
      </w:pPr>
      <w:r w:rsidRPr="00027624">
        <w:t>Aggregate impact on superannuation balances</w:t>
      </w:r>
    </w:p>
    <w:p w14:paraId="38A01196" w14:textId="48D53DCF" w:rsidR="0092760B" w:rsidRPr="00027624" w:rsidRDefault="0092760B" w:rsidP="002A2FAE">
      <w:r w:rsidRPr="00027624">
        <w:t>Maintaining the SG rate at 9.5 per cent would lead to lower superannuation balances in retirement at all income levels compared with a 12 per cent SG rate (</w:t>
      </w:r>
      <w:r w:rsidRPr="00027624">
        <w:fldChar w:fldCharType="begin"/>
      </w:r>
      <w:r w:rsidRPr="00027624">
        <w:instrText xml:space="preserve"> REF _Ref39603022 \r \h  \* MERGEFORMAT </w:instrText>
      </w:r>
      <w:r w:rsidRPr="00027624">
        <w:fldChar w:fldCharType="separate"/>
      </w:r>
      <w:r w:rsidR="00891058">
        <w:t>Chart 2D-1</w:t>
      </w:r>
      <w:r w:rsidRPr="00027624">
        <w:fldChar w:fldCharType="end"/>
      </w:r>
      <w:r w:rsidRPr="00027624">
        <w:t>). For middle</w:t>
      </w:r>
      <w:r w:rsidR="00A8443E" w:rsidRPr="00027624">
        <w:noBreakHyphen/>
      </w:r>
      <w:r w:rsidRPr="00027624">
        <w:t xml:space="preserve"> and higher</w:t>
      </w:r>
      <w:r w:rsidR="00A8443E" w:rsidRPr="00027624">
        <w:noBreakHyphen/>
      </w:r>
      <w:r w:rsidRPr="00027624">
        <w:t>income earners, superannuation balances at retirement would be around 14</w:t>
      </w:r>
      <w:r w:rsidR="00A8443E" w:rsidRPr="00027624">
        <w:noBreakHyphen/>
      </w:r>
      <w:r w:rsidRPr="00027624">
        <w:t>15 per cent lower than they would be with a</w:t>
      </w:r>
      <w:r w:rsidR="00336D14" w:rsidRPr="00027624">
        <w:t>n</w:t>
      </w:r>
      <w:r w:rsidRPr="00027624">
        <w:t xml:space="preserve"> SG rate of 12 per cent.</w:t>
      </w:r>
    </w:p>
    <w:p w14:paraId="6FCF6F45" w14:textId="77777777" w:rsidR="0092760B" w:rsidRPr="00027624" w:rsidRDefault="0092760B" w:rsidP="002A2FAE">
      <w:r w:rsidRPr="00027624">
        <w:t>For lower</w:t>
      </w:r>
      <w:r w:rsidR="00A8443E" w:rsidRPr="00027624">
        <w:noBreakHyphen/>
      </w:r>
      <w:r w:rsidRPr="00027624">
        <w:t>income earners, balances at retirement are projected to be around 16</w:t>
      </w:r>
      <w:r w:rsidR="00A8443E" w:rsidRPr="00027624">
        <w:noBreakHyphen/>
      </w:r>
      <w:r w:rsidRPr="00027624">
        <w:t>18 per cent lower than under a 12 per cent SG rate. Impacts would be higher for this group as they:</w:t>
      </w:r>
    </w:p>
    <w:p w14:paraId="03ECAAB9" w14:textId="77777777" w:rsidR="0092760B" w:rsidRPr="00027624" w:rsidRDefault="0092760B" w:rsidP="0092760B">
      <w:pPr>
        <w:pStyle w:val="Bullet"/>
      </w:pPr>
      <w:r w:rsidRPr="00027624">
        <w:t>Keep more of their SG contribut</w:t>
      </w:r>
      <w:r w:rsidR="005A67EA" w:rsidRPr="00027624">
        <w:t xml:space="preserve">ions after factoring in the low </w:t>
      </w:r>
      <w:r w:rsidRPr="00027624">
        <w:t>income superannuation tax offset</w:t>
      </w:r>
    </w:p>
    <w:p w14:paraId="295E2A0A" w14:textId="77777777" w:rsidR="0092760B" w:rsidRPr="00027624" w:rsidRDefault="0092760B" w:rsidP="0092760B">
      <w:pPr>
        <w:pStyle w:val="Bullet"/>
      </w:pPr>
      <w:r w:rsidRPr="00027624">
        <w:t>Are less able to adjust voluntary savings in response to different SG rates</w:t>
      </w:r>
    </w:p>
    <w:p w14:paraId="1C7F8944" w14:textId="77777777" w:rsidR="0092760B" w:rsidRPr="00027624" w:rsidRDefault="0092760B" w:rsidP="00FC7361">
      <w:pPr>
        <w:pStyle w:val="ChartMainHeading"/>
        <w:numPr>
          <w:ilvl w:val="2"/>
          <w:numId w:val="105"/>
        </w:numPr>
      </w:pPr>
      <w:bookmarkStart w:id="615" w:name="_Ref39603022"/>
      <w:bookmarkStart w:id="616" w:name="_Ref44596756"/>
      <w:r w:rsidRPr="00027624">
        <w:t xml:space="preserve">Projected superannuation balance at retirement, </w:t>
      </w:r>
      <w:bookmarkEnd w:id="615"/>
      <w:bookmarkEnd w:id="616"/>
      <w:r w:rsidRPr="00027624">
        <w:t>by SG rate</w:t>
      </w:r>
    </w:p>
    <w:p w14:paraId="63C1C20E" w14:textId="77777777" w:rsidR="0092760B" w:rsidRPr="00027624" w:rsidRDefault="00F53A28" w:rsidP="002A2FAE">
      <w:pPr>
        <w:pStyle w:val="ChartGraphic"/>
      </w:pPr>
      <w:r>
        <w:rPr>
          <w:noProof/>
        </w:rPr>
        <w:drawing>
          <wp:inline distT="0" distB="0" distL="0" distR="0" wp14:anchorId="38F0B746" wp14:editId="05B3BC3E">
            <wp:extent cx="5570220" cy="2522220"/>
            <wp:effectExtent l="0" t="0" r="0" b="0"/>
            <wp:docPr id="27" name="Picture 27" descr="This chart shows that superannuation balances at retirement would be around 14-15 per cent lower with a 9.5 per cent SG rate than with a 12 per cent SG rate. Lower income individuals experience a larger reduction in superannuation balances at retirement of between 16-18 per cent. " title="Chart 2D-1 Projected superannuation balance at retirement, by SG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70220" cy="2522220"/>
                    </a:xfrm>
                    <a:prstGeom prst="rect">
                      <a:avLst/>
                    </a:prstGeom>
                    <a:noFill/>
                  </pic:spPr>
                </pic:pic>
              </a:graphicData>
            </a:graphic>
          </wp:inline>
        </w:drawing>
      </w:r>
    </w:p>
    <w:p w14:paraId="1B3E7073" w14:textId="77777777" w:rsidR="0092760B" w:rsidRPr="00027624" w:rsidRDefault="0092760B" w:rsidP="002A2FAE">
      <w:pPr>
        <w:pStyle w:val="ChartorTableNote"/>
      </w:pPr>
      <w:r w:rsidRPr="00027624">
        <w:t>Note: Modelling is for an individual who commences work in 2020 and retires in 2060 after a 40</w:t>
      </w:r>
      <w:r w:rsidR="00A8443E" w:rsidRPr="00027624">
        <w:noBreakHyphen/>
      </w:r>
      <w:r w:rsidRPr="00027624">
        <w:t>year career. Values are in 2019</w:t>
      </w:r>
      <w:r w:rsidR="00A8443E" w:rsidRPr="00027624">
        <w:noBreakHyphen/>
      </w:r>
      <w:r w:rsidRPr="00027624">
        <w:t xml:space="preserve">20 dollars deflated by average weekly earnings. Percentage change in balance under 9.5 per cent SG is noted for each income percentile. </w:t>
      </w:r>
      <w:r w:rsidRPr="00027624">
        <w:rPr>
          <w:color w:val="000000" w:themeColor="text1"/>
        </w:rPr>
        <w:t>Source:</w:t>
      </w:r>
      <w:r w:rsidRPr="00027624">
        <w:t xml:space="preserve"> Cameo modelling undertaken for the review.</w:t>
      </w:r>
    </w:p>
    <w:p w14:paraId="456CABB1" w14:textId="77777777" w:rsidR="0092760B" w:rsidRPr="00027624" w:rsidRDefault="0092760B" w:rsidP="002A2FAE">
      <w:r w:rsidRPr="00027624">
        <w:t>With a 9.5 per cent SG rate, lower balances would be offset by some other consequent changes, including likely increased voluntary contributions, lower contributions taxes and lower fees.</w:t>
      </w:r>
    </w:p>
    <w:p w14:paraId="75037CD0" w14:textId="22EFF092" w:rsidR="0092760B" w:rsidRPr="00027624" w:rsidRDefault="0092760B" w:rsidP="002A2FAE">
      <w:r w:rsidRPr="00027624">
        <w:rPr>
          <w:rStyle w:val="normaltextrun"/>
          <w:rFonts w:cs="Calibri"/>
          <w:color w:val="000000"/>
          <w:shd w:val="clear" w:color="auto" w:fill="FFFFFF"/>
        </w:rPr>
        <w:t>For example</w:t>
      </w:r>
      <w:r w:rsidRPr="00027624">
        <w:rPr>
          <w:rStyle w:val="normaltextrun"/>
          <w:rFonts w:cs="Calibri"/>
          <w:color w:val="000000" w:themeColor="text1"/>
          <w:shd w:val="clear" w:color="auto" w:fill="FFFFFF"/>
        </w:rPr>
        <w:t>, with a 9.5 per cent SG rate, a median earner would receive around $45,000 less in SG contributions, compared with a 12 per cent SG rate (</w:t>
      </w:r>
      <w:r w:rsidRPr="00027624">
        <w:rPr>
          <w:rStyle w:val="normaltextrun"/>
          <w:rFonts w:cs="Calibri"/>
          <w:color w:val="000000" w:themeColor="text1"/>
          <w:shd w:val="clear" w:color="auto" w:fill="FFFFFF"/>
        </w:rPr>
        <w:fldChar w:fldCharType="begin"/>
      </w:r>
      <w:r w:rsidRPr="00027624">
        <w:rPr>
          <w:rStyle w:val="normaltextrun"/>
          <w:rFonts w:cs="Calibri"/>
          <w:color w:val="000000" w:themeColor="text1"/>
          <w:shd w:val="clear" w:color="auto" w:fill="FFFFFF"/>
        </w:rPr>
        <w:instrText xml:space="preserve"> REF _Ref44585599 \r \h  \* MERGEFORMAT </w:instrText>
      </w:r>
      <w:r w:rsidRPr="00027624">
        <w:rPr>
          <w:rStyle w:val="normaltextrun"/>
          <w:rFonts w:cs="Calibri"/>
          <w:color w:val="000000" w:themeColor="text1"/>
          <w:shd w:val="clear" w:color="auto" w:fill="FFFFFF"/>
        </w:rPr>
      </w:r>
      <w:r w:rsidRPr="00027624">
        <w:rPr>
          <w:rStyle w:val="normaltextrun"/>
          <w:rFonts w:cs="Calibri"/>
          <w:color w:val="000000" w:themeColor="text1"/>
          <w:shd w:val="clear" w:color="auto" w:fill="FFFFFF"/>
        </w:rPr>
        <w:fldChar w:fldCharType="separate"/>
      </w:r>
      <w:r w:rsidR="00891058">
        <w:rPr>
          <w:rStyle w:val="normaltextrun"/>
          <w:rFonts w:cs="Calibri"/>
          <w:color w:val="000000" w:themeColor="text1"/>
          <w:shd w:val="clear" w:color="auto" w:fill="FFFFFF"/>
        </w:rPr>
        <w:t>Chart 2D-2</w:t>
      </w:r>
      <w:r w:rsidRPr="00027624">
        <w:rPr>
          <w:rStyle w:val="normaltextrun"/>
          <w:rFonts w:cs="Calibri"/>
          <w:color w:val="000000" w:themeColor="text1"/>
          <w:shd w:val="clear" w:color="auto" w:fill="FFFFFF"/>
        </w:rPr>
        <w:fldChar w:fldCharType="end"/>
      </w:r>
      <w:r w:rsidRPr="00027624">
        <w:rPr>
          <w:rStyle w:val="normaltextrun"/>
          <w:rFonts w:cs="Calibri"/>
          <w:color w:val="000000" w:themeColor="text1"/>
          <w:shd w:val="clear" w:color="auto" w:fill="FFFFFF"/>
        </w:rPr>
        <w:t>).</w:t>
      </w:r>
      <w:r w:rsidRPr="00027624">
        <w:t xml:space="preserve"> Factors including likely higher voluntary contributions, lower fees and lower taxes would offset this decrease by about 43 per cent ($20,000). As a consequence of net lower contributions, the median earner would also </w:t>
      </w:r>
      <w:r w:rsidRPr="00027624">
        <w:rPr>
          <w:rStyle w:val="normaltextrun"/>
          <w:rFonts w:cs="Calibri"/>
          <w:color w:val="000000" w:themeColor="text1"/>
          <w:shd w:val="clear" w:color="auto" w:fill="FFFFFF"/>
        </w:rPr>
        <w:t>forgo about $41,000 in net compounding (includes the interaction effect).</w:t>
      </w:r>
      <w:r w:rsidRPr="00027624">
        <w:t xml:space="preserve"> This would reduce their total superannuation balance at retirement by about $67,000 (</w:t>
      </w:r>
      <w:r w:rsidRPr="00027624">
        <w:fldChar w:fldCharType="begin"/>
      </w:r>
      <w:r w:rsidRPr="00027624">
        <w:instrText xml:space="preserve"> REF _Ref39742223 \r \h  \* MERGEFORMAT </w:instrText>
      </w:r>
      <w:r w:rsidRPr="00027624">
        <w:fldChar w:fldCharType="separate"/>
      </w:r>
      <w:r w:rsidR="00891058">
        <w:t>Chart 2D-2</w:t>
      </w:r>
      <w:r w:rsidRPr="00027624">
        <w:fldChar w:fldCharType="end"/>
      </w:r>
      <w:r w:rsidRPr="00027624">
        <w:t>). The degree to which the above factors offset the forgone superannuation contributions would vary by income level. They are estimated to offset almost two</w:t>
      </w:r>
      <w:r w:rsidR="00A8443E" w:rsidRPr="00027624">
        <w:noBreakHyphen/>
      </w:r>
      <w:r w:rsidRPr="00027624">
        <w:t>thirds of the forgone SG payments for income earners in the 99</w:t>
      </w:r>
      <w:r w:rsidRPr="00027624">
        <w:rPr>
          <w:vertAlign w:val="superscript"/>
        </w:rPr>
        <w:t>th</w:t>
      </w:r>
      <w:r w:rsidRPr="00027624">
        <w:t xml:space="preserve"> percentile, falling to about 20 per cent for lower</w:t>
      </w:r>
      <w:r w:rsidR="00A8443E" w:rsidRPr="00027624">
        <w:noBreakHyphen/>
      </w:r>
      <w:r w:rsidRPr="00027624">
        <w:t>income earners.</w:t>
      </w:r>
    </w:p>
    <w:p w14:paraId="21D83DC3" w14:textId="77777777" w:rsidR="0092760B" w:rsidRPr="00027624" w:rsidRDefault="0092760B" w:rsidP="00325A8D">
      <w:pPr>
        <w:pStyle w:val="ChartMainHeading"/>
      </w:pPr>
      <w:bookmarkStart w:id="617" w:name="_Ref39742223"/>
      <w:bookmarkStart w:id="618" w:name="_Ref44585599"/>
      <w:r w:rsidRPr="00027624">
        <w:lastRenderedPageBreak/>
        <w:t>Composition of change in superannuation balance at retirement with a 9.5 per cent SG rate relative to a 12 per cent SG rate, median earner</w:t>
      </w:r>
      <w:bookmarkEnd w:id="617"/>
      <w:bookmarkEnd w:id="618"/>
    </w:p>
    <w:p w14:paraId="7FC6219A" w14:textId="77777777" w:rsidR="0092760B" w:rsidRPr="00027624" w:rsidRDefault="00F53A28" w:rsidP="002A2FAE">
      <w:pPr>
        <w:pStyle w:val="ChartGraphic"/>
      </w:pPr>
      <w:r>
        <w:rPr>
          <w:noProof/>
        </w:rPr>
        <w:drawing>
          <wp:inline distT="0" distB="0" distL="0" distR="0" wp14:anchorId="5B4958C2" wp14:editId="27DEFA32">
            <wp:extent cx="5539740" cy="2529840"/>
            <wp:effectExtent l="0" t="0" r="3810" b="3810"/>
            <wp:docPr id="31" name="Picture 31" descr="This chart shows how a lower SG reduces balances at retirement. The median earner would receive $45,300 less in SG contributions with a 9.5 per cent SG rate compared to a 12 per cent SG rate. This reduction is partially offset by a projected $7,900 additional salary sacrifice contributions, $5,600 less superannuation contributions tax, and $6,200 less in superannuation fees and insurance premiums. As a result of the lower SG contributions, the median earner is projected to receive $30,800 less in net compounding and $10,400 less in compounding associated with interactions between components. The net reduction in superannuation balance at retirement for the median earner is $66,800." title="Chart 2D-2 Composition of change in superannuation balance at retirement with a 9.5 per cent SG rate relative to a 12 per cent SG rate, 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39740" cy="2529840"/>
                    </a:xfrm>
                    <a:prstGeom prst="rect">
                      <a:avLst/>
                    </a:prstGeom>
                    <a:noFill/>
                  </pic:spPr>
                </pic:pic>
              </a:graphicData>
            </a:graphic>
          </wp:inline>
        </w:drawing>
      </w:r>
    </w:p>
    <w:p w14:paraId="6F0400E3" w14:textId="77777777" w:rsidR="0092760B" w:rsidRPr="00027624" w:rsidRDefault="0092760B" w:rsidP="002A2FAE">
      <w:pPr>
        <w:pStyle w:val="ChartorTableNote"/>
      </w:pPr>
      <w:r w:rsidRPr="00027624">
        <w:t>Note: Values are in 2019</w:t>
      </w:r>
      <w:r w:rsidR="00A8443E" w:rsidRPr="00027624">
        <w:noBreakHyphen/>
      </w:r>
      <w:r w:rsidRPr="00027624">
        <w:t xml:space="preserve">20 dollars deflated by average weekly earnings and rounded to the nearest $100. Change in balance at retirement compares retirement at age 67 in 2060, under current policy settings and SG held constant at 9.5 per cent. </w:t>
      </w:r>
      <w:r w:rsidR="00A8443E" w:rsidRPr="00027624">
        <w:t>‘</w:t>
      </w:r>
      <w:r w:rsidRPr="00027624">
        <w:t>Compounding</w:t>
      </w:r>
      <w:r w:rsidR="00A8443E" w:rsidRPr="00027624">
        <w:t>’</w:t>
      </w:r>
      <w:r w:rsidRPr="00027624">
        <w:t xml:space="preserve"> is the impact of real investment returns on superannuation balance accumulation during working life. The </w:t>
      </w:r>
      <w:r w:rsidR="00A8443E" w:rsidRPr="00027624">
        <w:t>‘</w:t>
      </w:r>
      <w:r w:rsidRPr="00027624">
        <w:t>Interaction</w:t>
      </w:r>
      <w:r w:rsidR="00A8443E" w:rsidRPr="00027624">
        <w:t>’</w:t>
      </w:r>
      <w:r w:rsidRPr="00027624">
        <w:t xml:space="preserve"> field is the interaction between elements. </w:t>
      </w:r>
      <w:r w:rsidRPr="00027624">
        <w:rPr>
          <w:color w:val="000000" w:themeColor="text1"/>
        </w:rPr>
        <w:t>Source:</w:t>
      </w:r>
      <w:r w:rsidRPr="00027624">
        <w:t xml:space="preserve"> Cameo modelling undertaken for the review.</w:t>
      </w:r>
    </w:p>
    <w:p w14:paraId="07A2ECB2" w14:textId="77777777" w:rsidR="0092760B" w:rsidRPr="00027624" w:rsidRDefault="0092760B" w:rsidP="002A2FAE">
      <w:pPr>
        <w:pStyle w:val="Heading5"/>
      </w:pPr>
      <w:r w:rsidRPr="00027624">
        <w:t>Impact on salary sacrifice contributions</w:t>
      </w:r>
    </w:p>
    <w:p w14:paraId="105F0F41" w14:textId="77777777" w:rsidR="0092760B" w:rsidRPr="00027624" w:rsidRDefault="0092760B" w:rsidP="002A2FAE">
      <w:pPr>
        <w:pStyle w:val="Bullet"/>
        <w:numPr>
          <w:ilvl w:val="0"/>
          <w:numId w:val="0"/>
        </w:numPr>
      </w:pPr>
      <w:r w:rsidRPr="00027624">
        <w:t>Maintaining the SG rate at 9.5 per cent would likely result in some people making higher salary sacrifice contributions than they would have under a 12 per cent SG rate.</w:t>
      </w:r>
    </w:p>
    <w:p w14:paraId="29D8F8FF" w14:textId="77777777" w:rsidR="0092760B" w:rsidRPr="00027624" w:rsidRDefault="0092760B" w:rsidP="002A2FAE">
      <w:pPr>
        <w:pStyle w:val="Bullet"/>
        <w:numPr>
          <w:ilvl w:val="0"/>
          <w:numId w:val="0"/>
        </w:numPr>
      </w:pPr>
      <w:r w:rsidRPr="00027624">
        <w:t>Research suggests that each additional dollar of compulsory contributions increases net savings by around 60</w:t>
      </w:r>
      <w:r w:rsidR="00A8443E" w:rsidRPr="00027624">
        <w:noBreakHyphen/>
      </w:r>
      <w:r w:rsidRPr="00027624">
        <w:t>80 cents, as households reduce non</w:t>
      </w:r>
      <w:r w:rsidR="00A8443E" w:rsidRPr="00027624">
        <w:noBreakHyphen/>
      </w:r>
      <w:r w:rsidRPr="00027624">
        <w:t>superannuation financial assets by about 20</w:t>
      </w:r>
      <w:r w:rsidR="00A8443E" w:rsidRPr="00027624">
        <w:noBreakHyphen/>
      </w:r>
      <w:r w:rsidRPr="00027624">
        <w:t>40 cents in response to each additional dollar of compulsory contributions</w:t>
      </w:r>
      <w:sdt>
        <w:sdtPr>
          <w:id w:val="-1001037937"/>
          <w:citation/>
        </w:sdtPr>
        <w:sdtEndPr/>
        <w:sdtContent>
          <w:r w:rsidRPr="00027624">
            <w:fldChar w:fldCharType="begin"/>
          </w:r>
          <w:r w:rsidRPr="00027624">
            <w:instrText xml:space="preserve"> CITATION Con07 \l 3081  \m Rut20</w:instrText>
          </w:r>
          <w:r w:rsidRPr="00027624">
            <w:fldChar w:fldCharType="separate"/>
          </w:r>
          <w:r w:rsidR="00E83F6E">
            <w:rPr>
              <w:noProof/>
            </w:rPr>
            <w:t xml:space="preserve"> (Connolly, 2007; Ruthbah &amp; Pham, 2020a)</w:t>
          </w:r>
          <w:r w:rsidRPr="00027624">
            <w:fldChar w:fldCharType="end"/>
          </w:r>
        </w:sdtContent>
      </w:sdt>
      <w:r w:rsidRPr="00027624">
        <w:t>.</w:t>
      </w:r>
      <w:r w:rsidRPr="00027624">
        <w:rPr>
          <w:rStyle w:val="FootnoteReference"/>
        </w:rPr>
        <w:footnoteReference w:id="111"/>
      </w:r>
      <w:r w:rsidRPr="00027624">
        <w:t xml:space="preserve"> The effect is likely to be larger for higher</w:t>
      </w:r>
      <w:r w:rsidR="00A8443E" w:rsidRPr="00027624">
        <w:noBreakHyphen/>
      </w:r>
      <w:r w:rsidRPr="00027624">
        <w:t xml:space="preserve">income households </w:t>
      </w:r>
      <w:r w:rsidR="00336D14" w:rsidRPr="00027624">
        <w:t>that</w:t>
      </w:r>
      <w:r w:rsidRPr="00027624">
        <w:t xml:space="preserve"> may have greater capacity to adjust voluntary savings behaviour, and smaller for lower</w:t>
      </w:r>
      <w:r w:rsidR="00A8443E" w:rsidRPr="00027624">
        <w:noBreakHyphen/>
      </w:r>
      <w:r w:rsidRPr="00027624">
        <w:t>income and financially constrained households</w:t>
      </w:r>
      <w:sdt>
        <w:sdtPr>
          <w:id w:val="-2050909632"/>
          <w:citation/>
        </w:sdtPr>
        <w:sdtEndPr/>
        <w:sdtContent>
          <w:r w:rsidRPr="00027624">
            <w:fldChar w:fldCharType="begin"/>
          </w:r>
          <w:r w:rsidRPr="00027624">
            <w:instrText xml:space="preserve">CITATION Con07 \l 3081 </w:instrText>
          </w:r>
          <w:r w:rsidRPr="00027624">
            <w:fldChar w:fldCharType="separate"/>
          </w:r>
          <w:r w:rsidR="00E83F6E">
            <w:rPr>
              <w:noProof/>
            </w:rPr>
            <w:t xml:space="preserve"> (Connolly, 2007)</w:t>
          </w:r>
          <w:r w:rsidRPr="00027624">
            <w:fldChar w:fldCharType="end"/>
          </w:r>
        </w:sdtContent>
      </w:sdt>
      <w:r w:rsidRPr="00027624">
        <w:t>.</w:t>
      </w:r>
    </w:p>
    <w:p w14:paraId="03D513F3" w14:textId="77777777" w:rsidR="0092760B" w:rsidRPr="00027624" w:rsidRDefault="0092760B" w:rsidP="002A2FAE">
      <w:pPr>
        <w:pStyle w:val="Bullet"/>
        <w:numPr>
          <w:ilvl w:val="0"/>
          <w:numId w:val="0"/>
        </w:numPr>
      </w:pPr>
      <w:r w:rsidRPr="00027624">
        <w:t>Research suggests that maintaining the SG rate at 9.5 per cent would mean higher voluntary savings (through salary sacrifice) relative to a 12 per cent SG rate. The effect varies depending on income level:</w:t>
      </w:r>
    </w:p>
    <w:p w14:paraId="206B056E" w14:textId="77777777" w:rsidR="0092760B" w:rsidRPr="00027624" w:rsidRDefault="0092760B" w:rsidP="0092760B">
      <w:pPr>
        <w:pStyle w:val="Bullet"/>
      </w:pPr>
      <w:r w:rsidRPr="00027624">
        <w:t>People in the 10</w:t>
      </w:r>
      <w:r w:rsidRPr="00027624">
        <w:rPr>
          <w:vertAlign w:val="superscript"/>
        </w:rPr>
        <w:t>th</w:t>
      </w:r>
      <w:r w:rsidRPr="00027624">
        <w:t xml:space="preserve"> income percentile are the least likely to make salary sacrifice contributions under any SG rate. Their</w:t>
      </w:r>
      <w:r w:rsidRPr="00027624">
        <w:rPr>
          <w:rStyle w:val="normaltextrun"/>
          <w:rFonts w:cs="Calibri"/>
          <w:color w:val="000000"/>
          <w:szCs w:val="22"/>
          <w:shd w:val="clear" w:color="auto" w:fill="FFFFFF"/>
        </w:rPr>
        <w:t xml:space="preserve"> </w:t>
      </w:r>
      <w:r w:rsidRPr="00027624">
        <w:rPr>
          <w:rStyle w:val="normaltextrun"/>
          <w:rFonts w:cs="Calibri"/>
          <w:color w:val="000000" w:themeColor="text1"/>
          <w:szCs w:val="22"/>
          <w:shd w:val="clear" w:color="auto" w:fill="FFFFFF"/>
        </w:rPr>
        <w:t xml:space="preserve">estimated </w:t>
      </w:r>
      <w:r w:rsidRPr="00027624">
        <w:rPr>
          <w:rStyle w:val="normaltextrun"/>
          <w:rFonts w:cs="Calibri"/>
          <w:color w:val="000000"/>
          <w:szCs w:val="22"/>
          <w:shd w:val="clear" w:color="auto" w:fill="FFFFFF"/>
        </w:rPr>
        <w:t>off</w:t>
      </w:r>
      <w:r w:rsidRPr="00027624">
        <w:t>setting rise in salary sacrifice contributions is the smallest, at 4 per cent of the forgone SG.</w:t>
      </w:r>
    </w:p>
    <w:p w14:paraId="44BC109F" w14:textId="77777777" w:rsidR="0092760B" w:rsidRPr="00027624" w:rsidRDefault="0092760B" w:rsidP="0092760B">
      <w:pPr>
        <w:pStyle w:val="Bullet"/>
      </w:pPr>
      <w:r w:rsidRPr="00027624">
        <w:t>Median</w:t>
      </w:r>
      <w:r w:rsidR="00A8443E" w:rsidRPr="00027624">
        <w:noBreakHyphen/>
      </w:r>
      <w:r w:rsidRPr="00027624">
        <w:t>income earners are estimated to offset about 15 per cent of the forgone SG through higher salary sacrifice contributions.</w:t>
      </w:r>
    </w:p>
    <w:p w14:paraId="7DD67E6C" w14:textId="77777777" w:rsidR="0092760B" w:rsidRPr="00027624" w:rsidRDefault="0092760B" w:rsidP="0092760B">
      <w:pPr>
        <w:pStyle w:val="Bullet"/>
      </w:pPr>
      <w:r w:rsidRPr="00027624">
        <w:t>Income earners in the 99th percentile have the greatest capacity to adjust their savings behaviour. They are estimated to offset about one</w:t>
      </w:r>
      <w:r w:rsidR="00A8443E" w:rsidRPr="00027624">
        <w:noBreakHyphen/>
      </w:r>
      <w:r w:rsidRPr="00027624">
        <w:t>fifth of the change in SG contributions through higher salary sacrifice contributions.</w:t>
      </w:r>
    </w:p>
    <w:p w14:paraId="28BCED32" w14:textId="77777777" w:rsidR="0092760B" w:rsidRPr="00027624" w:rsidRDefault="0092760B" w:rsidP="002A2FAE">
      <w:pPr>
        <w:pStyle w:val="Bullet"/>
        <w:numPr>
          <w:ilvl w:val="0"/>
          <w:numId w:val="0"/>
        </w:numPr>
      </w:pPr>
      <w:r w:rsidRPr="00027624">
        <w:t>For the purpose of modelling adequacy outcomes, the model does not account for any other changes in voluntary savings that may occur. Specifically, the analysis assumes no non</w:t>
      </w:r>
      <w:r w:rsidR="00A8443E" w:rsidRPr="00027624">
        <w:noBreakHyphen/>
      </w:r>
      <w:r w:rsidRPr="00027624">
        <w:t>concessional contributions at either 9.5 per cent or 12 per cent SG, and no effect on savings outside superannuation.</w:t>
      </w:r>
    </w:p>
    <w:p w14:paraId="72E469A8" w14:textId="77777777" w:rsidR="0092760B" w:rsidRPr="00027624" w:rsidRDefault="0092760B" w:rsidP="002A2FAE">
      <w:pPr>
        <w:pStyle w:val="Heading4"/>
      </w:pPr>
      <w:r w:rsidRPr="00027624">
        <w:lastRenderedPageBreak/>
        <w:t>Impact on working</w:t>
      </w:r>
      <w:r w:rsidR="00A8443E" w:rsidRPr="00027624">
        <w:noBreakHyphen/>
      </w:r>
      <w:r w:rsidRPr="00027624">
        <w:t>life incomes</w:t>
      </w:r>
    </w:p>
    <w:p w14:paraId="3FB651B6" w14:textId="77777777" w:rsidR="0092760B" w:rsidRPr="00027624" w:rsidRDefault="0092760B" w:rsidP="002A2FAE">
      <w:r w:rsidRPr="00027624">
        <w:t>Maintaining the SG rate at 9.5 per cent would mean that people keep more of their total remuneration as wages instead of SG contributions. The effect on take</w:t>
      </w:r>
      <w:r w:rsidR="00A8443E" w:rsidRPr="00027624">
        <w:noBreakHyphen/>
      </w:r>
      <w:r w:rsidRPr="00027624">
        <w:t>home pay depends on the:</w:t>
      </w:r>
    </w:p>
    <w:p w14:paraId="50697A60" w14:textId="77777777" w:rsidR="0092760B" w:rsidRPr="00027624" w:rsidRDefault="0092760B" w:rsidP="0092760B">
      <w:pPr>
        <w:pStyle w:val="Bullet"/>
      </w:pPr>
      <w:r w:rsidRPr="00027624">
        <w:t>Degree to which higher SG payments are passed through to lower wage growth</w:t>
      </w:r>
    </w:p>
    <w:p w14:paraId="798884BF" w14:textId="77777777" w:rsidR="0092760B" w:rsidRPr="00027624" w:rsidRDefault="0092760B" w:rsidP="0092760B">
      <w:pPr>
        <w:pStyle w:val="Bullet"/>
      </w:pPr>
      <w:r w:rsidRPr="00027624">
        <w:t>Impact of higher relative wage growth on personal income tax and payments, such as Family Tax Benefit and HELP repayments</w:t>
      </w:r>
    </w:p>
    <w:p w14:paraId="0559855B" w14:textId="77777777" w:rsidR="0092760B" w:rsidRPr="00027624" w:rsidRDefault="0092760B" w:rsidP="002A2FAE">
      <w:pPr>
        <w:pStyle w:val="Heading5"/>
      </w:pPr>
      <w:r w:rsidRPr="00027624">
        <w:t>Impact on working</w:t>
      </w:r>
      <w:r w:rsidR="00A8443E" w:rsidRPr="00027624">
        <w:noBreakHyphen/>
      </w:r>
      <w:r w:rsidRPr="00027624">
        <w:t>life income</w:t>
      </w:r>
    </w:p>
    <w:p w14:paraId="565DB22C" w14:textId="77777777" w:rsidR="0092760B" w:rsidRPr="00027624" w:rsidRDefault="0092760B" w:rsidP="002A2FAE">
      <w:pPr>
        <w:pStyle w:val="Bullet"/>
        <w:numPr>
          <w:ilvl w:val="0"/>
          <w:numId w:val="0"/>
        </w:numPr>
      </w:pPr>
      <w:r w:rsidRPr="00027624">
        <w:t xml:space="preserve">The weight of evidence suggests the majority of SG increases results in lower growth in wages (see </w:t>
      </w:r>
      <w:r w:rsidRPr="00027624">
        <w:rPr>
          <w:i/>
        </w:rPr>
        <w:t xml:space="preserve">Appendix 6A. </w:t>
      </w:r>
      <w:r w:rsidRPr="00027624" w:rsidDel="00D72DC9">
        <w:rPr>
          <w:i/>
        </w:rPr>
        <w:t>Detailed modelling methods and assumptions</w:t>
      </w:r>
      <w:r w:rsidRPr="00027624">
        <w:t>). Cameo modelling in this section has assumed 80 per cent pass</w:t>
      </w:r>
      <w:r w:rsidR="00A8443E" w:rsidRPr="00027624">
        <w:noBreakHyphen/>
      </w:r>
      <w:r w:rsidRPr="00027624">
        <w:t>through.</w:t>
      </w:r>
    </w:p>
    <w:p w14:paraId="63893213" w14:textId="77777777" w:rsidR="0092760B" w:rsidRPr="00027624" w:rsidRDefault="0092760B" w:rsidP="002A2FAE">
      <w:pPr>
        <w:pStyle w:val="Bullet"/>
        <w:numPr>
          <w:ilvl w:val="0"/>
          <w:numId w:val="0"/>
        </w:numPr>
      </w:pPr>
      <w:r w:rsidRPr="00027624">
        <w:t>Estimates suggest that maintaining the SG at 9.5 per cent will result in working</w:t>
      </w:r>
      <w:r w:rsidR="00A8443E" w:rsidRPr="00027624">
        <w:noBreakHyphen/>
      </w:r>
      <w:r w:rsidRPr="00027624">
        <w:t>life incomes about 2 per cent higher than under a 12 per cent SG rate in the longer term.</w:t>
      </w:r>
    </w:p>
    <w:p w14:paraId="2152F8EB" w14:textId="77777777" w:rsidR="0092760B" w:rsidRPr="00027624" w:rsidRDefault="0092760B" w:rsidP="002A2FAE">
      <w:pPr>
        <w:pStyle w:val="Bullet"/>
        <w:numPr>
          <w:ilvl w:val="0"/>
          <w:numId w:val="0"/>
        </w:numPr>
      </w:pPr>
      <w:r w:rsidRPr="00027624">
        <w:t>The current economic environment associated with COVID</w:t>
      </w:r>
      <w:r w:rsidR="00A8443E" w:rsidRPr="00027624">
        <w:noBreakHyphen/>
      </w:r>
      <w:r w:rsidRPr="00027624">
        <w:t>19 Pandemic has resulted in elevated levels of unemployment and underemployment. This could reduce worker bargaining power in the short</w:t>
      </w:r>
      <w:r w:rsidR="00A8443E" w:rsidRPr="00027624">
        <w:noBreakHyphen/>
      </w:r>
      <w:r w:rsidRPr="00027624">
        <w:t xml:space="preserve">term making it more likely for pass through to wages to occur. </w:t>
      </w:r>
    </w:p>
    <w:p w14:paraId="07240613" w14:textId="77777777" w:rsidR="0092760B" w:rsidRPr="00027624" w:rsidRDefault="0092760B" w:rsidP="002A2FAE">
      <w:pPr>
        <w:pStyle w:val="Bullet"/>
        <w:numPr>
          <w:ilvl w:val="0"/>
          <w:numId w:val="0"/>
        </w:numPr>
      </w:pPr>
      <w:r w:rsidRPr="00027624">
        <w:t>However, given that wage levels are sticky downwards, it is not expected that nominal wage reductions would result from SG increases. Should very low wage growth occur in response to the COVID</w:t>
      </w:r>
      <w:r w:rsidR="00A8443E" w:rsidRPr="00027624">
        <w:noBreakHyphen/>
      </w:r>
      <w:r w:rsidRPr="00027624">
        <w:t>19 Pandemic, more of the short</w:t>
      </w:r>
      <w:r w:rsidR="00A8443E" w:rsidRPr="00027624">
        <w:noBreakHyphen/>
      </w:r>
      <w:r w:rsidRPr="00027624">
        <w:t xml:space="preserve">term incidence of SG increases legislated to occur in 2021 could, in some instances, initially fall on employers. Where employers bear more of the SG increase there could be changes to the demand for labour and/or investment. </w:t>
      </w:r>
    </w:p>
    <w:p w14:paraId="0C09AAF2" w14:textId="77777777" w:rsidR="0092760B" w:rsidRPr="00027624" w:rsidRDefault="0092760B" w:rsidP="002A2FAE">
      <w:pPr>
        <w:pStyle w:val="Bullet"/>
        <w:numPr>
          <w:ilvl w:val="0"/>
          <w:numId w:val="0"/>
        </w:numPr>
      </w:pPr>
      <w:r w:rsidRPr="00027624">
        <w:t>The impact of the COVID</w:t>
      </w:r>
      <w:r w:rsidR="00A8443E" w:rsidRPr="00027624">
        <w:noBreakHyphen/>
      </w:r>
      <w:r w:rsidRPr="00027624">
        <w:t>19 Pandemic on the economy over the next few years is uncertain. However, the modelling is aimed at assessing the long</w:t>
      </w:r>
      <w:r w:rsidR="00A8443E" w:rsidRPr="00027624">
        <w:noBreakHyphen/>
      </w:r>
      <w:r w:rsidRPr="00027624">
        <w:t xml:space="preserve">term implications of different SG rates. Over the long term, the research suggests most of the impact of SG changes will be passed on to workers </w:t>
      </w:r>
      <w:sdt>
        <w:sdtPr>
          <w:id w:val="378366479"/>
          <w:citation/>
        </w:sdtPr>
        <w:sdtEndPr/>
        <w:sdtContent>
          <w:r w:rsidRPr="00027624">
            <w:fldChar w:fldCharType="begin"/>
          </w:r>
          <w:r w:rsidRPr="00027624">
            <w:instrText xml:space="preserve"> CITATION Mel13 \l 3081 </w:instrText>
          </w:r>
          <w:r w:rsidRPr="00027624">
            <w:fldChar w:fldCharType="separate"/>
          </w:r>
          <w:r w:rsidR="00E83F6E">
            <w:rPr>
              <w:noProof/>
            </w:rPr>
            <w:t>(Melguizo &amp; González-Páramo, 2013)</w:t>
          </w:r>
          <w:r w:rsidRPr="00027624">
            <w:fldChar w:fldCharType="end"/>
          </w:r>
        </w:sdtContent>
      </w:sdt>
      <w:r w:rsidRPr="00027624">
        <w:t>.</w:t>
      </w:r>
    </w:p>
    <w:p w14:paraId="69EFC78D" w14:textId="77777777" w:rsidR="0092760B" w:rsidRPr="00027624" w:rsidRDefault="0092760B" w:rsidP="002A2FAE">
      <w:pPr>
        <w:pStyle w:val="Heading5"/>
      </w:pPr>
      <w:r w:rsidRPr="00027624">
        <w:t>Impact of personal tax and other payments</w:t>
      </w:r>
    </w:p>
    <w:p w14:paraId="2EC74A8F" w14:textId="77777777" w:rsidR="0092760B" w:rsidRPr="00027624" w:rsidRDefault="0092760B" w:rsidP="002A2FAE">
      <w:r w:rsidRPr="00027624">
        <w:t>The impact on a person</w:t>
      </w:r>
      <w:r w:rsidR="00A8443E" w:rsidRPr="00027624">
        <w:t>’</w:t>
      </w:r>
      <w:r w:rsidRPr="00027624">
        <w:t>s take</w:t>
      </w:r>
      <w:r w:rsidR="00A8443E" w:rsidRPr="00027624">
        <w:noBreakHyphen/>
      </w:r>
      <w:r w:rsidRPr="00027624">
        <w:t>home pay of maintaining the SG rate at 9.5 per cent depends on their marginal tax rate. Total tax paid would increase for most people, as personal income is taxed more progressively than SG. The analysis in this chapter is based on incomes after tax.</w:t>
      </w:r>
    </w:p>
    <w:p w14:paraId="2E841DBA" w14:textId="77777777" w:rsidR="0092760B" w:rsidRPr="00027624" w:rsidRDefault="0092760B" w:rsidP="002A2FAE">
      <w:r w:rsidRPr="00027624">
        <w:t>Impacts on other government payments would reduce the extra income people receive:</w:t>
      </w:r>
    </w:p>
    <w:p w14:paraId="1D7530E1" w14:textId="77777777" w:rsidR="0092760B" w:rsidRPr="00027624" w:rsidRDefault="0092760B" w:rsidP="0092760B">
      <w:pPr>
        <w:pStyle w:val="Bullet"/>
        <w:rPr>
          <w:color w:val="000000" w:themeColor="text1"/>
        </w:rPr>
      </w:pPr>
      <w:r w:rsidRPr="00027624">
        <w:t xml:space="preserve">Maintaining the SG rate at 9.5 per cent means that people would have higher incomes, lowering their entitlements to Family Tax Benefit and </w:t>
      </w:r>
      <w:r w:rsidR="0027057A" w:rsidRPr="00027624">
        <w:t>childcare</w:t>
      </w:r>
      <w:r w:rsidRPr="00027624">
        <w:t xml:space="preserve"> assistance </w:t>
      </w:r>
      <w:r w:rsidRPr="00027624">
        <w:rPr>
          <w:color w:val="000000" w:themeColor="text1"/>
        </w:rPr>
        <w:t xml:space="preserve">(see </w:t>
      </w:r>
      <w:r w:rsidR="003767FD" w:rsidRPr="00027624">
        <w:rPr>
          <w:i/>
          <w:color w:val="000000" w:themeColor="text1"/>
        </w:rPr>
        <w:t>Annex</w:t>
      </w:r>
      <w:r w:rsidR="00A8443E" w:rsidRPr="00027624">
        <w:rPr>
          <w:i/>
          <w:color w:val="000000" w:themeColor="text1"/>
        </w:rPr>
        <w:t xml:space="preserve"> — </w:t>
      </w:r>
      <w:r w:rsidRPr="00027624">
        <w:rPr>
          <w:i/>
          <w:color w:val="000000" w:themeColor="text1"/>
        </w:rPr>
        <w:t>modelling supplement</w:t>
      </w:r>
      <w:r w:rsidR="007A1F0B" w:rsidRPr="00027624">
        <w:rPr>
          <w:i/>
          <w:color w:val="000000" w:themeColor="text1"/>
        </w:rPr>
        <w:t>,</w:t>
      </w:r>
      <w:r w:rsidR="007A1F0B" w:rsidRPr="00027624">
        <w:rPr>
          <w:color w:val="000000" w:themeColor="text1"/>
        </w:rPr>
        <w:t xml:space="preserve"> below)</w:t>
      </w:r>
      <w:r w:rsidRPr="00027624">
        <w:t xml:space="preserve">. The impact of these payments differs over family type and how they access </w:t>
      </w:r>
      <w:r w:rsidR="0027057A" w:rsidRPr="00027624">
        <w:t>childcare</w:t>
      </w:r>
      <w:r w:rsidRPr="00027624">
        <w:t>.</w:t>
      </w:r>
    </w:p>
    <w:p w14:paraId="33E0E614" w14:textId="401E355E" w:rsidR="0092760B" w:rsidRPr="00027624" w:rsidRDefault="0092760B" w:rsidP="002A2FAE">
      <w:pPr>
        <w:pStyle w:val="Dash"/>
        <w:rPr>
          <w:color w:val="000000" w:themeColor="text1"/>
        </w:rPr>
      </w:pPr>
      <w:r w:rsidRPr="00027624">
        <w:t>Modelling suggests changes in these payments are most significant for dual</w:t>
      </w:r>
      <w:r w:rsidR="00A8443E" w:rsidRPr="00027624">
        <w:noBreakHyphen/>
      </w:r>
      <w:r w:rsidRPr="00027624">
        <w:t>income families in the bottom two income deciles, and single</w:t>
      </w:r>
      <w:r w:rsidR="00A8443E" w:rsidRPr="00027624">
        <w:noBreakHyphen/>
      </w:r>
      <w:r w:rsidRPr="00027624">
        <w:t xml:space="preserve">income families in about the middle of </w:t>
      </w:r>
      <w:r w:rsidRPr="00027624">
        <w:rPr>
          <w:color w:val="000000" w:themeColor="text1"/>
        </w:rPr>
        <w:t>the income distribution. Reductions in Family Tax Benefit (FTB) payments offset between 12</w:t>
      </w:r>
      <w:r w:rsidR="00A8443E" w:rsidRPr="00027624">
        <w:rPr>
          <w:color w:val="000000" w:themeColor="text1"/>
        </w:rPr>
        <w:noBreakHyphen/>
      </w:r>
      <w:r w:rsidRPr="00027624">
        <w:rPr>
          <w:color w:val="000000" w:themeColor="text1"/>
        </w:rPr>
        <w:t xml:space="preserve">22 per cent of the higher disposable income for these households </w:t>
      </w:r>
      <w:r w:rsidRPr="00027624">
        <w:t xml:space="preserve">(see </w:t>
      </w:r>
      <w:r w:rsidRPr="00027624">
        <w:rPr>
          <w:i/>
        </w:rPr>
        <w:fldChar w:fldCharType="begin"/>
      </w:r>
      <w:r w:rsidRPr="00027624">
        <w:rPr>
          <w:i/>
        </w:rPr>
        <w:instrText xml:space="preserve"> REF _Ref43905426 \r \h  \* MERGEFORMAT </w:instrText>
      </w:r>
      <w:r w:rsidRPr="00027624">
        <w:rPr>
          <w:i/>
        </w:rPr>
      </w:r>
      <w:r w:rsidRPr="00027624">
        <w:rPr>
          <w:i/>
        </w:rPr>
        <w:fldChar w:fldCharType="separate"/>
      </w:r>
      <w:r w:rsidR="00891058">
        <w:rPr>
          <w:i/>
        </w:rPr>
        <w:t>Chart 2D-15</w:t>
      </w:r>
      <w:r w:rsidRPr="00027624">
        <w:rPr>
          <w:i/>
        </w:rPr>
        <w:fldChar w:fldCharType="end"/>
      </w:r>
      <w:r w:rsidR="003767FD" w:rsidRPr="00027624">
        <w:rPr>
          <w:i/>
        </w:rPr>
        <w:t xml:space="preserve"> </w:t>
      </w:r>
      <w:r w:rsidR="003767FD" w:rsidRPr="00027624">
        <w:t>in</w:t>
      </w:r>
      <w:r w:rsidR="003767FD" w:rsidRPr="00027624">
        <w:rPr>
          <w:i/>
        </w:rPr>
        <w:t xml:space="preserve"> Annex</w:t>
      </w:r>
      <w:r w:rsidR="00A8443E" w:rsidRPr="00027624">
        <w:rPr>
          <w:i/>
        </w:rPr>
        <w:t xml:space="preserve"> — </w:t>
      </w:r>
      <w:r w:rsidRPr="00027624">
        <w:rPr>
          <w:i/>
        </w:rPr>
        <w:t>modelling supplement</w:t>
      </w:r>
      <w:r w:rsidR="007A1F0B" w:rsidRPr="00027624">
        <w:rPr>
          <w:i/>
        </w:rPr>
        <w:t>,</w:t>
      </w:r>
      <w:r w:rsidRPr="00027624">
        <w:rPr>
          <w:i/>
        </w:rPr>
        <w:t xml:space="preserve"> </w:t>
      </w:r>
      <w:r w:rsidRPr="00027624">
        <w:t>below).</w:t>
      </w:r>
      <w:r w:rsidRPr="00027624">
        <w:rPr>
          <w:color w:val="000000" w:themeColor="text1"/>
        </w:rPr>
        <w:t xml:space="preserve"> </w:t>
      </w:r>
    </w:p>
    <w:p w14:paraId="55E76BE6" w14:textId="24CC7A62" w:rsidR="0092760B" w:rsidRPr="00027624" w:rsidRDefault="0092760B" w:rsidP="002A2FAE">
      <w:pPr>
        <w:pStyle w:val="Dash"/>
        <w:rPr>
          <w:color w:val="000000" w:themeColor="text1"/>
        </w:rPr>
      </w:pPr>
      <w:r w:rsidRPr="00027624">
        <w:rPr>
          <w:color w:val="000000" w:themeColor="text1"/>
        </w:rPr>
        <w:t xml:space="preserve">If the SG rate stays at 9.5 per cent, the impact on family and </w:t>
      </w:r>
      <w:r w:rsidR="0027057A" w:rsidRPr="00027624">
        <w:rPr>
          <w:color w:val="000000" w:themeColor="text1"/>
        </w:rPr>
        <w:t>childcare</w:t>
      </w:r>
      <w:r w:rsidRPr="00027624">
        <w:rPr>
          <w:color w:val="000000" w:themeColor="text1"/>
        </w:rPr>
        <w:t xml:space="preserve"> payme</w:t>
      </w:r>
      <w:r w:rsidR="00336D14" w:rsidRPr="00027624">
        <w:rPr>
          <w:color w:val="000000" w:themeColor="text1"/>
        </w:rPr>
        <w:t xml:space="preserve">nts for most other groups is a </w:t>
      </w:r>
      <w:r w:rsidRPr="00027624">
        <w:rPr>
          <w:color w:val="000000" w:themeColor="text1"/>
        </w:rPr>
        <w:t>1</w:t>
      </w:r>
      <w:r w:rsidR="00A8443E" w:rsidRPr="00027624">
        <w:rPr>
          <w:color w:val="000000" w:themeColor="text1"/>
        </w:rPr>
        <w:noBreakHyphen/>
      </w:r>
      <w:r w:rsidRPr="00027624">
        <w:rPr>
          <w:color w:val="000000" w:themeColor="text1"/>
        </w:rPr>
        <w:t xml:space="preserve">5 per cent offset of the increase in their income </w:t>
      </w:r>
      <w:r w:rsidRPr="00027624">
        <w:t xml:space="preserve">(see </w:t>
      </w:r>
      <w:r w:rsidRPr="00027624">
        <w:rPr>
          <w:i/>
        </w:rPr>
        <w:fldChar w:fldCharType="begin"/>
      </w:r>
      <w:r w:rsidRPr="00027624">
        <w:rPr>
          <w:i/>
        </w:rPr>
        <w:instrText xml:space="preserve"> REF _Ref43905426 \r \h  \* MERGEFORMAT </w:instrText>
      </w:r>
      <w:r w:rsidRPr="00027624">
        <w:rPr>
          <w:i/>
        </w:rPr>
      </w:r>
      <w:r w:rsidRPr="00027624">
        <w:rPr>
          <w:i/>
        </w:rPr>
        <w:fldChar w:fldCharType="separate"/>
      </w:r>
      <w:r w:rsidR="00891058">
        <w:rPr>
          <w:i/>
        </w:rPr>
        <w:t>Chart 2D-15</w:t>
      </w:r>
      <w:r w:rsidRPr="00027624">
        <w:rPr>
          <w:i/>
        </w:rPr>
        <w:fldChar w:fldCharType="end"/>
      </w:r>
      <w:r w:rsidRPr="00027624">
        <w:t>)</w:t>
      </w:r>
      <w:r w:rsidRPr="00027624">
        <w:rPr>
          <w:color w:val="000000" w:themeColor="text1"/>
        </w:rPr>
        <w:t>.</w:t>
      </w:r>
    </w:p>
    <w:p w14:paraId="2A234035" w14:textId="77777777" w:rsidR="0092760B" w:rsidRPr="00027624" w:rsidRDefault="0092760B" w:rsidP="0092760B">
      <w:pPr>
        <w:pStyle w:val="Bullet"/>
        <w:rPr>
          <w:color w:val="000000" w:themeColor="text1"/>
        </w:rPr>
      </w:pPr>
      <w:r w:rsidRPr="00027624">
        <w:rPr>
          <w:color w:val="000000" w:themeColor="text1"/>
        </w:rPr>
        <w:t>Higher income from the SG rate staying at 9.5 per cent would increase HECS/HELP repayments. Faster repayment of debt does not affect the principal required to be repaid.</w:t>
      </w:r>
    </w:p>
    <w:p w14:paraId="2562E914" w14:textId="77777777" w:rsidR="0092760B" w:rsidRPr="00027624" w:rsidRDefault="0092760B" w:rsidP="002A2FAE">
      <w:pPr>
        <w:pStyle w:val="Heading4"/>
        <w:spacing w:before="240"/>
      </w:pPr>
      <w:r w:rsidRPr="00027624">
        <w:lastRenderedPageBreak/>
        <w:t>Impact on retirement income</w:t>
      </w:r>
    </w:p>
    <w:p w14:paraId="5E94641A" w14:textId="77777777" w:rsidR="0092760B" w:rsidRPr="00027624" w:rsidRDefault="0092760B" w:rsidP="002A2FAE">
      <w:pPr>
        <w:pStyle w:val="Heading5"/>
      </w:pPr>
      <w:r w:rsidRPr="00027624">
        <w:t>Replacement rates</w:t>
      </w:r>
    </w:p>
    <w:p w14:paraId="7DD1305A" w14:textId="77777777" w:rsidR="0092760B" w:rsidRPr="00027624" w:rsidRDefault="0092760B" w:rsidP="002A2FAE">
      <w:r w:rsidRPr="00027624">
        <w:t>Replacement rates are considered the appropriate way to assess whether the retirement income system appropriately balances working life and retirement living standards. Modelling assumes superannuation assets are fully drawn down in retirement.</w:t>
      </w:r>
    </w:p>
    <w:p w14:paraId="5D38F703" w14:textId="77777777" w:rsidR="0092760B" w:rsidRPr="00027624" w:rsidRDefault="0092760B" w:rsidP="00325A8D">
      <w:pPr>
        <w:pStyle w:val="ChartMainHeading"/>
      </w:pPr>
      <w:bookmarkStart w:id="619" w:name="_Ref45634004"/>
      <w:r w:rsidRPr="00027624">
        <w:t>Replacement rates by SG rate and household type</w:t>
      </w:r>
      <w:bookmarkEnd w:id="619"/>
    </w:p>
    <w:tbl>
      <w:tblPr>
        <w:tblW w:w="4923" w:type="pct"/>
        <w:jc w:val="center"/>
        <w:tblLook w:val="01E0" w:firstRow="1" w:lastRow="1" w:firstColumn="1" w:lastColumn="1" w:noHBand="0" w:noVBand="0"/>
      </w:tblPr>
      <w:tblGrid>
        <w:gridCol w:w="4395"/>
        <w:gridCol w:w="4535"/>
      </w:tblGrid>
      <w:tr w:rsidR="0092760B" w:rsidRPr="00027624" w14:paraId="44BAAB66" w14:textId="77777777" w:rsidTr="002D0395">
        <w:trPr>
          <w:trHeight w:val="96"/>
          <w:tblHeader/>
          <w:jc w:val="center"/>
        </w:trPr>
        <w:tc>
          <w:tcPr>
            <w:tcW w:w="2461" w:type="pct"/>
            <w:shd w:val="clear" w:color="auto" w:fill="auto"/>
          </w:tcPr>
          <w:p w14:paraId="6D6913EA" w14:textId="77777777" w:rsidR="0092760B" w:rsidRPr="00027624" w:rsidRDefault="0092760B" w:rsidP="002A2FAE">
            <w:pPr>
              <w:pStyle w:val="ChartSecondHeading"/>
            </w:pPr>
            <w:r w:rsidRPr="00027624">
              <w:br w:type="page"/>
              <w:t>Individuals</w:t>
            </w:r>
          </w:p>
        </w:tc>
        <w:tc>
          <w:tcPr>
            <w:tcW w:w="2539" w:type="pct"/>
            <w:shd w:val="clear" w:color="auto" w:fill="auto"/>
          </w:tcPr>
          <w:p w14:paraId="732DF270" w14:textId="77777777" w:rsidR="0092760B" w:rsidRPr="00027624" w:rsidRDefault="0092760B" w:rsidP="002A2FAE">
            <w:pPr>
              <w:pStyle w:val="ChartSecondHeading"/>
            </w:pPr>
            <w:r w:rsidRPr="00027624">
              <w:t>Couples</w:t>
            </w:r>
          </w:p>
        </w:tc>
      </w:tr>
    </w:tbl>
    <w:p w14:paraId="484E3382" w14:textId="77777777" w:rsidR="0092760B" w:rsidRPr="00027624" w:rsidRDefault="00F53A28" w:rsidP="008154EB">
      <w:pPr>
        <w:pStyle w:val="ChartGraphic"/>
      </w:pPr>
      <w:r>
        <w:rPr>
          <w:noProof/>
        </w:rPr>
        <w:drawing>
          <wp:inline distT="0" distB="0" distL="0" distR="0" wp14:anchorId="30312356" wp14:editId="6825658B">
            <wp:extent cx="2735580" cy="2979420"/>
            <wp:effectExtent l="0" t="0" r="7620" b="0"/>
            <wp:docPr id="2002235490" name="Picture 2002235490" descr="These charts show that replacement rates are lower under a 9.5 per cent SG rate compared to a 12 per cent SG rate at all income levels, for both individuals and couples. Individuals in the 80th and 90th income percentiles fall below the 65-75 per cent replacement rate benchmark. Couples in the 80th percentile also fall just below the replacement rate benchmark. All other income earners either remain above or within the replacement rate benchmark range. " title="Chart 2D-3 Replacement rates by SG rate and househol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35580" cy="2979420"/>
                    </a:xfrm>
                    <a:prstGeom prst="rect">
                      <a:avLst/>
                    </a:prstGeom>
                    <a:noFill/>
                  </pic:spPr>
                </pic:pic>
              </a:graphicData>
            </a:graphic>
          </wp:inline>
        </w:drawing>
      </w:r>
      <w:r>
        <w:rPr>
          <w:noProof/>
        </w:rPr>
        <w:drawing>
          <wp:inline distT="0" distB="0" distL="0" distR="0" wp14:anchorId="7DB57463" wp14:editId="353EF393">
            <wp:extent cx="2880360" cy="2979420"/>
            <wp:effectExtent l="0" t="0" r="0" b="0"/>
            <wp:docPr id="2002235491" name="Picture 200223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80360" cy="2979420"/>
                    </a:xfrm>
                    <a:prstGeom prst="rect">
                      <a:avLst/>
                    </a:prstGeom>
                    <a:noFill/>
                  </pic:spPr>
                </pic:pic>
              </a:graphicData>
            </a:graphic>
          </wp:inline>
        </w:drawing>
      </w:r>
    </w:p>
    <w:p w14:paraId="7B1AD8B1" w14:textId="77777777" w:rsidR="0092760B" w:rsidRPr="00027624" w:rsidRDefault="0092760B" w:rsidP="002A2FAE">
      <w:pPr>
        <w:pStyle w:val="ChartorTableNote"/>
        <w:jc w:val="left"/>
      </w:pPr>
      <w:r w:rsidRPr="00027624">
        <w:t>Note: Deflated using review</w:t>
      </w:r>
      <w:r w:rsidR="00A8443E" w:rsidRPr="00027624">
        <w:t>’</w:t>
      </w:r>
      <w:r w:rsidRPr="00027624">
        <w:t xml:space="preserve">s mixed deflator. </w:t>
      </w:r>
      <w:r w:rsidRPr="00027624">
        <w:rPr>
          <w:color w:val="000000" w:themeColor="text1"/>
        </w:rPr>
        <w:t>Source:</w:t>
      </w:r>
      <w:r w:rsidRPr="00027624">
        <w:t xml:space="preserve"> Cameo modelling undertaken for the review.</w:t>
      </w:r>
    </w:p>
    <w:p w14:paraId="4FF7EFAB" w14:textId="695A8382" w:rsidR="0092760B" w:rsidRPr="00027624" w:rsidRDefault="0092760B" w:rsidP="002A2FAE">
      <w:r w:rsidRPr="00027624">
        <w:t>Replacement rates are projected to be lower if the SG rate is maintained at 9.5 per cent. However, depending on how savings are used in retirement, most people starting work today with a 9.5 per cent SG rate could have a replacement rate within or above the 65</w:t>
      </w:r>
      <w:r w:rsidR="00A8443E" w:rsidRPr="00027624">
        <w:noBreakHyphen/>
      </w:r>
      <w:r w:rsidRPr="00027624">
        <w:t>75 per cent benchmark when they retire (</w:t>
      </w:r>
      <w:r w:rsidRPr="00027624">
        <w:fldChar w:fldCharType="begin"/>
      </w:r>
      <w:r w:rsidRPr="00027624">
        <w:instrText xml:space="preserve"> REF _Ref44594693 \r \h  \* MERGEFORMAT </w:instrText>
      </w:r>
      <w:r w:rsidRPr="00027624">
        <w:fldChar w:fldCharType="separate"/>
      </w:r>
      <w:r w:rsidR="00891058">
        <w:t>Chart 4</w:t>
      </w:r>
      <w:r w:rsidRPr="00027624">
        <w:fldChar w:fldCharType="end"/>
      </w:r>
      <w:r w:rsidRPr="00027624">
        <w:t>). If the SG stayed at 9.5 per cent rather than increasing to 12 per cent, they would also have higher incomes in their working life.</w:t>
      </w:r>
    </w:p>
    <w:p w14:paraId="75B24637" w14:textId="77777777" w:rsidR="0092760B" w:rsidRPr="00027624" w:rsidRDefault="0092760B" w:rsidP="0092760B">
      <w:pPr>
        <w:pStyle w:val="Bullet"/>
      </w:pPr>
      <w:r w:rsidRPr="00027624">
        <w:t>Lower</w:t>
      </w:r>
      <w:r w:rsidR="00A8443E" w:rsidRPr="00027624">
        <w:noBreakHyphen/>
      </w:r>
      <w:r w:rsidRPr="00027624">
        <w:t>income earners up to the median income would have reduced replacement rates, but still exceed the 65</w:t>
      </w:r>
      <w:r w:rsidR="00A8443E" w:rsidRPr="00027624">
        <w:noBreakHyphen/>
      </w:r>
      <w:r w:rsidRPr="00027624">
        <w:t>75 per cent benchmark. They would have higher income in their working life. Workers up to the 30</w:t>
      </w:r>
      <w:r w:rsidRPr="00027624">
        <w:rPr>
          <w:vertAlign w:val="superscript"/>
        </w:rPr>
        <w:t>th</w:t>
      </w:r>
      <w:r w:rsidRPr="00027624">
        <w:t xml:space="preserve"> income percentile would achieve replacement rates above 100 per cent under both a 9.5 per cent and a 12 per cent SG rate due to a combination of high Age Pension eligibility and superannuation savings.</w:t>
      </w:r>
    </w:p>
    <w:p w14:paraId="533C96AD" w14:textId="77777777" w:rsidR="0092760B" w:rsidRPr="00027624" w:rsidRDefault="0092760B" w:rsidP="0092760B">
      <w:pPr>
        <w:pStyle w:val="Bullet"/>
      </w:pPr>
      <w:r w:rsidRPr="00027624">
        <w:t>Replacement rates for upper middle</w:t>
      </w:r>
      <w:r w:rsidR="00A8443E" w:rsidRPr="00027624">
        <w:noBreakHyphen/>
      </w:r>
      <w:r w:rsidRPr="00027624">
        <w:t>income earners (60</w:t>
      </w:r>
      <w:r w:rsidRPr="00027624">
        <w:rPr>
          <w:vertAlign w:val="superscript"/>
        </w:rPr>
        <w:t>th</w:t>
      </w:r>
      <w:r w:rsidRPr="00027624">
        <w:t xml:space="preserve"> and 70</w:t>
      </w:r>
      <w:r w:rsidRPr="00027624">
        <w:rPr>
          <w:vertAlign w:val="superscript"/>
        </w:rPr>
        <w:t>th</w:t>
      </w:r>
      <w:r w:rsidRPr="00027624">
        <w:t xml:space="preserve"> percentiles) would fall but remain within the 65</w:t>
      </w:r>
      <w:r w:rsidR="00A8443E" w:rsidRPr="00027624">
        <w:noBreakHyphen/>
      </w:r>
      <w:r w:rsidRPr="00027624">
        <w:t>75 per cent benchmark.</w:t>
      </w:r>
    </w:p>
    <w:p w14:paraId="566D5DDD" w14:textId="77777777" w:rsidR="0092760B" w:rsidRPr="00027624" w:rsidRDefault="0092760B" w:rsidP="0092760B">
      <w:pPr>
        <w:pStyle w:val="Bullet"/>
      </w:pPr>
      <w:r w:rsidRPr="00027624">
        <w:t>The replacement rates for individuals in the 80</w:t>
      </w:r>
      <w:r w:rsidRPr="00027624">
        <w:rPr>
          <w:vertAlign w:val="superscript"/>
        </w:rPr>
        <w:t>th</w:t>
      </w:r>
      <w:r w:rsidRPr="00027624">
        <w:t xml:space="preserve"> and 90</w:t>
      </w:r>
      <w:r w:rsidRPr="00027624">
        <w:rPr>
          <w:vertAlign w:val="superscript"/>
        </w:rPr>
        <w:t>th</w:t>
      </w:r>
      <w:r w:rsidRPr="00027624">
        <w:t xml:space="preserve"> percentiles and 80</w:t>
      </w:r>
      <w:r w:rsidRPr="00027624">
        <w:rPr>
          <w:vertAlign w:val="superscript"/>
        </w:rPr>
        <w:t>th</w:t>
      </w:r>
      <w:r w:rsidRPr="00027624">
        <w:t xml:space="preserve"> percentile couples are projected to fall below the benchmark range. This may be at least partly due to the conservative assumptions applied on non</w:t>
      </w:r>
      <w:r w:rsidR="00A8443E" w:rsidRPr="00027624">
        <w:noBreakHyphen/>
      </w:r>
      <w:r w:rsidRPr="00027624">
        <w:t xml:space="preserve">concessional contributions (see </w:t>
      </w:r>
      <w:r w:rsidR="00BD73BF" w:rsidRPr="00BD73BF">
        <w:rPr>
          <w:i/>
        </w:rPr>
        <w:t xml:space="preserve">Appendix </w:t>
      </w:r>
      <w:r w:rsidRPr="00027624">
        <w:rPr>
          <w:i/>
        </w:rPr>
        <w:t>6A. Detailed modelling methods and assumptions</w:t>
      </w:r>
      <w:r w:rsidRPr="00027624">
        <w:t>). With the SG rate maintained at 9.5 per cent, higher</w:t>
      </w:r>
      <w:r w:rsidR="00A8443E" w:rsidRPr="00027624">
        <w:noBreakHyphen/>
      </w:r>
      <w:r w:rsidRPr="00027624">
        <w:t xml:space="preserve">income earners are projected to receive retirement incomes that exceed the ASFA comfortable standard (see </w:t>
      </w:r>
      <w:r w:rsidRPr="00027624">
        <w:rPr>
          <w:i/>
        </w:rPr>
        <w:t>2C. Maintaining standards of living in retirement</w:t>
      </w:r>
      <w:r w:rsidRPr="00027624">
        <w:t>).</w:t>
      </w:r>
    </w:p>
    <w:p w14:paraId="3CB6BA28" w14:textId="77777777" w:rsidR="0092760B" w:rsidRPr="00027624" w:rsidRDefault="0092760B" w:rsidP="002A2FAE">
      <w:r w:rsidRPr="00027624">
        <w:t>Lower replacement rates from maintaining the SG rate at 9.5 per cent are not just due to people having a lower income in retirement. In the longer run, working</w:t>
      </w:r>
      <w:r w:rsidR="00A8443E" w:rsidRPr="00027624">
        <w:noBreakHyphen/>
      </w:r>
      <w:r w:rsidRPr="00027624">
        <w:t xml:space="preserve">life income for most people would be higher, which increases the target income for replacement. For example, because disposable </w:t>
      </w:r>
      <w:r w:rsidRPr="00027624">
        <w:rPr>
          <w:rStyle w:val="normaltextrun"/>
          <w:rFonts w:cs="Calibri"/>
          <w:color w:val="000000"/>
          <w:shd w:val="clear" w:color="auto" w:fill="FFFFFF"/>
        </w:rPr>
        <w:lastRenderedPageBreak/>
        <w:t xml:space="preserve">incomes during working life </w:t>
      </w:r>
      <w:r w:rsidRPr="00027624">
        <w:rPr>
          <w:rStyle w:val="normaltextrun"/>
          <w:rFonts w:cs="Calibri"/>
          <w:shd w:val="clear" w:color="auto" w:fill="FFFFFF"/>
        </w:rPr>
        <w:t>are projected to be about 2 per cent higher in the longer run under a 9.5 per cent SG rate than under a 12 per cent SG rate, the level of retirement income considered to be adequate is also about 2 per cent higher</w:t>
      </w:r>
      <w:r w:rsidRPr="00027624">
        <w:t>. For people in the bottom half of the income distribution, the higher working</w:t>
      </w:r>
      <w:r w:rsidR="00A8443E" w:rsidRPr="00027624">
        <w:noBreakHyphen/>
      </w:r>
      <w:r w:rsidRPr="00027624">
        <w:t>life income accounts for about a third of the fall in replacement rates.</w:t>
      </w:r>
    </w:p>
    <w:p w14:paraId="49106653" w14:textId="77777777" w:rsidR="0092760B" w:rsidRPr="00027624" w:rsidRDefault="0092760B" w:rsidP="00325A8D">
      <w:pPr>
        <w:pStyle w:val="ChartMainHeading"/>
      </w:pPr>
      <w:bookmarkStart w:id="620" w:name="_Ref44940334"/>
      <w:r w:rsidRPr="00027624">
        <w:t>Projected change in retirement income with a 9.5 per cent SG rate</w:t>
      </w:r>
      <w:bookmarkEnd w:id="620"/>
    </w:p>
    <w:p w14:paraId="1532572C" w14:textId="77777777" w:rsidR="0092760B" w:rsidRPr="00027624" w:rsidRDefault="00F53A28" w:rsidP="002A2FAE">
      <w:pPr>
        <w:pStyle w:val="ChartGraphic"/>
      </w:pPr>
      <w:r>
        <w:rPr>
          <w:noProof/>
        </w:rPr>
        <w:drawing>
          <wp:inline distT="0" distB="0" distL="0" distR="0" wp14:anchorId="4B1320C0" wp14:editId="37DC3121">
            <wp:extent cx="5554980" cy="2522220"/>
            <wp:effectExtent l="0" t="0" r="7620" b="0"/>
            <wp:docPr id="2002235492" name="Picture 2002235492" descr="This chart shows the change in retirement income with a 9.5 per cent SG rate, compared to a 12 per cent SG rate. Retirement income is around 4 per cent lower for individuals up to the 50th income percentile, with a larger reduction in retirement income at higher income percentiles. Lower retirement income is due to lower superannuation drawdowns, which are partially offset by increased Age Pension income for most income earners. " title="Chart 2D-4 Projected change in retirement income with a 9.5 per cent 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54980" cy="2522220"/>
                    </a:xfrm>
                    <a:prstGeom prst="rect">
                      <a:avLst/>
                    </a:prstGeom>
                    <a:noFill/>
                  </pic:spPr>
                </pic:pic>
              </a:graphicData>
            </a:graphic>
          </wp:inline>
        </w:drawing>
      </w:r>
    </w:p>
    <w:p w14:paraId="4746DE5E" w14:textId="77777777" w:rsidR="0092760B" w:rsidRPr="00027624" w:rsidRDefault="0092760B" w:rsidP="008154EB">
      <w:pPr>
        <w:pStyle w:val="ChartorTableNote"/>
      </w:pPr>
      <w:r w:rsidRPr="00027624">
        <w:t>Note: Modelling assumes superannuation assets are drawn down efficiently, resulting in higher</w:t>
      </w:r>
      <w:r w:rsidR="00A8443E" w:rsidRPr="00027624">
        <w:noBreakHyphen/>
      </w:r>
      <w:r w:rsidRPr="00027624">
        <w:t>income earners receiving some Age Pension income at the end of retirement. Source: Cameo modelling undertaken for the review.</w:t>
      </w:r>
    </w:p>
    <w:p w14:paraId="04CD9C83" w14:textId="77777777" w:rsidR="0092760B" w:rsidRPr="00027624" w:rsidRDefault="0092760B" w:rsidP="002A2FAE">
      <w:pPr>
        <w:pStyle w:val="Heading5"/>
      </w:pPr>
      <w:r w:rsidRPr="00027624">
        <w:t>Change in superannuation draw downs</w:t>
      </w:r>
    </w:p>
    <w:p w14:paraId="5EF9F154" w14:textId="0CA3DDCA" w:rsidR="0092760B" w:rsidRPr="00027624" w:rsidRDefault="0092760B" w:rsidP="002A2FAE">
      <w:pPr>
        <w:pBdr>
          <w:bar w:val="single" w:sz="4" w:color="auto"/>
        </w:pBdr>
      </w:pPr>
      <w:r w:rsidRPr="00027624">
        <w:t>How people draw down their superannuation balances in retirement is central to determining the adequacy of their retirement income. If they use their savings effectively in retirement, most people could achieve 65</w:t>
      </w:r>
      <w:r w:rsidR="00A8443E" w:rsidRPr="00027624">
        <w:noBreakHyphen/>
      </w:r>
      <w:r w:rsidRPr="00027624">
        <w:t>75 per cent replacement rates with the SG rate maintained at 9.5 per cent (</w:t>
      </w:r>
      <w:r w:rsidR="00797052" w:rsidRPr="00027624">
        <w:fldChar w:fldCharType="begin"/>
      </w:r>
      <w:r w:rsidR="00797052" w:rsidRPr="00027624">
        <w:instrText xml:space="preserve"> REF _Ref45634247 \r \h </w:instrText>
      </w:r>
      <w:r w:rsidR="00027624">
        <w:instrText xml:space="preserve"> \* MERGEFORMAT </w:instrText>
      </w:r>
      <w:r w:rsidR="00797052" w:rsidRPr="00027624">
        <w:fldChar w:fldCharType="separate"/>
      </w:r>
      <w:r w:rsidR="00891058">
        <w:t>Chart 2D-5</w:t>
      </w:r>
      <w:r w:rsidR="00797052" w:rsidRPr="00027624">
        <w:fldChar w:fldCharType="end"/>
      </w:r>
      <w:r w:rsidRPr="00027624">
        <w:t xml:space="preserve">). </w:t>
      </w:r>
    </w:p>
    <w:p w14:paraId="35AC1602" w14:textId="77777777" w:rsidR="0092760B" w:rsidRPr="00027624" w:rsidRDefault="0092760B" w:rsidP="002A2FAE">
      <w:pPr>
        <w:pBdr>
          <w:bar w:val="single" w:sz="4" w:color="auto"/>
        </w:pBdr>
      </w:pPr>
      <w:r w:rsidRPr="00027624">
        <w:t>If they only draw down their superannuation at the legislated minimum rates, which many people currently do, those in the upper half of the income distribution would not achieve the 65</w:t>
      </w:r>
      <w:r w:rsidR="00A8443E" w:rsidRPr="00027624">
        <w:noBreakHyphen/>
      </w:r>
      <w:r w:rsidRPr="00027624">
        <w:t xml:space="preserve">75 per cent replacement rates at either a 9.5 or 12 per cent SG rate (see </w:t>
      </w:r>
      <w:r w:rsidRPr="00027624">
        <w:rPr>
          <w:i/>
          <w:iCs/>
        </w:rPr>
        <w:t>Impact on cohesion</w:t>
      </w:r>
      <w:r w:rsidR="007A1F0B" w:rsidRPr="00027624">
        <w:rPr>
          <w:iCs/>
        </w:rPr>
        <w:t>,</w:t>
      </w:r>
      <w:r w:rsidRPr="00027624">
        <w:t xml:space="preserve"> below).</w:t>
      </w:r>
    </w:p>
    <w:p w14:paraId="25D5132F" w14:textId="22911BEF" w:rsidR="0092760B" w:rsidRPr="00027624" w:rsidRDefault="0092760B" w:rsidP="002A2FAE">
      <w:r w:rsidRPr="00027624">
        <w:t>With the SG rate maintained at 9.5 per cent, most people</w:t>
      </w:r>
      <w:r w:rsidR="00A8443E" w:rsidRPr="00027624">
        <w:t>’</w:t>
      </w:r>
      <w:r w:rsidRPr="00027624">
        <w:t>s superannuation balances would be around 15 per cent lower than under a 12 per cent SG rate (</w:t>
      </w:r>
      <w:r w:rsidRPr="00027624">
        <w:fldChar w:fldCharType="begin"/>
      </w:r>
      <w:r w:rsidRPr="00027624">
        <w:instrText xml:space="preserve"> REF _Ref44596756 \r \h  \* MERGEFORMAT </w:instrText>
      </w:r>
      <w:r w:rsidRPr="00027624">
        <w:fldChar w:fldCharType="separate"/>
      </w:r>
      <w:r w:rsidR="00891058">
        <w:t>Chart 2D-1</w:t>
      </w:r>
      <w:r w:rsidRPr="00027624">
        <w:fldChar w:fldCharType="end"/>
      </w:r>
      <w:r w:rsidRPr="00027624">
        <w:t>). While the impact on balances is generally a reduction of around 15 per cent, the effect on retirement incomes is lower as superannuation is only one part of retirement income (along with the Age Pension and non</w:t>
      </w:r>
      <w:r w:rsidR="00A8443E" w:rsidRPr="00027624">
        <w:noBreakHyphen/>
      </w:r>
      <w:r w:rsidRPr="00027624">
        <w:t>superannuation assets).</w:t>
      </w:r>
    </w:p>
    <w:p w14:paraId="7A4DBE59" w14:textId="1D46B371" w:rsidR="0092760B" w:rsidRPr="00027624" w:rsidRDefault="0092760B" w:rsidP="002A2FAE">
      <w:r w:rsidRPr="00027624">
        <w:t>For example, the median</w:t>
      </w:r>
      <w:r w:rsidR="00A8443E" w:rsidRPr="00027624">
        <w:noBreakHyphen/>
      </w:r>
      <w:r w:rsidRPr="00027624">
        <w:t>income earner has a 3.5 per cent reduction in retirement income (</w:t>
      </w:r>
      <w:r w:rsidRPr="00027624">
        <w:fldChar w:fldCharType="begin"/>
      </w:r>
      <w:r w:rsidRPr="00027624">
        <w:instrText xml:space="preserve"> REF _Ref44940334 \r \h  \* MERGEFORMAT </w:instrText>
      </w:r>
      <w:r w:rsidRPr="00027624">
        <w:fldChar w:fldCharType="separate"/>
      </w:r>
      <w:r w:rsidR="00891058">
        <w:t>Chart 2D-4</w:t>
      </w:r>
      <w:r w:rsidRPr="00027624">
        <w:fldChar w:fldCharType="end"/>
      </w:r>
      <w:r w:rsidRPr="00027624">
        <w:t>) comprising:</w:t>
      </w:r>
    </w:p>
    <w:p w14:paraId="138C5917" w14:textId="77777777" w:rsidR="0092760B" w:rsidRPr="00027624" w:rsidRDefault="0092760B" w:rsidP="0092760B">
      <w:pPr>
        <w:pStyle w:val="Bullet"/>
      </w:pPr>
      <w:r w:rsidRPr="00027624">
        <w:t>About a 7.5 per cent reduction due to lower superannuation income. The impact is about half the 15 per cent reduction in superannuation balances as superannuation is about half of the total retirement income of the median</w:t>
      </w:r>
      <w:r w:rsidR="00A8443E" w:rsidRPr="00027624">
        <w:noBreakHyphen/>
      </w:r>
      <w:r w:rsidRPr="00027624">
        <w:t>income earner (in combination with their Age Pension income).</w:t>
      </w:r>
    </w:p>
    <w:p w14:paraId="0A428B78" w14:textId="77777777" w:rsidR="0092760B" w:rsidRPr="00027624" w:rsidRDefault="00D27B15" w:rsidP="0092760B">
      <w:pPr>
        <w:pStyle w:val="Bullet"/>
      </w:pPr>
      <w:r w:rsidRPr="00027624">
        <w:t xml:space="preserve">About a 4 per cent increase due to higher </w:t>
      </w:r>
      <w:r w:rsidR="0092760B" w:rsidRPr="00027624">
        <w:t>Age Pension payments. This impact is due to lower superannuation balances increasing people</w:t>
      </w:r>
      <w:r w:rsidR="00A8443E" w:rsidRPr="00027624">
        <w:t>’</w:t>
      </w:r>
      <w:r w:rsidR="0092760B" w:rsidRPr="00027624">
        <w:t>s Age Pension entitlements.</w:t>
      </w:r>
    </w:p>
    <w:p w14:paraId="35ED3257" w14:textId="77777777" w:rsidR="0092760B" w:rsidRPr="00027624" w:rsidRDefault="0092760B" w:rsidP="002A2FAE">
      <w:pPr>
        <w:pStyle w:val="Heading5"/>
      </w:pPr>
      <w:bookmarkStart w:id="621" w:name="_Ref44597557"/>
      <w:bookmarkEnd w:id="621"/>
      <w:r w:rsidRPr="00027624">
        <w:t>Change in Age Pension income</w:t>
      </w:r>
    </w:p>
    <w:p w14:paraId="67B112D6" w14:textId="1B155E1E" w:rsidR="0092760B" w:rsidRPr="00027624" w:rsidRDefault="0092760B" w:rsidP="002A2FAE">
      <w:r w:rsidRPr="00027624">
        <w:t>Under the 9.5 per cent SG rate scenario, most income earners would receive more Age Pension income, with the size of the increases varying across the income distribution (</w:t>
      </w:r>
      <w:r w:rsidRPr="00027624">
        <w:fldChar w:fldCharType="begin"/>
      </w:r>
      <w:r w:rsidRPr="00027624">
        <w:instrText xml:space="preserve"> REF _Ref44940334 \r \h </w:instrText>
      </w:r>
      <w:r w:rsidR="00FA7639" w:rsidRPr="00027624">
        <w:instrText xml:space="preserve"> \* MERGEFORMAT </w:instrText>
      </w:r>
      <w:r w:rsidRPr="00027624">
        <w:fldChar w:fldCharType="separate"/>
      </w:r>
      <w:r w:rsidR="00891058">
        <w:t>Chart 2D-4</w:t>
      </w:r>
      <w:r w:rsidRPr="00027624">
        <w:fldChar w:fldCharType="end"/>
      </w:r>
      <w:r w:rsidRPr="00027624">
        <w:t>).</w:t>
      </w:r>
    </w:p>
    <w:p w14:paraId="0F2C96C7" w14:textId="77777777" w:rsidR="0092760B" w:rsidRPr="00027624" w:rsidRDefault="0092760B" w:rsidP="0092760B">
      <w:pPr>
        <w:pStyle w:val="Bullet"/>
      </w:pPr>
      <w:r w:rsidRPr="00027624">
        <w:lastRenderedPageBreak/>
        <w:t>Lower</w:t>
      </w:r>
      <w:r w:rsidR="00A8443E" w:rsidRPr="00027624">
        <w:noBreakHyphen/>
      </w:r>
      <w:r w:rsidRPr="00027624">
        <w:t>income earners would receive relatively little additional Age Pension. They are more likely to be full</w:t>
      </w:r>
      <w:r w:rsidR="00A8443E" w:rsidRPr="00027624">
        <w:noBreakHyphen/>
      </w:r>
      <w:r w:rsidRPr="00027624">
        <w:t>rate age pensioners under either a 12 or 9.5 per cent SG rate.</w:t>
      </w:r>
    </w:p>
    <w:p w14:paraId="3CA10D83" w14:textId="77777777" w:rsidR="0092760B" w:rsidRPr="00027624" w:rsidRDefault="0092760B" w:rsidP="0092760B">
      <w:pPr>
        <w:pStyle w:val="Bullet"/>
      </w:pPr>
      <w:r w:rsidRPr="00027624">
        <w:t>Middle</w:t>
      </w:r>
      <w:r w:rsidR="00A8443E" w:rsidRPr="00027624">
        <w:noBreakHyphen/>
      </w:r>
      <w:r w:rsidRPr="00027624">
        <w:t>income earners would have the greatest offsetting increase in Age Pension income as lower superannuation balances would increase their eligibility for payment under the Age Pension assets test. For households in the 30</w:t>
      </w:r>
      <w:r w:rsidRPr="00027624">
        <w:rPr>
          <w:vertAlign w:val="superscript"/>
        </w:rPr>
        <w:t>th</w:t>
      </w:r>
      <w:r w:rsidRPr="00027624">
        <w:t xml:space="preserve"> to 60</w:t>
      </w:r>
      <w:r w:rsidRPr="00027624">
        <w:rPr>
          <w:vertAlign w:val="superscript"/>
        </w:rPr>
        <w:t>th</w:t>
      </w:r>
      <w:r w:rsidRPr="00027624">
        <w:t xml:space="preserve"> income percentiles, higher Age Pension payments offset around 40</w:t>
      </w:r>
      <w:r w:rsidR="00A8443E" w:rsidRPr="00027624">
        <w:noBreakHyphen/>
      </w:r>
      <w:r w:rsidRPr="00027624">
        <w:t>50 per cent of the forgone superannuation income.</w:t>
      </w:r>
    </w:p>
    <w:p w14:paraId="09901D6E" w14:textId="77777777" w:rsidR="0092760B" w:rsidRPr="00027624" w:rsidRDefault="0092760B" w:rsidP="0092760B">
      <w:pPr>
        <w:pStyle w:val="Bullet"/>
      </w:pPr>
      <w:r w:rsidRPr="00027624">
        <w:t>Higher</w:t>
      </w:r>
      <w:r w:rsidR="00A8443E" w:rsidRPr="00027624">
        <w:noBreakHyphen/>
      </w:r>
      <w:r w:rsidRPr="00027624">
        <w:t>income earners would have a smaller change to their Age Pension income under a 9.5 per cent SG rate compared with a 12 per cent SG rate. This group is more likely to have assets that make them ineligible for the Age Pension under either scenario.</w:t>
      </w:r>
    </w:p>
    <w:p w14:paraId="78C5B955" w14:textId="77777777" w:rsidR="0092760B" w:rsidRPr="00027624" w:rsidRDefault="0092760B" w:rsidP="002A2FAE">
      <w:pPr>
        <w:pStyle w:val="Heading5"/>
      </w:pPr>
      <w:r w:rsidRPr="00027624">
        <w:t>Impact on Age Pension indexation</w:t>
      </w:r>
    </w:p>
    <w:p w14:paraId="5463F0CE" w14:textId="77777777" w:rsidR="0092760B" w:rsidRPr="00027624" w:rsidRDefault="0092760B" w:rsidP="002A2FAE">
      <w:r w:rsidRPr="00027624">
        <w:t>The Age Pension is benchmarked to 27.7 per cent of male total average weekly earnings (for singles). Higher relative wage growth under a 9.5 per cent SG rate would flow through to higher male total average weekly earnings, increasing the Age Pension rate.</w:t>
      </w:r>
    </w:p>
    <w:p w14:paraId="191A03A7" w14:textId="77777777" w:rsidR="0092760B" w:rsidRPr="00027624" w:rsidRDefault="0092760B" w:rsidP="002A2FAE">
      <w:r w:rsidRPr="00027624">
        <w:t>The degree to which wage growth impacts male total average weekly earnings is debated. Estimates of the impact suggest the Age Pension may be between 0.51</w:t>
      </w:r>
      <w:r w:rsidR="00A8443E" w:rsidRPr="00027624">
        <w:noBreakHyphen/>
      </w:r>
      <w:r w:rsidRPr="00027624">
        <w:t>1.44 per cent higher under a 9.5 per cent SG rate</w:t>
      </w:r>
      <w:r w:rsidRPr="00027624">
        <w:fldChar w:fldCharType="begin"/>
      </w:r>
      <w:r w:rsidRPr="00027624">
        <w:instrText xml:space="preserve"> CITATION Coa20 \l 3081  \m Gal19</w:instrText>
      </w:r>
      <w:r w:rsidRPr="00027624">
        <w:fldChar w:fldCharType="separate"/>
      </w:r>
      <w:r w:rsidR="00E83F6E">
        <w:rPr>
          <w:noProof/>
        </w:rPr>
        <w:t xml:space="preserve"> (Coates, et al., 2020; Gallagher &amp; Bastian, 2019)</w:t>
      </w:r>
      <w:r w:rsidRPr="00027624">
        <w:fldChar w:fldCharType="end"/>
      </w:r>
      <w:r w:rsidRPr="00027624">
        <w:t>.</w:t>
      </w:r>
    </w:p>
    <w:p w14:paraId="160AD7F7" w14:textId="77777777" w:rsidR="0092760B" w:rsidRPr="00027624" w:rsidRDefault="0092760B" w:rsidP="002A2FAE">
      <w:r w:rsidRPr="00027624">
        <w:t>Regardless of the exact impact of changes in the SG rate on Age Pension indexation, the effect on replacement rates is less than a percentage point increase for the median earner. Given the effect on adequacy is small, the impact of higher aggregate wages on Age Pension indexation has been excluded from the analysis.</w:t>
      </w:r>
    </w:p>
    <w:p w14:paraId="390BDE58" w14:textId="77777777" w:rsidR="0092760B" w:rsidRPr="00027624" w:rsidRDefault="0092760B" w:rsidP="002A2FAE">
      <w:pPr>
        <w:pStyle w:val="Heading4"/>
      </w:pPr>
      <w:r w:rsidRPr="00027624">
        <w:t>Total working life and retirement income trade</w:t>
      </w:r>
      <w:r w:rsidR="00A8443E" w:rsidRPr="00027624">
        <w:noBreakHyphen/>
      </w:r>
      <w:r w:rsidRPr="00027624">
        <w:t>off</w:t>
      </w:r>
    </w:p>
    <w:p w14:paraId="175DB7FA" w14:textId="77777777" w:rsidR="0092760B" w:rsidRPr="00027624" w:rsidRDefault="0092760B" w:rsidP="002A2FAE">
      <w:pPr>
        <w:pStyle w:val="Bullet"/>
        <w:numPr>
          <w:ilvl w:val="0"/>
          <w:numId w:val="0"/>
        </w:numPr>
      </w:pPr>
      <w:r w:rsidRPr="00027624">
        <w:t>While replacement rates are useful in assessing whether working</w:t>
      </w:r>
      <w:r w:rsidR="00D27B15" w:rsidRPr="00027624">
        <w:t>-</w:t>
      </w:r>
      <w:r w:rsidRPr="00027624">
        <w:t>life living standards can be maintained in retirement, they do not indicate the trade</w:t>
      </w:r>
      <w:r w:rsidR="00A8443E" w:rsidRPr="00027624">
        <w:noBreakHyphen/>
      </w:r>
      <w:r w:rsidRPr="00027624">
        <w:t>off in income between working life and retirement under different SG rates. An alternative measure is to look at how much total retirement income people give up for the total increase in working</w:t>
      </w:r>
      <w:r w:rsidR="00A8443E" w:rsidRPr="00027624">
        <w:noBreakHyphen/>
      </w:r>
      <w:r w:rsidRPr="00027624">
        <w:t>life income they receive. This measure allows the impact to be compared over a lifetime. Assuming assets were drawn down efficiently in retirement, if the SG rate did not increase:</w:t>
      </w:r>
    </w:p>
    <w:p w14:paraId="0167BBC7" w14:textId="77777777" w:rsidR="0092760B" w:rsidRPr="00027624" w:rsidRDefault="0092760B" w:rsidP="0092760B">
      <w:pPr>
        <w:pStyle w:val="Bullet"/>
      </w:pPr>
      <w:r w:rsidRPr="00027624">
        <w:t>Working</w:t>
      </w:r>
      <w:r w:rsidR="00A8443E" w:rsidRPr="00027624">
        <w:noBreakHyphen/>
      </w:r>
      <w:r w:rsidRPr="00027624">
        <w:t>life income would be higher because</w:t>
      </w:r>
      <w:r w:rsidRPr="00027624" w:rsidDel="008A2631">
        <w:t xml:space="preserve"> </w:t>
      </w:r>
      <w:r w:rsidRPr="00027624">
        <w:t>SG increases reduce wage growth</w:t>
      </w:r>
    </w:p>
    <w:p w14:paraId="039B7F7D" w14:textId="77777777" w:rsidR="0092760B" w:rsidRPr="00027624" w:rsidRDefault="0092760B" w:rsidP="0092760B">
      <w:pPr>
        <w:pStyle w:val="Bullet"/>
      </w:pPr>
      <w:r w:rsidRPr="00027624">
        <w:t>Retirement income would be lower due to lower superannuation balances, which are only partly offset by higher Age Pension payments</w:t>
      </w:r>
    </w:p>
    <w:p w14:paraId="7F7688BE" w14:textId="77777777" w:rsidR="0092760B" w:rsidRPr="00027624" w:rsidRDefault="0092760B" w:rsidP="002A2FAE">
      <w:pPr>
        <w:pStyle w:val="Bullet"/>
        <w:numPr>
          <w:ilvl w:val="0"/>
          <w:numId w:val="0"/>
        </w:numPr>
      </w:pPr>
      <w:r w:rsidRPr="00027624">
        <w:t>Comparison over a lifetime can factor in differences in length of working life and retirement. For example, people spend roughly two</w:t>
      </w:r>
      <w:r w:rsidR="00A8443E" w:rsidRPr="00027624">
        <w:noBreakHyphen/>
      </w:r>
      <w:r w:rsidRPr="00027624">
        <w:t>thirds as long in retirement as they do in working life (25 years and 40 years, respectively).</w:t>
      </w:r>
    </w:p>
    <w:p w14:paraId="0168DE6A" w14:textId="77777777" w:rsidR="0092760B" w:rsidRPr="00027624" w:rsidRDefault="0092760B" w:rsidP="002A2FAE">
      <w:pPr>
        <w:pStyle w:val="Bullet"/>
        <w:numPr>
          <w:ilvl w:val="0"/>
          <w:numId w:val="0"/>
        </w:numPr>
      </w:pPr>
      <w:r w:rsidRPr="00027624">
        <w:t>When making judgements around the trade</w:t>
      </w:r>
      <w:r w:rsidR="00A8443E" w:rsidRPr="00027624">
        <w:noBreakHyphen/>
      </w:r>
      <w:r w:rsidRPr="00027624">
        <w:t>off between working</w:t>
      </w:r>
      <w:r w:rsidR="00A8443E" w:rsidRPr="00027624">
        <w:noBreakHyphen/>
      </w:r>
      <w:r w:rsidRPr="00027624">
        <w:t xml:space="preserve">life income and retirement income, adjustments must be made for the probability that someone is alive to receive their retirement income. This is called </w:t>
      </w:r>
      <w:r w:rsidR="00A8443E" w:rsidRPr="00027624">
        <w:t>‘</w:t>
      </w:r>
      <w:r w:rsidRPr="00027624">
        <w:t>mortality weighting</w:t>
      </w:r>
      <w:r w:rsidR="00A8443E" w:rsidRPr="00027624">
        <w:t>’</w:t>
      </w:r>
      <w:r w:rsidRPr="00027624">
        <w:t xml:space="preserve">. Mortality weighting adjusts the value of income received in a given year by the likelihood that an individual is alive to receive the income. Mortality weighting is used in measures that assess lifetime impacts </w:t>
      </w:r>
      <w:sdt>
        <w:sdtPr>
          <w:id w:val="1154421739"/>
          <w:citation/>
        </w:sdtPr>
        <w:sdtEndPr/>
        <w:sdtContent>
          <w:r w:rsidRPr="00027624">
            <w:fldChar w:fldCharType="begin"/>
          </w:r>
          <w:r w:rsidRPr="00027624">
            <w:instrText xml:space="preserve">CITATION Khe \l 3081 </w:instrText>
          </w:r>
          <w:r w:rsidRPr="00027624">
            <w:fldChar w:fldCharType="separate"/>
          </w:r>
          <w:r w:rsidR="00E83F6E">
            <w:rPr>
              <w:noProof/>
            </w:rPr>
            <w:t>(Khemka, et al., 2020)</w:t>
          </w:r>
          <w:r w:rsidRPr="00027624">
            <w:fldChar w:fldCharType="end"/>
          </w:r>
        </w:sdtContent>
      </w:sdt>
      <w:r w:rsidRPr="00027624">
        <w:t>.</w:t>
      </w:r>
    </w:p>
    <w:p w14:paraId="2F2946A0" w14:textId="2AAE0424" w:rsidR="0092760B" w:rsidRPr="00027624" w:rsidRDefault="0092760B" w:rsidP="002A2FAE">
      <w:pPr>
        <w:pStyle w:val="Bullet"/>
        <w:numPr>
          <w:ilvl w:val="0"/>
          <w:numId w:val="0"/>
        </w:numPr>
      </w:pPr>
      <w:r w:rsidRPr="00027624">
        <w:t>From a mortality</w:t>
      </w:r>
      <w:r w:rsidR="00A8443E" w:rsidRPr="00027624">
        <w:noBreakHyphen/>
      </w:r>
      <w:r w:rsidRPr="00027624">
        <w:t>weighted perspective, the increase in working</w:t>
      </w:r>
      <w:r w:rsidR="00A8443E" w:rsidRPr="00027624">
        <w:noBreakHyphen/>
      </w:r>
      <w:r w:rsidRPr="00027624">
        <w:t>life income for median</w:t>
      </w:r>
      <w:r w:rsidR="00A8443E" w:rsidRPr="00027624">
        <w:noBreakHyphen/>
      </w:r>
      <w:r w:rsidRPr="00027624">
        <w:t>income earners by maintaining the SG rate at 9.5 per cent would be around the same as the fall in their retirement income (</w:t>
      </w:r>
      <w:r w:rsidRPr="00027624">
        <w:fldChar w:fldCharType="begin"/>
      </w:r>
      <w:r w:rsidRPr="00027624">
        <w:instrText xml:space="preserve"> REF _Ref40783268 \r \h  \* MERGEFORMAT </w:instrText>
      </w:r>
      <w:r w:rsidRPr="00027624">
        <w:fldChar w:fldCharType="separate"/>
      </w:r>
      <w:r w:rsidR="00891058">
        <w:t>Table 2D-1</w:t>
      </w:r>
      <w:r w:rsidRPr="00027624">
        <w:fldChar w:fldCharType="end"/>
      </w:r>
      <w:r w:rsidRPr="00027624">
        <w:t>). For lower</w:t>
      </w:r>
      <w:r w:rsidR="00A8443E" w:rsidRPr="00027624">
        <w:noBreakHyphen/>
      </w:r>
      <w:r w:rsidRPr="00027624">
        <w:t xml:space="preserve"> and higher</w:t>
      </w:r>
      <w:r w:rsidR="00A8443E" w:rsidRPr="00027624">
        <w:noBreakHyphen/>
      </w:r>
      <w:r w:rsidRPr="00027624">
        <w:t>income earners, the reduction in retirement income would be larger compared with the gain in working</w:t>
      </w:r>
      <w:r w:rsidR="00A8443E" w:rsidRPr="00027624">
        <w:noBreakHyphen/>
      </w:r>
      <w:r w:rsidRPr="00027624">
        <w:t>life income.</w:t>
      </w:r>
    </w:p>
    <w:p w14:paraId="5D8731DB" w14:textId="77777777" w:rsidR="0092760B" w:rsidRPr="00027624" w:rsidRDefault="0092760B" w:rsidP="002A2FAE">
      <w:pPr>
        <w:pStyle w:val="Bullet"/>
        <w:numPr>
          <w:ilvl w:val="0"/>
          <w:numId w:val="0"/>
        </w:numPr>
      </w:pPr>
      <w:r w:rsidRPr="00027624">
        <w:t>For example, if the SG rate were maintained at 9.5 per cent, a median earner retiring in 2060 is projected to receive:</w:t>
      </w:r>
    </w:p>
    <w:p w14:paraId="269079B6" w14:textId="77777777" w:rsidR="0092760B" w:rsidRPr="00027624" w:rsidRDefault="0092760B" w:rsidP="0092760B">
      <w:pPr>
        <w:pStyle w:val="Bullet"/>
      </w:pPr>
      <w:r w:rsidRPr="00027624">
        <w:lastRenderedPageBreak/>
        <w:t>$32,400 more disposable income over their working life, as in the longer run working</w:t>
      </w:r>
      <w:r w:rsidR="00A8443E" w:rsidRPr="00027624">
        <w:noBreakHyphen/>
      </w:r>
      <w:r w:rsidRPr="00027624">
        <w:t>life income would be around 2 </w:t>
      </w:r>
      <w:r w:rsidR="00D27B15" w:rsidRPr="00027624">
        <w:t>per cent higher for most people</w:t>
      </w:r>
    </w:p>
    <w:p w14:paraId="0F9A0081" w14:textId="77777777" w:rsidR="0092760B" w:rsidRPr="00027624" w:rsidRDefault="0092760B" w:rsidP="0092760B">
      <w:pPr>
        <w:pStyle w:val="Bullet"/>
      </w:pPr>
      <w:r w:rsidRPr="00027624">
        <w:t>About $32,900 less income in retirement, due to the combined effect of:</w:t>
      </w:r>
    </w:p>
    <w:p w14:paraId="22120FFC" w14:textId="77777777" w:rsidR="0092760B" w:rsidRPr="00027624" w:rsidRDefault="0092760B" w:rsidP="002A2FAE">
      <w:pPr>
        <w:pStyle w:val="Dash"/>
      </w:pPr>
      <w:r w:rsidRPr="00027624">
        <w:t>$70,800 less income from superannuation drawdowns during retirement</w:t>
      </w:r>
      <w:r w:rsidRPr="00027624">
        <w:rPr>
          <w:rStyle w:val="FootnoteReference"/>
        </w:rPr>
        <w:footnoteReference w:id="112"/>
      </w:r>
    </w:p>
    <w:p w14:paraId="29FBF616" w14:textId="77777777" w:rsidR="0092760B" w:rsidRPr="00027624" w:rsidRDefault="0092760B" w:rsidP="002A2FAE">
      <w:pPr>
        <w:pStyle w:val="Dash"/>
      </w:pPr>
      <w:r w:rsidRPr="00027624">
        <w:t>An additional $37,900 in Age Pension income over the</w:t>
      </w:r>
      <w:r w:rsidR="00D27B15" w:rsidRPr="00027624">
        <w:t xml:space="preserve"> course of their retirement</w:t>
      </w:r>
    </w:p>
    <w:p w14:paraId="421C8508" w14:textId="77777777" w:rsidR="0092760B" w:rsidRPr="00027624" w:rsidRDefault="0092760B" w:rsidP="002A2FAE">
      <w:pPr>
        <w:pStyle w:val="Bullet"/>
        <w:numPr>
          <w:ilvl w:val="0"/>
          <w:numId w:val="0"/>
        </w:numPr>
      </w:pPr>
      <w:r w:rsidRPr="00027624">
        <w:t>This retirement income impact assumes efficient drawdown of superannuation assets. For example, if superannuation assets were drawn down at observed drawdown rates, retirement income would be $7,400 lower than it would have been under a 12 per cent SG rate for a median earner.</w:t>
      </w:r>
    </w:p>
    <w:p w14:paraId="5B2851FB" w14:textId="77777777" w:rsidR="0092760B" w:rsidRPr="00027624" w:rsidRDefault="0092760B" w:rsidP="002A2FAE">
      <w:pPr>
        <w:pStyle w:val="Bullet"/>
        <w:numPr>
          <w:ilvl w:val="0"/>
          <w:numId w:val="0"/>
        </w:numPr>
      </w:pPr>
      <w:r w:rsidRPr="00027624">
        <w:t>The extent to which people may wish to trade</w:t>
      </w:r>
      <w:r w:rsidR="00A8443E" w:rsidRPr="00027624">
        <w:noBreakHyphen/>
      </w:r>
      <w:r w:rsidRPr="00027624">
        <w:t>off working</w:t>
      </w:r>
      <w:r w:rsidR="00A8443E" w:rsidRPr="00027624">
        <w:noBreakHyphen/>
      </w:r>
      <w:r w:rsidRPr="00027624">
        <w:t>life income for retirement income may vary depending on their income level, life circumstances and replacement rates delivered in retirement. Whether an individual</w:t>
      </w:r>
      <w:r w:rsidR="00A8443E" w:rsidRPr="00027624">
        <w:t>’</w:t>
      </w:r>
      <w:r w:rsidRPr="00027624">
        <w:t>s wellbeing would increase if they had a higher income in working life rather than in their retirement is a matter of judgement. Influencing this trade</w:t>
      </w:r>
      <w:r w:rsidR="00A8443E" w:rsidRPr="00027624">
        <w:noBreakHyphen/>
      </w:r>
      <w:r w:rsidRPr="00027624">
        <w:t>off will be the drawdown approach people use and the extent to which, even with a lower income in retirement, they can maintain their living standards. However, in a system where the SG rate is compulsory, the employees it covers do not have the opportunity to make a choice regarding this trade</w:t>
      </w:r>
      <w:r w:rsidR="00A8443E" w:rsidRPr="00027624">
        <w:noBreakHyphen/>
      </w:r>
      <w:r w:rsidRPr="00027624">
        <w:t>off.</w:t>
      </w:r>
    </w:p>
    <w:p w14:paraId="34DDEE5D" w14:textId="77777777" w:rsidR="0092760B" w:rsidRPr="00027624" w:rsidRDefault="0092760B" w:rsidP="00FC7361">
      <w:pPr>
        <w:pStyle w:val="TableMainHeading"/>
        <w:numPr>
          <w:ilvl w:val="3"/>
          <w:numId w:val="106"/>
        </w:numPr>
      </w:pPr>
      <w:bookmarkStart w:id="622" w:name="_Ref40783268"/>
      <w:bookmarkStart w:id="623" w:name="_Ref41032776"/>
      <w:r w:rsidRPr="00027624">
        <w:t>Projected change in working life and retirement income under 9.5 per cent SG by income percentile, mortality weighted</w:t>
      </w:r>
      <w:bookmarkEnd w:id="622"/>
      <w:bookmarkEnd w:id="623"/>
    </w:p>
    <w:tbl>
      <w:tblPr>
        <w:tblW w:w="5000" w:type="pct"/>
        <w:jc w:val="center"/>
        <w:tblLook w:val="01E0" w:firstRow="1" w:lastRow="1" w:firstColumn="1" w:lastColumn="1" w:noHBand="0" w:noVBand="0"/>
      </w:tblPr>
      <w:tblGrid>
        <w:gridCol w:w="2046"/>
        <w:gridCol w:w="1580"/>
        <w:gridCol w:w="1816"/>
        <w:gridCol w:w="1816"/>
        <w:gridCol w:w="1812"/>
      </w:tblGrid>
      <w:tr w:rsidR="0092760B" w:rsidRPr="00027624" w14:paraId="36ADFA85" w14:textId="77777777" w:rsidTr="002A2FAE">
        <w:trPr>
          <w:trHeight w:val="280"/>
          <w:tblHeader/>
          <w:jc w:val="center"/>
        </w:trPr>
        <w:tc>
          <w:tcPr>
            <w:tcW w:w="1128" w:type="pct"/>
            <w:shd w:val="clear" w:color="auto" w:fill="E5E5E5"/>
          </w:tcPr>
          <w:p w14:paraId="410E3A01" w14:textId="77777777" w:rsidR="0092760B" w:rsidRPr="00027624" w:rsidRDefault="0092760B" w:rsidP="002A2FAE">
            <w:pPr>
              <w:pStyle w:val="TableColumnHeadingCentred"/>
              <w:jc w:val="left"/>
              <w:rPr>
                <w:b w:val="0"/>
              </w:rPr>
            </w:pPr>
            <w:r w:rsidRPr="00027624">
              <w:t>Income percentile</w:t>
            </w:r>
          </w:p>
        </w:tc>
        <w:tc>
          <w:tcPr>
            <w:tcW w:w="871" w:type="pct"/>
            <w:vMerge w:val="restart"/>
            <w:tcBorders>
              <w:right w:val="single" w:sz="4" w:space="0" w:color="auto"/>
            </w:tcBorders>
            <w:shd w:val="clear" w:color="auto" w:fill="E5E5E5"/>
          </w:tcPr>
          <w:p w14:paraId="59D4187F" w14:textId="77777777" w:rsidR="0092760B" w:rsidRPr="00027624" w:rsidRDefault="0092760B" w:rsidP="002A2FAE">
            <w:pPr>
              <w:pStyle w:val="TableColumnHeadingCentred"/>
              <w:rPr>
                <w:b w:val="0"/>
              </w:rPr>
            </w:pPr>
            <w:r w:rsidRPr="00027624">
              <w:t>Working</w:t>
            </w:r>
            <w:r w:rsidR="00A8443E" w:rsidRPr="00027624">
              <w:noBreakHyphen/>
            </w:r>
            <w:r w:rsidRPr="00027624">
              <w:t>life income ($)</w:t>
            </w:r>
          </w:p>
        </w:tc>
        <w:tc>
          <w:tcPr>
            <w:tcW w:w="3002" w:type="pct"/>
            <w:gridSpan w:val="3"/>
            <w:tcBorders>
              <w:left w:val="single" w:sz="4" w:space="0" w:color="auto"/>
            </w:tcBorders>
            <w:shd w:val="clear" w:color="auto" w:fill="E5E5E5"/>
          </w:tcPr>
          <w:p w14:paraId="38BC9BB3" w14:textId="77777777" w:rsidR="0092760B" w:rsidRPr="00027624" w:rsidRDefault="0092760B" w:rsidP="002A2FAE">
            <w:pPr>
              <w:pStyle w:val="TableColumnHeadingCentred"/>
              <w:rPr>
                <w:b w:val="0"/>
              </w:rPr>
            </w:pPr>
            <w:r w:rsidRPr="00027624">
              <w:t>Retirement income</w:t>
            </w:r>
          </w:p>
        </w:tc>
      </w:tr>
      <w:tr w:rsidR="0092760B" w:rsidRPr="00027624" w14:paraId="7A557E24" w14:textId="77777777" w:rsidTr="002A2FAE">
        <w:trPr>
          <w:trHeight w:val="280"/>
          <w:tblHeader/>
          <w:jc w:val="center"/>
        </w:trPr>
        <w:tc>
          <w:tcPr>
            <w:tcW w:w="1128" w:type="pct"/>
            <w:shd w:val="clear" w:color="auto" w:fill="E5E5E5"/>
          </w:tcPr>
          <w:p w14:paraId="4B7087A6" w14:textId="77777777" w:rsidR="0092760B" w:rsidRPr="00027624" w:rsidRDefault="0092760B" w:rsidP="002A2FAE">
            <w:pPr>
              <w:pStyle w:val="TableTextLeft"/>
              <w:rPr>
                <w:b/>
                <w:color w:val="144E60" w:themeColor="accent1"/>
              </w:rPr>
            </w:pPr>
          </w:p>
        </w:tc>
        <w:tc>
          <w:tcPr>
            <w:tcW w:w="871" w:type="pct"/>
            <w:vMerge/>
          </w:tcPr>
          <w:p w14:paraId="3710C226" w14:textId="77777777" w:rsidR="0092760B" w:rsidRPr="00027624" w:rsidRDefault="0092760B" w:rsidP="002A2FAE">
            <w:pPr>
              <w:pStyle w:val="TableTextLeft"/>
              <w:rPr>
                <w:b/>
                <w:color w:val="144E60" w:themeColor="accent1"/>
              </w:rPr>
            </w:pPr>
          </w:p>
        </w:tc>
        <w:tc>
          <w:tcPr>
            <w:tcW w:w="1001" w:type="pct"/>
            <w:tcBorders>
              <w:left w:val="single" w:sz="4" w:space="0" w:color="auto"/>
              <w:right w:val="single" w:sz="4" w:space="0" w:color="auto"/>
            </w:tcBorders>
            <w:shd w:val="clear" w:color="auto" w:fill="E5E5E5"/>
          </w:tcPr>
          <w:p w14:paraId="18F4F34A" w14:textId="77777777" w:rsidR="0092760B" w:rsidRPr="00027624" w:rsidRDefault="0092760B" w:rsidP="002A2FAE">
            <w:pPr>
              <w:pStyle w:val="TableColumnHeadingCentred"/>
              <w:rPr>
                <w:b w:val="0"/>
              </w:rPr>
            </w:pPr>
            <w:r w:rsidRPr="00027624">
              <w:t>Total retirement income ($)</w:t>
            </w:r>
          </w:p>
        </w:tc>
        <w:tc>
          <w:tcPr>
            <w:tcW w:w="1001" w:type="pct"/>
            <w:tcBorders>
              <w:left w:val="single" w:sz="4" w:space="0" w:color="auto"/>
              <w:right w:val="single" w:sz="4" w:space="0" w:color="auto"/>
            </w:tcBorders>
            <w:shd w:val="clear" w:color="auto" w:fill="E5E5E5"/>
          </w:tcPr>
          <w:p w14:paraId="08261C4D" w14:textId="77777777" w:rsidR="0092760B" w:rsidRPr="00027624" w:rsidRDefault="0092760B" w:rsidP="002A2FAE">
            <w:pPr>
              <w:pStyle w:val="TableColumnHeadingCentred"/>
              <w:rPr>
                <w:b w:val="0"/>
              </w:rPr>
            </w:pPr>
            <w:r w:rsidRPr="00027624">
              <w:t>Superannuation drawdowns ($)</w:t>
            </w:r>
          </w:p>
        </w:tc>
        <w:tc>
          <w:tcPr>
            <w:tcW w:w="1000" w:type="pct"/>
            <w:tcBorders>
              <w:left w:val="single" w:sz="4" w:space="0" w:color="auto"/>
            </w:tcBorders>
            <w:shd w:val="clear" w:color="auto" w:fill="E5E5E5"/>
          </w:tcPr>
          <w:p w14:paraId="39187536" w14:textId="77777777" w:rsidR="0092760B" w:rsidRPr="00027624" w:rsidRDefault="0092760B" w:rsidP="002A2FAE">
            <w:pPr>
              <w:pStyle w:val="TableColumnHeadingCentred"/>
              <w:rPr>
                <w:b w:val="0"/>
              </w:rPr>
            </w:pPr>
            <w:r w:rsidRPr="00027624">
              <w:t>Age Pension income ($)</w:t>
            </w:r>
          </w:p>
        </w:tc>
      </w:tr>
      <w:tr w:rsidR="0092760B" w:rsidRPr="00027624" w14:paraId="4BDA0C81" w14:textId="77777777" w:rsidTr="002A2FAE">
        <w:trPr>
          <w:trHeight w:val="280"/>
          <w:jc w:val="center"/>
        </w:trPr>
        <w:tc>
          <w:tcPr>
            <w:tcW w:w="1128" w:type="pct"/>
          </w:tcPr>
          <w:p w14:paraId="3CD53000" w14:textId="77777777" w:rsidR="0092760B" w:rsidRPr="00027624" w:rsidRDefault="0092760B" w:rsidP="002A2FAE">
            <w:pPr>
              <w:pStyle w:val="TableTextLeft"/>
            </w:pPr>
            <w:r w:rsidRPr="00027624">
              <w:t>10</w:t>
            </w:r>
          </w:p>
        </w:tc>
        <w:tc>
          <w:tcPr>
            <w:tcW w:w="871" w:type="pct"/>
            <w:tcBorders>
              <w:right w:val="single" w:sz="4" w:space="0" w:color="auto"/>
            </w:tcBorders>
            <w:shd w:val="clear" w:color="auto" w:fill="auto"/>
            <w:vAlign w:val="center"/>
          </w:tcPr>
          <w:p w14:paraId="599F52D4" w14:textId="77777777" w:rsidR="0092760B" w:rsidRPr="00027624" w:rsidRDefault="0092760B" w:rsidP="002A2FAE">
            <w:pPr>
              <w:pStyle w:val="TableTextLeft"/>
              <w:jc w:val="center"/>
            </w:pPr>
            <w:r w:rsidRPr="00027624">
              <w:rPr>
                <w:rFonts w:cs="Calibri"/>
                <w:szCs w:val="18"/>
              </w:rPr>
              <w:t>12,200</w:t>
            </w:r>
          </w:p>
        </w:tc>
        <w:tc>
          <w:tcPr>
            <w:tcW w:w="1001" w:type="pct"/>
            <w:tcBorders>
              <w:left w:val="single" w:sz="4" w:space="0" w:color="auto"/>
              <w:right w:val="single" w:sz="4" w:space="0" w:color="auto"/>
            </w:tcBorders>
            <w:shd w:val="clear" w:color="auto" w:fill="auto"/>
            <w:vAlign w:val="center"/>
          </w:tcPr>
          <w:p w14:paraId="50397F42"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28,100</w:t>
            </w:r>
          </w:p>
        </w:tc>
        <w:tc>
          <w:tcPr>
            <w:tcW w:w="1001" w:type="pct"/>
            <w:tcBorders>
              <w:left w:val="single" w:sz="4" w:space="0" w:color="auto"/>
              <w:right w:val="single" w:sz="4" w:space="0" w:color="auto"/>
            </w:tcBorders>
            <w:vAlign w:val="center"/>
          </w:tcPr>
          <w:p w14:paraId="48D3E490"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28,200</w:t>
            </w:r>
          </w:p>
        </w:tc>
        <w:tc>
          <w:tcPr>
            <w:tcW w:w="1000" w:type="pct"/>
            <w:tcBorders>
              <w:left w:val="single" w:sz="4" w:space="0" w:color="auto"/>
            </w:tcBorders>
            <w:vAlign w:val="center"/>
          </w:tcPr>
          <w:p w14:paraId="03F43D23" w14:textId="77777777" w:rsidR="0092760B" w:rsidRPr="00027624" w:rsidRDefault="0092760B" w:rsidP="002A2FAE">
            <w:pPr>
              <w:pStyle w:val="TableTextLeft"/>
              <w:jc w:val="center"/>
            </w:pPr>
            <w:r w:rsidRPr="00027624">
              <w:rPr>
                <w:rFonts w:cs="Calibri"/>
                <w:szCs w:val="18"/>
              </w:rPr>
              <w:t>200</w:t>
            </w:r>
          </w:p>
        </w:tc>
      </w:tr>
      <w:tr w:rsidR="0092760B" w:rsidRPr="00027624" w14:paraId="3AC961C2" w14:textId="77777777" w:rsidTr="002A2FAE">
        <w:trPr>
          <w:trHeight w:val="280"/>
          <w:jc w:val="center"/>
        </w:trPr>
        <w:tc>
          <w:tcPr>
            <w:tcW w:w="1128" w:type="pct"/>
          </w:tcPr>
          <w:p w14:paraId="071E91D3" w14:textId="77777777" w:rsidR="0092760B" w:rsidRPr="00027624" w:rsidRDefault="0092760B" w:rsidP="002A2FAE">
            <w:pPr>
              <w:pStyle w:val="TableTextLeft"/>
            </w:pPr>
            <w:r w:rsidRPr="00027624">
              <w:t>20</w:t>
            </w:r>
          </w:p>
        </w:tc>
        <w:tc>
          <w:tcPr>
            <w:tcW w:w="871" w:type="pct"/>
            <w:tcBorders>
              <w:right w:val="single" w:sz="4" w:space="0" w:color="auto"/>
            </w:tcBorders>
            <w:shd w:val="clear" w:color="auto" w:fill="auto"/>
            <w:vAlign w:val="center"/>
          </w:tcPr>
          <w:p w14:paraId="3ACD00C7" w14:textId="77777777" w:rsidR="0092760B" w:rsidRPr="00027624" w:rsidRDefault="0092760B" w:rsidP="002A2FAE">
            <w:pPr>
              <w:pStyle w:val="TableTextLeft"/>
              <w:jc w:val="center"/>
            </w:pPr>
            <w:r w:rsidRPr="00027624">
              <w:rPr>
                <w:rFonts w:cs="Calibri"/>
                <w:szCs w:val="18"/>
              </w:rPr>
              <w:t>17,300</w:t>
            </w:r>
          </w:p>
        </w:tc>
        <w:tc>
          <w:tcPr>
            <w:tcW w:w="1001" w:type="pct"/>
            <w:tcBorders>
              <w:left w:val="single" w:sz="4" w:space="0" w:color="auto"/>
              <w:right w:val="single" w:sz="4" w:space="0" w:color="auto"/>
            </w:tcBorders>
            <w:shd w:val="clear" w:color="auto" w:fill="auto"/>
            <w:vAlign w:val="center"/>
          </w:tcPr>
          <w:p w14:paraId="65A3A3D0"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27,900</w:t>
            </w:r>
          </w:p>
        </w:tc>
        <w:tc>
          <w:tcPr>
            <w:tcW w:w="1001" w:type="pct"/>
            <w:tcBorders>
              <w:left w:val="single" w:sz="4" w:space="0" w:color="auto"/>
              <w:right w:val="single" w:sz="4" w:space="0" w:color="auto"/>
            </w:tcBorders>
            <w:vAlign w:val="center"/>
          </w:tcPr>
          <w:p w14:paraId="51D05461"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39,600</w:t>
            </w:r>
          </w:p>
        </w:tc>
        <w:tc>
          <w:tcPr>
            <w:tcW w:w="1000" w:type="pct"/>
            <w:tcBorders>
              <w:left w:val="single" w:sz="4" w:space="0" w:color="auto"/>
            </w:tcBorders>
            <w:vAlign w:val="center"/>
          </w:tcPr>
          <w:p w14:paraId="4041E3B5" w14:textId="77777777" w:rsidR="0092760B" w:rsidRPr="00027624" w:rsidRDefault="0092760B" w:rsidP="002A2FAE">
            <w:pPr>
              <w:pStyle w:val="TableTextLeft"/>
              <w:jc w:val="center"/>
            </w:pPr>
            <w:r w:rsidRPr="00027624">
              <w:rPr>
                <w:rFonts w:cs="Calibri"/>
                <w:szCs w:val="18"/>
              </w:rPr>
              <w:t>11,700</w:t>
            </w:r>
          </w:p>
        </w:tc>
      </w:tr>
      <w:tr w:rsidR="0092760B" w:rsidRPr="00027624" w14:paraId="01E5E883" w14:textId="77777777" w:rsidTr="002A2FAE">
        <w:trPr>
          <w:trHeight w:val="280"/>
          <w:jc w:val="center"/>
        </w:trPr>
        <w:tc>
          <w:tcPr>
            <w:tcW w:w="1128" w:type="pct"/>
          </w:tcPr>
          <w:p w14:paraId="5AB8227F" w14:textId="77777777" w:rsidR="0092760B" w:rsidRPr="00027624" w:rsidRDefault="0092760B" w:rsidP="002A2FAE">
            <w:pPr>
              <w:pStyle w:val="TableTextLeft"/>
            </w:pPr>
            <w:r w:rsidRPr="00027624">
              <w:t>30</w:t>
            </w:r>
          </w:p>
        </w:tc>
        <w:tc>
          <w:tcPr>
            <w:tcW w:w="871" w:type="pct"/>
            <w:tcBorders>
              <w:right w:val="single" w:sz="4" w:space="0" w:color="auto"/>
            </w:tcBorders>
            <w:shd w:val="clear" w:color="auto" w:fill="auto"/>
            <w:vAlign w:val="center"/>
          </w:tcPr>
          <w:p w14:paraId="651045DD" w14:textId="77777777" w:rsidR="0092760B" w:rsidRPr="00027624" w:rsidRDefault="0092760B" w:rsidP="002A2FAE">
            <w:pPr>
              <w:pStyle w:val="TableTextLeft"/>
              <w:jc w:val="center"/>
            </w:pPr>
            <w:r w:rsidRPr="00027624">
              <w:rPr>
                <w:rFonts w:cs="Calibri"/>
                <w:szCs w:val="18"/>
              </w:rPr>
              <w:t>22,600</w:t>
            </w:r>
          </w:p>
        </w:tc>
        <w:tc>
          <w:tcPr>
            <w:tcW w:w="1001" w:type="pct"/>
            <w:tcBorders>
              <w:left w:val="single" w:sz="4" w:space="0" w:color="auto"/>
              <w:right w:val="single" w:sz="4" w:space="0" w:color="auto"/>
            </w:tcBorders>
            <w:shd w:val="clear" w:color="auto" w:fill="auto"/>
            <w:vAlign w:val="center"/>
          </w:tcPr>
          <w:p w14:paraId="3C55266C"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28,500</w:t>
            </w:r>
          </w:p>
        </w:tc>
        <w:tc>
          <w:tcPr>
            <w:tcW w:w="1001" w:type="pct"/>
            <w:tcBorders>
              <w:left w:val="single" w:sz="4" w:space="0" w:color="auto"/>
              <w:right w:val="single" w:sz="4" w:space="0" w:color="auto"/>
            </w:tcBorders>
            <w:vAlign w:val="center"/>
          </w:tcPr>
          <w:p w14:paraId="29AFCFBB"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52,100</w:t>
            </w:r>
          </w:p>
        </w:tc>
        <w:tc>
          <w:tcPr>
            <w:tcW w:w="1000" w:type="pct"/>
            <w:tcBorders>
              <w:left w:val="single" w:sz="4" w:space="0" w:color="auto"/>
            </w:tcBorders>
            <w:vAlign w:val="center"/>
          </w:tcPr>
          <w:p w14:paraId="58C1123F" w14:textId="77777777" w:rsidR="0092760B" w:rsidRPr="00027624" w:rsidRDefault="0092760B" w:rsidP="002A2FAE">
            <w:pPr>
              <w:pStyle w:val="TableTextLeft"/>
              <w:jc w:val="center"/>
            </w:pPr>
            <w:r w:rsidRPr="00027624">
              <w:rPr>
                <w:rFonts w:cs="Calibri"/>
                <w:szCs w:val="18"/>
              </w:rPr>
              <w:t>23,600</w:t>
            </w:r>
          </w:p>
        </w:tc>
      </w:tr>
      <w:tr w:rsidR="0092760B" w:rsidRPr="00027624" w14:paraId="36A84570" w14:textId="77777777" w:rsidTr="002A2FAE">
        <w:trPr>
          <w:trHeight w:val="280"/>
          <w:jc w:val="center"/>
        </w:trPr>
        <w:tc>
          <w:tcPr>
            <w:tcW w:w="1128" w:type="pct"/>
          </w:tcPr>
          <w:p w14:paraId="6C159319" w14:textId="77777777" w:rsidR="0092760B" w:rsidRPr="00027624" w:rsidRDefault="0092760B" w:rsidP="002A2FAE">
            <w:pPr>
              <w:pStyle w:val="TableTextLeft"/>
            </w:pPr>
            <w:r w:rsidRPr="00027624">
              <w:t>40</w:t>
            </w:r>
          </w:p>
        </w:tc>
        <w:tc>
          <w:tcPr>
            <w:tcW w:w="871" w:type="pct"/>
            <w:tcBorders>
              <w:right w:val="single" w:sz="4" w:space="0" w:color="auto"/>
            </w:tcBorders>
            <w:shd w:val="clear" w:color="auto" w:fill="auto"/>
            <w:vAlign w:val="center"/>
          </w:tcPr>
          <w:p w14:paraId="12B9180E" w14:textId="77777777" w:rsidR="0092760B" w:rsidRPr="00027624" w:rsidRDefault="0092760B" w:rsidP="002A2FAE">
            <w:pPr>
              <w:pStyle w:val="TableTextLeft"/>
              <w:jc w:val="center"/>
            </w:pPr>
            <w:r w:rsidRPr="00027624">
              <w:rPr>
                <w:rFonts w:cs="Calibri"/>
                <w:szCs w:val="18"/>
              </w:rPr>
              <w:t>27,500</w:t>
            </w:r>
          </w:p>
        </w:tc>
        <w:tc>
          <w:tcPr>
            <w:tcW w:w="1001" w:type="pct"/>
            <w:tcBorders>
              <w:left w:val="single" w:sz="4" w:space="0" w:color="auto"/>
              <w:right w:val="single" w:sz="4" w:space="0" w:color="auto"/>
            </w:tcBorders>
            <w:shd w:val="clear" w:color="auto" w:fill="auto"/>
            <w:vAlign w:val="center"/>
          </w:tcPr>
          <w:p w14:paraId="61DC7FC4"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29,000</w:t>
            </w:r>
          </w:p>
        </w:tc>
        <w:tc>
          <w:tcPr>
            <w:tcW w:w="1001" w:type="pct"/>
            <w:tcBorders>
              <w:left w:val="single" w:sz="4" w:space="0" w:color="auto"/>
              <w:right w:val="single" w:sz="4" w:space="0" w:color="auto"/>
            </w:tcBorders>
            <w:vAlign w:val="center"/>
          </w:tcPr>
          <w:p w14:paraId="631E6242"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61,900</w:t>
            </w:r>
          </w:p>
        </w:tc>
        <w:tc>
          <w:tcPr>
            <w:tcW w:w="1000" w:type="pct"/>
            <w:tcBorders>
              <w:left w:val="single" w:sz="4" w:space="0" w:color="auto"/>
            </w:tcBorders>
            <w:vAlign w:val="center"/>
          </w:tcPr>
          <w:p w14:paraId="1FAC78F0" w14:textId="77777777" w:rsidR="0092760B" w:rsidRPr="00027624" w:rsidRDefault="0092760B" w:rsidP="002A2FAE">
            <w:pPr>
              <w:pStyle w:val="TableTextLeft"/>
              <w:jc w:val="center"/>
            </w:pPr>
            <w:r w:rsidRPr="00027624">
              <w:rPr>
                <w:rFonts w:cs="Calibri"/>
                <w:szCs w:val="18"/>
              </w:rPr>
              <w:t>32,800</w:t>
            </w:r>
          </w:p>
        </w:tc>
      </w:tr>
      <w:tr w:rsidR="0092760B" w:rsidRPr="00027624" w14:paraId="119C7ADD" w14:textId="77777777" w:rsidTr="002A2FAE">
        <w:trPr>
          <w:trHeight w:val="280"/>
          <w:jc w:val="center"/>
        </w:trPr>
        <w:tc>
          <w:tcPr>
            <w:tcW w:w="1128" w:type="pct"/>
          </w:tcPr>
          <w:p w14:paraId="707CA0A4" w14:textId="77777777" w:rsidR="0092760B" w:rsidRPr="00027624" w:rsidRDefault="0092760B" w:rsidP="002A2FAE">
            <w:pPr>
              <w:pStyle w:val="TableTextLeft"/>
            </w:pPr>
            <w:r w:rsidRPr="00027624">
              <w:t>50</w:t>
            </w:r>
          </w:p>
        </w:tc>
        <w:tc>
          <w:tcPr>
            <w:tcW w:w="871" w:type="pct"/>
            <w:tcBorders>
              <w:right w:val="single" w:sz="4" w:space="0" w:color="auto"/>
            </w:tcBorders>
            <w:shd w:val="clear" w:color="auto" w:fill="auto"/>
            <w:vAlign w:val="center"/>
          </w:tcPr>
          <w:p w14:paraId="782BB44D" w14:textId="77777777" w:rsidR="0092760B" w:rsidRPr="00027624" w:rsidRDefault="0092760B" w:rsidP="002A2FAE">
            <w:pPr>
              <w:pStyle w:val="TableTextLeft"/>
              <w:jc w:val="center"/>
            </w:pPr>
            <w:r w:rsidRPr="00027624">
              <w:rPr>
                <w:rFonts w:cs="Calibri"/>
                <w:szCs w:val="18"/>
              </w:rPr>
              <w:t>32,400</w:t>
            </w:r>
          </w:p>
        </w:tc>
        <w:tc>
          <w:tcPr>
            <w:tcW w:w="1001" w:type="pct"/>
            <w:tcBorders>
              <w:left w:val="single" w:sz="4" w:space="0" w:color="auto"/>
              <w:right w:val="single" w:sz="4" w:space="0" w:color="auto"/>
            </w:tcBorders>
            <w:shd w:val="clear" w:color="auto" w:fill="auto"/>
            <w:vAlign w:val="center"/>
          </w:tcPr>
          <w:p w14:paraId="3FB0F093"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32,900</w:t>
            </w:r>
          </w:p>
        </w:tc>
        <w:tc>
          <w:tcPr>
            <w:tcW w:w="1001" w:type="pct"/>
            <w:tcBorders>
              <w:left w:val="single" w:sz="4" w:space="0" w:color="auto"/>
              <w:right w:val="single" w:sz="4" w:space="0" w:color="auto"/>
            </w:tcBorders>
            <w:vAlign w:val="center"/>
          </w:tcPr>
          <w:p w14:paraId="020A01F6"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70,800</w:t>
            </w:r>
          </w:p>
        </w:tc>
        <w:tc>
          <w:tcPr>
            <w:tcW w:w="1000" w:type="pct"/>
            <w:tcBorders>
              <w:left w:val="single" w:sz="4" w:space="0" w:color="auto"/>
            </w:tcBorders>
            <w:vAlign w:val="center"/>
          </w:tcPr>
          <w:p w14:paraId="54F9E394" w14:textId="77777777" w:rsidR="0092760B" w:rsidRPr="00027624" w:rsidRDefault="0092760B" w:rsidP="002A2FAE">
            <w:pPr>
              <w:pStyle w:val="TableTextLeft"/>
              <w:jc w:val="center"/>
            </w:pPr>
            <w:r w:rsidRPr="00027624">
              <w:rPr>
                <w:rFonts w:cs="Calibri"/>
                <w:szCs w:val="18"/>
              </w:rPr>
              <w:t>37,900</w:t>
            </w:r>
          </w:p>
        </w:tc>
      </w:tr>
      <w:tr w:rsidR="0092760B" w:rsidRPr="00027624" w14:paraId="1E1509F0" w14:textId="77777777" w:rsidTr="002A2FAE">
        <w:trPr>
          <w:trHeight w:val="280"/>
          <w:jc w:val="center"/>
        </w:trPr>
        <w:tc>
          <w:tcPr>
            <w:tcW w:w="1128" w:type="pct"/>
          </w:tcPr>
          <w:p w14:paraId="3B222F73" w14:textId="77777777" w:rsidR="0092760B" w:rsidRPr="00027624" w:rsidRDefault="0092760B" w:rsidP="002A2FAE">
            <w:pPr>
              <w:pStyle w:val="TableTextLeft"/>
            </w:pPr>
            <w:r w:rsidRPr="00027624">
              <w:t>60</w:t>
            </w:r>
          </w:p>
        </w:tc>
        <w:tc>
          <w:tcPr>
            <w:tcW w:w="871" w:type="pct"/>
            <w:tcBorders>
              <w:right w:val="single" w:sz="4" w:space="0" w:color="auto"/>
            </w:tcBorders>
            <w:shd w:val="clear" w:color="auto" w:fill="auto"/>
            <w:vAlign w:val="center"/>
          </w:tcPr>
          <w:p w14:paraId="29832D57" w14:textId="77777777" w:rsidR="0092760B" w:rsidRPr="00027624" w:rsidRDefault="0092760B" w:rsidP="002A2FAE">
            <w:pPr>
              <w:pStyle w:val="TableTextLeft"/>
              <w:jc w:val="center"/>
            </w:pPr>
            <w:r w:rsidRPr="00027624">
              <w:rPr>
                <w:rFonts w:cs="Calibri"/>
                <w:szCs w:val="18"/>
              </w:rPr>
              <w:t>38,100</w:t>
            </w:r>
          </w:p>
        </w:tc>
        <w:tc>
          <w:tcPr>
            <w:tcW w:w="1001" w:type="pct"/>
            <w:tcBorders>
              <w:left w:val="single" w:sz="4" w:space="0" w:color="auto"/>
              <w:right w:val="single" w:sz="4" w:space="0" w:color="auto"/>
            </w:tcBorders>
            <w:shd w:val="clear" w:color="auto" w:fill="auto"/>
            <w:vAlign w:val="center"/>
          </w:tcPr>
          <w:p w14:paraId="286F1EE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50,600</w:t>
            </w:r>
          </w:p>
        </w:tc>
        <w:tc>
          <w:tcPr>
            <w:tcW w:w="1001" w:type="pct"/>
            <w:tcBorders>
              <w:left w:val="single" w:sz="4" w:space="0" w:color="auto"/>
              <w:right w:val="single" w:sz="4" w:space="0" w:color="auto"/>
            </w:tcBorders>
            <w:vAlign w:val="center"/>
          </w:tcPr>
          <w:p w14:paraId="4A02260A"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86,500</w:t>
            </w:r>
          </w:p>
        </w:tc>
        <w:tc>
          <w:tcPr>
            <w:tcW w:w="1000" w:type="pct"/>
            <w:tcBorders>
              <w:left w:val="single" w:sz="4" w:space="0" w:color="auto"/>
            </w:tcBorders>
            <w:vAlign w:val="center"/>
          </w:tcPr>
          <w:p w14:paraId="4F7A3376" w14:textId="77777777" w:rsidR="0092760B" w:rsidRPr="00027624" w:rsidRDefault="0092760B" w:rsidP="002A2FAE">
            <w:pPr>
              <w:pStyle w:val="TableTextLeft"/>
              <w:jc w:val="center"/>
            </w:pPr>
            <w:r w:rsidRPr="00027624">
              <w:rPr>
                <w:rFonts w:cs="Calibri"/>
                <w:szCs w:val="18"/>
              </w:rPr>
              <w:t>36,000</w:t>
            </w:r>
          </w:p>
        </w:tc>
      </w:tr>
      <w:tr w:rsidR="0092760B" w:rsidRPr="00027624" w14:paraId="186FD51B" w14:textId="77777777" w:rsidTr="002A2FAE">
        <w:trPr>
          <w:trHeight w:val="280"/>
          <w:jc w:val="center"/>
        </w:trPr>
        <w:tc>
          <w:tcPr>
            <w:tcW w:w="1128" w:type="pct"/>
          </w:tcPr>
          <w:p w14:paraId="282B0E63" w14:textId="77777777" w:rsidR="0092760B" w:rsidRPr="00027624" w:rsidRDefault="0092760B" w:rsidP="002A2FAE">
            <w:pPr>
              <w:pStyle w:val="TableTextLeft"/>
            </w:pPr>
            <w:r w:rsidRPr="00027624">
              <w:t>70</w:t>
            </w:r>
          </w:p>
        </w:tc>
        <w:tc>
          <w:tcPr>
            <w:tcW w:w="871" w:type="pct"/>
            <w:tcBorders>
              <w:right w:val="single" w:sz="4" w:space="0" w:color="auto"/>
            </w:tcBorders>
            <w:shd w:val="clear" w:color="auto" w:fill="auto"/>
            <w:vAlign w:val="center"/>
          </w:tcPr>
          <w:p w14:paraId="16D3A969" w14:textId="77777777" w:rsidR="0092760B" w:rsidRPr="00027624" w:rsidRDefault="0092760B" w:rsidP="002A2FAE">
            <w:pPr>
              <w:pStyle w:val="TableTextLeft"/>
              <w:jc w:val="center"/>
            </w:pPr>
            <w:r w:rsidRPr="00027624">
              <w:rPr>
                <w:rFonts w:cs="Calibri"/>
                <w:szCs w:val="18"/>
              </w:rPr>
              <w:t>45,000</w:t>
            </w:r>
          </w:p>
        </w:tc>
        <w:tc>
          <w:tcPr>
            <w:tcW w:w="1001" w:type="pct"/>
            <w:tcBorders>
              <w:left w:val="single" w:sz="4" w:space="0" w:color="auto"/>
              <w:right w:val="single" w:sz="4" w:space="0" w:color="auto"/>
            </w:tcBorders>
            <w:shd w:val="clear" w:color="auto" w:fill="auto"/>
            <w:vAlign w:val="center"/>
          </w:tcPr>
          <w:p w14:paraId="5116D286"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71,800</w:t>
            </w:r>
          </w:p>
        </w:tc>
        <w:tc>
          <w:tcPr>
            <w:tcW w:w="1001" w:type="pct"/>
            <w:tcBorders>
              <w:left w:val="single" w:sz="4" w:space="0" w:color="auto"/>
              <w:right w:val="single" w:sz="4" w:space="0" w:color="auto"/>
            </w:tcBorders>
            <w:vAlign w:val="center"/>
          </w:tcPr>
          <w:p w14:paraId="73972D0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102,100</w:t>
            </w:r>
          </w:p>
        </w:tc>
        <w:tc>
          <w:tcPr>
            <w:tcW w:w="1000" w:type="pct"/>
            <w:tcBorders>
              <w:left w:val="single" w:sz="4" w:space="0" w:color="auto"/>
            </w:tcBorders>
            <w:vAlign w:val="center"/>
          </w:tcPr>
          <w:p w14:paraId="09A84BC7" w14:textId="77777777" w:rsidR="0092760B" w:rsidRPr="00027624" w:rsidRDefault="0092760B" w:rsidP="002A2FAE">
            <w:pPr>
              <w:pStyle w:val="TableTextLeft"/>
              <w:jc w:val="center"/>
            </w:pPr>
            <w:r w:rsidRPr="00027624">
              <w:rPr>
                <w:rFonts w:cs="Calibri"/>
                <w:szCs w:val="18"/>
              </w:rPr>
              <w:t>30,400</w:t>
            </w:r>
          </w:p>
        </w:tc>
      </w:tr>
      <w:tr w:rsidR="0092760B" w:rsidRPr="00027624" w14:paraId="64A1F127" w14:textId="77777777" w:rsidTr="002A2FAE">
        <w:trPr>
          <w:trHeight w:val="280"/>
          <w:jc w:val="center"/>
        </w:trPr>
        <w:tc>
          <w:tcPr>
            <w:tcW w:w="1128" w:type="pct"/>
          </w:tcPr>
          <w:p w14:paraId="154F2F0C" w14:textId="77777777" w:rsidR="0092760B" w:rsidRPr="00027624" w:rsidRDefault="0092760B" w:rsidP="002A2FAE">
            <w:pPr>
              <w:pStyle w:val="TableTextLeft"/>
            </w:pPr>
            <w:r w:rsidRPr="00027624">
              <w:t>80</w:t>
            </w:r>
          </w:p>
        </w:tc>
        <w:tc>
          <w:tcPr>
            <w:tcW w:w="871" w:type="pct"/>
            <w:tcBorders>
              <w:right w:val="single" w:sz="4" w:space="0" w:color="auto"/>
            </w:tcBorders>
            <w:shd w:val="clear" w:color="auto" w:fill="auto"/>
            <w:vAlign w:val="center"/>
          </w:tcPr>
          <w:p w14:paraId="19CCA8B8" w14:textId="77777777" w:rsidR="0092760B" w:rsidRPr="00027624" w:rsidRDefault="0092760B" w:rsidP="002A2FAE">
            <w:pPr>
              <w:pStyle w:val="TableTextLeft"/>
              <w:jc w:val="center"/>
            </w:pPr>
            <w:r w:rsidRPr="00027624">
              <w:rPr>
                <w:rFonts w:cs="Calibri"/>
                <w:szCs w:val="18"/>
              </w:rPr>
              <w:t>53,900</w:t>
            </w:r>
          </w:p>
        </w:tc>
        <w:tc>
          <w:tcPr>
            <w:tcW w:w="1001" w:type="pct"/>
            <w:tcBorders>
              <w:left w:val="single" w:sz="4" w:space="0" w:color="auto"/>
              <w:right w:val="single" w:sz="4" w:space="0" w:color="auto"/>
            </w:tcBorders>
            <w:shd w:val="clear" w:color="auto" w:fill="auto"/>
            <w:vAlign w:val="center"/>
          </w:tcPr>
          <w:p w14:paraId="5B7147A6"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101,300</w:t>
            </w:r>
          </w:p>
        </w:tc>
        <w:tc>
          <w:tcPr>
            <w:tcW w:w="1001" w:type="pct"/>
            <w:tcBorders>
              <w:left w:val="single" w:sz="4" w:space="0" w:color="auto"/>
              <w:right w:val="single" w:sz="4" w:space="0" w:color="auto"/>
            </w:tcBorders>
            <w:vAlign w:val="center"/>
          </w:tcPr>
          <w:p w14:paraId="23D69CF9"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122,300</w:t>
            </w:r>
          </w:p>
        </w:tc>
        <w:tc>
          <w:tcPr>
            <w:tcW w:w="1000" w:type="pct"/>
            <w:tcBorders>
              <w:left w:val="single" w:sz="4" w:space="0" w:color="auto"/>
            </w:tcBorders>
            <w:vAlign w:val="center"/>
          </w:tcPr>
          <w:p w14:paraId="7B50C4FC" w14:textId="77777777" w:rsidR="0092760B" w:rsidRPr="00027624" w:rsidRDefault="0092760B" w:rsidP="002A2FAE">
            <w:pPr>
              <w:pStyle w:val="TableTextLeft"/>
              <w:jc w:val="center"/>
            </w:pPr>
            <w:r w:rsidRPr="00027624">
              <w:rPr>
                <w:rFonts w:cs="Calibri"/>
                <w:szCs w:val="18"/>
              </w:rPr>
              <w:t>21,200</w:t>
            </w:r>
          </w:p>
        </w:tc>
      </w:tr>
      <w:tr w:rsidR="0092760B" w:rsidRPr="00027624" w14:paraId="48F46F4F" w14:textId="77777777" w:rsidTr="002A2FAE">
        <w:trPr>
          <w:trHeight w:val="280"/>
          <w:jc w:val="center"/>
        </w:trPr>
        <w:tc>
          <w:tcPr>
            <w:tcW w:w="1128" w:type="pct"/>
          </w:tcPr>
          <w:p w14:paraId="33AD5DE1" w14:textId="77777777" w:rsidR="0092760B" w:rsidRPr="00027624" w:rsidRDefault="0092760B" w:rsidP="002A2FAE">
            <w:pPr>
              <w:pStyle w:val="TableTextLeft"/>
            </w:pPr>
            <w:r w:rsidRPr="00027624">
              <w:t>90</w:t>
            </w:r>
          </w:p>
        </w:tc>
        <w:tc>
          <w:tcPr>
            <w:tcW w:w="871" w:type="pct"/>
            <w:tcBorders>
              <w:right w:val="single" w:sz="4" w:space="0" w:color="auto"/>
            </w:tcBorders>
            <w:shd w:val="clear" w:color="auto" w:fill="auto"/>
            <w:vAlign w:val="center"/>
          </w:tcPr>
          <w:p w14:paraId="1CF74C1E" w14:textId="77777777" w:rsidR="0092760B" w:rsidRPr="00027624" w:rsidRDefault="0092760B" w:rsidP="002A2FAE">
            <w:pPr>
              <w:pStyle w:val="TableTextLeft"/>
              <w:jc w:val="center"/>
            </w:pPr>
            <w:r w:rsidRPr="00027624">
              <w:rPr>
                <w:rFonts w:cs="Calibri"/>
                <w:szCs w:val="18"/>
              </w:rPr>
              <w:t>58,200</w:t>
            </w:r>
          </w:p>
        </w:tc>
        <w:tc>
          <w:tcPr>
            <w:tcW w:w="1001" w:type="pct"/>
            <w:tcBorders>
              <w:left w:val="single" w:sz="4" w:space="0" w:color="auto"/>
              <w:right w:val="single" w:sz="4" w:space="0" w:color="auto"/>
            </w:tcBorders>
            <w:shd w:val="clear" w:color="auto" w:fill="auto"/>
            <w:vAlign w:val="center"/>
          </w:tcPr>
          <w:p w14:paraId="562FEA65"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147,400</w:t>
            </w:r>
          </w:p>
        </w:tc>
        <w:tc>
          <w:tcPr>
            <w:tcW w:w="1001" w:type="pct"/>
            <w:tcBorders>
              <w:left w:val="single" w:sz="4" w:space="0" w:color="auto"/>
              <w:right w:val="single" w:sz="4" w:space="0" w:color="auto"/>
            </w:tcBorders>
            <w:vAlign w:val="center"/>
          </w:tcPr>
          <w:p w14:paraId="07401A2F"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142,200</w:t>
            </w:r>
          </w:p>
        </w:tc>
        <w:tc>
          <w:tcPr>
            <w:tcW w:w="1000" w:type="pct"/>
            <w:tcBorders>
              <w:left w:val="single" w:sz="4" w:space="0" w:color="auto"/>
            </w:tcBorders>
            <w:vAlign w:val="center"/>
          </w:tcPr>
          <w:p w14:paraId="4139295B" w14:textId="77777777" w:rsidR="0092760B" w:rsidRPr="00027624" w:rsidRDefault="0092760B" w:rsidP="002A2FAE">
            <w:pPr>
              <w:pStyle w:val="TableTextLeft"/>
              <w:jc w:val="center"/>
            </w:pPr>
            <w:r w:rsidRPr="00027624">
              <w:rPr>
                <w:rFonts w:cs="Calibri"/>
                <w:szCs w:val="18"/>
              </w:rPr>
              <w:t>7,800</w:t>
            </w:r>
          </w:p>
        </w:tc>
      </w:tr>
    </w:tbl>
    <w:p w14:paraId="645F0F13" w14:textId="77777777" w:rsidR="0092760B" w:rsidRPr="00027624" w:rsidRDefault="0092760B" w:rsidP="002A2FAE">
      <w:pPr>
        <w:pStyle w:val="ChartorTableNote"/>
      </w:pPr>
      <w:r w:rsidRPr="00027624">
        <w:t>Note: Values are in 2019</w:t>
      </w:r>
      <w:r w:rsidR="00A8443E" w:rsidRPr="00027624">
        <w:noBreakHyphen/>
      </w:r>
      <w:r w:rsidRPr="00027624">
        <w:t>20 dollars, deflated using the review</w:t>
      </w:r>
      <w:r w:rsidR="00A8443E" w:rsidRPr="00027624">
        <w:t>’</w:t>
      </w:r>
      <w:r w:rsidRPr="00027624">
        <w:t xml:space="preserve">s mixed deflator and rounded to the nearest $100. Mortality weighting derived from Australian Government Actuary projections based on a female aged 27 in 2019. Change in lifetime income is modelled for an individual living to 102 with a life expectancy of 92. </w:t>
      </w:r>
      <w:r w:rsidR="00A8443E" w:rsidRPr="00027624">
        <w:t>‘</w:t>
      </w:r>
      <w:r w:rsidRPr="00027624">
        <w:t>Superannuation drawdown</w:t>
      </w:r>
      <w:r w:rsidR="00A8443E" w:rsidRPr="00027624">
        <w:t>’</w:t>
      </w:r>
      <w:r w:rsidRPr="00027624">
        <w:t xml:space="preserve"> includes the value of deferred group self</w:t>
      </w:r>
      <w:r w:rsidR="00A8443E" w:rsidRPr="00027624">
        <w:noBreakHyphen/>
      </w:r>
      <w:r w:rsidRPr="00027624">
        <w:t>annuity product payments from age 92. All other specifications are consistent with the review</w:t>
      </w:r>
      <w:r w:rsidR="00A8443E" w:rsidRPr="00027624">
        <w:t>’</w:t>
      </w:r>
      <w:r w:rsidRPr="00027624">
        <w:t xml:space="preserve">s central case. The difference in retirement income and superannuation drawdowns and Age Pension income is explained by lower drawdowns of assets outside of superannuation. Changes are sensitive to the deflator and how assets are drawn down, see </w:t>
      </w:r>
      <w:r w:rsidR="003767FD" w:rsidRPr="00027624">
        <w:rPr>
          <w:i/>
        </w:rPr>
        <w:t>Annex</w:t>
      </w:r>
      <w:r w:rsidR="00A8443E" w:rsidRPr="00027624">
        <w:rPr>
          <w:i/>
        </w:rPr>
        <w:t xml:space="preserve"> — </w:t>
      </w:r>
      <w:r w:rsidRPr="00027624">
        <w:rPr>
          <w:i/>
        </w:rPr>
        <w:t>modelling supplement</w:t>
      </w:r>
      <w:r w:rsidRPr="00027624">
        <w:t xml:space="preserve">. </w:t>
      </w:r>
      <w:r w:rsidRPr="00027624">
        <w:rPr>
          <w:color w:val="000000" w:themeColor="text1"/>
        </w:rPr>
        <w:t>Source:</w:t>
      </w:r>
      <w:r w:rsidRPr="00027624">
        <w:t xml:space="preserve"> Cameo modelling undertaken for the review and Australian Government Actuary mortality projections</w:t>
      </w:r>
      <w:bookmarkStart w:id="624" w:name="_Toc31209588"/>
      <w:bookmarkStart w:id="625" w:name="_Toc31270950"/>
      <w:bookmarkStart w:id="626" w:name="_Toc31274394"/>
      <w:bookmarkStart w:id="627" w:name="_Toc31276226"/>
      <w:bookmarkStart w:id="628" w:name="_Toc31352224"/>
      <w:bookmarkStart w:id="629" w:name="_Toc31720367"/>
      <w:bookmarkStart w:id="630" w:name="_Toc34645028"/>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92760B" w:rsidRPr="00027624" w14:paraId="0F419319" w14:textId="77777777" w:rsidTr="002A2FAE">
        <w:tc>
          <w:tcPr>
            <w:tcW w:w="5000" w:type="pct"/>
            <w:shd w:val="clear" w:color="auto" w:fill="FFF8EA"/>
          </w:tcPr>
          <w:p w14:paraId="2DD242E4" w14:textId="77777777" w:rsidR="0092760B" w:rsidRPr="00027624" w:rsidRDefault="0092760B" w:rsidP="00325A8D">
            <w:pPr>
              <w:pStyle w:val="BoxHeading"/>
            </w:pPr>
            <w:r w:rsidRPr="00027624">
              <w:t>Balancing universal policy settings and flexibility</w:t>
            </w:r>
          </w:p>
          <w:p w14:paraId="765CE962" w14:textId="77777777" w:rsidR="0092760B" w:rsidRPr="00027624" w:rsidRDefault="0092760B" w:rsidP="002A2FAE">
            <w:pPr>
              <w:pStyle w:val="BoxText"/>
            </w:pPr>
            <w:r w:rsidRPr="00027624">
              <w:t>The universal policy settings under the Age Pension and SG deliver a default level of retirement income. Universal policy settings will not suit all Australians given the diversity in career lengths, retirement ages, incomes and voluntary savings levels.</w:t>
            </w:r>
          </w:p>
          <w:p w14:paraId="65725C85" w14:textId="77777777" w:rsidR="0092760B" w:rsidRPr="00027624" w:rsidRDefault="0092760B" w:rsidP="002A2FAE">
            <w:pPr>
              <w:pStyle w:val="BoxText"/>
            </w:pPr>
            <w:r w:rsidRPr="00027624">
              <w:lastRenderedPageBreak/>
              <w:t>The universal policy settings in the retirement income system are asymmetric (see</w:t>
            </w:r>
            <w:r w:rsidRPr="00027624">
              <w:rPr>
                <w:i/>
              </w:rPr>
              <w:t xml:space="preserve"> 2C. Maintaining standards of living in retirement</w:t>
            </w:r>
            <w:r w:rsidRPr="00027624">
              <w:t>). People have flexibility to save more voluntarily if they wish to achieve a higher standard in retirement. But the compulsory nature of the SG makes it difficult for people to save below the default savings level. Lower</w:t>
            </w:r>
            <w:r w:rsidR="00A8443E" w:rsidRPr="00027624">
              <w:noBreakHyphen/>
            </w:r>
            <w:r w:rsidRPr="00027624">
              <w:t>income earners can expect replacement rates above the benchmark under both a 9.5 and a 12 per cent SG rate. People with lower incomes are particularly vulnerable when compulsory savings rates are set too high. This highlights the importance of balance when setting the default level of retirement income.</w:t>
            </w:r>
          </w:p>
          <w:p w14:paraId="6F544756" w14:textId="77777777" w:rsidR="0092760B" w:rsidRPr="00027624" w:rsidRDefault="0092760B" w:rsidP="002A2FAE">
            <w:pPr>
              <w:pStyle w:val="BoxText"/>
            </w:pPr>
            <w:r w:rsidRPr="00027624">
              <w:t>Recognising this trade</w:t>
            </w:r>
            <w:r w:rsidR="00A8443E" w:rsidRPr="00027624">
              <w:noBreakHyphen/>
            </w:r>
            <w:r w:rsidRPr="00027624">
              <w:t>off, several stakeholders proposed alternative mechanisms. These included an opt</w:t>
            </w:r>
            <w:r w:rsidR="00A8443E" w:rsidRPr="00027624">
              <w:noBreakHyphen/>
            </w:r>
            <w:r w:rsidRPr="00027624">
              <w:t xml:space="preserve">out mechanism for contributions above a minimum compulsory contribution rate </w:t>
            </w:r>
            <w:sdt>
              <w:sdtPr>
                <w:id w:val="1159422298"/>
                <w:citation/>
              </w:sdtPr>
              <w:sdtEndPr/>
              <w:sdtContent>
                <w:r w:rsidRPr="00027624">
                  <w:fldChar w:fldCharType="begin"/>
                </w:r>
                <w:r w:rsidRPr="00027624">
                  <w:instrText xml:space="preserve">CITATION War20 \p 10 \l 3081 </w:instrText>
                </w:r>
                <w:r w:rsidRPr="00027624">
                  <w:fldChar w:fldCharType="separate"/>
                </w:r>
                <w:r w:rsidR="00E83F6E">
                  <w:rPr>
                    <w:noProof/>
                  </w:rPr>
                  <w:t>(Warren, et al., 2020, p. 10)</w:t>
                </w:r>
                <w:r w:rsidRPr="00027624">
                  <w:fldChar w:fldCharType="end"/>
                </w:r>
              </w:sdtContent>
            </w:sdt>
            <w:r w:rsidRPr="00027624">
              <w:t xml:space="preserve"> or allowing members to access modest amounts of their superannuation to meet non</w:t>
            </w:r>
            <w:r w:rsidR="00A8443E" w:rsidRPr="00027624">
              <w:noBreakHyphen/>
            </w:r>
            <w:r w:rsidRPr="00027624">
              <w:t>retirement needs</w:t>
            </w:r>
            <w:sdt>
              <w:sdtPr>
                <w:id w:val="116643686"/>
                <w:citation/>
              </w:sdtPr>
              <w:sdtEndPr/>
              <w:sdtContent>
                <w:r w:rsidRPr="00027624">
                  <w:fldChar w:fldCharType="begin"/>
                </w:r>
                <w:r w:rsidRPr="00027624">
                  <w:instrText xml:space="preserve">CITATION ACO202 \p 32-33 \l 3081 </w:instrText>
                </w:r>
                <w:r w:rsidRPr="00027624">
                  <w:fldChar w:fldCharType="separate"/>
                </w:r>
                <w:r w:rsidR="00E83F6E">
                  <w:rPr>
                    <w:noProof/>
                  </w:rPr>
                  <w:t xml:space="preserve"> (Australian Council of Social Service, 2020, pp. 32-33)</w:t>
                </w:r>
                <w:r w:rsidRPr="00027624">
                  <w:fldChar w:fldCharType="end"/>
                </w:r>
              </w:sdtContent>
            </w:sdt>
            <w:r w:rsidRPr="00027624">
              <w:t>. The merits of any such approach would need to balance the additional flexibility and choice with appropriate protections of retirement balances. Consideration should also be given to the fiscal costs associated with the concessional taxation of savings consumed during working life.</w:t>
            </w:r>
          </w:p>
        </w:tc>
      </w:tr>
    </w:tbl>
    <w:p w14:paraId="61B4EC70" w14:textId="77777777" w:rsidR="0092760B" w:rsidRPr="00027624" w:rsidRDefault="0092760B" w:rsidP="002A2FAE">
      <w:pPr>
        <w:pStyle w:val="Heading3"/>
      </w:pPr>
      <w:r w:rsidRPr="00027624">
        <w:lastRenderedPageBreak/>
        <w:t>Effect on cohesion</w:t>
      </w:r>
    </w:p>
    <w:p w14:paraId="74DF7407" w14:textId="77777777" w:rsidR="0092760B" w:rsidRPr="00027624" w:rsidRDefault="0092760B" w:rsidP="002A2FAE">
      <w:pPr>
        <w:pStyle w:val="Heading4"/>
      </w:pPr>
      <w:r w:rsidRPr="00027624">
        <w:t>Effective use of superannuation balances for retirement incomes</w:t>
      </w:r>
    </w:p>
    <w:p w14:paraId="3B732D99" w14:textId="77777777" w:rsidR="0092760B" w:rsidRPr="00027624" w:rsidRDefault="0092760B" w:rsidP="002A2FAE">
      <w:r w:rsidRPr="00027624">
        <w:t xml:space="preserve">The importance of effectively using superannuation assets to fund retirement income is discussed in </w:t>
      </w:r>
      <w:r w:rsidRPr="00027624">
        <w:rPr>
          <w:i/>
        </w:rPr>
        <w:t>5A. Cohesion</w:t>
      </w:r>
      <w:r w:rsidRPr="00027624">
        <w:t>. The following analysis highlights that how people use their superannuation savings in retirement is important in determining the adequacy of their retirement incomes.</w:t>
      </w:r>
    </w:p>
    <w:p w14:paraId="4CA92691" w14:textId="77777777" w:rsidR="0092760B" w:rsidRPr="00027624" w:rsidRDefault="0092760B" w:rsidP="002A2FAE">
      <w:r w:rsidRPr="00027624">
        <w:t xml:space="preserve">The projections assume retirees draw down all their superannuation in retirement. Drawing down superannuation assets in retirement is consistent with the policy intent of the retirement income system: to provide income in retirement (see </w:t>
      </w:r>
      <w:r w:rsidRPr="00027624">
        <w:rPr>
          <w:i/>
        </w:rPr>
        <w:t>2C. Maintaining standards of living in retirement</w:t>
      </w:r>
      <w:r w:rsidRPr="00027624">
        <w:t>).</w:t>
      </w:r>
    </w:p>
    <w:p w14:paraId="1039564E" w14:textId="1DA252A8" w:rsidR="0092760B" w:rsidRPr="00027624" w:rsidRDefault="0092760B" w:rsidP="002A2FAE">
      <w:r w:rsidRPr="00027624">
        <w:t>Drawing down superannuation at minimum legislated rates would result in lower replacement rates under both a 9.5 per cent and a 12 per cent SG rate (</w:t>
      </w:r>
      <w:r w:rsidR="0094088B" w:rsidRPr="00027624">
        <w:fldChar w:fldCharType="begin"/>
      </w:r>
      <w:r w:rsidR="0094088B" w:rsidRPr="00027624">
        <w:instrText xml:space="preserve"> REF _Ref45634247 \r \h </w:instrText>
      </w:r>
      <w:r w:rsidR="00027624">
        <w:instrText xml:space="preserve"> \* MERGEFORMAT </w:instrText>
      </w:r>
      <w:r w:rsidR="0094088B" w:rsidRPr="00027624">
        <w:fldChar w:fldCharType="separate"/>
      </w:r>
      <w:r w:rsidR="00891058">
        <w:t>Chart 2D-5</w:t>
      </w:r>
      <w:r w:rsidR="0094088B" w:rsidRPr="00027624">
        <w:fldChar w:fldCharType="end"/>
      </w:r>
      <w:r w:rsidRPr="00027624">
        <w:t>). With drawdowns at minimum rates, people above the median income fail to meet the 65</w:t>
      </w:r>
      <w:r w:rsidR="00A8443E" w:rsidRPr="00027624">
        <w:noBreakHyphen/>
      </w:r>
      <w:r w:rsidRPr="00027624">
        <w:t>75 per cent replacement rate benchmarks at either SG rate. Drawdowns at the minimum rate would result in large beques</w:t>
      </w:r>
      <w:r w:rsidR="008F4A79" w:rsidRPr="00027624">
        <w:t>ts to dependa</w:t>
      </w:r>
      <w:r w:rsidRPr="00027624">
        <w:t>nts, rather than delivering retirement incomes for the individual.</w:t>
      </w:r>
    </w:p>
    <w:p w14:paraId="02B0A8B6" w14:textId="77777777" w:rsidR="0092760B" w:rsidRPr="00027624" w:rsidRDefault="0092760B" w:rsidP="00325A8D">
      <w:pPr>
        <w:pStyle w:val="ChartMainHeading"/>
      </w:pPr>
      <w:bookmarkStart w:id="631" w:name="_Ref45634247"/>
      <w:r w:rsidRPr="00027624">
        <w:t>Projected replacement rates by SG rate and drawdown strategy</w:t>
      </w:r>
      <w:bookmarkEnd w:id="631"/>
    </w:p>
    <w:p w14:paraId="4E44EE56" w14:textId="77777777" w:rsidR="0092760B" w:rsidRPr="00027624" w:rsidRDefault="00F53A28" w:rsidP="002A2FAE">
      <w:pPr>
        <w:pStyle w:val="ChartGraphic"/>
      </w:pPr>
      <w:r>
        <w:rPr>
          <w:noProof/>
        </w:rPr>
        <w:drawing>
          <wp:inline distT="0" distB="0" distL="0" distR="0" wp14:anchorId="15558E7D" wp14:editId="0E48208A">
            <wp:extent cx="5615940" cy="2522220"/>
            <wp:effectExtent l="0" t="0" r="3810" b="0"/>
            <wp:docPr id="2002235495" name="Picture 2002235495" descr="This chart shows replacement rates with an efficient drawdown strategy at a 9.5 per cent SG rate, compared to drawing down superannuation at minimum legislated rates with either a 12 per cent or a 9.5 per cent SG rate. Replacement rates fail to meet the 65-75 per cent benchmark range for individuals above the 50th income percentile with both a 9.5 per cent and 12 per cent SG rate when superannuation is drawn down at minimum rates. Individuals up to the 80th income percentile meet or exceed the benchmark replacement rate with a 9.5 per cent SG rate if superannuation is drawn down efficiently in retirement." title="Chart 2D-5 Projected replacement rates by SG rate and drawdown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5940" cy="2522220"/>
                    </a:xfrm>
                    <a:prstGeom prst="rect">
                      <a:avLst/>
                    </a:prstGeom>
                    <a:noFill/>
                  </pic:spPr>
                </pic:pic>
              </a:graphicData>
            </a:graphic>
          </wp:inline>
        </w:drawing>
      </w:r>
    </w:p>
    <w:p w14:paraId="45783721" w14:textId="77777777" w:rsidR="0092760B" w:rsidRPr="00027624" w:rsidRDefault="0092760B" w:rsidP="002A2FAE">
      <w:pPr>
        <w:pStyle w:val="ChartorTableNote"/>
      </w:pPr>
      <w:r w:rsidRPr="00027624">
        <w:rPr>
          <w:color w:val="auto"/>
        </w:rPr>
        <w:t xml:space="preserve">Note: Minimum drawdown based on legislated minimum rates by age. Minimum drawdown rate scenarios do not include people purchasing a longevity product. Efficient drawdown based on review strategy where superannuation assets are fully consumed by age 92 and a longevity product. </w:t>
      </w:r>
      <w:r w:rsidRPr="00027624">
        <w:rPr>
          <w:color w:val="000000" w:themeColor="text1"/>
        </w:rPr>
        <w:t>Source:</w:t>
      </w:r>
      <w:r w:rsidRPr="00027624">
        <w:t xml:space="preserve"> Cameo modelling undertaken for the review.</w:t>
      </w:r>
    </w:p>
    <w:p w14:paraId="2FE7CE52" w14:textId="63F622AB" w:rsidR="0092760B" w:rsidRPr="00027624" w:rsidRDefault="0092760B" w:rsidP="002A2FAE">
      <w:pPr>
        <w:rPr>
          <w:i/>
          <w:iCs/>
        </w:rPr>
      </w:pPr>
      <w:r w:rsidRPr="00027624">
        <w:t>Higher levels of SG would have a minimal impact on lifting replacement rates if superannuation is drawn down at minimum legislated rates (</w:t>
      </w:r>
      <w:r w:rsidR="008F4A79" w:rsidRPr="00027624">
        <w:fldChar w:fldCharType="begin"/>
      </w:r>
      <w:r w:rsidR="008F4A79" w:rsidRPr="00027624">
        <w:instrText xml:space="preserve"> REF _Ref45634247 \r \h </w:instrText>
      </w:r>
      <w:r w:rsidR="00027624">
        <w:instrText xml:space="preserve"> \* MERGEFORMAT </w:instrText>
      </w:r>
      <w:r w:rsidR="008F4A79" w:rsidRPr="00027624">
        <w:fldChar w:fldCharType="separate"/>
      </w:r>
      <w:r w:rsidR="00891058">
        <w:t>Chart 2D-5</w:t>
      </w:r>
      <w:r w:rsidR="008F4A79" w:rsidRPr="00027624">
        <w:fldChar w:fldCharType="end"/>
      </w:r>
      <w:r w:rsidRPr="00027624">
        <w:t>). For income earners below the 90</w:t>
      </w:r>
      <w:r w:rsidRPr="00027624">
        <w:rPr>
          <w:vertAlign w:val="superscript"/>
        </w:rPr>
        <w:t>th</w:t>
      </w:r>
      <w:r w:rsidRPr="00027624">
        <w:t xml:space="preserve"> percentile, </w:t>
      </w:r>
      <w:r w:rsidRPr="00027624">
        <w:lastRenderedPageBreak/>
        <w:t xml:space="preserve">higher replacement rates can be achieved by more efficiently drawing down superannuation assets at the 9.5 per cent contributions rate, compared with drawing superannuation at minimum rates with a 12 per cent SG rate. If the SG rate remained at 9.5 per cent rather than increasing to 12 per cent, and retirees drew down their superannuation balances efficiently, they could achieve a higher standard of living in working life while still being able to maintain living standards in retirement. The reasons why retirees may not effectively use their assets is discussed in </w:t>
      </w:r>
      <w:r w:rsidRPr="00027624">
        <w:rPr>
          <w:i/>
          <w:iCs/>
        </w:rPr>
        <w:t>5A. Cohesion.</w:t>
      </w:r>
    </w:p>
    <w:p w14:paraId="6AE2F7C1" w14:textId="77777777" w:rsidR="0092760B" w:rsidRPr="00027624" w:rsidDel="00F368B7" w:rsidRDefault="0092760B" w:rsidP="002A2FAE">
      <w:pPr>
        <w:pStyle w:val="Heading4"/>
      </w:pPr>
      <w:r w:rsidRPr="00027624">
        <w:t>Transitional issues in maintaining the SG rate</w:t>
      </w:r>
    </w:p>
    <w:p w14:paraId="20478A65" w14:textId="77777777" w:rsidR="0092760B" w:rsidRPr="00027624" w:rsidRDefault="0092760B" w:rsidP="002A2FAE">
      <w:r w:rsidRPr="00027624">
        <w:t>There could be some transitional issues from maintaining the SG rate at 9.5 per cent and how these interact with already certified Enterprise Bargaining Agreements.</w:t>
      </w:r>
    </w:p>
    <w:p w14:paraId="73951217" w14:textId="77777777" w:rsidR="0092760B" w:rsidRPr="00027624" w:rsidRDefault="0092760B" w:rsidP="002A2FAE">
      <w:r w:rsidRPr="00027624">
        <w:t>Some certified Enterprise Bargaining Agreements have already determined the pay and entitlements for workers based on the legislated increases to the SG taking place from July 2021. These agreements may incorporate lower wage growth based on increases to the SG rate. Subsequent policy changes to the SG rate may not be incorporated immediately into already signed agreements.</w:t>
      </w:r>
    </w:p>
    <w:p w14:paraId="38E3EE8C" w14:textId="77777777" w:rsidR="0092760B" w:rsidRPr="00027624" w:rsidRDefault="0092760B" w:rsidP="002A2FAE">
      <w:r w:rsidRPr="00027624">
        <w:t>This could affect the short</w:t>
      </w:r>
      <w:r w:rsidR="00A8443E" w:rsidRPr="00027624">
        <w:noBreakHyphen/>
      </w:r>
      <w:r w:rsidRPr="00027624">
        <w:t>term pass</w:t>
      </w:r>
      <w:r w:rsidR="00A8443E" w:rsidRPr="00027624">
        <w:noBreakHyphen/>
      </w:r>
      <w:r w:rsidRPr="00027624">
        <w:t>through as a result of maintaining the SG rate at 9.5 per cent.</w:t>
      </w:r>
    </w:p>
    <w:p w14:paraId="1B4343CF" w14:textId="77777777" w:rsidR="0092760B" w:rsidRPr="00027624" w:rsidRDefault="0092760B" w:rsidP="002A2FAE">
      <w:pPr>
        <w:pStyle w:val="Heading3"/>
      </w:pPr>
      <w:r w:rsidRPr="00027624">
        <w:t>Effect on equity</w:t>
      </w:r>
      <w:bookmarkEnd w:id="624"/>
      <w:bookmarkEnd w:id="625"/>
      <w:bookmarkEnd w:id="626"/>
      <w:bookmarkEnd w:id="627"/>
      <w:bookmarkEnd w:id="628"/>
      <w:bookmarkEnd w:id="629"/>
      <w:bookmarkEnd w:id="630"/>
    </w:p>
    <w:p w14:paraId="7E8D1298" w14:textId="77777777" w:rsidR="0092760B" w:rsidRPr="00027624" w:rsidRDefault="0092760B" w:rsidP="002A2FAE">
      <w:r w:rsidRPr="00027624">
        <w:t>The following analysis examines the impact of maintaining the SG rate at 9.5 per cent on the equity of outcomes experienced by income and wealth, gender, home ownership status and age of retirement.</w:t>
      </w:r>
    </w:p>
    <w:p w14:paraId="050F4C7B" w14:textId="77777777" w:rsidR="0092760B" w:rsidRPr="00027624" w:rsidRDefault="0092760B" w:rsidP="002A2FAE">
      <w:pPr>
        <w:pStyle w:val="Heading4"/>
      </w:pPr>
      <w:r w:rsidRPr="00027624">
        <w:t>Income and wealth</w:t>
      </w:r>
    </w:p>
    <w:p w14:paraId="36F5B684" w14:textId="40EC457C" w:rsidR="0092760B" w:rsidRPr="00027624" w:rsidRDefault="0092760B" w:rsidP="002A2FAE">
      <w:r w:rsidRPr="00027624">
        <w:t>The increase in the SG to 12 per cent would result in higher</w:t>
      </w:r>
      <w:r w:rsidR="00A8443E" w:rsidRPr="00027624">
        <w:noBreakHyphen/>
      </w:r>
      <w:r w:rsidRPr="00027624">
        <w:t>income earners receiving larger tax concessions. This would not occur if the SG rate remained</w:t>
      </w:r>
      <w:r w:rsidRPr="00027624">
        <w:rPr>
          <w:b/>
        </w:rPr>
        <w:t xml:space="preserve"> </w:t>
      </w:r>
      <w:r w:rsidRPr="00027624">
        <w:t>at 9.5 per cent (</w:t>
      </w:r>
      <w:r w:rsidRPr="00027624">
        <w:fldChar w:fldCharType="begin"/>
      </w:r>
      <w:r w:rsidRPr="00027624">
        <w:instrText xml:space="preserve"> REF _Ref40280874 \r \h  \* MERGEFORMAT </w:instrText>
      </w:r>
      <w:r w:rsidRPr="00027624">
        <w:fldChar w:fldCharType="separate"/>
      </w:r>
      <w:r w:rsidR="00891058">
        <w:t>Chart 2D-6</w:t>
      </w:r>
      <w:r w:rsidRPr="00027624">
        <w:fldChar w:fldCharType="end"/>
      </w:r>
      <w:r w:rsidRPr="00027624">
        <w:t>). Under a 9.5 per cent SG rate:</w:t>
      </w:r>
    </w:p>
    <w:p w14:paraId="0B67C9C3" w14:textId="77777777" w:rsidR="0092760B" w:rsidRPr="00027624" w:rsidRDefault="0092760B" w:rsidP="0092760B">
      <w:pPr>
        <w:pStyle w:val="Bullet"/>
      </w:pPr>
      <w:r w:rsidRPr="00027624">
        <w:t>Higher</w:t>
      </w:r>
      <w:r w:rsidR="00A8443E" w:rsidRPr="00027624">
        <w:noBreakHyphen/>
      </w:r>
      <w:r w:rsidRPr="00027624">
        <w:t>income earners would receive lower tax concessions on superannuation contributions and earnings, and minimal additional Age Pension payments. While Government support for higher</w:t>
      </w:r>
      <w:r w:rsidR="00A8443E" w:rsidRPr="00027624">
        <w:noBreakHyphen/>
      </w:r>
      <w:r w:rsidRPr="00027624">
        <w:t>income groups would be lower than with a SG rate of 12 per cent, they would continue to receive more lifetime Government support than lower</w:t>
      </w:r>
      <w:r w:rsidR="00A8443E" w:rsidRPr="00027624">
        <w:noBreakHyphen/>
      </w:r>
      <w:r w:rsidRPr="00027624">
        <w:t xml:space="preserve"> or middle</w:t>
      </w:r>
      <w:r w:rsidR="00A8443E" w:rsidRPr="00027624">
        <w:noBreakHyphen/>
      </w:r>
      <w:r w:rsidRPr="00027624">
        <w:t>income earners.</w:t>
      </w:r>
    </w:p>
    <w:p w14:paraId="27B3EF38" w14:textId="77777777" w:rsidR="0092760B" w:rsidRPr="00027624" w:rsidRDefault="0092760B" w:rsidP="0092760B">
      <w:pPr>
        <w:pStyle w:val="Bullet"/>
      </w:pPr>
      <w:r w:rsidRPr="00027624">
        <w:t>Middle</w:t>
      </w:r>
      <w:r w:rsidR="00A8443E" w:rsidRPr="00027624">
        <w:noBreakHyphen/>
      </w:r>
      <w:r w:rsidRPr="00027624">
        <w:t xml:space="preserve">income households would receive lower superannuation tax concessions, which would be offset with higher Age Pension payments. The net result is </w:t>
      </w:r>
      <w:r w:rsidR="0099549A" w:rsidRPr="00027624">
        <w:t xml:space="preserve">that </w:t>
      </w:r>
      <w:r w:rsidRPr="00027624">
        <w:t>maintaining the SG rate at 9.5 per cent would have little impact on the total Government lifetime support the median earner receives.</w:t>
      </w:r>
    </w:p>
    <w:p w14:paraId="3CED05B8" w14:textId="77777777" w:rsidR="0092760B" w:rsidRPr="00027624" w:rsidRDefault="0092760B" w:rsidP="0092760B">
      <w:pPr>
        <w:pStyle w:val="Bullet"/>
      </w:pPr>
      <w:r w:rsidRPr="00027624">
        <w:t>Lower</w:t>
      </w:r>
      <w:r w:rsidR="00A8443E" w:rsidRPr="00027624">
        <w:noBreakHyphen/>
      </w:r>
      <w:r w:rsidRPr="00027624">
        <w:t>income households would see a small reduction in lifetime Government support. Their Age Pension payments would not be significantly affected as they are typically on the maximum rate. Maintaining the SG rate at 9.5 per cent would modestly reduce their superannuation tax concessions.</w:t>
      </w:r>
    </w:p>
    <w:p w14:paraId="6C013D88" w14:textId="77777777" w:rsidR="0092760B" w:rsidRPr="00027624" w:rsidRDefault="0092760B" w:rsidP="00325A8D">
      <w:pPr>
        <w:pStyle w:val="ChartMainHeading"/>
      </w:pPr>
      <w:bookmarkStart w:id="632" w:name="_Ref40280874"/>
      <w:r w:rsidRPr="00027624">
        <w:lastRenderedPageBreak/>
        <w:t>Projected change in lifetime Government support</w:t>
      </w:r>
      <w:bookmarkEnd w:id="632"/>
      <w:r w:rsidRPr="00027624">
        <w:t xml:space="preserve"> by maintaining a </w:t>
      </w:r>
      <w:r w:rsidR="00344C70">
        <w:br/>
      </w:r>
      <w:r w:rsidRPr="00027624">
        <w:t>9.5 per cent SG rate</w:t>
      </w:r>
    </w:p>
    <w:p w14:paraId="06A27482" w14:textId="77777777" w:rsidR="0092760B" w:rsidRPr="00027624" w:rsidRDefault="009552D9" w:rsidP="002A2FAE">
      <w:pPr>
        <w:pStyle w:val="ChartGraphic"/>
      </w:pPr>
      <w:r>
        <w:rPr>
          <w:noProof/>
        </w:rPr>
        <w:drawing>
          <wp:inline distT="0" distB="0" distL="0" distR="0" wp14:anchorId="0014FA6B" wp14:editId="3FD79BC2">
            <wp:extent cx="5593080" cy="2522220"/>
            <wp:effectExtent l="0" t="0" r="7620" b="0"/>
            <wp:docPr id="2002235496" name="Picture 2002235496" descr="This chart shows the change in lifetime government support for retirement income with a 9.5 per cent SG rate relative to a 12 per cent SG rate. For individuals in the 30th to 60th income percentiles, there is negligible change in lifetime government support with a 9.5 per cent SG rate due to the value of additional Age Pension payments meeting or exceeding the value of lower superannuation tax concessions. Higher income earners experience a reduction in lifetime government support in excess of 12 per cent, largely due to lower superannuation earnings tax concessions." title="Chart 2D-6 Projected change in lifetime government support by maintaining a 9.5 per cent 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pic:spPr>
                </pic:pic>
              </a:graphicData>
            </a:graphic>
          </wp:inline>
        </w:drawing>
      </w:r>
    </w:p>
    <w:p w14:paraId="215C5A7F" w14:textId="77777777" w:rsidR="0092760B" w:rsidRPr="00027624" w:rsidRDefault="0092760B" w:rsidP="008154EB">
      <w:pPr>
        <w:pStyle w:val="ChartorTableNote"/>
      </w:pPr>
      <w:r w:rsidRPr="00027624">
        <w:t>Note: Values are in 2019</w:t>
      </w:r>
      <w:r w:rsidR="00A8443E" w:rsidRPr="00027624">
        <w:noBreakHyphen/>
      </w:r>
      <w:r w:rsidRPr="00027624">
        <w:t>20 dollars, rounded to the nearest $100 and GDP deflated. Modelling assumes people draw down superannuation assets efficiently, resulting in higher</w:t>
      </w:r>
      <w:r w:rsidR="00A8443E" w:rsidRPr="00027624">
        <w:noBreakHyphen/>
      </w:r>
      <w:r w:rsidRPr="00027624">
        <w:t xml:space="preserve">income earners receiving some Age Pension income at the end of retirement, see </w:t>
      </w:r>
      <w:r w:rsidRPr="00027624">
        <w:rPr>
          <w:i/>
        </w:rPr>
        <w:t>Appendix 6A. Detailed modelling methods and assumptions</w:t>
      </w:r>
      <w:r w:rsidRPr="00027624">
        <w:t xml:space="preserve"> for details. Source: Cameo modelling undertaken for the review.</w:t>
      </w:r>
    </w:p>
    <w:p w14:paraId="6F08879C" w14:textId="77777777" w:rsidR="0092760B" w:rsidRPr="00027624" w:rsidRDefault="0092760B" w:rsidP="002A2FAE">
      <w:pPr>
        <w:pStyle w:val="Heading4"/>
      </w:pPr>
      <w:r w:rsidRPr="00027624">
        <w:t>Gender</w:t>
      </w:r>
    </w:p>
    <w:p w14:paraId="354764D5" w14:textId="77777777" w:rsidR="0092760B" w:rsidRPr="00027624" w:rsidRDefault="0092760B" w:rsidP="002A2FAE">
      <w:pPr>
        <w:pStyle w:val="Heading5"/>
      </w:pPr>
      <w:r w:rsidRPr="00027624">
        <w:t>Superannuation balances at retirement</w:t>
      </w:r>
    </w:p>
    <w:p w14:paraId="0EF40E48" w14:textId="04C5691B" w:rsidR="0092760B" w:rsidRPr="00027624" w:rsidRDefault="0092760B" w:rsidP="002A2FAE">
      <w:r w:rsidRPr="00027624">
        <w:t>The median woman</w:t>
      </w:r>
      <w:r w:rsidR="00A8443E" w:rsidRPr="00027624">
        <w:t>’</w:t>
      </w:r>
      <w:r w:rsidRPr="00027624">
        <w:t>s superannuation balance at retirement would be around $54,400 (or 16.1 per cent) lower with a 9.5 per cent SG rate compared with a 12 per cent SG rate. The median man</w:t>
      </w:r>
      <w:r w:rsidR="00A8443E" w:rsidRPr="00027624">
        <w:t>’</w:t>
      </w:r>
      <w:r w:rsidRPr="00027624">
        <w:t>s balance would be around $88,400 (or 15.2 per cent) lower (</w:t>
      </w:r>
      <w:r w:rsidRPr="00027624">
        <w:fldChar w:fldCharType="begin"/>
      </w:r>
      <w:r w:rsidRPr="00027624">
        <w:instrText xml:space="preserve"> REF _Ref40363536 \r \h  \* MERGEFORMAT </w:instrText>
      </w:r>
      <w:r w:rsidRPr="00027624">
        <w:fldChar w:fldCharType="separate"/>
      </w:r>
      <w:r w:rsidR="00891058">
        <w:t>Chart 2D-7</w:t>
      </w:r>
      <w:r w:rsidRPr="00027624">
        <w:fldChar w:fldCharType="end"/>
      </w:r>
      <w:r w:rsidRPr="00027624">
        <w:t>).</w:t>
      </w:r>
    </w:p>
    <w:p w14:paraId="43D49DE6" w14:textId="77777777" w:rsidR="0092760B" w:rsidRPr="00027624" w:rsidRDefault="0092760B" w:rsidP="00325A8D">
      <w:pPr>
        <w:pStyle w:val="ChartMainHeading"/>
      </w:pPr>
      <w:bookmarkStart w:id="633" w:name="_Ref40363536"/>
      <w:r w:rsidRPr="00027624">
        <w:t>Projected change in superannuation balance at retirement when maintaining a 9.5 per cent SG rate, by gender</w:t>
      </w:r>
      <w:bookmarkEnd w:id="633"/>
      <w:r w:rsidRPr="00027624">
        <w:t xml:space="preserve"> and income</w:t>
      </w:r>
    </w:p>
    <w:p w14:paraId="4EBA4DCE" w14:textId="77777777" w:rsidR="0092760B" w:rsidRPr="00027624" w:rsidRDefault="009552D9" w:rsidP="008154EB">
      <w:pPr>
        <w:pStyle w:val="ChartGraphic"/>
      </w:pPr>
      <w:r>
        <w:rPr>
          <w:noProof/>
        </w:rPr>
        <w:drawing>
          <wp:inline distT="0" distB="0" distL="0" distR="0" wp14:anchorId="4D7F46DB" wp14:editId="26CE1DD2">
            <wp:extent cx="5341620" cy="2636520"/>
            <wp:effectExtent l="0" t="0" r="0" b="0"/>
            <wp:docPr id="2002235497" name="Picture 2002235497" descr="This chart shows that at all income percentiles men are projected to experience a larger decrease in superannuation balance at retirement than women, in dollar terms." title="Chart 2D-7 Projected change in superannuation balance at retirement when maintaining a 9.5 per cent SG rate, by gender and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41620" cy="2636520"/>
                    </a:xfrm>
                    <a:prstGeom prst="rect">
                      <a:avLst/>
                    </a:prstGeom>
                    <a:noFill/>
                  </pic:spPr>
                </pic:pic>
              </a:graphicData>
            </a:graphic>
          </wp:inline>
        </w:drawing>
      </w:r>
    </w:p>
    <w:p w14:paraId="5C47BC17" w14:textId="77777777" w:rsidR="0092760B" w:rsidRPr="00027624" w:rsidRDefault="0092760B" w:rsidP="002A2FAE">
      <w:pPr>
        <w:pStyle w:val="ChartorTableNote"/>
        <w:rPr>
          <w:b/>
        </w:rPr>
      </w:pPr>
      <w:r w:rsidRPr="00027624">
        <w:rPr>
          <w:color w:val="000000" w:themeColor="text1"/>
        </w:rPr>
        <w:t>Note: Values are in 2019</w:t>
      </w:r>
      <w:r w:rsidR="00A8443E" w:rsidRPr="00027624">
        <w:rPr>
          <w:color w:val="000000" w:themeColor="text1"/>
        </w:rPr>
        <w:noBreakHyphen/>
      </w:r>
      <w:r w:rsidRPr="00027624">
        <w:rPr>
          <w:color w:val="000000" w:themeColor="text1"/>
        </w:rPr>
        <w:t xml:space="preserve">20 dollars, deflated by average weekly earnings. </w:t>
      </w:r>
      <w:r w:rsidRPr="00027624">
        <w:t xml:space="preserve">The chart compares the 10th percentile for men to the 10th percentile for women, and so on. Gaps in superannuation balances at retirement do not factor in the effect of voluntary superannuation contributions not made through salary sacrifice. </w:t>
      </w:r>
      <w:r w:rsidRPr="00027624">
        <w:rPr>
          <w:color w:val="000000" w:themeColor="text1"/>
        </w:rPr>
        <w:t>Source:</w:t>
      </w:r>
      <w:r w:rsidRPr="00027624">
        <w:t xml:space="preserve"> Cameo modelling undertaken for the review.</w:t>
      </w:r>
    </w:p>
    <w:p w14:paraId="4707998B" w14:textId="77777777" w:rsidR="0092760B" w:rsidRPr="00027624" w:rsidRDefault="0092760B" w:rsidP="002A2FAE">
      <w:pPr>
        <w:pStyle w:val="Heading5"/>
      </w:pPr>
      <w:r w:rsidRPr="00027624">
        <w:lastRenderedPageBreak/>
        <w:t>Gender</w:t>
      </w:r>
      <w:r w:rsidR="00A8443E" w:rsidRPr="00027624">
        <w:noBreakHyphen/>
      </w:r>
      <w:r w:rsidRPr="00027624">
        <w:t>based income gaps</w:t>
      </w:r>
    </w:p>
    <w:p w14:paraId="099A4583" w14:textId="77777777" w:rsidR="0092760B" w:rsidRPr="00027624" w:rsidRDefault="0092760B" w:rsidP="002A2FAE">
      <w:r w:rsidRPr="00027624">
        <w:t xml:space="preserve">Cameo analysis in </w:t>
      </w:r>
      <w:r w:rsidRPr="00027624">
        <w:rPr>
          <w:i/>
        </w:rPr>
        <w:t>3B. Gender and partnered status</w:t>
      </w:r>
      <w:r w:rsidRPr="00027624" w:rsidDel="00945741">
        <w:rPr>
          <w:i/>
        </w:rPr>
        <w:t xml:space="preserve"> </w:t>
      </w:r>
      <w:r w:rsidRPr="00027624">
        <w:t>is reproduced here to examine the effect of the SG on gender gaps in superannuation balances, retirement and working</w:t>
      </w:r>
      <w:r w:rsidR="002701AC" w:rsidRPr="00027624">
        <w:t>-</w:t>
      </w:r>
      <w:r w:rsidRPr="00027624">
        <w:t>life outcomes.</w:t>
      </w:r>
    </w:p>
    <w:p w14:paraId="7E696829" w14:textId="3F22EC2D" w:rsidR="0092760B" w:rsidRPr="00027624" w:rsidRDefault="0092760B" w:rsidP="002A2FAE">
      <w:r w:rsidRPr="00027624">
        <w:t>If the SG rate was maintained at 9.5 per cent instead of increasing to 12 per cent, at almost all income levels, men would experience a larger percentage reduction in retirement income than women (</w:t>
      </w:r>
      <w:r w:rsidRPr="00027624">
        <w:fldChar w:fldCharType="begin"/>
      </w:r>
      <w:r w:rsidRPr="00027624">
        <w:instrText xml:space="preserve"> REF _Ref44607534 \r \h  \* MERGEFORMAT </w:instrText>
      </w:r>
      <w:r w:rsidRPr="00027624">
        <w:fldChar w:fldCharType="separate"/>
      </w:r>
      <w:r w:rsidR="00891058">
        <w:t>Chart 2D-8</w:t>
      </w:r>
      <w:r w:rsidRPr="00027624">
        <w:fldChar w:fldCharType="end"/>
      </w:r>
      <w:r w:rsidRPr="00027624">
        <w:t>). This is due to men having a larger decrease in income from superannuation than women, which would only be partially offset by higher Age Pension payments. The median woman would see her average retirement income reduce by 3.0 per cent, compared with a 5.7 per cent fall for the median man.</w:t>
      </w:r>
    </w:p>
    <w:p w14:paraId="2CCDE83A" w14:textId="77777777" w:rsidR="0092760B" w:rsidRPr="00027624" w:rsidRDefault="0092760B" w:rsidP="002A2FAE">
      <w:r w:rsidRPr="00027624">
        <w:t>Retirement outcomes for women are largely determined by factors outside the retirement income system, which are not affected by a change in SG rate.</w:t>
      </w:r>
      <w:r w:rsidR="002701AC" w:rsidRPr="00027624">
        <w:t xml:space="preserve"> Women tend to have lower wages and are more likely to </w:t>
      </w:r>
      <w:r w:rsidRPr="00027624">
        <w:t>work part</w:t>
      </w:r>
      <w:r w:rsidR="00A8443E" w:rsidRPr="00027624">
        <w:noBreakHyphen/>
      </w:r>
      <w:r w:rsidRPr="00027624">
        <w:t>time and take more career breaks (</w:t>
      </w:r>
      <w:r w:rsidRPr="00027624">
        <w:rPr>
          <w:i/>
        </w:rPr>
        <w:t>3B. Gender and partnered status)</w:t>
      </w:r>
      <w:r w:rsidRPr="00027624">
        <w:t>. These factors contribute to the working</w:t>
      </w:r>
      <w:r w:rsidR="00A8443E" w:rsidRPr="00027624">
        <w:noBreakHyphen/>
      </w:r>
      <w:r w:rsidRPr="00027624">
        <w:t>life earnings gap between men and women, which in turn drives the gender gap in superannuation balances at retirement.</w:t>
      </w:r>
    </w:p>
    <w:p w14:paraId="7252D24F" w14:textId="77777777" w:rsidR="0092760B" w:rsidRPr="00027624" w:rsidRDefault="0092760B" w:rsidP="00325A8D">
      <w:pPr>
        <w:pStyle w:val="ChartMainHeading"/>
      </w:pPr>
      <w:bookmarkStart w:id="634" w:name="_Ref39053410"/>
      <w:bookmarkStart w:id="635" w:name="_Ref40363504"/>
      <w:bookmarkStart w:id="636" w:name="_Ref44607534"/>
      <w:r w:rsidRPr="00027624">
        <w:t xml:space="preserve">Projected gender gap in incomes and superannuation balances at retirement, with 12 per cent SG rate (solid line) and 9.5 per cent SG rate </w:t>
      </w:r>
      <w:bookmarkEnd w:id="634"/>
      <w:r w:rsidRPr="00027624">
        <w:t>(dotted line)</w:t>
      </w:r>
      <w:bookmarkEnd w:id="635"/>
      <w:bookmarkEnd w:id="636"/>
    </w:p>
    <w:p w14:paraId="6E5B0759" w14:textId="77777777" w:rsidR="0092760B" w:rsidRPr="00027624" w:rsidRDefault="009552D9" w:rsidP="008154EB">
      <w:pPr>
        <w:pStyle w:val="ChartGraphic"/>
      </w:pPr>
      <w:r>
        <w:rPr>
          <w:noProof/>
        </w:rPr>
        <w:drawing>
          <wp:inline distT="0" distB="0" distL="0" distR="0" wp14:anchorId="4C5AC819" wp14:editId="51BB3382">
            <wp:extent cx="5585460" cy="2552700"/>
            <wp:effectExtent l="0" t="0" r="0" b="0"/>
            <wp:docPr id="2002235499" name="Picture 2002235499" descr="This chart shows that a 9.5 per cent SG rate would not significantly affect the gap in working life incomes or superannuation balances at retirement between men and women relative to a 12 per cent SG rate. The gap in retirement incomes is projected to decrease for income earners in the 40th to 80th income percentiles. " title="Chart 2D-8 Projected gender gap in incomes and superannuation balances at retirement, with 12 per cent SG rate (solid line) and 9.5 per cent SG rate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85460" cy="2552700"/>
                    </a:xfrm>
                    <a:prstGeom prst="rect">
                      <a:avLst/>
                    </a:prstGeom>
                    <a:noFill/>
                  </pic:spPr>
                </pic:pic>
              </a:graphicData>
            </a:graphic>
          </wp:inline>
        </w:drawing>
      </w:r>
    </w:p>
    <w:p w14:paraId="3535DBD7" w14:textId="77777777" w:rsidR="0092760B" w:rsidRPr="00027624" w:rsidRDefault="0092760B" w:rsidP="008154EB">
      <w:pPr>
        <w:pStyle w:val="ChartorTableNote"/>
      </w:pPr>
      <w:r w:rsidRPr="00027624">
        <w:t>Note: Gender gaps are calculated relative to the relevant figure for men</w:t>
      </w:r>
      <w:r w:rsidR="00A8443E" w:rsidRPr="00027624">
        <w:t xml:space="preserve"> — </w:t>
      </w:r>
      <w:r w:rsidRPr="00027624">
        <w:t>that is, a 10 per cent gender gap in earnings means that women</w:t>
      </w:r>
      <w:r w:rsidR="00A8443E" w:rsidRPr="00027624">
        <w:t>’</w:t>
      </w:r>
      <w:r w:rsidRPr="00027624">
        <w:t>s earnings are 90 per cent of men</w:t>
      </w:r>
      <w:r w:rsidR="00A8443E" w:rsidRPr="00027624">
        <w:t>’</w:t>
      </w:r>
      <w:r w:rsidRPr="00027624">
        <w:t xml:space="preserve">s earnings. See </w:t>
      </w:r>
      <w:r w:rsidRPr="00027624">
        <w:rPr>
          <w:i/>
        </w:rPr>
        <w:t>3B. Gender and partnered status</w:t>
      </w:r>
      <w:r w:rsidRPr="00027624">
        <w:t>. The chart compares the 10th percentile for men to the 10th percentile for women, and so on. Does not factor in voluntary superannuation contributions not made through salary sacrifice. If included, these would reduce the gaps between men and women. Source: Cameo modelling undertaken for the review.</w:t>
      </w:r>
    </w:p>
    <w:p w14:paraId="6E3FA058" w14:textId="77777777" w:rsidR="0092760B" w:rsidRPr="00027624" w:rsidRDefault="0092760B" w:rsidP="002A2FAE">
      <w:pPr>
        <w:pStyle w:val="Heading4"/>
      </w:pPr>
      <w:r w:rsidRPr="00027624">
        <w:t>Home ownership</w:t>
      </w:r>
    </w:p>
    <w:p w14:paraId="19F736A0" w14:textId="77777777" w:rsidR="0092760B" w:rsidRPr="00027624" w:rsidRDefault="0092760B" w:rsidP="002A2FAE">
      <w:r w:rsidRPr="00027624">
        <w:t>Home ownership improves retirement outcomes by reducing ongoing housing costs and acting as a store of wealth that may be drawn upon to help fund retirement (see</w:t>
      </w:r>
      <w:r w:rsidRPr="00027624">
        <w:rPr>
          <w:i/>
        </w:rPr>
        <w:t xml:space="preserve"> 2A. Achieving a minimum standard of living in retirement</w:t>
      </w:r>
      <w:r w:rsidRPr="00027624">
        <w:t>).</w:t>
      </w:r>
    </w:p>
    <w:p w14:paraId="3BF745E8" w14:textId="77777777" w:rsidR="0092760B" w:rsidRPr="00027624" w:rsidRDefault="0092760B" w:rsidP="002A2FAE">
      <w:r w:rsidRPr="00027624">
        <w:t>Maintaining the SG rate at 9.5 per cent may impact future home ownership trends in a number of ways. Ultimately the impact of a change in the SG on housing is unclear.</w:t>
      </w:r>
    </w:p>
    <w:p w14:paraId="1841AE73" w14:textId="77777777" w:rsidR="0092760B" w:rsidRPr="00027624" w:rsidRDefault="0092760B" w:rsidP="0092760B">
      <w:pPr>
        <w:pStyle w:val="Bullet"/>
      </w:pPr>
      <w:r w:rsidRPr="00027624">
        <w:t>Studies show a correlation between net household debt and pension assets (such as superannuation) as a per cent of GDP, although the cause of the relationship is unclear</w:t>
      </w:r>
      <w:sdt>
        <w:sdtPr>
          <w:id w:val="1604147533"/>
          <w:citation/>
        </w:sdtPr>
        <w:sdtEndPr/>
        <w:sdtContent>
          <w:r w:rsidR="00F4198A">
            <w:fldChar w:fldCharType="begin"/>
          </w:r>
          <w:r w:rsidR="00F4198A">
            <w:instrText xml:space="preserve">CITATION MerP191 \p 10 \l 3081 </w:instrText>
          </w:r>
          <w:r w:rsidR="00F4198A">
            <w:fldChar w:fldCharType="separate"/>
          </w:r>
          <w:r w:rsidR="00E83F6E">
            <w:rPr>
              <w:noProof/>
            </w:rPr>
            <w:t xml:space="preserve"> (Mercer, 2019b, p. 10)</w:t>
          </w:r>
          <w:r w:rsidR="00F4198A">
            <w:fldChar w:fldCharType="end"/>
          </w:r>
        </w:sdtContent>
      </w:sdt>
      <w:r w:rsidRPr="00027624">
        <w:t xml:space="preserve">. Historically, increasing levels of superannuation wealth may have increased household confidence about finances and wealth, encouraging them to take on more debt. Research commissioned for the review suggests that higher SG rates result in more investment in </w:t>
      </w:r>
      <w:r w:rsidRPr="00027624">
        <w:lastRenderedPageBreak/>
        <w:t xml:space="preserve">housing, with $1 of additional employer contributions increasing housing investment by $0.24 </w:t>
      </w:r>
      <w:sdt>
        <w:sdtPr>
          <w:id w:val="1995991849"/>
          <w:citation/>
        </w:sdtPr>
        <w:sdtEndPr/>
        <w:sdtContent>
          <w:r w:rsidRPr="00027624">
            <w:fldChar w:fldCharType="begin"/>
          </w:r>
          <w:r w:rsidRPr="00027624">
            <w:instrText xml:space="preserve"> CITATION Rut20 \l 3081 </w:instrText>
          </w:r>
          <w:r w:rsidRPr="00027624">
            <w:fldChar w:fldCharType="separate"/>
          </w:r>
          <w:r w:rsidR="00E83F6E">
            <w:rPr>
              <w:noProof/>
            </w:rPr>
            <w:t>(Ruthbah &amp; Pham, 2020a)</w:t>
          </w:r>
          <w:r w:rsidRPr="00027624">
            <w:fldChar w:fldCharType="end"/>
          </w:r>
        </w:sdtContent>
      </w:sdt>
      <w:r w:rsidRPr="00027624">
        <w:t>. These factors may cause a constant 9.5 per cent SG rate to deter borrowing compared with a higher SG rate.</w:t>
      </w:r>
    </w:p>
    <w:p w14:paraId="2ACE2B19" w14:textId="77777777" w:rsidR="0092760B" w:rsidRPr="00027624" w:rsidRDefault="0092760B" w:rsidP="0092760B">
      <w:pPr>
        <w:pStyle w:val="Bullet"/>
      </w:pPr>
      <w:r w:rsidRPr="00027624">
        <w:t>Maintaining the SG rate at 9.5 per cent could marginally increase households</w:t>
      </w:r>
      <w:r w:rsidR="00A8443E" w:rsidRPr="00027624">
        <w:t>’</w:t>
      </w:r>
      <w:r w:rsidRPr="00027624">
        <w:t xml:space="preserve"> capacity to save for a home deposit as working</w:t>
      </w:r>
      <w:r w:rsidR="00A8443E" w:rsidRPr="00027624">
        <w:noBreakHyphen/>
      </w:r>
      <w:r w:rsidRPr="00027624">
        <w:t>life income could be about 2 per cent higher than otherwise in the longer run. This additional income may support people</w:t>
      </w:r>
      <w:r w:rsidR="00A8443E" w:rsidRPr="00027624">
        <w:t>’</w:t>
      </w:r>
      <w:r w:rsidRPr="00027624">
        <w:t>s ability to save for a deposit and pay down mortgage debt during their working lives. However, any effect is likely to be modest.</w:t>
      </w:r>
    </w:p>
    <w:p w14:paraId="42583633" w14:textId="77777777" w:rsidR="0092760B" w:rsidRPr="00027624" w:rsidRDefault="0092760B" w:rsidP="002A2FAE">
      <w:pPr>
        <w:pStyle w:val="Heading4"/>
      </w:pPr>
      <w:r w:rsidRPr="00027624">
        <w:t>Age of retirement</w:t>
      </w:r>
    </w:p>
    <w:p w14:paraId="4D240D61" w14:textId="77777777" w:rsidR="0092760B" w:rsidRPr="00027624" w:rsidRDefault="0092760B" w:rsidP="002A2FAE">
      <w:pPr>
        <w:pStyle w:val="Heading5"/>
      </w:pPr>
      <w:r w:rsidRPr="00027624">
        <w:t>Impact on balance at retirement</w:t>
      </w:r>
    </w:p>
    <w:p w14:paraId="7B222DAF" w14:textId="49D9768E" w:rsidR="0092760B" w:rsidRPr="00027624" w:rsidRDefault="0092760B" w:rsidP="002A2FAE">
      <w:r w:rsidRPr="00027624">
        <w:t>Superannuation balances of early retirees are less sensitive to maintaining the SG rate at 9.5 per cent due to this group contributing less and a shorter time period for returns to accumulate (</w:t>
      </w:r>
      <w:r w:rsidRPr="00027624">
        <w:fldChar w:fldCharType="begin"/>
      </w:r>
      <w:r w:rsidRPr="00027624">
        <w:instrText xml:space="preserve"> REF _Ref40363790 \r \h  \* MERGEFORMAT </w:instrText>
      </w:r>
      <w:r w:rsidRPr="00027624">
        <w:fldChar w:fldCharType="separate"/>
      </w:r>
      <w:r w:rsidR="00891058">
        <w:t>Chart 2D-9</w:t>
      </w:r>
      <w:r w:rsidRPr="00027624">
        <w:fldChar w:fldCharType="end"/>
      </w:r>
      <w:r w:rsidRPr="00027624">
        <w:t>).</w:t>
      </w:r>
    </w:p>
    <w:p w14:paraId="693F7E8B" w14:textId="77777777" w:rsidR="0092760B" w:rsidRPr="00027624" w:rsidRDefault="0092760B" w:rsidP="002A2FAE">
      <w:r w:rsidRPr="00027624">
        <w:t>Maintaining the SG rate at 9.5 per cent would lower superannuation balances at retirement</w:t>
      </w:r>
      <w:r w:rsidR="002701AC" w:rsidRPr="00027624">
        <w:t xml:space="preserve"> for people retiring at age 55, by </w:t>
      </w:r>
      <w:r w:rsidRPr="00027624">
        <w:t>around</w:t>
      </w:r>
      <w:r w:rsidR="002701AC" w:rsidRPr="00027624">
        <w:t xml:space="preserve"> $42,000 for the median-income earner. This is</w:t>
      </w:r>
      <w:r w:rsidRPr="00027624">
        <w:t xml:space="preserve"> 64 per cent of the impact for </w:t>
      </w:r>
      <w:r w:rsidR="002701AC" w:rsidRPr="00027624">
        <w:t>a median-income earner</w:t>
      </w:r>
      <w:r w:rsidRPr="00027624">
        <w:t xml:space="preserve"> retiring at age 67 </w:t>
      </w:r>
      <w:r w:rsidR="002701AC" w:rsidRPr="00027624">
        <w:t>(</w:t>
      </w:r>
      <w:r w:rsidRPr="00027624">
        <w:t>$66,000).</w:t>
      </w:r>
    </w:p>
    <w:p w14:paraId="43E690F5" w14:textId="77777777" w:rsidR="0092760B" w:rsidRPr="00027624" w:rsidRDefault="0092760B" w:rsidP="00325A8D">
      <w:pPr>
        <w:pStyle w:val="ChartMainHeading"/>
      </w:pPr>
      <w:bookmarkStart w:id="637" w:name="_Ref40363790"/>
      <w:r w:rsidRPr="00027624">
        <w:t>Projected change in</w:t>
      </w:r>
      <w:r w:rsidRPr="00027624" w:rsidDel="00B01097">
        <w:t xml:space="preserve"> </w:t>
      </w:r>
      <w:r w:rsidRPr="00027624">
        <w:t>superannuation balance, by retirement age</w:t>
      </w:r>
      <w:bookmarkEnd w:id="637"/>
      <w:r w:rsidRPr="00027624">
        <w:t>, median earner</w:t>
      </w:r>
    </w:p>
    <w:p w14:paraId="7F53E782" w14:textId="77777777" w:rsidR="0092760B" w:rsidRPr="00027624" w:rsidRDefault="0023126C" w:rsidP="002A2FAE">
      <w:pPr>
        <w:pStyle w:val="ChartGraphic"/>
      </w:pPr>
      <w:r>
        <w:rPr>
          <w:noProof/>
        </w:rPr>
        <w:drawing>
          <wp:inline distT="0" distB="0" distL="0" distR="0" wp14:anchorId="15B3E68F" wp14:editId="31A0B7BE">
            <wp:extent cx="5585460" cy="2522220"/>
            <wp:effectExtent l="0" t="0" r="0" b="0"/>
            <wp:docPr id="2002235489" name="Picture 2002235489" descr="This chart shows the projected change in superannuation balance at retirement for individuals retiring at ages 55, 60, 65, 67 and 70 is the SG were maintained at 9.5 per cent. Superannuation balances at retirement are projected to be over $40,000 lower at age 55 with a 9.5 per cent SG rate compared to a 12 per cent SG rate. The impact on superannuation balances at retirement increases at older retirement ages, up to over $70,000 at age 70." title="Chart 2D-9 Projected change in superannuation balance, by retirement age, 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50E564A1" w14:textId="77777777" w:rsidR="0092760B" w:rsidRPr="00027624" w:rsidRDefault="0092760B" w:rsidP="002A2FAE">
      <w:pPr>
        <w:pStyle w:val="ChartorTableNote"/>
      </w:pPr>
      <w:r w:rsidRPr="00027624">
        <w:t>Note: Values are in 2019</w:t>
      </w:r>
      <w:r w:rsidR="00A8443E" w:rsidRPr="00027624">
        <w:noBreakHyphen/>
      </w:r>
      <w:r w:rsidRPr="00027624">
        <w:t xml:space="preserve">20 dollars, deflated by average weekly earnings. Superannuation balance at retirement is calculated for </w:t>
      </w:r>
      <w:r w:rsidR="00D50CC0" w:rsidRPr="00027624">
        <w:t>people</w:t>
      </w:r>
      <w:r w:rsidRPr="00027624">
        <w:t xml:space="preserve"> starting work at age 27 in 2019</w:t>
      </w:r>
      <w:r w:rsidR="00A8443E" w:rsidRPr="00027624">
        <w:noBreakHyphen/>
      </w:r>
      <w:r w:rsidRPr="00027624">
        <w:t xml:space="preserve">20. Projected change in balance at retirement compares legislated changes to SG, and SG at 9.5 per cent. </w:t>
      </w:r>
      <w:r w:rsidRPr="00027624">
        <w:rPr>
          <w:color w:val="000000" w:themeColor="text1"/>
        </w:rPr>
        <w:t>Source:</w:t>
      </w:r>
      <w:r w:rsidRPr="00027624">
        <w:t xml:space="preserve"> Cameo modelling undertaken for the review.</w:t>
      </w:r>
    </w:p>
    <w:p w14:paraId="0B525ED1" w14:textId="77777777" w:rsidR="0092760B" w:rsidRPr="00027624" w:rsidRDefault="0092760B" w:rsidP="002A2FAE">
      <w:pPr>
        <w:pStyle w:val="Heading5"/>
      </w:pPr>
      <w:r w:rsidRPr="00027624">
        <w:t>Replacement rates and retirement age</w:t>
      </w:r>
    </w:p>
    <w:p w14:paraId="720C21BC" w14:textId="1AA37A7F" w:rsidR="0092760B" w:rsidRPr="00027624" w:rsidRDefault="0092760B" w:rsidP="002A2FAE">
      <w:r w:rsidRPr="00027624">
        <w:t>For the median</w:t>
      </w:r>
      <w:r w:rsidR="00A8443E" w:rsidRPr="00027624">
        <w:noBreakHyphen/>
      </w:r>
      <w:r w:rsidRPr="00027624">
        <w:t>income earner, maintaining the SG rate at 9.5 per cent would reduce their replacement rates. But projections suggest they would still have replacement rates within or above the 65</w:t>
      </w:r>
      <w:r w:rsidR="00A8443E" w:rsidRPr="00027624">
        <w:noBreakHyphen/>
      </w:r>
      <w:r w:rsidRPr="00027624">
        <w:t>75 per cent benchmark for most career lengths (</w:t>
      </w:r>
      <w:r w:rsidRPr="00027624">
        <w:fldChar w:fldCharType="begin"/>
      </w:r>
      <w:r w:rsidRPr="00027624">
        <w:instrText xml:space="preserve"> REF _Ref40363819 \r \h  \* MERGEFORMAT </w:instrText>
      </w:r>
      <w:r w:rsidRPr="00027624">
        <w:fldChar w:fldCharType="separate"/>
      </w:r>
      <w:r w:rsidR="00891058">
        <w:t>Table 2D-2</w:t>
      </w:r>
      <w:r w:rsidRPr="00027624">
        <w:fldChar w:fldCharType="end"/>
      </w:r>
      <w:r w:rsidRPr="00027624">
        <w:t>).</w:t>
      </w:r>
    </w:p>
    <w:p w14:paraId="567710C6" w14:textId="4C2D9977" w:rsidR="0092760B" w:rsidRPr="00027624" w:rsidRDefault="0092760B" w:rsidP="002A2FAE">
      <w:r w:rsidRPr="00027624">
        <w:t>Under both a 9.5 SG rate and a 12 per cent SG rate, and assuming savings are drawn down efficiently in retirement, the median</w:t>
      </w:r>
      <w:r w:rsidR="008037C5" w:rsidRPr="00027624">
        <w:t>-</w:t>
      </w:r>
      <w:r w:rsidRPr="00027624">
        <w:t>income earner retiring from preservation age would maintain their living standards in retirement (</w:t>
      </w:r>
      <w:r w:rsidRPr="00027624">
        <w:fldChar w:fldCharType="begin"/>
      </w:r>
      <w:r w:rsidRPr="00027624">
        <w:instrText xml:space="preserve"> REF _Ref44676938 \r \h  \* MERGEFORMAT </w:instrText>
      </w:r>
      <w:r w:rsidRPr="00027624">
        <w:fldChar w:fldCharType="separate"/>
      </w:r>
      <w:r w:rsidR="00891058">
        <w:t>Table 2D-2</w:t>
      </w:r>
      <w:r w:rsidRPr="00027624">
        <w:fldChar w:fldCharType="end"/>
      </w:r>
      <w:r w:rsidRPr="00027624">
        <w:t>).</w:t>
      </w:r>
    </w:p>
    <w:p w14:paraId="30CB4FED" w14:textId="77777777" w:rsidR="0092760B" w:rsidRPr="00027624" w:rsidRDefault="0092760B" w:rsidP="002A2FAE">
      <w:r w:rsidRPr="00027624">
        <w:t>People who work 20 years or less and retire at age 55 are projected to fall below the 65</w:t>
      </w:r>
      <w:r w:rsidR="00A8443E" w:rsidRPr="00027624">
        <w:noBreakHyphen/>
      </w:r>
      <w:r w:rsidRPr="00027624">
        <w:t>75 per cent benchmark under a 9.5 per cent SG rate.</w:t>
      </w:r>
    </w:p>
    <w:p w14:paraId="02C60254" w14:textId="77777777" w:rsidR="0092760B" w:rsidRPr="00027624" w:rsidRDefault="0092760B" w:rsidP="00325A8D">
      <w:pPr>
        <w:pStyle w:val="TableMainHeading"/>
        <w:keepLines/>
      </w:pPr>
      <w:bookmarkStart w:id="638" w:name="_Ref40363819"/>
      <w:bookmarkStart w:id="639" w:name="_Ref44676938"/>
      <w:r w:rsidRPr="00027624">
        <w:lastRenderedPageBreak/>
        <w:t>Projected replacement rates with 9.5 per cent SG for different working</w:t>
      </w:r>
      <w:r w:rsidR="005716A1" w:rsidRPr="00027624">
        <w:t>-</w:t>
      </w:r>
      <w:r w:rsidRPr="00027624">
        <w:t>life periods, median earner</w:t>
      </w:r>
      <w:bookmarkEnd w:id="638"/>
      <w:bookmarkEnd w:id="639"/>
    </w:p>
    <w:tbl>
      <w:tblPr>
        <w:tblW w:w="9120" w:type="dxa"/>
        <w:tblLook w:val="04A0" w:firstRow="1" w:lastRow="0" w:firstColumn="1" w:lastColumn="0" w:noHBand="0" w:noVBand="1"/>
      </w:tblPr>
      <w:tblGrid>
        <w:gridCol w:w="1520"/>
        <w:gridCol w:w="1520"/>
        <w:gridCol w:w="1520"/>
        <w:gridCol w:w="1520"/>
        <w:gridCol w:w="1520"/>
        <w:gridCol w:w="1520"/>
      </w:tblGrid>
      <w:tr w:rsidR="0092760B" w:rsidRPr="00027624" w14:paraId="21C6E47E" w14:textId="77777777" w:rsidTr="002A2FAE">
        <w:trPr>
          <w:trHeight w:val="477"/>
        </w:trPr>
        <w:tc>
          <w:tcPr>
            <w:tcW w:w="1520" w:type="dxa"/>
            <w:vMerge w:val="restart"/>
            <w:tcBorders>
              <w:top w:val="nil"/>
              <w:left w:val="nil"/>
              <w:right w:val="single" w:sz="8" w:space="0" w:color="auto"/>
            </w:tcBorders>
            <w:shd w:val="clear" w:color="000000" w:fill="E5E5E5"/>
            <w:vAlign w:val="bottom"/>
            <w:hideMark/>
          </w:tcPr>
          <w:p w14:paraId="01541215" w14:textId="77777777" w:rsidR="0092760B" w:rsidRPr="00027624" w:rsidRDefault="0092760B" w:rsidP="002A2FAE">
            <w:pPr>
              <w:pStyle w:val="TableColumnHeadingLeft"/>
              <w:keepNext/>
              <w:keepLines/>
              <w:jc w:val="center"/>
            </w:pPr>
            <w:r w:rsidRPr="00027624">
              <w:t>Starting age</w:t>
            </w:r>
          </w:p>
          <w:p w14:paraId="114660A3" w14:textId="77777777" w:rsidR="0092760B" w:rsidRPr="00027624" w:rsidRDefault="0092760B" w:rsidP="002A2FAE">
            <w:pPr>
              <w:keepNext/>
              <w:keepLines/>
              <w:spacing w:after="0"/>
              <w:jc w:val="center"/>
              <w:rPr>
                <w:rFonts w:cs="Calibri"/>
                <w:b/>
                <w:bCs/>
                <w:color w:val="000000"/>
                <w:sz w:val="18"/>
                <w:szCs w:val="18"/>
              </w:rPr>
            </w:pPr>
          </w:p>
        </w:tc>
        <w:tc>
          <w:tcPr>
            <w:tcW w:w="7600" w:type="dxa"/>
            <w:gridSpan w:val="5"/>
            <w:tcBorders>
              <w:top w:val="nil"/>
              <w:left w:val="nil"/>
              <w:bottom w:val="nil"/>
              <w:right w:val="nil"/>
            </w:tcBorders>
            <w:shd w:val="clear" w:color="000000" w:fill="E5E5E5"/>
            <w:vAlign w:val="center"/>
            <w:hideMark/>
          </w:tcPr>
          <w:p w14:paraId="53F60FBF" w14:textId="77777777" w:rsidR="0092760B" w:rsidRPr="00027624" w:rsidRDefault="0092760B" w:rsidP="002A2FAE">
            <w:pPr>
              <w:pStyle w:val="TableColumnHeadingCentred"/>
              <w:keepNext/>
              <w:keepLines/>
            </w:pPr>
            <w:r w:rsidRPr="00027624">
              <w:t>Retirement age</w:t>
            </w:r>
          </w:p>
        </w:tc>
      </w:tr>
      <w:tr w:rsidR="0092760B" w:rsidRPr="00027624" w14:paraId="50208FC8" w14:textId="77777777" w:rsidTr="002A2FAE">
        <w:trPr>
          <w:trHeight w:val="298"/>
        </w:trPr>
        <w:tc>
          <w:tcPr>
            <w:tcW w:w="1520" w:type="dxa"/>
            <w:vMerge/>
            <w:tcBorders>
              <w:left w:val="nil"/>
              <w:bottom w:val="nil"/>
              <w:right w:val="single" w:sz="8" w:space="0" w:color="auto"/>
            </w:tcBorders>
            <w:shd w:val="clear" w:color="000000" w:fill="E5E5E5"/>
            <w:vAlign w:val="center"/>
            <w:hideMark/>
          </w:tcPr>
          <w:p w14:paraId="6638741D" w14:textId="77777777" w:rsidR="0092760B" w:rsidRPr="00027624" w:rsidRDefault="0092760B" w:rsidP="002A2FAE">
            <w:pPr>
              <w:keepNext/>
              <w:keepLines/>
              <w:spacing w:after="0"/>
              <w:rPr>
                <w:rFonts w:cs="Calibri"/>
                <w:color w:val="000000"/>
                <w:sz w:val="18"/>
                <w:szCs w:val="18"/>
              </w:rPr>
            </w:pPr>
          </w:p>
        </w:tc>
        <w:tc>
          <w:tcPr>
            <w:tcW w:w="1520" w:type="dxa"/>
            <w:tcBorders>
              <w:top w:val="nil"/>
              <w:left w:val="nil"/>
              <w:bottom w:val="nil"/>
              <w:right w:val="nil"/>
            </w:tcBorders>
            <w:shd w:val="clear" w:color="000000" w:fill="E5E5E5"/>
            <w:vAlign w:val="center"/>
            <w:hideMark/>
          </w:tcPr>
          <w:p w14:paraId="1ECB5B2C" w14:textId="77777777" w:rsidR="0092760B" w:rsidRPr="00027624" w:rsidRDefault="0092760B" w:rsidP="002A2FAE">
            <w:pPr>
              <w:pStyle w:val="TableColumnHeadingCentred"/>
              <w:keepNext/>
              <w:keepLines/>
              <w:rPr>
                <w:sz w:val="18"/>
                <w:szCs w:val="18"/>
              </w:rPr>
            </w:pPr>
            <w:r w:rsidRPr="00027624">
              <w:rPr>
                <w:b w:val="0"/>
                <w:color w:val="auto"/>
                <w:sz w:val="18"/>
                <w:szCs w:val="18"/>
              </w:rPr>
              <w:t>55</w:t>
            </w:r>
          </w:p>
        </w:tc>
        <w:tc>
          <w:tcPr>
            <w:tcW w:w="1520" w:type="dxa"/>
            <w:tcBorders>
              <w:top w:val="nil"/>
              <w:left w:val="nil"/>
              <w:bottom w:val="nil"/>
              <w:right w:val="nil"/>
            </w:tcBorders>
            <w:shd w:val="clear" w:color="000000" w:fill="E5E5E5"/>
            <w:vAlign w:val="center"/>
            <w:hideMark/>
          </w:tcPr>
          <w:p w14:paraId="7A756A44" w14:textId="77777777" w:rsidR="0092760B" w:rsidRPr="00027624" w:rsidRDefault="0092760B" w:rsidP="002A2FAE">
            <w:pPr>
              <w:pStyle w:val="TableColumnHeadingCentred"/>
              <w:keepNext/>
              <w:keepLines/>
              <w:rPr>
                <w:sz w:val="18"/>
                <w:szCs w:val="18"/>
              </w:rPr>
            </w:pPr>
            <w:r w:rsidRPr="00027624">
              <w:rPr>
                <w:b w:val="0"/>
                <w:color w:val="auto"/>
                <w:sz w:val="18"/>
                <w:szCs w:val="18"/>
              </w:rPr>
              <w:t>60</w:t>
            </w:r>
          </w:p>
        </w:tc>
        <w:tc>
          <w:tcPr>
            <w:tcW w:w="1520" w:type="dxa"/>
            <w:tcBorders>
              <w:top w:val="nil"/>
              <w:left w:val="nil"/>
              <w:bottom w:val="nil"/>
              <w:right w:val="nil"/>
            </w:tcBorders>
            <w:shd w:val="clear" w:color="000000" w:fill="E5E5E5"/>
            <w:vAlign w:val="center"/>
            <w:hideMark/>
          </w:tcPr>
          <w:p w14:paraId="057AB741" w14:textId="77777777" w:rsidR="0092760B" w:rsidRPr="00027624" w:rsidRDefault="0092760B" w:rsidP="002A2FAE">
            <w:pPr>
              <w:pStyle w:val="TableColumnHeadingCentred"/>
              <w:keepNext/>
              <w:keepLines/>
              <w:rPr>
                <w:sz w:val="18"/>
                <w:szCs w:val="18"/>
              </w:rPr>
            </w:pPr>
            <w:r w:rsidRPr="00027624">
              <w:rPr>
                <w:b w:val="0"/>
                <w:color w:val="auto"/>
                <w:sz w:val="18"/>
                <w:szCs w:val="18"/>
              </w:rPr>
              <w:t>65</w:t>
            </w:r>
          </w:p>
        </w:tc>
        <w:tc>
          <w:tcPr>
            <w:tcW w:w="1520" w:type="dxa"/>
            <w:tcBorders>
              <w:top w:val="nil"/>
              <w:left w:val="nil"/>
              <w:bottom w:val="nil"/>
              <w:right w:val="nil"/>
            </w:tcBorders>
            <w:shd w:val="clear" w:color="000000" w:fill="E5E5E5"/>
            <w:vAlign w:val="center"/>
            <w:hideMark/>
          </w:tcPr>
          <w:p w14:paraId="4FD4F887" w14:textId="77777777" w:rsidR="0092760B" w:rsidRPr="00027624" w:rsidRDefault="0092760B" w:rsidP="002A2FAE">
            <w:pPr>
              <w:pStyle w:val="TableColumnHeadingCentred"/>
              <w:keepNext/>
              <w:keepLines/>
              <w:rPr>
                <w:sz w:val="18"/>
                <w:szCs w:val="18"/>
              </w:rPr>
            </w:pPr>
            <w:r w:rsidRPr="00027624">
              <w:rPr>
                <w:b w:val="0"/>
                <w:color w:val="auto"/>
                <w:sz w:val="18"/>
                <w:szCs w:val="18"/>
              </w:rPr>
              <w:t>67</w:t>
            </w:r>
          </w:p>
        </w:tc>
        <w:tc>
          <w:tcPr>
            <w:tcW w:w="1520" w:type="dxa"/>
            <w:tcBorders>
              <w:top w:val="nil"/>
              <w:left w:val="nil"/>
              <w:bottom w:val="nil"/>
              <w:right w:val="nil"/>
            </w:tcBorders>
            <w:shd w:val="clear" w:color="000000" w:fill="E5E5E5"/>
            <w:vAlign w:val="center"/>
            <w:hideMark/>
          </w:tcPr>
          <w:p w14:paraId="384F2A8F" w14:textId="77777777" w:rsidR="0092760B" w:rsidRPr="00027624" w:rsidRDefault="0092760B" w:rsidP="002A2FAE">
            <w:pPr>
              <w:pStyle w:val="TableColumnHeadingCentred"/>
              <w:keepNext/>
              <w:keepLines/>
              <w:rPr>
                <w:sz w:val="18"/>
                <w:szCs w:val="18"/>
              </w:rPr>
            </w:pPr>
            <w:r w:rsidRPr="00027624">
              <w:rPr>
                <w:b w:val="0"/>
                <w:color w:val="auto"/>
                <w:sz w:val="18"/>
                <w:szCs w:val="18"/>
              </w:rPr>
              <w:t>70</w:t>
            </w:r>
          </w:p>
        </w:tc>
      </w:tr>
      <w:tr w:rsidR="0092760B" w:rsidRPr="00027624" w14:paraId="2B06DAD4" w14:textId="77777777" w:rsidTr="002A2FAE">
        <w:trPr>
          <w:trHeight w:val="298"/>
        </w:trPr>
        <w:tc>
          <w:tcPr>
            <w:tcW w:w="1520" w:type="dxa"/>
            <w:tcBorders>
              <w:top w:val="nil"/>
              <w:left w:val="nil"/>
              <w:bottom w:val="nil"/>
              <w:right w:val="single" w:sz="8" w:space="0" w:color="auto"/>
            </w:tcBorders>
            <w:shd w:val="clear" w:color="auto" w:fill="auto"/>
            <w:vAlign w:val="center"/>
            <w:hideMark/>
          </w:tcPr>
          <w:p w14:paraId="0C38D1B6" w14:textId="77777777" w:rsidR="0092760B" w:rsidRPr="00027624" w:rsidRDefault="0092760B" w:rsidP="002A2FAE">
            <w:pPr>
              <w:pStyle w:val="TableTextCentered"/>
            </w:pPr>
            <w:r w:rsidRPr="00027624">
              <w:t>35</w:t>
            </w:r>
          </w:p>
        </w:tc>
        <w:tc>
          <w:tcPr>
            <w:tcW w:w="1520" w:type="dxa"/>
            <w:tcBorders>
              <w:top w:val="nil"/>
              <w:left w:val="nil"/>
              <w:bottom w:val="nil"/>
              <w:right w:val="nil"/>
            </w:tcBorders>
            <w:shd w:val="clear" w:color="auto" w:fill="auto"/>
            <w:vAlign w:val="center"/>
            <w:hideMark/>
          </w:tcPr>
          <w:p w14:paraId="7AD1F5BA"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63% (↓ 3ppt)</w:t>
            </w:r>
          </w:p>
        </w:tc>
        <w:tc>
          <w:tcPr>
            <w:tcW w:w="1520" w:type="dxa"/>
            <w:tcBorders>
              <w:top w:val="nil"/>
              <w:left w:val="nil"/>
              <w:bottom w:val="nil"/>
              <w:right w:val="nil"/>
            </w:tcBorders>
            <w:shd w:val="clear" w:color="auto" w:fill="auto"/>
            <w:vAlign w:val="center"/>
            <w:hideMark/>
          </w:tcPr>
          <w:p w14:paraId="63CCCCC4"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66% (↓ 3ppt)</w:t>
            </w:r>
          </w:p>
        </w:tc>
        <w:tc>
          <w:tcPr>
            <w:tcW w:w="1520" w:type="dxa"/>
            <w:tcBorders>
              <w:top w:val="nil"/>
              <w:left w:val="nil"/>
              <w:bottom w:val="nil"/>
              <w:right w:val="nil"/>
            </w:tcBorders>
            <w:shd w:val="clear" w:color="auto" w:fill="auto"/>
            <w:vAlign w:val="center"/>
            <w:hideMark/>
          </w:tcPr>
          <w:p w14:paraId="42D86022"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75% (↓ 4ppt)</w:t>
            </w:r>
          </w:p>
        </w:tc>
        <w:tc>
          <w:tcPr>
            <w:tcW w:w="1520" w:type="dxa"/>
            <w:tcBorders>
              <w:top w:val="nil"/>
              <w:left w:val="nil"/>
              <w:bottom w:val="nil"/>
              <w:right w:val="nil"/>
            </w:tcBorders>
            <w:shd w:val="clear" w:color="auto" w:fill="auto"/>
            <w:vAlign w:val="center"/>
            <w:hideMark/>
          </w:tcPr>
          <w:p w14:paraId="01ECC588"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79% (↓ 4ppt)</w:t>
            </w:r>
          </w:p>
        </w:tc>
        <w:tc>
          <w:tcPr>
            <w:tcW w:w="1520" w:type="dxa"/>
            <w:tcBorders>
              <w:top w:val="nil"/>
              <w:left w:val="nil"/>
              <w:bottom w:val="nil"/>
              <w:right w:val="nil"/>
            </w:tcBorders>
            <w:shd w:val="clear" w:color="auto" w:fill="auto"/>
            <w:vAlign w:val="center"/>
            <w:hideMark/>
          </w:tcPr>
          <w:p w14:paraId="7362A953"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82% (↓ 5ppt)</w:t>
            </w:r>
          </w:p>
        </w:tc>
      </w:tr>
      <w:tr w:rsidR="0092760B" w:rsidRPr="00027624" w14:paraId="3A4641FB" w14:textId="77777777" w:rsidTr="002A2FAE">
        <w:trPr>
          <w:trHeight w:val="298"/>
        </w:trPr>
        <w:tc>
          <w:tcPr>
            <w:tcW w:w="1520" w:type="dxa"/>
            <w:tcBorders>
              <w:top w:val="nil"/>
              <w:left w:val="nil"/>
              <w:bottom w:val="nil"/>
              <w:right w:val="single" w:sz="8" w:space="0" w:color="auto"/>
            </w:tcBorders>
            <w:shd w:val="clear" w:color="auto" w:fill="auto"/>
            <w:vAlign w:val="center"/>
            <w:hideMark/>
          </w:tcPr>
          <w:p w14:paraId="4105C35E" w14:textId="77777777" w:rsidR="0092760B" w:rsidRPr="00027624" w:rsidRDefault="0092760B" w:rsidP="002A2FAE">
            <w:pPr>
              <w:pStyle w:val="TableTextCentered"/>
            </w:pPr>
            <w:r w:rsidRPr="00027624">
              <w:t>30</w:t>
            </w:r>
          </w:p>
        </w:tc>
        <w:tc>
          <w:tcPr>
            <w:tcW w:w="1520" w:type="dxa"/>
            <w:tcBorders>
              <w:top w:val="nil"/>
              <w:left w:val="nil"/>
              <w:bottom w:val="nil"/>
              <w:right w:val="nil"/>
            </w:tcBorders>
            <w:shd w:val="clear" w:color="auto" w:fill="auto"/>
            <w:vAlign w:val="center"/>
            <w:hideMark/>
          </w:tcPr>
          <w:p w14:paraId="1524CA83"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66% (↓ 3ppt)</w:t>
            </w:r>
          </w:p>
        </w:tc>
        <w:tc>
          <w:tcPr>
            <w:tcW w:w="1520" w:type="dxa"/>
            <w:tcBorders>
              <w:top w:val="nil"/>
              <w:left w:val="nil"/>
              <w:bottom w:val="nil"/>
              <w:right w:val="nil"/>
            </w:tcBorders>
            <w:shd w:val="clear" w:color="auto" w:fill="auto"/>
            <w:vAlign w:val="center"/>
            <w:hideMark/>
          </w:tcPr>
          <w:p w14:paraId="3F79C381"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68% (↓ 5ppt)</w:t>
            </w:r>
          </w:p>
        </w:tc>
        <w:tc>
          <w:tcPr>
            <w:tcW w:w="1520" w:type="dxa"/>
            <w:tcBorders>
              <w:top w:val="nil"/>
              <w:left w:val="nil"/>
              <w:bottom w:val="nil"/>
              <w:right w:val="nil"/>
            </w:tcBorders>
            <w:shd w:val="clear" w:color="auto" w:fill="auto"/>
            <w:vAlign w:val="center"/>
            <w:hideMark/>
          </w:tcPr>
          <w:p w14:paraId="3D4E0361"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78% (↓ 4ppt)</w:t>
            </w:r>
          </w:p>
        </w:tc>
        <w:tc>
          <w:tcPr>
            <w:tcW w:w="1520" w:type="dxa"/>
            <w:tcBorders>
              <w:top w:val="nil"/>
              <w:left w:val="nil"/>
              <w:bottom w:val="nil"/>
              <w:right w:val="nil"/>
            </w:tcBorders>
            <w:shd w:val="clear" w:color="auto" w:fill="auto"/>
            <w:vAlign w:val="center"/>
            <w:hideMark/>
          </w:tcPr>
          <w:p w14:paraId="74E48012"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81% (↓ 4ppt)</w:t>
            </w:r>
          </w:p>
        </w:tc>
        <w:tc>
          <w:tcPr>
            <w:tcW w:w="1520" w:type="dxa"/>
            <w:tcBorders>
              <w:top w:val="nil"/>
              <w:left w:val="nil"/>
              <w:bottom w:val="nil"/>
              <w:right w:val="nil"/>
            </w:tcBorders>
            <w:shd w:val="clear" w:color="auto" w:fill="auto"/>
            <w:vAlign w:val="center"/>
            <w:hideMark/>
          </w:tcPr>
          <w:p w14:paraId="7D121897"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85% (↓ 5ppt)</w:t>
            </w:r>
          </w:p>
        </w:tc>
      </w:tr>
      <w:tr w:rsidR="0092760B" w:rsidRPr="00027624" w14:paraId="73A30C95" w14:textId="77777777" w:rsidTr="002A2FAE">
        <w:trPr>
          <w:trHeight w:val="298"/>
        </w:trPr>
        <w:tc>
          <w:tcPr>
            <w:tcW w:w="1520" w:type="dxa"/>
            <w:tcBorders>
              <w:top w:val="nil"/>
              <w:left w:val="nil"/>
              <w:bottom w:val="nil"/>
              <w:right w:val="single" w:sz="8" w:space="0" w:color="auto"/>
            </w:tcBorders>
            <w:shd w:val="clear" w:color="auto" w:fill="auto"/>
            <w:vAlign w:val="center"/>
            <w:hideMark/>
          </w:tcPr>
          <w:p w14:paraId="345E0E08" w14:textId="77777777" w:rsidR="0092760B" w:rsidRPr="00027624" w:rsidRDefault="0092760B" w:rsidP="002A2FAE">
            <w:pPr>
              <w:pStyle w:val="TableTextCentered"/>
            </w:pPr>
            <w:r w:rsidRPr="00027624">
              <w:t>27</w:t>
            </w:r>
          </w:p>
        </w:tc>
        <w:tc>
          <w:tcPr>
            <w:tcW w:w="1520" w:type="dxa"/>
            <w:tcBorders>
              <w:top w:val="nil"/>
              <w:left w:val="nil"/>
              <w:bottom w:val="nil"/>
              <w:right w:val="nil"/>
            </w:tcBorders>
            <w:shd w:val="clear" w:color="auto" w:fill="auto"/>
            <w:vAlign w:val="center"/>
            <w:hideMark/>
          </w:tcPr>
          <w:p w14:paraId="174D0633"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66% (↓ 4ppt)</w:t>
            </w:r>
          </w:p>
        </w:tc>
        <w:tc>
          <w:tcPr>
            <w:tcW w:w="1520" w:type="dxa"/>
            <w:tcBorders>
              <w:top w:val="nil"/>
              <w:left w:val="nil"/>
              <w:bottom w:val="nil"/>
              <w:right w:val="nil"/>
            </w:tcBorders>
            <w:shd w:val="clear" w:color="auto" w:fill="auto"/>
            <w:vAlign w:val="center"/>
            <w:hideMark/>
          </w:tcPr>
          <w:p w14:paraId="00F39C56"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70% (↓ 6ppt)</w:t>
            </w:r>
          </w:p>
        </w:tc>
        <w:tc>
          <w:tcPr>
            <w:tcW w:w="1520" w:type="dxa"/>
            <w:tcBorders>
              <w:top w:val="nil"/>
              <w:left w:val="nil"/>
              <w:bottom w:val="nil"/>
              <w:right w:val="nil"/>
            </w:tcBorders>
            <w:shd w:val="clear" w:color="auto" w:fill="auto"/>
            <w:vAlign w:val="center"/>
            <w:hideMark/>
          </w:tcPr>
          <w:p w14:paraId="1CC13F80"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79% (↓ 4ppt)</w:t>
            </w:r>
          </w:p>
        </w:tc>
        <w:tc>
          <w:tcPr>
            <w:tcW w:w="1520" w:type="dxa"/>
            <w:tcBorders>
              <w:top w:val="nil"/>
              <w:left w:val="nil"/>
              <w:bottom w:val="nil"/>
              <w:right w:val="nil"/>
            </w:tcBorders>
            <w:shd w:val="clear" w:color="auto" w:fill="auto"/>
            <w:vAlign w:val="center"/>
            <w:hideMark/>
          </w:tcPr>
          <w:p w14:paraId="3CADC414"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83% (↓ 4ppt)</w:t>
            </w:r>
          </w:p>
        </w:tc>
        <w:tc>
          <w:tcPr>
            <w:tcW w:w="1520" w:type="dxa"/>
            <w:tcBorders>
              <w:top w:val="nil"/>
              <w:left w:val="nil"/>
              <w:bottom w:val="nil"/>
              <w:right w:val="nil"/>
            </w:tcBorders>
            <w:shd w:val="clear" w:color="auto" w:fill="auto"/>
            <w:vAlign w:val="center"/>
            <w:hideMark/>
          </w:tcPr>
          <w:p w14:paraId="7148098B"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87% (↓ 6ppt)</w:t>
            </w:r>
          </w:p>
        </w:tc>
      </w:tr>
      <w:tr w:rsidR="0092760B" w:rsidRPr="00027624" w14:paraId="286E9374" w14:textId="77777777" w:rsidTr="002A2FAE">
        <w:trPr>
          <w:trHeight w:val="298"/>
        </w:trPr>
        <w:tc>
          <w:tcPr>
            <w:tcW w:w="1520" w:type="dxa"/>
            <w:tcBorders>
              <w:top w:val="nil"/>
              <w:left w:val="nil"/>
              <w:bottom w:val="nil"/>
              <w:right w:val="single" w:sz="8" w:space="0" w:color="auto"/>
            </w:tcBorders>
            <w:shd w:val="clear" w:color="auto" w:fill="auto"/>
            <w:vAlign w:val="center"/>
            <w:hideMark/>
          </w:tcPr>
          <w:p w14:paraId="5126B055" w14:textId="77777777" w:rsidR="0092760B" w:rsidRPr="00027624" w:rsidRDefault="0092760B" w:rsidP="002A2FAE">
            <w:pPr>
              <w:pStyle w:val="TableTextCentered"/>
            </w:pPr>
            <w:r w:rsidRPr="00027624">
              <w:t>25</w:t>
            </w:r>
          </w:p>
        </w:tc>
        <w:tc>
          <w:tcPr>
            <w:tcW w:w="1520" w:type="dxa"/>
            <w:tcBorders>
              <w:top w:val="nil"/>
              <w:left w:val="nil"/>
              <w:bottom w:val="nil"/>
              <w:right w:val="nil"/>
            </w:tcBorders>
            <w:shd w:val="clear" w:color="auto" w:fill="auto"/>
            <w:vAlign w:val="center"/>
            <w:hideMark/>
          </w:tcPr>
          <w:p w14:paraId="54477EA0"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67% (↓ 5ppt)</w:t>
            </w:r>
          </w:p>
        </w:tc>
        <w:tc>
          <w:tcPr>
            <w:tcW w:w="1520" w:type="dxa"/>
            <w:tcBorders>
              <w:top w:val="nil"/>
              <w:left w:val="nil"/>
              <w:bottom w:val="nil"/>
              <w:right w:val="nil"/>
            </w:tcBorders>
            <w:shd w:val="clear" w:color="auto" w:fill="auto"/>
            <w:vAlign w:val="center"/>
            <w:hideMark/>
          </w:tcPr>
          <w:p w14:paraId="55D1A07B"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71% (↓ 5ppt)</w:t>
            </w:r>
          </w:p>
        </w:tc>
        <w:tc>
          <w:tcPr>
            <w:tcW w:w="1520" w:type="dxa"/>
            <w:tcBorders>
              <w:top w:val="nil"/>
              <w:left w:val="nil"/>
              <w:bottom w:val="nil"/>
              <w:right w:val="nil"/>
            </w:tcBorders>
            <w:shd w:val="clear" w:color="auto" w:fill="auto"/>
            <w:vAlign w:val="center"/>
            <w:hideMark/>
          </w:tcPr>
          <w:p w14:paraId="66067F26"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80% (↓ 4ppt)</w:t>
            </w:r>
          </w:p>
        </w:tc>
        <w:tc>
          <w:tcPr>
            <w:tcW w:w="1520" w:type="dxa"/>
            <w:tcBorders>
              <w:top w:val="nil"/>
              <w:left w:val="nil"/>
              <w:bottom w:val="nil"/>
              <w:right w:val="nil"/>
            </w:tcBorders>
            <w:shd w:val="clear" w:color="auto" w:fill="auto"/>
            <w:vAlign w:val="center"/>
            <w:hideMark/>
          </w:tcPr>
          <w:p w14:paraId="2248C74C"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83% (↓ 5ppt)</w:t>
            </w:r>
          </w:p>
        </w:tc>
        <w:tc>
          <w:tcPr>
            <w:tcW w:w="1520" w:type="dxa"/>
            <w:tcBorders>
              <w:top w:val="nil"/>
              <w:left w:val="nil"/>
              <w:bottom w:val="nil"/>
              <w:right w:val="nil"/>
            </w:tcBorders>
            <w:shd w:val="clear" w:color="auto" w:fill="auto"/>
            <w:vAlign w:val="center"/>
            <w:hideMark/>
          </w:tcPr>
          <w:p w14:paraId="5D127710"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87% (↓ 6ppt)</w:t>
            </w:r>
          </w:p>
        </w:tc>
      </w:tr>
      <w:tr w:rsidR="0092760B" w:rsidRPr="00027624" w14:paraId="65F06B98" w14:textId="77777777" w:rsidTr="002A2FAE">
        <w:trPr>
          <w:trHeight w:val="298"/>
        </w:trPr>
        <w:tc>
          <w:tcPr>
            <w:tcW w:w="1520" w:type="dxa"/>
            <w:tcBorders>
              <w:top w:val="nil"/>
              <w:left w:val="nil"/>
              <w:bottom w:val="nil"/>
              <w:right w:val="single" w:sz="8" w:space="0" w:color="auto"/>
            </w:tcBorders>
            <w:shd w:val="clear" w:color="auto" w:fill="auto"/>
            <w:vAlign w:val="center"/>
            <w:hideMark/>
          </w:tcPr>
          <w:p w14:paraId="351B9F89" w14:textId="77777777" w:rsidR="0092760B" w:rsidRPr="00027624" w:rsidRDefault="0092760B" w:rsidP="002A2FAE">
            <w:pPr>
              <w:pStyle w:val="TableTextCentered"/>
            </w:pPr>
            <w:r w:rsidRPr="00027624">
              <w:t>20</w:t>
            </w:r>
          </w:p>
        </w:tc>
        <w:tc>
          <w:tcPr>
            <w:tcW w:w="1520" w:type="dxa"/>
            <w:tcBorders>
              <w:top w:val="nil"/>
              <w:left w:val="nil"/>
              <w:bottom w:val="nil"/>
              <w:right w:val="nil"/>
            </w:tcBorders>
            <w:shd w:val="clear" w:color="auto" w:fill="auto"/>
            <w:vAlign w:val="center"/>
            <w:hideMark/>
          </w:tcPr>
          <w:p w14:paraId="7FC40ECD"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69% (↓ 5ppt)</w:t>
            </w:r>
          </w:p>
        </w:tc>
        <w:tc>
          <w:tcPr>
            <w:tcW w:w="1520" w:type="dxa"/>
            <w:tcBorders>
              <w:top w:val="nil"/>
              <w:left w:val="nil"/>
              <w:bottom w:val="nil"/>
              <w:right w:val="nil"/>
            </w:tcBorders>
            <w:shd w:val="clear" w:color="auto" w:fill="auto"/>
            <w:vAlign w:val="center"/>
            <w:hideMark/>
          </w:tcPr>
          <w:p w14:paraId="1F78CBFB"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73% (↓ 5ppt)</w:t>
            </w:r>
          </w:p>
        </w:tc>
        <w:tc>
          <w:tcPr>
            <w:tcW w:w="1520" w:type="dxa"/>
            <w:tcBorders>
              <w:top w:val="nil"/>
              <w:left w:val="nil"/>
              <w:bottom w:val="nil"/>
              <w:right w:val="nil"/>
            </w:tcBorders>
            <w:shd w:val="clear" w:color="auto" w:fill="auto"/>
            <w:vAlign w:val="center"/>
            <w:hideMark/>
          </w:tcPr>
          <w:p w14:paraId="7836193F"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80% (↓ 5ppt)</w:t>
            </w:r>
          </w:p>
        </w:tc>
        <w:tc>
          <w:tcPr>
            <w:tcW w:w="1520" w:type="dxa"/>
            <w:tcBorders>
              <w:top w:val="nil"/>
              <w:left w:val="nil"/>
              <w:bottom w:val="nil"/>
              <w:right w:val="nil"/>
            </w:tcBorders>
            <w:shd w:val="clear" w:color="auto" w:fill="auto"/>
            <w:vAlign w:val="center"/>
            <w:hideMark/>
          </w:tcPr>
          <w:p w14:paraId="4E738783"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83% (↓ 6ppt)</w:t>
            </w:r>
          </w:p>
        </w:tc>
        <w:tc>
          <w:tcPr>
            <w:tcW w:w="1520" w:type="dxa"/>
            <w:tcBorders>
              <w:top w:val="nil"/>
              <w:left w:val="nil"/>
              <w:bottom w:val="nil"/>
              <w:right w:val="nil"/>
            </w:tcBorders>
            <w:shd w:val="clear" w:color="auto" w:fill="auto"/>
            <w:vAlign w:val="center"/>
            <w:hideMark/>
          </w:tcPr>
          <w:p w14:paraId="41228FB8" w14:textId="77777777" w:rsidR="0092760B" w:rsidRPr="00027624" w:rsidRDefault="0092760B" w:rsidP="002A2FAE">
            <w:pPr>
              <w:keepNext/>
              <w:keepLines/>
              <w:spacing w:after="0"/>
              <w:jc w:val="center"/>
              <w:rPr>
                <w:rFonts w:cs="Calibri"/>
                <w:color w:val="000000"/>
                <w:sz w:val="18"/>
                <w:szCs w:val="18"/>
              </w:rPr>
            </w:pPr>
            <w:r w:rsidRPr="00027624">
              <w:rPr>
                <w:rFonts w:cs="Calibri"/>
                <w:color w:val="000000"/>
                <w:sz w:val="18"/>
                <w:szCs w:val="18"/>
              </w:rPr>
              <w:t>88% (↓ 8ppt)</w:t>
            </w:r>
          </w:p>
        </w:tc>
      </w:tr>
    </w:tbl>
    <w:p w14:paraId="535C99AF" w14:textId="77777777" w:rsidR="0092760B" w:rsidRPr="00027624" w:rsidRDefault="0092760B" w:rsidP="002A2FAE">
      <w:pPr>
        <w:pStyle w:val="ChartorTableNote"/>
      </w:pPr>
      <w:r w:rsidRPr="00027624">
        <w:rPr>
          <w:color w:val="auto"/>
        </w:rPr>
        <w:t xml:space="preserve">Note: Early retirement scenarios assume </w:t>
      </w:r>
      <w:r w:rsidR="00D50CC0" w:rsidRPr="00027624">
        <w:rPr>
          <w:color w:val="auto"/>
        </w:rPr>
        <w:t>people</w:t>
      </w:r>
      <w:r w:rsidRPr="00027624">
        <w:rPr>
          <w:color w:val="auto"/>
        </w:rPr>
        <w:t xml:space="preserve"> receive working</w:t>
      </w:r>
      <w:r w:rsidR="00A8443E" w:rsidRPr="00027624">
        <w:rPr>
          <w:color w:val="auto"/>
        </w:rPr>
        <w:noBreakHyphen/>
      </w:r>
      <w:r w:rsidRPr="00027624">
        <w:rPr>
          <w:color w:val="auto"/>
        </w:rPr>
        <w:t>life income support if eligible according to means testing and access their superannuation from preservation age. People who retire earlier than age 67 draw down superannuation from age 60 at the higher of the maximum Age Pension or minimum legislated rates until age 67 using use review drawdown rates thereafter. For comparability, the level of working</w:t>
      </w:r>
      <w:r w:rsidR="00A8443E" w:rsidRPr="00027624">
        <w:rPr>
          <w:color w:val="auto"/>
        </w:rPr>
        <w:noBreakHyphen/>
      </w:r>
      <w:r w:rsidRPr="00027624">
        <w:rPr>
          <w:color w:val="auto"/>
        </w:rPr>
        <w:t xml:space="preserve">life income to be replaced is the same for sensitivities. Figures in brackets are relative to a 12 per cent SG rate. </w:t>
      </w:r>
      <w:r w:rsidRPr="00027624">
        <w:rPr>
          <w:color w:val="000000" w:themeColor="text1"/>
        </w:rPr>
        <w:t>Source:</w:t>
      </w:r>
      <w:r w:rsidRPr="00027624">
        <w:t xml:space="preserve"> Cameo modelling undertaken for the review.</w:t>
      </w:r>
    </w:p>
    <w:p w14:paraId="2280A4E5" w14:textId="77777777" w:rsidR="0092760B" w:rsidRPr="00027624" w:rsidRDefault="0092760B" w:rsidP="002A2FAE">
      <w:pPr>
        <w:pStyle w:val="Bullet"/>
        <w:numPr>
          <w:ilvl w:val="0"/>
          <w:numId w:val="0"/>
        </w:numPr>
        <w:spacing w:after="160" w:line="259" w:lineRule="auto"/>
      </w:pPr>
      <w:r w:rsidRPr="00027624">
        <w:t xml:space="preserve">Workers at greater risk of early involuntary retirement are those with low wealth and low education levels (see </w:t>
      </w:r>
      <w:r w:rsidRPr="00027624">
        <w:rPr>
          <w:i/>
        </w:rPr>
        <w:t>3E. Age of retirement</w:t>
      </w:r>
      <w:r w:rsidRPr="00027624">
        <w:t>).</w:t>
      </w:r>
      <w:r w:rsidRPr="00027624">
        <w:rPr>
          <w:i/>
        </w:rPr>
        <w:t xml:space="preserve"> </w:t>
      </w:r>
      <w:r w:rsidRPr="00027624">
        <w:t xml:space="preserve">They are </w:t>
      </w:r>
      <w:r w:rsidR="005A67EA" w:rsidRPr="00027624">
        <w:t xml:space="preserve">more </w:t>
      </w:r>
      <w:r w:rsidRPr="00027624">
        <w:t>likely to be lower</w:t>
      </w:r>
      <w:r w:rsidR="00A8443E" w:rsidRPr="00027624">
        <w:noBreakHyphen/>
      </w:r>
      <w:r w:rsidRPr="00027624">
        <w:t>income workers who generally have replacement rates above the benchmark.</w:t>
      </w:r>
    </w:p>
    <w:p w14:paraId="3C42A242" w14:textId="77777777" w:rsidR="0092760B" w:rsidRPr="00027624" w:rsidRDefault="0092760B" w:rsidP="002A2FAE">
      <w:pPr>
        <w:pStyle w:val="Heading3"/>
      </w:pPr>
      <w:r w:rsidRPr="00027624">
        <w:t>Effect on sustainability</w:t>
      </w:r>
    </w:p>
    <w:p w14:paraId="6357993D" w14:textId="77777777" w:rsidR="0092760B" w:rsidRPr="00027624" w:rsidRDefault="0092760B" w:rsidP="002A2FAE">
      <w:r w:rsidRPr="00027624">
        <w:t>Analysing the overall fiscal impact of maintaining the SG rate at 9.5 per cent over the medium</w:t>
      </w:r>
      <w:r w:rsidR="00A8443E" w:rsidRPr="00027624">
        <w:noBreakHyphen/>
      </w:r>
      <w:r w:rsidRPr="00027624">
        <w:t xml:space="preserve"> to long</w:t>
      </w:r>
      <w:r w:rsidR="00A8443E" w:rsidRPr="00027624">
        <w:noBreakHyphen/>
      </w:r>
      <w:r w:rsidRPr="00027624">
        <w:t>term combines historical data, projections and assumptions from a range of sources to</w:t>
      </w:r>
      <w:r w:rsidRPr="00027624" w:rsidDel="00894A77">
        <w:t xml:space="preserve"> </w:t>
      </w:r>
      <w:r w:rsidRPr="00027624">
        <w:t>illustrate general trends. Treasury</w:t>
      </w:r>
      <w:r w:rsidR="00A8443E" w:rsidRPr="00027624">
        <w:t>’</w:t>
      </w:r>
      <w:r w:rsidRPr="00027624">
        <w:t>s MARIA model was used to project the impact on some, but not all aspects, of taxation revenue. Details on the how MARIA modelling wa</w:t>
      </w:r>
      <w:r w:rsidR="005716A1" w:rsidRPr="00027624">
        <w:t>s used in this fiscal analysis are</w:t>
      </w:r>
      <w:r w:rsidRPr="00027624">
        <w:t xml:space="preserve"> in </w:t>
      </w:r>
      <w:r w:rsidRPr="00027624">
        <w:rPr>
          <w:i/>
        </w:rPr>
        <w:t>Appendix 6A. Detailed modelling methods and assumptions</w:t>
      </w:r>
      <w:r w:rsidRPr="00027624">
        <w:rPr>
          <w:i/>
          <w:iCs/>
        </w:rPr>
        <w:t>.</w:t>
      </w:r>
    </w:p>
    <w:p w14:paraId="329E9C24" w14:textId="77777777" w:rsidR="0092760B" w:rsidRPr="00027624" w:rsidRDefault="0092760B" w:rsidP="002A2FAE">
      <w:pPr>
        <w:pStyle w:val="Heading4"/>
      </w:pPr>
      <w:r w:rsidRPr="00027624">
        <w:t>Net fiscal impact</w:t>
      </w:r>
    </w:p>
    <w:p w14:paraId="09D8E8E6" w14:textId="266F5B81" w:rsidR="0092760B" w:rsidRPr="00027624" w:rsidRDefault="0092760B" w:rsidP="002A2FAE">
      <w:r w:rsidRPr="00027624">
        <w:t>Maintaining the SG rate at 9.5 per cent is projected to have a positive net fiscal impact.</w:t>
      </w:r>
      <w:r w:rsidRPr="00027624">
        <w:rPr>
          <w:b/>
        </w:rPr>
        <w:t xml:space="preserve"> </w:t>
      </w:r>
      <w:r w:rsidRPr="00027624">
        <w:t>Higher tax revenues from lower superannuation tax concessions are expected to outweigh higher Age Pension expenditure until around 2055. The cumulative saving by 2060 of the change is expected to be about 2.0 per cent of GDP (</w:t>
      </w:r>
      <w:r w:rsidRPr="00027624">
        <w:fldChar w:fldCharType="begin"/>
      </w:r>
      <w:r w:rsidRPr="00027624">
        <w:instrText xml:space="preserve"> REF _Ref43981166 \r \h  \* MERGEFORMAT </w:instrText>
      </w:r>
      <w:r w:rsidRPr="00027624">
        <w:fldChar w:fldCharType="separate"/>
      </w:r>
      <w:r w:rsidR="00891058">
        <w:t>Chart 2D-10</w:t>
      </w:r>
      <w:r w:rsidRPr="00027624">
        <w:fldChar w:fldCharType="end"/>
      </w:r>
      <w:r w:rsidRPr="00027624">
        <w:t>).</w:t>
      </w:r>
    </w:p>
    <w:p w14:paraId="616B6E88" w14:textId="77777777" w:rsidR="0092760B" w:rsidRPr="00027624" w:rsidRDefault="0092760B" w:rsidP="002A2FAE">
      <w:r w:rsidRPr="00027624">
        <w:t>There would be an increasing positive fiscal impact over the coming decade if the phased increase in the SG to 12 per cent did not occur. These savings would gradually rise to about $3 billion per year in the late 2020s.</w:t>
      </w:r>
    </w:p>
    <w:p w14:paraId="717C5356" w14:textId="77777777" w:rsidR="0092760B" w:rsidRPr="00027624" w:rsidRDefault="0092760B" w:rsidP="00325A8D">
      <w:pPr>
        <w:pStyle w:val="ChartMainHeading"/>
      </w:pPr>
      <w:bookmarkStart w:id="640" w:name="_Ref43367441"/>
      <w:bookmarkStart w:id="641" w:name="_Ref43981166"/>
      <w:r w:rsidRPr="00027624">
        <w:lastRenderedPageBreak/>
        <w:t>Projected net fiscal impact of maintaining the SG rate at 9.5 per cent</w:t>
      </w:r>
      <w:bookmarkEnd w:id="640"/>
      <w:bookmarkEnd w:id="641"/>
    </w:p>
    <w:p w14:paraId="4995F4B7" w14:textId="77777777" w:rsidR="0092760B" w:rsidRPr="00027624" w:rsidRDefault="00634101" w:rsidP="002A2FAE">
      <w:pPr>
        <w:pStyle w:val="ChartGraphic"/>
      </w:pPr>
      <w:r>
        <w:rPr>
          <w:noProof/>
        </w:rPr>
        <w:drawing>
          <wp:inline distT="0" distB="0" distL="0" distR="0" wp14:anchorId="7DB5CBE9" wp14:editId="425CAC52">
            <wp:extent cx="5593080" cy="2567940"/>
            <wp:effectExtent l="0" t="0" r="7620" b="3810"/>
            <wp:docPr id="2002235507" name="Picture 2002235507" descr="This chart shows an increasing positive net fiscal impact with a 9.5 per cent SG rate relative to a 12 per cent SG rate from 2021. The net fiscal impact peaks around 2026 at almost 0.12 per cent of GDP and then gradually declines to be neutral around 2055. " title="Chart 2D-10 Projected net fiscal impact of maintaining the SG rate at 9.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93080" cy="2567940"/>
                    </a:xfrm>
                    <a:prstGeom prst="rect">
                      <a:avLst/>
                    </a:prstGeom>
                    <a:noFill/>
                  </pic:spPr>
                </pic:pic>
              </a:graphicData>
            </a:graphic>
          </wp:inline>
        </w:drawing>
      </w:r>
    </w:p>
    <w:p w14:paraId="18D9EEAB" w14:textId="77777777" w:rsidR="0092760B" w:rsidRPr="00027624" w:rsidRDefault="0092760B" w:rsidP="002A2FAE">
      <w:pPr>
        <w:pStyle w:val="ChartorTableNote"/>
      </w:pPr>
      <w:r w:rsidRPr="00027624">
        <w:t>Note: Modelling assumes 100 per cent pass</w:t>
      </w:r>
      <w:r w:rsidR="00A8443E" w:rsidRPr="00027624">
        <w:noBreakHyphen/>
      </w:r>
      <w:r w:rsidRPr="00027624">
        <w:t>through to employees. Source: Estimates prepared by the review; Treasury estimated changes in taxes on contributions, earnings and Age Pension expenditure using MARIA.</w:t>
      </w:r>
    </w:p>
    <w:p w14:paraId="7BA5D5F5" w14:textId="77777777" w:rsidR="0092760B" w:rsidRPr="00027624" w:rsidRDefault="0092760B" w:rsidP="002A2FAE">
      <w:pPr>
        <w:pStyle w:val="Heading4"/>
      </w:pPr>
      <w:r w:rsidRPr="00027624">
        <w:t>Break down of fiscal impact</w:t>
      </w:r>
    </w:p>
    <w:p w14:paraId="240E0EEB" w14:textId="00592CF8" w:rsidR="0092760B" w:rsidRPr="00027624" w:rsidRDefault="0092760B" w:rsidP="002A2FAE">
      <w:r w:rsidRPr="00027624">
        <w:t>Maintaining the SG rate at 9.5 per cent impacts the sustainability of the retirement income system in several ways (</w:t>
      </w:r>
      <w:r w:rsidRPr="00027624">
        <w:fldChar w:fldCharType="begin"/>
      </w:r>
      <w:r w:rsidRPr="00027624">
        <w:instrText xml:space="preserve"> REF _Ref42006072 \r \h  \* MERGEFORMAT </w:instrText>
      </w:r>
      <w:r w:rsidRPr="00027624">
        <w:fldChar w:fldCharType="separate"/>
      </w:r>
      <w:r w:rsidR="00891058">
        <w:t>Chart 2D-11</w:t>
      </w:r>
      <w:r w:rsidRPr="00027624">
        <w:fldChar w:fldCharType="end"/>
      </w:r>
      <w:r w:rsidRPr="00027624">
        <w:t>), including:</w:t>
      </w:r>
    </w:p>
    <w:p w14:paraId="4A5F0B09" w14:textId="77777777" w:rsidR="0092760B" w:rsidRPr="00027624" w:rsidRDefault="0092760B" w:rsidP="0092760B">
      <w:pPr>
        <w:pStyle w:val="Bullet"/>
      </w:pPr>
      <w:r w:rsidRPr="00027624">
        <w:t>Increased Age Pension expenditure due to lower assets at retirement. Initial impacts are small but grow over time as the system matures.</w:t>
      </w:r>
    </w:p>
    <w:p w14:paraId="3B3744EB" w14:textId="77777777" w:rsidR="0092760B" w:rsidRPr="00027624" w:rsidRDefault="0092760B" w:rsidP="0092760B">
      <w:pPr>
        <w:pStyle w:val="Bullet"/>
      </w:pPr>
      <w:r w:rsidRPr="00027624">
        <w:t>Higher tax revenue would be collected immediately. Money that would have been paid as SG contributions is instead taxed at marginal income tax rates.</w:t>
      </w:r>
    </w:p>
    <w:p w14:paraId="525BAD62" w14:textId="77777777" w:rsidR="0092760B" w:rsidRPr="00027624" w:rsidRDefault="0092760B" w:rsidP="0092760B">
      <w:pPr>
        <w:pStyle w:val="Bullet"/>
      </w:pPr>
      <w:r w:rsidRPr="00027624">
        <w:t>Broader implications from tax</w:t>
      </w:r>
      <w:r w:rsidRPr="00027624">
        <w:rPr>
          <w:bCs/>
        </w:rPr>
        <w:t>ing</w:t>
      </w:r>
      <w:r w:rsidRPr="00027624">
        <w:t xml:space="preserve"> assets, as savings would likely be shifted out of superannuation into other savings vehicles. The exact impact would depend on how much people save of the extra money that would have otherwise been an SG contribution.</w:t>
      </w:r>
    </w:p>
    <w:p w14:paraId="2217636B" w14:textId="77777777" w:rsidR="0092760B" w:rsidRPr="00027624" w:rsidRDefault="0092760B" w:rsidP="00325A8D">
      <w:pPr>
        <w:pStyle w:val="ChartMainHeading"/>
      </w:pPr>
      <w:bookmarkStart w:id="642" w:name="_Ref42006072"/>
      <w:r w:rsidRPr="00027624">
        <w:t>Projected budget impact of maintaining the SG rate at 9.5 per cent</w:t>
      </w:r>
      <w:bookmarkEnd w:id="642"/>
    </w:p>
    <w:p w14:paraId="764DB90A" w14:textId="77777777" w:rsidR="0092760B" w:rsidRPr="00027624" w:rsidRDefault="00634101" w:rsidP="002A2FAE">
      <w:pPr>
        <w:pStyle w:val="ChartGraphic"/>
      </w:pPr>
      <w:r>
        <w:rPr>
          <w:noProof/>
        </w:rPr>
        <w:drawing>
          <wp:inline distT="0" distB="0" distL="0" distR="0" wp14:anchorId="784B973C" wp14:editId="06F5C3A6">
            <wp:extent cx="5577840" cy="2522220"/>
            <wp:effectExtent l="0" t="0" r="3810" b="0"/>
            <wp:docPr id="2002235509" name="Picture 2002235509" descr="This chart shows the components which make up the projected net fiscal impact of a 9.5 per cent SG rate relative to 12 per cent SG. There is a positive fiscal impact from higher personal income tax receipts and lower contributions tax concessions which increases between 2020 and 2025 and remains stable at almost 0.12 per cent of GDP per year to 2060. Lower superannuation earnings tax has an increasing negative fiscal impact, peaking at around 0.1 per cent in 2060. Higher Age Pension payments have an increasing negative fiscal impact, peaking close to 0.07 per cent of GDP in 2060. Increased tax revenue associated with higher savings outside of superannuation have an increasingly positive impact, peaking over 0.03 per cent of GDP by 2060." title="Chart 2D-11 Projected budget impact of maintaining the SG rate at 9.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EC0A52D" w14:textId="77777777" w:rsidR="0092760B" w:rsidRPr="00027624" w:rsidRDefault="0092760B" w:rsidP="002A2FAE">
      <w:pPr>
        <w:pStyle w:val="ChartorTableNote"/>
      </w:pPr>
      <w:r w:rsidRPr="00027624">
        <w:t xml:space="preserve">Note: </w:t>
      </w:r>
      <w:r w:rsidR="00A8443E" w:rsidRPr="00027624">
        <w:t>‘</w:t>
      </w:r>
      <w:r w:rsidRPr="00027624">
        <w:t>Tax revenue on contributions</w:t>
      </w:r>
      <w:r w:rsidR="00A8443E" w:rsidRPr="00027624">
        <w:t>’</w:t>
      </w:r>
      <w:r w:rsidRPr="00027624">
        <w:t xml:space="preserve"> includes the impact on personal income tax and taxes on superannuation contributions. Modelling assumes 100 per cent pass</w:t>
      </w:r>
      <w:r w:rsidR="00A8443E" w:rsidRPr="00027624">
        <w:noBreakHyphen/>
      </w:r>
      <w:r w:rsidRPr="00027624">
        <w:t>through to employees; Source: Estimates prepared by the review; Treasury estimated changes in taxes on contributions and earnings and Age Pension expenditure using MARIA.</w:t>
      </w:r>
    </w:p>
    <w:tbl>
      <w:tblPr>
        <w:tblStyle w:val="TableGrid"/>
        <w:tblW w:w="5000" w:type="pct"/>
        <w:shd w:val="clear" w:color="auto" w:fill="FFF8EA"/>
        <w:tblLook w:val="04A0" w:firstRow="1" w:lastRow="0" w:firstColumn="1" w:lastColumn="0" w:noHBand="0" w:noVBand="1"/>
      </w:tblPr>
      <w:tblGrid>
        <w:gridCol w:w="9070"/>
      </w:tblGrid>
      <w:tr w:rsidR="0092760B" w:rsidRPr="00027624" w14:paraId="0BC9966B" w14:textId="77777777" w:rsidTr="002A2FAE">
        <w:tc>
          <w:tcPr>
            <w:tcW w:w="5000" w:type="pct"/>
            <w:shd w:val="clear" w:color="auto" w:fill="FFF8EA"/>
          </w:tcPr>
          <w:p w14:paraId="5F8D8297" w14:textId="77777777" w:rsidR="0092760B" w:rsidRPr="00027624" w:rsidRDefault="0092760B" w:rsidP="0092760B">
            <w:pPr>
              <w:pStyle w:val="BoxHeading"/>
            </w:pPr>
            <w:r w:rsidRPr="00027624">
              <w:lastRenderedPageBreak/>
              <w:t>Modelling fiscal impacts of maintaining the SG rate</w:t>
            </w:r>
          </w:p>
          <w:p w14:paraId="52D7D37D" w14:textId="77777777" w:rsidR="0092760B" w:rsidRPr="00027624" w:rsidRDefault="0092760B" w:rsidP="002A2FAE">
            <w:r w:rsidRPr="00027624">
              <w:t>To assess impacts on the adequacy of individual outcomes under a 9.5 per cent SG rate, cameo modelling assumed 80 per cent pass</w:t>
            </w:r>
            <w:r w:rsidR="00A8443E" w:rsidRPr="00027624">
              <w:noBreakHyphen/>
            </w:r>
            <w:r w:rsidRPr="00027624">
              <w:t>through of SG to wages.</w:t>
            </w:r>
          </w:p>
          <w:p w14:paraId="3CD94D2F" w14:textId="77777777" w:rsidR="0092760B" w:rsidRPr="00027624" w:rsidRDefault="0092760B" w:rsidP="002A2FAE">
            <w:r w:rsidRPr="00027624">
              <w:t>Analysis of budget impacts presented in this section requires a broader view of the economic impacts of a</w:t>
            </w:r>
            <w:r w:rsidR="005716A1" w:rsidRPr="00027624">
              <w:t>n</w:t>
            </w:r>
            <w:r w:rsidRPr="00027624">
              <w:t xml:space="preserve"> SG increase. Costs associated with an increase in SG can either be borne by wages, company profits, employment or prices. In the absence of broader economic effects, the remaining 20 per cent of the cost of increasing SG is most likely to be borne by companies, with flow</w:t>
            </w:r>
            <w:r w:rsidR="00A8443E" w:rsidRPr="00027624">
              <w:noBreakHyphen/>
            </w:r>
            <w:r w:rsidRPr="00027624">
              <w:t>on impacts to company income tax.</w:t>
            </w:r>
          </w:p>
          <w:p w14:paraId="7772D7B1" w14:textId="77777777" w:rsidR="0092760B" w:rsidRPr="00027624" w:rsidRDefault="0092760B" w:rsidP="002A2FAE">
            <w:r w:rsidRPr="00027624">
              <w:t>For modelling purposes, the average tax rate paid on company profits is more similar to the average tax rate paid by workers</w:t>
            </w:r>
            <w:r w:rsidR="005716A1" w:rsidRPr="00027624">
              <w:t>,</w:t>
            </w:r>
            <w:r w:rsidRPr="00027624">
              <w:t xml:space="preserve"> compared to assuming the remaining 20 per cent has no tax implications. Not assuming full pass</w:t>
            </w:r>
            <w:r w:rsidR="00A8443E" w:rsidRPr="00027624">
              <w:noBreakHyphen/>
            </w:r>
            <w:r w:rsidRPr="00027624">
              <w:t>through is unrealistic as it would mean that 20 per cent of the impact is not passed through to any part of the economy and is untaxed in any form. Modelling of budget effects therefore assumes 100 per cent pass</w:t>
            </w:r>
            <w:r w:rsidR="00A8443E" w:rsidRPr="00027624">
              <w:noBreakHyphen/>
            </w:r>
            <w:r w:rsidRPr="00027624">
              <w:t>through.</w:t>
            </w:r>
          </w:p>
        </w:tc>
      </w:tr>
    </w:tbl>
    <w:p w14:paraId="4F9C36C0" w14:textId="77777777" w:rsidR="0092760B" w:rsidRPr="00027624" w:rsidRDefault="0092760B" w:rsidP="002A2FAE">
      <w:pPr>
        <w:pStyle w:val="Heading5"/>
        <w:spacing w:before="360"/>
      </w:pPr>
      <w:r w:rsidRPr="00027624">
        <w:t>Age Pension reliance and costs</w:t>
      </w:r>
    </w:p>
    <w:p w14:paraId="36ED4036" w14:textId="77777777" w:rsidR="0092760B" w:rsidRPr="00027624" w:rsidRDefault="0092760B" w:rsidP="002A2FAE">
      <w:r w:rsidRPr="00027624">
        <w:t>Under both a 12 per cent and 9.5 per cent SG rate, Age Pension reliance and expenditure decline over time as the retirement income system matures.</w:t>
      </w:r>
    </w:p>
    <w:p w14:paraId="46C53700" w14:textId="540336E6" w:rsidR="0092760B" w:rsidRPr="00027624" w:rsidRDefault="0092760B" w:rsidP="002A2FAE">
      <w:r w:rsidRPr="00027624">
        <w:t>Over the long term, maintaining the SG rate at 9.5 per cent is projected to result in the proportion of people receiving the Age Pension increasing by around 1.8 percentage points by 2060 (</w:t>
      </w:r>
      <w:r w:rsidRPr="00027624">
        <w:fldChar w:fldCharType="begin"/>
      </w:r>
      <w:r w:rsidRPr="00027624">
        <w:instrText xml:space="preserve"> REF _Ref38543621 \r \h  \* MERGEFORMAT </w:instrText>
      </w:r>
      <w:r w:rsidRPr="00027624">
        <w:fldChar w:fldCharType="separate"/>
      </w:r>
      <w:r w:rsidR="00891058">
        <w:t>Chart 2D-12</w:t>
      </w:r>
      <w:r w:rsidRPr="00027624">
        <w:fldChar w:fldCharType="end"/>
      </w:r>
      <w:r w:rsidRPr="00027624">
        <w:t xml:space="preserve">). The proportion of people over Age Pension </w:t>
      </w:r>
      <w:r w:rsidR="005716A1" w:rsidRPr="00027624">
        <w:t xml:space="preserve">eligibility </w:t>
      </w:r>
      <w:r w:rsidRPr="00027624">
        <w:t>age on the full</w:t>
      </w:r>
      <w:r w:rsidR="00A8443E" w:rsidRPr="00027624">
        <w:noBreakHyphen/>
      </w:r>
      <w:r w:rsidRPr="00027624">
        <w:t>rate Age Pension are projected to increase by 0.9 percentage points. Part</w:t>
      </w:r>
      <w:r w:rsidR="00A8443E" w:rsidRPr="00027624">
        <w:noBreakHyphen/>
      </w:r>
      <w:r w:rsidRPr="00027624">
        <w:t>rate Age Pension recipients are expected to increase by 0.9 percentage points.</w:t>
      </w:r>
    </w:p>
    <w:p w14:paraId="16DBDD9C" w14:textId="77777777" w:rsidR="0092760B" w:rsidRPr="00027624" w:rsidRDefault="0092760B" w:rsidP="002A2FAE">
      <w:r w:rsidRPr="00027624">
        <w:t>Maintaining the SG rate at 9.5 per cent is projected to increase Age Pension expenditure in 2060 by less than 0.1 percentage points of GDP compared with a 12 per cent SG rate (from 2.3 to 2.4 per cent of GDP).</w:t>
      </w:r>
    </w:p>
    <w:p w14:paraId="0BD15EA6" w14:textId="77777777" w:rsidR="0092760B" w:rsidRPr="00027624" w:rsidRDefault="0092760B" w:rsidP="00325A8D">
      <w:pPr>
        <w:pStyle w:val="ChartMainHeading"/>
      </w:pPr>
      <w:bookmarkStart w:id="643" w:name="_Ref38543621"/>
      <w:r w:rsidRPr="00027624">
        <w:t xml:space="preserve">Projected proportion of eligible population receiving the </w:t>
      </w:r>
      <w:bookmarkEnd w:id="643"/>
      <w:r w:rsidRPr="00027624">
        <w:t>Age Pension, 12 per cent SG rate (solid line) and 9.5 per cent SG rate (dotted line)</w:t>
      </w:r>
    </w:p>
    <w:p w14:paraId="7A28C9E3" w14:textId="77777777" w:rsidR="0092760B" w:rsidRPr="00027624" w:rsidRDefault="00634101" w:rsidP="002A2FAE">
      <w:pPr>
        <w:pStyle w:val="ChartGraphic"/>
      </w:pPr>
      <w:r>
        <w:rPr>
          <w:noProof/>
        </w:rPr>
        <w:drawing>
          <wp:inline distT="0" distB="0" distL="0" distR="0" wp14:anchorId="1D5F6BAF" wp14:editId="70B2CAC6">
            <wp:extent cx="5615940" cy="2628900"/>
            <wp:effectExtent l="0" t="0" r="3810" b="0"/>
            <wp:docPr id="2002235510" name="Picture 2002235510" descr="This chart shows the proportion of retirees over Age Pension eligibility age who are projected to receive the Age Pension. The proportion of the eligible population receiving an Age Pension is projected to decrease steadily between 2020 and 2060. Part-rate age pensioners are projected to surpass full-rate age pensioners from around 2045. There are projected to be marginally more age pensioners under a 9.5 per cent SG rate than under a 12 per cent SG rate, at 64 per cent and 62 per cent respectively by 2060." title="Chart 2D-12 Projected proportion of eligible population receiving the Age Pension, 12 per cent SG rate (solid line) and 9.5 per cent SG rate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5940" cy="2628900"/>
                    </a:xfrm>
                    <a:prstGeom prst="rect">
                      <a:avLst/>
                    </a:prstGeom>
                    <a:noFill/>
                  </pic:spPr>
                </pic:pic>
              </a:graphicData>
            </a:graphic>
          </wp:inline>
        </w:drawing>
      </w:r>
    </w:p>
    <w:p w14:paraId="09D60387" w14:textId="77777777" w:rsidR="0092760B" w:rsidRPr="00027624" w:rsidRDefault="0092760B" w:rsidP="002A2FAE">
      <w:pPr>
        <w:pStyle w:val="ChartorTableNote"/>
      </w:pPr>
      <w:r w:rsidRPr="00027624">
        <w:t>Source: Treasury estimates for the review using MARIA.</w:t>
      </w:r>
    </w:p>
    <w:p w14:paraId="72520178" w14:textId="77777777" w:rsidR="0092760B" w:rsidRPr="00027624" w:rsidRDefault="0092760B" w:rsidP="002A2FAE">
      <w:pPr>
        <w:pStyle w:val="Heading5"/>
      </w:pPr>
      <w:r w:rsidRPr="00027624">
        <w:t>Impact of the change in contributions</w:t>
      </w:r>
    </w:p>
    <w:p w14:paraId="4F0F57F9" w14:textId="23002CFC" w:rsidR="0092760B" w:rsidRPr="00027624" w:rsidRDefault="0092760B" w:rsidP="002A2FAE">
      <w:pPr>
        <w:pStyle w:val="NoSpacing"/>
        <w:spacing w:after="240"/>
      </w:pPr>
      <w:r w:rsidRPr="00027624">
        <w:t>Projections suggest that reduced superannuation contributions under a 9.5 per cent SG rate would increase government revenue (</w:t>
      </w:r>
      <w:r w:rsidRPr="00027624">
        <w:fldChar w:fldCharType="begin"/>
      </w:r>
      <w:r w:rsidRPr="00027624">
        <w:instrText xml:space="preserve"> REF _Ref42006072 \r \h  \* MERGEFORMAT </w:instrText>
      </w:r>
      <w:r w:rsidRPr="00027624">
        <w:fldChar w:fldCharType="separate"/>
      </w:r>
      <w:r w:rsidR="00891058">
        <w:t>Chart 2D-11</w:t>
      </w:r>
      <w:r w:rsidRPr="00027624">
        <w:fldChar w:fldCharType="end"/>
      </w:r>
      <w:r w:rsidRPr="00027624">
        <w:t>) due to the combined effect of:</w:t>
      </w:r>
    </w:p>
    <w:p w14:paraId="1AAEBD35" w14:textId="77777777" w:rsidR="0092760B" w:rsidRPr="00027624" w:rsidRDefault="0092760B" w:rsidP="0092760B">
      <w:pPr>
        <w:pStyle w:val="Bullet"/>
      </w:pPr>
      <w:r w:rsidRPr="00027624">
        <w:lastRenderedPageBreak/>
        <w:t>Lower taxes on concessional superannuation contributions</w:t>
      </w:r>
    </w:p>
    <w:p w14:paraId="3C9D5440" w14:textId="77777777" w:rsidR="0092760B" w:rsidRPr="00027624" w:rsidRDefault="0092760B" w:rsidP="0092760B">
      <w:pPr>
        <w:pStyle w:val="Bullet"/>
      </w:pPr>
      <w:r w:rsidRPr="00027624">
        <w:t>Higher personal income tax rates on the increase in wages that would have otherwise been paid as SG contributions</w:t>
      </w:r>
    </w:p>
    <w:p w14:paraId="7AB5E55A" w14:textId="77777777" w:rsidR="0092760B" w:rsidRPr="00027624" w:rsidRDefault="0092760B" w:rsidP="002A2FAE">
      <w:pPr>
        <w:pStyle w:val="Bullet"/>
        <w:numPr>
          <w:ilvl w:val="0"/>
          <w:numId w:val="0"/>
        </w:numPr>
      </w:pPr>
      <w:r w:rsidRPr="00027624">
        <w:t>Switching SG contributions to wages increases total taxes as marginal income tax rates are generally higher than contributions taxes on superannuation (as contributions are taxed concessionally). The projected annual fiscal impact of this component is 0.1 per cent of GDP, with the majority of the increase in revenue occurring during the period in which the 12 per cent SG rate is phased in, reflecting the higher income tax collections from maintaining the SG rate at 9.5 per cent.</w:t>
      </w:r>
    </w:p>
    <w:p w14:paraId="2F2CA030" w14:textId="77777777" w:rsidR="0092760B" w:rsidRPr="00027624" w:rsidRDefault="0092760B" w:rsidP="002A2FAE">
      <w:r w:rsidRPr="00027624">
        <w:t>The modelling assumes that some people would increase their voluntary concessional contributions (salary sacrifice or personal deductible contributions) as a result of the SG change. Only people who make voluntary contributions are assumed to make this adjustment. As a result, about 20 per cent of the lower SG contributions would be offset by higher voluntary contributions.</w:t>
      </w:r>
    </w:p>
    <w:p w14:paraId="5E0A19E4" w14:textId="77777777" w:rsidR="0092760B" w:rsidRPr="00027624" w:rsidRDefault="0092760B" w:rsidP="002A2FAE">
      <w:r w:rsidRPr="00027624">
        <w:t xml:space="preserve">The modelling </w:t>
      </w:r>
      <w:r w:rsidR="005A67EA" w:rsidRPr="00027624">
        <w:t xml:space="preserve">also allows for </w:t>
      </w:r>
      <w:r w:rsidRPr="00027624">
        <w:t>a small interaction between the SG and voluntary savings, where people may save less through non</w:t>
      </w:r>
      <w:r w:rsidR="00A8443E" w:rsidRPr="00027624">
        <w:noBreakHyphen/>
      </w:r>
      <w:r w:rsidRPr="00027624">
        <w:t xml:space="preserve">concessional contributions. In particular, some </w:t>
      </w:r>
      <w:r w:rsidR="00D50CC0" w:rsidRPr="00027624">
        <w:t>people</w:t>
      </w:r>
      <w:r w:rsidRPr="00027624">
        <w:t xml:space="preserve"> are expected to switch from non</w:t>
      </w:r>
      <w:r w:rsidR="00A8443E" w:rsidRPr="00027624">
        <w:noBreakHyphen/>
      </w:r>
      <w:r w:rsidRPr="00027624">
        <w:t xml:space="preserve">concessional contributions to concessional contributions because the </w:t>
      </w:r>
      <w:r w:rsidR="00404B9D" w:rsidRPr="00027624">
        <w:t>contributions cap</w:t>
      </w:r>
      <w:r w:rsidRPr="00027624">
        <w:t>s will allow for more voluntary contributions under a lower SG rate. The decline in non</w:t>
      </w:r>
      <w:r w:rsidR="00A8443E" w:rsidRPr="00027624">
        <w:noBreakHyphen/>
      </w:r>
      <w:r w:rsidRPr="00027624">
        <w:t>concessional contributions also arises due to a wealth effect in the model. That is, because people have lower assets due to a lower SG rate, they also save less through other savings mechanisms.</w:t>
      </w:r>
    </w:p>
    <w:p w14:paraId="44903278" w14:textId="77777777" w:rsidR="0092760B" w:rsidRPr="00027624" w:rsidRDefault="0092760B" w:rsidP="002A2FAE">
      <w:pPr>
        <w:pStyle w:val="Heading5"/>
      </w:pPr>
      <w:r w:rsidRPr="00027624">
        <w:t>Impact of change in earnings</w:t>
      </w:r>
    </w:p>
    <w:p w14:paraId="6AECFBFC" w14:textId="6A18B9EF" w:rsidR="0092760B" w:rsidRPr="00027624" w:rsidRDefault="0092760B" w:rsidP="002A2FAE">
      <w:r w:rsidRPr="00027624">
        <w:t>Maintaining the SG rate at 9.5 per cent would reduce the size of superannuation balances. This, in turn, would result in a lower level of concessional earnings tax. Taxes on superannuation earnings are projected to be about 0.1 per cent of GDP lower per year by 2060 (</w:t>
      </w:r>
      <w:r w:rsidRPr="00027624">
        <w:fldChar w:fldCharType="begin"/>
      </w:r>
      <w:r w:rsidRPr="00027624">
        <w:instrText xml:space="preserve"> REF _Ref42006072 \r \h  \* MERGEFORMAT </w:instrText>
      </w:r>
      <w:r w:rsidRPr="00027624">
        <w:fldChar w:fldCharType="separate"/>
      </w:r>
      <w:r w:rsidR="00891058">
        <w:t>Chart 2D-11</w:t>
      </w:r>
      <w:r w:rsidRPr="00027624">
        <w:fldChar w:fldCharType="end"/>
      </w:r>
      <w:r w:rsidRPr="00027624">
        <w:t>).</w:t>
      </w:r>
    </w:p>
    <w:p w14:paraId="208BDCF3" w14:textId="77777777" w:rsidR="0092760B" w:rsidRPr="00027624" w:rsidRDefault="0092760B" w:rsidP="002A2FAE">
      <w:r w:rsidRPr="00027624">
        <w:t>In addition, people would likely save more outside superannuation. An indicative estimate from higher savings outside superannuation is about a third of 0.1 per cent of GDP a year by 2060. This is affected by:</w:t>
      </w:r>
    </w:p>
    <w:p w14:paraId="30A8070F" w14:textId="77777777" w:rsidR="0092760B" w:rsidRPr="00027624" w:rsidRDefault="0092760B" w:rsidP="0092760B">
      <w:pPr>
        <w:pStyle w:val="Bullet"/>
      </w:pPr>
      <w:r w:rsidRPr="00027624">
        <w:t>The proportion of additional income that would otherwise have been contributed as SG.</w:t>
      </w:r>
    </w:p>
    <w:p w14:paraId="39238771" w14:textId="77777777" w:rsidR="0092760B" w:rsidRPr="00027624" w:rsidRDefault="0092760B" w:rsidP="000F6C72">
      <w:pPr>
        <w:pStyle w:val="Dash"/>
      </w:pPr>
      <w:r w:rsidRPr="00027624">
        <w:t xml:space="preserve">Modelling in this section uses results from </w:t>
      </w:r>
      <w:sdt>
        <w:sdtPr>
          <w:id w:val="-751039371"/>
          <w:citation/>
        </w:sdtPr>
        <w:sdtEndPr/>
        <w:sdtContent>
          <w:r w:rsidRPr="00027624">
            <w:fldChar w:fldCharType="begin"/>
          </w:r>
          <w:r w:rsidRPr="00027624">
            <w:instrText xml:space="preserve"> CITATION Con07 \l 3081 </w:instrText>
          </w:r>
          <w:r w:rsidRPr="00027624">
            <w:fldChar w:fldCharType="separate"/>
          </w:r>
          <w:r w:rsidR="00E83F6E">
            <w:rPr>
              <w:noProof/>
            </w:rPr>
            <w:t>(Connolly, 2007)</w:t>
          </w:r>
          <w:r w:rsidRPr="00027624">
            <w:fldChar w:fldCharType="end"/>
          </w:r>
        </w:sdtContent>
      </w:sdt>
      <w:r w:rsidRPr="00027624">
        <w:t xml:space="preserve"> and </w:t>
      </w:r>
      <w:sdt>
        <w:sdtPr>
          <w:id w:val="-459652471"/>
          <w:citation/>
        </w:sdtPr>
        <w:sdtEndPr/>
        <w:sdtContent>
          <w:r w:rsidRPr="00027624">
            <w:fldChar w:fldCharType="begin"/>
          </w:r>
          <w:r w:rsidRPr="00027624">
            <w:instrText xml:space="preserve"> CITATION Rut20 \l 3081 </w:instrText>
          </w:r>
          <w:r w:rsidRPr="00027624">
            <w:fldChar w:fldCharType="separate"/>
          </w:r>
          <w:r w:rsidR="00E83F6E">
            <w:rPr>
              <w:noProof/>
            </w:rPr>
            <w:t>(Ruthbah &amp; Pham, 2020a)</w:t>
          </w:r>
          <w:r w:rsidRPr="00027624">
            <w:fldChar w:fldCharType="end"/>
          </w:r>
        </w:sdtContent>
      </w:sdt>
      <w:r w:rsidRPr="00027624">
        <w:t>, which show about 30 per cent of a change in SG is offset by voluntary savings. People are assumed to save 30 per cent, on average, of the change in SG contributions.</w:t>
      </w:r>
      <w:r w:rsidRPr="00027624">
        <w:rPr>
          <w:rStyle w:val="FootnoteReference"/>
        </w:rPr>
        <w:footnoteReference w:id="113"/>
      </w:r>
      <w:r w:rsidRPr="00027624">
        <w:t xml:space="preserve"> In the modelling of non</w:t>
      </w:r>
      <w:r w:rsidR="00A8443E" w:rsidRPr="00027624">
        <w:noBreakHyphen/>
      </w:r>
      <w:r w:rsidRPr="00027624">
        <w:t>superannuation savings, earners in the top two tax brackets are assumed to save 40 per cent of the forgone SG contributions, whereas lower</w:t>
      </w:r>
      <w:r w:rsidR="00A8443E" w:rsidRPr="00027624">
        <w:noBreakHyphen/>
      </w:r>
      <w:r w:rsidRPr="00027624">
        <w:t xml:space="preserve">income earners save less than average. Differences across income are consistent with </w:t>
      </w:r>
      <w:sdt>
        <w:sdtPr>
          <w:id w:val="-545447278"/>
          <w:citation/>
        </w:sdtPr>
        <w:sdtEndPr/>
        <w:sdtContent>
          <w:r w:rsidRPr="00027624">
            <w:fldChar w:fldCharType="begin"/>
          </w:r>
          <w:r w:rsidRPr="00027624">
            <w:instrText xml:space="preserve"> CITATION Con07 \l 3081 </w:instrText>
          </w:r>
          <w:r w:rsidRPr="00027624">
            <w:fldChar w:fldCharType="separate"/>
          </w:r>
          <w:r w:rsidR="00E83F6E">
            <w:rPr>
              <w:noProof/>
            </w:rPr>
            <w:t>(Connolly, 2007)</w:t>
          </w:r>
          <w:r w:rsidRPr="00027624">
            <w:fldChar w:fldCharType="end"/>
          </w:r>
        </w:sdtContent>
      </w:sdt>
      <w:r w:rsidRPr="00027624">
        <w:t xml:space="preserve"> and how savings rates differ across income</w:t>
      </w:r>
      <w:sdt>
        <w:sdtPr>
          <w:id w:val="285096781"/>
          <w:citation/>
        </w:sdtPr>
        <w:sdtEndPr/>
        <w:sdtContent>
          <w:r w:rsidRPr="00027624">
            <w:fldChar w:fldCharType="begin"/>
          </w:r>
          <w:r w:rsidRPr="00027624">
            <w:instrText xml:space="preserve">CITATION Finlay14 \l 3081 </w:instrText>
          </w:r>
          <w:r w:rsidRPr="00027624">
            <w:fldChar w:fldCharType="separate"/>
          </w:r>
          <w:r w:rsidR="00E83F6E">
            <w:rPr>
              <w:noProof/>
            </w:rPr>
            <w:t xml:space="preserve"> (Finlay &amp; Price, 2014)</w:t>
          </w:r>
          <w:r w:rsidRPr="00027624">
            <w:fldChar w:fldCharType="end"/>
          </w:r>
        </w:sdtContent>
      </w:sdt>
      <w:r w:rsidRPr="00027624">
        <w:t>.</w:t>
      </w:r>
    </w:p>
    <w:p w14:paraId="230FCE59" w14:textId="77777777" w:rsidR="0092760B" w:rsidRPr="00027624" w:rsidRDefault="0092760B" w:rsidP="002A2FAE">
      <w:pPr>
        <w:pStyle w:val="Dash"/>
      </w:pPr>
      <w:r w:rsidRPr="00027624">
        <w:t>The extra income is otherwise assumed to be spent, including possibly on the family home. Where additional income is spent, consumption taxes such as the GST may apply, but these are not factored into the fiscal estimates. Revenue collected as GST is ultimately distributed to state and territory governments.</w:t>
      </w:r>
    </w:p>
    <w:p w14:paraId="306BED12" w14:textId="77777777" w:rsidR="0092760B" w:rsidRPr="00027624" w:rsidRDefault="0092760B" w:rsidP="0092760B">
      <w:pPr>
        <w:pStyle w:val="Bullet"/>
      </w:pPr>
      <w:r w:rsidRPr="00027624">
        <w:t>The tax arrangements on savings vehicles and the return on those savings. For example, savings in a bank account are taxed at marginal tax rates, while savings in domestic shares may be subject to capital gains discount and receive franking credits.</w:t>
      </w:r>
    </w:p>
    <w:p w14:paraId="3772A2FB" w14:textId="77777777" w:rsidR="0092760B" w:rsidRPr="00027624" w:rsidRDefault="0092760B" w:rsidP="002A2FAE">
      <w:pPr>
        <w:pStyle w:val="Dash"/>
      </w:pPr>
      <w:r w:rsidRPr="00027624">
        <w:lastRenderedPageBreak/>
        <w:t xml:space="preserve">Tax paid on investments outside superannuation are based on modified results from </w:t>
      </w:r>
      <w:r w:rsidRPr="00027624">
        <w:rPr>
          <w:noProof/>
        </w:rPr>
        <w:t>data provided to the review by the Tax and Transfer Policy Institute.</w:t>
      </w:r>
      <w:r w:rsidRPr="00027624">
        <w:t xml:space="preserve"> Tax rates by investment vehicle are adjusted to be consistent with the fiscal impacts on the Commonwealth budget and assume a 15</w:t>
      </w:r>
      <w:r w:rsidR="00A8443E" w:rsidRPr="00027624">
        <w:noBreakHyphen/>
      </w:r>
      <w:r w:rsidRPr="00027624">
        <w:t>year holding period. Investment portfolios are based on people</w:t>
      </w:r>
      <w:r w:rsidR="00A8443E" w:rsidRPr="00027624">
        <w:t>’</w:t>
      </w:r>
      <w:r w:rsidRPr="00027624">
        <w:t>s actual assets.</w:t>
      </w:r>
      <w:r w:rsidRPr="00027624">
        <w:rPr>
          <w:rStyle w:val="FootnoteReference"/>
        </w:rPr>
        <w:footnoteReference w:id="114"/>
      </w:r>
      <w:r w:rsidRPr="00027624">
        <w:t xml:space="preserve"> Both tax rates and investment portfolios are adjusted for income tax brackets. As a result, just over half of earnings are assumed to flow through to taxable income.</w:t>
      </w:r>
    </w:p>
    <w:p w14:paraId="43E3500C" w14:textId="77777777" w:rsidR="0092760B" w:rsidRPr="00027624" w:rsidRDefault="0092760B" w:rsidP="002A2FAE">
      <w:pPr>
        <w:pStyle w:val="Heading4"/>
      </w:pPr>
      <w:r w:rsidRPr="00027624">
        <w:t>Superannuation assets and fees</w:t>
      </w:r>
    </w:p>
    <w:p w14:paraId="0282C689" w14:textId="4F44126C" w:rsidR="0092760B" w:rsidRPr="00027624" w:rsidRDefault="0092760B" w:rsidP="002A2FAE">
      <w:r w:rsidRPr="00027624">
        <w:t>Superannuation fees are a cost of the retirement income system, which is borne directly by fund members. Maintaining the SG rate at 9.5 per cent is projected to reduce superannuation fees by 0.1 per cent of GDP by 2059 as a result of lower total funds under management (</w:t>
      </w:r>
      <w:r w:rsidRPr="00027624">
        <w:fldChar w:fldCharType="begin"/>
      </w:r>
      <w:r w:rsidRPr="00027624">
        <w:instrText xml:space="preserve"> REF _Ref43368171 \r \h  \* MERGEFORMAT </w:instrText>
      </w:r>
      <w:r w:rsidRPr="00027624">
        <w:fldChar w:fldCharType="separate"/>
      </w:r>
      <w:r w:rsidR="00891058">
        <w:t>Chart 2D-13</w:t>
      </w:r>
      <w:r w:rsidRPr="00027624">
        <w:fldChar w:fldCharType="end"/>
      </w:r>
      <w:r w:rsidRPr="00027624">
        <w:t>). The reduction in total fees borne by members would be larger than the projected increase in Age Pension expenditure.</w:t>
      </w:r>
    </w:p>
    <w:p w14:paraId="6E073801" w14:textId="77777777" w:rsidR="0092760B" w:rsidRPr="00027624" w:rsidRDefault="0092760B" w:rsidP="00325A8D">
      <w:pPr>
        <w:pStyle w:val="ChartMainHeading"/>
      </w:pPr>
      <w:bookmarkStart w:id="644" w:name="_Ref43368171"/>
      <w:r w:rsidRPr="00027624">
        <w:t>Projected superannuation fees as a percentage of GDP, with 12 per cent SG rate (solid line) and 9.5 per cent SG rate (dotted line)</w:t>
      </w:r>
      <w:bookmarkEnd w:id="644"/>
    </w:p>
    <w:p w14:paraId="25FC6E16" w14:textId="77777777" w:rsidR="0092760B" w:rsidRPr="00027624" w:rsidRDefault="00634101" w:rsidP="002A2FAE">
      <w:pPr>
        <w:pStyle w:val="ChartGraphic"/>
      </w:pPr>
      <w:r>
        <w:rPr>
          <w:noProof/>
        </w:rPr>
        <w:drawing>
          <wp:inline distT="0" distB="0" distL="0" distR="0" wp14:anchorId="161A0299" wp14:editId="7EE25403">
            <wp:extent cx="5562600" cy="2522220"/>
            <wp:effectExtent l="0" t="0" r="0" b="0"/>
            <wp:docPr id="2002235513" name="Picture 2002235513" descr="This chart shows that superannuation fees as a percentage of GDP are projected to fall between 2020 and 2029 before stabilising and increasing slightly by 2059 with a 12 per cent SG rate. Fees as a percentage of GDP are projected to be lower under 9.5 per cent SG rate by about 0.1 per cent of GDP." title="Chart 2D-13 Projected superannuation fees as a percentage of GDP, with 12 per cent SG rate (solid line) and 9.5 per cent SG rate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62600" cy="2522220"/>
                    </a:xfrm>
                    <a:prstGeom prst="rect">
                      <a:avLst/>
                    </a:prstGeom>
                    <a:noFill/>
                  </pic:spPr>
                </pic:pic>
              </a:graphicData>
            </a:graphic>
          </wp:inline>
        </w:drawing>
      </w:r>
    </w:p>
    <w:p w14:paraId="601805CD" w14:textId="77777777" w:rsidR="0092760B" w:rsidRPr="00027624" w:rsidRDefault="0092760B" w:rsidP="002A2FAE">
      <w:pPr>
        <w:pStyle w:val="ChartorTableNote"/>
      </w:pPr>
      <w:r w:rsidRPr="00027624">
        <w:t>Source: Analysis of Rice Warner estimates for the review.</w:t>
      </w:r>
    </w:p>
    <w:p w14:paraId="14A37213" w14:textId="3082C801" w:rsidR="0092760B" w:rsidRPr="00027624" w:rsidRDefault="0092760B" w:rsidP="002A2FAE">
      <w:r w:rsidRPr="00027624">
        <w:t>Over time, maintaining the SG rate at 9.5 per cent would reduce the level of superannuation assets held in defined contribution accounts (</w:t>
      </w:r>
      <w:r w:rsidRPr="00027624">
        <w:fldChar w:fldCharType="begin"/>
      </w:r>
      <w:r w:rsidRPr="00027624">
        <w:instrText xml:space="preserve"> REF _Ref44690828 \r \h  \* MERGEFORMAT </w:instrText>
      </w:r>
      <w:r w:rsidRPr="00027624">
        <w:fldChar w:fldCharType="separate"/>
      </w:r>
      <w:r w:rsidR="00891058">
        <w:t>Chart 2D-14</w:t>
      </w:r>
      <w:r w:rsidRPr="00027624">
        <w:fldChar w:fldCharType="end"/>
      </w:r>
      <w:r w:rsidRPr="00027624">
        <w:t>).</w:t>
      </w:r>
    </w:p>
    <w:p w14:paraId="5D5C0C41" w14:textId="77777777" w:rsidR="0092760B" w:rsidRPr="00027624" w:rsidRDefault="0092760B" w:rsidP="00325A8D">
      <w:pPr>
        <w:pStyle w:val="ChartMainHeading"/>
      </w:pPr>
      <w:bookmarkStart w:id="645" w:name="_Ref44690828"/>
      <w:r w:rsidRPr="00027624">
        <w:lastRenderedPageBreak/>
        <w:t>Projected value of total superannuation assets, with 12 per cent SG rate (solid line) and 9.5 per cent SG rate (dotted line)</w:t>
      </w:r>
      <w:bookmarkEnd w:id="645"/>
    </w:p>
    <w:p w14:paraId="2F4F1326" w14:textId="77777777" w:rsidR="0092760B" w:rsidRPr="00027624" w:rsidRDefault="00D86B97" w:rsidP="002A2FAE">
      <w:pPr>
        <w:pStyle w:val="ChartGraphic"/>
      </w:pPr>
      <w:r>
        <w:rPr>
          <w:noProof/>
        </w:rPr>
        <w:drawing>
          <wp:inline distT="0" distB="0" distL="0" distR="0" wp14:anchorId="4BBDEC47" wp14:editId="501E3CEE">
            <wp:extent cx="5577840" cy="2522220"/>
            <wp:effectExtent l="0" t="0" r="3810" b="0"/>
            <wp:docPr id="2002235515" name="Picture 2002235515" descr="This chart shows that superannuation assets are projected to increase from around 116 per cent of GDP to around 245 per cent of GDP by 2060 with a 12 per cent SG rate, and 224 per cent of GDP by 2060 with a 9.5 per cent SG rate. " title="Chart 2D-14 Projected value of total superannuation assets, with 12 per cent SG rate (solid line) and 9.5 per cent SG rate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079E641D" w14:textId="77777777" w:rsidR="0092760B" w:rsidRPr="00027624" w:rsidRDefault="0092760B" w:rsidP="002A2FAE">
      <w:pPr>
        <w:pStyle w:val="ChartorTableNote"/>
      </w:pPr>
      <w:r w:rsidRPr="00027624">
        <w:t xml:space="preserve">Note: Includes superannuation balances for defined contribution funds for </w:t>
      </w:r>
      <w:r w:rsidR="00D50CC0" w:rsidRPr="00027624">
        <w:t>people</w:t>
      </w:r>
      <w:r w:rsidRPr="00027624">
        <w:t xml:space="preserve"> over 25 years. Excludes defined benefits, regulatory capital and life office statutory funds. Source: Treasury estimates for the review using MARIA.</w:t>
      </w:r>
    </w:p>
    <w:bookmarkEnd w:id="601"/>
    <w:p w14:paraId="62734EB3" w14:textId="77777777" w:rsidR="0092760B" w:rsidRPr="00027624" w:rsidRDefault="0092760B" w:rsidP="002A2FAE">
      <w:r w:rsidRPr="00027624">
        <w:rPr>
          <w:b/>
          <w:bCs/>
        </w:rPr>
        <w:br w:type="page"/>
      </w:r>
    </w:p>
    <w:p w14:paraId="7C9F22A2" w14:textId="77777777" w:rsidR="0092760B" w:rsidRPr="00027624" w:rsidRDefault="003767FD">
      <w:pPr>
        <w:pStyle w:val="Heading2"/>
        <w:rPr>
          <w:i/>
        </w:rPr>
      </w:pPr>
      <w:bookmarkStart w:id="646" w:name="_Toc45520480"/>
      <w:bookmarkStart w:id="647" w:name="_Toc46133591"/>
      <w:bookmarkStart w:id="648" w:name="_Toc34645032"/>
      <w:r w:rsidRPr="00027624">
        <w:rPr>
          <w:i/>
        </w:rPr>
        <w:lastRenderedPageBreak/>
        <w:t>Annex</w:t>
      </w:r>
      <w:r w:rsidR="00A8443E" w:rsidRPr="00027624">
        <w:rPr>
          <w:i/>
        </w:rPr>
        <w:t xml:space="preserve"> — </w:t>
      </w:r>
      <w:r w:rsidR="0092760B" w:rsidRPr="00027624">
        <w:rPr>
          <w:i/>
        </w:rPr>
        <w:t>modelling supplement</w:t>
      </w:r>
      <w:bookmarkEnd w:id="646"/>
      <w:bookmarkEnd w:id="647"/>
    </w:p>
    <w:p w14:paraId="0000997E" w14:textId="77777777" w:rsidR="0092760B" w:rsidRPr="00027624" w:rsidRDefault="0092760B" w:rsidP="002A2FAE">
      <w:r w:rsidRPr="00027624">
        <w:t xml:space="preserve">This Annex provides additional detail that extends the analysis provided in </w:t>
      </w:r>
      <w:r w:rsidRPr="00027624">
        <w:rPr>
          <w:i/>
          <w:iCs/>
        </w:rPr>
        <w:t>2D. Policy scenario: Implications of maintaining the SG rate</w:t>
      </w:r>
      <w:r w:rsidRPr="00027624">
        <w:t xml:space="preserve">. It includes: </w:t>
      </w:r>
    </w:p>
    <w:p w14:paraId="320D14F9" w14:textId="77777777" w:rsidR="0092760B" w:rsidRPr="00027624" w:rsidRDefault="0092760B" w:rsidP="0092760B">
      <w:pPr>
        <w:pStyle w:val="Bullet"/>
      </w:pPr>
      <w:r w:rsidRPr="00027624">
        <w:t>Additional analysis of the impact on receipt of other payments</w:t>
      </w:r>
    </w:p>
    <w:p w14:paraId="3AEA4FA7" w14:textId="77777777" w:rsidR="0092760B" w:rsidRPr="00027624" w:rsidRDefault="0092760B" w:rsidP="0092760B">
      <w:pPr>
        <w:pStyle w:val="Bullet"/>
      </w:pPr>
      <w:r w:rsidRPr="00027624">
        <w:t>Sensitivity analysis of replacement rates delivered under a range of circumstances</w:t>
      </w:r>
    </w:p>
    <w:p w14:paraId="49FE8DF6" w14:textId="77777777" w:rsidR="0092760B" w:rsidRPr="00027624" w:rsidRDefault="0092760B" w:rsidP="0092760B">
      <w:pPr>
        <w:pStyle w:val="Bullet"/>
      </w:pPr>
      <w:r w:rsidRPr="00027624">
        <w:t>Sensitivity analysis of the working life–retirement income trade</w:t>
      </w:r>
      <w:r w:rsidR="00A8443E" w:rsidRPr="00027624">
        <w:noBreakHyphen/>
      </w:r>
      <w:r w:rsidRPr="00027624">
        <w:t>off</w:t>
      </w:r>
    </w:p>
    <w:p w14:paraId="4598FD78" w14:textId="77777777" w:rsidR="0092760B" w:rsidRPr="00027624" w:rsidRDefault="0092760B" w:rsidP="0092760B">
      <w:pPr>
        <w:pStyle w:val="Bullet"/>
      </w:pPr>
      <w:r w:rsidRPr="00027624">
        <w:t>Sensitivity analysis of the fiscal impact of maintaining the SG rate at 9.5 per cent</w:t>
      </w:r>
    </w:p>
    <w:p w14:paraId="1940BC0A" w14:textId="77777777" w:rsidR="0092760B" w:rsidRPr="00027624" w:rsidRDefault="0092760B" w:rsidP="0092760B">
      <w:pPr>
        <w:pStyle w:val="Bullet"/>
      </w:pPr>
      <w:r w:rsidRPr="00027624">
        <w:t>Additional modelling by Rice Warner</w:t>
      </w:r>
    </w:p>
    <w:p w14:paraId="637A7E22" w14:textId="77777777" w:rsidR="0092760B" w:rsidRPr="00027624" w:rsidRDefault="0092760B">
      <w:pPr>
        <w:pStyle w:val="Heading3"/>
      </w:pPr>
      <w:r w:rsidRPr="00027624">
        <w:t>Changes in other payments due to an SG change</w:t>
      </w:r>
    </w:p>
    <w:p w14:paraId="6D45C886" w14:textId="77777777" w:rsidR="0092760B" w:rsidRPr="00027624" w:rsidRDefault="0092760B" w:rsidP="002A2FAE">
      <w:r w:rsidRPr="00027624">
        <w:t>A change to the SG can affect people</w:t>
      </w:r>
      <w:r w:rsidR="00A8443E" w:rsidRPr="00027624">
        <w:t>’</w:t>
      </w:r>
      <w:r w:rsidRPr="00027624">
        <w:t>s eligibility for certain government payments. For example, FTB and HECS/HELP repayments are calculated using an alternative income definition called Adjusted Taxable Income. This definition includes wages as income, but it excludes the value of SG payments.</w:t>
      </w:r>
    </w:p>
    <w:p w14:paraId="292AA548" w14:textId="395E2D7A" w:rsidR="0092760B" w:rsidRPr="00027624" w:rsidRDefault="0092760B" w:rsidP="002A2FAE">
      <w:r w:rsidRPr="00027624">
        <w:t xml:space="preserve">Maintaining the SG rate at 9.5 per cent would result in people having more wage income and, in turn, a higher Adjusted Taxable Income, which may reduce FTB </w:t>
      </w:r>
      <w:r w:rsidR="00121600" w:rsidRPr="00027624">
        <w:t xml:space="preserve">and Child Care Subsidy (CCS) </w:t>
      </w:r>
      <w:r w:rsidRPr="00027624">
        <w:t>entitlements (</w:t>
      </w:r>
      <w:r w:rsidRPr="00027624">
        <w:fldChar w:fldCharType="begin"/>
      </w:r>
      <w:r w:rsidRPr="00027624">
        <w:instrText xml:space="preserve"> REF _Ref40189447 \r \h  \* MERGEFORMAT </w:instrText>
      </w:r>
      <w:r w:rsidRPr="00027624">
        <w:fldChar w:fldCharType="separate"/>
      </w:r>
      <w:r w:rsidR="00891058">
        <w:t>Chart 2D-15</w:t>
      </w:r>
      <w:r w:rsidRPr="00027624">
        <w:fldChar w:fldCharType="end"/>
      </w:r>
      <w:r w:rsidRPr="00027624">
        <w:t>). The</w:t>
      </w:r>
      <w:r w:rsidR="00121600" w:rsidRPr="00027624">
        <w:t xml:space="preserve"> means</w:t>
      </w:r>
      <w:r w:rsidR="00A8443E" w:rsidRPr="00027624">
        <w:noBreakHyphen/>
      </w:r>
      <w:r w:rsidR="00121600" w:rsidRPr="00027624">
        <w:t xml:space="preserve">testing arrangements </w:t>
      </w:r>
      <w:r w:rsidRPr="00027624">
        <w:t>result in different impacts across the income distribution.</w:t>
      </w:r>
    </w:p>
    <w:p w14:paraId="64138482" w14:textId="77777777" w:rsidR="0092760B" w:rsidRPr="00027624" w:rsidRDefault="0092760B" w:rsidP="0092760B">
      <w:pPr>
        <w:pStyle w:val="Bullet"/>
      </w:pPr>
      <w:r w:rsidRPr="00027624">
        <w:t>Lower</w:t>
      </w:r>
      <w:r w:rsidR="00A8443E" w:rsidRPr="00027624">
        <w:noBreakHyphen/>
      </w:r>
      <w:r w:rsidRPr="00027624">
        <w:t>income couples in the 10</w:t>
      </w:r>
      <w:r w:rsidRPr="00027624">
        <w:rPr>
          <w:vertAlign w:val="superscript"/>
        </w:rPr>
        <w:t>th</w:t>
      </w:r>
      <w:r w:rsidRPr="00027624">
        <w:t xml:space="preserve"> percentile would lose 22 per cent of their additional disposable income with the SG rate staying at 9.5 per cent due to lower FTB</w:t>
      </w:r>
      <w:r w:rsidR="00121600" w:rsidRPr="00027624">
        <w:t xml:space="preserve"> and CCS</w:t>
      </w:r>
      <w:r w:rsidRPr="00027624">
        <w:t xml:space="preserve"> payments. The effect falls as income increases, with the 30</w:t>
      </w:r>
      <w:r w:rsidRPr="00027624">
        <w:rPr>
          <w:vertAlign w:val="superscript"/>
        </w:rPr>
        <w:t>th</w:t>
      </w:r>
      <w:r w:rsidRPr="00027624">
        <w:t xml:space="preserve"> percentile couple having a 5 per cent offset through lower FTB payments. Lower</w:t>
      </w:r>
      <w:r w:rsidR="00A8443E" w:rsidRPr="00027624">
        <w:noBreakHyphen/>
      </w:r>
      <w:r w:rsidRPr="00027624">
        <w:t>income single parents would be less affected as their incomes are more likely to be below thresholds where payments begin to withdraw.</w:t>
      </w:r>
    </w:p>
    <w:p w14:paraId="5BCF68C2" w14:textId="77777777" w:rsidR="0092760B" w:rsidRPr="00027624" w:rsidRDefault="0092760B" w:rsidP="0092760B">
      <w:pPr>
        <w:pStyle w:val="Bullet"/>
      </w:pPr>
      <w:r w:rsidRPr="00027624">
        <w:t>Middle</w:t>
      </w:r>
      <w:r w:rsidR="00A8443E" w:rsidRPr="00027624">
        <w:noBreakHyphen/>
      </w:r>
      <w:r w:rsidRPr="00027624">
        <w:t>income couples would have a small reduction in FTB</w:t>
      </w:r>
      <w:r w:rsidR="00121600" w:rsidRPr="00027624">
        <w:t xml:space="preserve"> and CCS</w:t>
      </w:r>
      <w:r w:rsidRPr="00027624">
        <w:t xml:space="preserve"> income as a result of higher relative working</w:t>
      </w:r>
      <w:r w:rsidR="00A8443E" w:rsidRPr="00027624">
        <w:noBreakHyphen/>
      </w:r>
      <w:r w:rsidRPr="00027624">
        <w:t>life income over the longer run, equivalent to 1</w:t>
      </w:r>
      <w:r w:rsidR="00A8443E" w:rsidRPr="00027624">
        <w:noBreakHyphen/>
      </w:r>
      <w:r w:rsidRPr="00027624">
        <w:t>2 per cent of the increase in disposable income. Middle</w:t>
      </w:r>
      <w:r w:rsidR="00A8443E" w:rsidRPr="00027624">
        <w:noBreakHyphen/>
      </w:r>
      <w:r w:rsidRPr="00027624">
        <w:t>income single parents would have 5</w:t>
      </w:r>
      <w:r w:rsidR="00A8443E" w:rsidRPr="00027624">
        <w:noBreakHyphen/>
      </w:r>
      <w:r w:rsidRPr="00027624">
        <w:t>21 per cent of the SG impact offset through lower family payments.</w:t>
      </w:r>
    </w:p>
    <w:p w14:paraId="3EF2CC25" w14:textId="77777777" w:rsidR="0092760B" w:rsidRPr="00027624" w:rsidRDefault="0092760B" w:rsidP="0092760B">
      <w:pPr>
        <w:pStyle w:val="Bullet"/>
      </w:pPr>
      <w:r w:rsidRPr="00027624">
        <w:t>Higher</w:t>
      </w:r>
      <w:r w:rsidR="00A8443E" w:rsidRPr="00027624">
        <w:noBreakHyphen/>
      </w:r>
      <w:r w:rsidRPr="00027624">
        <w:t>income families would have little impact on their family payments as they only access family payments for a limited number of years.</w:t>
      </w:r>
    </w:p>
    <w:p w14:paraId="038E6FFA" w14:textId="77777777" w:rsidR="0092760B" w:rsidRPr="00027624" w:rsidRDefault="0092760B" w:rsidP="002A2FAE">
      <w:pPr>
        <w:pStyle w:val="Bullet"/>
        <w:numPr>
          <w:ilvl w:val="0"/>
          <w:numId w:val="0"/>
        </w:numPr>
      </w:pPr>
      <w:r w:rsidRPr="00027624">
        <w:t>The rate at which family payments are withdrawn can exceed 40 per cent when combined across FTB Part A and B, and the Child Care Subsidy. In practice, actual impacts on working</w:t>
      </w:r>
      <w:r w:rsidR="00A8443E" w:rsidRPr="00027624">
        <w:noBreakHyphen/>
      </w:r>
      <w:r w:rsidRPr="00027624">
        <w:t>life income are lower as:</w:t>
      </w:r>
    </w:p>
    <w:p w14:paraId="0A6A76B5" w14:textId="77777777" w:rsidR="0092760B" w:rsidRPr="00027624" w:rsidRDefault="0092760B" w:rsidP="0092760B">
      <w:pPr>
        <w:pStyle w:val="Bullet"/>
      </w:pPr>
      <w:r w:rsidRPr="00027624">
        <w:t xml:space="preserve">Families only access payments for about half of their careers when their children meet qualifying ages for the benefits (typically under 18 for family payments, and below school age for </w:t>
      </w:r>
      <w:r w:rsidR="0027057A" w:rsidRPr="00027624">
        <w:t>childcare</w:t>
      </w:r>
      <w:r w:rsidRPr="00027624">
        <w:t>).</w:t>
      </w:r>
    </w:p>
    <w:p w14:paraId="3158A9AA" w14:textId="77777777" w:rsidR="0092760B" w:rsidRPr="00027624" w:rsidRDefault="0092760B" w:rsidP="0092760B">
      <w:pPr>
        <w:pStyle w:val="Bullet"/>
      </w:pPr>
      <w:r w:rsidRPr="00027624">
        <w:t xml:space="preserve">Across certain income ranges, families can earn more without reducing their </w:t>
      </w:r>
      <w:r w:rsidR="0027057A" w:rsidRPr="00027624">
        <w:t>childcare</w:t>
      </w:r>
      <w:r w:rsidRPr="00027624">
        <w:t xml:space="preserve"> or family payments. For example, families can earn up to $54,677 a year before having their FTB Part A payment affected. Parents can earn up to $68,163, or $173,163</w:t>
      </w:r>
      <w:r w:rsidR="00A8443E" w:rsidRPr="00027624">
        <w:noBreakHyphen/>
      </w:r>
      <w:r w:rsidRPr="00027624">
        <w:t>$252,453 without having their Child Care Subsidy payment affected.</w:t>
      </w:r>
    </w:p>
    <w:p w14:paraId="3171A32B" w14:textId="77777777" w:rsidR="0092760B" w:rsidRPr="00027624" w:rsidRDefault="0092760B" w:rsidP="0092760B">
      <w:pPr>
        <w:pStyle w:val="Bullet"/>
      </w:pPr>
      <w:r w:rsidRPr="00027624">
        <w:t>Families may not receive all payments depending on their circumstances. For example, dual</w:t>
      </w:r>
      <w:r w:rsidR="00A8443E" w:rsidRPr="00027624">
        <w:noBreakHyphen/>
      </w:r>
      <w:r w:rsidRPr="00027624">
        <w:t>income families typically do not receive FTB Part B.</w:t>
      </w:r>
    </w:p>
    <w:p w14:paraId="6F8D7C3D" w14:textId="77777777" w:rsidR="0092760B" w:rsidRPr="00027624" w:rsidRDefault="0092760B" w:rsidP="00325A8D">
      <w:pPr>
        <w:pStyle w:val="ChartMainHeading"/>
      </w:pPr>
      <w:bookmarkStart w:id="649" w:name="_Ref40189447"/>
      <w:bookmarkStart w:id="650" w:name="_Ref43905426"/>
      <w:r w:rsidRPr="00027624">
        <w:lastRenderedPageBreak/>
        <w:t>Projected increase in working</w:t>
      </w:r>
      <w:r w:rsidR="00A8443E" w:rsidRPr="00027624">
        <w:noBreakHyphen/>
      </w:r>
      <w:r w:rsidRPr="00027624">
        <w:t>life income offset by lower family payments</w:t>
      </w:r>
      <w:bookmarkEnd w:id="649"/>
      <w:bookmarkEnd w:id="650"/>
    </w:p>
    <w:p w14:paraId="21E42546" w14:textId="77777777" w:rsidR="0092760B" w:rsidRPr="00027624" w:rsidRDefault="00D86B97" w:rsidP="008154EB">
      <w:pPr>
        <w:pStyle w:val="ChartGraphic"/>
      </w:pPr>
      <w:r>
        <w:rPr>
          <w:noProof/>
        </w:rPr>
        <w:drawing>
          <wp:inline distT="0" distB="0" distL="0" distR="0" wp14:anchorId="331447D6" wp14:editId="2C149A43">
            <wp:extent cx="5585460" cy="2522220"/>
            <wp:effectExtent l="0" t="0" r="0" b="0"/>
            <wp:docPr id="32" name="Picture 32" descr="This chart shows the proportion of the increase in disposable income that is offset by lower family payments. Dual income families in the bottom two income deciles experience the most significant decrease in family payments under a 9.5 per cent SG rate, offsetting around 20 per cent of the additional working life income received with a 9.5 per cent SG rate. Single income families in the middle of the income distribution also experience a reduction in family payments which offset around 12-20 per cent of the increased working life income under a 9.5 per cent SG rate. Families at other income ranges have impacts of 5 per cent or lower" title="Chart 2D-15 Projected increase in working life income offset by lower family pa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4876C4AC" w14:textId="77777777" w:rsidR="0092760B" w:rsidRPr="00027624" w:rsidRDefault="0092760B" w:rsidP="008154EB">
      <w:pPr>
        <w:pStyle w:val="ChartorTableNote"/>
      </w:pPr>
      <w:r w:rsidRPr="00027624">
        <w:t xml:space="preserve">Note: Offset is calculated as the reduction in family payments across working life due to higher incomes under a 9.5 per cent SG, divided by the increase in disposable income across working life under a 9.5 per cent SG. Both families have two children, born when the secondary earner/single parent is 30 and 33. The secondary earner/single parent takes two years off work after each birth. The secondary earner/single parent then earns 60 per cent of their normal wages, and accesses two days a week of </w:t>
      </w:r>
      <w:r w:rsidR="0027057A" w:rsidRPr="00027624">
        <w:t>childcare</w:t>
      </w:r>
      <w:r w:rsidRPr="00027624">
        <w:t>, until the youngest child turns five. For the couple, the primary earner has no change in earnings. All family payment parameters are indexed according to current policy. Child care costs assumed to increase by CPI consistent with indexation of the hourly Child Care Subsidy cap. Increase in offset for single parents at the 60th percentile is due to the increase in income making them ineligible for FTB Part B in one additional year. Source: Cameo modelling undertaken for the review.</w:t>
      </w:r>
    </w:p>
    <w:p w14:paraId="0F63D6F3" w14:textId="77777777" w:rsidR="0092760B" w:rsidRPr="00027624" w:rsidRDefault="0092760B">
      <w:pPr>
        <w:pStyle w:val="Heading3"/>
      </w:pPr>
      <w:r w:rsidRPr="00027624">
        <w:t>Sensitivity analysis</w:t>
      </w:r>
    </w:p>
    <w:p w14:paraId="0439E14D" w14:textId="77777777" w:rsidR="0092760B" w:rsidRPr="00027624" w:rsidRDefault="0092760B" w:rsidP="005F4AD6">
      <w:pPr>
        <w:pStyle w:val="Heading4"/>
        <w:spacing w:before="120"/>
      </w:pPr>
      <w:r w:rsidRPr="00027624">
        <w:t>Replacement rates</w:t>
      </w:r>
    </w:p>
    <w:p w14:paraId="3B850337" w14:textId="77777777" w:rsidR="0092760B" w:rsidRPr="00027624" w:rsidRDefault="0092760B" w:rsidP="002A2FAE">
      <w:r w:rsidRPr="00027624">
        <w:t xml:space="preserve">Replacement rate sensitivity analysis presented in </w:t>
      </w:r>
      <w:r w:rsidRPr="00027624">
        <w:rPr>
          <w:i/>
        </w:rPr>
        <w:t xml:space="preserve">2C. Maintaining standards of living in retirement </w:t>
      </w:r>
      <w:r w:rsidRPr="00027624">
        <w:t>is reproduced below under a 9.5 per cent SG rate to demonstrate the potential impact on people in a range of circumstances.</w:t>
      </w:r>
    </w:p>
    <w:p w14:paraId="78D93051" w14:textId="77777777" w:rsidR="0092760B" w:rsidRPr="00027624" w:rsidRDefault="0092760B" w:rsidP="00325A8D">
      <w:pPr>
        <w:pStyle w:val="TableMainHeading"/>
      </w:pPr>
      <w:r w:rsidRPr="00027624">
        <w:t>Sensitivity analysis of replacement rates, with 9.5 per cent SG rate, median</w:t>
      </w:r>
      <w:r w:rsidR="00A8443E" w:rsidRPr="00027624">
        <w:noBreakHyphen/>
      </w:r>
      <w:r w:rsidRPr="00027624">
        <w:t>income earner</w:t>
      </w:r>
    </w:p>
    <w:tbl>
      <w:tblPr>
        <w:tblW w:w="4922" w:type="pct"/>
        <w:tblInd w:w="1" w:type="dxa"/>
        <w:tblLayout w:type="fixed"/>
        <w:tblLook w:val="01E0" w:firstRow="1" w:lastRow="1" w:firstColumn="1" w:lastColumn="1" w:noHBand="0" w:noVBand="0"/>
      </w:tblPr>
      <w:tblGrid>
        <w:gridCol w:w="4252"/>
        <w:gridCol w:w="1134"/>
        <w:gridCol w:w="1134"/>
        <w:gridCol w:w="1134"/>
        <w:gridCol w:w="1275"/>
      </w:tblGrid>
      <w:tr w:rsidR="0092760B" w:rsidRPr="00027624" w14:paraId="450DEC95" w14:textId="77777777" w:rsidTr="002A2FAE">
        <w:trPr>
          <w:trHeight w:val="270"/>
          <w:tblHeader/>
        </w:trPr>
        <w:tc>
          <w:tcPr>
            <w:tcW w:w="2381" w:type="pct"/>
            <w:shd w:val="clear" w:color="auto" w:fill="E5E5E5"/>
          </w:tcPr>
          <w:p w14:paraId="3F1F7D60" w14:textId="77777777" w:rsidR="0092760B" w:rsidRPr="00027624" w:rsidRDefault="0092760B" w:rsidP="002A2FAE">
            <w:pPr>
              <w:pStyle w:val="TableTextLeft"/>
            </w:pPr>
          </w:p>
        </w:tc>
        <w:tc>
          <w:tcPr>
            <w:tcW w:w="635" w:type="pct"/>
            <w:shd w:val="clear" w:color="auto" w:fill="E5E5E5"/>
          </w:tcPr>
          <w:p w14:paraId="36199FB8" w14:textId="77777777" w:rsidR="0092760B" w:rsidRPr="00027624" w:rsidRDefault="0092760B" w:rsidP="002A2FAE">
            <w:pPr>
              <w:pStyle w:val="TableColumnHeadingCentred"/>
            </w:pPr>
            <w:r w:rsidRPr="00027624">
              <w:t>All employees(per cent)</w:t>
            </w:r>
          </w:p>
        </w:tc>
        <w:tc>
          <w:tcPr>
            <w:tcW w:w="635" w:type="pct"/>
            <w:shd w:val="clear" w:color="auto" w:fill="E5E5E5"/>
          </w:tcPr>
          <w:p w14:paraId="10113980" w14:textId="77777777" w:rsidR="0092760B" w:rsidRPr="00027624" w:rsidRDefault="0092760B" w:rsidP="002A2FAE">
            <w:pPr>
              <w:pStyle w:val="TableColumnHeadingCentred"/>
            </w:pPr>
            <w:r w:rsidRPr="00027624">
              <w:t>Female only</w:t>
            </w:r>
            <w:r w:rsidRPr="00027624">
              <w:br/>
              <w:t>(per cent)</w:t>
            </w:r>
          </w:p>
        </w:tc>
        <w:tc>
          <w:tcPr>
            <w:tcW w:w="635" w:type="pct"/>
            <w:shd w:val="clear" w:color="auto" w:fill="E5E5E5"/>
          </w:tcPr>
          <w:p w14:paraId="7FD7AD4D" w14:textId="77777777" w:rsidR="0092760B" w:rsidRPr="00027624" w:rsidRDefault="0092760B" w:rsidP="002A2FAE">
            <w:pPr>
              <w:pStyle w:val="TableColumnHeadingCentred"/>
            </w:pPr>
            <w:r w:rsidRPr="00027624">
              <w:t>Singles only</w:t>
            </w:r>
            <w:r w:rsidRPr="00027624">
              <w:br/>
              <w:t>(per cent)</w:t>
            </w:r>
          </w:p>
        </w:tc>
        <w:tc>
          <w:tcPr>
            <w:tcW w:w="714" w:type="pct"/>
            <w:shd w:val="clear" w:color="auto" w:fill="E5E5E5"/>
          </w:tcPr>
          <w:p w14:paraId="10205FF5" w14:textId="77777777" w:rsidR="0092760B" w:rsidRPr="00027624" w:rsidRDefault="0092760B" w:rsidP="002A2FAE">
            <w:pPr>
              <w:pStyle w:val="TableColumnHeadingCentred"/>
            </w:pPr>
            <w:r w:rsidRPr="00027624">
              <w:t>Couples only</w:t>
            </w:r>
            <w:r w:rsidRPr="00027624">
              <w:br/>
              <w:t>(per cent)</w:t>
            </w:r>
          </w:p>
        </w:tc>
      </w:tr>
      <w:tr w:rsidR="0092760B" w:rsidRPr="00027624" w14:paraId="5B112767" w14:textId="77777777" w:rsidTr="002A2FAE">
        <w:trPr>
          <w:trHeight w:val="270"/>
        </w:trPr>
        <w:tc>
          <w:tcPr>
            <w:tcW w:w="2381" w:type="pct"/>
            <w:vAlign w:val="center"/>
          </w:tcPr>
          <w:p w14:paraId="4239DAE8" w14:textId="77777777" w:rsidR="0092760B" w:rsidRPr="00027624" w:rsidRDefault="0092760B" w:rsidP="002A2FAE">
            <w:pPr>
              <w:pStyle w:val="TableTextLeft"/>
            </w:pPr>
            <w:r w:rsidRPr="00027624">
              <w:rPr>
                <w:rFonts w:cs="Calibri"/>
                <w:b/>
                <w:bCs/>
                <w:szCs w:val="18"/>
              </w:rPr>
              <w:t>Replacement rate</w:t>
            </w:r>
          </w:p>
        </w:tc>
        <w:tc>
          <w:tcPr>
            <w:tcW w:w="635" w:type="pct"/>
            <w:vAlign w:val="center"/>
          </w:tcPr>
          <w:p w14:paraId="408FDAC3" w14:textId="77777777" w:rsidR="0092760B" w:rsidRPr="00027624" w:rsidRDefault="0092760B" w:rsidP="002A2FAE">
            <w:pPr>
              <w:pStyle w:val="TableTextCentered"/>
            </w:pPr>
            <w:r w:rsidRPr="00027624">
              <w:t>83</w:t>
            </w:r>
          </w:p>
        </w:tc>
        <w:tc>
          <w:tcPr>
            <w:tcW w:w="635" w:type="pct"/>
            <w:vAlign w:val="center"/>
          </w:tcPr>
          <w:p w14:paraId="69C83491" w14:textId="77777777" w:rsidR="0092760B" w:rsidRPr="00027624" w:rsidRDefault="0092760B" w:rsidP="002A2FAE">
            <w:pPr>
              <w:pStyle w:val="TableTextCentered"/>
            </w:pPr>
            <w:r w:rsidRPr="00027624">
              <w:t>90</w:t>
            </w:r>
          </w:p>
        </w:tc>
        <w:tc>
          <w:tcPr>
            <w:tcW w:w="635" w:type="pct"/>
            <w:vAlign w:val="center"/>
          </w:tcPr>
          <w:p w14:paraId="409594B0" w14:textId="77777777" w:rsidR="0092760B" w:rsidRPr="00027624" w:rsidRDefault="0092760B" w:rsidP="002A2FAE">
            <w:pPr>
              <w:pStyle w:val="TableTextCentered"/>
            </w:pPr>
            <w:r w:rsidRPr="00027624">
              <w:t>84</w:t>
            </w:r>
          </w:p>
        </w:tc>
        <w:tc>
          <w:tcPr>
            <w:tcW w:w="714" w:type="pct"/>
            <w:vAlign w:val="center"/>
          </w:tcPr>
          <w:p w14:paraId="45760100" w14:textId="77777777" w:rsidR="0092760B" w:rsidRPr="00027624" w:rsidRDefault="0092760B" w:rsidP="002A2FAE">
            <w:pPr>
              <w:pStyle w:val="TableTextCentered"/>
            </w:pPr>
            <w:r w:rsidRPr="00027624">
              <w:t>76</w:t>
            </w:r>
          </w:p>
        </w:tc>
      </w:tr>
      <w:tr w:rsidR="0092760B" w:rsidRPr="00027624" w14:paraId="309D475B" w14:textId="77777777" w:rsidTr="002A2FAE">
        <w:trPr>
          <w:trHeight w:val="270"/>
        </w:trPr>
        <w:tc>
          <w:tcPr>
            <w:tcW w:w="2381" w:type="pct"/>
            <w:vAlign w:val="center"/>
          </w:tcPr>
          <w:p w14:paraId="3C21826B" w14:textId="77777777" w:rsidR="0092760B" w:rsidRPr="00027624" w:rsidRDefault="0092760B" w:rsidP="002A2FAE">
            <w:pPr>
              <w:pStyle w:val="TableTextLeft"/>
              <w:rPr>
                <w:u w:val="single"/>
              </w:rPr>
            </w:pPr>
            <w:r w:rsidRPr="00027624">
              <w:rPr>
                <w:rFonts w:cs="Calibri"/>
                <w:b/>
                <w:bCs/>
                <w:szCs w:val="18"/>
              </w:rPr>
              <w:t>Sensitivity analysis</w:t>
            </w:r>
          </w:p>
        </w:tc>
        <w:tc>
          <w:tcPr>
            <w:tcW w:w="635" w:type="pct"/>
            <w:vAlign w:val="center"/>
          </w:tcPr>
          <w:p w14:paraId="6C952134" w14:textId="77777777" w:rsidR="0092760B" w:rsidRPr="00027624" w:rsidRDefault="0092760B" w:rsidP="002A2FAE">
            <w:pPr>
              <w:pStyle w:val="TableTextCentered"/>
            </w:pPr>
          </w:p>
        </w:tc>
        <w:tc>
          <w:tcPr>
            <w:tcW w:w="635" w:type="pct"/>
            <w:vAlign w:val="center"/>
          </w:tcPr>
          <w:p w14:paraId="3027BC08" w14:textId="77777777" w:rsidR="0092760B" w:rsidRPr="00027624" w:rsidRDefault="0092760B" w:rsidP="002A2FAE">
            <w:pPr>
              <w:pStyle w:val="TableTextCentered"/>
            </w:pPr>
          </w:p>
        </w:tc>
        <w:tc>
          <w:tcPr>
            <w:tcW w:w="635" w:type="pct"/>
            <w:vAlign w:val="center"/>
          </w:tcPr>
          <w:p w14:paraId="7F65475C" w14:textId="77777777" w:rsidR="0092760B" w:rsidRPr="00027624" w:rsidRDefault="0092760B" w:rsidP="002A2FAE">
            <w:pPr>
              <w:pStyle w:val="TableTextCentered"/>
            </w:pPr>
          </w:p>
        </w:tc>
        <w:tc>
          <w:tcPr>
            <w:tcW w:w="714" w:type="pct"/>
            <w:vAlign w:val="center"/>
          </w:tcPr>
          <w:p w14:paraId="6B6F870F" w14:textId="77777777" w:rsidR="0092760B" w:rsidRPr="00027624" w:rsidRDefault="0092760B" w:rsidP="002A2FAE">
            <w:pPr>
              <w:pStyle w:val="TableTextCentered"/>
            </w:pPr>
          </w:p>
        </w:tc>
      </w:tr>
      <w:tr w:rsidR="0092760B" w:rsidRPr="00027624" w14:paraId="356F3EAA" w14:textId="77777777" w:rsidTr="002A2FAE">
        <w:trPr>
          <w:trHeight w:val="270"/>
        </w:trPr>
        <w:tc>
          <w:tcPr>
            <w:tcW w:w="2381" w:type="pct"/>
            <w:vAlign w:val="center"/>
          </w:tcPr>
          <w:p w14:paraId="1CC7401C" w14:textId="77777777" w:rsidR="0092760B" w:rsidRPr="00027624" w:rsidRDefault="0092760B" w:rsidP="002A2FAE">
            <w:pPr>
              <w:pStyle w:val="TableTextLeft"/>
            </w:pPr>
            <w:r w:rsidRPr="00027624">
              <w:rPr>
                <w:rFonts w:cs="Calibri"/>
                <w:szCs w:val="18"/>
                <w:u w:val="single"/>
              </w:rPr>
              <w:t>Investment risks</w:t>
            </w:r>
          </w:p>
        </w:tc>
        <w:tc>
          <w:tcPr>
            <w:tcW w:w="635" w:type="pct"/>
            <w:vAlign w:val="center"/>
          </w:tcPr>
          <w:p w14:paraId="22F321AE" w14:textId="77777777" w:rsidR="0092760B" w:rsidRPr="00027624" w:rsidRDefault="0092760B" w:rsidP="002A2FAE">
            <w:pPr>
              <w:pStyle w:val="TableTextCentered"/>
            </w:pPr>
          </w:p>
        </w:tc>
        <w:tc>
          <w:tcPr>
            <w:tcW w:w="635" w:type="pct"/>
            <w:vAlign w:val="center"/>
          </w:tcPr>
          <w:p w14:paraId="645FC9D4" w14:textId="77777777" w:rsidR="0092760B" w:rsidRPr="00027624" w:rsidRDefault="0092760B" w:rsidP="002A2FAE">
            <w:pPr>
              <w:pStyle w:val="TableTextCentered"/>
            </w:pPr>
          </w:p>
        </w:tc>
        <w:tc>
          <w:tcPr>
            <w:tcW w:w="635" w:type="pct"/>
            <w:vAlign w:val="center"/>
          </w:tcPr>
          <w:p w14:paraId="49CEBE01" w14:textId="77777777" w:rsidR="0092760B" w:rsidRPr="00027624" w:rsidRDefault="0092760B" w:rsidP="002A2FAE">
            <w:pPr>
              <w:pStyle w:val="TableTextCentered"/>
            </w:pPr>
          </w:p>
        </w:tc>
        <w:tc>
          <w:tcPr>
            <w:tcW w:w="714" w:type="pct"/>
            <w:vAlign w:val="center"/>
          </w:tcPr>
          <w:p w14:paraId="1B5C0D19" w14:textId="77777777" w:rsidR="0092760B" w:rsidRPr="00027624" w:rsidRDefault="0092760B" w:rsidP="002A2FAE">
            <w:pPr>
              <w:pStyle w:val="TableTextCentered"/>
            </w:pPr>
          </w:p>
        </w:tc>
      </w:tr>
      <w:tr w:rsidR="0092760B" w:rsidRPr="00027624" w14:paraId="6830C7C4" w14:textId="77777777" w:rsidTr="002A2FAE">
        <w:trPr>
          <w:trHeight w:val="270"/>
        </w:trPr>
        <w:tc>
          <w:tcPr>
            <w:tcW w:w="2381" w:type="pct"/>
            <w:vAlign w:val="center"/>
          </w:tcPr>
          <w:p w14:paraId="07C3DDA6" w14:textId="77777777" w:rsidR="0092760B" w:rsidRPr="00027624" w:rsidRDefault="0092760B" w:rsidP="002A2FAE">
            <w:pPr>
              <w:pStyle w:val="TableTextLeft"/>
              <w:ind w:left="457"/>
            </w:pPr>
            <w:r w:rsidRPr="00027624">
              <w:rPr>
                <w:rFonts w:cs="Calibri"/>
                <w:szCs w:val="18"/>
              </w:rPr>
              <w:t>Investment returns 1.0 ppt lower</w:t>
            </w:r>
          </w:p>
        </w:tc>
        <w:tc>
          <w:tcPr>
            <w:tcW w:w="635" w:type="pct"/>
            <w:vAlign w:val="center"/>
          </w:tcPr>
          <w:p w14:paraId="001ACD46" w14:textId="77777777" w:rsidR="0092760B" w:rsidRPr="00027624" w:rsidRDefault="0092760B" w:rsidP="002A2FAE">
            <w:pPr>
              <w:pStyle w:val="TableTextCentered"/>
            </w:pPr>
            <w:r w:rsidRPr="00027624">
              <w:t>77</w:t>
            </w:r>
          </w:p>
        </w:tc>
        <w:tc>
          <w:tcPr>
            <w:tcW w:w="635" w:type="pct"/>
            <w:vAlign w:val="center"/>
          </w:tcPr>
          <w:p w14:paraId="1F41B11A" w14:textId="77777777" w:rsidR="0092760B" w:rsidRPr="00027624" w:rsidRDefault="0092760B" w:rsidP="002A2FAE">
            <w:pPr>
              <w:pStyle w:val="TableTextCentered"/>
            </w:pPr>
            <w:r w:rsidRPr="00027624">
              <w:t>85</w:t>
            </w:r>
          </w:p>
        </w:tc>
        <w:tc>
          <w:tcPr>
            <w:tcW w:w="635" w:type="pct"/>
            <w:vAlign w:val="center"/>
          </w:tcPr>
          <w:p w14:paraId="3633EE8A" w14:textId="77777777" w:rsidR="0092760B" w:rsidRPr="00027624" w:rsidRDefault="0092760B" w:rsidP="002A2FAE">
            <w:pPr>
              <w:pStyle w:val="TableTextCentered"/>
            </w:pPr>
            <w:r w:rsidRPr="00027624">
              <w:t>79</w:t>
            </w:r>
          </w:p>
        </w:tc>
        <w:tc>
          <w:tcPr>
            <w:tcW w:w="714" w:type="pct"/>
            <w:vAlign w:val="center"/>
          </w:tcPr>
          <w:p w14:paraId="0152FFED" w14:textId="77777777" w:rsidR="0092760B" w:rsidRPr="00027624" w:rsidRDefault="0092760B" w:rsidP="002A2FAE">
            <w:pPr>
              <w:pStyle w:val="TableTextCentered"/>
            </w:pPr>
            <w:r w:rsidRPr="00027624">
              <w:t>69</w:t>
            </w:r>
          </w:p>
        </w:tc>
      </w:tr>
      <w:tr w:rsidR="0092760B" w:rsidRPr="00027624" w14:paraId="0557214B" w14:textId="77777777" w:rsidTr="002A2FAE">
        <w:trPr>
          <w:trHeight w:val="270"/>
        </w:trPr>
        <w:tc>
          <w:tcPr>
            <w:tcW w:w="2381" w:type="pct"/>
            <w:vAlign w:val="center"/>
          </w:tcPr>
          <w:p w14:paraId="326C8B8A" w14:textId="77777777" w:rsidR="0092760B" w:rsidRPr="00027624" w:rsidRDefault="0092760B" w:rsidP="002A2FAE">
            <w:pPr>
              <w:pStyle w:val="TableTextLeft"/>
              <w:ind w:left="457"/>
              <w:rPr>
                <w:u w:val="single"/>
              </w:rPr>
            </w:pPr>
            <w:r w:rsidRPr="00027624">
              <w:rPr>
                <w:rFonts w:cs="Calibri"/>
                <w:szCs w:val="18"/>
              </w:rPr>
              <w:t>Investment returns 0.5 ppt lower</w:t>
            </w:r>
          </w:p>
        </w:tc>
        <w:tc>
          <w:tcPr>
            <w:tcW w:w="635" w:type="pct"/>
            <w:vAlign w:val="center"/>
          </w:tcPr>
          <w:p w14:paraId="0931EA34" w14:textId="77777777" w:rsidR="0092760B" w:rsidRPr="00027624" w:rsidRDefault="0092760B" w:rsidP="002A2FAE">
            <w:pPr>
              <w:pStyle w:val="TableTextCentered"/>
            </w:pPr>
            <w:r w:rsidRPr="00027624">
              <w:t>80</w:t>
            </w:r>
          </w:p>
        </w:tc>
        <w:tc>
          <w:tcPr>
            <w:tcW w:w="635" w:type="pct"/>
            <w:vAlign w:val="center"/>
          </w:tcPr>
          <w:p w14:paraId="5AF281CA" w14:textId="77777777" w:rsidR="0092760B" w:rsidRPr="00027624" w:rsidRDefault="0092760B" w:rsidP="002A2FAE">
            <w:pPr>
              <w:pStyle w:val="TableTextCentered"/>
            </w:pPr>
            <w:r w:rsidRPr="00027624">
              <w:t>87</w:t>
            </w:r>
          </w:p>
        </w:tc>
        <w:tc>
          <w:tcPr>
            <w:tcW w:w="635" w:type="pct"/>
            <w:vAlign w:val="center"/>
          </w:tcPr>
          <w:p w14:paraId="246A055D" w14:textId="77777777" w:rsidR="0092760B" w:rsidRPr="00027624" w:rsidRDefault="0092760B" w:rsidP="002A2FAE">
            <w:pPr>
              <w:pStyle w:val="TableTextCentered"/>
            </w:pPr>
            <w:r w:rsidRPr="00027624">
              <w:t>81</w:t>
            </w:r>
          </w:p>
        </w:tc>
        <w:tc>
          <w:tcPr>
            <w:tcW w:w="714" w:type="pct"/>
            <w:vAlign w:val="center"/>
          </w:tcPr>
          <w:p w14:paraId="125C989B" w14:textId="77777777" w:rsidR="0092760B" w:rsidRPr="00027624" w:rsidRDefault="0092760B" w:rsidP="002A2FAE">
            <w:pPr>
              <w:pStyle w:val="TableTextCentered"/>
            </w:pPr>
            <w:r w:rsidRPr="00027624">
              <w:t>72</w:t>
            </w:r>
          </w:p>
        </w:tc>
      </w:tr>
      <w:tr w:rsidR="0092760B" w:rsidRPr="00027624" w14:paraId="77E54FE2" w14:textId="77777777" w:rsidTr="002A2FAE">
        <w:trPr>
          <w:trHeight w:val="270"/>
        </w:trPr>
        <w:tc>
          <w:tcPr>
            <w:tcW w:w="2381" w:type="pct"/>
            <w:vAlign w:val="center"/>
          </w:tcPr>
          <w:p w14:paraId="7AA4E973" w14:textId="77777777" w:rsidR="0092760B" w:rsidRPr="00027624" w:rsidRDefault="0092760B" w:rsidP="002A2FAE">
            <w:pPr>
              <w:pStyle w:val="TableTextLeft"/>
              <w:ind w:left="457"/>
              <w:rPr>
                <w:rFonts w:cs="Calibri"/>
                <w:szCs w:val="18"/>
              </w:rPr>
            </w:pPr>
            <w:r w:rsidRPr="00027624">
              <w:rPr>
                <w:rFonts w:cs="Calibri"/>
                <w:szCs w:val="18"/>
              </w:rPr>
              <w:t>Low wage growth and lower investment returns</w:t>
            </w:r>
            <w:r w:rsidRPr="00027624">
              <w:rPr>
                <w:b/>
              </w:rPr>
              <w:t>ⁱ</w:t>
            </w:r>
          </w:p>
        </w:tc>
        <w:tc>
          <w:tcPr>
            <w:tcW w:w="635" w:type="pct"/>
            <w:vAlign w:val="center"/>
          </w:tcPr>
          <w:p w14:paraId="239CCB41" w14:textId="77777777" w:rsidR="0092760B" w:rsidRPr="00027624" w:rsidRDefault="0092760B" w:rsidP="002A2FAE">
            <w:pPr>
              <w:pStyle w:val="TableTextCentered"/>
            </w:pPr>
            <w:r w:rsidRPr="00027624">
              <w:t>83</w:t>
            </w:r>
          </w:p>
        </w:tc>
        <w:tc>
          <w:tcPr>
            <w:tcW w:w="635" w:type="pct"/>
            <w:vAlign w:val="center"/>
          </w:tcPr>
          <w:p w14:paraId="512E346F" w14:textId="77777777" w:rsidR="0092760B" w:rsidRPr="00027624" w:rsidRDefault="0092760B" w:rsidP="002A2FAE">
            <w:pPr>
              <w:pStyle w:val="TableTextCentered"/>
            </w:pPr>
            <w:r w:rsidRPr="00027624">
              <w:t>90</w:t>
            </w:r>
          </w:p>
        </w:tc>
        <w:tc>
          <w:tcPr>
            <w:tcW w:w="635" w:type="pct"/>
            <w:vAlign w:val="center"/>
          </w:tcPr>
          <w:p w14:paraId="749E6C86" w14:textId="77777777" w:rsidR="0092760B" w:rsidRPr="00027624" w:rsidRDefault="0092760B" w:rsidP="002A2FAE">
            <w:pPr>
              <w:pStyle w:val="TableTextCentered"/>
            </w:pPr>
            <w:r w:rsidRPr="00027624">
              <w:t>84</w:t>
            </w:r>
          </w:p>
        </w:tc>
        <w:tc>
          <w:tcPr>
            <w:tcW w:w="714" w:type="pct"/>
            <w:vAlign w:val="center"/>
          </w:tcPr>
          <w:p w14:paraId="7CB64796" w14:textId="77777777" w:rsidR="0092760B" w:rsidRPr="00027624" w:rsidRDefault="0092760B" w:rsidP="002A2FAE">
            <w:pPr>
              <w:pStyle w:val="TableTextCentered"/>
            </w:pPr>
            <w:r w:rsidRPr="00027624">
              <w:t>76</w:t>
            </w:r>
          </w:p>
        </w:tc>
      </w:tr>
      <w:tr w:rsidR="0092760B" w:rsidRPr="00027624" w14:paraId="695EA5E8" w14:textId="77777777" w:rsidTr="002A2FAE">
        <w:trPr>
          <w:trHeight w:val="270"/>
        </w:trPr>
        <w:tc>
          <w:tcPr>
            <w:tcW w:w="2381" w:type="pct"/>
            <w:vAlign w:val="center"/>
          </w:tcPr>
          <w:p w14:paraId="33367DD3" w14:textId="77777777" w:rsidR="0092760B" w:rsidRPr="00027624" w:rsidRDefault="0092760B" w:rsidP="002A2FAE">
            <w:pPr>
              <w:pStyle w:val="TableTextLeft"/>
              <w:ind w:left="457"/>
            </w:pPr>
            <w:r w:rsidRPr="00027624">
              <w:rPr>
                <w:rFonts w:cs="Calibri"/>
                <w:szCs w:val="18"/>
              </w:rPr>
              <w:t>25</w:t>
            </w:r>
            <w:r w:rsidR="002D0395">
              <w:rPr>
                <w:rFonts w:cs="Calibri"/>
                <w:szCs w:val="18"/>
              </w:rPr>
              <w:t xml:space="preserve"> per cent</w:t>
            </w:r>
            <w:r w:rsidRPr="00027624">
              <w:rPr>
                <w:rFonts w:cs="Calibri"/>
                <w:szCs w:val="18"/>
              </w:rPr>
              <w:t xml:space="preserve"> negative investment shock</w:t>
            </w:r>
            <w:r w:rsidRPr="00027624">
              <w:rPr>
                <w:b/>
              </w:rPr>
              <w:t>ⁱⁱ</w:t>
            </w:r>
          </w:p>
        </w:tc>
        <w:tc>
          <w:tcPr>
            <w:tcW w:w="635" w:type="pct"/>
            <w:vAlign w:val="center"/>
          </w:tcPr>
          <w:p w14:paraId="4C85D0B5" w14:textId="77777777" w:rsidR="0092760B" w:rsidRPr="00027624" w:rsidRDefault="0092760B" w:rsidP="002A2FAE">
            <w:pPr>
              <w:pStyle w:val="TableTextCentered"/>
            </w:pPr>
            <w:r w:rsidRPr="00027624">
              <w:t>78</w:t>
            </w:r>
          </w:p>
        </w:tc>
        <w:tc>
          <w:tcPr>
            <w:tcW w:w="635" w:type="pct"/>
            <w:vAlign w:val="center"/>
          </w:tcPr>
          <w:p w14:paraId="44A48D6A" w14:textId="77777777" w:rsidR="0092760B" w:rsidRPr="00027624" w:rsidRDefault="0092760B" w:rsidP="002A2FAE">
            <w:pPr>
              <w:pStyle w:val="TableTextCentered"/>
            </w:pPr>
            <w:r w:rsidRPr="00027624">
              <w:t>86</w:t>
            </w:r>
          </w:p>
        </w:tc>
        <w:tc>
          <w:tcPr>
            <w:tcW w:w="635" w:type="pct"/>
            <w:vAlign w:val="center"/>
          </w:tcPr>
          <w:p w14:paraId="77D1F74B" w14:textId="77777777" w:rsidR="0092760B" w:rsidRPr="00027624" w:rsidRDefault="0092760B" w:rsidP="002A2FAE">
            <w:pPr>
              <w:pStyle w:val="TableTextCentered"/>
            </w:pPr>
            <w:r w:rsidRPr="00027624">
              <w:t>79</w:t>
            </w:r>
          </w:p>
        </w:tc>
        <w:tc>
          <w:tcPr>
            <w:tcW w:w="714" w:type="pct"/>
            <w:vAlign w:val="center"/>
          </w:tcPr>
          <w:p w14:paraId="4D08E5A4" w14:textId="77777777" w:rsidR="0092760B" w:rsidRPr="00027624" w:rsidRDefault="0092760B" w:rsidP="002A2FAE">
            <w:pPr>
              <w:pStyle w:val="TableTextCentered"/>
            </w:pPr>
            <w:r w:rsidRPr="00027624">
              <w:t>70</w:t>
            </w:r>
          </w:p>
        </w:tc>
      </w:tr>
      <w:tr w:rsidR="0092760B" w:rsidRPr="00027624" w14:paraId="7FC5D057" w14:textId="77777777" w:rsidTr="002A2FAE">
        <w:trPr>
          <w:trHeight w:val="270"/>
        </w:trPr>
        <w:tc>
          <w:tcPr>
            <w:tcW w:w="2381" w:type="pct"/>
            <w:vAlign w:val="center"/>
          </w:tcPr>
          <w:p w14:paraId="6F0FB39C" w14:textId="77777777" w:rsidR="0092760B" w:rsidRPr="00027624" w:rsidRDefault="0092760B" w:rsidP="002A2FAE">
            <w:pPr>
              <w:pStyle w:val="TableTextLeft"/>
              <w:rPr>
                <w:u w:val="single"/>
              </w:rPr>
            </w:pPr>
            <w:r w:rsidRPr="00027624">
              <w:rPr>
                <w:rFonts w:cs="Calibri"/>
                <w:szCs w:val="18"/>
                <w:u w:val="single"/>
              </w:rPr>
              <w:t>Draw down strategies</w:t>
            </w:r>
          </w:p>
        </w:tc>
        <w:tc>
          <w:tcPr>
            <w:tcW w:w="635" w:type="pct"/>
            <w:vAlign w:val="center"/>
          </w:tcPr>
          <w:p w14:paraId="486A4AF4" w14:textId="77777777" w:rsidR="0092760B" w:rsidRPr="00027624" w:rsidRDefault="0092760B" w:rsidP="002A2FAE">
            <w:pPr>
              <w:pStyle w:val="TableTextCentered"/>
            </w:pPr>
          </w:p>
        </w:tc>
        <w:tc>
          <w:tcPr>
            <w:tcW w:w="635" w:type="pct"/>
            <w:vAlign w:val="center"/>
          </w:tcPr>
          <w:p w14:paraId="30CA400B" w14:textId="77777777" w:rsidR="0092760B" w:rsidRPr="00027624" w:rsidRDefault="0092760B" w:rsidP="002A2FAE">
            <w:pPr>
              <w:pStyle w:val="TableTextCentered"/>
            </w:pPr>
          </w:p>
        </w:tc>
        <w:tc>
          <w:tcPr>
            <w:tcW w:w="635" w:type="pct"/>
            <w:vAlign w:val="center"/>
          </w:tcPr>
          <w:p w14:paraId="5A07B1D2" w14:textId="77777777" w:rsidR="0092760B" w:rsidRPr="00027624" w:rsidRDefault="0092760B" w:rsidP="002A2FAE">
            <w:pPr>
              <w:pStyle w:val="TableTextCentered"/>
            </w:pPr>
          </w:p>
        </w:tc>
        <w:tc>
          <w:tcPr>
            <w:tcW w:w="714" w:type="pct"/>
            <w:vAlign w:val="center"/>
          </w:tcPr>
          <w:p w14:paraId="743DBE98" w14:textId="77777777" w:rsidR="0092760B" w:rsidRPr="00027624" w:rsidRDefault="0092760B" w:rsidP="002A2FAE">
            <w:pPr>
              <w:pStyle w:val="TableTextCentered"/>
            </w:pPr>
          </w:p>
        </w:tc>
      </w:tr>
      <w:tr w:rsidR="0092760B" w:rsidRPr="00027624" w14:paraId="7DBE7AFF" w14:textId="77777777" w:rsidTr="002A2FAE">
        <w:trPr>
          <w:trHeight w:val="270"/>
        </w:trPr>
        <w:tc>
          <w:tcPr>
            <w:tcW w:w="2381" w:type="pct"/>
            <w:vAlign w:val="center"/>
          </w:tcPr>
          <w:p w14:paraId="62D69503" w14:textId="77777777" w:rsidR="0092760B" w:rsidRPr="00027624" w:rsidRDefault="0092760B" w:rsidP="002A2FAE">
            <w:pPr>
              <w:pStyle w:val="TableTextLeft"/>
              <w:ind w:left="457"/>
            </w:pPr>
            <w:r w:rsidRPr="00027624">
              <w:rPr>
                <w:rFonts w:cs="Calibri"/>
                <w:szCs w:val="18"/>
              </w:rPr>
              <w:t>Minimum drawdown</w:t>
            </w:r>
            <w:r w:rsidRPr="00027624">
              <w:rPr>
                <w:b/>
              </w:rPr>
              <w:t>ⁱⁱⁱ</w:t>
            </w:r>
          </w:p>
        </w:tc>
        <w:tc>
          <w:tcPr>
            <w:tcW w:w="635" w:type="pct"/>
            <w:vAlign w:val="center"/>
          </w:tcPr>
          <w:p w14:paraId="5D1F7439" w14:textId="77777777" w:rsidR="0092760B" w:rsidRPr="00027624" w:rsidRDefault="0092760B" w:rsidP="002A2FAE">
            <w:pPr>
              <w:pStyle w:val="TableTextCentered"/>
            </w:pPr>
            <w:r w:rsidRPr="00027624">
              <w:t>67</w:t>
            </w:r>
          </w:p>
        </w:tc>
        <w:tc>
          <w:tcPr>
            <w:tcW w:w="635" w:type="pct"/>
            <w:vAlign w:val="center"/>
          </w:tcPr>
          <w:p w14:paraId="1ABA8A46" w14:textId="77777777" w:rsidR="0092760B" w:rsidRPr="00027624" w:rsidRDefault="0092760B" w:rsidP="002A2FAE">
            <w:pPr>
              <w:pStyle w:val="TableTextCentered"/>
            </w:pPr>
            <w:r w:rsidRPr="00027624">
              <w:t>81</w:t>
            </w:r>
          </w:p>
        </w:tc>
        <w:tc>
          <w:tcPr>
            <w:tcW w:w="635" w:type="pct"/>
            <w:vAlign w:val="center"/>
          </w:tcPr>
          <w:p w14:paraId="01575190" w14:textId="77777777" w:rsidR="0092760B" w:rsidRPr="00027624" w:rsidRDefault="0092760B" w:rsidP="002A2FAE">
            <w:pPr>
              <w:pStyle w:val="TableTextCentered"/>
            </w:pPr>
            <w:r w:rsidRPr="00027624">
              <w:t>71</w:t>
            </w:r>
          </w:p>
        </w:tc>
        <w:tc>
          <w:tcPr>
            <w:tcW w:w="714" w:type="pct"/>
            <w:vAlign w:val="center"/>
          </w:tcPr>
          <w:p w14:paraId="0DE0A249" w14:textId="77777777" w:rsidR="0092760B" w:rsidRPr="00027624" w:rsidRDefault="0092760B" w:rsidP="002A2FAE">
            <w:pPr>
              <w:pStyle w:val="TableTextCentered"/>
            </w:pPr>
            <w:r w:rsidRPr="00027624">
              <w:t>57</w:t>
            </w:r>
          </w:p>
        </w:tc>
      </w:tr>
      <w:tr w:rsidR="0092760B" w:rsidRPr="00027624" w14:paraId="14AB09F2" w14:textId="77777777" w:rsidTr="002A2FAE">
        <w:trPr>
          <w:trHeight w:val="270"/>
        </w:trPr>
        <w:tc>
          <w:tcPr>
            <w:tcW w:w="2381" w:type="pct"/>
            <w:vAlign w:val="center"/>
          </w:tcPr>
          <w:p w14:paraId="0F8181FD" w14:textId="77777777" w:rsidR="0092760B" w:rsidRPr="00027624" w:rsidRDefault="0092760B" w:rsidP="002A2FAE">
            <w:pPr>
              <w:pStyle w:val="TableTextLeft"/>
              <w:ind w:left="457"/>
            </w:pPr>
            <w:r w:rsidRPr="00027624">
              <w:rPr>
                <w:rFonts w:cs="Calibri"/>
                <w:szCs w:val="18"/>
              </w:rPr>
              <w:t>Observed drawdown</w:t>
            </w:r>
            <w:r w:rsidRPr="00027624">
              <w:rPr>
                <w:b/>
              </w:rPr>
              <w:t>ⁱⁱⁱ</w:t>
            </w:r>
          </w:p>
        </w:tc>
        <w:tc>
          <w:tcPr>
            <w:tcW w:w="635" w:type="pct"/>
            <w:vAlign w:val="center"/>
          </w:tcPr>
          <w:p w14:paraId="76646DA5" w14:textId="77777777" w:rsidR="0092760B" w:rsidRPr="00027624" w:rsidRDefault="0092760B" w:rsidP="002A2FAE">
            <w:pPr>
              <w:pStyle w:val="TableTextCentered"/>
            </w:pPr>
            <w:r w:rsidRPr="00027624">
              <w:t>74</w:t>
            </w:r>
          </w:p>
        </w:tc>
        <w:tc>
          <w:tcPr>
            <w:tcW w:w="635" w:type="pct"/>
            <w:vAlign w:val="center"/>
          </w:tcPr>
          <w:p w14:paraId="05CF4FA0" w14:textId="77777777" w:rsidR="0092760B" w:rsidRPr="00027624" w:rsidRDefault="0092760B" w:rsidP="002A2FAE">
            <w:pPr>
              <w:pStyle w:val="TableTextCentered"/>
            </w:pPr>
            <w:r w:rsidRPr="00027624">
              <w:t>n/a</w:t>
            </w:r>
          </w:p>
        </w:tc>
        <w:tc>
          <w:tcPr>
            <w:tcW w:w="635" w:type="pct"/>
            <w:vAlign w:val="center"/>
          </w:tcPr>
          <w:p w14:paraId="7D2E6A30" w14:textId="77777777" w:rsidR="0092760B" w:rsidRPr="00027624" w:rsidRDefault="0092760B" w:rsidP="002A2FAE">
            <w:pPr>
              <w:pStyle w:val="TableTextCentered"/>
            </w:pPr>
            <w:r w:rsidRPr="00027624">
              <w:t>n/a</w:t>
            </w:r>
          </w:p>
        </w:tc>
        <w:tc>
          <w:tcPr>
            <w:tcW w:w="714" w:type="pct"/>
            <w:vAlign w:val="center"/>
          </w:tcPr>
          <w:p w14:paraId="78ACB50F" w14:textId="77777777" w:rsidR="0092760B" w:rsidRPr="00027624" w:rsidRDefault="0092760B" w:rsidP="002A2FAE">
            <w:pPr>
              <w:pStyle w:val="TableTextCentered"/>
            </w:pPr>
            <w:r w:rsidRPr="00027624">
              <w:t>n/a</w:t>
            </w:r>
          </w:p>
        </w:tc>
      </w:tr>
      <w:tr w:rsidR="0092760B" w:rsidRPr="00027624" w14:paraId="36E63BAB" w14:textId="77777777" w:rsidTr="002A2FAE">
        <w:trPr>
          <w:trHeight w:val="270"/>
        </w:trPr>
        <w:tc>
          <w:tcPr>
            <w:tcW w:w="2381" w:type="pct"/>
            <w:vAlign w:val="center"/>
          </w:tcPr>
          <w:p w14:paraId="00A94862" w14:textId="77777777" w:rsidR="0092760B" w:rsidRPr="00027624" w:rsidRDefault="0092760B" w:rsidP="002A2FAE">
            <w:pPr>
              <w:pStyle w:val="TableTextLeft"/>
            </w:pPr>
            <w:r w:rsidRPr="00027624">
              <w:rPr>
                <w:rFonts w:cs="Calibri"/>
                <w:szCs w:val="18"/>
                <w:u w:val="single"/>
              </w:rPr>
              <w:t>Voluntary saving</w:t>
            </w:r>
            <w:r w:rsidRPr="00027624">
              <w:rPr>
                <w:b/>
                <w:color w:val="auto"/>
                <w:vertAlign w:val="superscript"/>
              </w:rPr>
              <w:t>iv</w:t>
            </w:r>
          </w:p>
        </w:tc>
        <w:tc>
          <w:tcPr>
            <w:tcW w:w="635" w:type="pct"/>
            <w:vAlign w:val="center"/>
          </w:tcPr>
          <w:p w14:paraId="794A854E" w14:textId="77777777" w:rsidR="0092760B" w:rsidRPr="00027624" w:rsidRDefault="0092760B" w:rsidP="002A2FAE">
            <w:pPr>
              <w:pStyle w:val="TableTextCentered"/>
            </w:pPr>
          </w:p>
        </w:tc>
        <w:tc>
          <w:tcPr>
            <w:tcW w:w="635" w:type="pct"/>
            <w:vAlign w:val="center"/>
          </w:tcPr>
          <w:p w14:paraId="3AE8F9E6" w14:textId="77777777" w:rsidR="0092760B" w:rsidRPr="00027624" w:rsidRDefault="0092760B" w:rsidP="002A2FAE">
            <w:pPr>
              <w:pStyle w:val="TableTextCentered"/>
            </w:pPr>
          </w:p>
        </w:tc>
        <w:tc>
          <w:tcPr>
            <w:tcW w:w="635" w:type="pct"/>
            <w:vAlign w:val="center"/>
          </w:tcPr>
          <w:p w14:paraId="16C7B59D" w14:textId="77777777" w:rsidR="0092760B" w:rsidRPr="00027624" w:rsidRDefault="0092760B" w:rsidP="002A2FAE">
            <w:pPr>
              <w:pStyle w:val="TableTextCentered"/>
            </w:pPr>
          </w:p>
        </w:tc>
        <w:tc>
          <w:tcPr>
            <w:tcW w:w="714" w:type="pct"/>
            <w:vAlign w:val="center"/>
          </w:tcPr>
          <w:p w14:paraId="068EFF56" w14:textId="77777777" w:rsidR="0092760B" w:rsidRPr="00027624" w:rsidRDefault="0092760B" w:rsidP="002A2FAE">
            <w:pPr>
              <w:pStyle w:val="TableTextCentered"/>
            </w:pPr>
          </w:p>
        </w:tc>
      </w:tr>
      <w:tr w:rsidR="0092760B" w:rsidRPr="00027624" w14:paraId="33E7AF3B" w14:textId="77777777" w:rsidTr="002A2FAE">
        <w:trPr>
          <w:trHeight w:val="270"/>
        </w:trPr>
        <w:tc>
          <w:tcPr>
            <w:tcW w:w="2381" w:type="pct"/>
            <w:vAlign w:val="center"/>
          </w:tcPr>
          <w:p w14:paraId="398BD627" w14:textId="77777777" w:rsidR="0092760B" w:rsidRPr="00027624" w:rsidRDefault="0092760B" w:rsidP="002A2FAE">
            <w:pPr>
              <w:pStyle w:val="TableTextLeft"/>
              <w:ind w:left="457"/>
              <w:rPr>
                <w:u w:val="single"/>
              </w:rPr>
            </w:pPr>
            <w:r w:rsidRPr="00027624">
              <w:rPr>
                <w:rFonts w:cs="Calibri"/>
                <w:szCs w:val="18"/>
              </w:rPr>
              <w:t>No non</w:t>
            </w:r>
            <w:r w:rsidR="00A8443E" w:rsidRPr="00027624">
              <w:rPr>
                <w:rFonts w:cs="Calibri"/>
                <w:szCs w:val="18"/>
              </w:rPr>
              <w:noBreakHyphen/>
            </w:r>
            <w:r w:rsidRPr="00027624">
              <w:rPr>
                <w:rFonts w:cs="Calibri"/>
                <w:szCs w:val="18"/>
              </w:rPr>
              <w:t>superannuation savings</w:t>
            </w:r>
          </w:p>
        </w:tc>
        <w:tc>
          <w:tcPr>
            <w:tcW w:w="635" w:type="pct"/>
            <w:vAlign w:val="center"/>
          </w:tcPr>
          <w:p w14:paraId="44A37780" w14:textId="77777777" w:rsidR="0092760B" w:rsidRPr="00027624" w:rsidRDefault="0092760B" w:rsidP="002A2FAE">
            <w:pPr>
              <w:pStyle w:val="TableTextCentered"/>
            </w:pPr>
            <w:r w:rsidRPr="00027624">
              <w:t>83</w:t>
            </w:r>
          </w:p>
        </w:tc>
        <w:tc>
          <w:tcPr>
            <w:tcW w:w="635" w:type="pct"/>
            <w:vAlign w:val="center"/>
          </w:tcPr>
          <w:p w14:paraId="4E2C4177" w14:textId="77777777" w:rsidR="0092760B" w:rsidRPr="00027624" w:rsidRDefault="0092760B" w:rsidP="002A2FAE">
            <w:pPr>
              <w:pStyle w:val="TableTextCentered"/>
            </w:pPr>
            <w:r w:rsidRPr="00027624">
              <w:t>90</w:t>
            </w:r>
          </w:p>
        </w:tc>
        <w:tc>
          <w:tcPr>
            <w:tcW w:w="635" w:type="pct"/>
            <w:vAlign w:val="center"/>
          </w:tcPr>
          <w:p w14:paraId="12D85583" w14:textId="77777777" w:rsidR="0092760B" w:rsidRPr="00027624" w:rsidRDefault="0092760B" w:rsidP="002A2FAE">
            <w:pPr>
              <w:pStyle w:val="TableTextCentered"/>
            </w:pPr>
            <w:r w:rsidRPr="00027624">
              <w:t>84</w:t>
            </w:r>
          </w:p>
        </w:tc>
        <w:tc>
          <w:tcPr>
            <w:tcW w:w="714" w:type="pct"/>
            <w:vAlign w:val="center"/>
          </w:tcPr>
          <w:p w14:paraId="10554FEB" w14:textId="77777777" w:rsidR="0092760B" w:rsidRPr="00027624" w:rsidRDefault="0092760B" w:rsidP="002A2FAE">
            <w:pPr>
              <w:pStyle w:val="TableTextCentered"/>
            </w:pPr>
            <w:r w:rsidRPr="00027624">
              <w:t>77</w:t>
            </w:r>
          </w:p>
        </w:tc>
      </w:tr>
      <w:tr w:rsidR="0092760B" w:rsidRPr="00027624" w14:paraId="663CE645" w14:textId="77777777" w:rsidTr="002A2FAE">
        <w:trPr>
          <w:trHeight w:val="270"/>
        </w:trPr>
        <w:tc>
          <w:tcPr>
            <w:tcW w:w="2381" w:type="pct"/>
            <w:vAlign w:val="center"/>
          </w:tcPr>
          <w:p w14:paraId="5A3A4180" w14:textId="77777777" w:rsidR="0092760B" w:rsidRPr="00027624" w:rsidRDefault="0092760B" w:rsidP="002A2FAE">
            <w:pPr>
              <w:pStyle w:val="TableTextLeft"/>
              <w:ind w:left="457"/>
            </w:pPr>
            <w:r w:rsidRPr="00027624">
              <w:rPr>
                <w:rFonts w:cs="Calibri"/>
                <w:szCs w:val="18"/>
              </w:rPr>
              <w:t>No salary sacrificing</w:t>
            </w:r>
          </w:p>
        </w:tc>
        <w:tc>
          <w:tcPr>
            <w:tcW w:w="635" w:type="pct"/>
            <w:vAlign w:val="center"/>
          </w:tcPr>
          <w:p w14:paraId="07EFA7E4" w14:textId="77777777" w:rsidR="0092760B" w:rsidRPr="00027624" w:rsidRDefault="0092760B" w:rsidP="002A2FAE">
            <w:pPr>
              <w:pStyle w:val="TableTextCentered"/>
            </w:pPr>
            <w:r w:rsidRPr="00027624">
              <w:t>80</w:t>
            </w:r>
          </w:p>
        </w:tc>
        <w:tc>
          <w:tcPr>
            <w:tcW w:w="635" w:type="pct"/>
            <w:vAlign w:val="center"/>
          </w:tcPr>
          <w:p w14:paraId="100887E2" w14:textId="77777777" w:rsidR="0092760B" w:rsidRPr="00027624" w:rsidRDefault="0092760B" w:rsidP="002A2FAE">
            <w:pPr>
              <w:pStyle w:val="TableTextCentered"/>
            </w:pPr>
            <w:r w:rsidRPr="00027624">
              <w:t>88</w:t>
            </w:r>
          </w:p>
        </w:tc>
        <w:tc>
          <w:tcPr>
            <w:tcW w:w="635" w:type="pct"/>
            <w:vAlign w:val="center"/>
          </w:tcPr>
          <w:p w14:paraId="3251A977" w14:textId="77777777" w:rsidR="0092760B" w:rsidRPr="00027624" w:rsidRDefault="0092760B" w:rsidP="002A2FAE">
            <w:pPr>
              <w:pStyle w:val="TableTextCentered"/>
            </w:pPr>
            <w:r w:rsidRPr="00027624">
              <w:t>82</w:t>
            </w:r>
          </w:p>
        </w:tc>
        <w:tc>
          <w:tcPr>
            <w:tcW w:w="714" w:type="pct"/>
            <w:vAlign w:val="center"/>
          </w:tcPr>
          <w:p w14:paraId="01DF1533" w14:textId="77777777" w:rsidR="0092760B" w:rsidRPr="00027624" w:rsidRDefault="0092760B" w:rsidP="002A2FAE">
            <w:pPr>
              <w:pStyle w:val="TableTextCentered"/>
            </w:pPr>
            <w:r w:rsidRPr="00027624">
              <w:t>72</w:t>
            </w:r>
          </w:p>
        </w:tc>
      </w:tr>
      <w:tr w:rsidR="0092760B" w:rsidRPr="00027624" w14:paraId="1C3BC903" w14:textId="77777777" w:rsidTr="002A2FAE">
        <w:trPr>
          <w:trHeight w:val="270"/>
        </w:trPr>
        <w:tc>
          <w:tcPr>
            <w:tcW w:w="2381" w:type="pct"/>
            <w:vAlign w:val="center"/>
          </w:tcPr>
          <w:p w14:paraId="495ACD5E" w14:textId="77777777" w:rsidR="0092760B" w:rsidRPr="00027624" w:rsidRDefault="0092760B" w:rsidP="002A2FAE">
            <w:pPr>
              <w:pStyle w:val="TableTextLeft"/>
              <w:ind w:left="457"/>
            </w:pPr>
            <w:r w:rsidRPr="00027624">
              <w:rPr>
                <w:rFonts w:cs="Calibri"/>
                <w:szCs w:val="18"/>
              </w:rPr>
              <w:t>No non</w:t>
            </w:r>
            <w:r w:rsidR="00A8443E" w:rsidRPr="00027624">
              <w:rPr>
                <w:rFonts w:cs="Calibri"/>
                <w:szCs w:val="18"/>
              </w:rPr>
              <w:noBreakHyphen/>
            </w:r>
            <w:r w:rsidRPr="00027624">
              <w:rPr>
                <w:rFonts w:cs="Calibri"/>
                <w:szCs w:val="18"/>
              </w:rPr>
              <w:t>superannuation or salary sacrificing</w:t>
            </w:r>
          </w:p>
        </w:tc>
        <w:tc>
          <w:tcPr>
            <w:tcW w:w="635" w:type="pct"/>
            <w:vAlign w:val="center"/>
          </w:tcPr>
          <w:p w14:paraId="3B8579FF" w14:textId="77777777" w:rsidR="0092760B" w:rsidRPr="00027624" w:rsidRDefault="0092760B" w:rsidP="002A2FAE">
            <w:pPr>
              <w:pStyle w:val="TableTextCentered"/>
            </w:pPr>
            <w:r w:rsidRPr="00027624">
              <w:t>80</w:t>
            </w:r>
          </w:p>
        </w:tc>
        <w:tc>
          <w:tcPr>
            <w:tcW w:w="635" w:type="pct"/>
            <w:vAlign w:val="center"/>
          </w:tcPr>
          <w:p w14:paraId="0AA6063B" w14:textId="77777777" w:rsidR="0092760B" w:rsidRPr="00027624" w:rsidRDefault="0092760B" w:rsidP="002A2FAE">
            <w:pPr>
              <w:pStyle w:val="TableTextCentered"/>
            </w:pPr>
            <w:r w:rsidRPr="00027624">
              <w:t>87</w:t>
            </w:r>
          </w:p>
        </w:tc>
        <w:tc>
          <w:tcPr>
            <w:tcW w:w="635" w:type="pct"/>
            <w:vAlign w:val="center"/>
          </w:tcPr>
          <w:p w14:paraId="1E49A9B4" w14:textId="77777777" w:rsidR="0092760B" w:rsidRPr="00027624" w:rsidRDefault="0092760B" w:rsidP="002A2FAE">
            <w:pPr>
              <w:pStyle w:val="TableTextCentered"/>
            </w:pPr>
            <w:r w:rsidRPr="00027624">
              <w:t>82</w:t>
            </w:r>
          </w:p>
        </w:tc>
        <w:tc>
          <w:tcPr>
            <w:tcW w:w="714" w:type="pct"/>
            <w:vAlign w:val="center"/>
          </w:tcPr>
          <w:p w14:paraId="0B000E93" w14:textId="77777777" w:rsidR="0092760B" w:rsidRPr="00027624" w:rsidRDefault="0092760B" w:rsidP="002A2FAE">
            <w:pPr>
              <w:pStyle w:val="TableTextCentered"/>
            </w:pPr>
            <w:r w:rsidRPr="00027624">
              <w:t>73</w:t>
            </w:r>
          </w:p>
        </w:tc>
      </w:tr>
      <w:tr w:rsidR="0092760B" w:rsidRPr="00027624" w14:paraId="5CC92DBD" w14:textId="77777777" w:rsidTr="002A2FAE">
        <w:trPr>
          <w:trHeight w:val="270"/>
        </w:trPr>
        <w:tc>
          <w:tcPr>
            <w:tcW w:w="2381" w:type="pct"/>
            <w:vAlign w:val="center"/>
          </w:tcPr>
          <w:p w14:paraId="3C9B46FD" w14:textId="77777777" w:rsidR="0092760B" w:rsidRPr="00027624" w:rsidRDefault="0092760B" w:rsidP="002A2FAE">
            <w:pPr>
              <w:pStyle w:val="TableTextLeft"/>
            </w:pPr>
            <w:r w:rsidRPr="00027624">
              <w:rPr>
                <w:rFonts w:cs="Calibri"/>
                <w:szCs w:val="18"/>
                <w:u w:val="single"/>
              </w:rPr>
              <w:lastRenderedPageBreak/>
              <w:t>Working career and longevity</w:t>
            </w:r>
            <w:r w:rsidRPr="00027624">
              <w:rPr>
                <w:b/>
                <w:color w:val="auto"/>
                <w:vertAlign w:val="superscript"/>
              </w:rPr>
              <w:t>v</w:t>
            </w:r>
            <w:r w:rsidRPr="00027624">
              <w:rPr>
                <w:rFonts w:cs="Calibri"/>
                <w:szCs w:val="18"/>
              </w:rPr>
              <w:t xml:space="preserve"> </w:t>
            </w:r>
          </w:p>
        </w:tc>
        <w:tc>
          <w:tcPr>
            <w:tcW w:w="635" w:type="pct"/>
            <w:vAlign w:val="center"/>
          </w:tcPr>
          <w:p w14:paraId="2BFF3C04" w14:textId="77777777" w:rsidR="0092760B" w:rsidRPr="00027624" w:rsidRDefault="0092760B" w:rsidP="002A2FAE">
            <w:pPr>
              <w:pStyle w:val="TableTextCentered"/>
            </w:pPr>
          </w:p>
        </w:tc>
        <w:tc>
          <w:tcPr>
            <w:tcW w:w="635" w:type="pct"/>
            <w:vAlign w:val="center"/>
          </w:tcPr>
          <w:p w14:paraId="79AE32B3" w14:textId="77777777" w:rsidR="0092760B" w:rsidRPr="00027624" w:rsidRDefault="0092760B" w:rsidP="002A2FAE">
            <w:pPr>
              <w:pStyle w:val="TableTextCentered"/>
            </w:pPr>
          </w:p>
        </w:tc>
        <w:tc>
          <w:tcPr>
            <w:tcW w:w="635" w:type="pct"/>
            <w:vAlign w:val="center"/>
          </w:tcPr>
          <w:p w14:paraId="2ADC07A5" w14:textId="77777777" w:rsidR="0092760B" w:rsidRPr="00027624" w:rsidRDefault="0092760B" w:rsidP="002A2FAE">
            <w:pPr>
              <w:pStyle w:val="TableTextCentered"/>
            </w:pPr>
          </w:p>
        </w:tc>
        <w:tc>
          <w:tcPr>
            <w:tcW w:w="714" w:type="pct"/>
            <w:vAlign w:val="center"/>
          </w:tcPr>
          <w:p w14:paraId="561E2047" w14:textId="77777777" w:rsidR="0092760B" w:rsidRPr="00027624" w:rsidRDefault="0092760B" w:rsidP="002A2FAE">
            <w:pPr>
              <w:pStyle w:val="TableTextCentered"/>
            </w:pPr>
          </w:p>
        </w:tc>
      </w:tr>
      <w:tr w:rsidR="0092760B" w:rsidRPr="00027624" w14:paraId="7F21EE45" w14:textId="77777777" w:rsidTr="002A2FAE">
        <w:trPr>
          <w:trHeight w:val="270"/>
        </w:trPr>
        <w:tc>
          <w:tcPr>
            <w:tcW w:w="2381" w:type="pct"/>
            <w:vAlign w:val="center"/>
          </w:tcPr>
          <w:p w14:paraId="2CECA5B8" w14:textId="77777777" w:rsidR="0092760B" w:rsidRPr="00027624" w:rsidRDefault="0092760B" w:rsidP="002A2FAE">
            <w:pPr>
              <w:pStyle w:val="TableTextLeft"/>
              <w:ind w:left="457"/>
            </w:pPr>
            <w:r w:rsidRPr="00027624">
              <w:rPr>
                <w:rFonts w:cs="Calibri"/>
                <w:szCs w:val="18"/>
              </w:rPr>
              <w:t>Shorter working life</w:t>
            </w:r>
          </w:p>
        </w:tc>
        <w:tc>
          <w:tcPr>
            <w:tcW w:w="635" w:type="pct"/>
            <w:vAlign w:val="center"/>
          </w:tcPr>
          <w:p w14:paraId="0D9E5991" w14:textId="77777777" w:rsidR="0092760B" w:rsidRPr="00027624" w:rsidRDefault="0092760B" w:rsidP="002A2FAE">
            <w:pPr>
              <w:pStyle w:val="TableTextCentered"/>
            </w:pPr>
          </w:p>
        </w:tc>
        <w:tc>
          <w:tcPr>
            <w:tcW w:w="635" w:type="pct"/>
            <w:vAlign w:val="center"/>
          </w:tcPr>
          <w:p w14:paraId="0EDEBB5D" w14:textId="77777777" w:rsidR="0092760B" w:rsidRPr="00027624" w:rsidRDefault="0092760B" w:rsidP="002A2FAE">
            <w:pPr>
              <w:pStyle w:val="TableTextCentered"/>
            </w:pPr>
          </w:p>
        </w:tc>
        <w:tc>
          <w:tcPr>
            <w:tcW w:w="635" w:type="pct"/>
            <w:vAlign w:val="center"/>
          </w:tcPr>
          <w:p w14:paraId="11C68E4B" w14:textId="77777777" w:rsidR="0092760B" w:rsidRPr="00027624" w:rsidRDefault="0092760B" w:rsidP="002A2FAE">
            <w:pPr>
              <w:pStyle w:val="TableTextCentered"/>
            </w:pPr>
          </w:p>
        </w:tc>
        <w:tc>
          <w:tcPr>
            <w:tcW w:w="714" w:type="pct"/>
            <w:vAlign w:val="center"/>
          </w:tcPr>
          <w:p w14:paraId="094D8CDF" w14:textId="77777777" w:rsidR="0092760B" w:rsidRPr="00027624" w:rsidRDefault="0092760B" w:rsidP="002A2FAE">
            <w:pPr>
              <w:pStyle w:val="TableTextCentered"/>
            </w:pPr>
          </w:p>
        </w:tc>
      </w:tr>
      <w:tr w:rsidR="0092760B" w:rsidRPr="00027624" w14:paraId="19058CA6" w14:textId="77777777" w:rsidTr="002A2FAE">
        <w:trPr>
          <w:trHeight w:val="270"/>
        </w:trPr>
        <w:tc>
          <w:tcPr>
            <w:tcW w:w="2381" w:type="pct"/>
            <w:vAlign w:val="center"/>
          </w:tcPr>
          <w:p w14:paraId="53BED429" w14:textId="77777777" w:rsidR="0092760B" w:rsidRPr="00027624" w:rsidRDefault="0092760B" w:rsidP="002A2FAE">
            <w:pPr>
              <w:pStyle w:val="TableTextLeft"/>
              <w:ind w:left="720"/>
            </w:pPr>
            <w:r w:rsidRPr="00027624">
              <w:rPr>
                <w:rFonts w:cs="Calibri"/>
                <w:szCs w:val="18"/>
              </w:rPr>
              <w:t>(25 years) Retire at 67</w:t>
            </w:r>
          </w:p>
        </w:tc>
        <w:tc>
          <w:tcPr>
            <w:tcW w:w="635" w:type="pct"/>
            <w:vAlign w:val="center"/>
          </w:tcPr>
          <w:p w14:paraId="5ADE15EA" w14:textId="77777777" w:rsidR="0092760B" w:rsidRPr="00027624" w:rsidRDefault="0092760B" w:rsidP="002A2FAE">
            <w:pPr>
              <w:pStyle w:val="TableTextCentered"/>
            </w:pPr>
            <w:r w:rsidRPr="00027624">
              <w:t>75</w:t>
            </w:r>
          </w:p>
        </w:tc>
        <w:tc>
          <w:tcPr>
            <w:tcW w:w="635" w:type="pct"/>
            <w:vAlign w:val="center"/>
          </w:tcPr>
          <w:p w14:paraId="14FB96DD" w14:textId="77777777" w:rsidR="0092760B" w:rsidRPr="00027624" w:rsidRDefault="0092760B" w:rsidP="002A2FAE">
            <w:pPr>
              <w:pStyle w:val="TableTextCentered"/>
            </w:pPr>
            <w:r w:rsidRPr="00027624">
              <w:t>83</w:t>
            </w:r>
          </w:p>
        </w:tc>
        <w:tc>
          <w:tcPr>
            <w:tcW w:w="635" w:type="pct"/>
            <w:vAlign w:val="center"/>
          </w:tcPr>
          <w:p w14:paraId="12D7627F" w14:textId="77777777" w:rsidR="0092760B" w:rsidRPr="00027624" w:rsidRDefault="0092760B" w:rsidP="002A2FAE">
            <w:pPr>
              <w:pStyle w:val="TableTextCentered"/>
            </w:pPr>
            <w:r w:rsidRPr="00027624">
              <w:t>75</w:t>
            </w:r>
          </w:p>
        </w:tc>
        <w:tc>
          <w:tcPr>
            <w:tcW w:w="714" w:type="pct"/>
            <w:vAlign w:val="center"/>
          </w:tcPr>
          <w:p w14:paraId="6BEA5D2E" w14:textId="77777777" w:rsidR="0092760B" w:rsidRPr="00027624" w:rsidRDefault="0092760B" w:rsidP="002A2FAE">
            <w:pPr>
              <w:pStyle w:val="TableTextCentered"/>
            </w:pPr>
            <w:r w:rsidRPr="00027624">
              <w:t>67</w:t>
            </w:r>
            <w:r w:rsidRPr="00027624">
              <w:rPr>
                <w:vertAlign w:val="superscript"/>
              </w:rPr>
              <w:t>viii</w:t>
            </w:r>
          </w:p>
        </w:tc>
      </w:tr>
      <w:tr w:rsidR="0092760B" w:rsidRPr="00027624" w14:paraId="5DAA2280" w14:textId="77777777" w:rsidTr="002A2FAE">
        <w:trPr>
          <w:trHeight w:val="270"/>
        </w:trPr>
        <w:tc>
          <w:tcPr>
            <w:tcW w:w="2381" w:type="pct"/>
            <w:vAlign w:val="center"/>
          </w:tcPr>
          <w:p w14:paraId="04F1752E" w14:textId="77777777" w:rsidR="0092760B" w:rsidRPr="00027624" w:rsidRDefault="0092760B" w:rsidP="002A2FAE">
            <w:pPr>
              <w:pStyle w:val="TableTextLeft"/>
              <w:ind w:left="720"/>
            </w:pPr>
            <w:r w:rsidRPr="00027624">
              <w:rPr>
                <w:rFonts w:cs="Calibri"/>
                <w:szCs w:val="18"/>
              </w:rPr>
              <w:t>(30 years)</w:t>
            </w:r>
            <w:r w:rsidRPr="00027624">
              <w:t xml:space="preserve"> Retire</w:t>
            </w:r>
            <w:r w:rsidRPr="00027624">
              <w:rPr>
                <w:rFonts w:cs="Calibri"/>
                <w:szCs w:val="18"/>
              </w:rPr>
              <w:t xml:space="preserve"> at 67</w:t>
            </w:r>
          </w:p>
        </w:tc>
        <w:tc>
          <w:tcPr>
            <w:tcW w:w="635" w:type="pct"/>
            <w:vAlign w:val="center"/>
          </w:tcPr>
          <w:p w14:paraId="3E291404" w14:textId="77777777" w:rsidR="0092760B" w:rsidRPr="00027624" w:rsidRDefault="0092760B" w:rsidP="002A2FAE">
            <w:pPr>
              <w:pStyle w:val="TableTextCentered"/>
            </w:pPr>
            <w:r w:rsidRPr="00027624">
              <w:t>77</w:t>
            </w:r>
          </w:p>
        </w:tc>
        <w:tc>
          <w:tcPr>
            <w:tcW w:w="635" w:type="pct"/>
            <w:vAlign w:val="center"/>
          </w:tcPr>
          <w:p w14:paraId="48F1C108" w14:textId="77777777" w:rsidR="0092760B" w:rsidRPr="00027624" w:rsidRDefault="0092760B" w:rsidP="002A2FAE">
            <w:pPr>
              <w:pStyle w:val="TableTextCentered"/>
            </w:pPr>
            <w:r w:rsidRPr="00027624">
              <w:t>86</w:t>
            </w:r>
          </w:p>
        </w:tc>
        <w:tc>
          <w:tcPr>
            <w:tcW w:w="635" w:type="pct"/>
            <w:vAlign w:val="center"/>
          </w:tcPr>
          <w:p w14:paraId="7D87391A" w14:textId="77777777" w:rsidR="0092760B" w:rsidRPr="00027624" w:rsidRDefault="0092760B" w:rsidP="002A2FAE">
            <w:pPr>
              <w:pStyle w:val="TableTextCentered"/>
            </w:pPr>
            <w:r w:rsidRPr="00027624">
              <w:t>78</w:t>
            </w:r>
          </w:p>
        </w:tc>
        <w:tc>
          <w:tcPr>
            <w:tcW w:w="714" w:type="pct"/>
            <w:vAlign w:val="center"/>
          </w:tcPr>
          <w:p w14:paraId="47A69B8C" w14:textId="77777777" w:rsidR="0092760B" w:rsidRPr="00027624" w:rsidRDefault="0092760B" w:rsidP="002A2FAE">
            <w:pPr>
              <w:pStyle w:val="TableTextCentered"/>
            </w:pPr>
            <w:r w:rsidRPr="00027624">
              <w:t>70</w:t>
            </w:r>
            <w:r w:rsidRPr="00027624">
              <w:rPr>
                <w:vertAlign w:val="superscript"/>
              </w:rPr>
              <w:t>viii</w:t>
            </w:r>
          </w:p>
        </w:tc>
      </w:tr>
      <w:tr w:rsidR="0092760B" w:rsidRPr="00027624" w14:paraId="0D24F242" w14:textId="77777777" w:rsidTr="002A2FAE">
        <w:trPr>
          <w:trHeight w:val="270"/>
        </w:trPr>
        <w:tc>
          <w:tcPr>
            <w:tcW w:w="2381" w:type="pct"/>
            <w:vAlign w:val="center"/>
          </w:tcPr>
          <w:p w14:paraId="62FA5DC4" w14:textId="77777777" w:rsidR="0092760B" w:rsidRPr="00027624" w:rsidRDefault="0092760B" w:rsidP="002A2FAE">
            <w:pPr>
              <w:pStyle w:val="TableTextLeft"/>
              <w:ind w:left="720"/>
            </w:pPr>
            <w:r w:rsidRPr="00027624">
              <w:rPr>
                <w:rFonts w:cs="Calibri"/>
                <w:szCs w:val="18"/>
              </w:rPr>
              <w:t>(35 years) Retire at 67</w:t>
            </w:r>
          </w:p>
        </w:tc>
        <w:tc>
          <w:tcPr>
            <w:tcW w:w="635" w:type="pct"/>
            <w:vAlign w:val="center"/>
          </w:tcPr>
          <w:p w14:paraId="39EC1D2B" w14:textId="77777777" w:rsidR="0092760B" w:rsidRPr="00027624" w:rsidRDefault="0092760B" w:rsidP="002A2FAE">
            <w:pPr>
              <w:pStyle w:val="TableTextCentered"/>
            </w:pPr>
            <w:r w:rsidRPr="00027624">
              <w:t>80</w:t>
            </w:r>
          </w:p>
        </w:tc>
        <w:tc>
          <w:tcPr>
            <w:tcW w:w="635" w:type="pct"/>
            <w:vAlign w:val="center"/>
          </w:tcPr>
          <w:p w14:paraId="3227C2DA" w14:textId="77777777" w:rsidR="0092760B" w:rsidRPr="00027624" w:rsidRDefault="0092760B" w:rsidP="002A2FAE">
            <w:pPr>
              <w:pStyle w:val="TableTextCentered"/>
            </w:pPr>
            <w:r w:rsidRPr="00027624">
              <w:t>89</w:t>
            </w:r>
          </w:p>
        </w:tc>
        <w:tc>
          <w:tcPr>
            <w:tcW w:w="635" w:type="pct"/>
            <w:vAlign w:val="center"/>
          </w:tcPr>
          <w:p w14:paraId="3A6B02EE" w14:textId="77777777" w:rsidR="0092760B" w:rsidRPr="00027624" w:rsidRDefault="0092760B" w:rsidP="002A2FAE">
            <w:pPr>
              <w:pStyle w:val="TableTextCentered"/>
            </w:pPr>
            <w:r w:rsidRPr="00027624">
              <w:t>81</w:t>
            </w:r>
          </w:p>
        </w:tc>
        <w:tc>
          <w:tcPr>
            <w:tcW w:w="714" w:type="pct"/>
            <w:vAlign w:val="center"/>
          </w:tcPr>
          <w:p w14:paraId="365C4738" w14:textId="77777777" w:rsidR="0092760B" w:rsidRPr="00027624" w:rsidRDefault="0092760B" w:rsidP="002A2FAE">
            <w:pPr>
              <w:pStyle w:val="TableTextCentered"/>
            </w:pPr>
            <w:r w:rsidRPr="00027624">
              <w:t>72</w:t>
            </w:r>
            <w:r w:rsidRPr="00027624">
              <w:rPr>
                <w:vertAlign w:val="superscript"/>
              </w:rPr>
              <w:t>viii</w:t>
            </w:r>
          </w:p>
        </w:tc>
      </w:tr>
      <w:tr w:rsidR="0092760B" w:rsidRPr="00027624" w14:paraId="03114282" w14:textId="77777777" w:rsidTr="002A2FAE">
        <w:trPr>
          <w:trHeight w:val="270"/>
        </w:trPr>
        <w:tc>
          <w:tcPr>
            <w:tcW w:w="2381" w:type="pct"/>
            <w:vAlign w:val="center"/>
          </w:tcPr>
          <w:p w14:paraId="5D6E8951" w14:textId="77777777" w:rsidR="0092760B" w:rsidRPr="00027624" w:rsidRDefault="0092760B" w:rsidP="002A2FAE">
            <w:pPr>
              <w:pStyle w:val="TableTextLeft"/>
              <w:ind w:left="720"/>
            </w:pPr>
            <w:r w:rsidRPr="00027624">
              <w:rPr>
                <w:rFonts w:cs="Calibri"/>
                <w:szCs w:val="18"/>
              </w:rPr>
              <w:t>(25 years) Retire at 60</w:t>
            </w:r>
          </w:p>
        </w:tc>
        <w:tc>
          <w:tcPr>
            <w:tcW w:w="635" w:type="pct"/>
            <w:vAlign w:val="center"/>
          </w:tcPr>
          <w:p w14:paraId="7496E33B" w14:textId="77777777" w:rsidR="0092760B" w:rsidRPr="00027624" w:rsidRDefault="0092760B" w:rsidP="002A2FAE">
            <w:pPr>
              <w:pStyle w:val="TableTextCentered"/>
            </w:pPr>
            <w:r w:rsidRPr="00027624">
              <w:t>66</w:t>
            </w:r>
          </w:p>
        </w:tc>
        <w:tc>
          <w:tcPr>
            <w:tcW w:w="635" w:type="pct"/>
            <w:vAlign w:val="center"/>
          </w:tcPr>
          <w:p w14:paraId="5B984378" w14:textId="77777777" w:rsidR="0092760B" w:rsidRPr="00027624" w:rsidRDefault="0092760B" w:rsidP="002A2FAE">
            <w:pPr>
              <w:pStyle w:val="TableTextCentered"/>
            </w:pPr>
            <w:r w:rsidRPr="00027624">
              <w:t>75</w:t>
            </w:r>
          </w:p>
        </w:tc>
        <w:tc>
          <w:tcPr>
            <w:tcW w:w="635" w:type="pct"/>
            <w:vAlign w:val="center"/>
          </w:tcPr>
          <w:p w14:paraId="7B61484E" w14:textId="77777777" w:rsidR="0092760B" w:rsidRPr="00027624" w:rsidRDefault="0092760B" w:rsidP="002A2FAE">
            <w:pPr>
              <w:pStyle w:val="TableTextCentered"/>
            </w:pPr>
            <w:r w:rsidRPr="00027624">
              <w:t>67</w:t>
            </w:r>
          </w:p>
        </w:tc>
        <w:tc>
          <w:tcPr>
            <w:tcW w:w="714" w:type="pct"/>
            <w:vAlign w:val="center"/>
          </w:tcPr>
          <w:p w14:paraId="5E1FBFE3" w14:textId="77777777" w:rsidR="0092760B" w:rsidRPr="00027624" w:rsidRDefault="0092760B" w:rsidP="002A2FAE">
            <w:pPr>
              <w:pStyle w:val="TableTextCentered"/>
            </w:pPr>
            <w:r w:rsidRPr="00027624">
              <w:t>62</w:t>
            </w:r>
            <w:r w:rsidRPr="00027624">
              <w:rPr>
                <w:vertAlign w:val="superscript"/>
              </w:rPr>
              <w:t>viii</w:t>
            </w:r>
          </w:p>
        </w:tc>
      </w:tr>
      <w:tr w:rsidR="0092760B" w:rsidRPr="00027624" w14:paraId="38E7F996" w14:textId="77777777" w:rsidTr="002A2FAE">
        <w:trPr>
          <w:trHeight w:val="270"/>
        </w:trPr>
        <w:tc>
          <w:tcPr>
            <w:tcW w:w="2381" w:type="pct"/>
            <w:vAlign w:val="center"/>
          </w:tcPr>
          <w:p w14:paraId="48311CF0" w14:textId="77777777" w:rsidR="0092760B" w:rsidRPr="00027624" w:rsidRDefault="0092760B" w:rsidP="002A2FAE">
            <w:pPr>
              <w:pStyle w:val="TableTextLeft"/>
              <w:ind w:left="720"/>
            </w:pPr>
            <w:r w:rsidRPr="00027624">
              <w:rPr>
                <w:rFonts w:cs="Calibri"/>
                <w:szCs w:val="18"/>
              </w:rPr>
              <w:t>(30 years) Retirement at 60</w:t>
            </w:r>
          </w:p>
        </w:tc>
        <w:tc>
          <w:tcPr>
            <w:tcW w:w="635" w:type="pct"/>
            <w:vAlign w:val="center"/>
          </w:tcPr>
          <w:p w14:paraId="1F30075F" w14:textId="77777777" w:rsidR="0092760B" w:rsidRPr="00027624" w:rsidRDefault="0092760B" w:rsidP="002A2FAE">
            <w:pPr>
              <w:pStyle w:val="TableTextCentered"/>
            </w:pPr>
            <w:r w:rsidRPr="00027624">
              <w:t>68</w:t>
            </w:r>
          </w:p>
        </w:tc>
        <w:tc>
          <w:tcPr>
            <w:tcW w:w="635" w:type="pct"/>
            <w:vAlign w:val="center"/>
          </w:tcPr>
          <w:p w14:paraId="10978C60" w14:textId="77777777" w:rsidR="0092760B" w:rsidRPr="00027624" w:rsidRDefault="0092760B" w:rsidP="002A2FAE">
            <w:pPr>
              <w:pStyle w:val="TableTextCentered"/>
            </w:pPr>
            <w:r w:rsidRPr="00027624">
              <w:t>77</w:t>
            </w:r>
            <w:r w:rsidRPr="00027624">
              <w:rPr>
                <w:b/>
                <w:vertAlign w:val="superscript"/>
              </w:rPr>
              <w:t>vii</w:t>
            </w:r>
          </w:p>
        </w:tc>
        <w:tc>
          <w:tcPr>
            <w:tcW w:w="635" w:type="pct"/>
            <w:vAlign w:val="center"/>
          </w:tcPr>
          <w:p w14:paraId="20F0EF95" w14:textId="77777777" w:rsidR="0092760B" w:rsidRPr="00027624" w:rsidRDefault="0092760B" w:rsidP="002A2FAE">
            <w:pPr>
              <w:pStyle w:val="TableTextCentered"/>
            </w:pPr>
            <w:r w:rsidRPr="00027624">
              <w:t>70</w:t>
            </w:r>
          </w:p>
        </w:tc>
        <w:tc>
          <w:tcPr>
            <w:tcW w:w="714" w:type="pct"/>
            <w:vAlign w:val="center"/>
          </w:tcPr>
          <w:p w14:paraId="5623DD27" w14:textId="77777777" w:rsidR="0092760B" w:rsidRPr="00027624" w:rsidRDefault="0092760B" w:rsidP="002A2FAE">
            <w:pPr>
              <w:pStyle w:val="TableTextCentered"/>
            </w:pPr>
            <w:r w:rsidRPr="00027624">
              <w:t>64</w:t>
            </w:r>
            <w:r w:rsidRPr="00027624">
              <w:rPr>
                <w:vertAlign w:val="superscript"/>
              </w:rPr>
              <w:t>viii</w:t>
            </w:r>
          </w:p>
        </w:tc>
      </w:tr>
      <w:tr w:rsidR="0092760B" w:rsidRPr="00027624" w14:paraId="13EBE896" w14:textId="77777777" w:rsidTr="002A2FAE">
        <w:trPr>
          <w:trHeight w:val="270"/>
        </w:trPr>
        <w:tc>
          <w:tcPr>
            <w:tcW w:w="2381" w:type="pct"/>
            <w:vAlign w:val="center"/>
          </w:tcPr>
          <w:p w14:paraId="365EAFDB" w14:textId="77777777" w:rsidR="0092760B" w:rsidRPr="00027624" w:rsidRDefault="0092760B" w:rsidP="002A2FAE">
            <w:pPr>
              <w:pStyle w:val="TableTextLeft"/>
              <w:ind w:left="720"/>
            </w:pPr>
            <w:r w:rsidRPr="00027624">
              <w:rPr>
                <w:rFonts w:cs="Calibri"/>
                <w:szCs w:val="18"/>
              </w:rPr>
              <w:t>(35 years) Retirement at 60</w:t>
            </w:r>
            <w:r w:rsidRPr="00027624">
              <w:rPr>
                <w:rFonts w:cs="Calibri"/>
                <w:b/>
                <w:szCs w:val="18"/>
                <w:vertAlign w:val="superscript"/>
              </w:rPr>
              <w:t>vi</w:t>
            </w:r>
          </w:p>
        </w:tc>
        <w:tc>
          <w:tcPr>
            <w:tcW w:w="635" w:type="pct"/>
            <w:vAlign w:val="center"/>
          </w:tcPr>
          <w:p w14:paraId="698D3F85" w14:textId="77777777" w:rsidR="0092760B" w:rsidRPr="00027624" w:rsidRDefault="0092760B" w:rsidP="002A2FAE">
            <w:pPr>
              <w:pStyle w:val="TableTextCentered"/>
            </w:pPr>
            <w:r w:rsidRPr="00027624">
              <w:t>71</w:t>
            </w:r>
          </w:p>
        </w:tc>
        <w:tc>
          <w:tcPr>
            <w:tcW w:w="635" w:type="pct"/>
            <w:vAlign w:val="center"/>
          </w:tcPr>
          <w:p w14:paraId="6ACABEC9" w14:textId="77777777" w:rsidR="0092760B" w:rsidRPr="00027624" w:rsidRDefault="0092760B" w:rsidP="002A2FAE">
            <w:pPr>
              <w:pStyle w:val="TableTextCentered"/>
            </w:pPr>
            <w:r w:rsidRPr="00027624">
              <w:t>77</w:t>
            </w:r>
            <w:r w:rsidRPr="00027624">
              <w:rPr>
                <w:b/>
                <w:vertAlign w:val="superscript"/>
              </w:rPr>
              <w:t>vii</w:t>
            </w:r>
          </w:p>
        </w:tc>
        <w:tc>
          <w:tcPr>
            <w:tcW w:w="635" w:type="pct"/>
            <w:vAlign w:val="center"/>
          </w:tcPr>
          <w:p w14:paraId="7F060D51" w14:textId="77777777" w:rsidR="0092760B" w:rsidRPr="00027624" w:rsidRDefault="0092760B" w:rsidP="002A2FAE">
            <w:pPr>
              <w:pStyle w:val="TableTextCentered"/>
            </w:pPr>
            <w:r w:rsidRPr="00027624">
              <w:t>71</w:t>
            </w:r>
          </w:p>
        </w:tc>
        <w:tc>
          <w:tcPr>
            <w:tcW w:w="714" w:type="pct"/>
            <w:vAlign w:val="center"/>
          </w:tcPr>
          <w:p w14:paraId="2639D6A3" w14:textId="77777777" w:rsidR="0092760B" w:rsidRPr="00027624" w:rsidRDefault="0092760B" w:rsidP="002A2FAE">
            <w:pPr>
              <w:pStyle w:val="TableTextCentered"/>
            </w:pPr>
            <w:r w:rsidRPr="00027624">
              <w:t>66</w:t>
            </w:r>
            <w:r w:rsidRPr="00027624">
              <w:rPr>
                <w:vertAlign w:val="superscript"/>
              </w:rPr>
              <w:t>viii</w:t>
            </w:r>
          </w:p>
        </w:tc>
      </w:tr>
      <w:tr w:rsidR="0092760B" w:rsidRPr="00027624" w14:paraId="284B9A85" w14:textId="77777777" w:rsidTr="002A2FAE">
        <w:trPr>
          <w:trHeight w:val="270"/>
        </w:trPr>
        <w:tc>
          <w:tcPr>
            <w:tcW w:w="2381" w:type="pct"/>
            <w:vAlign w:val="center"/>
          </w:tcPr>
          <w:p w14:paraId="5C466CE6" w14:textId="77777777" w:rsidR="0092760B" w:rsidRPr="00027624" w:rsidRDefault="0092760B" w:rsidP="002A2FAE">
            <w:pPr>
              <w:pStyle w:val="TableTextLeft"/>
              <w:ind w:left="457"/>
            </w:pPr>
            <w:r w:rsidRPr="00027624">
              <w:rPr>
                <w:rFonts w:cs="Calibri"/>
                <w:szCs w:val="18"/>
              </w:rPr>
              <w:t>Early retirement</w:t>
            </w:r>
          </w:p>
        </w:tc>
        <w:tc>
          <w:tcPr>
            <w:tcW w:w="635" w:type="pct"/>
            <w:vAlign w:val="center"/>
          </w:tcPr>
          <w:p w14:paraId="14CCAC6B" w14:textId="77777777" w:rsidR="0092760B" w:rsidRPr="00027624" w:rsidRDefault="0092760B" w:rsidP="002A2FAE">
            <w:pPr>
              <w:pStyle w:val="TableTextCentered"/>
            </w:pPr>
          </w:p>
        </w:tc>
        <w:tc>
          <w:tcPr>
            <w:tcW w:w="635" w:type="pct"/>
            <w:vAlign w:val="center"/>
          </w:tcPr>
          <w:p w14:paraId="0AFF37D3" w14:textId="77777777" w:rsidR="0092760B" w:rsidRPr="00027624" w:rsidRDefault="0092760B" w:rsidP="002A2FAE">
            <w:pPr>
              <w:pStyle w:val="TableTextCentered"/>
            </w:pPr>
          </w:p>
        </w:tc>
        <w:tc>
          <w:tcPr>
            <w:tcW w:w="1349" w:type="pct"/>
            <w:gridSpan w:val="2"/>
            <w:vAlign w:val="center"/>
          </w:tcPr>
          <w:p w14:paraId="7C0D60E8" w14:textId="77777777" w:rsidR="0092760B" w:rsidRPr="00027624" w:rsidRDefault="0092760B" w:rsidP="002A2FAE">
            <w:pPr>
              <w:pStyle w:val="TableTextCentered"/>
            </w:pPr>
            <w:r w:rsidRPr="00027624">
              <w:t>Primary only/both</w:t>
            </w:r>
          </w:p>
        </w:tc>
      </w:tr>
      <w:tr w:rsidR="0092760B" w:rsidRPr="00027624" w14:paraId="7AE42A1A" w14:textId="77777777" w:rsidTr="002A2FAE">
        <w:trPr>
          <w:trHeight w:val="270"/>
        </w:trPr>
        <w:tc>
          <w:tcPr>
            <w:tcW w:w="2381" w:type="pct"/>
            <w:vAlign w:val="center"/>
          </w:tcPr>
          <w:p w14:paraId="7773AC11" w14:textId="77777777" w:rsidR="0092760B" w:rsidRPr="00027624" w:rsidRDefault="0092760B" w:rsidP="002A2FAE">
            <w:pPr>
              <w:pStyle w:val="TableTextLeft"/>
              <w:ind w:left="720"/>
            </w:pPr>
            <w:r w:rsidRPr="00027624">
              <w:rPr>
                <w:rFonts w:cs="Calibri"/>
                <w:szCs w:val="18"/>
              </w:rPr>
              <w:t>Job</w:t>
            </w:r>
            <w:r w:rsidR="00A8443E" w:rsidRPr="00027624">
              <w:rPr>
                <w:rFonts w:cs="Calibri"/>
                <w:szCs w:val="18"/>
              </w:rPr>
              <w:noBreakHyphen/>
            </w:r>
            <w:r w:rsidRPr="00027624">
              <w:rPr>
                <w:rFonts w:cs="Calibri"/>
                <w:szCs w:val="18"/>
              </w:rPr>
              <w:t>related reason (57 years)</w:t>
            </w:r>
          </w:p>
        </w:tc>
        <w:tc>
          <w:tcPr>
            <w:tcW w:w="635" w:type="pct"/>
            <w:vAlign w:val="center"/>
          </w:tcPr>
          <w:p w14:paraId="2B9CFA85" w14:textId="77777777" w:rsidR="0092760B" w:rsidRPr="00027624" w:rsidRDefault="0092760B" w:rsidP="002A2FAE">
            <w:pPr>
              <w:pStyle w:val="TableTextCentered"/>
            </w:pPr>
            <w:r w:rsidRPr="00027624">
              <w:t>68</w:t>
            </w:r>
          </w:p>
        </w:tc>
        <w:tc>
          <w:tcPr>
            <w:tcW w:w="635" w:type="pct"/>
            <w:vAlign w:val="center"/>
          </w:tcPr>
          <w:p w14:paraId="40437AFC" w14:textId="77777777" w:rsidR="0092760B" w:rsidRPr="00027624" w:rsidRDefault="0092760B" w:rsidP="002A2FAE">
            <w:pPr>
              <w:pStyle w:val="TableTextCentered"/>
            </w:pPr>
            <w:r w:rsidRPr="00027624">
              <w:t>75</w:t>
            </w:r>
          </w:p>
        </w:tc>
        <w:tc>
          <w:tcPr>
            <w:tcW w:w="635" w:type="pct"/>
            <w:vAlign w:val="center"/>
          </w:tcPr>
          <w:p w14:paraId="77D1F800" w14:textId="77777777" w:rsidR="0092760B" w:rsidRPr="00027624" w:rsidRDefault="0092760B" w:rsidP="002A2FAE">
            <w:pPr>
              <w:pStyle w:val="TableTextCentered"/>
            </w:pPr>
            <w:r w:rsidRPr="00027624">
              <w:t>70</w:t>
            </w:r>
          </w:p>
        </w:tc>
        <w:tc>
          <w:tcPr>
            <w:tcW w:w="714" w:type="pct"/>
            <w:vAlign w:val="center"/>
          </w:tcPr>
          <w:p w14:paraId="4D240BC4" w14:textId="77777777" w:rsidR="0092760B" w:rsidRPr="00027624" w:rsidRDefault="0092760B" w:rsidP="002A2FAE">
            <w:pPr>
              <w:pStyle w:val="TableTextCentered"/>
            </w:pPr>
            <w:r w:rsidRPr="00027624">
              <w:t>69/64</w:t>
            </w:r>
            <w:r w:rsidRPr="00027624">
              <w:rPr>
                <w:vertAlign w:val="superscript"/>
              </w:rPr>
              <w:t>ix</w:t>
            </w:r>
          </w:p>
        </w:tc>
      </w:tr>
      <w:tr w:rsidR="0092760B" w:rsidRPr="00027624" w14:paraId="0E48D498" w14:textId="77777777" w:rsidTr="002A2FAE">
        <w:trPr>
          <w:trHeight w:val="270"/>
        </w:trPr>
        <w:tc>
          <w:tcPr>
            <w:tcW w:w="2381" w:type="pct"/>
            <w:vAlign w:val="center"/>
          </w:tcPr>
          <w:p w14:paraId="1E3027BA" w14:textId="77777777" w:rsidR="0092760B" w:rsidRPr="00027624" w:rsidRDefault="0092760B" w:rsidP="002A2FAE">
            <w:pPr>
              <w:pStyle w:val="TableTextLeft"/>
              <w:ind w:left="720"/>
            </w:pPr>
            <w:r w:rsidRPr="00027624">
              <w:rPr>
                <w:rFonts w:cs="Calibri"/>
                <w:szCs w:val="18"/>
              </w:rPr>
              <w:t>Job</w:t>
            </w:r>
            <w:r w:rsidR="00A8443E" w:rsidRPr="00027624">
              <w:rPr>
                <w:rFonts w:cs="Calibri"/>
                <w:szCs w:val="18"/>
              </w:rPr>
              <w:noBreakHyphen/>
            </w:r>
            <w:r w:rsidRPr="00027624">
              <w:rPr>
                <w:rFonts w:cs="Calibri"/>
                <w:szCs w:val="18"/>
              </w:rPr>
              <w:t>related reason (62 years)</w:t>
            </w:r>
          </w:p>
        </w:tc>
        <w:tc>
          <w:tcPr>
            <w:tcW w:w="635" w:type="pct"/>
            <w:vAlign w:val="center"/>
          </w:tcPr>
          <w:p w14:paraId="3870BCD9" w14:textId="77777777" w:rsidR="0092760B" w:rsidRPr="00027624" w:rsidRDefault="0092760B" w:rsidP="002A2FAE">
            <w:pPr>
              <w:pStyle w:val="TableTextCentered"/>
            </w:pPr>
            <w:r w:rsidRPr="00027624">
              <w:t>74</w:t>
            </w:r>
          </w:p>
        </w:tc>
        <w:tc>
          <w:tcPr>
            <w:tcW w:w="635" w:type="pct"/>
            <w:vAlign w:val="center"/>
          </w:tcPr>
          <w:p w14:paraId="5809A619" w14:textId="77777777" w:rsidR="0092760B" w:rsidRPr="00027624" w:rsidRDefault="0092760B" w:rsidP="002A2FAE">
            <w:pPr>
              <w:pStyle w:val="TableTextCentered"/>
            </w:pPr>
            <w:r w:rsidRPr="00027624">
              <w:t>80</w:t>
            </w:r>
          </w:p>
        </w:tc>
        <w:tc>
          <w:tcPr>
            <w:tcW w:w="635" w:type="pct"/>
            <w:vAlign w:val="center"/>
          </w:tcPr>
          <w:p w14:paraId="0536020D" w14:textId="77777777" w:rsidR="0092760B" w:rsidRPr="00027624" w:rsidRDefault="0092760B" w:rsidP="002A2FAE">
            <w:pPr>
              <w:pStyle w:val="TableTextCentered"/>
            </w:pPr>
            <w:r w:rsidRPr="00027624">
              <w:t>75</w:t>
            </w:r>
          </w:p>
        </w:tc>
        <w:tc>
          <w:tcPr>
            <w:tcW w:w="714" w:type="pct"/>
            <w:vAlign w:val="center"/>
          </w:tcPr>
          <w:p w14:paraId="03F94E98" w14:textId="77777777" w:rsidR="0092760B" w:rsidRPr="00027624" w:rsidRDefault="0092760B" w:rsidP="002A2FAE">
            <w:pPr>
              <w:pStyle w:val="TableTextCentered"/>
            </w:pPr>
            <w:r w:rsidRPr="00027624">
              <w:t>71/68</w:t>
            </w:r>
            <w:r w:rsidRPr="00027624">
              <w:rPr>
                <w:vertAlign w:val="superscript"/>
              </w:rPr>
              <w:t>ix</w:t>
            </w:r>
          </w:p>
        </w:tc>
      </w:tr>
      <w:tr w:rsidR="0092760B" w:rsidRPr="00027624" w14:paraId="7F3111A8" w14:textId="77777777" w:rsidTr="002A2FAE">
        <w:trPr>
          <w:trHeight w:val="270"/>
        </w:trPr>
        <w:tc>
          <w:tcPr>
            <w:tcW w:w="2381" w:type="pct"/>
            <w:vAlign w:val="center"/>
          </w:tcPr>
          <w:p w14:paraId="1B10879D" w14:textId="77777777" w:rsidR="0092760B" w:rsidRPr="00027624" w:rsidRDefault="0092760B" w:rsidP="002A2FAE">
            <w:pPr>
              <w:pStyle w:val="TableTextLeft"/>
              <w:ind w:left="720"/>
            </w:pPr>
            <w:r w:rsidRPr="00027624">
              <w:rPr>
                <w:rFonts w:cs="Calibri"/>
                <w:szCs w:val="18"/>
              </w:rPr>
              <w:t>Disability</w:t>
            </w:r>
            <w:r w:rsidR="00A8443E" w:rsidRPr="00027624">
              <w:rPr>
                <w:rFonts w:cs="Calibri"/>
                <w:szCs w:val="18"/>
              </w:rPr>
              <w:noBreakHyphen/>
            </w:r>
            <w:r w:rsidRPr="00027624">
              <w:rPr>
                <w:rFonts w:cs="Calibri"/>
                <w:szCs w:val="18"/>
              </w:rPr>
              <w:t>related reason (57 years)</w:t>
            </w:r>
          </w:p>
        </w:tc>
        <w:tc>
          <w:tcPr>
            <w:tcW w:w="635" w:type="pct"/>
            <w:vAlign w:val="center"/>
          </w:tcPr>
          <w:p w14:paraId="642F54F2" w14:textId="77777777" w:rsidR="0092760B" w:rsidRPr="00027624" w:rsidRDefault="0092760B" w:rsidP="002A2FAE">
            <w:pPr>
              <w:pStyle w:val="TableTextCentered"/>
            </w:pPr>
            <w:r w:rsidRPr="00027624">
              <w:t>76</w:t>
            </w:r>
          </w:p>
        </w:tc>
        <w:tc>
          <w:tcPr>
            <w:tcW w:w="635" w:type="pct"/>
            <w:vAlign w:val="center"/>
          </w:tcPr>
          <w:p w14:paraId="06DAA9A0" w14:textId="77777777" w:rsidR="0092760B" w:rsidRPr="00027624" w:rsidRDefault="0092760B" w:rsidP="002A2FAE">
            <w:pPr>
              <w:pStyle w:val="TableTextCentered"/>
            </w:pPr>
            <w:r w:rsidRPr="00027624">
              <w:t>86</w:t>
            </w:r>
          </w:p>
        </w:tc>
        <w:tc>
          <w:tcPr>
            <w:tcW w:w="635" w:type="pct"/>
            <w:vAlign w:val="center"/>
          </w:tcPr>
          <w:p w14:paraId="0DAA0D36" w14:textId="77777777" w:rsidR="0092760B" w:rsidRPr="00027624" w:rsidRDefault="0092760B" w:rsidP="002A2FAE">
            <w:pPr>
              <w:pStyle w:val="TableTextCentered"/>
            </w:pPr>
            <w:r w:rsidRPr="00027624">
              <w:t>79</w:t>
            </w:r>
          </w:p>
        </w:tc>
        <w:tc>
          <w:tcPr>
            <w:tcW w:w="714" w:type="pct"/>
            <w:vAlign w:val="center"/>
          </w:tcPr>
          <w:p w14:paraId="4FC978EE" w14:textId="77777777" w:rsidR="0092760B" w:rsidRPr="00027624" w:rsidRDefault="0092760B" w:rsidP="002A2FAE">
            <w:pPr>
              <w:pStyle w:val="TableTextCentered"/>
            </w:pPr>
            <w:r w:rsidRPr="00027624">
              <w:t>69/67</w:t>
            </w:r>
            <w:r w:rsidRPr="00027624">
              <w:rPr>
                <w:vertAlign w:val="superscript"/>
              </w:rPr>
              <w:t>ix</w:t>
            </w:r>
          </w:p>
        </w:tc>
      </w:tr>
      <w:tr w:rsidR="0092760B" w:rsidRPr="00027624" w14:paraId="491BC5D5" w14:textId="77777777" w:rsidTr="002A2FAE">
        <w:trPr>
          <w:trHeight w:val="270"/>
        </w:trPr>
        <w:tc>
          <w:tcPr>
            <w:tcW w:w="2381" w:type="pct"/>
            <w:vAlign w:val="center"/>
          </w:tcPr>
          <w:p w14:paraId="187F5A03" w14:textId="77777777" w:rsidR="0092760B" w:rsidRPr="00027624" w:rsidRDefault="0092760B" w:rsidP="002A2FAE">
            <w:pPr>
              <w:pStyle w:val="TableTextLeft"/>
              <w:ind w:left="720"/>
              <w:rPr>
                <w:rFonts w:cs="Calibri"/>
                <w:szCs w:val="18"/>
              </w:rPr>
            </w:pPr>
            <w:r w:rsidRPr="00027624">
              <w:rPr>
                <w:rFonts w:cs="Calibri"/>
                <w:szCs w:val="18"/>
              </w:rPr>
              <w:t>Disability</w:t>
            </w:r>
            <w:r w:rsidR="00A8443E" w:rsidRPr="00027624">
              <w:rPr>
                <w:rFonts w:cs="Calibri"/>
                <w:szCs w:val="18"/>
              </w:rPr>
              <w:noBreakHyphen/>
            </w:r>
            <w:r w:rsidRPr="00027624">
              <w:rPr>
                <w:rFonts w:cs="Calibri"/>
                <w:szCs w:val="18"/>
              </w:rPr>
              <w:t>related reason (62 years)</w:t>
            </w:r>
          </w:p>
        </w:tc>
        <w:tc>
          <w:tcPr>
            <w:tcW w:w="635" w:type="pct"/>
            <w:vAlign w:val="center"/>
          </w:tcPr>
          <w:p w14:paraId="68ACE1DB" w14:textId="77777777" w:rsidR="0092760B" w:rsidRPr="00027624" w:rsidRDefault="0092760B" w:rsidP="002A2FAE">
            <w:pPr>
              <w:pStyle w:val="TableTextCentered"/>
            </w:pPr>
            <w:r w:rsidRPr="00027624">
              <w:t>77</w:t>
            </w:r>
          </w:p>
        </w:tc>
        <w:tc>
          <w:tcPr>
            <w:tcW w:w="635" w:type="pct"/>
            <w:vAlign w:val="center"/>
          </w:tcPr>
          <w:p w14:paraId="4B617450" w14:textId="77777777" w:rsidR="0092760B" w:rsidRPr="00027624" w:rsidRDefault="0092760B" w:rsidP="002A2FAE">
            <w:pPr>
              <w:pStyle w:val="TableTextCentered"/>
            </w:pPr>
            <w:r w:rsidRPr="00027624">
              <w:t>86</w:t>
            </w:r>
          </w:p>
        </w:tc>
        <w:tc>
          <w:tcPr>
            <w:tcW w:w="635" w:type="pct"/>
            <w:vAlign w:val="center"/>
          </w:tcPr>
          <w:p w14:paraId="74B7EE29" w14:textId="77777777" w:rsidR="0092760B" w:rsidRPr="00027624" w:rsidRDefault="0092760B" w:rsidP="002A2FAE">
            <w:pPr>
              <w:pStyle w:val="TableTextCentered"/>
            </w:pPr>
            <w:r w:rsidRPr="00027624">
              <w:t>79</w:t>
            </w:r>
          </w:p>
        </w:tc>
        <w:tc>
          <w:tcPr>
            <w:tcW w:w="714" w:type="pct"/>
            <w:vAlign w:val="center"/>
          </w:tcPr>
          <w:p w14:paraId="4F389793" w14:textId="77777777" w:rsidR="0092760B" w:rsidRPr="00027624" w:rsidRDefault="0092760B" w:rsidP="002A2FAE">
            <w:pPr>
              <w:pStyle w:val="TableTextCentered"/>
            </w:pPr>
            <w:r w:rsidRPr="00027624">
              <w:t>71/68</w:t>
            </w:r>
            <w:r w:rsidRPr="00027624">
              <w:rPr>
                <w:vertAlign w:val="superscript"/>
              </w:rPr>
              <w:t>ix</w:t>
            </w:r>
          </w:p>
        </w:tc>
      </w:tr>
      <w:tr w:rsidR="0092760B" w:rsidRPr="00027624" w14:paraId="1A83565F" w14:textId="77777777" w:rsidTr="002A2FAE">
        <w:trPr>
          <w:trHeight w:val="270"/>
        </w:trPr>
        <w:tc>
          <w:tcPr>
            <w:tcW w:w="2381" w:type="pct"/>
            <w:vAlign w:val="center"/>
          </w:tcPr>
          <w:p w14:paraId="498157A4" w14:textId="77777777" w:rsidR="0092760B" w:rsidRPr="00027624" w:rsidRDefault="0092760B" w:rsidP="002A2FAE">
            <w:pPr>
              <w:pStyle w:val="TableTextLeft"/>
              <w:ind w:left="457"/>
            </w:pPr>
            <w:r w:rsidRPr="00027624">
              <w:rPr>
                <w:rFonts w:cs="Calibri"/>
                <w:szCs w:val="18"/>
              </w:rPr>
              <w:t>Retirement at 70 (start age 27)</w:t>
            </w:r>
          </w:p>
        </w:tc>
        <w:tc>
          <w:tcPr>
            <w:tcW w:w="635" w:type="pct"/>
            <w:vAlign w:val="center"/>
          </w:tcPr>
          <w:p w14:paraId="020C1190" w14:textId="77777777" w:rsidR="0092760B" w:rsidRPr="00027624" w:rsidRDefault="0092760B" w:rsidP="002A2FAE">
            <w:pPr>
              <w:pStyle w:val="TableTextCentered"/>
            </w:pPr>
            <w:r w:rsidRPr="00027624">
              <w:t>87</w:t>
            </w:r>
          </w:p>
        </w:tc>
        <w:tc>
          <w:tcPr>
            <w:tcW w:w="635" w:type="pct"/>
            <w:vAlign w:val="center"/>
          </w:tcPr>
          <w:p w14:paraId="240A72C4" w14:textId="77777777" w:rsidR="0092760B" w:rsidRPr="00027624" w:rsidRDefault="0092760B" w:rsidP="002A2FAE">
            <w:pPr>
              <w:pStyle w:val="TableTextCentered"/>
            </w:pPr>
            <w:r w:rsidRPr="00027624">
              <w:t>93</w:t>
            </w:r>
          </w:p>
        </w:tc>
        <w:tc>
          <w:tcPr>
            <w:tcW w:w="635" w:type="pct"/>
            <w:vAlign w:val="center"/>
          </w:tcPr>
          <w:p w14:paraId="3FE19E8D" w14:textId="77777777" w:rsidR="0092760B" w:rsidRPr="00027624" w:rsidRDefault="0092760B" w:rsidP="002A2FAE">
            <w:pPr>
              <w:pStyle w:val="TableTextCentered"/>
            </w:pPr>
            <w:r w:rsidRPr="00027624">
              <w:t>88</w:t>
            </w:r>
          </w:p>
        </w:tc>
        <w:tc>
          <w:tcPr>
            <w:tcW w:w="714" w:type="pct"/>
            <w:vAlign w:val="center"/>
          </w:tcPr>
          <w:p w14:paraId="4D8C4D6E" w14:textId="77777777" w:rsidR="0092760B" w:rsidRPr="00027624" w:rsidRDefault="0092760B" w:rsidP="002A2FAE">
            <w:pPr>
              <w:pStyle w:val="TableTextCentered"/>
            </w:pPr>
            <w:r w:rsidRPr="00027624">
              <w:t>82</w:t>
            </w:r>
          </w:p>
        </w:tc>
      </w:tr>
      <w:tr w:rsidR="0092760B" w:rsidRPr="00027624" w14:paraId="4E5D19DD" w14:textId="77777777" w:rsidTr="002A2FAE">
        <w:trPr>
          <w:trHeight w:val="270"/>
        </w:trPr>
        <w:tc>
          <w:tcPr>
            <w:tcW w:w="2381" w:type="pct"/>
            <w:vAlign w:val="center"/>
          </w:tcPr>
          <w:p w14:paraId="3B953315" w14:textId="77777777" w:rsidR="0092760B" w:rsidRPr="00027624" w:rsidRDefault="0092760B" w:rsidP="002A2FAE">
            <w:pPr>
              <w:pStyle w:val="TableTextLeft"/>
              <w:ind w:left="457"/>
            </w:pPr>
            <w:r w:rsidRPr="00027624">
              <w:rPr>
                <w:rFonts w:cs="Calibri"/>
                <w:szCs w:val="18"/>
              </w:rPr>
              <w:t>Low SG coverage (8 years less)</w:t>
            </w:r>
            <w:r w:rsidRPr="00027624">
              <w:rPr>
                <w:rFonts w:cs="Calibri"/>
                <w:b/>
                <w:szCs w:val="18"/>
                <w:vertAlign w:val="superscript"/>
              </w:rPr>
              <w:t>x</w:t>
            </w:r>
            <w:r w:rsidRPr="00027624" w:rsidDel="00FF32A2">
              <w:rPr>
                <w:rFonts w:cs="Calibri"/>
                <w:szCs w:val="18"/>
              </w:rPr>
              <w:t xml:space="preserve"> </w:t>
            </w:r>
          </w:p>
        </w:tc>
        <w:tc>
          <w:tcPr>
            <w:tcW w:w="635" w:type="pct"/>
            <w:vAlign w:val="center"/>
          </w:tcPr>
          <w:p w14:paraId="65D58BC9" w14:textId="77777777" w:rsidR="0092760B" w:rsidRPr="00027624" w:rsidRDefault="0092760B" w:rsidP="002A2FAE">
            <w:pPr>
              <w:pStyle w:val="TableTextCentered"/>
            </w:pPr>
            <w:r w:rsidRPr="00027624">
              <w:t>79</w:t>
            </w:r>
          </w:p>
        </w:tc>
        <w:tc>
          <w:tcPr>
            <w:tcW w:w="635" w:type="pct"/>
            <w:vAlign w:val="center"/>
          </w:tcPr>
          <w:p w14:paraId="4C609215" w14:textId="77777777" w:rsidR="0092760B" w:rsidRPr="00027624" w:rsidRDefault="0092760B" w:rsidP="002A2FAE">
            <w:pPr>
              <w:pStyle w:val="TableTextCentered"/>
            </w:pPr>
            <w:r w:rsidRPr="00027624">
              <w:t>86</w:t>
            </w:r>
          </w:p>
        </w:tc>
        <w:tc>
          <w:tcPr>
            <w:tcW w:w="635" w:type="pct"/>
            <w:vAlign w:val="center"/>
          </w:tcPr>
          <w:p w14:paraId="2FD11755" w14:textId="77777777" w:rsidR="0092760B" w:rsidRPr="00027624" w:rsidRDefault="0092760B" w:rsidP="002A2FAE">
            <w:pPr>
              <w:pStyle w:val="TableTextCentered"/>
            </w:pPr>
            <w:r w:rsidRPr="00027624">
              <w:t>80</w:t>
            </w:r>
          </w:p>
        </w:tc>
        <w:tc>
          <w:tcPr>
            <w:tcW w:w="714" w:type="pct"/>
            <w:vAlign w:val="center"/>
          </w:tcPr>
          <w:p w14:paraId="0378DA58" w14:textId="77777777" w:rsidR="0092760B" w:rsidRPr="00027624" w:rsidRDefault="0092760B" w:rsidP="002A2FAE">
            <w:pPr>
              <w:pStyle w:val="TableTextCentered"/>
            </w:pPr>
            <w:r w:rsidRPr="00027624">
              <w:t>71</w:t>
            </w:r>
          </w:p>
        </w:tc>
      </w:tr>
      <w:tr w:rsidR="0092760B" w:rsidRPr="00027624" w14:paraId="4E59097E" w14:textId="77777777" w:rsidTr="002A2FAE">
        <w:trPr>
          <w:trHeight w:val="270"/>
        </w:trPr>
        <w:tc>
          <w:tcPr>
            <w:tcW w:w="2381" w:type="pct"/>
            <w:vAlign w:val="center"/>
          </w:tcPr>
          <w:p w14:paraId="64B62074" w14:textId="77777777" w:rsidR="0092760B" w:rsidRPr="00027624" w:rsidRDefault="0092760B" w:rsidP="002A2FAE">
            <w:pPr>
              <w:pStyle w:val="TableTextLeft"/>
              <w:ind w:left="457"/>
            </w:pPr>
            <w:r w:rsidRPr="00027624">
              <w:rPr>
                <w:rFonts w:cs="Calibri"/>
                <w:szCs w:val="18"/>
              </w:rPr>
              <w:t>Living to age 102</w:t>
            </w:r>
          </w:p>
        </w:tc>
        <w:tc>
          <w:tcPr>
            <w:tcW w:w="635" w:type="pct"/>
            <w:vAlign w:val="center"/>
          </w:tcPr>
          <w:p w14:paraId="3A07F4EE" w14:textId="77777777" w:rsidR="0092760B" w:rsidRPr="00027624" w:rsidRDefault="0092760B" w:rsidP="002A2FAE">
            <w:pPr>
              <w:pStyle w:val="TableTextCentered"/>
            </w:pPr>
            <w:r w:rsidRPr="00027624">
              <w:t>84</w:t>
            </w:r>
          </w:p>
        </w:tc>
        <w:tc>
          <w:tcPr>
            <w:tcW w:w="635" w:type="pct"/>
            <w:vAlign w:val="center"/>
          </w:tcPr>
          <w:p w14:paraId="5E4C32CA" w14:textId="77777777" w:rsidR="0092760B" w:rsidRPr="00027624" w:rsidRDefault="0092760B" w:rsidP="002A2FAE">
            <w:pPr>
              <w:pStyle w:val="TableTextCentered"/>
            </w:pPr>
            <w:r w:rsidRPr="00027624">
              <w:t>94</w:t>
            </w:r>
          </w:p>
        </w:tc>
        <w:tc>
          <w:tcPr>
            <w:tcW w:w="635" w:type="pct"/>
            <w:vAlign w:val="center"/>
          </w:tcPr>
          <w:p w14:paraId="2C45518A" w14:textId="77777777" w:rsidR="0092760B" w:rsidRPr="00027624" w:rsidRDefault="0092760B" w:rsidP="002A2FAE">
            <w:pPr>
              <w:pStyle w:val="TableTextCentered"/>
            </w:pPr>
            <w:r w:rsidRPr="00027624">
              <w:t>85</w:t>
            </w:r>
          </w:p>
        </w:tc>
        <w:tc>
          <w:tcPr>
            <w:tcW w:w="714" w:type="pct"/>
            <w:vAlign w:val="center"/>
          </w:tcPr>
          <w:p w14:paraId="7A55F305" w14:textId="77777777" w:rsidR="0092760B" w:rsidRPr="00027624" w:rsidRDefault="0092760B" w:rsidP="002A2FAE">
            <w:pPr>
              <w:pStyle w:val="TableTextCentered"/>
            </w:pPr>
            <w:r w:rsidRPr="00027624">
              <w:t>77</w:t>
            </w:r>
          </w:p>
        </w:tc>
      </w:tr>
      <w:tr w:rsidR="0092760B" w:rsidRPr="00027624" w14:paraId="277E8CD5" w14:textId="77777777" w:rsidTr="002A2FAE">
        <w:trPr>
          <w:trHeight w:val="270"/>
        </w:trPr>
        <w:tc>
          <w:tcPr>
            <w:tcW w:w="2381" w:type="pct"/>
            <w:vAlign w:val="center"/>
          </w:tcPr>
          <w:p w14:paraId="48CDF838" w14:textId="77777777" w:rsidR="0092760B" w:rsidRPr="00027624" w:rsidRDefault="0092760B" w:rsidP="002A2FAE">
            <w:pPr>
              <w:pStyle w:val="TableTextLeft"/>
              <w:ind w:left="457"/>
            </w:pPr>
            <w:r w:rsidRPr="00027624">
              <w:rPr>
                <w:rFonts w:cs="Calibri"/>
                <w:szCs w:val="18"/>
              </w:rPr>
              <w:t>Living to age 102, no longevity product</w:t>
            </w:r>
            <w:r w:rsidRPr="00027624">
              <w:rPr>
                <w:b/>
              </w:rPr>
              <w:t>ⁱⁱⁱ</w:t>
            </w:r>
          </w:p>
        </w:tc>
        <w:tc>
          <w:tcPr>
            <w:tcW w:w="635" w:type="pct"/>
            <w:vAlign w:val="center"/>
          </w:tcPr>
          <w:p w14:paraId="20B86732" w14:textId="77777777" w:rsidR="0092760B" w:rsidRPr="00027624" w:rsidRDefault="0092760B" w:rsidP="002A2FAE">
            <w:pPr>
              <w:pStyle w:val="TableTextCentered"/>
            </w:pPr>
            <w:r w:rsidRPr="00027624">
              <w:t>80</w:t>
            </w:r>
          </w:p>
        </w:tc>
        <w:tc>
          <w:tcPr>
            <w:tcW w:w="635" w:type="pct"/>
            <w:vAlign w:val="center"/>
          </w:tcPr>
          <w:p w14:paraId="5D5B9D63" w14:textId="77777777" w:rsidR="0092760B" w:rsidRPr="00027624" w:rsidRDefault="0092760B" w:rsidP="002A2FAE">
            <w:pPr>
              <w:pStyle w:val="TableTextCentered"/>
            </w:pPr>
            <w:r w:rsidRPr="00027624">
              <w:t>89</w:t>
            </w:r>
          </w:p>
        </w:tc>
        <w:tc>
          <w:tcPr>
            <w:tcW w:w="635" w:type="pct"/>
            <w:vAlign w:val="center"/>
          </w:tcPr>
          <w:p w14:paraId="1EB1CFF6" w14:textId="77777777" w:rsidR="0092760B" w:rsidRPr="00027624" w:rsidRDefault="0092760B" w:rsidP="002A2FAE">
            <w:pPr>
              <w:pStyle w:val="TableTextCentered"/>
            </w:pPr>
            <w:r w:rsidRPr="00027624">
              <w:t>82</w:t>
            </w:r>
          </w:p>
        </w:tc>
        <w:tc>
          <w:tcPr>
            <w:tcW w:w="714" w:type="pct"/>
            <w:vAlign w:val="center"/>
          </w:tcPr>
          <w:p w14:paraId="2683C08C" w14:textId="77777777" w:rsidR="0092760B" w:rsidRPr="00027624" w:rsidRDefault="0092760B" w:rsidP="002A2FAE">
            <w:pPr>
              <w:pStyle w:val="TableTextCentered"/>
            </w:pPr>
            <w:r w:rsidRPr="00027624">
              <w:t>74</w:t>
            </w:r>
          </w:p>
        </w:tc>
      </w:tr>
      <w:tr w:rsidR="0092760B" w:rsidRPr="00027624" w14:paraId="4CEFA5CE" w14:textId="77777777" w:rsidTr="002A2FAE">
        <w:trPr>
          <w:trHeight w:val="270"/>
        </w:trPr>
        <w:tc>
          <w:tcPr>
            <w:tcW w:w="2381" w:type="pct"/>
            <w:vAlign w:val="center"/>
          </w:tcPr>
          <w:p w14:paraId="3CED9647" w14:textId="77777777" w:rsidR="0092760B" w:rsidRPr="00027624" w:rsidRDefault="0092760B" w:rsidP="002A2FAE">
            <w:pPr>
              <w:pStyle w:val="TableTextLeft"/>
            </w:pPr>
            <w:r w:rsidRPr="00027624">
              <w:rPr>
                <w:rFonts w:cs="Calibri"/>
                <w:szCs w:val="18"/>
                <w:u w:val="single"/>
              </w:rPr>
              <w:t>Calculation differences</w:t>
            </w:r>
          </w:p>
        </w:tc>
        <w:tc>
          <w:tcPr>
            <w:tcW w:w="635" w:type="pct"/>
            <w:vAlign w:val="center"/>
          </w:tcPr>
          <w:p w14:paraId="01AB05E7" w14:textId="77777777" w:rsidR="0092760B" w:rsidRPr="00027624" w:rsidRDefault="0092760B" w:rsidP="002A2FAE">
            <w:pPr>
              <w:pStyle w:val="TableTextCentered"/>
            </w:pPr>
          </w:p>
        </w:tc>
        <w:tc>
          <w:tcPr>
            <w:tcW w:w="635" w:type="pct"/>
            <w:vAlign w:val="center"/>
          </w:tcPr>
          <w:p w14:paraId="190E15CF" w14:textId="77777777" w:rsidR="0092760B" w:rsidRPr="00027624" w:rsidRDefault="0092760B" w:rsidP="002A2FAE">
            <w:pPr>
              <w:pStyle w:val="TableTextCentered"/>
            </w:pPr>
          </w:p>
        </w:tc>
        <w:tc>
          <w:tcPr>
            <w:tcW w:w="635" w:type="pct"/>
            <w:vAlign w:val="center"/>
          </w:tcPr>
          <w:p w14:paraId="4C676418" w14:textId="77777777" w:rsidR="0092760B" w:rsidRPr="00027624" w:rsidRDefault="0092760B" w:rsidP="002A2FAE">
            <w:pPr>
              <w:pStyle w:val="TableTextCentered"/>
            </w:pPr>
          </w:p>
        </w:tc>
        <w:tc>
          <w:tcPr>
            <w:tcW w:w="714" w:type="pct"/>
            <w:vAlign w:val="center"/>
          </w:tcPr>
          <w:p w14:paraId="3577B88C" w14:textId="77777777" w:rsidR="0092760B" w:rsidRPr="00027624" w:rsidRDefault="0092760B" w:rsidP="002A2FAE">
            <w:pPr>
              <w:pStyle w:val="TableTextCentered"/>
            </w:pPr>
          </w:p>
        </w:tc>
      </w:tr>
      <w:tr w:rsidR="0092760B" w:rsidRPr="00027624" w14:paraId="0D164785" w14:textId="77777777" w:rsidTr="002A2FAE">
        <w:trPr>
          <w:trHeight w:val="270"/>
        </w:trPr>
        <w:tc>
          <w:tcPr>
            <w:tcW w:w="2381" w:type="pct"/>
            <w:vAlign w:val="center"/>
          </w:tcPr>
          <w:p w14:paraId="20B8AC99" w14:textId="77777777" w:rsidR="0092760B" w:rsidRPr="00027624" w:rsidRDefault="0092760B" w:rsidP="002A2FAE">
            <w:pPr>
              <w:pStyle w:val="TableTextLeft"/>
              <w:ind w:left="457"/>
            </w:pPr>
            <w:r w:rsidRPr="00027624">
              <w:rPr>
                <w:rFonts w:cs="Calibri"/>
                <w:szCs w:val="18"/>
              </w:rPr>
              <w:t>5 years before / 5 years after retirement</w:t>
            </w:r>
          </w:p>
        </w:tc>
        <w:tc>
          <w:tcPr>
            <w:tcW w:w="635" w:type="pct"/>
            <w:vAlign w:val="center"/>
          </w:tcPr>
          <w:p w14:paraId="67C23E79" w14:textId="77777777" w:rsidR="0092760B" w:rsidRPr="00027624" w:rsidRDefault="0092760B" w:rsidP="002A2FAE">
            <w:pPr>
              <w:pStyle w:val="TableTextCentered"/>
            </w:pPr>
            <w:r w:rsidRPr="00027624">
              <w:t>85</w:t>
            </w:r>
          </w:p>
        </w:tc>
        <w:tc>
          <w:tcPr>
            <w:tcW w:w="635" w:type="pct"/>
            <w:vAlign w:val="center"/>
          </w:tcPr>
          <w:p w14:paraId="21E3A072" w14:textId="77777777" w:rsidR="0092760B" w:rsidRPr="00027624" w:rsidRDefault="0092760B" w:rsidP="002A2FAE">
            <w:pPr>
              <w:pStyle w:val="TableTextCentered"/>
            </w:pPr>
            <w:r w:rsidRPr="00027624">
              <w:t>91</w:t>
            </w:r>
          </w:p>
        </w:tc>
        <w:tc>
          <w:tcPr>
            <w:tcW w:w="635" w:type="pct"/>
            <w:vAlign w:val="center"/>
          </w:tcPr>
          <w:p w14:paraId="348EEBE3" w14:textId="77777777" w:rsidR="0092760B" w:rsidRPr="00027624" w:rsidRDefault="0092760B" w:rsidP="002A2FAE">
            <w:pPr>
              <w:pStyle w:val="TableTextCentered"/>
            </w:pPr>
            <w:r w:rsidRPr="00027624">
              <w:t>85</w:t>
            </w:r>
          </w:p>
        </w:tc>
        <w:tc>
          <w:tcPr>
            <w:tcW w:w="714" w:type="pct"/>
            <w:vAlign w:val="center"/>
          </w:tcPr>
          <w:p w14:paraId="69FC3F53" w14:textId="77777777" w:rsidR="0092760B" w:rsidRPr="00027624" w:rsidRDefault="0092760B" w:rsidP="002A2FAE">
            <w:pPr>
              <w:pStyle w:val="TableTextCentered"/>
            </w:pPr>
            <w:r w:rsidRPr="00027624">
              <w:t>78</w:t>
            </w:r>
          </w:p>
        </w:tc>
      </w:tr>
      <w:tr w:rsidR="0092760B" w:rsidRPr="00027624" w14:paraId="745E4AC4" w14:textId="77777777" w:rsidTr="002A2FAE">
        <w:trPr>
          <w:trHeight w:val="270"/>
        </w:trPr>
        <w:tc>
          <w:tcPr>
            <w:tcW w:w="2381" w:type="pct"/>
            <w:vAlign w:val="center"/>
          </w:tcPr>
          <w:p w14:paraId="2AC2702A" w14:textId="77777777" w:rsidR="0092760B" w:rsidRPr="00027624" w:rsidRDefault="0092760B" w:rsidP="002A2FAE">
            <w:pPr>
              <w:pStyle w:val="TableTextLeft"/>
              <w:ind w:left="457"/>
            </w:pPr>
            <w:r w:rsidRPr="00027624">
              <w:rPr>
                <w:rFonts w:cs="Calibri"/>
                <w:szCs w:val="18"/>
              </w:rPr>
              <w:t>15 years before / 15 years after retirement</w:t>
            </w:r>
          </w:p>
        </w:tc>
        <w:tc>
          <w:tcPr>
            <w:tcW w:w="635" w:type="pct"/>
            <w:vAlign w:val="center"/>
          </w:tcPr>
          <w:p w14:paraId="0055D39A" w14:textId="77777777" w:rsidR="0092760B" w:rsidRPr="00027624" w:rsidRDefault="0092760B" w:rsidP="002A2FAE">
            <w:pPr>
              <w:pStyle w:val="TableTextCentered"/>
            </w:pPr>
            <w:r w:rsidRPr="00027624">
              <w:t>80</w:t>
            </w:r>
          </w:p>
        </w:tc>
        <w:tc>
          <w:tcPr>
            <w:tcW w:w="635" w:type="pct"/>
            <w:vAlign w:val="center"/>
          </w:tcPr>
          <w:p w14:paraId="77A37456" w14:textId="77777777" w:rsidR="0092760B" w:rsidRPr="00027624" w:rsidRDefault="0092760B" w:rsidP="002A2FAE">
            <w:pPr>
              <w:pStyle w:val="TableTextCentered"/>
            </w:pPr>
            <w:r w:rsidRPr="00027624">
              <w:t>87</w:t>
            </w:r>
          </w:p>
        </w:tc>
        <w:tc>
          <w:tcPr>
            <w:tcW w:w="635" w:type="pct"/>
            <w:vAlign w:val="center"/>
          </w:tcPr>
          <w:p w14:paraId="54B30CB1" w14:textId="77777777" w:rsidR="0092760B" w:rsidRPr="00027624" w:rsidRDefault="0092760B" w:rsidP="002A2FAE">
            <w:pPr>
              <w:pStyle w:val="TableTextCentered"/>
            </w:pPr>
            <w:r w:rsidRPr="00027624">
              <w:t>82</w:t>
            </w:r>
          </w:p>
        </w:tc>
        <w:tc>
          <w:tcPr>
            <w:tcW w:w="714" w:type="pct"/>
            <w:vAlign w:val="center"/>
          </w:tcPr>
          <w:p w14:paraId="73FAB77E" w14:textId="77777777" w:rsidR="0092760B" w:rsidRPr="00027624" w:rsidRDefault="0092760B" w:rsidP="002A2FAE">
            <w:pPr>
              <w:pStyle w:val="TableTextCentered"/>
            </w:pPr>
            <w:r w:rsidRPr="00027624">
              <w:t>69</w:t>
            </w:r>
          </w:p>
        </w:tc>
      </w:tr>
      <w:tr w:rsidR="0092760B" w:rsidRPr="00027624" w14:paraId="48F28247" w14:textId="77777777" w:rsidTr="002A2FAE">
        <w:trPr>
          <w:trHeight w:val="270"/>
        </w:trPr>
        <w:tc>
          <w:tcPr>
            <w:tcW w:w="2381" w:type="pct"/>
            <w:vAlign w:val="center"/>
          </w:tcPr>
          <w:p w14:paraId="606733EB" w14:textId="77777777" w:rsidR="0092760B" w:rsidRPr="00027624" w:rsidRDefault="0092760B" w:rsidP="002A2FAE">
            <w:pPr>
              <w:pStyle w:val="TableTextLeft"/>
              <w:ind w:left="457"/>
            </w:pPr>
            <w:r w:rsidRPr="00027624">
              <w:rPr>
                <w:rFonts w:cs="Calibri"/>
                <w:szCs w:val="18"/>
              </w:rPr>
              <w:t>Wage deflator</w:t>
            </w:r>
          </w:p>
        </w:tc>
        <w:tc>
          <w:tcPr>
            <w:tcW w:w="635" w:type="pct"/>
            <w:vAlign w:val="center"/>
          </w:tcPr>
          <w:p w14:paraId="723F9BCE" w14:textId="77777777" w:rsidR="0092760B" w:rsidRPr="00027624" w:rsidRDefault="0092760B" w:rsidP="002A2FAE">
            <w:pPr>
              <w:pStyle w:val="TableTextCentered"/>
            </w:pPr>
            <w:r w:rsidRPr="00027624">
              <w:t>69</w:t>
            </w:r>
          </w:p>
        </w:tc>
        <w:tc>
          <w:tcPr>
            <w:tcW w:w="635" w:type="pct"/>
            <w:vAlign w:val="center"/>
          </w:tcPr>
          <w:p w14:paraId="0D491B16" w14:textId="77777777" w:rsidR="0092760B" w:rsidRPr="00027624" w:rsidRDefault="0092760B" w:rsidP="002A2FAE">
            <w:pPr>
              <w:pStyle w:val="TableTextCentered"/>
            </w:pPr>
            <w:r w:rsidRPr="00027624">
              <w:t>75</w:t>
            </w:r>
          </w:p>
        </w:tc>
        <w:tc>
          <w:tcPr>
            <w:tcW w:w="635" w:type="pct"/>
            <w:vAlign w:val="center"/>
          </w:tcPr>
          <w:p w14:paraId="48A0C82C" w14:textId="77777777" w:rsidR="0092760B" w:rsidRPr="00027624" w:rsidRDefault="0092760B" w:rsidP="002A2FAE">
            <w:pPr>
              <w:pStyle w:val="TableTextCentered"/>
            </w:pPr>
            <w:r w:rsidRPr="00027624">
              <w:t>70</w:t>
            </w:r>
          </w:p>
        </w:tc>
        <w:tc>
          <w:tcPr>
            <w:tcW w:w="714" w:type="pct"/>
            <w:vAlign w:val="center"/>
          </w:tcPr>
          <w:p w14:paraId="5B2C2E21" w14:textId="77777777" w:rsidR="0092760B" w:rsidRPr="00027624" w:rsidRDefault="0092760B" w:rsidP="002A2FAE">
            <w:pPr>
              <w:pStyle w:val="TableTextCentered"/>
            </w:pPr>
            <w:r w:rsidRPr="00027624">
              <w:t>64</w:t>
            </w:r>
          </w:p>
        </w:tc>
      </w:tr>
      <w:tr w:rsidR="0092760B" w:rsidRPr="00027624" w14:paraId="1A9E76E1" w14:textId="77777777" w:rsidTr="002A2FAE">
        <w:trPr>
          <w:trHeight w:val="270"/>
        </w:trPr>
        <w:tc>
          <w:tcPr>
            <w:tcW w:w="2381" w:type="pct"/>
            <w:vAlign w:val="center"/>
          </w:tcPr>
          <w:p w14:paraId="1A7CB2EA" w14:textId="77777777" w:rsidR="0092760B" w:rsidRPr="00027624" w:rsidRDefault="0092760B" w:rsidP="002A2FAE">
            <w:pPr>
              <w:pStyle w:val="TableTextLeft"/>
              <w:ind w:left="457"/>
            </w:pPr>
            <w:r w:rsidRPr="00027624">
              <w:rPr>
                <w:rFonts w:cs="Calibri"/>
                <w:szCs w:val="18"/>
              </w:rPr>
              <w:t>CPI deflator</w:t>
            </w:r>
          </w:p>
        </w:tc>
        <w:tc>
          <w:tcPr>
            <w:tcW w:w="635" w:type="pct"/>
            <w:vAlign w:val="center"/>
          </w:tcPr>
          <w:p w14:paraId="3CE87BAC" w14:textId="77777777" w:rsidR="0092760B" w:rsidRPr="00027624" w:rsidRDefault="0092760B" w:rsidP="002A2FAE">
            <w:pPr>
              <w:pStyle w:val="TableTextCentered"/>
            </w:pPr>
            <w:r w:rsidRPr="00027624">
              <w:t>90</w:t>
            </w:r>
          </w:p>
        </w:tc>
        <w:tc>
          <w:tcPr>
            <w:tcW w:w="635" w:type="pct"/>
            <w:vAlign w:val="center"/>
          </w:tcPr>
          <w:p w14:paraId="3DDD45F5" w14:textId="77777777" w:rsidR="0092760B" w:rsidRPr="00027624" w:rsidRDefault="0092760B" w:rsidP="002A2FAE">
            <w:pPr>
              <w:pStyle w:val="TableTextCentered"/>
            </w:pPr>
            <w:r w:rsidRPr="00027624">
              <w:t>98</w:t>
            </w:r>
          </w:p>
        </w:tc>
        <w:tc>
          <w:tcPr>
            <w:tcW w:w="635" w:type="pct"/>
            <w:vAlign w:val="center"/>
          </w:tcPr>
          <w:p w14:paraId="6CD1A4FD" w14:textId="77777777" w:rsidR="0092760B" w:rsidRPr="00027624" w:rsidRDefault="0092760B" w:rsidP="002A2FAE">
            <w:pPr>
              <w:pStyle w:val="TableTextCentered"/>
            </w:pPr>
            <w:r w:rsidRPr="00027624">
              <w:t>91</w:t>
            </w:r>
          </w:p>
        </w:tc>
        <w:tc>
          <w:tcPr>
            <w:tcW w:w="714" w:type="pct"/>
            <w:vAlign w:val="center"/>
          </w:tcPr>
          <w:p w14:paraId="41B367B6" w14:textId="77777777" w:rsidR="0092760B" w:rsidRPr="00027624" w:rsidRDefault="0092760B" w:rsidP="002A2FAE">
            <w:pPr>
              <w:pStyle w:val="TableTextCentered"/>
            </w:pPr>
            <w:r w:rsidRPr="00027624">
              <w:t>83</w:t>
            </w:r>
          </w:p>
        </w:tc>
      </w:tr>
    </w:tbl>
    <w:p w14:paraId="4C434D56" w14:textId="77777777" w:rsidR="0092760B" w:rsidRPr="00027624" w:rsidRDefault="0092760B" w:rsidP="00CA7598">
      <w:pPr>
        <w:pStyle w:val="ChartorTableNote"/>
        <w:spacing w:after="120"/>
      </w:pPr>
      <w:r w:rsidRPr="00027624">
        <w:t>Note: All sensitivities assume working life of 27</w:t>
      </w:r>
      <w:r w:rsidR="00A8443E" w:rsidRPr="00027624">
        <w:noBreakHyphen/>
      </w:r>
      <w:r w:rsidRPr="00027624">
        <w:t>67, starting in 2019</w:t>
      </w:r>
      <w:r w:rsidR="00A8443E" w:rsidRPr="00027624">
        <w:noBreakHyphen/>
      </w:r>
      <w:r w:rsidRPr="00027624">
        <w:t>20, unless</w:t>
      </w:r>
      <w:r w:rsidRPr="00027624">
        <w:rPr>
          <w:i/>
          <w:color w:val="auto"/>
        </w:rPr>
        <w:t xml:space="preserve"> </w:t>
      </w:r>
      <w:r w:rsidRPr="00027624">
        <w:t>otherwise specified. Income distributions are based on relevant cohorts, for example the median couple is based on the income distribution of couples. ⁱLow wage growth scenario assumes 3.5 per cent nominal wages growth from 2032</w:t>
      </w:r>
      <w:r w:rsidR="00A8443E" w:rsidRPr="00027624">
        <w:noBreakHyphen/>
      </w:r>
      <w:r w:rsidRPr="00027624">
        <w:t>33 and 0.5 percentage point lower investment returns. ⁱⁱA once</w:t>
      </w:r>
      <w:r w:rsidR="00A8443E" w:rsidRPr="00027624">
        <w:noBreakHyphen/>
      </w:r>
      <w:r w:rsidRPr="00027624">
        <w:t xml:space="preserve">off 25 per cent reduction of super balances at retirement that does not recover. ⁱⁱⁱAssumes no longevity product purchase. </w:t>
      </w:r>
      <w:r w:rsidRPr="00027624">
        <w:rPr>
          <w:vertAlign w:val="superscript"/>
        </w:rPr>
        <w:t>iv</w:t>
      </w:r>
      <w:r w:rsidRPr="00027624">
        <w:t>Working</w:t>
      </w:r>
      <w:r w:rsidR="00A8443E" w:rsidRPr="00027624">
        <w:noBreakHyphen/>
      </w:r>
      <w:r w:rsidRPr="00027624">
        <w:t xml:space="preserve">life income from the central case is used as the replacement rate denominator to ensure consistency between results. </w:t>
      </w:r>
      <w:r w:rsidRPr="00027624">
        <w:rPr>
          <w:vertAlign w:val="superscript"/>
        </w:rPr>
        <w:t>v</w:t>
      </w:r>
      <w:r w:rsidRPr="00027624">
        <w:t>Working</w:t>
      </w:r>
      <w:r w:rsidR="00A8443E" w:rsidRPr="00027624">
        <w:noBreakHyphen/>
      </w:r>
      <w:r w:rsidRPr="00027624">
        <w:t xml:space="preserve">life income from the central case is used as the replacement rate denominator to ensure consistency between results. People who retire earlier than 67 draw down super from age 60 at the higher of the maximum Age Pension less any income support they receive or minimum legislated rates until age 67. Review drawdowns assumptions used from age 67. Age Pension eligibility is for home owners and couples based on partnered eligibility; all other household types assume the person is single. </w:t>
      </w:r>
      <w:r w:rsidRPr="00027624">
        <w:rPr>
          <w:vertAlign w:val="superscript"/>
        </w:rPr>
        <w:t>vi</w:t>
      </w:r>
      <w:r w:rsidRPr="00027624">
        <w:t>Assumes people start work aged 25 in 2019</w:t>
      </w:r>
      <w:r w:rsidR="00A8443E" w:rsidRPr="00027624">
        <w:noBreakHyphen/>
      </w:r>
      <w:r w:rsidRPr="00027624">
        <w:t xml:space="preserve">20, and retire at age 60 in 2062. </w:t>
      </w:r>
      <w:r w:rsidRPr="00027624">
        <w:rPr>
          <w:vertAlign w:val="superscript"/>
        </w:rPr>
        <w:t>vii</w:t>
      </w:r>
      <w:r w:rsidRPr="00027624">
        <w:t>Assumes a two</w:t>
      </w:r>
      <w:r w:rsidR="00A8443E" w:rsidRPr="00027624">
        <w:noBreakHyphen/>
      </w:r>
      <w:r w:rsidRPr="00027624">
        <w:t>year career break for women from ages 30</w:t>
      </w:r>
      <w:r w:rsidR="00A8443E" w:rsidRPr="00027624">
        <w:noBreakHyphen/>
      </w:r>
      <w:r w:rsidRPr="00027624">
        <w:t xml:space="preserve">31. Women therefore work two years less in these scenarios. </w:t>
      </w:r>
      <w:r w:rsidRPr="00027624">
        <w:rPr>
          <w:vertAlign w:val="superscript"/>
        </w:rPr>
        <w:t>viii</w:t>
      </w:r>
      <w:r w:rsidRPr="00027624">
        <w:t xml:space="preserve">Assumes both members of the couple have shorter working lives. </w:t>
      </w:r>
      <w:r w:rsidRPr="00027624">
        <w:rPr>
          <w:vertAlign w:val="superscript"/>
        </w:rPr>
        <w:t>ix</w:t>
      </w:r>
      <w:r w:rsidRPr="00027624">
        <w:t xml:space="preserve">Coupled early retirement scenarios include 1) the primary earner retires early, while the secondary earner works to age 67, 2) both members of the couple retire early. </w:t>
      </w:r>
      <w:r w:rsidRPr="00027624">
        <w:rPr>
          <w:vertAlign w:val="superscript"/>
        </w:rPr>
        <w:t>x</w:t>
      </w:r>
      <w:r w:rsidRPr="00027624">
        <w:t>Low SG coverage assumes no SG from ages 35</w:t>
      </w:r>
      <w:r w:rsidR="00A8443E" w:rsidRPr="00027624">
        <w:noBreakHyphen/>
      </w:r>
      <w:r w:rsidRPr="00027624">
        <w:t>42. Source: Cameo modelling undertaken for the review.</w:t>
      </w:r>
    </w:p>
    <w:p w14:paraId="4CFAAD8A" w14:textId="77777777" w:rsidR="0092760B" w:rsidRPr="00027624" w:rsidRDefault="0092760B" w:rsidP="00CA7598">
      <w:pPr>
        <w:pStyle w:val="Heading4"/>
        <w:spacing w:before="120"/>
      </w:pPr>
      <w:r w:rsidRPr="00027624">
        <w:t>Fiscal impact and earnings tax sensitivities</w:t>
      </w:r>
    </w:p>
    <w:p w14:paraId="47E0640B" w14:textId="77777777" w:rsidR="0092760B" w:rsidRPr="00027624" w:rsidRDefault="0092760B" w:rsidP="002A2FAE">
      <w:r w:rsidRPr="00027624">
        <w:t>The projected fiscal impact of a 9.5 per cent SG rate is sensitive to assumptions regarding how people use the additional disposable income that would otherwise have been contributed to superannuation.</w:t>
      </w:r>
    </w:p>
    <w:p w14:paraId="066ADCD5" w14:textId="77777777" w:rsidR="0092760B" w:rsidRPr="00027624" w:rsidRDefault="0092760B" w:rsidP="002A2FAE">
      <w:r w:rsidRPr="00027624">
        <w:t xml:space="preserve">Modelling in </w:t>
      </w:r>
      <w:r w:rsidRPr="00027624">
        <w:rPr>
          <w:i/>
        </w:rPr>
        <w:t>Net fiscal impact</w:t>
      </w:r>
      <w:r w:rsidRPr="00027624">
        <w:t xml:space="preserve"> presents a central estimate based on likely savings behaviour. People are assumed to offset 30 per cent of the change in their SG contributions through higher voluntary savings. Higher voluntary savings are partly assumed to occur within superannuation through additional superannuation contributions such as salary sacrifice contributions. Modelling then assumes voluntary non</w:t>
      </w:r>
      <w:r w:rsidR="00A8443E" w:rsidRPr="00027624">
        <w:noBreakHyphen/>
      </w:r>
      <w:r w:rsidRPr="00027624">
        <w:t>superannuation savings offsets the shortfall between the 30 per cent assumption and the change in voluntary superannuation contributions.</w:t>
      </w:r>
    </w:p>
    <w:p w14:paraId="4CA67AE5" w14:textId="3ADEE6ED" w:rsidR="0092760B" w:rsidRPr="00027624" w:rsidRDefault="0092760B" w:rsidP="002A2FAE">
      <w:r w:rsidRPr="00027624">
        <w:lastRenderedPageBreak/>
        <w:fldChar w:fldCharType="begin"/>
      </w:r>
      <w:r w:rsidRPr="00027624">
        <w:instrText xml:space="preserve"> REF _Ref41726843 \r \h  \* MERGEFORMAT </w:instrText>
      </w:r>
      <w:r w:rsidRPr="00027624">
        <w:fldChar w:fldCharType="separate"/>
      </w:r>
      <w:r w:rsidR="00891058">
        <w:t>Chart 2D-16</w:t>
      </w:r>
      <w:r w:rsidRPr="00027624">
        <w:fldChar w:fldCharType="end"/>
      </w:r>
      <w:r w:rsidRPr="00027624">
        <w:t xml:space="preserve"> presents the upper and lower bounds of the potential net fiscal impact, in addition to the central estimate. The upper bound assumes that all additional disposable income is saved, with earnings taxed at marginal personal income tax rates. The lower bound assumes that all additional income is consumed or saved in a tax</w:t>
      </w:r>
      <w:r w:rsidR="00A8443E" w:rsidRPr="00027624">
        <w:noBreakHyphen/>
      </w:r>
      <w:r w:rsidRPr="00027624">
        <w:t>exempt vehicle, such as the family home.</w:t>
      </w:r>
    </w:p>
    <w:p w14:paraId="29C580C7" w14:textId="77777777" w:rsidR="0092760B" w:rsidRPr="00027624" w:rsidRDefault="0092760B" w:rsidP="00325A8D">
      <w:pPr>
        <w:pStyle w:val="ChartMainHeading"/>
      </w:pPr>
      <w:bookmarkStart w:id="651" w:name="_Ref41726843"/>
      <w:r w:rsidRPr="00027624">
        <w:t>Fiscal impact of maintaining the SG rate at 9.5 per cent</w:t>
      </w:r>
      <w:bookmarkEnd w:id="651"/>
    </w:p>
    <w:tbl>
      <w:tblPr>
        <w:tblW w:w="5000" w:type="pct"/>
        <w:jc w:val="center"/>
        <w:tblLook w:val="01E0" w:firstRow="1" w:lastRow="1" w:firstColumn="1" w:lastColumn="1" w:noHBand="0" w:noVBand="0"/>
      </w:tblPr>
      <w:tblGrid>
        <w:gridCol w:w="4535"/>
        <w:gridCol w:w="4535"/>
      </w:tblGrid>
      <w:tr w:rsidR="0092760B" w:rsidRPr="00027624" w14:paraId="033696E6" w14:textId="77777777" w:rsidTr="002A2FAE">
        <w:trPr>
          <w:trHeight w:val="317"/>
          <w:tblHeader/>
          <w:jc w:val="center"/>
        </w:trPr>
        <w:tc>
          <w:tcPr>
            <w:tcW w:w="2502" w:type="pct"/>
            <w:shd w:val="clear" w:color="auto" w:fill="auto"/>
          </w:tcPr>
          <w:p w14:paraId="18EA271D" w14:textId="77777777" w:rsidR="0092760B" w:rsidRPr="00027624" w:rsidRDefault="0092760B" w:rsidP="002A2FAE">
            <w:pPr>
              <w:pStyle w:val="ChartSecondHeading"/>
            </w:pPr>
            <w:r w:rsidRPr="00027624">
              <w:br w:type="page"/>
              <w:t>Annual</w:t>
            </w:r>
          </w:p>
        </w:tc>
        <w:tc>
          <w:tcPr>
            <w:tcW w:w="2498" w:type="pct"/>
            <w:shd w:val="clear" w:color="auto" w:fill="auto"/>
          </w:tcPr>
          <w:p w14:paraId="69EB4EB0" w14:textId="77777777" w:rsidR="0092760B" w:rsidRPr="00027624" w:rsidRDefault="0092760B" w:rsidP="002A2FAE">
            <w:pPr>
              <w:pStyle w:val="ChartSecondHeading"/>
            </w:pPr>
            <w:r w:rsidRPr="00027624">
              <w:t>Cumulative</w:t>
            </w:r>
          </w:p>
        </w:tc>
      </w:tr>
      <w:tr w:rsidR="0092760B" w:rsidRPr="00027624" w14:paraId="14E85CC1" w14:textId="77777777" w:rsidTr="002A2FAE">
        <w:trPr>
          <w:trHeight w:val="4888"/>
          <w:jc w:val="center"/>
        </w:trPr>
        <w:tc>
          <w:tcPr>
            <w:tcW w:w="2502" w:type="pct"/>
            <w:tcMar>
              <w:left w:w="0" w:type="dxa"/>
              <w:right w:w="0" w:type="dxa"/>
            </w:tcMar>
          </w:tcPr>
          <w:p w14:paraId="6047AAAD" w14:textId="77777777" w:rsidR="0092760B" w:rsidRPr="00027624" w:rsidRDefault="00D86B97" w:rsidP="002A2FAE">
            <w:pPr>
              <w:pStyle w:val="ChartGraphic"/>
            </w:pPr>
            <w:r>
              <w:rPr>
                <w:noProof/>
              </w:rPr>
              <w:drawing>
                <wp:inline distT="0" distB="0" distL="0" distR="0" wp14:anchorId="2D6EB4B0" wp14:editId="0B168E32">
                  <wp:extent cx="2880360" cy="2971800"/>
                  <wp:effectExtent l="0" t="0" r="0" b="0"/>
                  <wp:docPr id="33" name="Picture 33" descr="This chart shows the range of the fiscal impact associated with maintaining the SG rate at 9.5 per cent. The upper bound of the net fiscal impact of over 0.15 per cent of GDP by 2060. The lower bound is a decreasing positive impact that becomes neutral in 2050 and is a negative net impact of 0.05 per cent of GDP by 2060. The central estimate is a positive fiscal impact peaking at 0.1 per cent in the mid-2020s and becoming neutral by about 2055." title="An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80360" cy="2971800"/>
                          </a:xfrm>
                          <a:prstGeom prst="rect">
                            <a:avLst/>
                          </a:prstGeom>
                          <a:noFill/>
                        </pic:spPr>
                      </pic:pic>
                    </a:graphicData>
                  </a:graphic>
                </wp:inline>
              </w:drawing>
            </w:r>
          </w:p>
        </w:tc>
        <w:tc>
          <w:tcPr>
            <w:tcW w:w="2498" w:type="pct"/>
            <w:tcMar>
              <w:left w:w="0" w:type="dxa"/>
              <w:right w:w="0" w:type="dxa"/>
            </w:tcMar>
          </w:tcPr>
          <w:p w14:paraId="386BA6BC" w14:textId="77777777" w:rsidR="0092760B" w:rsidRPr="00027624" w:rsidRDefault="00D86B97" w:rsidP="002A2FAE">
            <w:pPr>
              <w:pStyle w:val="ChartGraphic"/>
            </w:pPr>
            <w:r>
              <w:rPr>
                <w:noProof/>
              </w:rPr>
              <w:drawing>
                <wp:inline distT="0" distB="0" distL="0" distR="0" wp14:anchorId="7B59C7DC" wp14:editId="3E554FDD">
                  <wp:extent cx="2880360" cy="2971800"/>
                  <wp:effectExtent l="0" t="0" r="0" b="0"/>
                  <wp:docPr id="35" name="Picture 35" descr="This chart shows the projected cumulative net fiscal impact of a 9.5 per cent SG rate, compared to a 12 per cent SG rate. The upper bound is a positive cumulative impact of around 6 per cent of GDP by 2060, with a lower bound of close to 1.5 per cent of GDP. The central estimate is 2 per cent total by 2060." title="Cumul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80360" cy="2971800"/>
                          </a:xfrm>
                          <a:prstGeom prst="rect">
                            <a:avLst/>
                          </a:prstGeom>
                          <a:noFill/>
                        </pic:spPr>
                      </pic:pic>
                    </a:graphicData>
                  </a:graphic>
                </wp:inline>
              </w:drawing>
            </w:r>
          </w:p>
        </w:tc>
      </w:tr>
    </w:tbl>
    <w:p w14:paraId="313B2584" w14:textId="77777777" w:rsidR="0092760B" w:rsidRPr="00027624" w:rsidRDefault="0092760B" w:rsidP="00CA7598">
      <w:pPr>
        <w:pStyle w:val="ChartorTableNote"/>
        <w:spacing w:before="0" w:after="120"/>
      </w:pPr>
      <w:r w:rsidRPr="00027624">
        <w:t>Note: Assumes 100 per cent pass</w:t>
      </w:r>
      <w:r w:rsidR="00A8443E" w:rsidRPr="00027624">
        <w:noBreakHyphen/>
      </w:r>
      <w:r w:rsidRPr="00027624">
        <w:t>through from the SG to wages over the longer term. Source: Estimates prepared by the review; Treasury estimated changes in taxes on contributions and earnings and Age Pension expenditure using MARIA.</w:t>
      </w:r>
    </w:p>
    <w:p w14:paraId="451B04C8" w14:textId="77777777" w:rsidR="0092760B" w:rsidRPr="00027624" w:rsidRDefault="0092760B" w:rsidP="00CA7598">
      <w:pPr>
        <w:pStyle w:val="Heading4"/>
        <w:spacing w:before="120"/>
      </w:pPr>
      <w:r w:rsidRPr="00027624">
        <w:t>Working life–retirement income trade</w:t>
      </w:r>
      <w:r w:rsidR="00A8443E" w:rsidRPr="00027624">
        <w:noBreakHyphen/>
      </w:r>
      <w:r w:rsidRPr="00027624">
        <w:t>off</w:t>
      </w:r>
    </w:p>
    <w:p w14:paraId="38933F9A" w14:textId="1A24CBEF" w:rsidR="0092760B" w:rsidRPr="00027624" w:rsidRDefault="0092760B" w:rsidP="002A2FAE">
      <w:bookmarkStart w:id="652" w:name="_Ref42598508"/>
      <w:bookmarkEnd w:id="652"/>
      <w:r w:rsidRPr="00027624">
        <w:t xml:space="preserve">Assessments of changes to working life and retirement income are sensitive to choice of deflator. Analysis in </w:t>
      </w:r>
      <w:r w:rsidRPr="00027624">
        <w:fldChar w:fldCharType="begin"/>
      </w:r>
      <w:r w:rsidRPr="00027624">
        <w:instrText xml:space="preserve"> REF _Ref40783268 \r \h </w:instrText>
      </w:r>
      <w:r w:rsidR="00FA7639" w:rsidRPr="00027624">
        <w:instrText xml:space="preserve"> \* MERGEFORMAT </w:instrText>
      </w:r>
      <w:r w:rsidRPr="00027624">
        <w:fldChar w:fldCharType="separate"/>
      </w:r>
      <w:r w:rsidR="00891058">
        <w:t>Table 2D-1</w:t>
      </w:r>
      <w:r w:rsidRPr="00027624">
        <w:fldChar w:fldCharType="end"/>
      </w:r>
      <w:r w:rsidRPr="00027624">
        <w:t xml:space="preserve"> presents results based on a mixed deflator (see </w:t>
      </w:r>
      <w:r w:rsidRPr="00027624">
        <w:rPr>
          <w:i/>
        </w:rPr>
        <w:t>Appendix 6A.</w:t>
      </w:r>
      <w:r w:rsidRPr="00027624" w:rsidDel="00A0581B">
        <w:rPr>
          <w:i/>
        </w:rPr>
        <w:t xml:space="preserve"> </w:t>
      </w:r>
      <w:r w:rsidRPr="00027624">
        <w:rPr>
          <w:i/>
        </w:rPr>
        <w:t>Detailed modelling methods and assumptions</w:t>
      </w:r>
      <w:r w:rsidRPr="00027624">
        <w:t xml:space="preserve">). Results under different deflators are presented in </w:t>
      </w:r>
      <w:r w:rsidRPr="00027624">
        <w:fldChar w:fldCharType="begin"/>
      </w:r>
      <w:r w:rsidRPr="00027624">
        <w:instrText xml:space="preserve"> REF _Ref41642338 \r \h  \* MERGEFORMAT </w:instrText>
      </w:r>
      <w:r w:rsidRPr="00027624">
        <w:fldChar w:fldCharType="separate"/>
      </w:r>
      <w:r w:rsidR="00891058">
        <w:t>Table 2D-4</w:t>
      </w:r>
      <w:r w:rsidRPr="00027624">
        <w:fldChar w:fldCharType="end"/>
      </w:r>
      <w:r w:rsidRPr="00027624">
        <w:t xml:space="preserve"> to demonstrate the impact of deflators on projected income.</w:t>
      </w:r>
    </w:p>
    <w:p w14:paraId="03FBD3B6" w14:textId="77777777" w:rsidR="0092760B" w:rsidRPr="00027624" w:rsidRDefault="0092760B" w:rsidP="00325A8D">
      <w:pPr>
        <w:pStyle w:val="TableMainHeading"/>
      </w:pPr>
      <w:bookmarkStart w:id="653" w:name="_Ref41642338"/>
      <w:r w:rsidRPr="00027624">
        <w:t>Change in working</w:t>
      </w:r>
      <w:r w:rsidR="00A8443E" w:rsidRPr="00027624">
        <w:noBreakHyphen/>
      </w:r>
      <w:r w:rsidRPr="00027624">
        <w:t>life and retirement income with a 9.5 per cent SG rate, by income and deflator type, mortality weighted</w:t>
      </w:r>
      <w:bookmarkEnd w:id="653"/>
    </w:p>
    <w:tbl>
      <w:tblPr>
        <w:tblW w:w="5000" w:type="pct"/>
        <w:tblLook w:val="01E0" w:firstRow="1" w:lastRow="1" w:firstColumn="1" w:lastColumn="1" w:noHBand="0" w:noVBand="0"/>
      </w:tblPr>
      <w:tblGrid>
        <w:gridCol w:w="1578"/>
        <w:gridCol w:w="1250"/>
        <w:gridCol w:w="1252"/>
        <w:gridCol w:w="1248"/>
        <w:gridCol w:w="1250"/>
        <w:gridCol w:w="1248"/>
        <w:gridCol w:w="1244"/>
      </w:tblGrid>
      <w:tr w:rsidR="0092760B" w:rsidRPr="00027624" w14:paraId="74020C6F" w14:textId="77777777" w:rsidTr="002A2FAE">
        <w:trPr>
          <w:trHeight w:val="270"/>
          <w:tblHeader/>
        </w:trPr>
        <w:tc>
          <w:tcPr>
            <w:tcW w:w="870" w:type="pct"/>
            <w:vMerge w:val="restart"/>
            <w:shd w:val="clear" w:color="auto" w:fill="E5E5E5"/>
          </w:tcPr>
          <w:p w14:paraId="6EF59BA5" w14:textId="77777777" w:rsidR="0092760B" w:rsidRPr="00027624" w:rsidRDefault="0092760B" w:rsidP="002A2FAE">
            <w:pPr>
              <w:pStyle w:val="TableColumnHeadingCentred"/>
            </w:pPr>
            <w:r w:rsidRPr="00027624">
              <w:t>Income percentile</w:t>
            </w:r>
          </w:p>
        </w:tc>
        <w:tc>
          <w:tcPr>
            <w:tcW w:w="1379" w:type="pct"/>
            <w:gridSpan w:val="2"/>
            <w:tcBorders>
              <w:right w:val="single" w:sz="4" w:space="0" w:color="auto"/>
            </w:tcBorders>
            <w:shd w:val="clear" w:color="auto" w:fill="E5E5E5"/>
          </w:tcPr>
          <w:p w14:paraId="5F61016D" w14:textId="77777777" w:rsidR="0092760B" w:rsidRPr="00027624" w:rsidRDefault="0092760B" w:rsidP="002A2FAE">
            <w:pPr>
              <w:pStyle w:val="TableColumnHeadingCentred"/>
            </w:pPr>
            <w:r w:rsidRPr="00027624">
              <w:t>Mixed deflator</w:t>
            </w:r>
          </w:p>
        </w:tc>
        <w:tc>
          <w:tcPr>
            <w:tcW w:w="1377" w:type="pct"/>
            <w:gridSpan w:val="2"/>
            <w:tcBorders>
              <w:left w:val="single" w:sz="4" w:space="0" w:color="auto"/>
              <w:right w:val="single" w:sz="4" w:space="0" w:color="auto"/>
            </w:tcBorders>
            <w:shd w:val="clear" w:color="auto" w:fill="E5E5E5"/>
          </w:tcPr>
          <w:p w14:paraId="27808F70" w14:textId="77777777" w:rsidR="0092760B" w:rsidRPr="00027624" w:rsidRDefault="0092760B" w:rsidP="002A2FAE">
            <w:pPr>
              <w:pStyle w:val="TableColumnHeadingCentred"/>
            </w:pPr>
            <w:r w:rsidRPr="00027624">
              <w:t>CPI</w:t>
            </w:r>
          </w:p>
        </w:tc>
        <w:tc>
          <w:tcPr>
            <w:tcW w:w="1375" w:type="pct"/>
            <w:gridSpan w:val="2"/>
            <w:tcBorders>
              <w:left w:val="single" w:sz="4" w:space="0" w:color="auto"/>
            </w:tcBorders>
            <w:shd w:val="clear" w:color="auto" w:fill="E5E5E5"/>
          </w:tcPr>
          <w:p w14:paraId="0A0B7131" w14:textId="77777777" w:rsidR="0092760B" w:rsidRPr="00027624" w:rsidRDefault="0092760B" w:rsidP="002A2FAE">
            <w:pPr>
              <w:pStyle w:val="TableColumnHeadingCentred"/>
            </w:pPr>
            <w:r w:rsidRPr="00027624">
              <w:t>Average Weekly Earnings</w:t>
            </w:r>
          </w:p>
        </w:tc>
      </w:tr>
      <w:tr w:rsidR="0092760B" w:rsidRPr="00027624" w14:paraId="2B481AF7" w14:textId="77777777" w:rsidTr="002A2FAE">
        <w:trPr>
          <w:trHeight w:val="270"/>
          <w:tblHeader/>
        </w:trPr>
        <w:tc>
          <w:tcPr>
            <w:tcW w:w="870" w:type="pct"/>
            <w:vMerge/>
          </w:tcPr>
          <w:p w14:paraId="0DA401E7" w14:textId="77777777" w:rsidR="0092760B" w:rsidRPr="00027624" w:rsidRDefault="0092760B" w:rsidP="002A2FAE">
            <w:pPr>
              <w:pStyle w:val="TableTextLeft"/>
              <w:jc w:val="center"/>
            </w:pPr>
          </w:p>
        </w:tc>
        <w:tc>
          <w:tcPr>
            <w:tcW w:w="689" w:type="pct"/>
            <w:shd w:val="clear" w:color="auto" w:fill="E5E5E5"/>
          </w:tcPr>
          <w:p w14:paraId="67E9ACE5" w14:textId="77777777" w:rsidR="0092760B" w:rsidRPr="00027624" w:rsidRDefault="0092760B" w:rsidP="002A2FAE">
            <w:pPr>
              <w:pStyle w:val="TableTextLeft"/>
              <w:jc w:val="center"/>
            </w:pPr>
            <w:r w:rsidRPr="00027624">
              <w:t>Working</w:t>
            </w:r>
            <w:r w:rsidR="00A8443E" w:rsidRPr="00027624">
              <w:noBreakHyphen/>
            </w:r>
            <w:r w:rsidRPr="00027624">
              <w:t>life ($)</w:t>
            </w:r>
          </w:p>
        </w:tc>
        <w:tc>
          <w:tcPr>
            <w:tcW w:w="690" w:type="pct"/>
            <w:tcBorders>
              <w:right w:val="single" w:sz="4" w:space="0" w:color="auto"/>
            </w:tcBorders>
            <w:shd w:val="clear" w:color="auto" w:fill="E5E5E5"/>
          </w:tcPr>
          <w:p w14:paraId="0A9AACF4" w14:textId="77777777" w:rsidR="0092760B" w:rsidRPr="00027624" w:rsidRDefault="0092760B" w:rsidP="002A2FAE">
            <w:pPr>
              <w:pStyle w:val="TableTextLeft"/>
              <w:jc w:val="center"/>
            </w:pPr>
            <w:r w:rsidRPr="00027624">
              <w:t>Retirement</w:t>
            </w:r>
          </w:p>
          <w:p w14:paraId="6AE9C55C" w14:textId="77777777" w:rsidR="0092760B" w:rsidRPr="00027624" w:rsidRDefault="0092760B" w:rsidP="002A2FAE">
            <w:pPr>
              <w:pStyle w:val="TableTextLeft"/>
              <w:jc w:val="center"/>
            </w:pPr>
            <w:r w:rsidRPr="00027624">
              <w:t>($)</w:t>
            </w:r>
          </w:p>
        </w:tc>
        <w:tc>
          <w:tcPr>
            <w:tcW w:w="688" w:type="pct"/>
            <w:tcBorders>
              <w:left w:val="single" w:sz="4" w:space="0" w:color="auto"/>
            </w:tcBorders>
            <w:shd w:val="clear" w:color="auto" w:fill="E5E5E5"/>
          </w:tcPr>
          <w:p w14:paraId="25454785" w14:textId="77777777" w:rsidR="0092760B" w:rsidRPr="00027624" w:rsidRDefault="0092760B" w:rsidP="002A2FAE">
            <w:pPr>
              <w:pStyle w:val="TableTextLeft"/>
              <w:jc w:val="center"/>
            </w:pPr>
            <w:r w:rsidRPr="00027624">
              <w:t>Working</w:t>
            </w:r>
            <w:r w:rsidR="00A8443E" w:rsidRPr="00027624">
              <w:noBreakHyphen/>
            </w:r>
            <w:r w:rsidRPr="00027624">
              <w:t>life ($)</w:t>
            </w:r>
          </w:p>
        </w:tc>
        <w:tc>
          <w:tcPr>
            <w:tcW w:w="689" w:type="pct"/>
            <w:tcBorders>
              <w:right w:val="single" w:sz="4" w:space="0" w:color="auto"/>
            </w:tcBorders>
            <w:shd w:val="clear" w:color="auto" w:fill="E5E5E5"/>
          </w:tcPr>
          <w:p w14:paraId="6DD57EC6" w14:textId="77777777" w:rsidR="0092760B" w:rsidRPr="00027624" w:rsidRDefault="0092760B" w:rsidP="002A2FAE">
            <w:pPr>
              <w:pStyle w:val="TableTextLeft"/>
              <w:jc w:val="center"/>
            </w:pPr>
            <w:r w:rsidRPr="00027624">
              <w:t>Retirement</w:t>
            </w:r>
          </w:p>
          <w:p w14:paraId="326D5A62" w14:textId="77777777" w:rsidR="0092760B" w:rsidRPr="00027624" w:rsidRDefault="0092760B" w:rsidP="002A2FAE">
            <w:pPr>
              <w:pStyle w:val="TableTextLeft"/>
              <w:jc w:val="center"/>
            </w:pPr>
            <w:r w:rsidRPr="00027624">
              <w:t>($)</w:t>
            </w:r>
          </w:p>
        </w:tc>
        <w:tc>
          <w:tcPr>
            <w:tcW w:w="688" w:type="pct"/>
            <w:tcBorders>
              <w:left w:val="single" w:sz="4" w:space="0" w:color="auto"/>
            </w:tcBorders>
            <w:shd w:val="clear" w:color="auto" w:fill="E5E5E5"/>
          </w:tcPr>
          <w:p w14:paraId="28311D2C" w14:textId="77777777" w:rsidR="0092760B" w:rsidRPr="00027624" w:rsidRDefault="0092760B" w:rsidP="002A2FAE">
            <w:pPr>
              <w:pStyle w:val="TableTextLeft"/>
              <w:jc w:val="center"/>
            </w:pPr>
            <w:r w:rsidRPr="00027624">
              <w:t>Working</w:t>
            </w:r>
            <w:r w:rsidR="00A8443E" w:rsidRPr="00027624">
              <w:noBreakHyphen/>
            </w:r>
            <w:r w:rsidRPr="00027624">
              <w:t>life ($)</w:t>
            </w:r>
          </w:p>
        </w:tc>
        <w:tc>
          <w:tcPr>
            <w:tcW w:w="687" w:type="pct"/>
            <w:shd w:val="clear" w:color="auto" w:fill="E5E5E5"/>
          </w:tcPr>
          <w:p w14:paraId="7F38E3F7" w14:textId="77777777" w:rsidR="0092760B" w:rsidRPr="00027624" w:rsidRDefault="0092760B" w:rsidP="002A2FAE">
            <w:pPr>
              <w:pStyle w:val="TableTextLeft"/>
              <w:jc w:val="center"/>
            </w:pPr>
            <w:r w:rsidRPr="00027624">
              <w:t>Retirement</w:t>
            </w:r>
          </w:p>
          <w:p w14:paraId="448E89C5" w14:textId="77777777" w:rsidR="0092760B" w:rsidRPr="00027624" w:rsidRDefault="0092760B" w:rsidP="002A2FAE">
            <w:pPr>
              <w:pStyle w:val="TableTextLeft"/>
              <w:jc w:val="center"/>
            </w:pPr>
            <w:r w:rsidRPr="00027624">
              <w:t>($)</w:t>
            </w:r>
          </w:p>
        </w:tc>
      </w:tr>
      <w:tr w:rsidR="0092760B" w:rsidRPr="00027624" w14:paraId="54D4DDE9" w14:textId="77777777" w:rsidTr="002A2FAE">
        <w:trPr>
          <w:trHeight w:val="270"/>
        </w:trPr>
        <w:tc>
          <w:tcPr>
            <w:tcW w:w="870" w:type="pct"/>
          </w:tcPr>
          <w:p w14:paraId="083F4BC0" w14:textId="77777777" w:rsidR="0092760B" w:rsidRPr="00027624" w:rsidRDefault="0092760B" w:rsidP="002A2FAE">
            <w:pPr>
              <w:pStyle w:val="TableTextLeft"/>
              <w:jc w:val="center"/>
            </w:pPr>
            <w:r w:rsidRPr="00027624">
              <w:t>10</w:t>
            </w:r>
          </w:p>
        </w:tc>
        <w:tc>
          <w:tcPr>
            <w:tcW w:w="689" w:type="pct"/>
            <w:shd w:val="clear" w:color="auto" w:fill="auto"/>
            <w:vAlign w:val="bottom"/>
          </w:tcPr>
          <w:p w14:paraId="7F49CC4E" w14:textId="77777777" w:rsidR="0092760B" w:rsidRPr="00027624" w:rsidRDefault="0092760B" w:rsidP="002A2FAE">
            <w:pPr>
              <w:pStyle w:val="TableTextLeft"/>
              <w:jc w:val="center"/>
            </w:pPr>
            <w:r w:rsidRPr="00027624">
              <w:rPr>
                <w:rFonts w:cs="Calibri"/>
                <w:szCs w:val="18"/>
              </w:rPr>
              <w:t xml:space="preserve">12,200 </w:t>
            </w:r>
          </w:p>
        </w:tc>
        <w:tc>
          <w:tcPr>
            <w:tcW w:w="690" w:type="pct"/>
            <w:tcBorders>
              <w:right w:val="single" w:sz="4" w:space="0" w:color="auto"/>
            </w:tcBorders>
            <w:shd w:val="clear" w:color="auto" w:fill="auto"/>
            <w:vAlign w:val="bottom"/>
          </w:tcPr>
          <w:p w14:paraId="4D2FB815"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28,100 </w:t>
            </w:r>
          </w:p>
        </w:tc>
        <w:tc>
          <w:tcPr>
            <w:tcW w:w="688" w:type="pct"/>
            <w:tcBorders>
              <w:left w:val="single" w:sz="4" w:space="0" w:color="auto"/>
            </w:tcBorders>
            <w:vAlign w:val="bottom"/>
          </w:tcPr>
          <w:p w14:paraId="3AB5DF43" w14:textId="77777777" w:rsidR="0092760B" w:rsidRPr="00027624" w:rsidRDefault="0092760B" w:rsidP="002A2FAE">
            <w:pPr>
              <w:pStyle w:val="TableTextLeft"/>
              <w:jc w:val="center"/>
            </w:pPr>
            <w:r w:rsidRPr="00027624">
              <w:rPr>
                <w:rFonts w:cs="Calibri"/>
                <w:szCs w:val="18"/>
              </w:rPr>
              <w:t xml:space="preserve">16,100 </w:t>
            </w:r>
          </w:p>
        </w:tc>
        <w:tc>
          <w:tcPr>
            <w:tcW w:w="689" w:type="pct"/>
            <w:tcBorders>
              <w:right w:val="single" w:sz="4" w:space="0" w:color="auto"/>
            </w:tcBorders>
            <w:vAlign w:val="bottom"/>
          </w:tcPr>
          <w:p w14:paraId="6E42DAD0"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49,000 </w:t>
            </w:r>
          </w:p>
        </w:tc>
        <w:tc>
          <w:tcPr>
            <w:tcW w:w="688" w:type="pct"/>
            <w:tcBorders>
              <w:left w:val="single" w:sz="4" w:space="0" w:color="auto"/>
            </w:tcBorders>
            <w:vAlign w:val="bottom"/>
          </w:tcPr>
          <w:p w14:paraId="15D156B9" w14:textId="77777777" w:rsidR="0092760B" w:rsidRPr="00027624" w:rsidRDefault="0092760B" w:rsidP="002A2FAE">
            <w:pPr>
              <w:pStyle w:val="TableTextLeft"/>
              <w:jc w:val="center"/>
            </w:pPr>
            <w:r w:rsidRPr="00027624">
              <w:rPr>
                <w:rFonts w:cs="Calibri"/>
                <w:szCs w:val="18"/>
              </w:rPr>
              <w:t xml:space="preserve">12,200 </w:t>
            </w:r>
          </w:p>
        </w:tc>
        <w:tc>
          <w:tcPr>
            <w:tcW w:w="687" w:type="pct"/>
            <w:vAlign w:val="bottom"/>
          </w:tcPr>
          <w:p w14:paraId="1AF8C61C"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24,500 </w:t>
            </w:r>
          </w:p>
        </w:tc>
      </w:tr>
      <w:tr w:rsidR="0092760B" w:rsidRPr="00027624" w14:paraId="12EAA9F2" w14:textId="77777777" w:rsidTr="002A2FAE">
        <w:trPr>
          <w:trHeight w:val="270"/>
        </w:trPr>
        <w:tc>
          <w:tcPr>
            <w:tcW w:w="870" w:type="pct"/>
          </w:tcPr>
          <w:p w14:paraId="05522743" w14:textId="77777777" w:rsidR="0092760B" w:rsidRPr="00027624" w:rsidRDefault="0092760B" w:rsidP="002A2FAE">
            <w:pPr>
              <w:pStyle w:val="TableTextLeft"/>
              <w:jc w:val="center"/>
            </w:pPr>
            <w:r w:rsidRPr="00027624">
              <w:t>20</w:t>
            </w:r>
          </w:p>
        </w:tc>
        <w:tc>
          <w:tcPr>
            <w:tcW w:w="689" w:type="pct"/>
            <w:shd w:val="clear" w:color="auto" w:fill="auto"/>
            <w:vAlign w:val="bottom"/>
          </w:tcPr>
          <w:p w14:paraId="3BB8F33B" w14:textId="77777777" w:rsidR="0092760B" w:rsidRPr="00027624" w:rsidRDefault="0092760B" w:rsidP="002A2FAE">
            <w:pPr>
              <w:pStyle w:val="TableTextLeft"/>
              <w:jc w:val="center"/>
            </w:pPr>
            <w:r w:rsidRPr="00027624">
              <w:rPr>
                <w:rFonts w:cs="Calibri"/>
                <w:szCs w:val="18"/>
              </w:rPr>
              <w:t xml:space="preserve">17,300 </w:t>
            </w:r>
          </w:p>
        </w:tc>
        <w:tc>
          <w:tcPr>
            <w:tcW w:w="690" w:type="pct"/>
            <w:tcBorders>
              <w:right w:val="single" w:sz="4" w:space="0" w:color="auto"/>
            </w:tcBorders>
            <w:shd w:val="clear" w:color="auto" w:fill="auto"/>
            <w:vAlign w:val="bottom"/>
          </w:tcPr>
          <w:p w14:paraId="4157F99F"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27,900 </w:t>
            </w:r>
          </w:p>
        </w:tc>
        <w:tc>
          <w:tcPr>
            <w:tcW w:w="688" w:type="pct"/>
            <w:tcBorders>
              <w:left w:val="single" w:sz="4" w:space="0" w:color="auto"/>
            </w:tcBorders>
            <w:vAlign w:val="bottom"/>
          </w:tcPr>
          <w:p w14:paraId="671024C6" w14:textId="77777777" w:rsidR="0092760B" w:rsidRPr="00027624" w:rsidRDefault="0092760B" w:rsidP="002A2FAE">
            <w:pPr>
              <w:pStyle w:val="TableTextLeft"/>
              <w:jc w:val="center"/>
            </w:pPr>
            <w:r w:rsidRPr="00027624">
              <w:rPr>
                <w:rFonts w:cs="Calibri"/>
                <w:szCs w:val="18"/>
              </w:rPr>
              <w:t xml:space="preserve">22,900 </w:t>
            </w:r>
          </w:p>
        </w:tc>
        <w:tc>
          <w:tcPr>
            <w:tcW w:w="689" w:type="pct"/>
            <w:tcBorders>
              <w:right w:val="single" w:sz="4" w:space="0" w:color="auto"/>
            </w:tcBorders>
            <w:vAlign w:val="bottom"/>
          </w:tcPr>
          <w:p w14:paraId="715F9BD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48,700 </w:t>
            </w:r>
          </w:p>
        </w:tc>
        <w:tc>
          <w:tcPr>
            <w:tcW w:w="688" w:type="pct"/>
            <w:tcBorders>
              <w:left w:val="single" w:sz="4" w:space="0" w:color="auto"/>
            </w:tcBorders>
            <w:vAlign w:val="bottom"/>
          </w:tcPr>
          <w:p w14:paraId="7BEB689D" w14:textId="77777777" w:rsidR="0092760B" w:rsidRPr="00027624" w:rsidRDefault="0092760B" w:rsidP="002A2FAE">
            <w:pPr>
              <w:pStyle w:val="TableTextLeft"/>
              <w:jc w:val="center"/>
            </w:pPr>
            <w:r w:rsidRPr="00027624">
              <w:rPr>
                <w:rFonts w:cs="Calibri"/>
                <w:szCs w:val="18"/>
              </w:rPr>
              <w:t xml:space="preserve">17,300 </w:t>
            </w:r>
          </w:p>
        </w:tc>
        <w:tc>
          <w:tcPr>
            <w:tcW w:w="687" w:type="pct"/>
            <w:vAlign w:val="bottom"/>
          </w:tcPr>
          <w:p w14:paraId="11194EA4"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23,300 </w:t>
            </w:r>
          </w:p>
        </w:tc>
      </w:tr>
      <w:tr w:rsidR="0092760B" w:rsidRPr="00027624" w14:paraId="7263BF74" w14:textId="77777777" w:rsidTr="002A2FAE">
        <w:trPr>
          <w:trHeight w:val="270"/>
        </w:trPr>
        <w:tc>
          <w:tcPr>
            <w:tcW w:w="870" w:type="pct"/>
          </w:tcPr>
          <w:p w14:paraId="4F865D83" w14:textId="77777777" w:rsidR="0092760B" w:rsidRPr="00027624" w:rsidRDefault="0092760B" w:rsidP="002A2FAE">
            <w:pPr>
              <w:pStyle w:val="TableTextLeft"/>
              <w:jc w:val="center"/>
            </w:pPr>
            <w:r w:rsidRPr="00027624">
              <w:t>30</w:t>
            </w:r>
          </w:p>
        </w:tc>
        <w:tc>
          <w:tcPr>
            <w:tcW w:w="689" w:type="pct"/>
            <w:shd w:val="clear" w:color="auto" w:fill="auto"/>
            <w:vAlign w:val="bottom"/>
          </w:tcPr>
          <w:p w14:paraId="70BE580F" w14:textId="77777777" w:rsidR="0092760B" w:rsidRPr="00027624" w:rsidRDefault="0092760B" w:rsidP="002A2FAE">
            <w:pPr>
              <w:pStyle w:val="TableTextLeft"/>
              <w:jc w:val="center"/>
            </w:pPr>
            <w:r w:rsidRPr="00027624">
              <w:rPr>
                <w:rFonts w:cs="Calibri"/>
                <w:szCs w:val="18"/>
              </w:rPr>
              <w:t xml:space="preserve">22,600 </w:t>
            </w:r>
          </w:p>
        </w:tc>
        <w:tc>
          <w:tcPr>
            <w:tcW w:w="690" w:type="pct"/>
            <w:tcBorders>
              <w:right w:val="single" w:sz="4" w:space="0" w:color="auto"/>
            </w:tcBorders>
            <w:shd w:val="clear" w:color="auto" w:fill="auto"/>
            <w:vAlign w:val="bottom"/>
          </w:tcPr>
          <w:p w14:paraId="51451FC0"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28,500 </w:t>
            </w:r>
          </w:p>
        </w:tc>
        <w:tc>
          <w:tcPr>
            <w:tcW w:w="688" w:type="pct"/>
            <w:tcBorders>
              <w:left w:val="single" w:sz="4" w:space="0" w:color="auto"/>
            </w:tcBorders>
            <w:vAlign w:val="bottom"/>
          </w:tcPr>
          <w:p w14:paraId="63DFDC98" w14:textId="77777777" w:rsidR="0092760B" w:rsidRPr="00027624" w:rsidRDefault="0092760B" w:rsidP="002A2FAE">
            <w:pPr>
              <w:pStyle w:val="TableTextLeft"/>
              <w:jc w:val="center"/>
            </w:pPr>
            <w:r w:rsidRPr="00027624">
              <w:rPr>
                <w:rFonts w:cs="Calibri"/>
                <w:szCs w:val="18"/>
              </w:rPr>
              <w:t xml:space="preserve">30,000 </w:t>
            </w:r>
          </w:p>
        </w:tc>
        <w:tc>
          <w:tcPr>
            <w:tcW w:w="689" w:type="pct"/>
            <w:tcBorders>
              <w:right w:val="single" w:sz="4" w:space="0" w:color="auto"/>
            </w:tcBorders>
            <w:vAlign w:val="bottom"/>
          </w:tcPr>
          <w:p w14:paraId="1E1E96E0"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49,700 </w:t>
            </w:r>
          </w:p>
        </w:tc>
        <w:tc>
          <w:tcPr>
            <w:tcW w:w="688" w:type="pct"/>
            <w:tcBorders>
              <w:left w:val="single" w:sz="4" w:space="0" w:color="auto"/>
            </w:tcBorders>
            <w:vAlign w:val="bottom"/>
          </w:tcPr>
          <w:p w14:paraId="168ED92F" w14:textId="77777777" w:rsidR="0092760B" w:rsidRPr="00027624" w:rsidRDefault="0092760B" w:rsidP="002A2FAE">
            <w:pPr>
              <w:pStyle w:val="TableTextLeft"/>
              <w:jc w:val="center"/>
            </w:pPr>
            <w:r w:rsidRPr="00027624">
              <w:rPr>
                <w:rFonts w:cs="Calibri"/>
                <w:szCs w:val="18"/>
              </w:rPr>
              <w:t xml:space="preserve">22,600 </w:t>
            </w:r>
          </w:p>
        </w:tc>
        <w:tc>
          <w:tcPr>
            <w:tcW w:w="687" w:type="pct"/>
            <w:vAlign w:val="bottom"/>
          </w:tcPr>
          <w:p w14:paraId="012E9055"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23,300 </w:t>
            </w:r>
          </w:p>
        </w:tc>
      </w:tr>
      <w:tr w:rsidR="0092760B" w:rsidRPr="00027624" w14:paraId="0A8404AB" w14:textId="77777777" w:rsidTr="002A2FAE">
        <w:trPr>
          <w:trHeight w:val="270"/>
        </w:trPr>
        <w:tc>
          <w:tcPr>
            <w:tcW w:w="870" w:type="pct"/>
          </w:tcPr>
          <w:p w14:paraId="77B4B648" w14:textId="77777777" w:rsidR="0092760B" w:rsidRPr="00027624" w:rsidRDefault="0092760B" w:rsidP="002A2FAE">
            <w:pPr>
              <w:pStyle w:val="TableTextLeft"/>
              <w:jc w:val="center"/>
            </w:pPr>
            <w:r w:rsidRPr="00027624">
              <w:t>40</w:t>
            </w:r>
          </w:p>
        </w:tc>
        <w:tc>
          <w:tcPr>
            <w:tcW w:w="689" w:type="pct"/>
            <w:shd w:val="clear" w:color="auto" w:fill="auto"/>
            <w:vAlign w:val="bottom"/>
          </w:tcPr>
          <w:p w14:paraId="6AC1D82C" w14:textId="77777777" w:rsidR="0092760B" w:rsidRPr="00027624" w:rsidRDefault="0092760B" w:rsidP="002A2FAE">
            <w:pPr>
              <w:pStyle w:val="TableTextLeft"/>
              <w:jc w:val="center"/>
            </w:pPr>
            <w:r w:rsidRPr="00027624">
              <w:rPr>
                <w:rFonts w:cs="Calibri"/>
                <w:szCs w:val="18"/>
              </w:rPr>
              <w:t xml:space="preserve">27,500 </w:t>
            </w:r>
          </w:p>
        </w:tc>
        <w:tc>
          <w:tcPr>
            <w:tcW w:w="690" w:type="pct"/>
            <w:tcBorders>
              <w:right w:val="single" w:sz="4" w:space="0" w:color="auto"/>
            </w:tcBorders>
            <w:shd w:val="clear" w:color="auto" w:fill="auto"/>
            <w:vAlign w:val="bottom"/>
          </w:tcPr>
          <w:p w14:paraId="298EFF1B"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29,000 </w:t>
            </w:r>
          </w:p>
        </w:tc>
        <w:tc>
          <w:tcPr>
            <w:tcW w:w="688" w:type="pct"/>
            <w:tcBorders>
              <w:left w:val="single" w:sz="4" w:space="0" w:color="auto"/>
            </w:tcBorders>
            <w:vAlign w:val="bottom"/>
          </w:tcPr>
          <w:p w14:paraId="6DDD7098" w14:textId="77777777" w:rsidR="0092760B" w:rsidRPr="00027624" w:rsidRDefault="0092760B" w:rsidP="002A2FAE">
            <w:pPr>
              <w:pStyle w:val="TableTextLeft"/>
              <w:jc w:val="center"/>
            </w:pPr>
            <w:r w:rsidRPr="00027624">
              <w:rPr>
                <w:rFonts w:cs="Calibri"/>
                <w:szCs w:val="18"/>
              </w:rPr>
              <w:t xml:space="preserve">36,500 </w:t>
            </w:r>
          </w:p>
        </w:tc>
        <w:tc>
          <w:tcPr>
            <w:tcW w:w="689" w:type="pct"/>
            <w:tcBorders>
              <w:right w:val="single" w:sz="4" w:space="0" w:color="auto"/>
            </w:tcBorders>
            <w:vAlign w:val="bottom"/>
          </w:tcPr>
          <w:p w14:paraId="6335637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50,600 </w:t>
            </w:r>
          </w:p>
        </w:tc>
        <w:tc>
          <w:tcPr>
            <w:tcW w:w="688" w:type="pct"/>
            <w:tcBorders>
              <w:left w:val="single" w:sz="4" w:space="0" w:color="auto"/>
            </w:tcBorders>
            <w:vAlign w:val="bottom"/>
          </w:tcPr>
          <w:p w14:paraId="12369E63" w14:textId="77777777" w:rsidR="0092760B" w:rsidRPr="00027624" w:rsidRDefault="0092760B" w:rsidP="002A2FAE">
            <w:pPr>
              <w:pStyle w:val="TableTextLeft"/>
              <w:jc w:val="center"/>
            </w:pPr>
            <w:r w:rsidRPr="00027624">
              <w:rPr>
                <w:rFonts w:cs="Calibri"/>
                <w:szCs w:val="18"/>
              </w:rPr>
              <w:t xml:space="preserve">27,500 </w:t>
            </w:r>
          </w:p>
        </w:tc>
        <w:tc>
          <w:tcPr>
            <w:tcW w:w="687" w:type="pct"/>
            <w:vAlign w:val="bottom"/>
          </w:tcPr>
          <w:p w14:paraId="5466E5A0"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23,700 </w:t>
            </w:r>
          </w:p>
        </w:tc>
      </w:tr>
      <w:tr w:rsidR="0092760B" w:rsidRPr="00027624" w14:paraId="0D3A9F6F" w14:textId="77777777" w:rsidTr="002A2FAE">
        <w:trPr>
          <w:trHeight w:val="270"/>
        </w:trPr>
        <w:tc>
          <w:tcPr>
            <w:tcW w:w="870" w:type="pct"/>
          </w:tcPr>
          <w:p w14:paraId="05B3C9EC" w14:textId="77777777" w:rsidR="0092760B" w:rsidRPr="00027624" w:rsidRDefault="0092760B" w:rsidP="002A2FAE">
            <w:pPr>
              <w:pStyle w:val="TableTextLeft"/>
              <w:jc w:val="center"/>
            </w:pPr>
            <w:r w:rsidRPr="00027624">
              <w:t>50</w:t>
            </w:r>
          </w:p>
        </w:tc>
        <w:tc>
          <w:tcPr>
            <w:tcW w:w="689" w:type="pct"/>
            <w:shd w:val="clear" w:color="auto" w:fill="auto"/>
            <w:vAlign w:val="bottom"/>
          </w:tcPr>
          <w:p w14:paraId="5D56263E" w14:textId="77777777" w:rsidR="0092760B" w:rsidRPr="00027624" w:rsidRDefault="0092760B" w:rsidP="002A2FAE">
            <w:pPr>
              <w:pStyle w:val="TableTextLeft"/>
              <w:jc w:val="center"/>
            </w:pPr>
            <w:r w:rsidRPr="00027624">
              <w:rPr>
                <w:rFonts w:cs="Calibri"/>
                <w:szCs w:val="18"/>
              </w:rPr>
              <w:t xml:space="preserve">32,400 </w:t>
            </w:r>
          </w:p>
        </w:tc>
        <w:tc>
          <w:tcPr>
            <w:tcW w:w="690" w:type="pct"/>
            <w:tcBorders>
              <w:right w:val="single" w:sz="4" w:space="0" w:color="auto"/>
            </w:tcBorders>
            <w:shd w:val="clear" w:color="auto" w:fill="auto"/>
            <w:vAlign w:val="bottom"/>
          </w:tcPr>
          <w:p w14:paraId="4D060B9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32,900 </w:t>
            </w:r>
          </w:p>
        </w:tc>
        <w:tc>
          <w:tcPr>
            <w:tcW w:w="688" w:type="pct"/>
            <w:tcBorders>
              <w:left w:val="single" w:sz="4" w:space="0" w:color="auto"/>
            </w:tcBorders>
            <w:vAlign w:val="bottom"/>
          </w:tcPr>
          <w:p w14:paraId="7BF85FDF" w14:textId="77777777" w:rsidR="0092760B" w:rsidRPr="00027624" w:rsidRDefault="0092760B" w:rsidP="002A2FAE">
            <w:pPr>
              <w:pStyle w:val="TableTextLeft"/>
              <w:jc w:val="center"/>
            </w:pPr>
            <w:r w:rsidRPr="00027624">
              <w:rPr>
                <w:rFonts w:cs="Calibri"/>
                <w:szCs w:val="18"/>
              </w:rPr>
              <w:t xml:space="preserve">43,000 </w:t>
            </w:r>
          </w:p>
        </w:tc>
        <w:tc>
          <w:tcPr>
            <w:tcW w:w="689" w:type="pct"/>
            <w:tcBorders>
              <w:right w:val="single" w:sz="4" w:space="0" w:color="auto"/>
            </w:tcBorders>
            <w:vAlign w:val="bottom"/>
          </w:tcPr>
          <w:p w14:paraId="0282E60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57,400 </w:t>
            </w:r>
          </w:p>
        </w:tc>
        <w:tc>
          <w:tcPr>
            <w:tcW w:w="688" w:type="pct"/>
            <w:tcBorders>
              <w:left w:val="single" w:sz="4" w:space="0" w:color="auto"/>
            </w:tcBorders>
            <w:vAlign w:val="bottom"/>
          </w:tcPr>
          <w:p w14:paraId="72C033E5" w14:textId="77777777" w:rsidR="0092760B" w:rsidRPr="00027624" w:rsidRDefault="0092760B" w:rsidP="002A2FAE">
            <w:pPr>
              <w:pStyle w:val="TableTextLeft"/>
              <w:jc w:val="center"/>
            </w:pPr>
            <w:r w:rsidRPr="00027624">
              <w:rPr>
                <w:rFonts w:cs="Calibri"/>
                <w:szCs w:val="18"/>
              </w:rPr>
              <w:t xml:space="preserve">32,400 </w:t>
            </w:r>
          </w:p>
        </w:tc>
        <w:tc>
          <w:tcPr>
            <w:tcW w:w="687" w:type="pct"/>
            <w:vAlign w:val="bottom"/>
          </w:tcPr>
          <w:p w14:paraId="5293DAB8"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27,600 </w:t>
            </w:r>
          </w:p>
        </w:tc>
      </w:tr>
      <w:tr w:rsidR="0092760B" w:rsidRPr="00027624" w14:paraId="05443277" w14:textId="77777777" w:rsidTr="002A2FAE">
        <w:trPr>
          <w:trHeight w:val="270"/>
        </w:trPr>
        <w:tc>
          <w:tcPr>
            <w:tcW w:w="870" w:type="pct"/>
          </w:tcPr>
          <w:p w14:paraId="1D032FF5" w14:textId="77777777" w:rsidR="0092760B" w:rsidRPr="00027624" w:rsidRDefault="0092760B" w:rsidP="002A2FAE">
            <w:pPr>
              <w:pStyle w:val="TableTextLeft"/>
              <w:jc w:val="center"/>
            </w:pPr>
            <w:r w:rsidRPr="00027624">
              <w:t>60</w:t>
            </w:r>
          </w:p>
        </w:tc>
        <w:tc>
          <w:tcPr>
            <w:tcW w:w="689" w:type="pct"/>
            <w:shd w:val="clear" w:color="auto" w:fill="auto"/>
            <w:vAlign w:val="bottom"/>
          </w:tcPr>
          <w:p w14:paraId="1E537A2F" w14:textId="77777777" w:rsidR="0092760B" w:rsidRPr="00027624" w:rsidRDefault="0092760B" w:rsidP="002A2FAE">
            <w:pPr>
              <w:pStyle w:val="TableTextLeft"/>
              <w:jc w:val="center"/>
            </w:pPr>
            <w:r w:rsidRPr="00027624">
              <w:rPr>
                <w:rFonts w:cs="Calibri"/>
                <w:szCs w:val="18"/>
              </w:rPr>
              <w:t xml:space="preserve">38,100 </w:t>
            </w:r>
          </w:p>
        </w:tc>
        <w:tc>
          <w:tcPr>
            <w:tcW w:w="690" w:type="pct"/>
            <w:tcBorders>
              <w:right w:val="single" w:sz="4" w:space="0" w:color="auto"/>
            </w:tcBorders>
            <w:shd w:val="clear" w:color="auto" w:fill="auto"/>
            <w:vAlign w:val="bottom"/>
          </w:tcPr>
          <w:p w14:paraId="03832F0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50,600 </w:t>
            </w:r>
          </w:p>
        </w:tc>
        <w:tc>
          <w:tcPr>
            <w:tcW w:w="688" w:type="pct"/>
            <w:tcBorders>
              <w:left w:val="single" w:sz="4" w:space="0" w:color="auto"/>
            </w:tcBorders>
            <w:vAlign w:val="bottom"/>
          </w:tcPr>
          <w:p w14:paraId="5AB0AE42" w14:textId="77777777" w:rsidR="0092760B" w:rsidRPr="00027624" w:rsidRDefault="0092760B" w:rsidP="002A2FAE">
            <w:pPr>
              <w:pStyle w:val="TableTextLeft"/>
              <w:jc w:val="center"/>
            </w:pPr>
            <w:r w:rsidRPr="00027624">
              <w:rPr>
                <w:rFonts w:cs="Calibri"/>
                <w:szCs w:val="18"/>
              </w:rPr>
              <w:t xml:space="preserve">50,500 </w:t>
            </w:r>
          </w:p>
        </w:tc>
        <w:tc>
          <w:tcPr>
            <w:tcW w:w="689" w:type="pct"/>
            <w:tcBorders>
              <w:right w:val="single" w:sz="4" w:space="0" w:color="auto"/>
            </w:tcBorders>
            <w:vAlign w:val="bottom"/>
          </w:tcPr>
          <w:p w14:paraId="4719FE15"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88,100 </w:t>
            </w:r>
          </w:p>
        </w:tc>
        <w:tc>
          <w:tcPr>
            <w:tcW w:w="688" w:type="pct"/>
            <w:tcBorders>
              <w:left w:val="single" w:sz="4" w:space="0" w:color="auto"/>
            </w:tcBorders>
            <w:vAlign w:val="bottom"/>
          </w:tcPr>
          <w:p w14:paraId="4B3538E1" w14:textId="77777777" w:rsidR="0092760B" w:rsidRPr="00027624" w:rsidRDefault="0092760B" w:rsidP="002A2FAE">
            <w:pPr>
              <w:pStyle w:val="TableTextLeft"/>
              <w:jc w:val="center"/>
            </w:pPr>
            <w:r w:rsidRPr="00027624">
              <w:rPr>
                <w:rFonts w:cs="Calibri"/>
                <w:szCs w:val="18"/>
              </w:rPr>
              <w:t xml:space="preserve">38,100 </w:t>
            </w:r>
          </w:p>
        </w:tc>
        <w:tc>
          <w:tcPr>
            <w:tcW w:w="687" w:type="pct"/>
            <w:vAlign w:val="bottom"/>
          </w:tcPr>
          <w:p w14:paraId="53D3F3FE"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44,300 </w:t>
            </w:r>
          </w:p>
        </w:tc>
      </w:tr>
      <w:tr w:rsidR="0092760B" w:rsidRPr="00027624" w14:paraId="13FB4807" w14:textId="77777777" w:rsidTr="002A2FAE">
        <w:trPr>
          <w:trHeight w:val="270"/>
        </w:trPr>
        <w:tc>
          <w:tcPr>
            <w:tcW w:w="870" w:type="pct"/>
          </w:tcPr>
          <w:p w14:paraId="2450B4E2" w14:textId="77777777" w:rsidR="0092760B" w:rsidRPr="00027624" w:rsidRDefault="0092760B" w:rsidP="002A2FAE">
            <w:pPr>
              <w:pStyle w:val="TableTextLeft"/>
              <w:jc w:val="center"/>
            </w:pPr>
            <w:r w:rsidRPr="00027624">
              <w:t>70</w:t>
            </w:r>
          </w:p>
        </w:tc>
        <w:tc>
          <w:tcPr>
            <w:tcW w:w="689" w:type="pct"/>
            <w:shd w:val="clear" w:color="auto" w:fill="auto"/>
            <w:vAlign w:val="bottom"/>
          </w:tcPr>
          <w:p w14:paraId="4737F7AD" w14:textId="77777777" w:rsidR="0092760B" w:rsidRPr="00027624" w:rsidRDefault="0092760B" w:rsidP="002A2FAE">
            <w:pPr>
              <w:pStyle w:val="TableTextLeft"/>
              <w:jc w:val="center"/>
            </w:pPr>
            <w:r w:rsidRPr="00027624">
              <w:rPr>
                <w:rFonts w:cs="Calibri"/>
                <w:szCs w:val="18"/>
              </w:rPr>
              <w:t xml:space="preserve">45,000 </w:t>
            </w:r>
          </w:p>
        </w:tc>
        <w:tc>
          <w:tcPr>
            <w:tcW w:w="690" w:type="pct"/>
            <w:tcBorders>
              <w:right w:val="single" w:sz="4" w:space="0" w:color="auto"/>
            </w:tcBorders>
            <w:shd w:val="clear" w:color="auto" w:fill="auto"/>
            <w:vAlign w:val="bottom"/>
          </w:tcPr>
          <w:p w14:paraId="49257CD1"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71,800 </w:t>
            </w:r>
          </w:p>
        </w:tc>
        <w:tc>
          <w:tcPr>
            <w:tcW w:w="688" w:type="pct"/>
            <w:tcBorders>
              <w:left w:val="single" w:sz="4" w:space="0" w:color="auto"/>
            </w:tcBorders>
            <w:vAlign w:val="bottom"/>
          </w:tcPr>
          <w:p w14:paraId="3E323704" w14:textId="77777777" w:rsidR="0092760B" w:rsidRPr="00027624" w:rsidRDefault="0092760B" w:rsidP="002A2FAE">
            <w:pPr>
              <w:pStyle w:val="TableTextLeft"/>
              <w:jc w:val="center"/>
            </w:pPr>
            <w:r w:rsidRPr="00027624">
              <w:rPr>
                <w:rFonts w:cs="Calibri"/>
                <w:szCs w:val="18"/>
              </w:rPr>
              <w:t xml:space="preserve">59,700 </w:t>
            </w:r>
          </w:p>
        </w:tc>
        <w:tc>
          <w:tcPr>
            <w:tcW w:w="689" w:type="pct"/>
            <w:tcBorders>
              <w:right w:val="single" w:sz="4" w:space="0" w:color="auto"/>
            </w:tcBorders>
            <w:vAlign w:val="bottom"/>
          </w:tcPr>
          <w:p w14:paraId="27756D2C"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125,200 </w:t>
            </w:r>
          </w:p>
        </w:tc>
        <w:tc>
          <w:tcPr>
            <w:tcW w:w="688" w:type="pct"/>
            <w:tcBorders>
              <w:left w:val="single" w:sz="4" w:space="0" w:color="auto"/>
            </w:tcBorders>
            <w:vAlign w:val="bottom"/>
          </w:tcPr>
          <w:p w14:paraId="5EE9E6DB" w14:textId="77777777" w:rsidR="0092760B" w:rsidRPr="00027624" w:rsidRDefault="0092760B" w:rsidP="002A2FAE">
            <w:pPr>
              <w:pStyle w:val="TableTextLeft"/>
              <w:jc w:val="center"/>
            </w:pPr>
            <w:r w:rsidRPr="00027624">
              <w:rPr>
                <w:rFonts w:cs="Calibri"/>
                <w:szCs w:val="18"/>
              </w:rPr>
              <w:t xml:space="preserve">45,000 </w:t>
            </w:r>
          </w:p>
        </w:tc>
        <w:tc>
          <w:tcPr>
            <w:tcW w:w="687" w:type="pct"/>
            <w:vAlign w:val="bottom"/>
          </w:tcPr>
          <w:p w14:paraId="4E4A5066"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63,500 </w:t>
            </w:r>
          </w:p>
        </w:tc>
      </w:tr>
      <w:tr w:rsidR="0092760B" w:rsidRPr="00027624" w14:paraId="34E9216F" w14:textId="77777777" w:rsidTr="002A2FAE">
        <w:trPr>
          <w:trHeight w:val="270"/>
        </w:trPr>
        <w:tc>
          <w:tcPr>
            <w:tcW w:w="870" w:type="pct"/>
          </w:tcPr>
          <w:p w14:paraId="2A06E865" w14:textId="77777777" w:rsidR="0092760B" w:rsidRPr="00027624" w:rsidRDefault="0092760B" w:rsidP="002A2FAE">
            <w:pPr>
              <w:pStyle w:val="TableTextLeft"/>
              <w:jc w:val="center"/>
            </w:pPr>
            <w:r w:rsidRPr="00027624">
              <w:t>80</w:t>
            </w:r>
          </w:p>
        </w:tc>
        <w:tc>
          <w:tcPr>
            <w:tcW w:w="689" w:type="pct"/>
            <w:shd w:val="clear" w:color="auto" w:fill="auto"/>
            <w:vAlign w:val="bottom"/>
          </w:tcPr>
          <w:p w14:paraId="660E38D7" w14:textId="77777777" w:rsidR="0092760B" w:rsidRPr="00027624" w:rsidRDefault="0092760B" w:rsidP="002A2FAE">
            <w:pPr>
              <w:pStyle w:val="TableTextLeft"/>
              <w:jc w:val="center"/>
            </w:pPr>
            <w:r w:rsidRPr="00027624">
              <w:rPr>
                <w:rFonts w:cs="Calibri"/>
                <w:szCs w:val="18"/>
              </w:rPr>
              <w:t xml:space="preserve">53,900 </w:t>
            </w:r>
          </w:p>
        </w:tc>
        <w:tc>
          <w:tcPr>
            <w:tcW w:w="690" w:type="pct"/>
            <w:tcBorders>
              <w:right w:val="single" w:sz="4" w:space="0" w:color="auto"/>
            </w:tcBorders>
            <w:shd w:val="clear" w:color="auto" w:fill="auto"/>
            <w:vAlign w:val="bottom"/>
          </w:tcPr>
          <w:p w14:paraId="4AA77B41"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101,300 </w:t>
            </w:r>
          </w:p>
        </w:tc>
        <w:tc>
          <w:tcPr>
            <w:tcW w:w="688" w:type="pct"/>
            <w:tcBorders>
              <w:left w:val="single" w:sz="4" w:space="0" w:color="auto"/>
            </w:tcBorders>
            <w:vAlign w:val="bottom"/>
          </w:tcPr>
          <w:p w14:paraId="16303CB7" w14:textId="77777777" w:rsidR="0092760B" w:rsidRPr="00027624" w:rsidRDefault="0092760B" w:rsidP="002A2FAE">
            <w:pPr>
              <w:pStyle w:val="TableTextLeft"/>
              <w:jc w:val="center"/>
            </w:pPr>
            <w:r w:rsidRPr="00027624">
              <w:rPr>
                <w:rFonts w:cs="Calibri"/>
                <w:szCs w:val="18"/>
              </w:rPr>
              <w:t xml:space="preserve">71,600 </w:t>
            </w:r>
          </w:p>
        </w:tc>
        <w:tc>
          <w:tcPr>
            <w:tcW w:w="689" w:type="pct"/>
            <w:tcBorders>
              <w:right w:val="single" w:sz="4" w:space="0" w:color="auto"/>
            </w:tcBorders>
            <w:vAlign w:val="bottom"/>
          </w:tcPr>
          <w:p w14:paraId="5395F2A0"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176,600 </w:t>
            </w:r>
          </w:p>
        </w:tc>
        <w:tc>
          <w:tcPr>
            <w:tcW w:w="688" w:type="pct"/>
            <w:tcBorders>
              <w:left w:val="single" w:sz="4" w:space="0" w:color="auto"/>
            </w:tcBorders>
            <w:vAlign w:val="bottom"/>
          </w:tcPr>
          <w:p w14:paraId="3A89BC2B" w14:textId="77777777" w:rsidR="0092760B" w:rsidRPr="00027624" w:rsidRDefault="0092760B" w:rsidP="002A2FAE">
            <w:pPr>
              <w:pStyle w:val="TableTextLeft"/>
              <w:jc w:val="center"/>
            </w:pPr>
            <w:r w:rsidRPr="00027624">
              <w:rPr>
                <w:rFonts w:cs="Calibri"/>
                <w:szCs w:val="18"/>
              </w:rPr>
              <w:t xml:space="preserve">53,900 </w:t>
            </w:r>
          </w:p>
        </w:tc>
        <w:tc>
          <w:tcPr>
            <w:tcW w:w="687" w:type="pct"/>
            <w:vAlign w:val="bottom"/>
          </w:tcPr>
          <w:p w14:paraId="51048181"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88,800 </w:t>
            </w:r>
          </w:p>
        </w:tc>
      </w:tr>
      <w:tr w:rsidR="0092760B" w:rsidRPr="00027624" w14:paraId="15B194E8" w14:textId="77777777" w:rsidTr="002A2FAE">
        <w:trPr>
          <w:trHeight w:val="270"/>
        </w:trPr>
        <w:tc>
          <w:tcPr>
            <w:tcW w:w="870" w:type="pct"/>
          </w:tcPr>
          <w:p w14:paraId="6EB4648E" w14:textId="77777777" w:rsidR="0092760B" w:rsidRPr="00027624" w:rsidRDefault="0092760B" w:rsidP="002A2FAE">
            <w:pPr>
              <w:pStyle w:val="TableTextLeft"/>
              <w:jc w:val="center"/>
            </w:pPr>
            <w:r w:rsidRPr="00027624">
              <w:t>90</w:t>
            </w:r>
          </w:p>
        </w:tc>
        <w:tc>
          <w:tcPr>
            <w:tcW w:w="689" w:type="pct"/>
            <w:shd w:val="clear" w:color="auto" w:fill="auto"/>
            <w:vAlign w:val="bottom"/>
          </w:tcPr>
          <w:p w14:paraId="1982957F" w14:textId="77777777" w:rsidR="0092760B" w:rsidRPr="00027624" w:rsidRDefault="0092760B" w:rsidP="002A2FAE">
            <w:pPr>
              <w:pStyle w:val="TableTextLeft"/>
              <w:jc w:val="center"/>
            </w:pPr>
            <w:r w:rsidRPr="00027624">
              <w:rPr>
                <w:rFonts w:cs="Calibri"/>
                <w:szCs w:val="18"/>
              </w:rPr>
              <w:t xml:space="preserve">58,200 </w:t>
            </w:r>
          </w:p>
        </w:tc>
        <w:tc>
          <w:tcPr>
            <w:tcW w:w="690" w:type="pct"/>
            <w:tcBorders>
              <w:right w:val="single" w:sz="4" w:space="0" w:color="auto"/>
            </w:tcBorders>
            <w:shd w:val="clear" w:color="auto" w:fill="auto"/>
            <w:vAlign w:val="bottom"/>
          </w:tcPr>
          <w:p w14:paraId="41ADF0FE"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147,400 </w:t>
            </w:r>
          </w:p>
        </w:tc>
        <w:tc>
          <w:tcPr>
            <w:tcW w:w="688" w:type="pct"/>
            <w:tcBorders>
              <w:left w:val="single" w:sz="4" w:space="0" w:color="auto"/>
            </w:tcBorders>
            <w:vAlign w:val="bottom"/>
          </w:tcPr>
          <w:p w14:paraId="49032188" w14:textId="77777777" w:rsidR="0092760B" w:rsidRPr="00027624" w:rsidRDefault="0092760B" w:rsidP="002A2FAE">
            <w:pPr>
              <w:pStyle w:val="TableTextLeft"/>
              <w:jc w:val="center"/>
            </w:pPr>
            <w:r w:rsidRPr="00027624">
              <w:rPr>
                <w:rFonts w:cs="Calibri"/>
                <w:szCs w:val="18"/>
              </w:rPr>
              <w:t xml:space="preserve">77,700 </w:t>
            </w:r>
          </w:p>
        </w:tc>
        <w:tc>
          <w:tcPr>
            <w:tcW w:w="689" w:type="pct"/>
            <w:tcBorders>
              <w:right w:val="single" w:sz="4" w:space="0" w:color="auto"/>
            </w:tcBorders>
            <w:vAlign w:val="bottom"/>
          </w:tcPr>
          <w:p w14:paraId="182A2F68"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256,900 </w:t>
            </w:r>
          </w:p>
        </w:tc>
        <w:tc>
          <w:tcPr>
            <w:tcW w:w="688" w:type="pct"/>
            <w:tcBorders>
              <w:left w:val="single" w:sz="4" w:space="0" w:color="auto"/>
            </w:tcBorders>
            <w:vAlign w:val="bottom"/>
          </w:tcPr>
          <w:p w14:paraId="256969D2" w14:textId="77777777" w:rsidR="0092760B" w:rsidRPr="00027624" w:rsidRDefault="0092760B" w:rsidP="002A2FAE">
            <w:pPr>
              <w:pStyle w:val="TableTextLeft"/>
              <w:jc w:val="center"/>
            </w:pPr>
            <w:r w:rsidRPr="00027624">
              <w:rPr>
                <w:rFonts w:cs="Calibri"/>
                <w:szCs w:val="18"/>
              </w:rPr>
              <w:t xml:space="preserve">58,200 </w:t>
            </w:r>
          </w:p>
        </w:tc>
        <w:tc>
          <w:tcPr>
            <w:tcW w:w="687" w:type="pct"/>
            <w:vAlign w:val="bottom"/>
          </w:tcPr>
          <w:p w14:paraId="580D6A3D" w14:textId="77777777" w:rsidR="0092760B" w:rsidRPr="00027624" w:rsidRDefault="00A8443E" w:rsidP="002A2FAE">
            <w:pPr>
              <w:pStyle w:val="TableTextLeft"/>
              <w:jc w:val="center"/>
            </w:pPr>
            <w:r w:rsidRPr="00027624">
              <w:rPr>
                <w:rFonts w:cs="Calibri"/>
                <w:szCs w:val="18"/>
              </w:rPr>
              <w:noBreakHyphen/>
            </w:r>
            <w:r w:rsidR="0092760B" w:rsidRPr="00027624">
              <w:rPr>
                <w:rFonts w:cs="Calibri"/>
                <w:szCs w:val="18"/>
              </w:rPr>
              <w:t xml:space="preserve">124,600 </w:t>
            </w:r>
          </w:p>
        </w:tc>
      </w:tr>
    </w:tbl>
    <w:p w14:paraId="58AA4D97" w14:textId="77777777" w:rsidR="0092760B" w:rsidRPr="00027624" w:rsidRDefault="0092760B" w:rsidP="002A2FAE">
      <w:pPr>
        <w:pStyle w:val="ChartorTableNote"/>
      </w:pPr>
      <w:r w:rsidRPr="00027624">
        <w:t>Note: Values are in 2019</w:t>
      </w:r>
      <w:r w:rsidR="00A8443E" w:rsidRPr="00027624">
        <w:noBreakHyphen/>
      </w:r>
      <w:r w:rsidRPr="00027624">
        <w:t xml:space="preserve">20 dollars, rounded to the nearest $100. Mortality weighting derived from Australian Government Actuary projections based on a female aged 27 in 2019. Change in lifetime income is for an individual living to 102. Modelling assumes draw down of all assets during retirement. See </w:t>
      </w:r>
      <w:r w:rsidRPr="00027624">
        <w:rPr>
          <w:i/>
        </w:rPr>
        <w:t>Appendix 6A. Detailed modelling methods and assumptions</w:t>
      </w:r>
      <w:r w:rsidRPr="00027624">
        <w:t xml:space="preserve"> for more. </w:t>
      </w:r>
      <w:r w:rsidRPr="00027624">
        <w:rPr>
          <w:color w:val="000000" w:themeColor="text1"/>
        </w:rPr>
        <w:t>Source:</w:t>
      </w:r>
      <w:r w:rsidRPr="00027624">
        <w:t xml:space="preserve"> Cameo modelling undertaken for the review and Australian Government Actuary mortality projections.</w:t>
      </w:r>
    </w:p>
    <w:p w14:paraId="186F745F" w14:textId="5984FF6E" w:rsidR="0092760B" w:rsidRPr="00027624" w:rsidRDefault="0092760B" w:rsidP="002A2FAE">
      <w:r w:rsidRPr="00027624">
        <w:lastRenderedPageBreak/>
        <w:t>Non</w:t>
      </w:r>
      <w:r w:rsidR="00A8443E" w:rsidRPr="00027624">
        <w:noBreakHyphen/>
      </w:r>
      <w:r w:rsidRPr="00027624">
        <w:t>mortality</w:t>
      </w:r>
      <w:r w:rsidR="00A8443E" w:rsidRPr="00027624">
        <w:noBreakHyphen/>
      </w:r>
      <w:r w:rsidRPr="00027624">
        <w:t xml:space="preserve">weighted projections of the change in working life and retirement income earner are presented below. Under this scenario, income received in retirement is weighted more heavily than in </w:t>
      </w:r>
      <w:r w:rsidRPr="00027624">
        <w:fldChar w:fldCharType="begin"/>
      </w:r>
      <w:r w:rsidRPr="00027624">
        <w:instrText xml:space="preserve"> REF _Ref41642338 \r \h </w:instrText>
      </w:r>
      <w:r w:rsidR="00FA7639" w:rsidRPr="00027624">
        <w:instrText xml:space="preserve"> \* MERGEFORMAT </w:instrText>
      </w:r>
      <w:r w:rsidRPr="00027624">
        <w:fldChar w:fldCharType="separate"/>
      </w:r>
      <w:r w:rsidR="00891058">
        <w:t>Table 2D-4</w:t>
      </w:r>
      <w:r w:rsidRPr="00027624">
        <w:fldChar w:fldCharType="end"/>
      </w:r>
      <w:r w:rsidRPr="00027624">
        <w:t>, which discounts income by the probability a person is alive to receive it.</w:t>
      </w:r>
    </w:p>
    <w:p w14:paraId="06D0242D" w14:textId="77777777" w:rsidR="0092760B" w:rsidRPr="00027624" w:rsidRDefault="0092760B" w:rsidP="00325A8D">
      <w:pPr>
        <w:pStyle w:val="TableMainHeading"/>
      </w:pPr>
      <w:r w:rsidRPr="00027624">
        <w:t>Change in working</w:t>
      </w:r>
      <w:r w:rsidR="00A8443E" w:rsidRPr="00027624">
        <w:noBreakHyphen/>
      </w:r>
      <w:r w:rsidRPr="00027624">
        <w:t>life and retirement income with 9.5 per cent SG rate, by income and deflator type</w:t>
      </w:r>
    </w:p>
    <w:tbl>
      <w:tblPr>
        <w:tblW w:w="5000" w:type="pct"/>
        <w:tblLook w:val="01E0" w:firstRow="1" w:lastRow="1" w:firstColumn="1" w:lastColumn="1" w:noHBand="0" w:noVBand="0"/>
      </w:tblPr>
      <w:tblGrid>
        <w:gridCol w:w="1298"/>
        <w:gridCol w:w="1297"/>
        <w:gridCol w:w="1297"/>
        <w:gridCol w:w="1295"/>
        <w:gridCol w:w="1295"/>
        <w:gridCol w:w="1295"/>
        <w:gridCol w:w="1293"/>
      </w:tblGrid>
      <w:tr w:rsidR="0092760B" w:rsidRPr="00027624" w14:paraId="52311FE9" w14:textId="77777777" w:rsidTr="002A2FAE">
        <w:trPr>
          <w:trHeight w:val="270"/>
          <w:tblHeader/>
        </w:trPr>
        <w:tc>
          <w:tcPr>
            <w:tcW w:w="715" w:type="pct"/>
            <w:vMerge w:val="restart"/>
            <w:shd w:val="clear" w:color="auto" w:fill="E5E5E5"/>
          </w:tcPr>
          <w:p w14:paraId="7A0886A5" w14:textId="77777777" w:rsidR="0092760B" w:rsidRPr="00027624" w:rsidRDefault="0092760B" w:rsidP="002A2FAE">
            <w:pPr>
              <w:pStyle w:val="TableColumnHeadingCentred"/>
            </w:pPr>
            <w:r w:rsidRPr="00027624">
              <w:t>Income percentile</w:t>
            </w:r>
          </w:p>
        </w:tc>
        <w:tc>
          <w:tcPr>
            <w:tcW w:w="1430" w:type="pct"/>
            <w:gridSpan w:val="2"/>
            <w:tcBorders>
              <w:right w:val="single" w:sz="4" w:space="0" w:color="auto"/>
            </w:tcBorders>
            <w:shd w:val="clear" w:color="auto" w:fill="E5E5E5"/>
          </w:tcPr>
          <w:p w14:paraId="34225FE7" w14:textId="77777777" w:rsidR="0092760B" w:rsidRPr="00027624" w:rsidRDefault="0092760B" w:rsidP="002A2FAE">
            <w:pPr>
              <w:pStyle w:val="TableColumnHeadingCentred"/>
            </w:pPr>
            <w:r w:rsidRPr="00027624">
              <w:t>Mixed deflator</w:t>
            </w:r>
          </w:p>
        </w:tc>
        <w:tc>
          <w:tcPr>
            <w:tcW w:w="1427" w:type="pct"/>
            <w:gridSpan w:val="2"/>
            <w:tcBorders>
              <w:left w:val="single" w:sz="4" w:space="0" w:color="auto"/>
              <w:right w:val="single" w:sz="4" w:space="0" w:color="auto"/>
            </w:tcBorders>
            <w:shd w:val="clear" w:color="auto" w:fill="E5E5E5"/>
          </w:tcPr>
          <w:p w14:paraId="25C5F36A" w14:textId="77777777" w:rsidR="0092760B" w:rsidRPr="00027624" w:rsidRDefault="0092760B" w:rsidP="002A2FAE">
            <w:pPr>
              <w:pStyle w:val="TableColumnHeadingCentred"/>
            </w:pPr>
            <w:r w:rsidRPr="00027624">
              <w:t>CPI</w:t>
            </w:r>
          </w:p>
        </w:tc>
        <w:tc>
          <w:tcPr>
            <w:tcW w:w="1427" w:type="pct"/>
            <w:gridSpan w:val="2"/>
            <w:tcBorders>
              <w:left w:val="single" w:sz="4" w:space="0" w:color="auto"/>
            </w:tcBorders>
            <w:shd w:val="clear" w:color="auto" w:fill="E5E5E5"/>
          </w:tcPr>
          <w:p w14:paraId="361802D3" w14:textId="77777777" w:rsidR="0092760B" w:rsidRPr="00027624" w:rsidRDefault="0092760B" w:rsidP="002A2FAE">
            <w:pPr>
              <w:pStyle w:val="TableColumnHeadingCentred"/>
            </w:pPr>
            <w:r w:rsidRPr="00027624">
              <w:t>Average weekly earnings</w:t>
            </w:r>
          </w:p>
        </w:tc>
      </w:tr>
      <w:tr w:rsidR="0092760B" w:rsidRPr="00027624" w14:paraId="388DAD97" w14:textId="77777777" w:rsidTr="002A2FAE">
        <w:trPr>
          <w:trHeight w:val="270"/>
          <w:tblHeader/>
        </w:trPr>
        <w:tc>
          <w:tcPr>
            <w:tcW w:w="715" w:type="pct"/>
            <w:vMerge/>
            <w:shd w:val="clear" w:color="auto" w:fill="E5E5E5"/>
          </w:tcPr>
          <w:p w14:paraId="41A1FD85" w14:textId="77777777" w:rsidR="0092760B" w:rsidRPr="00027624" w:rsidRDefault="0092760B" w:rsidP="002A2FAE">
            <w:pPr>
              <w:pStyle w:val="TableTextLeft"/>
              <w:jc w:val="center"/>
            </w:pPr>
          </w:p>
        </w:tc>
        <w:tc>
          <w:tcPr>
            <w:tcW w:w="715" w:type="pct"/>
            <w:shd w:val="clear" w:color="auto" w:fill="E5E5E5"/>
          </w:tcPr>
          <w:p w14:paraId="7E87A2EA" w14:textId="77777777" w:rsidR="0092760B" w:rsidRPr="00027624" w:rsidRDefault="0092760B" w:rsidP="002A2FAE">
            <w:pPr>
              <w:pStyle w:val="TableTextLeft"/>
              <w:jc w:val="center"/>
            </w:pPr>
            <w:r w:rsidRPr="00027624">
              <w:t>Working</w:t>
            </w:r>
            <w:r w:rsidR="00A8443E" w:rsidRPr="00027624">
              <w:noBreakHyphen/>
            </w:r>
            <w:r w:rsidRPr="00027624">
              <w:t>life ($)</w:t>
            </w:r>
          </w:p>
        </w:tc>
        <w:tc>
          <w:tcPr>
            <w:tcW w:w="715" w:type="pct"/>
            <w:tcBorders>
              <w:right w:val="single" w:sz="4" w:space="0" w:color="auto"/>
            </w:tcBorders>
            <w:shd w:val="clear" w:color="auto" w:fill="E5E5E5"/>
          </w:tcPr>
          <w:p w14:paraId="3481F5C7" w14:textId="77777777" w:rsidR="0092760B" w:rsidRPr="00027624" w:rsidRDefault="0092760B" w:rsidP="002A2FAE">
            <w:pPr>
              <w:pStyle w:val="TableTextLeft"/>
              <w:jc w:val="center"/>
            </w:pPr>
            <w:r w:rsidRPr="00027624">
              <w:t>Retirement</w:t>
            </w:r>
          </w:p>
          <w:p w14:paraId="78BE960D" w14:textId="77777777" w:rsidR="0092760B" w:rsidRPr="00027624" w:rsidRDefault="0092760B" w:rsidP="002A2FAE">
            <w:pPr>
              <w:pStyle w:val="TableTextLeft"/>
              <w:jc w:val="center"/>
            </w:pPr>
            <w:r w:rsidRPr="00027624">
              <w:t>($)</w:t>
            </w:r>
          </w:p>
        </w:tc>
        <w:tc>
          <w:tcPr>
            <w:tcW w:w="714" w:type="pct"/>
            <w:tcBorders>
              <w:left w:val="single" w:sz="4" w:space="0" w:color="auto"/>
            </w:tcBorders>
            <w:shd w:val="clear" w:color="auto" w:fill="E5E5E5"/>
          </w:tcPr>
          <w:p w14:paraId="428F6ADB" w14:textId="77777777" w:rsidR="0092760B" w:rsidRPr="00027624" w:rsidRDefault="0092760B" w:rsidP="002A2FAE">
            <w:pPr>
              <w:pStyle w:val="TableTextLeft"/>
              <w:jc w:val="center"/>
            </w:pPr>
            <w:r w:rsidRPr="00027624">
              <w:t>Working</w:t>
            </w:r>
            <w:r w:rsidR="00A8443E" w:rsidRPr="00027624">
              <w:noBreakHyphen/>
            </w:r>
            <w:r w:rsidRPr="00027624">
              <w:t>life</w:t>
            </w:r>
          </w:p>
          <w:p w14:paraId="13033066" w14:textId="77777777" w:rsidR="0092760B" w:rsidRPr="00027624" w:rsidRDefault="0092760B" w:rsidP="002A2FAE">
            <w:pPr>
              <w:pStyle w:val="TableTextLeft"/>
              <w:jc w:val="center"/>
            </w:pPr>
            <w:r w:rsidRPr="00027624">
              <w:t>($)</w:t>
            </w:r>
          </w:p>
        </w:tc>
        <w:tc>
          <w:tcPr>
            <w:tcW w:w="714" w:type="pct"/>
            <w:tcBorders>
              <w:right w:val="single" w:sz="4" w:space="0" w:color="auto"/>
            </w:tcBorders>
            <w:shd w:val="clear" w:color="auto" w:fill="E5E5E5"/>
          </w:tcPr>
          <w:p w14:paraId="7C646E8D" w14:textId="77777777" w:rsidR="0092760B" w:rsidRPr="00027624" w:rsidRDefault="0092760B" w:rsidP="002A2FAE">
            <w:pPr>
              <w:pStyle w:val="TableTextLeft"/>
              <w:jc w:val="center"/>
            </w:pPr>
            <w:r w:rsidRPr="00027624">
              <w:t>Retirement</w:t>
            </w:r>
          </w:p>
          <w:p w14:paraId="33F20B96" w14:textId="77777777" w:rsidR="0092760B" w:rsidRPr="00027624" w:rsidRDefault="0092760B" w:rsidP="002A2FAE">
            <w:pPr>
              <w:pStyle w:val="TableTextLeft"/>
              <w:jc w:val="center"/>
            </w:pPr>
            <w:r w:rsidRPr="00027624">
              <w:t>($)</w:t>
            </w:r>
          </w:p>
        </w:tc>
        <w:tc>
          <w:tcPr>
            <w:tcW w:w="714" w:type="pct"/>
            <w:tcBorders>
              <w:left w:val="single" w:sz="4" w:space="0" w:color="auto"/>
            </w:tcBorders>
            <w:shd w:val="clear" w:color="auto" w:fill="E5E5E5"/>
          </w:tcPr>
          <w:p w14:paraId="67B356C7" w14:textId="77777777" w:rsidR="0092760B" w:rsidRPr="00027624" w:rsidRDefault="0092760B" w:rsidP="002A2FAE">
            <w:pPr>
              <w:pStyle w:val="TableTextLeft"/>
              <w:jc w:val="center"/>
            </w:pPr>
            <w:r w:rsidRPr="00027624">
              <w:t>Working</w:t>
            </w:r>
            <w:r w:rsidR="00A8443E" w:rsidRPr="00027624">
              <w:noBreakHyphen/>
            </w:r>
            <w:r w:rsidRPr="00027624">
              <w:t>life ($)</w:t>
            </w:r>
          </w:p>
        </w:tc>
        <w:tc>
          <w:tcPr>
            <w:tcW w:w="713" w:type="pct"/>
            <w:shd w:val="clear" w:color="auto" w:fill="E5E5E5"/>
          </w:tcPr>
          <w:p w14:paraId="6614EF9A" w14:textId="77777777" w:rsidR="0092760B" w:rsidRPr="00027624" w:rsidRDefault="0092760B" w:rsidP="002A2FAE">
            <w:pPr>
              <w:pStyle w:val="TableTextLeft"/>
              <w:jc w:val="center"/>
            </w:pPr>
            <w:r w:rsidRPr="00027624">
              <w:t>Retirement</w:t>
            </w:r>
          </w:p>
          <w:p w14:paraId="4C38C295" w14:textId="77777777" w:rsidR="0092760B" w:rsidRPr="00027624" w:rsidRDefault="0092760B" w:rsidP="002A2FAE">
            <w:pPr>
              <w:pStyle w:val="TableTextLeft"/>
              <w:jc w:val="center"/>
            </w:pPr>
            <w:r w:rsidRPr="00027624">
              <w:t>($)</w:t>
            </w:r>
          </w:p>
        </w:tc>
      </w:tr>
      <w:tr w:rsidR="0092760B" w:rsidRPr="00027624" w14:paraId="03906420" w14:textId="77777777" w:rsidTr="002A2FAE">
        <w:trPr>
          <w:trHeight w:val="270"/>
        </w:trPr>
        <w:tc>
          <w:tcPr>
            <w:tcW w:w="715" w:type="pct"/>
          </w:tcPr>
          <w:p w14:paraId="2E493D11" w14:textId="77777777" w:rsidR="0092760B" w:rsidRPr="00027624" w:rsidRDefault="0092760B" w:rsidP="002A2FAE">
            <w:pPr>
              <w:pStyle w:val="TableTextLeft"/>
              <w:jc w:val="center"/>
            </w:pPr>
            <w:r w:rsidRPr="00027624">
              <w:t>10</w:t>
            </w:r>
          </w:p>
        </w:tc>
        <w:tc>
          <w:tcPr>
            <w:tcW w:w="715" w:type="pct"/>
            <w:vAlign w:val="bottom"/>
          </w:tcPr>
          <w:p w14:paraId="4AB88C64" w14:textId="77777777" w:rsidR="0092760B" w:rsidRPr="00027624" w:rsidRDefault="0092760B" w:rsidP="002A2FAE">
            <w:pPr>
              <w:pStyle w:val="TableTextLeft"/>
              <w:jc w:val="center"/>
              <w:rPr>
                <w:szCs w:val="18"/>
              </w:rPr>
            </w:pPr>
            <w:r w:rsidRPr="00027624">
              <w:rPr>
                <w:rFonts w:cs="Calibri"/>
                <w:szCs w:val="18"/>
              </w:rPr>
              <w:t xml:space="preserve">12,400 </w:t>
            </w:r>
          </w:p>
        </w:tc>
        <w:tc>
          <w:tcPr>
            <w:tcW w:w="715" w:type="pct"/>
            <w:tcBorders>
              <w:right w:val="single" w:sz="4" w:space="0" w:color="auto"/>
            </w:tcBorders>
            <w:vAlign w:val="bottom"/>
          </w:tcPr>
          <w:p w14:paraId="24EEC2A7"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30,800 </w:t>
            </w:r>
          </w:p>
        </w:tc>
        <w:tc>
          <w:tcPr>
            <w:tcW w:w="714" w:type="pct"/>
            <w:tcBorders>
              <w:left w:val="single" w:sz="4" w:space="0" w:color="auto"/>
            </w:tcBorders>
            <w:vAlign w:val="bottom"/>
          </w:tcPr>
          <w:p w14:paraId="76AE50D7" w14:textId="77777777" w:rsidR="0092760B" w:rsidRPr="00027624" w:rsidRDefault="0092760B" w:rsidP="002A2FAE">
            <w:pPr>
              <w:pStyle w:val="TableTextLeft"/>
              <w:jc w:val="center"/>
              <w:rPr>
                <w:szCs w:val="18"/>
              </w:rPr>
            </w:pPr>
            <w:r w:rsidRPr="00027624">
              <w:rPr>
                <w:rFonts w:cs="Calibri"/>
                <w:szCs w:val="18"/>
              </w:rPr>
              <w:t xml:space="preserve">16,500 </w:t>
            </w:r>
          </w:p>
        </w:tc>
        <w:tc>
          <w:tcPr>
            <w:tcW w:w="714" w:type="pct"/>
            <w:tcBorders>
              <w:right w:val="single" w:sz="4" w:space="0" w:color="auto"/>
            </w:tcBorders>
            <w:vAlign w:val="bottom"/>
          </w:tcPr>
          <w:p w14:paraId="18602F96"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53,700 </w:t>
            </w:r>
          </w:p>
        </w:tc>
        <w:tc>
          <w:tcPr>
            <w:tcW w:w="714" w:type="pct"/>
            <w:tcBorders>
              <w:left w:val="single" w:sz="4" w:space="0" w:color="auto"/>
            </w:tcBorders>
            <w:vAlign w:val="bottom"/>
          </w:tcPr>
          <w:p w14:paraId="3D0E3B20" w14:textId="77777777" w:rsidR="0092760B" w:rsidRPr="00027624" w:rsidRDefault="0092760B" w:rsidP="002A2FAE">
            <w:pPr>
              <w:pStyle w:val="TableTextLeft"/>
              <w:jc w:val="center"/>
              <w:rPr>
                <w:szCs w:val="18"/>
              </w:rPr>
            </w:pPr>
            <w:r w:rsidRPr="00027624">
              <w:rPr>
                <w:rFonts w:cs="Calibri"/>
                <w:szCs w:val="18"/>
              </w:rPr>
              <w:t xml:space="preserve">12,400 </w:t>
            </w:r>
          </w:p>
        </w:tc>
        <w:tc>
          <w:tcPr>
            <w:tcW w:w="713" w:type="pct"/>
            <w:vAlign w:val="bottom"/>
          </w:tcPr>
          <w:p w14:paraId="65FF05DA"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26,900 </w:t>
            </w:r>
          </w:p>
        </w:tc>
      </w:tr>
      <w:tr w:rsidR="0092760B" w:rsidRPr="00027624" w14:paraId="5C0E8A47" w14:textId="77777777" w:rsidTr="002A2FAE">
        <w:trPr>
          <w:trHeight w:val="270"/>
        </w:trPr>
        <w:tc>
          <w:tcPr>
            <w:tcW w:w="715" w:type="pct"/>
          </w:tcPr>
          <w:p w14:paraId="555DD0A1" w14:textId="77777777" w:rsidR="0092760B" w:rsidRPr="00027624" w:rsidRDefault="0092760B" w:rsidP="002A2FAE">
            <w:pPr>
              <w:pStyle w:val="TableTextLeft"/>
              <w:jc w:val="center"/>
            </w:pPr>
            <w:r w:rsidRPr="00027624">
              <w:t>20</w:t>
            </w:r>
          </w:p>
        </w:tc>
        <w:tc>
          <w:tcPr>
            <w:tcW w:w="715" w:type="pct"/>
            <w:vAlign w:val="bottom"/>
          </w:tcPr>
          <w:p w14:paraId="0B198263" w14:textId="77777777" w:rsidR="0092760B" w:rsidRPr="00027624" w:rsidRDefault="0092760B" w:rsidP="002A2FAE">
            <w:pPr>
              <w:pStyle w:val="TableTextLeft"/>
              <w:jc w:val="center"/>
              <w:rPr>
                <w:szCs w:val="18"/>
              </w:rPr>
            </w:pPr>
            <w:r w:rsidRPr="00027624">
              <w:rPr>
                <w:rFonts w:cs="Calibri"/>
                <w:szCs w:val="18"/>
              </w:rPr>
              <w:t xml:space="preserve">17,600 </w:t>
            </w:r>
          </w:p>
        </w:tc>
        <w:tc>
          <w:tcPr>
            <w:tcW w:w="715" w:type="pct"/>
            <w:tcBorders>
              <w:right w:val="single" w:sz="4" w:space="0" w:color="auto"/>
            </w:tcBorders>
            <w:vAlign w:val="bottom"/>
          </w:tcPr>
          <w:p w14:paraId="6CABD7E5"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31,800 </w:t>
            </w:r>
          </w:p>
        </w:tc>
        <w:tc>
          <w:tcPr>
            <w:tcW w:w="714" w:type="pct"/>
            <w:tcBorders>
              <w:left w:val="single" w:sz="4" w:space="0" w:color="auto"/>
            </w:tcBorders>
            <w:vAlign w:val="bottom"/>
          </w:tcPr>
          <w:p w14:paraId="1786546B" w14:textId="77777777" w:rsidR="0092760B" w:rsidRPr="00027624" w:rsidRDefault="0092760B" w:rsidP="002A2FAE">
            <w:pPr>
              <w:pStyle w:val="TableTextLeft"/>
              <w:jc w:val="center"/>
              <w:rPr>
                <w:szCs w:val="18"/>
              </w:rPr>
            </w:pPr>
            <w:r w:rsidRPr="00027624">
              <w:rPr>
                <w:rFonts w:cs="Calibri"/>
                <w:szCs w:val="18"/>
              </w:rPr>
              <w:t xml:space="preserve">23,400 </w:t>
            </w:r>
          </w:p>
        </w:tc>
        <w:tc>
          <w:tcPr>
            <w:tcW w:w="714" w:type="pct"/>
            <w:tcBorders>
              <w:right w:val="single" w:sz="4" w:space="0" w:color="auto"/>
            </w:tcBorders>
            <w:vAlign w:val="bottom"/>
          </w:tcPr>
          <w:p w14:paraId="176159D3"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55,400 </w:t>
            </w:r>
          </w:p>
        </w:tc>
        <w:tc>
          <w:tcPr>
            <w:tcW w:w="714" w:type="pct"/>
            <w:tcBorders>
              <w:left w:val="single" w:sz="4" w:space="0" w:color="auto"/>
            </w:tcBorders>
            <w:vAlign w:val="bottom"/>
          </w:tcPr>
          <w:p w14:paraId="0CBFBC09" w14:textId="77777777" w:rsidR="0092760B" w:rsidRPr="00027624" w:rsidRDefault="0092760B" w:rsidP="002A2FAE">
            <w:pPr>
              <w:pStyle w:val="TableTextLeft"/>
              <w:jc w:val="center"/>
              <w:rPr>
                <w:szCs w:val="18"/>
              </w:rPr>
            </w:pPr>
            <w:r w:rsidRPr="00027624">
              <w:rPr>
                <w:rFonts w:cs="Calibri"/>
                <w:szCs w:val="18"/>
              </w:rPr>
              <w:t xml:space="preserve">17,600 </w:t>
            </w:r>
          </w:p>
        </w:tc>
        <w:tc>
          <w:tcPr>
            <w:tcW w:w="713" w:type="pct"/>
            <w:vAlign w:val="bottom"/>
          </w:tcPr>
          <w:p w14:paraId="329D6A94"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26,500 </w:t>
            </w:r>
          </w:p>
        </w:tc>
      </w:tr>
      <w:tr w:rsidR="0092760B" w:rsidRPr="00027624" w14:paraId="15120275" w14:textId="77777777" w:rsidTr="002A2FAE">
        <w:trPr>
          <w:trHeight w:val="270"/>
        </w:trPr>
        <w:tc>
          <w:tcPr>
            <w:tcW w:w="715" w:type="pct"/>
          </w:tcPr>
          <w:p w14:paraId="34DBAFD1" w14:textId="77777777" w:rsidR="0092760B" w:rsidRPr="00027624" w:rsidRDefault="0092760B" w:rsidP="002A2FAE">
            <w:pPr>
              <w:pStyle w:val="TableTextLeft"/>
              <w:jc w:val="center"/>
            </w:pPr>
            <w:r w:rsidRPr="00027624">
              <w:t>30</w:t>
            </w:r>
          </w:p>
        </w:tc>
        <w:tc>
          <w:tcPr>
            <w:tcW w:w="715" w:type="pct"/>
            <w:vAlign w:val="bottom"/>
          </w:tcPr>
          <w:p w14:paraId="6AF4BF96" w14:textId="77777777" w:rsidR="0092760B" w:rsidRPr="00027624" w:rsidRDefault="0092760B" w:rsidP="002A2FAE">
            <w:pPr>
              <w:pStyle w:val="TableTextLeft"/>
              <w:jc w:val="center"/>
              <w:rPr>
                <w:szCs w:val="18"/>
              </w:rPr>
            </w:pPr>
            <w:r w:rsidRPr="00027624">
              <w:rPr>
                <w:rFonts w:cs="Calibri"/>
                <w:szCs w:val="18"/>
              </w:rPr>
              <w:t xml:space="preserve">23,100 </w:t>
            </w:r>
          </w:p>
        </w:tc>
        <w:tc>
          <w:tcPr>
            <w:tcW w:w="715" w:type="pct"/>
            <w:tcBorders>
              <w:right w:val="single" w:sz="4" w:space="0" w:color="auto"/>
            </w:tcBorders>
            <w:vAlign w:val="bottom"/>
          </w:tcPr>
          <w:p w14:paraId="4A66D574"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32,600 </w:t>
            </w:r>
          </w:p>
        </w:tc>
        <w:tc>
          <w:tcPr>
            <w:tcW w:w="714" w:type="pct"/>
            <w:tcBorders>
              <w:left w:val="single" w:sz="4" w:space="0" w:color="auto"/>
            </w:tcBorders>
            <w:vAlign w:val="bottom"/>
          </w:tcPr>
          <w:p w14:paraId="661795A2" w14:textId="77777777" w:rsidR="0092760B" w:rsidRPr="00027624" w:rsidRDefault="0092760B" w:rsidP="002A2FAE">
            <w:pPr>
              <w:pStyle w:val="TableTextLeft"/>
              <w:jc w:val="center"/>
              <w:rPr>
                <w:szCs w:val="18"/>
              </w:rPr>
            </w:pPr>
            <w:r w:rsidRPr="00027624">
              <w:rPr>
                <w:rFonts w:cs="Calibri"/>
                <w:szCs w:val="18"/>
              </w:rPr>
              <w:t xml:space="preserve">30,600 </w:t>
            </w:r>
          </w:p>
        </w:tc>
        <w:tc>
          <w:tcPr>
            <w:tcW w:w="714" w:type="pct"/>
            <w:tcBorders>
              <w:right w:val="single" w:sz="4" w:space="0" w:color="auto"/>
            </w:tcBorders>
            <w:vAlign w:val="bottom"/>
          </w:tcPr>
          <w:p w14:paraId="31D46788"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56,900 </w:t>
            </w:r>
          </w:p>
        </w:tc>
        <w:tc>
          <w:tcPr>
            <w:tcW w:w="714" w:type="pct"/>
            <w:tcBorders>
              <w:left w:val="single" w:sz="4" w:space="0" w:color="auto"/>
            </w:tcBorders>
            <w:vAlign w:val="bottom"/>
          </w:tcPr>
          <w:p w14:paraId="3C9493AA" w14:textId="77777777" w:rsidR="0092760B" w:rsidRPr="00027624" w:rsidRDefault="0092760B" w:rsidP="002A2FAE">
            <w:pPr>
              <w:pStyle w:val="TableTextLeft"/>
              <w:jc w:val="center"/>
              <w:rPr>
                <w:szCs w:val="18"/>
              </w:rPr>
            </w:pPr>
            <w:r w:rsidRPr="00027624">
              <w:rPr>
                <w:rFonts w:cs="Calibri"/>
                <w:szCs w:val="18"/>
              </w:rPr>
              <w:t xml:space="preserve">23,100 </w:t>
            </w:r>
          </w:p>
        </w:tc>
        <w:tc>
          <w:tcPr>
            <w:tcW w:w="713" w:type="pct"/>
            <w:vAlign w:val="bottom"/>
          </w:tcPr>
          <w:p w14:paraId="2AF1B0A2"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26,800 </w:t>
            </w:r>
          </w:p>
        </w:tc>
      </w:tr>
      <w:tr w:rsidR="0092760B" w:rsidRPr="00027624" w14:paraId="6311F177" w14:textId="77777777" w:rsidTr="002A2FAE">
        <w:trPr>
          <w:trHeight w:val="270"/>
        </w:trPr>
        <w:tc>
          <w:tcPr>
            <w:tcW w:w="715" w:type="pct"/>
          </w:tcPr>
          <w:p w14:paraId="6EF5008B" w14:textId="77777777" w:rsidR="0092760B" w:rsidRPr="00027624" w:rsidRDefault="0092760B" w:rsidP="002A2FAE">
            <w:pPr>
              <w:pStyle w:val="TableTextLeft"/>
              <w:jc w:val="center"/>
            </w:pPr>
            <w:r w:rsidRPr="00027624">
              <w:t>40</w:t>
            </w:r>
          </w:p>
        </w:tc>
        <w:tc>
          <w:tcPr>
            <w:tcW w:w="715" w:type="pct"/>
            <w:vAlign w:val="bottom"/>
          </w:tcPr>
          <w:p w14:paraId="4822BD9F" w14:textId="77777777" w:rsidR="0092760B" w:rsidRPr="00027624" w:rsidRDefault="0092760B" w:rsidP="002A2FAE">
            <w:pPr>
              <w:pStyle w:val="TableTextLeft"/>
              <w:jc w:val="center"/>
              <w:rPr>
                <w:szCs w:val="18"/>
              </w:rPr>
            </w:pPr>
            <w:r w:rsidRPr="00027624">
              <w:rPr>
                <w:rFonts w:cs="Calibri"/>
                <w:szCs w:val="18"/>
              </w:rPr>
              <w:t xml:space="preserve">28,000 </w:t>
            </w:r>
          </w:p>
        </w:tc>
        <w:tc>
          <w:tcPr>
            <w:tcW w:w="715" w:type="pct"/>
            <w:tcBorders>
              <w:right w:val="single" w:sz="4" w:space="0" w:color="auto"/>
            </w:tcBorders>
            <w:vAlign w:val="bottom"/>
          </w:tcPr>
          <w:p w14:paraId="77D1509A"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33,200 </w:t>
            </w:r>
          </w:p>
        </w:tc>
        <w:tc>
          <w:tcPr>
            <w:tcW w:w="714" w:type="pct"/>
            <w:tcBorders>
              <w:left w:val="single" w:sz="4" w:space="0" w:color="auto"/>
            </w:tcBorders>
            <w:vAlign w:val="bottom"/>
          </w:tcPr>
          <w:p w14:paraId="340E2DF7" w14:textId="77777777" w:rsidR="0092760B" w:rsidRPr="00027624" w:rsidRDefault="0092760B" w:rsidP="002A2FAE">
            <w:pPr>
              <w:pStyle w:val="TableTextLeft"/>
              <w:jc w:val="center"/>
              <w:rPr>
                <w:szCs w:val="18"/>
              </w:rPr>
            </w:pPr>
            <w:r w:rsidRPr="00027624">
              <w:rPr>
                <w:rFonts w:cs="Calibri"/>
                <w:szCs w:val="18"/>
              </w:rPr>
              <w:t xml:space="preserve">37,300 </w:t>
            </w:r>
          </w:p>
        </w:tc>
        <w:tc>
          <w:tcPr>
            <w:tcW w:w="714" w:type="pct"/>
            <w:tcBorders>
              <w:right w:val="single" w:sz="4" w:space="0" w:color="auto"/>
            </w:tcBorders>
            <w:vAlign w:val="bottom"/>
          </w:tcPr>
          <w:p w14:paraId="1F0626B0"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57,900 </w:t>
            </w:r>
          </w:p>
        </w:tc>
        <w:tc>
          <w:tcPr>
            <w:tcW w:w="714" w:type="pct"/>
            <w:tcBorders>
              <w:left w:val="single" w:sz="4" w:space="0" w:color="auto"/>
            </w:tcBorders>
            <w:vAlign w:val="bottom"/>
          </w:tcPr>
          <w:p w14:paraId="4A06EC21" w14:textId="77777777" w:rsidR="0092760B" w:rsidRPr="00027624" w:rsidRDefault="0092760B" w:rsidP="002A2FAE">
            <w:pPr>
              <w:pStyle w:val="TableTextLeft"/>
              <w:jc w:val="center"/>
              <w:rPr>
                <w:szCs w:val="18"/>
              </w:rPr>
            </w:pPr>
            <w:r w:rsidRPr="00027624">
              <w:rPr>
                <w:rFonts w:cs="Calibri"/>
                <w:szCs w:val="18"/>
              </w:rPr>
              <w:t xml:space="preserve">28,000 </w:t>
            </w:r>
          </w:p>
        </w:tc>
        <w:tc>
          <w:tcPr>
            <w:tcW w:w="713" w:type="pct"/>
            <w:vAlign w:val="bottom"/>
          </w:tcPr>
          <w:p w14:paraId="069D7EB1"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27,200 </w:t>
            </w:r>
          </w:p>
        </w:tc>
      </w:tr>
      <w:tr w:rsidR="0092760B" w:rsidRPr="00027624" w14:paraId="440C1531" w14:textId="77777777" w:rsidTr="002A2FAE">
        <w:trPr>
          <w:trHeight w:val="270"/>
        </w:trPr>
        <w:tc>
          <w:tcPr>
            <w:tcW w:w="715" w:type="pct"/>
          </w:tcPr>
          <w:p w14:paraId="42693FAB" w14:textId="77777777" w:rsidR="0092760B" w:rsidRPr="00027624" w:rsidRDefault="0092760B" w:rsidP="002A2FAE">
            <w:pPr>
              <w:pStyle w:val="TableTextLeft"/>
              <w:jc w:val="center"/>
            </w:pPr>
            <w:r w:rsidRPr="00027624">
              <w:t>50</w:t>
            </w:r>
          </w:p>
        </w:tc>
        <w:tc>
          <w:tcPr>
            <w:tcW w:w="715" w:type="pct"/>
            <w:vAlign w:val="bottom"/>
          </w:tcPr>
          <w:p w14:paraId="5ABC4A01" w14:textId="77777777" w:rsidR="0092760B" w:rsidRPr="00027624" w:rsidRDefault="0092760B" w:rsidP="002A2FAE">
            <w:pPr>
              <w:pStyle w:val="TableTextLeft"/>
              <w:jc w:val="center"/>
              <w:rPr>
                <w:szCs w:val="18"/>
              </w:rPr>
            </w:pPr>
            <w:r w:rsidRPr="00027624">
              <w:rPr>
                <w:rFonts w:cs="Calibri"/>
                <w:szCs w:val="18"/>
              </w:rPr>
              <w:t xml:space="preserve">33,100 </w:t>
            </w:r>
          </w:p>
        </w:tc>
        <w:tc>
          <w:tcPr>
            <w:tcW w:w="715" w:type="pct"/>
            <w:tcBorders>
              <w:right w:val="single" w:sz="4" w:space="0" w:color="auto"/>
            </w:tcBorders>
            <w:vAlign w:val="bottom"/>
          </w:tcPr>
          <w:p w14:paraId="046FDBC3"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37,200 </w:t>
            </w:r>
          </w:p>
        </w:tc>
        <w:tc>
          <w:tcPr>
            <w:tcW w:w="714" w:type="pct"/>
            <w:tcBorders>
              <w:left w:val="single" w:sz="4" w:space="0" w:color="auto"/>
            </w:tcBorders>
            <w:vAlign w:val="bottom"/>
          </w:tcPr>
          <w:p w14:paraId="524E81AF" w14:textId="77777777" w:rsidR="0092760B" w:rsidRPr="00027624" w:rsidRDefault="0092760B" w:rsidP="002A2FAE">
            <w:pPr>
              <w:pStyle w:val="TableTextLeft"/>
              <w:jc w:val="center"/>
              <w:rPr>
                <w:szCs w:val="18"/>
              </w:rPr>
            </w:pPr>
            <w:r w:rsidRPr="00027624">
              <w:rPr>
                <w:rFonts w:cs="Calibri"/>
                <w:szCs w:val="18"/>
              </w:rPr>
              <w:t xml:space="preserve">44,000 </w:t>
            </w:r>
          </w:p>
        </w:tc>
        <w:tc>
          <w:tcPr>
            <w:tcW w:w="714" w:type="pct"/>
            <w:tcBorders>
              <w:right w:val="single" w:sz="4" w:space="0" w:color="auto"/>
            </w:tcBorders>
            <w:vAlign w:val="bottom"/>
          </w:tcPr>
          <w:p w14:paraId="28D1F91B"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64,800 </w:t>
            </w:r>
          </w:p>
        </w:tc>
        <w:tc>
          <w:tcPr>
            <w:tcW w:w="714" w:type="pct"/>
            <w:tcBorders>
              <w:left w:val="single" w:sz="4" w:space="0" w:color="auto"/>
            </w:tcBorders>
            <w:vAlign w:val="bottom"/>
          </w:tcPr>
          <w:p w14:paraId="1A4E552E" w14:textId="77777777" w:rsidR="0092760B" w:rsidRPr="00027624" w:rsidRDefault="0092760B" w:rsidP="002A2FAE">
            <w:pPr>
              <w:pStyle w:val="TableTextLeft"/>
              <w:jc w:val="center"/>
              <w:rPr>
                <w:szCs w:val="18"/>
              </w:rPr>
            </w:pPr>
            <w:r w:rsidRPr="00027624">
              <w:rPr>
                <w:rFonts w:cs="Calibri"/>
                <w:szCs w:val="18"/>
              </w:rPr>
              <w:t xml:space="preserve">33,100 </w:t>
            </w:r>
          </w:p>
        </w:tc>
        <w:tc>
          <w:tcPr>
            <w:tcW w:w="713" w:type="pct"/>
            <w:vAlign w:val="bottom"/>
          </w:tcPr>
          <w:p w14:paraId="4A268D6B"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31,200 </w:t>
            </w:r>
          </w:p>
        </w:tc>
      </w:tr>
      <w:tr w:rsidR="0092760B" w:rsidRPr="00027624" w14:paraId="5C5E80D7" w14:textId="77777777" w:rsidTr="002A2FAE">
        <w:trPr>
          <w:trHeight w:val="270"/>
        </w:trPr>
        <w:tc>
          <w:tcPr>
            <w:tcW w:w="715" w:type="pct"/>
          </w:tcPr>
          <w:p w14:paraId="1E95D20B" w14:textId="77777777" w:rsidR="0092760B" w:rsidRPr="00027624" w:rsidRDefault="0092760B" w:rsidP="002A2FAE">
            <w:pPr>
              <w:pStyle w:val="TableTextLeft"/>
              <w:jc w:val="center"/>
            </w:pPr>
            <w:r w:rsidRPr="00027624">
              <w:t>60</w:t>
            </w:r>
          </w:p>
        </w:tc>
        <w:tc>
          <w:tcPr>
            <w:tcW w:w="715" w:type="pct"/>
            <w:vAlign w:val="bottom"/>
          </w:tcPr>
          <w:p w14:paraId="74A7B048" w14:textId="77777777" w:rsidR="0092760B" w:rsidRPr="00027624" w:rsidRDefault="0092760B" w:rsidP="002A2FAE">
            <w:pPr>
              <w:pStyle w:val="TableTextLeft"/>
              <w:jc w:val="center"/>
              <w:rPr>
                <w:szCs w:val="18"/>
              </w:rPr>
            </w:pPr>
            <w:r w:rsidRPr="00027624">
              <w:rPr>
                <w:rFonts w:cs="Calibri"/>
                <w:szCs w:val="18"/>
              </w:rPr>
              <w:t xml:space="preserve">38,800 </w:t>
            </w:r>
          </w:p>
        </w:tc>
        <w:tc>
          <w:tcPr>
            <w:tcW w:w="715" w:type="pct"/>
            <w:tcBorders>
              <w:right w:val="single" w:sz="4" w:space="0" w:color="auto"/>
            </w:tcBorders>
            <w:vAlign w:val="bottom"/>
          </w:tcPr>
          <w:p w14:paraId="6022B483"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55,900 </w:t>
            </w:r>
          </w:p>
        </w:tc>
        <w:tc>
          <w:tcPr>
            <w:tcW w:w="714" w:type="pct"/>
            <w:tcBorders>
              <w:left w:val="single" w:sz="4" w:space="0" w:color="auto"/>
            </w:tcBorders>
            <w:vAlign w:val="bottom"/>
          </w:tcPr>
          <w:p w14:paraId="2E73F742" w14:textId="77777777" w:rsidR="0092760B" w:rsidRPr="00027624" w:rsidRDefault="0092760B" w:rsidP="002A2FAE">
            <w:pPr>
              <w:pStyle w:val="TableTextLeft"/>
              <w:jc w:val="center"/>
              <w:rPr>
                <w:szCs w:val="18"/>
              </w:rPr>
            </w:pPr>
            <w:r w:rsidRPr="00027624">
              <w:rPr>
                <w:rFonts w:cs="Calibri"/>
                <w:szCs w:val="18"/>
              </w:rPr>
              <w:t xml:space="preserve">51,600 </w:t>
            </w:r>
          </w:p>
        </w:tc>
        <w:tc>
          <w:tcPr>
            <w:tcW w:w="714" w:type="pct"/>
            <w:tcBorders>
              <w:right w:val="single" w:sz="4" w:space="0" w:color="auto"/>
            </w:tcBorders>
            <w:vAlign w:val="bottom"/>
          </w:tcPr>
          <w:p w14:paraId="31E16782"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97,400 </w:t>
            </w:r>
          </w:p>
        </w:tc>
        <w:tc>
          <w:tcPr>
            <w:tcW w:w="714" w:type="pct"/>
            <w:tcBorders>
              <w:left w:val="single" w:sz="4" w:space="0" w:color="auto"/>
            </w:tcBorders>
            <w:vAlign w:val="bottom"/>
          </w:tcPr>
          <w:p w14:paraId="2F4CB979" w14:textId="77777777" w:rsidR="0092760B" w:rsidRPr="00027624" w:rsidRDefault="0092760B" w:rsidP="002A2FAE">
            <w:pPr>
              <w:pStyle w:val="TableTextLeft"/>
              <w:jc w:val="center"/>
              <w:rPr>
                <w:szCs w:val="18"/>
              </w:rPr>
            </w:pPr>
            <w:r w:rsidRPr="00027624">
              <w:rPr>
                <w:rFonts w:cs="Calibri"/>
                <w:szCs w:val="18"/>
              </w:rPr>
              <w:t xml:space="preserve">38,800 </w:t>
            </w:r>
          </w:p>
        </w:tc>
        <w:tc>
          <w:tcPr>
            <w:tcW w:w="713" w:type="pct"/>
            <w:vAlign w:val="bottom"/>
          </w:tcPr>
          <w:p w14:paraId="2D74293B"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48,900 </w:t>
            </w:r>
          </w:p>
        </w:tc>
      </w:tr>
      <w:tr w:rsidR="0092760B" w:rsidRPr="00027624" w14:paraId="656D9B35" w14:textId="77777777" w:rsidTr="002A2FAE">
        <w:trPr>
          <w:trHeight w:val="270"/>
        </w:trPr>
        <w:tc>
          <w:tcPr>
            <w:tcW w:w="715" w:type="pct"/>
          </w:tcPr>
          <w:p w14:paraId="3081B217" w14:textId="77777777" w:rsidR="0092760B" w:rsidRPr="00027624" w:rsidRDefault="0092760B" w:rsidP="002A2FAE">
            <w:pPr>
              <w:pStyle w:val="TableTextLeft"/>
              <w:jc w:val="center"/>
            </w:pPr>
            <w:r w:rsidRPr="00027624">
              <w:t>70</w:t>
            </w:r>
          </w:p>
        </w:tc>
        <w:tc>
          <w:tcPr>
            <w:tcW w:w="715" w:type="pct"/>
            <w:vAlign w:val="bottom"/>
          </w:tcPr>
          <w:p w14:paraId="7A99EB1A" w14:textId="77777777" w:rsidR="0092760B" w:rsidRPr="00027624" w:rsidRDefault="0092760B" w:rsidP="002A2FAE">
            <w:pPr>
              <w:pStyle w:val="TableTextLeft"/>
              <w:jc w:val="center"/>
              <w:rPr>
                <w:szCs w:val="18"/>
              </w:rPr>
            </w:pPr>
            <w:r w:rsidRPr="00027624">
              <w:rPr>
                <w:rFonts w:cs="Calibri"/>
                <w:szCs w:val="18"/>
              </w:rPr>
              <w:t xml:space="preserve">45,900 </w:t>
            </w:r>
          </w:p>
        </w:tc>
        <w:tc>
          <w:tcPr>
            <w:tcW w:w="715" w:type="pct"/>
            <w:tcBorders>
              <w:right w:val="single" w:sz="4" w:space="0" w:color="auto"/>
            </w:tcBorders>
            <w:vAlign w:val="bottom"/>
          </w:tcPr>
          <w:p w14:paraId="7DDD40F9"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78,700 </w:t>
            </w:r>
          </w:p>
        </w:tc>
        <w:tc>
          <w:tcPr>
            <w:tcW w:w="714" w:type="pct"/>
            <w:tcBorders>
              <w:left w:val="single" w:sz="4" w:space="0" w:color="auto"/>
            </w:tcBorders>
            <w:vAlign w:val="bottom"/>
          </w:tcPr>
          <w:p w14:paraId="2C128C77" w14:textId="77777777" w:rsidR="0092760B" w:rsidRPr="00027624" w:rsidRDefault="0092760B" w:rsidP="002A2FAE">
            <w:pPr>
              <w:pStyle w:val="TableTextLeft"/>
              <w:jc w:val="center"/>
              <w:rPr>
                <w:szCs w:val="18"/>
              </w:rPr>
            </w:pPr>
            <w:r w:rsidRPr="00027624">
              <w:rPr>
                <w:rFonts w:cs="Calibri"/>
                <w:szCs w:val="18"/>
              </w:rPr>
              <w:t xml:space="preserve">61,000 </w:t>
            </w:r>
          </w:p>
        </w:tc>
        <w:tc>
          <w:tcPr>
            <w:tcW w:w="714" w:type="pct"/>
            <w:tcBorders>
              <w:right w:val="single" w:sz="4" w:space="0" w:color="auto"/>
            </w:tcBorders>
            <w:vAlign w:val="bottom"/>
          </w:tcPr>
          <w:p w14:paraId="5EA37C62"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137,100 </w:t>
            </w:r>
          </w:p>
        </w:tc>
        <w:tc>
          <w:tcPr>
            <w:tcW w:w="714" w:type="pct"/>
            <w:tcBorders>
              <w:left w:val="single" w:sz="4" w:space="0" w:color="auto"/>
            </w:tcBorders>
            <w:vAlign w:val="bottom"/>
          </w:tcPr>
          <w:p w14:paraId="40E79C8F" w14:textId="77777777" w:rsidR="0092760B" w:rsidRPr="00027624" w:rsidRDefault="0092760B" w:rsidP="002A2FAE">
            <w:pPr>
              <w:pStyle w:val="TableTextLeft"/>
              <w:jc w:val="center"/>
              <w:rPr>
                <w:szCs w:val="18"/>
              </w:rPr>
            </w:pPr>
            <w:r w:rsidRPr="00027624">
              <w:rPr>
                <w:rFonts w:cs="Calibri"/>
                <w:szCs w:val="18"/>
              </w:rPr>
              <w:t xml:space="preserve">45,900 </w:t>
            </w:r>
          </w:p>
        </w:tc>
        <w:tc>
          <w:tcPr>
            <w:tcW w:w="713" w:type="pct"/>
            <w:vAlign w:val="bottom"/>
          </w:tcPr>
          <w:p w14:paraId="106DF571"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69,600 </w:t>
            </w:r>
          </w:p>
        </w:tc>
      </w:tr>
      <w:tr w:rsidR="0092760B" w:rsidRPr="00027624" w14:paraId="5C9FE0C4" w14:textId="77777777" w:rsidTr="002A2FAE">
        <w:trPr>
          <w:trHeight w:val="270"/>
        </w:trPr>
        <w:tc>
          <w:tcPr>
            <w:tcW w:w="715" w:type="pct"/>
          </w:tcPr>
          <w:p w14:paraId="38E83212" w14:textId="77777777" w:rsidR="0092760B" w:rsidRPr="00027624" w:rsidRDefault="0092760B" w:rsidP="002A2FAE">
            <w:pPr>
              <w:pStyle w:val="TableTextLeft"/>
              <w:jc w:val="center"/>
            </w:pPr>
            <w:r w:rsidRPr="00027624">
              <w:t>80</w:t>
            </w:r>
          </w:p>
        </w:tc>
        <w:tc>
          <w:tcPr>
            <w:tcW w:w="715" w:type="pct"/>
            <w:vAlign w:val="bottom"/>
          </w:tcPr>
          <w:p w14:paraId="3ED5B302" w14:textId="77777777" w:rsidR="0092760B" w:rsidRPr="00027624" w:rsidRDefault="0092760B" w:rsidP="002A2FAE">
            <w:pPr>
              <w:pStyle w:val="TableTextLeft"/>
              <w:jc w:val="center"/>
              <w:rPr>
                <w:szCs w:val="18"/>
              </w:rPr>
            </w:pPr>
            <w:r w:rsidRPr="00027624">
              <w:rPr>
                <w:rFonts w:cs="Calibri"/>
                <w:szCs w:val="18"/>
              </w:rPr>
              <w:t xml:space="preserve">54,900 </w:t>
            </w:r>
          </w:p>
        </w:tc>
        <w:tc>
          <w:tcPr>
            <w:tcW w:w="715" w:type="pct"/>
            <w:tcBorders>
              <w:right w:val="single" w:sz="4" w:space="0" w:color="auto"/>
            </w:tcBorders>
            <w:vAlign w:val="bottom"/>
          </w:tcPr>
          <w:p w14:paraId="27411EBB"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110,200 </w:t>
            </w:r>
          </w:p>
        </w:tc>
        <w:tc>
          <w:tcPr>
            <w:tcW w:w="714" w:type="pct"/>
            <w:tcBorders>
              <w:left w:val="single" w:sz="4" w:space="0" w:color="auto"/>
            </w:tcBorders>
            <w:vAlign w:val="bottom"/>
          </w:tcPr>
          <w:p w14:paraId="0844BEF5" w14:textId="77777777" w:rsidR="0092760B" w:rsidRPr="00027624" w:rsidRDefault="0092760B" w:rsidP="002A2FAE">
            <w:pPr>
              <w:pStyle w:val="TableTextLeft"/>
              <w:jc w:val="center"/>
              <w:rPr>
                <w:szCs w:val="18"/>
              </w:rPr>
            </w:pPr>
            <w:r w:rsidRPr="00027624">
              <w:rPr>
                <w:rFonts w:cs="Calibri"/>
                <w:szCs w:val="18"/>
              </w:rPr>
              <w:t xml:space="preserve">73,200 </w:t>
            </w:r>
          </w:p>
        </w:tc>
        <w:tc>
          <w:tcPr>
            <w:tcW w:w="714" w:type="pct"/>
            <w:tcBorders>
              <w:right w:val="single" w:sz="4" w:space="0" w:color="auto"/>
            </w:tcBorders>
            <w:vAlign w:val="bottom"/>
          </w:tcPr>
          <w:p w14:paraId="505E7A5F"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192,200 </w:t>
            </w:r>
          </w:p>
        </w:tc>
        <w:tc>
          <w:tcPr>
            <w:tcW w:w="714" w:type="pct"/>
            <w:tcBorders>
              <w:left w:val="single" w:sz="4" w:space="0" w:color="auto"/>
            </w:tcBorders>
            <w:vAlign w:val="bottom"/>
          </w:tcPr>
          <w:p w14:paraId="53895F49" w14:textId="77777777" w:rsidR="0092760B" w:rsidRPr="00027624" w:rsidRDefault="0092760B" w:rsidP="002A2FAE">
            <w:pPr>
              <w:pStyle w:val="TableTextLeft"/>
              <w:jc w:val="center"/>
              <w:rPr>
                <w:szCs w:val="18"/>
              </w:rPr>
            </w:pPr>
            <w:r w:rsidRPr="00027624">
              <w:rPr>
                <w:rFonts w:cs="Calibri"/>
                <w:szCs w:val="18"/>
              </w:rPr>
              <w:t xml:space="preserve">54,900 </w:t>
            </w:r>
          </w:p>
        </w:tc>
        <w:tc>
          <w:tcPr>
            <w:tcW w:w="713" w:type="pct"/>
            <w:vAlign w:val="bottom"/>
          </w:tcPr>
          <w:p w14:paraId="58194604"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96,900 </w:t>
            </w:r>
          </w:p>
        </w:tc>
      </w:tr>
      <w:tr w:rsidR="0092760B" w:rsidRPr="00027624" w14:paraId="6303F9D2" w14:textId="77777777" w:rsidTr="002A2FAE">
        <w:trPr>
          <w:trHeight w:val="270"/>
        </w:trPr>
        <w:tc>
          <w:tcPr>
            <w:tcW w:w="715" w:type="pct"/>
          </w:tcPr>
          <w:p w14:paraId="7C7EACD2" w14:textId="77777777" w:rsidR="0092760B" w:rsidRPr="00027624" w:rsidRDefault="0092760B" w:rsidP="002A2FAE">
            <w:pPr>
              <w:pStyle w:val="TableTextLeft"/>
              <w:jc w:val="center"/>
            </w:pPr>
            <w:r w:rsidRPr="00027624">
              <w:t>90</w:t>
            </w:r>
          </w:p>
        </w:tc>
        <w:tc>
          <w:tcPr>
            <w:tcW w:w="715" w:type="pct"/>
            <w:vAlign w:val="bottom"/>
          </w:tcPr>
          <w:p w14:paraId="22B8EA87" w14:textId="77777777" w:rsidR="0092760B" w:rsidRPr="00027624" w:rsidRDefault="0092760B" w:rsidP="002A2FAE">
            <w:pPr>
              <w:pStyle w:val="TableTextLeft"/>
              <w:jc w:val="center"/>
              <w:rPr>
                <w:szCs w:val="18"/>
              </w:rPr>
            </w:pPr>
            <w:r w:rsidRPr="00027624">
              <w:rPr>
                <w:rFonts w:cs="Calibri"/>
                <w:szCs w:val="18"/>
              </w:rPr>
              <w:t xml:space="preserve">59,400 </w:t>
            </w:r>
          </w:p>
        </w:tc>
        <w:tc>
          <w:tcPr>
            <w:tcW w:w="715" w:type="pct"/>
            <w:tcBorders>
              <w:right w:val="single" w:sz="4" w:space="0" w:color="auto"/>
            </w:tcBorders>
            <w:vAlign w:val="bottom"/>
          </w:tcPr>
          <w:p w14:paraId="2B0A08CC"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165,800 </w:t>
            </w:r>
          </w:p>
        </w:tc>
        <w:tc>
          <w:tcPr>
            <w:tcW w:w="714" w:type="pct"/>
            <w:tcBorders>
              <w:left w:val="single" w:sz="4" w:space="0" w:color="auto"/>
            </w:tcBorders>
            <w:vAlign w:val="bottom"/>
          </w:tcPr>
          <w:p w14:paraId="3B004616" w14:textId="77777777" w:rsidR="0092760B" w:rsidRPr="00027624" w:rsidRDefault="0092760B" w:rsidP="002A2FAE">
            <w:pPr>
              <w:pStyle w:val="TableTextLeft"/>
              <w:jc w:val="center"/>
              <w:rPr>
                <w:szCs w:val="18"/>
              </w:rPr>
            </w:pPr>
            <w:r w:rsidRPr="00027624">
              <w:rPr>
                <w:rFonts w:cs="Calibri"/>
                <w:szCs w:val="18"/>
              </w:rPr>
              <w:t xml:space="preserve">79,400 </w:t>
            </w:r>
          </w:p>
        </w:tc>
        <w:tc>
          <w:tcPr>
            <w:tcW w:w="714" w:type="pct"/>
            <w:tcBorders>
              <w:right w:val="single" w:sz="4" w:space="0" w:color="auto"/>
            </w:tcBorders>
            <w:vAlign w:val="bottom"/>
          </w:tcPr>
          <w:p w14:paraId="148D9AE1"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289,100 </w:t>
            </w:r>
          </w:p>
        </w:tc>
        <w:tc>
          <w:tcPr>
            <w:tcW w:w="714" w:type="pct"/>
            <w:tcBorders>
              <w:left w:val="single" w:sz="4" w:space="0" w:color="auto"/>
            </w:tcBorders>
            <w:vAlign w:val="bottom"/>
          </w:tcPr>
          <w:p w14:paraId="177B57E6" w14:textId="77777777" w:rsidR="0092760B" w:rsidRPr="00027624" w:rsidRDefault="0092760B" w:rsidP="002A2FAE">
            <w:pPr>
              <w:pStyle w:val="TableTextLeft"/>
              <w:jc w:val="center"/>
              <w:rPr>
                <w:szCs w:val="18"/>
              </w:rPr>
            </w:pPr>
            <w:r w:rsidRPr="00027624">
              <w:rPr>
                <w:rFonts w:cs="Calibri"/>
                <w:szCs w:val="18"/>
              </w:rPr>
              <w:t xml:space="preserve">59,400 </w:t>
            </w:r>
          </w:p>
        </w:tc>
        <w:tc>
          <w:tcPr>
            <w:tcW w:w="713" w:type="pct"/>
            <w:vAlign w:val="bottom"/>
          </w:tcPr>
          <w:p w14:paraId="71E7C1D5" w14:textId="77777777" w:rsidR="0092760B" w:rsidRPr="00027624" w:rsidRDefault="00A8443E" w:rsidP="002A2FAE">
            <w:pPr>
              <w:pStyle w:val="TableTextLeft"/>
              <w:jc w:val="center"/>
              <w:rPr>
                <w:szCs w:val="18"/>
              </w:rPr>
            </w:pPr>
            <w:r w:rsidRPr="00027624">
              <w:rPr>
                <w:rFonts w:cs="Calibri"/>
                <w:szCs w:val="18"/>
              </w:rPr>
              <w:noBreakHyphen/>
            </w:r>
            <w:r w:rsidR="0092760B" w:rsidRPr="00027624">
              <w:rPr>
                <w:rFonts w:cs="Calibri"/>
                <w:szCs w:val="18"/>
              </w:rPr>
              <w:t xml:space="preserve">140,300 </w:t>
            </w:r>
          </w:p>
        </w:tc>
      </w:tr>
    </w:tbl>
    <w:p w14:paraId="2A93C76E" w14:textId="77777777" w:rsidR="0092760B" w:rsidRPr="00027624" w:rsidRDefault="0092760B" w:rsidP="002A2FAE">
      <w:pPr>
        <w:pStyle w:val="ChartorTableNote"/>
      </w:pPr>
      <w:r w:rsidRPr="00027624">
        <w:t>Note: Values are in 2019</w:t>
      </w:r>
      <w:r w:rsidR="00A8443E" w:rsidRPr="00027624">
        <w:noBreakHyphen/>
      </w:r>
      <w:r w:rsidRPr="00027624">
        <w:t>20 dollars, rounded to the nearest $100. Assumes death at age 92 and draw down of all assets during retirement. Source: Cameo modelling undertaken for the review.</w:t>
      </w:r>
    </w:p>
    <w:p w14:paraId="02568E26" w14:textId="77777777" w:rsidR="0092760B" w:rsidRPr="00027624" w:rsidRDefault="0092760B">
      <w:pPr>
        <w:pStyle w:val="Heading3"/>
      </w:pPr>
      <w:r w:rsidRPr="00027624">
        <w:t>Different modelling approaches</w:t>
      </w:r>
    </w:p>
    <w:p w14:paraId="4D97EA59" w14:textId="77777777" w:rsidR="0092760B" w:rsidRPr="00027624" w:rsidRDefault="0092760B" w:rsidP="002A2FAE">
      <w:r w:rsidRPr="00027624">
        <w:t>The net fiscal projections in this chapter have been prepared by the review. Some components of the fiscal analysis in this section use Treasury</w:t>
      </w:r>
      <w:r w:rsidR="00A8443E" w:rsidRPr="00027624">
        <w:t>’</w:t>
      </w:r>
      <w:r w:rsidRPr="00027624">
        <w:t xml:space="preserve">s MARIA model. </w:t>
      </w:r>
      <w:r w:rsidR="00143018" w:rsidRPr="00027624">
        <w:t xml:space="preserve">For the purposes of comparison, </w:t>
      </w:r>
      <w:r w:rsidR="003A119F" w:rsidRPr="00027624">
        <w:t>m</w:t>
      </w:r>
      <w:r w:rsidRPr="00027624">
        <w:t xml:space="preserve">odelling was commissioned from Rice Warner on maintaining the SG rate at 9.5 per cent. Detailed discussion of differences in methodology are at </w:t>
      </w:r>
      <w:r w:rsidRPr="00027624">
        <w:rPr>
          <w:i/>
        </w:rPr>
        <w:t>Appendix 6A. Detailed modelling methods and assumptions.</w:t>
      </w:r>
    </w:p>
    <w:p w14:paraId="5806280F" w14:textId="77777777" w:rsidR="0092760B" w:rsidRPr="00027624" w:rsidRDefault="0092760B" w:rsidP="002A2FAE">
      <w:pPr>
        <w:pStyle w:val="Heading4"/>
      </w:pPr>
      <w:r w:rsidRPr="00027624">
        <w:t>Age Pension reliance</w:t>
      </w:r>
    </w:p>
    <w:p w14:paraId="7F3B9C1D" w14:textId="0CB5C467" w:rsidR="0092760B" w:rsidRPr="00027624" w:rsidRDefault="0092760B" w:rsidP="002A2FAE">
      <w:r w:rsidRPr="00027624">
        <w:t>Modelling from Rice Warner suggests a lower level of Age Pension reliance under both 12 per cent and 9.5 per cent SG rates. Rice Warner modelling suggests that the proportion of retirees on the Age Pension increases by 2.1 percentage points under a 9.5 per cent SG rate by 2059 (52.4 per cent compared with 50.3 per cent under a 12 per cent SG rate (</w:t>
      </w:r>
      <w:r w:rsidRPr="00027624">
        <w:fldChar w:fldCharType="begin"/>
      </w:r>
      <w:r w:rsidRPr="00027624">
        <w:instrText xml:space="preserve"> REF _Ref43368347 \r \h  \* MERGEFORMAT </w:instrText>
      </w:r>
      <w:r w:rsidRPr="00027624">
        <w:fldChar w:fldCharType="separate"/>
      </w:r>
      <w:r w:rsidR="00891058">
        <w:t>Chart 2D-17</w:t>
      </w:r>
      <w:r w:rsidRPr="00027624">
        <w:fldChar w:fldCharType="end"/>
      </w:r>
      <w:r w:rsidRPr="00027624">
        <w:t>)).</w:t>
      </w:r>
    </w:p>
    <w:p w14:paraId="2CE10E7B" w14:textId="77777777" w:rsidR="0092760B" w:rsidRPr="00027624" w:rsidRDefault="0092760B" w:rsidP="00325A8D">
      <w:pPr>
        <w:pStyle w:val="ChartMainHeading"/>
      </w:pPr>
      <w:bookmarkStart w:id="654" w:name="_Ref43368347"/>
      <w:r w:rsidRPr="00027624">
        <w:lastRenderedPageBreak/>
        <w:t>Projected proportion of eligible population receiving the Age Pension with a 12 per cent SG rate (solid line) and a 9.5 per cent SG rate (dashed line)</w:t>
      </w:r>
      <w:bookmarkEnd w:id="654"/>
    </w:p>
    <w:p w14:paraId="50F54798" w14:textId="77777777" w:rsidR="0092760B" w:rsidRPr="00027624" w:rsidRDefault="00D86B97" w:rsidP="002A2FAE">
      <w:pPr>
        <w:pStyle w:val="ChartGraphic"/>
      </w:pPr>
      <w:r>
        <w:rPr>
          <w:noProof/>
        </w:rPr>
        <w:drawing>
          <wp:inline distT="0" distB="0" distL="0" distR="0" wp14:anchorId="69E59E62" wp14:editId="28FA1249">
            <wp:extent cx="5593080" cy="2522220"/>
            <wp:effectExtent l="0" t="0" r="7620" b="0"/>
            <wp:docPr id="36" name="Picture 36" descr="This chart shows the proportion of retirees over Age Pension eligibility age who are projected to receive the Age Pension under modelling by Rice Warner. The proportion of the eligible population receiving an Age Pension is projected to decrease steadily between 2020 and 2060. Unlike MARIA modelling presented in Chart 2D -12, while the proportion of the eligible population on the full-rate Age Pension is projected to decline, it remains higher than the proportion of people on the part-rate Age Pension. There are projected to be marginally more age pensioners under a 9.5 per cent SG rate than under a 12 per cent SG rate, at 54 per cent and 52 per cent respectively by 2060." title="Chart 2D-17 Projected proportion of eligible population receiving the Age Pension with a 12 per cent SG rate (solid line) and a 9.5 per cent SG rate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pic:spPr>
                </pic:pic>
              </a:graphicData>
            </a:graphic>
          </wp:inline>
        </w:drawing>
      </w:r>
    </w:p>
    <w:p w14:paraId="6CC873EC" w14:textId="77777777" w:rsidR="0092760B" w:rsidRPr="00027624" w:rsidRDefault="0092760B" w:rsidP="002A2FAE">
      <w:pPr>
        <w:pStyle w:val="ChartorTableNote"/>
      </w:pPr>
      <w:r w:rsidRPr="00027624">
        <w:t>Source: Analysis of Rice Warner estimates for the review.</w:t>
      </w:r>
    </w:p>
    <w:p w14:paraId="61141F8A" w14:textId="0B7C4E3E" w:rsidR="0092760B" w:rsidRPr="00027624" w:rsidRDefault="0092760B" w:rsidP="002A2FAE">
      <w:r w:rsidRPr="00027624">
        <w:t>Age Pension expenditure is projected to increase by 0.06 per cent of GDP by 2059 (</w:t>
      </w:r>
      <w:r w:rsidRPr="00027624">
        <w:fldChar w:fldCharType="begin"/>
      </w:r>
      <w:r w:rsidRPr="00027624">
        <w:instrText xml:space="preserve"> REF _Ref41726065 \r \h  \* MERGEFORMAT </w:instrText>
      </w:r>
      <w:r w:rsidRPr="00027624">
        <w:fldChar w:fldCharType="separate"/>
      </w:r>
      <w:r w:rsidR="00891058">
        <w:t>Chart 2D-18</w:t>
      </w:r>
      <w:r w:rsidRPr="00027624">
        <w:fldChar w:fldCharType="end"/>
      </w:r>
      <w:r w:rsidRPr="00027624">
        <w:t xml:space="preserve">). </w:t>
      </w:r>
    </w:p>
    <w:p w14:paraId="5C0AE63F" w14:textId="77777777" w:rsidR="0092760B" w:rsidRPr="00027624" w:rsidRDefault="0092760B" w:rsidP="00325A8D">
      <w:pPr>
        <w:pStyle w:val="ChartMainHeading"/>
      </w:pPr>
      <w:bookmarkStart w:id="655" w:name="_Ref41726065"/>
      <w:r w:rsidRPr="00027624">
        <w:t>Change in Age Pension expenditure with a 9.5 per cent SG rate</w:t>
      </w:r>
      <w:bookmarkEnd w:id="655"/>
    </w:p>
    <w:p w14:paraId="292FD50E" w14:textId="77777777" w:rsidR="0092760B" w:rsidRPr="00027624" w:rsidRDefault="00D86B97" w:rsidP="002A2FAE">
      <w:pPr>
        <w:pStyle w:val="ChartGraphic"/>
      </w:pPr>
      <w:r>
        <w:rPr>
          <w:noProof/>
        </w:rPr>
        <w:drawing>
          <wp:inline distT="0" distB="0" distL="0" distR="0" wp14:anchorId="1C9C3797" wp14:editId="300D50C2">
            <wp:extent cx="5562600" cy="2606040"/>
            <wp:effectExtent l="0" t="0" r="0" b="3810"/>
            <wp:docPr id="37" name="Picture 37" descr="This chart shows that Age Pension expenditure under a 9.5 per cent SG rate is projected to begin to increase relative to a 12 per cent SG rate from around 2030, with the impact increasing to over 0.05 per cent of GDP per year by 2059." title="Chart 2D-18 Change in Age Pension expenditure with a 9.5 per cent SG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62600" cy="2606040"/>
                    </a:xfrm>
                    <a:prstGeom prst="rect">
                      <a:avLst/>
                    </a:prstGeom>
                    <a:noFill/>
                  </pic:spPr>
                </pic:pic>
              </a:graphicData>
            </a:graphic>
          </wp:inline>
        </w:drawing>
      </w:r>
    </w:p>
    <w:p w14:paraId="2B0D4F95" w14:textId="77777777" w:rsidR="0092760B" w:rsidRPr="00027624" w:rsidRDefault="0092760B">
      <w:pPr>
        <w:pStyle w:val="ChartorTableNote"/>
      </w:pPr>
      <w:r w:rsidRPr="00027624">
        <w:t>Source: Analysis of Rice Warner estimates for the review.</w:t>
      </w:r>
    </w:p>
    <w:p w14:paraId="38B2C445" w14:textId="77777777" w:rsidR="0092760B" w:rsidRPr="00027624" w:rsidRDefault="0092760B">
      <w:pPr>
        <w:pStyle w:val="Heading4"/>
      </w:pPr>
      <w:r w:rsidRPr="00027624">
        <w:t>Change in tax concessions</w:t>
      </w:r>
    </w:p>
    <w:p w14:paraId="3D206D4C" w14:textId="34E9F346" w:rsidR="0092760B" w:rsidRPr="00027624" w:rsidRDefault="0092760B" w:rsidP="002A2FAE">
      <w:r w:rsidRPr="00027624">
        <w:t>Rice Warner estimated the impact on superannuation tax concessions, which are projected to be lower under a 9.5 per cent SG rate. Contributions concessions are projected to decrease by 0.1 per cent of GDP by 2059, while earnings concessions are projected to be about 0.1 per cent of GDP lower (</w:t>
      </w:r>
      <w:r w:rsidRPr="00027624">
        <w:fldChar w:fldCharType="begin"/>
      </w:r>
      <w:r w:rsidRPr="00027624">
        <w:instrText xml:space="preserve"> REF _Ref39504891 \r \h  \* MERGEFORMAT </w:instrText>
      </w:r>
      <w:r w:rsidRPr="00027624">
        <w:fldChar w:fldCharType="separate"/>
      </w:r>
      <w:r w:rsidR="00891058">
        <w:t>Chart 2D-19</w:t>
      </w:r>
      <w:r w:rsidRPr="00027624">
        <w:fldChar w:fldCharType="end"/>
      </w:r>
      <w:r w:rsidRPr="00027624">
        <w:t>).</w:t>
      </w:r>
    </w:p>
    <w:p w14:paraId="200DDB79" w14:textId="77777777" w:rsidR="0092760B" w:rsidRPr="00027624" w:rsidRDefault="0092760B" w:rsidP="002A2FAE">
      <w:r w:rsidRPr="00027624">
        <w:t xml:space="preserve">Superannuation tax concessions are not the same as the impact on the budget, as they do not estimate all behavioural changes that people may undertake in response to a change in policy. For this reason, fiscal modelling presented in the </w:t>
      </w:r>
      <w:r w:rsidRPr="00027624">
        <w:rPr>
          <w:i/>
          <w:iCs/>
        </w:rPr>
        <w:t xml:space="preserve">Net fiscal impact </w:t>
      </w:r>
      <w:r w:rsidRPr="00027624">
        <w:rPr>
          <w:iCs/>
        </w:rPr>
        <w:t>section above</w:t>
      </w:r>
      <w:r w:rsidRPr="00027624">
        <w:rPr>
          <w:i/>
          <w:iCs/>
        </w:rPr>
        <w:t xml:space="preserve"> </w:t>
      </w:r>
      <w:r w:rsidRPr="00027624">
        <w:t>is a better indicator of the impact on the budget of the Australian Government than the impact on tax concessions presented here.</w:t>
      </w:r>
    </w:p>
    <w:p w14:paraId="4EA962C9" w14:textId="77777777" w:rsidR="0092760B" w:rsidRPr="00027624" w:rsidRDefault="0092760B" w:rsidP="00325A8D">
      <w:pPr>
        <w:pStyle w:val="ChartMainHeading"/>
      </w:pPr>
      <w:bookmarkStart w:id="656" w:name="_Ref39504891"/>
      <w:r w:rsidRPr="00027624">
        <w:lastRenderedPageBreak/>
        <w:t>Projected change in superannuation tax concessions with a 9.5 per cent SG rate</w:t>
      </w:r>
      <w:bookmarkEnd w:id="656"/>
    </w:p>
    <w:p w14:paraId="533F8AD7" w14:textId="77777777" w:rsidR="0092760B" w:rsidRPr="00027624" w:rsidRDefault="00104393" w:rsidP="002A2FAE">
      <w:pPr>
        <w:pStyle w:val="ChartGraphic"/>
      </w:pPr>
      <w:r>
        <w:rPr>
          <w:noProof/>
        </w:rPr>
        <w:drawing>
          <wp:inline distT="0" distB="0" distL="0" distR="0" wp14:anchorId="09DFDF19" wp14:editId="6C7E7388">
            <wp:extent cx="5554980" cy="2522220"/>
            <wp:effectExtent l="0" t="0" r="7620" b="0"/>
            <wp:docPr id="38" name="Picture 38" descr="This chart shows that both superannuation earnings tax concessions and superannuation contributions tax concessions are projected to be lower under a 9.5 per cent SG rate. Earning tax concessions are projected to be about 0.13 per cent of GDP lower by 2059 under a 9.5 per cent SG rate, while contributions tax concessions are projected to be almost 0.1 per cent of GDP lower." title="Chart 2D-19 Projected change in superannuation tax concessions with a 9.5 per cent SG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54980" cy="2522220"/>
                    </a:xfrm>
                    <a:prstGeom prst="rect">
                      <a:avLst/>
                    </a:prstGeom>
                    <a:noFill/>
                  </pic:spPr>
                </pic:pic>
              </a:graphicData>
            </a:graphic>
          </wp:inline>
        </w:drawing>
      </w:r>
    </w:p>
    <w:p w14:paraId="47BE416E" w14:textId="77777777" w:rsidR="0092760B" w:rsidRPr="00027624" w:rsidRDefault="0092760B">
      <w:pPr>
        <w:pStyle w:val="ChartorTableNote"/>
      </w:pPr>
      <w:r w:rsidRPr="00027624">
        <w:t>Source: Analysis of Rice Warner estimates for the review.</w:t>
      </w:r>
    </w:p>
    <w:p w14:paraId="68E1054E" w14:textId="77777777" w:rsidR="0092760B" w:rsidRPr="00027624" w:rsidRDefault="0092760B">
      <w:pPr>
        <w:pStyle w:val="Heading4"/>
      </w:pPr>
      <w:r w:rsidRPr="00027624">
        <w:t>Change in value of superannuation assets</w:t>
      </w:r>
    </w:p>
    <w:p w14:paraId="1B957434" w14:textId="77343588" w:rsidR="0092760B" w:rsidRPr="00027624" w:rsidRDefault="0092760B" w:rsidP="002A2FAE">
      <w:r w:rsidRPr="00027624">
        <w:t>Rice Warner modelling suggests a smaller change in the value of funds under management, with projections suggesting that a 9.5 per cent SG rate will result in superannuation assets declining by 10 per cent by 2059 (</w:t>
      </w:r>
      <w:r w:rsidRPr="00027624">
        <w:fldChar w:fldCharType="begin"/>
      </w:r>
      <w:r w:rsidRPr="00027624">
        <w:instrText xml:space="preserve"> REF _Ref43368448 \r \h  \* MERGEFORMAT </w:instrText>
      </w:r>
      <w:r w:rsidRPr="00027624">
        <w:fldChar w:fldCharType="separate"/>
      </w:r>
      <w:r w:rsidR="00891058">
        <w:t>Chart 2D-20</w:t>
      </w:r>
      <w:r w:rsidRPr="00027624">
        <w:fldChar w:fldCharType="end"/>
      </w:r>
      <w:r w:rsidRPr="00027624">
        <w:t>).</w:t>
      </w:r>
    </w:p>
    <w:p w14:paraId="4F97B3D3" w14:textId="77777777" w:rsidR="0092760B" w:rsidRPr="00027624" w:rsidRDefault="0092760B" w:rsidP="00325A8D">
      <w:pPr>
        <w:pStyle w:val="ChartMainHeading"/>
      </w:pPr>
      <w:bookmarkStart w:id="657" w:name="_Ref43368448"/>
      <w:r w:rsidRPr="00027624">
        <w:t>Projected change in value of total superannuation funds under management</w:t>
      </w:r>
      <w:bookmarkEnd w:id="657"/>
    </w:p>
    <w:p w14:paraId="09DA83B1" w14:textId="77777777" w:rsidR="0092760B" w:rsidRPr="00027624" w:rsidRDefault="00104393" w:rsidP="002A2FAE">
      <w:pPr>
        <w:pStyle w:val="ChartGraphic"/>
      </w:pPr>
      <w:r>
        <w:rPr>
          <w:noProof/>
        </w:rPr>
        <w:drawing>
          <wp:inline distT="0" distB="0" distL="0" distR="0" wp14:anchorId="4A23241D" wp14:editId="412D422E">
            <wp:extent cx="5577840" cy="2529840"/>
            <wp:effectExtent l="0" t="0" r="3810" b="3810"/>
            <wp:docPr id="40" name="Picture 40" descr="This chart shows that superannuation funds under management are projected to be 10 per cent of GDP lower under a 9.5 per cent SG rate in 2059, relative to a 12 per cent SG rate. " title="Chart 2D-20 Projected change in value of total superannuation funds under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1EFACF35" w14:textId="77777777" w:rsidR="0092760B" w:rsidRPr="00027624" w:rsidRDefault="0092760B">
      <w:pPr>
        <w:pStyle w:val="ChartorTableNote"/>
      </w:pPr>
      <w:r w:rsidRPr="00027624">
        <w:t>Source: Analysis of Rice Warner estimates for the review.</w:t>
      </w:r>
    </w:p>
    <w:p w14:paraId="16EBD6AF" w14:textId="77777777" w:rsidR="0092060F" w:rsidRDefault="0092060F" w:rsidP="00B3792F">
      <w:pPr>
        <w:pStyle w:val="SingleParagraph"/>
      </w:pPr>
    </w:p>
    <w:p w14:paraId="7097B46A" w14:textId="77777777" w:rsidR="0063357E" w:rsidRDefault="0063357E" w:rsidP="00883EEA">
      <w:pPr>
        <w:pStyle w:val="SingleParagraph"/>
        <w:tabs>
          <w:tab w:val="right" w:pos="9070"/>
        </w:tabs>
        <w:sectPr w:rsidR="0063357E" w:rsidSect="00E87653">
          <w:headerReference w:type="default" r:id="rId179"/>
          <w:footerReference w:type="default" r:id="rId180"/>
          <w:pgSz w:w="11906" w:h="16838" w:code="9"/>
          <w:pgMar w:top="1418" w:right="1418" w:bottom="1418" w:left="1418" w:header="709" w:footer="709" w:gutter="0"/>
          <w:cols w:space="708"/>
          <w:titlePg/>
          <w:docGrid w:linePitch="360"/>
        </w:sectPr>
      </w:pPr>
    </w:p>
    <w:p w14:paraId="06F1333C" w14:textId="77777777" w:rsidR="00B3792F" w:rsidRPr="00027624" w:rsidRDefault="00B3792F" w:rsidP="00883EEA">
      <w:pPr>
        <w:pStyle w:val="SingleParagraph"/>
        <w:tabs>
          <w:tab w:val="right" w:pos="9070"/>
        </w:tabs>
      </w:pPr>
      <w:r w:rsidRPr="00027624">
        <w:rPr>
          <w:noProof/>
        </w:rPr>
        <w:lastRenderedPageBreak/>
        <w:drawing>
          <wp:anchor distT="0" distB="0" distL="114300" distR="114300" simplePos="0" relativeHeight="251658244" behindDoc="1" locked="0" layoutInCell="1" allowOverlap="1" wp14:anchorId="0050A9CB" wp14:editId="318E845F">
            <wp:simplePos x="0" y="0"/>
            <wp:positionH relativeFrom="page">
              <wp:posOffset>0</wp:posOffset>
            </wp:positionH>
            <wp:positionV relativeFrom="page">
              <wp:posOffset>491</wp:posOffset>
            </wp:positionV>
            <wp:extent cx="7570800" cy="10709018"/>
            <wp:effectExtent l="0" t="0" r="0" b="0"/>
            <wp:wrapNone/>
            <wp:docPr id="2002235498" name="Picture 200223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tirement Income Review - chapter title pages2.jpg"/>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570800" cy="107090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47277C" w14:textId="77777777" w:rsidR="00B3792F" w:rsidRPr="00027624" w:rsidRDefault="00B3792F" w:rsidP="0063357E">
      <w:pPr>
        <w:pStyle w:val="Chapterheading"/>
        <w:numPr>
          <w:ilvl w:val="0"/>
          <w:numId w:val="26"/>
        </w:numPr>
        <w:spacing w:before="1080"/>
      </w:pPr>
      <w:bookmarkStart w:id="658" w:name="_Toc45520481"/>
      <w:bookmarkStart w:id="659" w:name="_Toc46133592"/>
      <w:r w:rsidRPr="00027624">
        <w:t>Equity</w:t>
      </w:r>
      <w:bookmarkEnd w:id="658"/>
      <w:bookmarkEnd w:id="659"/>
    </w:p>
    <w:p w14:paraId="3AC2C412" w14:textId="77777777" w:rsidR="00B3792F" w:rsidRPr="00027624" w:rsidRDefault="00B3792F" w:rsidP="00B3792F">
      <w:pPr>
        <w:pStyle w:val="Heading2"/>
        <w:spacing w:before="120"/>
      </w:pPr>
      <w:bookmarkStart w:id="660" w:name="_Toc45520482"/>
      <w:bookmarkStart w:id="661" w:name="_Toc46133593"/>
      <w:r w:rsidRPr="00027624">
        <w:t>Outline of this chapter</w:t>
      </w:r>
      <w:bookmarkEnd w:id="660"/>
      <w:bookmarkEnd w:id="661"/>
    </w:p>
    <w:p w14:paraId="5CE8C27A" w14:textId="77777777" w:rsidR="00B3792F" w:rsidRPr="00027624" w:rsidRDefault="00B3792F" w:rsidP="0063357E">
      <w:pPr>
        <w:spacing w:after="80"/>
      </w:pPr>
      <w:r w:rsidRPr="00027624">
        <w:t xml:space="preserve">This chapter examines whether the retirement income system is delivering equitable outcomes. When discussing the objective of the retirement income system (see </w:t>
      </w:r>
      <w:r w:rsidRPr="00027624">
        <w:rPr>
          <w:i/>
        </w:rPr>
        <w:t>1C. The objective of the system and</w:t>
      </w:r>
      <w:r w:rsidR="00FD473F" w:rsidRPr="00027624">
        <w:rPr>
          <w:i/>
        </w:rPr>
        <w:t xml:space="preserve"> the</w:t>
      </w:r>
      <w:r w:rsidRPr="00027624">
        <w:rPr>
          <w:i/>
        </w:rPr>
        <w:t xml:space="preserve"> role</w:t>
      </w:r>
      <w:r w:rsidR="00FD473F" w:rsidRPr="00027624">
        <w:rPr>
          <w:i/>
        </w:rPr>
        <w:t>s</w:t>
      </w:r>
      <w:r w:rsidRPr="00027624">
        <w:rPr>
          <w:i/>
        </w:rPr>
        <w:t xml:space="preserve"> of the pillars</w:t>
      </w:r>
      <w:r w:rsidRPr="00027624">
        <w:t xml:space="preserve">), two aspects of equity highlighted were to: </w:t>
      </w:r>
    </w:p>
    <w:p w14:paraId="68799749" w14:textId="77777777" w:rsidR="00B3792F" w:rsidRPr="00027624" w:rsidRDefault="00B3792F" w:rsidP="0063357E">
      <w:pPr>
        <w:pStyle w:val="OutlineNumbered1"/>
        <w:numPr>
          <w:ilvl w:val="0"/>
          <w:numId w:val="88"/>
        </w:numPr>
        <w:spacing w:after="80"/>
        <w:ind w:left="908" w:hanging="454"/>
      </w:pPr>
      <w:r w:rsidRPr="00027624">
        <w:t>Target Government support to those in need</w:t>
      </w:r>
    </w:p>
    <w:p w14:paraId="1BADCAFA" w14:textId="77777777" w:rsidR="00B3792F" w:rsidRPr="00027624" w:rsidRDefault="00B3792F" w:rsidP="0063357E">
      <w:pPr>
        <w:pStyle w:val="OutlineNumbered1"/>
        <w:spacing w:after="80"/>
      </w:pPr>
      <w:r w:rsidRPr="00027624">
        <w:t>Provide similar outcomes for people in similar circumstances</w:t>
      </w:r>
    </w:p>
    <w:p w14:paraId="75508B2B" w14:textId="77777777" w:rsidR="00B3792F" w:rsidRPr="00027624" w:rsidRDefault="00B3792F" w:rsidP="0063357E">
      <w:pPr>
        <w:spacing w:after="80"/>
      </w:pPr>
      <w:r w:rsidRPr="00027624">
        <w:t xml:space="preserve">Submissions focused on whether particular groups in the population receive equitable outcomes from the retirement income system (see </w:t>
      </w:r>
      <w:r w:rsidRPr="00027624">
        <w:rPr>
          <w:i/>
        </w:rPr>
        <w:t>Appendix 6E. Consultation process</w:t>
      </w:r>
      <w:r w:rsidRPr="00027624">
        <w:t xml:space="preserve">). </w:t>
      </w:r>
    </w:p>
    <w:p w14:paraId="2DF7F339" w14:textId="77777777" w:rsidR="00B3792F" w:rsidRPr="00027624" w:rsidRDefault="00B3792F" w:rsidP="0063357E">
      <w:pPr>
        <w:spacing w:after="80"/>
      </w:pPr>
      <w:r w:rsidRPr="00027624">
        <w:t>This chapter analyses internal and external influences on the retirement income system that deliver retirement outcomes for:</w:t>
      </w:r>
    </w:p>
    <w:p w14:paraId="1C3A9C43" w14:textId="77777777" w:rsidR="00B3792F" w:rsidRPr="00027624" w:rsidRDefault="00B3792F" w:rsidP="0063357E">
      <w:pPr>
        <w:pStyle w:val="Bullet"/>
        <w:numPr>
          <w:ilvl w:val="0"/>
          <w:numId w:val="44"/>
        </w:numPr>
        <w:spacing w:after="80"/>
      </w:pPr>
      <w:r w:rsidRPr="00027624">
        <w:t>Those with different lifetime incomes and levels of wealth</w:t>
      </w:r>
    </w:p>
    <w:p w14:paraId="0F8985EB" w14:textId="77777777" w:rsidR="00B3792F" w:rsidRPr="00027624" w:rsidRDefault="00B3792F" w:rsidP="0063357E">
      <w:pPr>
        <w:pStyle w:val="Bullet"/>
        <w:numPr>
          <w:ilvl w:val="0"/>
          <w:numId w:val="44"/>
        </w:numPr>
        <w:spacing w:after="80"/>
      </w:pPr>
      <w:r w:rsidRPr="00027624">
        <w:t>Men and women, and singles and couples</w:t>
      </w:r>
    </w:p>
    <w:p w14:paraId="29E3381A" w14:textId="77777777" w:rsidR="00B3792F" w:rsidRPr="00027624" w:rsidRDefault="00B3792F" w:rsidP="0063357E">
      <w:pPr>
        <w:pStyle w:val="Bullet"/>
        <w:numPr>
          <w:ilvl w:val="0"/>
          <w:numId w:val="44"/>
        </w:numPr>
        <w:spacing w:after="80"/>
      </w:pPr>
      <w:r w:rsidRPr="00027624">
        <w:t>Home owners and non</w:t>
      </w:r>
      <w:r w:rsidR="00A8443E" w:rsidRPr="00027624">
        <w:noBreakHyphen/>
      </w:r>
      <w:r w:rsidRPr="00027624">
        <w:t>home owners</w:t>
      </w:r>
    </w:p>
    <w:p w14:paraId="0CEC0BF9" w14:textId="77777777" w:rsidR="00B3792F" w:rsidRPr="00027624" w:rsidRDefault="00B3792F" w:rsidP="0063357E">
      <w:pPr>
        <w:pStyle w:val="Bullet"/>
        <w:numPr>
          <w:ilvl w:val="0"/>
          <w:numId w:val="44"/>
        </w:numPr>
        <w:spacing w:after="80"/>
      </w:pPr>
      <w:r w:rsidRPr="00027624">
        <w:t>Those covered by the Superannuation Guarantee (SG), and those who are not</w:t>
      </w:r>
    </w:p>
    <w:p w14:paraId="569410B8" w14:textId="77777777" w:rsidR="00B3792F" w:rsidRPr="00027624" w:rsidRDefault="00B3792F" w:rsidP="0063357E">
      <w:pPr>
        <w:pStyle w:val="Bullet"/>
        <w:numPr>
          <w:ilvl w:val="0"/>
          <w:numId w:val="44"/>
        </w:numPr>
        <w:spacing w:after="80"/>
      </w:pPr>
      <w:r w:rsidRPr="00027624">
        <w:t>Those who retire at different ages, voluntarily and involuntarily</w:t>
      </w:r>
    </w:p>
    <w:p w14:paraId="095244B4" w14:textId="77777777" w:rsidR="00B3792F" w:rsidRPr="00027624" w:rsidRDefault="00B3792F" w:rsidP="0063357E">
      <w:pPr>
        <w:pStyle w:val="Bullet"/>
        <w:numPr>
          <w:ilvl w:val="0"/>
          <w:numId w:val="44"/>
        </w:numPr>
        <w:spacing w:after="80"/>
      </w:pPr>
      <w:r w:rsidRPr="00027624">
        <w:t>Aboriginal and Torres Strait Islander people and the total population</w:t>
      </w:r>
    </w:p>
    <w:p w14:paraId="34226969" w14:textId="77777777" w:rsidR="00B3792F" w:rsidRPr="00027624" w:rsidRDefault="00B3792F" w:rsidP="0063357E">
      <w:pPr>
        <w:pStyle w:val="Bullet"/>
        <w:numPr>
          <w:ilvl w:val="0"/>
          <w:numId w:val="44"/>
        </w:numPr>
        <w:spacing w:after="80"/>
      </w:pPr>
      <w:r w:rsidRPr="00027624">
        <w:t>Those with and without disability</w:t>
      </w:r>
    </w:p>
    <w:p w14:paraId="2732A794" w14:textId="77777777" w:rsidR="00B3792F" w:rsidRDefault="00B3792F" w:rsidP="0063357E">
      <w:pPr>
        <w:pStyle w:val="Bullet"/>
        <w:numPr>
          <w:ilvl w:val="0"/>
          <w:numId w:val="44"/>
        </w:numPr>
        <w:spacing w:after="80"/>
      </w:pPr>
      <w:r w:rsidRPr="00027624">
        <w:t>Different generations (intergenerational equity)</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23126C" w:rsidRPr="00027624" w14:paraId="13B0E3C3" w14:textId="77777777" w:rsidTr="0063357E">
        <w:tc>
          <w:tcPr>
            <w:tcW w:w="5000" w:type="pct"/>
            <w:shd w:val="clear" w:color="auto" w:fill="FFF8EA"/>
          </w:tcPr>
          <w:p w14:paraId="5D53A8B6" w14:textId="77777777" w:rsidR="0023126C" w:rsidRPr="00027624" w:rsidRDefault="0023126C" w:rsidP="0063357E">
            <w:pPr>
              <w:pStyle w:val="BoxHeading"/>
              <w:numPr>
                <w:ilvl w:val="5"/>
                <w:numId w:val="45"/>
              </w:numPr>
            </w:pPr>
            <w:r w:rsidRPr="00027624">
              <w:t>Approaches to measuring equity</w:t>
            </w:r>
          </w:p>
          <w:p w14:paraId="6D7C470D" w14:textId="77777777" w:rsidR="0023126C" w:rsidRPr="00027624" w:rsidRDefault="0023126C" w:rsidP="0063357E">
            <w:pPr>
              <w:pStyle w:val="BoxText"/>
            </w:pPr>
            <w:r w:rsidRPr="00027624">
              <w:t>Equity has no universal measure. Whether an outcome is equitable is a value judgement based on subjective notions of fairness and justice, which may vary from person to person or over time. Any assessment of the equity of the retirement income system depends on the value judgement of the community as a whole.</w:t>
            </w:r>
          </w:p>
          <w:p w14:paraId="53BE9E01" w14:textId="77777777" w:rsidR="0023126C" w:rsidRPr="00027624" w:rsidRDefault="0023126C" w:rsidP="0063357E">
            <w:pPr>
              <w:pStyle w:val="BoxText"/>
            </w:pPr>
            <w:r w:rsidRPr="00027624">
              <w:t xml:space="preserve">Some submissions stated or inferred how equity should be measured, referring to factors including: </w:t>
            </w:r>
          </w:p>
          <w:p w14:paraId="52C075F0" w14:textId="77777777" w:rsidR="0023126C" w:rsidRPr="00027624" w:rsidRDefault="0023126C" w:rsidP="0063357E">
            <w:pPr>
              <w:pStyle w:val="BoxBullet"/>
            </w:pPr>
            <w:r w:rsidRPr="00027624">
              <w:rPr>
                <w:b/>
                <w:bCs/>
              </w:rPr>
              <w:t>Distributions of income and wealth</w:t>
            </w:r>
            <w:r w:rsidRPr="00027624">
              <w:t>, such as the relative size of superannuation balances or retirement incomes</w:t>
            </w:r>
          </w:p>
          <w:p w14:paraId="3C794F68" w14:textId="77777777" w:rsidR="0023126C" w:rsidRPr="00027624" w:rsidRDefault="0023126C" w:rsidP="0063357E">
            <w:pPr>
              <w:pStyle w:val="BoxBullet"/>
            </w:pPr>
            <w:r w:rsidRPr="00027624">
              <w:rPr>
                <w:b/>
                <w:bCs/>
              </w:rPr>
              <w:t>Distributions of Government support at points in time and over a lifetime</w:t>
            </w:r>
            <w:r w:rsidRPr="00027624">
              <w:rPr>
                <w:bCs/>
              </w:rPr>
              <w:t>, such as the average value of superannuation tax concessions or income support payments different groups receive</w:t>
            </w:r>
          </w:p>
          <w:p w14:paraId="14E80CBF" w14:textId="77777777" w:rsidR="0023126C" w:rsidRPr="00027624" w:rsidRDefault="0023126C" w:rsidP="0063357E">
            <w:pPr>
              <w:pStyle w:val="BoxBullet"/>
            </w:pPr>
            <w:r w:rsidRPr="00027624">
              <w:rPr>
                <w:b/>
                <w:bCs/>
              </w:rPr>
              <w:t>Proportions of people meeting minimum standards of living</w:t>
            </w:r>
            <w:r w:rsidRPr="00027624">
              <w:rPr>
                <w:bCs/>
              </w:rPr>
              <w:t>, such as the number in poverty or financial stress</w:t>
            </w:r>
          </w:p>
          <w:p w14:paraId="253DA533" w14:textId="77777777" w:rsidR="0023126C" w:rsidRPr="00027624" w:rsidRDefault="0023126C" w:rsidP="0063357E">
            <w:pPr>
              <w:pStyle w:val="BoxBullet"/>
            </w:pPr>
            <w:r w:rsidRPr="00027624">
              <w:rPr>
                <w:b/>
                <w:bCs/>
              </w:rPr>
              <w:t>System coverage</w:t>
            </w:r>
            <w:r w:rsidRPr="00027624">
              <w:rPr>
                <w:bCs/>
              </w:rPr>
              <w:t>, such as the proportion who receive the Age Pension or compulsory superannuation</w:t>
            </w:r>
          </w:p>
          <w:p w14:paraId="48F756A4" w14:textId="77777777" w:rsidR="0023126C" w:rsidRPr="00027624" w:rsidRDefault="0023126C" w:rsidP="0063357E">
            <w:pPr>
              <w:pStyle w:val="BoxBullet"/>
            </w:pPr>
            <w:r w:rsidRPr="00027624">
              <w:rPr>
                <w:b/>
                <w:bCs/>
              </w:rPr>
              <w:t>Qualitative factors</w:t>
            </w:r>
            <w:r w:rsidRPr="00027624">
              <w:t>, including survey responses and anecdotal evidence, such as how easy it is to engage with the system</w:t>
            </w:r>
          </w:p>
          <w:p w14:paraId="53C3A57F" w14:textId="77777777" w:rsidR="0023126C" w:rsidRPr="00027624" w:rsidRDefault="0023126C" w:rsidP="0063357E">
            <w:pPr>
              <w:pStyle w:val="BoxText"/>
            </w:pPr>
            <w:r w:rsidRPr="00027624">
              <w:t xml:space="preserve">All these factors were considered in assessing the equity of the retirement income system settings and the outcomes they delivers to different groups. </w:t>
            </w:r>
          </w:p>
        </w:tc>
      </w:tr>
    </w:tbl>
    <w:p w14:paraId="041E7587" w14:textId="77777777" w:rsidR="0023126C" w:rsidRDefault="0023126C" w:rsidP="0023126C">
      <w:pPr>
        <w:sectPr w:rsidR="0023126C" w:rsidSect="0063357E">
          <w:type w:val="oddPage"/>
          <w:pgSz w:w="11906" w:h="16838" w:code="9"/>
          <w:pgMar w:top="1418" w:right="1418" w:bottom="1418" w:left="1418" w:header="709" w:footer="709" w:gutter="0"/>
          <w:cols w:space="708"/>
          <w:titlePg/>
          <w:docGrid w:linePitch="360"/>
        </w:sectPr>
      </w:pPr>
    </w:p>
    <w:p w14:paraId="1F8F6CAC" w14:textId="77777777" w:rsidR="00B3792F" w:rsidRPr="00027624" w:rsidRDefault="001E724C" w:rsidP="001E724C">
      <w:pPr>
        <w:pStyle w:val="Heading1"/>
      </w:pPr>
      <w:bookmarkStart w:id="662" w:name="_Toc40297437"/>
      <w:bookmarkStart w:id="663" w:name="_Ref40305534"/>
      <w:bookmarkStart w:id="664" w:name="_Ref40305539"/>
      <w:bookmarkStart w:id="665" w:name="_Ref40305620"/>
      <w:bookmarkStart w:id="666" w:name="_Ref40311722"/>
      <w:bookmarkStart w:id="667" w:name="_Ref40311952"/>
      <w:bookmarkStart w:id="668" w:name="_Ref40311989"/>
      <w:bookmarkStart w:id="669" w:name="_Ref40312052"/>
      <w:bookmarkStart w:id="670" w:name="_Ref40312089"/>
      <w:bookmarkStart w:id="671" w:name="_Toc31720350"/>
      <w:bookmarkStart w:id="672" w:name="_Toc33528004"/>
      <w:bookmarkStart w:id="673" w:name="_Toc40278892"/>
      <w:bookmarkStart w:id="674" w:name="_Toc40280503"/>
      <w:bookmarkStart w:id="675" w:name="_Toc40366083"/>
      <w:bookmarkStart w:id="676" w:name="_Toc40369629"/>
      <w:bookmarkStart w:id="677" w:name="_Toc40427598"/>
      <w:bookmarkStart w:id="678" w:name="_Toc40458035"/>
      <w:bookmarkStart w:id="679" w:name="_Toc40461804"/>
      <w:bookmarkStart w:id="680" w:name="_Toc40474359"/>
      <w:bookmarkStart w:id="681" w:name="_Toc40477888"/>
      <w:bookmarkStart w:id="682" w:name="_Toc40521468"/>
      <w:bookmarkStart w:id="683" w:name="_Toc40530327"/>
      <w:bookmarkStart w:id="684" w:name="_Toc42778752"/>
      <w:bookmarkStart w:id="685" w:name="_Toc42779892"/>
      <w:bookmarkStart w:id="686" w:name="_Toc42780321"/>
      <w:bookmarkStart w:id="687" w:name="_Toc42786311"/>
      <w:bookmarkStart w:id="688" w:name="_Toc42791804"/>
      <w:bookmarkStart w:id="689" w:name="_Toc42791966"/>
      <w:bookmarkStart w:id="690" w:name="_Toc43117773"/>
      <w:bookmarkStart w:id="691" w:name="_Toc43121412"/>
      <w:bookmarkStart w:id="692" w:name="_Toc43122617"/>
      <w:bookmarkStart w:id="693" w:name="_Toc43127672"/>
      <w:bookmarkStart w:id="694" w:name="_Ref45138052"/>
      <w:bookmarkStart w:id="695" w:name="_Ref45138060"/>
      <w:bookmarkStart w:id="696" w:name="_Ref45138076"/>
      <w:bookmarkStart w:id="697" w:name="_Ref45138204"/>
      <w:bookmarkStart w:id="698" w:name="_Ref45138213"/>
      <w:bookmarkStart w:id="699" w:name="_Toc45520483"/>
      <w:bookmarkStart w:id="700" w:name="_Toc46133594"/>
      <w:bookmarkStart w:id="701" w:name="_Toc31352214"/>
      <w:bookmarkStart w:id="702" w:name="_Toc31276216"/>
      <w:bookmarkStart w:id="703" w:name="_Toc31274384"/>
      <w:bookmarkStart w:id="704" w:name="_Toc31270940"/>
      <w:bookmarkStart w:id="705" w:name="_Toc31209578"/>
      <w:r w:rsidRPr="00027624">
        <w:lastRenderedPageBreak/>
        <w:t>I</w:t>
      </w:r>
      <w:r w:rsidR="00B3792F" w:rsidRPr="00027624">
        <w:t>ncome and wealth</w:t>
      </w:r>
      <w:bookmarkEnd w:id="662"/>
      <w:bookmarkEnd w:id="663"/>
      <w:bookmarkEnd w:id="664"/>
      <w:bookmarkEnd w:id="665"/>
      <w:bookmarkEnd w:id="666"/>
      <w:bookmarkEnd w:id="667"/>
      <w:bookmarkEnd w:id="668"/>
      <w:bookmarkEnd w:id="669"/>
      <w:bookmarkEnd w:id="670"/>
      <w:r w:rsidR="00B3792F" w:rsidRPr="00027624">
        <w:t xml:space="preserve"> </w:t>
      </w:r>
      <w:bookmarkEnd w:id="671"/>
      <w:bookmarkEnd w:id="672"/>
      <w:bookmarkEnd w:id="673"/>
      <w:bookmarkEnd w:id="674"/>
      <w:r w:rsidR="00B3792F" w:rsidRPr="00027624">
        <w:t>distribution</w:t>
      </w:r>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r w:rsidR="00B3792F" w:rsidRPr="00027624">
        <w:t xml:space="preserve"> </w:t>
      </w:r>
    </w:p>
    <w:tbl>
      <w:tblPr>
        <w:tblW w:w="5000" w:type="pct"/>
        <w:shd w:val="clear" w:color="auto" w:fill="DFD7E7" w:themeFill="accent3" w:themeFillTint="33"/>
        <w:tblLook w:val="01E0" w:firstRow="1" w:lastRow="1" w:firstColumn="1" w:lastColumn="1" w:noHBand="0" w:noVBand="0"/>
      </w:tblPr>
      <w:tblGrid>
        <w:gridCol w:w="9070"/>
      </w:tblGrid>
      <w:tr w:rsidR="00B3792F" w:rsidRPr="00027624" w14:paraId="1D0CB17E" w14:textId="77777777" w:rsidTr="00B3792F">
        <w:tc>
          <w:tcPr>
            <w:tcW w:w="5000" w:type="pct"/>
            <w:shd w:val="clear" w:color="auto" w:fill="DFD7E7" w:themeFill="accent3" w:themeFillTint="33"/>
          </w:tcPr>
          <w:p w14:paraId="5C48D7E7" w14:textId="77777777" w:rsidR="00B3792F" w:rsidRPr="00027624" w:rsidRDefault="00B3792F" w:rsidP="00FC7361">
            <w:pPr>
              <w:pStyle w:val="BoxHeading"/>
              <w:numPr>
                <w:ilvl w:val="5"/>
                <w:numId w:val="46"/>
              </w:numPr>
            </w:pPr>
            <w:r w:rsidRPr="00027624">
              <w:t>Section summary</w:t>
            </w:r>
          </w:p>
          <w:p w14:paraId="718F9574" w14:textId="77777777" w:rsidR="00B3792F" w:rsidRPr="00027624" w:rsidRDefault="00B3792F" w:rsidP="00140525">
            <w:pPr>
              <w:pStyle w:val="BoxBullet"/>
            </w:pPr>
            <w:r w:rsidRPr="00027624">
              <w:rPr>
                <w:b/>
              </w:rPr>
              <w:t>The Age Pension reduces income inequality among retirees, as it provides a greater proportion of retirement incomes to lower</w:t>
            </w:r>
            <w:r w:rsidR="00A8443E" w:rsidRPr="00027624">
              <w:rPr>
                <w:b/>
              </w:rPr>
              <w:noBreakHyphen/>
            </w:r>
            <w:r w:rsidRPr="00027624">
              <w:rPr>
                <w:b/>
              </w:rPr>
              <w:t>income earners.</w:t>
            </w:r>
            <w:r w:rsidRPr="00027624">
              <w:t xml:space="preserve"> Income inequality among retirees is similar to that of working</w:t>
            </w:r>
            <w:r w:rsidR="00A8443E" w:rsidRPr="00027624">
              <w:noBreakHyphen/>
            </w:r>
            <w:r w:rsidRPr="00027624">
              <w:t>age people. The Age Pension more than offsets the increased income inequality due to superannuation tax concessions. As the superannuation system matures, retirement incomes</w:t>
            </w:r>
            <w:r w:rsidRPr="00027624" w:rsidDel="006B2704">
              <w:t xml:space="preserve"> </w:t>
            </w:r>
            <w:r w:rsidRPr="00027624">
              <w:t>from the Age Pension and superannuation are expected to be more equally distributed as superannuation balances become more equally distributed.</w:t>
            </w:r>
          </w:p>
          <w:p w14:paraId="2C65697F" w14:textId="77777777" w:rsidR="00B3792F" w:rsidRPr="00027624" w:rsidRDefault="00B3792F" w:rsidP="00140525">
            <w:pPr>
              <w:pStyle w:val="BoxBullet"/>
            </w:pPr>
            <w:r w:rsidRPr="00027624">
              <w:rPr>
                <w:b/>
              </w:rPr>
              <w:t>Full</w:t>
            </w:r>
            <w:r w:rsidR="00A8443E" w:rsidRPr="00027624">
              <w:rPr>
                <w:b/>
              </w:rPr>
              <w:noBreakHyphen/>
            </w:r>
            <w:r w:rsidRPr="00027624">
              <w:rPr>
                <w:b/>
              </w:rPr>
              <w:t>time, higher</w:t>
            </w:r>
            <w:r w:rsidR="00A8443E" w:rsidRPr="00027624">
              <w:rPr>
                <w:b/>
              </w:rPr>
              <w:noBreakHyphen/>
            </w:r>
            <w:r w:rsidRPr="00027624" w:rsidDel="00C227CD">
              <w:rPr>
                <w:b/>
              </w:rPr>
              <w:t xml:space="preserve">income </w:t>
            </w:r>
            <w:r w:rsidRPr="00027624">
              <w:rPr>
                <w:b/>
              </w:rPr>
              <w:t>and continuously employed people receive more lifetime Government support within the retirement income system than lower</w:t>
            </w:r>
            <w:r w:rsidR="00A8443E" w:rsidRPr="00027624">
              <w:rPr>
                <w:b/>
              </w:rPr>
              <w:noBreakHyphen/>
            </w:r>
            <w:r w:rsidRPr="00027624">
              <w:rPr>
                <w:b/>
              </w:rPr>
              <w:t xml:space="preserve"> and middle</w:t>
            </w:r>
            <w:r w:rsidR="00A8443E" w:rsidRPr="00027624">
              <w:rPr>
                <w:b/>
              </w:rPr>
              <w:noBreakHyphen/>
            </w:r>
            <w:r w:rsidRPr="00027624">
              <w:rPr>
                <w:b/>
              </w:rPr>
              <w:t>income earners, in dollar terms.</w:t>
            </w:r>
            <w:r w:rsidRPr="00027624">
              <w:t xml:space="preserve"> As superannuation is an employment</w:t>
            </w:r>
            <w:r w:rsidR="00A8443E" w:rsidRPr="00027624">
              <w:noBreakHyphen/>
            </w:r>
            <w:r w:rsidRPr="00027624">
              <w:t>based scheme, full</w:t>
            </w:r>
            <w:r w:rsidR="00A8443E" w:rsidRPr="00027624">
              <w:noBreakHyphen/>
            </w:r>
            <w:r w:rsidRPr="00027624">
              <w:t xml:space="preserve">time and continuously employed people and those at the higher end of </w:t>
            </w:r>
            <w:r w:rsidRPr="00027624" w:rsidDel="0025632C">
              <w:t>the</w:t>
            </w:r>
            <w:r w:rsidRPr="00027624">
              <w:t xml:space="preserve"> income distribution make more superannuation contributions and receive more superannuation tax concessions. People with the lowest lifetime incomes generally receive most of the Age Pension payments. Reforms, such as lowering the threshold for Division 293 tax and introducing the low income superannuation tax offset, have to some extent reduced the difference in the size of superannuation tax concessions received by lower</w:t>
            </w:r>
            <w:r w:rsidR="00A8443E" w:rsidRPr="00027624">
              <w:noBreakHyphen/>
            </w:r>
            <w:r w:rsidRPr="00027624">
              <w:t xml:space="preserve"> and higher</w:t>
            </w:r>
            <w:r w:rsidR="00A8443E" w:rsidRPr="00027624">
              <w:noBreakHyphen/>
            </w:r>
            <w:r w:rsidRPr="00027624">
              <w:t>income earners.</w:t>
            </w:r>
          </w:p>
          <w:p w14:paraId="498CE568" w14:textId="77777777" w:rsidR="00B3792F" w:rsidRPr="00027624" w:rsidRDefault="00B3792F" w:rsidP="00140525">
            <w:pPr>
              <w:pStyle w:val="BoxBullet"/>
            </w:pPr>
            <w:r w:rsidRPr="00027624">
              <w:rPr>
                <w:b/>
              </w:rPr>
              <w:t>A large proportion of voluntary superannuation contributions are made by people aged 55 and over and higher</w:t>
            </w:r>
            <w:r w:rsidR="00A8443E" w:rsidRPr="00027624">
              <w:rPr>
                <w:b/>
              </w:rPr>
              <w:noBreakHyphen/>
            </w:r>
            <w:r w:rsidRPr="00027624">
              <w:rPr>
                <w:b/>
              </w:rPr>
              <w:t>income earners.</w:t>
            </w:r>
            <w:r w:rsidRPr="00027624">
              <w:t xml:space="preserve"> Compulsory superannuation contributions are more evenly spread across ages and incomes than voluntary contributions.</w:t>
            </w:r>
          </w:p>
          <w:p w14:paraId="3D49B06E" w14:textId="77777777" w:rsidR="00B3792F" w:rsidRPr="00027624" w:rsidRDefault="00B3792F" w:rsidP="00140525">
            <w:pPr>
              <w:pStyle w:val="BoxBullet"/>
            </w:pPr>
            <w:r w:rsidRPr="00027624">
              <w:rPr>
                <w:b/>
              </w:rPr>
              <w:t>Many of the very large superannuation balances, which were built up under higher previous contributions caps, are expected to remain in the superannuation system for several decades.</w:t>
            </w:r>
            <w:r w:rsidRPr="00027624">
              <w:t xml:space="preserve"> In June 2018, over 11,000 people had a superannuation balance over $5 million. These accounts can receive very large superannuation earnings tax concessions.</w:t>
            </w:r>
          </w:p>
          <w:p w14:paraId="4F024A25" w14:textId="77777777" w:rsidR="00B3792F" w:rsidRPr="00027624" w:rsidRDefault="00B3792F" w:rsidP="00140525">
            <w:pPr>
              <w:pStyle w:val="BoxBullet"/>
            </w:pPr>
            <w:r w:rsidRPr="00027624">
              <w:rPr>
                <w:b/>
              </w:rPr>
              <w:t>Lower</w:t>
            </w:r>
            <w:r w:rsidR="00A8443E" w:rsidRPr="00027624">
              <w:rPr>
                <w:b/>
              </w:rPr>
              <w:noBreakHyphen/>
            </w:r>
            <w:r w:rsidRPr="00027624">
              <w:rPr>
                <w:b/>
              </w:rPr>
              <w:t>wealth households with people aged 65 and over generally receive more social transfers in kind than higher</w:t>
            </w:r>
            <w:r w:rsidR="00A8443E" w:rsidRPr="00027624">
              <w:rPr>
                <w:b/>
              </w:rPr>
              <w:noBreakHyphen/>
            </w:r>
            <w:r w:rsidRPr="00027624">
              <w:rPr>
                <w:b/>
              </w:rPr>
              <w:t>wealth households.</w:t>
            </w:r>
            <w:r w:rsidRPr="00027624">
              <w:t xml:space="preserve"> Means</w:t>
            </w:r>
            <w:r w:rsidR="00A8443E" w:rsidRPr="00027624">
              <w:noBreakHyphen/>
            </w:r>
            <w:r w:rsidRPr="00027624">
              <w:t>tested concession cards for seniors provide</w:t>
            </w:r>
            <w:r w:rsidRPr="00027624" w:rsidDel="007C5C2C">
              <w:t xml:space="preserve"> </w:t>
            </w:r>
            <w:r w:rsidRPr="00027624">
              <w:t>lower</w:t>
            </w:r>
            <w:r w:rsidR="00A8443E" w:rsidRPr="00027624">
              <w:noBreakHyphen/>
            </w:r>
            <w:r w:rsidR="0051357A" w:rsidRPr="00027624">
              <w:t>w</w:t>
            </w:r>
            <w:r w:rsidRPr="00027624">
              <w:t>ealth households more social transfers in kind than higher</w:t>
            </w:r>
            <w:r w:rsidR="00A8443E" w:rsidRPr="00027624">
              <w:noBreakHyphen/>
            </w:r>
            <w:r w:rsidRPr="00027624">
              <w:t>wealth households. Middle</w:t>
            </w:r>
            <w:r w:rsidR="00A8443E" w:rsidRPr="00027624">
              <w:noBreakHyphen/>
            </w:r>
            <w:r w:rsidRPr="00027624">
              <w:t>income earners receive the largest benefit from the seniors and pensioners tax offset, as lower</w:t>
            </w:r>
            <w:r w:rsidR="00A8443E" w:rsidRPr="00027624">
              <w:noBreakHyphen/>
            </w:r>
            <w:r w:rsidRPr="00027624">
              <w:t>income earners are unable to use the entire value of the offset. Some people with large superannuation balances also receive a significant benefit from the seniors and pensioners tax offset, as tax</w:t>
            </w:r>
            <w:r w:rsidR="00A8443E" w:rsidRPr="00027624">
              <w:noBreakHyphen/>
            </w:r>
            <w:r w:rsidRPr="00027624">
              <w:t>free superannuation is excluded from the seniors and pensioners tax offset income test.</w:t>
            </w:r>
          </w:p>
          <w:p w14:paraId="25E353A5" w14:textId="77777777" w:rsidR="00B3792F" w:rsidRPr="00027624" w:rsidRDefault="00B3792F" w:rsidP="00140525">
            <w:pPr>
              <w:pStyle w:val="BoxBullet"/>
            </w:pPr>
            <w:r w:rsidRPr="00027624">
              <w:rPr>
                <w:b/>
              </w:rPr>
              <w:t>Retirees with the same level of savings can receive different retirement incomes depending on the composition of those savings.</w:t>
            </w:r>
            <w:r w:rsidRPr="00027624">
              <w:t xml:space="preserve"> Different types of retirement savings produce different incomes due to tax variations and the Age Pension means test. </w:t>
            </w:r>
          </w:p>
        </w:tc>
      </w:tr>
    </w:tbl>
    <w:p w14:paraId="0B01EC5E" w14:textId="77777777" w:rsidR="00B3792F" w:rsidRPr="00027624" w:rsidRDefault="00B3792F" w:rsidP="00B3792F">
      <w:pPr>
        <w:pStyle w:val="Heading2"/>
      </w:pPr>
      <w:bookmarkStart w:id="706" w:name="_Toc40278893"/>
      <w:bookmarkStart w:id="707" w:name="_Toc40280504"/>
      <w:bookmarkStart w:id="708" w:name="_Toc40366084"/>
      <w:bookmarkStart w:id="709" w:name="_Toc40369630"/>
      <w:bookmarkStart w:id="710" w:name="_Toc40427599"/>
      <w:bookmarkStart w:id="711" w:name="_Toc40458036"/>
      <w:bookmarkStart w:id="712" w:name="_Toc40461805"/>
      <w:bookmarkStart w:id="713" w:name="_Toc40474360"/>
      <w:bookmarkStart w:id="714" w:name="_Toc40477889"/>
      <w:bookmarkStart w:id="715" w:name="_Toc40521469"/>
      <w:bookmarkStart w:id="716" w:name="_Toc40530328"/>
      <w:bookmarkStart w:id="717" w:name="_Toc42778753"/>
      <w:bookmarkStart w:id="718" w:name="_Toc42779893"/>
      <w:bookmarkStart w:id="719" w:name="_Toc42780322"/>
      <w:bookmarkStart w:id="720" w:name="_Toc42786312"/>
      <w:bookmarkStart w:id="721" w:name="_Toc42791805"/>
      <w:bookmarkStart w:id="722" w:name="_Toc42791967"/>
      <w:bookmarkStart w:id="723" w:name="_Toc43117774"/>
      <w:bookmarkStart w:id="724" w:name="_Toc43121413"/>
      <w:bookmarkStart w:id="725" w:name="_Toc43122618"/>
      <w:bookmarkStart w:id="726" w:name="_Toc43127673"/>
      <w:bookmarkStart w:id="727" w:name="_Toc45520484"/>
      <w:bookmarkStart w:id="728" w:name="_Toc46133595"/>
      <w:r w:rsidRPr="00027624">
        <w:t>Outline of this section</w:t>
      </w:r>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p>
    <w:p w14:paraId="63D59176" w14:textId="77777777" w:rsidR="00B3792F" w:rsidRPr="00027624" w:rsidRDefault="00B3792F" w:rsidP="00B3792F">
      <w:r w:rsidRPr="00027624">
        <w:t>This section analyses:</w:t>
      </w:r>
    </w:p>
    <w:p w14:paraId="133A485E" w14:textId="77777777" w:rsidR="00B3792F" w:rsidRPr="00027624" w:rsidRDefault="00B3792F" w:rsidP="00B3792F">
      <w:pPr>
        <w:pStyle w:val="Bullet"/>
      </w:pPr>
      <w:r w:rsidRPr="00027624">
        <w:t>The tax advantage of saving through superannuation across income levels and the size of superannuation contributions and balances</w:t>
      </w:r>
    </w:p>
    <w:p w14:paraId="3DF6F239" w14:textId="77777777" w:rsidR="00B3792F" w:rsidRPr="00027624" w:rsidRDefault="00B3792F" w:rsidP="00B3792F">
      <w:pPr>
        <w:pStyle w:val="Bullet"/>
      </w:pPr>
      <w:r w:rsidRPr="00027624">
        <w:t>Income inequality among people aged 65 and over compared with people aged 25</w:t>
      </w:r>
      <w:r w:rsidR="00A8443E" w:rsidRPr="00027624">
        <w:noBreakHyphen/>
      </w:r>
      <w:r w:rsidRPr="00027624">
        <w:t>64</w:t>
      </w:r>
    </w:p>
    <w:p w14:paraId="45B757C3" w14:textId="77777777" w:rsidR="00B3792F" w:rsidRPr="00027624" w:rsidRDefault="00B3792F" w:rsidP="00B3792F">
      <w:pPr>
        <w:pStyle w:val="Bullet"/>
      </w:pPr>
      <w:r w:rsidRPr="00027624">
        <w:t>The lifetime Government support the retirement income system provides to people with different income levels</w:t>
      </w:r>
    </w:p>
    <w:p w14:paraId="25AEB2A0" w14:textId="77777777" w:rsidR="00B3792F" w:rsidRPr="00027624" w:rsidRDefault="00B3792F" w:rsidP="00B3792F">
      <w:pPr>
        <w:pStyle w:val="Bullet"/>
      </w:pPr>
      <w:r w:rsidRPr="00027624">
        <w:t>The size of social transfers in kind and age</w:t>
      </w:r>
      <w:r w:rsidR="00A8443E" w:rsidRPr="00027624">
        <w:noBreakHyphen/>
      </w:r>
      <w:r w:rsidRPr="00027624">
        <w:t>based tax concessions received by retirees with different levels of income and wealth</w:t>
      </w:r>
    </w:p>
    <w:p w14:paraId="3A077559" w14:textId="77777777" w:rsidR="00B3792F" w:rsidRPr="00027624" w:rsidRDefault="00B3792F" w:rsidP="00B3792F">
      <w:pPr>
        <w:pStyle w:val="Bullet"/>
      </w:pPr>
      <w:r w:rsidRPr="00027624">
        <w:t>Whether retirees with similar levels of savings receive similar retirement incomes</w:t>
      </w:r>
    </w:p>
    <w:tbl>
      <w:tblPr>
        <w:tblStyle w:val="TableGrid"/>
        <w:tblpPr w:leftFromText="180" w:rightFromText="180" w:vertAnchor="text" w:tblpY="1"/>
        <w:tblOverlap w:val="never"/>
        <w:tblW w:w="4878" w:type="pct"/>
        <w:shd w:val="clear" w:color="auto" w:fill="FFF8EA"/>
        <w:tblLook w:val="04A0" w:firstRow="1" w:lastRow="0" w:firstColumn="1" w:lastColumn="0" w:noHBand="0" w:noVBand="1"/>
      </w:tblPr>
      <w:tblGrid>
        <w:gridCol w:w="8849"/>
      </w:tblGrid>
      <w:tr w:rsidR="00B3792F" w:rsidRPr="00027624" w14:paraId="0C7F45D0" w14:textId="77777777" w:rsidTr="00B3792F">
        <w:tc>
          <w:tcPr>
            <w:tcW w:w="5000" w:type="pct"/>
            <w:shd w:val="clear" w:color="auto" w:fill="FFF8EA"/>
          </w:tcPr>
          <w:p w14:paraId="4B2DAD46" w14:textId="77777777" w:rsidR="00B3792F" w:rsidRPr="00027624" w:rsidRDefault="00B3792F" w:rsidP="00FC7361">
            <w:pPr>
              <w:pStyle w:val="BoxHeading"/>
              <w:numPr>
                <w:ilvl w:val="5"/>
                <w:numId w:val="46"/>
              </w:numPr>
            </w:pPr>
            <w:r w:rsidRPr="00027624">
              <w:lastRenderedPageBreak/>
              <w:t>Stakeholder views on equity of Government support provided through the retirement income system</w:t>
            </w:r>
          </w:p>
          <w:p w14:paraId="325D3D62" w14:textId="77777777" w:rsidR="00B3792F" w:rsidRPr="00027624" w:rsidRDefault="00B3792F" w:rsidP="00B3792F">
            <w:pPr>
              <w:pStyle w:val="BoxText"/>
            </w:pPr>
            <w:r w:rsidRPr="00027624">
              <w:t>Stakeholders had divergent views about the equity of Government support through the retirement income system. Many considered the system provides disproportionate levels of Government support to full</w:t>
            </w:r>
            <w:r w:rsidR="00A8443E" w:rsidRPr="00027624">
              <w:noBreakHyphen/>
            </w:r>
            <w:r w:rsidRPr="00027624">
              <w:t>time, male, continuously employed and higher</w:t>
            </w:r>
            <w:r w:rsidR="00A8443E" w:rsidRPr="00027624">
              <w:noBreakHyphen/>
            </w:r>
            <w:r w:rsidRPr="00027624">
              <w:t>income earners. This was the most common theme raised in submissions made by individuals. One stakeholder noted:</w:t>
            </w:r>
          </w:p>
          <w:p w14:paraId="3E08A21B" w14:textId="77777777" w:rsidR="00B3792F" w:rsidRPr="00027624" w:rsidRDefault="00A8443E" w:rsidP="00B3792F">
            <w:pPr>
              <w:pStyle w:val="Quote"/>
            </w:pPr>
            <w:r w:rsidRPr="00027624">
              <w:rPr>
                <w:rFonts w:eastAsia="Calibri"/>
              </w:rPr>
              <w:t>‘</w:t>
            </w:r>
            <w:r w:rsidR="00B3792F" w:rsidRPr="00027624">
              <w:rPr>
                <w:rFonts w:eastAsia="Calibri"/>
              </w:rPr>
              <w:t xml:space="preserve">The poor design of superannuation tax concessions is the greatest weakness of our retirement </w:t>
            </w:r>
            <w:r w:rsidR="00B3792F" w:rsidRPr="00027624">
              <w:rPr>
                <w:rFonts w:eastAsia="Calibri" w:cs="Calibri"/>
              </w:rPr>
              <w:t>income system…</w:t>
            </w:r>
            <w:r w:rsidRPr="00027624">
              <w:rPr>
                <w:rFonts w:eastAsia="Calibri" w:cs="Calibri"/>
              </w:rPr>
              <w:t>’</w:t>
            </w:r>
            <w:r w:rsidR="00B3792F" w:rsidRPr="00027624">
              <w:rPr>
                <w:rFonts w:eastAsia="Calibri" w:cs="Calibri"/>
              </w:rPr>
              <w:t xml:space="preserve"> </w:t>
            </w:r>
            <w:sdt>
              <w:sdtPr>
                <w:rPr>
                  <w:rFonts w:eastAsia="Calibri" w:cs="Calibri"/>
                  <w:i w:val="0"/>
                </w:rPr>
                <w:id w:val="1186790281"/>
                <w:citation/>
              </w:sdtPr>
              <w:sdtEndPr/>
              <w:sdtContent>
                <w:r w:rsidR="00B3792F" w:rsidRPr="00027624">
                  <w:rPr>
                    <w:rFonts w:eastAsia="Calibri" w:cs="Calibri"/>
                    <w:i w:val="0"/>
                  </w:rPr>
                  <w:fldChar w:fldCharType="begin"/>
                </w:r>
                <w:r w:rsidR="00B3792F" w:rsidRPr="00027624">
                  <w:rPr>
                    <w:rFonts w:eastAsia="Calibri" w:cs="Calibri"/>
                    <w:i w:val="0"/>
                  </w:rPr>
                  <w:instrText xml:space="preserve">CITATION ACO202 \p 35 \l 3081 </w:instrText>
                </w:r>
                <w:r w:rsidR="00B3792F" w:rsidRPr="00027624">
                  <w:rPr>
                    <w:rFonts w:eastAsia="Calibri" w:cs="Calibri"/>
                    <w:i w:val="0"/>
                  </w:rPr>
                  <w:fldChar w:fldCharType="separate"/>
                </w:r>
                <w:r w:rsidR="00E83F6E" w:rsidRPr="00E83F6E">
                  <w:rPr>
                    <w:rFonts w:eastAsia="Calibri" w:cs="Calibri"/>
                    <w:noProof/>
                  </w:rPr>
                  <w:t>(Australian Council of Social Service, 2020, p. 35)</w:t>
                </w:r>
                <w:r w:rsidR="00B3792F" w:rsidRPr="00027624">
                  <w:rPr>
                    <w:rFonts w:eastAsia="Calibri" w:cs="Calibri"/>
                    <w:i w:val="0"/>
                  </w:rPr>
                  <w:fldChar w:fldCharType="end"/>
                </w:r>
              </w:sdtContent>
            </w:sdt>
          </w:p>
          <w:p w14:paraId="6C3FC6EA" w14:textId="77777777" w:rsidR="00B3792F" w:rsidRPr="00027624" w:rsidRDefault="00B3792F" w:rsidP="00B3792F">
            <w:pPr>
              <w:pStyle w:val="BoxText"/>
            </w:pPr>
            <w:r w:rsidRPr="00027624">
              <w:t>A few stakeholders expressed concern about superannuation accounts with very large balances. Many recommended changes to superannuation tax arrangements to reduce the proportion of Government support provided to</w:t>
            </w:r>
            <w:r w:rsidRPr="00027624" w:rsidDel="00B20616">
              <w:t xml:space="preserve"> </w:t>
            </w:r>
            <w:r w:rsidRPr="00027624">
              <w:t>higher</w:t>
            </w:r>
            <w:r w:rsidR="00A8443E" w:rsidRPr="00027624">
              <w:noBreakHyphen/>
            </w:r>
            <w:r w:rsidRPr="00027624">
              <w:t>income earners. One stakeholder stated:</w:t>
            </w:r>
          </w:p>
          <w:p w14:paraId="65BEE86E" w14:textId="77777777" w:rsidR="00B3792F" w:rsidRPr="00027624" w:rsidRDefault="00A8443E" w:rsidP="00B3792F">
            <w:pPr>
              <w:pStyle w:val="Quote"/>
              <w:rPr>
                <w:rFonts w:eastAsia="Calibri"/>
                <w:lang w:eastAsia="en-US"/>
              </w:rPr>
            </w:pPr>
            <w:r w:rsidRPr="00027624">
              <w:rPr>
                <w:rFonts w:eastAsia="Calibri"/>
                <w:lang w:eastAsia="en-US"/>
              </w:rPr>
              <w:t>‘</w:t>
            </w:r>
            <w:r w:rsidR="00B3792F" w:rsidRPr="00027624">
              <w:rPr>
                <w:rFonts w:eastAsia="Calibri"/>
                <w:lang w:eastAsia="en-US"/>
              </w:rPr>
              <w:t>Tax concessions for high net worth individuals should be reviewed, with an emphasis on existing superannuation accounts exceeding $10 million.</w:t>
            </w:r>
            <w:r w:rsidRPr="00027624">
              <w:rPr>
                <w:rFonts w:eastAsia="Calibri"/>
                <w:lang w:eastAsia="en-US"/>
              </w:rPr>
              <w:t>’</w:t>
            </w:r>
            <w:sdt>
              <w:sdtPr>
                <w:rPr>
                  <w:rFonts w:eastAsia="Calibri"/>
                  <w:lang w:eastAsia="en-US"/>
                </w:rPr>
                <w:id w:val="1060211466"/>
                <w:citation/>
              </w:sdtPr>
              <w:sdtEndPr/>
              <w:sdtContent>
                <w:r w:rsidR="00461E5F">
                  <w:rPr>
                    <w:rFonts w:eastAsia="Calibri"/>
                    <w:lang w:eastAsia="en-US"/>
                  </w:rPr>
                  <w:fldChar w:fldCharType="begin"/>
                </w:r>
                <w:r w:rsidR="00461E5F">
                  <w:rPr>
                    <w:noProof/>
                  </w:rPr>
                  <w:instrText xml:space="preserve">CITATION AIS201 \p 8 \l 3081 </w:instrText>
                </w:r>
                <w:r w:rsidR="00461E5F">
                  <w:rPr>
                    <w:rFonts w:eastAsia="Calibri"/>
                    <w:lang w:eastAsia="en-US"/>
                  </w:rPr>
                  <w:fldChar w:fldCharType="separate"/>
                </w:r>
                <w:r w:rsidR="00E83F6E">
                  <w:rPr>
                    <w:noProof/>
                  </w:rPr>
                  <w:t xml:space="preserve"> (Australian Institute of Superannuation Trustees, 2020, p. 8)</w:t>
                </w:r>
                <w:r w:rsidR="00461E5F">
                  <w:rPr>
                    <w:rFonts w:eastAsia="Calibri"/>
                    <w:lang w:eastAsia="en-US"/>
                  </w:rPr>
                  <w:fldChar w:fldCharType="end"/>
                </w:r>
              </w:sdtContent>
            </w:sdt>
          </w:p>
          <w:p w14:paraId="67E7B3AD" w14:textId="77777777" w:rsidR="00B3792F" w:rsidRPr="00027624" w:rsidRDefault="00B3792F" w:rsidP="00B3792F">
            <w:pPr>
              <w:pStyle w:val="BoxText"/>
            </w:pPr>
            <w:r w:rsidRPr="00027624">
              <w:t>Some stakeholders challenged the way the consultation paper analysed lifetime Government support provided through the retirement income system. These stakeholders considered the analysis overstated the proportion of superannuation tax concessions received by higher</w:t>
            </w:r>
            <w:r w:rsidR="00A8443E" w:rsidRPr="00027624">
              <w:noBreakHyphen/>
            </w:r>
            <w:r w:rsidRPr="00027624">
              <w:t>income earners. Most of these stakeholders were not concerned with the current superannuation tax arrangements. One stated:</w:t>
            </w:r>
          </w:p>
          <w:p w14:paraId="3EE4ED62" w14:textId="77777777" w:rsidR="00B3792F" w:rsidRPr="00027624" w:rsidRDefault="00A8443E" w:rsidP="00B3792F">
            <w:pPr>
              <w:pStyle w:val="Quote"/>
              <w:rPr>
                <w:rFonts w:eastAsia="Calibri"/>
              </w:rPr>
            </w:pPr>
            <w:r w:rsidRPr="00027624">
              <w:rPr>
                <w:rFonts w:eastAsiaTheme="minorHAnsi"/>
                <w:lang w:eastAsia="en-US"/>
              </w:rPr>
              <w:t>‘</w:t>
            </w:r>
            <w:r w:rsidR="00B3792F" w:rsidRPr="00027624">
              <w:rPr>
                <w:rFonts w:eastAsiaTheme="minorHAnsi"/>
                <w:lang w:eastAsia="en-US"/>
              </w:rPr>
              <w:t>…w</w:t>
            </w:r>
            <w:r w:rsidR="00B3792F" w:rsidRPr="00027624">
              <w:rPr>
                <w:rFonts w:eastAsia="Calibri"/>
              </w:rPr>
              <w:t>e consider there is a strong case for concluding that the tax system for superannuation is equitable and does not provide unfair benefits to higher</w:t>
            </w:r>
            <w:r w:rsidRPr="00027624">
              <w:rPr>
                <w:rFonts w:eastAsia="Calibri"/>
              </w:rPr>
              <w:noBreakHyphen/>
            </w:r>
            <w:r w:rsidR="00B3792F" w:rsidRPr="00027624">
              <w:rPr>
                <w:rFonts w:eastAsia="Calibri"/>
              </w:rPr>
              <w:t>income earners.</w:t>
            </w:r>
            <w:r w:rsidRPr="00027624">
              <w:rPr>
                <w:rFonts w:eastAsia="Calibri"/>
              </w:rPr>
              <w:t>’</w:t>
            </w:r>
            <w:r w:rsidR="00B3792F" w:rsidRPr="00027624">
              <w:rPr>
                <w:rFonts w:eastAsia="Calibri"/>
              </w:rPr>
              <w:t xml:space="preserve"> </w:t>
            </w:r>
            <w:sdt>
              <w:sdtPr>
                <w:rPr>
                  <w:rFonts w:eastAsia="Calibri"/>
                  <w:i w:val="0"/>
                </w:rPr>
                <w:id w:val="-195699393"/>
                <w:citation/>
              </w:sdtPr>
              <w:sdtEndPr/>
              <w:sdtContent>
                <w:r w:rsidR="00B3792F" w:rsidRPr="00027624">
                  <w:rPr>
                    <w:rFonts w:eastAsia="Calibri"/>
                    <w:i w:val="0"/>
                  </w:rPr>
                  <w:fldChar w:fldCharType="begin"/>
                </w:r>
                <w:r w:rsidR="00B3792F" w:rsidRPr="00027624">
                  <w:rPr>
                    <w:rFonts w:eastAsia="Calibri"/>
                    <w:i w:val="0"/>
                  </w:rPr>
                  <w:instrText xml:space="preserve">CITATION FSC20 \p 64 \l 3081 </w:instrText>
                </w:r>
                <w:r w:rsidR="00B3792F" w:rsidRPr="00027624">
                  <w:rPr>
                    <w:rFonts w:eastAsia="Calibri"/>
                    <w:i w:val="0"/>
                  </w:rPr>
                  <w:fldChar w:fldCharType="separate"/>
                </w:r>
                <w:r w:rsidR="00E83F6E" w:rsidRPr="00E83F6E">
                  <w:rPr>
                    <w:rFonts w:eastAsia="Calibri"/>
                    <w:noProof/>
                  </w:rPr>
                  <w:t>(Financial Services Council, 2020, p. 64)</w:t>
                </w:r>
                <w:r w:rsidR="00B3792F" w:rsidRPr="00027624">
                  <w:rPr>
                    <w:rFonts w:eastAsia="Calibri"/>
                    <w:i w:val="0"/>
                  </w:rPr>
                  <w:fldChar w:fldCharType="end"/>
                </w:r>
              </w:sdtContent>
            </w:sdt>
          </w:p>
          <w:p w14:paraId="6F7393E7" w14:textId="77777777" w:rsidR="00B3792F" w:rsidRPr="00027624" w:rsidRDefault="00B3792F" w:rsidP="00B3792F">
            <w:pPr>
              <w:pStyle w:val="BoxText"/>
              <w:rPr>
                <w:rFonts w:eastAsia="Calibri"/>
              </w:rPr>
            </w:pPr>
            <w:r w:rsidRPr="00027624">
              <w:rPr>
                <w:rFonts w:eastAsia="Calibri"/>
              </w:rPr>
              <w:t>Some stakeholders raised concerns about current deeming rates for the Age Pension means test. One stated:</w:t>
            </w:r>
          </w:p>
          <w:p w14:paraId="3FFDF3D0" w14:textId="77777777" w:rsidR="00B3792F" w:rsidRPr="00027624" w:rsidRDefault="00A8443E" w:rsidP="00B3792F">
            <w:pPr>
              <w:pStyle w:val="Quote"/>
              <w:rPr>
                <w:rFonts w:eastAsia="Calibri"/>
                <w:lang w:eastAsia="en-US"/>
              </w:rPr>
            </w:pPr>
            <w:r w:rsidRPr="00027624">
              <w:rPr>
                <w:rFonts w:eastAsia="Calibri"/>
                <w:lang w:eastAsia="en-US"/>
              </w:rPr>
              <w:t>‘</w:t>
            </w:r>
            <w:r w:rsidR="00B3792F" w:rsidRPr="00027624">
              <w:rPr>
                <w:rFonts w:eastAsia="Calibri"/>
                <w:lang w:eastAsia="en-US"/>
              </w:rPr>
              <w:t>I</w:t>
            </w:r>
            <w:r w:rsidR="00B3792F" w:rsidRPr="00027624">
              <w:rPr>
                <w:rFonts w:eastAsia="Calibri"/>
              </w:rPr>
              <w:t>t is worth noting that the lower Deeming rate is now, for the first time since 1996, higher than the Reserve Bank Cash Rate.</w:t>
            </w:r>
            <w:r w:rsidRPr="00027624">
              <w:rPr>
                <w:rFonts w:eastAsia="Calibri"/>
              </w:rPr>
              <w:t>’</w:t>
            </w:r>
            <w:r w:rsidR="00B3792F" w:rsidRPr="00027624">
              <w:rPr>
                <w:rFonts w:eastAsia="Calibri"/>
              </w:rPr>
              <w:t xml:space="preserve"> </w:t>
            </w:r>
            <w:r w:rsidR="0045435C" w:rsidRPr="00027624">
              <w:rPr>
                <w:rFonts w:eastAsia="Calibri"/>
              </w:rPr>
              <w:br/>
            </w:r>
            <w:sdt>
              <w:sdtPr>
                <w:rPr>
                  <w:rFonts w:eastAsia="Calibri"/>
                  <w:i w:val="0"/>
                </w:rPr>
                <w:id w:val="-1518541286"/>
                <w:citation/>
              </w:sdtPr>
              <w:sdtEndPr/>
              <w:sdtContent>
                <w:r w:rsidR="00B3792F" w:rsidRPr="00027624">
                  <w:rPr>
                    <w:rFonts w:eastAsia="Calibri"/>
                    <w:i w:val="0"/>
                  </w:rPr>
                  <w:fldChar w:fldCharType="begin"/>
                </w:r>
                <w:r w:rsidR="00B3792F" w:rsidRPr="00027624">
                  <w:rPr>
                    <w:rFonts w:eastAsia="Calibri"/>
                    <w:i w:val="0"/>
                  </w:rPr>
                  <w:instrText xml:space="preserve">CITATION Wes20 \p 1 \l 3081 </w:instrText>
                </w:r>
                <w:r w:rsidR="00B3792F" w:rsidRPr="00027624">
                  <w:rPr>
                    <w:rFonts w:eastAsia="Calibri"/>
                    <w:i w:val="0"/>
                  </w:rPr>
                  <w:fldChar w:fldCharType="separate"/>
                </w:r>
                <w:r w:rsidR="00E83F6E" w:rsidRPr="00E83F6E">
                  <w:rPr>
                    <w:rFonts w:eastAsia="Calibri"/>
                    <w:noProof/>
                  </w:rPr>
                  <w:t>(Western Australia Self Funded Retirees Inc., 2020, p. 1)</w:t>
                </w:r>
                <w:r w:rsidR="00B3792F" w:rsidRPr="00027624">
                  <w:rPr>
                    <w:rFonts w:eastAsia="Calibri"/>
                    <w:i w:val="0"/>
                  </w:rPr>
                  <w:fldChar w:fldCharType="end"/>
                </w:r>
              </w:sdtContent>
            </w:sdt>
          </w:p>
        </w:tc>
      </w:tr>
    </w:tbl>
    <w:p w14:paraId="09A5E879" w14:textId="77777777" w:rsidR="00B3792F" w:rsidRPr="00027624" w:rsidRDefault="00B3792F" w:rsidP="00B3792F">
      <w:pPr>
        <w:pStyle w:val="Heading2"/>
      </w:pPr>
      <w:bookmarkStart w:id="729" w:name="_Toc40278894"/>
      <w:bookmarkStart w:id="730" w:name="_Toc40280505"/>
      <w:bookmarkStart w:id="731" w:name="_Toc40366085"/>
      <w:bookmarkStart w:id="732" w:name="_Toc40369631"/>
      <w:bookmarkStart w:id="733" w:name="_Toc40427600"/>
      <w:bookmarkStart w:id="734" w:name="_Toc40458037"/>
      <w:bookmarkStart w:id="735" w:name="_Toc40461806"/>
      <w:bookmarkStart w:id="736" w:name="_Toc40474361"/>
      <w:bookmarkStart w:id="737" w:name="_Toc40477890"/>
      <w:bookmarkStart w:id="738" w:name="_Toc40521470"/>
      <w:bookmarkStart w:id="739" w:name="_Toc40530329"/>
      <w:bookmarkStart w:id="740" w:name="_Toc42778754"/>
      <w:bookmarkStart w:id="741" w:name="_Toc42779894"/>
      <w:bookmarkStart w:id="742" w:name="_Toc42780323"/>
      <w:bookmarkStart w:id="743" w:name="_Toc42786313"/>
      <w:bookmarkStart w:id="744" w:name="_Toc42791806"/>
      <w:bookmarkStart w:id="745" w:name="_Toc42791968"/>
      <w:bookmarkStart w:id="746" w:name="_Toc43117775"/>
      <w:bookmarkStart w:id="747" w:name="_Toc43121414"/>
      <w:bookmarkStart w:id="748" w:name="_Toc43122619"/>
      <w:bookmarkStart w:id="749" w:name="_Toc43127674"/>
      <w:bookmarkStart w:id="750" w:name="_Toc45520485"/>
      <w:bookmarkStart w:id="751" w:name="_Toc46133596"/>
      <w:r w:rsidRPr="00027624">
        <w:t>Tax advantage of saving through superannuation</w:t>
      </w:r>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p>
    <w:p w14:paraId="3CD42E5E" w14:textId="77777777" w:rsidR="00B3792F" w:rsidRPr="00027624" w:rsidRDefault="00B3792F" w:rsidP="00B3792F">
      <w:r w:rsidRPr="00027624">
        <w:rPr>
          <w:b/>
        </w:rPr>
        <w:t>Most people pay less tax when they save through superannuation compared with other savings vehicles.</w:t>
      </w:r>
      <w:r w:rsidRPr="00027624">
        <w:t xml:space="preserve"> This is because, even after the reforms of the last 10 years, the superannuation tax system has a relatively flat structure, while the individual income tax system is progressive (see </w:t>
      </w:r>
      <w:r w:rsidRPr="00027624">
        <w:rPr>
          <w:i/>
        </w:rPr>
        <w:t>1B. Design of Australia</w:t>
      </w:r>
      <w:r w:rsidR="00A8443E" w:rsidRPr="00027624">
        <w:rPr>
          <w:i/>
        </w:rPr>
        <w:t>’</w:t>
      </w:r>
      <w:r w:rsidRPr="00027624">
        <w:rPr>
          <w:i/>
        </w:rPr>
        <w:t>s retirement income system</w:t>
      </w:r>
      <w:r w:rsidRPr="00027624">
        <w:t>).</w:t>
      </w:r>
    </w:p>
    <w:p w14:paraId="33039FC5" w14:textId="77777777" w:rsidR="00B3792F" w:rsidRPr="00027624" w:rsidRDefault="00B3792F" w:rsidP="00B3792F">
      <w:pPr>
        <w:pStyle w:val="Heading3"/>
      </w:pPr>
      <w:bookmarkStart w:id="752" w:name="_Toc40278895"/>
      <w:bookmarkStart w:id="753" w:name="_Toc40280506"/>
      <w:bookmarkStart w:id="754" w:name="_Toc40366086"/>
      <w:bookmarkStart w:id="755" w:name="_Toc40369632"/>
      <w:bookmarkStart w:id="756" w:name="_Toc40427601"/>
      <w:bookmarkStart w:id="757" w:name="_Toc40458038"/>
      <w:bookmarkStart w:id="758" w:name="_Toc40461807"/>
      <w:bookmarkStart w:id="759" w:name="_Toc40474362"/>
      <w:bookmarkStart w:id="760" w:name="_Toc40477891"/>
      <w:bookmarkStart w:id="761" w:name="_Toc40521471"/>
      <w:bookmarkStart w:id="762" w:name="_Toc40530330"/>
      <w:bookmarkStart w:id="763" w:name="_Toc42778755"/>
      <w:bookmarkStart w:id="764" w:name="_Toc42779895"/>
      <w:bookmarkStart w:id="765" w:name="_Toc42780324"/>
      <w:bookmarkStart w:id="766" w:name="_Toc42786314"/>
      <w:bookmarkStart w:id="767" w:name="_Toc42791807"/>
      <w:bookmarkStart w:id="768" w:name="_Toc42791969"/>
      <w:bookmarkStart w:id="769" w:name="_Toc43117776"/>
      <w:bookmarkStart w:id="770" w:name="_Toc43121415"/>
      <w:bookmarkStart w:id="771" w:name="_Toc43122620"/>
      <w:bookmarkStart w:id="772" w:name="_Toc43127675"/>
      <w:r w:rsidRPr="00027624">
        <w:t>Superannuation contributions tax</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027624">
        <w:t xml:space="preserve"> </w:t>
      </w:r>
    </w:p>
    <w:p w14:paraId="2D151751" w14:textId="1A053E32" w:rsidR="00B3792F" w:rsidRPr="00027624" w:rsidRDefault="00B3792F" w:rsidP="00B3792F">
      <w:r w:rsidRPr="00027624">
        <w:t xml:space="preserve">Superannuation contributions tax is applied to superannuation contributions that have not been otherwise taxed. For very high income earners, </w:t>
      </w:r>
      <w:r w:rsidR="00814818" w:rsidRPr="00027624">
        <w:t>Division 293 tax</w:t>
      </w:r>
      <w:r w:rsidRPr="00027624">
        <w:t xml:space="preserve"> means people with annual incomes </w:t>
      </w:r>
      <w:r w:rsidR="0051357A" w:rsidRPr="00027624">
        <w:t xml:space="preserve">of </w:t>
      </w:r>
      <w:r w:rsidRPr="00027624">
        <w:t xml:space="preserve">$250,000 </w:t>
      </w:r>
      <w:r w:rsidR="0051357A" w:rsidRPr="00027624">
        <w:t xml:space="preserve">and over </w:t>
      </w:r>
      <w:r w:rsidRPr="00027624">
        <w:t>receive a 17 per cent tax concession on contributions above this threshold, lowering their tax advantage (</w:t>
      </w:r>
      <w:r w:rsidRPr="00027624">
        <w:fldChar w:fldCharType="begin"/>
      </w:r>
      <w:r w:rsidRPr="00027624">
        <w:instrText xml:space="preserve"> REF _Ref36112964 \r \h  \* MERGEFORMAT </w:instrText>
      </w:r>
      <w:r w:rsidRPr="00027624">
        <w:fldChar w:fldCharType="separate"/>
      </w:r>
      <w:r w:rsidR="00891058">
        <w:t>Chart 3A-1</w:t>
      </w:r>
      <w:r w:rsidRPr="00027624">
        <w:fldChar w:fldCharType="end"/>
      </w:r>
      <w:r w:rsidRPr="00027624">
        <w:t>).</w:t>
      </w:r>
    </w:p>
    <w:p w14:paraId="1D2C5499" w14:textId="77777777" w:rsidR="00B3792F" w:rsidRPr="00027624" w:rsidRDefault="00B3792F" w:rsidP="00B3792F">
      <w:r w:rsidRPr="00027624">
        <w:t>For people whose income is below the effective tax</w:t>
      </w:r>
      <w:r w:rsidR="00A8443E" w:rsidRPr="00027624">
        <w:noBreakHyphen/>
      </w:r>
      <w:r w:rsidRPr="00027624">
        <w:t>free threshold of $21,884,</w:t>
      </w:r>
      <w:r w:rsidRPr="00027624">
        <w:rPr>
          <w:rStyle w:val="FootnoteReference"/>
        </w:rPr>
        <w:footnoteReference w:id="115"/>
      </w:r>
      <w:r w:rsidRPr="00027624">
        <w:t xml:space="preserve"> the low income superannuation tax offset removes the tax </w:t>
      </w:r>
      <w:r w:rsidRPr="00027624">
        <w:rPr>
          <w:i/>
          <w:iCs/>
        </w:rPr>
        <w:t xml:space="preserve">penalty </w:t>
      </w:r>
      <w:r w:rsidRPr="00027624">
        <w:t xml:space="preserve">on superannuation contributions, ensuring the tax on contributions is zero but does not create a tax </w:t>
      </w:r>
      <w:r w:rsidRPr="00027624">
        <w:rPr>
          <w:i/>
          <w:iCs/>
        </w:rPr>
        <w:t>advantage</w:t>
      </w:r>
      <w:r w:rsidRPr="00027624">
        <w:t xml:space="preserve">. </w:t>
      </w:r>
    </w:p>
    <w:p w14:paraId="48B620B6" w14:textId="77777777" w:rsidR="00B3792F" w:rsidRPr="00027624" w:rsidRDefault="00B3792F" w:rsidP="00B3792F">
      <w:pPr>
        <w:pStyle w:val="Heading3"/>
      </w:pPr>
      <w:bookmarkStart w:id="773" w:name="_Toc40278896"/>
      <w:bookmarkStart w:id="774" w:name="_Toc40280507"/>
      <w:bookmarkStart w:id="775" w:name="_Toc40366087"/>
      <w:bookmarkStart w:id="776" w:name="_Toc40369633"/>
      <w:bookmarkStart w:id="777" w:name="_Toc40427602"/>
      <w:bookmarkStart w:id="778" w:name="_Toc40458039"/>
      <w:bookmarkStart w:id="779" w:name="_Toc40461808"/>
      <w:bookmarkStart w:id="780" w:name="_Toc40474363"/>
      <w:bookmarkStart w:id="781" w:name="_Toc40477892"/>
      <w:bookmarkStart w:id="782" w:name="_Toc40521472"/>
      <w:bookmarkStart w:id="783" w:name="_Toc40530331"/>
      <w:bookmarkStart w:id="784" w:name="_Toc42778756"/>
      <w:bookmarkStart w:id="785" w:name="_Toc42779896"/>
      <w:bookmarkStart w:id="786" w:name="_Toc42780325"/>
      <w:bookmarkStart w:id="787" w:name="_Toc42786315"/>
      <w:bookmarkStart w:id="788" w:name="_Toc42791808"/>
      <w:bookmarkStart w:id="789" w:name="_Toc42791970"/>
      <w:bookmarkStart w:id="790" w:name="_Toc43117777"/>
      <w:bookmarkStart w:id="791" w:name="_Toc43121416"/>
      <w:bookmarkStart w:id="792" w:name="_Toc43122621"/>
      <w:bookmarkStart w:id="793" w:name="_Toc43127676"/>
      <w:r w:rsidRPr="00027624">
        <w:lastRenderedPageBreak/>
        <w:t>Superannuation earnings tax</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14:paraId="0E11C9A0" w14:textId="01AD28D9" w:rsidR="00B3792F" w:rsidRPr="00027624" w:rsidRDefault="00B3792F" w:rsidP="00B3792F">
      <w:r w:rsidRPr="00027624">
        <w:t>Superannuation earnings are taxed at 15 per cent in the pre</w:t>
      </w:r>
      <w:r w:rsidR="00A8443E" w:rsidRPr="00027624">
        <w:noBreakHyphen/>
      </w:r>
      <w:r w:rsidRPr="00027624">
        <w:t>retirement phase but are tax</w:t>
      </w:r>
      <w:r w:rsidR="00A8443E" w:rsidRPr="00027624">
        <w:noBreakHyphen/>
      </w:r>
      <w:r w:rsidRPr="00027624">
        <w:t xml:space="preserve">free in the retirement phase. The low income superannuation tax offset and </w:t>
      </w:r>
      <w:r w:rsidR="00814818" w:rsidRPr="00027624">
        <w:t>Division 293 tax</w:t>
      </w:r>
      <w:r w:rsidRPr="00027624">
        <w:t xml:space="preserve"> do not apply to superannuation earnings. This means people with higher annual incomes receive larger tax advantages on superannuation earnings (</w:t>
      </w:r>
      <w:r w:rsidRPr="00027624">
        <w:fldChar w:fldCharType="begin"/>
      </w:r>
      <w:r w:rsidRPr="00027624">
        <w:instrText xml:space="preserve"> REF _Ref36112964 \r \h  \* MERGEFORMAT </w:instrText>
      </w:r>
      <w:r w:rsidRPr="00027624">
        <w:fldChar w:fldCharType="separate"/>
      </w:r>
      <w:r w:rsidR="00891058">
        <w:t>Chart 3A-1</w:t>
      </w:r>
      <w:r w:rsidRPr="00027624">
        <w:fldChar w:fldCharType="end"/>
      </w:r>
      <w:r w:rsidRPr="00027624">
        <w:t xml:space="preserve">). </w:t>
      </w:r>
    </w:p>
    <w:p w14:paraId="5B70BAFE" w14:textId="77777777" w:rsidR="00B3792F" w:rsidRPr="00027624" w:rsidRDefault="00B3792F" w:rsidP="00FC7361">
      <w:pPr>
        <w:pStyle w:val="ChartMainHeading"/>
        <w:numPr>
          <w:ilvl w:val="2"/>
          <w:numId w:val="67"/>
        </w:numPr>
      </w:pPr>
      <w:bookmarkStart w:id="794" w:name="_Ref36112964"/>
      <w:bookmarkStart w:id="795" w:name="_Toc40278897"/>
      <w:r w:rsidRPr="00027624">
        <w:t>Tax saving per dollar of concessional superannuation contributions and earnings, by income</w:t>
      </w:r>
      <w:bookmarkEnd w:id="794"/>
      <w:bookmarkEnd w:id="795"/>
    </w:p>
    <w:p w14:paraId="0EC28123" w14:textId="77777777" w:rsidR="00B3792F" w:rsidRPr="00027624" w:rsidRDefault="00104393" w:rsidP="00D943CE">
      <w:pPr>
        <w:pStyle w:val="ChartGraphic"/>
      </w:pPr>
      <w:r>
        <w:rPr>
          <w:noProof/>
        </w:rPr>
        <w:drawing>
          <wp:inline distT="0" distB="0" distL="0" distR="0" wp14:anchorId="4379101F" wp14:editId="166C54CC">
            <wp:extent cx="5577840" cy="2514600"/>
            <wp:effectExtent l="0" t="0" r="3810" b="0"/>
            <wp:docPr id="41" name="Picture 41" descr="This chart shows that the tax saving on one dollar of concessional superannuation contributions or superannuation earnings generally increases as income increases. For those with incomes under $21,885, the tax saving is zero on concessional contributions and negative on superannuation earnings. For those with incomes over $250,000, the tax saving on concessional contributions is lower than at most lower incomes, due to the Division 293 tax. " title="Chart 3A-1 Tax saving per dollar of concessional superannuation contributions and earnings, by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77840" cy="2514600"/>
                    </a:xfrm>
                    <a:prstGeom prst="rect">
                      <a:avLst/>
                    </a:prstGeom>
                    <a:noFill/>
                  </pic:spPr>
                </pic:pic>
              </a:graphicData>
            </a:graphic>
          </wp:inline>
        </w:drawing>
      </w:r>
    </w:p>
    <w:p w14:paraId="56E0CD8B" w14:textId="77777777" w:rsidR="00B3792F" w:rsidRPr="00027624" w:rsidRDefault="00B3792F" w:rsidP="00B3792F">
      <w:pPr>
        <w:pStyle w:val="ChartorTableNote"/>
      </w:pPr>
      <w:r w:rsidRPr="00027624">
        <w:t>Note: Results for superannuation earnings only apply to assets held in the pre</w:t>
      </w:r>
      <w:r w:rsidR="00A8443E" w:rsidRPr="00027624">
        <w:noBreakHyphen/>
      </w:r>
      <w:r w:rsidRPr="00027624">
        <w:t>retirement phase. Applies to the 2019</w:t>
      </w:r>
      <w:r w:rsidR="00A8443E" w:rsidRPr="00027624">
        <w:noBreakHyphen/>
      </w:r>
      <w:r w:rsidRPr="00027624">
        <w:t xml:space="preserve">20 financial year. Tax saving includes the Medicare Levy. Assumes the person is single, </w:t>
      </w:r>
      <w:r w:rsidRPr="00027624">
        <w:rPr>
          <w:color w:val="auto"/>
        </w:rPr>
        <w:t xml:space="preserve">has no dependants, is not eligible for the </w:t>
      </w:r>
      <w:r w:rsidRPr="00027624">
        <w:t>seniors and pensioners tax offset</w:t>
      </w:r>
      <w:r w:rsidRPr="00027624">
        <w:rPr>
          <w:color w:val="auto"/>
        </w:rPr>
        <w:t xml:space="preserve"> and has private health insurance. Marginal tax rates vary significantly across income levels due to the low income tax offset, low and middle income tax offset, Medicare Levy and Private Health Insurance Rebate. Source: Calculations using 2019</w:t>
      </w:r>
      <w:r w:rsidR="00A8443E" w:rsidRPr="00027624">
        <w:rPr>
          <w:color w:val="auto"/>
        </w:rPr>
        <w:noBreakHyphen/>
      </w:r>
      <w:r w:rsidRPr="00027624">
        <w:rPr>
          <w:color w:val="auto"/>
        </w:rPr>
        <w:t>20 income and superannuation tax thresholds.</w:t>
      </w:r>
    </w:p>
    <w:p w14:paraId="093A1F52" w14:textId="2DB4A682" w:rsidR="00B3792F" w:rsidRDefault="00B3792F" w:rsidP="00B3792F">
      <w:r w:rsidRPr="00027624">
        <w:rPr>
          <w:b/>
          <w:bCs/>
        </w:rPr>
        <w:t>Over their lifetime, cameo modelling shows higher</w:t>
      </w:r>
      <w:r w:rsidR="00A8443E" w:rsidRPr="00027624">
        <w:rPr>
          <w:b/>
          <w:bCs/>
        </w:rPr>
        <w:noBreakHyphen/>
      </w:r>
      <w:r w:rsidRPr="00027624">
        <w:rPr>
          <w:b/>
          <w:bCs/>
        </w:rPr>
        <w:t>income earners receive more superannuation tax concessions</w:t>
      </w:r>
      <w:r w:rsidRPr="00027624">
        <w:t xml:space="preserve"> than lower</w:t>
      </w:r>
      <w:r w:rsidR="00A8443E" w:rsidRPr="00027624">
        <w:noBreakHyphen/>
      </w:r>
      <w:r w:rsidRPr="00027624">
        <w:t>income earners</w:t>
      </w:r>
      <w:r w:rsidR="0051357A" w:rsidRPr="00027624">
        <w:rPr>
          <w:rStyle w:val="FootnoteReference"/>
          <w:b/>
          <w:bCs/>
        </w:rPr>
        <w:footnoteReference w:id="116"/>
      </w:r>
      <w:r w:rsidRPr="00027624">
        <w:t xml:space="preserve"> as a percentage of superannuation contributions (</w:t>
      </w:r>
      <w:r w:rsidRPr="00027624">
        <w:fldChar w:fldCharType="begin"/>
      </w:r>
      <w:r w:rsidRPr="00027624">
        <w:instrText xml:space="preserve"> REF _Ref44578066 \r \h  \* MERGEFORMAT </w:instrText>
      </w:r>
      <w:r w:rsidRPr="00027624">
        <w:fldChar w:fldCharType="separate"/>
      </w:r>
      <w:r w:rsidR="00891058">
        <w:t>Chart 3A-2</w:t>
      </w:r>
      <w:r w:rsidRPr="00027624">
        <w:fldChar w:fldCharType="end"/>
      </w:r>
      <w:r w:rsidRPr="00027624">
        <w:t xml:space="preserve">). </w:t>
      </w:r>
    </w:p>
    <w:p w14:paraId="15D04DC1" w14:textId="77777777" w:rsidR="00F602F7" w:rsidRPr="00027624" w:rsidRDefault="00F602F7" w:rsidP="00F602F7">
      <w:r w:rsidRPr="00027624">
        <w:rPr>
          <w:b/>
          <w:bCs/>
        </w:rPr>
        <w:t xml:space="preserve">Several stakeholders suggested superannuation savings should be taxed more </w:t>
      </w:r>
      <w:r w:rsidRPr="00027624">
        <w:rPr>
          <w:b/>
        </w:rPr>
        <w:t>progressively.</w:t>
      </w:r>
      <w:r w:rsidRPr="00027624">
        <w:t xml:space="preserve"> Some focused on equalising the tax advantage of superannuation contributions. If this is achieved, less superannuation contributions tax concessions would be received by higher</w:t>
      </w:r>
      <w:r w:rsidRPr="00027624">
        <w:noBreakHyphen/>
        <w:t>income earners. However, even if the tax advantage was equalised, higher</w:t>
      </w:r>
      <w:r w:rsidRPr="00027624">
        <w:noBreakHyphen/>
        <w:t>income earners would continue to receive larger lifetime contributions tax concessions than lower</w:t>
      </w:r>
      <w:r w:rsidRPr="00027624">
        <w:noBreakHyphen/>
        <w:t>income earners as, on average, they make larger contributions than lower</w:t>
      </w:r>
      <w:r w:rsidRPr="00027624">
        <w:noBreakHyphen/>
        <w:t xml:space="preserve">income earners. </w:t>
      </w:r>
    </w:p>
    <w:p w14:paraId="7343AB18" w14:textId="77777777" w:rsidR="00F602F7" w:rsidRPr="00027624" w:rsidRDefault="00F602F7" w:rsidP="00B3792F">
      <w:r w:rsidRPr="00027624">
        <w:t>A few stakeholders also proposed reducing the tax advantage on superannuation earnings for people on higher incomes. But, given the way this tax is administered, options to equalise the tax advantage on superannuation earnings would pose a number of challenges. This is because superannuation funds currently administer superannuation earnings tax, but the ATO holds information about people’</w:t>
      </w:r>
      <w:r>
        <w:t xml:space="preserve">s marginal tax rates. </w:t>
      </w:r>
    </w:p>
    <w:p w14:paraId="0607AA96" w14:textId="77777777" w:rsidR="00B3792F" w:rsidRPr="00027624" w:rsidRDefault="00B3792F" w:rsidP="00FC7361">
      <w:pPr>
        <w:pStyle w:val="ChartMainHeading"/>
        <w:numPr>
          <w:ilvl w:val="2"/>
          <w:numId w:val="46"/>
        </w:numPr>
      </w:pPr>
      <w:bookmarkStart w:id="796" w:name="_Ref44578066"/>
      <w:bookmarkStart w:id="797" w:name="_Ref36113001"/>
      <w:bookmarkStart w:id="798" w:name="_Toc40278898"/>
      <w:r w:rsidRPr="00027624">
        <w:lastRenderedPageBreak/>
        <w:t>Projected superannuation tax concessions as a percentage of lifetime contributions</w:t>
      </w:r>
      <w:bookmarkEnd w:id="796"/>
      <w:bookmarkEnd w:id="797"/>
      <w:bookmarkEnd w:id="798"/>
    </w:p>
    <w:p w14:paraId="6F280180" w14:textId="77777777" w:rsidR="00B3792F" w:rsidRPr="00027624" w:rsidRDefault="00104393" w:rsidP="00B3792F">
      <w:pPr>
        <w:pStyle w:val="ChartGraphic"/>
      </w:pPr>
      <w:r>
        <w:rPr>
          <w:noProof/>
        </w:rPr>
        <w:drawing>
          <wp:inline distT="0" distB="0" distL="0" distR="0" wp14:anchorId="54FDE04A" wp14:editId="2A9249FB">
            <wp:extent cx="5585460" cy="2529840"/>
            <wp:effectExtent l="0" t="0" r="0" b="3810"/>
            <wp:docPr id="42" name="Picture 42" descr="This chart shows that the superannuation tax concessions projected through cameo modelling are lower as a percentage of lifetime contributions for lower-income earners relative to higher-income earners. The percentage of lifetime contributions slightly falls from the 30th percentile, before steeply increasing from the 80th percentile. The percentage is slightly lower at the 95th and 99th percentile than the 90th percentile. " title="Chart 3A-2 Projected superannuation tax concessions as a percentage of lifetime contrib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85460" cy="2529840"/>
                    </a:xfrm>
                    <a:prstGeom prst="rect">
                      <a:avLst/>
                    </a:prstGeom>
                    <a:noFill/>
                  </pic:spPr>
                </pic:pic>
              </a:graphicData>
            </a:graphic>
          </wp:inline>
        </w:drawing>
      </w:r>
    </w:p>
    <w:p w14:paraId="6CCE7080" w14:textId="5B9D2E32" w:rsidR="00B3792F" w:rsidRPr="00027624" w:rsidRDefault="00B3792F" w:rsidP="00B3792F">
      <w:pPr>
        <w:pStyle w:val="ChartorTableNote"/>
      </w:pPr>
      <w:r w:rsidRPr="00027624">
        <w:t>Note: Values are in 2019</w:t>
      </w:r>
      <w:r w:rsidR="00A8443E" w:rsidRPr="00027624">
        <w:noBreakHyphen/>
      </w:r>
      <w:r w:rsidRPr="00027624">
        <w:t>20 dollars, deflated using the review</w:t>
      </w:r>
      <w:r w:rsidR="00A8443E" w:rsidRPr="00027624">
        <w:t>’</w:t>
      </w:r>
      <w:r w:rsidRPr="00027624">
        <w:t xml:space="preserve">s mixed deflator (see </w:t>
      </w:r>
      <w:r w:rsidRPr="00027624">
        <w:rPr>
          <w:i/>
        </w:rPr>
        <w:t>Appendix 6A. Detailed modelling methods and assumptions</w:t>
      </w:r>
      <w:r w:rsidRPr="00027624">
        <w:t>) and results are similar if deflated by wages.</w:t>
      </w:r>
      <w:r w:rsidRPr="00027624" w:rsidDel="00524AF1">
        <w:t xml:space="preserve"> </w:t>
      </w:r>
      <w:r w:rsidRPr="00027624">
        <w:t>Superannuation tax concessions include those on contributions and earnings. Superannuation tax concessions received as a proportion of contribution</w:t>
      </w:r>
      <w:r w:rsidR="00D943CE" w:rsidRPr="00027624">
        <w:t>s</w:t>
      </w:r>
      <w:r w:rsidRPr="00027624">
        <w:t xml:space="preserve"> can be high as, over a lifetime, earnings tax concessions tend to be the larger component as they are received every year and compound over time along with earnings (see </w:t>
      </w:r>
      <w:r w:rsidRPr="00027624">
        <w:fldChar w:fldCharType="begin"/>
      </w:r>
      <w:r w:rsidRPr="00027624">
        <w:instrText xml:space="preserve"> REF _Ref36114098 \r \h  \* MERGEFORMAT </w:instrText>
      </w:r>
      <w:r w:rsidRPr="00027624">
        <w:fldChar w:fldCharType="separate"/>
      </w:r>
      <w:r w:rsidR="00891058">
        <w:t>Chart 3A-11</w:t>
      </w:r>
      <w:r w:rsidRPr="00027624">
        <w:fldChar w:fldCharType="end"/>
      </w:r>
      <w:r w:rsidRPr="00027624">
        <w:t xml:space="preserve"> for the make</w:t>
      </w:r>
      <w:r w:rsidR="00A8443E" w:rsidRPr="00027624">
        <w:noBreakHyphen/>
      </w:r>
      <w:r w:rsidRPr="00027624">
        <w:t xml:space="preserve">up of lifetime superannuation tax concessions). Superannuation contributions include all compulsory and salary sacrifice contributions made over a lifetime. Source: Cameo modelling undertaken for the review. </w:t>
      </w:r>
    </w:p>
    <w:p w14:paraId="46BED902" w14:textId="77777777" w:rsidR="00B3792F" w:rsidRPr="00027624" w:rsidRDefault="00B3792F" w:rsidP="00B3792F">
      <w:pPr>
        <w:pStyle w:val="Heading2"/>
      </w:pPr>
      <w:bookmarkStart w:id="799" w:name="_Toc40278899"/>
      <w:bookmarkStart w:id="800" w:name="_Toc40280508"/>
      <w:bookmarkStart w:id="801" w:name="_Toc40366088"/>
      <w:bookmarkStart w:id="802" w:name="_Toc40369634"/>
      <w:bookmarkStart w:id="803" w:name="_Toc40427603"/>
      <w:bookmarkStart w:id="804" w:name="_Toc40458040"/>
      <w:bookmarkStart w:id="805" w:name="_Toc40461809"/>
      <w:bookmarkStart w:id="806" w:name="_Toc40474364"/>
      <w:bookmarkStart w:id="807" w:name="_Toc40477893"/>
      <w:bookmarkStart w:id="808" w:name="_Toc40521473"/>
      <w:bookmarkStart w:id="809" w:name="_Toc40530332"/>
      <w:bookmarkStart w:id="810" w:name="_Toc42778757"/>
      <w:bookmarkStart w:id="811" w:name="_Toc42779897"/>
      <w:bookmarkStart w:id="812" w:name="_Toc42780326"/>
      <w:bookmarkStart w:id="813" w:name="_Toc42786316"/>
      <w:bookmarkStart w:id="814" w:name="_Toc42791809"/>
      <w:bookmarkStart w:id="815" w:name="_Toc42791971"/>
      <w:bookmarkStart w:id="816" w:name="_Toc43117778"/>
      <w:bookmarkStart w:id="817" w:name="_Toc43121417"/>
      <w:bookmarkStart w:id="818" w:name="_Toc43122622"/>
      <w:bookmarkStart w:id="819" w:name="_Toc43127677"/>
      <w:bookmarkStart w:id="820" w:name="_Toc45520486"/>
      <w:bookmarkStart w:id="821" w:name="_Toc46133597"/>
      <w:r w:rsidRPr="00027624">
        <w:t>Superannuation contributions</w:t>
      </w:r>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p>
    <w:p w14:paraId="2297FAF8" w14:textId="77777777" w:rsidR="00B3792F" w:rsidRPr="00027624" w:rsidRDefault="00B3792F" w:rsidP="00B3792F">
      <w:pPr>
        <w:pStyle w:val="Heading3"/>
      </w:pPr>
      <w:bookmarkStart w:id="822" w:name="_Toc40278900"/>
      <w:bookmarkStart w:id="823" w:name="_Toc40280509"/>
      <w:bookmarkStart w:id="824" w:name="_Toc40366089"/>
      <w:bookmarkStart w:id="825" w:name="_Toc40369635"/>
      <w:bookmarkStart w:id="826" w:name="_Toc40427604"/>
      <w:bookmarkStart w:id="827" w:name="_Toc40458041"/>
      <w:bookmarkStart w:id="828" w:name="_Toc40461810"/>
      <w:bookmarkStart w:id="829" w:name="_Toc40474365"/>
      <w:bookmarkStart w:id="830" w:name="_Toc40477894"/>
      <w:bookmarkStart w:id="831" w:name="_Toc40521474"/>
      <w:bookmarkStart w:id="832" w:name="_Toc40530333"/>
      <w:bookmarkStart w:id="833" w:name="_Toc42778758"/>
      <w:bookmarkStart w:id="834" w:name="_Toc42779898"/>
      <w:bookmarkStart w:id="835" w:name="_Toc42780327"/>
      <w:bookmarkStart w:id="836" w:name="_Toc42786317"/>
      <w:bookmarkStart w:id="837" w:name="_Toc42791810"/>
      <w:bookmarkStart w:id="838" w:name="_Toc42791972"/>
      <w:bookmarkStart w:id="839" w:name="_Toc43117779"/>
      <w:bookmarkStart w:id="840" w:name="_Toc43121418"/>
      <w:bookmarkStart w:id="841" w:name="_Toc43122623"/>
      <w:bookmarkStart w:id="842" w:name="_Toc43127678"/>
      <w:r w:rsidRPr="00027624">
        <w:t>Average annual superannuation contributions</w:t>
      </w:r>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p>
    <w:p w14:paraId="3B83BC62" w14:textId="421F4B31" w:rsidR="00B3792F" w:rsidRPr="00027624" w:rsidRDefault="00B3792F" w:rsidP="00B3792F">
      <w:pPr>
        <w:rPr>
          <w:i/>
          <w:iCs/>
        </w:rPr>
      </w:pPr>
      <w:r w:rsidRPr="00027624">
        <w:rPr>
          <w:b/>
          <w:bCs/>
        </w:rPr>
        <w:t xml:space="preserve">Superannuation contributions vary significantly by income, age, superannuation balance and gender </w:t>
      </w:r>
      <w:r w:rsidRPr="00027624">
        <w:rPr>
          <w:bCs/>
        </w:rPr>
        <w:t>(see</w:t>
      </w:r>
      <w:r w:rsidR="00D943CE" w:rsidRPr="00027624">
        <w:rPr>
          <w:bCs/>
        </w:rPr>
        <w:t xml:space="preserve"> </w:t>
      </w:r>
      <w:r w:rsidR="00D943CE" w:rsidRPr="00027624">
        <w:rPr>
          <w:bCs/>
          <w:i/>
        </w:rPr>
        <w:t>3B. Gender and partnered status</w:t>
      </w:r>
      <w:r w:rsidRPr="00027624">
        <w:t>). On average, annual superannuation contributions vary more by income than age. Higher</w:t>
      </w:r>
      <w:r w:rsidR="00A8443E" w:rsidRPr="00027624">
        <w:noBreakHyphen/>
      </w:r>
      <w:r w:rsidRPr="00027624">
        <w:t>income earners make larger contributions than lower</w:t>
      </w:r>
      <w:r w:rsidR="00A8443E" w:rsidRPr="00027624">
        <w:noBreakHyphen/>
      </w:r>
      <w:r w:rsidRPr="00027624">
        <w:t>income earners (</w:t>
      </w:r>
      <w:r w:rsidRPr="00027624">
        <w:fldChar w:fldCharType="begin"/>
      </w:r>
      <w:r w:rsidRPr="00027624">
        <w:instrText xml:space="preserve"> REF _Ref44538359 \r \h  \* MERGEFORMAT </w:instrText>
      </w:r>
      <w:r w:rsidRPr="00027624">
        <w:fldChar w:fldCharType="separate"/>
      </w:r>
      <w:r w:rsidR="00891058">
        <w:t>Chart 3A-3</w:t>
      </w:r>
      <w:r w:rsidRPr="00027624">
        <w:fldChar w:fldCharType="end"/>
      </w:r>
      <w:r w:rsidRPr="00027624">
        <w:t>). However, even the highest</w:t>
      </w:r>
      <w:r w:rsidR="00A8443E" w:rsidRPr="00027624">
        <w:noBreakHyphen/>
      </w:r>
      <w:r w:rsidRPr="00027624">
        <w:t>income earners contribute less than the contributions caps, on average.</w:t>
      </w:r>
    </w:p>
    <w:p w14:paraId="47DECF99" w14:textId="688A2E14" w:rsidR="00B3792F" w:rsidRPr="00027624" w:rsidRDefault="00B3792F" w:rsidP="00B3792F">
      <w:pPr>
        <w:rPr>
          <w:bCs/>
        </w:rPr>
      </w:pPr>
      <w:r w:rsidRPr="00027624">
        <w:rPr>
          <w:bCs/>
        </w:rPr>
        <w:t>Before age 65, older</w:t>
      </w:r>
      <w:r w:rsidRPr="00027624">
        <w:t xml:space="preserve"> people generally make larger contributions than younger people</w:t>
      </w:r>
      <w:r w:rsidRPr="00027624">
        <w:rPr>
          <w:bCs/>
        </w:rPr>
        <w:t xml:space="preserve"> </w:t>
      </w:r>
      <w:r w:rsidRPr="00027624">
        <w:t>(</w:t>
      </w:r>
      <w:r w:rsidRPr="00027624">
        <w:fldChar w:fldCharType="begin"/>
      </w:r>
      <w:r w:rsidRPr="00027624">
        <w:instrText xml:space="preserve"> REF _Ref36113145 \r \h  \* MERGEFORMAT </w:instrText>
      </w:r>
      <w:r w:rsidRPr="00027624">
        <w:fldChar w:fldCharType="separate"/>
      </w:r>
      <w:r w:rsidR="00891058">
        <w:t>Chart 3A-3</w:t>
      </w:r>
      <w:r w:rsidRPr="00027624">
        <w:fldChar w:fldCharType="end"/>
      </w:r>
      <w:r w:rsidRPr="00027624">
        <w:t>).</w:t>
      </w:r>
      <w:r w:rsidRPr="00027624">
        <w:rPr>
          <w:bCs/>
        </w:rPr>
        <w:t xml:space="preserve"> Contributions begin decreasing after age 65. However, people who continue to work after age 65 continue to </w:t>
      </w:r>
      <w:r w:rsidRPr="00027624">
        <w:t>increase their contribution amounts until age 75, when they can no longer make voluntary superannuation contributions</w:t>
      </w:r>
      <w:sdt>
        <w:sdtPr>
          <w:id w:val="-210104512"/>
          <w:citation/>
        </w:sdtPr>
        <w:sdtEndPr/>
        <w:sdtContent>
          <w:r w:rsidR="002F1484">
            <w:fldChar w:fldCharType="begin"/>
          </w:r>
          <w:r w:rsidR="002F1484">
            <w:instrText xml:space="preserve">CITATION Pol \p 21 \l 3081 </w:instrText>
          </w:r>
          <w:r w:rsidR="002F1484">
            <w:fldChar w:fldCharType="separate"/>
          </w:r>
          <w:r w:rsidR="00E83F6E">
            <w:rPr>
              <w:noProof/>
            </w:rPr>
            <w:t xml:space="preserve"> (Polidano, et al., 2020, p. 21)</w:t>
          </w:r>
          <w:r w:rsidR="002F1484">
            <w:fldChar w:fldCharType="end"/>
          </w:r>
        </w:sdtContent>
      </w:sdt>
      <w:r w:rsidRPr="00027624">
        <w:t>.</w:t>
      </w:r>
    </w:p>
    <w:p w14:paraId="49CEEBCF" w14:textId="77777777" w:rsidR="00B3792F" w:rsidRPr="00027624" w:rsidRDefault="00B3792F" w:rsidP="00FC7361">
      <w:pPr>
        <w:pStyle w:val="ChartMainHeading"/>
        <w:numPr>
          <w:ilvl w:val="2"/>
          <w:numId w:val="46"/>
        </w:numPr>
      </w:pPr>
      <w:bookmarkStart w:id="843" w:name="_Ref44538359"/>
      <w:bookmarkStart w:id="844" w:name="_Ref44760716"/>
      <w:bookmarkStart w:id="845" w:name="_Ref36113145"/>
      <w:bookmarkStart w:id="846" w:name="_Toc40278901"/>
      <w:r w:rsidRPr="00027624">
        <w:lastRenderedPageBreak/>
        <w:t>Average annual superannuation contributions</w:t>
      </w:r>
      <w:bookmarkEnd w:id="843"/>
      <w:bookmarkEnd w:id="844"/>
    </w:p>
    <w:tbl>
      <w:tblPr>
        <w:tblW w:w="5000" w:type="pct"/>
        <w:tblLook w:val="01E0" w:firstRow="1" w:lastRow="1" w:firstColumn="1" w:lastColumn="1" w:noHBand="0" w:noVBand="0"/>
      </w:tblPr>
      <w:tblGrid>
        <w:gridCol w:w="4645"/>
        <w:gridCol w:w="4425"/>
      </w:tblGrid>
      <w:tr w:rsidR="00B3792F" w:rsidRPr="00027624" w14:paraId="6EBF682B" w14:textId="77777777" w:rsidTr="005B5724">
        <w:trPr>
          <w:tblHeader/>
        </w:trPr>
        <w:tc>
          <w:tcPr>
            <w:tcW w:w="2639" w:type="pct"/>
            <w:shd w:val="clear" w:color="auto" w:fill="auto"/>
          </w:tcPr>
          <w:p w14:paraId="22394C20" w14:textId="77777777" w:rsidR="00B3792F" w:rsidRPr="00027624" w:rsidRDefault="00B3792F" w:rsidP="00B3792F">
            <w:pPr>
              <w:pStyle w:val="ChartSecondHeading"/>
            </w:pPr>
            <w:r w:rsidRPr="00027624">
              <w:t>Income</w:t>
            </w:r>
          </w:p>
        </w:tc>
        <w:tc>
          <w:tcPr>
            <w:tcW w:w="2361" w:type="pct"/>
            <w:shd w:val="clear" w:color="auto" w:fill="auto"/>
          </w:tcPr>
          <w:p w14:paraId="0B2A3EFF" w14:textId="77777777" w:rsidR="00B3792F" w:rsidRPr="00027624" w:rsidRDefault="00B3792F" w:rsidP="00B3792F">
            <w:pPr>
              <w:pStyle w:val="ChartSecondHeading"/>
            </w:pPr>
            <w:r w:rsidRPr="00027624">
              <w:t>Age</w:t>
            </w:r>
          </w:p>
        </w:tc>
      </w:tr>
      <w:tr w:rsidR="00B3792F" w:rsidRPr="00027624" w14:paraId="75CEDEAC" w14:textId="77777777" w:rsidTr="005B5724">
        <w:trPr>
          <w:tblHeader/>
        </w:trPr>
        <w:tc>
          <w:tcPr>
            <w:tcW w:w="2639" w:type="pct"/>
            <w:shd w:val="clear" w:color="auto" w:fill="auto"/>
          </w:tcPr>
          <w:p w14:paraId="400C27EA" w14:textId="77777777" w:rsidR="00B3792F" w:rsidRPr="00027624" w:rsidRDefault="005B5724" w:rsidP="00B3792F">
            <w:pPr>
              <w:pStyle w:val="ChartGraphic"/>
              <w:rPr>
                <w:noProof/>
              </w:rPr>
            </w:pPr>
            <w:r>
              <w:rPr>
                <w:noProof/>
              </w:rPr>
              <w:drawing>
                <wp:inline distT="0" distB="0" distL="0" distR="0" wp14:anchorId="492CE685" wp14:editId="5A9448F7">
                  <wp:extent cx="2714699" cy="2743200"/>
                  <wp:effectExtent l="0" t="0" r="9525" b="0"/>
                  <wp:docPr id="2002235505" name="Picture 6" descr="This chart shows that average annual superannuation contributions increase with income (peaking at around $22,000 for those with incomes over $180,000). The chart shows that compulsory contributions make up the majority of contributions at most income levels, with smaller amounts due to post-tax voluntary, salary sacrifice and personal deductible contributions. " title="Chart 3A-3 Average annual superannuation contributions -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83"/>
                          <a:stretch>
                            <a:fillRect/>
                          </a:stretch>
                        </pic:blipFill>
                        <pic:spPr>
                          <a:xfrm>
                            <a:off x="0" y="0"/>
                            <a:ext cx="2719891" cy="2748447"/>
                          </a:xfrm>
                          <a:prstGeom prst="rect">
                            <a:avLst/>
                          </a:prstGeom>
                        </pic:spPr>
                      </pic:pic>
                    </a:graphicData>
                  </a:graphic>
                </wp:inline>
              </w:drawing>
            </w:r>
          </w:p>
        </w:tc>
        <w:tc>
          <w:tcPr>
            <w:tcW w:w="2361" w:type="pct"/>
            <w:shd w:val="clear" w:color="auto" w:fill="auto"/>
          </w:tcPr>
          <w:p w14:paraId="2D64243C" w14:textId="77777777" w:rsidR="00B3792F" w:rsidRPr="00027624" w:rsidRDefault="005B5724" w:rsidP="00B3792F">
            <w:pPr>
              <w:pStyle w:val="ChartGraphic"/>
              <w:rPr>
                <w:noProof/>
              </w:rPr>
            </w:pPr>
            <w:r>
              <w:rPr>
                <w:noProof/>
              </w:rPr>
              <w:drawing>
                <wp:inline distT="0" distB="0" distL="0" distR="0" wp14:anchorId="05C024F8" wp14:editId="3756ED86">
                  <wp:extent cx="2672715" cy="2722341"/>
                  <wp:effectExtent l="0" t="0" r="0" b="1905"/>
                  <wp:docPr id="2002235506" name="Picture 7" descr="This chart shows that average annual superannuation contributions increase with age up to 60-64 (peaking at around $13,000), after which they fall. At younger ages compulsory contributions make up the majority of contributions, while at older ages (from 55 onwards) post-tax voluntary contributions make up a majority of superannuation contributions. " title="Chart 3A-3 Average annual superannuation contributions -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84"/>
                          <a:stretch>
                            <a:fillRect/>
                          </a:stretch>
                        </pic:blipFill>
                        <pic:spPr>
                          <a:xfrm>
                            <a:off x="0" y="0"/>
                            <a:ext cx="2682311" cy="2732115"/>
                          </a:xfrm>
                          <a:prstGeom prst="rect">
                            <a:avLst/>
                          </a:prstGeom>
                        </pic:spPr>
                      </pic:pic>
                    </a:graphicData>
                  </a:graphic>
                </wp:inline>
              </w:drawing>
            </w:r>
          </w:p>
        </w:tc>
      </w:tr>
    </w:tbl>
    <w:bookmarkEnd w:id="845"/>
    <w:bookmarkEnd w:id="846"/>
    <w:p w14:paraId="1C415443" w14:textId="77777777" w:rsidR="00B3792F" w:rsidRPr="00027624" w:rsidRDefault="00B3792F" w:rsidP="00B3792F">
      <w:pPr>
        <w:pStyle w:val="ChartorTableNote"/>
      </w:pPr>
      <w:r w:rsidRPr="00027624">
        <w:rPr>
          <w:iCs/>
        </w:rPr>
        <w:t xml:space="preserve">Note: </w:t>
      </w:r>
      <w:r w:rsidRPr="00027624">
        <w:t>2017</w:t>
      </w:r>
      <w:r w:rsidR="00A8443E" w:rsidRPr="00027624">
        <w:noBreakHyphen/>
      </w:r>
      <w:r w:rsidRPr="00027624">
        <w:t xml:space="preserve">18 data. </w:t>
      </w:r>
      <w:r w:rsidRPr="00027624">
        <w:rPr>
          <w:iCs/>
        </w:rPr>
        <w:t>Does not include Government co</w:t>
      </w:r>
      <w:r w:rsidR="00A8443E" w:rsidRPr="00027624">
        <w:rPr>
          <w:iCs/>
        </w:rPr>
        <w:noBreakHyphen/>
      </w:r>
      <w:r w:rsidRPr="00027624">
        <w:rPr>
          <w:iCs/>
        </w:rPr>
        <w:t xml:space="preserve">contributions and spouse contributions. Source: Analysis of </w:t>
      </w:r>
      <w:r w:rsidRPr="00027624">
        <w:t>ATO individual income tax returns and member contributions statements, 2017</w:t>
      </w:r>
      <w:r w:rsidR="00A8443E" w:rsidRPr="00027624">
        <w:noBreakHyphen/>
      </w:r>
      <w:r w:rsidRPr="00027624">
        <w:t>18.</w:t>
      </w:r>
    </w:p>
    <w:p w14:paraId="114A57D9" w14:textId="77777777" w:rsidR="00B3792F" w:rsidRPr="00027624" w:rsidRDefault="00B3792F" w:rsidP="00B3792F">
      <w:pPr>
        <w:pStyle w:val="Heading3"/>
      </w:pPr>
      <w:bookmarkStart w:id="847" w:name="_Toc40278902"/>
      <w:bookmarkStart w:id="848" w:name="_Toc40280510"/>
      <w:bookmarkStart w:id="849" w:name="_Toc40366090"/>
      <w:bookmarkStart w:id="850" w:name="_Toc40369636"/>
      <w:bookmarkStart w:id="851" w:name="_Toc40427605"/>
      <w:bookmarkStart w:id="852" w:name="_Toc40458042"/>
      <w:bookmarkStart w:id="853" w:name="_Toc40461811"/>
      <w:bookmarkStart w:id="854" w:name="_Toc40474366"/>
      <w:bookmarkStart w:id="855" w:name="_Toc40477895"/>
      <w:bookmarkStart w:id="856" w:name="_Toc40521475"/>
      <w:bookmarkStart w:id="857" w:name="_Toc40530334"/>
      <w:bookmarkStart w:id="858" w:name="_Toc42778759"/>
      <w:bookmarkStart w:id="859" w:name="_Toc42779899"/>
      <w:bookmarkStart w:id="860" w:name="_Toc42780328"/>
      <w:bookmarkStart w:id="861" w:name="_Toc42786318"/>
      <w:bookmarkStart w:id="862" w:name="_Toc42791811"/>
      <w:bookmarkStart w:id="863" w:name="_Toc42791973"/>
      <w:bookmarkStart w:id="864" w:name="_Toc43117780"/>
      <w:bookmarkStart w:id="865" w:name="_Toc43121419"/>
      <w:bookmarkStart w:id="866" w:name="_Toc43122624"/>
      <w:bookmarkStart w:id="867" w:name="_Toc43127679"/>
      <w:r w:rsidRPr="00027624">
        <w:t>Compulsory superannuation contributions</w:t>
      </w:r>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r w:rsidRPr="00027624">
        <w:t xml:space="preserve"> </w:t>
      </w:r>
    </w:p>
    <w:p w14:paraId="6C18DA93" w14:textId="77777777" w:rsidR="00B3792F" w:rsidRPr="00027624" w:rsidRDefault="00B3792F" w:rsidP="00B3792F">
      <w:pPr>
        <w:keepNext/>
        <w:spacing w:after="0"/>
      </w:pPr>
      <w:r w:rsidRPr="00027624">
        <w:rPr>
          <w:b/>
          <w:bCs/>
        </w:rPr>
        <w:t>The size of compulsory superannuation contributions relates directly to a person</w:t>
      </w:r>
      <w:r w:rsidR="00A8443E" w:rsidRPr="00027624">
        <w:rPr>
          <w:b/>
          <w:bCs/>
        </w:rPr>
        <w:t>’</w:t>
      </w:r>
      <w:r w:rsidRPr="00027624">
        <w:rPr>
          <w:b/>
          <w:bCs/>
        </w:rPr>
        <w:t>s ordinary time earnings.</w:t>
      </w:r>
      <w:r w:rsidRPr="00027624">
        <w:t xml:space="preserve"> In 2017</w:t>
      </w:r>
      <w:r w:rsidR="00A8443E" w:rsidRPr="00027624">
        <w:noBreakHyphen/>
      </w:r>
      <w:r w:rsidRPr="00027624">
        <w:t>18, the top 15 per cent of income earners made 42 per cent of the total compulsory contributions.</w:t>
      </w:r>
      <w:r w:rsidRPr="00027624">
        <w:rPr>
          <w:rStyle w:val="FootnoteReference"/>
        </w:rPr>
        <w:footnoteReference w:id="117"/>
      </w:r>
      <w:r w:rsidRPr="00027624">
        <w:t xml:space="preserve"> Average annual compulsory contributions peak around ages 50</w:t>
      </w:r>
      <w:r w:rsidR="00A8443E" w:rsidRPr="00027624">
        <w:noBreakHyphen/>
      </w:r>
      <w:r w:rsidRPr="00027624">
        <w:t xml:space="preserve">54, within the age bracket where average weekly total cash earnings peak </w:t>
      </w:r>
      <w:sdt>
        <w:sdtPr>
          <w:id w:val="773142604"/>
          <w:citation/>
        </w:sdtPr>
        <w:sdtEndPr/>
        <w:sdtContent>
          <w:r w:rsidRPr="00027624">
            <w:fldChar w:fldCharType="begin"/>
          </w:r>
          <w:r w:rsidRPr="00027624">
            <w:instrText xml:space="preserve">CITATION ABS195 \l 3081 </w:instrText>
          </w:r>
          <w:r w:rsidRPr="00027624">
            <w:fldChar w:fldCharType="separate"/>
          </w:r>
          <w:r w:rsidR="00E83F6E">
            <w:rPr>
              <w:noProof/>
            </w:rPr>
            <w:t>(ABS, 2019h)</w:t>
          </w:r>
          <w:r w:rsidRPr="00027624">
            <w:fldChar w:fldCharType="end"/>
          </w:r>
        </w:sdtContent>
      </w:sdt>
      <w:r w:rsidRPr="00027624">
        <w:t>.</w:t>
      </w:r>
    </w:p>
    <w:p w14:paraId="108622D4" w14:textId="77777777" w:rsidR="00B3792F" w:rsidRPr="00027624" w:rsidRDefault="00B3792F" w:rsidP="00B3792F">
      <w:pPr>
        <w:pStyle w:val="Heading3"/>
      </w:pPr>
      <w:bookmarkStart w:id="868" w:name="_Toc40278903"/>
      <w:bookmarkStart w:id="869" w:name="_Toc40280511"/>
      <w:bookmarkStart w:id="870" w:name="_Toc40366091"/>
      <w:bookmarkStart w:id="871" w:name="_Toc40369637"/>
      <w:bookmarkStart w:id="872" w:name="_Toc40427606"/>
      <w:bookmarkStart w:id="873" w:name="_Toc40458043"/>
      <w:bookmarkStart w:id="874" w:name="_Toc40461812"/>
      <w:bookmarkStart w:id="875" w:name="_Toc40474367"/>
      <w:bookmarkStart w:id="876" w:name="_Toc40477896"/>
      <w:bookmarkStart w:id="877" w:name="_Toc40521476"/>
      <w:bookmarkStart w:id="878" w:name="_Toc40530335"/>
      <w:bookmarkStart w:id="879" w:name="_Toc42778760"/>
      <w:bookmarkStart w:id="880" w:name="_Toc42779900"/>
      <w:bookmarkStart w:id="881" w:name="_Toc42780329"/>
      <w:bookmarkStart w:id="882" w:name="_Toc42786319"/>
      <w:bookmarkStart w:id="883" w:name="_Toc42791812"/>
      <w:bookmarkStart w:id="884" w:name="_Toc42791974"/>
      <w:bookmarkStart w:id="885" w:name="_Toc43117781"/>
      <w:bookmarkStart w:id="886" w:name="_Toc43121420"/>
      <w:bookmarkStart w:id="887" w:name="_Toc43122625"/>
      <w:bookmarkStart w:id="888" w:name="_Toc43127680"/>
      <w:r w:rsidRPr="00027624">
        <w:t>Pre</w:t>
      </w:r>
      <w:r w:rsidR="00A8443E" w:rsidRPr="00027624">
        <w:noBreakHyphen/>
      </w:r>
      <w:r w:rsidRPr="00027624">
        <w:t>tax voluntary superannuation contributions</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r w:rsidRPr="00027624">
        <w:t xml:space="preserve"> </w:t>
      </w:r>
    </w:p>
    <w:p w14:paraId="04F2E860" w14:textId="380367DF" w:rsidR="00B3792F" w:rsidRPr="00027624" w:rsidRDefault="00B3792F" w:rsidP="00B3792F">
      <w:r w:rsidRPr="00027624">
        <w:rPr>
          <w:b/>
        </w:rPr>
        <w:t>Average pre</w:t>
      </w:r>
      <w:r w:rsidR="00A8443E" w:rsidRPr="00027624">
        <w:rPr>
          <w:b/>
        </w:rPr>
        <w:noBreakHyphen/>
      </w:r>
      <w:r w:rsidRPr="00027624">
        <w:rPr>
          <w:b/>
        </w:rPr>
        <w:t xml:space="preserve">tax voluntary </w:t>
      </w:r>
      <w:r w:rsidRPr="00027624">
        <w:rPr>
          <w:b/>
          <w:bCs/>
        </w:rPr>
        <w:t xml:space="preserve">superannuation </w:t>
      </w:r>
      <w:r w:rsidRPr="00027624">
        <w:rPr>
          <w:b/>
        </w:rPr>
        <w:t>contributions increase with age and peak just before age 65</w:t>
      </w:r>
      <w:r w:rsidRPr="00027624">
        <w:t xml:space="preserve"> (</w:t>
      </w:r>
      <w:r w:rsidRPr="00027624">
        <w:fldChar w:fldCharType="begin"/>
      </w:r>
      <w:r w:rsidRPr="00027624">
        <w:instrText xml:space="preserve"> REF _Ref44755621 \r \h  \* MERGEFORMAT </w:instrText>
      </w:r>
      <w:r w:rsidRPr="00027624">
        <w:fldChar w:fldCharType="separate"/>
      </w:r>
      <w:r w:rsidR="00891058">
        <w:t>Chart 3A-4</w:t>
      </w:r>
      <w:r w:rsidRPr="00027624">
        <w:fldChar w:fldCharType="end"/>
      </w:r>
      <w:r w:rsidRPr="00027624">
        <w:t>). In 2017</w:t>
      </w:r>
      <w:r w:rsidR="00A8443E" w:rsidRPr="00027624">
        <w:noBreakHyphen/>
      </w:r>
      <w:r w:rsidRPr="00027624">
        <w:t>18, more than 60 per cent of pre</w:t>
      </w:r>
      <w:r w:rsidR="00A8443E" w:rsidRPr="00027624">
        <w:noBreakHyphen/>
      </w:r>
      <w:r w:rsidRPr="00027624">
        <w:t>tax voluntary contributions were made by people aged 55 and over.</w:t>
      </w:r>
      <w:r w:rsidRPr="00027624">
        <w:rPr>
          <w:rStyle w:val="FootnoteReference"/>
        </w:rPr>
        <w:footnoteReference w:id="118"/>
      </w:r>
      <w:r w:rsidRPr="00027624">
        <w:t xml:space="preserve"> Pre</w:t>
      </w:r>
      <w:r w:rsidR="00A8443E" w:rsidRPr="00027624">
        <w:noBreakHyphen/>
      </w:r>
      <w:r w:rsidRPr="00027624">
        <w:t>tax voluntary contributions also rise with income and superannuation balances. The role of pre</w:t>
      </w:r>
      <w:r w:rsidR="00A8443E" w:rsidRPr="00027624">
        <w:noBreakHyphen/>
      </w:r>
      <w:r w:rsidRPr="00027624">
        <w:t xml:space="preserve">tax voluntary contributions in the Government support provided through the retirement income system is explored in </w:t>
      </w:r>
      <w:r w:rsidRPr="00027624">
        <w:rPr>
          <w:i/>
        </w:rPr>
        <w:t>4. Sustainability</w:t>
      </w:r>
      <w:r w:rsidRPr="00027624">
        <w:t>.</w:t>
      </w:r>
      <w:bookmarkStart w:id="889" w:name="_Ref36113166"/>
      <w:bookmarkStart w:id="890" w:name="_Toc40278904"/>
    </w:p>
    <w:p w14:paraId="75C957AE" w14:textId="77777777" w:rsidR="00B3792F" w:rsidRPr="00027624" w:rsidRDefault="00B3792F" w:rsidP="00FC7361">
      <w:pPr>
        <w:pStyle w:val="ChartMainHeading"/>
        <w:numPr>
          <w:ilvl w:val="2"/>
          <w:numId w:val="46"/>
        </w:numPr>
      </w:pPr>
      <w:bookmarkStart w:id="891" w:name="_Ref44755621"/>
      <w:r w:rsidRPr="00027624">
        <w:lastRenderedPageBreak/>
        <w:t>Average annual pre</w:t>
      </w:r>
      <w:r w:rsidR="00A8443E" w:rsidRPr="00027624">
        <w:noBreakHyphen/>
      </w:r>
      <w:r w:rsidRPr="00027624">
        <w:t>tax voluntary superannuation contributions</w:t>
      </w:r>
      <w:bookmarkEnd w:id="891"/>
    </w:p>
    <w:tbl>
      <w:tblPr>
        <w:tblW w:w="5000" w:type="pct"/>
        <w:tblLook w:val="01E0" w:firstRow="1" w:lastRow="1" w:firstColumn="1" w:lastColumn="1" w:noHBand="0" w:noVBand="0"/>
      </w:tblPr>
      <w:tblGrid>
        <w:gridCol w:w="4523"/>
        <w:gridCol w:w="4547"/>
      </w:tblGrid>
      <w:tr w:rsidR="00B3792F" w:rsidRPr="00027624" w14:paraId="4B7B612F" w14:textId="77777777" w:rsidTr="00B3792F">
        <w:trPr>
          <w:tblHeader/>
        </w:trPr>
        <w:tc>
          <w:tcPr>
            <w:tcW w:w="2500" w:type="pct"/>
            <w:shd w:val="clear" w:color="auto" w:fill="auto"/>
          </w:tcPr>
          <w:p w14:paraId="48359FE1" w14:textId="77777777" w:rsidR="00B3792F" w:rsidRPr="00027624" w:rsidRDefault="00B3792F" w:rsidP="00B3792F">
            <w:pPr>
              <w:pStyle w:val="ChartSecondHeading"/>
            </w:pPr>
            <w:r w:rsidRPr="00027624">
              <w:t>Income</w:t>
            </w:r>
          </w:p>
        </w:tc>
        <w:tc>
          <w:tcPr>
            <w:tcW w:w="2500" w:type="pct"/>
            <w:shd w:val="clear" w:color="auto" w:fill="auto"/>
          </w:tcPr>
          <w:p w14:paraId="4C434358" w14:textId="77777777" w:rsidR="00B3792F" w:rsidRPr="00027624" w:rsidRDefault="00B3792F" w:rsidP="00B3792F">
            <w:pPr>
              <w:pStyle w:val="ChartSecondHeading"/>
            </w:pPr>
            <w:r w:rsidRPr="00027624">
              <w:t>Age</w:t>
            </w:r>
          </w:p>
        </w:tc>
      </w:tr>
      <w:tr w:rsidR="00B3792F" w:rsidRPr="00027624" w14:paraId="425268A8" w14:textId="77777777" w:rsidTr="00B3792F">
        <w:trPr>
          <w:tblHeader/>
        </w:trPr>
        <w:tc>
          <w:tcPr>
            <w:tcW w:w="2500" w:type="pct"/>
            <w:shd w:val="clear" w:color="auto" w:fill="auto"/>
            <w:tcMar>
              <w:left w:w="0" w:type="dxa"/>
              <w:right w:w="0" w:type="dxa"/>
            </w:tcMar>
          </w:tcPr>
          <w:p w14:paraId="574C1639" w14:textId="77777777" w:rsidR="00B3792F" w:rsidRPr="00027624" w:rsidRDefault="00CA1099" w:rsidP="00B3792F">
            <w:pPr>
              <w:pStyle w:val="ChartGraphic"/>
              <w:rPr>
                <w:noProof/>
              </w:rPr>
            </w:pPr>
            <w:r>
              <w:rPr>
                <w:noProof/>
              </w:rPr>
              <w:drawing>
                <wp:inline distT="0" distB="0" distL="0" distR="0" wp14:anchorId="1CE306B2" wp14:editId="4C84AC69">
                  <wp:extent cx="2880360" cy="2766060"/>
                  <wp:effectExtent l="0" t="0" r="0" b="0"/>
                  <wp:docPr id="49" name="Picture 49" descr="This chart shows that average annual pre-tax voluntary superannuation contributions increase with income (peaking at around $4,500 for those with annual incomes over $180,000)." title="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80360" cy="2766060"/>
                          </a:xfrm>
                          <a:prstGeom prst="rect">
                            <a:avLst/>
                          </a:prstGeom>
                          <a:noFill/>
                        </pic:spPr>
                      </pic:pic>
                    </a:graphicData>
                  </a:graphic>
                </wp:inline>
              </w:drawing>
            </w:r>
          </w:p>
        </w:tc>
        <w:tc>
          <w:tcPr>
            <w:tcW w:w="2500" w:type="pct"/>
            <w:shd w:val="clear" w:color="auto" w:fill="auto"/>
            <w:tcMar>
              <w:left w:w="0" w:type="dxa"/>
              <w:right w:w="0" w:type="dxa"/>
            </w:tcMar>
          </w:tcPr>
          <w:p w14:paraId="1CFD73DB" w14:textId="77777777" w:rsidR="00B3792F" w:rsidRPr="00027624" w:rsidRDefault="00CA1099" w:rsidP="00B3792F">
            <w:pPr>
              <w:pStyle w:val="ChartGraphic"/>
              <w:rPr>
                <w:noProof/>
              </w:rPr>
            </w:pPr>
            <w:r>
              <w:rPr>
                <w:noProof/>
              </w:rPr>
              <w:drawing>
                <wp:inline distT="0" distB="0" distL="0" distR="0" wp14:anchorId="18D71881" wp14:editId="0ED3D6F8">
                  <wp:extent cx="2887980" cy="2766060"/>
                  <wp:effectExtent l="0" t="0" r="7620" b="0"/>
                  <wp:docPr id="51" name="Picture 51" descr="This chart shows that average annual pre-tax voluntary superannuation contributions increase with age, up to 60-64 (peaking at around $3,000), after which they fall." title="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87980" cy="2766060"/>
                          </a:xfrm>
                          <a:prstGeom prst="rect">
                            <a:avLst/>
                          </a:prstGeom>
                          <a:noFill/>
                        </pic:spPr>
                      </pic:pic>
                    </a:graphicData>
                  </a:graphic>
                </wp:inline>
              </w:drawing>
            </w:r>
          </w:p>
        </w:tc>
      </w:tr>
    </w:tbl>
    <w:bookmarkEnd w:id="889"/>
    <w:bookmarkEnd w:id="890"/>
    <w:p w14:paraId="6E85D589" w14:textId="77777777" w:rsidR="00B3792F" w:rsidRPr="00027624" w:rsidRDefault="00B3792F" w:rsidP="00B3792F">
      <w:pPr>
        <w:pStyle w:val="ChartorTableNote"/>
      </w:pPr>
      <w:r w:rsidRPr="00027624">
        <w:t>Note: 2017</w:t>
      </w:r>
      <w:r w:rsidR="00A8443E" w:rsidRPr="00027624">
        <w:noBreakHyphen/>
      </w:r>
      <w:r w:rsidRPr="00027624">
        <w:t>18 data. Pre</w:t>
      </w:r>
      <w:r w:rsidR="00A8443E" w:rsidRPr="00027624">
        <w:noBreakHyphen/>
      </w:r>
      <w:r w:rsidRPr="00027624">
        <w:t>tax voluntary superannuation contributions are equal to the sum of personal deductible and salary sacrifice superannuation contributions. Source: Analysis of ATO individual income tax returns and member contributions statements, 2017</w:t>
      </w:r>
      <w:r w:rsidR="00A8443E" w:rsidRPr="00027624">
        <w:noBreakHyphen/>
      </w:r>
      <w:r w:rsidRPr="00027624">
        <w:t>18.</w:t>
      </w:r>
    </w:p>
    <w:p w14:paraId="1F5DE72D" w14:textId="77777777" w:rsidR="00B3792F" w:rsidRPr="00027624" w:rsidRDefault="00B3792F" w:rsidP="00B3792F">
      <w:pPr>
        <w:pStyle w:val="Heading3"/>
      </w:pPr>
      <w:bookmarkStart w:id="892" w:name="_Toc40278905"/>
      <w:bookmarkStart w:id="893" w:name="_Toc40280512"/>
      <w:bookmarkStart w:id="894" w:name="_Toc40366092"/>
      <w:bookmarkStart w:id="895" w:name="_Toc40369638"/>
      <w:bookmarkStart w:id="896" w:name="_Toc40427607"/>
      <w:bookmarkStart w:id="897" w:name="_Toc40458044"/>
      <w:bookmarkStart w:id="898" w:name="_Toc40461813"/>
      <w:bookmarkStart w:id="899" w:name="_Toc40474368"/>
      <w:bookmarkStart w:id="900" w:name="_Toc40477897"/>
      <w:bookmarkStart w:id="901" w:name="_Toc40521477"/>
      <w:bookmarkStart w:id="902" w:name="_Toc40530336"/>
      <w:bookmarkStart w:id="903" w:name="_Toc42778761"/>
      <w:bookmarkStart w:id="904" w:name="_Toc42779901"/>
      <w:bookmarkStart w:id="905" w:name="_Toc42780330"/>
      <w:bookmarkStart w:id="906" w:name="_Toc42786320"/>
      <w:bookmarkStart w:id="907" w:name="_Toc42791813"/>
      <w:bookmarkStart w:id="908" w:name="_Toc42791975"/>
      <w:bookmarkStart w:id="909" w:name="_Toc43117782"/>
      <w:bookmarkStart w:id="910" w:name="_Toc43121421"/>
      <w:bookmarkStart w:id="911" w:name="_Toc43122626"/>
      <w:bookmarkStart w:id="912" w:name="_Toc43127681"/>
      <w:r w:rsidRPr="00027624">
        <w:t>Post</w:t>
      </w:r>
      <w:r w:rsidR="00A8443E" w:rsidRPr="00027624">
        <w:noBreakHyphen/>
      </w:r>
      <w:r w:rsidRPr="00027624">
        <w:t>tax voluntary superannuation contributions</w:t>
      </w:r>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r w:rsidRPr="00027624">
        <w:t xml:space="preserve"> </w:t>
      </w:r>
    </w:p>
    <w:p w14:paraId="707A6D4E" w14:textId="31467ECC" w:rsidR="00B3792F" w:rsidRPr="00027624" w:rsidRDefault="00B3792F" w:rsidP="00B3792F">
      <w:r w:rsidRPr="00027624">
        <w:rPr>
          <w:b/>
          <w:bCs/>
        </w:rPr>
        <w:t>Average post</w:t>
      </w:r>
      <w:r w:rsidR="00A8443E" w:rsidRPr="00027624">
        <w:rPr>
          <w:b/>
          <w:bCs/>
        </w:rPr>
        <w:noBreakHyphen/>
      </w:r>
      <w:r w:rsidRPr="00027624">
        <w:rPr>
          <w:b/>
          <w:bCs/>
        </w:rPr>
        <w:t>tax voluntary contributions differ significantly depending on a person</w:t>
      </w:r>
      <w:r w:rsidR="00A8443E" w:rsidRPr="00027624">
        <w:rPr>
          <w:b/>
          <w:bCs/>
        </w:rPr>
        <w:t>’</w:t>
      </w:r>
      <w:r w:rsidRPr="00027624">
        <w:rPr>
          <w:b/>
          <w:bCs/>
        </w:rPr>
        <w:t>s superannuation balance and age</w:t>
      </w:r>
      <w:r w:rsidRPr="00027624">
        <w:rPr>
          <w:b/>
        </w:rPr>
        <w:t>.</w:t>
      </w:r>
      <w:r w:rsidRPr="00027624">
        <w:t xml:space="preserve"> These contributions are highest for people aged 60</w:t>
      </w:r>
      <w:r w:rsidR="00A8443E" w:rsidRPr="00027624">
        <w:noBreakHyphen/>
      </w:r>
      <w:r w:rsidRPr="00027624">
        <w:t>64 and those with a superannuation balance between $1 million and $2 million</w:t>
      </w:r>
      <w:r w:rsidRPr="00027624" w:rsidDel="001831B5">
        <w:t xml:space="preserve"> </w:t>
      </w:r>
      <w:r w:rsidRPr="00027624">
        <w:t>(</w:t>
      </w:r>
      <w:r w:rsidRPr="00027624">
        <w:fldChar w:fldCharType="begin"/>
      </w:r>
      <w:r w:rsidRPr="00027624">
        <w:instrText xml:space="preserve"> REF _Ref36113169 \r \h  \* MERGEFORMAT </w:instrText>
      </w:r>
      <w:r w:rsidRPr="00027624">
        <w:fldChar w:fldCharType="separate"/>
      </w:r>
      <w:r w:rsidR="00891058">
        <w:t>Chart 3A-5</w:t>
      </w:r>
      <w:r w:rsidRPr="00027624">
        <w:fldChar w:fldCharType="end"/>
      </w:r>
      <w:r w:rsidRPr="00027624">
        <w:t>). Contributions fall significantly for people with balances above $2 million, likely because the 1 July 2017 reforms generally prevent people with a total superannuation balance above $1.6 million from making post</w:t>
      </w:r>
      <w:r w:rsidR="00A8443E" w:rsidRPr="00027624">
        <w:noBreakHyphen/>
      </w:r>
      <w:r w:rsidRPr="00027624">
        <w:t xml:space="preserve">tax voluntary contributions (see </w:t>
      </w:r>
      <w:r w:rsidRPr="00027624">
        <w:rPr>
          <w:i/>
        </w:rPr>
        <w:t>1B. Design of Australia</w:t>
      </w:r>
      <w:r w:rsidR="00A8443E" w:rsidRPr="00027624">
        <w:rPr>
          <w:i/>
        </w:rPr>
        <w:t>’</w:t>
      </w:r>
      <w:r w:rsidRPr="00027624">
        <w:rPr>
          <w:i/>
        </w:rPr>
        <w:t>s retirement income system</w:t>
      </w:r>
      <w:r w:rsidRPr="00027624">
        <w:t>). For example, people with balances exceeding $1.6 million made around $11 billion in post</w:t>
      </w:r>
      <w:r w:rsidR="00A8443E" w:rsidRPr="00027624">
        <w:noBreakHyphen/>
      </w:r>
      <w:r w:rsidRPr="00027624">
        <w:t>tax voluntary contributions in 2016</w:t>
      </w:r>
      <w:r w:rsidR="00A8443E" w:rsidRPr="00027624">
        <w:noBreakHyphen/>
      </w:r>
      <w:r w:rsidRPr="00027624">
        <w:t>17, but around $900 million in 2017</w:t>
      </w:r>
      <w:r w:rsidR="00A8443E" w:rsidRPr="00027624">
        <w:noBreakHyphen/>
      </w:r>
      <w:r w:rsidRPr="00027624">
        <w:t>18.</w:t>
      </w:r>
      <w:r w:rsidRPr="00027624">
        <w:rPr>
          <w:rStyle w:val="FootnoteReference"/>
        </w:rPr>
        <w:footnoteReference w:id="119"/>
      </w:r>
      <w:r w:rsidRPr="00027624">
        <w:t xml:space="preserve"> Despite this, people with superannuation balances over $500,000 (around the top 5 per cent of balances) still made 46 per cent of post</w:t>
      </w:r>
      <w:r w:rsidR="00A8443E" w:rsidRPr="00027624">
        <w:noBreakHyphen/>
      </w:r>
      <w:r w:rsidRPr="00027624">
        <w:t>tax voluntary contributions in 2017</w:t>
      </w:r>
      <w:r w:rsidR="00A8443E" w:rsidRPr="00027624">
        <w:noBreakHyphen/>
      </w:r>
      <w:r w:rsidRPr="00027624">
        <w:t>18.</w:t>
      </w:r>
      <w:r w:rsidRPr="00027624">
        <w:rPr>
          <w:rStyle w:val="FootnoteReference"/>
        </w:rPr>
        <w:footnoteReference w:id="120"/>
      </w:r>
    </w:p>
    <w:p w14:paraId="23C03FE0" w14:textId="77777777" w:rsidR="00B3792F" w:rsidRPr="00027624" w:rsidRDefault="00B3792F" w:rsidP="00B3792F">
      <w:r w:rsidRPr="00027624">
        <w:t>As post</w:t>
      </w:r>
      <w:r w:rsidR="00A8443E" w:rsidRPr="00027624">
        <w:noBreakHyphen/>
      </w:r>
      <w:r w:rsidRPr="00027624">
        <w:t>tax voluntary contributions are typically made at older ages, when people often work reduced hours, income is not the best indicator of whether post</w:t>
      </w:r>
      <w:r w:rsidR="00A8443E" w:rsidRPr="00027624">
        <w:noBreakHyphen/>
      </w:r>
      <w:r w:rsidRPr="00027624">
        <w:t>tax voluntary contributions are primarily made by people who were higher</w:t>
      </w:r>
      <w:r w:rsidR="00A8443E" w:rsidRPr="00027624">
        <w:noBreakHyphen/>
      </w:r>
      <w:r w:rsidRPr="00027624">
        <w:t>income earners during their working life. Even so, the top 15 per cent of income earners made 28 per cent of post</w:t>
      </w:r>
      <w:r w:rsidR="00A8443E" w:rsidRPr="00027624">
        <w:noBreakHyphen/>
      </w:r>
      <w:r w:rsidRPr="00027624">
        <w:t>tax voluntary contributions in 2017</w:t>
      </w:r>
      <w:r w:rsidR="00A8443E" w:rsidRPr="00027624">
        <w:noBreakHyphen/>
      </w:r>
      <w:r w:rsidRPr="00027624">
        <w:t>18.</w:t>
      </w:r>
      <w:r w:rsidRPr="00027624">
        <w:rPr>
          <w:rStyle w:val="FootnoteReference"/>
        </w:rPr>
        <w:footnoteReference w:id="121"/>
      </w:r>
    </w:p>
    <w:p w14:paraId="215F35A4" w14:textId="77777777" w:rsidR="00B3792F" w:rsidRPr="00027624" w:rsidRDefault="00B3792F" w:rsidP="00B3792F">
      <w:r w:rsidRPr="00027624">
        <w:t>In future, as the superannuation system matures, the proportion of post</w:t>
      </w:r>
      <w:r w:rsidR="00A8443E" w:rsidRPr="00027624">
        <w:noBreakHyphen/>
      </w:r>
      <w:r w:rsidRPr="00027624">
        <w:t>tax voluntary contributions made by higher</w:t>
      </w:r>
      <w:r w:rsidR="00A8443E" w:rsidRPr="00027624">
        <w:noBreakHyphen/>
      </w:r>
      <w:r w:rsidRPr="00027624">
        <w:t>income earners is expected to reduce. Cameo modelling projects the superannuation balances of the top 5 per cent of income earners would exceed the $1.6 million (in real dollars) balance limit on making non</w:t>
      </w:r>
      <w:r w:rsidR="00A8443E" w:rsidRPr="00027624">
        <w:noBreakHyphen/>
      </w:r>
      <w:r w:rsidRPr="00027624">
        <w:t>concessional contributions during working life, generally preventing post</w:t>
      </w:r>
      <w:r w:rsidR="00A8443E" w:rsidRPr="00027624">
        <w:noBreakHyphen/>
      </w:r>
      <w:r w:rsidRPr="00027624">
        <w:t>tax voluntary contributions in the years leading up to retirement.</w:t>
      </w:r>
      <w:r w:rsidRPr="00027624">
        <w:rPr>
          <w:rStyle w:val="FootnoteReference"/>
        </w:rPr>
        <w:footnoteReference w:id="122"/>
      </w:r>
    </w:p>
    <w:p w14:paraId="5C999012" w14:textId="77777777" w:rsidR="00B3792F" w:rsidRPr="00027624" w:rsidRDefault="00B3792F" w:rsidP="00FC7361">
      <w:pPr>
        <w:pStyle w:val="ChartMainHeading"/>
        <w:numPr>
          <w:ilvl w:val="2"/>
          <w:numId w:val="46"/>
        </w:numPr>
      </w:pPr>
      <w:bookmarkStart w:id="913" w:name="_Toc40278906"/>
      <w:bookmarkStart w:id="914" w:name="_Ref36113169"/>
      <w:r w:rsidRPr="00027624">
        <w:lastRenderedPageBreak/>
        <w:t>Average annual post</w:t>
      </w:r>
      <w:r w:rsidR="00A8443E" w:rsidRPr="00027624">
        <w:noBreakHyphen/>
      </w:r>
      <w:r w:rsidRPr="00027624">
        <w:t>tax voluntary superannuation contributions</w:t>
      </w:r>
    </w:p>
    <w:tbl>
      <w:tblPr>
        <w:tblW w:w="5000" w:type="pct"/>
        <w:tblLayout w:type="fixed"/>
        <w:tblLook w:val="01E0" w:firstRow="1" w:lastRow="1" w:firstColumn="1" w:lastColumn="1" w:noHBand="0" w:noVBand="0"/>
      </w:tblPr>
      <w:tblGrid>
        <w:gridCol w:w="4535"/>
        <w:gridCol w:w="4535"/>
      </w:tblGrid>
      <w:tr w:rsidR="00B3792F" w:rsidRPr="00027624" w14:paraId="43E75992" w14:textId="77777777" w:rsidTr="00B3792F">
        <w:trPr>
          <w:tblHeader/>
        </w:trPr>
        <w:tc>
          <w:tcPr>
            <w:tcW w:w="2500" w:type="pct"/>
            <w:shd w:val="clear" w:color="auto" w:fill="auto"/>
          </w:tcPr>
          <w:p w14:paraId="0A38E4EC" w14:textId="77777777" w:rsidR="00B3792F" w:rsidRPr="00027624" w:rsidRDefault="00B3792F" w:rsidP="00B3792F">
            <w:pPr>
              <w:pStyle w:val="ChartSecondHeading"/>
            </w:pPr>
            <w:r w:rsidRPr="00027624">
              <w:t>Age</w:t>
            </w:r>
          </w:p>
        </w:tc>
        <w:tc>
          <w:tcPr>
            <w:tcW w:w="2500" w:type="pct"/>
            <w:shd w:val="clear" w:color="auto" w:fill="auto"/>
          </w:tcPr>
          <w:p w14:paraId="43B2F82B" w14:textId="77777777" w:rsidR="00B3792F" w:rsidRPr="00027624" w:rsidRDefault="00B3792F" w:rsidP="00B3792F">
            <w:pPr>
              <w:pStyle w:val="ChartSecondHeading"/>
            </w:pPr>
            <w:r w:rsidRPr="00027624">
              <w:t>Superannuation balance</w:t>
            </w:r>
          </w:p>
        </w:tc>
      </w:tr>
      <w:tr w:rsidR="00B3792F" w:rsidRPr="00027624" w14:paraId="3E4F0224" w14:textId="77777777" w:rsidTr="00B3792F">
        <w:trPr>
          <w:tblHeader/>
        </w:trPr>
        <w:tc>
          <w:tcPr>
            <w:tcW w:w="2500" w:type="pct"/>
            <w:shd w:val="clear" w:color="auto" w:fill="auto"/>
            <w:tcMar>
              <w:left w:w="0" w:type="dxa"/>
              <w:right w:w="0" w:type="dxa"/>
            </w:tcMar>
          </w:tcPr>
          <w:p w14:paraId="1D64089D" w14:textId="77777777" w:rsidR="00B3792F" w:rsidRPr="00027624" w:rsidRDefault="00CA1099" w:rsidP="00B3792F">
            <w:pPr>
              <w:pStyle w:val="ChartGraphic"/>
              <w:rPr>
                <w:noProof/>
              </w:rPr>
            </w:pPr>
            <w:r>
              <w:rPr>
                <w:noProof/>
              </w:rPr>
              <w:drawing>
                <wp:inline distT="0" distB="0" distL="0" distR="0" wp14:anchorId="6FEAB438" wp14:editId="1A10B72A">
                  <wp:extent cx="2880360" cy="2766060"/>
                  <wp:effectExtent l="0" t="0" r="0" b="0"/>
                  <wp:docPr id="57" name="Picture 57" descr="This chart shows that average annual post-tax voluntary superannuation contributions increase with age up to 60 64 (peaking at around $7,000 for those aged 60-64), after which they fall. " title="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80360" cy="2766060"/>
                          </a:xfrm>
                          <a:prstGeom prst="rect">
                            <a:avLst/>
                          </a:prstGeom>
                          <a:noFill/>
                        </pic:spPr>
                      </pic:pic>
                    </a:graphicData>
                  </a:graphic>
                </wp:inline>
              </w:drawing>
            </w:r>
          </w:p>
        </w:tc>
        <w:tc>
          <w:tcPr>
            <w:tcW w:w="2500" w:type="pct"/>
            <w:shd w:val="clear" w:color="auto" w:fill="auto"/>
            <w:tcMar>
              <w:left w:w="0" w:type="dxa"/>
              <w:right w:w="0" w:type="dxa"/>
            </w:tcMar>
          </w:tcPr>
          <w:p w14:paraId="21AB28F5" w14:textId="77777777" w:rsidR="00B3792F" w:rsidRPr="00027624" w:rsidRDefault="00CA1099" w:rsidP="00B3792F">
            <w:pPr>
              <w:pStyle w:val="ChartGraphic"/>
              <w:rPr>
                <w:noProof/>
              </w:rPr>
            </w:pPr>
            <w:r>
              <w:rPr>
                <w:noProof/>
              </w:rPr>
              <w:drawing>
                <wp:inline distT="0" distB="0" distL="0" distR="0" wp14:anchorId="0E4F929D" wp14:editId="1DB84809">
                  <wp:extent cx="2880360" cy="2766060"/>
                  <wp:effectExtent l="0" t="0" r="0" b="0"/>
                  <wp:docPr id="56" name="Picture 56" descr="This chart shows that average annual post tax voluntary superannuation contributions increase with the size of superannuation balances (peaking at under $16,000 for those with superannuation balances between $1 million and $2 million). Those with superannuation balances of more than $2 million have far lower average annual pre tax voluntary superannuation contributions, of under $2,000." title="Superannuation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80360" cy="2766060"/>
                          </a:xfrm>
                          <a:prstGeom prst="rect">
                            <a:avLst/>
                          </a:prstGeom>
                          <a:noFill/>
                        </pic:spPr>
                      </pic:pic>
                    </a:graphicData>
                  </a:graphic>
                </wp:inline>
              </w:drawing>
            </w:r>
          </w:p>
        </w:tc>
      </w:tr>
    </w:tbl>
    <w:bookmarkEnd w:id="913"/>
    <w:bookmarkEnd w:id="914"/>
    <w:p w14:paraId="7811EF53" w14:textId="77777777" w:rsidR="00B3792F" w:rsidRPr="00027624" w:rsidRDefault="00B3792F" w:rsidP="00B3792F">
      <w:pPr>
        <w:pStyle w:val="ChartorTableNote"/>
      </w:pPr>
      <w:r w:rsidRPr="00027624">
        <w:t>Note: 2017</w:t>
      </w:r>
      <w:r w:rsidR="00A8443E" w:rsidRPr="00027624">
        <w:noBreakHyphen/>
      </w:r>
      <w:r w:rsidRPr="00027624">
        <w:t>18 data. Source: Analysis of ATO individual income tax returns and member contributions statements, 2017</w:t>
      </w:r>
      <w:r w:rsidR="00A8443E" w:rsidRPr="00027624">
        <w:noBreakHyphen/>
      </w:r>
      <w:r w:rsidRPr="00027624">
        <w:t>18.</w:t>
      </w:r>
    </w:p>
    <w:p w14:paraId="63173198" w14:textId="77777777" w:rsidR="00B3792F" w:rsidRPr="00027624" w:rsidRDefault="00B3792F" w:rsidP="00B3792F">
      <w:pPr>
        <w:pStyle w:val="Heading3"/>
      </w:pPr>
      <w:r w:rsidRPr="00027624">
        <w:t>Annual caps and contribution flexibility</w:t>
      </w:r>
    </w:p>
    <w:p w14:paraId="0BD68A89" w14:textId="77777777" w:rsidR="00B3792F" w:rsidRPr="00027624" w:rsidRDefault="00B3792F" w:rsidP="00B3792F">
      <w:r w:rsidRPr="00027624">
        <w:t>The annual concessional (compulsory and pre</w:t>
      </w:r>
      <w:r w:rsidR="00A8443E" w:rsidRPr="00027624">
        <w:noBreakHyphen/>
      </w:r>
      <w:r w:rsidRPr="00027624">
        <w:t>tax voluntary) contributions cap is $25,000. The annual non</w:t>
      </w:r>
      <w:r w:rsidR="00A8443E" w:rsidRPr="00027624">
        <w:noBreakHyphen/>
      </w:r>
      <w:r w:rsidRPr="00027624">
        <w:t>concessional (post</w:t>
      </w:r>
      <w:r w:rsidR="00A8443E" w:rsidRPr="00027624">
        <w:noBreakHyphen/>
      </w:r>
      <w:r w:rsidRPr="00027624">
        <w:t>tax voluntary) contributions cap is $100,000 (see</w:t>
      </w:r>
      <w:r w:rsidRPr="00027624">
        <w:rPr>
          <w:i/>
        </w:rPr>
        <w:t xml:space="preserve"> 1B. Design of Australia</w:t>
      </w:r>
      <w:r w:rsidR="00A8443E" w:rsidRPr="00027624">
        <w:rPr>
          <w:i/>
        </w:rPr>
        <w:t>’</w:t>
      </w:r>
      <w:r w:rsidRPr="00027624">
        <w:rPr>
          <w:i/>
        </w:rPr>
        <w:t>s retirement income system</w:t>
      </w:r>
      <w:r w:rsidRPr="00027624">
        <w:t>).</w:t>
      </w:r>
    </w:p>
    <w:p w14:paraId="408D55FA" w14:textId="77777777" w:rsidR="00B3792F" w:rsidRPr="00027624" w:rsidRDefault="00B3792F" w:rsidP="00B3792F">
      <w:r w:rsidRPr="00027624">
        <w:t>A few stakeholders considered these annual limits may prevent people with variable incomes from building a sufficient superannuation balance at retirement. While this may be an issue for some people,</w:t>
      </w:r>
      <w:r w:rsidRPr="00027624">
        <w:rPr>
          <w:color w:val="00B050"/>
        </w:rPr>
        <w:t xml:space="preserve"> </w:t>
      </w:r>
      <w:r w:rsidRPr="00027624">
        <w:t>contributions caps a</w:t>
      </w:r>
      <w:r w:rsidR="004E3626" w:rsidRPr="00027624">
        <w:t>re most likely to bind for high</w:t>
      </w:r>
      <w:r w:rsidR="0045435C" w:rsidRPr="00027624">
        <w:t>er</w:t>
      </w:r>
      <w:r w:rsidR="00A8443E" w:rsidRPr="00027624">
        <w:noBreakHyphen/>
      </w:r>
      <w:r w:rsidRPr="00027624">
        <w:t>income earners</w:t>
      </w:r>
      <w:r w:rsidRPr="00027624">
        <w:rPr>
          <w:rStyle w:val="FootnoteReference"/>
        </w:rPr>
        <w:footnoteReference w:id="123"/>
      </w:r>
      <w:r w:rsidRPr="00027624">
        <w:t xml:space="preserve">, for whom income mobility is low </w:t>
      </w:r>
      <w:sdt>
        <w:sdtPr>
          <w:id w:val="-213427621"/>
          <w:citation/>
        </w:sdtPr>
        <w:sdtEndPr/>
        <w:sdtContent>
          <w:r w:rsidRPr="00027624">
            <w:fldChar w:fldCharType="begin"/>
          </w:r>
          <w:r w:rsidRPr="00027624">
            <w:instrText xml:space="preserve">CITATION Pro8b \p 95-98 \l 3081 </w:instrText>
          </w:r>
          <w:r w:rsidRPr="00027624">
            <w:fldChar w:fldCharType="separate"/>
          </w:r>
          <w:r w:rsidR="00E83F6E">
            <w:rPr>
              <w:noProof/>
            </w:rPr>
            <w:t>(Productivity Commission, 2018b, pp. 95-98)</w:t>
          </w:r>
          <w:r w:rsidRPr="00027624">
            <w:fldChar w:fldCharType="end"/>
          </w:r>
        </w:sdtContent>
      </w:sdt>
      <w:r w:rsidRPr="00027624">
        <w:t>. Longitudinal data also suggests most people tend to remain in similar income percentiles, on average, during their entire working life.</w:t>
      </w:r>
      <w:r w:rsidRPr="00027624">
        <w:rPr>
          <w:rStyle w:val="FootnoteReference"/>
        </w:rPr>
        <w:footnoteReference w:id="124"/>
      </w:r>
      <w:r w:rsidRPr="00027624">
        <w:t xml:space="preserve"> </w:t>
      </w:r>
    </w:p>
    <w:p w14:paraId="0928381B" w14:textId="2824155E" w:rsidR="00B3792F" w:rsidRPr="00027624" w:rsidRDefault="00B3792F" w:rsidP="00B3792F">
      <w:r w:rsidRPr="00027624">
        <w:t>In 2017</w:t>
      </w:r>
      <w:r w:rsidR="00A8443E" w:rsidRPr="00027624">
        <w:noBreakHyphen/>
      </w:r>
      <w:r w:rsidRPr="00027624">
        <w:t>18, most people did not make voluntary (pre</w:t>
      </w:r>
      <w:r w:rsidR="00A8443E" w:rsidRPr="00027624">
        <w:noBreakHyphen/>
      </w:r>
      <w:r w:rsidRPr="00027624">
        <w:t xml:space="preserve"> and post</w:t>
      </w:r>
      <w:r w:rsidR="00A8443E" w:rsidRPr="00027624">
        <w:noBreakHyphen/>
      </w:r>
      <w:r w:rsidRPr="00027624">
        <w:t>tax) contributions of more than $25,000. Of the just under 2 per cent who did, the vast majority were aged 55 and over or had a superannuation balance of more than $300,000 (the top 11 per cent of balances) (</w:t>
      </w:r>
      <w:r w:rsidRPr="00027624">
        <w:fldChar w:fldCharType="begin"/>
      </w:r>
      <w:r w:rsidRPr="00027624">
        <w:instrText xml:space="preserve"> REF _Ref36113842 \r \h  \* MERGEFORMAT </w:instrText>
      </w:r>
      <w:r w:rsidRPr="00027624">
        <w:fldChar w:fldCharType="separate"/>
      </w:r>
      <w:r w:rsidR="00891058">
        <w:t>Chart 3A-6</w:t>
      </w:r>
      <w:r w:rsidRPr="00027624">
        <w:fldChar w:fldCharType="end"/>
      </w:r>
      <w:r w:rsidRPr="00027624">
        <w:t xml:space="preserve">). This suggests </w:t>
      </w:r>
      <w:r w:rsidRPr="00027624">
        <w:rPr>
          <w:b/>
        </w:rPr>
        <w:t xml:space="preserve">most people do not come close to </w:t>
      </w:r>
      <w:r w:rsidRPr="00027624">
        <w:rPr>
          <w:b/>
          <w:bCs/>
        </w:rPr>
        <w:t xml:space="preserve">using </w:t>
      </w:r>
      <w:r w:rsidRPr="00027624">
        <w:rPr>
          <w:b/>
        </w:rPr>
        <w:t xml:space="preserve">the </w:t>
      </w:r>
      <w:r w:rsidRPr="00027624">
        <w:rPr>
          <w:b/>
          <w:bCs/>
        </w:rPr>
        <w:t xml:space="preserve">full </w:t>
      </w:r>
      <w:r w:rsidRPr="00027624">
        <w:rPr>
          <w:b/>
        </w:rPr>
        <w:t>non</w:t>
      </w:r>
      <w:r w:rsidR="00A8443E" w:rsidRPr="00027624">
        <w:rPr>
          <w:b/>
        </w:rPr>
        <w:noBreakHyphen/>
      </w:r>
      <w:r w:rsidRPr="00027624">
        <w:rPr>
          <w:b/>
        </w:rPr>
        <w:t>concessional contributions cap</w:t>
      </w:r>
      <w:r w:rsidRPr="00027624">
        <w:t>.</w:t>
      </w:r>
    </w:p>
    <w:p w14:paraId="66FD26F1" w14:textId="77777777" w:rsidR="00B3792F" w:rsidRPr="00027624" w:rsidRDefault="00B3792F" w:rsidP="00FC7361">
      <w:pPr>
        <w:pStyle w:val="ChartMainHeading"/>
        <w:numPr>
          <w:ilvl w:val="2"/>
          <w:numId w:val="46"/>
        </w:numPr>
      </w:pPr>
      <w:bookmarkStart w:id="915" w:name="_Ref36113842"/>
      <w:bookmarkStart w:id="916" w:name="_Toc40278908"/>
      <w:r w:rsidRPr="00027624">
        <w:lastRenderedPageBreak/>
        <w:t>Population making annual voluntary (pre</w:t>
      </w:r>
      <w:r w:rsidR="00A8443E" w:rsidRPr="00027624">
        <w:noBreakHyphen/>
      </w:r>
      <w:r w:rsidRPr="00027624">
        <w:t xml:space="preserve"> and post</w:t>
      </w:r>
      <w:r w:rsidR="00A8443E" w:rsidRPr="00027624">
        <w:noBreakHyphen/>
      </w:r>
      <w:r w:rsidRPr="00027624">
        <w:t>tax) superannuation contributions over $25,000</w:t>
      </w:r>
    </w:p>
    <w:tbl>
      <w:tblPr>
        <w:tblW w:w="5000" w:type="pct"/>
        <w:tblLook w:val="01E0" w:firstRow="1" w:lastRow="1" w:firstColumn="1" w:lastColumn="1" w:noHBand="0" w:noVBand="0"/>
      </w:tblPr>
      <w:tblGrid>
        <w:gridCol w:w="4536"/>
        <w:gridCol w:w="4534"/>
      </w:tblGrid>
      <w:tr w:rsidR="00B3792F" w:rsidRPr="00027624" w14:paraId="61C83267" w14:textId="77777777" w:rsidTr="00B3792F">
        <w:trPr>
          <w:tblHeader/>
        </w:trPr>
        <w:tc>
          <w:tcPr>
            <w:tcW w:w="2500" w:type="pct"/>
            <w:shd w:val="clear" w:color="auto" w:fill="auto"/>
          </w:tcPr>
          <w:bookmarkEnd w:id="915"/>
          <w:bookmarkEnd w:id="916"/>
          <w:p w14:paraId="18CBE22A" w14:textId="77777777" w:rsidR="00B3792F" w:rsidRPr="00027624" w:rsidRDefault="00B3792F" w:rsidP="00B3792F">
            <w:pPr>
              <w:pStyle w:val="ChartSecondHeading"/>
            </w:pPr>
            <w:r w:rsidRPr="00027624">
              <w:t>Age</w:t>
            </w:r>
          </w:p>
        </w:tc>
        <w:tc>
          <w:tcPr>
            <w:tcW w:w="2500" w:type="pct"/>
            <w:shd w:val="clear" w:color="auto" w:fill="auto"/>
          </w:tcPr>
          <w:p w14:paraId="60B02D56" w14:textId="77777777" w:rsidR="00B3792F" w:rsidRPr="00027624" w:rsidRDefault="00B3792F" w:rsidP="00B3792F">
            <w:pPr>
              <w:pStyle w:val="ChartSecondHeading"/>
            </w:pPr>
            <w:r w:rsidRPr="00027624">
              <w:t>Superannuation balance</w:t>
            </w:r>
          </w:p>
        </w:tc>
      </w:tr>
      <w:tr w:rsidR="00B3792F" w:rsidRPr="00027624" w14:paraId="1E537EA9" w14:textId="77777777" w:rsidTr="00B3792F">
        <w:trPr>
          <w:tblHeader/>
        </w:trPr>
        <w:tc>
          <w:tcPr>
            <w:tcW w:w="2500" w:type="pct"/>
            <w:shd w:val="clear" w:color="auto" w:fill="auto"/>
            <w:tcMar>
              <w:left w:w="0" w:type="dxa"/>
              <w:right w:w="0" w:type="dxa"/>
            </w:tcMar>
          </w:tcPr>
          <w:p w14:paraId="5842846A" w14:textId="77777777" w:rsidR="00B3792F" w:rsidRPr="00027624" w:rsidRDefault="00FE51BD" w:rsidP="00B3792F">
            <w:pPr>
              <w:pStyle w:val="ChartSecondHeading"/>
              <w:rPr>
                <w:noProof/>
              </w:rPr>
            </w:pPr>
            <w:r>
              <w:rPr>
                <w:noProof/>
              </w:rPr>
              <w:drawing>
                <wp:inline distT="0" distB="0" distL="0" distR="0" wp14:anchorId="41B0412F" wp14:editId="21C17F98">
                  <wp:extent cx="2880360" cy="2987040"/>
                  <wp:effectExtent l="0" t="0" r="0" b="3810"/>
                  <wp:docPr id="815138314" name="Picture 815138314" descr="This chart shows that the proportion of the population making annual voluntary superannuation contributions over $25,000 is small, but increases in later age, peaking at around 8 per cent at ages 65-69." title="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80360" cy="2987040"/>
                          </a:xfrm>
                          <a:prstGeom prst="rect">
                            <a:avLst/>
                          </a:prstGeom>
                          <a:noFill/>
                        </pic:spPr>
                      </pic:pic>
                    </a:graphicData>
                  </a:graphic>
                </wp:inline>
              </w:drawing>
            </w:r>
          </w:p>
        </w:tc>
        <w:tc>
          <w:tcPr>
            <w:tcW w:w="2500" w:type="pct"/>
            <w:shd w:val="clear" w:color="auto" w:fill="auto"/>
            <w:tcMar>
              <w:left w:w="0" w:type="dxa"/>
              <w:right w:w="0" w:type="dxa"/>
            </w:tcMar>
          </w:tcPr>
          <w:p w14:paraId="0ADEBF09" w14:textId="77777777" w:rsidR="00B3792F" w:rsidRPr="00027624" w:rsidRDefault="00FE51BD" w:rsidP="00B3792F">
            <w:pPr>
              <w:pStyle w:val="ChartSecondHeading"/>
              <w:rPr>
                <w:noProof/>
              </w:rPr>
            </w:pPr>
            <w:r>
              <w:rPr>
                <w:noProof/>
              </w:rPr>
              <w:drawing>
                <wp:inline distT="0" distB="0" distL="0" distR="0" wp14:anchorId="1748A3B1" wp14:editId="58BC7CFD">
                  <wp:extent cx="2872740" cy="2971800"/>
                  <wp:effectExtent l="0" t="0" r="3810" b="0"/>
                  <wp:docPr id="815138310" name="Picture 815138310" descr="This chart shows that average annual post tax voluntary superannuation contributions increase with the size of superannuation balances (peaking at under $16,000 for those with superannuation balances between $1 million and $2 million). Those with superannuation balances of more than $2 million have far lower average annual pre tax voluntary superannuation contributions, of under $2,000." title="Superannuation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72740" cy="2971800"/>
                          </a:xfrm>
                          <a:prstGeom prst="rect">
                            <a:avLst/>
                          </a:prstGeom>
                          <a:noFill/>
                        </pic:spPr>
                      </pic:pic>
                    </a:graphicData>
                  </a:graphic>
                </wp:inline>
              </w:drawing>
            </w:r>
          </w:p>
        </w:tc>
      </w:tr>
    </w:tbl>
    <w:p w14:paraId="042ECA54" w14:textId="77777777" w:rsidR="00B3792F" w:rsidRPr="00027624" w:rsidRDefault="00B3792F" w:rsidP="00B3792F">
      <w:pPr>
        <w:pStyle w:val="ChartorTableNote"/>
      </w:pPr>
      <w:r w:rsidRPr="00027624">
        <w:t>Note: 2017</w:t>
      </w:r>
      <w:r w:rsidR="00A8443E" w:rsidRPr="00027624">
        <w:noBreakHyphen/>
      </w:r>
      <w:r w:rsidRPr="00027624">
        <w:t>18 data. Population is limited to people who lodged an income tax return in 2017</w:t>
      </w:r>
      <w:r w:rsidR="00A8443E" w:rsidRPr="00027624">
        <w:noBreakHyphen/>
      </w:r>
      <w:r w:rsidRPr="00027624">
        <w:t>18. Source: Analysis of ATO individual income tax returns and member contributions statements, 2 per cent sample, 2017</w:t>
      </w:r>
      <w:r w:rsidR="00A8443E" w:rsidRPr="00027624">
        <w:noBreakHyphen/>
      </w:r>
      <w:r w:rsidRPr="00027624">
        <w:t>18.</w:t>
      </w:r>
    </w:p>
    <w:p w14:paraId="12149D15" w14:textId="77777777" w:rsidR="00B3792F" w:rsidRPr="00027624" w:rsidRDefault="00B3792F" w:rsidP="00B3792F">
      <w:pPr>
        <w:spacing w:before="240" w:after="0"/>
      </w:pPr>
      <w:r w:rsidRPr="00027624">
        <w:t xml:space="preserve">To support those with variable incomes and interrupted careers, from 1 July 2019, people with a superannuation balance of less than $500,000 have been able to make </w:t>
      </w:r>
      <w:r w:rsidR="00A8443E" w:rsidRPr="00027624">
        <w:t>‘</w:t>
      </w:r>
      <w:r w:rsidRPr="00027624">
        <w:t>ca</w:t>
      </w:r>
      <w:r w:rsidR="004E3626" w:rsidRPr="00027624">
        <w:t>tch</w:t>
      </w:r>
      <w:r w:rsidR="00A8443E" w:rsidRPr="00027624">
        <w:noBreakHyphen/>
      </w:r>
      <w:r w:rsidR="004E3626" w:rsidRPr="00027624">
        <w:t>up</w:t>
      </w:r>
      <w:r w:rsidR="00A8443E" w:rsidRPr="00027624">
        <w:t>’</w:t>
      </w:r>
      <w:r w:rsidRPr="00027624">
        <w:t xml:space="preserve"> concessional superannuation contributions. This allows eligible people to make more than $25,000 of concessional contributions in a year. Of the people who made concessional contributions of more than $25,000 in 2017</w:t>
      </w:r>
      <w:r w:rsidR="00A8443E" w:rsidRPr="00027624">
        <w:noBreakHyphen/>
      </w:r>
      <w:r w:rsidRPr="00027624">
        <w:t>18, 64 per cent were male and 67 per cent were in the top 16 per cent of income</w:t>
      </w:r>
      <w:r w:rsidR="004E3626" w:rsidRPr="00027624">
        <w:t xml:space="preserve"> earners</w:t>
      </w:r>
      <w:r w:rsidRPr="00027624">
        <w:t>.</w:t>
      </w:r>
      <w:r w:rsidRPr="00027624">
        <w:rPr>
          <w:rStyle w:val="FootnoteReference"/>
        </w:rPr>
        <w:footnoteReference w:id="125"/>
      </w:r>
      <w:r w:rsidRPr="00027624">
        <w:t xml:space="preserve"> Higher</w:t>
      </w:r>
      <w:r w:rsidR="00A8443E" w:rsidRPr="00027624">
        <w:noBreakHyphen/>
      </w:r>
      <w:r w:rsidRPr="00027624">
        <w:t>income women who take a break from the workforce are also likely to benefit from the ability to make catch</w:t>
      </w:r>
      <w:r w:rsidR="00A8443E" w:rsidRPr="00027624">
        <w:noBreakHyphen/>
      </w:r>
      <w:r w:rsidRPr="00027624">
        <w:t>up contributions.</w:t>
      </w:r>
    </w:p>
    <w:p w14:paraId="3BDAFAAF" w14:textId="77777777" w:rsidR="00B3792F" w:rsidRPr="00027624" w:rsidRDefault="00B3792F" w:rsidP="00B3792F">
      <w:pPr>
        <w:pStyle w:val="Heading2"/>
        <w:spacing w:before="120"/>
      </w:pPr>
      <w:bookmarkStart w:id="917" w:name="_Toc40278909"/>
      <w:bookmarkStart w:id="918" w:name="_Toc40280514"/>
      <w:bookmarkStart w:id="919" w:name="_Toc40366094"/>
      <w:bookmarkStart w:id="920" w:name="_Toc40369640"/>
      <w:bookmarkStart w:id="921" w:name="_Toc40427609"/>
      <w:bookmarkStart w:id="922" w:name="_Toc40458046"/>
      <w:bookmarkStart w:id="923" w:name="_Toc40461815"/>
      <w:bookmarkStart w:id="924" w:name="_Toc40474370"/>
      <w:bookmarkStart w:id="925" w:name="_Toc40477899"/>
      <w:bookmarkStart w:id="926" w:name="_Toc40521479"/>
      <w:bookmarkStart w:id="927" w:name="_Toc40530338"/>
      <w:bookmarkStart w:id="928" w:name="_Toc42778763"/>
      <w:bookmarkStart w:id="929" w:name="_Toc42779903"/>
      <w:bookmarkStart w:id="930" w:name="_Toc42780332"/>
      <w:bookmarkStart w:id="931" w:name="_Toc42786322"/>
      <w:bookmarkStart w:id="932" w:name="_Toc42791815"/>
      <w:bookmarkStart w:id="933" w:name="_Toc42791977"/>
      <w:bookmarkStart w:id="934" w:name="_Toc43117784"/>
      <w:bookmarkStart w:id="935" w:name="_Toc43121423"/>
      <w:bookmarkStart w:id="936" w:name="_Toc43122628"/>
      <w:bookmarkStart w:id="937" w:name="_Toc43127683"/>
      <w:bookmarkStart w:id="938" w:name="_Toc45520487"/>
      <w:bookmarkStart w:id="939" w:name="_Toc46133598"/>
      <w:r w:rsidRPr="00027624">
        <w:t>The distribution of superannuation balances</w:t>
      </w:r>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p>
    <w:p w14:paraId="5ACFCD0F" w14:textId="424BB99F" w:rsidR="00B3792F" w:rsidRDefault="00B3792F" w:rsidP="00B3792F">
      <w:r w:rsidRPr="00027624">
        <w:t>There are large differences in the superannuation balances of people aged 60</w:t>
      </w:r>
      <w:r w:rsidR="00A8443E" w:rsidRPr="00027624">
        <w:noBreakHyphen/>
      </w:r>
      <w:r w:rsidRPr="00027624">
        <w:t>64 (</w:t>
      </w:r>
      <w:r w:rsidRPr="00027624">
        <w:fldChar w:fldCharType="begin"/>
      </w:r>
      <w:r w:rsidRPr="00027624">
        <w:instrText xml:space="preserve"> REF _Ref38629036 \r \h  \* MERGEFORMAT </w:instrText>
      </w:r>
      <w:r w:rsidRPr="00027624">
        <w:fldChar w:fldCharType="separate"/>
      </w:r>
      <w:r w:rsidR="00891058">
        <w:t>Chart 3A-7</w:t>
      </w:r>
      <w:r w:rsidRPr="00027624">
        <w:fldChar w:fldCharType="end"/>
      </w:r>
      <w:r w:rsidRPr="00027624">
        <w:t>).</w:t>
      </w:r>
    </w:p>
    <w:p w14:paraId="70FAAF35" w14:textId="77777777" w:rsidR="00357A7D" w:rsidRPr="00027624" w:rsidRDefault="00357A7D" w:rsidP="00B3792F">
      <w:r w:rsidRPr="00027624">
        <w:t>Superannuation contributions caps were more generous or non</w:t>
      </w:r>
      <w:r w:rsidRPr="00027624">
        <w:noBreakHyphen/>
        <w:t>existent in the past. This allowed some very large super</w:t>
      </w:r>
      <w:r>
        <w:t>annuation balances to build up.</w:t>
      </w:r>
    </w:p>
    <w:p w14:paraId="5C2080A2" w14:textId="77777777" w:rsidR="00B3792F" w:rsidRPr="00027624" w:rsidRDefault="00B3792F" w:rsidP="00FC7361">
      <w:pPr>
        <w:pStyle w:val="ChartMainHeading"/>
        <w:numPr>
          <w:ilvl w:val="2"/>
          <w:numId w:val="46"/>
        </w:numPr>
      </w:pPr>
      <w:bookmarkStart w:id="940" w:name="_Ref38629036"/>
      <w:bookmarkStart w:id="941" w:name="_Toc40278911"/>
      <w:bookmarkStart w:id="942" w:name="_Ref45229839"/>
      <w:r w:rsidRPr="00027624">
        <w:lastRenderedPageBreak/>
        <w:t>Average superannuation balances for people aged 60</w:t>
      </w:r>
      <w:r w:rsidR="00A8443E" w:rsidRPr="00027624">
        <w:noBreakHyphen/>
      </w:r>
      <w:r w:rsidRPr="00027624">
        <w:t xml:space="preserve">64, by </w:t>
      </w:r>
      <w:bookmarkEnd w:id="940"/>
      <w:bookmarkEnd w:id="941"/>
      <w:r w:rsidRPr="00027624">
        <w:t>balance decile</w:t>
      </w:r>
      <w:bookmarkEnd w:id="942"/>
    </w:p>
    <w:p w14:paraId="65F3B4C5" w14:textId="77777777" w:rsidR="00B3792F" w:rsidRPr="00027624" w:rsidRDefault="007D368C" w:rsidP="009516BB">
      <w:pPr>
        <w:pStyle w:val="ChartGraphic"/>
      </w:pPr>
      <w:r>
        <w:rPr>
          <w:noProof/>
        </w:rPr>
        <w:drawing>
          <wp:inline distT="0" distB="0" distL="0" distR="0" wp14:anchorId="5213DEE2" wp14:editId="5F5A704C">
            <wp:extent cx="5577840" cy="2522220"/>
            <wp:effectExtent l="0" t="0" r="3810" b="0"/>
            <wp:docPr id="815138325" name="Picture 815138325" descr="This chart shows the average superannuation balance by balance decile. Those at decile 1 have close to no superannuation. Those at decile 6 have an average of around $200,000 in superannuation. Those at decile 10 have an average of over $1.5 million in superannuation. " title="Chart 3A-7 Average superannuation balances, aged 60-64, by balance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16AD550" w14:textId="77777777" w:rsidR="00B3792F" w:rsidRPr="00027624" w:rsidRDefault="00B3792F" w:rsidP="00B3792F">
      <w:pPr>
        <w:pStyle w:val="ChartorTableNote"/>
      </w:pPr>
      <w:r w:rsidRPr="00027624">
        <w:t>Note: June 2017 data. Superannuation balance is the average balance of all people in the decile. Excludes</w:t>
      </w:r>
      <w:r w:rsidRPr="00027624" w:rsidDel="00F603FF">
        <w:t xml:space="preserve"> </w:t>
      </w:r>
      <w:r w:rsidRPr="00027624">
        <w:t>people with zero balances and people who did not lodge an income tax return in 2016</w:t>
      </w:r>
      <w:r w:rsidR="00A8443E" w:rsidRPr="00027624">
        <w:noBreakHyphen/>
      </w:r>
      <w:r w:rsidRPr="00027624">
        <w:t>17. Around 10 per cent of people aged 60</w:t>
      </w:r>
      <w:r w:rsidR="00A8443E" w:rsidRPr="00027624">
        <w:noBreakHyphen/>
      </w:r>
      <w:r w:rsidRPr="00027624">
        <w:t>64 recorded in the tax file have no superannuation. A significant number of people not captured by the tax file also would have no superannuation. Source: Analysis of ATO individual income tax returns and member contributions statements, 2 per cent sample, 2016</w:t>
      </w:r>
      <w:r w:rsidR="00A8443E" w:rsidRPr="00027624">
        <w:noBreakHyphen/>
      </w:r>
      <w:r w:rsidRPr="00027624">
        <w:t>17.</w:t>
      </w:r>
    </w:p>
    <w:p w14:paraId="0A863F8C" w14:textId="6681305B" w:rsidR="00B3792F" w:rsidRPr="00027624" w:rsidRDefault="00B3792F" w:rsidP="00B3792F">
      <w:r w:rsidRPr="00027624">
        <w:t>Since 1 July 2017, superannuation balances greater than $1.6 million cannot be transferred into the retirement phase. This ensures a person with a very large superannuation balance cannot hold all of their assets in the retirement phase, where earnings are tax</w:t>
      </w:r>
      <w:r w:rsidR="00A8443E" w:rsidRPr="00027624">
        <w:noBreakHyphen/>
      </w:r>
      <w:r w:rsidRPr="00027624">
        <w:t>free. In addition, people with total superannuation balances above $1.6 million generally cannot make post</w:t>
      </w:r>
      <w:r w:rsidR="00A8443E" w:rsidRPr="00027624">
        <w:noBreakHyphen/>
      </w:r>
      <w:r w:rsidRPr="00027624">
        <w:t>tax voluntary contributions (see</w:t>
      </w:r>
      <w:r w:rsidRPr="00027624">
        <w:rPr>
          <w:i/>
        </w:rPr>
        <w:t xml:space="preserve"> 1B. Design of Australia</w:t>
      </w:r>
      <w:r w:rsidR="00A8443E" w:rsidRPr="00027624">
        <w:rPr>
          <w:i/>
        </w:rPr>
        <w:t>’</w:t>
      </w:r>
      <w:r w:rsidRPr="00027624">
        <w:rPr>
          <w:i/>
        </w:rPr>
        <w:t>s retirement income system</w:t>
      </w:r>
      <w:r w:rsidRPr="00027624">
        <w:t>). Despite this, balances above $1.6 million can continue to grow though compulsory and pre</w:t>
      </w:r>
      <w:r w:rsidR="00A8443E" w:rsidRPr="00027624">
        <w:noBreakHyphen/>
      </w:r>
      <w:r w:rsidRPr="00027624">
        <w:t>tax voluntary contributions and investment earnings. Between June 2005 and June 2017, the number of people with a superannuation balance larger than $10 million increased from 151 to 1,839 (</w:t>
      </w:r>
      <w:r w:rsidRPr="00027624">
        <w:fldChar w:fldCharType="begin"/>
      </w:r>
      <w:r w:rsidRPr="00027624">
        <w:instrText xml:space="preserve"> REF _Ref42164351 \r \h  \* MERGEFORMAT </w:instrText>
      </w:r>
      <w:r w:rsidRPr="00027624">
        <w:fldChar w:fldCharType="separate"/>
      </w:r>
      <w:r w:rsidR="00891058">
        <w:t>Chart 3A-8</w:t>
      </w:r>
      <w:r w:rsidRPr="00027624">
        <w:fldChar w:fldCharType="end"/>
      </w:r>
      <w:r w:rsidRPr="00027624">
        <w:t>)</w:t>
      </w:r>
      <w:r w:rsidRPr="00027624" w:rsidDel="00B77F2D">
        <w:t>.</w:t>
      </w:r>
    </w:p>
    <w:p w14:paraId="5B409D66" w14:textId="77777777" w:rsidR="00B3792F" w:rsidRPr="00027624" w:rsidRDefault="00B3792F" w:rsidP="00FC7361">
      <w:pPr>
        <w:pStyle w:val="ChartMainHeading"/>
        <w:numPr>
          <w:ilvl w:val="2"/>
          <w:numId w:val="46"/>
        </w:numPr>
      </w:pPr>
      <w:bookmarkStart w:id="943" w:name="_Ref41052964"/>
      <w:bookmarkStart w:id="944" w:name="_Ref42164351"/>
      <w:r w:rsidRPr="00027624">
        <w:t>Number of people with superannuation balances above selected thresholds</w:t>
      </w:r>
      <w:bookmarkEnd w:id="943"/>
      <w:bookmarkEnd w:id="944"/>
    </w:p>
    <w:p w14:paraId="58E32D17" w14:textId="77777777" w:rsidR="00B3792F" w:rsidRPr="00027624" w:rsidRDefault="007D368C" w:rsidP="009516BB">
      <w:pPr>
        <w:pStyle w:val="ChartGraphic"/>
      </w:pPr>
      <w:r>
        <w:rPr>
          <w:noProof/>
        </w:rPr>
        <w:drawing>
          <wp:inline distT="0" distB="0" distL="0" distR="0" wp14:anchorId="2B92F88A" wp14:editId="4055934F">
            <wp:extent cx="5554980" cy="2606040"/>
            <wp:effectExtent l="0" t="0" r="7620" b="3810"/>
            <wp:docPr id="815138331" name="Picture 815138331" descr="This chart shows that the number of people with superannuation balances over $3 million has increased from around 2,500 in 2005 to over 30,000 in 2017. The number of people with superannuation balances over $5 million has increased from around 1,000 in 2005 to around 10,000 in 2017. The number of people with superannuation balances over $10 million has increased from around 150 in 2005 to around 2,000 in 2017." title="Chart 3A-8 Number of people with superannuation balances above selected thresh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54980" cy="2606040"/>
                    </a:xfrm>
                    <a:prstGeom prst="rect">
                      <a:avLst/>
                    </a:prstGeom>
                    <a:noFill/>
                  </pic:spPr>
                </pic:pic>
              </a:graphicData>
            </a:graphic>
          </wp:inline>
        </w:drawing>
      </w:r>
    </w:p>
    <w:p w14:paraId="1E45BFCC" w14:textId="77777777" w:rsidR="00B3792F" w:rsidRPr="00027624" w:rsidRDefault="00B3792F" w:rsidP="009516BB">
      <w:pPr>
        <w:pStyle w:val="ChartorTableNote"/>
        <w:rPr>
          <w:b/>
        </w:rPr>
      </w:pPr>
      <w:r w:rsidRPr="00027624">
        <w:t>Note: Thresholds use 2017 dollars. Historical balances have been inflated using average weekly ordinary time earnings to 2017 dollars, to be comparable to the 2017 figures. Source: Analysis using data provided by the ATO for the review.</w:t>
      </w:r>
    </w:p>
    <w:p w14:paraId="74DBB2EC" w14:textId="77777777" w:rsidR="00B3792F" w:rsidRPr="00027624" w:rsidRDefault="00B3792F" w:rsidP="00B3792F">
      <w:r w:rsidRPr="00027624">
        <w:rPr>
          <w:b/>
          <w:bCs/>
        </w:rPr>
        <w:t>People with very large superannuation balances can receive very large superannuation earnings tax concessions.</w:t>
      </w:r>
      <w:r w:rsidRPr="00027624">
        <w:t xml:space="preserve"> In 2018</w:t>
      </w:r>
      <w:r w:rsidR="00A8443E" w:rsidRPr="00027624">
        <w:noBreakHyphen/>
      </w:r>
      <w:r w:rsidRPr="00027624">
        <w:t xml:space="preserve">19, a person with a superannuation balance of $5 million would have </w:t>
      </w:r>
      <w:r w:rsidRPr="00027624">
        <w:lastRenderedPageBreak/>
        <w:t xml:space="preserve">received, assuming a net </w:t>
      </w:r>
      <w:r w:rsidR="005A2BEB" w:rsidRPr="00027624">
        <w:t>earnings rate of 6 per cent,</w:t>
      </w:r>
      <w:r w:rsidRPr="00027624">
        <w:t xml:space="preserve"> </w:t>
      </w:r>
      <w:r w:rsidR="005A2BEB" w:rsidRPr="00027624">
        <w:t>around</w:t>
      </w:r>
      <w:r w:rsidRPr="00027624">
        <w:t xml:space="preserve"> $70,000 in earnings tax concessions.</w:t>
      </w:r>
      <w:r w:rsidRPr="00027624">
        <w:rPr>
          <w:rStyle w:val="FootnoteReference"/>
        </w:rPr>
        <w:footnoteReference w:id="126"/>
      </w:r>
      <w:r w:rsidRPr="00027624">
        <w:t xml:space="preserve"> Using the same assumptions, a person with a superannuation balance of $10 million would have received more than $165,000 in earnings tax concessions. As at June 2017, there was over $90 billion in superannuation accounts with balances of over $5 million. As a person</w:t>
      </w:r>
      <w:r w:rsidR="00A8443E" w:rsidRPr="00027624">
        <w:t>’</w:t>
      </w:r>
      <w:r w:rsidRPr="00027624">
        <w:t xml:space="preserve">s superannuation balance increases over time due to earnings growth, so will the value of their earnings tax concessions. Provision of tax concessions for very large superannuation balances are not required for retirement income purposes, as they are unlikely to encourage additional savings (see </w:t>
      </w:r>
      <w:r w:rsidRPr="00027624">
        <w:rPr>
          <w:i/>
        </w:rPr>
        <w:t>5A. Cohesion</w:t>
      </w:r>
      <w:r w:rsidRPr="00027624">
        <w:t>). It appears that large balances are held in the superannuation system mainly as a tax minimisation strategy, separate to any retirement income goals.</w:t>
      </w:r>
    </w:p>
    <w:p w14:paraId="2B6C0252" w14:textId="77777777" w:rsidR="00B3792F" w:rsidRPr="00027624" w:rsidRDefault="00B3792F" w:rsidP="00B3792F">
      <w:r w:rsidRPr="00027624">
        <w:t>In June 2018, the average age of a person with a superannuation balance above $10 million was</w:t>
      </w:r>
      <w:r w:rsidR="0045435C" w:rsidRPr="00027624">
        <w:t> </w:t>
      </w:r>
      <w:r w:rsidRPr="00027624">
        <w:t>69.</w:t>
      </w:r>
      <w:r w:rsidRPr="00027624">
        <w:rPr>
          <w:rStyle w:val="FootnoteReference"/>
        </w:rPr>
        <w:footnoteReference w:id="127"/>
      </w:r>
      <w:r w:rsidRPr="00027624">
        <w:t xml:space="preserve"> Just under 30 per cent (or 576) of these people were aged 65 or younger.</w:t>
      </w:r>
      <w:r w:rsidRPr="00027624">
        <w:rPr>
          <w:rStyle w:val="FootnoteReference"/>
        </w:rPr>
        <w:footnoteReference w:id="128"/>
      </w:r>
      <w:r w:rsidRPr="00027624">
        <w:t xml:space="preserve"> Based on life expectancy projections, around 30 per cent of these existing accounts are still likely to be in the superannuation system in two decades</w:t>
      </w:r>
      <w:r w:rsidR="00A8443E" w:rsidRPr="00027624">
        <w:t>’</w:t>
      </w:r>
      <w:r w:rsidRPr="00027624">
        <w:t xml:space="preserve"> time.</w:t>
      </w:r>
      <w:r w:rsidRPr="00027624">
        <w:rPr>
          <w:rStyle w:val="FootnoteReference"/>
        </w:rPr>
        <w:footnoteReference w:id="129"/>
      </w:r>
      <w:r w:rsidRPr="00027624">
        <w:t xml:space="preserve"> Additionally, in the short to medium term, the number of people with a very large balance may continue to grow.</w:t>
      </w:r>
    </w:p>
    <w:p w14:paraId="69A1BD8E" w14:textId="77777777" w:rsidR="00B3792F" w:rsidRPr="00027624" w:rsidRDefault="00B3792F" w:rsidP="00B3792F">
      <w:pPr>
        <w:pStyle w:val="Heading2"/>
      </w:pPr>
      <w:bookmarkStart w:id="945" w:name="_Toc40278914"/>
      <w:bookmarkStart w:id="946" w:name="_Toc40280517"/>
      <w:bookmarkStart w:id="947" w:name="_Toc40366097"/>
      <w:bookmarkStart w:id="948" w:name="_Toc40369643"/>
      <w:bookmarkStart w:id="949" w:name="_Toc40427612"/>
      <w:bookmarkStart w:id="950" w:name="_Toc40458049"/>
      <w:bookmarkStart w:id="951" w:name="_Toc40461818"/>
      <w:bookmarkStart w:id="952" w:name="_Toc40474373"/>
      <w:bookmarkStart w:id="953" w:name="_Toc40477902"/>
      <w:bookmarkStart w:id="954" w:name="_Toc40521482"/>
      <w:bookmarkStart w:id="955" w:name="_Toc40530341"/>
      <w:bookmarkStart w:id="956" w:name="_Toc42778766"/>
      <w:bookmarkStart w:id="957" w:name="_Toc42779906"/>
      <w:bookmarkStart w:id="958" w:name="_Toc42780335"/>
      <w:bookmarkStart w:id="959" w:name="_Toc42786325"/>
      <w:bookmarkStart w:id="960" w:name="_Toc42791818"/>
      <w:bookmarkStart w:id="961" w:name="_Toc42791980"/>
      <w:bookmarkStart w:id="962" w:name="_Toc43117787"/>
      <w:bookmarkStart w:id="963" w:name="_Toc43121426"/>
      <w:bookmarkStart w:id="964" w:name="_Toc43122631"/>
      <w:bookmarkStart w:id="965" w:name="_Toc43127686"/>
      <w:bookmarkStart w:id="966" w:name="_Toc45520488"/>
      <w:bookmarkStart w:id="967" w:name="_Toc46133599"/>
      <w:r w:rsidRPr="00027624">
        <w:t>The distribution of retirement incomes</w:t>
      </w:r>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p>
    <w:p w14:paraId="7CF1F282" w14:textId="77777777" w:rsidR="00B3792F" w:rsidRPr="00027624" w:rsidRDefault="00B3792F" w:rsidP="00B3792F">
      <w:pPr>
        <w:pStyle w:val="Heading3"/>
      </w:pPr>
      <w:bookmarkStart w:id="968" w:name="_Toc40278915"/>
      <w:bookmarkStart w:id="969" w:name="_Toc40280518"/>
      <w:bookmarkStart w:id="970" w:name="_Toc40366098"/>
      <w:bookmarkStart w:id="971" w:name="_Toc40369644"/>
      <w:bookmarkStart w:id="972" w:name="_Toc40427613"/>
      <w:bookmarkStart w:id="973" w:name="_Toc40458050"/>
      <w:bookmarkStart w:id="974" w:name="_Toc40461819"/>
      <w:bookmarkStart w:id="975" w:name="_Toc40474374"/>
      <w:bookmarkStart w:id="976" w:name="_Toc40477903"/>
      <w:bookmarkStart w:id="977" w:name="_Toc40521483"/>
      <w:bookmarkStart w:id="978" w:name="_Toc40530342"/>
      <w:bookmarkStart w:id="979" w:name="_Toc42778767"/>
      <w:bookmarkStart w:id="980" w:name="_Toc42779907"/>
      <w:bookmarkStart w:id="981" w:name="_Toc42780336"/>
      <w:bookmarkStart w:id="982" w:name="_Toc42786326"/>
      <w:bookmarkStart w:id="983" w:name="_Toc42791819"/>
      <w:bookmarkStart w:id="984" w:name="_Toc42791981"/>
      <w:bookmarkStart w:id="985" w:name="_Toc43117788"/>
      <w:bookmarkStart w:id="986" w:name="_Toc43121427"/>
      <w:bookmarkStart w:id="987" w:name="_Toc43122632"/>
      <w:bookmarkStart w:id="988" w:name="_Toc43127687"/>
      <w:r w:rsidRPr="00027624">
        <w:t>Equality of retirement incomes compared to working</w:t>
      </w:r>
      <w:r w:rsidR="00A8443E" w:rsidRPr="00027624">
        <w:noBreakHyphen/>
      </w:r>
      <w:r w:rsidRPr="00027624">
        <w:t>life incomes</w:t>
      </w:r>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p>
    <w:p w14:paraId="68F16414" w14:textId="0FE0F08A" w:rsidR="00B3792F" w:rsidRPr="00027624" w:rsidRDefault="00B3792F" w:rsidP="00B3792F">
      <w:r w:rsidRPr="00027624">
        <w:t>Income inequality (based on disposable incomes plus imputed rent) among people aged 65 and over is similar to people aged 25</w:t>
      </w:r>
      <w:r w:rsidR="00A8443E" w:rsidRPr="00027624">
        <w:noBreakHyphen/>
      </w:r>
      <w:r w:rsidRPr="00027624">
        <w:t>64 (</w:t>
      </w:r>
      <w:r w:rsidR="00632966" w:rsidRPr="00027624">
        <w:fldChar w:fldCharType="begin"/>
      </w:r>
      <w:r w:rsidR="00632966" w:rsidRPr="00027624">
        <w:instrText xml:space="preserve"> REF _Ref45697952 \r \h </w:instrText>
      </w:r>
      <w:r w:rsidR="00027624">
        <w:instrText xml:space="preserve"> \* MERGEFORMAT </w:instrText>
      </w:r>
      <w:r w:rsidR="00632966" w:rsidRPr="00027624">
        <w:fldChar w:fldCharType="separate"/>
      </w:r>
      <w:r w:rsidR="00891058">
        <w:t>Chart 3A-9</w:t>
      </w:r>
      <w:r w:rsidR="00632966" w:rsidRPr="00027624">
        <w:fldChar w:fldCharType="end"/>
      </w:r>
      <w:r w:rsidRPr="00027624">
        <w:t xml:space="preserve">). </w:t>
      </w:r>
      <w:r w:rsidRPr="00027624">
        <w:rPr>
          <w:b/>
        </w:rPr>
        <w:t>This is due to welfare payments, particularly the Age Pension, offsetting the greater inequality in private incomes among people aged 65 and over compared to people aged</w:t>
      </w:r>
      <w:r w:rsidRPr="00027624">
        <w:t xml:space="preserve"> </w:t>
      </w:r>
      <w:r w:rsidRPr="00027624">
        <w:rPr>
          <w:b/>
        </w:rPr>
        <w:t>25</w:t>
      </w:r>
      <w:r w:rsidR="00A8443E" w:rsidRPr="00027624">
        <w:noBreakHyphen/>
      </w:r>
      <w:r w:rsidRPr="00027624">
        <w:rPr>
          <w:b/>
        </w:rPr>
        <w:t>64.</w:t>
      </w:r>
      <w:r w:rsidRPr="00027624">
        <w:rPr>
          <w:b/>
          <w:bCs/>
        </w:rPr>
        <w:t xml:space="preserve"> </w:t>
      </w:r>
      <w:r w:rsidRPr="00027624">
        <w:t>Private income is more inequitable in retirement as:</w:t>
      </w:r>
    </w:p>
    <w:p w14:paraId="0F99410A" w14:textId="77777777" w:rsidR="00B3792F" w:rsidRPr="00027624" w:rsidRDefault="00B3792F" w:rsidP="00FC7361">
      <w:pPr>
        <w:pStyle w:val="Bullet"/>
        <w:numPr>
          <w:ilvl w:val="0"/>
          <w:numId w:val="44"/>
        </w:numPr>
      </w:pPr>
      <w:r w:rsidRPr="00027624">
        <w:t>Compared to those aged 25</w:t>
      </w:r>
      <w:r w:rsidR="00A8443E" w:rsidRPr="00027624">
        <w:noBreakHyphen/>
      </w:r>
      <w:r w:rsidRPr="00027624">
        <w:t xml:space="preserve">64, people aged 65 and over derive a greater proportion of their private income from their savings than employment. Across the population, savings are less equally distributed than income </w:t>
      </w:r>
      <w:sdt>
        <w:sdtPr>
          <w:id w:val="389622750"/>
          <w:citation/>
        </w:sdtPr>
        <w:sdtEndPr/>
        <w:sdtContent>
          <w:r w:rsidRPr="00027624">
            <w:fldChar w:fldCharType="begin"/>
          </w:r>
          <w:r w:rsidRPr="00027624">
            <w:instrText xml:space="preserve">CITATION ABS198 \l 3081 </w:instrText>
          </w:r>
          <w:r w:rsidRPr="00027624">
            <w:fldChar w:fldCharType="separate"/>
          </w:r>
          <w:r w:rsidR="00E83F6E">
            <w:rPr>
              <w:noProof/>
            </w:rPr>
            <w:t>(ABS, 2019k)</w:t>
          </w:r>
          <w:r w:rsidRPr="00027624">
            <w:fldChar w:fldCharType="end"/>
          </w:r>
        </w:sdtContent>
      </w:sdt>
    </w:p>
    <w:p w14:paraId="0560D415" w14:textId="77777777" w:rsidR="00B3792F" w:rsidRPr="00027624" w:rsidRDefault="00B3792F" w:rsidP="00FC7361">
      <w:pPr>
        <w:pStyle w:val="Bullet"/>
        <w:numPr>
          <w:ilvl w:val="0"/>
          <w:numId w:val="44"/>
        </w:numPr>
      </w:pPr>
      <w:r w:rsidRPr="00027624">
        <w:t>People with higher lifetime incomes receive more superannuation tax concessions than people with lower lifetime incomes. This results in superannuation tax concessions making up a larger proportion of retirement incomes for higher</w:t>
      </w:r>
      <w:r w:rsidR="00A8443E" w:rsidRPr="00027624">
        <w:noBreakHyphen/>
      </w:r>
      <w:r w:rsidRPr="00027624">
        <w:t>income earners than lower</w:t>
      </w:r>
      <w:r w:rsidR="00A8443E" w:rsidRPr="00027624">
        <w:noBreakHyphen/>
      </w:r>
      <w:r w:rsidRPr="00027624">
        <w:t>income earners</w:t>
      </w:r>
      <w:r w:rsidRPr="00027624">
        <w:rPr>
          <w:rStyle w:val="FootnoteReference"/>
        </w:rPr>
        <w:footnoteReference w:id="130"/>
      </w:r>
    </w:p>
    <w:p w14:paraId="6EB4ECFD" w14:textId="77777777" w:rsidR="00B3792F" w:rsidRPr="00027624" w:rsidRDefault="00B3792F" w:rsidP="00B3792F">
      <w:r w:rsidRPr="00027624">
        <w:t>Welfare payments have a larger effect on income inequality in retirement, compared to their effect during working life, as:</w:t>
      </w:r>
    </w:p>
    <w:p w14:paraId="2DF48B11" w14:textId="77777777" w:rsidR="00B3792F" w:rsidRPr="00027624" w:rsidRDefault="00B3792F" w:rsidP="00FC7361">
      <w:pPr>
        <w:pStyle w:val="Bullet"/>
        <w:numPr>
          <w:ilvl w:val="0"/>
          <w:numId w:val="44"/>
        </w:numPr>
      </w:pPr>
      <w:r w:rsidRPr="00027624">
        <w:t>A greater proportion of people aged 65 and over receive welfare payments than people aged 25</w:t>
      </w:r>
      <w:r w:rsidR="00A8443E" w:rsidRPr="00027624">
        <w:noBreakHyphen/>
      </w:r>
      <w:r w:rsidRPr="00027624">
        <w:t>64.</w:t>
      </w:r>
      <w:r w:rsidRPr="00027624">
        <w:rPr>
          <w:rStyle w:val="FootnoteReference"/>
        </w:rPr>
        <w:footnoteReference w:id="131"/>
      </w:r>
      <w:r w:rsidRPr="00027624">
        <w:t xml:space="preserve"> In addition, the Age Pension is higher than some working</w:t>
      </w:r>
      <w:r w:rsidR="00A8443E" w:rsidRPr="00027624">
        <w:noBreakHyphen/>
      </w:r>
      <w:r w:rsidRPr="00027624">
        <w:t>age payments, such as JobSeeker Payment (excluding the temporary Coronavirus Supplement). Welfare payments reduce income inequality for both age groups as welfare payments are generally means tested. For example, the Age Pension is projected to make up a higher proportion of the total retirement incomes of lower</w:t>
      </w:r>
      <w:r w:rsidR="00A8443E" w:rsidRPr="00027624">
        <w:noBreakHyphen/>
      </w:r>
      <w:r w:rsidRPr="00027624">
        <w:t>income earners than higher</w:t>
      </w:r>
      <w:r w:rsidR="00A8443E" w:rsidRPr="00027624">
        <w:noBreakHyphen/>
      </w:r>
      <w:r w:rsidRPr="00027624">
        <w:t>income earners.</w:t>
      </w:r>
      <w:r w:rsidRPr="00027624">
        <w:rPr>
          <w:rStyle w:val="FootnoteReference"/>
        </w:rPr>
        <w:footnoteReference w:id="132"/>
      </w:r>
    </w:p>
    <w:p w14:paraId="1987C70C" w14:textId="77777777" w:rsidR="00B3792F" w:rsidRPr="00027624" w:rsidRDefault="00B3792F" w:rsidP="00B3792F">
      <w:r w:rsidRPr="00027624">
        <w:lastRenderedPageBreak/>
        <w:t>For both age groups, taxes reduce income inequality. This is because individual income taxes are progressive. Imputed rent</w:t>
      </w:r>
      <w:r w:rsidRPr="00027624">
        <w:rPr>
          <w:rStyle w:val="FootnoteReference"/>
        </w:rPr>
        <w:footnoteReference w:id="133"/>
      </w:r>
      <w:r w:rsidRPr="00027624">
        <w:t xml:space="preserve"> also improves income equality for both age groups as:</w:t>
      </w:r>
    </w:p>
    <w:p w14:paraId="08EBCFDC" w14:textId="77777777" w:rsidR="00B3792F" w:rsidRPr="00027624" w:rsidRDefault="00B3792F" w:rsidP="00632966">
      <w:pPr>
        <w:pStyle w:val="Bullet"/>
        <w:rPr>
          <w:rStyle w:val="CommentReference"/>
          <w:sz w:val="22"/>
          <w:szCs w:val="20"/>
        </w:rPr>
      </w:pPr>
      <w:r w:rsidRPr="00027624">
        <w:t>The family home is a greater proportion of lower</w:t>
      </w:r>
      <w:r w:rsidR="00A8443E" w:rsidRPr="00027624">
        <w:noBreakHyphen/>
      </w:r>
      <w:r w:rsidRPr="00027624">
        <w:t>income than higher</w:t>
      </w:r>
      <w:r w:rsidR="00A8443E" w:rsidRPr="00027624">
        <w:noBreakHyphen/>
      </w:r>
      <w:r w:rsidRPr="00027624">
        <w:t>income earners</w:t>
      </w:r>
      <w:r w:rsidR="00A8443E" w:rsidRPr="00027624">
        <w:t>’</w:t>
      </w:r>
      <w:r w:rsidRPr="00027624">
        <w:t xml:space="preserve"> wealth </w:t>
      </w:r>
      <w:sdt>
        <w:sdtPr>
          <w:id w:val="1970164608"/>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p>
    <w:p w14:paraId="5991DCBF" w14:textId="77777777" w:rsidR="00B3792F" w:rsidRPr="00027624" w:rsidRDefault="00B3792F" w:rsidP="00632966">
      <w:pPr>
        <w:pStyle w:val="Bullet"/>
      </w:pPr>
      <w:r w:rsidRPr="00027624">
        <w:t>Lower</w:t>
      </w:r>
      <w:r w:rsidR="00A8443E" w:rsidRPr="00027624">
        <w:noBreakHyphen/>
      </w:r>
      <w:r w:rsidRPr="00027624">
        <w:t>income households are more likely to pay subsidised ren</w:t>
      </w:r>
      <w:r w:rsidR="00632966" w:rsidRPr="00027624">
        <w:t>t or occupy their dwelling rent</w:t>
      </w:r>
      <w:r w:rsidR="00A8443E" w:rsidRPr="00027624">
        <w:noBreakHyphen/>
      </w:r>
      <w:r w:rsidRPr="00027624">
        <w:t>free. Imputed rent includes these subsidies</w:t>
      </w:r>
    </w:p>
    <w:p w14:paraId="4BCE8392" w14:textId="77777777" w:rsidR="00B3792F" w:rsidRPr="00027624" w:rsidRDefault="00B3792F" w:rsidP="00FC7361">
      <w:pPr>
        <w:pStyle w:val="ChartMainHeading"/>
        <w:numPr>
          <w:ilvl w:val="2"/>
          <w:numId w:val="46"/>
        </w:numPr>
      </w:pPr>
      <w:bookmarkStart w:id="989" w:name="_Ref45697952"/>
      <w:bookmarkStart w:id="990" w:name="_Toc40278916"/>
      <w:r w:rsidRPr="00027624">
        <w:t>Income inequality in 2017</w:t>
      </w:r>
      <w:r w:rsidR="00A8443E" w:rsidRPr="00027624">
        <w:noBreakHyphen/>
      </w:r>
      <w:r w:rsidRPr="00027624">
        <w:t>18</w:t>
      </w:r>
      <w:bookmarkEnd w:id="989"/>
    </w:p>
    <w:tbl>
      <w:tblPr>
        <w:tblW w:w="5000" w:type="pct"/>
        <w:tblLook w:val="01E0" w:firstRow="1" w:lastRow="1" w:firstColumn="1" w:lastColumn="1" w:noHBand="0" w:noVBand="0"/>
      </w:tblPr>
      <w:tblGrid>
        <w:gridCol w:w="4535"/>
        <w:gridCol w:w="4535"/>
      </w:tblGrid>
      <w:tr w:rsidR="00B3792F" w:rsidRPr="00027624" w14:paraId="6ED367DA" w14:textId="77777777" w:rsidTr="00B3792F">
        <w:trPr>
          <w:tblHeader/>
        </w:trPr>
        <w:tc>
          <w:tcPr>
            <w:tcW w:w="2500" w:type="pct"/>
            <w:shd w:val="clear" w:color="auto" w:fill="auto"/>
          </w:tcPr>
          <w:p w14:paraId="4C9A5F5D" w14:textId="77777777" w:rsidR="00B3792F" w:rsidRPr="00027624" w:rsidRDefault="00B3792F" w:rsidP="00B3792F">
            <w:pPr>
              <w:pStyle w:val="ChartSecondHeading"/>
            </w:pPr>
            <w:r w:rsidRPr="00027624">
              <w:t>People aged 25</w:t>
            </w:r>
            <w:r w:rsidR="00A8443E" w:rsidRPr="00027624">
              <w:noBreakHyphen/>
            </w:r>
            <w:r w:rsidRPr="00027624">
              <w:t>64</w:t>
            </w:r>
          </w:p>
        </w:tc>
        <w:tc>
          <w:tcPr>
            <w:tcW w:w="2500" w:type="pct"/>
            <w:shd w:val="clear" w:color="auto" w:fill="auto"/>
          </w:tcPr>
          <w:p w14:paraId="59495F21" w14:textId="77777777" w:rsidR="00B3792F" w:rsidRPr="00027624" w:rsidRDefault="00B3792F" w:rsidP="00B3792F">
            <w:pPr>
              <w:pStyle w:val="ChartSecondHeading"/>
            </w:pPr>
            <w:r w:rsidRPr="00027624">
              <w:t>People aged 65 and over</w:t>
            </w:r>
          </w:p>
        </w:tc>
      </w:tr>
      <w:tr w:rsidR="00B3792F" w:rsidRPr="00027624" w14:paraId="4C300977" w14:textId="77777777" w:rsidTr="00B3792F">
        <w:trPr>
          <w:tblHeader/>
        </w:trPr>
        <w:tc>
          <w:tcPr>
            <w:tcW w:w="2500" w:type="pct"/>
            <w:shd w:val="clear" w:color="auto" w:fill="auto"/>
            <w:tcMar>
              <w:left w:w="0" w:type="dxa"/>
              <w:right w:w="0" w:type="dxa"/>
            </w:tcMar>
          </w:tcPr>
          <w:p w14:paraId="3F44017E" w14:textId="77777777" w:rsidR="00B3792F" w:rsidRPr="00027624" w:rsidRDefault="00683862" w:rsidP="009516BB">
            <w:pPr>
              <w:pStyle w:val="ChartGraphic"/>
              <w:rPr>
                <w:noProof/>
              </w:rPr>
            </w:pPr>
            <w:r>
              <w:rPr>
                <w:noProof/>
              </w:rPr>
              <w:drawing>
                <wp:inline distT="0" distB="0" distL="0" distR="0" wp14:anchorId="2E011AFD" wp14:editId="7B7514DA">
                  <wp:extent cx="2887980" cy="2880360"/>
                  <wp:effectExtent l="0" t="0" r="7620" b="0"/>
                  <wp:docPr id="771978734" name="Picture 771978734" descr="This chart shows the level of income inequality, measured by the Gini coefficient – where 0 means complete equality and 1 means complete inequalityity. Inequality in private income is around 0.4 for those aged 25-64, but this reduces to around 0.3 when inequality is calculated on disposable income plus imputed rent. Welfare payments and the effect of taxes and imputed rent reduce inequality by similar small magnitudes.  " title="People aged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87980" cy="2880360"/>
                          </a:xfrm>
                          <a:prstGeom prst="rect">
                            <a:avLst/>
                          </a:prstGeom>
                          <a:noFill/>
                        </pic:spPr>
                      </pic:pic>
                    </a:graphicData>
                  </a:graphic>
                </wp:inline>
              </w:drawing>
            </w:r>
          </w:p>
        </w:tc>
        <w:tc>
          <w:tcPr>
            <w:tcW w:w="2500" w:type="pct"/>
            <w:shd w:val="clear" w:color="auto" w:fill="auto"/>
            <w:tcMar>
              <w:left w:w="0" w:type="dxa"/>
              <w:right w:w="0" w:type="dxa"/>
            </w:tcMar>
          </w:tcPr>
          <w:p w14:paraId="2EFA1CCF" w14:textId="77777777" w:rsidR="00B3792F" w:rsidRPr="00027624" w:rsidRDefault="00683862" w:rsidP="009516BB">
            <w:pPr>
              <w:pStyle w:val="ChartGraphic"/>
              <w:rPr>
                <w:noProof/>
              </w:rPr>
            </w:pPr>
            <w:r>
              <w:rPr>
                <w:noProof/>
              </w:rPr>
              <w:drawing>
                <wp:inline distT="0" distB="0" distL="0" distR="0" wp14:anchorId="55ADF132" wp14:editId="0D0AEAB3">
                  <wp:extent cx="2895600" cy="2880360"/>
                  <wp:effectExtent l="0" t="0" r="0" b="0"/>
                  <wp:docPr id="771978735" name="Picture 771978735" descr="This chart shows the level of income inequality, measured by the Gini coefficient – where 0 means complete equality and 1 means complete inequality. Inequality in private income is around 0.7 for those aged 65 and over, but this reduces to around 0.3 when inequality is calculated on disposable income plus imputed rent. Welfare payments reduce inequality significantly. The effect of taxes and imputed rent is smaller than that of welfare payments, but larger than the effect of taxes and imputed rent for those aged 25-64.  " title="People aged 65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95600" cy="2880360"/>
                          </a:xfrm>
                          <a:prstGeom prst="rect">
                            <a:avLst/>
                          </a:prstGeom>
                          <a:noFill/>
                        </pic:spPr>
                      </pic:pic>
                    </a:graphicData>
                  </a:graphic>
                </wp:inline>
              </w:drawing>
            </w:r>
          </w:p>
        </w:tc>
      </w:tr>
    </w:tbl>
    <w:bookmarkEnd w:id="990"/>
    <w:p w14:paraId="69E7F305" w14:textId="77777777" w:rsidR="00B3792F" w:rsidRPr="00027624" w:rsidRDefault="00B3792F" w:rsidP="009516BB">
      <w:pPr>
        <w:pStyle w:val="ChartorTableNote"/>
      </w:pPr>
      <w:r w:rsidRPr="00027624">
        <w:t>Note: Income inequality is measured by calculating the Gini coefficient. The Gini coefficient is a value between 0 and 1. A value of 0 means that all people have the same incomes (i.e. complete equality), while a value of 1 means all income is received by one person (i.e. complete inequality). Private income refers to income from employment, businesses and investments, such as rent, dividends, royalties and superannuation earnings. Welfare payments include pensions and allowances received by the aged, disabled, unemployed and sick persons, families and children, veterans or their survivors, study allowances for students and all overseas pensions and benefits. Taxes include individual income taxes. Disposable income is equal to private income plus welfare payments less taxes. All income definitions are equivalised for household size. Age of household is the age of the household</w:t>
      </w:r>
      <w:r w:rsidR="00A8443E" w:rsidRPr="00027624">
        <w:t>’</w:t>
      </w:r>
      <w:r w:rsidRPr="00027624">
        <w:t>s reference person.</w:t>
      </w:r>
      <w:r w:rsidRPr="00027624" w:rsidDel="0014122D">
        <w:t xml:space="preserve"> </w:t>
      </w:r>
      <w:r w:rsidRPr="00027624">
        <w:t xml:space="preserve">Source: </w:t>
      </w:r>
      <w:r w:rsidR="004E3626" w:rsidRPr="00027624">
        <w:t>Analysis of ABS Survey of Income and Housing Confidentialised Unit Record File, 2017</w:t>
      </w:r>
      <w:r w:rsidR="00A8443E" w:rsidRPr="00027624">
        <w:noBreakHyphen/>
      </w:r>
      <w:r w:rsidR="004E3626" w:rsidRPr="00027624">
        <w:t>18</w:t>
      </w:r>
      <w:r w:rsidRPr="00027624">
        <w:t>.</w:t>
      </w:r>
    </w:p>
    <w:p w14:paraId="0262EA07" w14:textId="77777777" w:rsidR="00D00D11" w:rsidRPr="00027624" w:rsidRDefault="00D00D11" w:rsidP="00D00D11">
      <w:bookmarkStart w:id="991" w:name="_Toc40278920"/>
      <w:bookmarkStart w:id="992" w:name="_Toc40280519"/>
      <w:bookmarkStart w:id="993" w:name="_Toc40366099"/>
      <w:bookmarkStart w:id="994" w:name="_Toc40369645"/>
      <w:bookmarkStart w:id="995" w:name="_Toc40427614"/>
      <w:bookmarkStart w:id="996" w:name="_Toc40458051"/>
      <w:bookmarkStart w:id="997" w:name="_Toc40461820"/>
      <w:bookmarkStart w:id="998" w:name="_Toc40474375"/>
      <w:bookmarkStart w:id="999" w:name="_Toc40477904"/>
      <w:bookmarkStart w:id="1000" w:name="_Toc40521484"/>
      <w:bookmarkStart w:id="1001" w:name="_Toc40530343"/>
      <w:bookmarkStart w:id="1002" w:name="_Toc42778768"/>
      <w:bookmarkStart w:id="1003" w:name="_Toc42779908"/>
      <w:bookmarkStart w:id="1004" w:name="_Toc42780337"/>
      <w:bookmarkStart w:id="1005" w:name="_Toc42786327"/>
      <w:bookmarkStart w:id="1006" w:name="_Toc42791820"/>
      <w:bookmarkStart w:id="1007" w:name="_Toc42791982"/>
      <w:bookmarkStart w:id="1008" w:name="_Toc43117789"/>
      <w:bookmarkStart w:id="1009" w:name="_Toc43121428"/>
      <w:bookmarkStart w:id="1010" w:name="_Toc43122633"/>
      <w:bookmarkStart w:id="1011" w:name="_Toc43127688"/>
      <w:r w:rsidRPr="00027624">
        <w:t>For people aged 65 and over, the income inequality due to superannuation tax concessions is more than offset by the Age Pension. For example, without the Age Pension or superannuation tax concessions, a person at the 90</w:t>
      </w:r>
      <w:r w:rsidRPr="00027624">
        <w:rPr>
          <w:vertAlign w:val="superscript"/>
        </w:rPr>
        <w:t>th</w:t>
      </w:r>
      <w:r w:rsidRPr="00027624">
        <w:t xml:space="preserve"> lifetime income percentile would earn more than eight times the retirement income of a person at the 10</w:t>
      </w:r>
      <w:r w:rsidRPr="00027624">
        <w:rPr>
          <w:vertAlign w:val="superscript"/>
        </w:rPr>
        <w:t>th</w:t>
      </w:r>
      <w:r w:rsidRPr="00027624">
        <w:t xml:space="preserve"> lifetime income percentile. Once the Age Pension and superannuation tax concessions are both accounted for, a person at the 90</w:t>
      </w:r>
      <w:r w:rsidRPr="00027624">
        <w:rPr>
          <w:vertAlign w:val="superscript"/>
        </w:rPr>
        <w:t>th</w:t>
      </w:r>
      <w:r w:rsidRPr="00027624">
        <w:t xml:space="preserve"> lifetime income percentile would earn over twice the retirement income of a person at the 10</w:t>
      </w:r>
      <w:r w:rsidRPr="00027624">
        <w:rPr>
          <w:vertAlign w:val="superscript"/>
        </w:rPr>
        <w:t>th</w:t>
      </w:r>
      <w:r w:rsidRPr="00027624">
        <w:t xml:space="preserve"> lifetime income percentile.</w:t>
      </w:r>
      <w:r w:rsidRPr="00027624">
        <w:rPr>
          <w:rStyle w:val="FootnoteReference"/>
        </w:rPr>
        <w:footnoteReference w:id="134"/>
      </w:r>
    </w:p>
    <w:p w14:paraId="27B8AE8A" w14:textId="77777777" w:rsidR="00D00D11" w:rsidRPr="00027624" w:rsidDel="00A855E7" w:rsidRDefault="00D00D11" w:rsidP="00D00D11">
      <w:r w:rsidRPr="00027624">
        <w:lastRenderedPageBreak/>
        <w:t>I</w:t>
      </w:r>
      <w:r w:rsidRPr="00027624" w:rsidDel="00A855E7">
        <w:t xml:space="preserve">ncomes would be more equally distributed in </w:t>
      </w:r>
      <w:r w:rsidR="002D3C86">
        <w:t xml:space="preserve">Chart 3A-9 </w:t>
      </w:r>
      <w:r w:rsidRPr="00027624" w:rsidDel="00A855E7">
        <w:t xml:space="preserve">if social transfers in kind were included. This is because retirees with lower incomes receive greater social transfers in kind than </w:t>
      </w:r>
      <w:r w:rsidRPr="00027624">
        <w:t>retirees</w:t>
      </w:r>
      <w:r w:rsidRPr="00027624" w:rsidDel="00A855E7">
        <w:t xml:space="preserve"> with higher incomes (</w:t>
      </w:r>
      <w:r w:rsidRPr="00027624">
        <w:t xml:space="preserve">see </w:t>
      </w:r>
      <w:r w:rsidRPr="00027624">
        <w:rPr>
          <w:i/>
        </w:rPr>
        <w:t>Other government benefits provided to people aged 65 and over</w:t>
      </w:r>
      <w:r w:rsidRPr="00027624">
        <w:t>, below</w:t>
      </w:r>
      <w:r w:rsidRPr="00027624" w:rsidDel="00A855E7">
        <w:t>).</w:t>
      </w:r>
    </w:p>
    <w:p w14:paraId="730CAD1D" w14:textId="77777777" w:rsidR="00B3792F" w:rsidRPr="00027624" w:rsidRDefault="00B3792F" w:rsidP="00B3792F">
      <w:pPr>
        <w:pStyle w:val="Heading3"/>
      </w:pPr>
      <w:r w:rsidRPr="00027624">
        <w:t>Equality of retirement incomes in the future</w:t>
      </w:r>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14:paraId="485A1F3B" w14:textId="0251AC8A" w:rsidR="00B3792F" w:rsidRPr="00357A7D" w:rsidRDefault="00B3792F" w:rsidP="00357A7D">
      <w:r w:rsidRPr="00027624">
        <w:rPr>
          <w:b/>
          <w:bCs/>
        </w:rPr>
        <w:t xml:space="preserve">By 2060, </w:t>
      </w:r>
      <w:r w:rsidRPr="00027624">
        <w:rPr>
          <w:b/>
        </w:rPr>
        <w:t xml:space="preserve">superannuation balances of </w:t>
      </w:r>
      <w:r w:rsidRPr="00027624">
        <w:rPr>
          <w:b/>
          <w:bCs/>
        </w:rPr>
        <w:t>new retirees</w:t>
      </w:r>
      <w:r w:rsidRPr="00027624">
        <w:rPr>
          <w:b/>
        </w:rPr>
        <w:t xml:space="preserve"> are </w:t>
      </w:r>
      <w:r w:rsidRPr="00027624">
        <w:rPr>
          <w:b/>
          <w:bCs/>
        </w:rPr>
        <w:t xml:space="preserve">on average </w:t>
      </w:r>
      <w:r w:rsidRPr="00027624">
        <w:rPr>
          <w:b/>
        </w:rPr>
        <w:t>projected to</w:t>
      </w:r>
      <w:r w:rsidRPr="00027624">
        <w:rPr>
          <w:b/>
          <w:bCs/>
        </w:rPr>
        <w:t xml:space="preserve"> </w:t>
      </w:r>
      <w:r w:rsidRPr="00027624">
        <w:rPr>
          <w:b/>
        </w:rPr>
        <w:t>be higher than those who retired before them.</w:t>
      </w:r>
      <w:r w:rsidRPr="00027624">
        <w:t xml:space="preserve"> </w:t>
      </w:r>
      <w:r w:rsidRPr="00027624">
        <w:rPr>
          <w:rStyle w:val="normaltextrun1"/>
          <w:rFonts w:eastAsiaTheme="majorEastAsia" w:cs="Calibri"/>
          <w:szCs w:val="22"/>
        </w:rPr>
        <w:t>Future superannuation balances at retirement will also be more equally distributed between retirees compared with</w:t>
      </w:r>
      <w:r w:rsidR="001B3564" w:rsidRPr="00027624">
        <w:rPr>
          <w:rStyle w:val="normaltextrun1"/>
          <w:rFonts w:eastAsiaTheme="majorEastAsia" w:cs="Calibri"/>
          <w:szCs w:val="22"/>
        </w:rPr>
        <w:t xml:space="preserve"> those</w:t>
      </w:r>
      <w:r w:rsidRPr="00027624">
        <w:rPr>
          <w:rStyle w:val="normaltextrun1"/>
          <w:rFonts w:eastAsiaTheme="majorEastAsia" w:cs="Calibri"/>
          <w:szCs w:val="22"/>
        </w:rPr>
        <w:t xml:space="preserve"> in 2020 </w:t>
      </w:r>
      <w:r w:rsidRPr="00027624">
        <w:t>(</w:t>
      </w:r>
      <w:r w:rsidRPr="00027624">
        <w:fldChar w:fldCharType="begin"/>
      </w:r>
      <w:r w:rsidRPr="00027624">
        <w:instrText xml:space="preserve"> REF _Ref36117278 \r \h  \* MERGEFORMAT </w:instrText>
      </w:r>
      <w:r w:rsidRPr="00027624">
        <w:fldChar w:fldCharType="separate"/>
      </w:r>
      <w:r w:rsidR="00891058">
        <w:t>Chart 3A-10</w:t>
      </w:r>
      <w:r w:rsidRPr="00027624">
        <w:fldChar w:fldCharType="end"/>
      </w:r>
      <w:r w:rsidRPr="00027624">
        <w:t xml:space="preserve">). </w:t>
      </w:r>
      <w:r w:rsidRPr="00027624">
        <w:rPr>
          <w:rStyle w:val="normaltextrun1"/>
          <w:rFonts w:eastAsiaTheme="majorEastAsia" w:cs="Calibri"/>
          <w:szCs w:val="22"/>
        </w:rPr>
        <w:t xml:space="preserve">Such a change is projected to decrease the Gini coefficient </w:t>
      </w:r>
      <w:r w:rsidRPr="00027624" w:rsidDel="0086738E">
        <w:rPr>
          <w:rStyle w:val="normaltextrun1"/>
          <w:rFonts w:eastAsiaTheme="majorEastAsia" w:cs="Calibri"/>
          <w:szCs w:val="22"/>
        </w:rPr>
        <w:t xml:space="preserve">of </w:t>
      </w:r>
      <w:r w:rsidRPr="00027624">
        <w:rPr>
          <w:rStyle w:val="normaltextrun1"/>
          <w:rFonts w:eastAsiaTheme="majorEastAsia" w:cs="Calibri"/>
          <w:szCs w:val="22"/>
        </w:rPr>
        <w:t xml:space="preserve">superannuation balances at retirement from around 0.7 in 2020 to around 0.5 in 2060 (a lower Gini coefficient represents greater </w:t>
      </w:r>
      <w:r w:rsidRPr="00027624">
        <w:t>equality).</w:t>
      </w:r>
      <w:r w:rsidRPr="00027624">
        <w:rPr>
          <w:rStyle w:val="FootnoteReference"/>
        </w:rPr>
        <w:footnoteReference w:id="135"/>
      </w:r>
      <w:r w:rsidRPr="00027624">
        <w:t xml:space="preserve"> The Age Pension is also expected to continue to play an important role in reducing inequality. </w:t>
      </w:r>
    </w:p>
    <w:p w14:paraId="446CF147" w14:textId="77777777" w:rsidR="00B3792F" w:rsidRPr="00027624" w:rsidRDefault="00B3792F" w:rsidP="00FC7361">
      <w:pPr>
        <w:pStyle w:val="ChartMainHeading"/>
        <w:numPr>
          <w:ilvl w:val="2"/>
          <w:numId w:val="46"/>
        </w:numPr>
      </w:pPr>
      <w:bookmarkStart w:id="1012" w:name="_Ref36117278"/>
      <w:bookmarkStart w:id="1013" w:name="_Toc40278921"/>
      <w:r w:rsidRPr="00027624">
        <w:t>Projected distribution of superannuation balances at retirement</w:t>
      </w:r>
      <w:bookmarkEnd w:id="1012"/>
      <w:bookmarkEnd w:id="1013"/>
    </w:p>
    <w:p w14:paraId="2270F847" w14:textId="77777777" w:rsidR="00B3792F" w:rsidRPr="00027624" w:rsidRDefault="00683862" w:rsidP="00B3792F">
      <w:pPr>
        <w:pStyle w:val="ChartGraphic"/>
      </w:pPr>
      <w:r>
        <w:rPr>
          <w:noProof/>
        </w:rPr>
        <w:drawing>
          <wp:inline distT="0" distB="0" distL="0" distR="0" wp14:anchorId="76DA9F34" wp14:editId="3C1A875A">
            <wp:extent cx="5577840" cy="2522220"/>
            <wp:effectExtent l="0" t="0" r="3810" b="0"/>
            <wp:docPr id="771978736" name="Picture 771978736" descr="This chart shows that the distribution of superannuation balances is projected to flatten over time, with more people having higher balances in 2060 compared to 2020 and 2040. " title="Chart 3A-10 Projected distribution of superannuation balances at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2F17A35" w14:textId="77777777" w:rsidR="00B3792F" w:rsidRPr="00027624" w:rsidRDefault="00B3792F" w:rsidP="00B3792F">
      <w:pPr>
        <w:pStyle w:val="ChartorTableNote"/>
      </w:pPr>
      <w:r w:rsidRPr="00027624">
        <w:t>Note: Values are in 2020 dollars, combined for the three trailing years, and deflated by average weekly earnings. SG rates in the future will increase as per the relevant legislation. This involves the SG rate rising to 12 per cent by July 2025. Source: Treasury estimates for the review using MARIA.</w:t>
      </w:r>
    </w:p>
    <w:p w14:paraId="64EA28DB" w14:textId="77777777" w:rsidR="00B3792F" w:rsidRPr="00027624" w:rsidRDefault="00B3792F" w:rsidP="00B3792F">
      <w:pPr>
        <w:spacing w:before="240"/>
      </w:pPr>
      <w:r w:rsidRPr="00027624">
        <w:t>The future impact of voluntary savings on the equality of retirement incomes is unclear. In 2017</w:t>
      </w:r>
      <w:r w:rsidR="00A8443E" w:rsidRPr="00027624">
        <w:noBreakHyphen/>
      </w:r>
      <w:r w:rsidRPr="00027624">
        <w:t>18, people with higher income and wealth had larger non</w:t>
      </w:r>
      <w:r w:rsidR="00A8443E" w:rsidRPr="00027624">
        <w:noBreakHyphen/>
      </w:r>
      <w:r w:rsidRPr="00027624">
        <w:t xml:space="preserve">superannuation voluntary savings, on average </w:t>
      </w:r>
      <w:sdt>
        <w:sdtPr>
          <w:id w:val="1230806184"/>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 Rice Warner modelling, which assumes future savings rates reflect long</w:t>
      </w:r>
      <w:r w:rsidR="00A8443E" w:rsidRPr="00027624">
        <w:noBreakHyphen/>
      </w:r>
      <w:r w:rsidRPr="00027624">
        <w:t>term averages and investment returns will be aligned with long</w:t>
      </w:r>
      <w:r w:rsidR="00A8443E" w:rsidRPr="00027624">
        <w:noBreakHyphen/>
      </w:r>
      <w:r w:rsidRPr="00027624">
        <w:t>term expectations, projects that retirement incomes will be more equally distributed in future. Specifically, it finds the top 20 per cent of retirees by income will receive just over two times the retirement incomes of the bottom 20 per cent of retirees in 2059, compared with just under four times in 2020.</w:t>
      </w:r>
      <w:r w:rsidRPr="00027624">
        <w:rPr>
          <w:rStyle w:val="FootnoteReference"/>
        </w:rPr>
        <w:footnoteReference w:id="136"/>
      </w:r>
    </w:p>
    <w:p w14:paraId="062E3F17" w14:textId="77777777" w:rsidR="00B3792F" w:rsidRPr="00027624" w:rsidRDefault="00B3792F" w:rsidP="00B3792F">
      <w:pPr>
        <w:pStyle w:val="Heading2"/>
      </w:pPr>
      <w:bookmarkStart w:id="1014" w:name="_Toc40278922"/>
      <w:bookmarkStart w:id="1015" w:name="_Toc40280520"/>
      <w:bookmarkStart w:id="1016" w:name="_Toc40366100"/>
      <w:bookmarkStart w:id="1017" w:name="_Toc40369646"/>
      <w:bookmarkStart w:id="1018" w:name="_Toc40427615"/>
      <w:bookmarkStart w:id="1019" w:name="_Toc40458052"/>
      <w:bookmarkStart w:id="1020" w:name="_Toc40461821"/>
      <w:bookmarkStart w:id="1021" w:name="_Toc40474376"/>
      <w:bookmarkStart w:id="1022" w:name="_Toc40477905"/>
      <w:bookmarkStart w:id="1023" w:name="_Toc40521485"/>
      <w:bookmarkStart w:id="1024" w:name="_Toc40530344"/>
      <w:bookmarkStart w:id="1025" w:name="_Toc42778769"/>
      <w:bookmarkStart w:id="1026" w:name="_Toc42779909"/>
      <w:bookmarkStart w:id="1027" w:name="_Toc42780338"/>
      <w:bookmarkStart w:id="1028" w:name="_Toc42786328"/>
      <w:bookmarkStart w:id="1029" w:name="_Toc42791821"/>
      <w:bookmarkStart w:id="1030" w:name="_Toc42791983"/>
      <w:bookmarkStart w:id="1031" w:name="_Toc43117790"/>
      <w:bookmarkStart w:id="1032" w:name="_Toc43121429"/>
      <w:bookmarkStart w:id="1033" w:name="_Toc43122634"/>
      <w:bookmarkStart w:id="1034" w:name="_Toc43127689"/>
      <w:bookmarkStart w:id="1035" w:name="_Toc45520489"/>
      <w:bookmarkStart w:id="1036" w:name="_Toc46133600"/>
      <w:r w:rsidRPr="00027624">
        <w:t>Lifetime Government support provided through the retirement income system</w:t>
      </w:r>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p>
    <w:p w14:paraId="37370D8D" w14:textId="77777777" w:rsidR="00B3792F" w:rsidRPr="00027624" w:rsidRDefault="00B3792F" w:rsidP="00B3792F">
      <w:r w:rsidRPr="00027624">
        <w:t xml:space="preserve">The previous paragraphs considered Government support as a proportion of total retirement income to help assess the effect Government support has on income inequality. To understand the quantum </w:t>
      </w:r>
      <w:r w:rsidRPr="00027624">
        <w:lastRenderedPageBreak/>
        <w:t>of support provided to people with different lifetime incomes, Government support should be expressed in dollar terms.</w:t>
      </w:r>
    </w:p>
    <w:p w14:paraId="560FBCE7" w14:textId="77777777" w:rsidR="00B3792F" w:rsidRPr="00027624" w:rsidRDefault="00B3792F" w:rsidP="00B3792F">
      <w:r w:rsidRPr="00027624">
        <w:t xml:space="preserve">People with lower lifetime incomes generally receive the most Age Pension entitlements. Situations where this may not be the case are discussed later in this section and in </w:t>
      </w:r>
      <w:r w:rsidRPr="00027624">
        <w:rPr>
          <w:i/>
        </w:rPr>
        <w:t>3C. Home ownership status</w:t>
      </w:r>
      <w:r w:rsidRPr="00027624">
        <w:t xml:space="preserve"> and </w:t>
      </w:r>
      <w:r w:rsidRPr="00027624">
        <w:rPr>
          <w:i/>
        </w:rPr>
        <w:t>3B. Gender and partnered status</w:t>
      </w:r>
      <w:r w:rsidRPr="00027624">
        <w:t>.</w:t>
      </w:r>
    </w:p>
    <w:p w14:paraId="34CECC3A" w14:textId="5C75FEF7" w:rsidR="00B3792F" w:rsidRPr="00027624" w:rsidRDefault="00B3792F" w:rsidP="00B3792F">
      <w:r w:rsidRPr="00027624">
        <w:t xml:space="preserve">In contrast, superannuation tax concessions increase significantly as lifetime income increases due to higher superannuation contributions and balances and a larger tax advantage. </w:t>
      </w:r>
      <w:r w:rsidRPr="00027624" w:rsidDel="005F2CE5">
        <w:t xml:space="preserve">As </w:t>
      </w:r>
      <w:r w:rsidRPr="00027624">
        <w:t>the SG</w:t>
      </w:r>
      <w:r w:rsidRPr="00027624" w:rsidDel="005F2CE5">
        <w:t xml:space="preserve"> is an employment</w:t>
      </w:r>
      <w:r w:rsidR="00A8443E" w:rsidRPr="00027624">
        <w:noBreakHyphen/>
      </w:r>
      <w:r w:rsidRPr="00027624" w:rsidDel="005F2CE5">
        <w:t>based scheme, full</w:t>
      </w:r>
      <w:r w:rsidR="00A8443E" w:rsidRPr="00027624">
        <w:noBreakHyphen/>
      </w:r>
      <w:r w:rsidRPr="00027624" w:rsidDel="005F2CE5">
        <w:t>time and continuously</w:t>
      </w:r>
      <w:r w:rsidRPr="00027624">
        <w:t xml:space="preserve"> </w:t>
      </w:r>
      <w:r w:rsidRPr="00027624" w:rsidDel="005F2CE5">
        <w:t xml:space="preserve">employed people are able to make more contributions and receive more tax concessions. </w:t>
      </w:r>
      <w:r w:rsidRPr="00027624">
        <w:t xml:space="preserve">The impact of earnings tax concessions means </w:t>
      </w:r>
      <w:r w:rsidRPr="00027624">
        <w:rPr>
          <w:b/>
          <w:bCs/>
        </w:rPr>
        <w:t>higher</w:t>
      </w:r>
      <w:r w:rsidR="00A8443E" w:rsidRPr="00027624">
        <w:rPr>
          <w:b/>
          <w:bCs/>
        </w:rPr>
        <w:noBreakHyphen/>
      </w:r>
      <w:r w:rsidRPr="00027624">
        <w:rPr>
          <w:b/>
          <w:bCs/>
        </w:rPr>
        <w:t>income earners receive more lifetime Government support in dollar terms than lower</w:t>
      </w:r>
      <w:r w:rsidR="00A8443E" w:rsidRPr="00027624">
        <w:rPr>
          <w:b/>
          <w:bCs/>
        </w:rPr>
        <w:noBreakHyphen/>
      </w:r>
      <w:r w:rsidRPr="00027624">
        <w:rPr>
          <w:b/>
          <w:bCs/>
        </w:rPr>
        <w:t xml:space="preserve"> and middle</w:t>
      </w:r>
      <w:r w:rsidR="00A8443E" w:rsidRPr="00027624">
        <w:rPr>
          <w:b/>
          <w:bCs/>
        </w:rPr>
        <w:noBreakHyphen/>
      </w:r>
      <w:r w:rsidRPr="00027624">
        <w:rPr>
          <w:b/>
          <w:bCs/>
        </w:rPr>
        <w:t>income earners</w:t>
      </w:r>
      <w:r w:rsidRPr="00027624">
        <w:t xml:space="preserve"> (</w:t>
      </w:r>
      <w:r w:rsidRPr="00027624">
        <w:fldChar w:fldCharType="begin"/>
      </w:r>
      <w:r w:rsidRPr="00027624">
        <w:instrText xml:space="preserve"> REF _Ref36114098 \r \h  \* MERGEFORMAT </w:instrText>
      </w:r>
      <w:r w:rsidRPr="00027624">
        <w:fldChar w:fldCharType="separate"/>
      </w:r>
      <w:r w:rsidR="00891058">
        <w:t>Chart 3A-11</w:t>
      </w:r>
      <w:r w:rsidRPr="00027624">
        <w:fldChar w:fldCharType="end"/>
      </w:r>
      <w:r w:rsidRPr="00027624">
        <w:t>).</w:t>
      </w:r>
    </w:p>
    <w:p w14:paraId="7C7D8C88" w14:textId="1DA52245" w:rsidR="00B3792F" w:rsidRPr="00027624" w:rsidRDefault="00B3792F" w:rsidP="00B3792F">
      <w:r w:rsidRPr="00027624">
        <w:t>Projected lifetime Government support provided through the retirement income system for couples is identified in</w:t>
      </w:r>
      <w:r w:rsidRPr="00027624">
        <w:rPr>
          <w:i/>
        </w:rPr>
        <w:t xml:space="preserve"> 3B. Gender and partnered status</w:t>
      </w:r>
      <w:r w:rsidRPr="00027624">
        <w:t>. Similar to the analysis for individuals (</w:t>
      </w:r>
      <w:r w:rsidRPr="00027624">
        <w:fldChar w:fldCharType="begin"/>
      </w:r>
      <w:r w:rsidRPr="00027624">
        <w:instrText xml:space="preserve"> REF _Ref36114098 \r \h  \* MERGEFORMAT </w:instrText>
      </w:r>
      <w:r w:rsidRPr="00027624">
        <w:fldChar w:fldCharType="separate"/>
      </w:r>
      <w:r w:rsidR="00891058">
        <w:t>Chart 3A-11</w:t>
      </w:r>
      <w:r w:rsidRPr="00027624">
        <w:fldChar w:fldCharType="end"/>
      </w:r>
      <w:r w:rsidRPr="00027624">
        <w:t>), higher</w:t>
      </w:r>
      <w:r w:rsidR="00A8443E" w:rsidRPr="00027624">
        <w:noBreakHyphen/>
      </w:r>
      <w:r w:rsidRPr="00027624">
        <w:t>income couples receive more lifetime Government support in dollar terms than lower</w:t>
      </w:r>
      <w:r w:rsidR="00A8443E" w:rsidRPr="00027624">
        <w:noBreakHyphen/>
      </w:r>
      <w:r w:rsidRPr="00027624">
        <w:t xml:space="preserve"> and middle</w:t>
      </w:r>
      <w:r w:rsidR="00A8443E" w:rsidRPr="00027624">
        <w:noBreakHyphen/>
      </w:r>
      <w:r w:rsidRPr="00027624">
        <w:t>income couples.</w:t>
      </w:r>
    </w:p>
    <w:p w14:paraId="778537D6" w14:textId="6E088B4B" w:rsidR="00B3792F" w:rsidRPr="00027624" w:rsidRDefault="00B3792F" w:rsidP="00B3792F">
      <w:r w:rsidRPr="00027624">
        <w:t>Middle</w:t>
      </w:r>
      <w:r w:rsidR="00A8443E" w:rsidRPr="00027624">
        <w:noBreakHyphen/>
      </w:r>
      <w:r w:rsidRPr="00027624">
        <w:t xml:space="preserve"> and higher</w:t>
      </w:r>
      <w:r w:rsidR="00A8443E" w:rsidRPr="00027624">
        <w:noBreakHyphen/>
      </w:r>
      <w:r w:rsidRPr="00027624">
        <w:t xml:space="preserve">income individuals may receive an even greater proportion of Government support than is shown in </w:t>
      </w:r>
      <w:r w:rsidRPr="00027624">
        <w:fldChar w:fldCharType="begin"/>
      </w:r>
      <w:r w:rsidRPr="00027624">
        <w:instrText xml:space="preserve"> REF _Ref36114098 \r \h  \* MERGEFORMAT </w:instrText>
      </w:r>
      <w:r w:rsidRPr="00027624">
        <w:fldChar w:fldCharType="separate"/>
      </w:r>
      <w:r w:rsidR="00891058">
        <w:t>Chart 3A-11</w:t>
      </w:r>
      <w:r w:rsidRPr="00027624">
        <w:fldChar w:fldCharType="end"/>
      </w:r>
      <w:r w:rsidRPr="00027624">
        <w:t xml:space="preserve"> as they:</w:t>
      </w:r>
    </w:p>
    <w:p w14:paraId="4CBC0574" w14:textId="77777777" w:rsidR="00B3792F" w:rsidRPr="00027624" w:rsidRDefault="00B3792F" w:rsidP="00FC7361">
      <w:pPr>
        <w:pStyle w:val="Bullet"/>
        <w:numPr>
          <w:ilvl w:val="0"/>
          <w:numId w:val="44"/>
        </w:numPr>
      </w:pPr>
      <w:r w:rsidRPr="00027624">
        <w:t xml:space="preserve">Typically have higher life expectancies than people with lower lifetime income </w:t>
      </w:r>
      <w:sdt>
        <w:sdtPr>
          <w:id w:val="1419214174"/>
          <w:citation/>
        </w:sdtPr>
        <w:sdtEndPr/>
        <w:sdtContent>
          <w:r w:rsidRPr="00027624">
            <w:fldChar w:fldCharType="begin"/>
          </w:r>
          <w:r w:rsidRPr="00027624">
            <w:instrText xml:space="preserve"> CITATION Law99 \l 3081 </w:instrText>
          </w:r>
          <w:r w:rsidRPr="00027624">
            <w:fldChar w:fldCharType="separate"/>
          </w:r>
          <w:r w:rsidR="00E83F6E">
            <w:rPr>
              <w:noProof/>
            </w:rPr>
            <w:t>(Lawrence, 1999)</w:t>
          </w:r>
          <w:r w:rsidRPr="00027624">
            <w:fldChar w:fldCharType="end"/>
          </w:r>
        </w:sdtContent>
      </w:sdt>
    </w:p>
    <w:p w14:paraId="6429FE97" w14:textId="7234D1A1" w:rsidR="00B3792F" w:rsidRPr="00027624" w:rsidRDefault="00B3792F" w:rsidP="00FC7361">
      <w:pPr>
        <w:pStyle w:val="Bullet"/>
        <w:numPr>
          <w:ilvl w:val="0"/>
          <w:numId w:val="44"/>
        </w:numPr>
      </w:pPr>
      <w:r w:rsidRPr="00027624">
        <w:t>Make larger post</w:t>
      </w:r>
      <w:r w:rsidR="00A8443E" w:rsidRPr="00027624">
        <w:noBreakHyphen/>
      </w:r>
      <w:r w:rsidRPr="00027624">
        <w:t>tax voluntary contributions on average than lower</w:t>
      </w:r>
      <w:r w:rsidR="00A8443E" w:rsidRPr="00027624">
        <w:noBreakHyphen/>
      </w:r>
      <w:r w:rsidRPr="00027624">
        <w:t>income earners (</w:t>
      </w:r>
      <w:r w:rsidRPr="00027624">
        <w:fldChar w:fldCharType="begin"/>
      </w:r>
      <w:r w:rsidRPr="00027624">
        <w:instrText xml:space="preserve"> REF _Ref36113145 \r \h  \* MERGEFORMAT </w:instrText>
      </w:r>
      <w:r w:rsidRPr="00027624">
        <w:fldChar w:fldCharType="separate"/>
      </w:r>
      <w:r w:rsidR="00891058">
        <w:t>Chart 3A-3</w:t>
      </w:r>
      <w:r w:rsidRPr="00027624">
        <w:fldChar w:fldCharType="end"/>
      </w:r>
      <w:r w:rsidRPr="00027624">
        <w:t>)</w:t>
      </w:r>
      <w:r w:rsidR="00A8443E" w:rsidRPr="00027624">
        <w:t xml:space="preserve"> — </w:t>
      </w:r>
      <w:r w:rsidRPr="00027624">
        <w:t>these contributions are not included in the modelling</w:t>
      </w:r>
    </w:p>
    <w:p w14:paraId="3A18E3B0" w14:textId="77777777" w:rsidR="00B3792F" w:rsidRPr="00027624" w:rsidRDefault="00B3792F" w:rsidP="00FC7361">
      <w:pPr>
        <w:pStyle w:val="ChartMainHeading"/>
        <w:numPr>
          <w:ilvl w:val="2"/>
          <w:numId w:val="46"/>
        </w:numPr>
      </w:pPr>
      <w:bookmarkStart w:id="1037" w:name="_Ref36114098"/>
      <w:bookmarkStart w:id="1038" w:name="_Toc40278923"/>
      <w:r w:rsidRPr="00027624">
        <w:t>Projected lifetime Government support provided through the retirement income system</w:t>
      </w:r>
      <w:bookmarkEnd w:id="1037"/>
      <w:bookmarkEnd w:id="1038"/>
    </w:p>
    <w:p w14:paraId="67E3A1F0" w14:textId="77777777" w:rsidR="00B3792F" w:rsidRPr="00027624" w:rsidRDefault="00A720B6" w:rsidP="009516BB">
      <w:pPr>
        <w:pStyle w:val="ChartGraphic"/>
      </w:pPr>
      <w:r>
        <w:rPr>
          <w:noProof/>
        </w:rPr>
        <w:drawing>
          <wp:inline distT="0" distB="0" distL="0" distR="0" wp14:anchorId="60C74C1A" wp14:editId="58BF7B6D">
            <wp:extent cx="5760720" cy="2522220"/>
            <wp:effectExtent l="0" t="0" r="0" b="0"/>
            <wp:docPr id="771978737" name="Picture 771978737" descr="This chart shows that those at higher lifetime income percentiles are projected to receive more government support through the retirement income system than those at lower income percentiles. Lower income percentiles get more government support from the Age Pension. As income increases, the proportion of government support provided by contributions and earnings tax concessions, but particularly earnings tax concessions, increases.  " title="Chart 3A-11 Projected lifetime government support provided through the retirement incom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720" cy="2522220"/>
                    </a:xfrm>
                    <a:prstGeom prst="rect">
                      <a:avLst/>
                    </a:prstGeom>
                    <a:noFill/>
                  </pic:spPr>
                </pic:pic>
              </a:graphicData>
            </a:graphic>
          </wp:inline>
        </w:drawing>
      </w:r>
    </w:p>
    <w:p w14:paraId="22C86D93" w14:textId="77777777" w:rsidR="00B3792F" w:rsidRPr="00027624" w:rsidRDefault="00B3792F" w:rsidP="00B3792F">
      <w:pPr>
        <w:pStyle w:val="ChartorTableNote"/>
      </w:pPr>
      <w:r w:rsidRPr="00027624">
        <w:t>Note: Values are in 2019</w:t>
      </w:r>
      <w:r w:rsidR="00A8443E" w:rsidRPr="00027624">
        <w:noBreakHyphen/>
      </w:r>
      <w:r w:rsidRPr="00027624">
        <w:t>20 dollars, deflated using the review</w:t>
      </w:r>
      <w:r w:rsidR="00A8443E" w:rsidRPr="00027624">
        <w:t>’</w:t>
      </w:r>
      <w:r w:rsidRPr="00027624">
        <w:t xml:space="preserve">s GDP deflator and uses review assumptions (see </w:t>
      </w:r>
      <w:r w:rsidR="00BD73BF" w:rsidRPr="00BD73BF">
        <w:rPr>
          <w:i/>
        </w:rPr>
        <w:t>Appendix</w:t>
      </w:r>
      <w:r w:rsidR="00BD73BF">
        <w:t xml:space="preserve"> </w:t>
      </w:r>
      <w:r w:rsidRPr="00027624">
        <w:rPr>
          <w:i/>
        </w:rPr>
        <w:t>6A. Detailed modelling methods and assumptions</w:t>
      </w:r>
      <w:r w:rsidRPr="00027624">
        <w:t>). Middle</w:t>
      </w:r>
      <w:r w:rsidR="00A8443E" w:rsidRPr="00027624">
        <w:noBreakHyphen/>
      </w:r>
      <w:r w:rsidRPr="00027624">
        <w:t xml:space="preserve">income earners receive less support when superannuation is drawn down in line with the minimum legislated rates (see </w:t>
      </w:r>
      <w:r w:rsidRPr="00027624">
        <w:rPr>
          <w:i/>
        </w:rPr>
        <w:t>Annex</w:t>
      </w:r>
      <w:r w:rsidR="00A8443E" w:rsidRPr="00027624">
        <w:rPr>
          <w:i/>
        </w:rPr>
        <w:t xml:space="preserve"> — </w:t>
      </w:r>
      <w:r w:rsidR="00A51392" w:rsidRPr="00027624">
        <w:rPr>
          <w:i/>
        </w:rPr>
        <w:t>s</w:t>
      </w:r>
      <w:r w:rsidRPr="00027624">
        <w:rPr>
          <w:i/>
        </w:rPr>
        <w:t>takeholders</w:t>
      </w:r>
      <w:r w:rsidR="00A8443E" w:rsidRPr="00027624">
        <w:rPr>
          <w:i/>
        </w:rPr>
        <w:t>’</w:t>
      </w:r>
      <w:r w:rsidRPr="00027624">
        <w:rPr>
          <w:i/>
        </w:rPr>
        <w:t xml:space="preserve"> issues with lifetime Government support analysis</w:t>
      </w:r>
      <w:r w:rsidR="00842A7C" w:rsidRPr="00027624">
        <w:t>,</w:t>
      </w:r>
      <w:r w:rsidRPr="00027624">
        <w:rPr>
          <w:i/>
        </w:rPr>
        <w:t xml:space="preserve"> </w:t>
      </w:r>
      <w:r w:rsidRPr="00027624">
        <w:t>below). Source: Cameo modelling undertaken for the review.</w:t>
      </w:r>
    </w:p>
    <w:p w14:paraId="7E205DC4" w14:textId="13992C15" w:rsidR="00B3792F" w:rsidRPr="00027624" w:rsidRDefault="00B3792F" w:rsidP="00B3792F">
      <w:pPr>
        <w:rPr>
          <w:b/>
        </w:rPr>
      </w:pPr>
      <w:r w:rsidRPr="00027624">
        <w:t>Higher</w:t>
      </w:r>
      <w:r w:rsidR="00A8443E" w:rsidRPr="00027624">
        <w:noBreakHyphen/>
      </w:r>
      <w:r w:rsidRPr="00027624">
        <w:t>income earners receive substantial earnings tax concessions, including from the exemption from tax for earnings in the retirement phase.</w:t>
      </w:r>
      <w:r w:rsidRPr="00027624" w:rsidDel="009756A4">
        <w:t xml:space="preserve"> </w:t>
      </w:r>
      <w:r w:rsidRPr="00027624">
        <w:t>Superannuation tax concessions in the retirement phase represent a much higher proportion of lifetime tax concessions for higher</w:t>
      </w:r>
      <w:r w:rsidR="00A8443E" w:rsidRPr="00027624">
        <w:noBreakHyphen/>
      </w:r>
      <w:r w:rsidRPr="00027624">
        <w:t>income earners than middle</w:t>
      </w:r>
      <w:r w:rsidR="00A8443E" w:rsidRPr="00027624">
        <w:noBreakHyphen/>
      </w:r>
      <w:r w:rsidRPr="00027624">
        <w:t>income earners (</w:t>
      </w:r>
      <w:r w:rsidRPr="00027624">
        <w:fldChar w:fldCharType="begin"/>
      </w:r>
      <w:r w:rsidRPr="00027624">
        <w:instrText xml:space="preserve"> REF _Ref42088512 \r \h  \* MERGEFORMAT </w:instrText>
      </w:r>
      <w:r w:rsidRPr="00027624">
        <w:fldChar w:fldCharType="separate"/>
      </w:r>
      <w:r w:rsidR="00891058">
        <w:t>Chart 3A-12</w:t>
      </w:r>
      <w:r w:rsidRPr="00027624">
        <w:fldChar w:fldCharType="end"/>
      </w:r>
      <w:r w:rsidRPr="00027624">
        <w:t>). The earnings tax exemption is projected to provide the largest boost to retirement incomes for higher</w:t>
      </w:r>
      <w:r w:rsidR="00A8443E" w:rsidRPr="00027624">
        <w:noBreakHyphen/>
      </w:r>
      <w:r w:rsidRPr="00027624">
        <w:t>income earners.</w:t>
      </w:r>
    </w:p>
    <w:p w14:paraId="3ABA1F57" w14:textId="77777777" w:rsidR="00B3792F" w:rsidRPr="00027624" w:rsidRDefault="00B3792F" w:rsidP="00FC7361">
      <w:pPr>
        <w:pStyle w:val="ChartMainHeading"/>
        <w:numPr>
          <w:ilvl w:val="2"/>
          <w:numId w:val="46"/>
        </w:numPr>
      </w:pPr>
      <w:bookmarkStart w:id="1039" w:name="_Ref42088512"/>
      <w:bookmarkStart w:id="1040" w:name="_Ref44874271"/>
      <w:r w:rsidRPr="00027624">
        <w:lastRenderedPageBreak/>
        <w:t>Projected lifetime Government support provided from the retirement income system</w:t>
      </w:r>
      <w:bookmarkEnd w:id="1039"/>
      <w:bookmarkEnd w:id="1040"/>
    </w:p>
    <w:p w14:paraId="11511F41" w14:textId="77777777" w:rsidR="00B3792F" w:rsidRPr="00027624" w:rsidRDefault="00A720B6" w:rsidP="009516BB">
      <w:pPr>
        <w:pStyle w:val="ChartGraphic"/>
      </w:pPr>
      <w:r>
        <w:rPr>
          <w:noProof/>
        </w:rPr>
        <w:drawing>
          <wp:inline distT="0" distB="0" distL="0" distR="0" wp14:anchorId="44EEF9B6" wp14:editId="1EEE9149">
            <wp:extent cx="5783580" cy="2522220"/>
            <wp:effectExtent l="0" t="0" r="7620" b="0"/>
            <wp:docPr id="771978738" name="Picture 771978738" descr="This chart shows the same distribution in 3A-11, with earnings tax concessions disaggregated into those received in working life, and those received in retirement. At all income percentiles, the majority of earnings tax concessions are received in working life. For higher-income earners, a greater proportion of lifetime Government support is through earnings tax concessions in retirement than those with lower incomes. " title="Chart 3A-12 Projected lifetime government support provided through the retirement income system, by earnings tax concessions in working life and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83580" cy="2522220"/>
                    </a:xfrm>
                    <a:prstGeom prst="rect">
                      <a:avLst/>
                    </a:prstGeom>
                    <a:noFill/>
                  </pic:spPr>
                </pic:pic>
              </a:graphicData>
            </a:graphic>
          </wp:inline>
        </w:drawing>
      </w:r>
    </w:p>
    <w:p w14:paraId="7028C180" w14:textId="77777777" w:rsidR="00B3792F" w:rsidRPr="00027624" w:rsidRDefault="00B3792F" w:rsidP="00B3792F">
      <w:pPr>
        <w:pStyle w:val="ChartorTableNote"/>
      </w:pPr>
      <w:r w:rsidRPr="00027624">
        <w:t>Note: Values are in 2019</w:t>
      </w:r>
      <w:r w:rsidR="00A8443E" w:rsidRPr="00027624">
        <w:noBreakHyphen/>
      </w:r>
      <w:r w:rsidRPr="00027624">
        <w:t xml:space="preserve">20 </w:t>
      </w:r>
      <w:r w:rsidRPr="00027624">
        <w:rPr>
          <w:szCs w:val="18"/>
        </w:rPr>
        <w:t>dollars, deflated using the review</w:t>
      </w:r>
      <w:r w:rsidR="00A8443E" w:rsidRPr="00027624">
        <w:rPr>
          <w:szCs w:val="18"/>
        </w:rPr>
        <w:t>’</w:t>
      </w:r>
      <w:r w:rsidRPr="00027624">
        <w:rPr>
          <w:szCs w:val="18"/>
        </w:rPr>
        <w:t>s GDP deflator</w:t>
      </w:r>
      <w:r w:rsidRPr="00027624">
        <w:t xml:space="preserve"> </w:t>
      </w:r>
      <w:r w:rsidRPr="00027624">
        <w:rPr>
          <w:szCs w:val="18"/>
        </w:rPr>
        <w:t xml:space="preserve">and uses review assumptions (see </w:t>
      </w:r>
      <w:r w:rsidR="00BD73BF" w:rsidRPr="00BD73BF">
        <w:rPr>
          <w:i/>
          <w:szCs w:val="18"/>
        </w:rPr>
        <w:t xml:space="preserve">Appendix </w:t>
      </w:r>
      <w:r w:rsidRPr="00027624">
        <w:rPr>
          <w:i/>
          <w:szCs w:val="18"/>
        </w:rPr>
        <w:t>6A. Detailed modelling methods and assumptions</w:t>
      </w:r>
      <w:r w:rsidRPr="00027624">
        <w:rPr>
          <w:szCs w:val="18"/>
        </w:rPr>
        <w:t>)</w:t>
      </w:r>
      <w:r w:rsidRPr="00027624">
        <w:t>. Source: Cameo modelling undertaken for the review.</w:t>
      </w:r>
    </w:p>
    <w:p w14:paraId="669430E0" w14:textId="77777777" w:rsidR="00B3792F" w:rsidRPr="00027624" w:rsidRDefault="00B3792F" w:rsidP="00B3792F">
      <w:pPr>
        <w:pStyle w:val="Heading3"/>
      </w:pPr>
      <w:bookmarkStart w:id="1041" w:name="_Toc40427616"/>
      <w:bookmarkStart w:id="1042" w:name="_Toc40458053"/>
      <w:bookmarkStart w:id="1043" w:name="_Toc40461822"/>
      <w:bookmarkStart w:id="1044" w:name="_Toc40474377"/>
      <w:bookmarkStart w:id="1045" w:name="_Toc40477906"/>
      <w:bookmarkStart w:id="1046" w:name="_Toc40521486"/>
      <w:bookmarkStart w:id="1047" w:name="_Toc40530345"/>
      <w:bookmarkStart w:id="1048" w:name="_Toc42778770"/>
      <w:bookmarkStart w:id="1049" w:name="_Toc42779910"/>
      <w:bookmarkStart w:id="1050" w:name="_Toc42780339"/>
      <w:bookmarkStart w:id="1051" w:name="_Toc42786329"/>
      <w:bookmarkStart w:id="1052" w:name="_Toc42791822"/>
      <w:bookmarkStart w:id="1053" w:name="_Toc42791984"/>
      <w:bookmarkStart w:id="1054" w:name="_Toc43117791"/>
      <w:bookmarkStart w:id="1055" w:name="_Toc43121430"/>
      <w:bookmarkStart w:id="1056" w:name="_Toc43122635"/>
      <w:bookmarkStart w:id="1057" w:name="_Toc43127690"/>
      <w:r w:rsidRPr="00027624">
        <w:t>Methodology for calculating lifetime Government support</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p>
    <w:p w14:paraId="5E23F86F" w14:textId="2A2B8DE7" w:rsidR="00B3792F" w:rsidRPr="00027624" w:rsidRDefault="00B3792F" w:rsidP="00B3792F">
      <w:r w:rsidRPr="00027624">
        <w:t xml:space="preserve">Both </w:t>
      </w:r>
      <w:r w:rsidRPr="00027624">
        <w:fldChar w:fldCharType="begin"/>
      </w:r>
      <w:r w:rsidRPr="00027624">
        <w:instrText xml:space="preserve"> REF _Ref36114098 \r \h  \* MERGEFORMAT </w:instrText>
      </w:r>
      <w:r w:rsidRPr="00027624">
        <w:fldChar w:fldCharType="separate"/>
      </w:r>
      <w:r w:rsidR="00891058">
        <w:t>Chart 3A-11</w:t>
      </w:r>
      <w:r w:rsidRPr="00027624">
        <w:fldChar w:fldCharType="end"/>
      </w:r>
      <w:r w:rsidRPr="00027624">
        <w:t xml:space="preserve"> and </w:t>
      </w:r>
      <w:r w:rsidRPr="00027624">
        <w:fldChar w:fldCharType="begin"/>
      </w:r>
      <w:r w:rsidRPr="00027624">
        <w:instrText xml:space="preserve"> REF _Ref42088512 \r \h  \* MERGEFORMAT </w:instrText>
      </w:r>
      <w:r w:rsidRPr="00027624">
        <w:fldChar w:fldCharType="separate"/>
      </w:r>
      <w:r w:rsidR="00891058">
        <w:t>Chart 3A-12</w:t>
      </w:r>
      <w:r w:rsidRPr="00027624">
        <w:fldChar w:fldCharType="end"/>
      </w:r>
      <w:r w:rsidRPr="00027624">
        <w:t xml:space="preserve"> are based on the same methodology as the analysis presented in the consultation paper to calculate lifetime Government support. Some stakeholders raised issues with the methodology, arguing that it overstates the size of superannuation tax concessions that higher</w:t>
      </w:r>
      <w:r w:rsidR="00A8443E" w:rsidRPr="00027624">
        <w:noBreakHyphen/>
      </w:r>
      <w:r w:rsidRPr="00027624">
        <w:t>income earners receive relative to lower</w:t>
      </w:r>
      <w:r w:rsidR="00A8443E" w:rsidRPr="00027624">
        <w:noBreakHyphen/>
      </w:r>
      <w:r w:rsidRPr="00027624">
        <w:t xml:space="preserve">income earners. A few stakeholders suggested the analysis should recognise that superannuation tax concessions reduce Age Pension expenditure (see </w:t>
      </w:r>
      <w:r w:rsidRPr="00027624">
        <w:rPr>
          <w:i/>
        </w:rPr>
        <w:t>4. Sustainability</w:t>
      </w:r>
      <w:r w:rsidRPr="00027624">
        <w:t>).</w:t>
      </w:r>
    </w:p>
    <w:p w14:paraId="24FEAC38" w14:textId="6522410C" w:rsidR="00B3792F" w:rsidRPr="00027624" w:rsidRDefault="00B3792F" w:rsidP="00B3792F">
      <w:r w:rsidRPr="00027624">
        <w:t xml:space="preserve">These issues are discussed in detail in the </w:t>
      </w:r>
      <w:r w:rsidRPr="00027624">
        <w:rPr>
          <w:i/>
        </w:rPr>
        <w:t>Annex</w:t>
      </w:r>
      <w:r w:rsidR="00A8443E" w:rsidRPr="00027624">
        <w:rPr>
          <w:i/>
        </w:rPr>
        <w:t xml:space="preserve"> — </w:t>
      </w:r>
      <w:r w:rsidR="00A51392" w:rsidRPr="00027624">
        <w:rPr>
          <w:i/>
        </w:rPr>
        <w:t>s</w:t>
      </w:r>
      <w:r w:rsidRPr="00027624">
        <w:rPr>
          <w:i/>
        </w:rPr>
        <w:t>takeholders</w:t>
      </w:r>
      <w:r w:rsidR="00A8443E" w:rsidRPr="00027624">
        <w:rPr>
          <w:i/>
        </w:rPr>
        <w:t>’</w:t>
      </w:r>
      <w:r w:rsidRPr="00027624">
        <w:rPr>
          <w:i/>
        </w:rPr>
        <w:t xml:space="preserve"> issues with lifetime Government support analysis</w:t>
      </w:r>
      <w:r w:rsidR="00EA23A0" w:rsidRPr="00027624">
        <w:rPr>
          <w:i/>
        </w:rPr>
        <w:t>.</w:t>
      </w:r>
      <w:r w:rsidRPr="00027624">
        <w:t xml:space="preserve"> </w:t>
      </w:r>
      <w:r w:rsidR="00EA23A0" w:rsidRPr="00027624">
        <w:t>I</w:t>
      </w:r>
      <w:r w:rsidRPr="00027624">
        <w:t xml:space="preserve">t is still considered that the best way to express lifetime Government support provided through the retirement income system is through the methodology used in </w:t>
      </w:r>
      <w:r w:rsidRPr="00027624">
        <w:fldChar w:fldCharType="begin"/>
      </w:r>
      <w:r w:rsidRPr="00027624">
        <w:instrText xml:space="preserve"> REF _Ref36114098 \r \h  \* MERGEFORMAT </w:instrText>
      </w:r>
      <w:r w:rsidRPr="00027624">
        <w:fldChar w:fldCharType="separate"/>
      </w:r>
      <w:r w:rsidR="00891058">
        <w:t>Chart 3A-11</w:t>
      </w:r>
      <w:r w:rsidRPr="00027624">
        <w:fldChar w:fldCharType="end"/>
      </w:r>
      <w:r w:rsidRPr="00027624">
        <w:t xml:space="preserve"> and </w:t>
      </w:r>
      <w:r w:rsidRPr="00027624">
        <w:fldChar w:fldCharType="begin"/>
      </w:r>
      <w:r w:rsidRPr="00027624">
        <w:instrText xml:space="preserve"> REF _Ref44874271 \r \h  \* MERGEFORMAT </w:instrText>
      </w:r>
      <w:r w:rsidRPr="00027624">
        <w:fldChar w:fldCharType="separate"/>
      </w:r>
      <w:r w:rsidR="00891058">
        <w:t>Chart 3A-12</w:t>
      </w:r>
      <w:r w:rsidRPr="00027624">
        <w:fldChar w:fldCharType="end"/>
      </w:r>
      <w:r w:rsidRPr="00027624">
        <w:t>. Moreover, even when stakeholders</w:t>
      </w:r>
      <w:r w:rsidR="00A8443E" w:rsidRPr="00027624">
        <w:t>’</w:t>
      </w:r>
      <w:r w:rsidRPr="00027624" w:rsidDel="009756A4">
        <w:t xml:space="preserve"> issues</w:t>
      </w:r>
      <w:r w:rsidRPr="00027624">
        <w:t xml:space="preserve"> are taken into account, these charts do not change significantly.</w:t>
      </w:r>
    </w:p>
    <w:p w14:paraId="5921976A" w14:textId="77777777" w:rsidR="00B3792F" w:rsidRPr="00027624" w:rsidRDefault="00B3792F" w:rsidP="00B3792F">
      <w:pPr>
        <w:pStyle w:val="Heading2"/>
      </w:pPr>
      <w:bookmarkStart w:id="1058" w:name="_Toc40278925"/>
      <w:bookmarkStart w:id="1059" w:name="_Toc40280521"/>
      <w:bookmarkStart w:id="1060" w:name="_Toc40366101"/>
      <w:bookmarkStart w:id="1061" w:name="_Toc40369647"/>
      <w:bookmarkStart w:id="1062" w:name="_Toc40427617"/>
      <w:bookmarkStart w:id="1063" w:name="_Toc40458054"/>
      <w:bookmarkStart w:id="1064" w:name="_Toc40461823"/>
      <w:bookmarkStart w:id="1065" w:name="_Toc40474378"/>
      <w:bookmarkStart w:id="1066" w:name="_Toc40477907"/>
      <w:bookmarkStart w:id="1067" w:name="_Toc40521487"/>
      <w:bookmarkStart w:id="1068" w:name="_Toc40530346"/>
      <w:bookmarkStart w:id="1069" w:name="_Toc42778771"/>
      <w:bookmarkStart w:id="1070" w:name="_Toc42779911"/>
      <w:bookmarkStart w:id="1071" w:name="_Toc42780340"/>
      <w:bookmarkStart w:id="1072" w:name="_Toc42786330"/>
      <w:bookmarkStart w:id="1073" w:name="_Toc42791823"/>
      <w:bookmarkStart w:id="1074" w:name="_Toc42791985"/>
      <w:bookmarkStart w:id="1075" w:name="_Toc43117792"/>
      <w:bookmarkStart w:id="1076" w:name="_Toc43121431"/>
      <w:bookmarkStart w:id="1077" w:name="_Toc43122636"/>
      <w:bookmarkStart w:id="1078" w:name="_Toc43127691"/>
      <w:bookmarkStart w:id="1079" w:name="_Toc45520490"/>
      <w:bookmarkStart w:id="1080" w:name="_Toc46133601"/>
      <w:r w:rsidRPr="00027624">
        <w:t>Other government benefits provided to people aged 65 and over</w:t>
      </w:r>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p>
    <w:p w14:paraId="78BAAAC0" w14:textId="77777777" w:rsidR="00B3792F" w:rsidRPr="00027624" w:rsidRDefault="00B3792F" w:rsidP="00B3792F">
      <w:pPr>
        <w:pStyle w:val="Heading3"/>
      </w:pPr>
      <w:bookmarkStart w:id="1081" w:name="_Toc40278926"/>
      <w:bookmarkStart w:id="1082" w:name="_Toc40280522"/>
      <w:bookmarkStart w:id="1083" w:name="_Toc40366102"/>
      <w:bookmarkStart w:id="1084" w:name="_Toc40369648"/>
      <w:bookmarkStart w:id="1085" w:name="_Toc40427618"/>
      <w:bookmarkStart w:id="1086" w:name="_Toc40458055"/>
      <w:bookmarkStart w:id="1087" w:name="_Toc40461824"/>
      <w:bookmarkStart w:id="1088" w:name="_Toc40474379"/>
      <w:bookmarkStart w:id="1089" w:name="_Toc40477908"/>
      <w:bookmarkStart w:id="1090" w:name="_Toc40521488"/>
      <w:bookmarkStart w:id="1091" w:name="_Toc40530347"/>
      <w:bookmarkStart w:id="1092" w:name="_Toc42778772"/>
      <w:bookmarkStart w:id="1093" w:name="_Toc42779912"/>
      <w:bookmarkStart w:id="1094" w:name="_Toc42780341"/>
      <w:bookmarkStart w:id="1095" w:name="_Toc42786331"/>
      <w:bookmarkStart w:id="1096" w:name="_Toc42791824"/>
      <w:bookmarkStart w:id="1097" w:name="_Toc42791986"/>
      <w:bookmarkStart w:id="1098" w:name="_Toc43117793"/>
      <w:bookmarkStart w:id="1099" w:name="_Toc43121432"/>
      <w:bookmarkStart w:id="1100" w:name="_Toc43122637"/>
      <w:bookmarkStart w:id="1101" w:name="_Toc43127692"/>
      <w:r w:rsidRPr="00027624">
        <w:t>Social transfers in kind</w:t>
      </w:r>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p>
    <w:p w14:paraId="2C358183" w14:textId="50484688" w:rsidR="00B3792F" w:rsidRPr="00027624" w:rsidRDefault="00B3792F" w:rsidP="00B3792F">
      <w:r w:rsidRPr="00027624">
        <w:rPr>
          <w:b/>
        </w:rPr>
        <w:t>Social transfers in kind generally decrease as income and wealth increase</w:t>
      </w:r>
      <w:r w:rsidRPr="00027624">
        <w:t xml:space="preserve"> (</w:t>
      </w:r>
      <w:r w:rsidRPr="00027624">
        <w:fldChar w:fldCharType="begin"/>
      </w:r>
      <w:r w:rsidRPr="00027624">
        <w:instrText xml:space="preserve"> REF _Ref39596925 \r \h  \* MERGEFORMAT </w:instrText>
      </w:r>
      <w:r w:rsidRPr="00027624">
        <w:fldChar w:fldCharType="separate"/>
      </w:r>
      <w:r w:rsidR="00891058">
        <w:t>Chart 3A-13</w:t>
      </w:r>
      <w:r w:rsidRPr="00027624">
        <w:fldChar w:fldCharType="end"/>
      </w:r>
      <w:r w:rsidRPr="00027624">
        <w:t>).</w:t>
      </w:r>
      <w:r w:rsidRPr="00027624">
        <w:rPr>
          <w:rStyle w:val="FootnoteReference"/>
        </w:rPr>
        <w:footnoteReference w:id="137"/>
      </w:r>
      <w:r w:rsidRPr="00027624">
        <w:t xml:space="preserve"> Households in the lower quintiles for income or wealth receive more social transfers in kind than those in the highest quintile for income and wealth. This is because households in lower quintiles are likely to receive the Pensioner Concession Card (see</w:t>
      </w:r>
      <w:r w:rsidRPr="00027624">
        <w:rPr>
          <w:i/>
        </w:rPr>
        <w:t xml:space="preserve"> 1B. Design of Australia</w:t>
      </w:r>
      <w:r w:rsidR="00A8443E" w:rsidRPr="00027624">
        <w:rPr>
          <w:i/>
        </w:rPr>
        <w:t>’</w:t>
      </w:r>
      <w:r w:rsidRPr="00027624">
        <w:rPr>
          <w:i/>
        </w:rPr>
        <w:t xml:space="preserve">s retirement income system </w:t>
      </w:r>
      <w:r w:rsidRPr="00027624">
        <w:t>for more information about the eligibility criteria and concessions provided by</w:t>
      </w:r>
      <w:r w:rsidRPr="00027624" w:rsidDel="00041E24">
        <w:t xml:space="preserve"> </w:t>
      </w:r>
      <w:r w:rsidRPr="00027624">
        <w:t>concession cards).</w:t>
      </w:r>
    </w:p>
    <w:p w14:paraId="1BB63883" w14:textId="77777777" w:rsidR="00B3792F" w:rsidRPr="00027624" w:rsidRDefault="00B3792F" w:rsidP="00B3792F">
      <w:r w:rsidRPr="00027624">
        <w:lastRenderedPageBreak/>
        <w:t>Households</w:t>
      </w:r>
      <w:r w:rsidRPr="00027624" w:rsidDel="00F41D25">
        <w:t xml:space="preserve"> </w:t>
      </w:r>
      <w:r w:rsidRPr="00027624">
        <w:t>in the highest quintile for income and wealth</w:t>
      </w:r>
      <w:r w:rsidRPr="00027624" w:rsidDel="00F41D25">
        <w:t xml:space="preserve"> </w:t>
      </w:r>
      <w:r w:rsidRPr="00027624">
        <w:t>still receive substantial social transfers in kind because some aspects of both the Medicare Benefits Scheme and Pharmaceutical Benefits Scheme are available to everyone. Some of these households may also benefit from concession cards,</w:t>
      </w:r>
      <w:r w:rsidRPr="00027624">
        <w:rPr>
          <w:rStyle w:val="FootnoteReference"/>
        </w:rPr>
        <w:footnoteReference w:id="138"/>
      </w:r>
      <w:r w:rsidRPr="00027624">
        <w:t xml:space="preserve"> which in June 2019 were held by around 81 per cent of people over Age Pension eligibility age.</w:t>
      </w:r>
      <w:r w:rsidRPr="00027624">
        <w:rPr>
          <w:rStyle w:val="FootnoteReference"/>
        </w:rPr>
        <w:footnoteReference w:id="139"/>
      </w:r>
      <w:r w:rsidRPr="00027624">
        <w:t xml:space="preserve"> Social transfers in kind are likely to be less significant, as a proportion of income, for households in the highest quintile</w:t>
      </w:r>
      <w:r w:rsidRPr="00027624" w:rsidDel="009756A4">
        <w:t xml:space="preserve"> </w:t>
      </w:r>
      <w:r w:rsidRPr="00027624">
        <w:t>of income or wealth than those in lower quintiles.</w:t>
      </w:r>
    </w:p>
    <w:p w14:paraId="38A2BCBA" w14:textId="0299F019" w:rsidR="00B3792F" w:rsidRPr="00027624" w:rsidRDefault="00B3792F" w:rsidP="00B3792F">
      <w:r w:rsidRPr="00027624">
        <w:t xml:space="preserve">Average social transfers in kind received by households vary based on the state or territory of residence. For example, they are 46 per cent higher than the national average in the Northern Territory, and 8 per cent lower in Victoria </w:t>
      </w:r>
      <w:sdt>
        <w:sdtPr>
          <w:id w:val="1806735831"/>
          <w:citation/>
        </w:sdtPr>
        <w:sdtEndPr/>
        <w:sdtContent>
          <w:r w:rsidRPr="00027624">
            <w:fldChar w:fldCharType="begin"/>
          </w:r>
          <w:r w:rsidRPr="00027624">
            <w:instrText xml:space="preserve"> CITATION ABS18 \l 3081 </w:instrText>
          </w:r>
          <w:r w:rsidRPr="00027624">
            <w:fldChar w:fldCharType="separate"/>
          </w:r>
          <w:r w:rsidR="00E83F6E">
            <w:rPr>
              <w:noProof/>
            </w:rPr>
            <w:t>(ABS, 2018c)</w:t>
          </w:r>
          <w:r w:rsidRPr="00027624">
            <w:fldChar w:fldCharType="end"/>
          </w:r>
        </w:sdtContent>
      </w:sdt>
      <w:r w:rsidR="00746218">
        <w:t xml:space="preserve"> (see </w:t>
      </w:r>
      <w:r w:rsidR="00746218">
        <w:fldChar w:fldCharType="begin"/>
      </w:r>
      <w:r w:rsidR="00746218">
        <w:instrText xml:space="preserve"> REF _Ref45826413 \r \h </w:instrText>
      </w:r>
      <w:r w:rsidR="00746218">
        <w:fldChar w:fldCharType="separate"/>
      </w:r>
      <w:r w:rsidR="00891058">
        <w:t>Chart 6D-1</w:t>
      </w:r>
      <w:r w:rsidR="00746218">
        <w:fldChar w:fldCharType="end"/>
      </w:r>
      <w:r w:rsidR="00746218">
        <w:t>)</w:t>
      </w:r>
      <w:r w:rsidRPr="00027624">
        <w:t>. This may partly explain why social transfers in kind do not always decline as household wealth rises.</w:t>
      </w:r>
    </w:p>
    <w:p w14:paraId="562EFBD1" w14:textId="77777777" w:rsidR="00B3792F" w:rsidRPr="00027624" w:rsidRDefault="00B3792F" w:rsidP="00FC7361">
      <w:pPr>
        <w:pStyle w:val="ChartMainHeading"/>
        <w:numPr>
          <w:ilvl w:val="2"/>
          <w:numId w:val="46"/>
        </w:numPr>
      </w:pPr>
      <w:bookmarkStart w:id="1102" w:name="_Ref39596925"/>
      <w:bookmarkStart w:id="1103" w:name="_Toc40278927"/>
      <w:bookmarkStart w:id="1104" w:name="_Ref44520453"/>
      <w:r w:rsidRPr="00027624">
        <w:t>Average weekly social transfers in kind for households aged 65 and over</w:t>
      </w:r>
      <w:bookmarkEnd w:id="1102"/>
      <w:bookmarkEnd w:id="1103"/>
      <w:bookmarkEnd w:id="1104"/>
    </w:p>
    <w:tbl>
      <w:tblPr>
        <w:tblW w:w="5000" w:type="pct"/>
        <w:tblLook w:val="01E0" w:firstRow="1" w:lastRow="1" w:firstColumn="1" w:lastColumn="1" w:noHBand="0" w:noVBand="0"/>
      </w:tblPr>
      <w:tblGrid>
        <w:gridCol w:w="4535"/>
        <w:gridCol w:w="4535"/>
      </w:tblGrid>
      <w:tr w:rsidR="00B3792F" w:rsidRPr="00027624" w14:paraId="7CB544B2" w14:textId="77777777" w:rsidTr="00B3792F">
        <w:trPr>
          <w:tblHeader/>
        </w:trPr>
        <w:tc>
          <w:tcPr>
            <w:tcW w:w="2500" w:type="pct"/>
            <w:shd w:val="clear" w:color="auto" w:fill="auto"/>
          </w:tcPr>
          <w:p w14:paraId="637F6F5E" w14:textId="77777777" w:rsidR="00B3792F" w:rsidRPr="00027624" w:rsidRDefault="00B3792F" w:rsidP="00B3792F">
            <w:pPr>
              <w:pStyle w:val="ChartSecondHeading"/>
            </w:pPr>
            <w:r w:rsidRPr="00027624">
              <w:t>Private income</w:t>
            </w:r>
          </w:p>
        </w:tc>
        <w:tc>
          <w:tcPr>
            <w:tcW w:w="2500" w:type="pct"/>
            <w:shd w:val="clear" w:color="auto" w:fill="auto"/>
          </w:tcPr>
          <w:p w14:paraId="2AE05F50" w14:textId="77777777" w:rsidR="00B3792F" w:rsidRPr="00027624" w:rsidRDefault="00B3792F" w:rsidP="00B3792F">
            <w:pPr>
              <w:pStyle w:val="ChartSecondHeading"/>
            </w:pPr>
            <w:r w:rsidRPr="00027624">
              <w:t>Net wealth</w:t>
            </w:r>
          </w:p>
        </w:tc>
      </w:tr>
      <w:tr w:rsidR="00B3792F" w:rsidRPr="00027624" w14:paraId="3BFFAB9A" w14:textId="77777777" w:rsidTr="00F45F7F">
        <w:trPr>
          <w:trHeight w:val="4539"/>
          <w:tblHeader/>
        </w:trPr>
        <w:tc>
          <w:tcPr>
            <w:tcW w:w="2500" w:type="pct"/>
            <w:shd w:val="clear" w:color="auto" w:fill="auto"/>
            <w:tcMar>
              <w:left w:w="0" w:type="dxa"/>
              <w:right w:w="0" w:type="dxa"/>
            </w:tcMar>
          </w:tcPr>
          <w:p w14:paraId="51194930" w14:textId="77777777" w:rsidR="00B3792F" w:rsidRPr="00027624" w:rsidRDefault="00A720B6" w:rsidP="009516BB">
            <w:pPr>
              <w:pStyle w:val="ChartGraphic"/>
            </w:pPr>
            <w:r>
              <w:rPr>
                <w:noProof/>
              </w:rPr>
              <w:drawing>
                <wp:inline distT="0" distB="0" distL="0" distR="0" wp14:anchorId="41487303" wp14:editId="13711D99">
                  <wp:extent cx="2880360" cy="2880360"/>
                  <wp:effectExtent l="0" t="0" r="0" b="0"/>
                  <wp:docPr id="771978739" name="Picture 771978739" descr="This chart shows that the average weekly social transfers in kind for households aged 65 and over decrease as incomes increase. Those in the 1st quintile of household income receive around $550 in weekly social transfers in kind. Those in the 5th quintile of household income receive around $350 in weekly social transfers in kind. " title="Privat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2500" w:type="pct"/>
            <w:shd w:val="clear" w:color="auto" w:fill="auto"/>
            <w:tcMar>
              <w:left w:w="0" w:type="dxa"/>
              <w:right w:w="0" w:type="dxa"/>
            </w:tcMar>
          </w:tcPr>
          <w:p w14:paraId="52199F43" w14:textId="77777777" w:rsidR="00B3792F" w:rsidRPr="00027624" w:rsidRDefault="00A720B6" w:rsidP="009516BB">
            <w:pPr>
              <w:pStyle w:val="ChartGraphic"/>
            </w:pPr>
            <w:r>
              <w:rPr>
                <w:noProof/>
              </w:rPr>
              <w:drawing>
                <wp:inline distT="0" distB="0" distL="0" distR="0" wp14:anchorId="75893272" wp14:editId="2B6144A3">
                  <wp:extent cx="2880360" cy="2880360"/>
                  <wp:effectExtent l="0" t="0" r="0" b="0"/>
                  <wp:docPr id="771978740" name="Picture 771978740" descr="This chart shows that the average weekly social transfers in kind for households aged 65 and over changes as net wealth increases. The amount received increases from the 1st to the 3rd quintile and then decreases. Those in the 1st quintile of household net wealth receive around $550 in weekly social transfers in kind. Those in the 3rd quintile of household net wealth receive around $600 in weekly social transfers in kind. Those in the 5th quintile of household net wealth receive around $400 in weekly social transfers in kind." title="Net w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r>
    </w:tbl>
    <w:p w14:paraId="5A66F9C0" w14:textId="77777777" w:rsidR="00B3792F" w:rsidRPr="00027624" w:rsidRDefault="00B3792F" w:rsidP="00B3792F">
      <w:pPr>
        <w:pStyle w:val="ChartorTableNote"/>
      </w:pPr>
      <w:r w:rsidRPr="00027624">
        <w:t>Note: Captures social transfers in kind in 2017</w:t>
      </w:r>
      <w:r w:rsidR="00A8443E" w:rsidRPr="00027624">
        <w:noBreakHyphen/>
      </w:r>
      <w:r w:rsidRPr="00027624">
        <w:t xml:space="preserve">18. Uses </w:t>
      </w:r>
      <w:r w:rsidR="00A8443E" w:rsidRPr="00027624">
        <w:t>‘</w:t>
      </w:r>
      <w:r w:rsidRPr="00027624">
        <w:t>equivalised</w:t>
      </w:r>
      <w:r w:rsidR="00A8443E" w:rsidRPr="00027624">
        <w:t>’</w:t>
      </w:r>
      <w:r w:rsidRPr="00027624">
        <w:t xml:space="preserve"> social transfers in kind so results are not biased due to differences in the size of households. Age of household is equal to the age of the household</w:t>
      </w:r>
      <w:r w:rsidR="00A8443E" w:rsidRPr="00027624">
        <w:t>’</w:t>
      </w:r>
      <w:r w:rsidRPr="00027624">
        <w:t>s reference person. Source: Analysis of Survey of Income and Housing, 2017</w:t>
      </w:r>
      <w:r w:rsidR="00A8443E" w:rsidRPr="00027624">
        <w:noBreakHyphen/>
      </w:r>
      <w:r w:rsidR="002A74C8" w:rsidRPr="00027624">
        <w:t>18.</w:t>
      </w:r>
    </w:p>
    <w:p w14:paraId="3B882D8A" w14:textId="77777777" w:rsidR="00B3792F" w:rsidRPr="00027624" w:rsidRDefault="00B3792F" w:rsidP="00B3792F">
      <w:pPr>
        <w:pStyle w:val="Heading3"/>
      </w:pPr>
      <w:bookmarkStart w:id="1105" w:name="_Toc40278928"/>
      <w:bookmarkStart w:id="1106" w:name="_Toc40280523"/>
      <w:bookmarkStart w:id="1107" w:name="_Toc40366103"/>
      <w:bookmarkStart w:id="1108" w:name="_Toc40369649"/>
      <w:bookmarkStart w:id="1109" w:name="_Toc40427619"/>
      <w:bookmarkStart w:id="1110" w:name="_Toc40458056"/>
      <w:bookmarkStart w:id="1111" w:name="_Toc40461825"/>
      <w:bookmarkStart w:id="1112" w:name="_Toc40474380"/>
      <w:bookmarkStart w:id="1113" w:name="_Toc40477909"/>
      <w:bookmarkStart w:id="1114" w:name="_Toc40521489"/>
      <w:bookmarkStart w:id="1115" w:name="_Toc40530348"/>
      <w:bookmarkStart w:id="1116" w:name="_Toc42778773"/>
      <w:bookmarkStart w:id="1117" w:name="_Toc42779913"/>
      <w:bookmarkStart w:id="1118" w:name="_Toc42780342"/>
      <w:bookmarkStart w:id="1119" w:name="_Toc42786332"/>
      <w:bookmarkStart w:id="1120" w:name="_Toc42791825"/>
      <w:bookmarkStart w:id="1121" w:name="_Toc42791987"/>
      <w:bookmarkStart w:id="1122" w:name="_Toc43117794"/>
      <w:bookmarkStart w:id="1123" w:name="_Toc43121433"/>
      <w:bookmarkStart w:id="1124" w:name="_Toc43122638"/>
      <w:bookmarkStart w:id="1125" w:name="_Toc43127693"/>
      <w:r w:rsidRPr="00027624">
        <w:t>Concessions for older Australians through the personal income tax system</w:t>
      </w:r>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p>
    <w:p w14:paraId="7247EB76" w14:textId="77777777" w:rsidR="00B3792F" w:rsidRPr="00027624" w:rsidRDefault="00B3792F" w:rsidP="00B3792F">
      <w:r w:rsidRPr="00027624">
        <w:rPr>
          <w:b/>
          <w:bCs/>
        </w:rPr>
        <w:t xml:space="preserve">The </w:t>
      </w:r>
      <w:r w:rsidRPr="00027624">
        <w:rPr>
          <w:b/>
        </w:rPr>
        <w:t>seniors and pensioners tax offset</w:t>
      </w:r>
      <w:r w:rsidRPr="00027624">
        <w:rPr>
          <w:b/>
          <w:bCs/>
        </w:rPr>
        <w:t xml:space="preserve"> results in some </w:t>
      </w:r>
      <w:r w:rsidR="001023AA" w:rsidRPr="00027624">
        <w:rPr>
          <w:b/>
        </w:rPr>
        <w:t>older Australians</w:t>
      </w:r>
      <w:r w:rsidRPr="00027624">
        <w:rPr>
          <w:b/>
          <w:bCs/>
        </w:rPr>
        <w:t xml:space="preserve"> paying less income tax than a working</w:t>
      </w:r>
      <w:r w:rsidR="00A8443E" w:rsidRPr="00027624">
        <w:rPr>
          <w:b/>
          <w:bCs/>
        </w:rPr>
        <w:noBreakHyphen/>
      </w:r>
      <w:r w:rsidRPr="00027624">
        <w:rPr>
          <w:b/>
          <w:bCs/>
        </w:rPr>
        <w:t>age Australian on the same income</w:t>
      </w:r>
      <w:r w:rsidRPr="00027624">
        <w:t>. For example, a single senior Australian eligible for the seniors and pensioners tax offset who earns $35,000 in 2018</w:t>
      </w:r>
      <w:r w:rsidR="00A8443E" w:rsidRPr="00027624">
        <w:noBreakHyphen/>
      </w:r>
      <w:r w:rsidRPr="00027624">
        <w:t>19 would pay $602 in income tax. Yet, a single working</w:t>
      </w:r>
      <w:r w:rsidR="00A8443E" w:rsidRPr="00027624">
        <w:noBreakHyphen/>
      </w:r>
      <w:r w:rsidRPr="00027624">
        <w:t>age Australian not eligible for the seniors and pensioners tax offset who earns the same income would pay $2,492.</w:t>
      </w:r>
      <w:r w:rsidRPr="00027624">
        <w:rPr>
          <w:rStyle w:val="FootnoteReference"/>
        </w:rPr>
        <w:footnoteReference w:id="140"/>
      </w:r>
    </w:p>
    <w:p w14:paraId="4C20F006" w14:textId="22881474" w:rsidR="00B3792F" w:rsidRPr="00027624" w:rsidRDefault="00B3792F" w:rsidP="00B3792F">
      <w:r w:rsidRPr="00027624">
        <w:t>As the seniors and pensioners tax offset is non</w:t>
      </w:r>
      <w:r w:rsidR="00A8443E" w:rsidRPr="00027624">
        <w:noBreakHyphen/>
      </w:r>
      <w:r w:rsidRPr="00027624">
        <w:t>refundable, people with low levels of retirement savings</w:t>
      </w:r>
      <w:r w:rsidR="00A8443E" w:rsidRPr="00027624">
        <w:t xml:space="preserve"> — </w:t>
      </w:r>
      <w:r w:rsidRPr="00027624">
        <w:t>and who receive the maximum rate of Age Pension</w:t>
      </w:r>
      <w:r w:rsidR="00A8443E" w:rsidRPr="00027624">
        <w:t xml:space="preserve"> — </w:t>
      </w:r>
      <w:r w:rsidRPr="00027624">
        <w:t xml:space="preserve">cannot use the maximum value of </w:t>
      </w:r>
      <w:r w:rsidRPr="00027624">
        <w:lastRenderedPageBreak/>
        <w:t>the offset.</w:t>
      </w:r>
      <w:r w:rsidRPr="00027624">
        <w:rPr>
          <w:rStyle w:val="FootnoteReference"/>
        </w:rPr>
        <w:footnoteReference w:id="141"/>
      </w:r>
      <w:r w:rsidRPr="00027624">
        <w:t xml:space="preserve"> As a result, people with higher levels of retirement savings, and who are in the 6</w:t>
      </w:r>
      <w:r w:rsidRPr="00027624">
        <w:rPr>
          <w:vertAlign w:val="superscript"/>
        </w:rPr>
        <w:t>th</w:t>
      </w:r>
      <w:r w:rsidRPr="00027624">
        <w:t xml:space="preserve"> and 7</w:t>
      </w:r>
      <w:r w:rsidRPr="00027624">
        <w:rPr>
          <w:vertAlign w:val="superscript"/>
        </w:rPr>
        <w:t>th</w:t>
      </w:r>
      <w:r w:rsidRPr="00027624">
        <w:t xml:space="preserve"> deciles of the taxable income distribution, receive the largest benefit from the seniors and pensioners tax offset (</w:t>
      </w:r>
      <w:r w:rsidRPr="00027624">
        <w:fldChar w:fldCharType="begin"/>
      </w:r>
      <w:r w:rsidRPr="00027624">
        <w:instrText xml:space="preserve"> REF _Ref36116757 \r \h  \* MERGEFORMAT </w:instrText>
      </w:r>
      <w:r w:rsidRPr="00027624">
        <w:fldChar w:fldCharType="separate"/>
      </w:r>
      <w:r w:rsidR="00891058">
        <w:t>Chart 3A-14</w:t>
      </w:r>
      <w:r w:rsidRPr="00027624">
        <w:fldChar w:fldCharType="end"/>
      </w:r>
      <w:r w:rsidRPr="00027624">
        <w:t xml:space="preserve">). The total cost of the seniors and pensioners tax offset is estimated in </w:t>
      </w:r>
      <w:r w:rsidRPr="00027624">
        <w:rPr>
          <w:i/>
        </w:rPr>
        <w:t>4. Sustainability</w:t>
      </w:r>
      <w:r w:rsidRPr="00027624">
        <w:t>.</w:t>
      </w:r>
    </w:p>
    <w:p w14:paraId="26A4EE39" w14:textId="77777777" w:rsidR="00B3792F" w:rsidRPr="00027624" w:rsidRDefault="00B3792F" w:rsidP="00FC7361">
      <w:pPr>
        <w:pStyle w:val="ChartMainHeading"/>
        <w:numPr>
          <w:ilvl w:val="2"/>
          <w:numId w:val="46"/>
        </w:numPr>
      </w:pPr>
      <w:bookmarkStart w:id="1126" w:name="_Ref36116757"/>
      <w:bookmarkStart w:id="1127" w:name="_Toc40278929"/>
      <w:r w:rsidRPr="00027624">
        <w:t>Average taxable income of people aged 65 and over, by taxable income decile</w:t>
      </w:r>
      <w:bookmarkEnd w:id="1126"/>
      <w:bookmarkEnd w:id="1127"/>
    </w:p>
    <w:p w14:paraId="2053C498" w14:textId="77777777" w:rsidR="00B3792F" w:rsidRPr="00027624" w:rsidRDefault="00A720B6" w:rsidP="009516BB">
      <w:pPr>
        <w:pStyle w:val="ChartGraphic"/>
      </w:pPr>
      <w:r>
        <w:rPr>
          <w:noProof/>
        </w:rPr>
        <w:drawing>
          <wp:inline distT="0" distB="0" distL="0" distR="0" wp14:anchorId="4D92F98E" wp14:editId="1A7C9C59">
            <wp:extent cx="5600700" cy="2560320"/>
            <wp:effectExtent l="0" t="0" r="0" b="0"/>
            <wp:docPr id="771978743" name="Picture 771978743" descr="This chart shows that the average seniors and pensioners tax offset benefit is largest for those at the 6th and 7th taxable income deciles. Those at lower or higher income deciles do not benefit much, if at all, from the offset. " title="Chart 3A-14 Average taxable income of people aged 65 and over, by taxable income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00700" cy="2560320"/>
                    </a:xfrm>
                    <a:prstGeom prst="rect">
                      <a:avLst/>
                    </a:prstGeom>
                    <a:noFill/>
                  </pic:spPr>
                </pic:pic>
              </a:graphicData>
            </a:graphic>
          </wp:inline>
        </w:drawing>
      </w:r>
    </w:p>
    <w:p w14:paraId="48A9C46C" w14:textId="77777777" w:rsidR="00B3792F" w:rsidRPr="00027624" w:rsidRDefault="00B3792F" w:rsidP="009516BB">
      <w:pPr>
        <w:pStyle w:val="ChartorTableNote"/>
      </w:pPr>
      <w:r w:rsidRPr="00027624">
        <w:t>Note: Excludes the tenth decile due to scale. Only captures people who lodged an income tax return in 2013</w:t>
      </w:r>
      <w:r w:rsidR="00A8443E" w:rsidRPr="00027624">
        <w:noBreakHyphen/>
      </w:r>
      <w:r w:rsidRPr="00027624">
        <w:t>14. Data provided by the ATO for the review highlights that in 2017</w:t>
      </w:r>
      <w:r w:rsidR="00A8443E" w:rsidRPr="00027624">
        <w:noBreakHyphen/>
      </w:r>
      <w:r w:rsidRPr="00027624">
        <w:t>18, around 2.5 million people aged 65 and over did not lodge an income tax return as their income was less than the effective tax</w:t>
      </w:r>
      <w:r w:rsidR="00A8443E" w:rsidRPr="00027624">
        <w:noBreakHyphen/>
      </w:r>
      <w:r w:rsidRPr="00027624">
        <w:t>free threshold. As the tax</w:t>
      </w:r>
      <w:r w:rsidR="00A8443E" w:rsidRPr="00027624">
        <w:noBreakHyphen/>
      </w:r>
      <w:r w:rsidRPr="00027624">
        <w:t>free threshold is higher due to the seniors and pensioners tax offset, this means many people who benefited from the seniors and pensioners tax offset</w:t>
      </w:r>
      <w:r w:rsidRPr="00027624" w:rsidDel="00FE7241">
        <w:t xml:space="preserve"> </w:t>
      </w:r>
      <w:r w:rsidRPr="00027624">
        <w:t xml:space="preserve">may not lodge a tax return. Source: Replication of </w:t>
      </w:r>
      <w:sdt>
        <w:sdtPr>
          <w:id w:val="-1293208302"/>
          <w:citation/>
        </w:sdtPr>
        <w:sdtEndPr/>
        <w:sdtContent>
          <w:r w:rsidRPr="00027624">
            <w:fldChar w:fldCharType="begin"/>
          </w:r>
          <w:r w:rsidRPr="00027624">
            <w:instrText xml:space="preserve">CITATION Gra16 \l 3081 </w:instrText>
          </w:r>
          <w:r w:rsidRPr="00027624">
            <w:fldChar w:fldCharType="separate"/>
          </w:r>
          <w:r w:rsidR="00E83F6E">
            <w:rPr>
              <w:noProof/>
            </w:rPr>
            <w:t>(Daley, et al., 2016)</w:t>
          </w:r>
          <w:r w:rsidRPr="00027624">
            <w:fldChar w:fldCharType="end"/>
          </w:r>
        </w:sdtContent>
      </w:sdt>
      <w:r w:rsidRPr="00027624">
        <w:t>, which is derived from taxation statistics 2013</w:t>
      </w:r>
      <w:r w:rsidR="00A8443E" w:rsidRPr="00027624">
        <w:noBreakHyphen/>
      </w:r>
      <w:r w:rsidRPr="00027624">
        <w:t>14 individuals</w:t>
      </w:r>
      <w:r w:rsidR="00A8443E" w:rsidRPr="00027624">
        <w:t>’</w:t>
      </w:r>
      <w:r w:rsidRPr="00027624">
        <w:t xml:space="preserve"> sample file. </w:t>
      </w:r>
    </w:p>
    <w:p w14:paraId="33E14ED5" w14:textId="6D7820CC" w:rsidR="00B3792F" w:rsidRDefault="00B3792F" w:rsidP="00B3792F">
      <w:r w:rsidRPr="00027624">
        <w:t>Superannuation benefits that are tax</w:t>
      </w:r>
      <w:r w:rsidR="00A8443E" w:rsidRPr="00027624">
        <w:noBreakHyphen/>
      </w:r>
      <w:r w:rsidRPr="00027624">
        <w:t>free are excluded from the seniors and pensioners tax offset</w:t>
      </w:r>
      <w:r w:rsidR="00A8443E" w:rsidRPr="00027624">
        <w:t>’</w:t>
      </w:r>
      <w:r w:rsidRPr="00027624">
        <w:t>s income test. This meant just under 30 per cent of people with a superannuation balance of $2 million and over accessed the seniors and pensioners tax offset in 2017</w:t>
      </w:r>
      <w:r w:rsidR="00A8443E" w:rsidRPr="00027624">
        <w:noBreakHyphen/>
      </w:r>
      <w:r w:rsidRPr="00027624">
        <w:t>18 (</w:t>
      </w:r>
      <w:r w:rsidRPr="00027624">
        <w:fldChar w:fldCharType="begin"/>
      </w:r>
      <w:r w:rsidRPr="00027624">
        <w:instrText xml:space="preserve"> REF _Ref36116824 \r \h  \* MERGEFORMAT </w:instrText>
      </w:r>
      <w:r w:rsidRPr="00027624">
        <w:fldChar w:fldCharType="separate"/>
      </w:r>
      <w:r w:rsidR="00891058">
        <w:t>Chart 3A-15</w:t>
      </w:r>
      <w:r w:rsidRPr="00027624">
        <w:fldChar w:fldCharType="end"/>
      </w:r>
      <w:r w:rsidRPr="00027624">
        <w:t>). In 2017</w:t>
      </w:r>
      <w:r w:rsidR="00A8443E" w:rsidRPr="00027624">
        <w:noBreakHyphen/>
      </w:r>
      <w:r w:rsidRPr="00027624">
        <w:t>18, the average superannuation balance of people aged 65</w:t>
      </w:r>
      <w:r w:rsidR="00A8443E" w:rsidRPr="00027624">
        <w:noBreakHyphen/>
      </w:r>
      <w:r w:rsidRPr="00027624">
        <w:t xml:space="preserve">69 who lodged a tax return and accessed </w:t>
      </w:r>
      <w:r w:rsidR="00632966" w:rsidRPr="00027624">
        <w:t xml:space="preserve">the </w:t>
      </w:r>
      <w:r w:rsidRPr="00027624">
        <w:t>seniors and pensioners tax offset was about $230,000.</w:t>
      </w:r>
      <w:r w:rsidR="00632966" w:rsidRPr="00027624">
        <w:rPr>
          <w:rStyle w:val="FootnoteReference"/>
        </w:rPr>
        <w:footnoteReference w:id="142"/>
      </w:r>
      <w:r w:rsidRPr="00027624">
        <w:t xml:space="preserve"> In future, as the superannuation system matures, the average superannuation balance of people accessing the seniors and pensioners tax offset is expected to be higher.</w:t>
      </w:r>
    </w:p>
    <w:p w14:paraId="659A14EC" w14:textId="77777777" w:rsidR="00357A7D" w:rsidRPr="00027624" w:rsidRDefault="00357A7D" w:rsidP="00357A7D">
      <w:r w:rsidRPr="00027624">
        <w:t xml:space="preserve">Through the personal income tax system, older Australians also benefit from the Medicare Levy thresholds. These thresholds mean that older Australians who do not pay income tax also do not pay any Medicare Levy </w:t>
      </w:r>
      <w:sdt>
        <w:sdtPr>
          <w:id w:val="-619381408"/>
          <w:citation/>
        </w:sdtPr>
        <w:sdtEndPr/>
        <w:sdtContent>
          <w:r w:rsidRPr="00027624">
            <w:fldChar w:fldCharType="begin"/>
          </w:r>
          <w:r w:rsidRPr="00027624">
            <w:instrText xml:space="preserve">CITATION Cos01 \p 4 \l 3081 </w:instrText>
          </w:r>
          <w:r w:rsidRPr="00027624">
            <w:fldChar w:fldCharType="separate"/>
          </w:r>
          <w:r w:rsidR="00E83F6E">
            <w:rPr>
              <w:noProof/>
            </w:rPr>
            <w:t>(Costello, 2001, p. 4)</w:t>
          </w:r>
          <w:r w:rsidRPr="00027624">
            <w:fldChar w:fldCharType="end"/>
          </w:r>
        </w:sdtContent>
      </w:sdt>
      <w:r w:rsidRPr="00027624">
        <w:t>. As older Australians have a higher effective tax</w:t>
      </w:r>
      <w:r w:rsidRPr="00027624">
        <w:noBreakHyphen/>
        <w:t>free threshold due to the seniors and pensioners tax offset, they benefit from a higher Medicare Levy threshold.</w:t>
      </w:r>
    </w:p>
    <w:p w14:paraId="63218FE1" w14:textId="77777777" w:rsidR="00357A7D" w:rsidRPr="00027624" w:rsidRDefault="00357A7D" w:rsidP="00B3792F">
      <w:r w:rsidRPr="00027624">
        <w:t>For example, in 2018</w:t>
      </w:r>
      <w:r w:rsidRPr="00027624">
        <w:noBreakHyphen/>
        <w:t>19, single older Australians did not pay the full rate of the Medicare Levy until their taxable income exceeded $45,069. In comparison, most single working</w:t>
      </w:r>
      <w:r w:rsidRPr="00027624">
        <w:noBreakHyphen/>
        <w:t>age Australians paid the full rate of the Medicare Levy once their t</w:t>
      </w:r>
      <w:r>
        <w:t>axable income exceeded $28,501.</w:t>
      </w:r>
    </w:p>
    <w:p w14:paraId="19998508" w14:textId="77777777" w:rsidR="00B3792F" w:rsidRPr="00027624" w:rsidRDefault="00B3792F" w:rsidP="00FC7361">
      <w:pPr>
        <w:pStyle w:val="ChartMainHeading"/>
        <w:numPr>
          <w:ilvl w:val="2"/>
          <w:numId w:val="46"/>
        </w:numPr>
      </w:pPr>
      <w:bookmarkStart w:id="1128" w:name="_Ref36116824"/>
      <w:bookmarkStart w:id="1129" w:name="_Toc40278930"/>
      <w:r w:rsidRPr="00027624">
        <w:lastRenderedPageBreak/>
        <w:t>Proportion of people aged 65 and over who receive</w:t>
      </w:r>
      <w:r w:rsidR="00632966" w:rsidRPr="00027624">
        <w:t>d</w:t>
      </w:r>
      <w:r w:rsidRPr="00027624">
        <w:t xml:space="preserve"> the seniors and pensioners tax offset recipients, by superannuation balance</w:t>
      </w:r>
      <w:bookmarkEnd w:id="1128"/>
      <w:bookmarkEnd w:id="1129"/>
    </w:p>
    <w:p w14:paraId="319132AA" w14:textId="77777777" w:rsidR="00B3792F" w:rsidRPr="00027624" w:rsidRDefault="00A720B6" w:rsidP="009516BB">
      <w:pPr>
        <w:pStyle w:val="ChartGraphic"/>
      </w:pPr>
      <w:r>
        <w:rPr>
          <w:noProof/>
        </w:rPr>
        <w:drawing>
          <wp:inline distT="0" distB="0" distL="0" distR="0" wp14:anchorId="3986BB0E" wp14:editId="00C2CED3">
            <wp:extent cx="5577840" cy="2522220"/>
            <wp:effectExtent l="0" t="0" r="3810" b="0"/>
            <wp:docPr id="771978741" name="Picture 771978741" descr="This chart shows that the proportion of people aged 65 and over who receive the seniors and pensioners tax offset is higher for those with the lowest and highest superannuation balances, and lower for those in the middle. Just over 30 per cent of those with balances under $250,000, and just under 30 per cent of those with balances of $2 million and over, receive the seniors and pensioners tax offset. Around 15 per cent of those with balances between $250,000 and $2 million receive the seniors and pensioners tax offset. " title="Chart 3A-15 Proportion of people aged 65 and over who receive the seniors and pensioners tax offset recipients, by superannuation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A51646C" w14:textId="77777777" w:rsidR="00B3792F" w:rsidRPr="00027624" w:rsidRDefault="00B3792F" w:rsidP="00B3792F">
      <w:pPr>
        <w:pStyle w:val="ChartorTableNote"/>
      </w:pPr>
      <w:r w:rsidRPr="00027624">
        <w:t>Note: 2017</w:t>
      </w:r>
      <w:r w:rsidR="00A8443E" w:rsidRPr="00027624">
        <w:noBreakHyphen/>
      </w:r>
      <w:r w:rsidRPr="00027624">
        <w:t>18 data. Population is limited to people who lodged a tax return and had a positive superannuation balance in 2017</w:t>
      </w:r>
      <w:r w:rsidR="00A8443E" w:rsidRPr="00027624">
        <w:noBreakHyphen/>
      </w:r>
      <w:r w:rsidRPr="00027624">
        <w:t>18. Includes people expected to be eligible for the seniors and pensioners tax offset as they are aged 65 and over, have a rebate income below the threshold amount and have a positive income tax liability after the tax</w:t>
      </w:r>
      <w:r w:rsidR="00A8443E" w:rsidRPr="00027624">
        <w:noBreakHyphen/>
      </w:r>
      <w:r w:rsidRPr="00027624">
        <w:t xml:space="preserve">free threshold and low income tax offset are applied. See </w:t>
      </w:r>
      <w:sdt>
        <w:sdtPr>
          <w:id w:val="610321362"/>
          <w:citation/>
        </w:sdtPr>
        <w:sdtEndPr/>
        <w:sdtContent>
          <w:r w:rsidRPr="00027624">
            <w:fldChar w:fldCharType="begin"/>
          </w:r>
          <w:r w:rsidRPr="00027624">
            <w:instrText xml:space="preserve">CITATION ATO195 \l 3081 </w:instrText>
          </w:r>
          <w:r w:rsidRPr="00027624">
            <w:fldChar w:fldCharType="separate"/>
          </w:r>
          <w:r w:rsidR="00E83F6E">
            <w:rPr>
              <w:noProof/>
            </w:rPr>
            <w:t>(ATO, 2019c)</w:t>
          </w:r>
          <w:r w:rsidRPr="00027624">
            <w:fldChar w:fldCharType="end"/>
          </w:r>
        </w:sdtContent>
      </w:sdt>
      <w:r w:rsidRPr="00027624">
        <w:t xml:space="preserve"> for an explanation of how rebate income is calculated. Source: Analysis of ATO individual income tax returns and member contributions statements, 2 per cent sample and complete sample, 2017</w:t>
      </w:r>
      <w:r w:rsidR="00A8443E" w:rsidRPr="00027624">
        <w:noBreakHyphen/>
      </w:r>
      <w:r w:rsidRPr="00027624">
        <w:t>18.</w:t>
      </w:r>
    </w:p>
    <w:p w14:paraId="0F8653B6" w14:textId="77777777" w:rsidR="00B3792F" w:rsidRPr="00027624" w:rsidRDefault="00B3792F" w:rsidP="00B3792F">
      <w:r w:rsidRPr="00027624">
        <w:t>Like the seniors and pensioners tax offset, the income test for the Medicare Levy excludes tax</w:t>
      </w:r>
      <w:r w:rsidR="00A8443E" w:rsidRPr="00027624">
        <w:noBreakHyphen/>
      </w:r>
      <w:r w:rsidRPr="00027624">
        <w:t xml:space="preserve">free superannuation benefits. This means </w:t>
      </w:r>
      <w:r w:rsidRPr="00027624">
        <w:rPr>
          <w:b/>
        </w:rPr>
        <w:t>people with high superannuation balances and incomes do not necessarily pay higher amounts of Medicare Levy than people with low superannuation balances and incomes</w:t>
      </w:r>
      <w:r w:rsidRPr="00027624">
        <w:t>.</w:t>
      </w:r>
    </w:p>
    <w:p w14:paraId="2F4623BE" w14:textId="77777777" w:rsidR="00B3792F" w:rsidRPr="00027624" w:rsidRDefault="00B3792F" w:rsidP="00B3792F">
      <w:pPr>
        <w:pStyle w:val="Heading2"/>
      </w:pPr>
      <w:bookmarkStart w:id="1130" w:name="_Toc40278931"/>
      <w:bookmarkStart w:id="1131" w:name="_Toc40280524"/>
      <w:bookmarkStart w:id="1132" w:name="_Toc40366104"/>
      <w:bookmarkStart w:id="1133" w:name="_Toc40369650"/>
      <w:bookmarkStart w:id="1134" w:name="_Toc40427620"/>
      <w:bookmarkStart w:id="1135" w:name="_Toc40458057"/>
      <w:bookmarkStart w:id="1136" w:name="_Toc40461826"/>
      <w:bookmarkStart w:id="1137" w:name="_Toc40474381"/>
      <w:bookmarkStart w:id="1138" w:name="_Toc40477910"/>
      <w:bookmarkStart w:id="1139" w:name="_Toc40521490"/>
      <w:bookmarkStart w:id="1140" w:name="_Toc40530349"/>
      <w:bookmarkStart w:id="1141" w:name="_Toc42778774"/>
      <w:bookmarkStart w:id="1142" w:name="_Toc42779914"/>
      <w:bookmarkStart w:id="1143" w:name="_Toc42780343"/>
      <w:bookmarkStart w:id="1144" w:name="_Toc42786333"/>
      <w:bookmarkStart w:id="1145" w:name="_Toc42791826"/>
      <w:bookmarkStart w:id="1146" w:name="_Toc42791988"/>
      <w:bookmarkStart w:id="1147" w:name="_Toc43117795"/>
      <w:bookmarkStart w:id="1148" w:name="_Toc43121434"/>
      <w:bookmarkStart w:id="1149" w:name="_Toc43122639"/>
      <w:bookmarkStart w:id="1150" w:name="_Toc43127694"/>
      <w:bookmarkStart w:id="1151" w:name="_Toc45520491"/>
      <w:bookmarkStart w:id="1152" w:name="_Toc46133602"/>
      <w:r w:rsidRPr="00027624">
        <w:t>Do retirees with similar levels of savings receive similar retirement incomes?</w:t>
      </w:r>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p>
    <w:p w14:paraId="30D5F376" w14:textId="0F76716F" w:rsidR="00B3792F" w:rsidRPr="00027624" w:rsidRDefault="00B3792F" w:rsidP="00B3792F">
      <w:r w:rsidRPr="00027624">
        <w:rPr>
          <w:b/>
          <w:bCs/>
        </w:rPr>
        <w:t>Retirees with the same level, but a different composition, of savings can receive different retirement incomes.</w:t>
      </w:r>
      <w:r w:rsidRPr="00027624">
        <w:t xml:space="preserve"> This is partly because different assets receive different rates of return, and partly a result of different tax treatments and Age Pension means test settings (see </w:t>
      </w:r>
      <w:r w:rsidRPr="00027624">
        <w:rPr>
          <w:i/>
        </w:rPr>
        <w:fldChar w:fldCharType="begin"/>
      </w:r>
      <w:r w:rsidRPr="00027624">
        <w:rPr>
          <w:i/>
        </w:rPr>
        <w:instrText xml:space="preserve"> REF _Ref45138446 \r \h  \* MERGEFORMAT </w:instrText>
      </w:r>
      <w:r w:rsidRPr="00027624">
        <w:rPr>
          <w:i/>
        </w:rPr>
      </w:r>
      <w:r w:rsidRPr="00027624">
        <w:rPr>
          <w:i/>
        </w:rPr>
        <w:fldChar w:fldCharType="separate"/>
      </w:r>
      <w:r w:rsidR="00891058">
        <w:rPr>
          <w:i/>
        </w:rPr>
        <w:t>Section 3C</w:t>
      </w:r>
      <w:r w:rsidRPr="00027624">
        <w:rPr>
          <w:i/>
        </w:rPr>
        <w:fldChar w:fldCharType="end"/>
      </w:r>
      <w:r w:rsidRPr="00027624">
        <w:rPr>
          <w:i/>
        </w:rPr>
        <w:t xml:space="preserve">. </w:t>
      </w:r>
      <w:r w:rsidRPr="00027624">
        <w:rPr>
          <w:i/>
        </w:rPr>
        <w:fldChar w:fldCharType="begin"/>
      </w:r>
      <w:r w:rsidRPr="00027624">
        <w:rPr>
          <w:i/>
        </w:rPr>
        <w:instrText xml:space="preserve"> REF _Ref45138446 \h  \* MERGEFORMAT </w:instrText>
      </w:r>
      <w:r w:rsidRPr="00027624">
        <w:rPr>
          <w:i/>
        </w:rPr>
      </w:r>
      <w:r w:rsidRPr="00027624">
        <w:rPr>
          <w:i/>
        </w:rPr>
        <w:fldChar w:fldCharType="separate"/>
      </w:r>
      <w:r w:rsidR="00891058" w:rsidRPr="00891058">
        <w:rPr>
          <w:i/>
        </w:rPr>
        <w:t>Home ownership status</w:t>
      </w:r>
      <w:r w:rsidRPr="00027624">
        <w:rPr>
          <w:i/>
        </w:rPr>
        <w:fldChar w:fldCharType="end"/>
      </w:r>
      <w:r w:rsidRPr="00027624" w:rsidDel="004C2E25">
        <w:t>)</w:t>
      </w:r>
      <w:r w:rsidRPr="00027624" w:rsidDel="00AA1085">
        <w:t>.</w:t>
      </w:r>
    </w:p>
    <w:p w14:paraId="1AE9BBA1" w14:textId="77777777" w:rsidR="00B3792F" w:rsidRPr="00027624" w:rsidRDefault="00B3792F" w:rsidP="00B3792F">
      <w:pPr>
        <w:pStyle w:val="Heading3"/>
      </w:pPr>
      <w:bookmarkStart w:id="1153" w:name="_Toc40278932"/>
      <w:bookmarkStart w:id="1154" w:name="_Toc40280525"/>
      <w:bookmarkStart w:id="1155" w:name="_Toc40366105"/>
      <w:bookmarkStart w:id="1156" w:name="_Toc40369651"/>
      <w:bookmarkStart w:id="1157" w:name="_Toc40427621"/>
      <w:bookmarkStart w:id="1158" w:name="_Toc40458058"/>
      <w:bookmarkStart w:id="1159" w:name="_Toc40461827"/>
      <w:bookmarkStart w:id="1160" w:name="_Toc40474382"/>
      <w:bookmarkStart w:id="1161" w:name="_Toc40477911"/>
      <w:bookmarkStart w:id="1162" w:name="_Toc40521491"/>
      <w:bookmarkStart w:id="1163" w:name="_Toc40530350"/>
      <w:bookmarkStart w:id="1164" w:name="_Toc42778775"/>
      <w:bookmarkStart w:id="1165" w:name="_Toc42779915"/>
      <w:bookmarkStart w:id="1166" w:name="_Toc42780344"/>
      <w:bookmarkStart w:id="1167" w:name="_Toc42786334"/>
      <w:bookmarkStart w:id="1168" w:name="_Toc42791827"/>
      <w:bookmarkStart w:id="1169" w:name="_Toc42791989"/>
      <w:bookmarkStart w:id="1170" w:name="_Toc43117796"/>
      <w:bookmarkStart w:id="1171" w:name="_Toc43121435"/>
      <w:bookmarkStart w:id="1172" w:name="_Toc43122640"/>
      <w:bookmarkStart w:id="1173" w:name="_Toc43127695"/>
      <w:r w:rsidRPr="00027624">
        <w:t>Different tax treatment</w:t>
      </w:r>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p>
    <w:p w14:paraId="13CFC717" w14:textId="321418B5" w:rsidR="00B3792F" w:rsidRPr="00027624" w:rsidRDefault="00B3792F" w:rsidP="00B3792F">
      <w:r w:rsidRPr="00027624">
        <w:t xml:space="preserve">Superannuation earnings are taxed at concessional rates. This means the annual tax liabilities of retirees with the same level of savings can vary, depending on how much of their savings is held </w:t>
      </w:r>
      <w:r w:rsidR="00632966" w:rsidRPr="00027624">
        <w:t>inside and outside</w:t>
      </w:r>
      <w:r w:rsidRPr="00027624">
        <w:t xml:space="preserve"> superannuation. This variance is currently only significant for people with savings greater than $1 million, excluding the family home (</w:t>
      </w:r>
      <w:r w:rsidRPr="00027624">
        <w:fldChar w:fldCharType="begin"/>
      </w:r>
      <w:r w:rsidRPr="00027624">
        <w:instrText xml:space="preserve"> REF _Ref38624560 \r \h  \* MERGEFORMAT </w:instrText>
      </w:r>
      <w:r w:rsidRPr="00027624">
        <w:fldChar w:fldCharType="separate"/>
      </w:r>
      <w:r w:rsidR="00891058">
        <w:t>Table 3A-1</w:t>
      </w:r>
      <w:r w:rsidRPr="00027624">
        <w:fldChar w:fldCharType="end"/>
      </w:r>
      <w:r w:rsidRPr="00027624">
        <w:t>).</w:t>
      </w:r>
      <w:r w:rsidRPr="00027624">
        <w:rPr>
          <w:rStyle w:val="FootnoteReference"/>
        </w:rPr>
        <w:footnoteReference w:id="143"/>
      </w:r>
    </w:p>
    <w:p w14:paraId="2515684B" w14:textId="77777777" w:rsidR="00B3792F" w:rsidRPr="00027624" w:rsidRDefault="00B3792F" w:rsidP="00FC7361">
      <w:pPr>
        <w:pStyle w:val="TableMainHeading"/>
        <w:numPr>
          <w:ilvl w:val="3"/>
          <w:numId w:val="111"/>
        </w:numPr>
      </w:pPr>
      <w:bookmarkStart w:id="1174" w:name="_Ref36117224"/>
      <w:bookmarkStart w:id="1175" w:name="_Ref38624560"/>
      <w:bookmarkStart w:id="1176" w:name="_Toc40278933"/>
      <w:r w:rsidRPr="00027624">
        <w:lastRenderedPageBreak/>
        <w:t>Income tax paid by retirement savings and composition of assets</w:t>
      </w:r>
      <w:bookmarkEnd w:id="1174"/>
      <w:bookmarkEnd w:id="1175"/>
      <w:bookmarkEnd w:id="1176"/>
    </w:p>
    <w:tbl>
      <w:tblPr>
        <w:tblW w:w="5005" w:type="pct"/>
        <w:jc w:val="center"/>
        <w:tblLook w:val="01E0" w:firstRow="1" w:lastRow="1" w:firstColumn="1" w:lastColumn="1" w:noHBand="0" w:noVBand="0"/>
      </w:tblPr>
      <w:tblGrid>
        <w:gridCol w:w="3027"/>
        <w:gridCol w:w="3027"/>
        <w:gridCol w:w="3025"/>
      </w:tblGrid>
      <w:tr w:rsidR="00B3792F" w:rsidRPr="00027624" w14:paraId="10BB3788" w14:textId="77777777" w:rsidTr="00B3792F">
        <w:trPr>
          <w:trHeight w:val="270"/>
          <w:tblHeader/>
          <w:jc w:val="center"/>
        </w:trPr>
        <w:tc>
          <w:tcPr>
            <w:tcW w:w="1667" w:type="pct"/>
            <w:shd w:val="clear" w:color="auto" w:fill="E5E5E5"/>
          </w:tcPr>
          <w:p w14:paraId="414EBBCB" w14:textId="77777777" w:rsidR="00B3792F" w:rsidRPr="00027624" w:rsidRDefault="00B3792F" w:rsidP="00B3792F">
            <w:pPr>
              <w:pStyle w:val="TableTextLeft"/>
              <w:jc w:val="center"/>
              <w:rPr>
                <w:color w:val="144E60" w:themeColor="accent1"/>
                <w:sz w:val="20"/>
              </w:rPr>
            </w:pPr>
            <w:r w:rsidRPr="00027624">
              <w:rPr>
                <w:b/>
                <w:bCs/>
                <w:color w:val="144E60" w:themeColor="accent1"/>
                <w:sz w:val="20"/>
              </w:rPr>
              <w:t xml:space="preserve">Retirement savings </w:t>
            </w:r>
            <w:r w:rsidRPr="00027624">
              <w:rPr>
                <w:b/>
                <w:bCs/>
                <w:color w:val="144E60" w:themeColor="accent1"/>
                <w:sz w:val="20"/>
              </w:rPr>
              <w:br/>
              <w:t>($</w:t>
            </w:r>
            <w:r w:rsidR="00A8443E" w:rsidRPr="00027624">
              <w:rPr>
                <w:b/>
                <w:bCs/>
                <w:color w:val="144E60" w:themeColor="accent1"/>
                <w:sz w:val="20"/>
              </w:rPr>
              <w:t>’</w:t>
            </w:r>
            <w:r w:rsidRPr="00027624">
              <w:rPr>
                <w:b/>
                <w:bCs/>
                <w:color w:val="144E60" w:themeColor="accent1"/>
                <w:sz w:val="20"/>
              </w:rPr>
              <w:t>000)</w:t>
            </w:r>
          </w:p>
        </w:tc>
        <w:tc>
          <w:tcPr>
            <w:tcW w:w="1667" w:type="pct"/>
            <w:shd w:val="clear" w:color="auto" w:fill="E5E5E5"/>
          </w:tcPr>
          <w:p w14:paraId="04873D95" w14:textId="77777777" w:rsidR="00B3792F" w:rsidRPr="00027624" w:rsidRDefault="00B3792F" w:rsidP="00B3792F">
            <w:pPr>
              <w:pStyle w:val="TableTextLeft"/>
              <w:jc w:val="center"/>
              <w:rPr>
                <w:b/>
                <w:color w:val="144E60" w:themeColor="accent1"/>
                <w:sz w:val="20"/>
              </w:rPr>
            </w:pPr>
            <w:r w:rsidRPr="00027624">
              <w:rPr>
                <w:b/>
                <w:bCs/>
                <w:color w:val="144E60" w:themeColor="accent1"/>
                <w:sz w:val="20"/>
              </w:rPr>
              <w:t xml:space="preserve">80 per cent in superannuation and 20 per cent in other assets </w:t>
            </w:r>
            <w:r w:rsidRPr="00027624">
              <w:rPr>
                <w:b/>
                <w:color w:val="144E60" w:themeColor="accent1"/>
                <w:sz w:val="20"/>
              </w:rPr>
              <w:t>($)</w:t>
            </w:r>
          </w:p>
        </w:tc>
        <w:tc>
          <w:tcPr>
            <w:tcW w:w="1667" w:type="pct"/>
            <w:shd w:val="clear" w:color="auto" w:fill="E5E5E5"/>
          </w:tcPr>
          <w:p w14:paraId="535220A5" w14:textId="77777777" w:rsidR="00B3792F" w:rsidRPr="00027624" w:rsidRDefault="00B3792F" w:rsidP="00B3792F">
            <w:pPr>
              <w:pStyle w:val="TableTextLeft"/>
              <w:jc w:val="center"/>
              <w:rPr>
                <w:color w:val="144E60" w:themeColor="accent1"/>
                <w:sz w:val="20"/>
              </w:rPr>
            </w:pPr>
            <w:r w:rsidRPr="00027624">
              <w:rPr>
                <w:b/>
                <w:bCs/>
                <w:color w:val="144E60" w:themeColor="accent1"/>
                <w:sz w:val="20"/>
              </w:rPr>
              <w:t>20 per cent in superannuation and 80 per cent in other assets ($)</w:t>
            </w:r>
          </w:p>
        </w:tc>
      </w:tr>
      <w:tr w:rsidR="00B3792F" w:rsidRPr="00027624" w14:paraId="036BFD4E" w14:textId="77777777" w:rsidTr="00B3792F">
        <w:trPr>
          <w:trHeight w:val="270"/>
          <w:jc w:val="center"/>
        </w:trPr>
        <w:tc>
          <w:tcPr>
            <w:tcW w:w="1667" w:type="pct"/>
          </w:tcPr>
          <w:p w14:paraId="794E0ADC" w14:textId="77777777" w:rsidR="00B3792F" w:rsidRPr="00027624" w:rsidRDefault="00B3792F" w:rsidP="00B3792F">
            <w:pPr>
              <w:pStyle w:val="TableTextLeft"/>
              <w:jc w:val="center"/>
            </w:pPr>
            <w:r w:rsidRPr="00027624">
              <w:t>200</w:t>
            </w:r>
          </w:p>
        </w:tc>
        <w:tc>
          <w:tcPr>
            <w:tcW w:w="1667" w:type="pct"/>
          </w:tcPr>
          <w:p w14:paraId="42038B70" w14:textId="77777777" w:rsidR="00B3792F" w:rsidRPr="00027624" w:rsidRDefault="00B3792F" w:rsidP="00B3792F">
            <w:pPr>
              <w:pStyle w:val="TableTextLeft"/>
              <w:jc w:val="center"/>
            </w:pPr>
            <w:r w:rsidRPr="00027624">
              <w:t>0</w:t>
            </w:r>
          </w:p>
        </w:tc>
        <w:tc>
          <w:tcPr>
            <w:tcW w:w="1667" w:type="pct"/>
          </w:tcPr>
          <w:p w14:paraId="1D0928B9" w14:textId="77777777" w:rsidR="00B3792F" w:rsidRPr="00027624" w:rsidRDefault="00B3792F" w:rsidP="00B3792F">
            <w:pPr>
              <w:pStyle w:val="TableTextLeft"/>
              <w:jc w:val="center"/>
            </w:pPr>
            <w:r w:rsidRPr="00027624">
              <w:t>0</w:t>
            </w:r>
          </w:p>
        </w:tc>
      </w:tr>
      <w:tr w:rsidR="00B3792F" w:rsidRPr="00027624" w14:paraId="2A8A3A01" w14:textId="77777777" w:rsidTr="00B3792F">
        <w:trPr>
          <w:trHeight w:val="270"/>
          <w:jc w:val="center"/>
        </w:trPr>
        <w:tc>
          <w:tcPr>
            <w:tcW w:w="1667" w:type="pct"/>
          </w:tcPr>
          <w:p w14:paraId="60E1405F" w14:textId="77777777" w:rsidR="00B3792F" w:rsidRPr="00027624" w:rsidRDefault="00B3792F" w:rsidP="00B3792F">
            <w:pPr>
              <w:pStyle w:val="TableTextLeft"/>
              <w:jc w:val="center"/>
            </w:pPr>
            <w:r w:rsidRPr="00027624">
              <w:t>500</w:t>
            </w:r>
          </w:p>
        </w:tc>
        <w:tc>
          <w:tcPr>
            <w:tcW w:w="1667" w:type="pct"/>
          </w:tcPr>
          <w:p w14:paraId="3C6F6EB4" w14:textId="77777777" w:rsidR="00B3792F" w:rsidRPr="00027624" w:rsidRDefault="00B3792F" w:rsidP="00B3792F">
            <w:pPr>
              <w:pStyle w:val="TableTextLeft"/>
              <w:jc w:val="center"/>
            </w:pPr>
            <w:r w:rsidRPr="00027624">
              <w:t>0</w:t>
            </w:r>
          </w:p>
        </w:tc>
        <w:tc>
          <w:tcPr>
            <w:tcW w:w="1667" w:type="pct"/>
          </w:tcPr>
          <w:p w14:paraId="19F6C257" w14:textId="77777777" w:rsidR="00B3792F" w:rsidRPr="00027624" w:rsidRDefault="00B3792F" w:rsidP="00B3792F">
            <w:pPr>
              <w:pStyle w:val="TableTextLeft"/>
              <w:jc w:val="center"/>
            </w:pPr>
            <w:r w:rsidRPr="00027624">
              <w:t>0</w:t>
            </w:r>
          </w:p>
        </w:tc>
      </w:tr>
      <w:tr w:rsidR="00B3792F" w:rsidRPr="00027624" w14:paraId="5EF5893B" w14:textId="77777777" w:rsidTr="00B3792F">
        <w:trPr>
          <w:trHeight w:val="270"/>
          <w:jc w:val="center"/>
        </w:trPr>
        <w:tc>
          <w:tcPr>
            <w:tcW w:w="1667" w:type="pct"/>
          </w:tcPr>
          <w:p w14:paraId="13E00D43" w14:textId="77777777" w:rsidR="00B3792F" w:rsidRPr="00027624" w:rsidRDefault="00B3792F" w:rsidP="00B3792F">
            <w:pPr>
              <w:pStyle w:val="TableTextLeft"/>
              <w:jc w:val="center"/>
            </w:pPr>
            <w:r w:rsidRPr="00027624">
              <w:t>1,000</w:t>
            </w:r>
          </w:p>
        </w:tc>
        <w:tc>
          <w:tcPr>
            <w:tcW w:w="1667" w:type="pct"/>
          </w:tcPr>
          <w:p w14:paraId="15696F1A" w14:textId="77777777" w:rsidR="00B3792F" w:rsidRPr="00027624" w:rsidRDefault="00B3792F" w:rsidP="00B3792F">
            <w:pPr>
              <w:pStyle w:val="TableTextLeft"/>
              <w:jc w:val="center"/>
            </w:pPr>
            <w:r w:rsidRPr="00027624">
              <w:t>0</w:t>
            </w:r>
          </w:p>
        </w:tc>
        <w:tc>
          <w:tcPr>
            <w:tcW w:w="1667" w:type="pct"/>
          </w:tcPr>
          <w:p w14:paraId="08D7EEEC" w14:textId="77777777" w:rsidR="00B3792F" w:rsidRPr="00027624" w:rsidRDefault="00B3792F" w:rsidP="00B3792F">
            <w:pPr>
              <w:pStyle w:val="TableTextLeft"/>
              <w:jc w:val="center"/>
            </w:pPr>
            <w:r w:rsidRPr="00027624">
              <w:t>7,147</w:t>
            </w:r>
          </w:p>
        </w:tc>
      </w:tr>
      <w:tr w:rsidR="00B3792F" w:rsidRPr="00027624" w14:paraId="34E522BF" w14:textId="77777777" w:rsidTr="00B3792F">
        <w:trPr>
          <w:trHeight w:val="270"/>
          <w:jc w:val="center"/>
        </w:trPr>
        <w:tc>
          <w:tcPr>
            <w:tcW w:w="1667" w:type="pct"/>
          </w:tcPr>
          <w:p w14:paraId="0C9E90CD" w14:textId="77777777" w:rsidR="00B3792F" w:rsidRPr="00027624" w:rsidRDefault="00B3792F" w:rsidP="00B3792F">
            <w:pPr>
              <w:pStyle w:val="TableTextLeft"/>
              <w:jc w:val="center"/>
            </w:pPr>
            <w:r w:rsidRPr="00027624">
              <w:t>5,000</w:t>
            </w:r>
          </w:p>
        </w:tc>
        <w:tc>
          <w:tcPr>
            <w:tcW w:w="1667" w:type="pct"/>
          </w:tcPr>
          <w:p w14:paraId="3A25BF52" w14:textId="77777777" w:rsidR="00B3792F" w:rsidRPr="00027624" w:rsidDel="000F250C" w:rsidRDefault="00B3792F" w:rsidP="00B3792F">
            <w:pPr>
              <w:pStyle w:val="TableTextLeft"/>
              <w:jc w:val="center"/>
            </w:pPr>
            <w:r w:rsidRPr="00027624">
              <w:t>34,967</w:t>
            </w:r>
          </w:p>
        </w:tc>
        <w:tc>
          <w:tcPr>
            <w:tcW w:w="1667" w:type="pct"/>
          </w:tcPr>
          <w:p w14:paraId="55298521" w14:textId="77777777" w:rsidR="00B3792F" w:rsidRPr="00027624" w:rsidDel="000F250C" w:rsidRDefault="00B3792F" w:rsidP="00B3792F">
            <w:pPr>
              <w:pStyle w:val="TableTextLeft"/>
              <w:jc w:val="center"/>
            </w:pPr>
            <w:r w:rsidRPr="00027624">
              <w:t>93,997</w:t>
            </w:r>
          </w:p>
        </w:tc>
      </w:tr>
      <w:tr w:rsidR="00B3792F" w:rsidRPr="00027624" w14:paraId="6E1C99ED" w14:textId="77777777" w:rsidTr="00B3792F">
        <w:trPr>
          <w:trHeight w:val="270"/>
          <w:jc w:val="center"/>
        </w:trPr>
        <w:tc>
          <w:tcPr>
            <w:tcW w:w="1667" w:type="pct"/>
          </w:tcPr>
          <w:p w14:paraId="5572D878" w14:textId="77777777" w:rsidR="00B3792F" w:rsidRPr="00027624" w:rsidRDefault="00B3792F" w:rsidP="00B3792F">
            <w:pPr>
              <w:pStyle w:val="TableTextLeft"/>
              <w:jc w:val="center"/>
            </w:pPr>
            <w:r w:rsidRPr="00027624">
              <w:t>10,000</w:t>
            </w:r>
          </w:p>
        </w:tc>
        <w:tc>
          <w:tcPr>
            <w:tcW w:w="1667" w:type="pct"/>
          </w:tcPr>
          <w:p w14:paraId="31E760B1" w14:textId="77777777" w:rsidR="00B3792F" w:rsidRPr="00027624" w:rsidRDefault="00B3792F" w:rsidP="00B3792F">
            <w:pPr>
              <w:pStyle w:val="TableTextLeft"/>
              <w:jc w:val="center"/>
            </w:pPr>
            <w:r w:rsidRPr="00027624">
              <w:t>99,622</w:t>
            </w:r>
          </w:p>
        </w:tc>
        <w:tc>
          <w:tcPr>
            <w:tcW w:w="1667" w:type="pct"/>
          </w:tcPr>
          <w:p w14:paraId="14752BC3" w14:textId="77777777" w:rsidR="00B3792F" w:rsidRPr="00027624" w:rsidRDefault="00B3792F" w:rsidP="00B3792F">
            <w:pPr>
              <w:pStyle w:val="TableTextLeft"/>
              <w:jc w:val="center"/>
            </w:pPr>
            <w:r w:rsidRPr="00027624">
              <w:t>218,797</w:t>
            </w:r>
          </w:p>
        </w:tc>
      </w:tr>
    </w:tbl>
    <w:p w14:paraId="5A49FAE1" w14:textId="77777777" w:rsidR="00B3792F" w:rsidRPr="00027624" w:rsidRDefault="00B3792F" w:rsidP="00B3792F">
      <w:pPr>
        <w:pStyle w:val="ChartorTableNote"/>
      </w:pPr>
      <w:r w:rsidRPr="00027624">
        <w:t>Note: Calculations apply to 2018</w:t>
      </w:r>
      <w:r w:rsidR="00A8443E" w:rsidRPr="00027624">
        <w:noBreakHyphen/>
      </w:r>
      <w:r w:rsidRPr="00027624">
        <w:t>19 financial year. Retirement savings are equal to superannuation plus other assets, excluding the family home. Assumes the person is single, is eligible for the seniors and pensioners tax offset, did not receive an Australian Government pension or allowance during the year, nominal investment returns are 6.5 per cent per year, the first $1.6 million of superannuation assets are held in the tax</w:t>
      </w:r>
      <w:r w:rsidR="00A8443E" w:rsidRPr="00027624">
        <w:noBreakHyphen/>
      </w:r>
      <w:r w:rsidRPr="00027624">
        <w:t>free retirement phase and all earnings from other savings vehicles are taxed at the person</w:t>
      </w:r>
      <w:r w:rsidR="00A8443E" w:rsidRPr="00027624">
        <w:t>’</w:t>
      </w:r>
      <w:r w:rsidRPr="00027624">
        <w:t>s marginal tax rate. As the latter assumption may be unrealistic for people with high levels of wealth, the results in this table can be interpreted as an upper boundary for the effect of asset allocation on a person</w:t>
      </w:r>
      <w:r w:rsidR="00A8443E" w:rsidRPr="00027624">
        <w:t>’</w:t>
      </w:r>
      <w:r w:rsidRPr="00027624">
        <w:t xml:space="preserve">s income tax liability. Source: Calculations using </w:t>
      </w:r>
      <w:sdt>
        <w:sdtPr>
          <w:id w:val="615723701"/>
          <w:citation/>
        </w:sdtPr>
        <w:sdtEndPr/>
        <w:sdtContent>
          <w:r w:rsidRPr="00027624">
            <w:fldChar w:fldCharType="begin"/>
          </w:r>
          <w:r w:rsidRPr="00027624">
            <w:instrText xml:space="preserve"> CITATION ATO181 \l 3081  \m ATO19</w:instrText>
          </w:r>
          <w:r w:rsidRPr="00027624">
            <w:fldChar w:fldCharType="separate"/>
          </w:r>
          <w:r w:rsidR="00E83F6E">
            <w:rPr>
              <w:noProof/>
            </w:rPr>
            <w:t>(ATO, 2018; ATO, 2019a)</w:t>
          </w:r>
          <w:r w:rsidRPr="00027624">
            <w:fldChar w:fldCharType="end"/>
          </w:r>
        </w:sdtContent>
      </w:sdt>
      <w:r w:rsidRPr="00027624">
        <w:t>.</w:t>
      </w:r>
    </w:p>
    <w:p w14:paraId="632A6539" w14:textId="77777777" w:rsidR="00B3792F" w:rsidRPr="00027624" w:rsidRDefault="00B3792F" w:rsidP="00B3792F">
      <w:pPr>
        <w:pStyle w:val="Heading3"/>
      </w:pPr>
      <w:bookmarkStart w:id="1177" w:name="_Toc40278934"/>
      <w:bookmarkStart w:id="1178" w:name="_Toc40280526"/>
      <w:bookmarkStart w:id="1179" w:name="_Toc40366106"/>
      <w:bookmarkStart w:id="1180" w:name="_Toc40369652"/>
      <w:bookmarkStart w:id="1181" w:name="_Toc40427622"/>
      <w:bookmarkStart w:id="1182" w:name="_Toc40458059"/>
      <w:bookmarkStart w:id="1183" w:name="_Toc40461828"/>
      <w:bookmarkStart w:id="1184" w:name="_Toc40474383"/>
      <w:bookmarkStart w:id="1185" w:name="_Toc40477912"/>
      <w:bookmarkStart w:id="1186" w:name="_Toc40521492"/>
      <w:bookmarkStart w:id="1187" w:name="_Toc40530351"/>
      <w:bookmarkStart w:id="1188" w:name="_Toc42778776"/>
      <w:bookmarkStart w:id="1189" w:name="_Toc42779916"/>
      <w:bookmarkStart w:id="1190" w:name="_Toc42780345"/>
      <w:bookmarkStart w:id="1191" w:name="_Toc42786335"/>
      <w:bookmarkStart w:id="1192" w:name="_Toc42791828"/>
      <w:bookmarkStart w:id="1193" w:name="_Toc42791990"/>
      <w:bookmarkStart w:id="1194" w:name="_Toc43117797"/>
      <w:bookmarkStart w:id="1195" w:name="_Toc43121436"/>
      <w:bookmarkStart w:id="1196" w:name="_Toc43122641"/>
      <w:bookmarkStart w:id="1197" w:name="_Toc43127696"/>
      <w:r w:rsidRPr="00027624">
        <w:t>Age Pension means test</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p>
    <w:p w14:paraId="6C7A3397" w14:textId="7782815C" w:rsidR="00B3792F" w:rsidRPr="00027624" w:rsidRDefault="00B3792F" w:rsidP="00B3792F">
      <w:r w:rsidRPr="00027624">
        <w:t>The</w:t>
      </w:r>
      <w:r w:rsidRPr="00027624">
        <w:rPr>
          <w:i/>
        </w:rPr>
        <w:t xml:space="preserve"> </w:t>
      </w:r>
      <w:r w:rsidRPr="00027624">
        <w:t>Age Pension means test separately assesses a person</w:t>
      </w:r>
      <w:r w:rsidR="00A8443E" w:rsidRPr="00027624">
        <w:t>’</w:t>
      </w:r>
      <w:r w:rsidRPr="00027624">
        <w:t>s level of assets and income (see</w:t>
      </w:r>
      <w:r w:rsidRPr="00027624">
        <w:rPr>
          <w:i/>
        </w:rPr>
        <w:t xml:space="preserve"> 1B. Design of Australia</w:t>
      </w:r>
      <w:r w:rsidR="00A8443E" w:rsidRPr="00027624">
        <w:rPr>
          <w:i/>
        </w:rPr>
        <w:t>’</w:t>
      </w:r>
      <w:r w:rsidRPr="00027624">
        <w:rPr>
          <w:i/>
        </w:rPr>
        <w:t>s retirement income system</w:t>
      </w:r>
      <w:r w:rsidRPr="00027624">
        <w:t xml:space="preserve">). </w:t>
      </w:r>
      <w:r w:rsidRPr="00027624">
        <w:rPr>
          <w:b/>
        </w:rPr>
        <w:t xml:space="preserve">The operation of the means test can result in people with different levels of assets and/or income receiving the same Age Pension income in some circumstances. </w:t>
      </w:r>
      <w:r w:rsidRPr="00027624">
        <w:t>This is because, when the assets test determines a person</w:t>
      </w:r>
      <w:r w:rsidR="00A8443E" w:rsidRPr="00027624">
        <w:t>’</w:t>
      </w:r>
      <w:r w:rsidRPr="00027624">
        <w:t>s Age Pension payment amount, their income level does not affect their Age Pension payment amount. The result can be that someone with a higher annual income can receive the same Age Pension as someone with a lower annual income (</w:t>
      </w:r>
      <w:r w:rsidRPr="00027624">
        <w:fldChar w:fldCharType="begin"/>
      </w:r>
      <w:r w:rsidRPr="00027624">
        <w:instrText xml:space="preserve"> REF _Ref36117399 \r \h  \* MERGEFORMAT </w:instrText>
      </w:r>
      <w:r w:rsidRPr="00027624">
        <w:fldChar w:fldCharType="separate"/>
      </w:r>
      <w:r w:rsidR="00891058">
        <w:t>Table 3A-2</w:t>
      </w:r>
      <w:r w:rsidRPr="00027624">
        <w:fldChar w:fldCharType="end"/>
      </w:r>
      <w:r w:rsidRPr="00027624">
        <w:t xml:space="preserve">). </w:t>
      </w:r>
    </w:p>
    <w:p w14:paraId="271A19AC" w14:textId="77777777" w:rsidR="00B3792F" w:rsidRPr="00027624" w:rsidRDefault="00B3792F" w:rsidP="00B3792F">
      <w:r w:rsidRPr="00027624">
        <w:t>Similarly, when the income test determines a person</w:t>
      </w:r>
      <w:r w:rsidR="00A8443E" w:rsidRPr="00027624">
        <w:t>’</w:t>
      </w:r>
      <w:r w:rsidRPr="00027624">
        <w:t>s Age Pension payment amount, the value of a person</w:t>
      </w:r>
      <w:r w:rsidR="00A8443E" w:rsidRPr="00027624">
        <w:t>’</w:t>
      </w:r>
      <w:r w:rsidRPr="00027624">
        <w:t>s assets does not affect their Age Pension payment amount. The result can be that someone with greater assets can receive the same amount of Age Pension as someone with fewer assets. Different types of potential means</w:t>
      </w:r>
      <w:r w:rsidR="00A8443E" w:rsidRPr="00027624">
        <w:noBreakHyphen/>
      </w:r>
      <w:r w:rsidRPr="00027624">
        <w:t xml:space="preserve">test arrangements are discussed in </w:t>
      </w:r>
      <w:r w:rsidRPr="00027624">
        <w:rPr>
          <w:i/>
        </w:rPr>
        <w:t>5A. Cohesion.</w:t>
      </w:r>
      <w:r w:rsidRPr="00027624">
        <w:t xml:space="preserve"> The trade</w:t>
      </w:r>
      <w:r w:rsidR="00A8443E" w:rsidRPr="00027624">
        <w:noBreakHyphen/>
      </w:r>
      <w:r w:rsidRPr="00027624">
        <w:t xml:space="preserve">offs involved in merging the means tests are identified in </w:t>
      </w:r>
      <w:r w:rsidRPr="00027624">
        <w:rPr>
          <w:i/>
        </w:rPr>
        <w:t>Appendix 6B. An example to illustrate the trade</w:t>
      </w:r>
      <w:r w:rsidR="00A8443E" w:rsidRPr="00027624">
        <w:rPr>
          <w:i/>
        </w:rPr>
        <w:noBreakHyphen/>
      </w:r>
      <w:r w:rsidRPr="00027624">
        <w:rPr>
          <w:i/>
        </w:rPr>
        <w:t>offs of merging the means test</w:t>
      </w:r>
      <w:r w:rsidRPr="00027624">
        <w:t>.</w:t>
      </w:r>
    </w:p>
    <w:p w14:paraId="2F57B207" w14:textId="77777777" w:rsidR="00B3792F" w:rsidRPr="00027624" w:rsidRDefault="00B3792F" w:rsidP="00FC7361">
      <w:pPr>
        <w:pStyle w:val="TableMainHeading"/>
        <w:numPr>
          <w:ilvl w:val="3"/>
          <w:numId w:val="46"/>
        </w:numPr>
      </w:pPr>
      <w:bookmarkStart w:id="1198" w:name="_Ref36117399"/>
      <w:bookmarkStart w:id="1199" w:name="_Toc40278935"/>
      <w:r w:rsidRPr="00027624">
        <w:t>Cameo: Annual Age Pension payment for people with different means</w:t>
      </w:r>
      <w:bookmarkEnd w:id="1198"/>
      <w:bookmarkEnd w:id="1199"/>
    </w:p>
    <w:tbl>
      <w:tblPr>
        <w:tblW w:w="5000" w:type="pct"/>
        <w:jc w:val="center"/>
        <w:tblLook w:val="01E0" w:firstRow="1" w:lastRow="1" w:firstColumn="1" w:lastColumn="1" w:noHBand="0" w:noVBand="0"/>
      </w:tblPr>
      <w:tblGrid>
        <w:gridCol w:w="3022"/>
        <w:gridCol w:w="3024"/>
        <w:gridCol w:w="3024"/>
      </w:tblGrid>
      <w:tr w:rsidR="00B3792F" w:rsidRPr="00027624" w14:paraId="091EB83A" w14:textId="77777777" w:rsidTr="00B3792F">
        <w:trPr>
          <w:trHeight w:val="270"/>
          <w:tblHeader/>
          <w:jc w:val="center"/>
        </w:trPr>
        <w:tc>
          <w:tcPr>
            <w:tcW w:w="1666" w:type="pct"/>
            <w:shd w:val="clear" w:color="auto" w:fill="E5E5E5"/>
          </w:tcPr>
          <w:p w14:paraId="52558884" w14:textId="77777777" w:rsidR="00B3792F" w:rsidRPr="00027624" w:rsidRDefault="00B3792F" w:rsidP="00B3792F">
            <w:pPr>
              <w:pStyle w:val="TableTextLeft"/>
              <w:keepNext/>
              <w:keepLines/>
              <w:rPr>
                <w:b/>
                <w:color w:val="144E60" w:themeColor="accent1"/>
                <w:sz w:val="20"/>
              </w:rPr>
            </w:pPr>
          </w:p>
        </w:tc>
        <w:tc>
          <w:tcPr>
            <w:tcW w:w="1667" w:type="pct"/>
            <w:shd w:val="clear" w:color="auto" w:fill="E5E5E5"/>
          </w:tcPr>
          <w:p w14:paraId="3662FEDB" w14:textId="77777777" w:rsidR="00B3792F" w:rsidRPr="00027624" w:rsidRDefault="00B3792F" w:rsidP="00B3792F">
            <w:pPr>
              <w:pStyle w:val="TableTextLeft"/>
              <w:keepNext/>
              <w:keepLines/>
              <w:jc w:val="center"/>
              <w:rPr>
                <w:b/>
                <w:color w:val="144E60" w:themeColor="accent1"/>
                <w:sz w:val="20"/>
              </w:rPr>
            </w:pPr>
            <w:r w:rsidRPr="00027624">
              <w:rPr>
                <w:b/>
                <w:color w:val="144E60" w:themeColor="accent1"/>
                <w:sz w:val="20"/>
              </w:rPr>
              <w:t>Person 1</w:t>
            </w:r>
          </w:p>
        </w:tc>
        <w:tc>
          <w:tcPr>
            <w:tcW w:w="1667" w:type="pct"/>
            <w:shd w:val="clear" w:color="auto" w:fill="E5E5E5"/>
          </w:tcPr>
          <w:p w14:paraId="0ED7D54E" w14:textId="77777777" w:rsidR="00B3792F" w:rsidRPr="00027624" w:rsidRDefault="00B3792F" w:rsidP="00B3792F">
            <w:pPr>
              <w:pStyle w:val="TableTextLeft"/>
              <w:keepNext/>
              <w:keepLines/>
              <w:jc w:val="center"/>
              <w:rPr>
                <w:b/>
                <w:color w:val="144E60" w:themeColor="accent1"/>
                <w:sz w:val="20"/>
              </w:rPr>
            </w:pPr>
            <w:r w:rsidRPr="00027624">
              <w:rPr>
                <w:b/>
                <w:color w:val="144E60" w:themeColor="accent1"/>
                <w:sz w:val="20"/>
              </w:rPr>
              <w:t>Person 2</w:t>
            </w:r>
          </w:p>
        </w:tc>
      </w:tr>
      <w:tr w:rsidR="00B3792F" w:rsidRPr="00027624" w14:paraId="1C183664" w14:textId="77777777" w:rsidTr="00B3792F">
        <w:trPr>
          <w:trHeight w:val="270"/>
          <w:jc w:val="center"/>
        </w:trPr>
        <w:tc>
          <w:tcPr>
            <w:tcW w:w="1666" w:type="pct"/>
          </w:tcPr>
          <w:p w14:paraId="7A8E46F5" w14:textId="77777777" w:rsidR="00B3792F" w:rsidRPr="00027624" w:rsidRDefault="00B3792F" w:rsidP="00B3792F">
            <w:pPr>
              <w:pStyle w:val="TableTextLeft"/>
              <w:keepNext/>
              <w:keepLines/>
            </w:pPr>
            <w:r w:rsidRPr="00027624">
              <w:t>Age</w:t>
            </w:r>
          </w:p>
        </w:tc>
        <w:tc>
          <w:tcPr>
            <w:tcW w:w="1667" w:type="pct"/>
          </w:tcPr>
          <w:p w14:paraId="3F45268E" w14:textId="77777777" w:rsidR="00B3792F" w:rsidRPr="00027624" w:rsidRDefault="00B3792F" w:rsidP="00B3792F">
            <w:pPr>
              <w:pStyle w:val="TableTextLeft"/>
              <w:keepNext/>
              <w:keepLines/>
              <w:jc w:val="center"/>
            </w:pPr>
            <w:r w:rsidRPr="00027624">
              <w:t>67</w:t>
            </w:r>
          </w:p>
        </w:tc>
        <w:tc>
          <w:tcPr>
            <w:tcW w:w="1667" w:type="pct"/>
          </w:tcPr>
          <w:p w14:paraId="5AE4F1AC" w14:textId="77777777" w:rsidR="00B3792F" w:rsidRPr="00027624" w:rsidRDefault="00B3792F" w:rsidP="00B3792F">
            <w:pPr>
              <w:pStyle w:val="TableTextLeft"/>
              <w:keepNext/>
              <w:keepLines/>
              <w:jc w:val="center"/>
            </w:pPr>
            <w:r w:rsidRPr="00027624">
              <w:t>67</w:t>
            </w:r>
          </w:p>
        </w:tc>
      </w:tr>
      <w:tr w:rsidR="00B3792F" w:rsidRPr="00027624" w14:paraId="0833801D" w14:textId="77777777" w:rsidTr="00B3792F">
        <w:trPr>
          <w:trHeight w:val="270"/>
          <w:jc w:val="center"/>
        </w:trPr>
        <w:tc>
          <w:tcPr>
            <w:tcW w:w="1666" w:type="pct"/>
          </w:tcPr>
          <w:p w14:paraId="67EB6B2C" w14:textId="77777777" w:rsidR="00B3792F" w:rsidRPr="00027624" w:rsidRDefault="00B3792F" w:rsidP="00B3792F">
            <w:pPr>
              <w:pStyle w:val="TableTextLeft"/>
              <w:keepNext/>
              <w:keepLines/>
            </w:pPr>
            <w:r w:rsidRPr="00027624">
              <w:t>Account</w:t>
            </w:r>
            <w:r w:rsidR="00A8443E" w:rsidRPr="00027624">
              <w:noBreakHyphen/>
            </w:r>
            <w:r w:rsidRPr="00027624">
              <w:t>based pension income ($) ($500,000 with 5 per cent drawdown)</w:t>
            </w:r>
          </w:p>
        </w:tc>
        <w:tc>
          <w:tcPr>
            <w:tcW w:w="1667" w:type="pct"/>
          </w:tcPr>
          <w:p w14:paraId="4D7B76D0" w14:textId="77777777" w:rsidR="00B3792F" w:rsidRPr="00027624" w:rsidRDefault="00B3792F" w:rsidP="00B3792F">
            <w:pPr>
              <w:pStyle w:val="TableTextLeft"/>
              <w:keepNext/>
              <w:keepLines/>
              <w:jc w:val="center"/>
            </w:pPr>
            <w:r w:rsidRPr="00027624">
              <w:t>25,000</w:t>
            </w:r>
          </w:p>
        </w:tc>
        <w:tc>
          <w:tcPr>
            <w:tcW w:w="1667" w:type="pct"/>
          </w:tcPr>
          <w:p w14:paraId="1489DEC2" w14:textId="77777777" w:rsidR="00B3792F" w:rsidRPr="00027624" w:rsidRDefault="00B3792F" w:rsidP="00B3792F">
            <w:pPr>
              <w:pStyle w:val="TableTextLeft"/>
              <w:keepNext/>
              <w:keepLines/>
              <w:jc w:val="center"/>
            </w:pPr>
            <w:r w:rsidRPr="00027624">
              <w:t>25,000</w:t>
            </w:r>
          </w:p>
        </w:tc>
      </w:tr>
      <w:tr w:rsidR="00B3792F" w:rsidRPr="00027624" w14:paraId="5240EB3C" w14:textId="77777777" w:rsidTr="00B3792F">
        <w:trPr>
          <w:trHeight w:val="270"/>
          <w:jc w:val="center"/>
        </w:trPr>
        <w:tc>
          <w:tcPr>
            <w:tcW w:w="1666" w:type="pct"/>
          </w:tcPr>
          <w:p w14:paraId="3AC67E86" w14:textId="77777777" w:rsidR="00B3792F" w:rsidRPr="00027624" w:rsidRDefault="00B3792F" w:rsidP="00B3792F">
            <w:pPr>
              <w:pStyle w:val="TableTextLeft"/>
            </w:pPr>
            <w:r w:rsidRPr="00027624">
              <w:t>Employment income ($)</w:t>
            </w:r>
          </w:p>
        </w:tc>
        <w:tc>
          <w:tcPr>
            <w:tcW w:w="1667" w:type="pct"/>
          </w:tcPr>
          <w:p w14:paraId="6BF0B80A" w14:textId="77777777" w:rsidR="00B3792F" w:rsidRPr="00027624" w:rsidRDefault="00B3792F" w:rsidP="00B3792F">
            <w:pPr>
              <w:pStyle w:val="TableTextLeft"/>
              <w:jc w:val="center"/>
            </w:pPr>
            <w:r w:rsidRPr="00027624">
              <w:t>0</w:t>
            </w:r>
          </w:p>
        </w:tc>
        <w:tc>
          <w:tcPr>
            <w:tcW w:w="1667" w:type="pct"/>
          </w:tcPr>
          <w:p w14:paraId="0CD13DEA" w14:textId="77777777" w:rsidR="00B3792F" w:rsidRPr="00027624" w:rsidRDefault="00B3792F" w:rsidP="00B3792F">
            <w:pPr>
              <w:pStyle w:val="TableTextLeft"/>
              <w:jc w:val="center"/>
            </w:pPr>
            <w:r w:rsidRPr="00027624">
              <w:t>20,000</w:t>
            </w:r>
          </w:p>
        </w:tc>
      </w:tr>
      <w:tr w:rsidR="00B3792F" w:rsidRPr="00027624" w14:paraId="2D89D7DD" w14:textId="77777777" w:rsidTr="00B3792F">
        <w:trPr>
          <w:trHeight w:val="270"/>
          <w:jc w:val="center"/>
        </w:trPr>
        <w:tc>
          <w:tcPr>
            <w:tcW w:w="1666" w:type="pct"/>
          </w:tcPr>
          <w:p w14:paraId="1F8D439A" w14:textId="77777777" w:rsidR="00B3792F" w:rsidRPr="00027624" w:rsidRDefault="00B3792F" w:rsidP="00B3792F">
            <w:pPr>
              <w:pStyle w:val="TableTextLeft"/>
            </w:pPr>
            <w:r w:rsidRPr="00027624">
              <w:t>Total income ($)</w:t>
            </w:r>
          </w:p>
        </w:tc>
        <w:tc>
          <w:tcPr>
            <w:tcW w:w="1667" w:type="pct"/>
          </w:tcPr>
          <w:p w14:paraId="09672684" w14:textId="77777777" w:rsidR="00B3792F" w:rsidRPr="00027624" w:rsidRDefault="00B3792F" w:rsidP="00B3792F">
            <w:pPr>
              <w:pStyle w:val="TableTextLeft"/>
              <w:jc w:val="center"/>
            </w:pPr>
            <w:r w:rsidRPr="00027624">
              <w:t>25,000</w:t>
            </w:r>
          </w:p>
        </w:tc>
        <w:tc>
          <w:tcPr>
            <w:tcW w:w="1667" w:type="pct"/>
          </w:tcPr>
          <w:p w14:paraId="553D58F0" w14:textId="77777777" w:rsidR="00B3792F" w:rsidRPr="00027624" w:rsidRDefault="00B3792F" w:rsidP="00B3792F">
            <w:pPr>
              <w:pStyle w:val="TableTextLeft"/>
              <w:jc w:val="center"/>
            </w:pPr>
            <w:r w:rsidRPr="00027624">
              <w:t>45,000</w:t>
            </w:r>
          </w:p>
        </w:tc>
      </w:tr>
      <w:tr w:rsidR="00B3792F" w:rsidRPr="00027624" w14:paraId="2A79D17A" w14:textId="77777777" w:rsidTr="00B3792F">
        <w:trPr>
          <w:trHeight w:val="270"/>
          <w:jc w:val="center"/>
        </w:trPr>
        <w:tc>
          <w:tcPr>
            <w:tcW w:w="1666" w:type="pct"/>
          </w:tcPr>
          <w:p w14:paraId="1C2B099C" w14:textId="77777777" w:rsidR="00B3792F" w:rsidRPr="00027624" w:rsidRDefault="00B3792F" w:rsidP="00B3792F">
            <w:pPr>
              <w:pStyle w:val="TableTextLeft"/>
              <w:keepLines/>
              <w:rPr>
                <w:b/>
              </w:rPr>
            </w:pPr>
            <w:r w:rsidRPr="00027624">
              <w:rPr>
                <w:b/>
              </w:rPr>
              <w:t>Age Pension ($)</w:t>
            </w:r>
          </w:p>
        </w:tc>
        <w:tc>
          <w:tcPr>
            <w:tcW w:w="1667" w:type="pct"/>
          </w:tcPr>
          <w:p w14:paraId="3A1C74B9" w14:textId="77777777" w:rsidR="00B3792F" w:rsidRPr="00027624" w:rsidRDefault="00B3792F" w:rsidP="00B3792F">
            <w:pPr>
              <w:pStyle w:val="TableTextLeft"/>
              <w:keepLines/>
              <w:jc w:val="center"/>
              <w:rPr>
                <w:b/>
              </w:rPr>
            </w:pPr>
            <w:r w:rsidRPr="00027624">
              <w:rPr>
                <w:b/>
              </w:rPr>
              <w:t>6,085</w:t>
            </w:r>
          </w:p>
        </w:tc>
        <w:tc>
          <w:tcPr>
            <w:tcW w:w="1667" w:type="pct"/>
          </w:tcPr>
          <w:p w14:paraId="70B6A8E2" w14:textId="77777777" w:rsidR="00B3792F" w:rsidRPr="00027624" w:rsidRDefault="00B3792F" w:rsidP="00B3792F">
            <w:pPr>
              <w:pStyle w:val="TableTextLeft"/>
              <w:keepNext/>
              <w:keepLines/>
              <w:jc w:val="center"/>
              <w:rPr>
                <w:b/>
              </w:rPr>
            </w:pPr>
            <w:r w:rsidRPr="00027624">
              <w:rPr>
                <w:b/>
              </w:rPr>
              <w:t>6,085</w:t>
            </w:r>
          </w:p>
        </w:tc>
      </w:tr>
    </w:tbl>
    <w:p w14:paraId="1E65F40A" w14:textId="77777777" w:rsidR="00B3792F" w:rsidRPr="00027624" w:rsidRDefault="00B3792F" w:rsidP="00B3792F">
      <w:pPr>
        <w:pStyle w:val="ChartorTableNote"/>
        <w:keepLines/>
      </w:pPr>
      <w:r w:rsidRPr="00027624">
        <w:t xml:space="preserve">Note: Values are in </w:t>
      </w:r>
      <w:r w:rsidRPr="00027624">
        <w:rPr>
          <w:szCs w:val="18"/>
        </w:rPr>
        <w:t>2019</w:t>
      </w:r>
      <w:r w:rsidR="00A8443E" w:rsidRPr="00027624">
        <w:rPr>
          <w:szCs w:val="18"/>
        </w:rPr>
        <w:noBreakHyphen/>
      </w:r>
      <w:r w:rsidRPr="00027624">
        <w:rPr>
          <w:szCs w:val="18"/>
        </w:rPr>
        <w:t>20</w:t>
      </w:r>
      <w:r w:rsidRPr="00027624">
        <w:t xml:space="preserve"> dollars. The Age Pension assets test determines the Age Pension payment amount for both person 1 and 2. Source: Calculations based on Age Pension rates and thresholds as at 1 May 2020.</w:t>
      </w:r>
    </w:p>
    <w:p w14:paraId="484FD862" w14:textId="77777777" w:rsidR="00B3792F" w:rsidRPr="00027624" w:rsidRDefault="00B3792F" w:rsidP="00B3792F">
      <w:r w:rsidRPr="00027624">
        <w:rPr>
          <w:b/>
        </w:rPr>
        <w:t xml:space="preserve">Deeming rules may result in the Age Pension income test assessing a higher or lower amount of income than the person </w:t>
      </w:r>
      <w:r w:rsidRPr="00027624">
        <w:rPr>
          <w:b/>
          <w:i/>
        </w:rPr>
        <w:t>actually</w:t>
      </w:r>
      <w:r w:rsidRPr="00027624">
        <w:rPr>
          <w:b/>
        </w:rPr>
        <w:t xml:space="preserve"> received in the period. </w:t>
      </w:r>
      <w:r w:rsidRPr="00027624">
        <w:t>The current lower and upper deeming rates, of 0.25 and 2.25 per cent</w:t>
      </w:r>
      <w:r w:rsidRPr="00027624">
        <w:rPr>
          <w:rStyle w:val="FootnoteReference"/>
        </w:rPr>
        <w:footnoteReference w:id="144"/>
      </w:r>
      <w:r w:rsidRPr="00027624">
        <w:t xml:space="preserve"> respectively, are lower than returns on some market</w:t>
      </w:r>
      <w:r w:rsidR="00A8443E" w:rsidRPr="00027624">
        <w:noBreakHyphen/>
      </w:r>
      <w:r w:rsidRPr="00027624">
        <w:t xml:space="preserve">linked investments, such as superannuation from conservative investment strategies and the ASX 200 dividend yield </w:t>
      </w:r>
      <w:r w:rsidR="00632966" w:rsidRPr="00027624">
        <w:t xml:space="preserve">on average </w:t>
      </w:r>
      <w:r w:rsidRPr="00027624">
        <w:t>over recent years. Around 68 per cent of age pensioners affected by the upper deeming rate of 2.25 per cent hold some market</w:t>
      </w:r>
      <w:r w:rsidR="00A8443E" w:rsidRPr="00027624">
        <w:noBreakHyphen/>
      </w:r>
      <w:r w:rsidRPr="00027624">
        <w:t xml:space="preserve">linked investments, which generally attract </w:t>
      </w:r>
      <w:r w:rsidRPr="00027624">
        <w:lastRenderedPageBreak/>
        <w:t>higher returns than term deposits or bank accounts. This proportion can be expected to increase as the superannuation system matures and becomes the main financial asset held by age pensioners. This may allow some retirees to be deemed to earn a return on their financial investments of between 0.25 per cent and 2.25 per cent, while actually earning much higher rates of return on these assets. Nevertheless</w:t>
      </w:r>
      <w:bookmarkStart w:id="1200" w:name="_Toc40278936"/>
      <w:bookmarkStart w:id="1201" w:name="_Toc40280527"/>
      <w:r w:rsidRPr="00027624">
        <w:t xml:space="preserve">, deeming, rather than assessing, the actual income received from financial investments has merits (see </w:t>
      </w:r>
      <w:r w:rsidRPr="00027624">
        <w:rPr>
          <w:i/>
        </w:rPr>
        <w:t>1B. Design of Australia</w:t>
      </w:r>
      <w:r w:rsidR="00A8443E" w:rsidRPr="00027624">
        <w:rPr>
          <w:i/>
        </w:rPr>
        <w:t>’</w:t>
      </w:r>
      <w:r w:rsidRPr="00027624">
        <w:rPr>
          <w:i/>
        </w:rPr>
        <w:t>s retirement income system</w:t>
      </w:r>
      <w:r w:rsidRPr="00027624">
        <w:t>)</w:t>
      </w:r>
      <w:bookmarkEnd w:id="1200"/>
      <w:bookmarkEnd w:id="1201"/>
      <w:r w:rsidRPr="00027624">
        <w:t>.</w:t>
      </w:r>
    </w:p>
    <w:tbl>
      <w:tblPr>
        <w:tblStyle w:val="TableGrid"/>
        <w:tblpPr w:leftFromText="181" w:rightFromText="181" w:vertAnchor="text" w:tblpXSpec="center" w:tblpY="1"/>
        <w:tblOverlap w:val="never"/>
        <w:tblW w:w="5000" w:type="pct"/>
        <w:shd w:val="clear" w:color="auto" w:fill="FFF8EA"/>
        <w:tblLook w:val="04A0" w:firstRow="1" w:lastRow="0" w:firstColumn="1" w:lastColumn="0" w:noHBand="0" w:noVBand="1"/>
      </w:tblPr>
      <w:tblGrid>
        <w:gridCol w:w="9070"/>
      </w:tblGrid>
      <w:tr w:rsidR="00B3792F" w:rsidRPr="00027624" w14:paraId="637BAC7D" w14:textId="77777777" w:rsidTr="00B3792F">
        <w:trPr>
          <w:cantSplit/>
        </w:trPr>
        <w:tc>
          <w:tcPr>
            <w:tcW w:w="5000" w:type="pct"/>
            <w:shd w:val="clear" w:color="auto" w:fill="FFF8EA"/>
            <w:noWrap/>
          </w:tcPr>
          <w:p w14:paraId="3A2CFCA5" w14:textId="77777777" w:rsidR="00B3792F" w:rsidRPr="00027624" w:rsidRDefault="00B3792F" w:rsidP="00FC7361">
            <w:pPr>
              <w:pStyle w:val="BoxHeading"/>
              <w:numPr>
                <w:ilvl w:val="5"/>
                <w:numId w:val="46"/>
              </w:numPr>
              <w:ind w:left="1312" w:hanging="1312"/>
            </w:pPr>
            <w:r w:rsidRPr="00027624">
              <w:t>Impact of changes to certain policy settings on lifetime Government support provided through the retirement income system</w:t>
            </w:r>
          </w:p>
          <w:p w14:paraId="6AE525FF" w14:textId="77777777" w:rsidR="00B3792F" w:rsidRPr="00027624" w:rsidRDefault="00B3792F" w:rsidP="00B3792F">
            <w:pPr>
              <w:pStyle w:val="BoxText"/>
            </w:pPr>
            <w:r w:rsidRPr="00027624">
              <w:t>A significant number of submissions raised policy proposals affecting the size of lifetime Government support provided to people with different income and wealth levels. The following summary outlines some implications of some of those proposals.</w:t>
            </w:r>
          </w:p>
          <w:p w14:paraId="73EFA297" w14:textId="77777777" w:rsidR="00B3792F" w:rsidRPr="00027624" w:rsidRDefault="00B3792F" w:rsidP="00B3792F">
            <w:pPr>
              <w:pStyle w:val="BoxBullet"/>
            </w:pPr>
            <w:r w:rsidRPr="00027624">
              <w:rPr>
                <w:b/>
                <w:bCs/>
              </w:rPr>
              <w:t>Changes to superannuation tax arrangements.</w:t>
            </w:r>
            <w:r w:rsidRPr="00027624" w:rsidDel="003C5955">
              <w:t xml:space="preserve"> </w:t>
            </w:r>
            <w:r w:rsidRPr="00027624">
              <w:t>Higher</w:t>
            </w:r>
            <w:r w:rsidR="00A8443E" w:rsidRPr="00027624">
              <w:noBreakHyphen/>
            </w:r>
            <w:r w:rsidRPr="00027624">
              <w:t>income earners receive the majority of lifetime Government support through superannuation tax concessions. Lower</w:t>
            </w:r>
            <w:r w:rsidR="00A8443E" w:rsidRPr="00027624">
              <w:noBreakHyphen/>
            </w:r>
            <w:r w:rsidRPr="00027624">
              <w:t>income earners receive the majority of lifetime Government support through the Age Pension. Tightening superannuation tax concessions would therefore affect higher</w:t>
            </w:r>
            <w:r w:rsidR="00A8443E" w:rsidRPr="00027624">
              <w:noBreakHyphen/>
            </w:r>
            <w:r w:rsidRPr="00027624">
              <w:t>income earners the most (see</w:t>
            </w:r>
            <w:r w:rsidRPr="00027624">
              <w:rPr>
                <w:i/>
              </w:rPr>
              <w:t xml:space="preserve"> 4. Sustainability</w:t>
            </w:r>
            <w:r w:rsidRPr="00027624" w:rsidDel="00C23C1D">
              <w:t>).</w:t>
            </w:r>
          </w:p>
          <w:p w14:paraId="4B3D7DE8" w14:textId="77777777" w:rsidR="00B3792F" w:rsidRPr="00027624" w:rsidRDefault="00B3792F" w:rsidP="00B3792F">
            <w:pPr>
              <w:pStyle w:val="BoxBullet"/>
            </w:pPr>
            <w:r w:rsidRPr="00027624">
              <w:rPr>
                <w:b/>
                <w:bCs/>
              </w:rPr>
              <w:t>Raising the SG rate.</w:t>
            </w:r>
            <w:r w:rsidRPr="00027624" w:rsidDel="003C5955">
              <w:t xml:space="preserve"> </w:t>
            </w:r>
            <w:r w:rsidRPr="00027624">
              <w:t>Higher</w:t>
            </w:r>
            <w:r w:rsidR="00A8443E" w:rsidRPr="00027624">
              <w:noBreakHyphen/>
            </w:r>
            <w:r w:rsidRPr="00027624">
              <w:t>income earners make the largest compulsory superannuation contributions and therefore receive more superannuation contributions tax concessions. Additionally, they either do not qualify for, or lose minimal, Age Pension if they retire with higher superannuation balances</w:t>
            </w:r>
            <w:r w:rsidRPr="00027624">
              <w:rPr>
                <w:rStyle w:val="CommentReference"/>
                <w:rFonts w:asciiTheme="minorHAnsi" w:eastAsiaTheme="minorHAnsi" w:hAnsiTheme="minorHAnsi" w:cstheme="minorBidi"/>
                <w:lang w:eastAsia="en-US"/>
              </w:rPr>
              <w:t>.</w:t>
            </w:r>
            <w:r w:rsidRPr="00027624">
              <w:t xml:space="preserve"> Increases in the SG rate would make the distribution of Government support provided by the retirement income system more inequitable</w:t>
            </w:r>
            <w:r w:rsidRPr="00027624" w:rsidDel="006F391E">
              <w:t xml:space="preserve"> </w:t>
            </w:r>
            <w:r w:rsidRPr="00027624">
              <w:rPr>
                <w:iCs/>
              </w:rPr>
              <w:t>(see</w:t>
            </w:r>
            <w:r w:rsidRPr="00027624">
              <w:rPr>
                <w:i/>
                <w:iCs/>
              </w:rPr>
              <w:t xml:space="preserve"> 2D. Policy scenario: Implications of maintaining the SG rate</w:t>
            </w:r>
            <w:r w:rsidRPr="00027624">
              <w:rPr>
                <w:iCs/>
              </w:rPr>
              <w:t>)</w:t>
            </w:r>
            <w:r w:rsidRPr="00027624">
              <w:rPr>
                <w:i/>
                <w:iCs/>
              </w:rPr>
              <w:t>.</w:t>
            </w:r>
          </w:p>
          <w:p w14:paraId="1113FB49" w14:textId="77777777" w:rsidR="00B3792F" w:rsidRPr="00027624" w:rsidRDefault="00B3792F" w:rsidP="00B3792F">
            <w:pPr>
              <w:pStyle w:val="BoxBullet"/>
              <w:rPr>
                <w:b/>
              </w:rPr>
            </w:pPr>
            <w:r w:rsidRPr="00027624">
              <w:rPr>
                <w:b/>
                <w:iCs/>
              </w:rPr>
              <w:t>Including tax</w:t>
            </w:r>
            <w:r w:rsidR="00A8443E" w:rsidRPr="00027624">
              <w:rPr>
                <w:b/>
                <w:iCs/>
              </w:rPr>
              <w:noBreakHyphen/>
            </w:r>
            <w:r w:rsidRPr="00027624">
              <w:rPr>
                <w:b/>
                <w:iCs/>
              </w:rPr>
              <w:t xml:space="preserve">free superannuation income in the income test for the </w:t>
            </w:r>
            <w:r w:rsidRPr="00027624">
              <w:rPr>
                <w:b/>
              </w:rPr>
              <w:t>seniors and pensioners tax offset</w:t>
            </w:r>
            <w:r w:rsidRPr="00027624" w:rsidDel="00FE7241">
              <w:rPr>
                <w:b/>
                <w:iCs/>
              </w:rPr>
              <w:t xml:space="preserve"> </w:t>
            </w:r>
            <w:r w:rsidRPr="00027624">
              <w:rPr>
                <w:b/>
                <w:iCs/>
              </w:rPr>
              <w:t xml:space="preserve">and the Medicare Levy. </w:t>
            </w:r>
            <w:r w:rsidRPr="00027624">
              <w:t>Such a change would ensure that retirees with large superannuation balances are not able to access these age</w:t>
            </w:r>
            <w:r w:rsidR="00A8443E" w:rsidRPr="00027624">
              <w:noBreakHyphen/>
            </w:r>
            <w:r w:rsidRPr="00027624">
              <w:t>based tax breaks</w:t>
            </w:r>
            <w:r w:rsidRPr="00027624">
              <w:rPr>
                <w:b/>
                <w:i/>
              </w:rPr>
              <w:t>.</w:t>
            </w:r>
          </w:p>
          <w:p w14:paraId="469BD65E" w14:textId="77777777" w:rsidR="00B3792F" w:rsidRPr="00027624" w:rsidRDefault="00B3792F" w:rsidP="00B3792F">
            <w:pPr>
              <w:pStyle w:val="BoxBullet"/>
            </w:pPr>
            <w:r w:rsidRPr="00027624">
              <w:rPr>
                <w:b/>
              </w:rPr>
              <w:t xml:space="preserve">Introduce a merged means test for the Age Pension. </w:t>
            </w:r>
            <w:r w:rsidRPr="00027624">
              <w:t>A merged means that replaces the assets test with a capital consumption component in the income test would ensure a person</w:t>
            </w:r>
            <w:r w:rsidR="00A8443E" w:rsidRPr="00027624">
              <w:t>’</w:t>
            </w:r>
            <w:r w:rsidRPr="00027624">
              <w:t xml:space="preserve">s Age Pension payment is consistently determined on the totality of their means. In some situations, this does not occur under the current dual means tests (see </w:t>
            </w:r>
            <w:r w:rsidRPr="00027624">
              <w:rPr>
                <w:i/>
              </w:rPr>
              <w:t>5B. Policy scenario: Implications of changing Age Pension means test settings</w:t>
            </w:r>
            <w:r w:rsidRPr="00027624">
              <w:rPr>
                <w:iCs/>
              </w:rPr>
              <w:t>)</w:t>
            </w:r>
            <w:r w:rsidRPr="00027624">
              <w:rPr>
                <w:i/>
                <w:iCs/>
              </w:rPr>
              <w:t>.</w:t>
            </w:r>
            <w:r w:rsidRPr="00027624">
              <w:t xml:space="preserve"> </w:t>
            </w:r>
          </w:p>
        </w:tc>
      </w:tr>
    </w:tbl>
    <w:p w14:paraId="1A95172C" w14:textId="77777777" w:rsidR="00B3792F" w:rsidRPr="00027624" w:rsidRDefault="00B3792F" w:rsidP="00B3792F">
      <w:pPr>
        <w:rPr>
          <w:rFonts w:cs="Arial"/>
          <w:color w:val="604878" w:themeColor="accent3"/>
          <w:kern w:val="32"/>
          <w:sz w:val="36"/>
          <w:szCs w:val="28"/>
        </w:rPr>
      </w:pPr>
      <w:bookmarkStart w:id="1202" w:name="_Toc42778777"/>
      <w:bookmarkStart w:id="1203" w:name="_Toc42779917"/>
      <w:bookmarkStart w:id="1204" w:name="_Toc42780346"/>
      <w:bookmarkStart w:id="1205" w:name="_Toc42786336"/>
      <w:bookmarkStart w:id="1206" w:name="_Toc42791829"/>
      <w:bookmarkStart w:id="1207" w:name="_Toc42791991"/>
      <w:bookmarkStart w:id="1208" w:name="_Toc43117798"/>
      <w:bookmarkStart w:id="1209" w:name="_Toc43121437"/>
      <w:bookmarkStart w:id="1210" w:name="_Toc43122642"/>
      <w:bookmarkStart w:id="1211" w:name="_Toc43127697"/>
      <w:bookmarkStart w:id="1212" w:name="_Ref45122496"/>
      <w:bookmarkStart w:id="1213" w:name="_Ref45122500"/>
      <w:bookmarkStart w:id="1214" w:name="_Ref45122504"/>
      <w:bookmarkEnd w:id="701"/>
      <w:bookmarkEnd w:id="702"/>
      <w:bookmarkEnd w:id="703"/>
      <w:bookmarkEnd w:id="704"/>
      <w:bookmarkEnd w:id="705"/>
      <w:r w:rsidRPr="00027624">
        <w:br w:type="page"/>
      </w:r>
    </w:p>
    <w:p w14:paraId="64A6ABB4" w14:textId="77777777" w:rsidR="00B3792F" w:rsidRPr="00027624" w:rsidRDefault="00B3792F" w:rsidP="00B3792F">
      <w:pPr>
        <w:pStyle w:val="Heading2"/>
        <w:rPr>
          <w:i/>
        </w:rPr>
      </w:pPr>
      <w:bookmarkStart w:id="1215" w:name="_Toc45520492"/>
      <w:bookmarkStart w:id="1216" w:name="_Toc46133603"/>
      <w:r w:rsidRPr="00027624">
        <w:rPr>
          <w:i/>
        </w:rPr>
        <w:lastRenderedPageBreak/>
        <w:t>Annex</w:t>
      </w:r>
      <w:r w:rsidR="00A8443E" w:rsidRPr="00027624">
        <w:rPr>
          <w:i/>
        </w:rPr>
        <w:t xml:space="preserve"> — </w:t>
      </w:r>
      <w:r w:rsidR="00A51392" w:rsidRPr="00027624">
        <w:rPr>
          <w:i/>
        </w:rPr>
        <w:t>s</w:t>
      </w:r>
      <w:r w:rsidRPr="00027624">
        <w:rPr>
          <w:i/>
        </w:rPr>
        <w:t>takeholders</w:t>
      </w:r>
      <w:r w:rsidR="00A8443E" w:rsidRPr="00027624">
        <w:rPr>
          <w:i/>
        </w:rPr>
        <w:t>’</w:t>
      </w:r>
      <w:r w:rsidRPr="00027624">
        <w:rPr>
          <w:i/>
        </w:rPr>
        <w:t xml:space="preserve"> issues with lifetime Government support analysis</w:t>
      </w:r>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p>
    <w:p w14:paraId="6916057C" w14:textId="2F6B2473" w:rsidR="00B3792F" w:rsidRPr="00027624" w:rsidRDefault="00B3792F" w:rsidP="00B3792F">
      <w:r w:rsidRPr="00027624">
        <w:t>The consultation paper presented the review</w:t>
      </w:r>
      <w:r w:rsidR="00A8443E" w:rsidRPr="00027624">
        <w:t>’</w:t>
      </w:r>
      <w:r w:rsidRPr="00027624">
        <w:t xml:space="preserve">s estimates of the size of lifetime Government support for people with different income levels (see </w:t>
      </w:r>
      <w:r w:rsidRPr="00027624">
        <w:rPr>
          <w:i/>
        </w:rPr>
        <w:t xml:space="preserve">3A. </w:t>
      </w:r>
      <w:r w:rsidRPr="00027624">
        <w:rPr>
          <w:i/>
        </w:rPr>
        <w:fldChar w:fldCharType="begin"/>
      </w:r>
      <w:r w:rsidRPr="00027624">
        <w:rPr>
          <w:i/>
        </w:rPr>
        <w:instrText xml:space="preserve"> REF _Ref40311952  \* MERGEFORMAT </w:instrText>
      </w:r>
      <w:r w:rsidRPr="00027624">
        <w:rPr>
          <w:i/>
        </w:rPr>
        <w:fldChar w:fldCharType="separate"/>
      </w:r>
      <w:r w:rsidR="00891058" w:rsidRPr="00891058">
        <w:rPr>
          <w:i/>
        </w:rPr>
        <w:t>Income and wealth</w:t>
      </w:r>
      <w:r w:rsidRPr="00027624">
        <w:rPr>
          <w:i/>
        </w:rPr>
        <w:fldChar w:fldCharType="end"/>
      </w:r>
      <w:r w:rsidRPr="00027624">
        <w:rPr>
          <w:i/>
        </w:rPr>
        <w:t xml:space="preserve"> distribution, </w:t>
      </w:r>
      <w:r w:rsidRPr="00027624">
        <w:t xml:space="preserve">above). Submissions raised issues about the reliability of these estimates. Issues raised about the total cost of the superannuation tax concessions are discussed in </w:t>
      </w:r>
      <w:r w:rsidRPr="00027624">
        <w:rPr>
          <w:i/>
        </w:rPr>
        <w:t>4. Sustainability</w:t>
      </w:r>
      <w:r w:rsidRPr="00027624">
        <w:t>. This</w:t>
      </w:r>
      <w:r w:rsidRPr="00027624" w:rsidDel="004E2CB6">
        <w:t xml:space="preserve"> </w:t>
      </w:r>
      <w:r w:rsidRPr="00027624">
        <w:t>Annex discusses issues raised about the size of lifetime Government support that higher</w:t>
      </w:r>
      <w:r w:rsidR="00A8443E" w:rsidRPr="00027624">
        <w:noBreakHyphen/>
      </w:r>
      <w:r w:rsidRPr="00027624">
        <w:t>income earners receive relative to lower</w:t>
      </w:r>
      <w:r w:rsidR="00A8443E" w:rsidRPr="00027624">
        <w:noBreakHyphen/>
      </w:r>
      <w:r w:rsidRPr="00027624">
        <w:t xml:space="preserve">income earners. </w:t>
      </w:r>
    </w:p>
    <w:p w14:paraId="0CDD51DF" w14:textId="77777777" w:rsidR="00B3792F" w:rsidRPr="00027624" w:rsidRDefault="00B3792F" w:rsidP="00B3792F">
      <w:pPr>
        <w:pStyle w:val="Heading3"/>
      </w:pPr>
      <w:bookmarkStart w:id="1217" w:name="_Toc42778778"/>
      <w:bookmarkStart w:id="1218" w:name="_Toc42779918"/>
      <w:bookmarkStart w:id="1219" w:name="_Toc42780347"/>
      <w:bookmarkStart w:id="1220" w:name="_Toc42786337"/>
      <w:bookmarkStart w:id="1221" w:name="_Toc42791830"/>
      <w:bookmarkStart w:id="1222" w:name="_Toc42791992"/>
      <w:bookmarkStart w:id="1223" w:name="_Toc43117799"/>
      <w:bookmarkStart w:id="1224" w:name="_Toc43121438"/>
      <w:bookmarkStart w:id="1225" w:name="_Toc43122643"/>
      <w:bookmarkStart w:id="1226" w:name="_Toc43127698"/>
      <w:r w:rsidRPr="00027624">
        <w:t>Stakeholder suggestions for updating the analysis</w:t>
      </w:r>
      <w:bookmarkEnd w:id="1217"/>
      <w:bookmarkEnd w:id="1218"/>
      <w:bookmarkEnd w:id="1219"/>
      <w:bookmarkEnd w:id="1220"/>
      <w:bookmarkEnd w:id="1221"/>
      <w:bookmarkEnd w:id="1222"/>
      <w:bookmarkEnd w:id="1223"/>
      <w:bookmarkEnd w:id="1224"/>
      <w:bookmarkEnd w:id="1225"/>
      <w:bookmarkEnd w:id="1226"/>
      <w:r w:rsidRPr="00027624">
        <w:t xml:space="preserve"> </w:t>
      </w:r>
    </w:p>
    <w:p w14:paraId="219A9A1A" w14:textId="77777777" w:rsidR="00B3792F" w:rsidRPr="00027624" w:rsidRDefault="00B3792F" w:rsidP="00FC7361">
      <w:pPr>
        <w:pStyle w:val="Bullet"/>
        <w:numPr>
          <w:ilvl w:val="0"/>
          <w:numId w:val="44"/>
        </w:numPr>
      </w:pPr>
      <w:r w:rsidRPr="00027624">
        <w:rPr>
          <w:b/>
          <w:bCs/>
        </w:rPr>
        <w:t>Calculate the cost of superannuation tax concessions using an expenditure tax benchmark</w:t>
      </w:r>
      <w:r w:rsidRPr="00027624">
        <w:rPr>
          <w:b/>
        </w:rPr>
        <w:t xml:space="preserve">. </w:t>
      </w:r>
    </w:p>
    <w:p w14:paraId="431692DD" w14:textId="37BC90BD" w:rsidR="00B3792F" w:rsidRPr="00027624" w:rsidRDefault="00B3792F" w:rsidP="00FC7361">
      <w:pPr>
        <w:pStyle w:val="Dash"/>
        <w:numPr>
          <w:ilvl w:val="1"/>
          <w:numId w:val="44"/>
        </w:numPr>
      </w:pPr>
      <w:r w:rsidRPr="00027624">
        <w:t>While</w:t>
      </w:r>
      <w:r w:rsidRPr="00027624">
        <w:rPr>
          <w:i/>
        </w:rPr>
        <w:t xml:space="preserve"> 4. Sustainability</w:t>
      </w:r>
      <w:r w:rsidRPr="00027624">
        <w:t xml:space="preserve"> discusses this alternative benchmark, it concludes the comprehensive income tax benchmark is the most appropriate benchmark for the review. Although adopting an expenditure tax benchmark may reduce the apparent cost of superannuation tax concessions, it is not clear the distribution of those concessions would be different to the analysis presented in </w:t>
      </w:r>
      <w:r w:rsidRPr="00027624">
        <w:rPr>
          <w:i/>
        </w:rPr>
        <w:t xml:space="preserve">3A. </w:t>
      </w:r>
      <w:r w:rsidRPr="00027624">
        <w:rPr>
          <w:i/>
        </w:rPr>
        <w:fldChar w:fldCharType="begin"/>
      </w:r>
      <w:r w:rsidRPr="00027624">
        <w:rPr>
          <w:i/>
        </w:rPr>
        <w:instrText xml:space="preserve"> REF _Ref40311989  \* MERGEFORMAT </w:instrText>
      </w:r>
      <w:r w:rsidRPr="00027624">
        <w:rPr>
          <w:i/>
        </w:rPr>
        <w:fldChar w:fldCharType="separate"/>
      </w:r>
      <w:r w:rsidR="00891058" w:rsidRPr="00891058">
        <w:rPr>
          <w:i/>
        </w:rPr>
        <w:t>Income and wealth</w:t>
      </w:r>
      <w:r w:rsidRPr="00027624">
        <w:rPr>
          <w:i/>
        </w:rPr>
        <w:fldChar w:fldCharType="end"/>
      </w:r>
      <w:r w:rsidRPr="00027624">
        <w:rPr>
          <w:i/>
        </w:rPr>
        <w:t xml:space="preserve"> distribution</w:t>
      </w:r>
      <w:r w:rsidRPr="00027624">
        <w:t>.</w:t>
      </w:r>
    </w:p>
    <w:p w14:paraId="540D03B2" w14:textId="77777777" w:rsidR="00B3792F" w:rsidRPr="00027624" w:rsidRDefault="00B3792F" w:rsidP="00EA28D7">
      <w:pPr>
        <w:pStyle w:val="Bullet"/>
        <w:rPr>
          <w:b/>
        </w:rPr>
      </w:pPr>
      <w:r w:rsidRPr="00027624">
        <w:rPr>
          <w:b/>
        </w:rPr>
        <w:t xml:space="preserve">Recognise that voluntary contributions would be saved through other concessionally taxed savings vehicles in the absence of superannuation tax concessions. </w:t>
      </w:r>
    </w:p>
    <w:p w14:paraId="1253B496" w14:textId="7C9E6754" w:rsidR="00B3792F" w:rsidRPr="00027624" w:rsidRDefault="00B3792F" w:rsidP="00FC7361">
      <w:pPr>
        <w:pStyle w:val="Dash"/>
        <w:numPr>
          <w:ilvl w:val="1"/>
          <w:numId w:val="44"/>
        </w:numPr>
      </w:pPr>
      <w:r w:rsidRPr="00027624">
        <w:t>Cameo modelling suggests the earnings tax concessions resulting from voluntary pre</w:t>
      </w:r>
      <w:r w:rsidR="00A8443E" w:rsidRPr="00027624">
        <w:noBreakHyphen/>
      </w:r>
      <w:r w:rsidRPr="00027624">
        <w:t>tax contributions are only a small proportion of the lifetime Government support the retirement income system gives to higher</w:t>
      </w:r>
      <w:r w:rsidR="00A8443E" w:rsidRPr="00027624">
        <w:noBreakHyphen/>
      </w:r>
      <w:r w:rsidRPr="00027624">
        <w:t>income earners (</w:t>
      </w:r>
      <w:r w:rsidRPr="00027624">
        <w:fldChar w:fldCharType="begin"/>
      </w:r>
      <w:r w:rsidRPr="00027624">
        <w:instrText xml:space="preserve"> REF _Ref42771796 \r \h  \* MERGEFORMAT </w:instrText>
      </w:r>
      <w:r w:rsidRPr="00027624">
        <w:fldChar w:fldCharType="separate"/>
      </w:r>
      <w:r w:rsidR="00891058">
        <w:t>Chart 3A-16</w:t>
      </w:r>
      <w:r w:rsidRPr="00027624">
        <w:fldChar w:fldCharType="end"/>
      </w:r>
      <w:r w:rsidRPr="00027624">
        <w:t>). This is because most of the earnings tax concessions higher</w:t>
      </w:r>
      <w:r w:rsidR="00A8443E" w:rsidRPr="00027624">
        <w:noBreakHyphen/>
      </w:r>
      <w:r w:rsidRPr="00027624">
        <w:t xml:space="preserve">income earners receive come from their compulsory superannuation contributions. </w:t>
      </w:r>
    </w:p>
    <w:p w14:paraId="304387B4" w14:textId="77777777" w:rsidR="00B3792F" w:rsidRPr="00027624" w:rsidRDefault="00B3792F" w:rsidP="00EA28D7">
      <w:pPr>
        <w:pStyle w:val="Bullet"/>
        <w:rPr>
          <w:b/>
        </w:rPr>
      </w:pPr>
      <w:r w:rsidRPr="00027624">
        <w:rPr>
          <w:b/>
        </w:rPr>
        <w:t xml:space="preserve">Reflect that people move between income deciles during their working lives. </w:t>
      </w:r>
    </w:p>
    <w:p w14:paraId="29B9DA7C" w14:textId="77777777" w:rsidR="00B3792F" w:rsidRPr="00027624" w:rsidRDefault="00B3792F" w:rsidP="00FC7361">
      <w:pPr>
        <w:pStyle w:val="Dash"/>
        <w:numPr>
          <w:ilvl w:val="1"/>
          <w:numId w:val="44"/>
        </w:numPr>
      </w:pPr>
      <w:r w:rsidRPr="00027624">
        <w:t>The income profiles generated by the cameo model used for the review were tested against longitudinal income data from ALife. Comparisons show lifetime income is broadly similar between the cross</w:t>
      </w:r>
      <w:r w:rsidR="00A8443E" w:rsidRPr="00027624">
        <w:noBreakHyphen/>
      </w:r>
      <w:r w:rsidRPr="00027624">
        <w:t xml:space="preserve">sectional income profiles used in the cameo model and the longitudinal ALife data (see </w:t>
      </w:r>
      <w:r w:rsidRPr="00027624">
        <w:rPr>
          <w:i/>
        </w:rPr>
        <w:t>Appendix 6A. Detailed modelling methods and assumptions</w:t>
      </w:r>
      <w:r w:rsidRPr="00027624">
        <w:t xml:space="preserve">). </w:t>
      </w:r>
    </w:p>
    <w:p w14:paraId="59FF9592" w14:textId="77777777" w:rsidR="00B3792F" w:rsidRPr="00027624" w:rsidRDefault="00B3792F" w:rsidP="00EA28D7">
      <w:pPr>
        <w:pStyle w:val="Bullet"/>
        <w:rPr>
          <w:b/>
        </w:rPr>
      </w:pPr>
      <w:r w:rsidRPr="00027624">
        <w:rPr>
          <w:b/>
        </w:rPr>
        <w:t>Use inflation, wage growth or the Government</w:t>
      </w:r>
      <w:r w:rsidR="00A8443E" w:rsidRPr="00027624">
        <w:rPr>
          <w:b/>
        </w:rPr>
        <w:t>’</w:t>
      </w:r>
      <w:r w:rsidRPr="00027624">
        <w:rPr>
          <w:b/>
        </w:rPr>
        <w:t xml:space="preserve">s borrowing rate, rather than nominal GDP (i.e. 5 per cent per year), as the discount rate for Age Pension expenditure and superannuation tax concessions. </w:t>
      </w:r>
    </w:p>
    <w:p w14:paraId="3D19E9AA" w14:textId="77777777" w:rsidR="00B3792F" w:rsidRPr="00027624" w:rsidRDefault="00B3792F" w:rsidP="00FC7361">
      <w:pPr>
        <w:pStyle w:val="Dash"/>
        <w:numPr>
          <w:ilvl w:val="1"/>
          <w:numId w:val="44"/>
        </w:numPr>
      </w:pPr>
      <w:r w:rsidRPr="00027624">
        <w:t>The Government can fund the cost of Age Pension expenditure and superannuation tax concessions through borrowing or future tax receipts. The same factors drive nominal GDP growth and bond rates, and as such are broadly comparable over the long term. Economic t</w:t>
      </w:r>
      <w:r w:rsidR="00632966" w:rsidRPr="00027624">
        <w:t xml:space="preserve">heory suggests that in the long </w:t>
      </w:r>
      <w:r w:rsidRPr="00027624">
        <w:t xml:space="preserve">run government bond rates will be marginally higher than nominal GDP growth </w:t>
      </w:r>
      <w:sdt>
        <w:sdtPr>
          <w:id w:val="316081731"/>
          <w:citation/>
        </w:sdtPr>
        <w:sdtEndPr/>
        <w:sdtContent>
          <w:r w:rsidRPr="00027624">
            <w:fldChar w:fldCharType="begin"/>
          </w:r>
          <w:r w:rsidRPr="00027624">
            <w:instrText xml:space="preserve"> CITATION Rom19 \l 3081 </w:instrText>
          </w:r>
          <w:r w:rsidRPr="00027624">
            <w:fldChar w:fldCharType="separate"/>
          </w:r>
          <w:r w:rsidR="00E83F6E">
            <w:rPr>
              <w:noProof/>
            </w:rPr>
            <w:t>(Romer, 2019)</w:t>
          </w:r>
          <w:r w:rsidRPr="00027624">
            <w:fldChar w:fldCharType="end"/>
          </w:r>
        </w:sdtContent>
      </w:sdt>
      <w:r w:rsidRPr="00027624">
        <w:rPr>
          <w:rStyle w:val="FootnoteReference"/>
        </w:rPr>
        <w:footnoteReference w:id="145"/>
      </w:r>
      <w:r w:rsidRPr="00027624">
        <w:t xml:space="preserve"> and the IMF uses nominal GDP growth as the lower bound for the discount rate in some applications </w:t>
      </w:r>
      <w:sdt>
        <w:sdtPr>
          <w:id w:val="1150879349"/>
          <w:citation/>
        </w:sdtPr>
        <w:sdtEndPr/>
        <w:sdtContent>
          <w:r w:rsidRPr="00027624">
            <w:fldChar w:fldCharType="begin"/>
          </w:r>
          <w:r w:rsidRPr="00027624">
            <w:instrText xml:space="preserve">CITATION Koz05 \p 18 \l 3081 </w:instrText>
          </w:r>
          <w:r w:rsidRPr="00027624">
            <w:fldChar w:fldCharType="separate"/>
          </w:r>
          <w:r w:rsidR="00E83F6E">
            <w:rPr>
              <w:noProof/>
            </w:rPr>
            <w:t>(Kozac, 2005, p. 18)</w:t>
          </w:r>
          <w:r w:rsidRPr="00027624">
            <w:fldChar w:fldCharType="end"/>
          </w:r>
        </w:sdtContent>
      </w:sdt>
      <w:r w:rsidRPr="00027624">
        <w:t>. The 40</w:t>
      </w:r>
      <w:r w:rsidR="00A8443E" w:rsidRPr="00027624">
        <w:noBreakHyphen/>
      </w:r>
      <w:r w:rsidRPr="00027624">
        <w:t>year average of the Australian Government 10</w:t>
      </w:r>
      <w:r w:rsidR="00A8443E" w:rsidRPr="00027624">
        <w:noBreakHyphen/>
      </w:r>
      <w:r w:rsidRPr="00027624">
        <w:t>year bond is 7.7 per cent compared with 7.3 per cent for average annual nominal GDP growth.</w:t>
      </w:r>
      <w:r w:rsidRPr="00027624">
        <w:rPr>
          <w:rStyle w:val="FootnoteReference"/>
        </w:rPr>
        <w:footnoteReference w:id="146"/>
      </w:r>
      <w:r w:rsidRPr="00027624">
        <w:t xml:space="preserve"> </w:t>
      </w:r>
    </w:p>
    <w:p w14:paraId="2626009E" w14:textId="77777777" w:rsidR="00B3792F" w:rsidRPr="00027624" w:rsidRDefault="00B3792F" w:rsidP="00FC7361">
      <w:pPr>
        <w:pStyle w:val="Dash"/>
        <w:numPr>
          <w:ilvl w:val="1"/>
          <w:numId w:val="44"/>
        </w:numPr>
      </w:pPr>
      <w:r w:rsidRPr="00027624">
        <w:t xml:space="preserve">Public Sector Superannuation Scheme and Commonwealth Superannuation Scheme Long Term Cost Report 2017, prepared for the Commonwealth Government by Mercer, </w:t>
      </w:r>
      <w:r w:rsidRPr="00027624">
        <w:lastRenderedPageBreak/>
        <w:t>considered the expected return on government bonds over the long term is the appropriate discount rate for funding future benefit payments via borrowings. However, it also suggested expected long</w:t>
      </w:r>
      <w:r w:rsidR="00A8443E" w:rsidRPr="00027624">
        <w:noBreakHyphen/>
      </w:r>
      <w:r w:rsidRPr="00027624">
        <w:t xml:space="preserve">term nominal GDP growth provides a </w:t>
      </w:r>
      <w:r w:rsidR="00A8443E" w:rsidRPr="00027624">
        <w:rPr>
          <w:rStyle w:val="QuoteChar"/>
          <w:rFonts w:eastAsia="Calibri"/>
        </w:rPr>
        <w:t>‘</w:t>
      </w:r>
      <w:r w:rsidRPr="00027624">
        <w:rPr>
          <w:rStyle w:val="QuoteChar"/>
          <w:rFonts w:eastAsia="Calibri"/>
        </w:rPr>
        <w:t>…useful check on the long term bond yield assumption…</w:t>
      </w:r>
      <w:r w:rsidR="00A8443E" w:rsidRPr="00027624">
        <w:rPr>
          <w:rStyle w:val="QuoteChar"/>
          <w:rFonts w:eastAsia="Calibri"/>
        </w:rPr>
        <w:t>’</w:t>
      </w:r>
      <w:r w:rsidRPr="00027624">
        <w:rPr>
          <w:rFonts w:eastAsia="Calibri"/>
          <w:i/>
          <w:iCs/>
          <w:color w:val="404040" w:themeColor="text1" w:themeTint="BF"/>
          <w:sz w:val="20"/>
        </w:rPr>
        <w:t xml:space="preserve"> </w:t>
      </w:r>
      <w:r w:rsidRPr="00027624">
        <w:t xml:space="preserve">as it represents the earnings of the Government and therefore </w:t>
      </w:r>
      <w:r w:rsidR="00A8443E" w:rsidRPr="00027624">
        <w:rPr>
          <w:rStyle w:val="QuoteChar"/>
          <w:rFonts w:eastAsia="Calibri"/>
        </w:rPr>
        <w:t>‘</w:t>
      </w:r>
      <w:r w:rsidRPr="00027624">
        <w:rPr>
          <w:rStyle w:val="QuoteChar"/>
          <w:rFonts w:eastAsia="Calibri"/>
        </w:rPr>
        <w:t>…sets a reasonable limit on the rate that can be paid on any debt (all other things being equal).</w:t>
      </w:r>
      <w:r w:rsidR="00A8443E" w:rsidRPr="00027624">
        <w:rPr>
          <w:rStyle w:val="QuoteChar"/>
          <w:rFonts w:eastAsia="Calibri"/>
        </w:rPr>
        <w:t>’</w:t>
      </w:r>
      <w:r w:rsidRPr="00027624">
        <w:rPr>
          <w:i/>
        </w:rPr>
        <w:t xml:space="preserve"> </w:t>
      </w:r>
      <w:sdt>
        <w:sdtPr>
          <w:rPr>
            <w:i/>
          </w:rPr>
          <w:id w:val="491448273"/>
          <w:citation/>
        </w:sdtPr>
        <w:sdtEndPr/>
        <w:sdtContent>
          <w:r w:rsidRPr="00027624">
            <w:rPr>
              <w:i/>
            </w:rPr>
            <w:fldChar w:fldCharType="begin"/>
          </w:r>
          <w:r w:rsidR="0091327B">
            <w:instrText xml:space="preserve">CITATION Placeholder3 \p 14 \l 3081 </w:instrText>
          </w:r>
          <w:r w:rsidRPr="00027624">
            <w:rPr>
              <w:i/>
            </w:rPr>
            <w:fldChar w:fldCharType="separate"/>
          </w:r>
          <w:r w:rsidR="00E83F6E">
            <w:rPr>
              <w:noProof/>
            </w:rPr>
            <w:t>(Department of Finance, 2018, p. 14)</w:t>
          </w:r>
          <w:r w:rsidRPr="00027624">
            <w:rPr>
              <w:i/>
            </w:rPr>
            <w:fldChar w:fldCharType="end"/>
          </w:r>
        </w:sdtContent>
      </w:sdt>
      <w:r w:rsidRPr="00027624">
        <w:t xml:space="preserve"> </w:t>
      </w:r>
    </w:p>
    <w:p w14:paraId="1AF2696B" w14:textId="77777777" w:rsidR="00B3792F" w:rsidRPr="00027624" w:rsidRDefault="00B3792F" w:rsidP="00FC7361">
      <w:pPr>
        <w:pStyle w:val="Dash"/>
        <w:numPr>
          <w:ilvl w:val="1"/>
          <w:numId w:val="44"/>
        </w:numPr>
      </w:pPr>
      <w:r w:rsidRPr="00027624">
        <w:t>It is identified in</w:t>
      </w:r>
      <w:r w:rsidRPr="00027624">
        <w:rPr>
          <w:i/>
        </w:rPr>
        <w:t xml:space="preserve"> 1C. The objective of the system and </w:t>
      </w:r>
      <w:r w:rsidR="00CA7598">
        <w:rPr>
          <w:i/>
        </w:rPr>
        <w:t xml:space="preserve">the </w:t>
      </w:r>
      <w:r w:rsidRPr="00027624">
        <w:rPr>
          <w:i/>
        </w:rPr>
        <w:t>role</w:t>
      </w:r>
      <w:r w:rsidR="00A905B8">
        <w:rPr>
          <w:i/>
        </w:rPr>
        <w:t>s</w:t>
      </w:r>
      <w:r w:rsidRPr="00027624">
        <w:rPr>
          <w:i/>
        </w:rPr>
        <w:t xml:space="preserve"> of the pillars</w:t>
      </w:r>
      <w:r w:rsidRPr="00027624">
        <w:t xml:space="preserve"> that delivering adequate outcomes from the system should be cost</w:t>
      </w:r>
      <w:r w:rsidR="00A8443E" w:rsidRPr="00027624">
        <w:noBreakHyphen/>
      </w:r>
      <w:r w:rsidRPr="00027624">
        <w:t xml:space="preserve">effective for taxpayers. Discounting Age Pension expenditure and the cost of superannuation tax concessions by the inflation rate or wages growth would not correctly present the cost of the system to taxpayers. </w:t>
      </w:r>
    </w:p>
    <w:p w14:paraId="60C2F44D" w14:textId="77777777" w:rsidR="00B3792F" w:rsidRPr="00027624" w:rsidRDefault="00B3792F" w:rsidP="00EA28D7">
      <w:pPr>
        <w:pStyle w:val="Bullet"/>
        <w:rPr>
          <w:b/>
        </w:rPr>
      </w:pPr>
      <w:r w:rsidRPr="00027624">
        <w:rPr>
          <w:b/>
        </w:rPr>
        <w:t xml:space="preserve">Express superannuation tax concessions as a proportion of superannuation contributions, rather than in dollar terms. </w:t>
      </w:r>
    </w:p>
    <w:p w14:paraId="32232449" w14:textId="77777777" w:rsidR="00B3792F" w:rsidRPr="00027624" w:rsidRDefault="00B3792F" w:rsidP="00FC7361">
      <w:pPr>
        <w:pStyle w:val="Dash"/>
        <w:numPr>
          <w:ilvl w:val="1"/>
          <w:numId w:val="44"/>
        </w:numPr>
      </w:pPr>
      <w:r w:rsidRPr="00027624">
        <w:t>This approach would only aid understanding of the proportion of superannuation balances attributable to public support, not the actual quantum of support provided to people with different means. Expressing lifetime Government support in dollar terms aids understanding of:</w:t>
      </w:r>
    </w:p>
    <w:p w14:paraId="0933D718" w14:textId="77777777" w:rsidR="00B3792F" w:rsidRPr="00027624" w:rsidRDefault="00B3792F" w:rsidP="00FC7361">
      <w:pPr>
        <w:pStyle w:val="DoubleDot"/>
        <w:numPr>
          <w:ilvl w:val="2"/>
          <w:numId w:val="44"/>
        </w:numPr>
      </w:pPr>
      <w:r w:rsidRPr="00027624">
        <w:t>The quantum of support provided to people with different means</w:t>
      </w:r>
    </w:p>
    <w:p w14:paraId="24CF6DA4" w14:textId="77777777" w:rsidR="00B3792F" w:rsidRPr="00027624" w:rsidRDefault="00B3792F" w:rsidP="00FC7361">
      <w:pPr>
        <w:pStyle w:val="DoubleDot"/>
        <w:numPr>
          <w:ilvl w:val="2"/>
          <w:numId w:val="44"/>
        </w:numPr>
      </w:pPr>
      <w:r w:rsidRPr="00027624">
        <w:t xml:space="preserve">Whether Government support is allocated to people who already have adequate retirement outcomes </w:t>
      </w:r>
    </w:p>
    <w:p w14:paraId="44ADEFB7" w14:textId="77777777" w:rsidR="00B3792F" w:rsidRPr="00027624" w:rsidRDefault="00B3792F" w:rsidP="00FC7361">
      <w:pPr>
        <w:pStyle w:val="DoubleDot"/>
        <w:numPr>
          <w:ilvl w:val="2"/>
          <w:numId w:val="44"/>
        </w:numPr>
      </w:pPr>
      <w:r w:rsidRPr="00027624">
        <w:t>Government</w:t>
      </w:r>
      <w:r w:rsidR="00A8443E" w:rsidRPr="00027624">
        <w:t>’</w:t>
      </w:r>
      <w:r w:rsidRPr="00027624">
        <w:t xml:space="preserve">s ability to absorb the costs of the retirement income system </w:t>
      </w:r>
    </w:p>
    <w:p w14:paraId="5FD20FBA" w14:textId="77777777" w:rsidR="00B3792F" w:rsidRPr="00027624" w:rsidRDefault="00B3792F" w:rsidP="00FC7361">
      <w:pPr>
        <w:pStyle w:val="Bullet"/>
        <w:numPr>
          <w:ilvl w:val="0"/>
          <w:numId w:val="44"/>
        </w:numPr>
        <w:rPr>
          <w:b/>
          <w:bCs/>
        </w:rPr>
      </w:pPr>
      <w:r w:rsidRPr="00027624">
        <w:rPr>
          <w:b/>
          <w:bCs/>
        </w:rPr>
        <w:t xml:space="preserve">Include social transfers in kind provided to retirees. </w:t>
      </w:r>
    </w:p>
    <w:p w14:paraId="18B24104" w14:textId="33E7E16D" w:rsidR="00B3792F" w:rsidRPr="00027624" w:rsidRDefault="00B3792F" w:rsidP="00FC7361">
      <w:pPr>
        <w:pStyle w:val="Dash"/>
        <w:numPr>
          <w:ilvl w:val="1"/>
          <w:numId w:val="44"/>
        </w:numPr>
      </w:pPr>
      <w:r w:rsidRPr="00027624">
        <w:fldChar w:fldCharType="begin"/>
      </w:r>
      <w:r w:rsidRPr="00027624">
        <w:instrText xml:space="preserve"> REF _Ref44520453 \r \h  \* MERGEFORMAT </w:instrText>
      </w:r>
      <w:r w:rsidRPr="00027624">
        <w:fldChar w:fldCharType="separate"/>
      </w:r>
      <w:r w:rsidR="00891058">
        <w:t>Chart 3A-13</w:t>
      </w:r>
      <w:r w:rsidRPr="00027624">
        <w:fldChar w:fldCharType="end"/>
      </w:r>
      <w:r w:rsidRPr="00027624">
        <w:rPr>
          <w:i/>
        </w:rPr>
        <w:t xml:space="preserve"> </w:t>
      </w:r>
      <w:r w:rsidRPr="00027624">
        <w:t>in</w:t>
      </w:r>
      <w:r w:rsidRPr="00027624">
        <w:rPr>
          <w:i/>
        </w:rPr>
        <w:t xml:space="preserve"> 3A. </w:t>
      </w:r>
      <w:r w:rsidRPr="00027624">
        <w:rPr>
          <w:i/>
        </w:rPr>
        <w:fldChar w:fldCharType="begin"/>
      </w:r>
      <w:r w:rsidRPr="00027624">
        <w:rPr>
          <w:i/>
        </w:rPr>
        <w:instrText xml:space="preserve"> REF _Ref40312052  \* MERGEFORMAT </w:instrText>
      </w:r>
      <w:r w:rsidRPr="00027624">
        <w:rPr>
          <w:i/>
        </w:rPr>
        <w:fldChar w:fldCharType="separate"/>
      </w:r>
      <w:r w:rsidR="00891058" w:rsidRPr="00891058">
        <w:rPr>
          <w:i/>
        </w:rPr>
        <w:t>Income and wealth</w:t>
      </w:r>
      <w:r w:rsidRPr="00027624">
        <w:rPr>
          <w:i/>
        </w:rPr>
        <w:fldChar w:fldCharType="end"/>
      </w:r>
      <w:r w:rsidRPr="00027624">
        <w:rPr>
          <w:i/>
        </w:rPr>
        <w:t xml:space="preserve"> distribution </w:t>
      </w:r>
      <w:r w:rsidRPr="00027624">
        <w:t>highlights that although higher</w:t>
      </w:r>
      <w:r w:rsidR="00A8443E" w:rsidRPr="00027624">
        <w:noBreakHyphen/>
      </w:r>
      <w:r w:rsidRPr="00027624">
        <w:t xml:space="preserve">wealth households </w:t>
      </w:r>
      <w:r w:rsidRPr="00027624">
        <w:rPr>
          <w:bCs/>
        </w:rPr>
        <w:t xml:space="preserve">generally </w:t>
      </w:r>
      <w:r w:rsidRPr="00027624">
        <w:t>receive less social transfers in kind than lower</w:t>
      </w:r>
      <w:r w:rsidR="00A8443E" w:rsidRPr="00027624">
        <w:rPr>
          <w:bCs/>
        </w:rPr>
        <w:noBreakHyphen/>
      </w:r>
      <w:r w:rsidRPr="00027624">
        <w:t>wealth households, they still receive substantial transfers. As a result, including social transfers in kind in the lifetime Government support analysis is unlikely to substantially change the results of the analysis presented in this report.</w:t>
      </w:r>
    </w:p>
    <w:p w14:paraId="09750641" w14:textId="77777777" w:rsidR="00B3792F" w:rsidRPr="00027624" w:rsidRDefault="00B3792F" w:rsidP="00FC7361">
      <w:pPr>
        <w:pStyle w:val="ChartMainHeading"/>
        <w:numPr>
          <w:ilvl w:val="2"/>
          <w:numId w:val="46"/>
        </w:numPr>
      </w:pPr>
      <w:bookmarkStart w:id="1227" w:name="_Ref42771796"/>
      <w:r w:rsidRPr="00027624">
        <w:t>Projected</w:t>
      </w:r>
      <w:r w:rsidR="00FA26D4" w:rsidRPr="00027624">
        <w:t xml:space="preserve"> proportion of lifetime Government support provided through </w:t>
      </w:r>
      <w:r w:rsidRPr="00027624">
        <w:t>earnings tax concessions on voluntary pre</w:t>
      </w:r>
      <w:r w:rsidR="00A8443E" w:rsidRPr="00027624">
        <w:noBreakHyphen/>
      </w:r>
      <w:r w:rsidRPr="00027624">
        <w:t>tax superannuation contributions</w:t>
      </w:r>
      <w:bookmarkEnd w:id="1227"/>
    </w:p>
    <w:p w14:paraId="697DB03F" w14:textId="77777777" w:rsidR="00B3792F" w:rsidRPr="00027624" w:rsidRDefault="00A720B6" w:rsidP="00FA26D4">
      <w:pPr>
        <w:pStyle w:val="ChartGraphic"/>
      </w:pPr>
      <w:r>
        <w:rPr>
          <w:noProof/>
        </w:rPr>
        <w:drawing>
          <wp:inline distT="0" distB="0" distL="0" distR="0" wp14:anchorId="4C8513BF" wp14:editId="28536ED7">
            <wp:extent cx="5760720" cy="2522220"/>
            <wp:effectExtent l="0" t="0" r="0" b="0"/>
            <wp:docPr id="771978744" name="Picture 771978744" descr="This chart shows that the projected earnings tax concessions on voluntary pre-tax superannuation contributions, as a percentage of lifetime Government support provided through the retirement income system, increase as lifetime income increases up to the 80th percentile (peaking at around 10 per cent), and then reduces. " title="Chart 3A-16 Projected earnings tax concessions on voluntary pre-tax superannuation contrib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720" cy="2522220"/>
                    </a:xfrm>
                    <a:prstGeom prst="rect">
                      <a:avLst/>
                    </a:prstGeom>
                    <a:noFill/>
                  </pic:spPr>
                </pic:pic>
              </a:graphicData>
            </a:graphic>
          </wp:inline>
        </w:drawing>
      </w:r>
    </w:p>
    <w:p w14:paraId="15DF496A" w14:textId="77777777" w:rsidR="00B3792F" w:rsidRPr="00027624" w:rsidRDefault="00B3792F" w:rsidP="00B3792F">
      <w:pPr>
        <w:pStyle w:val="ChartorTableNote"/>
      </w:pPr>
      <w:r w:rsidRPr="00027624">
        <w:t xml:space="preserve">Note: </w:t>
      </w:r>
      <w:r w:rsidRPr="00027624">
        <w:rPr>
          <w:szCs w:val="18"/>
        </w:rPr>
        <w:t>Values are in 2019</w:t>
      </w:r>
      <w:r w:rsidR="00A8443E" w:rsidRPr="00027624">
        <w:rPr>
          <w:szCs w:val="18"/>
        </w:rPr>
        <w:noBreakHyphen/>
      </w:r>
      <w:r w:rsidRPr="00027624">
        <w:rPr>
          <w:szCs w:val="18"/>
        </w:rPr>
        <w:t>20 dollars, deflated using the review</w:t>
      </w:r>
      <w:r w:rsidR="00A8443E" w:rsidRPr="00027624">
        <w:rPr>
          <w:szCs w:val="18"/>
        </w:rPr>
        <w:t>’</w:t>
      </w:r>
      <w:r w:rsidRPr="00027624">
        <w:rPr>
          <w:szCs w:val="18"/>
        </w:rPr>
        <w:t xml:space="preserve">s GDP deflator and uses review assumptions (see </w:t>
      </w:r>
      <w:r w:rsidRPr="00027624">
        <w:rPr>
          <w:i/>
          <w:szCs w:val="18"/>
        </w:rPr>
        <w:t>Appendix 6A. Detailed modelling methods and assumptions</w:t>
      </w:r>
      <w:r w:rsidRPr="00027624">
        <w:rPr>
          <w:szCs w:val="18"/>
        </w:rPr>
        <w:t>)</w:t>
      </w:r>
      <w:r w:rsidRPr="00027624">
        <w:t>. Earnings tax concessions on voluntary pre</w:t>
      </w:r>
      <w:r w:rsidR="00A8443E" w:rsidRPr="00027624">
        <w:noBreakHyphen/>
      </w:r>
      <w:r w:rsidRPr="00027624">
        <w:t>tax contributions is estimated by comparing total earnings tax concessions with and without making salary sacrifice contributions. Does not include personal deductible pre</w:t>
      </w:r>
      <w:r w:rsidR="00A8443E" w:rsidRPr="00027624">
        <w:noBreakHyphen/>
      </w:r>
      <w:r w:rsidRPr="00027624">
        <w:t>tax voluntary contributions. Source: Cameo modelling undertaken for the review.</w:t>
      </w:r>
    </w:p>
    <w:p w14:paraId="321029E5" w14:textId="77777777" w:rsidR="00B3792F" w:rsidRPr="00027624" w:rsidRDefault="00B3792F" w:rsidP="00B3792F">
      <w:pPr>
        <w:pStyle w:val="Heading3"/>
      </w:pPr>
      <w:bookmarkStart w:id="1228" w:name="_Toc43117800"/>
      <w:bookmarkStart w:id="1229" w:name="_Toc43121439"/>
      <w:bookmarkStart w:id="1230" w:name="_Toc43122644"/>
      <w:bookmarkStart w:id="1231" w:name="_Toc42778779"/>
      <w:bookmarkStart w:id="1232" w:name="_Toc42779919"/>
      <w:bookmarkStart w:id="1233" w:name="_Toc42780348"/>
      <w:bookmarkStart w:id="1234" w:name="_Toc42786338"/>
      <w:bookmarkStart w:id="1235" w:name="_Toc42791831"/>
      <w:bookmarkStart w:id="1236" w:name="_Toc42791993"/>
      <w:bookmarkStart w:id="1237" w:name="_Toc43127699"/>
      <w:r w:rsidRPr="00027624">
        <w:lastRenderedPageBreak/>
        <w:t>Superannuation drawdown rate</w:t>
      </w:r>
      <w:bookmarkEnd w:id="1228"/>
      <w:bookmarkEnd w:id="1229"/>
      <w:bookmarkEnd w:id="1230"/>
      <w:bookmarkEnd w:id="1231"/>
      <w:bookmarkEnd w:id="1232"/>
      <w:bookmarkEnd w:id="1233"/>
      <w:bookmarkEnd w:id="1234"/>
      <w:bookmarkEnd w:id="1235"/>
      <w:bookmarkEnd w:id="1236"/>
      <w:bookmarkEnd w:id="1237"/>
    </w:p>
    <w:p w14:paraId="31240D7C" w14:textId="3E62E258" w:rsidR="00B3792F" w:rsidRPr="00027624" w:rsidRDefault="00B3792F" w:rsidP="00B3792F">
      <w:r w:rsidRPr="00027624">
        <w:t xml:space="preserve">The lifetime Government support analysis presented in </w:t>
      </w:r>
      <w:r w:rsidRPr="00027624">
        <w:rPr>
          <w:i/>
        </w:rPr>
        <w:t xml:space="preserve">3A. </w:t>
      </w:r>
      <w:r w:rsidRPr="00027624">
        <w:rPr>
          <w:i/>
        </w:rPr>
        <w:fldChar w:fldCharType="begin"/>
      </w:r>
      <w:r w:rsidRPr="00027624">
        <w:rPr>
          <w:i/>
        </w:rPr>
        <w:instrText xml:space="preserve"> REF _Ref40312089  \* MERGEFORMAT </w:instrText>
      </w:r>
      <w:r w:rsidRPr="00027624">
        <w:rPr>
          <w:i/>
        </w:rPr>
        <w:fldChar w:fldCharType="separate"/>
      </w:r>
      <w:r w:rsidR="00891058" w:rsidRPr="00891058">
        <w:rPr>
          <w:i/>
        </w:rPr>
        <w:t>Income and wealth</w:t>
      </w:r>
      <w:r w:rsidRPr="00027624">
        <w:rPr>
          <w:i/>
        </w:rPr>
        <w:fldChar w:fldCharType="end"/>
      </w:r>
      <w:r w:rsidRPr="00027624">
        <w:rPr>
          <w:i/>
        </w:rPr>
        <w:t xml:space="preserve"> distribution</w:t>
      </w:r>
      <w:r w:rsidRPr="00027624">
        <w:t xml:space="preserve"> assumes superannuation savings are drawn down to exhaust people</w:t>
      </w:r>
      <w:r w:rsidR="00A8443E" w:rsidRPr="00027624">
        <w:t>’</w:t>
      </w:r>
      <w:r w:rsidRPr="00027624">
        <w:t xml:space="preserve">s superannuation savings at life expectancy. However, many retirees draw down at the minimum drawdown rates (see </w:t>
      </w:r>
      <w:r w:rsidRPr="00027624">
        <w:rPr>
          <w:i/>
        </w:rPr>
        <w:t>5A. Cohesion</w:t>
      </w:r>
      <w:r w:rsidRPr="00027624">
        <w:t>), which are lower than those required to exhaust superannuation savings at life expectancy.</w:t>
      </w:r>
      <w:r w:rsidRPr="00027624" w:rsidDel="00821B12">
        <w:t xml:space="preserve"> </w:t>
      </w:r>
      <w:r w:rsidRPr="00027624">
        <w:t>Lower drawdown rates increase the amount of superannuation tax concessions obtained in retirement and decrease the Age Pension entitlements for some people. The distribution of lifetime Government support does not significantly change under the minimum drawdown rates, compared with drawing down superannuation to exhaust at life expectancy (</w:t>
      </w:r>
      <w:r w:rsidRPr="00027624">
        <w:fldChar w:fldCharType="begin"/>
      </w:r>
      <w:r w:rsidRPr="00027624">
        <w:instrText xml:space="preserve"> REF _Ref42771687 \w \h </w:instrText>
      </w:r>
      <w:r w:rsidR="00FA7639" w:rsidRPr="00027624">
        <w:instrText xml:space="preserve"> \* MERGEFORMAT </w:instrText>
      </w:r>
      <w:r w:rsidRPr="00027624">
        <w:fldChar w:fldCharType="separate"/>
      </w:r>
      <w:r w:rsidR="00891058">
        <w:t>Chart 3A-17</w:t>
      </w:r>
      <w:r w:rsidRPr="00027624">
        <w:fldChar w:fldCharType="end"/>
      </w:r>
      <w:r w:rsidRPr="00027624">
        <w:t>). This is because:</w:t>
      </w:r>
    </w:p>
    <w:p w14:paraId="4F2618F9" w14:textId="77777777" w:rsidR="00B3792F" w:rsidRPr="00CA7598" w:rsidRDefault="00B3792F" w:rsidP="00CA7598">
      <w:pPr>
        <w:pStyle w:val="Bullet"/>
      </w:pPr>
      <w:r w:rsidRPr="00CA7598">
        <w:t>Most superannuation tax concessions are earned prior to retirement (see 4. Sustainability)</w:t>
      </w:r>
    </w:p>
    <w:p w14:paraId="0398FAE0" w14:textId="77777777" w:rsidR="00B3792F" w:rsidRPr="00027624" w:rsidRDefault="00B3792F" w:rsidP="00CA7598">
      <w:pPr>
        <w:pStyle w:val="Bullet"/>
      </w:pPr>
      <w:r w:rsidRPr="00CA7598">
        <w:t>For middle</w:t>
      </w:r>
      <w:r w:rsidR="00A8443E" w:rsidRPr="00CA7598">
        <w:noBreakHyphen/>
      </w:r>
      <w:r w:rsidRPr="00CA7598">
        <w:t>income earners, the increase in the amount of superannuation tax concessions received</w:t>
      </w:r>
      <w:r w:rsidRPr="00027624">
        <w:t xml:space="preserve"> is offset by receiving less Age Pension (see </w:t>
      </w:r>
      <w:r w:rsidRPr="00027624">
        <w:rPr>
          <w:i/>
        </w:rPr>
        <w:t>4. Sustainability</w:t>
      </w:r>
      <w:r w:rsidRPr="00027624">
        <w:t>)</w:t>
      </w:r>
    </w:p>
    <w:p w14:paraId="1EDD24DD" w14:textId="77777777" w:rsidR="00B3792F" w:rsidRPr="00027624" w:rsidRDefault="00B3792F" w:rsidP="00FC7361">
      <w:pPr>
        <w:pStyle w:val="ChartMainHeading"/>
        <w:numPr>
          <w:ilvl w:val="2"/>
          <w:numId w:val="46"/>
        </w:numPr>
      </w:pPr>
      <w:bookmarkStart w:id="1238" w:name="_Ref42771687"/>
      <w:r w:rsidRPr="00027624">
        <w:t>Projected lifetime Government support provided through the retirement income system, by drawdown strategy</w:t>
      </w:r>
      <w:bookmarkEnd w:id="1238"/>
    </w:p>
    <w:p w14:paraId="24DC02AF" w14:textId="77777777" w:rsidR="00B3792F" w:rsidRPr="00027624" w:rsidRDefault="00A720B6" w:rsidP="00632966">
      <w:pPr>
        <w:pStyle w:val="ChartGraphic"/>
      </w:pPr>
      <w:r>
        <w:rPr>
          <w:noProof/>
        </w:rPr>
        <w:drawing>
          <wp:inline distT="0" distB="0" distL="0" distR="0" wp14:anchorId="23CFF4FD" wp14:editId="7BF6614D">
            <wp:extent cx="5760720" cy="2522220"/>
            <wp:effectExtent l="0" t="0" r="0" b="0"/>
            <wp:docPr id="771978745" name="Picture 771978745" descr="This chart shows that those at higher lifetime incomes (income percentiles 80 and above) are projected to receive more Government support through the retirement income system than those at lower income percentiles, even when drawing down superannuation at the minimum rates. For those at percentiles 20-80, the projected lifetime Government support provided through the retirement income system when drawing down at the minimum draw down rates is lower compared to drawing down by life expectancy. At other percentiles, it is slightly higher when drawing down at the minimum draw down rates. " title="Chart 3A-17 Projected lifetime government support provided through the retirement income system, by drawdown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720" cy="2522220"/>
                    </a:xfrm>
                    <a:prstGeom prst="rect">
                      <a:avLst/>
                    </a:prstGeom>
                    <a:noFill/>
                  </pic:spPr>
                </pic:pic>
              </a:graphicData>
            </a:graphic>
          </wp:inline>
        </w:drawing>
      </w:r>
    </w:p>
    <w:p w14:paraId="275FC998" w14:textId="77777777" w:rsidR="00B3792F" w:rsidRPr="00027624" w:rsidRDefault="00B3792F" w:rsidP="00B3792F">
      <w:pPr>
        <w:pStyle w:val="ChartorTableNote"/>
        <w:rPr>
          <w:szCs w:val="18"/>
        </w:rPr>
      </w:pPr>
      <w:r w:rsidRPr="00027624">
        <w:rPr>
          <w:szCs w:val="18"/>
        </w:rPr>
        <w:t>Note: Values are in 2019</w:t>
      </w:r>
      <w:r w:rsidR="00A8443E" w:rsidRPr="00027624">
        <w:rPr>
          <w:szCs w:val="18"/>
        </w:rPr>
        <w:noBreakHyphen/>
      </w:r>
      <w:r w:rsidRPr="00027624">
        <w:rPr>
          <w:szCs w:val="18"/>
        </w:rPr>
        <w:t>20 dollars, deflated using the review</w:t>
      </w:r>
      <w:r w:rsidR="00A8443E" w:rsidRPr="00027624">
        <w:rPr>
          <w:szCs w:val="18"/>
        </w:rPr>
        <w:t>’</w:t>
      </w:r>
      <w:r w:rsidRPr="00027624">
        <w:rPr>
          <w:szCs w:val="18"/>
        </w:rPr>
        <w:t xml:space="preserve">s GDP deflator and review assumptions (see </w:t>
      </w:r>
      <w:r w:rsidRPr="00027624">
        <w:rPr>
          <w:i/>
          <w:szCs w:val="18"/>
        </w:rPr>
        <w:t>Appendix 6A. Detailed modelling methods and assumptions</w:t>
      </w:r>
      <w:r w:rsidRPr="00027624">
        <w:rPr>
          <w:szCs w:val="18"/>
        </w:rPr>
        <w:t>). Minimum drawdown rates are the legislated rates for superannuation income streams</w:t>
      </w:r>
      <w:r w:rsidRPr="00027624">
        <w:t xml:space="preserve">. </w:t>
      </w:r>
      <w:r w:rsidRPr="00027624">
        <w:rPr>
          <w:szCs w:val="18"/>
        </w:rPr>
        <w:t xml:space="preserve">Source: Cameo modelling undertaken for the review. </w:t>
      </w:r>
    </w:p>
    <w:p w14:paraId="20C593C7" w14:textId="77777777" w:rsidR="001B6C0B" w:rsidRPr="00027624" w:rsidRDefault="001B6C0B" w:rsidP="001B6C0B">
      <w:pPr>
        <w:sectPr w:rsidR="001B6C0B" w:rsidRPr="00027624" w:rsidSect="0023126C">
          <w:type w:val="oddPage"/>
          <w:pgSz w:w="11906" w:h="16838" w:code="9"/>
          <w:pgMar w:top="1418" w:right="1418" w:bottom="1418" w:left="1418" w:header="709" w:footer="709" w:gutter="0"/>
          <w:cols w:space="708"/>
          <w:titlePg/>
          <w:docGrid w:linePitch="360"/>
        </w:sectPr>
      </w:pPr>
      <w:bookmarkStart w:id="1239" w:name="_Toc36041843"/>
      <w:bookmarkStart w:id="1240" w:name="_Ref40296501"/>
      <w:bookmarkStart w:id="1241" w:name="_Toc40297438"/>
      <w:bookmarkStart w:id="1242" w:name="_Ref40298030"/>
      <w:bookmarkStart w:id="1243" w:name="_Ref40298412"/>
      <w:bookmarkStart w:id="1244" w:name="_Ref40301318"/>
      <w:bookmarkStart w:id="1245" w:name="_Ref40307171"/>
      <w:bookmarkStart w:id="1246" w:name="_Ref40307358"/>
      <w:bookmarkStart w:id="1247" w:name="_Ref40308752"/>
      <w:bookmarkStart w:id="1248" w:name="_Ref40310486"/>
      <w:bookmarkStart w:id="1249" w:name="_Toc40366107"/>
      <w:bookmarkStart w:id="1250" w:name="_Toc40369653"/>
      <w:bookmarkStart w:id="1251" w:name="_Toc40427623"/>
      <w:bookmarkStart w:id="1252" w:name="_Toc40458060"/>
      <w:bookmarkStart w:id="1253" w:name="_Toc40461829"/>
      <w:bookmarkStart w:id="1254" w:name="_Toc40474384"/>
      <w:bookmarkStart w:id="1255" w:name="_Toc40477913"/>
      <w:bookmarkStart w:id="1256" w:name="_Toc40521493"/>
      <w:bookmarkStart w:id="1257" w:name="_Toc40530352"/>
      <w:bookmarkStart w:id="1258" w:name="_Toc42778780"/>
      <w:bookmarkStart w:id="1259" w:name="_Toc42779920"/>
      <w:bookmarkStart w:id="1260" w:name="_Toc42780349"/>
      <w:bookmarkStart w:id="1261" w:name="_Toc42786339"/>
      <w:bookmarkStart w:id="1262" w:name="_Toc42791832"/>
      <w:bookmarkStart w:id="1263" w:name="_Toc42791994"/>
      <w:bookmarkStart w:id="1264" w:name="_Toc43117801"/>
      <w:bookmarkStart w:id="1265" w:name="_Toc43121440"/>
      <w:bookmarkStart w:id="1266" w:name="_Toc43122645"/>
      <w:bookmarkStart w:id="1267" w:name="_Toc43127700"/>
      <w:bookmarkStart w:id="1268" w:name="_Ref45102740"/>
      <w:bookmarkStart w:id="1269" w:name="_Ref45102747"/>
      <w:bookmarkStart w:id="1270" w:name="_Ref45102753"/>
      <w:bookmarkStart w:id="1271" w:name="_Ref45138362"/>
      <w:bookmarkStart w:id="1272" w:name="_Ref45138373"/>
      <w:bookmarkStart w:id="1273" w:name="_Ref45138531"/>
      <w:bookmarkStart w:id="1274" w:name="_Ref45138538"/>
      <w:bookmarkStart w:id="1275" w:name="_Ref45138564"/>
      <w:bookmarkStart w:id="1276" w:name="_Ref45138575"/>
      <w:bookmarkStart w:id="1277" w:name="_Ref45138580"/>
      <w:bookmarkStart w:id="1278" w:name="_Toc45520493"/>
      <w:bookmarkStart w:id="1279" w:name="_Toc33528138"/>
      <w:bookmarkStart w:id="1280" w:name="_Toc35075772"/>
      <w:bookmarkStart w:id="1281" w:name="_Toc35085857"/>
    </w:p>
    <w:p w14:paraId="56C2FEAD" w14:textId="77777777" w:rsidR="00B3792F" w:rsidRPr="00027624" w:rsidRDefault="00B3792F" w:rsidP="00FC7361">
      <w:pPr>
        <w:pStyle w:val="Heading1"/>
        <w:numPr>
          <w:ilvl w:val="1"/>
          <w:numId w:val="46"/>
        </w:numPr>
        <w:spacing w:before="240"/>
      </w:pPr>
      <w:bookmarkStart w:id="1282" w:name="_Toc46133604"/>
      <w:r w:rsidRPr="00027624">
        <w:lastRenderedPageBreak/>
        <w:t>Gender and partnered status</w:t>
      </w:r>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82"/>
      <w:r w:rsidRPr="00027624">
        <w:t xml:space="preserve"> </w:t>
      </w:r>
    </w:p>
    <w:tbl>
      <w:tblPr>
        <w:tblpPr w:leftFromText="180" w:rightFromText="180" w:vertAnchor="text" w:tblpXSpec="center" w:tblpY="1"/>
        <w:tblOverlap w:val="never"/>
        <w:tblW w:w="5000" w:type="pct"/>
        <w:jc w:val="center"/>
        <w:shd w:val="clear" w:color="auto" w:fill="DFD7E7" w:themeFill="accent3" w:themeFillTint="33"/>
        <w:tblLook w:val="01E0" w:firstRow="1" w:lastRow="1" w:firstColumn="1" w:lastColumn="1" w:noHBand="0" w:noVBand="0"/>
      </w:tblPr>
      <w:tblGrid>
        <w:gridCol w:w="9070"/>
      </w:tblGrid>
      <w:tr w:rsidR="00B3792F" w:rsidRPr="00027624" w14:paraId="6883E8FE" w14:textId="77777777" w:rsidTr="00B3792F">
        <w:trPr>
          <w:jc w:val="center"/>
        </w:trPr>
        <w:tc>
          <w:tcPr>
            <w:tcW w:w="5000" w:type="pct"/>
            <w:shd w:val="clear" w:color="auto" w:fill="DFD7E7" w:themeFill="accent3" w:themeFillTint="33"/>
          </w:tcPr>
          <w:p w14:paraId="11B11455" w14:textId="77777777" w:rsidR="00B3792F" w:rsidRPr="00027624" w:rsidRDefault="00B3792F" w:rsidP="00FC7361">
            <w:pPr>
              <w:pStyle w:val="BoxHeading"/>
              <w:numPr>
                <w:ilvl w:val="5"/>
                <w:numId w:val="46"/>
              </w:numPr>
            </w:pPr>
            <w:r w:rsidRPr="00027624">
              <w:t>Section summary</w:t>
            </w:r>
          </w:p>
          <w:p w14:paraId="5165C06B" w14:textId="77777777" w:rsidR="00B3792F" w:rsidRPr="00027624" w:rsidRDefault="00B3792F" w:rsidP="00B3792F">
            <w:pPr>
              <w:pStyle w:val="BoxBullet"/>
            </w:pPr>
            <w:r w:rsidRPr="00027624">
              <w:rPr>
                <w:b/>
                <w:bCs/>
              </w:rPr>
              <w:t>Differences in retirement savings between men and women reflect the accumulated economic disadvantages faced by women in working life</w:t>
            </w:r>
            <w:r w:rsidRPr="00027624">
              <w:rPr>
                <w:b/>
              </w:rPr>
              <w:t>.</w:t>
            </w:r>
            <w:r w:rsidRPr="00027624">
              <w:t xml:space="preserve"> On average, compared with men, women have lower wages, are more likely to work part</w:t>
            </w:r>
            <w:r w:rsidR="00A8443E" w:rsidRPr="00027624">
              <w:noBreakHyphen/>
            </w:r>
            <w:r w:rsidRPr="00027624">
              <w:t xml:space="preserve">time, take more career breaks, and experience worse financial impacts from divorce. These factors contribute to the gender gap in superannuation balances at retirement. </w:t>
            </w:r>
          </w:p>
          <w:p w14:paraId="4793A3E9" w14:textId="77777777" w:rsidR="00B3792F" w:rsidRPr="00027624" w:rsidRDefault="00B3792F" w:rsidP="00B3792F">
            <w:pPr>
              <w:pStyle w:val="BoxBullet"/>
              <w:rPr>
                <w:b/>
                <w:bCs/>
              </w:rPr>
            </w:pPr>
            <w:r w:rsidRPr="00027624">
              <w:rPr>
                <w:b/>
                <w:bCs/>
              </w:rPr>
              <w:t>The working</w:t>
            </w:r>
            <w:r w:rsidR="00A8443E" w:rsidRPr="00027624">
              <w:rPr>
                <w:b/>
                <w:bCs/>
              </w:rPr>
              <w:noBreakHyphen/>
            </w:r>
            <w:r w:rsidRPr="00027624">
              <w:rPr>
                <w:b/>
                <w:bCs/>
              </w:rPr>
              <w:t xml:space="preserve">life earnings gap between men and women, rather than retirement income system settings, is the main driver of the gender gap in superannuation balances at retirement. </w:t>
            </w:r>
            <w:r w:rsidRPr="00027624">
              <w:t>Some elements of the retirement income system have a small effect on the gender gap in superannuation balances. Fixed fees and insurance premiums, and exclusions from the SG</w:t>
            </w:r>
            <w:r w:rsidR="00A8443E" w:rsidRPr="00027624">
              <w:t xml:space="preserve"> — </w:t>
            </w:r>
            <w:r w:rsidRPr="00027624">
              <w:t>such as the $450</w:t>
            </w:r>
            <w:r w:rsidR="00A8443E" w:rsidRPr="00027624">
              <w:noBreakHyphen/>
            </w:r>
            <w:r w:rsidRPr="00027624">
              <w:t>a</w:t>
            </w:r>
            <w:r w:rsidR="00A8443E" w:rsidRPr="00027624">
              <w:noBreakHyphen/>
            </w:r>
            <w:r w:rsidRPr="00027624">
              <w:t>month threshold and paid parental leave</w:t>
            </w:r>
            <w:r w:rsidR="00A8443E" w:rsidRPr="00027624">
              <w:t xml:space="preserve"> — </w:t>
            </w:r>
            <w:r w:rsidRPr="00027624">
              <w:t>increase the gap in balances, although their net effect on retirement incomes is small. System features, such as the low income superannuation tax offset for lower</w:t>
            </w:r>
            <w:r w:rsidR="00A8443E" w:rsidRPr="00027624">
              <w:noBreakHyphen/>
            </w:r>
            <w:r w:rsidRPr="00027624">
              <w:t xml:space="preserve">income earners and the Division 293 tax on contributions for very high income earners, marginally reduce the average gender gap in superannuation balances and retirement incomes. </w:t>
            </w:r>
          </w:p>
          <w:p w14:paraId="0603EFB9" w14:textId="77777777" w:rsidR="00B3792F" w:rsidRPr="00027624" w:rsidRDefault="00B3792F" w:rsidP="00B3792F">
            <w:pPr>
              <w:pStyle w:val="BoxBullet"/>
              <w:rPr>
                <w:b/>
                <w:bCs/>
              </w:rPr>
            </w:pPr>
            <w:r w:rsidRPr="00027624">
              <w:rPr>
                <w:b/>
                <w:bCs/>
              </w:rPr>
              <w:t xml:space="preserve">Women retire earlier and live longer than men, meaning their savings have to last longer. </w:t>
            </w:r>
          </w:p>
          <w:p w14:paraId="60104A05" w14:textId="77777777" w:rsidR="00B3792F" w:rsidRPr="00027624" w:rsidRDefault="00B3792F" w:rsidP="00B3792F">
            <w:pPr>
              <w:pStyle w:val="BoxBullet"/>
            </w:pPr>
            <w:r w:rsidRPr="00027624">
              <w:rPr>
                <w:b/>
                <w:bCs/>
              </w:rPr>
              <w:t>In future, the gap between men</w:t>
            </w:r>
            <w:r w:rsidR="00A8443E" w:rsidRPr="00027624">
              <w:rPr>
                <w:b/>
                <w:bCs/>
              </w:rPr>
              <w:t>’</w:t>
            </w:r>
            <w:r w:rsidRPr="00027624">
              <w:rPr>
                <w:b/>
                <w:bCs/>
              </w:rPr>
              <w:t>s and women</w:t>
            </w:r>
            <w:r w:rsidR="00A8443E" w:rsidRPr="00027624">
              <w:rPr>
                <w:b/>
                <w:bCs/>
              </w:rPr>
              <w:t>’</w:t>
            </w:r>
            <w:r w:rsidRPr="00027624">
              <w:rPr>
                <w:b/>
                <w:bCs/>
              </w:rPr>
              <w:t>s superannuation balances and coverage is expected to narrow substantially, but not close.</w:t>
            </w:r>
            <w:r w:rsidRPr="00027624">
              <w:t xml:space="preserve"> This is due to the maturing superannuation system, higher voluntary contributions made by women, and the lag effects of previous increases in female labour force participation on superannuation balances at retirement. However, gaps are likely to remain if women continue to have lower workforce participation and earnings than men. </w:t>
            </w:r>
          </w:p>
          <w:p w14:paraId="6BF49C66" w14:textId="77777777" w:rsidR="00B3792F" w:rsidRPr="00027624" w:rsidRDefault="00B3792F" w:rsidP="00B3792F">
            <w:pPr>
              <w:pStyle w:val="BoxBullet"/>
            </w:pPr>
            <w:r w:rsidRPr="00027624">
              <w:rPr>
                <w:b/>
              </w:rPr>
              <w:t>Women make more voluntary superannuation contributions than men</w:t>
            </w:r>
            <w:r w:rsidR="00A8443E" w:rsidRPr="00027624">
              <w:rPr>
                <w:b/>
              </w:rPr>
              <w:t xml:space="preserve"> — </w:t>
            </w:r>
            <w:r w:rsidRPr="00027624">
              <w:rPr>
                <w:b/>
              </w:rPr>
              <w:t>both in number and in value.</w:t>
            </w:r>
            <w:r w:rsidRPr="00027624">
              <w:t xml:space="preserve"> These contributions are largely made by women with higher superannuation balances, or those whose partners have relatively high balances (compared with the total population). However, as men have greater lifetime earnings than women, they tend to benefit more from superannuation tax concessions. </w:t>
            </w:r>
          </w:p>
          <w:p w14:paraId="2220D531" w14:textId="77777777" w:rsidR="00B3792F" w:rsidRPr="00027624" w:rsidRDefault="00B3792F" w:rsidP="00B3792F">
            <w:pPr>
              <w:pStyle w:val="BoxBullet"/>
            </w:pPr>
            <w:r w:rsidRPr="00027624">
              <w:rPr>
                <w:b/>
                <w:bCs/>
              </w:rPr>
              <w:t>Income inequality between women and men is lower in retirement than in working life, particularly for lower</w:t>
            </w:r>
            <w:r w:rsidR="00A8443E" w:rsidRPr="00027624">
              <w:rPr>
                <w:b/>
                <w:bCs/>
              </w:rPr>
              <w:noBreakHyphen/>
            </w:r>
            <w:r w:rsidRPr="00027624">
              <w:rPr>
                <w:b/>
                <w:bCs/>
              </w:rPr>
              <w:t xml:space="preserve"> and middle</w:t>
            </w:r>
            <w:r w:rsidR="00A8443E" w:rsidRPr="00027624">
              <w:rPr>
                <w:b/>
                <w:bCs/>
              </w:rPr>
              <w:noBreakHyphen/>
            </w:r>
            <w:r w:rsidRPr="00027624">
              <w:rPr>
                <w:b/>
                <w:bCs/>
              </w:rPr>
              <w:t xml:space="preserve">income earners. </w:t>
            </w:r>
            <w:r w:rsidRPr="00027624">
              <w:t>This is due to the Age Pension, which women are more likely to receive, and for longer, than men.</w:t>
            </w:r>
          </w:p>
          <w:p w14:paraId="609F6E13" w14:textId="77777777" w:rsidR="00B3792F" w:rsidRPr="00027624" w:rsidRDefault="00626A2D" w:rsidP="00B3792F">
            <w:pPr>
              <w:pStyle w:val="BoxBullet"/>
            </w:pPr>
            <w:r w:rsidRPr="00027624">
              <w:rPr>
                <w:b/>
                <w:bCs/>
              </w:rPr>
              <w:t>Most people enter retirement as</w:t>
            </w:r>
            <w:r w:rsidR="00B3792F" w:rsidRPr="00027624">
              <w:rPr>
                <w:b/>
                <w:bCs/>
              </w:rPr>
              <w:t xml:space="preserve"> a couple, although this trend is falling. </w:t>
            </w:r>
            <w:r w:rsidR="00B3792F" w:rsidRPr="00027624">
              <w:t>Women are more likely than men to enter retirement single, and they are more likely to become single in retirement. Women who are coupled generally expect to retire earlier than coupled men.</w:t>
            </w:r>
          </w:p>
          <w:p w14:paraId="5F4EAE5C" w14:textId="77777777" w:rsidR="00B3792F" w:rsidRPr="00027624" w:rsidRDefault="00B3792F" w:rsidP="00B3792F">
            <w:pPr>
              <w:pStyle w:val="BoxBullet"/>
            </w:pPr>
            <w:r w:rsidRPr="00027624">
              <w:rPr>
                <w:b/>
                <w:bCs/>
              </w:rPr>
              <w:t>Couples are significantly better off in retirement than single men and women.</w:t>
            </w:r>
            <w:r w:rsidRPr="00027624">
              <w:t xml:space="preserve"> Couples in retirement have lower rates of poverty and financial stress, higher rates of home ownership and higher levels of wealth than single people in retirement. Single men are most likely to be asset poor, while single women are more likely to have more of their wealth held in their home compared with single men and couples.</w:t>
            </w:r>
          </w:p>
        </w:tc>
      </w:tr>
    </w:tbl>
    <w:p w14:paraId="278E55DB" w14:textId="77777777" w:rsidR="00B3792F" w:rsidRPr="00027624" w:rsidRDefault="00B3792F" w:rsidP="00EA28D7">
      <w:pPr>
        <w:pStyle w:val="Heading2"/>
        <w:spacing w:before="240"/>
      </w:pPr>
      <w:bookmarkStart w:id="1283" w:name="_Toc40458061"/>
      <w:bookmarkStart w:id="1284" w:name="_Toc40461830"/>
      <w:bookmarkStart w:id="1285" w:name="_Toc40474385"/>
      <w:bookmarkStart w:id="1286" w:name="_Toc40477914"/>
      <w:bookmarkStart w:id="1287" w:name="_Toc40521494"/>
      <w:bookmarkStart w:id="1288" w:name="_Toc40530353"/>
      <w:bookmarkStart w:id="1289" w:name="_Toc42778781"/>
      <w:bookmarkStart w:id="1290" w:name="_Toc42779921"/>
      <w:bookmarkStart w:id="1291" w:name="_Toc42780350"/>
      <w:bookmarkStart w:id="1292" w:name="_Toc42786340"/>
      <w:bookmarkStart w:id="1293" w:name="_Toc42791833"/>
      <w:bookmarkStart w:id="1294" w:name="_Toc42791995"/>
      <w:bookmarkStart w:id="1295" w:name="_Toc43117802"/>
      <w:bookmarkStart w:id="1296" w:name="_Toc43121441"/>
      <w:bookmarkStart w:id="1297" w:name="_Toc43122646"/>
      <w:bookmarkStart w:id="1298" w:name="_Toc43127701"/>
      <w:bookmarkStart w:id="1299" w:name="_Toc45520494"/>
      <w:bookmarkStart w:id="1300" w:name="_Toc46133605"/>
      <w:r w:rsidRPr="00027624">
        <w:t>Outline of this section</w:t>
      </w:r>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p>
    <w:p w14:paraId="1A807685" w14:textId="77777777" w:rsidR="00B3792F" w:rsidRPr="00027624" w:rsidRDefault="00B3792F" w:rsidP="00B3792F">
      <w:r w:rsidRPr="00027624">
        <w:t xml:space="preserve">This section considers both the </w:t>
      </w:r>
      <w:r w:rsidRPr="00027624">
        <w:rPr>
          <w:i/>
          <w:iCs/>
        </w:rPr>
        <w:t>relative</w:t>
      </w:r>
      <w:r w:rsidRPr="00027624">
        <w:t xml:space="preserve"> differences between men</w:t>
      </w:r>
      <w:r w:rsidR="00A8443E" w:rsidRPr="00027624">
        <w:t>’</w:t>
      </w:r>
      <w:r w:rsidRPr="00027624">
        <w:t>s and women</w:t>
      </w:r>
      <w:r w:rsidR="00A8443E" w:rsidRPr="00027624">
        <w:t>’</w:t>
      </w:r>
      <w:r w:rsidRPr="00027624">
        <w:t xml:space="preserve">s retirement incomes, as well as the </w:t>
      </w:r>
      <w:r w:rsidRPr="00027624">
        <w:rPr>
          <w:i/>
          <w:iCs/>
        </w:rPr>
        <w:t>absolute</w:t>
      </w:r>
      <w:r w:rsidRPr="00027624">
        <w:t xml:space="preserve"> poverty and financial stress some women face in retirement. </w:t>
      </w:r>
    </w:p>
    <w:p w14:paraId="4D4F9C7D" w14:textId="77777777" w:rsidR="00B3792F" w:rsidRPr="00027624" w:rsidRDefault="00B3792F" w:rsidP="00B3792F">
      <w:r w:rsidRPr="00027624">
        <w:t>It analyses factors internal and external to the retirement income system that improve or worsen inequities between men and women:</w:t>
      </w:r>
    </w:p>
    <w:p w14:paraId="02334EE4" w14:textId="77777777" w:rsidR="00B3792F" w:rsidRPr="00027624" w:rsidRDefault="00B3792F" w:rsidP="00B3792F">
      <w:pPr>
        <w:pStyle w:val="Bullet"/>
      </w:pPr>
      <w:r w:rsidRPr="00027624">
        <w:rPr>
          <w:b/>
        </w:rPr>
        <w:t>In working life</w:t>
      </w:r>
      <w:r w:rsidRPr="00027624">
        <w:t>, such as the gender pay gap, career breaks, SG coverage and voluntary superannuation contributions.</w:t>
      </w:r>
    </w:p>
    <w:p w14:paraId="05662E63" w14:textId="77777777" w:rsidR="00B3792F" w:rsidRPr="00027624" w:rsidRDefault="00B3792F" w:rsidP="00B3792F">
      <w:pPr>
        <w:pStyle w:val="Bullet"/>
      </w:pPr>
      <w:r w:rsidRPr="00027624">
        <w:rPr>
          <w:b/>
        </w:rPr>
        <w:t>In retirement</w:t>
      </w:r>
      <w:r w:rsidRPr="00027624">
        <w:t>, such as life expectancy, drawdown behaviour and the Age Pension.</w:t>
      </w:r>
    </w:p>
    <w:p w14:paraId="3C0E503A" w14:textId="77777777" w:rsidR="00357A7D" w:rsidRDefault="00B3792F" w:rsidP="00357A7D">
      <w:pPr>
        <w:spacing w:before="0" w:after="0"/>
      </w:pPr>
      <w:r w:rsidRPr="00027624">
        <w:t>It also analyses retirement trends for, and characteristics of, sing</w:t>
      </w:r>
      <w:bookmarkStart w:id="1301" w:name="_Toc40366108"/>
      <w:bookmarkStart w:id="1302" w:name="_Toc40369654"/>
      <w:r w:rsidRPr="00027624">
        <w:t xml:space="preserve">les and couples in retirement. </w:t>
      </w:r>
      <w:bookmarkEnd w:id="1301"/>
      <w:bookmarkEnd w:id="1302"/>
    </w:p>
    <w:tbl>
      <w:tblPr>
        <w:tblStyle w:val="TableGrid"/>
        <w:tblW w:w="5000" w:type="pct"/>
        <w:shd w:val="clear" w:color="auto" w:fill="FFF8EA"/>
        <w:tblLook w:val="04A0" w:firstRow="1" w:lastRow="0" w:firstColumn="1" w:lastColumn="0" w:noHBand="0" w:noVBand="1"/>
      </w:tblPr>
      <w:tblGrid>
        <w:gridCol w:w="9070"/>
      </w:tblGrid>
      <w:tr w:rsidR="00357A7D" w14:paraId="198131C4" w14:textId="77777777" w:rsidTr="00E83F6E">
        <w:tc>
          <w:tcPr>
            <w:tcW w:w="5000" w:type="pct"/>
            <w:shd w:val="clear" w:color="auto" w:fill="FFF8EA"/>
          </w:tcPr>
          <w:p w14:paraId="0C289DC0" w14:textId="77777777" w:rsidR="00357A7D" w:rsidRPr="00027624" w:rsidRDefault="00357A7D" w:rsidP="00FC7361">
            <w:pPr>
              <w:pStyle w:val="BoxHeading"/>
              <w:numPr>
                <w:ilvl w:val="5"/>
                <w:numId w:val="46"/>
              </w:numPr>
            </w:pPr>
            <w:r w:rsidRPr="00027624">
              <w:lastRenderedPageBreak/>
              <w:t>Stakeholder views on gender and partnered status equity</w:t>
            </w:r>
          </w:p>
          <w:p w14:paraId="0D388D65" w14:textId="77777777" w:rsidR="00357A7D" w:rsidRPr="00027624" w:rsidRDefault="00357A7D" w:rsidP="00357A7D">
            <w:pPr>
              <w:pStyle w:val="BoxText"/>
            </w:pPr>
            <w:r w:rsidRPr="00027624">
              <w:t xml:space="preserve">Many submissions and stakeholders were concerned about differences between men’s and women’s retirement outcomes. </w:t>
            </w:r>
          </w:p>
          <w:p w14:paraId="4D950979" w14:textId="77777777" w:rsidR="00357A7D" w:rsidRPr="00027624" w:rsidRDefault="00357A7D" w:rsidP="00357A7D">
            <w:pPr>
              <w:pStyle w:val="BoxText"/>
            </w:pPr>
            <w:r w:rsidRPr="00027624">
              <w:t>Stakeholders noted that women:</w:t>
            </w:r>
          </w:p>
          <w:p w14:paraId="6999401F" w14:textId="77777777" w:rsidR="00357A7D" w:rsidRPr="00027624" w:rsidRDefault="00357A7D" w:rsidP="00357A7D">
            <w:pPr>
              <w:pStyle w:val="BoxBullet"/>
            </w:pPr>
            <w:r w:rsidRPr="00027624">
              <w:rPr>
                <w:b/>
                <w:bCs/>
              </w:rPr>
              <w:t>Face many working</w:t>
            </w:r>
            <w:r w:rsidRPr="00027624">
              <w:rPr>
                <w:b/>
                <w:bCs/>
              </w:rPr>
              <w:noBreakHyphen/>
              <w:t>life inequities</w:t>
            </w:r>
            <w:r w:rsidRPr="00027624">
              <w:t>, including the gender pay gap, gendered discrimination in the workforce, more part</w:t>
            </w:r>
            <w:r w:rsidRPr="00027624">
              <w:noBreakHyphen/>
              <w:t>time work, time out of the workforce to care for others, significant financial impacts from divorce and family and domestic violence, and lower rates of financial literacy</w:t>
            </w:r>
          </w:p>
          <w:p w14:paraId="373DC4F2" w14:textId="77777777" w:rsidR="00357A7D" w:rsidRPr="00027624" w:rsidRDefault="00357A7D" w:rsidP="00357A7D">
            <w:pPr>
              <w:pStyle w:val="BoxBullet"/>
            </w:pPr>
            <w:r w:rsidRPr="00027624">
              <w:rPr>
                <w:b/>
              </w:rPr>
              <w:t>Have lower private savings and lower superannuation balances and coverage than men</w:t>
            </w:r>
            <w:r w:rsidRPr="00027624">
              <w:t>; in particular, women’s superannuation balances are more affected by the $450</w:t>
            </w:r>
            <w:r w:rsidRPr="00027624">
              <w:noBreakHyphen/>
              <w:t>a</w:t>
            </w:r>
            <w:r w:rsidRPr="00027624">
              <w:noBreakHyphen/>
              <w:t>month threshold and the exclusion of SG on paid parental leave</w:t>
            </w:r>
          </w:p>
          <w:p w14:paraId="57B95007" w14:textId="77777777" w:rsidR="00357A7D" w:rsidRPr="00027624" w:rsidRDefault="00357A7D" w:rsidP="00357A7D">
            <w:pPr>
              <w:pStyle w:val="BoxBullet"/>
            </w:pPr>
            <w:r w:rsidRPr="00027624">
              <w:rPr>
                <w:b/>
              </w:rPr>
              <w:t>Rely more on the Age Pension in retirement</w:t>
            </w:r>
            <w:r w:rsidRPr="00027624">
              <w:rPr>
                <w:bCs/>
              </w:rPr>
              <w:t xml:space="preserve">, </w:t>
            </w:r>
            <w:r w:rsidRPr="00027624">
              <w:t>due to their lower savings and longer lives</w:t>
            </w:r>
          </w:p>
          <w:p w14:paraId="7B400DC2" w14:textId="77777777" w:rsidR="00357A7D" w:rsidRPr="00027624" w:rsidRDefault="00357A7D" w:rsidP="00357A7D">
            <w:pPr>
              <w:pStyle w:val="BoxText"/>
            </w:pPr>
            <w:r w:rsidRPr="00027624">
              <w:t>Most stakeholders noted the inequities experienced by women in retirement are caused by the inequities they face in working life. One submission stated:</w:t>
            </w:r>
          </w:p>
          <w:p w14:paraId="635CB6EC" w14:textId="77777777" w:rsidR="00357A7D" w:rsidRPr="00027624" w:rsidRDefault="00357A7D" w:rsidP="00357A7D">
            <w:pPr>
              <w:pStyle w:val="Quote"/>
            </w:pPr>
            <w:r w:rsidRPr="00027624">
              <w:t>‘The retirement income system cannot solve the primary reason why women generally retire with lower balances — their lower lifetime earnings overall.’</w:t>
            </w:r>
            <w:r w:rsidRPr="00027624">
              <w:br/>
            </w:r>
            <w:sdt>
              <w:sdtPr>
                <w:id w:val="873661081"/>
                <w:citation/>
              </w:sdtPr>
              <w:sdtEndPr/>
              <w:sdtContent>
                <w:r w:rsidRPr="00027624">
                  <w:fldChar w:fldCharType="begin"/>
                </w:r>
                <w:r w:rsidRPr="00027624">
                  <w:instrText xml:space="preserve">CITATION FSC20 \p 10 \l 3081 </w:instrText>
                </w:r>
                <w:r w:rsidRPr="00027624">
                  <w:fldChar w:fldCharType="separate"/>
                </w:r>
                <w:r w:rsidR="00E83F6E">
                  <w:rPr>
                    <w:noProof/>
                  </w:rPr>
                  <w:t>(Financial Services Council, 2020, p. 10)</w:t>
                </w:r>
                <w:r w:rsidRPr="00027624">
                  <w:fldChar w:fldCharType="end"/>
                </w:r>
              </w:sdtContent>
            </w:sdt>
          </w:p>
          <w:p w14:paraId="76E267DA" w14:textId="77777777" w:rsidR="00357A7D" w:rsidRPr="00027624" w:rsidRDefault="00357A7D" w:rsidP="00357A7D">
            <w:pPr>
              <w:pStyle w:val="BoxText"/>
            </w:pPr>
            <w:r w:rsidRPr="00027624">
              <w:t>Some stakeholders suggested retirement income system settings should be used to ameliorate these working</w:t>
            </w:r>
            <w:r w:rsidRPr="00027624">
              <w:noBreakHyphen/>
              <w:t>life differences between men and women — for example, that legislated increases to the SG rate, or a higher SG rate for women than men, could improve outcomes for women.</w:t>
            </w:r>
          </w:p>
          <w:p w14:paraId="66B71A84" w14:textId="77777777" w:rsidR="00357A7D" w:rsidRDefault="00357A7D" w:rsidP="00357A7D">
            <w:pPr>
              <w:pStyle w:val="BoxText"/>
            </w:pPr>
            <w:r w:rsidRPr="00027624">
              <w:t>Some stakeholders stressed the importance of the Age Pension in levelling outcomes between men and women, as it does not depend on working</w:t>
            </w:r>
            <w:r w:rsidRPr="00027624">
              <w:noBreakHyphen/>
              <w:t>life earnings. Some stakeholders also noted the significant proportion of retirees who are coupled in retirement, the ability of couples to share resources and the poorer retirement outcomes faced by singles compared to couples.</w:t>
            </w:r>
          </w:p>
        </w:tc>
      </w:tr>
    </w:tbl>
    <w:p w14:paraId="0C5EF0B1" w14:textId="77777777" w:rsidR="00357A7D" w:rsidRDefault="00357A7D" w:rsidP="00357A7D">
      <w:pPr>
        <w:pStyle w:val="Heading2"/>
      </w:pPr>
      <w:bookmarkStart w:id="1303" w:name="_Toc40427624"/>
      <w:bookmarkStart w:id="1304" w:name="_Toc40458062"/>
      <w:bookmarkStart w:id="1305" w:name="_Toc40461831"/>
      <w:bookmarkStart w:id="1306" w:name="_Toc40474386"/>
      <w:bookmarkStart w:id="1307" w:name="_Toc40477915"/>
      <w:bookmarkStart w:id="1308" w:name="_Toc40521495"/>
      <w:bookmarkStart w:id="1309" w:name="_Toc40530354"/>
      <w:bookmarkStart w:id="1310" w:name="_Toc42778782"/>
      <w:bookmarkStart w:id="1311" w:name="_Toc42779922"/>
      <w:bookmarkStart w:id="1312" w:name="_Toc42780351"/>
      <w:bookmarkStart w:id="1313" w:name="_Toc42786341"/>
      <w:bookmarkStart w:id="1314" w:name="_Toc42791834"/>
      <w:bookmarkStart w:id="1315" w:name="_Toc42791996"/>
      <w:bookmarkStart w:id="1316" w:name="_Toc43117803"/>
      <w:bookmarkStart w:id="1317" w:name="_Toc43121442"/>
      <w:bookmarkStart w:id="1318" w:name="_Toc43122647"/>
      <w:bookmarkStart w:id="1319" w:name="_Toc43127702"/>
      <w:bookmarkStart w:id="1320" w:name="_Toc45520495"/>
      <w:bookmarkStart w:id="1321" w:name="_Toc46133606"/>
      <w:r w:rsidRPr="00027624">
        <w:t>Gender gaps in retirement outcomes</w:t>
      </w:r>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p>
    <w:p w14:paraId="31446A87" w14:textId="77777777" w:rsidR="00B3792F" w:rsidRPr="00027624" w:rsidRDefault="00B3792F" w:rsidP="00B3792F">
      <w:r w:rsidRPr="00027624">
        <w:t xml:space="preserve">The gender earnings gap in working life has a significant bearing on the </w:t>
      </w:r>
      <w:r w:rsidRPr="00027624">
        <w:rPr>
          <w:bCs/>
        </w:rPr>
        <w:t>gender gap in superannuation balances at retirement</w:t>
      </w:r>
      <w:r w:rsidRPr="00027624">
        <w:t xml:space="preserve">. This, combined with other savings and income sources, such as the Age Pension, affects the </w:t>
      </w:r>
      <w:r w:rsidRPr="00027624">
        <w:rPr>
          <w:bCs/>
        </w:rPr>
        <w:t>gender retirement income gap</w:t>
      </w:r>
      <w:r w:rsidRPr="00027624">
        <w:t>.</w:t>
      </w:r>
    </w:p>
    <w:p w14:paraId="28B787AC" w14:textId="77777777" w:rsidR="00B3792F" w:rsidRPr="00027624" w:rsidRDefault="00B3792F" w:rsidP="00B3792F">
      <w:r w:rsidRPr="00027624">
        <w:t>Women experience a gender earnings gap in working life for many reasons, including that women are more likely to:</w:t>
      </w:r>
    </w:p>
    <w:p w14:paraId="23DCA807" w14:textId="77777777" w:rsidR="00B3792F" w:rsidRPr="00027624" w:rsidRDefault="00B3792F" w:rsidP="00EA28D7">
      <w:pPr>
        <w:pStyle w:val="Bullet"/>
      </w:pPr>
      <w:r w:rsidRPr="00027624">
        <w:t>Work in lower paid roles</w:t>
      </w:r>
    </w:p>
    <w:p w14:paraId="6326E683" w14:textId="77777777" w:rsidR="00B3792F" w:rsidRPr="00027624" w:rsidRDefault="00B3792F" w:rsidP="00EA28D7">
      <w:pPr>
        <w:pStyle w:val="Bullet"/>
      </w:pPr>
      <w:r w:rsidRPr="00027624">
        <w:t>Work in lower paid industries</w:t>
      </w:r>
    </w:p>
    <w:p w14:paraId="666624DA" w14:textId="77777777" w:rsidR="00B3792F" w:rsidRPr="00027624" w:rsidRDefault="00B3792F" w:rsidP="00EA28D7">
      <w:pPr>
        <w:pStyle w:val="Bullet"/>
      </w:pPr>
      <w:r w:rsidRPr="00027624">
        <w:t>Work part</w:t>
      </w:r>
      <w:r w:rsidR="00A8443E" w:rsidRPr="00027624">
        <w:noBreakHyphen/>
      </w:r>
      <w:r w:rsidRPr="00027624">
        <w:t>time or casually</w:t>
      </w:r>
    </w:p>
    <w:p w14:paraId="77A0A34C" w14:textId="77777777" w:rsidR="00B3792F" w:rsidRPr="00027624" w:rsidRDefault="00B3792F" w:rsidP="00EA28D7">
      <w:pPr>
        <w:pStyle w:val="Bullet"/>
      </w:pPr>
      <w:r w:rsidRPr="00027624">
        <w:t>Take career breaks from paid employment to care for others, including raising children</w:t>
      </w:r>
    </w:p>
    <w:p w14:paraId="68A58E39" w14:textId="77777777" w:rsidR="00B3792F" w:rsidRPr="00027624" w:rsidRDefault="00B3792F" w:rsidP="00EA28D7">
      <w:pPr>
        <w:pStyle w:val="Bullet"/>
      </w:pPr>
      <w:r w:rsidRPr="00027624">
        <w:t>Experience discrimination and harassment in the workforce</w:t>
      </w:r>
    </w:p>
    <w:p w14:paraId="324E050A" w14:textId="77777777" w:rsidR="00B3792F" w:rsidRPr="00027624" w:rsidRDefault="00B3792F" w:rsidP="00EA28D7">
      <w:pPr>
        <w:pStyle w:val="Bullet"/>
      </w:pPr>
      <w:r w:rsidRPr="00027624">
        <w:t>Experience family and domestic violence</w:t>
      </w:r>
    </w:p>
    <w:p w14:paraId="76240C6C" w14:textId="6C46646E" w:rsidR="00B3792F" w:rsidRPr="00027624" w:rsidRDefault="00B3792F" w:rsidP="00B3792F">
      <w:pPr>
        <w:spacing w:before="0" w:after="0"/>
      </w:pPr>
      <w:r w:rsidRPr="00027624">
        <w:fldChar w:fldCharType="begin"/>
      </w:r>
      <w:r w:rsidRPr="00027624">
        <w:instrText xml:space="preserve"> REF _Ref44263429 \r \h  \* MERGEFORMAT </w:instrText>
      </w:r>
      <w:r w:rsidRPr="00027624">
        <w:fldChar w:fldCharType="separate"/>
      </w:r>
      <w:r w:rsidR="00891058">
        <w:t>Box 3B-3</w:t>
      </w:r>
      <w:r w:rsidRPr="00027624">
        <w:fldChar w:fldCharType="end"/>
      </w:r>
      <w:r w:rsidRPr="00027624">
        <w:t xml:space="preserve"> sets out how gender gaps have been calculated.</w:t>
      </w:r>
    </w:p>
    <w:p w14:paraId="5FFD897D" w14:textId="77777777" w:rsidR="00B3792F" w:rsidRPr="00027624" w:rsidRDefault="00B3792F" w:rsidP="00B3792F">
      <w:pPr>
        <w:spacing w:before="0" w:after="0"/>
      </w:pPr>
    </w:p>
    <w:tbl>
      <w:tblPr>
        <w:tblStyle w:val="TableGrid"/>
        <w:tblW w:w="5000" w:type="pct"/>
        <w:shd w:val="clear" w:color="auto" w:fill="FFF8EA"/>
        <w:tblLayout w:type="fixed"/>
        <w:tblLook w:val="04A0" w:firstRow="1" w:lastRow="0" w:firstColumn="1" w:lastColumn="0" w:noHBand="0" w:noVBand="1"/>
      </w:tblPr>
      <w:tblGrid>
        <w:gridCol w:w="9070"/>
      </w:tblGrid>
      <w:tr w:rsidR="00B3792F" w:rsidRPr="00027624" w14:paraId="5295DBFF" w14:textId="77777777" w:rsidTr="00B3792F">
        <w:tc>
          <w:tcPr>
            <w:tcW w:w="9072" w:type="dxa"/>
            <w:shd w:val="clear" w:color="auto" w:fill="FFF8EA"/>
          </w:tcPr>
          <w:p w14:paraId="1C905CCD" w14:textId="77777777" w:rsidR="00B3792F" w:rsidRPr="00027624" w:rsidRDefault="00B3792F" w:rsidP="00FC7361">
            <w:pPr>
              <w:pStyle w:val="BoxHeading"/>
              <w:numPr>
                <w:ilvl w:val="5"/>
                <w:numId w:val="46"/>
              </w:numPr>
              <w:ind w:left="357" w:right="176" w:hanging="357"/>
            </w:pPr>
            <w:bookmarkStart w:id="1322" w:name="_Ref44263429"/>
            <w:r w:rsidRPr="00027624">
              <w:lastRenderedPageBreak/>
              <w:t>Measuring gender gaps</w:t>
            </w:r>
            <w:bookmarkEnd w:id="1322"/>
          </w:p>
          <w:p w14:paraId="6944D686" w14:textId="77777777" w:rsidR="00B3792F" w:rsidRPr="00027624" w:rsidRDefault="00B3792F" w:rsidP="00B3792F">
            <w:pPr>
              <w:pStyle w:val="BoxText"/>
            </w:pPr>
            <w:r w:rsidRPr="00027624">
              <w:t>Gender gaps have been calculated as follows:</w:t>
            </w:r>
          </w:p>
          <w:p w14:paraId="10E6B969" w14:textId="77777777" w:rsidR="00B3792F" w:rsidRPr="00027624" w:rsidRDefault="00B3792F" w:rsidP="00B3792F">
            <m:oMathPara>
              <m:oMath>
                <m:r>
                  <w:rPr>
                    <w:rFonts w:ascii="Cambria Math" w:hAnsi="Cambria Math"/>
                  </w:rPr>
                  <m:t xml:space="preserve">Gap </m:t>
                </m:r>
                <m:d>
                  <m:dPr>
                    <m:ctrlPr>
                      <w:rPr>
                        <w:rFonts w:ascii="Cambria Math" w:hAnsi="Cambria Math"/>
                        <w:i/>
                      </w:rPr>
                    </m:ctrlPr>
                  </m:dPr>
                  <m:e>
                    <m:r>
                      <w:rPr>
                        <w:rFonts w:ascii="Cambria Math" w:hAnsi="Cambria Math"/>
                      </w:rPr>
                      <m:t>%</m:t>
                    </m:r>
                  </m:e>
                </m:d>
                <m:r>
                  <w:rPr>
                    <w:rFonts w:ascii="Cambria Math" w:hAnsi="Cambria Math"/>
                  </w:rPr>
                  <m:t xml:space="preserve">= </m:t>
                </m:r>
                <m:f>
                  <m:fPr>
                    <m:ctrlPr>
                      <w:rPr>
                        <w:rFonts w:ascii="Cambria Math" w:hAnsi="Cambria Math"/>
                        <w:i/>
                      </w:rPr>
                    </m:ctrlPr>
                  </m:fPr>
                  <m:num>
                    <m:r>
                      <w:rPr>
                        <w:rFonts w:ascii="Cambria Math" w:hAnsi="Cambria Math"/>
                      </w:rPr>
                      <m:t>Male value-Female value</m:t>
                    </m:r>
                  </m:num>
                  <m:den>
                    <m:r>
                      <w:rPr>
                        <w:rFonts w:ascii="Cambria Math" w:hAnsi="Cambria Math"/>
                      </w:rPr>
                      <m:t>Male value</m:t>
                    </m:r>
                  </m:den>
                </m:f>
                <m:r>
                  <w:rPr>
                    <w:rFonts w:ascii="Cambria Math" w:hAnsi="Cambria Math"/>
                  </w:rPr>
                  <m:t>×100</m:t>
                </m:r>
              </m:oMath>
            </m:oMathPara>
          </w:p>
          <w:p w14:paraId="7E63A5BE" w14:textId="77777777" w:rsidR="00B3792F" w:rsidRPr="00027624" w:rsidRDefault="00B3792F" w:rsidP="00B3792F">
            <w:pPr>
              <w:pStyle w:val="BoxText"/>
            </w:pPr>
            <w:r w:rsidRPr="00027624">
              <w:t xml:space="preserve">The </w:t>
            </w:r>
            <w:r w:rsidR="00A8443E" w:rsidRPr="00027624">
              <w:t>‘</w:t>
            </w:r>
            <w:r w:rsidRPr="00027624">
              <w:t>value</w:t>
            </w:r>
            <w:r w:rsidR="00A8443E" w:rsidRPr="00027624">
              <w:t>’</w:t>
            </w:r>
            <w:r w:rsidRPr="00027624">
              <w:t xml:space="preserve"> in question can be a variety of indicators, as set out below.</w:t>
            </w:r>
          </w:p>
          <w:p w14:paraId="4FDA577E" w14:textId="77777777" w:rsidR="00B3792F" w:rsidRPr="00027624" w:rsidRDefault="00B3792F" w:rsidP="00B3792F">
            <w:pPr>
              <w:pStyle w:val="Heading4"/>
              <w:spacing w:before="240"/>
              <w:outlineLvl w:val="3"/>
            </w:pPr>
            <w:r w:rsidRPr="00027624">
              <w:t>Earnings gap</w:t>
            </w:r>
          </w:p>
          <w:p w14:paraId="065B6527" w14:textId="77777777" w:rsidR="00B3792F" w:rsidRPr="00027624" w:rsidRDefault="00B3792F" w:rsidP="00B3792F">
            <w:pPr>
              <w:pStyle w:val="BoxText"/>
            </w:pPr>
            <w:r w:rsidRPr="00027624">
              <w:t>Most stakeholders defined the gender earnings gap as the gap in full</w:t>
            </w:r>
            <w:r w:rsidR="00A8443E" w:rsidRPr="00027624">
              <w:noBreakHyphen/>
            </w:r>
            <w:r w:rsidRPr="00027624">
              <w:t>time adult average weekly ordinary time earnings. In November 2019, this gap was 14 per cent</w:t>
            </w:r>
            <w:sdt>
              <w:sdtPr>
                <w:id w:val="-1130933799"/>
                <w:citation/>
              </w:sdtPr>
              <w:sdtEndPr/>
              <w:sdtContent>
                <w:r w:rsidR="00AE2BB3" w:rsidRPr="00027624">
                  <w:fldChar w:fldCharType="begin"/>
                </w:r>
                <w:r w:rsidR="00AE2BB3" w:rsidRPr="00027624">
                  <w:instrText xml:space="preserve"> CITATION ABS20d \l 3081 </w:instrText>
                </w:r>
                <w:r w:rsidR="00AE2BB3" w:rsidRPr="00027624">
                  <w:fldChar w:fldCharType="separate"/>
                </w:r>
                <w:r w:rsidR="00E83F6E">
                  <w:rPr>
                    <w:noProof/>
                  </w:rPr>
                  <w:t xml:space="preserve"> (ABS, 2020d)</w:t>
                </w:r>
                <w:r w:rsidR="00AE2BB3" w:rsidRPr="00027624">
                  <w:fldChar w:fldCharType="end"/>
                </w:r>
              </w:sdtContent>
            </w:sdt>
            <w:r w:rsidRPr="00027624">
              <w:t>. However, this metric is not the most appropriate to use when considering the impact of earnings differences between men and women on retirement incomes. It does not take into account a person</w:t>
            </w:r>
            <w:r w:rsidR="00A8443E" w:rsidRPr="00027624">
              <w:t>’</w:t>
            </w:r>
            <w:r w:rsidRPr="00027624">
              <w:t>s entire earnings (e.g. it excludes overtime), or the many women who work part</w:t>
            </w:r>
            <w:r w:rsidR="00A8443E" w:rsidRPr="00027624">
              <w:noBreakHyphen/>
            </w:r>
            <w:r w:rsidRPr="00027624">
              <w:t>time or casually.</w:t>
            </w:r>
          </w:p>
          <w:p w14:paraId="7B443D9D" w14:textId="77777777" w:rsidR="00B3792F" w:rsidRPr="00027624" w:rsidRDefault="00B3792F" w:rsidP="00B3792F">
            <w:pPr>
              <w:pStyle w:val="BoxText"/>
            </w:pPr>
            <w:r w:rsidRPr="00027624">
              <w:t>This section uses different measurements of the earnings gap, depending on whether it is analysing the total population or hypothetical individuals.</w:t>
            </w:r>
          </w:p>
          <w:p w14:paraId="03FCB5F0" w14:textId="77777777" w:rsidR="00B3792F" w:rsidRPr="00027624" w:rsidRDefault="00B3792F" w:rsidP="00B3792F">
            <w:pPr>
              <w:pStyle w:val="BoxBullet"/>
            </w:pPr>
            <w:r w:rsidRPr="00027624">
              <w:rPr>
                <w:b/>
                <w:bCs/>
              </w:rPr>
              <w:t>Total population analysis</w:t>
            </w:r>
            <w:r w:rsidRPr="00027624">
              <w:t xml:space="preserve"> uses ATO data of annual taxable wages/salaries. ATO data allows for robust distributional analysis across earnings percentiles, as it is drawn from the whole population.</w:t>
            </w:r>
          </w:p>
          <w:p w14:paraId="10DC5C15" w14:textId="77777777" w:rsidR="00B3792F" w:rsidRPr="00027624" w:rsidRDefault="00B3792F" w:rsidP="00B3792F">
            <w:pPr>
              <w:pStyle w:val="BoxBullet"/>
            </w:pPr>
            <w:r w:rsidRPr="00027624">
              <w:rPr>
                <w:b/>
                <w:bCs/>
              </w:rPr>
              <w:t>Cameo analysis of individuals</w:t>
            </w:r>
            <w:r w:rsidRPr="00027624">
              <w:t xml:space="preserve"> uses ABS weekly earnings data. This allows for comparisons of gender earnings gaps between all full</w:t>
            </w:r>
            <w:r w:rsidR="00A8443E" w:rsidRPr="00027624">
              <w:noBreakHyphen/>
            </w:r>
            <w:r w:rsidRPr="00027624">
              <w:t>time workers, and between all workers including those working part</w:t>
            </w:r>
            <w:r w:rsidR="00A8443E" w:rsidRPr="00027624">
              <w:noBreakHyphen/>
            </w:r>
            <w:r w:rsidRPr="00027624">
              <w:t>time and casually.</w:t>
            </w:r>
          </w:p>
          <w:p w14:paraId="70C54554" w14:textId="77777777" w:rsidR="00B3792F" w:rsidRPr="00027624" w:rsidRDefault="00B3792F" w:rsidP="00B3792F">
            <w:pPr>
              <w:pStyle w:val="BoxText"/>
            </w:pPr>
            <w:r w:rsidRPr="00027624">
              <w:t>Earnings gap analysis does not include those who have no earnings. Women are more likely to have no earnings than men.</w:t>
            </w:r>
          </w:p>
          <w:p w14:paraId="5B018E17" w14:textId="77777777" w:rsidR="00B3792F" w:rsidRPr="00027624" w:rsidRDefault="00B3792F" w:rsidP="00B3792F">
            <w:pPr>
              <w:pStyle w:val="Heading4"/>
              <w:spacing w:before="240"/>
              <w:outlineLvl w:val="3"/>
            </w:pPr>
            <w:r w:rsidRPr="00027624">
              <w:t>Superannuation balances at retirement gap</w:t>
            </w:r>
          </w:p>
          <w:p w14:paraId="65B4FBD1" w14:textId="77777777" w:rsidR="00B3792F" w:rsidRPr="00027624" w:rsidRDefault="00B3792F" w:rsidP="00B3792F">
            <w:pPr>
              <w:pStyle w:val="BoxText"/>
            </w:pPr>
            <w:r w:rsidRPr="00027624">
              <w:t>The media and other stakeholders often report the gender superannuation gap using data on superannuation balances from the ABS Survey of Income and Housing. In contrast, this section uses data from the ATO, which is at a population level, not a sample. ATO data is also collected directly from superannuation funds. It is therefore more accurate than the ABS figures, which are self</w:t>
            </w:r>
            <w:r w:rsidR="00A8443E" w:rsidRPr="00027624">
              <w:noBreakHyphen/>
            </w:r>
            <w:r w:rsidRPr="00027624">
              <w:t>reported by individuals.</w:t>
            </w:r>
            <w:r w:rsidRPr="00027624">
              <w:rPr>
                <w:rStyle w:val="FootnoteReference"/>
              </w:rPr>
              <w:footnoteReference w:id="147"/>
            </w:r>
          </w:p>
          <w:p w14:paraId="6B2D7D9B" w14:textId="77777777" w:rsidR="00B3792F" w:rsidRPr="00027624" w:rsidRDefault="00B3792F" w:rsidP="00B3792F">
            <w:pPr>
              <w:pStyle w:val="Heading4"/>
              <w:spacing w:before="240"/>
              <w:outlineLvl w:val="3"/>
            </w:pPr>
            <w:r w:rsidRPr="00027624">
              <w:t>Retirement income gap</w:t>
            </w:r>
          </w:p>
          <w:p w14:paraId="4B3886BD" w14:textId="77777777" w:rsidR="00B3792F" w:rsidRPr="00027624" w:rsidRDefault="00B3792F" w:rsidP="00B3792F">
            <w:pPr>
              <w:pStyle w:val="BoxText"/>
            </w:pPr>
            <w:r w:rsidRPr="00027624">
              <w:t>When assessing the gender retirement income gap, this section takes into account income from all sources, including the Age Pension, superannuation and other income from work or investments.</w:t>
            </w:r>
          </w:p>
        </w:tc>
      </w:tr>
    </w:tbl>
    <w:p w14:paraId="5A25AF96" w14:textId="77777777" w:rsidR="00B3792F" w:rsidRPr="00027624" w:rsidRDefault="00B3792F" w:rsidP="00B3792F">
      <w:pPr>
        <w:spacing w:before="0" w:after="0"/>
      </w:pPr>
    </w:p>
    <w:p w14:paraId="72CDE12F" w14:textId="67646563" w:rsidR="00B3792F" w:rsidRPr="00027624" w:rsidRDefault="00B3792F" w:rsidP="00B3792F">
      <w:r w:rsidRPr="00027624">
        <w:t>Cameo modelling was used to project gender gaps in working</w:t>
      </w:r>
      <w:r w:rsidR="00A8443E" w:rsidRPr="00027624">
        <w:noBreakHyphen/>
      </w:r>
      <w:r w:rsidRPr="00027624">
        <w:t>life earnings, superannuation balances at retirement and retirement incomes for individuals with different incomes (</w:t>
      </w:r>
      <w:r w:rsidRPr="00027624">
        <w:fldChar w:fldCharType="begin"/>
      </w:r>
      <w:r w:rsidRPr="00027624">
        <w:instrText xml:space="preserve"> REF _Ref35242519 \r \h  \* MERGEFORMAT </w:instrText>
      </w:r>
      <w:r w:rsidRPr="00027624">
        <w:fldChar w:fldCharType="separate"/>
      </w:r>
      <w:r w:rsidR="00891058">
        <w:t>Chart 3B-1</w:t>
      </w:r>
      <w:r w:rsidRPr="00027624">
        <w:fldChar w:fldCharType="end"/>
      </w:r>
      <w:r w:rsidRPr="00027624">
        <w:t>). This was supplemented by additional modelling of the individual drivers of differences in retirement outcomes between men and women, including full</w:t>
      </w:r>
      <w:r w:rsidR="00A8443E" w:rsidRPr="00027624">
        <w:noBreakHyphen/>
      </w:r>
      <w:r w:rsidRPr="00027624">
        <w:t>time and part</w:t>
      </w:r>
      <w:r w:rsidR="00A8443E" w:rsidRPr="00027624">
        <w:noBreakHyphen/>
      </w:r>
      <w:r w:rsidRPr="00027624">
        <w:t>time pay gaps and career breaks, in addition to modelling of outcomes for those who are coupled.</w:t>
      </w:r>
    </w:p>
    <w:p w14:paraId="5F44C427" w14:textId="77777777" w:rsidR="00B3792F" w:rsidRPr="00027624" w:rsidRDefault="00B3792F" w:rsidP="00FC7361">
      <w:pPr>
        <w:pStyle w:val="ChartMainHeading"/>
        <w:numPr>
          <w:ilvl w:val="2"/>
          <w:numId w:val="69"/>
        </w:numPr>
      </w:pPr>
      <w:bookmarkStart w:id="1323" w:name="_Ref35242519"/>
      <w:r w:rsidRPr="00027624">
        <w:lastRenderedPageBreak/>
        <w:t>Projected gender gaps in working</w:t>
      </w:r>
      <w:r w:rsidR="00A8443E" w:rsidRPr="00027624">
        <w:noBreakHyphen/>
      </w:r>
      <w:r w:rsidRPr="00027624">
        <w:t>life earnings, superannuation balances at retirement and retirement incomes, by income percentile</w:t>
      </w:r>
      <w:bookmarkEnd w:id="1323"/>
    </w:p>
    <w:p w14:paraId="6C260493" w14:textId="77777777" w:rsidR="00B3792F" w:rsidRPr="00027624" w:rsidRDefault="00D2182D" w:rsidP="00B3792F">
      <w:pPr>
        <w:pStyle w:val="ChartGraphic"/>
      </w:pPr>
      <w:r>
        <w:rPr>
          <w:noProof/>
        </w:rPr>
        <w:drawing>
          <wp:inline distT="0" distB="0" distL="0" distR="0" wp14:anchorId="35FFCD8B" wp14:editId="317D3007">
            <wp:extent cx="5585460" cy="2522220"/>
            <wp:effectExtent l="0" t="0" r="0" b="0"/>
            <wp:docPr id="771978746" name="Picture 771978746" descr="This chart shows that the gender gap in working-life earnings, and the gender gap in superannuation balances at retirement are projected to be similar at around 40 per cent for most income percentiles. The gender gap in average annual retirement income is much lower for most earnings percentiles, from around 10 per cent at the 10th earnings percentile to over 20 per cent at the 80th earnings percentile.  " title="Chart 3B-1 Projected gender gaps in working-life earnings, superannuation balances at retirement and retirement incom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098A77A3" w14:textId="3D60EDE8" w:rsidR="00B3792F" w:rsidRPr="00027624" w:rsidRDefault="00B3792F" w:rsidP="00B3792F">
      <w:pPr>
        <w:pStyle w:val="ChartorTableNote"/>
      </w:pPr>
      <w:r w:rsidRPr="00027624">
        <w:t>Note: Gender gaps are calculated relative to the relevant figure for men</w:t>
      </w:r>
      <w:r w:rsidR="00A8443E" w:rsidRPr="00027624">
        <w:t xml:space="preserve"> — </w:t>
      </w:r>
      <w:r w:rsidRPr="00027624">
        <w:t>that is, a 10 per cent gender gap in earnings means that women</w:t>
      </w:r>
      <w:r w:rsidR="00A8443E" w:rsidRPr="00027624">
        <w:t>’</w:t>
      </w:r>
      <w:r w:rsidRPr="00027624">
        <w:t>s earnings are 90 per cent of men</w:t>
      </w:r>
      <w:r w:rsidR="00A8443E" w:rsidRPr="00027624">
        <w:t>’</w:t>
      </w:r>
      <w:r w:rsidRPr="00027624">
        <w:t xml:space="preserve">s earnings. See </w:t>
      </w:r>
      <w:r w:rsidRPr="00027624">
        <w:fldChar w:fldCharType="begin"/>
      </w:r>
      <w:r w:rsidRPr="00027624">
        <w:instrText xml:space="preserve"> REF _Ref44263429 \r \h  \* MERGEFORMAT </w:instrText>
      </w:r>
      <w:r w:rsidRPr="00027624">
        <w:fldChar w:fldCharType="separate"/>
      </w:r>
      <w:r w:rsidR="00891058">
        <w:t>Box 3B-3</w:t>
      </w:r>
      <w:r w:rsidRPr="00027624">
        <w:fldChar w:fldCharType="end"/>
      </w:r>
      <w:r w:rsidRPr="00027624">
        <w:t xml:space="preserve"> for details. The chart compares the 10</w:t>
      </w:r>
      <w:r w:rsidRPr="00027624">
        <w:rPr>
          <w:vertAlign w:val="superscript"/>
        </w:rPr>
        <w:t>th</w:t>
      </w:r>
      <w:r w:rsidRPr="00027624">
        <w:t xml:space="preserve"> percentile for men to the 10</w:t>
      </w:r>
      <w:r w:rsidRPr="00027624">
        <w:rPr>
          <w:vertAlign w:val="superscript"/>
        </w:rPr>
        <w:t>th</w:t>
      </w:r>
      <w:r w:rsidRPr="00027624">
        <w:t xml:space="preserve"> percentile for women, and so on. Gaps in superannuation balances at retirement and retirement incomes do not factor in the effect of voluntary superannuation contributions not made through salary sacrifice. If included, these would reduce the gaps in balances and retirement incomes between men and women. Calculations are based on values deflated using the review</w:t>
      </w:r>
      <w:r w:rsidR="00A8443E" w:rsidRPr="00027624">
        <w:t>’</w:t>
      </w:r>
      <w:r w:rsidRPr="00027624">
        <w:t xml:space="preserve">s mixed deflator. Disaggregation of these gaps can be found in </w:t>
      </w:r>
      <w:r w:rsidRPr="00027624">
        <w:rPr>
          <w:i/>
        </w:rPr>
        <w:t>Appendix 6D. Supplementary equity charts.</w:t>
      </w:r>
      <w:r w:rsidRPr="00027624">
        <w:t xml:space="preserve"> Source: Cameo modelling undertaken for the review.</w:t>
      </w:r>
    </w:p>
    <w:p w14:paraId="201C61FD" w14:textId="77777777" w:rsidR="00B3792F" w:rsidRPr="00027624" w:rsidRDefault="00B3792F" w:rsidP="00B3792F">
      <w:r w:rsidRPr="00027624">
        <w:t>The gender gaps in working</w:t>
      </w:r>
      <w:r w:rsidR="00A8443E" w:rsidRPr="00027624">
        <w:noBreakHyphen/>
      </w:r>
      <w:r w:rsidRPr="00027624">
        <w:t>life earnings, superannuation balances at retirement and retirement incomes are a result of drivers in both working life and retirement. These drivers can be further separated into those external to the retirement income system, such as the gender pay gap and divorce, and drivers within the retirement income system</w:t>
      </w:r>
      <w:r w:rsidR="00A8443E" w:rsidRPr="00027624">
        <w:t>’</w:t>
      </w:r>
      <w:r w:rsidRPr="00027624">
        <w:t>s settings, such as superannuation tax concessions, fees and insurance premiums, and exclusions from the SG.</w:t>
      </w:r>
    </w:p>
    <w:p w14:paraId="7BE7DC1B" w14:textId="77777777" w:rsidR="00B3792F" w:rsidRPr="00027624" w:rsidRDefault="00B3792F" w:rsidP="00B3792F">
      <w:pPr>
        <w:pStyle w:val="Heading2"/>
      </w:pPr>
      <w:bookmarkStart w:id="1324" w:name="_Toc40366112"/>
      <w:bookmarkStart w:id="1325" w:name="_Toc40369658"/>
      <w:bookmarkStart w:id="1326" w:name="_Toc40427628"/>
      <w:bookmarkStart w:id="1327" w:name="_Toc40458066"/>
      <w:bookmarkStart w:id="1328" w:name="_Toc40461835"/>
      <w:bookmarkStart w:id="1329" w:name="_Toc40474390"/>
      <w:bookmarkStart w:id="1330" w:name="_Toc40477919"/>
      <w:bookmarkStart w:id="1331" w:name="_Toc40521499"/>
      <w:bookmarkStart w:id="1332" w:name="_Toc40530358"/>
      <w:bookmarkStart w:id="1333" w:name="_Toc42778786"/>
      <w:bookmarkStart w:id="1334" w:name="_Toc42779926"/>
      <w:bookmarkStart w:id="1335" w:name="_Toc42780355"/>
      <w:bookmarkStart w:id="1336" w:name="_Toc42786345"/>
      <w:bookmarkStart w:id="1337" w:name="_Toc42791838"/>
      <w:bookmarkStart w:id="1338" w:name="_Toc42792000"/>
      <w:bookmarkStart w:id="1339" w:name="_Toc43117807"/>
      <w:bookmarkStart w:id="1340" w:name="_Toc43121446"/>
      <w:bookmarkStart w:id="1341" w:name="_Toc43122651"/>
      <w:bookmarkStart w:id="1342" w:name="_Toc43127706"/>
      <w:bookmarkStart w:id="1343" w:name="_Toc45520496"/>
      <w:bookmarkStart w:id="1344" w:name="_Toc46133607"/>
      <w:r w:rsidRPr="00027624">
        <w:t>Working</w:t>
      </w:r>
      <w:r w:rsidR="00A8443E" w:rsidRPr="00027624">
        <w:noBreakHyphen/>
      </w:r>
      <w:r w:rsidRPr="00027624">
        <w:t>life drivers of gender gaps outside the retirement income system</w:t>
      </w:r>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p>
    <w:p w14:paraId="08F3F6AA" w14:textId="77777777" w:rsidR="00B3792F" w:rsidRPr="00027624" w:rsidRDefault="00B3792F" w:rsidP="00B3792F">
      <w:pPr>
        <w:pStyle w:val="Heading3"/>
      </w:pPr>
      <w:bookmarkStart w:id="1345" w:name="_Toc40366113"/>
      <w:bookmarkStart w:id="1346" w:name="_Toc40369659"/>
      <w:bookmarkStart w:id="1347" w:name="_Toc40427629"/>
      <w:bookmarkStart w:id="1348" w:name="_Toc40458067"/>
      <w:bookmarkStart w:id="1349" w:name="_Toc40461836"/>
      <w:bookmarkStart w:id="1350" w:name="_Toc40474391"/>
      <w:bookmarkStart w:id="1351" w:name="_Toc40477920"/>
      <w:bookmarkStart w:id="1352" w:name="_Toc40521500"/>
      <w:bookmarkStart w:id="1353" w:name="_Toc40530359"/>
      <w:bookmarkStart w:id="1354" w:name="_Toc42778787"/>
      <w:bookmarkStart w:id="1355" w:name="_Toc42779927"/>
      <w:bookmarkStart w:id="1356" w:name="_Toc42780356"/>
      <w:bookmarkStart w:id="1357" w:name="_Toc42786346"/>
      <w:bookmarkStart w:id="1358" w:name="_Toc42791839"/>
      <w:bookmarkStart w:id="1359" w:name="_Toc42792001"/>
      <w:bookmarkStart w:id="1360" w:name="_Toc43117808"/>
      <w:bookmarkStart w:id="1361" w:name="_Toc43121447"/>
      <w:bookmarkStart w:id="1362" w:name="_Toc43122652"/>
      <w:bookmarkStart w:id="1363" w:name="_Toc43127707"/>
      <w:r w:rsidRPr="00027624">
        <w:t>Gender pay gap</w:t>
      </w:r>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p>
    <w:p w14:paraId="124A9F2B" w14:textId="77777777" w:rsidR="00B3792F" w:rsidRPr="00027624" w:rsidRDefault="00B3792F" w:rsidP="00B3792F">
      <w:r w:rsidRPr="00027624">
        <w:t>A key reason for the gender gap in working</w:t>
      </w:r>
      <w:r w:rsidR="00A8443E" w:rsidRPr="00027624">
        <w:noBreakHyphen/>
      </w:r>
      <w:r w:rsidRPr="00027624">
        <w:t xml:space="preserve">life total earnings is the gender </w:t>
      </w:r>
      <w:r w:rsidRPr="00027624">
        <w:rPr>
          <w:iCs/>
        </w:rPr>
        <w:t>pay</w:t>
      </w:r>
      <w:r w:rsidRPr="00027624">
        <w:rPr>
          <w:i/>
          <w:iCs/>
        </w:rPr>
        <w:t xml:space="preserve"> </w:t>
      </w:r>
      <w:r w:rsidRPr="00027624">
        <w:t>gap, which can be separated into the effect of:</w:t>
      </w:r>
    </w:p>
    <w:p w14:paraId="53C8EC11" w14:textId="77777777" w:rsidR="00B3792F" w:rsidRPr="00027624" w:rsidRDefault="00B3792F" w:rsidP="00FC7361">
      <w:pPr>
        <w:pStyle w:val="Bullet"/>
        <w:numPr>
          <w:ilvl w:val="0"/>
          <w:numId w:val="44"/>
        </w:numPr>
      </w:pPr>
      <w:r w:rsidRPr="00027624">
        <w:t>Women generally being paid less than men</w:t>
      </w:r>
      <w:r w:rsidR="00A8443E" w:rsidRPr="00027624">
        <w:t xml:space="preserve"> — </w:t>
      </w:r>
      <w:r w:rsidRPr="00027624">
        <w:rPr>
          <w:i/>
        </w:rPr>
        <w:t xml:space="preserve">the </w:t>
      </w:r>
      <w:r w:rsidRPr="00027624">
        <w:rPr>
          <w:i/>
          <w:iCs/>
        </w:rPr>
        <w:t>full</w:t>
      </w:r>
      <w:r w:rsidR="00A8443E" w:rsidRPr="00027624">
        <w:rPr>
          <w:i/>
          <w:iCs/>
        </w:rPr>
        <w:noBreakHyphen/>
      </w:r>
      <w:r w:rsidRPr="00027624">
        <w:rPr>
          <w:i/>
          <w:iCs/>
        </w:rPr>
        <w:t>time</w:t>
      </w:r>
      <w:r w:rsidRPr="00027624">
        <w:rPr>
          <w:i/>
        </w:rPr>
        <w:t xml:space="preserve"> pay gap</w:t>
      </w:r>
    </w:p>
    <w:p w14:paraId="5E1531E6" w14:textId="77777777" w:rsidR="00B3792F" w:rsidRPr="00027624" w:rsidRDefault="00B3792F" w:rsidP="00FC7361">
      <w:pPr>
        <w:pStyle w:val="Bullet"/>
        <w:numPr>
          <w:ilvl w:val="0"/>
          <w:numId w:val="44"/>
        </w:numPr>
      </w:pPr>
      <w:r w:rsidRPr="00027624">
        <w:t>Women being more likely than men to work part</w:t>
      </w:r>
      <w:r w:rsidR="00A8443E" w:rsidRPr="00027624">
        <w:noBreakHyphen/>
      </w:r>
      <w:r w:rsidRPr="00027624">
        <w:t>time</w:t>
      </w:r>
      <w:r w:rsidR="00A8443E" w:rsidRPr="00027624">
        <w:t xml:space="preserve"> — </w:t>
      </w:r>
      <w:r w:rsidRPr="00027624">
        <w:rPr>
          <w:i/>
        </w:rPr>
        <w:t xml:space="preserve">the </w:t>
      </w:r>
      <w:r w:rsidRPr="00027624">
        <w:rPr>
          <w:i/>
          <w:iCs/>
        </w:rPr>
        <w:t>total</w:t>
      </w:r>
      <w:r w:rsidRPr="00027624">
        <w:rPr>
          <w:i/>
        </w:rPr>
        <w:t xml:space="preserve"> pay gap</w:t>
      </w:r>
    </w:p>
    <w:p w14:paraId="6E2829B5" w14:textId="1DF9680D" w:rsidR="00B3792F" w:rsidRPr="00027624" w:rsidRDefault="00B3792F" w:rsidP="00B3792F">
      <w:r w:rsidRPr="00027624">
        <w:t>Across all men and women working full</w:t>
      </w:r>
      <w:r w:rsidR="00A8443E" w:rsidRPr="00027624">
        <w:noBreakHyphen/>
      </w:r>
      <w:r w:rsidRPr="00027624">
        <w:t>time (excluding part</w:t>
      </w:r>
      <w:r w:rsidR="00A8443E" w:rsidRPr="00027624">
        <w:noBreakHyphen/>
      </w:r>
      <w:r w:rsidRPr="00027624">
        <w:t>time and self</w:t>
      </w:r>
      <w:r w:rsidR="00A8443E" w:rsidRPr="00027624">
        <w:noBreakHyphen/>
      </w:r>
      <w:r w:rsidRPr="00027624">
        <w:t>employed workers), the gender pay gap is</w:t>
      </w:r>
      <w:r w:rsidRPr="00027624" w:rsidDel="00F075F6">
        <w:t xml:space="preserve"> </w:t>
      </w:r>
      <w:r w:rsidRPr="00027624">
        <w:t xml:space="preserve">16.9 per cent. Cameo modelling projects that this results in a 17.4 per cent gender gap in </w:t>
      </w:r>
      <w:r w:rsidRPr="00027624">
        <w:rPr>
          <w:iCs/>
        </w:rPr>
        <w:t>superannuation bala</w:t>
      </w:r>
      <w:r w:rsidRPr="00027624">
        <w:t>nces at retirement (</w:t>
      </w:r>
      <w:r w:rsidRPr="00027624">
        <w:fldChar w:fldCharType="begin"/>
      </w:r>
      <w:r w:rsidRPr="00027624">
        <w:instrText xml:space="preserve"> REF _Ref38643501 \r \h  \* MERGEFORMAT </w:instrText>
      </w:r>
      <w:r w:rsidRPr="00027624">
        <w:fldChar w:fldCharType="separate"/>
      </w:r>
      <w:r w:rsidR="00891058">
        <w:t>Table 3B-1</w:t>
      </w:r>
      <w:r w:rsidRPr="00027624">
        <w:fldChar w:fldCharType="end"/>
      </w:r>
      <w:r w:rsidRPr="00027624">
        <w:t>).</w:t>
      </w:r>
      <w:r w:rsidRPr="00027624">
        <w:rPr>
          <w:rStyle w:val="FootnoteReference"/>
        </w:rPr>
        <w:footnoteReference w:id="148"/>
      </w:r>
      <w:r w:rsidRPr="00027624">
        <w:t xml:space="preserve"> The difference between the two is largely due to the effect of fees and insurance premiums. The equivalent annual </w:t>
      </w:r>
      <w:r w:rsidRPr="00027624">
        <w:rPr>
          <w:iCs/>
        </w:rPr>
        <w:t>retirement income</w:t>
      </w:r>
      <w:r w:rsidRPr="00027624">
        <w:t xml:space="preserve"> gender pay gap is lower, at 8.4 per cent, largely due to the levelling effect of the Age Pension.</w:t>
      </w:r>
    </w:p>
    <w:p w14:paraId="15D4E6D7" w14:textId="77777777" w:rsidR="00B3792F" w:rsidRPr="00027624" w:rsidRDefault="00B3792F" w:rsidP="00FC7361">
      <w:pPr>
        <w:pStyle w:val="TableMainHeading"/>
        <w:numPr>
          <w:ilvl w:val="3"/>
          <w:numId w:val="68"/>
        </w:numPr>
      </w:pPr>
      <w:bookmarkStart w:id="1364" w:name="_Ref36033653"/>
      <w:bookmarkStart w:id="1365" w:name="_Ref38643501"/>
      <w:r w:rsidRPr="00027624">
        <w:lastRenderedPageBreak/>
        <w:t xml:space="preserve">Projected gaps between </w:t>
      </w:r>
      <w:bookmarkEnd w:id="1364"/>
      <w:r w:rsidRPr="00027624">
        <w:t>men and women</w:t>
      </w:r>
      <w:bookmarkEnd w:id="1365"/>
    </w:p>
    <w:tbl>
      <w:tblPr>
        <w:tblW w:w="5000" w:type="pct"/>
        <w:tblLook w:val="01E0" w:firstRow="1" w:lastRow="1" w:firstColumn="1" w:lastColumn="1" w:noHBand="0" w:noVBand="0"/>
      </w:tblPr>
      <w:tblGrid>
        <w:gridCol w:w="2267"/>
        <w:gridCol w:w="2267"/>
        <w:gridCol w:w="2268"/>
        <w:gridCol w:w="2268"/>
      </w:tblGrid>
      <w:tr w:rsidR="00B3792F" w:rsidRPr="00027624" w14:paraId="6CC73ECD" w14:textId="77777777" w:rsidTr="00B3792F">
        <w:trPr>
          <w:trHeight w:val="270"/>
          <w:tblHeader/>
        </w:trPr>
        <w:tc>
          <w:tcPr>
            <w:tcW w:w="1250" w:type="pct"/>
            <w:shd w:val="clear" w:color="auto" w:fill="E5E5E5"/>
          </w:tcPr>
          <w:p w14:paraId="23A870BE" w14:textId="77777777" w:rsidR="00B3792F" w:rsidRPr="00027624" w:rsidRDefault="00B3792F" w:rsidP="00B3792F">
            <w:pPr>
              <w:keepNext/>
              <w:keepLines/>
              <w:spacing w:before="40" w:after="40"/>
              <w:jc w:val="center"/>
              <w:rPr>
                <w:b/>
                <w:color w:val="004A7F"/>
                <w:sz w:val="20"/>
              </w:rPr>
            </w:pPr>
          </w:p>
        </w:tc>
        <w:tc>
          <w:tcPr>
            <w:tcW w:w="1250" w:type="pct"/>
            <w:shd w:val="clear" w:color="auto" w:fill="E5E5E5"/>
          </w:tcPr>
          <w:p w14:paraId="0FF9EA11" w14:textId="77777777" w:rsidR="00B3792F" w:rsidRPr="00027624" w:rsidRDefault="00B3792F" w:rsidP="00B3792F">
            <w:pPr>
              <w:keepNext/>
              <w:keepLines/>
              <w:spacing w:before="40" w:after="40"/>
              <w:jc w:val="center"/>
              <w:rPr>
                <w:b/>
                <w:color w:val="004A7F"/>
                <w:sz w:val="20"/>
              </w:rPr>
            </w:pPr>
            <w:r w:rsidRPr="00027624">
              <w:rPr>
                <w:b/>
                <w:color w:val="004A7F"/>
                <w:sz w:val="20"/>
              </w:rPr>
              <w:t>Working</w:t>
            </w:r>
            <w:r w:rsidR="00A8443E" w:rsidRPr="00027624">
              <w:rPr>
                <w:b/>
                <w:color w:val="004A7F"/>
                <w:sz w:val="20"/>
              </w:rPr>
              <w:noBreakHyphen/>
            </w:r>
            <w:r w:rsidRPr="00027624">
              <w:rPr>
                <w:b/>
                <w:color w:val="004A7F"/>
                <w:sz w:val="20"/>
              </w:rPr>
              <w:t>life earnings gap</w:t>
            </w:r>
            <w:r w:rsidRPr="00027624">
              <w:rPr>
                <w:b/>
                <w:color w:val="004A7F"/>
                <w:sz w:val="20"/>
              </w:rPr>
              <w:br/>
              <w:t>(per cent)</w:t>
            </w:r>
          </w:p>
        </w:tc>
        <w:tc>
          <w:tcPr>
            <w:tcW w:w="1250" w:type="pct"/>
            <w:shd w:val="clear" w:color="auto" w:fill="E5E5E5"/>
          </w:tcPr>
          <w:p w14:paraId="019534C5" w14:textId="77777777" w:rsidR="00B3792F" w:rsidRPr="00027624" w:rsidRDefault="00B3792F" w:rsidP="00B3792F">
            <w:pPr>
              <w:keepNext/>
              <w:keepLines/>
              <w:spacing w:before="40" w:after="40"/>
              <w:jc w:val="center"/>
              <w:rPr>
                <w:b/>
                <w:color w:val="004A7F"/>
                <w:sz w:val="20"/>
              </w:rPr>
            </w:pPr>
            <w:r w:rsidRPr="00027624">
              <w:rPr>
                <w:b/>
                <w:color w:val="004A7F"/>
                <w:sz w:val="20"/>
              </w:rPr>
              <w:t>Superannuation balance at retirement gap (per cent)</w:t>
            </w:r>
          </w:p>
        </w:tc>
        <w:tc>
          <w:tcPr>
            <w:tcW w:w="1250" w:type="pct"/>
            <w:shd w:val="clear" w:color="auto" w:fill="E5E5E5"/>
          </w:tcPr>
          <w:p w14:paraId="54160B95" w14:textId="77777777" w:rsidR="00B3792F" w:rsidRPr="00027624" w:rsidRDefault="00B3792F" w:rsidP="00B3792F">
            <w:pPr>
              <w:keepNext/>
              <w:keepLines/>
              <w:spacing w:before="40" w:after="40"/>
              <w:jc w:val="center"/>
              <w:rPr>
                <w:b/>
                <w:color w:val="004A7F"/>
                <w:sz w:val="20"/>
              </w:rPr>
            </w:pPr>
            <w:r w:rsidRPr="00027624">
              <w:rPr>
                <w:b/>
                <w:color w:val="004A7F"/>
                <w:sz w:val="20"/>
              </w:rPr>
              <w:t xml:space="preserve">Average annual retirement income gap (per cent) </w:t>
            </w:r>
          </w:p>
        </w:tc>
      </w:tr>
      <w:tr w:rsidR="00B3792F" w:rsidRPr="00027624" w14:paraId="27D5F1FE" w14:textId="77777777" w:rsidTr="00B3792F">
        <w:trPr>
          <w:trHeight w:val="270"/>
        </w:trPr>
        <w:tc>
          <w:tcPr>
            <w:tcW w:w="1250" w:type="pct"/>
          </w:tcPr>
          <w:p w14:paraId="32C12474" w14:textId="77777777" w:rsidR="00B3792F" w:rsidRPr="00027624" w:rsidRDefault="00B3792F" w:rsidP="00B3792F">
            <w:pPr>
              <w:keepNext/>
              <w:keepLines/>
              <w:spacing w:before="40" w:after="40"/>
              <w:rPr>
                <w:color w:val="000000"/>
                <w:sz w:val="18"/>
              </w:rPr>
            </w:pPr>
            <w:r w:rsidRPr="00027624">
              <w:rPr>
                <w:color w:val="000000"/>
                <w:sz w:val="18"/>
              </w:rPr>
              <w:t>Full</w:t>
            </w:r>
            <w:r w:rsidR="00A8443E" w:rsidRPr="00027624">
              <w:rPr>
                <w:color w:val="000000"/>
                <w:sz w:val="18"/>
              </w:rPr>
              <w:noBreakHyphen/>
            </w:r>
            <w:r w:rsidRPr="00027624">
              <w:rPr>
                <w:color w:val="000000"/>
                <w:sz w:val="18"/>
              </w:rPr>
              <w:t xml:space="preserve">time workers </w:t>
            </w:r>
          </w:p>
        </w:tc>
        <w:tc>
          <w:tcPr>
            <w:tcW w:w="1250" w:type="pct"/>
          </w:tcPr>
          <w:p w14:paraId="36A031DC" w14:textId="77777777" w:rsidR="00B3792F" w:rsidRPr="00027624" w:rsidRDefault="00B3792F" w:rsidP="00B3792F">
            <w:pPr>
              <w:keepNext/>
              <w:keepLines/>
              <w:spacing w:before="40" w:after="40"/>
              <w:jc w:val="center"/>
              <w:rPr>
                <w:color w:val="000000"/>
                <w:sz w:val="18"/>
              </w:rPr>
            </w:pPr>
            <w:r w:rsidRPr="00027624">
              <w:rPr>
                <w:color w:val="000000"/>
                <w:sz w:val="18"/>
              </w:rPr>
              <w:t>16.9</w:t>
            </w:r>
          </w:p>
        </w:tc>
        <w:tc>
          <w:tcPr>
            <w:tcW w:w="1250" w:type="pct"/>
          </w:tcPr>
          <w:p w14:paraId="3AA595D8" w14:textId="77777777" w:rsidR="00B3792F" w:rsidRPr="00027624" w:rsidRDefault="00B3792F" w:rsidP="00B3792F">
            <w:pPr>
              <w:keepNext/>
              <w:keepLines/>
              <w:spacing w:before="40" w:after="40"/>
              <w:jc w:val="center"/>
              <w:rPr>
                <w:color w:val="000000"/>
                <w:sz w:val="18"/>
              </w:rPr>
            </w:pPr>
            <w:r w:rsidRPr="00027624">
              <w:rPr>
                <w:color w:val="000000"/>
                <w:sz w:val="18"/>
              </w:rPr>
              <w:t>17.4</w:t>
            </w:r>
          </w:p>
        </w:tc>
        <w:tc>
          <w:tcPr>
            <w:tcW w:w="1250" w:type="pct"/>
          </w:tcPr>
          <w:p w14:paraId="7D725FE6" w14:textId="77777777" w:rsidR="00B3792F" w:rsidRPr="00027624" w:rsidRDefault="00B3792F" w:rsidP="00B3792F">
            <w:pPr>
              <w:keepNext/>
              <w:keepLines/>
              <w:spacing w:before="40" w:after="40"/>
              <w:jc w:val="center"/>
              <w:rPr>
                <w:color w:val="000000"/>
                <w:sz w:val="18"/>
              </w:rPr>
            </w:pPr>
            <w:r w:rsidRPr="00027624">
              <w:rPr>
                <w:color w:val="000000"/>
                <w:sz w:val="18"/>
              </w:rPr>
              <w:t>8.4</w:t>
            </w:r>
          </w:p>
        </w:tc>
      </w:tr>
      <w:tr w:rsidR="00B3792F" w:rsidRPr="00027624" w14:paraId="0AFCAD4B" w14:textId="77777777" w:rsidTr="00B3792F">
        <w:trPr>
          <w:trHeight w:val="270"/>
        </w:trPr>
        <w:tc>
          <w:tcPr>
            <w:tcW w:w="1250" w:type="pct"/>
          </w:tcPr>
          <w:p w14:paraId="55B1656E" w14:textId="77777777" w:rsidR="00B3792F" w:rsidRPr="00027624" w:rsidRDefault="00B3792F" w:rsidP="00B3792F">
            <w:pPr>
              <w:keepNext/>
              <w:keepLines/>
              <w:spacing w:before="40" w:after="40"/>
              <w:rPr>
                <w:color w:val="000000"/>
                <w:sz w:val="18"/>
              </w:rPr>
            </w:pPr>
            <w:r w:rsidRPr="00027624">
              <w:rPr>
                <w:color w:val="000000"/>
                <w:sz w:val="18"/>
              </w:rPr>
              <w:t>All workers (including part</w:t>
            </w:r>
            <w:r w:rsidR="00A8443E" w:rsidRPr="00027624">
              <w:rPr>
                <w:color w:val="000000"/>
                <w:sz w:val="18"/>
              </w:rPr>
              <w:noBreakHyphen/>
            </w:r>
            <w:r w:rsidRPr="00027624">
              <w:rPr>
                <w:color w:val="000000"/>
                <w:sz w:val="18"/>
              </w:rPr>
              <w:t xml:space="preserve">time and casual) </w:t>
            </w:r>
          </w:p>
        </w:tc>
        <w:tc>
          <w:tcPr>
            <w:tcW w:w="1250" w:type="pct"/>
          </w:tcPr>
          <w:p w14:paraId="118D03BB" w14:textId="77777777" w:rsidR="00B3792F" w:rsidRPr="00027624" w:rsidRDefault="00B3792F" w:rsidP="00B3792F">
            <w:pPr>
              <w:keepNext/>
              <w:keepLines/>
              <w:spacing w:before="40" w:after="40"/>
              <w:jc w:val="center"/>
              <w:rPr>
                <w:color w:val="000000"/>
                <w:sz w:val="18"/>
              </w:rPr>
            </w:pPr>
            <w:r w:rsidRPr="00027624">
              <w:rPr>
                <w:color w:val="000000"/>
                <w:sz w:val="18"/>
              </w:rPr>
              <w:t>31.4</w:t>
            </w:r>
          </w:p>
        </w:tc>
        <w:tc>
          <w:tcPr>
            <w:tcW w:w="1250" w:type="pct"/>
          </w:tcPr>
          <w:p w14:paraId="69D4DD72" w14:textId="77777777" w:rsidR="00B3792F" w:rsidRPr="00027624" w:rsidRDefault="00B3792F" w:rsidP="00B3792F">
            <w:pPr>
              <w:keepNext/>
              <w:keepLines/>
              <w:spacing w:before="40" w:after="40"/>
              <w:jc w:val="center"/>
              <w:rPr>
                <w:color w:val="000000"/>
                <w:sz w:val="18"/>
              </w:rPr>
            </w:pPr>
            <w:r w:rsidRPr="00027624">
              <w:rPr>
                <w:color w:val="000000"/>
                <w:sz w:val="18"/>
              </w:rPr>
              <w:t>32.6</w:t>
            </w:r>
          </w:p>
        </w:tc>
        <w:tc>
          <w:tcPr>
            <w:tcW w:w="1250" w:type="pct"/>
          </w:tcPr>
          <w:p w14:paraId="26404751" w14:textId="77777777" w:rsidR="00B3792F" w:rsidRPr="00027624" w:rsidRDefault="00B3792F" w:rsidP="00B3792F">
            <w:pPr>
              <w:keepNext/>
              <w:keepLines/>
              <w:spacing w:before="40" w:after="40"/>
              <w:jc w:val="center"/>
              <w:rPr>
                <w:color w:val="000000"/>
                <w:sz w:val="18"/>
              </w:rPr>
            </w:pPr>
            <w:r w:rsidRPr="00027624">
              <w:rPr>
                <w:color w:val="000000"/>
                <w:sz w:val="18"/>
              </w:rPr>
              <w:t>9.6</w:t>
            </w:r>
          </w:p>
        </w:tc>
      </w:tr>
    </w:tbl>
    <w:p w14:paraId="1A90D8EF" w14:textId="77777777" w:rsidR="00B3792F" w:rsidRPr="00027624" w:rsidRDefault="00B3792F" w:rsidP="00B3792F">
      <w:pPr>
        <w:pStyle w:val="ChartorTableNote"/>
      </w:pPr>
      <w:r w:rsidRPr="00027624">
        <w:t>Note: Working</w:t>
      </w:r>
      <w:r w:rsidR="00A8443E" w:rsidRPr="00027624">
        <w:noBreakHyphen/>
      </w:r>
      <w:r w:rsidRPr="00027624">
        <w:t>life earnings are calculated using total average weekly earnings, seasonally adjusted, November 2019</w:t>
      </w:r>
      <w:sdt>
        <w:sdtPr>
          <w:id w:val="-1384945926"/>
          <w:citation/>
        </w:sdtPr>
        <w:sdtEndPr/>
        <w:sdtContent>
          <w:r w:rsidR="00AE2BB3" w:rsidRPr="00027624">
            <w:fldChar w:fldCharType="begin"/>
          </w:r>
          <w:r w:rsidR="00AE2BB3" w:rsidRPr="00027624">
            <w:instrText xml:space="preserve"> CITATION ABS20d \l 3081 </w:instrText>
          </w:r>
          <w:r w:rsidR="00AE2BB3" w:rsidRPr="00027624">
            <w:fldChar w:fldCharType="separate"/>
          </w:r>
          <w:r w:rsidR="00E83F6E">
            <w:rPr>
              <w:noProof/>
            </w:rPr>
            <w:t xml:space="preserve"> (ABS, 2020d)</w:t>
          </w:r>
          <w:r w:rsidR="00AE2BB3" w:rsidRPr="00027624">
            <w:fldChar w:fldCharType="end"/>
          </w:r>
        </w:sdtContent>
      </w:sdt>
      <w:r w:rsidRPr="00027624">
        <w:t>. Men and women are modelled to receive constant wages in real terms for their entire working life, based on total average weekly earnings. Assumes no non</w:t>
      </w:r>
      <w:r w:rsidR="00A8443E" w:rsidRPr="00027624">
        <w:noBreakHyphen/>
      </w:r>
      <w:r w:rsidRPr="00027624">
        <w:t>superannuation savings and no salary sacrifice. Superannuation balance gap is based on values deflated by average weekly earnings. Earnings and income calculations are based on values deflated using the review</w:t>
      </w:r>
      <w:r w:rsidR="00A8443E" w:rsidRPr="00027624">
        <w:t>’</w:t>
      </w:r>
      <w:r w:rsidRPr="00027624">
        <w:t>s mixed deflator. Source: Cameo modelling undertaken for the review.</w:t>
      </w:r>
    </w:p>
    <w:p w14:paraId="41DF15A0" w14:textId="77777777" w:rsidR="00B3792F" w:rsidRPr="00027624" w:rsidRDefault="00B3792F" w:rsidP="00B3792F">
      <w:r w:rsidRPr="00027624">
        <w:t>The gender pay gap for all workers is significantly larger than the full</w:t>
      </w:r>
      <w:r w:rsidR="00A8443E" w:rsidRPr="00027624">
        <w:noBreakHyphen/>
      </w:r>
      <w:r w:rsidRPr="00027624">
        <w:t>time pay gap because women are over</w:t>
      </w:r>
      <w:r w:rsidR="00A8443E" w:rsidRPr="00027624">
        <w:noBreakHyphen/>
      </w:r>
      <w:r w:rsidRPr="00027624">
        <w:t>represented in part</w:t>
      </w:r>
      <w:r w:rsidR="00A8443E" w:rsidRPr="00027624">
        <w:noBreakHyphen/>
      </w:r>
      <w:r w:rsidRPr="00027624">
        <w:t xml:space="preserve">time and casual work. This leads to a larger gender gap in </w:t>
      </w:r>
      <w:r w:rsidRPr="00027624">
        <w:rPr>
          <w:iCs/>
        </w:rPr>
        <w:t>superannuation balances</w:t>
      </w:r>
      <w:r w:rsidRPr="00027624">
        <w:t xml:space="preserve"> at retirement. But, the average annual </w:t>
      </w:r>
      <w:r w:rsidRPr="00027624">
        <w:rPr>
          <w:iCs/>
        </w:rPr>
        <w:t>retirement income</w:t>
      </w:r>
      <w:r w:rsidRPr="00027624">
        <w:t xml:space="preserve"> pay gap for all workers reduces to 9.6 per cent because the Age Pension plays a larger role in the retirement of those with lower working</w:t>
      </w:r>
      <w:r w:rsidR="00A8443E" w:rsidRPr="00027624">
        <w:noBreakHyphen/>
      </w:r>
      <w:r w:rsidRPr="00027624">
        <w:t>life incomes, such as part</w:t>
      </w:r>
      <w:r w:rsidR="00A8443E" w:rsidRPr="00027624">
        <w:noBreakHyphen/>
      </w:r>
      <w:r w:rsidRPr="00027624">
        <w:t xml:space="preserve">time and casual workers (see </w:t>
      </w:r>
      <w:r w:rsidRPr="00027624">
        <w:rPr>
          <w:i/>
        </w:rPr>
        <w:t>3A. Income and wealth distribution</w:t>
      </w:r>
      <w:r w:rsidRPr="00027624">
        <w:t>).</w:t>
      </w:r>
    </w:p>
    <w:p w14:paraId="264D7BEF" w14:textId="77777777" w:rsidR="00B3792F" w:rsidRPr="00027624" w:rsidRDefault="00B3792F" w:rsidP="00B3792F">
      <w:pPr>
        <w:pStyle w:val="Heading3"/>
      </w:pPr>
      <w:bookmarkStart w:id="1366" w:name="_Toc40366114"/>
      <w:bookmarkStart w:id="1367" w:name="_Toc40369660"/>
      <w:bookmarkStart w:id="1368" w:name="_Toc40427630"/>
      <w:bookmarkStart w:id="1369" w:name="_Toc40458068"/>
      <w:bookmarkStart w:id="1370" w:name="_Toc40461837"/>
      <w:bookmarkStart w:id="1371" w:name="_Toc40474392"/>
      <w:bookmarkStart w:id="1372" w:name="_Toc40477921"/>
      <w:bookmarkStart w:id="1373" w:name="_Toc40521501"/>
      <w:bookmarkStart w:id="1374" w:name="_Toc40530360"/>
      <w:bookmarkStart w:id="1375" w:name="_Toc42778788"/>
      <w:bookmarkStart w:id="1376" w:name="_Toc42779928"/>
      <w:bookmarkStart w:id="1377" w:name="_Toc42780357"/>
      <w:bookmarkStart w:id="1378" w:name="_Toc42786347"/>
      <w:bookmarkStart w:id="1379" w:name="_Toc42791840"/>
      <w:bookmarkStart w:id="1380" w:name="_Toc42792002"/>
      <w:bookmarkStart w:id="1381" w:name="_Toc43117809"/>
      <w:bookmarkStart w:id="1382" w:name="_Toc43121448"/>
      <w:bookmarkStart w:id="1383" w:name="_Toc43122653"/>
      <w:bookmarkStart w:id="1384" w:name="_Toc43127708"/>
      <w:r w:rsidRPr="00027624">
        <w:t>Career breaks</w:t>
      </w:r>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p>
    <w:p w14:paraId="05984D61" w14:textId="77777777" w:rsidR="00B3792F" w:rsidRPr="00027624" w:rsidRDefault="00B3792F" w:rsidP="00B3792F">
      <w:r w:rsidRPr="00027624">
        <w:t xml:space="preserve">Of those currently retired, women are likely to have been in the labour force for fewer years than men (see </w:t>
      </w:r>
      <w:r w:rsidRPr="00027624">
        <w:rPr>
          <w:i/>
        </w:rPr>
        <w:t>2C. Maintaining standards of living in retirement</w:t>
      </w:r>
      <w:r w:rsidRPr="00027624">
        <w:t xml:space="preserve">). </w:t>
      </w:r>
      <w:r w:rsidRPr="00027624">
        <w:rPr>
          <w:b/>
          <w:bCs/>
        </w:rPr>
        <w:t>Women are more likely to be carers</w:t>
      </w:r>
      <w:r w:rsidRPr="00027624">
        <w:t>, with 93.5 per cent of all primary carer</w:t>
      </w:r>
      <w:r w:rsidR="00A8443E" w:rsidRPr="00027624">
        <w:t>’</w:t>
      </w:r>
      <w:r w:rsidRPr="00027624">
        <w:t xml:space="preserve">s leave taken by women </w:t>
      </w:r>
      <w:sdt>
        <w:sdtPr>
          <w:id w:val="1584802314"/>
          <w:citation/>
        </w:sdtPr>
        <w:sdtEndPr/>
        <w:sdtContent>
          <w:r w:rsidRPr="00027624">
            <w:fldChar w:fldCharType="begin"/>
          </w:r>
          <w:r w:rsidRPr="00027624">
            <w:instrText xml:space="preserve">CITATION WGE20 \l 3081 </w:instrText>
          </w:r>
          <w:r w:rsidRPr="00027624">
            <w:fldChar w:fldCharType="separate"/>
          </w:r>
          <w:r w:rsidR="00E83F6E">
            <w:rPr>
              <w:noProof/>
            </w:rPr>
            <w:t>(Workplace Gender Equality Agency, 2019)</w:t>
          </w:r>
          <w:r w:rsidRPr="00027624">
            <w:fldChar w:fldCharType="end"/>
          </w:r>
        </w:sdtContent>
      </w:sdt>
      <w:r w:rsidRPr="00027624">
        <w:t>. In 2018</w:t>
      </w:r>
      <w:r w:rsidR="00A8443E" w:rsidRPr="00027624">
        <w:noBreakHyphen/>
      </w:r>
      <w:r w:rsidRPr="00027624">
        <w:t xml:space="preserve">19, among parents of children aged five and under, 64.2 per cent of women were in the labour force, compared to 94.6 per cent of men </w:t>
      </w:r>
      <w:sdt>
        <w:sdtPr>
          <w:id w:val="452904128"/>
          <w:citation/>
        </w:sdtPr>
        <w:sdtEndPr/>
        <w:sdtContent>
          <w:r w:rsidRPr="00027624">
            <w:fldChar w:fldCharType="begin"/>
          </w:r>
          <w:r w:rsidRPr="00027624">
            <w:instrText xml:space="preserve">CITATION ABS19 \l 3081 </w:instrText>
          </w:r>
          <w:r w:rsidRPr="00027624">
            <w:fldChar w:fldCharType="separate"/>
          </w:r>
          <w:r w:rsidR="00E83F6E">
            <w:rPr>
              <w:noProof/>
            </w:rPr>
            <w:t>(ABS, 2019j)</w:t>
          </w:r>
          <w:r w:rsidRPr="00027624">
            <w:fldChar w:fldCharType="end"/>
          </w:r>
        </w:sdtContent>
      </w:sdt>
      <w:r w:rsidRPr="00027624">
        <w:t>.</w:t>
      </w:r>
    </w:p>
    <w:p w14:paraId="3EDD35A4" w14:textId="77777777" w:rsidR="00B3792F" w:rsidRPr="00027624" w:rsidRDefault="00B3792F" w:rsidP="00B3792F">
      <w:r w:rsidRPr="00027624">
        <w:rPr>
          <w:b/>
          <w:bCs/>
        </w:rPr>
        <w:t>Caring for children reduces women</w:t>
      </w:r>
      <w:r w:rsidR="00A8443E" w:rsidRPr="00027624">
        <w:rPr>
          <w:b/>
          <w:bCs/>
        </w:rPr>
        <w:t>’</w:t>
      </w:r>
      <w:r w:rsidRPr="00027624">
        <w:rPr>
          <w:b/>
          <w:bCs/>
        </w:rPr>
        <w:t>s lifetime earnings</w:t>
      </w:r>
      <w:r w:rsidRPr="00027624">
        <w:rPr>
          <w:b/>
        </w:rPr>
        <w:t>.</w:t>
      </w:r>
      <w:r w:rsidRPr="00027624">
        <w:t xml:space="preserve"> One study showed that women with a child aged two or younger in 2001 experienced an average 77.5 per cent reduction in earnings over the subsequent 15 years, compared with those without children. Men with young children faced no significant earnings penalty </w:t>
      </w:r>
      <w:sdt>
        <w:sdtPr>
          <w:id w:val="-665940915"/>
          <w:citation/>
        </w:sdtPr>
        <w:sdtEndPr/>
        <w:sdtContent>
          <w:r w:rsidRPr="00027624">
            <w:fldChar w:fldCharType="begin"/>
          </w:r>
          <w:r w:rsidRPr="00027624">
            <w:instrText xml:space="preserve">CITATION Aus182 \p 502 \l 3081 </w:instrText>
          </w:r>
          <w:r w:rsidRPr="00027624">
            <w:fldChar w:fldCharType="separate"/>
          </w:r>
          <w:r w:rsidR="00E83F6E">
            <w:rPr>
              <w:noProof/>
            </w:rPr>
            <w:t>(Austen &amp; Mavisakalyan, 2018, p. 502)</w:t>
          </w:r>
          <w:r w:rsidRPr="00027624">
            <w:fldChar w:fldCharType="end"/>
          </w:r>
        </w:sdtContent>
      </w:sdt>
      <w:r w:rsidRPr="00027624">
        <w:t>.</w:t>
      </w:r>
    </w:p>
    <w:p w14:paraId="475F9F48" w14:textId="60B37488" w:rsidR="00E6278F" w:rsidRDefault="00B3792F" w:rsidP="00E6278F">
      <w:r w:rsidRPr="00027624">
        <w:t>The average superannuation balances of men and women significantly diverge when accounting for whether the person has children (</w:t>
      </w:r>
      <w:r w:rsidRPr="00027624">
        <w:fldChar w:fldCharType="begin"/>
      </w:r>
      <w:r w:rsidRPr="00027624">
        <w:instrText xml:space="preserve"> REF _Ref36033680 \r \h  \* MERGEFORMAT </w:instrText>
      </w:r>
      <w:r w:rsidRPr="00027624">
        <w:fldChar w:fldCharType="separate"/>
      </w:r>
      <w:r w:rsidR="00891058">
        <w:t>Chart 3B-2</w:t>
      </w:r>
      <w:r w:rsidRPr="00027624">
        <w:fldChar w:fldCharType="end"/>
      </w:r>
      <w:r w:rsidR="00357A7D">
        <w:t>).</w:t>
      </w:r>
      <w:r w:rsidR="00E6278F" w:rsidRPr="00E6278F">
        <w:t xml:space="preserve"> </w:t>
      </w:r>
    </w:p>
    <w:p w14:paraId="3A6E6AAB" w14:textId="77777777" w:rsidR="00EA28D7" w:rsidRPr="00027624" w:rsidRDefault="00E6278F" w:rsidP="00B3792F">
      <w:r w:rsidRPr="00027624">
        <w:t>The average superannuation balances of men and women without children are broadly similar until ages 45</w:t>
      </w:r>
      <w:r w:rsidRPr="00027624">
        <w:noBreakHyphen/>
        <w:t>54. Lower labour force participation and earnings — taking career breaks and working part</w:t>
      </w:r>
      <w:r w:rsidRPr="00027624">
        <w:noBreakHyphen/>
        <w:t xml:space="preserve">time to care for children — contribute to women with children having lower superannuation balances than women without children. Conversely, men with children have higher average superannuation balances than men without children. One reason for this may be that men with lower incomes are less likely to have children </w:t>
      </w:r>
      <w:sdt>
        <w:sdtPr>
          <w:id w:val="925772113"/>
          <w:citation/>
        </w:sdtPr>
        <w:sdtEndPr/>
        <w:sdtContent>
          <w:r w:rsidRPr="00027624">
            <w:fldChar w:fldCharType="begin"/>
          </w:r>
          <w:r w:rsidRPr="00027624">
            <w:instrText xml:space="preserve">CITATION Hop18 \l 3081 </w:instrText>
          </w:r>
          <w:r w:rsidRPr="00027624">
            <w:fldChar w:fldCharType="separate"/>
          </w:r>
          <w:r w:rsidR="00E83F6E">
            <w:rPr>
              <w:noProof/>
            </w:rPr>
            <w:t>(Hopcroft, 2018)</w:t>
          </w:r>
          <w:r w:rsidRPr="00027624">
            <w:fldChar w:fldCharType="end"/>
          </w:r>
        </w:sdtContent>
      </w:sdt>
      <w:r>
        <w:t>.</w:t>
      </w:r>
    </w:p>
    <w:p w14:paraId="38FEEFF9" w14:textId="77777777" w:rsidR="00B3792F" w:rsidRPr="00027624" w:rsidRDefault="00B3792F" w:rsidP="00E6278F">
      <w:pPr>
        <w:pStyle w:val="ChartMainHeading"/>
      </w:pPr>
      <w:bookmarkStart w:id="1385" w:name="_Ref36033680"/>
      <w:r w:rsidRPr="00027624">
        <w:lastRenderedPageBreak/>
        <w:t xml:space="preserve">Average superannuation balances by age, </w:t>
      </w:r>
      <w:r w:rsidRPr="00E6278F">
        <w:t>gender</w:t>
      </w:r>
      <w:r w:rsidRPr="00027624">
        <w:t xml:space="preserve"> and whether a person has children</w:t>
      </w:r>
      <w:bookmarkEnd w:id="1385"/>
    </w:p>
    <w:p w14:paraId="2748F2BC" w14:textId="77777777" w:rsidR="00B3792F" w:rsidRPr="00027624" w:rsidRDefault="00D2182D" w:rsidP="00EA28D7">
      <w:pPr>
        <w:pStyle w:val="ChartGraphic"/>
        <w:keepNext w:val="0"/>
        <w:keepLines/>
      </w:pPr>
      <w:r>
        <w:rPr>
          <w:noProof/>
        </w:rPr>
        <w:drawing>
          <wp:inline distT="0" distB="0" distL="0" distR="0" wp14:anchorId="2AA850EA" wp14:editId="1634E8B8">
            <wp:extent cx="5585460" cy="2529840"/>
            <wp:effectExtent l="0" t="0" r="0" b="3810"/>
            <wp:docPr id="771978747" name="Picture 771978747" descr="This chart shows that, at all ages, the average superannuation balance for men with children is greater than the average superannuation balance for men without children. At all ages, the average superannuation balance for women with children is smaller than the average superannuation balance for women without children." title="Chart 3B-2 Average superannuation balances by age, gender and whether a person has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85460" cy="2529840"/>
                    </a:xfrm>
                    <a:prstGeom prst="rect">
                      <a:avLst/>
                    </a:prstGeom>
                    <a:noFill/>
                  </pic:spPr>
                </pic:pic>
              </a:graphicData>
            </a:graphic>
          </wp:inline>
        </w:drawing>
      </w:r>
    </w:p>
    <w:p w14:paraId="3494D084" w14:textId="77777777" w:rsidR="00B3792F" w:rsidRPr="00027624" w:rsidRDefault="00B3792F" w:rsidP="00357A7D">
      <w:pPr>
        <w:pStyle w:val="ChartorTableNote"/>
      </w:pPr>
      <w:r w:rsidRPr="00027624">
        <w:t>Note: 2018 data. Balances are for those not retired. These figures are not controlled for other variables like income or socio</w:t>
      </w:r>
      <w:r w:rsidR="00A8443E" w:rsidRPr="00027624">
        <w:noBreakHyphen/>
      </w:r>
      <w:r w:rsidRPr="00027624">
        <w:t xml:space="preserve">economic status. As such, the results above do not </w:t>
      </w:r>
      <w:r w:rsidRPr="00357A7D">
        <w:t>represent</w:t>
      </w:r>
      <w:r w:rsidRPr="00027624">
        <w:t xml:space="preserve"> the isolated effect of having children on a person</w:t>
      </w:r>
      <w:r w:rsidR="00A8443E" w:rsidRPr="00027624">
        <w:t>’</w:t>
      </w:r>
      <w:r w:rsidRPr="00027624">
        <w:t>s superannuation balance (i.e. it cannot be concluded that the gender gap in superannuation balances is caused by having children). Rather, this shows the distribution of average balances by age, gender and whether a person has children. Source: Analysis of HILDA Survey data (Wave 18).</w:t>
      </w:r>
    </w:p>
    <w:p w14:paraId="4C1036F6" w14:textId="5C5A8FB3" w:rsidR="00B3792F" w:rsidRPr="00027624" w:rsidRDefault="00B3792F" w:rsidP="00B3792F">
      <w:pPr>
        <w:spacing w:before="0"/>
      </w:pPr>
      <w:r w:rsidRPr="00027624">
        <w:fldChar w:fldCharType="begin"/>
      </w:r>
      <w:r w:rsidRPr="00027624">
        <w:instrText xml:space="preserve"> REF  _Ref36033714 \h \r  \* MERGEFORMAT </w:instrText>
      </w:r>
      <w:r w:rsidRPr="00027624">
        <w:fldChar w:fldCharType="separate"/>
      </w:r>
      <w:r w:rsidR="00891058">
        <w:t>Table 3B-2</w:t>
      </w:r>
      <w:r w:rsidRPr="00027624">
        <w:fldChar w:fldCharType="end"/>
      </w:r>
      <w:r w:rsidRPr="00027624">
        <w:t xml:space="preserve"> models five career break scenarios:</w:t>
      </w:r>
      <w:r w:rsidRPr="00027624">
        <w:rPr>
          <w:rStyle w:val="FootnoteReference"/>
        </w:rPr>
        <w:footnoteReference w:id="149"/>
      </w:r>
    </w:p>
    <w:p w14:paraId="2519617F" w14:textId="77777777" w:rsidR="00B3792F" w:rsidRPr="00027624" w:rsidRDefault="00B3792F" w:rsidP="00FC7361">
      <w:pPr>
        <w:pStyle w:val="OutlineNumbered1"/>
        <w:numPr>
          <w:ilvl w:val="0"/>
          <w:numId w:val="89"/>
        </w:numPr>
        <w:ind w:left="908" w:hanging="454"/>
      </w:pPr>
      <w:r w:rsidRPr="00027624">
        <w:t>One child at age 30, taking two years off work before returning to work full</w:t>
      </w:r>
      <w:r w:rsidR="00A8443E" w:rsidRPr="00027624">
        <w:noBreakHyphen/>
      </w:r>
      <w:r w:rsidRPr="00027624">
        <w:t>time.</w:t>
      </w:r>
    </w:p>
    <w:p w14:paraId="59BE0EB7" w14:textId="77777777" w:rsidR="00B3792F" w:rsidRPr="00027624" w:rsidRDefault="00B3792F" w:rsidP="00716CEE">
      <w:pPr>
        <w:pStyle w:val="OutlineNumbered1"/>
      </w:pPr>
      <w:r w:rsidRPr="00027624">
        <w:t>One child at age 30, taking two years off work and then working part</w:t>
      </w:r>
      <w:r w:rsidR="00A8443E" w:rsidRPr="00027624">
        <w:noBreakHyphen/>
      </w:r>
      <w:r w:rsidRPr="00027624">
        <w:t>time until the child is five years old, before returning to working full</w:t>
      </w:r>
      <w:r w:rsidR="00A8443E" w:rsidRPr="00027624">
        <w:noBreakHyphen/>
      </w:r>
      <w:r w:rsidRPr="00027624">
        <w:t>time.</w:t>
      </w:r>
    </w:p>
    <w:p w14:paraId="6B476A8E" w14:textId="77777777" w:rsidR="00B3792F" w:rsidRPr="00027624" w:rsidRDefault="00B3792F" w:rsidP="00716CEE">
      <w:pPr>
        <w:pStyle w:val="OutlineNumbered1"/>
      </w:pPr>
      <w:r w:rsidRPr="00027624">
        <w:t>Two children at ages 30 and 33, taking two years off work for each child, before returning to work full</w:t>
      </w:r>
      <w:r w:rsidR="00A8443E" w:rsidRPr="00027624">
        <w:noBreakHyphen/>
      </w:r>
      <w:r w:rsidRPr="00027624">
        <w:t>time.</w:t>
      </w:r>
    </w:p>
    <w:p w14:paraId="2DCFAEE4" w14:textId="77777777" w:rsidR="00B3792F" w:rsidRPr="00027624" w:rsidRDefault="00B3792F" w:rsidP="00716CEE">
      <w:pPr>
        <w:pStyle w:val="OutlineNumbered1"/>
      </w:pPr>
      <w:r w:rsidRPr="00027624">
        <w:t>Two children at ages 30 and 33, taking two years off work for each child and working part</w:t>
      </w:r>
      <w:r w:rsidR="00A8443E" w:rsidRPr="00027624">
        <w:noBreakHyphen/>
      </w:r>
      <w:r w:rsidRPr="00027624">
        <w:t>time until the youngest child is five years old, before returning to work full</w:t>
      </w:r>
      <w:r w:rsidR="00A8443E" w:rsidRPr="00027624">
        <w:noBreakHyphen/>
      </w:r>
      <w:r w:rsidRPr="00027624">
        <w:t xml:space="preserve">time. </w:t>
      </w:r>
    </w:p>
    <w:p w14:paraId="13752A7C" w14:textId="77777777" w:rsidR="00B3792F" w:rsidRPr="00027624" w:rsidRDefault="00B3792F" w:rsidP="00716CEE">
      <w:pPr>
        <w:pStyle w:val="OutlineNumbered1"/>
      </w:pPr>
      <w:r w:rsidRPr="00027624">
        <w:t>Working part</w:t>
      </w:r>
      <w:r w:rsidR="00A8443E" w:rsidRPr="00027624">
        <w:noBreakHyphen/>
      </w:r>
      <w:r w:rsidRPr="00027624">
        <w:t>time from age 55 to retirement (age 67) to care for a parent.</w:t>
      </w:r>
    </w:p>
    <w:p w14:paraId="10EB9FBB" w14:textId="77777777" w:rsidR="00E6278F" w:rsidRDefault="00B3792F" w:rsidP="00B3792F">
      <w:r w:rsidRPr="00027624">
        <w:t>The modelling shows that when women take more time out of the workforce, the gender gaps in superannuation balances and retirement incomes increase. However, the effect on retirement incomes is less pronoun</w:t>
      </w:r>
      <w:r w:rsidR="00E6278F">
        <w:t>ced because of the Age Pension.</w:t>
      </w:r>
    </w:p>
    <w:p w14:paraId="3A5B83C1" w14:textId="77777777" w:rsidR="00E6278F" w:rsidRDefault="00E6278F">
      <w:pPr>
        <w:spacing w:before="0" w:after="160" w:line="259" w:lineRule="auto"/>
      </w:pPr>
      <w:r>
        <w:br w:type="page"/>
      </w:r>
    </w:p>
    <w:p w14:paraId="63DA4D24" w14:textId="77777777" w:rsidR="00B3792F" w:rsidRPr="00027624" w:rsidRDefault="00B3792F" w:rsidP="00582C3E">
      <w:pPr>
        <w:pStyle w:val="TableMainHeading"/>
      </w:pPr>
      <w:bookmarkStart w:id="1386" w:name="_Ref36033714"/>
      <w:bookmarkStart w:id="1387" w:name="_Ref45123895"/>
      <w:r w:rsidRPr="00027624">
        <w:lastRenderedPageBreak/>
        <w:t>Projected effect of career breaks on gender gaps</w:t>
      </w:r>
      <w:bookmarkEnd w:id="1386"/>
      <w:bookmarkEnd w:id="1387"/>
    </w:p>
    <w:tbl>
      <w:tblPr>
        <w:tblW w:w="5000" w:type="pct"/>
        <w:tblLook w:val="01E0" w:firstRow="1" w:lastRow="1" w:firstColumn="1" w:lastColumn="1" w:noHBand="0" w:noVBand="0"/>
      </w:tblPr>
      <w:tblGrid>
        <w:gridCol w:w="2269"/>
        <w:gridCol w:w="2269"/>
        <w:gridCol w:w="2268"/>
        <w:gridCol w:w="2264"/>
      </w:tblGrid>
      <w:tr w:rsidR="00B3792F" w:rsidRPr="00027624" w14:paraId="20560DA3" w14:textId="77777777" w:rsidTr="00B3792F">
        <w:trPr>
          <w:trHeight w:val="669"/>
          <w:tblHeader/>
        </w:trPr>
        <w:tc>
          <w:tcPr>
            <w:tcW w:w="1251" w:type="pct"/>
            <w:shd w:val="clear" w:color="auto" w:fill="E5E5E5"/>
          </w:tcPr>
          <w:p w14:paraId="48CE499A" w14:textId="77777777" w:rsidR="00B3792F" w:rsidRPr="00027624" w:rsidRDefault="00B3792F" w:rsidP="00B3792F">
            <w:pPr>
              <w:spacing w:before="40" w:after="40"/>
              <w:jc w:val="center"/>
              <w:rPr>
                <w:b/>
                <w:color w:val="004A7F"/>
                <w:sz w:val="20"/>
              </w:rPr>
            </w:pPr>
          </w:p>
        </w:tc>
        <w:tc>
          <w:tcPr>
            <w:tcW w:w="1251" w:type="pct"/>
            <w:shd w:val="clear" w:color="auto" w:fill="E5E5E5"/>
          </w:tcPr>
          <w:p w14:paraId="2CEA6586" w14:textId="77777777" w:rsidR="00B3792F" w:rsidRPr="00027624" w:rsidRDefault="00B3792F" w:rsidP="00B3792F">
            <w:pPr>
              <w:spacing w:before="40" w:after="40"/>
              <w:jc w:val="center"/>
              <w:rPr>
                <w:b/>
                <w:color w:val="004A7F"/>
                <w:sz w:val="20"/>
              </w:rPr>
            </w:pPr>
            <w:r w:rsidRPr="00027624">
              <w:rPr>
                <w:b/>
                <w:color w:val="004A7F"/>
                <w:sz w:val="20"/>
              </w:rPr>
              <w:t>Working</w:t>
            </w:r>
            <w:r w:rsidR="00A8443E" w:rsidRPr="00027624">
              <w:rPr>
                <w:b/>
                <w:color w:val="004A7F"/>
                <w:sz w:val="20"/>
              </w:rPr>
              <w:noBreakHyphen/>
            </w:r>
            <w:r w:rsidRPr="00027624">
              <w:rPr>
                <w:b/>
                <w:color w:val="004A7F"/>
                <w:sz w:val="20"/>
              </w:rPr>
              <w:t>life earnings gap</w:t>
            </w:r>
            <w:r w:rsidRPr="00027624">
              <w:rPr>
                <w:b/>
                <w:color w:val="004A7F"/>
                <w:sz w:val="20"/>
              </w:rPr>
              <w:br/>
              <w:t>(per cent)</w:t>
            </w:r>
          </w:p>
        </w:tc>
        <w:tc>
          <w:tcPr>
            <w:tcW w:w="1250" w:type="pct"/>
            <w:shd w:val="clear" w:color="auto" w:fill="E5E5E5"/>
          </w:tcPr>
          <w:p w14:paraId="37459195" w14:textId="77777777" w:rsidR="00B3792F" w:rsidRPr="00027624" w:rsidRDefault="00B3792F" w:rsidP="00B3792F">
            <w:pPr>
              <w:spacing w:before="40" w:after="40"/>
              <w:jc w:val="center"/>
              <w:rPr>
                <w:b/>
                <w:color w:val="004A7F"/>
                <w:sz w:val="20"/>
              </w:rPr>
            </w:pPr>
            <w:r w:rsidRPr="00027624">
              <w:rPr>
                <w:b/>
                <w:color w:val="004A7F"/>
                <w:sz w:val="20"/>
              </w:rPr>
              <w:t>Superannuation balance at retirement gap</w:t>
            </w:r>
            <w:r w:rsidRPr="00027624">
              <w:rPr>
                <w:b/>
                <w:color w:val="004A7F"/>
                <w:sz w:val="20"/>
              </w:rPr>
              <w:br/>
              <w:t xml:space="preserve">(per cent) </w:t>
            </w:r>
          </w:p>
        </w:tc>
        <w:tc>
          <w:tcPr>
            <w:tcW w:w="1249" w:type="pct"/>
            <w:shd w:val="clear" w:color="auto" w:fill="E5E5E5"/>
          </w:tcPr>
          <w:p w14:paraId="02EEDB0C" w14:textId="77777777" w:rsidR="00B3792F" w:rsidRPr="00027624" w:rsidRDefault="00B3792F" w:rsidP="00B3792F">
            <w:pPr>
              <w:spacing w:before="40" w:after="40"/>
              <w:jc w:val="center"/>
              <w:rPr>
                <w:b/>
                <w:color w:val="004A7F"/>
                <w:sz w:val="20"/>
              </w:rPr>
            </w:pPr>
            <w:r w:rsidRPr="00027624">
              <w:rPr>
                <w:b/>
                <w:color w:val="004A7F"/>
                <w:sz w:val="20"/>
              </w:rPr>
              <w:t>Average annual retirement income gap</w:t>
            </w:r>
            <w:r w:rsidRPr="00027624">
              <w:rPr>
                <w:b/>
                <w:color w:val="004A7F"/>
                <w:sz w:val="20"/>
              </w:rPr>
              <w:br/>
              <w:t xml:space="preserve">(per cent) </w:t>
            </w:r>
          </w:p>
        </w:tc>
      </w:tr>
      <w:tr w:rsidR="00B3792F" w:rsidRPr="00027624" w14:paraId="5980D8DE" w14:textId="77777777" w:rsidTr="00B3792F">
        <w:trPr>
          <w:trHeight w:val="270"/>
        </w:trPr>
        <w:tc>
          <w:tcPr>
            <w:tcW w:w="1251" w:type="pct"/>
          </w:tcPr>
          <w:p w14:paraId="2055FB7D" w14:textId="77777777" w:rsidR="00B3792F" w:rsidRPr="00027624" w:rsidRDefault="00B3792F" w:rsidP="00B3792F">
            <w:pPr>
              <w:spacing w:before="40" w:after="40"/>
              <w:rPr>
                <w:i/>
                <w:color w:val="000000"/>
                <w:sz w:val="18"/>
              </w:rPr>
            </w:pPr>
            <w:r w:rsidRPr="00027624">
              <w:rPr>
                <w:i/>
                <w:color w:val="000000"/>
                <w:sz w:val="18"/>
              </w:rPr>
              <w:t>Full</w:t>
            </w:r>
            <w:r w:rsidR="00A8443E" w:rsidRPr="00027624">
              <w:rPr>
                <w:i/>
                <w:color w:val="000000"/>
                <w:sz w:val="18"/>
              </w:rPr>
              <w:noBreakHyphen/>
            </w:r>
            <w:r w:rsidRPr="00027624">
              <w:rPr>
                <w:i/>
                <w:color w:val="000000"/>
                <w:sz w:val="18"/>
              </w:rPr>
              <w:t>time, no career break</w:t>
            </w:r>
          </w:p>
        </w:tc>
        <w:tc>
          <w:tcPr>
            <w:tcW w:w="1251" w:type="pct"/>
            <w:shd w:val="clear" w:color="auto" w:fill="auto"/>
            <w:vAlign w:val="center"/>
          </w:tcPr>
          <w:p w14:paraId="1D9DA9A7" w14:textId="77777777" w:rsidR="00B3792F" w:rsidRPr="00027624" w:rsidRDefault="00B3792F" w:rsidP="00B3792F">
            <w:pPr>
              <w:spacing w:before="40" w:after="40"/>
              <w:jc w:val="center"/>
              <w:rPr>
                <w:i/>
                <w:color w:val="000000"/>
                <w:sz w:val="18"/>
              </w:rPr>
            </w:pPr>
            <w:r w:rsidRPr="00027624">
              <w:rPr>
                <w:i/>
                <w:color w:val="000000"/>
                <w:sz w:val="18"/>
              </w:rPr>
              <w:t>16.9</w:t>
            </w:r>
          </w:p>
        </w:tc>
        <w:tc>
          <w:tcPr>
            <w:tcW w:w="1250" w:type="pct"/>
            <w:shd w:val="clear" w:color="auto" w:fill="auto"/>
            <w:vAlign w:val="center"/>
          </w:tcPr>
          <w:p w14:paraId="44822AD5" w14:textId="77777777" w:rsidR="00B3792F" w:rsidRPr="00027624" w:rsidRDefault="00B3792F" w:rsidP="00B3792F">
            <w:pPr>
              <w:spacing w:before="40" w:after="40"/>
              <w:jc w:val="center"/>
              <w:rPr>
                <w:i/>
                <w:color w:val="000000"/>
                <w:sz w:val="18"/>
              </w:rPr>
            </w:pPr>
            <w:r w:rsidRPr="00027624">
              <w:rPr>
                <w:i/>
                <w:color w:val="000000"/>
                <w:sz w:val="18"/>
              </w:rPr>
              <w:t>17.4</w:t>
            </w:r>
          </w:p>
        </w:tc>
        <w:tc>
          <w:tcPr>
            <w:tcW w:w="1249" w:type="pct"/>
            <w:shd w:val="clear" w:color="auto" w:fill="auto"/>
            <w:vAlign w:val="center"/>
          </w:tcPr>
          <w:p w14:paraId="50B20BF0" w14:textId="77777777" w:rsidR="00B3792F" w:rsidRPr="00027624" w:rsidRDefault="00B3792F" w:rsidP="00B3792F">
            <w:pPr>
              <w:spacing w:before="40" w:after="40"/>
              <w:jc w:val="center"/>
              <w:rPr>
                <w:i/>
                <w:color w:val="000000"/>
                <w:sz w:val="18"/>
              </w:rPr>
            </w:pPr>
            <w:r w:rsidRPr="00027624">
              <w:rPr>
                <w:i/>
                <w:color w:val="000000"/>
                <w:sz w:val="18"/>
              </w:rPr>
              <w:t>8.4</w:t>
            </w:r>
          </w:p>
        </w:tc>
      </w:tr>
      <w:tr w:rsidR="00B3792F" w:rsidRPr="00027624" w14:paraId="5D468672" w14:textId="77777777" w:rsidTr="00B3792F">
        <w:trPr>
          <w:trHeight w:val="270"/>
        </w:trPr>
        <w:tc>
          <w:tcPr>
            <w:tcW w:w="1251" w:type="pct"/>
          </w:tcPr>
          <w:p w14:paraId="3F0C9EF4" w14:textId="77777777" w:rsidR="00B3792F" w:rsidRPr="00027624" w:rsidRDefault="00B3792F" w:rsidP="00B3792F">
            <w:pPr>
              <w:spacing w:before="40" w:after="40"/>
              <w:ind w:left="284"/>
              <w:rPr>
                <w:color w:val="000000"/>
                <w:sz w:val="18"/>
                <w:szCs w:val="18"/>
              </w:rPr>
            </w:pPr>
            <w:r w:rsidRPr="00027624">
              <w:rPr>
                <w:color w:val="000000"/>
                <w:sz w:val="18"/>
                <w:szCs w:val="18"/>
              </w:rPr>
              <w:t>1. One child, no part</w:t>
            </w:r>
            <w:r w:rsidR="00A8443E" w:rsidRPr="00027624">
              <w:rPr>
                <w:color w:val="000000"/>
                <w:sz w:val="18"/>
                <w:szCs w:val="18"/>
              </w:rPr>
              <w:noBreakHyphen/>
            </w:r>
            <w:r w:rsidRPr="00027624">
              <w:rPr>
                <w:color w:val="000000"/>
                <w:sz w:val="18"/>
                <w:szCs w:val="18"/>
              </w:rPr>
              <w:t>time</w:t>
            </w:r>
          </w:p>
        </w:tc>
        <w:tc>
          <w:tcPr>
            <w:tcW w:w="1251" w:type="pct"/>
            <w:shd w:val="clear" w:color="auto" w:fill="auto"/>
            <w:vAlign w:val="center"/>
          </w:tcPr>
          <w:p w14:paraId="623ADC77" w14:textId="77777777" w:rsidR="00B3792F" w:rsidRPr="00027624" w:rsidRDefault="00B3792F" w:rsidP="00B3792F">
            <w:pPr>
              <w:spacing w:before="40" w:after="40"/>
              <w:jc w:val="center"/>
              <w:rPr>
                <w:color w:val="000000"/>
                <w:sz w:val="18"/>
              </w:rPr>
            </w:pPr>
            <w:r w:rsidRPr="00027624">
              <w:rPr>
                <w:color w:val="000000"/>
                <w:sz w:val="18"/>
              </w:rPr>
              <w:t>28.0</w:t>
            </w:r>
          </w:p>
        </w:tc>
        <w:tc>
          <w:tcPr>
            <w:tcW w:w="1250" w:type="pct"/>
            <w:shd w:val="clear" w:color="auto" w:fill="auto"/>
            <w:vAlign w:val="center"/>
          </w:tcPr>
          <w:p w14:paraId="0728BBAB" w14:textId="77777777" w:rsidR="00B3792F" w:rsidRPr="00027624" w:rsidRDefault="00B3792F" w:rsidP="00B3792F">
            <w:pPr>
              <w:spacing w:before="40" w:after="40"/>
              <w:jc w:val="center"/>
              <w:rPr>
                <w:color w:val="000000"/>
                <w:sz w:val="18"/>
              </w:rPr>
            </w:pPr>
            <w:r w:rsidRPr="00027624">
              <w:rPr>
                <w:color w:val="000000"/>
                <w:sz w:val="18"/>
              </w:rPr>
              <w:t>29.6</w:t>
            </w:r>
          </w:p>
        </w:tc>
        <w:tc>
          <w:tcPr>
            <w:tcW w:w="1249" w:type="pct"/>
            <w:shd w:val="clear" w:color="auto" w:fill="auto"/>
            <w:vAlign w:val="center"/>
          </w:tcPr>
          <w:p w14:paraId="40B43AF4" w14:textId="77777777" w:rsidR="00B3792F" w:rsidRPr="00027624" w:rsidRDefault="00B3792F" w:rsidP="00B3792F">
            <w:pPr>
              <w:spacing w:before="40" w:after="40"/>
              <w:jc w:val="center"/>
              <w:rPr>
                <w:color w:val="000000"/>
                <w:sz w:val="18"/>
              </w:rPr>
            </w:pPr>
            <w:r w:rsidRPr="00027624">
              <w:rPr>
                <w:color w:val="000000"/>
                <w:sz w:val="18"/>
              </w:rPr>
              <w:t>10.3</w:t>
            </w:r>
          </w:p>
        </w:tc>
      </w:tr>
      <w:tr w:rsidR="00B3792F" w:rsidRPr="00027624" w14:paraId="4B4F1D37" w14:textId="77777777" w:rsidTr="00B3792F">
        <w:trPr>
          <w:trHeight w:val="270"/>
        </w:trPr>
        <w:tc>
          <w:tcPr>
            <w:tcW w:w="1251" w:type="pct"/>
          </w:tcPr>
          <w:p w14:paraId="75A09B27" w14:textId="77777777" w:rsidR="00B3792F" w:rsidRPr="00027624" w:rsidRDefault="00B3792F" w:rsidP="00B3792F">
            <w:pPr>
              <w:spacing w:before="40" w:after="40"/>
              <w:ind w:left="284"/>
              <w:rPr>
                <w:color w:val="000000"/>
                <w:sz w:val="18"/>
                <w:szCs w:val="18"/>
              </w:rPr>
            </w:pPr>
            <w:r w:rsidRPr="00027624">
              <w:rPr>
                <w:color w:val="000000"/>
                <w:sz w:val="18"/>
                <w:szCs w:val="18"/>
              </w:rPr>
              <w:t>2. One child, part</w:t>
            </w:r>
            <w:r w:rsidR="00A8443E" w:rsidRPr="00027624">
              <w:rPr>
                <w:color w:val="000000"/>
                <w:sz w:val="18"/>
                <w:szCs w:val="18"/>
              </w:rPr>
              <w:noBreakHyphen/>
            </w:r>
            <w:r w:rsidRPr="00027624">
              <w:rPr>
                <w:color w:val="000000"/>
                <w:sz w:val="18"/>
                <w:szCs w:val="18"/>
              </w:rPr>
              <w:t>time</w:t>
            </w:r>
          </w:p>
        </w:tc>
        <w:tc>
          <w:tcPr>
            <w:tcW w:w="1251" w:type="pct"/>
            <w:shd w:val="clear" w:color="auto" w:fill="auto"/>
            <w:vAlign w:val="center"/>
          </w:tcPr>
          <w:p w14:paraId="2D6D1BE8" w14:textId="77777777" w:rsidR="00B3792F" w:rsidRPr="00027624" w:rsidRDefault="00B3792F" w:rsidP="00B3792F">
            <w:pPr>
              <w:spacing w:before="40" w:after="40"/>
              <w:jc w:val="center"/>
              <w:rPr>
                <w:color w:val="000000"/>
                <w:sz w:val="18"/>
              </w:rPr>
            </w:pPr>
            <w:r w:rsidRPr="00027624">
              <w:rPr>
                <w:color w:val="000000"/>
                <w:sz w:val="18"/>
              </w:rPr>
              <w:t>30.2</w:t>
            </w:r>
          </w:p>
        </w:tc>
        <w:tc>
          <w:tcPr>
            <w:tcW w:w="1250" w:type="pct"/>
            <w:tcBorders>
              <w:top w:val="nil"/>
              <w:left w:val="nil"/>
              <w:bottom w:val="nil"/>
              <w:right w:val="nil"/>
            </w:tcBorders>
            <w:shd w:val="clear" w:color="auto" w:fill="auto"/>
            <w:vAlign w:val="center"/>
          </w:tcPr>
          <w:p w14:paraId="4DD46D1F" w14:textId="77777777" w:rsidR="00B3792F" w:rsidRPr="00027624" w:rsidRDefault="00B3792F" w:rsidP="00B3792F">
            <w:pPr>
              <w:spacing w:before="40" w:after="40"/>
              <w:jc w:val="center"/>
              <w:rPr>
                <w:color w:val="000000"/>
                <w:sz w:val="18"/>
              </w:rPr>
            </w:pPr>
            <w:r w:rsidRPr="00027624">
              <w:rPr>
                <w:color w:val="000000"/>
                <w:sz w:val="18"/>
              </w:rPr>
              <w:t>32.6</w:t>
            </w:r>
          </w:p>
        </w:tc>
        <w:tc>
          <w:tcPr>
            <w:tcW w:w="1249" w:type="pct"/>
            <w:tcBorders>
              <w:top w:val="nil"/>
              <w:left w:val="nil"/>
              <w:bottom w:val="nil"/>
              <w:right w:val="nil"/>
            </w:tcBorders>
            <w:shd w:val="clear" w:color="auto" w:fill="auto"/>
            <w:vAlign w:val="center"/>
          </w:tcPr>
          <w:p w14:paraId="696B0FEE" w14:textId="77777777" w:rsidR="00B3792F" w:rsidRPr="00027624" w:rsidRDefault="00B3792F" w:rsidP="00B3792F">
            <w:pPr>
              <w:spacing w:before="40" w:after="40"/>
              <w:jc w:val="center"/>
              <w:rPr>
                <w:color w:val="000000"/>
                <w:sz w:val="18"/>
              </w:rPr>
            </w:pPr>
            <w:r w:rsidRPr="00027624">
              <w:rPr>
                <w:color w:val="000000"/>
                <w:sz w:val="18"/>
              </w:rPr>
              <w:t>11.1</w:t>
            </w:r>
          </w:p>
        </w:tc>
      </w:tr>
      <w:tr w:rsidR="00B3792F" w:rsidRPr="00027624" w14:paraId="5089B206" w14:textId="77777777" w:rsidTr="00B3792F">
        <w:trPr>
          <w:trHeight w:val="270"/>
        </w:trPr>
        <w:tc>
          <w:tcPr>
            <w:tcW w:w="1251" w:type="pct"/>
          </w:tcPr>
          <w:p w14:paraId="35209535" w14:textId="77777777" w:rsidR="00B3792F" w:rsidRPr="00027624" w:rsidRDefault="00B3792F" w:rsidP="00B3792F">
            <w:pPr>
              <w:spacing w:before="40" w:after="40"/>
              <w:ind w:left="284"/>
              <w:rPr>
                <w:color w:val="000000"/>
                <w:sz w:val="18"/>
                <w:szCs w:val="18"/>
              </w:rPr>
            </w:pPr>
            <w:r w:rsidRPr="00027624">
              <w:rPr>
                <w:color w:val="000000"/>
                <w:sz w:val="18"/>
                <w:szCs w:val="18"/>
              </w:rPr>
              <w:t>3. Two children, no part</w:t>
            </w:r>
            <w:r w:rsidR="00A8443E" w:rsidRPr="00027624">
              <w:rPr>
                <w:color w:val="000000"/>
                <w:sz w:val="18"/>
                <w:szCs w:val="18"/>
              </w:rPr>
              <w:noBreakHyphen/>
            </w:r>
            <w:r w:rsidRPr="00027624">
              <w:rPr>
                <w:color w:val="000000"/>
                <w:sz w:val="18"/>
                <w:szCs w:val="18"/>
              </w:rPr>
              <w:t>time</w:t>
            </w:r>
          </w:p>
        </w:tc>
        <w:tc>
          <w:tcPr>
            <w:tcW w:w="1251" w:type="pct"/>
            <w:shd w:val="clear" w:color="auto" w:fill="auto"/>
            <w:vAlign w:val="center"/>
          </w:tcPr>
          <w:p w14:paraId="3E08DE02" w14:textId="77777777" w:rsidR="00B3792F" w:rsidRPr="00027624" w:rsidRDefault="00B3792F" w:rsidP="00B3792F">
            <w:pPr>
              <w:spacing w:before="40" w:after="40"/>
              <w:jc w:val="center"/>
              <w:rPr>
                <w:color w:val="000000"/>
                <w:sz w:val="18"/>
              </w:rPr>
            </w:pPr>
            <w:r w:rsidRPr="00027624">
              <w:rPr>
                <w:color w:val="000000"/>
                <w:sz w:val="18"/>
              </w:rPr>
              <w:t>38.5</w:t>
            </w:r>
          </w:p>
        </w:tc>
        <w:tc>
          <w:tcPr>
            <w:tcW w:w="1250" w:type="pct"/>
            <w:tcBorders>
              <w:top w:val="nil"/>
              <w:left w:val="nil"/>
              <w:bottom w:val="nil"/>
              <w:right w:val="nil"/>
            </w:tcBorders>
            <w:shd w:val="clear" w:color="auto" w:fill="auto"/>
            <w:vAlign w:val="center"/>
          </w:tcPr>
          <w:p w14:paraId="7539BEB3" w14:textId="77777777" w:rsidR="00B3792F" w:rsidRPr="00027624" w:rsidRDefault="00B3792F" w:rsidP="00B3792F">
            <w:pPr>
              <w:spacing w:before="40" w:after="40"/>
              <w:jc w:val="center"/>
              <w:rPr>
                <w:color w:val="000000"/>
                <w:sz w:val="18"/>
              </w:rPr>
            </w:pPr>
            <w:r w:rsidRPr="00027624">
              <w:rPr>
                <w:color w:val="000000"/>
                <w:sz w:val="18"/>
              </w:rPr>
              <w:t>41.2</w:t>
            </w:r>
          </w:p>
        </w:tc>
        <w:tc>
          <w:tcPr>
            <w:tcW w:w="1249" w:type="pct"/>
            <w:tcBorders>
              <w:top w:val="nil"/>
              <w:left w:val="nil"/>
              <w:bottom w:val="nil"/>
              <w:right w:val="nil"/>
            </w:tcBorders>
            <w:shd w:val="clear" w:color="auto" w:fill="auto"/>
            <w:vAlign w:val="center"/>
          </w:tcPr>
          <w:p w14:paraId="4355E046" w14:textId="77777777" w:rsidR="00B3792F" w:rsidRPr="00027624" w:rsidRDefault="00B3792F" w:rsidP="00B3792F">
            <w:pPr>
              <w:spacing w:before="40" w:after="40"/>
              <w:jc w:val="center"/>
              <w:rPr>
                <w:color w:val="000000"/>
                <w:sz w:val="18"/>
              </w:rPr>
            </w:pPr>
            <w:r w:rsidRPr="00027624">
              <w:rPr>
                <w:color w:val="000000"/>
                <w:sz w:val="18"/>
              </w:rPr>
              <w:t>13.4</w:t>
            </w:r>
          </w:p>
        </w:tc>
      </w:tr>
      <w:tr w:rsidR="00B3792F" w:rsidRPr="00027624" w14:paraId="5961006E" w14:textId="77777777" w:rsidTr="00B3792F">
        <w:trPr>
          <w:trHeight w:val="270"/>
        </w:trPr>
        <w:tc>
          <w:tcPr>
            <w:tcW w:w="1251" w:type="pct"/>
          </w:tcPr>
          <w:p w14:paraId="4D7F6CCA" w14:textId="77777777" w:rsidR="00B3792F" w:rsidRPr="00027624" w:rsidRDefault="00B3792F" w:rsidP="00B3792F">
            <w:pPr>
              <w:spacing w:before="40" w:after="40"/>
              <w:ind w:left="284"/>
              <w:rPr>
                <w:color w:val="000000"/>
                <w:sz w:val="18"/>
                <w:szCs w:val="18"/>
              </w:rPr>
            </w:pPr>
            <w:r w:rsidRPr="00027624">
              <w:rPr>
                <w:color w:val="000000"/>
                <w:sz w:val="18"/>
                <w:szCs w:val="18"/>
              </w:rPr>
              <w:t>4. Two children, part</w:t>
            </w:r>
            <w:r w:rsidR="00A8443E" w:rsidRPr="00027624">
              <w:rPr>
                <w:color w:val="000000"/>
                <w:sz w:val="18"/>
                <w:szCs w:val="18"/>
              </w:rPr>
              <w:noBreakHyphen/>
            </w:r>
            <w:r w:rsidRPr="00027624">
              <w:rPr>
                <w:color w:val="000000"/>
                <w:sz w:val="18"/>
                <w:szCs w:val="18"/>
              </w:rPr>
              <w:t>time</w:t>
            </w:r>
          </w:p>
        </w:tc>
        <w:tc>
          <w:tcPr>
            <w:tcW w:w="1251" w:type="pct"/>
            <w:shd w:val="clear" w:color="auto" w:fill="auto"/>
            <w:vAlign w:val="center"/>
          </w:tcPr>
          <w:p w14:paraId="2C7D6EB4" w14:textId="77777777" w:rsidR="00B3792F" w:rsidRPr="00027624" w:rsidRDefault="00B3792F" w:rsidP="00B3792F">
            <w:pPr>
              <w:spacing w:before="40" w:after="40"/>
              <w:jc w:val="center"/>
              <w:rPr>
                <w:color w:val="000000"/>
                <w:sz w:val="18"/>
              </w:rPr>
            </w:pPr>
            <w:r w:rsidRPr="00027624">
              <w:rPr>
                <w:color w:val="000000"/>
                <w:sz w:val="18"/>
              </w:rPr>
              <w:t>41.2</w:t>
            </w:r>
          </w:p>
        </w:tc>
        <w:tc>
          <w:tcPr>
            <w:tcW w:w="1250" w:type="pct"/>
            <w:tcBorders>
              <w:top w:val="nil"/>
              <w:left w:val="nil"/>
              <w:bottom w:val="nil"/>
              <w:right w:val="nil"/>
            </w:tcBorders>
            <w:shd w:val="clear" w:color="auto" w:fill="auto"/>
            <w:vAlign w:val="center"/>
          </w:tcPr>
          <w:p w14:paraId="630CC9C1" w14:textId="77777777" w:rsidR="00B3792F" w:rsidRPr="00027624" w:rsidRDefault="00B3792F" w:rsidP="00B3792F">
            <w:pPr>
              <w:spacing w:before="40" w:after="40"/>
              <w:jc w:val="center"/>
              <w:rPr>
                <w:color w:val="000000"/>
                <w:sz w:val="18"/>
              </w:rPr>
            </w:pPr>
            <w:r w:rsidRPr="00027624">
              <w:rPr>
                <w:color w:val="000000"/>
                <w:sz w:val="18"/>
              </w:rPr>
              <w:t>44.7</w:t>
            </w:r>
          </w:p>
        </w:tc>
        <w:tc>
          <w:tcPr>
            <w:tcW w:w="1249" w:type="pct"/>
            <w:tcBorders>
              <w:top w:val="nil"/>
              <w:left w:val="nil"/>
              <w:bottom w:val="nil"/>
              <w:right w:val="nil"/>
            </w:tcBorders>
            <w:shd w:val="clear" w:color="auto" w:fill="auto"/>
            <w:vAlign w:val="center"/>
          </w:tcPr>
          <w:p w14:paraId="7CA4CD32" w14:textId="77777777" w:rsidR="00B3792F" w:rsidRPr="00027624" w:rsidRDefault="00B3792F" w:rsidP="00B3792F">
            <w:pPr>
              <w:spacing w:before="40" w:after="40"/>
              <w:jc w:val="center"/>
              <w:rPr>
                <w:color w:val="000000"/>
                <w:sz w:val="18"/>
              </w:rPr>
            </w:pPr>
            <w:r w:rsidRPr="00027624">
              <w:rPr>
                <w:color w:val="000000"/>
                <w:sz w:val="18"/>
              </w:rPr>
              <w:t>14.5</w:t>
            </w:r>
          </w:p>
        </w:tc>
      </w:tr>
      <w:tr w:rsidR="00B3792F" w:rsidRPr="00027624" w14:paraId="6690727D" w14:textId="77777777" w:rsidTr="00B3792F">
        <w:trPr>
          <w:trHeight w:val="270"/>
        </w:trPr>
        <w:tc>
          <w:tcPr>
            <w:tcW w:w="1251" w:type="pct"/>
          </w:tcPr>
          <w:p w14:paraId="795A732B" w14:textId="77777777" w:rsidR="00B3792F" w:rsidRPr="00027624" w:rsidRDefault="00B3792F" w:rsidP="00B3792F">
            <w:pPr>
              <w:spacing w:before="40" w:after="40"/>
              <w:ind w:left="284"/>
              <w:rPr>
                <w:color w:val="000000"/>
                <w:sz w:val="18"/>
                <w:szCs w:val="18"/>
              </w:rPr>
            </w:pPr>
            <w:r w:rsidRPr="00027624">
              <w:rPr>
                <w:color w:val="000000"/>
                <w:sz w:val="18"/>
                <w:szCs w:val="18"/>
              </w:rPr>
              <w:t>5. Part</w:t>
            </w:r>
            <w:r w:rsidR="00A8443E" w:rsidRPr="00027624">
              <w:rPr>
                <w:color w:val="000000"/>
                <w:sz w:val="18"/>
                <w:szCs w:val="18"/>
              </w:rPr>
              <w:noBreakHyphen/>
            </w:r>
            <w:r w:rsidRPr="00027624">
              <w:rPr>
                <w:color w:val="000000"/>
                <w:sz w:val="18"/>
                <w:szCs w:val="18"/>
              </w:rPr>
              <w:t>time to care for parent</w:t>
            </w:r>
          </w:p>
        </w:tc>
        <w:tc>
          <w:tcPr>
            <w:tcW w:w="1251" w:type="pct"/>
            <w:shd w:val="clear" w:color="auto" w:fill="auto"/>
            <w:vAlign w:val="center"/>
          </w:tcPr>
          <w:p w14:paraId="1E013873" w14:textId="77777777" w:rsidR="00B3792F" w:rsidRPr="00027624" w:rsidRDefault="00B3792F" w:rsidP="00B3792F">
            <w:pPr>
              <w:spacing w:before="40" w:after="40"/>
              <w:jc w:val="center"/>
              <w:rPr>
                <w:color w:val="000000"/>
                <w:sz w:val="18"/>
              </w:rPr>
            </w:pPr>
            <w:r w:rsidRPr="00027624">
              <w:rPr>
                <w:color w:val="000000"/>
                <w:sz w:val="18"/>
              </w:rPr>
              <w:t>26.8</w:t>
            </w:r>
          </w:p>
        </w:tc>
        <w:tc>
          <w:tcPr>
            <w:tcW w:w="1250" w:type="pct"/>
            <w:tcBorders>
              <w:top w:val="nil"/>
              <w:left w:val="nil"/>
              <w:bottom w:val="nil"/>
              <w:right w:val="nil"/>
            </w:tcBorders>
            <w:shd w:val="clear" w:color="auto" w:fill="auto"/>
            <w:vAlign w:val="center"/>
          </w:tcPr>
          <w:p w14:paraId="2FDF691F" w14:textId="77777777" w:rsidR="00B3792F" w:rsidRPr="00027624" w:rsidRDefault="00B3792F" w:rsidP="00B3792F">
            <w:pPr>
              <w:spacing w:before="40" w:after="40"/>
              <w:jc w:val="center"/>
              <w:rPr>
                <w:color w:val="000000"/>
                <w:sz w:val="18"/>
              </w:rPr>
            </w:pPr>
            <w:r w:rsidRPr="00027624">
              <w:rPr>
                <w:color w:val="000000"/>
                <w:sz w:val="18"/>
              </w:rPr>
              <w:t>25.2</w:t>
            </w:r>
          </w:p>
        </w:tc>
        <w:tc>
          <w:tcPr>
            <w:tcW w:w="1249" w:type="pct"/>
            <w:tcBorders>
              <w:top w:val="nil"/>
              <w:left w:val="nil"/>
              <w:bottom w:val="nil"/>
              <w:right w:val="nil"/>
            </w:tcBorders>
            <w:shd w:val="clear" w:color="auto" w:fill="auto"/>
            <w:vAlign w:val="center"/>
          </w:tcPr>
          <w:p w14:paraId="28D09FD5" w14:textId="77777777" w:rsidR="00B3792F" w:rsidRPr="00027624" w:rsidRDefault="00B3792F" w:rsidP="00B3792F">
            <w:pPr>
              <w:spacing w:before="40" w:after="40"/>
              <w:jc w:val="center"/>
              <w:rPr>
                <w:color w:val="000000"/>
                <w:sz w:val="18"/>
              </w:rPr>
            </w:pPr>
            <w:r w:rsidRPr="00027624">
              <w:rPr>
                <w:color w:val="000000"/>
                <w:sz w:val="18"/>
              </w:rPr>
              <w:t>9.5</w:t>
            </w:r>
          </w:p>
        </w:tc>
      </w:tr>
    </w:tbl>
    <w:p w14:paraId="4E850385" w14:textId="77777777" w:rsidR="00B3792F" w:rsidRPr="00027624" w:rsidRDefault="00B3792F" w:rsidP="00B3792F">
      <w:pPr>
        <w:pStyle w:val="ChartorTableNote"/>
      </w:pPr>
      <w:r w:rsidRPr="00027624">
        <w:t>Note: Gaps compare the outcomes for a woman with a career break with a man who works full</w:t>
      </w:r>
      <w:r w:rsidR="00A8443E" w:rsidRPr="00027624">
        <w:noBreakHyphen/>
      </w:r>
      <w:r w:rsidRPr="00027624">
        <w:t>time. Working</w:t>
      </w:r>
      <w:r w:rsidR="00A8443E" w:rsidRPr="00027624">
        <w:noBreakHyphen/>
      </w:r>
      <w:r w:rsidRPr="00027624">
        <w:t>life earnings are calculated using total average weekly earnings, seasonally adjusted November 2019</w:t>
      </w:r>
      <w:sdt>
        <w:sdtPr>
          <w:id w:val="197287843"/>
          <w:citation/>
        </w:sdtPr>
        <w:sdtEndPr/>
        <w:sdtContent>
          <w:r w:rsidR="00AE2BB3" w:rsidRPr="00027624">
            <w:fldChar w:fldCharType="begin"/>
          </w:r>
          <w:r w:rsidR="00AE2BB3" w:rsidRPr="00027624">
            <w:instrText xml:space="preserve"> CITATION ABS20d \l 3081 </w:instrText>
          </w:r>
          <w:r w:rsidR="00AE2BB3" w:rsidRPr="00027624">
            <w:fldChar w:fldCharType="separate"/>
          </w:r>
          <w:r w:rsidR="00E83F6E">
            <w:rPr>
              <w:noProof/>
            </w:rPr>
            <w:t xml:space="preserve"> (ABS, 2020d)</w:t>
          </w:r>
          <w:r w:rsidR="00AE2BB3" w:rsidRPr="00027624">
            <w:fldChar w:fldCharType="end"/>
          </w:r>
        </w:sdtContent>
      </w:sdt>
      <w:r w:rsidRPr="00027624">
        <w:t>. Men and women are modelled to receive constant wages in real terms, for their entire working life excluding the effect of career breaks. Part</w:t>
      </w:r>
      <w:r w:rsidR="00A8443E" w:rsidRPr="00027624">
        <w:noBreakHyphen/>
      </w:r>
      <w:r w:rsidRPr="00027624">
        <w:t>time workers are assumed to have 60 per cent of the earnings of full</w:t>
      </w:r>
      <w:r w:rsidR="00A8443E" w:rsidRPr="00027624">
        <w:noBreakHyphen/>
      </w:r>
      <w:r w:rsidRPr="00027624">
        <w:t>time workers. In years off from the workforce, women are assumed not to benefit from wage growth</w:t>
      </w:r>
      <w:r w:rsidR="00A8443E" w:rsidRPr="00027624">
        <w:t xml:space="preserve"> — </w:t>
      </w:r>
      <w:r w:rsidRPr="00027624">
        <w:t>earnings in the year after a career break are the same in nominal terms as the year prior to the career break, implying a wage decrease in real terms. Wages remain constant relative to average weekly earnings post</w:t>
      </w:r>
      <w:r w:rsidR="00A8443E" w:rsidRPr="00027624">
        <w:noBreakHyphen/>
      </w:r>
      <w:r w:rsidRPr="00027624">
        <w:t>career break and do not return to pre</w:t>
      </w:r>
      <w:r w:rsidR="00A8443E" w:rsidRPr="00027624">
        <w:noBreakHyphen/>
      </w:r>
      <w:r w:rsidRPr="00027624">
        <w:t>career break levels. Assumes no non</w:t>
      </w:r>
      <w:r w:rsidR="00A8443E" w:rsidRPr="00027624">
        <w:noBreakHyphen/>
      </w:r>
      <w:r w:rsidRPr="00027624">
        <w:t>superannuation savings and no salary sacrifice. Superannuation balance gap based on values deflated by average weekly earnings. Earnings and income calculations are based on values deflated using the review</w:t>
      </w:r>
      <w:r w:rsidR="00A8443E" w:rsidRPr="00027624">
        <w:t>’</w:t>
      </w:r>
      <w:r w:rsidRPr="00027624">
        <w:t>s mixed deflator. Source: Cameo modelling undertaken for the review.</w:t>
      </w:r>
    </w:p>
    <w:p w14:paraId="5FE4E48C" w14:textId="77777777" w:rsidR="00B3792F" w:rsidRPr="00027624" w:rsidRDefault="00B3792F" w:rsidP="00B3792F">
      <w:r w:rsidRPr="00027624">
        <w:rPr>
          <w:b/>
          <w:bCs/>
        </w:rPr>
        <w:t>Taking a career break early in working life reduces superannuation balances at retirement more than a career break later in working life</w:t>
      </w:r>
      <w:r w:rsidRPr="00027624">
        <w:rPr>
          <w:b/>
        </w:rPr>
        <w:t>.</w:t>
      </w:r>
      <w:r w:rsidRPr="00027624">
        <w:t xml:space="preserve"> Scenario 2 (taking two years off, and working part</w:t>
      </w:r>
      <w:r w:rsidR="00A8443E" w:rsidRPr="00027624">
        <w:noBreakHyphen/>
      </w:r>
      <w:r w:rsidRPr="00027624">
        <w:t>time from ages 32</w:t>
      </w:r>
      <w:r w:rsidR="00A8443E" w:rsidRPr="00027624">
        <w:noBreakHyphen/>
      </w:r>
      <w:r w:rsidRPr="00027624">
        <w:t>34) and scenario 5 (working part</w:t>
      </w:r>
      <w:r w:rsidR="00A8443E" w:rsidRPr="00027624">
        <w:noBreakHyphen/>
      </w:r>
      <w:r w:rsidRPr="00027624">
        <w:t>time from ages 55</w:t>
      </w:r>
      <w:r w:rsidR="00A8443E" w:rsidRPr="00027624">
        <w:noBreakHyphen/>
      </w:r>
      <w:r w:rsidRPr="00027624">
        <w:t>67) have similar average annual retirement incomes, even though the woman with the child took almost half the time off work.</w:t>
      </w:r>
    </w:p>
    <w:p w14:paraId="6B20C9E4" w14:textId="70984218" w:rsidR="00B3792F" w:rsidRPr="00027624" w:rsidRDefault="00B3792F" w:rsidP="00B3792F">
      <w:r w:rsidRPr="00027624">
        <w:rPr>
          <w:b/>
          <w:bCs/>
        </w:rPr>
        <w:t>The impact of children on the gender earnings gap has gradually diminished over time.</w:t>
      </w:r>
      <w:r w:rsidRPr="00027624">
        <w:t xml:space="preserve"> For women born in 1980</w:t>
      </w:r>
      <w:r w:rsidR="00A8443E" w:rsidRPr="00027624">
        <w:noBreakHyphen/>
      </w:r>
      <w:r w:rsidRPr="00027624">
        <w:t>81, the gender gap in earnings was significantly lower during the typical child</w:t>
      </w:r>
      <w:r w:rsidR="00A8443E" w:rsidRPr="00027624">
        <w:noBreakHyphen/>
      </w:r>
      <w:r w:rsidRPr="00027624">
        <w:t>rearing years of late 20s to late 30s, compared with those born in earlier years (</w:t>
      </w:r>
      <w:r w:rsidRPr="00027624">
        <w:fldChar w:fldCharType="begin"/>
      </w:r>
      <w:r w:rsidRPr="00027624">
        <w:instrText xml:space="preserve"> REF _Ref37082644 \n \h </w:instrText>
      </w:r>
      <w:r w:rsidR="00FA7639" w:rsidRPr="00027624">
        <w:instrText xml:space="preserve"> \* MERGEFORMAT </w:instrText>
      </w:r>
      <w:r w:rsidRPr="00027624">
        <w:fldChar w:fldCharType="separate"/>
      </w:r>
      <w:r w:rsidR="00891058">
        <w:t>Chart 3B-3</w:t>
      </w:r>
      <w:r w:rsidRPr="00027624">
        <w:fldChar w:fldCharType="end"/>
      </w:r>
      <w:r w:rsidRPr="00027624">
        <w:t xml:space="preserve">). Women are spending longer in the workforce, from an average working life of around 24 years in 1980 to around 38 years in 2019 (see </w:t>
      </w:r>
      <w:r w:rsidRPr="00027624">
        <w:rPr>
          <w:i/>
        </w:rPr>
        <w:t>2C. Maintaining standards of living in retirement</w:t>
      </w:r>
      <w:r w:rsidRPr="00027624">
        <w:t>). This increase in women</w:t>
      </w:r>
      <w:r w:rsidR="00A8443E" w:rsidRPr="00027624">
        <w:t>’</w:t>
      </w:r>
      <w:r w:rsidRPr="00027624">
        <w:t>s labour force participation and earnings may mean that, in future, having children or taking career breaks will not have as significant an effect on women</w:t>
      </w:r>
      <w:r w:rsidR="00A8443E" w:rsidRPr="00027624">
        <w:t>’</w:t>
      </w:r>
      <w:r w:rsidRPr="00027624">
        <w:t>s superannuation balances as in the past.</w:t>
      </w:r>
    </w:p>
    <w:p w14:paraId="63EE1368" w14:textId="77777777" w:rsidR="00B3792F" w:rsidRPr="00027624" w:rsidRDefault="00B3792F" w:rsidP="00582C3E">
      <w:pPr>
        <w:pStyle w:val="ChartMainHeading"/>
      </w:pPr>
      <w:bookmarkStart w:id="1388" w:name="_Ref37082644"/>
      <w:r w:rsidRPr="00027624">
        <w:lastRenderedPageBreak/>
        <w:t>Gender gap in median annual earnings, for those with typical earnings in child</w:t>
      </w:r>
      <w:r w:rsidR="00A8443E" w:rsidRPr="00027624">
        <w:noBreakHyphen/>
      </w:r>
      <w:r w:rsidRPr="00027624">
        <w:t>rearing years, by age and year of birth</w:t>
      </w:r>
      <w:bookmarkEnd w:id="1388"/>
    </w:p>
    <w:p w14:paraId="3F6B660E" w14:textId="77777777" w:rsidR="00B3792F" w:rsidRPr="00027624" w:rsidRDefault="00D2182D" w:rsidP="00B3792F">
      <w:pPr>
        <w:pStyle w:val="ChartGraphic"/>
      </w:pPr>
      <w:r>
        <w:rPr>
          <w:noProof/>
        </w:rPr>
        <w:drawing>
          <wp:inline distT="0" distB="0" distL="0" distR="0" wp14:anchorId="06D087CE" wp14:editId="08F69CB7">
            <wp:extent cx="5577840" cy="2522220"/>
            <wp:effectExtent l="0" t="0" r="3810" b="0"/>
            <wp:docPr id="771978748" name="Picture 771978748" descr="This chart shows that, for those born in later years, the gender gap in median annual earnings is lower at age 28 onwards.  " title="Chart 3B-3 Gender gap in median annual earnings, for those with typical earnings in child rearing years, by age and year of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63708CC" w14:textId="77777777" w:rsidR="00B3792F" w:rsidRPr="00027624" w:rsidRDefault="00B3792F" w:rsidP="00B3792F">
      <w:pPr>
        <w:pStyle w:val="ChartorTableNote"/>
      </w:pPr>
      <w:r w:rsidRPr="00027624">
        <w:t>Note: Chart is created by sorting the population, for each gender and year of birth, into deciles based on cumulative income across ages 27 to 36. For each decile, gender and year of birth, the median income from salary/wages is calculated at each age. Gender gaps are calculated for each age. The chart shows results for the 5</w:t>
      </w:r>
      <w:r w:rsidRPr="00027624">
        <w:rPr>
          <w:vertAlign w:val="superscript"/>
        </w:rPr>
        <w:t>th</w:t>
      </w:r>
      <w:r w:rsidRPr="00027624">
        <w:t xml:space="preserve"> decile. Analysis excludes those with less than three cumulative years of wage/salary income, to remove the effect of temporary migrants. Historic wage/salary income is inflated using average weekly ordinary time earnings. </w:t>
      </w:r>
      <w:bookmarkStart w:id="1389" w:name="_Hlk39162746"/>
      <w:bookmarkEnd w:id="1389"/>
      <w:r w:rsidRPr="00027624">
        <w:t>Source: Data provided by the ATO for the review.</w:t>
      </w:r>
    </w:p>
    <w:p w14:paraId="58592830" w14:textId="77777777" w:rsidR="00B3792F" w:rsidRPr="00027624" w:rsidRDefault="00B3792F" w:rsidP="00B3792F">
      <w:pPr>
        <w:pStyle w:val="Heading3"/>
      </w:pPr>
      <w:bookmarkStart w:id="1390" w:name="_Toc40366115"/>
      <w:bookmarkStart w:id="1391" w:name="_Toc40369661"/>
      <w:bookmarkStart w:id="1392" w:name="_Toc40427631"/>
      <w:bookmarkStart w:id="1393" w:name="_Toc40458069"/>
      <w:bookmarkStart w:id="1394" w:name="_Toc40461838"/>
      <w:bookmarkStart w:id="1395" w:name="_Toc40474393"/>
      <w:bookmarkStart w:id="1396" w:name="_Toc40477922"/>
      <w:bookmarkStart w:id="1397" w:name="_Toc40521502"/>
      <w:bookmarkStart w:id="1398" w:name="_Toc40530361"/>
      <w:bookmarkStart w:id="1399" w:name="_Toc42778789"/>
      <w:bookmarkStart w:id="1400" w:name="_Toc42779929"/>
      <w:bookmarkStart w:id="1401" w:name="_Toc42780358"/>
      <w:bookmarkStart w:id="1402" w:name="_Toc42786348"/>
      <w:bookmarkStart w:id="1403" w:name="_Toc42791841"/>
      <w:bookmarkStart w:id="1404" w:name="_Toc42792003"/>
      <w:bookmarkStart w:id="1405" w:name="_Toc43117810"/>
      <w:bookmarkStart w:id="1406" w:name="_Toc43121449"/>
      <w:bookmarkStart w:id="1407" w:name="_Toc43122654"/>
      <w:bookmarkStart w:id="1408" w:name="_Toc43127709"/>
      <w:r w:rsidRPr="00027624">
        <w:t>Divorce</w:t>
      </w:r>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p>
    <w:p w14:paraId="6F67AE79" w14:textId="77777777" w:rsidR="00B3792F" w:rsidRPr="00027624" w:rsidRDefault="00B3792F" w:rsidP="00B3792F">
      <w:r w:rsidRPr="00027624">
        <w:t xml:space="preserve">Since the early 1980s, </w:t>
      </w:r>
      <w:r w:rsidRPr="00027624">
        <w:rPr>
          <w:b/>
          <w:bCs/>
        </w:rPr>
        <w:t>rates of divorce have steadily increased among older age groups</w:t>
      </w:r>
      <w:r w:rsidRPr="00027624">
        <w:t xml:space="preserve"> </w:t>
      </w:r>
      <w:sdt>
        <w:sdtPr>
          <w:id w:val="-1339073504"/>
          <w:citation/>
        </w:sdtPr>
        <w:sdtEndPr/>
        <w:sdtContent>
          <w:r w:rsidRPr="00027624">
            <w:fldChar w:fldCharType="begin"/>
          </w:r>
          <w:r w:rsidRPr="00027624">
            <w:instrText xml:space="preserve">CITATION ABS193 \l 3081 </w:instrText>
          </w:r>
          <w:r w:rsidRPr="00027624">
            <w:fldChar w:fldCharType="separate"/>
          </w:r>
          <w:r w:rsidR="00E83F6E">
            <w:rPr>
              <w:noProof/>
            </w:rPr>
            <w:t>(ABS, 2019q)</w:t>
          </w:r>
          <w:r w:rsidRPr="00027624">
            <w:fldChar w:fldCharType="end"/>
          </w:r>
        </w:sdtContent>
      </w:sdt>
      <w:r w:rsidRPr="00027624">
        <w:t>. In 2016, around 19 per cent of women and 15.4 per cent of men aged 60</w:t>
      </w:r>
      <w:r w:rsidR="00A8443E" w:rsidRPr="00027624">
        <w:noBreakHyphen/>
      </w:r>
      <w:r w:rsidRPr="00027624">
        <w:t xml:space="preserve">64 were divorced and single </w:t>
      </w:r>
      <w:sdt>
        <w:sdtPr>
          <w:id w:val="498628594"/>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 compared with 6.7 and 6.3 per cent of women and men, respectively, of the same age group in 1991</w:t>
      </w:r>
      <w:r w:rsidRPr="00027624">
        <w:rPr>
          <w:rFonts w:eastAsiaTheme="minorHAnsi"/>
        </w:rPr>
        <w:t xml:space="preserve"> </w:t>
      </w:r>
      <w:sdt>
        <w:sdtPr>
          <w:rPr>
            <w:rFonts w:eastAsiaTheme="minorHAnsi"/>
          </w:rPr>
          <w:id w:val="-1493552605"/>
          <w:citation/>
        </w:sdtPr>
        <w:sdtEndPr/>
        <w:sdtContent>
          <w:r w:rsidRPr="00027624">
            <w:rPr>
              <w:rFonts w:eastAsiaTheme="minorHAnsi"/>
            </w:rPr>
            <w:fldChar w:fldCharType="begin"/>
          </w:r>
          <w:r w:rsidRPr="00027624">
            <w:rPr>
              <w:rFonts w:eastAsiaTheme="minorHAnsi"/>
            </w:rPr>
            <w:instrText xml:space="preserve"> CITATION ABS93 \l 3081 </w:instrText>
          </w:r>
          <w:r w:rsidRPr="00027624">
            <w:rPr>
              <w:rFonts w:eastAsiaTheme="minorHAnsi"/>
            </w:rPr>
            <w:fldChar w:fldCharType="separate"/>
          </w:r>
          <w:r w:rsidR="00E83F6E" w:rsidRPr="00E83F6E">
            <w:rPr>
              <w:rFonts w:eastAsiaTheme="minorHAnsi"/>
              <w:noProof/>
            </w:rPr>
            <w:t>(ABS, 1993)</w:t>
          </w:r>
          <w:r w:rsidRPr="00027624">
            <w:rPr>
              <w:rFonts w:eastAsiaTheme="minorHAnsi"/>
            </w:rPr>
            <w:fldChar w:fldCharType="end"/>
          </w:r>
        </w:sdtContent>
      </w:sdt>
      <w:r w:rsidRPr="00027624">
        <w:rPr>
          <w:rFonts w:eastAsiaTheme="minorHAnsi"/>
        </w:rPr>
        <w:t>.</w:t>
      </w:r>
    </w:p>
    <w:p w14:paraId="779D4D84" w14:textId="77777777" w:rsidR="00B3792F" w:rsidRPr="00027624" w:rsidRDefault="00B3792F" w:rsidP="00B3792F">
      <w:r w:rsidRPr="00027624">
        <w:t xml:space="preserve">In 2018, the median age of divorce was 45.9 years for men and 43.2 years for women </w:t>
      </w:r>
      <w:sdt>
        <w:sdtPr>
          <w:id w:val="-1611817225"/>
          <w:citation/>
        </w:sdtPr>
        <w:sdtEndPr/>
        <w:sdtContent>
          <w:r w:rsidRPr="00027624">
            <w:fldChar w:fldCharType="begin"/>
          </w:r>
          <w:r w:rsidRPr="00027624">
            <w:instrText xml:space="preserve">CITATION ABS193 \l 3081 </w:instrText>
          </w:r>
          <w:r w:rsidRPr="00027624">
            <w:fldChar w:fldCharType="separate"/>
          </w:r>
          <w:r w:rsidR="00E83F6E">
            <w:rPr>
              <w:noProof/>
            </w:rPr>
            <w:t>(ABS, 2019q)</w:t>
          </w:r>
          <w:r w:rsidRPr="00027624">
            <w:fldChar w:fldCharType="end"/>
          </w:r>
        </w:sdtContent>
      </w:sdt>
      <w:r w:rsidRPr="00027624">
        <w:t xml:space="preserve">, up from 35.3 years and 32.7 years, respectively, in 1980 </w:t>
      </w:r>
      <w:sdt>
        <w:sdtPr>
          <w:id w:val="118346414"/>
          <w:citation/>
        </w:sdtPr>
        <w:sdtEndPr/>
        <w:sdtContent>
          <w:r w:rsidRPr="00027624">
            <w:fldChar w:fldCharType="begin"/>
          </w:r>
          <w:r w:rsidRPr="00027624">
            <w:instrText xml:space="preserve">CITATION ABS97 \p 36 \l 3081 </w:instrText>
          </w:r>
          <w:r w:rsidRPr="00027624">
            <w:fldChar w:fldCharType="separate"/>
          </w:r>
          <w:r w:rsidR="00E83F6E">
            <w:rPr>
              <w:noProof/>
            </w:rPr>
            <w:t>(ABS, 1997, p. 36)</w:t>
          </w:r>
          <w:r w:rsidRPr="00027624">
            <w:fldChar w:fldCharType="end"/>
          </w:r>
        </w:sdtContent>
      </w:sdt>
      <w:r w:rsidRPr="00027624">
        <w:t>. This age increase has reduced the amount of time a divorcee has to recover financially before retirement.</w:t>
      </w:r>
    </w:p>
    <w:p w14:paraId="68B3C101" w14:textId="77777777" w:rsidR="00B3792F" w:rsidRPr="00027624" w:rsidRDefault="00B3792F" w:rsidP="00B3792F">
      <w:r w:rsidRPr="00027624">
        <w:t>Since 2002, superannuation has generally been able to be divided up in family law property settlement decisions.</w:t>
      </w:r>
      <w:r w:rsidRPr="00027624">
        <w:rPr>
          <w:rStyle w:val="FootnoteReference"/>
        </w:rPr>
        <w:footnoteReference w:id="150"/>
      </w:r>
      <w:r w:rsidRPr="00027624">
        <w:t xml:space="preserve"> But, significant challenges and complexity exist that hinder fair outcomes when superannuation is split under family law.</w:t>
      </w:r>
    </w:p>
    <w:p w14:paraId="53002D89" w14:textId="77777777" w:rsidR="00B3792F" w:rsidRPr="00027624" w:rsidRDefault="00B3792F" w:rsidP="00B3792F">
      <w:r w:rsidRPr="00027624">
        <w:t xml:space="preserve">A study of property splits of parents separating between 2006 and 2012 found only 34 per cent of splits included superannuation assets </w:t>
      </w:r>
      <w:sdt>
        <w:sdtPr>
          <w:id w:val="-1248185193"/>
          <w:citation/>
        </w:sdtPr>
        <w:sdtEndPr/>
        <w:sdtContent>
          <w:r w:rsidRPr="00027624">
            <w:fldChar w:fldCharType="begin"/>
          </w:r>
          <w:r w:rsidRPr="00027624">
            <w:instrText xml:space="preserve">CITATION Kas16 \l 3081 </w:instrText>
          </w:r>
          <w:r w:rsidRPr="00027624">
            <w:fldChar w:fldCharType="separate"/>
          </w:r>
          <w:r w:rsidR="00E83F6E">
            <w:rPr>
              <w:noProof/>
            </w:rPr>
            <w:t>(Kaspiew &amp; Lixia, 2016)</w:t>
          </w:r>
          <w:r w:rsidRPr="00027624">
            <w:fldChar w:fldCharType="end"/>
          </w:r>
        </w:sdtContent>
      </w:sdt>
      <w:r w:rsidRPr="00027624">
        <w:t>. This is below the rate of superannuation coverage (for those aged 25</w:t>
      </w:r>
      <w:r w:rsidR="00A8443E" w:rsidRPr="00027624">
        <w:noBreakHyphen/>
      </w:r>
      <w:r w:rsidRPr="00027624">
        <w:t xml:space="preserve">64 in 2012, it was at least 81 per cent for men and 70 per cent for women) </w:t>
      </w:r>
      <w:sdt>
        <w:sdtPr>
          <w:id w:val="214471335"/>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 Those with superannuation assets included in their property settlement tended to be older and have higher incomes. This suggests, when relationships break down, many people</w:t>
      </w:r>
      <w:r w:rsidR="00A8443E" w:rsidRPr="00027624">
        <w:t xml:space="preserve"> — </w:t>
      </w:r>
      <w:r w:rsidRPr="00027624">
        <w:t>and particularly those with lower incomes</w:t>
      </w:r>
      <w:r w:rsidR="00A8443E" w:rsidRPr="00027624">
        <w:t xml:space="preserve"> — </w:t>
      </w:r>
      <w:r w:rsidRPr="00027624">
        <w:t>are not enforcing their entitlement to their former partner</w:t>
      </w:r>
      <w:r w:rsidR="00A8443E" w:rsidRPr="00027624">
        <w:t>’</w:t>
      </w:r>
      <w:r w:rsidRPr="00027624">
        <w:t xml:space="preserve">s superannuation. This particularly disadvantages women, who generally have lower superannuation than their former partner, particularly if they have children </w:t>
      </w:r>
      <w:sdt>
        <w:sdtPr>
          <w:id w:val="-1258445197"/>
          <w:citation/>
        </w:sdtPr>
        <w:sdtEndPr/>
        <w:sdtContent>
          <w:r w:rsidRPr="00027624">
            <w:fldChar w:fldCharType="begin"/>
          </w:r>
          <w:r w:rsidRPr="00027624">
            <w:instrText xml:space="preserve">CITATION AMP16 \p 18 \l 3081 </w:instrText>
          </w:r>
          <w:r w:rsidRPr="00027624">
            <w:fldChar w:fldCharType="separate"/>
          </w:r>
          <w:r w:rsidR="00E83F6E">
            <w:rPr>
              <w:noProof/>
            </w:rPr>
            <w:t>(Brown, 2016, p. 18)</w:t>
          </w:r>
          <w:r w:rsidRPr="00027624">
            <w:fldChar w:fldCharType="end"/>
          </w:r>
        </w:sdtContent>
      </w:sdt>
      <w:r w:rsidRPr="00027624">
        <w:t>.</w:t>
      </w:r>
    </w:p>
    <w:p w14:paraId="48DFC95F" w14:textId="77777777" w:rsidR="00B3792F" w:rsidRPr="00027624" w:rsidRDefault="00B3792F" w:rsidP="00B3792F">
      <w:r w:rsidRPr="00027624">
        <w:lastRenderedPageBreak/>
        <w:t>A recent small study of property settlements in Victoria offered insight as to why superannuation is not a part of many property splits:</w:t>
      </w:r>
    </w:p>
    <w:p w14:paraId="4C3D0ADE" w14:textId="77777777" w:rsidR="00B3792F" w:rsidRPr="00027624" w:rsidRDefault="00A8443E" w:rsidP="00B3792F">
      <w:pPr>
        <w:pStyle w:val="Quote"/>
        <w:rPr>
          <w:i w:val="0"/>
        </w:rPr>
      </w:pPr>
      <w:r w:rsidRPr="00027624">
        <w:t>‘</w:t>
      </w:r>
      <w:r w:rsidR="00B3792F" w:rsidRPr="00027624">
        <w:t>Women</w:t>
      </w:r>
      <w:r w:rsidRPr="00027624">
        <w:t>’</w:t>
      </w:r>
      <w:r w:rsidR="00B3792F" w:rsidRPr="00027624">
        <w:t>s access to superannuation in property settlements is impacted by many of the issues associated with parties failing to make full and frank disclosure. The legal and administrative complexities associated with obtaining orders over superannuation also inhibit women</w:t>
      </w:r>
      <w:r w:rsidRPr="00027624">
        <w:t>’</w:t>
      </w:r>
      <w:r w:rsidR="00B3792F" w:rsidRPr="00027624">
        <w:t>s access to it after separation.</w:t>
      </w:r>
      <w:r w:rsidRPr="00027624">
        <w:t>’</w:t>
      </w:r>
      <w:sdt>
        <w:sdtPr>
          <w:id w:val="1562983507"/>
          <w:citation/>
        </w:sdtPr>
        <w:sdtEndPr/>
        <w:sdtContent>
          <w:r w:rsidR="00B3792F" w:rsidRPr="00027624">
            <w:fldChar w:fldCharType="begin"/>
          </w:r>
          <w:r w:rsidR="00B3792F" w:rsidRPr="00027624">
            <w:instrText xml:space="preserve">CITATION Wom18 \p 25 \l 3081 </w:instrText>
          </w:r>
          <w:r w:rsidR="00B3792F" w:rsidRPr="00027624">
            <w:fldChar w:fldCharType="separate"/>
          </w:r>
          <w:r w:rsidR="00E83F6E">
            <w:rPr>
              <w:noProof/>
            </w:rPr>
            <w:t xml:space="preserve"> (Women's Legal Service Victoria, 2018, p. 25)</w:t>
          </w:r>
          <w:r w:rsidR="00B3792F" w:rsidRPr="00027624">
            <w:fldChar w:fldCharType="end"/>
          </w:r>
        </w:sdtContent>
      </w:sdt>
    </w:p>
    <w:p w14:paraId="5CD6B9D1" w14:textId="77777777" w:rsidR="00B3792F" w:rsidRPr="00027624" w:rsidRDefault="00B3792F" w:rsidP="00B3792F">
      <w:r w:rsidRPr="00027624">
        <w:t>These factors, and other reasons why superannuation is not included in many property splits, merit further study.</w:t>
      </w:r>
    </w:p>
    <w:p w14:paraId="34A37898" w14:textId="77777777" w:rsidR="00B3792F" w:rsidRPr="00027624" w:rsidRDefault="00B3792F" w:rsidP="00B3792F">
      <w:pPr>
        <w:spacing w:after="0"/>
      </w:pPr>
      <w:r w:rsidRPr="00027624">
        <w:t>In 2018, the Government announced a measure to increase the visibility of superannuation assets in family law proceedings.</w:t>
      </w:r>
      <w:r w:rsidRPr="00027624">
        <w:rPr>
          <w:rStyle w:val="FootnoteReference"/>
        </w:rPr>
        <w:footnoteReference w:id="151"/>
      </w:r>
      <w:r w:rsidRPr="00027624">
        <w:t xml:space="preserve"> This would allow the ATO to provide accurate and timely superannuation data to courts during family law proceedings. This measure is yet to be legislated or implemented.</w:t>
      </w:r>
    </w:p>
    <w:p w14:paraId="7E5627BF" w14:textId="77777777" w:rsidR="00B3792F" w:rsidRPr="00027624" w:rsidRDefault="00B3792F" w:rsidP="00B3792F">
      <w:r w:rsidRPr="00027624">
        <w:t>Divorce reduces both parties</w:t>
      </w:r>
      <w:r w:rsidR="00A8443E" w:rsidRPr="00027624">
        <w:t>’</w:t>
      </w:r>
      <w:r w:rsidRPr="00027624">
        <w:t xml:space="preserve"> savings, and hence their retirement incomes, but has a stronger and longer lasting effect on women, especially those with dependent children </w:t>
      </w:r>
      <w:sdt>
        <w:sdtPr>
          <w:id w:val="1449119826"/>
          <w:citation/>
        </w:sdtPr>
        <w:sdtEndPr/>
        <w:sdtContent>
          <w:r w:rsidRPr="00027624">
            <w:fldChar w:fldCharType="begin"/>
          </w:r>
          <w:r w:rsidRPr="00027624">
            <w:instrText xml:space="preserve">CITATION AMP16 \p 10 \l 3081 </w:instrText>
          </w:r>
          <w:r w:rsidRPr="00027624">
            <w:fldChar w:fldCharType="separate"/>
          </w:r>
          <w:r w:rsidR="00E83F6E">
            <w:rPr>
              <w:noProof/>
            </w:rPr>
            <w:t>(Brown, 2016, p. 10)</w:t>
          </w:r>
          <w:r w:rsidRPr="00027624">
            <w:fldChar w:fldCharType="end"/>
          </w:r>
        </w:sdtContent>
      </w:sdt>
      <w:r w:rsidRPr="00027624">
        <w:t>.</w:t>
      </w:r>
      <w:r w:rsidRPr="00027624">
        <w:rPr>
          <w:rStyle w:val="FootnoteReference"/>
        </w:rPr>
        <w:footnoteReference w:id="152"/>
      </w:r>
    </w:p>
    <w:p w14:paraId="4A3FC3FF" w14:textId="77777777" w:rsidR="00B3792F" w:rsidRPr="00027624" w:rsidRDefault="00B3792F" w:rsidP="00B3792F">
      <w:r w:rsidRPr="00027624">
        <w:t>For the average divorced man and woman without dependent children, five years after divorce their supe</w:t>
      </w:r>
      <w:r w:rsidR="008078D4" w:rsidRPr="00027624">
        <w:t>rannuation was the same level as</w:t>
      </w:r>
      <w:r w:rsidRPr="00027624">
        <w:t xml:space="preserve"> married couples without children. In contrast, the average superannuation assets of divorced women with dependent children five years after divorce were substantially lower than married women with children. Recently divorced men with dependent children had more superannuation assets, on average, than married men.</w:t>
      </w:r>
    </w:p>
    <w:p w14:paraId="0B4EDFFD" w14:textId="77777777" w:rsidR="00B3792F" w:rsidRPr="00027624" w:rsidRDefault="00B3792F" w:rsidP="00B3792F">
      <w:r w:rsidRPr="00027624">
        <w:t xml:space="preserve">Divorced women without dependent children had lower earnings, on average, than married women without dependent children. Divorced men without dependent children saw no impact </w:t>
      </w:r>
      <w:r w:rsidR="008078D4" w:rsidRPr="00027624">
        <w:t>on</w:t>
      </w:r>
      <w:r w:rsidRPr="00027624">
        <w:t xml:space="preserve"> their earnings.</w:t>
      </w:r>
    </w:p>
    <w:p w14:paraId="6BF391EC" w14:textId="77777777" w:rsidR="00B3792F" w:rsidRPr="00027624" w:rsidRDefault="00B3792F" w:rsidP="00B3792F">
      <w:r w:rsidRPr="00027624">
        <w:t>Divorce can lead home</w:t>
      </w:r>
      <w:r w:rsidR="00A8443E" w:rsidRPr="00027624">
        <w:noBreakHyphen/>
      </w:r>
      <w:r w:rsidRPr="00027624">
        <w:t>owning couples to become renters, as they often cannot afford to maintain existing mortgage payments or buy a new property once single. Nearly a quarter of divorces result in home ownership loss</w:t>
      </w:r>
      <w:sdt>
        <w:sdtPr>
          <w:id w:val="112492632"/>
          <w:citation/>
        </w:sdtPr>
        <w:sdtEndPr/>
        <w:sdtContent>
          <w:r w:rsidRPr="00027624">
            <w:fldChar w:fldCharType="begin"/>
          </w:r>
          <w:r w:rsidRPr="00027624">
            <w:instrText xml:space="preserve">CITATION CEP19 \p 9 \l 3081 </w:instrText>
          </w:r>
          <w:r w:rsidRPr="00027624">
            <w:fldChar w:fldCharType="separate"/>
          </w:r>
          <w:r w:rsidR="00E83F6E">
            <w:rPr>
              <w:noProof/>
            </w:rPr>
            <w:t xml:space="preserve"> (CEPAR, 2019, p. 9)</w:t>
          </w:r>
          <w:r w:rsidRPr="00027624">
            <w:fldChar w:fldCharType="end"/>
          </w:r>
        </w:sdtContent>
      </w:sdt>
      <w:r w:rsidRPr="00027624">
        <w:t>. Divorced people, particularly divorced women approaching retirement, are over</w:t>
      </w:r>
      <w:r w:rsidR="00A8443E" w:rsidRPr="00027624">
        <w:noBreakHyphen/>
      </w:r>
      <w:r w:rsidRPr="00027624">
        <w:t>represented among older renters</w:t>
      </w:r>
      <w:sdt>
        <w:sdtPr>
          <w:id w:val="1867243936"/>
          <w:citation/>
        </w:sdtPr>
        <w:sdtEndPr/>
        <w:sdtContent>
          <w:r w:rsidRPr="00027624">
            <w:fldChar w:fldCharType="begin"/>
          </w:r>
          <w:r w:rsidRPr="00027624">
            <w:instrText xml:space="preserve">CITATION Ban15 \p 43 \l 3081 </w:instrText>
          </w:r>
          <w:r w:rsidRPr="00027624">
            <w:fldChar w:fldCharType="separate"/>
          </w:r>
          <w:r w:rsidR="00E83F6E">
            <w:rPr>
              <w:noProof/>
            </w:rPr>
            <w:t xml:space="preserve"> (Dockery, et al., 2015, p. 43)</w:t>
          </w:r>
          <w:r w:rsidRPr="00027624">
            <w:fldChar w:fldCharType="end"/>
          </w:r>
        </w:sdtContent>
      </w:sdt>
      <w:r w:rsidRPr="00027624">
        <w:t xml:space="preserve">. Men with children are slightly more likely to be home owners five years after divorce than women with children </w:t>
      </w:r>
      <w:sdt>
        <w:sdtPr>
          <w:id w:val="647793950"/>
          <w:citation/>
        </w:sdtPr>
        <w:sdtEndPr/>
        <w:sdtContent>
          <w:r w:rsidRPr="00027624">
            <w:fldChar w:fldCharType="begin"/>
          </w:r>
          <w:r w:rsidRPr="00027624">
            <w:instrText xml:space="preserve">CITATION AMP16 \l 3081 </w:instrText>
          </w:r>
          <w:r w:rsidRPr="00027624">
            <w:fldChar w:fldCharType="separate"/>
          </w:r>
          <w:r w:rsidR="00E83F6E">
            <w:rPr>
              <w:noProof/>
            </w:rPr>
            <w:t>(Brown, 2016)</w:t>
          </w:r>
          <w:r w:rsidRPr="00027624">
            <w:fldChar w:fldCharType="end"/>
          </w:r>
        </w:sdtContent>
      </w:sdt>
      <w:r w:rsidRPr="00027624">
        <w:t>. Additional research is required to determine conclusively how divorce impacts the assets of men and women.</w:t>
      </w:r>
    </w:p>
    <w:tbl>
      <w:tblPr>
        <w:tblStyle w:val="TableGrid"/>
        <w:tblW w:w="5000" w:type="pct"/>
        <w:shd w:val="clear" w:color="auto" w:fill="FFF8EA"/>
        <w:tblLook w:val="04A0" w:firstRow="1" w:lastRow="0" w:firstColumn="1" w:lastColumn="0" w:noHBand="0" w:noVBand="1"/>
      </w:tblPr>
      <w:tblGrid>
        <w:gridCol w:w="9070"/>
      </w:tblGrid>
      <w:tr w:rsidR="00B3792F" w:rsidRPr="00027624" w14:paraId="3A774DAE" w14:textId="77777777" w:rsidTr="00B3792F">
        <w:tc>
          <w:tcPr>
            <w:tcW w:w="5000" w:type="pct"/>
            <w:shd w:val="clear" w:color="auto" w:fill="FFF8EA"/>
          </w:tcPr>
          <w:p w14:paraId="7A320098" w14:textId="77777777" w:rsidR="00B3792F" w:rsidRPr="00027624" w:rsidRDefault="00B3792F" w:rsidP="00582C3E">
            <w:pPr>
              <w:pStyle w:val="BoxHeading"/>
            </w:pPr>
            <w:r w:rsidRPr="00027624">
              <w:lastRenderedPageBreak/>
              <w:t>Family and domestic violence and retirement incomes</w:t>
            </w:r>
          </w:p>
          <w:p w14:paraId="6B4DBCC7" w14:textId="77777777" w:rsidR="00B3792F" w:rsidRPr="00027624" w:rsidRDefault="00B3792F" w:rsidP="00B3792F">
            <w:pPr>
              <w:pStyle w:val="BoxText"/>
            </w:pPr>
            <w:r w:rsidRPr="00027624">
              <w:t xml:space="preserve">Family and domestic violence is overwhelmingly perpetrated against women, affecting their economic participation and security, private savings and preparedness for retirement. Family and domestic violence can also be experienced in retirement </w:t>
            </w:r>
            <w:sdt>
              <w:sdtPr>
                <w:id w:val="748613783"/>
                <w:citation/>
              </w:sdtPr>
              <w:sdtEndPr/>
              <w:sdtContent>
                <w:r w:rsidRPr="00027624">
                  <w:fldChar w:fldCharType="begin"/>
                </w:r>
                <w:r w:rsidRPr="00027624">
                  <w:instrText xml:space="preserve"> CITATION AIH18 \l 3081 </w:instrText>
                </w:r>
                <w:r w:rsidRPr="00027624">
                  <w:fldChar w:fldCharType="separate"/>
                </w:r>
                <w:r w:rsidR="00E83F6E">
                  <w:rPr>
                    <w:noProof/>
                  </w:rPr>
                  <w:t>(Australian Institute of Health and Welfare, 2018a)</w:t>
                </w:r>
                <w:r w:rsidRPr="00027624">
                  <w:fldChar w:fldCharType="end"/>
                </w:r>
              </w:sdtContent>
            </w:sdt>
            <w:r w:rsidRPr="00027624">
              <w:t xml:space="preserve">. This is a major reason why women become homeless, particularly in later age </w:t>
            </w:r>
            <w:sdt>
              <w:sdtPr>
                <w:id w:val="947124162"/>
                <w:citation/>
              </w:sdtPr>
              <w:sdtEndPr/>
              <w:sdtContent>
                <w:r w:rsidRPr="00027624">
                  <w:fldChar w:fldCharType="begin"/>
                </w:r>
                <w:r w:rsidRPr="00027624">
                  <w:instrText xml:space="preserve"> CITATION Aus192 \l 3081 </w:instrText>
                </w:r>
                <w:r w:rsidRPr="00027624">
                  <w:fldChar w:fldCharType="separate"/>
                </w:r>
                <w:r w:rsidR="00E83F6E">
                  <w:rPr>
                    <w:noProof/>
                  </w:rPr>
                  <w:t>(Australian Human Rights Commission, 2019)</w:t>
                </w:r>
                <w:r w:rsidRPr="00027624">
                  <w:fldChar w:fldCharType="end"/>
                </w:r>
              </w:sdtContent>
            </w:sdt>
            <w:r w:rsidRPr="00027624">
              <w:t>.</w:t>
            </w:r>
          </w:p>
          <w:p w14:paraId="20501E59" w14:textId="77777777" w:rsidR="00B3792F" w:rsidRPr="00027624" w:rsidRDefault="00B3792F" w:rsidP="00B3792F">
            <w:pPr>
              <w:pStyle w:val="BoxText"/>
            </w:pPr>
            <w:r w:rsidRPr="00027624">
              <w:t>For women experiencing physical, sexual or emotional abuse, the average victim incurs costs of around $27,000 (in 2015 dollars) in the year the violence is experienced. The long</w:t>
            </w:r>
            <w:r w:rsidR="00A8443E" w:rsidRPr="00027624">
              <w:noBreakHyphen/>
            </w:r>
            <w:r w:rsidRPr="00027624">
              <w:t xml:space="preserve">run implications may be larger </w:t>
            </w:r>
            <w:sdt>
              <w:sdtPr>
                <w:id w:val="890462373"/>
                <w:citation/>
              </w:sdtPr>
              <w:sdtEndPr/>
              <w:sdtContent>
                <w:r w:rsidRPr="00027624">
                  <w:fldChar w:fldCharType="begin"/>
                </w:r>
                <w:r w:rsidRPr="00027624">
                  <w:instrText xml:space="preserve"> CITATION PwC15 \l 3081 </w:instrText>
                </w:r>
                <w:r w:rsidRPr="00027624">
                  <w:fldChar w:fldCharType="separate"/>
                </w:r>
                <w:r w:rsidR="00E83F6E">
                  <w:rPr>
                    <w:noProof/>
                  </w:rPr>
                  <w:t>(PwC, 2015)</w:t>
                </w:r>
                <w:r w:rsidRPr="00027624">
                  <w:fldChar w:fldCharType="end"/>
                </w:r>
              </w:sdtContent>
            </w:sdt>
            <w:r w:rsidRPr="00027624">
              <w:t>.</w:t>
            </w:r>
          </w:p>
          <w:p w14:paraId="3CA90025" w14:textId="77777777" w:rsidR="00B3792F" w:rsidRPr="00027624" w:rsidRDefault="00B3792F" w:rsidP="00B3792F">
            <w:pPr>
              <w:pStyle w:val="BoxText"/>
            </w:pPr>
            <w:r w:rsidRPr="00027624">
              <w:t>In 2018, the Government announced a measure to allow victims of family and domestic violence to gain early access to part of their superannuation.</w:t>
            </w:r>
            <w:r w:rsidRPr="00027624">
              <w:rPr>
                <w:rStyle w:val="FootnoteReference"/>
              </w:rPr>
              <w:footnoteReference w:id="153"/>
            </w:r>
            <w:r w:rsidRPr="00027624">
              <w:t xml:space="preserve"> This measure, which would help victims address the immediate costs of family and domestic violence, is yet to be legislated or implemented. </w:t>
            </w:r>
          </w:p>
        </w:tc>
      </w:tr>
    </w:tbl>
    <w:p w14:paraId="0DEBD592" w14:textId="77777777" w:rsidR="00B3792F" w:rsidRPr="00027624" w:rsidRDefault="00B3792F" w:rsidP="00B3792F">
      <w:pPr>
        <w:pStyle w:val="Heading3"/>
      </w:pPr>
      <w:bookmarkStart w:id="1409" w:name="_Toc40366116"/>
      <w:bookmarkStart w:id="1410" w:name="_Toc40369662"/>
      <w:bookmarkStart w:id="1411" w:name="_Toc40427632"/>
      <w:bookmarkStart w:id="1412" w:name="_Toc40458070"/>
      <w:bookmarkStart w:id="1413" w:name="_Toc40461839"/>
      <w:bookmarkStart w:id="1414" w:name="_Toc40474394"/>
      <w:bookmarkStart w:id="1415" w:name="_Toc40477923"/>
      <w:bookmarkStart w:id="1416" w:name="_Toc40521503"/>
      <w:bookmarkStart w:id="1417" w:name="_Toc40530362"/>
      <w:bookmarkStart w:id="1418" w:name="_Toc42778790"/>
      <w:bookmarkStart w:id="1419" w:name="_Toc42779930"/>
      <w:bookmarkStart w:id="1420" w:name="_Toc42780359"/>
      <w:bookmarkStart w:id="1421" w:name="_Toc42786349"/>
      <w:bookmarkStart w:id="1422" w:name="_Toc42791842"/>
      <w:bookmarkStart w:id="1423" w:name="_Toc42792004"/>
      <w:bookmarkStart w:id="1424" w:name="_Toc43117811"/>
      <w:bookmarkStart w:id="1425" w:name="_Toc43121450"/>
      <w:bookmarkStart w:id="1426" w:name="_Toc43122655"/>
      <w:bookmarkStart w:id="1427" w:name="_Toc43127710"/>
      <w:r w:rsidRPr="00027624">
        <w:t>Financial literacy</w:t>
      </w:r>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p>
    <w:p w14:paraId="2B6CEED9" w14:textId="77777777" w:rsidR="00B3792F" w:rsidRPr="00027624" w:rsidRDefault="00B3792F" w:rsidP="00B3792F">
      <w:r w:rsidRPr="00027624">
        <w:rPr>
          <w:b/>
        </w:rPr>
        <w:t>In aggregate,</w:t>
      </w:r>
      <w:r w:rsidRPr="00027624">
        <w:t xml:space="preserve"> </w:t>
      </w:r>
      <w:r w:rsidRPr="00027624">
        <w:rPr>
          <w:b/>
          <w:bCs/>
        </w:rPr>
        <w:t>women have lower financial literacy than men</w:t>
      </w:r>
      <w:r w:rsidRPr="00027624">
        <w:t xml:space="preserve">: 50 per cent of men </w:t>
      </w:r>
      <w:r w:rsidR="008078D4" w:rsidRPr="00027624">
        <w:t>were</w:t>
      </w:r>
      <w:r w:rsidRPr="00027624">
        <w:t xml:space="preserve"> able to answer five standard financial literacy questions correctly, compared to 35 per cent of women </w:t>
      </w:r>
      <w:sdt>
        <w:sdtPr>
          <w:id w:val="-1572962823"/>
          <w:citation/>
        </w:sdtPr>
        <w:sdtEndPr/>
        <w:sdtContent>
          <w:r w:rsidRPr="00027624">
            <w:fldChar w:fldCharType="begin"/>
          </w:r>
          <w:r w:rsidRPr="00027624">
            <w:instrText xml:space="preserve">CITATION Wil18 \p 118 \t  \l 3081 </w:instrText>
          </w:r>
          <w:r w:rsidRPr="00027624">
            <w:fldChar w:fldCharType="separate"/>
          </w:r>
          <w:r w:rsidR="00E83F6E">
            <w:rPr>
              <w:noProof/>
            </w:rPr>
            <w:t>(Wilkins &amp; Lass, 2018, p. 118)</w:t>
          </w:r>
          <w:r w:rsidRPr="00027624">
            <w:fldChar w:fldCharType="end"/>
          </w:r>
        </w:sdtContent>
      </w:sdt>
      <w:r w:rsidRPr="00027624">
        <w:t xml:space="preserve">. Lower financial literacy is correlated with a range of factors that reduce retirement incomes (see </w:t>
      </w:r>
      <w:r w:rsidRPr="00027624">
        <w:rPr>
          <w:i/>
        </w:rPr>
        <w:t>5A. Cohesion</w:t>
      </w:r>
      <w:r w:rsidRPr="00027624">
        <w:t>).</w:t>
      </w:r>
    </w:p>
    <w:p w14:paraId="0D13C623" w14:textId="75BC9184" w:rsidR="00B3792F" w:rsidRPr="00027624" w:rsidRDefault="00B3792F" w:rsidP="00B3792F">
      <w:r w:rsidRPr="00027624">
        <w:t>Despite this, men and women have similar proportions of superannuation invested in growth assets during the pre</w:t>
      </w:r>
      <w:r w:rsidR="00A8443E" w:rsidRPr="00027624">
        <w:noBreakHyphen/>
      </w:r>
      <w:r w:rsidRPr="00027624">
        <w:t>retirement phase (</w:t>
      </w:r>
      <w:r w:rsidRPr="00027624">
        <w:fldChar w:fldCharType="begin"/>
      </w:r>
      <w:r w:rsidRPr="00027624">
        <w:instrText xml:space="preserve"> REF _Ref36033751 \n \h </w:instrText>
      </w:r>
      <w:r w:rsidR="00FA7639" w:rsidRPr="00027624">
        <w:instrText xml:space="preserve"> \* MERGEFORMAT </w:instrText>
      </w:r>
      <w:r w:rsidRPr="00027624">
        <w:fldChar w:fldCharType="separate"/>
      </w:r>
      <w:r w:rsidR="00891058">
        <w:t>Chart 3B-4</w:t>
      </w:r>
      <w:r w:rsidRPr="00027624">
        <w:fldChar w:fldCharType="end"/>
      </w:r>
      <w:bookmarkStart w:id="1428" w:name="CurPosn"/>
      <w:bookmarkEnd w:id="1428"/>
      <w:r w:rsidRPr="00027624">
        <w:t xml:space="preserve">), as expected in a system with strong defaults. This accords with evidence from the UK and US showing limited differences in investment behaviour by gender in defined contribution schemes </w:t>
      </w:r>
      <w:sdt>
        <w:sdtPr>
          <w:id w:val="19365404"/>
          <w:citation/>
        </w:sdtPr>
        <w:sdtEndPr/>
        <w:sdtContent>
          <w:r w:rsidRPr="00027624">
            <w:fldChar w:fldCharType="begin"/>
          </w:r>
          <w:r w:rsidRPr="00027624">
            <w:instrText xml:space="preserve">CITATION All19 \p 5 \l 3081 </w:instrText>
          </w:r>
          <w:r w:rsidRPr="00027624">
            <w:fldChar w:fldCharType="separate"/>
          </w:r>
          <w:r w:rsidR="00E83F6E">
            <w:rPr>
              <w:noProof/>
            </w:rPr>
            <w:t>(Allport, et al., 2019, p. 5)</w:t>
          </w:r>
          <w:r w:rsidRPr="00027624">
            <w:fldChar w:fldCharType="end"/>
          </w:r>
        </w:sdtContent>
      </w:sdt>
      <w:r w:rsidRPr="00027624">
        <w:t xml:space="preserve"> </w:t>
      </w:r>
      <w:sdt>
        <w:sdtPr>
          <w:id w:val="1718166946"/>
          <w:citation/>
        </w:sdtPr>
        <w:sdtEndPr/>
        <w:sdtContent>
          <w:r w:rsidRPr="00027624">
            <w:fldChar w:fldCharType="begin"/>
          </w:r>
          <w:r w:rsidRPr="00027624">
            <w:instrText xml:space="preserve">CITATION Van19 \p 5 \l 3081 </w:instrText>
          </w:r>
          <w:r w:rsidRPr="00027624">
            <w:fldChar w:fldCharType="separate"/>
          </w:r>
          <w:r w:rsidR="00E83F6E">
            <w:rPr>
              <w:noProof/>
            </w:rPr>
            <w:t>(Vanguard, 2019, p. 5)</w:t>
          </w:r>
          <w:r w:rsidRPr="00027624">
            <w:fldChar w:fldCharType="end"/>
          </w:r>
        </w:sdtContent>
      </w:sdt>
      <w:r w:rsidRPr="00027624">
        <w:t>.</w:t>
      </w:r>
    </w:p>
    <w:p w14:paraId="4AA4F53F" w14:textId="77777777" w:rsidR="00B3792F" w:rsidRPr="00027624" w:rsidRDefault="00B3792F" w:rsidP="00582C3E">
      <w:pPr>
        <w:pStyle w:val="ChartMainHeading"/>
      </w:pPr>
      <w:bookmarkStart w:id="1429" w:name="_Ref36033751"/>
      <w:r w:rsidRPr="00027624">
        <w:t>Average proportion of superannuation invested in growth assets in the pre</w:t>
      </w:r>
      <w:r w:rsidR="00A8443E" w:rsidRPr="00027624">
        <w:noBreakHyphen/>
      </w:r>
      <w:r w:rsidRPr="00027624">
        <w:t>retirement phase, by age and gender</w:t>
      </w:r>
      <w:bookmarkEnd w:id="1429"/>
    </w:p>
    <w:p w14:paraId="35614522" w14:textId="77777777" w:rsidR="00B3792F" w:rsidRPr="00027624" w:rsidRDefault="00D2182D" w:rsidP="00B3792F">
      <w:pPr>
        <w:pStyle w:val="ChartGraphic"/>
      </w:pPr>
      <w:r>
        <w:rPr>
          <w:noProof/>
        </w:rPr>
        <w:drawing>
          <wp:inline distT="0" distB="0" distL="0" distR="0" wp14:anchorId="77E6D8C4" wp14:editId="6E16D18F">
            <wp:extent cx="5577840" cy="2522220"/>
            <wp:effectExtent l="0" t="0" r="3810" b="0"/>
            <wp:docPr id="255367779" name="Picture 255367779" descr="This chart shows that the average proportion of superannuation invested in growth assets in the pre-retirement phase is around 85 per cent at age 18 for both men and women, remaining broadly constant until around age 58 where the proportion gradually drops. At all ages, the proportion for men and women is very similar. " title="Chart 3B-4 Average proportion of superannuation invested in growth assets in the pre-retirement phase,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FA5FB9F" w14:textId="77777777" w:rsidR="00B3792F" w:rsidRPr="00027624" w:rsidRDefault="00B3792F" w:rsidP="00B3792F">
      <w:pPr>
        <w:pStyle w:val="ChartorTableNote"/>
      </w:pPr>
      <w:r w:rsidRPr="00027624">
        <w:t>Source:</w:t>
      </w:r>
      <w:sdt>
        <w:sdtPr>
          <w:id w:val="-386341493"/>
          <w:citation/>
        </w:sdtPr>
        <w:sdtEndPr/>
        <w:sdtContent>
          <w:r w:rsidRPr="00027624">
            <w:fldChar w:fldCharType="begin"/>
          </w:r>
          <w:r w:rsidRPr="00027624">
            <w:instrText xml:space="preserve"> CITATION Ric191 \l 3081 </w:instrText>
          </w:r>
          <w:r w:rsidRPr="00027624">
            <w:fldChar w:fldCharType="separate"/>
          </w:r>
          <w:r w:rsidR="00E83F6E">
            <w:rPr>
              <w:noProof/>
            </w:rPr>
            <w:t xml:space="preserve"> (Rice Warner, 2019b)</w:t>
          </w:r>
          <w:r w:rsidRPr="00027624">
            <w:fldChar w:fldCharType="end"/>
          </w:r>
        </w:sdtContent>
      </w:sdt>
      <w:r w:rsidRPr="00027624">
        <w:t>.</w:t>
      </w:r>
    </w:p>
    <w:p w14:paraId="4DB2ED89" w14:textId="77777777" w:rsidR="00B3792F" w:rsidRPr="00027624" w:rsidRDefault="00B3792F" w:rsidP="00B3792F">
      <w:pPr>
        <w:pStyle w:val="Heading2"/>
      </w:pPr>
      <w:bookmarkStart w:id="1430" w:name="_Toc40366117"/>
      <w:bookmarkStart w:id="1431" w:name="_Toc40369663"/>
      <w:bookmarkStart w:id="1432" w:name="_Toc40427633"/>
      <w:bookmarkStart w:id="1433" w:name="_Toc40458071"/>
      <w:bookmarkStart w:id="1434" w:name="_Toc40461840"/>
      <w:bookmarkStart w:id="1435" w:name="_Toc40474395"/>
      <w:bookmarkStart w:id="1436" w:name="_Toc40477924"/>
      <w:bookmarkStart w:id="1437" w:name="_Toc40521504"/>
      <w:bookmarkStart w:id="1438" w:name="_Toc40530363"/>
      <w:bookmarkStart w:id="1439" w:name="_Toc42778791"/>
      <w:bookmarkStart w:id="1440" w:name="_Toc42779931"/>
      <w:bookmarkStart w:id="1441" w:name="_Toc42780360"/>
      <w:bookmarkStart w:id="1442" w:name="_Toc42786350"/>
      <w:bookmarkStart w:id="1443" w:name="_Toc42791843"/>
      <w:bookmarkStart w:id="1444" w:name="_Toc42792005"/>
      <w:bookmarkStart w:id="1445" w:name="_Toc43117812"/>
      <w:bookmarkStart w:id="1446" w:name="_Toc43121451"/>
      <w:bookmarkStart w:id="1447" w:name="_Toc43122656"/>
      <w:bookmarkStart w:id="1448" w:name="_Toc43127711"/>
      <w:bookmarkStart w:id="1449" w:name="_Toc45520497"/>
      <w:bookmarkStart w:id="1450" w:name="_Toc46133608"/>
      <w:r w:rsidRPr="00027624">
        <w:lastRenderedPageBreak/>
        <w:t>Working</w:t>
      </w:r>
      <w:r w:rsidR="00A8443E" w:rsidRPr="00027624">
        <w:noBreakHyphen/>
      </w:r>
      <w:r w:rsidRPr="00027624">
        <w:t>life drivers of gender gaps inside the retirement income system</w:t>
      </w:r>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p>
    <w:p w14:paraId="644F7476" w14:textId="77777777" w:rsidR="00B3792F" w:rsidRPr="00027624" w:rsidRDefault="00B3792F" w:rsidP="00B3792F">
      <w:pPr>
        <w:pStyle w:val="Heading3"/>
      </w:pPr>
      <w:bookmarkStart w:id="1451" w:name="_Toc40366118"/>
      <w:bookmarkStart w:id="1452" w:name="_Toc40369664"/>
      <w:bookmarkStart w:id="1453" w:name="_Toc40427634"/>
      <w:bookmarkStart w:id="1454" w:name="_Toc40458072"/>
      <w:bookmarkStart w:id="1455" w:name="_Toc40461841"/>
      <w:bookmarkStart w:id="1456" w:name="_Toc40474396"/>
      <w:bookmarkStart w:id="1457" w:name="_Toc40477925"/>
      <w:bookmarkStart w:id="1458" w:name="_Toc40521505"/>
      <w:bookmarkStart w:id="1459" w:name="_Toc40530364"/>
      <w:bookmarkStart w:id="1460" w:name="_Toc42778792"/>
      <w:bookmarkStart w:id="1461" w:name="_Toc42779932"/>
      <w:bookmarkStart w:id="1462" w:name="_Toc42780361"/>
      <w:bookmarkStart w:id="1463" w:name="_Toc42786351"/>
      <w:bookmarkStart w:id="1464" w:name="_Toc42791844"/>
      <w:bookmarkStart w:id="1465" w:name="_Toc42792006"/>
      <w:bookmarkStart w:id="1466" w:name="_Toc43117813"/>
      <w:bookmarkStart w:id="1467" w:name="_Toc43121452"/>
      <w:bookmarkStart w:id="1468" w:name="_Toc43122657"/>
      <w:bookmarkStart w:id="1469" w:name="_Toc43127712"/>
      <w:r w:rsidRPr="00027624">
        <w:t>Current and future superannuation balances</w:t>
      </w:r>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p>
    <w:p w14:paraId="5733CEF3" w14:textId="278796BB" w:rsidR="00B3792F" w:rsidRPr="00027624" w:rsidRDefault="00B3792F" w:rsidP="00B3792F">
      <w:r w:rsidRPr="00027624">
        <w:t>In 2017</w:t>
      </w:r>
      <w:r w:rsidR="00A8443E" w:rsidRPr="00027624">
        <w:noBreakHyphen/>
      </w:r>
      <w:r w:rsidRPr="00027624">
        <w:t>18, the average balance for those with superannuation at age 60</w:t>
      </w:r>
      <w:r w:rsidR="00A8443E" w:rsidRPr="00027624">
        <w:noBreakHyphen/>
      </w:r>
      <w:r w:rsidRPr="00027624">
        <w:t>64 was $279,167 for women and $344,718 for men</w:t>
      </w:r>
      <w:r w:rsidR="00A8443E" w:rsidRPr="00027624">
        <w:t xml:space="preserve"> — </w:t>
      </w:r>
      <w:r w:rsidRPr="00027624">
        <w:t>a gap of 19 per cent. The median balance was $128,507 for women and $163,985 for men</w:t>
      </w:r>
      <w:r w:rsidR="00A8443E" w:rsidRPr="00027624">
        <w:t xml:space="preserve"> — </w:t>
      </w:r>
      <w:r w:rsidRPr="00027624">
        <w:t>a gap of 22 per cent (</w:t>
      </w:r>
      <w:r w:rsidRPr="00027624">
        <w:fldChar w:fldCharType="begin"/>
      </w:r>
      <w:r w:rsidRPr="00027624">
        <w:instrText xml:space="preserve"> REF _Ref36033767 \n \h </w:instrText>
      </w:r>
      <w:r w:rsidR="00FA7639" w:rsidRPr="00027624">
        <w:instrText xml:space="preserve"> \* MERGEFORMAT </w:instrText>
      </w:r>
      <w:r w:rsidRPr="00027624">
        <w:fldChar w:fldCharType="separate"/>
      </w:r>
      <w:r w:rsidR="00891058">
        <w:t>Chart 3B-5</w:t>
      </w:r>
      <w:r w:rsidRPr="00027624">
        <w:fldChar w:fldCharType="end"/>
      </w:r>
      <w:r w:rsidRPr="00027624">
        <w:t>).</w:t>
      </w:r>
    </w:p>
    <w:p w14:paraId="79971252" w14:textId="77777777" w:rsidR="00B3792F" w:rsidRPr="00027624" w:rsidRDefault="00B3792F" w:rsidP="00B3792F">
      <w:r w:rsidRPr="00027624">
        <w:t>The gender gap in superannuation balances, both average and median, increases in the late</w:t>
      </w:r>
      <w:r w:rsidR="00A8443E" w:rsidRPr="00027624">
        <w:noBreakHyphen/>
      </w:r>
      <w:r w:rsidRPr="00027624">
        <w:t>20s to mid</w:t>
      </w:r>
      <w:r w:rsidR="00A8443E" w:rsidRPr="00027624">
        <w:noBreakHyphen/>
      </w:r>
      <w:r w:rsidRPr="00027624">
        <w:t xml:space="preserve"> to late</w:t>
      </w:r>
      <w:r w:rsidR="00A8443E" w:rsidRPr="00027624">
        <w:noBreakHyphen/>
      </w:r>
      <w:r w:rsidRPr="00027624">
        <w:t>50s age group, when women</w:t>
      </w:r>
      <w:r w:rsidR="00A8443E" w:rsidRPr="00027624">
        <w:t>’</w:t>
      </w:r>
      <w:r w:rsidRPr="00027624">
        <w:t>s labour force participation is significantly lower than men</w:t>
      </w:r>
      <w:r w:rsidR="00A8443E" w:rsidRPr="00027624">
        <w:t>’</w:t>
      </w:r>
      <w:r w:rsidRPr="00027624">
        <w:t>s. The gap begins to close sharply from around ages 55</w:t>
      </w:r>
      <w:r w:rsidR="00A8443E" w:rsidRPr="00027624">
        <w:noBreakHyphen/>
      </w:r>
      <w:r w:rsidRPr="00027624">
        <w:t>59, likely due to two factors:</w:t>
      </w:r>
    </w:p>
    <w:p w14:paraId="33A6D005" w14:textId="1CECF1D1" w:rsidR="00B3792F" w:rsidRPr="00027624" w:rsidRDefault="00B3792F" w:rsidP="00FC7361">
      <w:pPr>
        <w:pStyle w:val="OutlineNumbered1"/>
        <w:numPr>
          <w:ilvl w:val="0"/>
          <w:numId w:val="90"/>
        </w:numPr>
        <w:ind w:left="908" w:hanging="454"/>
      </w:pPr>
      <w:r w:rsidRPr="00027624">
        <w:rPr>
          <w:b/>
        </w:rPr>
        <w:t>Superannuation coverage decreases with age, particularly for women.</w:t>
      </w:r>
      <w:r w:rsidRPr="00027624">
        <w:t xml:space="preserve"> Because average and median superannuation balances do not include people without superannuation, this creates a selection bias. This raises the average and median balances of women at older ages compared with younger ages. If the calculation of the gender gap included those with zero balances, the gap would not close as much. This effect will become less prominent over time as more women retire with superannuation (see </w:t>
      </w:r>
      <w:r w:rsidRPr="00027624">
        <w:rPr>
          <w:i/>
        </w:rPr>
        <w:fldChar w:fldCharType="begin"/>
      </w:r>
      <w:r w:rsidRPr="00027624">
        <w:rPr>
          <w:i/>
        </w:rPr>
        <w:instrText xml:space="preserve"> REF _Ref45114918 \h  \* MERGEFORMAT </w:instrText>
      </w:r>
      <w:r w:rsidRPr="00027624">
        <w:rPr>
          <w:i/>
        </w:rPr>
      </w:r>
      <w:r w:rsidRPr="00027624">
        <w:rPr>
          <w:i/>
        </w:rPr>
        <w:fldChar w:fldCharType="separate"/>
      </w:r>
      <w:r w:rsidR="00891058" w:rsidRPr="00891058">
        <w:rPr>
          <w:i/>
        </w:rPr>
        <w:t>Superannuation coverage</w:t>
      </w:r>
      <w:r w:rsidRPr="00027624">
        <w:rPr>
          <w:i/>
        </w:rPr>
        <w:fldChar w:fldCharType="end"/>
      </w:r>
      <w:r w:rsidR="00842A7C" w:rsidRPr="00027624">
        <w:t>,</w:t>
      </w:r>
      <w:r w:rsidRPr="00027624">
        <w:rPr>
          <w:i/>
        </w:rPr>
        <w:t xml:space="preserve"> </w:t>
      </w:r>
      <w:r w:rsidRPr="00027624">
        <w:t>below).</w:t>
      </w:r>
    </w:p>
    <w:p w14:paraId="21872FF4" w14:textId="19423F69" w:rsidR="00B3792F" w:rsidRPr="00027624" w:rsidRDefault="00B3792F" w:rsidP="00716CEE">
      <w:pPr>
        <w:pStyle w:val="OutlineNumbered1"/>
      </w:pPr>
      <w:r w:rsidRPr="00027624">
        <w:rPr>
          <w:b/>
        </w:rPr>
        <w:t xml:space="preserve">Women make more voluntary superannuation contributions than men in later age </w:t>
      </w:r>
      <w:r w:rsidRPr="00027624">
        <w:t xml:space="preserve">(see </w:t>
      </w:r>
      <w:r w:rsidRPr="00027624">
        <w:rPr>
          <w:i/>
        </w:rPr>
        <w:fldChar w:fldCharType="begin"/>
      </w:r>
      <w:r w:rsidRPr="00027624">
        <w:rPr>
          <w:i/>
        </w:rPr>
        <w:instrText xml:space="preserve"> REF _Ref45114967 \h  \* MERGEFORMAT </w:instrText>
      </w:r>
      <w:r w:rsidRPr="00027624">
        <w:rPr>
          <w:i/>
        </w:rPr>
      </w:r>
      <w:r w:rsidRPr="00027624">
        <w:rPr>
          <w:i/>
        </w:rPr>
        <w:fldChar w:fldCharType="separate"/>
      </w:r>
      <w:r w:rsidR="00891058" w:rsidRPr="00891058">
        <w:rPr>
          <w:i/>
        </w:rPr>
        <w:t>Voluntary superannuation contributions</w:t>
      </w:r>
      <w:r w:rsidRPr="00027624">
        <w:rPr>
          <w:i/>
        </w:rPr>
        <w:fldChar w:fldCharType="end"/>
      </w:r>
      <w:r w:rsidR="00842A7C" w:rsidRPr="00027624">
        <w:t>,</w:t>
      </w:r>
      <w:r w:rsidRPr="00027624">
        <w:t xml:space="preserve"> below).</w:t>
      </w:r>
    </w:p>
    <w:p w14:paraId="5A4758D7" w14:textId="77777777" w:rsidR="00B3792F" w:rsidRPr="00027624" w:rsidRDefault="00B3792F" w:rsidP="00B3792F">
      <w:r w:rsidRPr="00027624">
        <w:t xml:space="preserve">The narrowing of the gender gap at older ages is due to increased balances for single women and for women with a partner with a high superannuation balance (see </w:t>
      </w:r>
      <w:r w:rsidRPr="00027624">
        <w:rPr>
          <w:i/>
        </w:rPr>
        <w:t>Appendix 6D. Supplementary equity charts</w:t>
      </w:r>
      <w:r w:rsidRPr="00027624">
        <w:t>).</w:t>
      </w:r>
    </w:p>
    <w:p w14:paraId="7E280898" w14:textId="77777777" w:rsidR="00B3792F" w:rsidRPr="00027624" w:rsidRDefault="00B3792F" w:rsidP="00582C3E">
      <w:pPr>
        <w:pStyle w:val="ChartMainHeading"/>
      </w:pPr>
      <w:bookmarkStart w:id="1470" w:name="_Ref36033767"/>
      <w:r w:rsidRPr="00027624">
        <w:t>Superannuation balances and gender gap, by age and gender</w:t>
      </w:r>
      <w:bookmarkEnd w:id="1470"/>
    </w:p>
    <w:tbl>
      <w:tblPr>
        <w:tblW w:w="5000" w:type="pct"/>
        <w:tblLook w:val="01E0" w:firstRow="1" w:lastRow="1" w:firstColumn="1" w:lastColumn="1" w:noHBand="0" w:noVBand="0"/>
      </w:tblPr>
      <w:tblGrid>
        <w:gridCol w:w="4535"/>
        <w:gridCol w:w="4535"/>
      </w:tblGrid>
      <w:tr w:rsidR="00B3792F" w:rsidRPr="00027624" w14:paraId="63D2D9AD" w14:textId="77777777" w:rsidTr="00B3792F">
        <w:tc>
          <w:tcPr>
            <w:tcW w:w="2500" w:type="pct"/>
          </w:tcPr>
          <w:p w14:paraId="60DE9CE9" w14:textId="77777777" w:rsidR="00B3792F" w:rsidRPr="00027624" w:rsidRDefault="00B3792F" w:rsidP="00B3792F">
            <w:pPr>
              <w:pStyle w:val="ChartSecondHeading"/>
            </w:pPr>
            <w:r w:rsidRPr="00027624">
              <w:t>Average</w:t>
            </w:r>
          </w:p>
        </w:tc>
        <w:tc>
          <w:tcPr>
            <w:tcW w:w="2500" w:type="pct"/>
          </w:tcPr>
          <w:p w14:paraId="573693D9" w14:textId="77777777" w:rsidR="00B3792F" w:rsidRPr="00027624" w:rsidRDefault="00B3792F" w:rsidP="00B3792F">
            <w:pPr>
              <w:pStyle w:val="ChartSecondHeading"/>
            </w:pPr>
            <w:r w:rsidRPr="00027624">
              <w:t>Median</w:t>
            </w:r>
          </w:p>
        </w:tc>
      </w:tr>
    </w:tbl>
    <w:p w14:paraId="2AF5A6A1" w14:textId="77777777" w:rsidR="00B3792F" w:rsidRPr="00027624" w:rsidRDefault="00D2182D" w:rsidP="00B3792F">
      <w:pPr>
        <w:pStyle w:val="ChartGraphic"/>
      </w:pPr>
      <w:r>
        <w:rPr>
          <w:noProof/>
        </w:rPr>
        <w:drawing>
          <wp:inline distT="0" distB="0" distL="0" distR="0" wp14:anchorId="7C724C9D" wp14:editId="47F21201">
            <wp:extent cx="2811780" cy="2880360"/>
            <wp:effectExtent l="0" t="0" r="7620" b="0"/>
            <wp:docPr id="255367792" name="Picture 255367792" descr="This chart shows that the average superannuation balances for men and women increase with age. At each age group the average balance for men is higher than the average balance for women. The gender gap in average balances increases up to age 55-59 (peaking at around 27 per cent), after which it sharply falls. " title="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11780" cy="2880360"/>
                    </a:xfrm>
                    <a:prstGeom prst="rect">
                      <a:avLst/>
                    </a:prstGeom>
                    <a:noFill/>
                  </pic:spPr>
                </pic:pic>
              </a:graphicData>
            </a:graphic>
          </wp:inline>
        </w:drawing>
      </w:r>
      <w:r>
        <w:rPr>
          <w:noProof/>
        </w:rPr>
        <w:drawing>
          <wp:inline distT="0" distB="0" distL="0" distR="0" wp14:anchorId="2CA98AA7" wp14:editId="7F38FDC8">
            <wp:extent cx="2804160" cy="2880360"/>
            <wp:effectExtent l="0" t="0" r="0" b="0"/>
            <wp:docPr id="255367793" name="Picture 255367793" descr="This chart shows that the median superannuation balances for men and women increase with age. At each age the median balance for men is higher than the median balance for women. The gender gap in median balances increases up to age 50-54 (peaking at around 33 per cent), after which it sharply falls." title="Me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04160" cy="2880360"/>
                    </a:xfrm>
                    <a:prstGeom prst="rect">
                      <a:avLst/>
                    </a:prstGeom>
                    <a:noFill/>
                  </pic:spPr>
                </pic:pic>
              </a:graphicData>
            </a:graphic>
          </wp:inline>
        </w:drawing>
      </w:r>
    </w:p>
    <w:p w14:paraId="2D062DBB" w14:textId="77777777" w:rsidR="00B3792F" w:rsidRPr="00027624" w:rsidRDefault="00B3792F" w:rsidP="00B3792F">
      <w:pPr>
        <w:pStyle w:val="ChartorTableNote"/>
      </w:pPr>
      <w:r w:rsidRPr="00027624">
        <w:t>Source: Analysis of ATO individual income tax returns and member contributions statements, 2017</w:t>
      </w:r>
      <w:r w:rsidR="00A8443E" w:rsidRPr="00027624">
        <w:noBreakHyphen/>
      </w:r>
      <w:r w:rsidRPr="00027624">
        <w:t>18.</w:t>
      </w:r>
    </w:p>
    <w:p w14:paraId="61151E19" w14:textId="6FA3DF73" w:rsidR="00B3792F" w:rsidRPr="00027624" w:rsidRDefault="00B3792F" w:rsidP="00B3792F">
      <w:r w:rsidRPr="00027624">
        <w:t>Over the past decade, the gender gap in superannuation balances for those approaching retirement has reduced (</w:t>
      </w:r>
      <w:r w:rsidRPr="00027624">
        <w:fldChar w:fldCharType="begin"/>
      </w:r>
      <w:r w:rsidRPr="00027624">
        <w:instrText xml:space="preserve"> REF _Ref38960945 \n \h </w:instrText>
      </w:r>
      <w:r w:rsidR="00FA7639" w:rsidRPr="00027624">
        <w:instrText xml:space="preserve"> \* MERGEFORMAT </w:instrText>
      </w:r>
      <w:r w:rsidRPr="00027624">
        <w:fldChar w:fldCharType="separate"/>
      </w:r>
      <w:r w:rsidR="00891058">
        <w:t>Chart 3B-6</w:t>
      </w:r>
      <w:r w:rsidRPr="00027624">
        <w:fldChar w:fldCharType="end"/>
      </w:r>
      <w:r w:rsidRPr="00027624">
        <w:t>).</w:t>
      </w:r>
    </w:p>
    <w:p w14:paraId="023083A5" w14:textId="77777777" w:rsidR="00B3792F" w:rsidRPr="00027624" w:rsidRDefault="00B3792F" w:rsidP="00582C3E">
      <w:pPr>
        <w:pStyle w:val="ChartMainHeading"/>
      </w:pPr>
      <w:bookmarkStart w:id="1471" w:name="_Ref38960945"/>
      <w:r w:rsidRPr="00027624">
        <w:lastRenderedPageBreak/>
        <w:t>Gender gap in superannuation balances at ages 55</w:t>
      </w:r>
      <w:r w:rsidR="00A8443E" w:rsidRPr="00027624">
        <w:noBreakHyphen/>
      </w:r>
      <w:r w:rsidRPr="00027624">
        <w:t>64</w:t>
      </w:r>
      <w:bookmarkEnd w:id="1471"/>
    </w:p>
    <w:p w14:paraId="1A370D43" w14:textId="77777777" w:rsidR="00B3792F" w:rsidRPr="00027624" w:rsidRDefault="00D2182D" w:rsidP="00B3792F">
      <w:pPr>
        <w:pStyle w:val="ChartGraphic"/>
      </w:pPr>
      <w:r>
        <w:rPr>
          <w:noProof/>
        </w:rPr>
        <w:drawing>
          <wp:inline distT="0" distB="0" distL="0" distR="0" wp14:anchorId="486CEF0C" wp14:editId="161B6FE9">
            <wp:extent cx="5394960" cy="2621280"/>
            <wp:effectExtent l="0" t="0" r="0" b="7620"/>
            <wp:docPr id="255367795" name="Picture 255367795" descr="This chart shows that both the average and median gender gap in superannuation balances at ages 55 64 has fallen over time, from around 45 per cent (average) and 37 per cent (median) in 2004 to around 23 per cent (average) and 28 per cent (median) in 2017." title="Chart 3B-6 Gender gap in superannuation balances at ages 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94960" cy="2621280"/>
                    </a:xfrm>
                    <a:prstGeom prst="rect">
                      <a:avLst/>
                    </a:prstGeom>
                    <a:noFill/>
                  </pic:spPr>
                </pic:pic>
              </a:graphicData>
            </a:graphic>
          </wp:inline>
        </w:drawing>
      </w:r>
    </w:p>
    <w:p w14:paraId="4D047F49" w14:textId="77777777" w:rsidR="00B3792F" w:rsidRPr="00027624" w:rsidRDefault="00B3792F" w:rsidP="00B3792F">
      <w:pPr>
        <w:pStyle w:val="ChartorTableNote"/>
      </w:pPr>
      <w:r w:rsidRPr="00027624">
        <w:t>Note: Averages and medians are for those with non</w:t>
      </w:r>
      <w:r w:rsidR="00A8443E" w:rsidRPr="00027624">
        <w:noBreakHyphen/>
      </w:r>
      <w:r w:rsidRPr="00027624">
        <w:t>zero balances. Source: Data provided by the ATO for the review.</w:t>
      </w:r>
    </w:p>
    <w:p w14:paraId="4093E9FD" w14:textId="08535A04" w:rsidR="00B3792F" w:rsidRPr="00027624" w:rsidRDefault="00B3792F" w:rsidP="00B3792F">
      <w:r w:rsidRPr="00027624">
        <w:rPr>
          <w:szCs w:val="22"/>
        </w:rPr>
        <w:t>Most men and women retiring now have low superannuation balances (</w:t>
      </w:r>
      <w:r w:rsidRPr="00027624">
        <w:rPr>
          <w:szCs w:val="22"/>
        </w:rPr>
        <w:fldChar w:fldCharType="begin"/>
      </w:r>
      <w:r w:rsidRPr="00027624">
        <w:rPr>
          <w:szCs w:val="22"/>
        </w:rPr>
        <w:instrText xml:space="preserve"> REF _Ref36033783 \r \h  \* MERGEFORMAT </w:instrText>
      </w:r>
      <w:r w:rsidRPr="00027624">
        <w:rPr>
          <w:szCs w:val="22"/>
        </w:rPr>
      </w:r>
      <w:r w:rsidRPr="00027624">
        <w:rPr>
          <w:szCs w:val="22"/>
        </w:rPr>
        <w:fldChar w:fldCharType="separate"/>
      </w:r>
      <w:r w:rsidR="00891058">
        <w:rPr>
          <w:szCs w:val="22"/>
        </w:rPr>
        <w:t>Chart 3B-7</w:t>
      </w:r>
      <w:r w:rsidRPr="00027624">
        <w:rPr>
          <w:szCs w:val="22"/>
        </w:rPr>
        <w:fldChar w:fldCharType="end"/>
      </w:r>
      <w:r w:rsidRPr="00027624">
        <w:rPr>
          <w:szCs w:val="22"/>
        </w:rPr>
        <w:t xml:space="preserve">). Those with higher balances are more likely to be men. The long </w:t>
      </w:r>
      <w:r w:rsidR="00A8443E" w:rsidRPr="00027624">
        <w:rPr>
          <w:szCs w:val="22"/>
        </w:rPr>
        <w:t>‘</w:t>
      </w:r>
      <w:r w:rsidRPr="00027624">
        <w:rPr>
          <w:szCs w:val="22"/>
        </w:rPr>
        <w:t>tail</w:t>
      </w:r>
      <w:r w:rsidR="00A8443E" w:rsidRPr="00027624">
        <w:rPr>
          <w:szCs w:val="22"/>
        </w:rPr>
        <w:t>’</w:t>
      </w:r>
      <w:r w:rsidRPr="00027624">
        <w:rPr>
          <w:szCs w:val="22"/>
        </w:rPr>
        <w:t xml:space="preserve"> of men with higher superannuation balances also exacerbates the gender gap in</w:t>
      </w:r>
      <w:r w:rsidRPr="00027624">
        <w:t xml:space="preserve"> balances at retirement today. This gap is expected to narrow substantially as the superannuation system matures and women benefit from greater labour force participation (see </w:t>
      </w:r>
      <w:r w:rsidRPr="00027624">
        <w:rPr>
          <w:i/>
        </w:rPr>
        <w:t>1D. The changing Australian landscape</w:t>
      </w:r>
      <w:r w:rsidRPr="00027624">
        <w:t xml:space="preserve">). </w:t>
      </w:r>
      <w:r w:rsidRPr="00027624">
        <w:rPr>
          <w:b/>
          <w:bCs/>
        </w:rPr>
        <w:t>In future, more women will have superannuation and spend more years contributing to their superannuation,</w:t>
      </w:r>
      <w:r w:rsidRPr="00027624">
        <w:t xml:space="preserve"> including through higher voluntary contributions (see </w:t>
      </w:r>
      <w:r w:rsidRPr="00027624">
        <w:fldChar w:fldCharType="begin"/>
      </w:r>
      <w:r w:rsidRPr="00027624">
        <w:rPr>
          <w:i/>
        </w:rPr>
        <w:instrText xml:space="preserve"> REF _Ref44613041 \h  \* MERGEFORMAT </w:instrText>
      </w:r>
      <w:r w:rsidRPr="00027624">
        <w:fldChar w:fldCharType="separate"/>
      </w:r>
      <w:r w:rsidR="00891058" w:rsidRPr="00891058">
        <w:rPr>
          <w:i/>
        </w:rPr>
        <w:t>Voluntary superannuation contributions</w:t>
      </w:r>
      <w:r w:rsidRPr="00027624">
        <w:fldChar w:fldCharType="end"/>
      </w:r>
      <w:r w:rsidRPr="00027624">
        <w:t>, below).</w:t>
      </w:r>
    </w:p>
    <w:p w14:paraId="058459EB" w14:textId="77777777" w:rsidR="00B3792F" w:rsidRPr="00027624" w:rsidRDefault="00B3792F" w:rsidP="00582C3E">
      <w:pPr>
        <w:pStyle w:val="ChartMainHeading"/>
      </w:pPr>
      <w:bookmarkStart w:id="1472" w:name="_Ref36033783"/>
      <w:r w:rsidRPr="00027624">
        <w:t>Projected superannuation balances at retirement by gender</w:t>
      </w:r>
      <w:bookmarkEnd w:id="1472"/>
    </w:p>
    <w:tbl>
      <w:tblPr>
        <w:tblW w:w="5000" w:type="pct"/>
        <w:tblLook w:val="01E0" w:firstRow="1" w:lastRow="1" w:firstColumn="1" w:lastColumn="1" w:noHBand="0" w:noVBand="0"/>
      </w:tblPr>
      <w:tblGrid>
        <w:gridCol w:w="4535"/>
        <w:gridCol w:w="4535"/>
      </w:tblGrid>
      <w:tr w:rsidR="00B3792F" w:rsidRPr="00027624" w14:paraId="2CD33F34" w14:textId="77777777" w:rsidTr="00B3792F">
        <w:trPr>
          <w:tblHeader/>
        </w:trPr>
        <w:tc>
          <w:tcPr>
            <w:tcW w:w="2500" w:type="pct"/>
            <w:shd w:val="clear" w:color="auto" w:fill="auto"/>
          </w:tcPr>
          <w:p w14:paraId="417A3907" w14:textId="77777777" w:rsidR="00B3792F" w:rsidRPr="00027624" w:rsidRDefault="00B3792F" w:rsidP="00B3792F">
            <w:pPr>
              <w:pStyle w:val="ChartSecondHeading"/>
            </w:pPr>
            <w:r w:rsidRPr="00027624">
              <w:t>2020</w:t>
            </w:r>
          </w:p>
        </w:tc>
        <w:tc>
          <w:tcPr>
            <w:tcW w:w="2500" w:type="pct"/>
            <w:shd w:val="clear" w:color="auto" w:fill="auto"/>
          </w:tcPr>
          <w:p w14:paraId="08EAA547" w14:textId="77777777" w:rsidR="00B3792F" w:rsidRPr="00027624" w:rsidRDefault="00B3792F" w:rsidP="00B3792F">
            <w:pPr>
              <w:pStyle w:val="ChartSecondHeading"/>
            </w:pPr>
            <w:r w:rsidRPr="00027624">
              <w:t>2060</w:t>
            </w:r>
          </w:p>
        </w:tc>
      </w:tr>
    </w:tbl>
    <w:p w14:paraId="3F2C8063" w14:textId="77777777" w:rsidR="00B3792F" w:rsidRPr="00027624" w:rsidRDefault="00D2182D" w:rsidP="00B3792F">
      <w:pPr>
        <w:pStyle w:val="ChartGraphic"/>
      </w:pPr>
      <w:r>
        <w:rPr>
          <w:noProof/>
        </w:rPr>
        <w:drawing>
          <wp:inline distT="0" distB="0" distL="0" distR="0" wp14:anchorId="35A0FB3D" wp14:editId="7BD31279">
            <wp:extent cx="2880360" cy="2887980"/>
            <wp:effectExtent l="0" t="0" r="0" b="7620"/>
            <wp:docPr id="255367797" name="Picture 255367797" descr="This chart shows that in 2020, both men and women are projected to have very low superannuation balances at retirement. There are more men at higher balances than women. " title="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r>
        <w:rPr>
          <w:noProof/>
        </w:rPr>
        <w:drawing>
          <wp:inline distT="0" distB="0" distL="0" distR="0" wp14:anchorId="6B789873" wp14:editId="0C7D7495">
            <wp:extent cx="2872740" cy="2880360"/>
            <wp:effectExtent l="0" t="0" r="3810" b="0"/>
            <wp:docPr id="255367798" name="Picture 255367798" descr="This chart shows that in 2060, more men and women are projected to have higher superannuation balances at retirement. The peak in the distribution of women’s balances at retirement is at a lower balance than the peak of the distribution of men’s balances at retirement." title="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29462F48" w14:textId="77777777" w:rsidR="00B3792F" w:rsidRPr="00027624" w:rsidRDefault="00B3792F" w:rsidP="00B3792F">
      <w:pPr>
        <w:pStyle w:val="ChartorTableNote"/>
      </w:pPr>
      <w:r w:rsidRPr="00027624">
        <w:t>Note: Values in 2019</w:t>
      </w:r>
      <w:r w:rsidR="00A8443E" w:rsidRPr="00027624">
        <w:noBreakHyphen/>
      </w:r>
      <w:r w:rsidRPr="00027624">
        <w:t>20 dollars, combined for the three trailing years, and deflated by average weekly earnings. Source: Treasury estimates for the review using MARIA.</w:t>
      </w:r>
    </w:p>
    <w:p w14:paraId="0490A46B" w14:textId="77777777" w:rsidR="00B3792F" w:rsidRPr="00027624" w:rsidRDefault="00B3792F" w:rsidP="00B3792F">
      <w:pPr>
        <w:pStyle w:val="Heading3"/>
      </w:pPr>
      <w:bookmarkStart w:id="1473" w:name="_Toc40366119"/>
      <w:bookmarkStart w:id="1474" w:name="_Toc40369665"/>
      <w:bookmarkStart w:id="1475" w:name="_Toc40427635"/>
      <w:bookmarkStart w:id="1476" w:name="_Toc40458073"/>
      <w:bookmarkStart w:id="1477" w:name="_Toc40461842"/>
      <w:bookmarkStart w:id="1478" w:name="_Toc40474397"/>
      <w:bookmarkStart w:id="1479" w:name="_Toc40477926"/>
      <w:bookmarkStart w:id="1480" w:name="_Toc40521506"/>
      <w:bookmarkStart w:id="1481" w:name="_Toc40530365"/>
      <w:bookmarkStart w:id="1482" w:name="_Toc42778793"/>
      <w:bookmarkStart w:id="1483" w:name="_Toc42779933"/>
      <w:bookmarkStart w:id="1484" w:name="_Toc42780362"/>
      <w:bookmarkStart w:id="1485" w:name="_Toc42786352"/>
      <w:bookmarkStart w:id="1486" w:name="_Toc42791845"/>
      <w:bookmarkStart w:id="1487" w:name="_Toc42792007"/>
      <w:bookmarkStart w:id="1488" w:name="_Toc43117814"/>
      <w:bookmarkStart w:id="1489" w:name="_Toc43121453"/>
      <w:bookmarkStart w:id="1490" w:name="_Toc43122658"/>
      <w:bookmarkStart w:id="1491" w:name="_Toc43127713"/>
      <w:bookmarkStart w:id="1492" w:name="_Ref45114918"/>
      <w:r w:rsidRPr="00027624">
        <w:lastRenderedPageBreak/>
        <w:t>Superannuation coverage</w:t>
      </w:r>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p>
    <w:p w14:paraId="3C004662" w14:textId="23E862D7" w:rsidR="00B3792F" w:rsidRPr="00027624" w:rsidRDefault="00B3792F" w:rsidP="00B3792F">
      <w:r w:rsidRPr="00027624">
        <w:t>Over time, women</w:t>
      </w:r>
      <w:r w:rsidR="00A8443E" w:rsidRPr="00027624">
        <w:t>’</w:t>
      </w:r>
      <w:r w:rsidRPr="00027624">
        <w:t>s superannuation coverage has increased with greater labour force participation. The gap between men</w:t>
      </w:r>
      <w:r w:rsidR="00A8443E" w:rsidRPr="00027624">
        <w:t>’</w:t>
      </w:r>
      <w:r w:rsidRPr="00027624">
        <w:t>s and women</w:t>
      </w:r>
      <w:r w:rsidR="00A8443E" w:rsidRPr="00027624">
        <w:t>’</w:t>
      </w:r>
      <w:r w:rsidRPr="00027624">
        <w:t>s coverage has also narrowed (</w:t>
      </w:r>
      <w:r w:rsidRPr="00027624">
        <w:rPr>
          <w:szCs w:val="22"/>
        </w:rPr>
        <w:fldChar w:fldCharType="begin"/>
      </w:r>
      <w:r w:rsidRPr="00027624">
        <w:instrText xml:space="preserve"> REF _Ref36033794 \n \h </w:instrText>
      </w:r>
      <w:r w:rsidR="00FA7639" w:rsidRPr="00027624">
        <w:rPr>
          <w:szCs w:val="22"/>
        </w:rPr>
        <w:instrText xml:space="preserve"> \* MERGEFORMAT </w:instrText>
      </w:r>
      <w:r w:rsidRPr="00027624">
        <w:rPr>
          <w:szCs w:val="22"/>
        </w:rPr>
      </w:r>
      <w:r w:rsidRPr="00027624">
        <w:rPr>
          <w:szCs w:val="22"/>
        </w:rPr>
        <w:fldChar w:fldCharType="separate"/>
      </w:r>
      <w:r w:rsidR="00891058">
        <w:t>Chart 3B-8</w:t>
      </w:r>
      <w:r w:rsidRPr="00027624">
        <w:rPr>
          <w:szCs w:val="22"/>
        </w:rPr>
        <w:fldChar w:fldCharType="end"/>
      </w:r>
      <w:r w:rsidRPr="00027624">
        <w:rPr>
          <w:szCs w:val="22"/>
        </w:rPr>
        <w:t xml:space="preserve">), </w:t>
      </w:r>
      <w:r w:rsidRPr="00027624">
        <w:t>but the gender gap in superannuation coverage at retirement will not close completely while a participation gap persists.</w:t>
      </w:r>
    </w:p>
    <w:p w14:paraId="7198E934" w14:textId="77777777" w:rsidR="00B3792F" w:rsidRPr="00027624" w:rsidRDefault="00B3792F" w:rsidP="00582C3E">
      <w:pPr>
        <w:pStyle w:val="ChartMainHeading"/>
      </w:pPr>
      <w:bookmarkStart w:id="1493" w:name="_Ref36033794"/>
      <w:r w:rsidRPr="00027624">
        <w:t>Superannuation coverage, by age and gender</w:t>
      </w:r>
      <w:bookmarkEnd w:id="1493"/>
    </w:p>
    <w:p w14:paraId="1237544C" w14:textId="77777777" w:rsidR="00B3792F" w:rsidRPr="00027624" w:rsidRDefault="000416ED" w:rsidP="00B3792F">
      <w:pPr>
        <w:pStyle w:val="ChartGraphic"/>
      </w:pPr>
      <w:r>
        <w:rPr>
          <w:noProof/>
        </w:rPr>
        <w:drawing>
          <wp:inline distT="0" distB="0" distL="0" distR="0" wp14:anchorId="43EE34E5" wp14:editId="24701AF2">
            <wp:extent cx="5585460" cy="2522220"/>
            <wp:effectExtent l="0" t="0" r="0" b="0"/>
            <wp:docPr id="255367803" name="Picture 255367803" descr="This chart shows that, over time, women’s superannuation coverage has increased, particular for those aged 55-64. The gap in superannuation coverage has decreased, particularly for those aged 25-34 and 55-64." title="Chart 3B-8 Superannuation coverage,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6FA9AA5E" w14:textId="77777777" w:rsidR="00B3792F" w:rsidRPr="00027624" w:rsidRDefault="00B3792F" w:rsidP="00B3792F">
      <w:pPr>
        <w:pStyle w:val="ChartorTableNote"/>
      </w:pPr>
      <w:r w:rsidRPr="00027624">
        <w:t xml:space="preserve">Note: A person is considered to have superannuation coverage if they have a superannuation balance above zero, receive regular income from superannuation, or have received a lump sum superannuation payment in the past two years. Source: </w:t>
      </w:r>
      <w:sdt>
        <w:sdtPr>
          <w:id w:val="-1155761758"/>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w:t>
      </w:r>
    </w:p>
    <w:p w14:paraId="5AF9D248" w14:textId="77777777" w:rsidR="00B3792F" w:rsidRPr="00027624" w:rsidRDefault="00B3792F" w:rsidP="00B3792F">
      <w:pPr>
        <w:pStyle w:val="Heading4"/>
      </w:pPr>
      <w:bookmarkStart w:id="1494" w:name="_Toc40366120"/>
      <w:bookmarkStart w:id="1495" w:name="_Toc40369666"/>
      <w:bookmarkStart w:id="1496" w:name="_Toc40427636"/>
      <w:bookmarkStart w:id="1497" w:name="_Toc40458074"/>
      <w:bookmarkStart w:id="1498" w:name="_Toc40461843"/>
      <w:bookmarkStart w:id="1499" w:name="_Toc40474398"/>
      <w:bookmarkStart w:id="1500" w:name="_Toc40477927"/>
      <w:bookmarkStart w:id="1501" w:name="_Toc40521507"/>
      <w:bookmarkStart w:id="1502" w:name="_Toc40530366"/>
      <w:bookmarkStart w:id="1503" w:name="_Toc42778794"/>
      <w:bookmarkStart w:id="1504" w:name="_Toc42779934"/>
      <w:bookmarkStart w:id="1505" w:name="_Toc42780363"/>
      <w:bookmarkStart w:id="1506" w:name="_Toc42786353"/>
      <w:bookmarkStart w:id="1507" w:name="_Toc42791846"/>
      <w:bookmarkStart w:id="1508" w:name="_Toc42792008"/>
      <w:bookmarkStart w:id="1509" w:name="_Toc43117815"/>
      <w:bookmarkStart w:id="1510" w:name="_Toc43121454"/>
      <w:bookmarkStart w:id="1511" w:name="_Toc43122659"/>
      <w:bookmarkStart w:id="1512" w:name="_Toc43127714"/>
      <w:r w:rsidRPr="00027624">
        <w:t xml:space="preserve">The </w:t>
      </w:r>
      <w:bookmarkEnd w:id="1494"/>
      <w:bookmarkEnd w:id="1495"/>
      <w:r w:rsidRPr="00027624">
        <w:t>$450</w:t>
      </w:r>
      <w:r w:rsidR="00A8443E" w:rsidRPr="00027624">
        <w:noBreakHyphen/>
      </w:r>
      <w:r w:rsidRPr="00027624">
        <w:t>a</w:t>
      </w:r>
      <w:r w:rsidR="00A8443E" w:rsidRPr="00027624">
        <w:noBreakHyphen/>
      </w:r>
      <w:r w:rsidRPr="00027624">
        <w:t>month threshold</w:t>
      </w:r>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p>
    <w:p w14:paraId="3D04F0FE" w14:textId="0A61B388" w:rsidR="00B3792F" w:rsidRPr="00027624" w:rsidRDefault="00B3792F" w:rsidP="00B3792F">
      <w:r w:rsidRPr="00027624">
        <w:t>Employers are not obligated to pay the SG to employees who earn less than $450 per month. The ATO Single Touch Payroll data for July 2019 suggests women were more likely than men to earn less than $450 and not receive the SG</w:t>
      </w:r>
      <w:r w:rsidR="00A8443E" w:rsidRPr="00027624">
        <w:t xml:space="preserve"> — </w:t>
      </w:r>
      <w:r w:rsidRPr="00027624">
        <w:t xml:space="preserve">around 197,000 women, compared to around 114,000 men (see </w:t>
      </w:r>
      <w:r w:rsidR="00EC03E5">
        <w:fldChar w:fldCharType="begin"/>
      </w:r>
      <w:r w:rsidR="00EC03E5">
        <w:instrText xml:space="preserve"> REF _Ref56593855 \r \h </w:instrText>
      </w:r>
      <w:r w:rsidR="00EC03E5">
        <w:fldChar w:fldCharType="separate"/>
      </w:r>
      <w:r w:rsidR="00891058">
        <w:t>Table 3D-1</w:t>
      </w:r>
      <w:r w:rsidR="00EC03E5">
        <w:fldChar w:fldCharType="end"/>
      </w:r>
      <w:r w:rsidRPr="00027624">
        <w:t xml:space="preserve"> in </w:t>
      </w:r>
      <w:r w:rsidRPr="00027624">
        <w:rPr>
          <w:i/>
        </w:rPr>
        <w:t xml:space="preserve">3D. </w:t>
      </w:r>
      <w:r w:rsidRPr="00027624">
        <w:rPr>
          <w:i/>
        </w:rPr>
        <w:fldChar w:fldCharType="begin"/>
      </w:r>
      <w:r w:rsidRPr="00027624">
        <w:rPr>
          <w:i/>
        </w:rPr>
        <w:instrText xml:space="preserve"> REF _Ref40303453  \* MERGEFORMAT </w:instrText>
      </w:r>
      <w:r w:rsidRPr="00027624">
        <w:rPr>
          <w:i/>
        </w:rPr>
        <w:fldChar w:fldCharType="separate"/>
      </w:r>
      <w:r w:rsidR="00891058" w:rsidRPr="00891058">
        <w:rPr>
          <w:i/>
        </w:rPr>
        <w:t>SG coverage</w:t>
      </w:r>
      <w:r w:rsidRPr="00027624">
        <w:rPr>
          <w:i/>
        </w:rPr>
        <w:fldChar w:fldCharType="end"/>
      </w:r>
      <w:r w:rsidRPr="00027624">
        <w:t>). Based on the current SG rate of 9.5 per cent, this implies women did not receive around $4.7 million in superannuation in July 2019 because of the $450</w:t>
      </w:r>
      <w:r w:rsidR="00A8443E" w:rsidRPr="00027624">
        <w:noBreakHyphen/>
      </w:r>
      <w:r w:rsidRPr="00027624">
        <w:t>a</w:t>
      </w:r>
      <w:r w:rsidR="00A8443E" w:rsidRPr="00027624">
        <w:noBreakHyphen/>
      </w:r>
      <w:r w:rsidRPr="00027624">
        <w:t>month threshold, compared to $2.7 million in superannuation forgone by men.</w:t>
      </w:r>
      <w:r w:rsidRPr="00027624">
        <w:rPr>
          <w:rStyle w:val="FootnoteReference"/>
        </w:rPr>
        <w:footnoteReference w:id="154"/>
      </w:r>
    </w:p>
    <w:p w14:paraId="019E1C24" w14:textId="027C7D0C" w:rsidR="00B3792F" w:rsidRPr="00027624" w:rsidRDefault="00B3792F" w:rsidP="00B3792F">
      <w:r w:rsidRPr="00027624">
        <w:t>For both men and women, removing the $450</w:t>
      </w:r>
      <w:r w:rsidR="00A8443E" w:rsidRPr="00027624">
        <w:noBreakHyphen/>
      </w:r>
      <w:r w:rsidRPr="00027624">
        <w:t>a</w:t>
      </w:r>
      <w:r w:rsidR="00A8443E" w:rsidRPr="00027624">
        <w:noBreakHyphen/>
      </w:r>
      <w:r w:rsidRPr="00027624">
        <w:t xml:space="preserve">month threshold has a small effect on average annual retirement incomes (see </w:t>
      </w:r>
      <w:r w:rsidRPr="00027624">
        <w:rPr>
          <w:i/>
        </w:rPr>
        <w:t xml:space="preserve">3D. </w:t>
      </w:r>
      <w:r w:rsidRPr="00027624">
        <w:rPr>
          <w:i/>
        </w:rPr>
        <w:fldChar w:fldCharType="begin"/>
      </w:r>
      <w:r w:rsidRPr="00027624">
        <w:rPr>
          <w:i/>
        </w:rPr>
        <w:instrText xml:space="preserve"> REF _Ref40303453  \* MERGEFORMAT </w:instrText>
      </w:r>
      <w:r w:rsidRPr="00027624">
        <w:rPr>
          <w:i/>
        </w:rPr>
        <w:fldChar w:fldCharType="separate"/>
      </w:r>
      <w:r w:rsidR="00891058" w:rsidRPr="00891058">
        <w:rPr>
          <w:i/>
        </w:rPr>
        <w:t>SG coverage</w:t>
      </w:r>
      <w:r w:rsidRPr="00027624">
        <w:rPr>
          <w:i/>
        </w:rPr>
        <w:fldChar w:fldCharType="end"/>
      </w:r>
      <w:r w:rsidRPr="00027624">
        <w:t>).</w:t>
      </w:r>
    </w:p>
    <w:p w14:paraId="29AA38B8" w14:textId="77777777" w:rsidR="00B3792F" w:rsidRPr="00027624" w:rsidRDefault="00B3792F" w:rsidP="00B3792F">
      <w:pPr>
        <w:pStyle w:val="Heading4"/>
      </w:pPr>
      <w:bookmarkStart w:id="1513" w:name="_Toc40366121"/>
      <w:bookmarkStart w:id="1514" w:name="_Toc40369667"/>
      <w:bookmarkStart w:id="1515" w:name="_Toc40427637"/>
      <w:bookmarkStart w:id="1516" w:name="_Toc40458075"/>
      <w:bookmarkStart w:id="1517" w:name="_Toc40461844"/>
      <w:bookmarkStart w:id="1518" w:name="_Toc40474399"/>
      <w:bookmarkStart w:id="1519" w:name="_Toc40477928"/>
      <w:bookmarkStart w:id="1520" w:name="_Toc40521508"/>
      <w:bookmarkStart w:id="1521" w:name="_Toc40530367"/>
      <w:bookmarkStart w:id="1522" w:name="_Toc42778795"/>
      <w:bookmarkStart w:id="1523" w:name="_Toc42779935"/>
      <w:bookmarkStart w:id="1524" w:name="_Toc42780364"/>
      <w:bookmarkStart w:id="1525" w:name="_Toc42786354"/>
      <w:bookmarkStart w:id="1526" w:name="_Toc42791847"/>
      <w:bookmarkStart w:id="1527" w:name="_Toc42792009"/>
      <w:bookmarkStart w:id="1528" w:name="_Toc43117816"/>
      <w:bookmarkStart w:id="1529" w:name="_Toc43121455"/>
      <w:bookmarkStart w:id="1530" w:name="_Toc43122660"/>
      <w:bookmarkStart w:id="1531" w:name="_Toc43127715"/>
      <w:r w:rsidRPr="00027624">
        <w:t>Superannuation on employer paid parental leave</w:t>
      </w:r>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p>
    <w:p w14:paraId="024EA1B2" w14:textId="77777777" w:rsidR="00B3792F" w:rsidRPr="00027624" w:rsidRDefault="00B3792F" w:rsidP="00B3792F">
      <w:r w:rsidRPr="00027624">
        <w:t>Unlike most other leave entitlements, employers are not required to pay superannuation to those taking paid parental leave. Some stakeholders suggested this should be amended to reduce the impact of child</w:t>
      </w:r>
      <w:r w:rsidR="00A8443E" w:rsidRPr="00027624">
        <w:noBreakHyphen/>
      </w:r>
      <w:r w:rsidRPr="00027624">
        <w:t>related career breaks on superannuation balances at retirement.</w:t>
      </w:r>
    </w:p>
    <w:p w14:paraId="1D9DE725" w14:textId="77777777" w:rsidR="00B3792F" w:rsidRPr="00027624" w:rsidRDefault="00B3792F" w:rsidP="00B3792F">
      <w:r w:rsidRPr="00027624">
        <w:t xml:space="preserve">Around half of employers offer paid parental leave </w:t>
      </w:r>
      <w:sdt>
        <w:sdtPr>
          <w:id w:val="1169745678"/>
          <w:citation/>
        </w:sdtPr>
        <w:sdtEndPr/>
        <w:sdtContent>
          <w:r w:rsidRPr="00027624">
            <w:fldChar w:fldCharType="begin"/>
          </w:r>
          <w:r w:rsidRPr="00027624">
            <w:instrText xml:space="preserve">CITATION WGE20 \l 3081 </w:instrText>
          </w:r>
          <w:r w:rsidRPr="00027624">
            <w:fldChar w:fldCharType="separate"/>
          </w:r>
          <w:r w:rsidR="00E83F6E">
            <w:rPr>
              <w:noProof/>
            </w:rPr>
            <w:t>(Workplace Gender Equality Agency, 2019)</w:t>
          </w:r>
          <w:r w:rsidRPr="00027624">
            <w:fldChar w:fldCharType="end"/>
          </w:r>
        </w:sdtContent>
      </w:sdt>
      <w:r w:rsidRPr="00027624">
        <w:t>. Those offered paid parental leave are more likely to work full</w:t>
      </w:r>
      <w:r w:rsidR="00A8443E" w:rsidRPr="00027624">
        <w:noBreakHyphen/>
      </w:r>
      <w:r w:rsidRPr="00027624">
        <w:t xml:space="preserve">time and have higher weekly earnings </w:t>
      </w:r>
      <w:sdt>
        <w:sdtPr>
          <w:id w:val="1934781415"/>
          <w:citation/>
        </w:sdtPr>
        <w:sdtEndPr/>
        <w:sdtContent>
          <w:r w:rsidRPr="00027624">
            <w:fldChar w:fldCharType="begin"/>
          </w:r>
          <w:r w:rsidRPr="00027624">
            <w:instrText xml:space="preserve"> CITATION ABS141 \l 3081 </w:instrText>
          </w:r>
          <w:r w:rsidRPr="00027624">
            <w:fldChar w:fldCharType="separate"/>
          </w:r>
          <w:r w:rsidR="00E83F6E">
            <w:rPr>
              <w:noProof/>
            </w:rPr>
            <w:t>(ABS, 2014)</w:t>
          </w:r>
          <w:r w:rsidRPr="00027624">
            <w:fldChar w:fldCharType="end"/>
          </w:r>
        </w:sdtContent>
      </w:sdt>
      <w:r w:rsidRPr="00027624">
        <w:t>. A 2013 evaluation of paid parental leave found more than half of employers who provide paid parental leave or carer</w:t>
      </w:r>
      <w:r w:rsidR="00A8443E" w:rsidRPr="00027624">
        <w:t>’</w:t>
      </w:r>
      <w:r w:rsidRPr="00027624">
        <w:t xml:space="preserve">s leave also pay superannuation on that leave, especially in the public sector </w:t>
      </w:r>
      <w:sdt>
        <w:sdtPr>
          <w:id w:val="-997342801"/>
          <w:citation/>
        </w:sdtPr>
        <w:sdtEndPr/>
        <w:sdtContent>
          <w:r w:rsidRPr="00027624">
            <w:fldChar w:fldCharType="begin"/>
          </w:r>
          <w:r w:rsidRPr="00027624">
            <w:instrText xml:space="preserve">CITATION Uni13 \p 95 \l 3081 </w:instrText>
          </w:r>
          <w:r w:rsidRPr="00027624">
            <w:fldChar w:fldCharType="separate"/>
          </w:r>
          <w:r w:rsidR="00E83F6E">
            <w:rPr>
              <w:noProof/>
            </w:rPr>
            <w:t>(Martin, et al., 2013, p. 95)</w:t>
          </w:r>
          <w:r w:rsidRPr="00027624">
            <w:fldChar w:fldCharType="end"/>
          </w:r>
        </w:sdtContent>
      </w:sdt>
      <w:r w:rsidRPr="00027624">
        <w:t>. Since then, this practice has likely increased as more family</w:t>
      </w:r>
      <w:r w:rsidR="00A8443E" w:rsidRPr="00027624">
        <w:noBreakHyphen/>
      </w:r>
      <w:r w:rsidRPr="00027624">
        <w:t>friendly workplace strategies have been implemented.</w:t>
      </w:r>
    </w:p>
    <w:p w14:paraId="4DB93E7D" w14:textId="333B8379" w:rsidR="00B3792F" w:rsidRPr="00027624" w:rsidRDefault="00B3792F" w:rsidP="00B3792F">
      <w:r w:rsidRPr="00027624">
        <w:lastRenderedPageBreak/>
        <w:t xml:space="preserve">For the median female earner, receiving superannuation on the average period of employer paid parental leave (11 weeks in 2019 </w:t>
      </w:r>
      <w:sdt>
        <w:sdtPr>
          <w:id w:val="-1237008641"/>
          <w:citation/>
        </w:sdtPr>
        <w:sdtEndPr/>
        <w:sdtContent>
          <w:r w:rsidRPr="00027624">
            <w:fldChar w:fldCharType="begin"/>
          </w:r>
          <w:r w:rsidRPr="00027624">
            <w:instrText xml:space="preserve">CITATION WGE201 \l 3081 </w:instrText>
          </w:r>
          <w:r w:rsidRPr="00027624">
            <w:fldChar w:fldCharType="separate"/>
          </w:r>
          <w:r w:rsidR="00E83F6E">
            <w:rPr>
              <w:noProof/>
            </w:rPr>
            <w:t>(Workplace Gender Equality Agency, 2020)</w:t>
          </w:r>
          <w:r w:rsidRPr="00027624">
            <w:fldChar w:fldCharType="end"/>
          </w:r>
        </w:sdtContent>
      </w:sdt>
      <w:r w:rsidRPr="00027624">
        <w:t>) increases her balance at retirement by around 0.8 per cent.</w:t>
      </w:r>
      <w:r w:rsidRPr="00027624">
        <w:rPr>
          <w:rStyle w:val="FootnoteReference"/>
        </w:rPr>
        <w:footnoteReference w:id="155"/>
      </w:r>
      <w:r w:rsidRPr="00027624">
        <w:t xml:space="preserve"> This translates into a 0.14 per cent increase in retirement income, after accounting for reduced Age Pension income due to the Age Pension assets test (</w:t>
      </w:r>
      <w:r w:rsidRPr="00027624">
        <w:fldChar w:fldCharType="begin"/>
      </w:r>
      <w:r w:rsidRPr="00027624">
        <w:instrText xml:space="preserve"> REF _Ref45123031 \n \h </w:instrText>
      </w:r>
      <w:r w:rsidR="00FA7639" w:rsidRPr="00027624">
        <w:instrText xml:space="preserve"> \* MERGEFORMAT </w:instrText>
      </w:r>
      <w:r w:rsidRPr="00027624">
        <w:fldChar w:fldCharType="separate"/>
      </w:r>
      <w:r w:rsidR="00891058">
        <w:t>Chart 3B-9</w:t>
      </w:r>
      <w:r w:rsidRPr="00027624">
        <w:fldChar w:fldCharType="end"/>
      </w:r>
      <w:r w:rsidRPr="00027624">
        <w:t xml:space="preserve">). Even for those not impacted by the assets test, the increases in retirement income are small. Consequently, while it would improve gender equity in SG coverage, </w:t>
      </w:r>
      <w:r w:rsidRPr="00027624">
        <w:rPr>
          <w:b/>
          <w:bCs/>
        </w:rPr>
        <w:t>paying superannuation on paid parental leave has a limited impact on closing the retirement income gap</w:t>
      </w:r>
      <w:r w:rsidRPr="00027624">
        <w:t xml:space="preserve"> at most earnings percentiles. </w:t>
      </w:r>
    </w:p>
    <w:p w14:paraId="569F118B" w14:textId="77777777" w:rsidR="00B3792F" w:rsidRPr="00027624" w:rsidRDefault="00B3792F" w:rsidP="00582C3E">
      <w:pPr>
        <w:pStyle w:val="ChartMainHeading"/>
      </w:pPr>
      <w:bookmarkStart w:id="1532" w:name="_Ref45123031"/>
      <w:bookmarkStart w:id="1533" w:name="_Ref36033821"/>
      <w:r w:rsidRPr="00027624">
        <w:t>Projected effect on women</w:t>
      </w:r>
      <w:r w:rsidR="00A8443E" w:rsidRPr="00027624">
        <w:t>’</w:t>
      </w:r>
      <w:r w:rsidRPr="00027624">
        <w:t>s retirement incomes of receiving superann</w:t>
      </w:r>
      <w:r w:rsidR="00DB6A40" w:rsidRPr="00027624">
        <w:t xml:space="preserve">uation for one term of employer </w:t>
      </w:r>
      <w:r w:rsidRPr="00027624">
        <w:t>paid parental leave</w:t>
      </w:r>
      <w:bookmarkEnd w:id="1532"/>
      <w:r w:rsidRPr="00027624">
        <w:t xml:space="preserve"> </w:t>
      </w:r>
      <w:bookmarkEnd w:id="1533"/>
    </w:p>
    <w:p w14:paraId="2F70F8A2" w14:textId="77777777" w:rsidR="00B3792F" w:rsidRPr="00027624" w:rsidRDefault="000416ED" w:rsidP="00B3792F">
      <w:pPr>
        <w:pStyle w:val="ChartGraphic"/>
      </w:pPr>
      <w:r>
        <w:rPr>
          <w:noProof/>
        </w:rPr>
        <w:drawing>
          <wp:inline distT="0" distB="0" distL="0" distR="0" wp14:anchorId="7BC68303" wp14:editId="099D06C6">
            <wp:extent cx="5585460" cy="2522220"/>
            <wp:effectExtent l="0" t="0" r="0" b="0"/>
            <wp:docPr id="255367804" name="Picture 255367804" descr="This chart shows that the change in women’s annual retirement incomes from paying superannuation on paid parental leave for one term is projected to increase with income, from 0.11 per cent at the 10th female income percentile to 0.14 per cent at the 50th female income percentile and 0.39 per cent at the 90th female income percentile. For middle income earners, the increase in retirement incomes due to additional superannuation is shown to be offset by a decrease due to reduced Age Pension. The decrease due to reduced Age Pension is most prominent at the 50th and 60th female income percentiles. " title="Chart 3B-9 Projected effect on women’s retirement incomes of receiving superannuation for one term of employer paid parental le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1BFF315A" w14:textId="77777777" w:rsidR="00B3792F" w:rsidRPr="00027624" w:rsidRDefault="00B3792F" w:rsidP="00B3792F">
      <w:pPr>
        <w:pStyle w:val="ChartorTableNote"/>
      </w:pPr>
      <w:r w:rsidRPr="00027624">
        <w:t>Note: Assumes one 11</w:t>
      </w:r>
      <w:r w:rsidR="00A8443E" w:rsidRPr="00027624">
        <w:noBreakHyphen/>
      </w:r>
      <w:r w:rsidRPr="00027624">
        <w:t>week term of paid parental leave at age 30, based on the woman</w:t>
      </w:r>
      <w:r w:rsidR="00A8443E" w:rsidRPr="00027624">
        <w:t>’</w:t>
      </w:r>
      <w:r w:rsidRPr="00027624">
        <w:t>s salary for the previous year. All other assumptions are consistent with the standard gender cameo model. Women who access paid parental leave multiple times across their life could have greater changes in annual retirement income if superannuation was paid on the leave. Calculations are based on values deflated using the review</w:t>
      </w:r>
      <w:r w:rsidR="00A8443E" w:rsidRPr="00027624">
        <w:t>’</w:t>
      </w:r>
      <w:r w:rsidRPr="00027624">
        <w:t xml:space="preserve">s mixed deflator. Source: </w:t>
      </w:r>
      <w:r w:rsidRPr="00027624">
        <w:rPr>
          <w:color w:val="auto"/>
        </w:rPr>
        <w:t>Cameo modelling undertaken for the review</w:t>
      </w:r>
      <w:r w:rsidRPr="00027624">
        <w:t xml:space="preserve">. </w:t>
      </w:r>
    </w:p>
    <w:p w14:paraId="2814FCA6" w14:textId="77777777" w:rsidR="00B3792F" w:rsidRPr="00027624" w:rsidRDefault="00B3792F" w:rsidP="00B3792F">
      <w:pPr>
        <w:pStyle w:val="Heading4"/>
      </w:pPr>
      <w:bookmarkStart w:id="1534" w:name="_Toc40458076"/>
      <w:bookmarkStart w:id="1535" w:name="_Toc40461845"/>
      <w:bookmarkStart w:id="1536" w:name="_Toc40474400"/>
      <w:bookmarkStart w:id="1537" w:name="_Toc40477929"/>
      <w:bookmarkStart w:id="1538" w:name="_Toc40521509"/>
      <w:bookmarkStart w:id="1539" w:name="_Toc40530368"/>
      <w:bookmarkStart w:id="1540" w:name="_Toc42778796"/>
      <w:bookmarkStart w:id="1541" w:name="_Toc42779936"/>
      <w:bookmarkStart w:id="1542" w:name="_Toc42780365"/>
      <w:bookmarkStart w:id="1543" w:name="_Toc42786355"/>
      <w:bookmarkStart w:id="1544" w:name="_Toc42791848"/>
      <w:bookmarkStart w:id="1545" w:name="_Toc42792010"/>
      <w:bookmarkStart w:id="1546" w:name="_Toc43117817"/>
      <w:bookmarkStart w:id="1547" w:name="_Toc43121456"/>
      <w:bookmarkStart w:id="1548" w:name="_Toc43122661"/>
      <w:bookmarkStart w:id="1549" w:name="_Toc43127716"/>
      <w:r w:rsidRPr="00027624">
        <w:t>Superannuation on Government Parental Leave Pay</w:t>
      </w:r>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p>
    <w:p w14:paraId="482D3390" w14:textId="77777777" w:rsidR="00B3792F" w:rsidRPr="00027624" w:rsidRDefault="00B3792F" w:rsidP="00B3792F">
      <w:r w:rsidRPr="00027624">
        <w:t>Government</w:t>
      </w:r>
      <w:r w:rsidR="00A8443E" w:rsidRPr="00027624">
        <w:noBreakHyphen/>
      </w:r>
      <w:r w:rsidRPr="00027624">
        <w:t>offered Parental Leave Pay is paid at the minimum wage for up to 18 weeks for people on incomes below $150,000 a year.</w:t>
      </w:r>
      <w:r w:rsidRPr="00027624">
        <w:rPr>
          <w:rStyle w:val="FootnoteReference"/>
        </w:rPr>
        <w:footnoteReference w:id="156"/>
      </w:r>
      <w:r w:rsidRPr="00027624">
        <w:t xml:space="preserve"> Superannuation is not paid on top of Government Parental Leave Pay. </w:t>
      </w:r>
    </w:p>
    <w:p w14:paraId="091FEB31" w14:textId="72A70A3B" w:rsidR="00B3792F" w:rsidRPr="00027624" w:rsidRDefault="00B3792F" w:rsidP="00B3792F">
      <w:r w:rsidRPr="00027624">
        <w:t>If superannuation was paid on Government Parental Leave Pay,</w:t>
      </w:r>
      <w:r w:rsidRPr="00027624" w:rsidDel="00A60888">
        <w:t xml:space="preserve"> </w:t>
      </w:r>
      <w:r w:rsidRPr="00027624">
        <w:t>the median female earner would receive an additional 0.17 per cent in annual retirement income (</w:t>
      </w:r>
      <w:r w:rsidRPr="00027624">
        <w:fldChar w:fldCharType="begin"/>
      </w:r>
      <w:r w:rsidRPr="00027624">
        <w:instrText xml:space="preserve"> REF _Ref45123055 \n \h </w:instrText>
      </w:r>
      <w:r w:rsidR="00FA7639" w:rsidRPr="00027624">
        <w:instrText xml:space="preserve"> \* MERGEFORMAT </w:instrText>
      </w:r>
      <w:r w:rsidRPr="00027624">
        <w:fldChar w:fldCharType="separate"/>
      </w:r>
      <w:r w:rsidR="00891058">
        <w:t>Chart 3B-10</w:t>
      </w:r>
      <w:r w:rsidRPr="00027624">
        <w:fldChar w:fldCharType="end"/>
      </w:r>
      <w:r w:rsidRPr="00027624">
        <w:t>). For middle</w:t>
      </w:r>
      <w:r w:rsidR="00A8443E" w:rsidRPr="00027624">
        <w:noBreakHyphen/>
      </w:r>
      <w:r w:rsidRPr="00027624">
        <w:t>income earners in particular, the Age Pension assets test reduces the small gains in annual superannuation income. Most Government Parental Leave Pay recipients are in the middle of the income distribution.</w:t>
      </w:r>
      <w:r w:rsidRPr="00027624">
        <w:rPr>
          <w:sz w:val="20"/>
          <w:vertAlign w:val="superscript"/>
        </w:rPr>
        <w:footnoteReference w:id="157"/>
      </w:r>
    </w:p>
    <w:p w14:paraId="288E5C0B" w14:textId="77777777" w:rsidR="00B3792F" w:rsidRPr="00027624" w:rsidRDefault="00B3792F" w:rsidP="00582C3E">
      <w:pPr>
        <w:pStyle w:val="ChartMainHeading"/>
      </w:pPr>
      <w:bookmarkStart w:id="1550" w:name="_Ref45123055"/>
      <w:bookmarkStart w:id="1551" w:name="_Ref36033837"/>
      <w:r w:rsidRPr="00027624">
        <w:lastRenderedPageBreak/>
        <w:t>Projected effect on women</w:t>
      </w:r>
      <w:r w:rsidR="00A8443E" w:rsidRPr="00027624">
        <w:t>’</w:t>
      </w:r>
      <w:r w:rsidRPr="00027624">
        <w:t>s retirement incomes of receiving superannuation for one term of Government Parental Leave Pay</w:t>
      </w:r>
      <w:bookmarkEnd w:id="1550"/>
      <w:r w:rsidRPr="00027624">
        <w:t xml:space="preserve"> </w:t>
      </w:r>
      <w:bookmarkEnd w:id="1551"/>
    </w:p>
    <w:p w14:paraId="786DD009" w14:textId="77777777" w:rsidR="00B3792F" w:rsidRPr="00027624" w:rsidRDefault="000416ED" w:rsidP="00B3792F">
      <w:pPr>
        <w:pStyle w:val="ChartGraphic"/>
      </w:pPr>
      <w:r>
        <w:rPr>
          <w:noProof/>
        </w:rPr>
        <w:drawing>
          <wp:inline distT="0" distB="0" distL="0" distR="0" wp14:anchorId="681996FE" wp14:editId="38C28FE6">
            <wp:extent cx="5585460" cy="2522220"/>
            <wp:effectExtent l="0" t="0" r="0" b="0"/>
            <wp:docPr id="255367807" name="Picture 255367807" descr="This chart shows that the change in women’s annual retirement incomes from paying superannuation on Parental Leave Pay for one term is projected to decrease with income, from 0.45 per cent at the 10th female income percentile to 0.17 per cent at the 50th female income percentile and 0.25 per cent at the 90th female income percentile. For middle income earners, the increase in retirement incomes due to additional superannuation is shown to be offset by a decrease due to reduced Age Pension. The decrease due to reduced Age Pension is most prominent at the 50th percentile." title="Chart 3B-10 Projected effect on women’s retirement incomes of receiving superannuation for one term of government Parental Leave P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27D2D265" w14:textId="77777777" w:rsidR="00B3792F" w:rsidRPr="00027624" w:rsidRDefault="00B3792F" w:rsidP="00B3792F">
      <w:pPr>
        <w:pStyle w:val="ChartorTableNote"/>
      </w:pPr>
      <w:r w:rsidRPr="00027624">
        <w:t>Note: Assumes one 18</w:t>
      </w:r>
      <w:r w:rsidR="00A8443E" w:rsidRPr="00027624">
        <w:noBreakHyphen/>
      </w:r>
      <w:r w:rsidRPr="00027624">
        <w:t>week</w:t>
      </w:r>
      <w:r w:rsidRPr="00027624" w:rsidDel="00E35B5E">
        <w:t xml:space="preserve"> </w:t>
      </w:r>
      <w:r w:rsidRPr="00027624">
        <w:t>term of Parental Leave Pay at age 30, paid at the minimum wage, provided her salary for the previous year is below the income test threshold ($150,000, indexed to CPI from 1 July 2021). Minimum wage is indexed to average weekly earnings. All other assumptions are consistent with the standard gender cameo model. Women who access Parental Leave Pay multiple times across their life could have greater changes in annual retirement income if superannuation was paid on the leave. Calculations are based on values deflated using the review</w:t>
      </w:r>
      <w:r w:rsidR="00A8443E" w:rsidRPr="00027624">
        <w:t>’</w:t>
      </w:r>
      <w:r w:rsidRPr="00027624">
        <w:t xml:space="preserve">s mixed deflator. Source: Cameo modelling undertaken for the review. </w:t>
      </w:r>
    </w:p>
    <w:p w14:paraId="5DDE4089" w14:textId="77777777" w:rsidR="00B3792F" w:rsidRPr="00027624" w:rsidRDefault="00B3792F" w:rsidP="00B3792F">
      <w:r w:rsidRPr="00027624">
        <w:t>In 2018</w:t>
      </w:r>
      <w:r w:rsidR="00A8443E" w:rsidRPr="00027624">
        <w:noBreakHyphen/>
      </w:r>
      <w:r w:rsidRPr="00027624">
        <w:t>19, around 178,800 people accessed Government Parental Leave Pay at a cost of $2.2 billion</w:t>
      </w:r>
      <w:sdt>
        <w:sdtPr>
          <w:id w:val="-907458425"/>
          <w:citation/>
        </w:sdtPr>
        <w:sdtEndPr/>
        <w:sdtContent>
          <w:r w:rsidR="00427AAD">
            <w:fldChar w:fldCharType="begin"/>
          </w:r>
          <w:r w:rsidR="00427AAD">
            <w:instrText xml:space="preserve"> CITATION DSS109 \l 3081 </w:instrText>
          </w:r>
          <w:r w:rsidR="00427AAD">
            <w:fldChar w:fldCharType="separate"/>
          </w:r>
          <w:r w:rsidR="00E83F6E">
            <w:rPr>
              <w:noProof/>
            </w:rPr>
            <w:t xml:space="preserve"> (Department of Social Services, 2019)</w:t>
          </w:r>
          <w:r w:rsidR="00427AAD">
            <w:fldChar w:fldCharType="end"/>
          </w:r>
        </w:sdtContent>
      </w:sdt>
      <w:r w:rsidRPr="00027624">
        <w:t>. If superannuation was paid on these payments, it would cost the Government around $200 million a year, increasing as the SG rate rises.</w:t>
      </w:r>
      <w:r w:rsidRPr="00027624">
        <w:rPr>
          <w:rStyle w:val="FootnoteReference"/>
        </w:rPr>
        <w:footnoteReference w:id="158"/>
      </w:r>
    </w:p>
    <w:p w14:paraId="325EAB6D" w14:textId="77777777" w:rsidR="00B3792F" w:rsidRPr="00027624" w:rsidRDefault="00B3792F" w:rsidP="00B3792F">
      <w:pPr>
        <w:pStyle w:val="Heading4"/>
      </w:pPr>
      <w:bookmarkStart w:id="1552" w:name="_Toc40366122"/>
      <w:bookmarkStart w:id="1553" w:name="_Toc40369668"/>
      <w:bookmarkStart w:id="1554" w:name="_Toc40427638"/>
      <w:bookmarkStart w:id="1555" w:name="_Toc40458077"/>
      <w:bookmarkStart w:id="1556" w:name="_Toc40461846"/>
      <w:bookmarkStart w:id="1557" w:name="_Toc40474401"/>
      <w:bookmarkStart w:id="1558" w:name="_Toc40477930"/>
      <w:bookmarkStart w:id="1559" w:name="_Toc40521510"/>
      <w:bookmarkStart w:id="1560" w:name="_Toc40530369"/>
      <w:bookmarkStart w:id="1561" w:name="_Toc42778797"/>
      <w:bookmarkStart w:id="1562" w:name="_Toc42779937"/>
      <w:bookmarkStart w:id="1563" w:name="_Toc42780366"/>
      <w:bookmarkStart w:id="1564" w:name="_Toc42786356"/>
      <w:bookmarkStart w:id="1565" w:name="_Toc42791849"/>
      <w:bookmarkStart w:id="1566" w:name="_Toc42792011"/>
      <w:bookmarkStart w:id="1567" w:name="_Toc43117818"/>
      <w:bookmarkStart w:id="1568" w:name="_Toc43121457"/>
      <w:bookmarkStart w:id="1569" w:name="_Toc43122662"/>
      <w:bookmarkStart w:id="1570" w:name="_Toc43127717"/>
      <w:r w:rsidRPr="00027624">
        <w:t>Carers and the retirement income system</w:t>
      </w:r>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p>
    <w:p w14:paraId="74E33E66" w14:textId="77777777" w:rsidR="00B3792F" w:rsidRPr="00027624" w:rsidRDefault="00B3792F" w:rsidP="00B3792F">
      <w:r w:rsidRPr="00027624">
        <w:t>Women are more likely to be primary carers than men, making up:</w:t>
      </w:r>
    </w:p>
    <w:p w14:paraId="4CDDCC09" w14:textId="77777777" w:rsidR="00B3792F" w:rsidRPr="00027624" w:rsidRDefault="00B3792F" w:rsidP="00DA5C05">
      <w:pPr>
        <w:pStyle w:val="Bullet"/>
        <w:numPr>
          <w:ilvl w:val="0"/>
          <w:numId w:val="44"/>
        </w:numPr>
        <w:ind w:left="284" w:hanging="284"/>
      </w:pPr>
      <w:r w:rsidRPr="00027624">
        <w:t>92 per cent of primary carers of children with disability</w:t>
      </w:r>
    </w:p>
    <w:p w14:paraId="73E94E35" w14:textId="77777777" w:rsidR="00B3792F" w:rsidRPr="00027624" w:rsidRDefault="00B3792F" w:rsidP="00DA5C05">
      <w:pPr>
        <w:pStyle w:val="Bullet"/>
        <w:numPr>
          <w:ilvl w:val="0"/>
          <w:numId w:val="44"/>
        </w:numPr>
        <w:ind w:left="284" w:hanging="284"/>
      </w:pPr>
      <w:r w:rsidRPr="00027624">
        <w:t>70 per cent of primary carers of parents</w:t>
      </w:r>
    </w:p>
    <w:p w14:paraId="586A3865" w14:textId="77777777" w:rsidR="00B3792F" w:rsidRPr="00027624" w:rsidRDefault="00B3792F" w:rsidP="00DA5C05">
      <w:pPr>
        <w:pStyle w:val="Bullet"/>
        <w:numPr>
          <w:ilvl w:val="0"/>
          <w:numId w:val="44"/>
        </w:numPr>
        <w:ind w:left="284" w:hanging="284"/>
      </w:pPr>
      <w:r w:rsidRPr="00027624">
        <w:t xml:space="preserve">52 per cent of primary carers of partners </w:t>
      </w:r>
      <w:sdt>
        <w:sdtPr>
          <w:id w:val="-1303002652"/>
          <w:citation/>
        </w:sdtPr>
        <w:sdtEndPr/>
        <w:sdtContent>
          <w:r w:rsidRPr="00027624">
            <w:fldChar w:fldCharType="begin"/>
          </w:r>
          <w:r w:rsidRPr="00027624">
            <w:instrText xml:space="preserve"> CITATION Aus13 \l 3081 </w:instrText>
          </w:r>
          <w:r w:rsidRPr="00027624">
            <w:fldChar w:fldCharType="separate"/>
          </w:r>
          <w:r w:rsidR="00E83F6E">
            <w:t>(Australian Human Rights Commission, 2013)</w:t>
          </w:r>
          <w:r w:rsidRPr="00027624">
            <w:fldChar w:fldCharType="end"/>
          </w:r>
        </w:sdtContent>
      </w:sdt>
    </w:p>
    <w:p w14:paraId="7E025F51" w14:textId="77777777" w:rsidR="00B3792F" w:rsidRPr="00027624" w:rsidRDefault="00B3792F" w:rsidP="00C11E0A">
      <w:r w:rsidRPr="00027624">
        <w:t>One submission noted that carers have lower earnings and lower superannuation balances than non</w:t>
      </w:r>
      <w:r w:rsidR="00A8443E" w:rsidRPr="00027624">
        <w:noBreakHyphen/>
      </w:r>
      <w:r w:rsidRPr="00027624">
        <w:t xml:space="preserve">carers </w:t>
      </w:r>
      <w:sdt>
        <w:sdtPr>
          <w:id w:val="-1306158734"/>
          <w:citation/>
        </w:sdtPr>
        <w:sdtEndPr/>
        <w:sdtContent>
          <w:r w:rsidRPr="00027624">
            <w:fldChar w:fldCharType="begin"/>
          </w:r>
          <w:r w:rsidRPr="00027624">
            <w:instrText xml:space="preserve"> CITATION Car20 \l 3081 </w:instrText>
          </w:r>
          <w:r w:rsidRPr="00027624">
            <w:fldChar w:fldCharType="separate"/>
          </w:r>
          <w:r w:rsidR="00E83F6E">
            <w:rPr>
              <w:noProof/>
            </w:rPr>
            <w:t>(Carers NSW, 2020)</w:t>
          </w:r>
          <w:r w:rsidRPr="00027624">
            <w:fldChar w:fldCharType="end"/>
          </w:r>
        </w:sdtContent>
      </w:sdt>
      <w:r w:rsidRPr="00027624">
        <w:t xml:space="preserve">. The lifetime earnings of a woman caring for a child with disability are estimated as 25 to 50 per cent lower than a woman with no caring role </w:t>
      </w:r>
      <w:sdt>
        <w:sdtPr>
          <w:id w:val="296265449"/>
          <w:citation/>
        </w:sdtPr>
        <w:sdtEndPr/>
        <w:sdtContent>
          <w:r w:rsidRPr="00027624">
            <w:fldChar w:fldCharType="begin"/>
          </w:r>
          <w:r w:rsidRPr="00027624">
            <w:instrText xml:space="preserve">CITATION Nep09 \l 3081 </w:instrText>
          </w:r>
          <w:r w:rsidRPr="00027624">
            <w:fldChar w:fldCharType="separate"/>
          </w:r>
          <w:r w:rsidR="00E83F6E">
            <w:rPr>
              <w:noProof/>
            </w:rPr>
            <w:t>(Nepal, et al., 2008)</w:t>
          </w:r>
          <w:r w:rsidRPr="00027624">
            <w:fldChar w:fldCharType="end"/>
          </w:r>
        </w:sdtContent>
      </w:sdt>
      <w:r w:rsidRPr="00027624">
        <w:t xml:space="preserve">. Caring for others can also result in involuntary retirement, more so for women </w:t>
      </w:r>
      <w:r w:rsidR="00C11E0A" w:rsidRPr="00027624">
        <w:t xml:space="preserve">(see </w:t>
      </w:r>
      <w:r w:rsidR="00C11E0A" w:rsidRPr="00027624">
        <w:rPr>
          <w:i/>
        </w:rPr>
        <w:t>3E. Age of retirement</w:t>
      </w:r>
      <w:r w:rsidR="00C11E0A" w:rsidRPr="00027624">
        <w:t>).</w:t>
      </w:r>
    </w:p>
    <w:p w14:paraId="3C0FA475" w14:textId="77777777" w:rsidR="00B3792F" w:rsidRPr="00027624" w:rsidRDefault="00B3792F" w:rsidP="00B3792F">
      <w:r w:rsidRPr="00027624">
        <w:t xml:space="preserve">Some stakeholders suggested the superannuation system should explicitly recognise unpaid caring work. One submission noted that the superannuation system </w:t>
      </w:r>
      <w:r w:rsidR="00A8443E" w:rsidRPr="00027624">
        <w:rPr>
          <w:i/>
          <w:iCs/>
          <w:color w:val="404040" w:themeColor="text1" w:themeTint="BF"/>
        </w:rPr>
        <w:t>‘</w:t>
      </w:r>
      <w:r w:rsidRPr="00027624">
        <w:rPr>
          <w:i/>
          <w:iCs/>
          <w:color w:val="404040" w:themeColor="text1" w:themeTint="BF"/>
        </w:rPr>
        <w:t>…neglects the fundamental productive importance of unpaid care work</w:t>
      </w:r>
      <w:r w:rsidR="00A8443E" w:rsidRPr="00027624">
        <w:rPr>
          <w:i/>
          <w:iCs/>
          <w:color w:val="404040" w:themeColor="text1" w:themeTint="BF"/>
        </w:rPr>
        <w:t>’</w:t>
      </w:r>
      <w:r w:rsidRPr="00027624">
        <w:t xml:space="preserve"> and this threatens the sustainability of the system as it </w:t>
      </w:r>
      <w:r w:rsidR="00A8443E" w:rsidRPr="00027624">
        <w:rPr>
          <w:i/>
          <w:iCs/>
          <w:color w:val="404040" w:themeColor="text1" w:themeTint="BF"/>
        </w:rPr>
        <w:t>‘</w:t>
      </w:r>
      <w:r w:rsidRPr="00027624">
        <w:rPr>
          <w:i/>
          <w:iCs/>
          <w:color w:val="404040" w:themeColor="text1" w:themeTint="BF"/>
        </w:rPr>
        <w:t xml:space="preserve">…may cause some key care roles to not be performed at all, as is the case when people decide that they cannot afford to have children due to the risks this poses to their retirement </w:t>
      </w:r>
      <w:r w:rsidRPr="00027624">
        <w:rPr>
          <w:i/>
          <w:color w:val="404040" w:themeColor="text1" w:themeTint="BF"/>
        </w:rPr>
        <w:t>savings</w:t>
      </w:r>
      <w:r w:rsidR="00A8443E" w:rsidRPr="00027624">
        <w:rPr>
          <w:i/>
          <w:color w:val="404040" w:themeColor="text1" w:themeTint="BF"/>
        </w:rPr>
        <w:t>’</w:t>
      </w:r>
      <w:r w:rsidRPr="00027624">
        <w:rPr>
          <w:i/>
          <w:color w:val="404040" w:themeColor="text1" w:themeTint="BF"/>
        </w:rPr>
        <w:t xml:space="preserve"> </w:t>
      </w:r>
      <w:sdt>
        <w:sdtPr>
          <w:id w:val="-1677717853"/>
          <w:citation/>
        </w:sdtPr>
        <w:sdtEndPr/>
        <w:sdtContent>
          <w:r w:rsidRPr="00027624">
            <w:fldChar w:fldCharType="begin"/>
          </w:r>
          <w:r w:rsidRPr="00027624">
            <w:instrText xml:space="preserve">CITATION WiS20 \p 3 \l 3081 </w:instrText>
          </w:r>
          <w:r w:rsidRPr="00027624">
            <w:fldChar w:fldCharType="separate"/>
          </w:r>
          <w:r w:rsidR="00E83F6E">
            <w:rPr>
              <w:noProof/>
            </w:rPr>
            <w:t>(Women in Social and Economic Research, 2020, p. 3)</w:t>
          </w:r>
          <w:r w:rsidRPr="00027624">
            <w:fldChar w:fldCharType="end"/>
          </w:r>
        </w:sdtContent>
      </w:sdt>
      <w:r w:rsidRPr="00027624">
        <w:t>.</w:t>
      </w:r>
    </w:p>
    <w:p w14:paraId="3F24E410" w14:textId="77777777" w:rsidR="00B3792F" w:rsidRPr="00027624" w:rsidRDefault="00B3792F" w:rsidP="00B3792F">
      <w:r w:rsidRPr="00027624">
        <w:t xml:space="preserve">A number of countries, including the UK, Sweden, Finland and Germany, recognise unpaid caring work in their pension systems through </w:t>
      </w:r>
      <w:r w:rsidR="00A8443E" w:rsidRPr="00027624">
        <w:t>‘</w:t>
      </w:r>
      <w:r w:rsidRPr="00027624">
        <w:t>carer credits</w:t>
      </w:r>
      <w:r w:rsidR="00A8443E" w:rsidRPr="00027624">
        <w:t>’</w:t>
      </w:r>
      <w:r w:rsidRPr="00027624">
        <w:t xml:space="preserve">. Carer credits are used to factor in the time </w:t>
      </w:r>
      <w:r w:rsidRPr="00027624">
        <w:lastRenderedPageBreak/>
        <w:t>taken out of the workforce to care for others when determining a person</w:t>
      </w:r>
      <w:r w:rsidR="00A8443E" w:rsidRPr="00027624">
        <w:t>’</w:t>
      </w:r>
      <w:r w:rsidRPr="00027624">
        <w:t>s retirement income benefit.</w:t>
      </w:r>
    </w:p>
    <w:p w14:paraId="054DFF33" w14:textId="77777777" w:rsidR="00B3792F" w:rsidRPr="00027624" w:rsidRDefault="00B3792F" w:rsidP="00B3792F">
      <w:r w:rsidRPr="00027624">
        <w:t>However, these international retirement income systems operate differently to Australia</w:t>
      </w:r>
      <w:r w:rsidR="00A8443E" w:rsidRPr="00027624">
        <w:t>’</w:t>
      </w:r>
      <w:r w:rsidRPr="00027624">
        <w:t>s. For example, many public pension rates in schemes overseas depend on a person</w:t>
      </w:r>
      <w:r w:rsidR="00A8443E" w:rsidRPr="00027624">
        <w:t>’</w:t>
      </w:r>
      <w:r w:rsidRPr="00027624">
        <w:t>s time in the workforce, and carer credits are used in these calculations. As the Age Pension is non</w:t>
      </w:r>
      <w:r w:rsidR="00A8443E" w:rsidRPr="00027624">
        <w:noBreakHyphen/>
      </w:r>
      <w:r w:rsidRPr="00027624">
        <w:t>contributory and does not depend on workforce participation, a carer credit system would need to be adapted to work in the Australian context. A carer credit paid through superannuation would likely interact with the Age Pension, and its effect would be moderated by the means test.</w:t>
      </w:r>
    </w:p>
    <w:p w14:paraId="1C4402A6" w14:textId="77777777" w:rsidR="00B3792F" w:rsidRPr="00027624" w:rsidRDefault="00B3792F" w:rsidP="00B3792F">
      <w:pPr>
        <w:pStyle w:val="Heading3"/>
      </w:pPr>
      <w:bookmarkStart w:id="1571" w:name="_Toc40366123"/>
      <w:bookmarkStart w:id="1572" w:name="_Toc40369669"/>
      <w:bookmarkStart w:id="1573" w:name="_Toc40427639"/>
      <w:bookmarkStart w:id="1574" w:name="_Toc40458078"/>
      <w:bookmarkStart w:id="1575" w:name="_Toc40461847"/>
      <w:bookmarkStart w:id="1576" w:name="_Toc40474402"/>
      <w:bookmarkStart w:id="1577" w:name="_Toc40477931"/>
      <w:bookmarkStart w:id="1578" w:name="_Toc40521511"/>
      <w:bookmarkStart w:id="1579" w:name="_Toc40530370"/>
      <w:bookmarkStart w:id="1580" w:name="_Toc42778798"/>
      <w:bookmarkStart w:id="1581" w:name="_Toc42779938"/>
      <w:bookmarkStart w:id="1582" w:name="_Toc42780367"/>
      <w:bookmarkStart w:id="1583" w:name="_Toc42786357"/>
      <w:bookmarkStart w:id="1584" w:name="_Toc42791850"/>
      <w:bookmarkStart w:id="1585" w:name="_Toc42792012"/>
      <w:bookmarkStart w:id="1586" w:name="_Toc43117819"/>
      <w:bookmarkStart w:id="1587" w:name="_Toc43121458"/>
      <w:bookmarkStart w:id="1588" w:name="_Toc43122663"/>
      <w:bookmarkStart w:id="1589" w:name="_Toc43127718"/>
      <w:bookmarkStart w:id="1590" w:name="_Ref44613041"/>
      <w:bookmarkStart w:id="1591" w:name="_Ref45114967"/>
      <w:r w:rsidRPr="00027624">
        <w:t>Voluntary superannuation contributions</w:t>
      </w:r>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p>
    <w:p w14:paraId="782659D7" w14:textId="4B419656" w:rsidR="00B3792F" w:rsidRPr="00027624" w:rsidRDefault="00B3792F" w:rsidP="00B3792F">
      <w:r w:rsidRPr="00027624">
        <w:t xml:space="preserve">At most ages, </w:t>
      </w:r>
      <w:r w:rsidRPr="00027624">
        <w:rPr>
          <w:b/>
        </w:rPr>
        <w:t>women are more likely to make voluntary contributions to their superannuation than men</w:t>
      </w:r>
      <w:r w:rsidRPr="00027624">
        <w:t xml:space="preserve"> (</w:t>
      </w:r>
      <w:r w:rsidRPr="00027624">
        <w:fldChar w:fldCharType="begin"/>
      </w:r>
      <w:r w:rsidRPr="00027624">
        <w:instrText xml:space="preserve"> REF _Ref45123086 \n \h </w:instrText>
      </w:r>
      <w:r w:rsidR="00FA7639" w:rsidRPr="00027624">
        <w:instrText xml:space="preserve"> \* MERGEFORMAT </w:instrText>
      </w:r>
      <w:r w:rsidRPr="00027624">
        <w:fldChar w:fldCharType="separate"/>
      </w:r>
      <w:r w:rsidR="00891058">
        <w:t>Chart 3B-11</w:t>
      </w:r>
      <w:r w:rsidRPr="00027624">
        <w:fldChar w:fldCharType="end"/>
      </w:r>
      <w:r w:rsidRPr="00027624">
        <w:t>). On average, from age 50, women make larger voluntary contributions than men (</w:t>
      </w:r>
      <w:r w:rsidRPr="00027624">
        <w:fldChar w:fldCharType="begin"/>
      </w:r>
      <w:r w:rsidRPr="00027624">
        <w:instrText xml:space="preserve"> REF _Ref45123092 \n \h </w:instrText>
      </w:r>
      <w:r w:rsidR="00FA7639" w:rsidRPr="00027624">
        <w:instrText xml:space="preserve"> \* MERGEFORMAT </w:instrText>
      </w:r>
      <w:r w:rsidRPr="00027624">
        <w:fldChar w:fldCharType="separate"/>
      </w:r>
      <w:r w:rsidR="00891058">
        <w:t>Chart 3B-12</w:t>
      </w:r>
      <w:r w:rsidRPr="00027624">
        <w:fldChar w:fldCharType="end"/>
      </w:r>
      <w:r w:rsidRPr="00027624">
        <w:t>). This makes voluntary contributions a particularly important part of the retirement income system for women.</w:t>
      </w:r>
    </w:p>
    <w:tbl>
      <w:tblPr>
        <w:tblW w:w="5000" w:type="pct"/>
        <w:tblLook w:val="01E0" w:firstRow="1" w:lastRow="1" w:firstColumn="1" w:lastColumn="1" w:noHBand="0" w:noVBand="0"/>
      </w:tblPr>
      <w:tblGrid>
        <w:gridCol w:w="4535"/>
        <w:gridCol w:w="4535"/>
      </w:tblGrid>
      <w:tr w:rsidR="00B3792F" w:rsidRPr="00027624" w14:paraId="2A8A5119" w14:textId="77777777" w:rsidTr="00B3792F">
        <w:trPr>
          <w:tblHeader/>
        </w:trPr>
        <w:tc>
          <w:tcPr>
            <w:tcW w:w="2500" w:type="pct"/>
            <w:shd w:val="clear" w:color="auto" w:fill="auto"/>
          </w:tcPr>
          <w:p w14:paraId="72518E81" w14:textId="77777777" w:rsidR="00B3792F" w:rsidRPr="00027624" w:rsidRDefault="00B3792F" w:rsidP="00582C3E">
            <w:pPr>
              <w:pStyle w:val="ChartMainHeading"/>
            </w:pPr>
            <w:bookmarkStart w:id="1592" w:name="_Ref45123086"/>
            <w:r w:rsidRPr="00027624">
              <w:t>Proportion making voluntary superannuation contributions, by age and gender</w:t>
            </w:r>
            <w:bookmarkStart w:id="1593" w:name="_Ref37783419"/>
            <w:bookmarkEnd w:id="1592"/>
          </w:p>
        </w:tc>
        <w:tc>
          <w:tcPr>
            <w:tcW w:w="2500" w:type="pct"/>
            <w:shd w:val="clear" w:color="auto" w:fill="auto"/>
          </w:tcPr>
          <w:p w14:paraId="3DD4DF61" w14:textId="77777777" w:rsidR="00B3792F" w:rsidRPr="00027624" w:rsidRDefault="00B3792F" w:rsidP="00582C3E">
            <w:pPr>
              <w:pStyle w:val="ChartMainHeading"/>
            </w:pPr>
            <w:bookmarkStart w:id="1594" w:name="_Ref45123092"/>
            <w:bookmarkStart w:id="1595" w:name="_Ref37074200"/>
            <w:bookmarkEnd w:id="1593"/>
            <w:r w:rsidRPr="00027624">
              <w:t>Average voluntary superannuation contribution, by age and gender</w:t>
            </w:r>
            <w:bookmarkEnd w:id="1594"/>
            <w:bookmarkEnd w:id="1595"/>
          </w:p>
        </w:tc>
      </w:tr>
    </w:tbl>
    <w:p w14:paraId="17560327" w14:textId="77777777" w:rsidR="00B3792F" w:rsidRPr="00027624" w:rsidRDefault="000416ED" w:rsidP="00B3792F">
      <w:pPr>
        <w:pStyle w:val="ChartGraphic"/>
      </w:pPr>
      <w:r>
        <w:rPr>
          <w:noProof/>
        </w:rPr>
        <w:drawing>
          <wp:inline distT="0" distB="0" distL="0" distR="0" wp14:anchorId="1B174D8A" wp14:editId="68065895">
            <wp:extent cx="2872740" cy="2880360"/>
            <wp:effectExtent l="0" t="0" r="3810" b="0"/>
            <wp:docPr id="130" name="Picture 130" descr="This chart shows that the proportion of people making voluntary superannuation contributions increases with age, peaking at 60-64 (over 20 per cent for women and men). At all ages up to and including ages 60-64, women are more likely to make contributions than men. From age 65, the proportion of people making voluntary contributions declines, and men are more likely to make contributions than women. " title="Chart 3B-11 Proportion making voluntary superannuation contributions,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r>
        <w:rPr>
          <w:noProof/>
        </w:rPr>
        <w:drawing>
          <wp:inline distT="0" distB="0" distL="0" distR="0" wp14:anchorId="568147D6" wp14:editId="38ADB250">
            <wp:extent cx="2872740" cy="2880360"/>
            <wp:effectExtent l="0" t="0" r="3810" b="0"/>
            <wp:docPr id="137" name="Picture 137" descr="This chart shows that the average voluntary superannuation contribution increases with age, steeply rising from age 55. Average voluntary contributions peak at age 65-69, at over $40,000 for women and just under $40,000 for men. At younger ages (below 50), men make larger contributions than women. At older ages (50 and above) women make larger contributions than men. " title="Chart 3B-12 Average voluntary superannuation contribution,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59C3A531" w14:textId="344C686D" w:rsidR="00B3792F" w:rsidRPr="00027624" w:rsidRDefault="00B3792F" w:rsidP="00B3792F">
      <w:pPr>
        <w:pStyle w:val="ChartorTableNote"/>
      </w:pPr>
      <w:r w:rsidRPr="00027624">
        <w:t xml:space="preserve">Note: </w:t>
      </w:r>
      <w:r w:rsidRPr="00027624">
        <w:fldChar w:fldCharType="begin"/>
      </w:r>
      <w:r w:rsidRPr="00027624">
        <w:instrText xml:space="preserve"> REF _Ref37074200 \r \h </w:instrText>
      </w:r>
      <w:r w:rsidR="00FA7639" w:rsidRPr="00027624">
        <w:instrText xml:space="preserve"> \* MERGEFORMAT </w:instrText>
      </w:r>
      <w:r w:rsidRPr="00027624">
        <w:fldChar w:fldCharType="separate"/>
      </w:r>
      <w:r w:rsidR="00891058">
        <w:t>Chart 3B-12</w:t>
      </w:r>
      <w:r w:rsidRPr="00027624">
        <w:fldChar w:fldCharType="end"/>
      </w:r>
      <w:r w:rsidRPr="00027624">
        <w:t xml:space="preserve"> shows the average total voluntary contribution amounts for those who made contributions to a superannuation account in 2017</w:t>
      </w:r>
      <w:r w:rsidR="00A8443E" w:rsidRPr="00027624">
        <w:noBreakHyphen/>
      </w:r>
      <w:r w:rsidRPr="00027624">
        <w:t xml:space="preserve">18. </w:t>
      </w:r>
      <w:r w:rsidR="00A8443E" w:rsidRPr="00027624">
        <w:t>‘</w:t>
      </w:r>
      <w:r w:rsidRPr="00027624">
        <w:t>Voluntary contributions</w:t>
      </w:r>
      <w:r w:rsidR="00A8443E" w:rsidRPr="00027624">
        <w:t>’</w:t>
      </w:r>
      <w:r w:rsidRPr="00027624">
        <w:t xml:space="preserve"> in these charts does not include salary sacrifice. Source: Analysis of ATO individual income tax returns and member contributions statements, 2017</w:t>
      </w:r>
      <w:r w:rsidR="00A8443E" w:rsidRPr="00027624">
        <w:noBreakHyphen/>
      </w:r>
      <w:r w:rsidRPr="00027624">
        <w:t>18.</w:t>
      </w:r>
    </w:p>
    <w:p w14:paraId="41A52137" w14:textId="5B7729D9" w:rsidR="00B3792F" w:rsidRPr="00027624" w:rsidRDefault="00B3792F" w:rsidP="00B3792F">
      <w:r w:rsidRPr="00027624">
        <w:t>Voluntary contributions play a role in narrowing the gender gap in superannuation balances at ages 55</w:t>
      </w:r>
      <w:r w:rsidR="00A8443E" w:rsidRPr="00027624">
        <w:noBreakHyphen/>
      </w:r>
      <w:r w:rsidRPr="00027624">
        <w:t>64 (</w:t>
      </w:r>
      <w:r w:rsidRPr="00027624">
        <w:fldChar w:fldCharType="begin"/>
      </w:r>
      <w:r w:rsidRPr="00027624">
        <w:instrText xml:space="preserve"> REF _Ref36033767 \r \h  \* MERGEFORMAT </w:instrText>
      </w:r>
      <w:r w:rsidRPr="00027624">
        <w:fldChar w:fldCharType="separate"/>
      </w:r>
      <w:r w:rsidR="00891058">
        <w:t>Chart 3B-5</w:t>
      </w:r>
      <w:r w:rsidRPr="00027624">
        <w:fldChar w:fldCharType="end"/>
      </w:r>
      <w:r w:rsidRPr="00027624">
        <w:t xml:space="preserve">). On average, women at these ages make significantly larger voluntary contributions to their superannuation than men, helping to counteract their lower contributions through the SG. This trend holds regardless of balance size (see </w:t>
      </w:r>
      <w:r w:rsidRPr="00027624">
        <w:rPr>
          <w:i/>
        </w:rPr>
        <w:t>Appendix 6D. Supplementary equity charts</w:t>
      </w:r>
      <w:r w:rsidRPr="00027624">
        <w:t>).</w:t>
      </w:r>
    </w:p>
    <w:p w14:paraId="76F821B4" w14:textId="77777777" w:rsidR="00B3792F" w:rsidRPr="00027624" w:rsidRDefault="00B3792F" w:rsidP="00B3792F">
      <w:r w:rsidRPr="00027624">
        <w:t>Women and men make voluntary contributions through different methods. Women are more likely to make after</w:t>
      </w:r>
      <w:r w:rsidR="00A8443E" w:rsidRPr="00027624">
        <w:noBreakHyphen/>
      </w:r>
      <w:r w:rsidRPr="00027624">
        <w:t>tax contributions. Men are more likely to salary sacrifice or make tax</w:t>
      </w:r>
      <w:r w:rsidR="00A8443E" w:rsidRPr="00027624">
        <w:noBreakHyphen/>
      </w:r>
      <w:r w:rsidRPr="00027624">
        <w:t xml:space="preserve">deductible personal contributions (see </w:t>
      </w:r>
      <w:r w:rsidRPr="00027624">
        <w:rPr>
          <w:i/>
        </w:rPr>
        <w:t xml:space="preserve">Appendix 6D. Supplementary </w:t>
      </w:r>
      <w:r w:rsidR="00571817" w:rsidRPr="00027624">
        <w:rPr>
          <w:i/>
        </w:rPr>
        <w:t xml:space="preserve">equity </w:t>
      </w:r>
      <w:r w:rsidRPr="00027624">
        <w:rPr>
          <w:i/>
        </w:rPr>
        <w:t>charts</w:t>
      </w:r>
      <w:r w:rsidRPr="00027624">
        <w:t xml:space="preserve"> for additional charts breaking down contributions by balance decile and contribution type). This difference may mean that, compared to men, women are missing out on the tax concessions offered to particular types of contributions. Given men are also more likely to be employed, they may have greater access to salary </w:t>
      </w:r>
      <w:r w:rsidRPr="00027624">
        <w:lastRenderedPageBreak/>
        <w:t xml:space="preserve">sacrifice arrangements. Historical superannuation rules may have also prevented women from making deductible personal superannuation contributions (see </w:t>
      </w:r>
      <w:r w:rsidRPr="00027624">
        <w:rPr>
          <w:i/>
        </w:rPr>
        <w:t>1B. Design of Australia</w:t>
      </w:r>
      <w:r w:rsidR="00A8443E" w:rsidRPr="00027624">
        <w:rPr>
          <w:i/>
        </w:rPr>
        <w:t>’</w:t>
      </w:r>
      <w:r w:rsidRPr="00027624">
        <w:rPr>
          <w:i/>
        </w:rPr>
        <w:t>s retirement income system</w:t>
      </w:r>
      <w:r w:rsidRPr="00027624">
        <w:t>).</w:t>
      </w:r>
    </w:p>
    <w:p w14:paraId="2831F7B8" w14:textId="77777777" w:rsidR="00B3792F" w:rsidRPr="00027624" w:rsidRDefault="00B3792F" w:rsidP="00B3792F">
      <w:r w:rsidRPr="00027624">
        <w:t>In the lead</w:t>
      </w:r>
      <w:r w:rsidR="00A8443E" w:rsidRPr="00027624">
        <w:noBreakHyphen/>
      </w:r>
      <w:r w:rsidRPr="00027624">
        <w:t>up to retirement, those partnered with a person with a relatively high superannuation balance (i.e. in balance deciles 6 to 10) are more likely to make voluntary contributions, and make higher value voluntary contributions, than single people or those partnered with a person with a relatively low superannuation balance (i.e. in balance deciles 1 to 5). This is particularly true for lower</w:t>
      </w:r>
      <w:r w:rsidR="00A8443E" w:rsidRPr="00027624">
        <w:noBreakHyphen/>
      </w:r>
      <w:r w:rsidRPr="00027624">
        <w:t xml:space="preserve">balance women who are partnered with a person with a high superannuation balance. At all superannuation balance deciles, single women are more likely to make voluntary superannuation contributions than single men (see </w:t>
      </w:r>
      <w:r w:rsidRPr="00027624">
        <w:rPr>
          <w:i/>
        </w:rPr>
        <w:t xml:space="preserve">Appendix 6D. Supplementary </w:t>
      </w:r>
      <w:r w:rsidR="00571817" w:rsidRPr="00027624">
        <w:rPr>
          <w:i/>
        </w:rPr>
        <w:t xml:space="preserve">equity </w:t>
      </w:r>
      <w:r w:rsidRPr="00027624">
        <w:rPr>
          <w:i/>
        </w:rPr>
        <w:t>charts</w:t>
      </w:r>
      <w:r w:rsidRPr="00027624">
        <w:t xml:space="preserve"> for additional charts breaking down contributions by partnered status, partner</w:t>
      </w:r>
      <w:r w:rsidR="00A8443E" w:rsidRPr="00027624">
        <w:t>’</w:t>
      </w:r>
      <w:r w:rsidRPr="00027624">
        <w:t>s superannuation and gender).</w:t>
      </w:r>
    </w:p>
    <w:p w14:paraId="1FF9151A" w14:textId="77777777" w:rsidR="00B3792F" w:rsidRPr="00027624" w:rsidRDefault="00B3792F" w:rsidP="00B3792F">
      <w:r w:rsidRPr="00027624">
        <w:t>Women</w:t>
      </w:r>
      <w:r w:rsidRPr="00027624" w:rsidDel="00694765">
        <w:t xml:space="preserve"> </w:t>
      </w:r>
      <w:r w:rsidRPr="00027624">
        <w:t>benefit more than men from the Government co</w:t>
      </w:r>
      <w:r w:rsidR="00A8443E" w:rsidRPr="00027624">
        <w:noBreakHyphen/>
      </w:r>
      <w:r w:rsidRPr="00027624">
        <w:t>contribution for lower</w:t>
      </w:r>
      <w:r w:rsidR="00A8443E" w:rsidRPr="00027624">
        <w:noBreakHyphen/>
      </w:r>
      <w:r w:rsidRPr="00027624">
        <w:t xml:space="preserve"> and middle</w:t>
      </w:r>
      <w:r w:rsidR="00A8443E" w:rsidRPr="00027624">
        <w:noBreakHyphen/>
      </w:r>
      <w:r w:rsidRPr="00027624">
        <w:t>income earners who voluntarily contribute to their superannuation. In 2018</w:t>
      </w:r>
      <w:r w:rsidR="00A8443E" w:rsidRPr="00027624">
        <w:noBreakHyphen/>
      </w:r>
      <w:r w:rsidRPr="00027624">
        <w:t>19, around 244,700 women received co</w:t>
      </w:r>
      <w:r w:rsidR="00A8443E" w:rsidRPr="00027624">
        <w:noBreakHyphen/>
      </w:r>
      <w:r w:rsidRPr="00027624">
        <w:t>contributions, compared to around 131,700 men.</w:t>
      </w:r>
      <w:r w:rsidRPr="00027624">
        <w:rPr>
          <w:sz w:val="20"/>
          <w:vertAlign w:val="superscript"/>
        </w:rPr>
        <w:footnoteReference w:id="159"/>
      </w:r>
    </w:p>
    <w:p w14:paraId="31AB5652" w14:textId="77777777" w:rsidR="00B3792F" w:rsidRPr="00027624" w:rsidRDefault="00B3792F" w:rsidP="00B3792F">
      <w:pPr>
        <w:pStyle w:val="Heading3"/>
      </w:pPr>
      <w:bookmarkStart w:id="1596" w:name="_Toc40366124"/>
      <w:bookmarkStart w:id="1597" w:name="_Toc40369670"/>
      <w:bookmarkStart w:id="1598" w:name="_Toc40427640"/>
      <w:bookmarkStart w:id="1599" w:name="_Toc40458079"/>
      <w:bookmarkStart w:id="1600" w:name="_Toc40461848"/>
      <w:bookmarkStart w:id="1601" w:name="_Toc40474403"/>
      <w:bookmarkStart w:id="1602" w:name="_Toc40477932"/>
      <w:bookmarkStart w:id="1603" w:name="_Toc40521512"/>
      <w:bookmarkStart w:id="1604" w:name="_Toc40530371"/>
      <w:bookmarkStart w:id="1605" w:name="_Toc42778799"/>
      <w:bookmarkStart w:id="1606" w:name="_Toc42779939"/>
      <w:bookmarkStart w:id="1607" w:name="_Toc42780368"/>
      <w:bookmarkStart w:id="1608" w:name="_Toc42786358"/>
      <w:bookmarkStart w:id="1609" w:name="_Toc42791851"/>
      <w:bookmarkStart w:id="1610" w:name="_Toc42792013"/>
      <w:bookmarkStart w:id="1611" w:name="_Toc43117820"/>
      <w:bookmarkStart w:id="1612" w:name="_Toc43121459"/>
      <w:bookmarkStart w:id="1613" w:name="_Toc43122664"/>
      <w:bookmarkStart w:id="1614" w:name="_Toc43127719"/>
      <w:r w:rsidRPr="00027624">
        <w:t>Superannuation tax concessions</w:t>
      </w:r>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p>
    <w:p w14:paraId="151B5365" w14:textId="19E252B5" w:rsidR="00B3792F" w:rsidRPr="00027624" w:rsidRDefault="00B3792F" w:rsidP="00B3792F">
      <w:r w:rsidRPr="00027624">
        <w:t>The generally flat tax rate on superannuation concessions and earnings benefits higher</w:t>
      </w:r>
      <w:r w:rsidR="00A8443E" w:rsidRPr="00027624">
        <w:noBreakHyphen/>
      </w:r>
      <w:r w:rsidRPr="00027624">
        <w:t>income earners the most. Given men</w:t>
      </w:r>
      <w:r w:rsidR="00A8443E" w:rsidRPr="00027624">
        <w:t>’</w:t>
      </w:r>
      <w:r w:rsidRPr="00027624">
        <w:t>s earnings are, on average, greater than women</w:t>
      </w:r>
      <w:r w:rsidR="00A8443E" w:rsidRPr="00027624">
        <w:t>’</w:t>
      </w:r>
      <w:r w:rsidRPr="00027624">
        <w:t>s, men are expected to receive more superannuation tax concessions across their lives than women (</w:t>
      </w:r>
      <w:r w:rsidRPr="00027624">
        <w:fldChar w:fldCharType="begin"/>
      </w:r>
      <w:r w:rsidRPr="00027624">
        <w:instrText xml:space="preserve"> REF _Ref36033900 \r \h  \* MERGEFORMAT </w:instrText>
      </w:r>
      <w:r w:rsidRPr="00027624">
        <w:fldChar w:fldCharType="separate"/>
      </w:r>
      <w:r w:rsidR="00891058">
        <w:t>Chart 3B-13</w:t>
      </w:r>
      <w:r w:rsidRPr="00027624">
        <w:fldChar w:fldCharType="end"/>
      </w:r>
      <w:r w:rsidRPr="00027624">
        <w:t>).</w:t>
      </w:r>
    </w:p>
    <w:p w14:paraId="545B07BB" w14:textId="77777777" w:rsidR="00B3792F" w:rsidRPr="00027624" w:rsidRDefault="00B3792F" w:rsidP="00582C3E">
      <w:pPr>
        <w:pStyle w:val="ChartMainHeading"/>
      </w:pPr>
      <w:bookmarkStart w:id="1615" w:name="_Ref36033900"/>
      <w:r w:rsidRPr="00027624">
        <w:t>Projected lifetime Government support provided through the retirement income system, by gender and earnings percentile</w:t>
      </w:r>
      <w:bookmarkEnd w:id="1615"/>
    </w:p>
    <w:tbl>
      <w:tblPr>
        <w:tblW w:w="5000" w:type="pct"/>
        <w:tblLook w:val="01E0" w:firstRow="1" w:lastRow="1" w:firstColumn="1" w:lastColumn="1" w:noHBand="0" w:noVBand="0"/>
      </w:tblPr>
      <w:tblGrid>
        <w:gridCol w:w="4535"/>
        <w:gridCol w:w="4535"/>
      </w:tblGrid>
      <w:tr w:rsidR="00B3792F" w:rsidRPr="00027624" w14:paraId="1136F209" w14:textId="77777777" w:rsidTr="00B3792F">
        <w:tc>
          <w:tcPr>
            <w:tcW w:w="2500" w:type="pct"/>
          </w:tcPr>
          <w:p w14:paraId="43447A0F" w14:textId="77777777" w:rsidR="00B3792F" w:rsidRPr="00027624" w:rsidRDefault="00B3792F" w:rsidP="00B3792F">
            <w:pPr>
              <w:pStyle w:val="ChartSecondHeading"/>
            </w:pPr>
            <w:r w:rsidRPr="00027624">
              <w:t>Women</w:t>
            </w:r>
          </w:p>
        </w:tc>
        <w:tc>
          <w:tcPr>
            <w:tcW w:w="2500" w:type="pct"/>
          </w:tcPr>
          <w:p w14:paraId="350B6538" w14:textId="77777777" w:rsidR="00B3792F" w:rsidRPr="00027624" w:rsidRDefault="00B3792F" w:rsidP="00B3792F">
            <w:pPr>
              <w:pStyle w:val="ChartSecondHeading"/>
            </w:pPr>
            <w:r w:rsidRPr="00027624">
              <w:t xml:space="preserve">Men </w:t>
            </w:r>
          </w:p>
        </w:tc>
      </w:tr>
    </w:tbl>
    <w:p w14:paraId="03EFEAD6" w14:textId="77777777" w:rsidR="00B3792F" w:rsidRPr="00027624" w:rsidRDefault="000416ED" w:rsidP="00B3792F">
      <w:pPr>
        <w:pStyle w:val="ChartGraphic"/>
      </w:pPr>
      <w:r>
        <w:rPr>
          <w:noProof/>
        </w:rPr>
        <w:drawing>
          <wp:inline distT="0" distB="0" distL="0" distR="0" wp14:anchorId="7A9E6B2B" wp14:editId="2A825519">
            <wp:extent cx="5577840" cy="2522220"/>
            <wp:effectExtent l="0" t="0" r="3810" b="0"/>
            <wp:docPr id="149" name="Picture 149" descr="This chart shows that the amount of projected lifetime Government support through the retirement income system for women increases slightly between the 10th and 30th female income percentiles, and then decreases slightly until the 80th female income percentile, before rising sharply at the 90th female income percentile.&#10;For men, the amount of projected lifetime Government support is relatively the same for the 10th-60th male income percentiles. Higher income earners receive more income support than lower income earners. &#10;For both men and women, those at lower income percentiles have more of their Government support provided through the Age Pension. Those at higher income percentiles have more of their government support provided through superannuation tax concessions, particularly earnings tax concessions. &#10;" title="Chart 3B-13 Projected lifetime government support provided through the retirement income system, by gender and earnings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610C3A0" w14:textId="77777777" w:rsidR="00B3792F" w:rsidRPr="00027624" w:rsidRDefault="00B3792F" w:rsidP="00B3792F">
      <w:pPr>
        <w:pStyle w:val="ChartorTableNote"/>
      </w:pPr>
      <w:r w:rsidRPr="00027624">
        <w:t>Note: Values are in 2019</w:t>
      </w:r>
      <w:r w:rsidR="00A8443E" w:rsidRPr="00027624">
        <w:noBreakHyphen/>
      </w:r>
      <w:r w:rsidRPr="00027624">
        <w:t>20 dollars, deflated using the review</w:t>
      </w:r>
      <w:r w:rsidR="00A8443E" w:rsidRPr="00027624">
        <w:t>’</w:t>
      </w:r>
      <w:r w:rsidRPr="00027624">
        <w:t>s GDP deflator. Source: Cameo modelling undertaken for the review.</w:t>
      </w:r>
    </w:p>
    <w:p w14:paraId="6C2D8739" w14:textId="77777777" w:rsidR="00B3792F" w:rsidRPr="00027624" w:rsidRDefault="00B3792F" w:rsidP="00B3792F">
      <w:r w:rsidRPr="00027624">
        <w:t>In 2019, women were estimated to receive around 40 per cent of all superannuation tax concessions.</w:t>
      </w:r>
      <w:r w:rsidRPr="00027624">
        <w:rPr>
          <w:rStyle w:val="FootnoteReference"/>
        </w:rPr>
        <w:footnoteReference w:id="160"/>
      </w:r>
      <w:r w:rsidRPr="00027624">
        <w:t xml:space="preserve"> The proportion of tax concessions received by women depends on women</w:t>
      </w:r>
      <w:r w:rsidR="00A8443E" w:rsidRPr="00027624">
        <w:t>’</w:t>
      </w:r>
      <w:r w:rsidRPr="00027624">
        <w:t>s incomes and superannuation balances. Under current system settings, men and women will not receive equal concessions until they have similar incomes, time in the workforce and superannuation balances.</w:t>
      </w:r>
    </w:p>
    <w:p w14:paraId="29A97518" w14:textId="77777777" w:rsidR="00B3792F" w:rsidRPr="00027624" w:rsidRDefault="00B3792F" w:rsidP="00B3792F">
      <w:pPr>
        <w:pStyle w:val="Heading3"/>
      </w:pPr>
      <w:bookmarkStart w:id="1616" w:name="_Toc40366125"/>
      <w:bookmarkStart w:id="1617" w:name="_Toc40369671"/>
      <w:bookmarkStart w:id="1618" w:name="_Toc40427641"/>
      <w:bookmarkStart w:id="1619" w:name="_Toc40458080"/>
      <w:bookmarkStart w:id="1620" w:name="_Toc40461849"/>
      <w:bookmarkStart w:id="1621" w:name="_Toc40474404"/>
      <w:bookmarkStart w:id="1622" w:name="_Toc40477933"/>
      <w:bookmarkStart w:id="1623" w:name="_Toc40521513"/>
      <w:bookmarkStart w:id="1624" w:name="_Toc40530372"/>
      <w:bookmarkStart w:id="1625" w:name="_Toc42778800"/>
      <w:bookmarkStart w:id="1626" w:name="_Toc42779940"/>
      <w:bookmarkStart w:id="1627" w:name="_Toc42780369"/>
      <w:bookmarkStart w:id="1628" w:name="_Toc42786359"/>
      <w:bookmarkStart w:id="1629" w:name="_Toc42791852"/>
      <w:bookmarkStart w:id="1630" w:name="_Toc42792014"/>
      <w:bookmarkStart w:id="1631" w:name="_Toc43117821"/>
      <w:bookmarkStart w:id="1632" w:name="_Toc43121460"/>
      <w:bookmarkStart w:id="1633" w:name="_Toc43122665"/>
      <w:bookmarkStart w:id="1634" w:name="_Toc43127720"/>
      <w:r w:rsidRPr="00027624">
        <w:lastRenderedPageBreak/>
        <w:t>Cameo modelling of working</w:t>
      </w:r>
      <w:r w:rsidR="00A8443E" w:rsidRPr="00027624">
        <w:noBreakHyphen/>
      </w:r>
      <w:r w:rsidRPr="00027624">
        <w:t>life factors that drive gender gaps</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p>
    <w:p w14:paraId="64FDD609" w14:textId="7B26DA91" w:rsidR="00B3792F" w:rsidRPr="00027624" w:rsidRDefault="00B3792F" w:rsidP="00B3792F">
      <w:r w:rsidRPr="00027624">
        <w:t>The earnings gap is the main cause of the gender gap in superannuation balances at retirement. Some features of the superannuation system can either increase or decrease the gap, but their effect is minor (</w:t>
      </w:r>
      <w:r w:rsidRPr="00027624">
        <w:fldChar w:fldCharType="begin"/>
      </w:r>
      <w:r w:rsidRPr="00027624">
        <w:instrText xml:space="preserve"> REF _Ref36033922 \r \h  \* MERGEFORMAT </w:instrText>
      </w:r>
      <w:r w:rsidRPr="00027624">
        <w:fldChar w:fldCharType="separate"/>
      </w:r>
      <w:r w:rsidR="00891058">
        <w:t>Chart 3B-14</w:t>
      </w:r>
      <w:r w:rsidRPr="00027624">
        <w:fldChar w:fldCharType="end"/>
      </w:r>
      <w:r w:rsidRPr="00027624">
        <w:t xml:space="preserve"> and </w:t>
      </w:r>
      <w:r w:rsidRPr="00027624">
        <w:rPr>
          <w:i/>
        </w:rPr>
        <w:t xml:space="preserve">Appendix 6D. Supplementary </w:t>
      </w:r>
      <w:r w:rsidR="00571817" w:rsidRPr="00027624">
        <w:rPr>
          <w:i/>
        </w:rPr>
        <w:t>e</w:t>
      </w:r>
      <w:r w:rsidRPr="00027624">
        <w:rPr>
          <w:i/>
        </w:rPr>
        <w:t>quity charts</w:t>
      </w:r>
      <w:r w:rsidRPr="00027624">
        <w:t>).</w:t>
      </w:r>
    </w:p>
    <w:p w14:paraId="7908F993" w14:textId="77777777" w:rsidR="00B3792F" w:rsidRPr="00027624" w:rsidRDefault="00B3792F" w:rsidP="00582C3E">
      <w:pPr>
        <w:pStyle w:val="ChartMainHeading"/>
      </w:pPr>
      <w:bookmarkStart w:id="1635" w:name="_Ref36033922"/>
      <w:r w:rsidRPr="00027624">
        <w:t>Factors affecting how the gender earnings gap translates into a gender gap in superannuation balances at retirement</w:t>
      </w:r>
      <w:bookmarkEnd w:id="1635"/>
    </w:p>
    <w:p w14:paraId="685B623A" w14:textId="77777777" w:rsidR="00B3792F" w:rsidRPr="00027624" w:rsidRDefault="00B3792F" w:rsidP="00B3792F">
      <w:pPr>
        <w:pStyle w:val="ChartSecondHeading"/>
      </w:pPr>
      <w:r w:rsidRPr="00027624">
        <w:t>50</w:t>
      </w:r>
      <w:r w:rsidRPr="00027624">
        <w:rPr>
          <w:vertAlign w:val="superscript"/>
        </w:rPr>
        <w:t>th</w:t>
      </w:r>
      <w:r w:rsidRPr="00027624">
        <w:t xml:space="preserve"> income percentile</w:t>
      </w:r>
    </w:p>
    <w:p w14:paraId="14D44595" w14:textId="77777777" w:rsidR="00B3792F" w:rsidRPr="00027624" w:rsidRDefault="000416ED" w:rsidP="00B3792F">
      <w:pPr>
        <w:pStyle w:val="ChartGraphic"/>
      </w:pPr>
      <w:r>
        <w:rPr>
          <w:noProof/>
        </w:rPr>
        <w:drawing>
          <wp:inline distT="0" distB="0" distL="0" distR="0" wp14:anchorId="650758F3" wp14:editId="65EC5D4F">
            <wp:extent cx="5600700" cy="2522220"/>
            <wp:effectExtent l="0" t="0" r="0" b="0"/>
            <wp:docPr id="153" name="Picture 153" descr="This chart shows how the gender gap in earnings translates into the gender gap in superannuation balances at retirement, at the 50th income percentile. The gap in earnings is 39.3 per cent. Compounding increases it by 2.1 per cent, and fees and insurance increase it by a further 0.5 per cent. The gap in superannuation balances at retirement is 41.7 per cent. " title="Chart 3B-14 Factors affecting how the gender earnings gap translates into a gender gap in superannuation balances at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00700" cy="2522220"/>
                    </a:xfrm>
                    <a:prstGeom prst="rect">
                      <a:avLst/>
                    </a:prstGeom>
                    <a:noFill/>
                  </pic:spPr>
                </pic:pic>
              </a:graphicData>
            </a:graphic>
          </wp:inline>
        </w:drawing>
      </w:r>
    </w:p>
    <w:p w14:paraId="2E7E17EF" w14:textId="77777777" w:rsidR="00B3792F" w:rsidRPr="00027624" w:rsidRDefault="00B3792F" w:rsidP="00B3792F">
      <w:pPr>
        <w:pStyle w:val="ChartorTableNote"/>
      </w:pPr>
      <w:r w:rsidRPr="00027624">
        <w:t>Note: This chart shows the impact of removing individual factors on the gender gap in superannuation balances at retirement (e.g. comparing a world where the fees and insurance costs do not exist to standard gender cameo model specifications) for the 50</w:t>
      </w:r>
      <w:r w:rsidRPr="00027624">
        <w:rPr>
          <w:vertAlign w:val="superscript"/>
        </w:rPr>
        <w:t>th</w:t>
      </w:r>
      <w:r w:rsidRPr="00027624">
        <w:t xml:space="preserve"> income percentile. Removing all the factors listed results in a gender gap in superannuation balances at retirement equal to the gender gap in working</w:t>
      </w:r>
      <w:r w:rsidR="00A8443E" w:rsidRPr="00027624">
        <w:noBreakHyphen/>
      </w:r>
      <w:r w:rsidRPr="00027624">
        <w:t xml:space="preserve">life earnings. </w:t>
      </w:r>
      <w:r w:rsidR="00A8443E" w:rsidRPr="00027624">
        <w:t>‘</w:t>
      </w:r>
      <w:r w:rsidRPr="00027624">
        <w:t>Compounding</w:t>
      </w:r>
      <w:r w:rsidR="00A8443E" w:rsidRPr="00027624">
        <w:t>’</w:t>
      </w:r>
      <w:r w:rsidRPr="00027624">
        <w:t xml:space="preserve"> isolates the impact of real investment returns on superannuation balance accumulation during working life. The </w:t>
      </w:r>
      <w:r w:rsidR="00A8443E" w:rsidRPr="00027624">
        <w:t>‘</w:t>
      </w:r>
      <w:r w:rsidRPr="00027624">
        <w:t>interaction</w:t>
      </w:r>
      <w:r w:rsidR="00A8443E" w:rsidRPr="00027624">
        <w:t>’</w:t>
      </w:r>
      <w:r w:rsidRPr="00027624">
        <w:t xml:space="preserve"> field indicates the impact of the interaction between elements (e.g. the interaction between removing fees and compounding returns, which is not captured in removing only fees or only compounding returns). This analysis does not include voluntary contributions other than salary sacrifice. Including these contributions would likely reduce the gender gap in superannuation balances at retirement. Calculations are based on values deflated using the review</w:t>
      </w:r>
      <w:r w:rsidR="00A8443E" w:rsidRPr="00027624">
        <w:t>’</w:t>
      </w:r>
      <w:r w:rsidRPr="00027624">
        <w:t>s mixed deflator. Results for the 10</w:t>
      </w:r>
      <w:r w:rsidRPr="00027624">
        <w:rPr>
          <w:vertAlign w:val="superscript"/>
        </w:rPr>
        <w:t>th</w:t>
      </w:r>
      <w:r w:rsidRPr="00027624">
        <w:t>, 30</w:t>
      </w:r>
      <w:r w:rsidRPr="00027624">
        <w:rPr>
          <w:vertAlign w:val="superscript"/>
        </w:rPr>
        <w:t>th</w:t>
      </w:r>
      <w:r w:rsidRPr="00027624">
        <w:t>, 70</w:t>
      </w:r>
      <w:r w:rsidRPr="00027624">
        <w:rPr>
          <w:vertAlign w:val="superscript"/>
        </w:rPr>
        <w:t>th</w:t>
      </w:r>
      <w:r w:rsidRPr="00027624">
        <w:t xml:space="preserve"> and 90</w:t>
      </w:r>
      <w:r w:rsidRPr="00027624">
        <w:rPr>
          <w:vertAlign w:val="superscript"/>
        </w:rPr>
        <w:t>th</w:t>
      </w:r>
      <w:r w:rsidRPr="00027624">
        <w:t xml:space="preserve"> income percentiles are in </w:t>
      </w:r>
      <w:r w:rsidRPr="00027624">
        <w:rPr>
          <w:i/>
        </w:rPr>
        <w:t xml:space="preserve">Appendix 6D. Supplementary </w:t>
      </w:r>
      <w:r w:rsidR="00571817" w:rsidRPr="00027624">
        <w:rPr>
          <w:i/>
        </w:rPr>
        <w:t>e</w:t>
      </w:r>
      <w:r w:rsidRPr="00027624">
        <w:rPr>
          <w:i/>
        </w:rPr>
        <w:t>quity charts</w:t>
      </w:r>
      <w:r w:rsidRPr="00027624">
        <w:t xml:space="preserve">. Source: Cameo modelling undertaken for the review. </w:t>
      </w:r>
    </w:p>
    <w:p w14:paraId="3668E525" w14:textId="77777777" w:rsidR="00B3792F" w:rsidRPr="00027624" w:rsidRDefault="00B3792F" w:rsidP="00A83D09">
      <w:pPr>
        <w:pStyle w:val="Bullet"/>
      </w:pPr>
      <w:r w:rsidRPr="00027624">
        <w:rPr>
          <w:b/>
        </w:rPr>
        <w:t xml:space="preserve">Compounding returns </w:t>
      </w:r>
      <w:r w:rsidRPr="00027624">
        <w:t>increase the gender gap in superannuation balances at retirement. Compounding returns make early working</w:t>
      </w:r>
      <w:r w:rsidR="00A8443E" w:rsidRPr="00027624">
        <w:noBreakHyphen/>
      </w:r>
      <w:r w:rsidRPr="00027624">
        <w:t>life contributions more significant, where the gender gap is greatest. Men</w:t>
      </w:r>
      <w:r w:rsidR="00A8443E" w:rsidRPr="00027624">
        <w:t>’</w:t>
      </w:r>
      <w:r w:rsidRPr="00027624">
        <w:t xml:space="preserve">s longer working lives, on average, also mean they benefit more from compounding. </w:t>
      </w:r>
    </w:p>
    <w:p w14:paraId="712B948E" w14:textId="77777777" w:rsidR="00B3792F" w:rsidRPr="00027624" w:rsidRDefault="00B3792F" w:rsidP="00A83D09">
      <w:pPr>
        <w:pStyle w:val="Bullet"/>
      </w:pPr>
      <w:r w:rsidRPr="00027624">
        <w:rPr>
          <w:b/>
          <w:bCs/>
        </w:rPr>
        <w:t xml:space="preserve">Fees and insurance premiums </w:t>
      </w:r>
      <w:r w:rsidRPr="00027624">
        <w:t>slightly increase the gender gap in superannuation balances at retirement, especially at lower income levels. Fees and insurance premiums have a fixed component, eroding lower superannuation balances (which are more likely to be women</w:t>
      </w:r>
      <w:r w:rsidR="00A8443E" w:rsidRPr="00027624">
        <w:t>’</w:t>
      </w:r>
      <w:r w:rsidRPr="00027624">
        <w:t>s) more than higher superannuation balances (which are more likely to be men</w:t>
      </w:r>
      <w:r w:rsidR="00A8443E" w:rsidRPr="00027624">
        <w:t>’</w:t>
      </w:r>
      <w:r w:rsidRPr="00027624">
        <w:t>s).</w:t>
      </w:r>
      <w:r w:rsidRPr="00027624">
        <w:rPr>
          <w:rStyle w:val="FootnoteReference"/>
        </w:rPr>
        <w:footnoteReference w:id="161"/>
      </w:r>
    </w:p>
    <w:p w14:paraId="2FEEFCCE" w14:textId="77777777" w:rsidR="00B3792F" w:rsidRPr="00027624" w:rsidRDefault="00B3792F" w:rsidP="00A83D09">
      <w:pPr>
        <w:pStyle w:val="Bullet"/>
      </w:pPr>
      <w:r w:rsidRPr="00027624">
        <w:t xml:space="preserve">At higher incomes, women </w:t>
      </w:r>
      <w:r w:rsidRPr="00027624">
        <w:rPr>
          <w:b/>
        </w:rPr>
        <w:t xml:space="preserve">salary sacrifice </w:t>
      </w:r>
      <w:r w:rsidRPr="00027624">
        <w:t xml:space="preserve">a greater proportion of their incomes than men, reducing the gender gap in superannuation balances at retirement. This effect is not seen at lower incomes. </w:t>
      </w:r>
    </w:p>
    <w:p w14:paraId="7E652FFE" w14:textId="77777777" w:rsidR="00B3792F" w:rsidRPr="00027624" w:rsidRDefault="00B3792F" w:rsidP="00A83D09">
      <w:pPr>
        <w:pStyle w:val="Bullet"/>
      </w:pPr>
      <w:r w:rsidRPr="00027624">
        <w:t>The</w:t>
      </w:r>
      <w:r w:rsidRPr="00027624">
        <w:rPr>
          <w:b/>
        </w:rPr>
        <w:t xml:space="preserve"> low income superannuation tax offset</w:t>
      </w:r>
      <w:r w:rsidRPr="00027624">
        <w:rPr>
          <w:rStyle w:val="FootnoteReference"/>
        </w:rPr>
        <w:t xml:space="preserve"> </w:t>
      </w:r>
      <w:r w:rsidRPr="00027624">
        <w:t xml:space="preserve">reduces the gender gap in superannuation balances at retirement at lower income percentiles. Women, on average, receive the low income </w:t>
      </w:r>
      <w:r w:rsidRPr="00027624">
        <w:lastRenderedPageBreak/>
        <w:t xml:space="preserve">superannuation tax offset for more of their working lives than men (see </w:t>
      </w:r>
      <w:r w:rsidRPr="00027624">
        <w:rPr>
          <w:i/>
        </w:rPr>
        <w:t>1B. Design of Australia</w:t>
      </w:r>
      <w:r w:rsidR="00A8443E" w:rsidRPr="00027624">
        <w:rPr>
          <w:i/>
        </w:rPr>
        <w:t>’</w:t>
      </w:r>
      <w:r w:rsidRPr="00027624">
        <w:rPr>
          <w:i/>
        </w:rPr>
        <w:t>s retirement income system</w:t>
      </w:r>
      <w:r w:rsidRPr="00027624">
        <w:t>).</w:t>
      </w:r>
    </w:p>
    <w:p w14:paraId="0AEF1638" w14:textId="77777777" w:rsidR="00B3792F" w:rsidRPr="00027624" w:rsidRDefault="00B3792F" w:rsidP="00A83D09">
      <w:pPr>
        <w:pStyle w:val="Bullet"/>
      </w:pPr>
      <w:r w:rsidRPr="00027624">
        <w:t xml:space="preserve">The </w:t>
      </w:r>
      <w:r w:rsidRPr="00027624">
        <w:rPr>
          <w:b/>
        </w:rPr>
        <w:t>Division 293 tax</w:t>
      </w:r>
      <w:r w:rsidRPr="00027624">
        <w:t xml:space="preserve"> reduces the gender gap in superannuation balances at retirement for those with very high incomes. Men are more likely to be subject to the Division 293 tax (see </w:t>
      </w:r>
      <w:r w:rsidRPr="00027624">
        <w:rPr>
          <w:i/>
        </w:rPr>
        <w:t>1B. Design of Australia</w:t>
      </w:r>
      <w:r w:rsidR="00A8443E" w:rsidRPr="00027624">
        <w:rPr>
          <w:i/>
        </w:rPr>
        <w:t>’</w:t>
      </w:r>
      <w:r w:rsidRPr="00027624">
        <w:rPr>
          <w:i/>
        </w:rPr>
        <w:t>s retirement income system</w:t>
      </w:r>
      <w:r w:rsidRPr="00027624">
        <w:t>)</w:t>
      </w:r>
      <w:r w:rsidRPr="00027624">
        <w:rPr>
          <w:i/>
        </w:rPr>
        <w:t>.</w:t>
      </w:r>
    </w:p>
    <w:p w14:paraId="11340809" w14:textId="77777777" w:rsidR="00B3792F" w:rsidRPr="00027624" w:rsidRDefault="00B3792F" w:rsidP="00B3792F">
      <w:pPr>
        <w:pStyle w:val="Heading2"/>
      </w:pPr>
      <w:bookmarkStart w:id="1636" w:name="_Toc40366126"/>
      <w:bookmarkStart w:id="1637" w:name="_Toc40369672"/>
      <w:bookmarkStart w:id="1638" w:name="_Toc40427642"/>
      <w:bookmarkStart w:id="1639" w:name="_Toc40458081"/>
      <w:bookmarkStart w:id="1640" w:name="_Toc40461850"/>
      <w:bookmarkStart w:id="1641" w:name="_Toc40474405"/>
      <w:bookmarkStart w:id="1642" w:name="_Toc40477934"/>
      <w:bookmarkStart w:id="1643" w:name="_Toc40521514"/>
      <w:bookmarkStart w:id="1644" w:name="_Toc40530373"/>
      <w:bookmarkStart w:id="1645" w:name="_Toc42778801"/>
      <w:bookmarkStart w:id="1646" w:name="_Toc42779941"/>
      <w:bookmarkStart w:id="1647" w:name="_Toc42780370"/>
      <w:bookmarkStart w:id="1648" w:name="_Toc42786360"/>
      <w:bookmarkStart w:id="1649" w:name="_Toc42791853"/>
      <w:bookmarkStart w:id="1650" w:name="_Toc42792015"/>
      <w:bookmarkStart w:id="1651" w:name="_Toc43117822"/>
      <w:bookmarkStart w:id="1652" w:name="_Toc43121461"/>
      <w:bookmarkStart w:id="1653" w:name="_Toc43122666"/>
      <w:bookmarkStart w:id="1654" w:name="_Toc43127721"/>
      <w:bookmarkStart w:id="1655" w:name="_Toc45520498"/>
      <w:bookmarkStart w:id="1656" w:name="_Toc46133609"/>
      <w:r w:rsidRPr="00027624">
        <w:t>Causes of gender gaps in retirement</w:t>
      </w:r>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p>
    <w:p w14:paraId="142502C3" w14:textId="77777777" w:rsidR="00B3792F" w:rsidRPr="00027624" w:rsidRDefault="00B3792F" w:rsidP="00B3792F">
      <w:r w:rsidRPr="00027624">
        <w:t>The causes of gender gaps in retirement occur both outside and inside the retirement income system.</w:t>
      </w:r>
    </w:p>
    <w:p w14:paraId="6AE79CDF" w14:textId="77777777" w:rsidR="00B3792F" w:rsidRPr="00027624" w:rsidRDefault="00B3792F" w:rsidP="00B3792F">
      <w:pPr>
        <w:pStyle w:val="Heading3"/>
      </w:pPr>
      <w:bookmarkStart w:id="1657" w:name="_Toc40366127"/>
      <w:bookmarkStart w:id="1658" w:name="_Toc40369673"/>
      <w:bookmarkStart w:id="1659" w:name="_Toc40427643"/>
      <w:bookmarkStart w:id="1660" w:name="_Toc40458082"/>
      <w:bookmarkStart w:id="1661" w:name="_Toc40461851"/>
      <w:bookmarkStart w:id="1662" w:name="_Toc40474406"/>
      <w:bookmarkStart w:id="1663" w:name="_Toc40477935"/>
      <w:bookmarkStart w:id="1664" w:name="_Toc40521515"/>
      <w:bookmarkStart w:id="1665" w:name="_Toc40530374"/>
      <w:bookmarkStart w:id="1666" w:name="_Toc42778802"/>
      <w:bookmarkStart w:id="1667" w:name="_Toc42779942"/>
      <w:bookmarkStart w:id="1668" w:name="_Toc42780371"/>
      <w:bookmarkStart w:id="1669" w:name="_Toc42786361"/>
      <w:bookmarkStart w:id="1670" w:name="_Toc42791854"/>
      <w:bookmarkStart w:id="1671" w:name="_Toc42792016"/>
      <w:bookmarkStart w:id="1672" w:name="_Toc43117823"/>
      <w:bookmarkStart w:id="1673" w:name="_Toc43121462"/>
      <w:bookmarkStart w:id="1674" w:name="_Toc43122667"/>
      <w:bookmarkStart w:id="1675" w:name="_Toc43127722"/>
      <w:r w:rsidRPr="00027624">
        <w:t>Life expectancy differences</w:t>
      </w:r>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p>
    <w:p w14:paraId="527A1364" w14:textId="219F6ABC" w:rsidR="00B3792F" w:rsidRPr="00027624" w:rsidRDefault="00B3792F" w:rsidP="00B3792F">
      <w:r w:rsidRPr="00027624">
        <w:t>Historically, differences in life expectancy mean more women have been in retirement than men, although this trend is declining (</w:t>
      </w:r>
      <w:r w:rsidRPr="00027624">
        <w:fldChar w:fldCharType="begin"/>
      </w:r>
      <w:r w:rsidRPr="00027624">
        <w:instrText xml:space="preserve"> REF _Ref36033977 \n \h </w:instrText>
      </w:r>
      <w:r w:rsidR="00FA7639" w:rsidRPr="00027624">
        <w:instrText xml:space="preserve"> \* MERGEFORMAT </w:instrText>
      </w:r>
      <w:r w:rsidRPr="00027624">
        <w:fldChar w:fldCharType="separate"/>
      </w:r>
      <w:r w:rsidR="00891058">
        <w:t>Chart 3B-15</w:t>
      </w:r>
      <w:r w:rsidRPr="00027624">
        <w:fldChar w:fldCharType="end"/>
      </w:r>
      <w:r w:rsidRPr="00027624">
        <w:t>).</w:t>
      </w:r>
    </w:p>
    <w:p w14:paraId="3046D140" w14:textId="77777777" w:rsidR="00B3792F" w:rsidRPr="00027624" w:rsidRDefault="00B3792F" w:rsidP="00582C3E">
      <w:pPr>
        <w:pStyle w:val="ChartMainHeading"/>
      </w:pPr>
      <w:bookmarkStart w:id="1676" w:name="_Ref36033977"/>
      <w:r w:rsidRPr="00027624">
        <w:t>Proportion of women in retired age groups</w:t>
      </w:r>
      <w:bookmarkEnd w:id="1676"/>
    </w:p>
    <w:p w14:paraId="27D649A3" w14:textId="77777777" w:rsidR="00B3792F" w:rsidRPr="00027624" w:rsidRDefault="000416ED" w:rsidP="000416ED">
      <w:pPr>
        <w:pStyle w:val="ChartGraphic"/>
      </w:pPr>
      <w:r w:rsidRPr="000416ED">
        <w:rPr>
          <w:noProof/>
        </w:rPr>
        <w:drawing>
          <wp:inline distT="0" distB="0" distL="0" distR="0" wp14:anchorId="37C48348" wp14:editId="08ED23FF">
            <wp:extent cx="5577840" cy="2522220"/>
            <wp:effectExtent l="0" t="0" r="3810" b="0"/>
            <wp:docPr id="155" name="Picture 155" descr="This chart shows that the proportion of people in retirement that are women has declined from 1980 to 2016. This decline has been largest at older ages. " title="Chart 3B-15 Proportion of women in retired ag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2D3AD55" w14:textId="77777777" w:rsidR="00B3792F" w:rsidRPr="00027624" w:rsidRDefault="00B3792F" w:rsidP="00B3792F">
      <w:pPr>
        <w:pStyle w:val="ChartorTableNote"/>
      </w:pPr>
      <w:r w:rsidRPr="00027624">
        <w:t xml:space="preserve">Source: Analysis of </w:t>
      </w:r>
      <w:sdt>
        <w:sdtPr>
          <w:id w:val="-231551593"/>
          <w:citation/>
        </w:sdtPr>
        <w:sdtEndPr/>
        <w:sdtContent>
          <w:r w:rsidRPr="00027624">
            <w:fldChar w:fldCharType="begin"/>
          </w:r>
          <w:r w:rsidRPr="00027624">
            <w:instrText xml:space="preserve"> CITATION ABS194 \l 3081 </w:instrText>
          </w:r>
          <w:r w:rsidRPr="00027624">
            <w:fldChar w:fldCharType="separate"/>
          </w:r>
          <w:r w:rsidR="00E83F6E">
            <w:rPr>
              <w:noProof/>
            </w:rPr>
            <w:t>(ABS, 2019c)</w:t>
          </w:r>
          <w:r w:rsidRPr="00027624">
            <w:fldChar w:fldCharType="end"/>
          </w:r>
        </w:sdtContent>
      </w:sdt>
      <w:r w:rsidRPr="00027624">
        <w:t>.</w:t>
      </w:r>
    </w:p>
    <w:p w14:paraId="6DAD7BC7" w14:textId="3827D37D" w:rsidR="00B3792F" w:rsidRPr="00027624" w:rsidRDefault="00B3792F" w:rsidP="00B3792F">
      <w:r w:rsidRPr="00027624">
        <w:t>Increased longevity means women</w:t>
      </w:r>
      <w:r w:rsidR="00A8443E" w:rsidRPr="00027624">
        <w:t>’</w:t>
      </w:r>
      <w:r w:rsidRPr="00027624">
        <w:t>s retirement savings need to last longer than men</w:t>
      </w:r>
      <w:r w:rsidR="00A8443E" w:rsidRPr="00027624">
        <w:t>’</w:t>
      </w:r>
      <w:r w:rsidRPr="00027624">
        <w:t>s, reducing their relative retirement income (</w:t>
      </w:r>
      <w:r w:rsidRPr="00027624">
        <w:fldChar w:fldCharType="begin"/>
      </w:r>
      <w:r w:rsidRPr="00027624">
        <w:instrText xml:space="preserve"> REF _Ref37075901 \r \h  \* MERGEFORMAT </w:instrText>
      </w:r>
      <w:r w:rsidRPr="00027624">
        <w:fldChar w:fldCharType="separate"/>
      </w:r>
      <w:r w:rsidR="00891058">
        <w:t>Table 3B-3</w:t>
      </w:r>
      <w:r w:rsidRPr="00027624">
        <w:fldChar w:fldCharType="end"/>
      </w:r>
      <w:r w:rsidRPr="00027624">
        <w:t>). The Age Pension helps reduce the impact of higher life expectancy, particularly for women with lower superannuation balances at retirement. The effect of longer life expectancy is more pronounced for higher</w:t>
      </w:r>
      <w:r w:rsidR="00A8443E" w:rsidRPr="00027624">
        <w:noBreakHyphen/>
      </w:r>
      <w:r w:rsidRPr="00027624">
        <w:t xml:space="preserve">wealth women as more of their retirement income is funded by their superannuation. </w:t>
      </w:r>
    </w:p>
    <w:p w14:paraId="337282B2" w14:textId="77777777" w:rsidR="00B3792F" w:rsidRPr="00027624" w:rsidRDefault="00B3792F" w:rsidP="00582C3E">
      <w:pPr>
        <w:pStyle w:val="TableMainHeading"/>
      </w:pPr>
      <w:bookmarkStart w:id="1677" w:name="_Ref37075901"/>
      <w:r w:rsidRPr="00027624">
        <w:t xml:space="preserve">Projected retirement income effect of </w:t>
      </w:r>
      <w:bookmarkEnd w:id="1677"/>
      <w:r w:rsidRPr="00027624">
        <w:t>women living two years longer than men</w:t>
      </w:r>
    </w:p>
    <w:tbl>
      <w:tblPr>
        <w:tblW w:w="5000" w:type="pct"/>
        <w:tblLook w:val="01E0" w:firstRow="1" w:lastRow="1" w:firstColumn="1" w:lastColumn="1" w:noHBand="0" w:noVBand="0"/>
      </w:tblPr>
      <w:tblGrid>
        <w:gridCol w:w="4535"/>
        <w:gridCol w:w="4535"/>
      </w:tblGrid>
      <w:tr w:rsidR="00B3792F" w:rsidRPr="00027624" w14:paraId="1F4D6838" w14:textId="77777777" w:rsidTr="00B3792F">
        <w:trPr>
          <w:trHeight w:val="270"/>
          <w:tblHeader/>
        </w:trPr>
        <w:tc>
          <w:tcPr>
            <w:tcW w:w="2500" w:type="pct"/>
            <w:shd w:val="clear" w:color="auto" w:fill="E5E5E5"/>
          </w:tcPr>
          <w:p w14:paraId="4B0CB4D0" w14:textId="77777777" w:rsidR="00B3792F" w:rsidRPr="00027624" w:rsidRDefault="00B3792F" w:rsidP="00B3792F">
            <w:pPr>
              <w:spacing w:before="40" w:after="40"/>
              <w:jc w:val="center"/>
              <w:rPr>
                <w:b/>
                <w:color w:val="004A7F"/>
                <w:sz w:val="20"/>
              </w:rPr>
            </w:pPr>
            <w:r w:rsidRPr="00027624">
              <w:rPr>
                <w:b/>
                <w:color w:val="004A7F"/>
                <w:sz w:val="20"/>
              </w:rPr>
              <w:t xml:space="preserve">Superannuation balance at retirement </w:t>
            </w:r>
            <w:r w:rsidRPr="00027624">
              <w:rPr>
                <w:b/>
                <w:color w:val="004A7F"/>
                <w:sz w:val="20"/>
              </w:rPr>
              <w:br/>
              <w:t>($)</w:t>
            </w:r>
          </w:p>
        </w:tc>
        <w:tc>
          <w:tcPr>
            <w:tcW w:w="2500" w:type="pct"/>
            <w:shd w:val="clear" w:color="auto" w:fill="E5E5E5"/>
          </w:tcPr>
          <w:p w14:paraId="41817AB6" w14:textId="77777777" w:rsidR="00B3792F" w:rsidRPr="00027624" w:rsidRDefault="00B3792F" w:rsidP="00B3792F">
            <w:pPr>
              <w:spacing w:before="40" w:after="40"/>
              <w:jc w:val="center"/>
              <w:rPr>
                <w:b/>
                <w:color w:val="004A7F"/>
                <w:sz w:val="20"/>
              </w:rPr>
            </w:pPr>
            <w:r w:rsidRPr="00027624">
              <w:rPr>
                <w:b/>
                <w:color w:val="004A7F"/>
                <w:sz w:val="20"/>
              </w:rPr>
              <w:t>Gender gap in average annual retirement income (per cent)</w:t>
            </w:r>
          </w:p>
        </w:tc>
      </w:tr>
      <w:tr w:rsidR="00B3792F" w:rsidRPr="00027624" w14:paraId="2FE6231A" w14:textId="77777777" w:rsidTr="00B3792F">
        <w:trPr>
          <w:trHeight w:val="270"/>
        </w:trPr>
        <w:tc>
          <w:tcPr>
            <w:tcW w:w="2500" w:type="pct"/>
          </w:tcPr>
          <w:p w14:paraId="77A3E67C" w14:textId="77777777" w:rsidR="00B3792F" w:rsidRPr="00027624" w:rsidRDefault="00B3792F" w:rsidP="00B3792F">
            <w:pPr>
              <w:spacing w:before="40" w:after="40"/>
              <w:jc w:val="center"/>
              <w:rPr>
                <w:color w:val="000000"/>
                <w:sz w:val="18"/>
              </w:rPr>
            </w:pPr>
            <w:r w:rsidRPr="00027624">
              <w:rPr>
                <w:color w:val="000000"/>
                <w:sz w:val="18"/>
              </w:rPr>
              <w:t>200,000</w:t>
            </w:r>
          </w:p>
        </w:tc>
        <w:tc>
          <w:tcPr>
            <w:tcW w:w="2500" w:type="pct"/>
          </w:tcPr>
          <w:p w14:paraId="65CE2173" w14:textId="77777777" w:rsidR="00B3792F" w:rsidRPr="00027624" w:rsidRDefault="00B3792F" w:rsidP="00B3792F">
            <w:pPr>
              <w:spacing w:before="40" w:after="40"/>
              <w:jc w:val="center"/>
              <w:rPr>
                <w:color w:val="000000"/>
                <w:sz w:val="18"/>
              </w:rPr>
            </w:pPr>
            <w:r w:rsidRPr="00027624">
              <w:rPr>
                <w:rFonts w:eastAsiaTheme="minorEastAsia" w:cs="Arial"/>
                <w:color w:val="000000" w:themeColor="text1"/>
                <w:kern w:val="24"/>
                <w:sz w:val="18"/>
                <w:szCs w:val="18"/>
              </w:rPr>
              <w:t>0.6</w:t>
            </w:r>
          </w:p>
        </w:tc>
      </w:tr>
      <w:tr w:rsidR="00B3792F" w:rsidRPr="00027624" w14:paraId="1A05F54C" w14:textId="77777777" w:rsidTr="00B3792F">
        <w:trPr>
          <w:trHeight w:val="270"/>
        </w:trPr>
        <w:tc>
          <w:tcPr>
            <w:tcW w:w="2500" w:type="pct"/>
          </w:tcPr>
          <w:p w14:paraId="2ADD6C9F" w14:textId="77777777" w:rsidR="00B3792F" w:rsidRPr="00027624" w:rsidRDefault="00B3792F" w:rsidP="00B3792F">
            <w:pPr>
              <w:spacing w:before="40" w:after="40"/>
              <w:jc w:val="center"/>
              <w:rPr>
                <w:color w:val="000000"/>
                <w:sz w:val="18"/>
              </w:rPr>
            </w:pPr>
            <w:r w:rsidRPr="00027624">
              <w:rPr>
                <w:color w:val="000000"/>
                <w:sz w:val="18"/>
              </w:rPr>
              <w:t>400,000</w:t>
            </w:r>
          </w:p>
        </w:tc>
        <w:tc>
          <w:tcPr>
            <w:tcW w:w="2500" w:type="pct"/>
          </w:tcPr>
          <w:p w14:paraId="0B9CD0E1" w14:textId="77777777" w:rsidR="00B3792F" w:rsidRPr="00027624" w:rsidRDefault="00B3792F" w:rsidP="00B3792F">
            <w:pPr>
              <w:spacing w:before="40" w:after="40"/>
              <w:jc w:val="center"/>
              <w:rPr>
                <w:color w:val="000000"/>
                <w:sz w:val="18"/>
              </w:rPr>
            </w:pPr>
            <w:r w:rsidRPr="00027624">
              <w:rPr>
                <w:rFonts w:eastAsiaTheme="minorEastAsia" w:cs="Arial"/>
                <w:color w:val="000000" w:themeColor="text1"/>
                <w:kern w:val="24"/>
                <w:sz w:val="18"/>
                <w:szCs w:val="18"/>
              </w:rPr>
              <w:t>2.1</w:t>
            </w:r>
          </w:p>
        </w:tc>
      </w:tr>
      <w:tr w:rsidR="00B3792F" w:rsidRPr="00027624" w14:paraId="22565BCF" w14:textId="77777777" w:rsidTr="00B3792F">
        <w:trPr>
          <w:trHeight w:val="270"/>
        </w:trPr>
        <w:tc>
          <w:tcPr>
            <w:tcW w:w="2500" w:type="pct"/>
          </w:tcPr>
          <w:p w14:paraId="71A028DE" w14:textId="77777777" w:rsidR="00B3792F" w:rsidRPr="00027624" w:rsidRDefault="00B3792F" w:rsidP="00B3792F">
            <w:pPr>
              <w:spacing w:before="40" w:after="40"/>
              <w:jc w:val="center"/>
              <w:rPr>
                <w:color w:val="000000"/>
                <w:sz w:val="18"/>
              </w:rPr>
            </w:pPr>
            <w:r w:rsidRPr="00027624">
              <w:rPr>
                <w:color w:val="000000"/>
                <w:sz w:val="18"/>
              </w:rPr>
              <w:t>600,000</w:t>
            </w:r>
          </w:p>
        </w:tc>
        <w:tc>
          <w:tcPr>
            <w:tcW w:w="2500" w:type="pct"/>
          </w:tcPr>
          <w:p w14:paraId="284CB8B2" w14:textId="77777777" w:rsidR="00B3792F" w:rsidRPr="00027624" w:rsidRDefault="00B3792F" w:rsidP="00B3792F">
            <w:pPr>
              <w:spacing w:before="40" w:after="40"/>
              <w:jc w:val="center"/>
              <w:rPr>
                <w:color w:val="000000"/>
                <w:sz w:val="18"/>
              </w:rPr>
            </w:pPr>
            <w:r w:rsidRPr="00027624">
              <w:rPr>
                <w:rFonts w:eastAsiaTheme="minorEastAsia" w:cs="Arial"/>
                <w:color w:val="000000" w:themeColor="text1"/>
                <w:kern w:val="24"/>
                <w:sz w:val="18"/>
                <w:szCs w:val="18"/>
              </w:rPr>
              <w:t>3.4</w:t>
            </w:r>
          </w:p>
        </w:tc>
      </w:tr>
      <w:tr w:rsidR="00B3792F" w:rsidRPr="00027624" w14:paraId="754994D1" w14:textId="77777777" w:rsidTr="00B3792F">
        <w:trPr>
          <w:trHeight w:val="270"/>
        </w:trPr>
        <w:tc>
          <w:tcPr>
            <w:tcW w:w="2500" w:type="pct"/>
          </w:tcPr>
          <w:p w14:paraId="660CD130" w14:textId="77777777" w:rsidR="00B3792F" w:rsidRPr="00027624" w:rsidRDefault="00B3792F" w:rsidP="00B3792F">
            <w:pPr>
              <w:spacing w:before="40" w:after="40"/>
              <w:jc w:val="center"/>
              <w:rPr>
                <w:color w:val="000000"/>
                <w:sz w:val="18"/>
              </w:rPr>
            </w:pPr>
            <w:r w:rsidRPr="00027624">
              <w:rPr>
                <w:color w:val="000000"/>
                <w:sz w:val="18"/>
              </w:rPr>
              <w:t>800,000</w:t>
            </w:r>
          </w:p>
        </w:tc>
        <w:tc>
          <w:tcPr>
            <w:tcW w:w="2500" w:type="pct"/>
          </w:tcPr>
          <w:p w14:paraId="14C21919" w14:textId="77777777" w:rsidR="00B3792F" w:rsidRPr="00027624" w:rsidRDefault="00B3792F" w:rsidP="00B3792F">
            <w:pPr>
              <w:spacing w:before="40" w:after="40"/>
              <w:jc w:val="center"/>
              <w:rPr>
                <w:color w:val="000000"/>
                <w:sz w:val="18"/>
              </w:rPr>
            </w:pPr>
            <w:r w:rsidRPr="00027624">
              <w:rPr>
                <w:rFonts w:eastAsiaTheme="minorEastAsia" w:cs="Arial"/>
                <w:color w:val="000000" w:themeColor="text1"/>
                <w:kern w:val="24"/>
                <w:sz w:val="18"/>
                <w:szCs w:val="18"/>
              </w:rPr>
              <w:t>4.0</w:t>
            </w:r>
          </w:p>
        </w:tc>
      </w:tr>
    </w:tbl>
    <w:p w14:paraId="22DF13BC" w14:textId="77777777" w:rsidR="00B3792F" w:rsidRPr="00027624" w:rsidRDefault="00B3792F" w:rsidP="00B3792F">
      <w:pPr>
        <w:pStyle w:val="ChartorTableNote"/>
      </w:pPr>
      <w:r w:rsidRPr="00027624">
        <w:t>Note: Values are in 2019</w:t>
      </w:r>
      <w:r w:rsidR="00A8443E" w:rsidRPr="00027624">
        <w:noBreakHyphen/>
      </w:r>
      <w:r w:rsidRPr="00027624">
        <w:t>20 dollars. Superannuation balances are deflated by average weekly earnings. Retirement incomes are deflated using the review</w:t>
      </w:r>
      <w:r w:rsidR="00A8443E" w:rsidRPr="00027624">
        <w:t>’</w:t>
      </w:r>
      <w:r w:rsidRPr="00027624">
        <w:t>s mixed deflator. Results reflect outcomes under an annuitised drawdown method that exhausts all superannuation assets by death, for a person retiring in 2060 at age 67. Assumes no purchase of a longevity product. Men are projected to live for 24 years in retirement; women are projected to live for 26 years in retirement. For the purposes of this cameo, non</w:t>
      </w:r>
      <w:r w:rsidR="00A8443E" w:rsidRPr="00027624">
        <w:noBreakHyphen/>
      </w:r>
      <w:r w:rsidRPr="00027624">
        <w:t xml:space="preserve">superannuation wealth has not been included. Source: Cameo modelling undertaken for the review. </w:t>
      </w:r>
    </w:p>
    <w:p w14:paraId="6304C5DF" w14:textId="77777777" w:rsidR="00B3792F" w:rsidRPr="00027624" w:rsidRDefault="00B3792F" w:rsidP="00B3792F">
      <w:pPr>
        <w:pStyle w:val="Heading3"/>
      </w:pPr>
      <w:bookmarkStart w:id="1678" w:name="_Toc40366128"/>
      <w:bookmarkStart w:id="1679" w:name="_Toc40369674"/>
      <w:bookmarkStart w:id="1680" w:name="_Toc40427644"/>
      <w:bookmarkStart w:id="1681" w:name="_Toc40458083"/>
      <w:bookmarkStart w:id="1682" w:name="_Toc40461852"/>
      <w:bookmarkStart w:id="1683" w:name="_Toc40474407"/>
      <w:bookmarkStart w:id="1684" w:name="_Toc40477936"/>
      <w:bookmarkStart w:id="1685" w:name="_Toc40521516"/>
      <w:bookmarkStart w:id="1686" w:name="_Toc40530375"/>
      <w:bookmarkStart w:id="1687" w:name="_Toc42778803"/>
      <w:bookmarkStart w:id="1688" w:name="_Toc42779943"/>
      <w:bookmarkStart w:id="1689" w:name="_Toc42780372"/>
      <w:bookmarkStart w:id="1690" w:name="_Toc42786362"/>
      <w:bookmarkStart w:id="1691" w:name="_Toc42791855"/>
      <w:bookmarkStart w:id="1692" w:name="_Toc42792017"/>
      <w:bookmarkStart w:id="1693" w:name="_Toc43117824"/>
      <w:bookmarkStart w:id="1694" w:name="_Toc43121463"/>
      <w:bookmarkStart w:id="1695" w:name="_Toc43122668"/>
      <w:bookmarkStart w:id="1696" w:name="_Toc43127723"/>
      <w:r w:rsidRPr="00027624">
        <w:lastRenderedPageBreak/>
        <w:t>Drawdown behaviour</w:t>
      </w:r>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r w:rsidRPr="00027624">
        <w:t xml:space="preserve"> </w:t>
      </w:r>
    </w:p>
    <w:p w14:paraId="4927ED27" w14:textId="1131EF7E" w:rsidR="00B3792F" w:rsidRPr="00027624" w:rsidRDefault="00B3792F" w:rsidP="00B3792F">
      <w:r w:rsidRPr="00027624">
        <w:rPr>
          <w:b/>
        </w:rPr>
        <w:t>Women are more likely than men to draw down their superannuation at the minimum rate in an account</w:t>
      </w:r>
      <w:r w:rsidR="00A8443E" w:rsidRPr="00027624">
        <w:rPr>
          <w:b/>
        </w:rPr>
        <w:noBreakHyphen/>
      </w:r>
      <w:r w:rsidRPr="00027624">
        <w:rPr>
          <w:b/>
        </w:rPr>
        <w:t>based pension</w:t>
      </w:r>
      <w:r w:rsidRPr="00027624">
        <w:t xml:space="preserve"> </w:t>
      </w:r>
      <w:r w:rsidRPr="00027624">
        <w:rPr>
          <w:rStyle w:val="BulletChar"/>
        </w:rPr>
        <w:t>(</w:t>
      </w:r>
      <w:r w:rsidRPr="00027624">
        <w:rPr>
          <w:rStyle w:val="BulletChar"/>
        </w:rPr>
        <w:fldChar w:fldCharType="begin"/>
      </w:r>
      <w:r w:rsidRPr="00027624">
        <w:instrText xml:space="preserve"> REF _Ref36033990 \r \h  \* MERGEFORMAT </w:instrText>
      </w:r>
      <w:r w:rsidRPr="00027624">
        <w:rPr>
          <w:rStyle w:val="BulletChar"/>
        </w:rPr>
      </w:r>
      <w:r w:rsidRPr="00027624">
        <w:rPr>
          <w:rStyle w:val="BulletChar"/>
        </w:rPr>
        <w:fldChar w:fldCharType="separate"/>
      </w:r>
      <w:r w:rsidR="00891058">
        <w:t>Chart 3B-16</w:t>
      </w:r>
      <w:r w:rsidRPr="00027624">
        <w:rPr>
          <w:rStyle w:val="BulletChar"/>
        </w:rPr>
        <w:fldChar w:fldCharType="end"/>
      </w:r>
      <w:r w:rsidRPr="00027624">
        <w:rPr>
          <w:rStyle w:val="BulletChar"/>
        </w:rPr>
        <w:t>). This effect is small but statistically significant</w:t>
      </w:r>
      <w:sdt>
        <w:sdtPr>
          <w:rPr>
            <w:rStyle w:val="BulletChar"/>
          </w:rPr>
          <w:id w:val="-622841591"/>
          <w:citation/>
        </w:sdtPr>
        <w:sdtEndPr>
          <w:rPr>
            <w:rStyle w:val="BulletChar"/>
          </w:rPr>
        </w:sdtEndPr>
        <w:sdtContent>
          <w:r w:rsidRPr="00027624">
            <w:rPr>
              <w:rStyle w:val="BulletChar"/>
            </w:rPr>
            <w:fldChar w:fldCharType="begin"/>
          </w:r>
          <w:r w:rsidRPr="00027624">
            <w:rPr>
              <w:rStyle w:val="BulletChar"/>
            </w:rPr>
            <w:instrText xml:space="preserve">CITATION Bal18 \p 87-88 \l 3081 </w:instrText>
          </w:r>
          <w:r w:rsidRPr="00027624">
            <w:rPr>
              <w:rStyle w:val="BulletChar"/>
            </w:rPr>
            <w:fldChar w:fldCharType="separate"/>
          </w:r>
          <w:r w:rsidR="00E83F6E">
            <w:rPr>
              <w:rStyle w:val="BulletChar"/>
              <w:noProof/>
            </w:rPr>
            <w:t xml:space="preserve"> </w:t>
          </w:r>
          <w:r w:rsidR="00E83F6E">
            <w:rPr>
              <w:noProof/>
            </w:rPr>
            <w:t>(Balnozan, 2018, pp. 87-88)</w:t>
          </w:r>
          <w:r w:rsidRPr="00027624">
            <w:rPr>
              <w:rStyle w:val="BulletChar"/>
            </w:rPr>
            <w:fldChar w:fldCharType="end"/>
          </w:r>
        </w:sdtContent>
      </w:sdt>
      <w:r w:rsidRPr="00027624">
        <w:rPr>
          <w:rStyle w:val="BulletChar"/>
        </w:rPr>
        <w:t>, although the cause is unknown. Potentially</w:t>
      </w:r>
      <w:r w:rsidRPr="00027624">
        <w:t>, slower drawdown could reflect gender</w:t>
      </w:r>
      <w:r w:rsidR="00A8443E" w:rsidRPr="00027624">
        <w:noBreakHyphen/>
      </w:r>
      <w:r w:rsidRPr="00027624">
        <w:t>specific factors, such as being more financially conservative</w:t>
      </w:r>
      <w:sdt>
        <w:sdtPr>
          <w:id w:val="-266925745"/>
          <w:citation/>
        </w:sdtPr>
        <w:sdtEndPr/>
        <w:sdtContent>
          <w:r w:rsidRPr="00027624">
            <w:fldChar w:fldCharType="begin"/>
          </w:r>
          <w:r w:rsidRPr="00027624">
            <w:instrText xml:space="preserve"> CITATION Cha12 \l 3081 </w:instrText>
          </w:r>
          <w:r w:rsidRPr="00027624">
            <w:fldChar w:fldCharType="separate"/>
          </w:r>
          <w:r w:rsidR="00E83F6E">
            <w:rPr>
              <w:noProof/>
            </w:rPr>
            <w:t xml:space="preserve"> (Charness &amp; Gneezy, 2012)</w:t>
          </w:r>
          <w:r w:rsidRPr="00027624">
            <w:fldChar w:fldCharType="end"/>
          </w:r>
        </w:sdtContent>
      </w:sdt>
      <w:r w:rsidRPr="00027624">
        <w:t>, having lower financial literacy (as discussed above) or women self</w:t>
      </w:r>
      <w:r w:rsidR="00A8443E" w:rsidRPr="00027624">
        <w:noBreakHyphen/>
      </w:r>
      <w:r w:rsidRPr="00027624">
        <w:t>managing their longer life expectancies.</w:t>
      </w:r>
    </w:p>
    <w:p w14:paraId="1BC1D5A6" w14:textId="77777777" w:rsidR="00B3792F" w:rsidRPr="00027624" w:rsidRDefault="00B3792F" w:rsidP="00582C3E">
      <w:pPr>
        <w:pStyle w:val="ChartMainHeading"/>
      </w:pPr>
      <w:bookmarkStart w:id="1697" w:name="_Ref36033990"/>
      <w:r w:rsidRPr="00027624">
        <w:t>Proportion of people drawing down from account</w:t>
      </w:r>
      <w:r w:rsidR="00A8443E" w:rsidRPr="00027624">
        <w:noBreakHyphen/>
      </w:r>
      <w:r w:rsidRPr="00027624">
        <w:t>based pensions at the minimum rate, by age and gender</w:t>
      </w:r>
      <w:bookmarkEnd w:id="1697"/>
    </w:p>
    <w:p w14:paraId="762E0B08" w14:textId="77777777" w:rsidR="00B3792F" w:rsidRPr="00027624" w:rsidRDefault="000416ED" w:rsidP="00B3792F">
      <w:pPr>
        <w:pStyle w:val="ChartGraphic"/>
      </w:pPr>
      <w:r>
        <w:rPr>
          <w:noProof/>
        </w:rPr>
        <w:drawing>
          <wp:inline distT="0" distB="0" distL="0" distR="0" wp14:anchorId="0C8AA204" wp14:editId="3D7625A8">
            <wp:extent cx="5577840" cy="2522220"/>
            <wp:effectExtent l="0" t="0" r="3810" b="0"/>
            <wp:docPr id="668634341" name="Picture 668634341" descr="This chart shows that at each age group (65-69, 70-74, 75-79) more women than men draw down at the minimum rate from an account-based pension. The proportions drawing down at the minimum rate increase with age for men and women. " title="Chart 3B-16 Proportion of people drawing down from account-based pensions at the minimum rate, by age and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F6A27EB" w14:textId="77777777" w:rsidR="00B3792F" w:rsidRPr="00027624" w:rsidRDefault="002A74C8" w:rsidP="00B3792F">
      <w:pPr>
        <w:pStyle w:val="ChartorTableNote"/>
      </w:pPr>
      <w:r w:rsidRPr="00027624">
        <w:t xml:space="preserve">Note: 2019 data. </w:t>
      </w:r>
      <w:r w:rsidR="00B3792F" w:rsidRPr="00027624">
        <w:t xml:space="preserve">Source: </w:t>
      </w:r>
      <w:sdt>
        <w:sdtPr>
          <w:id w:val="148185274"/>
          <w:citation/>
        </w:sdtPr>
        <w:sdtEndPr/>
        <w:sdtContent>
          <w:r w:rsidR="00B3792F" w:rsidRPr="00027624">
            <w:fldChar w:fldCharType="begin"/>
          </w:r>
          <w:r w:rsidR="00B3792F" w:rsidRPr="00027624">
            <w:instrText xml:space="preserve"> CITATION Ric191 \l 3081 </w:instrText>
          </w:r>
          <w:r w:rsidR="00B3792F" w:rsidRPr="00027624">
            <w:fldChar w:fldCharType="separate"/>
          </w:r>
          <w:r w:rsidR="00E83F6E">
            <w:rPr>
              <w:noProof/>
            </w:rPr>
            <w:t>(Rice Warner, 2019b)</w:t>
          </w:r>
          <w:r w:rsidR="00B3792F" w:rsidRPr="00027624">
            <w:fldChar w:fldCharType="end"/>
          </w:r>
        </w:sdtContent>
      </w:sdt>
      <w:r w:rsidR="00B3792F" w:rsidRPr="00027624">
        <w:t>.</w:t>
      </w:r>
    </w:p>
    <w:p w14:paraId="068A3F83" w14:textId="77777777" w:rsidR="00B3792F" w:rsidRPr="00027624" w:rsidRDefault="00B3792F" w:rsidP="00B3792F">
      <w:pPr>
        <w:pStyle w:val="Heading3"/>
      </w:pPr>
      <w:r w:rsidRPr="00027624">
        <w:t>Age Pension</w:t>
      </w:r>
    </w:p>
    <w:p w14:paraId="00B32F9A" w14:textId="493C3D6D" w:rsidR="00B3792F" w:rsidRPr="00027624" w:rsidRDefault="00B3792F" w:rsidP="00B3792F">
      <w:r w:rsidRPr="00027624">
        <w:rPr>
          <w:b/>
          <w:szCs w:val="22"/>
        </w:rPr>
        <w:t>Women</w:t>
      </w:r>
      <w:r w:rsidRPr="00027624">
        <w:rPr>
          <w:b/>
        </w:rPr>
        <w:t xml:space="preserve"> are more likely than men to receive the Age Pension</w:t>
      </w:r>
      <w:r w:rsidRPr="00027624">
        <w:t xml:space="preserve">, particularly early in retirement, </w:t>
      </w:r>
      <w:r w:rsidRPr="00027624">
        <w:rPr>
          <w:szCs w:val="22"/>
        </w:rPr>
        <w:t xml:space="preserve">and are more likely to receive the maximum rate of Age Pension </w:t>
      </w:r>
      <w:r w:rsidRPr="00027624">
        <w:t>(</w:t>
      </w:r>
      <w:r w:rsidRPr="00027624">
        <w:fldChar w:fldCharType="begin"/>
      </w:r>
      <w:r w:rsidRPr="00027624">
        <w:instrText xml:space="preserve"> REF _Ref36034024 \r \h  \* MERGEFORMAT </w:instrText>
      </w:r>
      <w:r w:rsidRPr="00027624">
        <w:fldChar w:fldCharType="separate"/>
      </w:r>
      <w:r w:rsidR="00891058">
        <w:t>Chart 3B-17</w:t>
      </w:r>
      <w:r w:rsidRPr="00027624">
        <w:fldChar w:fldCharType="end"/>
      </w:r>
      <w:r w:rsidRPr="00027624">
        <w:t>). The gap in Age Pension coverage closes around age 85, with men more likely than women to receive the Age Pension in later life. This may be due to a significant number of widows not being eligible for income support once they inherit their partner</w:t>
      </w:r>
      <w:r w:rsidR="00A8443E" w:rsidRPr="00027624">
        <w:t>’</w:t>
      </w:r>
      <w:r w:rsidRPr="00027624">
        <w:t xml:space="preserve">s assets (see </w:t>
      </w:r>
      <w:r w:rsidRPr="00027624">
        <w:rPr>
          <w:i/>
          <w:iCs/>
        </w:rPr>
        <w:fldChar w:fldCharType="begin"/>
      </w:r>
      <w:r w:rsidRPr="00027624">
        <w:rPr>
          <w:i/>
          <w:iCs/>
        </w:rPr>
        <w:instrText xml:space="preserve"> REF _Ref45136269 \h  \* MERGEFORMAT </w:instrText>
      </w:r>
      <w:r w:rsidRPr="00027624">
        <w:rPr>
          <w:i/>
          <w:iCs/>
        </w:rPr>
      </w:r>
      <w:r w:rsidRPr="00027624">
        <w:rPr>
          <w:i/>
          <w:iCs/>
        </w:rPr>
        <w:fldChar w:fldCharType="separate"/>
      </w:r>
      <w:r w:rsidR="00891058" w:rsidRPr="00891058">
        <w:rPr>
          <w:i/>
          <w:iCs/>
        </w:rPr>
        <w:t>Becoming single in retirement</w:t>
      </w:r>
      <w:r w:rsidRPr="00027624">
        <w:rPr>
          <w:i/>
          <w:iCs/>
        </w:rPr>
        <w:fldChar w:fldCharType="end"/>
      </w:r>
      <w:r w:rsidRPr="00027624">
        <w:rPr>
          <w:iCs/>
        </w:rPr>
        <w:t>, below</w:t>
      </w:r>
      <w:r w:rsidRPr="00027624">
        <w:t>). It may also reflect the significant number of women over age 85 who receive Department of Veterans</w:t>
      </w:r>
      <w:r w:rsidR="00A8443E" w:rsidRPr="00027624">
        <w:t>’</w:t>
      </w:r>
      <w:r w:rsidRPr="00027624">
        <w:t xml:space="preserve"> Affairs war widow pensions, and are not recorded in the Department of Social Services</w:t>
      </w:r>
      <w:r w:rsidR="00A8443E" w:rsidRPr="00027624">
        <w:t>’</w:t>
      </w:r>
      <w:r w:rsidRPr="00027624">
        <w:t xml:space="preserve"> data </w:t>
      </w:r>
      <w:sdt>
        <w:sdtPr>
          <w:id w:val="-2141875594"/>
          <w:citation/>
        </w:sdtPr>
        <w:sdtEndPr/>
        <w:sdtContent>
          <w:r w:rsidRPr="00027624">
            <w:fldChar w:fldCharType="begin"/>
          </w:r>
          <w:r w:rsidRPr="00027624">
            <w:instrText xml:space="preserve"> CITATION DVA20 \l 3081 </w:instrText>
          </w:r>
          <w:r w:rsidRPr="00027624">
            <w:fldChar w:fldCharType="separate"/>
          </w:r>
          <w:r w:rsidR="00E83F6E">
            <w:rPr>
              <w:noProof/>
            </w:rPr>
            <w:t>(DVA, 2020)</w:t>
          </w:r>
          <w:r w:rsidRPr="00027624">
            <w:fldChar w:fldCharType="end"/>
          </w:r>
        </w:sdtContent>
      </w:sdt>
      <w:r w:rsidRPr="00027624">
        <w:t>.</w:t>
      </w:r>
    </w:p>
    <w:p w14:paraId="7535E475" w14:textId="77777777" w:rsidR="00B3792F" w:rsidRPr="00027624" w:rsidRDefault="00B3792F" w:rsidP="00582C3E">
      <w:pPr>
        <w:pStyle w:val="ChartMainHeading"/>
      </w:pPr>
      <w:bookmarkStart w:id="1698" w:name="_Ref36034024"/>
      <w:bookmarkStart w:id="1699" w:name="_Ref45136233"/>
      <w:r w:rsidRPr="00027624">
        <w:lastRenderedPageBreak/>
        <w:t>Age Pension coverage, by gender and age</w:t>
      </w:r>
      <w:bookmarkEnd w:id="1698"/>
      <w:bookmarkEnd w:id="1699"/>
    </w:p>
    <w:tbl>
      <w:tblPr>
        <w:tblW w:w="5000" w:type="pct"/>
        <w:tblLook w:val="01E0" w:firstRow="1" w:lastRow="1" w:firstColumn="1" w:lastColumn="1" w:noHBand="0" w:noVBand="0"/>
      </w:tblPr>
      <w:tblGrid>
        <w:gridCol w:w="4535"/>
        <w:gridCol w:w="4535"/>
      </w:tblGrid>
      <w:tr w:rsidR="00B3792F" w:rsidRPr="00027624" w14:paraId="058F86F8" w14:textId="77777777" w:rsidTr="00B3792F">
        <w:tc>
          <w:tcPr>
            <w:tcW w:w="2500" w:type="pct"/>
          </w:tcPr>
          <w:p w14:paraId="2F8A6194" w14:textId="77777777" w:rsidR="00B3792F" w:rsidRPr="00027624" w:rsidRDefault="00B3792F" w:rsidP="00B3792F">
            <w:pPr>
              <w:pStyle w:val="ChartSecondHeading"/>
            </w:pPr>
            <w:r w:rsidRPr="00027624">
              <w:t>Women</w:t>
            </w:r>
          </w:p>
        </w:tc>
        <w:tc>
          <w:tcPr>
            <w:tcW w:w="2500" w:type="pct"/>
          </w:tcPr>
          <w:p w14:paraId="6ACE408E" w14:textId="77777777" w:rsidR="00B3792F" w:rsidRPr="00027624" w:rsidRDefault="00B3792F" w:rsidP="00B3792F">
            <w:pPr>
              <w:pStyle w:val="ChartSecondHeading"/>
            </w:pPr>
            <w:r w:rsidRPr="00027624">
              <w:t xml:space="preserve">Men </w:t>
            </w:r>
          </w:p>
        </w:tc>
      </w:tr>
    </w:tbl>
    <w:p w14:paraId="6E39837A" w14:textId="77777777" w:rsidR="00E42365" w:rsidRPr="00027624" w:rsidRDefault="000416ED" w:rsidP="00E42365">
      <w:pPr>
        <w:pStyle w:val="ChartGraphic"/>
      </w:pPr>
      <w:r>
        <w:rPr>
          <w:noProof/>
        </w:rPr>
        <w:drawing>
          <wp:inline distT="0" distB="0" distL="0" distR="0" wp14:anchorId="788F6C54" wp14:editId="313BCB9A">
            <wp:extent cx="2872800" cy="2880000"/>
            <wp:effectExtent l="0" t="0" r="3810" b="0"/>
            <wp:docPr id="668634342" name="Picture 668634342" descr="This chart shows that women’s Age Pension coverage increases with age, from around 45 per cent at age 66 to around 80 per cent at age 85. It declines slightly from ages 85-90. Most women are on the maximum rate of Age Pension. At most ages, women’s Age Pension coverage is greater than men’s. " title="Wom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872800" cy="2880000"/>
                    </a:xfrm>
                    <a:prstGeom prst="rect">
                      <a:avLst/>
                    </a:prstGeom>
                    <a:noFill/>
                  </pic:spPr>
                </pic:pic>
              </a:graphicData>
            </a:graphic>
          </wp:inline>
        </w:drawing>
      </w:r>
      <w:r>
        <w:rPr>
          <w:noProof/>
        </w:rPr>
        <w:drawing>
          <wp:inline distT="0" distB="0" distL="0" distR="0" wp14:anchorId="5DFE9ACD" wp14:editId="0B858BBC">
            <wp:extent cx="2872800" cy="2872800"/>
            <wp:effectExtent l="0" t="0" r="3810" b="3810"/>
            <wp:docPr id="668634343" name="Picture 668634343" descr="This chart shows that men’s Age Pension coverage increases with age, from under 40 per cent at age 66 to around 80 per cent at age 85. At most ages, men’s Age Pension coverage is less than women’s. " title="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72800" cy="2872800"/>
                    </a:xfrm>
                    <a:prstGeom prst="rect">
                      <a:avLst/>
                    </a:prstGeom>
                    <a:noFill/>
                  </pic:spPr>
                </pic:pic>
              </a:graphicData>
            </a:graphic>
          </wp:inline>
        </w:drawing>
      </w:r>
    </w:p>
    <w:p w14:paraId="2F75BFAE" w14:textId="77777777" w:rsidR="006B09B4" w:rsidRPr="00027624" w:rsidRDefault="006B09B4" w:rsidP="006B09B4">
      <w:pPr>
        <w:pStyle w:val="ChartorTableNote"/>
      </w:pPr>
      <w:r w:rsidRPr="00027624">
        <w:t xml:space="preserve">Source: Department of Social Services payment data, 30  June 2019, </w:t>
      </w:r>
      <w:sdt>
        <w:sdtPr>
          <w:id w:val="362325195"/>
          <w:citation/>
        </w:sdtPr>
        <w:sdtEndPr/>
        <w:sdtContent>
          <w:r w:rsidRPr="00027624">
            <w:fldChar w:fldCharType="begin"/>
          </w:r>
          <w:r w:rsidR="002A74C8" w:rsidRPr="00027624">
            <w:instrText xml:space="preserve">CITATION Placeholder1 \l 3081 </w:instrText>
          </w:r>
          <w:r w:rsidRPr="00027624">
            <w:fldChar w:fldCharType="separate"/>
          </w:r>
          <w:r w:rsidR="00E83F6E">
            <w:rPr>
              <w:noProof/>
            </w:rPr>
            <w:t>(ABS, 2018g)</w:t>
          </w:r>
          <w:r w:rsidRPr="00027624">
            <w:fldChar w:fldCharType="end"/>
          </w:r>
        </w:sdtContent>
      </w:sdt>
      <w:r w:rsidRPr="00027624">
        <w:t>.</w:t>
      </w:r>
    </w:p>
    <w:p w14:paraId="53474077" w14:textId="46964BE5" w:rsidR="00B3792F" w:rsidRPr="00027624" w:rsidRDefault="00B3792F" w:rsidP="00B3792F">
      <w:r w:rsidRPr="00027624">
        <w:t>For current retirees, the Age Pension makes up a higher proportion of the incomes of women than men (</w:t>
      </w:r>
      <w:r w:rsidRPr="00027624">
        <w:fldChar w:fldCharType="begin"/>
      </w:r>
      <w:r w:rsidRPr="00027624">
        <w:instrText xml:space="preserve"> REF _Ref37327510 \w \h </w:instrText>
      </w:r>
      <w:r w:rsidR="00FA7639" w:rsidRPr="00027624">
        <w:instrText xml:space="preserve"> \* MERGEFORMAT </w:instrText>
      </w:r>
      <w:r w:rsidRPr="00027624">
        <w:fldChar w:fldCharType="separate"/>
      </w:r>
      <w:r w:rsidR="00891058">
        <w:t>Chart 3B-18</w:t>
      </w:r>
      <w:r w:rsidRPr="00027624">
        <w:fldChar w:fldCharType="end"/>
      </w:r>
      <w:r w:rsidRPr="00027624">
        <w:t>).</w:t>
      </w:r>
    </w:p>
    <w:p w14:paraId="6F80EF4B" w14:textId="77777777" w:rsidR="00B3792F" w:rsidRPr="00027624" w:rsidRDefault="00B3792F" w:rsidP="00582C3E">
      <w:pPr>
        <w:pStyle w:val="ChartMainHeading"/>
      </w:pPr>
      <w:bookmarkStart w:id="1700" w:name="_Ref37327510"/>
      <w:r w:rsidRPr="00027624">
        <w:t>Average proportional source of income in retirement, by age, gender and partnered status</w:t>
      </w:r>
      <w:bookmarkEnd w:id="1700"/>
    </w:p>
    <w:tbl>
      <w:tblPr>
        <w:tblW w:w="4516" w:type="pct"/>
        <w:tblInd w:w="426" w:type="dxa"/>
        <w:tblLook w:val="01E0" w:firstRow="1" w:lastRow="1" w:firstColumn="1" w:lastColumn="1" w:noHBand="0" w:noVBand="0"/>
      </w:tblPr>
      <w:tblGrid>
        <w:gridCol w:w="1983"/>
        <w:gridCol w:w="2127"/>
        <w:gridCol w:w="2127"/>
        <w:gridCol w:w="1955"/>
      </w:tblGrid>
      <w:tr w:rsidR="00B3792F" w:rsidRPr="00027624" w14:paraId="34059998" w14:textId="77777777" w:rsidTr="002D0395">
        <w:trPr>
          <w:trHeight w:val="270"/>
        </w:trPr>
        <w:tc>
          <w:tcPr>
            <w:tcW w:w="1210" w:type="pct"/>
          </w:tcPr>
          <w:p w14:paraId="4068F6D3" w14:textId="77777777" w:rsidR="00B3792F" w:rsidRPr="00027624" w:rsidRDefault="00B3792F" w:rsidP="00B3792F">
            <w:pPr>
              <w:pStyle w:val="ChartSecondHeading"/>
            </w:pPr>
            <w:r w:rsidRPr="00027624">
              <w:t>Single men</w:t>
            </w:r>
          </w:p>
        </w:tc>
        <w:tc>
          <w:tcPr>
            <w:tcW w:w="1298" w:type="pct"/>
          </w:tcPr>
          <w:p w14:paraId="15D1C9C2" w14:textId="77777777" w:rsidR="00B3792F" w:rsidRPr="00027624" w:rsidRDefault="00B3792F" w:rsidP="00B3792F">
            <w:pPr>
              <w:pStyle w:val="ChartSecondHeading"/>
            </w:pPr>
            <w:r w:rsidRPr="00027624">
              <w:t>Single women</w:t>
            </w:r>
          </w:p>
        </w:tc>
        <w:tc>
          <w:tcPr>
            <w:tcW w:w="1298" w:type="pct"/>
          </w:tcPr>
          <w:p w14:paraId="2C35C76F" w14:textId="77777777" w:rsidR="00B3792F" w:rsidRPr="00027624" w:rsidRDefault="00B3792F" w:rsidP="00B3792F">
            <w:pPr>
              <w:pStyle w:val="ChartSecondHeading"/>
            </w:pPr>
            <w:r w:rsidRPr="00027624">
              <w:t>Coupled men</w:t>
            </w:r>
          </w:p>
        </w:tc>
        <w:tc>
          <w:tcPr>
            <w:tcW w:w="1193" w:type="pct"/>
          </w:tcPr>
          <w:p w14:paraId="2630AA65" w14:textId="77777777" w:rsidR="00B3792F" w:rsidRPr="00027624" w:rsidRDefault="00B3792F" w:rsidP="00B3792F">
            <w:pPr>
              <w:pStyle w:val="ChartSecondHeading"/>
            </w:pPr>
            <w:r w:rsidRPr="00027624">
              <w:t>Coupled women</w:t>
            </w:r>
          </w:p>
        </w:tc>
      </w:tr>
    </w:tbl>
    <w:p w14:paraId="55E218D6" w14:textId="77777777" w:rsidR="00B3792F" w:rsidRPr="00027624" w:rsidRDefault="00730139" w:rsidP="00B3792F">
      <w:pPr>
        <w:pStyle w:val="ChartGraphic"/>
      </w:pPr>
      <w:r>
        <w:rPr>
          <w:noProof/>
        </w:rPr>
        <w:drawing>
          <wp:inline distT="0" distB="0" distL="0" distR="0" wp14:anchorId="1D4E55EF" wp14:editId="614372DC">
            <wp:extent cx="5577840" cy="2522220"/>
            <wp:effectExtent l="0" t="0" r="3810" b="0"/>
            <wp:docPr id="668634348" name="Picture 668634348" descr="This chart shows that the proportion of income derived by the Age Pension increases for all single men and women, and coupled men and women, as they age. Of the gender and partnered status combinations, single women and single men derive income from the Age Pension the most." title="Chart 3B-18 Average proportional source of income in retirement, by age, gender and partnere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DDFA18F" w14:textId="77777777" w:rsidR="00B3792F" w:rsidRPr="00027624" w:rsidRDefault="00B3792F" w:rsidP="00B3792F">
      <w:pPr>
        <w:pStyle w:val="ChartorTableNote"/>
      </w:pPr>
      <w:r w:rsidRPr="00027624">
        <w:t>Note: Data is from 2017</w:t>
      </w:r>
      <w:r w:rsidR="00A8443E" w:rsidRPr="00027624">
        <w:noBreakHyphen/>
      </w:r>
      <w:r w:rsidRPr="00027624">
        <w:t xml:space="preserve">18. </w:t>
      </w:r>
      <w:r w:rsidR="00A8443E" w:rsidRPr="00027624">
        <w:t>‘</w:t>
      </w:r>
      <w:r w:rsidRPr="00027624">
        <w:t>Government</w:t>
      </w:r>
      <w:r w:rsidR="00A8443E" w:rsidRPr="00027624">
        <w:t>’</w:t>
      </w:r>
      <w:r w:rsidRPr="00027624">
        <w:t xml:space="preserve"> income includes all welfare payments (including non</w:t>
      </w:r>
      <w:r w:rsidR="00A8443E" w:rsidRPr="00027624">
        <w:noBreakHyphen/>
      </w:r>
      <w:r w:rsidRPr="00027624">
        <w:t>income support payments, such as Family Tax Benefit (FTB)) but does not include social transfers in kind. Sample sizes are small for older cohorts, and results should be used with caution. Calculations are based on values deflated using the review</w:t>
      </w:r>
      <w:r w:rsidR="00A8443E" w:rsidRPr="00027624">
        <w:t>’</w:t>
      </w:r>
      <w:r w:rsidRPr="00027624">
        <w:t xml:space="preserve">s mixed deflator. Source: Analysis of </w:t>
      </w:r>
      <w:sdt>
        <w:sdtPr>
          <w:id w:val="-570509135"/>
          <w:citation/>
        </w:sdtPr>
        <w:sdtEndPr/>
        <w:sdtContent>
          <w:r w:rsidRPr="00027624">
            <w:fldChar w:fldCharType="begin"/>
          </w:r>
          <w:r w:rsidRPr="00027624">
            <w:instrText xml:space="preserve"> CITATION ABS196 \l 3081 </w:instrText>
          </w:r>
          <w:r w:rsidRPr="00027624">
            <w:fldChar w:fldCharType="separate"/>
          </w:r>
          <w:r w:rsidR="00E83F6E">
            <w:rPr>
              <w:noProof/>
            </w:rPr>
            <w:t>(ABS, 2019s)</w:t>
          </w:r>
          <w:r w:rsidRPr="00027624">
            <w:fldChar w:fldCharType="end"/>
          </w:r>
        </w:sdtContent>
      </w:sdt>
      <w:r w:rsidRPr="00027624">
        <w:t>.</w:t>
      </w:r>
    </w:p>
    <w:p w14:paraId="6745C04A" w14:textId="4FBF1FED" w:rsidR="00B3792F" w:rsidRPr="00027624" w:rsidRDefault="00B3792F" w:rsidP="00B3792F">
      <w:pPr>
        <w:spacing w:before="240"/>
      </w:pPr>
      <w:r w:rsidRPr="00027624">
        <w:t>As the superannuation system matures and balances grow, fewer men and women will likely qualify for the Age Pension, particularly earlier in retirement. However, with their lower working</w:t>
      </w:r>
      <w:r w:rsidR="00A8443E" w:rsidRPr="00027624">
        <w:noBreakHyphen/>
      </w:r>
      <w:r w:rsidRPr="00027624">
        <w:t>life earnings and greater longevity, women are projected to continue to derive more of their income in retirement from the Age Pension than men (</w:t>
      </w:r>
      <w:r w:rsidRPr="00027624">
        <w:rPr>
          <w:szCs w:val="22"/>
        </w:rPr>
        <w:fldChar w:fldCharType="begin"/>
      </w:r>
      <w:r w:rsidRPr="00027624">
        <w:instrText xml:space="preserve"> REF _Ref36034061 \r \h </w:instrText>
      </w:r>
      <w:r w:rsidRPr="00027624">
        <w:rPr>
          <w:szCs w:val="22"/>
        </w:rPr>
        <w:instrText xml:space="preserve"> \* MERGEFORMAT </w:instrText>
      </w:r>
      <w:r w:rsidRPr="00027624">
        <w:rPr>
          <w:szCs w:val="22"/>
        </w:rPr>
      </w:r>
      <w:r w:rsidRPr="00027624">
        <w:rPr>
          <w:szCs w:val="22"/>
        </w:rPr>
        <w:fldChar w:fldCharType="separate"/>
      </w:r>
      <w:r w:rsidR="00891058">
        <w:t>Chart 3B-19</w:t>
      </w:r>
      <w:r w:rsidRPr="00027624">
        <w:rPr>
          <w:szCs w:val="22"/>
        </w:rPr>
        <w:fldChar w:fldCharType="end"/>
      </w:r>
      <w:r w:rsidRPr="00027624">
        <w:rPr>
          <w:szCs w:val="22"/>
        </w:rPr>
        <w:t xml:space="preserve">). </w:t>
      </w:r>
    </w:p>
    <w:p w14:paraId="79EED2D0" w14:textId="77777777" w:rsidR="00B3792F" w:rsidRPr="00027624" w:rsidRDefault="00B3792F" w:rsidP="00582C3E">
      <w:pPr>
        <w:pStyle w:val="ChartMainHeading"/>
      </w:pPr>
      <w:bookmarkStart w:id="1701" w:name="_Ref36034061"/>
      <w:r w:rsidRPr="00027624">
        <w:lastRenderedPageBreak/>
        <w:t>Proportional source of projected total retirement income, by gender and earnings percentile</w:t>
      </w:r>
      <w:bookmarkEnd w:id="1701"/>
    </w:p>
    <w:tbl>
      <w:tblPr>
        <w:tblW w:w="5000" w:type="pct"/>
        <w:tblLook w:val="01E0" w:firstRow="1" w:lastRow="1" w:firstColumn="1" w:lastColumn="1" w:noHBand="0" w:noVBand="0"/>
      </w:tblPr>
      <w:tblGrid>
        <w:gridCol w:w="4535"/>
        <w:gridCol w:w="4535"/>
      </w:tblGrid>
      <w:tr w:rsidR="00B3792F" w:rsidRPr="00027624" w14:paraId="6307A357" w14:textId="77777777" w:rsidTr="00B3792F">
        <w:tc>
          <w:tcPr>
            <w:tcW w:w="2500" w:type="pct"/>
          </w:tcPr>
          <w:p w14:paraId="5A1A6009" w14:textId="77777777" w:rsidR="00B3792F" w:rsidRPr="00027624" w:rsidRDefault="00B3792F" w:rsidP="00B3792F">
            <w:pPr>
              <w:pStyle w:val="ChartSecondHeading"/>
            </w:pPr>
            <w:r w:rsidRPr="00027624">
              <w:t>Women</w:t>
            </w:r>
          </w:p>
        </w:tc>
        <w:tc>
          <w:tcPr>
            <w:tcW w:w="2500" w:type="pct"/>
          </w:tcPr>
          <w:p w14:paraId="40E31774" w14:textId="77777777" w:rsidR="00B3792F" w:rsidRPr="00027624" w:rsidRDefault="00B3792F" w:rsidP="00B3792F">
            <w:pPr>
              <w:pStyle w:val="ChartSecondHeading"/>
            </w:pPr>
            <w:r w:rsidRPr="00027624">
              <w:t xml:space="preserve">Men </w:t>
            </w:r>
          </w:p>
        </w:tc>
      </w:tr>
    </w:tbl>
    <w:p w14:paraId="37123784" w14:textId="77777777" w:rsidR="00B3792F" w:rsidRPr="00027624" w:rsidRDefault="00730139" w:rsidP="00B3792F">
      <w:pPr>
        <w:pStyle w:val="ChartGraphic"/>
      </w:pPr>
      <w:r>
        <w:rPr>
          <w:noProof/>
        </w:rPr>
        <w:drawing>
          <wp:inline distT="0" distB="0" distL="0" distR="0" wp14:anchorId="739A553C" wp14:editId="02C4CD8C">
            <wp:extent cx="5577840" cy="2529840"/>
            <wp:effectExtent l="0" t="0" r="3810" b="3810"/>
            <wp:docPr id="668634350" name="Picture 668634350" descr="This chart shows that the proportion of total retirement income derived from the Age Pension is projected to decrease with income. At the 10th percentile, women are projected to receive over 80 per cent of their income from the Age Pension, while men are projected to receive around 70 per cent. At the 90th gender-based income percentile, women are still projected to receive some of their income from the Age Pension, while men are projected to receive no income from the Age Pension. " title="Chart 3B-19 Proportional source of projected total retirement income, by gender and e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50E8A6E8" w14:textId="77777777" w:rsidR="00B3792F" w:rsidRPr="00027624" w:rsidRDefault="00B3792F" w:rsidP="00B3792F">
      <w:pPr>
        <w:pStyle w:val="ChartorTableNote"/>
      </w:pPr>
      <w:r w:rsidRPr="00027624">
        <w:t>Note: Calculations are based on values deflated using the review</w:t>
      </w:r>
      <w:r w:rsidR="00A8443E" w:rsidRPr="00027624">
        <w:t>’</w:t>
      </w:r>
      <w:r w:rsidRPr="00027624">
        <w:t>s mixed deflator. Source: Cameo modelling undertaken for the review.</w:t>
      </w:r>
    </w:p>
    <w:p w14:paraId="0857F7F6" w14:textId="77777777" w:rsidR="00B3792F" w:rsidRPr="00027624" w:rsidRDefault="00B3792F" w:rsidP="00B3792F">
      <w:pPr>
        <w:pStyle w:val="Heading3"/>
      </w:pPr>
      <w:bookmarkStart w:id="1702" w:name="_Toc40366130"/>
      <w:bookmarkStart w:id="1703" w:name="_Toc40369676"/>
      <w:bookmarkStart w:id="1704" w:name="_Toc40427646"/>
      <w:bookmarkStart w:id="1705" w:name="_Toc40458085"/>
      <w:bookmarkStart w:id="1706" w:name="_Toc40461854"/>
      <w:bookmarkStart w:id="1707" w:name="_Toc40474409"/>
      <w:bookmarkStart w:id="1708" w:name="_Toc40477938"/>
      <w:bookmarkStart w:id="1709" w:name="_Toc40521518"/>
      <w:bookmarkStart w:id="1710" w:name="_Toc40530377"/>
      <w:bookmarkStart w:id="1711" w:name="_Toc42778805"/>
      <w:bookmarkStart w:id="1712" w:name="_Toc42779945"/>
      <w:bookmarkStart w:id="1713" w:name="_Toc42780374"/>
      <w:bookmarkStart w:id="1714" w:name="_Toc42786364"/>
      <w:bookmarkStart w:id="1715" w:name="_Toc42791857"/>
      <w:bookmarkStart w:id="1716" w:name="_Toc42792019"/>
      <w:bookmarkStart w:id="1717" w:name="_Toc43117826"/>
      <w:bookmarkStart w:id="1718" w:name="_Toc43121465"/>
      <w:bookmarkStart w:id="1719" w:name="_Toc43122670"/>
      <w:bookmarkStart w:id="1720" w:name="_Toc43127725"/>
      <w:r w:rsidRPr="00027624">
        <w:t>Cameo modelling of retirement factors that cause gender gaps</w:t>
      </w:r>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p>
    <w:p w14:paraId="31D05E80" w14:textId="01C22605" w:rsidR="00B3792F" w:rsidRDefault="00B3792F" w:rsidP="00B3792F">
      <w:r w:rsidRPr="00027624">
        <w:t>Other than at higher</w:t>
      </w:r>
      <w:r w:rsidR="00A8443E" w:rsidRPr="00027624">
        <w:noBreakHyphen/>
      </w:r>
      <w:r w:rsidRPr="00027624">
        <w:t xml:space="preserve">income levels, </w:t>
      </w:r>
      <w:r w:rsidRPr="00027624">
        <w:rPr>
          <w:b/>
          <w:bCs/>
        </w:rPr>
        <w:t>the gender gap in average retirement incomes is significantly smaller than both the gender gaps in working</w:t>
      </w:r>
      <w:r w:rsidR="00A8443E" w:rsidRPr="00027624">
        <w:rPr>
          <w:b/>
          <w:bCs/>
        </w:rPr>
        <w:noBreakHyphen/>
      </w:r>
      <w:r w:rsidRPr="00027624">
        <w:rPr>
          <w:b/>
          <w:bCs/>
        </w:rPr>
        <w:t>life earnings and in superannuation balances at retirement</w:t>
      </w:r>
      <w:r w:rsidRPr="00027624">
        <w:t xml:space="preserve"> (</w:t>
      </w:r>
      <w:r w:rsidRPr="00027624">
        <w:fldChar w:fldCharType="begin"/>
      </w:r>
      <w:r w:rsidRPr="00027624">
        <w:instrText xml:space="preserve"> REF _Ref36034083 \r \h  \* MERGEFORMAT </w:instrText>
      </w:r>
      <w:r w:rsidRPr="00027624">
        <w:fldChar w:fldCharType="separate"/>
      </w:r>
      <w:r w:rsidR="00891058">
        <w:t>Chart 3B-20</w:t>
      </w:r>
      <w:r w:rsidRPr="00027624">
        <w:fldChar w:fldCharType="end"/>
      </w:r>
      <w:r w:rsidRPr="00027624">
        <w:t>). This is primarily due to the Age Pension, which helps offset inequities experienced in working life.</w:t>
      </w:r>
    </w:p>
    <w:p w14:paraId="21C62EF1" w14:textId="77777777" w:rsidR="00E6278F" w:rsidRPr="00027624" w:rsidRDefault="00E6278F" w:rsidP="00DA5C05">
      <w:pPr>
        <w:pStyle w:val="Bullet"/>
        <w:numPr>
          <w:ilvl w:val="0"/>
          <w:numId w:val="44"/>
        </w:numPr>
        <w:spacing w:before="240"/>
        <w:ind w:left="284" w:hanging="284"/>
      </w:pPr>
      <w:r w:rsidRPr="00027624">
        <w:t xml:space="preserve">The </w:t>
      </w:r>
      <w:r w:rsidRPr="00027624">
        <w:rPr>
          <w:b/>
        </w:rPr>
        <w:t>Age Pension</w:t>
      </w:r>
      <w:r w:rsidRPr="00027624">
        <w:t xml:space="preserve"> reduces the gender gap in average retirement incomes because: </w:t>
      </w:r>
    </w:p>
    <w:p w14:paraId="4B03903E" w14:textId="77777777" w:rsidR="00E6278F" w:rsidRPr="00027624" w:rsidRDefault="00E6278F" w:rsidP="00FC7361">
      <w:pPr>
        <w:pStyle w:val="Dash"/>
        <w:numPr>
          <w:ilvl w:val="1"/>
          <w:numId w:val="44"/>
        </w:numPr>
      </w:pPr>
      <w:r w:rsidRPr="00027624">
        <w:t>With lower superannuation balances, women receive higher rates of Age Pension under the means test compared to men at the same earnings percentile.</w:t>
      </w:r>
    </w:p>
    <w:p w14:paraId="62C1794E" w14:textId="77777777" w:rsidR="00E6278F" w:rsidRPr="00027624" w:rsidRDefault="00E6278F" w:rsidP="00FC7361">
      <w:pPr>
        <w:pStyle w:val="Dash"/>
        <w:numPr>
          <w:ilvl w:val="1"/>
          <w:numId w:val="44"/>
        </w:numPr>
      </w:pPr>
      <w:r w:rsidRPr="00027624">
        <w:t xml:space="preserve">Even when men and women are receiving the same rate of Age Pension, it provides a base income that makes differences in private income less significant. </w:t>
      </w:r>
    </w:p>
    <w:p w14:paraId="33579CEC" w14:textId="77777777" w:rsidR="00E6278F" w:rsidRPr="00027624" w:rsidRDefault="00E6278F" w:rsidP="00DA5C05">
      <w:pPr>
        <w:pStyle w:val="Bullet"/>
        <w:numPr>
          <w:ilvl w:val="0"/>
          <w:numId w:val="44"/>
        </w:numPr>
        <w:ind w:left="284" w:hanging="284"/>
      </w:pPr>
      <w:r w:rsidRPr="00027624">
        <w:rPr>
          <w:b/>
        </w:rPr>
        <w:t xml:space="preserve">Higher life expectancies </w:t>
      </w:r>
      <w:r w:rsidRPr="00027624">
        <w:t>for women reduce the average retirement incomes of women relative to men, particularly for those with high balances who receive less, or no, Age Pension.</w:t>
      </w:r>
    </w:p>
    <w:p w14:paraId="432BDFAD" w14:textId="77777777" w:rsidR="00E6278F" w:rsidRPr="00027624" w:rsidRDefault="00E6278F" w:rsidP="00DA5C05">
      <w:pPr>
        <w:pStyle w:val="Bullet"/>
        <w:numPr>
          <w:ilvl w:val="0"/>
          <w:numId w:val="44"/>
        </w:numPr>
        <w:ind w:left="284" w:hanging="284"/>
      </w:pPr>
      <w:r w:rsidRPr="00027624">
        <w:rPr>
          <w:b/>
        </w:rPr>
        <w:t xml:space="preserve">Compounding returns </w:t>
      </w:r>
      <w:r w:rsidRPr="00027624">
        <w:t xml:space="preserve">increase the gender gap in retirement incomes, as women tend to have lower superannuation balances from which to benefit from compounding. </w:t>
      </w:r>
    </w:p>
    <w:p w14:paraId="0530D6CE" w14:textId="77777777" w:rsidR="00E6278F" w:rsidRPr="00027624" w:rsidRDefault="00E6278F" w:rsidP="00DA5C05">
      <w:pPr>
        <w:pStyle w:val="Bullet"/>
        <w:numPr>
          <w:ilvl w:val="0"/>
          <w:numId w:val="44"/>
        </w:numPr>
        <w:ind w:left="284" w:hanging="284"/>
      </w:pPr>
      <w:r w:rsidRPr="00027624">
        <w:rPr>
          <w:b/>
        </w:rPr>
        <w:t>Fees</w:t>
      </w:r>
      <w:r w:rsidRPr="00027624">
        <w:t xml:space="preserve"> reduce the gender gap in retirement incomes, as men, on average, have higher balances in retirement. This means they pay higher fees than women, as most fees in retirement are a proportion of the superannuation balance </w:t>
      </w:r>
      <w:sdt>
        <w:sdtPr>
          <w:rPr>
            <w:szCs w:val="22"/>
          </w:rPr>
          <w:id w:val="6185558"/>
          <w:citation/>
        </w:sdtPr>
        <w:sdtEndPr/>
        <w:sdtContent>
          <w:r w:rsidRPr="00027624">
            <w:rPr>
              <w:szCs w:val="22"/>
            </w:rPr>
            <w:fldChar w:fldCharType="begin"/>
          </w:r>
          <w:r w:rsidRPr="00027624">
            <w:rPr>
              <w:szCs w:val="22"/>
            </w:rPr>
            <w:instrText xml:space="preserve">CITATION Pro18 \p 168 \l 3081 </w:instrText>
          </w:r>
          <w:r w:rsidRPr="00027624">
            <w:rPr>
              <w:szCs w:val="22"/>
            </w:rPr>
            <w:fldChar w:fldCharType="separate"/>
          </w:r>
          <w:r w:rsidR="00E83F6E" w:rsidRPr="00E83F6E">
            <w:rPr>
              <w:noProof/>
              <w:szCs w:val="22"/>
            </w:rPr>
            <w:t>(Productivity Commission, 2018a, p. 168)</w:t>
          </w:r>
          <w:r w:rsidRPr="00027624">
            <w:rPr>
              <w:szCs w:val="22"/>
            </w:rPr>
            <w:fldChar w:fldCharType="end"/>
          </w:r>
        </w:sdtContent>
      </w:sdt>
      <w:r w:rsidRPr="00027624">
        <w:rPr>
          <w:szCs w:val="22"/>
        </w:rPr>
        <w:t>.</w:t>
      </w:r>
    </w:p>
    <w:p w14:paraId="3DAD3FFA" w14:textId="77777777" w:rsidR="00E6278F" w:rsidRPr="00027624" w:rsidRDefault="00E6278F" w:rsidP="00DA5C05">
      <w:pPr>
        <w:pStyle w:val="Bullet"/>
        <w:numPr>
          <w:ilvl w:val="0"/>
          <w:numId w:val="44"/>
        </w:numPr>
        <w:ind w:left="284" w:hanging="284"/>
      </w:pPr>
      <w:r w:rsidRPr="00027624">
        <w:t xml:space="preserve">At very high incomes, the </w:t>
      </w:r>
      <w:r w:rsidRPr="00027624">
        <w:rPr>
          <w:b/>
        </w:rPr>
        <w:t>transfer balance cap</w:t>
      </w:r>
      <w:r w:rsidRPr="00027624">
        <w:t xml:space="preserve"> reduces the gender gap in retirement incomes, as higher</w:t>
      </w:r>
      <w:r w:rsidRPr="00027624">
        <w:noBreakHyphen/>
        <w:t>balance men have more of their savings subject to tax than higher</w:t>
      </w:r>
      <w:r w:rsidRPr="00027624">
        <w:noBreakHyphen/>
        <w:t xml:space="preserve">balance women (see </w:t>
      </w:r>
      <w:r w:rsidRPr="00027624">
        <w:rPr>
          <w:i/>
        </w:rPr>
        <w:t>1B. Design of Australia’s retirement income system</w:t>
      </w:r>
      <w:r w:rsidRPr="00027624">
        <w:t xml:space="preserve">). </w:t>
      </w:r>
    </w:p>
    <w:p w14:paraId="3A7C3AEE" w14:textId="77777777" w:rsidR="00B3792F" w:rsidRPr="00027624" w:rsidRDefault="00B3792F" w:rsidP="00582C3E">
      <w:pPr>
        <w:pStyle w:val="ChartMainHeading"/>
      </w:pPr>
      <w:bookmarkStart w:id="1721" w:name="_Ref36034083"/>
      <w:r w:rsidRPr="00027624">
        <w:lastRenderedPageBreak/>
        <w:t>Factors that affect how the gender gap in superannuation balances at retirement translates into the gender gap in retirement incomes</w:t>
      </w:r>
      <w:bookmarkEnd w:id="1721"/>
    </w:p>
    <w:p w14:paraId="4AED7F85" w14:textId="77777777" w:rsidR="00B3792F" w:rsidRPr="00027624" w:rsidRDefault="00B3792F" w:rsidP="00B3792F">
      <w:pPr>
        <w:pStyle w:val="ChartSecondHeading"/>
      </w:pPr>
      <w:r w:rsidRPr="00027624">
        <w:t>50</w:t>
      </w:r>
      <w:r w:rsidRPr="00027624">
        <w:rPr>
          <w:vertAlign w:val="superscript"/>
        </w:rPr>
        <w:t>th</w:t>
      </w:r>
      <w:r w:rsidRPr="00027624">
        <w:t xml:space="preserve"> income percentile</w:t>
      </w:r>
    </w:p>
    <w:p w14:paraId="144200F6" w14:textId="77777777" w:rsidR="00B3792F" w:rsidRPr="00027624" w:rsidRDefault="00730139" w:rsidP="00B3792F">
      <w:pPr>
        <w:pStyle w:val="ChartGraphic"/>
      </w:pPr>
      <w:r>
        <w:rPr>
          <w:noProof/>
        </w:rPr>
        <w:drawing>
          <wp:inline distT="0" distB="0" distL="0" distR="0" wp14:anchorId="530E12F4" wp14:editId="5DFA0317">
            <wp:extent cx="5554800" cy="2498400"/>
            <wp:effectExtent l="0" t="0" r="8255" b="0"/>
            <wp:docPr id="668634351" name="Picture 668634351" descr="This chart shows how the gender gap in superannuation balances at retirement translated into the gender gap in retirement incomes, at the 50th income percentile. The gap in superannuation is 41.7 per cent. The Age Pension reduces this gap by 29.5 per cent. Life expectancy increases the gap by 2.6 per cent. Compounding increases it by a further 1.9 per cent. Fees reduce it by 0.8 per cent. The interaction between these factors reduces it by a further 1.4 per cent. The gap in retirement incomes is 14.6 per cent." title="Chart 3B-20 Factors that affect how the gender gap in superannuation balances at retirement translates into the gender gap in retirement in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54800" cy="2498400"/>
                    </a:xfrm>
                    <a:prstGeom prst="rect">
                      <a:avLst/>
                    </a:prstGeom>
                    <a:noFill/>
                  </pic:spPr>
                </pic:pic>
              </a:graphicData>
            </a:graphic>
          </wp:inline>
        </w:drawing>
      </w:r>
    </w:p>
    <w:p w14:paraId="432BA992" w14:textId="7D62C4BF" w:rsidR="00B3792F" w:rsidRPr="00027624" w:rsidRDefault="00B3792F" w:rsidP="00E6278F">
      <w:pPr>
        <w:pStyle w:val="ChartorTableNote"/>
        <w:spacing w:before="0" w:after="120"/>
      </w:pPr>
      <w:r w:rsidRPr="00027624">
        <w:t>Note: Chart shows the impact of removing individual factors on the gender gap in retirement incomes (e.g. comparing a world where fees in retirement do not exist to standard gender cameo model specifications) for the 50</w:t>
      </w:r>
      <w:r w:rsidRPr="00027624">
        <w:rPr>
          <w:vertAlign w:val="superscript"/>
        </w:rPr>
        <w:t>th</w:t>
      </w:r>
      <w:r w:rsidRPr="00027624">
        <w:t xml:space="preserve"> income percentile. Removing all the factors listed results in a gender gap in retirement incomes equal to the gender gap in superannuation balances at retirement. </w:t>
      </w:r>
      <w:r w:rsidR="00A8443E" w:rsidRPr="00027624">
        <w:t>‘</w:t>
      </w:r>
      <w:r w:rsidRPr="00027624">
        <w:t>Compounding</w:t>
      </w:r>
      <w:r w:rsidR="00A8443E" w:rsidRPr="00027624">
        <w:t>’</w:t>
      </w:r>
      <w:r w:rsidRPr="00027624">
        <w:t xml:space="preserve"> isolates the impact of real investment returns on superannuation balance during retirement. </w:t>
      </w:r>
      <w:r w:rsidR="00A8443E" w:rsidRPr="00027624">
        <w:t>‘</w:t>
      </w:r>
      <w:r w:rsidRPr="00027624">
        <w:t>Life expectancy</w:t>
      </w:r>
      <w:r w:rsidR="00A8443E" w:rsidRPr="00027624">
        <w:t>’</w:t>
      </w:r>
      <w:r w:rsidRPr="00027624">
        <w:t xml:space="preserve"> isolates the effect of different life expectancies for men and women on retirement income by assuming both genders have the same life expectancy of 92. </w:t>
      </w:r>
      <w:r w:rsidR="00A8443E" w:rsidRPr="00027624">
        <w:t>‘</w:t>
      </w:r>
      <w:r w:rsidRPr="00027624">
        <w:t>Private savings</w:t>
      </w:r>
      <w:r w:rsidR="00A8443E" w:rsidRPr="00027624">
        <w:t>’</w:t>
      </w:r>
      <w:r w:rsidRPr="00027624">
        <w:t xml:space="preserve"> refers to non</w:t>
      </w:r>
      <w:r w:rsidR="00A8443E" w:rsidRPr="00027624">
        <w:noBreakHyphen/>
      </w:r>
      <w:r w:rsidRPr="00027624">
        <w:t xml:space="preserve">superannuation wealth. The </w:t>
      </w:r>
      <w:r w:rsidR="00A8443E" w:rsidRPr="00027624">
        <w:t>‘</w:t>
      </w:r>
      <w:r w:rsidRPr="00027624">
        <w:t>interaction</w:t>
      </w:r>
      <w:r w:rsidR="00A8443E" w:rsidRPr="00027624">
        <w:t>’</w:t>
      </w:r>
      <w:r w:rsidRPr="00027624">
        <w:t xml:space="preserve"> field indicates the impact of the interaction between elements (e.g. the interaction between removing fees and compounding returns, which is not captured in removing only fees or only compounding returns). The interaction field is larger in this chart than in </w:t>
      </w:r>
      <w:r w:rsidRPr="00027624">
        <w:fldChar w:fldCharType="begin"/>
      </w:r>
      <w:r w:rsidRPr="00027624">
        <w:instrText xml:space="preserve"> REF _Ref36033922 \r \h  \* MERGEFORMAT </w:instrText>
      </w:r>
      <w:r w:rsidRPr="00027624">
        <w:fldChar w:fldCharType="separate"/>
      </w:r>
      <w:r w:rsidR="00891058">
        <w:t>Chart 3B-14</w:t>
      </w:r>
      <w:r w:rsidRPr="00027624">
        <w:fldChar w:fldCharType="end"/>
      </w:r>
      <w:r w:rsidRPr="00027624">
        <w:t>, given the significant interaction each factor has with Age Pension receipt. This analysis does not include voluntary contributions other than salary sacrifice. Including these contributions would likely reduce the gender gap in superannuation balances at retirement. Calculations are based on values deflated using the review</w:t>
      </w:r>
      <w:r w:rsidR="00A8443E" w:rsidRPr="00027624">
        <w:t>’</w:t>
      </w:r>
      <w:r w:rsidRPr="00027624">
        <w:t>s mixed deflator. Results for the 10</w:t>
      </w:r>
      <w:r w:rsidRPr="00027624">
        <w:rPr>
          <w:vertAlign w:val="superscript"/>
        </w:rPr>
        <w:t>th</w:t>
      </w:r>
      <w:r w:rsidRPr="00027624">
        <w:t>, 30</w:t>
      </w:r>
      <w:r w:rsidRPr="00027624">
        <w:rPr>
          <w:vertAlign w:val="superscript"/>
        </w:rPr>
        <w:t>th</w:t>
      </w:r>
      <w:r w:rsidRPr="00027624">
        <w:t>, 70</w:t>
      </w:r>
      <w:r w:rsidRPr="00027624">
        <w:rPr>
          <w:vertAlign w:val="superscript"/>
        </w:rPr>
        <w:t>th</w:t>
      </w:r>
      <w:r w:rsidRPr="00027624">
        <w:t xml:space="preserve"> and 90</w:t>
      </w:r>
      <w:r w:rsidRPr="00027624">
        <w:rPr>
          <w:vertAlign w:val="superscript"/>
        </w:rPr>
        <w:t>th</w:t>
      </w:r>
      <w:r w:rsidRPr="00027624">
        <w:t xml:space="preserve"> income percentiles are in </w:t>
      </w:r>
      <w:r w:rsidRPr="00027624">
        <w:rPr>
          <w:i/>
        </w:rPr>
        <w:t xml:space="preserve">Appendix 6D. Supplementary </w:t>
      </w:r>
      <w:r w:rsidR="00571817" w:rsidRPr="00027624">
        <w:rPr>
          <w:i/>
        </w:rPr>
        <w:t>e</w:t>
      </w:r>
      <w:r w:rsidRPr="00027624">
        <w:rPr>
          <w:i/>
        </w:rPr>
        <w:t>quity</w:t>
      </w:r>
      <w:r w:rsidRPr="00955FAD">
        <w:rPr>
          <w:i/>
        </w:rPr>
        <w:t xml:space="preserve"> charts</w:t>
      </w:r>
      <w:r w:rsidRPr="00027624">
        <w:t xml:space="preserve">. Source: Cameo modelling undertaken for the review. </w:t>
      </w:r>
    </w:p>
    <w:p w14:paraId="7D151576" w14:textId="77777777" w:rsidR="00B3792F" w:rsidRPr="00027624" w:rsidRDefault="00B3792F" w:rsidP="00E6278F">
      <w:pPr>
        <w:pStyle w:val="Heading3"/>
        <w:spacing w:before="120"/>
      </w:pPr>
      <w:bookmarkStart w:id="1722" w:name="_Toc40366131"/>
      <w:bookmarkStart w:id="1723" w:name="_Toc40369677"/>
      <w:bookmarkStart w:id="1724" w:name="_Toc40427647"/>
      <w:bookmarkStart w:id="1725" w:name="_Toc40458086"/>
      <w:bookmarkStart w:id="1726" w:name="_Toc40461855"/>
      <w:bookmarkStart w:id="1727" w:name="_Toc40474410"/>
      <w:bookmarkStart w:id="1728" w:name="_Toc40477939"/>
      <w:bookmarkStart w:id="1729" w:name="_Toc40521519"/>
      <w:bookmarkStart w:id="1730" w:name="_Toc40530378"/>
      <w:bookmarkStart w:id="1731" w:name="_Toc42778806"/>
      <w:bookmarkStart w:id="1732" w:name="_Toc42779946"/>
      <w:bookmarkStart w:id="1733" w:name="_Toc42780375"/>
      <w:bookmarkStart w:id="1734" w:name="_Toc42786365"/>
      <w:bookmarkStart w:id="1735" w:name="_Toc42791858"/>
      <w:bookmarkStart w:id="1736" w:name="_Toc42792020"/>
      <w:bookmarkStart w:id="1737" w:name="_Toc43117827"/>
      <w:bookmarkStart w:id="1738" w:name="_Toc43121466"/>
      <w:bookmarkStart w:id="1739" w:name="_Toc43122671"/>
      <w:bookmarkStart w:id="1740" w:name="_Toc43127726"/>
      <w:r w:rsidRPr="00027624">
        <w:t>Empirical analysis of the gender gap in retirement incomes</w:t>
      </w:r>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p>
    <w:p w14:paraId="2CE53E63" w14:textId="41556B6E" w:rsidR="00B3792F" w:rsidRPr="00027624" w:rsidRDefault="00B3792F" w:rsidP="00B3792F">
      <w:r w:rsidRPr="00027624">
        <w:t>Pre</w:t>
      </w:r>
      <w:r w:rsidR="00A8443E" w:rsidRPr="00027624">
        <w:noBreakHyphen/>
      </w:r>
      <w:r w:rsidRPr="00027624">
        <w:t>retirement, the gender gap in disposable income is more prevalent for coupled women than single women (</w:t>
      </w:r>
      <w:r w:rsidRPr="00027624">
        <w:fldChar w:fldCharType="begin"/>
      </w:r>
      <w:r w:rsidRPr="00027624">
        <w:instrText xml:space="preserve"> REF _Ref37326461 \r \h  \* MERGEFORMAT </w:instrText>
      </w:r>
      <w:r w:rsidRPr="00027624">
        <w:fldChar w:fldCharType="separate"/>
      </w:r>
      <w:r w:rsidR="00891058">
        <w:t>Chart 3B-21</w:t>
      </w:r>
      <w:r w:rsidRPr="00027624">
        <w:fldChar w:fldCharType="end"/>
      </w:r>
      <w:r w:rsidRPr="00027624">
        <w:t xml:space="preserve">). For those in retirement, the disposable income gap between median coupled men and women is significantly less. </w:t>
      </w:r>
    </w:p>
    <w:p w14:paraId="719732CE" w14:textId="77777777" w:rsidR="00B3792F" w:rsidRPr="00027624" w:rsidRDefault="00B3792F" w:rsidP="00582C3E">
      <w:pPr>
        <w:pStyle w:val="ChartMainHeading"/>
      </w:pPr>
      <w:bookmarkStart w:id="1741" w:name="_Ref37326461"/>
      <w:r w:rsidRPr="00027624">
        <w:t>Gender gap in median disposable income, by age and partnered status</w:t>
      </w:r>
      <w:bookmarkEnd w:id="1741"/>
    </w:p>
    <w:p w14:paraId="5084F6AE" w14:textId="77777777" w:rsidR="00B3792F" w:rsidRPr="00027624" w:rsidRDefault="00730139" w:rsidP="00B3792F">
      <w:pPr>
        <w:pStyle w:val="ChartGraphic"/>
      </w:pPr>
      <w:r>
        <w:rPr>
          <w:noProof/>
        </w:rPr>
        <w:drawing>
          <wp:inline distT="0" distB="0" distL="0" distR="0" wp14:anchorId="5B558223" wp14:editId="7A6E716C">
            <wp:extent cx="5533200" cy="2498400"/>
            <wp:effectExtent l="0" t="0" r="0" b="0"/>
            <wp:docPr id="668634352" name="Picture 668634352" descr="This chart shows that the gender gap in median disposable income between single men and single women is small. Between ages 25-34 and 55-64, single women have more disposable income than single men. The gender gap between coupled men and coupled women is larger and slightly increases in working life, from 30 per cent at ages 25-34 to around 40 per cent at ages 45-54, before decreasing sharply from ages 65-74." title="Chart 3B-21 Gender gap in median disposable income, by age and partnere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33200" cy="2498400"/>
                    </a:xfrm>
                    <a:prstGeom prst="rect">
                      <a:avLst/>
                    </a:prstGeom>
                    <a:noFill/>
                  </pic:spPr>
                </pic:pic>
              </a:graphicData>
            </a:graphic>
          </wp:inline>
        </w:drawing>
      </w:r>
    </w:p>
    <w:p w14:paraId="17F85624" w14:textId="77777777" w:rsidR="00B3792F" w:rsidRPr="00027624" w:rsidRDefault="00B3792F" w:rsidP="00B3792F">
      <w:pPr>
        <w:pStyle w:val="ChartorTableNote"/>
      </w:pPr>
      <w:r w:rsidRPr="00027624">
        <w:t>Note: Data from 2017</w:t>
      </w:r>
      <w:r w:rsidR="00A8443E" w:rsidRPr="00027624">
        <w:noBreakHyphen/>
      </w:r>
      <w:r w:rsidRPr="00027624">
        <w:t xml:space="preserve">18. A negative gender gap means women have more disposable income than men. Source: </w:t>
      </w:r>
      <w:r w:rsidR="002A74C8" w:rsidRPr="00027624">
        <w:t>Analysis of ABS Survey of Income and Housing Confidentialised Unit Record File, 2017-18.</w:t>
      </w:r>
    </w:p>
    <w:p w14:paraId="2D0D7041" w14:textId="77777777" w:rsidR="00B3792F" w:rsidRPr="00027624" w:rsidRDefault="00B3792F" w:rsidP="00B3792F">
      <w:pPr>
        <w:pStyle w:val="Heading2"/>
      </w:pPr>
      <w:bookmarkStart w:id="1742" w:name="_Ref35339550"/>
      <w:bookmarkStart w:id="1743" w:name="_Ref35244443"/>
      <w:bookmarkStart w:id="1744" w:name="_Ref35244595"/>
      <w:bookmarkStart w:id="1745" w:name="_Toc40366132"/>
      <w:bookmarkStart w:id="1746" w:name="_Toc40369678"/>
      <w:bookmarkStart w:id="1747" w:name="_Toc40427648"/>
      <w:bookmarkStart w:id="1748" w:name="_Toc40458087"/>
      <w:bookmarkStart w:id="1749" w:name="_Toc40461856"/>
      <w:bookmarkStart w:id="1750" w:name="_Toc40474411"/>
      <w:bookmarkStart w:id="1751" w:name="_Toc40477940"/>
      <w:bookmarkStart w:id="1752" w:name="_Toc40521520"/>
      <w:bookmarkStart w:id="1753" w:name="_Toc40530379"/>
      <w:bookmarkStart w:id="1754" w:name="_Toc42778807"/>
      <w:bookmarkStart w:id="1755" w:name="_Toc42779947"/>
      <w:bookmarkStart w:id="1756" w:name="_Toc42780376"/>
      <w:bookmarkStart w:id="1757" w:name="_Toc42786366"/>
      <w:bookmarkStart w:id="1758" w:name="_Toc42791859"/>
      <w:bookmarkStart w:id="1759" w:name="_Toc42792021"/>
      <w:bookmarkStart w:id="1760" w:name="_Toc43117828"/>
      <w:bookmarkStart w:id="1761" w:name="_Toc43121467"/>
      <w:bookmarkStart w:id="1762" w:name="_Toc43122672"/>
      <w:bookmarkStart w:id="1763" w:name="_Toc43127727"/>
      <w:bookmarkStart w:id="1764" w:name="_Toc45520499"/>
      <w:bookmarkStart w:id="1765" w:name="_Toc46133610"/>
      <w:bookmarkEnd w:id="1742"/>
      <w:bookmarkEnd w:id="1743"/>
      <w:bookmarkEnd w:id="1744"/>
      <w:r w:rsidRPr="00027624">
        <w:lastRenderedPageBreak/>
        <w:t>Retirement trends and characteristics by partnered status</w:t>
      </w:r>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p>
    <w:p w14:paraId="77984AE5" w14:textId="77777777" w:rsidR="00B3792F" w:rsidRPr="00027624" w:rsidRDefault="00B3792F" w:rsidP="00B3792F">
      <w:pPr>
        <w:pStyle w:val="Heading3"/>
      </w:pPr>
      <w:bookmarkStart w:id="1766" w:name="_Toc40366133"/>
      <w:bookmarkStart w:id="1767" w:name="_Toc40369679"/>
      <w:bookmarkStart w:id="1768" w:name="_Toc40427649"/>
      <w:bookmarkStart w:id="1769" w:name="_Toc40458088"/>
      <w:bookmarkStart w:id="1770" w:name="_Toc40461857"/>
      <w:bookmarkStart w:id="1771" w:name="_Toc40474412"/>
      <w:bookmarkStart w:id="1772" w:name="_Toc40477941"/>
      <w:bookmarkStart w:id="1773" w:name="_Toc40521521"/>
      <w:bookmarkStart w:id="1774" w:name="_Toc40530380"/>
      <w:bookmarkStart w:id="1775" w:name="_Toc42778808"/>
      <w:bookmarkStart w:id="1776" w:name="_Toc42779948"/>
      <w:bookmarkStart w:id="1777" w:name="_Toc42780377"/>
      <w:bookmarkStart w:id="1778" w:name="_Toc42786367"/>
      <w:bookmarkStart w:id="1779" w:name="_Toc42791860"/>
      <w:bookmarkStart w:id="1780" w:name="_Toc42792022"/>
      <w:bookmarkStart w:id="1781" w:name="_Toc43117829"/>
      <w:bookmarkStart w:id="1782" w:name="_Toc43121468"/>
      <w:bookmarkStart w:id="1783" w:name="_Toc43122673"/>
      <w:bookmarkStart w:id="1784" w:name="_Toc43127728"/>
      <w:r w:rsidRPr="00027624">
        <w:t>Distribution of assets for singles and couples</w:t>
      </w:r>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p>
    <w:p w14:paraId="287E38DE" w14:textId="0929389B" w:rsidR="00B3792F" w:rsidRPr="00027624" w:rsidRDefault="00B3792F" w:rsidP="00B3792F">
      <w:r w:rsidRPr="00027624">
        <w:rPr>
          <w:b/>
          <w:bCs/>
        </w:rPr>
        <w:t xml:space="preserve">In retirement, a greater proportion of single people, particularly men, are asset poor compared to couples. </w:t>
      </w:r>
      <w:r w:rsidRPr="00027624">
        <w:t>The lowest wealth decile has a higher number and proportion of single men and women compared to couples.</w:t>
      </w:r>
      <w:r w:rsidRPr="00027624">
        <w:rPr>
          <w:rStyle w:val="FootnoteReference"/>
        </w:rPr>
        <w:footnoteReference w:id="162"/>
      </w:r>
      <w:r w:rsidRPr="00027624">
        <w:t xml:space="preserve"> However, in absolute terms, asset</w:t>
      </w:r>
      <w:r w:rsidR="00A8443E" w:rsidRPr="00027624">
        <w:noBreakHyphen/>
      </w:r>
      <w:r w:rsidRPr="00027624">
        <w:t>poor, single women outnumber asset</w:t>
      </w:r>
      <w:r w:rsidR="00A8443E" w:rsidRPr="00027624">
        <w:noBreakHyphen/>
      </w:r>
      <w:r w:rsidRPr="00027624">
        <w:t xml:space="preserve">poor, single men, as there are a greater total number of single women in retirement (see </w:t>
      </w:r>
      <w:r w:rsidRPr="00027624">
        <w:rPr>
          <w:i/>
        </w:rPr>
        <w:fldChar w:fldCharType="begin"/>
      </w:r>
      <w:r w:rsidRPr="00027624">
        <w:rPr>
          <w:i/>
        </w:rPr>
        <w:instrText xml:space="preserve"> REF _Ref44605418 \h  \* MERGEFORMAT </w:instrText>
      </w:r>
      <w:r w:rsidRPr="00027624">
        <w:rPr>
          <w:i/>
        </w:rPr>
      </w:r>
      <w:r w:rsidRPr="00027624">
        <w:rPr>
          <w:i/>
        </w:rPr>
        <w:fldChar w:fldCharType="separate"/>
      </w:r>
      <w:r w:rsidR="00891058" w:rsidRPr="00891058">
        <w:rPr>
          <w:i/>
        </w:rPr>
        <w:t>Becoming single in retirement</w:t>
      </w:r>
      <w:r w:rsidRPr="00027624">
        <w:rPr>
          <w:i/>
        </w:rPr>
        <w:fldChar w:fldCharType="end"/>
      </w:r>
      <w:r w:rsidRPr="00027624">
        <w:t xml:space="preserve">, below). </w:t>
      </w:r>
    </w:p>
    <w:p w14:paraId="0D5851ED" w14:textId="34B63AB5" w:rsidR="00B3792F" w:rsidRPr="00027624" w:rsidRDefault="0023126C" w:rsidP="00B3792F">
      <w:r w:rsidRPr="0023126C">
        <w:t xml:space="preserve">Across most of the wealth distribution, single women in retirement are more likely to have a higher proportion of their wealth in housing and less in superannuation than single men or couples </w:t>
      </w:r>
      <w:r w:rsidR="00B3792F" w:rsidRPr="00027624">
        <w:t>(</w:t>
      </w:r>
      <w:r w:rsidR="00B3792F" w:rsidRPr="00027624">
        <w:fldChar w:fldCharType="begin"/>
      </w:r>
      <w:r w:rsidR="00B3792F" w:rsidRPr="00027624">
        <w:instrText xml:space="preserve"> REF _Ref36034146 \r \h  \* MERGEFORMAT </w:instrText>
      </w:r>
      <w:r w:rsidR="00B3792F" w:rsidRPr="00027624">
        <w:fldChar w:fldCharType="separate"/>
      </w:r>
      <w:r w:rsidR="00891058">
        <w:t>Chart 3B-22</w:t>
      </w:r>
      <w:r w:rsidR="00B3792F" w:rsidRPr="00027624">
        <w:fldChar w:fldCharType="end"/>
      </w:r>
      <w:r w:rsidR="00B3792F" w:rsidRPr="00027624">
        <w:t xml:space="preserve">). </w:t>
      </w:r>
    </w:p>
    <w:p w14:paraId="104BAA32" w14:textId="77777777" w:rsidR="00B3792F" w:rsidRPr="00027624" w:rsidRDefault="00B3792F" w:rsidP="00582C3E">
      <w:pPr>
        <w:pStyle w:val="ChartMainHeading"/>
      </w:pPr>
      <w:bookmarkStart w:id="1785" w:name="_Ref36034146"/>
      <w:r w:rsidRPr="00027624">
        <w:t>Composition of retirees</w:t>
      </w:r>
      <w:r w:rsidR="00A8443E" w:rsidRPr="00027624">
        <w:t>’</w:t>
      </w:r>
      <w:r w:rsidRPr="00027624">
        <w:t xml:space="preserve"> assets by partnered status, gender and wealth decile</w:t>
      </w:r>
      <w:bookmarkEnd w:id="1785"/>
      <w:r w:rsidRPr="00027624">
        <w:t xml:space="preserve"> </w:t>
      </w:r>
    </w:p>
    <w:tbl>
      <w:tblPr>
        <w:tblW w:w="4454" w:type="pct"/>
        <w:jc w:val="center"/>
        <w:tblLook w:val="01E0" w:firstRow="1" w:lastRow="1" w:firstColumn="1" w:lastColumn="1" w:noHBand="0" w:noVBand="0"/>
      </w:tblPr>
      <w:tblGrid>
        <w:gridCol w:w="2694"/>
        <w:gridCol w:w="2694"/>
        <w:gridCol w:w="2692"/>
      </w:tblGrid>
      <w:tr w:rsidR="00B3792F" w:rsidRPr="00027624" w14:paraId="724BE875" w14:textId="77777777" w:rsidTr="00B307FF">
        <w:trPr>
          <w:jc w:val="center"/>
        </w:trPr>
        <w:tc>
          <w:tcPr>
            <w:tcW w:w="1667" w:type="pct"/>
          </w:tcPr>
          <w:p w14:paraId="41CD0360" w14:textId="77777777" w:rsidR="00B3792F" w:rsidRPr="00027624" w:rsidRDefault="00B3792F" w:rsidP="00B3792F">
            <w:pPr>
              <w:pStyle w:val="ChartSecondHeading"/>
            </w:pPr>
            <w:r w:rsidRPr="00027624">
              <w:t>Couple</w:t>
            </w:r>
          </w:p>
        </w:tc>
        <w:tc>
          <w:tcPr>
            <w:tcW w:w="1667" w:type="pct"/>
          </w:tcPr>
          <w:p w14:paraId="71075117" w14:textId="77777777" w:rsidR="00B3792F" w:rsidRPr="00027624" w:rsidRDefault="00B3792F" w:rsidP="00B3792F">
            <w:pPr>
              <w:pStyle w:val="ChartSecondHeading"/>
            </w:pPr>
            <w:r w:rsidRPr="00027624">
              <w:t>Single women</w:t>
            </w:r>
          </w:p>
        </w:tc>
        <w:tc>
          <w:tcPr>
            <w:tcW w:w="1666" w:type="pct"/>
          </w:tcPr>
          <w:p w14:paraId="40BEC9AE" w14:textId="77777777" w:rsidR="00B3792F" w:rsidRPr="00027624" w:rsidRDefault="00B3792F" w:rsidP="00512904">
            <w:pPr>
              <w:pStyle w:val="ChartSecondHeading"/>
            </w:pPr>
            <w:r w:rsidRPr="00027624">
              <w:t>Single men</w:t>
            </w:r>
          </w:p>
        </w:tc>
      </w:tr>
    </w:tbl>
    <w:p w14:paraId="6521BEF2" w14:textId="77777777" w:rsidR="00B3792F" w:rsidRPr="00027624" w:rsidRDefault="00BB42B9" w:rsidP="00B3792F">
      <w:pPr>
        <w:pStyle w:val="ChartGraphic"/>
      </w:pPr>
      <w:r>
        <w:rPr>
          <w:noProof/>
        </w:rPr>
        <w:drawing>
          <wp:inline distT="0" distB="0" distL="0" distR="0" wp14:anchorId="7A022DF9" wp14:editId="40AA9F78">
            <wp:extent cx="5638800" cy="3962400"/>
            <wp:effectExtent l="0" t="0" r="0" b="0"/>
            <wp:docPr id="815138309" name="Picture 815138309" descr="This chart shows that, at most wealth deciles, the home makes up more of the average single woman’s assets than the assets of couples or single men." title="Chart 3B-22 Composition of retirees’ assets by partnered status, gender and wealth dec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38800" cy="3962400"/>
                    </a:xfrm>
                    <a:prstGeom prst="rect">
                      <a:avLst/>
                    </a:prstGeom>
                    <a:noFill/>
                  </pic:spPr>
                </pic:pic>
              </a:graphicData>
            </a:graphic>
          </wp:inline>
        </w:drawing>
      </w:r>
    </w:p>
    <w:p w14:paraId="5AA74039" w14:textId="77777777" w:rsidR="00B3792F" w:rsidRPr="00027624" w:rsidRDefault="00B3792F" w:rsidP="00B3792F">
      <w:pPr>
        <w:pStyle w:val="ChartorTableNote"/>
      </w:pPr>
      <w:r w:rsidRPr="00027624">
        <w:t>Note: 2017</w:t>
      </w:r>
      <w:r w:rsidR="00A8443E" w:rsidRPr="00027624">
        <w:noBreakHyphen/>
      </w:r>
      <w:r w:rsidRPr="00027624">
        <w:t>18 data. This chart shows, for example, retired couples in the 2</w:t>
      </w:r>
      <w:r w:rsidRPr="00027624">
        <w:rPr>
          <w:vertAlign w:val="superscript"/>
        </w:rPr>
        <w:t>nd</w:t>
      </w:r>
      <w:r w:rsidRPr="00027624">
        <w:t xml:space="preserve"> wealth decile held, on average, 69 per cent of their wealth in housing, 14 per cent in financial assets and 17 per cent in superannuation. Equivalised means that the results are adjusted for household size. Negative net asset values not included for presentational purposes. Source: </w:t>
      </w:r>
      <w:r w:rsidR="002A74C8" w:rsidRPr="00027624">
        <w:t>Analysis of ABS Survey of Income and Housing Confidentialised Unit Record File, 2017-18.</w:t>
      </w:r>
    </w:p>
    <w:p w14:paraId="5D57C3A4" w14:textId="77777777" w:rsidR="00B3792F" w:rsidRPr="00027624" w:rsidRDefault="00B3792F" w:rsidP="00B3792F">
      <w:pPr>
        <w:pStyle w:val="Heading3"/>
      </w:pPr>
      <w:bookmarkStart w:id="1786" w:name="_Toc40366134"/>
      <w:bookmarkStart w:id="1787" w:name="_Toc40369680"/>
      <w:bookmarkStart w:id="1788" w:name="_Toc40427650"/>
      <w:bookmarkStart w:id="1789" w:name="_Toc40458089"/>
      <w:bookmarkStart w:id="1790" w:name="_Toc40461858"/>
      <w:bookmarkStart w:id="1791" w:name="_Toc40474413"/>
      <w:bookmarkStart w:id="1792" w:name="_Toc40477942"/>
      <w:bookmarkStart w:id="1793" w:name="_Toc40521522"/>
      <w:bookmarkStart w:id="1794" w:name="_Toc40530381"/>
      <w:bookmarkStart w:id="1795" w:name="_Toc42778809"/>
      <w:bookmarkStart w:id="1796" w:name="_Toc42779949"/>
      <w:bookmarkStart w:id="1797" w:name="_Toc42780378"/>
      <w:bookmarkStart w:id="1798" w:name="_Toc42786368"/>
      <w:bookmarkStart w:id="1799" w:name="_Toc42791861"/>
      <w:bookmarkStart w:id="1800" w:name="_Toc42792023"/>
      <w:bookmarkStart w:id="1801" w:name="_Toc43117830"/>
      <w:bookmarkStart w:id="1802" w:name="_Toc43121469"/>
      <w:bookmarkStart w:id="1803" w:name="_Toc43122674"/>
      <w:bookmarkStart w:id="1804" w:name="_Toc43127729"/>
      <w:r w:rsidRPr="00027624">
        <w:t>Entering retirement as a couple</w:t>
      </w:r>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p>
    <w:p w14:paraId="0AF94ADD" w14:textId="77777777" w:rsidR="00B3792F" w:rsidRPr="00027624" w:rsidRDefault="00B3792F" w:rsidP="00B3792F">
      <w:r w:rsidRPr="00027624">
        <w:rPr>
          <w:b/>
        </w:rPr>
        <w:t>Most people enter retirement as a couple, although the rate has been falling since 1991.</w:t>
      </w:r>
      <w:r w:rsidRPr="00027624">
        <w:t xml:space="preserve"> In 2016, 62 per cent of women and 67 per cent of men entered retirement married </w:t>
      </w:r>
      <w:sdt>
        <w:sdtPr>
          <w:id w:val="-737467263"/>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p>
    <w:p w14:paraId="18B9C36C" w14:textId="77777777" w:rsidR="00B3792F" w:rsidRPr="00027624" w:rsidRDefault="00B3792F" w:rsidP="00B3792F">
      <w:r w:rsidRPr="00027624">
        <w:t xml:space="preserve">Women tend to retire one to three years earlier than men (see </w:t>
      </w:r>
      <w:r w:rsidRPr="00027624">
        <w:rPr>
          <w:i/>
        </w:rPr>
        <w:t>1A. What is retirement?</w:t>
      </w:r>
      <w:r w:rsidRPr="00027624">
        <w:t xml:space="preserve">). This difference is largely due to coupled women retiring with their older partner. Partnered women tend </w:t>
      </w:r>
      <w:r w:rsidRPr="00027624">
        <w:lastRenderedPageBreak/>
        <w:t xml:space="preserve">to marry men two years older than them </w:t>
      </w:r>
      <w:sdt>
        <w:sdtPr>
          <w:id w:val="-576584626"/>
          <w:citation/>
        </w:sdtPr>
        <w:sdtEndPr/>
        <w:sdtContent>
          <w:r w:rsidRPr="00027624">
            <w:fldChar w:fldCharType="begin"/>
          </w:r>
          <w:r w:rsidRPr="00027624">
            <w:instrText xml:space="preserve">CITATION ABS193 \l 3081 </w:instrText>
          </w:r>
          <w:r w:rsidRPr="00027624">
            <w:fldChar w:fldCharType="separate"/>
          </w:r>
          <w:r w:rsidR="00E83F6E">
            <w:rPr>
              <w:noProof/>
            </w:rPr>
            <w:t>(ABS, 2019q)</w:t>
          </w:r>
          <w:r w:rsidRPr="00027624">
            <w:fldChar w:fldCharType="end"/>
          </w:r>
        </w:sdtContent>
      </w:sdt>
      <w:r w:rsidRPr="00027624">
        <w:t xml:space="preserve"> and </w:t>
      </w:r>
      <w:r w:rsidRPr="00027624">
        <w:rPr>
          <w:i/>
        </w:rPr>
        <w:t>expect to</w:t>
      </w:r>
      <w:r w:rsidRPr="00027624">
        <w:t xml:space="preserve"> retire 1.5 years earlier than partnered men </w:t>
      </w:r>
      <w:sdt>
        <w:sdtPr>
          <w:id w:val="1551105362"/>
          <w:citation/>
        </w:sdtPr>
        <w:sdtEndPr/>
        <w:sdtContent>
          <w:r w:rsidRPr="00027624">
            <w:fldChar w:fldCharType="begin"/>
          </w:r>
          <w:r w:rsidRPr="00027624">
            <w:instrText xml:space="preserve"> CITATION ABS205 \l 3081 </w:instrText>
          </w:r>
          <w:r w:rsidRPr="00027624">
            <w:fldChar w:fldCharType="separate"/>
          </w:r>
          <w:r w:rsidR="00E83F6E">
            <w:rPr>
              <w:noProof/>
            </w:rPr>
            <w:t>(ABS, 2020n)</w:t>
          </w:r>
          <w:r w:rsidRPr="00027624">
            <w:fldChar w:fldCharType="end"/>
          </w:r>
        </w:sdtContent>
      </w:sdt>
      <w:r w:rsidRPr="00027624">
        <w:t>.</w:t>
      </w:r>
      <w:r w:rsidRPr="00027624">
        <w:rPr>
          <w:rStyle w:val="FootnoteReference"/>
        </w:rPr>
        <w:footnoteReference w:id="163"/>
      </w:r>
      <w:r w:rsidRPr="00027624">
        <w:t xml:space="preserve"> Conversely, single women </w:t>
      </w:r>
      <w:r w:rsidRPr="00027624">
        <w:rPr>
          <w:i/>
        </w:rPr>
        <w:t>expect to</w:t>
      </w:r>
      <w:r w:rsidRPr="00027624">
        <w:t xml:space="preserve"> retire marginally later than single men. </w:t>
      </w:r>
    </w:p>
    <w:p w14:paraId="298AD67C" w14:textId="77777777" w:rsidR="00B3792F" w:rsidRPr="00027624" w:rsidRDefault="00B3792F" w:rsidP="00B3792F">
      <w:pPr>
        <w:pStyle w:val="Heading3"/>
      </w:pPr>
      <w:bookmarkStart w:id="1805" w:name="_Toc40366135"/>
      <w:bookmarkStart w:id="1806" w:name="_Toc40369681"/>
      <w:bookmarkStart w:id="1807" w:name="_Toc40427651"/>
      <w:bookmarkStart w:id="1808" w:name="_Toc40458090"/>
      <w:bookmarkStart w:id="1809" w:name="_Toc40461859"/>
      <w:bookmarkStart w:id="1810" w:name="_Toc40474414"/>
      <w:bookmarkStart w:id="1811" w:name="_Toc40477943"/>
      <w:bookmarkStart w:id="1812" w:name="_Toc40521523"/>
      <w:bookmarkStart w:id="1813" w:name="_Toc40530382"/>
      <w:bookmarkStart w:id="1814" w:name="_Toc42778810"/>
      <w:bookmarkStart w:id="1815" w:name="_Toc42779950"/>
      <w:bookmarkStart w:id="1816" w:name="_Toc42780379"/>
      <w:bookmarkStart w:id="1817" w:name="_Toc42786369"/>
      <w:bookmarkStart w:id="1818" w:name="_Toc42791862"/>
      <w:bookmarkStart w:id="1819" w:name="_Toc42792024"/>
      <w:bookmarkStart w:id="1820" w:name="_Toc43117831"/>
      <w:bookmarkStart w:id="1821" w:name="_Toc43121470"/>
      <w:bookmarkStart w:id="1822" w:name="_Toc43122675"/>
      <w:bookmarkStart w:id="1823" w:name="_Toc43127730"/>
      <w:r w:rsidRPr="00027624">
        <w:t>Sources of income in retirement for couples</w:t>
      </w:r>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p>
    <w:p w14:paraId="4E531B21" w14:textId="77777777" w:rsidR="00B3792F" w:rsidRPr="00027624" w:rsidRDefault="00B3792F" w:rsidP="00B3792F">
      <w:r w:rsidRPr="00027624">
        <w:t xml:space="preserve">People who are partnered in retirement can share resources. </w:t>
      </w:r>
      <w:r w:rsidRPr="00027624">
        <w:rPr>
          <w:b/>
          <w:bCs/>
        </w:rPr>
        <w:t>Women rely more on their partner for income in retirement</w:t>
      </w:r>
      <w:r w:rsidRPr="00027624">
        <w:t xml:space="preserve">, with 14 per cent of those retired reporting </w:t>
      </w:r>
      <w:r w:rsidR="00A8443E" w:rsidRPr="00027624">
        <w:t>‘</w:t>
      </w:r>
      <w:r w:rsidRPr="00027624">
        <w:t>partner</w:t>
      </w:r>
      <w:r w:rsidR="00A8443E" w:rsidRPr="00027624">
        <w:t>’</w:t>
      </w:r>
      <w:r w:rsidRPr="00027624">
        <w:t>s income</w:t>
      </w:r>
      <w:r w:rsidR="00A8443E" w:rsidRPr="00027624">
        <w:t>’</w:t>
      </w:r>
      <w:r w:rsidRPr="00027624">
        <w:t xml:space="preserve"> as their main income source for meeting living costs, compared to 6 per cent of men </w:t>
      </w:r>
      <w:sdt>
        <w:sdtPr>
          <w:id w:val="-945700879"/>
          <w:citation/>
        </w:sdtPr>
        <w:sdtEndPr/>
        <w:sdtContent>
          <w:r w:rsidRPr="00027624">
            <w:fldChar w:fldCharType="begin"/>
          </w:r>
          <w:r w:rsidRPr="00027624">
            <w:instrText xml:space="preserve"> CITATION ABS205 \l 3081 </w:instrText>
          </w:r>
          <w:r w:rsidRPr="00027624">
            <w:fldChar w:fldCharType="separate"/>
          </w:r>
          <w:r w:rsidR="00E83F6E">
            <w:rPr>
              <w:noProof/>
            </w:rPr>
            <w:t>(ABS, 2020n)</w:t>
          </w:r>
          <w:r w:rsidRPr="00027624">
            <w:fldChar w:fldCharType="end"/>
          </w:r>
        </w:sdtContent>
      </w:sdt>
      <w:r w:rsidRPr="00027624">
        <w:t xml:space="preserve">. </w:t>
      </w:r>
    </w:p>
    <w:p w14:paraId="654490C9" w14:textId="1A988B7A" w:rsidR="00B3792F" w:rsidRPr="00027624" w:rsidRDefault="00B3792F" w:rsidP="00B3792F">
      <w:r w:rsidRPr="00027624">
        <w:t>Cameo modelling projects that, in future, around two</w:t>
      </w:r>
      <w:r w:rsidR="00A8443E" w:rsidRPr="00027624">
        <w:noBreakHyphen/>
      </w:r>
      <w:r w:rsidRPr="00027624">
        <w:t>thirds of a couple</w:t>
      </w:r>
      <w:r w:rsidR="00A8443E" w:rsidRPr="00027624">
        <w:t>’</w:t>
      </w:r>
      <w:r w:rsidRPr="00027624">
        <w:t>s income in retirement will come from the primary earner</w:t>
      </w:r>
      <w:r w:rsidR="00A8443E" w:rsidRPr="00027624">
        <w:t>’</w:t>
      </w:r>
      <w:r w:rsidRPr="00027624">
        <w:t>s superannuation, savings or Age Pension payments, and one</w:t>
      </w:r>
      <w:r w:rsidR="00A8443E" w:rsidRPr="00027624">
        <w:noBreakHyphen/>
      </w:r>
      <w:r w:rsidRPr="00027624">
        <w:t>third from the secondary earner</w:t>
      </w:r>
      <w:r w:rsidR="00A8443E" w:rsidRPr="00027624">
        <w:t>’</w:t>
      </w:r>
      <w:r w:rsidRPr="00027624">
        <w:t>s (</w:t>
      </w:r>
      <w:r w:rsidRPr="00027624">
        <w:fldChar w:fldCharType="begin"/>
      </w:r>
      <w:r w:rsidRPr="00027624">
        <w:instrText xml:space="preserve"> REF _Ref36115301 \r \h  \* MERGEFORMAT </w:instrText>
      </w:r>
      <w:r w:rsidRPr="00027624">
        <w:fldChar w:fldCharType="separate"/>
      </w:r>
      <w:r w:rsidR="00891058">
        <w:t>Chart 3B-23</w:t>
      </w:r>
      <w:r w:rsidRPr="00027624">
        <w:fldChar w:fldCharType="end"/>
      </w:r>
      <w:r w:rsidRPr="00027624" w:rsidDel="008B0596">
        <w:fldChar w:fldCharType="begin"/>
      </w:r>
      <w:r w:rsidRPr="00027624" w:rsidDel="008B0596">
        <w:fldChar w:fldCharType="end"/>
      </w:r>
      <w:r w:rsidRPr="00027624">
        <w:t>). The proportion contributed by the primary earner generally increases as working</w:t>
      </w:r>
      <w:r w:rsidR="00A8443E" w:rsidRPr="00027624">
        <w:noBreakHyphen/>
      </w:r>
      <w:r w:rsidRPr="00027624">
        <w:t>life earnings increase. The proportion of retirement income contributed by the secondary earner increases over the course of a couple</w:t>
      </w:r>
      <w:r w:rsidR="00A8443E" w:rsidRPr="00027624">
        <w:t>’</w:t>
      </w:r>
      <w:r w:rsidRPr="00027624">
        <w:t xml:space="preserve">s retirement as the couple exhausts their superannuation and receives more Age Pension. </w:t>
      </w:r>
    </w:p>
    <w:p w14:paraId="12735A05" w14:textId="77777777" w:rsidR="00B3792F" w:rsidRPr="00027624" w:rsidRDefault="00B3792F" w:rsidP="00582C3E">
      <w:pPr>
        <w:pStyle w:val="ChartMainHeading"/>
      </w:pPr>
      <w:bookmarkStart w:id="1824" w:name="_Ref36115301"/>
      <w:r w:rsidRPr="00027624">
        <w:t>Proportional source of projected total retirement income for couples by income percentile</w:t>
      </w:r>
      <w:bookmarkEnd w:id="1824"/>
    </w:p>
    <w:p w14:paraId="6E5133FA" w14:textId="77777777" w:rsidR="00B3792F" w:rsidRPr="00027624" w:rsidRDefault="00730139" w:rsidP="00B3792F">
      <w:pPr>
        <w:pStyle w:val="ChartGraphic"/>
      </w:pPr>
      <w:r>
        <w:rPr>
          <w:noProof/>
        </w:rPr>
        <w:drawing>
          <wp:inline distT="0" distB="0" distL="0" distR="0" wp14:anchorId="6CB49BBA" wp14:editId="67C7264E">
            <wp:extent cx="5577840" cy="2522220"/>
            <wp:effectExtent l="0" t="0" r="3810" b="0"/>
            <wp:docPr id="668634357" name="Picture 668634357" descr="This chart shows that at lower income percentiles (for the couple combined), more of the income of the couple is attributable to the secondary earner than at higher income percentiles. " title="Chart 3B-23 Proportional source of projected total retirement income for coupl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3C43E692" w14:textId="77777777" w:rsidR="00B3792F" w:rsidRPr="00027624" w:rsidRDefault="00B3792F" w:rsidP="00B3792F">
      <w:pPr>
        <w:pStyle w:val="ChartorTableNote"/>
      </w:pPr>
      <w:r w:rsidRPr="00027624">
        <w:t>Note: Calculations are based on values deflated using the review</w:t>
      </w:r>
      <w:r w:rsidR="00A8443E" w:rsidRPr="00027624">
        <w:t>’</w:t>
      </w:r>
      <w:r w:rsidRPr="00027624">
        <w:t xml:space="preserve">s mixed deflator. Classification as </w:t>
      </w:r>
      <w:r w:rsidR="00A8443E" w:rsidRPr="00027624">
        <w:t>‘</w:t>
      </w:r>
      <w:r w:rsidRPr="00027624">
        <w:t>primary earner</w:t>
      </w:r>
      <w:r w:rsidR="00A8443E" w:rsidRPr="00027624">
        <w:t>’</w:t>
      </w:r>
      <w:r w:rsidRPr="00027624">
        <w:t xml:space="preserve"> is based on income distribution within the couple, and includes both male and female primary earners. Source: Cameo modelling undertaken for the review.</w:t>
      </w:r>
      <w:r w:rsidRPr="00027624" w:rsidDel="007C02B9">
        <w:t xml:space="preserve"> </w:t>
      </w:r>
    </w:p>
    <w:p w14:paraId="13F1467C" w14:textId="77777777" w:rsidR="00B3792F" w:rsidRPr="00027624" w:rsidRDefault="00B3792F" w:rsidP="00B3792F">
      <w:pPr>
        <w:pStyle w:val="Heading3"/>
      </w:pPr>
      <w:bookmarkStart w:id="1825" w:name="_Toc42778811"/>
      <w:bookmarkStart w:id="1826" w:name="_Toc42779951"/>
      <w:bookmarkStart w:id="1827" w:name="_Toc42780380"/>
      <w:bookmarkStart w:id="1828" w:name="_Toc42786370"/>
      <w:bookmarkStart w:id="1829" w:name="_Toc42791863"/>
      <w:bookmarkStart w:id="1830" w:name="_Toc42792025"/>
      <w:bookmarkStart w:id="1831" w:name="_Toc43117832"/>
      <w:bookmarkStart w:id="1832" w:name="_Toc43121471"/>
      <w:bookmarkStart w:id="1833" w:name="_Toc43122676"/>
      <w:bookmarkStart w:id="1834" w:name="_Toc43127731"/>
      <w:r w:rsidRPr="00027624">
        <w:t>Lifetime Government support provided through the retirement income system for couples</w:t>
      </w:r>
      <w:bookmarkEnd w:id="1825"/>
      <w:bookmarkEnd w:id="1826"/>
      <w:bookmarkEnd w:id="1827"/>
      <w:bookmarkEnd w:id="1828"/>
      <w:bookmarkEnd w:id="1829"/>
      <w:bookmarkEnd w:id="1830"/>
      <w:bookmarkEnd w:id="1831"/>
      <w:bookmarkEnd w:id="1832"/>
      <w:bookmarkEnd w:id="1833"/>
      <w:bookmarkEnd w:id="1834"/>
    </w:p>
    <w:p w14:paraId="2A29B58D" w14:textId="6A95EB88" w:rsidR="00B3792F" w:rsidRPr="00027624" w:rsidRDefault="00B3792F" w:rsidP="00A83D09">
      <w:pPr>
        <w:rPr>
          <w:color w:val="44546A"/>
        </w:rPr>
      </w:pPr>
      <w:r w:rsidRPr="00027624">
        <w:t>As with individuals, the distribution of lifetime Government support differs for couples across the income distribution (</w:t>
      </w:r>
      <w:r w:rsidRPr="00027624">
        <w:fldChar w:fldCharType="begin"/>
      </w:r>
      <w:r w:rsidRPr="00027624">
        <w:instrText xml:space="preserve"> REF _Ref41317076 \r \h  \* MERGEFORMAT </w:instrText>
      </w:r>
      <w:r w:rsidRPr="00027624">
        <w:fldChar w:fldCharType="separate"/>
      </w:r>
      <w:r w:rsidR="00891058">
        <w:t>Chart 3B-24</w:t>
      </w:r>
      <w:r w:rsidRPr="00027624">
        <w:fldChar w:fldCharType="end"/>
      </w:r>
      <w:r w:rsidRPr="00027624">
        <w:t xml:space="preserve">) (see </w:t>
      </w:r>
      <w:r w:rsidRPr="00027624">
        <w:rPr>
          <w:i/>
        </w:rPr>
        <w:fldChar w:fldCharType="begin"/>
      </w:r>
      <w:r w:rsidRPr="00027624">
        <w:rPr>
          <w:i/>
        </w:rPr>
        <w:instrText xml:space="preserve"> REF _Ref45138052 \w \h  \* MERGEFORMAT </w:instrText>
      </w:r>
      <w:r w:rsidRPr="00027624">
        <w:rPr>
          <w:i/>
        </w:rPr>
      </w:r>
      <w:r w:rsidRPr="00027624">
        <w:rPr>
          <w:i/>
        </w:rPr>
        <w:fldChar w:fldCharType="separate"/>
      </w:r>
      <w:r w:rsidR="00891058">
        <w:rPr>
          <w:i/>
        </w:rPr>
        <w:t>Section 3A</w:t>
      </w:r>
      <w:r w:rsidRPr="00027624">
        <w:rPr>
          <w:i/>
        </w:rPr>
        <w:fldChar w:fldCharType="end"/>
      </w:r>
      <w:r w:rsidRPr="00027624">
        <w:rPr>
          <w:i/>
        </w:rPr>
        <w:t xml:space="preserve">. </w:t>
      </w:r>
      <w:r w:rsidRPr="00027624">
        <w:rPr>
          <w:i/>
        </w:rPr>
        <w:fldChar w:fldCharType="begin"/>
      </w:r>
      <w:r w:rsidRPr="00027624">
        <w:rPr>
          <w:i/>
        </w:rPr>
        <w:instrText xml:space="preserve"> REF _Ref45138060 \h  \* MERGEFORMAT </w:instrText>
      </w:r>
      <w:r w:rsidRPr="00027624">
        <w:rPr>
          <w:i/>
        </w:rPr>
      </w:r>
      <w:r w:rsidRPr="00027624">
        <w:rPr>
          <w:i/>
        </w:rPr>
        <w:fldChar w:fldCharType="separate"/>
      </w:r>
      <w:r w:rsidR="00891058" w:rsidRPr="00891058">
        <w:rPr>
          <w:i/>
        </w:rPr>
        <w:t>Income and wealth distribution</w:t>
      </w:r>
      <w:r w:rsidRPr="00027624">
        <w:rPr>
          <w:i/>
        </w:rPr>
        <w:fldChar w:fldCharType="end"/>
      </w:r>
      <w:r w:rsidRPr="00027624">
        <w:t xml:space="preserve"> for analysis of individuals). The gap between lower</w:t>
      </w:r>
      <w:r w:rsidR="00A8443E" w:rsidRPr="00027624">
        <w:noBreakHyphen/>
      </w:r>
      <w:r w:rsidRPr="00027624">
        <w:t xml:space="preserve"> and higher</w:t>
      </w:r>
      <w:r w:rsidR="00A8443E" w:rsidRPr="00027624">
        <w:noBreakHyphen/>
      </w:r>
      <w:r w:rsidRPr="00027624">
        <w:t>income couples is less than double the gap between lower</w:t>
      </w:r>
      <w:r w:rsidR="00A8443E" w:rsidRPr="00027624">
        <w:noBreakHyphen/>
      </w:r>
      <w:r w:rsidRPr="00027624">
        <w:t xml:space="preserve"> and higher</w:t>
      </w:r>
      <w:r w:rsidR="00A8443E" w:rsidRPr="00027624">
        <w:noBreakHyphen/>
      </w:r>
      <w:r w:rsidRPr="00027624">
        <w:t>income individuals because:</w:t>
      </w:r>
    </w:p>
    <w:p w14:paraId="1D26A609" w14:textId="77777777" w:rsidR="00B3792F" w:rsidRPr="00027624" w:rsidRDefault="00B3792F" w:rsidP="00A83D09">
      <w:pPr>
        <w:pStyle w:val="Bullet"/>
        <w:rPr>
          <w:b/>
        </w:rPr>
      </w:pPr>
      <w:r w:rsidRPr="00027624">
        <w:rPr>
          <w:b/>
        </w:rPr>
        <w:t>Lower</w:t>
      </w:r>
      <w:r w:rsidR="00A8443E" w:rsidRPr="00027624">
        <w:rPr>
          <w:b/>
        </w:rPr>
        <w:noBreakHyphen/>
      </w:r>
      <w:r w:rsidRPr="00027624">
        <w:rPr>
          <w:b/>
        </w:rPr>
        <w:t>income couples receive more Age Pension than lower</w:t>
      </w:r>
      <w:r w:rsidR="00A8443E" w:rsidRPr="00027624">
        <w:rPr>
          <w:b/>
        </w:rPr>
        <w:noBreakHyphen/>
      </w:r>
      <w:r w:rsidRPr="00027624">
        <w:rPr>
          <w:b/>
        </w:rPr>
        <w:t xml:space="preserve">income individuals, </w:t>
      </w:r>
      <w:r w:rsidRPr="00027624">
        <w:t xml:space="preserve">as the couple combined rate of Age Pension is higher than the singles rate of Age Pension. </w:t>
      </w:r>
    </w:p>
    <w:p w14:paraId="6EBC6981" w14:textId="77777777" w:rsidR="00B3792F" w:rsidRPr="00027624" w:rsidRDefault="00B3792F" w:rsidP="00A83D09">
      <w:pPr>
        <w:pStyle w:val="Bullet"/>
      </w:pPr>
      <w:r w:rsidRPr="00027624">
        <w:rPr>
          <w:b/>
        </w:rPr>
        <w:lastRenderedPageBreak/>
        <w:t>Higher</w:t>
      </w:r>
      <w:r w:rsidR="00A8443E" w:rsidRPr="00027624">
        <w:rPr>
          <w:b/>
        </w:rPr>
        <w:noBreakHyphen/>
      </w:r>
      <w:r w:rsidRPr="00027624">
        <w:rPr>
          <w:b/>
        </w:rPr>
        <w:t>income couples receive less than double the superannuation tax concessions than higher</w:t>
      </w:r>
      <w:r w:rsidR="00A8443E" w:rsidRPr="00027624">
        <w:rPr>
          <w:b/>
        </w:rPr>
        <w:noBreakHyphen/>
      </w:r>
      <w:r w:rsidRPr="00027624">
        <w:rPr>
          <w:b/>
        </w:rPr>
        <w:t>income individuals</w:t>
      </w:r>
      <w:r w:rsidRPr="00027624">
        <w:t>, likely due to some higher</w:t>
      </w:r>
      <w:r w:rsidR="00A8443E" w:rsidRPr="00027624">
        <w:noBreakHyphen/>
      </w:r>
      <w:r w:rsidRPr="00027624">
        <w:t>income earners partnering with a lower</w:t>
      </w:r>
      <w:r w:rsidR="00A8443E" w:rsidRPr="00027624">
        <w:noBreakHyphen/>
      </w:r>
      <w:r w:rsidRPr="00027624">
        <w:t>income earner.</w:t>
      </w:r>
      <w:r w:rsidRPr="00027624">
        <w:rPr>
          <w:rStyle w:val="FootnoteReference"/>
        </w:rPr>
        <w:footnoteReference w:id="164"/>
      </w:r>
    </w:p>
    <w:p w14:paraId="4D286995" w14:textId="77777777" w:rsidR="00B3792F" w:rsidRPr="00027624" w:rsidRDefault="00B3792F" w:rsidP="00A83D09">
      <w:pPr>
        <w:pStyle w:val="ChartMainHeading"/>
      </w:pPr>
      <w:bookmarkStart w:id="1835" w:name="_Ref41317076"/>
      <w:r w:rsidRPr="00027624">
        <w:t>Projected lifetime Government support from the retirement income system for couples, by income percentile</w:t>
      </w:r>
      <w:bookmarkEnd w:id="1835"/>
    </w:p>
    <w:p w14:paraId="22674C60" w14:textId="77777777" w:rsidR="00B3792F" w:rsidRPr="00027624" w:rsidRDefault="00730139" w:rsidP="00B3792F">
      <w:pPr>
        <w:pStyle w:val="ChartGraphic"/>
      </w:pPr>
      <w:r>
        <w:rPr>
          <w:noProof/>
        </w:rPr>
        <w:drawing>
          <wp:inline distT="0" distB="0" distL="0" distR="0" wp14:anchorId="5E15625D" wp14:editId="756B766E">
            <wp:extent cx="5585460" cy="2522220"/>
            <wp:effectExtent l="0" t="0" r="0" b="0"/>
            <wp:docPr id="668634358" name="Picture 668634358" descr="This chart shows that couples at higher income percentiles (for the couple combined) are projected to receive more in lifetime Government support from the retirement income system than those at lower income percentiles. Those at lower income percentiles have more of their Government support provided by the Age Pension, while those at higher income percentiles have more of their Government support provided by superannuation tax concessions. " title="Chart 3B-24 Projected lifetime government support from the retirement income system for coupl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6FE9D125" w14:textId="77777777" w:rsidR="00B3792F" w:rsidRPr="00027624" w:rsidRDefault="00B3792F" w:rsidP="00E6278F">
      <w:pPr>
        <w:pStyle w:val="ChartorTableNote"/>
        <w:spacing w:before="0" w:after="120"/>
      </w:pPr>
      <w:r w:rsidRPr="00027624">
        <w:t>Note: Values are in 2019</w:t>
      </w:r>
      <w:r w:rsidR="00A8443E" w:rsidRPr="00027624">
        <w:noBreakHyphen/>
      </w:r>
      <w:r w:rsidRPr="00027624">
        <w:t>20 dollars, deflated using the review</w:t>
      </w:r>
      <w:r w:rsidR="00A8443E" w:rsidRPr="00027624">
        <w:t>’</w:t>
      </w:r>
      <w:r w:rsidRPr="00027624">
        <w:t xml:space="preserve">s GDP deflator. Income percentiles are based on the incomes of couples only. Source: Cameo modelling undertaken for the review. </w:t>
      </w:r>
    </w:p>
    <w:p w14:paraId="78096336" w14:textId="77777777" w:rsidR="00B3792F" w:rsidRPr="00027624" w:rsidRDefault="00B3792F" w:rsidP="00E6278F">
      <w:pPr>
        <w:pStyle w:val="Heading3"/>
        <w:spacing w:before="200"/>
      </w:pPr>
      <w:bookmarkStart w:id="1836" w:name="_Toc40366136"/>
      <w:bookmarkStart w:id="1837" w:name="_Toc40369682"/>
      <w:bookmarkStart w:id="1838" w:name="_Toc40427652"/>
      <w:bookmarkStart w:id="1839" w:name="_Toc40458091"/>
      <w:bookmarkStart w:id="1840" w:name="_Toc40461860"/>
      <w:bookmarkStart w:id="1841" w:name="_Toc40474415"/>
      <w:bookmarkStart w:id="1842" w:name="_Toc40477944"/>
      <w:bookmarkStart w:id="1843" w:name="_Toc40521524"/>
      <w:bookmarkStart w:id="1844" w:name="_Toc40530383"/>
      <w:bookmarkStart w:id="1845" w:name="_Toc42778812"/>
      <w:bookmarkStart w:id="1846" w:name="_Toc42779952"/>
      <w:bookmarkStart w:id="1847" w:name="_Toc42780381"/>
      <w:bookmarkStart w:id="1848" w:name="_Toc42786371"/>
      <w:bookmarkStart w:id="1849" w:name="_Toc42791864"/>
      <w:bookmarkStart w:id="1850" w:name="_Toc42792026"/>
      <w:bookmarkStart w:id="1851" w:name="_Toc43117833"/>
      <w:bookmarkStart w:id="1852" w:name="_Toc43121472"/>
      <w:bookmarkStart w:id="1853" w:name="_Toc43122677"/>
      <w:bookmarkStart w:id="1854" w:name="_Toc43127732"/>
      <w:bookmarkStart w:id="1855" w:name="_Ref44605418"/>
      <w:bookmarkStart w:id="1856" w:name="_Ref45136269"/>
      <w:r w:rsidRPr="00027624">
        <w:t>Becoming single in retirement</w:t>
      </w:r>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r w:rsidRPr="00027624">
        <w:t xml:space="preserve"> </w:t>
      </w:r>
    </w:p>
    <w:p w14:paraId="1B3008AE" w14:textId="1C1E8685" w:rsidR="00B3792F" w:rsidRPr="00027624" w:rsidRDefault="00B3792F" w:rsidP="00B3792F">
      <w:r w:rsidRPr="00027624">
        <w:rPr>
          <w:b/>
        </w:rPr>
        <w:t>Women are more likely to become single during retirement</w:t>
      </w:r>
      <w:r w:rsidRPr="00027624">
        <w:t xml:space="preserve"> (</w:t>
      </w:r>
      <w:r w:rsidRPr="00027624">
        <w:fldChar w:fldCharType="begin"/>
      </w:r>
      <w:r w:rsidRPr="00027624">
        <w:instrText xml:space="preserve"> REF _Ref36034165 \r \h  \* MERGEFORMAT </w:instrText>
      </w:r>
      <w:r w:rsidRPr="00027624">
        <w:fldChar w:fldCharType="separate"/>
      </w:r>
      <w:r w:rsidR="00891058">
        <w:t>Chart 3B-25</w:t>
      </w:r>
      <w:r w:rsidRPr="00027624">
        <w:fldChar w:fldCharType="end"/>
      </w:r>
      <w:r w:rsidRPr="00027624">
        <w:fldChar w:fldCharType="begin"/>
      </w:r>
      <w:r w:rsidRPr="00027624">
        <w:fldChar w:fldCharType="end"/>
      </w:r>
      <w:r w:rsidRPr="00027624">
        <w:t xml:space="preserve">). This means income support for singles in retirement, such as the single rate of the Age Pension, are more important for women than men. </w:t>
      </w:r>
    </w:p>
    <w:p w14:paraId="1CC9AAA5" w14:textId="77777777" w:rsidR="00B3792F" w:rsidRPr="00027624" w:rsidRDefault="00B3792F" w:rsidP="00582C3E">
      <w:pPr>
        <w:pStyle w:val="ChartMainHeading"/>
      </w:pPr>
      <w:bookmarkStart w:id="1857" w:name="_Ref36034165"/>
      <w:r w:rsidRPr="00027624">
        <w:t>Proportion of single people in retirement by marital status, age and gender</w:t>
      </w:r>
      <w:bookmarkEnd w:id="1857"/>
    </w:p>
    <w:tbl>
      <w:tblPr>
        <w:tblW w:w="5000" w:type="pct"/>
        <w:tblLook w:val="01E0" w:firstRow="1" w:lastRow="1" w:firstColumn="1" w:lastColumn="1" w:noHBand="0" w:noVBand="0"/>
      </w:tblPr>
      <w:tblGrid>
        <w:gridCol w:w="4535"/>
        <w:gridCol w:w="4535"/>
      </w:tblGrid>
      <w:tr w:rsidR="00B3792F" w:rsidRPr="00027624" w14:paraId="7F8E3A29" w14:textId="77777777" w:rsidTr="00B3792F">
        <w:tc>
          <w:tcPr>
            <w:tcW w:w="2500" w:type="pct"/>
          </w:tcPr>
          <w:p w14:paraId="7FA42E97" w14:textId="77777777" w:rsidR="00B3792F" w:rsidRPr="00027624" w:rsidRDefault="00B3792F" w:rsidP="00B3792F">
            <w:pPr>
              <w:pStyle w:val="ChartSecondHeading"/>
            </w:pPr>
            <w:r w:rsidRPr="00027624">
              <w:t>Women</w:t>
            </w:r>
          </w:p>
        </w:tc>
        <w:tc>
          <w:tcPr>
            <w:tcW w:w="2500" w:type="pct"/>
          </w:tcPr>
          <w:p w14:paraId="589C4EF7" w14:textId="77777777" w:rsidR="00B3792F" w:rsidRPr="00027624" w:rsidRDefault="00B3792F" w:rsidP="00B3792F">
            <w:pPr>
              <w:pStyle w:val="ChartSecondHeading"/>
            </w:pPr>
            <w:r w:rsidRPr="00027624">
              <w:t>Men</w:t>
            </w:r>
          </w:p>
        </w:tc>
      </w:tr>
    </w:tbl>
    <w:p w14:paraId="0E5A2E55" w14:textId="77777777" w:rsidR="00B3792F" w:rsidRPr="00027624" w:rsidRDefault="00730139" w:rsidP="00B3792F">
      <w:pPr>
        <w:pStyle w:val="ChartGraphic"/>
      </w:pPr>
      <w:r>
        <w:rPr>
          <w:noProof/>
        </w:rPr>
        <w:drawing>
          <wp:inline distT="0" distB="0" distL="0" distR="0" wp14:anchorId="36AB4256" wp14:editId="631CB821">
            <wp:extent cx="2876400" cy="2876400"/>
            <wp:effectExtent l="0" t="0" r="635" b="635"/>
            <wp:docPr id="741687584" name="Picture 741687584" descr="This chart shows that the proportion of women who are single in retirement increases as women age, from less than 40 per cent of those aged 66 single, to over 90 per cent of those in their late 90s. At age 66 the majority of those single are divorced, followed by widowed. At older ages, the vast majority are widowed. " title="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5FD0B07D" wp14:editId="640F97D4">
            <wp:extent cx="2876400" cy="2876400"/>
            <wp:effectExtent l="0" t="0" r="635" b="635"/>
            <wp:docPr id="741687590" name="Picture 741687590" descr="This chart shows that the proportion of men who are single in retirement is broadly constant to age 80 at around 30 per cent. This rate increases as men age, to over 70 per cent of those aged in their late 90s. At age 66 the majority of those single are divorced. At older ages, the vast majority are widowed. " title="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p w14:paraId="34B03B09" w14:textId="77777777" w:rsidR="00E6278F" w:rsidRDefault="00B3792F" w:rsidP="00E6278F">
      <w:pPr>
        <w:pStyle w:val="ChartorTableNote"/>
        <w:spacing w:before="0" w:after="0"/>
      </w:pPr>
      <w:r w:rsidRPr="00027624">
        <w:t xml:space="preserve">Note: 2016 data. </w:t>
      </w:r>
      <w:r w:rsidRPr="00E6278F">
        <w:t>Source</w:t>
      </w:r>
      <w:r w:rsidRPr="00027624">
        <w:t xml:space="preserve">: Analysis of </w:t>
      </w:r>
      <w:sdt>
        <w:sdtPr>
          <w:id w:val="-1097019200"/>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bookmarkStart w:id="1858" w:name="_Toc40366137"/>
      <w:bookmarkStart w:id="1859" w:name="_Toc40369683"/>
      <w:bookmarkStart w:id="1860" w:name="_Toc40427653"/>
      <w:bookmarkStart w:id="1861" w:name="_Toc40458092"/>
      <w:bookmarkStart w:id="1862" w:name="_Toc40461861"/>
      <w:bookmarkStart w:id="1863" w:name="_Toc40474416"/>
      <w:bookmarkStart w:id="1864" w:name="_Toc40477945"/>
      <w:bookmarkStart w:id="1865" w:name="_Toc40521525"/>
      <w:bookmarkStart w:id="1866" w:name="_Toc40530384"/>
      <w:bookmarkStart w:id="1867" w:name="_Toc42778813"/>
      <w:bookmarkStart w:id="1868" w:name="_Toc42779953"/>
      <w:bookmarkStart w:id="1869" w:name="_Toc42780382"/>
      <w:bookmarkStart w:id="1870" w:name="_Toc42786372"/>
      <w:bookmarkStart w:id="1871" w:name="_Toc42791865"/>
      <w:bookmarkStart w:id="1872" w:name="_Toc42792027"/>
      <w:bookmarkStart w:id="1873" w:name="_Toc43117834"/>
      <w:bookmarkStart w:id="1874" w:name="_Toc43121473"/>
      <w:bookmarkStart w:id="1875" w:name="_Toc43122678"/>
      <w:bookmarkStart w:id="1876" w:name="_Toc43127733"/>
    </w:p>
    <w:p w14:paraId="67D59F09" w14:textId="77777777" w:rsidR="00E6278F" w:rsidRPr="00027624" w:rsidRDefault="00E6278F" w:rsidP="00E6278F">
      <w:r w:rsidRPr="00027624">
        <w:lastRenderedPageBreak/>
        <w:t>The larger proportion of women widowed may also mean the inheritance of a partner’s wealth is a larger part of the average woman’s retirement than the average man’s.</w:t>
      </w:r>
    </w:p>
    <w:p w14:paraId="09430326" w14:textId="77777777" w:rsidR="00E6278F" w:rsidRPr="00E6278F" w:rsidRDefault="00E6278F" w:rsidP="00E6278F">
      <w:r w:rsidRPr="00027624">
        <w:t>The profile of single women and single men changes significantly over retirement. Early in retirement, single women are predominantly divorcees, while single men are mainly divorcees or those never married. Later in retirement, single men and single wo</w:t>
      </w:r>
      <w:r>
        <w:t xml:space="preserve">men are predominantly widowed. </w:t>
      </w:r>
    </w:p>
    <w:p w14:paraId="6ADC8B57" w14:textId="77777777" w:rsidR="00B3792F" w:rsidRPr="00027624" w:rsidRDefault="00B3792F" w:rsidP="00B3792F">
      <w:pPr>
        <w:pStyle w:val="Heading3"/>
      </w:pPr>
      <w:r w:rsidRPr="00027624">
        <w:t>Not all singles are the same</w:t>
      </w:r>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p>
    <w:p w14:paraId="29DA6DD6" w14:textId="691AFF03" w:rsidR="00B3792F" w:rsidRPr="00027624" w:rsidRDefault="00B3792F" w:rsidP="00B3792F">
      <w:r w:rsidRPr="00027624">
        <w:t>The way a person becomes single impacts their retirement outcomes (</w:t>
      </w:r>
      <w:r w:rsidRPr="00027624" w:rsidDel="00D34C25">
        <w:fldChar w:fldCharType="begin"/>
      </w:r>
      <w:r w:rsidRPr="00027624">
        <w:instrText xml:space="preserve"> REF _Ref36034191 \r \h  \* MERGEFORMAT </w:instrText>
      </w:r>
      <w:r w:rsidRPr="00027624" w:rsidDel="00D34C25">
        <w:fldChar w:fldCharType="separate"/>
      </w:r>
      <w:r w:rsidR="00891058">
        <w:t>Table 3B-4</w:t>
      </w:r>
      <w:r w:rsidRPr="00027624" w:rsidDel="00D34C25">
        <w:fldChar w:fldCharType="end"/>
      </w:r>
      <w:r w:rsidRPr="00027624">
        <w:t>).</w:t>
      </w:r>
    </w:p>
    <w:p w14:paraId="3BB46D81" w14:textId="77777777" w:rsidR="00B3792F" w:rsidRPr="00027624" w:rsidRDefault="00B3792F" w:rsidP="00A83D09">
      <w:pPr>
        <w:pStyle w:val="Bullet"/>
      </w:pPr>
      <w:r w:rsidRPr="00027624">
        <w:rPr>
          <w:b/>
          <w:bCs/>
        </w:rPr>
        <w:t>Retirement income</w:t>
      </w:r>
      <w:r w:rsidR="00A8443E" w:rsidRPr="00027624">
        <w:t xml:space="preserve"> — </w:t>
      </w:r>
      <w:r w:rsidRPr="00027624">
        <w:t>Those never married, and divorced single men, have higher median incomes than other cohorts of single retirees.</w:t>
      </w:r>
    </w:p>
    <w:p w14:paraId="13D9C1A3" w14:textId="77777777" w:rsidR="00B3792F" w:rsidRPr="00027624" w:rsidRDefault="00B3792F" w:rsidP="00A83D09">
      <w:pPr>
        <w:pStyle w:val="Bullet"/>
      </w:pPr>
      <w:r w:rsidRPr="00027624">
        <w:rPr>
          <w:b/>
          <w:bCs/>
        </w:rPr>
        <w:t>Wealth</w:t>
      </w:r>
      <w:r w:rsidR="00A8443E" w:rsidRPr="00027624">
        <w:t xml:space="preserve"> — </w:t>
      </w:r>
      <w:r w:rsidRPr="00027624">
        <w:t>Those separated generally have significantly lower wealth. Whereas, those widowed, and women who have never married, generally have higher wealth. For those aged 65 and over, the median single</w:t>
      </w:r>
      <w:r w:rsidR="00A8443E" w:rsidRPr="00027624">
        <w:noBreakHyphen/>
      </w:r>
      <w:r w:rsidRPr="00027624">
        <w:t>woman household has higher wealth than the median single</w:t>
      </w:r>
      <w:r w:rsidR="00A8443E" w:rsidRPr="00027624">
        <w:noBreakHyphen/>
      </w:r>
      <w:r w:rsidRPr="00027624">
        <w:t>man household. Members of a couple have higher median incomes and wealth than any single group.</w:t>
      </w:r>
    </w:p>
    <w:p w14:paraId="23E6408A" w14:textId="77777777" w:rsidR="00B3792F" w:rsidRPr="00027624" w:rsidRDefault="00B3792F" w:rsidP="00582C3E">
      <w:pPr>
        <w:pStyle w:val="TableMainHeading"/>
      </w:pPr>
      <w:bookmarkStart w:id="1877" w:name="_Ref36034191"/>
      <w:r w:rsidRPr="00027624">
        <w:t>Median annual household disposable income and net wealth, aged 65 and over, by gender and partnered status</w:t>
      </w:r>
      <w:bookmarkEnd w:id="1877"/>
    </w:p>
    <w:tbl>
      <w:tblPr>
        <w:tblW w:w="5000" w:type="pct"/>
        <w:tblLook w:val="01E0" w:firstRow="1" w:lastRow="1" w:firstColumn="1" w:lastColumn="1" w:noHBand="0" w:noVBand="0"/>
      </w:tblPr>
      <w:tblGrid>
        <w:gridCol w:w="3022"/>
        <w:gridCol w:w="3024"/>
        <w:gridCol w:w="3024"/>
      </w:tblGrid>
      <w:tr w:rsidR="00B3792F" w:rsidRPr="00027624" w14:paraId="349EDB39" w14:textId="77777777" w:rsidTr="00B3792F">
        <w:trPr>
          <w:trHeight w:val="270"/>
          <w:tblHeader/>
        </w:trPr>
        <w:tc>
          <w:tcPr>
            <w:tcW w:w="1666" w:type="pct"/>
            <w:shd w:val="clear" w:color="auto" w:fill="E5E5E5"/>
          </w:tcPr>
          <w:p w14:paraId="5346BC0F" w14:textId="77777777" w:rsidR="00B3792F" w:rsidRPr="00027624" w:rsidRDefault="00B3792F" w:rsidP="00B3792F">
            <w:pPr>
              <w:pStyle w:val="TableColumnHeadingLeft"/>
            </w:pPr>
            <w:r w:rsidRPr="00027624">
              <w:t>Cohort</w:t>
            </w:r>
          </w:p>
        </w:tc>
        <w:tc>
          <w:tcPr>
            <w:tcW w:w="1667" w:type="pct"/>
            <w:shd w:val="clear" w:color="auto" w:fill="E5E5E5"/>
          </w:tcPr>
          <w:p w14:paraId="5BA961B1" w14:textId="77777777" w:rsidR="00B3792F" w:rsidRPr="00027624" w:rsidRDefault="00B3792F" w:rsidP="00B3792F">
            <w:pPr>
              <w:pStyle w:val="TableColumnHeadingLeft"/>
              <w:jc w:val="center"/>
            </w:pPr>
            <w:r w:rsidRPr="00027624">
              <w:t>Disposable income ($)</w:t>
            </w:r>
          </w:p>
        </w:tc>
        <w:tc>
          <w:tcPr>
            <w:tcW w:w="1667" w:type="pct"/>
            <w:shd w:val="clear" w:color="auto" w:fill="E5E5E5"/>
          </w:tcPr>
          <w:p w14:paraId="0C159FC4" w14:textId="77777777" w:rsidR="00B3792F" w:rsidRPr="00027624" w:rsidRDefault="00B3792F" w:rsidP="00B3792F">
            <w:pPr>
              <w:pStyle w:val="TableColumnHeadingLeft"/>
              <w:jc w:val="center"/>
            </w:pPr>
            <w:r w:rsidRPr="00027624">
              <w:t>Net wealth ($)</w:t>
            </w:r>
          </w:p>
        </w:tc>
      </w:tr>
      <w:tr w:rsidR="00B3792F" w:rsidRPr="00027624" w14:paraId="4538050F" w14:textId="77777777" w:rsidTr="00B3792F">
        <w:trPr>
          <w:trHeight w:val="270"/>
        </w:trPr>
        <w:tc>
          <w:tcPr>
            <w:tcW w:w="1666" w:type="pct"/>
          </w:tcPr>
          <w:p w14:paraId="4D4CFC50" w14:textId="77777777" w:rsidR="00B3792F" w:rsidRPr="00027624" w:rsidRDefault="00B3792F" w:rsidP="00B3792F">
            <w:pPr>
              <w:pStyle w:val="TableTextLeft"/>
            </w:pPr>
            <w:r w:rsidRPr="00027624">
              <w:t>Couple (combined)</w:t>
            </w:r>
          </w:p>
        </w:tc>
        <w:tc>
          <w:tcPr>
            <w:tcW w:w="1667" w:type="pct"/>
          </w:tcPr>
          <w:p w14:paraId="1D786467" w14:textId="77777777" w:rsidR="00B3792F" w:rsidRPr="00027624" w:rsidRDefault="00B3792F" w:rsidP="00B3792F">
            <w:pPr>
              <w:pStyle w:val="TableTextLeft"/>
              <w:jc w:val="center"/>
            </w:pPr>
            <w:r w:rsidRPr="00027624">
              <w:t>38,600</w:t>
            </w:r>
          </w:p>
        </w:tc>
        <w:tc>
          <w:tcPr>
            <w:tcW w:w="1667" w:type="pct"/>
          </w:tcPr>
          <w:p w14:paraId="2EB08701" w14:textId="77777777" w:rsidR="00B3792F" w:rsidRPr="00027624" w:rsidRDefault="00B3792F" w:rsidP="00B3792F">
            <w:pPr>
              <w:pStyle w:val="TableTextLeft"/>
              <w:jc w:val="center"/>
            </w:pPr>
            <w:r w:rsidRPr="00027624">
              <w:t>655,700</w:t>
            </w:r>
          </w:p>
        </w:tc>
      </w:tr>
      <w:tr w:rsidR="00B3792F" w:rsidRPr="00027624" w14:paraId="709263E4" w14:textId="77777777" w:rsidTr="00B3792F">
        <w:trPr>
          <w:trHeight w:val="270"/>
        </w:trPr>
        <w:tc>
          <w:tcPr>
            <w:tcW w:w="1666" w:type="pct"/>
          </w:tcPr>
          <w:p w14:paraId="1126E62C" w14:textId="77777777" w:rsidR="00B3792F" w:rsidRPr="00027624" w:rsidRDefault="00B3792F" w:rsidP="00B3792F">
            <w:pPr>
              <w:pStyle w:val="TableTextLeft"/>
              <w:rPr>
                <w:b/>
              </w:rPr>
            </w:pPr>
          </w:p>
        </w:tc>
        <w:tc>
          <w:tcPr>
            <w:tcW w:w="1667" w:type="pct"/>
          </w:tcPr>
          <w:p w14:paraId="1C58D1AC" w14:textId="77777777" w:rsidR="00B3792F" w:rsidRPr="00027624" w:rsidRDefault="00B3792F" w:rsidP="00B3792F">
            <w:pPr>
              <w:pStyle w:val="TableTextLeft"/>
              <w:jc w:val="center"/>
            </w:pPr>
          </w:p>
        </w:tc>
        <w:tc>
          <w:tcPr>
            <w:tcW w:w="1667" w:type="pct"/>
          </w:tcPr>
          <w:p w14:paraId="167062FE" w14:textId="77777777" w:rsidR="00B3792F" w:rsidRPr="00027624" w:rsidRDefault="00B3792F" w:rsidP="00B3792F">
            <w:pPr>
              <w:pStyle w:val="TableTextLeft"/>
              <w:jc w:val="center"/>
            </w:pPr>
          </w:p>
        </w:tc>
      </w:tr>
      <w:tr w:rsidR="00B3792F" w:rsidRPr="00027624" w14:paraId="231014B5" w14:textId="77777777" w:rsidTr="00B3792F">
        <w:trPr>
          <w:trHeight w:val="270"/>
        </w:trPr>
        <w:tc>
          <w:tcPr>
            <w:tcW w:w="1666" w:type="pct"/>
          </w:tcPr>
          <w:p w14:paraId="3B0F15D1" w14:textId="77777777" w:rsidR="00B3792F" w:rsidRPr="00027624" w:rsidRDefault="00B3792F" w:rsidP="00B3792F">
            <w:pPr>
              <w:pStyle w:val="TableTextLeft"/>
            </w:pPr>
            <w:r w:rsidRPr="00027624">
              <w:t>Single women</w:t>
            </w:r>
          </w:p>
        </w:tc>
        <w:tc>
          <w:tcPr>
            <w:tcW w:w="1667" w:type="pct"/>
          </w:tcPr>
          <w:p w14:paraId="4CC4D3A8" w14:textId="77777777" w:rsidR="00B3792F" w:rsidRPr="00027624" w:rsidRDefault="00B3792F" w:rsidP="00B3792F">
            <w:pPr>
              <w:pStyle w:val="TableTextLeft"/>
              <w:jc w:val="center"/>
            </w:pPr>
            <w:r w:rsidRPr="00027624">
              <w:t>28,900</w:t>
            </w:r>
          </w:p>
        </w:tc>
        <w:tc>
          <w:tcPr>
            <w:tcW w:w="1667" w:type="pct"/>
          </w:tcPr>
          <w:p w14:paraId="35F8C0FA" w14:textId="77777777" w:rsidR="00B3792F" w:rsidRPr="00027624" w:rsidRDefault="00B3792F" w:rsidP="00B3792F">
            <w:pPr>
              <w:pStyle w:val="TableTextLeft"/>
              <w:jc w:val="center"/>
            </w:pPr>
            <w:r w:rsidRPr="00027624">
              <w:t>460,000</w:t>
            </w:r>
          </w:p>
        </w:tc>
      </w:tr>
      <w:tr w:rsidR="00B3792F" w:rsidRPr="00027624" w14:paraId="5EB35598" w14:textId="77777777" w:rsidTr="00B3792F">
        <w:trPr>
          <w:trHeight w:val="270"/>
        </w:trPr>
        <w:tc>
          <w:tcPr>
            <w:tcW w:w="1666" w:type="pct"/>
          </w:tcPr>
          <w:p w14:paraId="3AF72E15" w14:textId="77777777" w:rsidR="00B3792F" w:rsidRPr="00027624" w:rsidRDefault="00B3792F" w:rsidP="00B3792F">
            <w:pPr>
              <w:pStyle w:val="TableTextIndented"/>
              <w:rPr>
                <w:i/>
              </w:rPr>
            </w:pPr>
            <w:r w:rsidRPr="00027624">
              <w:rPr>
                <w:i/>
              </w:rPr>
              <w:t>Separated</w:t>
            </w:r>
          </w:p>
        </w:tc>
        <w:tc>
          <w:tcPr>
            <w:tcW w:w="1667" w:type="pct"/>
          </w:tcPr>
          <w:p w14:paraId="37AFBCA9" w14:textId="77777777" w:rsidR="00B3792F" w:rsidRPr="00027624" w:rsidRDefault="00B3792F" w:rsidP="00B3792F">
            <w:pPr>
              <w:pStyle w:val="TableTextCentered"/>
              <w:rPr>
                <w:i/>
              </w:rPr>
            </w:pPr>
            <w:r w:rsidRPr="00027624">
              <w:rPr>
                <w:i/>
              </w:rPr>
              <w:t>31,600</w:t>
            </w:r>
          </w:p>
        </w:tc>
        <w:tc>
          <w:tcPr>
            <w:tcW w:w="1667" w:type="pct"/>
          </w:tcPr>
          <w:p w14:paraId="6BE581D9" w14:textId="77777777" w:rsidR="00B3792F" w:rsidRPr="00027624" w:rsidRDefault="00B3792F" w:rsidP="00B3792F">
            <w:pPr>
              <w:pStyle w:val="TableTextCentered"/>
              <w:rPr>
                <w:i/>
              </w:rPr>
            </w:pPr>
            <w:r w:rsidRPr="00027624">
              <w:rPr>
                <w:i/>
              </w:rPr>
              <w:t>205,000</w:t>
            </w:r>
          </w:p>
        </w:tc>
      </w:tr>
      <w:tr w:rsidR="00B3792F" w:rsidRPr="00027624" w14:paraId="71D9A011" w14:textId="77777777" w:rsidTr="00B3792F">
        <w:trPr>
          <w:trHeight w:val="270"/>
        </w:trPr>
        <w:tc>
          <w:tcPr>
            <w:tcW w:w="1666" w:type="pct"/>
          </w:tcPr>
          <w:p w14:paraId="20E79A7D" w14:textId="77777777" w:rsidR="00B3792F" w:rsidRPr="00027624" w:rsidRDefault="00B3792F" w:rsidP="00B3792F">
            <w:pPr>
              <w:pStyle w:val="TableTextIndented"/>
              <w:rPr>
                <w:i/>
              </w:rPr>
            </w:pPr>
            <w:r w:rsidRPr="00027624">
              <w:rPr>
                <w:i/>
              </w:rPr>
              <w:t>Divorced</w:t>
            </w:r>
          </w:p>
        </w:tc>
        <w:tc>
          <w:tcPr>
            <w:tcW w:w="1667" w:type="pct"/>
          </w:tcPr>
          <w:p w14:paraId="701E60F5" w14:textId="77777777" w:rsidR="00B3792F" w:rsidRPr="00027624" w:rsidRDefault="00B3792F" w:rsidP="00B3792F">
            <w:pPr>
              <w:pStyle w:val="TableTextCentered"/>
              <w:rPr>
                <w:i/>
              </w:rPr>
            </w:pPr>
            <w:r w:rsidRPr="00027624">
              <w:rPr>
                <w:i/>
              </w:rPr>
              <w:t>28,900</w:t>
            </w:r>
          </w:p>
        </w:tc>
        <w:tc>
          <w:tcPr>
            <w:tcW w:w="1667" w:type="pct"/>
          </w:tcPr>
          <w:p w14:paraId="587A9602" w14:textId="77777777" w:rsidR="00B3792F" w:rsidRPr="00027624" w:rsidRDefault="00B3792F" w:rsidP="00B3792F">
            <w:pPr>
              <w:pStyle w:val="TableTextCentered"/>
              <w:rPr>
                <w:i/>
              </w:rPr>
            </w:pPr>
            <w:r w:rsidRPr="00027624">
              <w:rPr>
                <w:i/>
              </w:rPr>
              <w:t>396,000</w:t>
            </w:r>
          </w:p>
        </w:tc>
      </w:tr>
      <w:tr w:rsidR="00B3792F" w:rsidRPr="00027624" w14:paraId="65B459B7" w14:textId="77777777" w:rsidTr="00B3792F">
        <w:trPr>
          <w:trHeight w:val="270"/>
        </w:trPr>
        <w:tc>
          <w:tcPr>
            <w:tcW w:w="1666" w:type="pct"/>
          </w:tcPr>
          <w:p w14:paraId="44DEA81B" w14:textId="77777777" w:rsidR="00B3792F" w:rsidRPr="00027624" w:rsidRDefault="00B3792F" w:rsidP="00B3792F">
            <w:pPr>
              <w:pStyle w:val="TableTextIndented"/>
              <w:rPr>
                <w:i/>
              </w:rPr>
            </w:pPr>
            <w:r w:rsidRPr="00027624">
              <w:rPr>
                <w:i/>
              </w:rPr>
              <w:t>Widowed</w:t>
            </w:r>
          </w:p>
        </w:tc>
        <w:tc>
          <w:tcPr>
            <w:tcW w:w="1667" w:type="pct"/>
          </w:tcPr>
          <w:p w14:paraId="2CE3FE6F" w14:textId="77777777" w:rsidR="00B3792F" w:rsidRPr="00027624" w:rsidRDefault="00B3792F" w:rsidP="00B3792F">
            <w:pPr>
              <w:pStyle w:val="TableTextCentered"/>
              <w:rPr>
                <w:i/>
              </w:rPr>
            </w:pPr>
            <w:r w:rsidRPr="00027624">
              <w:rPr>
                <w:i/>
              </w:rPr>
              <w:t>28,100</w:t>
            </w:r>
          </w:p>
        </w:tc>
        <w:tc>
          <w:tcPr>
            <w:tcW w:w="1667" w:type="pct"/>
          </w:tcPr>
          <w:p w14:paraId="41A4AE02" w14:textId="77777777" w:rsidR="00B3792F" w:rsidRPr="00027624" w:rsidRDefault="00B3792F" w:rsidP="00B3792F">
            <w:pPr>
              <w:pStyle w:val="TableTextCentered"/>
              <w:rPr>
                <w:i/>
              </w:rPr>
            </w:pPr>
            <w:r w:rsidRPr="00027624">
              <w:rPr>
                <w:i/>
              </w:rPr>
              <w:t>477,500</w:t>
            </w:r>
          </w:p>
        </w:tc>
      </w:tr>
      <w:tr w:rsidR="00B3792F" w:rsidRPr="00027624" w14:paraId="3092400E" w14:textId="77777777" w:rsidTr="00B3792F">
        <w:trPr>
          <w:trHeight w:val="270"/>
        </w:trPr>
        <w:tc>
          <w:tcPr>
            <w:tcW w:w="1666" w:type="pct"/>
          </w:tcPr>
          <w:p w14:paraId="52E2BD43" w14:textId="77777777" w:rsidR="00B3792F" w:rsidRPr="00027624" w:rsidRDefault="00B3792F" w:rsidP="00B3792F">
            <w:pPr>
              <w:pStyle w:val="TableTextIndented"/>
              <w:rPr>
                <w:i/>
              </w:rPr>
            </w:pPr>
            <w:r w:rsidRPr="00027624">
              <w:rPr>
                <w:i/>
              </w:rPr>
              <w:t>Never married</w:t>
            </w:r>
          </w:p>
        </w:tc>
        <w:tc>
          <w:tcPr>
            <w:tcW w:w="1667" w:type="pct"/>
          </w:tcPr>
          <w:p w14:paraId="5F838FE0" w14:textId="77777777" w:rsidR="00B3792F" w:rsidRPr="00027624" w:rsidRDefault="00B3792F" w:rsidP="00B3792F">
            <w:pPr>
              <w:pStyle w:val="TableTextCentered"/>
              <w:rPr>
                <w:i/>
              </w:rPr>
            </w:pPr>
            <w:r w:rsidRPr="00027624">
              <w:rPr>
                <w:i/>
              </w:rPr>
              <w:t>32,100</w:t>
            </w:r>
          </w:p>
        </w:tc>
        <w:tc>
          <w:tcPr>
            <w:tcW w:w="1667" w:type="pct"/>
          </w:tcPr>
          <w:p w14:paraId="55336ABA" w14:textId="77777777" w:rsidR="00B3792F" w:rsidRPr="00027624" w:rsidRDefault="00B3792F" w:rsidP="00B3792F">
            <w:pPr>
              <w:pStyle w:val="TableTextCentered"/>
              <w:rPr>
                <w:i/>
              </w:rPr>
            </w:pPr>
            <w:r w:rsidRPr="00027624">
              <w:rPr>
                <w:i/>
              </w:rPr>
              <w:t>530,700</w:t>
            </w:r>
          </w:p>
        </w:tc>
      </w:tr>
      <w:tr w:rsidR="00B3792F" w:rsidRPr="00027624" w14:paraId="3235172C" w14:textId="77777777" w:rsidTr="00B3792F">
        <w:trPr>
          <w:trHeight w:val="270"/>
        </w:trPr>
        <w:tc>
          <w:tcPr>
            <w:tcW w:w="1666" w:type="pct"/>
          </w:tcPr>
          <w:p w14:paraId="75B034CC" w14:textId="77777777" w:rsidR="00B3792F" w:rsidRPr="00027624" w:rsidRDefault="00B3792F" w:rsidP="00B3792F">
            <w:pPr>
              <w:pStyle w:val="TableTextLeft"/>
            </w:pPr>
          </w:p>
        </w:tc>
        <w:tc>
          <w:tcPr>
            <w:tcW w:w="1667" w:type="pct"/>
          </w:tcPr>
          <w:p w14:paraId="03E65C8A" w14:textId="77777777" w:rsidR="00B3792F" w:rsidRPr="00027624" w:rsidRDefault="00B3792F" w:rsidP="00B3792F">
            <w:pPr>
              <w:pStyle w:val="TableTextLeft"/>
              <w:jc w:val="center"/>
            </w:pPr>
          </w:p>
        </w:tc>
        <w:tc>
          <w:tcPr>
            <w:tcW w:w="1667" w:type="pct"/>
          </w:tcPr>
          <w:p w14:paraId="3778D94C" w14:textId="77777777" w:rsidR="00B3792F" w:rsidRPr="00027624" w:rsidRDefault="00B3792F" w:rsidP="00B3792F">
            <w:pPr>
              <w:pStyle w:val="TableTextLeft"/>
              <w:jc w:val="center"/>
            </w:pPr>
          </w:p>
        </w:tc>
      </w:tr>
      <w:tr w:rsidR="00B3792F" w:rsidRPr="00027624" w14:paraId="6989A3D4" w14:textId="77777777" w:rsidTr="00B3792F">
        <w:trPr>
          <w:trHeight w:val="270"/>
        </w:trPr>
        <w:tc>
          <w:tcPr>
            <w:tcW w:w="1666" w:type="pct"/>
          </w:tcPr>
          <w:p w14:paraId="39C6AF4D" w14:textId="77777777" w:rsidR="00B3792F" w:rsidRPr="00027624" w:rsidRDefault="00B3792F" w:rsidP="00B3792F">
            <w:pPr>
              <w:pStyle w:val="TableTextLeft"/>
            </w:pPr>
            <w:r w:rsidRPr="00027624">
              <w:t>Single men</w:t>
            </w:r>
          </w:p>
        </w:tc>
        <w:tc>
          <w:tcPr>
            <w:tcW w:w="1667" w:type="pct"/>
          </w:tcPr>
          <w:p w14:paraId="163FFF48" w14:textId="77777777" w:rsidR="00B3792F" w:rsidRPr="00027624" w:rsidRDefault="00B3792F" w:rsidP="00B3792F">
            <w:pPr>
              <w:pStyle w:val="TableTextLeft"/>
              <w:jc w:val="center"/>
            </w:pPr>
            <w:r w:rsidRPr="00027624">
              <w:t>33,700</w:t>
            </w:r>
          </w:p>
        </w:tc>
        <w:tc>
          <w:tcPr>
            <w:tcW w:w="1667" w:type="pct"/>
          </w:tcPr>
          <w:p w14:paraId="30312C9F" w14:textId="77777777" w:rsidR="00B3792F" w:rsidRPr="00027624" w:rsidRDefault="00B3792F" w:rsidP="00B3792F">
            <w:pPr>
              <w:pStyle w:val="TableTextLeft"/>
              <w:jc w:val="center"/>
            </w:pPr>
            <w:r w:rsidRPr="00027624">
              <w:t>404,300</w:t>
            </w:r>
          </w:p>
        </w:tc>
      </w:tr>
      <w:tr w:rsidR="00B3792F" w:rsidRPr="00027624" w14:paraId="1ED3F404" w14:textId="77777777" w:rsidTr="00B3792F">
        <w:trPr>
          <w:trHeight w:val="270"/>
        </w:trPr>
        <w:tc>
          <w:tcPr>
            <w:tcW w:w="1666" w:type="pct"/>
          </w:tcPr>
          <w:p w14:paraId="605EF493" w14:textId="77777777" w:rsidR="00B3792F" w:rsidRPr="00027624" w:rsidRDefault="00B3792F" w:rsidP="00B3792F">
            <w:pPr>
              <w:pStyle w:val="TableTextIndented"/>
              <w:rPr>
                <w:i/>
              </w:rPr>
            </w:pPr>
            <w:r w:rsidRPr="00027624">
              <w:rPr>
                <w:i/>
              </w:rPr>
              <w:t>Separated</w:t>
            </w:r>
          </w:p>
        </w:tc>
        <w:tc>
          <w:tcPr>
            <w:tcW w:w="1667" w:type="pct"/>
          </w:tcPr>
          <w:p w14:paraId="35D98F35" w14:textId="77777777" w:rsidR="00B3792F" w:rsidRPr="00027624" w:rsidRDefault="00B3792F" w:rsidP="00B3792F">
            <w:pPr>
              <w:pStyle w:val="TableTextCentered"/>
              <w:rPr>
                <w:i/>
              </w:rPr>
            </w:pPr>
            <w:r w:rsidRPr="00027624">
              <w:rPr>
                <w:i/>
              </w:rPr>
              <w:t>27,400</w:t>
            </w:r>
          </w:p>
        </w:tc>
        <w:tc>
          <w:tcPr>
            <w:tcW w:w="1667" w:type="pct"/>
          </w:tcPr>
          <w:p w14:paraId="7657BBFE" w14:textId="77777777" w:rsidR="00B3792F" w:rsidRPr="00027624" w:rsidRDefault="00B3792F" w:rsidP="00B3792F">
            <w:pPr>
              <w:pStyle w:val="TableTextCentered"/>
              <w:rPr>
                <w:i/>
              </w:rPr>
            </w:pPr>
            <w:r w:rsidRPr="00027624">
              <w:rPr>
                <w:i/>
              </w:rPr>
              <w:t>311,000</w:t>
            </w:r>
          </w:p>
        </w:tc>
      </w:tr>
      <w:tr w:rsidR="00B3792F" w:rsidRPr="00027624" w14:paraId="43E9E040" w14:textId="77777777" w:rsidTr="00B3792F">
        <w:trPr>
          <w:trHeight w:val="270"/>
        </w:trPr>
        <w:tc>
          <w:tcPr>
            <w:tcW w:w="1666" w:type="pct"/>
          </w:tcPr>
          <w:p w14:paraId="4444F0EE" w14:textId="77777777" w:rsidR="00B3792F" w:rsidRPr="00027624" w:rsidRDefault="00B3792F" w:rsidP="00B3792F">
            <w:pPr>
              <w:pStyle w:val="TableTextIndented"/>
              <w:rPr>
                <w:i/>
              </w:rPr>
            </w:pPr>
            <w:r w:rsidRPr="00027624">
              <w:rPr>
                <w:i/>
              </w:rPr>
              <w:t>Divorced</w:t>
            </w:r>
          </w:p>
        </w:tc>
        <w:tc>
          <w:tcPr>
            <w:tcW w:w="1667" w:type="pct"/>
          </w:tcPr>
          <w:p w14:paraId="23DBAC23" w14:textId="77777777" w:rsidR="00B3792F" w:rsidRPr="00027624" w:rsidRDefault="00B3792F" w:rsidP="00B3792F">
            <w:pPr>
              <w:pStyle w:val="TableTextCentered"/>
              <w:rPr>
                <w:i/>
              </w:rPr>
            </w:pPr>
            <w:r w:rsidRPr="00027624">
              <w:rPr>
                <w:i/>
              </w:rPr>
              <w:t>32,900</w:t>
            </w:r>
          </w:p>
        </w:tc>
        <w:tc>
          <w:tcPr>
            <w:tcW w:w="1667" w:type="pct"/>
          </w:tcPr>
          <w:p w14:paraId="3D676DBE" w14:textId="77777777" w:rsidR="00B3792F" w:rsidRPr="00027624" w:rsidRDefault="00B3792F" w:rsidP="00B3792F">
            <w:pPr>
              <w:pStyle w:val="TableTextCentered"/>
              <w:rPr>
                <w:i/>
              </w:rPr>
            </w:pPr>
            <w:r w:rsidRPr="00027624">
              <w:rPr>
                <w:i/>
              </w:rPr>
              <w:t>359,200</w:t>
            </w:r>
          </w:p>
        </w:tc>
      </w:tr>
      <w:tr w:rsidR="00B3792F" w:rsidRPr="00027624" w14:paraId="4EF722AC" w14:textId="77777777" w:rsidTr="00B3792F">
        <w:trPr>
          <w:trHeight w:val="270"/>
        </w:trPr>
        <w:tc>
          <w:tcPr>
            <w:tcW w:w="1666" w:type="pct"/>
          </w:tcPr>
          <w:p w14:paraId="7E4CC300" w14:textId="77777777" w:rsidR="00B3792F" w:rsidRPr="00027624" w:rsidRDefault="00B3792F" w:rsidP="00B3792F">
            <w:pPr>
              <w:pStyle w:val="TableTextIndented"/>
              <w:rPr>
                <w:i/>
              </w:rPr>
            </w:pPr>
            <w:r w:rsidRPr="00027624">
              <w:rPr>
                <w:i/>
              </w:rPr>
              <w:t>Widowed</w:t>
            </w:r>
          </w:p>
        </w:tc>
        <w:tc>
          <w:tcPr>
            <w:tcW w:w="1667" w:type="pct"/>
          </w:tcPr>
          <w:p w14:paraId="61E1C957" w14:textId="77777777" w:rsidR="00B3792F" w:rsidRPr="00027624" w:rsidRDefault="00B3792F" w:rsidP="00B3792F">
            <w:pPr>
              <w:pStyle w:val="TableTextCentered"/>
              <w:rPr>
                <w:i/>
              </w:rPr>
            </w:pPr>
            <w:r w:rsidRPr="00027624">
              <w:rPr>
                <w:i/>
              </w:rPr>
              <w:t>28,900</w:t>
            </w:r>
          </w:p>
        </w:tc>
        <w:tc>
          <w:tcPr>
            <w:tcW w:w="1667" w:type="pct"/>
          </w:tcPr>
          <w:p w14:paraId="2DF5EFA4" w14:textId="77777777" w:rsidR="00B3792F" w:rsidRPr="00027624" w:rsidRDefault="00B3792F" w:rsidP="00B3792F">
            <w:pPr>
              <w:pStyle w:val="TableTextCentered"/>
              <w:rPr>
                <w:i/>
              </w:rPr>
            </w:pPr>
            <w:r w:rsidRPr="00027624">
              <w:rPr>
                <w:i/>
              </w:rPr>
              <w:t>552,500</w:t>
            </w:r>
          </w:p>
        </w:tc>
      </w:tr>
      <w:tr w:rsidR="00B3792F" w:rsidRPr="00027624" w14:paraId="168CF591" w14:textId="77777777" w:rsidTr="00B3792F">
        <w:trPr>
          <w:trHeight w:val="270"/>
        </w:trPr>
        <w:tc>
          <w:tcPr>
            <w:tcW w:w="1666" w:type="pct"/>
          </w:tcPr>
          <w:p w14:paraId="79F9EDE2" w14:textId="77777777" w:rsidR="00B3792F" w:rsidRPr="00027624" w:rsidRDefault="00B3792F" w:rsidP="00B3792F">
            <w:pPr>
              <w:pStyle w:val="TableTextIndented"/>
              <w:rPr>
                <w:i/>
              </w:rPr>
            </w:pPr>
            <w:r w:rsidRPr="00027624">
              <w:rPr>
                <w:i/>
              </w:rPr>
              <w:t>Never married</w:t>
            </w:r>
          </w:p>
        </w:tc>
        <w:tc>
          <w:tcPr>
            <w:tcW w:w="1667" w:type="pct"/>
          </w:tcPr>
          <w:p w14:paraId="0427E94C" w14:textId="77777777" w:rsidR="00B3792F" w:rsidRPr="00027624" w:rsidRDefault="00B3792F" w:rsidP="00B3792F">
            <w:pPr>
              <w:pStyle w:val="TableTextCentered"/>
              <w:rPr>
                <w:i/>
              </w:rPr>
            </w:pPr>
            <w:r w:rsidRPr="00027624">
              <w:rPr>
                <w:i/>
              </w:rPr>
              <w:t>34,000</w:t>
            </w:r>
          </w:p>
        </w:tc>
        <w:tc>
          <w:tcPr>
            <w:tcW w:w="1667" w:type="pct"/>
          </w:tcPr>
          <w:p w14:paraId="0A2DB532" w14:textId="77777777" w:rsidR="00B3792F" w:rsidRPr="00027624" w:rsidRDefault="00B3792F" w:rsidP="00B3792F">
            <w:pPr>
              <w:pStyle w:val="TableTextCentered"/>
              <w:rPr>
                <w:i/>
              </w:rPr>
            </w:pPr>
            <w:r w:rsidRPr="00027624">
              <w:rPr>
                <w:i/>
              </w:rPr>
              <w:t>372,500</w:t>
            </w:r>
          </w:p>
        </w:tc>
      </w:tr>
    </w:tbl>
    <w:p w14:paraId="38B56A35" w14:textId="77777777" w:rsidR="00B3792F" w:rsidRPr="00027624" w:rsidRDefault="00B3792F" w:rsidP="00B3792F">
      <w:pPr>
        <w:pStyle w:val="ChartorTableNote"/>
      </w:pPr>
      <w:r w:rsidRPr="00027624">
        <w:t>Note: Figures are in 2018 dollars and are rounded to nearest $100. Net wealth includes housing. Includes households with any member aged 65 and over. Results are equivalised (i.e. adjusted for household size). Source:</w:t>
      </w:r>
      <w:r w:rsidR="00512904" w:rsidRPr="00027624">
        <w:t xml:space="preserve"> Analysis of HILDA Survey data (Wave </w:t>
      </w:r>
      <w:r w:rsidRPr="00027624">
        <w:t>18</w:t>
      </w:r>
      <w:r w:rsidR="00512904" w:rsidRPr="00027624">
        <w:t>)</w:t>
      </w:r>
      <w:r w:rsidRPr="00027624">
        <w:t>.</w:t>
      </w:r>
    </w:p>
    <w:p w14:paraId="22B84561" w14:textId="77777777" w:rsidR="00B3792F" w:rsidRPr="00027624" w:rsidRDefault="00B3792F" w:rsidP="00B3792F">
      <w:pPr>
        <w:pStyle w:val="Heading2"/>
      </w:pPr>
      <w:bookmarkStart w:id="1878" w:name="_Toc40366138"/>
      <w:bookmarkStart w:id="1879" w:name="_Toc40369684"/>
      <w:bookmarkStart w:id="1880" w:name="_Toc40427654"/>
      <w:bookmarkStart w:id="1881" w:name="_Toc40458093"/>
      <w:bookmarkStart w:id="1882" w:name="_Toc40461862"/>
      <w:bookmarkStart w:id="1883" w:name="_Toc40474417"/>
      <w:bookmarkStart w:id="1884" w:name="_Toc40477946"/>
      <w:bookmarkStart w:id="1885" w:name="_Toc40521526"/>
      <w:bookmarkStart w:id="1886" w:name="_Toc40530385"/>
      <w:bookmarkStart w:id="1887" w:name="_Toc42778814"/>
      <w:bookmarkStart w:id="1888" w:name="_Toc42779954"/>
      <w:bookmarkStart w:id="1889" w:name="_Toc42780383"/>
      <w:bookmarkStart w:id="1890" w:name="_Toc42786373"/>
      <w:bookmarkStart w:id="1891" w:name="_Toc42791866"/>
      <w:bookmarkStart w:id="1892" w:name="_Toc42792028"/>
      <w:bookmarkStart w:id="1893" w:name="_Toc43117835"/>
      <w:bookmarkStart w:id="1894" w:name="_Toc43121474"/>
      <w:bookmarkStart w:id="1895" w:name="_Toc43122679"/>
      <w:bookmarkStart w:id="1896" w:name="_Toc43127734"/>
      <w:bookmarkStart w:id="1897" w:name="_Toc45520500"/>
      <w:bookmarkStart w:id="1898" w:name="_Toc46133611"/>
      <w:r w:rsidRPr="00027624">
        <w:t>Poverty and financial stress</w:t>
      </w:r>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p>
    <w:p w14:paraId="124A50B7" w14:textId="77777777" w:rsidR="00B3792F" w:rsidRPr="00027624" w:rsidRDefault="00B3792F" w:rsidP="00B3792F">
      <w:pPr>
        <w:spacing w:after="0"/>
        <w:rPr>
          <w:iCs/>
        </w:rPr>
      </w:pPr>
      <w:r w:rsidRPr="00027624">
        <w:rPr>
          <w:b/>
          <w:bCs/>
        </w:rPr>
        <w:t>Single retirees are far more likely to experience disadvantage than couples</w:t>
      </w:r>
      <w:r w:rsidRPr="00027624">
        <w:rPr>
          <w:b/>
        </w:rPr>
        <w:t>.</w:t>
      </w:r>
      <w:r w:rsidRPr="00027624">
        <w:t xml:space="preserve"> Singles are more likely to be in poverty and financial stress than couples. Around 23 per cent of retired single women and 25 per cent of retired single men are in poverty, while around 12 per cent of both single men and women are in financial stress in retirement. Around 10 per cent of coupled retirees are in poverty, and 9 per cent are in financial stress (see </w:t>
      </w:r>
      <w:r w:rsidRPr="00027624">
        <w:rPr>
          <w:i/>
        </w:rPr>
        <w:t>2A. Achieving a minimum standard of living in retirement</w:t>
      </w:r>
      <w:r w:rsidRPr="00027624">
        <w:t>)</w:t>
      </w:r>
      <w:r w:rsidRPr="00027624">
        <w:rPr>
          <w:i/>
        </w:rPr>
        <w:t>.</w:t>
      </w:r>
      <w:r w:rsidRPr="00027624">
        <w:rPr>
          <w:bCs/>
        </w:rPr>
        <w:t xml:space="preserve"> Because there are more women in retirement, there are a greater absolute number of single women than single men in poverty and financial stress in retirement.</w:t>
      </w:r>
    </w:p>
    <w:p w14:paraId="480731FB" w14:textId="77777777" w:rsidR="00B3792F" w:rsidRPr="00027624" w:rsidRDefault="00B3792F" w:rsidP="00B3792F">
      <w:pPr>
        <w:pStyle w:val="Heading3"/>
      </w:pPr>
      <w:bookmarkStart w:id="1899" w:name="_Toc40366139"/>
      <w:bookmarkStart w:id="1900" w:name="_Toc40369685"/>
      <w:bookmarkStart w:id="1901" w:name="_Toc40427655"/>
      <w:bookmarkStart w:id="1902" w:name="_Toc40458094"/>
      <w:bookmarkStart w:id="1903" w:name="_Toc40461863"/>
      <w:bookmarkStart w:id="1904" w:name="_Toc40474418"/>
      <w:bookmarkStart w:id="1905" w:name="_Toc40477947"/>
      <w:bookmarkStart w:id="1906" w:name="_Toc40521527"/>
      <w:bookmarkStart w:id="1907" w:name="_Toc40530386"/>
      <w:bookmarkStart w:id="1908" w:name="_Toc42778815"/>
      <w:bookmarkStart w:id="1909" w:name="_Toc42779955"/>
      <w:bookmarkStart w:id="1910" w:name="_Toc42780384"/>
      <w:bookmarkStart w:id="1911" w:name="_Toc42786374"/>
      <w:bookmarkStart w:id="1912" w:name="_Toc42791867"/>
      <w:bookmarkStart w:id="1913" w:name="_Toc42792029"/>
      <w:bookmarkStart w:id="1914" w:name="_Toc43117836"/>
      <w:bookmarkStart w:id="1915" w:name="_Toc43121475"/>
      <w:bookmarkStart w:id="1916" w:name="_Toc43122680"/>
      <w:bookmarkStart w:id="1917" w:name="_Toc43127735"/>
      <w:r w:rsidRPr="00027624">
        <w:lastRenderedPageBreak/>
        <w:t>Renting in retirement</w:t>
      </w:r>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p>
    <w:p w14:paraId="5715382F" w14:textId="77777777" w:rsidR="00B3792F" w:rsidRPr="00027624" w:rsidRDefault="00B3792F" w:rsidP="00B3792F">
      <w:r w:rsidRPr="00027624">
        <w:t xml:space="preserve">Similar proportions of men and women rent in retirement. Because there are more women than men in retirement, an absolute greater number of women are renters and more women rent in later retirement </w:t>
      </w:r>
      <w:sdt>
        <w:sdtPr>
          <w:id w:val="1849594790"/>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p>
    <w:p w14:paraId="64194048" w14:textId="233D1006" w:rsidR="00B3792F" w:rsidRPr="00027624" w:rsidRDefault="00B3792F" w:rsidP="00B3792F">
      <w:r w:rsidRPr="00027624">
        <w:t>Single people are far more likely than married people to rent in retirement, particularly at younger ages. People who are separated or divorced are the most likely group of singles to rent in retirement (</w:t>
      </w:r>
      <w:r w:rsidRPr="00027624">
        <w:fldChar w:fldCharType="begin"/>
      </w:r>
      <w:r w:rsidRPr="00027624">
        <w:instrText xml:space="preserve"> REF _Ref35256079 \r \h  \* MERGEFORMAT </w:instrText>
      </w:r>
      <w:r w:rsidRPr="00027624">
        <w:fldChar w:fldCharType="separate"/>
      </w:r>
      <w:r w:rsidR="00891058">
        <w:t>Chart 3B-26</w:t>
      </w:r>
      <w:r w:rsidRPr="00027624">
        <w:fldChar w:fldCharType="end"/>
      </w:r>
      <w:r w:rsidRPr="00027624">
        <w:t xml:space="preserve">). </w:t>
      </w:r>
      <w:r w:rsidRPr="00027624">
        <w:rPr>
          <w:b/>
        </w:rPr>
        <w:t>Single renters, both men and women, are at particular risk of poverty</w:t>
      </w:r>
      <w:r w:rsidRPr="00027624">
        <w:t xml:space="preserve"> </w:t>
      </w:r>
      <w:r w:rsidRPr="00027624">
        <w:rPr>
          <w:b/>
        </w:rPr>
        <w:t>and financial stress in retirement</w:t>
      </w:r>
      <w:r w:rsidRPr="00027624">
        <w:t xml:space="preserve"> (see </w:t>
      </w:r>
      <w:r w:rsidRPr="00027624">
        <w:rPr>
          <w:i/>
        </w:rPr>
        <w:t>2A. Achieving a minimum standard of living in retirement</w:t>
      </w:r>
      <w:r w:rsidRPr="00027624">
        <w:t>).</w:t>
      </w:r>
    </w:p>
    <w:p w14:paraId="37C408DC" w14:textId="77777777" w:rsidR="00B3792F" w:rsidRPr="00027624" w:rsidRDefault="00B3792F" w:rsidP="00582C3E">
      <w:pPr>
        <w:pStyle w:val="ChartMainHeading"/>
      </w:pPr>
      <w:bookmarkStart w:id="1918" w:name="_Ref35256079"/>
      <w:r w:rsidRPr="00027624">
        <w:t>Proportion renting in retirement, by age and marital status</w:t>
      </w:r>
      <w:bookmarkEnd w:id="1918"/>
    </w:p>
    <w:tbl>
      <w:tblPr>
        <w:tblW w:w="5000" w:type="pct"/>
        <w:tblLook w:val="01E0" w:firstRow="1" w:lastRow="1" w:firstColumn="1" w:lastColumn="1" w:noHBand="0" w:noVBand="0"/>
      </w:tblPr>
      <w:tblGrid>
        <w:gridCol w:w="4535"/>
        <w:gridCol w:w="4535"/>
      </w:tblGrid>
      <w:tr w:rsidR="00B3792F" w:rsidRPr="00027624" w14:paraId="2CF70B6B" w14:textId="77777777" w:rsidTr="00B3792F">
        <w:tc>
          <w:tcPr>
            <w:tcW w:w="2500" w:type="pct"/>
          </w:tcPr>
          <w:p w14:paraId="7694BFAD" w14:textId="77777777" w:rsidR="00B3792F" w:rsidRPr="00027624" w:rsidRDefault="00B3792F" w:rsidP="00B3792F">
            <w:pPr>
              <w:pStyle w:val="ChartSecondHeading"/>
            </w:pPr>
            <w:r w:rsidRPr="00027624">
              <w:t>Women</w:t>
            </w:r>
          </w:p>
        </w:tc>
        <w:tc>
          <w:tcPr>
            <w:tcW w:w="2500" w:type="pct"/>
          </w:tcPr>
          <w:p w14:paraId="438A554C" w14:textId="77777777" w:rsidR="00B3792F" w:rsidRPr="00027624" w:rsidRDefault="00B3792F" w:rsidP="00B3792F">
            <w:pPr>
              <w:pStyle w:val="ChartSecondHeading"/>
            </w:pPr>
            <w:r w:rsidRPr="00027624">
              <w:t>Men</w:t>
            </w:r>
          </w:p>
        </w:tc>
      </w:tr>
    </w:tbl>
    <w:p w14:paraId="1C7DD44D" w14:textId="77777777" w:rsidR="00B3792F" w:rsidRPr="00027624" w:rsidRDefault="00F56E34" w:rsidP="00B3792F">
      <w:pPr>
        <w:pStyle w:val="ChartGraphic"/>
      </w:pPr>
      <w:r>
        <w:rPr>
          <w:noProof/>
        </w:rPr>
        <w:drawing>
          <wp:inline distT="0" distB="0" distL="0" distR="0" wp14:anchorId="454099D9" wp14:editId="5A5B0102">
            <wp:extent cx="2876400" cy="2876400"/>
            <wp:effectExtent l="0" t="0" r="635" b="635"/>
            <wp:docPr id="741687593" name="Picture 741687593" descr="This chart shows that the most likely groups of women to be renting in retirement are separated and divorced women. The least likely group to be renting in retirement is married women. At older ages, the proportion of those separated, divorced, never married and widowed renting falls, compared to the proportion at younger ages. " title="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70428822" wp14:editId="436D7B75">
            <wp:extent cx="2876400" cy="2884010"/>
            <wp:effectExtent l="0" t="0" r="635" b="0"/>
            <wp:docPr id="741687596" name="Picture 741687596" descr="This chart shows that the most likely groups of men to be renting in retirement are separated and divorced men. The least likely group to be renting in retirement is married men. At older ages, the proportion of those separated, divorced, never married and widowed renting falls, compared to the proportion at younger ages." title="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76400" cy="2884010"/>
                    </a:xfrm>
                    <a:prstGeom prst="rect">
                      <a:avLst/>
                    </a:prstGeom>
                    <a:noFill/>
                  </pic:spPr>
                </pic:pic>
              </a:graphicData>
            </a:graphic>
          </wp:inline>
        </w:drawing>
      </w:r>
    </w:p>
    <w:p w14:paraId="22464BF1" w14:textId="77777777" w:rsidR="00B3792F" w:rsidRPr="00027624" w:rsidRDefault="00B3792F" w:rsidP="00B3792F">
      <w:pPr>
        <w:pStyle w:val="ChartorTableNote"/>
      </w:pPr>
      <w:r w:rsidRPr="00027624">
        <w:t xml:space="preserve">Note: 2016 data. Given the small size of the separated and divorced cohorts, particularly at older ages, these charts should be used with caution. Source: Analysis of </w:t>
      </w:r>
      <w:sdt>
        <w:sdtPr>
          <w:id w:val="570238378"/>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p>
    <w:p w14:paraId="7DDC1857" w14:textId="77777777" w:rsidR="00185891" w:rsidRDefault="00B3792F" w:rsidP="00B3792F">
      <w:pPr>
        <w:spacing w:before="240" w:after="240"/>
      </w:pPr>
      <w:r w:rsidRPr="00027624">
        <w:rPr>
          <w:szCs w:val="22"/>
        </w:rPr>
        <w:t xml:space="preserve">More single women receive the Commonwealth Rent Assistance supplement in retirement than single men (see </w:t>
      </w:r>
      <w:r w:rsidRPr="00027624">
        <w:rPr>
          <w:i/>
          <w:szCs w:val="22"/>
        </w:rPr>
        <w:t>1B. Design of Australia</w:t>
      </w:r>
      <w:r w:rsidR="00A8443E" w:rsidRPr="00027624">
        <w:rPr>
          <w:i/>
          <w:szCs w:val="22"/>
        </w:rPr>
        <w:t>’</w:t>
      </w:r>
      <w:r w:rsidRPr="00027624">
        <w:rPr>
          <w:i/>
          <w:szCs w:val="22"/>
        </w:rPr>
        <w:t>s retirement income system</w:t>
      </w:r>
      <w:r w:rsidRPr="00027624">
        <w:rPr>
          <w:szCs w:val="22"/>
        </w:rPr>
        <w:t>), particularly at older ages.</w:t>
      </w:r>
      <w:r w:rsidRPr="00027624">
        <w:rPr>
          <w:rStyle w:val="FootnoteReference"/>
          <w:szCs w:val="22"/>
        </w:rPr>
        <w:footnoteReference w:id="165"/>
      </w:r>
      <w:r w:rsidRPr="00027624">
        <w:rPr>
          <w:szCs w:val="22"/>
        </w:rPr>
        <w:t xml:space="preserve"> </w:t>
      </w:r>
      <w:r w:rsidRPr="00027624">
        <w:t xml:space="preserve">Homelessness among older women is also an area of increasing concern (see </w:t>
      </w:r>
      <w:r w:rsidRPr="00027624">
        <w:rPr>
          <w:i/>
        </w:rPr>
        <w:t>3C. Home ownership status</w:t>
      </w:r>
      <w:r w:rsidRPr="00027624">
        <w:rPr>
          <w:rFonts w:eastAsiaTheme="minorHAnsi"/>
        </w:rPr>
        <w:t>)</w:t>
      </w:r>
      <w:r w:rsidRPr="00027624">
        <w:t>.</w:t>
      </w:r>
    </w:p>
    <w:p w14:paraId="7F9EBFDB" w14:textId="77777777" w:rsidR="00B3792F" w:rsidRPr="00027624" w:rsidRDefault="00185891" w:rsidP="00185891">
      <w:pPr>
        <w:spacing w:before="0" w:after="160" w:line="259" w:lineRule="auto"/>
      </w:pPr>
      <w:r>
        <w:br w:type="page"/>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40E3B398" w14:textId="77777777" w:rsidTr="00B3792F">
        <w:tc>
          <w:tcPr>
            <w:tcW w:w="5000" w:type="pct"/>
            <w:shd w:val="clear" w:color="auto" w:fill="FFF8EA"/>
          </w:tcPr>
          <w:p w14:paraId="08333750" w14:textId="77777777" w:rsidR="00B3792F" w:rsidRPr="00027624" w:rsidRDefault="00B3792F" w:rsidP="00582C3E">
            <w:pPr>
              <w:pStyle w:val="BoxHeading"/>
            </w:pPr>
            <w:r w:rsidRPr="00027624">
              <w:lastRenderedPageBreak/>
              <w:t>Impact of changes to certain policy settings on women</w:t>
            </w:r>
            <w:r w:rsidR="00A8443E" w:rsidRPr="00027624">
              <w:t>’</w:t>
            </w:r>
            <w:r w:rsidRPr="00027624">
              <w:t>s retirement outcomes</w:t>
            </w:r>
          </w:p>
          <w:p w14:paraId="2FDDAA31" w14:textId="77777777" w:rsidR="00B3792F" w:rsidRPr="00027624" w:rsidRDefault="00B3792F" w:rsidP="00B3792F">
            <w:pPr>
              <w:pStyle w:val="BoxText"/>
            </w:pPr>
            <w:bookmarkStart w:id="1919" w:name="_Toc40366140"/>
            <w:bookmarkStart w:id="1920" w:name="_Toc40369686"/>
            <w:bookmarkStart w:id="1921" w:name="_Toc40427656"/>
            <w:r w:rsidRPr="00027624">
              <w:t>A significant number of submissions raised policy proposals to improve retirement outcomes for women. The following summary outlines some implications of some of the proposed policy changes.</w:t>
            </w:r>
            <w:bookmarkEnd w:id="1919"/>
            <w:bookmarkEnd w:id="1920"/>
            <w:bookmarkEnd w:id="1921"/>
          </w:p>
          <w:p w14:paraId="65D6E121" w14:textId="15B166B0" w:rsidR="00B3792F" w:rsidRPr="00027624" w:rsidRDefault="00B3792F" w:rsidP="00B3792F">
            <w:pPr>
              <w:pStyle w:val="BoxBullet"/>
            </w:pPr>
            <w:r w:rsidRPr="00027624">
              <w:rPr>
                <w:b/>
              </w:rPr>
              <w:t>Remove the $450</w:t>
            </w:r>
            <w:r w:rsidR="00A8443E" w:rsidRPr="00027624">
              <w:rPr>
                <w:b/>
              </w:rPr>
              <w:noBreakHyphen/>
            </w:r>
            <w:r w:rsidRPr="00027624">
              <w:rPr>
                <w:b/>
              </w:rPr>
              <w:t>a</w:t>
            </w:r>
            <w:r w:rsidR="00A8443E" w:rsidRPr="00027624">
              <w:rPr>
                <w:b/>
              </w:rPr>
              <w:noBreakHyphen/>
            </w:r>
            <w:r w:rsidRPr="00027624">
              <w:rPr>
                <w:b/>
              </w:rPr>
              <w:t xml:space="preserve">month threshold and pay superannuation on paid parental leave and Parental Leave Pay. </w:t>
            </w:r>
            <w:r w:rsidRPr="00027624">
              <w:t>These changes would marginally improve retirement income equality between men and women. These exclusions predominantly disadvantage women. However, the additional superannuation savings gained from removing these exclusions would not offset the impact of the significant working</w:t>
            </w:r>
            <w:r w:rsidR="00A8443E" w:rsidRPr="00027624">
              <w:noBreakHyphen/>
            </w:r>
            <w:r w:rsidRPr="00027624">
              <w:t xml:space="preserve">life earnings gap between men and women (see </w:t>
            </w:r>
            <w:r w:rsidRPr="00027624">
              <w:rPr>
                <w:i/>
              </w:rPr>
              <w:t xml:space="preserve">3D. </w:t>
            </w:r>
            <w:r w:rsidRPr="00027624">
              <w:rPr>
                <w:i/>
              </w:rPr>
              <w:fldChar w:fldCharType="begin"/>
            </w:r>
            <w:r w:rsidRPr="00027624">
              <w:rPr>
                <w:i/>
              </w:rPr>
              <w:instrText xml:space="preserve"> REF _Ref40305501  \* MERGEFORMAT </w:instrText>
            </w:r>
            <w:r w:rsidRPr="00027624">
              <w:rPr>
                <w:i/>
              </w:rPr>
              <w:fldChar w:fldCharType="separate"/>
            </w:r>
            <w:r w:rsidR="00891058" w:rsidRPr="00891058">
              <w:rPr>
                <w:i/>
              </w:rPr>
              <w:t>SG coverage</w:t>
            </w:r>
            <w:r w:rsidRPr="00027624">
              <w:rPr>
                <w:i/>
              </w:rPr>
              <w:fldChar w:fldCharType="end"/>
            </w:r>
            <w:r w:rsidRPr="00027624">
              <w:t>).</w:t>
            </w:r>
          </w:p>
          <w:p w14:paraId="7F87AC31" w14:textId="77777777" w:rsidR="00B3792F" w:rsidRPr="00027624" w:rsidRDefault="00B3792F" w:rsidP="00B3792F">
            <w:pPr>
              <w:pStyle w:val="BoxBullet"/>
            </w:pPr>
            <w:r w:rsidRPr="00027624">
              <w:rPr>
                <w:b/>
              </w:rPr>
              <w:t xml:space="preserve">Increase the incentive for additional voluntary </w:t>
            </w:r>
            <w:r w:rsidR="00A8443E" w:rsidRPr="00027624">
              <w:rPr>
                <w:b/>
              </w:rPr>
              <w:t>‘</w:t>
            </w:r>
            <w:r w:rsidRPr="00027624">
              <w:rPr>
                <w:b/>
              </w:rPr>
              <w:t>catch</w:t>
            </w:r>
            <w:r w:rsidR="00A8443E" w:rsidRPr="00027624">
              <w:rPr>
                <w:b/>
              </w:rPr>
              <w:noBreakHyphen/>
            </w:r>
            <w:r w:rsidRPr="00027624">
              <w:rPr>
                <w:b/>
              </w:rPr>
              <w:t>up</w:t>
            </w:r>
            <w:r w:rsidR="00A8443E" w:rsidRPr="00027624">
              <w:rPr>
                <w:b/>
              </w:rPr>
              <w:t>’</w:t>
            </w:r>
            <w:r w:rsidRPr="00027624">
              <w:rPr>
                <w:b/>
              </w:rPr>
              <w:t xml:space="preserve"> superannuation contributions later in working life</w:t>
            </w:r>
            <w:r w:rsidRPr="00027624">
              <w:rPr>
                <w:b/>
                <w:bCs/>
              </w:rPr>
              <w:t>.</w:t>
            </w:r>
            <w:r w:rsidRPr="00027624">
              <w:t xml:space="preserve"> </w:t>
            </w:r>
            <w:r w:rsidRPr="00027624">
              <w:rPr>
                <w:bCs/>
              </w:rPr>
              <w:t xml:space="preserve">Such a change </w:t>
            </w:r>
            <w:r w:rsidRPr="00027624">
              <w:t xml:space="preserve">would </w:t>
            </w:r>
            <w:r w:rsidRPr="00027624">
              <w:rPr>
                <w:bCs/>
              </w:rPr>
              <w:t xml:space="preserve">mostly </w:t>
            </w:r>
            <w:r w:rsidRPr="00027624">
              <w:t xml:space="preserve">benefit women </w:t>
            </w:r>
            <w:r w:rsidRPr="00027624">
              <w:rPr>
                <w:bCs/>
              </w:rPr>
              <w:t xml:space="preserve">with higher superannuation </w:t>
            </w:r>
            <w:r w:rsidRPr="00027624">
              <w:t xml:space="preserve">balances or those </w:t>
            </w:r>
            <w:r w:rsidRPr="00027624">
              <w:rPr>
                <w:bCs/>
              </w:rPr>
              <w:t>whose partner has</w:t>
            </w:r>
            <w:r w:rsidRPr="00027624">
              <w:t xml:space="preserve"> higher superannuation balances</w:t>
            </w:r>
            <w:r w:rsidRPr="00027624">
              <w:rPr>
                <w:bCs/>
              </w:rPr>
              <w:t>.</w:t>
            </w:r>
            <w:r w:rsidRPr="00027624">
              <w:t xml:space="preserve"> Single women with lower balances are the least likely group of women to make voluntary contributions and the least likely to benefit from incentives to voluntarily contribute to superannuation.</w:t>
            </w:r>
          </w:p>
          <w:p w14:paraId="12E5C1A6" w14:textId="77777777" w:rsidR="00B3792F" w:rsidRPr="00027624" w:rsidRDefault="00B3792F" w:rsidP="00B3792F">
            <w:pPr>
              <w:pStyle w:val="BoxBullet"/>
            </w:pPr>
            <w:r w:rsidRPr="00027624">
              <w:rPr>
                <w:b/>
                <w:bCs/>
              </w:rPr>
              <w:t>Increase the SG rate</w:t>
            </w:r>
            <w:r w:rsidRPr="00027624">
              <w:rPr>
                <w:b/>
              </w:rPr>
              <w:t>.</w:t>
            </w:r>
            <w:r w:rsidRPr="00027624">
              <w:t xml:space="preserve"> This would not reduce the gender gap in superannuation balances and would boost retirement incomes slightly more for men than women. A higher SG rate would come at the expense of working</w:t>
            </w:r>
            <w:r w:rsidR="00A8443E" w:rsidRPr="00027624">
              <w:noBreakHyphen/>
            </w:r>
            <w:r w:rsidRPr="00027624">
              <w:t>life income, reducing the already lower working</w:t>
            </w:r>
            <w:r w:rsidR="00A8443E" w:rsidRPr="00027624">
              <w:noBreakHyphen/>
            </w:r>
            <w:r w:rsidRPr="00027624">
              <w:t xml:space="preserve">life earnings of women relative to men. A higher rate would amplify the effect of the earnings gap on retirement outcomes, as men would benefit from the higher compulsory contributions more than women </w:t>
            </w:r>
            <w:r w:rsidRPr="00027624">
              <w:rPr>
                <w:iCs/>
              </w:rPr>
              <w:t xml:space="preserve">(see </w:t>
            </w:r>
            <w:r w:rsidRPr="00027624">
              <w:rPr>
                <w:i/>
                <w:iCs/>
              </w:rPr>
              <w:t xml:space="preserve">2D. </w:t>
            </w:r>
            <w:r w:rsidRPr="00027624">
              <w:rPr>
                <w:i/>
              </w:rPr>
              <w:t>Policy scenario: Implications of maintaining the SG rate</w:t>
            </w:r>
            <w:r w:rsidRPr="00027624">
              <w:rPr>
                <w:iCs/>
              </w:rPr>
              <w:t>).</w:t>
            </w:r>
          </w:p>
          <w:p w14:paraId="1342BBDF" w14:textId="77777777" w:rsidR="00B3792F" w:rsidRPr="00027624" w:rsidRDefault="00B3792F" w:rsidP="00B3792F">
            <w:pPr>
              <w:pStyle w:val="BoxBullet"/>
            </w:pPr>
            <w:r w:rsidRPr="00027624">
              <w:rPr>
                <w:b/>
              </w:rPr>
              <w:t>Boost lower</w:t>
            </w:r>
            <w:r w:rsidR="00A8443E" w:rsidRPr="00027624">
              <w:rPr>
                <w:b/>
              </w:rPr>
              <w:noBreakHyphen/>
            </w:r>
            <w:r w:rsidRPr="00027624">
              <w:rPr>
                <w:b/>
              </w:rPr>
              <w:t>income earners</w:t>
            </w:r>
            <w:r w:rsidR="00A8443E" w:rsidRPr="00027624">
              <w:rPr>
                <w:b/>
              </w:rPr>
              <w:t>’</w:t>
            </w:r>
            <w:r w:rsidRPr="00027624">
              <w:rPr>
                <w:b/>
              </w:rPr>
              <w:t xml:space="preserve"> superannuation without trading off working</w:t>
            </w:r>
            <w:r w:rsidR="00A8443E" w:rsidRPr="00027624">
              <w:rPr>
                <w:b/>
              </w:rPr>
              <w:noBreakHyphen/>
            </w:r>
            <w:r w:rsidRPr="00027624">
              <w:rPr>
                <w:b/>
              </w:rPr>
              <w:t>life income</w:t>
            </w:r>
            <w:r w:rsidRPr="00027624">
              <w:rPr>
                <w:b/>
                <w:bCs/>
              </w:rPr>
              <w:t>.</w:t>
            </w:r>
            <w:r w:rsidRPr="00027624">
              <w:t xml:space="preserve"> </w:t>
            </w:r>
            <w:r w:rsidRPr="00027624">
              <w:rPr>
                <w:bCs/>
              </w:rPr>
              <w:t xml:space="preserve">Changes that achieve this outcome </w:t>
            </w:r>
            <w:r w:rsidRPr="00027624">
              <w:t>would help reduce the gender gap in superannuation balances. Women are over</w:t>
            </w:r>
            <w:r w:rsidR="00A8443E" w:rsidRPr="00027624">
              <w:noBreakHyphen/>
            </w:r>
            <w:r w:rsidR="0001221A" w:rsidRPr="00027624">
              <w:t>r</w:t>
            </w:r>
            <w:r w:rsidRPr="00027624">
              <w:t>epresented at lower incomes. Policy settings that support lower</w:t>
            </w:r>
            <w:r w:rsidR="00A8443E" w:rsidRPr="00027624">
              <w:noBreakHyphen/>
            </w:r>
            <w:r w:rsidRPr="00027624">
              <w:t>income earners to boost their superannuation balances without trading off working</w:t>
            </w:r>
            <w:r w:rsidR="00A8443E" w:rsidRPr="00027624">
              <w:noBreakHyphen/>
            </w:r>
            <w:r w:rsidRPr="00027624">
              <w:t>life income include the low income superannuation tax offset (lower tax) and the Government superannuation co</w:t>
            </w:r>
            <w:r w:rsidR="00A8443E" w:rsidRPr="00027624">
              <w:noBreakHyphen/>
            </w:r>
            <w:r w:rsidRPr="00027624">
              <w:t>contribution for lower</w:t>
            </w:r>
            <w:r w:rsidR="00A8443E" w:rsidRPr="00027624">
              <w:noBreakHyphen/>
            </w:r>
            <w:r w:rsidRPr="00027624">
              <w:t xml:space="preserve"> to middle</w:t>
            </w:r>
            <w:r w:rsidR="00A8443E" w:rsidRPr="00027624">
              <w:noBreakHyphen/>
            </w:r>
            <w:r w:rsidRPr="00027624">
              <w:t>income earners (up to $500 boost). These measures benefit more women than men.</w:t>
            </w:r>
          </w:p>
          <w:p w14:paraId="022E2731" w14:textId="472193E3" w:rsidR="00B3792F" w:rsidRPr="00027624" w:rsidRDefault="00B3792F" w:rsidP="00B3792F">
            <w:pPr>
              <w:pStyle w:val="BoxBullet"/>
            </w:pPr>
            <w:r w:rsidRPr="00027624">
              <w:rPr>
                <w:b/>
                <w:bCs/>
              </w:rPr>
              <w:t>Reduce superannuation tax concessions for very high income earners</w:t>
            </w:r>
            <w:r w:rsidRPr="00027624">
              <w:rPr>
                <w:b/>
              </w:rPr>
              <w:t>.</w:t>
            </w:r>
            <w:r w:rsidRPr="00027624">
              <w:t xml:space="preserve"> This would reduce the degree to which the working</w:t>
            </w:r>
            <w:r w:rsidR="00A8443E" w:rsidRPr="00027624">
              <w:noBreakHyphen/>
            </w:r>
            <w:r w:rsidRPr="00027624">
              <w:t>life earnings gender gap translates into the gap in superannuation balances</w:t>
            </w:r>
            <w:r w:rsidRPr="00027624">
              <w:rPr>
                <w:b/>
                <w:bCs/>
              </w:rPr>
              <w:t>.</w:t>
            </w:r>
            <w:r w:rsidRPr="00027624">
              <w:t xml:space="preserve"> Because men are, on average, higher earners than women, superannuation tax concessions benefit men more than women. The Division 293 tax marginally decreases the gender gap in superannuation balances at retirement. If superannuation taxation was more progressive, it would further reduce the superannuation balances of very high income earners. This would reduce the gender gap in superannuation balances</w:t>
            </w:r>
            <w:r w:rsidRPr="00027624">
              <w:rPr>
                <w:i/>
                <w:iCs/>
              </w:rPr>
              <w:t xml:space="preserve"> </w:t>
            </w:r>
            <w:r w:rsidRPr="00027624">
              <w:rPr>
                <w:iCs/>
              </w:rPr>
              <w:t>(see</w:t>
            </w:r>
            <w:r w:rsidRPr="00027624">
              <w:rPr>
                <w:i/>
                <w:iCs/>
              </w:rPr>
              <w:t xml:space="preserve"> 3A. </w:t>
            </w:r>
            <w:r w:rsidRPr="00027624">
              <w:rPr>
                <w:i/>
                <w:iCs/>
              </w:rPr>
              <w:fldChar w:fldCharType="begin"/>
            </w:r>
            <w:r w:rsidRPr="00027624">
              <w:rPr>
                <w:i/>
                <w:iCs/>
              </w:rPr>
              <w:instrText xml:space="preserve"> REF _Ref40305620  \* MERGEFORMAT </w:instrText>
            </w:r>
            <w:r w:rsidRPr="00027624">
              <w:rPr>
                <w:i/>
                <w:iCs/>
              </w:rPr>
              <w:fldChar w:fldCharType="separate"/>
            </w:r>
            <w:r w:rsidR="00891058" w:rsidRPr="00891058">
              <w:rPr>
                <w:i/>
              </w:rPr>
              <w:t>Income and wealth</w:t>
            </w:r>
            <w:r w:rsidRPr="00027624">
              <w:rPr>
                <w:i/>
                <w:iCs/>
              </w:rPr>
              <w:fldChar w:fldCharType="end"/>
            </w:r>
            <w:r w:rsidRPr="00027624">
              <w:rPr>
                <w:i/>
                <w:iCs/>
              </w:rPr>
              <w:t xml:space="preserve"> distribution</w:t>
            </w:r>
            <w:r w:rsidRPr="00027624">
              <w:rPr>
                <w:iCs/>
              </w:rPr>
              <w:t>)</w:t>
            </w:r>
            <w:r w:rsidRPr="00027624">
              <w:rPr>
                <w:i/>
                <w:iCs/>
              </w:rPr>
              <w:t>.</w:t>
            </w:r>
          </w:p>
          <w:p w14:paraId="3FA239B9" w14:textId="77777777" w:rsidR="00B3792F" w:rsidRPr="00027624" w:rsidRDefault="00B3792F" w:rsidP="00B3792F">
            <w:pPr>
              <w:pStyle w:val="BoxBullet"/>
            </w:pPr>
            <w:r w:rsidRPr="00027624">
              <w:rPr>
                <w:b/>
              </w:rPr>
              <w:t xml:space="preserve">Increase the rate of the Age Pension and </w:t>
            </w:r>
            <w:r w:rsidRPr="00027624">
              <w:rPr>
                <w:b/>
                <w:bCs/>
              </w:rPr>
              <w:t>provide additional assistance to renters on the Age Pension</w:t>
            </w:r>
            <w:r w:rsidRPr="00027624">
              <w:rPr>
                <w:b/>
              </w:rPr>
              <w:t>.</w:t>
            </w:r>
            <w:r w:rsidRPr="00027624">
              <w:t xml:space="preserve"> These changes would reduce the retirement income gap between men and women, as more women receive the Age Pension and are renters. The Age Pension is an important equaliser in retirement outcomes between men and women, as it is not influenced by the working</w:t>
            </w:r>
            <w:r w:rsidR="00A8443E" w:rsidRPr="00027624">
              <w:noBreakHyphen/>
            </w:r>
            <w:r w:rsidRPr="00027624">
              <w:t>life gender earnings gap. Although, the Age Pension rate is set such that all older Australians, both men and women, achieve a minimum standard of living in Australia. Since more women rent in retirement, increased support for lower</w:t>
            </w:r>
            <w:r w:rsidR="00A8443E" w:rsidRPr="00027624">
              <w:noBreakHyphen/>
            </w:r>
            <w:r w:rsidRPr="00027624">
              <w:t>income retirees who rent would help reduce the retirement income gender gap (s</w:t>
            </w:r>
            <w:r w:rsidRPr="00027624">
              <w:rPr>
                <w:iCs/>
              </w:rPr>
              <w:t xml:space="preserve">ee </w:t>
            </w:r>
            <w:r w:rsidRPr="00027624">
              <w:rPr>
                <w:i/>
              </w:rPr>
              <w:t xml:space="preserve">2B. </w:t>
            </w:r>
            <w:r w:rsidRPr="00027624">
              <w:rPr>
                <w:i/>
                <w:iCs/>
              </w:rPr>
              <w:t>Policy scenario: Implications of increasing Commonwealth Rent Assistance</w:t>
            </w:r>
            <w:r w:rsidRPr="00027624">
              <w:rPr>
                <w:iCs/>
              </w:rPr>
              <w:t>)</w:t>
            </w:r>
            <w:r w:rsidRPr="00027624">
              <w:rPr>
                <w:i/>
                <w:iCs/>
              </w:rPr>
              <w:t>.</w:t>
            </w:r>
          </w:p>
          <w:p w14:paraId="4D8D4D85" w14:textId="77777777" w:rsidR="00B3792F" w:rsidRPr="00027624" w:rsidRDefault="00B3792F" w:rsidP="00B3792F">
            <w:pPr>
              <w:pStyle w:val="BoxBullet"/>
            </w:pPr>
            <w:r w:rsidRPr="00027624">
              <w:rPr>
                <w:b/>
              </w:rPr>
              <w:t>Improve the visibility of superannuation assets in family law property settlements.</w:t>
            </w:r>
            <w:r w:rsidRPr="00027624">
              <w:t xml:space="preserve"> Not all parties to a family law dispute are forthcoming about their, potentially multiple, superannuation accounts. The process of discovering a former partner</w:t>
            </w:r>
            <w:r w:rsidR="00A8443E" w:rsidRPr="00027624">
              <w:t>’</w:t>
            </w:r>
            <w:r w:rsidRPr="00027624">
              <w:t>s superannuation assets can be costly and time</w:t>
            </w:r>
            <w:r w:rsidR="00A8443E" w:rsidRPr="00027624">
              <w:noBreakHyphen/>
            </w:r>
            <w:r w:rsidRPr="00027624">
              <w:t>consuming. Simplifying this process would deliver better superannuation splitting outcomes, particularly for vulnerable women.</w:t>
            </w:r>
            <w:bookmarkStart w:id="1922" w:name="_Toc40366141"/>
            <w:bookmarkStart w:id="1923" w:name="_Toc40369687"/>
            <w:bookmarkStart w:id="1924" w:name="_Toc40427657"/>
            <w:bookmarkStart w:id="1925" w:name="_Toc40458096"/>
            <w:bookmarkStart w:id="1926" w:name="_Toc40461865"/>
            <w:bookmarkStart w:id="1927" w:name="_Toc40474420"/>
            <w:bookmarkStart w:id="1928" w:name="_Toc40477949"/>
            <w:bookmarkStart w:id="1929" w:name="_Toc40521529"/>
            <w:bookmarkStart w:id="1930" w:name="_Toc40530388"/>
            <w:bookmarkEnd w:id="1922"/>
            <w:bookmarkEnd w:id="1923"/>
            <w:bookmarkEnd w:id="1924"/>
            <w:bookmarkEnd w:id="1925"/>
            <w:bookmarkEnd w:id="1926"/>
            <w:bookmarkEnd w:id="1927"/>
            <w:bookmarkEnd w:id="1928"/>
            <w:bookmarkEnd w:id="1929"/>
            <w:bookmarkEnd w:id="1930"/>
            <w:r w:rsidRPr="00027624">
              <w:t xml:space="preserve"> The measure announced by the Government in 2018, but yet to be legislated, would deliver fairer and more equitable outcomes for those going through a divorce.</w:t>
            </w:r>
          </w:p>
        </w:tc>
      </w:tr>
    </w:tbl>
    <w:p w14:paraId="7A6DA49C" w14:textId="77777777" w:rsidR="001B6C0B" w:rsidRPr="00027624" w:rsidRDefault="001B6C0B" w:rsidP="001B6C0B">
      <w:pPr>
        <w:rPr>
          <w:rStyle w:val="Heading3Char"/>
          <w:b w:val="0"/>
          <w:color w:val="144E60" w:themeColor="accent1"/>
          <w:sz w:val="48"/>
          <w:szCs w:val="36"/>
        </w:rPr>
        <w:sectPr w:rsidR="001B6C0B" w:rsidRPr="00027624" w:rsidSect="001B6C0B">
          <w:type w:val="oddPage"/>
          <w:pgSz w:w="11906" w:h="16838" w:code="9"/>
          <w:pgMar w:top="1418" w:right="1418" w:bottom="1418" w:left="1418" w:header="709" w:footer="709" w:gutter="0"/>
          <w:cols w:space="708"/>
          <w:titlePg/>
          <w:docGrid w:linePitch="360"/>
        </w:sectPr>
      </w:pPr>
      <w:bookmarkStart w:id="1931" w:name="_1645271987"/>
      <w:bookmarkStart w:id="1932" w:name="_1645272720"/>
      <w:bookmarkStart w:id="1933" w:name="_Toc31720353"/>
      <w:bookmarkStart w:id="1934" w:name="_Toc34643881"/>
      <w:bookmarkStart w:id="1935" w:name="_Toc40297439"/>
      <w:bookmarkStart w:id="1936" w:name="_Ref40301255"/>
      <w:bookmarkStart w:id="1937" w:name="_Ref40302140"/>
      <w:bookmarkStart w:id="1938" w:name="_Toc40366142"/>
      <w:bookmarkStart w:id="1939" w:name="_Toc40369688"/>
      <w:bookmarkStart w:id="1940" w:name="_Toc40427658"/>
      <w:bookmarkStart w:id="1941" w:name="_Toc40458097"/>
      <w:bookmarkStart w:id="1942" w:name="_Toc40461866"/>
      <w:bookmarkStart w:id="1943" w:name="_Toc40474421"/>
      <w:bookmarkStart w:id="1944" w:name="_Toc40477950"/>
      <w:bookmarkStart w:id="1945" w:name="_Toc40521530"/>
      <w:bookmarkStart w:id="1946" w:name="_Toc40530389"/>
      <w:bookmarkStart w:id="1947" w:name="_Ref42193379"/>
      <w:bookmarkStart w:id="1948" w:name="_Toc42778816"/>
      <w:bookmarkStart w:id="1949" w:name="_Toc42779956"/>
      <w:bookmarkStart w:id="1950" w:name="_Toc42780385"/>
      <w:bookmarkStart w:id="1951" w:name="_Toc42786375"/>
      <w:bookmarkStart w:id="1952" w:name="_Toc42791868"/>
      <w:bookmarkStart w:id="1953" w:name="_Toc42792030"/>
      <w:bookmarkStart w:id="1954" w:name="_Toc43117837"/>
      <w:bookmarkStart w:id="1955" w:name="_Toc43121476"/>
      <w:bookmarkStart w:id="1956" w:name="_Toc43122681"/>
      <w:bookmarkStart w:id="1957" w:name="_Toc43127736"/>
      <w:bookmarkEnd w:id="1279"/>
      <w:bookmarkEnd w:id="1280"/>
      <w:bookmarkEnd w:id="1281"/>
      <w:bookmarkEnd w:id="1931"/>
      <w:bookmarkEnd w:id="1932"/>
    </w:p>
    <w:p w14:paraId="5B50DF12" w14:textId="77777777" w:rsidR="00B3792F" w:rsidRPr="00027624" w:rsidRDefault="00B3792F" w:rsidP="00582C3E">
      <w:pPr>
        <w:pStyle w:val="Heading1"/>
      </w:pPr>
      <w:bookmarkStart w:id="1958" w:name="_Ref45138446"/>
      <w:bookmarkStart w:id="1959" w:name="_Toc45520501"/>
      <w:bookmarkStart w:id="1960" w:name="_Toc46133612"/>
      <w:r w:rsidRPr="00027624">
        <w:lastRenderedPageBreak/>
        <w:t>Home ownership status</w:t>
      </w:r>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p>
    <w:tbl>
      <w:tblPr>
        <w:tblpPr w:leftFromText="180" w:rightFromText="180" w:vertAnchor="text" w:tblpY="1"/>
        <w:tblOverlap w:val="never"/>
        <w:tblW w:w="5000" w:type="pct"/>
        <w:shd w:val="clear" w:color="auto" w:fill="DFD7E7" w:themeFill="accent3" w:themeFillTint="33"/>
        <w:tblLook w:val="01E0" w:firstRow="1" w:lastRow="1" w:firstColumn="1" w:lastColumn="1" w:noHBand="0" w:noVBand="0"/>
      </w:tblPr>
      <w:tblGrid>
        <w:gridCol w:w="9070"/>
      </w:tblGrid>
      <w:tr w:rsidR="00B3792F" w:rsidRPr="00027624" w14:paraId="2D7A852D" w14:textId="77777777" w:rsidTr="00B3792F">
        <w:tc>
          <w:tcPr>
            <w:tcW w:w="5000" w:type="pct"/>
            <w:shd w:val="clear" w:color="auto" w:fill="DFD7E7" w:themeFill="accent3" w:themeFillTint="33"/>
          </w:tcPr>
          <w:p w14:paraId="488A8CAE" w14:textId="77777777" w:rsidR="00B3792F" w:rsidRPr="00027624" w:rsidRDefault="00B3792F" w:rsidP="00582C3E">
            <w:pPr>
              <w:pStyle w:val="BoxHeading"/>
            </w:pPr>
            <w:r w:rsidRPr="00027624">
              <w:t>Section summary</w:t>
            </w:r>
          </w:p>
          <w:p w14:paraId="0643D292" w14:textId="77777777" w:rsidR="00B3792F" w:rsidRPr="00027624" w:rsidRDefault="00B3792F" w:rsidP="00B3792F">
            <w:pPr>
              <w:pStyle w:val="BoxBullet"/>
            </w:pPr>
            <w:r w:rsidRPr="00027624">
              <w:rPr>
                <w:b/>
              </w:rPr>
              <w:t xml:space="preserve">The treatment of housing in the Age Pension assets test provides </w:t>
            </w:r>
            <w:r w:rsidRPr="00027624">
              <w:rPr>
                <w:b/>
                <w:bCs/>
              </w:rPr>
              <w:t xml:space="preserve">more support to </w:t>
            </w:r>
            <w:r w:rsidRPr="00027624">
              <w:rPr>
                <w:b/>
              </w:rPr>
              <w:t>home owners</w:t>
            </w:r>
            <w:r w:rsidRPr="00027624">
              <w:rPr>
                <w:b/>
                <w:bCs/>
              </w:rPr>
              <w:t xml:space="preserve"> compared to non</w:t>
            </w:r>
            <w:r w:rsidR="00A8443E" w:rsidRPr="00027624">
              <w:rPr>
                <w:b/>
                <w:bCs/>
              </w:rPr>
              <w:noBreakHyphen/>
            </w:r>
            <w:r w:rsidRPr="00027624">
              <w:rPr>
                <w:b/>
                <w:bCs/>
              </w:rPr>
              <w:t>home owners</w:t>
            </w:r>
            <w:r w:rsidRPr="00027624">
              <w:rPr>
                <w:b/>
              </w:rPr>
              <w:t>.</w:t>
            </w:r>
            <w:r w:rsidRPr="00027624">
              <w:t xml:space="preserve"> The exemption of the principal residence in the assets test particularly benefits age pensioners with high</w:t>
            </w:r>
            <w:r w:rsidR="00A8443E" w:rsidRPr="00027624">
              <w:noBreakHyphen/>
            </w:r>
            <w:r w:rsidRPr="00027624">
              <w:t>value homes. Around 15 per cent of retirees on the Age Pension own homes worth more than $1 million.</w:t>
            </w:r>
          </w:p>
          <w:p w14:paraId="72F1D8F8" w14:textId="77777777" w:rsidR="00B3792F" w:rsidRPr="00027624" w:rsidRDefault="00B3792F" w:rsidP="00B3792F">
            <w:pPr>
              <w:pStyle w:val="BoxBullet"/>
            </w:pPr>
            <w:r w:rsidRPr="00027624">
              <w:rPr>
                <w:b/>
              </w:rPr>
              <w:t>The larger free areas in the assets test for non</w:t>
            </w:r>
            <w:r w:rsidR="00A8443E" w:rsidRPr="00027624">
              <w:rPr>
                <w:b/>
              </w:rPr>
              <w:noBreakHyphen/>
            </w:r>
            <w:r w:rsidRPr="00027624">
              <w:rPr>
                <w:b/>
              </w:rPr>
              <w:t>home owners benefits only a small share of retirees who are renting.</w:t>
            </w:r>
            <w:r w:rsidRPr="00027624">
              <w:t xml:space="preserve"> About 6 per cent of non</w:t>
            </w:r>
            <w:r w:rsidR="00A8443E" w:rsidRPr="00027624">
              <w:noBreakHyphen/>
            </w:r>
            <w:r w:rsidRPr="00027624">
              <w:t>home owner Age Pension recipients have a level of total assets above the home owner thresholds and below the non</w:t>
            </w:r>
            <w:r w:rsidR="00A8443E" w:rsidRPr="00027624">
              <w:noBreakHyphen/>
            </w:r>
            <w:r w:rsidRPr="00027624">
              <w:t>home owner thresholds and could benefit from this preferential treatment.</w:t>
            </w:r>
          </w:p>
          <w:p w14:paraId="431D8932" w14:textId="77777777" w:rsidR="00B3792F" w:rsidRPr="00027624" w:rsidRDefault="00B3792F" w:rsidP="00B3792F">
            <w:pPr>
              <w:pStyle w:val="BoxBullet"/>
            </w:pPr>
            <w:r w:rsidRPr="00027624">
              <w:rPr>
                <w:b/>
              </w:rPr>
              <w:t>Even the limited number of renters who benefit from the higher assets test free areas and hold their wealth in forms other than a home are still at a disadvantage relative to home owners.</w:t>
            </w:r>
            <w:r w:rsidRPr="00027624">
              <w:t xml:space="preserve"> Compared to a home owner with identical total wealth, a renter receives about $4,000 less Age Pension per year.</w:t>
            </w:r>
          </w:p>
          <w:p w14:paraId="5F251A9B" w14:textId="77777777" w:rsidR="00B3792F" w:rsidRPr="00027624" w:rsidRDefault="00B3792F" w:rsidP="00B3792F">
            <w:pPr>
              <w:pStyle w:val="BoxBullet"/>
            </w:pPr>
            <w:r w:rsidRPr="00027624">
              <w:rPr>
                <w:b/>
              </w:rPr>
              <w:t>Compared with the Age Pension, Commonwealth Rent Assistance is more targeted to lower</w:t>
            </w:r>
            <w:r w:rsidR="00A8443E" w:rsidRPr="00027624">
              <w:rPr>
                <w:b/>
              </w:rPr>
              <w:noBreakHyphen/>
            </w:r>
            <w:r w:rsidRPr="00027624">
              <w:rPr>
                <w:b/>
              </w:rPr>
              <w:t>wealth households.</w:t>
            </w:r>
            <w:r w:rsidRPr="00027624">
              <w:t xml:space="preserve"> About 20 per cent of Age Pension expenditure goes to the top two wealth quintiles, while close to 90 per cent of Commonwealth Rent Assistance expenditure goes to the bottom wealth quintile.</w:t>
            </w:r>
          </w:p>
        </w:tc>
      </w:tr>
    </w:tbl>
    <w:p w14:paraId="5053D328" w14:textId="77777777" w:rsidR="00B3792F" w:rsidRPr="00027624" w:rsidRDefault="00B3792F" w:rsidP="00B3792F">
      <w:pPr>
        <w:pStyle w:val="Heading2"/>
      </w:pPr>
      <w:bookmarkStart w:id="1961" w:name="_Toc40366143"/>
      <w:bookmarkStart w:id="1962" w:name="_Toc40369689"/>
      <w:bookmarkStart w:id="1963" w:name="_Toc40427659"/>
      <w:bookmarkStart w:id="1964" w:name="_Toc40458098"/>
      <w:bookmarkStart w:id="1965" w:name="_Toc40461867"/>
      <w:bookmarkStart w:id="1966" w:name="_Toc40474422"/>
      <w:bookmarkStart w:id="1967" w:name="_Toc40477951"/>
      <w:bookmarkStart w:id="1968" w:name="_Toc40521531"/>
      <w:bookmarkStart w:id="1969" w:name="_Toc40530390"/>
      <w:bookmarkStart w:id="1970" w:name="_Toc42778817"/>
      <w:bookmarkStart w:id="1971" w:name="_Toc42779957"/>
      <w:bookmarkStart w:id="1972" w:name="_Toc42780386"/>
      <w:bookmarkStart w:id="1973" w:name="_Toc42786376"/>
      <w:bookmarkStart w:id="1974" w:name="_Toc42791869"/>
      <w:bookmarkStart w:id="1975" w:name="_Toc42792031"/>
      <w:bookmarkStart w:id="1976" w:name="_Toc43117838"/>
      <w:bookmarkStart w:id="1977" w:name="_Toc43121477"/>
      <w:bookmarkStart w:id="1978" w:name="_Toc43122682"/>
      <w:bookmarkStart w:id="1979" w:name="_Toc43127737"/>
      <w:bookmarkStart w:id="1980" w:name="_Toc45520502"/>
      <w:bookmarkStart w:id="1981" w:name="_Toc46133613"/>
      <w:r w:rsidRPr="00027624">
        <w:t>Outline of this section</w:t>
      </w:r>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p>
    <w:p w14:paraId="3AD88E22" w14:textId="77777777" w:rsidR="00B3792F" w:rsidRPr="00027624" w:rsidRDefault="00B3792F" w:rsidP="00B3792F">
      <w:r w:rsidRPr="00027624">
        <w:t>This section considers the effects of the Age Pension assets test on retirees who are home owners compared to non</w:t>
      </w:r>
      <w:r w:rsidR="00A8443E" w:rsidRPr="00027624">
        <w:noBreakHyphen/>
      </w:r>
      <w:r w:rsidRPr="00027624">
        <w:t>home owners. It analyses how the preferential treatment of the principal residence (i.e. family home) benefits home owners and leads to inequity in the retirement income system. It also examines how the Age Pension is distributed among retirees compared to Commonwealth Rent Assistance.</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2691030D" w14:textId="77777777" w:rsidTr="00B3792F">
        <w:tc>
          <w:tcPr>
            <w:tcW w:w="5000" w:type="pct"/>
            <w:shd w:val="clear" w:color="auto" w:fill="FFF8EA"/>
          </w:tcPr>
          <w:p w14:paraId="20D177B5" w14:textId="77777777" w:rsidR="00B3792F" w:rsidRPr="00027624" w:rsidRDefault="00B3792F" w:rsidP="00582C3E">
            <w:pPr>
              <w:pStyle w:val="BoxHeading"/>
              <w:jc w:val="left"/>
            </w:pPr>
            <w:r w:rsidRPr="00027624">
              <w:t>Stakeholder views on retirement income equity for home owners and renters</w:t>
            </w:r>
          </w:p>
          <w:p w14:paraId="1EEA2DED" w14:textId="77777777" w:rsidR="00B3792F" w:rsidRPr="00027624" w:rsidRDefault="00B3792F" w:rsidP="00B3792F">
            <w:pPr>
              <w:pStyle w:val="BoxText"/>
            </w:pPr>
            <w:r w:rsidRPr="00027624">
              <w:t>A number of stakeholders raised issues about over</w:t>
            </w:r>
            <w:r w:rsidR="00A8443E" w:rsidRPr="00027624">
              <w:noBreakHyphen/>
            </w:r>
            <w:r w:rsidRPr="00027624">
              <w:t>investment in housing and housing being used for estate planning. Several submissions focused on the exemption of the principal residence from the Age Pension assets test.</w:t>
            </w:r>
          </w:p>
          <w:p w14:paraId="18F0A867" w14:textId="77777777" w:rsidR="00B3792F" w:rsidRPr="00027624" w:rsidRDefault="00B3792F" w:rsidP="00B3792F">
            <w:pPr>
              <w:pStyle w:val="BoxText"/>
            </w:pPr>
            <w:r w:rsidRPr="00027624">
              <w:t xml:space="preserve">Some submissions suggested the principal residence should be partially assessed in the assets test when the </w:t>
            </w:r>
            <w:r w:rsidRPr="00027624" w:rsidDel="00357698">
              <w:t xml:space="preserve">value </w:t>
            </w:r>
            <w:r w:rsidRPr="00027624">
              <w:t>exceeds a certain threshold.</w:t>
            </w:r>
          </w:p>
          <w:p w14:paraId="63793FF2" w14:textId="77777777" w:rsidR="00B3792F" w:rsidRPr="00027624" w:rsidRDefault="00B3792F" w:rsidP="00B3792F">
            <w:pPr>
              <w:pStyle w:val="BoxText"/>
              <w:rPr>
                <w:i/>
                <w:iCs/>
                <w:color w:val="808080" w:themeColor="background1" w:themeShade="80"/>
              </w:rPr>
            </w:pPr>
            <w:r w:rsidRPr="00027624">
              <w:t>One stakeholder reported that a poll of its constituents found an even split on the prospect of including some value of the home in means testing.</w:t>
            </w:r>
          </w:p>
          <w:p w14:paraId="3D972086" w14:textId="55349898" w:rsidR="00B3792F" w:rsidRPr="00027624" w:rsidRDefault="00A8443E" w:rsidP="00B3792F">
            <w:pPr>
              <w:pStyle w:val="Quote"/>
              <w:rPr>
                <w:i w:val="0"/>
              </w:rPr>
            </w:pPr>
            <w:r w:rsidRPr="00027624">
              <w:t>‘</w:t>
            </w:r>
            <w:r w:rsidR="00B3792F" w:rsidRPr="00027624">
              <w:t>While there is little support for inclusion of the full value of the residence in the means test, views on whether some or all of the value above median house prices (overall or geographically moderated) should be taken into account. In two successive surveys of our constituency for Federal Elections we have found support and opposition to that proposition fairly evenly divided in the forty plus percent</w:t>
            </w:r>
            <w:r w:rsidR="00EA4689">
              <w:t>’</w:t>
            </w:r>
            <w:r w:rsidR="00B3792F" w:rsidRPr="00027624">
              <w:t>s, with the rest undecided.</w:t>
            </w:r>
            <w:r w:rsidRPr="00027624">
              <w:t>’</w:t>
            </w:r>
            <w:r w:rsidR="00B3792F" w:rsidRPr="00027624">
              <w:rPr>
                <w:i w:val="0"/>
              </w:rPr>
              <w:t xml:space="preserve"> </w:t>
            </w:r>
            <w:r w:rsidR="00FA18E5" w:rsidRPr="00027624">
              <w:t xml:space="preserve"> </w:t>
            </w:r>
            <w:sdt>
              <w:sdtPr>
                <w:id w:val="-723214406"/>
                <w:citation/>
              </w:sdtPr>
              <w:sdtEndPr/>
              <w:sdtContent>
                <w:r w:rsidR="00FA18E5" w:rsidRPr="00027624">
                  <w:fldChar w:fldCharType="begin"/>
                </w:r>
                <w:r w:rsidR="00FA18E5">
                  <w:instrText xml:space="preserve">CITATION COT20 \p 37-38 \l 3081 </w:instrText>
                </w:r>
                <w:r w:rsidR="00FA18E5" w:rsidRPr="00027624">
                  <w:fldChar w:fldCharType="separate"/>
                </w:r>
                <w:r w:rsidR="00E83F6E">
                  <w:rPr>
                    <w:noProof/>
                  </w:rPr>
                  <w:t>(COTA, 2020, pp. 37-38)</w:t>
                </w:r>
                <w:r w:rsidR="00FA18E5" w:rsidRPr="00027624">
                  <w:fldChar w:fldCharType="end"/>
                </w:r>
              </w:sdtContent>
            </w:sdt>
          </w:p>
          <w:p w14:paraId="69C786F3" w14:textId="77777777" w:rsidR="00B3792F" w:rsidRPr="00027624" w:rsidRDefault="00B3792F" w:rsidP="0001221A">
            <w:pPr>
              <w:pStyle w:val="BoxText"/>
            </w:pPr>
            <w:r w:rsidRPr="00027624">
              <w:t>Several submissions said there should be no change to principal residence exemptions, noting the non</w:t>
            </w:r>
            <w:r w:rsidR="00A8443E" w:rsidRPr="00027624">
              <w:noBreakHyphen/>
            </w:r>
            <w:r w:rsidRPr="00027624">
              <w:t>financial benefits to retirees from home ownership.</w:t>
            </w:r>
          </w:p>
        </w:tc>
      </w:tr>
    </w:tbl>
    <w:p w14:paraId="242EDD58" w14:textId="77777777" w:rsidR="00B3792F" w:rsidRPr="00027624" w:rsidRDefault="00B3792F" w:rsidP="00B3792F">
      <w:pPr>
        <w:pStyle w:val="Heading2"/>
      </w:pPr>
      <w:bookmarkStart w:id="1982" w:name="_Ref37168609"/>
      <w:bookmarkStart w:id="1983" w:name="_Toc40521532"/>
      <w:bookmarkStart w:id="1984" w:name="_Toc40530391"/>
      <w:bookmarkStart w:id="1985" w:name="_Toc42778818"/>
      <w:bookmarkStart w:id="1986" w:name="_Toc42779958"/>
      <w:bookmarkStart w:id="1987" w:name="_Toc42780387"/>
      <w:bookmarkStart w:id="1988" w:name="_Toc42786377"/>
      <w:bookmarkStart w:id="1989" w:name="_Toc42791870"/>
      <w:bookmarkStart w:id="1990" w:name="_Toc42792032"/>
      <w:bookmarkStart w:id="1991" w:name="_Toc43117839"/>
      <w:bookmarkStart w:id="1992" w:name="_Toc43121478"/>
      <w:bookmarkStart w:id="1993" w:name="_Toc43122683"/>
      <w:bookmarkStart w:id="1994" w:name="_Toc43127738"/>
      <w:bookmarkStart w:id="1995" w:name="_Toc45520503"/>
      <w:bookmarkStart w:id="1996" w:name="_Toc46133614"/>
      <w:bookmarkEnd w:id="1982"/>
      <w:r w:rsidRPr="00027624">
        <w:lastRenderedPageBreak/>
        <w:t>Home ownership and equity in retirement outcomes</w:t>
      </w:r>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p>
    <w:p w14:paraId="34EE47B8" w14:textId="77777777" w:rsidR="00B3792F" w:rsidRPr="00027624" w:rsidRDefault="00B3792F" w:rsidP="00B3792F">
      <w:r w:rsidRPr="00027624">
        <w:t>Many older Australians are home owners. About 76 per cent of people aged 65 and over are home owners,</w:t>
      </w:r>
      <w:r w:rsidRPr="00027624">
        <w:rPr>
          <w:rStyle w:val="FootnoteReference"/>
        </w:rPr>
        <w:footnoteReference w:id="166"/>
      </w:r>
      <w:r w:rsidRPr="00027624" w:rsidDel="00DF7DA7">
        <w:rPr>
          <w:vertAlign w:val="superscript"/>
        </w:rPr>
        <w:t>,</w:t>
      </w:r>
      <w:r w:rsidRPr="00027624">
        <w:rPr>
          <w:rStyle w:val="FootnoteReference"/>
        </w:rPr>
        <w:footnoteReference w:id="167"/>
      </w:r>
      <w:r w:rsidRPr="00027624">
        <w:t xml:space="preserve"> with 12 per cent renters and the remaining 11 per cent in other tenure arrangements, such as living rent</w:t>
      </w:r>
      <w:r w:rsidR="00A8443E" w:rsidRPr="00027624">
        <w:noBreakHyphen/>
      </w:r>
      <w:r w:rsidRPr="00027624">
        <w:t xml:space="preserve">free with family and friends or in residential care </w:t>
      </w:r>
      <w:sdt>
        <w:sdtPr>
          <w:id w:val="833963589"/>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 Around 0.2 per cent of people aged over 65 are homeless; a lower rate than younger age groups</w:t>
      </w:r>
      <w:sdt>
        <w:sdtPr>
          <w:id w:val="-1575508837"/>
          <w:citation/>
        </w:sdtPr>
        <w:sdtEndPr/>
        <w:sdtContent>
          <w:r w:rsidRPr="00027624">
            <w:fldChar w:fldCharType="begin"/>
          </w:r>
          <w:r w:rsidRPr="00027624">
            <w:instrText xml:space="preserve"> CITATION ABS182 \l 3081 </w:instrText>
          </w:r>
          <w:r w:rsidRPr="00027624">
            <w:fldChar w:fldCharType="separate"/>
          </w:r>
          <w:r w:rsidR="00E83F6E">
            <w:rPr>
              <w:noProof/>
            </w:rPr>
            <w:t xml:space="preserve"> (ABS, 2018b)</w:t>
          </w:r>
          <w:r w:rsidRPr="00027624">
            <w:fldChar w:fldCharType="end"/>
          </w:r>
        </w:sdtContent>
      </w:sdt>
      <w:r w:rsidRPr="00027624">
        <w:t>.</w:t>
      </w:r>
    </w:p>
    <w:p w14:paraId="34423403" w14:textId="77777777" w:rsidR="00B3792F" w:rsidRPr="00027624" w:rsidRDefault="00B3792F" w:rsidP="00B3792F">
      <w:r w:rsidRPr="00027624">
        <w:t>Factors contributing to high home ownership rates among older Australians include:</w:t>
      </w:r>
    </w:p>
    <w:p w14:paraId="6AD22C95" w14:textId="77777777" w:rsidR="00B3792F" w:rsidRPr="00027624" w:rsidRDefault="00B3792F" w:rsidP="00B30B63">
      <w:pPr>
        <w:pStyle w:val="Bullet"/>
        <w:numPr>
          <w:ilvl w:val="0"/>
          <w:numId w:val="44"/>
        </w:numPr>
        <w:ind w:left="284" w:hanging="284"/>
      </w:pPr>
      <w:r w:rsidRPr="00027624">
        <w:t>From a retirement income perspective</w:t>
      </w:r>
      <w:r w:rsidRPr="00027624" w:rsidDel="005E1C3D">
        <w:t>,</w:t>
      </w:r>
      <w:r w:rsidRPr="00027624">
        <w:t xml:space="preserve"> the family home is a unique investment vehicle that both pre</w:t>
      </w:r>
      <w:r w:rsidR="00A8443E" w:rsidRPr="00027624">
        <w:noBreakHyphen/>
      </w:r>
      <w:r w:rsidRPr="00027624">
        <w:t>funds most housing needs in retirement and is an asset that can be drawn on in retirement.</w:t>
      </w:r>
    </w:p>
    <w:p w14:paraId="1C0533A3" w14:textId="77777777" w:rsidR="00B3792F" w:rsidRPr="00027624" w:rsidRDefault="00B3792F" w:rsidP="00B30B63">
      <w:pPr>
        <w:pStyle w:val="Bullet"/>
        <w:numPr>
          <w:ilvl w:val="0"/>
          <w:numId w:val="44"/>
        </w:numPr>
        <w:ind w:left="284" w:hanging="284"/>
      </w:pPr>
      <w:r w:rsidRPr="00027624">
        <w:t>Preferential treatment in the tax and retirement income system have made home ownership a desirable savings vehicle (</w:t>
      </w:r>
      <w:r w:rsidR="0001221A" w:rsidRPr="00027624">
        <w:t xml:space="preserve">see </w:t>
      </w:r>
      <w:r w:rsidRPr="00027624">
        <w:rPr>
          <w:i/>
        </w:rPr>
        <w:t>5A. Cohesion</w:t>
      </w:r>
      <w:r w:rsidRPr="00027624">
        <w:t>).</w:t>
      </w:r>
    </w:p>
    <w:p w14:paraId="0E9AB016" w14:textId="77777777" w:rsidR="00B3792F" w:rsidRPr="00027624" w:rsidRDefault="00B3792F" w:rsidP="00B3792F">
      <w:r w:rsidRPr="00027624">
        <w:rPr>
          <w:b/>
          <w:bCs/>
        </w:rPr>
        <w:t>H</w:t>
      </w:r>
      <w:r w:rsidRPr="00027624">
        <w:rPr>
          <w:b/>
        </w:rPr>
        <w:t>ome owners and renters</w:t>
      </w:r>
      <w:r w:rsidRPr="00027624">
        <w:rPr>
          <w:b/>
          <w:bCs/>
        </w:rPr>
        <w:t xml:space="preserve"> have large differences</w:t>
      </w:r>
      <w:r w:rsidRPr="00027624">
        <w:rPr>
          <w:b/>
        </w:rPr>
        <w:t xml:space="preserve"> in their income and wealth accumulation in working life</w:t>
      </w:r>
      <w:r w:rsidRPr="00027624">
        <w:t xml:space="preserve"> (</w:t>
      </w:r>
      <w:r w:rsidR="0001221A" w:rsidRPr="00027624">
        <w:t xml:space="preserve">see </w:t>
      </w:r>
      <w:r w:rsidRPr="00027624">
        <w:rPr>
          <w:i/>
        </w:rPr>
        <w:t>2A. Achieving a minimum standard of living in retirement</w:t>
      </w:r>
      <w:r w:rsidRPr="00027624">
        <w:t xml:space="preserve">). While working, home owners generally have higher incomes than renters. They typically have higher educational attainment and longer employment history, in part due to the requirements for downpayment and ongoing servicing of mortgages </w:t>
      </w:r>
      <w:sdt>
        <w:sdtPr>
          <w:id w:val="-928569249"/>
          <w:citation/>
        </w:sdtPr>
        <w:sdtEndPr/>
        <w:sdtContent>
          <w:r w:rsidRPr="00027624">
            <w:fldChar w:fldCharType="begin"/>
          </w:r>
          <w:r w:rsidRPr="00027624">
            <w:instrText xml:space="preserve">CITATION RBA05 \l 3081 </w:instrText>
          </w:r>
          <w:r w:rsidRPr="00027624">
            <w:fldChar w:fldCharType="separate"/>
          </w:r>
          <w:r w:rsidR="00E83F6E">
            <w:rPr>
              <w:noProof/>
            </w:rPr>
            <w:t>(Kohler &amp; Rossiter, 2005)</w:t>
          </w:r>
          <w:r w:rsidRPr="00027624">
            <w:fldChar w:fldCharType="end"/>
          </w:r>
        </w:sdtContent>
      </w:sdt>
      <w:r w:rsidRPr="00027624">
        <w:t>. Home ownership also serves as a savings commitment device.</w:t>
      </w:r>
    </w:p>
    <w:p w14:paraId="5F61F47D" w14:textId="77777777" w:rsidR="00B3792F" w:rsidRPr="00027624" w:rsidRDefault="00B3792F" w:rsidP="00B3792F">
      <w:r w:rsidRPr="00027624">
        <w:t>Working</w:t>
      </w:r>
      <w:r w:rsidR="00A8443E" w:rsidRPr="00027624">
        <w:noBreakHyphen/>
      </w:r>
      <w:r w:rsidRPr="00027624">
        <w:t>life differences result in different retirement outcomes for home owners and renters</w:t>
      </w:r>
      <w:r w:rsidRPr="00027624" w:rsidDel="000808BB">
        <w:t>.</w:t>
      </w:r>
      <w:r w:rsidRPr="00027624">
        <w:t xml:space="preserve"> Although home owners and renters have approximately the same income in retirement due to Government payments to lower</w:t>
      </w:r>
      <w:r w:rsidR="00A8443E" w:rsidRPr="00027624">
        <w:noBreakHyphen/>
      </w:r>
      <w:r w:rsidRPr="00027624">
        <w:t>income households, home owners have lower housing expenditure and therefore higher disposable incomes</w:t>
      </w:r>
      <w:r w:rsidRPr="00027624" w:rsidDel="00BD6AF0">
        <w:t>.</w:t>
      </w:r>
      <w:r w:rsidRPr="00027624">
        <w:t xml:space="preserve"> Home owners are less likely to face financial stress and poverty in retirement (</w:t>
      </w:r>
      <w:r w:rsidR="0001221A" w:rsidRPr="00027624">
        <w:t xml:space="preserve">see </w:t>
      </w:r>
      <w:r w:rsidRPr="00027624">
        <w:rPr>
          <w:i/>
        </w:rPr>
        <w:t>2A. Achieving a minimum standard of living in retirement</w:t>
      </w:r>
      <w:r w:rsidRPr="00027624">
        <w:t>)</w:t>
      </w:r>
      <w:r w:rsidRPr="00027624" w:rsidDel="009C5498">
        <w:t>.</w:t>
      </w:r>
    </w:p>
    <w:p w14:paraId="4BED379A" w14:textId="77777777" w:rsidR="00B3792F" w:rsidRPr="00027624" w:rsidRDefault="00B3792F" w:rsidP="00B3792F">
      <w:r w:rsidRPr="00027624">
        <w:t>Apart from working</w:t>
      </w:r>
      <w:r w:rsidR="00A8443E" w:rsidRPr="00027624">
        <w:noBreakHyphen/>
      </w:r>
      <w:r w:rsidRPr="00027624">
        <w:t xml:space="preserve">life differences, some government policies affect home owners and renters differently. The Age Pension assets test treats retirees in similar economic circumstances differently based on their home ownership status (see </w:t>
      </w:r>
      <w:r w:rsidRPr="00027624">
        <w:rPr>
          <w:i/>
        </w:rPr>
        <w:t>Age Pension and the assets test</w:t>
      </w:r>
      <w:r w:rsidRPr="00027624">
        <w:t>, below).</w:t>
      </w:r>
      <w:bookmarkStart w:id="1997" w:name="_Ref40482115"/>
    </w:p>
    <w:tbl>
      <w:tblPr>
        <w:tblStyle w:val="TableGrid"/>
        <w:tblW w:w="5000" w:type="pct"/>
        <w:shd w:val="clear" w:color="auto" w:fill="FFF8EA"/>
        <w:tblLook w:val="04A0" w:firstRow="1" w:lastRow="0" w:firstColumn="1" w:lastColumn="0" w:noHBand="0" w:noVBand="1"/>
      </w:tblPr>
      <w:tblGrid>
        <w:gridCol w:w="9070"/>
      </w:tblGrid>
      <w:tr w:rsidR="00B3792F" w:rsidRPr="00027624" w14:paraId="65CE0645" w14:textId="77777777" w:rsidTr="00B3792F">
        <w:tc>
          <w:tcPr>
            <w:tcW w:w="5000" w:type="pct"/>
            <w:shd w:val="clear" w:color="auto" w:fill="FFF8EA"/>
          </w:tcPr>
          <w:p w14:paraId="667AE0C4" w14:textId="77777777" w:rsidR="00B3792F" w:rsidRPr="00027624" w:rsidRDefault="00B3792F" w:rsidP="00582C3E">
            <w:pPr>
              <w:pStyle w:val="BoxHeading"/>
            </w:pPr>
            <w:r w:rsidRPr="00027624">
              <w:lastRenderedPageBreak/>
              <w:t>Homelessness</w:t>
            </w:r>
            <w:bookmarkEnd w:id="1997"/>
          </w:p>
          <w:p w14:paraId="130DA688" w14:textId="406F4D94" w:rsidR="00B3792F" w:rsidRDefault="00B3792F" w:rsidP="0021689F">
            <w:pPr>
              <w:pStyle w:val="BoxText"/>
            </w:pPr>
            <w:r w:rsidRPr="00027624">
              <w:t xml:space="preserve">Stakeholders were concerned about the increase in </w:t>
            </w:r>
            <w:r w:rsidRPr="00027624" w:rsidDel="005E1C3D">
              <w:t xml:space="preserve">homelessness </w:t>
            </w:r>
            <w:r w:rsidRPr="00027624">
              <w:t>among older people. Particular attention has been drawn to women aged 65</w:t>
            </w:r>
            <w:r w:rsidR="0021689F" w:rsidRPr="00027624">
              <w:t xml:space="preserve"> and over</w:t>
            </w:r>
            <w:r w:rsidRPr="00027624">
              <w:t>, who were the fastest growing homeless group, increasing by around 30 per cent between the 2011 and 2016 Census. This increase is largely a product of population ageing. The likelihood of homelessness for older Australians has not changed significantly, as measured in the Census, over the past 15 years (</w:t>
            </w:r>
            <w:r w:rsidRPr="00027624">
              <w:fldChar w:fldCharType="begin"/>
            </w:r>
            <w:r w:rsidRPr="00027624">
              <w:instrText xml:space="preserve"> REF _Ref44494195 \r \h </w:instrText>
            </w:r>
            <w:r w:rsidR="00FA7639" w:rsidRPr="00027624">
              <w:instrText xml:space="preserve"> \* MERGEFORMAT </w:instrText>
            </w:r>
            <w:r w:rsidRPr="00027624">
              <w:fldChar w:fldCharType="separate"/>
            </w:r>
            <w:r w:rsidR="00891058">
              <w:t>Chart 3C-1</w:t>
            </w:r>
            <w:r w:rsidRPr="00027624">
              <w:fldChar w:fldCharType="end"/>
            </w:r>
            <w:r w:rsidRPr="00027624">
              <w:t>).</w:t>
            </w:r>
          </w:p>
          <w:p w14:paraId="0DBA7565" w14:textId="77777777" w:rsidR="00835E24" w:rsidRPr="00027624" w:rsidRDefault="00835E24" w:rsidP="00FC7361">
            <w:pPr>
              <w:pStyle w:val="ChartMainHeading"/>
              <w:numPr>
                <w:ilvl w:val="2"/>
                <w:numId w:val="112"/>
              </w:numPr>
            </w:pPr>
            <w:bookmarkStart w:id="1998" w:name="_Ref40521972"/>
            <w:bookmarkStart w:id="1999" w:name="_Ref44494195"/>
            <w:r w:rsidRPr="00027624">
              <w:t>Change in the likelihood of homelessness by age, from 2001 to 2016</w:t>
            </w:r>
            <w:bookmarkEnd w:id="1998"/>
            <w:bookmarkEnd w:id="1999"/>
          </w:p>
          <w:p w14:paraId="453649D4" w14:textId="77777777" w:rsidR="00835E24" w:rsidRPr="00027624" w:rsidRDefault="00147016" w:rsidP="00835E24">
            <w:pPr>
              <w:pStyle w:val="ChartGraphic"/>
              <w:keepLines/>
            </w:pPr>
            <w:r>
              <w:rPr>
                <w:noProof/>
              </w:rPr>
              <w:drawing>
                <wp:inline distT="0" distB="0" distL="0" distR="0" wp14:anchorId="5A262220" wp14:editId="03F811AD">
                  <wp:extent cx="5394960" cy="2743200"/>
                  <wp:effectExtent l="0" t="0" r="0" b="0"/>
                  <wp:docPr id="741687609" name="Picture 741687609" descr="This chart shows that the change in the likelihood of homelessness rose from 2001 to 2016 for those aged 25-34, 35-44 and 45-54, and very slightly for those aged 55-64. It reduced for those aged under 25, and those aged 75 and over. It stayed stable for those aged 65-74. Overall, the likelihood of homelessness increased from 2001 to 2016 by less than 0.02 percentage points. " title="Chart 3C-1 Change in the likelihood of homelessness by age, from 200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94960" cy="2743200"/>
                          </a:xfrm>
                          <a:prstGeom prst="rect">
                            <a:avLst/>
                          </a:prstGeom>
                          <a:noFill/>
                        </pic:spPr>
                      </pic:pic>
                    </a:graphicData>
                  </a:graphic>
                </wp:inline>
              </w:drawing>
            </w:r>
          </w:p>
          <w:p w14:paraId="4EBB3550" w14:textId="77777777" w:rsidR="00835E24" w:rsidRPr="00027624" w:rsidRDefault="00835E24" w:rsidP="00835E24">
            <w:pPr>
              <w:pStyle w:val="ChartorTableNote"/>
            </w:pPr>
            <w:r w:rsidRPr="00027624">
              <w:t>Source: Analysis of</w:t>
            </w:r>
            <w:sdt>
              <w:sdtPr>
                <w:id w:val="-687368603"/>
                <w:citation/>
              </w:sdtPr>
              <w:sdtEndPr/>
              <w:sdtContent>
                <w:r w:rsidRPr="00027624">
                  <w:fldChar w:fldCharType="begin"/>
                </w:r>
                <w:r w:rsidRPr="00027624">
                  <w:instrText xml:space="preserve">CITATION ABS182 \l 3081 </w:instrText>
                </w:r>
                <w:r w:rsidRPr="00027624">
                  <w:fldChar w:fldCharType="separate"/>
                </w:r>
                <w:r w:rsidR="00E83F6E">
                  <w:rPr>
                    <w:noProof/>
                  </w:rPr>
                  <w:t xml:space="preserve"> (ABS, 2018b)</w:t>
                </w:r>
                <w:r w:rsidRPr="00027624">
                  <w:fldChar w:fldCharType="end"/>
                </w:r>
              </w:sdtContent>
            </w:sdt>
            <w:r w:rsidRPr="00027624">
              <w:t>.</w:t>
            </w:r>
          </w:p>
          <w:p w14:paraId="7EF91C18" w14:textId="77777777" w:rsidR="00835E24" w:rsidRPr="00027624" w:rsidRDefault="00835E24" w:rsidP="00835E24">
            <w:pPr>
              <w:pStyle w:val="BoxText"/>
            </w:pPr>
            <w:r w:rsidRPr="00027624">
              <w:t xml:space="preserve">The measure of homelessness from the Census may not capture all forms of insecure housing. The Australian Human Rights Commission </w:t>
            </w:r>
            <w:sdt>
              <w:sdtPr>
                <w:id w:val="-151217376"/>
                <w:citation/>
              </w:sdtPr>
              <w:sdtEndPr/>
              <w:sdtContent>
                <w:r w:rsidRPr="00027624">
                  <w:fldChar w:fldCharType="begin"/>
                </w:r>
                <w:r w:rsidRPr="00027624">
                  <w:instrText xml:space="preserve">CITATION Aus192 \p 8 \n  \l 3081 </w:instrText>
                </w:r>
                <w:r w:rsidRPr="00027624">
                  <w:fldChar w:fldCharType="separate"/>
                </w:r>
                <w:r w:rsidR="00E83F6E">
                  <w:rPr>
                    <w:noProof/>
                  </w:rPr>
                  <w:t>(2019, p. 8)</w:t>
                </w:r>
                <w:r w:rsidRPr="00027624">
                  <w:fldChar w:fldCharType="end"/>
                </w:r>
              </w:sdtContent>
            </w:sdt>
            <w:r w:rsidRPr="00027624">
              <w:t xml:space="preserve"> noted that older women and men experience homelessness differently, suggesting some data may underestimate how many older women are homeless. One study found the increased number of older women accessing homelessness services over five years to 2017</w:t>
            </w:r>
            <w:r w:rsidRPr="00027624">
              <w:noBreakHyphen/>
              <w:t xml:space="preserve">18 exceeded population growth </w:t>
            </w:r>
            <w:sdt>
              <w:sdtPr>
                <w:id w:val="-1191832004"/>
                <w:citation/>
              </w:sdtPr>
              <w:sdtEndPr/>
              <w:sdtContent>
                <w:r w:rsidRPr="00027624">
                  <w:fldChar w:fldCharType="begin"/>
                </w:r>
                <w:r w:rsidRPr="00027624">
                  <w:instrText xml:space="preserve">CITATION Aus18 \l 3081 </w:instrText>
                </w:r>
                <w:r w:rsidRPr="00027624">
                  <w:fldChar w:fldCharType="separate"/>
                </w:r>
                <w:r w:rsidR="00E83F6E">
                  <w:rPr>
                    <w:noProof/>
                  </w:rPr>
                  <w:t>(Australian Institute of Health and Welfare, 2018b)</w:t>
                </w:r>
                <w:r w:rsidRPr="00027624">
                  <w:fldChar w:fldCharType="end"/>
                </w:r>
              </w:sdtContent>
            </w:sdt>
            <w:r w:rsidRPr="00027624">
              <w:t>.</w:t>
            </w:r>
          </w:p>
          <w:p w14:paraId="35B7C359" w14:textId="77777777" w:rsidR="00835E24" w:rsidRPr="00027624" w:rsidRDefault="00835E24" w:rsidP="00835E24">
            <w:pPr>
              <w:pStyle w:val="BoxText"/>
            </w:pPr>
            <w:r w:rsidRPr="00027624">
              <w:t xml:space="preserve">The likelihood of homelessness declines with age </w:t>
            </w:r>
            <w:sdt>
              <w:sdtPr>
                <w:id w:val="1377514838"/>
                <w:citation/>
              </w:sdtPr>
              <w:sdtEndPr/>
              <w:sdtContent>
                <w:r w:rsidRPr="00027624">
                  <w:fldChar w:fldCharType="begin"/>
                </w:r>
                <w:r w:rsidRPr="00027624">
                  <w:instrText xml:space="preserve">CITATION ABS182 \l 3081 </w:instrText>
                </w:r>
                <w:r w:rsidRPr="00027624">
                  <w:fldChar w:fldCharType="separate"/>
                </w:r>
                <w:r w:rsidR="00E83F6E">
                  <w:rPr>
                    <w:noProof/>
                  </w:rPr>
                  <w:t>(ABS, 2018b)</w:t>
                </w:r>
                <w:r w:rsidRPr="00027624">
                  <w:fldChar w:fldCharType="end"/>
                </w:r>
              </w:sdtContent>
            </w:sdt>
            <w:r w:rsidRPr="00027624">
              <w:t>. Many of the major risk factors such as poverty, unemployment or lack of affordable housing are less prevalent among retirees, who have higher home ownership rates, greater representation in public housing</w:t>
            </w:r>
            <w:r w:rsidRPr="00027624">
              <w:rPr>
                <w:rStyle w:val="FootnoteReference"/>
              </w:rPr>
              <w:footnoteReference w:id="168"/>
            </w:r>
            <w:r w:rsidRPr="00027624">
              <w:t xml:space="preserve"> and access to the Age Pension. As noted in </w:t>
            </w:r>
            <w:r w:rsidRPr="00027624">
              <w:rPr>
                <w:i/>
              </w:rPr>
              <w:t>2A. Achieving a minimum standard of living in retirement</w:t>
            </w:r>
            <w:r w:rsidRPr="00027624">
              <w:t>, a significant proportion of renters in retirement are facing financial stress due to high housing costs. Worsening housing affordability may present a risk factor for increased homelessness among retirees.</w:t>
            </w:r>
          </w:p>
        </w:tc>
      </w:tr>
    </w:tbl>
    <w:p w14:paraId="2BD37636" w14:textId="77777777" w:rsidR="00B3792F" w:rsidRPr="00027624" w:rsidRDefault="00B3792F" w:rsidP="00B3792F">
      <w:pPr>
        <w:pStyle w:val="Heading2"/>
      </w:pPr>
      <w:bookmarkStart w:id="2000" w:name="_Toc40366145"/>
      <w:bookmarkStart w:id="2001" w:name="_Toc40369691"/>
      <w:bookmarkStart w:id="2002" w:name="_Toc40427661"/>
      <w:bookmarkStart w:id="2003" w:name="_Toc40458100"/>
      <w:bookmarkStart w:id="2004" w:name="_Toc40461869"/>
      <w:bookmarkStart w:id="2005" w:name="_Toc40474424"/>
      <w:bookmarkStart w:id="2006" w:name="_Toc40477953"/>
      <w:bookmarkStart w:id="2007" w:name="_Toc40521533"/>
      <w:bookmarkStart w:id="2008" w:name="_Toc40530392"/>
      <w:bookmarkStart w:id="2009" w:name="_Toc42778819"/>
      <w:bookmarkStart w:id="2010" w:name="_Toc42779959"/>
      <w:bookmarkStart w:id="2011" w:name="_Toc42780388"/>
      <w:bookmarkStart w:id="2012" w:name="_Toc42786378"/>
      <w:bookmarkStart w:id="2013" w:name="_Toc42791871"/>
      <w:bookmarkStart w:id="2014" w:name="_Toc42792033"/>
      <w:bookmarkStart w:id="2015" w:name="_Toc43117840"/>
      <w:bookmarkStart w:id="2016" w:name="_Toc43121479"/>
      <w:bookmarkStart w:id="2017" w:name="_Toc43122684"/>
      <w:bookmarkStart w:id="2018" w:name="_Toc43127739"/>
      <w:bookmarkStart w:id="2019" w:name="_Toc45520504"/>
      <w:bookmarkStart w:id="2020" w:name="_Toc46133615"/>
      <w:r w:rsidRPr="00027624">
        <w:t>Age Pension and the assets test</w:t>
      </w:r>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p>
    <w:p w14:paraId="6A6AB3BB" w14:textId="77777777" w:rsidR="00B3792F" w:rsidRPr="00027624" w:rsidRDefault="00B3792F" w:rsidP="00B3792F">
      <w:pPr>
        <w:pStyle w:val="Heading3"/>
      </w:pPr>
      <w:bookmarkStart w:id="2021" w:name="_Toc40366146"/>
      <w:bookmarkStart w:id="2022" w:name="_Toc40369692"/>
      <w:bookmarkStart w:id="2023" w:name="_Toc40427662"/>
      <w:bookmarkStart w:id="2024" w:name="_Toc40458101"/>
      <w:bookmarkStart w:id="2025" w:name="_Toc40461870"/>
      <w:bookmarkStart w:id="2026" w:name="_Toc40474425"/>
      <w:bookmarkStart w:id="2027" w:name="_Toc40477954"/>
      <w:bookmarkStart w:id="2028" w:name="_Toc40521534"/>
      <w:bookmarkStart w:id="2029" w:name="_Toc40530393"/>
      <w:bookmarkStart w:id="2030" w:name="_Toc42778820"/>
      <w:bookmarkStart w:id="2031" w:name="_Toc42779960"/>
      <w:bookmarkStart w:id="2032" w:name="_Toc42780389"/>
      <w:bookmarkStart w:id="2033" w:name="_Toc42786379"/>
      <w:bookmarkStart w:id="2034" w:name="_Toc42791872"/>
      <w:bookmarkStart w:id="2035" w:name="_Toc42792034"/>
      <w:bookmarkStart w:id="2036" w:name="_Toc43117841"/>
      <w:bookmarkStart w:id="2037" w:name="_Toc43121480"/>
      <w:bookmarkStart w:id="2038" w:name="_Toc43122685"/>
      <w:bookmarkStart w:id="2039" w:name="_Toc43127740"/>
      <w:r w:rsidRPr="00027624">
        <w:t>Concessional treatment for the principal residence</w:t>
      </w:r>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p>
    <w:p w14:paraId="1A7DFD07" w14:textId="5D21AEA3" w:rsidR="00B3792F" w:rsidRPr="00027624" w:rsidRDefault="00B3792F" w:rsidP="00B3792F">
      <w:r w:rsidRPr="00027624">
        <w:t>A person</w:t>
      </w:r>
      <w:r w:rsidR="00A8443E" w:rsidRPr="00027624">
        <w:t>’</w:t>
      </w:r>
      <w:r w:rsidRPr="00027624">
        <w:t>s principal residence is exempt from the Age Pension assets test while non</w:t>
      </w:r>
      <w:r w:rsidR="00A8443E" w:rsidRPr="00027624">
        <w:noBreakHyphen/>
      </w:r>
      <w:r w:rsidRPr="00027624">
        <w:t>home owners are allowed a higher assets test free area to qualify for the maximum rate of the Age Pension (</w:t>
      </w:r>
      <w:r w:rsidRPr="00027624">
        <w:fldChar w:fldCharType="begin"/>
      </w:r>
      <w:r w:rsidRPr="00027624">
        <w:instrText xml:space="preserve"> REF _Ref39982161 \r \h  \* MERGEFORMAT </w:instrText>
      </w:r>
      <w:r w:rsidRPr="00027624">
        <w:fldChar w:fldCharType="separate"/>
      </w:r>
      <w:r w:rsidR="00891058">
        <w:t>Table 3C-1</w:t>
      </w:r>
      <w:r w:rsidRPr="00027624">
        <w:fldChar w:fldCharType="end"/>
      </w:r>
      <w:r w:rsidRPr="00027624">
        <w:t>). This implies that the effective value of the principal residence for the assets test is currently $210,500. In contrast, the estimated median value of an age pensioner</w:t>
      </w:r>
      <w:r w:rsidR="00A8443E" w:rsidRPr="00027624">
        <w:t>’</w:t>
      </w:r>
      <w:r w:rsidRPr="00027624">
        <w:t xml:space="preserve">s principal </w:t>
      </w:r>
      <w:r w:rsidR="004B28BD" w:rsidRPr="00027624">
        <w:t>residence in 2019 was $560,000</w:t>
      </w:r>
      <w:r w:rsidRPr="00027624">
        <w:t>.</w:t>
      </w:r>
    </w:p>
    <w:p w14:paraId="6E60C530" w14:textId="77777777" w:rsidR="00B3792F" w:rsidRPr="00027624" w:rsidRDefault="00B3792F" w:rsidP="00FC7361">
      <w:pPr>
        <w:pStyle w:val="TableMainHeading"/>
        <w:numPr>
          <w:ilvl w:val="3"/>
          <w:numId w:val="47"/>
        </w:numPr>
      </w:pPr>
      <w:bookmarkStart w:id="2040" w:name="_Ref39982161"/>
      <w:r w:rsidRPr="00027624">
        <w:lastRenderedPageBreak/>
        <w:t>Assets test free areas for a maximum</w:t>
      </w:r>
      <w:r w:rsidR="00A8443E" w:rsidRPr="00027624">
        <w:noBreakHyphen/>
      </w:r>
      <w:r w:rsidRPr="00027624">
        <w:t>rate Age Pension</w:t>
      </w:r>
      <w:bookmarkEnd w:id="2040"/>
    </w:p>
    <w:tbl>
      <w:tblPr>
        <w:tblW w:w="5000" w:type="pct"/>
        <w:tblLook w:val="01E0" w:firstRow="1" w:lastRow="1" w:firstColumn="1" w:lastColumn="1" w:noHBand="0" w:noVBand="0"/>
      </w:tblPr>
      <w:tblGrid>
        <w:gridCol w:w="3022"/>
        <w:gridCol w:w="3024"/>
        <w:gridCol w:w="3024"/>
      </w:tblGrid>
      <w:tr w:rsidR="00B3792F" w:rsidRPr="00027624" w14:paraId="5528754D" w14:textId="77777777" w:rsidTr="00B3792F">
        <w:trPr>
          <w:trHeight w:val="69"/>
          <w:tblHeader/>
        </w:trPr>
        <w:tc>
          <w:tcPr>
            <w:tcW w:w="1666" w:type="pct"/>
            <w:shd w:val="clear" w:color="auto" w:fill="E5E5E5"/>
          </w:tcPr>
          <w:p w14:paraId="1179C5DD" w14:textId="77777777" w:rsidR="00B3792F" w:rsidRPr="00027624" w:rsidRDefault="00B3792F" w:rsidP="00B3792F">
            <w:pPr>
              <w:pStyle w:val="TableColumnHeadingRight"/>
              <w:spacing w:line="256" w:lineRule="auto"/>
            </w:pPr>
          </w:p>
        </w:tc>
        <w:tc>
          <w:tcPr>
            <w:tcW w:w="1667" w:type="pct"/>
            <w:shd w:val="clear" w:color="auto" w:fill="E5E5E5"/>
            <w:hideMark/>
          </w:tcPr>
          <w:p w14:paraId="07A879D8" w14:textId="77777777" w:rsidR="00B3792F" w:rsidRPr="00027624" w:rsidRDefault="00B3792F" w:rsidP="00B3792F">
            <w:pPr>
              <w:pStyle w:val="TableColumnHeadingCentred"/>
            </w:pPr>
            <w:r w:rsidRPr="00027624">
              <w:t>Single ($)</w:t>
            </w:r>
          </w:p>
        </w:tc>
        <w:tc>
          <w:tcPr>
            <w:tcW w:w="1667" w:type="pct"/>
            <w:shd w:val="clear" w:color="auto" w:fill="E5E5E5"/>
            <w:hideMark/>
          </w:tcPr>
          <w:p w14:paraId="6556FCAD" w14:textId="77777777" w:rsidR="00B3792F" w:rsidRPr="00027624" w:rsidRDefault="00B3792F" w:rsidP="00B3792F">
            <w:pPr>
              <w:pStyle w:val="TableColumnHeadingCentred"/>
            </w:pPr>
            <w:r w:rsidRPr="00027624">
              <w:t>Couple ($)</w:t>
            </w:r>
          </w:p>
        </w:tc>
      </w:tr>
      <w:tr w:rsidR="00B3792F" w:rsidRPr="00027624" w14:paraId="03C94CDE" w14:textId="77777777" w:rsidTr="00B3792F">
        <w:trPr>
          <w:trHeight w:val="270"/>
        </w:trPr>
        <w:tc>
          <w:tcPr>
            <w:tcW w:w="1666" w:type="pct"/>
            <w:hideMark/>
          </w:tcPr>
          <w:p w14:paraId="0C28FFDD" w14:textId="77777777" w:rsidR="00B3792F" w:rsidRPr="00027624" w:rsidRDefault="00B3792F" w:rsidP="00B3792F">
            <w:pPr>
              <w:pStyle w:val="TableTextCentered"/>
              <w:jc w:val="left"/>
            </w:pPr>
            <w:r w:rsidRPr="00027624">
              <w:t>Home owner</w:t>
            </w:r>
          </w:p>
        </w:tc>
        <w:tc>
          <w:tcPr>
            <w:tcW w:w="1667" w:type="pct"/>
            <w:hideMark/>
          </w:tcPr>
          <w:p w14:paraId="1BEC828D" w14:textId="77777777" w:rsidR="00B3792F" w:rsidRPr="00027624" w:rsidRDefault="00B3792F" w:rsidP="00B3792F">
            <w:pPr>
              <w:pStyle w:val="TableTextCentered"/>
            </w:pPr>
            <w:r w:rsidRPr="00027624">
              <w:t>263,250</w:t>
            </w:r>
          </w:p>
        </w:tc>
        <w:tc>
          <w:tcPr>
            <w:tcW w:w="1667" w:type="pct"/>
            <w:hideMark/>
          </w:tcPr>
          <w:p w14:paraId="5B5916B7" w14:textId="77777777" w:rsidR="00B3792F" w:rsidRPr="00027624" w:rsidRDefault="00B3792F" w:rsidP="00B3792F">
            <w:pPr>
              <w:pStyle w:val="TableTextCentered"/>
            </w:pPr>
            <w:r w:rsidRPr="00027624">
              <w:t>394,500</w:t>
            </w:r>
          </w:p>
        </w:tc>
      </w:tr>
      <w:tr w:rsidR="00B3792F" w:rsidRPr="00027624" w14:paraId="0901FBB6" w14:textId="77777777" w:rsidTr="00B3792F">
        <w:trPr>
          <w:trHeight w:val="270"/>
        </w:trPr>
        <w:tc>
          <w:tcPr>
            <w:tcW w:w="1666" w:type="pct"/>
            <w:hideMark/>
          </w:tcPr>
          <w:p w14:paraId="5C9680B7" w14:textId="77777777" w:rsidR="00B3792F" w:rsidRPr="00027624" w:rsidRDefault="00B3792F" w:rsidP="00B3792F">
            <w:pPr>
              <w:pStyle w:val="TableTextCentered"/>
              <w:jc w:val="left"/>
            </w:pPr>
            <w:r w:rsidRPr="00027624">
              <w:t>Non</w:t>
            </w:r>
            <w:r w:rsidR="00A8443E" w:rsidRPr="00027624">
              <w:noBreakHyphen/>
            </w:r>
            <w:r w:rsidRPr="00027624">
              <w:t>home owner</w:t>
            </w:r>
          </w:p>
        </w:tc>
        <w:tc>
          <w:tcPr>
            <w:tcW w:w="1667" w:type="pct"/>
            <w:hideMark/>
          </w:tcPr>
          <w:p w14:paraId="14D4E2CC" w14:textId="77777777" w:rsidR="00B3792F" w:rsidRPr="00027624" w:rsidRDefault="00B3792F" w:rsidP="00B3792F">
            <w:pPr>
              <w:pStyle w:val="TableTextCentered"/>
            </w:pPr>
            <w:r w:rsidRPr="00027624">
              <w:t>473,750</w:t>
            </w:r>
          </w:p>
        </w:tc>
        <w:tc>
          <w:tcPr>
            <w:tcW w:w="1667" w:type="pct"/>
            <w:hideMark/>
          </w:tcPr>
          <w:p w14:paraId="460D5851" w14:textId="77777777" w:rsidR="00B3792F" w:rsidRPr="00027624" w:rsidRDefault="00B3792F" w:rsidP="00B3792F">
            <w:pPr>
              <w:pStyle w:val="TableTextCentered"/>
            </w:pPr>
            <w:r w:rsidRPr="00027624">
              <w:t>605,000</w:t>
            </w:r>
          </w:p>
        </w:tc>
      </w:tr>
      <w:tr w:rsidR="00B3792F" w:rsidRPr="00027624" w14:paraId="292440F3" w14:textId="77777777" w:rsidTr="00B3792F">
        <w:trPr>
          <w:trHeight w:val="270"/>
        </w:trPr>
        <w:tc>
          <w:tcPr>
            <w:tcW w:w="1666" w:type="pct"/>
            <w:hideMark/>
          </w:tcPr>
          <w:p w14:paraId="2C223841" w14:textId="77777777" w:rsidR="00B3792F" w:rsidRPr="00027624" w:rsidRDefault="00B3792F" w:rsidP="00B3792F">
            <w:pPr>
              <w:pStyle w:val="TableTextCentered"/>
              <w:jc w:val="left"/>
              <w:rPr>
                <w:b/>
              </w:rPr>
            </w:pPr>
            <w:r w:rsidRPr="00027624">
              <w:rPr>
                <w:b/>
              </w:rPr>
              <w:t>Difference (effective value of the home)</w:t>
            </w:r>
          </w:p>
        </w:tc>
        <w:tc>
          <w:tcPr>
            <w:tcW w:w="1667" w:type="pct"/>
            <w:hideMark/>
          </w:tcPr>
          <w:p w14:paraId="37D4E5DD" w14:textId="77777777" w:rsidR="00B3792F" w:rsidRPr="00027624" w:rsidRDefault="00B3792F" w:rsidP="00B3792F">
            <w:pPr>
              <w:pStyle w:val="TableTextCentered"/>
              <w:rPr>
                <w:b/>
              </w:rPr>
            </w:pPr>
            <w:r w:rsidRPr="00027624">
              <w:rPr>
                <w:b/>
              </w:rPr>
              <w:t>210,500</w:t>
            </w:r>
          </w:p>
        </w:tc>
        <w:tc>
          <w:tcPr>
            <w:tcW w:w="1667" w:type="pct"/>
            <w:hideMark/>
          </w:tcPr>
          <w:p w14:paraId="7D83175D" w14:textId="77777777" w:rsidR="00B3792F" w:rsidRPr="00027624" w:rsidRDefault="00B3792F" w:rsidP="00B3792F">
            <w:pPr>
              <w:pStyle w:val="TableTextCentered"/>
              <w:rPr>
                <w:b/>
              </w:rPr>
            </w:pPr>
            <w:r w:rsidRPr="00027624">
              <w:rPr>
                <w:b/>
              </w:rPr>
              <w:t>210,500</w:t>
            </w:r>
          </w:p>
        </w:tc>
      </w:tr>
    </w:tbl>
    <w:p w14:paraId="6EDC6EFC" w14:textId="77777777" w:rsidR="00B3792F" w:rsidRPr="00027624" w:rsidRDefault="00B3792F" w:rsidP="00B3792F">
      <w:pPr>
        <w:pStyle w:val="ChartorTableNote"/>
      </w:pPr>
      <w:bookmarkStart w:id="2041" w:name="_Ref39823390"/>
      <w:bookmarkStart w:id="2042" w:name="_Ref41404673"/>
      <w:r w:rsidRPr="00027624">
        <w:t>Source: Age Pension rates and thresholds as at 1 May 2020.</w:t>
      </w:r>
    </w:p>
    <w:p w14:paraId="199AA90B" w14:textId="77777777" w:rsidR="00B3792F" w:rsidRPr="00027624" w:rsidRDefault="00B3792F" w:rsidP="00FC7361">
      <w:pPr>
        <w:pStyle w:val="ChartMainHeading"/>
        <w:numPr>
          <w:ilvl w:val="2"/>
          <w:numId w:val="47"/>
        </w:numPr>
      </w:pPr>
      <w:r w:rsidRPr="00027624">
        <w:t>Distribution of home values among age pensioners who own their home</w:t>
      </w:r>
      <w:bookmarkEnd w:id="2041"/>
      <w:bookmarkEnd w:id="2042"/>
    </w:p>
    <w:p w14:paraId="5D53C943" w14:textId="77777777" w:rsidR="004B28BD" w:rsidRPr="00027624" w:rsidRDefault="00147016" w:rsidP="004B28BD">
      <w:pPr>
        <w:pStyle w:val="ChartGraphic"/>
      </w:pPr>
      <w:r>
        <w:rPr>
          <w:noProof/>
        </w:rPr>
        <w:drawing>
          <wp:inline distT="0" distB="0" distL="0" distR="0" wp14:anchorId="5ECACA79" wp14:editId="24C67FBE">
            <wp:extent cx="5623560" cy="2499360"/>
            <wp:effectExtent l="0" t="0" r="0" b="0"/>
            <wp:docPr id="741687612" name="Picture 741687612" descr="This chart shows that for age pensioners who own their own home, the value of the home is most likely to be around $300,000-$700,000. Around 5 per cent of age pensioners have a principal residence of over $1.5 million. " title="Chart 3C-2 Distribution of home values among age pensioners who own their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23560" cy="2499360"/>
                    </a:xfrm>
                    <a:prstGeom prst="rect">
                      <a:avLst/>
                    </a:prstGeom>
                    <a:noFill/>
                  </pic:spPr>
                </pic:pic>
              </a:graphicData>
            </a:graphic>
          </wp:inline>
        </w:drawing>
      </w:r>
    </w:p>
    <w:p w14:paraId="725CE701" w14:textId="77777777" w:rsidR="00B3792F" w:rsidRPr="00027624" w:rsidRDefault="00B3792F" w:rsidP="00B3792F">
      <w:pPr>
        <w:pStyle w:val="ChartorTableNote"/>
      </w:pPr>
      <w:r w:rsidRPr="00027624">
        <w:t>Note: Horizontal axis labels indicate home values up to that amount (e.g. $200,000 includes homes over $100,000 up to $200,000). Source: Department of Social Services analysis of payment data, June 2</w:t>
      </w:r>
      <w:r w:rsidR="00A52CE5">
        <w:t>018</w:t>
      </w:r>
      <w:r w:rsidRPr="00027624">
        <w:t>.</w:t>
      </w:r>
    </w:p>
    <w:p w14:paraId="7116FF21" w14:textId="77777777" w:rsidR="00B3792F" w:rsidRPr="00027624" w:rsidRDefault="00B3792F" w:rsidP="00B3792F">
      <w:pPr>
        <w:pStyle w:val="Heading3"/>
      </w:pPr>
      <w:bookmarkStart w:id="2043" w:name="_Toc40366147"/>
      <w:bookmarkStart w:id="2044" w:name="_Toc40369693"/>
      <w:bookmarkStart w:id="2045" w:name="_Toc40427663"/>
      <w:bookmarkStart w:id="2046" w:name="_Toc40458102"/>
      <w:bookmarkStart w:id="2047" w:name="_Toc40461871"/>
      <w:bookmarkStart w:id="2048" w:name="_Toc40474426"/>
      <w:bookmarkStart w:id="2049" w:name="_Toc40477955"/>
      <w:bookmarkStart w:id="2050" w:name="_Toc40521535"/>
      <w:bookmarkStart w:id="2051" w:name="_Toc40530394"/>
      <w:bookmarkStart w:id="2052" w:name="_Toc42778821"/>
      <w:bookmarkStart w:id="2053" w:name="_Toc42779961"/>
      <w:bookmarkStart w:id="2054" w:name="_Toc42780390"/>
      <w:bookmarkStart w:id="2055" w:name="_Toc42786380"/>
      <w:bookmarkStart w:id="2056" w:name="_Toc42791873"/>
      <w:bookmarkStart w:id="2057" w:name="_Toc42792035"/>
      <w:bookmarkStart w:id="2058" w:name="_Toc43117842"/>
      <w:bookmarkStart w:id="2059" w:name="_Toc43121481"/>
      <w:bookmarkStart w:id="2060" w:name="_Toc43122686"/>
      <w:bookmarkStart w:id="2061" w:name="_Toc43127741"/>
      <w:r w:rsidRPr="00027624">
        <w:t>Higher assets test free areas for non</w:t>
      </w:r>
      <w:r w:rsidR="00A8443E" w:rsidRPr="00027624">
        <w:noBreakHyphen/>
      </w:r>
      <w:r w:rsidRPr="00027624">
        <w:t>home owners</w:t>
      </w:r>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p>
    <w:p w14:paraId="1A46993D" w14:textId="77777777" w:rsidR="00B3792F" w:rsidRPr="00027624" w:rsidRDefault="00B3792F" w:rsidP="00B3792F">
      <w:pPr>
        <w:rPr>
          <w:bCs/>
        </w:rPr>
      </w:pPr>
      <w:r w:rsidRPr="00027624">
        <w:rPr>
          <w:b/>
        </w:rPr>
        <w:t>The higher assets test free areas for renters benefit only a small proportion of retirees who do not own a home.</w:t>
      </w:r>
      <w:r w:rsidRPr="00027624">
        <w:t xml:space="preserve"> About 36,000 non</w:t>
      </w:r>
      <w:r w:rsidR="00A8443E" w:rsidRPr="00027624">
        <w:noBreakHyphen/>
      </w:r>
      <w:r w:rsidRPr="00027624">
        <w:t>home owner Age Pension recipients (around 6 per cent of this group) have a level of total assets above the home owner assets test free areas and below the non</w:t>
      </w:r>
      <w:r w:rsidR="00A8443E" w:rsidRPr="00027624">
        <w:noBreakHyphen/>
      </w:r>
      <w:r w:rsidRPr="00027624">
        <w:t xml:space="preserve">home owner assets test free areas </w:t>
      </w:r>
      <w:sdt>
        <w:sdtPr>
          <w:id w:val="1205523106"/>
          <w:citation/>
        </w:sdtPr>
        <w:sdtEndPr/>
        <w:sdtContent>
          <w:r w:rsidRPr="00027624">
            <w:fldChar w:fldCharType="begin"/>
          </w:r>
          <w:r w:rsidRPr="00027624">
            <w:instrText xml:space="preserve"> CITATION Ser19 \l 3081 </w:instrText>
          </w:r>
          <w:r w:rsidRPr="00027624">
            <w:fldChar w:fldCharType="separate"/>
          </w:r>
          <w:r w:rsidR="00E83F6E">
            <w:rPr>
              <w:noProof/>
            </w:rPr>
            <w:t>(Department of Social Services, 2020a)</w:t>
          </w:r>
          <w:r w:rsidRPr="00027624">
            <w:fldChar w:fldCharType="end"/>
          </w:r>
        </w:sdtContent>
      </w:sdt>
      <w:r w:rsidRPr="00027624">
        <w:t xml:space="preserve">. </w:t>
      </w:r>
      <w:r w:rsidRPr="00027624">
        <w:rPr>
          <w:bCs/>
        </w:rPr>
        <w:t>If these retirees are assets tested, they may benefit from this preferential treatment to qualify for a full</w:t>
      </w:r>
      <w:r w:rsidR="00A8443E" w:rsidRPr="00027624">
        <w:rPr>
          <w:bCs/>
        </w:rPr>
        <w:noBreakHyphen/>
      </w:r>
      <w:r w:rsidRPr="00027624">
        <w:rPr>
          <w:bCs/>
        </w:rPr>
        <w:t xml:space="preserve">rate Age Pension. </w:t>
      </w:r>
      <w:r w:rsidRPr="00027624">
        <w:t>Around 16,000 non</w:t>
      </w:r>
      <w:r w:rsidR="00A8443E" w:rsidRPr="00027624">
        <w:noBreakHyphen/>
      </w:r>
      <w:r w:rsidRPr="00027624">
        <w:t>home owner Age Pension recipients (less than 3 per cent of this group) have</w:t>
      </w:r>
      <w:r w:rsidRPr="00027624" w:rsidDel="0063033C">
        <w:t xml:space="preserve"> </w:t>
      </w:r>
      <w:r w:rsidRPr="00027624">
        <w:t>total assets above the assets test free areas but below the assets test cut</w:t>
      </w:r>
      <w:r w:rsidR="00A8443E" w:rsidRPr="00027624">
        <w:noBreakHyphen/>
      </w:r>
      <w:r w:rsidRPr="00027624">
        <w:t>offs</w:t>
      </w:r>
      <w:r w:rsidRPr="00027624">
        <w:rPr>
          <w:bCs/>
        </w:rPr>
        <w:t>. These retirees may benefit from this preferential treatment to qualify for a part</w:t>
      </w:r>
      <w:r w:rsidR="00A8443E" w:rsidRPr="00027624">
        <w:rPr>
          <w:bCs/>
        </w:rPr>
        <w:noBreakHyphen/>
      </w:r>
      <w:r w:rsidRPr="00027624">
        <w:rPr>
          <w:bCs/>
        </w:rPr>
        <w:t>rate Age Pension.</w:t>
      </w:r>
      <w:r w:rsidRPr="00027624">
        <w:rPr>
          <w:rStyle w:val="FootnoteReference"/>
        </w:rPr>
        <w:footnoteReference w:id="169"/>
      </w:r>
    </w:p>
    <w:p w14:paraId="21718391" w14:textId="77777777" w:rsidR="00B3792F" w:rsidRPr="00027624" w:rsidRDefault="00B3792F" w:rsidP="00B3792F">
      <w:r w:rsidRPr="00027624">
        <w:t>Of those non</w:t>
      </w:r>
      <w:r w:rsidR="00A8443E" w:rsidRPr="00027624">
        <w:noBreakHyphen/>
      </w:r>
      <w:r w:rsidRPr="00027624">
        <w:t>home owners who receive a part</w:t>
      </w:r>
      <w:r w:rsidR="00A8443E" w:rsidRPr="00027624">
        <w:noBreakHyphen/>
      </w:r>
      <w:r w:rsidRPr="00027624">
        <w:t>rate Age Pension, the majority (94 per cent) are affected by the income test.</w:t>
      </w:r>
      <w:r w:rsidRPr="00027624">
        <w:rPr>
          <w:rStyle w:val="FootnoteReference"/>
        </w:rPr>
        <w:footnoteReference w:id="170"/>
      </w:r>
      <w:r w:rsidRPr="00027624">
        <w:t xml:space="preserve"> As the income test is not adjusted by home ownership status, these retirees do not benefit from the higher assets test free areas.</w:t>
      </w:r>
    </w:p>
    <w:p w14:paraId="1AD11351" w14:textId="77777777" w:rsidR="00B3792F" w:rsidRPr="00027624" w:rsidRDefault="00B3792F" w:rsidP="00B3792F">
      <w:pPr>
        <w:pStyle w:val="Heading2"/>
      </w:pPr>
      <w:bookmarkStart w:id="2062" w:name="_Toc40366148"/>
      <w:bookmarkStart w:id="2063" w:name="_Toc40369694"/>
      <w:bookmarkStart w:id="2064" w:name="_Toc40427664"/>
      <w:bookmarkStart w:id="2065" w:name="_Toc40458103"/>
      <w:bookmarkStart w:id="2066" w:name="_Toc40461872"/>
      <w:bookmarkStart w:id="2067" w:name="_Toc40474427"/>
      <w:bookmarkStart w:id="2068" w:name="_Toc40477956"/>
      <w:bookmarkStart w:id="2069" w:name="_Toc40521536"/>
      <w:bookmarkStart w:id="2070" w:name="_Toc40530395"/>
      <w:bookmarkStart w:id="2071" w:name="_Toc42778822"/>
      <w:bookmarkStart w:id="2072" w:name="_Toc42779962"/>
      <w:bookmarkStart w:id="2073" w:name="_Toc42780391"/>
      <w:bookmarkStart w:id="2074" w:name="_Toc42786381"/>
      <w:bookmarkStart w:id="2075" w:name="_Toc42791874"/>
      <w:bookmarkStart w:id="2076" w:name="_Toc42792036"/>
      <w:bookmarkStart w:id="2077" w:name="_Toc43117843"/>
      <w:bookmarkStart w:id="2078" w:name="_Toc43121482"/>
      <w:bookmarkStart w:id="2079" w:name="_Toc43122687"/>
      <w:bookmarkStart w:id="2080" w:name="_Toc43127742"/>
      <w:bookmarkStart w:id="2081" w:name="_Toc45520505"/>
      <w:bookmarkStart w:id="2082" w:name="_Toc46133616"/>
      <w:r w:rsidRPr="00027624">
        <w:t>Equity implications of the Age Pension assets test</w:t>
      </w:r>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p>
    <w:p w14:paraId="61DEC265" w14:textId="53836049" w:rsidR="00B3792F" w:rsidRPr="00027624" w:rsidRDefault="00B3792F" w:rsidP="00B3792F">
      <w:r w:rsidRPr="00027624">
        <w:t>Even the limited number of renters who benefit from the higher assets test free areas and hold their wealth in forms other than a home are still at a disadvantage relative to home owners (</w:t>
      </w:r>
      <w:r w:rsidRPr="00027624">
        <w:fldChar w:fldCharType="begin"/>
      </w:r>
      <w:r w:rsidRPr="00027624">
        <w:instrText xml:space="preserve"> REF _Ref39831197 \r \h  \* MERGEFORMAT </w:instrText>
      </w:r>
      <w:r w:rsidRPr="00027624">
        <w:fldChar w:fldCharType="separate"/>
      </w:r>
      <w:r w:rsidR="00891058">
        <w:t>Table 3C-2</w:t>
      </w:r>
      <w:r w:rsidRPr="00027624">
        <w:fldChar w:fldCharType="end"/>
      </w:r>
      <w:r w:rsidRPr="00027624">
        <w:t xml:space="preserve">). Compared to home owners with identical total wealth, renters receive less Age Pension per person </w:t>
      </w:r>
      <w:r w:rsidRPr="00027624">
        <w:lastRenderedPageBreak/>
        <w:t>per year despite the Commonwealth Rent Assistance supplement (about $4,000 less in this example). This creates an inequity between home owners and renters in similar economic circumstances.</w:t>
      </w:r>
    </w:p>
    <w:p w14:paraId="39D490D5" w14:textId="77777777" w:rsidR="00B3792F" w:rsidRPr="00027624" w:rsidRDefault="00B3792F" w:rsidP="00582C3E">
      <w:pPr>
        <w:pStyle w:val="TableMainHeading"/>
      </w:pPr>
      <w:bookmarkStart w:id="2083" w:name="_Ref39831197"/>
      <w:r w:rsidRPr="00027624">
        <w:t>Annual Age Pension payment of a home owner and a renter with identical total wealth</w:t>
      </w:r>
      <w:bookmarkEnd w:id="2083"/>
    </w:p>
    <w:tbl>
      <w:tblPr>
        <w:tblW w:w="0" w:type="auto"/>
        <w:jc w:val="center"/>
        <w:tblLayout w:type="fixed"/>
        <w:tblLook w:val="01E0" w:firstRow="1" w:lastRow="1" w:firstColumn="1" w:lastColumn="1" w:noHBand="0" w:noVBand="0"/>
      </w:tblPr>
      <w:tblGrid>
        <w:gridCol w:w="993"/>
        <w:gridCol w:w="928"/>
        <w:gridCol w:w="1488"/>
        <w:gridCol w:w="1074"/>
        <w:gridCol w:w="1301"/>
        <w:gridCol w:w="1708"/>
        <w:gridCol w:w="1580"/>
      </w:tblGrid>
      <w:tr w:rsidR="00B3792F" w:rsidRPr="00027624" w14:paraId="255322FF" w14:textId="77777777" w:rsidTr="00B3792F">
        <w:trPr>
          <w:trHeight w:val="349"/>
          <w:tblHeader/>
          <w:jc w:val="center"/>
        </w:trPr>
        <w:tc>
          <w:tcPr>
            <w:tcW w:w="993" w:type="dxa"/>
            <w:shd w:val="clear" w:color="auto" w:fill="E5E5E5"/>
          </w:tcPr>
          <w:p w14:paraId="2AC503B0" w14:textId="77777777" w:rsidR="00B3792F" w:rsidRPr="00027624" w:rsidRDefault="00B3792F" w:rsidP="00B3792F">
            <w:pPr>
              <w:pStyle w:val="TableColumnHeadingCentred"/>
              <w:jc w:val="left"/>
            </w:pPr>
          </w:p>
        </w:tc>
        <w:tc>
          <w:tcPr>
            <w:tcW w:w="928" w:type="dxa"/>
            <w:shd w:val="clear" w:color="auto" w:fill="E5E5E5"/>
          </w:tcPr>
          <w:p w14:paraId="632B3547" w14:textId="77777777" w:rsidR="00B3792F" w:rsidRPr="00027624" w:rsidRDefault="00B3792F" w:rsidP="00B3792F">
            <w:pPr>
              <w:pStyle w:val="TableColumnHeadingCentred"/>
            </w:pPr>
            <w:r w:rsidRPr="00027624">
              <w:t>Home asset</w:t>
            </w:r>
            <w:r w:rsidRPr="00027624">
              <w:br/>
              <w:t>($)</w:t>
            </w:r>
          </w:p>
        </w:tc>
        <w:tc>
          <w:tcPr>
            <w:tcW w:w="1488" w:type="dxa"/>
            <w:shd w:val="clear" w:color="auto" w:fill="E5E5E5"/>
          </w:tcPr>
          <w:p w14:paraId="0BA7C36E" w14:textId="77777777" w:rsidR="00B3792F" w:rsidRPr="00027624" w:rsidRDefault="00B3792F" w:rsidP="00B3792F">
            <w:pPr>
              <w:pStyle w:val="TableColumnHeadingCentred"/>
            </w:pPr>
            <w:r w:rsidRPr="00027624">
              <w:t>Income</w:t>
            </w:r>
            <w:r w:rsidR="00A8443E" w:rsidRPr="00027624">
              <w:noBreakHyphen/>
            </w:r>
            <w:r w:rsidRPr="00027624">
              <w:t>generating assets ($)</w:t>
            </w:r>
          </w:p>
        </w:tc>
        <w:tc>
          <w:tcPr>
            <w:tcW w:w="1074" w:type="dxa"/>
            <w:shd w:val="clear" w:color="auto" w:fill="E5E5E5"/>
          </w:tcPr>
          <w:p w14:paraId="3E01163F" w14:textId="77777777" w:rsidR="00B3792F" w:rsidRPr="00027624" w:rsidRDefault="00B3792F" w:rsidP="00B3792F">
            <w:pPr>
              <w:pStyle w:val="TableColumnHeadingCentred"/>
            </w:pPr>
            <w:r w:rsidRPr="00027624">
              <w:t xml:space="preserve">Total wealth </w:t>
            </w:r>
            <w:r w:rsidRPr="00027624">
              <w:br/>
              <w:t>($)</w:t>
            </w:r>
          </w:p>
        </w:tc>
        <w:tc>
          <w:tcPr>
            <w:tcW w:w="1301" w:type="dxa"/>
            <w:shd w:val="clear" w:color="auto" w:fill="E5E5E5"/>
          </w:tcPr>
          <w:p w14:paraId="4ABF4D12" w14:textId="77777777" w:rsidR="00B3792F" w:rsidRPr="00027624" w:rsidRDefault="00B3792F" w:rsidP="00B3792F">
            <w:pPr>
              <w:pStyle w:val="TableColumnHeadingCentred"/>
            </w:pPr>
            <w:r w:rsidRPr="00027624">
              <w:t>Base Age Pension</w:t>
            </w:r>
            <w:r w:rsidRPr="00027624">
              <w:br/>
              <w:t>($)</w:t>
            </w:r>
          </w:p>
        </w:tc>
        <w:tc>
          <w:tcPr>
            <w:tcW w:w="1708" w:type="dxa"/>
            <w:shd w:val="clear" w:color="auto" w:fill="E5E5E5"/>
          </w:tcPr>
          <w:p w14:paraId="27FC91BE" w14:textId="77777777" w:rsidR="00B3792F" w:rsidRPr="00027624" w:rsidRDefault="00B3792F" w:rsidP="00B3792F">
            <w:pPr>
              <w:pStyle w:val="TableColumnHeadingCentred"/>
            </w:pPr>
            <w:r w:rsidRPr="00027624">
              <w:t xml:space="preserve">Commonwealth Rent Assistance ($) </w:t>
            </w:r>
          </w:p>
        </w:tc>
        <w:tc>
          <w:tcPr>
            <w:tcW w:w="1580" w:type="dxa"/>
            <w:shd w:val="clear" w:color="auto" w:fill="E5E5E5"/>
          </w:tcPr>
          <w:p w14:paraId="1F6FF693" w14:textId="77777777" w:rsidR="00B3792F" w:rsidRPr="00027624" w:rsidRDefault="00B3792F" w:rsidP="00B3792F">
            <w:pPr>
              <w:pStyle w:val="TableColumnHeadingCentred"/>
            </w:pPr>
            <w:r w:rsidRPr="00027624">
              <w:t>Total Age Pension</w:t>
            </w:r>
            <w:r w:rsidRPr="00027624">
              <w:br/>
              <w:t>($)</w:t>
            </w:r>
          </w:p>
        </w:tc>
      </w:tr>
      <w:tr w:rsidR="00B3792F" w:rsidRPr="00027624" w14:paraId="7A4C6BAC" w14:textId="77777777" w:rsidTr="00B3792F">
        <w:trPr>
          <w:trHeight w:val="349"/>
          <w:jc w:val="center"/>
        </w:trPr>
        <w:tc>
          <w:tcPr>
            <w:tcW w:w="993" w:type="dxa"/>
          </w:tcPr>
          <w:p w14:paraId="01724FF5" w14:textId="77777777" w:rsidR="00B3792F" w:rsidRPr="00027624" w:rsidRDefault="00B3792F" w:rsidP="00B3792F">
            <w:pPr>
              <w:pStyle w:val="TableTextCentered"/>
              <w:jc w:val="left"/>
            </w:pPr>
            <w:r w:rsidRPr="00027624">
              <w:t xml:space="preserve">Home owner 1 </w:t>
            </w:r>
          </w:p>
        </w:tc>
        <w:tc>
          <w:tcPr>
            <w:tcW w:w="928" w:type="dxa"/>
          </w:tcPr>
          <w:p w14:paraId="197209C7" w14:textId="77777777" w:rsidR="00B3792F" w:rsidRPr="00027624" w:rsidRDefault="00B3792F" w:rsidP="00B3792F">
            <w:pPr>
              <w:pStyle w:val="TableTextCentered"/>
            </w:pPr>
            <w:r w:rsidRPr="00027624">
              <w:t>560,000</w:t>
            </w:r>
          </w:p>
        </w:tc>
        <w:tc>
          <w:tcPr>
            <w:tcW w:w="1488" w:type="dxa"/>
          </w:tcPr>
          <w:p w14:paraId="46EDCB5F" w14:textId="77777777" w:rsidR="00B3792F" w:rsidRPr="00027624" w:rsidRDefault="00B3792F" w:rsidP="00B3792F">
            <w:pPr>
              <w:pStyle w:val="TableTextCentered"/>
            </w:pPr>
            <w:r w:rsidRPr="00027624">
              <w:t>210,000</w:t>
            </w:r>
          </w:p>
        </w:tc>
        <w:tc>
          <w:tcPr>
            <w:tcW w:w="1074" w:type="dxa"/>
          </w:tcPr>
          <w:p w14:paraId="2B9FC3B5" w14:textId="77777777" w:rsidR="00B3792F" w:rsidRPr="00027624" w:rsidRDefault="00B3792F" w:rsidP="00B3792F">
            <w:pPr>
              <w:pStyle w:val="TableTextCentered"/>
            </w:pPr>
            <w:r w:rsidRPr="00027624">
              <w:t>770,000</w:t>
            </w:r>
          </w:p>
        </w:tc>
        <w:tc>
          <w:tcPr>
            <w:tcW w:w="1301" w:type="dxa"/>
          </w:tcPr>
          <w:p w14:paraId="2B23BDCA" w14:textId="77777777" w:rsidR="00B3792F" w:rsidRPr="00027624" w:rsidRDefault="00B3792F" w:rsidP="00B3792F">
            <w:pPr>
              <w:pStyle w:val="TableTextCentered"/>
            </w:pPr>
            <w:r w:rsidRPr="00027624">
              <w:t>18,506</w:t>
            </w:r>
          </w:p>
        </w:tc>
        <w:tc>
          <w:tcPr>
            <w:tcW w:w="1708" w:type="dxa"/>
          </w:tcPr>
          <w:p w14:paraId="1534A95B" w14:textId="77777777" w:rsidR="00B3792F" w:rsidRPr="00027624" w:rsidRDefault="00B3792F" w:rsidP="00B3792F">
            <w:pPr>
              <w:pStyle w:val="TableTextCentered"/>
            </w:pPr>
            <w:r w:rsidRPr="00027624">
              <w:t>0</w:t>
            </w:r>
          </w:p>
        </w:tc>
        <w:tc>
          <w:tcPr>
            <w:tcW w:w="1580" w:type="dxa"/>
          </w:tcPr>
          <w:p w14:paraId="2051B9AA" w14:textId="77777777" w:rsidR="00B3792F" w:rsidRPr="00027624" w:rsidRDefault="00B3792F" w:rsidP="00B3792F">
            <w:pPr>
              <w:pStyle w:val="TableTextCentered"/>
            </w:pPr>
            <w:r w:rsidRPr="00027624">
              <w:t>18,506</w:t>
            </w:r>
          </w:p>
        </w:tc>
      </w:tr>
      <w:tr w:rsidR="00B3792F" w:rsidRPr="00027624" w14:paraId="1D5AC95B" w14:textId="77777777" w:rsidTr="00B3792F">
        <w:trPr>
          <w:trHeight w:val="349"/>
          <w:jc w:val="center"/>
        </w:trPr>
        <w:tc>
          <w:tcPr>
            <w:tcW w:w="993" w:type="dxa"/>
          </w:tcPr>
          <w:p w14:paraId="60CB992C" w14:textId="77777777" w:rsidR="00B3792F" w:rsidRPr="00027624" w:rsidRDefault="00B3792F" w:rsidP="00B3792F">
            <w:pPr>
              <w:pStyle w:val="TableTextCentered"/>
              <w:jc w:val="left"/>
            </w:pPr>
            <w:r w:rsidRPr="00027624">
              <w:t>Home owner 2</w:t>
            </w:r>
          </w:p>
        </w:tc>
        <w:tc>
          <w:tcPr>
            <w:tcW w:w="928" w:type="dxa"/>
          </w:tcPr>
          <w:p w14:paraId="7DC01834" w14:textId="77777777" w:rsidR="00B3792F" w:rsidRPr="00027624" w:rsidRDefault="00B3792F" w:rsidP="00B3792F">
            <w:pPr>
              <w:pStyle w:val="TableTextCentered"/>
            </w:pPr>
            <w:r w:rsidRPr="00027624">
              <w:t>360,000</w:t>
            </w:r>
          </w:p>
        </w:tc>
        <w:tc>
          <w:tcPr>
            <w:tcW w:w="1488" w:type="dxa"/>
          </w:tcPr>
          <w:p w14:paraId="4D6D8052" w14:textId="77777777" w:rsidR="00B3792F" w:rsidRPr="00027624" w:rsidRDefault="00B3792F" w:rsidP="00B3792F">
            <w:pPr>
              <w:pStyle w:val="TableTextCentered"/>
            </w:pPr>
            <w:r w:rsidRPr="00027624">
              <w:t>410,000</w:t>
            </w:r>
          </w:p>
        </w:tc>
        <w:tc>
          <w:tcPr>
            <w:tcW w:w="1074" w:type="dxa"/>
          </w:tcPr>
          <w:p w14:paraId="7CE0A652" w14:textId="77777777" w:rsidR="00B3792F" w:rsidRPr="00027624" w:rsidRDefault="00B3792F" w:rsidP="00B3792F">
            <w:pPr>
              <w:pStyle w:val="TableTextCentered"/>
            </w:pPr>
            <w:r w:rsidRPr="00027624">
              <w:t>770,000</w:t>
            </w:r>
          </w:p>
        </w:tc>
        <w:tc>
          <w:tcPr>
            <w:tcW w:w="1301" w:type="dxa"/>
          </w:tcPr>
          <w:p w14:paraId="5159A481" w14:textId="77777777" w:rsidR="00B3792F" w:rsidRPr="00027624" w:rsidRDefault="00B3792F" w:rsidP="00B3792F">
            <w:pPr>
              <w:pStyle w:val="TableTextCentered"/>
            </w:pPr>
            <w:r w:rsidRPr="00027624">
              <w:t>17,865</w:t>
            </w:r>
          </w:p>
        </w:tc>
        <w:tc>
          <w:tcPr>
            <w:tcW w:w="1708" w:type="dxa"/>
          </w:tcPr>
          <w:p w14:paraId="7708C77F" w14:textId="77777777" w:rsidR="00B3792F" w:rsidRPr="00027624" w:rsidRDefault="00B3792F" w:rsidP="00B3792F">
            <w:pPr>
              <w:pStyle w:val="TableTextCentered"/>
            </w:pPr>
            <w:r w:rsidRPr="00027624">
              <w:t>0</w:t>
            </w:r>
          </w:p>
        </w:tc>
        <w:tc>
          <w:tcPr>
            <w:tcW w:w="1580" w:type="dxa"/>
          </w:tcPr>
          <w:p w14:paraId="26DA3CCA" w14:textId="77777777" w:rsidR="00B3792F" w:rsidRPr="00027624" w:rsidRDefault="00B3792F" w:rsidP="00B3792F">
            <w:pPr>
              <w:pStyle w:val="TableTextCentered"/>
            </w:pPr>
            <w:r w:rsidRPr="00027624">
              <w:t>17,865</w:t>
            </w:r>
          </w:p>
        </w:tc>
      </w:tr>
      <w:tr w:rsidR="00B3792F" w:rsidRPr="00027624" w14:paraId="447C0EA7" w14:textId="77777777" w:rsidTr="00B3792F">
        <w:trPr>
          <w:trHeight w:val="349"/>
          <w:jc w:val="center"/>
        </w:trPr>
        <w:tc>
          <w:tcPr>
            <w:tcW w:w="993" w:type="dxa"/>
          </w:tcPr>
          <w:p w14:paraId="3EEB75D6" w14:textId="77777777" w:rsidR="00B3792F" w:rsidRPr="00027624" w:rsidRDefault="00B3792F" w:rsidP="00B3792F">
            <w:pPr>
              <w:pStyle w:val="TableTextCentered"/>
              <w:jc w:val="left"/>
            </w:pPr>
            <w:r w:rsidRPr="00027624">
              <w:t>Renter</w:t>
            </w:r>
          </w:p>
        </w:tc>
        <w:tc>
          <w:tcPr>
            <w:tcW w:w="928" w:type="dxa"/>
          </w:tcPr>
          <w:p w14:paraId="6A145B0C" w14:textId="77777777" w:rsidR="00B3792F" w:rsidRPr="00027624" w:rsidRDefault="00B3792F" w:rsidP="00B3792F">
            <w:pPr>
              <w:pStyle w:val="TableTextCentered"/>
            </w:pPr>
            <w:r w:rsidRPr="00027624">
              <w:t>0</w:t>
            </w:r>
          </w:p>
        </w:tc>
        <w:tc>
          <w:tcPr>
            <w:tcW w:w="1488" w:type="dxa"/>
          </w:tcPr>
          <w:p w14:paraId="29F5C011" w14:textId="77777777" w:rsidR="00B3792F" w:rsidRPr="00027624" w:rsidRDefault="00B3792F" w:rsidP="00B3792F">
            <w:pPr>
              <w:pStyle w:val="TableTextCentered"/>
            </w:pPr>
            <w:r w:rsidRPr="00027624">
              <w:t>770,000</w:t>
            </w:r>
          </w:p>
        </w:tc>
        <w:tc>
          <w:tcPr>
            <w:tcW w:w="1074" w:type="dxa"/>
          </w:tcPr>
          <w:p w14:paraId="53D60472" w14:textId="77777777" w:rsidR="00B3792F" w:rsidRPr="00027624" w:rsidRDefault="00B3792F" w:rsidP="00B3792F">
            <w:pPr>
              <w:pStyle w:val="TableTextCentered"/>
            </w:pPr>
            <w:r w:rsidRPr="00027624">
              <w:t>770,000</w:t>
            </w:r>
          </w:p>
        </w:tc>
        <w:tc>
          <w:tcPr>
            <w:tcW w:w="1301" w:type="dxa"/>
          </w:tcPr>
          <w:p w14:paraId="54757310" w14:textId="77777777" w:rsidR="00B3792F" w:rsidRPr="00027624" w:rsidRDefault="00B3792F" w:rsidP="00B3792F">
            <w:pPr>
              <w:pStyle w:val="TableTextCentered"/>
            </w:pPr>
            <w:r w:rsidRPr="00027624">
              <w:t xml:space="preserve">12,072 </w:t>
            </w:r>
          </w:p>
        </w:tc>
        <w:tc>
          <w:tcPr>
            <w:tcW w:w="1708" w:type="dxa"/>
          </w:tcPr>
          <w:p w14:paraId="38CC0B00" w14:textId="77777777" w:rsidR="00B3792F" w:rsidRPr="00027624" w:rsidRDefault="00B3792F" w:rsidP="00B3792F">
            <w:pPr>
              <w:pStyle w:val="TableTextCentered"/>
            </w:pPr>
            <w:r w:rsidRPr="00027624">
              <w:t xml:space="preserve">1,711 </w:t>
            </w:r>
          </w:p>
        </w:tc>
        <w:tc>
          <w:tcPr>
            <w:tcW w:w="1580" w:type="dxa"/>
          </w:tcPr>
          <w:p w14:paraId="06CEBED8" w14:textId="77777777" w:rsidR="00B3792F" w:rsidRPr="00027624" w:rsidRDefault="00B3792F" w:rsidP="00B3792F">
            <w:pPr>
              <w:pStyle w:val="TableTextCentered"/>
            </w:pPr>
            <w:r w:rsidRPr="00027624">
              <w:t xml:space="preserve">13,783 </w:t>
            </w:r>
          </w:p>
        </w:tc>
      </w:tr>
    </w:tbl>
    <w:p w14:paraId="664B009F" w14:textId="77777777" w:rsidR="00B3792F" w:rsidRPr="00027624" w:rsidRDefault="00B3792F" w:rsidP="00B3792F">
      <w:pPr>
        <w:pStyle w:val="ChartorTableNote"/>
        <w:rPr>
          <w:szCs w:val="18"/>
        </w:rPr>
      </w:pPr>
      <w:r w:rsidRPr="00027624">
        <w:t>Note: Values are in 2019</w:t>
      </w:r>
      <w:r w:rsidR="00A8443E" w:rsidRPr="00027624">
        <w:noBreakHyphen/>
      </w:r>
      <w:r w:rsidRPr="00027624">
        <w:t xml:space="preserve">20 dollars for an individual that is part of a couple. Asset values are representative of a typical coupled Age Pension recipient based on payment data from Department of Social Services. The renter is eligible for the maximum rate of Commonwealth Rent Assistance. </w:t>
      </w:r>
      <w:r w:rsidRPr="00027624">
        <w:rPr>
          <w:szCs w:val="18"/>
        </w:rPr>
        <w:t>Source: Calculation based on pension rates and thresholds as at 1</w:t>
      </w:r>
      <w:r w:rsidR="004B28BD" w:rsidRPr="00027624">
        <w:rPr>
          <w:szCs w:val="18"/>
        </w:rPr>
        <w:t> </w:t>
      </w:r>
      <w:r w:rsidRPr="00027624">
        <w:rPr>
          <w:szCs w:val="18"/>
        </w:rPr>
        <w:t>May</w:t>
      </w:r>
      <w:r w:rsidR="004B28BD" w:rsidRPr="00027624">
        <w:rPr>
          <w:szCs w:val="18"/>
        </w:rPr>
        <w:t> </w:t>
      </w:r>
      <w:r w:rsidRPr="00027624">
        <w:rPr>
          <w:szCs w:val="18"/>
        </w:rPr>
        <w:t>2020.</w:t>
      </w:r>
    </w:p>
    <w:p w14:paraId="6663B970" w14:textId="77777777" w:rsidR="00B3792F" w:rsidRPr="00027624" w:rsidRDefault="00B3792F" w:rsidP="00B3792F">
      <w:r w:rsidRPr="00027624">
        <w:t xml:space="preserve">Some stakeholders suggested home ownership rates will fall in future among older Australians </w:t>
      </w:r>
      <w:sdt>
        <w:sdtPr>
          <w:id w:val="-1703079524"/>
          <w:citation/>
        </w:sdtPr>
        <w:sdtEndPr/>
        <w:sdtContent>
          <w:r w:rsidRPr="00027624">
            <w:fldChar w:fldCharType="begin"/>
          </w:r>
          <w:r w:rsidRPr="00027624">
            <w:instrText xml:space="preserve">CITATION Ong20 \p 2 \t  \l 3081 </w:instrText>
          </w:r>
          <w:r w:rsidR="00512904" w:rsidRPr="00027624">
            <w:instrText xml:space="preserve"> \m Coa0b</w:instrText>
          </w:r>
          <w:r w:rsidRPr="00027624">
            <w:fldChar w:fldCharType="separate"/>
          </w:r>
          <w:r w:rsidR="00E83F6E">
            <w:rPr>
              <w:noProof/>
            </w:rPr>
            <w:t>(Ong ViforJ, 2020, p. 2; Coates, 2020)</w:t>
          </w:r>
          <w:r w:rsidRPr="00027624">
            <w:fldChar w:fldCharType="end"/>
          </w:r>
        </w:sdtContent>
      </w:sdt>
      <w:r w:rsidR="00512904" w:rsidRPr="00027624">
        <w:t xml:space="preserve"> </w:t>
      </w:r>
      <w:r w:rsidRPr="00027624">
        <w:t xml:space="preserve">although the extent of this is uncertain (see </w:t>
      </w:r>
      <w:r w:rsidRPr="00027624">
        <w:rPr>
          <w:i/>
        </w:rPr>
        <w:t>1D. The changing Australian landscape</w:t>
      </w:r>
      <w:r w:rsidRPr="00027624">
        <w:t>). If home ownership rates do fall, an increasing proportion of retirees will be impacted by the inequity in the Age Pension payment between home owners and renters. As the superannuation system matures, increasingly more renters will have larger superannuation balances. This will lower their Age Pension payments as a result of the assets test. Meanwhile, the exemption of the principal residence will continue to benefit home owners.</w:t>
      </w:r>
    </w:p>
    <w:p w14:paraId="1ACDEA30" w14:textId="2C1A4D93" w:rsidR="00B3792F" w:rsidRPr="00027624" w:rsidRDefault="00B3792F" w:rsidP="00B3792F">
      <w:r w:rsidRPr="00027624">
        <w:t>Cameo modelling illustrates the retirement outcome of lower</w:t>
      </w:r>
      <w:r w:rsidR="00A8443E" w:rsidRPr="00027624">
        <w:noBreakHyphen/>
      </w:r>
      <w:r w:rsidRPr="00027624">
        <w:t>income people starting work today who become a renter in a scenario of falling home ownership rates (</w:t>
      </w:r>
      <w:r w:rsidRPr="00027624">
        <w:fldChar w:fldCharType="begin"/>
      </w:r>
      <w:r w:rsidRPr="00027624">
        <w:instrText xml:space="preserve"> REF _Ref37881409 \r \h  \* MERGEFORMAT </w:instrText>
      </w:r>
      <w:r w:rsidRPr="00027624">
        <w:fldChar w:fldCharType="separate"/>
      </w:r>
      <w:r w:rsidR="00891058">
        <w:t>Table 3C-3</w:t>
      </w:r>
      <w:r w:rsidRPr="00027624">
        <w:fldChar w:fldCharType="end"/>
      </w:r>
      <w:r w:rsidRPr="00027624">
        <w:t>). Compared to a home owner with the same superannuation balance, it depicts two renters: Renter 1 who saves an amount equivalent to buying a modest home, and Renter 2 who saves less.</w:t>
      </w:r>
    </w:p>
    <w:p w14:paraId="689DE783" w14:textId="77777777" w:rsidR="00B3792F" w:rsidRPr="00027624" w:rsidRDefault="00B3792F" w:rsidP="00582C3E">
      <w:pPr>
        <w:pStyle w:val="TableMainHeading"/>
      </w:pPr>
      <w:bookmarkStart w:id="2084" w:name="_Ref37881409"/>
      <w:r w:rsidRPr="00027624">
        <w:t>Projected annual retirement incomes for a home owner versus a renter over 25 years of retirement</w:t>
      </w:r>
      <w:bookmarkEnd w:id="2084"/>
    </w:p>
    <w:tbl>
      <w:tblPr>
        <w:tblW w:w="0" w:type="auto"/>
        <w:tblLook w:val="01E0" w:firstRow="1" w:lastRow="1" w:firstColumn="1" w:lastColumn="1" w:noHBand="0" w:noVBand="0"/>
      </w:tblPr>
      <w:tblGrid>
        <w:gridCol w:w="788"/>
        <w:gridCol w:w="889"/>
        <w:gridCol w:w="1508"/>
        <w:gridCol w:w="1635"/>
        <w:gridCol w:w="1559"/>
        <w:gridCol w:w="1287"/>
        <w:gridCol w:w="1404"/>
      </w:tblGrid>
      <w:tr w:rsidR="00B3792F" w:rsidRPr="00027624" w14:paraId="546F9BF8" w14:textId="77777777" w:rsidTr="00B307FF">
        <w:trPr>
          <w:trHeight w:val="270"/>
          <w:tblHeader/>
        </w:trPr>
        <w:tc>
          <w:tcPr>
            <w:tcW w:w="0" w:type="auto"/>
            <w:shd w:val="clear" w:color="auto" w:fill="E5E5E5"/>
          </w:tcPr>
          <w:p w14:paraId="0CC76FA6" w14:textId="77777777" w:rsidR="00B3792F" w:rsidRPr="00027624" w:rsidRDefault="00B3792F" w:rsidP="00B307FF">
            <w:pPr>
              <w:pStyle w:val="TableColumnHeadingCentred"/>
            </w:pPr>
          </w:p>
        </w:tc>
        <w:tc>
          <w:tcPr>
            <w:tcW w:w="0" w:type="auto"/>
            <w:shd w:val="clear" w:color="auto" w:fill="E5E5E5"/>
            <w:vAlign w:val="center"/>
          </w:tcPr>
          <w:p w14:paraId="5A12EBB9" w14:textId="77777777" w:rsidR="00B3792F" w:rsidRPr="00027624" w:rsidRDefault="00B3792F" w:rsidP="00B307FF">
            <w:pPr>
              <w:pStyle w:val="TableColumnHeadingCentred"/>
            </w:pPr>
            <w:r w:rsidRPr="00027624">
              <w:rPr>
                <w:rFonts w:cs="Calibri"/>
              </w:rPr>
              <w:t xml:space="preserve">Family home </w:t>
            </w:r>
            <w:r w:rsidRPr="00027624">
              <w:rPr>
                <w:rFonts w:cs="Calibri"/>
              </w:rPr>
              <w:br/>
              <w:t>($)</w:t>
            </w:r>
          </w:p>
        </w:tc>
        <w:tc>
          <w:tcPr>
            <w:tcW w:w="0" w:type="auto"/>
            <w:shd w:val="clear" w:color="auto" w:fill="E5E5E5"/>
            <w:vAlign w:val="center"/>
          </w:tcPr>
          <w:p w14:paraId="22EA0FCB" w14:textId="77777777" w:rsidR="00B3792F" w:rsidRPr="00027624" w:rsidRDefault="00B3792F" w:rsidP="00B307FF">
            <w:pPr>
              <w:pStyle w:val="TableColumnHeadingCentred"/>
            </w:pPr>
            <w:r w:rsidRPr="00027624">
              <w:rPr>
                <w:rFonts w:cs="Calibri"/>
              </w:rPr>
              <w:t>Other financial assets at retirement ($)</w:t>
            </w:r>
          </w:p>
        </w:tc>
        <w:tc>
          <w:tcPr>
            <w:tcW w:w="1635" w:type="dxa"/>
            <w:shd w:val="clear" w:color="auto" w:fill="E5E5E5"/>
            <w:vAlign w:val="center"/>
          </w:tcPr>
          <w:p w14:paraId="086CB4B1" w14:textId="77777777" w:rsidR="00B3792F" w:rsidRPr="00027624" w:rsidRDefault="00B3792F" w:rsidP="00B307FF">
            <w:pPr>
              <w:pStyle w:val="TableColumnHeadingCentred"/>
            </w:pPr>
            <w:r w:rsidRPr="00027624">
              <w:rPr>
                <w:rFonts w:cs="Calibri"/>
              </w:rPr>
              <w:t>Superannuation balance at retirement ($)</w:t>
            </w:r>
          </w:p>
        </w:tc>
        <w:tc>
          <w:tcPr>
            <w:tcW w:w="1559" w:type="dxa"/>
            <w:shd w:val="clear" w:color="auto" w:fill="E5E5E5"/>
            <w:vAlign w:val="center"/>
          </w:tcPr>
          <w:p w14:paraId="4D5CAAE3" w14:textId="77777777" w:rsidR="00B3792F" w:rsidRPr="00027624" w:rsidRDefault="00B3792F" w:rsidP="00B307FF">
            <w:pPr>
              <w:pStyle w:val="TableColumnHeadingCentred"/>
            </w:pPr>
            <w:r w:rsidRPr="00027624">
              <w:rPr>
                <w:rFonts w:cs="Calibri"/>
              </w:rPr>
              <w:t>Average retirement income ($)</w:t>
            </w:r>
          </w:p>
        </w:tc>
        <w:tc>
          <w:tcPr>
            <w:tcW w:w="1287" w:type="dxa"/>
            <w:shd w:val="clear" w:color="auto" w:fill="E5E5E5"/>
            <w:vAlign w:val="center"/>
          </w:tcPr>
          <w:p w14:paraId="7714B654" w14:textId="77777777" w:rsidR="00B3792F" w:rsidRPr="00027624" w:rsidRDefault="00B3792F" w:rsidP="00B307FF">
            <w:pPr>
              <w:pStyle w:val="TableColumnHeadingCentred"/>
            </w:pPr>
            <w:r w:rsidRPr="00027624">
              <w:rPr>
                <w:rFonts w:cs="Calibri"/>
              </w:rPr>
              <w:t>Income after housing costs ($)</w:t>
            </w:r>
          </w:p>
        </w:tc>
        <w:tc>
          <w:tcPr>
            <w:tcW w:w="0" w:type="auto"/>
            <w:shd w:val="clear" w:color="auto" w:fill="E5E5E5"/>
            <w:vAlign w:val="center"/>
          </w:tcPr>
          <w:p w14:paraId="70A3BBFC" w14:textId="77777777" w:rsidR="00B3792F" w:rsidRPr="00027624" w:rsidRDefault="00B3792F" w:rsidP="00B307FF">
            <w:pPr>
              <w:pStyle w:val="TableColumnHeadingCentred"/>
            </w:pPr>
            <w:r w:rsidRPr="00027624">
              <w:rPr>
                <w:rFonts w:cs="Calibri"/>
              </w:rPr>
              <w:t>Average Age Pension ($)</w:t>
            </w:r>
          </w:p>
        </w:tc>
      </w:tr>
      <w:tr w:rsidR="00B3792F" w:rsidRPr="00027624" w14:paraId="089AF990" w14:textId="77777777" w:rsidTr="00B307FF">
        <w:trPr>
          <w:trHeight w:val="270"/>
        </w:trPr>
        <w:tc>
          <w:tcPr>
            <w:tcW w:w="0" w:type="auto"/>
          </w:tcPr>
          <w:p w14:paraId="58BF68D0" w14:textId="77777777" w:rsidR="00B3792F" w:rsidRPr="00027624" w:rsidRDefault="00B3792F" w:rsidP="00B3792F">
            <w:pPr>
              <w:pStyle w:val="TableTextLeft"/>
            </w:pPr>
            <w:r w:rsidRPr="00027624">
              <w:t>Home owner</w:t>
            </w:r>
          </w:p>
        </w:tc>
        <w:tc>
          <w:tcPr>
            <w:tcW w:w="0" w:type="auto"/>
          </w:tcPr>
          <w:p w14:paraId="4224C6BC" w14:textId="77777777" w:rsidR="00B3792F" w:rsidRPr="00027624" w:rsidRDefault="00B3792F" w:rsidP="00B3792F">
            <w:pPr>
              <w:pStyle w:val="TableTextLeft"/>
              <w:jc w:val="center"/>
            </w:pPr>
            <w:r w:rsidRPr="00027624">
              <w:t>350,000</w:t>
            </w:r>
          </w:p>
        </w:tc>
        <w:tc>
          <w:tcPr>
            <w:tcW w:w="0" w:type="auto"/>
          </w:tcPr>
          <w:p w14:paraId="17E8E59A" w14:textId="77777777" w:rsidR="00B3792F" w:rsidRPr="00027624" w:rsidRDefault="00B3792F" w:rsidP="00B3792F">
            <w:pPr>
              <w:pStyle w:val="TableTextLeft"/>
              <w:jc w:val="center"/>
            </w:pPr>
            <w:r w:rsidRPr="00027624">
              <w:t>0</w:t>
            </w:r>
          </w:p>
        </w:tc>
        <w:tc>
          <w:tcPr>
            <w:tcW w:w="1635" w:type="dxa"/>
          </w:tcPr>
          <w:p w14:paraId="5CBD0D79" w14:textId="77777777" w:rsidR="00B3792F" w:rsidRPr="00027624" w:rsidRDefault="00B3792F" w:rsidP="00B3792F">
            <w:pPr>
              <w:pStyle w:val="TableTextLeft"/>
              <w:jc w:val="center"/>
            </w:pPr>
            <w:r w:rsidRPr="00027624">
              <w:t>222,300</w:t>
            </w:r>
          </w:p>
        </w:tc>
        <w:tc>
          <w:tcPr>
            <w:tcW w:w="1559" w:type="dxa"/>
          </w:tcPr>
          <w:p w14:paraId="5BBAD490" w14:textId="77777777" w:rsidR="00B3792F" w:rsidRPr="00027624" w:rsidRDefault="00B3792F" w:rsidP="00B3792F">
            <w:pPr>
              <w:pStyle w:val="TableTextLeft"/>
              <w:jc w:val="center"/>
            </w:pPr>
            <w:r w:rsidRPr="00027624">
              <w:t>36,400</w:t>
            </w:r>
          </w:p>
        </w:tc>
        <w:tc>
          <w:tcPr>
            <w:tcW w:w="1287" w:type="dxa"/>
          </w:tcPr>
          <w:p w14:paraId="297990F3" w14:textId="77777777" w:rsidR="00B3792F" w:rsidRPr="00027624" w:rsidRDefault="00B3792F" w:rsidP="00B3792F">
            <w:pPr>
              <w:pStyle w:val="TableTextLeft"/>
              <w:jc w:val="center"/>
            </w:pPr>
            <w:r w:rsidRPr="00027624">
              <w:t>34,400</w:t>
            </w:r>
          </w:p>
        </w:tc>
        <w:tc>
          <w:tcPr>
            <w:tcW w:w="0" w:type="auto"/>
          </w:tcPr>
          <w:p w14:paraId="37BA7EB0" w14:textId="77777777" w:rsidR="00B3792F" w:rsidRPr="00027624" w:rsidRDefault="00B3792F" w:rsidP="00B3792F">
            <w:pPr>
              <w:pStyle w:val="TableTextLeft"/>
              <w:jc w:val="center"/>
            </w:pPr>
            <w:r w:rsidRPr="00027624">
              <w:t>25,900</w:t>
            </w:r>
          </w:p>
        </w:tc>
      </w:tr>
      <w:tr w:rsidR="00B3792F" w:rsidRPr="00027624" w14:paraId="4506DEE0" w14:textId="77777777" w:rsidTr="00B307FF">
        <w:trPr>
          <w:trHeight w:val="270"/>
        </w:trPr>
        <w:tc>
          <w:tcPr>
            <w:tcW w:w="0" w:type="auto"/>
          </w:tcPr>
          <w:p w14:paraId="3C64B1B3" w14:textId="77777777" w:rsidR="00B3792F" w:rsidRPr="00027624" w:rsidRDefault="00B3792F" w:rsidP="00B3792F">
            <w:pPr>
              <w:pStyle w:val="TableTextLeft"/>
            </w:pPr>
            <w:r w:rsidRPr="00027624">
              <w:t>Renter 1</w:t>
            </w:r>
          </w:p>
        </w:tc>
        <w:tc>
          <w:tcPr>
            <w:tcW w:w="0" w:type="auto"/>
          </w:tcPr>
          <w:p w14:paraId="7E01F631" w14:textId="77777777" w:rsidR="00B3792F" w:rsidRPr="00027624" w:rsidRDefault="00B3792F" w:rsidP="00B3792F">
            <w:pPr>
              <w:pStyle w:val="TableTextLeft"/>
              <w:jc w:val="center"/>
            </w:pPr>
            <w:r w:rsidRPr="00027624">
              <w:t>0</w:t>
            </w:r>
          </w:p>
        </w:tc>
        <w:tc>
          <w:tcPr>
            <w:tcW w:w="0" w:type="auto"/>
          </w:tcPr>
          <w:p w14:paraId="2C4EB1A9" w14:textId="77777777" w:rsidR="00B3792F" w:rsidRPr="00027624" w:rsidRDefault="00B3792F" w:rsidP="00B3792F">
            <w:pPr>
              <w:pStyle w:val="TableTextLeft"/>
              <w:jc w:val="center"/>
            </w:pPr>
            <w:r w:rsidRPr="00027624">
              <w:t>350,000</w:t>
            </w:r>
          </w:p>
        </w:tc>
        <w:tc>
          <w:tcPr>
            <w:tcW w:w="1635" w:type="dxa"/>
          </w:tcPr>
          <w:p w14:paraId="62025D9C" w14:textId="77777777" w:rsidR="00B3792F" w:rsidRPr="00027624" w:rsidRDefault="00B3792F" w:rsidP="00B3792F">
            <w:pPr>
              <w:pStyle w:val="TableTextLeft"/>
              <w:jc w:val="center"/>
            </w:pPr>
            <w:r w:rsidRPr="00027624">
              <w:t>222,300</w:t>
            </w:r>
          </w:p>
        </w:tc>
        <w:tc>
          <w:tcPr>
            <w:tcW w:w="1559" w:type="dxa"/>
          </w:tcPr>
          <w:p w14:paraId="0FCE12E0" w14:textId="77777777" w:rsidR="00B3792F" w:rsidRPr="00027624" w:rsidRDefault="00B3792F" w:rsidP="00B3792F">
            <w:pPr>
              <w:pStyle w:val="TableTextLeft"/>
              <w:jc w:val="center"/>
            </w:pPr>
            <w:r w:rsidRPr="00027624">
              <w:t>42,700</w:t>
            </w:r>
          </w:p>
        </w:tc>
        <w:tc>
          <w:tcPr>
            <w:tcW w:w="1287" w:type="dxa"/>
          </w:tcPr>
          <w:p w14:paraId="6FB6CFBF" w14:textId="77777777" w:rsidR="00B3792F" w:rsidRPr="00027624" w:rsidRDefault="00B3792F" w:rsidP="00B3792F">
            <w:pPr>
              <w:pStyle w:val="TableTextLeft"/>
              <w:jc w:val="center"/>
            </w:pPr>
            <w:r w:rsidRPr="00027624">
              <w:t>30,500</w:t>
            </w:r>
          </w:p>
        </w:tc>
        <w:tc>
          <w:tcPr>
            <w:tcW w:w="0" w:type="auto"/>
          </w:tcPr>
          <w:p w14:paraId="534CD150" w14:textId="77777777" w:rsidR="00B3792F" w:rsidRPr="00027624" w:rsidRDefault="00B3792F" w:rsidP="00B3792F">
            <w:pPr>
              <w:pStyle w:val="TableTextLeft"/>
              <w:jc w:val="center"/>
            </w:pPr>
            <w:r w:rsidRPr="00027624">
              <w:t>20,700</w:t>
            </w:r>
          </w:p>
        </w:tc>
      </w:tr>
      <w:tr w:rsidR="00B3792F" w:rsidRPr="00027624" w14:paraId="638907EB" w14:textId="77777777" w:rsidTr="00B307FF">
        <w:trPr>
          <w:trHeight w:val="270"/>
        </w:trPr>
        <w:tc>
          <w:tcPr>
            <w:tcW w:w="0" w:type="auto"/>
          </w:tcPr>
          <w:p w14:paraId="33A11809" w14:textId="77777777" w:rsidR="00B3792F" w:rsidRPr="00027624" w:rsidRDefault="00B3792F" w:rsidP="00B3792F">
            <w:pPr>
              <w:pStyle w:val="TableTextLeft"/>
            </w:pPr>
            <w:r w:rsidRPr="00027624">
              <w:t>Renter 2</w:t>
            </w:r>
          </w:p>
        </w:tc>
        <w:tc>
          <w:tcPr>
            <w:tcW w:w="0" w:type="auto"/>
          </w:tcPr>
          <w:p w14:paraId="4623D0E2" w14:textId="77777777" w:rsidR="00B3792F" w:rsidRPr="00027624" w:rsidRDefault="00B3792F" w:rsidP="00B3792F">
            <w:pPr>
              <w:pStyle w:val="TableTextLeft"/>
              <w:jc w:val="center"/>
            </w:pPr>
            <w:r w:rsidRPr="00027624">
              <w:t>0</w:t>
            </w:r>
          </w:p>
        </w:tc>
        <w:tc>
          <w:tcPr>
            <w:tcW w:w="0" w:type="auto"/>
          </w:tcPr>
          <w:p w14:paraId="6711501B" w14:textId="77777777" w:rsidR="00B3792F" w:rsidRPr="00027624" w:rsidRDefault="00B3792F" w:rsidP="00B3792F">
            <w:pPr>
              <w:pStyle w:val="TableTextLeft"/>
              <w:jc w:val="center"/>
            </w:pPr>
            <w:r w:rsidRPr="00027624">
              <w:t>233,300</w:t>
            </w:r>
          </w:p>
        </w:tc>
        <w:tc>
          <w:tcPr>
            <w:tcW w:w="1635" w:type="dxa"/>
          </w:tcPr>
          <w:p w14:paraId="1E3B0C21" w14:textId="77777777" w:rsidR="00B3792F" w:rsidRPr="00027624" w:rsidRDefault="00B3792F" w:rsidP="00B3792F">
            <w:pPr>
              <w:pStyle w:val="TableTextLeft"/>
              <w:jc w:val="center"/>
            </w:pPr>
            <w:r w:rsidRPr="00027624">
              <w:t>222,300</w:t>
            </w:r>
          </w:p>
        </w:tc>
        <w:tc>
          <w:tcPr>
            <w:tcW w:w="1559" w:type="dxa"/>
          </w:tcPr>
          <w:p w14:paraId="5A4D0C2D" w14:textId="77777777" w:rsidR="00B3792F" w:rsidRPr="00027624" w:rsidRDefault="00B3792F" w:rsidP="00B3792F">
            <w:pPr>
              <w:pStyle w:val="TableTextLeft"/>
              <w:jc w:val="center"/>
            </w:pPr>
            <w:r w:rsidRPr="00027624">
              <w:t>42,300</w:t>
            </w:r>
          </w:p>
        </w:tc>
        <w:tc>
          <w:tcPr>
            <w:tcW w:w="1287" w:type="dxa"/>
          </w:tcPr>
          <w:p w14:paraId="58D91168" w14:textId="77777777" w:rsidR="00B3792F" w:rsidRPr="00027624" w:rsidRDefault="00B3792F" w:rsidP="00B3792F">
            <w:pPr>
              <w:pStyle w:val="TableTextLeft"/>
              <w:jc w:val="center"/>
            </w:pPr>
            <w:r w:rsidRPr="00027624">
              <w:t>30,200</w:t>
            </w:r>
          </w:p>
        </w:tc>
        <w:tc>
          <w:tcPr>
            <w:tcW w:w="0" w:type="auto"/>
          </w:tcPr>
          <w:p w14:paraId="1A7DB4AD" w14:textId="77777777" w:rsidR="00B3792F" w:rsidRPr="00027624" w:rsidRDefault="00B3792F" w:rsidP="00B3792F">
            <w:pPr>
              <w:pStyle w:val="TableTextLeft"/>
              <w:jc w:val="center"/>
            </w:pPr>
            <w:r w:rsidRPr="00027624">
              <w:t>25,100</w:t>
            </w:r>
          </w:p>
        </w:tc>
      </w:tr>
    </w:tbl>
    <w:p w14:paraId="1B01AF9E" w14:textId="77777777" w:rsidR="00B3792F" w:rsidRDefault="00B3792F" w:rsidP="00B3792F">
      <w:pPr>
        <w:pStyle w:val="ChartorTableNote"/>
      </w:pPr>
      <w:r w:rsidRPr="00027624">
        <w:t>Note: Values are in 2019</w:t>
      </w:r>
      <w:r w:rsidR="00A8443E" w:rsidRPr="00027624">
        <w:noBreakHyphen/>
      </w:r>
      <w:r w:rsidRPr="00027624">
        <w:t>20 dollars, rounded to the nearest $100. Values are deflated using the review</w:t>
      </w:r>
      <w:r w:rsidR="00A8443E" w:rsidRPr="00027624">
        <w:t>’</w:t>
      </w:r>
      <w:r w:rsidRPr="00027624">
        <w:t xml:space="preserve">s mixed deflator. Housing costs in retirement are assumed to remain proportional to income. Housing costs are calculated by age and tenure type at 28.5 per cent for renters and 5.5 per cent for renters and home owners respectively. See </w:t>
      </w:r>
      <w:r w:rsidRPr="00027624">
        <w:rPr>
          <w:i/>
        </w:rPr>
        <w:t xml:space="preserve">Housing costs </w:t>
      </w:r>
      <w:r w:rsidRPr="00027624">
        <w:t xml:space="preserve">in </w:t>
      </w:r>
      <w:r w:rsidRPr="00027624">
        <w:rPr>
          <w:i/>
        </w:rPr>
        <w:t xml:space="preserve">Appendix 6A: Detailed modelling methods and assumptions </w:t>
      </w:r>
      <w:r w:rsidRPr="00027624">
        <w:t>for details</w:t>
      </w:r>
      <w:r w:rsidRPr="00027624">
        <w:rPr>
          <w:i/>
        </w:rPr>
        <w:t>.</w:t>
      </w:r>
      <w:r w:rsidRPr="00027624">
        <w:t xml:space="preserve"> Age Pension amounts include Commonwealth Rent Assistance. $350,000 is the approximate mode of Age Pension home owners</w:t>
      </w:r>
      <w:r w:rsidR="00A8443E" w:rsidRPr="00027624">
        <w:t>’</w:t>
      </w:r>
      <w:r w:rsidRPr="00027624">
        <w:t xml:space="preserve"> value of home. The relative value of Commonwealth Rent Assistance to the renter</w:t>
      </w:r>
      <w:r w:rsidR="00A8443E" w:rsidRPr="00027624">
        <w:t>’</w:t>
      </w:r>
      <w:r w:rsidRPr="00027624">
        <w:t>s housing costs is assumed to decline because Commonwealth Rent Assistance is indexed to CPI, the growth of which is consistently lower than that of market rents. All three people are single for the purpose of Age Pension receipt and at the 20</w:t>
      </w:r>
      <w:r w:rsidRPr="00027624">
        <w:rPr>
          <w:vertAlign w:val="superscript"/>
        </w:rPr>
        <w:t>th</w:t>
      </w:r>
      <w:r w:rsidRPr="00027624">
        <w:t xml:space="preserve"> income percentile. Renter 1 has savings in other assets that are equivalent to the value of a family home. Renter 2 has reduced savings due to the lack of investment opportunities or a reduced incentive to save in the absence of a savings commitment device. The home owner is assumed to have no assets outside of superannuation other than the family home. Source: Cameo modelling undertaken for the review.</w:t>
      </w:r>
    </w:p>
    <w:p w14:paraId="2ABB13CC" w14:textId="77777777" w:rsidR="00835E24" w:rsidRPr="00027624" w:rsidRDefault="00835E24" w:rsidP="00835E24">
      <w:r w:rsidRPr="00027624">
        <w:lastRenderedPageBreak/>
        <w:t>While both renters have higher incomes in retirement due to receiving income from their non</w:t>
      </w:r>
      <w:r w:rsidRPr="00027624">
        <w:noBreakHyphen/>
        <w:t>housing assets, their disposable incomes after housing costs and the Commonwealth Rent Assistance supplement are lower than the home owner. In particular, the renters receive less Age Pension from the Government over their 25</w:t>
      </w:r>
      <w:r w:rsidRPr="00027624">
        <w:noBreakHyphen/>
        <w:t>year retirement than the home owner.</w:t>
      </w:r>
    </w:p>
    <w:p w14:paraId="65F332F4" w14:textId="77777777" w:rsidR="00835E24" w:rsidRPr="00835E24" w:rsidRDefault="00835E24" w:rsidP="00835E24">
      <w:r w:rsidRPr="00027624">
        <w:t>This results in an inequity in retirement outcomes. The home owner who has more means is less self</w:t>
      </w:r>
      <w:r w:rsidRPr="00027624">
        <w:noBreakHyphen/>
        <w:t>reliant in retirement and draws on more Government support than renters with t</w:t>
      </w:r>
      <w:r>
        <w:t>he same superannuation balance.</w:t>
      </w:r>
    </w:p>
    <w:tbl>
      <w:tblPr>
        <w:tblStyle w:val="TableGrid"/>
        <w:tblpPr w:leftFromText="180" w:rightFromText="180" w:vertAnchor="text" w:horzAnchor="margin" w:tblpY="357"/>
        <w:tblW w:w="5000" w:type="pct"/>
        <w:shd w:val="clear" w:color="auto" w:fill="FFF8EA"/>
        <w:tblLook w:val="04A0" w:firstRow="1" w:lastRow="0" w:firstColumn="1" w:lastColumn="0" w:noHBand="0" w:noVBand="1"/>
      </w:tblPr>
      <w:tblGrid>
        <w:gridCol w:w="9070"/>
      </w:tblGrid>
      <w:tr w:rsidR="00B3792F" w:rsidRPr="00027624" w14:paraId="2F0626DF" w14:textId="77777777" w:rsidTr="00B3792F">
        <w:tc>
          <w:tcPr>
            <w:tcW w:w="5000" w:type="pct"/>
            <w:shd w:val="clear" w:color="auto" w:fill="FFF8EA"/>
          </w:tcPr>
          <w:p w14:paraId="3DF69D2C" w14:textId="77777777" w:rsidR="00B3792F" w:rsidRPr="00027624" w:rsidRDefault="00B3792F" w:rsidP="00582C3E">
            <w:pPr>
              <w:pStyle w:val="BoxHeading"/>
            </w:pPr>
            <w:bookmarkStart w:id="2085" w:name="_Ref40523246"/>
            <w:r w:rsidRPr="00027624">
              <w:t>Exemption of the principal residence from the Age Pension assets test</w:t>
            </w:r>
            <w:bookmarkEnd w:id="2085"/>
          </w:p>
          <w:p w14:paraId="38F8755B" w14:textId="77777777" w:rsidR="00B3792F" w:rsidRPr="00027624" w:rsidRDefault="00B3792F" w:rsidP="00B3792F">
            <w:pPr>
              <w:pStyle w:val="BoxText"/>
            </w:pPr>
            <w:r w:rsidRPr="00027624">
              <w:t>A number of submissions referred to the exemption of the principal residence in the Age Pension assets test. Several called for its removal or adjustment due to the inequities it causes. Other stakeholders argued for it not to be changed due to the disruption and potential income poverty that would result if it was removed.</w:t>
            </w:r>
          </w:p>
          <w:p w14:paraId="2EBAEBC4" w14:textId="77777777" w:rsidR="00B3792F" w:rsidRPr="00027624" w:rsidRDefault="00B3792F" w:rsidP="00B3792F">
            <w:pPr>
              <w:pStyle w:val="BoxText"/>
            </w:pPr>
            <w:r w:rsidRPr="00027624">
              <w:t>Factors to be considered regarding the exemption of the principal residence include:</w:t>
            </w:r>
          </w:p>
          <w:p w14:paraId="53F39186" w14:textId="77777777" w:rsidR="00B3792F" w:rsidRPr="00027624" w:rsidRDefault="00B3792F" w:rsidP="00B3792F">
            <w:pPr>
              <w:pStyle w:val="BoxBullet"/>
            </w:pPr>
            <w:r w:rsidRPr="00027624">
              <w:rPr>
                <w:b/>
              </w:rPr>
              <w:t>Over</w:t>
            </w:r>
            <w:r w:rsidR="00A8443E" w:rsidRPr="00027624">
              <w:rPr>
                <w:b/>
              </w:rPr>
              <w:noBreakHyphen/>
            </w:r>
            <w:r w:rsidRPr="00027624">
              <w:rPr>
                <w:b/>
              </w:rPr>
              <w:t xml:space="preserve">investment in housing. </w:t>
            </w:r>
            <w:r w:rsidRPr="00027624">
              <w:t xml:space="preserve">Exempting the principal residence may incentivise people to put too much money into their home </w:t>
            </w:r>
            <w:sdt>
              <w:sdtPr>
                <w:id w:val="2047012282"/>
                <w:citation/>
              </w:sdtPr>
              <w:sdtEndPr/>
              <w:sdtContent>
                <w:r w:rsidRPr="00027624">
                  <w:fldChar w:fldCharType="begin"/>
                </w:r>
                <w:r w:rsidRPr="00027624">
                  <w:instrText xml:space="preserve">CITATION Pro15 \l 3081 </w:instrText>
                </w:r>
                <w:r w:rsidRPr="00027624">
                  <w:fldChar w:fldCharType="separate"/>
                </w:r>
                <w:r w:rsidR="00E83F6E">
                  <w:rPr>
                    <w:noProof/>
                  </w:rPr>
                  <w:t>(Productivity Commission, 2015a)</w:t>
                </w:r>
                <w:r w:rsidRPr="00027624">
                  <w:fldChar w:fldCharType="end"/>
                </w:r>
              </w:sdtContent>
            </w:sdt>
            <w:r w:rsidRPr="00027624">
              <w:t>, which may not be optimal for the person or the nation. Little evidence is available to determine the effect of this incentive, partly reflecting that other incentives are also at play. There are other reasons effecting people</w:t>
            </w:r>
            <w:r w:rsidR="00A8443E" w:rsidRPr="00027624">
              <w:t>’</w:t>
            </w:r>
            <w:r w:rsidRPr="00027624">
              <w:t>s housing investment decisions during working life, including exemptions from capital gains tax and the non</w:t>
            </w:r>
            <w:r w:rsidR="00A8443E" w:rsidRPr="00027624">
              <w:noBreakHyphen/>
            </w:r>
            <w:r w:rsidRPr="00027624">
              <w:t>monetary factors driving home ownership.</w:t>
            </w:r>
          </w:p>
          <w:p w14:paraId="42229AEB" w14:textId="77777777" w:rsidR="00B3792F" w:rsidRPr="00027624" w:rsidRDefault="00B3792F" w:rsidP="00B3792F">
            <w:pPr>
              <w:pStyle w:val="BoxBullet"/>
              <w:numPr>
                <w:ilvl w:val="0"/>
                <w:numId w:val="0"/>
              </w:numPr>
              <w:ind w:left="284"/>
            </w:pPr>
            <w:r w:rsidRPr="00027624">
              <w:t>The incentive to invest in housing at retirement could become more si</w:t>
            </w:r>
            <w:r w:rsidR="004B28BD" w:rsidRPr="00027624">
              <w:t xml:space="preserve">gnificant in </w:t>
            </w:r>
            <w:r w:rsidRPr="00027624">
              <w:t>future as the superannuation system matures and balances at retirement increase. Those renting or with mortgage debt at retirement could be incentivised to convert their superannuation funds into housing to maximise their Age Pension payment.</w:t>
            </w:r>
          </w:p>
          <w:p w14:paraId="449E1006" w14:textId="77777777" w:rsidR="00B3792F" w:rsidRPr="00027624" w:rsidRDefault="00B3792F" w:rsidP="00B3792F">
            <w:pPr>
              <w:pStyle w:val="BoxBullet"/>
            </w:pPr>
            <w:r w:rsidRPr="00027624">
              <w:rPr>
                <w:b/>
              </w:rPr>
              <w:t xml:space="preserve">Constraining </w:t>
            </w:r>
            <w:r w:rsidR="00A8443E" w:rsidRPr="00027624">
              <w:rPr>
                <w:b/>
              </w:rPr>
              <w:t>‘</w:t>
            </w:r>
            <w:r w:rsidRPr="00027624">
              <w:rPr>
                <w:b/>
              </w:rPr>
              <w:t>right</w:t>
            </w:r>
            <w:r w:rsidR="00A8443E" w:rsidRPr="00027624">
              <w:rPr>
                <w:b/>
              </w:rPr>
              <w:noBreakHyphen/>
            </w:r>
            <w:r w:rsidRPr="00027624">
              <w:rPr>
                <w:b/>
              </w:rPr>
              <w:t>sizing</w:t>
            </w:r>
            <w:r w:rsidR="00A8443E" w:rsidRPr="00027624">
              <w:rPr>
                <w:b/>
              </w:rPr>
              <w:t>’</w:t>
            </w:r>
            <w:r w:rsidRPr="00027624">
              <w:rPr>
                <w:b/>
              </w:rPr>
              <w:t xml:space="preserve"> and equity release. </w:t>
            </w:r>
            <w:r w:rsidRPr="00027624">
              <w:t>Selling or downsizing the family home in retirement to convert home equity into financial assets can reduce a retiree</w:t>
            </w:r>
            <w:r w:rsidR="00A8443E" w:rsidRPr="00027624">
              <w:t>’</w:t>
            </w:r>
            <w:r w:rsidRPr="00027624">
              <w:t>s Age Pension payment due to the assets test. This can deter retirees who may want to move to more suitable accommodation and/or release equity from their home to increase their income. The significance of this disincentive is not clear. Retirees report the impact on Age Pension has a limited effect on their decision to downsize</w:t>
            </w:r>
            <w:sdt>
              <w:sdtPr>
                <w:id w:val="1961379617"/>
                <w:citation/>
              </w:sdtPr>
              <w:sdtEndPr/>
              <w:sdtContent>
                <w:r w:rsidR="00FB2830" w:rsidRPr="00027624">
                  <w:fldChar w:fldCharType="begin"/>
                </w:r>
                <w:r w:rsidR="00FB2830" w:rsidRPr="00027624">
                  <w:instrText xml:space="preserve"> CITATION Pro15 \l 3081 </w:instrText>
                </w:r>
                <w:r w:rsidR="00FB2830" w:rsidRPr="00027624">
                  <w:fldChar w:fldCharType="separate"/>
                </w:r>
                <w:r w:rsidR="00E83F6E">
                  <w:rPr>
                    <w:noProof/>
                  </w:rPr>
                  <w:t xml:space="preserve"> (Productivity Commission, 2015a)</w:t>
                </w:r>
                <w:r w:rsidR="00FB2830" w:rsidRPr="00027624">
                  <w:fldChar w:fldCharType="end"/>
                </w:r>
              </w:sdtContent>
            </w:sdt>
            <w:r w:rsidRPr="00027624">
              <w:t>. Retirees also face significant transaction costs to right</w:t>
            </w:r>
            <w:r w:rsidR="00A8443E" w:rsidRPr="00027624">
              <w:noBreakHyphen/>
            </w:r>
            <w:r w:rsidRPr="00027624">
              <w:t>size, such as moving costs and stamp duty.</w:t>
            </w:r>
          </w:p>
          <w:p w14:paraId="7ED98A2C" w14:textId="77777777" w:rsidR="00B3792F" w:rsidRPr="00027624" w:rsidRDefault="00B3792F" w:rsidP="00B3792F">
            <w:pPr>
              <w:pStyle w:val="BoxText"/>
            </w:pPr>
            <w:r w:rsidRPr="00027624">
              <w:t>At present, the majority of age pensioners are home owners, so removing the assets test exemption for housing could have a significant impact on the adequacy of retirement outcomes.</w:t>
            </w:r>
          </w:p>
          <w:p w14:paraId="7A96AB93" w14:textId="77777777" w:rsidR="00B3792F" w:rsidRPr="00027624" w:rsidRDefault="00B3792F" w:rsidP="00B3792F">
            <w:pPr>
              <w:pStyle w:val="BoxText"/>
            </w:pPr>
            <w:r w:rsidRPr="00027624">
              <w:t>Maintaining the exemption, but including a high</w:t>
            </w:r>
            <w:r w:rsidR="00A8443E" w:rsidRPr="00027624">
              <w:noBreakHyphen/>
            </w:r>
            <w:r w:rsidRPr="00027624">
              <w:t>value cap, could reduce inequitable outcomes. It would have a limited effect on Age Pension expenditure and would reduce incentives to invest in housing among those affected. Studies found that even setting a cap at the median home value would not affect the majority of age pensioners whose pension is determined by the income test, rather than the assets test</w:t>
            </w:r>
            <w:sdt>
              <w:sdtPr>
                <w:id w:val="-171956543"/>
                <w:citation/>
              </w:sdtPr>
              <w:sdtEndPr/>
              <w:sdtContent>
                <w:r w:rsidRPr="00027624">
                  <w:fldChar w:fldCharType="begin"/>
                </w:r>
                <w:r w:rsidRPr="00027624">
                  <w:instrText xml:space="preserve">CITATION Pro15 \l 3081 </w:instrText>
                </w:r>
                <w:r w:rsidRPr="00027624">
                  <w:fldChar w:fldCharType="separate"/>
                </w:r>
                <w:r w:rsidR="00E83F6E">
                  <w:rPr>
                    <w:noProof/>
                  </w:rPr>
                  <w:t xml:space="preserve"> (Productivity Commission, 2015a)</w:t>
                </w:r>
                <w:r w:rsidRPr="00027624">
                  <w:fldChar w:fldCharType="end"/>
                </w:r>
              </w:sdtContent>
            </w:sdt>
            <w:r w:rsidRPr="00027624">
              <w:t>. This reflects that most age pensioners currently have few assets outside their principal residence.</w:t>
            </w:r>
          </w:p>
          <w:p w14:paraId="01410E55" w14:textId="77777777" w:rsidR="00B3792F" w:rsidRPr="00027624" w:rsidRDefault="00B3792F" w:rsidP="00B3792F">
            <w:pPr>
              <w:pStyle w:val="BoxText"/>
            </w:pPr>
            <w:r w:rsidRPr="00027624">
              <w:t xml:space="preserve">Including the full value of the home in the Age Pension assets test would remove the inequities between renters and home owners and remove the incentive to invest in housing due to the exemption. However, </w:t>
            </w:r>
            <w:r w:rsidRPr="00027624" w:rsidDel="009A3216">
              <w:t>i</w:t>
            </w:r>
            <w:r w:rsidRPr="00027624">
              <w:t>t would have significant adequacy impacts on retirees. Channels to</w:t>
            </w:r>
            <w:r w:rsidR="004B28BD" w:rsidRPr="00027624">
              <w:t xml:space="preserve"> mitigate this impact include </w:t>
            </w:r>
            <w:r w:rsidRPr="00027624">
              <w:t>changes to the rate of Age Pension or providing increased access to equity release (e.g. the Pension Loans Scheme).</w:t>
            </w:r>
          </w:p>
          <w:p w14:paraId="37CF83F5" w14:textId="233CC779" w:rsidR="00B3792F" w:rsidRPr="00027624" w:rsidRDefault="00B3792F" w:rsidP="004B28BD">
            <w:pPr>
              <w:pStyle w:val="BoxText"/>
            </w:pPr>
            <w:r w:rsidRPr="00027624">
              <w:t>The ine</w:t>
            </w:r>
            <w:r w:rsidR="004B28BD" w:rsidRPr="00027624">
              <w:t>quity</w:t>
            </w:r>
            <w:r w:rsidRPr="00027624">
              <w:t xml:space="preserve"> of maintaining the assets exemption will change over time. The possible decline in home ownership among older people will mean more enter retirement as renters. As the superannuation system matures, future renters are expected to enter retirement with more assets and will be more likely to have their Age Pension entitlement determined by the assets test. If this occurs, the unequal distribution of Government support shown in </w:t>
            </w:r>
            <w:r w:rsidRPr="00027624">
              <w:fldChar w:fldCharType="begin"/>
            </w:r>
            <w:r w:rsidRPr="00027624">
              <w:instrText xml:space="preserve"> REF _Ref37881409 \r \h  \* MERGEFORMAT </w:instrText>
            </w:r>
            <w:r w:rsidRPr="00027624">
              <w:fldChar w:fldCharType="separate"/>
            </w:r>
            <w:r w:rsidR="00891058">
              <w:t>Table 3C-3</w:t>
            </w:r>
            <w:r w:rsidRPr="00027624">
              <w:fldChar w:fldCharType="end"/>
            </w:r>
            <w:r w:rsidRPr="00027624">
              <w:t xml:space="preserve"> will increase under the existing assets test exemption.</w:t>
            </w:r>
          </w:p>
        </w:tc>
      </w:tr>
    </w:tbl>
    <w:p w14:paraId="1A0E084A" w14:textId="77777777" w:rsidR="00B3792F" w:rsidRPr="00027624" w:rsidRDefault="00B3792F" w:rsidP="00B3792F">
      <w:pPr>
        <w:pStyle w:val="Heading2"/>
      </w:pPr>
      <w:bookmarkStart w:id="2086" w:name="_Toc40366149"/>
      <w:bookmarkStart w:id="2087" w:name="_Toc40369695"/>
      <w:bookmarkStart w:id="2088" w:name="_Toc40427665"/>
      <w:bookmarkStart w:id="2089" w:name="_Toc40458104"/>
      <w:bookmarkStart w:id="2090" w:name="_Toc40461873"/>
      <w:bookmarkStart w:id="2091" w:name="_Toc40474428"/>
      <w:bookmarkStart w:id="2092" w:name="_Toc40477957"/>
      <w:bookmarkStart w:id="2093" w:name="_Toc40521537"/>
      <w:bookmarkStart w:id="2094" w:name="_Toc40530396"/>
      <w:bookmarkStart w:id="2095" w:name="_Toc42778823"/>
      <w:bookmarkStart w:id="2096" w:name="_Toc42779963"/>
      <w:bookmarkStart w:id="2097" w:name="_Toc42780392"/>
      <w:bookmarkStart w:id="2098" w:name="_Toc42786382"/>
      <w:bookmarkStart w:id="2099" w:name="_Toc42791875"/>
      <w:bookmarkStart w:id="2100" w:name="_Toc42792037"/>
      <w:bookmarkStart w:id="2101" w:name="_Toc43117844"/>
      <w:bookmarkStart w:id="2102" w:name="_Toc43121483"/>
      <w:bookmarkStart w:id="2103" w:name="_Toc43122688"/>
      <w:bookmarkStart w:id="2104" w:name="_Toc43127743"/>
      <w:bookmarkStart w:id="2105" w:name="_Toc45520506"/>
      <w:bookmarkStart w:id="2106" w:name="_Toc46133617"/>
      <w:r w:rsidRPr="00027624">
        <w:lastRenderedPageBreak/>
        <w:t>Distribution of Age Pension expenditure</w:t>
      </w:r>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p>
    <w:p w14:paraId="2760B91B" w14:textId="77777777" w:rsidR="00B3792F" w:rsidRPr="00027624" w:rsidRDefault="00B3792F" w:rsidP="00B3792F">
      <w:r w:rsidRPr="00027624">
        <w:t xml:space="preserve">For most Australians, the principal residence is their primary savings asset (see </w:t>
      </w:r>
      <w:r w:rsidRPr="00027624">
        <w:rPr>
          <w:i/>
        </w:rPr>
        <w:t>1B. Design of Australia</w:t>
      </w:r>
      <w:r w:rsidR="00A8443E" w:rsidRPr="00027624">
        <w:rPr>
          <w:i/>
        </w:rPr>
        <w:t>’</w:t>
      </w:r>
      <w:r w:rsidRPr="00027624">
        <w:rPr>
          <w:i/>
        </w:rPr>
        <w:t>s retirement income system</w:t>
      </w:r>
      <w:r w:rsidRPr="00027624">
        <w:t xml:space="preserve">). </w:t>
      </w:r>
    </w:p>
    <w:p w14:paraId="44A9F974" w14:textId="0DE2395C" w:rsidR="00B3792F" w:rsidRPr="00027624" w:rsidRDefault="00B3792F" w:rsidP="00B3792F">
      <w:r w:rsidRPr="00027624">
        <w:t>Many current retirees spent the majority of their working life without compulsory superannuation. As a result, despite having significant housing wealth, many home</w:t>
      </w:r>
      <w:r w:rsidR="00A8443E" w:rsidRPr="00027624">
        <w:noBreakHyphen/>
      </w:r>
      <w:r w:rsidRPr="00027624">
        <w:t>owning retirees have little voluntary savings or superannuation when they retire.</w:t>
      </w:r>
      <w:r w:rsidRPr="00027624">
        <w:rPr>
          <w:rStyle w:val="FootnoteReference"/>
        </w:rPr>
        <w:footnoteReference w:id="171"/>
      </w:r>
      <w:r w:rsidRPr="00027624">
        <w:t xml:space="preserve"> Given the exemption of the principal residence reduces their assets assessable under the Age Pension assets test, a large number of home owners are relying on the Age Pension (</w:t>
      </w:r>
      <w:r w:rsidRPr="00027624">
        <w:fldChar w:fldCharType="begin"/>
      </w:r>
      <w:r w:rsidRPr="00027624">
        <w:instrText xml:space="preserve"> REF _Ref40194640 \r \h  \* MERGEFORMAT </w:instrText>
      </w:r>
      <w:r w:rsidRPr="00027624">
        <w:fldChar w:fldCharType="separate"/>
      </w:r>
      <w:r w:rsidR="00891058">
        <w:t>Chart 3C-3</w:t>
      </w:r>
      <w:r w:rsidRPr="00027624">
        <w:fldChar w:fldCharType="end"/>
      </w:r>
      <w:r w:rsidRPr="00027624">
        <w:t>).</w:t>
      </w:r>
    </w:p>
    <w:p w14:paraId="47D3BD45" w14:textId="77777777" w:rsidR="00B3792F" w:rsidRPr="00027624" w:rsidRDefault="00B3792F" w:rsidP="00582C3E">
      <w:pPr>
        <w:pStyle w:val="ChartMainHeading"/>
      </w:pPr>
      <w:bookmarkStart w:id="2107" w:name="_Ref39985642"/>
      <w:bookmarkStart w:id="2108" w:name="_Ref40517207"/>
      <w:bookmarkStart w:id="2109" w:name="_Ref40194640"/>
      <w:r w:rsidRPr="00027624">
        <w:t>Number of age pensioners, by value of the principal residence</w:t>
      </w:r>
      <w:bookmarkEnd w:id="2107"/>
      <w:bookmarkEnd w:id="2108"/>
    </w:p>
    <w:bookmarkEnd w:id="2109"/>
    <w:p w14:paraId="2110C9A6" w14:textId="77777777" w:rsidR="00B3792F" w:rsidRPr="00027624" w:rsidRDefault="00147016" w:rsidP="00B3792F">
      <w:pPr>
        <w:pStyle w:val="ChartGraphic"/>
      </w:pPr>
      <w:r>
        <w:rPr>
          <w:noProof/>
        </w:rPr>
        <w:drawing>
          <wp:inline distT="0" distB="0" distL="0" distR="0" wp14:anchorId="6E1F5232" wp14:editId="42A12E84">
            <wp:extent cx="5760720" cy="2514600"/>
            <wp:effectExtent l="0" t="0" r="0" b="0"/>
            <wp:docPr id="2099192800" name="Picture 2099192800" descr="This chart shows that regardless of the value of the age pensioner’s principal residence, they are roughly equally likely to be on the full-rate or part rate of the Age Pension. Just under 200,000 age pensioners have homes worth over $1 million. " title="Chart 3C-3 Number of age pensioners, by value of the principal res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60720" cy="2514600"/>
                    </a:xfrm>
                    <a:prstGeom prst="rect">
                      <a:avLst/>
                    </a:prstGeom>
                    <a:noFill/>
                  </pic:spPr>
                </pic:pic>
              </a:graphicData>
            </a:graphic>
          </wp:inline>
        </w:drawing>
      </w:r>
    </w:p>
    <w:p w14:paraId="1C14A705" w14:textId="77777777" w:rsidR="00B3792F" w:rsidRPr="00027624" w:rsidRDefault="00B3792F" w:rsidP="00B3792F">
      <w:pPr>
        <w:pStyle w:val="ChartorTableNote"/>
      </w:pPr>
      <w:r w:rsidRPr="00027624">
        <w:t xml:space="preserve">Note: Horizontal axis labels indicate home values up to that amount (i.e. $200,000 includes homes worth more than $100,000 up to $200,000). </w:t>
      </w:r>
      <w:r w:rsidR="00A8443E" w:rsidRPr="00027624">
        <w:t>‘</w:t>
      </w:r>
      <w:r w:rsidRPr="00027624">
        <w:t>Full</w:t>
      </w:r>
      <w:r w:rsidR="00A8443E" w:rsidRPr="00027624">
        <w:noBreakHyphen/>
      </w:r>
      <w:r w:rsidRPr="00027624">
        <w:t>rate</w:t>
      </w:r>
      <w:r w:rsidR="00A8443E" w:rsidRPr="00027624">
        <w:t>’</w:t>
      </w:r>
      <w:r w:rsidRPr="00027624">
        <w:t xml:space="preserve"> indicates a person receiving a full</w:t>
      </w:r>
      <w:r w:rsidR="00A8443E" w:rsidRPr="00027624">
        <w:noBreakHyphen/>
      </w:r>
      <w:r w:rsidRPr="00027624">
        <w:t xml:space="preserve">rate Age Pension; </w:t>
      </w:r>
      <w:r w:rsidR="00A8443E" w:rsidRPr="00027624">
        <w:t>‘</w:t>
      </w:r>
      <w:r w:rsidRPr="00027624">
        <w:t>part</w:t>
      </w:r>
      <w:r w:rsidR="00A8443E" w:rsidRPr="00027624">
        <w:noBreakHyphen/>
      </w:r>
      <w:r w:rsidRPr="00027624">
        <w:t>rate</w:t>
      </w:r>
      <w:r w:rsidR="00A8443E" w:rsidRPr="00027624">
        <w:t>’</w:t>
      </w:r>
      <w:r w:rsidRPr="00027624">
        <w:t xml:space="preserve"> means a person is either asset</w:t>
      </w:r>
      <w:r w:rsidR="00A8443E" w:rsidRPr="00027624">
        <w:noBreakHyphen/>
      </w:r>
      <w:r w:rsidRPr="00027624">
        <w:t xml:space="preserve"> or income</w:t>
      </w:r>
      <w:r w:rsidR="00A8443E" w:rsidRPr="00027624">
        <w:noBreakHyphen/>
      </w:r>
      <w:r w:rsidRPr="00027624">
        <w:t>tested. Source: Department of Social Services ana</w:t>
      </w:r>
      <w:r w:rsidR="00A52CE5">
        <w:t>lysis of payment data, June 2018</w:t>
      </w:r>
      <w:r w:rsidRPr="00027624">
        <w:t>.</w:t>
      </w:r>
    </w:p>
    <w:p w14:paraId="5F5829C1" w14:textId="531B1F8A" w:rsidR="00B3792F" w:rsidRPr="00027624" w:rsidRDefault="00B3792F" w:rsidP="00B3792F">
      <w:r w:rsidRPr="00027624">
        <w:t>Around 63 per cent</w:t>
      </w:r>
      <w:r w:rsidRPr="00027624" w:rsidDel="009E5CC2">
        <w:t xml:space="preserve"> </w:t>
      </w:r>
      <w:r w:rsidRPr="00027624">
        <w:t>of home owners receiving the Age Pension have assessable assets below the full</w:t>
      </w:r>
      <w:r w:rsidR="00A8443E" w:rsidRPr="00027624">
        <w:noBreakHyphen/>
      </w:r>
      <w:r w:rsidRPr="00027624">
        <w:t>rate threshold.</w:t>
      </w:r>
      <w:r w:rsidRPr="00027624">
        <w:rPr>
          <w:rStyle w:val="FootnoteReference"/>
        </w:rPr>
        <w:footnoteReference w:id="172"/>
      </w:r>
      <w:r w:rsidRPr="00027624">
        <w:t xml:space="preserve"> The median value of assessable assets does not seem to vary proportionately with the value of the retiree</w:t>
      </w:r>
      <w:r w:rsidR="00A8443E" w:rsidRPr="00027624">
        <w:t>’</w:t>
      </w:r>
      <w:r w:rsidRPr="00027624">
        <w:t>s principal residence (</w:t>
      </w:r>
      <w:r w:rsidRPr="00027624">
        <w:fldChar w:fldCharType="begin"/>
      </w:r>
      <w:r w:rsidRPr="00027624">
        <w:instrText xml:space="preserve"> REF _Ref40175019 \r \h  \* MERGEFORMAT </w:instrText>
      </w:r>
      <w:r w:rsidRPr="00027624">
        <w:fldChar w:fldCharType="separate"/>
      </w:r>
      <w:r w:rsidR="00891058">
        <w:t>Chart 3C-4</w:t>
      </w:r>
      <w:r w:rsidRPr="00027624">
        <w:fldChar w:fldCharType="end"/>
      </w:r>
      <w:r w:rsidRPr="00027624">
        <w:t>).</w:t>
      </w:r>
    </w:p>
    <w:p w14:paraId="5446C121" w14:textId="77777777" w:rsidR="00B3792F" w:rsidRPr="00027624" w:rsidRDefault="00B3792F" w:rsidP="00582C3E">
      <w:pPr>
        <w:pStyle w:val="ChartMainHeading"/>
        <w:rPr>
          <w:noProof/>
        </w:rPr>
      </w:pPr>
      <w:bookmarkStart w:id="2110" w:name="_Ref40152458"/>
      <w:bookmarkStart w:id="2111" w:name="_Ref40175019"/>
      <w:r w:rsidRPr="00027624">
        <w:lastRenderedPageBreak/>
        <w:t>Median assessable assets of home owners receiving the Age Pension</w:t>
      </w:r>
      <w:bookmarkEnd w:id="2110"/>
    </w:p>
    <w:p w14:paraId="396BFE08" w14:textId="77777777" w:rsidR="00B3792F" w:rsidRPr="00027624" w:rsidRDefault="00147016" w:rsidP="00B3792F">
      <w:pPr>
        <w:pStyle w:val="ChartGraphic"/>
        <w:rPr>
          <w:noProof/>
        </w:rPr>
      </w:pPr>
      <w:r>
        <w:rPr>
          <w:noProof/>
        </w:rPr>
        <w:drawing>
          <wp:inline distT="0" distB="0" distL="0" distR="0" wp14:anchorId="3C825C97" wp14:editId="7026D023">
            <wp:extent cx="5760720" cy="2567940"/>
            <wp:effectExtent l="0" t="0" r="0" b="3810"/>
            <wp:docPr id="2099192802" name="Picture 2099192802" descr="This chart shows the median value of assessable assets of home owners receiving the Age Pension. Those with higher value homes have more assets than those with lower value homes (a trend stronger for couples than singles). However, those with higher value homes still have average assets below the assets test free areas. The median assessable assets for a single age pensioner with a home worth $100,000 is $50,000, compared to assets of $100,000 for a single age pensioner with a home worth over $1.1 million. For couples, the comparable assessable assets are just over $100,000 and just under $250,000. " title="Chart 3C-4 Median assessable assets of home owners receiving the Age P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60720" cy="2567940"/>
                    </a:xfrm>
                    <a:prstGeom prst="rect">
                      <a:avLst/>
                    </a:prstGeom>
                    <a:noFill/>
                  </pic:spPr>
                </pic:pic>
              </a:graphicData>
            </a:graphic>
          </wp:inline>
        </w:drawing>
      </w:r>
    </w:p>
    <w:bookmarkEnd w:id="2111"/>
    <w:p w14:paraId="7EFD5A16" w14:textId="77777777" w:rsidR="00B3792F" w:rsidRPr="00027624" w:rsidRDefault="00B3792F" w:rsidP="00B3792F">
      <w:pPr>
        <w:pStyle w:val="ChartorTableNote"/>
      </w:pPr>
      <w:r w:rsidRPr="00027624">
        <w:t>Note: Total assessable assets include all assets recorded for the purpose of the Age Pension assets test. Source: Department of Social Services ana</w:t>
      </w:r>
      <w:r w:rsidR="00B8487B">
        <w:t>lysis of payment data, June 2018</w:t>
      </w:r>
      <w:r w:rsidRPr="00027624">
        <w:t>.</w:t>
      </w:r>
    </w:p>
    <w:p w14:paraId="5875EE62" w14:textId="77777777" w:rsidR="00B3792F" w:rsidRPr="00027624" w:rsidRDefault="00B3792F" w:rsidP="00B3792F">
      <w:pPr>
        <w:spacing w:before="240"/>
        <w:rPr>
          <w:b/>
        </w:rPr>
      </w:pPr>
      <w:r w:rsidRPr="00027624">
        <w:t xml:space="preserve">Because equity in the principal residence represents the largest share of net wealth for Australians aged 65 and over on average and is exempted from the Age Pension assets test, </w:t>
      </w:r>
      <w:r w:rsidRPr="00027624">
        <w:rPr>
          <w:b/>
        </w:rPr>
        <w:t>the distribution of Age Pension expenditure is less skewed to lower</w:t>
      </w:r>
      <w:r w:rsidR="00A8443E" w:rsidRPr="00027624">
        <w:rPr>
          <w:b/>
        </w:rPr>
        <w:noBreakHyphen/>
      </w:r>
      <w:r w:rsidRPr="00027624">
        <w:rPr>
          <w:b/>
        </w:rPr>
        <w:t xml:space="preserve">wealth quintiles </w:t>
      </w:r>
      <w:r w:rsidRPr="00027624">
        <w:rPr>
          <w:b/>
          <w:bCs/>
        </w:rPr>
        <w:t>than</w:t>
      </w:r>
      <w:r w:rsidRPr="00027624">
        <w:rPr>
          <w:b/>
        </w:rPr>
        <w:t xml:space="preserve"> Commonwealth Rent Assistance expenditure.</w:t>
      </w:r>
    </w:p>
    <w:p w14:paraId="3F471120" w14:textId="5600567E" w:rsidR="00B3792F" w:rsidRPr="00027624" w:rsidRDefault="00B3792F" w:rsidP="00B3792F">
      <w:r w:rsidRPr="00027624">
        <w:t>In 2017</w:t>
      </w:r>
      <w:r w:rsidR="00A8443E" w:rsidRPr="00027624">
        <w:noBreakHyphen/>
      </w:r>
      <w:r w:rsidRPr="00027624">
        <w:t>18, about 20 per cent of Age Pension expenditure went to the top two wealth quintiles (</w:t>
      </w:r>
      <w:r w:rsidRPr="00027624">
        <w:fldChar w:fldCharType="begin"/>
      </w:r>
      <w:r w:rsidRPr="00027624">
        <w:instrText xml:space="preserve"> REF _Ref39790768 \r \h  \* MERGEFORMAT </w:instrText>
      </w:r>
      <w:r w:rsidRPr="00027624">
        <w:fldChar w:fldCharType="separate"/>
      </w:r>
      <w:r w:rsidR="00891058">
        <w:t>Chart 3C-5</w:t>
      </w:r>
      <w:r w:rsidRPr="00027624">
        <w:fldChar w:fldCharType="end"/>
      </w:r>
      <w:r w:rsidRPr="00027624">
        <w:t>). In contrast, in 2017</w:t>
      </w:r>
      <w:r w:rsidR="00A8443E" w:rsidRPr="00027624">
        <w:noBreakHyphen/>
      </w:r>
      <w:r w:rsidRPr="00027624">
        <w:t>18, about 90 per cent of the Commonwealth Rent Assistance expenditure went to the bottom wealth quintile, reflecting that renting retirees tend to have lower after</w:t>
      </w:r>
      <w:r w:rsidR="00A8443E" w:rsidRPr="00027624">
        <w:noBreakHyphen/>
      </w:r>
      <w:r w:rsidRPr="00027624">
        <w:t>housing disposable income and wealth.</w:t>
      </w:r>
    </w:p>
    <w:p w14:paraId="2468C534" w14:textId="77777777" w:rsidR="00B3792F" w:rsidRPr="00027624" w:rsidRDefault="00B3792F" w:rsidP="00582C3E">
      <w:pPr>
        <w:pStyle w:val="ChartMainHeading"/>
      </w:pPr>
      <w:bookmarkStart w:id="2112" w:name="_Ref39790768"/>
      <w:r w:rsidRPr="00027624">
        <w:t>Government support for retired households, by wealth quintile</w:t>
      </w:r>
      <w:bookmarkEnd w:id="2112"/>
    </w:p>
    <w:p w14:paraId="626227CB" w14:textId="77777777" w:rsidR="00B3792F" w:rsidRPr="00027624" w:rsidRDefault="00147016" w:rsidP="00B3792F">
      <w:pPr>
        <w:pStyle w:val="ChartGraphic"/>
      </w:pPr>
      <w:r>
        <w:rPr>
          <w:noProof/>
        </w:rPr>
        <w:drawing>
          <wp:inline distT="0" distB="0" distL="0" distR="0" wp14:anchorId="1C0BD344" wp14:editId="0CB4979F">
            <wp:extent cx="5577840" cy="2522220"/>
            <wp:effectExtent l="0" t="0" r="3810" b="0"/>
            <wp:docPr id="2099192804" name="Picture 2099192804" descr="This chart shows that around 30 per cent of Commonwealth pension expenditure for retired households is delivered to the 1st wealth quintile, with around a further 30 per cent delivered to the 2nd wealth quintile and around a further 20 per cent delivered to the 3rd wealth quintile. Around 90 per cent of Commonwealth Rent Assistance is delivered to those in the first wealth quintile.  " title="Chart 3C-5 Government support for retired households, by wealth qui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A9D70A8" w14:textId="77777777" w:rsidR="00B3792F" w:rsidRPr="00027624" w:rsidRDefault="00B3792F" w:rsidP="00B3792F">
      <w:pPr>
        <w:pStyle w:val="ChartorTableNote"/>
      </w:pPr>
      <w:r w:rsidRPr="00027624">
        <w:t>Note: Commonwealth pension expenditure includes all pension payments (</w:t>
      </w:r>
      <w:r w:rsidR="00AD6E8A" w:rsidRPr="00027624">
        <w:t xml:space="preserve">e.g. </w:t>
      </w:r>
      <w:r w:rsidRPr="00027624">
        <w:t>Age Pension, Disability Support Pension, Carer Payment and Vete</w:t>
      </w:r>
      <w:r w:rsidR="00AD6E8A" w:rsidRPr="00027624">
        <w:t>ran</w:t>
      </w:r>
      <w:r w:rsidRPr="00027624">
        <w:t>s</w:t>
      </w:r>
      <w:r w:rsidR="00A8443E" w:rsidRPr="00027624">
        <w:t>’</w:t>
      </w:r>
      <w:r w:rsidRPr="00027624">
        <w:t xml:space="preserve"> pensions). The Age Pension represents the majority of the expenditure. Source: </w:t>
      </w:r>
      <w:r w:rsidR="00FB2830" w:rsidRPr="00027624">
        <w:t>Analysis of ABS Survey of Income and Housing Confidentialised Unit Record File, 2017-18.</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14259AC8" w14:textId="77777777" w:rsidTr="00B3792F">
        <w:trPr>
          <w:cantSplit/>
        </w:trPr>
        <w:tc>
          <w:tcPr>
            <w:tcW w:w="5000" w:type="pct"/>
            <w:shd w:val="clear" w:color="auto" w:fill="FFF8EA"/>
          </w:tcPr>
          <w:p w14:paraId="34F7DC09" w14:textId="77777777" w:rsidR="00B3792F" w:rsidRPr="00027624" w:rsidRDefault="00B3792F" w:rsidP="00582C3E">
            <w:pPr>
              <w:pStyle w:val="BoxHeading"/>
              <w:keepLines/>
              <w:pageBreakBefore/>
            </w:pPr>
            <w:r w:rsidRPr="00027624">
              <w:lastRenderedPageBreak/>
              <w:t>Impact of changes to certain policy settings on the retirement outcomes of home owners and renters</w:t>
            </w:r>
          </w:p>
          <w:p w14:paraId="23C11A8A" w14:textId="77777777" w:rsidR="00B3792F" w:rsidRPr="00027624" w:rsidRDefault="00B3792F" w:rsidP="00B3792F">
            <w:pPr>
              <w:pStyle w:val="BoxText"/>
              <w:keepNext/>
              <w:keepLines/>
            </w:pPr>
            <w:r w:rsidRPr="00027624">
              <w:t>Several submissions proposed policy changes to narrow the gaps in retirement outcomes between home owners and renters. The following summary outlines some implications of some of those proposals.</w:t>
            </w:r>
          </w:p>
          <w:p w14:paraId="4223EEBC" w14:textId="77777777" w:rsidR="00B3792F" w:rsidRPr="00027624" w:rsidRDefault="00B3792F" w:rsidP="00B3792F">
            <w:pPr>
              <w:pStyle w:val="BoxBullet"/>
            </w:pPr>
            <w:r w:rsidRPr="00027624">
              <w:rPr>
                <w:b/>
                <w:bCs/>
              </w:rPr>
              <w:t>Include the principal residence in the Age Pension assets test</w:t>
            </w:r>
            <w:r w:rsidRPr="00027624">
              <w:rPr>
                <w:b/>
              </w:rPr>
              <w:t>.</w:t>
            </w:r>
            <w:r w:rsidRPr="00027624">
              <w:t xml:space="preserve"> Age pensioners with housing assets would no longer receive the Age Pension or receive less Age Pension. This would encourage people to release home equity to fund their retirement and reduce the cost of the Age Pension. This would also help ensure the Age Pension is acting as a safety net for those in need</w:t>
            </w:r>
            <w:sdt>
              <w:sdtPr>
                <w:id w:val="75257018"/>
                <w:citation/>
              </w:sdtPr>
              <w:sdtEndPr/>
              <w:sdtContent>
                <w:r w:rsidRPr="00027624">
                  <w:fldChar w:fldCharType="begin"/>
                </w:r>
                <w:r w:rsidRPr="00027624">
                  <w:instrText xml:space="preserve">CITATION Cow15 \l 3081 </w:instrText>
                </w:r>
                <w:r w:rsidRPr="00027624">
                  <w:fldChar w:fldCharType="separate"/>
                </w:r>
                <w:r w:rsidR="00E83F6E">
                  <w:rPr>
                    <w:noProof/>
                  </w:rPr>
                  <w:t xml:space="preserve"> (Cowan &amp; Taylor, 2015)</w:t>
                </w:r>
                <w:r w:rsidRPr="00027624">
                  <w:fldChar w:fldCharType="end"/>
                </w:r>
              </w:sdtContent>
            </w:sdt>
            <w:r w:rsidRPr="00027624">
              <w:t>. Depending on how the home was included in the Age Pension assets test it could have significant adequacy impacts on retirees.</w:t>
            </w:r>
          </w:p>
          <w:p w14:paraId="778A6A86" w14:textId="77777777" w:rsidR="00B3792F" w:rsidRPr="00027624" w:rsidRDefault="00B3792F" w:rsidP="00B3792F">
            <w:pPr>
              <w:pStyle w:val="BoxBullet"/>
            </w:pPr>
            <w:r w:rsidRPr="00027624">
              <w:rPr>
                <w:b/>
                <w:bCs/>
              </w:rPr>
              <w:t>Increase Commonwealth Rent Assistance</w:t>
            </w:r>
            <w:r w:rsidRPr="00027624">
              <w:rPr>
                <w:b/>
              </w:rPr>
              <w:t>.</w:t>
            </w:r>
            <w:r w:rsidRPr="00027624">
              <w:t xml:space="preserve"> Increasing rent assistance would benefit retirees who are most likely to be in financial stress and poverty (see </w:t>
            </w:r>
            <w:r w:rsidRPr="00027624">
              <w:rPr>
                <w:i/>
              </w:rPr>
              <w:t>2A. Achieving a minimum standard of living in retirement</w:t>
            </w:r>
            <w:r w:rsidRPr="00027624">
              <w:t>). However, even large increases to Commonwealth Rent Assistance would not be sufficient to significantly improve retirement outcomes for renters. This reflects the depth of poverty the majority of renters face and that Commonwealth Rent Assistance, even</w:t>
            </w:r>
            <w:r w:rsidR="006E7582" w:rsidRPr="00027624">
              <w:t xml:space="preserve"> if it</w:t>
            </w:r>
            <w:r w:rsidRPr="00027624">
              <w:t xml:space="preserve"> increased by 40 per cent, is a fraction of the additional housing costs faced by retiree renters. Commonwealth Rent Assistance is limited in its ability to deliver adequacy outcomes for renters comparable to those achieved by home owners. More holistic consideration of how to provide income support for renters in retirement is required (see </w:t>
            </w:r>
            <w:r w:rsidRPr="00027624">
              <w:rPr>
                <w:i/>
              </w:rPr>
              <w:t>2B. Policy scenario: Implications of increasing Commonwealth Rent Assistance</w:t>
            </w:r>
            <w:r w:rsidRPr="00027624">
              <w:t>).</w:t>
            </w:r>
          </w:p>
        </w:tc>
      </w:tr>
    </w:tbl>
    <w:p w14:paraId="01AFA721" w14:textId="77777777" w:rsidR="001B6C0B" w:rsidRPr="00027624" w:rsidRDefault="001B6C0B" w:rsidP="00B3792F">
      <w:pPr>
        <w:spacing w:before="0" w:after="160" w:line="259" w:lineRule="auto"/>
        <w:rPr>
          <w:sz w:val="18"/>
        </w:rPr>
        <w:sectPr w:rsidR="001B6C0B" w:rsidRPr="00027624" w:rsidSect="001B6C0B">
          <w:type w:val="oddPage"/>
          <w:pgSz w:w="11906" w:h="16838" w:code="9"/>
          <w:pgMar w:top="1418" w:right="1418" w:bottom="1418" w:left="1418" w:header="709" w:footer="709" w:gutter="0"/>
          <w:cols w:space="708"/>
          <w:titlePg/>
          <w:docGrid w:linePitch="360"/>
        </w:sectPr>
      </w:pPr>
    </w:p>
    <w:p w14:paraId="4AAB4081" w14:textId="77777777" w:rsidR="00B3792F" w:rsidRPr="00027624" w:rsidRDefault="006555B5" w:rsidP="00582C3E">
      <w:pPr>
        <w:pStyle w:val="Heading1"/>
        <w:pageBreakBefore/>
      </w:pPr>
      <w:bookmarkStart w:id="2113" w:name="_Toc34643883"/>
      <w:bookmarkStart w:id="2114" w:name="_Toc40297440"/>
      <w:bookmarkStart w:id="2115" w:name="_Ref40303453"/>
      <w:bookmarkStart w:id="2116" w:name="_Ref40305501"/>
      <w:bookmarkStart w:id="2117" w:name="_Ref40310777"/>
      <w:bookmarkStart w:id="2118" w:name="_Toc40366150"/>
      <w:bookmarkStart w:id="2119" w:name="_Toc40369696"/>
      <w:bookmarkStart w:id="2120" w:name="_Toc40427666"/>
      <w:bookmarkStart w:id="2121" w:name="_Toc40458105"/>
      <w:bookmarkStart w:id="2122" w:name="_Toc40461874"/>
      <w:bookmarkStart w:id="2123" w:name="_Toc40474429"/>
      <w:bookmarkStart w:id="2124" w:name="_Toc40477958"/>
      <w:bookmarkStart w:id="2125" w:name="_Toc40521538"/>
      <w:bookmarkStart w:id="2126" w:name="_Toc40530397"/>
      <w:bookmarkStart w:id="2127" w:name="_Toc42778824"/>
      <w:bookmarkStart w:id="2128" w:name="_Toc42779964"/>
      <w:bookmarkStart w:id="2129" w:name="_Toc42780393"/>
      <w:bookmarkStart w:id="2130" w:name="_Toc42786383"/>
      <w:bookmarkStart w:id="2131" w:name="_Toc42791876"/>
      <w:bookmarkStart w:id="2132" w:name="_Toc42792038"/>
      <w:bookmarkStart w:id="2133" w:name="_Toc43117845"/>
      <w:bookmarkStart w:id="2134" w:name="_Toc43121484"/>
      <w:bookmarkStart w:id="2135" w:name="_Toc43122689"/>
      <w:bookmarkStart w:id="2136" w:name="_Toc43127744"/>
      <w:bookmarkStart w:id="2137" w:name="_Toc31720354"/>
      <w:bookmarkStart w:id="2138" w:name="_Toc35075910"/>
      <w:bookmarkStart w:id="2139" w:name="_Toc45520507"/>
      <w:bookmarkStart w:id="2140" w:name="_Toc46133618"/>
      <w:bookmarkEnd w:id="2113"/>
      <w:r>
        <w:lastRenderedPageBreak/>
        <w:t xml:space="preserve">SG </w:t>
      </w:r>
      <w:r w:rsidR="00B3792F" w:rsidRPr="00027624">
        <w:t>coverage</w:t>
      </w:r>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p>
    <w:tbl>
      <w:tblPr>
        <w:tblpPr w:leftFromText="180" w:rightFromText="180" w:vertAnchor="text" w:tblpY="1"/>
        <w:tblOverlap w:val="never"/>
        <w:tblW w:w="5000" w:type="pct"/>
        <w:shd w:val="clear" w:color="auto" w:fill="DFD7E7" w:themeFill="accent3" w:themeFillTint="33"/>
        <w:tblLook w:val="01E0" w:firstRow="1" w:lastRow="1" w:firstColumn="1" w:lastColumn="1" w:noHBand="0" w:noVBand="0"/>
      </w:tblPr>
      <w:tblGrid>
        <w:gridCol w:w="9070"/>
      </w:tblGrid>
      <w:tr w:rsidR="00B3792F" w:rsidRPr="00027624" w14:paraId="4519EECE" w14:textId="77777777" w:rsidTr="00B3792F">
        <w:tc>
          <w:tcPr>
            <w:tcW w:w="5000" w:type="pct"/>
            <w:shd w:val="clear" w:color="auto" w:fill="DFD7E7" w:themeFill="accent3" w:themeFillTint="33"/>
          </w:tcPr>
          <w:p w14:paraId="26D67274" w14:textId="77777777" w:rsidR="00B3792F" w:rsidRPr="00027624" w:rsidRDefault="00B3792F" w:rsidP="00582C3E">
            <w:pPr>
              <w:pStyle w:val="BoxHeading"/>
            </w:pPr>
            <w:r w:rsidRPr="00027624">
              <w:t>Section summary</w:t>
            </w:r>
          </w:p>
          <w:p w14:paraId="0BF1919A" w14:textId="77777777" w:rsidR="00B3792F" w:rsidRPr="00027624" w:rsidRDefault="00B3792F" w:rsidP="00B3792F">
            <w:pPr>
              <w:pStyle w:val="BoxBullet"/>
              <w:rPr>
                <w:b/>
              </w:rPr>
            </w:pPr>
            <w:r w:rsidRPr="00027624">
              <w:rPr>
                <w:b/>
              </w:rPr>
              <w:t xml:space="preserve">Coverage of the SG has remained high, but not universal, at around 90 per cent of employees since compulsory superannuation was introduced in 1992. </w:t>
            </w:r>
            <w:r w:rsidRPr="00027624">
              <w:t>Around 17 per cent of the workforce are self</w:t>
            </w:r>
            <w:r w:rsidR="00A8443E" w:rsidRPr="00027624">
              <w:rPr>
                <w:bCs/>
              </w:rPr>
              <w:noBreakHyphen/>
            </w:r>
            <w:r w:rsidRPr="00027624">
              <w:t>employed and not covered by the SG.</w:t>
            </w:r>
          </w:p>
          <w:p w14:paraId="4D6B8308" w14:textId="77777777" w:rsidR="00B3792F" w:rsidRPr="00027624" w:rsidRDefault="00B3792F" w:rsidP="00B3792F">
            <w:pPr>
              <w:pStyle w:val="BoxBullet"/>
            </w:pPr>
            <w:r w:rsidRPr="00027624">
              <w:rPr>
                <w:b/>
                <w:bCs/>
              </w:rPr>
              <w:t>The $450</w:t>
            </w:r>
            <w:r w:rsidR="00A8443E" w:rsidRPr="00027624">
              <w:rPr>
                <w:b/>
                <w:bCs/>
              </w:rPr>
              <w:noBreakHyphen/>
            </w:r>
            <w:r w:rsidRPr="00027624">
              <w:rPr>
                <w:b/>
                <w:bCs/>
              </w:rPr>
              <w:t>a</w:t>
            </w:r>
            <w:r w:rsidR="00A8443E" w:rsidRPr="00027624">
              <w:rPr>
                <w:b/>
                <w:bCs/>
              </w:rPr>
              <w:noBreakHyphen/>
            </w:r>
            <w:r w:rsidRPr="00027624">
              <w:rPr>
                <w:b/>
                <w:bCs/>
              </w:rPr>
              <w:t>month threshold exemption from the SG is inequitable for those missing out on the SG but has a small effect on their retirement incomes.</w:t>
            </w:r>
            <w:r w:rsidRPr="00027624">
              <w:t xml:space="preserve"> This exemption affects around 300,000 employees per month, particularly young, lower</w:t>
            </w:r>
            <w:r w:rsidR="00A8443E" w:rsidRPr="00027624">
              <w:noBreakHyphen/>
            </w:r>
            <w:r w:rsidRPr="00027624">
              <w:t>income, female and part</w:t>
            </w:r>
            <w:r w:rsidR="00A8443E" w:rsidRPr="00027624">
              <w:noBreakHyphen/>
            </w:r>
            <w:r w:rsidRPr="00027624">
              <w:t>time workers. The exemption means affected workers receive less remuneration for the same hour of work as unaffected colleagues, although not receiving SG has only a small impact on their retirement incomes. The policy rationale for the $450</w:t>
            </w:r>
            <w:r w:rsidR="00A8443E" w:rsidRPr="00027624">
              <w:noBreakHyphen/>
            </w:r>
            <w:r w:rsidRPr="00027624">
              <w:t>a</w:t>
            </w:r>
            <w:r w:rsidR="00A8443E" w:rsidRPr="00027624">
              <w:noBreakHyphen/>
            </w:r>
            <w:r w:rsidRPr="00027624">
              <w:t>month threshold has diminished since payroll systems were digitised.</w:t>
            </w:r>
          </w:p>
          <w:p w14:paraId="308EABB0" w14:textId="77777777" w:rsidR="00B3792F" w:rsidRPr="00027624" w:rsidRDefault="00B3792F" w:rsidP="00B3792F">
            <w:pPr>
              <w:pStyle w:val="BoxBullet"/>
              <w:rPr>
                <w:rFonts w:asciiTheme="minorHAnsi" w:eastAsiaTheme="minorEastAsia" w:hAnsiTheme="minorHAnsi"/>
              </w:rPr>
            </w:pPr>
            <w:r w:rsidRPr="00027624">
              <w:rPr>
                <w:b/>
                <w:bCs/>
              </w:rPr>
              <w:t xml:space="preserve">Employees who are paid overtime receive less SG per dollar earned than those not doing overtime. </w:t>
            </w:r>
            <w:r w:rsidRPr="00027624">
              <w:t>Overtime pay is not included in the definition of earnings that receive the SG. For most employees, overtime represents a small percentage of their total pay. However, in industries such as mining, manufacturing and construction, overtime pay is more common. For employees in these industries, the forgone SG on overtime significantly reduces both their potential superannuation balances at retirement and their retirement incomes.</w:t>
            </w:r>
          </w:p>
          <w:p w14:paraId="6C5D5A59" w14:textId="77777777" w:rsidR="00B3792F" w:rsidRPr="00027624" w:rsidRDefault="00B3792F" w:rsidP="00B3792F">
            <w:pPr>
              <w:pStyle w:val="BoxBullet"/>
            </w:pPr>
            <w:r w:rsidRPr="00027624">
              <w:rPr>
                <w:b/>
                <w:bCs/>
              </w:rPr>
              <w:t xml:space="preserve">In </w:t>
            </w:r>
            <w:r w:rsidRPr="00027624">
              <w:rPr>
                <w:b/>
              </w:rPr>
              <w:t>2016</w:t>
            </w:r>
            <w:r w:rsidR="00A8443E" w:rsidRPr="00027624">
              <w:rPr>
                <w:b/>
              </w:rPr>
              <w:noBreakHyphen/>
            </w:r>
            <w:r w:rsidRPr="00027624">
              <w:rPr>
                <w:b/>
              </w:rPr>
              <w:t>17, $2.3 billion of SG was unpaid</w:t>
            </w:r>
            <w:r w:rsidRPr="00027624">
              <w:rPr>
                <w:b/>
                <w:bCs/>
              </w:rPr>
              <w:t>, typically for lower</w:t>
            </w:r>
            <w:r w:rsidR="00A8443E" w:rsidRPr="00027624">
              <w:rPr>
                <w:b/>
              </w:rPr>
              <w:noBreakHyphen/>
            </w:r>
            <w:r w:rsidRPr="00027624">
              <w:rPr>
                <w:b/>
                <w:bCs/>
              </w:rPr>
              <w:t>income employees, particularly in the accommodation and food services, and construction industries.</w:t>
            </w:r>
            <w:r w:rsidRPr="00027624">
              <w:rPr>
                <w:rStyle w:val="CommentReference"/>
                <w:rFonts w:asciiTheme="minorHAnsi" w:eastAsiaTheme="minorEastAsia" w:hAnsiTheme="minorHAnsi" w:cstheme="minorBidi"/>
                <w:lang w:eastAsia="en-US"/>
              </w:rPr>
              <w:t xml:space="preserve"> </w:t>
            </w:r>
            <w:r w:rsidRPr="00027624">
              <w:t>The impact is worse for younger employees due to missing out on the benefits of compounding. SG underpayment is most common in businesses with annual turnover of less than $2 million. Employers</w:t>
            </w:r>
            <w:r w:rsidR="00A8443E" w:rsidRPr="00027624">
              <w:t>’</w:t>
            </w:r>
            <w:r w:rsidRPr="00027624">
              <w:t xml:space="preserve"> efforts to improve compliance have helped to narrow the SG payment gap in recent years. Reforms such as the rollout of Single Touch Payroll are improving ATO oversight of SG compliance, helping to identify non</w:t>
            </w:r>
            <w:r w:rsidR="00A8443E" w:rsidRPr="00027624">
              <w:noBreakHyphen/>
            </w:r>
            <w:r w:rsidRPr="00027624">
              <w:t>compliance more quickly.</w:t>
            </w:r>
          </w:p>
          <w:p w14:paraId="545FF940" w14:textId="77777777" w:rsidR="00B3792F" w:rsidRPr="00027624" w:rsidRDefault="00B3792F" w:rsidP="00B3792F">
            <w:pPr>
              <w:pStyle w:val="BoxBullet"/>
            </w:pPr>
            <w:r w:rsidRPr="00027624">
              <w:rPr>
                <w:b/>
                <w:bCs/>
              </w:rPr>
              <w:t>Because the self</w:t>
            </w:r>
            <w:r w:rsidR="00A8443E" w:rsidRPr="00027624">
              <w:rPr>
                <w:b/>
                <w:bCs/>
              </w:rPr>
              <w:noBreakHyphen/>
            </w:r>
            <w:r w:rsidRPr="00027624">
              <w:rPr>
                <w:b/>
                <w:bCs/>
              </w:rPr>
              <w:t>employed are not covered by the SG they generally</w:t>
            </w:r>
            <w:r w:rsidRPr="00027624" w:rsidDel="00610AA3">
              <w:rPr>
                <w:b/>
                <w:bCs/>
              </w:rPr>
              <w:t xml:space="preserve"> </w:t>
            </w:r>
            <w:r w:rsidRPr="00027624">
              <w:rPr>
                <w:b/>
                <w:bCs/>
              </w:rPr>
              <w:t>have lower superannuation balances than employees. They may, however, have other assets, such as their business, which results in similar wealth profiles approaching retirement.</w:t>
            </w:r>
            <w:r w:rsidRPr="00027624">
              <w:t xml:space="preserve"> The self</w:t>
            </w:r>
            <w:r w:rsidR="00A8443E" w:rsidRPr="00027624">
              <w:noBreakHyphen/>
            </w:r>
            <w:r w:rsidRPr="00027624">
              <w:t>employed are not required to contribute to their superannuation. Only about a quarter of self</w:t>
            </w:r>
            <w:r w:rsidR="00A8443E" w:rsidRPr="00027624">
              <w:noBreakHyphen/>
            </w:r>
            <w:r w:rsidRPr="00027624">
              <w:t>employed people make voluntary contributions in a given year. However, small business owners benefit from capital gains tax concessions, allowing them to put the proceeds of selling their business into superannuation.</w:t>
            </w:r>
          </w:p>
          <w:p w14:paraId="00E9DBE7" w14:textId="77777777" w:rsidR="00B3792F" w:rsidRPr="00027624" w:rsidRDefault="00A8443E" w:rsidP="00B3792F">
            <w:pPr>
              <w:pStyle w:val="BoxBullet"/>
              <w:rPr>
                <w:b/>
                <w:bCs/>
              </w:rPr>
            </w:pPr>
            <w:r w:rsidRPr="00027624">
              <w:rPr>
                <w:b/>
                <w:bCs/>
              </w:rPr>
              <w:t>‘</w:t>
            </w:r>
            <w:r w:rsidR="00B3792F" w:rsidRPr="00027624">
              <w:rPr>
                <w:b/>
                <w:bCs/>
              </w:rPr>
              <w:t>Sham contracting</w:t>
            </w:r>
            <w:r w:rsidRPr="00027624">
              <w:rPr>
                <w:b/>
                <w:bCs/>
              </w:rPr>
              <w:t>’</w:t>
            </w:r>
            <w:r w:rsidR="00B3792F" w:rsidRPr="00027624">
              <w:rPr>
                <w:b/>
                <w:bCs/>
              </w:rPr>
              <w:t xml:space="preserve"> may see some employees misclassified as contractors and missing out on the SG. </w:t>
            </w:r>
            <w:r w:rsidR="00B3792F" w:rsidRPr="00027624">
              <w:t>Employers may</w:t>
            </w:r>
            <w:r w:rsidR="00B3792F" w:rsidRPr="00027624">
              <w:rPr>
                <w:b/>
                <w:bCs/>
              </w:rPr>
              <w:t xml:space="preserve"> </w:t>
            </w:r>
            <w:r w:rsidR="00B3792F" w:rsidRPr="00027624">
              <w:t>avoid paying the SG by misclassifying employees as contractors. These workers receive lower total remuneration compared with a similar employee receiving the SG. They may be financially constrained from voluntary saving for retirement, resulting in poorer retirement outcomes.</w:t>
            </w:r>
          </w:p>
          <w:p w14:paraId="26A5E39E" w14:textId="77777777" w:rsidR="00B3792F" w:rsidRPr="00027624" w:rsidRDefault="00B3792F" w:rsidP="00B3792F">
            <w:pPr>
              <w:pStyle w:val="BoxBullet"/>
            </w:pPr>
            <w:r w:rsidRPr="00027624">
              <w:rPr>
                <w:b/>
                <w:bCs/>
              </w:rPr>
              <w:t xml:space="preserve">Superannuation balances of gig economy workers may be lower than an equivalent employee due to forgone SG. </w:t>
            </w:r>
            <w:r w:rsidRPr="00027624">
              <w:t>However, the difference is likely to be small as gig economy work is generally not the primary source of income for most people.</w:t>
            </w:r>
            <w:r w:rsidRPr="00027624">
              <w:rPr>
                <w:b/>
                <w:bCs/>
              </w:rPr>
              <w:t xml:space="preserve"> </w:t>
            </w:r>
            <w:r w:rsidRPr="00027624">
              <w:t xml:space="preserve">Data is inconclusive on the growth of the gig economy. </w:t>
            </w:r>
          </w:p>
        </w:tc>
      </w:tr>
    </w:tbl>
    <w:p w14:paraId="0EEB21FA" w14:textId="77777777" w:rsidR="00B3792F" w:rsidRPr="00027624" w:rsidRDefault="00B3792F" w:rsidP="001E724C">
      <w:pPr>
        <w:pStyle w:val="Heading2"/>
        <w:spacing w:before="240"/>
      </w:pPr>
      <w:bookmarkStart w:id="2141" w:name="_Toc40366151"/>
      <w:bookmarkStart w:id="2142" w:name="_Toc40369697"/>
      <w:bookmarkStart w:id="2143" w:name="_Toc40427667"/>
      <w:bookmarkStart w:id="2144" w:name="_Toc40458106"/>
      <w:bookmarkStart w:id="2145" w:name="_Toc40461875"/>
      <w:bookmarkStart w:id="2146" w:name="_Toc40474430"/>
      <w:bookmarkStart w:id="2147" w:name="_Toc40477959"/>
      <w:bookmarkStart w:id="2148" w:name="_Toc40521539"/>
      <w:bookmarkStart w:id="2149" w:name="_Toc40530398"/>
      <w:bookmarkStart w:id="2150" w:name="_Toc42778825"/>
      <w:bookmarkStart w:id="2151" w:name="_Toc42779965"/>
      <w:bookmarkStart w:id="2152" w:name="_Toc42780394"/>
      <w:bookmarkStart w:id="2153" w:name="_Toc42786384"/>
      <w:bookmarkStart w:id="2154" w:name="_Toc42791877"/>
      <w:bookmarkStart w:id="2155" w:name="_Toc42792039"/>
      <w:bookmarkStart w:id="2156" w:name="_Toc43117846"/>
      <w:bookmarkStart w:id="2157" w:name="_Toc43121485"/>
      <w:bookmarkStart w:id="2158" w:name="_Toc43122690"/>
      <w:bookmarkStart w:id="2159" w:name="_Toc43127745"/>
      <w:bookmarkStart w:id="2160" w:name="_Toc45520508"/>
      <w:bookmarkStart w:id="2161" w:name="_Toc46133619"/>
      <w:r w:rsidRPr="00027624">
        <w:t>Outline of this section</w:t>
      </w:r>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p>
    <w:p w14:paraId="6D833A66" w14:textId="77777777" w:rsidR="00B3792F" w:rsidRPr="00027624" w:rsidRDefault="00B3792F" w:rsidP="00B3792F">
      <w:r w:rsidRPr="00027624">
        <w:t>This section considers:</w:t>
      </w:r>
    </w:p>
    <w:p w14:paraId="5E645F4D" w14:textId="77777777" w:rsidR="00B3792F" w:rsidRPr="00027624" w:rsidRDefault="00B3792F" w:rsidP="00B3792F">
      <w:pPr>
        <w:pStyle w:val="Bullet"/>
      </w:pPr>
      <w:r w:rsidRPr="00027624">
        <w:t>Which workers are and are not covered by the SG and the impact on their retirement incomes.</w:t>
      </w:r>
    </w:p>
    <w:p w14:paraId="4BA8FDBD" w14:textId="77777777" w:rsidR="00B3792F" w:rsidRPr="00027624" w:rsidRDefault="00B3792F" w:rsidP="00B3792F">
      <w:pPr>
        <w:pStyle w:val="Bullet"/>
      </w:pPr>
      <w:r w:rsidRPr="00027624">
        <w:t xml:space="preserve">The prevalence and impact of an employee not receiving the SG they are owed by their employer (the </w:t>
      </w:r>
      <w:r w:rsidR="00A8443E" w:rsidRPr="00027624">
        <w:t>‘</w:t>
      </w:r>
      <w:r w:rsidRPr="00027624">
        <w:t>SG gap</w:t>
      </w:r>
      <w:r w:rsidR="00A8443E" w:rsidRPr="00027624">
        <w:t>’</w:t>
      </w:r>
      <w:r w:rsidRPr="00027624">
        <w:t>).</w:t>
      </w:r>
    </w:p>
    <w:p w14:paraId="2D1B23A9" w14:textId="77777777" w:rsidR="00B3792F" w:rsidRPr="00027624" w:rsidRDefault="00B3792F" w:rsidP="00B3792F">
      <w:pPr>
        <w:pStyle w:val="Bullet"/>
      </w:pPr>
      <w:r w:rsidRPr="00027624">
        <w:t>Retirement outcomes of self</w:t>
      </w:r>
      <w:r w:rsidR="00A8443E" w:rsidRPr="00027624">
        <w:noBreakHyphen/>
      </w:r>
      <w:r w:rsidRPr="00027624">
        <w:t>employed people who are not covered by the SG.</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5839B7D0" w14:textId="77777777" w:rsidTr="00B3792F">
        <w:trPr>
          <w:cantSplit/>
        </w:trPr>
        <w:tc>
          <w:tcPr>
            <w:tcW w:w="5000" w:type="pct"/>
            <w:shd w:val="clear" w:color="auto" w:fill="FFF8EA"/>
          </w:tcPr>
          <w:p w14:paraId="0533E8BC" w14:textId="77777777" w:rsidR="00B3792F" w:rsidRPr="00027624" w:rsidRDefault="007B222E" w:rsidP="00582C3E">
            <w:pPr>
              <w:pStyle w:val="BoxHeading"/>
              <w:pageBreakBefore/>
            </w:pPr>
            <w:sdt>
              <w:sdtPr>
                <w:rPr>
                  <w:color w:val="auto"/>
                  <w:sz w:val="22"/>
                  <w:szCs w:val="20"/>
                </w:rPr>
                <w:id w:val="1947738751"/>
                <w:citation/>
              </w:sdtPr>
              <w:sdtEndPr/>
              <w:sdtContent>
                <w:r w:rsidR="00B3792F" w:rsidRPr="00027624">
                  <w:t>S</w:t>
                </w:r>
              </w:sdtContent>
            </w:sdt>
            <w:r w:rsidR="00B3792F" w:rsidRPr="00027624">
              <w:t>takeholder views on retirement income equity for those who are and are not covered by the SG</w:t>
            </w:r>
          </w:p>
          <w:p w14:paraId="33741BB6" w14:textId="77777777" w:rsidR="00B3792F" w:rsidRPr="00027624" w:rsidRDefault="00B3792F" w:rsidP="00B3792F">
            <w:pPr>
              <w:pStyle w:val="BoxText"/>
            </w:pPr>
            <w:r w:rsidRPr="00027624">
              <w:t>A few submissions identified the differential coverage of superannuation between workers as an inequity. In particular, stakeholders drew attention to:</w:t>
            </w:r>
          </w:p>
          <w:p w14:paraId="0857DD6D" w14:textId="77777777" w:rsidR="00B3792F" w:rsidRPr="00027624" w:rsidRDefault="00B3792F" w:rsidP="00B3792F">
            <w:pPr>
              <w:pStyle w:val="BoxBullet"/>
            </w:pPr>
            <w:r w:rsidRPr="00027624">
              <w:rPr>
                <w:b/>
              </w:rPr>
              <w:t>Those earning under $450 per month</w:t>
            </w:r>
            <w:r w:rsidRPr="00027624">
              <w:t>,</w:t>
            </w:r>
            <w:r w:rsidRPr="00027624">
              <w:rPr>
                <w:b/>
              </w:rPr>
              <w:t xml:space="preserve"> </w:t>
            </w:r>
            <w:r w:rsidRPr="00027624">
              <w:t>noting this exemption disproportionately affects women and results in lower superannuation balances</w:t>
            </w:r>
          </w:p>
          <w:p w14:paraId="2DD65CF0" w14:textId="77777777" w:rsidR="00B3792F" w:rsidRPr="00027624" w:rsidRDefault="00B3792F" w:rsidP="00B3792F">
            <w:pPr>
              <w:pStyle w:val="BoxBullet"/>
            </w:pPr>
            <w:r w:rsidRPr="00027624">
              <w:rPr>
                <w:b/>
              </w:rPr>
              <w:t>Those required to work regular overtime</w:t>
            </w:r>
            <w:r w:rsidRPr="00027624">
              <w:t>,</w:t>
            </w:r>
            <w:r w:rsidRPr="00027624">
              <w:rPr>
                <w:b/>
              </w:rPr>
              <w:t xml:space="preserve"> </w:t>
            </w:r>
            <w:r w:rsidRPr="00027624">
              <w:t>arguing this results in them effectively receiving a lower SG rate</w:t>
            </w:r>
          </w:p>
          <w:p w14:paraId="13B841D3" w14:textId="77777777" w:rsidR="00B3792F" w:rsidRPr="00027624" w:rsidRDefault="00B3792F" w:rsidP="00B3792F">
            <w:pPr>
              <w:pStyle w:val="BoxBullet"/>
            </w:pPr>
            <w:r w:rsidRPr="00027624">
              <w:rPr>
                <w:b/>
                <w:bCs/>
              </w:rPr>
              <w:t xml:space="preserve">Those receiving Government payments under the </w:t>
            </w:r>
            <w:r w:rsidRPr="00027624">
              <w:rPr>
                <w:b/>
              </w:rPr>
              <w:t xml:space="preserve">Community </w:t>
            </w:r>
            <w:r w:rsidRPr="00027624">
              <w:rPr>
                <w:b/>
                <w:bCs/>
                <w:iCs/>
              </w:rPr>
              <w:t xml:space="preserve">Development Program (CDP) </w:t>
            </w:r>
            <w:r w:rsidRPr="00027624">
              <w:rPr>
                <w:b/>
                <w:bCs/>
              </w:rPr>
              <w:t xml:space="preserve">and </w:t>
            </w:r>
            <w:r w:rsidRPr="00027624">
              <w:rPr>
                <w:b/>
                <w:bCs/>
                <w:iCs/>
              </w:rPr>
              <w:t>Parental Leave Pay</w:t>
            </w:r>
            <w:r w:rsidRPr="00027624">
              <w:rPr>
                <w:rStyle w:val="CommentReference"/>
                <w:rFonts w:asciiTheme="minorHAnsi" w:eastAsiaTheme="minorEastAsia" w:hAnsiTheme="minorHAnsi" w:cstheme="minorBidi"/>
                <w:lang w:eastAsia="en-US"/>
              </w:rPr>
              <w:t xml:space="preserve">, </w:t>
            </w:r>
            <w:r w:rsidRPr="00027624">
              <w:t>arguing these payments should attract the SG given their connection with employment. One submission noted:</w:t>
            </w:r>
          </w:p>
          <w:p w14:paraId="1EC1FEF1" w14:textId="77777777" w:rsidR="00B3792F" w:rsidRPr="00027624" w:rsidRDefault="00A8443E" w:rsidP="00B3792F">
            <w:pPr>
              <w:pStyle w:val="Quote"/>
            </w:pPr>
            <w:r w:rsidRPr="00027624">
              <w:t>‘</w:t>
            </w:r>
            <w:r w:rsidR="00B3792F" w:rsidRPr="00027624">
              <w:t xml:space="preserve">CDP workers are no different to any other Australian worker and should be afforded the same rights and protections as other Australians in the </w:t>
            </w:r>
            <w:r w:rsidR="00B3792F" w:rsidRPr="00027624">
              <w:rPr>
                <w:i w:val="0"/>
                <w:color w:val="4C4C4C" w:themeColor="accent6" w:themeShade="80"/>
              </w:rPr>
              <w:t>workforce.</w:t>
            </w:r>
            <w:r w:rsidRPr="00027624">
              <w:rPr>
                <w:i w:val="0"/>
                <w:color w:val="4C4C4C" w:themeColor="accent6" w:themeShade="80"/>
              </w:rPr>
              <w:t>’</w:t>
            </w:r>
            <w:r w:rsidR="00B3792F" w:rsidRPr="00027624">
              <w:rPr>
                <w:i w:val="0"/>
                <w:color w:val="4C4C4C" w:themeColor="accent6" w:themeShade="80"/>
              </w:rPr>
              <w:br/>
            </w:r>
            <w:r w:rsidR="00461E5F">
              <w:rPr>
                <w:rFonts w:eastAsia="Calibri"/>
                <w:lang w:eastAsia="en-US"/>
              </w:rPr>
              <w:t xml:space="preserve"> </w:t>
            </w:r>
            <w:sdt>
              <w:sdtPr>
                <w:rPr>
                  <w:rFonts w:eastAsia="Calibri"/>
                  <w:lang w:eastAsia="en-US"/>
                </w:rPr>
                <w:id w:val="2018879247"/>
                <w:citation/>
              </w:sdtPr>
              <w:sdtEndPr/>
              <w:sdtContent>
                <w:r w:rsidR="00461E5F">
                  <w:rPr>
                    <w:rFonts w:eastAsia="Calibri"/>
                    <w:lang w:eastAsia="en-US"/>
                  </w:rPr>
                  <w:fldChar w:fldCharType="begin"/>
                </w:r>
                <w:r w:rsidR="00461E5F">
                  <w:rPr>
                    <w:noProof/>
                  </w:rPr>
                  <w:instrText xml:space="preserve">CITATION AIS201 \p 59 \l 3081 </w:instrText>
                </w:r>
                <w:r w:rsidR="00461E5F">
                  <w:rPr>
                    <w:rFonts w:eastAsia="Calibri"/>
                    <w:lang w:eastAsia="en-US"/>
                  </w:rPr>
                  <w:fldChar w:fldCharType="separate"/>
                </w:r>
                <w:r w:rsidR="00E83F6E">
                  <w:rPr>
                    <w:noProof/>
                  </w:rPr>
                  <w:t>(Australian Institute of Superannuation Trustees, 2020, p. 59)</w:t>
                </w:r>
                <w:r w:rsidR="00461E5F">
                  <w:rPr>
                    <w:rFonts w:eastAsia="Calibri"/>
                    <w:lang w:eastAsia="en-US"/>
                  </w:rPr>
                  <w:fldChar w:fldCharType="end"/>
                </w:r>
              </w:sdtContent>
            </w:sdt>
          </w:p>
          <w:p w14:paraId="135E1B60" w14:textId="77777777" w:rsidR="00B3792F" w:rsidRPr="00027624" w:rsidRDefault="00B3792F" w:rsidP="00B3792F">
            <w:pPr>
              <w:pStyle w:val="BoxBullet"/>
            </w:pPr>
            <w:r w:rsidRPr="00027624">
              <w:rPr>
                <w:b/>
              </w:rPr>
              <w:t>The impact of unpaid superannuation.</w:t>
            </w:r>
            <w:r w:rsidRPr="00027624">
              <w:t xml:space="preserve"> One submission noted:</w:t>
            </w:r>
          </w:p>
          <w:p w14:paraId="1C4CF1B7" w14:textId="77777777" w:rsidR="00B3792F" w:rsidRPr="00027624" w:rsidRDefault="00A8443E" w:rsidP="00B3792F">
            <w:pPr>
              <w:pStyle w:val="Quote"/>
              <w:rPr>
                <w:i w:val="0"/>
                <w:color w:val="4C4C4C" w:themeColor="accent6" w:themeShade="80"/>
              </w:rPr>
            </w:pPr>
            <w:r w:rsidRPr="00027624">
              <w:t>‘</w:t>
            </w:r>
            <w:r w:rsidR="00B3792F" w:rsidRPr="00027624">
              <w:t>Unpaid super is the easiest form of wage theft to get away with and one of the most prevalent</w:t>
            </w:r>
            <w:r w:rsidR="00B3792F" w:rsidRPr="00027624">
              <w:rPr>
                <w:i w:val="0"/>
                <w:color w:val="4C4C4C" w:themeColor="accent6" w:themeShade="80"/>
              </w:rPr>
              <w:t>.</w:t>
            </w:r>
            <w:r w:rsidRPr="00027624">
              <w:rPr>
                <w:i w:val="0"/>
                <w:color w:val="4C4C4C" w:themeColor="accent6" w:themeShade="80"/>
              </w:rPr>
              <w:t>’</w:t>
            </w:r>
            <w:sdt>
              <w:sdtPr>
                <w:rPr>
                  <w:i w:val="0"/>
                  <w:color w:val="4C4C4C" w:themeColor="accent6" w:themeShade="80"/>
                </w:rPr>
                <w:id w:val="-799224020"/>
                <w:citation/>
              </w:sdtPr>
              <w:sdtEndPr/>
              <w:sdtContent>
                <w:r w:rsidR="004F427E">
                  <w:rPr>
                    <w:i w:val="0"/>
                    <w:color w:val="4C4C4C" w:themeColor="accent6" w:themeShade="80"/>
                  </w:rPr>
                  <w:fldChar w:fldCharType="begin"/>
                </w:r>
                <w:r w:rsidR="004F427E">
                  <w:rPr>
                    <w:i w:val="0"/>
                    <w:color w:val="4C4C4C" w:themeColor="accent6" w:themeShade="80"/>
                  </w:rPr>
                  <w:instrText xml:space="preserve">CITATION ACT20Sub \p 49 \l 3081 </w:instrText>
                </w:r>
                <w:r w:rsidR="004F427E">
                  <w:rPr>
                    <w:i w:val="0"/>
                    <w:color w:val="4C4C4C" w:themeColor="accent6" w:themeShade="80"/>
                  </w:rPr>
                  <w:fldChar w:fldCharType="separate"/>
                </w:r>
                <w:r w:rsidR="00E83F6E">
                  <w:rPr>
                    <w:i w:val="0"/>
                    <w:noProof/>
                    <w:color w:val="4C4C4C" w:themeColor="accent6" w:themeShade="80"/>
                  </w:rPr>
                  <w:t xml:space="preserve"> </w:t>
                </w:r>
                <w:r w:rsidR="00E83F6E" w:rsidRPr="00E83F6E">
                  <w:rPr>
                    <w:noProof/>
                    <w:color w:val="4C4C4C" w:themeColor="accent6" w:themeShade="80"/>
                  </w:rPr>
                  <w:t>(Australian Council of Trade Unions, 2020, p. 49)</w:t>
                </w:r>
                <w:r w:rsidR="004F427E">
                  <w:rPr>
                    <w:i w:val="0"/>
                    <w:color w:val="4C4C4C" w:themeColor="accent6" w:themeShade="80"/>
                  </w:rPr>
                  <w:fldChar w:fldCharType="end"/>
                </w:r>
              </w:sdtContent>
            </w:sdt>
          </w:p>
          <w:p w14:paraId="4EE1CA07" w14:textId="77777777" w:rsidR="00B3792F" w:rsidRPr="00027624" w:rsidRDefault="00B3792F" w:rsidP="00B3792F">
            <w:pPr>
              <w:pStyle w:val="BoxText"/>
            </w:pPr>
            <w:r w:rsidRPr="00027624">
              <w:t>Stakeholders also expressed concern over the rise of the gig economy, noting that, although it provides work flexibility, its growth has implications for the level of SG coverage. Most stakeholders on this topic suggested expanding SG coverage. For example, one submission stated:</w:t>
            </w:r>
          </w:p>
          <w:p w14:paraId="4710527F" w14:textId="77777777" w:rsidR="00B3792F" w:rsidRPr="00027624" w:rsidRDefault="00A8443E" w:rsidP="00B3792F">
            <w:pPr>
              <w:pStyle w:val="Quote"/>
            </w:pPr>
            <w:r w:rsidRPr="00027624">
              <w:t>‘</w:t>
            </w:r>
            <w:r w:rsidR="00B3792F" w:rsidRPr="00027624">
              <w:t>Going forward, universal coverage for all workers should be a goal of the SG system whether people are employees, self</w:t>
            </w:r>
            <w:r w:rsidRPr="00027624">
              <w:noBreakHyphen/>
            </w:r>
            <w:r w:rsidR="00B3792F" w:rsidRPr="00027624">
              <w:t>employed or participate as part of the growing gig economy.</w:t>
            </w:r>
            <w:r w:rsidRPr="00027624">
              <w:t>’</w:t>
            </w:r>
            <w:r w:rsidR="00B3792F" w:rsidRPr="00027624">
              <w:t xml:space="preserve"> </w:t>
            </w:r>
            <w:sdt>
              <w:sdtPr>
                <w:id w:val="-826750343"/>
                <w:citation/>
              </w:sdtPr>
              <w:sdtEndPr/>
              <w:sdtContent>
                <w:r w:rsidR="00B3792F" w:rsidRPr="00027624">
                  <w:fldChar w:fldCharType="begin"/>
                </w:r>
                <w:r w:rsidR="00B3792F" w:rsidRPr="00027624">
                  <w:instrText xml:space="preserve">CITATION Act \p 16 \l 3081 </w:instrText>
                </w:r>
                <w:r w:rsidR="00B3792F" w:rsidRPr="00027624">
                  <w:fldChar w:fldCharType="separate"/>
                </w:r>
                <w:r w:rsidR="00E83F6E">
                  <w:rPr>
                    <w:noProof/>
                  </w:rPr>
                  <w:t>(Actuaries Institute, 2020, p. 16)</w:t>
                </w:r>
                <w:r w:rsidR="00B3792F" w:rsidRPr="00027624">
                  <w:fldChar w:fldCharType="end"/>
                </w:r>
              </w:sdtContent>
            </w:sdt>
          </w:p>
        </w:tc>
      </w:tr>
    </w:tbl>
    <w:p w14:paraId="394D930F" w14:textId="77777777" w:rsidR="00B3792F" w:rsidRPr="00027624" w:rsidRDefault="00B3792F" w:rsidP="00B3792F">
      <w:pPr>
        <w:pStyle w:val="Heading2"/>
      </w:pPr>
      <w:bookmarkStart w:id="2162" w:name="_Toc40366152"/>
      <w:bookmarkStart w:id="2163" w:name="_Toc40369698"/>
      <w:bookmarkStart w:id="2164" w:name="_Toc40427668"/>
      <w:bookmarkStart w:id="2165" w:name="_Toc40458107"/>
      <w:bookmarkStart w:id="2166" w:name="_Toc40461876"/>
      <w:bookmarkStart w:id="2167" w:name="_Toc40474431"/>
      <w:bookmarkStart w:id="2168" w:name="_Toc40477960"/>
      <w:bookmarkStart w:id="2169" w:name="_Toc40521540"/>
      <w:bookmarkStart w:id="2170" w:name="_Toc40530399"/>
      <w:bookmarkStart w:id="2171" w:name="_Toc42778826"/>
      <w:bookmarkStart w:id="2172" w:name="_Toc42779966"/>
      <w:bookmarkStart w:id="2173" w:name="_Toc42780395"/>
      <w:bookmarkStart w:id="2174" w:name="_Toc42786385"/>
      <w:bookmarkStart w:id="2175" w:name="_Toc42791878"/>
      <w:bookmarkStart w:id="2176" w:name="_Toc42792040"/>
      <w:bookmarkStart w:id="2177" w:name="_Toc43117847"/>
      <w:bookmarkStart w:id="2178" w:name="_Toc43121486"/>
      <w:bookmarkStart w:id="2179" w:name="_Toc43122691"/>
      <w:bookmarkStart w:id="2180" w:name="_Toc43127746"/>
      <w:bookmarkStart w:id="2181" w:name="_Toc45520509"/>
      <w:bookmarkStart w:id="2182" w:name="_Toc46133620"/>
      <w:r w:rsidRPr="00027624">
        <w:t>Coverage of employees by the SG</w:t>
      </w:r>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p>
    <w:p w14:paraId="700F80E3" w14:textId="1C933DAC" w:rsidR="00B3792F" w:rsidRDefault="00B3792F" w:rsidP="00B3792F">
      <w:r w:rsidRPr="00027624">
        <w:t>The SG is a mandatory entitlement for most employees. Although its coverage lacks a standard measure, a range of indicators suggest the rate of coverage has remained broadly stable since its introduction. In 2013, when the ABS last surveyed SG coverage, about 90 per cent of employees received superannuation from their then employer (</w:t>
      </w:r>
      <w:r w:rsidRPr="00027624">
        <w:fldChar w:fldCharType="begin"/>
      </w:r>
      <w:r w:rsidRPr="00027624">
        <w:instrText xml:space="preserve"> REF _Ref38526657 \r \h </w:instrText>
      </w:r>
      <w:r w:rsidR="00FA7639" w:rsidRPr="00027624">
        <w:instrText xml:space="preserve"> \* MERGEFORMAT </w:instrText>
      </w:r>
      <w:r w:rsidRPr="00027624">
        <w:fldChar w:fldCharType="separate"/>
      </w:r>
      <w:r w:rsidR="00891058">
        <w:t>Chart 3D-1</w:t>
      </w:r>
      <w:r w:rsidRPr="00027624">
        <w:fldChar w:fldCharType="end"/>
      </w:r>
      <w:r w:rsidRPr="00027624">
        <w:t>), with male and female employees having equal coverage. The SG coverage rate for full</w:t>
      </w:r>
      <w:r w:rsidR="00A8443E" w:rsidRPr="00027624">
        <w:noBreakHyphen/>
      </w:r>
      <w:r w:rsidRPr="00027624">
        <w:t>time employees was 94 per cent; for part</w:t>
      </w:r>
      <w:r w:rsidR="00A8443E" w:rsidRPr="00027624">
        <w:noBreakHyphen/>
      </w:r>
      <w:r w:rsidRPr="00027624">
        <w:t xml:space="preserve">time employees it was 80 per cent </w:t>
      </w:r>
      <w:sdt>
        <w:sdtPr>
          <w:id w:val="-1704087987"/>
          <w:citation/>
        </w:sdtPr>
        <w:sdtEndPr/>
        <w:sdtContent>
          <w:r w:rsidRPr="00027624">
            <w:fldChar w:fldCharType="begin"/>
          </w:r>
          <w:r w:rsidRPr="00027624">
            <w:instrText xml:space="preserve"> CITATION ABS141 \l 3081 </w:instrText>
          </w:r>
          <w:r w:rsidRPr="00027624">
            <w:fldChar w:fldCharType="separate"/>
          </w:r>
          <w:r w:rsidR="00E83F6E">
            <w:rPr>
              <w:noProof/>
            </w:rPr>
            <w:t>(ABS, 2014)</w:t>
          </w:r>
          <w:r w:rsidRPr="00027624">
            <w:fldChar w:fldCharType="end"/>
          </w:r>
        </w:sdtContent>
      </w:sdt>
      <w:r w:rsidRPr="00027624">
        <w:t>.</w:t>
      </w:r>
    </w:p>
    <w:p w14:paraId="1DD06786" w14:textId="77777777" w:rsidR="00835E24" w:rsidRPr="00027624" w:rsidRDefault="00835E24" w:rsidP="00835E24">
      <w:r w:rsidRPr="00027624">
        <w:t>Taxation statistics for 2017</w:t>
      </w:r>
      <w:r w:rsidRPr="00027624">
        <w:noBreakHyphen/>
        <w:t>18 show 91 per cent of those on a salary in that year received a superannuation contribution from an employer. This fell to 86 per cent when including all people who reported income from work (i.e. salary and wages or business income).</w:t>
      </w:r>
      <w:r w:rsidRPr="00027624">
        <w:rPr>
          <w:rStyle w:val="FootnoteReference"/>
        </w:rPr>
        <w:footnoteReference w:id="173"/>
      </w:r>
    </w:p>
    <w:p w14:paraId="5F203840" w14:textId="77777777" w:rsidR="00835E24" w:rsidRPr="00027624" w:rsidRDefault="00835E24" w:rsidP="00B3792F">
      <w:r w:rsidRPr="00027624">
        <w:t>Some employees receive more than the legislated SG rate based on their employment agreement. Employees with defined benefit schemes may receive notional employer contributions that are bro</w:t>
      </w:r>
      <w:r>
        <w:t>adly equivalent to the SG rate.</w:t>
      </w:r>
    </w:p>
    <w:p w14:paraId="721ACE68" w14:textId="77777777" w:rsidR="00B3792F" w:rsidRPr="00027624" w:rsidRDefault="00B3792F" w:rsidP="00FC7361">
      <w:pPr>
        <w:pStyle w:val="ChartMainHeading"/>
        <w:numPr>
          <w:ilvl w:val="2"/>
          <w:numId w:val="48"/>
        </w:numPr>
      </w:pPr>
      <w:bookmarkStart w:id="2183" w:name="_Ref38526657"/>
      <w:r w:rsidRPr="00027624">
        <w:lastRenderedPageBreak/>
        <w:t>Superannuation coverage of employees</w:t>
      </w:r>
      <w:bookmarkEnd w:id="2183"/>
    </w:p>
    <w:p w14:paraId="096D5FD9" w14:textId="77777777" w:rsidR="00B3792F" w:rsidRPr="00027624" w:rsidRDefault="00147016" w:rsidP="00B3792F">
      <w:pPr>
        <w:pStyle w:val="ChartGraphic"/>
      </w:pPr>
      <w:r>
        <w:rPr>
          <w:noProof/>
        </w:rPr>
        <w:drawing>
          <wp:inline distT="0" distB="0" distL="0" distR="0" wp14:anchorId="07295FEB" wp14:editId="595173D7">
            <wp:extent cx="5425440" cy="2628900"/>
            <wp:effectExtent l="0" t="0" r="3810" b="0"/>
            <wp:docPr id="2099192805" name="Picture 2099192805" descr="This chart shows that the superannuation coverage of employees was low prior to the introduction of compulsory SG. Since the introduction of the SG in 1992, the superannuation coverage of employees has remained consistent at around 90 per cent to 2013. " title="Chart 3D-1 Superannuation coverage of employ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25440" cy="2628900"/>
                    </a:xfrm>
                    <a:prstGeom prst="rect">
                      <a:avLst/>
                    </a:prstGeom>
                    <a:noFill/>
                  </pic:spPr>
                </pic:pic>
              </a:graphicData>
            </a:graphic>
          </wp:inline>
        </w:drawing>
      </w:r>
    </w:p>
    <w:p w14:paraId="4402C93F" w14:textId="77777777" w:rsidR="00B3792F" w:rsidRPr="00027624" w:rsidRDefault="00B3792F" w:rsidP="00B3792F">
      <w:pPr>
        <w:pStyle w:val="ChartorTableNote"/>
      </w:pPr>
      <w:r w:rsidRPr="00027624">
        <w:t xml:space="preserve">Note: Data is from different surveys and may not be directly comparable, but the trend can be observed. Source: Analysis of </w:t>
      </w:r>
      <w:sdt>
        <w:sdtPr>
          <w:id w:val="-135030128"/>
          <w:citation/>
        </w:sdtPr>
        <w:sdtEndPr/>
        <w:sdtContent>
          <w:r w:rsidRPr="00027624">
            <w:fldChar w:fldCharType="begin"/>
          </w:r>
          <w:r w:rsidRPr="00027624">
            <w:instrText xml:space="preserve">CITATION ABS92 \l 3081 </w:instrText>
          </w:r>
          <w:r w:rsidRPr="00027624">
            <w:fldChar w:fldCharType="separate"/>
          </w:r>
          <w:r w:rsidR="00E83F6E">
            <w:rPr>
              <w:noProof/>
            </w:rPr>
            <w:t>(ABS, 1994)</w:t>
          </w:r>
          <w:r w:rsidRPr="00027624">
            <w:fldChar w:fldCharType="end"/>
          </w:r>
        </w:sdtContent>
      </w:sdt>
      <w:r w:rsidRPr="00027624">
        <w:t>,</w:t>
      </w:r>
      <w:r w:rsidRPr="00027624">
        <w:fldChar w:fldCharType="begin"/>
      </w:r>
      <w:r w:rsidRPr="00027624">
        <w:instrText xml:space="preserve">CITATION ABS02 \l 3081 </w:instrText>
      </w:r>
      <w:r w:rsidRPr="00027624">
        <w:fldChar w:fldCharType="separate"/>
      </w:r>
      <w:r w:rsidR="00E83F6E">
        <w:rPr>
          <w:noProof/>
        </w:rPr>
        <w:t xml:space="preserve"> (ABS, 2003)</w:t>
      </w:r>
      <w:r w:rsidRPr="00027624">
        <w:fldChar w:fldCharType="end"/>
      </w:r>
      <w:r w:rsidRPr="00027624">
        <w:t>, and</w:t>
      </w:r>
      <w:r w:rsidRPr="00027624" w:rsidDel="00035A2A">
        <w:t xml:space="preserve"> </w:t>
      </w:r>
      <w:sdt>
        <w:sdtPr>
          <w:id w:val="173697212"/>
          <w:citation/>
        </w:sdtPr>
        <w:sdtEndPr/>
        <w:sdtContent>
          <w:r w:rsidRPr="00027624">
            <w:fldChar w:fldCharType="begin"/>
          </w:r>
          <w:r w:rsidRPr="00027624">
            <w:instrText xml:space="preserve"> CITATION ABS141 \l 3081 </w:instrText>
          </w:r>
          <w:r w:rsidRPr="00027624">
            <w:fldChar w:fldCharType="separate"/>
          </w:r>
          <w:r w:rsidR="00E83F6E">
            <w:rPr>
              <w:noProof/>
            </w:rPr>
            <w:t>(ABS, 2014)</w:t>
          </w:r>
          <w:r w:rsidRPr="00027624">
            <w:fldChar w:fldCharType="end"/>
          </w:r>
        </w:sdtContent>
      </w:sdt>
      <w:r w:rsidRPr="00027624">
        <w:t>.</w:t>
      </w:r>
    </w:p>
    <w:p w14:paraId="39EF3F51" w14:textId="77777777" w:rsidR="00B3792F" w:rsidRPr="00027624" w:rsidRDefault="00B3792F" w:rsidP="00B3792F">
      <w:bookmarkStart w:id="2184" w:name="_Toc35075911"/>
      <w:r w:rsidRPr="00027624">
        <w:t>In future, Single Touch Payroll reporting should allow the rate of SG coverage to be measured more accurately.</w:t>
      </w:r>
    </w:p>
    <w:p w14:paraId="2A5CE091" w14:textId="77777777" w:rsidR="00B3792F" w:rsidRPr="00027624" w:rsidRDefault="00B3792F" w:rsidP="00B3792F">
      <w:pPr>
        <w:pStyle w:val="Heading3"/>
      </w:pPr>
      <w:bookmarkStart w:id="2185" w:name="_Toc40366153"/>
      <w:bookmarkStart w:id="2186" w:name="_Toc40369699"/>
      <w:bookmarkStart w:id="2187" w:name="_Toc40427669"/>
      <w:bookmarkStart w:id="2188" w:name="_Toc40458108"/>
      <w:bookmarkStart w:id="2189" w:name="_Toc40461877"/>
      <w:bookmarkStart w:id="2190" w:name="_Toc40474432"/>
      <w:bookmarkStart w:id="2191" w:name="_Toc40477961"/>
      <w:bookmarkStart w:id="2192" w:name="_Toc40521541"/>
      <w:bookmarkStart w:id="2193" w:name="_Toc40530400"/>
      <w:bookmarkStart w:id="2194" w:name="_Toc42778827"/>
      <w:bookmarkStart w:id="2195" w:name="_Toc42779967"/>
      <w:bookmarkStart w:id="2196" w:name="_Toc42780396"/>
      <w:bookmarkStart w:id="2197" w:name="_Toc42786386"/>
      <w:bookmarkStart w:id="2198" w:name="_Toc42791879"/>
      <w:bookmarkStart w:id="2199" w:name="_Toc42792041"/>
      <w:bookmarkStart w:id="2200" w:name="_Toc43117848"/>
      <w:bookmarkStart w:id="2201" w:name="_Toc43121487"/>
      <w:bookmarkStart w:id="2202" w:name="_Toc43122692"/>
      <w:bookmarkStart w:id="2203" w:name="_Toc43127747"/>
      <w:r w:rsidRPr="00027624">
        <w:t>Employee exemptions from the SG</w:t>
      </w:r>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p>
    <w:p w14:paraId="481FE1DC" w14:textId="77777777" w:rsidR="00B3792F" w:rsidRPr="00027624" w:rsidRDefault="00B3792F" w:rsidP="00B3792F">
      <w:r w:rsidRPr="00027624">
        <w:t>The main exemption categories from the SG are those employees:</w:t>
      </w:r>
    </w:p>
    <w:p w14:paraId="0A287DD5" w14:textId="77777777" w:rsidR="00B3792F" w:rsidRPr="00027624" w:rsidRDefault="00B3792F" w:rsidP="00F14B57">
      <w:pPr>
        <w:pStyle w:val="Bullet"/>
        <w:numPr>
          <w:ilvl w:val="0"/>
          <w:numId w:val="44"/>
        </w:numPr>
        <w:ind w:left="284" w:hanging="284"/>
      </w:pPr>
      <w:r w:rsidRPr="00027624">
        <w:rPr>
          <w:b/>
          <w:bCs/>
        </w:rPr>
        <w:t xml:space="preserve">Earning less than $450 before tax in a calendar month from a single employer (the </w:t>
      </w:r>
      <w:r w:rsidR="00A8443E" w:rsidRPr="00027624">
        <w:rPr>
          <w:b/>
          <w:bCs/>
        </w:rPr>
        <w:t>‘</w:t>
      </w:r>
      <w:r w:rsidRPr="00027624">
        <w:rPr>
          <w:b/>
        </w:rPr>
        <w:t>$450</w:t>
      </w:r>
      <w:r w:rsidR="00A8443E" w:rsidRPr="00027624">
        <w:rPr>
          <w:b/>
        </w:rPr>
        <w:noBreakHyphen/>
      </w:r>
      <w:r w:rsidRPr="00027624">
        <w:rPr>
          <w:b/>
        </w:rPr>
        <w:t>a</w:t>
      </w:r>
      <w:r w:rsidR="00A8443E" w:rsidRPr="00027624">
        <w:rPr>
          <w:b/>
        </w:rPr>
        <w:noBreakHyphen/>
      </w:r>
      <w:r w:rsidRPr="00027624">
        <w:rPr>
          <w:b/>
        </w:rPr>
        <w:t>month threshold</w:t>
      </w:r>
      <w:r w:rsidR="00A8443E" w:rsidRPr="00027624">
        <w:rPr>
          <w:b/>
          <w:bCs/>
        </w:rPr>
        <w:t>’</w:t>
      </w:r>
      <w:r w:rsidRPr="00027624">
        <w:rPr>
          <w:b/>
          <w:bCs/>
        </w:rPr>
        <w:t>)</w:t>
      </w:r>
      <w:r w:rsidRPr="00027624">
        <w:rPr>
          <w:b/>
        </w:rPr>
        <w:t>.</w:t>
      </w:r>
      <w:r w:rsidRPr="00027624">
        <w:t xml:space="preserve"> This is the most significant employee exemption from the SG, affecting around 300,000 employees in July 2019</w:t>
      </w:r>
      <w:r w:rsidRPr="00027624">
        <w:rPr>
          <w:rStyle w:val="FootnoteReference"/>
        </w:rPr>
        <w:footnoteReference w:id="174"/>
      </w:r>
    </w:p>
    <w:p w14:paraId="4E6FFDBD" w14:textId="77777777" w:rsidR="00B3792F" w:rsidRPr="00027624" w:rsidRDefault="00B3792F" w:rsidP="00F14B57">
      <w:pPr>
        <w:pStyle w:val="Bullet"/>
        <w:numPr>
          <w:ilvl w:val="0"/>
          <w:numId w:val="44"/>
        </w:numPr>
        <w:ind w:left="284" w:hanging="284"/>
      </w:pPr>
      <w:r w:rsidRPr="00027624">
        <w:rPr>
          <w:b/>
        </w:rPr>
        <w:t>Under 18 years old and working no more than 30 hours a week</w:t>
      </w:r>
    </w:p>
    <w:p w14:paraId="39661FB1" w14:textId="77777777" w:rsidR="00B3792F" w:rsidRPr="00027624" w:rsidRDefault="00B3792F" w:rsidP="00F14B57">
      <w:pPr>
        <w:pStyle w:val="Bullet"/>
        <w:numPr>
          <w:ilvl w:val="0"/>
          <w:numId w:val="44"/>
        </w:numPr>
        <w:ind w:left="284" w:hanging="284"/>
      </w:pPr>
      <w:r w:rsidRPr="00027624">
        <w:rPr>
          <w:b/>
          <w:bCs/>
        </w:rPr>
        <w:t>Working as a private or domestic worker and no more than 30 hours a week</w:t>
      </w:r>
      <w:r w:rsidRPr="00027624">
        <w:rPr>
          <w:b/>
        </w:rPr>
        <w:t xml:space="preserve">. </w:t>
      </w:r>
      <w:r w:rsidRPr="00027624">
        <w:t>The 30</w:t>
      </w:r>
      <w:r w:rsidR="00A8443E" w:rsidRPr="00027624">
        <w:noBreakHyphen/>
      </w:r>
      <w:r w:rsidRPr="00027624">
        <w:t>hour threshold aims to ensure workers, such as full</w:t>
      </w:r>
      <w:r w:rsidR="00A8443E" w:rsidRPr="00027624">
        <w:noBreakHyphen/>
      </w:r>
      <w:r w:rsidRPr="00027624">
        <w:t>time housekeepers or nannies, receive the SG. Although difficult to measure, the domestic or private nature work exemption likely affects relatively few employees. Often, people working part</w:t>
      </w:r>
      <w:r w:rsidR="00A8443E" w:rsidRPr="00027624">
        <w:noBreakHyphen/>
      </w:r>
      <w:r w:rsidRPr="00027624">
        <w:t>time in private work may not attract the SG because they are operating as contractors or being paid in cash</w:t>
      </w:r>
    </w:p>
    <w:p w14:paraId="1DDA8F96" w14:textId="77777777" w:rsidR="00B3792F" w:rsidRPr="00027624" w:rsidRDefault="00B3792F" w:rsidP="00B3792F">
      <w:r w:rsidRPr="00027624">
        <w:t>Other employee exemptions from the SG include: non</w:t>
      </w:r>
      <w:r w:rsidR="00A8443E" w:rsidRPr="00027624">
        <w:noBreakHyphen/>
      </w:r>
      <w:r w:rsidRPr="00027624">
        <w:t>residents being paid for work done outside Australia; those temporarily working in Australia and covered by a bilateral superannuation agreement with another country; and members of the Defence Reserves.</w:t>
      </w:r>
    </w:p>
    <w:p w14:paraId="64C32F81" w14:textId="77777777" w:rsidR="00B3792F" w:rsidRPr="00027624" w:rsidRDefault="00B3792F" w:rsidP="00B3792F">
      <w:pPr>
        <w:pStyle w:val="Heading4"/>
      </w:pPr>
      <w:bookmarkStart w:id="2204" w:name="_Toc40366154"/>
      <w:bookmarkStart w:id="2205" w:name="_Toc40369700"/>
      <w:bookmarkStart w:id="2206" w:name="_Toc40427670"/>
      <w:bookmarkStart w:id="2207" w:name="_Toc40458109"/>
      <w:bookmarkStart w:id="2208" w:name="_Toc40461878"/>
      <w:bookmarkStart w:id="2209" w:name="_Toc40474433"/>
      <w:bookmarkStart w:id="2210" w:name="_Toc40477962"/>
      <w:bookmarkStart w:id="2211" w:name="_Toc40521542"/>
      <w:bookmarkStart w:id="2212" w:name="_Toc40530401"/>
      <w:bookmarkStart w:id="2213" w:name="_Toc42778828"/>
      <w:bookmarkStart w:id="2214" w:name="_Toc42779968"/>
      <w:bookmarkStart w:id="2215" w:name="_Toc42780397"/>
      <w:bookmarkStart w:id="2216" w:name="_Toc42786387"/>
      <w:bookmarkStart w:id="2217" w:name="_Toc42791880"/>
      <w:bookmarkStart w:id="2218" w:name="_Toc42792042"/>
      <w:bookmarkStart w:id="2219" w:name="_Toc43117849"/>
      <w:bookmarkStart w:id="2220" w:name="_Toc43121488"/>
      <w:bookmarkStart w:id="2221" w:name="_Toc43122693"/>
      <w:bookmarkStart w:id="2222" w:name="_Toc43127748"/>
      <w:r w:rsidRPr="00027624">
        <w:t xml:space="preserve">The </w:t>
      </w:r>
      <w:bookmarkEnd w:id="2204"/>
      <w:bookmarkEnd w:id="2205"/>
      <w:r w:rsidRPr="00027624">
        <w:t>$450</w:t>
      </w:r>
      <w:r w:rsidR="00A8443E" w:rsidRPr="00027624">
        <w:noBreakHyphen/>
      </w:r>
      <w:r w:rsidRPr="00027624">
        <w:t>a</w:t>
      </w:r>
      <w:r w:rsidR="00A8443E" w:rsidRPr="00027624">
        <w:noBreakHyphen/>
      </w:r>
      <w:r w:rsidRPr="00027624">
        <w:t>month threshold</w:t>
      </w:r>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p>
    <w:p w14:paraId="2F0242AD" w14:textId="77777777" w:rsidR="00B3792F" w:rsidRPr="00027624" w:rsidRDefault="00B3792F" w:rsidP="00B3792F">
      <w:r w:rsidRPr="00027624">
        <w:t>The $450</w:t>
      </w:r>
      <w:r w:rsidR="00A8443E" w:rsidRPr="00027624">
        <w:noBreakHyphen/>
      </w:r>
      <w:r w:rsidRPr="00027624">
        <w:t>a</w:t>
      </w:r>
      <w:r w:rsidR="00A8443E" w:rsidRPr="00027624">
        <w:noBreakHyphen/>
      </w:r>
      <w:r w:rsidRPr="00027624">
        <w:t>month threshold exempts an employer from paying the SG to employees earning below the threshold in a month. The original purpose of the $450</w:t>
      </w:r>
      <w:r w:rsidR="00A8443E" w:rsidRPr="00027624">
        <w:noBreakHyphen/>
      </w:r>
      <w:r w:rsidRPr="00027624">
        <w:t>a</w:t>
      </w:r>
      <w:r w:rsidR="00A8443E" w:rsidRPr="00027624">
        <w:noBreakHyphen/>
      </w:r>
      <w:r w:rsidRPr="00027624">
        <w:t>month threshold was to reduce employers</w:t>
      </w:r>
      <w:r w:rsidR="00A8443E" w:rsidRPr="00027624">
        <w:t>’</w:t>
      </w:r>
      <w:r w:rsidRPr="00027624">
        <w:t xml:space="preserve"> administrative burden to comply with the SG for their casual and temporary employees </w:t>
      </w:r>
      <w:sdt>
        <w:sdtPr>
          <w:id w:val="326947755"/>
          <w:citation/>
        </w:sdtPr>
        <w:sdtEndPr/>
        <w:sdtContent>
          <w:r w:rsidRPr="00027624">
            <w:fldChar w:fldCharType="begin"/>
          </w:r>
          <w:r w:rsidRPr="00027624">
            <w:instrText xml:space="preserve"> CITATION Sen17 \l 3081 </w:instrText>
          </w:r>
          <w:r w:rsidRPr="00027624">
            <w:fldChar w:fldCharType="separate"/>
          </w:r>
          <w:r w:rsidR="00E83F6E">
            <w:rPr>
              <w:noProof/>
            </w:rPr>
            <w:t>(Senate Economics References Committee, 2017)</w:t>
          </w:r>
          <w:r w:rsidRPr="00027624">
            <w:fldChar w:fldCharType="end"/>
          </w:r>
        </w:sdtContent>
      </w:sdt>
      <w:r w:rsidRPr="00027624">
        <w:t>.</w:t>
      </w:r>
    </w:p>
    <w:p w14:paraId="04C4C663" w14:textId="77777777" w:rsidR="00B3792F" w:rsidRPr="00027624" w:rsidRDefault="00B3792F" w:rsidP="00B3792F">
      <w:r w:rsidRPr="00027624">
        <w:t>The threshold has not increased since its introduction in 1992, when it was set at one month of the annual tax</w:t>
      </w:r>
      <w:r w:rsidR="00A8443E" w:rsidRPr="00027624">
        <w:noBreakHyphen/>
      </w:r>
      <w:r w:rsidRPr="00027624">
        <w:t xml:space="preserve">free threshold of $5,400. Then, it represented approximately 50 hours per month at the national minimum wage, compared with 23 hours in 2020 </w:t>
      </w:r>
      <w:sdt>
        <w:sdtPr>
          <w:id w:val="1400171691"/>
          <w:citation/>
        </w:sdtPr>
        <w:sdtEndPr/>
        <w:sdtContent>
          <w:r w:rsidRPr="00027624">
            <w:fldChar w:fldCharType="begin"/>
          </w:r>
          <w:r w:rsidRPr="00027624">
            <w:instrText xml:space="preserve"> CITATION Bra13 \l 3081 </w:instrText>
          </w:r>
          <w:r w:rsidRPr="00027624">
            <w:fldChar w:fldCharType="separate"/>
          </w:r>
          <w:r w:rsidR="00E83F6E">
            <w:rPr>
              <w:noProof/>
            </w:rPr>
            <w:t>(Bray, 2013)</w:t>
          </w:r>
          <w:r w:rsidRPr="00027624">
            <w:fldChar w:fldCharType="end"/>
          </w:r>
        </w:sdtContent>
      </w:sdt>
      <w:sdt>
        <w:sdtPr>
          <w:id w:val="825090797"/>
          <w:citation/>
        </w:sdtPr>
        <w:sdtEndPr/>
        <w:sdtContent>
          <w:r w:rsidRPr="00027624">
            <w:fldChar w:fldCharType="begin"/>
          </w:r>
          <w:r w:rsidRPr="00027624">
            <w:instrText xml:space="preserve"> CITATION FWC19 \l 3081 </w:instrText>
          </w:r>
          <w:r w:rsidRPr="00027624">
            <w:fldChar w:fldCharType="separate"/>
          </w:r>
          <w:r w:rsidR="00E83F6E">
            <w:rPr>
              <w:noProof/>
            </w:rPr>
            <w:t xml:space="preserve"> (Fair Work Commission, </w:t>
          </w:r>
          <w:r w:rsidR="00E83F6E">
            <w:rPr>
              <w:noProof/>
            </w:rPr>
            <w:lastRenderedPageBreak/>
            <w:t>2019b)</w:t>
          </w:r>
          <w:r w:rsidRPr="00027624">
            <w:fldChar w:fldCharType="end"/>
          </w:r>
        </w:sdtContent>
      </w:sdt>
      <w:r w:rsidRPr="00027624">
        <w:t>. In future, with wage rises, fewer people will earn less than $450 per month and be affected by the threshold.</w:t>
      </w:r>
    </w:p>
    <w:p w14:paraId="0BFB67C9" w14:textId="77777777" w:rsidR="00B3792F" w:rsidRPr="00027624" w:rsidRDefault="00B3792F" w:rsidP="00B3792F">
      <w:r w:rsidRPr="00027624">
        <w:t xml:space="preserve">A 2017 Senate Inquiry recommended removing the exemption on the basis that </w:t>
      </w:r>
      <w:r w:rsidR="006E4259" w:rsidRPr="00027624">
        <w:t xml:space="preserve">the </w:t>
      </w:r>
      <w:r w:rsidRPr="00027624">
        <w:t xml:space="preserve">original rationale had become irrelevant in light of technological advances </w:t>
      </w:r>
      <w:sdt>
        <w:sdtPr>
          <w:id w:val="-1578427026"/>
          <w:citation/>
        </w:sdtPr>
        <w:sdtEndPr/>
        <w:sdtContent>
          <w:r w:rsidRPr="00027624">
            <w:fldChar w:fldCharType="begin"/>
          </w:r>
          <w:r w:rsidRPr="00027624">
            <w:instrText xml:space="preserve"> CITATION Sen17 \l 3081 </w:instrText>
          </w:r>
          <w:r w:rsidRPr="00027624">
            <w:fldChar w:fldCharType="separate"/>
          </w:r>
          <w:r w:rsidR="00E83F6E">
            <w:rPr>
              <w:noProof/>
            </w:rPr>
            <w:t>(Senate Economics References Committee, 2017)</w:t>
          </w:r>
          <w:r w:rsidRPr="00027624">
            <w:fldChar w:fldCharType="end"/>
          </w:r>
        </w:sdtContent>
      </w:sdt>
      <w:r w:rsidRPr="00027624">
        <w:t>. Relevant changes include:</w:t>
      </w:r>
    </w:p>
    <w:p w14:paraId="46C936C0" w14:textId="77777777" w:rsidR="00B3792F" w:rsidRPr="00027624" w:rsidRDefault="00B3792F" w:rsidP="00F14B57">
      <w:pPr>
        <w:pStyle w:val="Bullet"/>
        <w:numPr>
          <w:ilvl w:val="0"/>
          <w:numId w:val="44"/>
        </w:numPr>
        <w:ind w:left="284" w:hanging="284"/>
      </w:pPr>
      <w:r w:rsidRPr="00027624">
        <w:t>Digitising payroll systems, which have simplified the process of complying with the SG</w:t>
      </w:r>
    </w:p>
    <w:p w14:paraId="30464E73" w14:textId="77777777" w:rsidR="00B3792F" w:rsidRPr="00027624" w:rsidRDefault="00B3792F" w:rsidP="00F14B57">
      <w:pPr>
        <w:pStyle w:val="Bullet"/>
        <w:numPr>
          <w:ilvl w:val="0"/>
          <w:numId w:val="44"/>
        </w:numPr>
        <w:ind w:left="284" w:hanging="284"/>
      </w:pPr>
      <w:r w:rsidRPr="00027624">
        <w:t>The Small Business Superannuation Clearing House, which provides a free service to small businesses to distribute payments to employees</w:t>
      </w:r>
      <w:r w:rsidR="00A8443E" w:rsidRPr="00027624">
        <w:t>’</w:t>
      </w:r>
      <w:r w:rsidRPr="00027624">
        <w:t xml:space="preserve"> superannuation funds</w:t>
      </w:r>
    </w:p>
    <w:p w14:paraId="143C5E6F" w14:textId="77777777" w:rsidR="00B3792F" w:rsidRPr="00027624" w:rsidRDefault="00B3792F" w:rsidP="00F14B57">
      <w:pPr>
        <w:pStyle w:val="Bullet"/>
        <w:numPr>
          <w:ilvl w:val="0"/>
          <w:numId w:val="44"/>
        </w:numPr>
        <w:ind w:left="284" w:hanging="284"/>
        <w:rPr>
          <w:b/>
        </w:rPr>
      </w:pPr>
      <w:r w:rsidRPr="00027624">
        <w:t>Single Touch Payroll, which automates tax and superannuation reporting to the ATO</w:t>
      </w:r>
    </w:p>
    <w:p w14:paraId="6AFF74D4" w14:textId="77777777" w:rsidR="00B3792F" w:rsidRPr="00027624" w:rsidRDefault="00B3792F" w:rsidP="00B3792F">
      <w:r w:rsidRPr="00027624">
        <w:t xml:space="preserve">The Senate Inquiry also considered the adverse effects of the exemption felt by </w:t>
      </w:r>
      <w:r w:rsidR="00A8443E" w:rsidRPr="00027624">
        <w:rPr>
          <w:rStyle w:val="QuoteChar"/>
        </w:rPr>
        <w:t>‘</w:t>
      </w:r>
      <w:r w:rsidR="006E4259" w:rsidRPr="00027624">
        <w:rPr>
          <w:rStyle w:val="QuoteChar"/>
        </w:rPr>
        <w:t xml:space="preserve"> … </w:t>
      </w:r>
      <w:r w:rsidRPr="00027624">
        <w:rPr>
          <w:rStyle w:val="QuoteChar"/>
        </w:rPr>
        <w:t>particular categories of employees, such as women and employees who work in multiple, low paid jobs</w:t>
      </w:r>
      <w:r w:rsidR="00A8443E" w:rsidRPr="00027624">
        <w:rPr>
          <w:rStyle w:val="QuoteChar"/>
        </w:rPr>
        <w:t>’</w:t>
      </w:r>
      <w:r w:rsidRPr="00027624">
        <w:rPr>
          <w:rStyle w:val="QuoteChar"/>
        </w:rPr>
        <w:t xml:space="preserve"> </w:t>
      </w:r>
      <w:r w:rsidRPr="00027624">
        <w:t>as reason for its removal</w:t>
      </w:r>
      <w:sdt>
        <w:sdtPr>
          <w:rPr>
            <w:i/>
          </w:rPr>
          <w:id w:val="224500947"/>
          <w:citation/>
        </w:sdtPr>
        <w:sdtEndPr/>
        <w:sdtContent>
          <w:r w:rsidRPr="00027624">
            <w:rPr>
              <w:i/>
            </w:rPr>
            <w:fldChar w:fldCharType="begin"/>
          </w:r>
          <w:r w:rsidRPr="00027624">
            <w:rPr>
              <w:i/>
            </w:rPr>
            <w:instrText xml:space="preserve"> CITATION Sen17 \l 3081 </w:instrText>
          </w:r>
          <w:r w:rsidRPr="00027624">
            <w:rPr>
              <w:i/>
            </w:rPr>
            <w:fldChar w:fldCharType="separate"/>
          </w:r>
          <w:r w:rsidR="00E83F6E">
            <w:rPr>
              <w:i/>
              <w:noProof/>
            </w:rPr>
            <w:t xml:space="preserve"> </w:t>
          </w:r>
          <w:r w:rsidR="00E83F6E">
            <w:rPr>
              <w:noProof/>
            </w:rPr>
            <w:t>(Senate Economics References Committee, 2017)</w:t>
          </w:r>
          <w:r w:rsidRPr="00027624">
            <w:rPr>
              <w:i/>
            </w:rPr>
            <w:fldChar w:fldCharType="end"/>
          </w:r>
        </w:sdtContent>
      </w:sdt>
      <w:r w:rsidRPr="00027624">
        <w:rPr>
          <w:i/>
          <w:iCs/>
        </w:rPr>
        <w:t>.</w:t>
      </w:r>
    </w:p>
    <w:p w14:paraId="6531E52B" w14:textId="77777777" w:rsidR="00B3792F" w:rsidRPr="00027624" w:rsidRDefault="00B3792F" w:rsidP="00B3792F">
      <w:r w:rsidRPr="00027624">
        <w:t>Another concern was that paying these employees superannuation would result in accounts with small balances being eroded by fees and insurance premiums</w:t>
      </w:r>
      <w:sdt>
        <w:sdtPr>
          <w:id w:val="1617106324"/>
          <w:citation/>
        </w:sdtPr>
        <w:sdtEndPr/>
        <w:sdtContent>
          <w:r w:rsidRPr="00027624">
            <w:fldChar w:fldCharType="begin"/>
          </w:r>
          <w:r w:rsidRPr="00027624">
            <w:instrText xml:space="preserve">CITATION Tre24 \l 3081 </w:instrText>
          </w:r>
          <w:r w:rsidRPr="00027624">
            <w:fldChar w:fldCharType="separate"/>
          </w:r>
          <w:r w:rsidR="00E83F6E">
            <w:rPr>
              <w:noProof/>
            </w:rPr>
            <w:t xml:space="preserve"> (The Treasury, 2019)</w:t>
          </w:r>
          <w:r w:rsidRPr="00027624">
            <w:fldChar w:fldCharType="end"/>
          </w:r>
        </w:sdtContent>
      </w:sdt>
      <w:r w:rsidRPr="00027624">
        <w:t>. However, recent policy changes have reduced the impact of fees and insurance on low superannuation balance accounts. For example, in 2019 a 3 per cent cap on administration and investment fees by superannuation funds was introduced for accounts with balances below $6,000. From 1 April 2020, new members of superannuation funds who are younger than 25, or have balances of less than $6,000, must opt in to insurance coverage within the fund.</w:t>
      </w:r>
    </w:p>
    <w:p w14:paraId="4631A213" w14:textId="77777777" w:rsidR="00B3792F" w:rsidRPr="00027624" w:rsidRDefault="00B3792F" w:rsidP="00B3792F">
      <w:pPr>
        <w:pStyle w:val="Heading5"/>
      </w:pPr>
      <w:bookmarkStart w:id="2223" w:name="_Toc40366155"/>
      <w:bookmarkStart w:id="2224" w:name="_Toc40369701"/>
      <w:bookmarkStart w:id="2225" w:name="_Toc40427671"/>
      <w:bookmarkStart w:id="2226" w:name="_Toc40458110"/>
      <w:bookmarkStart w:id="2227" w:name="_Toc40461879"/>
      <w:bookmarkStart w:id="2228" w:name="_Toc40474434"/>
      <w:bookmarkStart w:id="2229" w:name="_Toc40477963"/>
      <w:bookmarkStart w:id="2230" w:name="_Toc40521543"/>
      <w:bookmarkStart w:id="2231" w:name="_Toc40530402"/>
      <w:bookmarkStart w:id="2232" w:name="_Toc42778829"/>
      <w:bookmarkStart w:id="2233" w:name="_Toc42779969"/>
      <w:bookmarkStart w:id="2234" w:name="_Toc42780398"/>
      <w:bookmarkStart w:id="2235" w:name="_Toc42786388"/>
      <w:bookmarkStart w:id="2236" w:name="_Toc42791881"/>
      <w:bookmarkStart w:id="2237" w:name="_Toc42792043"/>
      <w:bookmarkStart w:id="2238" w:name="_Toc43117850"/>
      <w:bookmarkStart w:id="2239" w:name="_Toc43121489"/>
      <w:bookmarkStart w:id="2240" w:name="_Toc43122694"/>
      <w:bookmarkStart w:id="2241" w:name="_Toc43127749"/>
      <w:r w:rsidRPr="00027624">
        <w:t>Effects on employees</w:t>
      </w:r>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p>
    <w:p w14:paraId="79238B9D" w14:textId="77777777" w:rsidR="00B3792F" w:rsidRPr="00027624" w:rsidRDefault="00B3792F" w:rsidP="00B3792F">
      <w:r w:rsidRPr="00027624">
        <w:t>Annual data makes it difficult to estimate the number of people affected by the $450</w:t>
      </w:r>
      <w:r w:rsidR="00A8443E" w:rsidRPr="00027624">
        <w:noBreakHyphen/>
      </w:r>
      <w:r w:rsidRPr="00027624">
        <w:t>a</w:t>
      </w:r>
      <w:r w:rsidR="00A8443E" w:rsidRPr="00027624">
        <w:noBreakHyphen/>
      </w:r>
      <w:r w:rsidRPr="00027624">
        <w:t>month threshold (i.e. they were not paid the SG) and how many months their earnings fall below the threshold in a year. Previous estimates included:</w:t>
      </w:r>
    </w:p>
    <w:p w14:paraId="63B008A2" w14:textId="77777777" w:rsidR="00B3792F" w:rsidRPr="00027624" w:rsidRDefault="00B3792F" w:rsidP="00F14B57">
      <w:pPr>
        <w:pStyle w:val="Bullet"/>
        <w:numPr>
          <w:ilvl w:val="0"/>
          <w:numId w:val="44"/>
        </w:numPr>
        <w:ind w:left="284" w:hanging="284"/>
      </w:pPr>
      <w:r w:rsidRPr="00027624">
        <w:t>400,000 employees per year, with $50 million of the SG forgone in 2014</w:t>
      </w:r>
      <w:r w:rsidR="00A8443E" w:rsidRPr="00027624">
        <w:noBreakHyphen/>
      </w:r>
      <w:r w:rsidRPr="00027624">
        <w:t xml:space="preserve">15 </w:t>
      </w:r>
      <w:sdt>
        <w:sdtPr>
          <w:id w:val="-398988043"/>
          <w:citation/>
        </w:sdtPr>
        <w:sdtEndPr/>
        <w:sdtContent>
          <w:r w:rsidRPr="00027624">
            <w:fldChar w:fldCharType="begin"/>
          </w:r>
          <w:r w:rsidRPr="00027624">
            <w:instrText xml:space="preserve">CITATION Tre24 \l 3081 </w:instrText>
          </w:r>
          <w:r w:rsidRPr="00027624">
            <w:fldChar w:fldCharType="separate"/>
          </w:r>
          <w:r w:rsidR="00E83F6E">
            <w:rPr>
              <w:noProof/>
            </w:rPr>
            <w:t>(The Treasury, 2019)</w:t>
          </w:r>
          <w:r w:rsidRPr="00027624">
            <w:fldChar w:fldCharType="end"/>
          </w:r>
        </w:sdtContent>
      </w:sdt>
    </w:p>
    <w:p w14:paraId="73481FC4" w14:textId="77777777" w:rsidR="00B3792F" w:rsidRPr="00027624" w:rsidRDefault="00B3792F" w:rsidP="00F14B57">
      <w:pPr>
        <w:pStyle w:val="Bullet"/>
        <w:numPr>
          <w:ilvl w:val="0"/>
          <w:numId w:val="44"/>
        </w:numPr>
        <w:ind w:left="284" w:hanging="284"/>
      </w:pPr>
      <w:r w:rsidRPr="00027624">
        <w:t>365,000 employees per year, with $125 million of the SG forgone in 2017</w:t>
      </w:r>
      <w:sdt>
        <w:sdtPr>
          <w:id w:val="1546020263"/>
          <w:citation/>
        </w:sdtPr>
        <w:sdtEndPr/>
        <w:sdtContent>
          <w:r w:rsidRPr="00027624">
            <w:fldChar w:fldCharType="begin"/>
          </w:r>
          <w:r w:rsidRPr="00027624">
            <w:instrText xml:space="preserve"> CITATION ASF19 \l 3081 </w:instrText>
          </w:r>
          <w:r w:rsidRPr="00027624">
            <w:fldChar w:fldCharType="separate"/>
          </w:r>
          <w:r w:rsidR="00E83F6E">
            <w:rPr>
              <w:noProof/>
            </w:rPr>
            <w:t xml:space="preserve"> (ASFA, 2019)</w:t>
          </w:r>
          <w:r w:rsidRPr="00027624">
            <w:fldChar w:fldCharType="end"/>
          </w:r>
        </w:sdtContent>
      </w:sdt>
    </w:p>
    <w:p w14:paraId="30F79824" w14:textId="589C9CCF" w:rsidR="00B3792F" w:rsidRPr="00027624" w:rsidRDefault="00B3792F" w:rsidP="00B3792F">
      <w:r w:rsidRPr="00027624">
        <w:t xml:space="preserve">More recent </w:t>
      </w:r>
      <w:r w:rsidRPr="00027624" w:rsidDel="002F150B">
        <w:t xml:space="preserve">ATO </w:t>
      </w:r>
      <w:r w:rsidRPr="00027624">
        <w:t>data from Single Touch Payroll reporting enables a more accurate estimate of the SG forgone in a month. Single Touch Payroll data for the month of July 2019 shows about 3 per cent of employees</w:t>
      </w:r>
      <w:r w:rsidR="00A8443E" w:rsidRPr="00027624">
        <w:t xml:space="preserve"> — </w:t>
      </w:r>
      <w:r w:rsidRPr="00027624">
        <w:t>or around 300,000 people</w:t>
      </w:r>
      <w:r w:rsidR="00A8443E" w:rsidRPr="00027624">
        <w:t xml:space="preserve"> — </w:t>
      </w:r>
      <w:r w:rsidRPr="00027624">
        <w:t>were affected by the $450</w:t>
      </w:r>
      <w:r w:rsidR="00A8443E" w:rsidRPr="00027624">
        <w:noBreakHyphen/>
      </w:r>
      <w:r w:rsidRPr="00027624">
        <w:t>a</w:t>
      </w:r>
      <w:r w:rsidR="00A8443E" w:rsidRPr="00027624">
        <w:noBreakHyphen/>
      </w:r>
      <w:r w:rsidRPr="00027624">
        <w:t>month threshold. Notably, around 30 per cent of those earning under $450 in that month were paid the SG by their employer (</w:t>
      </w:r>
      <w:r w:rsidR="006B03BC">
        <w:fldChar w:fldCharType="begin"/>
      </w:r>
      <w:r w:rsidR="006B03BC">
        <w:instrText xml:space="preserve"> REF _Ref56593855 \r \h </w:instrText>
      </w:r>
      <w:r w:rsidR="006B03BC">
        <w:fldChar w:fldCharType="separate"/>
      </w:r>
      <w:r w:rsidR="00891058">
        <w:t>Table 3D-1</w:t>
      </w:r>
      <w:r w:rsidR="006B03BC">
        <w:fldChar w:fldCharType="end"/>
      </w:r>
      <w:r w:rsidRPr="00027624">
        <w:t>).</w:t>
      </w:r>
    </w:p>
    <w:p w14:paraId="25947353" w14:textId="77777777" w:rsidR="00B3792F" w:rsidRPr="00027624" w:rsidRDefault="00B3792F" w:rsidP="00B3792F">
      <w:r w:rsidRPr="00027624">
        <w:t>The data also shows a significantly greater number of employees are affected by the threshold across the course of a whole year, but many are only impacted a few months of the year.</w:t>
      </w:r>
      <w:r w:rsidRPr="00027624">
        <w:rPr>
          <w:rStyle w:val="FootnoteReference"/>
        </w:rPr>
        <w:footnoteReference w:id="175"/>
      </w:r>
      <w:r w:rsidRPr="00027624">
        <w:t xml:space="preserve"> The review has estimated the SG forgone is about $90 million per year</w:t>
      </w:r>
      <w:r w:rsidR="00A8443E" w:rsidRPr="00027624">
        <w:t xml:space="preserve"> — </w:t>
      </w:r>
      <w:r w:rsidRPr="00027624">
        <w:t>within the bounds of previous estimates.</w:t>
      </w:r>
      <w:r w:rsidRPr="00027624">
        <w:rPr>
          <w:rStyle w:val="FootnoteReference"/>
        </w:rPr>
        <w:footnoteReference w:id="176"/>
      </w:r>
    </w:p>
    <w:p w14:paraId="4B18ED40" w14:textId="14AABFC1" w:rsidR="00185891" w:rsidRPr="00027624" w:rsidRDefault="00B3792F" w:rsidP="00185891">
      <w:r w:rsidRPr="00027624">
        <w:t>Of affected employees in July 2019, 63 per cent were women (</w:t>
      </w:r>
      <w:r w:rsidR="002160C5">
        <w:fldChar w:fldCharType="begin"/>
      </w:r>
      <w:r w:rsidR="002160C5">
        <w:instrText xml:space="preserve"> REF _Ref56593855 \r \h </w:instrText>
      </w:r>
      <w:r w:rsidR="002160C5">
        <w:fldChar w:fldCharType="separate"/>
      </w:r>
      <w:r w:rsidR="00891058">
        <w:t>Table 3D-1</w:t>
      </w:r>
      <w:r w:rsidR="002160C5">
        <w:fldChar w:fldCharType="end"/>
      </w:r>
      <w:r w:rsidR="002160C5">
        <w:t xml:space="preserve">) </w:t>
      </w:r>
      <w:r w:rsidRPr="00027624">
        <w:t>(see</w:t>
      </w:r>
      <w:r w:rsidR="00876E02">
        <w:t xml:space="preserve"> 3B</w:t>
      </w:r>
      <w:r w:rsidRPr="00027624">
        <w:rPr>
          <w:i/>
        </w:rPr>
        <w:t xml:space="preserve">. </w:t>
      </w:r>
      <w:r w:rsidR="00AB03E9" w:rsidRPr="00027624">
        <w:rPr>
          <w:i/>
        </w:rPr>
        <w:t>Gender and</w:t>
      </w:r>
      <w:r w:rsidR="00AB03E9" w:rsidRPr="00027624">
        <w:t xml:space="preserve"> </w:t>
      </w:r>
      <w:r w:rsidR="00AB03E9" w:rsidRPr="00876E02">
        <w:rPr>
          <w:i/>
        </w:rPr>
        <w:t>partnered status</w:t>
      </w:r>
      <w:r w:rsidR="00AB03E9" w:rsidRPr="00027624">
        <w:t>).</w:t>
      </w:r>
      <w:r w:rsidR="00AB03E9" w:rsidRPr="00027624">
        <w:rPr>
          <w:i/>
        </w:rPr>
        <w:t xml:space="preserve"> </w:t>
      </w:r>
      <w:bookmarkStart w:id="2242" w:name="_Ref37248441"/>
      <w:bookmarkStart w:id="2243" w:name="_Ref38447389"/>
    </w:p>
    <w:p w14:paraId="16528FA3" w14:textId="77777777" w:rsidR="00B3792F" w:rsidRPr="00027624" w:rsidRDefault="00B3792F" w:rsidP="00FC7361">
      <w:pPr>
        <w:pStyle w:val="TableMainHeading"/>
        <w:numPr>
          <w:ilvl w:val="3"/>
          <w:numId w:val="70"/>
        </w:numPr>
      </w:pPr>
      <w:bookmarkStart w:id="2244" w:name="_Ref56593855"/>
      <w:r w:rsidRPr="00027624">
        <w:lastRenderedPageBreak/>
        <w:t>Number of employees earning under $450 in July 2019</w:t>
      </w:r>
      <w:bookmarkEnd w:id="2242"/>
      <w:bookmarkEnd w:id="2243"/>
      <w:bookmarkEnd w:id="2244"/>
    </w:p>
    <w:tbl>
      <w:tblPr>
        <w:tblW w:w="5000" w:type="pct"/>
        <w:tblLook w:val="01E0" w:firstRow="1" w:lastRow="1" w:firstColumn="1" w:lastColumn="1" w:noHBand="0" w:noVBand="0"/>
      </w:tblPr>
      <w:tblGrid>
        <w:gridCol w:w="3022"/>
        <w:gridCol w:w="3024"/>
        <w:gridCol w:w="3024"/>
      </w:tblGrid>
      <w:tr w:rsidR="00B3792F" w:rsidRPr="00027624" w14:paraId="70276DA6" w14:textId="77777777" w:rsidTr="00B3792F">
        <w:trPr>
          <w:cantSplit/>
          <w:trHeight w:val="270"/>
        </w:trPr>
        <w:tc>
          <w:tcPr>
            <w:tcW w:w="1666" w:type="pct"/>
            <w:shd w:val="clear" w:color="auto" w:fill="F2F2F2" w:themeFill="background1" w:themeFillShade="F2"/>
          </w:tcPr>
          <w:p w14:paraId="785D1C74" w14:textId="77777777" w:rsidR="00B3792F" w:rsidRPr="00027624" w:rsidRDefault="00B3792F" w:rsidP="00B3792F">
            <w:pPr>
              <w:pStyle w:val="TableColumnHeadingCentred"/>
              <w:keepNext/>
            </w:pPr>
          </w:p>
        </w:tc>
        <w:tc>
          <w:tcPr>
            <w:tcW w:w="1667" w:type="pct"/>
            <w:shd w:val="clear" w:color="auto" w:fill="F2F2F2" w:themeFill="background1" w:themeFillShade="F2"/>
          </w:tcPr>
          <w:p w14:paraId="27198FD8" w14:textId="77777777" w:rsidR="00B3792F" w:rsidRPr="00027624" w:rsidRDefault="00B3792F" w:rsidP="00B3792F">
            <w:pPr>
              <w:pStyle w:val="TableColumnHeadingCentred"/>
              <w:keepNext/>
            </w:pPr>
            <w:r w:rsidRPr="00027624">
              <w:t>Received the SG</w:t>
            </w:r>
          </w:p>
        </w:tc>
        <w:tc>
          <w:tcPr>
            <w:tcW w:w="1667" w:type="pct"/>
            <w:shd w:val="clear" w:color="auto" w:fill="F2F2F2" w:themeFill="background1" w:themeFillShade="F2"/>
          </w:tcPr>
          <w:p w14:paraId="1AB01522" w14:textId="77777777" w:rsidR="00B3792F" w:rsidRPr="00027624" w:rsidRDefault="00B3792F" w:rsidP="00B3792F">
            <w:pPr>
              <w:pStyle w:val="TableColumnHeadingCentred"/>
              <w:keepNext/>
            </w:pPr>
            <w:r w:rsidRPr="00027624">
              <w:t>Did not receive the SG</w:t>
            </w:r>
          </w:p>
        </w:tc>
      </w:tr>
      <w:tr w:rsidR="00B3792F" w:rsidRPr="00027624" w14:paraId="28FD1EBA" w14:textId="77777777" w:rsidTr="00B3792F">
        <w:trPr>
          <w:cantSplit/>
          <w:trHeight w:val="270"/>
        </w:trPr>
        <w:tc>
          <w:tcPr>
            <w:tcW w:w="1666" w:type="pct"/>
          </w:tcPr>
          <w:p w14:paraId="33A67144" w14:textId="77777777" w:rsidR="00B3792F" w:rsidRPr="00027624" w:rsidRDefault="00B3792F" w:rsidP="00B3792F">
            <w:pPr>
              <w:pStyle w:val="TableTextLeft"/>
              <w:keepNext/>
            </w:pPr>
            <w:r w:rsidRPr="00027624">
              <w:t>Female</w:t>
            </w:r>
          </w:p>
        </w:tc>
        <w:tc>
          <w:tcPr>
            <w:tcW w:w="1667" w:type="pct"/>
          </w:tcPr>
          <w:p w14:paraId="13541034" w14:textId="77777777" w:rsidR="00B3792F" w:rsidRPr="00027624" w:rsidRDefault="00B3792F" w:rsidP="00B3792F">
            <w:pPr>
              <w:pStyle w:val="TableTextCentered"/>
              <w:keepNext/>
            </w:pPr>
            <w:r w:rsidRPr="00027624">
              <w:t>82,000</w:t>
            </w:r>
          </w:p>
        </w:tc>
        <w:tc>
          <w:tcPr>
            <w:tcW w:w="1667" w:type="pct"/>
          </w:tcPr>
          <w:p w14:paraId="1AFE4DD8" w14:textId="77777777" w:rsidR="00B3792F" w:rsidRPr="00027624" w:rsidRDefault="00B3792F" w:rsidP="00B3792F">
            <w:pPr>
              <w:pStyle w:val="TableTextCentered"/>
              <w:keepNext/>
              <w:rPr>
                <w:b/>
              </w:rPr>
            </w:pPr>
            <w:r w:rsidRPr="00027624">
              <w:rPr>
                <w:b/>
              </w:rPr>
              <w:t>197,000</w:t>
            </w:r>
          </w:p>
        </w:tc>
      </w:tr>
      <w:tr w:rsidR="00B3792F" w:rsidRPr="00027624" w14:paraId="436FB5AF" w14:textId="77777777" w:rsidTr="00B3792F">
        <w:trPr>
          <w:cantSplit/>
          <w:trHeight w:val="270"/>
        </w:trPr>
        <w:tc>
          <w:tcPr>
            <w:tcW w:w="1666" w:type="pct"/>
          </w:tcPr>
          <w:p w14:paraId="11909572" w14:textId="77777777" w:rsidR="00B3792F" w:rsidRPr="00027624" w:rsidRDefault="00B3792F" w:rsidP="00B3792F">
            <w:pPr>
              <w:pStyle w:val="TableTextLeft"/>
              <w:keepNext/>
            </w:pPr>
            <w:r w:rsidRPr="00027624">
              <w:t>Male</w:t>
            </w:r>
          </w:p>
        </w:tc>
        <w:tc>
          <w:tcPr>
            <w:tcW w:w="1667" w:type="pct"/>
          </w:tcPr>
          <w:p w14:paraId="72C20204" w14:textId="77777777" w:rsidR="00B3792F" w:rsidRPr="00027624" w:rsidRDefault="00B3792F" w:rsidP="00B3792F">
            <w:pPr>
              <w:pStyle w:val="TableTextCentered"/>
              <w:keepNext/>
            </w:pPr>
            <w:r w:rsidRPr="00027624">
              <w:t>52,000</w:t>
            </w:r>
          </w:p>
        </w:tc>
        <w:tc>
          <w:tcPr>
            <w:tcW w:w="1667" w:type="pct"/>
          </w:tcPr>
          <w:p w14:paraId="17D437DC" w14:textId="77777777" w:rsidR="00B3792F" w:rsidRPr="00027624" w:rsidRDefault="00B3792F" w:rsidP="00B3792F">
            <w:pPr>
              <w:pStyle w:val="TableTextCentered"/>
              <w:keepNext/>
              <w:rPr>
                <w:b/>
              </w:rPr>
            </w:pPr>
            <w:r w:rsidRPr="00027624">
              <w:rPr>
                <w:b/>
              </w:rPr>
              <w:t>114,000</w:t>
            </w:r>
          </w:p>
        </w:tc>
      </w:tr>
      <w:tr w:rsidR="00B3792F" w:rsidRPr="00027624" w14:paraId="7259D13E" w14:textId="77777777" w:rsidTr="00B3792F">
        <w:trPr>
          <w:cantSplit/>
          <w:trHeight w:val="270"/>
        </w:trPr>
        <w:tc>
          <w:tcPr>
            <w:tcW w:w="1666" w:type="pct"/>
          </w:tcPr>
          <w:p w14:paraId="2F99CE58" w14:textId="77777777" w:rsidR="00B3792F" w:rsidRPr="00027624" w:rsidRDefault="00B3792F" w:rsidP="00B3792F">
            <w:pPr>
              <w:pStyle w:val="TableTextLeft"/>
              <w:keepNext/>
            </w:pPr>
            <w:r w:rsidRPr="00027624">
              <w:t>Total</w:t>
            </w:r>
          </w:p>
        </w:tc>
        <w:tc>
          <w:tcPr>
            <w:tcW w:w="1667" w:type="pct"/>
          </w:tcPr>
          <w:p w14:paraId="3A8DE2A8" w14:textId="77777777" w:rsidR="00B3792F" w:rsidRPr="00027624" w:rsidRDefault="00B3792F" w:rsidP="00B3792F">
            <w:pPr>
              <w:pStyle w:val="TableTextCentered"/>
              <w:keepNext/>
            </w:pPr>
            <w:r w:rsidRPr="00027624">
              <w:t>134,000</w:t>
            </w:r>
          </w:p>
        </w:tc>
        <w:tc>
          <w:tcPr>
            <w:tcW w:w="1667" w:type="pct"/>
          </w:tcPr>
          <w:p w14:paraId="703D14F4" w14:textId="77777777" w:rsidR="00B3792F" w:rsidRPr="00027624" w:rsidRDefault="00B3792F" w:rsidP="00B3792F">
            <w:pPr>
              <w:pStyle w:val="TableTextCentered"/>
              <w:keepNext/>
              <w:rPr>
                <w:b/>
              </w:rPr>
            </w:pPr>
            <w:r w:rsidRPr="00027624">
              <w:rPr>
                <w:b/>
              </w:rPr>
              <w:t>311,000</w:t>
            </w:r>
          </w:p>
        </w:tc>
      </w:tr>
      <w:tr w:rsidR="00B3792F" w:rsidRPr="00027624" w14:paraId="1ABB334C" w14:textId="77777777" w:rsidTr="00B3792F">
        <w:trPr>
          <w:cantSplit/>
          <w:trHeight w:val="270"/>
        </w:trPr>
        <w:tc>
          <w:tcPr>
            <w:tcW w:w="1666" w:type="pct"/>
          </w:tcPr>
          <w:p w14:paraId="7ABD3A6B" w14:textId="77777777" w:rsidR="00B3792F" w:rsidRPr="00027624" w:rsidRDefault="00B3792F" w:rsidP="00B3792F">
            <w:pPr>
              <w:pStyle w:val="TableTextLeft"/>
              <w:keepNext/>
            </w:pPr>
            <w:r w:rsidRPr="00027624">
              <w:t>Proportion of total employees (per cent)</w:t>
            </w:r>
          </w:p>
        </w:tc>
        <w:tc>
          <w:tcPr>
            <w:tcW w:w="1667" w:type="pct"/>
          </w:tcPr>
          <w:p w14:paraId="487727A9" w14:textId="77777777" w:rsidR="00B3792F" w:rsidRPr="00027624" w:rsidRDefault="00B3792F" w:rsidP="00B3792F">
            <w:pPr>
              <w:pStyle w:val="TableTextCentered"/>
              <w:keepNext/>
            </w:pPr>
            <w:r w:rsidRPr="00027624">
              <w:t>1.3</w:t>
            </w:r>
          </w:p>
        </w:tc>
        <w:tc>
          <w:tcPr>
            <w:tcW w:w="1667" w:type="pct"/>
          </w:tcPr>
          <w:p w14:paraId="1E3963ED" w14:textId="77777777" w:rsidR="00B3792F" w:rsidRPr="00027624" w:rsidRDefault="00B3792F" w:rsidP="00B3792F">
            <w:pPr>
              <w:pStyle w:val="TableTextCentered"/>
              <w:keepNext/>
              <w:rPr>
                <w:b/>
              </w:rPr>
            </w:pPr>
            <w:r w:rsidRPr="00027624">
              <w:rPr>
                <w:b/>
              </w:rPr>
              <w:t>3.0</w:t>
            </w:r>
          </w:p>
        </w:tc>
      </w:tr>
    </w:tbl>
    <w:p w14:paraId="1AABA6EE" w14:textId="77777777" w:rsidR="00B3792F" w:rsidRPr="00027624" w:rsidRDefault="00B3792F" w:rsidP="00B3792F">
      <w:pPr>
        <w:pStyle w:val="ChartorTableNote"/>
      </w:pPr>
      <w:r w:rsidRPr="00027624">
        <w:t>Note: Based on earnings per job. Single Touch Payroll reporting is not yet used by all employers and there is significant uncertainty around these estimates. Source: Estimates based on ATO Single Touch Payroll data for July 2019, provided to the review.</w:t>
      </w:r>
    </w:p>
    <w:p w14:paraId="462FB467" w14:textId="724DDCBF" w:rsidR="00B3792F" w:rsidRPr="00027624" w:rsidRDefault="00B3792F" w:rsidP="00B3792F">
      <w:r w:rsidRPr="00027624">
        <w:t>Younger employees, who are more likely to work part</w:t>
      </w:r>
      <w:r w:rsidR="00A8443E" w:rsidRPr="00027624">
        <w:noBreakHyphen/>
      </w:r>
      <w:r w:rsidRPr="00027624">
        <w:t>time and in casual employment, are more likely to be affected by the threshold (</w:t>
      </w:r>
      <w:r w:rsidRPr="00027624">
        <w:fldChar w:fldCharType="begin"/>
      </w:r>
      <w:r w:rsidRPr="00027624">
        <w:instrText xml:space="preserve"> REF _Ref44582911 \r \h </w:instrText>
      </w:r>
      <w:r w:rsidR="00FA7639" w:rsidRPr="00027624">
        <w:instrText xml:space="preserve"> \* MERGEFORMAT </w:instrText>
      </w:r>
      <w:r w:rsidRPr="00027624">
        <w:fldChar w:fldCharType="separate"/>
      </w:r>
      <w:r w:rsidR="00891058">
        <w:t>Chart 3D-2</w:t>
      </w:r>
      <w:r w:rsidRPr="00027624">
        <w:fldChar w:fldCharType="end"/>
      </w:r>
      <w:r w:rsidRPr="00027624">
        <w:t>).</w:t>
      </w:r>
    </w:p>
    <w:p w14:paraId="2F28B93F" w14:textId="77777777" w:rsidR="00B3792F" w:rsidRPr="00027624" w:rsidRDefault="00B3792F" w:rsidP="00582C3E">
      <w:pPr>
        <w:pStyle w:val="ChartMainHeading"/>
      </w:pPr>
      <w:bookmarkStart w:id="2245" w:name="_Ref38618671"/>
      <w:bookmarkStart w:id="2246" w:name="_Ref44582911"/>
      <w:r w:rsidRPr="00027624">
        <w:t>Prevalence of employees earning under $450 in July 2019, by ag</w:t>
      </w:r>
      <w:bookmarkEnd w:id="2245"/>
      <w:r w:rsidRPr="00027624">
        <w:t>e</w:t>
      </w:r>
      <w:bookmarkEnd w:id="2246"/>
    </w:p>
    <w:p w14:paraId="485779F5" w14:textId="77777777" w:rsidR="00B3792F" w:rsidRPr="00027624" w:rsidRDefault="00B01AFF" w:rsidP="00B3792F">
      <w:pPr>
        <w:pStyle w:val="ChartGraphic"/>
      </w:pPr>
      <w:r>
        <w:rPr>
          <w:noProof/>
        </w:rPr>
        <w:drawing>
          <wp:inline distT="0" distB="0" distL="0" distR="0" wp14:anchorId="24D5E529" wp14:editId="3CC51882">
            <wp:extent cx="5585460" cy="2522220"/>
            <wp:effectExtent l="0" t="0" r="0" b="0"/>
            <wp:docPr id="2099192806" name="Picture 2099192806" descr="This chart shows that over 8 per cent of those under the age of 25 earned under $450 in July 2019, per employer. This compares to around 2 per cent of those aged 25-34 to 55-64. Around 4.5 per cent of those aged 65 and over earned under $450 in July 2019, per employer. " title="Chart 3D-2 Prevalence of employees earning under $450 in July 2019,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5EEE7E33" w14:textId="77777777" w:rsidR="00B3792F" w:rsidRPr="00027624" w:rsidRDefault="00B3792F" w:rsidP="00B3792F">
      <w:pPr>
        <w:pStyle w:val="ChartorTableNote"/>
      </w:pPr>
      <w:r w:rsidRPr="00027624">
        <w:t>Note: Estimate is based on only one representative month. Single Touch Payroll reporting is not yet used by all employers and there is significant uncertainty around these estimates. Source: Analysis based on ATO Single Touch Payroll data for July 2019 provided to the review;</w:t>
      </w:r>
      <w:r w:rsidRPr="00027624">
        <w:fldChar w:fldCharType="begin"/>
      </w:r>
      <w:r w:rsidRPr="00027624">
        <w:instrText xml:space="preserve"> CITATION ABS194 \l 3081 </w:instrText>
      </w:r>
      <w:r w:rsidRPr="00027624">
        <w:fldChar w:fldCharType="separate"/>
      </w:r>
      <w:r w:rsidR="00E83F6E">
        <w:rPr>
          <w:noProof/>
        </w:rPr>
        <w:t xml:space="preserve"> (ABS, 2019c)</w:t>
      </w:r>
      <w:r w:rsidRPr="00027624">
        <w:fldChar w:fldCharType="end"/>
      </w:r>
      <w:r w:rsidRPr="00027624">
        <w:t xml:space="preserve">, </w:t>
      </w:r>
      <w:sdt>
        <w:sdtPr>
          <w:id w:val="-673106700"/>
          <w:citation/>
        </w:sdtPr>
        <w:sdtEndPr/>
        <w:sdtContent>
          <w:r w:rsidRPr="00027624">
            <w:fldChar w:fldCharType="begin"/>
          </w:r>
          <w:r w:rsidRPr="00027624">
            <w:instrText xml:space="preserve">CITATION ABS201 \l 3081 </w:instrText>
          </w:r>
          <w:r w:rsidRPr="00027624">
            <w:fldChar w:fldCharType="separate"/>
          </w:r>
          <w:r w:rsidR="00E83F6E">
            <w:rPr>
              <w:noProof/>
            </w:rPr>
            <w:t>(ABS, 2020f)</w:t>
          </w:r>
          <w:r w:rsidRPr="00027624">
            <w:fldChar w:fldCharType="end"/>
          </w:r>
        </w:sdtContent>
      </w:sdt>
      <w:r w:rsidRPr="00027624">
        <w:t>.</w:t>
      </w:r>
    </w:p>
    <w:p w14:paraId="7E6C4E54" w14:textId="04BD795E" w:rsidR="00B3792F" w:rsidRPr="00027624" w:rsidRDefault="00B3792F" w:rsidP="00B3792F">
      <w:r w:rsidRPr="00027624">
        <w:t>Cameo modelling illustrates the retirement income effects of the $450</w:t>
      </w:r>
      <w:r w:rsidR="00A8443E" w:rsidRPr="00027624">
        <w:noBreakHyphen/>
      </w:r>
      <w:r w:rsidRPr="00027624">
        <w:t>a</w:t>
      </w:r>
      <w:r w:rsidR="00A8443E" w:rsidRPr="00027624">
        <w:noBreakHyphen/>
      </w:r>
      <w:r w:rsidRPr="00027624">
        <w:t>month threshold for two employee scenarios (</w:t>
      </w:r>
      <w:r w:rsidRPr="00027624">
        <w:fldChar w:fldCharType="begin"/>
      </w:r>
      <w:r w:rsidRPr="00027624">
        <w:instrText xml:space="preserve"> REF _Ref38534622 \r \h  \* MERGEFORMAT </w:instrText>
      </w:r>
      <w:r w:rsidRPr="00027624">
        <w:fldChar w:fldCharType="separate"/>
      </w:r>
      <w:r w:rsidR="00891058">
        <w:t>Table 3D-2</w:t>
      </w:r>
      <w:r w:rsidRPr="00027624">
        <w:fldChar w:fldCharType="end"/>
      </w:r>
      <w:r w:rsidRPr="00027624">
        <w:t>).</w:t>
      </w:r>
    </w:p>
    <w:p w14:paraId="1C05EA9F" w14:textId="77777777" w:rsidR="00B3792F" w:rsidRPr="00027624" w:rsidRDefault="00B3792F" w:rsidP="00F14B57">
      <w:pPr>
        <w:pStyle w:val="Bullet"/>
        <w:numPr>
          <w:ilvl w:val="0"/>
          <w:numId w:val="44"/>
        </w:numPr>
        <w:ind w:left="284" w:hanging="284"/>
      </w:pPr>
      <w:r w:rsidRPr="00027624">
        <w:rPr>
          <w:b/>
        </w:rPr>
        <w:t>Scenario 1:</w:t>
      </w:r>
      <w:r w:rsidRPr="00027624">
        <w:t xml:space="preserve"> </w:t>
      </w:r>
      <w:r w:rsidRPr="00027624">
        <w:rPr>
          <w:i/>
        </w:rPr>
        <w:t>A student who earns $9,000 per year and works casually, depending on their availability, resulting in the $450</w:t>
      </w:r>
      <w:r w:rsidR="00A8443E" w:rsidRPr="00027624">
        <w:rPr>
          <w:i/>
        </w:rPr>
        <w:noBreakHyphen/>
      </w:r>
      <w:r w:rsidRPr="00027624">
        <w:rPr>
          <w:i/>
        </w:rPr>
        <w:t>a</w:t>
      </w:r>
      <w:r w:rsidR="00A8443E" w:rsidRPr="00027624">
        <w:rPr>
          <w:i/>
        </w:rPr>
        <w:noBreakHyphen/>
      </w:r>
      <w:r w:rsidRPr="00027624">
        <w:rPr>
          <w:i/>
        </w:rPr>
        <w:t>month threshold applying to their wage for six months of the year. They work in this manner for five years before taking up full</w:t>
      </w:r>
      <w:r w:rsidR="00A8443E" w:rsidRPr="00027624">
        <w:rPr>
          <w:i/>
        </w:rPr>
        <w:noBreakHyphen/>
      </w:r>
      <w:r w:rsidRPr="00027624">
        <w:rPr>
          <w:i/>
        </w:rPr>
        <w:t>time work at a median salary.</w:t>
      </w:r>
    </w:p>
    <w:p w14:paraId="2A06A437" w14:textId="77777777" w:rsidR="00B3792F" w:rsidRPr="00027624" w:rsidRDefault="00B3792F" w:rsidP="00B3792F">
      <w:pPr>
        <w:ind w:left="284"/>
      </w:pPr>
      <w:r w:rsidRPr="00027624">
        <w:t>The threshold has a small impact on their superannuation balance at retirement and on their retirement income. The overall time spent with earnings under $450 per month is intermittent and only makes up a small part of their total working</w:t>
      </w:r>
      <w:r w:rsidR="00A8443E" w:rsidRPr="00027624">
        <w:noBreakHyphen/>
      </w:r>
      <w:r w:rsidRPr="00027624">
        <w:t>life earnings.</w:t>
      </w:r>
    </w:p>
    <w:p w14:paraId="5BD68C46" w14:textId="77777777" w:rsidR="00B3792F" w:rsidRPr="00027624" w:rsidRDefault="00B3792F" w:rsidP="00F14B57">
      <w:pPr>
        <w:pStyle w:val="Bullet"/>
        <w:numPr>
          <w:ilvl w:val="0"/>
          <w:numId w:val="44"/>
        </w:numPr>
        <w:ind w:left="284" w:hanging="284"/>
      </w:pPr>
      <w:r w:rsidRPr="00027624">
        <w:rPr>
          <w:b/>
        </w:rPr>
        <w:t>Scenario 2:</w:t>
      </w:r>
      <w:r w:rsidRPr="00027624">
        <w:t xml:space="preserve"> </w:t>
      </w:r>
      <w:r w:rsidRPr="00027624">
        <w:rPr>
          <w:i/>
        </w:rPr>
        <w:t>A person who works multiple jobs part</w:t>
      </w:r>
      <w:r w:rsidR="00A8443E" w:rsidRPr="00027624">
        <w:rPr>
          <w:i/>
        </w:rPr>
        <w:noBreakHyphen/>
      </w:r>
      <w:r w:rsidRPr="00027624">
        <w:rPr>
          <w:i/>
        </w:rPr>
        <w:t>time for their entire career, earning income at the 30</w:t>
      </w:r>
      <w:r w:rsidRPr="00027624">
        <w:rPr>
          <w:i/>
          <w:vertAlign w:val="superscript"/>
        </w:rPr>
        <w:t>th</w:t>
      </w:r>
      <w:r w:rsidRPr="00027624">
        <w:rPr>
          <w:i/>
        </w:rPr>
        <w:t xml:space="preserve"> percentile. They have one job that does not pay the SG due to the $450</w:t>
      </w:r>
      <w:r w:rsidR="00A8443E" w:rsidRPr="00027624">
        <w:rPr>
          <w:i/>
        </w:rPr>
        <w:noBreakHyphen/>
      </w:r>
      <w:r w:rsidRPr="00027624">
        <w:rPr>
          <w:i/>
        </w:rPr>
        <w:t>a</w:t>
      </w:r>
      <w:r w:rsidR="00A8443E" w:rsidRPr="00027624">
        <w:rPr>
          <w:i/>
        </w:rPr>
        <w:noBreakHyphen/>
      </w:r>
      <w:r w:rsidRPr="00027624">
        <w:rPr>
          <w:i/>
        </w:rPr>
        <w:t>month threshold for half (20 years) of their working life.</w:t>
      </w:r>
    </w:p>
    <w:p w14:paraId="50D03F68" w14:textId="77777777" w:rsidR="00B3792F" w:rsidRPr="00027624" w:rsidRDefault="00B3792F" w:rsidP="00B3792F">
      <w:pPr>
        <w:ind w:left="284"/>
      </w:pPr>
      <w:r w:rsidRPr="00027624">
        <w:t>This much less common scenario results in a greater, but still small, reduction in the person</w:t>
      </w:r>
      <w:r w:rsidR="00A8443E" w:rsidRPr="00027624">
        <w:t>’</w:t>
      </w:r>
      <w:r w:rsidRPr="00027624">
        <w:t>s superannuation balance at retirement and in their annual retirement income.</w:t>
      </w:r>
    </w:p>
    <w:p w14:paraId="601D5AC9" w14:textId="77777777" w:rsidR="00B3792F" w:rsidRPr="00027624" w:rsidRDefault="00B3792F" w:rsidP="00582C3E">
      <w:pPr>
        <w:pStyle w:val="TableMainHeading"/>
      </w:pPr>
      <w:bookmarkStart w:id="2247" w:name="_Ref37248695"/>
      <w:bookmarkStart w:id="2248" w:name="_Ref38534622"/>
      <w:r w:rsidRPr="00027624">
        <w:lastRenderedPageBreak/>
        <w:t>Projected effect of the $450</w:t>
      </w:r>
      <w:r w:rsidR="00A8443E" w:rsidRPr="00027624">
        <w:noBreakHyphen/>
      </w:r>
      <w:r w:rsidRPr="00027624">
        <w:t>a</w:t>
      </w:r>
      <w:r w:rsidR="00A8443E" w:rsidRPr="00027624">
        <w:noBreakHyphen/>
      </w:r>
      <w:r w:rsidRPr="00027624">
        <w:t>month threshold on retirement incomes</w:t>
      </w:r>
      <w:bookmarkEnd w:id="2247"/>
      <w:bookmarkEnd w:id="2248"/>
    </w:p>
    <w:tbl>
      <w:tblPr>
        <w:tblW w:w="0" w:type="auto"/>
        <w:jc w:val="center"/>
        <w:tblLook w:val="01E0" w:firstRow="1" w:lastRow="1" w:firstColumn="1" w:lastColumn="1" w:noHBand="0" w:noVBand="0"/>
      </w:tblPr>
      <w:tblGrid>
        <w:gridCol w:w="1134"/>
        <w:gridCol w:w="3064"/>
        <w:gridCol w:w="2425"/>
        <w:gridCol w:w="2447"/>
      </w:tblGrid>
      <w:tr w:rsidR="00B3792F" w:rsidRPr="00027624" w14:paraId="3BCAB302" w14:textId="77777777" w:rsidTr="00B3792F">
        <w:trPr>
          <w:trHeight w:val="270"/>
          <w:tblHeader/>
          <w:jc w:val="center"/>
        </w:trPr>
        <w:tc>
          <w:tcPr>
            <w:tcW w:w="1134" w:type="dxa"/>
            <w:shd w:val="clear" w:color="auto" w:fill="E5E5E5"/>
          </w:tcPr>
          <w:p w14:paraId="6130C156" w14:textId="77777777" w:rsidR="00B3792F" w:rsidRPr="00027624" w:rsidRDefault="00B3792F" w:rsidP="00B3792F">
            <w:pPr>
              <w:pStyle w:val="TableTextLeft"/>
              <w:keepNext/>
            </w:pPr>
          </w:p>
        </w:tc>
        <w:tc>
          <w:tcPr>
            <w:tcW w:w="3064" w:type="dxa"/>
            <w:shd w:val="clear" w:color="auto" w:fill="E5E5E5"/>
          </w:tcPr>
          <w:p w14:paraId="2675E4CC" w14:textId="77777777" w:rsidR="00B3792F" w:rsidRPr="00027624" w:rsidRDefault="00B3792F" w:rsidP="00B3792F">
            <w:pPr>
              <w:pStyle w:val="TableColumnHeadingCentred"/>
              <w:keepNext/>
            </w:pPr>
            <w:r w:rsidRPr="00027624">
              <w:t>Superannuation balance at retirement ($)</w:t>
            </w:r>
          </w:p>
        </w:tc>
        <w:tc>
          <w:tcPr>
            <w:tcW w:w="0" w:type="auto"/>
            <w:shd w:val="clear" w:color="auto" w:fill="E5E5E5"/>
          </w:tcPr>
          <w:p w14:paraId="13D736CF" w14:textId="77777777" w:rsidR="00B3792F" w:rsidRPr="00027624" w:rsidRDefault="00B3792F" w:rsidP="00B3792F">
            <w:pPr>
              <w:pStyle w:val="TableColumnHeadingCentred"/>
              <w:keepNext/>
            </w:pPr>
            <w:r w:rsidRPr="00027624">
              <w:t>Average annual retirement income ($)</w:t>
            </w:r>
          </w:p>
        </w:tc>
        <w:tc>
          <w:tcPr>
            <w:tcW w:w="0" w:type="auto"/>
            <w:shd w:val="clear" w:color="auto" w:fill="E5E5E5"/>
          </w:tcPr>
          <w:p w14:paraId="425E6EBA" w14:textId="77777777" w:rsidR="00B3792F" w:rsidRPr="00027624" w:rsidRDefault="00B3792F" w:rsidP="00B3792F">
            <w:pPr>
              <w:pStyle w:val="TableColumnHeadingCentred"/>
              <w:keepNext/>
            </w:pPr>
            <w:r w:rsidRPr="00027624">
              <w:t>Replacement rate (percentage point)</w:t>
            </w:r>
          </w:p>
        </w:tc>
      </w:tr>
      <w:tr w:rsidR="00B3792F" w:rsidRPr="00027624" w14:paraId="065C00CD" w14:textId="77777777" w:rsidTr="00B3792F">
        <w:trPr>
          <w:trHeight w:val="270"/>
          <w:jc w:val="center"/>
        </w:trPr>
        <w:tc>
          <w:tcPr>
            <w:tcW w:w="1134" w:type="dxa"/>
          </w:tcPr>
          <w:p w14:paraId="6A421A9B" w14:textId="77777777" w:rsidR="00B3792F" w:rsidRPr="00027624" w:rsidRDefault="00B3792F" w:rsidP="00B3792F">
            <w:pPr>
              <w:pStyle w:val="TableTextCentered"/>
              <w:keepNext/>
              <w:jc w:val="left"/>
            </w:pPr>
            <w:r w:rsidRPr="00027624">
              <w:t>Scenario 1</w:t>
            </w:r>
          </w:p>
        </w:tc>
        <w:tc>
          <w:tcPr>
            <w:tcW w:w="3064" w:type="dxa"/>
          </w:tcPr>
          <w:p w14:paraId="0503A612" w14:textId="77777777" w:rsidR="00B3792F" w:rsidRPr="00027624" w:rsidRDefault="00A8443E" w:rsidP="00B3792F">
            <w:pPr>
              <w:pStyle w:val="TableTextCentered"/>
              <w:keepNext/>
            </w:pPr>
            <w:r w:rsidRPr="00027624">
              <w:noBreakHyphen/>
            </w:r>
            <w:r w:rsidR="00B3792F" w:rsidRPr="00027624">
              <w:t>2,700 (</w:t>
            </w:r>
            <w:r w:rsidRPr="00027624">
              <w:noBreakHyphen/>
            </w:r>
            <w:r w:rsidR="00B3792F" w:rsidRPr="00027624">
              <w:t>0.7% decrease)</w:t>
            </w:r>
          </w:p>
        </w:tc>
        <w:tc>
          <w:tcPr>
            <w:tcW w:w="0" w:type="auto"/>
          </w:tcPr>
          <w:p w14:paraId="7806BA61" w14:textId="77777777" w:rsidR="00B3792F" w:rsidRPr="00027624" w:rsidRDefault="00A8443E" w:rsidP="00B3792F">
            <w:pPr>
              <w:pStyle w:val="TableTextCentered"/>
              <w:keepNext/>
            </w:pPr>
            <w:r w:rsidRPr="00027624">
              <w:noBreakHyphen/>
            </w:r>
            <w:r w:rsidR="00B3792F" w:rsidRPr="00027624">
              <w:t>100 (</w:t>
            </w:r>
            <w:r w:rsidRPr="00027624">
              <w:noBreakHyphen/>
            </w:r>
            <w:r w:rsidR="00B3792F" w:rsidRPr="00027624">
              <w:t>0.2% decrease)</w:t>
            </w:r>
          </w:p>
        </w:tc>
        <w:tc>
          <w:tcPr>
            <w:tcW w:w="0" w:type="auto"/>
          </w:tcPr>
          <w:p w14:paraId="35292422" w14:textId="77777777" w:rsidR="00B3792F" w:rsidRPr="00027624" w:rsidRDefault="00A8443E" w:rsidP="00B3792F">
            <w:pPr>
              <w:pStyle w:val="TableTextCentered"/>
              <w:keepNext/>
            </w:pPr>
            <w:r w:rsidRPr="00027624">
              <w:noBreakHyphen/>
            </w:r>
            <w:r w:rsidR="00B3792F" w:rsidRPr="00027624">
              <w:t xml:space="preserve">0.1 </w:t>
            </w:r>
          </w:p>
        </w:tc>
      </w:tr>
      <w:tr w:rsidR="00B3792F" w:rsidRPr="00027624" w14:paraId="1EA4DB1B" w14:textId="77777777" w:rsidTr="00B3792F">
        <w:trPr>
          <w:trHeight w:val="270"/>
          <w:jc w:val="center"/>
        </w:trPr>
        <w:tc>
          <w:tcPr>
            <w:tcW w:w="1134" w:type="dxa"/>
          </w:tcPr>
          <w:p w14:paraId="129760CA" w14:textId="77777777" w:rsidR="00B3792F" w:rsidRPr="00027624" w:rsidRDefault="00B3792F" w:rsidP="00B3792F">
            <w:pPr>
              <w:pStyle w:val="TableTextCentered"/>
              <w:keepNext/>
              <w:jc w:val="left"/>
            </w:pPr>
            <w:r w:rsidRPr="00027624">
              <w:t>Scenario 2</w:t>
            </w:r>
          </w:p>
        </w:tc>
        <w:tc>
          <w:tcPr>
            <w:tcW w:w="3064" w:type="dxa"/>
          </w:tcPr>
          <w:p w14:paraId="5468CE38" w14:textId="77777777" w:rsidR="00B3792F" w:rsidRPr="00027624" w:rsidRDefault="00A8443E" w:rsidP="00B3792F">
            <w:pPr>
              <w:pStyle w:val="TableTextCentered"/>
              <w:keepNext/>
            </w:pPr>
            <w:r w:rsidRPr="00027624">
              <w:noBreakHyphen/>
            </w:r>
            <w:r w:rsidR="00B3792F" w:rsidRPr="00027624">
              <w:t>12,000 (</w:t>
            </w:r>
            <w:r w:rsidRPr="00027624">
              <w:noBreakHyphen/>
            </w:r>
            <w:r w:rsidR="00B3792F" w:rsidRPr="00027624">
              <w:t>4.0% decrease)</w:t>
            </w:r>
          </w:p>
        </w:tc>
        <w:tc>
          <w:tcPr>
            <w:tcW w:w="0" w:type="auto"/>
          </w:tcPr>
          <w:p w14:paraId="53BC13F5" w14:textId="77777777" w:rsidR="00B3792F" w:rsidRPr="00027624" w:rsidRDefault="00A8443E" w:rsidP="00B3792F">
            <w:pPr>
              <w:pStyle w:val="TableTextCentered"/>
              <w:keepNext/>
            </w:pPr>
            <w:r w:rsidRPr="00027624">
              <w:noBreakHyphen/>
            </w:r>
            <w:r w:rsidR="00B3792F" w:rsidRPr="00027624">
              <w:t>300 (</w:t>
            </w:r>
            <w:r w:rsidRPr="00027624">
              <w:noBreakHyphen/>
            </w:r>
            <w:r w:rsidR="00B3792F" w:rsidRPr="00027624">
              <w:t>0.8% decrease)</w:t>
            </w:r>
          </w:p>
        </w:tc>
        <w:tc>
          <w:tcPr>
            <w:tcW w:w="0" w:type="auto"/>
          </w:tcPr>
          <w:p w14:paraId="71568122" w14:textId="77777777" w:rsidR="00B3792F" w:rsidRPr="00027624" w:rsidRDefault="00A8443E" w:rsidP="00B3792F">
            <w:pPr>
              <w:pStyle w:val="TableTextCentered"/>
              <w:keepNext/>
            </w:pPr>
            <w:r w:rsidRPr="00027624">
              <w:noBreakHyphen/>
            </w:r>
            <w:r w:rsidR="00B3792F" w:rsidRPr="00027624">
              <w:t xml:space="preserve">0.9 </w:t>
            </w:r>
          </w:p>
        </w:tc>
      </w:tr>
    </w:tbl>
    <w:p w14:paraId="35766810" w14:textId="77777777" w:rsidR="00B3792F" w:rsidRPr="00027624" w:rsidRDefault="00B3792F" w:rsidP="00B3792F">
      <w:pPr>
        <w:pStyle w:val="ChartorTableNote"/>
        <w:keepNext/>
      </w:pPr>
      <w:r w:rsidRPr="00027624">
        <w:t>Note: Values are in 2019</w:t>
      </w:r>
      <w:r w:rsidR="00A8443E" w:rsidRPr="00027624">
        <w:noBreakHyphen/>
      </w:r>
      <w:r w:rsidRPr="00027624">
        <w:t>20 dollars using the review</w:t>
      </w:r>
      <w:r w:rsidR="00A8443E" w:rsidRPr="00027624">
        <w:t>’</w:t>
      </w:r>
      <w:r w:rsidRPr="00027624">
        <w:t>s mixed deflator rounded to the nearest $100. Individual in Scenario 1 does not salary sacrifice during five years working part</w:t>
      </w:r>
      <w:r w:rsidR="006E4259" w:rsidRPr="00027624">
        <w:t>-</w:t>
      </w:r>
      <w:r w:rsidRPr="00027624">
        <w:t>time. Source: Cameo modelling undertaken for the review.</w:t>
      </w:r>
    </w:p>
    <w:p w14:paraId="1A82EBB5" w14:textId="77777777" w:rsidR="00B3792F" w:rsidRPr="00027624" w:rsidRDefault="00B3792F" w:rsidP="00B3792F">
      <w:pPr>
        <w:spacing w:before="240"/>
      </w:pPr>
      <w:r w:rsidRPr="00027624">
        <w:t>Employees earning under $450 per month are likely to be earning an award wage,</w:t>
      </w:r>
      <w:r w:rsidRPr="00027624">
        <w:rPr>
          <w:rStyle w:val="FootnoteReference"/>
        </w:rPr>
        <w:footnoteReference w:id="177"/>
      </w:r>
      <w:r w:rsidRPr="00027624">
        <w:t xml:space="preserve"> so their hourly pay is not generally increased to compensate for the SG forgone. This results in those employees receiving less total remuneration than an identical employee who works enough hours to be over the $450</w:t>
      </w:r>
      <w:r w:rsidR="00A8443E" w:rsidRPr="00027624">
        <w:noBreakHyphen/>
      </w:r>
      <w:r w:rsidRPr="00027624">
        <w:t>a</w:t>
      </w:r>
      <w:r w:rsidR="00A8443E" w:rsidRPr="00027624">
        <w:noBreakHyphen/>
      </w:r>
      <w:r w:rsidRPr="00027624">
        <w:t>month threshold.</w:t>
      </w:r>
    </w:p>
    <w:p w14:paraId="2B993394" w14:textId="77777777" w:rsidR="00B3792F" w:rsidRPr="00027624" w:rsidRDefault="00B3792F" w:rsidP="00B3792F">
      <w:pPr>
        <w:pStyle w:val="Heading4"/>
      </w:pPr>
      <w:bookmarkStart w:id="2249" w:name="_Toc40366156"/>
      <w:bookmarkStart w:id="2250" w:name="_Toc40369702"/>
      <w:bookmarkStart w:id="2251" w:name="_Toc40427672"/>
      <w:bookmarkStart w:id="2252" w:name="_Toc40458111"/>
      <w:bookmarkStart w:id="2253" w:name="_Toc40461880"/>
      <w:bookmarkStart w:id="2254" w:name="_Toc40474435"/>
      <w:bookmarkStart w:id="2255" w:name="_Toc40477964"/>
      <w:bookmarkStart w:id="2256" w:name="_Toc40521544"/>
      <w:bookmarkStart w:id="2257" w:name="_Toc40530403"/>
      <w:bookmarkStart w:id="2258" w:name="_Toc42778830"/>
      <w:bookmarkStart w:id="2259" w:name="_Toc42779970"/>
      <w:bookmarkStart w:id="2260" w:name="_Toc42780399"/>
      <w:bookmarkStart w:id="2261" w:name="_Toc42786389"/>
      <w:bookmarkStart w:id="2262" w:name="_Toc42791882"/>
      <w:bookmarkStart w:id="2263" w:name="_Toc42792044"/>
      <w:bookmarkStart w:id="2264" w:name="_Toc43117851"/>
      <w:bookmarkStart w:id="2265" w:name="_Toc43121490"/>
      <w:bookmarkStart w:id="2266" w:name="_Toc43122695"/>
      <w:bookmarkStart w:id="2267" w:name="_Toc43127750"/>
      <w:r w:rsidRPr="00027624">
        <w:t>Ordinary time earnings</w:t>
      </w:r>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p>
    <w:p w14:paraId="2F5C90C7" w14:textId="77777777" w:rsidR="00B3792F" w:rsidRPr="00027624" w:rsidRDefault="00B3792F" w:rsidP="00B3792F">
      <w:r w:rsidRPr="00027624">
        <w:t xml:space="preserve">The salary base for the SG is a legacy from occupational superannuation arrangements that existed before compulsory superannuation was introduced </w:t>
      </w:r>
      <w:sdt>
        <w:sdtPr>
          <w:id w:val="1485960740"/>
          <w:citation/>
        </w:sdtPr>
        <w:sdtEndPr/>
        <w:sdtContent>
          <w:r w:rsidRPr="00027624">
            <w:fldChar w:fldCharType="begin"/>
          </w:r>
          <w:r w:rsidRPr="00027624">
            <w:instrText xml:space="preserve"> CITATION The04 \l 3081 </w:instrText>
          </w:r>
          <w:r w:rsidRPr="00027624">
            <w:fldChar w:fldCharType="separate"/>
          </w:r>
          <w:r w:rsidR="00E83F6E">
            <w:rPr>
              <w:noProof/>
            </w:rPr>
            <w:t>(Parliament of Australia, 2004)</w:t>
          </w:r>
          <w:r w:rsidRPr="00027624">
            <w:fldChar w:fldCharType="end"/>
          </w:r>
        </w:sdtContent>
      </w:sdt>
      <w:r w:rsidRPr="00027624">
        <w:t>. The SG is paid on a percentage of ordinary time earnings, which includes most wage definitions such as over</w:t>
      </w:r>
      <w:r w:rsidR="00A8443E" w:rsidRPr="00027624">
        <w:noBreakHyphen/>
      </w:r>
      <w:r w:rsidRPr="00027624">
        <w:t>award payments, shift loadings and allowances</w:t>
      </w:r>
      <w:sdt>
        <w:sdtPr>
          <w:id w:val="-1310706689"/>
          <w:citation/>
        </w:sdtPr>
        <w:sdtEndPr/>
        <w:sdtContent>
          <w:r w:rsidRPr="00027624">
            <w:fldChar w:fldCharType="begin"/>
          </w:r>
          <w:r w:rsidRPr="00027624">
            <w:instrText xml:space="preserve"> CITATION ATO0f \l 3081 </w:instrText>
          </w:r>
          <w:r w:rsidRPr="00027624">
            <w:fldChar w:fldCharType="separate"/>
          </w:r>
          <w:r w:rsidR="00E83F6E">
            <w:rPr>
              <w:noProof/>
            </w:rPr>
            <w:t xml:space="preserve"> (ATO, 2020f)</w:t>
          </w:r>
          <w:r w:rsidRPr="00027624">
            <w:fldChar w:fldCharType="end"/>
          </w:r>
        </w:sdtContent>
      </w:sdt>
      <w:r w:rsidRPr="00027624">
        <w:t>. The major exclusion category from ordinary time earnings is overtime pay.</w:t>
      </w:r>
    </w:p>
    <w:p w14:paraId="0D2AFE3C" w14:textId="77777777" w:rsidR="00B3792F" w:rsidRPr="00027624" w:rsidRDefault="00B3792F" w:rsidP="00B3792F">
      <w:r w:rsidRPr="00027624">
        <w:t>The difference between total cash earnings and ordinary time earnings for full</w:t>
      </w:r>
      <w:r w:rsidR="00A8443E" w:rsidRPr="00027624">
        <w:noBreakHyphen/>
      </w:r>
      <w:r w:rsidRPr="00027624">
        <w:t>time employees averages around 5 per cent</w:t>
      </w:r>
      <w:sdt>
        <w:sdtPr>
          <w:id w:val="-722750020"/>
          <w:citation/>
        </w:sdtPr>
        <w:sdtEndPr/>
        <w:sdtContent>
          <w:r w:rsidRPr="00027624">
            <w:fldChar w:fldCharType="begin"/>
          </w:r>
          <w:r w:rsidRPr="00027624">
            <w:instrText xml:space="preserve"> CITATION ABS195 \l 3081 </w:instrText>
          </w:r>
          <w:r w:rsidRPr="00027624">
            <w:fldChar w:fldCharType="separate"/>
          </w:r>
          <w:r w:rsidR="00E83F6E">
            <w:rPr>
              <w:noProof/>
            </w:rPr>
            <w:t xml:space="preserve"> (ABS, 2019h)</w:t>
          </w:r>
          <w:r w:rsidRPr="00027624">
            <w:fldChar w:fldCharType="end"/>
          </w:r>
        </w:sdtContent>
      </w:sdt>
      <w:r w:rsidRPr="00027624">
        <w:t>. This gap is not consistent across all industries. Non</w:t>
      </w:r>
      <w:r w:rsidR="00A8443E" w:rsidRPr="00027624">
        <w:noBreakHyphen/>
      </w:r>
      <w:r w:rsidRPr="00027624">
        <w:t xml:space="preserve">ordinary time earnings (e.g. overtime pay) represents a significant proportion of earnings for about 20 per cent of employees </w:t>
      </w:r>
      <w:sdt>
        <w:sdtPr>
          <w:id w:val="-2094069001"/>
          <w:citation/>
        </w:sdtPr>
        <w:sdtEndPr/>
        <w:sdtContent>
          <w:r w:rsidRPr="00027624">
            <w:fldChar w:fldCharType="begin"/>
          </w:r>
          <w:r w:rsidRPr="00027624">
            <w:instrText xml:space="preserve"> CITATION Cro \l 3081 </w:instrText>
          </w:r>
          <w:r w:rsidRPr="00027624">
            <w:fldChar w:fldCharType="separate"/>
          </w:r>
          <w:r w:rsidR="00E83F6E">
            <w:rPr>
              <w:noProof/>
            </w:rPr>
            <w:t>(Superannuation Guarantee Cross Agency Working Group, 2017)</w:t>
          </w:r>
          <w:r w:rsidRPr="00027624">
            <w:fldChar w:fldCharType="end"/>
          </w:r>
        </w:sdtContent>
      </w:sdt>
      <w:r w:rsidRPr="00027624">
        <w:t>, particularly those in mining, manufacturing and construction</w:t>
      </w:r>
      <w:sdt>
        <w:sdtPr>
          <w:id w:val="-22867474"/>
          <w:citation/>
        </w:sdtPr>
        <w:sdtEndPr/>
        <w:sdtContent>
          <w:r w:rsidRPr="00027624">
            <w:fldChar w:fldCharType="begin"/>
          </w:r>
          <w:r w:rsidRPr="00027624">
            <w:instrText xml:space="preserve"> CITATION ABS195 \l 3081 </w:instrText>
          </w:r>
          <w:r w:rsidRPr="00027624">
            <w:fldChar w:fldCharType="separate"/>
          </w:r>
          <w:r w:rsidR="00E83F6E">
            <w:rPr>
              <w:noProof/>
            </w:rPr>
            <w:t xml:space="preserve"> (ABS, 2019h)</w:t>
          </w:r>
          <w:r w:rsidRPr="00027624">
            <w:fldChar w:fldCharType="end"/>
          </w:r>
        </w:sdtContent>
      </w:sdt>
      <w:r w:rsidRPr="00027624">
        <w:t>. For employees who receive overtime, it typically makes up around 12.5 per cent of their earnings, on which they do not receive the SG.</w:t>
      </w:r>
      <w:r w:rsidRPr="00027624">
        <w:rPr>
          <w:rStyle w:val="FootnoteReference"/>
        </w:rPr>
        <w:footnoteReference w:id="178"/>
      </w:r>
    </w:p>
    <w:p w14:paraId="4567F267" w14:textId="4D988B46" w:rsidR="00B3792F" w:rsidRPr="00027624" w:rsidRDefault="00B3792F" w:rsidP="00B3792F">
      <w:r w:rsidRPr="00027624">
        <w:t xml:space="preserve">Cameo analysis shows that </w:t>
      </w:r>
      <w:r w:rsidRPr="00027624" w:rsidDel="00913A45">
        <w:t xml:space="preserve">a person </w:t>
      </w:r>
      <w:r w:rsidRPr="00027624">
        <w:t>receiving 12.5 per cent of earnings as overtime, instead of ordinary time earnings, results in them having a substantially lower superannuation balance at retirement and a lower retirement income (</w:t>
      </w:r>
      <w:r w:rsidRPr="00027624">
        <w:fldChar w:fldCharType="begin"/>
      </w:r>
      <w:r w:rsidRPr="00027624">
        <w:instrText xml:space="preserve"> REF _Ref37255147 \r \h  \* MERGEFORMAT </w:instrText>
      </w:r>
      <w:r w:rsidRPr="00027624">
        <w:fldChar w:fldCharType="separate"/>
      </w:r>
      <w:r w:rsidR="00891058">
        <w:t>Table 3D-3</w:t>
      </w:r>
      <w:r w:rsidRPr="00027624">
        <w:fldChar w:fldCharType="end"/>
      </w:r>
      <w:r w:rsidRPr="00027624">
        <w:t>).</w:t>
      </w:r>
    </w:p>
    <w:p w14:paraId="3FCB3282" w14:textId="77777777" w:rsidR="00B3792F" w:rsidRPr="00027624" w:rsidRDefault="00B3792F" w:rsidP="00582C3E">
      <w:pPr>
        <w:pStyle w:val="TableMainHeading"/>
      </w:pPr>
      <w:bookmarkStart w:id="2268" w:name="_Ref37255147"/>
      <w:r w:rsidRPr="00027624">
        <w:t>Projected effect on retirement incomes of receiving 12.5 per cent of earnings as overtime payments instead of as ordinary time earnings</w:t>
      </w:r>
      <w:bookmarkEnd w:id="2268"/>
    </w:p>
    <w:tbl>
      <w:tblPr>
        <w:tblW w:w="5000" w:type="pct"/>
        <w:tblLook w:val="01E0" w:firstRow="1" w:lastRow="1" w:firstColumn="1" w:lastColumn="1" w:noHBand="0" w:noVBand="0"/>
      </w:tblPr>
      <w:tblGrid>
        <w:gridCol w:w="2267"/>
        <w:gridCol w:w="2267"/>
        <w:gridCol w:w="2268"/>
        <w:gridCol w:w="2268"/>
      </w:tblGrid>
      <w:tr w:rsidR="00B3792F" w:rsidRPr="00027624" w14:paraId="5942ADEE" w14:textId="77777777" w:rsidTr="00B3792F">
        <w:trPr>
          <w:trHeight w:val="270"/>
          <w:tblHeader/>
        </w:trPr>
        <w:tc>
          <w:tcPr>
            <w:tcW w:w="1250" w:type="pct"/>
            <w:shd w:val="clear" w:color="auto" w:fill="E5E5E5"/>
          </w:tcPr>
          <w:p w14:paraId="715D7DF0" w14:textId="77777777" w:rsidR="00B3792F" w:rsidRPr="00027624" w:rsidRDefault="00B3792F" w:rsidP="00B3792F">
            <w:pPr>
              <w:pStyle w:val="TableTextLeft"/>
            </w:pPr>
          </w:p>
        </w:tc>
        <w:tc>
          <w:tcPr>
            <w:tcW w:w="1250" w:type="pct"/>
            <w:shd w:val="clear" w:color="auto" w:fill="E5E5E5"/>
          </w:tcPr>
          <w:p w14:paraId="2AB562CA" w14:textId="77777777" w:rsidR="00B3792F" w:rsidRPr="00027624" w:rsidRDefault="00B3792F" w:rsidP="00B3792F">
            <w:pPr>
              <w:pStyle w:val="TableColumnHeadingCentred"/>
            </w:pPr>
            <w:r w:rsidRPr="00027624">
              <w:t>Superannuation balance at retirement ($)</w:t>
            </w:r>
          </w:p>
        </w:tc>
        <w:tc>
          <w:tcPr>
            <w:tcW w:w="1250" w:type="pct"/>
            <w:shd w:val="clear" w:color="auto" w:fill="E5E5E5"/>
          </w:tcPr>
          <w:p w14:paraId="0B9BA9F1" w14:textId="77777777" w:rsidR="00B3792F" w:rsidRPr="00027624" w:rsidRDefault="00B3792F" w:rsidP="00B3792F">
            <w:pPr>
              <w:pStyle w:val="TableColumnHeadingCentred"/>
            </w:pPr>
            <w:r w:rsidRPr="00027624">
              <w:t>Average annual retirement income ($)</w:t>
            </w:r>
          </w:p>
        </w:tc>
        <w:tc>
          <w:tcPr>
            <w:tcW w:w="1250" w:type="pct"/>
            <w:shd w:val="clear" w:color="auto" w:fill="E5E5E5"/>
          </w:tcPr>
          <w:p w14:paraId="6DD32BC2" w14:textId="77777777" w:rsidR="00B3792F" w:rsidRPr="00027624" w:rsidRDefault="00B3792F" w:rsidP="00B3792F">
            <w:pPr>
              <w:pStyle w:val="TableColumnHeadingCentred"/>
            </w:pPr>
            <w:r w:rsidRPr="00027624">
              <w:t>Replacement rate (percentage point)</w:t>
            </w:r>
          </w:p>
        </w:tc>
      </w:tr>
      <w:tr w:rsidR="00B3792F" w:rsidRPr="00027624" w14:paraId="4F820123" w14:textId="77777777" w:rsidTr="00B3792F">
        <w:trPr>
          <w:trHeight w:val="270"/>
        </w:trPr>
        <w:tc>
          <w:tcPr>
            <w:tcW w:w="1250" w:type="pct"/>
          </w:tcPr>
          <w:p w14:paraId="6E17786C" w14:textId="77777777" w:rsidR="00B3792F" w:rsidRPr="00027624" w:rsidRDefault="00B3792F" w:rsidP="00B3792F">
            <w:pPr>
              <w:pStyle w:val="TableTextCentered"/>
              <w:jc w:val="left"/>
            </w:pPr>
            <w:r w:rsidRPr="00027624">
              <w:t>Median income earner</w:t>
            </w:r>
          </w:p>
        </w:tc>
        <w:tc>
          <w:tcPr>
            <w:tcW w:w="1250" w:type="pct"/>
          </w:tcPr>
          <w:p w14:paraId="1573B5D5" w14:textId="77777777" w:rsidR="00B3792F" w:rsidRPr="00027624" w:rsidRDefault="00A8443E" w:rsidP="00B3792F">
            <w:pPr>
              <w:pStyle w:val="TableTextCentered"/>
            </w:pPr>
            <w:r w:rsidRPr="00027624">
              <w:noBreakHyphen/>
            </w:r>
            <w:r w:rsidR="00B3792F" w:rsidRPr="00027624">
              <w:t>53,100 (12% decrease)</w:t>
            </w:r>
          </w:p>
        </w:tc>
        <w:tc>
          <w:tcPr>
            <w:tcW w:w="1250" w:type="pct"/>
          </w:tcPr>
          <w:p w14:paraId="131363C1" w14:textId="77777777" w:rsidR="00B3792F" w:rsidRPr="00027624" w:rsidRDefault="00A8443E" w:rsidP="00B3792F">
            <w:pPr>
              <w:pStyle w:val="TableTextCentered"/>
            </w:pPr>
            <w:r w:rsidRPr="00027624">
              <w:noBreakHyphen/>
            </w:r>
            <w:r w:rsidR="00B3792F" w:rsidRPr="00027624">
              <w:t>1,200 (3% decrease)</w:t>
            </w:r>
          </w:p>
        </w:tc>
        <w:tc>
          <w:tcPr>
            <w:tcW w:w="1250" w:type="pct"/>
          </w:tcPr>
          <w:p w14:paraId="69E69F81" w14:textId="77777777" w:rsidR="00B3792F" w:rsidRPr="00027624" w:rsidRDefault="00A8443E" w:rsidP="00B3792F">
            <w:pPr>
              <w:pStyle w:val="TableTextCentered"/>
            </w:pPr>
            <w:r w:rsidRPr="00027624">
              <w:noBreakHyphen/>
            </w:r>
            <w:r w:rsidR="00B3792F" w:rsidRPr="00027624">
              <w:t>2.5</w:t>
            </w:r>
          </w:p>
        </w:tc>
      </w:tr>
    </w:tbl>
    <w:p w14:paraId="49727D6C" w14:textId="77777777" w:rsidR="00B3792F" w:rsidRPr="00027624" w:rsidRDefault="00B3792F" w:rsidP="00B3792F">
      <w:pPr>
        <w:pStyle w:val="ChartorTableNote"/>
      </w:pPr>
      <w:r w:rsidRPr="00027624">
        <w:t>Note: Values are in 2019</w:t>
      </w:r>
      <w:r w:rsidR="00A8443E" w:rsidRPr="00027624">
        <w:noBreakHyphen/>
      </w:r>
      <w:r w:rsidRPr="00027624">
        <w:t>20 dollars using the review</w:t>
      </w:r>
      <w:r w:rsidR="00A8443E" w:rsidRPr="00027624">
        <w:t>’</w:t>
      </w:r>
      <w:r w:rsidRPr="00027624">
        <w:t>s mixed deflator and rounded to the nearest $100. Source: Cameo modelling undertaken for the review.</w:t>
      </w:r>
    </w:p>
    <w:p w14:paraId="48426CAE" w14:textId="77777777" w:rsidR="00B3792F" w:rsidRPr="00027624" w:rsidRDefault="00B3792F" w:rsidP="00B3792F">
      <w:pPr>
        <w:pStyle w:val="Heading4"/>
      </w:pPr>
      <w:bookmarkStart w:id="2269" w:name="_Toc40366157"/>
      <w:bookmarkStart w:id="2270" w:name="_Toc40369703"/>
      <w:bookmarkStart w:id="2271" w:name="_Toc40427673"/>
      <w:bookmarkStart w:id="2272" w:name="_Toc40458112"/>
      <w:bookmarkStart w:id="2273" w:name="_Toc40461881"/>
      <w:bookmarkStart w:id="2274" w:name="_Toc40474436"/>
      <w:bookmarkStart w:id="2275" w:name="_Toc40477965"/>
      <w:bookmarkStart w:id="2276" w:name="_Toc40521545"/>
      <w:bookmarkStart w:id="2277" w:name="_Toc40530404"/>
      <w:bookmarkStart w:id="2278" w:name="_Toc42778831"/>
      <w:bookmarkStart w:id="2279" w:name="_Toc42779971"/>
      <w:bookmarkStart w:id="2280" w:name="_Toc42780400"/>
      <w:bookmarkStart w:id="2281" w:name="_Toc42786390"/>
      <w:bookmarkStart w:id="2282" w:name="_Toc42791883"/>
      <w:bookmarkStart w:id="2283" w:name="_Toc42792045"/>
      <w:bookmarkStart w:id="2284" w:name="_Toc43117852"/>
      <w:bookmarkStart w:id="2285" w:name="_Toc43121491"/>
      <w:bookmarkStart w:id="2286" w:name="_Toc43122696"/>
      <w:bookmarkStart w:id="2287" w:name="_Toc43127751"/>
      <w:r w:rsidRPr="00027624">
        <w:t>Other payments exempt from the SG</w:t>
      </w:r>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p>
    <w:p w14:paraId="37501DE3" w14:textId="77777777" w:rsidR="00B3792F" w:rsidRPr="00DF2732" w:rsidRDefault="00B3792F" w:rsidP="00B3792F">
      <w:pPr>
        <w:rPr>
          <w:i/>
        </w:rPr>
      </w:pPr>
      <w:r w:rsidRPr="00027624">
        <w:t xml:space="preserve">A few submissions suggested Government Parental Leave Pay, employer paid parental leave and the Community Development Program should attract the SG due to their connection to employment (see </w:t>
      </w:r>
      <w:r w:rsidR="00DF2732">
        <w:rPr>
          <w:i/>
        </w:rPr>
        <w:t xml:space="preserve">3B. Gender and partnered status </w:t>
      </w:r>
      <w:r w:rsidR="00DF2732">
        <w:t xml:space="preserve">and </w:t>
      </w:r>
      <w:r w:rsidR="00DF2732" w:rsidRPr="00DF2732">
        <w:rPr>
          <w:i/>
        </w:rPr>
        <w:t>3F. Aboriginal and Torres Strait Islander people</w:t>
      </w:r>
      <w:r w:rsidR="00DF2732">
        <w:t>).</w:t>
      </w:r>
    </w:p>
    <w:p w14:paraId="17975CAB" w14:textId="77777777" w:rsidR="00B3792F" w:rsidRPr="00027624" w:rsidRDefault="00B3792F" w:rsidP="00B3792F">
      <w:pPr>
        <w:pStyle w:val="Heading2"/>
      </w:pPr>
      <w:bookmarkStart w:id="2288" w:name="_Toc40366158"/>
      <w:bookmarkStart w:id="2289" w:name="_Toc40369704"/>
      <w:bookmarkStart w:id="2290" w:name="_Toc40427674"/>
      <w:bookmarkStart w:id="2291" w:name="_Toc40458113"/>
      <w:bookmarkStart w:id="2292" w:name="_Toc40461882"/>
      <w:bookmarkStart w:id="2293" w:name="_Toc40474437"/>
      <w:bookmarkStart w:id="2294" w:name="_Toc40477966"/>
      <w:bookmarkStart w:id="2295" w:name="_Toc40521546"/>
      <w:bookmarkStart w:id="2296" w:name="_Toc40530405"/>
      <w:bookmarkStart w:id="2297" w:name="_Toc42778832"/>
      <w:bookmarkStart w:id="2298" w:name="_Toc42779972"/>
      <w:bookmarkStart w:id="2299" w:name="_Toc42780401"/>
      <w:bookmarkStart w:id="2300" w:name="_Toc42786391"/>
      <w:bookmarkStart w:id="2301" w:name="_Toc42791884"/>
      <w:bookmarkStart w:id="2302" w:name="_Toc42792046"/>
      <w:bookmarkStart w:id="2303" w:name="_Toc43117853"/>
      <w:bookmarkStart w:id="2304" w:name="_Toc43121492"/>
      <w:bookmarkStart w:id="2305" w:name="_Toc43122697"/>
      <w:bookmarkStart w:id="2306" w:name="_Toc43127752"/>
      <w:bookmarkStart w:id="2307" w:name="_Toc45520510"/>
      <w:bookmarkStart w:id="2308" w:name="_Toc46133621"/>
      <w:r w:rsidRPr="00027624">
        <w:lastRenderedPageBreak/>
        <w:t xml:space="preserve">Unpaid SG (the </w:t>
      </w:r>
      <w:r w:rsidR="00A8443E" w:rsidRPr="00027624">
        <w:t>‘</w:t>
      </w:r>
      <w:r w:rsidRPr="00027624">
        <w:t>SG gap</w:t>
      </w:r>
      <w:r w:rsidR="00A8443E" w:rsidRPr="00027624">
        <w:t>’</w:t>
      </w:r>
      <w:r w:rsidRPr="00027624">
        <w:t>)</w:t>
      </w:r>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p>
    <w:p w14:paraId="24CABF60" w14:textId="2AC01CA7" w:rsidR="00B3792F" w:rsidRPr="00027624" w:rsidRDefault="00B3792F" w:rsidP="00B3792F">
      <w:r w:rsidRPr="00027624">
        <w:t xml:space="preserve">The SG gap is a measurement of the total amount of the SG owed to employees that has not been paid by their employer. The ATO has measured the gap </w:t>
      </w:r>
      <w:r w:rsidR="00A8443E" w:rsidRPr="00027624">
        <w:t>‘</w:t>
      </w:r>
      <w:r w:rsidRPr="00027624">
        <w:t>top</w:t>
      </w:r>
      <w:r w:rsidR="00A8443E" w:rsidRPr="00027624">
        <w:noBreakHyphen/>
      </w:r>
      <w:r w:rsidRPr="00027624">
        <w:t>down</w:t>
      </w:r>
      <w:r w:rsidR="00A8443E" w:rsidRPr="00027624">
        <w:t>’</w:t>
      </w:r>
      <w:r w:rsidRPr="00027624">
        <w:t>, using economy</w:t>
      </w:r>
      <w:r w:rsidR="00A8443E" w:rsidRPr="00027624">
        <w:noBreakHyphen/>
      </w:r>
      <w:r w:rsidRPr="00027624">
        <w:t>wide data to provide a national figure. In the most recent estimate (2016</w:t>
      </w:r>
      <w:r w:rsidR="00A8443E" w:rsidRPr="00027624">
        <w:noBreakHyphen/>
      </w:r>
      <w:r w:rsidRPr="00027624">
        <w:t>17 financial year), the net gap (i.e. after accounting for the amount of SG repaid due to ATO audits) was $2.3 billion or 3.9 per cent of the total SG employees earned for the year (</w:t>
      </w:r>
      <w:r w:rsidRPr="00027624">
        <w:fldChar w:fldCharType="begin"/>
      </w:r>
      <w:r w:rsidRPr="00027624">
        <w:instrText xml:space="preserve"> REF _Ref38456179 \r \h  \* MERGEFORMAT </w:instrText>
      </w:r>
      <w:r w:rsidRPr="00027624">
        <w:fldChar w:fldCharType="separate"/>
      </w:r>
      <w:r w:rsidR="00891058">
        <w:t>Table 3D-4</w:t>
      </w:r>
      <w:r w:rsidRPr="00027624">
        <w:fldChar w:fldCharType="end"/>
      </w:r>
      <w:r w:rsidRPr="00027624">
        <w:t>).</w:t>
      </w:r>
    </w:p>
    <w:p w14:paraId="111C82A5" w14:textId="77777777" w:rsidR="00B3792F" w:rsidRPr="00027624" w:rsidRDefault="00B3792F" w:rsidP="00B3792F">
      <w:pPr>
        <w:tabs>
          <w:tab w:val="num" w:pos="720"/>
        </w:tabs>
        <w:rPr>
          <w:b/>
        </w:rPr>
      </w:pPr>
      <w:r w:rsidRPr="00027624">
        <w:t>The top</w:t>
      </w:r>
      <w:r w:rsidR="00A8443E" w:rsidRPr="00027624">
        <w:noBreakHyphen/>
      </w:r>
      <w:r w:rsidRPr="00027624">
        <w:t>down measurement does not indicate the number of employees affected or the average amount of superannuation lost per person. It is most useful for analysing the trend in the gap.</w:t>
      </w:r>
      <w:r w:rsidRPr="00027624">
        <w:rPr>
          <w:rStyle w:val="FootnoteReference"/>
        </w:rPr>
        <w:footnoteReference w:id="179"/>
      </w:r>
      <w:r w:rsidRPr="00027624">
        <w:t xml:space="preserve"> Over six years, the net SG gap has fallen from 6.5 per cent to 3.9 per cent of the total SG, as employers</w:t>
      </w:r>
      <w:r w:rsidR="00A8443E" w:rsidRPr="00027624">
        <w:t>’</w:t>
      </w:r>
      <w:r w:rsidRPr="00027624">
        <w:t xml:space="preserve"> voluntary compliance has improved.</w:t>
      </w:r>
    </w:p>
    <w:p w14:paraId="0DCCB356" w14:textId="77777777" w:rsidR="00B3792F" w:rsidRPr="00027624" w:rsidRDefault="00B3792F" w:rsidP="00582C3E">
      <w:pPr>
        <w:pStyle w:val="TableMainHeading"/>
      </w:pPr>
      <w:bookmarkStart w:id="2309" w:name="_Ref36640878"/>
      <w:bookmarkStart w:id="2310" w:name="_Ref38456179"/>
      <w:r w:rsidRPr="00027624">
        <w:t>Estimate of the SG gap</w:t>
      </w:r>
      <w:bookmarkEnd w:id="2309"/>
      <w:bookmarkEnd w:id="2310"/>
    </w:p>
    <w:tbl>
      <w:tblPr>
        <w:tblW w:w="5000" w:type="pct"/>
        <w:tblLook w:val="01E0" w:firstRow="1" w:lastRow="1" w:firstColumn="1" w:lastColumn="1" w:noHBand="0" w:noVBand="0"/>
      </w:tblPr>
      <w:tblGrid>
        <w:gridCol w:w="2976"/>
        <w:gridCol w:w="1016"/>
        <w:gridCol w:w="1016"/>
        <w:gridCol w:w="1016"/>
        <w:gridCol w:w="1016"/>
        <w:gridCol w:w="1016"/>
        <w:gridCol w:w="1014"/>
      </w:tblGrid>
      <w:tr w:rsidR="00B3792F" w:rsidRPr="00027624" w14:paraId="0A08C808" w14:textId="77777777" w:rsidTr="00B307FF">
        <w:trPr>
          <w:trHeight w:val="270"/>
          <w:tblHeader/>
        </w:trPr>
        <w:tc>
          <w:tcPr>
            <w:tcW w:w="1641" w:type="pct"/>
            <w:shd w:val="clear" w:color="auto" w:fill="E5E5E5"/>
          </w:tcPr>
          <w:p w14:paraId="010890FC" w14:textId="77777777" w:rsidR="00B3792F" w:rsidRPr="00027624" w:rsidRDefault="00B3792F" w:rsidP="00B3792F">
            <w:pPr>
              <w:pStyle w:val="TableColumnHeadingRight"/>
              <w:keepNext/>
            </w:pPr>
          </w:p>
        </w:tc>
        <w:tc>
          <w:tcPr>
            <w:tcW w:w="560" w:type="pct"/>
            <w:shd w:val="clear" w:color="auto" w:fill="E5E5E5"/>
          </w:tcPr>
          <w:p w14:paraId="40AEC380" w14:textId="77777777" w:rsidR="00B3792F" w:rsidRPr="00027624" w:rsidRDefault="00B3792F" w:rsidP="00B3792F">
            <w:pPr>
              <w:pStyle w:val="TableColumnHeadingRight"/>
              <w:keepNext/>
              <w:jc w:val="center"/>
            </w:pPr>
            <w:r w:rsidRPr="00027624">
              <w:t>2011</w:t>
            </w:r>
            <w:r w:rsidR="00A8443E" w:rsidRPr="00027624">
              <w:noBreakHyphen/>
            </w:r>
            <w:r w:rsidRPr="00027624">
              <w:t>12</w:t>
            </w:r>
          </w:p>
        </w:tc>
        <w:tc>
          <w:tcPr>
            <w:tcW w:w="560" w:type="pct"/>
            <w:shd w:val="clear" w:color="auto" w:fill="E5E5E5"/>
          </w:tcPr>
          <w:p w14:paraId="0B8EE8EF" w14:textId="77777777" w:rsidR="00B3792F" w:rsidRPr="00027624" w:rsidRDefault="00B3792F" w:rsidP="00B3792F">
            <w:pPr>
              <w:pStyle w:val="TableColumnHeadingRight"/>
              <w:keepNext/>
              <w:jc w:val="center"/>
            </w:pPr>
            <w:r w:rsidRPr="00027624">
              <w:t>2012</w:t>
            </w:r>
            <w:r w:rsidR="00A8443E" w:rsidRPr="00027624">
              <w:noBreakHyphen/>
            </w:r>
            <w:r w:rsidRPr="00027624">
              <w:t>13</w:t>
            </w:r>
          </w:p>
        </w:tc>
        <w:tc>
          <w:tcPr>
            <w:tcW w:w="560" w:type="pct"/>
            <w:shd w:val="clear" w:color="auto" w:fill="E5E5E5"/>
          </w:tcPr>
          <w:p w14:paraId="048AD931" w14:textId="77777777" w:rsidR="00B3792F" w:rsidRPr="00027624" w:rsidRDefault="00B3792F" w:rsidP="00B3792F">
            <w:pPr>
              <w:pStyle w:val="TableColumnHeadingRight"/>
              <w:keepNext/>
              <w:jc w:val="center"/>
            </w:pPr>
            <w:r w:rsidRPr="00027624">
              <w:t>2013</w:t>
            </w:r>
            <w:r w:rsidR="00A8443E" w:rsidRPr="00027624">
              <w:noBreakHyphen/>
            </w:r>
            <w:r w:rsidRPr="00027624">
              <w:t>14</w:t>
            </w:r>
          </w:p>
        </w:tc>
        <w:tc>
          <w:tcPr>
            <w:tcW w:w="560" w:type="pct"/>
            <w:shd w:val="clear" w:color="auto" w:fill="E5E5E5"/>
          </w:tcPr>
          <w:p w14:paraId="5DBAE166" w14:textId="77777777" w:rsidR="00B3792F" w:rsidRPr="00027624" w:rsidRDefault="00B3792F" w:rsidP="00B3792F">
            <w:pPr>
              <w:pStyle w:val="TableColumnHeadingRight"/>
              <w:keepNext/>
              <w:jc w:val="center"/>
            </w:pPr>
            <w:r w:rsidRPr="00027624">
              <w:t>2014</w:t>
            </w:r>
            <w:r w:rsidR="00A8443E" w:rsidRPr="00027624">
              <w:noBreakHyphen/>
            </w:r>
            <w:r w:rsidRPr="00027624">
              <w:t>15</w:t>
            </w:r>
          </w:p>
        </w:tc>
        <w:tc>
          <w:tcPr>
            <w:tcW w:w="560" w:type="pct"/>
            <w:shd w:val="clear" w:color="auto" w:fill="E5E5E5"/>
          </w:tcPr>
          <w:p w14:paraId="6565F386" w14:textId="77777777" w:rsidR="00B3792F" w:rsidRPr="00027624" w:rsidRDefault="00B3792F" w:rsidP="00B3792F">
            <w:pPr>
              <w:pStyle w:val="TableColumnHeadingRight"/>
              <w:keepNext/>
              <w:jc w:val="center"/>
            </w:pPr>
            <w:r w:rsidRPr="00027624">
              <w:t>2015</w:t>
            </w:r>
            <w:r w:rsidR="00A8443E" w:rsidRPr="00027624">
              <w:noBreakHyphen/>
            </w:r>
            <w:r w:rsidRPr="00027624">
              <w:t>16</w:t>
            </w:r>
          </w:p>
        </w:tc>
        <w:tc>
          <w:tcPr>
            <w:tcW w:w="560" w:type="pct"/>
            <w:shd w:val="clear" w:color="auto" w:fill="E5E5E5"/>
          </w:tcPr>
          <w:p w14:paraId="133C43FC" w14:textId="77777777" w:rsidR="00B3792F" w:rsidRPr="00027624" w:rsidRDefault="00B3792F" w:rsidP="00B3792F">
            <w:pPr>
              <w:pStyle w:val="TableColumnHeadingRight"/>
              <w:keepNext/>
              <w:jc w:val="center"/>
            </w:pPr>
            <w:r w:rsidRPr="00027624">
              <w:t>2016</w:t>
            </w:r>
            <w:r w:rsidR="00A8443E" w:rsidRPr="00027624">
              <w:noBreakHyphen/>
            </w:r>
            <w:r w:rsidRPr="00027624">
              <w:t>17</w:t>
            </w:r>
          </w:p>
        </w:tc>
      </w:tr>
      <w:tr w:rsidR="00B3792F" w:rsidRPr="00027624" w14:paraId="6BC3E692" w14:textId="77777777" w:rsidTr="00B307FF">
        <w:trPr>
          <w:trHeight w:val="270"/>
        </w:trPr>
        <w:tc>
          <w:tcPr>
            <w:tcW w:w="1641" w:type="pct"/>
          </w:tcPr>
          <w:p w14:paraId="0DEE9833" w14:textId="77777777" w:rsidR="00B3792F" w:rsidRPr="00027624" w:rsidRDefault="00B3792F" w:rsidP="00B3792F">
            <w:pPr>
              <w:pStyle w:val="TableTextLeft"/>
              <w:rPr>
                <w:color w:val="auto"/>
              </w:rPr>
            </w:pPr>
            <w:r w:rsidRPr="00027624">
              <w:t>Gross gap ($m</w:t>
            </w:r>
            <w:r w:rsidRPr="00027624">
              <w:rPr>
                <w:color w:val="auto"/>
              </w:rPr>
              <w:t>illions)</w:t>
            </w:r>
          </w:p>
        </w:tc>
        <w:tc>
          <w:tcPr>
            <w:tcW w:w="560" w:type="pct"/>
          </w:tcPr>
          <w:p w14:paraId="1551A656" w14:textId="77777777" w:rsidR="00B3792F" w:rsidRPr="00027624" w:rsidRDefault="00B3792F" w:rsidP="00B3792F">
            <w:pPr>
              <w:pStyle w:val="TableTextCentered"/>
            </w:pPr>
            <w:r w:rsidRPr="00027624">
              <w:t>3,592</w:t>
            </w:r>
          </w:p>
        </w:tc>
        <w:tc>
          <w:tcPr>
            <w:tcW w:w="560" w:type="pct"/>
          </w:tcPr>
          <w:p w14:paraId="7866E17E" w14:textId="77777777" w:rsidR="00B3792F" w:rsidRPr="00027624" w:rsidRDefault="00B3792F" w:rsidP="00B3792F">
            <w:pPr>
              <w:pStyle w:val="TableTextCentered"/>
            </w:pPr>
            <w:r w:rsidRPr="00027624">
              <w:t>3,135</w:t>
            </w:r>
          </w:p>
        </w:tc>
        <w:tc>
          <w:tcPr>
            <w:tcW w:w="560" w:type="pct"/>
          </w:tcPr>
          <w:p w14:paraId="1DE59E14" w14:textId="77777777" w:rsidR="00B3792F" w:rsidRPr="00027624" w:rsidRDefault="00B3792F" w:rsidP="00B3792F">
            <w:pPr>
              <w:pStyle w:val="TableTextCentered"/>
            </w:pPr>
            <w:r w:rsidRPr="00027624">
              <w:t>3,329</w:t>
            </w:r>
          </w:p>
        </w:tc>
        <w:tc>
          <w:tcPr>
            <w:tcW w:w="560" w:type="pct"/>
          </w:tcPr>
          <w:p w14:paraId="0CEE301F" w14:textId="77777777" w:rsidR="00B3792F" w:rsidRPr="00027624" w:rsidRDefault="00B3792F" w:rsidP="00B3792F">
            <w:pPr>
              <w:pStyle w:val="TableTextCentered"/>
            </w:pPr>
            <w:r w:rsidRPr="00027624">
              <w:t>3,319</w:t>
            </w:r>
          </w:p>
        </w:tc>
        <w:tc>
          <w:tcPr>
            <w:tcW w:w="560" w:type="pct"/>
          </w:tcPr>
          <w:p w14:paraId="28B8DA59" w14:textId="77777777" w:rsidR="00B3792F" w:rsidRPr="00027624" w:rsidRDefault="00B3792F" w:rsidP="00B3792F">
            <w:pPr>
              <w:pStyle w:val="TableTextCentered"/>
            </w:pPr>
            <w:r w:rsidRPr="00027624">
              <w:t>3,221</w:t>
            </w:r>
          </w:p>
        </w:tc>
        <w:tc>
          <w:tcPr>
            <w:tcW w:w="560" w:type="pct"/>
          </w:tcPr>
          <w:p w14:paraId="569D4DF0" w14:textId="77777777" w:rsidR="00B3792F" w:rsidRPr="00027624" w:rsidRDefault="00B3792F" w:rsidP="00B3792F">
            <w:pPr>
              <w:pStyle w:val="TableTextCentered"/>
            </w:pPr>
            <w:r w:rsidRPr="00027624">
              <w:t>2,875</w:t>
            </w:r>
          </w:p>
        </w:tc>
      </w:tr>
      <w:tr w:rsidR="00B3792F" w:rsidRPr="00027624" w14:paraId="46AA2AB1" w14:textId="77777777" w:rsidTr="00B307FF">
        <w:trPr>
          <w:trHeight w:val="270"/>
        </w:trPr>
        <w:tc>
          <w:tcPr>
            <w:tcW w:w="1641" w:type="pct"/>
          </w:tcPr>
          <w:p w14:paraId="55716EF1" w14:textId="77777777" w:rsidR="00B3792F" w:rsidRPr="00027624" w:rsidRDefault="00B3792F" w:rsidP="00B3792F">
            <w:pPr>
              <w:pStyle w:val="TableTextLeft"/>
              <w:rPr>
                <w:color w:val="auto"/>
              </w:rPr>
            </w:pPr>
            <w:r w:rsidRPr="00027624">
              <w:t>Gross gap (</w:t>
            </w:r>
            <w:r w:rsidRPr="00027624">
              <w:rPr>
                <w:color w:val="auto"/>
              </w:rPr>
              <w:t>per cent of total SG)</w:t>
            </w:r>
          </w:p>
        </w:tc>
        <w:tc>
          <w:tcPr>
            <w:tcW w:w="560" w:type="pct"/>
          </w:tcPr>
          <w:p w14:paraId="7BB9EFC9" w14:textId="77777777" w:rsidR="00B3792F" w:rsidRPr="00027624" w:rsidRDefault="00B3792F" w:rsidP="00B3792F">
            <w:pPr>
              <w:pStyle w:val="TableTextCentered"/>
            </w:pPr>
            <w:r w:rsidRPr="00027624">
              <w:t>7.6</w:t>
            </w:r>
          </w:p>
        </w:tc>
        <w:tc>
          <w:tcPr>
            <w:tcW w:w="560" w:type="pct"/>
          </w:tcPr>
          <w:p w14:paraId="2730E2DD" w14:textId="77777777" w:rsidR="00B3792F" w:rsidRPr="00027624" w:rsidRDefault="00B3792F" w:rsidP="00B3792F">
            <w:pPr>
              <w:pStyle w:val="TableTextCentered"/>
            </w:pPr>
            <w:r w:rsidRPr="00027624">
              <w:t>6.4</w:t>
            </w:r>
          </w:p>
        </w:tc>
        <w:tc>
          <w:tcPr>
            <w:tcW w:w="560" w:type="pct"/>
          </w:tcPr>
          <w:p w14:paraId="197C010B" w14:textId="77777777" w:rsidR="00B3792F" w:rsidRPr="00027624" w:rsidRDefault="00B3792F" w:rsidP="00B3792F">
            <w:pPr>
              <w:pStyle w:val="TableTextCentered"/>
            </w:pPr>
            <w:r w:rsidRPr="00027624">
              <w:t>6.3</w:t>
            </w:r>
          </w:p>
        </w:tc>
        <w:tc>
          <w:tcPr>
            <w:tcW w:w="560" w:type="pct"/>
          </w:tcPr>
          <w:p w14:paraId="4540C4C8" w14:textId="77777777" w:rsidR="00B3792F" w:rsidRPr="00027624" w:rsidRDefault="00B3792F" w:rsidP="00B3792F">
            <w:pPr>
              <w:pStyle w:val="TableTextCentered"/>
            </w:pPr>
            <w:r w:rsidRPr="00027624">
              <w:t>6.0</w:t>
            </w:r>
          </w:p>
        </w:tc>
        <w:tc>
          <w:tcPr>
            <w:tcW w:w="560" w:type="pct"/>
          </w:tcPr>
          <w:p w14:paraId="60CA18ED" w14:textId="77777777" w:rsidR="00B3792F" w:rsidRPr="00027624" w:rsidRDefault="00B3792F" w:rsidP="00B3792F">
            <w:pPr>
              <w:pStyle w:val="TableTextCentered"/>
            </w:pPr>
            <w:r w:rsidRPr="00027624">
              <w:t>5.6</w:t>
            </w:r>
          </w:p>
        </w:tc>
        <w:tc>
          <w:tcPr>
            <w:tcW w:w="560" w:type="pct"/>
          </w:tcPr>
          <w:p w14:paraId="442B27FF" w14:textId="77777777" w:rsidR="00B3792F" w:rsidRPr="00027624" w:rsidRDefault="00B3792F" w:rsidP="00B3792F">
            <w:pPr>
              <w:pStyle w:val="TableTextCentered"/>
            </w:pPr>
            <w:r w:rsidRPr="00027624">
              <w:t>4.9</w:t>
            </w:r>
          </w:p>
        </w:tc>
      </w:tr>
      <w:tr w:rsidR="00B3792F" w:rsidRPr="00027624" w14:paraId="236A0970" w14:textId="77777777" w:rsidTr="00B307FF">
        <w:trPr>
          <w:trHeight w:val="270"/>
        </w:trPr>
        <w:tc>
          <w:tcPr>
            <w:tcW w:w="1641" w:type="pct"/>
          </w:tcPr>
          <w:p w14:paraId="0934A5F7" w14:textId="77777777" w:rsidR="00B3792F" w:rsidRPr="00027624" w:rsidRDefault="00B3792F" w:rsidP="00B3792F">
            <w:pPr>
              <w:pStyle w:val="TableTextLeft"/>
              <w:rPr>
                <w:color w:val="auto"/>
              </w:rPr>
            </w:pPr>
            <w:r w:rsidRPr="00027624">
              <w:t xml:space="preserve">ATO compliance activities </w:t>
            </w:r>
            <w:r w:rsidRPr="00027624">
              <w:rPr>
                <w:color w:val="auto"/>
              </w:rPr>
              <w:t>and voluntary disclosures ($millions)</w:t>
            </w:r>
          </w:p>
        </w:tc>
        <w:tc>
          <w:tcPr>
            <w:tcW w:w="560" w:type="pct"/>
          </w:tcPr>
          <w:p w14:paraId="43CFAA28" w14:textId="77777777" w:rsidR="00B3792F" w:rsidRPr="00027624" w:rsidRDefault="00B3792F" w:rsidP="00B3792F">
            <w:pPr>
              <w:pStyle w:val="TableTextCentered"/>
            </w:pPr>
            <w:r w:rsidRPr="00027624">
              <w:t>500</w:t>
            </w:r>
          </w:p>
        </w:tc>
        <w:tc>
          <w:tcPr>
            <w:tcW w:w="560" w:type="pct"/>
          </w:tcPr>
          <w:p w14:paraId="10BF8791" w14:textId="77777777" w:rsidR="00B3792F" w:rsidRPr="00027624" w:rsidRDefault="00B3792F" w:rsidP="00B3792F">
            <w:pPr>
              <w:pStyle w:val="TableTextCentered"/>
            </w:pPr>
            <w:r w:rsidRPr="00027624">
              <w:t>523</w:t>
            </w:r>
          </w:p>
        </w:tc>
        <w:tc>
          <w:tcPr>
            <w:tcW w:w="560" w:type="pct"/>
          </w:tcPr>
          <w:p w14:paraId="1EC080A6" w14:textId="77777777" w:rsidR="00B3792F" w:rsidRPr="00027624" w:rsidRDefault="00B3792F" w:rsidP="00B3792F">
            <w:pPr>
              <w:pStyle w:val="TableTextCentered"/>
            </w:pPr>
            <w:r w:rsidRPr="00027624">
              <w:t>504</w:t>
            </w:r>
          </w:p>
        </w:tc>
        <w:tc>
          <w:tcPr>
            <w:tcW w:w="560" w:type="pct"/>
          </w:tcPr>
          <w:p w14:paraId="5A1411E8" w14:textId="77777777" w:rsidR="00B3792F" w:rsidRPr="00027624" w:rsidRDefault="00B3792F" w:rsidP="00B3792F">
            <w:pPr>
              <w:pStyle w:val="TableTextCentered"/>
            </w:pPr>
            <w:r w:rsidRPr="00027624">
              <w:t>452</w:t>
            </w:r>
          </w:p>
        </w:tc>
        <w:tc>
          <w:tcPr>
            <w:tcW w:w="560" w:type="pct"/>
          </w:tcPr>
          <w:p w14:paraId="4EFFD490" w14:textId="77777777" w:rsidR="00B3792F" w:rsidRPr="00027624" w:rsidRDefault="00B3792F" w:rsidP="00B3792F">
            <w:pPr>
              <w:pStyle w:val="TableTextCentered"/>
            </w:pPr>
            <w:r w:rsidRPr="00027624">
              <w:t>476</w:t>
            </w:r>
          </w:p>
        </w:tc>
        <w:tc>
          <w:tcPr>
            <w:tcW w:w="560" w:type="pct"/>
          </w:tcPr>
          <w:p w14:paraId="478A65A3" w14:textId="77777777" w:rsidR="00B3792F" w:rsidRPr="00027624" w:rsidRDefault="00B3792F" w:rsidP="00B3792F">
            <w:pPr>
              <w:pStyle w:val="TableTextCentered"/>
            </w:pPr>
            <w:r w:rsidRPr="00027624">
              <w:t>577</w:t>
            </w:r>
          </w:p>
        </w:tc>
      </w:tr>
      <w:tr w:rsidR="00B3792F" w:rsidRPr="00027624" w14:paraId="2009D654" w14:textId="77777777" w:rsidTr="00B307FF">
        <w:trPr>
          <w:trHeight w:val="270"/>
        </w:trPr>
        <w:tc>
          <w:tcPr>
            <w:tcW w:w="1641" w:type="pct"/>
          </w:tcPr>
          <w:p w14:paraId="35F8E4C1" w14:textId="77777777" w:rsidR="00B3792F" w:rsidRPr="00027624" w:rsidRDefault="00B3792F" w:rsidP="00B3792F">
            <w:pPr>
              <w:pStyle w:val="TableTextLeft"/>
              <w:rPr>
                <w:color w:val="auto"/>
              </w:rPr>
            </w:pPr>
            <w:r w:rsidRPr="00027624">
              <w:t>Net gap ($m</w:t>
            </w:r>
            <w:r w:rsidRPr="00027624">
              <w:rPr>
                <w:color w:val="auto"/>
              </w:rPr>
              <w:t>illions)</w:t>
            </w:r>
          </w:p>
        </w:tc>
        <w:tc>
          <w:tcPr>
            <w:tcW w:w="560" w:type="pct"/>
          </w:tcPr>
          <w:p w14:paraId="286C9C80" w14:textId="77777777" w:rsidR="00B3792F" w:rsidRPr="00027624" w:rsidRDefault="00B3792F" w:rsidP="00B3792F">
            <w:pPr>
              <w:pStyle w:val="TableTextCentered"/>
            </w:pPr>
            <w:r w:rsidRPr="00027624">
              <w:t>3,092</w:t>
            </w:r>
          </w:p>
        </w:tc>
        <w:tc>
          <w:tcPr>
            <w:tcW w:w="560" w:type="pct"/>
          </w:tcPr>
          <w:p w14:paraId="69BCB2EA" w14:textId="77777777" w:rsidR="00B3792F" w:rsidRPr="00027624" w:rsidRDefault="00B3792F" w:rsidP="00B3792F">
            <w:pPr>
              <w:pStyle w:val="TableTextCentered"/>
            </w:pPr>
            <w:r w:rsidRPr="00027624">
              <w:t>2,612</w:t>
            </w:r>
          </w:p>
        </w:tc>
        <w:tc>
          <w:tcPr>
            <w:tcW w:w="560" w:type="pct"/>
          </w:tcPr>
          <w:p w14:paraId="0728A1BD" w14:textId="77777777" w:rsidR="00B3792F" w:rsidRPr="00027624" w:rsidRDefault="00B3792F" w:rsidP="00B3792F">
            <w:pPr>
              <w:pStyle w:val="TableTextCentered"/>
            </w:pPr>
            <w:r w:rsidRPr="00027624">
              <w:t>2,824</w:t>
            </w:r>
          </w:p>
        </w:tc>
        <w:tc>
          <w:tcPr>
            <w:tcW w:w="560" w:type="pct"/>
          </w:tcPr>
          <w:p w14:paraId="3CD18443" w14:textId="77777777" w:rsidR="00B3792F" w:rsidRPr="00027624" w:rsidRDefault="00B3792F" w:rsidP="00B3792F">
            <w:pPr>
              <w:pStyle w:val="TableTextCentered"/>
            </w:pPr>
            <w:r w:rsidRPr="00027624">
              <w:t>2,867</w:t>
            </w:r>
          </w:p>
        </w:tc>
        <w:tc>
          <w:tcPr>
            <w:tcW w:w="560" w:type="pct"/>
          </w:tcPr>
          <w:p w14:paraId="4CCBC572" w14:textId="77777777" w:rsidR="00B3792F" w:rsidRPr="00027624" w:rsidRDefault="00B3792F" w:rsidP="00B3792F">
            <w:pPr>
              <w:pStyle w:val="TableTextCentered"/>
            </w:pPr>
            <w:r w:rsidRPr="00027624">
              <w:t>2,745</w:t>
            </w:r>
          </w:p>
        </w:tc>
        <w:tc>
          <w:tcPr>
            <w:tcW w:w="560" w:type="pct"/>
          </w:tcPr>
          <w:p w14:paraId="40628EB7" w14:textId="77777777" w:rsidR="00B3792F" w:rsidRPr="00027624" w:rsidRDefault="00B3792F" w:rsidP="00B3792F">
            <w:pPr>
              <w:pStyle w:val="TableTextCentered"/>
            </w:pPr>
            <w:r w:rsidRPr="00027624">
              <w:t>2,298</w:t>
            </w:r>
          </w:p>
        </w:tc>
      </w:tr>
      <w:tr w:rsidR="00B3792F" w:rsidRPr="00027624" w14:paraId="4F9DB42B" w14:textId="77777777" w:rsidTr="00B307FF">
        <w:trPr>
          <w:trHeight w:val="270"/>
        </w:trPr>
        <w:tc>
          <w:tcPr>
            <w:tcW w:w="1641" w:type="pct"/>
          </w:tcPr>
          <w:p w14:paraId="347011CF" w14:textId="77777777" w:rsidR="00B3792F" w:rsidRPr="00027624" w:rsidRDefault="00B3792F" w:rsidP="00B3792F">
            <w:pPr>
              <w:pStyle w:val="TableTextLeft"/>
              <w:rPr>
                <w:color w:val="auto"/>
              </w:rPr>
            </w:pPr>
            <w:r w:rsidRPr="00027624">
              <w:t>Net gap (</w:t>
            </w:r>
            <w:r w:rsidRPr="00027624">
              <w:rPr>
                <w:color w:val="auto"/>
              </w:rPr>
              <w:t>per cent of total SG)</w:t>
            </w:r>
          </w:p>
        </w:tc>
        <w:tc>
          <w:tcPr>
            <w:tcW w:w="560" w:type="pct"/>
          </w:tcPr>
          <w:p w14:paraId="4A67FC01" w14:textId="77777777" w:rsidR="00B3792F" w:rsidRPr="00027624" w:rsidRDefault="00B3792F" w:rsidP="00B3792F">
            <w:pPr>
              <w:pStyle w:val="TableTextCentered"/>
            </w:pPr>
            <w:r w:rsidRPr="00027624">
              <w:t>6.5</w:t>
            </w:r>
          </w:p>
        </w:tc>
        <w:tc>
          <w:tcPr>
            <w:tcW w:w="560" w:type="pct"/>
          </w:tcPr>
          <w:p w14:paraId="123B88FC" w14:textId="77777777" w:rsidR="00B3792F" w:rsidRPr="00027624" w:rsidRDefault="00B3792F" w:rsidP="00B3792F">
            <w:pPr>
              <w:pStyle w:val="TableTextCentered"/>
            </w:pPr>
            <w:r w:rsidRPr="00027624">
              <w:t>5.3</w:t>
            </w:r>
          </w:p>
        </w:tc>
        <w:tc>
          <w:tcPr>
            <w:tcW w:w="560" w:type="pct"/>
          </w:tcPr>
          <w:p w14:paraId="1102DE20" w14:textId="77777777" w:rsidR="00B3792F" w:rsidRPr="00027624" w:rsidRDefault="00B3792F" w:rsidP="00B3792F">
            <w:pPr>
              <w:pStyle w:val="TableTextCentered"/>
            </w:pPr>
            <w:r w:rsidRPr="00027624">
              <w:t>5.3</w:t>
            </w:r>
          </w:p>
        </w:tc>
        <w:tc>
          <w:tcPr>
            <w:tcW w:w="560" w:type="pct"/>
          </w:tcPr>
          <w:p w14:paraId="36103C68" w14:textId="77777777" w:rsidR="00B3792F" w:rsidRPr="00027624" w:rsidRDefault="00B3792F" w:rsidP="00B3792F">
            <w:pPr>
              <w:pStyle w:val="TableTextCentered"/>
            </w:pPr>
            <w:r w:rsidRPr="00027624">
              <w:t>5.1</w:t>
            </w:r>
          </w:p>
        </w:tc>
        <w:tc>
          <w:tcPr>
            <w:tcW w:w="560" w:type="pct"/>
          </w:tcPr>
          <w:p w14:paraId="27EA1FE6" w14:textId="77777777" w:rsidR="00B3792F" w:rsidRPr="00027624" w:rsidRDefault="00B3792F" w:rsidP="00B3792F">
            <w:pPr>
              <w:pStyle w:val="TableTextCentered"/>
            </w:pPr>
            <w:r w:rsidRPr="00027624">
              <w:t>4.8</w:t>
            </w:r>
          </w:p>
        </w:tc>
        <w:tc>
          <w:tcPr>
            <w:tcW w:w="560" w:type="pct"/>
          </w:tcPr>
          <w:p w14:paraId="5BD68448" w14:textId="77777777" w:rsidR="00B3792F" w:rsidRPr="00027624" w:rsidRDefault="00B3792F" w:rsidP="00B3792F">
            <w:pPr>
              <w:pStyle w:val="TableTextCentered"/>
            </w:pPr>
            <w:r w:rsidRPr="00027624">
              <w:t>3.9</w:t>
            </w:r>
          </w:p>
        </w:tc>
      </w:tr>
    </w:tbl>
    <w:p w14:paraId="7015B2AE" w14:textId="77777777" w:rsidR="00B3792F" w:rsidRPr="00027624" w:rsidRDefault="00B3792F" w:rsidP="00B3792F">
      <w:pPr>
        <w:pStyle w:val="ChartorTableNote"/>
      </w:pPr>
      <w:r w:rsidRPr="00027624">
        <w:t>Source:</w:t>
      </w:r>
      <w:sdt>
        <w:sdtPr>
          <w:id w:val="808216179"/>
          <w:citation/>
        </w:sdtPr>
        <w:sdtEndPr/>
        <w:sdtContent>
          <w:r w:rsidRPr="00027624">
            <w:fldChar w:fldCharType="begin"/>
          </w:r>
          <w:r w:rsidRPr="00027624">
            <w:instrText xml:space="preserve"> CITATION ATO0e \l 3081 </w:instrText>
          </w:r>
          <w:r w:rsidRPr="00027624">
            <w:fldChar w:fldCharType="separate"/>
          </w:r>
          <w:r w:rsidR="00E83F6E">
            <w:rPr>
              <w:noProof/>
            </w:rPr>
            <w:t xml:space="preserve"> (ATO, 2020e)</w:t>
          </w:r>
          <w:r w:rsidRPr="00027624">
            <w:fldChar w:fldCharType="end"/>
          </w:r>
        </w:sdtContent>
      </w:sdt>
      <w:r w:rsidRPr="00027624">
        <w:t>.</w:t>
      </w:r>
    </w:p>
    <w:p w14:paraId="0B74ADFB" w14:textId="77777777" w:rsidR="00B3792F" w:rsidRPr="00027624" w:rsidRDefault="00B3792F" w:rsidP="00B3792F">
      <w:r w:rsidRPr="00027624">
        <w:t xml:space="preserve">Industry Super Australia (ISA) has produced a </w:t>
      </w:r>
      <w:r w:rsidR="00A8443E" w:rsidRPr="00027624">
        <w:t>‘</w:t>
      </w:r>
      <w:r w:rsidRPr="00027624">
        <w:t>bottom</w:t>
      </w:r>
      <w:r w:rsidR="00A8443E" w:rsidRPr="00027624">
        <w:noBreakHyphen/>
      </w:r>
      <w:r w:rsidRPr="00027624">
        <w:t>up</w:t>
      </w:r>
      <w:r w:rsidR="00A8443E" w:rsidRPr="00027624">
        <w:t>’</w:t>
      </w:r>
      <w:r w:rsidRPr="00027624">
        <w:t xml:space="preserve"> measurement of the SG gap at $5.9 billion for 2016</w:t>
      </w:r>
      <w:r w:rsidR="00A8443E" w:rsidRPr="00027624">
        <w:noBreakHyphen/>
      </w:r>
      <w:r w:rsidRPr="00027624">
        <w:t xml:space="preserve">17 </w:t>
      </w:r>
      <w:sdt>
        <w:sdtPr>
          <w:id w:val="-727607560"/>
          <w:citation/>
        </w:sdtPr>
        <w:sdtEndPr/>
        <w:sdtContent>
          <w:r w:rsidRPr="00027624">
            <w:fldChar w:fldCharType="begin"/>
          </w:r>
          <w:r w:rsidRPr="00027624">
            <w:instrText xml:space="preserve">CITATION Ind19 \l 3081 </w:instrText>
          </w:r>
          <w:r w:rsidRPr="00027624">
            <w:fldChar w:fldCharType="separate"/>
          </w:r>
          <w:r w:rsidR="00E83F6E">
            <w:rPr>
              <w:noProof/>
            </w:rPr>
            <w:t>(Industry Super Australia, 2019)</w:t>
          </w:r>
          <w:r w:rsidRPr="00027624">
            <w:fldChar w:fldCharType="end"/>
          </w:r>
        </w:sdtContent>
      </w:sdt>
      <w:r w:rsidRPr="00027624">
        <w:t>. The methodology has limitations due to using a 2 per cent sample of individuals</w:t>
      </w:r>
      <w:r w:rsidR="00A8443E" w:rsidRPr="00027624">
        <w:t>’</w:t>
      </w:r>
      <w:r w:rsidRPr="00027624">
        <w:t xml:space="preserve"> tax returns</w:t>
      </w:r>
      <w:sdt>
        <w:sdtPr>
          <w:id w:val="-1908066009"/>
          <w:citation/>
        </w:sdtPr>
        <w:sdtEndPr/>
        <w:sdtContent>
          <w:r w:rsidRPr="00027624">
            <w:fldChar w:fldCharType="begin"/>
          </w:r>
          <w:r w:rsidRPr="00027624">
            <w:instrText xml:space="preserve"> CITATION Cro \l 3081 </w:instrText>
          </w:r>
          <w:r w:rsidRPr="00027624">
            <w:fldChar w:fldCharType="separate"/>
          </w:r>
          <w:r w:rsidR="00E83F6E">
            <w:rPr>
              <w:noProof/>
            </w:rPr>
            <w:t xml:space="preserve"> (Superannuation Guarantee Cross Agency Working Group, 2017)</w:t>
          </w:r>
          <w:r w:rsidRPr="00027624">
            <w:fldChar w:fldCharType="end"/>
          </w:r>
        </w:sdtContent>
      </w:sdt>
      <w:r w:rsidRPr="00027624">
        <w:t>. Significantly, it identifies many employees under defined benefit schemes as being underpaid SG, which potentially overstates the gap. When the ATO examined the ISA approach using the full dataset, it estimated the impact of defined benefit amounts to around $2.5 billion, reducing the gap to around $3.4 billion.</w:t>
      </w:r>
      <w:r w:rsidRPr="00027624">
        <w:rPr>
          <w:rStyle w:val="FootnoteReference"/>
        </w:rPr>
        <w:footnoteReference w:id="180"/>
      </w:r>
    </w:p>
    <w:p w14:paraId="164337E6" w14:textId="77777777" w:rsidR="00B3792F" w:rsidRPr="00027624" w:rsidRDefault="00B3792F" w:rsidP="00B3792F">
      <w:pPr>
        <w:pStyle w:val="Heading3"/>
      </w:pPr>
      <w:bookmarkStart w:id="2311" w:name="_Toc40366159"/>
      <w:bookmarkStart w:id="2312" w:name="_Toc40369705"/>
      <w:bookmarkStart w:id="2313" w:name="_Toc40427675"/>
      <w:bookmarkStart w:id="2314" w:name="_Toc40458114"/>
      <w:bookmarkStart w:id="2315" w:name="_Toc40461883"/>
      <w:bookmarkStart w:id="2316" w:name="_Toc40474438"/>
      <w:bookmarkStart w:id="2317" w:name="_Toc40477967"/>
      <w:bookmarkStart w:id="2318" w:name="_Toc40521547"/>
      <w:bookmarkStart w:id="2319" w:name="_Toc40530406"/>
      <w:bookmarkStart w:id="2320" w:name="_Toc42778833"/>
      <w:bookmarkStart w:id="2321" w:name="_Toc42779973"/>
      <w:bookmarkStart w:id="2322" w:name="_Toc42780402"/>
      <w:bookmarkStart w:id="2323" w:name="_Toc42786392"/>
      <w:bookmarkStart w:id="2324" w:name="_Toc42791885"/>
      <w:bookmarkStart w:id="2325" w:name="_Toc42792047"/>
      <w:bookmarkStart w:id="2326" w:name="_Toc43117854"/>
      <w:bookmarkStart w:id="2327" w:name="_Toc43121493"/>
      <w:bookmarkStart w:id="2328" w:name="_Toc43122698"/>
      <w:bookmarkStart w:id="2329" w:name="_Toc43127753"/>
      <w:r w:rsidRPr="00027624">
        <w:t>Who is affected by unpaid SG?</w:t>
      </w:r>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p>
    <w:p w14:paraId="2BC4317F" w14:textId="77777777" w:rsidR="00B3792F" w:rsidRPr="00027624" w:rsidRDefault="00B3792F" w:rsidP="00B3792F">
      <w:r w:rsidRPr="00027624">
        <w:t>Data from ATO compliance activity suggests employees more likely to have unpaid SG are:</w:t>
      </w:r>
    </w:p>
    <w:p w14:paraId="20AB9ECB" w14:textId="77777777" w:rsidR="00B3792F" w:rsidRPr="00027624" w:rsidRDefault="00B3792F" w:rsidP="00F14B57">
      <w:pPr>
        <w:pStyle w:val="Bullet"/>
        <w:numPr>
          <w:ilvl w:val="0"/>
          <w:numId w:val="44"/>
        </w:numPr>
        <w:ind w:left="284" w:hanging="284"/>
      </w:pPr>
      <w:r w:rsidRPr="00027624">
        <w:t>Working for</w:t>
      </w:r>
      <w:r w:rsidRPr="00027624">
        <w:rPr>
          <w:b/>
        </w:rPr>
        <w:t xml:space="preserve"> businesses with annual turnover of less than $2 million</w:t>
      </w:r>
      <w:r w:rsidRPr="00027624">
        <w:t>, which account for most cases of SG underpayment</w:t>
      </w:r>
    </w:p>
    <w:p w14:paraId="72F79A6C" w14:textId="77777777" w:rsidR="00B3792F" w:rsidRPr="00027624" w:rsidRDefault="00B3792F" w:rsidP="00F14B57">
      <w:pPr>
        <w:pStyle w:val="Bullet"/>
        <w:numPr>
          <w:ilvl w:val="0"/>
          <w:numId w:val="44"/>
        </w:numPr>
        <w:ind w:left="284" w:hanging="284"/>
      </w:pPr>
      <w:r w:rsidRPr="00027624">
        <w:t xml:space="preserve">Working in the </w:t>
      </w:r>
      <w:r w:rsidRPr="00027624">
        <w:rPr>
          <w:b/>
        </w:rPr>
        <w:t>accommodation and food services, and construction</w:t>
      </w:r>
      <w:r w:rsidRPr="00027624">
        <w:t xml:space="preserve"> </w:t>
      </w:r>
      <w:r w:rsidRPr="00027624">
        <w:rPr>
          <w:b/>
        </w:rPr>
        <w:t>industries</w:t>
      </w:r>
      <w:r w:rsidRPr="00027624">
        <w:t>, which are over</w:t>
      </w:r>
      <w:r w:rsidR="00A8443E" w:rsidRPr="00027624">
        <w:noBreakHyphen/>
      </w:r>
      <w:r w:rsidRPr="00027624">
        <w:t>represented in SG non</w:t>
      </w:r>
      <w:r w:rsidR="00A8443E" w:rsidRPr="00027624">
        <w:noBreakHyphen/>
      </w:r>
      <w:r w:rsidRPr="00027624">
        <w:t>compliance relative to their proportion of total employment</w:t>
      </w:r>
    </w:p>
    <w:p w14:paraId="1FEC28C8" w14:textId="77777777" w:rsidR="00B3792F" w:rsidRPr="00027624" w:rsidRDefault="00B3792F" w:rsidP="00F14B57">
      <w:pPr>
        <w:pStyle w:val="Bullet"/>
        <w:numPr>
          <w:ilvl w:val="0"/>
          <w:numId w:val="44"/>
        </w:numPr>
        <w:ind w:left="284" w:hanging="284"/>
      </w:pPr>
      <w:r w:rsidRPr="00027624">
        <w:t>On</w:t>
      </w:r>
      <w:r w:rsidRPr="00027624">
        <w:rPr>
          <w:b/>
        </w:rPr>
        <w:t xml:space="preserve"> lower incomes</w:t>
      </w:r>
    </w:p>
    <w:p w14:paraId="41E54AC3" w14:textId="77777777" w:rsidR="00B3792F" w:rsidRPr="00027624" w:rsidRDefault="00B3792F" w:rsidP="00F14B57">
      <w:pPr>
        <w:pStyle w:val="Bullet"/>
        <w:numPr>
          <w:ilvl w:val="0"/>
          <w:numId w:val="44"/>
        </w:numPr>
        <w:ind w:left="284" w:hanging="284"/>
      </w:pPr>
      <w:r w:rsidRPr="00027624">
        <w:t xml:space="preserve">Working for </w:t>
      </w:r>
      <w:r w:rsidRPr="00027624">
        <w:rPr>
          <w:b/>
          <w:bCs/>
        </w:rPr>
        <w:t>insolvent businesses</w:t>
      </w:r>
      <w:r w:rsidRPr="00027624">
        <w:t xml:space="preserve">, which are responsible for about half of superannuation debt </w:t>
      </w:r>
      <w:sdt>
        <w:sdtPr>
          <w:id w:val="1217394961"/>
          <w:citation/>
        </w:sdtPr>
        <w:sdtEndPr/>
        <w:sdtContent>
          <w:r w:rsidRPr="00027624">
            <w:fldChar w:fldCharType="begin"/>
          </w:r>
          <w:r w:rsidRPr="00027624">
            <w:instrText xml:space="preserve"> CITATION Cro \l 3081 </w:instrText>
          </w:r>
          <w:r w:rsidRPr="00027624">
            <w:fldChar w:fldCharType="separate"/>
          </w:r>
          <w:r w:rsidR="00E83F6E">
            <w:rPr>
              <w:noProof/>
            </w:rPr>
            <w:t>(Superannuation Guarantee Cross Agency Working Group, 2017)</w:t>
          </w:r>
          <w:r w:rsidRPr="00027624">
            <w:fldChar w:fldCharType="end"/>
          </w:r>
        </w:sdtContent>
      </w:sdt>
      <w:r w:rsidRPr="00027624">
        <w:t xml:space="preserve">, especially those engaging in </w:t>
      </w:r>
      <w:r w:rsidR="00A8443E" w:rsidRPr="00027624">
        <w:t>‘</w:t>
      </w:r>
      <w:r w:rsidRPr="00027624">
        <w:t>phoenix activity</w:t>
      </w:r>
      <w:r w:rsidR="00A8443E" w:rsidRPr="00027624">
        <w:t>’</w:t>
      </w:r>
      <w:r w:rsidRPr="00027624">
        <w:t>.</w:t>
      </w:r>
      <w:r w:rsidRPr="00027624">
        <w:rPr>
          <w:rStyle w:val="FootnoteReference"/>
        </w:rPr>
        <w:footnoteReference w:id="181"/>
      </w:r>
    </w:p>
    <w:p w14:paraId="1471E6F8" w14:textId="77777777" w:rsidR="00B3792F" w:rsidRPr="00027624" w:rsidRDefault="00B3792F" w:rsidP="00B3792F">
      <w:r w:rsidRPr="00027624">
        <w:lastRenderedPageBreak/>
        <w:t>Since the SG is not required to be paid at the same time as wages, employees may find it difficult to monitor if they are being paid the SG to which they are entitled. The average length of unpaid SG is 18 months</w:t>
      </w:r>
      <w:r w:rsidRPr="00027624">
        <w:rPr>
          <w:rStyle w:val="FootnoteReference"/>
        </w:rPr>
        <w:footnoteReference w:id="182"/>
      </w:r>
      <w:r w:rsidRPr="00027624">
        <w:t xml:space="preserve"> and non</w:t>
      </w:r>
      <w:r w:rsidR="00A8443E" w:rsidRPr="00027624">
        <w:noBreakHyphen/>
      </w:r>
      <w:r w:rsidRPr="00027624">
        <w:t>payment is twice as likely as underpayment</w:t>
      </w:r>
      <w:sdt>
        <w:sdtPr>
          <w:id w:val="-966581237"/>
          <w:citation/>
        </w:sdtPr>
        <w:sdtEndPr/>
        <w:sdtContent>
          <w:r w:rsidRPr="00027624">
            <w:fldChar w:fldCharType="begin"/>
          </w:r>
          <w:r w:rsidRPr="00027624">
            <w:instrText xml:space="preserve"> CITATION Cro \l 3081 </w:instrText>
          </w:r>
          <w:r w:rsidRPr="00027624">
            <w:fldChar w:fldCharType="separate"/>
          </w:r>
          <w:r w:rsidR="00E83F6E">
            <w:rPr>
              <w:noProof/>
            </w:rPr>
            <w:t xml:space="preserve"> (Superannuation Guarantee Cross Agency Working Group, 2017)</w:t>
          </w:r>
          <w:r w:rsidRPr="00027624">
            <w:fldChar w:fldCharType="end"/>
          </w:r>
        </w:sdtContent>
      </w:sdt>
      <w:r w:rsidRPr="00027624">
        <w:t>.</w:t>
      </w:r>
    </w:p>
    <w:p w14:paraId="70B6808C" w14:textId="77777777" w:rsidR="00B3792F" w:rsidRPr="00027624" w:rsidRDefault="00B3792F" w:rsidP="00B3792F">
      <w:r w:rsidRPr="00027624">
        <w:t>Under superannuation law, unpaid SG becomes a debt</w:t>
      </w:r>
      <w:r w:rsidR="00A8443E" w:rsidRPr="00027624">
        <w:t xml:space="preserve"> — </w:t>
      </w:r>
      <w:r w:rsidRPr="00027624">
        <w:t>the SG charge</w:t>
      </w:r>
      <w:r w:rsidR="00A8443E" w:rsidRPr="00027624">
        <w:t xml:space="preserve"> — </w:t>
      </w:r>
      <w:r w:rsidRPr="00027624">
        <w:t>to the Commonwealth. If employees believe they have unpaid superannuation, they can apply to the ATO, which can use its compliance powers to pursue the debt.</w:t>
      </w:r>
      <w:r w:rsidRPr="00027624">
        <w:rPr>
          <w:rStyle w:val="FootnoteReference"/>
        </w:rPr>
        <w:footnoteReference w:id="183"/>
      </w:r>
    </w:p>
    <w:p w14:paraId="246E6D80" w14:textId="77777777" w:rsidR="00B3792F" w:rsidRPr="00027624" w:rsidRDefault="00B3792F" w:rsidP="00B3792F">
      <w:r w:rsidRPr="00027624">
        <w:t>One submission advocated for the private right to pursue unpaid superannuation:</w:t>
      </w:r>
    </w:p>
    <w:p w14:paraId="3B6B9E0B" w14:textId="77777777" w:rsidR="00B3792F" w:rsidRPr="00027624" w:rsidRDefault="00A8443E" w:rsidP="00B3792F">
      <w:pPr>
        <w:pStyle w:val="Quote"/>
      </w:pPr>
      <w:r w:rsidRPr="00027624">
        <w:t>‘</w:t>
      </w:r>
      <w:r w:rsidR="00B3792F" w:rsidRPr="00027624">
        <w:t>Individual workers should have a legal avenue for recovery of unpaid super, as already exists for recovery of unpaid or underpaid wages. The Government should empower workers and their representatives, such as their superannuation fund, to take action against employers for the non</w:t>
      </w:r>
      <w:r w:rsidRPr="00027624">
        <w:noBreakHyphen/>
      </w:r>
      <w:r w:rsidR="00B3792F" w:rsidRPr="00027624">
        <w:t>payment of the superannuation guarantee or superannuation contributions.</w:t>
      </w:r>
      <w:r w:rsidRPr="00027624">
        <w:t>’</w:t>
      </w:r>
      <w:sdt>
        <w:sdtPr>
          <w:id w:val="223577920"/>
          <w:citation/>
        </w:sdtPr>
        <w:sdtEndPr/>
        <w:sdtContent>
          <w:r w:rsidR="00B3792F" w:rsidRPr="00027624">
            <w:fldChar w:fldCharType="begin"/>
          </w:r>
          <w:r w:rsidR="00B3792F" w:rsidRPr="00027624">
            <w:instrText xml:space="preserve">CITATION CBU20 \p 13 \l 3081 </w:instrText>
          </w:r>
          <w:r w:rsidR="00B3792F" w:rsidRPr="00027624">
            <w:fldChar w:fldCharType="separate"/>
          </w:r>
          <w:r w:rsidR="00E83F6E">
            <w:rPr>
              <w:noProof/>
            </w:rPr>
            <w:t xml:space="preserve"> (Cbus, 2020, p. 13)</w:t>
          </w:r>
          <w:r w:rsidR="00B3792F" w:rsidRPr="00027624">
            <w:fldChar w:fldCharType="end"/>
          </w:r>
        </w:sdtContent>
      </w:sdt>
    </w:p>
    <w:p w14:paraId="2A9ADDF8" w14:textId="77777777" w:rsidR="00B3792F" w:rsidRPr="00027624" w:rsidRDefault="00B3792F" w:rsidP="00B3792F">
      <w:pPr>
        <w:pStyle w:val="Heading4"/>
      </w:pPr>
      <w:bookmarkStart w:id="2330" w:name="_Toc40366160"/>
      <w:bookmarkStart w:id="2331" w:name="_Toc40369706"/>
      <w:bookmarkStart w:id="2332" w:name="_Toc40427676"/>
      <w:bookmarkStart w:id="2333" w:name="_Toc40458115"/>
      <w:bookmarkStart w:id="2334" w:name="_Toc40461884"/>
      <w:bookmarkStart w:id="2335" w:name="_Toc40474439"/>
      <w:bookmarkStart w:id="2336" w:name="_Toc40477968"/>
      <w:bookmarkStart w:id="2337" w:name="_Toc40521548"/>
      <w:bookmarkStart w:id="2338" w:name="_Toc40530407"/>
      <w:bookmarkStart w:id="2339" w:name="_Toc42778834"/>
      <w:bookmarkStart w:id="2340" w:name="_Toc42779974"/>
      <w:bookmarkStart w:id="2341" w:name="_Toc42780403"/>
      <w:bookmarkStart w:id="2342" w:name="_Toc42786393"/>
      <w:bookmarkStart w:id="2343" w:name="_Toc42791886"/>
      <w:bookmarkStart w:id="2344" w:name="_Toc42792048"/>
      <w:bookmarkStart w:id="2345" w:name="_Toc43117855"/>
      <w:bookmarkStart w:id="2346" w:name="_Toc43121494"/>
      <w:bookmarkStart w:id="2347" w:name="_Toc43122699"/>
      <w:bookmarkStart w:id="2348" w:name="_Toc43127754"/>
      <w:r w:rsidRPr="00027624">
        <w:t>Impact on retirement incomes of unpaid SG</w:t>
      </w:r>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p>
    <w:p w14:paraId="124241FF" w14:textId="5E65C2C3" w:rsidR="00B3792F" w:rsidRPr="00027624" w:rsidRDefault="00B3792F" w:rsidP="00B3792F">
      <w:r w:rsidRPr="00027624">
        <w:t>Cameo modelling shows that a lower</w:t>
      </w:r>
      <w:r w:rsidR="00A8443E" w:rsidRPr="00027624">
        <w:noBreakHyphen/>
      </w:r>
      <w:r w:rsidRPr="00027624">
        <w:t>income, younger employee who is not paid the SG for two years experiences a larger decrease in their superannuation balance and retirement income than an older worker who is not paid the SG for the same period. This is because the younger employee misses out on the benefits of compounding returns (</w:t>
      </w:r>
      <w:r w:rsidRPr="00027624">
        <w:fldChar w:fldCharType="begin"/>
      </w:r>
      <w:r w:rsidRPr="00027624">
        <w:instrText xml:space="preserve"> REF _Ref38462217 \r \h  \* MERGEFORMAT </w:instrText>
      </w:r>
      <w:r w:rsidRPr="00027624">
        <w:fldChar w:fldCharType="separate"/>
      </w:r>
      <w:r w:rsidR="00891058">
        <w:t>Table 3D-5</w:t>
      </w:r>
      <w:r w:rsidRPr="00027624">
        <w:fldChar w:fldCharType="end"/>
      </w:r>
      <w:r w:rsidRPr="00027624">
        <w:t xml:space="preserve">). </w:t>
      </w:r>
    </w:p>
    <w:p w14:paraId="12EA9161" w14:textId="77777777" w:rsidR="00B3792F" w:rsidRPr="00027624" w:rsidRDefault="00B3792F" w:rsidP="00582C3E">
      <w:pPr>
        <w:pStyle w:val="TableMainHeading"/>
      </w:pPr>
      <w:bookmarkStart w:id="2349" w:name="_Ref37257364"/>
      <w:bookmarkStart w:id="2350" w:name="_Ref38462217"/>
      <w:r w:rsidRPr="00027624">
        <w:t>Projected effect of unpaid SG</w:t>
      </w:r>
      <w:bookmarkEnd w:id="2349"/>
      <w:r w:rsidRPr="00027624">
        <w:t xml:space="preserve"> for a lower</w:t>
      </w:r>
      <w:r w:rsidR="00A8443E" w:rsidRPr="00027624">
        <w:noBreakHyphen/>
      </w:r>
      <w:r w:rsidRPr="00027624">
        <w:t>income earner</w:t>
      </w:r>
      <w:bookmarkEnd w:id="2350"/>
    </w:p>
    <w:tbl>
      <w:tblPr>
        <w:tblW w:w="5000" w:type="pct"/>
        <w:tblLook w:val="01E0" w:firstRow="1" w:lastRow="1" w:firstColumn="1" w:lastColumn="1" w:noHBand="0" w:noVBand="0"/>
      </w:tblPr>
      <w:tblGrid>
        <w:gridCol w:w="2267"/>
        <w:gridCol w:w="2267"/>
        <w:gridCol w:w="2268"/>
        <w:gridCol w:w="2268"/>
      </w:tblGrid>
      <w:tr w:rsidR="00B3792F" w:rsidRPr="00027624" w14:paraId="0D24250A" w14:textId="77777777" w:rsidTr="00B3792F">
        <w:trPr>
          <w:trHeight w:val="270"/>
          <w:tblHeader/>
        </w:trPr>
        <w:tc>
          <w:tcPr>
            <w:tcW w:w="1250" w:type="pct"/>
            <w:shd w:val="clear" w:color="auto" w:fill="E5E5E5"/>
          </w:tcPr>
          <w:p w14:paraId="4BD8037D" w14:textId="77777777" w:rsidR="00B3792F" w:rsidRPr="00027624" w:rsidRDefault="00B3792F" w:rsidP="00B3792F">
            <w:pPr>
              <w:pStyle w:val="TableTextLeft"/>
            </w:pPr>
          </w:p>
        </w:tc>
        <w:tc>
          <w:tcPr>
            <w:tcW w:w="1250" w:type="pct"/>
            <w:shd w:val="clear" w:color="auto" w:fill="E5E5E5"/>
          </w:tcPr>
          <w:p w14:paraId="390AB6AA" w14:textId="77777777" w:rsidR="00B3792F" w:rsidRPr="00027624" w:rsidRDefault="00B3792F" w:rsidP="00B3792F">
            <w:pPr>
              <w:pStyle w:val="TableColumnHeadingCentred"/>
            </w:pPr>
            <w:r w:rsidRPr="00027624">
              <w:t>Superannuation balance</w:t>
            </w:r>
            <w:r w:rsidRPr="00027624" w:rsidDel="004B2CC1">
              <w:t xml:space="preserve"> </w:t>
            </w:r>
            <w:r w:rsidRPr="00027624">
              <w:t>at retirement</w:t>
            </w:r>
            <w:r w:rsidRPr="00027624" w:rsidDel="00463628">
              <w:t xml:space="preserve"> </w:t>
            </w:r>
            <w:r w:rsidRPr="00027624">
              <w:t>($)</w:t>
            </w:r>
            <w:r w:rsidRPr="00027624" w:rsidDel="00463628">
              <w:t xml:space="preserve"> </w:t>
            </w:r>
          </w:p>
        </w:tc>
        <w:tc>
          <w:tcPr>
            <w:tcW w:w="1250" w:type="pct"/>
            <w:shd w:val="clear" w:color="auto" w:fill="E5E5E5"/>
          </w:tcPr>
          <w:p w14:paraId="6B0E72F1" w14:textId="77777777" w:rsidR="00B3792F" w:rsidRPr="00027624" w:rsidRDefault="00B3792F" w:rsidP="00B3792F">
            <w:pPr>
              <w:pStyle w:val="TableColumnHeadingCentred"/>
            </w:pPr>
            <w:r w:rsidRPr="00027624">
              <w:t>Average annual retirement income ($)</w:t>
            </w:r>
          </w:p>
        </w:tc>
        <w:tc>
          <w:tcPr>
            <w:tcW w:w="1250" w:type="pct"/>
            <w:shd w:val="clear" w:color="auto" w:fill="E5E5E5"/>
          </w:tcPr>
          <w:p w14:paraId="245C89EE" w14:textId="77777777" w:rsidR="00B3792F" w:rsidRPr="00027624" w:rsidRDefault="00B3792F" w:rsidP="00B3792F">
            <w:pPr>
              <w:pStyle w:val="TableColumnHeadingCentred"/>
            </w:pPr>
            <w:r w:rsidRPr="00027624">
              <w:t>Replacement rate (percentage point)</w:t>
            </w:r>
          </w:p>
        </w:tc>
      </w:tr>
      <w:tr w:rsidR="00B3792F" w:rsidRPr="00027624" w14:paraId="2BC7DE93" w14:textId="77777777" w:rsidTr="00B3792F">
        <w:trPr>
          <w:trHeight w:val="270"/>
        </w:trPr>
        <w:tc>
          <w:tcPr>
            <w:tcW w:w="1250" w:type="pct"/>
          </w:tcPr>
          <w:p w14:paraId="3EAD9F3D" w14:textId="77777777" w:rsidR="00B3792F" w:rsidRPr="00027624" w:rsidRDefault="00B3792F" w:rsidP="00B3792F">
            <w:pPr>
              <w:pStyle w:val="TableTextLeft"/>
            </w:pPr>
            <w:r w:rsidRPr="00027624">
              <w:t>Early in career (age 30)</w:t>
            </w:r>
          </w:p>
        </w:tc>
        <w:tc>
          <w:tcPr>
            <w:tcW w:w="1250" w:type="pct"/>
          </w:tcPr>
          <w:p w14:paraId="25C2C040" w14:textId="77777777" w:rsidR="00B3792F" w:rsidRPr="00027624" w:rsidRDefault="00A8443E" w:rsidP="00B3792F">
            <w:pPr>
              <w:pStyle w:val="TableTextCentered"/>
            </w:pPr>
            <w:r w:rsidRPr="00027624">
              <w:noBreakHyphen/>
            </w:r>
            <w:r w:rsidR="00B3792F" w:rsidRPr="00027624">
              <w:t>17,500 (</w:t>
            </w:r>
            <w:r w:rsidRPr="00027624">
              <w:noBreakHyphen/>
            </w:r>
            <w:r w:rsidR="00B3792F" w:rsidRPr="00027624">
              <w:t>6% decrease)</w:t>
            </w:r>
          </w:p>
        </w:tc>
        <w:tc>
          <w:tcPr>
            <w:tcW w:w="1250" w:type="pct"/>
          </w:tcPr>
          <w:p w14:paraId="3B562FF7" w14:textId="77777777" w:rsidR="00B3792F" w:rsidRPr="00027624" w:rsidRDefault="00A8443E" w:rsidP="00B3792F">
            <w:pPr>
              <w:pStyle w:val="TableTextCentered"/>
            </w:pPr>
            <w:r w:rsidRPr="00027624">
              <w:noBreakHyphen/>
            </w:r>
            <w:r w:rsidR="00B3792F" w:rsidRPr="00027624">
              <w:t>500 (</w:t>
            </w:r>
            <w:r w:rsidRPr="00027624">
              <w:noBreakHyphen/>
            </w:r>
            <w:r w:rsidR="00B3792F" w:rsidRPr="00027624">
              <w:t>1% decrease)</w:t>
            </w:r>
          </w:p>
        </w:tc>
        <w:tc>
          <w:tcPr>
            <w:tcW w:w="1250" w:type="pct"/>
          </w:tcPr>
          <w:p w14:paraId="747AF2F7" w14:textId="77777777" w:rsidR="00B3792F" w:rsidRPr="00027624" w:rsidRDefault="00A8443E" w:rsidP="00B3792F">
            <w:pPr>
              <w:pStyle w:val="TableTextCentered"/>
            </w:pPr>
            <w:r w:rsidRPr="00027624">
              <w:noBreakHyphen/>
            </w:r>
            <w:r w:rsidR="00B3792F" w:rsidRPr="00027624">
              <w:t>1.3</w:t>
            </w:r>
          </w:p>
        </w:tc>
      </w:tr>
      <w:tr w:rsidR="00B3792F" w:rsidRPr="00027624" w14:paraId="32FEDA2F" w14:textId="77777777" w:rsidTr="00B3792F">
        <w:trPr>
          <w:trHeight w:val="270"/>
        </w:trPr>
        <w:tc>
          <w:tcPr>
            <w:tcW w:w="1250" w:type="pct"/>
          </w:tcPr>
          <w:p w14:paraId="2DB27629" w14:textId="77777777" w:rsidR="00B3792F" w:rsidRPr="00027624" w:rsidRDefault="00B3792F" w:rsidP="00B3792F">
            <w:pPr>
              <w:pStyle w:val="TableTextLeft"/>
            </w:pPr>
            <w:r w:rsidRPr="00027624">
              <w:t>Later in career (age 60)</w:t>
            </w:r>
          </w:p>
        </w:tc>
        <w:tc>
          <w:tcPr>
            <w:tcW w:w="1250" w:type="pct"/>
          </w:tcPr>
          <w:p w14:paraId="326BC4AF" w14:textId="77777777" w:rsidR="00B3792F" w:rsidRPr="00027624" w:rsidRDefault="00A8443E" w:rsidP="00B3792F">
            <w:pPr>
              <w:pStyle w:val="TableTextCentered"/>
            </w:pPr>
            <w:r w:rsidRPr="00027624">
              <w:noBreakHyphen/>
            </w:r>
            <w:r w:rsidR="00B3792F" w:rsidRPr="00027624">
              <w:t>13,000 (</w:t>
            </w:r>
            <w:r w:rsidRPr="00027624">
              <w:noBreakHyphen/>
            </w:r>
            <w:r w:rsidR="00B3792F" w:rsidRPr="00027624">
              <w:t>4% decrease)</w:t>
            </w:r>
          </w:p>
        </w:tc>
        <w:tc>
          <w:tcPr>
            <w:tcW w:w="1250" w:type="pct"/>
          </w:tcPr>
          <w:p w14:paraId="6B65337B" w14:textId="77777777" w:rsidR="00B3792F" w:rsidRPr="00027624" w:rsidRDefault="00A8443E" w:rsidP="00B3792F">
            <w:pPr>
              <w:pStyle w:val="TableTextCentered"/>
            </w:pPr>
            <w:r w:rsidRPr="00027624">
              <w:noBreakHyphen/>
            </w:r>
            <w:r w:rsidR="00B3792F" w:rsidRPr="00027624">
              <w:t>300 (</w:t>
            </w:r>
            <w:r w:rsidRPr="00027624">
              <w:noBreakHyphen/>
            </w:r>
            <w:r w:rsidR="00B3792F" w:rsidRPr="00027624">
              <w:t>1% decrease)</w:t>
            </w:r>
          </w:p>
        </w:tc>
        <w:tc>
          <w:tcPr>
            <w:tcW w:w="1250" w:type="pct"/>
          </w:tcPr>
          <w:p w14:paraId="2474E195" w14:textId="77777777" w:rsidR="00B3792F" w:rsidRPr="00027624" w:rsidRDefault="00A8443E" w:rsidP="00B3792F">
            <w:pPr>
              <w:pStyle w:val="TableTextCentered"/>
            </w:pPr>
            <w:r w:rsidRPr="00027624">
              <w:noBreakHyphen/>
            </w:r>
            <w:r w:rsidR="00B3792F" w:rsidRPr="00027624">
              <w:t>0.9</w:t>
            </w:r>
          </w:p>
        </w:tc>
      </w:tr>
    </w:tbl>
    <w:p w14:paraId="76051ABB" w14:textId="77777777" w:rsidR="00B3792F" w:rsidRPr="00027624" w:rsidRDefault="00B3792F" w:rsidP="00B3792F">
      <w:pPr>
        <w:pStyle w:val="ChartorTableNote"/>
      </w:pPr>
      <w:r w:rsidRPr="00027624">
        <w:t>Note: Values are in 2019</w:t>
      </w:r>
      <w:r w:rsidR="00A8443E" w:rsidRPr="00027624">
        <w:noBreakHyphen/>
      </w:r>
      <w:r w:rsidRPr="00027624">
        <w:t>20 dollars using the review</w:t>
      </w:r>
      <w:r w:rsidR="00A8443E" w:rsidRPr="00027624">
        <w:t>’</w:t>
      </w:r>
      <w:r w:rsidRPr="00027624">
        <w:t xml:space="preserve">s mixed deflator and rounded to the nearest $100. Modelling assumes no SG or salary sacrifice contributions </w:t>
      </w:r>
      <w:r w:rsidR="006E4259" w:rsidRPr="00027624">
        <w:t xml:space="preserve">are </w:t>
      </w:r>
      <w:r w:rsidRPr="00027624">
        <w:t>paid in relevant years. Employees are at the 30</w:t>
      </w:r>
      <w:r w:rsidRPr="00027624">
        <w:rPr>
          <w:vertAlign w:val="superscript"/>
        </w:rPr>
        <w:t>th</w:t>
      </w:r>
      <w:r w:rsidRPr="00027624">
        <w:t xml:space="preserve"> income percentile. Source: Cameo modelling undertaken for the review.</w:t>
      </w:r>
    </w:p>
    <w:p w14:paraId="3CDF7A16" w14:textId="77777777" w:rsidR="00B3792F" w:rsidRPr="00027624" w:rsidRDefault="00B3792F" w:rsidP="00B3792F">
      <w:pPr>
        <w:spacing w:before="240"/>
      </w:pPr>
      <w:r w:rsidRPr="00027624">
        <w:t xml:space="preserve">Another consequence of unpaid superannuation can be the employee unknowingly losing disability or income protection insurance. Insurance cover provided through superannuation can lapse if contributions are not regular </w:t>
      </w:r>
      <w:sdt>
        <w:sdtPr>
          <w:id w:val="289252099"/>
          <w:citation/>
        </w:sdtPr>
        <w:sdtEndPr/>
        <w:sdtContent>
          <w:r w:rsidRPr="00027624">
            <w:fldChar w:fldCharType="begin"/>
          </w:r>
          <w:r w:rsidRPr="00027624">
            <w:instrText xml:space="preserve"> CITATION Sen17 \l 3081 </w:instrText>
          </w:r>
          <w:r w:rsidRPr="00027624">
            <w:fldChar w:fldCharType="separate"/>
          </w:r>
          <w:r w:rsidR="00E83F6E">
            <w:rPr>
              <w:noProof/>
            </w:rPr>
            <w:t>(Senate Economics References Committee, 2017)</w:t>
          </w:r>
          <w:r w:rsidRPr="00027624">
            <w:fldChar w:fldCharType="end"/>
          </w:r>
        </w:sdtContent>
      </w:sdt>
      <w:r w:rsidRPr="00027624">
        <w:t>.</w:t>
      </w:r>
    </w:p>
    <w:p w14:paraId="645B6519" w14:textId="77777777" w:rsidR="00B3792F" w:rsidRPr="00027624" w:rsidRDefault="00EA23A0" w:rsidP="00B3792F">
      <w:pPr>
        <w:pStyle w:val="Heading3"/>
      </w:pPr>
      <w:bookmarkStart w:id="2351" w:name="_Toc40366161"/>
      <w:bookmarkStart w:id="2352" w:name="_Toc40369707"/>
      <w:bookmarkStart w:id="2353" w:name="_Toc40427677"/>
      <w:bookmarkStart w:id="2354" w:name="_Toc40458116"/>
      <w:bookmarkStart w:id="2355" w:name="_Toc40461885"/>
      <w:bookmarkStart w:id="2356" w:name="_Toc40474440"/>
      <w:bookmarkStart w:id="2357" w:name="_Toc40477969"/>
      <w:bookmarkStart w:id="2358" w:name="_Toc40521549"/>
      <w:bookmarkStart w:id="2359" w:name="_Toc40530408"/>
      <w:bookmarkStart w:id="2360" w:name="_Toc42778835"/>
      <w:bookmarkStart w:id="2361" w:name="_Toc42779975"/>
      <w:bookmarkStart w:id="2362" w:name="_Toc42780404"/>
      <w:bookmarkStart w:id="2363" w:name="_Toc42786394"/>
      <w:bookmarkStart w:id="2364" w:name="_Toc42791887"/>
      <w:bookmarkStart w:id="2365" w:name="_Toc42792049"/>
      <w:bookmarkStart w:id="2366" w:name="_Toc43117856"/>
      <w:bookmarkStart w:id="2367" w:name="_Toc43121495"/>
      <w:bookmarkStart w:id="2368" w:name="_Toc43122700"/>
      <w:bookmarkStart w:id="2369" w:name="_Toc43127755"/>
      <w:r w:rsidRPr="00027624">
        <w:t>P</w:t>
      </w:r>
      <w:r w:rsidR="00B3792F" w:rsidRPr="00027624">
        <w:t>olicy related to unpaid superannuation</w:t>
      </w:r>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p>
    <w:p w14:paraId="21425862" w14:textId="77777777" w:rsidR="00B3792F" w:rsidRPr="00027624" w:rsidRDefault="00B3792F" w:rsidP="00B3792F">
      <w:r w:rsidRPr="00027624">
        <w:t>Historically, the ATO relied on employee notifications of unpaid superannuation and could not monitor SG compliance in a timely way</w:t>
      </w:r>
      <w:sdt>
        <w:sdtPr>
          <w:id w:val="1873650700"/>
          <w:citation/>
        </w:sdtPr>
        <w:sdtEndPr/>
        <w:sdtContent>
          <w:r w:rsidRPr="00027624">
            <w:fldChar w:fldCharType="begin"/>
          </w:r>
          <w:r w:rsidRPr="00027624">
            <w:instrText xml:space="preserve">CITATION Sen17 \p 83-84 \l 3081 </w:instrText>
          </w:r>
          <w:r w:rsidRPr="00027624">
            <w:fldChar w:fldCharType="separate"/>
          </w:r>
          <w:r w:rsidR="00E83F6E">
            <w:rPr>
              <w:noProof/>
            </w:rPr>
            <w:t xml:space="preserve"> (Senate Economics References Committee, 2017, pp. 83-84)</w:t>
          </w:r>
          <w:r w:rsidRPr="00027624">
            <w:fldChar w:fldCharType="end"/>
          </w:r>
        </w:sdtContent>
      </w:sdt>
      <w:r w:rsidRPr="00027624">
        <w:t>. However, recent developments are improving transparency of SG compliance and helping to identify non</w:t>
      </w:r>
      <w:r w:rsidR="00A8443E" w:rsidRPr="00027624">
        <w:noBreakHyphen/>
      </w:r>
      <w:r w:rsidRPr="00027624">
        <w:t>compliance more quickly. This includes:</w:t>
      </w:r>
    </w:p>
    <w:p w14:paraId="09457B73" w14:textId="77777777" w:rsidR="00B3792F" w:rsidRPr="000F2751" w:rsidRDefault="00B3792F" w:rsidP="000F2751">
      <w:pPr>
        <w:pStyle w:val="Bullet"/>
      </w:pPr>
      <w:r w:rsidRPr="00027624">
        <w:t xml:space="preserve">Single </w:t>
      </w:r>
      <w:r w:rsidRPr="000F2751">
        <w:t>Touch Payroll requiring employers to automatically report tax and SG information to the ATO when they pay their employees</w:t>
      </w:r>
      <w:r w:rsidR="00A8443E" w:rsidRPr="000F2751">
        <w:t>’</w:t>
      </w:r>
      <w:r w:rsidRPr="000F2751">
        <w:t xml:space="preserve"> salaries and wages</w:t>
      </w:r>
    </w:p>
    <w:p w14:paraId="499DA812" w14:textId="77777777" w:rsidR="00B3792F" w:rsidRPr="000F2751" w:rsidRDefault="00B3792F" w:rsidP="000F2751">
      <w:pPr>
        <w:pStyle w:val="Bullet"/>
      </w:pPr>
      <w:r w:rsidRPr="000F2751">
        <w:t>Superannuation funds reporting contributions data more regularly to the ATO</w:t>
      </w:r>
    </w:p>
    <w:p w14:paraId="40458458" w14:textId="77777777" w:rsidR="00B3792F" w:rsidRPr="000F2751" w:rsidRDefault="00B3792F" w:rsidP="000F2751">
      <w:pPr>
        <w:pStyle w:val="Bullet"/>
      </w:pPr>
      <w:r w:rsidRPr="000F2751">
        <w:t>myGov allowing people to see employer contributions to their superannuation fund and the related pay period</w:t>
      </w:r>
    </w:p>
    <w:p w14:paraId="45F2FA96" w14:textId="77777777" w:rsidR="00B3792F" w:rsidRPr="000F2751" w:rsidRDefault="00B3792F" w:rsidP="000F2751">
      <w:pPr>
        <w:pStyle w:val="Bullet"/>
      </w:pPr>
      <w:r w:rsidRPr="000F2751">
        <w:lastRenderedPageBreak/>
        <w:t>Allowing the ATO to disclose to employees when they have identified unpaid SG</w:t>
      </w:r>
    </w:p>
    <w:p w14:paraId="1584256F" w14:textId="77777777" w:rsidR="00B3792F" w:rsidRPr="000F2751" w:rsidRDefault="00B3792F" w:rsidP="000F2751">
      <w:pPr>
        <w:pStyle w:val="Bullet"/>
      </w:pPr>
      <w:r w:rsidRPr="000F2751">
        <w:t>Fixing a loophole in SG legislation where an employer could use an employee</w:t>
      </w:r>
      <w:r w:rsidR="00A8443E" w:rsidRPr="000F2751">
        <w:t>’</w:t>
      </w:r>
      <w:r w:rsidRPr="000F2751">
        <w:t>s salary sacrificed amounts to reduce their SG liability</w:t>
      </w:r>
    </w:p>
    <w:p w14:paraId="099CDE1B" w14:textId="77777777" w:rsidR="00B3792F" w:rsidRPr="000F2751" w:rsidRDefault="00B3792F" w:rsidP="000F2751">
      <w:pPr>
        <w:pStyle w:val="Bullet"/>
      </w:pPr>
      <w:r w:rsidRPr="000F2751">
        <w:t>Increased penalties for non</w:t>
      </w:r>
      <w:r w:rsidR="00A8443E" w:rsidRPr="000F2751">
        <w:noBreakHyphen/>
      </w:r>
      <w:r w:rsidRPr="000F2751">
        <w:t>compliance</w:t>
      </w:r>
    </w:p>
    <w:p w14:paraId="62016FEC" w14:textId="77777777" w:rsidR="00B3792F" w:rsidRPr="00027624" w:rsidRDefault="00B3792F" w:rsidP="000F2751">
      <w:pPr>
        <w:pStyle w:val="Bullet"/>
      </w:pPr>
      <w:r w:rsidRPr="000F2751">
        <w:t>A temporary amnesty from penalties to encourage employers to correct past SG non</w:t>
      </w:r>
      <w:r w:rsidR="00A8443E" w:rsidRPr="00027624">
        <w:noBreakHyphen/>
      </w:r>
      <w:r w:rsidRPr="00027624">
        <w:t>payment</w:t>
      </w:r>
    </w:p>
    <w:p w14:paraId="6C2FA0D3" w14:textId="77777777" w:rsidR="00B3792F" w:rsidRPr="00027624" w:rsidRDefault="00B3792F" w:rsidP="00B3792F">
      <w:pPr>
        <w:pStyle w:val="Heading2"/>
      </w:pPr>
      <w:bookmarkStart w:id="2370" w:name="_Toc40366162"/>
      <w:bookmarkStart w:id="2371" w:name="_Toc40369708"/>
      <w:bookmarkStart w:id="2372" w:name="_Toc40427678"/>
      <w:bookmarkStart w:id="2373" w:name="_Toc40458117"/>
      <w:bookmarkStart w:id="2374" w:name="_Toc40461886"/>
      <w:bookmarkStart w:id="2375" w:name="_Toc40474441"/>
      <w:bookmarkStart w:id="2376" w:name="_Toc40477970"/>
      <w:bookmarkStart w:id="2377" w:name="_Toc40521550"/>
      <w:bookmarkStart w:id="2378" w:name="_Toc40530409"/>
      <w:bookmarkStart w:id="2379" w:name="_Toc42778836"/>
      <w:bookmarkStart w:id="2380" w:name="_Toc42779976"/>
      <w:bookmarkStart w:id="2381" w:name="_Toc42780405"/>
      <w:bookmarkStart w:id="2382" w:name="_Toc42786395"/>
      <w:bookmarkStart w:id="2383" w:name="_Toc42791888"/>
      <w:bookmarkStart w:id="2384" w:name="_Toc42792050"/>
      <w:bookmarkStart w:id="2385" w:name="_Toc43117857"/>
      <w:bookmarkStart w:id="2386" w:name="_Toc43121496"/>
      <w:bookmarkStart w:id="2387" w:name="_Toc43122701"/>
      <w:bookmarkStart w:id="2388" w:name="_Toc43127756"/>
      <w:bookmarkStart w:id="2389" w:name="_Toc45520511"/>
      <w:bookmarkStart w:id="2390" w:name="_Toc46133622"/>
      <w:r w:rsidRPr="00027624">
        <w:t>Retirement outcomes for self</w:t>
      </w:r>
      <w:r w:rsidR="00A8443E" w:rsidRPr="00027624">
        <w:noBreakHyphen/>
      </w:r>
      <w:r w:rsidRPr="00027624">
        <w:t>employed people</w:t>
      </w:r>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p>
    <w:p w14:paraId="7A39B4A9" w14:textId="77777777" w:rsidR="00B3792F" w:rsidRPr="00027624" w:rsidRDefault="00B3792F" w:rsidP="00B3792F">
      <w:r w:rsidRPr="00027624">
        <w:t>In 2019, around 2.2 million people, or 17 per cent of workers, were self</w:t>
      </w:r>
      <w:r w:rsidR="00A8443E" w:rsidRPr="00027624">
        <w:noBreakHyphen/>
      </w:r>
      <w:r w:rsidRPr="00027624">
        <w:t xml:space="preserve">employed in their main job </w:t>
      </w:r>
      <w:sdt>
        <w:sdtPr>
          <w:id w:val="-1116051108"/>
          <w:citation/>
        </w:sdtPr>
        <w:sdtEndPr/>
        <w:sdtContent>
          <w:r w:rsidRPr="00027624">
            <w:fldChar w:fldCharType="begin"/>
          </w:r>
          <w:r w:rsidRPr="00027624">
            <w:instrText xml:space="preserve">CITATION Placeholder23 \l 3081 </w:instrText>
          </w:r>
          <w:r w:rsidRPr="00027624">
            <w:fldChar w:fldCharType="separate"/>
          </w:r>
          <w:r w:rsidR="00E83F6E">
            <w:rPr>
              <w:noProof/>
            </w:rPr>
            <w:t>(ABS, 2019f)</w:t>
          </w:r>
          <w:r w:rsidRPr="00027624">
            <w:fldChar w:fldCharType="end"/>
          </w:r>
        </w:sdtContent>
      </w:sdt>
      <w:r w:rsidRPr="00027624">
        <w:t>. A self</w:t>
      </w:r>
      <w:r w:rsidR="00A8443E" w:rsidRPr="00027624">
        <w:noBreakHyphen/>
      </w:r>
      <w:r w:rsidRPr="00027624">
        <w:t>employed person does not have to make contributions on their behalf to a superannuation fund. Similarly, employers do not have to pay</w:t>
      </w:r>
      <w:r w:rsidRPr="00027624" w:rsidDel="00582EE6">
        <w:t xml:space="preserve"> the</w:t>
      </w:r>
      <w:r w:rsidRPr="00027624">
        <w:t xml:space="preserve"> SG to independent contractors. The SG has not been applied to self</w:t>
      </w:r>
      <w:r w:rsidR="00A8443E" w:rsidRPr="00027624">
        <w:noBreakHyphen/>
      </w:r>
      <w:r w:rsidRPr="00027624">
        <w:t>employed people since its inception due to concerns about restricting capital and liquidity management for small businesses.</w:t>
      </w:r>
    </w:p>
    <w:p w14:paraId="12D4BAE6" w14:textId="77777777" w:rsidR="00B3792F" w:rsidRPr="00027624" w:rsidRDefault="00B3792F" w:rsidP="00B3792F">
      <w:r w:rsidRPr="00027624">
        <w:t>Several submissions were concerned that the lack of compulsory superannuation can lead to poorer retirement outcomes for the self</w:t>
      </w:r>
      <w:r w:rsidR="00A8443E" w:rsidRPr="00027624">
        <w:noBreakHyphen/>
      </w:r>
      <w:r w:rsidRPr="00027624">
        <w:t>employed. Evidence to support this concern is difficult to assess as self</w:t>
      </w:r>
      <w:r w:rsidR="00A8443E" w:rsidRPr="00027624">
        <w:noBreakHyphen/>
      </w:r>
      <w:r w:rsidRPr="00027624">
        <w:t>employed people have diverse characteristics and circumstances, as illustrated in these generalised scenarios:</w:t>
      </w:r>
    </w:p>
    <w:p w14:paraId="0612B4A4" w14:textId="77777777" w:rsidR="00B3792F" w:rsidRPr="00027624" w:rsidRDefault="00B3792F" w:rsidP="00A83D09">
      <w:pPr>
        <w:pStyle w:val="Bullet"/>
      </w:pPr>
      <w:r w:rsidRPr="00027624">
        <w:t xml:space="preserve">A </w:t>
      </w:r>
      <w:r w:rsidRPr="00027624">
        <w:rPr>
          <w:b/>
          <w:bCs/>
        </w:rPr>
        <w:t xml:space="preserve">small business owner </w:t>
      </w:r>
      <w:r w:rsidRPr="00027624">
        <w:t xml:space="preserve">with business assets and who uses these assets as a retirement </w:t>
      </w:r>
      <w:r w:rsidR="00A8443E" w:rsidRPr="00027624">
        <w:t>‘</w:t>
      </w:r>
      <w:r w:rsidRPr="00027624">
        <w:t>nest egg</w:t>
      </w:r>
      <w:r w:rsidR="00A8443E" w:rsidRPr="00027624">
        <w:t>’</w:t>
      </w:r>
      <w:r w:rsidRPr="00027624">
        <w:t>. This is facilitated by tax concessions for moving business assets into superannuation (see below). However, the owner takes on risk by not diversifying their retirement assets.</w:t>
      </w:r>
    </w:p>
    <w:p w14:paraId="16A8BC11" w14:textId="77777777" w:rsidR="00B3792F" w:rsidRPr="00027624" w:rsidRDefault="00B3792F" w:rsidP="00A83D09">
      <w:pPr>
        <w:pStyle w:val="Bullet"/>
      </w:pPr>
      <w:r w:rsidRPr="00027624">
        <w:t xml:space="preserve">A </w:t>
      </w:r>
      <w:r w:rsidRPr="00027624">
        <w:rPr>
          <w:b/>
          <w:bCs/>
        </w:rPr>
        <w:t>high</w:t>
      </w:r>
      <w:r w:rsidR="00A8443E" w:rsidRPr="00027624">
        <w:rPr>
          <w:b/>
          <w:bCs/>
        </w:rPr>
        <w:noBreakHyphen/>
      </w:r>
      <w:r w:rsidRPr="00027624">
        <w:rPr>
          <w:b/>
          <w:bCs/>
        </w:rPr>
        <w:t xml:space="preserve">skilled sole trader/independent contractor </w:t>
      </w:r>
      <w:r w:rsidRPr="00027624">
        <w:t>who does not have significant business assets to sell at retirement but receives remuneration that they consider compensates them for the entitlements (e.g. the SG) they miss out on by not being an employee. This person may make voluntary contributions to superannuation or build up other assets.</w:t>
      </w:r>
    </w:p>
    <w:p w14:paraId="62438C66" w14:textId="77777777" w:rsidR="00B3792F" w:rsidRPr="00027624" w:rsidRDefault="00B3792F" w:rsidP="00A83D09">
      <w:pPr>
        <w:pStyle w:val="Bullet"/>
      </w:pPr>
      <w:r w:rsidRPr="00027624">
        <w:t xml:space="preserve">A </w:t>
      </w:r>
      <w:r w:rsidRPr="00027624">
        <w:rPr>
          <w:b/>
          <w:bCs/>
        </w:rPr>
        <w:t>dependent contractor</w:t>
      </w:r>
      <w:r w:rsidRPr="00027624">
        <w:t xml:space="preserve"> who is misclassified as an independent contractor so they do not receive the SG, but has working arrangements more akin to an employee. They may lack the bargaining power to receive higher payments to compensate for the lack of SG compared with a similar employee. This may represent a </w:t>
      </w:r>
      <w:r w:rsidR="00A8443E" w:rsidRPr="00027624">
        <w:t>‘</w:t>
      </w:r>
      <w:r w:rsidRPr="00027624">
        <w:t>sham contracting</w:t>
      </w:r>
      <w:r w:rsidR="00A8443E" w:rsidRPr="00027624">
        <w:t>’</w:t>
      </w:r>
      <w:r w:rsidRPr="00027624">
        <w:t xml:space="preserve"> arrangement, used by employers to save on wage costs (see below).</w:t>
      </w:r>
    </w:p>
    <w:p w14:paraId="546E160C" w14:textId="77777777" w:rsidR="00B3792F" w:rsidRPr="00027624" w:rsidRDefault="00B3792F" w:rsidP="00B3792F">
      <w:r w:rsidRPr="00027624">
        <w:t>Data limitations also prevent comprehensive and conclusive analysis of self</w:t>
      </w:r>
      <w:r w:rsidR="00A8443E" w:rsidRPr="00027624">
        <w:noBreakHyphen/>
      </w:r>
      <w:r w:rsidRPr="00027624">
        <w:t>employed people</w:t>
      </w:r>
      <w:r w:rsidR="00A8443E" w:rsidRPr="00027624">
        <w:t>’</w:t>
      </w:r>
      <w:r w:rsidRPr="00027624">
        <w:t xml:space="preserve">s retirement outcomes, partly because </w:t>
      </w:r>
      <w:r w:rsidR="00A8443E" w:rsidRPr="00027624">
        <w:t>‘</w:t>
      </w:r>
      <w:r w:rsidRPr="00027624">
        <w:t>self</w:t>
      </w:r>
      <w:r w:rsidR="00A8443E" w:rsidRPr="00027624">
        <w:noBreakHyphen/>
      </w:r>
      <w:r w:rsidRPr="00027624">
        <w:t>employed</w:t>
      </w:r>
      <w:r w:rsidR="00A8443E" w:rsidRPr="00027624">
        <w:t>’</w:t>
      </w:r>
      <w:r w:rsidRPr="00027624">
        <w:t xml:space="preserve"> is not an identifier in retirement data.</w:t>
      </w:r>
    </w:p>
    <w:p w14:paraId="1E50A0E7" w14:textId="77777777" w:rsidR="00B3792F" w:rsidRPr="00027624" w:rsidRDefault="00B3792F" w:rsidP="00B3792F">
      <w:pPr>
        <w:pStyle w:val="Heading3"/>
      </w:pPr>
      <w:bookmarkStart w:id="2391" w:name="_Toc40366163"/>
      <w:bookmarkStart w:id="2392" w:name="_Toc40369709"/>
      <w:bookmarkStart w:id="2393" w:name="_Toc40427865"/>
      <w:bookmarkStart w:id="2394" w:name="_Toc40458118"/>
      <w:bookmarkStart w:id="2395" w:name="_Toc40461887"/>
      <w:bookmarkStart w:id="2396" w:name="_Toc40474442"/>
      <w:bookmarkStart w:id="2397" w:name="_Toc40477971"/>
      <w:bookmarkStart w:id="2398" w:name="_Toc40521551"/>
      <w:bookmarkStart w:id="2399" w:name="_Toc40530410"/>
      <w:bookmarkStart w:id="2400" w:name="_Toc42778837"/>
      <w:bookmarkStart w:id="2401" w:name="_Toc42779977"/>
      <w:bookmarkStart w:id="2402" w:name="_Toc42780406"/>
      <w:bookmarkStart w:id="2403" w:name="_Toc42786396"/>
      <w:bookmarkStart w:id="2404" w:name="_Toc42791889"/>
      <w:bookmarkStart w:id="2405" w:name="_Toc42792051"/>
      <w:bookmarkStart w:id="2406" w:name="_Toc43117858"/>
      <w:bookmarkStart w:id="2407" w:name="_Toc43121497"/>
      <w:bookmarkStart w:id="2408" w:name="_Toc43122702"/>
      <w:bookmarkStart w:id="2409" w:name="_Toc43127757"/>
      <w:r w:rsidRPr="00027624">
        <w:t>Characteristics of self</w:t>
      </w:r>
      <w:r w:rsidR="00A8443E" w:rsidRPr="00027624">
        <w:noBreakHyphen/>
      </w:r>
      <w:r w:rsidRPr="00027624">
        <w:t>employed people</w:t>
      </w:r>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p>
    <w:p w14:paraId="16398FE4" w14:textId="77777777" w:rsidR="00B3792F" w:rsidRPr="00027624" w:rsidRDefault="00B3792F" w:rsidP="00B3792F">
      <w:r w:rsidRPr="00027624">
        <w:t>Self</w:t>
      </w:r>
      <w:r w:rsidR="00A8443E" w:rsidRPr="00027624">
        <w:noBreakHyphen/>
      </w:r>
      <w:r w:rsidRPr="00027624">
        <w:t xml:space="preserve">employment is more common among men and older people </w:t>
      </w:r>
      <w:sdt>
        <w:sdtPr>
          <w:id w:val="1599685263"/>
          <w:citation/>
        </w:sdtPr>
        <w:sdtEndPr/>
        <w:sdtContent>
          <w:r w:rsidRPr="00027624">
            <w:fldChar w:fldCharType="begin"/>
          </w:r>
          <w:r w:rsidRPr="00027624">
            <w:instrText xml:space="preserve"> CITATION Placeholder23 \l 3081 </w:instrText>
          </w:r>
          <w:r w:rsidRPr="00027624">
            <w:fldChar w:fldCharType="separate"/>
          </w:r>
          <w:r w:rsidR="00E83F6E">
            <w:rPr>
              <w:noProof/>
            </w:rPr>
            <w:t>(ABS, 2019f)</w:t>
          </w:r>
          <w:r w:rsidRPr="00027624">
            <w:fldChar w:fldCharType="end"/>
          </w:r>
        </w:sdtContent>
      </w:sdt>
      <w:r w:rsidRPr="00027624">
        <w:t>. A Productivity Commission report found that self</w:t>
      </w:r>
      <w:r w:rsidR="00A8443E" w:rsidRPr="00027624">
        <w:noBreakHyphen/>
      </w:r>
      <w:r w:rsidRPr="00027624">
        <w:t>employed (independent) contractors are more likely to be male, older and in higher skilled occupations. Whereas, dependent contractors are more likely to be younger and working in lower skilled jobs</w:t>
      </w:r>
      <w:sdt>
        <w:sdtPr>
          <w:id w:val="754636171"/>
          <w:citation/>
        </w:sdtPr>
        <w:sdtEndPr/>
        <w:sdtContent>
          <w:r w:rsidRPr="00027624">
            <w:fldChar w:fldCharType="begin"/>
          </w:r>
          <w:r w:rsidRPr="00027624">
            <w:instrText xml:space="preserve">CITATION Pro011 \p 53 \l 3081 </w:instrText>
          </w:r>
          <w:r w:rsidRPr="00027624">
            <w:fldChar w:fldCharType="separate"/>
          </w:r>
          <w:r w:rsidR="00E83F6E">
            <w:rPr>
              <w:noProof/>
            </w:rPr>
            <w:t xml:space="preserve"> (Waite &amp; Will, 2001, p. 53)</w:t>
          </w:r>
          <w:r w:rsidRPr="00027624">
            <w:fldChar w:fldCharType="end"/>
          </w:r>
        </w:sdtContent>
      </w:sdt>
      <w:r w:rsidRPr="00027624">
        <w:t>.</w:t>
      </w:r>
    </w:p>
    <w:p w14:paraId="3951ECBA" w14:textId="77777777" w:rsidR="00B3792F" w:rsidRPr="00027624" w:rsidRDefault="00B3792F" w:rsidP="00B3792F">
      <w:pPr>
        <w:pStyle w:val="SingleParagraph"/>
      </w:pPr>
      <w:r w:rsidRPr="00027624">
        <w:t>In 2019, around 12 per cent of workers aged 25</w:t>
      </w:r>
      <w:r w:rsidR="00A8443E" w:rsidRPr="00027624">
        <w:noBreakHyphen/>
      </w:r>
      <w:r w:rsidRPr="00027624">
        <w:t>34 were self</w:t>
      </w:r>
      <w:r w:rsidR="00A8443E" w:rsidRPr="00027624">
        <w:noBreakHyphen/>
      </w:r>
      <w:r w:rsidRPr="00027624">
        <w:t>employed, increasing to a quarter of workers aged 55</w:t>
      </w:r>
      <w:r w:rsidR="00A8443E" w:rsidRPr="00027624">
        <w:noBreakHyphen/>
      </w:r>
      <w:r w:rsidRPr="00027624">
        <w:t xml:space="preserve">64 </w:t>
      </w:r>
      <w:sdt>
        <w:sdtPr>
          <w:id w:val="-792288688"/>
          <w:citation/>
        </w:sdtPr>
        <w:sdtEndPr/>
        <w:sdtContent>
          <w:r w:rsidRPr="00027624">
            <w:fldChar w:fldCharType="begin"/>
          </w:r>
          <w:r w:rsidRPr="00027624">
            <w:instrText xml:space="preserve"> CITATION Placeholder23 \l 3081 </w:instrText>
          </w:r>
          <w:r w:rsidRPr="00027624">
            <w:fldChar w:fldCharType="separate"/>
          </w:r>
          <w:r w:rsidR="00E83F6E">
            <w:rPr>
              <w:noProof/>
            </w:rPr>
            <w:t>(ABS, 2019f)</w:t>
          </w:r>
          <w:r w:rsidRPr="00027624">
            <w:fldChar w:fldCharType="end"/>
          </w:r>
        </w:sdtContent>
      </w:sdt>
      <w:r w:rsidRPr="00027624">
        <w:t>. Studies found that older workers may prefer more flexible forms of work, including self</w:t>
      </w:r>
      <w:r w:rsidR="00A8443E" w:rsidRPr="00027624">
        <w:noBreakHyphen/>
      </w:r>
      <w:r w:rsidRPr="00027624">
        <w:t>employment, as part of transitioning out of the labour force</w:t>
      </w:r>
      <w:sdt>
        <w:sdtPr>
          <w:id w:val="934564023"/>
          <w:citation/>
        </w:sdtPr>
        <w:sdtEndPr/>
        <w:sdtContent>
          <w:r w:rsidRPr="00027624">
            <w:fldChar w:fldCharType="begin"/>
          </w:r>
          <w:r w:rsidRPr="00027624">
            <w:instrText xml:space="preserve"> CITATION Pro3b \l 3081 </w:instrText>
          </w:r>
          <w:r w:rsidRPr="00027624">
            <w:fldChar w:fldCharType="separate"/>
          </w:r>
          <w:r w:rsidR="00E83F6E">
            <w:rPr>
              <w:noProof/>
            </w:rPr>
            <w:t xml:space="preserve"> (Shomos, et al., 2013b)</w:t>
          </w:r>
          <w:r w:rsidRPr="00027624">
            <w:fldChar w:fldCharType="end"/>
          </w:r>
        </w:sdtContent>
      </w:sdt>
      <w:r w:rsidRPr="00027624">
        <w:t>.</w:t>
      </w:r>
    </w:p>
    <w:p w14:paraId="16F37FAD" w14:textId="77777777" w:rsidR="00B3792F" w:rsidRPr="00027624" w:rsidRDefault="00B3792F" w:rsidP="00B3792F">
      <w:pPr>
        <w:pStyle w:val="Heading4"/>
      </w:pPr>
      <w:bookmarkStart w:id="2410" w:name="_Toc40366164"/>
      <w:bookmarkStart w:id="2411" w:name="_Toc40369710"/>
      <w:bookmarkStart w:id="2412" w:name="_Toc40427866"/>
      <w:bookmarkStart w:id="2413" w:name="_Toc40458119"/>
      <w:bookmarkStart w:id="2414" w:name="_Toc40461888"/>
      <w:bookmarkStart w:id="2415" w:name="_Toc40474443"/>
      <w:bookmarkStart w:id="2416" w:name="_Toc40477972"/>
      <w:bookmarkStart w:id="2417" w:name="_Toc40521552"/>
      <w:bookmarkStart w:id="2418" w:name="_Toc40530411"/>
      <w:bookmarkStart w:id="2419" w:name="_Toc42778838"/>
      <w:bookmarkStart w:id="2420" w:name="_Toc42779978"/>
      <w:bookmarkStart w:id="2421" w:name="_Toc42780407"/>
      <w:bookmarkStart w:id="2422" w:name="_Toc42786397"/>
      <w:bookmarkStart w:id="2423" w:name="_Toc42791890"/>
      <w:bookmarkStart w:id="2424" w:name="_Toc42792052"/>
      <w:bookmarkStart w:id="2425" w:name="_Toc43117859"/>
      <w:bookmarkStart w:id="2426" w:name="_Toc43121498"/>
      <w:bookmarkStart w:id="2427" w:name="_Toc43122703"/>
      <w:bookmarkStart w:id="2428" w:name="_Toc43127758"/>
      <w:r w:rsidRPr="00027624">
        <w:t>Superannuation and total wealth</w:t>
      </w:r>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r w:rsidRPr="00027624">
        <w:t xml:space="preserve"> </w:t>
      </w:r>
    </w:p>
    <w:p w14:paraId="1675DD1A" w14:textId="519B82B8" w:rsidR="00B3792F" w:rsidRPr="00027624" w:rsidRDefault="00B3792F" w:rsidP="00B3792F">
      <w:r w:rsidRPr="00027624">
        <w:t>Self</w:t>
      </w:r>
      <w:r w:rsidR="00A8443E" w:rsidRPr="00027624">
        <w:noBreakHyphen/>
      </w:r>
      <w:r w:rsidRPr="00027624">
        <w:t>employed people generally have lower superannuation balances than employees (</w:t>
      </w:r>
      <w:r w:rsidRPr="00027624">
        <w:fldChar w:fldCharType="begin"/>
      </w:r>
      <w:r w:rsidRPr="00027624">
        <w:instrText xml:space="preserve"> REF _Ref38881872 \r \h  \* MERGEFORMAT </w:instrText>
      </w:r>
      <w:r w:rsidRPr="00027624">
        <w:fldChar w:fldCharType="separate"/>
      </w:r>
      <w:r w:rsidR="00891058">
        <w:t>Chart 3D-3</w:t>
      </w:r>
      <w:r w:rsidRPr="00027624">
        <w:fldChar w:fldCharType="end"/>
      </w:r>
      <w:r w:rsidRPr="00027624">
        <w:t>). However, employees and self</w:t>
      </w:r>
      <w:r w:rsidR="00A8443E" w:rsidRPr="00027624">
        <w:noBreakHyphen/>
      </w:r>
      <w:r w:rsidRPr="00027624">
        <w:t xml:space="preserve">employed people have similar total levels of wealth, on average, with </w:t>
      </w:r>
      <w:r w:rsidRPr="00027624">
        <w:lastRenderedPageBreak/>
        <w:t>the typical household using the family home as the primary savings vehicle (</w:t>
      </w:r>
      <w:r w:rsidRPr="00027624">
        <w:fldChar w:fldCharType="begin"/>
      </w:r>
      <w:r w:rsidRPr="00027624">
        <w:instrText xml:space="preserve"> REF _Ref39675081 \r \h  \* MERGEFORMAT </w:instrText>
      </w:r>
      <w:r w:rsidRPr="00027624">
        <w:fldChar w:fldCharType="separate"/>
      </w:r>
      <w:r w:rsidR="00891058">
        <w:t>Chart 3D-4</w:t>
      </w:r>
      <w:r w:rsidRPr="00027624">
        <w:fldChar w:fldCharType="end"/>
      </w:r>
      <w:r w:rsidRPr="00027624">
        <w:t xml:space="preserve"> and </w:t>
      </w:r>
      <w:r w:rsidRPr="00027624">
        <w:fldChar w:fldCharType="begin"/>
      </w:r>
      <w:r w:rsidRPr="00027624">
        <w:instrText xml:space="preserve"> REF _Ref39672705 \r \h  \* MERGEFORMAT </w:instrText>
      </w:r>
      <w:r w:rsidRPr="00027624">
        <w:fldChar w:fldCharType="separate"/>
      </w:r>
      <w:r w:rsidR="00891058">
        <w:t>Chart 3D-5</w:t>
      </w:r>
      <w:r w:rsidRPr="00027624">
        <w:fldChar w:fldCharType="end"/>
      </w:r>
      <w:r w:rsidRPr="00027624">
        <w:t>). Tax concessions available to small business owners may incentivise them to hold wealth in the form of their business assets until closer to retirement.</w:t>
      </w:r>
    </w:p>
    <w:p w14:paraId="42AFEC56" w14:textId="77777777" w:rsidR="00B3792F" w:rsidRPr="00027624" w:rsidRDefault="00B3792F" w:rsidP="00582C3E">
      <w:pPr>
        <w:pStyle w:val="ChartMainHeading"/>
        <w:ind w:left="76"/>
      </w:pPr>
      <w:bookmarkStart w:id="2429" w:name="_Ref37849814"/>
      <w:bookmarkStart w:id="2430" w:name="_Ref38881872"/>
      <w:r w:rsidRPr="00027624">
        <w:t>Median superannuation balances, by form of employment</w:t>
      </w:r>
      <w:bookmarkEnd w:id="2429"/>
      <w:r w:rsidRPr="00027624">
        <w:t xml:space="preserve"> and age</w:t>
      </w:r>
      <w:bookmarkEnd w:id="2430"/>
    </w:p>
    <w:p w14:paraId="720A7A6D" w14:textId="77777777" w:rsidR="00B3792F" w:rsidRPr="00027624" w:rsidRDefault="00B01AFF" w:rsidP="00B3792F">
      <w:pPr>
        <w:pStyle w:val="ChartGraphic"/>
      </w:pPr>
      <w:r>
        <w:rPr>
          <w:noProof/>
        </w:rPr>
        <w:drawing>
          <wp:inline distT="0" distB="0" distL="0" distR="0" wp14:anchorId="7049F90F" wp14:editId="60E49960">
            <wp:extent cx="5547360" cy="2324100"/>
            <wp:effectExtent l="0" t="0" r="0" b="0"/>
            <wp:docPr id="224" name="Picture 224" descr="This chart shows that the median superannuation balance of employees, sole traders and those in a partnership increase with age, and then declines slightly from age 65 and over. The median superannuation balances of sole traders and those in a partnership are lower than that of employees at every age group, particularly from ages 35-44 onwards. " title="Chart 3D-3 Median superannuation balances, by form of employment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47360" cy="2324100"/>
                    </a:xfrm>
                    <a:prstGeom prst="rect">
                      <a:avLst/>
                    </a:prstGeom>
                    <a:noFill/>
                  </pic:spPr>
                </pic:pic>
              </a:graphicData>
            </a:graphic>
          </wp:inline>
        </w:drawing>
      </w:r>
    </w:p>
    <w:p w14:paraId="1707A9FA" w14:textId="77777777" w:rsidR="00B3792F" w:rsidRPr="00027624" w:rsidRDefault="00B3792F" w:rsidP="00B3792F">
      <w:pPr>
        <w:pStyle w:val="ChartorTableNote"/>
      </w:pPr>
      <w:r w:rsidRPr="00027624">
        <w:t>Note: Balances from 2017</w:t>
      </w:r>
      <w:r w:rsidR="00A8443E" w:rsidRPr="00027624">
        <w:noBreakHyphen/>
      </w:r>
      <w:r w:rsidRPr="00027624">
        <w:t xml:space="preserve">18 taxation data. </w:t>
      </w:r>
      <w:r w:rsidR="00A8443E" w:rsidRPr="00027624">
        <w:t>‘</w:t>
      </w:r>
      <w:r w:rsidRPr="00027624">
        <w:t>Employee</w:t>
      </w:r>
      <w:r w:rsidR="00A8443E" w:rsidRPr="00027624">
        <w:t>’</w:t>
      </w:r>
      <w:r w:rsidRPr="00027624">
        <w:t xml:space="preserve"> indicates those who solely earned salary and wage income. </w:t>
      </w:r>
      <w:r w:rsidR="00A8443E" w:rsidRPr="00027624">
        <w:t>‘</w:t>
      </w:r>
      <w:r w:rsidRPr="00027624">
        <w:t>Sole trader</w:t>
      </w:r>
      <w:r w:rsidR="00A8443E" w:rsidRPr="00027624">
        <w:t>’</w:t>
      </w:r>
      <w:r w:rsidRPr="00027624">
        <w:t xml:space="preserve"> and </w:t>
      </w:r>
      <w:r w:rsidR="00A8443E" w:rsidRPr="00027624">
        <w:t>‘</w:t>
      </w:r>
      <w:r w:rsidRPr="00027624">
        <w:t>partnership</w:t>
      </w:r>
      <w:r w:rsidR="00A8443E" w:rsidRPr="00027624">
        <w:t>’</w:t>
      </w:r>
      <w:r w:rsidRPr="00027624">
        <w:t xml:space="preserve"> income includes any person who earned income from running a non</w:t>
      </w:r>
      <w:r w:rsidR="00A8443E" w:rsidRPr="00027624">
        <w:noBreakHyphen/>
      </w:r>
      <w:r w:rsidRPr="00027624">
        <w:t>primary production business as an individual or in a partnership. Source: Data provided by the ATO for the review.</w:t>
      </w:r>
    </w:p>
    <w:tbl>
      <w:tblPr>
        <w:tblW w:w="5000" w:type="pct"/>
        <w:tblCellMar>
          <w:left w:w="0" w:type="dxa"/>
          <w:right w:w="0" w:type="dxa"/>
        </w:tblCellMar>
        <w:tblLook w:val="01E0" w:firstRow="1" w:lastRow="1" w:firstColumn="1" w:lastColumn="1" w:noHBand="0" w:noVBand="0"/>
      </w:tblPr>
      <w:tblGrid>
        <w:gridCol w:w="4535"/>
        <w:gridCol w:w="4535"/>
      </w:tblGrid>
      <w:tr w:rsidR="00B3792F" w:rsidRPr="00027624" w14:paraId="1EC3BFBF" w14:textId="77777777" w:rsidTr="00B3792F">
        <w:trPr>
          <w:cantSplit/>
          <w:trHeight w:val="4536"/>
        </w:trPr>
        <w:tc>
          <w:tcPr>
            <w:tcW w:w="1718" w:type="pct"/>
          </w:tcPr>
          <w:p w14:paraId="1C109166" w14:textId="77777777" w:rsidR="00B3792F" w:rsidRPr="00027624" w:rsidRDefault="00B3792F" w:rsidP="00582C3E">
            <w:pPr>
              <w:pStyle w:val="ChartMainHeading"/>
              <w:rPr>
                <w:noProof/>
              </w:rPr>
            </w:pPr>
            <w:r w:rsidRPr="00027624">
              <w:br w:type="page"/>
            </w:r>
            <w:bookmarkStart w:id="2431" w:name="_Ref39675081"/>
            <w:r w:rsidRPr="00027624">
              <w:t>Total wealth of households aged 55</w:t>
            </w:r>
            <w:r w:rsidR="00A8443E" w:rsidRPr="00027624">
              <w:noBreakHyphen/>
            </w:r>
            <w:r w:rsidRPr="00027624">
              <w:t>64, by form of employment and household</w:t>
            </w:r>
            <w:bookmarkEnd w:id="2431"/>
            <w:r w:rsidRPr="00027624">
              <w:t xml:space="preserve"> (25</w:t>
            </w:r>
            <w:r w:rsidRPr="00027624">
              <w:rPr>
                <w:vertAlign w:val="superscript"/>
              </w:rPr>
              <w:t>th</w:t>
            </w:r>
            <w:r w:rsidRPr="00027624">
              <w:t xml:space="preserve"> to 75</w:t>
            </w:r>
            <w:r w:rsidRPr="00027624">
              <w:rPr>
                <w:vertAlign w:val="superscript"/>
              </w:rPr>
              <w:t>th</w:t>
            </w:r>
            <w:r w:rsidRPr="00027624">
              <w:t xml:space="preserve"> percentile)</w:t>
            </w:r>
          </w:p>
          <w:p w14:paraId="42A6A4A9" w14:textId="77777777" w:rsidR="00B3792F" w:rsidRPr="00027624" w:rsidRDefault="00B01AFF" w:rsidP="00B3792F">
            <w:pPr>
              <w:jc w:val="center"/>
            </w:pPr>
            <w:r>
              <w:rPr>
                <w:noProof/>
              </w:rPr>
              <w:drawing>
                <wp:inline distT="0" distB="0" distL="0" distR="0" wp14:anchorId="3CDCEB7D" wp14:editId="0242FEAB">
                  <wp:extent cx="2880360" cy="2887980"/>
                  <wp:effectExtent l="0" t="0" r="0" b="7620"/>
                  <wp:docPr id="225" name="Picture 225" descr="This chart shows that the median total wealth of households aged 55-64 is similar for single employees and single self-employed people. For coupled self-employed people, their median wealth is around $200,000 higher than coupled employees. Those employees and self-employed at the 25th percentile of wealth have relatively similar total wealth, while for those at the 75th percentile of wealth, the self-employed have higher total wealth than employees, for both couples and singles. " title="Chart 3D-4 Total wealth of households aged 55-64, by form of employment and household (25th to 75th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tc>
        <w:tc>
          <w:tcPr>
            <w:tcW w:w="3282" w:type="pct"/>
          </w:tcPr>
          <w:p w14:paraId="0E07C07D" w14:textId="77777777" w:rsidR="00B3792F" w:rsidRPr="00027624" w:rsidRDefault="00B3792F" w:rsidP="00582C3E">
            <w:pPr>
              <w:pStyle w:val="ChartMainHeading"/>
            </w:pPr>
            <w:bookmarkStart w:id="2432" w:name="_Ref39672705"/>
            <w:r w:rsidRPr="00027624">
              <w:t>Breakdown of average wealth of households aged 55</w:t>
            </w:r>
            <w:r w:rsidR="00A8443E" w:rsidRPr="00027624">
              <w:noBreakHyphen/>
            </w:r>
            <w:r w:rsidRPr="00027624">
              <w:t>64 by form of employment</w:t>
            </w:r>
            <w:bookmarkEnd w:id="2432"/>
          </w:p>
          <w:p w14:paraId="5A702DC3" w14:textId="77777777" w:rsidR="00B3792F" w:rsidRPr="00027624" w:rsidRDefault="00B3792F" w:rsidP="00B3792F">
            <w:pPr>
              <w:pStyle w:val="ChartGraphic"/>
            </w:pPr>
          </w:p>
          <w:p w14:paraId="1C986E14" w14:textId="77777777" w:rsidR="00B3792F" w:rsidRPr="00027624" w:rsidRDefault="00B01AFF" w:rsidP="00B3792F">
            <w:pPr>
              <w:jc w:val="center"/>
            </w:pPr>
            <w:r>
              <w:rPr>
                <w:noProof/>
              </w:rPr>
              <w:drawing>
                <wp:inline distT="0" distB="0" distL="0" distR="0" wp14:anchorId="5F309AF2" wp14:editId="66B511ED">
                  <wp:extent cx="2880360" cy="2880360"/>
                  <wp:effectExtent l="0" t="0" r="0" b="0"/>
                  <wp:docPr id="226" name="Picture 226" descr="This chart shows that the breakdown of average wealth for employee and self-employed households is relatively similar, particularly for owner-occupied housing. The main difference is that the self employed have more business assets than employees and less superannuation. " title="Chart 3D-5 Breakdown of average wealth of households aged 55-64 by form of empl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r>
    </w:tbl>
    <w:p w14:paraId="569FCAFE" w14:textId="5BCB7865" w:rsidR="00B3792F" w:rsidRPr="00027624" w:rsidRDefault="00B3792F" w:rsidP="00B3792F">
      <w:pPr>
        <w:pStyle w:val="ChartorTableNote"/>
        <w:jc w:val="left"/>
      </w:pPr>
      <w:r w:rsidRPr="00027624">
        <w:t xml:space="preserve">Note: Age is based on age of the household reference person. The top and bottom decile of households by wealth has been removed as outliers from </w:t>
      </w:r>
      <w:r w:rsidRPr="00027624">
        <w:fldChar w:fldCharType="begin"/>
      </w:r>
      <w:r w:rsidRPr="00027624">
        <w:instrText xml:space="preserve"> REF _Ref39672705 \r \h  \* MERGEFORMAT </w:instrText>
      </w:r>
      <w:r w:rsidRPr="00027624">
        <w:fldChar w:fldCharType="separate"/>
      </w:r>
      <w:r w:rsidR="00891058">
        <w:t>Chart 3D-5</w:t>
      </w:r>
      <w:r w:rsidRPr="00027624">
        <w:fldChar w:fldCharType="end"/>
      </w:r>
      <w:r w:rsidRPr="00027624">
        <w:t xml:space="preserve"> to make the average more representative. Form of employment indicates the primary source of income of the household. The wealth of older self</w:t>
      </w:r>
      <w:r w:rsidR="00A8443E" w:rsidRPr="00027624">
        <w:noBreakHyphen/>
      </w:r>
      <w:r w:rsidRPr="00027624">
        <w:t xml:space="preserve">employed people may be higher on average due to survivorship bias, as those with profitable small businesses may be more likely to operate them into older age. Source: </w:t>
      </w:r>
      <w:r w:rsidR="006A1055" w:rsidRPr="00027624">
        <w:t>Analysis of ABS Survey of Income and Housing Confidentialised Unit Record File, 2017-18.</w:t>
      </w:r>
    </w:p>
    <w:p w14:paraId="4B3B4C7D" w14:textId="77777777" w:rsidR="00B3792F" w:rsidRPr="00027624" w:rsidRDefault="00B3792F" w:rsidP="00B3792F">
      <w:pPr>
        <w:pStyle w:val="Heading4"/>
      </w:pPr>
      <w:bookmarkStart w:id="2433" w:name="_Toc40366165"/>
      <w:bookmarkStart w:id="2434" w:name="_Toc40369711"/>
      <w:bookmarkStart w:id="2435" w:name="_Toc40427867"/>
      <w:bookmarkStart w:id="2436" w:name="_Toc40458120"/>
      <w:bookmarkStart w:id="2437" w:name="_Toc40461889"/>
      <w:bookmarkStart w:id="2438" w:name="_Toc40474444"/>
      <w:bookmarkStart w:id="2439" w:name="_Toc40477973"/>
      <w:bookmarkStart w:id="2440" w:name="_Toc40521553"/>
      <w:bookmarkStart w:id="2441" w:name="_Toc40530412"/>
      <w:bookmarkStart w:id="2442" w:name="_Toc42778839"/>
      <w:bookmarkStart w:id="2443" w:name="_Toc42779979"/>
      <w:bookmarkStart w:id="2444" w:name="_Toc42780408"/>
      <w:bookmarkStart w:id="2445" w:name="_Toc42786398"/>
      <w:bookmarkStart w:id="2446" w:name="_Toc42791891"/>
      <w:bookmarkStart w:id="2447" w:name="_Toc42792053"/>
      <w:bookmarkStart w:id="2448" w:name="_Toc43117860"/>
      <w:bookmarkStart w:id="2449" w:name="_Toc43121499"/>
      <w:bookmarkStart w:id="2450" w:name="_Toc43122704"/>
      <w:bookmarkStart w:id="2451" w:name="_Toc43127759"/>
      <w:r w:rsidRPr="00027624">
        <w:lastRenderedPageBreak/>
        <w:t>Contributions to superannuation by self</w:t>
      </w:r>
      <w:r w:rsidR="00A8443E" w:rsidRPr="00027624">
        <w:noBreakHyphen/>
      </w:r>
      <w:r w:rsidRPr="00027624">
        <w:t>employed people</w:t>
      </w:r>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p>
    <w:p w14:paraId="3CF22590" w14:textId="77777777" w:rsidR="00B3792F" w:rsidRPr="00027624" w:rsidRDefault="00B3792F" w:rsidP="00B3792F">
      <w:r w:rsidRPr="00027624">
        <w:t>Self</w:t>
      </w:r>
      <w:r w:rsidR="00A8443E" w:rsidRPr="00027624">
        <w:noBreakHyphen/>
      </w:r>
      <w:r w:rsidRPr="00027624">
        <w:t>employed people have opportunities beyond those of employees to fund their retirement. For example, as well as making tax</w:t>
      </w:r>
      <w:r w:rsidR="00A8443E" w:rsidRPr="00027624">
        <w:noBreakHyphen/>
      </w:r>
      <w:r w:rsidRPr="00027624">
        <w:t>deductible personal superannuation contributions, they have the options of setting up their business assets, such as the commercial property, within a self</w:t>
      </w:r>
      <w:r w:rsidR="00A8443E" w:rsidRPr="00027624">
        <w:noBreakHyphen/>
      </w:r>
      <w:r w:rsidRPr="00027624">
        <w:t>managed superannuation fund; and accessing significant capital gains tax concessions from selling business assets and putting the proceeds into superannuation.</w:t>
      </w:r>
    </w:p>
    <w:p w14:paraId="3097CA19" w14:textId="77777777" w:rsidR="00B3792F" w:rsidRPr="00027624" w:rsidRDefault="00B3792F" w:rsidP="00B3792F">
      <w:pPr>
        <w:pStyle w:val="Heading4"/>
      </w:pPr>
      <w:bookmarkStart w:id="2452" w:name="_Toc40366166"/>
      <w:bookmarkStart w:id="2453" w:name="_Toc40369712"/>
      <w:bookmarkStart w:id="2454" w:name="_Toc40427868"/>
      <w:bookmarkStart w:id="2455" w:name="_Toc40458121"/>
      <w:bookmarkStart w:id="2456" w:name="_Toc40461890"/>
      <w:bookmarkStart w:id="2457" w:name="_Toc40474445"/>
      <w:bookmarkStart w:id="2458" w:name="_Toc40477974"/>
      <w:bookmarkStart w:id="2459" w:name="_Toc40521554"/>
      <w:bookmarkStart w:id="2460" w:name="_Toc40530413"/>
      <w:bookmarkStart w:id="2461" w:name="_Toc42778840"/>
      <w:bookmarkStart w:id="2462" w:name="_Toc42779980"/>
      <w:bookmarkStart w:id="2463" w:name="_Toc42780409"/>
      <w:bookmarkStart w:id="2464" w:name="_Toc42786399"/>
      <w:bookmarkStart w:id="2465" w:name="_Toc42791892"/>
      <w:bookmarkStart w:id="2466" w:name="_Toc42792054"/>
      <w:bookmarkStart w:id="2467" w:name="_Toc43117861"/>
      <w:bookmarkStart w:id="2468" w:name="_Toc43121500"/>
      <w:bookmarkStart w:id="2469" w:name="_Toc43122705"/>
      <w:bookmarkStart w:id="2470" w:name="_Toc43127760"/>
      <w:r w:rsidRPr="00027624">
        <w:t>Voluntary superannuation contributions</w:t>
      </w:r>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p>
    <w:p w14:paraId="4A30F12E" w14:textId="77777777" w:rsidR="00B3792F" w:rsidRPr="00027624" w:rsidRDefault="00B3792F" w:rsidP="00B3792F">
      <w:r w:rsidRPr="00027624">
        <w:t>Self</w:t>
      </w:r>
      <w:r w:rsidR="00A8443E" w:rsidRPr="00027624">
        <w:noBreakHyphen/>
      </w:r>
      <w:r w:rsidRPr="00027624">
        <w:t>employed people have access to the same superannuation tax concessions as employees. However, this has not always been the case, which may have suppressed use of superannuation by the self</w:t>
      </w:r>
      <w:r w:rsidR="00A8443E" w:rsidRPr="00027624">
        <w:noBreakHyphen/>
      </w:r>
      <w:r w:rsidRPr="00027624">
        <w:t xml:space="preserve">employed (see </w:t>
      </w:r>
      <w:r w:rsidRPr="00027624">
        <w:rPr>
          <w:i/>
        </w:rPr>
        <w:t>1B. Design of Australia</w:t>
      </w:r>
      <w:r w:rsidR="00A8443E" w:rsidRPr="00027624">
        <w:rPr>
          <w:i/>
        </w:rPr>
        <w:t>’</w:t>
      </w:r>
      <w:r w:rsidRPr="00027624">
        <w:rPr>
          <w:i/>
        </w:rPr>
        <w:t>s retirement income system</w:t>
      </w:r>
      <w:r w:rsidRPr="00027624">
        <w:t>).</w:t>
      </w:r>
    </w:p>
    <w:p w14:paraId="52A15238" w14:textId="77777777" w:rsidR="00B3792F" w:rsidRPr="00027624" w:rsidRDefault="00B3792F" w:rsidP="00B3792F">
      <w:r w:rsidRPr="00027624">
        <w:t>A small proportion of self</w:t>
      </w:r>
      <w:r w:rsidR="00A8443E" w:rsidRPr="00027624">
        <w:noBreakHyphen/>
      </w:r>
      <w:r w:rsidRPr="00027624">
        <w:t>employed people make voluntary superannuation contributions. Between 2013</w:t>
      </w:r>
      <w:r w:rsidR="00A8443E" w:rsidRPr="00027624">
        <w:noBreakHyphen/>
      </w:r>
      <w:r w:rsidRPr="00027624">
        <w:t>14 and 2017</w:t>
      </w:r>
      <w:r w:rsidR="00A8443E" w:rsidRPr="00027624">
        <w:noBreakHyphen/>
      </w:r>
      <w:r w:rsidRPr="00027624">
        <w:t>18, about a quarter of those with business income made voluntary contributions in a given year and 40 per cent made a contribution at any point over the five years. Of those who made contributions, the average total contribution over five years was about $80,000 for sole traders and $100,000 for those in a partnership.</w:t>
      </w:r>
      <w:r w:rsidRPr="00027624">
        <w:rPr>
          <w:rStyle w:val="FootnoteReference"/>
        </w:rPr>
        <w:footnoteReference w:id="184"/>
      </w:r>
      <w:r w:rsidRPr="00027624">
        <w:t xml:space="preserve"> One superannuation fund noted that some of their self</w:t>
      </w:r>
      <w:r w:rsidR="00A8443E" w:rsidRPr="00027624">
        <w:noBreakHyphen/>
      </w:r>
      <w:r w:rsidRPr="00027624">
        <w:t xml:space="preserve">employed members said they regretted not making voluntary superannuation contributions while working </w:t>
      </w:r>
      <w:sdt>
        <w:sdtPr>
          <w:id w:val="-1006429047"/>
          <w:citation/>
        </w:sdtPr>
        <w:sdtEndPr/>
        <w:sdtContent>
          <w:r w:rsidRPr="00027624">
            <w:fldChar w:fldCharType="begin"/>
          </w:r>
          <w:r w:rsidRPr="00027624">
            <w:instrText xml:space="preserve">CITATION CBU20 \l 3081 </w:instrText>
          </w:r>
          <w:r w:rsidRPr="00027624" w:rsidDel="000B1630">
            <w:instrText xml:space="preserve"> CITATION CBU20 \l 3081 </w:instrText>
          </w:r>
          <w:r w:rsidRPr="00027624">
            <w:fldChar w:fldCharType="separate"/>
          </w:r>
          <w:r w:rsidR="00E83F6E">
            <w:rPr>
              <w:noProof/>
            </w:rPr>
            <w:t>(Cbus, 2020)</w:t>
          </w:r>
          <w:r w:rsidRPr="00027624">
            <w:fldChar w:fldCharType="end"/>
          </w:r>
        </w:sdtContent>
      </w:sdt>
      <w:r w:rsidRPr="00027624">
        <w:t>.</w:t>
      </w:r>
    </w:p>
    <w:p w14:paraId="11DC0663" w14:textId="77777777" w:rsidR="00B3792F" w:rsidRPr="00027624" w:rsidRDefault="00B3792F" w:rsidP="00B3792F">
      <w:pPr>
        <w:pStyle w:val="Heading4"/>
      </w:pPr>
      <w:bookmarkStart w:id="2471" w:name="_Toc40366167"/>
      <w:bookmarkStart w:id="2472" w:name="_Toc40369713"/>
      <w:bookmarkStart w:id="2473" w:name="_Toc40427869"/>
      <w:bookmarkStart w:id="2474" w:name="_Toc40458122"/>
      <w:bookmarkStart w:id="2475" w:name="_Toc40461891"/>
      <w:bookmarkStart w:id="2476" w:name="_Toc40474446"/>
      <w:bookmarkStart w:id="2477" w:name="_Toc40477975"/>
      <w:bookmarkStart w:id="2478" w:name="_Toc40521555"/>
      <w:bookmarkStart w:id="2479" w:name="_Toc40530414"/>
      <w:bookmarkStart w:id="2480" w:name="_Toc42778841"/>
      <w:bookmarkStart w:id="2481" w:name="_Toc42779981"/>
      <w:bookmarkStart w:id="2482" w:name="_Toc42780410"/>
      <w:bookmarkStart w:id="2483" w:name="_Toc42786400"/>
      <w:bookmarkStart w:id="2484" w:name="_Toc42791893"/>
      <w:bookmarkStart w:id="2485" w:name="_Toc42792055"/>
      <w:bookmarkStart w:id="2486" w:name="_Toc43117862"/>
      <w:bookmarkStart w:id="2487" w:name="_Toc43121501"/>
      <w:bookmarkStart w:id="2488" w:name="_Toc43122706"/>
      <w:bookmarkStart w:id="2489" w:name="_Toc43127761"/>
      <w:r w:rsidRPr="00027624">
        <w:t>Small business owners and capital gains tax concessions</w:t>
      </w:r>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p>
    <w:p w14:paraId="40EDC7DA" w14:textId="77777777" w:rsidR="00B3792F" w:rsidRPr="00027624" w:rsidRDefault="00B3792F" w:rsidP="00B3792F">
      <w:r w:rsidRPr="00027624">
        <w:t>The ability to use a small business for retirement planning will depend significantly on having realisable assets. Two types of capital gains tax concessions are available for businesses with net assets up to $6 million or turnover up to $2 million:</w:t>
      </w:r>
    </w:p>
    <w:p w14:paraId="7D18BF66" w14:textId="77777777" w:rsidR="00B3792F" w:rsidRPr="00027624" w:rsidRDefault="00B3792F" w:rsidP="00A83D09">
      <w:pPr>
        <w:pStyle w:val="Bullet"/>
      </w:pPr>
      <w:r w:rsidRPr="00027624">
        <w:rPr>
          <w:b/>
        </w:rPr>
        <w:t xml:space="preserve">The </w:t>
      </w:r>
      <w:r w:rsidR="00A8443E" w:rsidRPr="00027624">
        <w:rPr>
          <w:b/>
        </w:rPr>
        <w:t>‘</w:t>
      </w:r>
      <w:r w:rsidRPr="00027624">
        <w:rPr>
          <w:b/>
        </w:rPr>
        <w:t>15</w:t>
      </w:r>
      <w:r w:rsidR="00A8443E" w:rsidRPr="00027624">
        <w:rPr>
          <w:b/>
        </w:rPr>
        <w:noBreakHyphen/>
      </w:r>
      <w:r w:rsidRPr="00027624">
        <w:rPr>
          <w:b/>
        </w:rPr>
        <w:t>year</w:t>
      </w:r>
      <w:r w:rsidR="00A8443E" w:rsidRPr="00027624">
        <w:rPr>
          <w:b/>
        </w:rPr>
        <w:t>’</w:t>
      </w:r>
      <w:r w:rsidRPr="00027624">
        <w:rPr>
          <w:b/>
        </w:rPr>
        <w:t xml:space="preserve"> exemption.</w:t>
      </w:r>
      <w:r w:rsidRPr="00027624">
        <w:t xml:space="preserve"> This provides a full capital gains tax exemption when someone disposes of assets held for at least 15 years when the disposal happens in connection with the retirement of a person aged 55 or over.</w:t>
      </w:r>
    </w:p>
    <w:p w14:paraId="397397A7" w14:textId="77777777" w:rsidR="00B3792F" w:rsidRPr="00027624" w:rsidRDefault="00B3792F" w:rsidP="00A83D09">
      <w:pPr>
        <w:pStyle w:val="Bullet"/>
      </w:pPr>
      <w:r w:rsidRPr="00027624">
        <w:rPr>
          <w:b/>
          <w:bCs/>
        </w:rPr>
        <w:t xml:space="preserve">The </w:t>
      </w:r>
      <w:r w:rsidR="00A8443E" w:rsidRPr="00027624">
        <w:rPr>
          <w:b/>
          <w:bCs/>
        </w:rPr>
        <w:t>‘</w:t>
      </w:r>
      <w:r w:rsidRPr="00027624">
        <w:rPr>
          <w:b/>
          <w:bCs/>
        </w:rPr>
        <w:t>retirement</w:t>
      </w:r>
      <w:r w:rsidR="00A8443E" w:rsidRPr="00027624">
        <w:rPr>
          <w:b/>
          <w:bCs/>
        </w:rPr>
        <w:t>’</w:t>
      </w:r>
      <w:r w:rsidRPr="00027624">
        <w:rPr>
          <w:b/>
          <w:bCs/>
        </w:rPr>
        <w:t xml:space="preserve"> exemption</w:t>
      </w:r>
      <w:r w:rsidRPr="00027624">
        <w:t>. This exempts up to $500,000 in assets from capital gains tax and, if the person is aged under 55, it must be contributed to superannuation.</w:t>
      </w:r>
    </w:p>
    <w:p w14:paraId="228DB537" w14:textId="77777777" w:rsidR="00B3792F" w:rsidRPr="00027624" w:rsidRDefault="00B3792F" w:rsidP="00B3792F">
      <w:r w:rsidRPr="00027624">
        <w:t>Proceeds from selling business assets under these two exemptions can be contributed to superannuation without paying any tax (capital gains tax or 15 per cent contributions tax) and without regard for the standard annual contributions caps. Contributions under these exemptions have a separate lifetime cap. In 2020</w:t>
      </w:r>
      <w:r w:rsidR="00A8443E" w:rsidRPr="00027624">
        <w:noBreakHyphen/>
      </w:r>
      <w:r w:rsidRPr="00027624">
        <w:t>21, this is $1.565 million, indexed annually to wages. These exemptions are not available to any other group.</w:t>
      </w:r>
    </w:p>
    <w:p w14:paraId="316DC6C3" w14:textId="7217C885" w:rsidR="00B3792F" w:rsidRDefault="00B3792F" w:rsidP="00B3792F">
      <w:r w:rsidRPr="00027624">
        <w:t>The total value of capital gains claimed against these concessions was $3.8 billion in 2016</w:t>
      </w:r>
      <w:r w:rsidR="00A8443E" w:rsidRPr="00027624">
        <w:noBreakHyphen/>
      </w:r>
      <w:r w:rsidRPr="00027624">
        <w:t>17, resulting in $1.7 billion being contributed to superannuation. More money was contributed to superannuation under the 15</w:t>
      </w:r>
      <w:r w:rsidR="00A8443E" w:rsidRPr="00027624">
        <w:noBreakHyphen/>
      </w:r>
      <w:r w:rsidRPr="00027624">
        <w:t>year exemption compared to the retirement exemption (</w:t>
      </w:r>
      <w:r w:rsidRPr="00027624">
        <w:fldChar w:fldCharType="begin"/>
      </w:r>
      <w:r w:rsidRPr="00027624">
        <w:instrText xml:space="preserve"> REF _Ref39049876 \r \h  \* MERGEFORMAT </w:instrText>
      </w:r>
      <w:r w:rsidRPr="00027624">
        <w:fldChar w:fldCharType="separate"/>
      </w:r>
      <w:r w:rsidR="00891058">
        <w:t>Table 3D-6</w:t>
      </w:r>
      <w:r w:rsidRPr="00027624">
        <w:fldChar w:fldCharType="end"/>
      </w:r>
      <w:r w:rsidRPr="00027624">
        <w:t>). The predominant use of the 15</w:t>
      </w:r>
      <w:r w:rsidR="00A8443E" w:rsidRPr="00027624">
        <w:noBreakHyphen/>
      </w:r>
      <w:r w:rsidRPr="00027624">
        <w:t xml:space="preserve">year CGT exemption was for the sale of business property (70 per cent), followed by </w:t>
      </w:r>
      <w:r w:rsidR="00A8443E" w:rsidRPr="00027624">
        <w:t>‘</w:t>
      </w:r>
      <w:r w:rsidRPr="00027624">
        <w:t>goodwill</w:t>
      </w:r>
      <w:r w:rsidR="00A8443E" w:rsidRPr="00027624">
        <w:t>’</w:t>
      </w:r>
      <w:r w:rsidRPr="00027624">
        <w:t xml:space="preserve"> (13 per cent).</w:t>
      </w:r>
      <w:r w:rsidRPr="00027624">
        <w:rPr>
          <w:rStyle w:val="FootnoteReference"/>
        </w:rPr>
        <w:footnoteReference w:id="185"/>
      </w:r>
    </w:p>
    <w:p w14:paraId="5B6F0121" w14:textId="77777777" w:rsidR="00835E24" w:rsidRPr="00027624" w:rsidRDefault="00835E24" w:rsidP="00B3792F">
      <w:r w:rsidRPr="00027624">
        <w:t xml:space="preserve">The policy rationale for these capital gains tax exemptions was to improve retirement outcomes for small business owners who invest funds in their business and treat it as their retirement ‘nest egg’ </w:t>
      </w:r>
      <w:sdt>
        <w:sdtPr>
          <w:id w:val="1571771689"/>
          <w:citation/>
        </w:sdtPr>
        <w:sdtEndPr/>
        <w:sdtContent>
          <w:r w:rsidRPr="00027624">
            <w:fldChar w:fldCharType="begin"/>
          </w:r>
          <w:r w:rsidRPr="00027624">
            <w:instrText xml:space="preserve"> CITATION Boa19 \l 3081 </w:instrText>
          </w:r>
          <w:r w:rsidRPr="00027624">
            <w:fldChar w:fldCharType="separate"/>
          </w:r>
          <w:r w:rsidR="00E83F6E">
            <w:rPr>
              <w:noProof/>
            </w:rPr>
            <w:t>(The Board of Taxation, 2019)</w:t>
          </w:r>
          <w:r w:rsidRPr="00027624">
            <w:fldChar w:fldCharType="end"/>
          </w:r>
        </w:sdtContent>
      </w:sdt>
      <w:r w:rsidRPr="00027624">
        <w:t>. The Board of Taxation</w:t>
      </w:r>
      <w:sdt>
        <w:sdtPr>
          <w:id w:val="1792019169"/>
          <w:citation/>
        </w:sdtPr>
        <w:sdtEndPr/>
        <w:sdtContent>
          <w:r w:rsidRPr="00027624">
            <w:fldChar w:fldCharType="begin"/>
          </w:r>
          <w:r w:rsidRPr="00027624">
            <w:instrText xml:space="preserve">CITATION Boa19 \n  \t  \l 3081 </w:instrText>
          </w:r>
          <w:r w:rsidRPr="00027624">
            <w:fldChar w:fldCharType="separate"/>
          </w:r>
          <w:r w:rsidR="00E83F6E">
            <w:rPr>
              <w:noProof/>
            </w:rPr>
            <w:t xml:space="preserve"> (2019)</w:t>
          </w:r>
          <w:r w:rsidRPr="00027624">
            <w:fldChar w:fldCharType="end"/>
          </w:r>
        </w:sdtContent>
      </w:sdt>
      <w:r w:rsidRPr="00027624">
        <w:t xml:space="preserve"> considered the concessions may represent a reward for risk</w:t>
      </w:r>
      <w:r w:rsidRPr="00027624">
        <w:noBreakHyphen/>
        <w:t>taking. However, the concessions may incentivise over</w:t>
      </w:r>
      <w:r w:rsidRPr="00027624">
        <w:noBreakHyphen/>
        <w:t xml:space="preserve">investment in a </w:t>
      </w:r>
      <w:r w:rsidRPr="00027624">
        <w:lastRenderedPageBreak/>
        <w:t>person’s small business, which carries a risk of failure,</w:t>
      </w:r>
      <w:r w:rsidRPr="00027624">
        <w:rPr>
          <w:rStyle w:val="FootnoteReference"/>
        </w:rPr>
        <w:footnoteReference w:id="186"/>
      </w:r>
      <w:r w:rsidRPr="00027624">
        <w:t xml:space="preserve"> rather than making more regular contributions to supera</w:t>
      </w:r>
      <w:r>
        <w:t>nnuation and diversifying risk.</w:t>
      </w:r>
    </w:p>
    <w:p w14:paraId="4C8B241B" w14:textId="77777777" w:rsidR="00B3792F" w:rsidRPr="00027624" w:rsidRDefault="00B3792F" w:rsidP="00582C3E">
      <w:pPr>
        <w:pStyle w:val="TableMainHeading"/>
      </w:pPr>
      <w:bookmarkStart w:id="2490" w:name="_Ref39049876"/>
      <w:r w:rsidRPr="00027624">
        <w:t>Annual superannuation contributions using the capital gains tax business exemptions</w:t>
      </w:r>
      <w:bookmarkEnd w:id="2490"/>
    </w:p>
    <w:tbl>
      <w:tblPr>
        <w:tblW w:w="5000" w:type="pct"/>
        <w:tblLook w:val="01E0" w:firstRow="1" w:lastRow="1" w:firstColumn="1" w:lastColumn="1" w:noHBand="0" w:noVBand="0"/>
      </w:tblPr>
      <w:tblGrid>
        <w:gridCol w:w="1814"/>
        <w:gridCol w:w="1814"/>
        <w:gridCol w:w="1814"/>
        <w:gridCol w:w="1814"/>
        <w:gridCol w:w="1814"/>
      </w:tblGrid>
      <w:tr w:rsidR="00B3792F" w:rsidRPr="00027624" w14:paraId="129EFB39" w14:textId="77777777" w:rsidTr="00B3792F">
        <w:trPr>
          <w:trHeight w:val="270"/>
          <w:tblHeader/>
        </w:trPr>
        <w:tc>
          <w:tcPr>
            <w:tcW w:w="1000" w:type="pct"/>
            <w:shd w:val="clear" w:color="auto" w:fill="E5E5E5"/>
          </w:tcPr>
          <w:p w14:paraId="10F506D7" w14:textId="77777777" w:rsidR="00B3792F" w:rsidRPr="00027624" w:rsidRDefault="00B3792F" w:rsidP="00B3792F">
            <w:pPr>
              <w:pStyle w:val="TableColumnHeadingCentred"/>
              <w:jc w:val="left"/>
            </w:pPr>
          </w:p>
        </w:tc>
        <w:tc>
          <w:tcPr>
            <w:tcW w:w="1000" w:type="pct"/>
            <w:shd w:val="clear" w:color="auto" w:fill="E5E5E5"/>
          </w:tcPr>
          <w:p w14:paraId="23141038" w14:textId="77777777" w:rsidR="00B3792F" w:rsidRPr="00027624" w:rsidRDefault="00B3792F" w:rsidP="00B3792F">
            <w:pPr>
              <w:pStyle w:val="TableColumnHeadingCentred"/>
            </w:pPr>
            <w:r w:rsidRPr="00027624">
              <w:t>Fund type</w:t>
            </w:r>
          </w:p>
        </w:tc>
        <w:tc>
          <w:tcPr>
            <w:tcW w:w="1000" w:type="pct"/>
            <w:shd w:val="clear" w:color="auto" w:fill="E5E5E5"/>
          </w:tcPr>
          <w:p w14:paraId="53BEEAF7" w14:textId="77777777" w:rsidR="00B3792F" w:rsidRPr="00027624" w:rsidRDefault="00B3792F" w:rsidP="00B3792F">
            <w:pPr>
              <w:pStyle w:val="TableColumnHeadingCentred"/>
            </w:pPr>
            <w:r w:rsidRPr="00027624">
              <w:t>Number of individuals</w:t>
            </w:r>
          </w:p>
        </w:tc>
        <w:tc>
          <w:tcPr>
            <w:tcW w:w="1000" w:type="pct"/>
            <w:shd w:val="clear" w:color="auto" w:fill="E5E5E5"/>
          </w:tcPr>
          <w:p w14:paraId="5E48EF87" w14:textId="77777777" w:rsidR="00B3792F" w:rsidRPr="00027624" w:rsidRDefault="00B3792F" w:rsidP="00B3792F">
            <w:pPr>
              <w:pStyle w:val="TableColumnHeadingCentred"/>
            </w:pPr>
            <w:r w:rsidRPr="00027624">
              <w:t>Average contribution ($)</w:t>
            </w:r>
          </w:p>
        </w:tc>
        <w:tc>
          <w:tcPr>
            <w:tcW w:w="1000" w:type="pct"/>
            <w:shd w:val="clear" w:color="auto" w:fill="E5E5E5"/>
          </w:tcPr>
          <w:p w14:paraId="2F19FA2A" w14:textId="77777777" w:rsidR="00B3792F" w:rsidRPr="00027624" w:rsidRDefault="00B3792F" w:rsidP="00B3792F">
            <w:pPr>
              <w:pStyle w:val="TableColumnHeadingCentred"/>
            </w:pPr>
            <w:r w:rsidRPr="00027624">
              <w:t>Median contribution ($)</w:t>
            </w:r>
          </w:p>
        </w:tc>
      </w:tr>
      <w:tr w:rsidR="00B3792F" w:rsidRPr="00027624" w14:paraId="639581FF" w14:textId="77777777" w:rsidTr="00B3792F">
        <w:trPr>
          <w:trHeight w:val="270"/>
        </w:trPr>
        <w:tc>
          <w:tcPr>
            <w:tcW w:w="1000" w:type="pct"/>
            <w:vMerge w:val="restart"/>
          </w:tcPr>
          <w:p w14:paraId="781864A3" w14:textId="77777777" w:rsidR="00B3792F" w:rsidRPr="00027624" w:rsidRDefault="00B3792F" w:rsidP="00B3792F">
            <w:pPr>
              <w:pStyle w:val="TableTextCentered"/>
              <w:jc w:val="left"/>
            </w:pPr>
            <w:r w:rsidRPr="00027624">
              <w:t>Retirement exemption</w:t>
            </w:r>
          </w:p>
        </w:tc>
        <w:tc>
          <w:tcPr>
            <w:tcW w:w="1000" w:type="pct"/>
          </w:tcPr>
          <w:p w14:paraId="5AD9C47D" w14:textId="77777777" w:rsidR="00B3792F" w:rsidRPr="00027624" w:rsidRDefault="00B3792F" w:rsidP="00B3792F">
            <w:pPr>
              <w:pStyle w:val="TableTextCentered"/>
            </w:pPr>
            <w:r w:rsidRPr="00027624">
              <w:t>APRA</w:t>
            </w:r>
          </w:p>
        </w:tc>
        <w:tc>
          <w:tcPr>
            <w:tcW w:w="1000" w:type="pct"/>
          </w:tcPr>
          <w:p w14:paraId="6F53D23D" w14:textId="77777777" w:rsidR="00B3792F" w:rsidRPr="00027624" w:rsidRDefault="00B3792F" w:rsidP="00B3792F">
            <w:pPr>
              <w:pStyle w:val="TableTextCentered"/>
            </w:pPr>
            <w:r w:rsidRPr="00027624">
              <w:t xml:space="preserve">1,720 </w:t>
            </w:r>
          </w:p>
        </w:tc>
        <w:tc>
          <w:tcPr>
            <w:tcW w:w="1000" w:type="pct"/>
          </w:tcPr>
          <w:p w14:paraId="7DB55E66" w14:textId="77777777" w:rsidR="00B3792F" w:rsidRPr="00027624" w:rsidRDefault="00B3792F" w:rsidP="00B3792F">
            <w:pPr>
              <w:pStyle w:val="TableTextCentered"/>
            </w:pPr>
            <w:r w:rsidRPr="00027624">
              <w:t>122,219</w:t>
            </w:r>
          </w:p>
        </w:tc>
        <w:tc>
          <w:tcPr>
            <w:tcW w:w="1000" w:type="pct"/>
          </w:tcPr>
          <w:p w14:paraId="31F37328" w14:textId="77777777" w:rsidR="00B3792F" w:rsidRPr="00027624" w:rsidRDefault="00B3792F" w:rsidP="00B3792F">
            <w:pPr>
              <w:pStyle w:val="TableTextCentered"/>
            </w:pPr>
            <w:r w:rsidRPr="00027624">
              <w:t>73,529</w:t>
            </w:r>
          </w:p>
        </w:tc>
      </w:tr>
      <w:tr w:rsidR="00B3792F" w:rsidRPr="00027624" w14:paraId="02CDDC42" w14:textId="77777777" w:rsidTr="00B3792F">
        <w:trPr>
          <w:trHeight w:val="270"/>
        </w:trPr>
        <w:tc>
          <w:tcPr>
            <w:tcW w:w="1000" w:type="pct"/>
            <w:vMerge/>
          </w:tcPr>
          <w:p w14:paraId="79A903E0" w14:textId="77777777" w:rsidR="00B3792F" w:rsidRPr="00027624" w:rsidRDefault="00B3792F" w:rsidP="00B3792F">
            <w:pPr>
              <w:pStyle w:val="TableTextCentered"/>
              <w:jc w:val="left"/>
            </w:pPr>
          </w:p>
        </w:tc>
        <w:tc>
          <w:tcPr>
            <w:tcW w:w="1000" w:type="pct"/>
          </w:tcPr>
          <w:p w14:paraId="6406AC52" w14:textId="77777777" w:rsidR="00B3792F" w:rsidRPr="00027624" w:rsidRDefault="00B3792F" w:rsidP="00B3792F">
            <w:pPr>
              <w:pStyle w:val="TableTextCentered"/>
            </w:pPr>
            <w:r w:rsidRPr="00027624">
              <w:t>SMSF</w:t>
            </w:r>
          </w:p>
        </w:tc>
        <w:tc>
          <w:tcPr>
            <w:tcW w:w="1000" w:type="pct"/>
          </w:tcPr>
          <w:p w14:paraId="6F0DC10B" w14:textId="77777777" w:rsidR="00B3792F" w:rsidRPr="00027624" w:rsidRDefault="00B3792F" w:rsidP="00B3792F">
            <w:pPr>
              <w:pStyle w:val="TableTextCentered"/>
            </w:pPr>
            <w:r w:rsidRPr="00027624">
              <w:t xml:space="preserve">3,685 </w:t>
            </w:r>
          </w:p>
        </w:tc>
        <w:tc>
          <w:tcPr>
            <w:tcW w:w="1000" w:type="pct"/>
          </w:tcPr>
          <w:p w14:paraId="7DB3BB7A" w14:textId="77777777" w:rsidR="00B3792F" w:rsidRPr="00027624" w:rsidRDefault="00B3792F" w:rsidP="00B3792F">
            <w:pPr>
              <w:pStyle w:val="TableTextCentered"/>
            </w:pPr>
            <w:r w:rsidRPr="00027624">
              <w:t>180,626</w:t>
            </w:r>
          </w:p>
        </w:tc>
        <w:tc>
          <w:tcPr>
            <w:tcW w:w="1000" w:type="pct"/>
          </w:tcPr>
          <w:p w14:paraId="732C3A84" w14:textId="77777777" w:rsidR="00B3792F" w:rsidRPr="00027624" w:rsidRDefault="00B3792F" w:rsidP="00B3792F">
            <w:pPr>
              <w:pStyle w:val="TableTextCentered"/>
            </w:pPr>
            <w:r w:rsidRPr="00027624">
              <w:t>121,729</w:t>
            </w:r>
          </w:p>
        </w:tc>
      </w:tr>
      <w:tr w:rsidR="00B3792F" w:rsidRPr="00027624" w14:paraId="1D254BA3" w14:textId="77777777" w:rsidTr="00B3792F">
        <w:trPr>
          <w:trHeight w:val="270"/>
        </w:trPr>
        <w:tc>
          <w:tcPr>
            <w:tcW w:w="1000" w:type="pct"/>
            <w:vMerge w:val="restart"/>
          </w:tcPr>
          <w:p w14:paraId="2E877EA9" w14:textId="77777777" w:rsidR="00B3792F" w:rsidRPr="00027624" w:rsidRDefault="00B3792F" w:rsidP="00B3792F">
            <w:pPr>
              <w:pStyle w:val="TableTextCentered"/>
              <w:jc w:val="left"/>
            </w:pPr>
            <w:r w:rsidRPr="00027624">
              <w:t>15</w:t>
            </w:r>
            <w:r w:rsidR="00A8443E" w:rsidRPr="00027624">
              <w:noBreakHyphen/>
            </w:r>
            <w:r w:rsidRPr="00027624">
              <w:t>year exemption</w:t>
            </w:r>
          </w:p>
        </w:tc>
        <w:tc>
          <w:tcPr>
            <w:tcW w:w="1000" w:type="pct"/>
          </w:tcPr>
          <w:p w14:paraId="1F12D318" w14:textId="77777777" w:rsidR="00B3792F" w:rsidRPr="00027624" w:rsidRDefault="00B3792F" w:rsidP="00B3792F">
            <w:pPr>
              <w:pStyle w:val="TableTextCentered"/>
            </w:pPr>
            <w:r w:rsidRPr="00027624">
              <w:t>APRA</w:t>
            </w:r>
          </w:p>
        </w:tc>
        <w:tc>
          <w:tcPr>
            <w:tcW w:w="1000" w:type="pct"/>
          </w:tcPr>
          <w:p w14:paraId="303904F4" w14:textId="77777777" w:rsidR="00B3792F" w:rsidRPr="00027624" w:rsidRDefault="00B3792F" w:rsidP="00B3792F">
            <w:pPr>
              <w:pStyle w:val="TableTextCentered"/>
            </w:pPr>
            <w:r w:rsidRPr="00027624">
              <w:t xml:space="preserve">434 </w:t>
            </w:r>
          </w:p>
        </w:tc>
        <w:tc>
          <w:tcPr>
            <w:tcW w:w="1000" w:type="pct"/>
          </w:tcPr>
          <w:p w14:paraId="167FD830" w14:textId="77777777" w:rsidR="00B3792F" w:rsidRPr="00027624" w:rsidRDefault="00B3792F" w:rsidP="00B3792F">
            <w:pPr>
              <w:pStyle w:val="TableTextCentered"/>
            </w:pPr>
            <w:r w:rsidRPr="00027624">
              <w:t>587,259</w:t>
            </w:r>
          </w:p>
        </w:tc>
        <w:tc>
          <w:tcPr>
            <w:tcW w:w="1000" w:type="pct"/>
          </w:tcPr>
          <w:p w14:paraId="41957138" w14:textId="77777777" w:rsidR="00B3792F" w:rsidRPr="00027624" w:rsidRDefault="00B3792F" w:rsidP="00B3792F">
            <w:pPr>
              <w:pStyle w:val="TableTextCentered"/>
            </w:pPr>
            <w:r w:rsidRPr="00027624">
              <w:t>450,225</w:t>
            </w:r>
          </w:p>
        </w:tc>
      </w:tr>
      <w:tr w:rsidR="00B3792F" w:rsidRPr="00027624" w14:paraId="377510C3" w14:textId="77777777" w:rsidTr="00B3792F">
        <w:trPr>
          <w:trHeight w:val="270"/>
        </w:trPr>
        <w:tc>
          <w:tcPr>
            <w:tcW w:w="1000" w:type="pct"/>
            <w:vMerge/>
          </w:tcPr>
          <w:p w14:paraId="3AD35AF9" w14:textId="77777777" w:rsidR="00B3792F" w:rsidRPr="00027624" w:rsidRDefault="00B3792F" w:rsidP="00B3792F">
            <w:pPr>
              <w:pStyle w:val="TableTextCentered"/>
            </w:pPr>
          </w:p>
        </w:tc>
        <w:tc>
          <w:tcPr>
            <w:tcW w:w="1000" w:type="pct"/>
          </w:tcPr>
          <w:p w14:paraId="5955C31E" w14:textId="77777777" w:rsidR="00B3792F" w:rsidRPr="00027624" w:rsidRDefault="00B3792F" w:rsidP="00B3792F">
            <w:pPr>
              <w:pStyle w:val="TableTextCentered"/>
            </w:pPr>
            <w:r w:rsidRPr="00027624">
              <w:t>SMSF</w:t>
            </w:r>
          </w:p>
        </w:tc>
        <w:tc>
          <w:tcPr>
            <w:tcW w:w="1000" w:type="pct"/>
          </w:tcPr>
          <w:p w14:paraId="4A2B4CBC" w14:textId="77777777" w:rsidR="00B3792F" w:rsidRPr="00027624" w:rsidRDefault="00B3792F" w:rsidP="00B3792F">
            <w:pPr>
              <w:pStyle w:val="TableTextCentered"/>
            </w:pPr>
            <w:r w:rsidRPr="00027624">
              <w:t xml:space="preserve">1,122 </w:t>
            </w:r>
          </w:p>
        </w:tc>
        <w:tc>
          <w:tcPr>
            <w:tcW w:w="1000" w:type="pct"/>
          </w:tcPr>
          <w:p w14:paraId="7A2BA548" w14:textId="77777777" w:rsidR="00B3792F" w:rsidRPr="00027624" w:rsidRDefault="00B3792F" w:rsidP="00B3792F">
            <w:pPr>
              <w:pStyle w:val="TableTextCentered"/>
            </w:pPr>
            <w:r w:rsidRPr="00027624">
              <w:t>546,517</w:t>
            </w:r>
          </w:p>
        </w:tc>
        <w:tc>
          <w:tcPr>
            <w:tcW w:w="1000" w:type="pct"/>
          </w:tcPr>
          <w:p w14:paraId="7770A4F4" w14:textId="77777777" w:rsidR="00B3792F" w:rsidRPr="00027624" w:rsidRDefault="00B3792F" w:rsidP="00B3792F">
            <w:pPr>
              <w:pStyle w:val="TableTextCentered"/>
            </w:pPr>
            <w:r w:rsidRPr="00027624">
              <w:t>450,000</w:t>
            </w:r>
          </w:p>
        </w:tc>
      </w:tr>
    </w:tbl>
    <w:p w14:paraId="2110E6E1" w14:textId="77777777" w:rsidR="00B3792F" w:rsidRPr="00027624" w:rsidRDefault="00B3792F" w:rsidP="00B3792F">
      <w:pPr>
        <w:pStyle w:val="ChartorTableNote"/>
      </w:pPr>
      <w:r w:rsidRPr="00027624">
        <w:t>Note: Contributions made during the 2016</w:t>
      </w:r>
      <w:r w:rsidR="00A8443E" w:rsidRPr="00027624">
        <w:noBreakHyphen/>
      </w:r>
      <w:r w:rsidRPr="00027624">
        <w:t>17 financial year. An individual may make use of both exemptions in a year. Source: Analysis of ATO individual income tax returns and member contributions statements, 2016</w:t>
      </w:r>
      <w:r w:rsidR="00A8443E" w:rsidRPr="00027624">
        <w:noBreakHyphen/>
      </w:r>
      <w:r w:rsidRPr="00027624">
        <w:t>17.</w:t>
      </w:r>
    </w:p>
    <w:p w14:paraId="2075F7A5" w14:textId="77777777" w:rsidR="00B3792F" w:rsidRPr="00027624" w:rsidRDefault="00B3792F" w:rsidP="00B3792F">
      <w:pPr>
        <w:pStyle w:val="Heading4"/>
      </w:pPr>
      <w:bookmarkStart w:id="2491" w:name="_Toc40366168"/>
      <w:bookmarkStart w:id="2492" w:name="_Toc40369714"/>
      <w:bookmarkStart w:id="2493" w:name="_Toc40427870"/>
      <w:bookmarkStart w:id="2494" w:name="_Toc40458123"/>
      <w:bookmarkStart w:id="2495" w:name="_Toc40461892"/>
      <w:bookmarkStart w:id="2496" w:name="_Toc40474447"/>
      <w:bookmarkStart w:id="2497" w:name="_Toc40477976"/>
      <w:bookmarkStart w:id="2498" w:name="_Toc40521556"/>
      <w:bookmarkStart w:id="2499" w:name="_Toc40530415"/>
      <w:bookmarkStart w:id="2500" w:name="_Toc42778842"/>
      <w:bookmarkStart w:id="2501" w:name="_Toc42779982"/>
      <w:bookmarkStart w:id="2502" w:name="_Toc42780411"/>
      <w:bookmarkStart w:id="2503" w:name="_Toc42786401"/>
      <w:bookmarkStart w:id="2504" w:name="_Toc42791894"/>
      <w:bookmarkStart w:id="2505" w:name="_Toc42792056"/>
      <w:bookmarkStart w:id="2506" w:name="_Toc43117863"/>
      <w:bookmarkStart w:id="2507" w:name="_Toc43121502"/>
      <w:bookmarkStart w:id="2508" w:name="_Toc43122707"/>
      <w:bookmarkStart w:id="2509" w:name="_Toc43127762"/>
      <w:r w:rsidRPr="00027624">
        <w:t>Dependent contractors and sham contracting</w:t>
      </w:r>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p>
    <w:p w14:paraId="68AA275E" w14:textId="77777777" w:rsidR="00B3792F" w:rsidRPr="00027624" w:rsidRDefault="00B3792F" w:rsidP="00B3792F">
      <w:r w:rsidRPr="00027624">
        <w:t xml:space="preserve">Independent contractors do not receive the SG. However, superannuation law extends the definition of employee to include </w:t>
      </w:r>
      <w:r w:rsidR="00A8443E" w:rsidRPr="00027624">
        <w:t>‘</w:t>
      </w:r>
      <w:r w:rsidRPr="00027624">
        <w:t>dependent contractors</w:t>
      </w:r>
      <w:r w:rsidR="00A8443E" w:rsidRPr="00027624">
        <w:t>’</w:t>
      </w:r>
      <w:r w:rsidRPr="00027624">
        <w:t xml:space="preserve"> who are hired </w:t>
      </w:r>
      <w:r w:rsidR="00A8443E" w:rsidRPr="00027624">
        <w:t>‘</w:t>
      </w:r>
      <w:r w:rsidRPr="00027624">
        <w:t>wholly or principally for their labour</w:t>
      </w:r>
      <w:r w:rsidR="00A8443E" w:rsidRPr="00027624">
        <w:t>’</w:t>
      </w:r>
      <w:r w:rsidRPr="00027624">
        <w:t xml:space="preserve"> so they receive the SG. Despite this protection, some employers may misclassify workers as independent contractors to avoid paying them entitlements, including the SG. This is referred to as </w:t>
      </w:r>
      <w:r w:rsidR="00A8443E" w:rsidRPr="00027624">
        <w:t>‘</w:t>
      </w:r>
      <w:r w:rsidRPr="00027624">
        <w:rPr>
          <w:b/>
        </w:rPr>
        <w:t>sham contracting</w:t>
      </w:r>
      <w:r w:rsidR="00A8443E" w:rsidRPr="00027624">
        <w:t>’</w:t>
      </w:r>
      <w:r w:rsidRPr="00027624">
        <w:t>.</w:t>
      </w:r>
      <w:r w:rsidRPr="00027624">
        <w:rPr>
          <w:rStyle w:val="FootnoteReference"/>
        </w:rPr>
        <w:footnoteReference w:id="187"/>
      </w:r>
    </w:p>
    <w:p w14:paraId="62B5245A" w14:textId="77777777" w:rsidR="00B3792F" w:rsidRPr="00027624" w:rsidRDefault="00B3792F" w:rsidP="00B3792F">
      <w:r w:rsidRPr="00027624">
        <w:t xml:space="preserve">The effect of sham contracting falls more heavily on lower skilled workers </w:t>
      </w:r>
      <w:sdt>
        <w:sdtPr>
          <w:id w:val="1789083202"/>
          <w:citation/>
        </w:sdtPr>
        <w:sdtEndPr/>
        <w:sdtContent>
          <w:r w:rsidRPr="00027624">
            <w:fldChar w:fldCharType="begin"/>
          </w:r>
          <w:r w:rsidRPr="00027624">
            <w:instrText xml:space="preserve">CITATION Leg17 \p 11 \t  \l 3081 </w:instrText>
          </w:r>
          <w:r w:rsidRPr="00027624">
            <w:fldChar w:fldCharType="separate"/>
          </w:r>
          <w:r w:rsidR="00E83F6E">
            <w:rPr>
              <w:noProof/>
            </w:rPr>
            <w:t>(Legal Aid Commission of NSW, 2017, p. 11)</w:t>
          </w:r>
          <w:r w:rsidRPr="00027624">
            <w:fldChar w:fldCharType="end"/>
          </w:r>
        </w:sdtContent>
      </w:sdt>
      <w:r w:rsidRPr="00027624">
        <w:t>. A worker may be willing to, or unknowingly accept lower remuneration than they could receive as an employee, if they have more limited employment options.</w:t>
      </w:r>
    </w:p>
    <w:p w14:paraId="5A407D6A" w14:textId="77777777" w:rsidR="00B3792F" w:rsidRPr="00027624" w:rsidRDefault="00B3792F" w:rsidP="00B3792F">
      <w:r w:rsidRPr="00027624">
        <w:t xml:space="preserve">By its nature, sham contracting is difficult to quantify </w:t>
      </w:r>
      <w:sdt>
        <w:sdtPr>
          <w:id w:val="-794214235"/>
          <w:citation/>
        </w:sdtPr>
        <w:sdtEndPr/>
        <w:sdtContent>
          <w:r w:rsidRPr="00027624">
            <w:fldChar w:fldCharType="begin"/>
          </w:r>
          <w:r w:rsidRPr="00027624">
            <w:instrText xml:space="preserve"> CITATION Tre17 \l 3081 </w:instrText>
          </w:r>
          <w:r w:rsidRPr="00027624">
            <w:fldChar w:fldCharType="separate"/>
          </w:r>
          <w:r w:rsidR="00E83F6E">
            <w:rPr>
              <w:noProof/>
            </w:rPr>
            <w:t>(The Treasury, 2017b)</w:t>
          </w:r>
          <w:r w:rsidRPr="00027624">
            <w:fldChar w:fldCharType="end"/>
          </w:r>
        </w:sdtContent>
      </w:sdt>
      <w:r w:rsidRPr="00027624">
        <w:t xml:space="preserve">. A 2012 Fair Work Building and Construction report indicated that possibly 5 per cent of the workforce in the building and construction industry (or 13 per cent of contractors in the industry) were misclassified as contractors </w:t>
      </w:r>
      <w:sdt>
        <w:sdtPr>
          <w:id w:val="384462533"/>
          <w:citation/>
        </w:sdtPr>
        <w:sdtEndPr/>
        <w:sdtContent>
          <w:r w:rsidRPr="00027624">
            <w:fldChar w:fldCharType="begin"/>
          </w:r>
          <w:r w:rsidRPr="00027624">
            <w:instrText xml:space="preserve"> CITATION Fai12 \l 3081 </w:instrText>
          </w:r>
          <w:r w:rsidRPr="00027624">
            <w:fldChar w:fldCharType="separate"/>
          </w:r>
          <w:r w:rsidR="00E83F6E">
            <w:rPr>
              <w:noProof/>
            </w:rPr>
            <w:t>(Fair Work Building and Construction, 2012)</w:t>
          </w:r>
          <w:r w:rsidRPr="00027624">
            <w:fldChar w:fldCharType="end"/>
          </w:r>
        </w:sdtContent>
      </w:sdt>
      <w:r w:rsidRPr="00027624">
        <w:t>.</w:t>
      </w:r>
    </w:p>
    <w:p w14:paraId="77183AD9" w14:textId="77777777" w:rsidR="00B3792F" w:rsidRPr="00027624" w:rsidRDefault="00B3792F" w:rsidP="00B3792F">
      <w:r w:rsidRPr="00027624">
        <w:t xml:space="preserve">Protections in the </w:t>
      </w:r>
      <w:r w:rsidRPr="00027624">
        <w:rPr>
          <w:i/>
          <w:iCs/>
        </w:rPr>
        <w:t>Fair Work Act 2009</w:t>
      </w:r>
      <w:r w:rsidRPr="00027624">
        <w:t xml:space="preserve"> apply penalties for sham contracting. The 2019</w:t>
      </w:r>
      <w:r w:rsidR="00A8443E" w:rsidRPr="00027624">
        <w:noBreakHyphen/>
      </w:r>
      <w:r w:rsidRPr="00027624">
        <w:t>20 Budget included a measure to establish a sham contracting unit under the Fair Work Ombudsman and increase penalties for sham contracting.</w:t>
      </w:r>
    </w:p>
    <w:p w14:paraId="779693E2" w14:textId="77777777" w:rsidR="00B3792F" w:rsidRPr="00027624" w:rsidRDefault="00B3792F" w:rsidP="00B3792F">
      <w:r w:rsidRPr="00027624">
        <w:t>However, business groups have claimed that employee–contractor definitions are too complex and even employers acting in good faith may inadvertently misclassify employees. One complication is that the definition of a contractor can vary between different regulatory schemes. For example, a person could be legally defined as a contractor for tax withholding purposes and an employee for SG purposes.</w:t>
      </w:r>
    </w:p>
    <w:p w14:paraId="66B44B72" w14:textId="30D12B54" w:rsidR="00B3792F" w:rsidRPr="00027624" w:rsidRDefault="00B3792F" w:rsidP="00B3792F">
      <w:r w:rsidRPr="00027624">
        <w:t>Cameo modelling shows the retirement outcomes for a lower</w:t>
      </w:r>
      <w:r w:rsidR="00A8443E" w:rsidRPr="00027624">
        <w:noBreakHyphen/>
      </w:r>
      <w:r w:rsidRPr="00027624">
        <w:t>income earner who transitions every 10 years between roles classified as an employee and as a dependent contractor who does not receive SG, for their entire working life (</w:t>
      </w:r>
      <w:r w:rsidRPr="00027624">
        <w:fldChar w:fldCharType="begin"/>
      </w:r>
      <w:r w:rsidRPr="00027624">
        <w:instrText xml:space="preserve"> REF _Ref38883233 \r \h  \* MERGEFORMAT </w:instrText>
      </w:r>
      <w:r w:rsidRPr="00027624">
        <w:fldChar w:fldCharType="separate"/>
      </w:r>
      <w:r w:rsidR="00891058">
        <w:t>Table 3D-7</w:t>
      </w:r>
      <w:r w:rsidRPr="00027624">
        <w:fldChar w:fldCharType="end"/>
      </w:r>
      <w:r w:rsidRPr="00027624">
        <w:t>). Due to the forgone SG and not receiving higher wages as compensation, the person has a substantially lower superannuation balance and retirement income compared with an equivalent employee receiving the SG for their entire working life.</w:t>
      </w:r>
    </w:p>
    <w:p w14:paraId="2DBF487B" w14:textId="77777777" w:rsidR="00B3792F" w:rsidRPr="00027624" w:rsidRDefault="00B3792F" w:rsidP="00582C3E">
      <w:pPr>
        <w:pStyle w:val="TableMainHeading"/>
      </w:pPr>
      <w:bookmarkStart w:id="2510" w:name="_Ref38883233"/>
      <w:r w:rsidRPr="00027624">
        <w:lastRenderedPageBreak/>
        <w:t>Projected effect on retirement outcomes of intermittent contracting</w:t>
      </w:r>
      <w:bookmarkEnd w:id="2510"/>
    </w:p>
    <w:tbl>
      <w:tblPr>
        <w:tblW w:w="5000" w:type="pct"/>
        <w:tblLook w:val="01E0" w:firstRow="1" w:lastRow="1" w:firstColumn="1" w:lastColumn="1" w:noHBand="0" w:noVBand="0"/>
      </w:tblPr>
      <w:tblGrid>
        <w:gridCol w:w="2267"/>
        <w:gridCol w:w="2267"/>
        <w:gridCol w:w="2268"/>
        <w:gridCol w:w="2268"/>
      </w:tblGrid>
      <w:tr w:rsidR="00B3792F" w:rsidRPr="00027624" w14:paraId="0A54BC2E" w14:textId="77777777" w:rsidTr="00B3792F">
        <w:trPr>
          <w:trHeight w:val="270"/>
          <w:tblHeader/>
        </w:trPr>
        <w:tc>
          <w:tcPr>
            <w:tcW w:w="1250" w:type="pct"/>
            <w:shd w:val="clear" w:color="auto" w:fill="E5E5E5"/>
          </w:tcPr>
          <w:p w14:paraId="1E4C5806" w14:textId="77777777" w:rsidR="00B3792F" w:rsidRPr="00027624" w:rsidRDefault="00B3792F" w:rsidP="00B3792F">
            <w:pPr>
              <w:pStyle w:val="TableTextLeft"/>
              <w:keepNext/>
            </w:pPr>
          </w:p>
        </w:tc>
        <w:tc>
          <w:tcPr>
            <w:tcW w:w="1250" w:type="pct"/>
            <w:shd w:val="clear" w:color="auto" w:fill="E5E5E5"/>
          </w:tcPr>
          <w:p w14:paraId="71D9A0A3" w14:textId="77777777" w:rsidR="00B3792F" w:rsidRPr="00027624" w:rsidRDefault="00B3792F" w:rsidP="00B3792F">
            <w:pPr>
              <w:pStyle w:val="TableColumnHeadingCentred"/>
              <w:keepNext/>
            </w:pPr>
            <w:r w:rsidRPr="00027624">
              <w:t>Superannuation balance at retirement ($)</w:t>
            </w:r>
          </w:p>
        </w:tc>
        <w:tc>
          <w:tcPr>
            <w:tcW w:w="1250" w:type="pct"/>
            <w:shd w:val="clear" w:color="auto" w:fill="E5E5E5"/>
          </w:tcPr>
          <w:p w14:paraId="44F491D7" w14:textId="77777777" w:rsidR="00B3792F" w:rsidRPr="00027624" w:rsidRDefault="00B3792F" w:rsidP="00B3792F">
            <w:pPr>
              <w:pStyle w:val="TableColumnHeadingCentred"/>
              <w:keepNext/>
            </w:pPr>
            <w:r w:rsidRPr="00027624">
              <w:t>Average annual retirement income ($)</w:t>
            </w:r>
          </w:p>
        </w:tc>
        <w:tc>
          <w:tcPr>
            <w:tcW w:w="1250" w:type="pct"/>
            <w:shd w:val="clear" w:color="auto" w:fill="E5E5E5"/>
          </w:tcPr>
          <w:p w14:paraId="758BAC0F" w14:textId="77777777" w:rsidR="00B3792F" w:rsidRPr="00027624" w:rsidRDefault="00B3792F" w:rsidP="00B3792F">
            <w:pPr>
              <w:pStyle w:val="TableColumnHeadingCentred"/>
              <w:keepNext/>
            </w:pPr>
            <w:r w:rsidRPr="00027624">
              <w:t>Replacement rate (percentage point)</w:t>
            </w:r>
          </w:p>
        </w:tc>
      </w:tr>
      <w:tr w:rsidR="00B3792F" w:rsidRPr="00027624" w14:paraId="7EB8A979" w14:textId="77777777" w:rsidTr="00B3792F">
        <w:trPr>
          <w:trHeight w:val="270"/>
        </w:trPr>
        <w:tc>
          <w:tcPr>
            <w:tcW w:w="1250" w:type="pct"/>
          </w:tcPr>
          <w:p w14:paraId="6FC3E695" w14:textId="77777777" w:rsidR="00B3792F" w:rsidRPr="00027624" w:rsidRDefault="00B3792F" w:rsidP="00B3792F">
            <w:pPr>
              <w:pStyle w:val="TableTextCentered"/>
              <w:keepNext/>
              <w:jc w:val="left"/>
            </w:pPr>
            <w:r w:rsidRPr="00027624">
              <w:t>30</w:t>
            </w:r>
            <w:r w:rsidRPr="00027624">
              <w:rPr>
                <w:vertAlign w:val="superscript"/>
              </w:rPr>
              <w:t>th</w:t>
            </w:r>
            <w:r w:rsidRPr="00027624">
              <w:t xml:space="preserve"> percentile income earner</w:t>
            </w:r>
          </w:p>
        </w:tc>
        <w:tc>
          <w:tcPr>
            <w:tcW w:w="1250" w:type="pct"/>
          </w:tcPr>
          <w:p w14:paraId="4971D2F8" w14:textId="77777777" w:rsidR="00B3792F" w:rsidRPr="00027624" w:rsidRDefault="00A8443E" w:rsidP="00B3792F">
            <w:pPr>
              <w:pStyle w:val="TableTextCentered"/>
              <w:keepNext/>
            </w:pPr>
            <w:r w:rsidRPr="00027624">
              <w:noBreakHyphen/>
            </w:r>
            <w:r w:rsidR="00B3792F" w:rsidRPr="00027624">
              <w:t>138,200 (49% decrease)</w:t>
            </w:r>
          </w:p>
        </w:tc>
        <w:tc>
          <w:tcPr>
            <w:tcW w:w="1250" w:type="pct"/>
          </w:tcPr>
          <w:p w14:paraId="2EB76337" w14:textId="77777777" w:rsidR="00B3792F" w:rsidRPr="00027624" w:rsidRDefault="00A8443E" w:rsidP="00B3792F">
            <w:pPr>
              <w:pStyle w:val="TableTextCentered"/>
              <w:keepNext/>
            </w:pPr>
            <w:r w:rsidRPr="00027624">
              <w:noBreakHyphen/>
            </w:r>
            <w:r w:rsidR="00B3792F" w:rsidRPr="00027624">
              <w:t>4,700 (12% decrease)</w:t>
            </w:r>
          </w:p>
        </w:tc>
        <w:tc>
          <w:tcPr>
            <w:tcW w:w="1250" w:type="pct"/>
          </w:tcPr>
          <w:p w14:paraId="4C65F6C4" w14:textId="77777777" w:rsidR="00B3792F" w:rsidRPr="00027624" w:rsidRDefault="00A8443E" w:rsidP="00B3792F">
            <w:pPr>
              <w:pStyle w:val="TableTextCentered"/>
              <w:keepNext/>
            </w:pPr>
            <w:r w:rsidRPr="00027624">
              <w:noBreakHyphen/>
            </w:r>
            <w:r w:rsidR="00B3792F" w:rsidRPr="00027624">
              <w:t>13.3</w:t>
            </w:r>
          </w:p>
        </w:tc>
      </w:tr>
    </w:tbl>
    <w:p w14:paraId="0D4A72DB" w14:textId="77777777" w:rsidR="00B3792F" w:rsidRPr="00027624" w:rsidRDefault="00B3792F" w:rsidP="00B3792F">
      <w:pPr>
        <w:pStyle w:val="ChartorTableNote"/>
      </w:pPr>
      <w:r w:rsidRPr="00027624">
        <w:t>Note: Values are in 2019</w:t>
      </w:r>
      <w:r w:rsidR="00A8443E" w:rsidRPr="00027624">
        <w:noBreakHyphen/>
      </w:r>
      <w:r w:rsidRPr="00027624">
        <w:t>20 dollars using the review</w:t>
      </w:r>
      <w:r w:rsidR="00A8443E" w:rsidRPr="00027624">
        <w:t>’</w:t>
      </w:r>
      <w:r w:rsidRPr="00027624">
        <w:t>s mixed deflator and rounded to the nearest $100. This scenario assumes an individual works for 40 years between ages 27</w:t>
      </w:r>
      <w:r w:rsidR="00A8443E" w:rsidRPr="00027624">
        <w:noBreakHyphen/>
      </w:r>
      <w:r w:rsidRPr="00027624">
        <w:t>67. The first 10 are as an employee, alternating every 10 years between employee and dependent contractor work. Full SG is paid during periods as an employee. To isolate the effect of contract work on retirement outcomes, the individual does not salary sacrifice either as an intermittent contractor or full</w:t>
      </w:r>
      <w:r w:rsidR="00A8443E" w:rsidRPr="00027624">
        <w:noBreakHyphen/>
      </w:r>
      <w:r w:rsidRPr="00027624">
        <w:t>time employee. All other model specifications align with standard review assumptions. Source: Cameo modelling undertaken for the review.</w:t>
      </w:r>
    </w:p>
    <w:p w14:paraId="7C25049C" w14:textId="77777777" w:rsidR="00B3792F" w:rsidRPr="00027624" w:rsidRDefault="00B3792F" w:rsidP="00B3792F">
      <w:pPr>
        <w:pStyle w:val="Heading4"/>
      </w:pPr>
      <w:bookmarkStart w:id="2511" w:name="_Toc40366169"/>
      <w:bookmarkStart w:id="2512" w:name="_Toc40369715"/>
      <w:bookmarkStart w:id="2513" w:name="_Toc40427871"/>
      <w:bookmarkStart w:id="2514" w:name="_Toc40458124"/>
      <w:bookmarkStart w:id="2515" w:name="_Toc40461893"/>
      <w:bookmarkStart w:id="2516" w:name="_Toc40474448"/>
      <w:bookmarkStart w:id="2517" w:name="_Toc40477977"/>
      <w:bookmarkStart w:id="2518" w:name="_Toc40521557"/>
      <w:bookmarkStart w:id="2519" w:name="_Toc40530416"/>
      <w:bookmarkStart w:id="2520" w:name="_Toc42778843"/>
      <w:bookmarkStart w:id="2521" w:name="_Toc42779983"/>
      <w:bookmarkStart w:id="2522" w:name="_Toc42780412"/>
      <w:bookmarkStart w:id="2523" w:name="_Toc42786402"/>
      <w:bookmarkStart w:id="2524" w:name="_Toc42791895"/>
      <w:bookmarkStart w:id="2525" w:name="_Toc42792057"/>
      <w:bookmarkStart w:id="2526" w:name="_Toc43117864"/>
      <w:bookmarkStart w:id="2527" w:name="_Toc43121503"/>
      <w:bookmarkStart w:id="2528" w:name="_Toc43122708"/>
      <w:bookmarkStart w:id="2529" w:name="_Toc43127763"/>
      <w:r w:rsidRPr="00027624">
        <w:t>Gig economy and the changing nature of work</w:t>
      </w:r>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p>
    <w:p w14:paraId="332ED8B2" w14:textId="77777777" w:rsidR="00B3792F" w:rsidRPr="00027624" w:rsidRDefault="00B3792F" w:rsidP="00B3792F">
      <w:r w:rsidRPr="00027624">
        <w:t xml:space="preserve">Several stakeholders expressed concern about the effects of the </w:t>
      </w:r>
      <w:r w:rsidR="00A8443E" w:rsidRPr="00027624">
        <w:t>‘</w:t>
      </w:r>
      <w:r w:rsidRPr="00027624">
        <w:t>gig economy</w:t>
      </w:r>
      <w:r w:rsidR="00A8443E" w:rsidRPr="00027624">
        <w:t>’</w:t>
      </w:r>
      <w:r w:rsidRPr="00027624">
        <w:t xml:space="preserve"> on accumulating superannuation. Gig economy workers are generally classified as contractors and do not attract the SG. The status of gig economy workers being in a true versus sham contracting arrangement has been contested. The Senate Education and Employment References Committee </w:t>
      </w:r>
      <w:sdt>
        <w:sdtPr>
          <w:id w:val="-779406326"/>
          <w:citation/>
        </w:sdtPr>
        <w:sdtEndPr/>
        <w:sdtContent>
          <w:r w:rsidRPr="00027624">
            <w:fldChar w:fldCharType="begin"/>
          </w:r>
          <w:r w:rsidRPr="00027624">
            <w:instrText xml:space="preserve">CITATION Sen16 \p 104 \n  \t  \l 3081 </w:instrText>
          </w:r>
          <w:r w:rsidRPr="00027624">
            <w:fldChar w:fldCharType="separate"/>
          </w:r>
          <w:r w:rsidR="00E83F6E">
            <w:rPr>
              <w:noProof/>
            </w:rPr>
            <w:t>(2016, p. 104)</w:t>
          </w:r>
          <w:r w:rsidRPr="00027624">
            <w:fldChar w:fldCharType="end"/>
          </w:r>
        </w:sdtContent>
      </w:sdt>
      <w:r w:rsidRPr="00027624">
        <w:t xml:space="preserve"> stated:</w:t>
      </w:r>
    </w:p>
    <w:p w14:paraId="273C009A" w14:textId="77777777" w:rsidR="00B3792F" w:rsidRPr="00027624" w:rsidRDefault="00A8443E" w:rsidP="00B3792F">
      <w:pPr>
        <w:pStyle w:val="Quote"/>
      </w:pPr>
      <w:r w:rsidRPr="00027624">
        <w:t>‘</w:t>
      </w:r>
      <w:r w:rsidR="00B3792F" w:rsidRPr="00027624">
        <w:t xml:space="preserve">Having looked at sham contracting … the committee can only conclude that </w:t>
      </w:r>
      <w:r w:rsidRPr="00027624">
        <w:t>‘</w:t>
      </w:r>
      <w:r w:rsidR="00B3792F" w:rsidRPr="00027624">
        <w:t>gig economy</w:t>
      </w:r>
      <w:r w:rsidRPr="00027624">
        <w:t>’</w:t>
      </w:r>
      <w:r w:rsidR="00B3792F" w:rsidRPr="00027624">
        <w:t xml:space="preserve"> is just a more discrete and sanitised way for companies to abrogate their obligations by requiring workers to be contractors.</w:t>
      </w:r>
      <w:r w:rsidRPr="00027624">
        <w:t>’</w:t>
      </w:r>
    </w:p>
    <w:p w14:paraId="43EFE8EA" w14:textId="77777777" w:rsidR="00B3792F" w:rsidRPr="00027624" w:rsidRDefault="00B3792F" w:rsidP="00B3792F">
      <w:r w:rsidRPr="00027624">
        <w:t>Australia lacks official statistics on the size of the gig economy, partly due to the difficulty of defining gig workers and the nascent nature of the industry. Anecdotal evidence points to a rising gig economy, but the limited data available is not conclusive. Available data includes the following points:</w:t>
      </w:r>
    </w:p>
    <w:p w14:paraId="65C73218" w14:textId="77777777" w:rsidR="00B3792F" w:rsidRPr="00027624" w:rsidRDefault="00B3792F" w:rsidP="00A83D09">
      <w:pPr>
        <w:pStyle w:val="Bullet"/>
      </w:pPr>
      <w:r w:rsidRPr="00027624">
        <w:t xml:space="preserve">The level of independent contractors has fallen in recent years </w:t>
      </w:r>
      <w:sdt>
        <w:sdtPr>
          <w:id w:val="1057902021"/>
          <w:citation/>
        </w:sdtPr>
        <w:sdtEndPr/>
        <w:sdtContent>
          <w:r w:rsidRPr="00027624">
            <w:fldChar w:fldCharType="begin"/>
          </w:r>
          <w:r w:rsidRPr="00027624">
            <w:instrText xml:space="preserve"> CITATION Placeholder23 \l 3081 </w:instrText>
          </w:r>
          <w:r w:rsidRPr="00027624">
            <w:fldChar w:fldCharType="separate"/>
          </w:r>
          <w:r w:rsidR="00E83F6E">
            <w:rPr>
              <w:noProof/>
            </w:rPr>
            <w:t>(ABS, 2019f)</w:t>
          </w:r>
          <w:r w:rsidRPr="00027624">
            <w:fldChar w:fldCharType="end"/>
          </w:r>
        </w:sdtContent>
      </w:sdt>
      <w:r w:rsidRPr="00027624">
        <w:t>. However, gig economy workers will not be captured in this data if it is not their main job. Even in the US, where the gig economy is more advanced, gig economy work appears to rarely be used as a primary income source</w:t>
      </w:r>
      <w:sdt>
        <w:sdtPr>
          <w:id w:val="-778180365"/>
          <w:citation/>
        </w:sdtPr>
        <w:sdtEndPr/>
        <w:sdtContent>
          <w:r w:rsidRPr="00027624">
            <w:fldChar w:fldCharType="begin"/>
          </w:r>
          <w:r w:rsidRPr="00027624">
            <w:instrText xml:space="preserve"> CITATION Fed19 \l 3081 </w:instrText>
          </w:r>
          <w:r w:rsidRPr="00027624">
            <w:fldChar w:fldCharType="separate"/>
          </w:r>
          <w:r w:rsidR="00E83F6E">
            <w:rPr>
              <w:noProof/>
            </w:rPr>
            <w:t xml:space="preserve"> (Federal Reserve, 2019)</w:t>
          </w:r>
          <w:r w:rsidRPr="00027624">
            <w:fldChar w:fldCharType="end"/>
          </w:r>
        </w:sdtContent>
      </w:sdt>
      <w:r w:rsidRPr="00027624">
        <w:t>.</w:t>
      </w:r>
    </w:p>
    <w:p w14:paraId="25D9C1CD" w14:textId="0E9BD720" w:rsidR="00B3792F" w:rsidRPr="00027624" w:rsidRDefault="00B3792F" w:rsidP="00A83D09">
      <w:pPr>
        <w:pStyle w:val="Bullet"/>
      </w:pPr>
      <w:r w:rsidRPr="00027624">
        <w:t>The number of multiple job holders has been increasing in recent years but is not unusually high (</w:t>
      </w:r>
      <w:r w:rsidRPr="00027624">
        <w:fldChar w:fldCharType="begin"/>
      </w:r>
      <w:r w:rsidRPr="00027624">
        <w:instrText xml:space="preserve"> REF _Ref37836444 \r \h  \* MERGEFORMAT </w:instrText>
      </w:r>
      <w:r w:rsidRPr="00027624">
        <w:fldChar w:fldCharType="separate"/>
      </w:r>
      <w:r w:rsidR="00891058">
        <w:t>Chart 3D-6</w:t>
      </w:r>
      <w:r w:rsidRPr="00027624">
        <w:fldChar w:fldCharType="end"/>
      </w:r>
      <w:r w:rsidRPr="00027624">
        <w:t xml:space="preserve">). </w:t>
      </w:r>
    </w:p>
    <w:p w14:paraId="2DEC8B59" w14:textId="770C583F" w:rsidR="00B3792F" w:rsidRPr="00027624" w:rsidRDefault="00B3792F" w:rsidP="00A83D09">
      <w:pPr>
        <w:pStyle w:val="Bullet"/>
      </w:pPr>
      <w:r w:rsidRPr="00027624">
        <w:t>Several studies suggest the gig economy represents less than 1 per cent of all Australian workers.</w:t>
      </w:r>
      <w:r w:rsidRPr="00027624">
        <w:rPr>
          <w:rStyle w:val="FootnoteReference"/>
        </w:rPr>
        <w:footnoteReference w:id="188"/>
      </w:r>
      <w:r w:rsidRPr="00027624">
        <w:t xml:space="preserve"> In contrast, a large increase in people registering for Australian Business Numbers (</w:t>
      </w:r>
      <w:r w:rsidRPr="00027624">
        <w:fldChar w:fldCharType="begin"/>
      </w:r>
      <w:r w:rsidRPr="00027624">
        <w:instrText xml:space="preserve"> REF _Ref37837066 \r \h  \* MERGEFORMAT </w:instrText>
      </w:r>
      <w:r w:rsidRPr="00027624">
        <w:fldChar w:fldCharType="separate"/>
      </w:r>
      <w:r w:rsidR="00891058">
        <w:t>Chart 3D-7</w:t>
      </w:r>
      <w:r w:rsidRPr="00027624">
        <w:fldChar w:fldCharType="end"/>
      </w:r>
      <w:r w:rsidRPr="00027624">
        <w:t xml:space="preserve">) may be partially due to those seeking work on a digital platform. </w:t>
      </w:r>
    </w:p>
    <w:p w14:paraId="66AA9FCF" w14:textId="77777777" w:rsidR="00B3792F" w:rsidRPr="00027624" w:rsidRDefault="00B3792F" w:rsidP="00A83D09">
      <w:pPr>
        <w:pStyle w:val="Bullet"/>
      </w:pPr>
      <w:r w:rsidRPr="00027624">
        <w:t>Some gig economy work may be substituting for other self</w:t>
      </w:r>
      <w:r w:rsidR="00A8443E" w:rsidRPr="00027624">
        <w:noBreakHyphen/>
      </w:r>
      <w:r w:rsidRPr="00027624">
        <w:t xml:space="preserve">employment. For example, taxi drivers shifting to </w:t>
      </w:r>
      <w:r w:rsidR="00A8443E" w:rsidRPr="00027624">
        <w:t>‘</w:t>
      </w:r>
      <w:r w:rsidRPr="00027624">
        <w:t>ride share</w:t>
      </w:r>
      <w:r w:rsidR="00A8443E" w:rsidRPr="00027624">
        <w:t>’</w:t>
      </w:r>
      <w:r w:rsidRPr="00027624">
        <w:t xml:space="preserve"> platforms </w:t>
      </w:r>
      <w:sdt>
        <w:sdtPr>
          <w:id w:val="-1778482798"/>
          <w:citation/>
        </w:sdtPr>
        <w:sdtEndPr/>
        <w:sdtContent>
          <w:r w:rsidRPr="00027624">
            <w:fldChar w:fldCharType="begin"/>
          </w:r>
          <w:r w:rsidRPr="00027624">
            <w:instrText xml:space="preserve">CITATION Lab19 \p 11 \l 3081 </w:instrText>
          </w:r>
          <w:r w:rsidRPr="00027624">
            <w:fldChar w:fldCharType="separate"/>
          </w:r>
          <w:r w:rsidR="00E83F6E">
            <w:rPr>
              <w:noProof/>
            </w:rPr>
            <w:t>(Lab &amp; Wooden, 2019, p. 11)</w:t>
          </w:r>
          <w:r w:rsidRPr="00027624">
            <w:fldChar w:fldCharType="end"/>
          </w:r>
        </w:sdtContent>
      </w:sdt>
      <w:r w:rsidR="00A8443E" w:rsidRPr="00027624">
        <w:t xml:space="preserve"> — </w:t>
      </w:r>
      <w:r w:rsidRPr="00027624">
        <w:t>although neither are generally covered by the SG.</w:t>
      </w:r>
    </w:p>
    <w:tbl>
      <w:tblPr>
        <w:tblW w:w="5000" w:type="pct"/>
        <w:tblCellMar>
          <w:left w:w="0" w:type="dxa"/>
          <w:right w:w="0" w:type="dxa"/>
        </w:tblCellMar>
        <w:tblLook w:val="01E0" w:firstRow="1" w:lastRow="1" w:firstColumn="1" w:lastColumn="1" w:noHBand="0" w:noVBand="0"/>
      </w:tblPr>
      <w:tblGrid>
        <w:gridCol w:w="4535"/>
        <w:gridCol w:w="4535"/>
      </w:tblGrid>
      <w:tr w:rsidR="00B3792F" w:rsidRPr="00027624" w14:paraId="55015A6E" w14:textId="77777777" w:rsidTr="00B3792F">
        <w:trPr>
          <w:cantSplit/>
          <w:trHeight w:val="4536"/>
        </w:trPr>
        <w:tc>
          <w:tcPr>
            <w:tcW w:w="2500" w:type="pct"/>
          </w:tcPr>
          <w:p w14:paraId="3AC1B72B" w14:textId="77777777" w:rsidR="00B3792F" w:rsidRPr="00027624" w:rsidRDefault="007B222E" w:rsidP="00582C3E">
            <w:pPr>
              <w:pStyle w:val="ChartMainHeading"/>
            </w:pPr>
            <w:sdt>
              <w:sdtPr>
                <w:rPr>
                  <w:rFonts w:cs="Times New Roman"/>
                  <w:color w:val="auto"/>
                  <w:kern w:val="0"/>
                  <w:szCs w:val="20"/>
                </w:rPr>
                <w:id w:val="-1350171663"/>
                <w:citation/>
              </w:sdtPr>
              <w:sdtEndPr/>
              <w:sdtContent/>
            </w:sdt>
            <w:r w:rsidR="00B3792F" w:rsidRPr="00027624">
              <w:br w:type="page"/>
            </w:r>
            <w:bookmarkStart w:id="2530" w:name="_Ref37836444"/>
            <w:r w:rsidR="00B3792F" w:rsidRPr="00027624">
              <w:rPr>
                <w:noProof/>
              </w:rPr>
              <w:t>Proportion of the labour force with multiple jobs</w:t>
            </w:r>
            <w:bookmarkEnd w:id="2530"/>
          </w:p>
          <w:p w14:paraId="349CC6D6" w14:textId="77777777" w:rsidR="00B3792F" w:rsidRPr="00027624" w:rsidRDefault="00B01AFF" w:rsidP="00835E24">
            <w:pPr>
              <w:pStyle w:val="ChartGraphic"/>
              <w:rPr>
                <w:noProof/>
              </w:rPr>
            </w:pPr>
            <w:r>
              <w:rPr>
                <w:noProof/>
              </w:rPr>
              <w:drawing>
                <wp:inline distT="0" distB="0" distL="0" distR="0" wp14:anchorId="4B7DA40A" wp14:editId="2E0ADF89">
                  <wp:extent cx="2880000" cy="2880000"/>
                  <wp:effectExtent l="0" t="0" r="0" b="0"/>
                  <wp:docPr id="227" name="Picture 227" descr="This chart shows that the number of multiple job holders has been increasing in recent years (since 2015), to around 6 per cent, but is not significantly above the average from 1995 to 2019. " title="Chart 3D-6 Proportion of the labour force with multiple job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pic:spPr>
                      </pic:pic>
                    </a:graphicData>
                  </a:graphic>
                </wp:inline>
              </w:drawing>
            </w:r>
          </w:p>
          <w:p w14:paraId="7D84CDE4" w14:textId="77777777" w:rsidR="00B3792F" w:rsidRPr="00027624" w:rsidRDefault="00B3792F" w:rsidP="00B3792F">
            <w:pPr>
              <w:pStyle w:val="ChartorTableNote"/>
            </w:pPr>
            <w:r w:rsidRPr="00027624">
              <w:t xml:space="preserve">Source: Analysis of </w:t>
            </w:r>
            <w:sdt>
              <w:sdtPr>
                <w:id w:val="-315186645"/>
                <w:citation/>
              </w:sdtPr>
              <w:sdtEndPr/>
              <w:sdtContent>
                <w:r w:rsidRPr="00027624">
                  <w:fldChar w:fldCharType="begin"/>
                </w:r>
                <w:r w:rsidRPr="00027624">
                  <w:instrText xml:space="preserve"> CITATION ABS201 \l 3081 </w:instrText>
                </w:r>
                <w:r w:rsidRPr="00027624">
                  <w:fldChar w:fldCharType="separate"/>
                </w:r>
                <w:r w:rsidR="00E83F6E">
                  <w:rPr>
                    <w:noProof/>
                  </w:rPr>
                  <w:t>(ABS, 2020f)</w:t>
                </w:r>
                <w:r w:rsidRPr="00027624">
                  <w:fldChar w:fldCharType="end"/>
                </w:r>
              </w:sdtContent>
            </w:sdt>
            <w:r w:rsidRPr="00027624">
              <w:t>.</w:t>
            </w:r>
          </w:p>
        </w:tc>
        <w:tc>
          <w:tcPr>
            <w:tcW w:w="2500" w:type="pct"/>
          </w:tcPr>
          <w:p w14:paraId="6ADB8EF9" w14:textId="77777777" w:rsidR="00B3792F" w:rsidRPr="00027624" w:rsidRDefault="00B3792F" w:rsidP="00582C3E">
            <w:pPr>
              <w:pStyle w:val="ChartMainHeading"/>
            </w:pPr>
            <w:bookmarkStart w:id="2531" w:name="_Ref37837066"/>
            <w:r w:rsidRPr="00027624">
              <w:t>New Australian Business Number registrations</w:t>
            </w:r>
            <w:bookmarkEnd w:id="2531"/>
          </w:p>
          <w:p w14:paraId="0408DD13" w14:textId="77777777" w:rsidR="00B3792F" w:rsidRPr="00027624" w:rsidRDefault="00B01AFF" w:rsidP="00835E24">
            <w:pPr>
              <w:pStyle w:val="ChartGraphic"/>
              <w:rPr>
                <w:noProof/>
              </w:rPr>
            </w:pPr>
            <w:r>
              <w:rPr>
                <w:noProof/>
              </w:rPr>
              <w:drawing>
                <wp:inline distT="0" distB="0" distL="0" distR="0" wp14:anchorId="722E64AE" wp14:editId="78D96636">
                  <wp:extent cx="2880000" cy="2880000"/>
                  <wp:effectExtent l="0" t="0" r="0" b="0"/>
                  <wp:docPr id="228" name="Picture 228" descr="This chart shows there has been a significant increase in the number of individuals registering for new Australian Business Numbers between 2011-12 and 2017-18. The number of new Australian Business Number registrations for companies and trusts has been relatively flat over the same period. " title="Chart 3D-7 New Australian Business Number registrati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pic:spPr>
                      </pic:pic>
                    </a:graphicData>
                  </a:graphic>
                </wp:inline>
              </w:drawing>
            </w:r>
          </w:p>
          <w:p w14:paraId="6315C3B1" w14:textId="77777777" w:rsidR="00B3792F" w:rsidRPr="00027624" w:rsidRDefault="00B3792F" w:rsidP="00B3792F">
            <w:pPr>
              <w:pStyle w:val="ChartorTableNote"/>
            </w:pPr>
            <w:r w:rsidRPr="00027624">
              <w:t xml:space="preserve">Source: </w:t>
            </w:r>
            <w:sdt>
              <w:sdtPr>
                <w:id w:val="-1914765147"/>
                <w:citation/>
              </w:sdtPr>
              <w:sdtEndPr/>
              <w:sdtContent>
                <w:r w:rsidRPr="00027624">
                  <w:fldChar w:fldCharType="begin"/>
                </w:r>
                <w:r w:rsidRPr="00027624">
                  <w:instrText xml:space="preserve"> CITATION Tre17 \l 3081 </w:instrText>
                </w:r>
                <w:r w:rsidRPr="00027624">
                  <w:fldChar w:fldCharType="separate"/>
                </w:r>
                <w:r w:rsidR="00E83F6E">
                  <w:rPr>
                    <w:noProof/>
                  </w:rPr>
                  <w:t>(The Treasury, 2017b)</w:t>
                </w:r>
                <w:r w:rsidRPr="00027624">
                  <w:fldChar w:fldCharType="end"/>
                </w:r>
              </w:sdtContent>
            </w:sdt>
            <w:r w:rsidRPr="00027624">
              <w:t>.</w:t>
            </w:r>
          </w:p>
        </w:tc>
      </w:tr>
    </w:tbl>
    <w:p w14:paraId="2FF714D7" w14:textId="77777777" w:rsidR="00B3792F" w:rsidRPr="00027624" w:rsidRDefault="007B222E" w:rsidP="00B3792F">
      <w:sdt>
        <w:sdtPr>
          <w:id w:val="-478694180"/>
          <w:citation/>
        </w:sdtPr>
        <w:sdtEndPr/>
        <w:sdtContent>
          <w:r w:rsidR="00B3792F" w:rsidRPr="00027624">
            <w:t>P</w:t>
          </w:r>
        </w:sdtContent>
      </w:sdt>
      <w:r w:rsidR="00B3792F" w:rsidRPr="00027624">
        <w:t>reliminary results from a study commissioned by the Victorian Government found:</w:t>
      </w:r>
    </w:p>
    <w:p w14:paraId="34E73EA5" w14:textId="77777777" w:rsidR="00B3792F" w:rsidRPr="00027624" w:rsidRDefault="00B3792F" w:rsidP="00F14B57">
      <w:pPr>
        <w:pStyle w:val="Bullet"/>
        <w:numPr>
          <w:ilvl w:val="0"/>
          <w:numId w:val="44"/>
        </w:numPr>
        <w:ind w:left="284" w:hanging="284"/>
      </w:pPr>
      <w:r w:rsidRPr="00027624">
        <w:t>Gig economy workers are most likely to be aged 18</w:t>
      </w:r>
      <w:r w:rsidR="00A8443E" w:rsidRPr="00027624">
        <w:noBreakHyphen/>
      </w:r>
      <w:r w:rsidRPr="00027624">
        <w:t>34 and two</w:t>
      </w:r>
      <w:r w:rsidR="00A8443E" w:rsidRPr="00027624">
        <w:noBreakHyphen/>
      </w:r>
      <w:r w:rsidRPr="00027624">
        <w:t>thirds are male</w:t>
      </w:r>
    </w:p>
    <w:p w14:paraId="265AFECF" w14:textId="77777777" w:rsidR="00B3792F" w:rsidRPr="00027624" w:rsidRDefault="00B3792F" w:rsidP="00F14B57">
      <w:pPr>
        <w:pStyle w:val="Bullet"/>
        <w:numPr>
          <w:ilvl w:val="0"/>
          <w:numId w:val="44"/>
        </w:numPr>
        <w:ind w:left="284" w:hanging="284"/>
      </w:pPr>
      <w:r w:rsidRPr="00027624">
        <w:t>The most common work was transport and food delivery</w:t>
      </w:r>
    </w:p>
    <w:p w14:paraId="0BEE0DE4" w14:textId="77777777" w:rsidR="00B3792F" w:rsidRPr="00027624" w:rsidRDefault="00B3792F" w:rsidP="00F14B57">
      <w:pPr>
        <w:pStyle w:val="Bullet"/>
        <w:ind w:left="284" w:hanging="284"/>
      </w:pPr>
      <w:r w:rsidRPr="00027624">
        <w:t xml:space="preserve">Gig work is more common among students, people living with disability, temporary residents and the unemployed </w:t>
      </w:r>
      <w:sdt>
        <w:sdtPr>
          <w:id w:val="1369266502"/>
          <w:citation/>
        </w:sdtPr>
        <w:sdtEndPr/>
        <w:sdtContent>
          <w:r w:rsidRPr="00027624">
            <w:fldChar w:fldCharType="begin"/>
          </w:r>
          <w:r w:rsidRPr="00027624">
            <w:instrText xml:space="preserve">CITATION Vic20 \p 18 \l 3081 </w:instrText>
          </w:r>
          <w:r w:rsidRPr="00027624">
            <w:fldChar w:fldCharType="separate"/>
          </w:r>
          <w:r w:rsidR="00E83F6E">
            <w:rPr>
              <w:noProof/>
            </w:rPr>
            <w:t>(Victorian Government, 2020, p. 18)</w:t>
          </w:r>
          <w:r w:rsidRPr="00027624">
            <w:fldChar w:fldCharType="end"/>
          </w:r>
        </w:sdtContent>
      </w:sdt>
    </w:p>
    <w:p w14:paraId="46978A44" w14:textId="77777777" w:rsidR="00B3792F" w:rsidRPr="00027624" w:rsidRDefault="00B3792F" w:rsidP="00B3792F">
      <w:r w:rsidRPr="00027624">
        <w:t>To the extent gig economy work is used as a second job for supplementary income, or by people who may otherwise have encountered difficulties in finding work, the effect on retirement incomes of forgoing the SG is expected to be small. Even so, the superannuation balances of gig economy workers will generally be lower than an equivalent employee.</w:t>
      </w:r>
    </w:p>
    <w:p w14:paraId="3EA03383" w14:textId="77777777" w:rsidR="00B3792F" w:rsidRPr="00027624" w:rsidRDefault="00B3792F" w:rsidP="00B3792F">
      <w:r w:rsidRPr="00027624">
        <w:t>The role of the superannuation system in delivering retirement outcomes is expected to continue to be challenged by ongoing technological disruptions to the nature of work.</w:t>
      </w:r>
    </w:p>
    <w:p w14:paraId="22E4F625" w14:textId="77777777" w:rsidR="00B3792F" w:rsidRPr="00027624" w:rsidRDefault="00B3792F" w:rsidP="00B3792F">
      <w:pPr>
        <w:pStyle w:val="Heading3"/>
      </w:pPr>
      <w:bookmarkStart w:id="2532" w:name="_Toc40366170"/>
      <w:bookmarkStart w:id="2533" w:name="_Toc40369716"/>
      <w:bookmarkStart w:id="2534" w:name="_Toc40427872"/>
      <w:bookmarkStart w:id="2535" w:name="_Toc40458125"/>
      <w:bookmarkStart w:id="2536" w:name="_Toc40461894"/>
      <w:bookmarkStart w:id="2537" w:name="_Toc40474449"/>
      <w:bookmarkStart w:id="2538" w:name="_Toc40477978"/>
      <w:bookmarkStart w:id="2539" w:name="_Toc40521558"/>
      <w:bookmarkStart w:id="2540" w:name="_Toc40530417"/>
      <w:bookmarkStart w:id="2541" w:name="_Toc42778844"/>
      <w:bookmarkStart w:id="2542" w:name="_Toc42779984"/>
      <w:bookmarkStart w:id="2543" w:name="_Toc42780413"/>
      <w:bookmarkStart w:id="2544" w:name="_Toc42786403"/>
      <w:bookmarkStart w:id="2545" w:name="_Toc42791896"/>
      <w:bookmarkStart w:id="2546" w:name="_Toc42792058"/>
      <w:bookmarkStart w:id="2547" w:name="_Toc43117865"/>
      <w:bookmarkStart w:id="2548" w:name="_Toc43121504"/>
      <w:bookmarkStart w:id="2549" w:name="_Toc43122709"/>
      <w:bookmarkStart w:id="2550" w:name="_Toc43127764"/>
      <w:r w:rsidRPr="00027624">
        <w:t>Mandating the SG for the self</w:t>
      </w:r>
      <w:r w:rsidR="00A8443E" w:rsidRPr="00027624">
        <w:noBreakHyphen/>
      </w:r>
      <w:r w:rsidRPr="00027624">
        <w:t>employed</w:t>
      </w:r>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p>
    <w:p w14:paraId="44C39CD8" w14:textId="77777777" w:rsidR="00B3792F" w:rsidRPr="00027624" w:rsidRDefault="00B3792F" w:rsidP="00B3792F">
      <w:r w:rsidRPr="00027624">
        <w:t>Internationally, self</w:t>
      </w:r>
      <w:r w:rsidR="00A8443E" w:rsidRPr="00027624">
        <w:noBreakHyphen/>
      </w:r>
      <w:r w:rsidRPr="00027624">
        <w:t>employed people are often required to contribute to retirement schemes. Most OECD countries require self</w:t>
      </w:r>
      <w:r w:rsidR="00A8443E" w:rsidRPr="00027624">
        <w:noBreakHyphen/>
      </w:r>
      <w:r w:rsidRPr="00027624">
        <w:t>employed people to make some contribution to an earnings</w:t>
      </w:r>
      <w:r w:rsidR="00A8443E" w:rsidRPr="00027624">
        <w:noBreakHyphen/>
      </w:r>
      <w:r w:rsidRPr="00027624">
        <w:t>related pension scheme. However, only 10 countries mandate an equivalent level of contributions from self</w:t>
      </w:r>
      <w:r w:rsidR="00A8443E" w:rsidRPr="00027624">
        <w:noBreakHyphen/>
      </w:r>
      <w:r w:rsidRPr="00027624">
        <w:t xml:space="preserve">employed people to that of employees </w:t>
      </w:r>
      <w:sdt>
        <w:sdtPr>
          <w:id w:val="-1506044335"/>
          <w:citation/>
        </w:sdtPr>
        <w:sdtEndPr/>
        <w:sdtContent>
          <w:r w:rsidRPr="00027624">
            <w:fldChar w:fldCharType="begin"/>
          </w:r>
          <w:r w:rsidRPr="00027624">
            <w:instrText xml:space="preserve">CITATION OEC19d \p 82 \l 3081 </w:instrText>
          </w:r>
          <w:r w:rsidRPr="00027624">
            <w:fldChar w:fldCharType="separate"/>
          </w:r>
          <w:r w:rsidR="00E83F6E">
            <w:rPr>
              <w:noProof/>
            </w:rPr>
            <w:t>(OECD, 2019b, p. 82)</w:t>
          </w:r>
          <w:r w:rsidRPr="00027624">
            <w:fldChar w:fldCharType="end"/>
          </w:r>
        </w:sdtContent>
      </w:sdt>
      <w:r w:rsidRPr="00027624">
        <w:t>. This demonstrates the difficulty in harmonising employment schemes between employees and self</w:t>
      </w:r>
      <w:r w:rsidR="00A8443E" w:rsidRPr="00027624">
        <w:noBreakHyphen/>
      </w:r>
      <w:r w:rsidRPr="00027624">
        <w:t>employed people.</w:t>
      </w:r>
    </w:p>
    <w:p w14:paraId="1F64D52D" w14:textId="77777777" w:rsidR="00B3792F" w:rsidRPr="00027624" w:rsidRDefault="00B3792F" w:rsidP="00B3792F">
      <w:r w:rsidRPr="00027624">
        <w:t>Mandating contributions for</w:t>
      </w:r>
      <w:r w:rsidRPr="00027624" w:rsidDel="00A62E5C">
        <w:t xml:space="preserve"> </w:t>
      </w:r>
      <w:r w:rsidRPr="00027624">
        <w:t>self</w:t>
      </w:r>
      <w:r w:rsidR="00A8443E" w:rsidRPr="00027624">
        <w:noBreakHyphen/>
      </w:r>
      <w:r w:rsidRPr="00027624">
        <w:t>employed Australians to boost their superannuation savings, as some</w:t>
      </w:r>
      <w:r w:rsidRPr="00027624" w:rsidDel="00A62E5C">
        <w:t xml:space="preserve"> </w:t>
      </w:r>
      <w:r w:rsidRPr="00027624">
        <w:t xml:space="preserve">stakeholders advocated, would present the following issues. </w:t>
      </w:r>
    </w:p>
    <w:p w14:paraId="7A52D67E" w14:textId="77777777" w:rsidR="00B3792F" w:rsidRPr="00027624" w:rsidRDefault="00B3792F" w:rsidP="00A83D09">
      <w:pPr>
        <w:pStyle w:val="Bullet"/>
      </w:pPr>
      <w:r w:rsidRPr="00027624">
        <w:rPr>
          <w:b/>
          <w:bCs/>
        </w:rPr>
        <w:t>The obligation to pay superannuation falling on individuals (not employers) and affecting incentives to contract.</w:t>
      </w:r>
      <w:r w:rsidRPr="00027624">
        <w:t xml:space="preserve"> This could reduce incentives to engage in sham contracting as many contractors who realise they are liable to pay additional superannuation will negotiate for equivalent income as an employee. However, this is less likely to be an option for lower skilled contractors with weak bargaining power, or those who lack other job opportunities.</w:t>
      </w:r>
      <w:r w:rsidRPr="00027624" w:rsidDel="007C02B9">
        <w:t xml:space="preserve"> </w:t>
      </w:r>
    </w:p>
    <w:p w14:paraId="56FB93FC" w14:textId="77777777" w:rsidR="00B3792F" w:rsidRPr="00027624" w:rsidRDefault="00B3792F" w:rsidP="00A83D09">
      <w:pPr>
        <w:pStyle w:val="Bullet"/>
      </w:pPr>
      <w:r w:rsidRPr="00027624">
        <w:rPr>
          <w:b/>
          <w:bCs/>
        </w:rPr>
        <w:lastRenderedPageBreak/>
        <w:t xml:space="preserve">Determining the </w:t>
      </w:r>
      <w:r w:rsidR="00A8443E" w:rsidRPr="00027624">
        <w:rPr>
          <w:b/>
          <w:bCs/>
        </w:rPr>
        <w:t>‘</w:t>
      </w:r>
      <w:r w:rsidRPr="00027624">
        <w:rPr>
          <w:b/>
          <w:bCs/>
        </w:rPr>
        <w:t>contribution base</w:t>
      </w:r>
      <w:r w:rsidR="00A8443E" w:rsidRPr="00027624">
        <w:rPr>
          <w:b/>
          <w:bCs/>
        </w:rPr>
        <w:t>’</w:t>
      </w:r>
      <w:r w:rsidRPr="00027624">
        <w:rPr>
          <w:b/>
          <w:bCs/>
        </w:rPr>
        <w:t xml:space="preserve"> for self</w:t>
      </w:r>
      <w:r w:rsidR="00A8443E" w:rsidRPr="00027624">
        <w:rPr>
          <w:b/>
          <w:bCs/>
        </w:rPr>
        <w:noBreakHyphen/>
      </w:r>
      <w:r w:rsidRPr="00027624">
        <w:rPr>
          <w:b/>
          <w:bCs/>
        </w:rPr>
        <w:t>employed people.</w:t>
      </w:r>
      <w:r w:rsidRPr="00027624">
        <w:t xml:space="preserve"> Finding the equivalent ordinary time earnings would be challenging as self</w:t>
      </w:r>
      <w:r w:rsidR="00A8443E" w:rsidRPr="00027624">
        <w:noBreakHyphen/>
      </w:r>
      <w:r w:rsidRPr="00027624">
        <w:t>employed workers generally do not have an equivalent gross wage. They may have significant operating costs, and income from self</w:t>
      </w:r>
      <w:r w:rsidR="00A8443E" w:rsidRPr="00027624">
        <w:noBreakHyphen/>
      </w:r>
      <w:r w:rsidRPr="00027624">
        <w:t>employment may also be split between labour and capital shares.</w:t>
      </w:r>
    </w:p>
    <w:p w14:paraId="0C692043" w14:textId="77777777" w:rsidR="00B3792F" w:rsidRPr="00027624" w:rsidRDefault="00B3792F" w:rsidP="00A83D09">
      <w:pPr>
        <w:pStyle w:val="Bullet"/>
      </w:pPr>
      <w:r w:rsidRPr="00027624">
        <w:rPr>
          <w:b/>
          <w:bCs/>
        </w:rPr>
        <w:t>Cash flow issues</w:t>
      </w:r>
      <w:r w:rsidRPr="00027624">
        <w:t xml:space="preserve"> </w:t>
      </w:r>
      <w:r w:rsidRPr="00027624">
        <w:rPr>
          <w:b/>
          <w:bCs/>
        </w:rPr>
        <w:t>for small businesses who may have otherwise reinvested the SG amount back into the business</w:t>
      </w:r>
      <w:r w:rsidRPr="00027624">
        <w:rPr>
          <w:b/>
        </w:rPr>
        <w:t>.</w:t>
      </w:r>
      <w:r w:rsidRPr="00027624">
        <w:t xml:space="preserve"> Australia</w:t>
      </w:r>
      <w:r w:rsidR="00A8443E" w:rsidRPr="00027624">
        <w:t>’</w:t>
      </w:r>
      <w:r w:rsidRPr="00027624">
        <w:t>s Future Tax System Review</w:t>
      </w:r>
      <w:sdt>
        <w:sdtPr>
          <w:id w:val="-2100164110"/>
          <w:citation/>
        </w:sdtPr>
        <w:sdtEndPr/>
        <w:sdtContent>
          <w:r w:rsidRPr="00027624">
            <w:fldChar w:fldCharType="begin"/>
          </w:r>
          <w:r w:rsidRPr="00027624">
            <w:instrText xml:space="preserve">CITATION Hen09 \n  \t  \l 3081 </w:instrText>
          </w:r>
          <w:r w:rsidRPr="00027624">
            <w:fldChar w:fldCharType="separate"/>
          </w:r>
          <w:r w:rsidR="00E83F6E">
            <w:rPr>
              <w:noProof/>
            </w:rPr>
            <w:t xml:space="preserve"> (2009)</w:t>
          </w:r>
          <w:r w:rsidRPr="00027624">
            <w:fldChar w:fldCharType="end"/>
          </w:r>
        </w:sdtContent>
      </w:sdt>
      <w:r w:rsidRPr="00027624">
        <w:t xml:space="preserve"> argued the SG should not be extended to self</w:t>
      </w:r>
      <w:r w:rsidR="00A8443E" w:rsidRPr="00027624">
        <w:noBreakHyphen/>
      </w:r>
      <w:r w:rsidRPr="00027624">
        <w:t xml:space="preserve">employed people because </w:t>
      </w:r>
      <w:r w:rsidR="00A8443E" w:rsidRPr="00027624">
        <w:rPr>
          <w:rStyle w:val="QuoteChar"/>
        </w:rPr>
        <w:t>‘</w:t>
      </w:r>
      <w:r w:rsidR="004B3880" w:rsidRPr="00027624">
        <w:rPr>
          <w:rStyle w:val="QuoteChar"/>
        </w:rPr>
        <w:t xml:space="preserve"> … </w:t>
      </w:r>
      <w:r w:rsidRPr="00027624">
        <w:rPr>
          <w:rStyle w:val="QuoteChar"/>
        </w:rPr>
        <w:t>the diverse and varying risks and circumstances of business and entrepreneurship argue for allowing full flexibility in their saving and investment decisions</w:t>
      </w:r>
      <w:r w:rsidR="00A8443E" w:rsidRPr="00027624">
        <w:rPr>
          <w:rStyle w:val="QuoteChar"/>
        </w:rPr>
        <w:t>’</w:t>
      </w:r>
      <w:r w:rsidRPr="00027624">
        <w:t>.</w:t>
      </w:r>
    </w:p>
    <w:p w14:paraId="38076B87" w14:textId="77777777" w:rsidR="00B3792F" w:rsidRPr="00027624" w:rsidRDefault="00B3792F" w:rsidP="00A83D09">
      <w:pPr>
        <w:pStyle w:val="Bullet"/>
      </w:pPr>
      <w:r w:rsidRPr="00027624">
        <w:rPr>
          <w:b/>
          <w:bCs/>
        </w:rPr>
        <w:t>A separate SG rate may be needed for equivalence</w:t>
      </w:r>
      <w:r w:rsidRPr="00027624">
        <w:rPr>
          <w:b/>
        </w:rPr>
        <w:t xml:space="preserve">. </w:t>
      </w:r>
      <w:r w:rsidRPr="00027624">
        <w:t>Paying superannuation contributions from after</w:t>
      </w:r>
      <w:r w:rsidR="00A8443E" w:rsidRPr="00027624">
        <w:noBreakHyphen/>
      </w:r>
      <w:r w:rsidRPr="00027624">
        <w:t>tax income requires a larger contribution to match equivalent employer contributions, which are paid on an employee</w:t>
      </w:r>
      <w:r w:rsidR="00A8443E" w:rsidRPr="00027624">
        <w:t>’</w:t>
      </w:r>
      <w:r w:rsidRPr="00027624">
        <w:t>s before</w:t>
      </w:r>
      <w:r w:rsidR="00A8443E" w:rsidRPr="00027624">
        <w:noBreakHyphen/>
      </w:r>
      <w:r w:rsidRPr="00027624">
        <w:t>tax income.</w:t>
      </w:r>
    </w:p>
    <w:tbl>
      <w:tblPr>
        <w:tblStyle w:val="TableGrid"/>
        <w:tblpPr w:leftFromText="180" w:rightFromText="180" w:vertAnchor="text" w:tblpY="1"/>
        <w:tblOverlap w:val="never"/>
        <w:tblW w:w="5000" w:type="pct"/>
        <w:shd w:val="clear" w:color="auto" w:fill="FFF8EA"/>
        <w:tblCellMar>
          <w:top w:w="113" w:type="dxa"/>
          <w:bottom w:w="113" w:type="dxa"/>
        </w:tblCellMar>
        <w:tblLook w:val="04A0" w:firstRow="1" w:lastRow="0" w:firstColumn="1" w:lastColumn="0" w:noHBand="0" w:noVBand="1"/>
      </w:tblPr>
      <w:tblGrid>
        <w:gridCol w:w="9070"/>
      </w:tblGrid>
      <w:tr w:rsidR="00B3792F" w:rsidRPr="00027624" w14:paraId="794566B9" w14:textId="77777777" w:rsidTr="00AB03E9">
        <w:tc>
          <w:tcPr>
            <w:tcW w:w="5000" w:type="pct"/>
            <w:shd w:val="clear" w:color="auto" w:fill="FFF8EA"/>
          </w:tcPr>
          <w:p w14:paraId="0FB4F4EF" w14:textId="77777777" w:rsidR="00B3792F" w:rsidRPr="00E94624" w:rsidRDefault="00B3792F" w:rsidP="00E94624">
            <w:pPr>
              <w:pStyle w:val="BoxHeading"/>
              <w:spacing w:before="120"/>
            </w:pPr>
            <w:r w:rsidRPr="00E94624">
              <w:t>Impact of changes to certain policy settings on the retirement outcomes of those who are and are not covered by the SG</w:t>
            </w:r>
          </w:p>
          <w:p w14:paraId="2C2534F7" w14:textId="77777777" w:rsidR="00B3792F" w:rsidRPr="00027624" w:rsidRDefault="00B3792F" w:rsidP="00B3792F">
            <w:pPr>
              <w:pStyle w:val="BoxText"/>
            </w:pPr>
            <w:r w:rsidRPr="00027624">
              <w:t xml:space="preserve">A significant number of submissions raised policy proposals affecting SG coverage. The following summary outlines some implications of some of the proposed policy changes. </w:t>
            </w:r>
          </w:p>
          <w:p w14:paraId="2A6DADCA" w14:textId="77777777" w:rsidR="00B3792F" w:rsidRPr="00027624" w:rsidRDefault="00B3792F" w:rsidP="00B3792F">
            <w:pPr>
              <w:pStyle w:val="BoxBullet"/>
              <w:tabs>
                <w:tab w:val="num" w:pos="596"/>
              </w:tabs>
            </w:pPr>
            <w:r w:rsidRPr="00027624">
              <w:rPr>
                <w:b/>
                <w:bCs/>
              </w:rPr>
              <w:t>Removing SG employee exemptions</w:t>
            </w:r>
            <w:r w:rsidRPr="00027624">
              <w:rPr>
                <w:b/>
              </w:rPr>
              <w:t>.</w:t>
            </w:r>
            <w:r w:rsidRPr="00027624">
              <w:t xml:space="preserve"> Removing the $450</w:t>
            </w:r>
            <w:r w:rsidR="00A8443E" w:rsidRPr="00027624">
              <w:noBreakHyphen/>
            </w:r>
            <w:r w:rsidRPr="00027624">
              <w:t>a</w:t>
            </w:r>
            <w:r w:rsidR="00A8443E" w:rsidRPr="00027624">
              <w:noBreakHyphen/>
            </w:r>
            <w:r w:rsidRPr="00027624">
              <w:t>month threshold would not materially improve retirement outcomes, but it would improve equity in the retirement income system</w:t>
            </w:r>
            <w:r w:rsidRPr="00027624">
              <w:rPr>
                <w:bCs/>
              </w:rPr>
              <w:t>.</w:t>
            </w:r>
            <w:r w:rsidRPr="00027624">
              <w:t xml:space="preserve"> This would increase hourly remuneration for impacted workers, who are generally young, low</w:t>
            </w:r>
            <w:r w:rsidR="00A8443E" w:rsidRPr="00027624">
              <w:noBreakHyphen/>
            </w:r>
            <w:r w:rsidRPr="00027624">
              <w:t>income and female. The change would be unlikely to affect the wage rates of these employees as their total wages represent less than 0.1 per cent of the national wage bill and they are predominantly on award wages.</w:t>
            </w:r>
            <w:r w:rsidRPr="00027624">
              <w:rPr>
                <w:rStyle w:val="FootnoteReference"/>
              </w:rPr>
              <w:footnoteReference w:id="189"/>
            </w:r>
            <w:r w:rsidRPr="00027624">
              <w:t xml:space="preserve"> Removing the threshold would likely remove incentives to restrict employees</w:t>
            </w:r>
            <w:r w:rsidR="00A8443E" w:rsidRPr="00027624">
              <w:t>’</w:t>
            </w:r>
            <w:r w:rsidRPr="00027624">
              <w:t xml:space="preserve"> monthly hours.</w:t>
            </w:r>
          </w:p>
          <w:p w14:paraId="4CB0F1DA" w14:textId="77777777" w:rsidR="00B3792F" w:rsidRPr="00027624" w:rsidRDefault="00B3792F" w:rsidP="00B3792F">
            <w:pPr>
              <w:pStyle w:val="BoxBullet"/>
              <w:tabs>
                <w:tab w:val="num" w:pos="596"/>
              </w:tabs>
            </w:pPr>
            <w:r w:rsidRPr="00027624">
              <w:rPr>
                <w:b/>
              </w:rPr>
              <w:t>Expand the earnings base that attracts the SG</w:t>
            </w:r>
            <w:r w:rsidRPr="00027624">
              <w:rPr>
                <w:b/>
                <w:bCs/>
              </w:rPr>
              <w:t>.</w:t>
            </w:r>
            <w:r w:rsidRPr="00027624">
              <w:rPr>
                <w:bCs/>
              </w:rPr>
              <w:t xml:space="preserve"> Such a change would equalise the SG received per dollar of earnings between employees, regardless of their working arrangements</w:t>
            </w:r>
            <w:r w:rsidRPr="00027624">
              <w:t xml:space="preserve">. This would boost the superannuation balances and retirement incomes of about 20 per cent of employees, particularly those in mining, manufacturing and construction jobs, who typically receive a greater proportion of their earnings as overtime. This may have significant labour market impacts in sectors where overtime represents a large share of remuneration. </w:t>
            </w:r>
          </w:p>
          <w:p w14:paraId="3B3B1F5F" w14:textId="77777777" w:rsidR="00B3792F" w:rsidRPr="00027624" w:rsidRDefault="00B3792F" w:rsidP="00B3792F">
            <w:pPr>
              <w:pStyle w:val="BoxBullet"/>
              <w:tabs>
                <w:tab w:val="num" w:pos="596"/>
              </w:tabs>
            </w:pPr>
            <w:r w:rsidRPr="00027624">
              <w:rPr>
                <w:b/>
                <w:bCs/>
              </w:rPr>
              <w:t>Continue to narrow the SG compliance gap.</w:t>
            </w:r>
            <w:r w:rsidRPr="00027624">
              <w:t xml:space="preserve"> Facilitating employees and the ATO to identify underpayment more quickly would help people get the SG to which they are entitled</w:t>
            </w:r>
            <w:r w:rsidRPr="00027624">
              <w:rPr>
                <w:bCs/>
              </w:rPr>
              <w:t>.</w:t>
            </w:r>
            <w:r w:rsidRPr="00027624">
              <w:t xml:space="preserve"> Unpaid SG has a larger effect on superannuation balances when it occurs early in working lives due to people missing out on the benefits of compounding. Improved employer compliance with the SG would particularly benefit lower</w:t>
            </w:r>
            <w:r w:rsidR="00A8443E" w:rsidRPr="00027624">
              <w:noBreakHyphen/>
            </w:r>
            <w:r w:rsidRPr="00027624">
              <w:t xml:space="preserve">income workers and those in certain industries, such as construction, and accommodation and food services. </w:t>
            </w:r>
          </w:p>
          <w:p w14:paraId="662F5DEB" w14:textId="77777777" w:rsidR="00B3792F" w:rsidRPr="00027624" w:rsidRDefault="00B3792F" w:rsidP="00B3792F">
            <w:pPr>
              <w:pStyle w:val="BoxBullet"/>
              <w:tabs>
                <w:tab w:val="num" w:pos="596"/>
              </w:tabs>
            </w:pPr>
            <w:r w:rsidRPr="00027624">
              <w:rPr>
                <w:b/>
              </w:rPr>
              <w:t>Pay the SG at the same time as wages</w:t>
            </w:r>
            <w:r w:rsidRPr="00027624">
              <w:rPr>
                <w:b/>
                <w:bCs/>
              </w:rPr>
              <w:t>.</w:t>
            </w:r>
            <w:r w:rsidRPr="00027624">
              <w:rPr>
                <w:bCs/>
              </w:rPr>
              <w:t xml:space="preserve"> This would make it easier for employees to monitor SG compliance but it may create cash flow issues for employers.</w:t>
            </w:r>
            <w:r w:rsidRPr="00027624">
              <w:t xml:space="preserve"> It would effectively reduce the terms of payment on SG liabilities from up to four months to potentially one week.</w:t>
            </w:r>
          </w:p>
          <w:p w14:paraId="4232FB7A" w14:textId="77777777" w:rsidR="00B3792F" w:rsidRPr="00027624" w:rsidRDefault="00B3792F" w:rsidP="00B3792F">
            <w:pPr>
              <w:pStyle w:val="BoxBullet"/>
              <w:tabs>
                <w:tab w:val="num" w:pos="596"/>
              </w:tabs>
            </w:pPr>
            <w:r w:rsidRPr="00027624">
              <w:rPr>
                <w:b/>
              </w:rPr>
              <w:t>Require the self</w:t>
            </w:r>
            <w:r w:rsidR="00A8443E" w:rsidRPr="00027624">
              <w:rPr>
                <w:b/>
              </w:rPr>
              <w:noBreakHyphen/>
            </w:r>
            <w:r w:rsidRPr="00027624">
              <w:rPr>
                <w:b/>
              </w:rPr>
              <w:t>employed to make compulsory superannuation contributions</w:t>
            </w:r>
            <w:r w:rsidRPr="00027624">
              <w:rPr>
                <w:b/>
                <w:bCs/>
              </w:rPr>
              <w:t>.</w:t>
            </w:r>
            <w:r w:rsidRPr="00027624">
              <w:rPr>
                <w:bCs/>
              </w:rPr>
              <w:t xml:space="preserve"> Such a change would boost their superannuation balances and diversify the retirement savings of the self</w:t>
            </w:r>
            <w:r w:rsidR="00A8443E" w:rsidRPr="00027624">
              <w:rPr>
                <w:bCs/>
              </w:rPr>
              <w:noBreakHyphen/>
            </w:r>
            <w:r w:rsidRPr="00027624">
              <w:rPr>
                <w:bCs/>
              </w:rPr>
              <w:t>employed, but it would create new compliance burdens and risks</w:t>
            </w:r>
            <w:r w:rsidRPr="00027624">
              <w:t>. It would be harder for the self</w:t>
            </w:r>
            <w:r w:rsidR="00A8443E" w:rsidRPr="00027624">
              <w:noBreakHyphen/>
            </w:r>
            <w:r w:rsidRPr="00027624">
              <w:t>employed to invest in their business and may affect their other saving behaviour. Other challenges include determining the equivalent contribution base for the self</w:t>
            </w:r>
            <w:r w:rsidR="00A8443E" w:rsidRPr="00027624">
              <w:noBreakHyphen/>
            </w:r>
            <w:r w:rsidRPr="00027624">
              <w:t>employed and whether the compulsory rate is set at an equivalent level to employees.</w:t>
            </w:r>
          </w:p>
          <w:p w14:paraId="38E661DE" w14:textId="77777777" w:rsidR="00B3792F" w:rsidRPr="00027624" w:rsidRDefault="00B3792F" w:rsidP="00835E24">
            <w:pPr>
              <w:pStyle w:val="BoxBullet"/>
              <w:tabs>
                <w:tab w:val="num" w:pos="596"/>
              </w:tabs>
              <w:spacing w:after="0"/>
              <w:ind w:left="284" w:hanging="284"/>
            </w:pPr>
            <w:r w:rsidRPr="00027624">
              <w:rPr>
                <w:b/>
              </w:rPr>
              <w:t xml:space="preserve">Better enforce sham contracting laws or expand coverage of the SG for vulnerable </w:t>
            </w:r>
            <w:r w:rsidR="00A8443E" w:rsidRPr="00027624">
              <w:rPr>
                <w:b/>
              </w:rPr>
              <w:t>‘</w:t>
            </w:r>
            <w:r w:rsidRPr="00027624">
              <w:rPr>
                <w:b/>
              </w:rPr>
              <w:t>dependent contractors</w:t>
            </w:r>
            <w:r w:rsidR="00A8443E" w:rsidRPr="00027624">
              <w:rPr>
                <w:b/>
              </w:rPr>
              <w:t>’</w:t>
            </w:r>
            <w:r w:rsidRPr="00027624">
              <w:rPr>
                <w:b/>
              </w:rPr>
              <w:t>.</w:t>
            </w:r>
            <w:r w:rsidRPr="00027624">
              <w:t xml:space="preserve"> This would improve the retirement outcomes of people subject to sham contracting and would equalise total remuneration between dependent contractors and employees. </w:t>
            </w:r>
          </w:p>
        </w:tc>
      </w:tr>
    </w:tbl>
    <w:p w14:paraId="7682C8AE" w14:textId="77777777" w:rsidR="001B6C0B" w:rsidRPr="00027624" w:rsidRDefault="001B6C0B" w:rsidP="00264EED">
      <w:bookmarkStart w:id="2551" w:name="_Toc35075912"/>
      <w:bookmarkStart w:id="2552" w:name="_Toc40281850"/>
      <w:bookmarkStart w:id="2553" w:name="_Toc40282070"/>
      <w:bookmarkStart w:id="2554" w:name="_Toc40297441"/>
      <w:bookmarkStart w:id="2555" w:name="_Ref40304525"/>
      <w:bookmarkStart w:id="2556" w:name="_Ref40309981"/>
      <w:bookmarkStart w:id="2557" w:name="_Ref40310969"/>
      <w:bookmarkStart w:id="2558" w:name="_Toc40366171"/>
      <w:bookmarkStart w:id="2559" w:name="_Toc40369717"/>
      <w:bookmarkStart w:id="2560" w:name="_Toc40427873"/>
      <w:bookmarkStart w:id="2561" w:name="_Toc40458126"/>
      <w:bookmarkStart w:id="2562" w:name="_Toc40461895"/>
      <w:bookmarkStart w:id="2563" w:name="_Toc40474450"/>
      <w:bookmarkStart w:id="2564" w:name="_Toc40477979"/>
      <w:bookmarkStart w:id="2565" w:name="_Toc40521559"/>
      <w:bookmarkStart w:id="2566" w:name="_Toc40530418"/>
      <w:bookmarkStart w:id="2567" w:name="_Toc42778845"/>
      <w:bookmarkStart w:id="2568" w:name="_Toc42779985"/>
      <w:bookmarkStart w:id="2569" w:name="_Toc42780414"/>
      <w:bookmarkStart w:id="2570" w:name="_Toc42786404"/>
      <w:bookmarkStart w:id="2571" w:name="_Toc42791897"/>
      <w:bookmarkStart w:id="2572" w:name="_Toc42792059"/>
      <w:bookmarkStart w:id="2573" w:name="_Toc43117866"/>
      <w:bookmarkStart w:id="2574" w:name="_Toc43121505"/>
      <w:bookmarkStart w:id="2575" w:name="_Toc43122710"/>
      <w:bookmarkStart w:id="2576" w:name="_Toc43127765"/>
      <w:bookmarkEnd w:id="2184"/>
      <w:bookmarkEnd w:id="2551"/>
    </w:p>
    <w:p w14:paraId="1259B69F" w14:textId="77777777" w:rsidR="00264EED" w:rsidRPr="00027624" w:rsidRDefault="00264EED" w:rsidP="00264EED">
      <w:pPr>
        <w:sectPr w:rsidR="00264EED" w:rsidRPr="00027624" w:rsidSect="001B6C0B">
          <w:headerReference w:type="default" r:id="rId247"/>
          <w:footerReference w:type="default" r:id="rId248"/>
          <w:type w:val="oddPage"/>
          <w:pgSz w:w="11906" w:h="16838" w:code="9"/>
          <w:pgMar w:top="1418" w:right="1418" w:bottom="1418" w:left="1418" w:header="709" w:footer="709" w:gutter="0"/>
          <w:cols w:space="708"/>
          <w:titlePg/>
          <w:docGrid w:linePitch="360"/>
        </w:sectPr>
      </w:pPr>
    </w:p>
    <w:p w14:paraId="16BFAB89" w14:textId="77777777" w:rsidR="00B3792F" w:rsidRPr="00027624" w:rsidRDefault="00B3792F" w:rsidP="00582C3E">
      <w:pPr>
        <w:pStyle w:val="Heading1"/>
      </w:pPr>
      <w:bookmarkStart w:id="2577" w:name="_Toc45520512"/>
      <w:bookmarkStart w:id="2578" w:name="_Ref45622959"/>
      <w:bookmarkStart w:id="2579" w:name="_Ref45622967"/>
      <w:bookmarkStart w:id="2580" w:name="_Ref45623113"/>
      <w:bookmarkStart w:id="2581" w:name="_Toc46133623"/>
      <w:r w:rsidRPr="00027624">
        <w:rPr>
          <w:rStyle w:val="Heading3Char"/>
          <w:b w:val="0"/>
          <w:color w:val="144E60" w:themeColor="accent1"/>
          <w:sz w:val="48"/>
          <w:szCs w:val="36"/>
        </w:rPr>
        <w:lastRenderedPageBreak/>
        <w:t>Age of retirement</w:t>
      </w:r>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p>
    <w:tbl>
      <w:tblPr>
        <w:tblW w:w="5000" w:type="pct"/>
        <w:shd w:val="clear" w:color="auto" w:fill="DFD7E7" w:themeFill="accent3" w:themeFillTint="33"/>
        <w:tblLook w:val="01E0" w:firstRow="1" w:lastRow="1" w:firstColumn="1" w:lastColumn="1" w:noHBand="0" w:noVBand="0"/>
      </w:tblPr>
      <w:tblGrid>
        <w:gridCol w:w="9070"/>
      </w:tblGrid>
      <w:tr w:rsidR="00B3792F" w:rsidRPr="00027624" w14:paraId="60510BB1" w14:textId="77777777" w:rsidTr="00B3792F">
        <w:tc>
          <w:tcPr>
            <w:tcW w:w="5000" w:type="pct"/>
            <w:shd w:val="clear" w:color="auto" w:fill="DFD7E7" w:themeFill="accent3" w:themeFillTint="33"/>
          </w:tcPr>
          <w:p w14:paraId="52245BF8" w14:textId="77777777" w:rsidR="00B3792F" w:rsidRPr="00027624" w:rsidRDefault="00B3792F" w:rsidP="00582C3E">
            <w:pPr>
              <w:pStyle w:val="BoxHeading"/>
            </w:pPr>
            <w:r w:rsidRPr="00027624">
              <w:t>Section summary</w:t>
            </w:r>
          </w:p>
          <w:p w14:paraId="57E91195" w14:textId="77777777" w:rsidR="00B3792F" w:rsidRPr="00027624" w:rsidRDefault="00B3792F" w:rsidP="00A83D09">
            <w:pPr>
              <w:pStyle w:val="BoxBullet"/>
            </w:pPr>
            <w:r w:rsidRPr="00027624">
              <w:rPr>
                <w:b/>
                <w:bCs/>
              </w:rPr>
              <w:t>Despite declining rates over the past few decades, a significant number of people still retire involuntarily</w:t>
            </w:r>
            <w:r w:rsidRPr="00027624">
              <w:rPr>
                <w:b/>
              </w:rPr>
              <w:t>.</w:t>
            </w:r>
            <w:r w:rsidRPr="00027624">
              <w:t xml:space="preserve"> The high prevalence of involuntary retirement means many Australians retire abruptly and with fewer savings than planned. This runs counter to policies that seek to encourage older workforce participation. People who retire at younger ages tend to do so involuntarily. The most common reason for involuntary retirement is own ill health, followed by job</w:t>
            </w:r>
            <w:r w:rsidR="00A8443E" w:rsidRPr="00027624">
              <w:noBreakHyphen/>
            </w:r>
            <w:r w:rsidRPr="00027624">
              <w:t>related issues and caring responsibilities. Involuntary retirement may increase due to the financial and labour market effects of the COVID</w:t>
            </w:r>
            <w:r w:rsidR="00A8443E" w:rsidRPr="00027624">
              <w:noBreakHyphen/>
            </w:r>
            <w:r w:rsidRPr="00027624">
              <w:t>19 Pandemic.</w:t>
            </w:r>
          </w:p>
          <w:p w14:paraId="23546ED3" w14:textId="77777777" w:rsidR="00B3792F" w:rsidRPr="00027624" w:rsidRDefault="00B3792F" w:rsidP="00A83D09">
            <w:pPr>
              <w:pStyle w:val="BoxBullet"/>
            </w:pPr>
            <w:r w:rsidRPr="00027624">
              <w:rPr>
                <w:b/>
              </w:rPr>
              <w:t>Involuntary retirement is more common among</w:t>
            </w:r>
            <w:r w:rsidRPr="00027624" w:rsidDel="001C5E97">
              <w:rPr>
                <w:b/>
              </w:rPr>
              <w:t xml:space="preserve"> </w:t>
            </w:r>
            <w:r w:rsidRPr="00027624">
              <w:rPr>
                <w:b/>
              </w:rPr>
              <w:t xml:space="preserve">people with lower wealth and lower education levels, and </w:t>
            </w:r>
            <w:r w:rsidRPr="00027624" w:rsidDel="0025176E">
              <w:rPr>
                <w:b/>
              </w:rPr>
              <w:t>in certain occupations</w:t>
            </w:r>
            <w:r w:rsidRPr="00027624">
              <w:rPr>
                <w:b/>
              </w:rPr>
              <w:t>.</w:t>
            </w:r>
            <w:r w:rsidRPr="00027624">
              <w:t xml:space="preserve"> On average, people with higher education levels and in higher skilled occupations remain in the workforce until later ages. More highly educated people are also more likely to work part</w:t>
            </w:r>
            <w:r w:rsidR="00A8443E" w:rsidRPr="00027624">
              <w:noBreakHyphen/>
            </w:r>
            <w:r w:rsidRPr="00027624">
              <w:t>time in the years preceding retirement. Although around the same proportion of blue</w:t>
            </w:r>
            <w:r w:rsidR="00A8443E" w:rsidRPr="00027624">
              <w:noBreakHyphen/>
            </w:r>
            <w:r w:rsidRPr="00027624">
              <w:t xml:space="preserve"> and white</w:t>
            </w:r>
            <w:r w:rsidR="00A8443E" w:rsidRPr="00027624">
              <w:noBreakHyphen/>
            </w:r>
            <w:r w:rsidRPr="00027624">
              <w:t>collar workers retire before age 65, blue</w:t>
            </w:r>
            <w:r w:rsidR="00A8443E" w:rsidRPr="00027624">
              <w:noBreakHyphen/>
            </w:r>
            <w:r w:rsidRPr="00027624">
              <w:t>collar workers are more likely to retire involuntarily than white</w:t>
            </w:r>
            <w:r w:rsidR="00A8443E" w:rsidRPr="00027624">
              <w:noBreakHyphen/>
            </w:r>
            <w:r w:rsidRPr="00027624">
              <w:t xml:space="preserve">collar workers. </w:t>
            </w:r>
          </w:p>
          <w:p w14:paraId="792C6B7E" w14:textId="77777777" w:rsidR="00B3792F" w:rsidRPr="00027624" w:rsidRDefault="00B3792F" w:rsidP="00A83D09">
            <w:pPr>
              <w:pStyle w:val="BoxBullet"/>
            </w:pPr>
            <w:r w:rsidRPr="00027624">
              <w:rPr>
                <w:b/>
              </w:rPr>
              <w:t xml:space="preserve">People aged 55 and over </w:t>
            </w:r>
            <w:r w:rsidRPr="00027624" w:rsidDel="00102C7B">
              <w:rPr>
                <w:b/>
              </w:rPr>
              <w:t xml:space="preserve">have </w:t>
            </w:r>
            <w:r w:rsidRPr="00027624">
              <w:rPr>
                <w:b/>
              </w:rPr>
              <w:t>experience</w:t>
            </w:r>
            <w:r w:rsidRPr="00027624" w:rsidDel="00102C7B">
              <w:rPr>
                <w:b/>
              </w:rPr>
              <w:t>d</w:t>
            </w:r>
            <w:r w:rsidRPr="00027624">
              <w:rPr>
                <w:b/>
              </w:rPr>
              <w:t xml:space="preserve"> unemployment or underemployment at similar rates to people aged 25</w:t>
            </w:r>
            <w:r w:rsidR="00A8443E" w:rsidRPr="00027624">
              <w:rPr>
                <w:b/>
              </w:rPr>
              <w:noBreakHyphen/>
            </w:r>
            <w:r w:rsidRPr="00027624">
              <w:rPr>
                <w:b/>
              </w:rPr>
              <w:t xml:space="preserve">54, but for longer </w:t>
            </w:r>
            <w:r w:rsidRPr="00027624" w:rsidDel="001E3555">
              <w:rPr>
                <w:b/>
              </w:rPr>
              <w:t>periods</w:t>
            </w:r>
            <w:r w:rsidRPr="00027624">
              <w:rPr>
                <w:b/>
              </w:rPr>
              <w:t>.</w:t>
            </w:r>
            <w:r w:rsidRPr="00027624">
              <w:t xml:space="preserve"> This reduces their ability to save for retirement and may increase reliance on the Age Pension. </w:t>
            </w:r>
          </w:p>
          <w:p w14:paraId="3824AE9E" w14:textId="77777777" w:rsidR="00B3792F" w:rsidRPr="00027624" w:rsidRDefault="00B3792F" w:rsidP="00A83D09">
            <w:pPr>
              <w:pStyle w:val="BoxBullet"/>
            </w:pPr>
            <w:r w:rsidRPr="00027624">
              <w:rPr>
                <w:b/>
              </w:rPr>
              <w:t>Although early retirement (i.e. retirement before Age Pension eligibility age) leads to lower superannuation balances, retirement incomes and replacement rates, Government pensions and allowances, especially the Age Pension, provide a safety net.</w:t>
            </w:r>
            <w:r w:rsidRPr="00027624">
              <w:t xml:space="preserve"> When retiring </w:t>
            </w:r>
            <w:r w:rsidR="004B3880" w:rsidRPr="00027624">
              <w:t>5</w:t>
            </w:r>
            <w:r w:rsidRPr="00027624">
              <w:t xml:space="preserve"> or 10 years before Age Pension eligibility age,</w:t>
            </w:r>
            <w:r w:rsidRPr="00027624" w:rsidDel="00FB4ED2">
              <w:t xml:space="preserve"> </w:t>
            </w:r>
            <w:r w:rsidRPr="00027624">
              <w:t>replacement rates of lower</w:t>
            </w:r>
            <w:r w:rsidR="00A8443E" w:rsidRPr="00027624">
              <w:noBreakHyphen/>
            </w:r>
            <w:r w:rsidRPr="00027624">
              <w:t xml:space="preserve"> and middle</w:t>
            </w:r>
            <w:r w:rsidR="00A8443E" w:rsidRPr="00027624">
              <w:noBreakHyphen/>
            </w:r>
            <w:r w:rsidRPr="00027624">
              <w:t>income earners remain within or above the benchmark replacement rate of 65</w:t>
            </w:r>
            <w:r w:rsidR="004B3880" w:rsidRPr="00027624">
              <w:t>-</w:t>
            </w:r>
            <w:r w:rsidRPr="00027624">
              <w:t>75 per cent. However, early retirees may receive much lower income before preservation age compared with the remainder of their retirement. Payment rate differences between JobSeeker Payment</w:t>
            </w:r>
            <w:r w:rsidRPr="00027624">
              <w:rPr>
                <w:rStyle w:val="FootnoteReference"/>
              </w:rPr>
              <w:footnoteReference w:id="190"/>
            </w:r>
            <w:r w:rsidRPr="00027624">
              <w:t xml:space="preserve"> (formerly Newstart Allowance), Disability Support Pension and Carer Payment mean people who retire early due to job</w:t>
            </w:r>
            <w:r w:rsidR="00A8443E" w:rsidRPr="00027624">
              <w:noBreakHyphen/>
            </w:r>
            <w:r w:rsidRPr="00027624">
              <w:t>related reasons may have lower retirement incomes</w:t>
            </w:r>
            <w:r w:rsidRPr="00027624" w:rsidDel="000D622F">
              <w:t xml:space="preserve"> </w:t>
            </w:r>
            <w:r w:rsidRPr="00027624">
              <w:t xml:space="preserve">than those who retire early due to own ill health or caring responsibilities. </w:t>
            </w:r>
          </w:p>
          <w:p w14:paraId="724BC853" w14:textId="77777777" w:rsidR="00B3792F" w:rsidRPr="00027624" w:rsidRDefault="00B3792F" w:rsidP="00A83D09">
            <w:pPr>
              <w:pStyle w:val="BoxBullet"/>
            </w:pPr>
            <w:r w:rsidRPr="00027624">
              <w:rPr>
                <w:b/>
              </w:rPr>
              <w:t>Retiring beyond Age Pension eligibility age, for those who can, is an effective way to increase retirement incomes and replacement rates.</w:t>
            </w:r>
            <w:r w:rsidRPr="00027624">
              <w:t xml:space="preserve"> This</w:t>
            </w:r>
            <w:r w:rsidRPr="00027624" w:rsidDel="00043D66">
              <w:t xml:space="preserve"> </w:t>
            </w:r>
            <w:r w:rsidRPr="00027624">
              <w:t>increase is primarily due to investment returns, the benefits of compounding and fewer years in retirement rather than additional SG contributions. Late retirement benefits higher</w:t>
            </w:r>
            <w:r w:rsidR="00A8443E" w:rsidRPr="00027624">
              <w:noBreakHyphen/>
            </w:r>
            <w:r w:rsidRPr="00027624">
              <w:t>income earners the most, generating more SG in dollar terms, more earnings on their larger superannuation balances and the least, if any, reduction in Age Pension.</w:t>
            </w:r>
          </w:p>
        </w:tc>
      </w:tr>
    </w:tbl>
    <w:p w14:paraId="203A62BD" w14:textId="77777777" w:rsidR="00B3792F" w:rsidRPr="00027624" w:rsidRDefault="00B3792F" w:rsidP="00B3792F">
      <w:pPr>
        <w:pStyle w:val="Heading2"/>
      </w:pPr>
      <w:bookmarkStart w:id="2582" w:name="_Toc40281851"/>
      <w:bookmarkStart w:id="2583" w:name="_Toc40282071"/>
      <w:bookmarkStart w:id="2584" w:name="_Toc40366172"/>
      <w:bookmarkStart w:id="2585" w:name="_Toc40369718"/>
      <w:bookmarkStart w:id="2586" w:name="_Toc40427874"/>
      <w:bookmarkStart w:id="2587" w:name="_Toc40458127"/>
      <w:bookmarkStart w:id="2588" w:name="_Toc40461896"/>
      <w:bookmarkStart w:id="2589" w:name="_Toc40474451"/>
      <w:bookmarkStart w:id="2590" w:name="_Toc40477980"/>
      <w:bookmarkStart w:id="2591" w:name="_Toc40521560"/>
      <w:bookmarkStart w:id="2592" w:name="_Toc40530419"/>
      <w:bookmarkStart w:id="2593" w:name="_Toc42778846"/>
      <w:bookmarkStart w:id="2594" w:name="_Toc42779986"/>
      <w:bookmarkStart w:id="2595" w:name="_Toc42780415"/>
      <w:bookmarkStart w:id="2596" w:name="_Toc42786405"/>
      <w:bookmarkStart w:id="2597" w:name="_Toc42791898"/>
      <w:bookmarkStart w:id="2598" w:name="_Toc42792060"/>
      <w:bookmarkStart w:id="2599" w:name="_Toc43117867"/>
      <w:bookmarkStart w:id="2600" w:name="_Toc43121506"/>
      <w:bookmarkStart w:id="2601" w:name="_Toc43122711"/>
      <w:bookmarkStart w:id="2602" w:name="_Toc43127766"/>
      <w:bookmarkStart w:id="2603" w:name="_Toc45520513"/>
      <w:bookmarkStart w:id="2604" w:name="_Toc46133624"/>
      <w:r w:rsidRPr="00027624">
        <w:t>Outline of this section</w:t>
      </w:r>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p>
    <w:p w14:paraId="7AEAB38A" w14:textId="77777777" w:rsidR="00B3792F" w:rsidRPr="00027624" w:rsidRDefault="00B3792F" w:rsidP="00B3792F">
      <w:r w:rsidRPr="00027624">
        <w:t>This section considers how the age and degree of choice in the timing of retirement significantly affects retirement outcomes. It focuses on:</w:t>
      </w:r>
    </w:p>
    <w:p w14:paraId="18F6AEE5" w14:textId="77777777" w:rsidR="00B3792F" w:rsidRPr="00027624" w:rsidRDefault="00B3792F" w:rsidP="00B3792F">
      <w:pPr>
        <w:pStyle w:val="Bullet"/>
      </w:pPr>
      <w:r w:rsidRPr="00027624">
        <w:t>The reasons for retirement, how they differ across subsets of the population and the support available for people who retire before Age Pension eligibility age (</w:t>
      </w:r>
      <w:r w:rsidR="00A8443E" w:rsidRPr="00027624">
        <w:t>‘</w:t>
      </w:r>
      <w:r w:rsidRPr="00027624">
        <w:t>early retirement</w:t>
      </w:r>
      <w:r w:rsidR="00A8443E" w:rsidRPr="00027624">
        <w:t>’</w:t>
      </w:r>
      <w:r w:rsidRPr="00027624">
        <w:t>).</w:t>
      </w:r>
    </w:p>
    <w:p w14:paraId="4AA0411C" w14:textId="77777777" w:rsidR="00B3792F" w:rsidRPr="00027624" w:rsidRDefault="00B3792F" w:rsidP="00B3792F">
      <w:pPr>
        <w:pStyle w:val="Bullet"/>
      </w:pPr>
      <w:r w:rsidRPr="00027624">
        <w:t>The effect involuntary and early retirement has on retirement incomes.</w:t>
      </w:r>
    </w:p>
    <w:p w14:paraId="00EEB8AD" w14:textId="77777777" w:rsidR="00B3792F" w:rsidRPr="00027624" w:rsidRDefault="00B3792F" w:rsidP="00B3792F">
      <w:pPr>
        <w:pStyle w:val="Bullet"/>
      </w:pPr>
      <w:r w:rsidRPr="00027624">
        <w:t>The effect retirement after Age Pension eligibility age (</w:t>
      </w:r>
      <w:r w:rsidR="00A8443E" w:rsidRPr="00027624">
        <w:t>‘</w:t>
      </w:r>
      <w:r w:rsidRPr="00027624">
        <w:t>late retirement</w:t>
      </w:r>
      <w:r w:rsidR="00A8443E" w:rsidRPr="00027624">
        <w:t>’</w:t>
      </w:r>
      <w:r w:rsidRPr="00027624">
        <w:t>) has on retirement incomes.</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3B4C2EAF" w14:textId="77777777" w:rsidTr="00B3792F">
        <w:tc>
          <w:tcPr>
            <w:tcW w:w="5000" w:type="pct"/>
            <w:shd w:val="clear" w:color="auto" w:fill="FFF8EA"/>
          </w:tcPr>
          <w:p w14:paraId="612F6EBB" w14:textId="77777777" w:rsidR="00B3792F" w:rsidRPr="00027624" w:rsidRDefault="00B3792F" w:rsidP="00582C3E">
            <w:pPr>
              <w:pStyle w:val="BoxHeading"/>
              <w:pageBreakBefore/>
              <w:jc w:val="left"/>
            </w:pPr>
            <w:r w:rsidRPr="00027624">
              <w:lastRenderedPageBreak/>
              <w:t>Stakeholder views on early, late, voluntary and involuntary retirement</w:t>
            </w:r>
          </w:p>
          <w:p w14:paraId="73B7EA60" w14:textId="77777777" w:rsidR="00B3792F" w:rsidRPr="00027624" w:rsidRDefault="00B3792F" w:rsidP="00B3792F">
            <w:pPr>
              <w:pStyle w:val="BoxText"/>
            </w:pPr>
            <w:r w:rsidRPr="00027624">
              <w:t>Many stakeholders noted the large number of people who are involuntarily retired and receive JobSeeker Payment (formerly Newstart Allowance) until they reach Age Pension eligibility age. They expressed concern with the adequacy of JobSeeker Payment. One submission stated:</w:t>
            </w:r>
          </w:p>
          <w:p w14:paraId="71A76680" w14:textId="77777777" w:rsidR="00B3792F" w:rsidRPr="00027624" w:rsidRDefault="00A8443E" w:rsidP="00B3792F">
            <w:pPr>
              <w:pStyle w:val="Quote"/>
            </w:pPr>
            <w:r w:rsidRPr="00027624">
              <w:rPr>
                <w:rFonts w:eastAsia="Calibri"/>
              </w:rPr>
              <w:t>‘</w:t>
            </w:r>
            <w:r w:rsidR="00B3792F" w:rsidRPr="00027624">
              <w:rPr>
                <w:rFonts w:eastAsia="Calibri"/>
              </w:rPr>
              <w:t>…55% of people relying on Newstart Allowance are living in poverty. In the context of retirement planning it needs to [be] taken into consideration that a quarter of Newstart recipients (184,000 people) are aged 55 years or older</w:t>
            </w:r>
            <w:r w:rsidR="00B3792F" w:rsidRPr="00027624">
              <w:t>.</w:t>
            </w:r>
            <w:r w:rsidRPr="00027624">
              <w:t>’</w:t>
            </w:r>
            <w:sdt>
              <w:sdtPr>
                <w:id w:val="-123939003"/>
                <w:citation/>
              </w:sdtPr>
              <w:sdtEndPr/>
              <w:sdtContent>
                <w:r w:rsidR="00B3792F" w:rsidRPr="00027624">
                  <w:fldChar w:fldCharType="begin"/>
                </w:r>
                <w:r w:rsidR="00B3792F" w:rsidRPr="00027624">
                  <w:instrText xml:space="preserve">CITATION Mis20 \p 4 \l 3081 </w:instrText>
                </w:r>
                <w:r w:rsidR="00B3792F" w:rsidRPr="00027624">
                  <w:fldChar w:fldCharType="separate"/>
                </w:r>
                <w:r w:rsidR="00E83F6E">
                  <w:rPr>
                    <w:noProof/>
                  </w:rPr>
                  <w:t xml:space="preserve"> (Mission Australia, 2020, p. 4)</w:t>
                </w:r>
                <w:r w:rsidR="00B3792F" w:rsidRPr="00027624">
                  <w:fldChar w:fldCharType="end"/>
                </w:r>
              </w:sdtContent>
            </w:sdt>
          </w:p>
          <w:p w14:paraId="3E141FA1" w14:textId="77777777" w:rsidR="00B3792F" w:rsidRPr="00027624" w:rsidRDefault="00B3792F" w:rsidP="00B3792F">
            <w:pPr>
              <w:pStyle w:val="BoxText"/>
            </w:pPr>
            <w:r w:rsidRPr="00027624">
              <w:t>Another submission said:</w:t>
            </w:r>
          </w:p>
          <w:p w14:paraId="250E4951" w14:textId="77777777" w:rsidR="00B3792F" w:rsidRPr="00027624" w:rsidRDefault="00A8443E" w:rsidP="00B3792F">
            <w:pPr>
              <w:pStyle w:val="Quote"/>
              <w:rPr>
                <w:i w:val="0"/>
                <w:iCs w:val="0"/>
              </w:rPr>
            </w:pPr>
            <w:r w:rsidRPr="00027624">
              <w:t>‘</w:t>
            </w:r>
            <w:r w:rsidR="00B3792F" w:rsidRPr="00027624">
              <w:t>While on the surface this is a problem of Newstart and not the Retirement Incomes System, clearly government policy settings in Newstart are having an impact on retirement savings. Due to the inadequacy of Newstart as a payment to live on (or ineligibility to even access Newstart payments), early and involuntary retirement means that too many older Australians not only miss the opportunity to further contribute to their retirement savings due to their exclusion from the workforce, but are required to prematurely spend their existing savings in order to meet the cost of even basic living standards.</w:t>
            </w:r>
            <w:r w:rsidRPr="00027624">
              <w:t>’</w:t>
            </w:r>
            <w:r w:rsidR="00B3792F" w:rsidRPr="00027624">
              <w:t xml:space="preserve"> </w:t>
            </w:r>
            <w:sdt>
              <w:sdtPr>
                <w:id w:val="-1510219156"/>
                <w:citation/>
              </w:sdtPr>
              <w:sdtEndPr/>
              <w:sdtContent>
                <w:r w:rsidR="00B3792F" w:rsidRPr="00027624">
                  <w:fldChar w:fldCharType="begin"/>
                </w:r>
                <w:r w:rsidR="00B3792F" w:rsidRPr="00027624">
                  <w:instrText xml:space="preserve">CITATION Fix20 \p 7 \l 3081 </w:instrText>
                </w:r>
                <w:r w:rsidR="00B3792F" w:rsidRPr="00027624">
                  <w:fldChar w:fldCharType="separate"/>
                </w:r>
                <w:r w:rsidR="00E83F6E">
                  <w:rPr>
                    <w:noProof/>
                  </w:rPr>
                  <w:t>(Fix Pension Poverty campaign, 2020, p. 7)</w:t>
                </w:r>
                <w:r w:rsidR="00B3792F" w:rsidRPr="00027624">
                  <w:fldChar w:fldCharType="end"/>
                </w:r>
              </w:sdtContent>
            </w:sdt>
            <w:r w:rsidR="00B3792F" w:rsidRPr="00027624">
              <w:t xml:space="preserve"> </w:t>
            </w:r>
          </w:p>
          <w:p w14:paraId="301F7C7F" w14:textId="77777777" w:rsidR="00B3792F" w:rsidRPr="00027624" w:rsidRDefault="00B3792F" w:rsidP="00B3792F">
            <w:pPr>
              <w:pStyle w:val="BoxText"/>
            </w:pPr>
            <w:r w:rsidRPr="00027624">
              <w:t>Stakeholders had mixed views on the preservation and Age Pension eligibility ages. Some noted these universal ages disadvantage those who retire early and involuntarily. Others argued that higher ages deliver fiscal benefits and encourage older workforce participation. One stakeholder stated:</w:t>
            </w:r>
          </w:p>
          <w:p w14:paraId="42F7E655" w14:textId="77777777" w:rsidR="00B3792F" w:rsidRPr="00027624" w:rsidRDefault="00A8443E" w:rsidP="00B3792F">
            <w:pPr>
              <w:pStyle w:val="Quote"/>
            </w:pPr>
            <w:r w:rsidRPr="00027624">
              <w:t>‘</w:t>
            </w:r>
            <w:r w:rsidR="00B3792F" w:rsidRPr="00027624">
              <w:t>Some systems in other countries have industry</w:t>
            </w:r>
            <w:r w:rsidRPr="00027624">
              <w:noBreakHyphen/>
            </w:r>
            <w:r w:rsidR="00B3792F" w:rsidRPr="00027624">
              <w:t>based retirement ages, reflecting the reality that blue</w:t>
            </w:r>
            <w:r w:rsidRPr="00027624">
              <w:noBreakHyphen/>
            </w:r>
            <w:r w:rsidR="00B3792F" w:rsidRPr="00027624">
              <w:t>collar workers typically retire earlier than white</w:t>
            </w:r>
            <w:r w:rsidRPr="00027624">
              <w:noBreakHyphen/>
            </w:r>
            <w:r w:rsidR="00B3792F" w:rsidRPr="00027624">
              <w:t xml:space="preserve">collar workers. There is merit in exploring the potential application of this approach in </w:t>
            </w:r>
            <w:r w:rsidR="00B3792F" w:rsidRPr="00027624">
              <w:br/>
              <w:t>Australia.</w:t>
            </w:r>
            <w:r w:rsidRPr="00027624">
              <w:t>’</w:t>
            </w:r>
            <w:r w:rsidR="00B3792F" w:rsidRPr="00027624">
              <w:t xml:space="preserve"> </w:t>
            </w:r>
            <w:sdt>
              <w:sdtPr>
                <w:id w:val="1673997480"/>
                <w:citation/>
              </w:sdtPr>
              <w:sdtEndPr/>
              <w:sdtContent>
                <w:r w:rsidR="00B3792F" w:rsidRPr="00027624">
                  <w:fldChar w:fldCharType="begin"/>
                </w:r>
                <w:r w:rsidR="00B3792F" w:rsidRPr="00027624">
                  <w:instrText xml:space="preserve">CITATION CBU20 \p 19 \l 3081 </w:instrText>
                </w:r>
                <w:r w:rsidR="00B3792F" w:rsidRPr="00027624">
                  <w:fldChar w:fldCharType="separate"/>
                </w:r>
                <w:r w:rsidR="00E83F6E">
                  <w:rPr>
                    <w:noProof/>
                  </w:rPr>
                  <w:t>(Cbus, 2020, p. 19)</w:t>
                </w:r>
                <w:r w:rsidR="00B3792F" w:rsidRPr="00027624">
                  <w:fldChar w:fldCharType="end"/>
                </w:r>
                <w:r w:rsidR="00B3792F" w:rsidRPr="00027624">
                  <w:t>.</w:t>
                </w:r>
              </w:sdtContent>
            </w:sdt>
          </w:p>
        </w:tc>
      </w:tr>
    </w:tbl>
    <w:p w14:paraId="74A7C750" w14:textId="77777777" w:rsidR="00B3792F" w:rsidRPr="00027624" w:rsidRDefault="00B3792F" w:rsidP="00B3792F">
      <w:pPr>
        <w:pStyle w:val="SingleParagraph"/>
      </w:pP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B3792F" w:rsidRPr="00027624" w14:paraId="548EA9AF" w14:textId="77777777" w:rsidTr="00B3792F">
        <w:tc>
          <w:tcPr>
            <w:tcW w:w="5000" w:type="pct"/>
            <w:shd w:val="clear" w:color="auto" w:fill="EBEBEB"/>
          </w:tcPr>
          <w:p w14:paraId="63963CCD" w14:textId="77777777" w:rsidR="00B3792F" w:rsidRPr="00027624" w:rsidRDefault="00B3792F" w:rsidP="00582C3E">
            <w:pPr>
              <w:pStyle w:val="BoxHeading"/>
            </w:pPr>
            <w:r w:rsidRPr="00027624">
              <w:t xml:space="preserve">How </w:t>
            </w:r>
            <w:r w:rsidR="00A8443E" w:rsidRPr="00027624">
              <w:t>‘</w:t>
            </w:r>
            <w:r w:rsidRPr="00027624">
              <w:t>Newstart Allowance</w:t>
            </w:r>
            <w:r w:rsidR="00A8443E" w:rsidRPr="00027624">
              <w:t>’</w:t>
            </w:r>
            <w:r w:rsidRPr="00027624">
              <w:t xml:space="preserve"> became </w:t>
            </w:r>
            <w:r w:rsidR="00A8443E" w:rsidRPr="00027624">
              <w:t>‘</w:t>
            </w:r>
            <w:r w:rsidRPr="00027624">
              <w:t>JobSeeker Payment</w:t>
            </w:r>
            <w:r w:rsidR="00A8443E" w:rsidRPr="00027624">
              <w:t>’</w:t>
            </w:r>
          </w:p>
          <w:p w14:paraId="15A75E51" w14:textId="77777777" w:rsidR="00B3792F" w:rsidRPr="00027624" w:rsidRDefault="00B3792F" w:rsidP="00B3792F">
            <w:pPr>
              <w:pStyle w:val="BoxText"/>
            </w:pPr>
            <w:r w:rsidRPr="00027624">
              <w:t>On 20 March 2020, JobSeeker Payment replaced Newstart Allowance as the main working</w:t>
            </w:r>
            <w:r w:rsidR="00A8443E" w:rsidRPr="00027624">
              <w:noBreakHyphen/>
            </w:r>
            <w:r w:rsidRPr="00027624">
              <w:t>age payment for those aged 22 to Age Pension eligibility age with capacity to work now or in the near future. JobSeeker Payment has the same basic qualification, payment arrangements and means</w:t>
            </w:r>
            <w:r w:rsidR="00A8443E" w:rsidRPr="00027624">
              <w:noBreakHyphen/>
            </w:r>
            <w:r w:rsidRPr="00027624">
              <w:t xml:space="preserve">testing rules as Newstart Allowance </w:t>
            </w:r>
            <w:sdt>
              <w:sdtPr>
                <w:id w:val="-924190964"/>
                <w:citation/>
              </w:sdtPr>
              <w:sdtEndPr/>
              <w:sdtContent>
                <w:r w:rsidRPr="00027624">
                  <w:fldChar w:fldCharType="begin"/>
                </w:r>
                <w:r w:rsidRPr="00027624">
                  <w:instrText xml:space="preserve"> CITATION DSS202 \l 3081 </w:instrText>
                </w:r>
                <w:r w:rsidRPr="00027624">
                  <w:fldChar w:fldCharType="separate"/>
                </w:r>
                <w:r w:rsidR="00E83F6E">
                  <w:rPr>
                    <w:noProof/>
                  </w:rPr>
                  <w:t>(Department of Social Services, 2020d)</w:t>
                </w:r>
                <w:r w:rsidRPr="00027624">
                  <w:fldChar w:fldCharType="end"/>
                </w:r>
              </w:sdtContent>
            </w:sdt>
            <w:r w:rsidRPr="00027624">
              <w:t>.</w:t>
            </w:r>
          </w:p>
          <w:p w14:paraId="50D9F4BC" w14:textId="77777777" w:rsidR="00B3792F" w:rsidRPr="00027624" w:rsidRDefault="00B3792F" w:rsidP="00B3792F">
            <w:pPr>
              <w:pStyle w:val="BoxText"/>
            </w:pPr>
            <w:r w:rsidRPr="00027624">
              <w:t>From 27 April 2020, JobSeeker Payment included a temporary Coronavirus Supplement of $550 per fortnight. The combined payment rate of the JobSeeker Payment and Coronavirus Supplement is higher than the Disability Support Pension, Carer Payment and Age Pension. As the Coronavirus Supplement is temporary, the review</w:t>
            </w:r>
            <w:r w:rsidR="00A8443E" w:rsidRPr="00027624">
              <w:t>’</w:t>
            </w:r>
            <w:r w:rsidRPr="00027624">
              <w:t>s analysis and modelling uses the standard rate of JobSeeker Payment.</w:t>
            </w:r>
            <w:r w:rsidRPr="00027624">
              <w:rPr>
                <w:rStyle w:val="FootnoteReference"/>
              </w:rPr>
              <w:footnoteReference w:id="191"/>
            </w:r>
          </w:p>
        </w:tc>
      </w:tr>
    </w:tbl>
    <w:p w14:paraId="0010932B" w14:textId="77777777" w:rsidR="00B307FF" w:rsidRDefault="00B307FF" w:rsidP="00B307FF">
      <w:pPr>
        <w:pStyle w:val="Heading2"/>
        <w:rPr>
          <w:b w:val="0"/>
          <w:iCs w:val="0"/>
        </w:rPr>
      </w:pPr>
      <w:bookmarkStart w:id="2605" w:name="_Toc40281852"/>
      <w:bookmarkStart w:id="2606" w:name="_Toc40282072"/>
      <w:bookmarkStart w:id="2607" w:name="_Toc40366173"/>
      <w:bookmarkStart w:id="2608" w:name="_Toc40369719"/>
      <w:bookmarkStart w:id="2609" w:name="_Toc40427875"/>
      <w:bookmarkStart w:id="2610" w:name="_Toc40458128"/>
      <w:bookmarkStart w:id="2611" w:name="_Toc40461897"/>
      <w:bookmarkStart w:id="2612" w:name="_Toc40474452"/>
      <w:bookmarkStart w:id="2613" w:name="_Toc40477981"/>
      <w:bookmarkStart w:id="2614" w:name="_Toc40521561"/>
      <w:bookmarkStart w:id="2615" w:name="_Toc40530420"/>
      <w:bookmarkStart w:id="2616" w:name="_Toc42778847"/>
      <w:bookmarkStart w:id="2617" w:name="_Toc42779987"/>
      <w:bookmarkStart w:id="2618" w:name="_Toc42780416"/>
      <w:bookmarkStart w:id="2619" w:name="_Toc42786406"/>
      <w:bookmarkStart w:id="2620" w:name="_Toc42791899"/>
      <w:bookmarkStart w:id="2621" w:name="_Toc42792061"/>
      <w:bookmarkStart w:id="2622" w:name="_Toc43117868"/>
      <w:bookmarkStart w:id="2623" w:name="_Toc43121507"/>
      <w:bookmarkStart w:id="2624" w:name="_Toc43122712"/>
      <w:bookmarkStart w:id="2625" w:name="_Toc43127767"/>
      <w:bookmarkStart w:id="2626" w:name="_Toc45520514"/>
      <w:bookmarkStart w:id="2627" w:name="_Toc46133625"/>
      <w:r>
        <w:br w:type="page"/>
      </w:r>
    </w:p>
    <w:p w14:paraId="16EA7E03" w14:textId="77777777" w:rsidR="00B3792F" w:rsidRPr="00027624" w:rsidRDefault="00B3792F" w:rsidP="00B3792F">
      <w:pPr>
        <w:pStyle w:val="Heading2"/>
      </w:pPr>
      <w:r w:rsidRPr="00027624">
        <w:lastRenderedPageBreak/>
        <w:t>Prevalence of voluntary and involuntary retirement</w:t>
      </w:r>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p>
    <w:p w14:paraId="3CF10512" w14:textId="77777777" w:rsidR="00B3792F" w:rsidRPr="00027624" w:rsidRDefault="00B3792F" w:rsidP="00B3792F">
      <w:r w:rsidRPr="00027624">
        <w:t xml:space="preserve">The length of working life, the age at which people retire and the degree of choice over when people withdraw from the workforce all have a bearing on individual retirement outcomes. </w:t>
      </w:r>
    </w:p>
    <w:p w14:paraId="055C4BB8" w14:textId="0219E663" w:rsidR="00B3792F" w:rsidRPr="00027624" w:rsidRDefault="00B3792F" w:rsidP="00B3792F">
      <w:r w:rsidRPr="00027624">
        <w:rPr>
          <w:b/>
        </w:rPr>
        <w:t>People who stop work</w:t>
      </w:r>
      <w:r w:rsidRPr="00027624">
        <w:t xml:space="preserve"> </w:t>
      </w:r>
      <w:r w:rsidRPr="00027624">
        <w:rPr>
          <w:b/>
        </w:rPr>
        <w:t>at younger ages are more likely to do so involuntarily.</w:t>
      </w:r>
      <w:r w:rsidRPr="00027624">
        <w:t xml:space="preserve"> The ABS and HILDA Surveys</w:t>
      </w:r>
      <w:r w:rsidRPr="00027624">
        <w:rPr>
          <w:rStyle w:val="FootnoteReference"/>
        </w:rPr>
        <w:footnoteReference w:id="192"/>
      </w:r>
      <w:r w:rsidRPr="00027624">
        <w:t xml:space="preserve"> both measure the main reason for retiring.</w:t>
      </w:r>
      <w:r w:rsidRPr="00027624" w:rsidDel="0061295B">
        <w:t xml:space="preserve"> </w:t>
      </w:r>
      <w:r w:rsidRPr="00027624">
        <w:t>The HILDA Survey found 42 per cent of people retired involuntarily between 2012 and 2015.</w:t>
      </w:r>
      <w:r w:rsidRPr="00027624">
        <w:rPr>
          <w:rStyle w:val="FootnoteReference"/>
        </w:rPr>
        <w:footnoteReference w:id="193"/>
      </w:r>
      <w:r w:rsidRPr="00027624">
        <w:t xml:space="preserve"> The ABS survey found 37 per cent of people retired involuntarily between July 2013 and June 2019, with 28 per cent retiring involuntarily before age 65 and 8 per cent retiring involuntarily after this age </w:t>
      </w:r>
      <w:sdt>
        <w:sdtPr>
          <w:id w:val="1873722240"/>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rsidDel="002112FE">
        <w:t xml:space="preserve"> </w:t>
      </w:r>
      <w:r w:rsidRPr="00027624">
        <w:t>(</w:t>
      </w:r>
      <w:r w:rsidRPr="00027624">
        <w:fldChar w:fldCharType="begin"/>
      </w:r>
      <w:r w:rsidRPr="00027624">
        <w:instrText xml:space="preserve"> REF _Ref45146784 \w \h </w:instrText>
      </w:r>
      <w:r w:rsidR="00FA7639" w:rsidRPr="00027624">
        <w:instrText xml:space="preserve"> \* MERGEFORMAT </w:instrText>
      </w:r>
      <w:r w:rsidRPr="00027624">
        <w:fldChar w:fldCharType="separate"/>
      </w:r>
      <w:r w:rsidR="00891058">
        <w:t>Chart 3E-1</w:t>
      </w:r>
      <w:r w:rsidRPr="00027624">
        <w:fldChar w:fldCharType="end"/>
      </w:r>
      <w:r w:rsidRPr="00027624">
        <w:t>). Both surveys found own ill health was the most common reason for involuntary retirement, followed by job</w:t>
      </w:r>
      <w:r w:rsidR="00A8443E" w:rsidRPr="00027624">
        <w:noBreakHyphen/>
      </w:r>
      <w:r w:rsidRPr="00027624">
        <w:t xml:space="preserve">related issues and caring responsibilities. </w:t>
      </w:r>
    </w:p>
    <w:p w14:paraId="40D17A61" w14:textId="77777777" w:rsidR="00B3792F" w:rsidRPr="00027624" w:rsidRDefault="00B3792F" w:rsidP="00FC7361">
      <w:pPr>
        <w:pStyle w:val="ChartMainHeading"/>
        <w:numPr>
          <w:ilvl w:val="2"/>
          <w:numId w:val="49"/>
        </w:numPr>
      </w:pPr>
      <w:bookmarkStart w:id="2628" w:name="_Ref44588920"/>
      <w:bookmarkStart w:id="2629" w:name="_Ref45146784"/>
      <w:r w:rsidRPr="00027624">
        <w:t xml:space="preserve">Proportion of people retiring, by </w:t>
      </w:r>
      <w:bookmarkEnd w:id="2628"/>
      <w:bookmarkEnd w:id="2629"/>
      <w:r w:rsidRPr="00027624">
        <w:t>retirement age and reason</w:t>
      </w:r>
    </w:p>
    <w:p w14:paraId="3F50BF58" w14:textId="77777777" w:rsidR="00B3792F" w:rsidRPr="00027624" w:rsidRDefault="00E44B78" w:rsidP="00CC0B63">
      <w:pPr>
        <w:pStyle w:val="ChartGraphic"/>
      </w:pPr>
      <w:r>
        <w:rPr>
          <w:noProof/>
        </w:rPr>
        <w:drawing>
          <wp:inline distT="0" distB="0" distL="0" distR="0" wp14:anchorId="47332153" wp14:editId="0F9242CC">
            <wp:extent cx="5608320" cy="2486025"/>
            <wp:effectExtent l="0" t="0" r="0" b="9525"/>
            <wp:docPr id="815138327" name="Picture 815138327" descr="This chart shows that the most common ages for retirement are 60-64 and 65-69. More people retire involuntarily at younger ages (under 55 and 55-59) than at older ages." title="Chart 3E-1 Proportion of people retiring, by retirement age and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8320" cy="2486025"/>
                    </a:xfrm>
                    <a:prstGeom prst="rect">
                      <a:avLst/>
                    </a:prstGeom>
                    <a:noFill/>
                  </pic:spPr>
                </pic:pic>
              </a:graphicData>
            </a:graphic>
          </wp:inline>
        </w:drawing>
      </w:r>
    </w:p>
    <w:p w14:paraId="17C96039" w14:textId="77777777" w:rsidR="00B3792F" w:rsidRPr="00027624" w:rsidRDefault="00B3792F" w:rsidP="009516BB">
      <w:pPr>
        <w:pStyle w:val="ChartorTableNote"/>
        <w:rPr>
          <w:i/>
        </w:rPr>
      </w:pPr>
      <w:r w:rsidRPr="00027624">
        <w:t>Note: Proportion is of people who retired between July 2013 and June 2019. Assumes the age of retirement is equal to the age of ceasing last job. The reasons for involuntary retirement are split into own ill health, job</w:t>
      </w:r>
      <w:r w:rsidR="00A8443E" w:rsidRPr="00027624">
        <w:noBreakHyphen/>
      </w:r>
      <w:r w:rsidRPr="00027624">
        <w:t xml:space="preserve">related and caring responsibilities. Own ill health is from </w:t>
      </w:r>
      <w:r w:rsidR="00A8443E" w:rsidRPr="00027624">
        <w:t>‘</w:t>
      </w:r>
      <w:r w:rsidRPr="00027624">
        <w:t>own sickness, injury or disability</w:t>
      </w:r>
      <w:r w:rsidR="00A8443E" w:rsidRPr="00027624">
        <w:t>’</w:t>
      </w:r>
      <w:r w:rsidRPr="00027624">
        <w:t xml:space="preserve"> response. Job</w:t>
      </w:r>
      <w:r w:rsidR="00A8443E" w:rsidRPr="00027624">
        <w:noBreakHyphen/>
      </w:r>
      <w:r w:rsidRPr="00027624">
        <w:t xml:space="preserve">related is from </w:t>
      </w:r>
      <w:r w:rsidR="00A8443E" w:rsidRPr="00027624">
        <w:t>‘</w:t>
      </w:r>
      <w:r w:rsidRPr="00027624">
        <w:t>retrenched/dismissed/no work available</w:t>
      </w:r>
      <w:r w:rsidR="00A8443E" w:rsidRPr="00027624">
        <w:t>’</w:t>
      </w:r>
      <w:r w:rsidRPr="00027624">
        <w:t xml:space="preserve">, </w:t>
      </w:r>
      <w:r w:rsidR="00A8443E" w:rsidRPr="00027624">
        <w:t>‘</w:t>
      </w:r>
      <w:r w:rsidRPr="00027624">
        <w:t>own business closed down for economic reasons</w:t>
      </w:r>
      <w:r w:rsidR="00A8443E" w:rsidRPr="00027624">
        <w:t>’</w:t>
      </w:r>
      <w:r w:rsidRPr="00027624">
        <w:t xml:space="preserve">, and </w:t>
      </w:r>
      <w:r w:rsidR="00A8443E" w:rsidRPr="00027624">
        <w:t>‘</w:t>
      </w:r>
      <w:r w:rsidRPr="00027624">
        <w:t>unsatisfactory work arrangements</w:t>
      </w:r>
      <w:r w:rsidR="00A8443E" w:rsidRPr="00027624">
        <w:t>’</w:t>
      </w:r>
      <w:r w:rsidRPr="00027624">
        <w:t xml:space="preserve"> responses. Caring responsibilities is from </w:t>
      </w:r>
      <w:r w:rsidR="00A8443E" w:rsidRPr="00027624">
        <w:t>‘</w:t>
      </w:r>
      <w:r w:rsidRPr="00027624">
        <w:t>to care for children/pregnancy</w:t>
      </w:r>
      <w:r w:rsidR="00A8443E" w:rsidRPr="00027624">
        <w:t>’</w:t>
      </w:r>
      <w:r w:rsidRPr="00027624">
        <w:t xml:space="preserve"> and </w:t>
      </w:r>
      <w:r w:rsidR="00A8443E" w:rsidRPr="00027624">
        <w:t>‘</w:t>
      </w:r>
      <w:r w:rsidRPr="00027624">
        <w:t>to care for ill/disabled/elderly</w:t>
      </w:r>
      <w:r w:rsidR="00A8443E" w:rsidRPr="00027624">
        <w:t>’</w:t>
      </w:r>
      <w:r w:rsidRPr="00027624">
        <w:t xml:space="preserve"> responses. </w:t>
      </w:r>
      <w:r w:rsidRPr="00027624">
        <w:rPr>
          <w:iCs/>
        </w:rPr>
        <w:t xml:space="preserve">Given the small sample size of the two response options that make up the </w:t>
      </w:r>
      <w:r w:rsidR="00A8443E" w:rsidRPr="00027624">
        <w:rPr>
          <w:iCs/>
        </w:rPr>
        <w:t>‘</w:t>
      </w:r>
      <w:r w:rsidRPr="00027624">
        <w:rPr>
          <w:iCs/>
        </w:rPr>
        <w:t>caring responsibilities</w:t>
      </w:r>
      <w:r w:rsidR="00A8443E" w:rsidRPr="00027624">
        <w:rPr>
          <w:iCs/>
        </w:rPr>
        <w:t>’</w:t>
      </w:r>
      <w:r w:rsidRPr="00027624">
        <w:rPr>
          <w:iCs/>
        </w:rPr>
        <w:t xml:space="preserve"> category, these figures should be used with caution.</w:t>
      </w:r>
      <w:r w:rsidRPr="00027624">
        <w:t xml:space="preserve"> Source: Analysis of </w:t>
      </w:r>
      <w:sdt>
        <w:sdtPr>
          <w:id w:val="246627824"/>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237D289A" w14:textId="77777777" w:rsidR="00B3792F" w:rsidRPr="00027624" w:rsidRDefault="00B3792F" w:rsidP="00B3792F">
      <w:r w:rsidRPr="00027624">
        <w:rPr>
          <w:szCs w:val="22"/>
        </w:rPr>
        <w:t>T</w:t>
      </w:r>
      <w:r w:rsidRPr="00027624">
        <w:t xml:space="preserve">he surveys </w:t>
      </w:r>
      <w:r w:rsidRPr="00027624">
        <w:rPr>
          <w:szCs w:val="22"/>
        </w:rPr>
        <w:t xml:space="preserve">differed </w:t>
      </w:r>
      <w:r w:rsidRPr="00027624">
        <w:t>over the common reasons for voluntary retirement:</w:t>
      </w:r>
    </w:p>
    <w:p w14:paraId="138B50C6" w14:textId="77777777" w:rsidR="00B3792F" w:rsidRPr="000F2751" w:rsidRDefault="00B3792F" w:rsidP="000F2751">
      <w:pPr>
        <w:pStyle w:val="Bullet"/>
      </w:pPr>
      <w:r w:rsidRPr="00027624">
        <w:t xml:space="preserve">HILDA </w:t>
      </w:r>
      <w:r w:rsidRPr="000F2751">
        <w:t>Survey top reasons:</w:t>
      </w:r>
      <w:r w:rsidRPr="00CC0B63">
        <w:rPr>
          <w:rStyle w:val="FootnoteReference"/>
          <w:sz w:val="22"/>
        </w:rPr>
        <w:footnoteReference w:id="194"/>
      </w:r>
      <w:r w:rsidRPr="000F2751">
        <w:t xml:space="preserve"> </w:t>
      </w:r>
      <w:r w:rsidR="00A8443E" w:rsidRPr="000F2751">
        <w:t>‘</w:t>
      </w:r>
      <w:r w:rsidRPr="000F2751">
        <w:t>fed up with working/work stresses, demands</w:t>
      </w:r>
      <w:r w:rsidR="00A8443E" w:rsidRPr="000F2751">
        <w:t>’</w:t>
      </w:r>
      <w:r w:rsidRPr="000F2751">
        <w:t xml:space="preserve">, </w:t>
      </w:r>
      <w:r w:rsidR="00A8443E" w:rsidRPr="000F2751">
        <w:t>‘</w:t>
      </w:r>
      <w:r w:rsidRPr="000F2751">
        <w:t>to have more personal/leisure time</w:t>
      </w:r>
      <w:r w:rsidR="00A8443E" w:rsidRPr="000F2751">
        <w:t>’</w:t>
      </w:r>
      <w:r w:rsidRPr="000F2751">
        <w:t xml:space="preserve"> and </w:t>
      </w:r>
      <w:r w:rsidR="00A8443E" w:rsidRPr="000F2751">
        <w:t>‘</w:t>
      </w:r>
      <w:r w:rsidRPr="000F2751">
        <w:t>could afford to retire/had enough income</w:t>
      </w:r>
      <w:r w:rsidR="00A8443E" w:rsidRPr="000F2751">
        <w:t>’</w:t>
      </w:r>
      <w:r w:rsidRPr="000F2751">
        <w:t>.</w:t>
      </w:r>
    </w:p>
    <w:p w14:paraId="62A67194" w14:textId="77777777" w:rsidR="00B3792F" w:rsidRPr="00027624" w:rsidRDefault="00B3792F" w:rsidP="000F2751">
      <w:pPr>
        <w:pStyle w:val="Bullet"/>
      </w:pPr>
      <w:r w:rsidRPr="000F2751">
        <w:t>ABS survey top</w:t>
      </w:r>
      <w:r w:rsidRPr="00027624">
        <w:t xml:space="preserve"> reason:</w:t>
      </w:r>
      <w:r w:rsidRPr="00027624">
        <w:rPr>
          <w:rStyle w:val="FootnoteReference"/>
        </w:rPr>
        <w:footnoteReference w:id="195"/>
      </w:r>
      <w:r w:rsidRPr="00027624">
        <w:t xml:space="preserve"> </w:t>
      </w:r>
      <w:r w:rsidR="00A8443E" w:rsidRPr="00027624">
        <w:t>‘</w:t>
      </w:r>
      <w:r w:rsidRPr="00027624">
        <w:t>reached retirement age/eligible for superannuation/pension</w:t>
      </w:r>
      <w:r w:rsidR="00A8443E" w:rsidRPr="00027624">
        <w:t>’</w:t>
      </w:r>
      <w:r w:rsidRPr="00027624">
        <w:t>.</w:t>
      </w:r>
    </w:p>
    <w:p w14:paraId="266016B4" w14:textId="77777777" w:rsidR="00B3792F" w:rsidRPr="00027624" w:rsidRDefault="00B3792F" w:rsidP="00B3792F">
      <w:r w:rsidRPr="00027624">
        <w:t xml:space="preserve">These divergent results may be due to differences in the way the surveys were worded. The ABS did not offer </w:t>
      </w:r>
      <w:r w:rsidR="00A8443E" w:rsidRPr="00027624">
        <w:t>‘</w:t>
      </w:r>
      <w:r w:rsidRPr="00027624">
        <w:t>could afford to retire</w:t>
      </w:r>
      <w:r w:rsidR="00A8443E" w:rsidRPr="00027624">
        <w:t>’</w:t>
      </w:r>
      <w:r w:rsidRPr="00027624">
        <w:t xml:space="preserve"> as a response option. Whereas, the HILDA Survey offered both </w:t>
      </w:r>
      <w:r w:rsidR="00A8443E" w:rsidRPr="00027624">
        <w:t>‘</w:t>
      </w:r>
      <w:r w:rsidRPr="00027624">
        <w:t xml:space="preserve">could </w:t>
      </w:r>
      <w:r w:rsidRPr="00027624">
        <w:lastRenderedPageBreak/>
        <w:t>afford to retire</w:t>
      </w:r>
      <w:r w:rsidR="00A8443E" w:rsidRPr="00027624">
        <w:t>’</w:t>
      </w:r>
      <w:r w:rsidRPr="00027624">
        <w:t xml:space="preserve"> and </w:t>
      </w:r>
      <w:r w:rsidR="00A8443E" w:rsidRPr="00027624">
        <w:t>‘</w:t>
      </w:r>
      <w:r w:rsidRPr="00027624">
        <w:t>became eligible for the old age pension</w:t>
      </w:r>
      <w:r w:rsidR="00A8443E" w:rsidRPr="00027624">
        <w:t>’</w:t>
      </w:r>
      <w:r w:rsidRPr="00027624">
        <w:t xml:space="preserve">. Given someone may consider they can afford to retire when they become eligible for the Age Pension, these overlapping choices may have split the results. </w:t>
      </w:r>
    </w:p>
    <w:p w14:paraId="4F53CC5C" w14:textId="77777777" w:rsidR="00B3792F" w:rsidRPr="00CC0B63" w:rsidRDefault="00B3792F" w:rsidP="00CC0B63">
      <w:pPr>
        <w:rPr>
          <w:b/>
          <w:bCs/>
        </w:rPr>
      </w:pPr>
      <w:r w:rsidRPr="00027624">
        <w:rPr>
          <w:b/>
          <w:bCs/>
        </w:rPr>
        <w:t>Although involuntary retirement has gradually decreased over time, its incidence remains high.</w:t>
      </w:r>
      <w:r w:rsidRPr="00027624">
        <w:t xml:space="preserve"> The ABS survey found </w:t>
      </w:r>
      <w:r w:rsidRPr="00027624">
        <w:rPr>
          <w:bCs/>
        </w:rPr>
        <w:t>around 46</w:t>
      </w:r>
      <w:r w:rsidRPr="00027624">
        <w:t> per cent of retirements were involuntary between August 1984 and June 2005</w:t>
      </w:r>
      <w:r w:rsidR="00A8443E" w:rsidRPr="00027624">
        <w:t xml:space="preserve"> — </w:t>
      </w:r>
      <w:r w:rsidRPr="00027624">
        <w:t xml:space="preserve">9 percentage points higher than between July 2013 and June 2019 </w:t>
      </w:r>
      <w:sdt>
        <w:sdtPr>
          <w:id w:val="215947987"/>
          <w:citation/>
        </w:sdtPr>
        <w:sdtEndPr/>
        <w:sdtContent>
          <w:r w:rsidRPr="00027624">
            <w:fldChar w:fldCharType="begin"/>
          </w:r>
          <w:r w:rsidR="00F9343A">
            <w:instrText xml:space="preserve">CITATION ABSR20 \m ABS06 \l 3081 </w:instrText>
          </w:r>
          <w:r w:rsidRPr="00027624">
            <w:fldChar w:fldCharType="separate"/>
          </w:r>
          <w:r w:rsidR="00E83F6E">
            <w:rPr>
              <w:noProof/>
            </w:rPr>
            <w:t>(ABS, 2020p; ABS, 2006b)</w:t>
          </w:r>
          <w:r w:rsidRPr="00027624">
            <w:fldChar w:fldCharType="end"/>
          </w:r>
        </w:sdtContent>
      </w:sdt>
      <w:r w:rsidRPr="00027624">
        <w:t>. Similarly, the HILDA Survey found the incidence of involuntary retirement was 17 percentage points higher, at 59 per cent of retirements, between 2001 and 2003</w:t>
      </w:r>
      <w:r w:rsidRPr="00027624">
        <w:rPr>
          <w:noProof/>
        </w:rPr>
        <w:t xml:space="preserve"> </w:t>
      </w:r>
      <w:r w:rsidRPr="00027624">
        <w:t>than between 2012 and 2015.</w:t>
      </w:r>
      <w:r w:rsidRPr="00027624">
        <w:rPr>
          <w:rStyle w:val="FootnoteReference"/>
        </w:rPr>
        <w:footnoteReference w:id="196"/>
      </w:r>
      <w:r w:rsidRPr="00027624">
        <w:t xml:space="preserve"> This more recent trend could be due to a stronger labour market, employers becoming more willing to employ older workers, increased share of the workforce in white</w:t>
      </w:r>
      <w:r w:rsidR="00A8443E" w:rsidRPr="00027624">
        <w:noBreakHyphen/>
      </w:r>
      <w:r w:rsidRPr="00027624">
        <w:t xml:space="preserve">collar occupations </w:t>
      </w:r>
      <w:sdt>
        <w:sdtPr>
          <w:id w:val="503092487"/>
          <w:citation/>
        </w:sdtPr>
        <w:sdtEndPr/>
        <w:sdtContent>
          <w:r w:rsidRPr="00027624">
            <w:fldChar w:fldCharType="begin"/>
          </w:r>
          <w:r w:rsidRPr="00027624">
            <w:instrText xml:space="preserve">CITATION ABS11 \l 3081 </w:instrText>
          </w:r>
          <w:r w:rsidRPr="00027624">
            <w:fldChar w:fldCharType="separate"/>
          </w:r>
          <w:r w:rsidR="00E83F6E">
            <w:rPr>
              <w:noProof/>
            </w:rPr>
            <w:t>(ABS, 2011b)</w:t>
          </w:r>
          <w:r w:rsidRPr="00027624">
            <w:fldChar w:fldCharType="end"/>
          </w:r>
        </w:sdtContent>
      </w:sdt>
      <w:r w:rsidRPr="00027624">
        <w:t xml:space="preserve"> and/or improved health over the period. The Australian Institute of Health and Welfare found the number of expected years living without disability increased for men and women between 2003 and 2015</w:t>
      </w:r>
      <w:sdt>
        <w:sdtPr>
          <w:id w:val="-1755812062"/>
          <w:citation/>
        </w:sdtPr>
        <w:sdtEndPr/>
        <w:sdtContent>
          <w:r w:rsidR="004C63C9" w:rsidRPr="00027624">
            <w:fldChar w:fldCharType="begin"/>
          </w:r>
          <w:r w:rsidR="004C63C9" w:rsidRPr="00027624">
            <w:instrText xml:space="preserve"> CITATION AIH17 \l 3081 </w:instrText>
          </w:r>
          <w:r w:rsidR="004C63C9" w:rsidRPr="00027624">
            <w:fldChar w:fldCharType="separate"/>
          </w:r>
          <w:r w:rsidR="00E83F6E">
            <w:rPr>
              <w:noProof/>
            </w:rPr>
            <w:t xml:space="preserve"> (Australian Institute of Health and Welfare, 2017)</w:t>
          </w:r>
          <w:r w:rsidR="004C63C9" w:rsidRPr="00027624">
            <w:fldChar w:fldCharType="end"/>
          </w:r>
        </w:sdtContent>
      </w:sdt>
      <w:r w:rsidRPr="00027624">
        <w:t xml:space="preserve">. </w:t>
      </w:r>
    </w:p>
    <w:p w14:paraId="5CD3BE83" w14:textId="77777777" w:rsidR="00B3792F" w:rsidRPr="00027624" w:rsidRDefault="00B3792F" w:rsidP="00B3792F">
      <w:r w:rsidRPr="00027624">
        <w:t>The proportion of people retiring involuntarily</w:t>
      </w:r>
      <w:r w:rsidRPr="00027624" w:rsidDel="0035707B">
        <w:t xml:space="preserve"> </w:t>
      </w:r>
      <w:r w:rsidRPr="00027624">
        <w:t>may increase as a result of the economic and financial impact of</w:t>
      </w:r>
      <w:r w:rsidRPr="00027624" w:rsidDel="00AE021F">
        <w:t xml:space="preserve"> </w:t>
      </w:r>
      <w:r w:rsidRPr="00027624">
        <w:t>the COVID</w:t>
      </w:r>
      <w:r w:rsidR="00A8443E" w:rsidRPr="00027624">
        <w:noBreakHyphen/>
      </w:r>
      <w:r w:rsidRPr="00027624">
        <w:t>19 Pandemic. An increase in unemployment and more competitive labour market conditions may drive more people to retire earlier than planned. This was seen in the years following the GFC, when the HILDA Survey found the proportion of people retiring involuntarily increased.</w:t>
      </w:r>
      <w:r w:rsidRPr="00027624">
        <w:rPr>
          <w:rStyle w:val="FootnoteReference"/>
        </w:rPr>
        <w:footnoteReference w:id="197"/>
      </w:r>
    </w:p>
    <w:p w14:paraId="4240804E" w14:textId="77777777" w:rsidR="00B3792F" w:rsidRPr="00027624" w:rsidRDefault="00B3792F" w:rsidP="00B3792F">
      <w:r w:rsidRPr="00027624">
        <w:t>The fall in the value of retirement savings will also likely mean some people who would have otherwise retired voluntarily will now work longer to improve their financial position.</w:t>
      </w:r>
    </w:p>
    <w:p w14:paraId="3F870C93" w14:textId="77777777" w:rsidR="00B3792F" w:rsidRPr="00027624" w:rsidRDefault="00B3792F" w:rsidP="00B3792F">
      <w:pPr>
        <w:pStyle w:val="Heading2"/>
      </w:pPr>
      <w:bookmarkStart w:id="2630" w:name="_Toc40281853"/>
      <w:bookmarkStart w:id="2631" w:name="_Toc40282073"/>
      <w:bookmarkStart w:id="2632" w:name="_Toc40366174"/>
      <w:bookmarkStart w:id="2633" w:name="_Toc40369720"/>
      <w:bookmarkStart w:id="2634" w:name="_Toc40427876"/>
      <w:bookmarkStart w:id="2635" w:name="_Toc40458129"/>
      <w:bookmarkStart w:id="2636" w:name="_Toc40461898"/>
      <w:bookmarkStart w:id="2637" w:name="_Toc40474453"/>
      <w:bookmarkStart w:id="2638" w:name="_Toc40477982"/>
      <w:bookmarkStart w:id="2639" w:name="_Toc40521562"/>
      <w:bookmarkStart w:id="2640" w:name="_Toc40530421"/>
      <w:bookmarkStart w:id="2641" w:name="_Toc42778848"/>
      <w:bookmarkStart w:id="2642" w:name="_Toc42779988"/>
      <w:bookmarkStart w:id="2643" w:name="_Toc42780417"/>
      <w:bookmarkStart w:id="2644" w:name="_Toc42786407"/>
      <w:bookmarkStart w:id="2645" w:name="_Toc42791900"/>
      <w:bookmarkStart w:id="2646" w:name="_Toc42792062"/>
      <w:bookmarkStart w:id="2647" w:name="_Toc43117869"/>
      <w:bookmarkStart w:id="2648" w:name="_Toc43121508"/>
      <w:bookmarkStart w:id="2649" w:name="_Toc43122713"/>
      <w:bookmarkStart w:id="2650" w:name="_Toc43127768"/>
      <w:bookmarkStart w:id="2651" w:name="_Toc45520515"/>
      <w:bookmarkStart w:id="2652" w:name="_Toc46133626"/>
      <w:r w:rsidRPr="00027624">
        <w:t>Retirement age and reason for retirement among cohorts</w:t>
      </w:r>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p>
    <w:p w14:paraId="3AFA2DE2" w14:textId="77777777" w:rsidR="00B3792F" w:rsidRPr="00027624" w:rsidRDefault="00B3792F" w:rsidP="00B3792F">
      <w:r w:rsidRPr="00027624">
        <w:t>Some people are more likely to retire early and for different reasons, depending on their gender, wealth, education level and occupation.</w:t>
      </w:r>
      <w:r w:rsidRPr="00027624">
        <w:rPr>
          <w:rStyle w:val="FootnoteReference"/>
        </w:rPr>
        <w:footnoteReference w:id="198"/>
      </w:r>
    </w:p>
    <w:p w14:paraId="2ABEFFB5" w14:textId="77777777" w:rsidR="00B3792F" w:rsidRPr="00027624" w:rsidRDefault="00B3792F" w:rsidP="00B3792F">
      <w:pPr>
        <w:pStyle w:val="Heading3"/>
      </w:pPr>
      <w:bookmarkStart w:id="2653" w:name="_Toc40281854"/>
      <w:bookmarkStart w:id="2654" w:name="_Toc40282074"/>
      <w:bookmarkStart w:id="2655" w:name="_Toc40366175"/>
      <w:bookmarkStart w:id="2656" w:name="_Toc40369721"/>
      <w:bookmarkStart w:id="2657" w:name="_Toc40427877"/>
      <w:bookmarkStart w:id="2658" w:name="_Toc40458130"/>
      <w:bookmarkStart w:id="2659" w:name="_Toc40461899"/>
      <w:bookmarkStart w:id="2660" w:name="_Toc40474454"/>
      <w:bookmarkStart w:id="2661" w:name="_Toc40477983"/>
      <w:bookmarkStart w:id="2662" w:name="_Toc40521563"/>
      <w:bookmarkStart w:id="2663" w:name="_Toc40530422"/>
      <w:bookmarkStart w:id="2664" w:name="_Toc42778849"/>
      <w:bookmarkStart w:id="2665" w:name="_Toc42779989"/>
      <w:bookmarkStart w:id="2666" w:name="_Toc42780418"/>
      <w:bookmarkStart w:id="2667" w:name="_Toc42786408"/>
      <w:bookmarkStart w:id="2668" w:name="_Toc42791901"/>
      <w:bookmarkStart w:id="2669" w:name="_Toc42792063"/>
      <w:bookmarkStart w:id="2670" w:name="_Toc43117870"/>
      <w:bookmarkStart w:id="2671" w:name="_Toc43121509"/>
      <w:bookmarkStart w:id="2672" w:name="_Toc43122714"/>
      <w:bookmarkStart w:id="2673" w:name="_Toc43127769"/>
      <w:r w:rsidRPr="00027624">
        <w:t>Gender</w:t>
      </w:r>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p>
    <w:p w14:paraId="7C649CF7" w14:textId="6BBD2305" w:rsidR="00B3792F" w:rsidRDefault="00B3792F" w:rsidP="00B3792F">
      <w:r w:rsidRPr="00027624">
        <w:t>Data shows in recent years around the same proportion of men and women re</w:t>
      </w:r>
      <w:r w:rsidR="00F901D6" w:rsidRPr="00027624">
        <w:t>tired involuntarily</w:t>
      </w:r>
      <w:r w:rsidRPr="00027624">
        <w:t xml:space="preserve"> (</w:t>
      </w:r>
      <w:r w:rsidRPr="00027624">
        <w:fldChar w:fldCharType="begin"/>
      </w:r>
      <w:r w:rsidRPr="00027624">
        <w:instrText xml:space="preserve"> REF _Ref45147048 \w \h  \* MERGEFORMAT </w:instrText>
      </w:r>
      <w:r w:rsidRPr="00027624">
        <w:fldChar w:fldCharType="separate"/>
      </w:r>
      <w:r w:rsidR="00891058">
        <w:t>Chart 3E-2</w:t>
      </w:r>
      <w:r w:rsidRPr="00027624">
        <w:fldChar w:fldCharType="end"/>
      </w:r>
      <w:r w:rsidRPr="00027624">
        <w:t>). A similar proportion of men and women retired involuntarily due to own ill health and job</w:t>
      </w:r>
      <w:r w:rsidR="00A8443E" w:rsidRPr="00027624">
        <w:noBreakHyphen/>
      </w:r>
      <w:r w:rsidRPr="00027624">
        <w:t xml:space="preserve">related issues. </w:t>
      </w:r>
      <w:r w:rsidR="00F45F7F">
        <w:t>W</w:t>
      </w:r>
      <w:r w:rsidRPr="00027624">
        <w:t xml:space="preserve">omen were </w:t>
      </w:r>
      <w:r w:rsidR="00F45F7F">
        <w:t xml:space="preserve">slightly </w:t>
      </w:r>
      <w:r w:rsidRPr="00027624">
        <w:t>more likely to retire involuntarily due to caring responsibilities. Of those men and women who retired voluntarily, the most common reason for both groups was being able to access their superannuation or the Age Pension. Additionally, relatively more women retired to have a holiday/pursue leisure activities or to coincide with their partner</w:t>
      </w:r>
      <w:r w:rsidR="00A8443E" w:rsidRPr="00027624">
        <w:t>’</w:t>
      </w:r>
      <w:r w:rsidRPr="00027624">
        <w:t xml:space="preserve">s retirement than men </w:t>
      </w:r>
      <w:sdt>
        <w:sdtPr>
          <w:id w:val="2022042347"/>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3AE6A43F" w14:textId="77777777" w:rsidR="00835E24" w:rsidRPr="00027624" w:rsidRDefault="00835E24" w:rsidP="00B3792F">
      <w:r w:rsidRPr="00027624">
        <w:t xml:space="preserve">Women tend to retire one to three years earlier than men, on average (see </w:t>
      </w:r>
      <w:r w:rsidRPr="00027624">
        <w:rPr>
          <w:i/>
        </w:rPr>
        <w:t>1A. What is retirement?</w:t>
      </w:r>
      <w:r w:rsidRPr="00027624">
        <w:t>)</w:t>
      </w:r>
      <w:r w:rsidRPr="00027624">
        <w:rPr>
          <w:i/>
        </w:rPr>
        <w:t>.</w:t>
      </w:r>
    </w:p>
    <w:p w14:paraId="3D37C9BF" w14:textId="77777777" w:rsidR="00B3792F" w:rsidRPr="00027624" w:rsidRDefault="00B3792F" w:rsidP="00582C3E">
      <w:pPr>
        <w:pStyle w:val="ChartMainHeading"/>
      </w:pPr>
      <w:bookmarkStart w:id="2674" w:name="_Ref45147048"/>
      <w:r w:rsidRPr="00027624">
        <w:lastRenderedPageBreak/>
        <w:t>Proportion of people retiring, by reason for retirement and gender</w:t>
      </w:r>
      <w:bookmarkEnd w:id="2674"/>
    </w:p>
    <w:p w14:paraId="20437B75" w14:textId="77777777" w:rsidR="00B3792F" w:rsidRPr="00027624" w:rsidRDefault="00D67A15" w:rsidP="00AB03E9">
      <w:pPr>
        <w:pStyle w:val="ChartGraphic"/>
      </w:pPr>
      <w:r>
        <w:rPr>
          <w:noProof/>
        </w:rPr>
        <w:drawing>
          <wp:inline distT="0" distB="0" distL="0" distR="0" wp14:anchorId="7919572F" wp14:editId="5C32A66D">
            <wp:extent cx="5585460" cy="2522220"/>
            <wp:effectExtent l="0" t="0" r="0" b="0"/>
            <wp:docPr id="771978726" name="Picture 771978726" descr="This chart shows that a similar proportion of men and women retired voluntarily and involuntarily. Women were slightly less likely to retire involuntarily for job related and ill-health reasons and slightly more likely to retire involuntarily due to caring responsibilities. " title="Chart 3E-2 Proportion of people retiring, by reason for retirement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57E3ED87" w14:textId="77777777" w:rsidR="00B3792F" w:rsidRPr="00027624" w:rsidRDefault="00B3792F" w:rsidP="009516BB">
      <w:pPr>
        <w:pStyle w:val="ChartorTableNote"/>
        <w:spacing w:after="120"/>
        <w:rPr>
          <w:szCs w:val="18"/>
        </w:rPr>
      </w:pPr>
      <w:r w:rsidRPr="00027624">
        <w:t xml:space="preserve">Note: </w:t>
      </w:r>
      <w:r w:rsidRPr="00027624">
        <w:rPr>
          <w:szCs w:val="18"/>
        </w:rPr>
        <w:t xml:space="preserve">Proportion is of </w:t>
      </w:r>
      <w:r w:rsidRPr="00027624">
        <w:t xml:space="preserve">people </w:t>
      </w:r>
      <w:r w:rsidRPr="00027624">
        <w:rPr>
          <w:szCs w:val="18"/>
        </w:rPr>
        <w:t xml:space="preserve">who retired between July 2013 and June 2019. Does not include people who selected </w:t>
      </w:r>
      <w:r w:rsidR="00A8443E" w:rsidRPr="00027624">
        <w:rPr>
          <w:szCs w:val="18"/>
        </w:rPr>
        <w:t>‘</w:t>
      </w:r>
      <w:r w:rsidRPr="00027624">
        <w:rPr>
          <w:szCs w:val="18"/>
        </w:rPr>
        <w:t>other</w:t>
      </w:r>
      <w:r w:rsidR="00A8443E" w:rsidRPr="00027624">
        <w:rPr>
          <w:szCs w:val="18"/>
        </w:rPr>
        <w:t>’</w:t>
      </w:r>
      <w:r w:rsidRPr="00027624">
        <w:rPr>
          <w:szCs w:val="18"/>
        </w:rPr>
        <w:t xml:space="preserve"> reason for retirement and therefore does not sum to 100. Around 10 per cent of men and women selected </w:t>
      </w:r>
      <w:r w:rsidR="00A8443E" w:rsidRPr="00027624">
        <w:rPr>
          <w:szCs w:val="18"/>
        </w:rPr>
        <w:t>‘</w:t>
      </w:r>
      <w:r w:rsidRPr="00027624">
        <w:rPr>
          <w:szCs w:val="18"/>
        </w:rPr>
        <w:t>other</w:t>
      </w:r>
      <w:r w:rsidR="00A8443E" w:rsidRPr="00027624">
        <w:rPr>
          <w:szCs w:val="18"/>
        </w:rPr>
        <w:t>’</w:t>
      </w:r>
      <w:r w:rsidRPr="00027624">
        <w:rPr>
          <w:szCs w:val="18"/>
        </w:rPr>
        <w:t xml:space="preserve"> reason for retirement. </w:t>
      </w:r>
      <w:r w:rsidRPr="00027624">
        <w:rPr>
          <w:iCs/>
          <w:szCs w:val="18"/>
        </w:rPr>
        <w:t xml:space="preserve">Given the small sample size of the two response options that make up the </w:t>
      </w:r>
      <w:r w:rsidR="00A8443E" w:rsidRPr="00027624">
        <w:rPr>
          <w:iCs/>
          <w:szCs w:val="18"/>
        </w:rPr>
        <w:t>‘</w:t>
      </w:r>
      <w:r w:rsidRPr="00027624">
        <w:rPr>
          <w:iCs/>
          <w:szCs w:val="18"/>
        </w:rPr>
        <w:t>caring responsibilities</w:t>
      </w:r>
      <w:r w:rsidR="00A8443E" w:rsidRPr="00027624">
        <w:rPr>
          <w:iCs/>
          <w:szCs w:val="18"/>
        </w:rPr>
        <w:t>’</w:t>
      </w:r>
      <w:r w:rsidRPr="00027624">
        <w:rPr>
          <w:iCs/>
          <w:szCs w:val="18"/>
        </w:rPr>
        <w:t xml:space="preserve"> category, these figures should be used with caution.</w:t>
      </w:r>
      <w:r w:rsidRPr="00027624">
        <w:rPr>
          <w:szCs w:val="18"/>
        </w:rPr>
        <w:t xml:space="preserve"> Source</w:t>
      </w:r>
      <w:r w:rsidRPr="00027624">
        <w:t xml:space="preserve">: Analysis of </w:t>
      </w:r>
      <w:sdt>
        <w:sdtPr>
          <w:id w:val="-2028778920"/>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5E1C2C75" w14:textId="77777777" w:rsidR="00B3792F" w:rsidRPr="00027624" w:rsidRDefault="00B3792F" w:rsidP="00B3792F">
      <w:pPr>
        <w:pStyle w:val="Heading3"/>
      </w:pPr>
      <w:bookmarkStart w:id="2675" w:name="_Toc40281855"/>
      <w:bookmarkStart w:id="2676" w:name="_Toc40282075"/>
      <w:bookmarkStart w:id="2677" w:name="_Toc40366176"/>
      <w:bookmarkStart w:id="2678" w:name="_Toc40369722"/>
      <w:bookmarkStart w:id="2679" w:name="_Toc40427878"/>
      <w:bookmarkStart w:id="2680" w:name="_Toc40458131"/>
      <w:bookmarkStart w:id="2681" w:name="_Toc40461900"/>
      <w:bookmarkStart w:id="2682" w:name="_Toc40474455"/>
      <w:bookmarkStart w:id="2683" w:name="_Toc40477984"/>
      <w:bookmarkStart w:id="2684" w:name="_Toc40521564"/>
      <w:bookmarkStart w:id="2685" w:name="_Toc40530423"/>
      <w:bookmarkStart w:id="2686" w:name="_Toc42778850"/>
      <w:bookmarkStart w:id="2687" w:name="_Toc42779990"/>
      <w:bookmarkStart w:id="2688" w:name="_Toc42780419"/>
      <w:bookmarkStart w:id="2689" w:name="_Toc42786409"/>
      <w:bookmarkStart w:id="2690" w:name="_Toc42791902"/>
      <w:bookmarkStart w:id="2691" w:name="_Toc42792064"/>
      <w:bookmarkStart w:id="2692" w:name="_Toc43117871"/>
      <w:bookmarkStart w:id="2693" w:name="_Toc43121510"/>
      <w:bookmarkStart w:id="2694" w:name="_Toc43122715"/>
      <w:bookmarkStart w:id="2695" w:name="_Toc43127770"/>
      <w:r w:rsidRPr="00027624">
        <w:t>Wealth</w:t>
      </w:r>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r w:rsidRPr="00027624">
        <w:t xml:space="preserve"> </w:t>
      </w:r>
    </w:p>
    <w:p w14:paraId="79E26B3A" w14:textId="514B47E8" w:rsidR="00B3792F" w:rsidRPr="00027624" w:rsidRDefault="00B3792F" w:rsidP="00B3792F">
      <w:r w:rsidRPr="00027624">
        <w:rPr>
          <w:b/>
          <w:bCs/>
        </w:rPr>
        <w:t>People with higher wealth are significantly less likely to retire involuntarily</w:t>
      </w:r>
      <w:r w:rsidRPr="00027624">
        <w:t xml:space="preserve"> (</w:t>
      </w:r>
      <w:r w:rsidRPr="00027624">
        <w:fldChar w:fldCharType="begin"/>
      </w:r>
      <w:r w:rsidRPr="00027624">
        <w:instrText xml:space="preserve"> REF _Ref35863586 \r \h  \* MERGEFORMAT </w:instrText>
      </w:r>
      <w:r w:rsidRPr="00027624">
        <w:fldChar w:fldCharType="separate"/>
      </w:r>
      <w:r w:rsidR="00891058">
        <w:t>Chart 3E-3</w:t>
      </w:r>
      <w:r w:rsidRPr="00027624">
        <w:fldChar w:fldCharType="end"/>
      </w:r>
      <w:r w:rsidRPr="00027624">
        <w:t>).</w:t>
      </w:r>
      <w:r w:rsidRPr="00027624">
        <w:rPr>
          <w:rStyle w:val="FootnoteReference"/>
        </w:rPr>
        <w:footnoteReference w:id="199"/>
      </w:r>
      <w:r w:rsidRPr="00027624">
        <w:t xml:space="preserve"> This suggests that, if the preservation or Age Pension eligibility ages were to increase, it would more likely affect people with lower wealth. Higher</w:t>
      </w:r>
      <w:r w:rsidR="00A8443E" w:rsidRPr="00027624">
        <w:noBreakHyphen/>
      </w:r>
      <w:r w:rsidRPr="00027624">
        <w:t>wealth people are also more likely to be able to respond to incentives for older workforce participation.</w:t>
      </w:r>
    </w:p>
    <w:p w14:paraId="7E389165" w14:textId="77777777" w:rsidR="00B3792F" w:rsidRPr="00027624" w:rsidRDefault="00B3792F" w:rsidP="00582C3E">
      <w:pPr>
        <w:pStyle w:val="ChartMainHeading"/>
        <w:rPr>
          <w:szCs w:val="22"/>
        </w:rPr>
      </w:pPr>
      <w:bookmarkStart w:id="2696" w:name="_Ref35863586"/>
      <w:r w:rsidRPr="00027624">
        <w:rPr>
          <w:szCs w:val="22"/>
        </w:rPr>
        <w:t>Proportion of people involuntarily retiring, by wealth quintile</w:t>
      </w:r>
      <w:bookmarkEnd w:id="2696"/>
    </w:p>
    <w:p w14:paraId="5B2EBD4F" w14:textId="77777777" w:rsidR="00B3792F" w:rsidRPr="00027624" w:rsidRDefault="0089139A" w:rsidP="009516BB">
      <w:pPr>
        <w:pStyle w:val="ChartGraphic"/>
      </w:pPr>
      <w:r>
        <w:rPr>
          <w:noProof/>
        </w:rPr>
        <w:drawing>
          <wp:inline distT="0" distB="0" distL="0" distR="0" wp14:anchorId="1E278349" wp14:editId="6CE43945">
            <wp:extent cx="5585460" cy="2522220"/>
            <wp:effectExtent l="0" t="0" r="0" b="0"/>
            <wp:docPr id="255367776" name="Picture 255367776" descr="This chart shows that the proportion of people involuntarily retiring declines as wealth increases, with around 80 per cent of those in the 1st wealth quintile retiring involuntarily, while around 25 per cent of those in the 5th wealth quintile retired involuntarily." title="Chart 3E-3 Proportion of people involuntarily retiring, by wealth qui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2B217603" w14:textId="77777777" w:rsidR="00B3792F" w:rsidRPr="00027624" w:rsidRDefault="00B3792F" w:rsidP="009516BB">
      <w:pPr>
        <w:pStyle w:val="ChartorTableNote"/>
        <w:spacing w:after="120"/>
      </w:pPr>
      <w:r w:rsidRPr="00027624">
        <w:t xml:space="preserve">Note: </w:t>
      </w:r>
      <w:r w:rsidRPr="00027624">
        <w:rPr>
          <w:szCs w:val="18"/>
        </w:rPr>
        <w:t xml:space="preserve">Proportion is of </w:t>
      </w:r>
      <w:r w:rsidRPr="00027624">
        <w:t>people who retired in 2011 and 2015. These are the two most recent surveys that asked the question of the reason for retirement. Wealth quintiles are calculated using the survey</w:t>
      </w:r>
      <w:r w:rsidR="00A8443E" w:rsidRPr="00027624">
        <w:t>’</w:t>
      </w:r>
      <w:r w:rsidRPr="00027624">
        <w:t>s 2010 and 2014 wealth modules. People</w:t>
      </w:r>
      <w:r w:rsidR="00A8443E" w:rsidRPr="00027624">
        <w:t>’</w:t>
      </w:r>
      <w:r w:rsidRPr="00027624">
        <w:t>s wealth quintile in 2011 and 2015 are equal to their wealth quintile in 2010 and 2014, respectively. Source: Analysis of HILDA Survey data (Waves 10, 11, 14 and 15).</w:t>
      </w:r>
    </w:p>
    <w:p w14:paraId="3DB923A9" w14:textId="77777777" w:rsidR="00B3792F" w:rsidRPr="00027624" w:rsidRDefault="00B3792F" w:rsidP="00B3792F">
      <w:pPr>
        <w:pStyle w:val="Heading3"/>
      </w:pPr>
      <w:bookmarkStart w:id="2697" w:name="_Toc40281856"/>
      <w:bookmarkStart w:id="2698" w:name="_Toc40282076"/>
      <w:bookmarkStart w:id="2699" w:name="_Toc40366177"/>
      <w:bookmarkStart w:id="2700" w:name="_Toc40369723"/>
      <w:bookmarkStart w:id="2701" w:name="_Toc40427879"/>
      <w:bookmarkStart w:id="2702" w:name="_Toc40458132"/>
      <w:bookmarkStart w:id="2703" w:name="_Toc40461901"/>
      <w:bookmarkStart w:id="2704" w:name="_Toc40474456"/>
      <w:bookmarkStart w:id="2705" w:name="_Toc40477985"/>
      <w:bookmarkStart w:id="2706" w:name="_Toc40521565"/>
      <w:bookmarkStart w:id="2707" w:name="_Toc40530424"/>
      <w:bookmarkStart w:id="2708" w:name="_Toc42778851"/>
      <w:bookmarkStart w:id="2709" w:name="_Toc42779991"/>
      <w:bookmarkStart w:id="2710" w:name="_Toc42780420"/>
      <w:bookmarkStart w:id="2711" w:name="_Toc42786410"/>
      <w:bookmarkStart w:id="2712" w:name="_Toc42791903"/>
      <w:bookmarkStart w:id="2713" w:name="_Toc42792065"/>
      <w:bookmarkStart w:id="2714" w:name="_Toc43117872"/>
      <w:bookmarkStart w:id="2715" w:name="_Toc43121511"/>
      <w:bookmarkStart w:id="2716" w:name="_Toc43122716"/>
      <w:bookmarkStart w:id="2717" w:name="_Toc43127771"/>
      <w:r w:rsidRPr="00027624">
        <w:lastRenderedPageBreak/>
        <w:t>Education</w:t>
      </w:r>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p>
    <w:p w14:paraId="0299EAAE" w14:textId="6F1527E3" w:rsidR="00B3792F" w:rsidRPr="00027624" w:rsidRDefault="00B3792F" w:rsidP="00B3792F">
      <w:r w:rsidRPr="00027624">
        <w:rPr>
          <w:b/>
          <w:bCs/>
        </w:rPr>
        <w:t>People with higher education levels remain in the labour force until later ages</w:t>
      </w:r>
      <w:r w:rsidRPr="00027624">
        <w:t>, on average (</w:t>
      </w:r>
      <w:r w:rsidRPr="00027624">
        <w:fldChar w:fldCharType="begin"/>
      </w:r>
      <w:r w:rsidRPr="00027624">
        <w:instrText xml:space="preserve"> REF _Ref35863598 \r \h  \* MERGEFORMAT </w:instrText>
      </w:r>
      <w:r w:rsidRPr="00027624">
        <w:fldChar w:fldCharType="separate"/>
      </w:r>
      <w:r w:rsidR="00891058">
        <w:t>Chart 3E-4</w:t>
      </w:r>
      <w:r w:rsidRPr="00027624">
        <w:fldChar w:fldCharType="end"/>
      </w:r>
      <w:r w:rsidRPr="00027624">
        <w:t>).</w:t>
      </w:r>
      <w:r w:rsidRPr="00027624">
        <w:rPr>
          <w:rStyle w:val="FootnoteReference"/>
        </w:rPr>
        <w:footnoteReference w:id="200"/>
      </w:r>
      <w:r w:rsidRPr="00027624">
        <w:t xml:space="preserve"> They are also more likely to work part</w:t>
      </w:r>
      <w:r w:rsidR="00A8443E" w:rsidRPr="00027624">
        <w:noBreakHyphen/>
      </w:r>
      <w:r w:rsidRPr="00027624">
        <w:t>time if they are employed past age 65, compared to people with no post</w:t>
      </w:r>
      <w:r w:rsidR="00A8443E" w:rsidRPr="00027624">
        <w:noBreakHyphen/>
      </w:r>
      <w:r w:rsidRPr="00027624">
        <w:t>school qualification.</w:t>
      </w:r>
      <w:r w:rsidRPr="00027624">
        <w:rPr>
          <w:rStyle w:val="FootnoteReference"/>
        </w:rPr>
        <w:footnoteReference w:id="201"/>
      </w:r>
      <w:r w:rsidRPr="00027624">
        <w:t xml:space="preserve"> However, as people with a university degree are likely to have entered the labour force at a later age, their working life may not be any longer than people with no post</w:t>
      </w:r>
      <w:r w:rsidR="00A8443E" w:rsidRPr="00027624">
        <w:noBreakHyphen/>
      </w:r>
      <w:r w:rsidRPr="00027624">
        <w:t>school qualification.</w:t>
      </w:r>
      <w:r w:rsidRPr="00027624">
        <w:rPr>
          <w:rStyle w:val="FootnoteReference"/>
        </w:rPr>
        <w:footnoteReference w:id="202"/>
      </w:r>
      <w:r w:rsidRPr="00027624">
        <w:t xml:space="preserve"> </w:t>
      </w:r>
    </w:p>
    <w:p w14:paraId="65CCD858" w14:textId="77777777" w:rsidR="00B3792F" w:rsidRPr="00027624" w:rsidRDefault="00B3792F" w:rsidP="00582C3E">
      <w:pPr>
        <w:pStyle w:val="ChartMainHeading"/>
      </w:pPr>
      <w:bookmarkStart w:id="2718" w:name="_Ref35863598"/>
      <w:bookmarkStart w:id="2719" w:name="_Ref44840274"/>
      <w:r w:rsidRPr="00027624">
        <w:rPr>
          <w:szCs w:val="22"/>
        </w:rPr>
        <w:t>Proportion of people in the labour force, by age</w:t>
      </w:r>
      <w:bookmarkEnd w:id="2718"/>
      <w:r w:rsidRPr="00027624">
        <w:rPr>
          <w:szCs w:val="22"/>
        </w:rPr>
        <w:t xml:space="preserve"> and level of </w:t>
      </w:r>
      <w:r w:rsidR="00605EC6">
        <w:rPr>
          <w:szCs w:val="22"/>
        </w:rPr>
        <w:br/>
      </w:r>
      <w:r w:rsidRPr="00027624">
        <w:rPr>
          <w:szCs w:val="22"/>
        </w:rPr>
        <w:t>highest educational attainment</w:t>
      </w:r>
      <w:bookmarkEnd w:id="2719"/>
    </w:p>
    <w:p w14:paraId="7E949E94" w14:textId="77777777" w:rsidR="00B3792F" w:rsidRPr="00027624" w:rsidRDefault="0089139A" w:rsidP="009516BB">
      <w:pPr>
        <w:pStyle w:val="ChartGraphic"/>
      </w:pPr>
      <w:r>
        <w:rPr>
          <w:noProof/>
        </w:rPr>
        <w:drawing>
          <wp:inline distT="0" distB="0" distL="0" distR="0" wp14:anchorId="0A75FD49" wp14:editId="6B829EAD">
            <wp:extent cx="5577840" cy="2522220"/>
            <wp:effectExtent l="0" t="0" r="3810" b="0"/>
            <wp:docPr id="255367777" name="Picture 255367777" descr="This chart shows that people with higher education levels remain in the labour force until later ages. For those with no-post-school qualification and aged 55-59, around 65 per cent were in the labour force. This compares to around 85 per cent of those with a degree post-school. " title="Chart 3E-4 Proportion of people in the labour force, by age and level of highest educational attai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6949937" w14:textId="77777777" w:rsidR="00B3792F" w:rsidRPr="00027624" w:rsidRDefault="00B3792F" w:rsidP="009516BB">
      <w:pPr>
        <w:pStyle w:val="ChartorTableNote"/>
      </w:pPr>
      <w:r w:rsidRPr="00027624">
        <w:t>Note: 2016 data. Degree includes postgraduate degree, graduate diploma and graduate certificate and bachelor degree. Non</w:t>
      </w:r>
      <w:r w:rsidR="00A8443E" w:rsidRPr="00027624">
        <w:noBreakHyphen/>
      </w:r>
      <w:r w:rsidRPr="00027624">
        <w:t>degree post</w:t>
      </w:r>
      <w:r w:rsidR="00A8443E" w:rsidRPr="00027624">
        <w:noBreakHyphen/>
      </w:r>
      <w:r w:rsidRPr="00027624">
        <w:t>school qualification includes advanced diploma and certificate 3 and 4. No post</w:t>
      </w:r>
      <w:r w:rsidR="00A8443E" w:rsidRPr="00027624">
        <w:noBreakHyphen/>
      </w:r>
      <w:r w:rsidRPr="00027624">
        <w:t>school qualification includes year 12 or equivalent, secondary education</w:t>
      </w:r>
      <w:r w:rsidR="00A8443E" w:rsidRPr="00027624">
        <w:t xml:space="preserve"> — </w:t>
      </w:r>
      <w:r w:rsidRPr="00027624">
        <w:t>years 10 and above, secondary education</w:t>
      </w:r>
      <w:r w:rsidR="00A8443E" w:rsidRPr="00027624">
        <w:t xml:space="preserve"> — </w:t>
      </w:r>
      <w:r w:rsidRPr="00027624">
        <w:t xml:space="preserve">years 9 and below, and certificate 1 and 2. Source: Analysis of </w:t>
      </w:r>
      <w:sdt>
        <w:sdtPr>
          <w:id w:val="-670718422"/>
          <w:citation/>
        </w:sdtPr>
        <w:sdtEndPr/>
        <w:sdtContent>
          <w:r w:rsidRPr="00027624">
            <w:fldChar w:fldCharType="begin"/>
          </w:r>
          <w:r w:rsidRPr="00027624">
            <w:instrText xml:space="preserve"> CITATION ABS3 \l 3081 </w:instrText>
          </w:r>
          <w:r w:rsidRPr="00027624">
            <w:fldChar w:fldCharType="separate"/>
          </w:r>
          <w:r w:rsidR="00E83F6E">
            <w:rPr>
              <w:noProof/>
            </w:rPr>
            <w:t>(ABS, 2016a)</w:t>
          </w:r>
          <w:r w:rsidRPr="00027624">
            <w:fldChar w:fldCharType="end"/>
          </w:r>
        </w:sdtContent>
      </w:sdt>
      <w:r w:rsidRPr="00027624">
        <w:t>.</w:t>
      </w:r>
    </w:p>
    <w:p w14:paraId="2DC699CA" w14:textId="606B10A2" w:rsidR="00B3792F" w:rsidRPr="00027624" w:rsidRDefault="00B3792F" w:rsidP="00B3792F">
      <w:r w:rsidRPr="00027624">
        <w:t>A greater proportion of people with university degrees retire voluntarily than people with non</w:t>
      </w:r>
      <w:r w:rsidR="00A8443E" w:rsidRPr="00027624">
        <w:noBreakHyphen/>
      </w:r>
      <w:r w:rsidRPr="00027624">
        <w:t>degree post</w:t>
      </w:r>
      <w:r w:rsidR="00A8443E" w:rsidRPr="00027624">
        <w:noBreakHyphen/>
      </w:r>
      <w:r w:rsidRPr="00027624">
        <w:t>school qualifications, and no post</w:t>
      </w:r>
      <w:r w:rsidR="00A8443E" w:rsidRPr="00027624">
        <w:noBreakHyphen/>
      </w:r>
      <w:r w:rsidRPr="00027624">
        <w:t>school qualification. People without a degree are more likely to retire involuntarily due to job</w:t>
      </w:r>
      <w:r w:rsidR="00A8443E" w:rsidRPr="00027624">
        <w:noBreakHyphen/>
      </w:r>
      <w:r w:rsidRPr="00027624">
        <w:t>related issues or own ill health (</w:t>
      </w:r>
      <w:r w:rsidRPr="00027624">
        <w:fldChar w:fldCharType="begin"/>
      </w:r>
      <w:r w:rsidRPr="00027624">
        <w:instrText xml:space="preserve"> REF _Ref40369009 \r \h  \* MERGEFORMAT </w:instrText>
      </w:r>
      <w:r w:rsidRPr="00027624">
        <w:fldChar w:fldCharType="separate"/>
      </w:r>
      <w:r w:rsidR="00891058">
        <w:t>Chart 3E-5</w:t>
      </w:r>
      <w:r w:rsidRPr="00027624">
        <w:fldChar w:fldCharType="end"/>
      </w:r>
      <w:r w:rsidRPr="00027624">
        <w:t xml:space="preserve">). </w:t>
      </w:r>
    </w:p>
    <w:p w14:paraId="3706A6CF" w14:textId="77777777" w:rsidR="00B3792F" w:rsidRPr="00027624" w:rsidRDefault="00B3792F" w:rsidP="00582C3E">
      <w:pPr>
        <w:pStyle w:val="ChartMainHeading"/>
      </w:pPr>
      <w:bookmarkStart w:id="2720" w:name="_Ref40369009"/>
      <w:bookmarkStart w:id="2721" w:name="_Ref35863639"/>
      <w:r w:rsidRPr="00027624">
        <w:lastRenderedPageBreak/>
        <w:t>Proportion of people retiring, by level of highest educational attainment</w:t>
      </w:r>
      <w:bookmarkEnd w:id="2720"/>
      <w:r w:rsidRPr="00027624">
        <w:t xml:space="preserve"> and reason for retirement </w:t>
      </w:r>
      <w:bookmarkEnd w:id="2721"/>
    </w:p>
    <w:p w14:paraId="153A3788" w14:textId="77777777" w:rsidR="00B3792F" w:rsidRPr="00027624" w:rsidRDefault="00C83005" w:rsidP="00AB03E9">
      <w:pPr>
        <w:pStyle w:val="ChartGraphic"/>
      </w:pPr>
      <w:r>
        <w:rPr>
          <w:noProof/>
        </w:rPr>
        <w:drawing>
          <wp:inline distT="0" distB="0" distL="0" distR="0" wp14:anchorId="0D0E45CB" wp14:editId="7798226F">
            <wp:extent cx="5577840" cy="2522220"/>
            <wp:effectExtent l="0" t="0" r="3810" b="0"/>
            <wp:docPr id="255367778" name="Picture 255367778" descr="This chart shows that those with a degree are more likely to retire voluntarily. Those with a non-degree post-school qualification or no-post-school qualification are more likely to retire involuntarily due to their own ill health and job-related reasons." title="Chart 3E-5 Proportion of people retiring, by level of highest educational attainment and reason for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75711832" w14:textId="2B968D34" w:rsidR="00B3792F" w:rsidRPr="00027624" w:rsidRDefault="00B3792F" w:rsidP="00B3792F">
      <w:pPr>
        <w:pStyle w:val="ChartorTableNote"/>
        <w:jc w:val="left"/>
      </w:pPr>
      <w:r w:rsidRPr="00027624">
        <w:t xml:space="preserve">Note: </w:t>
      </w:r>
      <w:r w:rsidRPr="00027624">
        <w:rPr>
          <w:szCs w:val="18"/>
        </w:rPr>
        <w:t xml:space="preserve">Proportion is of </w:t>
      </w:r>
      <w:r w:rsidRPr="00027624">
        <w:t>people who retired between July 2013 and June 2019. Degree and non</w:t>
      </w:r>
      <w:r w:rsidR="00A8443E" w:rsidRPr="00027624">
        <w:noBreakHyphen/>
      </w:r>
      <w:r w:rsidRPr="00027624">
        <w:t>degree post</w:t>
      </w:r>
      <w:r w:rsidR="00A8443E" w:rsidRPr="00027624">
        <w:noBreakHyphen/>
      </w:r>
      <w:r w:rsidRPr="00027624">
        <w:t xml:space="preserve">school qualification includes the same categories as in </w:t>
      </w:r>
      <w:r w:rsidRPr="00027624">
        <w:fldChar w:fldCharType="begin"/>
      </w:r>
      <w:r w:rsidRPr="00027624">
        <w:instrText xml:space="preserve"> REF _Ref44840274 \r \h  \* MERGEFORMAT </w:instrText>
      </w:r>
      <w:r w:rsidRPr="00027624">
        <w:fldChar w:fldCharType="separate"/>
      </w:r>
      <w:r w:rsidR="00891058">
        <w:t>Chart 3E-4</w:t>
      </w:r>
      <w:r w:rsidRPr="00027624">
        <w:fldChar w:fldCharType="end"/>
      </w:r>
      <w:r w:rsidRPr="00027624">
        <w:t>. No post</w:t>
      </w:r>
      <w:r w:rsidR="00A8443E" w:rsidRPr="00027624">
        <w:noBreakHyphen/>
      </w:r>
      <w:r w:rsidRPr="00027624">
        <w:t xml:space="preserve">school qualification includes year 12 or equivalent, year 11, year 10, certificate 1 and 2, year 9 and below and no educational attainment. </w:t>
      </w:r>
      <w:r w:rsidRPr="00027624">
        <w:rPr>
          <w:szCs w:val="18"/>
        </w:rPr>
        <w:t>While the chart uses a relatively small sample size and therefore some categories have high relative standard errors, the results are consistent with earlier surveys.</w:t>
      </w:r>
      <w:r w:rsidRPr="00027624">
        <w:t xml:space="preserve"> Source: Analysis of </w:t>
      </w:r>
      <w:sdt>
        <w:sdtPr>
          <w:id w:val="1876653130"/>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0EBA346C" w14:textId="77777777" w:rsidR="00B3792F" w:rsidRPr="00027624" w:rsidRDefault="00B3792F" w:rsidP="00B3792F">
      <w:pPr>
        <w:pStyle w:val="Heading3"/>
      </w:pPr>
      <w:bookmarkStart w:id="2722" w:name="_Toc40281857"/>
      <w:bookmarkStart w:id="2723" w:name="_Toc40282077"/>
      <w:bookmarkStart w:id="2724" w:name="_Toc40366178"/>
      <w:bookmarkStart w:id="2725" w:name="_Toc40369724"/>
      <w:bookmarkStart w:id="2726" w:name="_Toc40427880"/>
      <w:bookmarkStart w:id="2727" w:name="_Toc40458133"/>
      <w:bookmarkStart w:id="2728" w:name="_Toc40461902"/>
      <w:bookmarkStart w:id="2729" w:name="_Toc40474457"/>
      <w:bookmarkStart w:id="2730" w:name="_Toc40477986"/>
      <w:bookmarkStart w:id="2731" w:name="_Toc40521566"/>
      <w:bookmarkStart w:id="2732" w:name="_Toc40530425"/>
      <w:bookmarkStart w:id="2733" w:name="_Toc42778852"/>
      <w:bookmarkStart w:id="2734" w:name="_Toc42779992"/>
      <w:bookmarkStart w:id="2735" w:name="_Toc42780421"/>
      <w:bookmarkStart w:id="2736" w:name="_Toc42786411"/>
      <w:bookmarkStart w:id="2737" w:name="_Toc42791904"/>
      <w:bookmarkStart w:id="2738" w:name="_Toc42792066"/>
      <w:bookmarkStart w:id="2739" w:name="_Toc43117873"/>
      <w:bookmarkStart w:id="2740" w:name="_Toc43121512"/>
      <w:bookmarkStart w:id="2741" w:name="_Toc43122717"/>
      <w:bookmarkStart w:id="2742" w:name="_Toc43127772"/>
      <w:r w:rsidRPr="00027624">
        <w:t xml:space="preserve">Occupation </w:t>
      </w:r>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p>
    <w:p w14:paraId="1879C943" w14:textId="12E11108" w:rsidR="00B3792F" w:rsidRPr="00027624" w:rsidRDefault="00B3792F" w:rsidP="00B3792F">
      <w:r w:rsidRPr="00027624">
        <w:rPr>
          <w:b/>
          <w:bCs/>
        </w:rPr>
        <w:t>On average, blue</w:t>
      </w:r>
      <w:r w:rsidR="00A8443E" w:rsidRPr="00027624">
        <w:rPr>
          <w:b/>
          <w:bCs/>
        </w:rPr>
        <w:noBreakHyphen/>
      </w:r>
      <w:r w:rsidRPr="00027624">
        <w:rPr>
          <w:b/>
          <w:bCs/>
        </w:rPr>
        <w:t xml:space="preserve"> and white</w:t>
      </w:r>
      <w:r w:rsidR="00A8443E" w:rsidRPr="00027624">
        <w:rPr>
          <w:b/>
          <w:bCs/>
        </w:rPr>
        <w:noBreakHyphen/>
      </w:r>
      <w:r w:rsidRPr="00027624">
        <w:rPr>
          <w:b/>
          <w:bCs/>
        </w:rPr>
        <w:t>collar</w:t>
      </w:r>
      <w:r w:rsidRPr="00027624">
        <w:rPr>
          <w:rStyle w:val="FootnoteReference"/>
          <w:b/>
          <w:bCs/>
        </w:rPr>
        <w:footnoteReference w:id="203"/>
      </w:r>
      <w:r w:rsidRPr="00027624">
        <w:rPr>
          <w:b/>
          <w:bCs/>
        </w:rPr>
        <w:t xml:space="preserve"> workers have similar retirement ages </w:t>
      </w:r>
      <w:sdt>
        <w:sdtPr>
          <w:rPr>
            <w:b/>
            <w:bCs/>
          </w:rPr>
          <w:id w:val="-2053685153"/>
          <w:citation/>
        </w:sdtPr>
        <w:sdtEndPr/>
        <w:sdtContent>
          <w:r w:rsidR="00F40725" w:rsidRPr="00027624">
            <w:rPr>
              <w:b/>
              <w:bCs/>
            </w:rPr>
            <w:fldChar w:fldCharType="begin"/>
          </w:r>
          <w:r w:rsidR="00F40725" w:rsidRPr="00027624">
            <w:rPr>
              <w:b/>
            </w:rPr>
            <w:instrText xml:space="preserve"> CITATION ABS205 \l 3081 </w:instrText>
          </w:r>
          <w:r w:rsidR="00F40725" w:rsidRPr="00027624">
            <w:rPr>
              <w:b/>
              <w:bCs/>
            </w:rPr>
            <w:fldChar w:fldCharType="separate"/>
          </w:r>
          <w:r w:rsidR="00E83F6E">
            <w:rPr>
              <w:noProof/>
            </w:rPr>
            <w:t>(ABS, 2020n)</w:t>
          </w:r>
          <w:r w:rsidR="00F40725" w:rsidRPr="00027624">
            <w:rPr>
              <w:b/>
              <w:bCs/>
            </w:rPr>
            <w:fldChar w:fldCharType="end"/>
          </w:r>
        </w:sdtContent>
      </w:sdt>
      <w:r w:rsidRPr="00027624">
        <w:t>. Around the same proportion of blue</w:t>
      </w:r>
      <w:r w:rsidR="009742F5" w:rsidRPr="00027624">
        <w:t>-</w:t>
      </w:r>
      <w:r w:rsidRPr="00027624">
        <w:t xml:space="preserve"> and white</w:t>
      </w:r>
      <w:r w:rsidR="00A8443E" w:rsidRPr="00027624">
        <w:noBreakHyphen/>
      </w:r>
      <w:r w:rsidRPr="00027624">
        <w:t>collar workers retire before age 65 (</w:t>
      </w:r>
      <w:r w:rsidRPr="00027624">
        <w:fldChar w:fldCharType="begin"/>
      </w:r>
      <w:r w:rsidRPr="00027624">
        <w:instrText xml:space="preserve"> REF _Ref36809671 \r \h  \* MERGEFORMAT </w:instrText>
      </w:r>
      <w:r w:rsidRPr="00027624">
        <w:fldChar w:fldCharType="separate"/>
      </w:r>
      <w:r w:rsidR="00891058">
        <w:t>Chart 3E-6</w:t>
      </w:r>
      <w:r w:rsidRPr="00027624">
        <w:fldChar w:fldCharType="end"/>
      </w:r>
      <w:r w:rsidRPr="00027624">
        <w:t>). The proportion of blue</w:t>
      </w:r>
      <w:r w:rsidR="00A8443E" w:rsidRPr="00027624">
        <w:noBreakHyphen/>
      </w:r>
      <w:r w:rsidRPr="00027624">
        <w:t xml:space="preserve"> and white</w:t>
      </w:r>
      <w:r w:rsidR="00A8443E" w:rsidRPr="00027624">
        <w:noBreakHyphen/>
      </w:r>
      <w:r w:rsidRPr="00027624">
        <w:t>collar workers retiring before age 65 has significantly decreased over time, especially among blue</w:t>
      </w:r>
      <w:r w:rsidR="00A8443E" w:rsidRPr="00027624">
        <w:noBreakHyphen/>
      </w:r>
      <w:r w:rsidRPr="00027624">
        <w:t xml:space="preserve">collar workers </w:t>
      </w:r>
      <w:sdt>
        <w:sdtPr>
          <w:id w:val="1228960503"/>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r w:rsidRPr="00027624">
        <w:rPr>
          <w:rStyle w:val="FootnoteReference"/>
        </w:rPr>
        <w:footnoteReference w:id="204"/>
      </w:r>
      <w:r w:rsidRPr="00027624">
        <w:t xml:space="preserve"> </w:t>
      </w:r>
      <w:r w:rsidRPr="00027624">
        <w:rPr>
          <w:rFonts w:eastAsia="Calibri" w:cs="Calibri"/>
          <w:szCs w:val="22"/>
        </w:rPr>
        <w:t>Even so, on average, blue</w:t>
      </w:r>
      <w:r w:rsidR="00A8443E" w:rsidRPr="00027624">
        <w:rPr>
          <w:rFonts w:eastAsia="Calibri" w:cs="Calibri"/>
          <w:szCs w:val="22"/>
        </w:rPr>
        <w:noBreakHyphen/>
      </w:r>
      <w:r w:rsidRPr="00027624">
        <w:rPr>
          <w:rFonts w:eastAsia="Calibri" w:cs="Calibri"/>
          <w:szCs w:val="22"/>
        </w:rPr>
        <w:t>collar workers may have longer working lives than white</w:t>
      </w:r>
      <w:r w:rsidR="00A8443E" w:rsidRPr="00027624">
        <w:rPr>
          <w:rFonts w:eastAsia="Calibri" w:cs="Calibri"/>
          <w:szCs w:val="22"/>
        </w:rPr>
        <w:noBreakHyphen/>
      </w:r>
      <w:r w:rsidRPr="00027624">
        <w:rPr>
          <w:rFonts w:eastAsia="Calibri" w:cs="Calibri"/>
          <w:szCs w:val="22"/>
        </w:rPr>
        <w:t>collar workers. One superannuation fund noted how its members</w:t>
      </w:r>
      <w:r w:rsidR="00A8443E" w:rsidRPr="00027624">
        <w:rPr>
          <w:rFonts w:eastAsia="Calibri" w:cs="Calibri"/>
          <w:szCs w:val="22"/>
        </w:rPr>
        <w:t xml:space="preserve"> — </w:t>
      </w:r>
      <w:r w:rsidRPr="00027624">
        <w:rPr>
          <w:rFonts w:eastAsia="Calibri" w:cs="Calibri"/>
          <w:szCs w:val="22"/>
        </w:rPr>
        <w:t>mostly blue</w:t>
      </w:r>
      <w:r w:rsidR="00A8443E" w:rsidRPr="00027624">
        <w:rPr>
          <w:rFonts w:eastAsia="Calibri" w:cs="Calibri"/>
          <w:szCs w:val="22"/>
        </w:rPr>
        <w:noBreakHyphen/>
      </w:r>
      <w:r w:rsidRPr="00027624">
        <w:rPr>
          <w:rFonts w:eastAsia="Calibri" w:cs="Calibri"/>
          <w:szCs w:val="22"/>
        </w:rPr>
        <w:t>collar workers</w:t>
      </w:r>
      <w:r w:rsidR="00A8443E" w:rsidRPr="00027624">
        <w:rPr>
          <w:rFonts w:eastAsia="Calibri" w:cs="Calibri"/>
          <w:szCs w:val="22"/>
        </w:rPr>
        <w:t xml:space="preserve"> — </w:t>
      </w:r>
      <w:r w:rsidRPr="00027624">
        <w:rPr>
          <w:rFonts w:eastAsia="Calibri" w:cs="Calibri"/>
          <w:szCs w:val="22"/>
        </w:rPr>
        <w:t>typically started their working lives earlier than the general population</w:t>
      </w:r>
      <w:sdt>
        <w:sdtPr>
          <w:rPr>
            <w:rFonts w:eastAsia="Calibri" w:cs="Calibri"/>
            <w:szCs w:val="22"/>
          </w:rPr>
          <w:id w:val="437254754"/>
          <w:citation/>
        </w:sdtPr>
        <w:sdtEndPr/>
        <w:sdtContent>
          <w:r w:rsidRPr="00027624">
            <w:rPr>
              <w:rFonts w:eastAsia="Calibri" w:cs="Calibri"/>
              <w:szCs w:val="22"/>
            </w:rPr>
            <w:fldChar w:fldCharType="begin"/>
          </w:r>
          <w:r w:rsidRPr="00027624">
            <w:rPr>
              <w:rFonts w:eastAsia="Calibri" w:cs="Calibri"/>
              <w:szCs w:val="22"/>
            </w:rPr>
            <w:instrText xml:space="preserve"> CITATION CBU20 \l 3081 </w:instrText>
          </w:r>
          <w:r w:rsidRPr="00027624">
            <w:rPr>
              <w:rFonts w:eastAsia="Calibri" w:cs="Calibri"/>
              <w:szCs w:val="22"/>
            </w:rPr>
            <w:fldChar w:fldCharType="separate"/>
          </w:r>
          <w:r w:rsidR="00E83F6E">
            <w:rPr>
              <w:rFonts w:eastAsia="Calibri" w:cs="Calibri"/>
              <w:noProof/>
              <w:szCs w:val="22"/>
            </w:rPr>
            <w:t xml:space="preserve"> </w:t>
          </w:r>
          <w:r w:rsidR="00E83F6E" w:rsidRPr="00E83F6E">
            <w:rPr>
              <w:rFonts w:eastAsia="Calibri" w:cs="Calibri"/>
              <w:noProof/>
              <w:szCs w:val="22"/>
            </w:rPr>
            <w:t>(Cbus, 2020)</w:t>
          </w:r>
          <w:r w:rsidRPr="00027624">
            <w:rPr>
              <w:rFonts w:eastAsia="Calibri" w:cs="Calibri"/>
              <w:szCs w:val="22"/>
            </w:rPr>
            <w:fldChar w:fldCharType="end"/>
          </w:r>
        </w:sdtContent>
      </w:sdt>
      <w:r w:rsidRPr="00027624">
        <w:rPr>
          <w:rFonts w:eastAsia="Calibri" w:cs="Calibri"/>
          <w:szCs w:val="22"/>
        </w:rPr>
        <w:t>.</w:t>
      </w:r>
    </w:p>
    <w:p w14:paraId="132AC165" w14:textId="2E2FDE81" w:rsidR="00B3792F" w:rsidRPr="00027624" w:rsidRDefault="00B3792F" w:rsidP="00B3792F">
      <w:pPr>
        <w:autoSpaceDE w:val="0"/>
        <w:autoSpaceDN w:val="0"/>
        <w:adjustRightInd w:val="0"/>
        <w:spacing w:before="0" w:after="0"/>
      </w:pPr>
      <w:r w:rsidRPr="00027624">
        <w:rPr>
          <w:b/>
          <w:bCs/>
        </w:rPr>
        <w:t>A greater proportion of white</w:t>
      </w:r>
      <w:r w:rsidR="00A8443E" w:rsidRPr="00027624">
        <w:rPr>
          <w:b/>
          <w:bCs/>
        </w:rPr>
        <w:noBreakHyphen/>
      </w:r>
      <w:r w:rsidRPr="00027624">
        <w:rPr>
          <w:b/>
          <w:bCs/>
        </w:rPr>
        <w:t>collar workers retire voluntarily than blue</w:t>
      </w:r>
      <w:r w:rsidR="00A8443E" w:rsidRPr="00027624">
        <w:rPr>
          <w:b/>
          <w:bCs/>
        </w:rPr>
        <w:noBreakHyphen/>
      </w:r>
      <w:r w:rsidRPr="00027624">
        <w:rPr>
          <w:b/>
          <w:bCs/>
        </w:rPr>
        <w:t xml:space="preserve">collar workers, who are more likely to experience health issues </w:t>
      </w:r>
      <w:r w:rsidRPr="00027624">
        <w:t>(</w:t>
      </w:r>
      <w:r w:rsidRPr="00027624">
        <w:fldChar w:fldCharType="begin"/>
      </w:r>
      <w:r w:rsidRPr="00027624">
        <w:instrText xml:space="preserve"> REF _Ref36809671 \r \h  \* MERGEFORMAT </w:instrText>
      </w:r>
      <w:r w:rsidRPr="00027624">
        <w:fldChar w:fldCharType="separate"/>
      </w:r>
      <w:r w:rsidR="00891058">
        <w:t>Chart 3E-6</w:t>
      </w:r>
      <w:r w:rsidRPr="00027624">
        <w:fldChar w:fldCharType="end"/>
      </w:r>
      <w:r w:rsidRPr="00027624">
        <w:t>). One stakeholder pointed to how the blue</w:t>
      </w:r>
      <w:r w:rsidR="00A8443E" w:rsidRPr="00027624">
        <w:noBreakHyphen/>
      </w:r>
      <w:r w:rsidRPr="00027624">
        <w:t>collar occupations of technicians and trade workers, machinery operators, and drivers and labourers comprise around 30 per cent of the workforce, yet almost 60 per cent of WorkCover injury and illness claims</w:t>
      </w:r>
      <w:sdt>
        <w:sdtPr>
          <w:id w:val="381764800"/>
          <w:citation/>
        </w:sdtPr>
        <w:sdtEndPr/>
        <w:sdtContent>
          <w:r w:rsidRPr="00027624">
            <w:fldChar w:fldCharType="begin"/>
          </w:r>
          <w:r w:rsidRPr="00027624">
            <w:instrText xml:space="preserve">CITATION CBU20 \l 3081 </w:instrText>
          </w:r>
          <w:r w:rsidRPr="00027624">
            <w:fldChar w:fldCharType="separate"/>
          </w:r>
          <w:r w:rsidR="00E83F6E">
            <w:rPr>
              <w:noProof/>
            </w:rPr>
            <w:t xml:space="preserve"> (Cbus, 2020)</w:t>
          </w:r>
          <w:r w:rsidRPr="00027624">
            <w:fldChar w:fldCharType="end"/>
          </w:r>
        </w:sdtContent>
      </w:sdt>
      <w:r w:rsidRPr="00027624">
        <w:t>. This suggests any increases to preservation or Age Pension eligibility ages would more acutely affect some blue</w:t>
      </w:r>
      <w:r w:rsidR="00A8443E" w:rsidRPr="00027624">
        <w:noBreakHyphen/>
      </w:r>
      <w:r w:rsidRPr="00027624">
        <w:t>collar workers, who have less choice in when they retire. Government pensions and allowances, and the early release of superannuation benefits, can help mitigate the adverse effect of retiring involuntarily before either the preservation age or Age Pension eligibility age.</w:t>
      </w:r>
    </w:p>
    <w:p w14:paraId="6A4A000D" w14:textId="77777777" w:rsidR="00B3792F" w:rsidRPr="00027624" w:rsidRDefault="00B3792F" w:rsidP="00582C3E">
      <w:pPr>
        <w:pStyle w:val="ChartMainHeading"/>
      </w:pPr>
      <w:bookmarkStart w:id="2743" w:name="_Ref36809671"/>
      <w:r w:rsidRPr="00027624">
        <w:lastRenderedPageBreak/>
        <w:t>Retirement characteristics of blue</w:t>
      </w:r>
      <w:r w:rsidR="00A8443E" w:rsidRPr="00027624">
        <w:noBreakHyphen/>
      </w:r>
      <w:r w:rsidRPr="00027624">
        <w:t>collar and white</w:t>
      </w:r>
      <w:r w:rsidR="00A8443E" w:rsidRPr="00027624">
        <w:noBreakHyphen/>
      </w:r>
      <w:r w:rsidRPr="00027624">
        <w:t>collar workers</w:t>
      </w:r>
    </w:p>
    <w:tbl>
      <w:tblPr>
        <w:tblW w:w="5000" w:type="pct"/>
        <w:tblLook w:val="01E0" w:firstRow="1" w:lastRow="1" w:firstColumn="1" w:lastColumn="1" w:noHBand="0" w:noVBand="0"/>
      </w:tblPr>
      <w:tblGrid>
        <w:gridCol w:w="4535"/>
        <w:gridCol w:w="4535"/>
      </w:tblGrid>
      <w:tr w:rsidR="00B3792F" w:rsidRPr="00027624" w14:paraId="574F7651" w14:textId="77777777" w:rsidTr="00B3792F">
        <w:trPr>
          <w:tblHeader/>
        </w:trPr>
        <w:tc>
          <w:tcPr>
            <w:tcW w:w="2500" w:type="pct"/>
            <w:shd w:val="clear" w:color="auto" w:fill="auto"/>
          </w:tcPr>
          <w:p w14:paraId="33F0F40D" w14:textId="77777777" w:rsidR="00B3792F" w:rsidRPr="00027624" w:rsidRDefault="00B3792F" w:rsidP="00B3792F">
            <w:pPr>
              <w:pStyle w:val="ChartSecondHeading"/>
            </w:pPr>
            <w:r w:rsidRPr="00027624">
              <w:t>Retirement age</w:t>
            </w:r>
          </w:p>
        </w:tc>
        <w:tc>
          <w:tcPr>
            <w:tcW w:w="2500" w:type="pct"/>
            <w:shd w:val="clear" w:color="auto" w:fill="auto"/>
          </w:tcPr>
          <w:p w14:paraId="3DCF5DD4" w14:textId="77777777" w:rsidR="00B3792F" w:rsidRPr="00027624" w:rsidRDefault="00B3792F" w:rsidP="00B3792F">
            <w:pPr>
              <w:pStyle w:val="ChartSecondHeading"/>
            </w:pPr>
            <w:r w:rsidRPr="00027624">
              <w:t>Reason for retirement</w:t>
            </w:r>
          </w:p>
        </w:tc>
      </w:tr>
      <w:tr w:rsidR="00B3792F" w:rsidRPr="00027624" w14:paraId="6DE6D202" w14:textId="77777777" w:rsidTr="00B3792F">
        <w:trPr>
          <w:tblHeader/>
        </w:trPr>
        <w:tc>
          <w:tcPr>
            <w:tcW w:w="2500" w:type="pct"/>
            <w:shd w:val="clear" w:color="auto" w:fill="auto"/>
            <w:tcMar>
              <w:left w:w="0" w:type="dxa"/>
              <w:right w:w="0" w:type="dxa"/>
            </w:tcMar>
          </w:tcPr>
          <w:p w14:paraId="1E7AD546" w14:textId="77777777" w:rsidR="00B3792F" w:rsidRPr="00027624" w:rsidRDefault="003B0674" w:rsidP="00B3792F">
            <w:pPr>
              <w:pStyle w:val="ChartGraphic"/>
              <w:rPr>
                <w:noProof/>
              </w:rPr>
            </w:pPr>
            <w:r>
              <w:rPr>
                <w:noProof/>
              </w:rPr>
              <w:drawing>
                <wp:inline distT="0" distB="0" distL="0" distR="0" wp14:anchorId="226DE42D" wp14:editId="6CD762E5">
                  <wp:extent cx="2880360" cy="2887980"/>
                  <wp:effectExtent l="0" t="0" r="0" b="7620"/>
                  <wp:docPr id="255367800" name="Picture 255367800" descr="This chart shows that white- and blue-collar employees are equally likely to retire at most age groups. A similar proportion retired at ages 60-64, 55-59 and under 55. Blue-collar workers are marginally more likely to retire aged 70 and over, and marginally less likely to retire aged 65-69, compared to white-collar workers." title="Chart 3E-6 Retirement characteristics of blue-collar and white-collar workers – retirement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tc>
        <w:tc>
          <w:tcPr>
            <w:tcW w:w="2500" w:type="pct"/>
            <w:shd w:val="clear" w:color="auto" w:fill="auto"/>
            <w:tcMar>
              <w:left w:w="0" w:type="dxa"/>
              <w:right w:w="0" w:type="dxa"/>
            </w:tcMar>
          </w:tcPr>
          <w:p w14:paraId="69549BB8" w14:textId="77777777" w:rsidR="00B3792F" w:rsidRPr="00027624" w:rsidRDefault="00CC1B73" w:rsidP="00B3792F">
            <w:pPr>
              <w:pStyle w:val="ChartGraphic"/>
              <w:rPr>
                <w:noProof/>
              </w:rPr>
            </w:pPr>
            <w:r>
              <w:rPr>
                <w:noProof/>
              </w:rPr>
              <w:drawing>
                <wp:inline distT="0" distB="0" distL="0" distR="0" wp14:anchorId="1DF9CF26" wp14:editId="138CA446">
                  <wp:extent cx="2880360" cy="2880360"/>
                  <wp:effectExtent l="0" t="0" r="0" b="0"/>
                  <wp:docPr id="255367786" name="Picture 255367786" descr="This chart shows that white-collar workers are more likely to retire voluntarily, while blue-collar workers are more likely to retire involuntarily. White-collar workers are marginally more likely to retire involuntarily due to caring responsibilities, but the proportion who retire for this reason is small." title="Chart 3E-6 Retirement characteristics of blue-collar and white-collar workers – reason for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r>
    </w:tbl>
    <w:bookmarkEnd w:id="2743"/>
    <w:p w14:paraId="4B1393B5" w14:textId="77777777" w:rsidR="00B3792F" w:rsidRPr="00027624" w:rsidRDefault="00B3792F" w:rsidP="00AB03E9">
      <w:pPr>
        <w:pStyle w:val="ChartorTableNote"/>
      </w:pPr>
      <w:r w:rsidRPr="00027624">
        <w:t xml:space="preserve">Note: </w:t>
      </w:r>
      <w:r w:rsidRPr="00027624">
        <w:rPr>
          <w:szCs w:val="18"/>
        </w:rPr>
        <w:t xml:space="preserve">Proportion is of </w:t>
      </w:r>
      <w:r w:rsidRPr="00027624">
        <w:t>people who retired between July 2013 and June 2019. Right</w:t>
      </w:r>
      <w:r w:rsidR="00F901D6" w:rsidRPr="00027624">
        <w:t>-</w:t>
      </w:r>
      <w:r w:rsidRPr="00027624">
        <w:t>hand</w:t>
      </w:r>
      <w:r w:rsidR="00F901D6" w:rsidRPr="00027624">
        <w:t xml:space="preserve"> </w:t>
      </w:r>
      <w:r w:rsidRPr="00027624">
        <w:t xml:space="preserve">side chart does not include people who selected </w:t>
      </w:r>
      <w:r w:rsidR="00A8443E" w:rsidRPr="00027624">
        <w:t>‘</w:t>
      </w:r>
      <w:r w:rsidRPr="00027624">
        <w:t>other</w:t>
      </w:r>
      <w:r w:rsidR="00A8443E" w:rsidRPr="00027624">
        <w:t>’</w:t>
      </w:r>
      <w:r w:rsidRPr="00027624">
        <w:t xml:space="preserve"> reason for retiring</w:t>
      </w:r>
      <w:r w:rsidRPr="00027624">
        <w:rPr>
          <w:szCs w:val="18"/>
        </w:rPr>
        <w:t xml:space="preserve"> and therefore does not sum to 100. Around 10 per cent of white</w:t>
      </w:r>
      <w:r w:rsidR="00A8443E" w:rsidRPr="00027624">
        <w:rPr>
          <w:szCs w:val="18"/>
        </w:rPr>
        <w:noBreakHyphen/>
      </w:r>
      <w:r w:rsidRPr="00027624">
        <w:rPr>
          <w:szCs w:val="18"/>
        </w:rPr>
        <w:t xml:space="preserve"> and blue</w:t>
      </w:r>
      <w:r w:rsidR="00A8443E" w:rsidRPr="00027624">
        <w:rPr>
          <w:szCs w:val="18"/>
        </w:rPr>
        <w:noBreakHyphen/>
      </w:r>
      <w:r w:rsidRPr="00027624">
        <w:rPr>
          <w:szCs w:val="18"/>
        </w:rPr>
        <w:t xml:space="preserve">collar workers selected </w:t>
      </w:r>
      <w:r w:rsidR="00A8443E" w:rsidRPr="00027624">
        <w:rPr>
          <w:szCs w:val="18"/>
        </w:rPr>
        <w:t>‘</w:t>
      </w:r>
      <w:r w:rsidRPr="00027624">
        <w:rPr>
          <w:szCs w:val="18"/>
        </w:rPr>
        <w:t>other</w:t>
      </w:r>
      <w:r w:rsidR="00A8443E" w:rsidRPr="00027624">
        <w:rPr>
          <w:szCs w:val="18"/>
        </w:rPr>
        <w:t>’</w:t>
      </w:r>
      <w:r w:rsidRPr="00027624">
        <w:rPr>
          <w:szCs w:val="18"/>
        </w:rPr>
        <w:t xml:space="preserve"> reason for retiring. While the charts use a relatively small sample size and therefore some categories have high relative standard errors, the results are consistent with earlier surveys</w:t>
      </w:r>
      <w:r w:rsidRPr="00027624">
        <w:t xml:space="preserve">. Source: Analysis of </w:t>
      </w:r>
      <w:sdt>
        <w:sdtPr>
          <w:id w:val="-673723399"/>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49165FB2" w14:textId="75145E01" w:rsidR="00B3792F" w:rsidRPr="00027624" w:rsidRDefault="00B3792F" w:rsidP="00B3792F">
      <w:r w:rsidRPr="00027624">
        <w:t>Consistent</w:t>
      </w:r>
      <w:r w:rsidRPr="00027624">
        <w:rPr>
          <w:bCs/>
        </w:rPr>
        <w:t xml:space="preserve"> with previous </w:t>
      </w:r>
      <w:r w:rsidRPr="00027624">
        <w:t xml:space="preserve">research </w:t>
      </w:r>
      <w:sdt>
        <w:sdtPr>
          <w:rPr>
            <w:bCs/>
          </w:rPr>
          <w:id w:val="-1448143931"/>
          <w:citation/>
        </w:sdtPr>
        <w:sdtEndPr/>
        <w:sdtContent>
          <w:r w:rsidRPr="00027624">
            <w:rPr>
              <w:bCs/>
            </w:rPr>
            <w:fldChar w:fldCharType="begin"/>
          </w:r>
          <w:r w:rsidRPr="00027624">
            <w:rPr>
              <w:bCs/>
            </w:rPr>
            <w:instrText xml:space="preserve">CITATION Aus14 \p 19 \l 3081 </w:instrText>
          </w:r>
          <w:r w:rsidRPr="00027624">
            <w:rPr>
              <w:bCs/>
            </w:rPr>
            <w:fldChar w:fldCharType="separate"/>
          </w:r>
          <w:r w:rsidR="00E83F6E">
            <w:rPr>
              <w:noProof/>
            </w:rPr>
            <w:t>(Australian Centre for Financial Studies, 2014, p. 19)</w:t>
          </w:r>
          <w:r w:rsidRPr="00027624">
            <w:rPr>
              <w:bCs/>
            </w:rPr>
            <w:fldChar w:fldCharType="end"/>
          </w:r>
        </w:sdtContent>
      </w:sdt>
      <w:r w:rsidRPr="00027624">
        <w:rPr>
          <w:bCs/>
        </w:rPr>
        <w:t>,</w:t>
      </w:r>
      <w:r w:rsidRPr="00027624" w:rsidDel="00727377">
        <w:t xml:space="preserve"> </w:t>
      </w:r>
      <w:r w:rsidRPr="00027624">
        <w:t>recent data confirms that occupations predisposed to early</w:t>
      </w:r>
      <w:r w:rsidRPr="00027624">
        <w:rPr>
          <w:bCs/>
        </w:rPr>
        <w:t xml:space="preserve"> retirement are </w:t>
      </w:r>
      <w:r w:rsidRPr="00027624">
        <w:t xml:space="preserve">not necessarily those typically associated with manual </w:t>
      </w:r>
      <w:r w:rsidRPr="00027624">
        <w:rPr>
          <w:szCs w:val="22"/>
        </w:rPr>
        <w:t>labour.</w:t>
      </w:r>
      <w:r w:rsidRPr="00027624" w:rsidDel="00F57928">
        <w:rPr>
          <w:szCs w:val="22"/>
        </w:rPr>
        <w:t xml:space="preserve"> </w:t>
      </w:r>
      <w:r w:rsidRPr="00027624">
        <w:rPr>
          <w:b/>
          <w:bCs/>
          <w:szCs w:val="22"/>
        </w:rPr>
        <w:t>There appears to be some correlation between</w:t>
      </w:r>
      <w:r w:rsidRPr="00027624">
        <w:rPr>
          <w:b/>
          <w:szCs w:val="22"/>
        </w:rPr>
        <w:t xml:space="preserve"> the level of </w:t>
      </w:r>
      <w:r w:rsidRPr="00027624">
        <w:rPr>
          <w:b/>
          <w:bCs/>
          <w:szCs w:val="22"/>
        </w:rPr>
        <w:t xml:space="preserve">occupational </w:t>
      </w:r>
      <w:r w:rsidRPr="00027624">
        <w:rPr>
          <w:b/>
          <w:szCs w:val="22"/>
        </w:rPr>
        <w:t>skill</w:t>
      </w:r>
      <w:r w:rsidRPr="00027624">
        <w:rPr>
          <w:b/>
          <w:bCs/>
          <w:szCs w:val="22"/>
        </w:rPr>
        <w:t xml:space="preserve"> and </w:t>
      </w:r>
      <w:r w:rsidRPr="00027624" w:rsidDel="00E959BD">
        <w:rPr>
          <w:b/>
          <w:szCs w:val="22"/>
        </w:rPr>
        <w:t>retirement age.</w:t>
      </w:r>
      <w:r w:rsidRPr="00027624">
        <w:rPr>
          <w:szCs w:val="22"/>
        </w:rPr>
        <w:t xml:space="preserve"> </w:t>
      </w:r>
      <w:r w:rsidRPr="00027624">
        <w:t>Fo</w:t>
      </w:r>
      <w:r w:rsidRPr="00027624">
        <w:rPr>
          <w:szCs w:val="22"/>
        </w:rPr>
        <w:t>r example, recent ABS data shows the occupation where retirement before age 65 is least common</w:t>
      </w:r>
      <w:r w:rsidR="00A8443E" w:rsidRPr="00027624">
        <w:rPr>
          <w:szCs w:val="22"/>
        </w:rPr>
        <w:t xml:space="preserve"> — ‘</w:t>
      </w:r>
      <w:r w:rsidRPr="00027624">
        <w:rPr>
          <w:szCs w:val="22"/>
        </w:rPr>
        <w:t>professionals</w:t>
      </w:r>
      <w:r w:rsidR="00A8443E" w:rsidRPr="00027624">
        <w:rPr>
          <w:szCs w:val="22"/>
        </w:rPr>
        <w:t xml:space="preserve">’ — </w:t>
      </w:r>
      <w:r w:rsidRPr="00027624">
        <w:rPr>
          <w:szCs w:val="22"/>
        </w:rPr>
        <w:t xml:space="preserve">is a higher skilled occupation. In contrast, </w:t>
      </w:r>
      <w:r w:rsidR="00A8443E" w:rsidRPr="00027624">
        <w:rPr>
          <w:szCs w:val="22"/>
        </w:rPr>
        <w:t>‘</w:t>
      </w:r>
      <w:r w:rsidRPr="00027624">
        <w:rPr>
          <w:szCs w:val="22"/>
        </w:rPr>
        <w:t>sales workers</w:t>
      </w:r>
      <w:r w:rsidR="00A8443E" w:rsidRPr="00027624">
        <w:rPr>
          <w:szCs w:val="22"/>
        </w:rPr>
        <w:t>’</w:t>
      </w:r>
      <w:r w:rsidRPr="00027624">
        <w:rPr>
          <w:szCs w:val="22"/>
        </w:rPr>
        <w:t xml:space="preserve"> are more likely to retire before age 65 and tend to be classified as a lower skilled occupation. However, the level of skill may not always influence the age of retirement, as the lower skilled occupation of </w:t>
      </w:r>
      <w:r w:rsidR="00A8443E" w:rsidRPr="00027624">
        <w:rPr>
          <w:szCs w:val="22"/>
        </w:rPr>
        <w:t>‘</w:t>
      </w:r>
      <w:r w:rsidRPr="00027624">
        <w:rPr>
          <w:szCs w:val="22"/>
        </w:rPr>
        <w:t>labourers</w:t>
      </w:r>
      <w:r w:rsidR="00A8443E" w:rsidRPr="00027624">
        <w:rPr>
          <w:szCs w:val="22"/>
        </w:rPr>
        <w:t>’</w:t>
      </w:r>
      <w:r w:rsidRPr="00027624">
        <w:rPr>
          <w:szCs w:val="22"/>
        </w:rPr>
        <w:t xml:space="preserve"> has some of the lowest rates of retirement before age 65 among recent retirees (</w:t>
      </w:r>
      <w:r w:rsidRPr="00027624">
        <w:rPr>
          <w:szCs w:val="22"/>
        </w:rPr>
        <w:fldChar w:fldCharType="begin"/>
      </w:r>
      <w:r w:rsidRPr="00027624">
        <w:rPr>
          <w:szCs w:val="22"/>
        </w:rPr>
        <w:instrText xml:space="preserve"> REF _Ref36559738 \r \h  \* MERGEFORMAT </w:instrText>
      </w:r>
      <w:r w:rsidRPr="00027624">
        <w:rPr>
          <w:szCs w:val="22"/>
        </w:rPr>
      </w:r>
      <w:r w:rsidRPr="00027624">
        <w:rPr>
          <w:szCs w:val="22"/>
        </w:rPr>
        <w:fldChar w:fldCharType="separate"/>
      </w:r>
      <w:r w:rsidR="00891058">
        <w:rPr>
          <w:szCs w:val="22"/>
        </w:rPr>
        <w:t>Chart 3E-7</w:t>
      </w:r>
      <w:r w:rsidRPr="00027624">
        <w:rPr>
          <w:szCs w:val="22"/>
        </w:rPr>
        <w:fldChar w:fldCharType="end"/>
      </w:r>
      <w:r w:rsidRPr="00027624">
        <w:rPr>
          <w:szCs w:val="22"/>
        </w:rPr>
        <w:t>).</w:t>
      </w:r>
      <w:r w:rsidRPr="00027624">
        <w:rPr>
          <w:rStyle w:val="FootnoteReference"/>
          <w:szCs w:val="22"/>
        </w:rPr>
        <w:footnoteReference w:id="205"/>
      </w:r>
    </w:p>
    <w:p w14:paraId="7A61FA70" w14:textId="77777777" w:rsidR="00B3792F" w:rsidRPr="00027624" w:rsidRDefault="00B3792F" w:rsidP="00582C3E">
      <w:pPr>
        <w:pStyle w:val="ChartMainHeading"/>
      </w:pPr>
      <w:bookmarkStart w:id="2744" w:name="_Ref36559738"/>
      <w:r w:rsidRPr="00027624">
        <w:lastRenderedPageBreak/>
        <w:t>Proportion of people retiring, by occupation of last job and age of retirement</w:t>
      </w:r>
      <w:r w:rsidRPr="00027624" w:rsidDel="00DF76AE">
        <w:t xml:space="preserve"> </w:t>
      </w:r>
      <w:bookmarkEnd w:id="2744"/>
    </w:p>
    <w:p w14:paraId="1BD1A588" w14:textId="77777777" w:rsidR="00B3792F" w:rsidRPr="00027624" w:rsidRDefault="00963FB6" w:rsidP="00AB03E9">
      <w:pPr>
        <w:pStyle w:val="ChartGraphic"/>
      </w:pPr>
      <w:r>
        <w:rPr>
          <w:noProof/>
        </w:rPr>
        <w:drawing>
          <wp:inline distT="0" distB="0" distL="0" distR="0" wp14:anchorId="1586BF24" wp14:editId="6D5F73E9">
            <wp:extent cx="5920740" cy="2560320"/>
            <wp:effectExtent l="0" t="0" r="3810" b="0"/>
            <wp:docPr id="96" name="Picture 96" descr="This chart shows that a high proportion of community and personal service workers, and sales workers, retired at younger ages (e.g. before age 60). Whereas, a high proportion of professionals, labourers, clerical and administrative workers and managers retired at older ages (e.g. from age 65 onwards). Out of all of the occupations, a higher proportion of labourers retired aged 70 and over." title="Chart 3E-7 Proportion of people retiring, by occupation of last job and age of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20740" cy="2560320"/>
                    </a:xfrm>
                    <a:prstGeom prst="rect">
                      <a:avLst/>
                    </a:prstGeom>
                    <a:noFill/>
                  </pic:spPr>
                </pic:pic>
              </a:graphicData>
            </a:graphic>
          </wp:inline>
        </w:drawing>
      </w:r>
    </w:p>
    <w:p w14:paraId="54C81C36" w14:textId="77777777" w:rsidR="00B3792F" w:rsidRPr="00027624" w:rsidRDefault="00B3792F" w:rsidP="00AB03E9">
      <w:pPr>
        <w:pStyle w:val="ChartorTableNote"/>
      </w:pPr>
      <w:r w:rsidRPr="00027624">
        <w:t xml:space="preserve">Note: </w:t>
      </w:r>
      <w:r w:rsidRPr="00027624">
        <w:rPr>
          <w:szCs w:val="18"/>
        </w:rPr>
        <w:t xml:space="preserve">Proportion is of </w:t>
      </w:r>
      <w:r w:rsidRPr="00027624">
        <w:t xml:space="preserve">people who retired between July 2013 and June 2019. </w:t>
      </w:r>
      <w:r w:rsidRPr="00027624">
        <w:rPr>
          <w:szCs w:val="18"/>
        </w:rPr>
        <w:t>While the chart uses a relatively small sample size and therefore some categories have high relative standard errors, the correlation between the level of occupational skill and retirement age are consistent with earlier surveys.</w:t>
      </w:r>
      <w:r w:rsidRPr="00027624">
        <w:t xml:space="preserve"> Source: Analysis of </w:t>
      </w:r>
      <w:sdt>
        <w:sdtPr>
          <w:id w:val="-1724208546"/>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1BEF1A3D" w14:textId="77777777" w:rsidR="00B3792F" w:rsidRPr="00027624" w:rsidRDefault="00B3792F" w:rsidP="00B3792F">
      <w:pPr>
        <w:pStyle w:val="Heading2"/>
      </w:pPr>
      <w:bookmarkStart w:id="2745" w:name="_Toc40281858"/>
      <w:bookmarkStart w:id="2746" w:name="_Toc40282078"/>
      <w:bookmarkStart w:id="2747" w:name="_Toc40366179"/>
      <w:bookmarkStart w:id="2748" w:name="_Toc40369725"/>
      <w:bookmarkStart w:id="2749" w:name="_Toc40427881"/>
      <w:bookmarkStart w:id="2750" w:name="_Toc40458134"/>
      <w:bookmarkStart w:id="2751" w:name="_Toc40461903"/>
      <w:bookmarkStart w:id="2752" w:name="_Toc40474458"/>
      <w:bookmarkStart w:id="2753" w:name="_Toc40477987"/>
      <w:bookmarkStart w:id="2754" w:name="_Toc40521567"/>
      <w:bookmarkStart w:id="2755" w:name="_Toc40530426"/>
      <w:bookmarkStart w:id="2756" w:name="_Toc42778853"/>
      <w:bookmarkStart w:id="2757" w:name="_Toc42779993"/>
      <w:bookmarkStart w:id="2758" w:name="_Toc42780422"/>
      <w:bookmarkStart w:id="2759" w:name="_Toc42786412"/>
      <w:bookmarkStart w:id="2760" w:name="_Toc42791905"/>
      <w:bookmarkStart w:id="2761" w:name="_Toc42792067"/>
      <w:bookmarkStart w:id="2762" w:name="_Toc43117874"/>
      <w:bookmarkStart w:id="2763" w:name="_Toc43121513"/>
      <w:bookmarkStart w:id="2764" w:name="_Toc43122718"/>
      <w:bookmarkStart w:id="2765" w:name="_Toc43127773"/>
      <w:bookmarkStart w:id="2766" w:name="_Toc45520516"/>
      <w:bookmarkStart w:id="2767" w:name="_Toc46133627"/>
      <w:r w:rsidRPr="00027624">
        <w:t>Unemployment, underemployment and discouraged job</w:t>
      </w:r>
      <w:r w:rsidR="009742F5" w:rsidRPr="00027624">
        <w:t> </w:t>
      </w:r>
      <w:r w:rsidRPr="00027624">
        <w:t>seekers</w:t>
      </w:r>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p>
    <w:p w14:paraId="3ECE48BD" w14:textId="77777777" w:rsidR="00B3792F" w:rsidRPr="00027624" w:rsidRDefault="00B3792F" w:rsidP="00B3792F">
      <w:r w:rsidRPr="00027624">
        <w:t>Many stakeholders suggested that unemployment and underemployment among Australians aged 55 and over make it harder for them to</w:t>
      </w:r>
      <w:r w:rsidRPr="00027624" w:rsidDel="001C4DC3">
        <w:t xml:space="preserve"> </w:t>
      </w:r>
      <w:r w:rsidRPr="00027624">
        <w:t xml:space="preserve">accumulate retirement savings. </w:t>
      </w:r>
    </w:p>
    <w:p w14:paraId="0AC94571" w14:textId="7ADA2974" w:rsidR="00B3792F" w:rsidRPr="00027624" w:rsidRDefault="00B3792F" w:rsidP="00B3792F">
      <w:r w:rsidRPr="00027624">
        <w:t>ABS data over a long period shows people aged 55</w:t>
      </w:r>
      <w:r w:rsidR="00A8443E" w:rsidRPr="00027624">
        <w:noBreakHyphen/>
      </w:r>
      <w:r w:rsidRPr="00027624">
        <w:t>64 have experienced unemployment (</w:t>
      </w:r>
      <w:r w:rsidRPr="00027624">
        <w:fldChar w:fldCharType="begin"/>
      </w:r>
      <w:r w:rsidRPr="00027624">
        <w:instrText xml:space="preserve"> REF _Ref35863682 \r \h  \* MERGEFORMAT </w:instrText>
      </w:r>
      <w:r w:rsidRPr="00027624">
        <w:fldChar w:fldCharType="separate"/>
      </w:r>
      <w:r w:rsidR="00891058">
        <w:t>Chart 3E-8</w:t>
      </w:r>
      <w:r w:rsidRPr="00027624">
        <w:fldChar w:fldCharType="end"/>
      </w:r>
      <w:r w:rsidRPr="00027624">
        <w:t xml:space="preserve">), underemployment or have been </w:t>
      </w:r>
      <w:r w:rsidR="00A8443E" w:rsidRPr="00027624">
        <w:t>‘</w:t>
      </w:r>
      <w:r w:rsidRPr="00027624">
        <w:t>discouraged job seekers</w:t>
      </w:r>
      <w:r w:rsidR="00A8443E" w:rsidRPr="00027624">
        <w:t>’</w:t>
      </w:r>
      <w:r w:rsidRPr="00027624">
        <w:t xml:space="preserve"> at rates broadly similar to other working</w:t>
      </w:r>
      <w:r w:rsidR="00A8443E" w:rsidRPr="00027624">
        <w:noBreakHyphen/>
      </w:r>
      <w:r w:rsidRPr="00027624">
        <w:t>age Australians aged 25</w:t>
      </w:r>
      <w:r w:rsidR="00A8443E" w:rsidRPr="00027624">
        <w:noBreakHyphen/>
      </w:r>
      <w:r w:rsidRPr="00027624">
        <w:t>54. However, people aged 55 and over experience unemployment and underemployment for longer periods than younger age groups. Between 2010 and 2019, for people aged 55 and over who were unemployed, the average typical length of time searching for a job was 22 weeks compared w</w:t>
      </w:r>
      <w:r w:rsidR="009742F5" w:rsidRPr="00027624">
        <w:t>ith 16 weeks for people aged 25-</w:t>
      </w:r>
      <w:r w:rsidRPr="00027624">
        <w:t xml:space="preserve">54 </w:t>
      </w:r>
      <w:sdt>
        <w:sdtPr>
          <w:id w:val="1061669362"/>
          <w:citation/>
        </w:sdtPr>
        <w:sdtEndPr/>
        <w:sdtContent>
          <w:r w:rsidRPr="00027624">
            <w:fldChar w:fldCharType="begin"/>
          </w:r>
          <w:r w:rsidRPr="00027624">
            <w:instrText xml:space="preserve">CITATION ABS206 \l 3081 </w:instrText>
          </w:r>
          <w:r w:rsidRPr="00027624">
            <w:fldChar w:fldCharType="separate"/>
          </w:r>
          <w:r w:rsidR="00E83F6E">
            <w:rPr>
              <w:noProof/>
            </w:rPr>
            <w:t>(ABS, 2020g)</w:t>
          </w:r>
          <w:r w:rsidRPr="00027624">
            <w:fldChar w:fldCharType="end"/>
          </w:r>
        </w:sdtContent>
      </w:sdt>
      <w:r w:rsidRPr="00027624">
        <w:t>. Notably, these statistics may understate unemployment in older workers as this age group may be more likely than younger people to exit the labour market. If pre</w:t>
      </w:r>
      <w:r w:rsidR="00A8443E" w:rsidRPr="00027624">
        <w:noBreakHyphen/>
      </w:r>
      <w:r w:rsidRPr="00027624">
        <w:t>retirees stop looking for work, due to their own ill health, caring responsibilities or simply giving up on finding employment, they will not be counted in these statistics.</w:t>
      </w:r>
    </w:p>
    <w:p w14:paraId="6679BE2A" w14:textId="1469EADB" w:rsidR="00B3792F" w:rsidRPr="00027624" w:rsidRDefault="00B3792F" w:rsidP="00B3792F">
      <w:pPr>
        <w:spacing w:before="0" w:after="0"/>
        <w:textAlignment w:val="baseline"/>
        <w:rPr>
          <w:rFonts w:ascii="Times New Roman" w:hAnsi="Times New Roman"/>
        </w:rPr>
      </w:pPr>
      <w:r w:rsidRPr="00027624">
        <w:t xml:space="preserve">The data in </w:t>
      </w:r>
      <w:r w:rsidRPr="00027624">
        <w:fldChar w:fldCharType="begin"/>
      </w:r>
      <w:r w:rsidRPr="00027624">
        <w:instrText xml:space="preserve"> REF _Ref44599236 \r \h  \* MERGEFORMAT </w:instrText>
      </w:r>
      <w:r w:rsidRPr="00027624">
        <w:fldChar w:fldCharType="separate"/>
      </w:r>
      <w:r w:rsidR="00891058">
        <w:t>Chart 3E-8</w:t>
      </w:r>
      <w:r w:rsidRPr="00027624">
        <w:fldChar w:fldCharType="end"/>
      </w:r>
      <w:r w:rsidRPr="00027624">
        <w:t xml:space="preserve"> also does not account for the impact of the COVID</w:t>
      </w:r>
      <w:r w:rsidR="00A8443E" w:rsidRPr="00027624">
        <w:noBreakHyphen/>
      </w:r>
      <w:r w:rsidRPr="00027624">
        <w:t xml:space="preserve">19 Pandemic, and it is too early to know its full effect on unemployment and underemployment. Data to May 2020 shows the unemployment and underemployment rates among Australians aged 55 and over have increased compared with January 2020. However, these increases are generally smaller compared with younger age groups </w:t>
      </w:r>
      <w:sdt>
        <w:sdtPr>
          <w:id w:val="1349914228"/>
          <w:citation/>
        </w:sdtPr>
        <w:sdtEndPr/>
        <w:sdtContent>
          <w:r w:rsidR="00700280" w:rsidRPr="00027624">
            <w:fldChar w:fldCharType="begin"/>
          </w:r>
          <w:r w:rsidR="00700280" w:rsidRPr="00027624">
            <w:instrText xml:space="preserve"> CITATION ABS0lp \l 3081 </w:instrText>
          </w:r>
          <w:r w:rsidR="00700280" w:rsidRPr="00027624">
            <w:fldChar w:fldCharType="separate"/>
          </w:r>
          <w:r w:rsidR="00E83F6E">
            <w:rPr>
              <w:noProof/>
            </w:rPr>
            <w:t>(ABS, 2020k)</w:t>
          </w:r>
          <w:r w:rsidR="00700280" w:rsidRPr="00027624">
            <w:fldChar w:fldCharType="end"/>
          </w:r>
        </w:sdtContent>
      </w:sdt>
      <w:r w:rsidRPr="00027624">
        <w:t>.</w:t>
      </w:r>
    </w:p>
    <w:p w14:paraId="67814159" w14:textId="77777777" w:rsidR="00B3792F" w:rsidRPr="00027624" w:rsidRDefault="00B3792F" w:rsidP="00264EED">
      <w:r w:rsidRPr="00027624">
        <w:t>See</w:t>
      </w:r>
      <w:r w:rsidRPr="00876E02">
        <w:rPr>
          <w:i/>
        </w:rPr>
        <w:t xml:space="preserve"> </w:t>
      </w:r>
      <w:r w:rsidR="000F2751">
        <w:rPr>
          <w:i/>
        </w:rPr>
        <w:t>3B. Gender and partnered status</w:t>
      </w:r>
      <w:r w:rsidRPr="00876E02">
        <w:rPr>
          <w:i/>
        </w:rPr>
        <w:t xml:space="preserve"> </w:t>
      </w:r>
      <w:r w:rsidRPr="00027624">
        <w:rPr>
          <w:iCs/>
        </w:rPr>
        <w:t>for</w:t>
      </w:r>
      <w:r w:rsidRPr="00027624">
        <w:t xml:space="preserve"> the effect of career breaks later in life and </w:t>
      </w:r>
      <w:r w:rsidRPr="00027624">
        <w:rPr>
          <w:i/>
        </w:rPr>
        <w:t xml:space="preserve">2C. Maintaining standards of living in retirement </w:t>
      </w:r>
      <w:r w:rsidRPr="00027624">
        <w:t xml:space="preserve">for the effect of shorter working lives. </w:t>
      </w:r>
    </w:p>
    <w:p w14:paraId="64B4E958" w14:textId="77777777" w:rsidR="00B3792F" w:rsidRPr="00027624" w:rsidRDefault="00B3792F" w:rsidP="00582C3E">
      <w:pPr>
        <w:pStyle w:val="ChartMainHeading"/>
      </w:pPr>
      <w:bookmarkStart w:id="2768" w:name="_Ref35863682"/>
      <w:bookmarkStart w:id="2769" w:name="_Ref43976352"/>
      <w:bookmarkStart w:id="2770" w:name="_Ref44599236"/>
      <w:r w:rsidRPr="00027624">
        <w:lastRenderedPageBreak/>
        <w:t>Average unemployment rate, by age</w:t>
      </w:r>
      <w:bookmarkEnd w:id="2768"/>
      <w:bookmarkEnd w:id="2769"/>
      <w:bookmarkEnd w:id="2770"/>
    </w:p>
    <w:p w14:paraId="0B68B209" w14:textId="77777777" w:rsidR="00B3792F" w:rsidRPr="00027624" w:rsidRDefault="00823617" w:rsidP="00AB03E9">
      <w:pPr>
        <w:pStyle w:val="ChartGraphic"/>
      </w:pPr>
      <w:r>
        <w:rPr>
          <w:noProof/>
        </w:rPr>
        <w:drawing>
          <wp:inline distT="0" distB="0" distL="0" distR="0" wp14:anchorId="01EE9574" wp14:editId="38E83485">
            <wp:extent cx="5593080" cy="2522220"/>
            <wp:effectExtent l="0" t="0" r="7620" b="0"/>
            <wp:docPr id="97" name="Picture 97" descr="This chart shows that the rate of unemployment was lower in the 2010s for those aged 15-64 compared with the 1990s. In each decade (1990s, 2000s, 2010s) the average unemployment rate for those aged 25-64 has been similar. In contrast, the unemployment rate for those aged 15-24 has been significantly higher in each decade. The unemployment rate was the lowest in each decade for those aged 65 and over." title="Chart 3E-8 Average unemployment rate,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pic:spPr>
                </pic:pic>
              </a:graphicData>
            </a:graphic>
          </wp:inline>
        </w:drawing>
      </w:r>
    </w:p>
    <w:p w14:paraId="4A82A74F" w14:textId="77777777" w:rsidR="00B3792F" w:rsidRPr="00027624" w:rsidRDefault="00E17803" w:rsidP="00B3792F">
      <w:pPr>
        <w:pStyle w:val="ChartorTableNote"/>
      </w:pPr>
      <w:r>
        <w:rPr>
          <w:szCs w:val="18"/>
        </w:rPr>
        <w:t>Note</w:t>
      </w:r>
      <w:r w:rsidR="00B3792F" w:rsidRPr="00027624">
        <w:rPr>
          <w:szCs w:val="18"/>
        </w:rPr>
        <w:t xml:space="preserve">: Uses the average of all monthly unemployment rates in the relevant decade. </w:t>
      </w:r>
      <w:r>
        <w:rPr>
          <w:szCs w:val="18"/>
        </w:rPr>
        <w:t xml:space="preserve">Source: </w:t>
      </w:r>
      <w:r w:rsidR="00B3792F" w:rsidRPr="00027624">
        <w:rPr>
          <w:szCs w:val="18"/>
        </w:rPr>
        <w:t xml:space="preserve">Analysis of </w:t>
      </w:r>
      <w:sdt>
        <w:sdtPr>
          <w:rPr>
            <w:szCs w:val="18"/>
          </w:rPr>
          <w:id w:val="-936130865"/>
          <w:citation/>
        </w:sdtPr>
        <w:sdtEndPr/>
        <w:sdtContent>
          <w:r w:rsidR="00B3792F" w:rsidRPr="00027624">
            <w:rPr>
              <w:szCs w:val="18"/>
            </w:rPr>
            <w:fldChar w:fldCharType="begin"/>
          </w:r>
          <w:r w:rsidR="00B3792F" w:rsidRPr="00027624">
            <w:rPr>
              <w:szCs w:val="18"/>
            </w:rPr>
            <w:instrText xml:space="preserve">CITATION Lab0q \l 3081 </w:instrText>
          </w:r>
          <w:r w:rsidR="00B3792F" w:rsidRPr="00027624">
            <w:rPr>
              <w:szCs w:val="18"/>
            </w:rPr>
            <w:fldChar w:fldCharType="separate"/>
          </w:r>
          <w:r w:rsidR="00E83F6E" w:rsidRPr="00E83F6E">
            <w:rPr>
              <w:noProof/>
              <w:szCs w:val="18"/>
            </w:rPr>
            <w:t>(ABS, 2020h)</w:t>
          </w:r>
          <w:r w:rsidR="00B3792F" w:rsidRPr="00027624">
            <w:rPr>
              <w:szCs w:val="18"/>
            </w:rPr>
            <w:fldChar w:fldCharType="end"/>
          </w:r>
        </w:sdtContent>
      </w:sdt>
      <w:r w:rsidR="00B3792F" w:rsidRPr="00027624">
        <w:t>.</w:t>
      </w:r>
    </w:p>
    <w:p w14:paraId="115969B4" w14:textId="77777777" w:rsidR="00B3792F" w:rsidRPr="00027624" w:rsidRDefault="00B3792F" w:rsidP="00B3792F">
      <w:pPr>
        <w:pStyle w:val="Heading2"/>
      </w:pPr>
      <w:bookmarkStart w:id="2771" w:name="_Toc40281859"/>
      <w:bookmarkStart w:id="2772" w:name="_Toc40282079"/>
      <w:bookmarkStart w:id="2773" w:name="_Toc40366180"/>
      <w:bookmarkStart w:id="2774" w:name="_Toc40369726"/>
      <w:bookmarkStart w:id="2775" w:name="_Toc40427882"/>
      <w:bookmarkStart w:id="2776" w:name="_Toc40458135"/>
      <w:bookmarkStart w:id="2777" w:name="_Toc40461904"/>
      <w:bookmarkStart w:id="2778" w:name="_Toc40474459"/>
      <w:bookmarkStart w:id="2779" w:name="_Toc40477988"/>
      <w:bookmarkStart w:id="2780" w:name="_Toc40521568"/>
      <w:bookmarkStart w:id="2781" w:name="_Toc40530427"/>
      <w:bookmarkStart w:id="2782" w:name="_Toc42778854"/>
      <w:bookmarkStart w:id="2783" w:name="_Toc42779994"/>
      <w:bookmarkStart w:id="2784" w:name="_Toc42780423"/>
      <w:bookmarkStart w:id="2785" w:name="_Toc42786413"/>
      <w:bookmarkStart w:id="2786" w:name="_Toc42791906"/>
      <w:bookmarkStart w:id="2787" w:name="_Toc42792068"/>
      <w:bookmarkStart w:id="2788" w:name="_Toc43117875"/>
      <w:bookmarkStart w:id="2789" w:name="_Toc43121514"/>
      <w:bookmarkStart w:id="2790" w:name="_Toc43122719"/>
      <w:bookmarkStart w:id="2791" w:name="_Toc43127774"/>
      <w:bookmarkStart w:id="2792" w:name="_Toc45520517"/>
      <w:bookmarkStart w:id="2793" w:name="_Toc46133628"/>
      <w:r w:rsidRPr="00027624">
        <w:t>Support available to people who retire early</w:t>
      </w:r>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p>
    <w:p w14:paraId="2E38D65D" w14:textId="77777777" w:rsidR="00B3792F" w:rsidRPr="00027624" w:rsidRDefault="00B3792F" w:rsidP="00B3792F">
      <w:pPr>
        <w:pStyle w:val="Heading3"/>
      </w:pPr>
      <w:bookmarkStart w:id="2794" w:name="_Toc40281860"/>
      <w:bookmarkStart w:id="2795" w:name="_Toc40282080"/>
      <w:bookmarkStart w:id="2796" w:name="_Toc40366181"/>
      <w:bookmarkStart w:id="2797" w:name="_Toc40369727"/>
      <w:bookmarkStart w:id="2798" w:name="_Toc40427883"/>
      <w:bookmarkStart w:id="2799" w:name="_Toc40458136"/>
      <w:bookmarkStart w:id="2800" w:name="_Toc40461905"/>
      <w:bookmarkStart w:id="2801" w:name="_Toc40474460"/>
      <w:bookmarkStart w:id="2802" w:name="_Toc40477989"/>
      <w:bookmarkStart w:id="2803" w:name="_Toc40521569"/>
      <w:bookmarkStart w:id="2804" w:name="_Toc40530428"/>
      <w:bookmarkStart w:id="2805" w:name="_Toc42778855"/>
      <w:bookmarkStart w:id="2806" w:name="_Toc42779995"/>
      <w:bookmarkStart w:id="2807" w:name="_Toc42780424"/>
      <w:bookmarkStart w:id="2808" w:name="_Toc42786414"/>
      <w:bookmarkStart w:id="2809" w:name="_Toc42791907"/>
      <w:bookmarkStart w:id="2810" w:name="_Toc42792069"/>
      <w:bookmarkStart w:id="2811" w:name="_Toc43117876"/>
      <w:bookmarkStart w:id="2812" w:name="_Toc43121515"/>
      <w:bookmarkStart w:id="2813" w:name="_Toc43122720"/>
      <w:bookmarkStart w:id="2814" w:name="_Toc43127775"/>
      <w:r w:rsidRPr="00027624">
        <w:t>Source of income at the point of retirement</w:t>
      </w:r>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r w:rsidRPr="00027624">
        <w:t xml:space="preserve"> </w:t>
      </w:r>
    </w:p>
    <w:p w14:paraId="55847B8F" w14:textId="51633BCF" w:rsidR="00B3792F" w:rsidRPr="00027624" w:rsidRDefault="00B3792F" w:rsidP="00B3792F">
      <w:r w:rsidRPr="00027624">
        <w:rPr>
          <w:b/>
          <w:bCs/>
        </w:rPr>
        <w:t>The main source of income at the point of retirement differs between people who retire voluntarily and involuntarily.</w:t>
      </w:r>
      <w:r w:rsidRPr="00027624">
        <w:t xml:space="preserve"> People who retire involuntarily are relatively more likely to rely on a Government pension or allowance (</w:t>
      </w:r>
      <w:r w:rsidRPr="00027624">
        <w:fldChar w:fldCharType="begin"/>
      </w:r>
      <w:r w:rsidRPr="00027624">
        <w:instrText xml:space="preserve"> REF _Ref35863945 \r \h  \* MERGEFORMAT </w:instrText>
      </w:r>
      <w:r w:rsidRPr="00027624">
        <w:fldChar w:fldCharType="separate"/>
      </w:r>
      <w:r w:rsidR="00891058">
        <w:t>Chart 3E-9</w:t>
      </w:r>
      <w:r w:rsidRPr="00027624">
        <w:fldChar w:fldCharType="end"/>
      </w:r>
      <w:r w:rsidRPr="00027624">
        <w:t>). Whereas, people who retire voluntarily are relatively more likely to rely on superannuation (</w:t>
      </w:r>
      <w:r w:rsidRPr="00027624">
        <w:fldChar w:fldCharType="begin"/>
      </w:r>
      <w:r w:rsidRPr="00027624">
        <w:instrText xml:space="preserve"> REF _Ref35863970 \r \h  \* MERGEFORMAT </w:instrText>
      </w:r>
      <w:r w:rsidRPr="00027624">
        <w:fldChar w:fldCharType="separate"/>
      </w:r>
      <w:r w:rsidR="00891058">
        <w:t>Chart</w:t>
      </w:r>
      <w:r w:rsidR="00891058" w:rsidRPr="00891058">
        <w:rPr>
          <w:rStyle w:val="CommentReference"/>
          <w:rFonts w:asciiTheme="minorHAnsi" w:eastAsiaTheme="minorHAnsi" w:hAnsiTheme="minorHAnsi" w:cstheme="minorBidi"/>
          <w:lang w:eastAsia="en-US"/>
        </w:rPr>
        <w:t xml:space="preserve"> </w:t>
      </w:r>
      <w:r w:rsidR="00891058">
        <w:t>3E-10</w:t>
      </w:r>
      <w:r w:rsidRPr="00027624">
        <w:fldChar w:fldCharType="end"/>
      </w:r>
      <w:r w:rsidRPr="00027624">
        <w:t xml:space="preserve">). </w:t>
      </w:r>
    </w:p>
    <w:p w14:paraId="56850B9E" w14:textId="286D8193" w:rsidR="00B3792F" w:rsidRPr="00027624" w:rsidRDefault="00B3792F" w:rsidP="00B3792F">
      <w:r w:rsidRPr="00027624">
        <w:t>People</w:t>
      </w:r>
      <w:r w:rsidR="00A8443E" w:rsidRPr="00027624">
        <w:t>’</w:t>
      </w:r>
      <w:r w:rsidRPr="00027624">
        <w:t>s main source of retirement income also differs based on what age they retire (</w:t>
      </w:r>
      <w:r w:rsidRPr="00027624">
        <w:fldChar w:fldCharType="begin"/>
      </w:r>
      <w:r w:rsidRPr="00027624">
        <w:instrText xml:space="preserve"> REF _Ref35863945 \r \h  \* MERGEFORMAT </w:instrText>
      </w:r>
      <w:r w:rsidRPr="00027624">
        <w:fldChar w:fldCharType="separate"/>
      </w:r>
      <w:r w:rsidR="00891058">
        <w:t>Chart 3E-9</w:t>
      </w:r>
      <w:r w:rsidRPr="00027624">
        <w:fldChar w:fldCharType="end"/>
      </w:r>
      <w:r w:rsidRPr="00027624">
        <w:t xml:space="preserve"> and </w:t>
      </w:r>
      <w:r w:rsidRPr="00027624">
        <w:fldChar w:fldCharType="begin"/>
      </w:r>
      <w:r w:rsidRPr="00027624">
        <w:instrText xml:space="preserve"> REF _Ref35863970 \r \h  \* MERGEFORMAT </w:instrText>
      </w:r>
      <w:r w:rsidRPr="00027624">
        <w:fldChar w:fldCharType="separate"/>
      </w:r>
      <w:r w:rsidR="00891058">
        <w:t>Chart 3E-10</w:t>
      </w:r>
      <w:r w:rsidRPr="00027624">
        <w:fldChar w:fldCharType="end"/>
      </w:r>
      <w:r w:rsidRPr="00027624">
        <w:t xml:space="preserve">) and their gender. Some benefits, such as superannuation and the Age Pension, are not available until the person reaches a certain age. More men than women rely on superannuation as their main source of income at retirement </w:t>
      </w:r>
      <w:sdt>
        <w:sdtPr>
          <w:id w:val="-1022395472"/>
          <w:citation/>
        </w:sdtPr>
        <w:sdtEndPr/>
        <w:sdtContent>
          <w:r w:rsidRPr="00027624">
            <w:fldChar w:fldCharType="begin"/>
          </w:r>
          <w:r w:rsidRPr="00027624">
            <w:instrText xml:space="preserve"> CITATION ABS205 \l 3081 </w:instrText>
          </w:r>
          <w:r w:rsidRPr="00027624">
            <w:fldChar w:fldCharType="separate"/>
          </w:r>
          <w:r w:rsidR="00E83F6E">
            <w:rPr>
              <w:noProof/>
            </w:rPr>
            <w:t>(ABS, 2020n)</w:t>
          </w:r>
          <w:r w:rsidRPr="00027624">
            <w:fldChar w:fldCharType="end"/>
          </w:r>
        </w:sdtContent>
      </w:sdt>
      <w:r w:rsidRPr="00027624">
        <w:t>. More than 30 per cent of women who retire before age 6</w:t>
      </w:r>
      <w:r w:rsidRPr="00027624" w:rsidDel="003B1696">
        <w:t>5</w:t>
      </w:r>
      <w:r w:rsidRPr="00027624">
        <w:t xml:space="preserve"> have no personal income at the point of retirement compared to less than 10 per cent of men</w:t>
      </w:r>
      <w:sdt>
        <w:sdtPr>
          <w:id w:val="777296007"/>
          <w:citation/>
        </w:sdtPr>
        <w:sdtEndPr/>
        <w:sdtContent>
          <w:r w:rsidR="003E716F">
            <w:fldChar w:fldCharType="begin"/>
          </w:r>
          <w:r w:rsidR="003E716F">
            <w:instrText xml:space="preserve"> CITATION ABSR20 \l 3081 </w:instrText>
          </w:r>
          <w:r w:rsidR="003E716F">
            <w:fldChar w:fldCharType="separate"/>
          </w:r>
          <w:r w:rsidR="00E83F6E">
            <w:rPr>
              <w:noProof/>
            </w:rPr>
            <w:t xml:space="preserve"> (ABS, 2020p)</w:t>
          </w:r>
          <w:r w:rsidR="003E716F">
            <w:fldChar w:fldCharType="end"/>
          </w:r>
        </w:sdtContent>
      </w:sdt>
      <w:r w:rsidRPr="00027624">
        <w:t>.</w:t>
      </w:r>
    </w:p>
    <w:p w14:paraId="491B911A" w14:textId="77777777" w:rsidR="00B3792F" w:rsidRPr="00027624" w:rsidRDefault="00B3792F" w:rsidP="00582C3E">
      <w:pPr>
        <w:pStyle w:val="ChartMainHeading"/>
        <w:keepLines/>
      </w:pPr>
      <w:bookmarkStart w:id="2815" w:name="_Ref35863945"/>
      <w:bookmarkStart w:id="2816" w:name="_Ref35955549"/>
      <w:bookmarkStart w:id="2817" w:name="_Ref44841496"/>
      <w:bookmarkStart w:id="2818" w:name="_Ref44601495"/>
      <w:r w:rsidRPr="00027624">
        <w:lastRenderedPageBreak/>
        <w:t>Involuntary retirees: main source of income at retirement</w:t>
      </w:r>
      <w:bookmarkEnd w:id="2815"/>
      <w:bookmarkEnd w:id="2816"/>
      <w:r w:rsidRPr="00027624">
        <w:t>, by age</w:t>
      </w:r>
      <w:bookmarkEnd w:id="2817"/>
    </w:p>
    <w:bookmarkEnd w:id="2818"/>
    <w:p w14:paraId="419A7114" w14:textId="77777777" w:rsidR="00B3792F" w:rsidRPr="00027624" w:rsidRDefault="00E17803" w:rsidP="00AB09DB">
      <w:pPr>
        <w:pStyle w:val="ChartGraphic"/>
      </w:pPr>
      <w:r>
        <w:rPr>
          <w:noProof/>
        </w:rPr>
        <w:drawing>
          <wp:inline distT="0" distB="0" distL="0" distR="0" wp14:anchorId="3F33A0B2" wp14:editId="3AA896FE">
            <wp:extent cx="5577840" cy="2522220"/>
            <wp:effectExtent l="0" t="0" r="3810" b="0"/>
            <wp:docPr id="102" name="Picture 102" descr="This chart shows that involuntary retirees have high rates of relying on a government pension or allowance as their main source of income at the start of retirement. For those aged under 55, around 55 per cent had government pensions or allowances as their main source of income at retirement, dropping to around 40 per cent for those aged 55-59, before steadily climbing as people age. For around 70 per cent of those aged 70 and over, government pensions or allowances were their main source of income at the start of retirement." title="Chart 3E-9 Involuntary retirees: main source of income at retirement,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CF0F5EA" w14:textId="34A7A074" w:rsidR="00B3792F" w:rsidRPr="00027624" w:rsidRDefault="00B3792F" w:rsidP="00264EED">
      <w:pPr>
        <w:pStyle w:val="ChartorTableNote"/>
        <w:keepLines/>
      </w:pPr>
      <w:r w:rsidRPr="00027624">
        <w:t xml:space="preserve">Note for </w:t>
      </w:r>
      <w:r w:rsidRPr="00027624">
        <w:fldChar w:fldCharType="begin"/>
      </w:r>
      <w:r w:rsidRPr="00027624">
        <w:instrText xml:space="preserve"> REF _Ref44601495 \r \h </w:instrText>
      </w:r>
      <w:r w:rsidR="00FA7639" w:rsidRPr="00027624">
        <w:instrText xml:space="preserve"> \* MERGEFORMAT </w:instrText>
      </w:r>
      <w:r w:rsidRPr="00027624">
        <w:fldChar w:fldCharType="separate"/>
      </w:r>
      <w:r w:rsidR="00891058">
        <w:t>Chart 3E-9</w:t>
      </w:r>
      <w:r w:rsidRPr="00027624">
        <w:fldChar w:fldCharType="end"/>
      </w:r>
      <w:r w:rsidRPr="00027624">
        <w:t xml:space="preserve"> and </w:t>
      </w:r>
      <w:r w:rsidRPr="00027624">
        <w:fldChar w:fldCharType="begin"/>
      </w:r>
      <w:r w:rsidRPr="00027624">
        <w:instrText xml:space="preserve"> REF _Ref44601496 \r \h </w:instrText>
      </w:r>
      <w:r w:rsidR="00FA7639" w:rsidRPr="00027624">
        <w:instrText xml:space="preserve"> \* MERGEFORMAT </w:instrText>
      </w:r>
      <w:r w:rsidRPr="00027624">
        <w:fldChar w:fldCharType="separate"/>
      </w:r>
      <w:r w:rsidR="00891058">
        <w:t>Chart 3E-10</w:t>
      </w:r>
      <w:r w:rsidRPr="00027624">
        <w:fldChar w:fldCharType="end"/>
      </w:r>
      <w:r w:rsidRPr="00027624">
        <w:t xml:space="preserve">: Includes people who involuntarily retired between July 1998 and June 2019. Captures people who retired over a longer time period than the charts on the previous few pages to account for data limitations. </w:t>
      </w:r>
      <w:r w:rsidR="00A8443E" w:rsidRPr="00027624">
        <w:t>‘</w:t>
      </w:r>
      <w:r w:rsidRPr="00027624">
        <w:t>Partner</w:t>
      </w:r>
      <w:r w:rsidR="00A8443E" w:rsidRPr="00027624">
        <w:t>’</w:t>
      </w:r>
      <w:r w:rsidRPr="00027624">
        <w:t>s income/Selling down assets</w:t>
      </w:r>
      <w:r w:rsidR="00A8443E" w:rsidRPr="00027624">
        <w:t>’</w:t>
      </w:r>
      <w:r w:rsidRPr="00027624">
        <w:t xml:space="preserve"> uses the ABS category </w:t>
      </w:r>
      <w:r w:rsidR="00A8443E" w:rsidRPr="00027624">
        <w:t>‘</w:t>
      </w:r>
      <w:r w:rsidRPr="00027624">
        <w:t>no personal income</w:t>
      </w:r>
      <w:r w:rsidR="00A8443E" w:rsidRPr="00027624">
        <w:t>’</w:t>
      </w:r>
      <w:r w:rsidRPr="00027624">
        <w:t xml:space="preserve">, which </w:t>
      </w:r>
      <w:r w:rsidR="00A8443E" w:rsidRPr="00027624">
        <w:t>‘</w:t>
      </w:r>
      <w:r w:rsidRPr="00027624">
        <w:t>includes persons living off savings, assets and partner</w:t>
      </w:r>
      <w:r w:rsidR="00A8443E" w:rsidRPr="00027624">
        <w:t>’</w:t>
      </w:r>
      <w:r w:rsidRPr="00027624">
        <w:t>s income</w:t>
      </w:r>
      <w:r w:rsidR="00A8443E" w:rsidRPr="00027624">
        <w:t>’</w:t>
      </w:r>
      <w:r w:rsidRPr="00027624">
        <w:t xml:space="preserve">. </w:t>
      </w:r>
      <w:r w:rsidRPr="00027624">
        <w:rPr>
          <w:szCs w:val="18"/>
        </w:rPr>
        <w:t>While the charts use a relatively small sample size and therefore some categories have high relative standard errors, the results are consistent with earlier surveys.</w:t>
      </w:r>
      <w:r w:rsidRPr="00027624">
        <w:t xml:space="preserve"> Source: Analysis of </w:t>
      </w:r>
      <w:sdt>
        <w:sdtPr>
          <w:id w:val="-1727980020"/>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2316F032" w14:textId="77777777" w:rsidR="00B3792F" w:rsidRPr="00027624" w:rsidRDefault="00B3792F" w:rsidP="00582C3E">
      <w:pPr>
        <w:pStyle w:val="ChartMainHeading"/>
        <w:rPr>
          <w:noProof/>
        </w:rPr>
      </w:pPr>
      <w:bookmarkStart w:id="2819" w:name="_Ref35863970"/>
      <w:bookmarkStart w:id="2820" w:name="_Ref35955562"/>
      <w:bookmarkStart w:id="2821" w:name="_Ref44601496"/>
      <w:r w:rsidRPr="00027624">
        <w:t>Voluntary retirees: main source of income at retirement</w:t>
      </w:r>
      <w:bookmarkEnd w:id="2819"/>
      <w:bookmarkEnd w:id="2820"/>
      <w:r w:rsidRPr="00027624">
        <w:t>, by age</w:t>
      </w:r>
      <w:bookmarkEnd w:id="2821"/>
    </w:p>
    <w:p w14:paraId="42096E01" w14:textId="77777777" w:rsidR="00B3792F" w:rsidRPr="00027624" w:rsidRDefault="0070785C" w:rsidP="00AB09DB">
      <w:pPr>
        <w:pStyle w:val="ChartGraphic"/>
      </w:pPr>
      <w:r>
        <w:rPr>
          <w:noProof/>
        </w:rPr>
        <w:drawing>
          <wp:inline distT="0" distB="0" distL="0" distR="0" wp14:anchorId="70B56F4E" wp14:editId="7B7BE5CA">
            <wp:extent cx="5577840" cy="2522220"/>
            <wp:effectExtent l="0" t="0" r="3810" b="0"/>
            <wp:docPr id="107" name="Picture 107" descr="This chart shows that voluntary retirees have high rates of relying on a government pension or allowance for their main source of income at the start of retirement. For those aged under 55, around 35 per cent had government pensions or allowances as their main source of income at retirement, dropping to around 25 per cent for those aged 55-59, before steadily climbing as people age. For 50 per cent of those aged 70 and over, government pensions or allowances were their main source of income at the start of retirement. " title="Chart 3E-10 Voluntary retirees: main source of income at retirement,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7ECDECE8" w14:textId="6A30E36A" w:rsidR="00B3792F" w:rsidRPr="00027624" w:rsidRDefault="00B3792F" w:rsidP="00B3792F">
      <w:pPr>
        <w:pStyle w:val="ChartorTableNote"/>
      </w:pPr>
      <w:r w:rsidRPr="00027624">
        <w:t xml:space="preserve">Note: See </w:t>
      </w:r>
      <w:r w:rsidRPr="00027624">
        <w:fldChar w:fldCharType="begin"/>
      </w:r>
      <w:r w:rsidRPr="00027624">
        <w:instrText xml:space="preserve"> REF _Ref44841496 \r \h </w:instrText>
      </w:r>
      <w:r w:rsidR="00FA7639" w:rsidRPr="00027624">
        <w:instrText xml:space="preserve"> \* MERGEFORMAT </w:instrText>
      </w:r>
      <w:r w:rsidRPr="00027624">
        <w:fldChar w:fldCharType="separate"/>
      </w:r>
      <w:r w:rsidR="00891058">
        <w:t>Chart 3E-9</w:t>
      </w:r>
      <w:r w:rsidRPr="00027624">
        <w:fldChar w:fldCharType="end"/>
      </w:r>
      <w:r w:rsidRPr="00027624">
        <w:t xml:space="preserve">. Source: Analysis of </w:t>
      </w:r>
      <w:sdt>
        <w:sdtPr>
          <w:id w:val="-1109816251"/>
          <w:citation/>
        </w:sdtPr>
        <w:sdtEndPr/>
        <w:sdtContent>
          <w:r w:rsidRPr="00027624">
            <w:fldChar w:fldCharType="begin"/>
          </w:r>
          <w:r w:rsidR="00F9343A">
            <w:instrText xml:space="preserve">CITATION ABSR20 \l 3081 </w:instrText>
          </w:r>
          <w:r w:rsidRPr="00027624">
            <w:fldChar w:fldCharType="separate"/>
          </w:r>
          <w:r w:rsidR="00E83F6E">
            <w:rPr>
              <w:noProof/>
            </w:rPr>
            <w:t>(ABS, 2020p)</w:t>
          </w:r>
          <w:r w:rsidRPr="00027624">
            <w:fldChar w:fldCharType="end"/>
          </w:r>
        </w:sdtContent>
      </w:sdt>
      <w:r w:rsidRPr="00027624">
        <w:t>.</w:t>
      </w:r>
    </w:p>
    <w:p w14:paraId="3D068A99" w14:textId="77777777" w:rsidR="00B3792F" w:rsidRPr="00027624" w:rsidRDefault="00B3792F" w:rsidP="0057459F">
      <w:pPr>
        <w:pStyle w:val="Heading3"/>
      </w:pPr>
      <w:bookmarkStart w:id="2822" w:name="_Toc40281861"/>
      <w:bookmarkStart w:id="2823" w:name="_Toc40282081"/>
      <w:bookmarkStart w:id="2824" w:name="_Toc40366182"/>
      <w:bookmarkStart w:id="2825" w:name="_Toc40369728"/>
      <w:bookmarkStart w:id="2826" w:name="_Toc40427884"/>
      <w:bookmarkStart w:id="2827" w:name="_Toc40458137"/>
      <w:bookmarkStart w:id="2828" w:name="_Toc40461906"/>
      <w:bookmarkStart w:id="2829" w:name="_Toc40474461"/>
      <w:bookmarkStart w:id="2830" w:name="_Toc40477990"/>
      <w:bookmarkStart w:id="2831" w:name="_Toc40521570"/>
      <w:bookmarkStart w:id="2832" w:name="_Toc40530429"/>
      <w:bookmarkStart w:id="2833" w:name="_Toc42778856"/>
      <w:bookmarkStart w:id="2834" w:name="_Toc42779996"/>
      <w:bookmarkStart w:id="2835" w:name="_Toc42780425"/>
      <w:bookmarkStart w:id="2836" w:name="_Toc42786415"/>
      <w:bookmarkStart w:id="2837" w:name="_Toc42791908"/>
      <w:bookmarkStart w:id="2838" w:name="_Toc42792070"/>
      <w:bookmarkStart w:id="2839" w:name="_Toc43117877"/>
      <w:bookmarkStart w:id="2840" w:name="_Toc43121516"/>
      <w:bookmarkStart w:id="2841" w:name="_Toc43122721"/>
      <w:bookmarkStart w:id="2842" w:name="_Toc43127776"/>
      <w:r w:rsidRPr="00027624">
        <w:t>Government pensions or allowance</w:t>
      </w:r>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r w:rsidRPr="00027624">
        <w:t>s</w:t>
      </w:r>
    </w:p>
    <w:p w14:paraId="3EFFF569" w14:textId="77777777" w:rsidR="00B3792F" w:rsidRPr="00027624" w:rsidRDefault="00B3792F" w:rsidP="00B3792F">
      <w:r w:rsidRPr="00027624">
        <w:rPr>
          <w:b/>
          <w:bCs/>
        </w:rPr>
        <w:t xml:space="preserve">Many people receive income support payments in the years leading up to the Age Pension eligibility age. </w:t>
      </w:r>
      <w:r w:rsidRPr="00027624">
        <w:t>In September 2019, the most common Government pensions and allowances received by those aged 55</w:t>
      </w:r>
      <w:r w:rsidR="00A8443E" w:rsidRPr="00027624">
        <w:noBreakHyphen/>
      </w:r>
      <w:r w:rsidRPr="00027624">
        <w:t>64 were the Disability Support Pension (265,090 people), JobSeeker Payment (171,098 people) and Carer Payment (79,418 people)</w:t>
      </w:r>
      <w:r w:rsidRPr="00027624">
        <w:fldChar w:fldCharType="begin"/>
      </w:r>
      <w:r w:rsidRPr="00027624">
        <w:instrText xml:space="preserve"> CITATION Ser19 \l 3081 </w:instrText>
      </w:r>
      <w:r w:rsidRPr="00027624">
        <w:fldChar w:fldCharType="separate"/>
      </w:r>
      <w:r w:rsidR="00E83F6E">
        <w:rPr>
          <w:noProof/>
        </w:rPr>
        <w:t xml:space="preserve"> (Department of Social Services, 2020a)</w:t>
      </w:r>
      <w:r w:rsidRPr="00027624">
        <w:fldChar w:fldCharType="end"/>
      </w:r>
      <w:r w:rsidRPr="00027624">
        <w:t>. Some people also received the Service Pension, administered by the Department of Veterans</w:t>
      </w:r>
      <w:r w:rsidR="00A8443E" w:rsidRPr="00027624">
        <w:t>’</w:t>
      </w:r>
      <w:r w:rsidRPr="00027624">
        <w:t xml:space="preserve"> Affairs, which is payable from age 60. Many people continue to receive these income support payments until they qualify for the Age Pension, with some choosing to continue to receive them instead of the Age Pension. </w:t>
      </w:r>
    </w:p>
    <w:p w14:paraId="7C769136" w14:textId="79341344" w:rsidR="00B3792F" w:rsidRPr="00027624" w:rsidRDefault="00B3792F" w:rsidP="00B3792F">
      <w:r w:rsidRPr="00027624">
        <w:lastRenderedPageBreak/>
        <w:t>The proportion of income support recipients</w:t>
      </w:r>
      <w:r w:rsidRPr="00027624">
        <w:rPr>
          <w:rStyle w:val="FootnoteReference"/>
        </w:rPr>
        <w:footnoteReference w:id="206"/>
      </w:r>
      <w:r w:rsidRPr="00027624">
        <w:t xml:space="preserve"> who received payments in </w:t>
      </w:r>
      <w:r w:rsidRPr="00027624">
        <w:rPr>
          <w:i/>
        </w:rPr>
        <w:t>each</w:t>
      </w:r>
      <w:r w:rsidRPr="00027624">
        <w:t xml:space="preserve"> of the five years before Age Pension eligibility age gradually declined up until 2013</w:t>
      </w:r>
      <w:r w:rsidR="00A8443E" w:rsidRPr="00027624">
        <w:noBreakHyphen/>
      </w:r>
      <w:r w:rsidRPr="00027624">
        <w:t>14, but has since been increasing (</w:t>
      </w:r>
      <w:r w:rsidRPr="00027624">
        <w:fldChar w:fldCharType="begin"/>
      </w:r>
      <w:r w:rsidRPr="00027624">
        <w:instrText xml:space="preserve"> REF _Ref38886792 \r \h  \* MERGEFORMAT </w:instrText>
      </w:r>
      <w:r w:rsidRPr="00027624">
        <w:fldChar w:fldCharType="separate"/>
      </w:r>
      <w:r w:rsidR="00891058">
        <w:t>Chart 3E-11</w:t>
      </w:r>
      <w:r w:rsidRPr="00027624">
        <w:fldChar w:fldCharType="end"/>
      </w:r>
      <w:r w:rsidRPr="00027624">
        <w:t>). The proportion increased markedly in 2017</w:t>
      </w:r>
      <w:r w:rsidR="00A8443E" w:rsidRPr="00027624">
        <w:noBreakHyphen/>
      </w:r>
      <w:r w:rsidRPr="00027624">
        <w:t xml:space="preserve">18. This was partly due to changes to the assets test taper rate on 1 January 2017 that prevented a number of people with higher assets from qualifying for the Age Pension. Disability Support Pension was by far the most common income support payment received in </w:t>
      </w:r>
      <w:r w:rsidRPr="00027624">
        <w:rPr>
          <w:i/>
        </w:rPr>
        <w:t>each</w:t>
      </w:r>
      <w:r w:rsidRPr="00027624">
        <w:t xml:space="preserve"> of these five years to 2017</w:t>
      </w:r>
      <w:r w:rsidR="00A8443E" w:rsidRPr="00027624">
        <w:noBreakHyphen/>
      </w:r>
      <w:r w:rsidRPr="00027624">
        <w:t>18 (</w:t>
      </w:r>
      <w:r w:rsidRPr="00027624">
        <w:fldChar w:fldCharType="begin"/>
      </w:r>
      <w:r w:rsidRPr="00027624">
        <w:instrText xml:space="preserve"> REF _Ref38182679 \r \h  \* MERGEFORMAT </w:instrText>
      </w:r>
      <w:r w:rsidRPr="00027624">
        <w:fldChar w:fldCharType="separate"/>
      </w:r>
      <w:r w:rsidR="00891058">
        <w:t>Chart 3E-12</w:t>
      </w:r>
      <w:r w:rsidRPr="00027624">
        <w:fldChar w:fldCharType="end"/>
      </w:r>
      <w:r w:rsidRPr="00027624">
        <w:t>). In future, it may be less common due to tightened eligibility criteria introduced in 2012. The most recent data shows one</w:t>
      </w:r>
      <w:r w:rsidR="00A8443E" w:rsidRPr="00027624">
        <w:noBreakHyphen/>
      </w:r>
      <w:r w:rsidRPr="00027624">
        <w:t>third of those who reached Age Pension eligibility age and received an income support payment in 2017</w:t>
      </w:r>
      <w:r w:rsidR="00A8443E" w:rsidRPr="00027624">
        <w:noBreakHyphen/>
      </w:r>
      <w:r w:rsidRPr="00027624">
        <w:t xml:space="preserve">18 did not receive an income support payment in </w:t>
      </w:r>
      <w:r w:rsidRPr="00027624">
        <w:rPr>
          <w:i/>
        </w:rPr>
        <w:t>any</w:t>
      </w:r>
      <w:r w:rsidRPr="00027624">
        <w:t xml:space="preserve"> of the previous five years.</w:t>
      </w:r>
      <w:r w:rsidRPr="00027624">
        <w:rPr>
          <w:rStyle w:val="FootnoteReference"/>
        </w:rPr>
        <w:footnoteReference w:id="207"/>
      </w:r>
      <w:r w:rsidRPr="00027624">
        <w:t xml:space="preserve"> </w:t>
      </w:r>
    </w:p>
    <w:p w14:paraId="6BADBD2D" w14:textId="77777777" w:rsidR="006818F7" w:rsidRPr="00027624" w:rsidRDefault="00B3792F" w:rsidP="001730B3">
      <w:pPr>
        <w:pStyle w:val="ChartMainHeading"/>
        <w:spacing w:before="0"/>
      </w:pPr>
      <w:bookmarkStart w:id="2843" w:name="_Ref38886792"/>
      <w:bookmarkStart w:id="2844" w:name="_Ref35864290"/>
      <w:r w:rsidRPr="00027624">
        <w:t>Proportion of people who were long</w:t>
      </w:r>
      <w:r w:rsidR="00A8443E" w:rsidRPr="00027624">
        <w:noBreakHyphen/>
      </w:r>
      <w:r w:rsidRPr="00027624">
        <w:t>term income support recipients</w:t>
      </w:r>
      <w:r w:rsidR="006818F7" w:rsidRPr="00027624">
        <w:t xml:space="preserve"> at Age </w:t>
      </w:r>
      <w:r w:rsidRPr="00027624">
        <w:t>Pension eligibility age</w:t>
      </w:r>
      <w:bookmarkEnd w:id="2843"/>
      <w:bookmarkEnd w:id="2844"/>
    </w:p>
    <w:p w14:paraId="033F4B3B" w14:textId="77777777" w:rsidR="00B3792F" w:rsidRPr="00027624" w:rsidRDefault="009247BC" w:rsidP="006818F7">
      <w:pPr>
        <w:pStyle w:val="ChartGraphic"/>
      </w:pPr>
      <w:r>
        <w:rPr>
          <w:noProof/>
        </w:rPr>
        <w:drawing>
          <wp:inline distT="0" distB="0" distL="0" distR="0" wp14:anchorId="5B2B6A4C" wp14:editId="2B99BF73">
            <wp:extent cx="5577840" cy="2522220"/>
            <wp:effectExtent l="0" t="0" r="3810" b="0"/>
            <wp:docPr id="123" name="Picture 123" descr="This chart shows that the proportion of people who were long-term income support income recipients at Age Pension eligibility age declined from over 55 per cent in 2006-07 to around 40 per cent in 2013-14. It has increased since 2016-17, and was around 45 per cent in 2017-18." title="Chart 3E-11 Proportion of people who were long-term income support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E35CEDB" w14:textId="77777777" w:rsidR="00B3792F" w:rsidRPr="00027624" w:rsidRDefault="00B3792F" w:rsidP="009516BB">
      <w:pPr>
        <w:pStyle w:val="ChartorTableNote"/>
      </w:pPr>
      <w:r w:rsidRPr="00027624">
        <w:t xml:space="preserve">Note: Proportion is calculated as the </w:t>
      </w:r>
      <w:r w:rsidR="00A8443E" w:rsidRPr="00027624">
        <w:t>‘</w:t>
      </w:r>
      <w:r w:rsidRPr="00027624">
        <w:t>number of income support recipients at Age Pension eligibility age who received payments in each of the five years prior</w:t>
      </w:r>
      <w:r w:rsidR="00A8443E" w:rsidRPr="00027624">
        <w:t>’</w:t>
      </w:r>
      <w:r w:rsidRPr="00027624">
        <w:t xml:space="preserve"> divided by the </w:t>
      </w:r>
      <w:r w:rsidR="00A8443E" w:rsidRPr="00027624">
        <w:t>‘</w:t>
      </w:r>
      <w:r w:rsidRPr="00027624">
        <w:t>total number of people who reached Age Pension eligibility age in the financial year and received an income support payment in the same year</w:t>
      </w:r>
      <w:r w:rsidR="00A8443E" w:rsidRPr="00027624">
        <w:t>’</w:t>
      </w:r>
      <w:r w:rsidRPr="00027624">
        <w:t>. Income support payments include Disability Support Pension, JobSeeker Payment, Carer Payment, ABSTUDY</w:t>
      </w:r>
      <w:r w:rsidR="00A8443E" w:rsidRPr="00027624">
        <w:t xml:space="preserve"> — </w:t>
      </w:r>
      <w:r w:rsidRPr="00027624">
        <w:t>studying, AUSTUDY, Youth Allowance</w:t>
      </w:r>
      <w:r w:rsidR="00A8443E" w:rsidRPr="00027624">
        <w:t xml:space="preserve"> — </w:t>
      </w:r>
      <w:r w:rsidRPr="00027624">
        <w:t>Student, ABSTUDY</w:t>
      </w:r>
      <w:r w:rsidR="00A8443E" w:rsidRPr="00027624">
        <w:t xml:space="preserve"> — </w:t>
      </w:r>
      <w:r w:rsidRPr="00027624">
        <w:t>Apprentice, AUSTUDY</w:t>
      </w:r>
      <w:r w:rsidR="00A8443E" w:rsidRPr="00027624">
        <w:t xml:space="preserve"> — </w:t>
      </w:r>
      <w:r w:rsidRPr="00027624">
        <w:t>Apprentice, Sickness Allowance, Special Benefit, Youth Allowance</w:t>
      </w:r>
      <w:r w:rsidR="00A8443E" w:rsidRPr="00027624">
        <w:t xml:space="preserve"> — </w:t>
      </w:r>
      <w:r w:rsidRPr="00027624">
        <w:t>Apprentice, Youth Allowance</w:t>
      </w:r>
      <w:r w:rsidR="00A8443E" w:rsidRPr="00027624">
        <w:t xml:space="preserve"> — </w:t>
      </w:r>
      <w:r w:rsidRPr="00027624">
        <w:t>Other, Parenting Payment</w:t>
      </w:r>
      <w:r w:rsidR="00A8443E" w:rsidRPr="00027624">
        <w:t xml:space="preserve"> — </w:t>
      </w:r>
      <w:r w:rsidRPr="00027624">
        <w:t>Partnered and single, Widow B Pension, Wife Pension</w:t>
      </w:r>
      <w:r w:rsidR="00A8443E" w:rsidRPr="00027624">
        <w:t xml:space="preserve"> — </w:t>
      </w:r>
      <w:r w:rsidRPr="00027624">
        <w:t>Age, Wife Pension</w:t>
      </w:r>
      <w:r w:rsidR="00A8443E" w:rsidRPr="00027624">
        <w:t xml:space="preserve"> — </w:t>
      </w:r>
      <w:r w:rsidRPr="00027624">
        <w:t xml:space="preserve">Disability Support Pension. Source: </w:t>
      </w:r>
      <w:r w:rsidR="00700280" w:rsidRPr="00027624">
        <w:t>Department of Social Services Priority Investment Approach data, 2017-18.</w:t>
      </w:r>
    </w:p>
    <w:p w14:paraId="614D78C8" w14:textId="77777777" w:rsidR="00B3792F" w:rsidRPr="00027624" w:rsidRDefault="00B3792F" w:rsidP="00582C3E">
      <w:pPr>
        <w:pStyle w:val="ChartMainHeading"/>
      </w:pPr>
      <w:bookmarkStart w:id="2845" w:name="_Ref38182679"/>
      <w:r w:rsidRPr="00027624">
        <w:lastRenderedPageBreak/>
        <w:t xml:space="preserve">Number of people who </w:t>
      </w:r>
      <w:r w:rsidR="0057459F" w:rsidRPr="00027624">
        <w:t>were long-term income support recipients at</w:t>
      </w:r>
      <w:r w:rsidRPr="00027624">
        <w:t xml:space="preserve"> Age Pension eligibility age, by type of payment</w:t>
      </w:r>
      <w:bookmarkEnd w:id="2845"/>
    </w:p>
    <w:p w14:paraId="741F7D99" w14:textId="77777777" w:rsidR="00B3792F" w:rsidRPr="00027624" w:rsidRDefault="009247BC" w:rsidP="009516BB">
      <w:pPr>
        <w:pStyle w:val="ChartGraphic"/>
      </w:pPr>
      <w:r>
        <w:rPr>
          <w:noProof/>
        </w:rPr>
        <w:drawing>
          <wp:inline distT="0" distB="0" distL="0" distR="0" wp14:anchorId="44527073" wp14:editId="29B0C52B">
            <wp:extent cx="5577840" cy="2522220"/>
            <wp:effectExtent l="0" t="0" r="3810" b="0"/>
            <wp:docPr id="124" name="Picture 124" descr="This chart shows that the number of people who were long-term income support recipients at Age Pension eligibility age was around 35,000 in 2013-14, around 50,000 in 2014-15, 2015-16 and 2016-17, and around 25,000 in 2017-18. In each year, over half of those in the category received Disability Support Pension prior to retirement. " title="Chart 3E-12 Number of people who were long-term income support recipients at Age Pension eligibility age, by type of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77225AD4" w14:textId="77777777" w:rsidR="00B3792F" w:rsidRPr="00027624" w:rsidRDefault="00B3792F" w:rsidP="00B3792F">
      <w:pPr>
        <w:pStyle w:val="ChartorTableNote"/>
      </w:pPr>
      <w:r w:rsidRPr="00027624">
        <w:t xml:space="preserve">Note: </w:t>
      </w:r>
      <w:r w:rsidR="0057459F" w:rsidRPr="00027624">
        <w:t>In this chart, long-term income support recipients are people at Age Pension eligibility age who received payments in each of the five years prior</w:t>
      </w:r>
      <w:r w:rsidR="00504DEB" w:rsidRPr="00027624">
        <w:t xml:space="preserve"> and </w:t>
      </w:r>
      <w:r w:rsidRPr="00027624">
        <w:rPr>
          <w:rFonts w:cstheme="minorHAnsi"/>
        </w:rPr>
        <w:t>received an income support payment in the year they reached Age Pension eligibility age.</w:t>
      </w:r>
      <w:r w:rsidRPr="00027624">
        <w:t xml:space="preserve"> Newstart Allowance became JobSeeker Payment on 20 March 2020. The number of people who reached Age Pension eligibility age was lower in 2013</w:t>
      </w:r>
      <w:r w:rsidR="00A8443E" w:rsidRPr="00027624">
        <w:noBreakHyphen/>
      </w:r>
      <w:r w:rsidRPr="00027624">
        <w:t>14 and in 2017</w:t>
      </w:r>
      <w:r w:rsidR="00A8443E" w:rsidRPr="00027624">
        <w:noBreakHyphen/>
      </w:r>
      <w:r w:rsidRPr="00027624">
        <w:t xml:space="preserve">18 than other years as the Age Pension eligibility age increased by six months on 1 July 2013 (for women only) and 1 July 2017 (for women and men). Source: </w:t>
      </w:r>
      <w:r w:rsidR="00700280" w:rsidRPr="00027624">
        <w:t>Department of Social Services Priority Investment Approach data, 2017-18.</w:t>
      </w:r>
    </w:p>
    <w:tbl>
      <w:tblPr>
        <w:tblStyle w:val="TableGrid"/>
        <w:tblpPr w:leftFromText="180" w:rightFromText="180" w:vertAnchor="text" w:tblpY="1"/>
        <w:tblOverlap w:val="never"/>
        <w:tblW w:w="5000" w:type="pct"/>
        <w:shd w:val="clear" w:color="auto" w:fill="FFF8EA"/>
        <w:tblLayout w:type="fixed"/>
        <w:tblCellMar>
          <w:top w:w="113" w:type="dxa"/>
          <w:bottom w:w="113" w:type="dxa"/>
        </w:tblCellMar>
        <w:tblLook w:val="04A0" w:firstRow="1" w:lastRow="0" w:firstColumn="1" w:lastColumn="0" w:noHBand="0" w:noVBand="1"/>
      </w:tblPr>
      <w:tblGrid>
        <w:gridCol w:w="9070"/>
      </w:tblGrid>
      <w:tr w:rsidR="00B3792F" w:rsidRPr="00027624" w14:paraId="1842292B" w14:textId="77777777" w:rsidTr="00264EED">
        <w:tc>
          <w:tcPr>
            <w:tcW w:w="5000" w:type="pct"/>
            <w:shd w:val="clear" w:color="auto" w:fill="FFF8EA"/>
          </w:tcPr>
          <w:p w14:paraId="7C0367C8" w14:textId="77777777" w:rsidR="00B3792F" w:rsidRPr="00027624" w:rsidRDefault="00B3792F" w:rsidP="00582C3E">
            <w:pPr>
              <w:pStyle w:val="BoxHeading"/>
              <w:spacing w:before="120"/>
              <w:ind w:left="1026" w:right="176" w:hanging="1026"/>
            </w:pPr>
            <w:r w:rsidRPr="00027624">
              <w:t>Government pensions or allowances available to early retirees</w:t>
            </w:r>
          </w:p>
          <w:p w14:paraId="29B14BBC" w14:textId="77777777" w:rsidR="00B3792F" w:rsidRPr="00027624" w:rsidRDefault="00B3792F" w:rsidP="00264EED">
            <w:pPr>
              <w:pStyle w:val="Heading4"/>
              <w:keepNext w:val="0"/>
              <w:spacing w:before="0"/>
              <w:outlineLvl w:val="3"/>
            </w:pPr>
            <w:bookmarkStart w:id="2846" w:name="_Toc40281862"/>
            <w:bookmarkStart w:id="2847" w:name="_Toc40282082"/>
            <w:bookmarkStart w:id="2848" w:name="_Toc40366183"/>
            <w:bookmarkStart w:id="2849" w:name="_Toc40369729"/>
            <w:bookmarkStart w:id="2850" w:name="_Toc40427885"/>
            <w:bookmarkStart w:id="2851" w:name="_Toc40458138"/>
            <w:bookmarkStart w:id="2852" w:name="_Toc40461907"/>
            <w:bookmarkStart w:id="2853" w:name="_Toc40474462"/>
            <w:bookmarkStart w:id="2854" w:name="_Toc40477991"/>
            <w:bookmarkStart w:id="2855" w:name="_Toc40521571"/>
            <w:bookmarkStart w:id="2856" w:name="_Toc40530430"/>
            <w:bookmarkStart w:id="2857" w:name="_Toc42778857"/>
            <w:bookmarkStart w:id="2858" w:name="_Toc42779997"/>
            <w:bookmarkStart w:id="2859" w:name="_Toc42780426"/>
            <w:bookmarkStart w:id="2860" w:name="_Toc42786416"/>
            <w:bookmarkStart w:id="2861" w:name="_Toc42791909"/>
            <w:bookmarkStart w:id="2862" w:name="_Toc42792071"/>
            <w:bookmarkStart w:id="2863" w:name="_Toc43117878"/>
            <w:bookmarkStart w:id="2864" w:name="_Toc43121517"/>
            <w:bookmarkStart w:id="2865" w:name="_Toc43122722"/>
            <w:bookmarkStart w:id="2866" w:name="_Toc43127777"/>
            <w:r w:rsidRPr="00027624">
              <w:t>Pensions and allowances available</w:t>
            </w:r>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p>
          <w:p w14:paraId="11B32A51" w14:textId="77777777" w:rsidR="00B3792F" w:rsidRPr="00027624" w:rsidRDefault="00B3792F" w:rsidP="00264EED">
            <w:pPr>
              <w:pStyle w:val="BoxText"/>
            </w:pPr>
            <w:r w:rsidRPr="00027624">
              <w:t>People have different, and sometimes multiple, reasons for retiring. For simplicity, the age a person ceases paid employment is assumed to be their age of retirement. However, this does not always correspond with the actual age a person ceases looking for work</w:t>
            </w:r>
            <w:r w:rsidR="00A8443E" w:rsidRPr="00027624">
              <w:t xml:space="preserve"> — </w:t>
            </w:r>
            <w:r w:rsidRPr="00027624">
              <w:t xml:space="preserve">or the age at which they consider themselves retired. </w:t>
            </w:r>
          </w:p>
          <w:p w14:paraId="216B0FB0" w14:textId="77777777" w:rsidR="00B3792F" w:rsidRPr="00027624" w:rsidRDefault="00B3792F" w:rsidP="00264EED">
            <w:pPr>
              <w:pStyle w:val="BoxText"/>
            </w:pPr>
            <w:r w:rsidRPr="00027624">
              <w:t>The income support payments available to people who retire before the age of 65 depend on their reason for retirement. In general terms:</w:t>
            </w:r>
          </w:p>
          <w:p w14:paraId="23459780" w14:textId="77777777" w:rsidR="00B3792F" w:rsidRPr="00027624" w:rsidRDefault="00B3792F" w:rsidP="00AD6771">
            <w:pPr>
              <w:pStyle w:val="BoxBullet"/>
            </w:pPr>
            <w:r w:rsidRPr="00027624">
              <w:rPr>
                <w:b/>
                <w:bCs/>
              </w:rPr>
              <w:t>Disability Support Pension</w:t>
            </w:r>
            <w:r w:rsidRPr="00027624">
              <w:t xml:space="preserve"> is available to eligible people who retire early due to a permanent physical, intellectual or psychiatric condition</w:t>
            </w:r>
            <w:r w:rsidRPr="00027624">
              <w:rPr>
                <w:rStyle w:val="FootnoteReference"/>
              </w:rPr>
              <w:footnoteReference w:id="208"/>
            </w:r>
          </w:p>
          <w:p w14:paraId="3FD1C4B2" w14:textId="77777777" w:rsidR="00B3792F" w:rsidRPr="00027624" w:rsidRDefault="00B3792F" w:rsidP="00AD6771">
            <w:pPr>
              <w:pStyle w:val="BoxBullet"/>
            </w:pPr>
            <w:r w:rsidRPr="00027624">
              <w:rPr>
                <w:b/>
                <w:bCs/>
              </w:rPr>
              <w:t>Carer Payment</w:t>
            </w:r>
            <w:r w:rsidRPr="00027624">
              <w:t xml:space="preserve"> is available to eligible people who retire early due to caring for someone who has a severe disability, illness or an adult who is frail aged</w:t>
            </w:r>
          </w:p>
          <w:p w14:paraId="6D73A72B" w14:textId="77777777" w:rsidR="00B3792F" w:rsidRPr="00027624" w:rsidRDefault="00B3792F" w:rsidP="00AD6771">
            <w:pPr>
              <w:pStyle w:val="BoxBullet"/>
            </w:pPr>
            <w:r w:rsidRPr="00027624">
              <w:rPr>
                <w:b/>
                <w:bCs/>
              </w:rPr>
              <w:t>JobSeeker Payment</w:t>
            </w:r>
            <w:r w:rsidRPr="00027624">
              <w:t xml:space="preserve"> is available to eligible people who retire early due to job</w:t>
            </w:r>
            <w:r w:rsidR="00A8443E" w:rsidRPr="00027624">
              <w:noBreakHyphen/>
            </w:r>
            <w:r w:rsidRPr="00027624">
              <w:t>related issues and continue to seek work</w:t>
            </w:r>
            <w:r w:rsidRPr="00027624">
              <w:rPr>
                <w:rStyle w:val="FootnoteReference"/>
              </w:rPr>
              <w:footnoteReference w:id="209"/>
            </w:r>
            <w:r w:rsidRPr="00027624">
              <w:t xml:space="preserve"> </w:t>
            </w:r>
          </w:p>
          <w:p w14:paraId="08E119E8" w14:textId="77777777" w:rsidR="00B3792F" w:rsidRPr="00027624" w:rsidRDefault="00B3792F" w:rsidP="00264EED">
            <w:pPr>
              <w:pStyle w:val="BoxText"/>
            </w:pPr>
            <w:r w:rsidRPr="00027624">
              <w:t>In September 2019, just under 20 per cent of the Australian population aged 55</w:t>
            </w:r>
            <w:r w:rsidR="00A8443E" w:rsidRPr="00027624">
              <w:noBreakHyphen/>
            </w:r>
            <w:r w:rsidRPr="00027624">
              <w:t xml:space="preserve">64 received one of these three payments </w:t>
            </w:r>
            <w:sdt>
              <w:sdtPr>
                <w:id w:val="1388371009"/>
                <w:citation/>
              </w:sdtPr>
              <w:sdtEndPr/>
              <w:sdtContent>
                <w:r w:rsidRPr="00027624">
                  <w:fldChar w:fldCharType="begin"/>
                </w:r>
                <w:r w:rsidRPr="00027624">
                  <w:instrText xml:space="preserve"> CITATION Ser19 \l 3081 </w:instrText>
                </w:r>
                <w:r w:rsidRPr="00027624">
                  <w:fldChar w:fldCharType="separate"/>
                </w:r>
                <w:r w:rsidR="00E83F6E">
                  <w:rPr>
                    <w:noProof/>
                  </w:rPr>
                  <w:t>(Department of Social Services, 2020a)</w:t>
                </w:r>
                <w:r w:rsidRPr="00027624">
                  <w:fldChar w:fldCharType="end"/>
                </w:r>
              </w:sdtContent>
            </w:sdt>
            <w:r w:rsidRPr="00027624">
              <w:t>. However, not all who received one of these three payments have necessarily retired. Some recipients are required to look for work and may undertake work again in future.</w:t>
            </w:r>
          </w:p>
          <w:p w14:paraId="3EAB815E" w14:textId="2C837295" w:rsidR="00B3792F" w:rsidRPr="00027624" w:rsidRDefault="00B3792F" w:rsidP="00264EED">
            <w:pPr>
              <w:pStyle w:val="BoxText"/>
            </w:pPr>
            <w:r w:rsidRPr="00027624">
              <w:t>The tighter eligibility criteria for Disability Support Pension means some people who cease their last job due to their own ill health may not be eligible for this payment. The stricter criteria likely accounts for the fall in the proportion of people aged 55</w:t>
            </w:r>
            <w:r w:rsidR="00A8443E" w:rsidRPr="00027624">
              <w:noBreakHyphen/>
            </w:r>
            <w:r w:rsidRPr="00027624">
              <w:t xml:space="preserve">64 on Disability Support Pension, from 12 to 9 per cent between 2009 and </w:t>
            </w:r>
            <w:r w:rsidRPr="00027624">
              <w:lastRenderedPageBreak/>
              <w:t>2017. This largely coincides with an increase in the number of people on Newstart Allowance (now JobSeeker Payment) (</w:t>
            </w:r>
            <w:r w:rsidRPr="00027624">
              <w:fldChar w:fldCharType="begin"/>
            </w:r>
            <w:r w:rsidRPr="00027624">
              <w:instrText xml:space="preserve"> REF _Ref38701068 \r \h  \* MERGEFORMAT </w:instrText>
            </w:r>
            <w:r w:rsidRPr="00027624">
              <w:fldChar w:fldCharType="separate"/>
            </w:r>
            <w:r w:rsidR="00891058">
              <w:t>Chart 3E-13</w:t>
            </w:r>
            <w:r w:rsidRPr="00027624">
              <w:fldChar w:fldCharType="end"/>
            </w:r>
            <w:r w:rsidRPr="00027624">
              <w:t>).</w:t>
            </w:r>
          </w:p>
          <w:p w14:paraId="548ED3CE" w14:textId="77777777" w:rsidR="00B3792F" w:rsidRPr="00027624" w:rsidRDefault="00B3792F" w:rsidP="00582C3E">
            <w:pPr>
              <w:pStyle w:val="ChartMainHeading"/>
            </w:pPr>
            <w:bookmarkStart w:id="2867" w:name="_Ref38701068"/>
            <w:r w:rsidRPr="00027624">
              <w:t>Total number of recipients</w:t>
            </w:r>
            <w:bookmarkEnd w:id="2867"/>
            <w:r w:rsidRPr="00027624">
              <w:t xml:space="preserve"> of select income support payments</w:t>
            </w:r>
          </w:p>
          <w:p w14:paraId="06606BD1" w14:textId="77777777" w:rsidR="00B3792F" w:rsidRPr="00027624" w:rsidRDefault="00A975C9" w:rsidP="009516BB">
            <w:pPr>
              <w:pStyle w:val="ChartGraphic"/>
            </w:pPr>
            <w:r>
              <w:rPr>
                <w:noProof/>
              </w:rPr>
              <w:drawing>
                <wp:inline distT="0" distB="0" distL="0" distR="0" wp14:anchorId="7D88D0D8" wp14:editId="04C0E097">
                  <wp:extent cx="5585460" cy="2522220"/>
                  <wp:effectExtent l="0" t="0" r="0" b="0"/>
                  <wp:docPr id="139" name="Picture 139" descr="This chart shows that the total number of Disability Support Pension recipients have remained broadly stable from June 2009 to June 2018 at around 750,000 recipients. The total number of Newstart Allowance recipients was broadly stable from June 2009 to June 2012 at around 500,000 recipients, before increasing between June 2012 to June 2015 by around 200,000 recipients. At June 2018, the total number of Newstart Allowance recipients was over 700,000." title="Chart 3E-13 Total number of recipients of select income support pa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3C14EC92" w14:textId="77777777" w:rsidR="00B3792F" w:rsidRPr="00027624" w:rsidRDefault="00B3792F" w:rsidP="00264EED">
            <w:pPr>
              <w:pStyle w:val="ChartorTableNote"/>
            </w:pPr>
            <w:r w:rsidRPr="00027624">
              <w:rPr>
                <w:iCs/>
              </w:rPr>
              <w:t xml:space="preserve">Note: Includes recipients of all ages. </w:t>
            </w:r>
            <w:r w:rsidRPr="00027624">
              <w:t xml:space="preserve">Source: Analysis of Department of Social Services Demographics June 2014, 2015, 2016, 2017 and 2018 </w:t>
            </w:r>
            <w:sdt>
              <w:sdtPr>
                <w:id w:val="-2007353902"/>
                <w:citation/>
              </w:sdtPr>
              <w:sdtEndPr/>
              <w:sdtContent>
                <w:r w:rsidRPr="00027624">
                  <w:fldChar w:fldCharType="begin"/>
                </w:r>
                <w:r w:rsidRPr="00027624">
                  <w:instrText xml:space="preserve"> CITATION DSS20 \l 3081 </w:instrText>
                </w:r>
                <w:r w:rsidRPr="00027624">
                  <w:fldChar w:fldCharType="separate"/>
                </w:r>
                <w:r w:rsidR="00E83F6E">
                  <w:rPr>
                    <w:noProof/>
                  </w:rPr>
                  <w:t>(Department of Social Services, 2020c)</w:t>
                </w:r>
                <w:r w:rsidRPr="00027624">
                  <w:fldChar w:fldCharType="end"/>
                </w:r>
              </w:sdtContent>
            </w:sdt>
            <w:r w:rsidRPr="00027624">
              <w:t xml:space="preserve"> and </w:t>
            </w:r>
            <w:sdt>
              <w:sdtPr>
                <w:id w:val="-1597244868"/>
                <w:citation/>
              </w:sdtPr>
              <w:sdtEndPr/>
              <w:sdtContent>
                <w:r w:rsidRPr="00027624">
                  <w:fldChar w:fldCharType="begin"/>
                </w:r>
                <w:r w:rsidRPr="00027624">
                  <w:instrText xml:space="preserve"> CITATION DSS14 \l 3081 </w:instrText>
                </w:r>
                <w:r w:rsidRPr="00027624">
                  <w:fldChar w:fldCharType="separate"/>
                </w:r>
                <w:r w:rsidR="00E83F6E">
                  <w:rPr>
                    <w:noProof/>
                  </w:rPr>
                  <w:t>(Department of Social Services, 2014)</w:t>
                </w:r>
                <w:r w:rsidRPr="00027624">
                  <w:fldChar w:fldCharType="end"/>
                </w:r>
              </w:sdtContent>
            </w:sdt>
            <w:r w:rsidRPr="00027624">
              <w:t>.</w:t>
            </w:r>
          </w:p>
          <w:p w14:paraId="09C466FF" w14:textId="77777777" w:rsidR="00B3792F" w:rsidRPr="00027624" w:rsidRDefault="00B3792F" w:rsidP="00264EED">
            <w:pPr>
              <w:pStyle w:val="Heading4"/>
              <w:spacing w:before="240"/>
              <w:outlineLvl w:val="3"/>
              <w:rPr>
                <w:b w:val="0"/>
                <w:sz w:val="22"/>
                <w:szCs w:val="22"/>
              </w:rPr>
            </w:pPr>
            <w:bookmarkStart w:id="2868" w:name="_Toc40458139"/>
            <w:bookmarkStart w:id="2869" w:name="_Toc40461908"/>
            <w:bookmarkStart w:id="2870" w:name="_Toc40474463"/>
            <w:bookmarkStart w:id="2871" w:name="_Toc40477992"/>
            <w:bookmarkStart w:id="2872" w:name="_Toc40521572"/>
            <w:bookmarkStart w:id="2873" w:name="_Toc40530431"/>
            <w:bookmarkStart w:id="2874" w:name="_Toc42778858"/>
            <w:bookmarkStart w:id="2875" w:name="_Toc42779998"/>
            <w:bookmarkStart w:id="2876" w:name="_Toc42780427"/>
            <w:bookmarkStart w:id="2877" w:name="_Toc42786417"/>
            <w:bookmarkStart w:id="2878" w:name="_Toc42791910"/>
            <w:bookmarkStart w:id="2879" w:name="_Toc42792072"/>
            <w:bookmarkStart w:id="2880" w:name="_Toc43117879"/>
            <w:bookmarkStart w:id="2881" w:name="_Toc43121518"/>
            <w:bookmarkStart w:id="2882" w:name="_Toc43122723"/>
            <w:bookmarkStart w:id="2883" w:name="_Toc43127778"/>
            <w:r w:rsidRPr="00027624">
              <w:t>Monetary benefits</w:t>
            </w:r>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p>
          <w:p w14:paraId="4EB002D4" w14:textId="77777777" w:rsidR="00B3792F" w:rsidRPr="00027624" w:rsidRDefault="00B3792F" w:rsidP="00264EED">
            <w:pPr>
              <w:pStyle w:val="BoxText"/>
            </w:pPr>
            <w:r w:rsidRPr="00027624">
              <w:t xml:space="preserve">The Age Pension, Disability Support Pension and Carer Payment are classified as a </w:t>
            </w:r>
            <w:r w:rsidRPr="00027624">
              <w:rPr>
                <w:i/>
              </w:rPr>
              <w:t xml:space="preserve">pension </w:t>
            </w:r>
            <w:r w:rsidRPr="00027624">
              <w:t>and are therefore paid at the same rate and subject to the same means test settings. Carer Payment recipients receive extra support in the form of Carer Allowance and Carer Supplement</w:t>
            </w:r>
            <w:r w:rsidR="00A8443E" w:rsidRPr="00027624">
              <w:t xml:space="preserve"> — </w:t>
            </w:r>
            <w:r w:rsidRPr="00027624">
              <w:t xml:space="preserve">assistance that may also be available to recipients of other payments with caring responsibilities. In contrast, JobSeeker Payment is an </w:t>
            </w:r>
            <w:r w:rsidRPr="00027624">
              <w:rPr>
                <w:i/>
              </w:rPr>
              <w:t>allowance</w:t>
            </w:r>
            <w:r w:rsidRPr="00027624">
              <w:t>. The standard rate of JobSeeker Payment is around 60</w:t>
            </w:r>
            <w:r w:rsidR="00A8443E" w:rsidRPr="00027624">
              <w:noBreakHyphen/>
            </w:r>
            <w:r w:rsidRPr="00027624">
              <w:t>73 per cent of the standard rate of Age Pension, Disability Support Pension and Carer Payment, depending on a person</w:t>
            </w:r>
            <w:r w:rsidR="00A8443E" w:rsidRPr="00027624">
              <w:t>’</w:t>
            </w:r>
            <w:r w:rsidRPr="00027624">
              <w:t>s relationship status and family situation.</w:t>
            </w:r>
          </w:p>
          <w:p w14:paraId="51694FB6" w14:textId="12124063" w:rsidR="00B3792F" w:rsidRPr="00027624" w:rsidRDefault="00B3792F" w:rsidP="00264EED">
            <w:pPr>
              <w:pStyle w:val="BoxText"/>
            </w:pPr>
            <w:r w:rsidRPr="00027624">
              <w:t>Recipients of Disability Support Pension or Carer Payment can have higher levels of income or assets and still qualify for these payments, compared with those on JobSeeker Payment. This means an early retiree receiving the Disability Support Pension or Carer Payment may have a higher retirement income than an early retiree who receives JobSeeker Payment (</w:t>
            </w:r>
            <w:r w:rsidRPr="00027624">
              <w:fldChar w:fldCharType="begin"/>
            </w:r>
            <w:r w:rsidRPr="00027624">
              <w:instrText xml:space="preserve"> REF _Ref36552244 \r \h  \* MERGEFORMAT </w:instrText>
            </w:r>
            <w:r w:rsidRPr="00027624">
              <w:fldChar w:fldCharType="separate"/>
            </w:r>
            <w:r w:rsidR="00891058">
              <w:t>Chart 3E-16</w:t>
            </w:r>
            <w:r w:rsidRPr="00027624">
              <w:fldChar w:fldCharType="end"/>
            </w:r>
            <w:r w:rsidRPr="00027624">
              <w:t xml:space="preserve">, </w:t>
            </w:r>
            <w:r w:rsidRPr="00027624">
              <w:fldChar w:fldCharType="begin"/>
            </w:r>
            <w:r w:rsidRPr="00027624">
              <w:instrText xml:space="preserve"> REF _Ref36552247 \r \h  \* MERGEFORMAT </w:instrText>
            </w:r>
            <w:r w:rsidRPr="00027624">
              <w:fldChar w:fldCharType="separate"/>
            </w:r>
            <w:r w:rsidR="00891058">
              <w:t>Chart 3E-17</w:t>
            </w:r>
            <w:r w:rsidRPr="00027624">
              <w:fldChar w:fldCharType="end"/>
            </w:r>
            <w:r w:rsidRPr="00027624">
              <w:t xml:space="preserve"> and </w:t>
            </w:r>
            <w:r w:rsidRPr="00027624">
              <w:fldChar w:fldCharType="begin"/>
            </w:r>
            <w:r w:rsidRPr="00027624">
              <w:instrText xml:space="preserve"> REF _Ref36552249 \r \h  \* MERGEFORMAT </w:instrText>
            </w:r>
            <w:r w:rsidRPr="00027624">
              <w:fldChar w:fldCharType="separate"/>
            </w:r>
            <w:r w:rsidR="00891058">
              <w:t>Chart 3E-18</w:t>
            </w:r>
            <w:r w:rsidRPr="00027624">
              <w:fldChar w:fldCharType="end"/>
            </w:r>
            <w:r w:rsidRPr="00027624">
              <w:t xml:space="preserve">). </w:t>
            </w:r>
          </w:p>
          <w:p w14:paraId="5023EB02" w14:textId="77777777" w:rsidR="00B3792F" w:rsidRPr="00027624" w:rsidRDefault="00B3792F" w:rsidP="00264EED">
            <w:pPr>
              <w:pStyle w:val="BoxText"/>
            </w:pPr>
            <w:r w:rsidRPr="00027624">
              <w:t>Age Pension, Disability Support Pension and Carer Payment are indexed to the higher of the CPI and Pensioner and Beneficiary Living Cost Index, and benchmarked to male total average weekly earnings. Whereas, JobSeeker Payment is only indexed to CPI. The effect of these different indexation arrangements compound over time. For example, assuming no change in the base rate of payment, by 2050, the single rate of JobSeeker Payment rate will be around 45 per cent of the single rate of Age Pension, Disability Support Pension and Carer Payment (compared with 60 per cent in 2020).</w:t>
            </w:r>
            <w:r w:rsidRPr="00027624">
              <w:rPr>
                <w:rStyle w:val="FootnoteReference"/>
              </w:rPr>
              <w:footnoteReference w:id="210"/>
            </w:r>
            <w:r w:rsidRPr="00027624">
              <w:t xml:space="preserve"> </w:t>
            </w:r>
          </w:p>
          <w:p w14:paraId="0CFB892A" w14:textId="77777777" w:rsidR="00B3792F" w:rsidRPr="00027624" w:rsidRDefault="00B3792F" w:rsidP="00264EED">
            <w:pPr>
              <w:pStyle w:val="BoxText"/>
            </w:pPr>
            <w:r w:rsidRPr="00027624">
              <w:t xml:space="preserve">Many stakeholders raised concerns about the proportion of older Australians receiving JobSeeker Payment who experience poverty or financial stress before they qualify for the Age Pension. For example, one stakeholder cited research by Davidson et al. </w:t>
            </w:r>
            <w:sdt>
              <w:sdtPr>
                <w:id w:val="-876085363"/>
                <w:citation/>
              </w:sdtPr>
              <w:sdtEndPr/>
              <w:sdtContent>
                <w:r w:rsidRPr="00027624">
                  <w:fldChar w:fldCharType="begin"/>
                </w:r>
                <w:r w:rsidRPr="00027624">
                  <w:instrText xml:space="preserve">CITATION Dav18 \n  \t  \l 3081 </w:instrText>
                </w:r>
                <w:r w:rsidRPr="00027624">
                  <w:fldChar w:fldCharType="separate"/>
                </w:r>
                <w:r w:rsidR="00E83F6E">
                  <w:rPr>
                    <w:noProof/>
                  </w:rPr>
                  <w:t>(2018)</w:t>
                </w:r>
                <w:r w:rsidRPr="00027624">
                  <w:fldChar w:fldCharType="end"/>
                </w:r>
              </w:sdtContent>
            </w:sdt>
            <w:r w:rsidRPr="00027624">
              <w:t xml:space="preserve"> that 55 per cent of households relying on JobSeeker Payment in 2015</w:t>
            </w:r>
            <w:r w:rsidR="00A8443E" w:rsidRPr="00027624">
              <w:noBreakHyphen/>
            </w:r>
            <w:r w:rsidRPr="00027624">
              <w:t>16 were living in poverty.</w:t>
            </w:r>
          </w:p>
          <w:p w14:paraId="28C9D724" w14:textId="77777777" w:rsidR="00B3792F" w:rsidRPr="00027624" w:rsidRDefault="00B3792F" w:rsidP="00264EED">
            <w:pPr>
              <w:pStyle w:val="BoxText"/>
            </w:pPr>
            <w:r w:rsidRPr="00027624">
              <w:t>In 2017</w:t>
            </w:r>
            <w:r w:rsidR="00A8443E" w:rsidRPr="00027624">
              <w:noBreakHyphen/>
            </w:r>
            <w:r w:rsidRPr="00027624">
              <w:t>18, the average net worth of a household receiving an income support payment where the reference person was aged 55</w:t>
            </w:r>
            <w:r w:rsidR="00A8443E" w:rsidRPr="00027624">
              <w:noBreakHyphen/>
            </w:r>
            <w:r w:rsidRPr="00027624">
              <w:t>64 was just under $250,000, with three</w:t>
            </w:r>
            <w:r w:rsidR="00A8443E" w:rsidRPr="00027624">
              <w:noBreakHyphen/>
            </w:r>
            <w:r w:rsidRPr="00027624">
              <w:t xml:space="preserve">quarters of this wealth held in the family home. Average financial assets, excluding superannuation, </w:t>
            </w:r>
            <w:r w:rsidRPr="00027624" w:rsidDel="00106419">
              <w:t xml:space="preserve">were </w:t>
            </w:r>
            <w:r w:rsidRPr="00027624">
              <w:t xml:space="preserve">just over $20,000 </w:t>
            </w:r>
            <w:sdt>
              <w:sdtPr>
                <w:id w:val="-1477060890"/>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 This suggests many people aged 55</w:t>
            </w:r>
            <w:r w:rsidR="00A8443E" w:rsidRPr="00027624">
              <w:noBreakHyphen/>
            </w:r>
            <w:r w:rsidRPr="00027624">
              <w:t>64 on income support payment do not have significant liquid assets to top up their Government pension or allowance income, unless they use a reverse mortgage or home equity release product.</w:t>
            </w:r>
          </w:p>
          <w:p w14:paraId="624F5379" w14:textId="77777777" w:rsidR="00B3792F" w:rsidRPr="00027624" w:rsidRDefault="00B3792F" w:rsidP="00264EED">
            <w:pPr>
              <w:pStyle w:val="BoxText"/>
            </w:pPr>
            <w:r w:rsidRPr="00027624" w:rsidDel="00CC265D">
              <w:lastRenderedPageBreak/>
              <w:t xml:space="preserve">JobSeeker Payment/Newstart Allowance </w:t>
            </w:r>
            <w:r w:rsidRPr="00027624">
              <w:t xml:space="preserve">is </w:t>
            </w:r>
            <w:r w:rsidRPr="00027624" w:rsidDel="00CC265D">
              <w:t>paid at a lower rate than pension</w:t>
            </w:r>
            <w:r w:rsidRPr="00027624">
              <w:t xml:space="preserve">s because it is provided on the basis that recipients are willing and able to work, and have greater capacity to supplement their income through paid employment. Whereas, Age Pension, Disability Support Pension and Carer Payment are paid to recipients who are not able or not expected to work </w:t>
            </w:r>
            <w:sdt>
              <w:sdtPr>
                <w:rPr>
                  <w:color w:val="000000"/>
                </w:rPr>
                <w:id w:val="1802267678"/>
                <w:citation/>
              </w:sdtPr>
              <w:sdtEndPr/>
              <w:sdtContent>
                <w:r w:rsidRPr="00027624">
                  <w:rPr>
                    <w:color w:val="000000"/>
                  </w:rPr>
                  <w:fldChar w:fldCharType="begin"/>
                </w:r>
                <w:r w:rsidRPr="00027624">
                  <w:rPr>
                    <w:color w:val="000000"/>
                  </w:rPr>
                  <w:instrText xml:space="preserve">CITATION Aus08 \t  \l 3081 </w:instrText>
                </w:r>
                <w:r w:rsidRPr="00027624">
                  <w:rPr>
                    <w:color w:val="000000"/>
                  </w:rPr>
                  <w:fldChar w:fldCharType="separate"/>
                </w:r>
                <w:r w:rsidR="00E83F6E" w:rsidRPr="00E83F6E">
                  <w:rPr>
                    <w:noProof/>
                    <w:color w:val="000000"/>
                  </w:rPr>
                  <w:t>(Australia’s Future Tax System Review, 2008)</w:t>
                </w:r>
                <w:r w:rsidRPr="00027624">
                  <w:rPr>
                    <w:color w:val="000000"/>
                  </w:rPr>
                  <w:fldChar w:fldCharType="end"/>
                </w:r>
              </w:sdtContent>
            </w:sdt>
            <w:r w:rsidRPr="00027624">
              <w:rPr>
                <w:color w:val="000000"/>
              </w:rPr>
              <w:t>.</w:t>
            </w:r>
            <w:r w:rsidRPr="00027624">
              <w:t xml:space="preserve"> Yet, only 42 per cent of people who became unemployed at age 60 and began receiving Newstart Allowance in 2017</w:t>
            </w:r>
            <w:r w:rsidR="00A8443E" w:rsidRPr="00027624">
              <w:noBreakHyphen/>
            </w:r>
            <w:r w:rsidRPr="00027624">
              <w:t>18 are projected to move off income support payments for one or more years before reaching Age Pension eligibility age.</w:t>
            </w:r>
            <w:r w:rsidRPr="00027624">
              <w:rPr>
                <w:rStyle w:val="FootnoteReference"/>
              </w:rPr>
              <w:footnoteReference w:id="211"/>
            </w:r>
            <w:r w:rsidRPr="00027624">
              <w:t xml:space="preserve"> This suggests many people who retire early and involuntarily will continuously rely on the welfare system until reaching Age Pension eligibility age. As the superannuation system matures, superannuation may become a more important source of income for involuntary retirees. </w:t>
            </w:r>
          </w:p>
        </w:tc>
      </w:tr>
    </w:tbl>
    <w:p w14:paraId="3D3212CA" w14:textId="77777777" w:rsidR="00B3792F" w:rsidRPr="00027624" w:rsidRDefault="00B3792F" w:rsidP="00B3792F">
      <w:pPr>
        <w:pStyle w:val="Heading3"/>
      </w:pPr>
      <w:bookmarkStart w:id="2884" w:name="_Toc40281863"/>
      <w:bookmarkStart w:id="2885" w:name="_Toc40282083"/>
      <w:bookmarkStart w:id="2886" w:name="_Toc40366184"/>
      <w:bookmarkStart w:id="2887" w:name="_Toc40369730"/>
      <w:bookmarkStart w:id="2888" w:name="_Toc40427886"/>
      <w:bookmarkStart w:id="2889" w:name="_Toc40458140"/>
      <w:bookmarkStart w:id="2890" w:name="_Toc40461909"/>
      <w:bookmarkStart w:id="2891" w:name="_Toc40474464"/>
      <w:bookmarkStart w:id="2892" w:name="_Toc40477993"/>
      <w:bookmarkStart w:id="2893" w:name="_Toc40521573"/>
      <w:bookmarkStart w:id="2894" w:name="_Toc40530432"/>
      <w:bookmarkStart w:id="2895" w:name="_Toc42778859"/>
      <w:bookmarkStart w:id="2896" w:name="_Toc42779999"/>
      <w:bookmarkStart w:id="2897" w:name="_Toc42780428"/>
      <w:bookmarkStart w:id="2898" w:name="_Toc42786418"/>
      <w:bookmarkStart w:id="2899" w:name="_Toc42791911"/>
      <w:bookmarkStart w:id="2900" w:name="_Toc42792073"/>
      <w:bookmarkStart w:id="2901" w:name="_Toc43117880"/>
      <w:bookmarkStart w:id="2902" w:name="_Toc43121519"/>
      <w:bookmarkStart w:id="2903" w:name="_Toc43122724"/>
      <w:bookmarkStart w:id="2904" w:name="_Toc43127779"/>
      <w:r w:rsidRPr="00027624">
        <w:lastRenderedPageBreak/>
        <w:t>Early release of superannuation benefits</w:t>
      </w:r>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p>
    <w:p w14:paraId="4507A3C1" w14:textId="77777777" w:rsidR="00B3792F" w:rsidRPr="00027624" w:rsidRDefault="00B3792F" w:rsidP="00B3792F">
      <w:r w:rsidRPr="00027624">
        <w:t xml:space="preserve">For some people who meet the eligibility requirements, accessing superannuation through the early release regime provides a means to access funds to deal with financial emergencies before they reach preservation age (see </w:t>
      </w:r>
      <w:r w:rsidRPr="00027624">
        <w:rPr>
          <w:i/>
        </w:rPr>
        <w:t>2C. Maintaining standards of living in retirement</w:t>
      </w:r>
      <w:r w:rsidRPr="00027624">
        <w:t>).</w:t>
      </w:r>
    </w:p>
    <w:p w14:paraId="5121EAD2" w14:textId="77777777" w:rsidR="00B3792F" w:rsidRPr="00027624" w:rsidRDefault="00B3792F" w:rsidP="00B3792F">
      <w:pPr>
        <w:pStyle w:val="Heading3"/>
      </w:pPr>
      <w:bookmarkStart w:id="2905" w:name="_Toc40281864"/>
      <w:bookmarkStart w:id="2906" w:name="_Toc40282084"/>
      <w:bookmarkStart w:id="2907" w:name="_Toc40366185"/>
      <w:bookmarkStart w:id="2908" w:name="_Toc40369731"/>
      <w:bookmarkStart w:id="2909" w:name="_Toc40427887"/>
      <w:bookmarkStart w:id="2910" w:name="_Toc40458141"/>
      <w:bookmarkStart w:id="2911" w:name="_Toc40461910"/>
      <w:bookmarkStart w:id="2912" w:name="_Toc40474465"/>
      <w:bookmarkStart w:id="2913" w:name="_Toc40477994"/>
      <w:bookmarkStart w:id="2914" w:name="_Toc40521574"/>
      <w:bookmarkStart w:id="2915" w:name="_Toc40530433"/>
      <w:bookmarkStart w:id="2916" w:name="_Toc42778860"/>
      <w:bookmarkStart w:id="2917" w:name="_Toc42780000"/>
      <w:bookmarkStart w:id="2918" w:name="_Toc42780429"/>
      <w:bookmarkStart w:id="2919" w:name="_Toc42786419"/>
      <w:bookmarkStart w:id="2920" w:name="_Toc42791912"/>
      <w:bookmarkStart w:id="2921" w:name="_Toc42792074"/>
      <w:bookmarkStart w:id="2922" w:name="_Toc43117881"/>
      <w:bookmarkStart w:id="2923" w:name="_Toc43121520"/>
      <w:bookmarkStart w:id="2924" w:name="_Toc43122725"/>
      <w:bookmarkStart w:id="2925" w:name="_Toc43127780"/>
      <w:r w:rsidRPr="00027624">
        <w:t>Other income sources available to people who retire early</w:t>
      </w:r>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p>
    <w:p w14:paraId="1D3A4D9D" w14:textId="773920FE" w:rsidR="00B3792F" w:rsidRPr="00027624" w:rsidRDefault="00B3792F" w:rsidP="00B3792F">
      <w:pPr>
        <w:rPr>
          <w:b/>
        </w:rPr>
      </w:pPr>
      <w:r w:rsidRPr="00027624">
        <w:t>In addition to Government pensions and allowances and superannuation benefits, other</w:t>
      </w:r>
      <w:r w:rsidRPr="00027624" w:rsidDel="008427ED">
        <w:t xml:space="preserve"> </w:t>
      </w:r>
      <w:r w:rsidRPr="00027624">
        <w:t>income sources may be available to people who retire early. In 2017</w:t>
      </w:r>
      <w:r w:rsidR="00A8443E" w:rsidRPr="00027624">
        <w:noBreakHyphen/>
      </w:r>
      <w:r w:rsidRPr="00027624">
        <w:t>18, the average net wealth (excluding superannuation and the family home) of a household whose reference person was aged 55</w:t>
      </w:r>
      <w:r w:rsidR="00A8443E" w:rsidRPr="00027624">
        <w:noBreakHyphen/>
      </w:r>
      <w:r w:rsidRPr="00027624">
        <w:t xml:space="preserve">64 was just over $550,000 </w:t>
      </w:r>
      <w:sdt>
        <w:sdtPr>
          <w:id w:val="1838184707"/>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 Many households in this age range have a much lower net wealth than the average (</w:t>
      </w:r>
      <w:r w:rsidRPr="00027624">
        <w:fldChar w:fldCharType="begin"/>
      </w:r>
      <w:r w:rsidRPr="00027624">
        <w:instrText xml:space="preserve"> REF _Ref36566502 \r \h  \* MERGEFORMAT </w:instrText>
      </w:r>
      <w:r w:rsidRPr="00027624">
        <w:fldChar w:fldCharType="separate"/>
      </w:r>
      <w:r w:rsidR="00891058">
        <w:t>Chart 3E-14</w:t>
      </w:r>
      <w:r w:rsidRPr="00027624">
        <w:fldChar w:fldCharType="end"/>
      </w:r>
      <w:r w:rsidRPr="00027624">
        <w:t>). Some early retirees (other than those receiving income support payments)</w:t>
      </w:r>
      <w:r w:rsidRPr="00027624" w:rsidDel="009F3190">
        <w:t xml:space="preserve"> </w:t>
      </w:r>
      <w:r w:rsidRPr="00027624">
        <w:t xml:space="preserve">may </w:t>
      </w:r>
      <w:r w:rsidRPr="00027624" w:rsidDel="009F3190">
        <w:t xml:space="preserve">have </w:t>
      </w:r>
      <w:r w:rsidRPr="00027624">
        <w:t>other non</w:t>
      </w:r>
      <w:r w:rsidR="00A8443E" w:rsidRPr="00027624">
        <w:noBreakHyphen/>
      </w:r>
      <w:r w:rsidRPr="00027624">
        <w:t>superannuation and non</w:t>
      </w:r>
      <w:r w:rsidR="00A8443E" w:rsidRPr="00027624">
        <w:noBreakHyphen/>
      </w:r>
      <w:r w:rsidRPr="00027624">
        <w:t>owner</w:t>
      </w:r>
      <w:r w:rsidR="00A8443E" w:rsidRPr="00027624">
        <w:noBreakHyphen/>
      </w:r>
      <w:r w:rsidRPr="00027624">
        <w:t>occupied housing assets to draw on before they reach preservation age or Age Pension eligibility age.</w:t>
      </w:r>
      <w:r w:rsidRPr="00027624">
        <w:rPr>
          <w:b/>
          <w:szCs w:val="22"/>
        </w:rPr>
        <w:t xml:space="preserve"> </w:t>
      </w:r>
    </w:p>
    <w:p w14:paraId="60C032E9" w14:textId="77777777" w:rsidR="00B3792F" w:rsidRPr="00027624" w:rsidRDefault="00B3792F" w:rsidP="00582C3E">
      <w:pPr>
        <w:pStyle w:val="ChartMainHeading"/>
        <w:spacing w:before="0"/>
      </w:pPr>
      <w:bookmarkStart w:id="2926" w:name="_Ref36566502"/>
      <w:r w:rsidRPr="00027624">
        <w:t>Average assets of households aged 55</w:t>
      </w:r>
      <w:r w:rsidR="00A8443E" w:rsidRPr="00027624">
        <w:noBreakHyphen/>
      </w:r>
      <w:r w:rsidRPr="00027624">
        <w:t>64, by wealth quintile</w:t>
      </w:r>
      <w:bookmarkEnd w:id="2926"/>
    </w:p>
    <w:p w14:paraId="486DFB4C" w14:textId="77777777" w:rsidR="00B3792F" w:rsidRPr="00027624" w:rsidRDefault="00FB7556" w:rsidP="009516BB">
      <w:pPr>
        <w:pStyle w:val="ChartGraphic"/>
      </w:pPr>
      <w:r>
        <w:rPr>
          <w:noProof/>
        </w:rPr>
        <w:drawing>
          <wp:inline distT="0" distB="0" distL="0" distR="0" wp14:anchorId="7674A68B" wp14:editId="74260A58">
            <wp:extent cx="5585460" cy="2522220"/>
            <wp:effectExtent l="0" t="0" r="0" b="0"/>
            <wp:docPr id="150" name="Picture 150" descr="This chart shows that the average assets of households aged 55-64 increases with total wealth. Those at the 3rd wealth quintile have, on average, just under $1 million in assets, of which around 25 per cent is superannuation. Those at the 5th wealth quintile have, on average, $3.7 million in assets, of which around $1 million is superannuation. Owner occupied dwelling is the largest contributor to household assets at each wealth quintile." title="Chart 3E-14 Average assets of households aged 55-64, by wealth qui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3E4E669B" w14:textId="77777777" w:rsidR="00B3792F" w:rsidRPr="00027624" w:rsidRDefault="00B3792F" w:rsidP="00B3792F">
      <w:pPr>
        <w:pStyle w:val="ChartorTableNote"/>
      </w:pPr>
      <w:r w:rsidRPr="00027624">
        <w:t>Note: Uses 2017</w:t>
      </w:r>
      <w:r w:rsidR="00A8443E" w:rsidRPr="00027624">
        <w:noBreakHyphen/>
      </w:r>
      <w:r w:rsidRPr="00027624">
        <w:t>18 data. Age of household is the age of the household</w:t>
      </w:r>
      <w:r w:rsidR="00A8443E" w:rsidRPr="00027624">
        <w:t>’</w:t>
      </w:r>
      <w:r w:rsidRPr="00027624">
        <w:t>s reference person. Does not include other assets, such as vehicles, home contents, silent partnerships and assets not covered elsewhere. Quintiles are based on net wealth. Source: Analysis of ABS Survey of Income and Housing Confidentialised Unit Record File, 2017</w:t>
      </w:r>
      <w:r w:rsidR="00A8443E" w:rsidRPr="00027624">
        <w:noBreakHyphen/>
      </w:r>
      <w:r w:rsidRPr="00027624">
        <w:t>18.</w:t>
      </w:r>
    </w:p>
    <w:p w14:paraId="60C31389" w14:textId="621811F0" w:rsidR="00B3792F" w:rsidRPr="00027624" w:rsidRDefault="00B3792F" w:rsidP="00B3792F">
      <w:pPr>
        <w:rPr>
          <w:b/>
        </w:rPr>
      </w:pPr>
      <w:r w:rsidRPr="00027624">
        <w:lastRenderedPageBreak/>
        <w:t>Some early retirees also have access to total and permanent disability (TPD) insurance and income protection insurance, workers</w:t>
      </w:r>
      <w:r w:rsidR="00A8443E" w:rsidRPr="00027624">
        <w:t>’</w:t>
      </w:r>
      <w:r w:rsidRPr="00027624">
        <w:t xml:space="preserve"> compensation schemes or other compensation schemes (e.g. third</w:t>
      </w:r>
      <w:r w:rsidR="00A8443E" w:rsidRPr="00027624">
        <w:noBreakHyphen/>
      </w:r>
      <w:r w:rsidRPr="00027624">
        <w:t>party motor vehicle insurance). In 2016 and 2017, a total of 6,143 successful TPD claims were finalised across all life insurers for people aged 56</w:t>
      </w:r>
      <w:r w:rsidR="00A8443E" w:rsidRPr="00027624">
        <w:noBreakHyphen/>
      </w:r>
      <w:r w:rsidRPr="00027624">
        <w:t>65</w:t>
      </w:r>
      <w:r w:rsidRPr="00027624" w:rsidDel="00C23C30">
        <w:t xml:space="preserve"> </w:t>
      </w:r>
      <w:r w:rsidRPr="00027624">
        <w:t>(0.22 per cent of those aged 56</w:t>
      </w:r>
      <w:r w:rsidR="00A8443E" w:rsidRPr="00027624">
        <w:noBreakHyphen/>
      </w:r>
      <w:r w:rsidRPr="00027624">
        <w:t>65).</w:t>
      </w:r>
      <w:r w:rsidRPr="00027624">
        <w:rPr>
          <w:rStyle w:val="FootnoteReference"/>
        </w:rPr>
        <w:footnoteReference w:id="212"/>
      </w:r>
      <w:r w:rsidRPr="00027624">
        <w:t xml:space="preserve"> For these claims, the average sum insured for people aged 56</w:t>
      </w:r>
      <w:r w:rsidR="00A8443E" w:rsidRPr="00027624">
        <w:noBreakHyphen/>
      </w:r>
      <w:r w:rsidRPr="00027624">
        <w:t>60 was $84,826, and $54,833 for those aged 61</w:t>
      </w:r>
      <w:r w:rsidR="00A8443E" w:rsidRPr="00027624">
        <w:noBreakHyphen/>
      </w:r>
      <w:r w:rsidRPr="00027624">
        <w:t>65. This decline reflects that TPD policies tend to pay based on years remaining in the workforce. Workers</w:t>
      </w:r>
      <w:r w:rsidR="00504DEB" w:rsidRPr="00027624">
        <w:t>’</w:t>
      </w:r>
      <w:r w:rsidRPr="00027624">
        <w:t xml:space="preserve"> compensation is the main source of income at retirement for some people who retire involuntarily and for very few who retire voluntarily (</w:t>
      </w:r>
      <w:r w:rsidRPr="00027624">
        <w:rPr>
          <w:b/>
        </w:rPr>
        <w:fldChar w:fldCharType="begin"/>
      </w:r>
      <w:r w:rsidRPr="00027624">
        <w:instrText xml:space="preserve"> REF _Ref35863945 \r \h </w:instrText>
      </w:r>
      <w:r w:rsidRPr="00027624">
        <w:rPr>
          <w:b/>
        </w:rPr>
        <w:instrText xml:space="preserve"> \* MERGEFORMAT </w:instrText>
      </w:r>
      <w:r w:rsidRPr="00027624">
        <w:rPr>
          <w:b/>
        </w:rPr>
      </w:r>
      <w:r w:rsidRPr="00027624">
        <w:rPr>
          <w:b/>
        </w:rPr>
        <w:fldChar w:fldCharType="separate"/>
      </w:r>
      <w:r w:rsidR="00891058">
        <w:t>Chart 3E-9</w:t>
      </w:r>
      <w:r w:rsidRPr="00027624">
        <w:rPr>
          <w:b/>
        </w:rPr>
        <w:fldChar w:fldCharType="end"/>
      </w:r>
      <w:r w:rsidRPr="00027624">
        <w:t xml:space="preserve"> and </w:t>
      </w:r>
      <w:r w:rsidRPr="00027624">
        <w:rPr>
          <w:b/>
        </w:rPr>
        <w:fldChar w:fldCharType="begin"/>
      </w:r>
      <w:r w:rsidRPr="00027624">
        <w:instrText xml:space="preserve"> REF _Ref35863970 \r \h </w:instrText>
      </w:r>
      <w:r w:rsidRPr="00027624">
        <w:rPr>
          <w:b/>
        </w:rPr>
        <w:instrText xml:space="preserve"> \* MERGEFORMAT </w:instrText>
      </w:r>
      <w:r w:rsidRPr="00027624">
        <w:rPr>
          <w:b/>
        </w:rPr>
      </w:r>
      <w:r w:rsidRPr="00027624">
        <w:rPr>
          <w:b/>
        </w:rPr>
        <w:fldChar w:fldCharType="separate"/>
      </w:r>
      <w:r w:rsidR="00891058">
        <w:t>Chart 3E-10</w:t>
      </w:r>
      <w:r w:rsidRPr="00027624">
        <w:rPr>
          <w:b/>
        </w:rPr>
        <w:fldChar w:fldCharType="end"/>
      </w:r>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22746A73" w14:textId="77777777" w:rsidTr="00B3792F">
        <w:tc>
          <w:tcPr>
            <w:tcW w:w="5000" w:type="pct"/>
            <w:shd w:val="clear" w:color="auto" w:fill="FFF8EA"/>
          </w:tcPr>
          <w:p w14:paraId="36D156B2" w14:textId="77777777" w:rsidR="00B3792F" w:rsidRPr="00027624" w:rsidRDefault="00B3792F" w:rsidP="00582C3E">
            <w:pPr>
              <w:pStyle w:val="BoxHeading"/>
            </w:pPr>
            <w:r w:rsidRPr="00027624">
              <w:t>Preservation and Age Pension eligibility ages</w:t>
            </w:r>
          </w:p>
          <w:p w14:paraId="17F7C209" w14:textId="77777777" w:rsidR="00B3792F" w:rsidRPr="00027624" w:rsidRDefault="00B3792F" w:rsidP="00B3792F">
            <w:pPr>
              <w:pStyle w:val="Heading4"/>
              <w:spacing w:before="0"/>
              <w:outlineLvl w:val="3"/>
            </w:pPr>
            <w:bookmarkStart w:id="2927" w:name="_Toc40281865"/>
            <w:bookmarkStart w:id="2928" w:name="_Toc40282085"/>
            <w:bookmarkStart w:id="2929" w:name="_Toc40366186"/>
            <w:bookmarkStart w:id="2930" w:name="_Toc40369732"/>
            <w:bookmarkStart w:id="2931" w:name="_Toc40427888"/>
            <w:bookmarkStart w:id="2932" w:name="_Toc40458142"/>
            <w:bookmarkStart w:id="2933" w:name="_Toc40461911"/>
            <w:bookmarkStart w:id="2934" w:name="_Toc40474466"/>
            <w:bookmarkStart w:id="2935" w:name="_Toc40477995"/>
            <w:bookmarkStart w:id="2936" w:name="_Toc40521575"/>
            <w:bookmarkStart w:id="2937" w:name="_Toc40530434"/>
            <w:bookmarkStart w:id="2938" w:name="_Toc42778861"/>
            <w:bookmarkStart w:id="2939" w:name="_Toc42780001"/>
            <w:bookmarkStart w:id="2940" w:name="_Toc42780430"/>
            <w:bookmarkStart w:id="2941" w:name="_Toc42786420"/>
            <w:bookmarkStart w:id="2942" w:name="_Toc42791913"/>
            <w:bookmarkStart w:id="2943" w:name="_Toc42792075"/>
            <w:bookmarkStart w:id="2944" w:name="_Toc43117882"/>
            <w:bookmarkStart w:id="2945" w:name="_Toc43121521"/>
            <w:bookmarkStart w:id="2946" w:name="_Toc43122726"/>
            <w:bookmarkStart w:id="2947" w:name="_Toc43127781"/>
            <w:r w:rsidRPr="00027624">
              <w:t>Universality of the Age Pension eligibility age and preservation age</w:t>
            </w:r>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p>
          <w:p w14:paraId="16DB7ECE" w14:textId="77777777" w:rsidR="00B3792F" w:rsidRPr="00027624" w:rsidRDefault="00B3792F" w:rsidP="00B3792F">
            <w:pPr>
              <w:pStyle w:val="BoxText"/>
            </w:pPr>
            <w:r w:rsidRPr="00027624">
              <w:t>Australia</w:t>
            </w:r>
            <w:r w:rsidR="00A8443E" w:rsidRPr="00027624">
              <w:t>’</w:t>
            </w:r>
            <w:r w:rsidRPr="00027624">
              <w:t>s preservation and Age Pension eligibility ages apply to the entire population. This is in contrast with many other OECD countries, which have variable access ages</w:t>
            </w:r>
            <w:sdt>
              <w:sdtPr>
                <w:id w:val="505946586"/>
                <w:citation/>
              </w:sdtPr>
              <w:sdtEndPr/>
              <w:sdtContent>
                <w:r w:rsidRPr="00027624">
                  <w:fldChar w:fldCharType="begin"/>
                </w:r>
                <w:r w:rsidRPr="00027624">
                  <w:instrText xml:space="preserve">CITATION OEC19d \l 3081 </w:instrText>
                </w:r>
                <w:r w:rsidRPr="00027624">
                  <w:fldChar w:fldCharType="separate"/>
                </w:r>
                <w:r w:rsidR="00E83F6E">
                  <w:rPr>
                    <w:noProof/>
                  </w:rPr>
                  <w:t xml:space="preserve"> (OECD, 2019b)</w:t>
                </w:r>
                <w:r w:rsidRPr="00027624">
                  <w:fldChar w:fldCharType="end"/>
                </w:r>
              </w:sdtContent>
            </w:sdt>
            <w:r w:rsidRPr="00027624">
              <w:t xml:space="preserve">. For example, the Netherlands Government recently announced that workers in physically demanding jobs will be able to access their retirement savings three years before the standard retirement age </w:t>
            </w:r>
            <w:sdt>
              <w:sdtPr>
                <w:id w:val="-899277127"/>
                <w:citation/>
              </w:sdtPr>
              <w:sdtEndPr/>
              <w:sdtContent>
                <w:r w:rsidRPr="00027624">
                  <w:fldChar w:fldCharType="begin"/>
                </w:r>
                <w:r w:rsidRPr="00027624">
                  <w:instrText xml:space="preserve"> CITATION Maa19 \l 3081 </w:instrText>
                </w:r>
                <w:r w:rsidRPr="00027624">
                  <w:fldChar w:fldCharType="separate"/>
                </w:r>
                <w:r w:rsidR="00E83F6E">
                  <w:rPr>
                    <w:noProof/>
                  </w:rPr>
                  <w:t>(Wijk &amp; Preesman, 2019)</w:t>
                </w:r>
                <w:r w:rsidRPr="00027624">
                  <w:fldChar w:fldCharType="end"/>
                </w:r>
              </w:sdtContent>
            </w:sdt>
            <w:r w:rsidRPr="00027624">
              <w:t xml:space="preserve">. </w:t>
            </w:r>
          </w:p>
          <w:p w14:paraId="7D9C6CC3" w14:textId="77777777" w:rsidR="00B3792F" w:rsidRPr="00027624" w:rsidRDefault="00B3792F" w:rsidP="00B3792F">
            <w:pPr>
              <w:pStyle w:val="BoxText"/>
            </w:pPr>
            <w:r w:rsidRPr="00027624">
              <w:t>Universality means people entering the workforce at younger ages will typically work for more years before reaching preservation age or Age Pension eligibility age, compared with those who enter the workforce at later ages. On average, those who begin full</w:t>
            </w:r>
            <w:r w:rsidR="00A8443E" w:rsidRPr="00027624">
              <w:noBreakHyphen/>
            </w:r>
            <w:r w:rsidRPr="00027624">
              <w:t xml:space="preserve">time employment at younger ages tend to be less educated people. </w:t>
            </w:r>
          </w:p>
          <w:p w14:paraId="7505836D" w14:textId="77777777" w:rsidR="00B3792F" w:rsidRPr="00027624" w:rsidRDefault="00B3792F" w:rsidP="00B3792F">
            <w:pPr>
              <w:pStyle w:val="BoxText"/>
            </w:pPr>
            <w:r w:rsidRPr="00027624">
              <w:t>A few stakeholders suggested people in certain industries or occupations</w:t>
            </w:r>
            <w:r w:rsidR="00A8443E" w:rsidRPr="00027624">
              <w:t xml:space="preserve"> — </w:t>
            </w:r>
            <w:r w:rsidRPr="00027624">
              <w:t>where they may be more exposed to health or incapacity risks</w:t>
            </w:r>
            <w:r w:rsidR="00A8443E" w:rsidRPr="00027624">
              <w:t xml:space="preserve"> — </w:t>
            </w:r>
            <w:r w:rsidRPr="00027624">
              <w:t>should be able to access their superannuation or the Age Pension earlier than the rest of the Australian population. Although blue</w:t>
            </w:r>
            <w:r w:rsidR="00A8443E" w:rsidRPr="00027624">
              <w:noBreakHyphen/>
            </w:r>
            <w:r w:rsidRPr="00027624">
              <w:t>collar workers are more likely to retire involuntary due to own ill health, early and involuntarily retirement is not isolated to certain industries or occupations. And not everyone in the same industry has the same experience. The physical and psychological demands of a job are hard to categorise.</w:t>
            </w:r>
          </w:p>
          <w:p w14:paraId="6F8FDFE9" w14:textId="77777777" w:rsidR="00B3792F" w:rsidRPr="00027624" w:rsidRDefault="00B3792F" w:rsidP="00B3792F">
            <w:r w:rsidRPr="00027624">
              <w:t>Another consideration is people change occupations/industries throughout their working lives. Allowing people in select industries or occupations to access their superannuation or the Age Pension earlier than the rest of the population may lead to inconsistent outcomes between similar people.</w:t>
            </w:r>
          </w:p>
          <w:p w14:paraId="7D8DDC76" w14:textId="77777777" w:rsidR="00B3792F" w:rsidRPr="00027624" w:rsidRDefault="00B3792F" w:rsidP="00B3792F">
            <w:pPr>
              <w:pStyle w:val="Heading4"/>
              <w:spacing w:before="240"/>
              <w:outlineLvl w:val="3"/>
            </w:pPr>
            <w:bookmarkStart w:id="2948" w:name="_Toc40281866"/>
            <w:bookmarkStart w:id="2949" w:name="_Toc40282086"/>
            <w:bookmarkStart w:id="2950" w:name="_Toc40366187"/>
            <w:bookmarkStart w:id="2951" w:name="_Toc40369733"/>
            <w:bookmarkStart w:id="2952" w:name="_Toc40427889"/>
            <w:bookmarkStart w:id="2953" w:name="_Toc40458143"/>
            <w:bookmarkStart w:id="2954" w:name="_Toc40461912"/>
            <w:bookmarkStart w:id="2955" w:name="_Toc40474467"/>
            <w:bookmarkStart w:id="2956" w:name="_Toc40477996"/>
            <w:bookmarkStart w:id="2957" w:name="_Toc40521576"/>
            <w:bookmarkStart w:id="2958" w:name="_Toc40530435"/>
            <w:bookmarkStart w:id="2959" w:name="_Toc42778862"/>
            <w:bookmarkStart w:id="2960" w:name="_Toc42780002"/>
            <w:bookmarkStart w:id="2961" w:name="_Toc42780431"/>
            <w:bookmarkStart w:id="2962" w:name="_Toc42786421"/>
            <w:bookmarkStart w:id="2963" w:name="_Toc42791914"/>
            <w:bookmarkStart w:id="2964" w:name="_Toc42792076"/>
            <w:bookmarkStart w:id="2965" w:name="_Toc43117883"/>
            <w:bookmarkStart w:id="2966" w:name="_Toc43121522"/>
            <w:bookmarkStart w:id="2967" w:name="_Toc43122727"/>
            <w:bookmarkStart w:id="2968" w:name="_Toc43127782"/>
            <w:r w:rsidRPr="00027624">
              <w:t>Increasing the preservation and Age Pension eligibility ages</w:t>
            </w:r>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p>
          <w:p w14:paraId="464F8D95" w14:textId="77777777" w:rsidR="00B3792F" w:rsidRPr="00027624" w:rsidRDefault="00B3792F" w:rsidP="00B3792F">
            <w:pPr>
              <w:pStyle w:val="BoxText"/>
            </w:pPr>
            <w:r w:rsidRPr="00027624">
              <w:t>According to the OECD</w:t>
            </w:r>
            <w:sdt>
              <w:sdtPr>
                <w:id w:val="-307473237"/>
                <w:citation/>
              </w:sdtPr>
              <w:sdtEndPr/>
              <w:sdtContent>
                <w:r w:rsidRPr="00027624">
                  <w:fldChar w:fldCharType="begin"/>
                </w:r>
                <w:r w:rsidRPr="00027624">
                  <w:instrText xml:space="preserve">CITATION OEC19d \p 27 \n  \t  \l 3081 </w:instrText>
                </w:r>
                <w:r w:rsidRPr="00027624">
                  <w:fldChar w:fldCharType="separate"/>
                </w:r>
                <w:r w:rsidR="00E83F6E">
                  <w:rPr>
                    <w:noProof/>
                  </w:rPr>
                  <w:t xml:space="preserve"> (2019b, p. 27)</w:t>
                </w:r>
                <w:r w:rsidRPr="00027624">
                  <w:fldChar w:fldCharType="end"/>
                </w:r>
              </w:sdtContent>
            </w:sdt>
            <w:r w:rsidRPr="00027624">
              <w:t xml:space="preserve">, only 15 of the 36 OECD countries will have a retirement age of 67 or higher in future. Australia does not have a mandated retirement age. The Age Pension eligibility age is increasing to 67 on 1 July 2023 and the superannuation preservation age is increasing to 60 on 1 July 2024. </w:t>
            </w:r>
          </w:p>
          <w:p w14:paraId="74F76A90" w14:textId="77777777" w:rsidR="00B3792F" w:rsidRPr="00027624" w:rsidRDefault="00B3792F" w:rsidP="00B3792F">
            <w:pPr>
              <w:pStyle w:val="Heading5"/>
              <w:outlineLvl w:val="4"/>
            </w:pPr>
            <w:bookmarkStart w:id="2969" w:name="_Toc40281867"/>
            <w:bookmarkStart w:id="2970" w:name="_Toc40282087"/>
            <w:bookmarkStart w:id="2971" w:name="_Toc40366188"/>
            <w:bookmarkStart w:id="2972" w:name="_Toc40369734"/>
            <w:bookmarkStart w:id="2973" w:name="_Toc40427890"/>
            <w:bookmarkStart w:id="2974" w:name="_Toc40458144"/>
            <w:bookmarkStart w:id="2975" w:name="_Toc40461913"/>
            <w:bookmarkStart w:id="2976" w:name="_Toc40474468"/>
            <w:bookmarkStart w:id="2977" w:name="_Toc40477997"/>
            <w:bookmarkStart w:id="2978" w:name="_Toc40521577"/>
            <w:bookmarkStart w:id="2979" w:name="_Toc40530436"/>
            <w:bookmarkStart w:id="2980" w:name="_Toc42778863"/>
            <w:bookmarkStart w:id="2981" w:name="_Toc42780003"/>
            <w:bookmarkStart w:id="2982" w:name="_Toc42780432"/>
            <w:bookmarkStart w:id="2983" w:name="_Toc42786422"/>
            <w:bookmarkStart w:id="2984" w:name="_Toc42791915"/>
            <w:bookmarkStart w:id="2985" w:name="_Toc42792077"/>
            <w:bookmarkStart w:id="2986" w:name="_Toc43117884"/>
            <w:bookmarkStart w:id="2987" w:name="_Toc43121523"/>
            <w:bookmarkStart w:id="2988" w:name="_Toc43122728"/>
            <w:bookmarkStart w:id="2989" w:name="_Toc43127783"/>
            <w:r w:rsidRPr="00027624">
              <w:t>Increasing the preservation age</w:t>
            </w:r>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p>
          <w:p w14:paraId="52C0038F" w14:textId="77777777" w:rsidR="00B3792F" w:rsidRPr="00027624" w:rsidRDefault="00B3792F" w:rsidP="00B3792F">
            <w:r w:rsidRPr="00027624">
              <w:t xml:space="preserve">The Productivity Commission </w:t>
            </w:r>
            <w:sdt>
              <w:sdtPr>
                <w:id w:val="1378900693"/>
                <w:citation/>
              </w:sdtPr>
              <w:sdtEndPr/>
              <w:sdtContent>
                <w:r w:rsidR="00D61D9F">
                  <w:fldChar w:fldCharType="begin"/>
                </w:r>
                <w:r w:rsidR="00D61D9F">
                  <w:instrText xml:space="preserve">CITATION Pro151 \n  \t  \l 3081 </w:instrText>
                </w:r>
                <w:r w:rsidR="00D61D9F">
                  <w:fldChar w:fldCharType="separate"/>
                </w:r>
                <w:r w:rsidR="00E83F6E">
                  <w:rPr>
                    <w:noProof/>
                  </w:rPr>
                  <w:t>(2015b)</w:t>
                </w:r>
                <w:r w:rsidR="00D61D9F">
                  <w:fldChar w:fldCharType="end"/>
                </w:r>
              </w:sdtContent>
            </w:sdt>
            <w:r w:rsidRPr="00027624">
              <w:t xml:space="preserve"> modelled the effect of a gradual increase in the preservation age to 65. Its modelling suggested:</w:t>
            </w:r>
            <w:r w:rsidRPr="00027624">
              <w:rPr>
                <w:rStyle w:val="FootnoteReference"/>
              </w:rPr>
              <w:footnoteReference w:id="213"/>
            </w:r>
          </w:p>
          <w:p w14:paraId="2B55587F" w14:textId="77777777" w:rsidR="00B3792F" w:rsidRPr="00027624" w:rsidRDefault="00A8443E" w:rsidP="00AD6771">
            <w:pPr>
              <w:pStyle w:val="BoxBullet"/>
              <w:rPr>
                <w:i/>
              </w:rPr>
            </w:pPr>
            <w:r w:rsidRPr="00027624">
              <w:rPr>
                <w:i/>
              </w:rPr>
              <w:t>‘</w:t>
            </w:r>
            <w:r w:rsidR="00504DEB" w:rsidRPr="00027624">
              <w:rPr>
                <w:i/>
              </w:rPr>
              <w:t xml:space="preserve"> … </w:t>
            </w:r>
            <w:r w:rsidR="00B3792F" w:rsidRPr="00027624">
              <w:rPr>
                <w:i/>
              </w:rPr>
              <w:t>there will be a modest increase in the participation rate of older workers (of around 2 percentage points in 2055)</w:t>
            </w:r>
            <w:r w:rsidRPr="00027624">
              <w:rPr>
                <w:i/>
              </w:rPr>
              <w:t xml:space="preserve"> — </w:t>
            </w:r>
            <w:r w:rsidR="00B3792F" w:rsidRPr="00027624">
              <w:rPr>
                <w:i/>
              </w:rPr>
              <w:t xml:space="preserve">mainly among those with higher wealth at or near retirement; </w:t>
            </w:r>
          </w:p>
          <w:p w14:paraId="0430C7EC" w14:textId="77777777" w:rsidR="00B3792F" w:rsidRPr="00027624" w:rsidRDefault="00B3792F" w:rsidP="00AD6771">
            <w:pPr>
              <w:pStyle w:val="BoxBullet"/>
              <w:rPr>
                <w:i/>
              </w:rPr>
            </w:pPr>
            <w:r w:rsidRPr="00027624">
              <w:rPr>
                <w:i/>
              </w:rPr>
              <w:lastRenderedPageBreak/>
              <w:t>households that delay their retirement are likely to do so by around two years and will have superannuation balances around 10 per cent larger in real terms when they retire;</w:t>
            </w:r>
          </w:p>
          <w:p w14:paraId="5E725CA8" w14:textId="77777777" w:rsidR="00B3792F" w:rsidRPr="00027624" w:rsidRDefault="00B3792F" w:rsidP="00AD6771">
            <w:pPr>
              <w:pStyle w:val="BoxBullet"/>
              <w:rPr>
                <w:i/>
              </w:rPr>
            </w:pPr>
            <w:r w:rsidRPr="00027624">
              <w:rPr>
                <w:i/>
              </w:rPr>
              <w:t>there will be an indicative annual fiscal improvement of around $7 billion (in 2015 prices) in 2055</w:t>
            </w:r>
            <w:r w:rsidR="00A8443E" w:rsidRPr="00027624">
              <w:rPr>
                <w:i/>
              </w:rPr>
              <w:t xml:space="preserve"> — </w:t>
            </w:r>
            <w:r w:rsidRPr="00027624">
              <w:rPr>
                <w:i/>
              </w:rPr>
              <w:t>mainly due to tax revenue increases from wealthier households; and</w:t>
            </w:r>
          </w:p>
          <w:p w14:paraId="64599483" w14:textId="77777777" w:rsidR="00B3792F" w:rsidRPr="00027624" w:rsidRDefault="00B3792F" w:rsidP="00AD6771">
            <w:pPr>
              <w:pStyle w:val="BoxBullet"/>
            </w:pPr>
            <w:r w:rsidRPr="00027624">
              <w:rPr>
                <w:i/>
              </w:rPr>
              <w:t>changing the preservation age will have little, if any, impact on the workforce participation of individuals who retire involuntarily</w:t>
            </w:r>
            <w:r w:rsidR="00A8443E" w:rsidRPr="00027624">
              <w:rPr>
                <w:i/>
              </w:rPr>
              <w:t xml:space="preserve"> — </w:t>
            </w:r>
            <w:r w:rsidRPr="00027624">
              <w:rPr>
                <w:i/>
              </w:rPr>
              <w:t>almost one</w:t>
            </w:r>
            <w:r w:rsidR="00A8443E" w:rsidRPr="00027624">
              <w:rPr>
                <w:i/>
              </w:rPr>
              <w:noBreakHyphen/>
            </w:r>
            <w:r w:rsidRPr="00027624">
              <w:rPr>
                <w:i/>
              </w:rPr>
              <w:t>half of men and over one</w:t>
            </w:r>
            <w:r w:rsidR="00A8443E" w:rsidRPr="00027624">
              <w:rPr>
                <w:i/>
              </w:rPr>
              <w:noBreakHyphen/>
            </w:r>
            <w:r w:rsidRPr="00027624">
              <w:rPr>
                <w:i/>
              </w:rPr>
              <w:t>third of women who retire between the ages of 60 and 64</w:t>
            </w:r>
            <w:r w:rsidR="00504DEB" w:rsidRPr="00027624">
              <w:rPr>
                <w:i/>
              </w:rPr>
              <w:t>.</w:t>
            </w:r>
            <w:r w:rsidR="00A8443E" w:rsidRPr="00027624">
              <w:rPr>
                <w:i/>
              </w:rPr>
              <w:t>’</w:t>
            </w:r>
            <w:r w:rsidRPr="00027624">
              <w:t xml:space="preserve"> </w:t>
            </w:r>
            <w:sdt>
              <w:sdtPr>
                <w:id w:val="-659162762"/>
                <w:citation/>
              </w:sdtPr>
              <w:sdtEndPr/>
              <w:sdtContent>
                <w:r w:rsidR="002F1484">
                  <w:fldChar w:fldCharType="begin"/>
                </w:r>
                <w:r w:rsidR="002F1484">
                  <w:instrText xml:space="preserve">CITATION Pro151 \p 2 \l 3081 </w:instrText>
                </w:r>
                <w:r w:rsidR="002F1484">
                  <w:fldChar w:fldCharType="separate"/>
                </w:r>
                <w:r w:rsidR="00E83F6E">
                  <w:rPr>
                    <w:noProof/>
                  </w:rPr>
                  <w:t>(Productivity Commission, 2015b, p. 2)</w:t>
                </w:r>
                <w:r w:rsidR="002F1484">
                  <w:fldChar w:fldCharType="end"/>
                </w:r>
              </w:sdtContent>
            </w:sdt>
          </w:p>
          <w:p w14:paraId="5BA34C9D" w14:textId="77777777" w:rsidR="00B3792F" w:rsidRPr="00027624" w:rsidRDefault="00B3792F" w:rsidP="00B3792F">
            <w:pPr>
              <w:pStyle w:val="Heading5"/>
              <w:outlineLvl w:val="4"/>
            </w:pPr>
            <w:bookmarkStart w:id="2990" w:name="_Toc40281868"/>
            <w:bookmarkStart w:id="2991" w:name="_Toc40282088"/>
            <w:bookmarkStart w:id="2992" w:name="_Toc40366189"/>
            <w:bookmarkStart w:id="2993" w:name="_Toc40369735"/>
            <w:bookmarkStart w:id="2994" w:name="_Toc40427891"/>
            <w:bookmarkStart w:id="2995" w:name="_Toc40458145"/>
            <w:bookmarkStart w:id="2996" w:name="_Toc40461914"/>
            <w:bookmarkStart w:id="2997" w:name="_Toc40474469"/>
            <w:bookmarkStart w:id="2998" w:name="_Toc40477998"/>
            <w:bookmarkStart w:id="2999" w:name="_Toc40521578"/>
            <w:bookmarkStart w:id="3000" w:name="_Toc40530437"/>
            <w:bookmarkStart w:id="3001" w:name="_Toc42778864"/>
            <w:bookmarkStart w:id="3002" w:name="_Toc42780004"/>
            <w:bookmarkStart w:id="3003" w:name="_Toc42780433"/>
            <w:bookmarkStart w:id="3004" w:name="_Toc42786423"/>
            <w:bookmarkStart w:id="3005" w:name="_Toc42791916"/>
            <w:bookmarkStart w:id="3006" w:name="_Toc42792078"/>
            <w:bookmarkStart w:id="3007" w:name="_Toc43117885"/>
            <w:bookmarkStart w:id="3008" w:name="_Toc43121524"/>
            <w:bookmarkStart w:id="3009" w:name="_Toc43122729"/>
            <w:bookmarkStart w:id="3010" w:name="_Toc43127784"/>
            <w:r w:rsidRPr="00027624">
              <w:t>Increasing the Age Pension eligibility age</w:t>
            </w:r>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p>
          <w:p w14:paraId="22BF19E0" w14:textId="77777777" w:rsidR="00B3792F" w:rsidRPr="00027624" w:rsidRDefault="00B3792F" w:rsidP="00B3792F">
            <w:pPr>
              <w:pStyle w:val="BoxText"/>
            </w:pPr>
            <w:r w:rsidRPr="00027624">
              <w:t>Empirical research found increasing the Age Pension eligibility age in Australia from 60 to 65 for women reduced retirement probability each year by approximately 10 per cent</w:t>
            </w:r>
            <w:sdt>
              <w:sdtPr>
                <w:id w:val="-1094241025"/>
                <w:citation/>
              </w:sdtPr>
              <w:sdtEndPr/>
              <w:sdtContent>
                <w:r w:rsidRPr="00027624">
                  <w:fldChar w:fldCharType="begin"/>
                </w:r>
                <w:r w:rsidRPr="00027624">
                  <w:instrText xml:space="preserve">CITATION Kad15 \l 3081 </w:instrText>
                </w:r>
                <w:r w:rsidRPr="00027624">
                  <w:fldChar w:fldCharType="separate"/>
                </w:r>
                <w:r w:rsidR="00E83F6E">
                  <w:rPr>
                    <w:noProof/>
                  </w:rPr>
                  <w:t xml:space="preserve"> (Atalay &amp; Barrett, 2012)</w:t>
                </w:r>
                <w:r w:rsidRPr="00027624">
                  <w:fldChar w:fldCharType="end"/>
                </w:r>
              </w:sdtContent>
            </w:sdt>
            <w:r w:rsidRPr="00027624">
              <w:t>. The Productivity Commission modelled gradually increasing the Age Pension eligibility age from 67</w:t>
            </w:r>
            <w:r w:rsidR="009742F5" w:rsidRPr="00027624">
              <w:t> to </w:t>
            </w:r>
            <w:r w:rsidRPr="00027624">
              <w:t xml:space="preserve">70 </w:t>
            </w:r>
            <w:sdt>
              <w:sdtPr>
                <w:id w:val="798412081"/>
                <w:citation/>
              </w:sdtPr>
              <w:sdtEndPr/>
              <w:sdtContent>
                <w:r w:rsidRPr="00027624">
                  <w:fldChar w:fldCharType="begin"/>
                </w:r>
                <w:r w:rsidRPr="00027624">
                  <w:instrText xml:space="preserve">CITATION Pro13 \l 3081 </w:instrText>
                </w:r>
                <w:r w:rsidRPr="00027624">
                  <w:fldChar w:fldCharType="separate"/>
                </w:r>
                <w:r w:rsidR="00E83F6E">
                  <w:rPr>
                    <w:noProof/>
                  </w:rPr>
                  <w:t>(Productivity Commission, 2013a)</w:t>
                </w:r>
                <w:r w:rsidRPr="00027624">
                  <w:fldChar w:fldCharType="end"/>
                </w:r>
              </w:sdtContent>
            </w:sdt>
            <w:r w:rsidRPr="00027624">
              <w:t>. It found this could:</w:t>
            </w:r>
          </w:p>
          <w:p w14:paraId="18505D00" w14:textId="77777777" w:rsidR="00B3792F" w:rsidRPr="00027624" w:rsidRDefault="00A8443E" w:rsidP="00AD6771">
            <w:pPr>
              <w:pStyle w:val="BoxBullet"/>
              <w:rPr>
                <w:i/>
              </w:rPr>
            </w:pPr>
            <w:r w:rsidRPr="00027624">
              <w:rPr>
                <w:i/>
              </w:rPr>
              <w:t>‘</w:t>
            </w:r>
            <w:r w:rsidR="00504DEB" w:rsidRPr="00027624">
              <w:rPr>
                <w:i/>
              </w:rPr>
              <w:t xml:space="preserve"> … </w:t>
            </w:r>
            <w:r w:rsidR="00B3792F" w:rsidRPr="00027624">
              <w:rPr>
                <w:i/>
              </w:rPr>
              <w:t>increase participation rates for people in the relevant ages by around 3</w:t>
            </w:r>
            <w:r w:rsidRPr="00027624">
              <w:rPr>
                <w:i/>
              </w:rPr>
              <w:noBreakHyphen/>
            </w:r>
            <w:r w:rsidR="00B3792F" w:rsidRPr="00027624">
              <w:rPr>
                <w:i/>
              </w:rPr>
              <w:t xml:space="preserve">10 per cent, taking account of the fact that some people would be unable to work (and would transfer to the Disability Support Pension), some would be already working, and others with sufficient privately funded superannuation would largely not be affected by a change in the publicly provided pension; </w:t>
            </w:r>
          </w:p>
          <w:p w14:paraId="5E0C8C6F" w14:textId="77777777" w:rsidR="00B3792F" w:rsidRPr="00027624" w:rsidRDefault="00B3792F" w:rsidP="00504DEB">
            <w:pPr>
              <w:pStyle w:val="BoxBullet"/>
            </w:pPr>
            <w:r w:rsidRPr="00027624">
              <w:rPr>
                <w:i/>
              </w:rPr>
              <w:t>yield ongoing fiscal savings of around 0.15 per cent of GDP per annum in the late 2030s after accounting for some increase in Disability Support Pension recipients (and then falling to 0.1 per cent of GDP in the long run). Over the full period from 2025</w:t>
            </w:r>
            <w:r w:rsidR="00A8443E" w:rsidRPr="00027624">
              <w:rPr>
                <w:i/>
              </w:rPr>
              <w:noBreakHyphen/>
            </w:r>
            <w:r w:rsidRPr="00027624">
              <w:rPr>
                <w:i/>
              </w:rPr>
              <w:t>26 to 2059</w:t>
            </w:r>
            <w:r w:rsidR="00A8443E" w:rsidRPr="00027624">
              <w:rPr>
                <w:i/>
              </w:rPr>
              <w:noBreakHyphen/>
            </w:r>
            <w:r w:rsidRPr="00027624">
              <w:rPr>
                <w:i/>
              </w:rPr>
              <w:t>60, the accumulated (undiscounted) savings would be around $150 billion in constant 2011</w:t>
            </w:r>
            <w:r w:rsidR="00A8443E" w:rsidRPr="00027624">
              <w:rPr>
                <w:i/>
              </w:rPr>
              <w:noBreakHyphen/>
            </w:r>
            <w:r w:rsidRPr="00027624">
              <w:rPr>
                <w:i/>
              </w:rPr>
              <w:t>12 prices.</w:t>
            </w:r>
            <w:r w:rsidR="00A8443E" w:rsidRPr="00027624">
              <w:rPr>
                <w:i/>
              </w:rPr>
              <w:t>’</w:t>
            </w:r>
            <w:r w:rsidRPr="00027624">
              <w:t xml:space="preserve"> </w:t>
            </w:r>
            <w:sdt>
              <w:sdtPr>
                <w:id w:val="-497891073"/>
                <w:citation/>
              </w:sdtPr>
              <w:sdtEndPr/>
              <w:sdtContent>
                <w:r w:rsidRPr="00027624">
                  <w:fldChar w:fldCharType="begin"/>
                </w:r>
                <w:r w:rsidRPr="00027624">
                  <w:instrText xml:space="preserve">CITATION Pro13 \p 15 \l 3081 </w:instrText>
                </w:r>
                <w:r w:rsidRPr="00027624">
                  <w:fldChar w:fldCharType="separate"/>
                </w:r>
                <w:r w:rsidR="00E83F6E">
                  <w:rPr>
                    <w:noProof/>
                  </w:rPr>
                  <w:t>(Productivity Commission, 2013a, p. 15)</w:t>
                </w:r>
                <w:r w:rsidRPr="00027624">
                  <w:fldChar w:fldCharType="end"/>
                </w:r>
              </w:sdtContent>
            </w:sdt>
          </w:p>
        </w:tc>
      </w:tr>
    </w:tbl>
    <w:p w14:paraId="6724755F" w14:textId="77777777" w:rsidR="00B3792F" w:rsidRPr="00027624" w:rsidRDefault="00B3792F" w:rsidP="00B3792F">
      <w:pPr>
        <w:pStyle w:val="Heading2"/>
      </w:pPr>
      <w:bookmarkStart w:id="3011" w:name="_Toc40281869"/>
      <w:bookmarkStart w:id="3012" w:name="_Toc40282089"/>
      <w:bookmarkStart w:id="3013" w:name="_Toc40366190"/>
      <w:bookmarkStart w:id="3014" w:name="_Toc40369736"/>
      <w:bookmarkStart w:id="3015" w:name="_Toc40427892"/>
      <w:bookmarkStart w:id="3016" w:name="_Toc40458146"/>
      <w:bookmarkStart w:id="3017" w:name="_Toc40461915"/>
      <w:bookmarkStart w:id="3018" w:name="_Toc40474470"/>
      <w:bookmarkStart w:id="3019" w:name="_Toc40477999"/>
      <w:bookmarkStart w:id="3020" w:name="_Toc40521579"/>
      <w:bookmarkStart w:id="3021" w:name="_Toc40530438"/>
      <w:bookmarkStart w:id="3022" w:name="_Toc42778865"/>
      <w:bookmarkStart w:id="3023" w:name="_Toc42780005"/>
      <w:bookmarkStart w:id="3024" w:name="_Toc42780434"/>
      <w:bookmarkStart w:id="3025" w:name="_Toc42786424"/>
      <w:bookmarkStart w:id="3026" w:name="_Toc42791917"/>
      <w:bookmarkStart w:id="3027" w:name="_Toc42792079"/>
      <w:bookmarkStart w:id="3028" w:name="_Toc43117886"/>
      <w:bookmarkStart w:id="3029" w:name="_Toc43121525"/>
      <w:bookmarkStart w:id="3030" w:name="_Toc43122730"/>
      <w:bookmarkStart w:id="3031" w:name="_Toc43127785"/>
      <w:bookmarkStart w:id="3032" w:name="_Toc45520518"/>
      <w:bookmarkStart w:id="3033" w:name="_Toc46133629"/>
      <w:r w:rsidRPr="00027624">
        <w:lastRenderedPageBreak/>
        <w:t>The effect of early and/or involuntary retirement on retirement incomes</w:t>
      </w:r>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p>
    <w:p w14:paraId="7CB7B52B" w14:textId="77777777" w:rsidR="00B3792F" w:rsidRPr="00027624" w:rsidRDefault="00B3792F" w:rsidP="00B3792F">
      <w:pPr>
        <w:pStyle w:val="Heading3"/>
      </w:pPr>
      <w:bookmarkStart w:id="3034" w:name="_Toc40281870"/>
      <w:bookmarkStart w:id="3035" w:name="_Toc40282090"/>
      <w:bookmarkStart w:id="3036" w:name="_Toc40366191"/>
      <w:bookmarkStart w:id="3037" w:name="_Toc40369737"/>
      <w:bookmarkStart w:id="3038" w:name="_Toc40427893"/>
      <w:bookmarkStart w:id="3039" w:name="_Toc40458147"/>
      <w:bookmarkStart w:id="3040" w:name="_Toc40461916"/>
      <w:bookmarkStart w:id="3041" w:name="_Toc40474471"/>
      <w:bookmarkStart w:id="3042" w:name="_Toc40478000"/>
      <w:bookmarkStart w:id="3043" w:name="_Toc40521580"/>
      <w:bookmarkStart w:id="3044" w:name="_Toc40530439"/>
      <w:bookmarkStart w:id="3045" w:name="_Toc42778866"/>
      <w:bookmarkStart w:id="3046" w:name="_Toc42780006"/>
      <w:bookmarkStart w:id="3047" w:name="_Toc42780435"/>
      <w:bookmarkStart w:id="3048" w:name="_Toc42786425"/>
      <w:bookmarkStart w:id="3049" w:name="_Toc42791918"/>
      <w:bookmarkStart w:id="3050" w:name="_Toc42792080"/>
      <w:bookmarkStart w:id="3051" w:name="_Toc43117887"/>
      <w:bookmarkStart w:id="3052" w:name="_Toc43121526"/>
      <w:bookmarkStart w:id="3053" w:name="_Toc43122731"/>
      <w:bookmarkStart w:id="3054" w:name="_Toc43127786"/>
      <w:r w:rsidRPr="00027624">
        <w:t>Effect of involuntary retirement</w:t>
      </w:r>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r w:rsidRPr="00027624">
        <w:t xml:space="preserve"> </w:t>
      </w:r>
    </w:p>
    <w:p w14:paraId="2EAE35E6" w14:textId="77777777" w:rsidR="00B3792F" w:rsidRPr="00027624" w:rsidRDefault="00B3792F" w:rsidP="00B3792F">
      <w:r w:rsidRPr="00027624">
        <w:t>Involuntary retirement results in people retiring before they planned and likely with fewer private savings than they planned. Studies show households that experience involuntary retirement have greater falls in expenditure at retirement than those retiring according to a long</w:t>
      </w:r>
      <w:r w:rsidR="00A8443E" w:rsidRPr="00027624">
        <w:noBreakHyphen/>
      </w:r>
      <w:r w:rsidRPr="00027624">
        <w:t>term plan (e.g.</w:t>
      </w:r>
      <w:r w:rsidR="009742F5" w:rsidRPr="00027624">
        <w:t> </w:t>
      </w:r>
      <w:r w:rsidRPr="00027624">
        <w:t xml:space="preserve">Smith </w:t>
      </w:r>
      <w:sdt>
        <w:sdtPr>
          <w:id w:val="-1682418541"/>
          <w:citation/>
        </w:sdtPr>
        <w:sdtEndPr/>
        <w:sdtContent>
          <w:r w:rsidRPr="00027624">
            <w:fldChar w:fldCharType="begin"/>
          </w:r>
          <w:r w:rsidRPr="00027624">
            <w:instrText xml:space="preserve">CITATION Smi06 \n  \t  \l 3081 </w:instrText>
          </w:r>
          <w:r w:rsidRPr="00027624">
            <w:fldChar w:fldCharType="separate"/>
          </w:r>
          <w:r w:rsidR="00E83F6E">
            <w:rPr>
              <w:noProof/>
            </w:rPr>
            <w:t>(2006)</w:t>
          </w:r>
          <w:r w:rsidRPr="00027624">
            <w:fldChar w:fldCharType="end"/>
          </w:r>
        </w:sdtContent>
      </w:sdt>
      <w:r w:rsidRPr="00027624">
        <w:t xml:space="preserve"> and Barrett and Brzozowski </w:t>
      </w:r>
      <w:sdt>
        <w:sdtPr>
          <w:id w:val="2127198716"/>
          <w:citation/>
        </w:sdtPr>
        <w:sdtEndPr/>
        <w:sdtContent>
          <w:r w:rsidRPr="00027624">
            <w:fldChar w:fldCharType="begin"/>
          </w:r>
          <w:r w:rsidRPr="00027624">
            <w:instrText xml:space="preserve">CITATION Gar12 \n  \t  \l 3081 </w:instrText>
          </w:r>
          <w:r w:rsidRPr="00027624">
            <w:fldChar w:fldCharType="separate"/>
          </w:r>
          <w:r w:rsidR="00E83F6E">
            <w:rPr>
              <w:noProof/>
            </w:rPr>
            <w:t>(2012)</w:t>
          </w:r>
          <w:r w:rsidRPr="00027624">
            <w:fldChar w:fldCharType="end"/>
          </w:r>
        </w:sdtContent>
      </w:sdt>
      <w:r w:rsidRPr="00027624">
        <w:t xml:space="preserve">). </w:t>
      </w:r>
    </w:p>
    <w:p w14:paraId="6C567505" w14:textId="68EE6005" w:rsidR="00B3792F" w:rsidRPr="00027624" w:rsidRDefault="00B3792F" w:rsidP="00B3792F">
      <w:r w:rsidRPr="00027624">
        <w:rPr>
          <w:b/>
        </w:rPr>
        <w:t>Involuntary retirement can have a detrimental impact on people</w:t>
      </w:r>
      <w:r w:rsidR="00A8443E" w:rsidRPr="00027624">
        <w:rPr>
          <w:b/>
        </w:rPr>
        <w:t>’</w:t>
      </w:r>
      <w:r w:rsidRPr="00027624">
        <w:rPr>
          <w:b/>
        </w:rPr>
        <w:t>s sense of financial security in retirement compared to working life</w:t>
      </w:r>
      <w:r w:rsidRPr="00027624">
        <w:t xml:space="preserve"> (</w:t>
      </w:r>
      <w:r w:rsidRPr="00027624">
        <w:fldChar w:fldCharType="begin"/>
      </w:r>
      <w:r w:rsidRPr="00027624">
        <w:instrText xml:space="preserve"> REF _Ref35864505 \r \h  \* MERGEFORMAT </w:instrText>
      </w:r>
      <w:r w:rsidRPr="00027624">
        <w:fldChar w:fldCharType="separate"/>
      </w:r>
      <w:r w:rsidR="00891058">
        <w:t>Chart 3E-15</w:t>
      </w:r>
      <w:r w:rsidRPr="00027624">
        <w:fldChar w:fldCharType="end"/>
      </w:r>
      <w:r w:rsidRPr="00027624">
        <w:t xml:space="preserve">). Surveys found people who are forced to retire early due to job loss or their own ill health, and have less income in retirement than expected, reported marked declines in their subjective wellbeing in retirement </w:t>
      </w:r>
      <w:sdt>
        <w:sdtPr>
          <w:id w:val="1768961177"/>
          <w:citation/>
        </w:sdtPr>
        <w:sdtEndPr/>
        <w:sdtContent>
          <w:r w:rsidRPr="00027624">
            <w:fldChar w:fldCharType="begin"/>
          </w:r>
          <w:r w:rsidRPr="00027624">
            <w:instrText xml:space="preserve"> CITATION Gar13 \l 3081 </w:instrText>
          </w:r>
          <w:r w:rsidRPr="00027624">
            <w:fldChar w:fldCharType="separate"/>
          </w:r>
          <w:r w:rsidR="00E83F6E">
            <w:rPr>
              <w:noProof/>
            </w:rPr>
            <w:t>(Barrett &amp; Kecmanovic, 2013)</w:t>
          </w:r>
          <w:r w:rsidRPr="00027624">
            <w:fldChar w:fldCharType="end"/>
          </w:r>
        </w:sdtContent>
      </w:sdt>
      <w:r w:rsidRPr="00027624">
        <w:t xml:space="preserve">. Another survey found 21 per cent of involuntary retirees stated they were </w:t>
      </w:r>
      <w:r w:rsidR="00A8443E" w:rsidRPr="00027624">
        <w:t>‘</w:t>
      </w:r>
      <w:r w:rsidRPr="00027624">
        <w:t>comfortable</w:t>
      </w:r>
      <w:r w:rsidR="00A8443E" w:rsidRPr="00027624">
        <w:t>’</w:t>
      </w:r>
      <w:r w:rsidRPr="00027624">
        <w:t xml:space="preserve"> in retirement, compared to 36 per cent of those who retired voluntarily </w:t>
      </w:r>
      <w:sdt>
        <w:sdtPr>
          <w:id w:val="-355187223"/>
          <w:citation/>
        </w:sdtPr>
        <w:sdtEndPr/>
        <w:sdtContent>
          <w:r w:rsidRPr="00027624">
            <w:fldChar w:fldCharType="begin"/>
          </w:r>
          <w:r w:rsidRPr="00027624">
            <w:instrText xml:space="preserve">CITATION Sus20 \p 3 \l 3081 </w:instrText>
          </w:r>
          <w:r w:rsidRPr="00027624">
            <w:fldChar w:fldCharType="separate"/>
          </w:r>
          <w:r w:rsidR="00E83F6E">
            <w:rPr>
              <w:noProof/>
            </w:rPr>
            <w:t>(Susan Bell Research, 2020, p. 3)</w:t>
          </w:r>
          <w:r w:rsidRPr="00027624">
            <w:fldChar w:fldCharType="end"/>
          </w:r>
        </w:sdtContent>
      </w:sdt>
      <w:r w:rsidRPr="00027624">
        <w:t>. Yet, most retirees, voluntary and involuntary, report being as happy or happier in retirement than in working life (</w:t>
      </w:r>
      <w:r w:rsidRPr="00027624">
        <w:fldChar w:fldCharType="begin"/>
      </w:r>
      <w:r w:rsidRPr="00027624">
        <w:instrText xml:space="preserve"> REF _Ref35864505 \r \h  \* MERGEFORMAT </w:instrText>
      </w:r>
      <w:r w:rsidRPr="00027624">
        <w:fldChar w:fldCharType="separate"/>
      </w:r>
      <w:r w:rsidR="00891058">
        <w:t>Chart 3E-15</w:t>
      </w:r>
      <w:r w:rsidRPr="00027624">
        <w:fldChar w:fldCharType="end"/>
      </w:r>
      <w:r w:rsidRPr="00027624">
        <w:t>).</w:t>
      </w:r>
    </w:p>
    <w:p w14:paraId="4BD4310F" w14:textId="77777777" w:rsidR="00B3792F" w:rsidRPr="00027624" w:rsidRDefault="00B3792F" w:rsidP="00582C3E">
      <w:pPr>
        <w:pStyle w:val="ChartMainHeading"/>
      </w:pPr>
      <w:bookmarkStart w:id="3055" w:name="_Ref35864505"/>
      <w:r w:rsidRPr="00027624">
        <w:lastRenderedPageBreak/>
        <w:t>Financial security and happiness in retirement compared to working life</w:t>
      </w:r>
      <w:bookmarkEnd w:id="3055"/>
    </w:p>
    <w:tbl>
      <w:tblPr>
        <w:tblW w:w="5000" w:type="pct"/>
        <w:tblLook w:val="01E0" w:firstRow="1" w:lastRow="1" w:firstColumn="1" w:lastColumn="1" w:noHBand="0" w:noVBand="0"/>
      </w:tblPr>
      <w:tblGrid>
        <w:gridCol w:w="4534"/>
        <w:gridCol w:w="4536"/>
      </w:tblGrid>
      <w:tr w:rsidR="00B3792F" w:rsidRPr="00027624" w14:paraId="154B814B" w14:textId="77777777" w:rsidTr="00B3792F">
        <w:trPr>
          <w:tblHeader/>
        </w:trPr>
        <w:tc>
          <w:tcPr>
            <w:tcW w:w="2502" w:type="pct"/>
            <w:shd w:val="clear" w:color="auto" w:fill="auto"/>
          </w:tcPr>
          <w:p w14:paraId="266AEA30" w14:textId="77777777" w:rsidR="00B3792F" w:rsidRPr="00027624" w:rsidRDefault="00B3792F" w:rsidP="00B3792F">
            <w:pPr>
              <w:pStyle w:val="ChartSecondHeading"/>
            </w:pPr>
            <w:r w:rsidRPr="00027624">
              <w:t>Financial security</w:t>
            </w:r>
          </w:p>
        </w:tc>
        <w:tc>
          <w:tcPr>
            <w:tcW w:w="2498" w:type="pct"/>
            <w:shd w:val="clear" w:color="auto" w:fill="auto"/>
          </w:tcPr>
          <w:p w14:paraId="6EA6EFD4" w14:textId="77777777" w:rsidR="00B3792F" w:rsidRPr="00027624" w:rsidRDefault="00B3792F" w:rsidP="00B3792F">
            <w:pPr>
              <w:pStyle w:val="ChartSecondHeading"/>
            </w:pPr>
            <w:r w:rsidRPr="00027624">
              <w:t>Happiness</w:t>
            </w:r>
          </w:p>
        </w:tc>
      </w:tr>
      <w:tr w:rsidR="00B3792F" w:rsidRPr="00027624" w14:paraId="62C98089" w14:textId="77777777" w:rsidTr="00B3792F">
        <w:trPr>
          <w:tblHeader/>
        </w:trPr>
        <w:tc>
          <w:tcPr>
            <w:tcW w:w="2502" w:type="pct"/>
            <w:shd w:val="clear" w:color="auto" w:fill="auto"/>
            <w:tcMar>
              <w:left w:w="0" w:type="dxa"/>
              <w:right w:w="0" w:type="dxa"/>
            </w:tcMar>
          </w:tcPr>
          <w:p w14:paraId="0CABD5AB" w14:textId="77777777" w:rsidR="00B3792F" w:rsidRPr="00027624" w:rsidRDefault="00AA26BD" w:rsidP="009516BB">
            <w:pPr>
              <w:pStyle w:val="ChartGraphic"/>
            </w:pPr>
            <w:r>
              <w:rPr>
                <w:noProof/>
              </w:rPr>
              <w:drawing>
                <wp:inline distT="0" distB="0" distL="0" distR="0" wp14:anchorId="7267C8E1" wp14:editId="129243C5">
                  <wp:extent cx="2872740" cy="2887980"/>
                  <wp:effectExtent l="0" t="0" r="3810" b="7620"/>
                  <wp:docPr id="151" name="Picture 151" descr="This chart shows that, for both those who retired voluntarily and involuntarily, most people think their financial security in retirement is about the same as it was in working life. Those who retired involuntarily are more likely to say they are much worse off (around 10 per cent) or worse off (around 35 per cent), compared to those who retired voluntarily (around 2 per cent and 18 per cent respectively). " title="Chart 3E-15 Financial security and happiness in retirement compared to working life – financial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872740" cy="2887980"/>
                          </a:xfrm>
                          <a:prstGeom prst="rect">
                            <a:avLst/>
                          </a:prstGeom>
                          <a:noFill/>
                        </pic:spPr>
                      </pic:pic>
                    </a:graphicData>
                  </a:graphic>
                </wp:inline>
              </w:drawing>
            </w:r>
          </w:p>
        </w:tc>
        <w:tc>
          <w:tcPr>
            <w:tcW w:w="2498" w:type="pct"/>
            <w:shd w:val="clear" w:color="auto" w:fill="auto"/>
            <w:tcMar>
              <w:left w:w="0" w:type="dxa"/>
              <w:right w:w="0" w:type="dxa"/>
            </w:tcMar>
          </w:tcPr>
          <w:p w14:paraId="3730B62C" w14:textId="77777777" w:rsidR="00B3792F" w:rsidRPr="00027624" w:rsidRDefault="00AA26BD" w:rsidP="009516BB">
            <w:pPr>
              <w:pStyle w:val="ChartGraphic"/>
            </w:pPr>
            <w:r>
              <w:rPr>
                <w:noProof/>
              </w:rPr>
              <w:drawing>
                <wp:inline distT="0" distB="0" distL="0" distR="0" wp14:anchorId="103EA2ED" wp14:editId="4DFD2714">
                  <wp:extent cx="2880360" cy="2880360"/>
                  <wp:effectExtent l="0" t="0" r="0" b="0"/>
                  <wp:docPr id="741687600" name="Picture 741687600" descr="This chart shows that, for both those who retired voluntarily and involuntarily, most people think their happiness in retirement is about the same, better or much better than it was in working life. Those who retired involuntarily are more likely to say their happiness is much worse (around 3 per cent) or worse (around 10 per cent) in retirement than in working life, compared to those who retired voluntarily (0 per cent and around 2 per cent respectively). " title="Chart 3E-15 Financial security and happiness in retirement compared to working life – happ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r>
    </w:tbl>
    <w:p w14:paraId="6754FDB4" w14:textId="77777777" w:rsidR="00B3792F" w:rsidRPr="00027624" w:rsidRDefault="00B3792F" w:rsidP="00B3792F">
      <w:pPr>
        <w:pStyle w:val="ChartorTableNote"/>
        <w:rPr>
          <w:color w:val="auto"/>
        </w:rPr>
      </w:pPr>
      <w:r w:rsidRPr="00027624">
        <w:rPr>
          <w:color w:val="auto"/>
        </w:rPr>
        <w:t>Note: Includes people who retired between 1990 and 2015. Source: Analysis of HILDA Survey data (Waves 3, 7, 11 and 15).</w:t>
      </w:r>
    </w:p>
    <w:p w14:paraId="4295DED9" w14:textId="77777777" w:rsidR="00B3792F" w:rsidRPr="00027624" w:rsidRDefault="00B3792F" w:rsidP="00B3792F">
      <w:pPr>
        <w:pStyle w:val="Heading3"/>
      </w:pPr>
      <w:bookmarkStart w:id="3056" w:name="_Toc40281871"/>
      <w:bookmarkStart w:id="3057" w:name="_Toc40282091"/>
      <w:bookmarkStart w:id="3058" w:name="_Toc40366192"/>
      <w:bookmarkStart w:id="3059" w:name="_Toc40369738"/>
      <w:bookmarkStart w:id="3060" w:name="_Toc40427894"/>
      <w:bookmarkStart w:id="3061" w:name="_Toc40458148"/>
      <w:bookmarkStart w:id="3062" w:name="_Toc40461917"/>
      <w:bookmarkStart w:id="3063" w:name="_Toc40474472"/>
      <w:bookmarkStart w:id="3064" w:name="_Toc40478001"/>
      <w:bookmarkStart w:id="3065" w:name="_Toc40521581"/>
      <w:bookmarkStart w:id="3066" w:name="_Toc40530440"/>
      <w:bookmarkStart w:id="3067" w:name="_Toc42778867"/>
      <w:bookmarkStart w:id="3068" w:name="_Toc42780007"/>
      <w:bookmarkStart w:id="3069" w:name="_Toc42780436"/>
      <w:bookmarkStart w:id="3070" w:name="_Toc42786426"/>
      <w:bookmarkStart w:id="3071" w:name="_Toc42791919"/>
      <w:bookmarkStart w:id="3072" w:name="_Toc42792081"/>
      <w:bookmarkStart w:id="3073" w:name="_Toc43117888"/>
      <w:bookmarkStart w:id="3074" w:name="_Toc43121527"/>
      <w:bookmarkStart w:id="3075" w:name="_Toc43122732"/>
      <w:bookmarkStart w:id="3076" w:name="_Toc43127787"/>
      <w:r w:rsidRPr="00027624">
        <w:t>Effect of early retirement</w:t>
      </w:r>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p>
    <w:p w14:paraId="0A92F95C" w14:textId="77777777" w:rsidR="00B3792F" w:rsidRPr="00027624" w:rsidRDefault="00B3792F" w:rsidP="00B3792F">
      <w:r w:rsidRPr="00027624">
        <w:t>Early retirement leads to lower aggregate working</w:t>
      </w:r>
      <w:r w:rsidR="00A8443E" w:rsidRPr="00027624">
        <w:noBreakHyphen/>
      </w:r>
      <w:r w:rsidRPr="00027624">
        <w:t>life income and, consequently, lower superannuation balances at the point of retirement, lower replacement rates</w:t>
      </w:r>
      <w:r w:rsidRPr="00027624">
        <w:rPr>
          <w:rStyle w:val="FootnoteReference"/>
        </w:rPr>
        <w:footnoteReference w:id="214"/>
      </w:r>
      <w:r w:rsidRPr="00027624">
        <w:t xml:space="preserve"> and lower average annual retirement income across all years of retirement. Key factors influencing this outcome include:</w:t>
      </w:r>
    </w:p>
    <w:p w14:paraId="4374FFAF" w14:textId="443D48D5" w:rsidR="00B3792F" w:rsidRPr="00027624" w:rsidRDefault="00B3792F" w:rsidP="00AD6771">
      <w:pPr>
        <w:pStyle w:val="Bullet"/>
      </w:pPr>
      <w:r w:rsidRPr="00027624">
        <w:rPr>
          <w:b/>
          <w:bCs/>
        </w:rPr>
        <w:t>Retirement age</w:t>
      </w:r>
      <w:r w:rsidR="00A8443E" w:rsidRPr="00027624">
        <w:t xml:space="preserve"> — </w:t>
      </w:r>
      <w:r w:rsidRPr="00027624">
        <w:t xml:space="preserve">Comparing those who enter the workforce at the same age, the earlier a person retires, the lower their superannuation balance, retirement income and replacement rate. If a person with superannuation retires before superannuation preservation age, their income may be significantly lower before than after preservation age (see </w:t>
      </w:r>
      <w:r w:rsidRPr="00027624">
        <w:rPr>
          <w:i/>
        </w:rPr>
        <w:t>Appendix 6D. Supplementary equity charts</w:t>
      </w:r>
      <w:r w:rsidRPr="00027624">
        <w:rPr>
          <w:iCs/>
        </w:rPr>
        <w:t>)</w:t>
      </w:r>
      <w:r w:rsidRPr="00027624">
        <w:t xml:space="preserve">. For these people, replacement rates calculated based on </w:t>
      </w:r>
      <w:r w:rsidRPr="00027624">
        <w:rPr>
          <w:i/>
        </w:rPr>
        <w:t>all</w:t>
      </w:r>
      <w:r w:rsidRPr="00027624">
        <w:t xml:space="preserve"> years of retirement understate this drop in income they experience before preservation age (</w:t>
      </w:r>
      <w:r w:rsidRPr="00027624">
        <w:fldChar w:fldCharType="begin"/>
      </w:r>
      <w:r w:rsidRPr="00027624">
        <w:instrText xml:space="preserve"> REF _Ref36552244 \r \h  \* MERGEFORMAT </w:instrText>
      </w:r>
      <w:r w:rsidRPr="00027624">
        <w:fldChar w:fldCharType="separate"/>
      </w:r>
      <w:r w:rsidR="00891058">
        <w:t>Chart 3E-16</w:t>
      </w:r>
      <w:r w:rsidRPr="00027624">
        <w:fldChar w:fldCharType="end"/>
      </w:r>
      <w:r w:rsidRPr="00027624">
        <w:t xml:space="preserve">, </w:t>
      </w:r>
      <w:r w:rsidRPr="00027624">
        <w:fldChar w:fldCharType="begin"/>
      </w:r>
      <w:r w:rsidRPr="00027624">
        <w:instrText xml:space="preserve"> REF _Ref36552247 \r \h  \* MERGEFORMAT </w:instrText>
      </w:r>
      <w:r w:rsidRPr="00027624">
        <w:fldChar w:fldCharType="separate"/>
      </w:r>
      <w:r w:rsidR="00891058">
        <w:t>Chart 3E-17</w:t>
      </w:r>
      <w:r w:rsidRPr="00027624">
        <w:fldChar w:fldCharType="end"/>
      </w:r>
      <w:r w:rsidRPr="00027624">
        <w:t xml:space="preserve"> and </w:t>
      </w:r>
      <w:r w:rsidRPr="00027624">
        <w:fldChar w:fldCharType="begin"/>
      </w:r>
      <w:r w:rsidRPr="00027624">
        <w:instrText xml:space="preserve"> REF _Ref36552249 \r \h  \* MERGEFORMAT </w:instrText>
      </w:r>
      <w:r w:rsidRPr="00027624">
        <w:fldChar w:fldCharType="separate"/>
      </w:r>
      <w:r w:rsidR="00891058">
        <w:t>Chart 3E-18</w:t>
      </w:r>
      <w:r w:rsidRPr="00027624">
        <w:fldChar w:fldCharType="end"/>
      </w:r>
      <w:r w:rsidRPr="00027624">
        <w:t>). In contrast, those early retirees with little superannuation may experience lower average income for longer, until they can access the Age Pension.</w:t>
      </w:r>
    </w:p>
    <w:p w14:paraId="7A81BE6D" w14:textId="77777777" w:rsidR="00B3792F" w:rsidRPr="00027624" w:rsidRDefault="00B3792F" w:rsidP="00AD6771">
      <w:pPr>
        <w:pStyle w:val="Bullet"/>
      </w:pPr>
      <w:r w:rsidRPr="00027624">
        <w:rPr>
          <w:b/>
          <w:bCs/>
        </w:rPr>
        <w:t>Reason for retirement</w:t>
      </w:r>
      <w:r w:rsidR="00A8443E" w:rsidRPr="00027624">
        <w:t xml:space="preserve"> — </w:t>
      </w:r>
      <w:r w:rsidRPr="00027624">
        <w:t>People who retire early due to job</w:t>
      </w:r>
      <w:r w:rsidR="00A8443E" w:rsidRPr="00027624">
        <w:noBreakHyphen/>
      </w:r>
      <w:r w:rsidRPr="00027624">
        <w:t xml:space="preserve">related issues may have lower replacement rates than people who retire early due to own ill health or caring responsibilities. This is because the maximum single rate of </w:t>
      </w:r>
      <w:r w:rsidRPr="00027624" w:rsidDel="00303447">
        <w:t>JobSeeke</w:t>
      </w:r>
      <w:r w:rsidRPr="00027624" w:rsidDel="00C3708D">
        <w:t xml:space="preserve">r </w:t>
      </w:r>
      <w:r w:rsidRPr="00027624" w:rsidDel="006830A4">
        <w:t>Payment</w:t>
      </w:r>
      <w:r w:rsidRPr="00027624" w:rsidDel="00C3708D">
        <w:t xml:space="preserve"> is</w:t>
      </w:r>
      <w:r w:rsidRPr="00027624">
        <w:t xml:space="preserve"> much lower than the single rate of Age Pension, while Disability Support Pension and Carer Payment provide the same income as the Age Pension (for both singles and couples). The difference in payment rates between the Age Pension and </w:t>
      </w:r>
      <w:r w:rsidRPr="00027624" w:rsidDel="00303447">
        <w:t xml:space="preserve">JobSeeker </w:t>
      </w:r>
      <w:r w:rsidRPr="00027624">
        <w:t>Payment substantially increases some</w:t>
      </w:r>
      <w:r w:rsidRPr="00027624" w:rsidDel="00395B53">
        <w:t xml:space="preserve"> </w:t>
      </w:r>
      <w:r w:rsidRPr="00027624">
        <w:t>people</w:t>
      </w:r>
      <w:r w:rsidR="00A8443E" w:rsidRPr="00027624">
        <w:t>’</w:t>
      </w:r>
      <w:r w:rsidRPr="00027624">
        <w:t>s income</w:t>
      </w:r>
      <w:r w:rsidRPr="00027624" w:rsidDel="00395B53">
        <w:t xml:space="preserve"> </w:t>
      </w:r>
      <w:r w:rsidRPr="00027624">
        <w:t>when they move from JobSeeker Payment to the Age Pension.</w:t>
      </w:r>
    </w:p>
    <w:p w14:paraId="5E736457" w14:textId="77777777" w:rsidR="00B3792F" w:rsidRPr="00027624" w:rsidRDefault="00B3792F" w:rsidP="00AD6771">
      <w:pPr>
        <w:pStyle w:val="Bullet"/>
      </w:pPr>
      <w:r w:rsidRPr="00027624">
        <w:rPr>
          <w:b/>
        </w:rPr>
        <w:t>Income level</w:t>
      </w:r>
      <w:r w:rsidR="00A8443E" w:rsidRPr="00027624">
        <w:t xml:space="preserve"> — </w:t>
      </w:r>
      <w:r w:rsidRPr="00027624">
        <w:t xml:space="preserve">Early retirement reduces the replacement rates of all income earners. However, Government pensions and allowances, especially the Age Pension, significantly offset the adverse effect on replacement rates of those retiring with few private savings. Early retirement affects the </w:t>
      </w:r>
      <w:r w:rsidRPr="00027624">
        <w:lastRenderedPageBreak/>
        <w:t>retirement incomes of people at the higher end of the income distribution the most as they forgo more in wages and receive the least, if any, increase in Age Pension by retiring early compared with lower</w:t>
      </w:r>
      <w:r w:rsidR="00A8443E" w:rsidRPr="00027624">
        <w:noBreakHyphen/>
      </w:r>
      <w:r w:rsidRPr="00027624">
        <w:t xml:space="preserve"> and middle</w:t>
      </w:r>
      <w:r w:rsidR="00A8443E" w:rsidRPr="00027624">
        <w:noBreakHyphen/>
      </w:r>
      <w:r w:rsidRPr="00027624">
        <w:t>income earners.</w:t>
      </w:r>
    </w:p>
    <w:p w14:paraId="0BDD4A7B" w14:textId="76253382" w:rsidR="00B3792F" w:rsidRPr="00027624" w:rsidRDefault="00B3792F" w:rsidP="00B3792F">
      <w:r w:rsidRPr="00027624">
        <w:fldChar w:fldCharType="begin"/>
      </w:r>
      <w:r w:rsidRPr="00027624">
        <w:instrText xml:space="preserve"> REF _Ref36552244 \r \h  \* MERGEFORMAT </w:instrText>
      </w:r>
      <w:r w:rsidRPr="00027624">
        <w:fldChar w:fldCharType="separate"/>
      </w:r>
      <w:r w:rsidR="00891058">
        <w:t>Chart 3E-16</w:t>
      </w:r>
      <w:r w:rsidRPr="00027624">
        <w:fldChar w:fldCharType="end"/>
      </w:r>
      <w:r w:rsidRPr="00027624">
        <w:t xml:space="preserve">, </w:t>
      </w:r>
      <w:r w:rsidRPr="00027624">
        <w:fldChar w:fldCharType="begin"/>
      </w:r>
      <w:r w:rsidRPr="00027624">
        <w:instrText xml:space="preserve"> REF _Ref36552247 \r \h  \* MERGEFORMAT </w:instrText>
      </w:r>
      <w:r w:rsidRPr="00027624">
        <w:fldChar w:fldCharType="separate"/>
      </w:r>
      <w:r w:rsidR="00891058" w:rsidRPr="00891058">
        <w:rPr>
          <w:lang w:val="en-US"/>
        </w:rPr>
        <w:t>Chart 3E-17</w:t>
      </w:r>
      <w:r w:rsidRPr="00027624">
        <w:fldChar w:fldCharType="end"/>
      </w:r>
      <w:r w:rsidRPr="00027624">
        <w:t xml:space="preserve"> and </w:t>
      </w:r>
      <w:r w:rsidRPr="00027624">
        <w:fldChar w:fldCharType="begin"/>
      </w:r>
      <w:r w:rsidRPr="00027624">
        <w:instrText xml:space="preserve"> REF _Ref36552249 \r \h  \* MERGEFORMAT </w:instrText>
      </w:r>
      <w:r w:rsidRPr="00027624">
        <w:fldChar w:fldCharType="separate"/>
      </w:r>
      <w:r w:rsidR="00891058">
        <w:t>Chart 3E-18</w:t>
      </w:r>
      <w:r w:rsidRPr="00027624">
        <w:fldChar w:fldCharType="end"/>
      </w:r>
      <w:r w:rsidRPr="00027624">
        <w:t xml:space="preserve"> show the projected replacement rate</w:t>
      </w:r>
      <w:r w:rsidR="0053047D" w:rsidRPr="00027624">
        <w:t>s for</w:t>
      </w:r>
      <w:r w:rsidRPr="00027624">
        <w:t xml:space="preserve"> lower</w:t>
      </w:r>
      <w:r w:rsidR="00A8443E" w:rsidRPr="00027624">
        <w:noBreakHyphen/>
      </w:r>
      <w:r w:rsidRPr="00027624">
        <w:t>, middle</w:t>
      </w:r>
      <w:r w:rsidR="00A8443E" w:rsidRPr="00027624">
        <w:noBreakHyphen/>
      </w:r>
      <w:r w:rsidRPr="00027624">
        <w:t xml:space="preserve"> and higher</w:t>
      </w:r>
      <w:r w:rsidR="00A8443E" w:rsidRPr="00027624">
        <w:noBreakHyphen/>
      </w:r>
      <w:r w:rsidRPr="00027624">
        <w:t>income home owner</w:t>
      </w:r>
      <w:r w:rsidR="0053047D" w:rsidRPr="00027624">
        <w:t>s</w:t>
      </w:r>
      <w:r w:rsidRPr="00027624">
        <w:t xml:space="preserve"> who begin work at age 27, retire either </w:t>
      </w:r>
      <w:r w:rsidR="0053047D" w:rsidRPr="00027624">
        <w:t>5</w:t>
      </w:r>
      <w:r w:rsidRPr="00027624">
        <w:t xml:space="preserve"> or 10 years before Age Pension eligibility age and receive either JobSeeker Payment, Disability Support Pension or Carer Payment if eligible in the years between retirement and age 67.</w:t>
      </w:r>
      <w:r w:rsidRPr="00027624">
        <w:rPr>
          <w:rStyle w:val="FootnoteReference"/>
        </w:rPr>
        <w:footnoteReference w:id="215"/>
      </w:r>
      <w:r w:rsidRPr="00027624">
        <w:t xml:space="preserve"> </w:t>
      </w:r>
    </w:p>
    <w:p w14:paraId="437F013D" w14:textId="77777777" w:rsidR="00B3792F" w:rsidRPr="00027624" w:rsidRDefault="00B3792F" w:rsidP="00B3792F">
      <w:pPr>
        <w:spacing w:after="0"/>
        <w:rPr>
          <w:i/>
        </w:rPr>
      </w:pPr>
      <w:r w:rsidRPr="00027624">
        <w:t xml:space="preserve">A replacement rate </w:t>
      </w:r>
      <w:r w:rsidR="00CB7369" w:rsidRPr="00027624">
        <w:t>of</w:t>
      </w:r>
      <w:r w:rsidRPr="00027624">
        <w:t xml:space="preserve"> 65</w:t>
      </w:r>
      <w:r w:rsidR="00A8443E" w:rsidRPr="00027624">
        <w:noBreakHyphen/>
      </w:r>
      <w:r w:rsidRPr="00027624">
        <w:t>75 per cent generally allows people to maintain their living standards in retirement (see</w:t>
      </w:r>
      <w:r w:rsidRPr="00027624">
        <w:rPr>
          <w:i/>
        </w:rPr>
        <w:t xml:space="preserve"> 2C. Maintaining standards of living in retirement</w:t>
      </w:r>
      <w:r w:rsidRPr="00027624">
        <w:t>).</w:t>
      </w:r>
      <w:r w:rsidRPr="00027624">
        <w:rPr>
          <w:rStyle w:val="CommentReference"/>
          <w:rFonts w:asciiTheme="minorHAnsi" w:eastAsiaTheme="minorHAnsi" w:hAnsiTheme="minorHAnsi" w:cstheme="minorBidi"/>
          <w:lang w:eastAsia="en-US"/>
        </w:rPr>
        <w:t xml:space="preserve"> </w:t>
      </w:r>
      <w:r w:rsidRPr="00027624">
        <w:t>The modelling shows replacement rates of lower</w:t>
      </w:r>
      <w:r w:rsidR="00A8443E" w:rsidRPr="00027624">
        <w:noBreakHyphen/>
      </w:r>
      <w:r w:rsidRPr="00027624">
        <w:t xml:space="preserve"> and middle</w:t>
      </w:r>
      <w:r w:rsidR="00A8443E" w:rsidRPr="00027624">
        <w:noBreakHyphen/>
      </w:r>
      <w:r w:rsidRPr="00027624">
        <w:t>income earners remain within or above the benchmark replacement rate. For higher</w:t>
      </w:r>
      <w:r w:rsidR="00A8443E" w:rsidRPr="00027624">
        <w:noBreakHyphen/>
      </w:r>
      <w:r w:rsidRPr="00027624">
        <w:t>income earners, replacement rates are projected to fall below the benchmark. However, a person on a higher</w:t>
      </w:r>
      <w:r w:rsidR="00A8443E" w:rsidRPr="00027624">
        <w:noBreakHyphen/>
      </w:r>
      <w:r w:rsidRPr="00027624">
        <w:t>income who retires at age 57 or 62 will, respectively, have an average retirement income more than 85 or 100 per cent higher than the maximum rate of Age Pension.</w:t>
      </w:r>
    </w:p>
    <w:p w14:paraId="7A5F4F9B" w14:textId="77777777" w:rsidR="00B3792F" w:rsidRPr="00027624" w:rsidRDefault="00B3792F" w:rsidP="00582C3E">
      <w:pPr>
        <w:pStyle w:val="ChartMainHeading"/>
      </w:pPr>
      <w:bookmarkStart w:id="3077" w:name="_Ref36552244"/>
      <w:r w:rsidRPr="00027624">
        <w:t>Lower</w:t>
      </w:r>
      <w:r w:rsidR="00A8443E" w:rsidRPr="00027624">
        <w:noBreakHyphen/>
      </w:r>
      <w:r w:rsidRPr="00027624">
        <w:t xml:space="preserve">income earner: projected replacement rates, by retirement age and reason </w:t>
      </w:r>
    </w:p>
    <w:p w14:paraId="357DF455" w14:textId="77777777" w:rsidR="00B3792F" w:rsidRPr="00027624" w:rsidRDefault="00B3792F" w:rsidP="00B3792F">
      <w:pPr>
        <w:pStyle w:val="ChartSecondHeading"/>
      </w:pPr>
      <w:r w:rsidRPr="00027624">
        <w:t>20</w:t>
      </w:r>
      <w:r w:rsidRPr="00027624">
        <w:rPr>
          <w:vertAlign w:val="superscript"/>
        </w:rPr>
        <w:t>th</w:t>
      </w:r>
      <w:r w:rsidRPr="00027624">
        <w:t xml:space="preserve"> percentile</w:t>
      </w:r>
      <w:bookmarkEnd w:id="3077"/>
    </w:p>
    <w:p w14:paraId="3C1320A5" w14:textId="77777777" w:rsidR="00B3792F" w:rsidRPr="00027624" w:rsidRDefault="00F4778C" w:rsidP="00C661D1">
      <w:pPr>
        <w:pStyle w:val="ChartGraphic"/>
      </w:pPr>
      <w:r>
        <w:rPr>
          <w:noProof/>
        </w:rPr>
        <w:drawing>
          <wp:inline distT="0" distB="0" distL="0" distR="0" wp14:anchorId="03D100F6" wp14:editId="041E96EB">
            <wp:extent cx="5585460" cy="2522220"/>
            <wp:effectExtent l="0" t="0" r="0" b="0"/>
            <wp:docPr id="741687602" name="Picture 741687602" descr="This chart shows that, regardless of retirement age or reason for retirement, those at the 20th income percentile are projected to have replacement rates above the benchmark of 65-75 per cent. Replacement rates are marginally lower for those retiring for job related reasons, although their replacement rates are still far above the benchmark." title="Chart 3E-16 Lower-income earner: projected replacement rates, by retirement age and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44D82385" w14:textId="5BAE0C22" w:rsidR="00B3792F" w:rsidRPr="00027624" w:rsidRDefault="00B3792F" w:rsidP="00B3792F">
      <w:pPr>
        <w:pStyle w:val="ChartorTableNote"/>
      </w:pPr>
      <w:r w:rsidRPr="00027624">
        <w:t xml:space="preserve">Note for </w:t>
      </w:r>
      <w:r w:rsidRPr="00027624">
        <w:fldChar w:fldCharType="begin"/>
      </w:r>
      <w:r w:rsidRPr="00027624">
        <w:instrText xml:space="preserve"> REF _Ref36552244 \r \h  \* MERGEFORMAT </w:instrText>
      </w:r>
      <w:r w:rsidRPr="00027624">
        <w:fldChar w:fldCharType="separate"/>
      </w:r>
      <w:r w:rsidR="00891058">
        <w:t>Chart 3E-16</w:t>
      </w:r>
      <w:r w:rsidRPr="00027624">
        <w:fldChar w:fldCharType="end"/>
      </w:r>
      <w:r w:rsidRPr="00027624">
        <w:t xml:space="preserve">, </w:t>
      </w:r>
      <w:r w:rsidRPr="00027624">
        <w:fldChar w:fldCharType="begin"/>
      </w:r>
      <w:r w:rsidRPr="00027624">
        <w:instrText xml:space="preserve"> REF _Ref36552247 \r \h  \* MERGEFORMAT </w:instrText>
      </w:r>
      <w:r w:rsidRPr="00027624">
        <w:fldChar w:fldCharType="separate"/>
      </w:r>
      <w:r w:rsidR="00891058">
        <w:t>Chart 3E-17</w:t>
      </w:r>
      <w:r w:rsidRPr="00027624">
        <w:fldChar w:fldCharType="end"/>
      </w:r>
      <w:r w:rsidRPr="00027624">
        <w:t xml:space="preserve"> and </w:t>
      </w:r>
      <w:r w:rsidRPr="00027624">
        <w:fldChar w:fldCharType="begin"/>
      </w:r>
      <w:r w:rsidRPr="00027624">
        <w:instrText xml:space="preserve"> REF _Ref36552249 \r \h  \* MERGEFORMAT </w:instrText>
      </w:r>
      <w:r w:rsidRPr="00027624">
        <w:fldChar w:fldCharType="separate"/>
      </w:r>
      <w:r w:rsidR="00891058">
        <w:t>Chart 3E-18</w:t>
      </w:r>
      <w:r w:rsidRPr="00027624">
        <w:fldChar w:fldCharType="end"/>
      </w:r>
      <w:r w:rsidRPr="00027624">
        <w:t>: Values are in 2019</w:t>
      </w:r>
      <w:r w:rsidR="00A8443E" w:rsidRPr="00027624">
        <w:noBreakHyphen/>
      </w:r>
      <w:r w:rsidRPr="00027624">
        <w:t>20 dollars, deflated using the review</w:t>
      </w:r>
      <w:r w:rsidR="00A8443E" w:rsidRPr="00027624">
        <w:t>’</w:t>
      </w:r>
      <w:r w:rsidRPr="00027624">
        <w:t>s mixed deflator.</w:t>
      </w:r>
      <w:r w:rsidRPr="00027624" w:rsidDel="006C15BF">
        <w:t xml:space="preserve"> </w:t>
      </w:r>
      <w:r w:rsidRPr="00027624">
        <w:rPr>
          <w:szCs w:val="18"/>
        </w:rPr>
        <w:t xml:space="preserve">For consistency, the working life of the person who retires at age 67 is used as the replacement rate denominator for all </w:t>
      </w:r>
      <w:r w:rsidRPr="00027624">
        <w:t>retirement</w:t>
      </w:r>
      <w:r w:rsidRPr="00027624">
        <w:rPr>
          <w:szCs w:val="18"/>
        </w:rPr>
        <w:t xml:space="preserve"> ages. </w:t>
      </w:r>
      <w:r w:rsidRPr="00027624">
        <w:t>People who retire due to caring responsibilities receive Carer Payment until age 67, if eligible. People who retire due to own ill health receive Disability Support Pension until age 67, if eligible. People who retire due to job</w:t>
      </w:r>
      <w:r w:rsidR="00A8443E" w:rsidRPr="00027624">
        <w:noBreakHyphen/>
      </w:r>
      <w:r w:rsidRPr="00027624">
        <w:t>related issues receive the standard rate of JobSeeker Payment until age 67, if eligible. The cameo assumes that before age 60 (superannuation preservation age), retired people do not take actions to boost their income until they reach preservation age (such as using early release of superannuation). People who retire before age 67 draw down</w:t>
      </w:r>
      <w:r w:rsidR="0053047D" w:rsidRPr="00027624">
        <w:t xml:space="preserve"> the equivalent of</w:t>
      </w:r>
      <w:r w:rsidRPr="00027624">
        <w:t xml:space="preserve"> the higher of the maximum Age Pension less any JobSeeker, Disability Support Pension or Carer Payment they receive, or minimum legislated rates between preservation age and age 67. Source: Cameo modelling undertaken for the review.</w:t>
      </w:r>
    </w:p>
    <w:p w14:paraId="32D78D65" w14:textId="77777777" w:rsidR="00B3792F" w:rsidRPr="00027624" w:rsidRDefault="00B3792F" w:rsidP="00582C3E">
      <w:pPr>
        <w:pStyle w:val="ChartMainHeading"/>
      </w:pPr>
      <w:bookmarkStart w:id="3078" w:name="_Ref36552247"/>
      <w:r w:rsidRPr="00027624">
        <w:lastRenderedPageBreak/>
        <w:t>Middle</w:t>
      </w:r>
      <w:r w:rsidR="00A8443E" w:rsidRPr="00027624">
        <w:noBreakHyphen/>
      </w:r>
      <w:r w:rsidRPr="00027624">
        <w:t xml:space="preserve">income earner: projected replacement rates, by retirement age and reason </w:t>
      </w:r>
    </w:p>
    <w:p w14:paraId="12581AA2" w14:textId="77777777" w:rsidR="00B3792F" w:rsidRPr="00027624" w:rsidRDefault="00B3792F" w:rsidP="00B3792F">
      <w:pPr>
        <w:pStyle w:val="ChartSecondHeading"/>
      </w:pPr>
      <w:r w:rsidRPr="00027624">
        <w:t>50</w:t>
      </w:r>
      <w:r w:rsidRPr="00027624">
        <w:rPr>
          <w:vertAlign w:val="superscript"/>
        </w:rPr>
        <w:t>th</w:t>
      </w:r>
      <w:r w:rsidRPr="00027624">
        <w:t xml:space="preserve"> percentile</w:t>
      </w:r>
      <w:bookmarkEnd w:id="3078"/>
    </w:p>
    <w:p w14:paraId="59028281" w14:textId="77777777" w:rsidR="00B3792F" w:rsidRPr="00027624" w:rsidRDefault="00C0735C" w:rsidP="00C661D1">
      <w:pPr>
        <w:pStyle w:val="ChartGraphic"/>
      </w:pPr>
      <w:r>
        <w:rPr>
          <w:noProof/>
        </w:rPr>
        <w:drawing>
          <wp:inline distT="0" distB="0" distL="0" distR="0" wp14:anchorId="249055AB" wp14:editId="50333F9C">
            <wp:extent cx="5585460" cy="2522220"/>
            <wp:effectExtent l="0" t="0" r="0" b="0"/>
            <wp:docPr id="741687604" name="Picture 741687604" descr="This chart shows that, regardless of retirement age or reason for retirement, those at the 50th income percentile are projected to have replacement rates at or above the benchmark of 65-75 per cent. Replacement rates are above the benchmark for all except those retiring for job-related reasons prior to preservation age (at age 57)." title="Chart 3E-17 Middle-income earner: projected replacement rates, by retirement age and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50557DE8" w14:textId="087BA5D0" w:rsidR="00B3792F" w:rsidRPr="00027624" w:rsidRDefault="00B3792F" w:rsidP="00B3792F">
      <w:pPr>
        <w:pStyle w:val="ChartorTableNote"/>
      </w:pPr>
      <w:r w:rsidRPr="00027624">
        <w:t xml:space="preserve">Note: See </w:t>
      </w:r>
      <w:r w:rsidRPr="00027624">
        <w:fldChar w:fldCharType="begin"/>
      </w:r>
      <w:r w:rsidRPr="00027624">
        <w:instrText xml:space="preserve"> REF _Ref36552244 \r \h  \* MERGEFORMAT </w:instrText>
      </w:r>
      <w:r w:rsidRPr="00027624">
        <w:fldChar w:fldCharType="separate"/>
      </w:r>
      <w:r w:rsidR="00891058">
        <w:t>Chart 3E-16</w:t>
      </w:r>
      <w:r w:rsidRPr="00027624">
        <w:fldChar w:fldCharType="end"/>
      </w:r>
      <w:r w:rsidRPr="00027624">
        <w:t>. Source: Cameo modelling undertaken for the review.</w:t>
      </w:r>
    </w:p>
    <w:p w14:paraId="7ACC0E76" w14:textId="77777777" w:rsidR="00B3792F" w:rsidRPr="00027624" w:rsidRDefault="00B3792F" w:rsidP="00582C3E">
      <w:pPr>
        <w:pStyle w:val="ChartMainHeading"/>
      </w:pPr>
      <w:bookmarkStart w:id="3079" w:name="_Ref36552249"/>
      <w:r w:rsidRPr="00027624">
        <w:t>Higher</w:t>
      </w:r>
      <w:r w:rsidR="00A8443E" w:rsidRPr="00027624">
        <w:noBreakHyphen/>
      </w:r>
      <w:r w:rsidRPr="00027624">
        <w:t>income earner: projected replacement rates, by retirement age and reason</w:t>
      </w:r>
    </w:p>
    <w:p w14:paraId="0153B544" w14:textId="77777777" w:rsidR="00B3792F" w:rsidRPr="00027624" w:rsidRDefault="00B3792F" w:rsidP="00B3792F">
      <w:pPr>
        <w:pStyle w:val="ChartSecondHeading"/>
      </w:pPr>
      <w:r w:rsidRPr="00027624">
        <w:t>80</w:t>
      </w:r>
      <w:r w:rsidRPr="00027624">
        <w:rPr>
          <w:vertAlign w:val="superscript"/>
        </w:rPr>
        <w:t>th</w:t>
      </w:r>
      <w:r w:rsidRPr="00027624">
        <w:t xml:space="preserve"> percentile</w:t>
      </w:r>
      <w:bookmarkEnd w:id="3079"/>
    </w:p>
    <w:p w14:paraId="035D9081" w14:textId="77777777" w:rsidR="00B3792F" w:rsidRPr="00027624" w:rsidRDefault="00C0735C" w:rsidP="00C661D1">
      <w:pPr>
        <w:pStyle w:val="ChartGraphic"/>
      </w:pPr>
      <w:r>
        <w:rPr>
          <w:noProof/>
        </w:rPr>
        <w:drawing>
          <wp:inline distT="0" distB="0" distL="0" distR="0" wp14:anchorId="591C303E" wp14:editId="29739BEF">
            <wp:extent cx="5585460" cy="2522220"/>
            <wp:effectExtent l="0" t="0" r="0" b="0"/>
            <wp:docPr id="741687610" name="Picture 741687610" descr="This chart shows that, at the 80th percentile, retiring early reduces replacement rates below the benchmark of 65-75 per cent. Replacement rates are not substantially different if the person retires at age 62 or 57, or if they retire for different reasons." title="Chart 3E-18 Higher-income earner: projected replacement rates, by retirement age and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377D4B14" w14:textId="0B70B0A0" w:rsidR="00B3792F" w:rsidRPr="00027624" w:rsidRDefault="00B3792F" w:rsidP="00B3792F">
      <w:pPr>
        <w:pStyle w:val="ChartorTableNote"/>
      </w:pPr>
      <w:r w:rsidRPr="00027624">
        <w:t xml:space="preserve">Note: See </w:t>
      </w:r>
      <w:r w:rsidRPr="00027624">
        <w:fldChar w:fldCharType="begin"/>
      </w:r>
      <w:r w:rsidRPr="00027624">
        <w:instrText xml:space="preserve"> REF _Ref36552244 \r \h  \* MERGEFORMAT </w:instrText>
      </w:r>
      <w:r w:rsidRPr="00027624">
        <w:fldChar w:fldCharType="separate"/>
      </w:r>
      <w:r w:rsidR="00891058">
        <w:t>Chart 3E-16</w:t>
      </w:r>
      <w:r w:rsidRPr="00027624">
        <w:fldChar w:fldCharType="end"/>
      </w:r>
      <w:r w:rsidRPr="00027624">
        <w:t xml:space="preserve">. Source: </w:t>
      </w:r>
      <w:bookmarkStart w:id="3080" w:name="_Toc40281872"/>
      <w:bookmarkStart w:id="3081" w:name="_Toc40282092"/>
      <w:bookmarkStart w:id="3082" w:name="_Toc40366193"/>
      <w:bookmarkStart w:id="3083" w:name="_Toc40369739"/>
      <w:bookmarkStart w:id="3084" w:name="_Toc40427895"/>
      <w:bookmarkStart w:id="3085" w:name="_Toc40458149"/>
      <w:bookmarkStart w:id="3086" w:name="_Toc40461918"/>
      <w:bookmarkStart w:id="3087" w:name="_Toc40474473"/>
      <w:bookmarkStart w:id="3088" w:name="_Toc40478002"/>
      <w:bookmarkStart w:id="3089" w:name="_Toc40521582"/>
      <w:bookmarkStart w:id="3090" w:name="_Toc40530441"/>
      <w:r w:rsidRPr="00027624">
        <w:t>Cameo modelling undertaken for the review.</w:t>
      </w:r>
    </w:p>
    <w:p w14:paraId="5CB615AA" w14:textId="77777777" w:rsidR="00B3792F" w:rsidRPr="00027624" w:rsidRDefault="00B3792F" w:rsidP="00CB7369">
      <w:pPr>
        <w:pStyle w:val="Heading3"/>
      </w:pPr>
      <w:bookmarkStart w:id="3091" w:name="_Toc42778868"/>
      <w:bookmarkStart w:id="3092" w:name="_Toc42780008"/>
      <w:bookmarkStart w:id="3093" w:name="_Toc42780437"/>
      <w:bookmarkStart w:id="3094" w:name="_Toc42786427"/>
      <w:bookmarkStart w:id="3095" w:name="_Toc42791920"/>
      <w:bookmarkStart w:id="3096" w:name="_Toc42792082"/>
      <w:bookmarkStart w:id="3097" w:name="_Toc43117889"/>
      <w:bookmarkStart w:id="3098" w:name="_Toc43121528"/>
      <w:bookmarkStart w:id="3099" w:name="_Toc43122733"/>
      <w:bookmarkStart w:id="3100" w:name="_Toc43127788"/>
      <w:r w:rsidRPr="00027624">
        <w:t xml:space="preserve">An SG rate to </w:t>
      </w:r>
      <w:r w:rsidR="00CB7369" w:rsidRPr="00027624">
        <w:t>increase</w:t>
      </w:r>
      <w:r w:rsidRPr="00027624">
        <w:t xml:space="preserve"> retirement incomes of early, involuntary retirees</w:t>
      </w:r>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p>
    <w:p w14:paraId="5069FBB7" w14:textId="77777777" w:rsidR="00B3792F" w:rsidRPr="00027624" w:rsidRDefault="00B3792F" w:rsidP="00B3792F">
      <w:r w:rsidRPr="00027624">
        <w:t>Some stakeholders proposed increasing the SG rate to mitigate the risk that early, involuntary retirement will lead to inadequate retirement income. This has limitations, including:</w:t>
      </w:r>
    </w:p>
    <w:p w14:paraId="0CEA76F9" w14:textId="674F85F3" w:rsidR="00B3792F" w:rsidRPr="00027624" w:rsidRDefault="00B3792F" w:rsidP="00AD6771">
      <w:pPr>
        <w:pStyle w:val="Bullet"/>
      </w:pPr>
      <w:r w:rsidRPr="00027624">
        <w:rPr>
          <w:b/>
        </w:rPr>
        <w:t>The exact increase in the SG rate required to mitigate the risk of early, involuntary retirement varies based on a person</w:t>
      </w:r>
      <w:r w:rsidR="00A8443E" w:rsidRPr="00027624">
        <w:rPr>
          <w:b/>
        </w:rPr>
        <w:t>’</w:t>
      </w:r>
      <w:r w:rsidRPr="00027624">
        <w:rPr>
          <w:b/>
        </w:rPr>
        <w:t>s characteristics.</w:t>
      </w:r>
      <w:r w:rsidRPr="00027624">
        <w:t xml:space="preserve"> The SG rate required to compensate for retiring 5 or 10 years earlier is between 14 and 26 per cent,</w:t>
      </w:r>
      <w:r w:rsidRPr="00027624">
        <w:rPr>
          <w:rStyle w:val="FootnoteReference"/>
        </w:rPr>
        <w:footnoteReference w:id="216"/>
      </w:r>
      <w:r w:rsidRPr="00027624">
        <w:t xml:space="preserve"> depending on their age of, and reason for, retirement and income percentile (</w:t>
      </w:r>
      <w:r w:rsidRPr="00027624">
        <w:fldChar w:fldCharType="begin"/>
      </w:r>
      <w:r w:rsidRPr="00027624">
        <w:instrText xml:space="preserve"> REF _Ref44759397 \r \h </w:instrText>
      </w:r>
      <w:r w:rsidR="00FA7639" w:rsidRPr="00027624">
        <w:instrText xml:space="preserve"> \* MERGEFORMAT </w:instrText>
      </w:r>
      <w:r w:rsidRPr="00027624">
        <w:fldChar w:fldCharType="separate"/>
      </w:r>
      <w:r w:rsidR="00891058">
        <w:t>Table 3E-1</w:t>
      </w:r>
      <w:r w:rsidRPr="00027624">
        <w:fldChar w:fldCharType="end"/>
      </w:r>
      <w:r w:rsidRPr="00027624">
        <w:t xml:space="preserve">). </w:t>
      </w:r>
    </w:p>
    <w:p w14:paraId="19E2D99E" w14:textId="198AC783" w:rsidR="00B3792F" w:rsidRPr="00027624" w:rsidRDefault="00B3792F" w:rsidP="00AD6771">
      <w:pPr>
        <w:pStyle w:val="Bullet"/>
      </w:pPr>
      <w:r w:rsidRPr="00027624">
        <w:rPr>
          <w:b/>
        </w:rPr>
        <w:lastRenderedPageBreak/>
        <w:t>Setting the SG rate high enough to compensate for the possibility of early, involuntary retirement would result in many people saving more than is required for an adequate retirement income.</w:t>
      </w:r>
      <w:r w:rsidRPr="00027624">
        <w:t xml:space="preserve"> The current system</w:t>
      </w:r>
      <w:r w:rsidRPr="00027624">
        <w:rPr>
          <w:szCs w:val="22"/>
        </w:rPr>
        <w:t xml:space="preserve"> </w:t>
      </w:r>
      <w:r w:rsidRPr="00027624">
        <w:t xml:space="preserve">already delivers replacement </w:t>
      </w:r>
      <w:r w:rsidR="0053047D" w:rsidRPr="00027624">
        <w:t>rates within or above the 65</w:t>
      </w:r>
      <w:r w:rsidR="0053047D" w:rsidRPr="00027624">
        <w:noBreakHyphen/>
      </w:r>
      <w:r w:rsidRPr="00027624">
        <w:t>75 per cent benchmark used by the review for a wide range of scenarios, including when lower</w:t>
      </w:r>
      <w:r w:rsidR="00A8443E" w:rsidRPr="00027624">
        <w:rPr>
          <w:szCs w:val="22"/>
        </w:rPr>
        <w:noBreakHyphen/>
      </w:r>
      <w:r w:rsidRPr="00027624">
        <w:t xml:space="preserve"> and middle</w:t>
      </w:r>
      <w:r w:rsidR="00A8443E" w:rsidRPr="00027624">
        <w:noBreakHyphen/>
      </w:r>
      <w:r w:rsidRPr="00027624">
        <w:t>income earners retire 5 or 10 years before Age Pension eligibility age (</w:t>
      </w:r>
      <w:r w:rsidRPr="00027624">
        <w:fldChar w:fldCharType="begin"/>
      </w:r>
      <w:r w:rsidRPr="00027624">
        <w:instrText xml:space="preserve"> REF _Ref36552244 \r \h  \* MERGEFORMAT </w:instrText>
      </w:r>
      <w:r w:rsidRPr="00027624">
        <w:fldChar w:fldCharType="separate"/>
      </w:r>
      <w:r w:rsidR="00891058">
        <w:t>Chart 3E-16</w:t>
      </w:r>
      <w:r w:rsidRPr="00027624">
        <w:fldChar w:fldCharType="end"/>
      </w:r>
      <w:r w:rsidRPr="00027624">
        <w:t xml:space="preserve"> and </w:t>
      </w:r>
      <w:r w:rsidRPr="00027624">
        <w:fldChar w:fldCharType="begin"/>
      </w:r>
      <w:r w:rsidRPr="00027624">
        <w:instrText xml:space="preserve"> REF _Ref36552247 \r \h  \* MERGEFORMAT </w:instrText>
      </w:r>
      <w:r w:rsidRPr="00027624">
        <w:fldChar w:fldCharType="separate"/>
      </w:r>
      <w:r w:rsidR="00891058">
        <w:t>Chart 3E-17</w:t>
      </w:r>
      <w:r w:rsidRPr="00027624">
        <w:fldChar w:fldCharType="end"/>
      </w:r>
      <w:r w:rsidRPr="00027624" w:rsidDel="001D1B68">
        <w:t>).</w:t>
      </w:r>
      <w:r w:rsidRPr="00027624">
        <w:t xml:space="preserve"> For people retiring at age 67, increasing the SG rate to 16 per cent would result in a lower</w:t>
      </w:r>
      <w:r w:rsidR="00A8443E" w:rsidRPr="00027624">
        <w:noBreakHyphen/>
      </w:r>
      <w:r w:rsidRPr="00027624">
        <w:t>income earner achieving a replacement rate of 136 per cent and a middle</w:t>
      </w:r>
      <w:r w:rsidR="00A8443E" w:rsidRPr="00027624">
        <w:noBreakHyphen/>
      </w:r>
      <w:r w:rsidRPr="00027624">
        <w:t>income earner achieving a replacement rate of 94 per cent.</w:t>
      </w:r>
      <w:r w:rsidRPr="00027624">
        <w:rPr>
          <w:rStyle w:val="FootnoteReference"/>
        </w:rPr>
        <w:footnoteReference w:id="217"/>
      </w:r>
      <w:r w:rsidRPr="00027624">
        <w:t xml:space="preserve"> Under this higher SG rate, both lower</w:t>
      </w:r>
      <w:r w:rsidR="00A8443E" w:rsidRPr="00027624">
        <w:noBreakHyphen/>
      </w:r>
      <w:r w:rsidRPr="00027624">
        <w:t xml:space="preserve"> and middle</w:t>
      </w:r>
      <w:r w:rsidR="00A8443E" w:rsidRPr="00027624">
        <w:noBreakHyphen/>
      </w:r>
      <w:r w:rsidRPr="00027624">
        <w:t>income earners would significantly over</w:t>
      </w:r>
      <w:r w:rsidR="00A8443E" w:rsidRPr="00027624">
        <w:noBreakHyphen/>
      </w:r>
      <w:r w:rsidRPr="00027624">
        <w:t>save for retirement. Lower</w:t>
      </w:r>
      <w:r w:rsidR="00A8443E" w:rsidRPr="00027624">
        <w:noBreakHyphen/>
      </w:r>
      <w:r w:rsidRPr="00027624">
        <w:t>income groups would suffer most from trading off working</w:t>
      </w:r>
      <w:r w:rsidR="00A8443E" w:rsidRPr="00027624">
        <w:noBreakHyphen/>
      </w:r>
      <w:r w:rsidRPr="00027624">
        <w:t>life income for an SG increase, as they already experience high levels of financial stress in their working life</w:t>
      </w:r>
      <w:r w:rsidRPr="00027624">
        <w:rPr>
          <w:szCs w:val="22"/>
        </w:rPr>
        <w:t xml:space="preserve">. </w:t>
      </w:r>
    </w:p>
    <w:p w14:paraId="2EC34DDA" w14:textId="77777777" w:rsidR="00B3792F" w:rsidRPr="00027624" w:rsidRDefault="00B3792F" w:rsidP="00AD6771">
      <w:pPr>
        <w:pStyle w:val="Bullet"/>
      </w:pPr>
      <w:r w:rsidRPr="00027624">
        <w:rPr>
          <w:b/>
        </w:rPr>
        <w:t xml:space="preserve">The SG is universal and the rate should be set accordingly. </w:t>
      </w:r>
      <w:r w:rsidRPr="00027624">
        <w:t xml:space="preserve">Universal policy settings that try to cater for every possible scenario risk damaging the wellbeing of a large proportion of society to protect a smaller group of people. </w:t>
      </w:r>
    </w:p>
    <w:p w14:paraId="158E7AAA" w14:textId="77777777" w:rsidR="00B3792F" w:rsidRPr="00027624" w:rsidRDefault="00B3792F" w:rsidP="00FC7361">
      <w:pPr>
        <w:pStyle w:val="TableMainHeading"/>
        <w:numPr>
          <w:ilvl w:val="3"/>
          <w:numId w:val="113"/>
        </w:numPr>
      </w:pPr>
      <w:bookmarkStart w:id="3101" w:name="_Ref35864593"/>
      <w:bookmarkStart w:id="3102" w:name="_Ref35869336"/>
      <w:bookmarkStart w:id="3103" w:name="_Ref44759397"/>
      <w:r w:rsidRPr="00027624">
        <w:t>Projected SG rates required for an early, involuntary retiree to achieve the same retirement income as someone who retires at age 67</w:t>
      </w:r>
      <w:bookmarkEnd w:id="3101"/>
      <w:bookmarkEnd w:id="3102"/>
      <w:bookmarkEnd w:id="3103"/>
    </w:p>
    <w:tbl>
      <w:tblPr>
        <w:tblW w:w="5000" w:type="pct"/>
        <w:jc w:val="center"/>
        <w:tblLook w:val="01E0" w:firstRow="1" w:lastRow="1" w:firstColumn="1" w:lastColumn="1" w:noHBand="0" w:noVBand="0"/>
      </w:tblPr>
      <w:tblGrid>
        <w:gridCol w:w="2272"/>
        <w:gridCol w:w="2200"/>
        <w:gridCol w:w="2398"/>
        <w:gridCol w:w="2200"/>
      </w:tblGrid>
      <w:tr w:rsidR="00B3792F" w:rsidRPr="00027624" w14:paraId="2FF97C8C" w14:textId="77777777" w:rsidTr="00B3792F">
        <w:trPr>
          <w:trHeight w:val="282"/>
          <w:tblHeader/>
          <w:jc w:val="center"/>
        </w:trPr>
        <w:tc>
          <w:tcPr>
            <w:tcW w:w="1252" w:type="pct"/>
            <w:shd w:val="clear" w:color="auto" w:fill="E5E5E5"/>
          </w:tcPr>
          <w:p w14:paraId="160496C4" w14:textId="77777777" w:rsidR="00B3792F" w:rsidRPr="00027624" w:rsidRDefault="00B3792F" w:rsidP="00B3792F">
            <w:pPr>
              <w:spacing w:before="40" w:after="40"/>
              <w:rPr>
                <w:b/>
                <w:color w:val="004A7F"/>
                <w:sz w:val="20"/>
              </w:rPr>
            </w:pPr>
            <w:r w:rsidRPr="00027624">
              <w:rPr>
                <w:b/>
                <w:color w:val="004A7F"/>
                <w:sz w:val="20"/>
              </w:rPr>
              <w:t>Retirement age and reason</w:t>
            </w:r>
          </w:p>
        </w:tc>
        <w:tc>
          <w:tcPr>
            <w:tcW w:w="1213" w:type="pct"/>
            <w:shd w:val="clear" w:color="auto" w:fill="E5E5E5"/>
          </w:tcPr>
          <w:p w14:paraId="491889DC" w14:textId="77777777" w:rsidR="00B3792F" w:rsidRPr="00027624" w:rsidRDefault="00B3792F" w:rsidP="00B3792F">
            <w:pPr>
              <w:pStyle w:val="TableTextCentered"/>
              <w:rPr>
                <w:b/>
                <w:color w:val="004A7F"/>
                <w:sz w:val="20"/>
              </w:rPr>
            </w:pPr>
            <w:r w:rsidRPr="00027624">
              <w:rPr>
                <w:b/>
                <w:color w:val="004A7F"/>
                <w:sz w:val="20"/>
              </w:rPr>
              <w:t>Lower</w:t>
            </w:r>
            <w:r w:rsidR="00A8443E" w:rsidRPr="00027624">
              <w:rPr>
                <w:b/>
                <w:color w:val="004A7F"/>
                <w:sz w:val="20"/>
              </w:rPr>
              <w:noBreakHyphen/>
            </w:r>
            <w:r w:rsidRPr="00027624">
              <w:rPr>
                <w:b/>
                <w:color w:val="004A7F"/>
                <w:sz w:val="20"/>
              </w:rPr>
              <w:t>income earner (per cent)</w:t>
            </w:r>
          </w:p>
        </w:tc>
        <w:tc>
          <w:tcPr>
            <w:tcW w:w="1322" w:type="pct"/>
            <w:shd w:val="clear" w:color="auto" w:fill="E5E5E5"/>
          </w:tcPr>
          <w:p w14:paraId="4D6DA0A7" w14:textId="77777777" w:rsidR="00B3792F" w:rsidRPr="00027624" w:rsidRDefault="00B3792F" w:rsidP="00B3792F">
            <w:pPr>
              <w:pStyle w:val="TableTextCentered"/>
              <w:rPr>
                <w:b/>
                <w:color w:val="004A7F"/>
                <w:sz w:val="20"/>
              </w:rPr>
            </w:pPr>
            <w:r w:rsidRPr="00027624">
              <w:rPr>
                <w:b/>
                <w:color w:val="004A7F"/>
                <w:sz w:val="20"/>
              </w:rPr>
              <w:t>Middle</w:t>
            </w:r>
            <w:r w:rsidR="00A8443E" w:rsidRPr="00027624">
              <w:rPr>
                <w:b/>
                <w:color w:val="004A7F"/>
                <w:sz w:val="20"/>
              </w:rPr>
              <w:noBreakHyphen/>
            </w:r>
            <w:r w:rsidRPr="00027624">
              <w:rPr>
                <w:b/>
                <w:color w:val="004A7F"/>
                <w:sz w:val="20"/>
              </w:rPr>
              <w:t>income earner (per cent)</w:t>
            </w:r>
          </w:p>
        </w:tc>
        <w:tc>
          <w:tcPr>
            <w:tcW w:w="1213" w:type="pct"/>
            <w:shd w:val="clear" w:color="auto" w:fill="E5E5E5"/>
          </w:tcPr>
          <w:p w14:paraId="01B8F772" w14:textId="77777777" w:rsidR="00B3792F" w:rsidRPr="00027624" w:rsidRDefault="00B3792F" w:rsidP="00B3792F">
            <w:pPr>
              <w:pStyle w:val="TableTextCentered"/>
              <w:rPr>
                <w:b/>
                <w:color w:val="004A7F"/>
                <w:sz w:val="20"/>
              </w:rPr>
            </w:pPr>
            <w:r w:rsidRPr="00027624">
              <w:rPr>
                <w:b/>
                <w:color w:val="004A7F"/>
                <w:sz w:val="20"/>
              </w:rPr>
              <w:t>Higher</w:t>
            </w:r>
            <w:r w:rsidR="00A8443E" w:rsidRPr="00027624">
              <w:rPr>
                <w:b/>
                <w:color w:val="004A7F"/>
                <w:sz w:val="20"/>
              </w:rPr>
              <w:noBreakHyphen/>
            </w:r>
            <w:r w:rsidRPr="00027624">
              <w:rPr>
                <w:b/>
                <w:color w:val="004A7F"/>
                <w:sz w:val="20"/>
              </w:rPr>
              <w:t>income earner (per cent)</w:t>
            </w:r>
          </w:p>
        </w:tc>
      </w:tr>
      <w:tr w:rsidR="00B3792F" w:rsidRPr="00027624" w14:paraId="4A8D1080" w14:textId="77777777" w:rsidTr="00B3792F">
        <w:trPr>
          <w:trHeight w:val="282"/>
          <w:jc w:val="center"/>
        </w:trPr>
        <w:tc>
          <w:tcPr>
            <w:tcW w:w="1252" w:type="pct"/>
          </w:tcPr>
          <w:p w14:paraId="112BE02E" w14:textId="77777777" w:rsidR="00B3792F" w:rsidRPr="00027624" w:rsidRDefault="00B3792F" w:rsidP="00B3792F">
            <w:pPr>
              <w:spacing w:before="40" w:after="40"/>
              <w:rPr>
                <w:b/>
                <w:color w:val="000000"/>
                <w:sz w:val="18"/>
              </w:rPr>
            </w:pPr>
            <w:r w:rsidRPr="00027624">
              <w:rPr>
                <w:b/>
                <w:color w:val="000000"/>
                <w:sz w:val="18"/>
              </w:rPr>
              <w:t>Retire at 57</w:t>
            </w:r>
          </w:p>
        </w:tc>
        <w:tc>
          <w:tcPr>
            <w:tcW w:w="1213" w:type="pct"/>
          </w:tcPr>
          <w:p w14:paraId="5B43FC9B" w14:textId="77777777" w:rsidR="00B3792F" w:rsidRPr="00027624" w:rsidRDefault="00B3792F" w:rsidP="00B3792F">
            <w:pPr>
              <w:spacing w:before="40" w:after="40"/>
              <w:jc w:val="center"/>
              <w:rPr>
                <w:color w:val="000000"/>
                <w:sz w:val="18"/>
              </w:rPr>
            </w:pPr>
          </w:p>
        </w:tc>
        <w:tc>
          <w:tcPr>
            <w:tcW w:w="1322" w:type="pct"/>
          </w:tcPr>
          <w:p w14:paraId="5A3EB37A" w14:textId="77777777" w:rsidR="00B3792F" w:rsidRPr="00027624" w:rsidRDefault="00B3792F" w:rsidP="00B3792F">
            <w:pPr>
              <w:spacing w:before="40" w:after="40"/>
              <w:jc w:val="center"/>
              <w:rPr>
                <w:color w:val="000000"/>
                <w:sz w:val="18"/>
              </w:rPr>
            </w:pPr>
          </w:p>
        </w:tc>
        <w:tc>
          <w:tcPr>
            <w:tcW w:w="1213" w:type="pct"/>
          </w:tcPr>
          <w:p w14:paraId="3278421D" w14:textId="77777777" w:rsidR="00B3792F" w:rsidRPr="00027624" w:rsidRDefault="00B3792F" w:rsidP="00B3792F">
            <w:pPr>
              <w:spacing w:before="40" w:after="40"/>
              <w:jc w:val="center"/>
              <w:rPr>
                <w:color w:val="000000"/>
                <w:sz w:val="18"/>
              </w:rPr>
            </w:pPr>
          </w:p>
        </w:tc>
      </w:tr>
      <w:tr w:rsidR="00B3792F" w:rsidRPr="00027624" w14:paraId="634B50AF" w14:textId="77777777" w:rsidTr="00B3792F">
        <w:trPr>
          <w:trHeight w:val="282"/>
          <w:jc w:val="center"/>
        </w:trPr>
        <w:tc>
          <w:tcPr>
            <w:tcW w:w="1252" w:type="pct"/>
          </w:tcPr>
          <w:p w14:paraId="20BEE0A9" w14:textId="77777777" w:rsidR="00B3792F" w:rsidRPr="00027624" w:rsidRDefault="00B3792F" w:rsidP="00B3792F">
            <w:pPr>
              <w:spacing w:before="40" w:after="40"/>
              <w:rPr>
                <w:color w:val="000000"/>
                <w:sz w:val="18"/>
              </w:rPr>
            </w:pPr>
            <w:r w:rsidRPr="00027624">
              <w:rPr>
                <w:color w:val="000000"/>
                <w:sz w:val="18"/>
              </w:rPr>
              <w:t>Job</w:t>
            </w:r>
            <w:r w:rsidR="00A8443E" w:rsidRPr="00027624">
              <w:rPr>
                <w:color w:val="000000"/>
                <w:sz w:val="18"/>
              </w:rPr>
              <w:noBreakHyphen/>
            </w:r>
            <w:r w:rsidRPr="00027624">
              <w:rPr>
                <w:color w:val="000000"/>
                <w:sz w:val="18"/>
              </w:rPr>
              <w:t>related</w:t>
            </w:r>
          </w:p>
        </w:tc>
        <w:tc>
          <w:tcPr>
            <w:tcW w:w="1213" w:type="pct"/>
          </w:tcPr>
          <w:p w14:paraId="55BD64EC" w14:textId="77777777" w:rsidR="00B3792F" w:rsidRPr="00027624" w:rsidRDefault="00B3792F" w:rsidP="00B3792F">
            <w:pPr>
              <w:spacing w:before="40" w:after="40"/>
              <w:jc w:val="center"/>
              <w:rPr>
                <w:color w:val="000000"/>
                <w:sz w:val="18"/>
              </w:rPr>
            </w:pPr>
            <w:r w:rsidRPr="00027624">
              <w:rPr>
                <w:color w:val="000000"/>
                <w:sz w:val="18"/>
              </w:rPr>
              <w:t>26</w:t>
            </w:r>
          </w:p>
        </w:tc>
        <w:tc>
          <w:tcPr>
            <w:tcW w:w="1322" w:type="pct"/>
          </w:tcPr>
          <w:p w14:paraId="5DD58E0B" w14:textId="77777777" w:rsidR="00B3792F" w:rsidRPr="00027624" w:rsidRDefault="00B3792F" w:rsidP="00B3792F">
            <w:pPr>
              <w:spacing w:before="40" w:after="40"/>
              <w:jc w:val="center"/>
              <w:rPr>
                <w:color w:val="000000"/>
                <w:sz w:val="18"/>
              </w:rPr>
            </w:pPr>
            <w:r w:rsidRPr="00027624">
              <w:rPr>
                <w:color w:val="000000"/>
                <w:sz w:val="18"/>
              </w:rPr>
              <w:t>22</w:t>
            </w:r>
          </w:p>
        </w:tc>
        <w:tc>
          <w:tcPr>
            <w:tcW w:w="1213" w:type="pct"/>
          </w:tcPr>
          <w:p w14:paraId="64B733CE" w14:textId="77777777" w:rsidR="00B3792F" w:rsidRPr="00027624" w:rsidRDefault="00B3792F" w:rsidP="00B3792F">
            <w:pPr>
              <w:spacing w:before="40" w:after="40"/>
              <w:jc w:val="center"/>
              <w:rPr>
                <w:color w:val="000000"/>
                <w:sz w:val="18"/>
              </w:rPr>
            </w:pPr>
            <w:r w:rsidRPr="00027624">
              <w:rPr>
                <w:color w:val="000000"/>
                <w:sz w:val="18"/>
              </w:rPr>
              <w:t>20.5</w:t>
            </w:r>
          </w:p>
        </w:tc>
      </w:tr>
      <w:tr w:rsidR="00B3792F" w:rsidRPr="00027624" w14:paraId="740C47ED" w14:textId="77777777" w:rsidTr="00B3792F">
        <w:trPr>
          <w:trHeight w:val="282"/>
          <w:jc w:val="center"/>
        </w:trPr>
        <w:tc>
          <w:tcPr>
            <w:tcW w:w="1252" w:type="pct"/>
          </w:tcPr>
          <w:p w14:paraId="5B632429" w14:textId="77777777" w:rsidR="00B3792F" w:rsidRPr="00027624" w:rsidRDefault="00B3792F" w:rsidP="00B3792F">
            <w:pPr>
              <w:spacing w:before="40" w:after="40"/>
              <w:rPr>
                <w:color w:val="000000"/>
                <w:sz w:val="18"/>
              </w:rPr>
            </w:pPr>
            <w:r w:rsidRPr="00027624">
              <w:rPr>
                <w:color w:val="000000"/>
                <w:sz w:val="18"/>
              </w:rPr>
              <w:t>Own ill health</w:t>
            </w:r>
          </w:p>
        </w:tc>
        <w:tc>
          <w:tcPr>
            <w:tcW w:w="1213" w:type="pct"/>
          </w:tcPr>
          <w:p w14:paraId="056F29E4" w14:textId="77777777" w:rsidR="00B3792F" w:rsidRPr="00027624" w:rsidRDefault="00B3792F" w:rsidP="00B3792F">
            <w:pPr>
              <w:spacing w:before="40" w:after="40"/>
              <w:jc w:val="center"/>
              <w:rPr>
                <w:color w:val="000000"/>
                <w:sz w:val="18"/>
              </w:rPr>
            </w:pPr>
            <w:r w:rsidRPr="00027624">
              <w:rPr>
                <w:color w:val="000000"/>
                <w:sz w:val="18"/>
              </w:rPr>
              <w:t>16</w:t>
            </w:r>
          </w:p>
        </w:tc>
        <w:tc>
          <w:tcPr>
            <w:tcW w:w="1322" w:type="pct"/>
          </w:tcPr>
          <w:p w14:paraId="14A6C003" w14:textId="77777777" w:rsidR="00B3792F" w:rsidRPr="00027624" w:rsidRDefault="00B3792F" w:rsidP="00B3792F">
            <w:pPr>
              <w:spacing w:before="40" w:after="40"/>
              <w:jc w:val="center"/>
              <w:rPr>
                <w:color w:val="000000"/>
                <w:sz w:val="18"/>
              </w:rPr>
            </w:pPr>
            <w:r w:rsidRPr="00027624">
              <w:rPr>
                <w:color w:val="000000"/>
                <w:sz w:val="18"/>
              </w:rPr>
              <w:t>20</w:t>
            </w:r>
          </w:p>
        </w:tc>
        <w:tc>
          <w:tcPr>
            <w:tcW w:w="1213" w:type="pct"/>
          </w:tcPr>
          <w:p w14:paraId="5C20DEB2" w14:textId="77777777" w:rsidR="00B3792F" w:rsidRPr="00027624" w:rsidRDefault="00B3792F" w:rsidP="00B3792F">
            <w:pPr>
              <w:spacing w:before="40" w:after="40"/>
              <w:jc w:val="center"/>
              <w:rPr>
                <w:color w:val="000000"/>
                <w:sz w:val="18"/>
              </w:rPr>
            </w:pPr>
            <w:r w:rsidRPr="00027624">
              <w:rPr>
                <w:color w:val="000000"/>
                <w:sz w:val="18"/>
              </w:rPr>
              <w:t>20</w:t>
            </w:r>
          </w:p>
        </w:tc>
      </w:tr>
      <w:tr w:rsidR="00B3792F" w:rsidRPr="00027624" w14:paraId="40318C30" w14:textId="77777777" w:rsidTr="00B3792F">
        <w:trPr>
          <w:trHeight w:val="282"/>
          <w:jc w:val="center"/>
        </w:trPr>
        <w:tc>
          <w:tcPr>
            <w:tcW w:w="1252" w:type="pct"/>
          </w:tcPr>
          <w:p w14:paraId="16303334" w14:textId="77777777" w:rsidR="00B3792F" w:rsidRPr="00027624" w:rsidRDefault="00B3792F" w:rsidP="00B3792F">
            <w:pPr>
              <w:spacing w:before="40" w:after="40"/>
              <w:rPr>
                <w:color w:val="000000"/>
                <w:sz w:val="18"/>
              </w:rPr>
            </w:pPr>
            <w:r w:rsidRPr="00027624">
              <w:rPr>
                <w:color w:val="000000"/>
                <w:sz w:val="18"/>
              </w:rPr>
              <w:t>Caring responsibilities</w:t>
            </w:r>
          </w:p>
        </w:tc>
        <w:tc>
          <w:tcPr>
            <w:tcW w:w="1213" w:type="pct"/>
          </w:tcPr>
          <w:p w14:paraId="52291F24" w14:textId="77777777" w:rsidR="00B3792F" w:rsidRPr="00027624" w:rsidRDefault="00B3792F" w:rsidP="00B3792F">
            <w:pPr>
              <w:spacing w:before="40" w:after="40"/>
              <w:jc w:val="center"/>
              <w:rPr>
                <w:color w:val="000000"/>
                <w:sz w:val="18"/>
              </w:rPr>
            </w:pPr>
            <w:r w:rsidRPr="00027624">
              <w:rPr>
                <w:color w:val="000000"/>
                <w:sz w:val="18"/>
              </w:rPr>
              <w:t>15</w:t>
            </w:r>
          </w:p>
        </w:tc>
        <w:tc>
          <w:tcPr>
            <w:tcW w:w="1322" w:type="pct"/>
          </w:tcPr>
          <w:p w14:paraId="0E9C8C56" w14:textId="77777777" w:rsidR="00B3792F" w:rsidRPr="00027624" w:rsidRDefault="00B3792F" w:rsidP="00B3792F">
            <w:pPr>
              <w:spacing w:before="40" w:after="40"/>
              <w:jc w:val="center"/>
              <w:rPr>
                <w:color w:val="000000"/>
                <w:sz w:val="18"/>
              </w:rPr>
            </w:pPr>
            <w:r w:rsidRPr="00027624">
              <w:rPr>
                <w:color w:val="000000"/>
                <w:sz w:val="18"/>
              </w:rPr>
              <w:t>19.5</w:t>
            </w:r>
          </w:p>
        </w:tc>
        <w:tc>
          <w:tcPr>
            <w:tcW w:w="1213" w:type="pct"/>
          </w:tcPr>
          <w:p w14:paraId="26C07412" w14:textId="77777777" w:rsidR="00B3792F" w:rsidRPr="00027624" w:rsidRDefault="00B3792F" w:rsidP="00B3792F">
            <w:pPr>
              <w:spacing w:before="40" w:after="40"/>
              <w:jc w:val="center"/>
              <w:rPr>
                <w:color w:val="000000"/>
                <w:sz w:val="18"/>
              </w:rPr>
            </w:pPr>
            <w:r w:rsidRPr="00027624">
              <w:rPr>
                <w:color w:val="000000"/>
                <w:sz w:val="18"/>
              </w:rPr>
              <w:t>20</w:t>
            </w:r>
          </w:p>
        </w:tc>
      </w:tr>
      <w:tr w:rsidR="00B3792F" w:rsidRPr="00027624" w14:paraId="32E13EFF" w14:textId="77777777" w:rsidTr="00B3792F">
        <w:trPr>
          <w:trHeight w:val="282"/>
          <w:jc w:val="center"/>
        </w:trPr>
        <w:tc>
          <w:tcPr>
            <w:tcW w:w="1252" w:type="pct"/>
          </w:tcPr>
          <w:p w14:paraId="47DBE960" w14:textId="77777777" w:rsidR="00B3792F" w:rsidRPr="00027624" w:rsidRDefault="00B3792F" w:rsidP="00B3792F">
            <w:pPr>
              <w:spacing w:before="40" w:after="40"/>
              <w:rPr>
                <w:b/>
                <w:color w:val="000000"/>
                <w:sz w:val="18"/>
              </w:rPr>
            </w:pPr>
            <w:r w:rsidRPr="00027624">
              <w:rPr>
                <w:b/>
                <w:color w:val="000000"/>
                <w:sz w:val="18"/>
              </w:rPr>
              <w:t>Retire at 62</w:t>
            </w:r>
          </w:p>
        </w:tc>
        <w:tc>
          <w:tcPr>
            <w:tcW w:w="1213" w:type="pct"/>
          </w:tcPr>
          <w:p w14:paraId="5A94DCD8" w14:textId="77777777" w:rsidR="00B3792F" w:rsidRPr="00027624" w:rsidRDefault="00B3792F" w:rsidP="00B3792F">
            <w:pPr>
              <w:spacing w:before="40" w:after="40"/>
              <w:jc w:val="center"/>
              <w:rPr>
                <w:color w:val="000000"/>
                <w:sz w:val="18"/>
              </w:rPr>
            </w:pPr>
          </w:p>
        </w:tc>
        <w:tc>
          <w:tcPr>
            <w:tcW w:w="1322" w:type="pct"/>
          </w:tcPr>
          <w:p w14:paraId="1BE92390" w14:textId="77777777" w:rsidR="00B3792F" w:rsidRPr="00027624" w:rsidRDefault="00B3792F" w:rsidP="00B3792F">
            <w:pPr>
              <w:spacing w:before="40" w:after="40"/>
              <w:jc w:val="center"/>
              <w:rPr>
                <w:color w:val="000000"/>
                <w:sz w:val="18"/>
              </w:rPr>
            </w:pPr>
          </w:p>
        </w:tc>
        <w:tc>
          <w:tcPr>
            <w:tcW w:w="1213" w:type="pct"/>
          </w:tcPr>
          <w:p w14:paraId="5A05FDAA" w14:textId="77777777" w:rsidR="00B3792F" w:rsidRPr="00027624" w:rsidRDefault="00B3792F" w:rsidP="00B3792F">
            <w:pPr>
              <w:spacing w:before="40" w:after="40"/>
              <w:jc w:val="center"/>
              <w:rPr>
                <w:color w:val="000000"/>
                <w:sz w:val="18"/>
              </w:rPr>
            </w:pPr>
          </w:p>
        </w:tc>
      </w:tr>
      <w:tr w:rsidR="00B3792F" w:rsidRPr="00027624" w14:paraId="7627C7A7" w14:textId="77777777" w:rsidTr="00B3792F">
        <w:trPr>
          <w:trHeight w:val="52"/>
          <w:jc w:val="center"/>
        </w:trPr>
        <w:tc>
          <w:tcPr>
            <w:tcW w:w="1252" w:type="pct"/>
          </w:tcPr>
          <w:p w14:paraId="063A871F" w14:textId="77777777" w:rsidR="00B3792F" w:rsidRPr="00027624" w:rsidRDefault="00B3792F" w:rsidP="00B3792F">
            <w:pPr>
              <w:spacing w:before="40" w:after="40"/>
              <w:rPr>
                <w:color w:val="000000"/>
                <w:sz w:val="18"/>
              </w:rPr>
            </w:pPr>
            <w:r w:rsidRPr="00027624">
              <w:rPr>
                <w:color w:val="000000"/>
                <w:sz w:val="18"/>
              </w:rPr>
              <w:t>Job</w:t>
            </w:r>
            <w:r w:rsidR="00A8443E" w:rsidRPr="00027624">
              <w:rPr>
                <w:color w:val="000000"/>
                <w:sz w:val="18"/>
              </w:rPr>
              <w:noBreakHyphen/>
            </w:r>
            <w:r w:rsidRPr="00027624">
              <w:rPr>
                <w:color w:val="000000"/>
                <w:sz w:val="18"/>
              </w:rPr>
              <w:t>related</w:t>
            </w:r>
          </w:p>
        </w:tc>
        <w:tc>
          <w:tcPr>
            <w:tcW w:w="1213" w:type="pct"/>
          </w:tcPr>
          <w:p w14:paraId="0E5E5282" w14:textId="77777777" w:rsidR="00B3792F" w:rsidRPr="00027624" w:rsidRDefault="00B3792F" w:rsidP="00B3792F">
            <w:pPr>
              <w:spacing w:before="40" w:after="40"/>
              <w:jc w:val="center"/>
              <w:rPr>
                <w:color w:val="000000"/>
                <w:sz w:val="18"/>
              </w:rPr>
            </w:pPr>
            <w:r w:rsidRPr="00027624">
              <w:rPr>
                <w:color w:val="000000"/>
                <w:sz w:val="18"/>
              </w:rPr>
              <w:t>19</w:t>
            </w:r>
          </w:p>
        </w:tc>
        <w:tc>
          <w:tcPr>
            <w:tcW w:w="1322" w:type="pct"/>
          </w:tcPr>
          <w:p w14:paraId="538FF913" w14:textId="77777777" w:rsidR="00B3792F" w:rsidRPr="00027624" w:rsidRDefault="00B3792F" w:rsidP="00B3792F">
            <w:pPr>
              <w:spacing w:before="40" w:after="40"/>
              <w:jc w:val="center"/>
              <w:rPr>
                <w:color w:val="000000"/>
                <w:sz w:val="18"/>
              </w:rPr>
            </w:pPr>
            <w:r w:rsidRPr="00027624">
              <w:rPr>
                <w:color w:val="000000"/>
                <w:sz w:val="18"/>
              </w:rPr>
              <w:t>17.5</w:t>
            </w:r>
          </w:p>
        </w:tc>
        <w:tc>
          <w:tcPr>
            <w:tcW w:w="1213" w:type="pct"/>
          </w:tcPr>
          <w:p w14:paraId="5553426A" w14:textId="77777777" w:rsidR="00B3792F" w:rsidRPr="00027624" w:rsidRDefault="00B3792F" w:rsidP="00B3792F">
            <w:pPr>
              <w:spacing w:before="40" w:after="40"/>
              <w:jc w:val="center"/>
              <w:rPr>
                <w:color w:val="000000"/>
                <w:sz w:val="18"/>
              </w:rPr>
            </w:pPr>
            <w:r w:rsidRPr="00027624">
              <w:rPr>
                <w:color w:val="000000"/>
                <w:sz w:val="18"/>
              </w:rPr>
              <w:t>16.5</w:t>
            </w:r>
          </w:p>
        </w:tc>
      </w:tr>
      <w:tr w:rsidR="00B3792F" w:rsidRPr="00027624" w14:paraId="39603AE2" w14:textId="77777777" w:rsidTr="00B3792F">
        <w:trPr>
          <w:trHeight w:val="282"/>
          <w:jc w:val="center"/>
        </w:trPr>
        <w:tc>
          <w:tcPr>
            <w:tcW w:w="1252" w:type="pct"/>
          </w:tcPr>
          <w:p w14:paraId="6F234821" w14:textId="77777777" w:rsidR="00B3792F" w:rsidRPr="00027624" w:rsidRDefault="00B3792F" w:rsidP="00B3792F">
            <w:pPr>
              <w:spacing w:before="40" w:after="40"/>
              <w:rPr>
                <w:color w:val="000000"/>
                <w:sz w:val="18"/>
              </w:rPr>
            </w:pPr>
            <w:r w:rsidRPr="00027624">
              <w:rPr>
                <w:color w:val="000000"/>
                <w:sz w:val="18"/>
              </w:rPr>
              <w:t xml:space="preserve">Own ill health </w:t>
            </w:r>
          </w:p>
        </w:tc>
        <w:tc>
          <w:tcPr>
            <w:tcW w:w="1213" w:type="pct"/>
          </w:tcPr>
          <w:p w14:paraId="3792FA92" w14:textId="77777777" w:rsidR="00B3792F" w:rsidRPr="00027624" w:rsidRDefault="00B3792F" w:rsidP="00B3792F">
            <w:pPr>
              <w:spacing w:before="40" w:after="40"/>
              <w:jc w:val="center"/>
              <w:rPr>
                <w:color w:val="000000"/>
                <w:sz w:val="18"/>
              </w:rPr>
            </w:pPr>
            <w:r w:rsidRPr="00027624">
              <w:rPr>
                <w:color w:val="000000"/>
                <w:sz w:val="18"/>
              </w:rPr>
              <w:t>15</w:t>
            </w:r>
          </w:p>
        </w:tc>
        <w:tc>
          <w:tcPr>
            <w:tcW w:w="1322" w:type="pct"/>
          </w:tcPr>
          <w:p w14:paraId="1CA39220" w14:textId="77777777" w:rsidR="00B3792F" w:rsidRPr="00027624" w:rsidRDefault="00B3792F" w:rsidP="00B3792F">
            <w:pPr>
              <w:spacing w:before="40" w:after="40"/>
              <w:jc w:val="center"/>
              <w:rPr>
                <w:color w:val="000000"/>
                <w:sz w:val="18"/>
              </w:rPr>
            </w:pPr>
            <w:r w:rsidRPr="00027624">
              <w:rPr>
                <w:color w:val="000000"/>
                <w:sz w:val="18"/>
              </w:rPr>
              <w:t>17.5</w:t>
            </w:r>
          </w:p>
        </w:tc>
        <w:tc>
          <w:tcPr>
            <w:tcW w:w="1213" w:type="pct"/>
          </w:tcPr>
          <w:p w14:paraId="4A299C5B" w14:textId="77777777" w:rsidR="00B3792F" w:rsidRPr="00027624" w:rsidRDefault="00B3792F" w:rsidP="00B3792F">
            <w:pPr>
              <w:keepNext/>
              <w:spacing w:before="40" w:after="40"/>
              <w:jc w:val="center"/>
              <w:rPr>
                <w:color w:val="000000"/>
                <w:sz w:val="18"/>
              </w:rPr>
            </w:pPr>
            <w:r w:rsidRPr="00027624">
              <w:rPr>
                <w:color w:val="000000"/>
                <w:sz w:val="18"/>
              </w:rPr>
              <w:t>16.5</w:t>
            </w:r>
          </w:p>
        </w:tc>
      </w:tr>
      <w:tr w:rsidR="00B3792F" w:rsidRPr="00027624" w14:paraId="2B9D737B" w14:textId="77777777" w:rsidTr="00B3792F">
        <w:trPr>
          <w:trHeight w:val="282"/>
          <w:jc w:val="center"/>
        </w:trPr>
        <w:tc>
          <w:tcPr>
            <w:tcW w:w="1252" w:type="pct"/>
          </w:tcPr>
          <w:p w14:paraId="3BBFB230" w14:textId="77777777" w:rsidR="00B3792F" w:rsidRPr="00027624" w:rsidRDefault="00B3792F" w:rsidP="00B3792F">
            <w:pPr>
              <w:spacing w:before="40" w:after="40"/>
              <w:rPr>
                <w:color w:val="000000"/>
                <w:sz w:val="18"/>
              </w:rPr>
            </w:pPr>
            <w:r w:rsidRPr="00027624">
              <w:rPr>
                <w:color w:val="000000"/>
                <w:sz w:val="18"/>
              </w:rPr>
              <w:t>Caring responsibilities</w:t>
            </w:r>
          </w:p>
        </w:tc>
        <w:tc>
          <w:tcPr>
            <w:tcW w:w="1213" w:type="pct"/>
          </w:tcPr>
          <w:p w14:paraId="4423BD38" w14:textId="77777777" w:rsidR="00B3792F" w:rsidRPr="00027624" w:rsidRDefault="00B3792F" w:rsidP="00B3792F">
            <w:pPr>
              <w:spacing w:before="40" w:after="40"/>
              <w:jc w:val="center"/>
              <w:rPr>
                <w:color w:val="000000"/>
                <w:sz w:val="18"/>
              </w:rPr>
            </w:pPr>
            <w:r w:rsidRPr="00027624">
              <w:rPr>
                <w:color w:val="000000"/>
                <w:sz w:val="18"/>
              </w:rPr>
              <w:t>14</w:t>
            </w:r>
          </w:p>
        </w:tc>
        <w:tc>
          <w:tcPr>
            <w:tcW w:w="1322" w:type="pct"/>
          </w:tcPr>
          <w:p w14:paraId="2A1EE8C2" w14:textId="77777777" w:rsidR="00B3792F" w:rsidRPr="00027624" w:rsidRDefault="00B3792F" w:rsidP="00B3792F">
            <w:pPr>
              <w:spacing w:before="40" w:after="40"/>
              <w:jc w:val="center"/>
              <w:rPr>
                <w:color w:val="000000"/>
                <w:sz w:val="18"/>
              </w:rPr>
            </w:pPr>
            <w:r w:rsidRPr="00027624">
              <w:rPr>
                <w:color w:val="000000"/>
                <w:sz w:val="18"/>
              </w:rPr>
              <w:t>17</w:t>
            </w:r>
          </w:p>
        </w:tc>
        <w:tc>
          <w:tcPr>
            <w:tcW w:w="1213" w:type="pct"/>
          </w:tcPr>
          <w:p w14:paraId="7ED42507" w14:textId="77777777" w:rsidR="00B3792F" w:rsidRPr="00027624" w:rsidRDefault="00B3792F" w:rsidP="00B3792F">
            <w:pPr>
              <w:keepNext/>
              <w:spacing w:before="40" w:after="40"/>
              <w:jc w:val="center"/>
              <w:rPr>
                <w:color w:val="000000"/>
                <w:sz w:val="18"/>
              </w:rPr>
            </w:pPr>
            <w:r w:rsidRPr="00027624">
              <w:rPr>
                <w:color w:val="000000"/>
                <w:sz w:val="18"/>
              </w:rPr>
              <w:t>16</w:t>
            </w:r>
          </w:p>
        </w:tc>
      </w:tr>
    </w:tbl>
    <w:p w14:paraId="52640BED" w14:textId="77777777" w:rsidR="00B3792F" w:rsidRPr="00027624" w:rsidRDefault="00B3792F" w:rsidP="00B3792F">
      <w:pPr>
        <w:pStyle w:val="ChartorTableNote"/>
      </w:pPr>
      <w:bookmarkStart w:id="3104" w:name="_Toc40281873"/>
      <w:bookmarkStart w:id="3105" w:name="_Toc40282093"/>
      <w:bookmarkStart w:id="3106" w:name="_Toc40366194"/>
      <w:bookmarkStart w:id="3107" w:name="_Toc40369740"/>
      <w:bookmarkStart w:id="3108" w:name="_Toc40427896"/>
      <w:bookmarkStart w:id="3109" w:name="_Toc40458150"/>
      <w:bookmarkStart w:id="3110" w:name="_Toc40461919"/>
      <w:bookmarkStart w:id="3111" w:name="_Toc40474474"/>
      <w:bookmarkStart w:id="3112" w:name="_Toc40478003"/>
      <w:bookmarkStart w:id="3113" w:name="_Toc40521583"/>
      <w:bookmarkStart w:id="3114" w:name="_Toc40530442"/>
      <w:r w:rsidRPr="00027624">
        <w:t>Note: Values are in 2019</w:t>
      </w:r>
      <w:r w:rsidR="00A8443E" w:rsidRPr="00027624">
        <w:noBreakHyphen/>
      </w:r>
      <w:r w:rsidRPr="00027624">
        <w:t>20 dollars, deflated using the review</w:t>
      </w:r>
      <w:r w:rsidR="00A8443E" w:rsidRPr="00027624">
        <w:t>’</w:t>
      </w:r>
      <w:r w:rsidRPr="00027624">
        <w:t>s mixed deflator. Lower</w:t>
      </w:r>
      <w:r w:rsidR="00A8443E" w:rsidRPr="00027624">
        <w:noBreakHyphen/>
      </w:r>
      <w:r w:rsidRPr="00027624">
        <w:t>income earner is the 20</w:t>
      </w:r>
      <w:r w:rsidRPr="00027624">
        <w:rPr>
          <w:vertAlign w:val="superscript"/>
        </w:rPr>
        <w:t>th</w:t>
      </w:r>
      <w:r w:rsidRPr="00027624">
        <w:t xml:space="preserve"> income percentile, middle</w:t>
      </w:r>
      <w:r w:rsidR="00A8443E" w:rsidRPr="00027624">
        <w:noBreakHyphen/>
      </w:r>
      <w:r w:rsidRPr="00027624">
        <w:t>income earner is the 50</w:t>
      </w:r>
      <w:r w:rsidRPr="00027624">
        <w:rPr>
          <w:vertAlign w:val="superscript"/>
        </w:rPr>
        <w:t>th</w:t>
      </w:r>
      <w:r w:rsidRPr="00027624">
        <w:t xml:space="preserve"> income percentile and a higher</w:t>
      </w:r>
      <w:r w:rsidR="00A8443E" w:rsidRPr="00027624">
        <w:noBreakHyphen/>
      </w:r>
      <w:r w:rsidRPr="00027624">
        <w:t>income earner is the 80</w:t>
      </w:r>
      <w:r w:rsidRPr="00027624">
        <w:rPr>
          <w:vertAlign w:val="superscript"/>
        </w:rPr>
        <w:t>th</w:t>
      </w:r>
      <w:r w:rsidRPr="00027624">
        <w:t xml:space="preserve"> income percentile. The SG rate received by the person who retires at age 67 is consistent with the relevant legislation, which will see the SG rate rising to 12 per cent by July 2025.</w:t>
      </w:r>
      <w:r w:rsidRPr="00027624" w:rsidDel="00104552">
        <w:t xml:space="preserve"> </w:t>
      </w:r>
      <w:r w:rsidRPr="00027624">
        <w:t>SG rate is either a whole number or to half a percentage point. For all SG rates, salary sacrifice contributions under the currently legislated SG rates are used. Assumes the concessional contributions cap also rises with the SG rate, so higher</w:t>
      </w:r>
      <w:r w:rsidR="00A8443E" w:rsidRPr="00027624">
        <w:noBreakHyphen/>
      </w:r>
      <w:r w:rsidRPr="00027624">
        <w:t>income earners do not incur excess contributions tax under higher SG rates. Source: Cameo modelling undertaken for the review.</w:t>
      </w:r>
    </w:p>
    <w:p w14:paraId="632A5F8F" w14:textId="77777777" w:rsidR="00B3792F" w:rsidRPr="00027624" w:rsidRDefault="00B3792F" w:rsidP="00D06555">
      <w:pPr>
        <w:pStyle w:val="Heading2"/>
      </w:pPr>
      <w:bookmarkStart w:id="3115" w:name="_Toc42778869"/>
      <w:bookmarkStart w:id="3116" w:name="_Toc42780009"/>
      <w:bookmarkStart w:id="3117" w:name="_Toc42780438"/>
      <w:bookmarkStart w:id="3118" w:name="_Toc42786428"/>
      <w:bookmarkStart w:id="3119" w:name="_Toc42791921"/>
      <w:bookmarkStart w:id="3120" w:name="_Toc42792083"/>
      <w:bookmarkStart w:id="3121" w:name="_Toc43117890"/>
      <w:bookmarkStart w:id="3122" w:name="_Toc43121529"/>
      <w:bookmarkStart w:id="3123" w:name="_Toc43122734"/>
      <w:bookmarkStart w:id="3124" w:name="_Toc43127789"/>
      <w:bookmarkStart w:id="3125" w:name="_Toc46133630"/>
      <w:r w:rsidRPr="00027624">
        <w:t>The effect of late retirement on retirement outcomes</w:t>
      </w:r>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p>
    <w:p w14:paraId="6BA0D055" w14:textId="77777777" w:rsidR="00B3792F" w:rsidRPr="00027624" w:rsidRDefault="00B3792F" w:rsidP="00B3792F">
      <w:pPr>
        <w:keepNext/>
      </w:pPr>
      <w:r w:rsidRPr="00027624">
        <w:t xml:space="preserve">If a worker delays retiring, they increase their retirement income by: </w:t>
      </w:r>
    </w:p>
    <w:p w14:paraId="13652F7D" w14:textId="77777777" w:rsidR="00B3792F" w:rsidRPr="00027624" w:rsidRDefault="00B3792F" w:rsidP="00F14B57">
      <w:pPr>
        <w:pStyle w:val="Bullet"/>
        <w:numPr>
          <w:ilvl w:val="0"/>
          <w:numId w:val="44"/>
        </w:numPr>
        <w:ind w:left="284" w:hanging="284"/>
      </w:pPr>
      <w:r w:rsidRPr="00027624">
        <w:t>Receiving additional SG contributions</w:t>
      </w:r>
      <w:r w:rsidR="00A8443E" w:rsidRPr="00027624">
        <w:t xml:space="preserve"> — </w:t>
      </w:r>
      <w:r w:rsidRPr="00027624">
        <w:t>assuming they are covered by the SG</w:t>
      </w:r>
    </w:p>
    <w:p w14:paraId="2BDB8363" w14:textId="77777777" w:rsidR="00B3792F" w:rsidRPr="00027624" w:rsidRDefault="00B3792F" w:rsidP="00F14B57">
      <w:pPr>
        <w:pStyle w:val="Bullet"/>
        <w:numPr>
          <w:ilvl w:val="0"/>
          <w:numId w:val="44"/>
        </w:numPr>
        <w:ind w:left="284" w:hanging="284"/>
      </w:pPr>
      <w:r w:rsidRPr="00027624">
        <w:t xml:space="preserve">Receiving additional accumulated growth through compound returns on their private savings </w:t>
      </w:r>
    </w:p>
    <w:p w14:paraId="1F4C308D" w14:textId="77777777" w:rsidR="00B3792F" w:rsidRPr="00027624" w:rsidRDefault="00B3792F" w:rsidP="00F14B57">
      <w:pPr>
        <w:pStyle w:val="Bullet"/>
        <w:ind w:left="284" w:hanging="284"/>
      </w:pPr>
      <w:r w:rsidRPr="00027624">
        <w:t>Drawing down on their private savings for a shorter period of time once they retire</w:t>
      </w:r>
      <w:r w:rsidR="00A8443E" w:rsidRPr="00027624">
        <w:t xml:space="preserve"> — </w:t>
      </w:r>
      <w:r w:rsidRPr="00027624">
        <w:t>because they spend less time in retirement relative to someone who retires earlier</w:t>
      </w:r>
    </w:p>
    <w:p w14:paraId="48EF64EB" w14:textId="77777777" w:rsidR="00B3792F" w:rsidRPr="00027624" w:rsidRDefault="00B3792F" w:rsidP="00B3792F">
      <w:r w:rsidRPr="00027624">
        <w:t>Delaying retirement also has non</w:t>
      </w:r>
      <w:r w:rsidR="00A8443E" w:rsidRPr="00027624">
        <w:noBreakHyphen/>
      </w:r>
      <w:r w:rsidRPr="00027624">
        <w:t>financial effects, including on the person</w:t>
      </w:r>
      <w:r w:rsidR="00A8443E" w:rsidRPr="00027624">
        <w:t>’</w:t>
      </w:r>
      <w:r w:rsidRPr="00027624">
        <w:t xml:space="preserve">s health, social connections and leisure time. Measures to encourage people to work past Age Pension eligibility age are explored in </w:t>
      </w:r>
      <w:r w:rsidRPr="00027624">
        <w:rPr>
          <w:i/>
        </w:rPr>
        <w:t>5A. Cohesion</w:t>
      </w:r>
      <w:r w:rsidRPr="00027624">
        <w:t>.</w:t>
      </w:r>
    </w:p>
    <w:p w14:paraId="22FF6117" w14:textId="406425CB" w:rsidR="00B3792F" w:rsidRPr="00027624" w:rsidRDefault="00B3792F" w:rsidP="00B3792F">
      <w:r w:rsidRPr="00027624">
        <w:t xml:space="preserve">Working an additional three years to age 70 increases the replacement rates of those who are able to do so. Replacement rates and retirement incomes increase by similar amounts when the person </w:t>
      </w:r>
      <w:r w:rsidRPr="00027624">
        <w:lastRenderedPageBreak/>
        <w:t>continues to earn a wage, based on their position in the income distribution between ages 67</w:t>
      </w:r>
      <w:r w:rsidR="00A8443E" w:rsidRPr="00027624">
        <w:noBreakHyphen/>
      </w:r>
      <w:r w:rsidRPr="00027624">
        <w:t>70, versus when they earn 25 per cent less than this wage during this time (</w:t>
      </w:r>
      <w:r w:rsidRPr="00027624">
        <w:fldChar w:fldCharType="begin"/>
      </w:r>
      <w:r w:rsidRPr="00027624">
        <w:instrText xml:space="preserve"> REF _Ref35869511 \r \h  \* MERGEFORMAT </w:instrText>
      </w:r>
      <w:r w:rsidRPr="00027624">
        <w:fldChar w:fldCharType="separate"/>
      </w:r>
      <w:r w:rsidR="00891058">
        <w:t>Chart 3E-19</w:t>
      </w:r>
      <w:r w:rsidRPr="00027624">
        <w:fldChar w:fldCharType="end"/>
      </w:r>
      <w:r w:rsidRPr="00027624">
        <w:t>). This suggests higher replacements rates and retirement incomes are primarily due to investment returns and a reduced length of retirement, rather than additional SG contributions.</w:t>
      </w:r>
    </w:p>
    <w:p w14:paraId="3A3C8167" w14:textId="77777777" w:rsidR="00B3792F" w:rsidRPr="00027624" w:rsidRDefault="00B3792F" w:rsidP="00B3792F">
      <w:r w:rsidRPr="00027624">
        <w:t>Higher</w:t>
      </w:r>
      <w:r w:rsidR="00A8443E" w:rsidRPr="00027624">
        <w:noBreakHyphen/>
      </w:r>
      <w:r w:rsidRPr="00027624">
        <w:t xml:space="preserve">income earners receive a larger increase in their retirement income and </w:t>
      </w:r>
      <w:r w:rsidRPr="00027624" w:rsidDel="00350AC7">
        <w:t>replacement rates</w:t>
      </w:r>
      <w:r w:rsidRPr="00027624">
        <w:t xml:space="preserve"> when they retire later compared with lower</w:t>
      </w:r>
      <w:r w:rsidR="00A8443E" w:rsidRPr="00027624">
        <w:noBreakHyphen/>
      </w:r>
      <w:r w:rsidRPr="00027624">
        <w:t xml:space="preserve"> and middle</w:t>
      </w:r>
      <w:r w:rsidR="00A8443E" w:rsidRPr="00027624">
        <w:noBreakHyphen/>
      </w:r>
      <w:r w:rsidRPr="00027624">
        <w:t>income earners. During these additional years of work, higher</w:t>
      </w:r>
      <w:r w:rsidR="00A8443E" w:rsidRPr="00027624">
        <w:noBreakHyphen/>
      </w:r>
      <w:r w:rsidRPr="00027624">
        <w:t>income earners:</w:t>
      </w:r>
    </w:p>
    <w:p w14:paraId="3E3D2249" w14:textId="77777777" w:rsidR="00B3792F" w:rsidRPr="00027624" w:rsidRDefault="00B3792F" w:rsidP="00AD6771">
      <w:pPr>
        <w:pStyle w:val="Bullet"/>
      </w:pPr>
      <w:r w:rsidRPr="00027624">
        <w:t>Receive higher wages (relative to lower</w:t>
      </w:r>
      <w:r w:rsidR="00A8443E" w:rsidRPr="00027624">
        <w:noBreakHyphen/>
      </w:r>
      <w:r w:rsidRPr="00027624">
        <w:t xml:space="preserve"> and middle</w:t>
      </w:r>
      <w:r w:rsidR="00A8443E" w:rsidRPr="00027624">
        <w:noBreakHyphen/>
      </w:r>
      <w:r w:rsidRPr="00027624">
        <w:t>income earners) and therefore have higher SG contributions</w:t>
      </w:r>
    </w:p>
    <w:p w14:paraId="4A592A81" w14:textId="77777777" w:rsidR="00B3792F" w:rsidRPr="00027624" w:rsidRDefault="00B3792F" w:rsidP="00AD6771">
      <w:pPr>
        <w:pStyle w:val="Bullet"/>
      </w:pPr>
      <w:r w:rsidRPr="00027624">
        <w:t>Receive more compound interest from higher SG contributions and larger superannuation balances</w:t>
      </w:r>
    </w:p>
    <w:p w14:paraId="59C0647D" w14:textId="77777777" w:rsidR="00B3792F" w:rsidRPr="00027624" w:rsidRDefault="00B3792F" w:rsidP="00AD6771">
      <w:pPr>
        <w:pStyle w:val="Bullet"/>
      </w:pPr>
      <w:r w:rsidRPr="00027624">
        <w:t>Generally experience a smaller reduction in Age Pension income, where they qualify, relative to lower</w:t>
      </w:r>
      <w:r w:rsidR="00A8443E" w:rsidRPr="00027624">
        <w:noBreakHyphen/>
      </w:r>
      <w:r w:rsidRPr="00027624">
        <w:t xml:space="preserve"> and middle</w:t>
      </w:r>
      <w:r w:rsidR="00A8443E" w:rsidRPr="00027624">
        <w:noBreakHyphen/>
      </w:r>
      <w:r w:rsidRPr="00027624">
        <w:t xml:space="preserve"> income earners</w:t>
      </w:r>
    </w:p>
    <w:p w14:paraId="44DBF025" w14:textId="77777777" w:rsidR="00B3792F" w:rsidRPr="00027624" w:rsidRDefault="00B3792F" w:rsidP="00582C3E">
      <w:pPr>
        <w:pStyle w:val="ChartMainHeading"/>
      </w:pPr>
      <w:bookmarkStart w:id="3126" w:name="_Ref35869511"/>
      <w:r w:rsidRPr="00027624">
        <w:t>Projected increase in replacement rates when retiring at age 70 compared with age 67</w:t>
      </w:r>
      <w:bookmarkEnd w:id="3126"/>
    </w:p>
    <w:p w14:paraId="44988206" w14:textId="77777777" w:rsidR="00B3792F" w:rsidRPr="00027624" w:rsidRDefault="0037669B" w:rsidP="00CB7369">
      <w:pPr>
        <w:pStyle w:val="ChartGraphic"/>
      </w:pPr>
      <w:r>
        <w:rPr>
          <w:noProof/>
        </w:rPr>
        <w:drawing>
          <wp:inline distT="0" distB="0" distL="0" distR="0" wp14:anchorId="5331D865" wp14:editId="3A4779DA">
            <wp:extent cx="5577840" cy="2522220"/>
            <wp:effectExtent l="0" t="0" r="3810" b="0"/>
            <wp:docPr id="741687613" name="Picture 741687613" descr="This chart shows that projected replacement rates increase when a person retires at age 70 rather than age 67. The increase is larger for those with higher incomes, and larger if they receive their normal wage rather than three-quarters of their normal wage." title="Chart 3E-19 Projected increase in replacement rates when retiring at age 70 compared with 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9C0FE11" w14:textId="77777777" w:rsidR="00B3792F" w:rsidRPr="00027624" w:rsidRDefault="00B3792F" w:rsidP="00B3792F">
      <w:pPr>
        <w:pStyle w:val="ChartorTableNote"/>
      </w:pPr>
      <w:r w:rsidRPr="00027624">
        <w:t>Note: Values are in 2019</w:t>
      </w:r>
      <w:r w:rsidR="00A8443E" w:rsidRPr="00027624">
        <w:noBreakHyphen/>
      </w:r>
      <w:r w:rsidRPr="00027624">
        <w:t>20 dollars, deflated using the review</w:t>
      </w:r>
      <w:r w:rsidR="00A8443E" w:rsidRPr="00027624">
        <w:t>’</w:t>
      </w:r>
      <w:r w:rsidRPr="00027624">
        <w:t>s mixed deflator.</w:t>
      </w:r>
      <w:r w:rsidRPr="00027624" w:rsidDel="006C15BF">
        <w:t xml:space="preserve"> </w:t>
      </w:r>
      <w:r w:rsidRPr="00027624">
        <w:t>Three</w:t>
      </w:r>
      <w:r w:rsidR="00A8443E" w:rsidRPr="00027624">
        <w:noBreakHyphen/>
      </w:r>
      <w:r w:rsidRPr="00027624">
        <w:t>quarters of normal wage assumes an individual earns 75 per cent of the average wage for their age and income percentile between the ages of 67</w:t>
      </w:r>
      <w:r w:rsidR="00A8443E" w:rsidRPr="00027624">
        <w:noBreakHyphen/>
      </w:r>
      <w:r w:rsidRPr="00027624">
        <w:t xml:space="preserve">70. Normal wage uses average wages according central case specifications. </w:t>
      </w:r>
      <w:r w:rsidRPr="00027624">
        <w:rPr>
          <w:i/>
        </w:rPr>
        <w:t>Appendix 6A. Detailed modelling methods and assumptions</w:t>
      </w:r>
      <w:r w:rsidRPr="00027624">
        <w:t xml:space="preserve"> includes a detailed explanation of the wage data using this methodology. Assumes</w:t>
      </w:r>
      <w:r w:rsidRPr="00027624">
        <w:rPr>
          <w:szCs w:val="18"/>
        </w:rPr>
        <w:t xml:space="preserve"> people who retire at age 70 do not access superannuation and other savings until age 70 but they do receive the Age Pension from age 67 if eligible</w:t>
      </w:r>
      <w:r w:rsidRPr="00027624">
        <w:t>.</w:t>
      </w:r>
      <w:r w:rsidRPr="00027624">
        <w:rPr>
          <w:szCs w:val="18"/>
        </w:rPr>
        <w:t xml:space="preserve"> For consistency, the working life of the person who retires at age 67 is used as the replacement rate denominator for all retirement ages.</w:t>
      </w:r>
      <w:r w:rsidRPr="00027624">
        <w:t xml:space="preserve"> See </w:t>
      </w:r>
      <w:r w:rsidRPr="00027624">
        <w:rPr>
          <w:i/>
        </w:rPr>
        <w:t>Appendix 6D. Supplementary equity charts</w:t>
      </w:r>
      <w:r w:rsidRPr="00027624">
        <w:rPr>
          <w:iCs/>
        </w:rPr>
        <w:t xml:space="preserve"> for projected superannuation balances and retirement incomes of people retiring at age 70.</w:t>
      </w:r>
      <w:r w:rsidRPr="00027624">
        <w:t xml:space="preserve"> Source: Cameo modelling undertaken for the review.</w:t>
      </w:r>
    </w:p>
    <w:p w14:paraId="6BDF9C81" w14:textId="77777777" w:rsidR="00B3792F" w:rsidRPr="00027624" w:rsidRDefault="00B3792F" w:rsidP="00B3792F"/>
    <w:tbl>
      <w:tblPr>
        <w:tblStyle w:val="TableGrid"/>
        <w:tblW w:w="5000" w:type="pct"/>
        <w:shd w:val="clear" w:color="auto" w:fill="FFF8EA"/>
        <w:tblLook w:val="04A0" w:firstRow="1" w:lastRow="0" w:firstColumn="1" w:lastColumn="0" w:noHBand="0" w:noVBand="1"/>
      </w:tblPr>
      <w:tblGrid>
        <w:gridCol w:w="9070"/>
      </w:tblGrid>
      <w:tr w:rsidR="00B3792F" w:rsidRPr="00027624" w14:paraId="02AD9BFB" w14:textId="77777777" w:rsidTr="00B3792F">
        <w:tc>
          <w:tcPr>
            <w:tcW w:w="5000" w:type="pct"/>
            <w:shd w:val="clear" w:color="auto" w:fill="FFF8EA"/>
          </w:tcPr>
          <w:p w14:paraId="7C83E1E4" w14:textId="77777777" w:rsidR="00B3792F" w:rsidRPr="00027624" w:rsidRDefault="00B3792F" w:rsidP="00582C3E">
            <w:pPr>
              <w:pStyle w:val="BoxHeading"/>
            </w:pPr>
            <w:bookmarkStart w:id="3127" w:name="_Toc33529234"/>
            <w:r w:rsidRPr="00027624">
              <w:lastRenderedPageBreak/>
              <w:t>Impact of changes to certain policy settings on the retirement outcomes of early and late retirees</w:t>
            </w:r>
          </w:p>
          <w:p w14:paraId="6A7DF0B8" w14:textId="77777777" w:rsidR="00B3792F" w:rsidRPr="00027624" w:rsidRDefault="00B3792F" w:rsidP="00B3792F">
            <w:pPr>
              <w:pStyle w:val="BoxText"/>
            </w:pPr>
            <w:r w:rsidRPr="00027624">
              <w:t xml:space="preserve">A number of submissions raised policy proposals to improve retirement outcomes for early and late retirees. The following summary outlines some implications of some of those proposals. </w:t>
            </w:r>
          </w:p>
          <w:p w14:paraId="7C88BDA6" w14:textId="77777777" w:rsidR="00B3792F" w:rsidRPr="00027624" w:rsidRDefault="00B3792F" w:rsidP="00B3792F">
            <w:pPr>
              <w:pStyle w:val="BoxBullet"/>
            </w:pPr>
            <w:r w:rsidRPr="00027624">
              <w:rPr>
                <w:b/>
                <w:bCs/>
              </w:rPr>
              <w:t>No increase in the superannuation preservation age or Age Pension eligibility age.</w:t>
            </w:r>
            <w:r w:rsidRPr="00027624">
              <w:rPr>
                <w:bCs/>
              </w:rPr>
              <w:t xml:space="preserve"> Increases in these ages </w:t>
            </w:r>
            <w:r w:rsidRPr="00027624">
              <w:t>would adversely affect a significant number of people who retire involuntarily before preservation or Age Pension eligibility ages. People with lower wealth and blue</w:t>
            </w:r>
            <w:r w:rsidR="00A8443E" w:rsidRPr="00027624">
              <w:noBreakHyphen/>
            </w:r>
            <w:r w:rsidRPr="00027624">
              <w:t>collar workers, who are more likely to retire involuntarily, would be disadvantaged by higher access ages. Eligibility for a Government pension or allowance would help mitigate this. Conversely, as people with higher wealth and white</w:t>
            </w:r>
            <w:r w:rsidR="00A8443E" w:rsidRPr="00027624">
              <w:noBreakHyphen/>
            </w:r>
            <w:r w:rsidRPr="00027624">
              <w:t>collar workers are more likely to be able to choose when they retire, they are less likely to be affected by such policy changes. Higher</w:t>
            </w:r>
            <w:r w:rsidR="00A8443E" w:rsidRPr="00027624">
              <w:noBreakHyphen/>
            </w:r>
            <w:r w:rsidRPr="00027624">
              <w:t>income earners would receive the largest increase in</w:t>
            </w:r>
            <w:r w:rsidRPr="00027624" w:rsidDel="001A5942">
              <w:t xml:space="preserve"> </w:t>
            </w:r>
            <w:r w:rsidRPr="00027624">
              <w:t xml:space="preserve">replacement rates from a later retirement age. </w:t>
            </w:r>
          </w:p>
          <w:p w14:paraId="24E07E58" w14:textId="77777777" w:rsidR="00B3792F" w:rsidRPr="00027624" w:rsidRDefault="00B3792F" w:rsidP="00B3792F">
            <w:pPr>
              <w:pStyle w:val="BoxBullet"/>
            </w:pPr>
            <w:r w:rsidRPr="00027624">
              <w:rPr>
                <w:b/>
                <w:bCs/>
              </w:rPr>
              <w:t>Increase the standard payment rate and change the indexation of JobSeeker Payment</w:t>
            </w:r>
            <w:r w:rsidRPr="00027624">
              <w:rPr>
                <w:b/>
              </w:rPr>
              <w:t>.</w:t>
            </w:r>
            <w:r w:rsidRPr="00027624">
              <w:t xml:space="preserve"> This would help ensure equity for early and involuntary retirees with similar financial resources. If the standard rate and indexation of JobSeeker Payment were similar to Disability Support Pension and Carer Payment, people who retire early due to job</w:t>
            </w:r>
            <w:r w:rsidR="00A8443E" w:rsidRPr="00027624">
              <w:noBreakHyphen/>
            </w:r>
            <w:r w:rsidRPr="00027624">
              <w:t>related reasons would have similar replacement rates and retirement incomes to those who retire early due to caring responsibilities and own ill health. Any change to the payment rate and indexation method of JobSeeker Payment should also consider the broader policy objectives of working</w:t>
            </w:r>
            <w:r w:rsidR="00A8443E" w:rsidRPr="00027624">
              <w:noBreakHyphen/>
            </w:r>
            <w:r w:rsidRPr="00027624">
              <w:t>age payments, as many recipients of this payment may re</w:t>
            </w:r>
            <w:r w:rsidR="00A8443E" w:rsidRPr="00027624">
              <w:noBreakHyphen/>
            </w:r>
            <w:r w:rsidR="00D06555" w:rsidRPr="00027624">
              <w:t>enter the workforce in</w:t>
            </w:r>
            <w:r w:rsidRPr="00027624">
              <w:t xml:space="preserve"> future.</w:t>
            </w:r>
          </w:p>
          <w:p w14:paraId="535BC551" w14:textId="77777777" w:rsidR="00B3792F" w:rsidRPr="00027624" w:rsidRDefault="00B3792F" w:rsidP="00955FAD">
            <w:pPr>
              <w:pStyle w:val="BoxBullet"/>
            </w:pPr>
            <w:r w:rsidRPr="00027624">
              <w:rPr>
                <w:b/>
              </w:rPr>
              <w:t>Setting the SG rate to compensate for the possibility of early, involuntary retirement</w:t>
            </w:r>
            <w:r w:rsidRPr="00027624">
              <w:rPr>
                <w:b/>
                <w:bCs/>
              </w:rPr>
              <w:t>.</w:t>
            </w:r>
            <w:r w:rsidRPr="00027624">
              <w:rPr>
                <w:bCs/>
              </w:rPr>
              <w:t xml:space="preserve"> This would result in many people saving more than they require for an adequate retirement income.</w:t>
            </w:r>
            <w:r w:rsidRPr="00027624">
              <w:rPr>
                <w:b/>
              </w:rPr>
              <w:t xml:space="preserve"> </w:t>
            </w:r>
            <w:r w:rsidRPr="00027624">
              <w:t>A higher SG rate would come at the expense of working</w:t>
            </w:r>
            <w:r w:rsidR="00A8443E" w:rsidRPr="00027624">
              <w:noBreakHyphen/>
            </w:r>
            <w:r w:rsidRPr="00027624">
              <w:t>life income. The income support system provides a more targeted way of accounting for involuntary, early retirement (see</w:t>
            </w:r>
            <w:r w:rsidRPr="00027624">
              <w:rPr>
                <w:i/>
              </w:rPr>
              <w:t xml:space="preserve"> 2D. Policy scenario: Implications of maintaining the SG rate</w:t>
            </w:r>
            <w:r w:rsidRPr="00027624">
              <w:t>)</w:t>
            </w:r>
            <w:r w:rsidRPr="00027624">
              <w:rPr>
                <w:i/>
              </w:rPr>
              <w:t>.</w:t>
            </w:r>
          </w:p>
        </w:tc>
      </w:tr>
      <w:bookmarkEnd w:id="3127"/>
    </w:tbl>
    <w:p w14:paraId="5945A0B5" w14:textId="77777777" w:rsidR="001B6C0B" w:rsidRPr="00027624" w:rsidRDefault="001B6C0B" w:rsidP="00B3792F">
      <w:pPr>
        <w:sectPr w:rsidR="001B6C0B" w:rsidRPr="00027624" w:rsidSect="001B6C0B">
          <w:headerReference w:type="default" r:id="rId269"/>
          <w:footerReference w:type="default" r:id="rId270"/>
          <w:type w:val="oddPage"/>
          <w:pgSz w:w="11906" w:h="16838" w:code="9"/>
          <w:pgMar w:top="1418" w:right="1418" w:bottom="1418" w:left="1418" w:header="709" w:footer="709" w:gutter="0"/>
          <w:cols w:space="708"/>
          <w:titlePg/>
          <w:docGrid w:linePitch="360"/>
        </w:sectPr>
      </w:pPr>
    </w:p>
    <w:p w14:paraId="5F332642" w14:textId="77777777" w:rsidR="00B3792F" w:rsidRPr="00027624" w:rsidRDefault="00B3792F" w:rsidP="00582C3E">
      <w:pPr>
        <w:pStyle w:val="Heading1"/>
      </w:pPr>
      <w:bookmarkStart w:id="3128" w:name="_Toc31720356"/>
      <w:bookmarkStart w:id="3129" w:name="_Toc31800991"/>
      <w:bookmarkStart w:id="3130" w:name="_Toc40297442"/>
      <w:bookmarkStart w:id="3131" w:name="_Ref40307382"/>
      <w:bookmarkStart w:id="3132" w:name="_Toc40366195"/>
      <w:bookmarkStart w:id="3133" w:name="_Toc40369741"/>
      <w:bookmarkStart w:id="3134" w:name="_Toc40427897"/>
      <w:bookmarkStart w:id="3135" w:name="_Toc40458151"/>
      <w:bookmarkStart w:id="3136" w:name="_Toc40461920"/>
      <w:bookmarkStart w:id="3137" w:name="_Toc40474475"/>
      <w:bookmarkStart w:id="3138" w:name="_Toc40478004"/>
      <w:bookmarkStart w:id="3139" w:name="_Toc40521584"/>
      <w:bookmarkStart w:id="3140" w:name="_Toc40530443"/>
      <w:bookmarkStart w:id="3141" w:name="_Toc42778870"/>
      <w:bookmarkStart w:id="3142" w:name="_Toc42780010"/>
      <w:bookmarkStart w:id="3143" w:name="_Toc42780439"/>
      <w:bookmarkStart w:id="3144" w:name="_Toc42786429"/>
      <w:bookmarkStart w:id="3145" w:name="_Toc42791922"/>
      <w:bookmarkStart w:id="3146" w:name="_Toc42792084"/>
      <w:bookmarkStart w:id="3147" w:name="_Toc43117891"/>
      <w:bookmarkStart w:id="3148" w:name="_Toc43121530"/>
      <w:bookmarkStart w:id="3149" w:name="_Toc43122735"/>
      <w:bookmarkStart w:id="3150" w:name="_Toc43127790"/>
      <w:bookmarkStart w:id="3151" w:name="_Ref45138625"/>
      <w:bookmarkStart w:id="3152" w:name="_Ref45138649"/>
      <w:bookmarkStart w:id="3153" w:name="_Toc45520519"/>
      <w:bookmarkStart w:id="3154" w:name="_Toc46133631"/>
      <w:r w:rsidRPr="00027624">
        <w:rPr>
          <w:rStyle w:val="Heading3Char"/>
          <w:b w:val="0"/>
          <w:color w:val="144E60" w:themeColor="accent1"/>
          <w:sz w:val="48"/>
          <w:szCs w:val="36"/>
        </w:rPr>
        <w:lastRenderedPageBreak/>
        <w:t>Aboriginal and Torres Strait Islander people</w:t>
      </w:r>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p>
    <w:tbl>
      <w:tblPr>
        <w:tblW w:w="5000" w:type="pct"/>
        <w:shd w:val="clear" w:color="auto" w:fill="DFD7E7" w:themeFill="accent3" w:themeFillTint="33"/>
        <w:tblLook w:val="01E0" w:firstRow="1" w:lastRow="1" w:firstColumn="1" w:lastColumn="1" w:noHBand="0" w:noVBand="0"/>
      </w:tblPr>
      <w:tblGrid>
        <w:gridCol w:w="9070"/>
      </w:tblGrid>
      <w:tr w:rsidR="00B3792F" w:rsidRPr="00027624" w14:paraId="2E4B042D" w14:textId="77777777" w:rsidTr="00B3792F">
        <w:tc>
          <w:tcPr>
            <w:tcW w:w="5000" w:type="pct"/>
            <w:shd w:val="clear" w:color="auto" w:fill="DFD7E7" w:themeFill="accent3" w:themeFillTint="33"/>
          </w:tcPr>
          <w:p w14:paraId="484F8F0A" w14:textId="77777777" w:rsidR="00B3792F" w:rsidRPr="00027624" w:rsidRDefault="00B3792F" w:rsidP="00582C3E">
            <w:pPr>
              <w:pStyle w:val="BoxHeading"/>
            </w:pPr>
            <w:r w:rsidRPr="00027624">
              <w:t>Section summary</w:t>
            </w:r>
          </w:p>
          <w:p w14:paraId="2F2F3D0A" w14:textId="77777777" w:rsidR="00B3792F" w:rsidRPr="00027624" w:rsidRDefault="00B3792F" w:rsidP="00B3792F">
            <w:pPr>
              <w:pStyle w:val="BoxBullet"/>
            </w:pPr>
            <w:r w:rsidRPr="00027624">
              <w:rPr>
                <w:b/>
                <w:bCs/>
              </w:rPr>
              <w:t>Lower life expectancies for Aboriginal and Torres Strait Islander people result in shorter retirements and unspent retirement savings.</w:t>
            </w:r>
            <w:r w:rsidRPr="00027624">
              <w:t xml:space="preserve"> Many are unlikely to reach superannuation preservation age, while those reaching retirement have less time to spend their superannuation and spend less time on the Age Pension, compared with the total population. </w:t>
            </w:r>
          </w:p>
          <w:p w14:paraId="42456A45" w14:textId="77777777" w:rsidR="00B3792F" w:rsidRPr="00027624" w:rsidRDefault="00B3792F" w:rsidP="00B3792F">
            <w:pPr>
              <w:pStyle w:val="BoxBullet"/>
            </w:pPr>
            <w:r w:rsidRPr="00027624">
              <w:rPr>
                <w:b/>
                <w:bCs/>
              </w:rPr>
              <w:t>Working</w:t>
            </w:r>
            <w:r w:rsidR="00A8443E" w:rsidRPr="00027624">
              <w:rPr>
                <w:b/>
                <w:bCs/>
              </w:rPr>
              <w:noBreakHyphen/>
            </w:r>
            <w:r w:rsidRPr="00027624">
              <w:rPr>
                <w:b/>
                <w:bCs/>
              </w:rPr>
              <w:t xml:space="preserve">life disadvantages for Aboriginal and Torres Strait Islander people </w:t>
            </w:r>
            <w:r w:rsidRPr="00027624">
              <w:rPr>
                <w:b/>
              </w:rPr>
              <w:t>result in significantly lower superannuation balances and coverage, lower private savings and lower levels of home ownership than the total population.</w:t>
            </w:r>
            <w:r w:rsidRPr="00027624">
              <w:t xml:space="preserve"> Like many in the population, Aboriginal and Torres Strait Islander people are often unaware they have superannuation and have multiple superannuation accounts. </w:t>
            </w:r>
          </w:p>
          <w:p w14:paraId="7C0AB766" w14:textId="77777777" w:rsidR="00B3792F" w:rsidRPr="00027624" w:rsidRDefault="00B3792F" w:rsidP="00B3792F">
            <w:pPr>
              <w:pStyle w:val="BoxBullet"/>
            </w:pPr>
            <w:r w:rsidRPr="00027624">
              <w:rPr>
                <w:b/>
                <w:bCs/>
              </w:rPr>
              <w:t>In retirement, the Age Pension and other income support payments significantly reduce income inequality between Aboriginal and Torres Strait Islander and non</w:t>
            </w:r>
            <w:r w:rsidR="00A8443E" w:rsidRPr="00027624">
              <w:rPr>
                <w:b/>
                <w:bCs/>
              </w:rPr>
              <w:noBreakHyphen/>
            </w:r>
            <w:r w:rsidRPr="00027624">
              <w:rPr>
                <w:b/>
                <w:bCs/>
              </w:rPr>
              <w:t>Indigenous people, compared with working life</w:t>
            </w:r>
            <w:r w:rsidRPr="00027624">
              <w:rPr>
                <w:b/>
              </w:rPr>
              <w:t>.</w:t>
            </w:r>
            <w:r w:rsidRPr="00027624">
              <w:t xml:space="preserve"> Aboriginal and Torres Strait Islander people are more likely to receive the Age Pension at the maximum rate than non</w:t>
            </w:r>
            <w:r w:rsidR="00A8443E" w:rsidRPr="00027624">
              <w:noBreakHyphen/>
            </w:r>
            <w:r w:rsidRPr="00027624">
              <w:t xml:space="preserve">Indigenous people. </w:t>
            </w:r>
          </w:p>
          <w:p w14:paraId="422AB832" w14:textId="77777777" w:rsidR="00B3792F" w:rsidRPr="00027624" w:rsidRDefault="00B3792F" w:rsidP="00B3792F">
            <w:pPr>
              <w:pStyle w:val="BoxBullet"/>
            </w:pPr>
            <w:r w:rsidRPr="00027624">
              <w:rPr>
                <w:b/>
                <w:bCs/>
              </w:rPr>
              <w:t xml:space="preserve">Low Aboriginal and Torres Strait Islander engagement with the retirement income system is due to a retirement income system not designed for their needs. </w:t>
            </w:r>
            <w:r w:rsidRPr="00027624">
              <w:t xml:space="preserve">Access issues include physical distance to, and exclusion from, financial services; identification challenges; and superannuation laws that do not acknowledge kinship structures. Issues with engagement are compounded by mistrust in the system due to historical injustices, and lower levels of financial literacy. </w:t>
            </w:r>
          </w:p>
          <w:p w14:paraId="7BE91E9E" w14:textId="77777777" w:rsidR="00B3792F" w:rsidRPr="00027624" w:rsidRDefault="00B3792F" w:rsidP="00B3792F">
            <w:pPr>
              <w:pStyle w:val="BoxBullet"/>
            </w:pPr>
            <w:r w:rsidRPr="00027624">
              <w:rPr>
                <w:b/>
                <w:bCs/>
              </w:rPr>
              <w:t xml:space="preserve">Retirement outcomes for Aboriginal and Torres Strait Islander people may improve </w:t>
            </w:r>
            <w:r w:rsidRPr="00027624">
              <w:rPr>
                <w:b/>
              </w:rPr>
              <w:t>as their life expectancy improves.</w:t>
            </w:r>
            <w:r w:rsidRPr="00027624">
              <w:t xml:space="preserve"> An emerging generation of Aboriginal and Torres Strait Islander people have capacity to save for their retirement and will need support to engage with the retirement income system. But, without increases in labour force participation and wages, retirement outcomes of Aboriginal and Torres Strait Islander people will continue to lag behind the total population. </w:t>
            </w:r>
          </w:p>
          <w:p w14:paraId="3948860A" w14:textId="77777777" w:rsidR="00B3792F" w:rsidRPr="00027624" w:rsidRDefault="00B3792F" w:rsidP="00B3792F">
            <w:pPr>
              <w:pStyle w:val="BoxBullet"/>
            </w:pPr>
            <w:r w:rsidRPr="00027624">
              <w:rPr>
                <w:b/>
                <w:bCs/>
              </w:rPr>
              <w:t>Limited and poor</w:t>
            </w:r>
            <w:r w:rsidR="00A8443E" w:rsidRPr="00027624">
              <w:rPr>
                <w:b/>
                <w:bCs/>
              </w:rPr>
              <w:noBreakHyphen/>
            </w:r>
            <w:r w:rsidRPr="00027624">
              <w:rPr>
                <w:b/>
                <w:bCs/>
              </w:rPr>
              <w:t>quality data</w:t>
            </w:r>
            <w:r w:rsidRPr="00027624">
              <w:rPr>
                <w:b/>
              </w:rPr>
              <w:t xml:space="preserve"> prevent comprehensive analysis of Aboriginal and Torres Strait Islander people</w:t>
            </w:r>
            <w:r w:rsidR="00A8443E" w:rsidRPr="00027624">
              <w:rPr>
                <w:b/>
              </w:rPr>
              <w:t>’</w:t>
            </w:r>
            <w:r w:rsidRPr="00027624">
              <w:rPr>
                <w:b/>
              </w:rPr>
              <w:t>s retirement outcomes.</w:t>
            </w:r>
            <w:r w:rsidRPr="00027624">
              <w:t xml:space="preserve"> Analysis is limited to averages or generalisations.</w:t>
            </w:r>
          </w:p>
        </w:tc>
      </w:tr>
    </w:tbl>
    <w:p w14:paraId="0EEC0453" w14:textId="77777777" w:rsidR="00B3792F" w:rsidRPr="00027624" w:rsidRDefault="00B3792F" w:rsidP="00B3792F">
      <w:pPr>
        <w:pStyle w:val="Heading2"/>
      </w:pPr>
      <w:bookmarkStart w:id="3155" w:name="_Toc40366196"/>
      <w:bookmarkStart w:id="3156" w:name="_Toc40369742"/>
      <w:bookmarkStart w:id="3157" w:name="_Toc40427898"/>
      <w:bookmarkStart w:id="3158" w:name="_Toc40458152"/>
      <w:bookmarkStart w:id="3159" w:name="_Toc40461921"/>
      <w:bookmarkStart w:id="3160" w:name="_Toc40474476"/>
      <w:bookmarkStart w:id="3161" w:name="_Toc40478005"/>
      <w:bookmarkStart w:id="3162" w:name="_Toc40521585"/>
      <w:bookmarkStart w:id="3163" w:name="_Toc40530444"/>
      <w:bookmarkStart w:id="3164" w:name="_Toc42778871"/>
      <w:bookmarkStart w:id="3165" w:name="_Toc42780011"/>
      <w:bookmarkStart w:id="3166" w:name="_Toc42780440"/>
      <w:bookmarkStart w:id="3167" w:name="_Toc42786430"/>
      <w:bookmarkStart w:id="3168" w:name="_Toc42791923"/>
      <w:bookmarkStart w:id="3169" w:name="_Toc42792085"/>
      <w:bookmarkStart w:id="3170" w:name="_Toc43117892"/>
      <w:bookmarkStart w:id="3171" w:name="_Toc43121531"/>
      <w:bookmarkStart w:id="3172" w:name="_Toc43122736"/>
      <w:bookmarkStart w:id="3173" w:name="_Toc43127791"/>
      <w:bookmarkStart w:id="3174" w:name="_Toc45520520"/>
      <w:bookmarkStart w:id="3175" w:name="_Toc46133632"/>
      <w:r w:rsidRPr="00027624">
        <w:t>Outline of this section</w:t>
      </w:r>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p>
    <w:p w14:paraId="0F6E8CB1" w14:textId="77777777" w:rsidR="00B3792F" w:rsidRPr="00027624" w:rsidRDefault="00B3792F" w:rsidP="00B3792F">
      <w:r w:rsidRPr="00027624">
        <w:t xml:space="preserve">This section focuses on two issues in relation to Aboriginal and Torres Strait Islander retirement outcomes: </w:t>
      </w:r>
    </w:p>
    <w:p w14:paraId="1F18200B" w14:textId="77777777" w:rsidR="00B3792F" w:rsidRPr="00027624" w:rsidRDefault="00B3792F" w:rsidP="00FC7361">
      <w:pPr>
        <w:numPr>
          <w:ilvl w:val="0"/>
          <w:numId w:val="52"/>
        </w:numPr>
      </w:pPr>
      <w:r w:rsidRPr="00027624">
        <w:t xml:space="preserve">The role of retirement income system policy settings, including how they interact with the various disadvantages Aboriginal and Torres Strait Islander people experience. </w:t>
      </w:r>
    </w:p>
    <w:p w14:paraId="7B92133E" w14:textId="77777777" w:rsidR="00B3792F" w:rsidRPr="00027624" w:rsidRDefault="00B3792F" w:rsidP="00FC7361">
      <w:pPr>
        <w:numPr>
          <w:ilvl w:val="0"/>
          <w:numId w:val="52"/>
        </w:numPr>
      </w:pPr>
      <w:r w:rsidRPr="00027624">
        <w:t xml:space="preserve">The difficulties some Aboriginal and Torres Strait Islander people face in engaging with the retirement income system. </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64660C48" w14:textId="77777777" w:rsidTr="00B3792F">
        <w:tc>
          <w:tcPr>
            <w:tcW w:w="5000" w:type="pct"/>
            <w:shd w:val="clear" w:color="auto" w:fill="FFF8EA"/>
          </w:tcPr>
          <w:p w14:paraId="2DF93C24" w14:textId="77777777" w:rsidR="00B3792F" w:rsidRPr="00027624" w:rsidRDefault="00B3792F" w:rsidP="00582C3E">
            <w:pPr>
              <w:pStyle w:val="BoxHeading"/>
            </w:pPr>
            <w:bookmarkStart w:id="3176" w:name="_Ref35513488"/>
            <w:r w:rsidRPr="00027624">
              <w:t>Stakeholder views on retirement income equity for Aboriginal and Torres Strait Islander people</w:t>
            </w:r>
            <w:bookmarkEnd w:id="3176"/>
          </w:p>
          <w:p w14:paraId="4D850C6A" w14:textId="77777777" w:rsidR="00B3792F" w:rsidRPr="00027624" w:rsidRDefault="00B3792F" w:rsidP="00B3792F">
            <w:r w:rsidRPr="00027624">
              <w:t xml:space="preserve">A few submissions, and discussions with </w:t>
            </w:r>
            <w:r w:rsidR="00D06555" w:rsidRPr="00027624">
              <w:t>representatives</w:t>
            </w:r>
            <w:r w:rsidRPr="00027624">
              <w:t xml:space="preserve"> of First Nations Foundation and ASIC</w:t>
            </w:r>
            <w:r w:rsidR="00A8443E" w:rsidRPr="00027624">
              <w:t>’</w:t>
            </w:r>
            <w:r w:rsidRPr="00027624">
              <w:t xml:space="preserve">s Indigenous Outreach Program, identified disadvantages faced by Aboriginal and Torres Strait Islander people in retirement. </w:t>
            </w:r>
          </w:p>
          <w:p w14:paraId="043A2876" w14:textId="77777777" w:rsidR="00B3792F" w:rsidRPr="00027624" w:rsidRDefault="00B3792F" w:rsidP="00B3792F">
            <w:r w:rsidRPr="00027624">
              <w:lastRenderedPageBreak/>
              <w:t>Stakeholders noted that Aboriginal and Torres Strait Islander people:</w:t>
            </w:r>
          </w:p>
          <w:p w14:paraId="462EE433" w14:textId="77777777" w:rsidR="00B3792F" w:rsidRPr="00027624" w:rsidRDefault="00B3792F" w:rsidP="0040417A">
            <w:pPr>
              <w:pStyle w:val="BoxBullet"/>
            </w:pPr>
            <w:r w:rsidRPr="00027624">
              <w:rPr>
                <w:b/>
                <w:bCs/>
              </w:rPr>
              <w:t>Continue to be impacted in retirement by many working</w:t>
            </w:r>
            <w:r w:rsidR="00A8443E" w:rsidRPr="00027624">
              <w:rPr>
                <w:b/>
                <w:bCs/>
              </w:rPr>
              <w:noBreakHyphen/>
            </w:r>
            <w:r w:rsidRPr="00027624">
              <w:rPr>
                <w:b/>
                <w:bCs/>
              </w:rPr>
              <w:t>life inequities</w:t>
            </w:r>
            <w:r w:rsidRPr="00027624">
              <w:t xml:space="preserve">; in particular, lower rates of home ownership, lower wages, lower rates of labour force participation, lower rates of financial literacy, higher rates of disability and involuntary retirement, and lower life expectancies. For example, lower life expectancies mean policy settings, such as the Age Pension eligibility age and the superannuation preservation age, may exacerbate inequity in retirement. </w:t>
            </w:r>
          </w:p>
          <w:p w14:paraId="0FF54E40" w14:textId="77777777" w:rsidR="00B3792F" w:rsidRPr="00027624" w:rsidRDefault="00B3792F" w:rsidP="0040417A">
            <w:pPr>
              <w:pStyle w:val="BoxBullet"/>
            </w:pPr>
            <w:r w:rsidRPr="00027624">
              <w:rPr>
                <w:b/>
                <w:bCs/>
              </w:rPr>
              <w:t>Have limited private savings and lower superannuation balances</w:t>
            </w:r>
            <w:r w:rsidRPr="00027624">
              <w:t xml:space="preserve"> </w:t>
            </w:r>
            <w:r w:rsidRPr="00027624">
              <w:rPr>
                <w:b/>
                <w:bCs/>
              </w:rPr>
              <w:t>and coverage than the wider population</w:t>
            </w:r>
            <w:r w:rsidRPr="00027624">
              <w:t>, including more people likely earning below the $450</w:t>
            </w:r>
            <w:r w:rsidR="00A8443E" w:rsidRPr="00027624">
              <w:noBreakHyphen/>
            </w:r>
            <w:r w:rsidRPr="00027624">
              <w:t>a</w:t>
            </w:r>
            <w:r w:rsidR="00A8443E" w:rsidRPr="00027624">
              <w:noBreakHyphen/>
            </w:r>
            <w:r w:rsidRPr="00027624">
              <w:t>month threshold or taking part in the C</w:t>
            </w:r>
            <w:r w:rsidR="00D06555" w:rsidRPr="00027624">
              <w:t xml:space="preserve">ommunity </w:t>
            </w:r>
            <w:r w:rsidRPr="00027624">
              <w:t>D</w:t>
            </w:r>
            <w:r w:rsidR="00D06555" w:rsidRPr="00027624">
              <w:t xml:space="preserve">evelopment </w:t>
            </w:r>
            <w:r w:rsidRPr="00027624">
              <w:t>P</w:t>
            </w:r>
            <w:r w:rsidR="00D06555" w:rsidRPr="00027624">
              <w:t>rogram</w:t>
            </w:r>
            <w:r w:rsidRPr="00027624">
              <w:t xml:space="preserve">, which do not attract the SG. </w:t>
            </w:r>
          </w:p>
          <w:p w14:paraId="50C798EF" w14:textId="77777777" w:rsidR="00B3792F" w:rsidRPr="00027624" w:rsidRDefault="00B3792F" w:rsidP="0040417A">
            <w:pPr>
              <w:pStyle w:val="BoxBullet"/>
            </w:pPr>
            <w:r w:rsidRPr="00027624">
              <w:rPr>
                <w:b/>
                <w:bCs/>
              </w:rPr>
              <w:t>Face</w:t>
            </w:r>
            <w:r w:rsidRPr="00027624">
              <w:rPr>
                <w:b/>
              </w:rPr>
              <w:t xml:space="preserve"> issues in engaging with the retirement income system</w:t>
            </w:r>
            <w:r w:rsidRPr="00027624">
              <w:t xml:space="preserve">, exacerbated by factors such as remoteness, language differences, mistrust in the system stemming from historical injustices, challenges in proving identity, lower rates of financial literacy and a system that does not recognise kinship structures. </w:t>
            </w:r>
          </w:p>
          <w:p w14:paraId="1442DEB2" w14:textId="77777777" w:rsidR="00B3792F" w:rsidRPr="00027624" w:rsidRDefault="00B3792F" w:rsidP="00B3792F">
            <w:r w:rsidRPr="00027624">
              <w:t>Stakeholders noted the challenges in providing quantitative evidence, given the limited superannuation and savings data available on Aboriginal and Torres Strait Islander people. Some cited anecdotal evidence of Aboriginal and Torres Strait Islander disadvantage in retirement.</w:t>
            </w:r>
          </w:p>
        </w:tc>
      </w:tr>
    </w:tbl>
    <w:p w14:paraId="39F21A25" w14:textId="77777777" w:rsidR="00B3792F" w:rsidRPr="00027624" w:rsidRDefault="00B3792F" w:rsidP="00B3792F">
      <w:pPr>
        <w:pStyle w:val="Heading2"/>
      </w:pPr>
      <w:bookmarkStart w:id="3177" w:name="_Toc40366197"/>
      <w:bookmarkStart w:id="3178" w:name="_Toc40369743"/>
      <w:bookmarkStart w:id="3179" w:name="_Toc40427899"/>
      <w:bookmarkStart w:id="3180" w:name="_Toc40458153"/>
      <w:bookmarkStart w:id="3181" w:name="_Toc40461922"/>
      <w:bookmarkStart w:id="3182" w:name="_Toc40474477"/>
      <w:bookmarkStart w:id="3183" w:name="_Toc40478006"/>
      <w:bookmarkStart w:id="3184" w:name="_Toc40521586"/>
      <w:bookmarkStart w:id="3185" w:name="_Toc40530445"/>
      <w:bookmarkStart w:id="3186" w:name="_Toc42778872"/>
      <w:bookmarkStart w:id="3187" w:name="_Toc42780012"/>
      <w:bookmarkStart w:id="3188" w:name="_Toc42780441"/>
      <w:bookmarkStart w:id="3189" w:name="_Toc42786431"/>
      <w:bookmarkStart w:id="3190" w:name="_Toc42791924"/>
      <w:bookmarkStart w:id="3191" w:name="_Toc42792086"/>
      <w:bookmarkStart w:id="3192" w:name="_Toc43117893"/>
      <w:bookmarkStart w:id="3193" w:name="_Toc43121532"/>
      <w:bookmarkStart w:id="3194" w:name="_Toc43122737"/>
      <w:bookmarkStart w:id="3195" w:name="_Toc43127792"/>
      <w:bookmarkStart w:id="3196" w:name="_Toc45520521"/>
      <w:bookmarkStart w:id="3197" w:name="_Toc46133633"/>
      <w:r w:rsidRPr="00027624">
        <w:lastRenderedPageBreak/>
        <w:t>Differences in life expectancies</w:t>
      </w:r>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r w:rsidRPr="00027624">
        <w:t xml:space="preserve"> </w:t>
      </w:r>
    </w:p>
    <w:p w14:paraId="17E1DE2D" w14:textId="7F16E9A5" w:rsidR="00B3792F" w:rsidRPr="00027624" w:rsidRDefault="00B3792F" w:rsidP="00B3792F">
      <w:r w:rsidRPr="00027624">
        <w:t>Compared with the total Australian population, Aboriginal and Torres Strait Islander people have lower life expectancies at birth (</w:t>
      </w:r>
      <w:r w:rsidRPr="00027624">
        <w:fldChar w:fldCharType="begin"/>
      </w:r>
      <w:r w:rsidRPr="00027624">
        <w:instrText xml:space="preserve"> REF _Ref35514005 \r \h  \* MERGEFORMAT </w:instrText>
      </w:r>
      <w:r w:rsidRPr="00027624">
        <w:fldChar w:fldCharType="separate"/>
      </w:r>
      <w:r w:rsidR="00891058">
        <w:t>Table 3F-1</w:t>
      </w:r>
      <w:r w:rsidRPr="00027624">
        <w:fldChar w:fldCharType="end"/>
      </w:r>
      <w:r w:rsidRPr="00027624">
        <w:t>). At age 60, the difference in life expectancies is smaller but still significant. Aboriginal and Torres Strait Islander life expectancy is particularly low in remote and very remote areas, where many people are not expected to live long enough to receive the Age Pension.</w:t>
      </w:r>
    </w:p>
    <w:p w14:paraId="4F152AEE" w14:textId="77777777" w:rsidR="00B3792F" w:rsidRPr="00027624" w:rsidRDefault="00B3792F" w:rsidP="00FC7361">
      <w:pPr>
        <w:pStyle w:val="TableMainHeading"/>
        <w:numPr>
          <w:ilvl w:val="3"/>
          <w:numId w:val="50"/>
        </w:numPr>
      </w:pPr>
      <w:bookmarkStart w:id="3198" w:name="_Ref33701165"/>
      <w:bookmarkStart w:id="3199" w:name="_Ref35514005"/>
      <w:bookmarkStart w:id="3200" w:name="_Ref44523915"/>
      <w:bookmarkEnd w:id="3198"/>
      <w:r w:rsidRPr="00027624">
        <w:t>Life expectancy at birth and at age 60, by Indigenous status and remoteness</w:t>
      </w:r>
      <w:bookmarkEnd w:id="3199"/>
      <w:bookmarkEnd w:id="3200"/>
    </w:p>
    <w:tbl>
      <w:tblPr>
        <w:tblW w:w="5000" w:type="pct"/>
        <w:tblLook w:val="01E0" w:firstRow="1" w:lastRow="1" w:firstColumn="1" w:lastColumn="1" w:noHBand="0" w:noVBand="0"/>
      </w:tblPr>
      <w:tblGrid>
        <w:gridCol w:w="3122"/>
        <w:gridCol w:w="1491"/>
        <w:gridCol w:w="1495"/>
        <w:gridCol w:w="1491"/>
        <w:gridCol w:w="1471"/>
      </w:tblGrid>
      <w:tr w:rsidR="00B3792F" w:rsidRPr="00027624" w14:paraId="73392E0D" w14:textId="77777777" w:rsidTr="00B3792F">
        <w:trPr>
          <w:trHeight w:val="270"/>
          <w:tblHeader/>
        </w:trPr>
        <w:tc>
          <w:tcPr>
            <w:tcW w:w="1721" w:type="pct"/>
            <w:shd w:val="clear" w:color="auto" w:fill="E5E5E5"/>
          </w:tcPr>
          <w:p w14:paraId="7A1CCA58" w14:textId="77777777" w:rsidR="00B3792F" w:rsidRPr="00027624" w:rsidRDefault="00B3792F" w:rsidP="00B3792F">
            <w:pPr>
              <w:pStyle w:val="TableColumnHeadingLeft"/>
            </w:pPr>
          </w:p>
        </w:tc>
        <w:tc>
          <w:tcPr>
            <w:tcW w:w="1646" w:type="pct"/>
            <w:gridSpan w:val="2"/>
            <w:shd w:val="clear" w:color="auto" w:fill="E5E5E5"/>
          </w:tcPr>
          <w:p w14:paraId="3D8B82A9" w14:textId="77777777" w:rsidR="00B3792F" w:rsidRPr="00027624" w:rsidRDefault="00B3792F" w:rsidP="00B3792F">
            <w:pPr>
              <w:pStyle w:val="TableColumnHeadingCentred"/>
            </w:pPr>
            <w:r w:rsidRPr="00027624">
              <w:t>Life expectancy at birth (years)</w:t>
            </w:r>
          </w:p>
        </w:tc>
        <w:tc>
          <w:tcPr>
            <w:tcW w:w="1633" w:type="pct"/>
            <w:gridSpan w:val="2"/>
            <w:shd w:val="clear" w:color="auto" w:fill="E5E5E5"/>
          </w:tcPr>
          <w:p w14:paraId="2C206E6E" w14:textId="77777777" w:rsidR="00B3792F" w:rsidRPr="00027624" w:rsidRDefault="00B3792F" w:rsidP="00B3792F">
            <w:pPr>
              <w:pStyle w:val="TableColumnHeadingCentred"/>
            </w:pPr>
            <w:r w:rsidRPr="00027624">
              <w:t>Life expectancy at 60 (years)</w:t>
            </w:r>
          </w:p>
        </w:tc>
      </w:tr>
      <w:tr w:rsidR="00B3792F" w:rsidRPr="00027624" w14:paraId="62422997" w14:textId="77777777" w:rsidTr="00B3792F">
        <w:trPr>
          <w:trHeight w:val="270"/>
        </w:trPr>
        <w:tc>
          <w:tcPr>
            <w:tcW w:w="1721" w:type="pct"/>
          </w:tcPr>
          <w:p w14:paraId="73A89C7C" w14:textId="77777777" w:rsidR="00B3792F" w:rsidRPr="00027624" w:rsidRDefault="00B3792F" w:rsidP="00B3792F">
            <w:pPr>
              <w:pStyle w:val="TableTextLeft"/>
            </w:pPr>
            <w:r w:rsidRPr="00027624">
              <w:rPr>
                <w:b/>
                <w:bCs/>
              </w:rPr>
              <w:t> </w:t>
            </w:r>
          </w:p>
        </w:tc>
        <w:tc>
          <w:tcPr>
            <w:tcW w:w="822" w:type="pct"/>
          </w:tcPr>
          <w:p w14:paraId="26883350" w14:textId="77777777" w:rsidR="00B3792F" w:rsidRPr="00027624" w:rsidRDefault="00B3792F" w:rsidP="00B3792F">
            <w:pPr>
              <w:pStyle w:val="TableColumnHeadingCentred"/>
              <w:rPr>
                <w:b w:val="0"/>
              </w:rPr>
            </w:pPr>
            <w:r w:rsidRPr="00027624">
              <w:t>Men</w:t>
            </w:r>
          </w:p>
        </w:tc>
        <w:tc>
          <w:tcPr>
            <w:tcW w:w="824" w:type="pct"/>
          </w:tcPr>
          <w:p w14:paraId="52255E0D" w14:textId="77777777" w:rsidR="00B3792F" w:rsidRPr="00027624" w:rsidRDefault="00B3792F" w:rsidP="00B3792F">
            <w:pPr>
              <w:pStyle w:val="TableColumnHeadingCentred"/>
              <w:rPr>
                <w:b w:val="0"/>
              </w:rPr>
            </w:pPr>
            <w:r w:rsidRPr="00027624">
              <w:t>Women</w:t>
            </w:r>
          </w:p>
        </w:tc>
        <w:tc>
          <w:tcPr>
            <w:tcW w:w="822" w:type="pct"/>
          </w:tcPr>
          <w:p w14:paraId="7E95F854" w14:textId="77777777" w:rsidR="00B3792F" w:rsidRPr="00027624" w:rsidRDefault="00B3792F" w:rsidP="00B3792F">
            <w:pPr>
              <w:pStyle w:val="TableColumnHeadingCentred"/>
              <w:rPr>
                <w:b w:val="0"/>
              </w:rPr>
            </w:pPr>
            <w:r w:rsidRPr="00027624">
              <w:t>Men</w:t>
            </w:r>
          </w:p>
        </w:tc>
        <w:tc>
          <w:tcPr>
            <w:tcW w:w="811" w:type="pct"/>
          </w:tcPr>
          <w:p w14:paraId="5A64A606" w14:textId="77777777" w:rsidR="00B3792F" w:rsidRPr="00027624" w:rsidRDefault="00B3792F" w:rsidP="00B3792F">
            <w:pPr>
              <w:pStyle w:val="TableColumnHeadingCentred"/>
              <w:rPr>
                <w:b w:val="0"/>
              </w:rPr>
            </w:pPr>
            <w:r w:rsidRPr="00027624">
              <w:t>Women</w:t>
            </w:r>
          </w:p>
        </w:tc>
      </w:tr>
      <w:tr w:rsidR="00B3792F" w:rsidRPr="00027624" w14:paraId="2217AF94" w14:textId="77777777" w:rsidTr="00B3792F">
        <w:trPr>
          <w:trHeight w:val="270"/>
        </w:trPr>
        <w:tc>
          <w:tcPr>
            <w:tcW w:w="1721" w:type="pct"/>
          </w:tcPr>
          <w:p w14:paraId="1F4277E6" w14:textId="77777777" w:rsidR="00B3792F" w:rsidRPr="00027624" w:rsidRDefault="00B3792F" w:rsidP="00B3792F">
            <w:pPr>
              <w:pStyle w:val="TableTextLeft"/>
            </w:pPr>
            <w:r w:rsidRPr="00027624">
              <w:t>All people</w:t>
            </w:r>
            <w:r w:rsidR="00A8443E" w:rsidRPr="00027624">
              <w:t xml:space="preserve"> — </w:t>
            </w:r>
            <w:r w:rsidRPr="00027624">
              <w:t>Australia</w:t>
            </w:r>
          </w:p>
        </w:tc>
        <w:tc>
          <w:tcPr>
            <w:tcW w:w="822" w:type="pct"/>
          </w:tcPr>
          <w:p w14:paraId="53FE7790" w14:textId="77777777" w:rsidR="00B3792F" w:rsidRPr="00027624" w:rsidRDefault="00B3792F" w:rsidP="00B3792F">
            <w:pPr>
              <w:pStyle w:val="TableTextCentered"/>
            </w:pPr>
            <w:r w:rsidRPr="00027624">
              <w:t>80.5</w:t>
            </w:r>
          </w:p>
        </w:tc>
        <w:tc>
          <w:tcPr>
            <w:tcW w:w="824" w:type="pct"/>
          </w:tcPr>
          <w:p w14:paraId="643DB450" w14:textId="77777777" w:rsidR="00B3792F" w:rsidRPr="00027624" w:rsidRDefault="00B3792F" w:rsidP="00B3792F">
            <w:pPr>
              <w:pStyle w:val="TableTextCentered"/>
            </w:pPr>
            <w:r w:rsidRPr="00027624">
              <w:t>84.6</w:t>
            </w:r>
          </w:p>
        </w:tc>
        <w:tc>
          <w:tcPr>
            <w:tcW w:w="822" w:type="pct"/>
          </w:tcPr>
          <w:p w14:paraId="2E3B5B92" w14:textId="77777777" w:rsidR="00B3792F" w:rsidRPr="00027624" w:rsidRDefault="00B3792F" w:rsidP="00B3792F">
            <w:pPr>
              <w:pStyle w:val="TableTextCentered"/>
            </w:pPr>
            <w:r w:rsidRPr="00027624">
              <w:t>23.8</w:t>
            </w:r>
          </w:p>
        </w:tc>
        <w:tc>
          <w:tcPr>
            <w:tcW w:w="811" w:type="pct"/>
          </w:tcPr>
          <w:p w14:paraId="3634C934" w14:textId="77777777" w:rsidR="00B3792F" w:rsidRPr="00027624" w:rsidRDefault="00B3792F" w:rsidP="00B3792F">
            <w:pPr>
              <w:pStyle w:val="TableTextCentered"/>
            </w:pPr>
            <w:r w:rsidRPr="00027624">
              <w:t>26.8</w:t>
            </w:r>
          </w:p>
        </w:tc>
      </w:tr>
      <w:tr w:rsidR="00B3792F" w:rsidRPr="00027624" w14:paraId="193B7DE2" w14:textId="77777777" w:rsidTr="00B3792F">
        <w:trPr>
          <w:trHeight w:val="270"/>
        </w:trPr>
        <w:tc>
          <w:tcPr>
            <w:tcW w:w="1721" w:type="pct"/>
            <w:tcBorders>
              <w:bottom w:val="single" w:sz="4" w:space="0" w:color="auto"/>
            </w:tcBorders>
          </w:tcPr>
          <w:p w14:paraId="01B77286" w14:textId="77777777" w:rsidR="00B3792F" w:rsidRPr="00027624" w:rsidRDefault="00B3792F" w:rsidP="00B3792F">
            <w:pPr>
              <w:pStyle w:val="TableTextLeft"/>
            </w:pPr>
            <w:r w:rsidRPr="00027624">
              <w:t>Aboriginal and Torres Strait Islander</w:t>
            </w:r>
            <w:r w:rsidR="00A8443E" w:rsidRPr="00027624">
              <w:t xml:space="preserve"> — </w:t>
            </w:r>
            <w:r w:rsidRPr="00027624">
              <w:t>Australia</w:t>
            </w:r>
          </w:p>
        </w:tc>
        <w:tc>
          <w:tcPr>
            <w:tcW w:w="822" w:type="pct"/>
            <w:tcBorders>
              <w:bottom w:val="single" w:sz="4" w:space="0" w:color="auto"/>
            </w:tcBorders>
          </w:tcPr>
          <w:p w14:paraId="75B1232B" w14:textId="77777777" w:rsidR="00B3792F" w:rsidRPr="00027624" w:rsidRDefault="00B3792F" w:rsidP="00B3792F">
            <w:pPr>
              <w:pStyle w:val="TableTextCentered"/>
            </w:pPr>
            <w:r w:rsidRPr="00027624">
              <w:t>71.6</w:t>
            </w:r>
          </w:p>
        </w:tc>
        <w:tc>
          <w:tcPr>
            <w:tcW w:w="824" w:type="pct"/>
            <w:tcBorders>
              <w:bottom w:val="single" w:sz="4" w:space="0" w:color="auto"/>
            </w:tcBorders>
          </w:tcPr>
          <w:p w14:paraId="279F1413" w14:textId="77777777" w:rsidR="00B3792F" w:rsidRPr="00027624" w:rsidRDefault="00B3792F" w:rsidP="00B3792F">
            <w:pPr>
              <w:pStyle w:val="TableTextCentered"/>
            </w:pPr>
            <w:r w:rsidRPr="00027624">
              <w:t>75.6</w:t>
            </w:r>
          </w:p>
        </w:tc>
        <w:tc>
          <w:tcPr>
            <w:tcW w:w="822" w:type="pct"/>
            <w:tcBorders>
              <w:bottom w:val="single" w:sz="4" w:space="0" w:color="auto"/>
            </w:tcBorders>
          </w:tcPr>
          <w:p w14:paraId="1CD1D33A" w14:textId="77777777" w:rsidR="00B3792F" w:rsidRPr="00027624" w:rsidRDefault="00B3792F" w:rsidP="00B3792F">
            <w:pPr>
              <w:pStyle w:val="TableTextCentered"/>
            </w:pPr>
            <w:r w:rsidRPr="00027624">
              <w:t>19.2</w:t>
            </w:r>
          </w:p>
        </w:tc>
        <w:tc>
          <w:tcPr>
            <w:tcW w:w="811" w:type="pct"/>
            <w:tcBorders>
              <w:bottom w:val="single" w:sz="4" w:space="0" w:color="auto"/>
            </w:tcBorders>
          </w:tcPr>
          <w:p w14:paraId="38A125FF" w14:textId="77777777" w:rsidR="00B3792F" w:rsidRPr="00027624" w:rsidRDefault="00B3792F" w:rsidP="00B3792F">
            <w:pPr>
              <w:pStyle w:val="TableTextCentered"/>
            </w:pPr>
            <w:r w:rsidRPr="00027624">
              <w:t>20.9</w:t>
            </w:r>
          </w:p>
        </w:tc>
      </w:tr>
      <w:tr w:rsidR="00B3792F" w:rsidRPr="00027624" w14:paraId="6453C5BE" w14:textId="77777777" w:rsidTr="00B3792F">
        <w:trPr>
          <w:trHeight w:val="270"/>
        </w:trPr>
        <w:tc>
          <w:tcPr>
            <w:tcW w:w="1721" w:type="pct"/>
            <w:tcBorders>
              <w:top w:val="single" w:sz="4" w:space="0" w:color="auto"/>
            </w:tcBorders>
          </w:tcPr>
          <w:p w14:paraId="1A58FD34" w14:textId="77777777" w:rsidR="00B3792F" w:rsidRPr="00027624" w:rsidRDefault="00B3792F" w:rsidP="00B3792F">
            <w:pPr>
              <w:pStyle w:val="TableTextLeft"/>
            </w:pPr>
            <w:r w:rsidRPr="00027624">
              <w:t>Aboriginal and Torres Strait Islander</w:t>
            </w:r>
            <w:r w:rsidR="00A8443E" w:rsidRPr="00027624">
              <w:t xml:space="preserve"> — </w:t>
            </w:r>
            <w:r w:rsidRPr="00027624">
              <w:t>Major cities</w:t>
            </w:r>
          </w:p>
        </w:tc>
        <w:tc>
          <w:tcPr>
            <w:tcW w:w="822" w:type="pct"/>
            <w:tcBorders>
              <w:top w:val="single" w:sz="4" w:space="0" w:color="auto"/>
            </w:tcBorders>
          </w:tcPr>
          <w:p w14:paraId="62F66CE9" w14:textId="77777777" w:rsidR="00B3792F" w:rsidRPr="00027624" w:rsidRDefault="00B3792F" w:rsidP="00B3792F">
            <w:pPr>
              <w:pStyle w:val="TableTextCentered"/>
            </w:pPr>
            <w:r w:rsidRPr="00027624">
              <w:t>72.1</w:t>
            </w:r>
          </w:p>
        </w:tc>
        <w:tc>
          <w:tcPr>
            <w:tcW w:w="824" w:type="pct"/>
            <w:tcBorders>
              <w:top w:val="single" w:sz="4" w:space="0" w:color="auto"/>
            </w:tcBorders>
          </w:tcPr>
          <w:p w14:paraId="22BD0941" w14:textId="77777777" w:rsidR="00B3792F" w:rsidRPr="00027624" w:rsidRDefault="00B3792F" w:rsidP="00B3792F">
            <w:pPr>
              <w:pStyle w:val="TableTextCentered"/>
            </w:pPr>
            <w:r w:rsidRPr="00027624">
              <w:t>76.5</w:t>
            </w:r>
          </w:p>
        </w:tc>
        <w:tc>
          <w:tcPr>
            <w:tcW w:w="822" w:type="pct"/>
            <w:tcBorders>
              <w:top w:val="single" w:sz="4" w:space="0" w:color="auto"/>
            </w:tcBorders>
          </w:tcPr>
          <w:p w14:paraId="4918B796" w14:textId="77777777" w:rsidR="00B3792F" w:rsidRPr="00027624" w:rsidRDefault="00B3792F" w:rsidP="00B3792F">
            <w:pPr>
              <w:pStyle w:val="TableTextCentered"/>
            </w:pPr>
            <w:r w:rsidRPr="00027624">
              <w:t>19.5</w:t>
            </w:r>
          </w:p>
        </w:tc>
        <w:tc>
          <w:tcPr>
            <w:tcW w:w="811" w:type="pct"/>
            <w:tcBorders>
              <w:top w:val="single" w:sz="4" w:space="0" w:color="auto"/>
            </w:tcBorders>
          </w:tcPr>
          <w:p w14:paraId="5447DF71" w14:textId="77777777" w:rsidR="00B3792F" w:rsidRPr="00027624" w:rsidRDefault="00B3792F" w:rsidP="00B3792F">
            <w:pPr>
              <w:pStyle w:val="TableTextCentered"/>
            </w:pPr>
            <w:r w:rsidRPr="00027624">
              <w:t>21.2</w:t>
            </w:r>
          </w:p>
        </w:tc>
      </w:tr>
      <w:tr w:rsidR="00B3792F" w:rsidRPr="00027624" w14:paraId="41CBB4DD" w14:textId="77777777" w:rsidTr="00B3792F">
        <w:trPr>
          <w:trHeight w:val="270"/>
        </w:trPr>
        <w:tc>
          <w:tcPr>
            <w:tcW w:w="1721" w:type="pct"/>
          </w:tcPr>
          <w:p w14:paraId="7CD6061A" w14:textId="77777777" w:rsidR="00B3792F" w:rsidRPr="00027624" w:rsidRDefault="00B3792F" w:rsidP="00B3792F">
            <w:pPr>
              <w:pStyle w:val="TableTextLeft"/>
            </w:pPr>
            <w:r w:rsidRPr="00027624">
              <w:t>Aboriginal and Torres Strait Islander</w:t>
            </w:r>
            <w:r w:rsidR="00A8443E" w:rsidRPr="00027624">
              <w:t xml:space="preserve"> — </w:t>
            </w:r>
            <w:r w:rsidRPr="00027624">
              <w:t>Inner and outer regional</w:t>
            </w:r>
          </w:p>
        </w:tc>
        <w:tc>
          <w:tcPr>
            <w:tcW w:w="822" w:type="pct"/>
          </w:tcPr>
          <w:p w14:paraId="39B50BDB" w14:textId="77777777" w:rsidR="00B3792F" w:rsidRPr="00027624" w:rsidRDefault="00B3792F" w:rsidP="00B3792F">
            <w:pPr>
              <w:pStyle w:val="TableTextCentered"/>
            </w:pPr>
            <w:r w:rsidRPr="00027624">
              <w:t>70.0</w:t>
            </w:r>
          </w:p>
        </w:tc>
        <w:tc>
          <w:tcPr>
            <w:tcW w:w="824" w:type="pct"/>
          </w:tcPr>
          <w:p w14:paraId="7194A680" w14:textId="77777777" w:rsidR="00B3792F" w:rsidRPr="00027624" w:rsidRDefault="00B3792F" w:rsidP="00B3792F">
            <w:pPr>
              <w:pStyle w:val="TableTextCentered"/>
            </w:pPr>
            <w:r w:rsidRPr="00027624">
              <w:t>74.8</w:t>
            </w:r>
          </w:p>
        </w:tc>
        <w:tc>
          <w:tcPr>
            <w:tcW w:w="822" w:type="pct"/>
          </w:tcPr>
          <w:p w14:paraId="6EC46373" w14:textId="77777777" w:rsidR="00B3792F" w:rsidRPr="00027624" w:rsidRDefault="00B3792F" w:rsidP="00B3792F">
            <w:pPr>
              <w:pStyle w:val="TableTextCentered"/>
            </w:pPr>
            <w:r w:rsidRPr="00027624">
              <w:t>18.0</w:t>
            </w:r>
          </w:p>
        </w:tc>
        <w:tc>
          <w:tcPr>
            <w:tcW w:w="811" w:type="pct"/>
          </w:tcPr>
          <w:p w14:paraId="7F2822CB" w14:textId="77777777" w:rsidR="00B3792F" w:rsidRPr="00027624" w:rsidRDefault="00B3792F" w:rsidP="00B3792F">
            <w:pPr>
              <w:pStyle w:val="TableTextCentered"/>
            </w:pPr>
            <w:r w:rsidRPr="00027624">
              <w:t>20.1</w:t>
            </w:r>
          </w:p>
        </w:tc>
      </w:tr>
      <w:tr w:rsidR="00B3792F" w:rsidRPr="00027624" w14:paraId="4EB8ECBE" w14:textId="77777777" w:rsidTr="00B3792F">
        <w:trPr>
          <w:trHeight w:val="270"/>
        </w:trPr>
        <w:tc>
          <w:tcPr>
            <w:tcW w:w="1721" w:type="pct"/>
          </w:tcPr>
          <w:p w14:paraId="3EE66A83" w14:textId="77777777" w:rsidR="00B3792F" w:rsidRPr="00027624" w:rsidRDefault="00B3792F" w:rsidP="00B3792F">
            <w:pPr>
              <w:pStyle w:val="TableTextLeft"/>
            </w:pPr>
            <w:r w:rsidRPr="00027624">
              <w:t>Aboriginal and Torres Strait Islander</w:t>
            </w:r>
            <w:r w:rsidR="00A8443E" w:rsidRPr="00027624">
              <w:t xml:space="preserve"> — </w:t>
            </w:r>
            <w:r w:rsidRPr="00027624">
              <w:t>Remote and very remote</w:t>
            </w:r>
          </w:p>
        </w:tc>
        <w:tc>
          <w:tcPr>
            <w:tcW w:w="822" w:type="pct"/>
          </w:tcPr>
          <w:p w14:paraId="2890F078" w14:textId="77777777" w:rsidR="00B3792F" w:rsidRPr="00027624" w:rsidRDefault="00B3792F" w:rsidP="00B3792F">
            <w:pPr>
              <w:pStyle w:val="TableTextCentered"/>
            </w:pPr>
            <w:r w:rsidRPr="00027624">
              <w:t>65.9</w:t>
            </w:r>
          </w:p>
        </w:tc>
        <w:tc>
          <w:tcPr>
            <w:tcW w:w="824" w:type="pct"/>
          </w:tcPr>
          <w:p w14:paraId="5B65ED01" w14:textId="77777777" w:rsidR="00B3792F" w:rsidRPr="00027624" w:rsidRDefault="00B3792F" w:rsidP="00B3792F">
            <w:pPr>
              <w:pStyle w:val="TableTextCentered"/>
            </w:pPr>
            <w:r w:rsidRPr="00027624">
              <w:t>69.6</w:t>
            </w:r>
          </w:p>
        </w:tc>
        <w:tc>
          <w:tcPr>
            <w:tcW w:w="822" w:type="pct"/>
          </w:tcPr>
          <w:p w14:paraId="70422F27" w14:textId="77777777" w:rsidR="00B3792F" w:rsidRPr="00027624" w:rsidRDefault="00B3792F" w:rsidP="00B3792F">
            <w:pPr>
              <w:pStyle w:val="TableTextCentered"/>
            </w:pPr>
            <w:r w:rsidRPr="00027624">
              <w:t>16.1</w:t>
            </w:r>
          </w:p>
        </w:tc>
        <w:tc>
          <w:tcPr>
            <w:tcW w:w="811" w:type="pct"/>
          </w:tcPr>
          <w:p w14:paraId="3617EBAC" w14:textId="77777777" w:rsidR="00B3792F" w:rsidRPr="00027624" w:rsidRDefault="00B3792F" w:rsidP="00B3792F">
            <w:pPr>
              <w:pStyle w:val="TableTextCentered"/>
            </w:pPr>
            <w:r w:rsidRPr="00027624">
              <w:t>17.9</w:t>
            </w:r>
          </w:p>
        </w:tc>
      </w:tr>
    </w:tbl>
    <w:p w14:paraId="275F04E6" w14:textId="77777777" w:rsidR="00B3792F" w:rsidRPr="00027624" w:rsidRDefault="00B3792F" w:rsidP="00B3792F">
      <w:pPr>
        <w:pStyle w:val="ChartorTableNote"/>
      </w:pPr>
      <w:r w:rsidRPr="00027624">
        <w:t>Note: Data from 2015</w:t>
      </w:r>
      <w:r w:rsidR="00A8443E" w:rsidRPr="00027624">
        <w:noBreakHyphen/>
      </w:r>
      <w:r w:rsidRPr="00027624">
        <w:t xml:space="preserve">17 life tables. The figures by remoteness indicator cannot be directly compared with those for the whole population or the Australian Aboriginal </w:t>
      </w:r>
      <w:r w:rsidRPr="00027624">
        <w:rPr>
          <w:szCs w:val="18"/>
        </w:rPr>
        <w:t>and</w:t>
      </w:r>
      <w:r w:rsidRPr="00027624">
        <w:t xml:space="preserve"> Torres Strait Islander population, but are comparable with each other (i.e. major cities can be compared to inner and outer regional and remote and very remote). Source: </w:t>
      </w:r>
      <w:sdt>
        <w:sdtPr>
          <w:id w:val="-1072732694"/>
          <w:citation/>
        </w:sdtPr>
        <w:sdtEndPr/>
        <w:sdtContent>
          <w:r w:rsidRPr="00027624">
            <w:fldChar w:fldCharType="begin"/>
          </w:r>
          <w:r w:rsidRPr="00027624">
            <w:instrText xml:space="preserve">CITATION ABS1 \l 3081 </w:instrText>
          </w:r>
          <w:r w:rsidRPr="00027624">
            <w:fldChar w:fldCharType="separate"/>
          </w:r>
          <w:r w:rsidR="00E83F6E">
            <w:rPr>
              <w:noProof/>
            </w:rPr>
            <w:t>(ABS, 2018d)</w:t>
          </w:r>
          <w:r w:rsidRPr="00027624">
            <w:fldChar w:fldCharType="end"/>
          </w:r>
        </w:sdtContent>
      </w:sdt>
      <w:sdt>
        <w:sdtPr>
          <w:id w:val="-1823574952"/>
          <w:citation/>
        </w:sdtPr>
        <w:sdtEndPr/>
        <w:sdtContent>
          <w:r w:rsidRPr="00027624">
            <w:fldChar w:fldCharType="begin"/>
          </w:r>
          <w:r w:rsidRPr="00027624">
            <w:instrText xml:space="preserve">CITATION ABS2 \l 3081 </w:instrText>
          </w:r>
          <w:r w:rsidRPr="00027624">
            <w:fldChar w:fldCharType="separate"/>
          </w:r>
          <w:r w:rsidR="00E83F6E">
            <w:rPr>
              <w:noProof/>
            </w:rPr>
            <w:t xml:space="preserve"> (ABS, 2018e)</w:t>
          </w:r>
          <w:r w:rsidRPr="00027624">
            <w:fldChar w:fldCharType="end"/>
          </w:r>
        </w:sdtContent>
      </w:sdt>
      <w:r w:rsidRPr="00027624">
        <w:t xml:space="preserve">. </w:t>
      </w:r>
    </w:p>
    <w:p w14:paraId="034BB729" w14:textId="77777777" w:rsidR="00B3792F" w:rsidRPr="00027624" w:rsidRDefault="00B3792F" w:rsidP="00B3792F">
      <w:r w:rsidRPr="00027624">
        <w:t>The life expectancy gap at birth has closed slightly over the past decade. Between 2005</w:t>
      </w:r>
      <w:r w:rsidR="00A8443E" w:rsidRPr="00027624">
        <w:noBreakHyphen/>
      </w:r>
      <w:r w:rsidRPr="00027624">
        <w:t>07 and 2015</w:t>
      </w:r>
      <w:r w:rsidR="00A8443E" w:rsidRPr="00027624">
        <w:noBreakHyphen/>
      </w:r>
      <w:r w:rsidRPr="00027624">
        <w:t xml:space="preserve">17, the gap decreased from 11.8 years to 8.9 years for men, and from 10.8 years to </w:t>
      </w:r>
      <w:r w:rsidR="009742F5" w:rsidRPr="00027624">
        <w:t>9</w:t>
      </w:r>
      <w:r w:rsidRPr="00027624">
        <w:t xml:space="preserve"> years for women </w:t>
      </w:r>
      <w:sdt>
        <w:sdtPr>
          <w:id w:val="416213005"/>
          <w:citation/>
        </w:sdtPr>
        <w:sdtEndPr/>
        <w:sdtContent>
          <w:r w:rsidRPr="00027624">
            <w:fldChar w:fldCharType="begin"/>
          </w:r>
          <w:r w:rsidRPr="00027624">
            <w:instrText xml:space="preserve"> CITATION ABS1 \l 3081 </w:instrText>
          </w:r>
          <w:r w:rsidRPr="00027624">
            <w:fldChar w:fldCharType="separate"/>
          </w:r>
          <w:r w:rsidR="00E83F6E">
            <w:rPr>
              <w:noProof/>
            </w:rPr>
            <w:t>(ABS, 2018d)</w:t>
          </w:r>
          <w:r w:rsidRPr="00027624">
            <w:fldChar w:fldCharType="end"/>
          </w:r>
        </w:sdtContent>
      </w:sdt>
      <w:sdt>
        <w:sdtPr>
          <w:id w:val="-312493799"/>
          <w:citation/>
        </w:sdtPr>
        <w:sdtEndPr/>
        <w:sdtContent>
          <w:r w:rsidRPr="00027624">
            <w:fldChar w:fldCharType="begin"/>
          </w:r>
          <w:r w:rsidRPr="00027624">
            <w:instrText xml:space="preserve"> CITATION ABS2 \l 3081 </w:instrText>
          </w:r>
          <w:r w:rsidRPr="00027624">
            <w:fldChar w:fldCharType="separate"/>
          </w:r>
          <w:r w:rsidR="00E83F6E">
            <w:rPr>
              <w:noProof/>
            </w:rPr>
            <w:t xml:space="preserve"> (ABS, 2018e)</w:t>
          </w:r>
          <w:r w:rsidRPr="00027624">
            <w:fldChar w:fldCharType="end"/>
          </w:r>
        </w:sdtContent>
      </w:sdt>
      <w:r w:rsidRPr="00027624">
        <w:t xml:space="preserve">. At this rate of progress, the gap is likely to persist well into the latter half of this century. </w:t>
      </w:r>
    </w:p>
    <w:p w14:paraId="0ABE5DF0" w14:textId="77777777" w:rsidR="00B3792F" w:rsidRPr="00027624" w:rsidRDefault="00B3792F" w:rsidP="00B3792F">
      <w:r w:rsidRPr="00027624">
        <w:t xml:space="preserve">Survival rates for Aboriginal and Torres Strait Islander people and the total population start to diverge significantly during working life. This divergence grows with age. At the 2016 Census, Aboriginal and Torres Strait Islander people made up around 3.3 per cent of the total population, but only 0.9 per cent of the population aged 65 and over </w:t>
      </w:r>
      <w:sdt>
        <w:sdtPr>
          <w:id w:val="-2126909"/>
          <w:citation/>
        </w:sdtPr>
        <w:sdtEndPr/>
        <w:sdtContent>
          <w:r w:rsidRPr="00027624">
            <w:fldChar w:fldCharType="begin"/>
          </w:r>
          <w:r w:rsidRPr="00027624">
            <w:instrText xml:space="preserve">CITATION ABS9n \l 3081 </w:instrText>
          </w:r>
          <w:r w:rsidRPr="00027624">
            <w:fldChar w:fldCharType="separate"/>
          </w:r>
          <w:r w:rsidR="00E83F6E">
            <w:rPr>
              <w:noProof/>
            </w:rPr>
            <w:t>(ABS, 2019i)</w:t>
          </w:r>
          <w:r w:rsidRPr="00027624">
            <w:fldChar w:fldCharType="end"/>
          </w:r>
        </w:sdtContent>
      </w:sdt>
      <w:r w:rsidRPr="00027624">
        <w:t xml:space="preserve">. </w:t>
      </w:r>
    </w:p>
    <w:p w14:paraId="442682F3" w14:textId="18DB3D6B" w:rsidR="00B3792F" w:rsidRPr="00027624" w:rsidRDefault="00B3792F" w:rsidP="00B3792F">
      <w:r w:rsidRPr="00027624">
        <w:t>Of Aboriginal and Torres Strait Islander men born in 2016, 1 in 4 are not expected to reach age 60 (</w:t>
      </w:r>
      <w:r w:rsidRPr="00027624">
        <w:fldChar w:fldCharType="begin"/>
      </w:r>
      <w:r w:rsidRPr="00027624">
        <w:instrText xml:space="preserve"> REF _Ref35514178 \r \h  \* MERGEFORMAT </w:instrText>
      </w:r>
      <w:r w:rsidRPr="00027624">
        <w:fldChar w:fldCharType="separate"/>
      </w:r>
      <w:r w:rsidR="00891058">
        <w:t>Chart 3F-1</w:t>
      </w:r>
      <w:r w:rsidRPr="00027624">
        <w:fldChar w:fldCharType="end"/>
      </w:r>
      <w:r w:rsidRPr="00027624">
        <w:t xml:space="preserve">). This compares with 1 in 10 men across the total population. For Aboriginal and Torres </w:t>
      </w:r>
      <w:r w:rsidRPr="00027624">
        <w:lastRenderedPageBreak/>
        <w:t xml:space="preserve">Strait Islander women born in 2016, 3 in 20 are not expected to reach age 60, compared with 1 in 20 women across the total population. </w:t>
      </w:r>
      <w:bookmarkStart w:id="3201" w:name="_Hlk34119163"/>
      <w:bookmarkEnd w:id="3201"/>
    </w:p>
    <w:p w14:paraId="147A8F0B" w14:textId="77777777" w:rsidR="00B3792F" w:rsidRPr="00027624" w:rsidRDefault="00B3792F" w:rsidP="00B3792F">
      <w:r w:rsidRPr="00027624">
        <w:t xml:space="preserve">On 1 July 2024, the superannuation preservation age will rise to 60 for all those born after 30 June 1964, including Aboriginal and Torres Strait Islander people. Given their lower survival rates, Aboriginal and Torres Strait Islander people are more likely than the general population to die before they can access their compulsory superannuation. Many of the Aboriginal and Torres Strait Islander participants in recent survey research viewed superannuation more as an inheritance, rather than a source of retirement income, as they had low expectations that they will live long enough to use it </w:t>
      </w:r>
      <w:sdt>
        <w:sdtPr>
          <w:id w:val="-99651668"/>
          <w:citation/>
        </w:sdtPr>
        <w:sdtEndPr/>
        <w:sdtContent>
          <w:r w:rsidRPr="00027624">
            <w:fldChar w:fldCharType="begin"/>
          </w:r>
          <w:r w:rsidRPr="00027624">
            <w:instrText xml:space="preserve">CITATION Doc20 \p 40 \l 3081 </w:instrText>
          </w:r>
          <w:r w:rsidRPr="00027624">
            <w:fldChar w:fldCharType="separate"/>
          </w:r>
          <w:r w:rsidR="00E83F6E">
            <w:rPr>
              <w:noProof/>
            </w:rPr>
            <w:t>(Dockery, 2020, p. 40)</w:t>
          </w:r>
          <w:r w:rsidRPr="00027624">
            <w:fldChar w:fldCharType="end"/>
          </w:r>
        </w:sdtContent>
      </w:sdt>
      <w:r w:rsidRPr="00027624">
        <w:t xml:space="preserve">. </w:t>
      </w:r>
    </w:p>
    <w:p w14:paraId="3CCE5D55" w14:textId="77777777" w:rsidR="00B3792F" w:rsidRPr="00027624" w:rsidRDefault="00B3792F" w:rsidP="00FC7361">
      <w:pPr>
        <w:pStyle w:val="ChartMainHeading"/>
        <w:numPr>
          <w:ilvl w:val="2"/>
          <w:numId w:val="51"/>
        </w:numPr>
      </w:pPr>
      <w:bookmarkStart w:id="3202" w:name="_Ref33701255"/>
      <w:bookmarkStart w:id="3203" w:name="_Ref35514178"/>
      <w:bookmarkEnd w:id="3202"/>
      <w:r w:rsidRPr="00027624">
        <w:t>Projected survival rates, by gender, Indigenous status and remoteness indicator</w:t>
      </w:r>
      <w:bookmarkEnd w:id="3203"/>
    </w:p>
    <w:p w14:paraId="53DF5288" w14:textId="77777777" w:rsidR="00B3792F" w:rsidRPr="00027624" w:rsidRDefault="00613575" w:rsidP="00B3792F">
      <w:pPr>
        <w:pStyle w:val="ChartGraphic"/>
      </w:pPr>
      <w:r>
        <w:rPr>
          <w:noProof/>
        </w:rPr>
        <w:drawing>
          <wp:inline distT="0" distB="0" distL="0" distR="0" wp14:anchorId="631A6DE5" wp14:editId="07F6D1E5">
            <wp:extent cx="5768340" cy="2522220"/>
            <wp:effectExtent l="0" t="0" r="3810" b="0"/>
            <wp:docPr id="741687614" name="Picture 741687614" descr="This chart shows Aboriginal and Torres Strait Islander men and women have lower projected survival rates than the general population at all ages. Aboriginal and Torres Strait Islander men in remote and very remote areas have the lowest projected survival rates at all ages, with around a 25 per cent projected survival rate at age 80 compared to over 60 per cent for all men." title="Chart 3F-1 Projected survival rates, by gender, Indigenous status and remoteness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68340" cy="2522220"/>
                    </a:xfrm>
                    <a:prstGeom prst="rect">
                      <a:avLst/>
                    </a:prstGeom>
                    <a:noFill/>
                  </pic:spPr>
                </pic:pic>
              </a:graphicData>
            </a:graphic>
          </wp:inline>
        </w:drawing>
      </w:r>
    </w:p>
    <w:p w14:paraId="396DFE47" w14:textId="77777777" w:rsidR="00B3792F" w:rsidRPr="00027624" w:rsidRDefault="00B3792F" w:rsidP="00B3792F">
      <w:pPr>
        <w:pStyle w:val="ChartorTableNote"/>
      </w:pPr>
      <w:r w:rsidRPr="00027624">
        <w:t>Note: Data from 2015</w:t>
      </w:r>
      <w:r w:rsidR="00A8443E" w:rsidRPr="00027624">
        <w:noBreakHyphen/>
      </w:r>
      <w:r w:rsidRPr="00027624">
        <w:t xml:space="preserve">17 life tables. The figures by remoteness indicator cannot be directly compared with those for the whole population or the Australian Aboriginal and </w:t>
      </w:r>
      <w:r w:rsidRPr="00027624">
        <w:rPr>
          <w:szCs w:val="18"/>
        </w:rPr>
        <w:t>Torres</w:t>
      </w:r>
      <w:r w:rsidRPr="00027624">
        <w:t xml:space="preserve"> Strait Islander population, but are comparable with each other. This chart does not factor in future improvements in life expectancy. It should be used to illustrate differences between populations only, not to estimate future populations. Source: </w:t>
      </w:r>
      <w:sdt>
        <w:sdtPr>
          <w:id w:val="1759702280"/>
          <w:citation/>
        </w:sdtPr>
        <w:sdtEndPr/>
        <w:sdtContent>
          <w:r w:rsidRPr="00027624">
            <w:fldChar w:fldCharType="begin"/>
          </w:r>
          <w:r w:rsidRPr="00027624">
            <w:instrText xml:space="preserve">CITATION ABS1 \l 3081 </w:instrText>
          </w:r>
          <w:r w:rsidRPr="00027624">
            <w:fldChar w:fldCharType="separate"/>
          </w:r>
          <w:r w:rsidR="00E83F6E">
            <w:rPr>
              <w:noProof/>
            </w:rPr>
            <w:t>(ABS, 2018d)</w:t>
          </w:r>
          <w:r w:rsidRPr="00027624">
            <w:fldChar w:fldCharType="end"/>
          </w:r>
        </w:sdtContent>
      </w:sdt>
      <w:sdt>
        <w:sdtPr>
          <w:id w:val="297722890"/>
          <w:citation/>
        </w:sdtPr>
        <w:sdtEndPr/>
        <w:sdtContent>
          <w:r w:rsidRPr="00027624">
            <w:fldChar w:fldCharType="begin"/>
          </w:r>
          <w:r w:rsidRPr="00027624">
            <w:instrText xml:space="preserve">CITATION ABS2 \l 3081 </w:instrText>
          </w:r>
          <w:r w:rsidRPr="00027624">
            <w:fldChar w:fldCharType="separate"/>
          </w:r>
          <w:r w:rsidR="00E83F6E">
            <w:rPr>
              <w:noProof/>
            </w:rPr>
            <w:t xml:space="preserve"> (ABS, 2018e)</w:t>
          </w:r>
          <w:r w:rsidRPr="00027624">
            <w:fldChar w:fldCharType="end"/>
          </w:r>
        </w:sdtContent>
      </w:sdt>
      <w:r w:rsidRPr="00027624">
        <w:t xml:space="preserve">. </w:t>
      </w:r>
    </w:p>
    <w:p w14:paraId="4BC0BF96" w14:textId="77777777" w:rsidR="00B3792F" w:rsidRPr="00027624" w:rsidRDefault="00B3792F" w:rsidP="00B3792F">
      <w:r w:rsidRPr="00027624">
        <w:t xml:space="preserve">Many stakeholders suggested a lower superannuation preservation age for Aboriginal and Torres Strait Islander people, given that their lower life expectancies can result in shorter retirements and unspent superannuation savings. Differences in Aboriginal and Torres Strait Islander life expectancy are recognised elsewhere in Australian Government policy. Aboriginal and Torres Strait Islander people can access aged care from age 50, compared with age 65 for the rest of the population. </w:t>
      </w:r>
    </w:p>
    <w:p w14:paraId="3C82B682" w14:textId="77777777" w:rsidR="00B3792F" w:rsidRPr="00027624" w:rsidRDefault="00B3792F" w:rsidP="00B3792F">
      <w:r w:rsidRPr="00027624">
        <w:t>Given compounding returns deliver the greatest growth in superannuation members</w:t>
      </w:r>
      <w:r w:rsidR="00A8443E" w:rsidRPr="00027624">
        <w:t>’</w:t>
      </w:r>
      <w:r w:rsidRPr="00027624">
        <w:t xml:space="preserve"> balances in the later stages of working life, a lower superannuation access age for Aboriginal and Torres Strait Islander people could result in lower relative retirement incomes if members choose to withdraw their superannuation savings earlier than the rest of the population</w:t>
      </w:r>
      <w:sdt>
        <w:sdtPr>
          <w:id w:val="420306190"/>
          <w:citation/>
        </w:sdtPr>
        <w:sdtEndPr/>
        <w:sdtContent>
          <w:r w:rsidRPr="00027624">
            <w:fldChar w:fldCharType="begin"/>
          </w:r>
          <w:r w:rsidRPr="00027624">
            <w:instrText xml:space="preserve">CITATION Nat18 \t  \l 3081 </w:instrText>
          </w:r>
          <w:r w:rsidRPr="00027624">
            <w:fldChar w:fldCharType="separate"/>
          </w:r>
          <w:r w:rsidR="00E83F6E">
            <w:rPr>
              <w:noProof/>
            </w:rPr>
            <w:t xml:space="preserve"> (Boyle, 2018a)</w:t>
          </w:r>
          <w:r w:rsidRPr="00027624">
            <w:fldChar w:fldCharType="end"/>
          </w:r>
        </w:sdtContent>
      </w:sdt>
      <w:r w:rsidRPr="00027624">
        <w:t xml:space="preserve">. An alternative approach may be to change the early release of superannuation rules to give Aboriginal and Torres Strait Islander people greater flexibility to access a portion of their superannuation before preservation age. </w:t>
      </w:r>
    </w:p>
    <w:p w14:paraId="7DA06AF8" w14:textId="1E309B64" w:rsidR="00B3792F" w:rsidRPr="00027624" w:rsidRDefault="00B3792F" w:rsidP="00B3792F">
      <w:r w:rsidRPr="00027624">
        <w:t>Lower life expectancies also mean that Aboriginal and Torres Strait Islander people generally spend fewer years on the Age Pension compared with non</w:t>
      </w:r>
      <w:r w:rsidR="00A8443E" w:rsidRPr="00027624">
        <w:noBreakHyphen/>
      </w:r>
      <w:r w:rsidRPr="00027624">
        <w:t>Indigenous people (</w:t>
      </w:r>
      <w:r w:rsidRPr="00027624">
        <w:fldChar w:fldCharType="begin"/>
      </w:r>
      <w:r w:rsidRPr="00027624">
        <w:instrText xml:space="preserve"> REF _Ref35515500 \r \h  \* MERGEFORMAT </w:instrText>
      </w:r>
      <w:r w:rsidRPr="00027624">
        <w:fldChar w:fldCharType="separate"/>
      </w:r>
      <w:r w:rsidR="00891058">
        <w:t>Chart 3F-2</w:t>
      </w:r>
      <w:r w:rsidRPr="00027624">
        <w:fldChar w:fldCharType="end"/>
      </w:r>
      <w:r w:rsidRPr="00027624">
        <w:t xml:space="preserve">). </w:t>
      </w:r>
    </w:p>
    <w:p w14:paraId="0E34B2D1" w14:textId="77777777" w:rsidR="00B3792F" w:rsidRPr="00027624" w:rsidRDefault="00B3792F" w:rsidP="00B3792F">
      <w:r w:rsidRPr="00027624">
        <w:rPr>
          <w:b/>
        </w:rPr>
        <w:t>Lowering the preservation age (or Age Pension eligibility age) for Aboriginal and Torres Strait Islander people would not address the underlying issue of lower life expectancy.</w:t>
      </w:r>
      <w:r w:rsidRPr="00027624">
        <w:t xml:space="preserve"> It would simply deal with a symptom of the larger problem. </w:t>
      </w:r>
    </w:p>
    <w:p w14:paraId="16BCC62F" w14:textId="77777777" w:rsidR="00B3792F" w:rsidRPr="00027624" w:rsidRDefault="00B3792F" w:rsidP="00582C3E">
      <w:pPr>
        <w:pStyle w:val="ChartMainHeading"/>
      </w:pPr>
      <w:bookmarkStart w:id="3204" w:name="_Ref34669620"/>
      <w:bookmarkStart w:id="3205" w:name="_Ref39054424"/>
      <w:bookmarkStart w:id="3206" w:name="_Ref35515500"/>
      <w:bookmarkEnd w:id="3204"/>
      <w:r w:rsidRPr="00027624">
        <w:lastRenderedPageBreak/>
        <w:t>Projected future welfare receipt of those aged 25 in 2017</w:t>
      </w:r>
      <w:r w:rsidR="00A8443E" w:rsidRPr="00027624">
        <w:noBreakHyphen/>
      </w:r>
      <w:r w:rsidRPr="00027624">
        <w:t>18</w:t>
      </w:r>
      <w:bookmarkEnd w:id="3205"/>
    </w:p>
    <w:tbl>
      <w:tblPr>
        <w:tblW w:w="5000" w:type="pct"/>
        <w:tblLook w:val="01E0" w:firstRow="1" w:lastRow="1" w:firstColumn="1" w:lastColumn="1" w:noHBand="0" w:noVBand="0"/>
      </w:tblPr>
      <w:tblGrid>
        <w:gridCol w:w="4535"/>
        <w:gridCol w:w="4535"/>
      </w:tblGrid>
      <w:tr w:rsidR="00B3792F" w:rsidRPr="00027624" w14:paraId="01695E42" w14:textId="77777777" w:rsidTr="00B3792F">
        <w:tc>
          <w:tcPr>
            <w:tcW w:w="2500" w:type="pct"/>
          </w:tcPr>
          <w:p w14:paraId="630BACC6" w14:textId="77777777" w:rsidR="00B3792F" w:rsidRPr="00027624" w:rsidRDefault="00B3792F" w:rsidP="00B3792F">
            <w:pPr>
              <w:pStyle w:val="ChartSecondHeading"/>
            </w:pPr>
            <w:r w:rsidRPr="00027624">
              <w:t>Aboriginal and Torres Strait Islander people</w:t>
            </w:r>
          </w:p>
        </w:tc>
        <w:tc>
          <w:tcPr>
            <w:tcW w:w="2500" w:type="pct"/>
          </w:tcPr>
          <w:p w14:paraId="51F00E81" w14:textId="77777777" w:rsidR="00B3792F" w:rsidRPr="00027624" w:rsidRDefault="00B3792F" w:rsidP="00B3792F">
            <w:pPr>
              <w:pStyle w:val="ChartSecondHeading"/>
            </w:pPr>
            <w:r w:rsidRPr="00027624">
              <w:t>Non</w:t>
            </w:r>
            <w:r w:rsidR="00A8443E" w:rsidRPr="00027624">
              <w:noBreakHyphen/>
            </w:r>
            <w:r w:rsidRPr="00027624">
              <w:t>Indigenous people</w:t>
            </w:r>
          </w:p>
        </w:tc>
      </w:tr>
    </w:tbl>
    <w:p w14:paraId="4251B2F6" w14:textId="77777777" w:rsidR="00B3792F" w:rsidRPr="00027624" w:rsidRDefault="00B70425" w:rsidP="00B70425">
      <w:pPr>
        <w:pStyle w:val="ChartGraphic"/>
        <w:jc w:val="left"/>
      </w:pPr>
      <w:r>
        <w:rPr>
          <w:noProof/>
        </w:rPr>
        <w:drawing>
          <wp:inline distT="0" distB="0" distL="0" distR="0" wp14:anchorId="22DF00A8" wp14:editId="6028E4ED">
            <wp:extent cx="2867025" cy="2867025"/>
            <wp:effectExtent l="0" t="0" r="9525" b="9525"/>
            <wp:docPr id="238" name="Picture 238" descr="These charts show the proportion of the population aged 25 in 2017-18 who are projected to receive welfare at different ages in future. It shows a greater proportion of Aboriginal and Torres Strait Islander people are projected to receive a welfare payment prior to Age Pension eligibility age and the Age Pension when over Age Pension eligibility age compared with non-Indigenous people. However, the chart also shows Aboriginal and Torres Strait Islander people generally spend fewer years on the Age Pension compared with non-Indigenous people as more Indigenous people are projected to die at younger ages compared with non-Indigenous people." title="Chart 3F-2 Projected future welfare receipt of those aged 25 in 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pic:spPr>
                </pic:pic>
              </a:graphicData>
            </a:graphic>
          </wp:inline>
        </w:drawing>
      </w:r>
      <w:r>
        <w:rPr>
          <w:noProof/>
        </w:rPr>
        <w:drawing>
          <wp:inline distT="0" distB="0" distL="0" distR="0" wp14:anchorId="1BE34545" wp14:editId="78E5347D">
            <wp:extent cx="2867025" cy="2867025"/>
            <wp:effectExtent l="0" t="0" r="9525"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pic:spPr>
                </pic:pic>
              </a:graphicData>
            </a:graphic>
          </wp:inline>
        </w:drawing>
      </w:r>
    </w:p>
    <w:p w14:paraId="534B6EEB" w14:textId="77777777" w:rsidR="00B3792F" w:rsidRPr="00027624" w:rsidRDefault="00B3792F" w:rsidP="00B3792F">
      <w:pPr>
        <w:pStyle w:val="ChartorTableNote"/>
        <w:jc w:val="center"/>
        <w:rPr>
          <w:b/>
        </w:rPr>
      </w:pPr>
      <w:r w:rsidRPr="00027624">
        <w:rPr>
          <w:b/>
          <w:color w:val="D6606D" w:themeColor="accent5"/>
        </w:rPr>
        <w:t xml:space="preserve">Age Pension recipient </w:t>
      </w:r>
      <w:r w:rsidRPr="00027624">
        <w:rPr>
          <w:b/>
          <w:color w:val="4E8542" w:themeColor="accent2"/>
        </w:rPr>
        <w:t xml:space="preserve">Other income support recipient (e.g. JobSeeker Payment, Disability Support Pension, Carer Payment) </w:t>
      </w:r>
      <w:r w:rsidRPr="00027624">
        <w:rPr>
          <w:b/>
          <w:color w:val="604878" w:themeColor="accent3"/>
        </w:rPr>
        <w:t>Non</w:t>
      </w:r>
      <w:r w:rsidR="00A8443E" w:rsidRPr="00027624">
        <w:rPr>
          <w:b/>
          <w:color w:val="604878" w:themeColor="accent3"/>
        </w:rPr>
        <w:noBreakHyphen/>
      </w:r>
      <w:r w:rsidRPr="00027624">
        <w:rPr>
          <w:b/>
          <w:color w:val="604878" w:themeColor="accent3"/>
        </w:rPr>
        <w:t xml:space="preserve">income support recipient (e.g. FTB) </w:t>
      </w:r>
      <w:r w:rsidRPr="00027624">
        <w:rPr>
          <w:b/>
          <w:color w:val="30A9B2" w:themeColor="accent4"/>
        </w:rPr>
        <w:t>Not receiving payments</w:t>
      </w:r>
      <w:r w:rsidRPr="00027624">
        <w:rPr>
          <w:b/>
        </w:rPr>
        <w:t xml:space="preserve"> Deceased</w:t>
      </w:r>
      <w:r w:rsidRPr="00027624">
        <w:rPr>
          <w:b/>
        </w:rPr>
        <w:br/>
      </w:r>
    </w:p>
    <w:p w14:paraId="0FEB13BA" w14:textId="77777777" w:rsidR="00B3792F" w:rsidRPr="00027624" w:rsidRDefault="00B3792F" w:rsidP="006A1055">
      <w:pPr>
        <w:pStyle w:val="ChartorTableNote"/>
      </w:pPr>
      <w:r w:rsidRPr="00027624">
        <w:t>Note: This chart shows the proportion of the starting population (people aged 25 in 2017</w:t>
      </w:r>
      <w:r w:rsidR="00A8443E" w:rsidRPr="00027624">
        <w:noBreakHyphen/>
      </w:r>
      <w:r w:rsidRPr="00027624">
        <w:t>18) projected to receive welfare payments (e.g. Age Pension, Disability Support Pension), not on welfare payments, or deceased, at a given age in the future. It is based on modelling from the Priority Investment Approach to Welfare. The Priority Investment Approach to Welfare does not model superannuation balances. However, the model reflects projections of future trends in superannuation and other savings, life expectancy improvements, labour force participation and levels of home ownership, and uses these estimates to project future Age Pension utilisation. Source: Priority Investment Approach to Welfare Actuarial Model</w:t>
      </w:r>
      <w:r w:rsidR="006A1055" w:rsidRPr="00027624">
        <w:t>ling</w:t>
      </w:r>
      <w:r w:rsidRPr="00027624">
        <w:t>.</w:t>
      </w:r>
    </w:p>
    <w:p w14:paraId="48607EB1" w14:textId="77777777" w:rsidR="00B3792F" w:rsidRPr="00027624" w:rsidRDefault="00B3792F" w:rsidP="00B3792F">
      <w:pPr>
        <w:pStyle w:val="Heading2"/>
      </w:pPr>
      <w:bookmarkStart w:id="3207" w:name="_Toc40366198"/>
      <w:bookmarkStart w:id="3208" w:name="_Toc40369744"/>
      <w:bookmarkStart w:id="3209" w:name="_Toc40427900"/>
      <w:bookmarkStart w:id="3210" w:name="_Toc40458154"/>
      <w:bookmarkStart w:id="3211" w:name="_Toc40461923"/>
      <w:bookmarkStart w:id="3212" w:name="_Toc40474478"/>
      <w:bookmarkStart w:id="3213" w:name="_Toc40478007"/>
      <w:bookmarkStart w:id="3214" w:name="_Toc40521587"/>
      <w:bookmarkStart w:id="3215" w:name="_Toc40530446"/>
      <w:bookmarkStart w:id="3216" w:name="_Toc42778873"/>
      <w:bookmarkStart w:id="3217" w:name="_Toc42780013"/>
      <w:bookmarkStart w:id="3218" w:name="_Toc42780442"/>
      <w:bookmarkStart w:id="3219" w:name="_Toc42786432"/>
      <w:bookmarkStart w:id="3220" w:name="_Toc42791925"/>
      <w:bookmarkStart w:id="3221" w:name="_Toc42792087"/>
      <w:bookmarkStart w:id="3222" w:name="_Toc43117894"/>
      <w:bookmarkStart w:id="3223" w:name="_Toc43121533"/>
      <w:bookmarkStart w:id="3224" w:name="_Toc43122738"/>
      <w:bookmarkStart w:id="3225" w:name="_Toc43127793"/>
      <w:bookmarkStart w:id="3226" w:name="_Toc45520522"/>
      <w:bookmarkStart w:id="3227" w:name="_Toc46133634"/>
      <w:bookmarkEnd w:id="3206"/>
      <w:r w:rsidRPr="00027624">
        <w:t>Translation of working</w:t>
      </w:r>
      <w:r w:rsidR="00A8443E" w:rsidRPr="00027624">
        <w:noBreakHyphen/>
      </w:r>
      <w:r w:rsidRPr="00027624">
        <w:t>life economic disadvantage into retirement</w:t>
      </w:r>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p>
    <w:p w14:paraId="38E92804" w14:textId="77777777" w:rsidR="00B3792F" w:rsidRPr="00027624" w:rsidRDefault="00B3792F" w:rsidP="00B3792F">
      <w:pPr>
        <w:pStyle w:val="Heading3"/>
      </w:pPr>
      <w:bookmarkStart w:id="3228" w:name="_Toc40366199"/>
      <w:bookmarkStart w:id="3229" w:name="_Toc40369745"/>
      <w:bookmarkStart w:id="3230" w:name="_Toc40427901"/>
      <w:bookmarkStart w:id="3231" w:name="_Toc40458155"/>
      <w:bookmarkStart w:id="3232" w:name="_Toc40461924"/>
      <w:bookmarkStart w:id="3233" w:name="_Toc40474479"/>
      <w:bookmarkStart w:id="3234" w:name="_Toc40478008"/>
      <w:bookmarkStart w:id="3235" w:name="_Toc40521588"/>
      <w:bookmarkStart w:id="3236" w:name="_Toc40530447"/>
      <w:bookmarkStart w:id="3237" w:name="_Toc42778874"/>
      <w:bookmarkStart w:id="3238" w:name="_Toc42780014"/>
      <w:bookmarkStart w:id="3239" w:name="_Toc42780443"/>
      <w:bookmarkStart w:id="3240" w:name="_Toc42786433"/>
      <w:bookmarkStart w:id="3241" w:name="_Toc42791926"/>
      <w:bookmarkStart w:id="3242" w:name="_Toc42792088"/>
      <w:bookmarkStart w:id="3243" w:name="_Toc43117895"/>
      <w:bookmarkStart w:id="3244" w:name="_Toc43121534"/>
      <w:bookmarkStart w:id="3245" w:name="_Toc43122739"/>
      <w:bookmarkStart w:id="3246" w:name="_Toc43127794"/>
      <w:r w:rsidRPr="00027624">
        <w:t>Working</w:t>
      </w:r>
      <w:r w:rsidR="00A8443E" w:rsidRPr="00027624">
        <w:noBreakHyphen/>
      </w:r>
      <w:r w:rsidRPr="00027624">
        <w:t>life income</w:t>
      </w:r>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p>
    <w:p w14:paraId="63B0E184" w14:textId="4E08FCC5" w:rsidR="00B3792F" w:rsidRPr="00027624" w:rsidRDefault="00B3792F" w:rsidP="00B3792F">
      <w:r w:rsidRPr="00027624">
        <w:rPr>
          <w:b/>
        </w:rPr>
        <w:t>Aboriginal and Torres Strait Islander people have lower working</w:t>
      </w:r>
      <w:r w:rsidR="00A8443E" w:rsidRPr="00027624">
        <w:rPr>
          <w:b/>
        </w:rPr>
        <w:noBreakHyphen/>
      </w:r>
      <w:r w:rsidRPr="00027624">
        <w:rPr>
          <w:b/>
        </w:rPr>
        <w:t>life incomes</w:t>
      </w:r>
      <w:r w:rsidRPr="00027624">
        <w:rPr>
          <w:b/>
          <w:bCs/>
        </w:rPr>
        <w:t xml:space="preserve"> than the total population </w:t>
      </w:r>
      <w:r w:rsidRPr="00027624">
        <w:t>(</w:t>
      </w:r>
      <w:r w:rsidRPr="00027624">
        <w:fldChar w:fldCharType="begin"/>
      </w:r>
      <w:r w:rsidRPr="00027624">
        <w:instrText xml:space="preserve"> REF _Ref44492232 \r \h </w:instrText>
      </w:r>
      <w:r w:rsidRPr="00027624">
        <w:rPr>
          <w:bCs/>
        </w:rPr>
        <w:instrText xml:space="preserve"> \* MERGEFORMAT </w:instrText>
      </w:r>
      <w:r w:rsidRPr="00027624">
        <w:fldChar w:fldCharType="separate"/>
      </w:r>
      <w:r w:rsidR="00891058">
        <w:t>Table 3F-2</w:t>
      </w:r>
      <w:r w:rsidRPr="00027624">
        <w:fldChar w:fldCharType="end"/>
      </w:r>
      <w:r w:rsidRPr="00027624">
        <w:t>),</w:t>
      </w:r>
      <w:r w:rsidRPr="00027624">
        <w:rPr>
          <w:b/>
          <w:bCs/>
        </w:rPr>
        <w:t xml:space="preserve"> </w:t>
      </w:r>
      <w:r w:rsidRPr="00027624">
        <w:t xml:space="preserve">mainly due to lower rates of labour force participation and earnings gaps. </w:t>
      </w:r>
    </w:p>
    <w:p w14:paraId="13C86A69" w14:textId="77777777" w:rsidR="00B3792F" w:rsidRPr="00027624" w:rsidRDefault="00B3792F" w:rsidP="00582C3E">
      <w:pPr>
        <w:pStyle w:val="TableMainHeading"/>
      </w:pPr>
      <w:bookmarkStart w:id="3247" w:name="_Ref35518323"/>
      <w:bookmarkStart w:id="3248" w:name="_Ref44492232"/>
      <w:r w:rsidRPr="00027624">
        <w:t>Median earnings and incomes of Aboriginal and Torres Strait Islander people compared with the total population</w:t>
      </w:r>
      <w:bookmarkEnd w:id="3247"/>
      <w:bookmarkEnd w:id="3248"/>
    </w:p>
    <w:tbl>
      <w:tblPr>
        <w:tblW w:w="5000" w:type="pct"/>
        <w:tblLook w:val="01E0" w:firstRow="1" w:lastRow="1" w:firstColumn="1" w:lastColumn="1" w:noHBand="0" w:noVBand="0"/>
      </w:tblPr>
      <w:tblGrid>
        <w:gridCol w:w="4191"/>
        <w:gridCol w:w="2101"/>
        <w:gridCol w:w="1390"/>
        <w:gridCol w:w="1388"/>
      </w:tblGrid>
      <w:tr w:rsidR="00B3792F" w:rsidRPr="00027624" w14:paraId="70709202" w14:textId="77777777" w:rsidTr="00B3792F">
        <w:trPr>
          <w:trHeight w:val="270"/>
          <w:tblHeader/>
        </w:trPr>
        <w:tc>
          <w:tcPr>
            <w:tcW w:w="2311" w:type="pct"/>
            <w:shd w:val="clear" w:color="auto" w:fill="E5E5E5"/>
          </w:tcPr>
          <w:p w14:paraId="0AA6EF60" w14:textId="77777777" w:rsidR="00B3792F" w:rsidRPr="00027624" w:rsidRDefault="00B3792F" w:rsidP="00B3792F">
            <w:pPr>
              <w:pStyle w:val="TableColumnHeadingCentred"/>
            </w:pPr>
          </w:p>
        </w:tc>
        <w:tc>
          <w:tcPr>
            <w:tcW w:w="1158" w:type="pct"/>
            <w:shd w:val="clear" w:color="auto" w:fill="E5E5E5"/>
          </w:tcPr>
          <w:p w14:paraId="4139F650" w14:textId="77777777" w:rsidR="00B3792F" w:rsidRPr="00027624" w:rsidRDefault="00B3792F" w:rsidP="00B3792F">
            <w:pPr>
              <w:pStyle w:val="TableColumnHeadingCentred"/>
            </w:pPr>
            <w:r w:rsidRPr="00027624">
              <w:rPr>
                <w:bCs/>
              </w:rPr>
              <w:t>Aboriginal and Torres Strait Islander people ($)</w:t>
            </w:r>
          </w:p>
        </w:tc>
        <w:tc>
          <w:tcPr>
            <w:tcW w:w="766" w:type="pct"/>
            <w:shd w:val="clear" w:color="auto" w:fill="E5E5E5"/>
          </w:tcPr>
          <w:p w14:paraId="67AB3CFE" w14:textId="77777777" w:rsidR="00B3792F" w:rsidRPr="00027624" w:rsidRDefault="00B3792F" w:rsidP="00B3792F">
            <w:pPr>
              <w:pStyle w:val="TableColumnHeadingCentred"/>
            </w:pPr>
            <w:r w:rsidRPr="00027624">
              <w:rPr>
                <w:bCs/>
              </w:rPr>
              <w:t>Total population ($)</w:t>
            </w:r>
          </w:p>
        </w:tc>
        <w:tc>
          <w:tcPr>
            <w:tcW w:w="765" w:type="pct"/>
            <w:shd w:val="clear" w:color="auto" w:fill="E5E5E5"/>
          </w:tcPr>
          <w:p w14:paraId="2F4FC5A0" w14:textId="77777777" w:rsidR="00B3792F" w:rsidRPr="00027624" w:rsidRDefault="00B3792F" w:rsidP="00B3792F">
            <w:pPr>
              <w:pStyle w:val="TableColumnHeadingCentred"/>
              <w:rPr>
                <w:bCs/>
              </w:rPr>
            </w:pPr>
            <w:r w:rsidRPr="00027624">
              <w:rPr>
                <w:bCs/>
              </w:rPr>
              <w:t>Gap</w:t>
            </w:r>
          </w:p>
          <w:p w14:paraId="225D4D70" w14:textId="77777777" w:rsidR="00B3792F" w:rsidRPr="00027624" w:rsidRDefault="00B3792F" w:rsidP="00B3792F">
            <w:pPr>
              <w:pStyle w:val="TableColumnHeadingCentred"/>
            </w:pPr>
            <w:r w:rsidRPr="00027624">
              <w:rPr>
                <w:bCs/>
              </w:rPr>
              <w:t>(per cent)</w:t>
            </w:r>
          </w:p>
        </w:tc>
      </w:tr>
      <w:tr w:rsidR="00B3792F" w:rsidRPr="00027624" w14:paraId="3D263412" w14:textId="77777777" w:rsidTr="00B3792F">
        <w:trPr>
          <w:trHeight w:val="270"/>
        </w:trPr>
        <w:tc>
          <w:tcPr>
            <w:tcW w:w="2311" w:type="pct"/>
          </w:tcPr>
          <w:p w14:paraId="299E4C24" w14:textId="77777777" w:rsidR="00B3792F" w:rsidRPr="00027624" w:rsidRDefault="00B3792F" w:rsidP="00B3792F">
            <w:pPr>
              <w:pStyle w:val="TableTextLeft"/>
            </w:pPr>
            <w:r w:rsidRPr="00027624">
              <w:t>Median weekly incomes (All persons aged 15 and over)</w:t>
            </w:r>
          </w:p>
        </w:tc>
        <w:tc>
          <w:tcPr>
            <w:tcW w:w="1158" w:type="pct"/>
            <w:vAlign w:val="center"/>
          </w:tcPr>
          <w:p w14:paraId="38DBCCD5" w14:textId="77777777" w:rsidR="00B3792F" w:rsidRPr="00027624" w:rsidRDefault="00B3792F" w:rsidP="00B3792F">
            <w:pPr>
              <w:pStyle w:val="TableTextLeft"/>
              <w:jc w:val="center"/>
            </w:pPr>
            <w:r w:rsidRPr="00027624">
              <w:t>441</w:t>
            </w:r>
          </w:p>
        </w:tc>
        <w:tc>
          <w:tcPr>
            <w:tcW w:w="766" w:type="pct"/>
            <w:vAlign w:val="center"/>
          </w:tcPr>
          <w:p w14:paraId="634DD35B" w14:textId="77777777" w:rsidR="00B3792F" w:rsidRPr="00027624" w:rsidRDefault="00B3792F" w:rsidP="00B3792F">
            <w:pPr>
              <w:pStyle w:val="TableTextLeft"/>
              <w:jc w:val="center"/>
            </w:pPr>
            <w:r w:rsidRPr="00027624">
              <w:t>662</w:t>
            </w:r>
          </w:p>
        </w:tc>
        <w:tc>
          <w:tcPr>
            <w:tcW w:w="765" w:type="pct"/>
            <w:vAlign w:val="center"/>
          </w:tcPr>
          <w:p w14:paraId="3BB22AF1" w14:textId="77777777" w:rsidR="00B3792F" w:rsidRPr="00027624" w:rsidRDefault="00B3792F" w:rsidP="00B3792F">
            <w:pPr>
              <w:pStyle w:val="TableTextLeft"/>
              <w:jc w:val="center"/>
            </w:pPr>
            <w:r w:rsidRPr="00027624">
              <w:t>33.4</w:t>
            </w:r>
          </w:p>
        </w:tc>
      </w:tr>
      <w:tr w:rsidR="00B3792F" w:rsidRPr="00027624" w14:paraId="3A0CCC28" w14:textId="77777777" w:rsidTr="00B3792F">
        <w:trPr>
          <w:trHeight w:val="95"/>
        </w:trPr>
        <w:tc>
          <w:tcPr>
            <w:tcW w:w="2311" w:type="pct"/>
          </w:tcPr>
          <w:p w14:paraId="7DA86C2E" w14:textId="77777777" w:rsidR="00B3792F" w:rsidRPr="00027624" w:rsidRDefault="00B3792F" w:rsidP="00B3792F">
            <w:pPr>
              <w:pStyle w:val="TableTextLeft"/>
            </w:pPr>
            <w:r w:rsidRPr="00027624">
              <w:t>Median weekly earnings (Employed, aged 15 and over)</w:t>
            </w:r>
          </w:p>
        </w:tc>
        <w:tc>
          <w:tcPr>
            <w:tcW w:w="1158" w:type="pct"/>
            <w:vAlign w:val="center"/>
          </w:tcPr>
          <w:p w14:paraId="414B1227" w14:textId="77777777" w:rsidR="00B3792F" w:rsidRPr="00027624" w:rsidRDefault="00B3792F" w:rsidP="00B3792F">
            <w:pPr>
              <w:pStyle w:val="TableTextLeft"/>
              <w:jc w:val="center"/>
            </w:pPr>
            <w:r w:rsidRPr="00027624">
              <w:t>845</w:t>
            </w:r>
          </w:p>
        </w:tc>
        <w:tc>
          <w:tcPr>
            <w:tcW w:w="766" w:type="pct"/>
            <w:vAlign w:val="center"/>
          </w:tcPr>
          <w:p w14:paraId="78043C4E" w14:textId="77777777" w:rsidR="00B3792F" w:rsidRPr="00027624" w:rsidRDefault="00B3792F" w:rsidP="00B3792F">
            <w:pPr>
              <w:pStyle w:val="TableTextLeft"/>
              <w:jc w:val="center"/>
            </w:pPr>
            <w:r w:rsidRPr="00027624">
              <w:t>1,012</w:t>
            </w:r>
          </w:p>
        </w:tc>
        <w:tc>
          <w:tcPr>
            <w:tcW w:w="765" w:type="pct"/>
            <w:vAlign w:val="center"/>
          </w:tcPr>
          <w:p w14:paraId="558A69E1" w14:textId="77777777" w:rsidR="00B3792F" w:rsidRPr="00027624" w:rsidRDefault="00B3792F" w:rsidP="00B3792F">
            <w:pPr>
              <w:pStyle w:val="TableTextLeft"/>
              <w:jc w:val="center"/>
            </w:pPr>
            <w:r w:rsidRPr="00027624">
              <w:t>16.6</w:t>
            </w:r>
          </w:p>
        </w:tc>
      </w:tr>
    </w:tbl>
    <w:p w14:paraId="1800F832" w14:textId="77777777" w:rsidR="00B3792F" w:rsidRPr="00027624" w:rsidRDefault="00B3792F" w:rsidP="00B3792F">
      <w:pPr>
        <w:pStyle w:val="ChartorTableNote"/>
      </w:pPr>
      <w:r w:rsidRPr="00027624">
        <w:t xml:space="preserve">Note: 2016 data. Source: Analysis of </w:t>
      </w:r>
      <w:sdt>
        <w:sdtPr>
          <w:id w:val="1582017013"/>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 xml:space="preserve">. </w:t>
      </w:r>
    </w:p>
    <w:p w14:paraId="783E4B96" w14:textId="32387DFA" w:rsidR="00B3792F" w:rsidRPr="00027624" w:rsidRDefault="00B3792F" w:rsidP="00B3792F">
      <w:r w:rsidRPr="00027624">
        <w:t>In 2016, non</w:t>
      </w:r>
      <w:r w:rsidR="00A8443E" w:rsidRPr="00027624">
        <w:noBreakHyphen/>
      </w:r>
      <w:r w:rsidRPr="00027624">
        <w:t>Indigenous people were 1.4 times more likely than Aboriginal and Torres Strait Islander people to be employed</w:t>
      </w:r>
      <w:sdt>
        <w:sdtPr>
          <w:id w:val="-2111584045"/>
          <w:citation/>
        </w:sdtPr>
        <w:sdtEndPr/>
        <w:sdtContent>
          <w:r w:rsidRPr="00027624">
            <w:fldChar w:fldCharType="begin"/>
          </w:r>
          <w:r w:rsidRPr="00027624">
            <w:instrText xml:space="preserve">CITATION Aus181 \l 3081 </w:instrText>
          </w:r>
          <w:r w:rsidRPr="00027624">
            <w:fldChar w:fldCharType="separate"/>
          </w:r>
          <w:r w:rsidR="00E83F6E">
            <w:rPr>
              <w:noProof/>
            </w:rPr>
            <w:t xml:space="preserve"> (ABS, 2018a)</w:t>
          </w:r>
          <w:r w:rsidRPr="00027624">
            <w:fldChar w:fldCharType="end"/>
          </w:r>
        </w:sdtContent>
      </w:sdt>
      <w:r w:rsidRPr="00027624">
        <w:t xml:space="preserve">. Aboriginal and Torres Strait Islander employment rates have not significantly increased in the past decade, other than for those aged 65 and over, where </w:t>
      </w:r>
      <w:r w:rsidRPr="00027624">
        <w:lastRenderedPageBreak/>
        <w:t>employment rates approach those of the total population</w:t>
      </w:r>
      <w:r w:rsidRPr="00027624">
        <w:fldChar w:fldCharType="begin"/>
      </w:r>
      <w:r w:rsidRPr="00027624">
        <w:instrText xml:space="preserve">CITATION Aus16 \m ABSs11 \m ABS3 \l 3081 </w:instrText>
      </w:r>
      <w:r w:rsidRPr="00027624">
        <w:fldChar w:fldCharType="separate"/>
      </w:r>
      <w:r w:rsidR="00E83F6E">
        <w:rPr>
          <w:noProof/>
        </w:rPr>
        <w:t xml:space="preserve"> (ABS, 2006a; ABS, 2011a; ABS, 2016a)</w:t>
      </w:r>
      <w:r w:rsidRPr="00027624">
        <w:fldChar w:fldCharType="end"/>
      </w:r>
      <w:r w:rsidRPr="00027624">
        <w:t xml:space="preserve">. </w:t>
      </w:r>
      <w:bookmarkStart w:id="3249" w:name="_Ref33702311"/>
      <w:bookmarkEnd w:id="3249"/>
      <w:r w:rsidRPr="00027624">
        <w:t>In aggregate, Aboriginal and Torres Strait Islander people are also far less likely to be in the labour force than the total population, reducing their average working</w:t>
      </w:r>
      <w:r w:rsidR="00A8443E" w:rsidRPr="00027624">
        <w:noBreakHyphen/>
      </w:r>
      <w:r w:rsidRPr="00027624">
        <w:t>life income (</w:t>
      </w:r>
      <w:r w:rsidRPr="00027624">
        <w:fldChar w:fldCharType="begin"/>
      </w:r>
      <w:r w:rsidRPr="00027624">
        <w:instrText xml:space="preserve"> REF _Ref35516232 \r \h  \* MERGEFORMAT </w:instrText>
      </w:r>
      <w:r w:rsidRPr="00027624">
        <w:fldChar w:fldCharType="separate"/>
      </w:r>
      <w:r w:rsidR="00891058">
        <w:t>Chart 3F-3</w:t>
      </w:r>
      <w:r w:rsidRPr="00027624">
        <w:fldChar w:fldCharType="end"/>
      </w:r>
      <w:r w:rsidRPr="00027624">
        <w:t xml:space="preserve">). Labour force participation rates and earnings for Aboriginal and Torres Strait Islander women are particularly low </w:t>
      </w:r>
      <w:sdt>
        <w:sdtPr>
          <w:id w:val="1514878479"/>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 Without increases in labour force participation, the relative gap in incomes between Aboriginal and Torres Strait Islander people and the total population is likely to persist.</w:t>
      </w:r>
    </w:p>
    <w:p w14:paraId="08E6A6E4" w14:textId="77777777" w:rsidR="00B3792F" w:rsidRPr="00027624" w:rsidRDefault="00B3792F" w:rsidP="00582C3E">
      <w:pPr>
        <w:pStyle w:val="ChartMainHeading"/>
      </w:pPr>
      <w:r w:rsidRPr="00027624">
        <w:t xml:space="preserve"> </w:t>
      </w:r>
      <w:bookmarkStart w:id="3250" w:name="_Ref40080571"/>
      <w:r w:rsidRPr="00027624">
        <w:t>Proportion of people not in the labour force, by Indigenous status and age</w:t>
      </w:r>
      <w:bookmarkStart w:id="3251" w:name="_Ref35516232"/>
      <w:bookmarkEnd w:id="3250"/>
      <w:bookmarkEnd w:id="3251"/>
    </w:p>
    <w:p w14:paraId="139D33CD" w14:textId="77777777" w:rsidR="00B3792F" w:rsidRPr="00027624" w:rsidRDefault="00B70425" w:rsidP="00B3792F">
      <w:pPr>
        <w:pStyle w:val="ChartGraphic"/>
      </w:pPr>
      <w:r>
        <w:rPr>
          <w:noProof/>
        </w:rPr>
        <w:drawing>
          <wp:inline distT="0" distB="0" distL="0" distR="0" wp14:anchorId="0C1BAA1B" wp14:editId="1C5989AE">
            <wp:extent cx="5577840" cy="2682240"/>
            <wp:effectExtent l="0" t="0" r="3810" b="3810"/>
            <wp:docPr id="241" name="Picture 241" descr="This chart show that Aboriginal and Torres Strait Islander people are far less likely to be in the labour force than the total population, between the ages of 15-24 to 65 and over. The gap in labour force participation rates between Aboriginal and Torres Strait Islander people and the total population is largest from around ages 25-34 to 45-54 (around a 20 per cent difference), and smallest for people aged 65 years and over (around a 5 per cent difference)." title="Chart 3F-3 Proportion of people not in the labour force, by Indigenous status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577840" cy="2682240"/>
                    </a:xfrm>
                    <a:prstGeom prst="rect">
                      <a:avLst/>
                    </a:prstGeom>
                    <a:noFill/>
                  </pic:spPr>
                </pic:pic>
              </a:graphicData>
            </a:graphic>
          </wp:inline>
        </w:drawing>
      </w:r>
    </w:p>
    <w:p w14:paraId="10D8F114" w14:textId="77777777" w:rsidR="00B3792F" w:rsidRPr="00027624" w:rsidRDefault="00B3792F" w:rsidP="00B3792F">
      <w:pPr>
        <w:pStyle w:val="ChartorTableNote"/>
      </w:pPr>
      <w:r w:rsidRPr="00027624">
        <w:t xml:space="preserve">Note: 2016 data. Source: Analysis of </w:t>
      </w:r>
      <w:sdt>
        <w:sdtPr>
          <w:id w:val="-988173263"/>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p>
    <w:p w14:paraId="6DA5492E" w14:textId="564A2419" w:rsidR="00B3792F" w:rsidRPr="00027624" w:rsidRDefault="00B3792F" w:rsidP="00B3792F">
      <w:r w:rsidRPr="00027624">
        <w:t>A large proportion of Aboriginal and Torres Strait Islander people receive income support as they approach retirement. Of those Aboriginal and Torres Strait Islander people reaching Age Pension eligibility age between 2013</w:t>
      </w:r>
      <w:r w:rsidR="00A8443E" w:rsidRPr="00027624">
        <w:noBreakHyphen/>
      </w:r>
      <w:r w:rsidRPr="00027624">
        <w:t>14 and 2017</w:t>
      </w:r>
      <w:r w:rsidR="00A8443E" w:rsidRPr="00027624">
        <w:noBreakHyphen/>
      </w:r>
      <w:r w:rsidRPr="00027624">
        <w:t>18, 52 per cent had received an income support payment in each of the 10 years prior to reaching Age Pension eligibility age. For non</w:t>
      </w:r>
      <w:r w:rsidR="00A8443E" w:rsidRPr="00027624">
        <w:noBreakHyphen/>
      </w:r>
      <w:r w:rsidRPr="00027624">
        <w:t>Indigenous people, the figure was 28 per cent.</w:t>
      </w:r>
      <w:r w:rsidRPr="00027624">
        <w:rPr>
          <w:vertAlign w:val="superscript"/>
        </w:rPr>
        <w:footnoteReference w:id="218"/>
      </w:r>
      <w:r w:rsidRPr="00027624">
        <w:t xml:space="preserve"> High rates of income support receipt in the years leading up to retirement for Aboriginal and Torres Strait Islanders are projected to continue (</w:t>
      </w:r>
      <w:r w:rsidRPr="00027624">
        <w:fldChar w:fldCharType="begin"/>
      </w:r>
      <w:r w:rsidRPr="00027624">
        <w:instrText xml:space="preserve"> REF _Ref39054424 \r \h  \* MERGEFORMAT </w:instrText>
      </w:r>
      <w:r w:rsidRPr="00027624">
        <w:fldChar w:fldCharType="separate"/>
      </w:r>
      <w:r w:rsidR="00891058">
        <w:t>Chart 3F-2</w:t>
      </w:r>
      <w:r w:rsidRPr="00027624">
        <w:fldChar w:fldCharType="end"/>
      </w:r>
      <w:r w:rsidRPr="00027624">
        <w:t xml:space="preserve">). </w:t>
      </w:r>
    </w:p>
    <w:p w14:paraId="78F55D66" w14:textId="77777777" w:rsidR="00B3792F" w:rsidRPr="00027624" w:rsidRDefault="00B3792F" w:rsidP="00B3792F">
      <w:r w:rsidRPr="00027624">
        <w:t>A significant proportion of Aboriginal and Torres Strait Islander people receive the Disability Support Pension prior to retirement. Of those over Age Pension eligibility age receiving income support on 30 June 2019, 40 per cent received the Disability Support Pension immediately prior to Age Pension eligibility age.</w:t>
      </w:r>
      <w:r w:rsidRPr="00027624">
        <w:rPr>
          <w:rStyle w:val="FootnoteReference"/>
        </w:rPr>
        <w:footnoteReference w:id="219"/>
      </w:r>
      <w:r w:rsidRPr="00027624">
        <w:t xml:space="preserve"> </w:t>
      </w:r>
    </w:p>
    <w:p w14:paraId="780CFD46" w14:textId="77777777" w:rsidR="00B3792F" w:rsidRPr="00027624" w:rsidRDefault="00B3792F" w:rsidP="00264EED">
      <w:pPr>
        <w:rPr>
          <w:i/>
        </w:rPr>
      </w:pPr>
      <w:r w:rsidRPr="00027624">
        <w:t>This means a significantly higher proportion of Aboriginal and Torres Strait Islander people reach Age Pension</w:t>
      </w:r>
      <w:r w:rsidR="00581E72" w:rsidRPr="00027624">
        <w:t xml:space="preserve"> eligibility</w:t>
      </w:r>
      <w:r w:rsidRPr="00027624">
        <w:t xml:space="preserve"> age with disability, caring for others or unemployed, and with limited other means to support themselves, compared with the total population. Aboriginal and Torres Strait Islander people are over</w:t>
      </w:r>
      <w:r w:rsidR="00A8443E" w:rsidRPr="00027624">
        <w:noBreakHyphen/>
      </w:r>
      <w:r w:rsidRPr="00027624">
        <w:t xml:space="preserve">represented in the number of people who retire involuntarily. This adversely impacts their retirement incomes (see </w:t>
      </w:r>
      <w:r w:rsidR="00DF2732" w:rsidRPr="00DF2732">
        <w:rPr>
          <w:i/>
        </w:rPr>
        <w:t>3E. Age of retirement</w:t>
      </w:r>
      <w:r w:rsidR="00A07F5E">
        <w:t>).</w:t>
      </w:r>
      <w:r w:rsidR="00A07F5E" w:rsidRPr="00027624">
        <w:rPr>
          <w:i/>
        </w:rPr>
        <w:t xml:space="preserve"> </w:t>
      </w:r>
    </w:p>
    <w:p w14:paraId="255D63F0" w14:textId="77777777" w:rsidR="00B3792F" w:rsidRPr="00027624" w:rsidRDefault="00B3792F" w:rsidP="00B3792F">
      <w:pPr>
        <w:pStyle w:val="Heading3"/>
      </w:pPr>
      <w:bookmarkStart w:id="3252" w:name="_Ref33702394"/>
      <w:bookmarkStart w:id="3253" w:name="_Toc40366200"/>
      <w:bookmarkStart w:id="3254" w:name="_Toc40369746"/>
      <w:bookmarkStart w:id="3255" w:name="_Toc40427902"/>
      <w:bookmarkStart w:id="3256" w:name="_Toc40458156"/>
      <w:bookmarkStart w:id="3257" w:name="_Toc40461925"/>
      <w:bookmarkStart w:id="3258" w:name="_Toc40474480"/>
      <w:bookmarkStart w:id="3259" w:name="_Toc40478009"/>
      <w:bookmarkStart w:id="3260" w:name="_Toc40521589"/>
      <w:bookmarkStart w:id="3261" w:name="_Toc40530448"/>
      <w:bookmarkStart w:id="3262" w:name="_Toc42778875"/>
      <w:bookmarkStart w:id="3263" w:name="_Toc42780015"/>
      <w:bookmarkStart w:id="3264" w:name="_Toc42780444"/>
      <w:bookmarkStart w:id="3265" w:name="_Toc42786434"/>
      <w:bookmarkStart w:id="3266" w:name="_Toc42791927"/>
      <w:bookmarkStart w:id="3267" w:name="_Toc42792089"/>
      <w:bookmarkStart w:id="3268" w:name="_Toc43117896"/>
      <w:bookmarkStart w:id="3269" w:name="_Toc43121535"/>
      <w:bookmarkStart w:id="3270" w:name="_Toc43122740"/>
      <w:bookmarkStart w:id="3271" w:name="_Toc43127795"/>
      <w:bookmarkEnd w:id="3252"/>
      <w:r w:rsidRPr="00027624">
        <w:t>Superannuation</w:t>
      </w:r>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p>
    <w:p w14:paraId="0ACFAB42" w14:textId="3EFF1201" w:rsidR="00B3792F" w:rsidRPr="00027624" w:rsidRDefault="00B3792F" w:rsidP="00B3792F">
      <w:r w:rsidRPr="00027624">
        <w:rPr>
          <w:b/>
        </w:rPr>
        <w:t>Superannuation makes a limited contribution to the retirement incomes of most Aboriginal and Torres Strait Islander people.</w:t>
      </w:r>
      <w:r w:rsidRPr="00027624">
        <w:t xml:space="preserve"> In 2018, for those not retired, the median superannuation balance of Aboriginal and Torres Strait Islander men was 59 per cent lower than that of all men (</w:t>
      </w:r>
      <w:r w:rsidRPr="00027624">
        <w:fldChar w:fldCharType="begin"/>
      </w:r>
      <w:r w:rsidRPr="00027624">
        <w:instrText xml:space="preserve"> REF _Ref35517496 \r \h  \* MERGEFORMAT </w:instrText>
      </w:r>
      <w:r w:rsidRPr="00027624">
        <w:fldChar w:fldCharType="separate"/>
      </w:r>
      <w:r w:rsidR="00891058">
        <w:t>Table 3F-3</w:t>
      </w:r>
      <w:r w:rsidRPr="00027624">
        <w:fldChar w:fldCharType="end"/>
      </w:r>
      <w:r w:rsidRPr="00027624">
        <w:t xml:space="preserve">). For women, the comparable figure was 50 per cent lower. </w:t>
      </w:r>
    </w:p>
    <w:p w14:paraId="5BE9B7E0" w14:textId="0E4EE1BE" w:rsidR="00B3792F" w:rsidRPr="00027624" w:rsidRDefault="00B3792F" w:rsidP="00B3792F">
      <w:r w:rsidRPr="00027624">
        <w:lastRenderedPageBreak/>
        <w:t>These figures do not capture those without superannuation. Aboriginal and Torres Strait Islander people are more likely to have no superannuation than the total population, as shown by lower rates of superannuation coverage (</w:t>
      </w:r>
      <w:r w:rsidRPr="00027624">
        <w:fldChar w:fldCharType="begin"/>
      </w:r>
      <w:r w:rsidRPr="00027624">
        <w:instrText xml:space="preserve"> REF _Ref35517496 \r \h  \* MERGEFORMAT </w:instrText>
      </w:r>
      <w:r w:rsidRPr="00027624">
        <w:fldChar w:fldCharType="separate"/>
      </w:r>
      <w:r w:rsidR="00891058">
        <w:t>Table 3F-3</w:t>
      </w:r>
      <w:r w:rsidRPr="00027624">
        <w:fldChar w:fldCharType="end"/>
      </w:r>
      <w:r w:rsidRPr="00027624">
        <w:t>). A significant proportion of Aboriginal and Torres Strait Islander people undertake part</w:t>
      </w:r>
      <w:r w:rsidR="00A8443E" w:rsidRPr="00027624">
        <w:noBreakHyphen/>
      </w:r>
      <w:r w:rsidRPr="00027624">
        <w:t>time work and have very low incomes</w:t>
      </w:r>
      <w:sdt>
        <w:sdtPr>
          <w:id w:val="-1095862943"/>
          <w:citation/>
        </w:sdtPr>
        <w:sdtEndPr/>
        <w:sdtContent>
          <w:r w:rsidRPr="00027624">
            <w:fldChar w:fldCharType="begin"/>
          </w:r>
          <w:r w:rsidRPr="00027624">
            <w:instrText xml:space="preserve"> CITATION ABS3 \l 3081 </w:instrText>
          </w:r>
          <w:r w:rsidRPr="00027624">
            <w:fldChar w:fldCharType="separate"/>
          </w:r>
          <w:r w:rsidR="00E83F6E">
            <w:rPr>
              <w:noProof/>
            </w:rPr>
            <w:t xml:space="preserve"> (ABS, 2016a)</w:t>
          </w:r>
          <w:r w:rsidRPr="00027624">
            <w:fldChar w:fldCharType="end"/>
          </w:r>
        </w:sdtContent>
      </w:sdt>
      <w:r w:rsidRPr="00027624">
        <w:t>, making them susceptible to falling under the $450</w:t>
      </w:r>
      <w:r w:rsidR="00A8443E" w:rsidRPr="00027624">
        <w:noBreakHyphen/>
      </w:r>
      <w:r w:rsidRPr="00027624">
        <w:t>a</w:t>
      </w:r>
      <w:r w:rsidR="00A8443E" w:rsidRPr="00027624">
        <w:noBreakHyphen/>
      </w:r>
      <w:r w:rsidRPr="00027624">
        <w:t xml:space="preserve">month threshold for the SG and not accruing superannuation (see </w:t>
      </w:r>
      <w:r w:rsidR="009C3D63">
        <w:rPr>
          <w:i/>
        </w:rPr>
        <w:t>3D. SG coverage</w:t>
      </w:r>
      <w:r w:rsidRPr="00027624">
        <w:t xml:space="preserve">). </w:t>
      </w:r>
    </w:p>
    <w:p w14:paraId="303FEF5B" w14:textId="77777777" w:rsidR="00B3792F" w:rsidRPr="00027624" w:rsidRDefault="00B3792F" w:rsidP="00B3792F">
      <w:r w:rsidRPr="00027624">
        <w:t>Aboriginal and Torres Strait Islander people are also over</w:t>
      </w:r>
      <w:r w:rsidR="00A8443E" w:rsidRPr="00027624">
        <w:noBreakHyphen/>
      </w:r>
      <w:r w:rsidRPr="00027624">
        <w:t>represented in the Community Development Program, which does not pay superannuation. The Community Development Program is a remote</w:t>
      </w:r>
      <w:r w:rsidR="00A8443E" w:rsidRPr="00027624">
        <w:noBreakHyphen/>
      </w:r>
      <w:r w:rsidRPr="00027624">
        <w:t xml:space="preserve">area employment and community scheme with around 30,000 participants, the majority of whom are Aboriginal or Torres Strait Islander people </w:t>
      </w:r>
      <w:sdt>
        <w:sdtPr>
          <w:id w:val="802431858"/>
          <w:citation/>
        </w:sdtPr>
        <w:sdtEndPr/>
        <w:sdtContent>
          <w:r w:rsidRPr="00027624">
            <w:fldChar w:fldCharType="begin"/>
          </w:r>
          <w:r w:rsidRPr="00027624">
            <w:instrText xml:space="preserve"> CITATION NIIA20 \l 3081 </w:instrText>
          </w:r>
          <w:r w:rsidRPr="00027624">
            <w:fldChar w:fldCharType="separate"/>
          </w:r>
          <w:r w:rsidR="00E83F6E">
            <w:rPr>
              <w:noProof/>
            </w:rPr>
            <w:t>(National Indigenous Australians Agency, 2020)</w:t>
          </w:r>
          <w:r w:rsidRPr="00027624">
            <w:fldChar w:fldCharType="end"/>
          </w:r>
        </w:sdtContent>
      </w:sdt>
      <w:sdt>
        <w:sdtPr>
          <w:id w:val="954369642"/>
          <w:citation/>
        </w:sdtPr>
        <w:sdtEndPr/>
        <w:sdtContent>
          <w:r w:rsidRPr="00027624">
            <w:fldChar w:fldCharType="begin"/>
          </w:r>
          <w:r w:rsidRPr="00027624">
            <w:instrText xml:space="preserve">CITATION Sen171 \p 5 \l 3081 </w:instrText>
          </w:r>
          <w:r w:rsidRPr="00027624">
            <w:fldChar w:fldCharType="separate"/>
          </w:r>
          <w:r w:rsidR="00E83F6E">
            <w:rPr>
              <w:noProof/>
            </w:rPr>
            <w:t xml:space="preserve"> (Senate Finance and Public Administration Committees, 2017, p. 5)</w:t>
          </w:r>
          <w:r w:rsidRPr="00027624">
            <w:fldChar w:fldCharType="end"/>
          </w:r>
        </w:sdtContent>
      </w:sdt>
      <w:r w:rsidRPr="00027624">
        <w:t xml:space="preserve">. Participants in the scheme are receiving an income support payment, such as the JobSeeker Payment. However, the program requires 20 hours of </w:t>
      </w:r>
      <w:r w:rsidR="00A8443E" w:rsidRPr="00027624">
        <w:t>‘</w:t>
      </w:r>
      <w:r w:rsidRPr="00027624">
        <w:t>work</w:t>
      </w:r>
      <w:r w:rsidR="00A8443E" w:rsidRPr="00027624">
        <w:noBreakHyphen/>
      </w:r>
      <w:r w:rsidRPr="00027624">
        <w:t>like activities</w:t>
      </w:r>
      <w:r w:rsidR="00A8443E" w:rsidRPr="00027624">
        <w:t>’</w:t>
      </w:r>
      <w:r w:rsidRPr="00027624">
        <w:t xml:space="preserve"> by recipients to receive their payment. Similar work activities outside of the program would ordinarily attract superannuation.</w:t>
      </w:r>
      <w:r w:rsidRPr="00027624" w:rsidDel="007C02B9">
        <w:t xml:space="preserve"> </w:t>
      </w:r>
    </w:p>
    <w:p w14:paraId="1FCE4DE0" w14:textId="77777777" w:rsidR="00B3792F" w:rsidRPr="00027624" w:rsidRDefault="00B3792F" w:rsidP="00582C3E">
      <w:pPr>
        <w:pStyle w:val="TableMainHeading"/>
      </w:pPr>
      <w:bookmarkStart w:id="3272" w:name="_Ref33702600"/>
      <w:bookmarkStart w:id="3273" w:name="_Ref33702590"/>
      <w:bookmarkStart w:id="3274" w:name="_Ref35517496"/>
      <w:bookmarkStart w:id="3275" w:name="_Ref44524407"/>
      <w:bookmarkEnd w:id="3272"/>
      <w:bookmarkEnd w:id="3273"/>
      <w:r w:rsidRPr="00027624">
        <w:t>Median superannuation balances and proportion with superannuation, by gender and Indigenous status</w:t>
      </w:r>
      <w:bookmarkEnd w:id="3274"/>
      <w:bookmarkEnd w:id="3275"/>
    </w:p>
    <w:tbl>
      <w:tblPr>
        <w:tblW w:w="5000" w:type="pct"/>
        <w:tblLook w:val="01E0" w:firstRow="1" w:lastRow="1" w:firstColumn="1" w:lastColumn="1" w:noHBand="0" w:noVBand="0"/>
      </w:tblPr>
      <w:tblGrid>
        <w:gridCol w:w="2591"/>
        <w:gridCol w:w="1619"/>
        <w:gridCol w:w="1620"/>
        <w:gridCol w:w="1620"/>
        <w:gridCol w:w="1620"/>
      </w:tblGrid>
      <w:tr w:rsidR="00B3792F" w:rsidRPr="00027624" w14:paraId="37317189" w14:textId="77777777" w:rsidTr="00B3792F">
        <w:trPr>
          <w:tblHeader/>
        </w:trPr>
        <w:tc>
          <w:tcPr>
            <w:tcW w:w="1428" w:type="pct"/>
            <w:shd w:val="clear" w:color="auto" w:fill="E5E5E5"/>
            <w:vAlign w:val="center"/>
          </w:tcPr>
          <w:p w14:paraId="488E5FB8" w14:textId="77777777" w:rsidR="00B3792F" w:rsidRPr="00027624" w:rsidRDefault="00B3792F" w:rsidP="00B3792F">
            <w:pPr>
              <w:pStyle w:val="TableColumnHeadingLeft"/>
            </w:pPr>
          </w:p>
        </w:tc>
        <w:tc>
          <w:tcPr>
            <w:tcW w:w="892" w:type="pct"/>
            <w:shd w:val="clear" w:color="auto" w:fill="E5E5E5"/>
            <w:vAlign w:val="center"/>
          </w:tcPr>
          <w:p w14:paraId="18FAEB6A" w14:textId="77777777" w:rsidR="00B3792F" w:rsidRPr="00027624" w:rsidRDefault="00B3792F" w:rsidP="00B3792F">
            <w:pPr>
              <w:pStyle w:val="TableColumnHeadingCentred"/>
            </w:pPr>
            <w:r w:rsidRPr="00027624">
              <w:t xml:space="preserve">Aboriginal and Torres Strait Islander men </w:t>
            </w:r>
          </w:p>
        </w:tc>
        <w:tc>
          <w:tcPr>
            <w:tcW w:w="893" w:type="pct"/>
            <w:shd w:val="clear" w:color="auto" w:fill="E5E5E5"/>
            <w:vAlign w:val="center"/>
          </w:tcPr>
          <w:p w14:paraId="6D26059D" w14:textId="77777777" w:rsidR="00B3792F" w:rsidRPr="00027624" w:rsidRDefault="00B3792F" w:rsidP="00B3792F">
            <w:pPr>
              <w:pStyle w:val="TableColumnHeadingCentred"/>
            </w:pPr>
            <w:r w:rsidRPr="00027624">
              <w:t>All men</w:t>
            </w:r>
          </w:p>
        </w:tc>
        <w:tc>
          <w:tcPr>
            <w:tcW w:w="893" w:type="pct"/>
            <w:shd w:val="clear" w:color="auto" w:fill="E5E5E5"/>
            <w:vAlign w:val="center"/>
          </w:tcPr>
          <w:p w14:paraId="66B25C82" w14:textId="77777777" w:rsidR="00B3792F" w:rsidRPr="00027624" w:rsidRDefault="00B3792F" w:rsidP="00B3792F">
            <w:pPr>
              <w:pStyle w:val="TableColumnHeadingCentred"/>
            </w:pPr>
            <w:r w:rsidRPr="00027624">
              <w:t>Aboriginal and Torres Strait Islander women</w:t>
            </w:r>
          </w:p>
        </w:tc>
        <w:tc>
          <w:tcPr>
            <w:tcW w:w="893" w:type="pct"/>
            <w:shd w:val="clear" w:color="auto" w:fill="E5E5E5"/>
            <w:vAlign w:val="center"/>
          </w:tcPr>
          <w:p w14:paraId="6393C675" w14:textId="77777777" w:rsidR="00B3792F" w:rsidRPr="00027624" w:rsidRDefault="00B3792F" w:rsidP="00B3792F">
            <w:pPr>
              <w:pStyle w:val="TableColumnHeadingCentred"/>
            </w:pPr>
            <w:r w:rsidRPr="00027624">
              <w:t>All women</w:t>
            </w:r>
          </w:p>
        </w:tc>
      </w:tr>
      <w:tr w:rsidR="00B3792F" w:rsidRPr="00027624" w14:paraId="7B91A514" w14:textId="77777777" w:rsidTr="00B3792F">
        <w:tc>
          <w:tcPr>
            <w:tcW w:w="1428" w:type="pct"/>
          </w:tcPr>
          <w:p w14:paraId="7EDD7859" w14:textId="77777777" w:rsidR="00B3792F" w:rsidRPr="00027624" w:rsidRDefault="00B3792F" w:rsidP="00B3792F">
            <w:pPr>
              <w:pStyle w:val="TableTextLeft"/>
            </w:pPr>
            <w:r w:rsidRPr="00027624">
              <w:t>Median superannuation balances ($)</w:t>
            </w:r>
          </w:p>
        </w:tc>
        <w:tc>
          <w:tcPr>
            <w:tcW w:w="892" w:type="pct"/>
            <w:vAlign w:val="center"/>
          </w:tcPr>
          <w:p w14:paraId="115ED789" w14:textId="77777777" w:rsidR="00B3792F" w:rsidRPr="00027624" w:rsidRDefault="00B3792F" w:rsidP="00B3792F">
            <w:pPr>
              <w:pStyle w:val="TableTextCentered"/>
            </w:pPr>
            <w:r w:rsidRPr="00027624">
              <w:t>25,000</w:t>
            </w:r>
          </w:p>
        </w:tc>
        <w:tc>
          <w:tcPr>
            <w:tcW w:w="893" w:type="pct"/>
            <w:vAlign w:val="center"/>
          </w:tcPr>
          <w:p w14:paraId="7E7F5724" w14:textId="77777777" w:rsidR="00B3792F" w:rsidRPr="00027624" w:rsidRDefault="00B3792F" w:rsidP="00B3792F">
            <w:pPr>
              <w:pStyle w:val="TableTextCentered"/>
            </w:pPr>
            <w:r w:rsidRPr="00027624">
              <w:t>60,635</w:t>
            </w:r>
          </w:p>
        </w:tc>
        <w:tc>
          <w:tcPr>
            <w:tcW w:w="893" w:type="pct"/>
            <w:vAlign w:val="center"/>
          </w:tcPr>
          <w:p w14:paraId="763EFF01" w14:textId="77777777" w:rsidR="00B3792F" w:rsidRPr="00027624" w:rsidRDefault="00B3792F" w:rsidP="00B3792F">
            <w:pPr>
              <w:pStyle w:val="TableTextCentered"/>
            </w:pPr>
            <w:r w:rsidRPr="00027624">
              <w:t>19,000</w:t>
            </w:r>
          </w:p>
        </w:tc>
        <w:tc>
          <w:tcPr>
            <w:tcW w:w="893" w:type="pct"/>
            <w:vAlign w:val="center"/>
          </w:tcPr>
          <w:p w14:paraId="69C9BE2D" w14:textId="77777777" w:rsidR="00B3792F" w:rsidRPr="00027624" w:rsidRDefault="00B3792F" w:rsidP="00B3792F">
            <w:pPr>
              <w:pStyle w:val="TableTextCentered"/>
            </w:pPr>
            <w:r w:rsidRPr="00027624">
              <w:t>38,000</w:t>
            </w:r>
          </w:p>
        </w:tc>
      </w:tr>
      <w:tr w:rsidR="00B3792F" w:rsidRPr="00027624" w14:paraId="21C60BAA" w14:textId="77777777" w:rsidTr="00B3792F">
        <w:tc>
          <w:tcPr>
            <w:tcW w:w="1428" w:type="pct"/>
          </w:tcPr>
          <w:p w14:paraId="1D76DD37" w14:textId="77777777" w:rsidR="00B3792F" w:rsidRPr="00027624" w:rsidRDefault="00B3792F" w:rsidP="00B3792F">
            <w:pPr>
              <w:pStyle w:val="TableTextLeft"/>
            </w:pPr>
            <w:r w:rsidRPr="00027624">
              <w:t>Proportion with superannuation (per cent)</w:t>
            </w:r>
          </w:p>
        </w:tc>
        <w:tc>
          <w:tcPr>
            <w:tcW w:w="892" w:type="pct"/>
            <w:vAlign w:val="center"/>
          </w:tcPr>
          <w:p w14:paraId="74113EA6" w14:textId="77777777" w:rsidR="00B3792F" w:rsidRPr="00027624" w:rsidRDefault="00B3792F" w:rsidP="00B3792F">
            <w:pPr>
              <w:pStyle w:val="TableTextCentered"/>
            </w:pPr>
            <w:r w:rsidRPr="00027624">
              <w:t>74.0</w:t>
            </w:r>
          </w:p>
        </w:tc>
        <w:tc>
          <w:tcPr>
            <w:tcW w:w="893" w:type="pct"/>
            <w:vAlign w:val="center"/>
          </w:tcPr>
          <w:p w14:paraId="549D64EF" w14:textId="77777777" w:rsidR="00B3792F" w:rsidRPr="00027624" w:rsidRDefault="00B3792F" w:rsidP="00B3792F">
            <w:pPr>
              <w:pStyle w:val="TableTextCentered"/>
            </w:pPr>
            <w:r w:rsidRPr="00027624">
              <w:t>85.8</w:t>
            </w:r>
          </w:p>
        </w:tc>
        <w:tc>
          <w:tcPr>
            <w:tcW w:w="893" w:type="pct"/>
            <w:vAlign w:val="center"/>
          </w:tcPr>
          <w:p w14:paraId="3535FDC4" w14:textId="77777777" w:rsidR="00B3792F" w:rsidRPr="00027624" w:rsidRDefault="00B3792F" w:rsidP="00B3792F">
            <w:pPr>
              <w:pStyle w:val="TableTextCentered"/>
            </w:pPr>
            <w:r w:rsidRPr="00027624">
              <w:t>58.6</w:t>
            </w:r>
          </w:p>
        </w:tc>
        <w:tc>
          <w:tcPr>
            <w:tcW w:w="893" w:type="pct"/>
            <w:vAlign w:val="center"/>
          </w:tcPr>
          <w:p w14:paraId="735512FB" w14:textId="77777777" w:rsidR="00B3792F" w:rsidRPr="00027624" w:rsidRDefault="00B3792F" w:rsidP="00B3792F">
            <w:pPr>
              <w:pStyle w:val="TableTextCentered"/>
            </w:pPr>
            <w:r w:rsidRPr="00027624">
              <w:t>83.7</w:t>
            </w:r>
          </w:p>
        </w:tc>
      </w:tr>
    </w:tbl>
    <w:p w14:paraId="45BA4290" w14:textId="77777777" w:rsidR="00B3792F" w:rsidRPr="00027624" w:rsidRDefault="00B3792F" w:rsidP="00B3792F">
      <w:pPr>
        <w:pStyle w:val="ChartorTableNote"/>
      </w:pPr>
      <w:r w:rsidRPr="00027624">
        <w:t xml:space="preserve">Note: 2018 data. The HILDA Survey does not include households in remote Aboriginal communities </w:t>
      </w:r>
      <w:sdt>
        <w:sdtPr>
          <w:id w:val="701213793"/>
          <w:citation/>
        </w:sdtPr>
        <w:sdtEndPr/>
        <w:sdtContent>
          <w:r w:rsidRPr="00027624">
            <w:fldChar w:fldCharType="begin"/>
          </w:r>
          <w:r w:rsidRPr="00027624">
            <w:instrText xml:space="preserve"> CITATION Doc20 \l 3081 </w:instrText>
          </w:r>
          <w:r w:rsidRPr="00027624">
            <w:fldChar w:fldCharType="separate"/>
          </w:r>
          <w:r w:rsidR="00E83F6E">
            <w:rPr>
              <w:noProof/>
            </w:rPr>
            <w:t>(Dockery, 2020)</w:t>
          </w:r>
          <w:r w:rsidRPr="00027624">
            <w:fldChar w:fldCharType="end"/>
          </w:r>
        </w:sdtContent>
      </w:sdt>
      <w:r w:rsidRPr="00027624">
        <w:t>. As such, these results likely overstate the coverage and balances of the Aboriginal and Torres Strait Islander population. Source: Analysis of HILDA Survey data (Wave 18) of those not retired, provided by the Association of Superannuation Funds of Australia.</w:t>
      </w:r>
    </w:p>
    <w:p w14:paraId="159864EF" w14:textId="77777777" w:rsidR="00B3792F" w:rsidRPr="00027624" w:rsidRDefault="00B3792F" w:rsidP="00B3792F">
      <w:r w:rsidRPr="00027624">
        <w:t xml:space="preserve">The issue of lower superannuation balances is compounded by the fact Aboriginal and Torres Strait Islander people often: </w:t>
      </w:r>
    </w:p>
    <w:p w14:paraId="1264D767" w14:textId="77777777" w:rsidR="00B3792F" w:rsidRPr="00027624" w:rsidRDefault="00B3792F" w:rsidP="00AD6771">
      <w:pPr>
        <w:pStyle w:val="Bullet"/>
      </w:pPr>
      <w:r w:rsidRPr="00027624">
        <w:rPr>
          <w:b/>
          <w:bCs/>
        </w:rPr>
        <w:t>Are</w:t>
      </w:r>
      <w:r w:rsidRPr="00027624">
        <w:rPr>
          <w:b/>
        </w:rPr>
        <w:t xml:space="preserve"> unaware </w:t>
      </w:r>
      <w:r w:rsidRPr="00027624">
        <w:rPr>
          <w:b/>
          <w:bCs/>
        </w:rPr>
        <w:t>they have</w:t>
      </w:r>
      <w:r w:rsidRPr="00027624">
        <w:rPr>
          <w:b/>
        </w:rPr>
        <w:t xml:space="preserve"> superannuation.</w:t>
      </w:r>
      <w:r w:rsidRPr="00027624">
        <w:t xml:space="preserve"> At 1 January 2020, through its initiative </w:t>
      </w:r>
      <w:r w:rsidR="00A8443E" w:rsidRPr="00027624">
        <w:t>‘</w:t>
      </w:r>
      <w:r w:rsidRPr="00027624">
        <w:t>Big Super Day Out</w:t>
      </w:r>
      <w:r w:rsidR="00A8443E" w:rsidRPr="00027624">
        <w:t>’</w:t>
      </w:r>
      <w:r w:rsidRPr="00027624">
        <w:t xml:space="preserve">, First Nations Foundation had reconnected 1,636 Aboriginal and Torres Strait Islander people to a total of $24 million in superannuation they did not know they had accrued </w:t>
      </w:r>
      <w:sdt>
        <w:sdtPr>
          <w:id w:val="596682906"/>
          <w:citation/>
        </w:sdtPr>
        <w:sdtEndPr/>
        <w:sdtContent>
          <w:r w:rsidRPr="00027624">
            <w:fldChar w:fldCharType="begin"/>
          </w:r>
          <w:r w:rsidRPr="00027624">
            <w:instrText xml:space="preserve">CITATION Fir19 \l 3081 </w:instrText>
          </w:r>
          <w:r w:rsidRPr="00027624">
            <w:fldChar w:fldCharType="separate"/>
          </w:r>
          <w:r w:rsidR="00E83F6E">
            <w:rPr>
              <w:noProof/>
            </w:rPr>
            <w:t>(First Nations Foundation, 2020)</w:t>
          </w:r>
          <w:r w:rsidRPr="00027624">
            <w:fldChar w:fldCharType="end"/>
          </w:r>
        </w:sdtContent>
      </w:sdt>
      <w:r w:rsidRPr="00027624">
        <w:t>.</w:t>
      </w:r>
    </w:p>
    <w:p w14:paraId="41A85532" w14:textId="77777777" w:rsidR="00B3792F" w:rsidRPr="00027624" w:rsidRDefault="00B3792F" w:rsidP="00AD6771">
      <w:pPr>
        <w:pStyle w:val="Bullet"/>
        <w:rPr>
          <w:b/>
          <w:bCs/>
        </w:rPr>
      </w:pPr>
      <w:r w:rsidRPr="00027624">
        <w:rPr>
          <w:b/>
          <w:bCs/>
        </w:rPr>
        <w:t>Do not know they have multiple superannuation accounts</w:t>
      </w:r>
      <w:r w:rsidRPr="00027624">
        <w:rPr>
          <w:b/>
        </w:rPr>
        <w:t>.</w:t>
      </w:r>
      <w:r w:rsidRPr="00027624">
        <w:t xml:space="preserve"> First Nations Foundation also noted many Aboriginal and Torres Strait Islander people have multiple superannuation accounts, with multiple fees eroding balances. This is supported by limited survey research of Aboriginal and Torres Strait Islander people</w:t>
      </w:r>
      <w:sdt>
        <w:sdtPr>
          <w:id w:val="1461078649"/>
          <w:citation/>
        </w:sdtPr>
        <w:sdtEndPr/>
        <w:sdtContent>
          <w:r w:rsidRPr="00027624">
            <w:fldChar w:fldCharType="begin"/>
          </w:r>
          <w:r w:rsidRPr="00027624">
            <w:instrText xml:space="preserve">CITATION Doc20 \p 38 \l 3081 </w:instrText>
          </w:r>
          <w:r w:rsidRPr="00027624">
            <w:fldChar w:fldCharType="separate"/>
          </w:r>
          <w:r w:rsidR="00E83F6E">
            <w:rPr>
              <w:noProof/>
            </w:rPr>
            <w:t xml:space="preserve"> (Dockery, 2020, p. 38)</w:t>
          </w:r>
          <w:r w:rsidRPr="00027624">
            <w:fldChar w:fldCharType="end"/>
          </w:r>
        </w:sdtContent>
      </w:sdt>
      <w:r w:rsidRPr="00027624">
        <w:t xml:space="preserve">. Recent reforms should help improve this through low balance account consolidation and fee caps. First Nations Foundation hypothesised the community sector, in which many Aboriginal and Torres Strait Islander people work, is quite transitory. Frequent job changes may be leading to superannuation account proliferation </w:t>
      </w:r>
      <w:sdt>
        <w:sdtPr>
          <w:id w:val="-991399747"/>
          <w:citation/>
        </w:sdtPr>
        <w:sdtEndPr/>
        <w:sdtContent>
          <w:r w:rsidRPr="00027624">
            <w:fldChar w:fldCharType="begin"/>
          </w:r>
          <w:r w:rsidRPr="00027624">
            <w:instrText xml:space="preserve">CITATION Doc20 \p 54 \l 3081 </w:instrText>
          </w:r>
          <w:r w:rsidRPr="00027624">
            <w:fldChar w:fldCharType="separate"/>
          </w:r>
          <w:r w:rsidR="00E83F6E">
            <w:rPr>
              <w:noProof/>
            </w:rPr>
            <w:t>(Dockery, 2020, p. 54)</w:t>
          </w:r>
          <w:r w:rsidRPr="00027624">
            <w:fldChar w:fldCharType="end"/>
          </w:r>
        </w:sdtContent>
      </w:sdt>
      <w:r w:rsidRPr="00027624">
        <w:t xml:space="preserve">. The ATO </w:t>
      </w:r>
      <w:r w:rsidRPr="00027624" w:rsidDel="00BF11FF">
        <w:t xml:space="preserve">and ASIC </w:t>
      </w:r>
      <w:r w:rsidRPr="00027624">
        <w:t xml:space="preserve">also noted many Aboriginal and Torres Strait Islander people unknowingly had more than one superannuation account </w:t>
      </w:r>
      <w:sdt>
        <w:sdtPr>
          <w:id w:val="2090347506"/>
          <w:citation/>
        </w:sdtPr>
        <w:sdtEndPr/>
        <w:sdtContent>
          <w:r w:rsidRPr="00027624">
            <w:fldChar w:fldCharType="begin"/>
          </w:r>
          <w:r w:rsidR="006A1055" w:rsidRPr="00027624">
            <w:instrText xml:space="preserve">CITATION ATO9f \l 3081 </w:instrText>
          </w:r>
          <w:r w:rsidRPr="00027624">
            <w:fldChar w:fldCharType="separate"/>
          </w:r>
          <w:r w:rsidR="00E83F6E">
            <w:rPr>
              <w:noProof/>
            </w:rPr>
            <w:t>(ATO, 2019g)</w:t>
          </w:r>
          <w:r w:rsidRPr="00027624">
            <w:fldChar w:fldCharType="end"/>
          </w:r>
        </w:sdtContent>
      </w:sdt>
      <w:r w:rsidRPr="00027624">
        <w:t xml:space="preserve">. ASIC suggested the higher number of multiple accounts is likely due to lower financial literacy, sporadic and casual employment, and the higher incidences of Aboriginal and Torres Strait Islander people having multiple names. </w:t>
      </w:r>
    </w:p>
    <w:p w14:paraId="71D943A4" w14:textId="1EC51799" w:rsidR="00B3792F" w:rsidRPr="00027624" w:rsidRDefault="00B3792F" w:rsidP="00B3792F">
      <w:pPr>
        <w:pStyle w:val="Dash"/>
        <w:numPr>
          <w:ilvl w:val="1"/>
          <w:numId w:val="0"/>
        </w:numPr>
      </w:pPr>
      <w:r w:rsidRPr="00027624">
        <w:t xml:space="preserve">Data is not available to determine whether the number of superannuation accounts per Aboriginal and Torres Strait Islander person exceeds the total population average, as most superannuation funds do not record the Indigenous status of their members (see </w:t>
      </w:r>
      <w:r w:rsidRPr="00027624">
        <w:rPr>
          <w:i/>
        </w:rPr>
        <w:fldChar w:fldCharType="begin"/>
      </w:r>
      <w:r w:rsidRPr="00027624">
        <w:rPr>
          <w:i/>
        </w:rPr>
        <w:instrText xml:space="preserve"> REF _Ref45150374 \h  \* MERGEFORMAT </w:instrText>
      </w:r>
      <w:r w:rsidRPr="00027624">
        <w:rPr>
          <w:i/>
        </w:rPr>
      </w:r>
      <w:r w:rsidRPr="00027624">
        <w:rPr>
          <w:i/>
        </w:rPr>
        <w:fldChar w:fldCharType="separate"/>
      </w:r>
      <w:r w:rsidR="00891058" w:rsidRPr="00891058">
        <w:rPr>
          <w:i/>
        </w:rPr>
        <w:t>Issues accessing the retirement income system</w:t>
      </w:r>
      <w:r w:rsidRPr="00027624">
        <w:rPr>
          <w:i/>
        </w:rPr>
        <w:fldChar w:fldCharType="end"/>
      </w:r>
      <w:r w:rsidRPr="00027624">
        <w:t>, below).</w:t>
      </w:r>
      <w:r w:rsidRPr="00027624">
        <w:rPr>
          <w:i/>
        </w:rPr>
        <w:t xml:space="preserve"> </w:t>
      </w:r>
    </w:p>
    <w:p w14:paraId="3704DAAC" w14:textId="77777777" w:rsidR="00B3792F" w:rsidRPr="00027624" w:rsidRDefault="00B3792F" w:rsidP="00B3792F">
      <w:pPr>
        <w:pStyle w:val="Heading3"/>
      </w:pPr>
      <w:bookmarkStart w:id="3276" w:name="_Toc40366201"/>
      <w:bookmarkStart w:id="3277" w:name="_Toc40369747"/>
      <w:bookmarkStart w:id="3278" w:name="_Toc40427903"/>
      <w:bookmarkStart w:id="3279" w:name="_Toc40458157"/>
      <w:bookmarkStart w:id="3280" w:name="_Toc40461926"/>
      <w:bookmarkStart w:id="3281" w:name="_Toc40474481"/>
      <w:bookmarkStart w:id="3282" w:name="_Toc40478010"/>
      <w:bookmarkStart w:id="3283" w:name="_Toc40521590"/>
      <w:bookmarkStart w:id="3284" w:name="_Toc40530449"/>
      <w:bookmarkStart w:id="3285" w:name="_Toc42778876"/>
      <w:bookmarkStart w:id="3286" w:name="_Toc42780016"/>
      <w:bookmarkStart w:id="3287" w:name="_Toc42780445"/>
      <w:bookmarkStart w:id="3288" w:name="_Toc42786435"/>
      <w:bookmarkStart w:id="3289" w:name="_Toc42791928"/>
      <w:bookmarkStart w:id="3290" w:name="_Toc42792090"/>
      <w:bookmarkStart w:id="3291" w:name="_Toc43117897"/>
      <w:bookmarkStart w:id="3292" w:name="_Toc43121536"/>
      <w:bookmarkStart w:id="3293" w:name="_Toc43122741"/>
      <w:bookmarkStart w:id="3294" w:name="_Toc43127796"/>
      <w:r w:rsidRPr="00027624">
        <w:lastRenderedPageBreak/>
        <w:t>Retirement ages</w:t>
      </w:r>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p>
    <w:p w14:paraId="5045C822" w14:textId="1874D106" w:rsidR="00B3792F" w:rsidRPr="00027624" w:rsidRDefault="00B3792F" w:rsidP="00B3792F">
      <w:r w:rsidRPr="00027624">
        <w:t>The greatest reduction in workforce participation occurs at ages 65</w:t>
      </w:r>
      <w:r w:rsidR="00A8443E" w:rsidRPr="00027624">
        <w:noBreakHyphen/>
      </w:r>
      <w:r w:rsidRPr="00027624">
        <w:t>69 for both Aboriginal and Torres Strait Islander people and the total population (</w:t>
      </w:r>
      <w:r w:rsidRPr="00027624">
        <w:fldChar w:fldCharType="begin"/>
      </w:r>
      <w:r w:rsidRPr="00027624">
        <w:instrText xml:space="preserve"> REF _Ref45150834 \w \h </w:instrText>
      </w:r>
      <w:r w:rsidR="00FA7639" w:rsidRPr="00027624">
        <w:instrText xml:space="preserve"> \* MERGEFORMAT </w:instrText>
      </w:r>
      <w:r w:rsidRPr="00027624">
        <w:fldChar w:fldCharType="separate"/>
      </w:r>
      <w:r w:rsidR="00891058">
        <w:t>Chart 3F-4</w:t>
      </w:r>
      <w:r w:rsidRPr="00027624">
        <w:fldChar w:fldCharType="end"/>
      </w:r>
      <w:r w:rsidRPr="00027624">
        <w:t>), despite Aboriginal and Torres Strait Islander people having lower life expectancies. One factor may be the strong role the Age Pension eligibility age plays in influencing when people retire (see</w:t>
      </w:r>
      <w:r w:rsidRPr="00027624">
        <w:rPr>
          <w:i/>
        </w:rPr>
        <w:t xml:space="preserve"> 5A. Cohesion</w:t>
      </w:r>
      <w:r w:rsidRPr="00027624">
        <w:t xml:space="preserve">). </w:t>
      </w:r>
    </w:p>
    <w:p w14:paraId="201B9D6A" w14:textId="77777777" w:rsidR="00B3792F" w:rsidRPr="00027624" w:rsidRDefault="00B3792F" w:rsidP="00B3792F">
      <w:r w:rsidRPr="00027624">
        <w:t>But the data may not tell the full story. First,</w:t>
      </w:r>
      <w:r w:rsidRPr="00027624">
        <w:rPr>
          <w:szCs w:val="22"/>
        </w:rPr>
        <w:t xml:space="preserve"> fewer</w:t>
      </w:r>
      <w:r w:rsidRPr="00027624">
        <w:t xml:space="preserve"> Aboriginal and Torres Strait Islander people are in the labour force, creating a smaller base from which to measure their departure. This makes it difficult to identify strong retirement trends.</w:t>
      </w:r>
    </w:p>
    <w:p w14:paraId="5E72B5E9" w14:textId="77777777" w:rsidR="00B3792F" w:rsidRPr="00027624" w:rsidRDefault="00B3792F" w:rsidP="00B3792F">
      <w:pPr>
        <w:pStyle w:val="Dash"/>
        <w:numPr>
          <w:ilvl w:val="1"/>
          <w:numId w:val="0"/>
        </w:numPr>
      </w:pPr>
      <w:r w:rsidRPr="00027624">
        <w:t>Second, in contrast to the ABS data, First Nations Foundation noted that, in their experience, Aboriginal and Torres Strait Islander people are not likely to retire at a given age. Instead, community responsibilities require that they continue working full</w:t>
      </w:r>
      <w:r w:rsidR="00A8443E" w:rsidRPr="00027624">
        <w:noBreakHyphen/>
      </w:r>
      <w:r w:rsidRPr="00027624">
        <w:t xml:space="preserve"> or part</w:t>
      </w:r>
      <w:r w:rsidR="00A8443E" w:rsidRPr="00027624">
        <w:noBreakHyphen/>
      </w:r>
      <w:r w:rsidRPr="00027624">
        <w:t xml:space="preserve">time while receiving the Age Pension. </w:t>
      </w:r>
    </w:p>
    <w:p w14:paraId="71B993A4" w14:textId="77777777" w:rsidR="00B3792F" w:rsidRPr="00027624" w:rsidRDefault="00B3792F" w:rsidP="00582C3E">
      <w:pPr>
        <w:pStyle w:val="ChartMainHeading"/>
      </w:pPr>
      <w:bookmarkStart w:id="3295" w:name="_Ref33702750"/>
      <w:bookmarkStart w:id="3296" w:name="_Ref45150834"/>
      <w:bookmarkEnd w:id="3295"/>
      <w:r w:rsidRPr="00027624">
        <w:t>Change in labour force participation rate from the age 45</w:t>
      </w:r>
      <w:r w:rsidR="00A8443E" w:rsidRPr="00027624">
        <w:noBreakHyphen/>
      </w:r>
      <w:r w:rsidRPr="00027624">
        <w:t>49 baseline, by age and Indigenous status</w:t>
      </w:r>
      <w:bookmarkEnd w:id="3296"/>
    </w:p>
    <w:p w14:paraId="7761FF46" w14:textId="77777777" w:rsidR="00B3792F" w:rsidRPr="00027624" w:rsidRDefault="00004C37" w:rsidP="00B3792F">
      <w:pPr>
        <w:pStyle w:val="ChartGraphic"/>
      </w:pPr>
      <w:r>
        <w:rPr>
          <w:noProof/>
        </w:rPr>
        <w:drawing>
          <wp:inline distT="0" distB="0" distL="0" distR="0" wp14:anchorId="320390B5" wp14:editId="4DD347F2">
            <wp:extent cx="5577840" cy="2522220"/>
            <wp:effectExtent l="0" t="0" r="3810" b="0"/>
            <wp:docPr id="242" name="Picture 242" descr="This chart shows that between ages 50-79, the change in the labour force participation rate from the age 45-49 baseline is very similar for Aboriginal and Torres Strait Islander people and the total population. This includes the greatest reduction in workforce participation occurring at ages 65-69 for both Aboriginal and Torres Strait Islander people and the total population." title="Chart 3F-4 Change in labour force participation rate from the age 45 49 baseline, by age and Indigenous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058B14A6" w14:textId="77777777" w:rsidR="00B3792F" w:rsidRPr="00027624" w:rsidRDefault="00B3792F" w:rsidP="00B3792F">
      <w:pPr>
        <w:pStyle w:val="ChartorTableNote"/>
      </w:pPr>
      <w:r w:rsidRPr="00027624">
        <w:t>Note: 2016 data. This chart takes the proportion of people in the labour force at age 45</w:t>
      </w:r>
      <w:r w:rsidR="00A8443E" w:rsidRPr="00027624">
        <w:noBreakHyphen/>
      </w:r>
      <w:r w:rsidRPr="00027624">
        <w:t>49 as a baseline, and then measures the percentage point reduction in labour force participation rate from this baseline at future ages (i.e. of the 100 per cent of people in the labour force across the total population at age 45</w:t>
      </w:r>
      <w:r w:rsidR="00A8443E" w:rsidRPr="00027624">
        <w:noBreakHyphen/>
      </w:r>
      <w:r w:rsidRPr="00027624">
        <w:t>49, 3 percentage points left the labour force at ages 50</w:t>
      </w:r>
      <w:r w:rsidR="00A8443E" w:rsidRPr="00027624">
        <w:noBreakHyphen/>
      </w:r>
      <w:r w:rsidRPr="00027624">
        <w:t>54, a further 9 percentage points left at ages 55</w:t>
      </w:r>
      <w:r w:rsidR="00A8443E" w:rsidRPr="00027624">
        <w:noBreakHyphen/>
      </w:r>
      <w:r w:rsidRPr="00027624">
        <w:t xml:space="preserve">59, and so on). The results may be impacted by the relatively small sample size of Aboriginal and Torres Strait Islander people in the labour force at later ages. Source: Analysis of </w:t>
      </w:r>
      <w:sdt>
        <w:sdtPr>
          <w:id w:val="879127657"/>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p>
    <w:p w14:paraId="43A3CD4A" w14:textId="77777777" w:rsidR="00B3792F" w:rsidRPr="00027624" w:rsidRDefault="00B3792F" w:rsidP="00B3792F">
      <w:pPr>
        <w:pStyle w:val="Heading3"/>
      </w:pPr>
      <w:bookmarkStart w:id="3297" w:name="_Toc40366202"/>
      <w:bookmarkStart w:id="3298" w:name="_Toc40369748"/>
      <w:bookmarkStart w:id="3299" w:name="_Toc40427904"/>
      <w:bookmarkStart w:id="3300" w:name="_Toc40458158"/>
      <w:bookmarkStart w:id="3301" w:name="_Toc40461927"/>
      <w:bookmarkStart w:id="3302" w:name="_Toc40474482"/>
      <w:bookmarkStart w:id="3303" w:name="_Toc40478011"/>
      <w:bookmarkStart w:id="3304" w:name="_Toc40521591"/>
      <w:bookmarkStart w:id="3305" w:name="_Toc40530450"/>
      <w:bookmarkStart w:id="3306" w:name="_Toc42778877"/>
      <w:bookmarkStart w:id="3307" w:name="_Toc42780017"/>
      <w:bookmarkStart w:id="3308" w:name="_Toc42780446"/>
      <w:bookmarkStart w:id="3309" w:name="_Toc42786436"/>
      <w:bookmarkStart w:id="3310" w:name="_Toc42791929"/>
      <w:bookmarkStart w:id="3311" w:name="_Toc42792091"/>
      <w:bookmarkStart w:id="3312" w:name="_Toc43117898"/>
      <w:bookmarkStart w:id="3313" w:name="_Toc43121537"/>
      <w:bookmarkStart w:id="3314" w:name="_Toc43122742"/>
      <w:bookmarkStart w:id="3315" w:name="_Toc43127797"/>
      <w:r w:rsidRPr="00027624">
        <w:t>Income support in retirement</w:t>
      </w:r>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p>
    <w:p w14:paraId="7E07776E" w14:textId="77777777" w:rsidR="00B3792F" w:rsidRPr="00027624" w:rsidRDefault="00B3792F" w:rsidP="00B3792F">
      <w:pPr>
        <w:pStyle w:val="Dash"/>
        <w:numPr>
          <w:ilvl w:val="1"/>
          <w:numId w:val="0"/>
        </w:numPr>
      </w:pPr>
      <w:r w:rsidRPr="00027624">
        <w:t xml:space="preserve">Determining the actual proportion of Aboriginal and Torres Strait Islander people </w:t>
      </w:r>
      <w:r w:rsidR="00581E72" w:rsidRPr="00027624">
        <w:t>who</w:t>
      </w:r>
      <w:r w:rsidRPr="00027624">
        <w:t xml:space="preserve"> receive income support over Age Pension eligibility age is challenging. Coverage rates are determined by comparing Department of Social Services payment statistics with Census data. However, the tiny population of Aboriginal and Torres Strait Islander people over Age Pension eligibility age means small differences in the number of people identifying as Aboriginal and/or Torres Strait Islander across the two datasets can create large differences in the coverage rate, resulting in misleading data. </w:t>
      </w:r>
    </w:p>
    <w:p w14:paraId="7F7DB835" w14:textId="75F771FC" w:rsidR="00B3792F" w:rsidRPr="00027624" w:rsidRDefault="00B3792F" w:rsidP="00B3792F">
      <w:pPr>
        <w:pStyle w:val="Dash"/>
        <w:numPr>
          <w:ilvl w:val="1"/>
          <w:numId w:val="0"/>
        </w:numPr>
      </w:pPr>
      <w:r w:rsidRPr="00027624">
        <w:t xml:space="preserve">For example, at 30 June 2016, Department of Social Services data suggests that 56.7 per cent of Aboriginal and Torres Strait Islander people received income support over Age Pension </w:t>
      </w:r>
      <w:r w:rsidR="00581E72" w:rsidRPr="00027624">
        <w:t xml:space="preserve">eligibility </w:t>
      </w:r>
      <w:r w:rsidRPr="00027624">
        <w:t>age (</w:t>
      </w:r>
      <w:r w:rsidRPr="00027624">
        <w:fldChar w:fldCharType="begin"/>
      </w:r>
      <w:r w:rsidRPr="00027624">
        <w:instrText xml:space="preserve"> REF _Ref40342765 \r \h  \* MERGEFORMAT </w:instrText>
      </w:r>
      <w:r w:rsidRPr="00027624">
        <w:fldChar w:fldCharType="separate"/>
      </w:r>
      <w:r w:rsidR="00891058">
        <w:t>Table 3F-4</w:t>
      </w:r>
      <w:r w:rsidRPr="00027624">
        <w:fldChar w:fldCharType="end"/>
      </w:r>
      <w:r w:rsidRPr="00027624">
        <w:t>) compared with 71.6 per cent of the total population.</w:t>
      </w:r>
      <w:r w:rsidRPr="00027624">
        <w:rPr>
          <w:rStyle w:val="FootnoteReference"/>
        </w:rPr>
        <w:footnoteReference w:id="220"/>
      </w:r>
      <w:r w:rsidRPr="00027624">
        <w:t xml:space="preserve"> This seems unlikely given previous findings of disadvantage for Aboriginal and Torres Strait Islander people. Data on the means </w:t>
      </w:r>
      <w:r w:rsidRPr="00027624">
        <w:lastRenderedPageBreak/>
        <w:t>test status of recipients shows they are more likely to be maximum</w:t>
      </w:r>
      <w:r w:rsidR="00A8443E" w:rsidRPr="00027624">
        <w:noBreakHyphen/>
      </w:r>
      <w:r w:rsidRPr="00027624">
        <w:t>rate recipients than the total population (</w:t>
      </w:r>
      <w:r w:rsidRPr="00027624">
        <w:fldChar w:fldCharType="begin"/>
      </w:r>
      <w:r w:rsidRPr="00027624">
        <w:instrText xml:space="preserve"> REF _Ref40872170 \r \h  \* MERGEFORMAT </w:instrText>
      </w:r>
      <w:r w:rsidRPr="00027624">
        <w:fldChar w:fldCharType="separate"/>
      </w:r>
      <w:r w:rsidR="00891058">
        <w:t>Table 3F-5</w:t>
      </w:r>
      <w:r w:rsidRPr="00027624">
        <w:fldChar w:fldCharType="end"/>
      </w:r>
      <w:r w:rsidRPr="00027624">
        <w:t>).</w:t>
      </w:r>
    </w:p>
    <w:p w14:paraId="1510D632" w14:textId="77777777" w:rsidR="00B3792F" w:rsidRPr="00027624" w:rsidRDefault="00B3792F" w:rsidP="00582C3E">
      <w:pPr>
        <w:pStyle w:val="TableMainHeading"/>
      </w:pPr>
      <w:bookmarkStart w:id="3316" w:name="_Ref40342765"/>
      <w:r w:rsidRPr="00027624">
        <w:t>Number of Aboriginal and Torres Strait Islander people over Age Pension eligibility age on income support payments</w:t>
      </w:r>
      <w:bookmarkEnd w:id="3316"/>
    </w:p>
    <w:tbl>
      <w:tblPr>
        <w:tblW w:w="5000" w:type="pct"/>
        <w:tblLook w:val="01E0" w:firstRow="1" w:lastRow="1" w:firstColumn="1" w:lastColumn="1" w:noHBand="0" w:noVBand="0"/>
      </w:tblPr>
      <w:tblGrid>
        <w:gridCol w:w="3025"/>
        <w:gridCol w:w="3023"/>
        <w:gridCol w:w="3022"/>
      </w:tblGrid>
      <w:tr w:rsidR="00B3792F" w:rsidRPr="00027624" w14:paraId="5F522F26" w14:textId="77777777" w:rsidTr="00B3792F">
        <w:trPr>
          <w:tblHeader/>
        </w:trPr>
        <w:tc>
          <w:tcPr>
            <w:tcW w:w="1667" w:type="pct"/>
            <w:shd w:val="clear" w:color="auto" w:fill="E5E5E5"/>
          </w:tcPr>
          <w:p w14:paraId="41F60944" w14:textId="77777777" w:rsidR="00B3792F" w:rsidRPr="00027624" w:rsidRDefault="00B3792F" w:rsidP="00B3792F">
            <w:pPr>
              <w:pStyle w:val="TableTextLeft"/>
            </w:pPr>
          </w:p>
        </w:tc>
        <w:tc>
          <w:tcPr>
            <w:tcW w:w="1666" w:type="pct"/>
            <w:shd w:val="clear" w:color="auto" w:fill="E5E5E5"/>
          </w:tcPr>
          <w:p w14:paraId="16CE4C06" w14:textId="77777777" w:rsidR="00B3792F" w:rsidRPr="00027624" w:rsidRDefault="00B3792F" w:rsidP="00B3792F">
            <w:pPr>
              <w:pStyle w:val="TableColumnHeadingCentred"/>
            </w:pPr>
            <w:r w:rsidRPr="00027624">
              <w:t>30 June 2016</w:t>
            </w:r>
          </w:p>
        </w:tc>
        <w:tc>
          <w:tcPr>
            <w:tcW w:w="1666" w:type="pct"/>
            <w:shd w:val="clear" w:color="auto" w:fill="E5E5E5"/>
          </w:tcPr>
          <w:p w14:paraId="03473F40" w14:textId="77777777" w:rsidR="00B3792F" w:rsidRPr="00027624" w:rsidRDefault="00B3792F" w:rsidP="00B3792F">
            <w:pPr>
              <w:pStyle w:val="TableColumnHeadingCentred"/>
            </w:pPr>
            <w:r w:rsidRPr="00027624">
              <w:t>30 June 2019</w:t>
            </w:r>
          </w:p>
        </w:tc>
      </w:tr>
      <w:tr w:rsidR="00B3792F" w:rsidRPr="00027624" w14:paraId="437551DD" w14:textId="77777777" w:rsidTr="00B3792F">
        <w:tc>
          <w:tcPr>
            <w:tcW w:w="1667" w:type="pct"/>
          </w:tcPr>
          <w:p w14:paraId="6EE7A7C9" w14:textId="77777777" w:rsidR="00B3792F" w:rsidRPr="00027624" w:rsidRDefault="00B3792F" w:rsidP="00B3792F">
            <w:pPr>
              <w:pStyle w:val="TableTextLeft"/>
            </w:pPr>
            <w:r w:rsidRPr="00027624">
              <w:rPr>
                <w:rFonts w:cstheme="minorHAnsi"/>
                <w:color w:val="000000" w:themeColor="dark1"/>
                <w:kern w:val="24"/>
              </w:rPr>
              <w:t>Age Pension</w:t>
            </w:r>
          </w:p>
        </w:tc>
        <w:tc>
          <w:tcPr>
            <w:tcW w:w="1666" w:type="pct"/>
            <w:vAlign w:val="center"/>
          </w:tcPr>
          <w:p w14:paraId="481CB8D7" w14:textId="77777777" w:rsidR="00B3792F" w:rsidRPr="00027624" w:rsidRDefault="00B3792F" w:rsidP="00B3792F">
            <w:pPr>
              <w:pStyle w:val="TableTextCentered"/>
            </w:pPr>
            <w:r w:rsidRPr="00027624">
              <w:t>18,206</w:t>
            </w:r>
          </w:p>
        </w:tc>
        <w:tc>
          <w:tcPr>
            <w:tcW w:w="1666" w:type="pct"/>
            <w:vAlign w:val="center"/>
          </w:tcPr>
          <w:p w14:paraId="10EBDC76" w14:textId="77777777" w:rsidR="00B3792F" w:rsidRPr="00027624" w:rsidRDefault="00B3792F" w:rsidP="00B3792F">
            <w:pPr>
              <w:pStyle w:val="TableTextCentered"/>
            </w:pPr>
            <w:r w:rsidRPr="00027624">
              <w:t>21,667</w:t>
            </w:r>
          </w:p>
        </w:tc>
      </w:tr>
      <w:tr w:rsidR="00B3792F" w:rsidRPr="00027624" w14:paraId="542636E2" w14:textId="77777777" w:rsidTr="00B3792F">
        <w:tc>
          <w:tcPr>
            <w:tcW w:w="1667" w:type="pct"/>
          </w:tcPr>
          <w:p w14:paraId="06D27191" w14:textId="77777777" w:rsidR="00B3792F" w:rsidRPr="00027624" w:rsidRDefault="00B3792F" w:rsidP="00B3792F">
            <w:pPr>
              <w:pStyle w:val="TableTextLeft"/>
              <w:rPr>
                <w:rFonts w:cstheme="minorHAnsi"/>
                <w:color w:val="000000" w:themeColor="dark1"/>
                <w:kern w:val="24"/>
              </w:rPr>
            </w:pPr>
            <w:r w:rsidRPr="00027624">
              <w:rPr>
                <w:rFonts w:cstheme="minorHAnsi"/>
                <w:color w:val="000000" w:themeColor="dark1"/>
                <w:kern w:val="24"/>
              </w:rPr>
              <w:t>Carer Payment</w:t>
            </w:r>
          </w:p>
        </w:tc>
        <w:tc>
          <w:tcPr>
            <w:tcW w:w="1666" w:type="pct"/>
            <w:vAlign w:val="center"/>
          </w:tcPr>
          <w:p w14:paraId="525B78D4" w14:textId="77777777" w:rsidR="00B3792F" w:rsidRPr="00027624" w:rsidRDefault="00B3792F" w:rsidP="00B3792F">
            <w:pPr>
              <w:pStyle w:val="TableTextCentered"/>
            </w:pPr>
            <w:r w:rsidRPr="00027624">
              <w:t>478</w:t>
            </w:r>
          </w:p>
        </w:tc>
        <w:tc>
          <w:tcPr>
            <w:tcW w:w="1666" w:type="pct"/>
            <w:vAlign w:val="center"/>
          </w:tcPr>
          <w:p w14:paraId="1A373CDA" w14:textId="77777777" w:rsidR="00B3792F" w:rsidRPr="00027624" w:rsidRDefault="00B3792F" w:rsidP="00B3792F">
            <w:pPr>
              <w:pStyle w:val="TableTextCentered"/>
            </w:pPr>
            <w:r w:rsidRPr="00027624">
              <w:t>671</w:t>
            </w:r>
          </w:p>
        </w:tc>
      </w:tr>
      <w:tr w:rsidR="00B3792F" w:rsidRPr="00027624" w14:paraId="32917A58" w14:textId="77777777" w:rsidTr="00B3792F">
        <w:tc>
          <w:tcPr>
            <w:tcW w:w="1667" w:type="pct"/>
          </w:tcPr>
          <w:p w14:paraId="59146513" w14:textId="77777777" w:rsidR="00B3792F" w:rsidRPr="00027624" w:rsidRDefault="00B3792F" w:rsidP="00B3792F">
            <w:pPr>
              <w:pStyle w:val="TableTextLeft"/>
              <w:rPr>
                <w:rFonts w:cstheme="minorBidi"/>
                <w:color w:val="000000" w:themeColor="dark1"/>
                <w:kern w:val="24"/>
              </w:rPr>
            </w:pPr>
            <w:r w:rsidRPr="00027624">
              <w:rPr>
                <w:rFonts w:cstheme="minorBidi"/>
                <w:color w:val="000000" w:themeColor="dark1"/>
                <w:kern w:val="24"/>
              </w:rPr>
              <w:t>Disability Support Pension</w:t>
            </w:r>
          </w:p>
        </w:tc>
        <w:tc>
          <w:tcPr>
            <w:tcW w:w="1666" w:type="pct"/>
            <w:vAlign w:val="center"/>
          </w:tcPr>
          <w:p w14:paraId="7E767618" w14:textId="77777777" w:rsidR="00B3792F" w:rsidRPr="00027624" w:rsidRDefault="00B3792F" w:rsidP="00B3792F">
            <w:pPr>
              <w:pStyle w:val="TableTextCentered"/>
            </w:pPr>
            <w:r w:rsidRPr="00027624">
              <w:t>591</w:t>
            </w:r>
          </w:p>
        </w:tc>
        <w:tc>
          <w:tcPr>
            <w:tcW w:w="1666" w:type="pct"/>
            <w:vAlign w:val="center"/>
          </w:tcPr>
          <w:p w14:paraId="219D8203" w14:textId="77777777" w:rsidR="00B3792F" w:rsidRPr="00027624" w:rsidRDefault="00B3792F" w:rsidP="00B3792F">
            <w:pPr>
              <w:pStyle w:val="TableTextCentered"/>
            </w:pPr>
            <w:r w:rsidRPr="00027624">
              <w:t>835</w:t>
            </w:r>
          </w:p>
        </w:tc>
      </w:tr>
      <w:tr w:rsidR="00B3792F" w:rsidRPr="00027624" w14:paraId="419FE303" w14:textId="77777777" w:rsidTr="00B3792F">
        <w:tc>
          <w:tcPr>
            <w:tcW w:w="1667" w:type="pct"/>
          </w:tcPr>
          <w:p w14:paraId="120F3FDD" w14:textId="77777777" w:rsidR="00B3792F" w:rsidRPr="00027624" w:rsidRDefault="00B3792F" w:rsidP="00B3792F">
            <w:pPr>
              <w:pStyle w:val="TableTextLeft"/>
              <w:rPr>
                <w:rFonts w:cstheme="minorHAnsi"/>
                <w:color w:val="000000" w:themeColor="dark1"/>
                <w:kern w:val="24"/>
              </w:rPr>
            </w:pPr>
            <w:r w:rsidRPr="00027624">
              <w:rPr>
                <w:rFonts w:cstheme="minorHAnsi"/>
                <w:color w:val="000000" w:themeColor="dark1"/>
                <w:kern w:val="24"/>
              </w:rPr>
              <w:t xml:space="preserve">Other payments </w:t>
            </w:r>
          </w:p>
        </w:tc>
        <w:tc>
          <w:tcPr>
            <w:tcW w:w="1666" w:type="pct"/>
            <w:vAlign w:val="center"/>
          </w:tcPr>
          <w:p w14:paraId="6E11B61B" w14:textId="77777777" w:rsidR="00B3792F" w:rsidRPr="00027624" w:rsidRDefault="00B3792F" w:rsidP="00B3792F">
            <w:pPr>
              <w:pStyle w:val="TableTextCentered"/>
            </w:pPr>
            <w:r w:rsidRPr="00027624">
              <w:rPr>
                <w:color w:val="000000" w:themeColor="dark1"/>
                <w:kern w:val="24"/>
              </w:rPr>
              <w:t>12</w:t>
            </w:r>
          </w:p>
        </w:tc>
        <w:tc>
          <w:tcPr>
            <w:tcW w:w="1666" w:type="pct"/>
            <w:vAlign w:val="center"/>
          </w:tcPr>
          <w:p w14:paraId="38842C2F" w14:textId="77777777" w:rsidR="00B3792F" w:rsidRPr="00027624" w:rsidRDefault="00B3792F" w:rsidP="00B3792F">
            <w:pPr>
              <w:pStyle w:val="TableTextCentered"/>
            </w:pPr>
            <w:r w:rsidRPr="00027624">
              <w:rPr>
                <w:color w:val="000000" w:themeColor="dark1"/>
                <w:kern w:val="24"/>
              </w:rPr>
              <w:t>10</w:t>
            </w:r>
          </w:p>
        </w:tc>
      </w:tr>
      <w:tr w:rsidR="00B3792F" w:rsidRPr="00027624" w14:paraId="4330A212" w14:textId="77777777" w:rsidTr="00B3792F">
        <w:tc>
          <w:tcPr>
            <w:tcW w:w="1667" w:type="pct"/>
          </w:tcPr>
          <w:p w14:paraId="2DD4BF0F" w14:textId="77777777" w:rsidR="00B3792F" w:rsidRPr="00027624" w:rsidRDefault="00B3792F" w:rsidP="00B3792F">
            <w:pPr>
              <w:pStyle w:val="TableTextLeft"/>
              <w:rPr>
                <w:rFonts w:cstheme="minorHAnsi"/>
                <w:color w:val="000000" w:themeColor="dark1"/>
                <w:kern w:val="24"/>
              </w:rPr>
            </w:pPr>
            <w:r w:rsidRPr="00027624">
              <w:rPr>
                <w:rFonts w:cstheme="minorHAnsi"/>
                <w:b/>
                <w:color w:val="000000" w:themeColor="dark1"/>
                <w:kern w:val="24"/>
              </w:rPr>
              <w:t>Total receiving payments</w:t>
            </w:r>
          </w:p>
        </w:tc>
        <w:tc>
          <w:tcPr>
            <w:tcW w:w="1666" w:type="pct"/>
            <w:vAlign w:val="center"/>
          </w:tcPr>
          <w:p w14:paraId="55B27B8A" w14:textId="77777777" w:rsidR="00B3792F" w:rsidRPr="00027624" w:rsidRDefault="00B3792F" w:rsidP="00B3792F">
            <w:pPr>
              <w:pStyle w:val="TableTextCentered"/>
              <w:rPr>
                <w:b/>
                <w:color w:val="000000" w:themeColor="dark1"/>
                <w:kern w:val="24"/>
              </w:rPr>
            </w:pPr>
            <w:r w:rsidRPr="00027624">
              <w:rPr>
                <w:b/>
                <w:color w:val="000000" w:themeColor="dark1"/>
                <w:kern w:val="24"/>
              </w:rPr>
              <w:t>19,287</w:t>
            </w:r>
          </w:p>
        </w:tc>
        <w:tc>
          <w:tcPr>
            <w:tcW w:w="1666" w:type="pct"/>
            <w:vAlign w:val="center"/>
          </w:tcPr>
          <w:p w14:paraId="3B3A35D9" w14:textId="77777777" w:rsidR="00B3792F" w:rsidRPr="00027624" w:rsidRDefault="00B3792F" w:rsidP="00B3792F">
            <w:pPr>
              <w:pStyle w:val="TableTextCentered"/>
              <w:rPr>
                <w:b/>
                <w:color w:val="000000" w:themeColor="dark1"/>
                <w:kern w:val="24"/>
              </w:rPr>
            </w:pPr>
            <w:r w:rsidRPr="00027624">
              <w:rPr>
                <w:b/>
                <w:color w:val="000000" w:themeColor="dark1"/>
                <w:kern w:val="24"/>
              </w:rPr>
              <w:t>23,183</w:t>
            </w:r>
          </w:p>
        </w:tc>
      </w:tr>
      <w:tr w:rsidR="00B3792F" w:rsidRPr="00027624" w14:paraId="4ADFC9ED" w14:textId="77777777" w:rsidTr="00B3792F">
        <w:tc>
          <w:tcPr>
            <w:tcW w:w="1667" w:type="pct"/>
          </w:tcPr>
          <w:p w14:paraId="3BC65705" w14:textId="77777777" w:rsidR="00B3792F" w:rsidRPr="00027624" w:rsidRDefault="00B3792F" w:rsidP="00B3792F">
            <w:pPr>
              <w:pStyle w:val="TableTextLeft"/>
              <w:rPr>
                <w:rFonts w:cstheme="minorHAnsi"/>
                <w:b/>
                <w:color w:val="000000" w:themeColor="dark1"/>
                <w:kern w:val="24"/>
              </w:rPr>
            </w:pPr>
            <w:r w:rsidRPr="00027624">
              <w:rPr>
                <w:rFonts w:cstheme="minorHAnsi"/>
                <w:b/>
                <w:color w:val="000000" w:themeColor="dark1"/>
                <w:kern w:val="24"/>
              </w:rPr>
              <w:t>Total population at Census</w:t>
            </w:r>
          </w:p>
        </w:tc>
        <w:tc>
          <w:tcPr>
            <w:tcW w:w="1666" w:type="pct"/>
            <w:vAlign w:val="center"/>
          </w:tcPr>
          <w:p w14:paraId="4305236C" w14:textId="77777777" w:rsidR="00B3792F" w:rsidRPr="00027624" w:rsidRDefault="00B3792F" w:rsidP="00B3792F">
            <w:pPr>
              <w:pStyle w:val="TableTextCentered"/>
              <w:rPr>
                <w:b/>
                <w:color w:val="000000" w:themeColor="dark1"/>
                <w:kern w:val="24"/>
              </w:rPr>
            </w:pPr>
            <w:r w:rsidRPr="00027624">
              <w:rPr>
                <w:b/>
                <w:color w:val="000000" w:themeColor="dark1"/>
                <w:kern w:val="24"/>
              </w:rPr>
              <w:t>34,012</w:t>
            </w:r>
          </w:p>
        </w:tc>
        <w:tc>
          <w:tcPr>
            <w:tcW w:w="1666" w:type="pct"/>
            <w:vAlign w:val="center"/>
          </w:tcPr>
          <w:p w14:paraId="372CC073" w14:textId="77777777" w:rsidR="00B3792F" w:rsidRPr="00027624" w:rsidRDefault="00B3792F" w:rsidP="00B3792F">
            <w:pPr>
              <w:pStyle w:val="TableTextCentered"/>
              <w:rPr>
                <w:b/>
                <w:color w:val="000000" w:themeColor="dark1"/>
                <w:kern w:val="24"/>
              </w:rPr>
            </w:pPr>
            <w:r w:rsidRPr="00027624">
              <w:rPr>
                <w:b/>
                <w:color w:val="000000" w:themeColor="dark1"/>
                <w:kern w:val="24"/>
              </w:rPr>
              <w:t>n/a</w:t>
            </w:r>
          </w:p>
        </w:tc>
      </w:tr>
    </w:tbl>
    <w:p w14:paraId="06527440" w14:textId="77777777" w:rsidR="00B3792F" w:rsidRPr="00027624" w:rsidRDefault="00B3792F" w:rsidP="00B3792F">
      <w:pPr>
        <w:pStyle w:val="ChartorTableNote"/>
      </w:pPr>
      <w:r w:rsidRPr="00027624">
        <w:t xml:space="preserve">Note: Age Pension eligibility age was 65 on 30 June 2016 and 65.5 on 30 June 2019. Those receiving the Disability Support Pension prior to Age Pension </w:t>
      </w:r>
      <w:r w:rsidR="00581E72" w:rsidRPr="00027624">
        <w:t xml:space="preserve">eligibility </w:t>
      </w:r>
      <w:r w:rsidRPr="00027624">
        <w:t xml:space="preserve">age can continue to receive the Disability Support Pension over Age Pension </w:t>
      </w:r>
      <w:r w:rsidR="00581E72" w:rsidRPr="00027624">
        <w:t xml:space="preserve">eligibility </w:t>
      </w:r>
      <w:r w:rsidRPr="00027624">
        <w:t xml:space="preserve">age (see </w:t>
      </w:r>
      <w:r w:rsidRPr="00027624">
        <w:rPr>
          <w:i/>
        </w:rPr>
        <w:t>1B. Design of Australia</w:t>
      </w:r>
      <w:r w:rsidR="00A8443E" w:rsidRPr="00027624">
        <w:rPr>
          <w:i/>
        </w:rPr>
        <w:t>’</w:t>
      </w:r>
      <w:r w:rsidRPr="00027624">
        <w:rPr>
          <w:i/>
        </w:rPr>
        <w:t>s retirement income system</w:t>
      </w:r>
      <w:r w:rsidRPr="00027624">
        <w:t xml:space="preserve"> for details). Source: Department of Social Services payment data, 30 June 2016 and 30 June 2019;</w:t>
      </w:r>
      <w:sdt>
        <w:sdtPr>
          <w:id w:val="-1671566801"/>
          <w:citation/>
        </w:sdtPr>
        <w:sdtEndPr/>
        <w:sdtContent>
          <w:r w:rsidRPr="00027624">
            <w:fldChar w:fldCharType="begin"/>
          </w:r>
          <w:r w:rsidRPr="00027624">
            <w:instrText xml:space="preserve">CITATION ABS9n \l 3081 </w:instrText>
          </w:r>
          <w:r w:rsidRPr="00027624">
            <w:fldChar w:fldCharType="separate"/>
          </w:r>
          <w:r w:rsidR="00E83F6E">
            <w:rPr>
              <w:noProof/>
            </w:rPr>
            <w:t xml:space="preserve"> (ABS, 2019i)</w:t>
          </w:r>
          <w:r w:rsidRPr="00027624">
            <w:fldChar w:fldCharType="end"/>
          </w:r>
        </w:sdtContent>
      </w:sdt>
      <w:r w:rsidRPr="00027624">
        <w:t>.</w:t>
      </w:r>
    </w:p>
    <w:p w14:paraId="244264FD" w14:textId="77777777" w:rsidR="00B3792F" w:rsidRPr="00027624" w:rsidRDefault="00B3792F" w:rsidP="00582C3E">
      <w:pPr>
        <w:pStyle w:val="TableMainHeading"/>
      </w:pPr>
      <w:bookmarkStart w:id="3317" w:name="_Ref33703088"/>
      <w:bookmarkStart w:id="3318" w:name="_Ref35518092"/>
      <w:bookmarkStart w:id="3319" w:name="_Ref40872170"/>
      <w:bookmarkEnd w:id="3317"/>
      <w:r w:rsidRPr="00027624">
        <w:t>Means test status of people over Age Pension eligibility age receiving income support, by Indigenous status</w:t>
      </w:r>
      <w:bookmarkEnd w:id="3318"/>
      <w:bookmarkEnd w:id="3319"/>
    </w:p>
    <w:tbl>
      <w:tblPr>
        <w:tblW w:w="5000" w:type="pct"/>
        <w:tblLook w:val="01E0" w:firstRow="1" w:lastRow="1" w:firstColumn="1" w:lastColumn="1" w:noHBand="0" w:noVBand="0"/>
      </w:tblPr>
      <w:tblGrid>
        <w:gridCol w:w="2587"/>
        <w:gridCol w:w="3898"/>
        <w:gridCol w:w="2585"/>
      </w:tblGrid>
      <w:tr w:rsidR="00B3792F" w:rsidRPr="00027624" w14:paraId="3BB02C95" w14:textId="77777777" w:rsidTr="00B3792F">
        <w:trPr>
          <w:tblHeader/>
        </w:trPr>
        <w:tc>
          <w:tcPr>
            <w:tcW w:w="1426" w:type="pct"/>
            <w:shd w:val="clear" w:color="auto" w:fill="E5E5E5"/>
          </w:tcPr>
          <w:p w14:paraId="2228F80F" w14:textId="77777777" w:rsidR="00B3792F" w:rsidRPr="00027624" w:rsidRDefault="00B3792F" w:rsidP="00B3792F">
            <w:pPr>
              <w:pStyle w:val="TableColumnHeadingLeft"/>
              <w:keepLines/>
            </w:pPr>
          </w:p>
        </w:tc>
        <w:tc>
          <w:tcPr>
            <w:tcW w:w="2149" w:type="pct"/>
            <w:shd w:val="clear" w:color="auto" w:fill="E5E5E5"/>
          </w:tcPr>
          <w:p w14:paraId="18C10921" w14:textId="77777777" w:rsidR="00B3792F" w:rsidRPr="00027624" w:rsidRDefault="00B3792F" w:rsidP="00B3792F">
            <w:pPr>
              <w:pStyle w:val="TableColumnHeadingCentred"/>
              <w:keepLines/>
            </w:pPr>
            <w:r w:rsidRPr="00027624">
              <w:t>Aboriginal and Torres Strait Islander people</w:t>
            </w:r>
            <w:r w:rsidRPr="00027624">
              <w:br/>
              <w:t>(per cent)</w:t>
            </w:r>
          </w:p>
        </w:tc>
        <w:tc>
          <w:tcPr>
            <w:tcW w:w="1425" w:type="pct"/>
            <w:shd w:val="clear" w:color="auto" w:fill="E5E5E5"/>
          </w:tcPr>
          <w:p w14:paraId="4087FAE0" w14:textId="77777777" w:rsidR="00B3792F" w:rsidRPr="00027624" w:rsidRDefault="00B3792F" w:rsidP="00B3792F">
            <w:pPr>
              <w:pStyle w:val="TableColumnHeadingCentred"/>
              <w:keepLines/>
            </w:pPr>
            <w:r w:rsidRPr="00027624">
              <w:t xml:space="preserve">Total population </w:t>
            </w:r>
            <w:r w:rsidRPr="00027624">
              <w:br/>
              <w:t>(per cent)</w:t>
            </w:r>
          </w:p>
        </w:tc>
      </w:tr>
      <w:tr w:rsidR="00B3792F" w:rsidRPr="00027624" w14:paraId="6EBF85A0" w14:textId="77777777" w:rsidTr="00B3792F">
        <w:tc>
          <w:tcPr>
            <w:tcW w:w="1426" w:type="pct"/>
          </w:tcPr>
          <w:p w14:paraId="70AB155C" w14:textId="77777777" w:rsidR="00B3792F" w:rsidRPr="00027624" w:rsidRDefault="00B3792F" w:rsidP="00B3792F">
            <w:pPr>
              <w:pStyle w:val="TableTextLeft"/>
              <w:keepLines/>
            </w:pPr>
            <w:r w:rsidRPr="00027624">
              <w:rPr>
                <w:rFonts w:cs="Arial"/>
                <w:color w:val="000000" w:themeColor="dark1"/>
                <w:kern w:val="24"/>
              </w:rPr>
              <w:t xml:space="preserve">Full rate </w:t>
            </w:r>
          </w:p>
        </w:tc>
        <w:tc>
          <w:tcPr>
            <w:tcW w:w="2149" w:type="pct"/>
            <w:vAlign w:val="center"/>
          </w:tcPr>
          <w:p w14:paraId="6E5F6454" w14:textId="77777777" w:rsidR="00B3792F" w:rsidRPr="00027624" w:rsidRDefault="00B3792F" w:rsidP="00B3792F">
            <w:pPr>
              <w:pStyle w:val="TableTextCentered"/>
              <w:keepLines/>
            </w:pPr>
            <w:r w:rsidRPr="00027624">
              <w:t>85.2</w:t>
            </w:r>
          </w:p>
        </w:tc>
        <w:tc>
          <w:tcPr>
            <w:tcW w:w="1425" w:type="pct"/>
            <w:vAlign w:val="center"/>
          </w:tcPr>
          <w:p w14:paraId="5C98D8BC" w14:textId="77777777" w:rsidR="00B3792F" w:rsidRPr="00027624" w:rsidRDefault="00B3792F" w:rsidP="00B3792F">
            <w:pPr>
              <w:pStyle w:val="TableTextCentered"/>
              <w:keepLines/>
            </w:pPr>
            <w:r w:rsidRPr="00027624">
              <w:t>61.9</w:t>
            </w:r>
          </w:p>
        </w:tc>
      </w:tr>
      <w:tr w:rsidR="00B3792F" w:rsidRPr="00027624" w14:paraId="27AB52F4" w14:textId="77777777" w:rsidTr="00B3792F">
        <w:tc>
          <w:tcPr>
            <w:tcW w:w="1426" w:type="pct"/>
          </w:tcPr>
          <w:p w14:paraId="44764974" w14:textId="77777777" w:rsidR="00B3792F" w:rsidRPr="00027624" w:rsidRDefault="00B3792F" w:rsidP="00B3792F">
            <w:pPr>
              <w:pStyle w:val="TableTextLeft"/>
              <w:keepLines/>
              <w:rPr>
                <w:rFonts w:cs="Arial"/>
                <w:color w:val="000000" w:themeColor="dark1"/>
                <w:kern w:val="24"/>
              </w:rPr>
            </w:pPr>
            <w:r w:rsidRPr="00027624">
              <w:rPr>
                <w:rFonts w:cs="Arial"/>
                <w:color w:val="000000" w:themeColor="dark1"/>
                <w:kern w:val="24"/>
              </w:rPr>
              <w:t>Income</w:t>
            </w:r>
            <w:r w:rsidR="00A8443E" w:rsidRPr="00027624">
              <w:rPr>
                <w:rFonts w:cs="Arial"/>
                <w:color w:val="000000" w:themeColor="dark1"/>
                <w:kern w:val="24"/>
              </w:rPr>
              <w:noBreakHyphen/>
            </w:r>
            <w:r w:rsidRPr="00027624">
              <w:rPr>
                <w:rFonts w:cs="Arial"/>
                <w:color w:val="000000" w:themeColor="dark1"/>
                <w:kern w:val="24"/>
              </w:rPr>
              <w:t>tested</w:t>
            </w:r>
          </w:p>
        </w:tc>
        <w:tc>
          <w:tcPr>
            <w:tcW w:w="2149" w:type="pct"/>
            <w:vAlign w:val="center"/>
          </w:tcPr>
          <w:p w14:paraId="08ECCA93" w14:textId="77777777" w:rsidR="00B3792F" w:rsidRPr="00027624" w:rsidRDefault="00B3792F" w:rsidP="00B3792F">
            <w:pPr>
              <w:pStyle w:val="TableTextCentered"/>
              <w:keepLines/>
            </w:pPr>
            <w:r w:rsidRPr="00027624">
              <w:t>11.0</w:t>
            </w:r>
          </w:p>
        </w:tc>
        <w:tc>
          <w:tcPr>
            <w:tcW w:w="1425" w:type="pct"/>
            <w:vAlign w:val="center"/>
          </w:tcPr>
          <w:p w14:paraId="7F241E4C" w14:textId="77777777" w:rsidR="00B3792F" w:rsidRPr="00027624" w:rsidRDefault="00B3792F" w:rsidP="00B3792F">
            <w:pPr>
              <w:pStyle w:val="TableTextCentered"/>
              <w:keepLines/>
            </w:pPr>
            <w:r w:rsidRPr="00027624">
              <w:t>24.9</w:t>
            </w:r>
          </w:p>
        </w:tc>
      </w:tr>
      <w:tr w:rsidR="00B3792F" w:rsidRPr="00027624" w14:paraId="3BD134BB" w14:textId="77777777" w:rsidTr="00B3792F">
        <w:tc>
          <w:tcPr>
            <w:tcW w:w="1426" w:type="pct"/>
          </w:tcPr>
          <w:p w14:paraId="729A3287" w14:textId="77777777" w:rsidR="00B3792F" w:rsidRPr="00027624" w:rsidRDefault="00B3792F" w:rsidP="00B3792F">
            <w:pPr>
              <w:pStyle w:val="TableTextLeft"/>
              <w:keepLines/>
              <w:rPr>
                <w:rFonts w:cs="Arial"/>
                <w:color w:val="000000" w:themeColor="dark1"/>
                <w:kern w:val="24"/>
              </w:rPr>
            </w:pPr>
            <w:r w:rsidRPr="00027624">
              <w:rPr>
                <w:rFonts w:cs="Arial"/>
                <w:color w:val="000000" w:themeColor="dark1"/>
                <w:kern w:val="24"/>
              </w:rPr>
              <w:t>Assets</w:t>
            </w:r>
            <w:r w:rsidR="00A8443E" w:rsidRPr="00027624">
              <w:rPr>
                <w:rFonts w:cs="Arial"/>
                <w:color w:val="000000" w:themeColor="dark1"/>
                <w:kern w:val="24"/>
              </w:rPr>
              <w:noBreakHyphen/>
            </w:r>
            <w:r w:rsidRPr="00027624">
              <w:rPr>
                <w:rFonts w:cs="Arial"/>
                <w:color w:val="000000" w:themeColor="dark1"/>
                <w:kern w:val="24"/>
              </w:rPr>
              <w:t>tested</w:t>
            </w:r>
          </w:p>
        </w:tc>
        <w:tc>
          <w:tcPr>
            <w:tcW w:w="2149" w:type="pct"/>
            <w:vAlign w:val="center"/>
          </w:tcPr>
          <w:p w14:paraId="209167B8" w14:textId="77777777" w:rsidR="00B3792F" w:rsidRPr="00027624" w:rsidRDefault="00B3792F" w:rsidP="00B3792F">
            <w:pPr>
              <w:pStyle w:val="TableTextCentered"/>
              <w:keepLines/>
            </w:pPr>
            <w:r w:rsidRPr="00027624">
              <w:t>3.4</w:t>
            </w:r>
          </w:p>
        </w:tc>
        <w:tc>
          <w:tcPr>
            <w:tcW w:w="1425" w:type="pct"/>
            <w:vAlign w:val="center"/>
          </w:tcPr>
          <w:p w14:paraId="0544CF4B" w14:textId="77777777" w:rsidR="00B3792F" w:rsidRPr="00027624" w:rsidRDefault="00B3792F" w:rsidP="00B3792F">
            <w:pPr>
              <w:pStyle w:val="TableTextCentered"/>
              <w:keepLines/>
            </w:pPr>
            <w:r w:rsidRPr="00027624">
              <w:t>13.0</w:t>
            </w:r>
          </w:p>
        </w:tc>
      </w:tr>
    </w:tbl>
    <w:p w14:paraId="63E0C485" w14:textId="77777777" w:rsidR="00B3792F" w:rsidRPr="00027624" w:rsidRDefault="00B3792F" w:rsidP="00B3792F">
      <w:pPr>
        <w:pStyle w:val="ChartorTableNote"/>
      </w:pPr>
      <w:r w:rsidRPr="00027624">
        <w:t>Note: Figures may not sum to 100 per cent due to rounding and the exclusion of undetermined/manual rate recipients. Due to the relatively high proportion of Aboriginal and Torres Strait Islander people who receive payments other than the Age Pension over Age Pension eligibility age, the proportions in this table for Aboriginal and Torres Strait Islander people include all types of income support payments received over Age Pension eligibility age. Total population figure only includes Age Pension recipients. Source: Department of Social Services payment data, 30 June 2019.</w:t>
      </w:r>
    </w:p>
    <w:p w14:paraId="40E0134F" w14:textId="214CD291" w:rsidR="00B3792F" w:rsidRPr="00027624" w:rsidRDefault="00B3792F" w:rsidP="00B3792F">
      <w:r w:rsidRPr="00027624">
        <w:t>It appears that a significant number of people who identified as Aboriginal and</w:t>
      </w:r>
      <w:r w:rsidR="00A0304B" w:rsidRPr="00027624">
        <w:t>/or</w:t>
      </w:r>
      <w:r w:rsidRPr="00027624">
        <w:t xml:space="preserve"> Torres Strait Islander in the Census did not do so when applying for income support, especially those in major cities and regional areas (</w:t>
      </w:r>
      <w:r w:rsidRPr="00027624">
        <w:rPr>
          <w:szCs w:val="22"/>
        </w:rPr>
        <w:fldChar w:fldCharType="begin"/>
      </w:r>
      <w:r w:rsidRPr="00027624">
        <w:instrText xml:space="preserve"> REF _Ref35518206 \r \h </w:instrText>
      </w:r>
      <w:r w:rsidRPr="00027624">
        <w:rPr>
          <w:szCs w:val="22"/>
        </w:rPr>
        <w:instrText xml:space="preserve"> \* MERGEFORMAT </w:instrText>
      </w:r>
      <w:r w:rsidRPr="00027624">
        <w:rPr>
          <w:szCs w:val="22"/>
        </w:rPr>
      </w:r>
      <w:r w:rsidRPr="00027624">
        <w:rPr>
          <w:szCs w:val="22"/>
        </w:rPr>
        <w:fldChar w:fldCharType="separate"/>
      </w:r>
      <w:r w:rsidR="00891058">
        <w:t>Table 3F-6</w:t>
      </w:r>
      <w:r w:rsidRPr="00027624">
        <w:rPr>
          <w:szCs w:val="22"/>
        </w:rPr>
        <w:fldChar w:fldCharType="end"/>
      </w:r>
      <w:r w:rsidRPr="00027624">
        <w:t>). First Nations Foundation suggested this could be due to distrust or misunderstanding of how Centrelink uses data on Indigenous status.</w:t>
      </w:r>
    </w:p>
    <w:p w14:paraId="6F51943D" w14:textId="77777777" w:rsidR="00B3792F" w:rsidRPr="00027624" w:rsidRDefault="00B3792F" w:rsidP="00582C3E">
      <w:pPr>
        <w:pStyle w:val="TableMainHeading"/>
      </w:pPr>
      <w:bookmarkStart w:id="3320" w:name="_Ref33703214"/>
      <w:bookmarkStart w:id="3321" w:name="_Ref35518206"/>
      <w:bookmarkEnd w:id="3320"/>
      <w:r w:rsidRPr="00027624">
        <w:t>Number of people identifying as Aboriginal and/or Torres Strait Islander of Age Pension age, by dataset</w:t>
      </w:r>
      <w:bookmarkEnd w:id="3321"/>
    </w:p>
    <w:tbl>
      <w:tblPr>
        <w:tblW w:w="5000" w:type="pct"/>
        <w:tblLook w:val="01E0" w:firstRow="1" w:lastRow="1" w:firstColumn="1" w:lastColumn="1" w:noHBand="0" w:noVBand="0"/>
      </w:tblPr>
      <w:tblGrid>
        <w:gridCol w:w="2168"/>
        <w:gridCol w:w="2171"/>
        <w:gridCol w:w="2171"/>
        <w:gridCol w:w="2560"/>
      </w:tblGrid>
      <w:tr w:rsidR="00B3792F" w:rsidRPr="00027624" w14:paraId="75FFB848" w14:textId="77777777" w:rsidTr="00B3792F">
        <w:trPr>
          <w:tblHeader/>
        </w:trPr>
        <w:tc>
          <w:tcPr>
            <w:tcW w:w="1195" w:type="pct"/>
            <w:shd w:val="clear" w:color="auto" w:fill="E5E5E5"/>
          </w:tcPr>
          <w:p w14:paraId="27B0E07F" w14:textId="77777777" w:rsidR="00B3792F" w:rsidRPr="00027624" w:rsidRDefault="00B3792F" w:rsidP="00B3792F">
            <w:pPr>
              <w:pStyle w:val="TableColumnHeadingCentred"/>
            </w:pPr>
          </w:p>
        </w:tc>
        <w:tc>
          <w:tcPr>
            <w:tcW w:w="1197" w:type="pct"/>
            <w:shd w:val="clear" w:color="auto" w:fill="E5E5E5"/>
          </w:tcPr>
          <w:p w14:paraId="47A13730" w14:textId="77777777" w:rsidR="00B3792F" w:rsidRPr="00027624" w:rsidRDefault="00B3792F" w:rsidP="00B3792F">
            <w:pPr>
              <w:pStyle w:val="TableColumnHeadingCentred"/>
            </w:pPr>
            <w:r w:rsidRPr="00027624">
              <w:t>ABS</w:t>
            </w:r>
          </w:p>
        </w:tc>
        <w:tc>
          <w:tcPr>
            <w:tcW w:w="1197" w:type="pct"/>
            <w:shd w:val="clear" w:color="auto" w:fill="E5E5E5"/>
          </w:tcPr>
          <w:p w14:paraId="0ECEF81E" w14:textId="77777777" w:rsidR="00B3792F" w:rsidRPr="00027624" w:rsidRDefault="00B3792F" w:rsidP="00B3792F">
            <w:pPr>
              <w:pStyle w:val="TableColumnHeadingCentred"/>
            </w:pPr>
            <w:r w:rsidRPr="00027624">
              <w:t>Department of Social Services</w:t>
            </w:r>
          </w:p>
        </w:tc>
        <w:tc>
          <w:tcPr>
            <w:tcW w:w="1411" w:type="pct"/>
            <w:shd w:val="clear" w:color="auto" w:fill="E5E5E5"/>
          </w:tcPr>
          <w:p w14:paraId="35115BE9" w14:textId="77777777" w:rsidR="00B3792F" w:rsidRPr="00027624" w:rsidRDefault="00B3792F" w:rsidP="00B3792F">
            <w:pPr>
              <w:pStyle w:val="TableColumnHeadingCentred"/>
            </w:pPr>
            <w:r w:rsidRPr="00027624">
              <w:t>Income support coverage (Department of Social Services divided by ABS) (per cent)</w:t>
            </w:r>
          </w:p>
        </w:tc>
      </w:tr>
      <w:tr w:rsidR="00B3792F" w:rsidRPr="00027624" w14:paraId="7D5BAA01" w14:textId="77777777" w:rsidTr="00B3792F">
        <w:tc>
          <w:tcPr>
            <w:tcW w:w="1195" w:type="pct"/>
          </w:tcPr>
          <w:p w14:paraId="6E4D9CA9" w14:textId="77777777" w:rsidR="00B3792F" w:rsidRPr="00027624" w:rsidRDefault="00B3792F" w:rsidP="00B3792F">
            <w:pPr>
              <w:pStyle w:val="TableTextLeft"/>
            </w:pPr>
            <w:r w:rsidRPr="00027624">
              <w:rPr>
                <w:rFonts w:cs="Arial"/>
                <w:kern w:val="24"/>
              </w:rPr>
              <w:t>Major cities</w:t>
            </w:r>
          </w:p>
        </w:tc>
        <w:tc>
          <w:tcPr>
            <w:tcW w:w="1197" w:type="pct"/>
            <w:vAlign w:val="center"/>
          </w:tcPr>
          <w:p w14:paraId="327FFF00" w14:textId="77777777" w:rsidR="00B3792F" w:rsidRPr="00027624" w:rsidRDefault="00B3792F" w:rsidP="00B3792F">
            <w:pPr>
              <w:pStyle w:val="TableTextCentered"/>
            </w:pPr>
            <w:r w:rsidRPr="00027624">
              <w:t>11,717</w:t>
            </w:r>
          </w:p>
        </w:tc>
        <w:tc>
          <w:tcPr>
            <w:tcW w:w="1197" w:type="pct"/>
            <w:vAlign w:val="center"/>
          </w:tcPr>
          <w:p w14:paraId="7366635C" w14:textId="77777777" w:rsidR="00B3792F" w:rsidRPr="00027624" w:rsidRDefault="00B3792F" w:rsidP="00B3792F">
            <w:pPr>
              <w:pStyle w:val="TableTextCentered"/>
            </w:pPr>
            <w:r w:rsidRPr="00027624">
              <w:t>5,544</w:t>
            </w:r>
          </w:p>
        </w:tc>
        <w:tc>
          <w:tcPr>
            <w:tcW w:w="1411" w:type="pct"/>
            <w:vAlign w:val="center"/>
          </w:tcPr>
          <w:p w14:paraId="39FEC1C0" w14:textId="77777777" w:rsidR="00B3792F" w:rsidRPr="00027624" w:rsidRDefault="00B3792F" w:rsidP="00B3792F">
            <w:pPr>
              <w:pStyle w:val="TableTextCentered"/>
            </w:pPr>
            <w:r w:rsidRPr="00027624">
              <w:t>47.3</w:t>
            </w:r>
          </w:p>
        </w:tc>
      </w:tr>
      <w:tr w:rsidR="00B3792F" w:rsidRPr="00027624" w14:paraId="32F24068" w14:textId="77777777" w:rsidTr="00B3792F">
        <w:tc>
          <w:tcPr>
            <w:tcW w:w="1195" w:type="pct"/>
          </w:tcPr>
          <w:p w14:paraId="4095DE9A" w14:textId="77777777" w:rsidR="00B3792F" w:rsidRPr="00027624" w:rsidRDefault="00B3792F" w:rsidP="00B3792F">
            <w:pPr>
              <w:pStyle w:val="TableTextLeft"/>
              <w:rPr>
                <w:rFonts w:cs="Arial"/>
                <w:kern w:val="24"/>
              </w:rPr>
            </w:pPr>
            <w:r w:rsidRPr="00027624">
              <w:rPr>
                <w:rFonts w:cs="Arial"/>
                <w:kern w:val="24"/>
              </w:rPr>
              <w:t>Inner regional</w:t>
            </w:r>
          </w:p>
        </w:tc>
        <w:tc>
          <w:tcPr>
            <w:tcW w:w="1197" w:type="pct"/>
            <w:vAlign w:val="center"/>
          </w:tcPr>
          <w:p w14:paraId="508985B2" w14:textId="77777777" w:rsidR="00B3792F" w:rsidRPr="00027624" w:rsidRDefault="00B3792F" w:rsidP="00B3792F">
            <w:pPr>
              <w:pStyle w:val="TableTextCentered"/>
            </w:pPr>
            <w:r w:rsidRPr="00027624">
              <w:t>8,427</w:t>
            </w:r>
          </w:p>
        </w:tc>
        <w:tc>
          <w:tcPr>
            <w:tcW w:w="1197" w:type="pct"/>
            <w:vAlign w:val="center"/>
          </w:tcPr>
          <w:p w14:paraId="46DAF001" w14:textId="77777777" w:rsidR="00B3792F" w:rsidRPr="00027624" w:rsidRDefault="00B3792F" w:rsidP="00B3792F">
            <w:pPr>
              <w:pStyle w:val="TableTextCentered"/>
            </w:pPr>
            <w:r w:rsidRPr="00027624">
              <w:t>4,170</w:t>
            </w:r>
          </w:p>
        </w:tc>
        <w:tc>
          <w:tcPr>
            <w:tcW w:w="1411" w:type="pct"/>
            <w:vAlign w:val="center"/>
          </w:tcPr>
          <w:p w14:paraId="5836373F" w14:textId="77777777" w:rsidR="00B3792F" w:rsidRPr="00027624" w:rsidRDefault="00B3792F" w:rsidP="00B3792F">
            <w:pPr>
              <w:pStyle w:val="TableTextCentered"/>
            </w:pPr>
            <w:r w:rsidRPr="00027624">
              <w:t>49.5</w:t>
            </w:r>
          </w:p>
        </w:tc>
      </w:tr>
      <w:tr w:rsidR="00B3792F" w:rsidRPr="00027624" w14:paraId="7CEA8BD7" w14:textId="77777777" w:rsidTr="00B3792F">
        <w:tc>
          <w:tcPr>
            <w:tcW w:w="1195" w:type="pct"/>
          </w:tcPr>
          <w:p w14:paraId="129DAB6D" w14:textId="77777777" w:rsidR="00B3792F" w:rsidRPr="00027624" w:rsidRDefault="00B3792F" w:rsidP="00B3792F">
            <w:pPr>
              <w:pStyle w:val="TableTextLeft"/>
              <w:rPr>
                <w:rFonts w:cs="Arial"/>
                <w:kern w:val="24"/>
              </w:rPr>
            </w:pPr>
            <w:r w:rsidRPr="00027624">
              <w:rPr>
                <w:rFonts w:cs="Arial"/>
                <w:kern w:val="24"/>
              </w:rPr>
              <w:t xml:space="preserve">Outer regional </w:t>
            </w:r>
          </w:p>
        </w:tc>
        <w:tc>
          <w:tcPr>
            <w:tcW w:w="1197" w:type="pct"/>
            <w:vAlign w:val="center"/>
          </w:tcPr>
          <w:p w14:paraId="45C63FAD" w14:textId="77777777" w:rsidR="00B3792F" w:rsidRPr="00027624" w:rsidRDefault="00B3792F" w:rsidP="00B3792F">
            <w:pPr>
              <w:pStyle w:val="TableTextCentered"/>
            </w:pPr>
            <w:r w:rsidRPr="00027624">
              <w:t>7,794</w:t>
            </w:r>
          </w:p>
        </w:tc>
        <w:tc>
          <w:tcPr>
            <w:tcW w:w="1197" w:type="pct"/>
            <w:vAlign w:val="center"/>
          </w:tcPr>
          <w:p w14:paraId="6185A9D6" w14:textId="77777777" w:rsidR="00B3792F" w:rsidRPr="00027624" w:rsidRDefault="00B3792F" w:rsidP="00B3792F">
            <w:pPr>
              <w:pStyle w:val="TableTextCentered"/>
            </w:pPr>
            <w:r w:rsidRPr="00027624">
              <w:t>4,766</w:t>
            </w:r>
          </w:p>
        </w:tc>
        <w:tc>
          <w:tcPr>
            <w:tcW w:w="1411" w:type="pct"/>
            <w:vAlign w:val="center"/>
          </w:tcPr>
          <w:p w14:paraId="5FD15659" w14:textId="77777777" w:rsidR="00B3792F" w:rsidRPr="00027624" w:rsidRDefault="00B3792F" w:rsidP="00B3792F">
            <w:pPr>
              <w:pStyle w:val="TableTextCentered"/>
            </w:pPr>
            <w:r w:rsidRPr="00027624">
              <w:t>61.1</w:t>
            </w:r>
          </w:p>
        </w:tc>
      </w:tr>
      <w:tr w:rsidR="00B3792F" w:rsidRPr="00027624" w14:paraId="3DFC6318" w14:textId="77777777" w:rsidTr="00B3792F">
        <w:tc>
          <w:tcPr>
            <w:tcW w:w="1195" w:type="pct"/>
          </w:tcPr>
          <w:p w14:paraId="4D03AC71" w14:textId="77777777" w:rsidR="00B3792F" w:rsidRPr="00027624" w:rsidRDefault="00B3792F" w:rsidP="00B3792F">
            <w:pPr>
              <w:pStyle w:val="TableTextLeft"/>
              <w:rPr>
                <w:rFonts w:cs="Arial"/>
                <w:kern w:val="24"/>
              </w:rPr>
            </w:pPr>
            <w:r w:rsidRPr="00027624">
              <w:rPr>
                <w:rFonts w:cs="Arial"/>
                <w:kern w:val="24"/>
              </w:rPr>
              <w:t>Remote</w:t>
            </w:r>
          </w:p>
        </w:tc>
        <w:tc>
          <w:tcPr>
            <w:tcW w:w="1197" w:type="pct"/>
            <w:vAlign w:val="center"/>
          </w:tcPr>
          <w:p w14:paraId="20FB5646" w14:textId="77777777" w:rsidR="00B3792F" w:rsidRPr="00027624" w:rsidRDefault="00B3792F" w:rsidP="00B3792F">
            <w:pPr>
              <w:pStyle w:val="TableTextCentered"/>
            </w:pPr>
            <w:r w:rsidRPr="00027624">
              <w:t>2,637</w:t>
            </w:r>
          </w:p>
        </w:tc>
        <w:tc>
          <w:tcPr>
            <w:tcW w:w="1197" w:type="pct"/>
            <w:vAlign w:val="center"/>
          </w:tcPr>
          <w:p w14:paraId="6529927F" w14:textId="77777777" w:rsidR="00B3792F" w:rsidRPr="00027624" w:rsidRDefault="00B3792F" w:rsidP="00B3792F">
            <w:pPr>
              <w:pStyle w:val="TableTextCentered"/>
            </w:pPr>
            <w:r w:rsidRPr="00027624">
              <w:t>1,825</w:t>
            </w:r>
          </w:p>
        </w:tc>
        <w:tc>
          <w:tcPr>
            <w:tcW w:w="1411" w:type="pct"/>
            <w:vAlign w:val="center"/>
          </w:tcPr>
          <w:p w14:paraId="06E5EE87" w14:textId="77777777" w:rsidR="00B3792F" w:rsidRPr="00027624" w:rsidRDefault="00B3792F" w:rsidP="00B3792F">
            <w:pPr>
              <w:pStyle w:val="TableTextCentered"/>
              <w:rPr>
                <w:b/>
              </w:rPr>
            </w:pPr>
            <w:r w:rsidRPr="00027624">
              <w:t>69.2</w:t>
            </w:r>
          </w:p>
        </w:tc>
      </w:tr>
      <w:tr w:rsidR="00B3792F" w:rsidRPr="00027624" w14:paraId="51A5B8E9" w14:textId="77777777" w:rsidTr="00B3792F">
        <w:tc>
          <w:tcPr>
            <w:tcW w:w="1195" w:type="pct"/>
          </w:tcPr>
          <w:p w14:paraId="16727673" w14:textId="77777777" w:rsidR="00B3792F" w:rsidRPr="00027624" w:rsidRDefault="00B3792F" w:rsidP="00B3792F">
            <w:pPr>
              <w:pStyle w:val="TableTextLeft"/>
              <w:rPr>
                <w:rFonts w:cs="Arial"/>
                <w:kern w:val="24"/>
              </w:rPr>
            </w:pPr>
            <w:r w:rsidRPr="00027624">
              <w:rPr>
                <w:rFonts w:cs="Arial"/>
                <w:kern w:val="24"/>
              </w:rPr>
              <w:t xml:space="preserve">Very remote </w:t>
            </w:r>
          </w:p>
        </w:tc>
        <w:tc>
          <w:tcPr>
            <w:tcW w:w="1197" w:type="pct"/>
            <w:vAlign w:val="center"/>
          </w:tcPr>
          <w:p w14:paraId="4036CE61" w14:textId="77777777" w:rsidR="00B3792F" w:rsidRPr="00027624" w:rsidRDefault="00B3792F" w:rsidP="00B3792F">
            <w:pPr>
              <w:pStyle w:val="TableTextCentered"/>
            </w:pPr>
            <w:r w:rsidRPr="00027624">
              <w:t>3,437</w:t>
            </w:r>
          </w:p>
        </w:tc>
        <w:tc>
          <w:tcPr>
            <w:tcW w:w="1197" w:type="pct"/>
            <w:vAlign w:val="center"/>
          </w:tcPr>
          <w:p w14:paraId="11982659" w14:textId="77777777" w:rsidR="00B3792F" w:rsidRPr="00027624" w:rsidRDefault="00B3792F" w:rsidP="00B3792F">
            <w:pPr>
              <w:pStyle w:val="TableTextCentered"/>
            </w:pPr>
            <w:r w:rsidRPr="00027624">
              <w:t>2,889</w:t>
            </w:r>
          </w:p>
        </w:tc>
        <w:tc>
          <w:tcPr>
            <w:tcW w:w="1411" w:type="pct"/>
            <w:vAlign w:val="center"/>
          </w:tcPr>
          <w:p w14:paraId="1503E646" w14:textId="77777777" w:rsidR="00B3792F" w:rsidRPr="00027624" w:rsidRDefault="00B3792F" w:rsidP="00B3792F">
            <w:pPr>
              <w:pStyle w:val="TableTextCentered"/>
            </w:pPr>
            <w:r w:rsidRPr="00027624">
              <w:t>84.1</w:t>
            </w:r>
          </w:p>
        </w:tc>
      </w:tr>
      <w:tr w:rsidR="00B3792F" w:rsidRPr="00027624" w14:paraId="35BB2946" w14:textId="77777777" w:rsidTr="00B3792F">
        <w:tc>
          <w:tcPr>
            <w:tcW w:w="1195" w:type="pct"/>
          </w:tcPr>
          <w:p w14:paraId="5DB3A64C" w14:textId="77777777" w:rsidR="00B3792F" w:rsidRPr="00027624" w:rsidRDefault="00B3792F" w:rsidP="00B3792F">
            <w:pPr>
              <w:pStyle w:val="TableTextLeft"/>
              <w:rPr>
                <w:rFonts w:cs="Arial"/>
                <w:b/>
                <w:kern w:val="24"/>
              </w:rPr>
            </w:pPr>
            <w:r w:rsidRPr="00027624">
              <w:rPr>
                <w:rFonts w:cs="Arial"/>
                <w:b/>
                <w:kern w:val="24"/>
              </w:rPr>
              <w:t>Total</w:t>
            </w:r>
          </w:p>
        </w:tc>
        <w:tc>
          <w:tcPr>
            <w:tcW w:w="1197" w:type="pct"/>
            <w:vAlign w:val="center"/>
          </w:tcPr>
          <w:p w14:paraId="4FFFA1C7" w14:textId="77777777" w:rsidR="00B3792F" w:rsidRPr="00027624" w:rsidRDefault="00B3792F" w:rsidP="00B3792F">
            <w:pPr>
              <w:pStyle w:val="TableTextCentered"/>
              <w:rPr>
                <w:b/>
              </w:rPr>
            </w:pPr>
            <w:r w:rsidRPr="00027624">
              <w:rPr>
                <w:rFonts w:cstheme="minorHAnsi"/>
                <w:b/>
                <w:color w:val="000000" w:themeColor="dark1"/>
              </w:rPr>
              <w:t>34,012</w:t>
            </w:r>
          </w:p>
        </w:tc>
        <w:tc>
          <w:tcPr>
            <w:tcW w:w="1197" w:type="pct"/>
            <w:vAlign w:val="center"/>
          </w:tcPr>
          <w:p w14:paraId="1CEE25EA" w14:textId="6784A2F5" w:rsidR="00B3792F" w:rsidRPr="00027624" w:rsidRDefault="00661648" w:rsidP="00B3792F">
            <w:pPr>
              <w:pStyle w:val="TableTextCentered"/>
              <w:rPr>
                <w:b/>
              </w:rPr>
            </w:pPr>
            <w:r>
              <w:rPr>
                <w:rFonts w:cstheme="minorHAnsi"/>
                <w:b/>
                <w:color w:val="000000" w:themeColor="dark1"/>
              </w:rPr>
              <w:t>19,287</w:t>
            </w:r>
          </w:p>
        </w:tc>
        <w:tc>
          <w:tcPr>
            <w:tcW w:w="1411" w:type="pct"/>
            <w:vAlign w:val="center"/>
          </w:tcPr>
          <w:p w14:paraId="77313495" w14:textId="77777777" w:rsidR="00B3792F" w:rsidRPr="00027624" w:rsidRDefault="00B3792F" w:rsidP="00B3792F">
            <w:pPr>
              <w:pStyle w:val="TableTextCentered"/>
              <w:rPr>
                <w:b/>
              </w:rPr>
            </w:pPr>
            <w:r w:rsidRPr="00027624">
              <w:rPr>
                <w:b/>
              </w:rPr>
              <w:t>56.7</w:t>
            </w:r>
          </w:p>
        </w:tc>
      </w:tr>
    </w:tbl>
    <w:p w14:paraId="682B20B1" w14:textId="77777777" w:rsidR="00B3792F" w:rsidRPr="00027624" w:rsidRDefault="00B3792F" w:rsidP="00B3792F">
      <w:pPr>
        <w:pStyle w:val="ChartorTableNote"/>
      </w:pPr>
      <w:r w:rsidRPr="00027624">
        <w:t xml:space="preserve">Note: Categories may not sum to total due to observations with unknown remoteness status. Source: Department of Social Services payment data, 30 June 2016; Analysis of </w:t>
      </w:r>
      <w:sdt>
        <w:sdtPr>
          <w:id w:val="-2011211257"/>
          <w:citation/>
        </w:sdtPr>
        <w:sdtEndPr/>
        <w:sdtContent>
          <w:r w:rsidRPr="00027624">
            <w:fldChar w:fldCharType="begin"/>
          </w:r>
          <w:r w:rsidRPr="00027624">
            <w:instrText xml:space="preserve"> CITATION ABS9n \l 3081 </w:instrText>
          </w:r>
          <w:r w:rsidRPr="00027624">
            <w:fldChar w:fldCharType="separate"/>
          </w:r>
          <w:r w:rsidR="00E83F6E">
            <w:rPr>
              <w:noProof/>
            </w:rPr>
            <w:t>(ABS, 2019i)</w:t>
          </w:r>
          <w:r w:rsidRPr="00027624">
            <w:fldChar w:fldCharType="end"/>
          </w:r>
        </w:sdtContent>
      </w:sdt>
      <w:r w:rsidRPr="00027624">
        <w:t>.</w:t>
      </w:r>
    </w:p>
    <w:p w14:paraId="59922454" w14:textId="77777777" w:rsidR="00B3792F" w:rsidRPr="00027624" w:rsidRDefault="00B3792F" w:rsidP="00B3792F">
      <w:pPr>
        <w:pStyle w:val="Heading3"/>
      </w:pPr>
      <w:bookmarkStart w:id="3322" w:name="_Toc40366203"/>
      <w:bookmarkStart w:id="3323" w:name="_Toc40369749"/>
      <w:bookmarkStart w:id="3324" w:name="_Toc40427905"/>
      <w:bookmarkStart w:id="3325" w:name="_Toc40458159"/>
      <w:bookmarkStart w:id="3326" w:name="_Toc40461928"/>
      <w:bookmarkStart w:id="3327" w:name="_Toc40474483"/>
      <w:bookmarkStart w:id="3328" w:name="_Toc40478012"/>
      <w:bookmarkStart w:id="3329" w:name="_Toc40521592"/>
      <w:bookmarkStart w:id="3330" w:name="_Toc40530451"/>
      <w:bookmarkStart w:id="3331" w:name="_Toc42778878"/>
      <w:bookmarkStart w:id="3332" w:name="_Toc42780018"/>
      <w:bookmarkStart w:id="3333" w:name="_Toc42780447"/>
      <w:bookmarkStart w:id="3334" w:name="_Toc42786437"/>
      <w:bookmarkStart w:id="3335" w:name="_Toc42791930"/>
      <w:bookmarkStart w:id="3336" w:name="_Toc42792092"/>
      <w:bookmarkStart w:id="3337" w:name="_Toc43117899"/>
      <w:bookmarkStart w:id="3338" w:name="_Toc43121538"/>
      <w:bookmarkStart w:id="3339" w:name="_Toc43122743"/>
      <w:bookmarkStart w:id="3340" w:name="_Toc43127798"/>
      <w:bookmarkStart w:id="3341" w:name="_Hlk34143546"/>
      <w:r w:rsidRPr="00027624">
        <w:lastRenderedPageBreak/>
        <w:t>Retirement income</w:t>
      </w:r>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r w:rsidRPr="00027624">
        <w:t xml:space="preserve"> </w:t>
      </w:r>
    </w:p>
    <w:bookmarkEnd w:id="3341"/>
    <w:p w14:paraId="56889849" w14:textId="200981E6" w:rsidR="00B3792F" w:rsidRPr="00027624" w:rsidRDefault="00B3792F" w:rsidP="00B3792F">
      <w:r w:rsidRPr="00027624">
        <w:rPr>
          <w:b/>
        </w:rPr>
        <w:t>Aboriginal and Torres Strait Islander people experience markedly lower working</w:t>
      </w:r>
      <w:r w:rsidR="00A8443E" w:rsidRPr="00027624">
        <w:rPr>
          <w:b/>
        </w:rPr>
        <w:noBreakHyphen/>
      </w:r>
      <w:r w:rsidRPr="00027624">
        <w:rPr>
          <w:b/>
        </w:rPr>
        <w:t>life incomes than non</w:t>
      </w:r>
      <w:r w:rsidR="00A8443E" w:rsidRPr="00027624">
        <w:rPr>
          <w:b/>
        </w:rPr>
        <w:noBreakHyphen/>
      </w:r>
      <w:r w:rsidRPr="00027624">
        <w:rPr>
          <w:b/>
        </w:rPr>
        <w:t xml:space="preserve">Indigenous people </w:t>
      </w:r>
      <w:r w:rsidRPr="00027624">
        <w:t>(</w:t>
      </w:r>
      <w:r w:rsidRPr="00027624">
        <w:fldChar w:fldCharType="begin"/>
      </w:r>
      <w:r w:rsidRPr="00027624">
        <w:instrText xml:space="preserve"> REF _Ref39056419 \r \h  \* MERGEFORMAT </w:instrText>
      </w:r>
      <w:r w:rsidRPr="00027624">
        <w:fldChar w:fldCharType="separate"/>
      </w:r>
      <w:r w:rsidR="00891058">
        <w:t>Chart 3F-5</w:t>
      </w:r>
      <w:r w:rsidRPr="00027624">
        <w:fldChar w:fldCharType="end"/>
      </w:r>
      <w:r w:rsidRPr="00027624">
        <w:t>)</w:t>
      </w:r>
      <w:r w:rsidRPr="00027624">
        <w:rPr>
          <w:b/>
        </w:rPr>
        <w:t>. In retirement, however, income distributions are significantly more aligned</w:t>
      </w:r>
      <w:r w:rsidRPr="00027624">
        <w:t>, with a peak in both populations at $1</w:t>
      </w:r>
      <w:r w:rsidR="00A8443E" w:rsidRPr="00027624">
        <w:noBreakHyphen/>
      </w:r>
      <w:r w:rsidRPr="00027624">
        <w:t>$499 a week. This coincides with the maximum rate of Age Pension, which, in August 2016, was $437 a week for singles and $329 a week for members of a couple</w:t>
      </w:r>
      <w:r w:rsidRPr="00027624">
        <w:fldChar w:fldCharType="begin"/>
      </w:r>
      <w:r w:rsidRPr="00027624">
        <w:instrText xml:space="preserve"> CITATION Serv19 \l 3081 </w:instrText>
      </w:r>
      <w:r w:rsidRPr="00027624">
        <w:fldChar w:fldCharType="separate"/>
      </w:r>
      <w:r w:rsidR="00E83F6E">
        <w:rPr>
          <w:noProof/>
        </w:rPr>
        <w:t xml:space="preserve"> (Services Australia, 2019)</w:t>
      </w:r>
      <w:r w:rsidRPr="00027624">
        <w:fldChar w:fldCharType="end"/>
      </w:r>
      <w:r w:rsidRPr="00027624">
        <w:t>. This aligns with other analysis that shows the disparity in incomes between Aboriginal and Torres Strait Islander people and non</w:t>
      </w:r>
      <w:r w:rsidR="00A8443E" w:rsidRPr="00027624">
        <w:noBreakHyphen/>
      </w:r>
      <w:r w:rsidRPr="00027624">
        <w:t>Indigenous people narrows in retirement</w:t>
      </w:r>
      <w:sdt>
        <w:sdtPr>
          <w:id w:val="1514418870"/>
          <w:citation/>
        </w:sdtPr>
        <w:sdtEndPr/>
        <w:sdtContent>
          <w:r w:rsidRPr="00027624">
            <w:fldChar w:fldCharType="begin"/>
          </w:r>
          <w:r w:rsidRPr="00027624">
            <w:instrText xml:space="preserve">CITATION Doc20 \p 20-23 \l 3081 </w:instrText>
          </w:r>
          <w:r w:rsidRPr="00027624">
            <w:fldChar w:fldCharType="separate"/>
          </w:r>
          <w:r w:rsidR="00E83F6E">
            <w:rPr>
              <w:noProof/>
            </w:rPr>
            <w:t xml:space="preserve"> (Dockery, 2020, pp. 20-23)</w:t>
          </w:r>
          <w:r w:rsidRPr="00027624">
            <w:fldChar w:fldCharType="end"/>
          </w:r>
        </w:sdtContent>
      </w:sdt>
      <w:r w:rsidRPr="00027624">
        <w:t xml:space="preserve">. </w:t>
      </w:r>
    </w:p>
    <w:p w14:paraId="51470654" w14:textId="77777777" w:rsidR="00B3792F" w:rsidRPr="00027624" w:rsidRDefault="00B3792F" w:rsidP="00582C3E">
      <w:pPr>
        <w:pStyle w:val="ChartMainHeading"/>
      </w:pPr>
      <w:bookmarkStart w:id="3342" w:name="_Ref33698487"/>
      <w:bookmarkEnd w:id="3342"/>
      <w:r w:rsidRPr="00027624">
        <w:t xml:space="preserve"> </w:t>
      </w:r>
      <w:bookmarkStart w:id="3343" w:name="_Ref39056419"/>
      <w:r w:rsidRPr="00027624">
        <w:t>Proportion of people at personal weekly income ranges, by age and Indigenous status</w:t>
      </w:r>
      <w:bookmarkEnd w:id="3343"/>
    </w:p>
    <w:tbl>
      <w:tblPr>
        <w:tblW w:w="5000" w:type="pct"/>
        <w:tblLook w:val="01E0" w:firstRow="1" w:lastRow="1" w:firstColumn="1" w:lastColumn="1" w:noHBand="0" w:noVBand="0"/>
      </w:tblPr>
      <w:tblGrid>
        <w:gridCol w:w="4535"/>
        <w:gridCol w:w="4535"/>
      </w:tblGrid>
      <w:tr w:rsidR="00B3792F" w:rsidRPr="00027624" w14:paraId="5708C224" w14:textId="77777777" w:rsidTr="00B3792F">
        <w:tc>
          <w:tcPr>
            <w:tcW w:w="2500" w:type="pct"/>
          </w:tcPr>
          <w:p w14:paraId="2CCAAE3E" w14:textId="77777777" w:rsidR="00B3792F" w:rsidRPr="00027624" w:rsidRDefault="00B3792F" w:rsidP="00B3792F">
            <w:pPr>
              <w:pStyle w:val="ChartSecondHeading"/>
            </w:pPr>
            <w:r w:rsidRPr="00027624">
              <w:t>Age 45</w:t>
            </w:r>
            <w:r w:rsidR="00A8443E" w:rsidRPr="00027624">
              <w:noBreakHyphen/>
            </w:r>
            <w:r w:rsidRPr="00027624">
              <w:t>54</w:t>
            </w:r>
          </w:p>
        </w:tc>
        <w:tc>
          <w:tcPr>
            <w:tcW w:w="2500" w:type="pct"/>
          </w:tcPr>
          <w:p w14:paraId="768B3F4F" w14:textId="77777777" w:rsidR="00B3792F" w:rsidRPr="00027624" w:rsidRDefault="00B3792F" w:rsidP="00B3792F">
            <w:pPr>
              <w:pStyle w:val="ChartSecondHeading"/>
            </w:pPr>
            <w:r w:rsidRPr="00027624">
              <w:t>Age 65</w:t>
            </w:r>
            <w:r w:rsidR="00A8443E" w:rsidRPr="00027624">
              <w:noBreakHyphen/>
            </w:r>
            <w:r w:rsidRPr="00027624">
              <w:t>74</w:t>
            </w:r>
          </w:p>
        </w:tc>
      </w:tr>
    </w:tbl>
    <w:p w14:paraId="060CD671" w14:textId="77777777" w:rsidR="00B3792F" w:rsidRPr="00027624" w:rsidRDefault="00552B8F" w:rsidP="00552B8F">
      <w:pPr>
        <w:pStyle w:val="ChartGraphic"/>
        <w:jc w:val="left"/>
      </w:pPr>
      <w:r>
        <w:rPr>
          <w:noProof/>
        </w:rPr>
        <w:drawing>
          <wp:inline distT="0" distB="0" distL="0" distR="0" wp14:anchorId="3D7BE0BC" wp14:editId="5469739F">
            <wp:extent cx="2872740" cy="2887980"/>
            <wp:effectExtent l="0" t="0" r="3810" b="7620"/>
            <wp:docPr id="243" name="Picture 243" descr="This chart shows Aboriginal and Torres Strait Islander people experience markedly lower incomes than non-Indigenous people at ages 45-54. Around 40 per cent of Aboriginal and Torres Strait Islander people earn between $1 and $499 per week compared with around 20 per cent of non-Indigenous people." title="Chart 3F-5 Proportion of people at personal weekly income ranges, by age and Indigenous status – Age 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872740" cy="2887980"/>
                    </a:xfrm>
                    <a:prstGeom prst="rect">
                      <a:avLst/>
                    </a:prstGeom>
                    <a:noFill/>
                  </pic:spPr>
                </pic:pic>
              </a:graphicData>
            </a:graphic>
          </wp:inline>
        </w:drawing>
      </w:r>
      <w:r>
        <w:rPr>
          <w:noProof/>
        </w:rPr>
        <w:drawing>
          <wp:inline distT="0" distB="0" distL="0" distR="0" wp14:anchorId="6C85871B" wp14:editId="599D09AC">
            <wp:extent cx="2880360" cy="2887980"/>
            <wp:effectExtent l="0" t="0" r="0" b="7620"/>
            <wp:docPr id="244" name="Picture 244" descr="This chart shows Aboriginal and Torres Strait Islander people have relatively similar personal weekly incomes to non-Indigenous people at ages 65-74. Around 70 per cent of Aboriginal and Torres Strait Islander people and around 50 per cent of non-Indigenous people earn between $1 and $499 per week." title="Chart 3F-5 Proportion of people at personal weekly income ranges, by age and Indigenous status – Age 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p w14:paraId="358B6E17" w14:textId="77777777" w:rsidR="00B3792F" w:rsidRPr="00027624" w:rsidRDefault="00B3792F" w:rsidP="00B3792F">
      <w:pPr>
        <w:pStyle w:val="ChartorTableNote"/>
      </w:pPr>
      <w:r w:rsidRPr="00027624">
        <w:t>Note: 2016 data, and self</w:t>
      </w:r>
      <w:r w:rsidR="00A8443E" w:rsidRPr="00027624">
        <w:noBreakHyphen/>
      </w:r>
      <w:r w:rsidRPr="00027624">
        <w:t xml:space="preserve">reported. Source: Analysis of </w:t>
      </w:r>
      <w:sdt>
        <w:sdtPr>
          <w:id w:val="-1155134315"/>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p>
    <w:p w14:paraId="410B354F" w14:textId="68E3AE71" w:rsidR="00B3792F" w:rsidRDefault="00B3792F" w:rsidP="00B3792F">
      <w:r w:rsidRPr="00027624">
        <w:t>Cameo modelling produces similar findings. The modelling compares the total retirement income for an Aboriginal and Torres Strait Islander earner to the total population, looking at two variables: the wage gap and life expectancy differences (</w:t>
      </w:r>
      <w:r w:rsidRPr="00027624">
        <w:fldChar w:fldCharType="begin"/>
      </w:r>
      <w:r w:rsidRPr="00027624">
        <w:instrText xml:space="preserve"> REF _Ref35518471 \r \h  \* MERGEFORMAT </w:instrText>
      </w:r>
      <w:r w:rsidRPr="00027624">
        <w:fldChar w:fldCharType="separate"/>
      </w:r>
      <w:r w:rsidR="00891058">
        <w:t>Table 3F-7</w:t>
      </w:r>
      <w:r w:rsidRPr="00027624">
        <w:fldChar w:fldCharType="end"/>
      </w:r>
      <w:r w:rsidRPr="00027624">
        <w:t>).</w:t>
      </w:r>
    </w:p>
    <w:p w14:paraId="6608E014" w14:textId="36E1351D" w:rsidR="00AB09DB" w:rsidRPr="00027624" w:rsidRDefault="00AB09DB" w:rsidP="00AB09DB">
      <w:r w:rsidRPr="00027624">
        <w:t>The cameo modelling shows a 16.6 per cent gap in wages (</w:t>
      </w:r>
      <w:r w:rsidRPr="00027624">
        <w:fldChar w:fldCharType="begin"/>
      </w:r>
      <w:r w:rsidRPr="00027624">
        <w:instrText xml:space="preserve"> REF _Ref35518323 \r \h  \* MERGEFORMAT </w:instrText>
      </w:r>
      <w:r w:rsidRPr="00027624">
        <w:fldChar w:fldCharType="separate"/>
      </w:r>
      <w:r w:rsidR="00891058">
        <w:t>Table 3F-2</w:t>
      </w:r>
      <w:r w:rsidRPr="00027624">
        <w:fldChar w:fldCharType="end"/>
      </w:r>
      <w:r w:rsidRPr="00027624">
        <w:t>) would result in a 25.5 per cent gap in superannuation balances at retirement between the median Aboriginal and Torres Strait Islander earner and the median earner in the total population (</w:t>
      </w:r>
      <w:r w:rsidRPr="00027624">
        <w:fldChar w:fldCharType="begin"/>
      </w:r>
      <w:r w:rsidRPr="00027624">
        <w:instrText xml:space="preserve"> REF _Ref35518471 \r \h  \* MERGEFORMAT </w:instrText>
      </w:r>
      <w:r w:rsidRPr="00027624">
        <w:fldChar w:fldCharType="separate"/>
      </w:r>
      <w:r w:rsidR="00891058">
        <w:t>Table 3F-7</w:t>
      </w:r>
      <w:r w:rsidRPr="00027624">
        <w:fldChar w:fldCharType="end"/>
      </w:r>
      <w:r w:rsidRPr="00027624">
        <w:t xml:space="preserve">). The gap in superannuation balances at retirement is larger than the gap in wages because of fees, compounding and the assumption that Aboriginal and Torres Strait Islander people are not making salary sacrifice contributions to their superannuation or accumulating private wealth. </w:t>
      </w:r>
    </w:p>
    <w:p w14:paraId="7D894AEF" w14:textId="77777777" w:rsidR="00AB09DB" w:rsidRPr="00027624" w:rsidRDefault="00AB09DB" w:rsidP="00AB09DB">
      <w:r w:rsidRPr="00027624">
        <w:t xml:space="preserve">The Age Pension improves retirement income equality between Aboriginal and Torres Strait Islander people and the total population. Cameo modelling suggests that, with continuous employment, the median Aboriginal and Torres Strait Islander person is expected to have an average annual retirement income 5.5 per cent lower than the median earner in the total population. A higher proportion of the retirement income of the median Aboriginal and Torres Strait Islander person is expected to come from the Age Pension. </w:t>
      </w:r>
    </w:p>
    <w:p w14:paraId="170CB3B4" w14:textId="77777777" w:rsidR="00AB09DB" w:rsidRPr="00027624" w:rsidRDefault="00AB09DB" w:rsidP="00B3792F">
      <w:r w:rsidRPr="00027624">
        <w:t>This gap would change if life expectancy for Aboriginal and Torres Strait Islander people improved to match the life expect</w:t>
      </w:r>
      <w:r>
        <w:t>ancy of the general population.</w:t>
      </w:r>
    </w:p>
    <w:p w14:paraId="5D56C40D" w14:textId="77777777" w:rsidR="00B3792F" w:rsidRPr="00027624" w:rsidRDefault="00B3792F" w:rsidP="00582C3E">
      <w:pPr>
        <w:pStyle w:val="TableMainHeading"/>
        <w:pageBreakBefore/>
      </w:pPr>
      <w:bookmarkStart w:id="3344" w:name="_Ref35518471"/>
      <w:r w:rsidRPr="00027624">
        <w:lastRenderedPageBreak/>
        <w:t>Projected outcomes for the median Aboriginal and Torres Strait Islander earner and total population</w:t>
      </w:r>
      <w:bookmarkEnd w:id="3344"/>
    </w:p>
    <w:tbl>
      <w:tblPr>
        <w:tblW w:w="4998" w:type="pct"/>
        <w:tblLook w:val="01E0" w:firstRow="1" w:lastRow="1" w:firstColumn="1" w:lastColumn="1" w:noHBand="0" w:noVBand="0"/>
      </w:tblPr>
      <w:tblGrid>
        <w:gridCol w:w="3063"/>
        <w:gridCol w:w="226"/>
        <w:gridCol w:w="356"/>
        <w:gridCol w:w="563"/>
        <w:gridCol w:w="447"/>
        <w:gridCol w:w="521"/>
        <w:gridCol w:w="571"/>
        <w:gridCol w:w="666"/>
        <w:gridCol w:w="1599"/>
        <w:gridCol w:w="1054"/>
      </w:tblGrid>
      <w:tr w:rsidR="00B3792F" w:rsidRPr="00027624" w14:paraId="08F130A6" w14:textId="77777777" w:rsidTr="00B3792F">
        <w:trPr>
          <w:tblHeader/>
        </w:trPr>
        <w:tc>
          <w:tcPr>
            <w:tcW w:w="1844" w:type="pct"/>
            <w:gridSpan w:val="2"/>
            <w:shd w:val="clear" w:color="auto" w:fill="E5E5E5"/>
            <w:vAlign w:val="center"/>
          </w:tcPr>
          <w:p w14:paraId="64AC0162" w14:textId="77777777" w:rsidR="00B3792F" w:rsidRPr="00027624" w:rsidRDefault="00B3792F" w:rsidP="00B3792F">
            <w:pPr>
              <w:pStyle w:val="TableColumnHeadingLeft"/>
            </w:pPr>
          </w:p>
        </w:tc>
        <w:tc>
          <w:tcPr>
            <w:tcW w:w="1375" w:type="pct"/>
            <w:gridSpan w:val="5"/>
            <w:shd w:val="clear" w:color="auto" w:fill="E5E5E5"/>
            <w:vAlign w:val="center"/>
          </w:tcPr>
          <w:p w14:paraId="35BE0490" w14:textId="77777777" w:rsidR="00B3792F" w:rsidRPr="00027624" w:rsidRDefault="00B3792F" w:rsidP="00B3792F">
            <w:pPr>
              <w:pStyle w:val="TableColumnHeadingCentred"/>
            </w:pPr>
            <w:r w:rsidRPr="00027624">
              <w:t xml:space="preserve">Average annual retirement income </w:t>
            </w:r>
          </w:p>
        </w:tc>
        <w:tc>
          <w:tcPr>
            <w:tcW w:w="1781" w:type="pct"/>
            <w:gridSpan w:val="3"/>
            <w:shd w:val="clear" w:color="auto" w:fill="E5E5E5"/>
            <w:vAlign w:val="center"/>
          </w:tcPr>
          <w:p w14:paraId="55C1DABC" w14:textId="77777777" w:rsidR="00B3792F" w:rsidRPr="00027624" w:rsidRDefault="00B3792F" w:rsidP="00B3792F">
            <w:pPr>
              <w:pStyle w:val="TableColumnHeadingCentred"/>
            </w:pPr>
            <w:r w:rsidRPr="00027624">
              <w:t xml:space="preserve">Superannuation balance at retirement </w:t>
            </w:r>
          </w:p>
        </w:tc>
      </w:tr>
      <w:tr w:rsidR="00B3792F" w:rsidRPr="00027624" w14:paraId="41E5175F" w14:textId="77777777" w:rsidTr="00B3792F">
        <w:tc>
          <w:tcPr>
            <w:tcW w:w="1844" w:type="pct"/>
            <w:gridSpan w:val="2"/>
            <w:vAlign w:val="center"/>
          </w:tcPr>
          <w:p w14:paraId="27E3F552" w14:textId="77777777" w:rsidR="00B3792F" w:rsidRPr="00027624" w:rsidRDefault="00B3792F" w:rsidP="00B3792F">
            <w:pPr>
              <w:pStyle w:val="TableTextLeft"/>
            </w:pPr>
            <w:r w:rsidRPr="00027624">
              <w:rPr>
                <w:szCs w:val="18"/>
              </w:rPr>
              <w:t>Aboriginal and Torres Strait Islander people ($)</w:t>
            </w:r>
          </w:p>
        </w:tc>
        <w:tc>
          <w:tcPr>
            <w:tcW w:w="1375" w:type="pct"/>
            <w:gridSpan w:val="5"/>
            <w:vAlign w:val="center"/>
          </w:tcPr>
          <w:p w14:paraId="6F471A49" w14:textId="77777777" w:rsidR="00B3792F" w:rsidRPr="00027624" w:rsidRDefault="00B3792F" w:rsidP="00B3792F">
            <w:pPr>
              <w:pStyle w:val="TableTextCentered"/>
            </w:pPr>
            <w:r w:rsidRPr="00027624">
              <w:rPr>
                <w:szCs w:val="18"/>
              </w:rPr>
              <w:t>39,900</w:t>
            </w:r>
          </w:p>
        </w:tc>
        <w:tc>
          <w:tcPr>
            <w:tcW w:w="1781" w:type="pct"/>
            <w:gridSpan w:val="3"/>
            <w:vAlign w:val="center"/>
          </w:tcPr>
          <w:p w14:paraId="15C85803" w14:textId="77777777" w:rsidR="00B3792F" w:rsidRPr="00027624" w:rsidRDefault="00B3792F" w:rsidP="00B3792F">
            <w:pPr>
              <w:pStyle w:val="TableTextCentered"/>
            </w:pPr>
            <w:r w:rsidRPr="00027624">
              <w:rPr>
                <w:szCs w:val="18"/>
              </w:rPr>
              <w:t>336,600</w:t>
            </w:r>
          </w:p>
        </w:tc>
      </w:tr>
      <w:tr w:rsidR="00B3792F" w:rsidRPr="00027624" w14:paraId="51FDD6A8" w14:textId="77777777" w:rsidTr="00B3792F">
        <w:tc>
          <w:tcPr>
            <w:tcW w:w="1844" w:type="pct"/>
            <w:gridSpan w:val="2"/>
            <w:vAlign w:val="center"/>
          </w:tcPr>
          <w:p w14:paraId="0CBE7EC4" w14:textId="77777777" w:rsidR="00B3792F" w:rsidRPr="00027624" w:rsidRDefault="00B3792F" w:rsidP="00B3792F">
            <w:pPr>
              <w:pStyle w:val="TableTextLeft"/>
              <w:rPr>
                <w:szCs w:val="18"/>
              </w:rPr>
            </w:pPr>
            <w:r w:rsidRPr="00027624">
              <w:rPr>
                <w:szCs w:val="18"/>
              </w:rPr>
              <w:t>Total population ($)</w:t>
            </w:r>
          </w:p>
        </w:tc>
        <w:tc>
          <w:tcPr>
            <w:tcW w:w="1375" w:type="pct"/>
            <w:gridSpan w:val="5"/>
            <w:vAlign w:val="center"/>
          </w:tcPr>
          <w:p w14:paraId="0311E439" w14:textId="77777777" w:rsidR="00B3792F" w:rsidRPr="00027624" w:rsidRDefault="00B3792F" w:rsidP="00B3792F">
            <w:pPr>
              <w:pStyle w:val="TableTextCentered"/>
              <w:rPr>
                <w:szCs w:val="18"/>
              </w:rPr>
            </w:pPr>
            <w:r w:rsidRPr="00027624">
              <w:rPr>
                <w:szCs w:val="18"/>
              </w:rPr>
              <w:t>42,100</w:t>
            </w:r>
          </w:p>
        </w:tc>
        <w:tc>
          <w:tcPr>
            <w:tcW w:w="1781" w:type="pct"/>
            <w:gridSpan w:val="3"/>
            <w:vAlign w:val="center"/>
          </w:tcPr>
          <w:p w14:paraId="606D08F7" w14:textId="77777777" w:rsidR="00B3792F" w:rsidRPr="00027624" w:rsidRDefault="00B3792F" w:rsidP="00B3792F">
            <w:pPr>
              <w:pStyle w:val="TableTextCentered"/>
              <w:rPr>
                <w:szCs w:val="18"/>
              </w:rPr>
            </w:pPr>
            <w:r w:rsidRPr="00027624">
              <w:rPr>
                <w:szCs w:val="18"/>
              </w:rPr>
              <w:t>452,000</w:t>
            </w:r>
          </w:p>
        </w:tc>
      </w:tr>
      <w:tr w:rsidR="00B3792F" w:rsidRPr="00027624" w14:paraId="32045746" w14:textId="77777777" w:rsidTr="00B3792F">
        <w:tc>
          <w:tcPr>
            <w:tcW w:w="1844" w:type="pct"/>
            <w:gridSpan w:val="2"/>
            <w:vAlign w:val="center"/>
          </w:tcPr>
          <w:p w14:paraId="1220BD3B" w14:textId="77777777" w:rsidR="00B3792F" w:rsidRPr="00027624" w:rsidRDefault="00B3792F" w:rsidP="00B3792F">
            <w:pPr>
              <w:pStyle w:val="TableTextIndented"/>
              <w:ind w:left="0"/>
            </w:pPr>
            <w:r w:rsidRPr="00027624">
              <w:t>Gap (per cent)</w:t>
            </w:r>
          </w:p>
        </w:tc>
        <w:tc>
          <w:tcPr>
            <w:tcW w:w="1375" w:type="pct"/>
            <w:gridSpan w:val="5"/>
            <w:vAlign w:val="center"/>
          </w:tcPr>
          <w:p w14:paraId="0D083DE1" w14:textId="77777777" w:rsidR="00B3792F" w:rsidRPr="00027624" w:rsidRDefault="00B3792F" w:rsidP="00B3792F">
            <w:pPr>
              <w:pStyle w:val="TableTextCentered"/>
              <w:rPr>
                <w:szCs w:val="18"/>
              </w:rPr>
            </w:pPr>
            <w:r w:rsidRPr="00027624">
              <w:rPr>
                <w:szCs w:val="18"/>
              </w:rPr>
              <w:t>5.5</w:t>
            </w:r>
          </w:p>
        </w:tc>
        <w:tc>
          <w:tcPr>
            <w:tcW w:w="1781" w:type="pct"/>
            <w:gridSpan w:val="3"/>
            <w:vAlign w:val="center"/>
          </w:tcPr>
          <w:p w14:paraId="103A921F" w14:textId="77777777" w:rsidR="00B3792F" w:rsidRPr="00027624" w:rsidRDefault="00B3792F" w:rsidP="00B3792F">
            <w:pPr>
              <w:pStyle w:val="TableTextCentered"/>
              <w:rPr>
                <w:szCs w:val="18"/>
              </w:rPr>
            </w:pPr>
            <w:r w:rsidRPr="00027624">
              <w:rPr>
                <w:szCs w:val="18"/>
              </w:rPr>
              <w:t>25.5</w:t>
            </w:r>
          </w:p>
        </w:tc>
      </w:tr>
      <w:tr w:rsidR="00B3792F" w:rsidRPr="00027624" w14:paraId="38462D4C" w14:textId="77777777" w:rsidTr="00B3792F">
        <w:trPr>
          <w:trHeight w:val="270"/>
          <w:tblHeader/>
        </w:trPr>
        <w:tc>
          <w:tcPr>
            <w:tcW w:w="1711" w:type="pct"/>
            <w:shd w:val="clear" w:color="auto" w:fill="E5E5E5"/>
            <w:vAlign w:val="center"/>
          </w:tcPr>
          <w:p w14:paraId="6B94F21E" w14:textId="77777777" w:rsidR="00B3792F" w:rsidRPr="00027624" w:rsidRDefault="00B3792F" w:rsidP="00B3792F">
            <w:pPr>
              <w:pStyle w:val="TableColumnHeadingLeft"/>
            </w:pPr>
          </w:p>
        </w:tc>
        <w:tc>
          <w:tcPr>
            <w:tcW w:w="938" w:type="pct"/>
            <w:gridSpan w:val="4"/>
            <w:shd w:val="clear" w:color="auto" w:fill="E5E5E5"/>
            <w:vAlign w:val="center"/>
          </w:tcPr>
          <w:p w14:paraId="4C1952FF" w14:textId="77777777" w:rsidR="00B3792F" w:rsidRPr="00027624" w:rsidRDefault="00B3792F" w:rsidP="00B3792F">
            <w:pPr>
              <w:pStyle w:val="TableColumnHeadingCentred"/>
            </w:pPr>
            <w:r w:rsidRPr="00027624">
              <w:t>Years on Age Pension, by rate</w:t>
            </w:r>
          </w:p>
        </w:tc>
        <w:tc>
          <w:tcPr>
            <w:tcW w:w="334" w:type="pct"/>
            <w:shd w:val="clear" w:color="auto" w:fill="E5E5E5"/>
          </w:tcPr>
          <w:p w14:paraId="0291E246" w14:textId="77777777" w:rsidR="00B3792F" w:rsidRPr="00027624" w:rsidRDefault="00B3792F" w:rsidP="00B3792F">
            <w:pPr>
              <w:pStyle w:val="TableColumnHeadingCentred"/>
            </w:pPr>
          </w:p>
        </w:tc>
        <w:tc>
          <w:tcPr>
            <w:tcW w:w="2017" w:type="pct"/>
            <w:gridSpan w:val="4"/>
            <w:shd w:val="clear" w:color="auto" w:fill="E5E5E5"/>
            <w:vAlign w:val="center"/>
          </w:tcPr>
          <w:p w14:paraId="31A23E8B" w14:textId="77777777" w:rsidR="00B3792F" w:rsidRPr="00027624" w:rsidRDefault="00B3792F" w:rsidP="00B3792F">
            <w:pPr>
              <w:pStyle w:val="TableColumnHeadingCentred"/>
            </w:pPr>
            <w:r w:rsidRPr="00027624">
              <w:t>Source of retirement income (per cent)</w:t>
            </w:r>
          </w:p>
        </w:tc>
      </w:tr>
      <w:tr w:rsidR="00B3792F" w:rsidRPr="00027624" w14:paraId="0DC8A0F7" w14:textId="77777777" w:rsidTr="00B3792F">
        <w:trPr>
          <w:trHeight w:val="270"/>
          <w:tblHeader/>
        </w:trPr>
        <w:tc>
          <w:tcPr>
            <w:tcW w:w="1711" w:type="pct"/>
            <w:shd w:val="clear" w:color="auto" w:fill="E5E5E5"/>
            <w:vAlign w:val="center"/>
          </w:tcPr>
          <w:p w14:paraId="77447C12" w14:textId="77777777" w:rsidR="00B3792F" w:rsidRPr="00027624" w:rsidRDefault="00B3792F" w:rsidP="00B3792F">
            <w:pPr>
              <w:pStyle w:val="TableColumnHeadingLeft"/>
            </w:pPr>
          </w:p>
        </w:tc>
        <w:tc>
          <w:tcPr>
            <w:tcW w:w="343" w:type="pct"/>
            <w:gridSpan w:val="2"/>
            <w:shd w:val="clear" w:color="auto" w:fill="E5E5E5"/>
            <w:vAlign w:val="center"/>
          </w:tcPr>
          <w:p w14:paraId="1958B8F9" w14:textId="77777777" w:rsidR="00B3792F" w:rsidRPr="00027624" w:rsidRDefault="00B3792F" w:rsidP="00B3792F">
            <w:pPr>
              <w:pStyle w:val="TableColumnHeadingCentred"/>
            </w:pPr>
            <w:r w:rsidRPr="00027624">
              <w:t>Max</w:t>
            </w:r>
          </w:p>
        </w:tc>
        <w:tc>
          <w:tcPr>
            <w:tcW w:w="332" w:type="pct"/>
            <w:shd w:val="clear" w:color="auto" w:fill="E5E5E5"/>
            <w:vAlign w:val="center"/>
          </w:tcPr>
          <w:p w14:paraId="7BBCFACD" w14:textId="77777777" w:rsidR="00B3792F" w:rsidRPr="00027624" w:rsidRDefault="00B3792F" w:rsidP="00B3792F">
            <w:pPr>
              <w:pStyle w:val="TableColumnHeadingCentred"/>
            </w:pPr>
            <w:r w:rsidRPr="00027624">
              <w:t>Part</w:t>
            </w:r>
          </w:p>
        </w:tc>
        <w:tc>
          <w:tcPr>
            <w:tcW w:w="263" w:type="pct"/>
            <w:shd w:val="clear" w:color="auto" w:fill="E5E5E5"/>
            <w:vAlign w:val="center"/>
          </w:tcPr>
          <w:p w14:paraId="1BEE7C37" w14:textId="77777777" w:rsidR="00B3792F" w:rsidRPr="00027624" w:rsidRDefault="00B3792F" w:rsidP="00B3792F">
            <w:pPr>
              <w:pStyle w:val="TableColumnHeadingCentred"/>
            </w:pPr>
            <w:r w:rsidRPr="00027624">
              <w:t>Nil</w:t>
            </w:r>
          </w:p>
        </w:tc>
        <w:tc>
          <w:tcPr>
            <w:tcW w:w="334" w:type="pct"/>
            <w:shd w:val="clear" w:color="auto" w:fill="E5E5E5"/>
          </w:tcPr>
          <w:p w14:paraId="272019A2" w14:textId="77777777" w:rsidR="00B3792F" w:rsidRPr="00027624" w:rsidRDefault="00B3792F" w:rsidP="00B3792F">
            <w:pPr>
              <w:pStyle w:val="TableColumnHeadingCentred"/>
            </w:pPr>
          </w:p>
        </w:tc>
        <w:tc>
          <w:tcPr>
            <w:tcW w:w="512" w:type="pct"/>
            <w:gridSpan w:val="2"/>
            <w:shd w:val="clear" w:color="auto" w:fill="E5E5E5"/>
            <w:vAlign w:val="center"/>
          </w:tcPr>
          <w:p w14:paraId="1584128D" w14:textId="77777777" w:rsidR="00B3792F" w:rsidRPr="00027624" w:rsidRDefault="00B3792F" w:rsidP="00B3792F">
            <w:pPr>
              <w:pStyle w:val="TableColumnHeadingCentred"/>
            </w:pPr>
            <w:r w:rsidRPr="00027624">
              <w:t>Age Pension</w:t>
            </w:r>
          </w:p>
        </w:tc>
        <w:tc>
          <w:tcPr>
            <w:tcW w:w="903" w:type="pct"/>
            <w:shd w:val="clear" w:color="auto" w:fill="E5E5E5"/>
            <w:vAlign w:val="center"/>
          </w:tcPr>
          <w:p w14:paraId="06C875A1" w14:textId="77777777" w:rsidR="00B3792F" w:rsidRPr="00027624" w:rsidRDefault="00B3792F" w:rsidP="00B3792F">
            <w:pPr>
              <w:pStyle w:val="TableColumnHeadingCentred"/>
            </w:pPr>
            <w:r w:rsidRPr="00027624">
              <w:t>Superannuation</w:t>
            </w:r>
          </w:p>
        </w:tc>
        <w:tc>
          <w:tcPr>
            <w:tcW w:w="602" w:type="pct"/>
            <w:shd w:val="clear" w:color="auto" w:fill="E5E5E5"/>
            <w:vAlign w:val="center"/>
          </w:tcPr>
          <w:p w14:paraId="53556320" w14:textId="77777777" w:rsidR="00B3792F" w:rsidRPr="00027624" w:rsidRDefault="00B3792F" w:rsidP="00B3792F">
            <w:pPr>
              <w:pStyle w:val="TableColumnHeadingCentred"/>
            </w:pPr>
            <w:r w:rsidRPr="00027624">
              <w:t>Voluntary savings</w:t>
            </w:r>
          </w:p>
        </w:tc>
      </w:tr>
      <w:tr w:rsidR="00B3792F" w:rsidRPr="00027624" w14:paraId="6D239911" w14:textId="77777777" w:rsidTr="00B3792F">
        <w:trPr>
          <w:trHeight w:val="270"/>
        </w:trPr>
        <w:tc>
          <w:tcPr>
            <w:tcW w:w="1711" w:type="pct"/>
            <w:vAlign w:val="center"/>
          </w:tcPr>
          <w:p w14:paraId="64D3CB24" w14:textId="77777777" w:rsidR="00B3792F" w:rsidRPr="00027624" w:rsidRDefault="00B3792F" w:rsidP="00B3792F">
            <w:pPr>
              <w:pStyle w:val="TableTextLeft"/>
            </w:pPr>
            <w:r w:rsidRPr="00027624">
              <w:rPr>
                <w:szCs w:val="18"/>
              </w:rPr>
              <w:t>Aboriginal and Torres Strait Islander people</w:t>
            </w:r>
          </w:p>
        </w:tc>
        <w:tc>
          <w:tcPr>
            <w:tcW w:w="343" w:type="pct"/>
            <w:gridSpan w:val="2"/>
            <w:vAlign w:val="center"/>
          </w:tcPr>
          <w:p w14:paraId="2C2512C0" w14:textId="77777777" w:rsidR="00B3792F" w:rsidRPr="00027624" w:rsidRDefault="00B3792F" w:rsidP="00B3792F">
            <w:pPr>
              <w:pStyle w:val="TableTextCentered"/>
              <w:rPr>
                <w:szCs w:val="18"/>
              </w:rPr>
            </w:pPr>
            <w:r w:rsidRPr="00027624">
              <w:rPr>
                <w:szCs w:val="18"/>
              </w:rPr>
              <w:t>9</w:t>
            </w:r>
          </w:p>
        </w:tc>
        <w:tc>
          <w:tcPr>
            <w:tcW w:w="332" w:type="pct"/>
            <w:vAlign w:val="center"/>
          </w:tcPr>
          <w:p w14:paraId="254D0E18" w14:textId="77777777" w:rsidR="00B3792F" w:rsidRPr="00027624" w:rsidRDefault="00B3792F" w:rsidP="00B3792F">
            <w:pPr>
              <w:pStyle w:val="TableTextCentered"/>
              <w:rPr>
                <w:szCs w:val="18"/>
              </w:rPr>
            </w:pPr>
            <w:r w:rsidRPr="00027624">
              <w:t>11</w:t>
            </w:r>
          </w:p>
        </w:tc>
        <w:tc>
          <w:tcPr>
            <w:tcW w:w="263" w:type="pct"/>
            <w:vAlign w:val="center"/>
          </w:tcPr>
          <w:p w14:paraId="182266FE" w14:textId="77777777" w:rsidR="00B3792F" w:rsidRPr="00027624" w:rsidRDefault="00B3792F" w:rsidP="00B3792F">
            <w:pPr>
              <w:pStyle w:val="TableTextCentered"/>
            </w:pPr>
            <w:r w:rsidRPr="00027624">
              <w:t>0</w:t>
            </w:r>
          </w:p>
        </w:tc>
        <w:tc>
          <w:tcPr>
            <w:tcW w:w="334" w:type="pct"/>
          </w:tcPr>
          <w:p w14:paraId="7AD5E18E" w14:textId="77777777" w:rsidR="00B3792F" w:rsidRPr="00027624" w:rsidRDefault="00B3792F" w:rsidP="00B3792F">
            <w:pPr>
              <w:pStyle w:val="TableTextCentered"/>
              <w:rPr>
                <w:szCs w:val="18"/>
              </w:rPr>
            </w:pPr>
          </w:p>
        </w:tc>
        <w:tc>
          <w:tcPr>
            <w:tcW w:w="512" w:type="pct"/>
            <w:gridSpan w:val="2"/>
            <w:vAlign w:val="center"/>
          </w:tcPr>
          <w:p w14:paraId="7A3B0922" w14:textId="77777777" w:rsidR="00B3792F" w:rsidRPr="00027624" w:rsidRDefault="00B3792F" w:rsidP="00B3792F">
            <w:pPr>
              <w:pStyle w:val="TableTextCentered"/>
              <w:rPr>
                <w:szCs w:val="18"/>
              </w:rPr>
            </w:pPr>
            <w:r w:rsidRPr="00027624">
              <w:t>56</w:t>
            </w:r>
          </w:p>
        </w:tc>
        <w:tc>
          <w:tcPr>
            <w:tcW w:w="903" w:type="pct"/>
            <w:vAlign w:val="center"/>
          </w:tcPr>
          <w:p w14:paraId="45DA43A1" w14:textId="77777777" w:rsidR="00B3792F" w:rsidRPr="00027624" w:rsidRDefault="00B3792F" w:rsidP="00B3792F">
            <w:pPr>
              <w:pStyle w:val="TableTextCentered"/>
              <w:rPr>
                <w:szCs w:val="18"/>
              </w:rPr>
            </w:pPr>
            <w:r w:rsidRPr="00027624">
              <w:t>44</w:t>
            </w:r>
          </w:p>
        </w:tc>
        <w:tc>
          <w:tcPr>
            <w:tcW w:w="602" w:type="pct"/>
            <w:vAlign w:val="center"/>
          </w:tcPr>
          <w:p w14:paraId="61614F14" w14:textId="77777777" w:rsidR="00B3792F" w:rsidRPr="00027624" w:rsidRDefault="00B3792F" w:rsidP="00B3792F">
            <w:pPr>
              <w:pStyle w:val="TableTextCentered"/>
            </w:pPr>
            <w:r w:rsidRPr="00027624">
              <w:t>0</w:t>
            </w:r>
          </w:p>
        </w:tc>
      </w:tr>
      <w:tr w:rsidR="00B3792F" w:rsidRPr="00027624" w14:paraId="36ABA108" w14:textId="77777777" w:rsidTr="00B3792F">
        <w:trPr>
          <w:trHeight w:val="270"/>
        </w:trPr>
        <w:tc>
          <w:tcPr>
            <w:tcW w:w="1711" w:type="pct"/>
            <w:vAlign w:val="center"/>
          </w:tcPr>
          <w:p w14:paraId="09B4031C" w14:textId="77777777" w:rsidR="00B3792F" w:rsidRPr="00027624" w:rsidRDefault="00B3792F" w:rsidP="00B3792F">
            <w:pPr>
              <w:pStyle w:val="TableTextLeft"/>
            </w:pPr>
            <w:r w:rsidRPr="00027624">
              <w:rPr>
                <w:szCs w:val="18"/>
              </w:rPr>
              <w:t>Total population</w:t>
            </w:r>
          </w:p>
        </w:tc>
        <w:tc>
          <w:tcPr>
            <w:tcW w:w="343" w:type="pct"/>
            <w:gridSpan w:val="2"/>
            <w:vAlign w:val="center"/>
          </w:tcPr>
          <w:p w14:paraId="59E80C3B" w14:textId="77777777" w:rsidR="00B3792F" w:rsidRPr="00027624" w:rsidRDefault="00B3792F" w:rsidP="00B3792F">
            <w:pPr>
              <w:pStyle w:val="TableTextCentered"/>
              <w:rPr>
                <w:szCs w:val="18"/>
              </w:rPr>
            </w:pPr>
            <w:r w:rsidRPr="00027624">
              <w:rPr>
                <w:szCs w:val="18"/>
              </w:rPr>
              <w:t>10</w:t>
            </w:r>
          </w:p>
        </w:tc>
        <w:tc>
          <w:tcPr>
            <w:tcW w:w="332" w:type="pct"/>
            <w:vAlign w:val="center"/>
          </w:tcPr>
          <w:p w14:paraId="362A2314" w14:textId="77777777" w:rsidR="00B3792F" w:rsidRPr="00027624" w:rsidRDefault="00B3792F" w:rsidP="00B3792F">
            <w:pPr>
              <w:pStyle w:val="TableTextCentered"/>
              <w:rPr>
                <w:szCs w:val="18"/>
              </w:rPr>
            </w:pPr>
            <w:r w:rsidRPr="00027624">
              <w:rPr>
                <w:szCs w:val="18"/>
              </w:rPr>
              <w:t>14</w:t>
            </w:r>
          </w:p>
        </w:tc>
        <w:tc>
          <w:tcPr>
            <w:tcW w:w="263" w:type="pct"/>
            <w:vAlign w:val="center"/>
          </w:tcPr>
          <w:p w14:paraId="09908279" w14:textId="77777777" w:rsidR="00B3792F" w:rsidRPr="00027624" w:rsidRDefault="00B3792F" w:rsidP="00B3792F">
            <w:pPr>
              <w:pStyle w:val="TableTextCentered"/>
              <w:rPr>
                <w:szCs w:val="18"/>
              </w:rPr>
            </w:pPr>
            <w:r w:rsidRPr="00027624">
              <w:rPr>
                <w:szCs w:val="18"/>
              </w:rPr>
              <w:t>1</w:t>
            </w:r>
          </w:p>
        </w:tc>
        <w:tc>
          <w:tcPr>
            <w:tcW w:w="334" w:type="pct"/>
          </w:tcPr>
          <w:p w14:paraId="07EA0506" w14:textId="77777777" w:rsidR="00B3792F" w:rsidRPr="00027624" w:rsidRDefault="00B3792F" w:rsidP="00B3792F">
            <w:pPr>
              <w:pStyle w:val="TableTextCentered"/>
              <w:rPr>
                <w:szCs w:val="18"/>
              </w:rPr>
            </w:pPr>
          </w:p>
        </w:tc>
        <w:tc>
          <w:tcPr>
            <w:tcW w:w="512" w:type="pct"/>
            <w:gridSpan w:val="2"/>
            <w:vAlign w:val="center"/>
          </w:tcPr>
          <w:p w14:paraId="37CF58F9" w14:textId="77777777" w:rsidR="00B3792F" w:rsidRPr="00027624" w:rsidRDefault="00B3792F" w:rsidP="00B3792F">
            <w:pPr>
              <w:pStyle w:val="TableTextCentered"/>
              <w:rPr>
                <w:szCs w:val="18"/>
              </w:rPr>
            </w:pPr>
            <w:r w:rsidRPr="00027624">
              <w:rPr>
                <w:szCs w:val="18"/>
              </w:rPr>
              <w:t>47</w:t>
            </w:r>
          </w:p>
        </w:tc>
        <w:tc>
          <w:tcPr>
            <w:tcW w:w="903" w:type="pct"/>
            <w:vAlign w:val="center"/>
          </w:tcPr>
          <w:p w14:paraId="28951F3A" w14:textId="77777777" w:rsidR="00B3792F" w:rsidRPr="00027624" w:rsidRDefault="00B3792F" w:rsidP="00B3792F">
            <w:pPr>
              <w:pStyle w:val="TableTextCentered"/>
              <w:rPr>
                <w:szCs w:val="18"/>
              </w:rPr>
            </w:pPr>
            <w:r w:rsidRPr="00027624">
              <w:rPr>
                <w:szCs w:val="18"/>
              </w:rPr>
              <w:t>50</w:t>
            </w:r>
          </w:p>
        </w:tc>
        <w:tc>
          <w:tcPr>
            <w:tcW w:w="602" w:type="pct"/>
            <w:vAlign w:val="center"/>
          </w:tcPr>
          <w:p w14:paraId="7BDBB495" w14:textId="77777777" w:rsidR="00B3792F" w:rsidRPr="00027624" w:rsidRDefault="00B3792F" w:rsidP="00B3792F">
            <w:pPr>
              <w:pStyle w:val="TableTextCentered"/>
              <w:rPr>
                <w:szCs w:val="18"/>
              </w:rPr>
            </w:pPr>
            <w:r w:rsidRPr="00027624">
              <w:rPr>
                <w:szCs w:val="18"/>
              </w:rPr>
              <w:t>3</w:t>
            </w:r>
          </w:p>
        </w:tc>
      </w:tr>
    </w:tbl>
    <w:p w14:paraId="714D6EC5" w14:textId="7C8B4676" w:rsidR="00B3792F" w:rsidRPr="00027624" w:rsidRDefault="00B3792F" w:rsidP="00B3792F">
      <w:pPr>
        <w:pStyle w:val="ChartorTableNote"/>
      </w:pPr>
      <w:r w:rsidRPr="00027624">
        <w:t>Note: Outcomes are for the median earner (i.e. the 50</w:t>
      </w:r>
      <w:r w:rsidRPr="00027624">
        <w:rPr>
          <w:vertAlign w:val="superscript"/>
        </w:rPr>
        <w:t>th</w:t>
      </w:r>
      <w:r w:rsidRPr="00027624">
        <w:t xml:space="preserve"> percentile). Values are in 2019</w:t>
      </w:r>
      <w:r w:rsidR="00A8443E" w:rsidRPr="00027624">
        <w:noBreakHyphen/>
      </w:r>
      <w:r w:rsidRPr="00027624">
        <w:t>20 dollars, rounded to the nearest $100. Superannuation balance is deflated by average weekly earnings, retirement income deflated using the review</w:t>
      </w:r>
      <w:r w:rsidR="00A8443E" w:rsidRPr="00027624">
        <w:t>’</w:t>
      </w:r>
      <w:r w:rsidRPr="00027624">
        <w:t xml:space="preserve">s mixed deflator. This modelling imputes a 16.6 per cent gap in wages, as identified in </w:t>
      </w:r>
      <w:r w:rsidRPr="00027624">
        <w:fldChar w:fldCharType="begin"/>
      </w:r>
      <w:r w:rsidRPr="00027624">
        <w:instrText xml:space="preserve"> REF _Ref35518323 \r \h  \* MERGEFORMAT </w:instrText>
      </w:r>
      <w:r w:rsidRPr="00027624">
        <w:fldChar w:fldCharType="separate"/>
      </w:r>
      <w:r w:rsidR="00891058">
        <w:t>Table 3F-2</w:t>
      </w:r>
      <w:r w:rsidRPr="00027624">
        <w:fldChar w:fldCharType="end"/>
      </w:r>
      <w:r w:rsidRPr="00027624">
        <w:t>, and an expected age of death of 87 for Aboriginal and Torres Strait Islander people compared with 92 for the total population (</w:t>
      </w:r>
      <w:r w:rsidRPr="00027624">
        <w:fldChar w:fldCharType="begin"/>
      </w:r>
      <w:r w:rsidRPr="00027624">
        <w:instrText xml:space="preserve"> REF _Ref44523915 \r \h </w:instrText>
      </w:r>
      <w:r w:rsidR="00FA7639" w:rsidRPr="00027624">
        <w:instrText xml:space="preserve"> \* MERGEFORMAT </w:instrText>
      </w:r>
      <w:r w:rsidRPr="00027624">
        <w:fldChar w:fldCharType="separate"/>
      </w:r>
      <w:r w:rsidR="00891058">
        <w:t>Table 3F-1</w:t>
      </w:r>
      <w:r w:rsidRPr="00027624">
        <w:fldChar w:fldCharType="end"/>
      </w:r>
      <w:r w:rsidRPr="00027624">
        <w:t>). This reflects the approximately five</w:t>
      </w:r>
      <w:r w:rsidR="00A8443E" w:rsidRPr="00027624">
        <w:noBreakHyphen/>
      </w:r>
      <w:r w:rsidRPr="00027624">
        <w:t xml:space="preserve">year difference in life expectancy between the total population and Aboriginal and Torres Strait Islander population at age 65. The modelling assumes that the Aboriginal and Torres Strait Islander earner does not make salary sacrifice contributions to their superannuation, and have no other private wealth at retirement. All other variables have been held constant. See </w:t>
      </w:r>
      <w:r w:rsidRPr="00027624">
        <w:rPr>
          <w:i/>
        </w:rPr>
        <w:t>Appendix 6A. Detailed modelling methods and assumptions</w:t>
      </w:r>
      <w:r w:rsidRPr="00027624">
        <w:t>. Source: Cameo modelling undertaken for the review.</w:t>
      </w:r>
      <w:r w:rsidRPr="00027624" w:rsidDel="007C02B9">
        <w:t xml:space="preserve"> </w:t>
      </w:r>
    </w:p>
    <w:p w14:paraId="429F649E" w14:textId="77777777" w:rsidR="00B3792F" w:rsidRPr="00027624" w:rsidRDefault="00B3792F" w:rsidP="00B3792F">
      <w:pPr>
        <w:pStyle w:val="Heading2"/>
      </w:pPr>
      <w:bookmarkStart w:id="3345" w:name="_Toc40366204"/>
      <w:bookmarkStart w:id="3346" w:name="_Toc40369750"/>
      <w:bookmarkStart w:id="3347" w:name="_Toc40427906"/>
      <w:bookmarkStart w:id="3348" w:name="_Toc40458160"/>
      <w:bookmarkStart w:id="3349" w:name="_Toc40461929"/>
      <w:bookmarkStart w:id="3350" w:name="_Toc40474484"/>
      <w:bookmarkStart w:id="3351" w:name="_Toc40478013"/>
      <w:bookmarkStart w:id="3352" w:name="_Toc40521593"/>
      <w:bookmarkStart w:id="3353" w:name="_Toc40530452"/>
      <w:bookmarkStart w:id="3354" w:name="_Toc42778879"/>
      <w:bookmarkStart w:id="3355" w:name="_Toc42780019"/>
      <w:bookmarkStart w:id="3356" w:name="_Toc42780448"/>
      <w:bookmarkStart w:id="3357" w:name="_Toc42786438"/>
      <w:bookmarkStart w:id="3358" w:name="_Toc42791931"/>
      <w:bookmarkStart w:id="3359" w:name="_Toc42792093"/>
      <w:bookmarkStart w:id="3360" w:name="_Toc43117900"/>
      <w:bookmarkStart w:id="3361" w:name="_Toc43121539"/>
      <w:bookmarkStart w:id="3362" w:name="_Toc43122744"/>
      <w:bookmarkStart w:id="3363" w:name="_Toc43127799"/>
      <w:bookmarkStart w:id="3364" w:name="_Toc45520523"/>
      <w:bookmarkStart w:id="3365" w:name="_Toc46133635"/>
      <w:r w:rsidRPr="00027624">
        <w:t>Private savings, including home ownership</w:t>
      </w:r>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p>
    <w:p w14:paraId="77E3CE59" w14:textId="77777777" w:rsidR="00B3792F" w:rsidRPr="00027624" w:rsidRDefault="00B3792F" w:rsidP="00B3792F">
      <w:pPr>
        <w:pStyle w:val="Heading3"/>
      </w:pPr>
      <w:bookmarkStart w:id="3366" w:name="_Toc40366205"/>
      <w:bookmarkStart w:id="3367" w:name="_Toc40369751"/>
      <w:bookmarkStart w:id="3368" w:name="_Toc40427907"/>
      <w:bookmarkStart w:id="3369" w:name="_Toc40458161"/>
      <w:bookmarkStart w:id="3370" w:name="_Toc40461930"/>
      <w:bookmarkStart w:id="3371" w:name="_Toc40474485"/>
      <w:bookmarkStart w:id="3372" w:name="_Toc40478014"/>
      <w:bookmarkStart w:id="3373" w:name="_Toc40521594"/>
      <w:bookmarkStart w:id="3374" w:name="_Toc40530453"/>
      <w:bookmarkStart w:id="3375" w:name="_Toc42778880"/>
      <w:bookmarkStart w:id="3376" w:name="_Toc42780020"/>
      <w:bookmarkStart w:id="3377" w:name="_Toc42780449"/>
      <w:bookmarkStart w:id="3378" w:name="_Toc42786439"/>
      <w:bookmarkStart w:id="3379" w:name="_Toc42791932"/>
      <w:bookmarkStart w:id="3380" w:name="_Toc42792094"/>
      <w:bookmarkStart w:id="3381" w:name="_Toc43117901"/>
      <w:bookmarkStart w:id="3382" w:name="_Toc43121540"/>
      <w:bookmarkStart w:id="3383" w:name="_Toc43122745"/>
      <w:bookmarkStart w:id="3384" w:name="_Toc43127800"/>
      <w:r w:rsidRPr="00027624">
        <w:t>Private savings</w:t>
      </w:r>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p>
    <w:p w14:paraId="79701B13" w14:textId="5A4B00DF" w:rsidR="00B3792F" w:rsidRDefault="00B3792F" w:rsidP="00B3792F">
      <w:r w:rsidRPr="00027624">
        <w:rPr>
          <w:b/>
        </w:rPr>
        <w:t>Aboriginal and Torres Strait Islander people are less likely than those in the total population to have significant private savings outside superannuation to support their retirement.</w:t>
      </w:r>
      <w:r w:rsidRPr="00027624">
        <w:t xml:space="preserve"> Although data is limited, some surveys have found Aboriginal and Torres Strait Islander people overall have lower savings than the total population </w:t>
      </w:r>
      <w:r w:rsidRPr="00027624" w:rsidDel="00995E28">
        <w:t>(</w:t>
      </w:r>
      <w:r w:rsidRPr="00027624" w:rsidDel="00995E28">
        <w:fldChar w:fldCharType="begin"/>
      </w:r>
      <w:r w:rsidRPr="00027624" w:rsidDel="00995E28">
        <w:instrText xml:space="preserve"> REF _Ref40455556 \r \h  \* MERGEFORMAT </w:instrText>
      </w:r>
      <w:r w:rsidRPr="00027624" w:rsidDel="00995E28">
        <w:fldChar w:fldCharType="separate"/>
      </w:r>
      <w:r w:rsidR="00891058">
        <w:t>Chart 3F-6</w:t>
      </w:r>
      <w:r w:rsidRPr="00027624" w:rsidDel="00995E28">
        <w:fldChar w:fldCharType="end"/>
      </w:r>
      <w:r w:rsidRPr="00027624" w:rsidDel="00995E28">
        <w:t xml:space="preserve">). </w:t>
      </w:r>
      <w:r w:rsidRPr="00027624">
        <w:t xml:space="preserve">Aboriginal and Torres Strait Islander people are also less likely to engage in regular savings behaviour </w:t>
      </w:r>
      <w:sdt>
        <w:sdtPr>
          <w:id w:val="-2084211049"/>
          <w:citation/>
        </w:sdtPr>
        <w:sdtEndPr/>
        <w:sdtContent>
          <w:r w:rsidRPr="00027624">
            <w:fldChar w:fldCharType="begin"/>
          </w:r>
          <w:r w:rsidRPr="00027624">
            <w:instrText xml:space="preserve"> CITATION Fir191 \l 3081 </w:instrText>
          </w:r>
          <w:r w:rsidRPr="00027624">
            <w:fldChar w:fldCharType="separate"/>
          </w:r>
          <w:r w:rsidR="00E83F6E">
            <w:rPr>
              <w:noProof/>
            </w:rPr>
            <w:t>(Weier, et al., 2019)</w:t>
          </w:r>
          <w:r w:rsidRPr="00027624">
            <w:fldChar w:fldCharType="end"/>
          </w:r>
        </w:sdtContent>
      </w:sdt>
      <w:sdt>
        <w:sdtPr>
          <w:id w:val="497310007"/>
          <w:citation/>
        </w:sdtPr>
        <w:sdtEndPr/>
        <w:sdtContent>
          <w:r w:rsidRPr="00027624">
            <w:fldChar w:fldCharType="begin"/>
          </w:r>
          <w:r w:rsidRPr="00027624">
            <w:instrText xml:space="preserve"> CITATION Ger09 \l 3081 </w:instrText>
          </w:r>
          <w:r w:rsidRPr="00027624">
            <w:fldChar w:fldCharType="separate"/>
          </w:r>
          <w:r w:rsidR="00E83F6E">
            <w:rPr>
              <w:noProof/>
            </w:rPr>
            <w:t xml:space="preserve"> (Gerrans, et al., 2009)</w:t>
          </w:r>
          <w:r w:rsidRPr="00027624">
            <w:fldChar w:fldCharType="end"/>
          </w:r>
        </w:sdtContent>
      </w:sdt>
      <w:r w:rsidRPr="00027624">
        <w:t>.</w:t>
      </w:r>
    </w:p>
    <w:p w14:paraId="5CCB93B9" w14:textId="77777777" w:rsidR="00AB09DB" w:rsidRPr="00027624" w:rsidRDefault="00AB09DB" w:rsidP="00AB09DB">
      <w:r w:rsidRPr="00027624">
        <w:t>For those in retirement, First Nations Foundation noted that the current generation of Aboriginal and Torres Strait Islander retirees had very little private savings. One estimate suggested that around 24 per cent of Aboriginal and Torres Strait Islander retirees aged 65</w:t>
      </w:r>
      <w:r w:rsidRPr="00027624">
        <w:noBreakHyphen/>
        <w:t>74 in 2018 experienced financial stress, compared with 8 per cent of non</w:t>
      </w:r>
      <w:r w:rsidRPr="00027624">
        <w:noBreakHyphen/>
        <w:t xml:space="preserve">Indigenous retirees </w:t>
      </w:r>
      <w:sdt>
        <w:sdtPr>
          <w:id w:val="-1294752611"/>
          <w:citation/>
        </w:sdtPr>
        <w:sdtEndPr/>
        <w:sdtContent>
          <w:r w:rsidRPr="00027624">
            <w:fldChar w:fldCharType="begin"/>
          </w:r>
          <w:r w:rsidRPr="00027624">
            <w:instrText xml:space="preserve">CITATION Doc20 \p 28 \l 3081 </w:instrText>
          </w:r>
          <w:r w:rsidRPr="00027624">
            <w:fldChar w:fldCharType="separate"/>
          </w:r>
          <w:r w:rsidR="00E83F6E">
            <w:rPr>
              <w:noProof/>
            </w:rPr>
            <w:t>(Dockery, 2020, p. 28)</w:t>
          </w:r>
          <w:r w:rsidRPr="00027624">
            <w:fldChar w:fldCharType="end"/>
          </w:r>
        </w:sdtContent>
      </w:sdt>
      <w:r w:rsidRPr="00027624">
        <w:t>.</w:t>
      </w:r>
    </w:p>
    <w:p w14:paraId="08EF08BC" w14:textId="77777777" w:rsidR="00AB09DB" w:rsidRPr="00027624" w:rsidRDefault="00AB09DB" w:rsidP="00AB09DB">
      <w:r w:rsidRPr="00027624">
        <w:t>Higher rates of material deprivation</w:t>
      </w:r>
      <w:r w:rsidRPr="00027624">
        <w:rPr>
          <w:rStyle w:val="FootnoteReference"/>
        </w:rPr>
        <w:footnoteReference w:id="221"/>
      </w:r>
      <w:r w:rsidRPr="00027624">
        <w:t xml:space="preserve"> for Aboriginal and Torres Strait Islander people also indicate that many do not have significant private savings. Of Aboriginal and Torres Strait Islander people in 2016, 40.3 per cent were deprived of two or more essentials, and 21.5 per cent were deprived of three or more essentials. For the total population, the figures were 11.6 per cent and 6.6 per cent, respectively </w:t>
      </w:r>
      <w:sdt>
        <w:sdtPr>
          <w:id w:val="-1788813162"/>
          <w:citation/>
        </w:sdtPr>
        <w:sdtEndPr/>
        <w:sdtContent>
          <w:r w:rsidRPr="00027624">
            <w:fldChar w:fldCharType="begin"/>
          </w:r>
          <w:r w:rsidRPr="00027624">
            <w:instrText xml:space="preserve">CITATION Wil16 \p 87 \t  \l 3081 </w:instrText>
          </w:r>
          <w:r w:rsidRPr="00027624">
            <w:fldChar w:fldCharType="separate"/>
          </w:r>
          <w:r w:rsidR="00E83F6E">
            <w:rPr>
              <w:noProof/>
            </w:rPr>
            <w:t>(Wilkins, 2016, p. 87)</w:t>
          </w:r>
          <w:r w:rsidRPr="00027624">
            <w:fldChar w:fldCharType="end"/>
          </w:r>
        </w:sdtContent>
      </w:sdt>
      <w:r w:rsidRPr="00027624">
        <w:t xml:space="preserve">. </w:t>
      </w:r>
    </w:p>
    <w:p w14:paraId="552ED6AF" w14:textId="77777777" w:rsidR="00AB09DB" w:rsidRPr="00027624" w:rsidRDefault="00AB09DB" w:rsidP="00B3792F">
      <w:r w:rsidRPr="00027624">
        <w:lastRenderedPageBreak/>
        <w:t>Compared with older people in the total population, few older Aboriginal and Torres Strait Islander people own their own homes. Non</w:t>
      </w:r>
      <w:r w:rsidRPr="00027624">
        <w:noBreakHyphen/>
        <w:t xml:space="preserve">home owners rarely retire with significant private savings (see </w:t>
      </w:r>
      <w:r w:rsidRPr="00027624">
        <w:rPr>
          <w:i/>
        </w:rPr>
        <w:t>2C.</w:t>
      </w:r>
      <w:r w:rsidRPr="00027624">
        <w:t xml:space="preserve"> </w:t>
      </w:r>
      <w:r w:rsidRPr="00027624">
        <w:rPr>
          <w:i/>
          <w:iCs/>
        </w:rPr>
        <w:t>Maintaining</w:t>
      </w:r>
      <w:r w:rsidRPr="00027624">
        <w:rPr>
          <w:i/>
        </w:rPr>
        <w:t xml:space="preserve"> standards of living in retirement</w:t>
      </w:r>
      <w:r>
        <w:t xml:space="preserve">). </w:t>
      </w:r>
    </w:p>
    <w:p w14:paraId="00EECEDF" w14:textId="77777777" w:rsidR="00B3792F" w:rsidRPr="00027624" w:rsidRDefault="00B3792F" w:rsidP="00582C3E">
      <w:pPr>
        <w:pStyle w:val="ChartMainHeading"/>
      </w:pPr>
      <w:bookmarkStart w:id="3385" w:name="_Ref40455556"/>
      <w:r w:rsidRPr="00027624">
        <w:t>Private savings, by Indigenous status</w:t>
      </w:r>
      <w:bookmarkEnd w:id="3385"/>
    </w:p>
    <w:p w14:paraId="6482E593" w14:textId="77777777" w:rsidR="00B3792F" w:rsidRPr="00027624" w:rsidRDefault="00552B8F" w:rsidP="00B3792F">
      <w:pPr>
        <w:pStyle w:val="ChartGraphic"/>
      </w:pPr>
      <w:r>
        <w:rPr>
          <w:noProof/>
        </w:rPr>
        <w:drawing>
          <wp:inline distT="0" distB="0" distL="0" distR="0" wp14:anchorId="7888F6DA" wp14:editId="39731490">
            <wp:extent cx="5577840" cy="2522220"/>
            <wp:effectExtent l="0" t="0" r="3810" b="0"/>
            <wp:docPr id="245" name="Picture 245" descr="This chart shows Aboriginal and Torres Strait Islander people are much more likely to have no private savings than the total population surveyed (over 50 per cent of Aboriginal and Torres Strait Islander people compared to over 10 per cent of the total population). It also shows Aboriginal and Torres Strait Islander people are much less likely to have some savings that would last more than three months than the total population. In contrast, around 50 per cent of the total population has some savings that would last more than 3 months." title="Chart 3F-6 Private savings, by Indigenous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0CAE2AD3" w14:textId="77777777" w:rsidR="00B3792F" w:rsidRPr="00027624" w:rsidRDefault="00B3792F" w:rsidP="00B3792F">
      <w:pPr>
        <w:pStyle w:val="ChartorTableNote"/>
      </w:pPr>
      <w:r w:rsidRPr="00027624">
        <w:t xml:space="preserve">Note: Survey data from 2018. Survey question was </w:t>
      </w:r>
      <w:r w:rsidR="00A8443E" w:rsidRPr="00027624">
        <w:t>‘</w:t>
      </w:r>
      <w:r w:rsidRPr="00027624">
        <w:t>How much money do you have put away?</w:t>
      </w:r>
      <w:r w:rsidR="00A8443E" w:rsidRPr="00027624">
        <w:t>’</w:t>
      </w:r>
      <w:r w:rsidRPr="00027624">
        <w:t xml:space="preserve"> Source: </w:t>
      </w:r>
      <w:sdt>
        <w:sdtPr>
          <w:id w:val="-406610620"/>
          <w:citation/>
        </w:sdtPr>
        <w:sdtEndPr/>
        <w:sdtContent>
          <w:r w:rsidRPr="00027624">
            <w:fldChar w:fldCharType="begin"/>
          </w:r>
          <w:r w:rsidRPr="00027624">
            <w:instrText xml:space="preserve"> CITATION Fir191 \l 3081 </w:instrText>
          </w:r>
          <w:r w:rsidRPr="00027624">
            <w:fldChar w:fldCharType="separate"/>
          </w:r>
          <w:r w:rsidR="00E83F6E">
            <w:rPr>
              <w:noProof/>
            </w:rPr>
            <w:t>(Weier, et al., 2019)</w:t>
          </w:r>
          <w:r w:rsidRPr="00027624">
            <w:fldChar w:fldCharType="end"/>
          </w:r>
        </w:sdtContent>
      </w:sdt>
      <w:r w:rsidRPr="00027624">
        <w:t>.</w:t>
      </w:r>
    </w:p>
    <w:p w14:paraId="10AD873E" w14:textId="77777777" w:rsidR="00B3792F" w:rsidRPr="00027624" w:rsidRDefault="00B3792F" w:rsidP="00B3792F">
      <w:pPr>
        <w:pStyle w:val="Heading3"/>
        <w:rPr>
          <w:rFonts w:eastAsiaTheme="minorHAnsi"/>
          <w:b w:val="0"/>
          <w:color w:val="144E60" w:themeColor="accent1"/>
          <w:sz w:val="24"/>
          <w:szCs w:val="36"/>
        </w:rPr>
      </w:pPr>
      <w:r w:rsidRPr="00027624">
        <w:rPr>
          <w:rFonts w:eastAsiaTheme="minorHAnsi"/>
        </w:rPr>
        <w:t xml:space="preserve">Home ownership </w:t>
      </w:r>
    </w:p>
    <w:p w14:paraId="6C2A1DE7" w14:textId="1C255A4F" w:rsidR="00B3792F" w:rsidRPr="00027624" w:rsidRDefault="00B3792F" w:rsidP="00B3792F">
      <w:r w:rsidRPr="00027624">
        <w:rPr>
          <w:b/>
        </w:rPr>
        <w:t>Aboriginal and Torres Strait Islander people in retirement are less likely to be home owners and more likely to face the challenges of renting</w:t>
      </w:r>
      <w:r w:rsidRPr="00027624">
        <w:t xml:space="preserve"> (see</w:t>
      </w:r>
      <w:r w:rsidRPr="00027624">
        <w:rPr>
          <w:i/>
        </w:rPr>
        <w:t xml:space="preserve"> 2A: Achieving a minimum standard of living in retirement</w:t>
      </w:r>
      <w:r w:rsidRPr="00027624">
        <w:t>)</w:t>
      </w:r>
      <w:r w:rsidR="00A0304B" w:rsidRPr="00027624">
        <w:t>.</w:t>
      </w:r>
      <w:r w:rsidRPr="00027624">
        <w:t xml:space="preserve"> At the 2016 Census, 45 per cent of Aboriginal and Torres Strait Islanders aged 65 and over owned their own home, compared with 71 per cent of the total population aged 65 and over (</w:t>
      </w:r>
      <w:r w:rsidRPr="00027624">
        <w:fldChar w:fldCharType="begin"/>
      </w:r>
      <w:r w:rsidRPr="00027624">
        <w:instrText xml:space="preserve"> REF _Ref40440310 \r \h  \* MERGEFORMAT </w:instrText>
      </w:r>
      <w:r w:rsidRPr="00027624">
        <w:fldChar w:fldCharType="separate"/>
      </w:r>
      <w:r w:rsidR="00891058">
        <w:t>Table 3F-8</w:t>
      </w:r>
      <w:r w:rsidRPr="00027624">
        <w:fldChar w:fldCharType="end"/>
      </w:r>
      <w:r w:rsidRPr="00027624">
        <w:t xml:space="preserve">). Around 41 per cent of Aboriginal and Torres Strait Islander people aged 65 and over were renting, almost </w:t>
      </w:r>
      <w:r w:rsidR="00581E72" w:rsidRPr="00027624">
        <w:t>4</w:t>
      </w:r>
      <w:r w:rsidRPr="00027624">
        <w:t xml:space="preserve"> times the incidence across the total population. More than half of those renting did so through public housing. </w:t>
      </w:r>
    </w:p>
    <w:p w14:paraId="26CA1297" w14:textId="77777777" w:rsidR="00B3792F" w:rsidRPr="00027624" w:rsidRDefault="00B3792F" w:rsidP="00582C3E">
      <w:pPr>
        <w:pStyle w:val="TableMainHeading"/>
      </w:pPr>
      <w:bookmarkStart w:id="3386" w:name="_Ref33703775"/>
      <w:bookmarkStart w:id="3387" w:name="_Ref40440310"/>
      <w:bookmarkStart w:id="3388" w:name="_Ref44528059"/>
      <w:bookmarkEnd w:id="3386"/>
      <w:r w:rsidRPr="00027624">
        <w:t>Proportion aged 65 and over, by housing tenure and Indigenous status</w:t>
      </w:r>
      <w:bookmarkEnd w:id="3387"/>
      <w:bookmarkEnd w:id="3388"/>
    </w:p>
    <w:tbl>
      <w:tblPr>
        <w:tblW w:w="5000" w:type="pct"/>
        <w:tblLook w:val="01E0" w:firstRow="1" w:lastRow="1" w:firstColumn="1" w:lastColumn="1" w:noHBand="0" w:noVBand="0"/>
      </w:tblPr>
      <w:tblGrid>
        <w:gridCol w:w="2739"/>
        <w:gridCol w:w="3594"/>
        <w:gridCol w:w="2737"/>
      </w:tblGrid>
      <w:tr w:rsidR="00B3792F" w:rsidRPr="00027624" w14:paraId="48A5A2DC" w14:textId="77777777" w:rsidTr="00B3792F">
        <w:trPr>
          <w:tblHeader/>
        </w:trPr>
        <w:tc>
          <w:tcPr>
            <w:tcW w:w="1510" w:type="pct"/>
            <w:shd w:val="clear" w:color="auto" w:fill="E5E5E5"/>
          </w:tcPr>
          <w:p w14:paraId="31380572" w14:textId="77777777" w:rsidR="00B3792F" w:rsidRPr="00027624" w:rsidRDefault="00B3792F" w:rsidP="00B3792F">
            <w:pPr>
              <w:pStyle w:val="TableColumnHeadingLeft"/>
            </w:pPr>
          </w:p>
        </w:tc>
        <w:tc>
          <w:tcPr>
            <w:tcW w:w="1981" w:type="pct"/>
            <w:shd w:val="clear" w:color="auto" w:fill="E5E5E5"/>
            <w:vAlign w:val="center"/>
          </w:tcPr>
          <w:p w14:paraId="4D35B10B" w14:textId="77777777" w:rsidR="00B3792F" w:rsidRPr="00027624" w:rsidRDefault="00B3792F" w:rsidP="00B3792F">
            <w:pPr>
              <w:pStyle w:val="TableColumnHeadingCentred"/>
            </w:pPr>
            <w:r w:rsidRPr="00027624">
              <w:t xml:space="preserve">Aboriginal and Torres Strait Islander </w:t>
            </w:r>
          </w:p>
          <w:p w14:paraId="1FD5C98A" w14:textId="77777777" w:rsidR="00B3792F" w:rsidRPr="00027624" w:rsidRDefault="00B3792F" w:rsidP="00B3792F">
            <w:pPr>
              <w:pStyle w:val="TableColumnHeadingCentred"/>
            </w:pPr>
            <w:r w:rsidRPr="00027624">
              <w:t>(per cent)</w:t>
            </w:r>
          </w:p>
        </w:tc>
        <w:tc>
          <w:tcPr>
            <w:tcW w:w="1509" w:type="pct"/>
            <w:shd w:val="clear" w:color="auto" w:fill="E5E5E5"/>
            <w:vAlign w:val="center"/>
          </w:tcPr>
          <w:p w14:paraId="67A1851A" w14:textId="77777777" w:rsidR="00B3792F" w:rsidRPr="00027624" w:rsidRDefault="00B3792F" w:rsidP="00B3792F">
            <w:pPr>
              <w:pStyle w:val="TableColumnHeadingCentred"/>
            </w:pPr>
            <w:r w:rsidRPr="00027624">
              <w:t>Total population</w:t>
            </w:r>
          </w:p>
          <w:p w14:paraId="3A7C2BB5" w14:textId="77777777" w:rsidR="00B3792F" w:rsidRPr="00027624" w:rsidRDefault="00B3792F" w:rsidP="00B3792F">
            <w:pPr>
              <w:pStyle w:val="TableColumnHeadingCentred"/>
            </w:pPr>
            <w:r w:rsidRPr="00027624">
              <w:t>(per cent)</w:t>
            </w:r>
          </w:p>
        </w:tc>
      </w:tr>
      <w:tr w:rsidR="00B3792F" w:rsidRPr="00027624" w14:paraId="3AFE4C6B" w14:textId="77777777" w:rsidTr="00B3792F">
        <w:tc>
          <w:tcPr>
            <w:tcW w:w="1510" w:type="pct"/>
          </w:tcPr>
          <w:p w14:paraId="15659F2D" w14:textId="77777777" w:rsidR="00B3792F" w:rsidRPr="00027624" w:rsidRDefault="00B3792F" w:rsidP="00B3792F">
            <w:pPr>
              <w:pStyle w:val="TableTextLeft"/>
            </w:pPr>
            <w:r w:rsidRPr="00027624">
              <w:rPr>
                <w:rFonts w:cs="Arial"/>
                <w:color w:val="000000" w:themeColor="dark1"/>
                <w:kern w:val="24"/>
              </w:rPr>
              <w:t>Owner without a mortgage</w:t>
            </w:r>
          </w:p>
        </w:tc>
        <w:tc>
          <w:tcPr>
            <w:tcW w:w="1981" w:type="pct"/>
            <w:vAlign w:val="center"/>
          </w:tcPr>
          <w:p w14:paraId="76983F3C" w14:textId="77777777" w:rsidR="00B3792F" w:rsidRPr="00027624" w:rsidRDefault="00B3792F" w:rsidP="00B3792F">
            <w:pPr>
              <w:pStyle w:val="TableTextCentered"/>
            </w:pPr>
            <w:r w:rsidRPr="00027624">
              <w:t>35.2</w:t>
            </w:r>
          </w:p>
        </w:tc>
        <w:tc>
          <w:tcPr>
            <w:tcW w:w="1509" w:type="pct"/>
            <w:vAlign w:val="center"/>
          </w:tcPr>
          <w:p w14:paraId="49BEE259" w14:textId="77777777" w:rsidR="00B3792F" w:rsidRPr="00027624" w:rsidRDefault="00B3792F" w:rsidP="00B3792F">
            <w:pPr>
              <w:pStyle w:val="TableTextCentered"/>
            </w:pPr>
            <w:r w:rsidRPr="00027624">
              <w:t>61.0</w:t>
            </w:r>
          </w:p>
        </w:tc>
      </w:tr>
      <w:tr w:rsidR="00B3792F" w:rsidRPr="00027624" w14:paraId="5C1FCDB1" w14:textId="77777777" w:rsidTr="00B3792F">
        <w:tc>
          <w:tcPr>
            <w:tcW w:w="1510" w:type="pct"/>
          </w:tcPr>
          <w:p w14:paraId="48C687C7" w14:textId="77777777" w:rsidR="00B3792F" w:rsidRPr="00027624" w:rsidRDefault="00B3792F" w:rsidP="00B3792F">
            <w:pPr>
              <w:pStyle w:val="TableTextLeft"/>
              <w:rPr>
                <w:rFonts w:cs="Arial"/>
                <w:color w:val="000000" w:themeColor="dark1"/>
                <w:kern w:val="24"/>
              </w:rPr>
            </w:pPr>
            <w:r w:rsidRPr="00027624">
              <w:rPr>
                <w:rFonts w:cs="Arial"/>
                <w:color w:val="000000" w:themeColor="dark1"/>
                <w:kern w:val="24"/>
              </w:rPr>
              <w:t>Owner with a mortgage</w:t>
            </w:r>
          </w:p>
        </w:tc>
        <w:tc>
          <w:tcPr>
            <w:tcW w:w="1981" w:type="pct"/>
            <w:vAlign w:val="center"/>
          </w:tcPr>
          <w:p w14:paraId="0353AE25" w14:textId="77777777" w:rsidR="00B3792F" w:rsidRPr="00027624" w:rsidRDefault="00B3792F" w:rsidP="00B3792F">
            <w:pPr>
              <w:pStyle w:val="TableTextCentered"/>
            </w:pPr>
            <w:r w:rsidRPr="00027624">
              <w:t>10.2</w:t>
            </w:r>
          </w:p>
        </w:tc>
        <w:tc>
          <w:tcPr>
            <w:tcW w:w="1509" w:type="pct"/>
            <w:vAlign w:val="center"/>
          </w:tcPr>
          <w:p w14:paraId="3C4C748B" w14:textId="77777777" w:rsidR="00B3792F" w:rsidRPr="00027624" w:rsidRDefault="00B3792F" w:rsidP="00B3792F">
            <w:pPr>
              <w:pStyle w:val="TableTextCentered"/>
            </w:pPr>
            <w:r w:rsidRPr="00027624">
              <w:t>10.1</w:t>
            </w:r>
          </w:p>
        </w:tc>
      </w:tr>
      <w:tr w:rsidR="00B3792F" w:rsidRPr="00027624" w14:paraId="033FA649" w14:textId="77777777" w:rsidTr="00B3792F">
        <w:tc>
          <w:tcPr>
            <w:tcW w:w="1510" w:type="pct"/>
          </w:tcPr>
          <w:p w14:paraId="4B22DDEF" w14:textId="77777777" w:rsidR="00B3792F" w:rsidRPr="00027624" w:rsidRDefault="00B3792F" w:rsidP="00B3792F">
            <w:pPr>
              <w:pStyle w:val="TableTextLeft"/>
              <w:rPr>
                <w:rFonts w:cs="Arial"/>
                <w:color w:val="000000" w:themeColor="dark1"/>
                <w:kern w:val="24"/>
              </w:rPr>
            </w:pPr>
            <w:r w:rsidRPr="00027624">
              <w:rPr>
                <w:rFonts w:cs="Arial"/>
                <w:color w:val="000000" w:themeColor="dark1"/>
                <w:kern w:val="24"/>
              </w:rPr>
              <w:t>Renter</w:t>
            </w:r>
          </w:p>
        </w:tc>
        <w:tc>
          <w:tcPr>
            <w:tcW w:w="1981" w:type="pct"/>
            <w:vAlign w:val="center"/>
          </w:tcPr>
          <w:p w14:paraId="13A9037A" w14:textId="77777777" w:rsidR="00B3792F" w:rsidRPr="00027624" w:rsidRDefault="00B3792F" w:rsidP="00B3792F">
            <w:pPr>
              <w:pStyle w:val="TableTextCentered"/>
            </w:pPr>
            <w:r w:rsidRPr="00027624">
              <w:t>41.0</w:t>
            </w:r>
          </w:p>
        </w:tc>
        <w:tc>
          <w:tcPr>
            <w:tcW w:w="1509" w:type="pct"/>
            <w:vAlign w:val="center"/>
          </w:tcPr>
          <w:p w14:paraId="55F71724" w14:textId="77777777" w:rsidR="00B3792F" w:rsidRPr="00027624" w:rsidRDefault="00B3792F" w:rsidP="00B3792F">
            <w:pPr>
              <w:pStyle w:val="TableTextCentered"/>
            </w:pPr>
            <w:r w:rsidRPr="00027624">
              <w:t>11.8</w:t>
            </w:r>
          </w:p>
        </w:tc>
      </w:tr>
      <w:tr w:rsidR="00B3792F" w:rsidRPr="00027624" w14:paraId="622BCCBC" w14:textId="77777777" w:rsidTr="00B3792F">
        <w:tc>
          <w:tcPr>
            <w:tcW w:w="1510" w:type="pct"/>
          </w:tcPr>
          <w:p w14:paraId="3BDAE8B4" w14:textId="77777777" w:rsidR="00B3792F" w:rsidRPr="00027624" w:rsidRDefault="00B3792F" w:rsidP="00B3792F">
            <w:pPr>
              <w:pStyle w:val="TableTextIndented"/>
              <w:rPr>
                <w:i/>
              </w:rPr>
            </w:pPr>
            <w:r w:rsidRPr="00027624">
              <w:rPr>
                <w:i/>
              </w:rPr>
              <w:t>Public housing</w:t>
            </w:r>
          </w:p>
        </w:tc>
        <w:tc>
          <w:tcPr>
            <w:tcW w:w="1981" w:type="pct"/>
            <w:vAlign w:val="center"/>
          </w:tcPr>
          <w:p w14:paraId="581E2559" w14:textId="77777777" w:rsidR="00B3792F" w:rsidRPr="00027624" w:rsidRDefault="00B3792F" w:rsidP="00B3792F">
            <w:pPr>
              <w:pStyle w:val="TableTextCentered"/>
              <w:rPr>
                <w:i/>
              </w:rPr>
            </w:pPr>
            <w:r w:rsidRPr="00027624">
              <w:rPr>
                <w:i/>
              </w:rPr>
              <w:t>22.7</w:t>
            </w:r>
          </w:p>
        </w:tc>
        <w:tc>
          <w:tcPr>
            <w:tcW w:w="1509" w:type="pct"/>
            <w:vAlign w:val="center"/>
          </w:tcPr>
          <w:p w14:paraId="178B9DA7" w14:textId="77777777" w:rsidR="00B3792F" w:rsidRPr="00027624" w:rsidRDefault="00B3792F" w:rsidP="00B3792F">
            <w:pPr>
              <w:pStyle w:val="TableTextCentered"/>
              <w:rPr>
                <w:i/>
              </w:rPr>
            </w:pPr>
            <w:r w:rsidRPr="00027624">
              <w:rPr>
                <w:i/>
              </w:rPr>
              <w:t>3.2</w:t>
            </w:r>
          </w:p>
        </w:tc>
      </w:tr>
      <w:tr w:rsidR="00B3792F" w:rsidRPr="00027624" w14:paraId="211E3223" w14:textId="77777777" w:rsidTr="00B3792F">
        <w:tc>
          <w:tcPr>
            <w:tcW w:w="1510" w:type="pct"/>
          </w:tcPr>
          <w:p w14:paraId="455A238F" w14:textId="77777777" w:rsidR="00B3792F" w:rsidRPr="00027624" w:rsidRDefault="00B3792F" w:rsidP="00B3792F">
            <w:pPr>
              <w:pStyle w:val="TableTextLeft"/>
              <w:rPr>
                <w:rFonts w:cs="Arial"/>
                <w:i/>
                <w:iCs/>
                <w:color w:val="000000" w:themeColor="dark1"/>
                <w:kern w:val="24"/>
              </w:rPr>
            </w:pPr>
            <w:r w:rsidRPr="00027624">
              <w:rPr>
                <w:rFonts w:cs="Arial"/>
                <w:color w:val="000000" w:themeColor="dark1"/>
                <w:kern w:val="24"/>
              </w:rPr>
              <w:t>Other</w:t>
            </w:r>
          </w:p>
        </w:tc>
        <w:tc>
          <w:tcPr>
            <w:tcW w:w="1981" w:type="pct"/>
            <w:vAlign w:val="center"/>
          </w:tcPr>
          <w:p w14:paraId="2E1307EE" w14:textId="77777777" w:rsidR="00B3792F" w:rsidRPr="00027624" w:rsidRDefault="00B3792F" w:rsidP="00B3792F">
            <w:pPr>
              <w:pStyle w:val="TableTextCentered"/>
              <w:rPr>
                <w:i/>
                <w:iCs/>
              </w:rPr>
            </w:pPr>
            <w:r w:rsidRPr="00027624">
              <w:t>1.2</w:t>
            </w:r>
          </w:p>
        </w:tc>
        <w:tc>
          <w:tcPr>
            <w:tcW w:w="1509" w:type="pct"/>
            <w:vAlign w:val="center"/>
          </w:tcPr>
          <w:p w14:paraId="2B240D47" w14:textId="77777777" w:rsidR="00B3792F" w:rsidRPr="00027624" w:rsidRDefault="00B3792F" w:rsidP="00B3792F">
            <w:pPr>
              <w:pStyle w:val="TableTextCentered"/>
              <w:rPr>
                <w:i/>
                <w:iCs/>
              </w:rPr>
            </w:pPr>
            <w:r w:rsidRPr="00027624">
              <w:t>1.9</w:t>
            </w:r>
          </w:p>
        </w:tc>
      </w:tr>
      <w:tr w:rsidR="00B3792F" w:rsidRPr="00027624" w14:paraId="19879CD2" w14:textId="77777777" w:rsidTr="00B3792F">
        <w:tc>
          <w:tcPr>
            <w:tcW w:w="1510" w:type="pct"/>
          </w:tcPr>
          <w:p w14:paraId="1E763E49" w14:textId="77777777" w:rsidR="00B3792F" w:rsidRPr="00027624" w:rsidRDefault="00B3792F" w:rsidP="00B3792F">
            <w:pPr>
              <w:pStyle w:val="TableTextLeft"/>
              <w:rPr>
                <w:rFonts w:cs="Arial"/>
                <w:color w:val="000000" w:themeColor="dark1"/>
                <w:kern w:val="24"/>
              </w:rPr>
            </w:pPr>
            <w:r w:rsidRPr="00027624">
              <w:rPr>
                <w:rFonts w:cs="Arial"/>
                <w:color w:val="000000" w:themeColor="dark1"/>
                <w:kern w:val="24"/>
              </w:rPr>
              <w:t>Not stated/Not applicable</w:t>
            </w:r>
          </w:p>
        </w:tc>
        <w:tc>
          <w:tcPr>
            <w:tcW w:w="1981" w:type="pct"/>
            <w:vAlign w:val="center"/>
          </w:tcPr>
          <w:p w14:paraId="39403AA1" w14:textId="77777777" w:rsidR="00B3792F" w:rsidRPr="00027624" w:rsidRDefault="00B3792F" w:rsidP="00B3792F">
            <w:pPr>
              <w:pStyle w:val="TableTextCentered"/>
            </w:pPr>
            <w:r w:rsidRPr="00027624">
              <w:t>12.4</w:t>
            </w:r>
          </w:p>
        </w:tc>
        <w:tc>
          <w:tcPr>
            <w:tcW w:w="1509" w:type="pct"/>
            <w:vAlign w:val="center"/>
          </w:tcPr>
          <w:p w14:paraId="70161098" w14:textId="77777777" w:rsidR="00B3792F" w:rsidRPr="00027624" w:rsidRDefault="00B3792F" w:rsidP="00B3792F">
            <w:pPr>
              <w:pStyle w:val="TableTextCentered"/>
            </w:pPr>
            <w:r w:rsidRPr="00027624">
              <w:t>15.2</w:t>
            </w:r>
          </w:p>
        </w:tc>
      </w:tr>
    </w:tbl>
    <w:p w14:paraId="0297D2AC" w14:textId="77777777" w:rsidR="00B3792F" w:rsidRPr="00027624" w:rsidRDefault="00B3792F" w:rsidP="00B3792F">
      <w:pPr>
        <w:pStyle w:val="ChartorTableNote"/>
      </w:pPr>
      <w:r w:rsidRPr="00027624">
        <w:t xml:space="preserve">Note: 2016 data. Source: Analysis of </w:t>
      </w:r>
      <w:sdt>
        <w:sdtPr>
          <w:id w:val="1969163854"/>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t>.</w:t>
      </w:r>
    </w:p>
    <w:p w14:paraId="1579D4AC" w14:textId="77777777" w:rsidR="00B3792F" w:rsidRPr="00027624" w:rsidRDefault="00B3792F" w:rsidP="00B3792F">
      <w:r w:rsidRPr="00027624">
        <w:t xml:space="preserve">At 30 June 2019, 32 per cent of Aboriginal and Torres Strait Islander people on income support over Age Pension </w:t>
      </w:r>
      <w:r w:rsidR="00DF66DA" w:rsidRPr="00027624">
        <w:t xml:space="preserve">eligibility </w:t>
      </w:r>
      <w:r w:rsidRPr="00027624">
        <w:t>age were home owners, compared with 73 per cent of the total age pensioner population.</w:t>
      </w:r>
      <w:r w:rsidRPr="00027624">
        <w:rPr>
          <w:rStyle w:val="FootnoteReference"/>
        </w:rPr>
        <w:footnoteReference w:id="222"/>
      </w:r>
      <w:r w:rsidRPr="00027624">
        <w:t xml:space="preserve"> </w:t>
      </w:r>
    </w:p>
    <w:p w14:paraId="7DE08933" w14:textId="77777777" w:rsidR="00B3792F" w:rsidRPr="00027624" w:rsidRDefault="00B3792F" w:rsidP="00B3792F">
      <w:pPr>
        <w:rPr>
          <w:i/>
        </w:rPr>
      </w:pPr>
      <w:r w:rsidRPr="00027624">
        <w:t>Older Aboriginal and Torres Strait Islander people are also more likely to be homeless than older non</w:t>
      </w:r>
      <w:r w:rsidR="00A8443E" w:rsidRPr="00027624">
        <w:noBreakHyphen/>
      </w:r>
      <w:r w:rsidRPr="00027624">
        <w:t xml:space="preserve">Indigenous people. At the 2016 Census, 3.3 per cent of those identifying as Aboriginal and/or Torres Strait Islander aged 65 and over were homeless or marginally housed, compared with </w:t>
      </w:r>
      <w:r w:rsidRPr="00027624">
        <w:lastRenderedPageBreak/>
        <w:t xml:space="preserve">0.4 per cent of the total population. Older Aboriginal and Torres Strait Islander homelessness is most prominent in remote or very remote areas </w:t>
      </w:r>
      <w:sdt>
        <w:sdtPr>
          <w:id w:val="1967161242"/>
          <w:citation/>
        </w:sdtPr>
        <w:sdtEndPr/>
        <w:sdtContent>
          <w:r w:rsidRPr="00027624">
            <w:fldChar w:fldCharType="begin"/>
          </w:r>
          <w:r w:rsidRPr="00027624">
            <w:instrText xml:space="preserve">CITATION ABS3 \l 3081 </w:instrText>
          </w:r>
          <w:r w:rsidRPr="00027624">
            <w:fldChar w:fldCharType="separate"/>
          </w:r>
          <w:r w:rsidR="00E83F6E">
            <w:rPr>
              <w:noProof/>
            </w:rPr>
            <w:t>(ABS, 2016a)</w:t>
          </w:r>
          <w:r w:rsidRPr="00027624">
            <w:fldChar w:fldCharType="end"/>
          </w:r>
        </w:sdtContent>
      </w:sdt>
      <w:r w:rsidRPr="00027624">
        <w:rPr>
          <w:i/>
        </w:rPr>
        <w:t xml:space="preserve">. </w:t>
      </w:r>
    </w:p>
    <w:p w14:paraId="29FC5BA5" w14:textId="77777777" w:rsidR="00B3792F" w:rsidRPr="00027624" w:rsidRDefault="00B3792F" w:rsidP="00B3792F">
      <w:pPr>
        <w:pStyle w:val="Heading3"/>
      </w:pPr>
      <w:bookmarkStart w:id="3389" w:name="_Ref33700118"/>
      <w:bookmarkStart w:id="3390" w:name="_Toc40366206"/>
      <w:bookmarkStart w:id="3391" w:name="_Toc40369752"/>
      <w:bookmarkStart w:id="3392" w:name="_Toc40427908"/>
      <w:bookmarkStart w:id="3393" w:name="_Toc40458163"/>
      <w:bookmarkStart w:id="3394" w:name="_Toc40461932"/>
      <w:bookmarkStart w:id="3395" w:name="_Toc40474487"/>
      <w:bookmarkStart w:id="3396" w:name="_Toc40478016"/>
      <w:bookmarkStart w:id="3397" w:name="_Toc40521596"/>
      <w:bookmarkStart w:id="3398" w:name="_Toc40530455"/>
      <w:bookmarkStart w:id="3399" w:name="_Toc42778882"/>
      <w:bookmarkStart w:id="3400" w:name="_Toc42780022"/>
      <w:bookmarkStart w:id="3401" w:name="_Toc42780451"/>
      <w:bookmarkStart w:id="3402" w:name="_Toc42786441"/>
      <w:bookmarkStart w:id="3403" w:name="_Toc42791934"/>
      <w:bookmarkStart w:id="3404" w:name="_Toc42792096"/>
      <w:bookmarkStart w:id="3405" w:name="_Toc43117903"/>
      <w:bookmarkStart w:id="3406" w:name="_Toc43121542"/>
      <w:bookmarkStart w:id="3407" w:name="_Toc43122747"/>
      <w:bookmarkStart w:id="3408" w:name="_Toc43127802"/>
      <w:bookmarkEnd w:id="3389"/>
      <w:r w:rsidRPr="00027624">
        <w:t>Financial literacy</w:t>
      </w:r>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p>
    <w:p w14:paraId="515494FE" w14:textId="77777777" w:rsidR="00B3792F" w:rsidRPr="00027624" w:rsidRDefault="00B3792F" w:rsidP="00B3792F">
      <w:r w:rsidRPr="00027624">
        <w:rPr>
          <w:b/>
        </w:rPr>
        <w:t>Aboriginal and Torres Strait Islander people generally have lower financial literacy levels than the total population</w:t>
      </w:r>
      <w:sdt>
        <w:sdtPr>
          <w:rPr>
            <w:b/>
          </w:rPr>
          <w:id w:val="1722094316"/>
          <w:citation/>
        </w:sdtPr>
        <w:sdtEndPr/>
        <w:sdtContent>
          <w:r w:rsidRPr="00027624">
            <w:rPr>
              <w:b/>
            </w:rPr>
            <w:fldChar w:fldCharType="begin"/>
          </w:r>
          <w:r w:rsidRPr="00027624">
            <w:rPr>
              <w:b/>
            </w:rPr>
            <w:instrText xml:space="preserve">CITATION Wil18 \p 120 \l 3081 </w:instrText>
          </w:r>
          <w:r w:rsidRPr="00027624">
            <w:rPr>
              <w:b/>
            </w:rPr>
            <w:fldChar w:fldCharType="separate"/>
          </w:r>
          <w:r w:rsidR="00E83F6E">
            <w:rPr>
              <w:b/>
              <w:noProof/>
            </w:rPr>
            <w:t xml:space="preserve"> </w:t>
          </w:r>
          <w:r w:rsidR="00E83F6E">
            <w:rPr>
              <w:noProof/>
            </w:rPr>
            <w:t>(Wilkins &amp; Lass, 2018, p. 120)</w:t>
          </w:r>
          <w:r w:rsidRPr="00027624">
            <w:rPr>
              <w:b/>
            </w:rPr>
            <w:fldChar w:fldCharType="end"/>
          </w:r>
        </w:sdtContent>
      </w:sdt>
      <w:r w:rsidRPr="00027624">
        <w:t xml:space="preserve">, making engagement with the retirement income system harder. In a study by ANZ, Aboriginal and Torres Strait Islander people scored slightly lower on planning ahead, staying informed and </w:t>
      </w:r>
      <w:r w:rsidR="00A8443E" w:rsidRPr="00027624">
        <w:t>‘</w:t>
      </w:r>
      <w:r w:rsidRPr="00027624">
        <w:t>financial control</w:t>
      </w:r>
      <w:r w:rsidR="00A8443E" w:rsidRPr="00027624">
        <w:t>’</w:t>
      </w:r>
      <w:r w:rsidRPr="00027624">
        <w:t xml:space="preserve"> (making debt repayments and saving) </w:t>
      </w:r>
      <w:sdt>
        <w:sdtPr>
          <w:id w:val="-753200623"/>
          <w:citation/>
        </w:sdtPr>
        <w:sdtEndPr/>
        <w:sdtContent>
          <w:r w:rsidRPr="00027624">
            <w:fldChar w:fldCharType="begin"/>
          </w:r>
          <w:r w:rsidRPr="00027624">
            <w:instrText xml:space="preserve">CITATION Aus151 \p 11 \l 3081 </w:instrText>
          </w:r>
          <w:r w:rsidRPr="00027624">
            <w:fldChar w:fldCharType="separate"/>
          </w:r>
          <w:r w:rsidR="00E83F6E">
            <w:rPr>
              <w:noProof/>
            </w:rPr>
            <w:t>(ANZ, 2015, p. 11)</w:t>
          </w:r>
          <w:r w:rsidRPr="00027624">
            <w:fldChar w:fldCharType="end"/>
          </w:r>
        </w:sdtContent>
      </w:sdt>
      <w:r w:rsidRPr="00027624">
        <w:t xml:space="preserve">. </w:t>
      </w:r>
    </w:p>
    <w:p w14:paraId="34E4BC20" w14:textId="77777777" w:rsidR="00B3792F" w:rsidRPr="00027624" w:rsidRDefault="00B3792F" w:rsidP="00B3792F">
      <w:r w:rsidRPr="00027624">
        <w:t xml:space="preserve">Reconciliation Australia </w:t>
      </w:r>
      <w:sdt>
        <w:sdtPr>
          <w:id w:val="-1746024179"/>
          <w:citation/>
        </w:sdtPr>
        <w:sdtEndPr/>
        <w:sdtContent>
          <w:r w:rsidRPr="00027624">
            <w:fldChar w:fldCharType="begin"/>
          </w:r>
          <w:r w:rsidRPr="00027624">
            <w:instrText xml:space="preserve">CITATION Rec07 \p 26 \n  \t  \l 3081 </w:instrText>
          </w:r>
          <w:r w:rsidRPr="00027624">
            <w:fldChar w:fldCharType="separate"/>
          </w:r>
          <w:r w:rsidR="00E83F6E">
            <w:rPr>
              <w:noProof/>
            </w:rPr>
            <w:t>(2007, p. 26)</w:t>
          </w:r>
          <w:r w:rsidRPr="00027624">
            <w:fldChar w:fldCharType="end"/>
          </w:r>
        </w:sdtContent>
      </w:sdt>
      <w:r w:rsidRPr="00027624">
        <w:t xml:space="preserve"> suggested that the factors contributing to lower financial literacy for Aboriginal and Torres Strait Islander people are broad, but include:</w:t>
      </w:r>
    </w:p>
    <w:p w14:paraId="4611E806" w14:textId="77777777" w:rsidR="00B3792F" w:rsidRPr="00027624" w:rsidRDefault="00B3792F" w:rsidP="0040417A">
      <w:pPr>
        <w:pStyle w:val="Bullet"/>
      </w:pPr>
      <w:r w:rsidRPr="00027624">
        <w:t>Lower educational attainment levels</w:t>
      </w:r>
    </w:p>
    <w:p w14:paraId="37FF0433" w14:textId="77777777" w:rsidR="00B3792F" w:rsidRPr="00027624" w:rsidRDefault="00B3792F" w:rsidP="0040417A">
      <w:pPr>
        <w:pStyle w:val="Bullet"/>
      </w:pPr>
      <w:r w:rsidRPr="00027624">
        <w:t>Poorer health</w:t>
      </w:r>
    </w:p>
    <w:p w14:paraId="4D50E015" w14:textId="77777777" w:rsidR="00B3792F" w:rsidRPr="00027624" w:rsidRDefault="00B3792F" w:rsidP="0040417A">
      <w:pPr>
        <w:pStyle w:val="Bullet"/>
      </w:pPr>
      <w:r w:rsidRPr="00027624">
        <w:t>Remoteness</w:t>
      </w:r>
    </w:p>
    <w:p w14:paraId="32B17160" w14:textId="77777777" w:rsidR="00B3792F" w:rsidRPr="00027624" w:rsidRDefault="00B3792F" w:rsidP="0040417A">
      <w:pPr>
        <w:pStyle w:val="Bullet"/>
      </w:pPr>
      <w:r w:rsidRPr="00027624">
        <w:t>Cultural barriers</w:t>
      </w:r>
    </w:p>
    <w:p w14:paraId="5C57515B" w14:textId="77777777" w:rsidR="00B3792F" w:rsidRPr="00027624" w:rsidRDefault="00B3792F" w:rsidP="0040417A">
      <w:pPr>
        <w:pStyle w:val="Bullet"/>
      </w:pPr>
      <w:r w:rsidRPr="00027624">
        <w:t>Language barriers (see below)</w:t>
      </w:r>
    </w:p>
    <w:p w14:paraId="1CD8F5F7" w14:textId="77777777" w:rsidR="00B3792F" w:rsidRPr="00027624" w:rsidRDefault="00B3792F" w:rsidP="0040417A">
      <w:pPr>
        <w:pStyle w:val="Bullet"/>
      </w:pPr>
      <w:r w:rsidRPr="00027624">
        <w:t>The complexity of product information</w:t>
      </w:r>
    </w:p>
    <w:p w14:paraId="4A60B968" w14:textId="77777777" w:rsidR="00B3792F" w:rsidRPr="00027624" w:rsidRDefault="00B3792F" w:rsidP="0040417A">
      <w:pPr>
        <w:pStyle w:val="Bullet"/>
      </w:pPr>
      <w:r w:rsidRPr="00027624">
        <w:t>Low awareness of financial literacy programs</w:t>
      </w:r>
    </w:p>
    <w:p w14:paraId="7BB598DA" w14:textId="77777777" w:rsidR="00B3792F" w:rsidRPr="00027624" w:rsidRDefault="00B3792F" w:rsidP="0040417A">
      <w:pPr>
        <w:pStyle w:val="Bullet"/>
      </w:pPr>
      <w:r w:rsidRPr="00027624">
        <w:t>Limited provision of face</w:t>
      </w:r>
      <w:r w:rsidR="00A8443E" w:rsidRPr="00027624">
        <w:noBreakHyphen/>
      </w:r>
      <w:r w:rsidRPr="00027624">
        <w:t>to</w:t>
      </w:r>
      <w:r w:rsidR="00A8443E" w:rsidRPr="00027624">
        <w:noBreakHyphen/>
      </w:r>
      <w:r w:rsidRPr="00027624">
        <w:t xml:space="preserve">face training </w:t>
      </w:r>
    </w:p>
    <w:p w14:paraId="00B5EDBE" w14:textId="77777777" w:rsidR="00B3792F" w:rsidRPr="00027624" w:rsidRDefault="00B3792F" w:rsidP="00B3792F">
      <w:r w:rsidRPr="00027624">
        <w:t xml:space="preserve">Lower financial literacy is correlated with a range of factors that lower retirement incomes (see </w:t>
      </w:r>
      <w:r w:rsidRPr="00027624">
        <w:rPr>
          <w:i/>
        </w:rPr>
        <w:t>5A. Cohesion</w:t>
      </w:r>
      <w:r w:rsidRPr="00027624">
        <w:t>).</w:t>
      </w:r>
    </w:p>
    <w:p w14:paraId="5E6E3FF4" w14:textId="77777777" w:rsidR="00B3792F" w:rsidRPr="00027624" w:rsidRDefault="00B3792F" w:rsidP="00B3792F">
      <w:r w:rsidRPr="00027624">
        <w:t>Language barriers can impede engagement with, and understanding of, financial products and superannuation. One in 10 Aboriginal and Torres Strait Islander people communicate in an Indigenous language at home</w:t>
      </w:r>
      <w:sdt>
        <w:sdtPr>
          <w:id w:val="-917861313"/>
          <w:citation/>
        </w:sdtPr>
        <w:sdtEndPr/>
        <w:sdtContent>
          <w:r w:rsidRPr="00027624">
            <w:fldChar w:fldCharType="begin"/>
          </w:r>
          <w:r w:rsidRPr="00027624">
            <w:instrText xml:space="preserve">CITATION Boy18 \p 30 \t  \l 3081 </w:instrText>
          </w:r>
          <w:r w:rsidRPr="00027624">
            <w:fldChar w:fldCharType="separate"/>
          </w:r>
          <w:r w:rsidR="00E83F6E">
            <w:rPr>
              <w:noProof/>
            </w:rPr>
            <w:t xml:space="preserve"> (Boyle, 2018b, p. 30)</w:t>
          </w:r>
          <w:r w:rsidRPr="00027624">
            <w:fldChar w:fldCharType="end"/>
          </w:r>
        </w:sdtContent>
      </w:sdt>
      <w:r w:rsidRPr="00027624">
        <w:t xml:space="preserve">. Of Indigenous language speakers, 16.6 per cent reported they do not speak English well or at all </w:t>
      </w:r>
      <w:sdt>
        <w:sdtPr>
          <w:id w:val="-1667154400"/>
          <w:citation/>
        </w:sdtPr>
        <w:sdtEndPr/>
        <w:sdtContent>
          <w:r w:rsidRPr="00027624">
            <w:fldChar w:fldCharType="begin"/>
          </w:r>
          <w:r w:rsidRPr="00027624">
            <w:instrText xml:space="preserve"> CITATION KPM16 \l 3081 </w:instrText>
          </w:r>
          <w:r w:rsidRPr="00027624">
            <w:fldChar w:fldCharType="separate"/>
          </w:r>
          <w:r w:rsidR="00E83F6E">
            <w:rPr>
              <w:noProof/>
            </w:rPr>
            <w:t>(KPMG, 2016)</w:t>
          </w:r>
          <w:r w:rsidRPr="00027624">
            <w:fldChar w:fldCharType="end"/>
          </w:r>
        </w:sdtContent>
      </w:sdt>
      <w:r w:rsidRPr="00027624">
        <w:t xml:space="preserve">. </w:t>
      </w:r>
    </w:p>
    <w:p w14:paraId="46985ABE" w14:textId="77777777" w:rsidR="00B3792F" w:rsidRPr="00027624" w:rsidRDefault="00B3792F" w:rsidP="00B3792F">
      <w:r w:rsidRPr="00027624">
        <w:t>First Nations Foundation observed an emerging generation of Aboriginal and Torres Strait Islander people who, for the first time, have incomes that allow for discretionary saving and spending. But they noted that these young people have limited inherited experience in financial management, saving or superannuation, whereas</w:t>
      </w:r>
      <w:r w:rsidRPr="00027624" w:rsidDel="00161832">
        <w:t xml:space="preserve"> </w:t>
      </w:r>
      <w:r w:rsidRPr="00027624">
        <w:t xml:space="preserve">the broader population is more likely to learn these skills from family members. Improving the financial literacy of this emerging generation will be critical to growing retirement income outcomes for Aboriginal and Torres Strait Islander people. </w:t>
      </w:r>
    </w:p>
    <w:p w14:paraId="5DDE0DED" w14:textId="77777777" w:rsidR="00B3792F" w:rsidRPr="00027624" w:rsidRDefault="00B3792F" w:rsidP="00B3792F">
      <w:pPr>
        <w:pStyle w:val="Heading2"/>
      </w:pPr>
      <w:bookmarkStart w:id="3409" w:name="_Toc40366207"/>
      <w:bookmarkStart w:id="3410" w:name="_Toc40369753"/>
      <w:bookmarkStart w:id="3411" w:name="_Toc40427909"/>
      <w:bookmarkStart w:id="3412" w:name="_Toc40458164"/>
      <w:bookmarkStart w:id="3413" w:name="_Toc40461933"/>
      <w:bookmarkStart w:id="3414" w:name="_Toc40474488"/>
      <w:bookmarkStart w:id="3415" w:name="_Toc40478017"/>
      <w:bookmarkStart w:id="3416" w:name="_Toc40521597"/>
      <w:bookmarkStart w:id="3417" w:name="_Toc40530456"/>
      <w:bookmarkStart w:id="3418" w:name="_Toc42778883"/>
      <w:bookmarkStart w:id="3419" w:name="_Toc42780023"/>
      <w:bookmarkStart w:id="3420" w:name="_Toc42780452"/>
      <w:bookmarkStart w:id="3421" w:name="_Toc42786442"/>
      <w:bookmarkStart w:id="3422" w:name="_Toc42791935"/>
      <w:bookmarkStart w:id="3423" w:name="_Toc42792097"/>
      <w:bookmarkStart w:id="3424" w:name="_Toc43117904"/>
      <w:bookmarkStart w:id="3425" w:name="_Toc43121543"/>
      <w:bookmarkStart w:id="3426" w:name="_Toc43122748"/>
      <w:bookmarkStart w:id="3427" w:name="_Toc43127803"/>
      <w:bookmarkStart w:id="3428" w:name="_Ref45150374"/>
      <w:bookmarkStart w:id="3429" w:name="_Toc45520524"/>
      <w:bookmarkStart w:id="3430" w:name="_Toc46133636"/>
      <w:r w:rsidRPr="00027624">
        <w:t>Issues accessing the retirement income system</w:t>
      </w:r>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r w:rsidRPr="00027624">
        <w:t xml:space="preserve"> </w:t>
      </w:r>
    </w:p>
    <w:p w14:paraId="2AC9344F" w14:textId="77777777" w:rsidR="00B3792F" w:rsidRPr="00027624" w:rsidRDefault="00B3792F" w:rsidP="00B3792F">
      <w:pPr>
        <w:pStyle w:val="Heading3"/>
      </w:pPr>
      <w:bookmarkStart w:id="3431" w:name="_Toc40366208"/>
      <w:bookmarkStart w:id="3432" w:name="_Toc40369754"/>
      <w:bookmarkStart w:id="3433" w:name="_Toc40427910"/>
      <w:bookmarkStart w:id="3434" w:name="_Toc40458165"/>
      <w:bookmarkStart w:id="3435" w:name="_Toc40461934"/>
      <w:bookmarkStart w:id="3436" w:name="_Toc40474489"/>
      <w:bookmarkStart w:id="3437" w:name="_Toc40478018"/>
      <w:bookmarkStart w:id="3438" w:name="_Toc40521598"/>
      <w:bookmarkStart w:id="3439" w:name="_Toc40530457"/>
      <w:bookmarkStart w:id="3440" w:name="_Toc42778884"/>
      <w:bookmarkStart w:id="3441" w:name="_Toc42780024"/>
      <w:bookmarkStart w:id="3442" w:name="_Toc42780453"/>
      <w:bookmarkStart w:id="3443" w:name="_Toc42786443"/>
      <w:bookmarkStart w:id="3444" w:name="_Toc42791936"/>
      <w:bookmarkStart w:id="3445" w:name="_Toc42792098"/>
      <w:bookmarkStart w:id="3446" w:name="_Toc43117905"/>
      <w:bookmarkStart w:id="3447" w:name="_Toc43121544"/>
      <w:bookmarkStart w:id="3448" w:name="_Toc43122749"/>
      <w:bookmarkStart w:id="3449" w:name="_Toc43127804"/>
      <w:r w:rsidRPr="00027624">
        <w:t>Physical access to, and exclusion</w:t>
      </w:r>
      <w:bookmarkEnd w:id="3431"/>
      <w:bookmarkEnd w:id="3432"/>
      <w:bookmarkEnd w:id="3433"/>
      <w:bookmarkEnd w:id="3434"/>
      <w:bookmarkEnd w:id="3435"/>
      <w:bookmarkEnd w:id="3436"/>
      <w:bookmarkEnd w:id="3437"/>
      <w:bookmarkEnd w:id="3438"/>
      <w:bookmarkEnd w:id="3439"/>
      <w:r w:rsidRPr="00027624">
        <w:t xml:space="preserve"> from, services</w:t>
      </w:r>
      <w:bookmarkEnd w:id="3440"/>
      <w:bookmarkEnd w:id="3441"/>
      <w:bookmarkEnd w:id="3442"/>
      <w:bookmarkEnd w:id="3443"/>
      <w:bookmarkEnd w:id="3444"/>
      <w:bookmarkEnd w:id="3445"/>
      <w:bookmarkEnd w:id="3446"/>
      <w:bookmarkEnd w:id="3447"/>
      <w:bookmarkEnd w:id="3448"/>
      <w:bookmarkEnd w:id="3449"/>
    </w:p>
    <w:p w14:paraId="03E8942B" w14:textId="77777777" w:rsidR="00B3792F" w:rsidRPr="00027624" w:rsidRDefault="00B3792F" w:rsidP="00B3792F">
      <w:r w:rsidRPr="00027624">
        <w:rPr>
          <w:b/>
        </w:rPr>
        <w:t>Aboriginal and Torres Strait Islander people are nearly three times more likely to be severely or fully excluded from financial services</w:t>
      </w:r>
      <w:r w:rsidRPr="00027624">
        <w:t xml:space="preserve"> </w:t>
      </w:r>
      <w:sdt>
        <w:sdtPr>
          <w:id w:val="-1733683853"/>
          <w:citation/>
        </w:sdtPr>
        <w:sdtEndPr/>
        <w:sdtContent>
          <w:r w:rsidRPr="00027624">
            <w:fldChar w:fldCharType="begin"/>
          </w:r>
          <w:r w:rsidRPr="00027624">
            <w:instrText xml:space="preserve">CITATION Cen12 \p 26 \l 3081 </w:instrText>
          </w:r>
          <w:r w:rsidRPr="00027624">
            <w:fldChar w:fldCharType="separate"/>
          </w:r>
          <w:r w:rsidR="00E83F6E">
            <w:rPr>
              <w:noProof/>
            </w:rPr>
            <w:t>(Connolly, et al., 2012, p. 26)</w:t>
          </w:r>
          <w:r w:rsidRPr="00027624">
            <w:fldChar w:fldCharType="end"/>
          </w:r>
        </w:sdtContent>
      </w:sdt>
      <w:r w:rsidRPr="00027624">
        <w:t>.</w:t>
      </w:r>
      <w:r w:rsidRPr="00027624">
        <w:rPr>
          <w:rStyle w:val="FootnoteReference"/>
        </w:rPr>
        <w:footnoteReference w:id="223"/>
      </w:r>
      <w:r w:rsidRPr="00027624">
        <w:t xml:space="preserve"> </w:t>
      </w:r>
    </w:p>
    <w:p w14:paraId="0C88E474" w14:textId="77777777" w:rsidR="00B3792F" w:rsidRPr="00027624" w:rsidRDefault="00B3792F" w:rsidP="00B3792F">
      <w:r w:rsidRPr="00027624">
        <w:t xml:space="preserve">Superannuation funds are no exception. The industry has been structured to deliver superannuation services through centralised call centres, websites and administration centres, which can make access difficult for Aboriginal and Torres Strait Islander people in regional and remote areas. Very few </w:t>
      </w:r>
      <w:r w:rsidRPr="00027624">
        <w:lastRenderedPageBreak/>
        <w:t>superannuation funds provide the option of face</w:t>
      </w:r>
      <w:r w:rsidR="00A8443E" w:rsidRPr="00027624">
        <w:noBreakHyphen/>
      </w:r>
      <w:r w:rsidRPr="00027624">
        <w:t>to</w:t>
      </w:r>
      <w:r w:rsidR="00A8443E" w:rsidRPr="00027624">
        <w:noBreakHyphen/>
      </w:r>
      <w:r w:rsidRPr="00027624">
        <w:t>face communication, despite Aboriginal and Torres Strait Islander people preferring face</w:t>
      </w:r>
      <w:r w:rsidR="00A8443E" w:rsidRPr="00027624">
        <w:noBreakHyphen/>
      </w:r>
      <w:r w:rsidRPr="00027624">
        <w:t>to</w:t>
      </w:r>
      <w:r w:rsidR="00A8443E" w:rsidRPr="00027624">
        <w:noBreakHyphen/>
      </w:r>
      <w:r w:rsidRPr="00027624">
        <w:t xml:space="preserve">face communication </w:t>
      </w:r>
      <w:sdt>
        <w:sdtPr>
          <w:id w:val="-1016930566"/>
          <w:citation/>
        </w:sdtPr>
        <w:sdtEndPr/>
        <w:sdtContent>
          <w:r w:rsidRPr="00027624">
            <w:fldChar w:fldCharType="begin"/>
          </w:r>
          <w:r w:rsidRPr="00027624">
            <w:instrText xml:space="preserve">CITATION Gor15 \p 11 \l 3081 </w:instrText>
          </w:r>
          <w:r w:rsidRPr="00027624">
            <w:fldChar w:fldCharType="separate"/>
          </w:r>
          <w:r w:rsidR="00E83F6E">
            <w:rPr>
              <w:noProof/>
            </w:rPr>
            <w:t>(Gordon &amp; Boyle, 2015, p. 11)</w:t>
          </w:r>
          <w:r w:rsidRPr="00027624">
            <w:fldChar w:fldCharType="end"/>
          </w:r>
        </w:sdtContent>
      </w:sdt>
      <w:sdt>
        <w:sdtPr>
          <w:id w:val="1795787804"/>
          <w:citation/>
        </w:sdtPr>
        <w:sdtEndPr/>
        <w:sdtContent>
          <w:r w:rsidRPr="00027624">
            <w:fldChar w:fldCharType="begin"/>
          </w:r>
          <w:r w:rsidRPr="00027624">
            <w:instrText xml:space="preserve">CITATION Ind15 \p 12 \l 3081 </w:instrText>
          </w:r>
          <w:r w:rsidRPr="00027624">
            <w:fldChar w:fldCharType="separate"/>
          </w:r>
          <w:r w:rsidR="00E83F6E">
            <w:rPr>
              <w:noProof/>
            </w:rPr>
            <w:t xml:space="preserve"> (Indigenous Superannuation Working Group, 2015, p. 12)</w:t>
          </w:r>
          <w:r w:rsidRPr="00027624">
            <w:fldChar w:fldCharType="end"/>
          </w:r>
        </w:sdtContent>
      </w:sdt>
      <w:r w:rsidRPr="00027624">
        <w:t xml:space="preserve">. </w:t>
      </w:r>
    </w:p>
    <w:p w14:paraId="7AB0FDC5" w14:textId="77777777" w:rsidR="00B3792F" w:rsidRPr="00027624" w:rsidRDefault="00B3792F" w:rsidP="00B3792F">
      <w:r w:rsidRPr="00027624">
        <w:t>The superannuation industry</w:t>
      </w:r>
      <w:r w:rsidR="00A8443E" w:rsidRPr="00027624">
        <w:t>’</w:t>
      </w:r>
      <w:r w:rsidRPr="00027624">
        <w:t xml:space="preserve">s focus on delivering services online or via post, and its use of complex technical jargon, may also impede Aboriginal and Torres Strait Islander engagement with superannuation. For example, when a member calls their superannuation fund, they are usually greeted by an automated message using language that is difficult to understand for those with limited knowledge of financial products </w:t>
      </w:r>
      <w:sdt>
        <w:sdtPr>
          <w:id w:val="-2133694650"/>
          <w:citation/>
        </w:sdtPr>
        <w:sdtEndPr/>
        <w:sdtContent>
          <w:r w:rsidRPr="00027624">
            <w:fldChar w:fldCharType="begin"/>
          </w:r>
          <w:r w:rsidRPr="00027624">
            <w:instrText xml:space="preserve">CITATION Gor15 \p 11 \l 3081 </w:instrText>
          </w:r>
          <w:r w:rsidRPr="00027624">
            <w:fldChar w:fldCharType="separate"/>
          </w:r>
          <w:r w:rsidR="00E83F6E">
            <w:rPr>
              <w:noProof/>
            </w:rPr>
            <w:t>(Gordon &amp; Boyle, 2015, p. 11)</w:t>
          </w:r>
          <w:r w:rsidRPr="00027624">
            <w:fldChar w:fldCharType="end"/>
          </w:r>
        </w:sdtContent>
      </w:sdt>
      <w:r w:rsidRPr="00027624">
        <w:t xml:space="preserve"> or English language barriers. Similarly, ASIC estimates Aboriginal and Torres Strait Islander people have higher rates of lost superannuation than most people,</w:t>
      </w:r>
      <w:r w:rsidRPr="00027624">
        <w:rPr>
          <w:rStyle w:val="QuoteChar"/>
        </w:rPr>
        <w:t xml:space="preserve"> </w:t>
      </w:r>
      <w:r w:rsidR="00A8443E" w:rsidRPr="00027624">
        <w:rPr>
          <w:rStyle w:val="QuoteChar"/>
        </w:rPr>
        <w:t>‘</w:t>
      </w:r>
      <w:r w:rsidRPr="00027624">
        <w:rPr>
          <w:rStyle w:val="QuoteChar"/>
        </w:rPr>
        <w:t>…because someone becomes a lost member when their fund has tried to communicate with them twice and the letter… has been returned to sender</w:t>
      </w:r>
      <w:r w:rsidR="00A8443E" w:rsidRPr="00027624">
        <w:rPr>
          <w:rStyle w:val="QuoteChar"/>
        </w:rPr>
        <w:t>’</w:t>
      </w:r>
      <w:r w:rsidRPr="00027624">
        <w:t xml:space="preserve"> </w:t>
      </w:r>
      <w:sdt>
        <w:sdtPr>
          <w:id w:val="912581701"/>
          <w:citation/>
        </w:sdtPr>
        <w:sdtEndPr/>
        <w:sdtContent>
          <w:r w:rsidRPr="00027624">
            <w:fldChar w:fldCharType="begin"/>
          </w:r>
          <w:r w:rsidRPr="00027624">
            <w:instrText xml:space="preserve">CITATION Nat18 \t  \l 3081 </w:instrText>
          </w:r>
          <w:r w:rsidRPr="00027624">
            <w:fldChar w:fldCharType="separate"/>
          </w:r>
          <w:r w:rsidR="00E83F6E">
            <w:rPr>
              <w:noProof/>
            </w:rPr>
            <w:t>(Boyle, 2018a)</w:t>
          </w:r>
          <w:r w:rsidRPr="00027624">
            <w:fldChar w:fldCharType="end"/>
          </w:r>
        </w:sdtContent>
      </w:sdt>
      <w:r w:rsidRPr="00027624">
        <w:t>. If the communication methods used by superannuation</w:t>
      </w:r>
      <w:r w:rsidRPr="00027624" w:rsidDel="00C04436">
        <w:t xml:space="preserve"> </w:t>
      </w:r>
      <w:r w:rsidRPr="00027624">
        <w:t xml:space="preserve">funds do not cater to Aboriginal and Torres Strait Islander people in rural communities, their superannuation may be transferred to the ATO as lost superannuation. </w:t>
      </w:r>
    </w:p>
    <w:p w14:paraId="73046147" w14:textId="77777777" w:rsidR="00B3792F" w:rsidRPr="00027624" w:rsidRDefault="00B3792F" w:rsidP="00B3792F">
      <w:r w:rsidRPr="00027624">
        <w:t>Access to Centrelink may also be more difficult for Aboriginal and Torres Strait Islander people in remote areas. In 2014, 14.3 per cent of Aboriginal and Torres Strait Islander people living in remote areas had problems accessing Centrelink, and 10.9 per cent had problems accessing banks and financial institutions</w:t>
      </w:r>
      <w:sdt>
        <w:sdtPr>
          <w:id w:val="651558756"/>
          <w:citation/>
        </w:sdtPr>
        <w:sdtEndPr/>
        <w:sdtContent>
          <w:r w:rsidRPr="00027624">
            <w:fldChar w:fldCharType="begin"/>
          </w:r>
          <w:r w:rsidRPr="00027624">
            <w:instrText xml:space="preserve">CITATION Aus161 \l 3081 </w:instrText>
          </w:r>
          <w:r w:rsidRPr="00027624">
            <w:fldChar w:fldCharType="separate"/>
          </w:r>
          <w:r w:rsidR="00E83F6E">
            <w:rPr>
              <w:noProof/>
            </w:rPr>
            <w:t xml:space="preserve"> (ABS, 2016b)</w:t>
          </w:r>
          <w:r w:rsidRPr="00027624">
            <w:fldChar w:fldCharType="end"/>
          </w:r>
        </w:sdtContent>
      </w:sdt>
      <w:r w:rsidRPr="00027624">
        <w:t>. For all people living in outer regional and remote areas, the proportions were lower, at 9.2 per cent and 5.8 per cent</w:t>
      </w:r>
      <w:r w:rsidR="00E50080" w:rsidRPr="00027624">
        <w:t>,</w:t>
      </w:r>
      <w:r w:rsidRPr="00027624">
        <w:t xml:space="preserve"> respectively </w:t>
      </w:r>
      <w:sdt>
        <w:sdtPr>
          <w:id w:val="233135638"/>
          <w:citation/>
        </w:sdtPr>
        <w:sdtEndPr/>
        <w:sdtContent>
          <w:r w:rsidRPr="00027624">
            <w:fldChar w:fldCharType="begin"/>
          </w:r>
          <w:r w:rsidRPr="00027624">
            <w:instrText xml:space="preserve">CITATION Aus152 \l 3081 </w:instrText>
          </w:r>
          <w:r w:rsidRPr="00027624">
            <w:fldChar w:fldCharType="separate"/>
          </w:r>
          <w:r w:rsidR="00E83F6E">
            <w:rPr>
              <w:noProof/>
            </w:rPr>
            <w:t>(ABS, 2015a)</w:t>
          </w:r>
          <w:r w:rsidRPr="00027624">
            <w:fldChar w:fldCharType="end"/>
          </w:r>
        </w:sdtContent>
      </w:sdt>
      <w:r w:rsidRPr="00027624">
        <w:t xml:space="preserve">. </w:t>
      </w:r>
    </w:p>
    <w:p w14:paraId="0A14E498" w14:textId="77777777" w:rsidR="00B3792F" w:rsidRPr="00027624" w:rsidRDefault="00B3792F" w:rsidP="00B3792F">
      <w:r w:rsidRPr="00027624">
        <w:t>A range of initiatives aim to improve Aboriginal and Torres Strait Islander people</w:t>
      </w:r>
      <w:r w:rsidR="00A8443E" w:rsidRPr="00027624">
        <w:t>’</w:t>
      </w:r>
      <w:r w:rsidRPr="00027624">
        <w:t xml:space="preserve">s engagement with the retirement income system: </w:t>
      </w:r>
    </w:p>
    <w:p w14:paraId="5E92622D" w14:textId="77777777" w:rsidR="00B3792F" w:rsidRPr="00027624" w:rsidRDefault="00B3792F" w:rsidP="0040417A">
      <w:pPr>
        <w:pStyle w:val="Bullet"/>
      </w:pPr>
      <w:r w:rsidRPr="00027624">
        <w:t>The ATO</w:t>
      </w:r>
      <w:r w:rsidR="00A8443E" w:rsidRPr="00027624">
        <w:t>’</w:t>
      </w:r>
      <w:r w:rsidRPr="00027624">
        <w:t xml:space="preserve">s helpline for Aboriginal and Torres Strait Islander people provides specialised tax and superannuation support. The helpline received 25,034 calls in 2019, an increase on previous years </w:t>
      </w:r>
      <w:sdt>
        <w:sdtPr>
          <w:id w:val="-1078210336"/>
          <w:citation/>
        </w:sdtPr>
        <w:sdtEndPr/>
        <w:sdtContent>
          <w:r w:rsidRPr="00027624">
            <w:fldChar w:fldCharType="begin"/>
          </w:r>
          <w:r w:rsidRPr="00027624">
            <w:instrText xml:space="preserve">CITATION ATOInd201 \l 3081 </w:instrText>
          </w:r>
          <w:r w:rsidRPr="00027624">
            <w:fldChar w:fldCharType="separate"/>
          </w:r>
          <w:r w:rsidR="00E83F6E">
            <w:rPr>
              <w:noProof/>
            </w:rPr>
            <w:t>(ATO, 2020b)</w:t>
          </w:r>
          <w:r w:rsidRPr="00027624">
            <w:fldChar w:fldCharType="end"/>
          </w:r>
        </w:sdtContent>
      </w:sdt>
      <w:r w:rsidRPr="00027624">
        <w:t xml:space="preserve">. </w:t>
      </w:r>
    </w:p>
    <w:p w14:paraId="30CD32B6" w14:textId="4497C849" w:rsidR="00B3792F" w:rsidRPr="00027624" w:rsidRDefault="00B3792F" w:rsidP="0040417A">
      <w:pPr>
        <w:pStyle w:val="Bullet"/>
      </w:pPr>
      <w:r w:rsidRPr="00027624">
        <w:t>ASIC</w:t>
      </w:r>
      <w:r w:rsidR="00A8443E" w:rsidRPr="00027624">
        <w:t>’</w:t>
      </w:r>
      <w:r w:rsidRPr="00027624">
        <w:t>s Indigenous Help Line provides assistance, information and referrals in a culturally sensitive way, receiving around 100 to 150 calls a year.</w:t>
      </w:r>
      <w:r w:rsidR="00151207">
        <w:rPr>
          <w:rStyle w:val="FootnoteReference"/>
        </w:rPr>
        <w:footnoteReference w:id="224"/>
      </w:r>
    </w:p>
    <w:p w14:paraId="4B1F4C34" w14:textId="77777777" w:rsidR="00B3792F" w:rsidRPr="00027624" w:rsidRDefault="00B3792F" w:rsidP="0040417A">
      <w:pPr>
        <w:pStyle w:val="Bullet"/>
      </w:pPr>
      <w:r w:rsidRPr="00027624">
        <w:t>The ATO and Centrelink take part in the Big Super Day Out, coordinated by First Nations Foundation, to provide a one</w:t>
      </w:r>
      <w:r w:rsidR="00A8443E" w:rsidRPr="00027624">
        <w:noBreakHyphen/>
      </w:r>
      <w:r w:rsidRPr="00027624">
        <w:t>stop</w:t>
      </w:r>
      <w:r w:rsidR="00E50080" w:rsidRPr="00027624">
        <w:t xml:space="preserve"> </w:t>
      </w:r>
      <w:r w:rsidRPr="00027624">
        <w:t xml:space="preserve">shop for engagement with the retirement income system. </w:t>
      </w:r>
    </w:p>
    <w:p w14:paraId="0ABB49CD" w14:textId="77777777" w:rsidR="00B3792F" w:rsidRPr="00027624" w:rsidRDefault="00B3792F" w:rsidP="0040417A">
      <w:pPr>
        <w:pStyle w:val="Bullet"/>
      </w:pPr>
      <w:r w:rsidRPr="00027624">
        <w:t>Services Australia</w:t>
      </w:r>
      <w:r w:rsidR="00A8443E" w:rsidRPr="00027624">
        <w:t>’</w:t>
      </w:r>
      <w:r w:rsidRPr="00027624">
        <w:t>s Indigenous Customer Service Officers and Indigenous Service Officers help Aboriginal and Torres Strait Islander people and communities understand Centrelink services, and advise people of their rights and obligations.</w:t>
      </w:r>
    </w:p>
    <w:p w14:paraId="4E0AE7F5" w14:textId="77777777" w:rsidR="00B3792F" w:rsidRPr="00027624" w:rsidRDefault="00B3792F" w:rsidP="0040417A">
      <w:pPr>
        <w:pStyle w:val="Bullet"/>
      </w:pPr>
      <w:r w:rsidRPr="00027624">
        <w:t xml:space="preserve">Centrelink has servicing teams that improve access to payments in remote areas. </w:t>
      </w:r>
    </w:p>
    <w:p w14:paraId="13717B79" w14:textId="77777777" w:rsidR="00B3792F" w:rsidRPr="00027624" w:rsidRDefault="00B3792F" w:rsidP="0040417A">
      <w:pPr>
        <w:pStyle w:val="Bullet"/>
      </w:pPr>
      <w:r w:rsidRPr="00027624">
        <w:t>Centrelink</w:t>
      </w:r>
      <w:r w:rsidR="00A8443E" w:rsidRPr="00027624">
        <w:t>’</w:t>
      </w:r>
      <w:r w:rsidRPr="00027624">
        <w:t xml:space="preserve">s Indigenous Call Centre provides assistance to Aboriginal and Torres Strait Islander people about their payments and services. </w:t>
      </w:r>
    </w:p>
    <w:p w14:paraId="039A7FCB" w14:textId="77777777" w:rsidR="00B3792F" w:rsidRPr="00027624" w:rsidRDefault="00B3792F" w:rsidP="00B3792F">
      <w:r w:rsidRPr="00027624">
        <w:t xml:space="preserve">A few superannuation funds have tailored their provision of services to Aboriginal and Torres Strait Islander people. For example, QSuper is proactively working with the ATO and community organisations to reunite people in postcodes with significant Aboriginal and Torres Strait Islander populations with their superannuation </w:t>
      </w:r>
      <w:sdt>
        <w:sdtPr>
          <w:id w:val="-205560476"/>
          <w:citation/>
        </w:sdtPr>
        <w:sdtEndPr/>
        <w:sdtContent>
          <w:r w:rsidRPr="00027624">
            <w:fldChar w:fldCharType="begin"/>
          </w:r>
          <w:r w:rsidRPr="00027624">
            <w:instrText xml:space="preserve">CITATION Nat18 \p 3758 \t  \l 3081 </w:instrText>
          </w:r>
          <w:r w:rsidRPr="00027624">
            <w:fldChar w:fldCharType="separate"/>
          </w:r>
          <w:r w:rsidR="00E83F6E">
            <w:rPr>
              <w:noProof/>
            </w:rPr>
            <w:t>(Boyle, 2018a, p. 3758)</w:t>
          </w:r>
          <w:r w:rsidRPr="00027624">
            <w:fldChar w:fldCharType="end"/>
          </w:r>
        </w:sdtContent>
      </w:sdt>
      <w:r w:rsidRPr="00027624">
        <w:t xml:space="preserve">. However, this is the exception rather than the rule. In 2013, only four funds surveyed by the Indigenous Superannuation Working Group had developed specific initiatives for engaging with their Aboriginal and Torres Strait Islander members, with only one producing tailored communication materials </w:t>
      </w:r>
      <w:sdt>
        <w:sdtPr>
          <w:id w:val="-1497028531"/>
          <w:citation/>
        </w:sdtPr>
        <w:sdtEndPr/>
        <w:sdtContent>
          <w:r w:rsidRPr="00027624">
            <w:fldChar w:fldCharType="begin"/>
          </w:r>
          <w:r w:rsidRPr="00027624">
            <w:instrText xml:space="preserve">CITATION Gor15 \p 11 \l 3081 </w:instrText>
          </w:r>
          <w:r w:rsidRPr="00027624">
            <w:fldChar w:fldCharType="separate"/>
          </w:r>
          <w:r w:rsidR="00E83F6E">
            <w:rPr>
              <w:noProof/>
            </w:rPr>
            <w:t>(Gordon &amp; Boyle, 2015, p. 11)</w:t>
          </w:r>
          <w:r w:rsidRPr="00027624">
            <w:fldChar w:fldCharType="end"/>
          </w:r>
        </w:sdtContent>
      </w:sdt>
      <w:r w:rsidRPr="00027624">
        <w:t>.</w:t>
      </w:r>
    </w:p>
    <w:p w14:paraId="59253003" w14:textId="77777777" w:rsidR="00B3792F" w:rsidRPr="00027624" w:rsidRDefault="00B3792F" w:rsidP="00B3792F">
      <w:pPr>
        <w:pStyle w:val="Heading3"/>
      </w:pPr>
      <w:bookmarkStart w:id="3450" w:name="_Toc40366209"/>
      <w:bookmarkStart w:id="3451" w:name="_Toc40369755"/>
      <w:bookmarkStart w:id="3452" w:name="_Toc40427911"/>
      <w:bookmarkStart w:id="3453" w:name="_Toc40458166"/>
      <w:bookmarkStart w:id="3454" w:name="_Toc40461935"/>
      <w:bookmarkStart w:id="3455" w:name="_Toc40474490"/>
      <w:bookmarkStart w:id="3456" w:name="_Toc40478019"/>
      <w:bookmarkStart w:id="3457" w:name="_Toc40521599"/>
      <w:bookmarkStart w:id="3458" w:name="_Toc40530458"/>
      <w:bookmarkStart w:id="3459" w:name="_Toc42778885"/>
      <w:bookmarkStart w:id="3460" w:name="_Toc42780025"/>
      <w:bookmarkStart w:id="3461" w:name="_Toc42780454"/>
      <w:bookmarkStart w:id="3462" w:name="_Toc42786444"/>
      <w:bookmarkStart w:id="3463" w:name="_Toc42791937"/>
      <w:bookmarkStart w:id="3464" w:name="_Toc42792099"/>
      <w:bookmarkStart w:id="3465" w:name="_Toc43117906"/>
      <w:bookmarkStart w:id="3466" w:name="_Toc43121545"/>
      <w:bookmarkStart w:id="3467" w:name="_Toc43122750"/>
      <w:bookmarkStart w:id="3468" w:name="_Toc43127805"/>
      <w:r w:rsidRPr="00027624">
        <w:lastRenderedPageBreak/>
        <w:t xml:space="preserve">Challenges in proving </w:t>
      </w:r>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r w:rsidRPr="00027624">
        <w:t>identity</w:t>
      </w:r>
    </w:p>
    <w:p w14:paraId="02AFD5CF" w14:textId="77777777" w:rsidR="00B3792F" w:rsidRPr="00027624" w:rsidRDefault="00B3792F" w:rsidP="00B3792F">
      <w:r w:rsidRPr="00027624">
        <w:t xml:space="preserve">Impediments to </w:t>
      </w:r>
      <w:r w:rsidRPr="00027624">
        <w:rPr>
          <w:b/>
        </w:rPr>
        <w:t>identity verification</w:t>
      </w:r>
      <w:r w:rsidRPr="00027624">
        <w:t xml:space="preserve"> can prevent people from accessing their superannuation benefits, claiming insurance or tracking down lost superannuation. Challenges in identifying Aboriginal and Torres Strait Islander people for superannuation purposes include:</w:t>
      </w:r>
    </w:p>
    <w:p w14:paraId="2EAA1D33" w14:textId="77777777" w:rsidR="00B3792F" w:rsidRPr="00027624" w:rsidRDefault="00B3792F" w:rsidP="0040417A">
      <w:pPr>
        <w:pStyle w:val="Bullet"/>
      </w:pPr>
      <w:r w:rsidRPr="00027624">
        <w:t>They are more likely to adopt a more fluid approach to identity and use of names</w:t>
      </w:r>
    </w:p>
    <w:p w14:paraId="4F2EED71" w14:textId="77777777" w:rsidR="00B3792F" w:rsidRPr="00027624" w:rsidRDefault="00B3792F" w:rsidP="0040417A">
      <w:pPr>
        <w:pStyle w:val="Bullet"/>
      </w:pPr>
      <w:r w:rsidRPr="00027624">
        <w:t>Births may not have been recorded or may not be accurate (particularly for older people)</w:t>
      </w:r>
    </w:p>
    <w:p w14:paraId="5657F692" w14:textId="77777777" w:rsidR="00B3792F" w:rsidRPr="00027624" w:rsidRDefault="00B3792F" w:rsidP="0040417A">
      <w:pPr>
        <w:pStyle w:val="Bullet"/>
      </w:pPr>
      <w:r w:rsidRPr="00027624">
        <w:t xml:space="preserve">Registration of events like marriage and death may be inconsistent or inaccurate </w:t>
      </w:r>
      <w:sdt>
        <w:sdtPr>
          <w:id w:val="-343173706"/>
          <w:citation/>
        </w:sdtPr>
        <w:sdtEndPr/>
        <w:sdtContent>
          <w:r w:rsidRPr="00027624">
            <w:fldChar w:fldCharType="begin"/>
          </w:r>
          <w:r w:rsidRPr="00027624">
            <w:instrText xml:space="preserve"> CITATION Ind15 \l 3081 </w:instrText>
          </w:r>
          <w:r w:rsidRPr="00027624">
            <w:fldChar w:fldCharType="separate"/>
          </w:r>
          <w:r w:rsidR="00E83F6E">
            <w:rPr>
              <w:noProof/>
            </w:rPr>
            <w:t>(Indigenous Superannuation Working Group, 2015)</w:t>
          </w:r>
          <w:r w:rsidRPr="00027624">
            <w:fldChar w:fldCharType="end"/>
          </w:r>
        </w:sdtContent>
      </w:sdt>
      <w:r w:rsidRPr="00027624">
        <w:t xml:space="preserve"> </w:t>
      </w:r>
      <w:sdt>
        <w:sdtPr>
          <w:id w:val="1987904421"/>
          <w:citation/>
        </w:sdtPr>
        <w:sdtEndPr/>
        <w:sdtContent>
          <w:r w:rsidRPr="00027624">
            <w:fldChar w:fldCharType="begin"/>
          </w:r>
          <w:r w:rsidRPr="00027624">
            <w:instrText xml:space="preserve">CITATION Boy18 \p 24 \t  \l 3081 </w:instrText>
          </w:r>
          <w:r w:rsidRPr="00027624">
            <w:fldChar w:fldCharType="separate"/>
          </w:r>
          <w:r w:rsidR="00E83F6E">
            <w:rPr>
              <w:noProof/>
            </w:rPr>
            <w:t>(Boyle, 2018b, p. 24)</w:t>
          </w:r>
          <w:r w:rsidRPr="00027624">
            <w:fldChar w:fldCharType="end"/>
          </w:r>
        </w:sdtContent>
      </w:sdt>
    </w:p>
    <w:p w14:paraId="079B15CF" w14:textId="77777777" w:rsidR="00B3792F" w:rsidRPr="00027624" w:rsidRDefault="00B3792F" w:rsidP="00B3792F">
      <w:r w:rsidRPr="00027624">
        <w:t xml:space="preserve">If a person does have a set of compliant identity documents, for those living in a remote location the added steps of having these documents copied and certified can be difficult </w:t>
      </w:r>
      <w:sdt>
        <w:sdtPr>
          <w:id w:val="-1021157855"/>
          <w:citation/>
        </w:sdtPr>
        <w:sdtEndPr/>
        <w:sdtContent>
          <w:r w:rsidRPr="00027624">
            <w:fldChar w:fldCharType="begin"/>
          </w:r>
          <w:r w:rsidRPr="00027624">
            <w:instrText xml:space="preserve">CITATION Boy18 \p 25 \t  \l 3081 </w:instrText>
          </w:r>
          <w:r w:rsidRPr="00027624">
            <w:fldChar w:fldCharType="separate"/>
          </w:r>
          <w:r w:rsidR="00E83F6E">
            <w:rPr>
              <w:noProof/>
            </w:rPr>
            <w:t>(Boyle, 2018b, p. 25)</w:t>
          </w:r>
          <w:r w:rsidRPr="00027624">
            <w:fldChar w:fldCharType="end"/>
          </w:r>
        </w:sdtContent>
      </w:sdt>
      <w:r w:rsidRPr="00027624">
        <w:t xml:space="preserve">. Even with help, the time required for many Aboriginal and Torres Strait Islander people to prove their identity is immense </w:t>
      </w:r>
      <w:sdt>
        <w:sdtPr>
          <w:id w:val="-1609803773"/>
          <w:citation/>
        </w:sdtPr>
        <w:sdtEndPr/>
        <w:sdtContent>
          <w:r w:rsidRPr="00027624">
            <w:fldChar w:fldCharType="begin"/>
          </w:r>
          <w:r w:rsidRPr="00027624">
            <w:instrText xml:space="preserve">CITATION Edw18 \p 3726 \l 3081 </w:instrText>
          </w:r>
          <w:r w:rsidRPr="00027624">
            <w:fldChar w:fldCharType="separate"/>
          </w:r>
          <w:r w:rsidR="00E83F6E">
            <w:rPr>
              <w:noProof/>
            </w:rPr>
            <w:t>(Edwards, 2018, p. 3726)</w:t>
          </w:r>
          <w:r w:rsidRPr="00027624">
            <w:fldChar w:fldCharType="end"/>
          </w:r>
        </w:sdtContent>
      </w:sdt>
      <w:r w:rsidRPr="00027624">
        <w:t>. When ASIC undertook outreach efforts to provide superannuation support to Aboriginal and Torres Strait Islander communities, they found that</w:t>
      </w:r>
      <w:r w:rsidRPr="00027624">
        <w:rPr>
          <w:rStyle w:val="QuoteChar"/>
        </w:rPr>
        <w:t xml:space="preserve"> </w:t>
      </w:r>
      <w:r w:rsidR="00A8443E" w:rsidRPr="00027624">
        <w:rPr>
          <w:rStyle w:val="QuoteChar"/>
        </w:rPr>
        <w:t>‘</w:t>
      </w:r>
      <w:r w:rsidRPr="00027624">
        <w:rPr>
          <w:rStyle w:val="QuoteChar"/>
        </w:rPr>
        <w:t>…more than half of those who received assistance could not comply with standard identification procedures</w:t>
      </w:r>
      <w:r w:rsidR="00A0304B" w:rsidRPr="00027624">
        <w:rPr>
          <w:rStyle w:val="QuoteChar"/>
        </w:rPr>
        <w:t>.</w:t>
      </w:r>
      <w:r w:rsidR="00A8443E" w:rsidRPr="00027624">
        <w:rPr>
          <w:rStyle w:val="QuoteChar"/>
        </w:rPr>
        <w:t>’</w:t>
      </w:r>
      <w:r w:rsidRPr="00027624">
        <w:rPr>
          <w:rStyle w:val="QuoteChar"/>
        </w:rPr>
        <w:t xml:space="preserve"> </w:t>
      </w:r>
      <w:sdt>
        <w:sdtPr>
          <w:id w:val="-1249583812"/>
          <w:citation/>
        </w:sdtPr>
        <w:sdtEndPr/>
        <w:sdtContent>
          <w:r w:rsidRPr="00027624">
            <w:fldChar w:fldCharType="begin"/>
          </w:r>
          <w:r w:rsidRPr="00027624">
            <w:instrText xml:space="preserve">CITATION Boy18 \p 30 \t  \l 3081 </w:instrText>
          </w:r>
          <w:r w:rsidRPr="00027624">
            <w:fldChar w:fldCharType="separate"/>
          </w:r>
          <w:r w:rsidR="00E83F6E">
            <w:rPr>
              <w:noProof/>
            </w:rPr>
            <w:t>(Boyle, 2018b, p. 30)</w:t>
          </w:r>
          <w:r w:rsidRPr="00027624">
            <w:fldChar w:fldCharType="end"/>
          </w:r>
        </w:sdtContent>
      </w:sdt>
    </w:p>
    <w:p w14:paraId="63A066B6" w14:textId="77777777" w:rsidR="00B3792F" w:rsidRPr="00027624" w:rsidRDefault="00B3792F" w:rsidP="00B3792F">
      <w:r w:rsidRPr="00027624">
        <w:t xml:space="preserve">In 2016, the Australian Transaction Reports and Analysis Centre (AUSTRAC) gave financial institutions, including superannuation funds, guidance for identifying customers without conventional forms of identification </w:t>
      </w:r>
      <w:sdt>
        <w:sdtPr>
          <w:id w:val="958539542"/>
          <w:citation/>
        </w:sdtPr>
        <w:sdtEndPr/>
        <w:sdtContent>
          <w:r w:rsidRPr="00027624">
            <w:fldChar w:fldCharType="begin"/>
          </w:r>
          <w:r w:rsidRPr="00027624">
            <w:instrText xml:space="preserve">CITATION Boy18 \p 25 \t  \l 3081 </w:instrText>
          </w:r>
          <w:r w:rsidRPr="00027624">
            <w:fldChar w:fldCharType="separate"/>
          </w:r>
          <w:r w:rsidR="00E83F6E">
            <w:rPr>
              <w:noProof/>
            </w:rPr>
            <w:t>(Boyle, 2018b, p. 25)</w:t>
          </w:r>
          <w:r w:rsidRPr="00027624">
            <w:fldChar w:fldCharType="end"/>
          </w:r>
        </w:sdtContent>
      </w:sdt>
      <w:r w:rsidRPr="00027624">
        <w:t xml:space="preserve">. This aimed to promote a more flexible approach to identifying Aboriginal and Torres Strait Islander people, as well as others who may struggle to prove their identity, such as transgender people and migrants </w:t>
      </w:r>
      <w:sdt>
        <w:sdtPr>
          <w:id w:val="1983734468"/>
          <w:citation/>
        </w:sdtPr>
        <w:sdtEndPr/>
        <w:sdtContent>
          <w:r w:rsidRPr="00027624">
            <w:fldChar w:fldCharType="begin"/>
          </w:r>
          <w:r w:rsidRPr="00027624">
            <w:instrText xml:space="preserve">CITATION Aus20 \l 3081 </w:instrText>
          </w:r>
          <w:r w:rsidRPr="00027624">
            <w:fldChar w:fldCharType="separate"/>
          </w:r>
          <w:r w:rsidR="00E83F6E">
            <w:rPr>
              <w:noProof/>
            </w:rPr>
            <w:t>(AUSTRAC, 2020)</w:t>
          </w:r>
          <w:r w:rsidRPr="00027624">
            <w:fldChar w:fldCharType="end"/>
          </w:r>
        </w:sdtContent>
      </w:sdt>
      <w:r w:rsidRPr="00027624">
        <w:t>.</w:t>
      </w:r>
    </w:p>
    <w:p w14:paraId="1B913D05" w14:textId="77777777" w:rsidR="00B3792F" w:rsidRPr="00027624" w:rsidRDefault="00B3792F" w:rsidP="00B3792F">
      <w:r w:rsidRPr="00027624">
        <w:t>The Royal Commission into Misconduct in the Banking, Superannuation and Financial Services Industry (Financial Services Royal Commission) found AUSTRAC guidance had not been well implemented</w:t>
      </w:r>
      <w:sdt>
        <w:sdtPr>
          <w:id w:val="-717667309"/>
          <w:citation/>
        </w:sdtPr>
        <w:sdtEndPr/>
        <w:sdtContent>
          <w:r w:rsidR="00664EC1">
            <w:fldChar w:fldCharType="begin"/>
          </w:r>
          <w:r w:rsidR="00664EC1">
            <w:instrText xml:space="preserve"> CITATION Hay19 \l 3081 </w:instrText>
          </w:r>
          <w:r w:rsidR="00664EC1">
            <w:fldChar w:fldCharType="separate"/>
          </w:r>
          <w:r w:rsidR="00E83F6E">
            <w:rPr>
              <w:noProof/>
            </w:rPr>
            <w:t xml:space="preserve"> (Royal Commission into Misconduct in the Banking, Superannuation and Financial Services Industry, 2019)</w:t>
          </w:r>
          <w:r w:rsidR="00664EC1">
            <w:fldChar w:fldCharType="end"/>
          </w:r>
        </w:sdtContent>
      </w:sdt>
      <w:r w:rsidRPr="00027624">
        <w:t>.</w:t>
      </w:r>
    </w:p>
    <w:p w14:paraId="2DDEA7AF" w14:textId="77777777" w:rsidR="00B3792F" w:rsidRPr="00027624" w:rsidRDefault="00B3792F" w:rsidP="00B3792F">
      <w:r w:rsidRPr="00027624">
        <w:t xml:space="preserve">ASIC suggested one reason may be because financial institutions cannot identify Aboriginal and Torres Strait Islander people to determine whether the guidance should be used, </w:t>
      </w:r>
      <w:r w:rsidR="00A8443E" w:rsidRPr="00027624">
        <w:rPr>
          <w:rStyle w:val="QuoteChar"/>
        </w:rPr>
        <w:t>‘</w:t>
      </w:r>
      <w:r w:rsidRPr="00027624">
        <w:rPr>
          <w:rStyle w:val="QuoteChar"/>
        </w:rPr>
        <w:t>…particularly through phone</w:t>
      </w:r>
      <w:r w:rsidR="00A8443E" w:rsidRPr="00027624">
        <w:rPr>
          <w:rStyle w:val="QuoteChar"/>
        </w:rPr>
        <w:noBreakHyphen/>
      </w:r>
      <w:r w:rsidRPr="00027624">
        <w:rPr>
          <w:rStyle w:val="QuoteChar"/>
        </w:rPr>
        <w:t>based customer support that can be scripted or heavily optioned</w:t>
      </w:r>
      <w:r w:rsidR="00A0304B" w:rsidRPr="00027624">
        <w:rPr>
          <w:rStyle w:val="QuoteChar"/>
        </w:rPr>
        <w:t>.</w:t>
      </w:r>
      <w:r w:rsidR="00DF2732">
        <w:rPr>
          <w:rStyle w:val="QuoteChar"/>
        </w:rPr>
        <w:t>’</w:t>
      </w:r>
      <w:r w:rsidRPr="00027624">
        <w:rPr>
          <w:rStyle w:val="QuoteChar"/>
        </w:rPr>
        <w:t xml:space="preserve"> </w:t>
      </w:r>
      <w:sdt>
        <w:sdtPr>
          <w:id w:val="-1460872561"/>
          <w:citation/>
        </w:sdtPr>
        <w:sdtEndPr/>
        <w:sdtContent>
          <w:r w:rsidRPr="00027624">
            <w:fldChar w:fldCharType="begin"/>
          </w:r>
          <w:r w:rsidRPr="00027624">
            <w:instrText xml:space="preserve">CITATION Boy18 \p 25 \t  \l 3081 </w:instrText>
          </w:r>
          <w:r w:rsidRPr="00027624">
            <w:fldChar w:fldCharType="separate"/>
          </w:r>
          <w:r w:rsidR="00E83F6E">
            <w:rPr>
              <w:noProof/>
            </w:rPr>
            <w:t>(Boyle, 2018b, p. 25)</w:t>
          </w:r>
          <w:r w:rsidRPr="00027624">
            <w:fldChar w:fldCharType="end"/>
          </w:r>
        </w:sdtContent>
      </w:sdt>
      <w:r w:rsidRPr="00027624">
        <w:t xml:space="preserve"> The Financial Services Royal Commission recommended amending the voluntary 2019 Banking Code to encourage the use of the AUSTRAC guidance. However, superannuation funds are not subject to the Banking Code.</w:t>
      </w:r>
    </w:p>
    <w:p w14:paraId="51D3A742" w14:textId="77777777" w:rsidR="00B3792F" w:rsidRPr="00027624" w:rsidRDefault="00B3792F" w:rsidP="00B3792F">
      <w:pPr>
        <w:pStyle w:val="Heading3"/>
      </w:pPr>
      <w:bookmarkStart w:id="3469" w:name="_Toc40366210"/>
      <w:bookmarkStart w:id="3470" w:name="_Toc40369756"/>
      <w:bookmarkStart w:id="3471" w:name="_Toc40427912"/>
      <w:bookmarkStart w:id="3472" w:name="_Toc40458167"/>
      <w:bookmarkStart w:id="3473" w:name="_Toc40461936"/>
      <w:bookmarkStart w:id="3474" w:name="_Toc40474491"/>
      <w:bookmarkStart w:id="3475" w:name="_Toc40478020"/>
      <w:bookmarkStart w:id="3476" w:name="_Toc40521600"/>
      <w:bookmarkStart w:id="3477" w:name="_Toc40530459"/>
      <w:bookmarkStart w:id="3478" w:name="_Toc42778886"/>
      <w:bookmarkStart w:id="3479" w:name="_Toc42780026"/>
      <w:bookmarkStart w:id="3480" w:name="_Toc42780455"/>
      <w:bookmarkStart w:id="3481" w:name="_Toc42786445"/>
      <w:bookmarkStart w:id="3482" w:name="_Toc42791938"/>
      <w:bookmarkStart w:id="3483" w:name="_Toc42792100"/>
      <w:bookmarkStart w:id="3484" w:name="_Toc43117907"/>
      <w:bookmarkStart w:id="3485" w:name="_Toc43121546"/>
      <w:bookmarkStart w:id="3486" w:name="_Toc43122751"/>
      <w:bookmarkStart w:id="3487" w:name="_Toc43127806"/>
      <w:r w:rsidRPr="00027624">
        <w:t>Data collection</w:t>
      </w:r>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p>
    <w:p w14:paraId="3FC48224" w14:textId="77777777" w:rsidR="00B3792F" w:rsidRPr="00027624" w:rsidRDefault="00B3792F" w:rsidP="00B3792F">
      <w:r w:rsidRPr="00027624">
        <w:rPr>
          <w:b/>
        </w:rPr>
        <w:t>Superannuation funds are not required to record whether their members identify as Aboriginal and/or Torres Strait Islander</w:t>
      </w:r>
      <w:r w:rsidRPr="00027624">
        <w:t>, limiting funds</w:t>
      </w:r>
      <w:r w:rsidR="00A8443E" w:rsidRPr="00027624">
        <w:t>’</w:t>
      </w:r>
      <w:r w:rsidRPr="00027624">
        <w:t xml:space="preserve"> ability to cater to the needs of their Indigenous members. A 2013 survey of superannuation funds found only two funds collected information on Indigenous status </w:t>
      </w:r>
      <w:sdt>
        <w:sdtPr>
          <w:id w:val="-382877687"/>
          <w:citation/>
        </w:sdtPr>
        <w:sdtEndPr/>
        <w:sdtContent>
          <w:r w:rsidRPr="00027624">
            <w:fldChar w:fldCharType="begin"/>
          </w:r>
          <w:r w:rsidRPr="00027624">
            <w:instrText xml:space="preserve">CITATION Ind15 \p 6 \l 3081 </w:instrText>
          </w:r>
          <w:r w:rsidRPr="00027624">
            <w:fldChar w:fldCharType="separate"/>
          </w:r>
          <w:r w:rsidR="00E83F6E">
            <w:rPr>
              <w:noProof/>
            </w:rPr>
            <w:t>(Indigenous Superannuation Working Group, 2015, p. 6)</w:t>
          </w:r>
          <w:r w:rsidRPr="00027624">
            <w:fldChar w:fldCharType="end"/>
          </w:r>
        </w:sdtContent>
      </w:sdt>
      <w:r w:rsidRPr="00027624">
        <w:t>. The Superannuation Consumers</w:t>
      </w:r>
      <w:r w:rsidR="00A8443E" w:rsidRPr="00027624">
        <w:t>’</w:t>
      </w:r>
      <w:r w:rsidRPr="00027624">
        <w:t xml:space="preserve"> Centre and CHOICE have raised concerns about identification. They suggested recording identity could reduce the access and affordability of insurance within superannuation for Aboriginal and Torres Strait Islander people </w:t>
      </w:r>
      <w:sdt>
        <w:sdtPr>
          <w:id w:val="-831608392"/>
          <w:citation/>
        </w:sdtPr>
        <w:sdtEndPr/>
        <w:sdtContent>
          <w:r w:rsidRPr="00027624">
            <w:fldChar w:fldCharType="begin"/>
          </w:r>
          <w:r w:rsidRPr="00027624">
            <w:instrText xml:space="preserve"> CITATION CHO18 \l 3081 </w:instrText>
          </w:r>
          <w:r w:rsidRPr="00027624">
            <w:fldChar w:fldCharType="separate"/>
          </w:r>
          <w:r w:rsidR="00E83F6E">
            <w:rPr>
              <w:noProof/>
            </w:rPr>
            <w:t>(CHOICE &amp; Superannuation Consumers' Centre, 2018)</w:t>
          </w:r>
          <w:r w:rsidRPr="00027624">
            <w:fldChar w:fldCharType="end"/>
          </w:r>
        </w:sdtContent>
      </w:sdt>
      <w:r w:rsidRPr="00027624">
        <w:t>.</w:t>
      </w:r>
    </w:p>
    <w:p w14:paraId="70C17FE2" w14:textId="77777777" w:rsidR="00B3792F" w:rsidRPr="00027624" w:rsidRDefault="00B3792F" w:rsidP="00B3792F">
      <w:pPr>
        <w:pStyle w:val="Heading3"/>
      </w:pPr>
      <w:bookmarkStart w:id="3488" w:name="_Toc40366211"/>
      <w:bookmarkStart w:id="3489" w:name="_Toc40369757"/>
      <w:bookmarkStart w:id="3490" w:name="_Toc40427913"/>
      <w:bookmarkStart w:id="3491" w:name="_Toc40458168"/>
      <w:bookmarkStart w:id="3492" w:name="_Toc40461937"/>
      <w:bookmarkStart w:id="3493" w:name="_Toc40474492"/>
      <w:bookmarkStart w:id="3494" w:name="_Toc40478021"/>
      <w:bookmarkStart w:id="3495" w:name="_Toc40521601"/>
      <w:bookmarkStart w:id="3496" w:name="_Toc40530460"/>
      <w:bookmarkStart w:id="3497" w:name="_Toc42778887"/>
      <w:bookmarkStart w:id="3498" w:name="_Toc42780027"/>
      <w:bookmarkStart w:id="3499" w:name="_Toc42780456"/>
      <w:bookmarkStart w:id="3500" w:name="_Toc42786446"/>
      <w:bookmarkStart w:id="3501" w:name="_Toc42791939"/>
      <w:bookmarkStart w:id="3502" w:name="_Toc42792101"/>
      <w:bookmarkStart w:id="3503" w:name="_Toc43117908"/>
      <w:bookmarkStart w:id="3504" w:name="_Toc43121547"/>
      <w:bookmarkStart w:id="3505" w:name="_Toc43122752"/>
      <w:bookmarkStart w:id="3506" w:name="_Toc43127807"/>
      <w:r w:rsidRPr="00027624">
        <w:t>Mistrust due to historical injustices</w:t>
      </w:r>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r w:rsidRPr="00027624">
        <w:t xml:space="preserve"> </w:t>
      </w:r>
    </w:p>
    <w:p w14:paraId="4A53F504" w14:textId="77777777" w:rsidR="00B3792F" w:rsidRPr="00027624" w:rsidRDefault="00B3792F" w:rsidP="00B3792F">
      <w:r w:rsidRPr="00027624">
        <w:t xml:space="preserve">First Nations Foundation noted </w:t>
      </w:r>
      <w:r w:rsidRPr="00027624">
        <w:rPr>
          <w:b/>
        </w:rPr>
        <w:t>some Aboriginal and Torres Strait Islander people viewed superannuation as wage garnishing, as opposed to mandatory savings.</w:t>
      </w:r>
      <w:r w:rsidRPr="00027624">
        <w:t xml:space="preserve"> This is in the historical context of state and territory governments garnishing wages from Aboriginal and Torres Strait Islander people. Those who view the superannuation system as garnished wages never expect to see their savings again. </w:t>
      </w:r>
    </w:p>
    <w:p w14:paraId="11EB744C" w14:textId="77777777" w:rsidR="00B3792F" w:rsidRPr="00027624" w:rsidRDefault="00B3792F" w:rsidP="00B3792F">
      <w:r w:rsidRPr="00027624">
        <w:lastRenderedPageBreak/>
        <w:t xml:space="preserve">ASIC noted mistrust of the retirement income system is compounded by other access challenges. When Aboriginal and Torres Strait Islander people see their relatives pass away before being able to access their superannuation benefits, or encounter challenges in proving their identity so they cannot access their own superannuation, it confirms their perceptions that superannuation is the same as stolen wages </w:t>
      </w:r>
      <w:sdt>
        <w:sdtPr>
          <w:id w:val="310528503"/>
          <w:citation/>
        </w:sdtPr>
        <w:sdtEndPr/>
        <w:sdtContent>
          <w:r w:rsidRPr="00027624">
            <w:fldChar w:fldCharType="begin"/>
          </w:r>
          <w:r w:rsidRPr="00027624">
            <w:instrText xml:space="preserve">CITATION Nat18 \p 3761 \t  \l 3081 </w:instrText>
          </w:r>
          <w:r w:rsidRPr="00027624">
            <w:fldChar w:fldCharType="separate"/>
          </w:r>
          <w:r w:rsidR="00E83F6E">
            <w:rPr>
              <w:noProof/>
            </w:rPr>
            <w:t>(Boyle, 2018a, p. 3761)</w:t>
          </w:r>
          <w:r w:rsidRPr="00027624">
            <w:fldChar w:fldCharType="end"/>
          </w:r>
        </w:sdtContent>
      </w:sdt>
      <w:r w:rsidRPr="00027624">
        <w:t xml:space="preserve">. </w:t>
      </w:r>
    </w:p>
    <w:p w14:paraId="10D932EC" w14:textId="77777777" w:rsidR="00B3792F" w:rsidRPr="00027624" w:rsidRDefault="00B3792F" w:rsidP="00B3792F">
      <w:pPr>
        <w:pStyle w:val="Heading3"/>
      </w:pPr>
      <w:bookmarkStart w:id="3507" w:name="_Toc40366212"/>
      <w:bookmarkStart w:id="3508" w:name="_Toc40369758"/>
      <w:bookmarkStart w:id="3509" w:name="_Toc40427914"/>
      <w:bookmarkStart w:id="3510" w:name="_Toc40458169"/>
      <w:bookmarkStart w:id="3511" w:name="_Toc40461938"/>
      <w:bookmarkStart w:id="3512" w:name="_Toc40474493"/>
      <w:bookmarkStart w:id="3513" w:name="_Toc40478022"/>
      <w:bookmarkStart w:id="3514" w:name="_Toc40521602"/>
      <w:bookmarkStart w:id="3515" w:name="_Toc40530461"/>
      <w:bookmarkStart w:id="3516" w:name="_Toc42778888"/>
      <w:bookmarkStart w:id="3517" w:name="_Toc42780028"/>
      <w:bookmarkStart w:id="3518" w:name="_Toc42780457"/>
      <w:bookmarkStart w:id="3519" w:name="_Toc42786447"/>
      <w:bookmarkStart w:id="3520" w:name="_Toc42791940"/>
      <w:bookmarkStart w:id="3521" w:name="_Toc42792102"/>
      <w:bookmarkStart w:id="3522" w:name="_Toc43117909"/>
      <w:bookmarkStart w:id="3523" w:name="_Toc43121548"/>
      <w:bookmarkStart w:id="3524" w:name="_Toc43122753"/>
      <w:bookmarkStart w:id="3525" w:name="_Toc43127808"/>
      <w:r w:rsidRPr="00027624">
        <w:t>Payment of superannuation death benefits</w:t>
      </w:r>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r w:rsidRPr="00027624">
        <w:t xml:space="preserve"> </w:t>
      </w:r>
    </w:p>
    <w:p w14:paraId="77833AC2" w14:textId="77777777" w:rsidR="00B3792F" w:rsidRPr="00027624" w:rsidRDefault="00B3792F" w:rsidP="00B3792F">
      <w:r w:rsidRPr="00027624">
        <w:t xml:space="preserve">ASIC identified issues for those in rural areas, particularly Aboriginal and Torres Strait Islander people, in determining whether a deceased relative had superannuation. Before disclosing whether a person had any superannuation, the ATO requires evidence of authority to enquire about an estate, such as a will or letters of administration. Providing these documents can be a costly process, particularly for people in rural areas who must travel significant distances to obtain them. ASIC estimated it can be a minimum of several thousand dollars to determine whether a deceased relative has superannuation. If the person does not have superannuation, this process can be for </w:t>
      </w:r>
      <w:sdt>
        <w:sdtPr>
          <w:id w:val="-1452781100"/>
          <w:citation/>
        </w:sdtPr>
        <w:sdtEndPr/>
        <w:sdtContent>
          <w:r w:rsidRPr="00027624">
            <w:t xml:space="preserve">nothing </w:t>
          </w:r>
          <w:sdt>
            <w:sdtPr>
              <w:id w:val="504482821"/>
              <w:citation/>
            </w:sdtPr>
            <w:sdtEndPr/>
            <w:sdtContent>
              <w:r w:rsidRPr="00027624">
                <w:fldChar w:fldCharType="begin"/>
              </w:r>
              <w:r w:rsidRPr="00027624">
                <w:instrText xml:space="preserve">CITATION Nat18 \p 3756 \t  \l 3081 </w:instrText>
              </w:r>
              <w:r w:rsidRPr="00027624">
                <w:fldChar w:fldCharType="separate"/>
              </w:r>
              <w:r w:rsidR="00E83F6E">
                <w:rPr>
                  <w:noProof/>
                </w:rPr>
                <w:t>(Boyle, 2018a, p. 3756)</w:t>
              </w:r>
              <w:r w:rsidRPr="00027624">
                <w:fldChar w:fldCharType="end"/>
              </w:r>
            </w:sdtContent>
          </w:sdt>
        </w:sdtContent>
      </w:sdt>
      <w:r w:rsidRPr="00027624">
        <w:t>.</w:t>
      </w:r>
    </w:p>
    <w:p w14:paraId="00721912" w14:textId="77777777" w:rsidR="00B3792F" w:rsidRPr="00027624" w:rsidRDefault="00B3792F" w:rsidP="00B3792F">
      <w:r w:rsidRPr="00027624">
        <w:t>Superannuation law does not adequately allow for death benefits to be paid according to Aboriginal and Torres Strait Islander kinship structures. Superannuation monies do not automatically form part of a deceased person</w:t>
      </w:r>
      <w:r w:rsidR="00A8443E" w:rsidRPr="00027624">
        <w:t>’</w:t>
      </w:r>
      <w:r w:rsidRPr="00027624">
        <w:t xml:space="preserve">s estate. Instead, superannuation trustees are responsible for distributing death benefits. </w:t>
      </w:r>
    </w:p>
    <w:p w14:paraId="34386CEE" w14:textId="77777777" w:rsidR="00B3792F" w:rsidRPr="00027624" w:rsidRDefault="00B3792F" w:rsidP="00B3792F">
      <w:r w:rsidRPr="00027624">
        <w:t xml:space="preserve">The Financial Services Royal Commission heard evidence that some </w:t>
      </w:r>
      <w:r w:rsidRPr="00027624">
        <w:rPr>
          <w:b/>
        </w:rPr>
        <w:t>Aboriginal and Torres Strait Islander</w:t>
      </w:r>
      <w:r w:rsidRPr="00027624">
        <w:t xml:space="preserve"> </w:t>
      </w:r>
      <w:r w:rsidRPr="00027624">
        <w:rPr>
          <w:b/>
        </w:rPr>
        <w:t>people face difficulties accessing death benefits</w:t>
      </w:r>
      <w:r w:rsidRPr="00027624">
        <w:t xml:space="preserve"> for these reasons and recommended the Government investigate reforms</w:t>
      </w:r>
      <w:sdt>
        <w:sdtPr>
          <w:id w:val="941876393"/>
          <w:citation/>
        </w:sdtPr>
        <w:sdtEndPr/>
        <w:sdtContent>
          <w:r w:rsidR="00664EC1">
            <w:fldChar w:fldCharType="begin"/>
          </w:r>
          <w:r w:rsidR="00664EC1">
            <w:instrText xml:space="preserve">CITATION Hay19 \p 254 \l 3081 </w:instrText>
          </w:r>
          <w:r w:rsidR="00664EC1">
            <w:fldChar w:fldCharType="separate"/>
          </w:r>
          <w:r w:rsidR="00E83F6E">
            <w:rPr>
              <w:noProof/>
            </w:rPr>
            <w:t xml:space="preserve"> (Royal Commission into Misconduct in the Banking, Superannuation and Financial Services Industry, 2019, p. 254)</w:t>
          </w:r>
          <w:r w:rsidR="00664EC1">
            <w:fldChar w:fldCharType="end"/>
          </w:r>
        </w:sdtContent>
      </w:sdt>
      <w:r w:rsidRPr="00027624">
        <w:t>. The Government consulted with stakeholders on this issue in 2019, and is considering submissions received in response to the consultation.</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7157C5E8" w14:textId="77777777" w:rsidTr="00B3792F">
        <w:tc>
          <w:tcPr>
            <w:tcW w:w="5000" w:type="pct"/>
            <w:shd w:val="clear" w:color="auto" w:fill="FFF8EA"/>
          </w:tcPr>
          <w:p w14:paraId="73B7B270" w14:textId="77777777" w:rsidR="00B3792F" w:rsidRPr="00027624" w:rsidRDefault="00B3792F" w:rsidP="00185891">
            <w:pPr>
              <w:pStyle w:val="BoxHeading"/>
              <w:keepLines/>
              <w:pageBreakBefore/>
            </w:pPr>
            <w:bookmarkStart w:id="3526" w:name="_Toc31801034"/>
            <w:r w:rsidRPr="00027624">
              <w:lastRenderedPageBreak/>
              <w:t>Impacts of changes to certain policy settings on Aboriginal and Torres Strait Islander people</w:t>
            </w:r>
            <w:r w:rsidR="00A8443E" w:rsidRPr="00027624">
              <w:t>’</w:t>
            </w:r>
            <w:r w:rsidRPr="00027624">
              <w:t>s retirement outcomes</w:t>
            </w:r>
          </w:p>
          <w:p w14:paraId="69455F12" w14:textId="77777777" w:rsidR="00B3792F" w:rsidRPr="00027624" w:rsidRDefault="00B3792F" w:rsidP="00B3792F">
            <w:r w:rsidRPr="00027624">
              <w:t xml:space="preserve">A number of submissions raised policy proposals affecting Aboriginal and Torres Strait Islander people in retirement. The following summary outlines some implications of some of those proposals. </w:t>
            </w:r>
          </w:p>
          <w:p w14:paraId="255D18D2" w14:textId="77777777" w:rsidR="00B3792F" w:rsidRPr="00027624" w:rsidRDefault="00B3792F" w:rsidP="00B3792F">
            <w:pPr>
              <w:pStyle w:val="BoxBullet"/>
              <w:keepLines/>
            </w:pPr>
            <w:r w:rsidRPr="00027624">
              <w:rPr>
                <w:b/>
                <w:bCs/>
              </w:rPr>
              <w:t>Lower the superannuation preservation age for Aboriginal and Torres Strait Islander people.</w:t>
            </w:r>
            <w:r w:rsidRPr="00027624">
              <w:t xml:space="preserve"> A high proportion of Aboriginal and Torres Strait Islander people die before accessing their superannuation. If the preservation age was lowered for Aboriginal and Torres Strait Islander people, the probability of this occurring would reduce. However, if a lower preservation age was limited to Aboriginal and Torres Strait Islander people, it may also result in those with similar life expectancy to the total population accessing their superannuation earlier, to the detriment of their retirement incomes. Other mechanisms, such as recognising Indigeneity in the rules around early release of superannuation, may be more targeted. </w:t>
            </w:r>
          </w:p>
          <w:p w14:paraId="7F8DFD9D" w14:textId="4417B6CE" w:rsidR="00B3792F" w:rsidRPr="00027624" w:rsidRDefault="00B3792F" w:rsidP="00B3792F">
            <w:pPr>
              <w:pStyle w:val="BoxBullet"/>
              <w:keepLines/>
            </w:pPr>
            <w:r w:rsidRPr="00027624">
              <w:rPr>
                <w:b/>
              </w:rPr>
              <w:t>Remove exclusions to the SG</w:t>
            </w:r>
            <w:r w:rsidRPr="00027624">
              <w:rPr>
                <w:b/>
                <w:bCs/>
              </w:rPr>
              <w:t>.</w:t>
            </w:r>
            <w:r w:rsidRPr="00027624">
              <w:t xml:space="preserve"> </w:t>
            </w:r>
            <w:r w:rsidRPr="00027624">
              <w:rPr>
                <w:bCs/>
              </w:rPr>
              <w:t xml:space="preserve">Removing some of the exclusions to the SG, such as the </w:t>
            </w:r>
            <w:r w:rsidRPr="00027624">
              <w:t>$450</w:t>
            </w:r>
            <w:r w:rsidR="00A8443E" w:rsidRPr="00027624">
              <w:noBreakHyphen/>
            </w:r>
            <w:r w:rsidRPr="00027624">
              <w:t>a</w:t>
            </w:r>
            <w:r w:rsidR="00A8443E" w:rsidRPr="00027624">
              <w:noBreakHyphen/>
            </w:r>
            <w:r w:rsidRPr="00027624">
              <w:t xml:space="preserve">month </w:t>
            </w:r>
            <w:r w:rsidRPr="00027624">
              <w:rPr>
                <w:bCs/>
              </w:rPr>
              <w:t xml:space="preserve">threshold, </w:t>
            </w:r>
            <w:r w:rsidRPr="00027624">
              <w:t>would not materially improve retirement outcomes for Aboriginal and Torres Strait Islander people, but would improve equity in the retirement income system (see</w:t>
            </w:r>
            <w:r w:rsidRPr="00027624">
              <w:rPr>
                <w:i/>
              </w:rPr>
              <w:t xml:space="preserve"> 3D. </w:t>
            </w:r>
            <w:r w:rsidRPr="00027624">
              <w:rPr>
                <w:i/>
              </w:rPr>
              <w:fldChar w:fldCharType="begin"/>
            </w:r>
            <w:r w:rsidRPr="00027624">
              <w:rPr>
                <w:i/>
              </w:rPr>
              <w:instrText xml:space="preserve"> REF _Ref40310777  \* MERGEFORMAT </w:instrText>
            </w:r>
            <w:r w:rsidRPr="00027624">
              <w:rPr>
                <w:i/>
              </w:rPr>
              <w:fldChar w:fldCharType="separate"/>
            </w:r>
            <w:r w:rsidR="00891058" w:rsidRPr="00891058">
              <w:rPr>
                <w:i/>
              </w:rPr>
              <w:t>SG coverage</w:t>
            </w:r>
            <w:r w:rsidRPr="00027624">
              <w:rPr>
                <w:i/>
              </w:rPr>
              <w:fldChar w:fldCharType="end"/>
            </w:r>
            <w:r w:rsidRPr="00027624">
              <w:t>).</w:t>
            </w:r>
            <w:r w:rsidRPr="00027624">
              <w:rPr>
                <w:b/>
              </w:rPr>
              <w:t xml:space="preserve"> </w:t>
            </w:r>
            <w:r w:rsidRPr="00027624">
              <w:t>The $450</w:t>
            </w:r>
            <w:r w:rsidR="00A8443E" w:rsidRPr="00027624">
              <w:noBreakHyphen/>
            </w:r>
            <w:r w:rsidRPr="00027624">
              <w:t>a</w:t>
            </w:r>
            <w:r w:rsidR="00A8443E" w:rsidRPr="00027624">
              <w:noBreakHyphen/>
            </w:r>
            <w:r w:rsidRPr="00027624">
              <w:t>month threshold for SG payments, and the lack of SG payments for Community Development Program participants, disproportionately affect Aboriginal and Torres Strait Islander people.</w:t>
            </w:r>
          </w:p>
          <w:p w14:paraId="05475B43" w14:textId="77777777" w:rsidR="00B3792F" w:rsidRPr="00027624" w:rsidRDefault="00B3792F" w:rsidP="00B3792F">
            <w:pPr>
              <w:pStyle w:val="BoxBullet"/>
            </w:pPr>
            <w:r w:rsidRPr="00027624">
              <w:rPr>
                <w:b/>
                <w:bCs/>
              </w:rPr>
              <w:t>Increase support for Aboriginal and Torres Strait Islander people who rent.</w:t>
            </w:r>
            <w:r w:rsidRPr="00027624">
              <w:rPr>
                <w:b/>
              </w:rPr>
              <w:t xml:space="preserve"> </w:t>
            </w:r>
            <w:r w:rsidRPr="00027624">
              <w:t>Without an increase in Aboriginal and Torres Strait Islander people</w:t>
            </w:r>
            <w:r w:rsidR="00A8443E" w:rsidRPr="00027624">
              <w:t>’</w:t>
            </w:r>
            <w:r w:rsidRPr="00027624">
              <w:t>s labour force participation, superannuation and private savings will continue to be minor contributors to their retirement incomes. The Age Pension will be the main source of their retirement income. Given the high proportion of Aboriginal and Torres Strait Islander renters in retirement, additional support for renters would improve the retirement income adequacy of Aboriginal and Torres Strait Islander people who rent.</w:t>
            </w:r>
          </w:p>
          <w:p w14:paraId="1D84CA1F" w14:textId="77777777" w:rsidR="00B3792F" w:rsidRPr="00027624" w:rsidRDefault="00B3792F" w:rsidP="00B3792F">
            <w:pPr>
              <w:pStyle w:val="BoxBullet"/>
              <w:keepLines/>
            </w:pPr>
            <w:r w:rsidRPr="00027624">
              <w:rPr>
                <w:b/>
              </w:rPr>
              <w:t>Increase the SG rate</w:t>
            </w:r>
            <w:r w:rsidRPr="00027624">
              <w:rPr>
                <w:b/>
                <w:bCs/>
              </w:rPr>
              <w:t>.</w:t>
            </w:r>
            <w:r w:rsidRPr="00027624">
              <w:t xml:space="preserve"> </w:t>
            </w:r>
            <w:r w:rsidRPr="00027624">
              <w:rPr>
                <w:bCs/>
              </w:rPr>
              <w:t>This would</w:t>
            </w:r>
            <w:r w:rsidRPr="00027624">
              <w:t xml:space="preserve"> </w:t>
            </w:r>
            <w:r w:rsidRPr="00027624">
              <w:rPr>
                <w:bCs/>
              </w:rPr>
              <w:t>have limited impact on the retirement outcomes of Aboriginal and Torres Strait Islander people and come at the expense of working</w:t>
            </w:r>
            <w:r w:rsidR="00A8443E" w:rsidRPr="00027624">
              <w:rPr>
                <w:bCs/>
              </w:rPr>
              <w:noBreakHyphen/>
            </w:r>
            <w:r w:rsidRPr="00027624">
              <w:rPr>
                <w:bCs/>
              </w:rPr>
              <w:t>life income</w:t>
            </w:r>
            <w:r w:rsidRPr="00027624">
              <w:t xml:space="preserve">. Given the substantially lower proportion of Aboriginal and Torres Strait Islander people in the labour force, the rate of the SG would only affect retirement incomes for a </w:t>
            </w:r>
            <w:r w:rsidRPr="00027624" w:rsidDel="006F16E4">
              <w:t>few</w:t>
            </w:r>
            <w:r w:rsidRPr="00027624">
              <w:t>. Those in the labour force are likely over</w:t>
            </w:r>
            <w:r w:rsidR="00A8443E" w:rsidRPr="00027624">
              <w:noBreakHyphen/>
            </w:r>
            <w:r w:rsidRPr="00027624">
              <w:t>represented in the lower half of the income distribution where replacement rates are very high due to the support of the Age Pension. Any increase in the SG would reduce the already lower working</w:t>
            </w:r>
            <w:r w:rsidR="00A8443E" w:rsidRPr="00027624">
              <w:noBreakHyphen/>
            </w:r>
            <w:r w:rsidRPr="00027624">
              <w:t>life earnings of Aboriginal and Torres Strait Islander people (</w:t>
            </w:r>
            <w:r w:rsidRPr="00027624">
              <w:rPr>
                <w:iCs/>
              </w:rPr>
              <w:t>see</w:t>
            </w:r>
            <w:r w:rsidRPr="00027624">
              <w:rPr>
                <w:i/>
                <w:iCs/>
              </w:rPr>
              <w:t xml:space="preserve"> </w:t>
            </w:r>
            <w:r w:rsidRPr="00027624">
              <w:rPr>
                <w:i/>
              </w:rPr>
              <w:t>2D. Policy scenario: Implications of maintaining the SG rate</w:t>
            </w:r>
            <w:r w:rsidRPr="00027624">
              <w:rPr>
                <w:iCs/>
              </w:rPr>
              <w:t>).</w:t>
            </w:r>
          </w:p>
          <w:p w14:paraId="0A4AC442" w14:textId="77777777" w:rsidR="00B3792F" w:rsidRPr="00027624" w:rsidRDefault="00B3792F" w:rsidP="00B3792F">
            <w:pPr>
              <w:pStyle w:val="BoxBullet"/>
              <w:keepLines/>
            </w:pPr>
            <w:r w:rsidRPr="00027624">
              <w:rPr>
                <w:b/>
              </w:rPr>
              <w:t>Improve data collection on the Indigenous status of superannuants.</w:t>
            </w:r>
            <w:r w:rsidRPr="00027624">
              <w:t xml:space="preserve"> </w:t>
            </w:r>
            <w:r w:rsidRPr="00027624">
              <w:rPr>
                <w:bCs/>
              </w:rPr>
              <w:t xml:space="preserve">This </w:t>
            </w:r>
            <w:r w:rsidRPr="00027624">
              <w:t>would improve analysis of Aboriginal and Torres Strait Islander retirement outcomes.</w:t>
            </w:r>
            <w:r w:rsidRPr="00027624">
              <w:rPr>
                <w:iCs/>
              </w:rPr>
              <w:t xml:space="preserve"> Safeguards would need to be put in place to make sure the insurance coverage and premiums for Indigenous members were not adversely affected as a result of the data.</w:t>
            </w:r>
          </w:p>
        </w:tc>
      </w:tr>
      <w:bookmarkEnd w:id="3526"/>
    </w:tbl>
    <w:p w14:paraId="4F503C62" w14:textId="77777777" w:rsidR="00B3792F" w:rsidRPr="00027624" w:rsidRDefault="00B3792F" w:rsidP="00B3792F">
      <w:pPr>
        <w:spacing w:before="0" w:after="160" w:line="259" w:lineRule="auto"/>
      </w:pPr>
    </w:p>
    <w:p w14:paraId="5429530B" w14:textId="77777777" w:rsidR="001B6C0B" w:rsidRPr="00027624" w:rsidRDefault="001B6C0B" w:rsidP="00B3792F">
      <w:pPr>
        <w:spacing w:before="0" w:after="160" w:line="259" w:lineRule="auto"/>
        <w:sectPr w:rsidR="001B6C0B" w:rsidRPr="00027624" w:rsidSect="001B6C0B">
          <w:headerReference w:type="default" r:id="rId279"/>
          <w:footerReference w:type="default" r:id="rId280"/>
          <w:type w:val="oddPage"/>
          <w:pgSz w:w="11906" w:h="16838" w:code="9"/>
          <w:pgMar w:top="1418" w:right="1418" w:bottom="1418" w:left="1418" w:header="709" w:footer="709" w:gutter="0"/>
          <w:cols w:space="708"/>
          <w:titlePg/>
          <w:docGrid w:linePitch="360"/>
        </w:sectPr>
      </w:pPr>
    </w:p>
    <w:p w14:paraId="5063A5DC" w14:textId="77777777" w:rsidR="00B3792F" w:rsidRPr="00027624" w:rsidRDefault="003A119F" w:rsidP="00582C3E">
      <w:pPr>
        <w:pStyle w:val="Heading1"/>
        <w:rPr>
          <w:rStyle w:val="Heading3Char"/>
          <w:b w:val="0"/>
          <w:color w:val="144E60" w:themeColor="accent1"/>
          <w:sz w:val="48"/>
          <w:szCs w:val="36"/>
        </w:rPr>
      </w:pPr>
      <w:bookmarkStart w:id="3527" w:name="_Toc31720357"/>
      <w:bookmarkStart w:id="3528" w:name="_Toc34644221"/>
      <w:bookmarkStart w:id="3529" w:name="_Toc40297443"/>
      <w:bookmarkStart w:id="3530" w:name="_Toc40366213"/>
      <w:bookmarkStart w:id="3531" w:name="_Toc40369759"/>
      <w:bookmarkStart w:id="3532" w:name="_Toc40427915"/>
      <w:bookmarkStart w:id="3533" w:name="_Toc40458170"/>
      <w:bookmarkStart w:id="3534" w:name="_Toc40461939"/>
      <w:bookmarkStart w:id="3535" w:name="_Toc40474494"/>
      <w:bookmarkStart w:id="3536" w:name="_Toc40478023"/>
      <w:bookmarkStart w:id="3537" w:name="_Toc40521603"/>
      <w:bookmarkStart w:id="3538" w:name="_Toc40530462"/>
      <w:bookmarkStart w:id="3539" w:name="_Toc42778889"/>
      <w:bookmarkStart w:id="3540" w:name="_Toc42780029"/>
      <w:bookmarkStart w:id="3541" w:name="_Toc42780458"/>
      <w:bookmarkStart w:id="3542" w:name="_Toc42786448"/>
      <w:bookmarkStart w:id="3543" w:name="_Toc42791941"/>
      <w:bookmarkStart w:id="3544" w:name="_Toc42792103"/>
      <w:bookmarkStart w:id="3545" w:name="_Toc43117910"/>
      <w:bookmarkStart w:id="3546" w:name="_Toc43121549"/>
      <w:bookmarkStart w:id="3547" w:name="_Toc43122754"/>
      <w:bookmarkStart w:id="3548" w:name="_Toc43127809"/>
      <w:bookmarkStart w:id="3549" w:name="_Toc45520525"/>
      <w:bookmarkStart w:id="3550" w:name="_Toc46133637"/>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r w:rsidRPr="00027624">
        <w:rPr>
          <w:rStyle w:val="Heading3Char"/>
          <w:b w:val="0"/>
          <w:color w:val="144E60" w:themeColor="accent1"/>
          <w:sz w:val="48"/>
          <w:szCs w:val="36"/>
        </w:rPr>
        <w:lastRenderedPageBreak/>
        <w:t>People with disability</w:t>
      </w:r>
      <w:bookmarkEnd w:id="3550"/>
    </w:p>
    <w:tbl>
      <w:tblPr>
        <w:tblW w:w="5000" w:type="pct"/>
        <w:shd w:val="clear" w:color="auto" w:fill="DFD7E7" w:themeFill="accent3" w:themeFillTint="33"/>
        <w:tblLook w:val="01E0" w:firstRow="1" w:lastRow="1" w:firstColumn="1" w:lastColumn="1" w:noHBand="0" w:noVBand="0"/>
      </w:tblPr>
      <w:tblGrid>
        <w:gridCol w:w="9070"/>
      </w:tblGrid>
      <w:tr w:rsidR="00B3792F" w:rsidRPr="00027624" w14:paraId="3F2995B7" w14:textId="77777777" w:rsidTr="00B3792F">
        <w:tc>
          <w:tcPr>
            <w:tcW w:w="5000" w:type="pct"/>
            <w:shd w:val="clear" w:color="auto" w:fill="DFD7E7" w:themeFill="accent3" w:themeFillTint="33"/>
          </w:tcPr>
          <w:p w14:paraId="19DED319" w14:textId="77777777" w:rsidR="00B3792F" w:rsidRPr="00027624" w:rsidRDefault="00B3792F" w:rsidP="00582C3E">
            <w:pPr>
              <w:pStyle w:val="BoxHeading"/>
            </w:pPr>
            <w:bookmarkStart w:id="3551" w:name="_Toc34644222"/>
            <w:r w:rsidRPr="00027624">
              <w:t>Section summary</w:t>
            </w:r>
          </w:p>
          <w:p w14:paraId="14552852" w14:textId="77777777" w:rsidR="00B3792F" w:rsidRPr="00027624" w:rsidRDefault="00B3792F" w:rsidP="00B3792F">
            <w:pPr>
              <w:pStyle w:val="BoxBullet"/>
              <w:rPr>
                <w:b/>
                <w:bCs/>
              </w:rPr>
            </w:pPr>
            <w:r w:rsidRPr="00027624">
              <w:rPr>
                <w:b/>
                <w:bCs/>
              </w:rPr>
              <w:t>People with disability retire with less superannuation and wealth</w:t>
            </w:r>
            <w:r w:rsidRPr="00027624">
              <w:t xml:space="preserve"> </w:t>
            </w:r>
            <w:r w:rsidRPr="00027624">
              <w:rPr>
                <w:b/>
                <w:bCs/>
              </w:rPr>
              <w:t>than those without disability due to lower working</w:t>
            </w:r>
            <w:r w:rsidR="00A8443E" w:rsidRPr="00027624">
              <w:rPr>
                <w:b/>
                <w:bCs/>
              </w:rPr>
              <w:noBreakHyphen/>
            </w:r>
            <w:r w:rsidRPr="00027624">
              <w:rPr>
                <w:b/>
                <w:bCs/>
              </w:rPr>
              <w:t xml:space="preserve">life participation and earnings. </w:t>
            </w:r>
            <w:r w:rsidRPr="00027624">
              <w:rPr>
                <w:bCs/>
              </w:rPr>
              <w:t>O</w:t>
            </w:r>
            <w:r w:rsidRPr="00027624">
              <w:t>n average, the more severe a person</w:t>
            </w:r>
            <w:r w:rsidR="00A8443E" w:rsidRPr="00027624">
              <w:t>’</w:t>
            </w:r>
            <w:r w:rsidRPr="00027624">
              <w:t>s disability, the lower their superannuation balance. People who acquire a disability later in life are more likely to have higher savings than those who become disabled earlier.</w:t>
            </w:r>
          </w:p>
          <w:p w14:paraId="21F89B25" w14:textId="77777777" w:rsidR="00B3792F" w:rsidRPr="00027624" w:rsidRDefault="00B3792F" w:rsidP="00B3792F">
            <w:pPr>
              <w:pStyle w:val="BoxBullet"/>
              <w:rPr>
                <w:b/>
                <w:bCs/>
              </w:rPr>
            </w:pPr>
            <w:r w:rsidRPr="00027624">
              <w:rPr>
                <w:b/>
                <w:bCs/>
              </w:rPr>
              <w:t xml:space="preserve">The Age Pension helps improve retirement income equality compared with working life between people with and without disability. </w:t>
            </w:r>
          </w:p>
          <w:p w14:paraId="5964AD9C" w14:textId="77777777" w:rsidR="00B3792F" w:rsidRPr="00027624" w:rsidRDefault="00B3792F" w:rsidP="00B3792F">
            <w:pPr>
              <w:pStyle w:val="BoxBullet"/>
            </w:pPr>
            <w:r w:rsidRPr="00027624">
              <w:rPr>
                <w:b/>
              </w:rPr>
              <w:t>The median retiree with a severe disability spends less on goods and services than the median retiree without disability.</w:t>
            </w:r>
            <w:r w:rsidRPr="00027624">
              <w:t xml:space="preserve"> Although people with a severe disability have higher medical costs, most costs are covered by the Government, particularly for those with a Pensioner Concession Card. </w:t>
            </w:r>
          </w:p>
          <w:p w14:paraId="06652B58" w14:textId="77777777" w:rsidR="00B3792F" w:rsidRPr="00027624" w:rsidRDefault="00B3792F" w:rsidP="0040417A">
            <w:pPr>
              <w:pStyle w:val="BoxBullet"/>
              <w:rPr>
                <w:b/>
                <w:bCs/>
              </w:rPr>
            </w:pPr>
            <w:r w:rsidRPr="00027624">
              <w:rPr>
                <w:b/>
                <w:bCs/>
              </w:rPr>
              <w:t>Overall, retirees with disability have similar rates of poverty and financial stress as the total retired population</w:t>
            </w:r>
            <w:r w:rsidRPr="00027624">
              <w:rPr>
                <w:b/>
              </w:rPr>
              <w:t>.</w:t>
            </w:r>
            <w:r w:rsidRPr="00027624">
              <w:t xml:space="preserve"> People with disability experience significantly less financial stress in retirement than in working life. However, retirees with disability are more likely to rent than the total population. </w:t>
            </w:r>
          </w:p>
          <w:p w14:paraId="723C7122" w14:textId="77777777" w:rsidR="00B3792F" w:rsidRPr="00027624" w:rsidRDefault="00B3792F" w:rsidP="00B3792F">
            <w:pPr>
              <w:pStyle w:val="BoxBullet"/>
              <w:rPr>
                <w:b/>
              </w:rPr>
            </w:pPr>
            <w:r w:rsidRPr="00027624">
              <w:rPr>
                <w:b/>
                <w:bCs/>
              </w:rPr>
              <w:t xml:space="preserve">The Age Pension means test exemption for people who are blind </w:t>
            </w:r>
            <w:r w:rsidRPr="00027624" w:rsidDel="004250B3">
              <w:rPr>
                <w:b/>
                <w:bCs/>
              </w:rPr>
              <w:t xml:space="preserve">mainly </w:t>
            </w:r>
            <w:r w:rsidRPr="00027624">
              <w:rPr>
                <w:b/>
                <w:bCs/>
              </w:rPr>
              <w:t>benefit</w:t>
            </w:r>
            <w:r w:rsidRPr="00027624" w:rsidDel="00E97BEA">
              <w:rPr>
                <w:b/>
                <w:bCs/>
              </w:rPr>
              <w:t>s</w:t>
            </w:r>
            <w:r w:rsidRPr="00027624">
              <w:rPr>
                <w:b/>
                <w:bCs/>
              </w:rPr>
              <w:t xml:space="preserve"> those who become blind in retirement but have had the same opportunities as others to accumulate retirement savings</w:t>
            </w:r>
            <w:r w:rsidRPr="00027624">
              <w:rPr>
                <w:b/>
              </w:rPr>
              <w:t>.</w:t>
            </w:r>
            <w:r w:rsidRPr="00027624">
              <w:t xml:space="preserve"> Were the exemption not in place, a significant number of people who are currently exempt from the means test would have a reduced rate of, or not be eligible for, the Age Pension, due to their high assets or income. </w:t>
            </w:r>
          </w:p>
          <w:p w14:paraId="13CD1EF7" w14:textId="77777777" w:rsidR="00B3792F" w:rsidRPr="00027624" w:rsidRDefault="00B3792F" w:rsidP="00B3792F">
            <w:pPr>
              <w:pStyle w:val="BoxBullet"/>
              <w:rPr>
                <w:b/>
                <w:bCs/>
              </w:rPr>
            </w:pPr>
            <w:r w:rsidRPr="00027624">
              <w:rPr>
                <w:b/>
                <w:bCs/>
              </w:rPr>
              <w:t>People covered by the National Disability Insurance Scheme in retirement may receive more financial support, and have lower out</w:t>
            </w:r>
            <w:r w:rsidR="00A8443E" w:rsidRPr="00027624">
              <w:rPr>
                <w:b/>
                <w:bCs/>
              </w:rPr>
              <w:noBreakHyphen/>
            </w:r>
            <w:r w:rsidRPr="00027624">
              <w:rPr>
                <w:b/>
                <w:bCs/>
              </w:rPr>
              <w:t>of</w:t>
            </w:r>
            <w:r w:rsidR="00A8443E" w:rsidRPr="00027624">
              <w:rPr>
                <w:b/>
                <w:bCs/>
              </w:rPr>
              <w:noBreakHyphen/>
            </w:r>
            <w:r w:rsidRPr="00027624">
              <w:rPr>
                <w:b/>
                <w:bCs/>
              </w:rPr>
              <w:t>pocket costs, than people in similar circumstances covered by the aged care system.</w:t>
            </w:r>
          </w:p>
        </w:tc>
      </w:tr>
    </w:tbl>
    <w:p w14:paraId="396158DC" w14:textId="77777777" w:rsidR="00B3792F" w:rsidRPr="00027624" w:rsidRDefault="00B3792F" w:rsidP="00B3792F">
      <w:pPr>
        <w:pStyle w:val="Heading2"/>
      </w:pPr>
      <w:bookmarkStart w:id="3552" w:name="_Toc40366214"/>
      <w:bookmarkStart w:id="3553" w:name="_Toc40369760"/>
      <w:bookmarkStart w:id="3554" w:name="_Toc40427916"/>
      <w:bookmarkStart w:id="3555" w:name="_Toc40458171"/>
      <w:bookmarkStart w:id="3556" w:name="_Toc40461940"/>
      <w:bookmarkStart w:id="3557" w:name="_Toc40474495"/>
      <w:bookmarkStart w:id="3558" w:name="_Toc40478024"/>
      <w:bookmarkStart w:id="3559" w:name="_Toc40521604"/>
      <w:bookmarkStart w:id="3560" w:name="_Toc40530463"/>
      <w:bookmarkStart w:id="3561" w:name="_Toc42778890"/>
      <w:bookmarkStart w:id="3562" w:name="_Toc42780030"/>
      <w:bookmarkStart w:id="3563" w:name="_Toc42780459"/>
      <w:bookmarkStart w:id="3564" w:name="_Toc42786449"/>
      <w:bookmarkStart w:id="3565" w:name="_Toc42791942"/>
      <w:bookmarkStart w:id="3566" w:name="_Toc42792104"/>
      <w:bookmarkStart w:id="3567" w:name="_Toc43117911"/>
      <w:bookmarkStart w:id="3568" w:name="_Toc43121550"/>
      <w:bookmarkStart w:id="3569" w:name="_Toc43122755"/>
      <w:bookmarkStart w:id="3570" w:name="_Toc43127810"/>
      <w:bookmarkStart w:id="3571" w:name="_Toc45520526"/>
      <w:bookmarkStart w:id="3572" w:name="_Toc46133638"/>
      <w:r w:rsidRPr="00027624">
        <w:t>Outline of this section</w:t>
      </w:r>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p>
    <w:p w14:paraId="669ABF6B" w14:textId="77777777" w:rsidR="00B3792F" w:rsidRPr="00027624" w:rsidRDefault="00B3792F" w:rsidP="00B3792F">
      <w:r w:rsidRPr="00027624">
        <w:t xml:space="preserve">This section considers the effect of disability on the way people accumulate superannuation or wealth and whether they have sufficient income in retirement. It also analyses how retirement income system settings affect incomes for retirees with disability. </w:t>
      </w:r>
    </w:p>
    <w:tbl>
      <w:tblPr>
        <w:tblStyle w:val="TableGrid"/>
        <w:tblW w:w="5000" w:type="pct"/>
        <w:shd w:val="clear" w:color="auto" w:fill="FFF8EA"/>
        <w:tblLook w:val="04A0" w:firstRow="1" w:lastRow="0" w:firstColumn="1" w:lastColumn="0" w:noHBand="0" w:noVBand="1"/>
      </w:tblPr>
      <w:tblGrid>
        <w:gridCol w:w="9070"/>
      </w:tblGrid>
      <w:tr w:rsidR="00B3792F" w:rsidRPr="00027624" w14:paraId="1D3BF9C7" w14:textId="77777777" w:rsidTr="00B3792F">
        <w:tc>
          <w:tcPr>
            <w:tcW w:w="5000" w:type="pct"/>
            <w:shd w:val="clear" w:color="auto" w:fill="FFF8EA"/>
          </w:tcPr>
          <w:p w14:paraId="59AE615B" w14:textId="77777777" w:rsidR="00B3792F" w:rsidRPr="00027624" w:rsidRDefault="00B3792F" w:rsidP="00582C3E">
            <w:pPr>
              <w:pStyle w:val="BoxHeading"/>
            </w:pPr>
            <w:bookmarkStart w:id="3573" w:name="_Ref35423403"/>
            <w:r w:rsidRPr="00027624">
              <w:t xml:space="preserve">Stakeholder views on equity for people with disability </w:t>
            </w:r>
            <w:bookmarkEnd w:id="3573"/>
          </w:p>
          <w:p w14:paraId="11D9D912" w14:textId="77777777" w:rsidR="00B3792F" w:rsidRPr="00027624" w:rsidRDefault="00B3792F" w:rsidP="00B3792F">
            <w:pPr>
              <w:rPr>
                <w:strike/>
              </w:rPr>
            </w:pPr>
            <w:r w:rsidRPr="00027624">
              <w:t>A few submissions suggested people with disability are more likely to:</w:t>
            </w:r>
            <w:r w:rsidRPr="00027624" w:rsidDel="00E05720">
              <w:rPr>
                <w:strike/>
              </w:rPr>
              <w:t xml:space="preserve"> </w:t>
            </w:r>
          </w:p>
          <w:p w14:paraId="6D69486D" w14:textId="77777777" w:rsidR="00B3792F" w:rsidRPr="00027624" w:rsidRDefault="00B3792F" w:rsidP="0040417A">
            <w:pPr>
              <w:pStyle w:val="BoxBullet"/>
            </w:pPr>
            <w:r w:rsidRPr="00027624">
              <w:rPr>
                <w:b/>
              </w:rPr>
              <w:t>Be unemployed and have lower earnings in working life</w:t>
            </w:r>
            <w:r w:rsidRPr="00027624">
              <w:t>, which limits their ability to build up savings and superannuation</w:t>
            </w:r>
          </w:p>
          <w:p w14:paraId="7B0C62F9" w14:textId="77777777" w:rsidR="00B3792F" w:rsidRPr="00027624" w:rsidRDefault="00B3792F" w:rsidP="0040417A">
            <w:pPr>
              <w:pStyle w:val="BoxBullet"/>
            </w:pPr>
            <w:r w:rsidRPr="00027624">
              <w:rPr>
                <w:b/>
              </w:rPr>
              <w:t>Rent</w:t>
            </w:r>
            <w:r w:rsidRPr="00027624">
              <w:rPr>
                <w:bCs/>
              </w:rPr>
              <w:t>,</w:t>
            </w:r>
            <w:r w:rsidRPr="00027624">
              <w:t xml:space="preserve"> both in working life and in retirement</w:t>
            </w:r>
          </w:p>
          <w:p w14:paraId="253DE185" w14:textId="77777777" w:rsidR="00B3792F" w:rsidRPr="00027624" w:rsidRDefault="00B3792F" w:rsidP="0040417A">
            <w:pPr>
              <w:pStyle w:val="BoxBullet"/>
            </w:pPr>
            <w:r w:rsidRPr="00027624">
              <w:rPr>
                <w:b/>
              </w:rPr>
              <w:t>Be in poverty and financial stress</w:t>
            </w:r>
            <w:r w:rsidRPr="00027624">
              <w:t xml:space="preserve">, both in working life and in retirement </w:t>
            </w:r>
          </w:p>
          <w:p w14:paraId="520176EB" w14:textId="77777777" w:rsidR="00B3792F" w:rsidRPr="00027624" w:rsidRDefault="00B3792F" w:rsidP="00B3792F">
            <w:r w:rsidRPr="00027624">
              <w:t>Stakeholders noted that people with disability may face additional challenges in retirement, such as difficulty accessing services or additional disability</w:t>
            </w:r>
            <w:r w:rsidR="00A8443E" w:rsidRPr="00027624">
              <w:noBreakHyphen/>
            </w:r>
            <w:r w:rsidRPr="00027624">
              <w:t>related expenses, including housing modifications. They suggested these challenges can compound working</w:t>
            </w:r>
            <w:r w:rsidR="00A8443E" w:rsidRPr="00027624">
              <w:noBreakHyphen/>
            </w:r>
            <w:r w:rsidRPr="00027624">
              <w:t xml:space="preserve">life inequities. </w:t>
            </w:r>
          </w:p>
        </w:tc>
      </w:tr>
    </w:tbl>
    <w:p w14:paraId="20EA0A0E" w14:textId="77777777" w:rsidR="00B3792F" w:rsidRPr="00027624" w:rsidRDefault="00B3792F" w:rsidP="00B3792F"/>
    <w:tbl>
      <w:tblPr>
        <w:tblStyle w:val="TableGrid"/>
        <w:tblW w:w="5000" w:type="pct"/>
        <w:shd w:val="clear" w:color="auto" w:fill="FFF8EA"/>
        <w:tblLook w:val="04A0" w:firstRow="1" w:lastRow="0" w:firstColumn="1" w:lastColumn="0" w:noHBand="0" w:noVBand="1"/>
      </w:tblPr>
      <w:tblGrid>
        <w:gridCol w:w="9070"/>
      </w:tblGrid>
      <w:tr w:rsidR="00B3792F" w:rsidRPr="00027624" w14:paraId="52851A4C" w14:textId="77777777" w:rsidTr="00B3792F">
        <w:tc>
          <w:tcPr>
            <w:tcW w:w="5000" w:type="pct"/>
            <w:shd w:val="clear" w:color="auto" w:fill="FFF8EA"/>
          </w:tcPr>
          <w:p w14:paraId="4D908EDB" w14:textId="77777777" w:rsidR="00B3792F" w:rsidRPr="00027624" w:rsidRDefault="00B3792F" w:rsidP="00582C3E">
            <w:pPr>
              <w:pStyle w:val="BoxHeading"/>
            </w:pPr>
            <w:r w:rsidRPr="00027624">
              <w:lastRenderedPageBreak/>
              <w:t>Defining disability</w:t>
            </w:r>
          </w:p>
          <w:p w14:paraId="3DC5443F" w14:textId="77777777" w:rsidR="00B3792F" w:rsidRPr="00027624" w:rsidRDefault="00B3792F" w:rsidP="00B3792F">
            <w:r w:rsidRPr="00027624">
              <w:t xml:space="preserve">Disability is a limitation, restriction or impairment that has lasted, or is likely to last, for at least six months or more and restricts everyday activities. </w:t>
            </w:r>
          </w:p>
          <w:p w14:paraId="53D7F2D0" w14:textId="77777777" w:rsidR="00B3792F" w:rsidRPr="00027624" w:rsidRDefault="00A8443E" w:rsidP="0040417A">
            <w:pPr>
              <w:pStyle w:val="BoxBullet"/>
            </w:pPr>
            <w:r w:rsidRPr="00027624">
              <w:rPr>
                <w:b/>
                <w:i/>
              </w:rPr>
              <w:t>‘</w:t>
            </w:r>
            <w:r w:rsidR="00B3792F" w:rsidRPr="00027624">
              <w:rPr>
                <w:b/>
                <w:i/>
              </w:rPr>
              <w:t>Profound or severe core activity limitation</w:t>
            </w:r>
            <w:r w:rsidRPr="00027624">
              <w:rPr>
                <w:b/>
                <w:i/>
              </w:rPr>
              <w:t>’</w:t>
            </w:r>
            <w:r w:rsidR="00B3792F" w:rsidRPr="00027624">
              <w:rPr>
                <w:b/>
              </w:rPr>
              <w:t xml:space="preserve"> </w:t>
            </w:r>
            <w:r w:rsidR="00B3792F" w:rsidRPr="00027624">
              <w:t>sometimes or always needing help with one or more activities of self</w:t>
            </w:r>
            <w:r w:rsidRPr="00027624">
              <w:noBreakHyphen/>
            </w:r>
            <w:r w:rsidR="00B3792F" w:rsidRPr="00027624">
              <w:t>care, mobility or communication.</w:t>
            </w:r>
          </w:p>
          <w:p w14:paraId="1E8AEBCF" w14:textId="77777777" w:rsidR="00B3792F" w:rsidRPr="00027624" w:rsidRDefault="00A8443E" w:rsidP="0040417A">
            <w:pPr>
              <w:pStyle w:val="BoxBullet"/>
            </w:pPr>
            <w:r w:rsidRPr="00027624">
              <w:rPr>
                <w:b/>
                <w:i/>
              </w:rPr>
              <w:t>‘</w:t>
            </w:r>
            <w:r w:rsidR="00B3792F" w:rsidRPr="00027624">
              <w:rPr>
                <w:b/>
                <w:i/>
              </w:rPr>
              <w:t>Moderate or mild core activity limitation</w:t>
            </w:r>
            <w:r w:rsidRPr="00027624">
              <w:rPr>
                <w:b/>
                <w:i/>
              </w:rPr>
              <w:t>’</w:t>
            </w:r>
            <w:r w:rsidR="00B3792F" w:rsidRPr="00027624">
              <w:rPr>
                <w:b/>
              </w:rPr>
              <w:t xml:space="preserve"> </w:t>
            </w:r>
            <w:r w:rsidR="00B3792F" w:rsidRPr="00027624">
              <w:t>having difficulty with self</w:t>
            </w:r>
            <w:r w:rsidRPr="00027624">
              <w:noBreakHyphen/>
            </w:r>
            <w:r w:rsidR="00B3792F" w:rsidRPr="00027624">
              <w:t>care or communication, or limitations with mobility, walking or using public transport.</w:t>
            </w:r>
            <w:r w:rsidR="00B3792F" w:rsidRPr="00027624">
              <w:rPr>
                <w:sz w:val="22"/>
              </w:rPr>
              <w:t xml:space="preserve"> </w:t>
            </w:r>
          </w:p>
        </w:tc>
      </w:tr>
    </w:tbl>
    <w:p w14:paraId="574EB4FE" w14:textId="77777777" w:rsidR="00B3792F" w:rsidRPr="00027624" w:rsidRDefault="00B3792F" w:rsidP="00B3792F">
      <w:pPr>
        <w:pStyle w:val="Heading2"/>
      </w:pPr>
      <w:bookmarkStart w:id="3574" w:name="_Toc40366215"/>
      <w:bookmarkStart w:id="3575" w:name="_Toc40369761"/>
      <w:bookmarkStart w:id="3576" w:name="_Toc40427917"/>
      <w:bookmarkStart w:id="3577" w:name="_Toc40458172"/>
      <w:bookmarkStart w:id="3578" w:name="_Toc40461941"/>
      <w:bookmarkStart w:id="3579" w:name="_Toc40474496"/>
      <w:bookmarkStart w:id="3580" w:name="_Toc40478025"/>
      <w:bookmarkStart w:id="3581" w:name="_Toc40521605"/>
      <w:bookmarkStart w:id="3582" w:name="_Toc40530464"/>
      <w:bookmarkStart w:id="3583" w:name="_Toc42778891"/>
      <w:bookmarkStart w:id="3584" w:name="_Toc42780031"/>
      <w:bookmarkStart w:id="3585" w:name="_Toc42780460"/>
      <w:bookmarkStart w:id="3586" w:name="_Toc42786450"/>
      <w:bookmarkStart w:id="3587" w:name="_Toc42791943"/>
      <w:bookmarkStart w:id="3588" w:name="_Toc42792105"/>
      <w:bookmarkStart w:id="3589" w:name="_Toc43117912"/>
      <w:bookmarkStart w:id="3590" w:name="_Toc43121551"/>
      <w:bookmarkStart w:id="3591" w:name="_Toc43122756"/>
      <w:bookmarkStart w:id="3592" w:name="_Toc43127811"/>
      <w:bookmarkStart w:id="3593" w:name="_Toc45520527"/>
      <w:bookmarkStart w:id="3594" w:name="_Toc46133639"/>
      <w:r w:rsidRPr="00027624">
        <w:t>Prevalence of disabilities</w:t>
      </w:r>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r w:rsidRPr="00027624">
        <w:t xml:space="preserve"> </w:t>
      </w:r>
    </w:p>
    <w:p w14:paraId="018256E2" w14:textId="77777777" w:rsidR="00B3792F" w:rsidRPr="00027624" w:rsidRDefault="00B3792F" w:rsidP="00B3792F">
      <w:r w:rsidRPr="00027624">
        <w:t>A significant proportion of the population will be affected by disability at some point in their life. Acquiring disability pre</w:t>
      </w:r>
      <w:r w:rsidR="00A8443E" w:rsidRPr="00027624">
        <w:noBreakHyphen/>
      </w:r>
      <w:r w:rsidRPr="00027624">
        <w:t>retirement can reduce a person</w:t>
      </w:r>
      <w:r w:rsidR="00A8443E" w:rsidRPr="00027624">
        <w:t>’</w:t>
      </w:r>
      <w:r w:rsidRPr="00027624">
        <w:t xml:space="preserve">s ability to save or prepare for retirement. </w:t>
      </w:r>
    </w:p>
    <w:p w14:paraId="004BD115" w14:textId="393A9DAF" w:rsidR="00B3792F" w:rsidRPr="00027624" w:rsidRDefault="00B3792F" w:rsidP="00B3792F">
      <w:r w:rsidRPr="00027624">
        <w:t>The proportion of people with disability increases with age (</w:t>
      </w:r>
      <w:r w:rsidRPr="00027624">
        <w:fldChar w:fldCharType="begin"/>
      </w:r>
      <w:r w:rsidRPr="00027624">
        <w:instrText xml:space="preserve"> REF _Ref35425071 \r \h  \* MERGEFORMAT </w:instrText>
      </w:r>
      <w:r w:rsidRPr="00027624">
        <w:fldChar w:fldCharType="separate"/>
      </w:r>
      <w:r w:rsidR="00891058">
        <w:t>Chart 3G-1</w:t>
      </w:r>
      <w:r w:rsidRPr="00027624">
        <w:fldChar w:fldCharType="end"/>
      </w:r>
      <w:r w:rsidRPr="00027624">
        <w:t xml:space="preserve">). In 2018, around 4.4 million Australians had a disability, representing 17.7 per cent of all Australians. Of these people, around 1.9 million were aged 65 and over, representing 44.5 per cent of this group </w:t>
      </w:r>
      <w:sdt>
        <w:sdtPr>
          <w:id w:val="730503067"/>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 A woman aged 65 can expect to spend 55 per cent of her remaining life with a disability. For a man aged 65, the comparable figure is 53 per cent</w:t>
      </w:r>
      <w:sdt>
        <w:sdtPr>
          <w:id w:val="-1967729697"/>
          <w:citation/>
        </w:sdtPr>
        <w:sdtEndPr/>
        <w:sdtContent>
          <w:r w:rsidR="004C63C9" w:rsidRPr="00027624">
            <w:fldChar w:fldCharType="begin"/>
          </w:r>
          <w:r w:rsidR="004C63C9" w:rsidRPr="00027624">
            <w:instrText xml:space="preserve"> CITATION AIH17 \l 3081 </w:instrText>
          </w:r>
          <w:r w:rsidR="004C63C9" w:rsidRPr="00027624">
            <w:fldChar w:fldCharType="separate"/>
          </w:r>
          <w:r w:rsidR="00E83F6E">
            <w:rPr>
              <w:noProof/>
            </w:rPr>
            <w:t xml:space="preserve"> (Australian Institute of Health and Welfare, 2017)</w:t>
          </w:r>
          <w:r w:rsidR="004C63C9" w:rsidRPr="00027624">
            <w:fldChar w:fldCharType="end"/>
          </w:r>
        </w:sdtContent>
      </w:sdt>
      <w:r w:rsidRPr="00027624">
        <w:t>.</w:t>
      </w:r>
      <w:r w:rsidRPr="00027624">
        <w:rPr>
          <w:rStyle w:val="FootnoteReference"/>
        </w:rPr>
        <w:footnoteReference w:id="225"/>
      </w:r>
    </w:p>
    <w:p w14:paraId="77A0AFD9" w14:textId="77777777" w:rsidR="00B3792F" w:rsidRPr="00027624" w:rsidRDefault="006A17DD" w:rsidP="00FC7361">
      <w:pPr>
        <w:pStyle w:val="ChartMainHeading"/>
        <w:numPr>
          <w:ilvl w:val="2"/>
          <w:numId w:val="71"/>
        </w:numPr>
      </w:pPr>
      <w:bookmarkStart w:id="3595" w:name="_Ref35425071"/>
      <w:r>
        <w:t xml:space="preserve">Proportion of people with </w:t>
      </w:r>
      <w:r w:rsidR="00B3792F" w:rsidRPr="00027624">
        <w:t>disability, by age</w:t>
      </w:r>
      <w:bookmarkEnd w:id="3595"/>
    </w:p>
    <w:p w14:paraId="6A871D63" w14:textId="77777777" w:rsidR="00B3792F" w:rsidRPr="00027624" w:rsidRDefault="00CC3697" w:rsidP="00B3792F">
      <w:pPr>
        <w:pStyle w:val="ChartGraphic"/>
      </w:pPr>
      <w:r>
        <w:rPr>
          <w:noProof/>
        </w:rPr>
        <w:drawing>
          <wp:inline distT="0" distB="0" distL="0" distR="0" wp14:anchorId="0EE8AC76" wp14:editId="0F2CDDAC">
            <wp:extent cx="5577840" cy="2522220"/>
            <wp:effectExtent l="0" t="0" r="3810" b="0"/>
            <wp:docPr id="246" name="Picture 246" descr="This chart shows the proportion of people with a disability increases with age. This includes just under 10 per cent of people aged 15-24 have a disability, compared with around 85 per cent of people aged 90 and over. The proportion of people with a profound or severe core activity limitation increases with age. " title="Chart 3G-1 Proportion of people with a disability, by 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C7F5593" w14:textId="77777777" w:rsidR="00B3792F" w:rsidRPr="00027624" w:rsidRDefault="00B3792F" w:rsidP="00B3792F">
      <w:pPr>
        <w:pStyle w:val="ChartorTableNote"/>
      </w:pPr>
      <w:r w:rsidRPr="00027624">
        <w:t xml:space="preserve">Note: 2018 data. Source: </w:t>
      </w:r>
      <w:sdt>
        <w:sdtPr>
          <w:id w:val="2072610242"/>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bookmarkStart w:id="3596" w:name="_Toc40366216"/>
      <w:bookmarkStart w:id="3597" w:name="_Toc40369762"/>
      <w:bookmarkStart w:id="3598" w:name="_Toc40427918"/>
      <w:bookmarkStart w:id="3599" w:name="_Toc40458173"/>
      <w:bookmarkStart w:id="3600" w:name="_Toc40461942"/>
      <w:bookmarkStart w:id="3601" w:name="_Toc40474497"/>
      <w:bookmarkStart w:id="3602" w:name="_Toc40478026"/>
      <w:bookmarkStart w:id="3603" w:name="_Toc40521606"/>
      <w:bookmarkStart w:id="3604" w:name="_Toc40530465"/>
      <w:r w:rsidRPr="00027624">
        <w:t>.</w:t>
      </w:r>
    </w:p>
    <w:p w14:paraId="1C02D6D9" w14:textId="77777777" w:rsidR="00B3792F" w:rsidRPr="00027624" w:rsidRDefault="00B3792F" w:rsidP="00B3792F">
      <w:pPr>
        <w:pStyle w:val="Heading2"/>
      </w:pPr>
      <w:bookmarkStart w:id="3605" w:name="_Toc42778892"/>
      <w:bookmarkStart w:id="3606" w:name="_Toc42780032"/>
      <w:bookmarkStart w:id="3607" w:name="_Toc42780461"/>
      <w:bookmarkStart w:id="3608" w:name="_Toc42786451"/>
      <w:bookmarkStart w:id="3609" w:name="_Toc42791944"/>
      <w:bookmarkStart w:id="3610" w:name="_Toc42792106"/>
      <w:bookmarkStart w:id="3611" w:name="_Toc43117913"/>
      <w:bookmarkStart w:id="3612" w:name="_Toc43121552"/>
      <w:bookmarkStart w:id="3613" w:name="_Toc43122757"/>
      <w:bookmarkStart w:id="3614" w:name="_Toc43127812"/>
      <w:bookmarkStart w:id="3615" w:name="_Toc45520528"/>
      <w:bookmarkStart w:id="3616" w:name="_Toc46133640"/>
      <w:r w:rsidRPr="00027624">
        <w:t>Translation of working</w:t>
      </w:r>
      <w:r w:rsidR="00A8443E" w:rsidRPr="00027624">
        <w:noBreakHyphen/>
      </w:r>
      <w:r w:rsidRPr="00027624">
        <w:t>life disadvantages into retirement</w:t>
      </w:r>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p>
    <w:p w14:paraId="33F912A2" w14:textId="77777777" w:rsidR="00B3792F" w:rsidRPr="00027624" w:rsidRDefault="00B3792F" w:rsidP="00B3792F">
      <w:pPr>
        <w:pStyle w:val="Heading3"/>
      </w:pPr>
      <w:bookmarkStart w:id="3617" w:name="_Toc40366217"/>
      <w:bookmarkStart w:id="3618" w:name="_Toc40369763"/>
      <w:bookmarkStart w:id="3619" w:name="_Toc40427919"/>
      <w:bookmarkStart w:id="3620" w:name="_Toc40458174"/>
      <w:bookmarkStart w:id="3621" w:name="_Toc40461943"/>
      <w:bookmarkStart w:id="3622" w:name="_Toc40474498"/>
      <w:bookmarkStart w:id="3623" w:name="_Toc40478027"/>
      <w:bookmarkStart w:id="3624" w:name="_Toc40521607"/>
      <w:bookmarkStart w:id="3625" w:name="_Toc40530466"/>
      <w:bookmarkStart w:id="3626" w:name="_Toc42778893"/>
      <w:bookmarkStart w:id="3627" w:name="_Toc42780033"/>
      <w:bookmarkStart w:id="3628" w:name="_Toc42780462"/>
      <w:bookmarkStart w:id="3629" w:name="_Toc42786452"/>
      <w:bookmarkStart w:id="3630" w:name="_Toc42791945"/>
      <w:bookmarkStart w:id="3631" w:name="_Toc42792107"/>
      <w:bookmarkStart w:id="3632" w:name="_Toc43117914"/>
      <w:bookmarkStart w:id="3633" w:name="_Toc43121553"/>
      <w:bookmarkStart w:id="3634" w:name="_Toc43122758"/>
      <w:bookmarkStart w:id="3635" w:name="_Toc43127813"/>
      <w:r w:rsidRPr="00027624">
        <w:t>Working</w:t>
      </w:r>
      <w:r w:rsidR="00A8443E" w:rsidRPr="00027624">
        <w:noBreakHyphen/>
      </w:r>
      <w:r w:rsidRPr="00027624">
        <w:t>life income</w:t>
      </w:r>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r w:rsidRPr="00027624">
        <w:t xml:space="preserve"> </w:t>
      </w:r>
    </w:p>
    <w:p w14:paraId="754C957C" w14:textId="1CCCC328" w:rsidR="00B3792F" w:rsidRPr="00027624" w:rsidRDefault="00B3792F" w:rsidP="00B3792F">
      <w:r w:rsidRPr="00027624">
        <w:t xml:space="preserve">People with disability are </w:t>
      </w:r>
      <w:r w:rsidRPr="00027624">
        <w:rPr>
          <w:b/>
        </w:rPr>
        <w:t>more likely to have lower labour force participation, have lower earnings, work part</w:t>
      </w:r>
      <w:r w:rsidR="00A8443E" w:rsidRPr="00027624">
        <w:rPr>
          <w:b/>
        </w:rPr>
        <w:noBreakHyphen/>
      </w:r>
      <w:r w:rsidRPr="00027624">
        <w:rPr>
          <w:b/>
        </w:rPr>
        <w:t>time and receive income support payments prior to retirement.</w:t>
      </w:r>
      <w:r w:rsidRPr="00027624">
        <w:t xml:space="preserve"> In 2018, the median weekly income of people aged 15</w:t>
      </w:r>
      <w:r w:rsidR="00A8443E" w:rsidRPr="00027624">
        <w:noBreakHyphen/>
      </w:r>
      <w:r w:rsidRPr="00027624">
        <w:t xml:space="preserve">64 with disability was $505, compared with $1,016 for people with </w:t>
      </w:r>
      <w:r w:rsidRPr="00027624">
        <w:lastRenderedPageBreak/>
        <w:t xml:space="preserve">no reported disability </w:t>
      </w:r>
      <w:sdt>
        <w:sdtPr>
          <w:id w:val="-1245261459"/>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 The more severe the disability, the more likely the person is to have a lower income (</w:t>
      </w:r>
      <w:r w:rsidRPr="00027624">
        <w:fldChar w:fldCharType="begin"/>
      </w:r>
      <w:r w:rsidRPr="00027624">
        <w:instrText xml:space="preserve"> REF _Ref38555313 \r \h  \* MERGEFORMAT </w:instrText>
      </w:r>
      <w:r w:rsidRPr="00027624">
        <w:fldChar w:fldCharType="separate"/>
      </w:r>
      <w:r w:rsidR="00891058">
        <w:t>Chart 3G-2</w:t>
      </w:r>
      <w:r w:rsidRPr="00027624">
        <w:fldChar w:fldCharType="end"/>
      </w:r>
      <w:r w:rsidRPr="00027624">
        <w:t>).</w:t>
      </w:r>
    </w:p>
    <w:p w14:paraId="160F9E93" w14:textId="77777777" w:rsidR="00B3792F" w:rsidRPr="00027624" w:rsidRDefault="00B3792F" w:rsidP="00582C3E">
      <w:pPr>
        <w:pStyle w:val="ChartMainHeading"/>
      </w:pPr>
      <w:bookmarkStart w:id="3636" w:name="_Ref35424987"/>
      <w:bookmarkStart w:id="3637" w:name="_Ref38555313"/>
      <w:r w:rsidRPr="00027624">
        <w:t>Income distribution for households aged 15</w:t>
      </w:r>
      <w:r w:rsidR="00A8443E" w:rsidRPr="00027624">
        <w:noBreakHyphen/>
      </w:r>
      <w:r w:rsidRPr="00027624">
        <w:t>64, by disability status</w:t>
      </w:r>
      <w:bookmarkEnd w:id="3636"/>
      <w:bookmarkEnd w:id="3637"/>
    </w:p>
    <w:p w14:paraId="70432FDC" w14:textId="77777777" w:rsidR="00B3792F" w:rsidRPr="00027624" w:rsidRDefault="00210A54" w:rsidP="00B3792F">
      <w:pPr>
        <w:pStyle w:val="ChartGraphic"/>
      </w:pPr>
      <w:r>
        <w:rPr>
          <w:noProof/>
        </w:rPr>
        <w:drawing>
          <wp:inline distT="0" distB="0" distL="0" distR="0" wp14:anchorId="4740C8CE" wp14:editId="1B645EF4">
            <wp:extent cx="5577840" cy="2522220"/>
            <wp:effectExtent l="0" t="0" r="3810" b="0"/>
            <wp:docPr id="247" name="Picture 247" descr="This chart shows among households aged 15-64 the more severe the disability, the more likely the household is to have a lower income. Over 20 per cent of households aged 15-64 with no reported disability are in the bottom two income quintiles, compared with around 65 per cent of households aged 15-64 with a profound or severe core activity limitation, and around 50 per cent with a moderate or mild core activity limitation." title="Chart 3G-2 Income distribution for households aged 15-64, by disabil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C900F8B" w14:textId="77777777" w:rsidR="00B3792F" w:rsidRPr="00027624" w:rsidRDefault="00B3792F" w:rsidP="00B3792F">
      <w:pPr>
        <w:pStyle w:val="ChartorTableNote"/>
      </w:pPr>
      <w:r w:rsidRPr="00027624">
        <w:t xml:space="preserve">Note: 2018 data. Quintiles are based on equivalised gross household income. Equivalised means that the results are adjusted for household size. Source: </w:t>
      </w:r>
      <w:sdt>
        <w:sdtPr>
          <w:id w:val="919833783"/>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w:t>
      </w:r>
    </w:p>
    <w:p w14:paraId="1DB134D2" w14:textId="77777777" w:rsidR="00B3792F" w:rsidRPr="00027624" w:rsidRDefault="00B3792F" w:rsidP="00B3792F">
      <w:r w:rsidRPr="00027624">
        <w:rPr>
          <w:b/>
          <w:bCs/>
        </w:rPr>
        <w:t>Government pensions or allowances are the main source of income</w:t>
      </w:r>
      <w:r w:rsidRPr="00027624">
        <w:t xml:space="preserve"> for around 38 per cent of people with disability aged 15</w:t>
      </w:r>
      <w:r w:rsidR="00A8443E" w:rsidRPr="00027624">
        <w:noBreakHyphen/>
      </w:r>
      <w:r w:rsidRPr="00027624">
        <w:t xml:space="preserve">64, increasing to 59 per cent for people with a profound or severe core activity limitation. This compares with 7 per cent for people without disability </w:t>
      </w:r>
      <w:sdt>
        <w:sdtPr>
          <w:id w:val="-681740104"/>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 xml:space="preserve">. </w:t>
      </w:r>
    </w:p>
    <w:p w14:paraId="3244104A" w14:textId="77777777" w:rsidR="00B3792F" w:rsidRPr="00027624" w:rsidRDefault="00B3792F" w:rsidP="00B3792F">
      <w:r w:rsidRPr="00027624">
        <w:rPr>
          <w:b/>
          <w:bCs/>
        </w:rPr>
        <w:t>Fewer people with disability are in the labour force</w:t>
      </w:r>
      <w:r w:rsidRPr="00027624">
        <w:t xml:space="preserve">: 53 per cent compared with 84 per cent of people without disability </w:t>
      </w:r>
      <w:sdt>
        <w:sdtPr>
          <w:id w:val="-453798076"/>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 People with disability who are employed are more likely to work part</w:t>
      </w:r>
      <w:r w:rsidR="00A8443E" w:rsidRPr="00027624">
        <w:noBreakHyphen/>
      </w:r>
      <w:r w:rsidRPr="00027624">
        <w:t xml:space="preserve">time: 41 per cent of people with disability, and 52 per cent of people with a profound or severe core activity limitation, compared with 32 per cent of people employed without disability </w:t>
      </w:r>
      <w:sdt>
        <w:sdtPr>
          <w:id w:val="176246703"/>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w:t>
      </w:r>
      <w:r w:rsidRPr="00027624" w:rsidDel="001F79C7">
        <w:rPr>
          <w:rStyle w:val="FootnoteReference"/>
        </w:rPr>
        <w:t xml:space="preserve"> </w:t>
      </w:r>
    </w:p>
    <w:p w14:paraId="7831C2F7" w14:textId="14F2F83D" w:rsidR="00B3792F" w:rsidRPr="00027624" w:rsidRDefault="00B3792F" w:rsidP="00BC6F14">
      <w:r w:rsidRPr="00027624">
        <w:t xml:space="preserve">People may also retire involuntarily before Age Pension eligibility age due to ill health (see </w:t>
      </w:r>
      <w:r w:rsidRPr="00027624">
        <w:rPr>
          <w:i/>
        </w:rPr>
        <w:t xml:space="preserve">3E. </w:t>
      </w:r>
      <w:r w:rsidR="00BC6F14" w:rsidRPr="00027624">
        <w:rPr>
          <w:i/>
        </w:rPr>
        <w:fldChar w:fldCharType="begin"/>
      </w:r>
      <w:r w:rsidR="00BC6F14" w:rsidRPr="00027624">
        <w:rPr>
          <w:i/>
        </w:rPr>
        <w:instrText xml:space="preserve"> REF _Ref45623113 \h  \* MERGEFORMAT </w:instrText>
      </w:r>
      <w:r w:rsidR="00BC6F14" w:rsidRPr="00027624">
        <w:rPr>
          <w:i/>
        </w:rPr>
      </w:r>
      <w:r w:rsidR="00BC6F14" w:rsidRPr="00027624">
        <w:rPr>
          <w:i/>
        </w:rPr>
        <w:fldChar w:fldCharType="separate"/>
      </w:r>
      <w:r w:rsidR="00891058" w:rsidRPr="00891058">
        <w:rPr>
          <w:i/>
        </w:rPr>
        <w:t>Age of retirement</w:t>
      </w:r>
      <w:r w:rsidR="00BC6F14" w:rsidRPr="00027624">
        <w:rPr>
          <w:i/>
        </w:rPr>
        <w:fldChar w:fldCharType="end"/>
      </w:r>
      <w:r w:rsidRPr="00027624">
        <w:t xml:space="preserve">). </w:t>
      </w:r>
    </w:p>
    <w:p w14:paraId="28118700" w14:textId="77777777" w:rsidR="00B3792F" w:rsidRPr="00027624" w:rsidRDefault="00B3792F" w:rsidP="00B3792F">
      <w:pPr>
        <w:pStyle w:val="Heading3"/>
      </w:pPr>
      <w:bookmarkStart w:id="3638" w:name="_Toc40366218"/>
      <w:bookmarkStart w:id="3639" w:name="_Toc40369764"/>
      <w:bookmarkStart w:id="3640" w:name="_Toc40427920"/>
      <w:bookmarkStart w:id="3641" w:name="_Toc40458175"/>
      <w:bookmarkStart w:id="3642" w:name="_Toc40461944"/>
      <w:bookmarkStart w:id="3643" w:name="_Toc40474499"/>
      <w:bookmarkStart w:id="3644" w:name="_Toc40478028"/>
      <w:bookmarkStart w:id="3645" w:name="_Toc40521608"/>
      <w:bookmarkStart w:id="3646" w:name="_Toc40530467"/>
      <w:bookmarkStart w:id="3647" w:name="_Toc42778894"/>
      <w:bookmarkStart w:id="3648" w:name="_Toc42780034"/>
      <w:bookmarkStart w:id="3649" w:name="_Toc42780463"/>
      <w:bookmarkStart w:id="3650" w:name="_Toc42786453"/>
      <w:bookmarkStart w:id="3651" w:name="_Toc42791946"/>
      <w:bookmarkStart w:id="3652" w:name="_Toc42792108"/>
      <w:bookmarkStart w:id="3653" w:name="_Toc43117915"/>
      <w:bookmarkStart w:id="3654" w:name="_Toc43121554"/>
      <w:bookmarkStart w:id="3655" w:name="_Toc43122759"/>
      <w:bookmarkStart w:id="3656" w:name="_Toc43127814"/>
      <w:r w:rsidRPr="00027624">
        <w:t>Superannuation balances</w:t>
      </w:r>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p>
    <w:p w14:paraId="4374DBD9" w14:textId="0CA168F7" w:rsidR="00B3792F" w:rsidRPr="00027624" w:rsidRDefault="00B3792F" w:rsidP="00B3792F">
      <w:r w:rsidRPr="00027624">
        <w:rPr>
          <w:b/>
          <w:bCs/>
        </w:rPr>
        <w:t>Lower labour force participation and lower working</w:t>
      </w:r>
      <w:r w:rsidR="00A8443E" w:rsidRPr="00027624">
        <w:rPr>
          <w:b/>
          <w:bCs/>
        </w:rPr>
        <w:noBreakHyphen/>
      </w:r>
      <w:r w:rsidRPr="00027624">
        <w:rPr>
          <w:b/>
          <w:bCs/>
        </w:rPr>
        <w:t>life earnings make it harder for people with disability to grow their superannuation</w:t>
      </w:r>
      <w:r w:rsidRPr="00027624">
        <w:rPr>
          <w:b/>
        </w:rPr>
        <w:t xml:space="preserve">. </w:t>
      </w:r>
      <w:r w:rsidRPr="00027624">
        <w:t>Generally, the more severe a person</w:t>
      </w:r>
      <w:r w:rsidR="00A8443E" w:rsidRPr="00027624">
        <w:t>’</w:t>
      </w:r>
      <w:r w:rsidRPr="00027624">
        <w:t>s disability, the lower their superannuation balance (</w:t>
      </w:r>
      <w:r w:rsidRPr="00027624">
        <w:fldChar w:fldCharType="begin"/>
      </w:r>
      <w:r w:rsidRPr="00027624">
        <w:instrText xml:space="preserve"> REF _Ref35425176 \r \h  \* MERGEFORMAT </w:instrText>
      </w:r>
      <w:r w:rsidRPr="00027624">
        <w:fldChar w:fldCharType="separate"/>
      </w:r>
      <w:r w:rsidR="00891058">
        <w:t>Chart 3G-3</w:t>
      </w:r>
      <w:r w:rsidRPr="00027624">
        <w:fldChar w:fldCharType="end"/>
      </w:r>
      <w:r w:rsidRPr="00027624">
        <w:t>). The size of the superannuation balance of a person with disability depends on when they bec</w:t>
      </w:r>
      <w:r w:rsidR="00E50080" w:rsidRPr="00027624">
        <w:t>o</w:t>
      </w:r>
      <w:r w:rsidRPr="00027624">
        <w:t xml:space="preserve">me disabled. People who become disabled later in life have </w:t>
      </w:r>
      <w:r w:rsidRPr="00027624" w:rsidDel="000375C1">
        <w:t xml:space="preserve">sufficient </w:t>
      </w:r>
      <w:r w:rsidRPr="00027624">
        <w:t>time in the workforce to build up their superannuation.</w:t>
      </w:r>
    </w:p>
    <w:p w14:paraId="7522ED4B" w14:textId="77777777" w:rsidR="00B3792F" w:rsidRPr="00027624" w:rsidRDefault="00B3792F" w:rsidP="00582C3E">
      <w:pPr>
        <w:pStyle w:val="ChartMainHeading"/>
      </w:pPr>
      <w:bookmarkStart w:id="3657" w:name="_Ref34907771"/>
      <w:bookmarkStart w:id="3658" w:name="_Ref35425176"/>
      <w:bookmarkEnd w:id="3657"/>
      <w:r w:rsidRPr="00027624">
        <w:lastRenderedPageBreak/>
        <w:t>Household superannuation balance, by age and disability status</w:t>
      </w:r>
      <w:bookmarkEnd w:id="3658"/>
      <w:r w:rsidRPr="00027624">
        <w:t xml:space="preserve"> (2017</w:t>
      </w:r>
      <w:r w:rsidR="00A8443E" w:rsidRPr="00027624">
        <w:noBreakHyphen/>
      </w:r>
      <w:r w:rsidRPr="00027624">
        <w:t>18)</w:t>
      </w:r>
    </w:p>
    <w:tbl>
      <w:tblPr>
        <w:tblW w:w="5000" w:type="pct"/>
        <w:tblLook w:val="01E0" w:firstRow="1" w:lastRow="1" w:firstColumn="1" w:lastColumn="1" w:noHBand="0" w:noVBand="0"/>
      </w:tblPr>
      <w:tblGrid>
        <w:gridCol w:w="4535"/>
        <w:gridCol w:w="4535"/>
      </w:tblGrid>
      <w:tr w:rsidR="00B3792F" w:rsidRPr="00027624" w14:paraId="4DD38ED1" w14:textId="77777777" w:rsidTr="00B3792F">
        <w:tc>
          <w:tcPr>
            <w:tcW w:w="2500" w:type="pct"/>
          </w:tcPr>
          <w:p w14:paraId="57F651CD" w14:textId="77777777" w:rsidR="00B3792F" w:rsidRPr="00027624" w:rsidRDefault="00B3792F" w:rsidP="00B3792F">
            <w:pPr>
              <w:pStyle w:val="ChartSecondHeading"/>
            </w:pPr>
            <w:r w:rsidRPr="00027624">
              <w:t>Average</w:t>
            </w:r>
          </w:p>
        </w:tc>
        <w:tc>
          <w:tcPr>
            <w:tcW w:w="2500" w:type="pct"/>
          </w:tcPr>
          <w:p w14:paraId="1FAD138B" w14:textId="77777777" w:rsidR="00B3792F" w:rsidRPr="00027624" w:rsidRDefault="00B3792F" w:rsidP="00B3792F">
            <w:pPr>
              <w:pStyle w:val="ChartSecondHeading"/>
            </w:pPr>
            <w:r w:rsidRPr="00027624">
              <w:t>Median</w:t>
            </w:r>
          </w:p>
        </w:tc>
      </w:tr>
    </w:tbl>
    <w:p w14:paraId="481AC12A" w14:textId="77777777" w:rsidR="00B3792F" w:rsidRPr="00027624" w:rsidRDefault="00210A54" w:rsidP="00210A54">
      <w:pPr>
        <w:pStyle w:val="ChartGraphic"/>
        <w:jc w:val="left"/>
        <w:rPr>
          <w:noProof/>
        </w:rPr>
      </w:pPr>
      <w:r>
        <w:rPr>
          <w:noProof/>
        </w:rPr>
        <w:drawing>
          <wp:inline distT="0" distB="0" distL="0" distR="0" wp14:anchorId="749B817E" wp14:editId="0CC3AA39">
            <wp:extent cx="2880360" cy="3009900"/>
            <wp:effectExtent l="0" t="0" r="0" b="0"/>
            <wp:docPr id="248" name="Picture 248" descr="This chart shows, at almost all ages, households with a profound or severe core activity limitation have lower average superannuation balances than households with a mild or moderate core activity limitation. Additionally, at almost all ages, households with a mild or moderate core activity limitation have a lower average household superannuation balances than the total population. For all group ages, average superannuation balances peak in the 60s." title="Chart 3G-3 Household superannuation balance, by age and disability status (2017-18) -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80360" cy="3009900"/>
                    </a:xfrm>
                    <a:prstGeom prst="rect">
                      <a:avLst/>
                    </a:prstGeom>
                    <a:noFill/>
                  </pic:spPr>
                </pic:pic>
              </a:graphicData>
            </a:graphic>
          </wp:inline>
        </w:drawing>
      </w:r>
      <w:r>
        <w:rPr>
          <w:noProof/>
        </w:rPr>
        <w:drawing>
          <wp:inline distT="0" distB="0" distL="0" distR="0" wp14:anchorId="49661277" wp14:editId="6BDF3D30">
            <wp:extent cx="2788920" cy="3009900"/>
            <wp:effectExtent l="0" t="0" r="0" b="0"/>
            <wp:docPr id="254" name="Picture 254" descr="This chart shows, at almost all ages, households with a profound or severe core activity limitation have lower median superannuation balances than households with a mild or moderate core activity limitation. Additionally, at almost all ages, households with a mild or moderate core activity limitation have lower average household superannuation balances than the total population. Median superannuation balances peak at ages 60-64 for the total population and those with a profound or severe core activity limitation, whereas they peak at ages 50-54 for those with a mild or moderate core activity limitation." title="Chart 3G-3 Household superannuation balance, by age and disability status (2017-18) - me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788920" cy="3009900"/>
                    </a:xfrm>
                    <a:prstGeom prst="rect">
                      <a:avLst/>
                    </a:prstGeom>
                    <a:noFill/>
                  </pic:spPr>
                </pic:pic>
              </a:graphicData>
            </a:graphic>
          </wp:inline>
        </w:drawing>
      </w:r>
    </w:p>
    <w:p w14:paraId="45714EE9" w14:textId="0D20DFC7" w:rsidR="00B3792F" w:rsidRPr="00027624" w:rsidRDefault="00B3792F" w:rsidP="00B3792F">
      <w:pPr>
        <w:pStyle w:val="ChartorTableNote"/>
      </w:pPr>
      <w:r w:rsidRPr="00027624">
        <w:t>Note: Superannuation balances are in 2017</w:t>
      </w:r>
      <w:r w:rsidR="00A8443E" w:rsidRPr="00027624">
        <w:noBreakHyphen/>
      </w:r>
      <w:r w:rsidRPr="00027624">
        <w:t xml:space="preserve">18 dollars. Results are equivalised. Equivalised means that the results are adjusted for household size. Calculations include those with zero balances. Age is determined by the reference person for the household. The significant difference in the median and average superannuation balances for people with disability shows that there are significant outliers in these cohorts, as suggested by the distributions in </w:t>
      </w:r>
      <w:r w:rsidRPr="00027624">
        <w:fldChar w:fldCharType="begin"/>
      </w:r>
      <w:r w:rsidRPr="00027624">
        <w:instrText xml:space="preserve"> REF _Ref38555313 \r \h  \* MERGEFORMAT </w:instrText>
      </w:r>
      <w:r w:rsidRPr="00027624">
        <w:fldChar w:fldCharType="separate"/>
      </w:r>
      <w:r w:rsidR="00891058">
        <w:t>Chart 3G-2</w:t>
      </w:r>
      <w:r w:rsidRPr="00027624">
        <w:fldChar w:fldCharType="end"/>
      </w:r>
      <w:r w:rsidRPr="00027624">
        <w:t xml:space="preserve">. Source: </w:t>
      </w:r>
      <w:r w:rsidR="00C20BE9" w:rsidRPr="00027624">
        <w:t>Analysis of ABS Survey of Income and Housing Confidentialised Unit Record File, 2017-18.</w:t>
      </w:r>
    </w:p>
    <w:p w14:paraId="26ED14A4" w14:textId="77777777" w:rsidR="00B3792F" w:rsidRPr="00027624" w:rsidRDefault="00B3792F" w:rsidP="00B3792F">
      <w:pPr>
        <w:pStyle w:val="Heading3"/>
      </w:pPr>
      <w:bookmarkStart w:id="3659" w:name="_Toc40366219"/>
      <w:bookmarkStart w:id="3660" w:name="_Toc40369765"/>
      <w:bookmarkStart w:id="3661" w:name="_Toc40427921"/>
      <w:bookmarkStart w:id="3662" w:name="_Toc40458176"/>
      <w:bookmarkStart w:id="3663" w:name="_Toc40461945"/>
      <w:bookmarkStart w:id="3664" w:name="_Toc40474500"/>
      <w:bookmarkStart w:id="3665" w:name="_Toc40478029"/>
      <w:bookmarkStart w:id="3666" w:name="_Toc40521609"/>
      <w:bookmarkStart w:id="3667" w:name="_Toc40530468"/>
      <w:bookmarkStart w:id="3668" w:name="_Toc42778895"/>
      <w:bookmarkStart w:id="3669" w:name="_Toc42780035"/>
      <w:bookmarkStart w:id="3670" w:name="_Toc42780464"/>
      <w:bookmarkStart w:id="3671" w:name="_Toc42786454"/>
      <w:bookmarkStart w:id="3672" w:name="_Toc42791947"/>
      <w:bookmarkStart w:id="3673" w:name="_Toc42792109"/>
      <w:bookmarkStart w:id="3674" w:name="_Toc43117916"/>
      <w:bookmarkStart w:id="3675" w:name="_Toc43121555"/>
      <w:bookmarkStart w:id="3676" w:name="_Toc43122760"/>
      <w:bookmarkStart w:id="3677" w:name="_Toc43127815"/>
      <w:r w:rsidRPr="00027624">
        <w:t>Private savings and home ownership</w:t>
      </w:r>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p>
    <w:p w14:paraId="703DA2CE" w14:textId="77777777" w:rsidR="00B3792F" w:rsidRPr="00027624" w:rsidRDefault="00B3792F" w:rsidP="00B3792F">
      <w:r w:rsidRPr="00027624">
        <w:rPr>
          <w:b/>
          <w:bCs/>
        </w:rPr>
        <w:t>People with disability in retirement have lower average wealth, and lower home ownership rates, compared with the total retired population</w:t>
      </w:r>
      <w:r w:rsidRPr="00027624">
        <w:rPr>
          <w:b/>
        </w:rPr>
        <w:t>.</w:t>
      </w:r>
      <w:r w:rsidRPr="00027624">
        <w:t xml:space="preserve"> On average, people with disability in retirement have lower value homes and less wealth in financial assets, investment properties and superannuation. People with a mild or moderate core activity limitation have 82 per cent of the average equivalised household wealth held by the total population. For</w:t>
      </w:r>
      <w:r w:rsidRPr="00027624" w:rsidDel="00BC5AAE">
        <w:t xml:space="preserve"> </w:t>
      </w:r>
      <w:r w:rsidRPr="00027624">
        <w:t>people with a profound or severe core activity limitation, the comparable figure is 72 per cent.</w:t>
      </w:r>
      <w:r w:rsidRPr="00027624">
        <w:rPr>
          <w:rStyle w:val="FootnoteReference"/>
        </w:rPr>
        <w:footnoteReference w:id="226"/>
      </w:r>
      <w:r w:rsidRPr="00027624">
        <w:t xml:space="preserve"> </w:t>
      </w:r>
      <w:bookmarkStart w:id="3678" w:name="_Ref34909674"/>
      <w:bookmarkEnd w:id="3678"/>
    </w:p>
    <w:p w14:paraId="079BA0C4" w14:textId="3F848B74" w:rsidR="00B3792F" w:rsidRPr="00027624" w:rsidRDefault="00B3792F" w:rsidP="00B3792F">
      <w:r w:rsidRPr="00027624">
        <w:rPr>
          <w:b/>
          <w:bCs/>
        </w:rPr>
        <w:t>People with disability aged 65 and over, particularly people with a profound or severe core activity limitation, are more likely to rent than the total retired popu</w:t>
      </w:r>
      <w:r w:rsidRPr="00027624">
        <w:rPr>
          <w:b/>
        </w:rPr>
        <w:t xml:space="preserve">lation </w:t>
      </w:r>
      <w:r w:rsidRPr="00027624">
        <w:t>(</w:t>
      </w:r>
      <w:r w:rsidRPr="00027624">
        <w:fldChar w:fldCharType="begin"/>
      </w:r>
      <w:r w:rsidRPr="00027624">
        <w:instrText xml:space="preserve"> REF _Ref35426898 \r \h  \* MERGEFORMAT </w:instrText>
      </w:r>
      <w:r w:rsidRPr="00027624">
        <w:fldChar w:fldCharType="separate"/>
      </w:r>
      <w:r w:rsidR="00891058">
        <w:t>Chart 3G-4</w:t>
      </w:r>
      <w:r w:rsidRPr="00027624">
        <w:fldChar w:fldCharType="end"/>
      </w:r>
      <w:r w:rsidRPr="00027624">
        <w:t xml:space="preserve">) (see </w:t>
      </w:r>
      <w:r w:rsidRPr="00027624">
        <w:rPr>
          <w:i/>
        </w:rPr>
        <w:t>2A. Achieving a minimum standard of living in retirement</w:t>
      </w:r>
      <w:r w:rsidRPr="00027624">
        <w:t xml:space="preserve"> for analysis of the retirement outcomes for renters). </w:t>
      </w:r>
    </w:p>
    <w:p w14:paraId="78733047" w14:textId="77777777" w:rsidR="00B3792F" w:rsidRPr="00027624" w:rsidRDefault="00B3792F" w:rsidP="00582C3E">
      <w:pPr>
        <w:pStyle w:val="ChartMainHeading"/>
      </w:pPr>
      <w:bookmarkStart w:id="3679" w:name="_Ref34910523"/>
      <w:bookmarkStart w:id="3680" w:name="_Ref35426898"/>
      <w:bookmarkEnd w:id="3679"/>
      <w:r w:rsidRPr="00027624">
        <w:lastRenderedPageBreak/>
        <w:t>Housing tenure for people aged 65 and over, by disability status</w:t>
      </w:r>
      <w:bookmarkEnd w:id="3680"/>
    </w:p>
    <w:p w14:paraId="76101305" w14:textId="77777777" w:rsidR="00B3792F" w:rsidRPr="00027624" w:rsidRDefault="00562B99" w:rsidP="00B3792F">
      <w:pPr>
        <w:pStyle w:val="ChartGraphic"/>
      </w:pPr>
      <w:r>
        <w:rPr>
          <w:noProof/>
        </w:rPr>
        <w:drawing>
          <wp:inline distT="0" distB="0" distL="0" distR="0" wp14:anchorId="6E3B5218" wp14:editId="74C96611">
            <wp:extent cx="5577840" cy="2529840"/>
            <wp:effectExtent l="0" t="0" r="3810" b="3810"/>
            <wp:docPr id="2099192801" name="Picture 2099192801" descr="This chart shows people with disability aged 65 and over, particularly people with a profound or severe core activity limitation, are more likely to rent than those with no reported disability and those with moderate or mild core activity limitation. The chart also shows over 70 per cent of people aged 65 and over with a profound or severe core activity limitation are home owners with or without a mortgage, compared with around 85 per cent of people aged 65 and over with no reported disability." title="Chart 3G-4 Housing tenure for people aged 65 and over, by disabil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61B69123" w14:textId="77777777" w:rsidR="00B3792F" w:rsidRPr="00027624" w:rsidRDefault="00B3792F" w:rsidP="00AD6771">
      <w:pPr>
        <w:pStyle w:val="ChartorTableNote"/>
        <w:spacing w:after="120"/>
      </w:pPr>
      <w:r w:rsidRPr="00027624">
        <w:t xml:space="preserve">Note: 2018 data. Source: </w:t>
      </w:r>
      <w:sdt>
        <w:sdtPr>
          <w:id w:val="1756930507"/>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w:t>
      </w:r>
    </w:p>
    <w:p w14:paraId="33EAE254" w14:textId="77777777" w:rsidR="00B3792F" w:rsidRPr="00027624" w:rsidRDefault="00B3792F" w:rsidP="00AD6771">
      <w:pPr>
        <w:pStyle w:val="Heading3"/>
        <w:spacing w:before="200"/>
      </w:pPr>
      <w:bookmarkStart w:id="3681" w:name="_Toc40366220"/>
      <w:bookmarkStart w:id="3682" w:name="_Toc40369766"/>
      <w:bookmarkStart w:id="3683" w:name="_Toc40427922"/>
      <w:bookmarkStart w:id="3684" w:name="_Toc40458177"/>
      <w:bookmarkStart w:id="3685" w:name="_Toc40461946"/>
      <w:bookmarkStart w:id="3686" w:name="_Toc40474501"/>
      <w:bookmarkStart w:id="3687" w:name="_Toc40478030"/>
      <w:bookmarkStart w:id="3688" w:name="_Toc40521610"/>
      <w:bookmarkStart w:id="3689" w:name="_Toc40530469"/>
      <w:bookmarkStart w:id="3690" w:name="_Toc42778896"/>
      <w:bookmarkStart w:id="3691" w:name="_Toc42780036"/>
      <w:bookmarkStart w:id="3692" w:name="_Toc42780465"/>
      <w:bookmarkStart w:id="3693" w:name="_Toc42786455"/>
      <w:bookmarkStart w:id="3694" w:name="_Toc42791948"/>
      <w:bookmarkStart w:id="3695" w:name="_Toc42792110"/>
      <w:bookmarkStart w:id="3696" w:name="_Toc43117917"/>
      <w:bookmarkStart w:id="3697" w:name="_Toc43121556"/>
      <w:bookmarkStart w:id="3698" w:name="_Toc43122761"/>
      <w:bookmarkStart w:id="3699" w:name="_Toc43127816"/>
      <w:r w:rsidRPr="00027624">
        <w:t>Income inequality in retirement compared to working life</w:t>
      </w:r>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p>
    <w:p w14:paraId="54F97898" w14:textId="4C603C12" w:rsidR="00B3792F" w:rsidRPr="00027624" w:rsidRDefault="00B3792F" w:rsidP="00B3792F">
      <w:r w:rsidRPr="00027624">
        <w:t>Compared with working life (</w:t>
      </w:r>
      <w:r w:rsidRPr="00027624">
        <w:fldChar w:fldCharType="begin"/>
      </w:r>
      <w:r w:rsidRPr="00027624">
        <w:instrText xml:space="preserve"> REF _Ref38555313 \r \h  \* MERGEFORMAT </w:instrText>
      </w:r>
      <w:r w:rsidRPr="00027624">
        <w:fldChar w:fldCharType="separate"/>
      </w:r>
      <w:r w:rsidR="00891058">
        <w:t>Chart 3G-2</w:t>
      </w:r>
      <w:r w:rsidRPr="00027624">
        <w:fldChar w:fldCharType="end"/>
      </w:r>
      <w:r w:rsidRPr="00027624">
        <w:t xml:space="preserve">), </w:t>
      </w:r>
      <w:r w:rsidRPr="00027624">
        <w:rPr>
          <w:b/>
          <w:bCs/>
        </w:rPr>
        <w:t>income inequality between people with and without disability reduces in retirement due to the Age Pension</w:t>
      </w:r>
      <w:r w:rsidRPr="00027624">
        <w:t>.</w:t>
      </w:r>
      <w:r w:rsidRPr="00027624">
        <w:rPr>
          <w:rStyle w:val="FootnoteReference"/>
        </w:rPr>
        <w:footnoteReference w:id="227"/>
      </w:r>
      <w:r w:rsidRPr="00027624">
        <w:t xml:space="preserve"> Although people with disability aged 65 and over are likely to have lower incomes than people with no disability, the difference is smaller than in working life (</w:t>
      </w:r>
      <w:r w:rsidRPr="00027624">
        <w:fldChar w:fldCharType="begin"/>
      </w:r>
      <w:r w:rsidRPr="00027624">
        <w:instrText xml:space="preserve"> REF _Ref35426992 \r \h  \* MERGEFORMAT </w:instrText>
      </w:r>
      <w:r w:rsidRPr="00027624">
        <w:fldChar w:fldCharType="separate"/>
      </w:r>
      <w:r w:rsidR="00891058">
        <w:t>Chart 3G-5</w:t>
      </w:r>
      <w:r w:rsidRPr="00027624">
        <w:fldChar w:fldCharType="end"/>
      </w:r>
      <w:r w:rsidRPr="00027624">
        <w:t xml:space="preserve">). In 2018, the median weekly household income of people aged 65 and over with disability was $448, compared with $479 for people with no reported disability 65 and over. Government payments were the main source of income for 68 per cent of people with disability aged 65 and over, compared with 47 per cent of people with no disability </w:t>
      </w:r>
      <w:sdt>
        <w:sdtPr>
          <w:id w:val="-98651708"/>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w:t>
      </w:r>
      <w:r w:rsidRPr="00027624" w:rsidDel="001F79C7">
        <w:rPr>
          <w:rStyle w:val="FootnoteReference"/>
        </w:rPr>
        <w:t xml:space="preserve"> </w:t>
      </w:r>
    </w:p>
    <w:p w14:paraId="01945563" w14:textId="77777777" w:rsidR="00B3792F" w:rsidRPr="00027624" w:rsidRDefault="00B3792F" w:rsidP="00582C3E">
      <w:pPr>
        <w:pStyle w:val="ChartMainHeading"/>
      </w:pPr>
      <w:bookmarkStart w:id="3700" w:name="_Ref34910918"/>
      <w:bookmarkStart w:id="3701" w:name="_Ref35426992"/>
      <w:bookmarkEnd w:id="3700"/>
      <w:r w:rsidRPr="00027624">
        <w:t>Income distribution for households aged 65 and over, by disability status</w:t>
      </w:r>
      <w:bookmarkEnd w:id="3701"/>
    </w:p>
    <w:p w14:paraId="329C553D" w14:textId="77777777" w:rsidR="00B3792F" w:rsidRPr="00027624" w:rsidRDefault="00646C85" w:rsidP="00B3792F">
      <w:pPr>
        <w:pStyle w:val="ChartGraphic"/>
      </w:pPr>
      <w:r>
        <w:rPr>
          <w:noProof/>
        </w:rPr>
        <w:drawing>
          <wp:inline distT="0" distB="0" distL="0" distR="0" wp14:anchorId="6D5D840C" wp14:editId="379FB386">
            <wp:extent cx="5577840" cy="2529840"/>
            <wp:effectExtent l="0" t="0" r="3810" b="3810"/>
            <wp:docPr id="983014695" name="Picture 983014695" descr="This chart shows among households aged 65 and over the more severe the disability, the more likely the household is to have a lower income. Around 30 per cent of households aged 65 and over with no reported disability are in the lowest income quintile, compared with around 35 per cent of households aged 65 and over with a profound or severe core activity limitation." title="Chart 3G-5 Income distribution for households aged 65 and over, by disabil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327EC753" w14:textId="77777777" w:rsidR="00B3792F" w:rsidRPr="00027624" w:rsidRDefault="00B3792F" w:rsidP="00B3792F">
      <w:pPr>
        <w:pStyle w:val="ChartorTableNote"/>
      </w:pPr>
      <w:r w:rsidRPr="00027624">
        <w:t xml:space="preserve">Note: 2018 data. Quintiles are based on equivalised gross household income. Equivalised means that the results are adjusted for household size. Source: </w:t>
      </w:r>
      <w:sdt>
        <w:sdtPr>
          <w:id w:val="-833144532"/>
          <w:citation/>
        </w:sdtPr>
        <w:sdtEndPr/>
        <w:sdtContent>
          <w:r w:rsidRPr="00027624">
            <w:fldChar w:fldCharType="begin"/>
          </w:r>
          <w:r w:rsidRPr="00027624">
            <w:instrText xml:space="preserve">CITATION ABS9j \l 3081 </w:instrText>
          </w:r>
          <w:r w:rsidRPr="00027624">
            <w:fldChar w:fldCharType="separate"/>
          </w:r>
          <w:r w:rsidR="00E83F6E">
            <w:rPr>
              <w:noProof/>
            </w:rPr>
            <w:t>(ABS, 2019g)</w:t>
          </w:r>
          <w:r w:rsidRPr="00027624">
            <w:fldChar w:fldCharType="end"/>
          </w:r>
        </w:sdtContent>
      </w:sdt>
      <w:r w:rsidRPr="00027624">
        <w:t>.</w:t>
      </w:r>
    </w:p>
    <w:p w14:paraId="44B1890A" w14:textId="77777777" w:rsidR="00B3792F" w:rsidRPr="00027624" w:rsidRDefault="00B3792F" w:rsidP="00AD6771">
      <w:pPr>
        <w:spacing w:after="0"/>
      </w:pPr>
      <w:r w:rsidRPr="00027624">
        <w:t xml:space="preserve">As superannuation becomes a growing proportion of retirement income for people without disability, this narrowing in income inequality in retirement may diminish. </w:t>
      </w:r>
    </w:p>
    <w:p w14:paraId="69E32A92" w14:textId="77777777" w:rsidR="00B3792F" w:rsidRPr="00027624" w:rsidRDefault="00B3792F" w:rsidP="00B3792F">
      <w:pPr>
        <w:pStyle w:val="Heading2"/>
      </w:pPr>
      <w:bookmarkStart w:id="3702" w:name="_Toc40366221"/>
      <w:bookmarkStart w:id="3703" w:name="_Toc40369767"/>
      <w:bookmarkStart w:id="3704" w:name="_Toc40427923"/>
      <w:bookmarkStart w:id="3705" w:name="_Toc40458178"/>
      <w:bookmarkStart w:id="3706" w:name="_Toc40461947"/>
      <w:bookmarkStart w:id="3707" w:name="_Toc40474502"/>
      <w:bookmarkStart w:id="3708" w:name="_Toc40478031"/>
      <w:bookmarkStart w:id="3709" w:name="_Toc40521611"/>
      <w:bookmarkStart w:id="3710" w:name="_Toc40530470"/>
      <w:bookmarkStart w:id="3711" w:name="_Toc42778897"/>
      <w:bookmarkStart w:id="3712" w:name="_Toc42780037"/>
      <w:bookmarkStart w:id="3713" w:name="_Toc42780466"/>
      <w:bookmarkStart w:id="3714" w:name="_Toc42786456"/>
      <w:bookmarkStart w:id="3715" w:name="_Toc42791949"/>
      <w:bookmarkStart w:id="3716" w:name="_Toc42792111"/>
      <w:bookmarkStart w:id="3717" w:name="_Toc43117918"/>
      <w:bookmarkStart w:id="3718" w:name="_Toc43121557"/>
      <w:bookmarkStart w:id="3719" w:name="_Toc43122762"/>
      <w:bookmarkStart w:id="3720" w:name="_Toc43127817"/>
      <w:bookmarkStart w:id="3721" w:name="_Toc45520529"/>
      <w:bookmarkStart w:id="3722" w:name="_Toc46133641"/>
      <w:r w:rsidRPr="00027624">
        <w:lastRenderedPageBreak/>
        <w:t>Poverty and financial stress</w:t>
      </w:r>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p>
    <w:p w14:paraId="4AE514C8" w14:textId="77777777" w:rsidR="00B3792F" w:rsidRPr="00027624" w:rsidRDefault="00B3792F" w:rsidP="00B3792F">
      <w:pPr>
        <w:pStyle w:val="Heading3"/>
      </w:pPr>
      <w:bookmarkStart w:id="3723" w:name="_Toc42778898"/>
      <w:bookmarkStart w:id="3724" w:name="_Toc42780038"/>
      <w:bookmarkStart w:id="3725" w:name="_Toc42780467"/>
      <w:bookmarkStart w:id="3726" w:name="_Toc42786457"/>
      <w:bookmarkStart w:id="3727" w:name="_Toc43117919"/>
      <w:bookmarkStart w:id="3728" w:name="_Toc43121558"/>
      <w:bookmarkStart w:id="3729" w:name="_Toc43122763"/>
      <w:bookmarkStart w:id="3730" w:name="_Toc43127818"/>
      <w:bookmarkStart w:id="3731" w:name="_Toc42791950"/>
      <w:bookmarkStart w:id="3732" w:name="_Toc42792112"/>
      <w:r w:rsidRPr="00027624">
        <w:t>Rates of poverty and financial stress</w:t>
      </w:r>
      <w:bookmarkEnd w:id="3723"/>
      <w:bookmarkEnd w:id="3724"/>
      <w:bookmarkEnd w:id="3725"/>
      <w:bookmarkEnd w:id="3726"/>
      <w:bookmarkEnd w:id="3727"/>
      <w:bookmarkEnd w:id="3728"/>
      <w:bookmarkEnd w:id="3729"/>
      <w:bookmarkEnd w:id="3730"/>
    </w:p>
    <w:bookmarkEnd w:id="3731"/>
    <w:bookmarkEnd w:id="3732"/>
    <w:p w14:paraId="515B0C28" w14:textId="046789CE" w:rsidR="00B3792F" w:rsidRPr="00027624" w:rsidRDefault="00B3792F" w:rsidP="00B3792F">
      <w:pPr>
        <w:spacing w:after="0"/>
        <w:rPr>
          <w:i/>
        </w:rPr>
      </w:pPr>
      <w:r w:rsidRPr="00027624" w:rsidDel="009C2275">
        <w:t>P</w:t>
      </w:r>
      <w:r w:rsidRPr="00027624">
        <w:t xml:space="preserve">overty and financial stress rates for people with disability in retirement (14 per cent and 11 per cent in poverty and financial stress, respectively) are very similar to average poverty rates for the total retired population (see </w:t>
      </w:r>
      <w:r w:rsidRPr="00027624">
        <w:rPr>
          <w:i/>
        </w:rPr>
        <w:t>2A. Achieving a minimum standard of living in retirement</w:t>
      </w:r>
      <w:r w:rsidRPr="00027624">
        <w:t>). People with a profound or severe core activity limitation in retirement have marginally higher rates of financial stress than the total population, at around 15 per cent.</w:t>
      </w:r>
      <w:r w:rsidRPr="00027624">
        <w:rPr>
          <w:vertAlign w:val="superscript"/>
        </w:rPr>
        <w:footnoteReference w:id="228"/>
      </w:r>
      <w:r w:rsidRPr="00027624">
        <w:t xml:space="preserve"> </w:t>
      </w:r>
      <w:bookmarkStart w:id="3733" w:name="_Ref34912385"/>
      <w:bookmarkEnd w:id="3733"/>
      <w:r w:rsidRPr="00027624">
        <w:t>However, those with a profound or severe core activity limitation experience lower rates of financial stress in retirement, compared to in working life (</w:t>
      </w:r>
      <w:r w:rsidRPr="00027624">
        <w:fldChar w:fldCharType="begin"/>
      </w:r>
      <w:r w:rsidRPr="00027624">
        <w:instrText xml:space="preserve"> REF _Ref35428012 \r \h  \* MERGEFORMAT </w:instrText>
      </w:r>
      <w:r w:rsidRPr="00027624">
        <w:fldChar w:fldCharType="separate"/>
      </w:r>
      <w:r w:rsidR="00891058">
        <w:t>Chart 3G-6</w:t>
      </w:r>
      <w:r w:rsidRPr="00027624">
        <w:fldChar w:fldCharType="end"/>
      </w:r>
      <w:r w:rsidRPr="00027624">
        <w:t xml:space="preserve">). </w:t>
      </w:r>
    </w:p>
    <w:p w14:paraId="2CEE29A8" w14:textId="77777777" w:rsidR="00B3792F" w:rsidRPr="00027624" w:rsidRDefault="00B3792F" w:rsidP="00B3792F">
      <w:r w:rsidRPr="00027624">
        <w:t>Renters with a profound or severe core activity limitation in retirement have higher rates of financial stress, but lower rates of income poverty, than the total renting population. The lower rates of income poverty may be explained by the larger proportion of people with a profound or severe core activity limitation who have rent</w:t>
      </w:r>
      <w:r w:rsidR="00A8443E" w:rsidRPr="00027624">
        <w:noBreakHyphen/>
      </w:r>
      <w:r w:rsidRPr="00027624">
        <w:t xml:space="preserve">free living arrangements, or who rent through public housing (13 per cent, compared to 6 per cent for the total retiree population) </w:t>
      </w:r>
      <w:sdt>
        <w:sdtPr>
          <w:id w:val="-1703086326"/>
          <w:citation/>
        </w:sdtPr>
        <w:sdtEndPr/>
        <w:sdtContent>
          <w:r w:rsidRPr="00027624">
            <w:fldChar w:fldCharType="begin"/>
          </w:r>
          <w:r w:rsidRPr="00027624">
            <w:instrText xml:space="preserve"> CITATION ABS9j \l 3081 </w:instrText>
          </w:r>
          <w:r w:rsidRPr="00027624">
            <w:fldChar w:fldCharType="separate"/>
          </w:r>
          <w:r w:rsidR="00E83F6E">
            <w:rPr>
              <w:noProof/>
            </w:rPr>
            <w:t>(ABS, 2019g)</w:t>
          </w:r>
          <w:r w:rsidRPr="00027624">
            <w:fldChar w:fldCharType="end"/>
          </w:r>
        </w:sdtContent>
      </w:sdt>
      <w:r w:rsidRPr="00027624">
        <w:t>.</w:t>
      </w:r>
    </w:p>
    <w:p w14:paraId="47C0E4AD" w14:textId="77777777" w:rsidR="00B3792F" w:rsidRPr="00027624" w:rsidRDefault="00B3792F" w:rsidP="00582C3E">
      <w:pPr>
        <w:pStyle w:val="ChartMainHeading"/>
      </w:pPr>
      <w:bookmarkStart w:id="3734" w:name="_Ref34912653"/>
      <w:bookmarkStart w:id="3735" w:name="_Ref35428012"/>
      <w:bookmarkEnd w:id="3734"/>
      <w:r w:rsidRPr="00027624">
        <w:t>Proportion of people in financial stress, by disability status and age</w:t>
      </w:r>
      <w:bookmarkEnd w:id="3735"/>
      <w:r w:rsidRPr="00027624">
        <w:t xml:space="preserve"> </w:t>
      </w:r>
    </w:p>
    <w:p w14:paraId="4E11A819" w14:textId="77777777" w:rsidR="00B3792F" w:rsidRPr="00027624" w:rsidRDefault="00646C85" w:rsidP="00B3792F">
      <w:pPr>
        <w:pStyle w:val="ChartGraphic"/>
      </w:pPr>
      <w:r>
        <w:rPr>
          <w:noProof/>
        </w:rPr>
        <w:drawing>
          <wp:inline distT="0" distB="0" distL="0" distR="0" wp14:anchorId="04B6FC91" wp14:editId="7B03F4D4">
            <wp:extent cx="5577840" cy="2522220"/>
            <wp:effectExtent l="0" t="0" r="3810" b="0"/>
            <wp:docPr id="983014696" name="Picture 983014696" descr="This chart shows a higher proportion of people with a profound or severe core activity limitation are in financial stress than the total population between ages 25-29 and 65-69 – reaching over 60 per cent at ages 35-39. From around age 70 onwards, a similar proportion of people with a profound or severe core activity limitation are in financial stress to the total population, at around 10-15 per cent. " title="Chart 3G-6 Proportion of people in financial stress, by disability status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66AAC76" w14:textId="77777777" w:rsidR="00B3792F" w:rsidRPr="00027624" w:rsidRDefault="00B3792F" w:rsidP="00B3792F">
      <w:pPr>
        <w:pStyle w:val="ChartorTableNote"/>
      </w:pPr>
      <w:r w:rsidRPr="00027624">
        <w:t>Note:</w:t>
      </w:r>
      <w:r w:rsidRPr="00027624" w:rsidDel="00BB79E2">
        <w:t xml:space="preserve"> </w:t>
      </w:r>
      <w:r w:rsidRPr="00027624">
        <w:t>2015</w:t>
      </w:r>
      <w:r w:rsidR="00A8443E" w:rsidRPr="00027624">
        <w:noBreakHyphen/>
      </w:r>
      <w:r w:rsidRPr="00027624">
        <w:t>16 data.</w:t>
      </w:r>
      <w:r w:rsidRPr="00027624" w:rsidDel="00BB79E2">
        <w:t xml:space="preserve"> </w:t>
      </w:r>
      <w:r w:rsidRPr="00027624">
        <w:t>Households with a profound and severe core activity limitation are determined by the status of the reference person for the household. Total population includes those with and without disability. Source: Analysis of ABS Household Expenditure Survey Confidentialised Unit Record File, 2015</w:t>
      </w:r>
      <w:r w:rsidR="00A8443E" w:rsidRPr="00027624">
        <w:noBreakHyphen/>
      </w:r>
      <w:r w:rsidRPr="00027624">
        <w:t>16.</w:t>
      </w:r>
    </w:p>
    <w:p w14:paraId="1566FB7E" w14:textId="77777777" w:rsidR="00B3792F" w:rsidRPr="00027624" w:rsidRDefault="00B3792F" w:rsidP="00B3792F">
      <w:pPr>
        <w:pStyle w:val="Heading3"/>
      </w:pPr>
      <w:bookmarkStart w:id="3736" w:name="_Toc40366224"/>
      <w:bookmarkStart w:id="3737" w:name="_Toc40369770"/>
      <w:bookmarkStart w:id="3738" w:name="_Toc40427926"/>
      <w:bookmarkStart w:id="3739" w:name="_Toc40458181"/>
      <w:bookmarkStart w:id="3740" w:name="_Toc40461950"/>
      <w:bookmarkStart w:id="3741" w:name="_Toc40474505"/>
      <w:bookmarkStart w:id="3742" w:name="_Toc40478034"/>
      <w:bookmarkStart w:id="3743" w:name="_Toc40521614"/>
      <w:bookmarkStart w:id="3744" w:name="_Toc40530473"/>
      <w:bookmarkStart w:id="3745" w:name="_Toc42778899"/>
      <w:bookmarkStart w:id="3746" w:name="_Toc42780039"/>
      <w:bookmarkStart w:id="3747" w:name="_Toc42780468"/>
      <w:bookmarkStart w:id="3748" w:name="_Toc42786458"/>
      <w:bookmarkStart w:id="3749" w:name="_Toc42791951"/>
      <w:bookmarkStart w:id="3750" w:name="_Toc42792113"/>
      <w:bookmarkStart w:id="3751" w:name="_Toc43117920"/>
      <w:bookmarkStart w:id="3752" w:name="_Toc43121559"/>
      <w:bookmarkStart w:id="3753" w:name="_Toc43122764"/>
      <w:bookmarkStart w:id="3754" w:name="_Toc43127819"/>
      <w:r w:rsidRPr="00027624">
        <w:t>Expenditure in retirement</w:t>
      </w:r>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p>
    <w:p w14:paraId="2ACAD556" w14:textId="0E0B499C" w:rsidR="00B3792F" w:rsidRPr="00027624" w:rsidRDefault="00B3792F" w:rsidP="00B3792F">
      <w:r w:rsidRPr="00027624">
        <w:rPr>
          <w:b/>
          <w:bCs/>
        </w:rPr>
        <w:t>The median person aged 65 and over with disability has lower overall expenses than the median person aged 65 and over in the total population</w:t>
      </w:r>
      <w:r w:rsidRPr="00027624">
        <w:rPr>
          <w:b/>
        </w:rPr>
        <w:t xml:space="preserve">. </w:t>
      </w:r>
      <w:r w:rsidRPr="00027624">
        <w:t>In 2015</w:t>
      </w:r>
      <w:r w:rsidR="00A8443E" w:rsidRPr="00027624">
        <w:noBreakHyphen/>
      </w:r>
      <w:r w:rsidRPr="00027624">
        <w:t>16, the median expense on goods and services for households with a person with a profound or severe core activity limitation aged 65</w:t>
      </w:r>
      <w:r w:rsidR="00A8443E" w:rsidRPr="00027624">
        <w:noBreakHyphen/>
      </w:r>
      <w:r w:rsidRPr="00027624">
        <w:t>69 was $490 per week, compared with $706 per week for the total population. For those aged 80 and over, the median expense on goods and services for households with a person with a profound or severe core activity limitation was $402 per week, compared with $428 per week for the total population (</w:t>
      </w:r>
      <w:r w:rsidRPr="00027624">
        <w:fldChar w:fldCharType="begin"/>
      </w:r>
      <w:r w:rsidRPr="00027624">
        <w:instrText xml:space="preserve"> REF _Ref35428003 \r \h  \* MERGEFORMAT </w:instrText>
      </w:r>
      <w:r w:rsidRPr="00027624">
        <w:fldChar w:fldCharType="separate"/>
      </w:r>
      <w:r w:rsidR="00891058">
        <w:t>Chart 3G-7</w:t>
      </w:r>
      <w:r w:rsidRPr="00027624">
        <w:fldChar w:fldCharType="end"/>
      </w:r>
      <w:r w:rsidRPr="00027624">
        <w:t>).</w:t>
      </w:r>
    </w:p>
    <w:p w14:paraId="4266FF70" w14:textId="77777777" w:rsidR="00B3792F" w:rsidRPr="00027624" w:rsidRDefault="00B3792F" w:rsidP="00582C3E">
      <w:pPr>
        <w:pStyle w:val="ChartMainHeading"/>
      </w:pPr>
      <w:bookmarkStart w:id="3755" w:name="_Ref34913590"/>
      <w:bookmarkStart w:id="3756" w:name="_Ref35428003"/>
      <w:bookmarkEnd w:id="3755"/>
      <w:r w:rsidRPr="00027624">
        <w:lastRenderedPageBreak/>
        <w:t>Median weekly expenses on goods and services, by age and disability status</w:t>
      </w:r>
      <w:bookmarkEnd w:id="3756"/>
    </w:p>
    <w:tbl>
      <w:tblPr>
        <w:tblW w:w="5000" w:type="pct"/>
        <w:tblLook w:val="01E0" w:firstRow="1" w:lastRow="1" w:firstColumn="1" w:lastColumn="1" w:noHBand="0" w:noVBand="0"/>
      </w:tblPr>
      <w:tblGrid>
        <w:gridCol w:w="4535"/>
        <w:gridCol w:w="4535"/>
      </w:tblGrid>
      <w:tr w:rsidR="00B3792F" w:rsidRPr="00027624" w14:paraId="34141714" w14:textId="77777777" w:rsidTr="00B3792F">
        <w:tc>
          <w:tcPr>
            <w:tcW w:w="2500" w:type="pct"/>
          </w:tcPr>
          <w:p w14:paraId="04623233" w14:textId="77777777" w:rsidR="00B3792F" w:rsidRPr="00027624" w:rsidRDefault="00B3792F" w:rsidP="00B3792F">
            <w:pPr>
              <w:pStyle w:val="ChartSecondHeading"/>
            </w:pPr>
            <w:r w:rsidRPr="00027624">
              <w:t>Age 65</w:t>
            </w:r>
            <w:r w:rsidR="00A8443E" w:rsidRPr="00027624">
              <w:noBreakHyphen/>
            </w:r>
            <w:r w:rsidRPr="00027624">
              <w:t>69</w:t>
            </w:r>
          </w:p>
        </w:tc>
        <w:tc>
          <w:tcPr>
            <w:tcW w:w="2500" w:type="pct"/>
          </w:tcPr>
          <w:p w14:paraId="462C7F15" w14:textId="77777777" w:rsidR="00B3792F" w:rsidRPr="00027624" w:rsidRDefault="00B3792F" w:rsidP="00B3792F">
            <w:pPr>
              <w:pStyle w:val="ChartSecondHeading"/>
            </w:pPr>
            <w:r w:rsidRPr="00027624">
              <w:t>Age 80 and over</w:t>
            </w:r>
          </w:p>
        </w:tc>
      </w:tr>
    </w:tbl>
    <w:p w14:paraId="01C63AED" w14:textId="77777777" w:rsidR="00B3792F" w:rsidRPr="00027624" w:rsidRDefault="000169E2" w:rsidP="000169E2">
      <w:pPr>
        <w:pStyle w:val="ChartGraphic"/>
        <w:jc w:val="left"/>
      </w:pPr>
      <w:r>
        <w:rPr>
          <w:noProof/>
        </w:rPr>
        <w:drawing>
          <wp:inline distT="0" distB="0" distL="0" distR="0" wp14:anchorId="61D46505" wp14:editId="2C346256">
            <wp:extent cx="2861310" cy="2861310"/>
            <wp:effectExtent l="0" t="0" r="0" b="0"/>
            <wp:docPr id="983014697" name="Picture 983014697" descr="This chart shows people aged 65-69 with a profound or severe core activity limitation have lower median weekly expenses across all types of goods and services, except furnishings. " title="Chart 3G-7 Median weekly expenses on goods and services, by age and disability status - age 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61310" cy="2861310"/>
                    </a:xfrm>
                    <a:prstGeom prst="rect">
                      <a:avLst/>
                    </a:prstGeom>
                    <a:noFill/>
                  </pic:spPr>
                </pic:pic>
              </a:graphicData>
            </a:graphic>
          </wp:inline>
        </w:drawing>
      </w:r>
      <w:r>
        <w:rPr>
          <w:noProof/>
        </w:rPr>
        <w:drawing>
          <wp:inline distT="0" distB="0" distL="0" distR="0" wp14:anchorId="70AD37D5" wp14:editId="4043E83B">
            <wp:extent cx="2887980" cy="2880360"/>
            <wp:effectExtent l="0" t="0" r="7620" b="0"/>
            <wp:docPr id="983014698" name="Picture 983014698" descr="This chart shows people aged 80 and over with a profound or severe core activity limitation have higher median weekly expenses in about half of the types of goods and services, while lower median weekly expenses in about half of the types of goods and services." title="Chart 3G-7 Median weekly expenses on goods and services, by age and disability status - age 80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87980" cy="2880360"/>
                    </a:xfrm>
                    <a:prstGeom prst="rect">
                      <a:avLst/>
                    </a:prstGeom>
                    <a:noFill/>
                  </pic:spPr>
                </pic:pic>
              </a:graphicData>
            </a:graphic>
          </wp:inline>
        </w:drawing>
      </w:r>
    </w:p>
    <w:p w14:paraId="2CCF55B7" w14:textId="77777777" w:rsidR="00B3792F" w:rsidRPr="00027624" w:rsidRDefault="00B3792F" w:rsidP="00B3792F">
      <w:pPr>
        <w:pStyle w:val="ChartorTableNote"/>
      </w:pPr>
      <w:r w:rsidRPr="00027624">
        <w:t>Note:</w:t>
      </w:r>
      <w:r w:rsidRPr="00027624" w:rsidDel="00BB79E2">
        <w:t xml:space="preserve"> </w:t>
      </w:r>
      <w:r w:rsidRPr="00027624">
        <w:t>2015</w:t>
      </w:r>
      <w:r w:rsidR="00A8443E" w:rsidRPr="00027624">
        <w:noBreakHyphen/>
      </w:r>
      <w:r w:rsidRPr="00027624">
        <w:t>16 data.</w:t>
      </w:r>
      <w:r w:rsidRPr="00027624" w:rsidDel="00BB79E2">
        <w:t xml:space="preserve"> </w:t>
      </w:r>
      <w:r w:rsidRPr="00027624">
        <w:t>Expenditure has been inflated to 2019 dollars by CPI. Households with a profound and severe core activity limitation are determined by the status of the reference person for the household. Total population includes people with and without disability. Source: Analysis of ABS Household Expenditure Survey Confidentialised Unit Record File, 2015</w:t>
      </w:r>
      <w:r w:rsidR="00A8443E" w:rsidRPr="00027624">
        <w:noBreakHyphen/>
      </w:r>
      <w:r w:rsidRPr="00027624">
        <w:t>16.</w:t>
      </w:r>
    </w:p>
    <w:p w14:paraId="29180921" w14:textId="2437C05E" w:rsidR="00B3792F" w:rsidRPr="00027624" w:rsidRDefault="00B3792F" w:rsidP="00B3792F">
      <w:pPr>
        <w:rPr>
          <w:strike/>
        </w:rPr>
      </w:pPr>
      <w:r w:rsidRPr="00027624">
        <w:t>The median person aged 65 and over with a profound or severe core activity limitation also spends less on goods and services, as a proportion of their income, compared with the total population aged 65 and over (</w:t>
      </w:r>
      <w:r w:rsidRPr="00027624">
        <w:fldChar w:fldCharType="begin"/>
      </w:r>
      <w:r w:rsidRPr="00027624">
        <w:instrText xml:space="preserve"> REF _Ref35428040 \r \h  \* MERGEFORMAT </w:instrText>
      </w:r>
      <w:r w:rsidRPr="00027624">
        <w:fldChar w:fldCharType="separate"/>
      </w:r>
      <w:r w:rsidR="00891058">
        <w:t>Table 3G-1</w:t>
      </w:r>
      <w:r w:rsidRPr="00027624">
        <w:fldChar w:fldCharType="end"/>
      </w:r>
      <w:r w:rsidRPr="00027624">
        <w:t>). The acquisition of disabilities at older ages may explain part of why older retirees, in aggregate, spend less than younger retirees.</w:t>
      </w:r>
    </w:p>
    <w:p w14:paraId="1A22F196" w14:textId="77777777" w:rsidR="00B3792F" w:rsidRPr="00027624" w:rsidRDefault="00B3792F" w:rsidP="00FC7361">
      <w:pPr>
        <w:pStyle w:val="TableMainHeading"/>
        <w:numPr>
          <w:ilvl w:val="3"/>
          <w:numId w:val="72"/>
        </w:numPr>
      </w:pPr>
      <w:bookmarkStart w:id="3757" w:name="_Ref35428040"/>
      <w:r w:rsidRPr="00027624">
        <w:t>Median weekly expenses compared to median weekly disposable income, by age and disability status</w:t>
      </w:r>
      <w:bookmarkEnd w:id="3757"/>
    </w:p>
    <w:tbl>
      <w:tblPr>
        <w:tblW w:w="5000" w:type="pct"/>
        <w:tblLook w:val="01E0" w:firstRow="1" w:lastRow="1" w:firstColumn="1" w:lastColumn="1" w:noHBand="0" w:noVBand="0"/>
      </w:tblPr>
      <w:tblGrid>
        <w:gridCol w:w="1298"/>
        <w:gridCol w:w="1297"/>
        <w:gridCol w:w="1295"/>
        <w:gridCol w:w="1295"/>
        <w:gridCol w:w="1295"/>
        <w:gridCol w:w="1295"/>
        <w:gridCol w:w="1295"/>
      </w:tblGrid>
      <w:tr w:rsidR="00B3792F" w:rsidRPr="00027624" w14:paraId="25B33D49" w14:textId="77777777" w:rsidTr="00B3792F">
        <w:trPr>
          <w:trHeight w:val="270"/>
          <w:tblHeader/>
        </w:trPr>
        <w:tc>
          <w:tcPr>
            <w:tcW w:w="715" w:type="pct"/>
            <w:vMerge w:val="restart"/>
            <w:shd w:val="clear" w:color="auto" w:fill="E5E5E5"/>
          </w:tcPr>
          <w:p w14:paraId="499ABC9E" w14:textId="77777777" w:rsidR="00B3792F" w:rsidRPr="00027624" w:rsidRDefault="00B3792F" w:rsidP="00B3792F">
            <w:pPr>
              <w:pStyle w:val="TableColumnHeadingLeft"/>
            </w:pPr>
            <w:r w:rsidRPr="00027624">
              <w:t>Age</w:t>
            </w:r>
          </w:p>
          <w:p w14:paraId="5042CAEB" w14:textId="77777777" w:rsidR="00B3792F" w:rsidRPr="00027624" w:rsidRDefault="00B3792F" w:rsidP="00B3792F">
            <w:pPr>
              <w:pStyle w:val="TableColumnHeadingLeft"/>
            </w:pPr>
            <w:r w:rsidRPr="00027624">
              <w:t>(years)</w:t>
            </w:r>
          </w:p>
        </w:tc>
        <w:tc>
          <w:tcPr>
            <w:tcW w:w="2143" w:type="pct"/>
            <w:gridSpan w:val="3"/>
            <w:shd w:val="clear" w:color="auto" w:fill="E5E5E5"/>
          </w:tcPr>
          <w:p w14:paraId="2D6F8B30" w14:textId="77777777" w:rsidR="00B3792F" w:rsidRPr="00027624" w:rsidRDefault="00B3792F" w:rsidP="00B3792F">
            <w:pPr>
              <w:pStyle w:val="TableColumnHeadingCentred"/>
            </w:pPr>
            <w:r w:rsidRPr="00027624">
              <w:t>Profound or severe core activity limitation</w:t>
            </w:r>
          </w:p>
        </w:tc>
        <w:tc>
          <w:tcPr>
            <w:tcW w:w="2141" w:type="pct"/>
            <w:gridSpan w:val="3"/>
            <w:shd w:val="clear" w:color="auto" w:fill="E5E5E5"/>
          </w:tcPr>
          <w:p w14:paraId="2B3B86E8" w14:textId="77777777" w:rsidR="00B3792F" w:rsidRPr="00027624" w:rsidRDefault="00B3792F" w:rsidP="00B3792F">
            <w:pPr>
              <w:pStyle w:val="TableColumnHeadingCentred"/>
            </w:pPr>
            <w:r w:rsidRPr="00027624">
              <w:t>Total population</w:t>
            </w:r>
          </w:p>
        </w:tc>
      </w:tr>
      <w:tr w:rsidR="00B3792F" w:rsidRPr="00027624" w14:paraId="1371C1AF" w14:textId="77777777" w:rsidTr="00B3792F">
        <w:trPr>
          <w:trHeight w:val="270"/>
          <w:tblHeader/>
        </w:trPr>
        <w:tc>
          <w:tcPr>
            <w:tcW w:w="715" w:type="pct"/>
            <w:vMerge/>
            <w:shd w:val="clear" w:color="auto" w:fill="E5E5E5"/>
          </w:tcPr>
          <w:p w14:paraId="6842EC8A" w14:textId="77777777" w:rsidR="00B3792F" w:rsidRPr="00027624" w:rsidRDefault="00B3792F" w:rsidP="00B3792F">
            <w:pPr>
              <w:pStyle w:val="TableTextLeft"/>
            </w:pPr>
          </w:p>
        </w:tc>
        <w:tc>
          <w:tcPr>
            <w:tcW w:w="715" w:type="pct"/>
            <w:shd w:val="clear" w:color="auto" w:fill="E5E5E5"/>
          </w:tcPr>
          <w:p w14:paraId="6A794DDC" w14:textId="77777777" w:rsidR="00B3792F" w:rsidRPr="00027624" w:rsidRDefault="00B3792F" w:rsidP="00B3792F">
            <w:pPr>
              <w:pStyle w:val="TableColumnHeadingCentred"/>
            </w:pPr>
            <w:r w:rsidRPr="00027624">
              <w:t>Expenditure</w:t>
            </w:r>
          </w:p>
          <w:p w14:paraId="4AACE80F" w14:textId="77777777" w:rsidR="00B3792F" w:rsidRPr="00027624" w:rsidRDefault="00B3792F" w:rsidP="00B3792F">
            <w:pPr>
              <w:pStyle w:val="TableColumnHeadingCentred"/>
            </w:pPr>
            <w:r w:rsidRPr="00027624">
              <w:t xml:space="preserve">($) </w:t>
            </w:r>
          </w:p>
        </w:tc>
        <w:tc>
          <w:tcPr>
            <w:tcW w:w="714" w:type="pct"/>
            <w:shd w:val="clear" w:color="auto" w:fill="E5E5E5"/>
          </w:tcPr>
          <w:p w14:paraId="664F59F1" w14:textId="77777777" w:rsidR="00B3792F" w:rsidRPr="00027624" w:rsidRDefault="00B3792F" w:rsidP="00B3792F">
            <w:pPr>
              <w:pStyle w:val="TableColumnHeadingCentred"/>
            </w:pPr>
            <w:r w:rsidRPr="00027624">
              <w:t>Disposable income ($)</w:t>
            </w:r>
          </w:p>
        </w:tc>
        <w:tc>
          <w:tcPr>
            <w:tcW w:w="714" w:type="pct"/>
            <w:shd w:val="clear" w:color="auto" w:fill="E5E5E5"/>
          </w:tcPr>
          <w:p w14:paraId="0D3A723B" w14:textId="77777777" w:rsidR="00B3792F" w:rsidRPr="00027624" w:rsidRDefault="00B3792F" w:rsidP="00B3792F">
            <w:pPr>
              <w:pStyle w:val="TableColumnHeadingCentred"/>
            </w:pPr>
            <w:r w:rsidRPr="00027624">
              <w:t>Proportion of income spent (per cent)</w:t>
            </w:r>
          </w:p>
        </w:tc>
        <w:tc>
          <w:tcPr>
            <w:tcW w:w="714" w:type="pct"/>
            <w:shd w:val="clear" w:color="auto" w:fill="E5E5E5"/>
          </w:tcPr>
          <w:p w14:paraId="163D08B1" w14:textId="77777777" w:rsidR="00B3792F" w:rsidRPr="00027624" w:rsidRDefault="00B3792F" w:rsidP="00B3792F">
            <w:pPr>
              <w:pStyle w:val="TableColumnHeadingCentred"/>
            </w:pPr>
            <w:r w:rsidRPr="00027624">
              <w:t xml:space="preserve">Expenditure ($) </w:t>
            </w:r>
          </w:p>
        </w:tc>
        <w:tc>
          <w:tcPr>
            <w:tcW w:w="714" w:type="pct"/>
            <w:shd w:val="clear" w:color="auto" w:fill="E5E5E5"/>
          </w:tcPr>
          <w:p w14:paraId="3E833E2D" w14:textId="77777777" w:rsidR="00B3792F" w:rsidRPr="00027624" w:rsidRDefault="00B3792F" w:rsidP="00B3792F">
            <w:pPr>
              <w:pStyle w:val="TableColumnHeadingCentred"/>
            </w:pPr>
            <w:r w:rsidRPr="00027624">
              <w:t>Disposable income ($)</w:t>
            </w:r>
          </w:p>
        </w:tc>
        <w:tc>
          <w:tcPr>
            <w:tcW w:w="714" w:type="pct"/>
            <w:shd w:val="clear" w:color="auto" w:fill="E5E5E5"/>
          </w:tcPr>
          <w:p w14:paraId="4BF50FF3" w14:textId="77777777" w:rsidR="00B3792F" w:rsidRPr="00027624" w:rsidRDefault="00B3792F" w:rsidP="00B3792F">
            <w:pPr>
              <w:pStyle w:val="TableColumnHeadingCentred"/>
            </w:pPr>
            <w:r w:rsidRPr="00027624">
              <w:t>Proportion of income spent (per cent)</w:t>
            </w:r>
          </w:p>
        </w:tc>
      </w:tr>
      <w:tr w:rsidR="00B3792F" w:rsidRPr="00027624" w14:paraId="0BE976FA" w14:textId="77777777" w:rsidTr="00B3792F">
        <w:trPr>
          <w:trHeight w:val="270"/>
        </w:trPr>
        <w:tc>
          <w:tcPr>
            <w:tcW w:w="715" w:type="pct"/>
          </w:tcPr>
          <w:p w14:paraId="0E201957" w14:textId="77777777" w:rsidR="00B3792F" w:rsidRPr="00027624" w:rsidRDefault="00B3792F" w:rsidP="00B3792F">
            <w:pPr>
              <w:pStyle w:val="TableTextLeft"/>
            </w:pPr>
            <w:r w:rsidRPr="00027624">
              <w:t>65</w:t>
            </w:r>
            <w:r w:rsidR="00A8443E" w:rsidRPr="00027624">
              <w:noBreakHyphen/>
            </w:r>
            <w:r w:rsidRPr="00027624">
              <w:t>69</w:t>
            </w:r>
          </w:p>
        </w:tc>
        <w:tc>
          <w:tcPr>
            <w:tcW w:w="715" w:type="pct"/>
            <w:vAlign w:val="center"/>
          </w:tcPr>
          <w:p w14:paraId="0078CC04" w14:textId="77777777" w:rsidR="00B3792F" w:rsidRPr="00027624" w:rsidRDefault="00B3792F" w:rsidP="00B3792F">
            <w:pPr>
              <w:pStyle w:val="TableTextLeft"/>
              <w:jc w:val="center"/>
            </w:pPr>
            <w:r w:rsidRPr="00027624">
              <w:t>490</w:t>
            </w:r>
          </w:p>
        </w:tc>
        <w:tc>
          <w:tcPr>
            <w:tcW w:w="714" w:type="pct"/>
            <w:vAlign w:val="center"/>
          </w:tcPr>
          <w:p w14:paraId="35376BC7" w14:textId="77777777" w:rsidR="00B3792F" w:rsidRPr="00027624" w:rsidRDefault="00B3792F" w:rsidP="00B3792F">
            <w:pPr>
              <w:pStyle w:val="TableTextLeft"/>
              <w:jc w:val="center"/>
            </w:pPr>
            <w:r w:rsidRPr="00027624">
              <w:t>626</w:t>
            </w:r>
          </w:p>
        </w:tc>
        <w:tc>
          <w:tcPr>
            <w:tcW w:w="714" w:type="pct"/>
            <w:vAlign w:val="center"/>
          </w:tcPr>
          <w:p w14:paraId="2A2E7F39" w14:textId="77777777" w:rsidR="00B3792F" w:rsidRPr="00027624" w:rsidRDefault="00B3792F" w:rsidP="00B3792F">
            <w:pPr>
              <w:pStyle w:val="TableTextLeft"/>
              <w:jc w:val="center"/>
            </w:pPr>
            <w:r w:rsidRPr="00027624">
              <w:t>78</w:t>
            </w:r>
          </w:p>
        </w:tc>
        <w:tc>
          <w:tcPr>
            <w:tcW w:w="714" w:type="pct"/>
            <w:vAlign w:val="center"/>
          </w:tcPr>
          <w:p w14:paraId="54D36916" w14:textId="77777777" w:rsidR="00B3792F" w:rsidRPr="00027624" w:rsidRDefault="00B3792F" w:rsidP="00B3792F">
            <w:pPr>
              <w:pStyle w:val="TableTextLeft"/>
              <w:jc w:val="center"/>
            </w:pPr>
            <w:r w:rsidRPr="00027624">
              <w:t>706</w:t>
            </w:r>
          </w:p>
        </w:tc>
        <w:tc>
          <w:tcPr>
            <w:tcW w:w="714" w:type="pct"/>
            <w:vAlign w:val="center"/>
          </w:tcPr>
          <w:p w14:paraId="4D735C1A" w14:textId="77777777" w:rsidR="00B3792F" w:rsidRPr="00027624" w:rsidRDefault="00B3792F" w:rsidP="00B3792F">
            <w:pPr>
              <w:pStyle w:val="TableTextLeft"/>
              <w:jc w:val="center"/>
            </w:pPr>
            <w:r w:rsidRPr="00027624">
              <w:t>693</w:t>
            </w:r>
          </w:p>
        </w:tc>
        <w:tc>
          <w:tcPr>
            <w:tcW w:w="714" w:type="pct"/>
            <w:vAlign w:val="center"/>
          </w:tcPr>
          <w:p w14:paraId="5DA13134" w14:textId="77777777" w:rsidR="00B3792F" w:rsidRPr="00027624" w:rsidRDefault="00B3792F" w:rsidP="00B3792F">
            <w:pPr>
              <w:pStyle w:val="TableTextLeft"/>
              <w:jc w:val="center"/>
            </w:pPr>
            <w:r w:rsidRPr="00027624">
              <w:t>102</w:t>
            </w:r>
          </w:p>
        </w:tc>
      </w:tr>
      <w:tr w:rsidR="00B3792F" w:rsidRPr="00027624" w14:paraId="3C3AE8E1" w14:textId="77777777" w:rsidTr="00B3792F">
        <w:trPr>
          <w:trHeight w:val="270"/>
        </w:trPr>
        <w:tc>
          <w:tcPr>
            <w:tcW w:w="715" w:type="pct"/>
          </w:tcPr>
          <w:p w14:paraId="16861B8E" w14:textId="77777777" w:rsidR="00B3792F" w:rsidRPr="00027624" w:rsidRDefault="00B3792F" w:rsidP="00B3792F">
            <w:pPr>
              <w:pStyle w:val="TableTextLeft"/>
            </w:pPr>
            <w:r w:rsidRPr="00027624">
              <w:t>70</w:t>
            </w:r>
            <w:r w:rsidR="00A8443E" w:rsidRPr="00027624">
              <w:noBreakHyphen/>
            </w:r>
            <w:r w:rsidRPr="00027624">
              <w:t>74</w:t>
            </w:r>
          </w:p>
        </w:tc>
        <w:tc>
          <w:tcPr>
            <w:tcW w:w="715" w:type="pct"/>
            <w:vAlign w:val="center"/>
          </w:tcPr>
          <w:p w14:paraId="31DBDC0C" w14:textId="77777777" w:rsidR="00B3792F" w:rsidRPr="00027624" w:rsidRDefault="00B3792F" w:rsidP="00B3792F">
            <w:pPr>
              <w:pStyle w:val="TableTextLeft"/>
              <w:jc w:val="center"/>
            </w:pPr>
            <w:r w:rsidRPr="00027624">
              <w:t>449</w:t>
            </w:r>
          </w:p>
        </w:tc>
        <w:tc>
          <w:tcPr>
            <w:tcW w:w="714" w:type="pct"/>
            <w:vAlign w:val="center"/>
          </w:tcPr>
          <w:p w14:paraId="5A957A72" w14:textId="77777777" w:rsidR="00B3792F" w:rsidRPr="00027624" w:rsidRDefault="00B3792F" w:rsidP="00B3792F">
            <w:pPr>
              <w:pStyle w:val="TableTextLeft"/>
              <w:jc w:val="center"/>
            </w:pPr>
            <w:r w:rsidRPr="00027624">
              <w:t>631</w:t>
            </w:r>
          </w:p>
        </w:tc>
        <w:tc>
          <w:tcPr>
            <w:tcW w:w="714" w:type="pct"/>
            <w:vAlign w:val="center"/>
          </w:tcPr>
          <w:p w14:paraId="33874932" w14:textId="77777777" w:rsidR="00B3792F" w:rsidRPr="00027624" w:rsidRDefault="00B3792F" w:rsidP="00B3792F">
            <w:pPr>
              <w:pStyle w:val="TableTextLeft"/>
              <w:jc w:val="center"/>
            </w:pPr>
            <w:r w:rsidRPr="00027624">
              <w:t>71</w:t>
            </w:r>
          </w:p>
        </w:tc>
        <w:tc>
          <w:tcPr>
            <w:tcW w:w="714" w:type="pct"/>
            <w:vAlign w:val="center"/>
          </w:tcPr>
          <w:p w14:paraId="680FDE93" w14:textId="77777777" w:rsidR="00B3792F" w:rsidRPr="00027624" w:rsidRDefault="00B3792F" w:rsidP="00B3792F">
            <w:pPr>
              <w:pStyle w:val="TableTextLeft"/>
              <w:jc w:val="center"/>
            </w:pPr>
            <w:r w:rsidRPr="00027624">
              <w:t>618</w:t>
            </w:r>
          </w:p>
        </w:tc>
        <w:tc>
          <w:tcPr>
            <w:tcW w:w="714" w:type="pct"/>
            <w:vAlign w:val="center"/>
          </w:tcPr>
          <w:p w14:paraId="43DA9E52" w14:textId="77777777" w:rsidR="00B3792F" w:rsidRPr="00027624" w:rsidRDefault="00B3792F" w:rsidP="00B3792F">
            <w:pPr>
              <w:pStyle w:val="TableTextLeft"/>
              <w:jc w:val="center"/>
            </w:pPr>
            <w:r w:rsidRPr="00027624">
              <w:t>664</w:t>
            </w:r>
          </w:p>
        </w:tc>
        <w:tc>
          <w:tcPr>
            <w:tcW w:w="714" w:type="pct"/>
            <w:vAlign w:val="center"/>
          </w:tcPr>
          <w:p w14:paraId="34F87F5D" w14:textId="77777777" w:rsidR="00B3792F" w:rsidRPr="00027624" w:rsidRDefault="00B3792F" w:rsidP="00B3792F">
            <w:pPr>
              <w:pStyle w:val="TableTextLeft"/>
              <w:jc w:val="center"/>
            </w:pPr>
            <w:r w:rsidRPr="00027624">
              <w:t>93</w:t>
            </w:r>
          </w:p>
        </w:tc>
      </w:tr>
      <w:tr w:rsidR="00B3792F" w:rsidRPr="00027624" w14:paraId="6B88035C" w14:textId="77777777" w:rsidTr="00B3792F">
        <w:trPr>
          <w:trHeight w:val="270"/>
        </w:trPr>
        <w:tc>
          <w:tcPr>
            <w:tcW w:w="715" w:type="pct"/>
          </w:tcPr>
          <w:p w14:paraId="3B04CE44" w14:textId="77777777" w:rsidR="00B3792F" w:rsidRPr="00027624" w:rsidRDefault="00B3792F" w:rsidP="00B3792F">
            <w:pPr>
              <w:pStyle w:val="TableTextLeft"/>
            </w:pPr>
            <w:r w:rsidRPr="00027624">
              <w:t>75</w:t>
            </w:r>
            <w:r w:rsidR="00A8443E" w:rsidRPr="00027624">
              <w:noBreakHyphen/>
            </w:r>
            <w:r w:rsidRPr="00027624">
              <w:t>79</w:t>
            </w:r>
          </w:p>
        </w:tc>
        <w:tc>
          <w:tcPr>
            <w:tcW w:w="715" w:type="pct"/>
            <w:vAlign w:val="center"/>
          </w:tcPr>
          <w:p w14:paraId="4269C7F7" w14:textId="77777777" w:rsidR="00B3792F" w:rsidRPr="00027624" w:rsidRDefault="00B3792F" w:rsidP="00B3792F">
            <w:pPr>
              <w:pStyle w:val="TableTextLeft"/>
              <w:jc w:val="center"/>
            </w:pPr>
            <w:r w:rsidRPr="00027624">
              <w:t>394</w:t>
            </w:r>
          </w:p>
        </w:tc>
        <w:tc>
          <w:tcPr>
            <w:tcW w:w="714" w:type="pct"/>
            <w:vAlign w:val="center"/>
          </w:tcPr>
          <w:p w14:paraId="6F293096" w14:textId="77777777" w:rsidR="00B3792F" w:rsidRPr="00027624" w:rsidRDefault="00B3792F" w:rsidP="00B3792F">
            <w:pPr>
              <w:pStyle w:val="TableTextLeft"/>
              <w:jc w:val="center"/>
            </w:pPr>
            <w:r w:rsidRPr="00027624">
              <w:t>573</w:t>
            </w:r>
          </w:p>
        </w:tc>
        <w:tc>
          <w:tcPr>
            <w:tcW w:w="714" w:type="pct"/>
            <w:vAlign w:val="center"/>
          </w:tcPr>
          <w:p w14:paraId="1A39CCE0" w14:textId="77777777" w:rsidR="00B3792F" w:rsidRPr="00027624" w:rsidRDefault="00B3792F" w:rsidP="00B3792F">
            <w:pPr>
              <w:pStyle w:val="TableTextLeft"/>
              <w:jc w:val="center"/>
            </w:pPr>
            <w:r w:rsidRPr="00027624">
              <w:t>69</w:t>
            </w:r>
          </w:p>
        </w:tc>
        <w:tc>
          <w:tcPr>
            <w:tcW w:w="714" w:type="pct"/>
            <w:vAlign w:val="center"/>
          </w:tcPr>
          <w:p w14:paraId="367573E2" w14:textId="77777777" w:rsidR="00B3792F" w:rsidRPr="00027624" w:rsidRDefault="00B3792F" w:rsidP="00B3792F">
            <w:pPr>
              <w:pStyle w:val="TableTextLeft"/>
              <w:jc w:val="center"/>
            </w:pPr>
            <w:r w:rsidRPr="00027624">
              <w:t>518</w:t>
            </w:r>
          </w:p>
        </w:tc>
        <w:tc>
          <w:tcPr>
            <w:tcW w:w="714" w:type="pct"/>
            <w:vAlign w:val="center"/>
          </w:tcPr>
          <w:p w14:paraId="52EB7C04" w14:textId="77777777" w:rsidR="00B3792F" w:rsidRPr="00027624" w:rsidRDefault="00B3792F" w:rsidP="00B3792F">
            <w:pPr>
              <w:pStyle w:val="TableTextLeft"/>
              <w:jc w:val="center"/>
            </w:pPr>
            <w:r w:rsidRPr="00027624">
              <w:t>553</w:t>
            </w:r>
          </w:p>
        </w:tc>
        <w:tc>
          <w:tcPr>
            <w:tcW w:w="714" w:type="pct"/>
            <w:vAlign w:val="center"/>
          </w:tcPr>
          <w:p w14:paraId="2F019A45" w14:textId="77777777" w:rsidR="00B3792F" w:rsidRPr="00027624" w:rsidRDefault="00B3792F" w:rsidP="00B3792F">
            <w:pPr>
              <w:pStyle w:val="TableTextLeft"/>
              <w:jc w:val="center"/>
            </w:pPr>
            <w:r w:rsidRPr="00027624">
              <w:t>94</w:t>
            </w:r>
          </w:p>
        </w:tc>
      </w:tr>
      <w:tr w:rsidR="00B3792F" w:rsidRPr="00027624" w14:paraId="11162F79" w14:textId="77777777" w:rsidTr="00B3792F">
        <w:trPr>
          <w:trHeight w:val="270"/>
        </w:trPr>
        <w:tc>
          <w:tcPr>
            <w:tcW w:w="715" w:type="pct"/>
          </w:tcPr>
          <w:p w14:paraId="5BF5C666" w14:textId="77777777" w:rsidR="00B3792F" w:rsidRPr="00027624" w:rsidRDefault="00B3792F" w:rsidP="00B3792F">
            <w:pPr>
              <w:pStyle w:val="TableTextLeft"/>
            </w:pPr>
            <w:r w:rsidRPr="00027624">
              <w:t>80 and over</w:t>
            </w:r>
          </w:p>
        </w:tc>
        <w:tc>
          <w:tcPr>
            <w:tcW w:w="715" w:type="pct"/>
            <w:vAlign w:val="center"/>
          </w:tcPr>
          <w:p w14:paraId="7EC91922" w14:textId="77777777" w:rsidR="00B3792F" w:rsidRPr="00027624" w:rsidRDefault="00B3792F" w:rsidP="00B3792F">
            <w:pPr>
              <w:pStyle w:val="TableTextLeft"/>
              <w:jc w:val="center"/>
            </w:pPr>
            <w:r w:rsidRPr="00027624">
              <w:t>402</w:t>
            </w:r>
          </w:p>
        </w:tc>
        <w:tc>
          <w:tcPr>
            <w:tcW w:w="714" w:type="pct"/>
            <w:vAlign w:val="center"/>
          </w:tcPr>
          <w:p w14:paraId="03D624A4" w14:textId="77777777" w:rsidR="00B3792F" w:rsidRPr="00027624" w:rsidRDefault="00B3792F" w:rsidP="00B3792F">
            <w:pPr>
              <w:pStyle w:val="TableTextLeft"/>
              <w:jc w:val="center"/>
            </w:pPr>
            <w:r w:rsidRPr="00027624">
              <w:t>637</w:t>
            </w:r>
          </w:p>
        </w:tc>
        <w:tc>
          <w:tcPr>
            <w:tcW w:w="714" w:type="pct"/>
            <w:vAlign w:val="center"/>
          </w:tcPr>
          <w:p w14:paraId="494861A6" w14:textId="77777777" w:rsidR="00B3792F" w:rsidRPr="00027624" w:rsidRDefault="00B3792F" w:rsidP="00B3792F">
            <w:pPr>
              <w:pStyle w:val="TableTextLeft"/>
              <w:jc w:val="center"/>
            </w:pPr>
            <w:r w:rsidRPr="00027624">
              <w:t>63</w:t>
            </w:r>
          </w:p>
        </w:tc>
        <w:tc>
          <w:tcPr>
            <w:tcW w:w="714" w:type="pct"/>
            <w:vAlign w:val="center"/>
          </w:tcPr>
          <w:p w14:paraId="78D6EE60" w14:textId="77777777" w:rsidR="00B3792F" w:rsidRPr="00027624" w:rsidRDefault="00B3792F" w:rsidP="00B3792F">
            <w:pPr>
              <w:pStyle w:val="TableTextLeft"/>
              <w:jc w:val="center"/>
            </w:pPr>
            <w:r w:rsidRPr="00027624">
              <w:t>428</w:t>
            </w:r>
          </w:p>
        </w:tc>
        <w:tc>
          <w:tcPr>
            <w:tcW w:w="714" w:type="pct"/>
            <w:vAlign w:val="center"/>
          </w:tcPr>
          <w:p w14:paraId="6883C73E" w14:textId="77777777" w:rsidR="00B3792F" w:rsidRPr="00027624" w:rsidRDefault="00B3792F" w:rsidP="00B3792F">
            <w:pPr>
              <w:pStyle w:val="TableTextLeft"/>
              <w:jc w:val="center"/>
            </w:pPr>
            <w:r w:rsidRPr="00027624">
              <w:t>532</w:t>
            </w:r>
          </w:p>
        </w:tc>
        <w:tc>
          <w:tcPr>
            <w:tcW w:w="714" w:type="pct"/>
            <w:vAlign w:val="center"/>
          </w:tcPr>
          <w:p w14:paraId="227F84CB" w14:textId="77777777" w:rsidR="00B3792F" w:rsidRPr="00027624" w:rsidRDefault="00B3792F" w:rsidP="00B3792F">
            <w:pPr>
              <w:pStyle w:val="TableTextLeft"/>
              <w:jc w:val="center"/>
            </w:pPr>
            <w:r w:rsidRPr="00027624">
              <w:t>80</w:t>
            </w:r>
          </w:p>
        </w:tc>
      </w:tr>
    </w:tbl>
    <w:p w14:paraId="1B27F2A0" w14:textId="77777777" w:rsidR="00B3792F" w:rsidRPr="00027624" w:rsidRDefault="00B3792F" w:rsidP="00B3792F">
      <w:pPr>
        <w:pStyle w:val="ChartorTableNote"/>
      </w:pPr>
      <w:r w:rsidRPr="00027624">
        <w:t>Note: 2015</w:t>
      </w:r>
      <w:r w:rsidR="00A8443E" w:rsidRPr="00027624">
        <w:noBreakHyphen/>
      </w:r>
      <w:r w:rsidRPr="00027624">
        <w:t>16 data. Expenditure and income ha</w:t>
      </w:r>
      <w:r w:rsidR="00E50080" w:rsidRPr="00027624">
        <w:t>ve</w:t>
      </w:r>
      <w:r w:rsidRPr="00027624">
        <w:t xml:space="preserve"> been inflated to 2019 dollars by CPI. Households with a profound or severe core activity limitation are determined by the status of the reference person for the household. Total population includes people with and without disability. Source: Analysis of ABS Household Expenditure Survey Confidentialised Unit Record File, 2015</w:t>
      </w:r>
      <w:r w:rsidR="00A8443E" w:rsidRPr="00027624">
        <w:noBreakHyphen/>
      </w:r>
      <w:r w:rsidRPr="00027624">
        <w:t>16.</w:t>
      </w:r>
    </w:p>
    <w:p w14:paraId="6693AA68" w14:textId="77777777" w:rsidR="00B3792F" w:rsidRPr="00027624" w:rsidRDefault="00B3792F" w:rsidP="00AD6771">
      <w:pPr>
        <w:pStyle w:val="Heading4"/>
        <w:spacing w:before="240"/>
      </w:pPr>
      <w:bookmarkStart w:id="3758" w:name="_Toc40366225"/>
      <w:bookmarkStart w:id="3759" w:name="_Toc40369771"/>
      <w:bookmarkStart w:id="3760" w:name="_Toc40427927"/>
      <w:bookmarkStart w:id="3761" w:name="_Toc40458182"/>
      <w:bookmarkStart w:id="3762" w:name="_Toc40461951"/>
      <w:bookmarkStart w:id="3763" w:name="_Toc40474506"/>
      <w:bookmarkStart w:id="3764" w:name="_Toc40478035"/>
      <w:bookmarkStart w:id="3765" w:name="_Toc40521615"/>
      <w:bookmarkStart w:id="3766" w:name="_Toc40530474"/>
      <w:bookmarkStart w:id="3767" w:name="_Toc42778900"/>
      <w:bookmarkStart w:id="3768" w:name="_Toc42780040"/>
      <w:bookmarkStart w:id="3769" w:name="_Toc42780469"/>
      <w:bookmarkStart w:id="3770" w:name="_Toc42786459"/>
      <w:bookmarkStart w:id="3771" w:name="_Toc42791952"/>
      <w:bookmarkStart w:id="3772" w:name="_Toc42792114"/>
      <w:bookmarkStart w:id="3773" w:name="_Toc43117921"/>
      <w:bookmarkStart w:id="3774" w:name="_Toc43121560"/>
      <w:bookmarkStart w:id="3775" w:name="_Toc43122765"/>
      <w:bookmarkStart w:id="3776" w:name="_Toc43127820"/>
      <w:r w:rsidRPr="00027624">
        <w:rPr>
          <w:rStyle w:val="Heading6Char"/>
          <w:b/>
          <w:color w:val="144E60" w:themeColor="accent1"/>
        </w:rPr>
        <w:t>Health expenditure</w:t>
      </w:r>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p>
    <w:p w14:paraId="49FD4028" w14:textId="0B6EB3E5" w:rsidR="00B3792F" w:rsidRPr="00027624" w:rsidRDefault="00B3792F" w:rsidP="00B3792F">
      <w:r w:rsidRPr="00027624">
        <w:t>Of households with a person aged 65 or over, those that include someone with disability spend more of their income on health expenses than those households without a disabled person. However, most of these expenses are met by social transfers in kind from Commonwealth and state and territory governments (</w:t>
      </w:r>
      <w:r w:rsidRPr="00027624">
        <w:fldChar w:fldCharType="begin"/>
      </w:r>
      <w:r w:rsidRPr="00027624">
        <w:instrText xml:space="preserve"> REF _Ref35428179 \w \h </w:instrText>
      </w:r>
      <w:r w:rsidR="00FA7639" w:rsidRPr="00027624">
        <w:instrText xml:space="preserve"> \* MERGEFORMAT </w:instrText>
      </w:r>
      <w:r w:rsidRPr="00027624">
        <w:fldChar w:fldCharType="separate"/>
      </w:r>
      <w:r w:rsidR="00891058">
        <w:t>Chart 3G-8</w:t>
      </w:r>
      <w:r w:rsidRPr="00027624">
        <w:fldChar w:fldCharType="end"/>
      </w:r>
      <w:r w:rsidRPr="00027624">
        <w:t xml:space="preserve"> and </w:t>
      </w:r>
      <w:r w:rsidRPr="00027624">
        <w:fldChar w:fldCharType="begin"/>
      </w:r>
      <w:r w:rsidRPr="00027624">
        <w:instrText xml:space="preserve"> REF _Ref36807640 \r \h  \* MERGEFORMAT </w:instrText>
      </w:r>
      <w:r w:rsidRPr="00027624">
        <w:fldChar w:fldCharType="separate"/>
      </w:r>
      <w:r w:rsidR="00891058">
        <w:t>Chart 3G-9</w:t>
      </w:r>
      <w:r w:rsidRPr="00027624">
        <w:fldChar w:fldCharType="end"/>
      </w:r>
      <w:r w:rsidRPr="00027624">
        <w:t>). Households with a Pensioner Concession Card have lower out</w:t>
      </w:r>
      <w:r w:rsidR="00A8443E" w:rsidRPr="00027624">
        <w:noBreakHyphen/>
      </w:r>
      <w:r w:rsidRPr="00027624">
        <w:t>of</w:t>
      </w:r>
      <w:r w:rsidR="00A8443E" w:rsidRPr="00027624">
        <w:noBreakHyphen/>
      </w:r>
      <w:r w:rsidRPr="00027624">
        <w:t xml:space="preserve">pocket costs for items, such as Pharmaceutical Benefits Scheme medicines, than households without a Pensioner Concession Card (see </w:t>
      </w:r>
      <w:r w:rsidRPr="00027624">
        <w:rPr>
          <w:i/>
        </w:rPr>
        <w:t>1B. Design of Australia</w:t>
      </w:r>
      <w:r w:rsidR="00A8443E" w:rsidRPr="00027624">
        <w:rPr>
          <w:i/>
        </w:rPr>
        <w:t>’</w:t>
      </w:r>
      <w:r w:rsidRPr="00027624">
        <w:rPr>
          <w:i/>
        </w:rPr>
        <w:t>s retirement income system</w:t>
      </w:r>
      <w:r w:rsidRPr="00027624">
        <w:t xml:space="preserve">). </w:t>
      </w:r>
    </w:p>
    <w:p w14:paraId="13931959" w14:textId="77777777" w:rsidR="00B3792F" w:rsidRPr="00027624" w:rsidRDefault="00B3792F" w:rsidP="00582C3E">
      <w:pPr>
        <w:pStyle w:val="ChartMainHeading"/>
      </w:pPr>
      <w:bookmarkStart w:id="3777" w:name="_Ref34914973"/>
      <w:bookmarkStart w:id="3778" w:name="_Ref35428179"/>
      <w:bookmarkEnd w:id="3777"/>
      <w:r w:rsidRPr="00027624">
        <w:lastRenderedPageBreak/>
        <w:t>Average weekly health expenses and social transfers in kind for households aged 65 and over</w:t>
      </w:r>
      <w:bookmarkEnd w:id="3778"/>
    </w:p>
    <w:p w14:paraId="0D402481" w14:textId="77777777" w:rsidR="00B3792F" w:rsidRPr="00027624" w:rsidRDefault="00C34ACA" w:rsidP="00B3792F">
      <w:pPr>
        <w:pStyle w:val="ChartGraphic"/>
      </w:pPr>
      <w:r>
        <w:rPr>
          <w:noProof/>
        </w:rPr>
        <w:drawing>
          <wp:inline distT="0" distB="0" distL="0" distR="0" wp14:anchorId="0830F109" wp14:editId="589B9254">
            <wp:extent cx="5783580" cy="2590800"/>
            <wp:effectExtent l="0" t="0" r="7620" b="0"/>
            <wp:docPr id="983014699" name="Picture 983014699" descr="This chart shows that households aged 65 and over with disability receive around double the average social transfers in kind for health than households aged 65 and over without disability. Households aged 65 and over with disability have higher average out-of-pocket expenses for health than households aged 65 and over without disability. For both households with and without disability, holding a Pensioner Concession Card reduces average out of pocket expenses for health." title="Chart 3G-8 Average weekly health expenses and social transfers in kind for households aged 65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83580" cy="2590800"/>
                    </a:xfrm>
                    <a:prstGeom prst="rect">
                      <a:avLst/>
                    </a:prstGeom>
                    <a:noFill/>
                  </pic:spPr>
                </pic:pic>
              </a:graphicData>
            </a:graphic>
          </wp:inline>
        </w:drawing>
      </w:r>
    </w:p>
    <w:p w14:paraId="70C5330A" w14:textId="77777777" w:rsidR="00B3792F" w:rsidRPr="00027624" w:rsidRDefault="00B3792F" w:rsidP="00B3792F">
      <w:pPr>
        <w:pStyle w:val="ChartorTableNote"/>
      </w:pPr>
      <w:r w:rsidRPr="00027624">
        <w:t>Note: 2015</w:t>
      </w:r>
      <w:r w:rsidR="00A8443E" w:rsidRPr="00027624">
        <w:noBreakHyphen/>
      </w:r>
      <w:r w:rsidRPr="00027624">
        <w:t>16 data. Expenditure has been inflated to 2019 dollars by CPI. PCC stands for Pensioner Concession Card. Age is for the reference person of the household. Source: Analysis of ABS Household Expenditure Survey Confidentialised Unit Record File, 2015</w:t>
      </w:r>
      <w:r w:rsidR="00A8443E" w:rsidRPr="00027624">
        <w:noBreakHyphen/>
      </w:r>
      <w:r w:rsidRPr="00027624">
        <w:t>16.</w:t>
      </w:r>
    </w:p>
    <w:p w14:paraId="58440017" w14:textId="38124337" w:rsidR="00B3792F" w:rsidRPr="00027624" w:rsidRDefault="00B3792F" w:rsidP="00B3792F">
      <w:r w:rsidRPr="00027624">
        <w:t>People with disability are more likely than people without disability to have more than 80 per cent of their health expenditure met by social transfers in kind. The proportion of health expenses met by social transfers in kind is even higher for households with a Pensioner Concession Card (</w:t>
      </w:r>
      <w:r w:rsidRPr="00027624">
        <w:fldChar w:fldCharType="begin"/>
      </w:r>
      <w:r w:rsidRPr="00027624">
        <w:instrText xml:space="preserve"> REF _Ref35428262 \r \h  \* MERGEFORMAT </w:instrText>
      </w:r>
      <w:r w:rsidRPr="00027624">
        <w:fldChar w:fldCharType="separate"/>
      </w:r>
      <w:r w:rsidR="00891058">
        <w:t>Chart 3G-9</w:t>
      </w:r>
      <w:r w:rsidRPr="00027624">
        <w:fldChar w:fldCharType="end"/>
      </w:r>
      <w:r w:rsidRPr="00027624">
        <w:t xml:space="preserve">). </w:t>
      </w:r>
    </w:p>
    <w:p w14:paraId="43C45D21" w14:textId="77777777" w:rsidR="00B3792F" w:rsidRPr="00027624" w:rsidRDefault="00B3792F" w:rsidP="00582C3E">
      <w:pPr>
        <w:pStyle w:val="ChartMainHeading"/>
      </w:pPr>
      <w:bookmarkStart w:id="3779" w:name="_Ref34915560"/>
      <w:bookmarkStart w:id="3780" w:name="_Ref35428262"/>
      <w:bookmarkStart w:id="3781" w:name="_Ref36807640"/>
      <w:bookmarkEnd w:id="3779"/>
      <w:r w:rsidRPr="00027624">
        <w:t>Proportion of total health expenditure covered by social transfers in kind for households with a person aged 65 and over</w:t>
      </w:r>
      <w:bookmarkEnd w:id="3780"/>
      <w:bookmarkEnd w:id="3781"/>
    </w:p>
    <w:tbl>
      <w:tblPr>
        <w:tblStyle w:val="TableGrid"/>
        <w:tblW w:w="0" w:type="auto"/>
        <w:jc w:val="center"/>
        <w:tblLook w:val="04A0" w:firstRow="1" w:lastRow="0" w:firstColumn="1" w:lastColumn="0" w:noHBand="0" w:noVBand="1"/>
      </w:tblPr>
      <w:tblGrid>
        <w:gridCol w:w="707"/>
        <w:gridCol w:w="2568"/>
        <w:gridCol w:w="2568"/>
        <w:gridCol w:w="2040"/>
      </w:tblGrid>
      <w:tr w:rsidR="00B3792F" w:rsidRPr="00027624" w14:paraId="284E4827" w14:textId="77777777" w:rsidTr="00B3792F">
        <w:trPr>
          <w:jc w:val="center"/>
        </w:trPr>
        <w:tc>
          <w:tcPr>
            <w:tcW w:w="707" w:type="dxa"/>
            <w:shd w:val="clear" w:color="auto" w:fill="auto"/>
          </w:tcPr>
          <w:p w14:paraId="5F358E9B" w14:textId="77777777" w:rsidR="00B3792F" w:rsidRPr="00027624" w:rsidRDefault="00B3792F" w:rsidP="00B3792F">
            <w:pPr>
              <w:keepNext/>
            </w:pPr>
          </w:p>
        </w:tc>
        <w:tc>
          <w:tcPr>
            <w:tcW w:w="2554" w:type="dxa"/>
            <w:shd w:val="clear" w:color="auto" w:fill="auto"/>
          </w:tcPr>
          <w:p w14:paraId="24ACC56C" w14:textId="77777777" w:rsidR="00B3792F" w:rsidRPr="00027624" w:rsidRDefault="00B3792F" w:rsidP="00B3792F">
            <w:pPr>
              <w:pStyle w:val="ChartSecondHeading"/>
              <w:rPr>
                <w:sz w:val="22"/>
              </w:rPr>
            </w:pPr>
            <w:r w:rsidRPr="00027624">
              <w:rPr>
                <w:sz w:val="22"/>
              </w:rPr>
              <w:t>Without disability</w:t>
            </w:r>
          </w:p>
        </w:tc>
        <w:tc>
          <w:tcPr>
            <w:tcW w:w="2496" w:type="dxa"/>
            <w:shd w:val="clear" w:color="auto" w:fill="auto"/>
          </w:tcPr>
          <w:p w14:paraId="131E9668" w14:textId="77777777" w:rsidR="00B3792F" w:rsidRPr="00027624" w:rsidRDefault="00B3792F" w:rsidP="00B3792F">
            <w:pPr>
              <w:pStyle w:val="ChartSecondHeading"/>
              <w:rPr>
                <w:sz w:val="22"/>
              </w:rPr>
            </w:pPr>
            <w:r w:rsidRPr="00027624">
              <w:rPr>
                <w:sz w:val="22"/>
              </w:rPr>
              <w:t>With disability</w:t>
            </w:r>
          </w:p>
        </w:tc>
        <w:tc>
          <w:tcPr>
            <w:tcW w:w="2040" w:type="dxa"/>
            <w:shd w:val="clear" w:color="auto" w:fill="auto"/>
          </w:tcPr>
          <w:p w14:paraId="177CC2EA" w14:textId="77777777" w:rsidR="00B3792F" w:rsidRPr="00027624" w:rsidRDefault="00B3792F" w:rsidP="00B3792F">
            <w:pPr>
              <w:keepNext/>
              <w:jc w:val="center"/>
              <w:rPr>
                <w:rFonts w:ascii="Arial" w:hAnsi="Arial" w:cs="Arial"/>
                <w:b/>
              </w:rPr>
            </w:pPr>
          </w:p>
        </w:tc>
      </w:tr>
      <w:tr w:rsidR="00B3792F" w:rsidRPr="00027624" w14:paraId="3A89B4A9" w14:textId="77777777" w:rsidTr="00B3792F">
        <w:trPr>
          <w:cantSplit/>
          <w:trHeight w:val="1134"/>
          <w:jc w:val="center"/>
        </w:trPr>
        <w:tc>
          <w:tcPr>
            <w:tcW w:w="707" w:type="dxa"/>
            <w:shd w:val="clear" w:color="auto" w:fill="auto"/>
            <w:textDirection w:val="btLr"/>
          </w:tcPr>
          <w:p w14:paraId="5E32BC09" w14:textId="77777777" w:rsidR="00B3792F" w:rsidRPr="00027624" w:rsidRDefault="00B3792F" w:rsidP="00B3792F">
            <w:pPr>
              <w:pStyle w:val="ChartSecondHeading"/>
              <w:rPr>
                <w:sz w:val="22"/>
              </w:rPr>
            </w:pPr>
            <w:r w:rsidRPr="00027624">
              <w:rPr>
                <w:sz w:val="22"/>
              </w:rPr>
              <w:t>With PCC</w:t>
            </w:r>
          </w:p>
        </w:tc>
        <w:tc>
          <w:tcPr>
            <w:tcW w:w="2554" w:type="dxa"/>
            <w:shd w:val="clear" w:color="auto" w:fill="auto"/>
          </w:tcPr>
          <w:p w14:paraId="5B648421" w14:textId="77777777" w:rsidR="00B3792F" w:rsidRPr="00027624" w:rsidRDefault="0028471D" w:rsidP="00C661D1">
            <w:pPr>
              <w:pStyle w:val="ChartGraphic"/>
            </w:pPr>
            <w:r>
              <w:rPr>
                <w:noProof/>
              </w:rPr>
              <w:drawing>
                <wp:inline distT="0" distB="0" distL="0" distR="0" wp14:anchorId="634972DC" wp14:editId="13C853AB">
                  <wp:extent cx="1493520" cy="1485900"/>
                  <wp:effectExtent l="0" t="0" r="0" b="0"/>
                  <wp:docPr id="983014700" name="Picture 983014700" descr="These charts show that for both households with and without disability, the proportion of health expenses met by social transfers in kind is higher for households with a Pensioner Concession Card. For example, 56 per cent of those without disability and 76 per cent of those with disability and with a Pensioner Concession Card had 81 to 100 per cent of their health costs covered by social transfers in kind. This compares to 48 per cent of the total population without disability and 70 per cent of the total population with disability." title="Chart 3G-9 Proportion of total health expenditure covered by social transfers in kind for households with a person aged 65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93520" cy="1485900"/>
                          </a:xfrm>
                          <a:prstGeom prst="rect">
                            <a:avLst/>
                          </a:prstGeom>
                          <a:noFill/>
                        </pic:spPr>
                      </pic:pic>
                    </a:graphicData>
                  </a:graphic>
                </wp:inline>
              </w:drawing>
            </w:r>
          </w:p>
        </w:tc>
        <w:tc>
          <w:tcPr>
            <w:tcW w:w="2496" w:type="dxa"/>
            <w:shd w:val="clear" w:color="auto" w:fill="auto"/>
          </w:tcPr>
          <w:p w14:paraId="3A2DBE2E" w14:textId="77777777" w:rsidR="00B3792F" w:rsidRPr="00027624" w:rsidRDefault="0028471D" w:rsidP="00C661D1">
            <w:pPr>
              <w:pStyle w:val="ChartGraphic"/>
            </w:pPr>
            <w:r>
              <w:rPr>
                <w:noProof/>
              </w:rPr>
              <w:drawing>
                <wp:inline distT="0" distB="0" distL="0" distR="0" wp14:anchorId="073E7043" wp14:editId="0165631B">
                  <wp:extent cx="1485900" cy="1485900"/>
                  <wp:effectExtent l="0" t="0" r="0" b="0"/>
                  <wp:docPr id="983014701" name="Picture 98301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pic:spPr>
                      </pic:pic>
                    </a:graphicData>
                  </a:graphic>
                </wp:inline>
              </w:drawing>
            </w:r>
          </w:p>
        </w:tc>
        <w:tc>
          <w:tcPr>
            <w:tcW w:w="2040" w:type="dxa"/>
            <w:vMerge w:val="restart"/>
            <w:shd w:val="clear" w:color="auto" w:fill="auto"/>
            <w:vAlign w:val="center"/>
          </w:tcPr>
          <w:p w14:paraId="07E5BC89" w14:textId="77777777" w:rsidR="00B3792F" w:rsidRPr="00027624" w:rsidRDefault="00B3792F" w:rsidP="00B3792F">
            <w:pPr>
              <w:keepNext/>
              <w:jc w:val="right"/>
              <w:rPr>
                <w:rFonts w:ascii="Arial" w:hAnsi="Arial" w:cs="Arial"/>
                <w:b/>
                <w:color w:val="144E60" w:themeColor="accent1"/>
              </w:rPr>
            </w:pPr>
            <w:r w:rsidRPr="00027624">
              <w:rPr>
                <w:rFonts w:ascii="Arial" w:hAnsi="Arial" w:cs="Arial"/>
                <w:b/>
                <w:color w:val="144E60" w:themeColor="accent1"/>
              </w:rPr>
              <w:t>0</w:t>
            </w:r>
            <w:r w:rsidR="00A8443E" w:rsidRPr="00027624">
              <w:rPr>
                <w:rFonts w:ascii="Arial" w:hAnsi="Arial" w:cs="Arial"/>
                <w:b/>
                <w:color w:val="144E60" w:themeColor="accent1"/>
              </w:rPr>
              <w:noBreakHyphen/>
            </w:r>
            <w:r w:rsidRPr="00027624">
              <w:rPr>
                <w:rFonts w:ascii="Arial" w:hAnsi="Arial" w:cs="Arial"/>
                <w:b/>
                <w:noProof/>
                <w:color w:val="144E60" w:themeColor="accent1"/>
              </w:rPr>
              <w:t>6</w:t>
            </w:r>
            <w:r w:rsidRPr="00027624">
              <w:rPr>
                <w:rFonts w:ascii="Arial" w:hAnsi="Arial" w:cs="Arial"/>
                <w:b/>
                <w:color w:val="144E60" w:themeColor="accent1"/>
              </w:rPr>
              <w:t>0% covered</w:t>
            </w:r>
          </w:p>
          <w:p w14:paraId="137E94BC" w14:textId="77777777" w:rsidR="00B3792F" w:rsidRPr="00027624" w:rsidRDefault="00B3792F" w:rsidP="00B3792F">
            <w:pPr>
              <w:keepNext/>
              <w:jc w:val="right"/>
              <w:rPr>
                <w:rFonts w:ascii="Arial" w:hAnsi="Arial" w:cs="Arial"/>
                <w:b/>
                <w:color w:val="4E8542" w:themeColor="accent2"/>
              </w:rPr>
            </w:pPr>
            <w:r w:rsidRPr="00027624">
              <w:rPr>
                <w:rFonts w:ascii="Arial" w:hAnsi="Arial" w:cs="Arial"/>
                <w:b/>
                <w:color w:val="4E8542" w:themeColor="accent2"/>
              </w:rPr>
              <w:t>61</w:t>
            </w:r>
            <w:r w:rsidR="00A8443E" w:rsidRPr="00027624">
              <w:rPr>
                <w:rFonts w:ascii="Arial" w:hAnsi="Arial" w:cs="Arial"/>
                <w:b/>
                <w:color w:val="4E8542" w:themeColor="accent2"/>
              </w:rPr>
              <w:noBreakHyphen/>
            </w:r>
            <w:r w:rsidRPr="00027624">
              <w:rPr>
                <w:rFonts w:ascii="Arial" w:hAnsi="Arial" w:cs="Arial"/>
                <w:b/>
                <w:color w:val="4E8542" w:themeColor="accent2"/>
              </w:rPr>
              <w:t>80% covered</w:t>
            </w:r>
          </w:p>
          <w:p w14:paraId="7A1CB647" w14:textId="77777777" w:rsidR="00B3792F" w:rsidRPr="00027624" w:rsidRDefault="00B3792F" w:rsidP="00B3792F">
            <w:pPr>
              <w:keepNext/>
              <w:jc w:val="right"/>
              <w:rPr>
                <w:rFonts w:ascii="Arial" w:hAnsi="Arial" w:cs="Arial"/>
                <w:noProof/>
              </w:rPr>
            </w:pPr>
            <w:r w:rsidRPr="00027624">
              <w:rPr>
                <w:rFonts w:ascii="Arial" w:hAnsi="Arial" w:cs="Arial"/>
                <w:b/>
                <w:color w:val="604878" w:themeColor="accent3"/>
              </w:rPr>
              <w:t>81</w:t>
            </w:r>
            <w:r w:rsidR="00A8443E" w:rsidRPr="00027624">
              <w:rPr>
                <w:rFonts w:ascii="Arial" w:hAnsi="Arial" w:cs="Arial"/>
                <w:b/>
                <w:color w:val="604878" w:themeColor="accent3"/>
              </w:rPr>
              <w:noBreakHyphen/>
            </w:r>
            <w:r w:rsidRPr="00027624">
              <w:rPr>
                <w:rFonts w:ascii="Arial" w:hAnsi="Arial" w:cs="Arial"/>
                <w:b/>
                <w:color w:val="604878" w:themeColor="accent3"/>
              </w:rPr>
              <w:t>100% covered</w:t>
            </w:r>
          </w:p>
        </w:tc>
      </w:tr>
      <w:tr w:rsidR="00B3792F" w:rsidRPr="00027624" w14:paraId="0334241B" w14:textId="77777777" w:rsidTr="00B3792F">
        <w:trPr>
          <w:cantSplit/>
          <w:trHeight w:val="1134"/>
          <w:jc w:val="center"/>
        </w:trPr>
        <w:tc>
          <w:tcPr>
            <w:tcW w:w="707" w:type="dxa"/>
            <w:shd w:val="clear" w:color="auto" w:fill="auto"/>
            <w:textDirection w:val="btLr"/>
          </w:tcPr>
          <w:p w14:paraId="4FE47C67" w14:textId="77777777" w:rsidR="00B3792F" w:rsidRPr="00027624" w:rsidRDefault="00B3792F" w:rsidP="00B3792F">
            <w:pPr>
              <w:pStyle w:val="ChartSecondHeading"/>
              <w:rPr>
                <w:sz w:val="22"/>
              </w:rPr>
            </w:pPr>
            <w:r w:rsidRPr="00027624">
              <w:rPr>
                <w:sz w:val="22"/>
              </w:rPr>
              <w:t>All</w:t>
            </w:r>
          </w:p>
        </w:tc>
        <w:tc>
          <w:tcPr>
            <w:tcW w:w="2554" w:type="dxa"/>
            <w:shd w:val="clear" w:color="auto" w:fill="auto"/>
          </w:tcPr>
          <w:p w14:paraId="0B85606D" w14:textId="77777777" w:rsidR="00B3792F" w:rsidRPr="00027624" w:rsidRDefault="0028471D" w:rsidP="00C661D1">
            <w:pPr>
              <w:pStyle w:val="ChartGraphic"/>
            </w:pPr>
            <w:r>
              <w:rPr>
                <w:noProof/>
              </w:rPr>
              <w:drawing>
                <wp:inline distT="0" distB="0" distL="0" distR="0" wp14:anchorId="2997AF18" wp14:editId="3B24EC9C">
                  <wp:extent cx="1493520" cy="1485900"/>
                  <wp:effectExtent l="0" t="0" r="0" b="0"/>
                  <wp:docPr id="983014702" name="Picture 98301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493520" cy="1485900"/>
                          </a:xfrm>
                          <a:prstGeom prst="rect">
                            <a:avLst/>
                          </a:prstGeom>
                          <a:noFill/>
                        </pic:spPr>
                      </pic:pic>
                    </a:graphicData>
                  </a:graphic>
                </wp:inline>
              </w:drawing>
            </w:r>
          </w:p>
        </w:tc>
        <w:tc>
          <w:tcPr>
            <w:tcW w:w="2496" w:type="dxa"/>
            <w:shd w:val="clear" w:color="auto" w:fill="auto"/>
          </w:tcPr>
          <w:p w14:paraId="16D0E362" w14:textId="77777777" w:rsidR="00B3792F" w:rsidRPr="00027624" w:rsidRDefault="0028471D" w:rsidP="00C661D1">
            <w:pPr>
              <w:pStyle w:val="ChartGraphic"/>
            </w:pPr>
            <w:r>
              <w:rPr>
                <w:noProof/>
              </w:rPr>
              <w:drawing>
                <wp:inline distT="0" distB="0" distL="0" distR="0" wp14:anchorId="1295E731" wp14:editId="1BD2FBC0">
                  <wp:extent cx="1493520" cy="1485900"/>
                  <wp:effectExtent l="0" t="0" r="0" b="0"/>
                  <wp:docPr id="983014703" name="Picture 98301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93520" cy="1485900"/>
                          </a:xfrm>
                          <a:prstGeom prst="rect">
                            <a:avLst/>
                          </a:prstGeom>
                          <a:noFill/>
                        </pic:spPr>
                      </pic:pic>
                    </a:graphicData>
                  </a:graphic>
                </wp:inline>
              </w:drawing>
            </w:r>
          </w:p>
        </w:tc>
        <w:tc>
          <w:tcPr>
            <w:tcW w:w="2040" w:type="dxa"/>
            <w:vMerge/>
          </w:tcPr>
          <w:p w14:paraId="66AFD967" w14:textId="77777777" w:rsidR="00B3792F" w:rsidRPr="00027624" w:rsidRDefault="00B3792F" w:rsidP="00B3792F">
            <w:pPr>
              <w:keepNext/>
              <w:jc w:val="center"/>
              <w:rPr>
                <w:noProof/>
              </w:rPr>
            </w:pPr>
          </w:p>
        </w:tc>
      </w:tr>
    </w:tbl>
    <w:p w14:paraId="0259D191" w14:textId="77777777" w:rsidR="00B3792F" w:rsidRPr="00027624" w:rsidRDefault="00B3792F" w:rsidP="00B3792F">
      <w:pPr>
        <w:pStyle w:val="ChartorTableNote"/>
      </w:pPr>
      <w:r w:rsidRPr="00027624">
        <w:t>Note: 2015</w:t>
      </w:r>
      <w:r w:rsidR="00A8443E" w:rsidRPr="00027624">
        <w:noBreakHyphen/>
      </w:r>
      <w:r w:rsidRPr="00027624">
        <w:t>16 data. PCC stands for Pensioner Concession Card. This chart shows, for a group of people, the average proportion of their health expenditure that was covered by social transfers in kind. For example, for those with disability who held a Pensioner Concession Card, 76 per cent of people had more than 80 per cent of their health expenditure covered by social transfers in kind. Households are limited to those with someone in the household aged 65 and over. Source: Analysis of ABS Household Expenditure Survey Confidentialised Unit Record File, 2015</w:t>
      </w:r>
      <w:r w:rsidR="00A8443E" w:rsidRPr="00027624">
        <w:noBreakHyphen/>
      </w:r>
      <w:r w:rsidRPr="00027624">
        <w:t>16.</w:t>
      </w:r>
    </w:p>
    <w:p w14:paraId="4AC94C2B" w14:textId="77777777" w:rsidR="00B3792F" w:rsidRPr="00027624" w:rsidRDefault="00B3792F" w:rsidP="00B3792F">
      <w:pPr>
        <w:pStyle w:val="Heading2"/>
      </w:pPr>
      <w:bookmarkStart w:id="3782" w:name="_Toc40366226"/>
      <w:bookmarkStart w:id="3783" w:name="_Toc40369772"/>
      <w:bookmarkStart w:id="3784" w:name="_Toc40427928"/>
      <w:bookmarkStart w:id="3785" w:name="_Toc40458183"/>
      <w:bookmarkStart w:id="3786" w:name="_Toc40461952"/>
      <w:bookmarkStart w:id="3787" w:name="_Toc40474507"/>
      <w:bookmarkStart w:id="3788" w:name="_Toc40478036"/>
      <w:bookmarkStart w:id="3789" w:name="_Toc40521616"/>
      <w:bookmarkStart w:id="3790" w:name="_Toc40530475"/>
      <w:bookmarkStart w:id="3791" w:name="_Toc42778901"/>
      <w:bookmarkStart w:id="3792" w:name="_Toc42780041"/>
      <w:bookmarkStart w:id="3793" w:name="_Toc42780470"/>
      <w:bookmarkStart w:id="3794" w:name="_Toc42786460"/>
      <w:bookmarkStart w:id="3795" w:name="_Toc42791953"/>
      <w:bookmarkStart w:id="3796" w:name="_Toc42792115"/>
      <w:bookmarkStart w:id="3797" w:name="_Toc43117922"/>
      <w:bookmarkStart w:id="3798" w:name="_Toc43121561"/>
      <w:bookmarkStart w:id="3799" w:name="_Toc43122766"/>
      <w:bookmarkStart w:id="3800" w:name="_Toc43127821"/>
      <w:bookmarkStart w:id="3801" w:name="_Toc45520530"/>
      <w:bookmarkStart w:id="3802" w:name="_Toc46133642"/>
      <w:r w:rsidRPr="00027624">
        <w:lastRenderedPageBreak/>
        <w:t>Disability</w:t>
      </w:r>
      <w:r w:rsidR="00A8443E" w:rsidRPr="00027624">
        <w:noBreakHyphen/>
      </w:r>
      <w:r w:rsidRPr="00027624">
        <w:t>specific retirement income system settings</w:t>
      </w:r>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p>
    <w:p w14:paraId="277BE9B5" w14:textId="77777777" w:rsidR="00B3792F" w:rsidRPr="00027624" w:rsidRDefault="00B3792F" w:rsidP="00B3792F">
      <w:pPr>
        <w:pStyle w:val="Heading3"/>
      </w:pPr>
      <w:bookmarkStart w:id="3803" w:name="_Toc40366227"/>
      <w:bookmarkStart w:id="3804" w:name="_Toc40369773"/>
      <w:bookmarkStart w:id="3805" w:name="_Toc40427929"/>
      <w:bookmarkStart w:id="3806" w:name="_Toc40458184"/>
      <w:bookmarkStart w:id="3807" w:name="_Toc40461953"/>
      <w:bookmarkStart w:id="3808" w:name="_Toc40474508"/>
      <w:bookmarkStart w:id="3809" w:name="_Toc40478037"/>
      <w:bookmarkStart w:id="3810" w:name="_Toc40521617"/>
      <w:bookmarkStart w:id="3811" w:name="_Toc40530476"/>
      <w:bookmarkStart w:id="3812" w:name="_Toc42778902"/>
      <w:bookmarkStart w:id="3813" w:name="_Toc42780042"/>
      <w:bookmarkStart w:id="3814" w:name="_Toc42780471"/>
      <w:bookmarkStart w:id="3815" w:name="_Toc42786461"/>
      <w:bookmarkStart w:id="3816" w:name="_Toc42791954"/>
      <w:bookmarkStart w:id="3817" w:name="_Toc42792116"/>
      <w:bookmarkStart w:id="3818" w:name="_Toc43117923"/>
      <w:bookmarkStart w:id="3819" w:name="_Toc43121562"/>
      <w:bookmarkStart w:id="3820" w:name="_Toc43122767"/>
      <w:bookmarkStart w:id="3821" w:name="_Toc43127822"/>
      <w:r w:rsidRPr="00027624">
        <w:t xml:space="preserve">Age Pension means test exemption for </w:t>
      </w:r>
      <w:bookmarkEnd w:id="3803"/>
      <w:bookmarkEnd w:id="3804"/>
      <w:bookmarkEnd w:id="3805"/>
      <w:bookmarkEnd w:id="3806"/>
      <w:bookmarkEnd w:id="3807"/>
      <w:bookmarkEnd w:id="3808"/>
      <w:bookmarkEnd w:id="3809"/>
      <w:bookmarkEnd w:id="3810"/>
      <w:bookmarkEnd w:id="3811"/>
      <w:r w:rsidRPr="00027624">
        <w:t>people who are blind</w:t>
      </w:r>
      <w:bookmarkEnd w:id="3812"/>
      <w:bookmarkEnd w:id="3813"/>
      <w:bookmarkEnd w:id="3814"/>
      <w:bookmarkEnd w:id="3815"/>
      <w:bookmarkEnd w:id="3816"/>
      <w:bookmarkEnd w:id="3817"/>
      <w:bookmarkEnd w:id="3818"/>
      <w:bookmarkEnd w:id="3819"/>
      <w:bookmarkEnd w:id="3820"/>
      <w:bookmarkEnd w:id="3821"/>
    </w:p>
    <w:p w14:paraId="57C179A7" w14:textId="77777777" w:rsidR="00B3792F" w:rsidRPr="00027624" w:rsidRDefault="00B3792F" w:rsidP="00B3792F">
      <w:r w:rsidRPr="00027624">
        <w:t xml:space="preserve">People who are blind are not means tested for the Age Pension or Disability Support Pension. In 1954, the means test for people who are blind was removed as part of a broader aim to remove all means testing from the Age Pension, which lasted into the 1970s </w:t>
      </w:r>
      <w:sdt>
        <w:sdtPr>
          <w:id w:val="-776481678"/>
          <w:citation/>
        </w:sdtPr>
        <w:sdtEndPr/>
        <w:sdtContent>
          <w:r w:rsidRPr="00027624">
            <w:fldChar w:fldCharType="begin"/>
          </w:r>
          <w:r w:rsidRPr="00027624">
            <w:instrText xml:space="preserve"> CITATION Her08 \l 3081 </w:instrText>
          </w:r>
          <w:r w:rsidRPr="00027624">
            <w:fldChar w:fldCharType="separate"/>
          </w:r>
          <w:r w:rsidR="00E83F6E">
            <w:rPr>
              <w:noProof/>
            </w:rPr>
            <w:t>(Herscovitch &amp; Stanton, 2008)</w:t>
          </w:r>
          <w:r w:rsidRPr="00027624">
            <w:fldChar w:fldCharType="end"/>
          </w:r>
        </w:sdtContent>
      </w:sdt>
      <w:r w:rsidRPr="00027624">
        <w:t xml:space="preserve">. A previous rationale for the means test exemption for people who are blind was that it </w:t>
      </w:r>
      <w:r w:rsidR="00A8443E" w:rsidRPr="00027624">
        <w:t>‘</w:t>
      </w:r>
      <w:r w:rsidR="000527D4" w:rsidRPr="00027624">
        <w:t xml:space="preserve"> … </w:t>
      </w:r>
      <w:r w:rsidRPr="00027624">
        <w:rPr>
          <w:rStyle w:val="QuoteChar"/>
        </w:rPr>
        <w:t>helps meet the extra costs of blindness in communication, mobility, transport and daily living</w:t>
      </w:r>
      <w:r w:rsidR="00A8443E" w:rsidRPr="00027624">
        <w:rPr>
          <w:rStyle w:val="QuoteChar"/>
        </w:rPr>
        <w:t>’</w:t>
      </w:r>
      <w:sdt>
        <w:sdtPr>
          <w:id w:val="2145388493"/>
          <w:citation/>
        </w:sdtPr>
        <w:sdtEndPr/>
        <w:sdtContent>
          <w:r w:rsidRPr="00027624">
            <w:fldChar w:fldCharType="begin"/>
          </w:r>
          <w:r w:rsidRPr="00027624">
            <w:instrText xml:space="preserve"> CITATION Nat96 \l 3081 </w:instrText>
          </w:r>
          <w:r w:rsidRPr="00027624">
            <w:fldChar w:fldCharType="separate"/>
          </w:r>
          <w:r w:rsidR="00E83F6E">
            <w:rPr>
              <w:noProof/>
            </w:rPr>
            <w:t xml:space="preserve"> (National Federation of Blind Citizens of Australia, 1996)</w:t>
          </w:r>
          <w:r w:rsidRPr="00027624">
            <w:fldChar w:fldCharType="end"/>
          </w:r>
        </w:sdtContent>
      </w:sdt>
      <w:r w:rsidRPr="00027624">
        <w:t>. However, with technological advancements and greater support to reduce out</w:t>
      </w:r>
      <w:r w:rsidR="00A8443E" w:rsidRPr="00027624">
        <w:noBreakHyphen/>
      </w:r>
      <w:r w:rsidRPr="00027624">
        <w:t>of</w:t>
      </w:r>
      <w:r w:rsidR="00A8443E" w:rsidRPr="00027624">
        <w:noBreakHyphen/>
      </w:r>
      <w:r w:rsidRPr="00027624">
        <w:t xml:space="preserve">pocket costs for people who are blind, such as through the National Disability Insurance Scheme or aged care, this rationale may have diminished. </w:t>
      </w:r>
    </w:p>
    <w:p w14:paraId="3464DEA6" w14:textId="77777777" w:rsidR="00B3792F" w:rsidRPr="00027624" w:rsidRDefault="00B3792F" w:rsidP="00B3792F">
      <w:r w:rsidRPr="00027624">
        <w:t>As people are more likely to become blind at older ages, the Age Pension means test exemption for people who are blind is received by a significant number of people who become blind later in life and have accumulated significant assets for their retirement. At 31 March 2019, of the 10,600 age pensioners who received this exemption, 65 per cent were first recorded as blind aged 65 and over, and 44 per cent were first recorded as blind aged 75 and over.</w:t>
      </w:r>
      <w:r w:rsidRPr="00027624">
        <w:rPr>
          <w:rStyle w:val="FootnoteReference"/>
        </w:rPr>
        <w:footnoteReference w:id="229"/>
      </w:r>
      <w:r w:rsidRPr="00027624">
        <w:t xml:space="preserve"> Around one</w:t>
      </w:r>
      <w:r w:rsidR="00A8443E" w:rsidRPr="00027624">
        <w:noBreakHyphen/>
      </w:r>
      <w:r w:rsidRPr="00027624">
        <w:t>quarter of those who received the exemption received a part</w:t>
      </w:r>
      <w:r w:rsidR="00A8443E" w:rsidRPr="00027624">
        <w:noBreakHyphen/>
      </w:r>
      <w:r w:rsidRPr="00027624">
        <w:t>rate of Age Pension before they became blind. The proportion of people with significant wealth who become blind later in life is expected to increase as the superannuation system</w:t>
      </w:r>
      <w:bookmarkStart w:id="3822" w:name="_Ref34917066"/>
      <w:bookmarkEnd w:id="3822"/>
      <w:r w:rsidRPr="00027624">
        <w:t xml:space="preserve"> matures.</w:t>
      </w:r>
    </w:p>
    <w:p w14:paraId="1CBE5E20" w14:textId="77777777" w:rsidR="00B3792F" w:rsidRPr="00027624" w:rsidRDefault="00B3792F" w:rsidP="00B3792F">
      <w:pPr>
        <w:pStyle w:val="Heading3"/>
      </w:pPr>
      <w:bookmarkStart w:id="3823" w:name="_Toc40366228"/>
      <w:bookmarkStart w:id="3824" w:name="_Toc40369774"/>
      <w:bookmarkStart w:id="3825" w:name="_Toc40427930"/>
      <w:bookmarkStart w:id="3826" w:name="_Toc40458185"/>
      <w:bookmarkStart w:id="3827" w:name="_Toc40461954"/>
      <w:bookmarkStart w:id="3828" w:name="_Toc40474509"/>
      <w:bookmarkStart w:id="3829" w:name="_Toc40478038"/>
      <w:bookmarkStart w:id="3830" w:name="_Toc40521618"/>
      <w:bookmarkStart w:id="3831" w:name="_Toc40530477"/>
      <w:bookmarkStart w:id="3832" w:name="_Toc42778903"/>
      <w:bookmarkStart w:id="3833" w:name="_Toc42780043"/>
      <w:bookmarkStart w:id="3834" w:name="_Toc42780472"/>
      <w:bookmarkStart w:id="3835" w:name="_Toc42786462"/>
      <w:bookmarkStart w:id="3836" w:name="_Toc42791955"/>
      <w:bookmarkStart w:id="3837" w:name="_Toc42792117"/>
      <w:bookmarkStart w:id="3838" w:name="_Toc43117924"/>
      <w:bookmarkStart w:id="3839" w:name="_Toc43121563"/>
      <w:bookmarkStart w:id="3840" w:name="_Toc43122768"/>
      <w:bookmarkStart w:id="3841" w:name="_Toc43127823"/>
      <w:r w:rsidRPr="00027624">
        <w:t>National Disability Insurance Scheme and aged care</w:t>
      </w:r>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p>
    <w:p w14:paraId="4E2DA09B" w14:textId="77777777" w:rsidR="00B3792F" w:rsidRPr="00027624" w:rsidRDefault="00B3792F" w:rsidP="00B3792F">
      <w:r w:rsidRPr="00027624">
        <w:t>People with disability aged 65 and over can only receive National Disability Insurance Scheme funding if they were receiving funding before age 65. People who acquire a disability from age 65 receive support through the aged care system. The two schemes are different in that:</w:t>
      </w:r>
    </w:p>
    <w:p w14:paraId="47772FE0" w14:textId="77777777" w:rsidR="00B3792F" w:rsidRPr="00DF2732" w:rsidRDefault="00B3792F" w:rsidP="00DF2732">
      <w:pPr>
        <w:pStyle w:val="Bullet"/>
      </w:pPr>
      <w:r w:rsidRPr="00DF2732">
        <w:t>Funding amounts under the National Disability Insurance Scheme are not capped</w:t>
      </w:r>
    </w:p>
    <w:p w14:paraId="42748ED9" w14:textId="77777777" w:rsidR="00B3792F" w:rsidRPr="00DF2732" w:rsidRDefault="00B3792F" w:rsidP="00DF2732">
      <w:pPr>
        <w:pStyle w:val="Bullet"/>
      </w:pPr>
      <w:r w:rsidRPr="00DF2732">
        <w:t xml:space="preserve">The National Disability Insurance Scheme is not means tested and has no fees </w:t>
      </w:r>
      <w:sdt>
        <w:sdtPr>
          <w:id w:val="1423921974"/>
          <w:citation/>
        </w:sdtPr>
        <w:sdtEndPr/>
        <w:sdtContent>
          <w:r w:rsidRPr="00DF2732">
            <w:fldChar w:fldCharType="begin"/>
          </w:r>
          <w:r w:rsidRPr="00DF2732">
            <w:instrText xml:space="preserve"> CITATION Buc16 \l 3081 </w:instrText>
          </w:r>
          <w:r w:rsidRPr="00DF2732">
            <w:fldChar w:fldCharType="separate"/>
          </w:r>
          <w:r w:rsidR="00E83F6E" w:rsidRPr="00DF2732">
            <w:t>(Buckmaster, 2016)</w:t>
          </w:r>
          <w:r w:rsidRPr="00DF2732">
            <w:fldChar w:fldCharType="end"/>
          </w:r>
        </w:sdtContent>
      </w:sdt>
      <w:r w:rsidRPr="00DF2732">
        <w:t>, unlike aged care home packages</w:t>
      </w:r>
    </w:p>
    <w:p w14:paraId="0C98F8F2" w14:textId="77777777" w:rsidR="00B3792F" w:rsidRPr="00027624" w:rsidRDefault="00B3792F" w:rsidP="00DF2732">
      <w:pPr>
        <w:pStyle w:val="Bullet"/>
      </w:pPr>
      <w:r w:rsidRPr="00DF2732">
        <w:t>National Disability Insurance Scheme recipients may have a higher level of control over how funds</w:t>
      </w:r>
      <w:r w:rsidRPr="00027624">
        <w:t xml:space="preserve"> are spent and which providers they can choose</w:t>
      </w:r>
    </w:p>
    <w:p w14:paraId="639314C8" w14:textId="77777777" w:rsidR="00B3792F" w:rsidRPr="00027624" w:rsidRDefault="00B3792F" w:rsidP="00B3792F">
      <w:r w:rsidRPr="00027624">
        <w:t>These variations can result in retirees receiving different levels of financial support based on when they acquire their disability. Where this financial support is inadequate to deal with the disability, people may need to draw down their retirement savings more quickly to make up the shortfall.</w:t>
      </w:r>
    </w:p>
    <w:p w14:paraId="1C9137B1" w14:textId="77777777" w:rsidR="00B3792F" w:rsidRPr="00027624" w:rsidRDefault="00B3792F" w:rsidP="00B3792F">
      <w:pPr>
        <w:pStyle w:val="Heading3"/>
      </w:pPr>
      <w:bookmarkStart w:id="3842" w:name="_Toc40366229"/>
      <w:bookmarkStart w:id="3843" w:name="_Toc40369775"/>
      <w:bookmarkStart w:id="3844" w:name="_Toc40427931"/>
      <w:bookmarkStart w:id="3845" w:name="_Toc40458186"/>
      <w:bookmarkStart w:id="3846" w:name="_Toc40461955"/>
      <w:bookmarkStart w:id="3847" w:name="_Toc40474510"/>
      <w:bookmarkStart w:id="3848" w:name="_Toc40478039"/>
      <w:bookmarkStart w:id="3849" w:name="_Toc40521619"/>
      <w:bookmarkStart w:id="3850" w:name="_Toc40530478"/>
      <w:bookmarkStart w:id="3851" w:name="_Toc42778904"/>
      <w:bookmarkStart w:id="3852" w:name="_Toc42780044"/>
      <w:bookmarkStart w:id="3853" w:name="_Toc42780473"/>
      <w:bookmarkStart w:id="3854" w:name="_Toc42786463"/>
      <w:bookmarkStart w:id="3855" w:name="_Toc42791956"/>
      <w:bookmarkStart w:id="3856" w:name="_Toc42792118"/>
      <w:bookmarkStart w:id="3857" w:name="_Toc43117925"/>
      <w:bookmarkStart w:id="3858" w:name="_Toc43121564"/>
      <w:bookmarkStart w:id="3859" w:name="_Toc43122769"/>
      <w:bookmarkStart w:id="3860" w:name="_Toc43127824"/>
      <w:r w:rsidRPr="00027624">
        <w:t>Early release of superannuation benefits</w:t>
      </w:r>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p>
    <w:p w14:paraId="0A123E85" w14:textId="77777777" w:rsidR="00B3792F" w:rsidRPr="00027624" w:rsidRDefault="00B3792F" w:rsidP="00B3792F">
      <w:pPr>
        <w:spacing w:after="240"/>
      </w:pPr>
      <w:r w:rsidRPr="00027624">
        <w:t>People with disability may be eligible to release their superannuation benefits before superannuation preservation age on compassionate grounds to meet the costs associated with medical treatment or transport, or modifications to a home or vehicle due to severe disability. For most people,</w:t>
      </w:r>
      <w:r w:rsidRPr="00027624" w:rsidDel="00BA2044">
        <w:t xml:space="preserve"> </w:t>
      </w:r>
      <w:r w:rsidRPr="00027624">
        <w:t xml:space="preserve">limited early release of superannuation is projected to have a small effect on their eventual retirement income (see </w:t>
      </w:r>
      <w:r w:rsidRPr="00027624">
        <w:rPr>
          <w:i/>
        </w:rPr>
        <w:t xml:space="preserve">2C. </w:t>
      </w:r>
      <w:bookmarkStart w:id="3861" w:name="_Ref34921004"/>
      <w:bookmarkStart w:id="3862" w:name="_Ref35948497"/>
      <w:bookmarkEnd w:id="3861"/>
      <w:bookmarkEnd w:id="3862"/>
      <w:r w:rsidRPr="00027624">
        <w:rPr>
          <w:i/>
        </w:rPr>
        <w:t>Maintaining standards of living in retirement</w:t>
      </w:r>
      <w:r w:rsidRPr="00027624">
        <w:t xml:space="preserve">). </w:t>
      </w:r>
    </w:p>
    <w:tbl>
      <w:tblPr>
        <w:tblStyle w:val="TableGrid"/>
        <w:tblW w:w="5000" w:type="pct"/>
        <w:shd w:val="clear" w:color="auto" w:fill="FFF8EA"/>
        <w:tblLook w:val="04A0" w:firstRow="1" w:lastRow="0" w:firstColumn="1" w:lastColumn="0" w:noHBand="0" w:noVBand="1"/>
      </w:tblPr>
      <w:tblGrid>
        <w:gridCol w:w="9070"/>
      </w:tblGrid>
      <w:tr w:rsidR="00B3792F" w:rsidRPr="00027624" w14:paraId="2E7DB414" w14:textId="77777777" w:rsidTr="00B3792F">
        <w:tc>
          <w:tcPr>
            <w:tcW w:w="5000" w:type="pct"/>
            <w:shd w:val="clear" w:color="auto" w:fill="FFF8EA"/>
          </w:tcPr>
          <w:p w14:paraId="78F53726" w14:textId="77777777" w:rsidR="00B3792F" w:rsidRPr="00027624" w:rsidRDefault="00B3792F" w:rsidP="00582C3E">
            <w:pPr>
              <w:pStyle w:val="BoxHeading"/>
            </w:pPr>
            <w:r w:rsidRPr="00027624">
              <w:lastRenderedPageBreak/>
              <w:t>Impacts of policy settings on the retirement outcomes of people with disability</w:t>
            </w:r>
          </w:p>
          <w:p w14:paraId="7251ADE7" w14:textId="77777777" w:rsidR="00B3792F" w:rsidRPr="00027624" w:rsidRDefault="00B3792F" w:rsidP="00B3792F">
            <w:r w:rsidRPr="00027624">
              <w:t xml:space="preserve">A few submissions raised policy proposals affecting the retirement outcomes of people with disability. The following summary outlines the implication of one of those proposals. </w:t>
            </w:r>
          </w:p>
          <w:p w14:paraId="428975EC" w14:textId="77777777" w:rsidR="00B3792F" w:rsidRPr="00027624" w:rsidRDefault="00B3792F" w:rsidP="0040417A">
            <w:pPr>
              <w:pStyle w:val="BoxBullet"/>
            </w:pPr>
            <w:r w:rsidRPr="00027624">
              <w:rPr>
                <w:b/>
                <w:bCs/>
              </w:rPr>
              <w:t xml:space="preserve">Increase support for retirees with disability who rent. </w:t>
            </w:r>
            <w:r w:rsidRPr="00027624">
              <w:t>Given their lower</w:t>
            </w:r>
            <w:r w:rsidRPr="00027624" w:rsidDel="003D199F">
              <w:t xml:space="preserve"> </w:t>
            </w:r>
            <w:r w:rsidRPr="00027624">
              <w:t>labour force participation, particularly among people with a more severe disability, income support will comprise a large part of the retirement incomes of those with disability. The Age Pension rate is an important factor in determining whether people with disability have adequate retirement incomes. Since a higher proportion of people with disability rent in retirement, increasing support for retirees who rent would improve retirement outcomes for many people with disability (s</w:t>
            </w:r>
            <w:r w:rsidRPr="00027624">
              <w:rPr>
                <w:iCs/>
              </w:rPr>
              <w:t>ee</w:t>
            </w:r>
            <w:r w:rsidRPr="00027624">
              <w:rPr>
                <w:i/>
                <w:iCs/>
              </w:rPr>
              <w:t xml:space="preserve"> </w:t>
            </w:r>
            <w:r w:rsidRPr="00027624">
              <w:rPr>
                <w:i/>
              </w:rPr>
              <w:t>2B. Policy scenario: Implications of increasing Commonwealth Rent Assistance</w:t>
            </w:r>
            <w:r w:rsidRPr="00027624">
              <w:t>).</w:t>
            </w:r>
          </w:p>
        </w:tc>
      </w:tr>
      <w:bookmarkEnd w:id="3551"/>
    </w:tbl>
    <w:p w14:paraId="277238D6" w14:textId="77777777" w:rsidR="001B6C0B" w:rsidRPr="00027624" w:rsidRDefault="001B6C0B" w:rsidP="00B3792F">
      <w:pPr>
        <w:spacing w:before="0" w:after="160" w:line="259" w:lineRule="auto"/>
        <w:sectPr w:rsidR="001B6C0B" w:rsidRPr="00027624" w:rsidSect="001B6C0B">
          <w:type w:val="oddPage"/>
          <w:pgSz w:w="11906" w:h="16838" w:code="9"/>
          <w:pgMar w:top="1418" w:right="1418" w:bottom="1418" w:left="1418" w:header="709" w:footer="709" w:gutter="0"/>
          <w:cols w:space="708"/>
          <w:titlePg/>
          <w:docGrid w:linePitch="360"/>
        </w:sectPr>
      </w:pPr>
    </w:p>
    <w:p w14:paraId="63FB2DDA" w14:textId="77777777" w:rsidR="00B3792F" w:rsidRPr="00027624" w:rsidRDefault="00B3792F" w:rsidP="00582C3E">
      <w:pPr>
        <w:pStyle w:val="Heading1"/>
      </w:pPr>
      <w:bookmarkStart w:id="3863" w:name="_Toc31720351"/>
      <w:bookmarkStart w:id="3864" w:name="_Toc40297444"/>
      <w:bookmarkStart w:id="3865" w:name="_Toc40366230"/>
      <w:bookmarkStart w:id="3866" w:name="_Toc40369776"/>
      <w:bookmarkStart w:id="3867" w:name="_Toc40427932"/>
      <w:bookmarkStart w:id="3868" w:name="_Toc40458187"/>
      <w:bookmarkStart w:id="3869" w:name="_Toc40461956"/>
      <w:bookmarkStart w:id="3870" w:name="_Toc40474511"/>
      <w:bookmarkStart w:id="3871" w:name="_Toc40478040"/>
      <w:bookmarkStart w:id="3872" w:name="_Toc40521620"/>
      <w:bookmarkStart w:id="3873" w:name="_Toc40530479"/>
      <w:bookmarkStart w:id="3874" w:name="_Toc42778905"/>
      <w:bookmarkStart w:id="3875" w:name="_Toc42780045"/>
      <w:bookmarkStart w:id="3876" w:name="_Toc42780474"/>
      <w:bookmarkStart w:id="3877" w:name="_Toc42786464"/>
      <w:bookmarkStart w:id="3878" w:name="_Toc42791957"/>
      <w:bookmarkStart w:id="3879" w:name="_Toc42792119"/>
      <w:bookmarkStart w:id="3880" w:name="_Toc43117926"/>
      <w:bookmarkStart w:id="3881" w:name="_Toc43121565"/>
      <w:bookmarkStart w:id="3882" w:name="_Toc43122770"/>
      <w:bookmarkStart w:id="3883" w:name="_Toc43127825"/>
      <w:bookmarkStart w:id="3884" w:name="_Toc45520531"/>
      <w:bookmarkStart w:id="3885" w:name="_Toc46133643"/>
      <w:bookmarkStart w:id="3886" w:name="_Toc35075590"/>
      <w:bookmarkStart w:id="3887" w:name="_Toc40286062"/>
      <w:r w:rsidRPr="00027624">
        <w:rPr>
          <w:rStyle w:val="Heading3Char"/>
          <w:b w:val="0"/>
          <w:color w:val="144E60" w:themeColor="accent1"/>
          <w:sz w:val="48"/>
          <w:szCs w:val="36"/>
        </w:rPr>
        <w:lastRenderedPageBreak/>
        <w:t>Intergenerational equity</w:t>
      </w:r>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r w:rsidRPr="00027624">
        <w:rPr>
          <w:rStyle w:val="Heading3Char"/>
          <w:b w:val="0"/>
          <w:color w:val="144E60" w:themeColor="accent1"/>
          <w:sz w:val="48"/>
          <w:szCs w:val="36"/>
        </w:rPr>
        <w:t xml:space="preserve"> </w:t>
      </w:r>
      <w:bookmarkEnd w:id="3886"/>
      <w:bookmarkEnd w:id="3887"/>
    </w:p>
    <w:tbl>
      <w:tblPr>
        <w:tblW w:w="5000" w:type="pct"/>
        <w:shd w:val="clear" w:color="auto" w:fill="DFD7E7" w:themeFill="accent3" w:themeFillTint="33"/>
        <w:tblLook w:val="01E0" w:firstRow="1" w:lastRow="1" w:firstColumn="1" w:lastColumn="1" w:noHBand="0" w:noVBand="0"/>
      </w:tblPr>
      <w:tblGrid>
        <w:gridCol w:w="9070"/>
      </w:tblGrid>
      <w:tr w:rsidR="00B3792F" w:rsidRPr="00027624" w14:paraId="3725CFEE" w14:textId="77777777" w:rsidTr="00B3792F">
        <w:tc>
          <w:tcPr>
            <w:tcW w:w="5000" w:type="pct"/>
            <w:shd w:val="clear" w:color="auto" w:fill="DFD7E7" w:themeFill="accent3" w:themeFillTint="33"/>
          </w:tcPr>
          <w:p w14:paraId="361AE24E" w14:textId="77777777" w:rsidR="00B3792F" w:rsidRPr="00027624" w:rsidRDefault="00B3792F" w:rsidP="00582C3E">
            <w:pPr>
              <w:pStyle w:val="BoxHeading"/>
            </w:pPr>
            <w:r w:rsidRPr="00027624">
              <w:t>Section summary</w:t>
            </w:r>
          </w:p>
          <w:p w14:paraId="4068A992" w14:textId="77777777" w:rsidR="00B3792F" w:rsidRPr="00027624" w:rsidRDefault="00B3792F" w:rsidP="0040417A">
            <w:pPr>
              <w:pStyle w:val="BoxBullet"/>
            </w:pPr>
            <w:r w:rsidRPr="00027624">
              <w:rPr>
                <w:b/>
              </w:rPr>
              <w:t>The Age Pension is taxpayer</w:t>
            </w:r>
            <w:r w:rsidR="00A8443E" w:rsidRPr="00027624">
              <w:rPr>
                <w:b/>
              </w:rPr>
              <w:noBreakHyphen/>
            </w:r>
            <w:r w:rsidRPr="00027624">
              <w:rPr>
                <w:b/>
              </w:rPr>
              <w:t>funded, which means working</w:t>
            </w:r>
            <w:r w:rsidR="00A8443E" w:rsidRPr="00027624">
              <w:rPr>
                <w:b/>
              </w:rPr>
              <w:noBreakHyphen/>
            </w:r>
            <w:r w:rsidRPr="00027624">
              <w:rPr>
                <w:b/>
              </w:rPr>
              <w:t>age people pay for retirees</w:t>
            </w:r>
            <w:r w:rsidR="00A8443E" w:rsidRPr="00027624">
              <w:rPr>
                <w:b/>
              </w:rPr>
              <w:t>’</w:t>
            </w:r>
            <w:r w:rsidRPr="00027624">
              <w:rPr>
                <w:b/>
              </w:rPr>
              <w:t xml:space="preserve"> Age Pension benefits.</w:t>
            </w:r>
            <w:r w:rsidRPr="00027624">
              <w:t xml:space="preserve"> This forms a fundamental part of the </w:t>
            </w:r>
            <w:r w:rsidR="00A8443E" w:rsidRPr="00027624">
              <w:t>‘</w:t>
            </w:r>
            <w:r w:rsidRPr="00027624">
              <w:t>generational bargain</w:t>
            </w:r>
            <w:r w:rsidR="00A8443E" w:rsidRPr="00027624">
              <w:t>’</w:t>
            </w:r>
            <w:r w:rsidRPr="00027624">
              <w:t>: working</w:t>
            </w:r>
            <w:r w:rsidR="00A8443E" w:rsidRPr="00027624">
              <w:noBreakHyphen/>
            </w:r>
            <w:r w:rsidRPr="00027624">
              <w:t xml:space="preserve">age people expect the generation after them to fund the Age Pension in the same way they did for current retirees. </w:t>
            </w:r>
          </w:p>
          <w:p w14:paraId="0A3E1AB6" w14:textId="77777777" w:rsidR="00B3792F" w:rsidRPr="00027624" w:rsidRDefault="00B3792F" w:rsidP="0040417A">
            <w:pPr>
              <w:pStyle w:val="BoxBullet"/>
            </w:pPr>
            <w:r w:rsidRPr="00027624">
              <w:rPr>
                <w:b/>
              </w:rPr>
              <w:t>The structure of Australia</w:t>
            </w:r>
            <w:r w:rsidR="00A8443E" w:rsidRPr="00027624">
              <w:rPr>
                <w:b/>
              </w:rPr>
              <w:t>’</w:t>
            </w:r>
            <w:r w:rsidRPr="00027624">
              <w:rPr>
                <w:b/>
              </w:rPr>
              <w:t>s superannuation system broadly supports intergenerational equity by encouraging people to rely on their own savings rather than on future generations to fund their retirement.</w:t>
            </w:r>
            <w:r w:rsidRPr="00027624">
              <w:t xml:space="preserve"> The primarily defined contribution structure of Australia</w:t>
            </w:r>
            <w:r w:rsidR="00A8443E" w:rsidRPr="00027624">
              <w:t>’</w:t>
            </w:r>
            <w:r w:rsidRPr="00027624">
              <w:t>s superannuation system, combined with other voluntary savings, encourages people to fund their own retirement by saving during their working life. Retirees can receive superannuation earnings tax concessions, which are taxpayer</w:t>
            </w:r>
            <w:r w:rsidR="00A8443E" w:rsidRPr="00027624">
              <w:noBreakHyphen/>
            </w:r>
            <w:r w:rsidRPr="00027624">
              <w:t>funded and increase the size of the generational bargain. Nevertheless, superannuation lowers the burden on working</w:t>
            </w:r>
            <w:r w:rsidR="00A8443E" w:rsidRPr="00027624">
              <w:noBreakHyphen/>
            </w:r>
            <w:r w:rsidRPr="00027624">
              <w:t xml:space="preserve">age people to support retirees. </w:t>
            </w:r>
          </w:p>
          <w:p w14:paraId="0B937556" w14:textId="77777777" w:rsidR="00B3792F" w:rsidRPr="00027624" w:rsidRDefault="00B3792F" w:rsidP="0040417A">
            <w:pPr>
              <w:pStyle w:val="BoxBullet"/>
            </w:pPr>
            <w:r w:rsidRPr="00027624">
              <w:rPr>
                <w:b/>
              </w:rPr>
              <w:t>For each working</w:t>
            </w:r>
            <w:r w:rsidR="00A8443E" w:rsidRPr="00027624">
              <w:rPr>
                <w:b/>
              </w:rPr>
              <w:noBreakHyphen/>
            </w:r>
            <w:r w:rsidRPr="00027624">
              <w:rPr>
                <w:b/>
              </w:rPr>
              <w:t xml:space="preserve">age person, the cost of the Age Pension and </w:t>
            </w:r>
            <w:r w:rsidRPr="00027624">
              <w:rPr>
                <w:b/>
                <w:bCs/>
              </w:rPr>
              <w:t>superannuation</w:t>
            </w:r>
            <w:r w:rsidRPr="00027624">
              <w:rPr>
                <w:b/>
              </w:rPr>
              <w:t xml:space="preserve"> earnings tax concessions retirees receive is projected to continue to increase over the next 40 years </w:t>
            </w:r>
            <w:r w:rsidRPr="00027624">
              <w:rPr>
                <w:b/>
                <w:i/>
              </w:rPr>
              <w:t>in dollar terms</w:t>
            </w:r>
            <w:r w:rsidRPr="00027624">
              <w:rPr>
                <w:b/>
              </w:rPr>
              <w:t xml:space="preserve">. But, depending on real wage growth, the cost may be broadly similar </w:t>
            </w:r>
            <w:r w:rsidRPr="00027624">
              <w:rPr>
                <w:b/>
                <w:i/>
              </w:rPr>
              <w:t xml:space="preserve">as a proportion of wages </w:t>
            </w:r>
            <w:r w:rsidRPr="00027624">
              <w:rPr>
                <w:b/>
              </w:rPr>
              <w:t>in 40 years</w:t>
            </w:r>
            <w:r w:rsidR="00A8443E" w:rsidRPr="00027624">
              <w:rPr>
                <w:b/>
              </w:rPr>
              <w:t>’</w:t>
            </w:r>
            <w:r w:rsidRPr="00027624">
              <w:rPr>
                <w:b/>
              </w:rPr>
              <w:t xml:space="preserve"> time</w:t>
            </w:r>
            <w:r w:rsidRPr="00027624">
              <w:t>. For each working</w:t>
            </w:r>
            <w:r w:rsidR="00A8443E" w:rsidRPr="00027624">
              <w:noBreakHyphen/>
            </w:r>
            <w:r w:rsidRPr="00027624">
              <w:t>age person, the maturing superannuation system will decrease the cost of the Age Pension but increase the cost of superannuation earnings tax concessions retirees receive. In contrast, the decline in the ratio of working</w:t>
            </w:r>
            <w:r w:rsidR="00A8443E" w:rsidRPr="00027624">
              <w:noBreakHyphen/>
            </w:r>
            <w:r w:rsidRPr="00027624">
              <w:t>age people to retirees, coupled with continued benchmarking of the Age Pension to wage improvements, will increase the cost of the Age Pension per working</w:t>
            </w:r>
            <w:r w:rsidR="00A8443E" w:rsidRPr="00027624">
              <w:noBreakHyphen/>
            </w:r>
            <w:r w:rsidRPr="00027624">
              <w:t>age person. Real wage growth will be needed to ensure the Age Pension and earnings tax concessions retirees receive do not place a growing burden on working</w:t>
            </w:r>
            <w:r w:rsidR="00A8443E" w:rsidRPr="00027624">
              <w:noBreakHyphen/>
            </w:r>
            <w:r w:rsidRPr="00027624">
              <w:t xml:space="preserve">age people. </w:t>
            </w:r>
          </w:p>
          <w:p w14:paraId="33092714" w14:textId="77777777" w:rsidR="00B3792F" w:rsidRPr="00027624" w:rsidRDefault="00B3792F" w:rsidP="0040417A">
            <w:pPr>
              <w:pStyle w:val="BoxBullet"/>
            </w:pPr>
            <w:r w:rsidRPr="00027624">
              <w:rPr>
                <w:b/>
              </w:rPr>
              <w:t>Different generations have different opportunities to accumulate retirement savings and generate retirement incomes due to forces inside and outside the retirement income system.</w:t>
            </w:r>
            <w:r w:rsidRPr="00027624">
              <w:t xml:space="preserve"> Current older Australians have benefited from higher superannuation contributions caps and strong increases in residential property values. Younger Australians will benefit from a longer period</w:t>
            </w:r>
            <w:r w:rsidRPr="00027624" w:rsidDel="00731B21">
              <w:t xml:space="preserve"> of</w:t>
            </w:r>
            <w:r w:rsidRPr="00027624">
              <w:t xml:space="preserve"> contributing to superannuation and the higher SG rate. </w:t>
            </w:r>
          </w:p>
          <w:p w14:paraId="012D0502" w14:textId="77777777" w:rsidR="00B3792F" w:rsidRPr="00027624" w:rsidRDefault="00B3792F" w:rsidP="0040417A">
            <w:pPr>
              <w:pStyle w:val="BoxBullet"/>
            </w:pPr>
            <w:r w:rsidRPr="00027624">
              <w:rPr>
                <w:b/>
              </w:rPr>
              <w:t>Inheritances can assist some current young people to prepare for retirement, but they come at a cost to intragenerational equity.</w:t>
            </w:r>
            <w:r w:rsidRPr="00027624">
              <w:t xml:space="preserve"> Inheritances</w:t>
            </w:r>
            <w:r w:rsidRPr="00027624" w:rsidDel="00D04FC6">
              <w:t xml:space="preserve"> </w:t>
            </w:r>
            <w:r w:rsidRPr="00027624">
              <w:t>allow current older people to pass their wealth to current younger people. If most people continue to die with the majority of the wealth they had at retirement,</w:t>
            </w:r>
            <w:r w:rsidRPr="00027624" w:rsidDel="0057598E">
              <w:t xml:space="preserve"> </w:t>
            </w:r>
            <w:r w:rsidRPr="00027624">
              <w:t xml:space="preserve">the maturing superannuation system is expected to increase the size of inheritances. Inheritances are distributed unequally, with wealthier people tending to receive larger inheritances. </w:t>
            </w:r>
          </w:p>
        </w:tc>
      </w:tr>
    </w:tbl>
    <w:p w14:paraId="40A6ABC3" w14:textId="77777777" w:rsidR="00B3792F" w:rsidRPr="00027624" w:rsidRDefault="00B3792F" w:rsidP="00BC6F14">
      <w:pPr>
        <w:pStyle w:val="Heading2"/>
        <w:spacing w:before="300"/>
      </w:pPr>
      <w:bookmarkStart w:id="3888" w:name="_Toc40286063"/>
      <w:bookmarkStart w:id="3889" w:name="_Toc40366231"/>
      <w:bookmarkStart w:id="3890" w:name="_Toc40369777"/>
      <w:bookmarkStart w:id="3891" w:name="_Toc40427933"/>
      <w:bookmarkStart w:id="3892" w:name="_Toc40458188"/>
      <w:bookmarkStart w:id="3893" w:name="_Toc40461957"/>
      <w:bookmarkStart w:id="3894" w:name="_Toc40474512"/>
      <w:bookmarkStart w:id="3895" w:name="_Toc40478041"/>
      <w:bookmarkStart w:id="3896" w:name="_Toc40521621"/>
      <w:bookmarkStart w:id="3897" w:name="_Toc40530480"/>
      <w:bookmarkStart w:id="3898" w:name="_Toc42778906"/>
      <w:bookmarkStart w:id="3899" w:name="_Toc42780046"/>
      <w:bookmarkStart w:id="3900" w:name="_Toc42780475"/>
      <w:bookmarkStart w:id="3901" w:name="_Toc42786465"/>
      <w:bookmarkStart w:id="3902" w:name="_Toc42791958"/>
      <w:bookmarkStart w:id="3903" w:name="_Toc42792120"/>
      <w:bookmarkStart w:id="3904" w:name="_Toc43117927"/>
      <w:bookmarkStart w:id="3905" w:name="_Toc43121566"/>
      <w:bookmarkStart w:id="3906" w:name="_Toc43122771"/>
      <w:bookmarkStart w:id="3907" w:name="_Toc43127826"/>
      <w:bookmarkStart w:id="3908" w:name="_Toc45520532"/>
      <w:bookmarkStart w:id="3909" w:name="_Toc46133644"/>
      <w:r w:rsidRPr="00027624">
        <w:t>Outline of this section</w:t>
      </w:r>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p>
    <w:p w14:paraId="55183606" w14:textId="77777777" w:rsidR="00B3792F" w:rsidRPr="00027624" w:rsidRDefault="00B3792F" w:rsidP="00B3792F">
      <w:pPr>
        <w:pStyle w:val="Bullet"/>
        <w:numPr>
          <w:ilvl w:val="0"/>
          <w:numId w:val="0"/>
        </w:numPr>
        <w:ind w:left="284" w:hanging="284"/>
        <w:rPr>
          <w:rFonts w:eastAsiaTheme="minorHAnsi"/>
          <w:lang w:eastAsia="en-US"/>
        </w:rPr>
      </w:pPr>
      <w:r w:rsidRPr="00027624">
        <w:rPr>
          <w:rFonts w:eastAsiaTheme="minorHAnsi"/>
          <w:lang w:eastAsia="en-US"/>
        </w:rPr>
        <w:t>This section assesses intergenerational equity by examining:</w:t>
      </w:r>
    </w:p>
    <w:p w14:paraId="1CDD6A62" w14:textId="77777777" w:rsidR="00B3792F" w:rsidRPr="00027624" w:rsidRDefault="00B3792F" w:rsidP="00BC6F14">
      <w:pPr>
        <w:pStyle w:val="Bullet"/>
        <w:keepLines/>
        <w:rPr>
          <w:rFonts w:eastAsiaTheme="minorHAnsi"/>
          <w:lang w:eastAsia="en-US"/>
        </w:rPr>
      </w:pPr>
      <w:r w:rsidRPr="00027624">
        <w:rPr>
          <w:rFonts w:eastAsiaTheme="minorHAnsi"/>
          <w:lang w:eastAsia="en-US"/>
        </w:rPr>
        <w:t>How Australia</w:t>
      </w:r>
      <w:r w:rsidR="00A8443E" w:rsidRPr="00027624">
        <w:rPr>
          <w:rFonts w:eastAsiaTheme="minorHAnsi"/>
          <w:lang w:eastAsia="en-US"/>
        </w:rPr>
        <w:t>’</w:t>
      </w:r>
      <w:r w:rsidRPr="00027624">
        <w:rPr>
          <w:rFonts w:eastAsiaTheme="minorHAnsi"/>
          <w:lang w:eastAsia="en-US"/>
        </w:rPr>
        <w:t>s retirement income system is funded.</w:t>
      </w:r>
    </w:p>
    <w:p w14:paraId="75470226" w14:textId="77777777" w:rsidR="00B3792F" w:rsidRPr="00027624" w:rsidRDefault="00B3792F" w:rsidP="00BC6F14">
      <w:pPr>
        <w:pStyle w:val="Bullet"/>
        <w:keepLines/>
        <w:rPr>
          <w:rFonts w:eastAsiaTheme="minorHAnsi"/>
          <w:lang w:eastAsia="en-US"/>
        </w:rPr>
      </w:pPr>
      <w:r w:rsidRPr="00027624">
        <w:t>Whether the annual cost per working</w:t>
      </w:r>
      <w:r w:rsidR="00A8443E" w:rsidRPr="00027624">
        <w:noBreakHyphen/>
      </w:r>
      <w:r w:rsidRPr="00027624">
        <w:t>age person of the Age Pension and superannuation earnings tax concessions retirees receive (</w:t>
      </w:r>
      <w:r w:rsidR="00A8443E" w:rsidRPr="00027624">
        <w:t>‘</w:t>
      </w:r>
      <w:r w:rsidRPr="00027624">
        <w:rPr>
          <w:b/>
        </w:rPr>
        <w:t>generational transfer cost</w:t>
      </w:r>
      <w:r w:rsidR="00A8443E" w:rsidRPr="00027624">
        <w:t>’</w:t>
      </w:r>
      <w:r w:rsidRPr="00027624">
        <w:t>) has changed over time</w:t>
      </w:r>
      <w:r w:rsidR="00A8443E" w:rsidRPr="00027624">
        <w:t xml:space="preserve"> — </w:t>
      </w:r>
      <w:r w:rsidRPr="00027624">
        <w:t>in dollar terms and as a proportion of wages.</w:t>
      </w:r>
      <w:r w:rsidRPr="00027624">
        <w:rPr>
          <w:rStyle w:val="FootnoteReference"/>
        </w:rPr>
        <w:footnoteReference w:id="230"/>
      </w:r>
      <w:r w:rsidRPr="00027624">
        <w:t xml:space="preserve"> </w:t>
      </w:r>
    </w:p>
    <w:p w14:paraId="402A4FC2" w14:textId="77777777" w:rsidR="00B3792F" w:rsidRPr="00027624" w:rsidRDefault="00B3792F" w:rsidP="00BC6F14">
      <w:pPr>
        <w:pStyle w:val="Bullet"/>
        <w:keepLines/>
      </w:pPr>
      <w:r w:rsidRPr="00027624">
        <w:t>How</w:t>
      </w:r>
      <w:r w:rsidRPr="00027624" w:rsidDel="006C7F76">
        <w:t xml:space="preserve"> </w:t>
      </w:r>
      <w:r w:rsidRPr="00027624">
        <w:t xml:space="preserve">opportunities to accumulate retirement savings and generate retirement incomes have changed over time. </w:t>
      </w:r>
    </w:p>
    <w:p w14:paraId="3242AB4E" w14:textId="77777777" w:rsidR="00B3792F" w:rsidRPr="00027624" w:rsidRDefault="00B3792F" w:rsidP="00BC6F14">
      <w:pPr>
        <w:pStyle w:val="Bullet"/>
        <w:keepLines/>
      </w:pPr>
      <w:r w:rsidRPr="00027624">
        <w:t xml:space="preserve">How inheritances affect intragenerational equity. </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13DD51D3" w14:textId="77777777" w:rsidTr="00B3792F">
        <w:tc>
          <w:tcPr>
            <w:tcW w:w="5000" w:type="pct"/>
            <w:shd w:val="clear" w:color="auto" w:fill="FFF8EA"/>
          </w:tcPr>
          <w:p w14:paraId="42B2A368" w14:textId="77777777" w:rsidR="00B3792F" w:rsidRPr="00027624" w:rsidRDefault="00B3792F" w:rsidP="00582C3E">
            <w:pPr>
              <w:pStyle w:val="BoxHeading"/>
            </w:pPr>
            <w:r w:rsidRPr="00027624">
              <w:lastRenderedPageBreak/>
              <w:t>Stakeholder views on intergenerational equity</w:t>
            </w:r>
          </w:p>
          <w:p w14:paraId="5A339EFA" w14:textId="77777777" w:rsidR="00B3792F" w:rsidRPr="00027624" w:rsidRDefault="00B3792F" w:rsidP="00B3792F">
            <w:pPr>
              <w:pStyle w:val="BoxText"/>
            </w:pPr>
            <w:r w:rsidRPr="00027624">
              <w:t>A few stakeholders noted the importance of achieving intergenerational equity in the retirement income system, but there was no consensus on how to do so.</w:t>
            </w:r>
          </w:p>
          <w:p w14:paraId="0966C0A1" w14:textId="77777777" w:rsidR="00B3792F" w:rsidRPr="00027624" w:rsidRDefault="00B3792F" w:rsidP="00B3792F">
            <w:pPr>
              <w:pStyle w:val="BoxText"/>
            </w:pPr>
            <w:r w:rsidRPr="00027624">
              <w:t xml:space="preserve">Some stakeholders noted </w:t>
            </w:r>
            <w:r w:rsidRPr="00027624">
              <w:rPr>
                <w:b/>
              </w:rPr>
              <w:t>the Age Pension for each generation is funded by younger generations</w:t>
            </w:r>
            <w:r w:rsidRPr="00027624">
              <w:t>. A few stakeholders argued the burden on younger generations should not become unsustainable. They suggested increasing compulsory superannuation or encouraging self</w:t>
            </w:r>
            <w:r w:rsidR="00A8443E" w:rsidRPr="00027624">
              <w:noBreakHyphen/>
            </w:r>
            <w:r w:rsidRPr="00027624">
              <w:t>reliance in retirement would help achieve intergenerational equity. One stakeholder noted:</w:t>
            </w:r>
          </w:p>
          <w:p w14:paraId="45F891DE" w14:textId="77777777" w:rsidR="00B3792F" w:rsidRPr="00027624" w:rsidRDefault="00A8443E" w:rsidP="00B3792F">
            <w:pPr>
              <w:pStyle w:val="Quote"/>
            </w:pPr>
            <w:r w:rsidRPr="00027624">
              <w:t>‘</w:t>
            </w:r>
            <w:r w:rsidR="00B3792F" w:rsidRPr="00027624">
              <w:t>…if younger generations are faced with an increasing burden of supporting the incomes of retired Australians (through the tax system), then this could increase pressure on the implied inter‐generational social contract.</w:t>
            </w:r>
            <w:r w:rsidRPr="00027624">
              <w:t>’</w:t>
            </w:r>
            <w:sdt>
              <w:sdtPr>
                <w:id w:val="-214278257"/>
                <w:citation/>
              </w:sdtPr>
              <w:sdtEndPr/>
              <w:sdtContent>
                <w:r w:rsidR="00B3792F" w:rsidRPr="00027624">
                  <w:fldChar w:fldCharType="begin"/>
                </w:r>
                <w:r w:rsidR="00700280" w:rsidRPr="00027624">
                  <w:instrText xml:space="preserve">CITATION ASF20Sub \p 21 \l 3081 </w:instrText>
                </w:r>
                <w:r w:rsidR="00B3792F" w:rsidRPr="00027624">
                  <w:fldChar w:fldCharType="separate"/>
                </w:r>
                <w:r w:rsidR="00E83F6E">
                  <w:rPr>
                    <w:noProof/>
                  </w:rPr>
                  <w:t xml:space="preserve"> (ASFA, 2020a, p. 21)</w:t>
                </w:r>
                <w:r w:rsidR="00B3792F" w:rsidRPr="00027624">
                  <w:fldChar w:fldCharType="end"/>
                </w:r>
              </w:sdtContent>
            </w:sdt>
          </w:p>
          <w:p w14:paraId="6C00C005" w14:textId="77777777" w:rsidR="00B3792F" w:rsidRPr="00027624" w:rsidRDefault="00B3792F" w:rsidP="00B3792F">
            <w:pPr>
              <w:pStyle w:val="BoxText"/>
            </w:pPr>
            <w:r w:rsidRPr="00027624">
              <w:t xml:space="preserve">A few stakeholders noted </w:t>
            </w:r>
            <w:r w:rsidRPr="00027624">
              <w:rPr>
                <w:b/>
                <w:bCs/>
              </w:rPr>
              <w:t>a decline in housing affordability has reduced intergenerational equity</w:t>
            </w:r>
            <w:r w:rsidRPr="00027624">
              <w:t>, with fewer people in younger generations able to access the benefits of home ownership. One stakeholder noted:</w:t>
            </w:r>
          </w:p>
          <w:p w14:paraId="73D37FDE" w14:textId="77777777" w:rsidR="00B3792F" w:rsidRPr="00027624" w:rsidRDefault="00A8443E" w:rsidP="00B3792F">
            <w:pPr>
              <w:pStyle w:val="Quote"/>
            </w:pPr>
            <w:r w:rsidRPr="00027624">
              <w:t>‘</w:t>
            </w:r>
            <w:r w:rsidR="00B3792F" w:rsidRPr="00027624">
              <w:t>The increasing lack of housing affordability threatens inter</w:t>
            </w:r>
            <w:r w:rsidRPr="00027624">
              <w:noBreakHyphen/>
            </w:r>
            <w:r w:rsidR="00B3792F" w:rsidRPr="00027624">
              <w:t>generational retirement income equity and the ability of the existing system to deliver dignified retirements in the future…</w:t>
            </w:r>
            <w:r w:rsidRPr="00027624">
              <w:t>’</w:t>
            </w:r>
            <w:r w:rsidR="00B3792F" w:rsidRPr="00027624">
              <w:t xml:space="preserve"> </w:t>
            </w:r>
            <w:sdt>
              <w:sdtPr>
                <w:id w:val="-320579252"/>
                <w:citation/>
              </w:sdtPr>
              <w:sdtEndPr/>
              <w:sdtContent>
                <w:r w:rsidR="00B3792F" w:rsidRPr="00027624">
                  <w:fldChar w:fldCharType="begin"/>
                </w:r>
                <w:r w:rsidR="00B3792F" w:rsidRPr="00027624">
                  <w:instrText xml:space="preserve">CITATION Mar20 \p 14 \l 3081 </w:instrText>
                </w:r>
                <w:r w:rsidR="00B3792F" w:rsidRPr="00027624">
                  <w:fldChar w:fldCharType="separate"/>
                </w:r>
                <w:r w:rsidR="00E83F6E">
                  <w:rPr>
                    <w:noProof/>
                  </w:rPr>
                  <w:t>(Heffron, 2020, p. 14)</w:t>
                </w:r>
                <w:r w:rsidR="00B3792F" w:rsidRPr="00027624">
                  <w:fldChar w:fldCharType="end"/>
                </w:r>
              </w:sdtContent>
            </w:sdt>
          </w:p>
        </w:tc>
      </w:tr>
    </w:tbl>
    <w:p w14:paraId="2C98CDF7" w14:textId="77777777" w:rsidR="00B3792F" w:rsidRPr="00027624" w:rsidRDefault="00B3792F" w:rsidP="00AD6771">
      <w:pPr>
        <w:pStyle w:val="SingleParagraph"/>
        <w:rPr>
          <w:rFonts w:eastAsiaTheme="minorHAnsi"/>
          <w:lang w:eastAsia="en-US"/>
        </w:rPr>
      </w:pP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B3792F" w:rsidRPr="00027624" w14:paraId="6D17CF21" w14:textId="77777777" w:rsidTr="00B3792F">
        <w:tc>
          <w:tcPr>
            <w:tcW w:w="5000" w:type="pct"/>
            <w:shd w:val="clear" w:color="auto" w:fill="FFF8EA"/>
          </w:tcPr>
          <w:p w14:paraId="7D224D0D" w14:textId="77777777" w:rsidR="00B3792F" w:rsidRPr="00027624" w:rsidRDefault="00B3792F" w:rsidP="00582C3E">
            <w:pPr>
              <w:pStyle w:val="BoxHeading"/>
            </w:pPr>
            <w:bookmarkStart w:id="3910" w:name="_Ref36719228"/>
            <w:r w:rsidRPr="00027624">
              <w:t>What is intergenerational equity?</w:t>
            </w:r>
            <w:bookmarkEnd w:id="3910"/>
          </w:p>
          <w:p w14:paraId="27F2E123" w14:textId="77777777" w:rsidR="00B3792F" w:rsidRPr="00027624" w:rsidRDefault="00A8443E" w:rsidP="00B3792F">
            <w:pPr>
              <w:pStyle w:val="BoxText"/>
              <w:rPr>
                <w:rFonts w:eastAsiaTheme="minorHAnsi"/>
                <w:lang w:eastAsia="en-US"/>
              </w:rPr>
            </w:pPr>
            <w:r w:rsidRPr="00027624">
              <w:rPr>
                <w:rFonts w:eastAsiaTheme="minorHAnsi"/>
                <w:i/>
                <w:lang w:eastAsia="en-US"/>
              </w:rPr>
              <w:t>‘</w:t>
            </w:r>
            <w:r w:rsidR="00B3792F" w:rsidRPr="00027624">
              <w:rPr>
                <w:rFonts w:eastAsiaTheme="minorHAnsi"/>
                <w:lang w:eastAsia="en-US"/>
              </w:rPr>
              <w:t>Intergenerational equity</w:t>
            </w:r>
            <w:r w:rsidRPr="00027624">
              <w:rPr>
                <w:rFonts w:eastAsiaTheme="minorHAnsi"/>
                <w:lang w:eastAsia="en-US"/>
              </w:rPr>
              <w:t>’</w:t>
            </w:r>
            <w:r w:rsidR="00B3792F" w:rsidRPr="00027624">
              <w:rPr>
                <w:rFonts w:eastAsiaTheme="minorHAnsi"/>
                <w:lang w:eastAsia="en-US"/>
              </w:rPr>
              <w:t xml:space="preserve"> is concerned with fairness in the opportunities and outcomes between people of </w:t>
            </w:r>
            <w:r w:rsidR="00B3792F" w:rsidRPr="00027624">
              <w:rPr>
                <w:rFonts w:eastAsiaTheme="minorHAnsi"/>
                <w:i/>
                <w:lang w:eastAsia="en-US"/>
              </w:rPr>
              <w:t>different</w:t>
            </w:r>
            <w:r w:rsidR="00B3792F" w:rsidRPr="00027624">
              <w:rPr>
                <w:rFonts w:eastAsiaTheme="minorHAnsi"/>
                <w:lang w:eastAsia="en-US"/>
              </w:rPr>
              <w:t xml:space="preserve"> </w:t>
            </w:r>
            <w:r w:rsidR="00B3792F" w:rsidRPr="00027624">
              <w:rPr>
                <w:rFonts w:eastAsiaTheme="minorHAnsi"/>
                <w:i/>
                <w:lang w:eastAsia="en-US"/>
              </w:rPr>
              <w:t>generations</w:t>
            </w:r>
            <w:r w:rsidR="00B3792F" w:rsidRPr="00027624">
              <w:rPr>
                <w:rFonts w:eastAsiaTheme="minorHAnsi"/>
                <w:lang w:eastAsia="en-US"/>
              </w:rPr>
              <w:t xml:space="preserve">. It differs from </w:t>
            </w:r>
            <w:r w:rsidRPr="00027624">
              <w:rPr>
                <w:rFonts w:eastAsiaTheme="minorHAnsi"/>
                <w:lang w:eastAsia="en-US"/>
              </w:rPr>
              <w:t>‘</w:t>
            </w:r>
            <w:r w:rsidR="00B3792F" w:rsidRPr="00027624">
              <w:rPr>
                <w:rFonts w:eastAsiaTheme="minorHAnsi"/>
                <w:lang w:eastAsia="en-US"/>
              </w:rPr>
              <w:t>intragenerational equity</w:t>
            </w:r>
            <w:r w:rsidRPr="00027624">
              <w:rPr>
                <w:rFonts w:eastAsiaTheme="minorHAnsi"/>
                <w:lang w:eastAsia="en-US"/>
              </w:rPr>
              <w:t>’</w:t>
            </w:r>
            <w:r w:rsidR="00B3792F" w:rsidRPr="00027624">
              <w:rPr>
                <w:rFonts w:eastAsiaTheme="minorHAnsi"/>
                <w:lang w:eastAsia="en-US"/>
              </w:rPr>
              <w:t xml:space="preserve">, which is concerned with fairness in the opportunities and outcomes between people of the </w:t>
            </w:r>
            <w:r w:rsidR="00B3792F" w:rsidRPr="00027624">
              <w:rPr>
                <w:rFonts w:eastAsiaTheme="minorHAnsi"/>
                <w:i/>
                <w:lang w:eastAsia="en-US"/>
              </w:rPr>
              <w:t>same generation</w:t>
            </w:r>
            <w:r w:rsidR="00B3792F" w:rsidRPr="00027624">
              <w:rPr>
                <w:rFonts w:eastAsiaTheme="minorHAnsi"/>
                <w:lang w:eastAsia="en-US"/>
              </w:rPr>
              <w:t xml:space="preserve">. </w:t>
            </w:r>
          </w:p>
          <w:p w14:paraId="2BB3C778" w14:textId="77777777" w:rsidR="00B3792F" w:rsidRPr="00027624" w:rsidRDefault="00B3792F" w:rsidP="00B3792F">
            <w:pPr>
              <w:pStyle w:val="BoxText"/>
              <w:rPr>
                <w:rFonts w:eastAsiaTheme="minorHAnsi"/>
                <w:lang w:eastAsia="en-US"/>
              </w:rPr>
            </w:pPr>
            <w:r w:rsidRPr="00027624">
              <w:rPr>
                <w:rFonts w:eastAsiaTheme="minorHAnsi"/>
                <w:lang w:eastAsia="en-US"/>
              </w:rPr>
              <w:t>Many factors outside the retirement income system contribute to outcomes and opportunities experienced by different generations. For example, in addition to economic and financial factors, one study measured intergenerational equity using environmental, social and pro</w:t>
            </w:r>
            <w:r w:rsidR="00A8443E" w:rsidRPr="00027624">
              <w:rPr>
                <w:rFonts w:eastAsiaTheme="minorHAnsi"/>
                <w:lang w:eastAsia="en-US"/>
              </w:rPr>
              <w:noBreakHyphen/>
            </w:r>
            <w:r w:rsidRPr="00027624">
              <w:rPr>
                <w:rFonts w:eastAsiaTheme="minorHAnsi"/>
                <w:lang w:eastAsia="en-US"/>
              </w:rPr>
              <w:t xml:space="preserve">elderly bias factors </w:t>
            </w:r>
            <w:sdt>
              <w:sdtPr>
                <w:rPr>
                  <w:rFonts w:eastAsiaTheme="minorHAnsi"/>
                  <w:lang w:eastAsia="en-US"/>
                </w:rPr>
                <w:id w:val="-358663118"/>
                <w:citation/>
              </w:sdtPr>
              <w:sdtEndPr/>
              <w:sdtContent>
                <w:r w:rsidRPr="00027624">
                  <w:rPr>
                    <w:rFonts w:eastAsiaTheme="minorHAnsi"/>
                    <w:lang w:eastAsia="en-US"/>
                  </w:rPr>
                  <w:fldChar w:fldCharType="begin"/>
                </w:r>
                <w:r w:rsidRPr="00027624">
                  <w:rPr>
                    <w:rFonts w:eastAsiaTheme="minorHAnsi"/>
                    <w:lang w:eastAsia="en-US"/>
                  </w:rPr>
                  <w:instrText xml:space="preserve"> CITATION Pie13 \l 3081 </w:instrText>
                </w:r>
                <w:r w:rsidRPr="00027624">
                  <w:rPr>
                    <w:rFonts w:eastAsiaTheme="minorHAnsi"/>
                    <w:lang w:eastAsia="en-US"/>
                  </w:rPr>
                  <w:fldChar w:fldCharType="separate"/>
                </w:r>
                <w:r w:rsidR="00E83F6E" w:rsidRPr="00E83F6E">
                  <w:rPr>
                    <w:rFonts w:eastAsiaTheme="minorHAnsi"/>
                    <w:noProof/>
                    <w:lang w:eastAsia="en-US"/>
                  </w:rPr>
                  <w:t>(Vanhuysse, 2013)</w:t>
                </w:r>
                <w:r w:rsidRPr="00027624">
                  <w:rPr>
                    <w:rFonts w:eastAsiaTheme="minorHAnsi"/>
                    <w:lang w:eastAsia="en-US"/>
                  </w:rPr>
                  <w:fldChar w:fldCharType="end"/>
                </w:r>
              </w:sdtContent>
            </w:sdt>
            <w:r w:rsidRPr="00027624">
              <w:rPr>
                <w:rFonts w:eastAsiaTheme="minorHAnsi"/>
                <w:lang w:eastAsia="en-US"/>
              </w:rPr>
              <w:t xml:space="preserve">. </w:t>
            </w:r>
          </w:p>
          <w:p w14:paraId="2AF81293" w14:textId="77777777" w:rsidR="00B3792F" w:rsidRPr="00027624" w:rsidRDefault="00B3792F" w:rsidP="00B3792F">
            <w:pPr>
              <w:pStyle w:val="BoxText"/>
              <w:rPr>
                <w:rFonts w:eastAsiaTheme="minorHAnsi" w:cs="Calibri"/>
                <w:color w:val="000000"/>
                <w:szCs w:val="28"/>
                <w:lang w:eastAsia="en-US"/>
              </w:rPr>
            </w:pPr>
            <w:r w:rsidRPr="00027624">
              <w:rPr>
                <w:rFonts w:eastAsiaTheme="minorHAnsi" w:cs="Calibri"/>
                <w:color w:val="000000"/>
                <w:szCs w:val="28"/>
                <w:lang w:eastAsia="en-US"/>
              </w:rPr>
              <w:t>Measures for in</w:t>
            </w:r>
            <w:r w:rsidRPr="00027624">
              <w:rPr>
                <w:rFonts w:eastAsiaTheme="minorHAnsi"/>
              </w:rPr>
              <w:t xml:space="preserve">tergenerational equity </w:t>
            </w:r>
            <w:r w:rsidRPr="00027624">
              <w:rPr>
                <w:rFonts w:eastAsiaTheme="minorEastAsia"/>
                <w:lang w:eastAsia="en-US"/>
              </w:rPr>
              <w:t xml:space="preserve">in the retirement income system </w:t>
            </w:r>
            <w:r w:rsidRPr="00027624">
              <w:rPr>
                <w:rFonts w:eastAsiaTheme="minorHAnsi"/>
              </w:rPr>
              <w:t xml:space="preserve">include: </w:t>
            </w:r>
          </w:p>
          <w:p w14:paraId="09ED4BED" w14:textId="77777777" w:rsidR="00B3792F" w:rsidRPr="00027624" w:rsidRDefault="00B3792F" w:rsidP="00B3792F">
            <w:pPr>
              <w:pStyle w:val="BoxBullet"/>
              <w:rPr>
                <w:rFonts w:eastAsiaTheme="minorHAnsi"/>
                <w:lang w:eastAsia="en-US"/>
              </w:rPr>
            </w:pPr>
            <w:r w:rsidRPr="00027624">
              <w:rPr>
                <w:rFonts w:eastAsiaTheme="minorHAnsi"/>
                <w:b/>
                <w:lang w:eastAsia="en-US"/>
              </w:rPr>
              <w:t>Full cohort self</w:t>
            </w:r>
            <w:r w:rsidR="00A8443E" w:rsidRPr="00027624">
              <w:rPr>
                <w:rFonts w:eastAsiaTheme="minorEastAsia"/>
                <w:b/>
                <w:bCs/>
                <w:lang w:eastAsia="en-US"/>
              </w:rPr>
              <w:noBreakHyphen/>
            </w:r>
            <w:r w:rsidRPr="00027624">
              <w:rPr>
                <w:rFonts w:eastAsiaTheme="minorHAnsi"/>
                <w:b/>
                <w:lang w:eastAsia="en-US"/>
              </w:rPr>
              <w:t>funding</w:t>
            </w:r>
            <w:r w:rsidR="00A8443E" w:rsidRPr="00027624">
              <w:rPr>
                <w:rFonts w:eastAsiaTheme="minorHAnsi"/>
                <w:b/>
                <w:lang w:eastAsia="en-US"/>
              </w:rPr>
              <w:t xml:space="preserve"> — </w:t>
            </w:r>
            <w:r w:rsidRPr="00027624">
              <w:rPr>
                <w:rFonts w:eastAsiaTheme="minorHAnsi"/>
                <w:lang w:eastAsia="en-US"/>
              </w:rPr>
              <w:t xml:space="preserve">where the retirement income benefits received by each generation throughout its lifetime largely match the amount of taxes/contributions that generation has paid to support retirement. </w:t>
            </w:r>
          </w:p>
          <w:p w14:paraId="6F867140" w14:textId="77777777" w:rsidR="00B3792F" w:rsidRPr="00027624" w:rsidRDefault="00B3792F" w:rsidP="00B3792F">
            <w:pPr>
              <w:pStyle w:val="BoxBullet"/>
              <w:rPr>
                <w:rFonts w:eastAsiaTheme="minorHAnsi"/>
                <w:lang w:eastAsia="en-US"/>
              </w:rPr>
            </w:pPr>
            <w:r w:rsidRPr="00027624">
              <w:rPr>
                <w:rFonts w:eastAsiaTheme="minorHAnsi"/>
                <w:b/>
              </w:rPr>
              <w:t>Generational bargain</w:t>
            </w:r>
            <w:r w:rsidR="00A8443E" w:rsidRPr="00027624">
              <w:rPr>
                <w:rFonts w:eastAsiaTheme="minorHAnsi"/>
                <w:b/>
              </w:rPr>
              <w:t xml:space="preserve"> — </w:t>
            </w:r>
            <w:r w:rsidRPr="00027624">
              <w:rPr>
                <w:rFonts w:eastAsiaTheme="minorHAnsi"/>
              </w:rPr>
              <w:t>where working</w:t>
            </w:r>
            <w:r w:rsidR="00A8443E" w:rsidRPr="00027624">
              <w:rPr>
                <w:rFonts w:eastAsiaTheme="minorHAnsi"/>
              </w:rPr>
              <w:noBreakHyphen/>
            </w:r>
            <w:r w:rsidRPr="00027624">
              <w:rPr>
                <w:rFonts w:eastAsiaTheme="minorHAnsi"/>
              </w:rPr>
              <w:t xml:space="preserve">age Australians transfer income, through their tax contributions, to support retirees by funding the Age Pension, superannuation earnings tax concessions and other benefits retirees receive. </w:t>
            </w:r>
            <w:r w:rsidRPr="00027624">
              <w:t>Today</w:t>
            </w:r>
            <w:r w:rsidR="00A8443E" w:rsidRPr="00027624">
              <w:t>’</w:t>
            </w:r>
            <w:r w:rsidRPr="00027624">
              <w:t>s working</w:t>
            </w:r>
            <w:r w:rsidR="00A8443E" w:rsidRPr="00027624">
              <w:noBreakHyphen/>
            </w:r>
            <w:r w:rsidRPr="00027624">
              <w:t xml:space="preserve">age Australians expect the generation after them to support them in the same way as they supported the previous generation. </w:t>
            </w:r>
          </w:p>
          <w:p w14:paraId="13B3A042" w14:textId="77777777" w:rsidR="00B3792F" w:rsidRPr="00027624" w:rsidRDefault="00B3792F" w:rsidP="00B3792F">
            <w:pPr>
              <w:pStyle w:val="BoxText"/>
              <w:rPr>
                <w:rFonts w:eastAsiaTheme="minorHAnsi"/>
                <w:lang w:eastAsia="en-US"/>
              </w:rPr>
            </w:pPr>
            <w:r w:rsidRPr="00027624">
              <w:t xml:space="preserve">Although the review measured the size of the generational transfer cost over time </w:t>
            </w:r>
            <w:r w:rsidRPr="00027624">
              <w:rPr>
                <w:i/>
              </w:rPr>
              <w:t>between generations</w:t>
            </w:r>
            <w:r w:rsidRPr="00027624">
              <w:t xml:space="preserve">, data limitations preclude measurement for </w:t>
            </w:r>
            <w:r w:rsidRPr="00027624">
              <w:rPr>
                <w:i/>
              </w:rPr>
              <w:t>a particular generation</w:t>
            </w:r>
            <w:r w:rsidRPr="00027624">
              <w:t xml:space="preserve"> of the size of contributions they made during their working life compared to benefits they receive in retirement.</w:t>
            </w:r>
          </w:p>
        </w:tc>
      </w:tr>
    </w:tbl>
    <w:p w14:paraId="457205F2" w14:textId="77777777" w:rsidR="00B3792F" w:rsidRPr="00027624" w:rsidRDefault="00B3792F" w:rsidP="00B3792F">
      <w:pPr>
        <w:pStyle w:val="Heading2"/>
        <w:rPr>
          <w:rFonts w:eastAsiaTheme="minorHAnsi"/>
          <w:lang w:eastAsia="en-US"/>
        </w:rPr>
      </w:pPr>
      <w:bookmarkStart w:id="3911" w:name="_Toc40286064"/>
      <w:bookmarkStart w:id="3912" w:name="_Toc40366232"/>
      <w:bookmarkStart w:id="3913" w:name="_Toc40369778"/>
      <w:bookmarkStart w:id="3914" w:name="_Toc40427934"/>
      <w:bookmarkStart w:id="3915" w:name="_Toc40458189"/>
      <w:bookmarkStart w:id="3916" w:name="_Toc40461958"/>
      <w:bookmarkStart w:id="3917" w:name="_Toc40474513"/>
      <w:bookmarkStart w:id="3918" w:name="_Toc40478042"/>
      <w:bookmarkStart w:id="3919" w:name="_Toc40521622"/>
      <w:bookmarkStart w:id="3920" w:name="_Toc40530481"/>
      <w:bookmarkStart w:id="3921" w:name="_Toc42778907"/>
      <w:bookmarkStart w:id="3922" w:name="_Toc42780047"/>
      <w:bookmarkStart w:id="3923" w:name="_Toc42780476"/>
      <w:bookmarkStart w:id="3924" w:name="_Toc42786466"/>
      <w:bookmarkStart w:id="3925" w:name="_Toc42791959"/>
      <w:bookmarkStart w:id="3926" w:name="_Toc42792121"/>
      <w:bookmarkStart w:id="3927" w:name="_Toc43117928"/>
      <w:bookmarkStart w:id="3928" w:name="_Toc43121567"/>
      <w:bookmarkStart w:id="3929" w:name="_Toc43122772"/>
      <w:bookmarkStart w:id="3930" w:name="_Toc43127827"/>
      <w:bookmarkStart w:id="3931" w:name="_Toc45520533"/>
      <w:bookmarkStart w:id="3932" w:name="_Toc46133645"/>
      <w:r w:rsidRPr="00027624">
        <w:t>Funding of the pillars of the retirement income system</w:t>
      </w:r>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p>
    <w:p w14:paraId="425AF08D" w14:textId="1060F33C" w:rsidR="00B3792F" w:rsidRPr="00027624" w:rsidRDefault="00B3792F" w:rsidP="00B3792F">
      <w:pPr>
        <w:autoSpaceDE w:val="0"/>
        <w:autoSpaceDN w:val="0"/>
        <w:adjustRightInd w:val="0"/>
        <w:spacing w:before="0"/>
      </w:pPr>
      <w:r w:rsidRPr="00027624">
        <w:t>The taxpayer</w:t>
      </w:r>
      <w:r w:rsidR="00A8443E" w:rsidRPr="00027624">
        <w:noBreakHyphen/>
      </w:r>
      <w:r w:rsidRPr="00027624">
        <w:t xml:space="preserve">funded Age Pension is a fundamental part of the </w:t>
      </w:r>
      <w:r w:rsidR="00A8443E" w:rsidRPr="00027624">
        <w:t>‘</w:t>
      </w:r>
      <w:r w:rsidRPr="00027624">
        <w:t>generational bargain</w:t>
      </w:r>
      <w:r w:rsidR="00A8443E" w:rsidRPr="00027624">
        <w:t>’</w:t>
      </w:r>
      <w:r w:rsidRPr="00027624">
        <w:rPr>
          <w:i/>
          <w:iCs/>
        </w:rPr>
        <w:t xml:space="preserve"> </w:t>
      </w:r>
      <w:r w:rsidRPr="00027624">
        <w:t>(</w:t>
      </w:r>
      <w:r w:rsidRPr="00027624">
        <w:fldChar w:fldCharType="begin"/>
      </w:r>
      <w:r w:rsidRPr="00027624">
        <w:instrText xml:space="preserve"> REF _Ref37780212 \r \h  \* MERGEFORMAT </w:instrText>
      </w:r>
      <w:r w:rsidRPr="00027624">
        <w:fldChar w:fldCharType="separate"/>
      </w:r>
      <w:r w:rsidR="00891058">
        <w:t>Chart 3H-1</w:t>
      </w:r>
      <w:r w:rsidRPr="00027624">
        <w:fldChar w:fldCharType="end"/>
      </w:r>
      <w:r w:rsidRPr="00027624">
        <w:t>), but it does not achieve full cohort self</w:t>
      </w:r>
      <w:r w:rsidR="00A8443E" w:rsidRPr="00027624">
        <w:noBreakHyphen/>
      </w:r>
      <w:r w:rsidRPr="00027624">
        <w:t xml:space="preserve">funding. In other countries, pensions are paid from </w:t>
      </w:r>
      <w:r w:rsidR="00A8443E" w:rsidRPr="00027624">
        <w:t>‘</w:t>
      </w:r>
      <w:r w:rsidRPr="00027624">
        <w:t>ring</w:t>
      </w:r>
      <w:r w:rsidR="00A8443E" w:rsidRPr="00027624">
        <w:noBreakHyphen/>
      </w:r>
      <w:r w:rsidRPr="00027624">
        <w:t>fenced</w:t>
      </w:r>
      <w:r w:rsidR="00A8443E" w:rsidRPr="00027624">
        <w:t>’</w:t>
      </w:r>
      <w:r w:rsidRPr="00027624">
        <w:t xml:space="preserve"> taxes, such as the UK</w:t>
      </w:r>
      <w:r w:rsidR="00A8443E" w:rsidRPr="00027624">
        <w:t>’</w:t>
      </w:r>
      <w:r w:rsidRPr="00027624">
        <w:t xml:space="preserve">s National Insurance Fund </w:t>
      </w:r>
      <w:sdt>
        <w:sdtPr>
          <w:id w:val="-2050602278"/>
          <w:citation/>
        </w:sdtPr>
        <w:sdtEndPr/>
        <w:sdtContent>
          <w:r w:rsidRPr="00027624">
            <w:fldChar w:fldCharType="begin"/>
          </w:r>
          <w:r w:rsidRPr="00027624">
            <w:instrText xml:space="preserve">CITATION Gov19 \l 3081 </w:instrText>
          </w:r>
          <w:r w:rsidRPr="00027624">
            <w:fldChar w:fldCharType="separate"/>
          </w:r>
          <w:r w:rsidR="00E83F6E">
            <w:rPr>
              <w:noProof/>
            </w:rPr>
            <w:t>(UK Government, 2019)</w:t>
          </w:r>
          <w:r w:rsidRPr="00027624">
            <w:fldChar w:fldCharType="end"/>
          </w:r>
        </w:sdtContent>
      </w:sdt>
      <w:r w:rsidRPr="00027624">
        <w:t>. Whereas, in Australia, the Age Pension is paid out of consolidated Government revenue.</w:t>
      </w:r>
      <w:r w:rsidRPr="00027624" w:rsidDel="008E4E2F">
        <w:t xml:space="preserve"> </w:t>
      </w:r>
      <w:r w:rsidRPr="00027624">
        <w:t xml:space="preserve">As the cost of the Age Pension increases in line with wages, its real costs will rise over time, all else being equal. </w:t>
      </w:r>
    </w:p>
    <w:p w14:paraId="35CB30AF" w14:textId="77777777" w:rsidR="00B3792F" w:rsidRPr="00027624" w:rsidRDefault="00B3792F" w:rsidP="00FC7361">
      <w:pPr>
        <w:pStyle w:val="ChartMainHeading"/>
        <w:numPr>
          <w:ilvl w:val="2"/>
          <w:numId w:val="73"/>
        </w:numPr>
      </w:pPr>
      <w:bookmarkStart w:id="3933" w:name="_Ref37780212"/>
      <w:r w:rsidRPr="00027624">
        <w:lastRenderedPageBreak/>
        <w:t>Total household taxes and benefits, by age</w:t>
      </w:r>
      <w:bookmarkEnd w:id="3933"/>
    </w:p>
    <w:p w14:paraId="4F176CC9" w14:textId="77777777" w:rsidR="00B3792F" w:rsidRPr="00027624" w:rsidRDefault="00B3792F" w:rsidP="00B3792F">
      <w:pPr>
        <w:pStyle w:val="ChartGraphic"/>
      </w:pPr>
      <w:r w:rsidRPr="00027624">
        <w:t xml:space="preserve"> </w:t>
      </w:r>
      <w:r w:rsidR="00075259">
        <w:rPr>
          <w:noProof/>
        </w:rPr>
        <w:drawing>
          <wp:inline distT="0" distB="0" distL="0" distR="0" wp14:anchorId="0810AA07" wp14:editId="025787A4">
            <wp:extent cx="5585460" cy="2522220"/>
            <wp:effectExtent l="0" t="0" r="0" b="0"/>
            <wp:docPr id="983014704" name="Picture 983014704" descr="This chart shows that households aged 20-62 pay more in taxes than they receive in benefits (cash and in-kind). In contrast, households aged 63-80 receive more in benefits (cash and in-kind) than they pay in taxes." title="Chart 3H-1 Total household taxes and benefits,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50B5323C" w14:textId="77777777" w:rsidR="00B3792F" w:rsidRPr="00027624" w:rsidRDefault="00B3792F" w:rsidP="00B3792F">
      <w:pPr>
        <w:pStyle w:val="ChartorTableNote"/>
      </w:pPr>
      <w:r w:rsidRPr="00027624">
        <w:t>Note: 2015</w:t>
      </w:r>
      <w:r w:rsidR="00A8443E" w:rsidRPr="00027624">
        <w:noBreakHyphen/>
      </w:r>
      <w:r w:rsidRPr="00027624">
        <w:t>16 data. Net benefits refers to all taxes paid minus all social transfers (cash and in</w:t>
      </w:r>
      <w:r w:rsidR="00D93ECD">
        <w:rPr>
          <w:iCs/>
        </w:rPr>
        <w:t>-</w:t>
      </w:r>
      <w:r w:rsidRPr="00027624">
        <w:t>kind). Source: Replication of</w:t>
      </w:r>
      <w:sdt>
        <w:sdtPr>
          <w:id w:val="-2132091038"/>
          <w:citation/>
        </w:sdtPr>
        <w:sdtEndPr/>
        <w:sdtContent>
          <w:r w:rsidRPr="00027624">
            <w:fldChar w:fldCharType="begin"/>
          </w:r>
          <w:r w:rsidRPr="00027624">
            <w:instrText xml:space="preserve">CITATION Gra19 \l 3081 </w:instrText>
          </w:r>
          <w:r w:rsidRPr="00027624">
            <w:fldChar w:fldCharType="separate"/>
          </w:r>
          <w:r w:rsidR="00E83F6E">
            <w:rPr>
              <w:noProof/>
            </w:rPr>
            <w:t xml:space="preserve"> (Wood, et al., 2019)</w:t>
          </w:r>
          <w:r w:rsidRPr="00027624">
            <w:fldChar w:fldCharType="end"/>
          </w:r>
        </w:sdtContent>
      </w:sdt>
      <w:r w:rsidRPr="00027624">
        <w:t xml:space="preserve">, which is derived from </w:t>
      </w:r>
      <w:sdt>
        <w:sdtPr>
          <w:id w:val="621270833"/>
          <w:citation/>
        </w:sdtPr>
        <w:sdtEndPr/>
        <w:sdtContent>
          <w:r w:rsidRPr="00027624">
            <w:fldChar w:fldCharType="begin"/>
          </w:r>
          <w:r w:rsidRPr="00027624">
            <w:instrText xml:space="preserve">CITATION ABS18 \l 3081 </w:instrText>
          </w:r>
          <w:r w:rsidRPr="00027624">
            <w:fldChar w:fldCharType="separate"/>
          </w:r>
          <w:r w:rsidR="00E83F6E">
            <w:rPr>
              <w:noProof/>
            </w:rPr>
            <w:t>(ABS, 2018c)</w:t>
          </w:r>
          <w:r w:rsidRPr="00027624">
            <w:fldChar w:fldCharType="end"/>
          </w:r>
        </w:sdtContent>
      </w:sdt>
      <w:r w:rsidRPr="00027624">
        <w:t>.</w:t>
      </w:r>
    </w:p>
    <w:p w14:paraId="5255121F" w14:textId="77777777" w:rsidR="00B3792F" w:rsidRPr="00027624" w:rsidRDefault="00B3792F" w:rsidP="00B3792F">
      <w:pPr>
        <w:autoSpaceDE w:val="0"/>
        <w:autoSpaceDN w:val="0"/>
        <w:adjustRightInd w:val="0"/>
        <w:spacing w:before="0"/>
      </w:pPr>
      <w:r w:rsidRPr="00027624">
        <w:t xml:space="preserve">The superannuation system encourages people to rely on their own savings to a large extent, rather than on future generations to fund their retirement. Defined contribution schemes, which are common in the superannuation system, are funded </w:t>
      </w:r>
      <w:r w:rsidRPr="00027624" w:rsidDel="00582D86">
        <w:t xml:space="preserve">primarily </w:t>
      </w:r>
      <w:r w:rsidRPr="00027624">
        <w:t xml:space="preserve">by the member. Income depends on </w:t>
      </w:r>
      <w:r w:rsidRPr="00027624" w:rsidDel="00582D86">
        <w:t xml:space="preserve">factors such as </w:t>
      </w:r>
      <w:r w:rsidRPr="00027624">
        <w:t>how much is paid into the superannuation account, the investment performance and fees. In contrast, defined benefit schemes, which are the minority,</w:t>
      </w:r>
      <w:r w:rsidRPr="00027624" w:rsidDel="006821A8">
        <w:t xml:space="preserve"> are </w:t>
      </w:r>
      <w:r w:rsidRPr="00027624">
        <w:t>funded by the employer, generally with the promise of a specific income. In an unfunded defined benefit scheme, the liability may be passed to future generations to meet the obligation.</w:t>
      </w:r>
    </w:p>
    <w:p w14:paraId="24A4FF70" w14:textId="77777777" w:rsidR="00B3792F" w:rsidRPr="00027624" w:rsidRDefault="00B3792F" w:rsidP="00B3792F">
      <w:pPr>
        <w:autoSpaceDE w:val="0"/>
        <w:autoSpaceDN w:val="0"/>
        <w:adjustRightInd w:val="0"/>
        <w:spacing w:before="0"/>
      </w:pPr>
      <w:r w:rsidRPr="00027624">
        <w:t xml:space="preserve">People receive significant tax concessions for making both compulsory and voluntary superannuation contributions. These reduce tax revenue, meaning that other taxes may be higher than they would otherwise be to finance Government expenditure, or Government expenditure could be lower. </w:t>
      </w:r>
    </w:p>
    <w:p w14:paraId="68E82CCC" w14:textId="77777777" w:rsidR="00B3792F" w:rsidRPr="00027624" w:rsidRDefault="00B3792F" w:rsidP="00B3792F">
      <w:pPr>
        <w:autoSpaceDE w:val="0"/>
        <w:autoSpaceDN w:val="0"/>
        <w:adjustRightInd w:val="0"/>
        <w:spacing w:before="0"/>
        <w:rPr>
          <w:bCs/>
        </w:rPr>
      </w:pPr>
      <w:r w:rsidRPr="00027624">
        <w:t>In 2015</w:t>
      </w:r>
      <w:r w:rsidR="00A8443E" w:rsidRPr="00027624">
        <w:noBreakHyphen/>
      </w:r>
      <w:r w:rsidRPr="00027624">
        <w:t>16, households where the reference person was younger than 65 paid 90 per cent of taxes</w:t>
      </w:r>
      <w:r w:rsidRPr="00027624">
        <w:rPr>
          <w:rStyle w:val="FootnoteReference"/>
        </w:rPr>
        <w:footnoteReference w:id="231"/>
      </w:r>
      <w:sdt>
        <w:sdtPr>
          <w:id w:val="1014969616"/>
          <w:citation/>
        </w:sdtPr>
        <w:sdtEndPr/>
        <w:sdtContent>
          <w:r w:rsidRPr="00027624">
            <w:fldChar w:fldCharType="begin"/>
          </w:r>
          <w:r w:rsidRPr="00027624">
            <w:instrText xml:space="preserve">CITATION ABS18 \l 3081 </w:instrText>
          </w:r>
          <w:r w:rsidRPr="00027624">
            <w:fldChar w:fldCharType="separate"/>
          </w:r>
          <w:r w:rsidR="00E83F6E">
            <w:rPr>
              <w:noProof/>
            </w:rPr>
            <w:t xml:space="preserve"> (ABS, 2018c)</w:t>
          </w:r>
          <w:r w:rsidRPr="00027624">
            <w:fldChar w:fldCharType="end"/>
          </w:r>
        </w:sdtContent>
      </w:sdt>
      <w:r w:rsidRPr="00027624">
        <w:t>. As 84 per cent of superannuation tax concessions were received before age 65 in 2019, this suggests the same generations generally pay for and receive superannuation tax concessions. However, in 2019, around 14 per cent of all superannuation tax concessions were earnings tax concessions received by people aged 65 and over. This is expected to increase to 24 per cent in 2059, due to the maturing superannuation system.</w:t>
      </w:r>
      <w:r w:rsidRPr="00027624">
        <w:rPr>
          <w:rStyle w:val="FootnoteReference"/>
        </w:rPr>
        <w:footnoteReference w:id="232"/>
      </w:r>
      <w:r w:rsidRPr="00027624">
        <w:t xml:space="preserve"> As these earnings tax concessions represent a generational transfer, </w:t>
      </w:r>
      <w:r w:rsidRPr="00027624">
        <w:rPr>
          <w:b/>
        </w:rPr>
        <w:t>superannuation does not completely achieve full cohort self</w:t>
      </w:r>
      <w:r w:rsidR="00A8443E" w:rsidRPr="00027624">
        <w:rPr>
          <w:b/>
        </w:rPr>
        <w:noBreakHyphen/>
      </w:r>
      <w:r w:rsidRPr="00027624">
        <w:rPr>
          <w:b/>
        </w:rPr>
        <w:t>funding.</w:t>
      </w:r>
    </w:p>
    <w:p w14:paraId="2E0B8865" w14:textId="77777777" w:rsidR="00B3792F" w:rsidRPr="00027624" w:rsidRDefault="00B3792F" w:rsidP="00B3792F">
      <w:pPr>
        <w:spacing w:before="0"/>
      </w:pPr>
      <w:r w:rsidRPr="00027624">
        <w:t>In contrast, voluntary savings outside superannuation are fully funded and therefore consistent with full cohort self</w:t>
      </w:r>
      <w:r w:rsidR="00A8443E" w:rsidRPr="00027624">
        <w:noBreakHyphen/>
      </w:r>
      <w:r w:rsidRPr="00027624">
        <w:t>funding.</w:t>
      </w:r>
    </w:p>
    <w:p w14:paraId="0B7C4EF4" w14:textId="77777777" w:rsidR="00B3792F" w:rsidRPr="00027624" w:rsidRDefault="00B3792F" w:rsidP="00B3792F">
      <w:pPr>
        <w:pStyle w:val="Heading2"/>
        <w:rPr>
          <w:rFonts w:eastAsiaTheme="minorHAnsi"/>
          <w:lang w:eastAsia="en-US"/>
        </w:rPr>
      </w:pPr>
      <w:bookmarkStart w:id="3934" w:name="_Toc40286065"/>
      <w:bookmarkStart w:id="3935" w:name="_Toc40366233"/>
      <w:bookmarkStart w:id="3936" w:name="_Toc40369779"/>
      <w:bookmarkStart w:id="3937" w:name="_Toc40427935"/>
      <w:bookmarkStart w:id="3938" w:name="_Toc40458190"/>
      <w:bookmarkStart w:id="3939" w:name="_Toc40461959"/>
      <w:bookmarkStart w:id="3940" w:name="_Toc40474514"/>
      <w:bookmarkStart w:id="3941" w:name="_Toc40478043"/>
      <w:bookmarkStart w:id="3942" w:name="_Toc40521623"/>
      <w:bookmarkStart w:id="3943" w:name="_Toc40530482"/>
      <w:bookmarkStart w:id="3944" w:name="_Toc42778908"/>
      <w:bookmarkStart w:id="3945" w:name="_Toc42780048"/>
      <w:bookmarkStart w:id="3946" w:name="_Toc42780477"/>
      <w:bookmarkStart w:id="3947" w:name="_Toc42786467"/>
      <w:bookmarkStart w:id="3948" w:name="_Toc42791960"/>
      <w:bookmarkStart w:id="3949" w:name="_Toc42792122"/>
      <w:bookmarkStart w:id="3950" w:name="_Toc43117929"/>
      <w:bookmarkStart w:id="3951" w:name="_Toc43121568"/>
      <w:bookmarkStart w:id="3952" w:name="_Toc43122773"/>
      <w:bookmarkStart w:id="3953" w:name="_Toc43127828"/>
      <w:bookmarkStart w:id="3954" w:name="_Toc45520534"/>
      <w:bookmarkStart w:id="3955" w:name="_Toc46133646"/>
      <w:r w:rsidRPr="00027624">
        <w:rPr>
          <w:rFonts w:eastAsiaTheme="minorHAnsi"/>
        </w:rPr>
        <w:t>Generational transfer cost</w:t>
      </w:r>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p>
    <w:p w14:paraId="3AEDAC53" w14:textId="66BBC77D" w:rsidR="00B3792F" w:rsidRPr="00027624" w:rsidRDefault="00B3792F" w:rsidP="00B3792F">
      <w:pPr>
        <w:rPr>
          <w:rFonts w:eastAsiaTheme="minorEastAsia"/>
          <w:lang w:eastAsia="en-US"/>
        </w:rPr>
      </w:pPr>
      <w:r w:rsidRPr="00027624">
        <w:t xml:space="preserve">Analysis suggests </w:t>
      </w:r>
      <w:r w:rsidRPr="00027624">
        <w:rPr>
          <w:rFonts w:eastAsiaTheme="minorEastAsia"/>
          <w:b/>
          <w:bCs/>
          <w:color w:val="000000" w:themeColor="text1"/>
        </w:rPr>
        <w:t xml:space="preserve">each successive generation </w:t>
      </w:r>
      <w:r w:rsidRPr="00027624">
        <w:rPr>
          <w:rFonts w:eastAsiaTheme="minorEastAsia" w:cs="Calibri"/>
          <w:b/>
          <w:bCs/>
          <w:color w:val="000000" w:themeColor="text1"/>
          <w:lang w:eastAsia="en-US"/>
        </w:rPr>
        <w:t xml:space="preserve">will </w:t>
      </w:r>
      <w:r w:rsidRPr="00027624">
        <w:rPr>
          <w:rFonts w:eastAsiaTheme="minorEastAsia"/>
          <w:b/>
          <w:bCs/>
          <w:color w:val="000000" w:themeColor="text1"/>
        </w:rPr>
        <w:t xml:space="preserve">contribute more during their working life to </w:t>
      </w:r>
      <w:r w:rsidRPr="00027624">
        <w:rPr>
          <w:rFonts w:eastAsiaTheme="minorEastAsia" w:cs="Calibri"/>
          <w:b/>
          <w:bCs/>
          <w:color w:val="000000" w:themeColor="text1"/>
          <w:lang w:eastAsia="en-US"/>
        </w:rPr>
        <w:t xml:space="preserve">fund </w:t>
      </w:r>
      <w:r w:rsidRPr="00027624">
        <w:rPr>
          <w:rFonts w:eastAsiaTheme="minorEastAsia"/>
          <w:b/>
          <w:bCs/>
          <w:color w:val="000000" w:themeColor="text1"/>
        </w:rPr>
        <w:t>retirees</w:t>
      </w:r>
      <w:r w:rsidR="00A8443E" w:rsidRPr="00027624">
        <w:rPr>
          <w:rFonts w:eastAsiaTheme="minorEastAsia"/>
          <w:b/>
          <w:bCs/>
          <w:color w:val="000000" w:themeColor="text1"/>
        </w:rPr>
        <w:t>’</w:t>
      </w:r>
      <w:r w:rsidRPr="00027624" w:rsidDel="00C468F5">
        <w:rPr>
          <w:rFonts w:eastAsiaTheme="minorEastAsia"/>
          <w:b/>
          <w:bCs/>
          <w:color w:val="000000" w:themeColor="text1"/>
        </w:rPr>
        <w:t xml:space="preserve"> </w:t>
      </w:r>
      <w:r w:rsidRPr="00027624">
        <w:rPr>
          <w:rFonts w:eastAsiaTheme="minorEastAsia"/>
          <w:b/>
          <w:bCs/>
          <w:color w:val="000000" w:themeColor="text1"/>
        </w:rPr>
        <w:t>income than the previous generation</w:t>
      </w:r>
      <w:r w:rsidRPr="00027624">
        <w:rPr>
          <w:rFonts w:eastAsiaTheme="minorEastAsia"/>
          <w:color w:val="000000" w:themeColor="text1"/>
        </w:rPr>
        <w:t xml:space="preserve"> </w:t>
      </w:r>
      <w:r w:rsidRPr="00027624">
        <w:t>(</w:t>
      </w:r>
      <w:r w:rsidRPr="00027624">
        <w:fldChar w:fldCharType="begin"/>
      </w:r>
      <w:r w:rsidRPr="00027624">
        <w:instrText xml:space="preserve"> REF _Ref37758447 \r \h  \* MERGEFORMAT </w:instrText>
      </w:r>
      <w:r w:rsidRPr="00027624">
        <w:fldChar w:fldCharType="separate"/>
      </w:r>
      <w:r w:rsidR="00891058">
        <w:t>Chart 3H-2</w:t>
      </w:r>
      <w:r w:rsidRPr="00027624">
        <w:fldChar w:fldCharType="end"/>
      </w:r>
      <w:r w:rsidRPr="00027624">
        <w:t>)</w:t>
      </w:r>
      <w:r w:rsidRPr="00027624">
        <w:rPr>
          <w:rFonts w:eastAsiaTheme="minorEastAsia"/>
          <w:color w:val="000000" w:themeColor="text1"/>
        </w:rPr>
        <w:t>.</w:t>
      </w:r>
      <w:r w:rsidRPr="00027624">
        <w:t xml:space="preserve"> In 2019, the real cost for each working</w:t>
      </w:r>
      <w:r w:rsidR="00A8443E" w:rsidRPr="00027624">
        <w:noBreakHyphen/>
      </w:r>
      <w:r w:rsidRPr="00027624">
        <w:t>age person of the Age Pension was around 65 per cent higher than in 1979</w:t>
      </w:r>
      <w:r w:rsidR="00A8443E" w:rsidRPr="00027624">
        <w:noBreakHyphen/>
      </w:r>
      <w:r w:rsidRPr="00027624">
        <w:t>80. This cost, together with that of earnings tax concessions, is projected to rise over future decades.</w:t>
      </w:r>
      <w:r w:rsidRPr="00027624">
        <w:rPr>
          <w:rFonts w:eastAsiaTheme="minorEastAsia"/>
          <w:lang w:eastAsia="en-US"/>
        </w:rPr>
        <w:t xml:space="preserve"> </w:t>
      </w:r>
    </w:p>
    <w:p w14:paraId="4AF8C325" w14:textId="77777777" w:rsidR="00B3792F" w:rsidRPr="00027624" w:rsidRDefault="00B3792F" w:rsidP="00B3792F">
      <w:r w:rsidRPr="00027624">
        <w:rPr>
          <w:rFonts w:eastAsiaTheme="minorEastAsia"/>
          <w:lang w:eastAsia="en-US"/>
        </w:rPr>
        <w:lastRenderedPageBreak/>
        <w:t>The generational transfer cost would be higher if other government benefits</w:t>
      </w:r>
      <w:r w:rsidR="00A8443E" w:rsidRPr="00027624">
        <w:rPr>
          <w:rFonts w:eastAsiaTheme="minorEastAsia"/>
          <w:lang w:eastAsia="en-US"/>
        </w:rPr>
        <w:t xml:space="preserve"> — </w:t>
      </w:r>
      <w:r w:rsidRPr="00027624">
        <w:rPr>
          <w:rFonts w:eastAsiaTheme="minorEastAsia"/>
          <w:lang w:eastAsia="en-US"/>
        </w:rPr>
        <w:t>including social transfers in kind</w:t>
      </w:r>
      <w:r w:rsidR="00A8443E" w:rsidRPr="00027624">
        <w:rPr>
          <w:rFonts w:eastAsiaTheme="minorEastAsia"/>
          <w:lang w:eastAsia="en-US"/>
        </w:rPr>
        <w:t xml:space="preserve"> — </w:t>
      </w:r>
      <w:r w:rsidRPr="00027624">
        <w:rPr>
          <w:rFonts w:eastAsiaTheme="minorEastAsia"/>
          <w:lang w:eastAsia="en-US"/>
        </w:rPr>
        <w:t>received by people aged 65 and over were included. For example, aged care and health benefits are projected to increase as a percentage of GDP through to 2054</w:t>
      </w:r>
      <w:r w:rsidR="00A8443E" w:rsidRPr="00027624">
        <w:rPr>
          <w:rFonts w:eastAsiaTheme="minorEastAsia"/>
          <w:lang w:eastAsia="en-US"/>
        </w:rPr>
        <w:noBreakHyphen/>
      </w:r>
      <w:r w:rsidRPr="00027624">
        <w:rPr>
          <w:rFonts w:eastAsiaTheme="minorEastAsia"/>
        </w:rPr>
        <w:t>55</w:t>
      </w:r>
      <w:r w:rsidRPr="00027624">
        <w:rPr>
          <w:rFonts w:eastAsiaTheme="minorEastAsia"/>
          <w:lang w:eastAsia="en-US"/>
        </w:rPr>
        <w:t xml:space="preserve"> </w:t>
      </w:r>
      <w:sdt>
        <w:sdtPr>
          <w:rPr>
            <w:rFonts w:eastAsiaTheme="minorEastAsia"/>
            <w:lang w:eastAsia="en-US"/>
          </w:rPr>
          <w:id w:val="-397670263"/>
          <w:citation/>
        </w:sdtPr>
        <w:sdtEndPr/>
        <w:sdtContent>
          <w:r w:rsidRPr="00027624">
            <w:rPr>
              <w:rFonts w:eastAsiaTheme="minorEastAsia"/>
              <w:lang w:eastAsia="en-US"/>
            </w:rPr>
            <w:fldChar w:fldCharType="begin"/>
          </w:r>
          <w:r w:rsidRPr="00027624">
            <w:rPr>
              <w:rFonts w:eastAsiaTheme="minorEastAsia"/>
              <w:lang w:eastAsia="en-US"/>
            </w:rPr>
            <w:instrText xml:space="preserve">CITATION The15 \l 3081 </w:instrText>
          </w:r>
          <w:r w:rsidRPr="00027624">
            <w:rPr>
              <w:rFonts w:eastAsiaTheme="minorEastAsia"/>
              <w:lang w:eastAsia="en-US"/>
            </w:rPr>
            <w:fldChar w:fldCharType="separate"/>
          </w:r>
          <w:r w:rsidR="00E83F6E" w:rsidRPr="00E83F6E">
            <w:rPr>
              <w:rFonts w:eastAsiaTheme="minorEastAsia"/>
              <w:noProof/>
              <w:lang w:eastAsia="en-US"/>
            </w:rPr>
            <w:t>(Commonwealth of Australia, 2015)</w:t>
          </w:r>
          <w:r w:rsidRPr="00027624">
            <w:rPr>
              <w:rFonts w:eastAsiaTheme="minorEastAsia"/>
              <w:lang w:eastAsia="en-US"/>
            </w:rPr>
            <w:fldChar w:fldCharType="end"/>
          </w:r>
        </w:sdtContent>
      </w:sdt>
      <w:r w:rsidRPr="00027624">
        <w:rPr>
          <w:rFonts w:eastAsiaTheme="minorEastAsia"/>
          <w:lang w:eastAsia="en-US"/>
        </w:rPr>
        <w:t xml:space="preserve">. </w:t>
      </w:r>
    </w:p>
    <w:p w14:paraId="446337DC" w14:textId="77777777" w:rsidR="00B3792F" w:rsidRPr="00027624" w:rsidRDefault="00B3792F" w:rsidP="00582C3E">
      <w:pPr>
        <w:pStyle w:val="ChartMainHeading"/>
        <w:rPr>
          <w:rFonts w:eastAsiaTheme="minorHAnsi"/>
        </w:rPr>
      </w:pPr>
      <w:bookmarkStart w:id="3956" w:name="_Ref37758447"/>
      <w:bookmarkStart w:id="3957" w:name="_Ref41303250"/>
      <w:r w:rsidRPr="00027624">
        <w:rPr>
          <w:rFonts w:eastAsiaTheme="minorHAnsi"/>
        </w:rPr>
        <w:t>Past and projected generational transfer cost</w:t>
      </w:r>
      <w:bookmarkEnd w:id="3956"/>
      <w:r w:rsidRPr="00027624">
        <w:rPr>
          <w:rFonts w:eastAsiaTheme="minorHAnsi"/>
        </w:rPr>
        <w:t xml:space="preserve"> </w:t>
      </w:r>
      <w:r w:rsidRPr="00027624" w:rsidDel="00294432">
        <w:rPr>
          <w:rFonts w:eastAsiaTheme="minorHAnsi"/>
        </w:rPr>
        <w:t xml:space="preserve">in </w:t>
      </w:r>
      <w:r w:rsidRPr="00027624">
        <w:rPr>
          <w:rFonts w:eastAsiaTheme="minorHAnsi"/>
        </w:rPr>
        <w:t xml:space="preserve">dollar terms </w:t>
      </w:r>
      <w:bookmarkEnd w:id="3957"/>
    </w:p>
    <w:p w14:paraId="2D62CF76" w14:textId="77777777" w:rsidR="00B3792F" w:rsidRPr="00027624" w:rsidRDefault="00361209" w:rsidP="00AD6771">
      <w:pPr>
        <w:pStyle w:val="ChartGraphic"/>
      </w:pPr>
      <w:r>
        <w:rPr>
          <w:noProof/>
        </w:rPr>
        <w:drawing>
          <wp:inline distT="0" distB="0" distL="0" distR="0" wp14:anchorId="72FB61C9" wp14:editId="30E3599A">
            <wp:extent cx="5577840" cy="2522220"/>
            <wp:effectExtent l="0" t="0" r="3810" b="0"/>
            <wp:docPr id="2050622949" name="Picture 2050622949" descr="This chart shows the generational transfer cost (of the Age Pension) in dollar terms in 2019 was higher compared with 1979-80 and 1999-2000. The generational transfer cost (of Age Pension and earnings tax concessions retirees receive) is projected to be higher in 2039 and 2059 compared with 2019 if there is either no or 1 per cent per year real wage growth in future (around $3,000 per working-age person in 2019 compared to around $5,000 in future)." title="Chart 3H-2 Past and projected generational transfer cost in dollar te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42BDA1DB" w14:textId="77777777" w:rsidR="00B3792F" w:rsidRPr="00027624" w:rsidRDefault="00B3792F" w:rsidP="00B3792F">
      <w:pPr>
        <w:pStyle w:val="ChartorTableNote"/>
        <w:rPr>
          <w:rFonts w:eastAsiaTheme="minorHAnsi"/>
          <w:lang w:eastAsia="en-US"/>
        </w:rPr>
      </w:pPr>
      <w:r w:rsidRPr="00027624">
        <w:rPr>
          <w:rFonts w:eastAsiaTheme="minorHAnsi"/>
          <w:lang w:eastAsia="en-US"/>
        </w:rPr>
        <w:t>Note: Cost is per working</w:t>
      </w:r>
      <w:r w:rsidR="00A8443E" w:rsidRPr="00027624">
        <w:rPr>
          <w:rFonts w:eastAsiaTheme="minorHAnsi"/>
          <w:lang w:eastAsia="en-US"/>
        </w:rPr>
        <w:noBreakHyphen/>
      </w:r>
      <w:r w:rsidRPr="00027624">
        <w:rPr>
          <w:rFonts w:eastAsiaTheme="minorHAnsi"/>
          <w:lang w:eastAsia="en-US"/>
        </w:rPr>
        <w:t xml:space="preserve">age person, per year. </w:t>
      </w:r>
      <w:r w:rsidRPr="00027624">
        <w:rPr>
          <w:szCs w:val="18"/>
        </w:rPr>
        <w:t>Values for 1979</w:t>
      </w:r>
      <w:r w:rsidR="00A8443E" w:rsidRPr="00027624">
        <w:rPr>
          <w:szCs w:val="18"/>
        </w:rPr>
        <w:noBreakHyphen/>
      </w:r>
      <w:r w:rsidRPr="00027624">
        <w:rPr>
          <w:szCs w:val="18"/>
        </w:rPr>
        <w:t>80 and 1999</w:t>
      </w:r>
      <w:r w:rsidR="00A8443E" w:rsidRPr="00027624">
        <w:rPr>
          <w:szCs w:val="18"/>
        </w:rPr>
        <w:noBreakHyphen/>
      </w:r>
      <w:r w:rsidRPr="00027624">
        <w:rPr>
          <w:szCs w:val="18"/>
        </w:rPr>
        <w:t xml:space="preserve">2000 are from </w:t>
      </w:r>
      <w:r w:rsidRPr="00027624">
        <w:t xml:space="preserve">Year Book 1981 and 2001 </w:t>
      </w:r>
      <w:r w:rsidRPr="00027624">
        <w:rPr>
          <w:szCs w:val="18"/>
        </w:rPr>
        <w:t>and are converted to 2018</w:t>
      </w:r>
      <w:r w:rsidR="00A8443E" w:rsidRPr="00027624">
        <w:rPr>
          <w:szCs w:val="18"/>
        </w:rPr>
        <w:noBreakHyphen/>
      </w:r>
      <w:r w:rsidRPr="00027624">
        <w:rPr>
          <w:szCs w:val="18"/>
        </w:rPr>
        <w:t xml:space="preserve">19 dollars. Values for 2019, 2039 and 2059 are from Rice Warner estimates for the review and are in 2019 dollars, </w:t>
      </w:r>
      <w:r w:rsidRPr="00027624">
        <w:rPr>
          <w:rFonts w:eastAsiaTheme="minorHAnsi"/>
          <w:lang w:eastAsia="en-US"/>
        </w:rPr>
        <w:t>assuming CPI growth of 2.5 per cent per year in the future. The proportion of taxes, and therefore the Age Pension, working</w:t>
      </w:r>
      <w:r w:rsidR="00A8443E" w:rsidRPr="00027624">
        <w:rPr>
          <w:rFonts w:eastAsiaTheme="minorHAnsi"/>
          <w:lang w:eastAsia="en-US"/>
        </w:rPr>
        <w:noBreakHyphen/>
      </w:r>
      <w:r w:rsidRPr="00027624">
        <w:rPr>
          <w:rFonts w:eastAsiaTheme="minorHAnsi"/>
          <w:lang w:eastAsia="en-US"/>
        </w:rPr>
        <w:t>age people pay for appears to have been stable for at least the last two decades. This is because households where the reference person was younger than 65 paid more than 90 per cent of total direct and indirect taxes in both 1988</w:t>
      </w:r>
      <w:r w:rsidR="00A8443E" w:rsidRPr="00027624">
        <w:rPr>
          <w:rFonts w:eastAsiaTheme="minorHAnsi"/>
          <w:lang w:eastAsia="en-US"/>
        </w:rPr>
        <w:noBreakHyphen/>
      </w:r>
      <w:r w:rsidRPr="00027624">
        <w:rPr>
          <w:rFonts w:eastAsiaTheme="minorHAnsi"/>
          <w:lang w:eastAsia="en-US"/>
        </w:rPr>
        <w:t xml:space="preserve">89 </w:t>
      </w:r>
      <w:sdt>
        <w:sdtPr>
          <w:rPr>
            <w:rFonts w:eastAsiaTheme="minorHAnsi"/>
            <w:lang w:eastAsia="en-US"/>
          </w:rPr>
          <w:id w:val="-24176039"/>
          <w:citation/>
        </w:sdtPr>
        <w:sdtEndPr/>
        <w:sdtContent>
          <w:r w:rsidRPr="00027624">
            <w:rPr>
              <w:rFonts w:eastAsiaTheme="minorHAnsi"/>
              <w:lang w:eastAsia="en-US"/>
            </w:rPr>
            <w:fldChar w:fldCharType="begin"/>
          </w:r>
          <w:r w:rsidRPr="00027624">
            <w:rPr>
              <w:rFonts w:eastAsiaTheme="minorHAnsi"/>
              <w:lang w:eastAsia="en-US"/>
            </w:rPr>
            <w:instrText xml:space="preserve">CITATION ABS9s22 \l 3081 </w:instrText>
          </w:r>
          <w:r w:rsidRPr="00027624">
            <w:rPr>
              <w:rFonts w:eastAsiaTheme="minorHAnsi"/>
              <w:lang w:eastAsia="en-US"/>
            </w:rPr>
            <w:fldChar w:fldCharType="separate"/>
          </w:r>
          <w:r w:rsidR="00E83F6E" w:rsidRPr="00E83F6E">
            <w:rPr>
              <w:rFonts w:eastAsiaTheme="minorHAnsi"/>
              <w:noProof/>
              <w:lang w:eastAsia="en-US"/>
            </w:rPr>
            <w:t>(ABS, 1992b)</w:t>
          </w:r>
          <w:r w:rsidRPr="00027624">
            <w:rPr>
              <w:rFonts w:eastAsiaTheme="minorHAnsi"/>
              <w:lang w:eastAsia="en-US"/>
            </w:rPr>
            <w:fldChar w:fldCharType="end"/>
          </w:r>
        </w:sdtContent>
      </w:sdt>
      <w:r w:rsidRPr="00027624">
        <w:rPr>
          <w:rFonts w:eastAsiaTheme="minorHAnsi"/>
          <w:lang w:eastAsia="en-US"/>
        </w:rPr>
        <w:t xml:space="preserve"> and 2015</w:t>
      </w:r>
      <w:r w:rsidR="00A8443E" w:rsidRPr="00027624">
        <w:rPr>
          <w:rFonts w:eastAsiaTheme="minorHAnsi"/>
          <w:lang w:eastAsia="en-US"/>
        </w:rPr>
        <w:noBreakHyphen/>
      </w:r>
      <w:r w:rsidRPr="00027624">
        <w:rPr>
          <w:rFonts w:eastAsiaTheme="minorHAnsi"/>
          <w:lang w:eastAsia="en-US"/>
        </w:rPr>
        <w:t xml:space="preserve">16 </w:t>
      </w:r>
      <w:sdt>
        <w:sdtPr>
          <w:rPr>
            <w:rFonts w:eastAsiaTheme="minorHAnsi"/>
            <w:lang w:eastAsia="en-US"/>
          </w:rPr>
          <w:id w:val="56674484"/>
          <w:citation/>
        </w:sdtPr>
        <w:sdtEndPr/>
        <w:sdtContent>
          <w:r w:rsidRPr="00027624">
            <w:rPr>
              <w:rFonts w:eastAsiaTheme="minorHAnsi"/>
              <w:lang w:eastAsia="en-US"/>
            </w:rPr>
            <w:fldChar w:fldCharType="begin"/>
          </w:r>
          <w:r w:rsidRPr="00027624">
            <w:rPr>
              <w:rFonts w:eastAsiaTheme="minorHAnsi"/>
              <w:lang w:eastAsia="en-US"/>
            </w:rPr>
            <w:instrText xml:space="preserve"> CITATION ABS18 \l 3081 </w:instrText>
          </w:r>
          <w:r w:rsidRPr="00027624">
            <w:rPr>
              <w:rFonts w:eastAsiaTheme="minorHAnsi"/>
              <w:lang w:eastAsia="en-US"/>
            </w:rPr>
            <w:fldChar w:fldCharType="separate"/>
          </w:r>
          <w:r w:rsidR="00E83F6E" w:rsidRPr="00E83F6E">
            <w:rPr>
              <w:rFonts w:eastAsiaTheme="minorHAnsi"/>
              <w:noProof/>
              <w:lang w:eastAsia="en-US"/>
            </w:rPr>
            <w:t>(ABS, 2018c)</w:t>
          </w:r>
          <w:r w:rsidRPr="00027624">
            <w:rPr>
              <w:rFonts w:eastAsiaTheme="minorHAnsi"/>
              <w:lang w:eastAsia="en-US"/>
            </w:rPr>
            <w:fldChar w:fldCharType="end"/>
          </w:r>
        </w:sdtContent>
      </w:sdt>
      <w:r w:rsidRPr="00027624">
        <w:rPr>
          <w:rFonts w:eastAsiaTheme="minorHAnsi"/>
          <w:lang w:eastAsia="en-US"/>
        </w:rPr>
        <w:t xml:space="preserve">. Earnings tax concessions are not included before 2019 due to data limitations. Data points vary between financial and calendar years to align with the time period of the underlying data. </w:t>
      </w:r>
      <w:r w:rsidRPr="00027624">
        <w:t xml:space="preserve">Source: Year Book 1981 and 2001 </w:t>
      </w:r>
      <w:sdt>
        <w:sdtPr>
          <w:rPr>
            <w:rFonts w:eastAsiaTheme="minorHAnsi"/>
            <w:lang w:eastAsia="en-US"/>
          </w:rPr>
          <w:id w:val="-781724925"/>
          <w:citation/>
        </w:sdtPr>
        <w:sdtEndPr/>
        <w:sdtContent>
          <w:r w:rsidRPr="00027624">
            <w:rPr>
              <w:rFonts w:eastAsiaTheme="minorHAnsi"/>
              <w:lang w:eastAsia="en-US"/>
            </w:rPr>
            <w:fldChar w:fldCharType="begin"/>
          </w:r>
          <w:r w:rsidRPr="00027624">
            <w:rPr>
              <w:rFonts w:eastAsiaTheme="minorHAnsi"/>
              <w:lang w:eastAsia="en-US"/>
            </w:rPr>
            <w:instrText xml:space="preserve"> CITATION ABS01 \l 3081 </w:instrText>
          </w:r>
          <w:r w:rsidRPr="00027624">
            <w:rPr>
              <w:rFonts w:eastAsiaTheme="minorHAnsi"/>
              <w:lang w:eastAsia="en-US"/>
            </w:rPr>
            <w:fldChar w:fldCharType="separate"/>
          </w:r>
          <w:r w:rsidR="00E83F6E" w:rsidRPr="00E83F6E">
            <w:rPr>
              <w:rFonts w:eastAsiaTheme="minorHAnsi"/>
              <w:noProof/>
              <w:lang w:eastAsia="en-US"/>
            </w:rPr>
            <w:t>(ABS, 2001)</w:t>
          </w:r>
          <w:r w:rsidRPr="00027624">
            <w:rPr>
              <w:rFonts w:eastAsiaTheme="minorHAnsi"/>
              <w:lang w:eastAsia="en-US"/>
            </w:rPr>
            <w:fldChar w:fldCharType="end"/>
          </w:r>
        </w:sdtContent>
      </w:sdt>
      <w:r w:rsidRPr="00027624">
        <w:rPr>
          <w:rFonts w:eastAsiaTheme="minorHAnsi"/>
          <w:lang w:eastAsia="en-US"/>
        </w:rPr>
        <w:t xml:space="preserve">, </w:t>
      </w:r>
      <w:sdt>
        <w:sdtPr>
          <w:id w:val="-1327050073"/>
          <w:citation/>
        </w:sdtPr>
        <w:sdtEndPr/>
        <w:sdtContent>
          <w:r w:rsidR="00AE2BB3" w:rsidRPr="00027624">
            <w:fldChar w:fldCharType="begin"/>
          </w:r>
          <w:r w:rsidR="00AE2BB3" w:rsidRPr="00027624">
            <w:instrText xml:space="preserve">CITATION ABS202e \l 3081 </w:instrText>
          </w:r>
          <w:r w:rsidR="00AE2BB3" w:rsidRPr="00027624">
            <w:fldChar w:fldCharType="separate"/>
          </w:r>
          <w:r w:rsidR="00E83F6E">
            <w:rPr>
              <w:noProof/>
            </w:rPr>
            <w:t>(ABS, 2020e)</w:t>
          </w:r>
          <w:r w:rsidR="00AE2BB3" w:rsidRPr="00027624">
            <w:fldChar w:fldCharType="end"/>
          </w:r>
        </w:sdtContent>
      </w:sdt>
      <w:r w:rsidRPr="00027624">
        <w:rPr>
          <w:rFonts w:eastAsiaTheme="minorHAnsi"/>
          <w:lang w:eastAsia="en-US"/>
        </w:rPr>
        <w:t xml:space="preserve">, </w:t>
      </w:r>
      <w:sdt>
        <w:sdtPr>
          <w:rPr>
            <w:rFonts w:eastAsiaTheme="minorHAnsi"/>
            <w:lang w:eastAsia="en-US"/>
          </w:rPr>
          <w:id w:val="337585838"/>
          <w:citation/>
        </w:sdtPr>
        <w:sdtEndPr/>
        <w:sdtContent>
          <w:r w:rsidRPr="00027624">
            <w:rPr>
              <w:rFonts w:eastAsiaTheme="minorHAnsi"/>
              <w:lang w:eastAsia="en-US"/>
            </w:rPr>
            <w:fldChar w:fldCharType="begin"/>
          </w:r>
          <w:r w:rsidRPr="00027624">
            <w:rPr>
              <w:rFonts w:eastAsiaTheme="minorHAnsi"/>
              <w:lang w:eastAsia="en-US"/>
            </w:rPr>
            <w:instrText xml:space="preserve"> CITATION ABS197 \l 3081 </w:instrText>
          </w:r>
          <w:r w:rsidRPr="00027624">
            <w:rPr>
              <w:rFonts w:eastAsiaTheme="minorHAnsi"/>
              <w:lang w:eastAsia="en-US"/>
            </w:rPr>
            <w:fldChar w:fldCharType="separate"/>
          </w:r>
          <w:r w:rsidR="00E83F6E" w:rsidRPr="00E83F6E">
            <w:rPr>
              <w:rFonts w:eastAsiaTheme="minorHAnsi"/>
              <w:noProof/>
              <w:lang w:eastAsia="en-US"/>
            </w:rPr>
            <w:t>(ABS, 2019b)</w:t>
          </w:r>
          <w:r w:rsidRPr="00027624">
            <w:rPr>
              <w:rFonts w:eastAsiaTheme="minorHAnsi"/>
              <w:lang w:eastAsia="en-US"/>
            </w:rPr>
            <w:fldChar w:fldCharType="end"/>
          </w:r>
        </w:sdtContent>
      </w:sdt>
      <w:r w:rsidRPr="00027624">
        <w:rPr>
          <w:rFonts w:eastAsiaTheme="minorHAnsi"/>
          <w:lang w:eastAsia="en-US"/>
        </w:rPr>
        <w:t xml:space="preserve">, </w:t>
      </w:r>
      <w:sdt>
        <w:sdtPr>
          <w:rPr>
            <w:rFonts w:eastAsiaTheme="minorHAnsi"/>
            <w:lang w:eastAsia="en-US"/>
          </w:rPr>
          <w:id w:val="-1270929520"/>
          <w:citation/>
        </w:sdtPr>
        <w:sdtEndPr/>
        <w:sdtContent>
          <w:r w:rsidRPr="00027624">
            <w:rPr>
              <w:rFonts w:eastAsiaTheme="minorHAnsi"/>
              <w:lang w:eastAsia="en-US"/>
            </w:rPr>
            <w:fldChar w:fldCharType="begin"/>
          </w:r>
          <w:r w:rsidRPr="00027624">
            <w:rPr>
              <w:rFonts w:eastAsiaTheme="minorHAnsi"/>
              <w:lang w:eastAsia="en-US"/>
            </w:rPr>
            <w:instrText xml:space="preserve">CITATION Placeholder1 \l 3081 </w:instrText>
          </w:r>
          <w:r w:rsidRPr="00027624">
            <w:rPr>
              <w:rFonts w:eastAsiaTheme="minorHAnsi"/>
              <w:lang w:eastAsia="en-US"/>
            </w:rPr>
            <w:fldChar w:fldCharType="separate"/>
          </w:r>
          <w:r w:rsidR="00E83F6E" w:rsidRPr="00E83F6E">
            <w:rPr>
              <w:rFonts w:eastAsiaTheme="minorHAnsi"/>
              <w:noProof/>
              <w:lang w:eastAsia="en-US"/>
            </w:rPr>
            <w:t>(ABS, 2018g)</w:t>
          </w:r>
          <w:r w:rsidRPr="00027624">
            <w:rPr>
              <w:rFonts w:eastAsiaTheme="minorHAnsi"/>
              <w:lang w:eastAsia="en-US"/>
            </w:rPr>
            <w:fldChar w:fldCharType="end"/>
          </w:r>
        </w:sdtContent>
      </w:sdt>
      <w:r w:rsidRPr="00027624">
        <w:rPr>
          <w:rFonts w:eastAsiaTheme="minorHAnsi"/>
          <w:lang w:eastAsia="en-US"/>
        </w:rPr>
        <w:t>;</w:t>
      </w:r>
      <w:r w:rsidRPr="00027624" w:rsidDel="00A60869">
        <w:rPr>
          <w:rFonts w:eastAsiaTheme="minorHAnsi"/>
          <w:lang w:eastAsia="en-US"/>
        </w:rPr>
        <w:t xml:space="preserve"> </w:t>
      </w:r>
      <w:r w:rsidRPr="00027624">
        <w:rPr>
          <w:rFonts w:eastAsiaTheme="minorHAnsi"/>
          <w:lang w:eastAsia="en-US"/>
        </w:rPr>
        <w:t>Analysis of Rice Warner estimates for the review</w:t>
      </w:r>
      <w:r w:rsidRPr="00027624" w:rsidDel="00A60869">
        <w:rPr>
          <w:rFonts w:eastAsiaTheme="minorHAnsi"/>
          <w:lang w:eastAsia="en-US"/>
        </w:rPr>
        <w:t>.</w:t>
      </w:r>
    </w:p>
    <w:p w14:paraId="7FF72D0A" w14:textId="6BD3B43A" w:rsidR="00B3792F" w:rsidRPr="00027624" w:rsidRDefault="00B3792F" w:rsidP="00B3792F">
      <w:pPr>
        <w:autoSpaceDE w:val="0"/>
        <w:autoSpaceDN w:val="0"/>
        <w:adjustRightInd w:val="0"/>
        <w:spacing w:before="0"/>
        <w:rPr>
          <w:rFonts w:eastAsiaTheme="minorEastAsia" w:cs="Calibri"/>
          <w:color w:val="000000"/>
          <w:lang w:eastAsia="en-US"/>
        </w:rPr>
      </w:pPr>
      <w:r w:rsidRPr="00027624">
        <w:t xml:space="preserve">Although the generational transfer cost is projected to increase in </w:t>
      </w:r>
      <w:r w:rsidRPr="00027624">
        <w:rPr>
          <w:i/>
        </w:rPr>
        <w:t>dollar terms</w:t>
      </w:r>
      <w:r w:rsidRPr="00027624">
        <w:t xml:space="preserve"> (</w:t>
      </w:r>
      <w:r w:rsidRPr="00027624">
        <w:fldChar w:fldCharType="begin"/>
      </w:r>
      <w:r w:rsidRPr="00027624">
        <w:instrText xml:space="preserve"> REF _Ref37758447 \r \h  \* MERGEFORMAT </w:instrText>
      </w:r>
      <w:r w:rsidRPr="00027624">
        <w:fldChar w:fldCharType="separate"/>
      </w:r>
      <w:r w:rsidR="00891058">
        <w:t>Chart 3H-2</w:t>
      </w:r>
      <w:r w:rsidRPr="00027624">
        <w:fldChar w:fldCharType="end"/>
      </w:r>
      <w:r w:rsidRPr="00027624">
        <w:t xml:space="preserve">), </w:t>
      </w:r>
      <w:r w:rsidRPr="00027624">
        <w:rPr>
          <w:rStyle w:val="normaltextrun"/>
          <w:rFonts w:cs="Calibri"/>
          <w:color w:val="000000"/>
          <w:szCs w:val="22"/>
          <w:shd w:val="clear" w:color="auto" w:fill="FFFFFF"/>
        </w:rPr>
        <w:t>a better benchmark may be the generational transfer cost as a </w:t>
      </w:r>
      <w:r w:rsidRPr="00027624">
        <w:rPr>
          <w:rStyle w:val="normaltextrun"/>
          <w:rFonts w:cs="Calibri"/>
          <w:i/>
          <w:iCs/>
          <w:color w:val="000000"/>
          <w:szCs w:val="22"/>
          <w:shd w:val="clear" w:color="auto" w:fill="FFFFFF"/>
        </w:rPr>
        <w:t>proportion of wages</w:t>
      </w:r>
      <w:r w:rsidRPr="00027624">
        <w:rPr>
          <w:rStyle w:val="normaltextrun"/>
          <w:rFonts w:cs="Calibri"/>
          <w:color w:val="000000"/>
          <w:szCs w:val="22"/>
          <w:shd w:val="clear" w:color="auto" w:fill="FFFFFF"/>
        </w:rPr>
        <w:t> of the working</w:t>
      </w:r>
      <w:r w:rsidR="00A8443E" w:rsidRPr="00027624">
        <w:rPr>
          <w:rStyle w:val="normaltextrun"/>
          <w:rFonts w:cs="Calibri"/>
          <w:color w:val="000000"/>
          <w:szCs w:val="22"/>
          <w:shd w:val="clear" w:color="auto" w:fill="FFFFFF"/>
        </w:rPr>
        <w:noBreakHyphen/>
      </w:r>
      <w:r w:rsidRPr="00027624">
        <w:rPr>
          <w:rStyle w:val="normaltextrun"/>
          <w:rFonts w:cs="Calibri"/>
          <w:color w:val="000000"/>
          <w:szCs w:val="22"/>
          <w:shd w:val="clear" w:color="auto" w:fill="FFFFFF"/>
        </w:rPr>
        <w:t>age population, in real terms. This approach may better represent the affordability of the generational transfer cost, as it recognises people</w:t>
      </w:r>
      <w:r w:rsidR="00A8443E" w:rsidRPr="00027624">
        <w:rPr>
          <w:rStyle w:val="normaltextrun"/>
          <w:rFonts w:cs="Calibri"/>
          <w:color w:val="000000"/>
          <w:szCs w:val="22"/>
          <w:shd w:val="clear" w:color="auto" w:fill="FFFFFF"/>
        </w:rPr>
        <w:t>’</w:t>
      </w:r>
      <w:r w:rsidRPr="00027624">
        <w:rPr>
          <w:rStyle w:val="normaltextrun"/>
          <w:rFonts w:cs="Calibri"/>
          <w:color w:val="000000"/>
          <w:szCs w:val="22"/>
          <w:shd w:val="clear" w:color="auto" w:fill="FFFFFF"/>
        </w:rPr>
        <w:t>s capacity to pay has generally been rising over time. </w:t>
      </w:r>
    </w:p>
    <w:p w14:paraId="4887DAB5" w14:textId="6A35BD5E" w:rsidR="00B3792F" w:rsidRPr="00027624" w:rsidRDefault="00B3792F" w:rsidP="00B3792F">
      <w:pPr>
        <w:autoSpaceDE w:val="0"/>
        <w:autoSpaceDN w:val="0"/>
        <w:adjustRightInd w:val="0"/>
        <w:spacing w:before="0"/>
        <w:rPr>
          <w:rFonts w:eastAsiaTheme="minorEastAsia" w:cs="Calibri"/>
          <w:color w:val="000000"/>
          <w:lang w:eastAsia="en-US"/>
        </w:rPr>
      </w:pPr>
      <w:r w:rsidRPr="00027624">
        <w:rPr>
          <w:rFonts w:eastAsiaTheme="minorEastAsia" w:cs="Calibri"/>
          <w:color w:val="000000"/>
          <w:lang w:eastAsia="en-US"/>
        </w:rPr>
        <w:t>The generational transfer cost</w:t>
      </w:r>
      <w:r w:rsidRPr="00027624">
        <w:t xml:space="preserve"> </w:t>
      </w:r>
      <w:r w:rsidRPr="00027624">
        <w:rPr>
          <w:rFonts w:eastAsiaTheme="minorEastAsia" w:cs="Calibri"/>
          <w:color w:val="000000"/>
          <w:lang w:eastAsia="en-US"/>
        </w:rPr>
        <w:t>as a proportion of wages marginally increased between 197</w:t>
      </w:r>
      <w:r w:rsidRPr="00027624">
        <w:rPr>
          <w:rFonts w:eastAsiaTheme="minorEastAsia" w:cs="Calibri"/>
          <w:color w:val="000000" w:themeColor="text1"/>
          <w:lang w:eastAsia="en-US"/>
        </w:rPr>
        <w:t>9</w:t>
      </w:r>
      <w:r w:rsidR="00A8443E" w:rsidRPr="00027624">
        <w:rPr>
          <w:rFonts w:eastAsiaTheme="minorEastAsia" w:cs="Calibri"/>
          <w:color w:val="000000" w:themeColor="text1"/>
          <w:lang w:eastAsia="en-US"/>
        </w:rPr>
        <w:noBreakHyphen/>
      </w:r>
      <w:r w:rsidRPr="00027624">
        <w:rPr>
          <w:rFonts w:eastAsiaTheme="minorEastAsia" w:cs="Calibri"/>
          <w:color w:val="000000" w:themeColor="text1"/>
          <w:lang w:eastAsia="en-US"/>
        </w:rPr>
        <w:t>80</w:t>
      </w:r>
      <w:r w:rsidRPr="00027624">
        <w:rPr>
          <w:rFonts w:eastAsiaTheme="minorEastAsia" w:cs="Calibri"/>
          <w:color w:val="000000"/>
          <w:lang w:eastAsia="en-US"/>
        </w:rPr>
        <w:t xml:space="preserve"> and 2019 </w:t>
      </w:r>
      <w:r w:rsidRPr="00027624">
        <w:rPr>
          <w:rFonts w:eastAsiaTheme="minorEastAsia"/>
          <w:color w:val="000000"/>
        </w:rPr>
        <w:t>(</w:t>
      </w:r>
      <w:r w:rsidRPr="00027624">
        <w:rPr>
          <w:rFonts w:eastAsiaTheme="minorEastAsia"/>
          <w:color w:val="000000"/>
        </w:rPr>
        <w:fldChar w:fldCharType="begin"/>
      </w:r>
      <w:r w:rsidRPr="00027624">
        <w:rPr>
          <w:rFonts w:eastAsiaTheme="minorEastAsia"/>
          <w:color w:val="000000"/>
        </w:rPr>
        <w:instrText xml:space="preserve"> REF _Ref37758472 \r \h  \* MERGEFORMAT </w:instrText>
      </w:r>
      <w:r w:rsidRPr="00027624">
        <w:rPr>
          <w:rFonts w:eastAsiaTheme="minorEastAsia"/>
          <w:color w:val="000000"/>
        </w:rPr>
      </w:r>
      <w:r w:rsidRPr="00027624">
        <w:rPr>
          <w:rFonts w:eastAsiaTheme="minorEastAsia"/>
          <w:color w:val="000000"/>
        </w:rPr>
        <w:fldChar w:fldCharType="separate"/>
      </w:r>
      <w:r w:rsidR="00891058">
        <w:rPr>
          <w:rFonts w:eastAsiaTheme="minorEastAsia"/>
          <w:color w:val="000000"/>
        </w:rPr>
        <w:t>Chart 3H-3</w:t>
      </w:r>
      <w:r w:rsidRPr="00027624">
        <w:rPr>
          <w:rFonts w:eastAsiaTheme="minorEastAsia"/>
          <w:color w:val="000000"/>
        </w:rPr>
        <w:fldChar w:fldCharType="end"/>
      </w:r>
      <w:r w:rsidRPr="00027624">
        <w:rPr>
          <w:rFonts w:eastAsiaTheme="minorEastAsia"/>
          <w:color w:val="000000"/>
        </w:rPr>
        <w:t>).</w:t>
      </w:r>
      <w:r w:rsidRPr="00027624">
        <w:rPr>
          <w:rFonts w:eastAsiaTheme="minorEastAsia" w:cs="Calibri"/>
          <w:color w:val="000000"/>
          <w:lang w:eastAsia="en-US"/>
        </w:rPr>
        <w:t xml:space="preserve"> If future real wage growth is equal to 1 per cent per year,</w:t>
      </w:r>
      <w:r w:rsidRPr="00027624">
        <w:rPr>
          <w:rStyle w:val="FootnoteReference"/>
          <w:rFonts w:eastAsiaTheme="minorEastAsia" w:cs="Calibri"/>
          <w:color w:val="000000"/>
          <w:lang w:eastAsia="en-US"/>
        </w:rPr>
        <w:footnoteReference w:id="233"/>
      </w:r>
      <w:r w:rsidRPr="00027624">
        <w:rPr>
          <w:rFonts w:eastAsiaTheme="minorEastAsia" w:cs="Calibri"/>
          <w:color w:val="000000"/>
          <w:lang w:eastAsia="en-US"/>
        </w:rPr>
        <w:t xml:space="preserve"> this cost would be broadly similar in 40 years</w:t>
      </w:r>
      <w:r w:rsidR="00A8443E" w:rsidRPr="00027624">
        <w:rPr>
          <w:rFonts w:eastAsiaTheme="minorEastAsia" w:cs="Calibri"/>
          <w:color w:val="000000"/>
          <w:lang w:eastAsia="en-US"/>
        </w:rPr>
        <w:t>’</w:t>
      </w:r>
      <w:r w:rsidRPr="00027624">
        <w:rPr>
          <w:rFonts w:eastAsiaTheme="minorEastAsia" w:cs="Calibri"/>
          <w:color w:val="000000"/>
          <w:lang w:eastAsia="en-US"/>
        </w:rPr>
        <w:t xml:space="preserve"> time. However, if there was no real wage growth in the future, the cost is projected to increase substantially, placing a higher burden on working</w:t>
      </w:r>
      <w:r w:rsidR="00A8443E" w:rsidRPr="00027624">
        <w:rPr>
          <w:rFonts w:eastAsiaTheme="minorEastAsia" w:cs="Calibri"/>
          <w:color w:val="000000"/>
          <w:lang w:eastAsia="en-US"/>
        </w:rPr>
        <w:noBreakHyphen/>
      </w:r>
      <w:r w:rsidRPr="00027624">
        <w:rPr>
          <w:rFonts w:eastAsiaTheme="minorEastAsia" w:cs="Calibri"/>
          <w:color w:val="000000"/>
          <w:lang w:eastAsia="en-US"/>
        </w:rPr>
        <w:t xml:space="preserve">age people to fund the Age Pension and earnings tax concessions of retirees. This suggests </w:t>
      </w:r>
      <w:r w:rsidRPr="00027624">
        <w:rPr>
          <w:rFonts w:eastAsiaTheme="minorEastAsia" w:cs="Calibri"/>
          <w:b/>
          <w:color w:val="000000"/>
          <w:lang w:eastAsia="en-US"/>
        </w:rPr>
        <w:t>real</w:t>
      </w:r>
      <w:r w:rsidRPr="00027624">
        <w:rPr>
          <w:rFonts w:eastAsiaTheme="minorEastAsia" w:cs="Calibri"/>
          <w:color w:val="000000"/>
          <w:lang w:eastAsia="en-US"/>
        </w:rPr>
        <w:t xml:space="preserve"> </w:t>
      </w:r>
      <w:r w:rsidRPr="00027624">
        <w:rPr>
          <w:rFonts w:eastAsiaTheme="minorEastAsia" w:cs="Calibri"/>
          <w:b/>
          <w:bCs/>
          <w:color w:val="000000"/>
          <w:lang w:eastAsia="en-US"/>
        </w:rPr>
        <w:t>wage growth is necessary to ensure the Age Pension and earnings tax concessions retirees receive are not an excessive burden for working</w:t>
      </w:r>
      <w:r w:rsidR="00A8443E" w:rsidRPr="00027624">
        <w:rPr>
          <w:rFonts w:eastAsiaTheme="minorEastAsia" w:cs="Calibri"/>
          <w:b/>
          <w:bCs/>
          <w:color w:val="000000"/>
          <w:lang w:eastAsia="en-US"/>
        </w:rPr>
        <w:noBreakHyphen/>
      </w:r>
      <w:r w:rsidRPr="00027624">
        <w:rPr>
          <w:rFonts w:eastAsiaTheme="minorEastAsia" w:cs="Calibri"/>
          <w:b/>
          <w:bCs/>
          <w:color w:val="000000"/>
          <w:lang w:eastAsia="en-US"/>
        </w:rPr>
        <w:t>age people in the future</w:t>
      </w:r>
      <w:r w:rsidRPr="00027624">
        <w:rPr>
          <w:rFonts w:eastAsiaTheme="minorEastAsia" w:cs="Calibri"/>
          <w:color w:val="000000"/>
          <w:lang w:eastAsia="en-US"/>
        </w:rPr>
        <w:t xml:space="preserve">. </w:t>
      </w:r>
    </w:p>
    <w:p w14:paraId="1EDE382F" w14:textId="77777777" w:rsidR="00B3792F" w:rsidRPr="00027624" w:rsidRDefault="00B3792F" w:rsidP="00582C3E">
      <w:pPr>
        <w:pStyle w:val="ChartMainHeading"/>
        <w:rPr>
          <w:rFonts w:eastAsiaTheme="minorHAnsi"/>
        </w:rPr>
      </w:pPr>
      <w:bookmarkStart w:id="3958" w:name="_Ref37758472"/>
      <w:bookmarkStart w:id="3959" w:name="_Ref38718015"/>
      <w:r w:rsidRPr="00027624">
        <w:rPr>
          <w:rFonts w:eastAsiaTheme="minorHAnsi"/>
        </w:rPr>
        <w:lastRenderedPageBreak/>
        <w:t>Past and projected generational transfer cost as a proportion of wages</w:t>
      </w:r>
      <w:bookmarkEnd w:id="3958"/>
      <w:bookmarkEnd w:id="3959"/>
    </w:p>
    <w:p w14:paraId="4E1E222A" w14:textId="77777777" w:rsidR="00B3792F" w:rsidRPr="00027624" w:rsidRDefault="00361209" w:rsidP="00AD6771">
      <w:pPr>
        <w:pStyle w:val="ChartGraphic"/>
        <w:rPr>
          <w:rFonts w:eastAsiaTheme="minorHAnsi"/>
          <w:lang w:eastAsia="en-US"/>
        </w:rPr>
      </w:pPr>
      <w:r>
        <w:rPr>
          <w:rFonts w:eastAsiaTheme="minorHAnsi"/>
          <w:noProof/>
        </w:rPr>
        <w:drawing>
          <wp:inline distT="0" distB="0" distL="0" distR="0" wp14:anchorId="1CF143FC" wp14:editId="6EC9E89F">
            <wp:extent cx="5554980" cy="2522220"/>
            <wp:effectExtent l="0" t="0" r="7620" b="0"/>
            <wp:docPr id="2050622950" name="Picture 2050622950" descr="This chart shows the generational transfer cost (of the Age Pension) as a proportion of wages marginally increased between 1979-80 and 2019. If future real wage growth is equal to 1 per cent per year, the cost (of Age Pension and earnings tax concessions retirees receive) is projected to increase in 2039 and then fall to be broadly similar in 2059 compared with in 2019. If there was no real wage growth in future, this cost is projected to be substantially higher in 2039 and 2059 compared with in 2019." title="Chart 3H-3 Past and projected generational transfer cost as a proportion of w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554980" cy="2522220"/>
                    </a:xfrm>
                    <a:prstGeom prst="rect">
                      <a:avLst/>
                    </a:prstGeom>
                    <a:noFill/>
                  </pic:spPr>
                </pic:pic>
              </a:graphicData>
            </a:graphic>
          </wp:inline>
        </w:drawing>
      </w:r>
    </w:p>
    <w:p w14:paraId="75117CD9" w14:textId="77777777" w:rsidR="00B3792F" w:rsidRPr="00027624" w:rsidRDefault="00B3792F" w:rsidP="00AB09DB">
      <w:pPr>
        <w:pStyle w:val="ChartorTableNote"/>
        <w:rPr>
          <w:rFonts w:eastAsiaTheme="minorHAnsi"/>
          <w:lang w:eastAsia="en-US"/>
        </w:rPr>
      </w:pPr>
      <w:r w:rsidRPr="00027624">
        <w:rPr>
          <w:rFonts w:eastAsiaTheme="minorHAnsi"/>
          <w:lang w:eastAsia="en-US"/>
        </w:rPr>
        <w:t>Note: Cost is per working</w:t>
      </w:r>
      <w:r w:rsidR="00A8443E" w:rsidRPr="00027624">
        <w:rPr>
          <w:rFonts w:eastAsiaTheme="minorHAnsi"/>
          <w:lang w:eastAsia="en-US"/>
        </w:rPr>
        <w:noBreakHyphen/>
      </w:r>
      <w:r w:rsidRPr="00027624">
        <w:rPr>
          <w:rFonts w:eastAsiaTheme="minorHAnsi"/>
          <w:lang w:eastAsia="en-US"/>
        </w:rPr>
        <w:t>age person, per year. Assumes CPI growth is 2.5 per cent per year. Wages in 1979</w:t>
      </w:r>
      <w:r w:rsidR="00A8443E" w:rsidRPr="00027624">
        <w:rPr>
          <w:rFonts w:eastAsiaTheme="minorHAnsi"/>
          <w:lang w:eastAsia="en-US"/>
        </w:rPr>
        <w:noBreakHyphen/>
      </w:r>
      <w:r w:rsidRPr="00027624">
        <w:rPr>
          <w:rFonts w:eastAsiaTheme="minorHAnsi"/>
          <w:lang w:eastAsia="en-US"/>
        </w:rPr>
        <w:t xml:space="preserve">80 refers to </w:t>
      </w:r>
      <w:r w:rsidR="00A8443E" w:rsidRPr="00027624">
        <w:rPr>
          <w:rFonts w:eastAsiaTheme="minorHAnsi"/>
          <w:lang w:eastAsia="en-US"/>
        </w:rPr>
        <w:t>‘</w:t>
      </w:r>
      <w:r w:rsidRPr="00027624">
        <w:rPr>
          <w:rFonts w:eastAsiaTheme="minorHAnsi"/>
          <w:lang w:eastAsia="en-US"/>
        </w:rPr>
        <w:t>average weekly earnings per employed male unit</w:t>
      </w:r>
      <w:r w:rsidR="00A8443E" w:rsidRPr="00027624">
        <w:rPr>
          <w:rFonts w:eastAsiaTheme="minorHAnsi"/>
          <w:lang w:eastAsia="en-US"/>
        </w:rPr>
        <w:t>’</w:t>
      </w:r>
      <w:r w:rsidRPr="00027624">
        <w:rPr>
          <w:rFonts w:eastAsiaTheme="minorHAnsi"/>
          <w:lang w:eastAsia="en-US"/>
        </w:rPr>
        <w:t xml:space="preserve"> in September 1979; in 1999</w:t>
      </w:r>
      <w:r w:rsidR="00A8443E" w:rsidRPr="00027624">
        <w:rPr>
          <w:rFonts w:eastAsiaTheme="minorHAnsi"/>
          <w:lang w:eastAsia="en-US"/>
        </w:rPr>
        <w:noBreakHyphen/>
      </w:r>
      <w:r w:rsidRPr="00027624">
        <w:rPr>
          <w:rFonts w:eastAsiaTheme="minorHAnsi"/>
          <w:lang w:eastAsia="en-US"/>
        </w:rPr>
        <w:t xml:space="preserve">2000 and 2019 it refers to </w:t>
      </w:r>
      <w:r w:rsidR="00A8443E" w:rsidRPr="00027624">
        <w:rPr>
          <w:rFonts w:eastAsiaTheme="minorHAnsi"/>
          <w:lang w:eastAsia="en-US"/>
        </w:rPr>
        <w:t>‘</w:t>
      </w:r>
      <w:r w:rsidRPr="00027624">
        <w:rPr>
          <w:rFonts w:eastAsiaTheme="minorHAnsi"/>
          <w:lang w:eastAsia="en-US"/>
        </w:rPr>
        <w:t>Earnings; Persons; Full</w:t>
      </w:r>
      <w:r w:rsidR="00A8443E" w:rsidRPr="00027624">
        <w:rPr>
          <w:rFonts w:eastAsiaTheme="minorHAnsi"/>
          <w:lang w:eastAsia="en-US"/>
        </w:rPr>
        <w:noBreakHyphen/>
      </w:r>
      <w:r w:rsidRPr="00027624">
        <w:rPr>
          <w:rFonts w:eastAsiaTheme="minorHAnsi"/>
          <w:lang w:eastAsia="en-US"/>
        </w:rPr>
        <w:t>Time; Adult; Total earnings</w:t>
      </w:r>
      <w:r w:rsidR="00A8443E" w:rsidRPr="00027624">
        <w:rPr>
          <w:rFonts w:eastAsiaTheme="minorHAnsi"/>
          <w:lang w:eastAsia="en-US"/>
        </w:rPr>
        <w:t>’</w:t>
      </w:r>
      <w:r w:rsidRPr="00027624">
        <w:rPr>
          <w:rFonts w:eastAsiaTheme="minorHAnsi"/>
          <w:lang w:eastAsia="en-US"/>
        </w:rPr>
        <w:t xml:space="preserve"> in November 1999 and November 2019, respectively. Earnings tax concessions are not included before 2019 due to data limitations. Data points vary between financial and calendar years to align with the time period of the underlying data. </w:t>
      </w:r>
      <w:r w:rsidRPr="00027624">
        <w:t xml:space="preserve">Source: Year Book 1981 and 2001 </w:t>
      </w:r>
      <w:sdt>
        <w:sdtPr>
          <w:rPr>
            <w:rFonts w:eastAsiaTheme="minorHAnsi"/>
            <w:lang w:eastAsia="en-US"/>
          </w:rPr>
          <w:id w:val="1758786005"/>
          <w:citation/>
        </w:sdtPr>
        <w:sdtEndPr/>
        <w:sdtContent>
          <w:r w:rsidRPr="00027624">
            <w:rPr>
              <w:rFonts w:eastAsiaTheme="minorHAnsi"/>
              <w:lang w:eastAsia="en-US"/>
            </w:rPr>
            <w:fldChar w:fldCharType="begin"/>
          </w:r>
          <w:r w:rsidRPr="00027624">
            <w:rPr>
              <w:rFonts w:eastAsiaTheme="minorHAnsi"/>
              <w:lang w:eastAsia="en-US"/>
            </w:rPr>
            <w:instrText xml:space="preserve"> CITATION ABS01 \l 3081 </w:instrText>
          </w:r>
          <w:r w:rsidRPr="00027624">
            <w:rPr>
              <w:rFonts w:eastAsiaTheme="minorHAnsi"/>
              <w:lang w:eastAsia="en-US"/>
            </w:rPr>
            <w:fldChar w:fldCharType="separate"/>
          </w:r>
          <w:r w:rsidR="00E83F6E" w:rsidRPr="00E83F6E">
            <w:rPr>
              <w:rFonts w:eastAsiaTheme="minorHAnsi"/>
              <w:noProof/>
              <w:lang w:eastAsia="en-US"/>
            </w:rPr>
            <w:t>(ABS, 2001)</w:t>
          </w:r>
          <w:r w:rsidRPr="00027624">
            <w:rPr>
              <w:rFonts w:eastAsiaTheme="minorHAnsi"/>
              <w:lang w:eastAsia="en-US"/>
            </w:rPr>
            <w:fldChar w:fldCharType="end"/>
          </w:r>
        </w:sdtContent>
      </w:sdt>
      <w:r w:rsidRPr="00027624">
        <w:rPr>
          <w:rFonts w:eastAsiaTheme="minorHAnsi"/>
          <w:lang w:eastAsia="en-US"/>
        </w:rPr>
        <w:t xml:space="preserve">, </w:t>
      </w:r>
      <w:sdt>
        <w:sdtPr>
          <w:id w:val="298197893"/>
          <w:citation/>
        </w:sdtPr>
        <w:sdtEndPr/>
        <w:sdtContent>
          <w:r w:rsidR="00AE2BB3" w:rsidRPr="00027624">
            <w:fldChar w:fldCharType="begin"/>
          </w:r>
          <w:r w:rsidR="00AE2BB3" w:rsidRPr="00027624">
            <w:instrText xml:space="preserve">CITATION ABS202e \l 3081 </w:instrText>
          </w:r>
          <w:r w:rsidR="00AE2BB3" w:rsidRPr="00027624">
            <w:fldChar w:fldCharType="separate"/>
          </w:r>
          <w:r w:rsidR="00E83F6E">
            <w:rPr>
              <w:noProof/>
            </w:rPr>
            <w:t>(ABS, 2020e)</w:t>
          </w:r>
          <w:r w:rsidR="00AE2BB3" w:rsidRPr="00027624">
            <w:fldChar w:fldCharType="end"/>
          </w:r>
        </w:sdtContent>
      </w:sdt>
      <w:r w:rsidRPr="00027624">
        <w:rPr>
          <w:rFonts w:eastAsiaTheme="minorHAnsi"/>
          <w:lang w:eastAsia="en-US"/>
        </w:rPr>
        <w:t xml:space="preserve">, </w:t>
      </w:r>
      <w:sdt>
        <w:sdtPr>
          <w:rPr>
            <w:rFonts w:eastAsiaTheme="minorHAnsi"/>
            <w:lang w:eastAsia="en-US"/>
          </w:rPr>
          <w:id w:val="-695234102"/>
          <w:citation/>
        </w:sdtPr>
        <w:sdtEndPr/>
        <w:sdtContent>
          <w:r w:rsidRPr="00027624">
            <w:rPr>
              <w:rFonts w:eastAsiaTheme="minorHAnsi"/>
              <w:lang w:eastAsia="en-US"/>
            </w:rPr>
            <w:fldChar w:fldCharType="begin"/>
          </w:r>
          <w:r w:rsidRPr="00027624">
            <w:rPr>
              <w:rFonts w:eastAsiaTheme="minorHAnsi"/>
              <w:lang w:eastAsia="en-US"/>
            </w:rPr>
            <w:instrText xml:space="preserve"> CITATION ABS197 \l 3081 </w:instrText>
          </w:r>
          <w:r w:rsidRPr="00027624">
            <w:rPr>
              <w:rFonts w:eastAsiaTheme="minorHAnsi"/>
              <w:lang w:eastAsia="en-US"/>
            </w:rPr>
            <w:fldChar w:fldCharType="separate"/>
          </w:r>
          <w:r w:rsidR="00E83F6E" w:rsidRPr="00E83F6E">
            <w:rPr>
              <w:rFonts w:eastAsiaTheme="minorHAnsi"/>
              <w:noProof/>
              <w:lang w:eastAsia="en-US"/>
            </w:rPr>
            <w:t>(ABS, 2019b)</w:t>
          </w:r>
          <w:r w:rsidRPr="00027624">
            <w:rPr>
              <w:rFonts w:eastAsiaTheme="minorHAnsi"/>
              <w:lang w:eastAsia="en-US"/>
            </w:rPr>
            <w:fldChar w:fldCharType="end"/>
          </w:r>
        </w:sdtContent>
      </w:sdt>
      <w:r w:rsidRPr="00027624">
        <w:rPr>
          <w:rFonts w:eastAsiaTheme="minorHAnsi"/>
          <w:lang w:eastAsia="en-US"/>
        </w:rPr>
        <w:t xml:space="preserve">, </w:t>
      </w:r>
      <w:sdt>
        <w:sdtPr>
          <w:rPr>
            <w:rFonts w:eastAsiaTheme="minorHAnsi"/>
            <w:lang w:eastAsia="en-US"/>
          </w:rPr>
          <w:id w:val="1076400707"/>
          <w:citation/>
        </w:sdtPr>
        <w:sdtEndPr/>
        <w:sdtContent>
          <w:r w:rsidRPr="00027624">
            <w:rPr>
              <w:rFonts w:eastAsiaTheme="minorHAnsi"/>
              <w:lang w:eastAsia="en-US"/>
            </w:rPr>
            <w:fldChar w:fldCharType="begin"/>
          </w:r>
          <w:r w:rsidRPr="00027624">
            <w:rPr>
              <w:rFonts w:eastAsiaTheme="minorHAnsi"/>
              <w:lang w:eastAsia="en-US"/>
            </w:rPr>
            <w:instrText xml:space="preserve">CITATION Placeholder1 \l 3081 </w:instrText>
          </w:r>
          <w:r w:rsidRPr="00027624">
            <w:rPr>
              <w:rFonts w:eastAsiaTheme="minorHAnsi"/>
              <w:lang w:eastAsia="en-US"/>
            </w:rPr>
            <w:fldChar w:fldCharType="separate"/>
          </w:r>
          <w:r w:rsidR="00E83F6E" w:rsidRPr="00E83F6E">
            <w:rPr>
              <w:rFonts w:eastAsiaTheme="minorHAnsi"/>
              <w:noProof/>
              <w:lang w:eastAsia="en-US"/>
            </w:rPr>
            <w:t>(ABS, 2018g)</w:t>
          </w:r>
          <w:r w:rsidRPr="00027624">
            <w:rPr>
              <w:rFonts w:eastAsiaTheme="minorHAnsi"/>
              <w:lang w:eastAsia="en-US"/>
            </w:rPr>
            <w:fldChar w:fldCharType="end"/>
          </w:r>
        </w:sdtContent>
      </w:sdt>
      <w:r w:rsidRPr="00027624">
        <w:rPr>
          <w:rFonts w:eastAsiaTheme="minorHAnsi"/>
          <w:lang w:eastAsia="en-US"/>
        </w:rPr>
        <w:t>;</w:t>
      </w:r>
      <w:sdt>
        <w:sdtPr>
          <w:id w:val="-1514295177"/>
          <w:citation/>
        </w:sdtPr>
        <w:sdtEndPr/>
        <w:sdtContent>
          <w:r w:rsidR="00AE2BB3" w:rsidRPr="00027624">
            <w:fldChar w:fldCharType="begin"/>
          </w:r>
          <w:r w:rsidR="00AE2BB3" w:rsidRPr="00027624">
            <w:instrText xml:space="preserve"> CITATION ABS20d \l 3081 </w:instrText>
          </w:r>
          <w:r w:rsidR="00AE2BB3" w:rsidRPr="00027624">
            <w:fldChar w:fldCharType="separate"/>
          </w:r>
          <w:r w:rsidR="00E83F6E">
            <w:rPr>
              <w:noProof/>
            </w:rPr>
            <w:t xml:space="preserve"> (ABS, 2020d)</w:t>
          </w:r>
          <w:r w:rsidR="00AE2BB3" w:rsidRPr="00027624">
            <w:fldChar w:fldCharType="end"/>
          </w:r>
        </w:sdtContent>
      </w:sdt>
      <w:r w:rsidRPr="00027624">
        <w:rPr>
          <w:rFonts w:eastAsiaTheme="minorHAnsi"/>
          <w:lang w:eastAsia="en-US"/>
        </w:rPr>
        <w:t>; Analysis of Rice W</w:t>
      </w:r>
      <w:r w:rsidR="00AB09DB">
        <w:rPr>
          <w:rFonts w:eastAsiaTheme="minorHAnsi"/>
          <w:lang w:eastAsia="en-US"/>
        </w:rPr>
        <w:t>arner estimates for the review.</w:t>
      </w:r>
    </w:p>
    <w:tbl>
      <w:tblPr>
        <w:tblpPr w:leftFromText="180" w:rightFromText="180" w:vertAnchor="text" w:tblpY="1"/>
        <w:tblOverlap w:val="never"/>
        <w:tblW w:w="5000" w:type="pct"/>
        <w:shd w:val="clear" w:color="auto" w:fill="FFF8EA"/>
        <w:tblLook w:val="01E0" w:firstRow="1" w:lastRow="1" w:firstColumn="1" w:lastColumn="1" w:noHBand="0" w:noVBand="0"/>
      </w:tblPr>
      <w:tblGrid>
        <w:gridCol w:w="9070"/>
      </w:tblGrid>
      <w:tr w:rsidR="00B3792F" w:rsidRPr="00027624" w14:paraId="3A48B8E8" w14:textId="77777777" w:rsidTr="003A119F">
        <w:tc>
          <w:tcPr>
            <w:tcW w:w="5000" w:type="pct"/>
            <w:shd w:val="clear" w:color="auto" w:fill="FFF8EA"/>
          </w:tcPr>
          <w:p w14:paraId="3AEF77A2" w14:textId="77777777" w:rsidR="00B3792F" w:rsidRPr="00027624" w:rsidRDefault="00B3792F" w:rsidP="00582C3E">
            <w:pPr>
              <w:pStyle w:val="BoxHeading"/>
            </w:pPr>
            <w:bookmarkStart w:id="3960" w:name="_Ref40427313"/>
            <w:r w:rsidRPr="00027624">
              <w:t>Factors that influence the generational transfer cost</w:t>
            </w:r>
            <w:bookmarkEnd w:id="3960"/>
          </w:p>
          <w:p w14:paraId="0FCD63C9" w14:textId="77777777" w:rsidR="00B3792F" w:rsidRPr="00027624" w:rsidRDefault="00B3792F" w:rsidP="00B3792F">
            <w:pPr>
              <w:pStyle w:val="BoxText"/>
            </w:pPr>
            <w:r w:rsidRPr="00027624">
              <w:t>The following factors have affected, and will continue to affect, the trend in the real annual cost for each working</w:t>
            </w:r>
            <w:r w:rsidR="00A8443E" w:rsidRPr="00027624">
              <w:noBreakHyphen/>
            </w:r>
            <w:r w:rsidRPr="00027624">
              <w:t xml:space="preserve">age person of the Age Pension and retiree earnings tax concessions: </w:t>
            </w:r>
          </w:p>
          <w:p w14:paraId="5579D901" w14:textId="77777777" w:rsidR="00B3792F" w:rsidRPr="00027624" w:rsidRDefault="00B3792F" w:rsidP="00B3792F">
            <w:pPr>
              <w:pStyle w:val="BoxBullet"/>
            </w:pPr>
            <w:r w:rsidRPr="00027624">
              <w:rPr>
                <w:b/>
              </w:rPr>
              <w:t>The superannuation</w:t>
            </w:r>
            <w:r w:rsidRPr="00027624">
              <w:t xml:space="preserve"> </w:t>
            </w:r>
            <w:r w:rsidRPr="00027624">
              <w:rPr>
                <w:b/>
              </w:rPr>
              <w:t>system.</w:t>
            </w:r>
            <w:r w:rsidRPr="00027624">
              <w:t xml:space="preserve"> As the superannuation system matures,</w:t>
            </w:r>
            <w:r w:rsidRPr="00027624">
              <w:rPr>
                <w:rFonts w:eastAsiaTheme="minorHAnsi"/>
              </w:rPr>
              <w:t xml:space="preserve"> people are retiring with larger superannuation balances. For example, m</w:t>
            </w:r>
            <w:r w:rsidRPr="00027624">
              <w:t>odelling projects that, by 2060, around 27 per cent of Australians will retire with a wage</w:t>
            </w:r>
            <w:r w:rsidR="00A8443E" w:rsidRPr="00027624">
              <w:noBreakHyphen/>
            </w:r>
            <w:r w:rsidRPr="00027624">
              <w:t>deflated superannuation balance below $250,000</w:t>
            </w:r>
            <w:r w:rsidR="00913645" w:rsidRPr="00027624">
              <w:t>,</w:t>
            </w:r>
            <w:r w:rsidRPr="00027624">
              <w:t xml:space="preserve"> compared with 70 per cent in 2020.</w:t>
            </w:r>
            <w:r w:rsidRPr="00027624">
              <w:rPr>
                <w:rStyle w:val="FootnoteReference"/>
              </w:rPr>
              <w:footnoteReference w:id="234"/>
            </w:r>
            <w:r w:rsidRPr="00027624">
              <w:t xml:space="preserve"> This means people are projected to fund a greater proportion of their own retirement, reducing the generational transfer cost.</w:t>
            </w:r>
          </w:p>
          <w:p w14:paraId="3E86E40A" w14:textId="77777777" w:rsidR="00B3792F" w:rsidRPr="00027624" w:rsidRDefault="00B3792F" w:rsidP="00B3792F">
            <w:pPr>
              <w:pStyle w:val="BoxBullet"/>
            </w:pPr>
            <w:r w:rsidRPr="00027624">
              <w:rPr>
                <w:b/>
                <w:bCs/>
              </w:rPr>
              <w:t>The rate at which the Age Pension and means test thresholds increase.</w:t>
            </w:r>
            <w:r w:rsidRPr="00027624">
              <w:t xml:space="preserve"> </w:t>
            </w:r>
            <w:r w:rsidRPr="00027624">
              <w:rPr>
                <w:bCs/>
              </w:rPr>
              <w:t>The rate of Age Pension is benchmarked to wages, while the means test thresholds increase with prices (CPI).</w:t>
            </w:r>
            <w:r w:rsidRPr="00027624">
              <w:t xml:space="preserve"> </w:t>
            </w:r>
            <w:r w:rsidRPr="00027624">
              <w:rPr>
                <w:bCs/>
              </w:rPr>
              <w:t xml:space="preserve">As wages have grown faster than prices, benchmarking the rate of Age Pension to wages has </w:t>
            </w:r>
            <w:r w:rsidRPr="00027624">
              <w:rPr>
                <w:bCs/>
                <w:i/>
              </w:rPr>
              <w:t>increased</w:t>
            </w:r>
            <w:r w:rsidRPr="00027624">
              <w:rPr>
                <w:bCs/>
              </w:rPr>
              <w:t xml:space="preserve"> the cost </w:t>
            </w:r>
            <w:r w:rsidRPr="00027624">
              <w:t>of the Age Pension. In contrast, as long</w:t>
            </w:r>
            <w:r w:rsidR="00A8443E" w:rsidRPr="00027624">
              <w:noBreakHyphen/>
            </w:r>
            <w:r w:rsidRPr="00027624">
              <w:t xml:space="preserve">term average returns on most assets have been greater than price increases, indexing the means test threshold to prices has </w:t>
            </w:r>
            <w:r w:rsidRPr="00027624">
              <w:rPr>
                <w:i/>
              </w:rPr>
              <w:t>decreased</w:t>
            </w:r>
            <w:r w:rsidRPr="00027624">
              <w:t xml:space="preserve"> this cost. These effects are projected to continue, assuming wages and investment returns grow at a faster rate than prices.</w:t>
            </w:r>
            <w:r w:rsidRPr="00027624">
              <w:rPr>
                <w:b/>
                <w:bCs/>
              </w:rPr>
              <w:t xml:space="preserve"> </w:t>
            </w:r>
          </w:p>
          <w:p w14:paraId="57E723F4" w14:textId="77777777" w:rsidR="00B3792F" w:rsidRPr="00027624" w:rsidRDefault="00B3792F" w:rsidP="00B3792F">
            <w:pPr>
              <w:pStyle w:val="BoxBullet"/>
            </w:pPr>
            <w:r w:rsidRPr="00027624">
              <w:rPr>
                <w:b/>
              </w:rPr>
              <w:t>The decline in the number of working</w:t>
            </w:r>
            <w:r w:rsidR="00A8443E" w:rsidRPr="00027624">
              <w:rPr>
                <w:b/>
              </w:rPr>
              <w:noBreakHyphen/>
            </w:r>
            <w:r w:rsidRPr="00027624">
              <w:rPr>
                <w:b/>
              </w:rPr>
              <w:t xml:space="preserve">age people to </w:t>
            </w:r>
            <w:r w:rsidRPr="00027624">
              <w:rPr>
                <w:b/>
                <w:bCs/>
              </w:rPr>
              <w:t>retirees (</w:t>
            </w:r>
            <w:r w:rsidR="00A8443E" w:rsidRPr="00027624">
              <w:rPr>
                <w:b/>
                <w:bCs/>
              </w:rPr>
              <w:t>‘</w:t>
            </w:r>
            <w:r w:rsidRPr="00027624">
              <w:rPr>
                <w:b/>
              </w:rPr>
              <w:t>dependency ratio</w:t>
            </w:r>
            <w:r w:rsidR="00A8443E" w:rsidRPr="00027624">
              <w:rPr>
                <w:b/>
              </w:rPr>
              <w:t>’</w:t>
            </w:r>
            <w:r w:rsidRPr="00027624">
              <w:rPr>
                <w:b/>
                <w:bCs/>
              </w:rPr>
              <w:t>).</w:t>
            </w:r>
            <w:r w:rsidRPr="00027624">
              <w:t xml:space="preserve"> The</w:t>
            </w:r>
            <w:r w:rsidRPr="00027624">
              <w:rPr>
                <w:bCs/>
              </w:rPr>
              <w:t xml:space="preserve"> dependency ratio has fallen from 7.3 in </w:t>
            </w:r>
            <w:r w:rsidRPr="00027624">
              <w:t>1974</w:t>
            </w:r>
            <w:r w:rsidR="00A8443E" w:rsidRPr="00027624">
              <w:rPr>
                <w:bCs/>
              </w:rPr>
              <w:noBreakHyphen/>
            </w:r>
            <w:r w:rsidRPr="00027624">
              <w:rPr>
                <w:bCs/>
              </w:rPr>
              <w:t>75 to 4.5 in 2014</w:t>
            </w:r>
            <w:r w:rsidR="00A8443E" w:rsidRPr="00027624">
              <w:rPr>
                <w:bCs/>
              </w:rPr>
              <w:noBreakHyphen/>
            </w:r>
            <w:r w:rsidRPr="00027624">
              <w:t xml:space="preserve">15 </w:t>
            </w:r>
            <w:sdt>
              <w:sdtPr>
                <w:id w:val="-1208330403"/>
                <w:citation/>
              </w:sdtPr>
              <w:sdtEndPr/>
              <w:sdtContent>
                <w:r w:rsidRPr="00027624">
                  <w:fldChar w:fldCharType="begin"/>
                </w:r>
                <w:r w:rsidRPr="00027624">
                  <w:instrText xml:space="preserve"> CITATION The15 \l 3081 </w:instrText>
                </w:r>
                <w:r w:rsidRPr="00027624">
                  <w:fldChar w:fldCharType="separate"/>
                </w:r>
                <w:r w:rsidR="00E83F6E">
                  <w:rPr>
                    <w:noProof/>
                  </w:rPr>
                  <w:t>(Commonwealth of Australia, 2015)</w:t>
                </w:r>
                <w:r w:rsidRPr="00027624">
                  <w:fldChar w:fldCharType="end"/>
                </w:r>
              </w:sdtContent>
            </w:sdt>
            <w:r w:rsidRPr="00027624">
              <w:rPr>
                <w:bCs/>
              </w:rPr>
              <w:t>.</w:t>
            </w:r>
            <w:r w:rsidRPr="00027624">
              <w:t xml:space="preserve"> </w:t>
            </w:r>
            <w:r w:rsidRPr="00027624">
              <w:rPr>
                <w:bCs/>
              </w:rPr>
              <w:t xml:space="preserve">This decline has </w:t>
            </w:r>
            <w:r w:rsidRPr="00027624">
              <w:rPr>
                <w:bCs/>
                <w:i/>
              </w:rPr>
              <w:t>increased</w:t>
            </w:r>
            <w:r w:rsidRPr="00027624">
              <w:rPr>
                <w:bCs/>
              </w:rPr>
              <w:t xml:space="preserve"> the generational transfer cost</w:t>
            </w:r>
            <w:r w:rsidRPr="00027624">
              <w:t>. This cost will continue to climb as the dependency ratio is projected to fall further, to 3.2 in 2060</w:t>
            </w:r>
            <w:r w:rsidRPr="00027624">
              <w:rPr>
                <w:rStyle w:val="FootnoteReference"/>
              </w:rPr>
              <w:footnoteReference w:id="235"/>
            </w:r>
            <w:r w:rsidRPr="00027624">
              <w:t xml:space="preserve"> (see </w:t>
            </w:r>
            <w:r w:rsidRPr="00027624">
              <w:rPr>
                <w:i/>
              </w:rPr>
              <w:t>4. Sustainability</w:t>
            </w:r>
            <w:r w:rsidRPr="00027624">
              <w:t>). This does not take into account the effect of</w:t>
            </w:r>
            <w:r w:rsidRPr="00027624">
              <w:rPr>
                <w:rFonts w:eastAsiaTheme="minorEastAsia"/>
              </w:rPr>
              <w:t xml:space="preserve"> </w:t>
            </w:r>
            <w:r w:rsidRPr="00027624">
              <w:rPr>
                <w:rFonts w:eastAsiaTheme="minorEastAsia" w:cs="Calibri"/>
                <w:color w:val="000000"/>
                <w:lang w:eastAsia="en-US"/>
              </w:rPr>
              <w:t>a temporary reduction in immigration due to the COVID</w:t>
            </w:r>
            <w:r w:rsidR="00A8443E" w:rsidRPr="00027624">
              <w:rPr>
                <w:rFonts w:eastAsiaTheme="minorEastAsia" w:cs="Calibri"/>
                <w:color w:val="000000"/>
                <w:lang w:eastAsia="en-US"/>
              </w:rPr>
              <w:noBreakHyphen/>
            </w:r>
            <w:r w:rsidRPr="00027624">
              <w:rPr>
                <w:rFonts w:eastAsiaTheme="minorEastAsia" w:cs="Calibri"/>
                <w:color w:val="000000"/>
                <w:lang w:eastAsia="en-US"/>
              </w:rPr>
              <w:t xml:space="preserve">19 Pandemic. Migration slows the rate of population ageing as migrants, on average, are younger than the average age of the resident population </w:t>
            </w:r>
            <w:sdt>
              <w:sdtPr>
                <w:rPr>
                  <w:rFonts w:eastAsiaTheme="minorEastAsia" w:cs="Calibri"/>
                  <w:color w:val="000000"/>
                  <w:lang w:eastAsia="en-US"/>
                </w:rPr>
                <w:id w:val="-701936342"/>
                <w:citation/>
              </w:sdtPr>
              <w:sdtEndPr/>
              <w:sdtContent>
                <w:r w:rsidRPr="00027624">
                  <w:rPr>
                    <w:rFonts w:eastAsiaTheme="minorEastAsia" w:cs="Calibri"/>
                    <w:color w:val="000000"/>
                    <w:lang w:eastAsia="en-US"/>
                  </w:rPr>
                  <w:fldChar w:fldCharType="begin"/>
                </w:r>
                <w:r w:rsidRPr="00027624">
                  <w:rPr>
                    <w:rFonts w:eastAsiaTheme="minorEastAsia" w:cs="Calibri"/>
                    <w:color w:val="000000"/>
                    <w:lang w:eastAsia="en-US"/>
                  </w:rPr>
                  <w:instrText xml:space="preserve"> CITATION The15 \l 3081 </w:instrText>
                </w:r>
                <w:r w:rsidRPr="00027624">
                  <w:rPr>
                    <w:rFonts w:eastAsiaTheme="minorEastAsia" w:cs="Calibri"/>
                    <w:color w:val="000000"/>
                    <w:lang w:eastAsia="en-US"/>
                  </w:rPr>
                  <w:fldChar w:fldCharType="separate"/>
                </w:r>
                <w:r w:rsidR="00E83F6E" w:rsidRPr="00E83F6E">
                  <w:rPr>
                    <w:rFonts w:eastAsiaTheme="minorEastAsia" w:cs="Calibri"/>
                    <w:noProof/>
                    <w:color w:val="000000"/>
                    <w:lang w:eastAsia="en-US"/>
                  </w:rPr>
                  <w:t>(Commonwealth of Australia, 2015)</w:t>
                </w:r>
                <w:r w:rsidRPr="00027624">
                  <w:rPr>
                    <w:rFonts w:eastAsiaTheme="minorEastAsia" w:cs="Calibri"/>
                    <w:color w:val="000000"/>
                    <w:lang w:eastAsia="en-US"/>
                  </w:rPr>
                  <w:fldChar w:fldCharType="end"/>
                </w:r>
              </w:sdtContent>
            </w:sdt>
            <w:r w:rsidRPr="00027624">
              <w:rPr>
                <w:rFonts w:eastAsiaTheme="minorEastAsia" w:cs="Calibri"/>
                <w:color w:val="000000"/>
                <w:lang w:eastAsia="en-US"/>
              </w:rPr>
              <w:t xml:space="preserve">. </w:t>
            </w:r>
          </w:p>
          <w:p w14:paraId="595B3D0D" w14:textId="5E033DB8" w:rsidR="00B3792F" w:rsidRPr="00027624" w:rsidRDefault="00B3792F" w:rsidP="00B3792F">
            <w:pPr>
              <w:pStyle w:val="BoxBullet"/>
            </w:pPr>
            <w:r w:rsidRPr="00027624">
              <w:rPr>
                <w:b/>
                <w:bCs/>
              </w:rPr>
              <w:t xml:space="preserve">The level of real wage growth. </w:t>
            </w:r>
            <w:r w:rsidRPr="00027624">
              <w:rPr>
                <w:bCs/>
              </w:rPr>
              <w:t xml:space="preserve">See </w:t>
            </w:r>
            <w:r w:rsidRPr="00027624">
              <w:rPr>
                <w:bCs/>
              </w:rPr>
              <w:fldChar w:fldCharType="begin"/>
            </w:r>
            <w:r w:rsidRPr="00027624">
              <w:rPr>
                <w:bCs/>
              </w:rPr>
              <w:instrText xml:space="preserve"> REF _Ref41303250 \r \h  \* MERGEFORMAT </w:instrText>
            </w:r>
            <w:r w:rsidRPr="00027624">
              <w:rPr>
                <w:bCs/>
              </w:rPr>
            </w:r>
            <w:r w:rsidRPr="00027624">
              <w:rPr>
                <w:bCs/>
              </w:rPr>
              <w:fldChar w:fldCharType="separate"/>
            </w:r>
            <w:r w:rsidR="00891058">
              <w:rPr>
                <w:bCs/>
              </w:rPr>
              <w:t>Chart 3H-2</w:t>
            </w:r>
            <w:r w:rsidRPr="00027624">
              <w:rPr>
                <w:bCs/>
              </w:rPr>
              <w:fldChar w:fldCharType="end"/>
            </w:r>
            <w:r w:rsidRPr="00027624">
              <w:t xml:space="preserve"> and </w:t>
            </w:r>
            <w:r w:rsidRPr="00027624">
              <w:rPr>
                <w:bCs/>
              </w:rPr>
              <w:fldChar w:fldCharType="begin"/>
            </w:r>
            <w:r w:rsidRPr="00027624">
              <w:rPr>
                <w:bCs/>
              </w:rPr>
              <w:instrText xml:space="preserve"> REF _Ref37758472 \r \h  \* MERGEFORMAT </w:instrText>
            </w:r>
            <w:r w:rsidRPr="00027624">
              <w:rPr>
                <w:bCs/>
              </w:rPr>
            </w:r>
            <w:r w:rsidRPr="00027624">
              <w:rPr>
                <w:bCs/>
              </w:rPr>
              <w:fldChar w:fldCharType="separate"/>
            </w:r>
            <w:r w:rsidR="00891058">
              <w:rPr>
                <w:bCs/>
              </w:rPr>
              <w:t>Chart 3H-3</w:t>
            </w:r>
            <w:r w:rsidRPr="00027624">
              <w:rPr>
                <w:bCs/>
              </w:rPr>
              <w:fldChar w:fldCharType="end"/>
            </w:r>
            <w:r w:rsidRPr="00027624">
              <w:rPr>
                <w:bCs/>
              </w:rPr>
              <w:t xml:space="preserve"> above.</w:t>
            </w:r>
          </w:p>
          <w:p w14:paraId="1C420DC4" w14:textId="77777777" w:rsidR="00B3792F" w:rsidRPr="00027624" w:rsidRDefault="00B3792F" w:rsidP="00B3792F">
            <w:pPr>
              <w:pStyle w:val="BoxBullet"/>
            </w:pPr>
            <w:r w:rsidRPr="00027624">
              <w:rPr>
                <w:rFonts w:eastAsiaTheme="minorEastAsia"/>
                <w:b/>
                <w:lang w:eastAsia="en-US"/>
              </w:rPr>
              <w:lastRenderedPageBreak/>
              <w:t>The level of investment returns.</w:t>
            </w:r>
            <w:r w:rsidRPr="00027624">
              <w:rPr>
                <w:rFonts w:eastAsiaTheme="minorEastAsia"/>
                <w:lang w:eastAsia="en-US"/>
              </w:rPr>
              <w:t xml:space="preserve"> The generational transfer cost as a proportion of wages in 2059 would </w:t>
            </w:r>
            <w:r w:rsidRPr="00027624">
              <w:rPr>
                <w:rFonts w:eastAsiaTheme="minorEastAsia"/>
                <w:i/>
                <w:lang w:eastAsia="en-US"/>
              </w:rPr>
              <w:t>increase</w:t>
            </w:r>
            <w:r w:rsidRPr="00027624">
              <w:rPr>
                <w:rFonts w:eastAsiaTheme="minorEastAsia"/>
                <w:lang w:eastAsia="en-US"/>
              </w:rPr>
              <w:t xml:space="preserve"> if investment returns were 1 percentage point lower. This is because the increase in the cost of the Age Pension would more than offset the decrease in earnings tax concessions retirees receive (</w:t>
            </w:r>
            <w:r w:rsidRPr="00027624">
              <w:t xml:space="preserve">see </w:t>
            </w:r>
            <w:r w:rsidRPr="00027624">
              <w:rPr>
                <w:i/>
              </w:rPr>
              <w:t>Appendix 6D. Supplementary equity charts</w:t>
            </w:r>
            <w:r w:rsidRPr="00027624">
              <w:t>)</w:t>
            </w:r>
            <w:r w:rsidRPr="00027624">
              <w:rPr>
                <w:rFonts w:eastAsiaTheme="minorEastAsia"/>
                <w:lang w:eastAsia="en-US"/>
              </w:rPr>
              <w:t>.</w:t>
            </w:r>
          </w:p>
          <w:p w14:paraId="2D16DD37" w14:textId="77777777" w:rsidR="00B3792F" w:rsidRPr="00027624" w:rsidRDefault="00B3792F" w:rsidP="00B3792F">
            <w:pPr>
              <w:pStyle w:val="BoxBullet"/>
            </w:pPr>
            <w:r w:rsidRPr="00027624">
              <w:rPr>
                <w:rFonts w:eastAsiaTheme="minorEastAsia"/>
                <w:b/>
                <w:lang w:eastAsia="en-US"/>
              </w:rPr>
              <w:t>The level of superannuation fees.</w:t>
            </w:r>
            <w:r w:rsidRPr="00027624">
              <w:rPr>
                <w:rFonts w:eastAsiaTheme="minorEastAsia"/>
                <w:lang w:eastAsia="en-US"/>
              </w:rPr>
              <w:t xml:space="preserve"> The generational transfer cost as a proportion of wages in 2059 would </w:t>
            </w:r>
            <w:r w:rsidRPr="00027624">
              <w:rPr>
                <w:rFonts w:eastAsiaTheme="minorEastAsia"/>
                <w:i/>
                <w:lang w:eastAsia="en-US"/>
              </w:rPr>
              <w:t>decrease</w:t>
            </w:r>
            <w:r w:rsidRPr="00027624">
              <w:rPr>
                <w:rFonts w:eastAsiaTheme="minorEastAsia"/>
                <w:lang w:eastAsia="en-US"/>
              </w:rPr>
              <w:t xml:space="preserve"> marginally if superannuation fees were lower (</w:t>
            </w:r>
            <w:r w:rsidRPr="00027624">
              <w:t xml:space="preserve">See </w:t>
            </w:r>
            <w:r w:rsidRPr="00027624">
              <w:rPr>
                <w:i/>
              </w:rPr>
              <w:t>Appendix 6D. Supplementary equity charts</w:t>
            </w:r>
            <w:r w:rsidRPr="00027624">
              <w:t>)</w:t>
            </w:r>
            <w:r w:rsidRPr="00027624">
              <w:rPr>
                <w:rFonts w:eastAsiaTheme="minorEastAsia"/>
                <w:lang w:eastAsia="en-US"/>
              </w:rPr>
              <w:t>. This is because the decrease in the cost of the Age Pension would more than offset the increase in earnings tax concessions retirees receive.</w:t>
            </w:r>
          </w:p>
          <w:p w14:paraId="6131459E" w14:textId="77777777" w:rsidR="00B3792F" w:rsidRPr="00027624" w:rsidRDefault="00B3792F" w:rsidP="00B3792F">
            <w:pPr>
              <w:pStyle w:val="BoxBullet"/>
            </w:pPr>
            <w:r w:rsidRPr="00027624">
              <w:rPr>
                <w:b/>
                <w:bCs/>
              </w:rPr>
              <w:t xml:space="preserve">The Age Pension payment rate. </w:t>
            </w:r>
            <w:r w:rsidRPr="00027624">
              <w:t xml:space="preserve">Between 1975 and 2020, the maximum single rate of Age Pension rose as a proportion of average earnings, largely due to a substantial increase in the rate in 2009. This has </w:t>
            </w:r>
            <w:r w:rsidRPr="00027624">
              <w:rPr>
                <w:bCs/>
                <w:i/>
              </w:rPr>
              <w:t>increased</w:t>
            </w:r>
            <w:r w:rsidRPr="00027624">
              <w:rPr>
                <w:bCs/>
              </w:rPr>
              <w:t xml:space="preserve"> the cost </w:t>
            </w:r>
            <w:r w:rsidRPr="00027624">
              <w:t>of the Age Pension.</w:t>
            </w:r>
          </w:p>
        </w:tc>
      </w:tr>
    </w:tbl>
    <w:p w14:paraId="12EA7573" w14:textId="77777777" w:rsidR="00B3792F" w:rsidRPr="00027624" w:rsidRDefault="00B3792F" w:rsidP="00B3792F">
      <w:pPr>
        <w:pStyle w:val="SingleParagraph"/>
        <w:rPr>
          <w:rFonts w:eastAsiaTheme="minorEastAsia"/>
          <w:lang w:eastAsia="en-US"/>
        </w:rPr>
      </w:pPr>
    </w:p>
    <w:p w14:paraId="47A87619" w14:textId="77777777" w:rsidR="00B3792F" w:rsidRPr="00027624" w:rsidRDefault="00B3792F" w:rsidP="00B3792F">
      <w:pPr>
        <w:autoSpaceDE w:val="0"/>
        <w:autoSpaceDN w:val="0"/>
        <w:adjustRightInd w:val="0"/>
        <w:spacing w:before="0"/>
        <w:rPr>
          <w:rFonts w:eastAsiaTheme="minorEastAsia"/>
          <w:lang w:eastAsia="en-US"/>
        </w:rPr>
      </w:pPr>
      <w:r w:rsidRPr="00027624">
        <w:rPr>
          <w:rFonts w:eastAsiaTheme="minorEastAsia"/>
          <w:lang w:eastAsia="en-US"/>
        </w:rPr>
        <w:t xml:space="preserve">Comparing internationally, </w:t>
      </w:r>
      <w:r w:rsidRPr="00027624">
        <w:t>the cost of Australia</w:t>
      </w:r>
      <w:r w:rsidR="00A8443E" w:rsidRPr="00027624">
        <w:t>’</w:t>
      </w:r>
      <w:r w:rsidRPr="00027624">
        <w:t>s Age Pension at 2.6 per cent of GDP in June 2016 was much lower than the OECD average of public expenditure on pensions of 8.8 per cent of GDP in 2015</w:t>
      </w:r>
      <w:r w:rsidR="00A8443E" w:rsidRPr="00027624">
        <w:noBreakHyphen/>
      </w:r>
      <w:r w:rsidRPr="00027624">
        <w:t>16.</w:t>
      </w:r>
      <w:r w:rsidRPr="00027624">
        <w:rPr>
          <w:i/>
        </w:rPr>
        <w:t xml:space="preserve"> </w:t>
      </w:r>
      <w:r w:rsidRPr="00027624">
        <w:t xml:space="preserve">In future, the cost of the Age Pension is expected to fall slightly as a percentage of GDP (see </w:t>
      </w:r>
      <w:r w:rsidRPr="00027624">
        <w:rPr>
          <w:i/>
        </w:rPr>
        <w:t>4. Sustainability</w:t>
      </w:r>
      <w:r w:rsidRPr="00027624">
        <w:t xml:space="preserve">), while the OECD average is projected to rise. In some countries, mainly in Europe, public expenditure on pensions is projected to rise well above 10 per cent of GDP </w:t>
      </w:r>
      <w:sdt>
        <w:sdtPr>
          <w:rPr>
            <w:b/>
          </w:rPr>
          <w:id w:val="-611597605"/>
          <w:citation/>
        </w:sdtPr>
        <w:sdtEndPr/>
        <w:sdtContent>
          <w:r w:rsidRPr="00027624">
            <w:rPr>
              <w:b/>
            </w:rPr>
            <w:fldChar w:fldCharType="begin"/>
          </w:r>
          <w:r w:rsidRPr="00027624">
            <w:instrText xml:space="preserve">CITATION OEC19d \l 3081 </w:instrText>
          </w:r>
          <w:r w:rsidRPr="00027624">
            <w:rPr>
              <w:b/>
            </w:rPr>
            <w:fldChar w:fldCharType="separate"/>
          </w:r>
          <w:r w:rsidR="00E83F6E">
            <w:rPr>
              <w:noProof/>
            </w:rPr>
            <w:t>(OECD, 2019b)</w:t>
          </w:r>
          <w:r w:rsidRPr="00027624">
            <w:rPr>
              <w:b/>
            </w:rPr>
            <w:fldChar w:fldCharType="end"/>
          </w:r>
        </w:sdtContent>
      </w:sdt>
      <w:r w:rsidRPr="00027624">
        <w:t xml:space="preserve">. Even after taking into account the cost of earnings tax concessions retirees receive, </w:t>
      </w:r>
      <w:r w:rsidRPr="00027624">
        <w:rPr>
          <w:b/>
          <w:bCs/>
        </w:rPr>
        <w:t>the total cost of Australian Government support as a proportion of GDP is projected to remain much lower than the OECD average of public expenditure on pensions</w:t>
      </w:r>
      <w:r w:rsidRPr="00027624">
        <w:t xml:space="preserve">. </w:t>
      </w:r>
    </w:p>
    <w:p w14:paraId="24C77533" w14:textId="77777777" w:rsidR="00B3792F" w:rsidRPr="00027624" w:rsidRDefault="00B3792F" w:rsidP="00B3792F">
      <w:pPr>
        <w:pStyle w:val="Heading2"/>
        <w:rPr>
          <w:rFonts w:eastAsiaTheme="minorHAnsi"/>
          <w:lang w:eastAsia="en-US"/>
        </w:rPr>
      </w:pPr>
      <w:bookmarkStart w:id="3961" w:name="_Toc40286066"/>
      <w:bookmarkStart w:id="3962" w:name="_Toc40366234"/>
      <w:bookmarkStart w:id="3963" w:name="_Toc40369780"/>
      <w:bookmarkStart w:id="3964" w:name="_Toc40427936"/>
      <w:bookmarkStart w:id="3965" w:name="_Toc40458191"/>
      <w:bookmarkStart w:id="3966" w:name="_Toc40461960"/>
      <w:bookmarkStart w:id="3967" w:name="_Toc40474515"/>
      <w:bookmarkStart w:id="3968" w:name="_Toc40478044"/>
      <w:bookmarkStart w:id="3969" w:name="_Toc40521624"/>
      <w:bookmarkStart w:id="3970" w:name="_Toc40530483"/>
      <w:bookmarkStart w:id="3971" w:name="_Toc42778909"/>
      <w:bookmarkStart w:id="3972" w:name="_Toc42780049"/>
      <w:bookmarkStart w:id="3973" w:name="_Toc42780478"/>
      <w:bookmarkStart w:id="3974" w:name="_Toc42786468"/>
      <w:bookmarkStart w:id="3975" w:name="_Toc42791961"/>
      <w:bookmarkStart w:id="3976" w:name="_Toc42792123"/>
      <w:bookmarkStart w:id="3977" w:name="_Toc43117930"/>
      <w:bookmarkStart w:id="3978" w:name="_Toc43121569"/>
      <w:bookmarkStart w:id="3979" w:name="_Toc43122774"/>
      <w:bookmarkStart w:id="3980" w:name="_Toc43127829"/>
      <w:bookmarkStart w:id="3981" w:name="_Toc45520535"/>
      <w:bookmarkStart w:id="3982" w:name="_Toc46133647"/>
      <w:r w:rsidRPr="00027624">
        <w:rPr>
          <w:rFonts w:eastAsiaTheme="minorHAnsi"/>
          <w:lang w:eastAsia="en-US"/>
        </w:rPr>
        <w:t>Opportunities to accumulate retirement savings for different generations</w:t>
      </w:r>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p>
    <w:p w14:paraId="12E7F062" w14:textId="77777777" w:rsidR="00B3792F" w:rsidRPr="00027624" w:rsidRDefault="00B3792F" w:rsidP="00B3792F">
      <w:r w:rsidRPr="00027624">
        <w:t>The design of Australia</w:t>
      </w:r>
      <w:r w:rsidR="00A8443E" w:rsidRPr="00027624">
        <w:t>’</w:t>
      </w:r>
      <w:r w:rsidRPr="00027624">
        <w:t>s retirement income system and external factors, such as asset prices, affect people</w:t>
      </w:r>
      <w:r w:rsidR="00A8443E" w:rsidRPr="00027624">
        <w:t>’</w:t>
      </w:r>
      <w:r w:rsidRPr="00027624">
        <w:t xml:space="preserve">s ability to accumulate retirement savings and generate retirement incomes. When rules within the retirement income system or asset prices change, the resulting different retirement outcomes may not affect all generations equally. For example, a rule change may make it more difficult for younger people to save large amounts in superannuation, but may not affect people who are retired. </w:t>
      </w:r>
    </w:p>
    <w:p w14:paraId="66FDA4AF" w14:textId="77777777" w:rsidR="00B3792F" w:rsidRPr="00027624" w:rsidRDefault="00B3792F" w:rsidP="00B3792F">
      <w:r w:rsidRPr="00027624">
        <w:t>Previous changes that have affected people</w:t>
      </w:r>
      <w:r w:rsidR="00A8443E" w:rsidRPr="00027624">
        <w:t>’</w:t>
      </w:r>
      <w:r w:rsidRPr="00027624">
        <w:t>s opportunities to accumulate retirement savings and generate retirement incomes include:</w:t>
      </w:r>
    </w:p>
    <w:p w14:paraId="2BA3B98C" w14:textId="4DF3B529" w:rsidR="00B3792F" w:rsidRPr="00027624" w:rsidRDefault="00B3792F" w:rsidP="00AB09DB">
      <w:pPr>
        <w:pStyle w:val="Bullet"/>
      </w:pPr>
      <w:r w:rsidRPr="00027624">
        <w:rPr>
          <w:rFonts w:eastAsiaTheme="minorEastAsia"/>
          <w:b/>
          <w:bCs/>
          <w:lang w:eastAsia="en-US"/>
        </w:rPr>
        <w:t>Significant alterations to superannuation contribution rules</w:t>
      </w:r>
      <w:r w:rsidRPr="00027624">
        <w:rPr>
          <w:rFonts w:eastAsiaTheme="minorEastAsia"/>
          <w:b/>
          <w:lang w:eastAsia="en-US"/>
        </w:rPr>
        <w:t xml:space="preserve"> </w:t>
      </w:r>
      <w:r w:rsidRPr="00027624">
        <w:rPr>
          <w:rFonts w:eastAsiaTheme="minorEastAsia"/>
          <w:b/>
          <w:bCs/>
          <w:lang w:eastAsia="en-US"/>
        </w:rPr>
        <w:t>and taxes</w:t>
      </w:r>
      <w:r w:rsidR="00A8443E" w:rsidRPr="00027624">
        <w:rPr>
          <w:rFonts w:eastAsiaTheme="minorEastAsia"/>
          <w:lang w:eastAsia="en-US"/>
        </w:rPr>
        <w:t xml:space="preserve"> — </w:t>
      </w:r>
      <w:r w:rsidRPr="00027624">
        <w:t>These included: unlimited non</w:t>
      </w:r>
      <w:r w:rsidR="00A8443E" w:rsidRPr="00027624">
        <w:noBreakHyphen/>
      </w:r>
      <w:r w:rsidRPr="00027624">
        <w:t>concessional contributions before May 2006; a one</w:t>
      </w:r>
      <w:r w:rsidR="00A8443E" w:rsidRPr="00027624">
        <w:noBreakHyphen/>
      </w:r>
      <w:r w:rsidRPr="00027624">
        <w:t xml:space="preserve">off </w:t>
      </w:r>
      <w:r w:rsidRPr="00027624">
        <w:rPr>
          <w:rFonts w:eastAsiaTheme="minorEastAsia"/>
          <w:lang w:eastAsia="en-US"/>
        </w:rPr>
        <w:t>$1 million non</w:t>
      </w:r>
      <w:r w:rsidR="00A8443E" w:rsidRPr="00027624">
        <w:rPr>
          <w:rFonts w:eastAsiaTheme="minorEastAsia"/>
          <w:lang w:eastAsia="en-US"/>
        </w:rPr>
        <w:noBreakHyphen/>
      </w:r>
      <w:r w:rsidRPr="00027624">
        <w:rPr>
          <w:rFonts w:eastAsiaTheme="minorEastAsia"/>
          <w:lang w:eastAsia="en-US"/>
        </w:rPr>
        <w:t>concessional contributions cap between May 2006 and June 2007; and higher</w:t>
      </w:r>
      <w:r w:rsidRPr="00027624">
        <w:t xml:space="preserve"> concessional contributions caps, especially for older people, between 2007 and 2017.</w:t>
      </w:r>
      <w:r w:rsidRPr="00027624">
        <w:rPr>
          <w:rFonts w:eastAsiaTheme="minorEastAsia"/>
        </w:rPr>
        <w:t xml:space="preserve"> </w:t>
      </w:r>
      <w:r w:rsidRPr="00027624">
        <w:t>This means current older generations have had an opportunity to contribute larger amounts to superannuation</w:t>
      </w:r>
      <w:r w:rsidR="00A8443E" w:rsidRPr="00027624">
        <w:t xml:space="preserve"> — </w:t>
      </w:r>
      <w:r w:rsidRPr="00027624">
        <w:t>and to receive much larger earnings tax concessions</w:t>
      </w:r>
      <w:r w:rsidR="00A8443E" w:rsidRPr="00027624">
        <w:t xml:space="preserve"> — </w:t>
      </w:r>
      <w:r w:rsidRPr="00027624">
        <w:t xml:space="preserve">than current younger generations will have under existing lower contributions caps </w:t>
      </w:r>
      <w:r w:rsidRPr="00027624">
        <w:rPr>
          <w:rFonts w:eastAsiaTheme="minorEastAsia"/>
          <w:lang w:eastAsia="en-US"/>
        </w:rPr>
        <w:t xml:space="preserve">(see </w:t>
      </w:r>
      <w:r w:rsidRPr="00027624">
        <w:rPr>
          <w:rFonts w:eastAsiaTheme="minorEastAsia"/>
          <w:i/>
        </w:rPr>
        <w:t>1B. Design of Australia</w:t>
      </w:r>
      <w:r w:rsidR="00A8443E" w:rsidRPr="00027624">
        <w:rPr>
          <w:rFonts w:eastAsiaTheme="minorEastAsia"/>
          <w:i/>
        </w:rPr>
        <w:t>’</w:t>
      </w:r>
      <w:r w:rsidRPr="00027624">
        <w:rPr>
          <w:rFonts w:eastAsiaTheme="minorEastAsia"/>
          <w:i/>
        </w:rPr>
        <w:t xml:space="preserve">s retirement income system </w:t>
      </w:r>
      <w:r w:rsidRPr="00027624">
        <w:rPr>
          <w:rFonts w:eastAsiaTheme="minorEastAsia"/>
        </w:rPr>
        <w:t xml:space="preserve">and </w:t>
      </w:r>
      <w:r w:rsidRPr="00027624">
        <w:rPr>
          <w:i/>
        </w:rPr>
        <w:t xml:space="preserve">3A. </w:t>
      </w:r>
      <w:r w:rsidRPr="00027624">
        <w:rPr>
          <w:i/>
        </w:rPr>
        <w:fldChar w:fldCharType="begin"/>
      </w:r>
      <w:r w:rsidRPr="00027624">
        <w:rPr>
          <w:i/>
        </w:rPr>
        <w:instrText xml:space="preserve"> REF _Ref40311722  \* MERGEFORMAT </w:instrText>
      </w:r>
      <w:r w:rsidRPr="00027624">
        <w:rPr>
          <w:i/>
        </w:rPr>
        <w:fldChar w:fldCharType="separate"/>
      </w:r>
      <w:r w:rsidR="00891058" w:rsidRPr="00891058">
        <w:rPr>
          <w:i/>
        </w:rPr>
        <w:t>Income and wealth</w:t>
      </w:r>
      <w:r w:rsidRPr="00027624">
        <w:rPr>
          <w:i/>
        </w:rPr>
        <w:fldChar w:fldCharType="end"/>
      </w:r>
      <w:r w:rsidRPr="00027624">
        <w:rPr>
          <w:i/>
        </w:rPr>
        <w:t xml:space="preserve"> distribution</w:t>
      </w:r>
      <w:r w:rsidRPr="00027624">
        <w:rPr>
          <w:rFonts w:eastAsiaTheme="minorEastAsia"/>
        </w:rPr>
        <w:t>)</w:t>
      </w:r>
      <w:r w:rsidRPr="00027624">
        <w:t xml:space="preserve">. </w:t>
      </w:r>
    </w:p>
    <w:p w14:paraId="4311FFE2" w14:textId="77777777" w:rsidR="00B3792F" w:rsidRPr="00027624" w:rsidRDefault="00B3792F" w:rsidP="00AB09DB">
      <w:pPr>
        <w:pStyle w:val="Bullet"/>
        <w:numPr>
          <w:ilvl w:val="0"/>
          <w:numId w:val="0"/>
        </w:numPr>
        <w:ind w:left="283"/>
      </w:pPr>
      <w:r w:rsidRPr="00027624">
        <w:t xml:space="preserve">In addition, some current older Australians have benefited from changes to when superannuation taxes are incurred; for example, the change from mainly </w:t>
      </w:r>
      <w:r w:rsidRPr="00AB09DB">
        <w:t>levying</w:t>
      </w:r>
      <w:r w:rsidRPr="00027624">
        <w:t xml:space="preserve"> taxes on superannuation benefits before 1988 to the current model of levying taxes on superannuation contribution and earnings </w:t>
      </w:r>
      <w:sdt>
        <w:sdtPr>
          <w:id w:val="411830862"/>
          <w:citation/>
        </w:sdtPr>
        <w:sdtEndPr/>
        <w:sdtContent>
          <w:r w:rsidRPr="00027624">
            <w:fldChar w:fldCharType="begin"/>
          </w:r>
          <w:r w:rsidRPr="00027624">
            <w:instrText xml:space="preserve">CITATION Raf18 \p 39 \l 3081 </w:instrText>
          </w:r>
          <w:r w:rsidRPr="00027624">
            <w:fldChar w:fldCharType="separate"/>
          </w:r>
          <w:r w:rsidR="00E83F6E">
            <w:rPr>
              <w:noProof/>
            </w:rPr>
            <w:t>(CEPAR, 2018b, p. 39)</w:t>
          </w:r>
          <w:r w:rsidRPr="00027624">
            <w:fldChar w:fldCharType="end"/>
          </w:r>
        </w:sdtContent>
      </w:sdt>
      <w:r w:rsidRPr="00027624">
        <w:rPr>
          <w:rStyle w:val="CommentReference"/>
          <w:rFonts w:asciiTheme="minorHAnsi" w:eastAsiaTheme="minorHAnsi" w:hAnsiTheme="minorHAnsi" w:cstheme="minorBidi"/>
          <w:lang w:eastAsia="en-US"/>
        </w:rPr>
        <w:t xml:space="preserve">. </w:t>
      </w:r>
      <w:r w:rsidRPr="00027624">
        <w:t xml:space="preserve">As a result, some older Australians will have paid less tax on their superannuation savings than younger Australians will pay under the current rules. </w:t>
      </w:r>
    </w:p>
    <w:p w14:paraId="24925AA5" w14:textId="77777777" w:rsidR="00B3792F" w:rsidRPr="00027624" w:rsidRDefault="00B3792F" w:rsidP="00AB09DB">
      <w:pPr>
        <w:pStyle w:val="Bullet"/>
        <w:numPr>
          <w:ilvl w:val="0"/>
          <w:numId w:val="0"/>
        </w:numPr>
        <w:ind w:left="283"/>
      </w:pPr>
      <w:r w:rsidRPr="00AB09DB">
        <w:t>However</w:t>
      </w:r>
      <w:r w:rsidRPr="00027624">
        <w:t>, lower superannuation contributions caps can improve intragenerational equity by reducing the amount of superannuation tax concessions, which higher</w:t>
      </w:r>
      <w:r w:rsidR="00A8443E" w:rsidRPr="00027624">
        <w:noBreakHyphen/>
      </w:r>
      <w:r w:rsidRPr="00027624">
        <w:t>income earners tend to receive disproportionately.</w:t>
      </w:r>
    </w:p>
    <w:p w14:paraId="1DAC21BE" w14:textId="70A32B1C" w:rsidR="00B3792F" w:rsidRPr="00027624" w:rsidRDefault="00B3792F" w:rsidP="00AB09DB">
      <w:pPr>
        <w:pStyle w:val="Bullet"/>
      </w:pPr>
      <w:r w:rsidRPr="00027624">
        <w:rPr>
          <w:b/>
          <w:bCs/>
        </w:rPr>
        <w:lastRenderedPageBreak/>
        <w:t>Continued increases in residential property values</w:t>
      </w:r>
      <w:r w:rsidR="00A8443E" w:rsidRPr="00027624">
        <w:t xml:space="preserve"> — </w:t>
      </w:r>
      <w:r w:rsidRPr="00027624">
        <w:t>In February 2020, residential property values in Australia</w:t>
      </w:r>
      <w:r w:rsidR="00A8443E" w:rsidRPr="00027624">
        <w:t>’</w:t>
      </w:r>
      <w:r w:rsidRPr="00027624">
        <w:t xml:space="preserve">s capital cities were around 45 per cent higher than in 2012 </w:t>
      </w:r>
      <w:sdt>
        <w:sdtPr>
          <w:id w:val="-1017615449"/>
          <w:citation/>
        </w:sdtPr>
        <w:sdtEndPr/>
        <w:sdtContent>
          <w:r w:rsidRPr="00027624">
            <w:fldChar w:fldCharType="begin"/>
          </w:r>
          <w:r w:rsidRPr="00027624">
            <w:instrText xml:space="preserve"> CITATION Cor20 \l 3081 </w:instrText>
          </w:r>
          <w:r w:rsidRPr="00027624">
            <w:fldChar w:fldCharType="separate"/>
          </w:r>
          <w:r w:rsidR="00E83F6E">
            <w:rPr>
              <w:noProof/>
            </w:rPr>
            <w:t>(CoreLogic, 2020)</w:t>
          </w:r>
          <w:r w:rsidRPr="00027624">
            <w:fldChar w:fldCharType="end"/>
          </w:r>
        </w:sdtContent>
      </w:sdt>
      <w:r w:rsidRPr="00027624">
        <w:t>. The large asset price gains for home owners</w:t>
      </w:r>
      <w:r w:rsidRPr="00027624">
        <w:rPr>
          <w:rFonts w:eastAsiaTheme="minorEastAsia" w:cs="Calibri"/>
          <w:color w:val="000000"/>
          <w:lang w:eastAsia="en-US"/>
        </w:rPr>
        <w:t xml:space="preserve"> have primarily been received by current older people </w:t>
      </w:r>
      <w:r w:rsidRPr="00027624">
        <w:rPr>
          <w:rFonts w:eastAsiaTheme="minorEastAsia"/>
          <w:color w:val="000000"/>
        </w:rPr>
        <w:t>(</w:t>
      </w:r>
      <w:r w:rsidRPr="00027624">
        <w:rPr>
          <w:rFonts w:eastAsiaTheme="minorEastAsia" w:cs="Calibri"/>
          <w:color w:val="000000"/>
          <w:lang w:eastAsia="en-US"/>
        </w:rPr>
        <w:fldChar w:fldCharType="begin"/>
      </w:r>
      <w:r w:rsidRPr="00027624">
        <w:rPr>
          <w:rFonts w:eastAsiaTheme="minorEastAsia" w:cs="Calibri"/>
          <w:color w:val="000000"/>
          <w:lang w:eastAsia="en-US"/>
        </w:rPr>
        <w:instrText xml:space="preserve"> REF _Ref36722880 \r \h  \* MERGEFORMAT </w:instrText>
      </w:r>
      <w:r w:rsidRPr="00027624">
        <w:rPr>
          <w:rFonts w:eastAsiaTheme="minorEastAsia" w:cs="Calibri"/>
          <w:color w:val="000000"/>
          <w:lang w:eastAsia="en-US"/>
        </w:rPr>
      </w:r>
      <w:r w:rsidRPr="00027624">
        <w:rPr>
          <w:rFonts w:eastAsiaTheme="minorEastAsia" w:cs="Calibri"/>
          <w:color w:val="000000"/>
          <w:lang w:eastAsia="en-US"/>
        </w:rPr>
        <w:fldChar w:fldCharType="separate"/>
      </w:r>
      <w:r w:rsidR="00891058">
        <w:rPr>
          <w:rFonts w:eastAsiaTheme="minorEastAsia" w:cs="Calibri"/>
          <w:color w:val="000000"/>
          <w:lang w:eastAsia="en-US"/>
        </w:rPr>
        <w:t>Chart 3H-4</w:t>
      </w:r>
      <w:r w:rsidRPr="00027624">
        <w:rPr>
          <w:rFonts w:eastAsiaTheme="minorEastAsia" w:cs="Calibri"/>
          <w:color w:val="000000"/>
          <w:lang w:eastAsia="en-US"/>
        </w:rPr>
        <w:fldChar w:fldCharType="end"/>
      </w:r>
      <w:r w:rsidRPr="00027624">
        <w:rPr>
          <w:rFonts w:eastAsiaTheme="minorEastAsia" w:cs="Calibri"/>
          <w:color w:val="000000"/>
          <w:lang w:eastAsia="en-US"/>
        </w:rPr>
        <w:t xml:space="preserve">). If the strong gains in residential property values are not repeated, younger home owners may not have the same opportunity to accumulate </w:t>
      </w:r>
      <w:r w:rsidRPr="00027624" w:rsidDel="00670B3C">
        <w:rPr>
          <w:rFonts w:eastAsiaTheme="minorEastAsia" w:cs="Calibri"/>
          <w:color w:val="000000"/>
          <w:lang w:eastAsia="en-US"/>
        </w:rPr>
        <w:t xml:space="preserve">housing </w:t>
      </w:r>
      <w:r w:rsidRPr="00027624">
        <w:rPr>
          <w:rFonts w:eastAsiaTheme="minorEastAsia" w:cs="Calibri"/>
          <w:color w:val="000000"/>
          <w:lang w:eastAsia="en-US"/>
        </w:rPr>
        <w:t>wealth as current older Australians.</w:t>
      </w:r>
    </w:p>
    <w:p w14:paraId="6F973988" w14:textId="77777777" w:rsidR="00B3792F" w:rsidRPr="00027624" w:rsidRDefault="00B3792F" w:rsidP="00AB09DB">
      <w:pPr>
        <w:pStyle w:val="Bullet"/>
        <w:numPr>
          <w:ilvl w:val="0"/>
          <w:numId w:val="0"/>
        </w:numPr>
        <w:ind w:left="283"/>
        <w:rPr>
          <w:rFonts w:eastAsiaTheme="minorHAnsi" w:cs="Calibri"/>
          <w:color w:val="000000"/>
          <w:szCs w:val="22"/>
          <w:lang w:eastAsia="en-US"/>
        </w:rPr>
      </w:pPr>
      <w:r w:rsidRPr="00027624">
        <w:rPr>
          <w:rFonts w:eastAsiaTheme="minorHAnsi"/>
        </w:rPr>
        <w:t xml:space="preserve">In addition, if the trend of falling home ownership rates continues, (see </w:t>
      </w:r>
      <w:r w:rsidRPr="00027624">
        <w:rPr>
          <w:rFonts w:eastAsiaTheme="minorHAnsi"/>
          <w:i/>
        </w:rPr>
        <w:t>1D. The changing Australian landscape</w:t>
      </w:r>
      <w:r w:rsidRPr="00027624">
        <w:rPr>
          <w:rFonts w:eastAsiaTheme="minorHAnsi"/>
        </w:rPr>
        <w:t xml:space="preserve">), some current young people will need to rely on other assets, such as superannuation or equities, as voluntary retirement savings. </w:t>
      </w:r>
      <w:r w:rsidRPr="00027624">
        <w:t>These people will forgo the benefits of home ownership in retirement, including the ability to age in a place of tenure. They may be unable to achieve the same retirement outcomes as current home owner retirees.</w:t>
      </w:r>
    </w:p>
    <w:p w14:paraId="17870980" w14:textId="77777777" w:rsidR="00B3792F" w:rsidRPr="00027624" w:rsidRDefault="00B3792F" w:rsidP="00582C3E">
      <w:pPr>
        <w:pStyle w:val="ChartMainHeading"/>
        <w:rPr>
          <w:rFonts w:eastAsiaTheme="minorHAnsi"/>
        </w:rPr>
      </w:pPr>
      <w:bookmarkStart w:id="3983" w:name="_Ref36722880"/>
      <w:r w:rsidRPr="00027624">
        <w:rPr>
          <w:rFonts w:eastAsiaTheme="minorHAnsi"/>
        </w:rPr>
        <w:t>Change in average wealth per household in 2015</w:t>
      </w:r>
      <w:r w:rsidR="00A8443E" w:rsidRPr="00027624">
        <w:rPr>
          <w:rFonts w:eastAsiaTheme="minorHAnsi"/>
        </w:rPr>
        <w:noBreakHyphen/>
      </w:r>
      <w:r w:rsidRPr="00027624">
        <w:rPr>
          <w:rFonts w:eastAsiaTheme="minorHAnsi"/>
        </w:rPr>
        <w:t>16, compared to households of the same age in 2003</w:t>
      </w:r>
      <w:r w:rsidR="00A8443E" w:rsidRPr="00027624">
        <w:rPr>
          <w:rFonts w:eastAsiaTheme="minorHAnsi"/>
        </w:rPr>
        <w:noBreakHyphen/>
      </w:r>
      <w:r w:rsidRPr="00027624">
        <w:rPr>
          <w:rFonts w:eastAsiaTheme="minorHAnsi"/>
        </w:rPr>
        <w:t>04</w:t>
      </w:r>
      <w:bookmarkEnd w:id="3983"/>
      <w:r w:rsidRPr="00027624">
        <w:rPr>
          <w:rFonts w:eastAsiaTheme="minorHAnsi"/>
        </w:rPr>
        <w:t xml:space="preserve"> </w:t>
      </w:r>
    </w:p>
    <w:p w14:paraId="328426FA" w14:textId="77777777" w:rsidR="00B3792F" w:rsidRPr="00027624" w:rsidRDefault="00361209" w:rsidP="00AD6771">
      <w:pPr>
        <w:pStyle w:val="ChartGraphic"/>
      </w:pPr>
      <w:r>
        <w:rPr>
          <w:noProof/>
        </w:rPr>
        <w:drawing>
          <wp:inline distT="0" distB="0" distL="0" distR="0" wp14:anchorId="52EDFFF1" wp14:editId="0F8094D9">
            <wp:extent cx="5585460" cy="2522220"/>
            <wp:effectExtent l="0" t="0" r="0" b="0"/>
            <wp:docPr id="2050622951" name="Picture 2050622951" descr="This chart shows most of the growth in average wealth per household in 2015-16 compared to households of the same age in 2003-04 has been received by those aged 45 and over, and is largely due to superannuation and the family home. Households aged 65-74 in 2015-16 have experienced the largest increase in average wealth compared with households of the same age in 2003-04. Younger households, under age 35 experienced declines in the value of some of their assets over this period." title="Chart 3H-4 Change in average wealth per household in 2015-16, compared to households of the same age in 2003-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12D8167F" w14:textId="77777777" w:rsidR="00B3792F" w:rsidRPr="00027624" w:rsidRDefault="00B3792F" w:rsidP="00B3792F">
      <w:pPr>
        <w:pStyle w:val="ChartorTableNote"/>
      </w:pPr>
      <w:r w:rsidRPr="00027624">
        <w:t>Note: Age group is the age of the household</w:t>
      </w:r>
      <w:r w:rsidR="00A8443E" w:rsidRPr="00027624">
        <w:t>’</w:t>
      </w:r>
      <w:r w:rsidRPr="00027624">
        <w:t xml:space="preserve">s reference person. </w:t>
      </w:r>
      <w:r w:rsidR="00A8443E" w:rsidRPr="00027624">
        <w:t>‘</w:t>
      </w:r>
      <w:r w:rsidRPr="00027624">
        <w:t>Other financial assets</w:t>
      </w:r>
      <w:r w:rsidR="00A8443E" w:rsidRPr="00027624">
        <w:t>’</w:t>
      </w:r>
      <w:r w:rsidRPr="00027624">
        <w:t xml:space="preserve"> include bank accounts, shares, and the outstanding value of loans made to other households or businesses. </w:t>
      </w:r>
      <w:r w:rsidR="00A8443E" w:rsidRPr="00027624">
        <w:t>‘</w:t>
      </w:r>
      <w:r w:rsidRPr="00027624">
        <w:t>Other assets</w:t>
      </w:r>
      <w:r w:rsidR="00A8443E" w:rsidRPr="00027624">
        <w:t>’</w:t>
      </w:r>
      <w:r w:rsidRPr="00027624">
        <w:t xml:space="preserve"> include car, home contents, silent partnerships and assets not covered elsewhere. Source: Replication of</w:t>
      </w:r>
      <w:sdt>
        <w:sdtPr>
          <w:id w:val="-1428036434"/>
          <w:citation/>
        </w:sdtPr>
        <w:sdtEndPr/>
        <w:sdtContent>
          <w:r w:rsidRPr="00027624">
            <w:fldChar w:fldCharType="begin"/>
          </w:r>
          <w:r w:rsidRPr="00027624">
            <w:instrText xml:space="preserve">CITATION Gra19 \l 3081 </w:instrText>
          </w:r>
          <w:r w:rsidRPr="00027624">
            <w:fldChar w:fldCharType="separate"/>
          </w:r>
          <w:r w:rsidR="00E83F6E">
            <w:rPr>
              <w:noProof/>
            </w:rPr>
            <w:t xml:space="preserve"> (Wood, et al., 2019)</w:t>
          </w:r>
          <w:r w:rsidRPr="00027624">
            <w:fldChar w:fldCharType="end"/>
          </w:r>
        </w:sdtContent>
      </w:sdt>
      <w:r w:rsidRPr="00027624">
        <w:t>, which is derived from</w:t>
      </w:r>
      <w:sdt>
        <w:sdtPr>
          <w:id w:val="-110367611"/>
          <w:citation/>
        </w:sdtPr>
        <w:sdtEndPr/>
        <w:sdtContent>
          <w:r w:rsidRPr="00027624">
            <w:fldChar w:fldCharType="begin"/>
          </w:r>
          <w:r w:rsidR="005E7510" w:rsidRPr="00027624">
            <w:instrText xml:space="preserve">CITATION ABS8p \l 3081 </w:instrText>
          </w:r>
          <w:r w:rsidRPr="00027624">
            <w:fldChar w:fldCharType="separate"/>
          </w:r>
          <w:r w:rsidR="00E83F6E">
            <w:rPr>
              <w:noProof/>
            </w:rPr>
            <w:t xml:space="preserve"> (ABS, 2018f)</w:t>
          </w:r>
          <w:r w:rsidRPr="00027624">
            <w:fldChar w:fldCharType="end"/>
          </w:r>
        </w:sdtContent>
      </w:sdt>
      <w:r w:rsidRPr="00027624">
        <w:t>.</w:t>
      </w:r>
    </w:p>
    <w:p w14:paraId="06E3B92B" w14:textId="77777777" w:rsidR="00B3792F" w:rsidRPr="00027624" w:rsidRDefault="00B3792F" w:rsidP="00AB09DB">
      <w:pPr>
        <w:pStyle w:val="Bullet"/>
        <w:rPr>
          <w:rFonts w:eastAsiaTheme="minorHAnsi" w:cs="Calibri"/>
          <w:b/>
          <w:bCs/>
          <w:szCs w:val="22"/>
          <w:lang w:eastAsia="en-US"/>
        </w:rPr>
      </w:pPr>
      <w:r w:rsidRPr="00027624">
        <w:rPr>
          <w:b/>
          <w:bCs/>
        </w:rPr>
        <w:t>Expanded coverage and increases in the rate of the SG</w:t>
      </w:r>
      <w:r w:rsidR="00A8443E" w:rsidRPr="00027624">
        <w:t xml:space="preserve"> — </w:t>
      </w:r>
      <w:r w:rsidRPr="00027624">
        <w:t xml:space="preserve">Current younger generations will benefit in retirement from contributing to superannuation </w:t>
      </w:r>
      <w:r w:rsidRPr="00AB09DB">
        <w:t>throughout</w:t>
      </w:r>
      <w:r w:rsidRPr="00027624">
        <w:t xml:space="preserve"> their working life and at the higher SG rate. As such, on average, they are projected to have higher superannuation balances at retirement than current older Australians. </w:t>
      </w:r>
    </w:p>
    <w:p w14:paraId="69434E7B" w14:textId="77777777" w:rsidR="00B3792F" w:rsidRPr="00027624" w:rsidRDefault="00B3792F" w:rsidP="00B3792F">
      <w:pPr>
        <w:pStyle w:val="Heading2"/>
        <w:rPr>
          <w:rFonts w:eastAsiaTheme="minorHAnsi"/>
          <w:lang w:eastAsia="en-US"/>
        </w:rPr>
      </w:pPr>
      <w:bookmarkStart w:id="3984" w:name="_Toc40286067"/>
      <w:bookmarkStart w:id="3985" w:name="_Toc40366235"/>
      <w:bookmarkStart w:id="3986" w:name="_Toc40369781"/>
      <w:bookmarkStart w:id="3987" w:name="_Toc40427937"/>
      <w:bookmarkStart w:id="3988" w:name="_Toc40458192"/>
      <w:bookmarkStart w:id="3989" w:name="_Toc40461961"/>
      <w:bookmarkStart w:id="3990" w:name="_Toc40474516"/>
      <w:bookmarkStart w:id="3991" w:name="_Toc40478045"/>
      <w:bookmarkStart w:id="3992" w:name="_Toc40521625"/>
      <w:bookmarkStart w:id="3993" w:name="_Toc40530484"/>
      <w:bookmarkStart w:id="3994" w:name="_Toc42778910"/>
      <w:bookmarkStart w:id="3995" w:name="_Toc42780050"/>
      <w:bookmarkStart w:id="3996" w:name="_Toc42780479"/>
      <w:bookmarkStart w:id="3997" w:name="_Toc42786469"/>
      <w:bookmarkStart w:id="3998" w:name="_Toc42791962"/>
      <w:bookmarkStart w:id="3999" w:name="_Toc42792124"/>
      <w:bookmarkStart w:id="4000" w:name="_Toc43117931"/>
      <w:bookmarkStart w:id="4001" w:name="_Toc43121570"/>
      <w:bookmarkStart w:id="4002" w:name="_Toc43122775"/>
      <w:bookmarkStart w:id="4003" w:name="_Toc43127830"/>
      <w:bookmarkStart w:id="4004" w:name="_Toc45520536"/>
      <w:bookmarkStart w:id="4005" w:name="_Toc46133648"/>
      <w:r w:rsidRPr="00027624">
        <w:rPr>
          <w:rFonts w:eastAsiaTheme="minorHAnsi"/>
          <w:lang w:eastAsia="en-US"/>
        </w:rPr>
        <w:t>Inheritances</w:t>
      </w:r>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p>
    <w:p w14:paraId="5626B6CC" w14:textId="77777777" w:rsidR="00B3792F" w:rsidRPr="00027624" w:rsidRDefault="00B3792F" w:rsidP="00B3792F">
      <w:pPr>
        <w:rPr>
          <w:rFonts w:eastAsiaTheme="minorHAnsi"/>
          <w:lang w:eastAsia="en-US"/>
        </w:rPr>
      </w:pPr>
      <w:r w:rsidRPr="00027624">
        <w:rPr>
          <w:rFonts w:eastAsiaTheme="minorHAnsi"/>
          <w:lang w:eastAsia="en-US"/>
        </w:rPr>
        <w:t>Inheritances</w:t>
      </w:r>
      <w:r w:rsidRPr="00027624" w:rsidDel="0041140E">
        <w:rPr>
          <w:rFonts w:eastAsiaTheme="minorHAnsi"/>
          <w:lang w:eastAsia="en-US"/>
        </w:rPr>
        <w:t xml:space="preserve"> </w:t>
      </w:r>
      <w:r w:rsidRPr="00027624">
        <w:rPr>
          <w:rFonts w:eastAsiaTheme="minorHAnsi"/>
          <w:lang w:eastAsia="en-US"/>
        </w:rPr>
        <w:t xml:space="preserve">can help rebalance intergenerational differences in opportunities to save for, and outcomes in, retirement. However, inheritances can be ineffective at </w:t>
      </w:r>
      <w:r w:rsidRPr="00027624">
        <w:rPr>
          <w:rFonts w:eastAsiaTheme="minorHAnsi"/>
          <w:i/>
          <w:lang w:eastAsia="en-US"/>
        </w:rPr>
        <w:t>equalising</w:t>
      </w:r>
      <w:r w:rsidRPr="00027624">
        <w:rPr>
          <w:rFonts w:eastAsiaTheme="minorHAnsi"/>
          <w:lang w:eastAsia="en-US"/>
        </w:rPr>
        <w:t xml:space="preserve"> opportunities and outcomes between generations, as their size and timing are not guaranteed. </w:t>
      </w:r>
    </w:p>
    <w:p w14:paraId="263FA274" w14:textId="78ADCCB0" w:rsidR="00B3792F" w:rsidRPr="00027624" w:rsidRDefault="00B3792F" w:rsidP="00B3792F">
      <w:pPr>
        <w:spacing w:before="0"/>
        <w:rPr>
          <w:rFonts w:eastAsiaTheme="minorEastAsia" w:cs="Calibri"/>
          <w:color w:val="000000" w:themeColor="text1"/>
          <w:lang w:eastAsia="en-US"/>
        </w:rPr>
      </w:pPr>
      <w:r w:rsidRPr="00027624">
        <w:rPr>
          <w:rFonts w:eastAsiaTheme="minorEastAsia" w:cs="Calibri"/>
          <w:color w:val="000000" w:themeColor="text1"/>
          <w:lang w:eastAsia="en-US"/>
        </w:rPr>
        <w:t>M</w:t>
      </w:r>
      <w:r w:rsidRPr="00027624">
        <w:rPr>
          <w:rFonts w:eastAsia="Calibri" w:cs="Calibri"/>
          <w:szCs w:val="22"/>
        </w:rPr>
        <w:t>ost people die with the majority of the wealth they had when they retired (</w:t>
      </w:r>
      <w:r w:rsidR="00673D11">
        <w:rPr>
          <w:rFonts w:eastAsia="Calibri" w:cs="Calibri"/>
          <w:szCs w:val="22"/>
        </w:rPr>
        <w:t>s</w:t>
      </w:r>
      <w:r w:rsidRPr="00027624">
        <w:rPr>
          <w:rFonts w:eastAsiaTheme="minorEastAsia" w:cs="Calibri"/>
          <w:color w:val="000000" w:themeColor="text1"/>
          <w:lang w:eastAsia="en-US"/>
        </w:rPr>
        <w:t xml:space="preserve">ee </w:t>
      </w:r>
      <w:r w:rsidRPr="00027624">
        <w:rPr>
          <w:i/>
        </w:rPr>
        <w:t>5A. Cohesion</w:t>
      </w:r>
      <w:r w:rsidRPr="00027624">
        <w:rPr>
          <w:rFonts w:eastAsiaTheme="minorEastAsia" w:cs="Calibri"/>
          <w:color w:val="000000" w:themeColor="text1"/>
          <w:lang w:eastAsia="en-US"/>
        </w:rPr>
        <w:t>)</w:t>
      </w:r>
      <w:r w:rsidRPr="00027624">
        <w:rPr>
          <w:rFonts w:eastAsia="Calibri" w:cs="Calibri"/>
          <w:szCs w:val="22"/>
        </w:rPr>
        <w:t xml:space="preserve">. </w:t>
      </w:r>
      <w:r w:rsidRPr="00027624">
        <w:rPr>
          <w:rFonts w:eastAsiaTheme="minorEastAsia" w:cs="Calibri"/>
          <w:color w:val="000000" w:themeColor="text1"/>
          <w:lang w:eastAsia="en-US"/>
        </w:rPr>
        <w:t xml:space="preserve">If this continues, inheritances will increase as the superannuation system matures. For example, assuming no change in how retirees draw down their superannuation balances, superannuation death benefits are projected to increase from around $17 billion in 2019 to just under $130 billion in </w:t>
      </w:r>
      <w:r w:rsidRPr="00027624">
        <w:rPr>
          <w:rFonts w:eastAsiaTheme="minorEastAsia"/>
          <w:color w:val="000000" w:themeColor="text1"/>
        </w:rPr>
        <w:t>2059</w:t>
      </w:r>
      <w:r w:rsidRPr="00027624">
        <w:rPr>
          <w:rFonts w:eastAsiaTheme="minorEastAsia" w:cs="Calibri"/>
          <w:noProof/>
          <w:color w:val="000000" w:themeColor="text1"/>
          <w:lang w:eastAsia="en-US"/>
        </w:rPr>
        <w:t xml:space="preserve"> </w:t>
      </w:r>
      <w:r w:rsidRPr="00027624">
        <w:rPr>
          <w:rFonts w:eastAsiaTheme="minorEastAsia"/>
          <w:color w:val="000000" w:themeColor="text1"/>
        </w:rPr>
        <w:t>(</w:t>
      </w:r>
      <w:r w:rsidRPr="00027624">
        <w:rPr>
          <w:rFonts w:eastAsiaTheme="minorEastAsia" w:cs="Calibri"/>
          <w:color w:val="000000" w:themeColor="text1"/>
          <w:lang w:eastAsia="en-US"/>
        </w:rPr>
        <w:fldChar w:fldCharType="begin"/>
      </w:r>
      <w:r w:rsidRPr="00027624">
        <w:rPr>
          <w:rFonts w:eastAsiaTheme="minorEastAsia" w:cs="Calibri"/>
          <w:color w:val="000000" w:themeColor="text1"/>
          <w:lang w:eastAsia="en-US"/>
        </w:rPr>
        <w:instrText xml:space="preserve"> REF _Ref39758308 \r \h  \* MERGEFORMAT </w:instrText>
      </w:r>
      <w:r w:rsidRPr="00027624">
        <w:rPr>
          <w:rFonts w:eastAsiaTheme="minorEastAsia" w:cs="Calibri"/>
          <w:color w:val="000000" w:themeColor="text1"/>
          <w:lang w:eastAsia="en-US"/>
        </w:rPr>
      </w:r>
      <w:r w:rsidRPr="00027624">
        <w:rPr>
          <w:rFonts w:eastAsiaTheme="minorEastAsia" w:cs="Calibri"/>
          <w:color w:val="000000" w:themeColor="text1"/>
          <w:lang w:eastAsia="en-US"/>
        </w:rPr>
        <w:fldChar w:fldCharType="separate"/>
      </w:r>
      <w:r w:rsidR="00891058">
        <w:rPr>
          <w:rFonts w:eastAsiaTheme="minorEastAsia" w:cs="Calibri"/>
          <w:color w:val="000000" w:themeColor="text1"/>
          <w:lang w:eastAsia="en-US"/>
        </w:rPr>
        <w:t>Chart 3H-5</w:t>
      </w:r>
      <w:r w:rsidRPr="00027624">
        <w:rPr>
          <w:rFonts w:eastAsiaTheme="minorEastAsia" w:cs="Calibri"/>
          <w:color w:val="000000" w:themeColor="text1"/>
          <w:lang w:eastAsia="en-US"/>
        </w:rPr>
        <w:fldChar w:fldCharType="end"/>
      </w:r>
      <w:r w:rsidRPr="00027624">
        <w:rPr>
          <w:rFonts w:eastAsiaTheme="minorEastAsia" w:cs="Calibri"/>
          <w:noProof/>
          <w:color w:val="000000" w:themeColor="text1"/>
          <w:lang w:eastAsia="en-US"/>
        </w:rPr>
        <w:t>)</w:t>
      </w:r>
      <w:r w:rsidRPr="00027624">
        <w:rPr>
          <w:rFonts w:eastAsiaTheme="minorEastAsia" w:cs="Calibri"/>
          <w:color w:val="000000" w:themeColor="text1"/>
          <w:lang w:eastAsia="en-US"/>
        </w:rPr>
        <w:t>.</w:t>
      </w:r>
      <w:r w:rsidRPr="00027624">
        <w:rPr>
          <w:rStyle w:val="FootnoteReference"/>
          <w:rFonts w:eastAsiaTheme="minorEastAsia"/>
          <w:color w:val="000000" w:themeColor="text1"/>
        </w:rPr>
        <w:footnoteReference w:id="236"/>
      </w:r>
      <w:r w:rsidRPr="00027624">
        <w:rPr>
          <w:rFonts w:eastAsiaTheme="minorEastAsia" w:cs="Calibri"/>
          <w:noProof/>
          <w:color w:val="000000" w:themeColor="text1"/>
          <w:lang w:eastAsia="en-US"/>
        </w:rPr>
        <w:t xml:space="preserve"> </w:t>
      </w:r>
    </w:p>
    <w:p w14:paraId="7247F6A8" w14:textId="77777777" w:rsidR="00B3792F" w:rsidRPr="00027624" w:rsidRDefault="00B3792F" w:rsidP="00582C3E">
      <w:pPr>
        <w:pStyle w:val="ChartMainHeading"/>
        <w:rPr>
          <w:rFonts w:eastAsiaTheme="minorEastAsia"/>
        </w:rPr>
      </w:pPr>
      <w:bookmarkStart w:id="4006" w:name="_Ref39758308"/>
      <w:r w:rsidRPr="00027624">
        <w:rPr>
          <w:rFonts w:eastAsiaTheme="minorEastAsia"/>
        </w:rPr>
        <w:lastRenderedPageBreak/>
        <w:t>Projected value of superannuation death benefits</w:t>
      </w:r>
      <w:bookmarkEnd w:id="4006"/>
    </w:p>
    <w:p w14:paraId="4DCE85EA" w14:textId="77777777" w:rsidR="00B3792F" w:rsidRPr="00027624" w:rsidRDefault="004B35A6" w:rsidP="00AD6771">
      <w:pPr>
        <w:pStyle w:val="ChartGraphic"/>
      </w:pPr>
      <w:r>
        <w:rPr>
          <w:noProof/>
        </w:rPr>
        <w:drawing>
          <wp:inline distT="0" distB="0" distL="0" distR="0" wp14:anchorId="52DB0992" wp14:editId="380AFD7B">
            <wp:extent cx="5577840" cy="2529840"/>
            <wp:effectExtent l="0" t="0" r="3810" b="3810"/>
            <wp:docPr id="2050622952" name="Picture 2050622952" descr="This chart shows superannuation death benefits are projected to increase from around $17 billion in 2019 to just under $130 billion in 2059." title="Chart 3H-5 Projected value of superannuation death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06F437A8" w14:textId="77777777" w:rsidR="00B3792F" w:rsidRPr="00027624" w:rsidRDefault="00B3792F" w:rsidP="00B3792F">
      <w:pPr>
        <w:pStyle w:val="ChartorTableNote"/>
        <w:rPr>
          <w:rFonts w:eastAsiaTheme="minorHAnsi"/>
        </w:rPr>
      </w:pPr>
      <w:r w:rsidRPr="00027624">
        <w:t>Note: In 2018</w:t>
      </w:r>
      <w:r w:rsidR="00A8443E" w:rsidRPr="00027624">
        <w:noBreakHyphen/>
      </w:r>
      <w:r w:rsidRPr="00027624">
        <w:t xml:space="preserve">19 dollars. Superannuation death benefits include </w:t>
      </w:r>
      <w:r w:rsidRPr="00027624">
        <w:rPr>
          <w:rFonts w:eastAsiaTheme="minorHAnsi" w:cs="Calibri"/>
          <w:szCs w:val="22"/>
          <w:lang w:eastAsia="en-US"/>
        </w:rPr>
        <w:t xml:space="preserve">insurance payouts due to death. </w:t>
      </w:r>
      <w:r w:rsidRPr="00027624">
        <w:t>Source: Analysis of Rice Warner estimates for the review.</w:t>
      </w:r>
    </w:p>
    <w:p w14:paraId="6207CCBF" w14:textId="11B7852D" w:rsidR="00B3792F" w:rsidRPr="00027624" w:rsidRDefault="00B3792F" w:rsidP="00B3792F">
      <w:pPr>
        <w:rPr>
          <w:rFonts w:eastAsiaTheme="minorHAnsi"/>
          <w:lang w:eastAsia="en-US"/>
        </w:rPr>
      </w:pPr>
      <w:r w:rsidRPr="00027624">
        <w:rPr>
          <w:rFonts w:eastAsiaTheme="minorHAnsi"/>
          <w:lang w:eastAsia="en-US"/>
        </w:rPr>
        <w:t xml:space="preserve">Although inheritances can help people to prepare for retirement, they are distributed unequally, with wealthier people tending to receive larger inheritances than those with lower wealth </w:t>
      </w:r>
      <w:r w:rsidRPr="00027624">
        <w:rPr>
          <w:rFonts w:eastAsiaTheme="minorHAnsi"/>
        </w:rPr>
        <w:t>(</w:t>
      </w:r>
      <w:r w:rsidRPr="00027624">
        <w:rPr>
          <w:rFonts w:eastAsiaTheme="minorHAnsi"/>
          <w:lang w:eastAsia="en-US"/>
        </w:rPr>
        <w:fldChar w:fldCharType="begin"/>
      </w:r>
      <w:r w:rsidRPr="00027624">
        <w:rPr>
          <w:rFonts w:eastAsiaTheme="minorHAnsi"/>
          <w:lang w:eastAsia="en-US"/>
        </w:rPr>
        <w:instrText xml:space="preserve"> REF _Ref36214088 \r \h  \* MERGEFORMAT </w:instrText>
      </w:r>
      <w:r w:rsidRPr="00027624">
        <w:rPr>
          <w:rFonts w:eastAsiaTheme="minorHAnsi"/>
          <w:lang w:eastAsia="en-US"/>
        </w:rPr>
      </w:r>
      <w:r w:rsidRPr="00027624">
        <w:rPr>
          <w:rFonts w:eastAsiaTheme="minorHAnsi"/>
          <w:lang w:eastAsia="en-US"/>
        </w:rPr>
        <w:fldChar w:fldCharType="separate"/>
      </w:r>
      <w:r w:rsidR="00891058">
        <w:rPr>
          <w:rFonts w:eastAsiaTheme="minorHAnsi"/>
          <w:lang w:eastAsia="en-US"/>
        </w:rPr>
        <w:t>Chart 3H-6</w:t>
      </w:r>
      <w:r w:rsidRPr="00027624">
        <w:rPr>
          <w:rFonts w:eastAsiaTheme="minorHAnsi"/>
          <w:lang w:eastAsia="en-US"/>
        </w:rPr>
        <w:fldChar w:fldCharType="end"/>
      </w:r>
      <w:r w:rsidRPr="00027624">
        <w:rPr>
          <w:rFonts w:eastAsiaTheme="minorHAnsi"/>
          <w:lang w:eastAsia="en-US"/>
        </w:rPr>
        <w:t>). Inheritances therefore increase intragenerational inequity and do not help all</w:t>
      </w:r>
      <w:r w:rsidRPr="00027624" w:rsidDel="007A71D2">
        <w:rPr>
          <w:rFonts w:eastAsiaTheme="minorHAnsi"/>
          <w:lang w:eastAsia="en-US"/>
        </w:rPr>
        <w:t xml:space="preserve"> </w:t>
      </w:r>
      <w:r w:rsidRPr="00027624">
        <w:rPr>
          <w:rFonts w:eastAsiaTheme="minorHAnsi"/>
          <w:lang w:eastAsia="en-US"/>
        </w:rPr>
        <w:t xml:space="preserve">people to prepare for retirement. </w:t>
      </w:r>
    </w:p>
    <w:p w14:paraId="60469560" w14:textId="77777777" w:rsidR="00B3792F" w:rsidRPr="00027624" w:rsidRDefault="00B3792F" w:rsidP="00582C3E">
      <w:pPr>
        <w:pStyle w:val="ChartMainHeading"/>
        <w:rPr>
          <w:rFonts w:eastAsiaTheme="minorHAnsi"/>
        </w:rPr>
      </w:pPr>
      <w:r w:rsidRPr="00027624">
        <w:rPr>
          <w:rFonts w:eastAsiaTheme="minorHAnsi"/>
        </w:rPr>
        <w:t>Size</w:t>
      </w:r>
      <w:bookmarkStart w:id="4007" w:name="_Ref36214088"/>
      <w:r w:rsidRPr="00027624">
        <w:rPr>
          <w:rFonts w:eastAsiaTheme="minorHAnsi"/>
        </w:rPr>
        <w:t xml:space="preserve"> of inheritances, by wealth quintile</w:t>
      </w:r>
      <w:bookmarkEnd w:id="4007"/>
      <w:r w:rsidRPr="00027624">
        <w:rPr>
          <w:rFonts w:eastAsiaTheme="minorHAnsi"/>
        </w:rPr>
        <w:t xml:space="preserve"> </w:t>
      </w:r>
    </w:p>
    <w:p w14:paraId="0EDD637D" w14:textId="77777777" w:rsidR="00B3792F" w:rsidRPr="00027624" w:rsidRDefault="00B3792F" w:rsidP="00B3792F">
      <w:pPr>
        <w:pStyle w:val="ChartGraphic"/>
      </w:pPr>
    </w:p>
    <w:p w14:paraId="5E3E5D31" w14:textId="77777777" w:rsidR="00B3792F" w:rsidRPr="00027624" w:rsidRDefault="004B35A6" w:rsidP="00AD6771">
      <w:pPr>
        <w:pStyle w:val="ChartGraphic"/>
      </w:pPr>
      <w:r>
        <w:rPr>
          <w:noProof/>
        </w:rPr>
        <w:drawing>
          <wp:inline distT="0" distB="0" distL="0" distR="0" wp14:anchorId="18AB308D" wp14:editId="7A725508">
            <wp:extent cx="5577840" cy="2522220"/>
            <wp:effectExtent l="0" t="0" r="3810" b="0"/>
            <wp:docPr id="2050622957" name="Picture 2050622957" descr="This chart shows wealthier people receive larger median and average inheritances than those with lower wealth. The average size of an inheritance for people in the highest wealth quintile is around $180,000, compared with around $50,000 for people in the lowest wealth quintile." title="Chart 3H-6 Size of inheritances, by wealth qui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98A1624" w14:textId="77777777" w:rsidR="00B3792F" w:rsidRPr="00027624" w:rsidRDefault="00B3792F" w:rsidP="00B3792F">
      <w:pPr>
        <w:pStyle w:val="ChartorTableNote"/>
      </w:pPr>
      <w:r w:rsidRPr="00027624">
        <w:t>Note: In 2017</w:t>
      </w:r>
      <w:r w:rsidR="00A8443E" w:rsidRPr="00027624">
        <w:noBreakHyphen/>
      </w:r>
      <w:r w:rsidRPr="00027624">
        <w:t>18 dollars. Median and average calculated by size of inheritance where one was received. Self</w:t>
      </w:r>
      <w:r w:rsidR="00A8443E" w:rsidRPr="00027624">
        <w:noBreakHyphen/>
      </w:r>
      <w:r w:rsidRPr="00027624">
        <w:t xml:space="preserve">reported inheritances are captured in all HILDA Surveys between 2001 and 2017, while wealth is only captured in the 2002, 2006, 2010, and 2014 HILDA Surveys. As a result, wealth quintile is based on most recently captured wealth information for an individual. Individuals are allotted to a wealth quintile across all survey respondents. Source: Replication of </w:t>
      </w:r>
      <w:sdt>
        <w:sdtPr>
          <w:id w:val="-1351254848"/>
          <w:citation/>
        </w:sdtPr>
        <w:sdtEndPr/>
        <w:sdtContent>
          <w:r w:rsidRPr="00027624">
            <w:fldChar w:fldCharType="begin"/>
          </w:r>
          <w:r w:rsidRPr="00027624">
            <w:instrText xml:space="preserve">CITATION Gra19 \l 3081 </w:instrText>
          </w:r>
          <w:r w:rsidRPr="00027624">
            <w:fldChar w:fldCharType="separate"/>
          </w:r>
          <w:r w:rsidR="00E83F6E">
            <w:rPr>
              <w:noProof/>
            </w:rPr>
            <w:t>(Wood, et al., 2019)</w:t>
          </w:r>
          <w:r w:rsidRPr="00027624">
            <w:fldChar w:fldCharType="end"/>
          </w:r>
        </w:sdtContent>
      </w:sdt>
      <w:r w:rsidRPr="00027624">
        <w:t xml:space="preserve">, which is derived </w:t>
      </w:r>
      <w:r w:rsidRPr="00027624">
        <w:rPr>
          <w:color w:val="auto"/>
        </w:rPr>
        <w:t>from HILDA Survey data (Waves 2</w:t>
      </w:r>
      <w:r w:rsidR="00A8443E" w:rsidRPr="00027624">
        <w:rPr>
          <w:color w:val="auto"/>
        </w:rPr>
        <w:noBreakHyphen/>
      </w:r>
      <w:r w:rsidRPr="00027624">
        <w:rPr>
          <w:color w:val="auto"/>
        </w:rPr>
        <w:t>17).</w:t>
      </w:r>
      <w:r w:rsidRPr="00027624">
        <w:fldChar w:fldCharType="begin"/>
      </w:r>
      <w:r w:rsidRPr="00027624">
        <w:fldChar w:fldCharType="separate"/>
      </w:r>
      <w:r w:rsidRPr="00027624">
        <w:rPr>
          <w:b/>
          <w:bCs/>
          <w:noProof/>
          <w:lang w:val="en-US"/>
        </w:rPr>
        <w:t>No source specified.</w:t>
      </w:r>
      <w:r w:rsidRPr="00027624">
        <w:fldChar w:fldCharType="end"/>
      </w:r>
    </w:p>
    <w:p w14:paraId="618027C9" w14:textId="743F9659" w:rsidR="00B3792F" w:rsidRPr="00027624" w:rsidRDefault="00B3792F" w:rsidP="00B3792F">
      <w:pPr>
        <w:rPr>
          <w:rFonts w:eastAsiaTheme="minorEastAsia"/>
          <w:lang w:eastAsia="en-US"/>
        </w:rPr>
      </w:pPr>
      <w:r w:rsidRPr="00027624">
        <w:rPr>
          <w:rFonts w:eastAsiaTheme="minorEastAsia"/>
          <w:lang w:eastAsia="en-US"/>
        </w:rPr>
        <w:t>Receiving an inheritance at the point of retirement boosts the annual retirement income of higher</w:t>
      </w:r>
      <w:r w:rsidR="00A8443E" w:rsidRPr="00027624">
        <w:rPr>
          <w:rFonts w:eastAsiaTheme="minorEastAsia"/>
          <w:lang w:eastAsia="en-US"/>
        </w:rPr>
        <w:noBreakHyphen/>
      </w:r>
      <w:r w:rsidRPr="00027624">
        <w:rPr>
          <w:rFonts w:eastAsiaTheme="minorEastAsia"/>
          <w:lang w:eastAsia="en-US"/>
        </w:rPr>
        <w:t>income earners by more than lower</w:t>
      </w:r>
      <w:r w:rsidR="00A8443E" w:rsidRPr="00027624">
        <w:rPr>
          <w:rFonts w:eastAsiaTheme="minorEastAsia"/>
          <w:lang w:eastAsia="en-US"/>
        </w:rPr>
        <w:noBreakHyphen/>
      </w:r>
      <w:r w:rsidRPr="00027624">
        <w:rPr>
          <w:rFonts w:eastAsiaTheme="minorEastAsia"/>
          <w:lang w:eastAsia="en-US"/>
        </w:rPr>
        <w:t>income earners, for the same size inheritance (</w:t>
      </w:r>
      <w:r w:rsidRPr="00027624">
        <w:rPr>
          <w:rFonts w:eastAsiaTheme="minorEastAsia"/>
          <w:lang w:eastAsia="en-US"/>
        </w:rPr>
        <w:fldChar w:fldCharType="begin"/>
      </w:r>
      <w:r w:rsidRPr="00027624">
        <w:rPr>
          <w:rFonts w:eastAsiaTheme="minorEastAsia"/>
          <w:lang w:eastAsia="en-US"/>
        </w:rPr>
        <w:instrText xml:space="preserve"> REF _Ref39073383 \r \h  \* MERGEFORMAT </w:instrText>
      </w:r>
      <w:r w:rsidRPr="00027624">
        <w:rPr>
          <w:rFonts w:eastAsiaTheme="minorEastAsia"/>
          <w:lang w:eastAsia="en-US"/>
        </w:rPr>
      </w:r>
      <w:r w:rsidRPr="00027624">
        <w:rPr>
          <w:rFonts w:eastAsiaTheme="minorEastAsia"/>
          <w:lang w:eastAsia="en-US"/>
        </w:rPr>
        <w:fldChar w:fldCharType="separate"/>
      </w:r>
      <w:r w:rsidR="00891058">
        <w:rPr>
          <w:rFonts w:eastAsiaTheme="minorEastAsia"/>
          <w:lang w:eastAsia="en-US"/>
        </w:rPr>
        <w:t>Chart 3H-7</w:t>
      </w:r>
      <w:r w:rsidRPr="00027624">
        <w:rPr>
          <w:rFonts w:eastAsiaTheme="minorEastAsia"/>
          <w:lang w:eastAsia="en-US"/>
        </w:rPr>
        <w:fldChar w:fldCharType="end"/>
      </w:r>
      <w:r w:rsidRPr="00027624">
        <w:rPr>
          <w:rFonts w:eastAsiaTheme="minorEastAsia"/>
          <w:lang w:eastAsia="en-US"/>
        </w:rPr>
        <w:t>). This is because receiving an inheritance increases a person</w:t>
      </w:r>
      <w:r w:rsidR="00A8443E" w:rsidRPr="00027624">
        <w:rPr>
          <w:rFonts w:eastAsiaTheme="minorEastAsia"/>
          <w:lang w:eastAsia="en-US"/>
        </w:rPr>
        <w:t>’</w:t>
      </w:r>
      <w:r w:rsidRPr="00027624">
        <w:rPr>
          <w:rFonts w:eastAsiaTheme="minorEastAsia"/>
          <w:lang w:eastAsia="en-US"/>
        </w:rPr>
        <w:t>s assets and income and therefore reduces any Age Pension payments as they do not have the same need for Government support. Higher</w:t>
      </w:r>
      <w:r w:rsidR="00A8443E" w:rsidRPr="00027624">
        <w:rPr>
          <w:rFonts w:eastAsiaTheme="minorEastAsia"/>
          <w:lang w:eastAsia="en-US"/>
        </w:rPr>
        <w:noBreakHyphen/>
      </w:r>
      <w:r w:rsidRPr="00027624">
        <w:rPr>
          <w:rFonts w:eastAsiaTheme="minorEastAsia"/>
          <w:lang w:eastAsia="en-US"/>
        </w:rPr>
        <w:t>income earners are the least affected by the assets test as, even without an inheritance, they qualify for minimal or no Age Pension in retirement.</w:t>
      </w:r>
    </w:p>
    <w:p w14:paraId="0C833984" w14:textId="77777777" w:rsidR="00B3792F" w:rsidRPr="00027624" w:rsidRDefault="00B3792F" w:rsidP="00582C3E">
      <w:pPr>
        <w:pStyle w:val="ChartMainHeading"/>
        <w:rPr>
          <w:rFonts w:eastAsiaTheme="minorHAnsi"/>
        </w:rPr>
      </w:pPr>
      <w:bookmarkStart w:id="4008" w:name="_Ref36214314"/>
      <w:r w:rsidRPr="00027624">
        <w:rPr>
          <w:rFonts w:eastAsiaTheme="minorHAnsi"/>
        </w:rPr>
        <w:lastRenderedPageBreak/>
        <w:t>Projected</w:t>
      </w:r>
      <w:bookmarkStart w:id="4009" w:name="_Ref39073383"/>
      <w:r w:rsidRPr="00027624">
        <w:rPr>
          <w:rFonts w:eastAsiaTheme="minorHAnsi"/>
        </w:rPr>
        <w:t xml:space="preserve"> change in annual retirement income from a $250,000 inheritance at retirement</w:t>
      </w:r>
      <w:bookmarkEnd w:id="4008"/>
      <w:bookmarkEnd w:id="4009"/>
    </w:p>
    <w:p w14:paraId="21423B39" w14:textId="77777777" w:rsidR="00B3792F" w:rsidRPr="00027624" w:rsidRDefault="00407E53" w:rsidP="00B3792F">
      <w:pPr>
        <w:pStyle w:val="ChartGraphic"/>
      </w:pPr>
      <w:r>
        <w:rPr>
          <w:noProof/>
        </w:rPr>
        <w:drawing>
          <wp:inline distT="0" distB="0" distL="0" distR="0" wp14:anchorId="0F34FC82" wp14:editId="7EC7D094">
            <wp:extent cx="5585460" cy="2522220"/>
            <wp:effectExtent l="0" t="0" r="0" b="0"/>
            <wp:docPr id="2050622969" name="Picture 2050622969" descr="This chart shows receiving a $250,000 inheritance at the point of retirement increases the annual retirement income of higher income earners by more than lower-income earners. When drawing down the earnings and capital value of the inheritance, those in the 20th to 50th income percentiles receive the lowest increase in annual retirement income, of around $3,500-$4,000, compared with around $5,500 for those at the 10th income percentile and around $7,000-$7,500 for those at the 90th to 99th income percentiles. Drawing down the earnings and capital value of the inheritance during retirement increases annual retirement income by much more than drawing down only the earnings from the inheritance." title="Chart 3H-7 Projected change in annual retirement income from a $250,000 inheritance at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04E6AB04" w14:textId="7E01BEDC" w:rsidR="00B3792F" w:rsidRPr="00027624" w:rsidRDefault="00B3792F" w:rsidP="00C661D1">
      <w:pPr>
        <w:pStyle w:val="ChartorTableNote"/>
        <w:rPr>
          <w:rFonts w:eastAsiaTheme="minorEastAsia" w:cs="Calibri"/>
          <w:lang w:eastAsia="en-US"/>
        </w:rPr>
      </w:pPr>
      <w:r w:rsidRPr="00027624">
        <w:rPr>
          <w:rFonts w:eastAsiaTheme="minorEastAsia"/>
          <w:lang w:eastAsia="en-US"/>
        </w:rPr>
        <w:t xml:space="preserve">Note: </w:t>
      </w:r>
      <w:r w:rsidRPr="00027624">
        <w:t>Values are in 2019</w:t>
      </w:r>
      <w:r w:rsidR="00A8443E" w:rsidRPr="00027624">
        <w:noBreakHyphen/>
      </w:r>
      <w:r w:rsidRPr="00027624">
        <w:t>20 dollars, deflated using the review</w:t>
      </w:r>
      <w:r w:rsidR="00A8443E" w:rsidRPr="00027624">
        <w:t>’</w:t>
      </w:r>
      <w:r w:rsidRPr="00027624">
        <w:t>s mixed deflator.</w:t>
      </w:r>
      <w:r w:rsidRPr="00027624" w:rsidDel="00987062">
        <w:rPr>
          <w:rFonts w:eastAsiaTheme="minorEastAsia"/>
          <w:lang w:eastAsia="en-US"/>
        </w:rPr>
        <w:t xml:space="preserve"> </w:t>
      </w:r>
      <w:r w:rsidR="00A8443E" w:rsidRPr="00027624">
        <w:rPr>
          <w:rFonts w:eastAsiaTheme="minorEastAsia"/>
          <w:lang w:eastAsia="en-US"/>
        </w:rPr>
        <w:t>‘</w:t>
      </w:r>
      <w:r w:rsidRPr="00027624">
        <w:rPr>
          <w:rFonts w:eastAsiaTheme="minorEastAsia"/>
          <w:lang w:eastAsia="en-US"/>
        </w:rPr>
        <w:t>Drawing down earnings and capital value of inheritance</w:t>
      </w:r>
      <w:r w:rsidR="00A8443E" w:rsidRPr="00027624">
        <w:rPr>
          <w:rFonts w:eastAsiaTheme="minorEastAsia"/>
          <w:lang w:eastAsia="en-US"/>
        </w:rPr>
        <w:t>’</w:t>
      </w:r>
      <w:r w:rsidRPr="00027624">
        <w:rPr>
          <w:rFonts w:eastAsiaTheme="minorEastAsia"/>
          <w:lang w:eastAsia="en-US"/>
        </w:rPr>
        <w:t xml:space="preserve"> strategy assumes the inheritance is contributed to superannuation and drawn down consistently with other superannuation assets </w:t>
      </w:r>
      <w:r w:rsidRPr="00027624">
        <w:t xml:space="preserve">(see </w:t>
      </w:r>
      <w:r w:rsidRPr="00027624">
        <w:rPr>
          <w:i/>
        </w:rPr>
        <w:t>Appendix 6A. Detailed modelling methods and assumptions</w:t>
      </w:r>
      <w:r w:rsidRPr="00027624">
        <w:t>)</w:t>
      </w:r>
      <w:r w:rsidRPr="00027624">
        <w:rPr>
          <w:rFonts w:eastAsiaTheme="minorEastAsia"/>
        </w:rPr>
        <w:t xml:space="preserve">. </w:t>
      </w:r>
      <w:r w:rsidRPr="00027624">
        <w:rPr>
          <w:rFonts w:eastAsiaTheme="minorEastAsia"/>
          <w:lang w:eastAsia="en-US"/>
        </w:rPr>
        <w:t xml:space="preserve">Inheritance size of $250,000 is inflated by CPI and is based on the median value of a final estate of $480,000 from 2016 Victorian probate data </w:t>
      </w:r>
      <w:sdt>
        <w:sdtPr>
          <w:rPr>
            <w:rFonts w:eastAsiaTheme="minorEastAsia"/>
            <w:lang w:eastAsia="en-US"/>
          </w:rPr>
          <w:id w:val="-1198380628"/>
          <w:citation/>
        </w:sdtPr>
        <w:sdtEndPr/>
        <w:sdtContent>
          <w:r w:rsidRPr="00027624">
            <w:rPr>
              <w:rFonts w:eastAsiaTheme="minorEastAsia"/>
              <w:lang w:eastAsia="en-US"/>
            </w:rPr>
            <w:fldChar w:fldCharType="begin"/>
          </w:r>
          <w:r w:rsidRPr="00027624">
            <w:rPr>
              <w:rFonts w:eastAsiaTheme="minorEastAsia"/>
              <w:lang w:eastAsia="en-US"/>
            </w:rPr>
            <w:instrText xml:space="preserve"> CITATION Gra19 \l 3081 </w:instrText>
          </w:r>
          <w:r w:rsidRPr="00027624">
            <w:rPr>
              <w:rFonts w:eastAsiaTheme="minorEastAsia"/>
              <w:lang w:eastAsia="en-US"/>
            </w:rPr>
            <w:fldChar w:fldCharType="separate"/>
          </w:r>
          <w:r w:rsidR="00E83F6E" w:rsidRPr="00E83F6E">
            <w:rPr>
              <w:rFonts w:eastAsiaTheme="minorEastAsia"/>
              <w:noProof/>
              <w:lang w:eastAsia="en-US"/>
            </w:rPr>
            <w:t>(Wood, et al., 2019)</w:t>
          </w:r>
          <w:r w:rsidRPr="00027624">
            <w:rPr>
              <w:rFonts w:eastAsiaTheme="minorEastAsia"/>
              <w:lang w:eastAsia="en-US"/>
            </w:rPr>
            <w:fldChar w:fldCharType="end"/>
          </w:r>
        </w:sdtContent>
      </w:sdt>
      <w:r w:rsidRPr="00027624">
        <w:rPr>
          <w:rFonts w:eastAsiaTheme="minorEastAsia"/>
          <w:lang w:eastAsia="en-US"/>
        </w:rPr>
        <w:t xml:space="preserve">. As the fertility rate has been 1.9 births per woman since the late 1970s </w:t>
      </w:r>
      <w:sdt>
        <w:sdtPr>
          <w:rPr>
            <w:rFonts w:eastAsiaTheme="minorEastAsia"/>
            <w:lang w:eastAsia="en-US"/>
          </w:rPr>
          <w:id w:val="-2095153530"/>
          <w:citation/>
        </w:sdtPr>
        <w:sdtEndPr/>
        <w:sdtContent>
          <w:r w:rsidRPr="00027624">
            <w:rPr>
              <w:rFonts w:eastAsiaTheme="minorEastAsia"/>
              <w:lang w:eastAsia="en-US"/>
            </w:rPr>
            <w:fldChar w:fldCharType="begin"/>
          </w:r>
          <w:r w:rsidRPr="00027624">
            <w:rPr>
              <w:rFonts w:eastAsiaTheme="minorEastAsia"/>
              <w:lang w:eastAsia="en-US"/>
            </w:rPr>
            <w:instrText xml:space="preserve">CITATION The15 \l 3081 </w:instrText>
          </w:r>
          <w:r w:rsidRPr="00027624">
            <w:rPr>
              <w:rFonts w:eastAsiaTheme="minorEastAsia"/>
              <w:lang w:eastAsia="en-US"/>
            </w:rPr>
            <w:fldChar w:fldCharType="separate"/>
          </w:r>
          <w:r w:rsidR="00E83F6E" w:rsidRPr="00E83F6E">
            <w:rPr>
              <w:rFonts w:eastAsiaTheme="minorEastAsia"/>
              <w:noProof/>
              <w:lang w:eastAsia="en-US"/>
            </w:rPr>
            <w:t>(Commonwealth of Australia, 2015)</w:t>
          </w:r>
          <w:r w:rsidRPr="00027624">
            <w:rPr>
              <w:rFonts w:eastAsiaTheme="minorEastAsia"/>
              <w:lang w:eastAsia="en-US"/>
            </w:rPr>
            <w:fldChar w:fldCharType="end"/>
          </w:r>
        </w:sdtContent>
      </w:sdt>
      <w:r w:rsidRPr="00027624">
        <w:rPr>
          <w:rFonts w:eastAsiaTheme="minorEastAsia"/>
          <w:lang w:eastAsia="en-US"/>
        </w:rPr>
        <w:t xml:space="preserve">, the inheritance is roughly split between two children. For simplicity, the inheritance is received at the point of retirement. The average size of inheritances is </w:t>
      </w:r>
      <w:r w:rsidRPr="00027624">
        <w:rPr>
          <w:rFonts w:eastAsiaTheme="minorEastAsia"/>
        </w:rPr>
        <w:t xml:space="preserve">significantly higher in probate data than in HILDA </w:t>
      </w:r>
      <w:r w:rsidRPr="00027624">
        <w:rPr>
          <w:rFonts w:eastAsiaTheme="minorEastAsia"/>
          <w:lang w:eastAsia="en-US"/>
        </w:rPr>
        <w:t xml:space="preserve">(see </w:t>
      </w:r>
      <w:r w:rsidRPr="00027624">
        <w:rPr>
          <w:rFonts w:eastAsiaTheme="minorEastAsia"/>
          <w:lang w:eastAsia="en-US"/>
        </w:rPr>
        <w:fldChar w:fldCharType="begin"/>
      </w:r>
      <w:r w:rsidRPr="00027624">
        <w:rPr>
          <w:rFonts w:eastAsiaTheme="minorEastAsia"/>
          <w:lang w:eastAsia="en-US"/>
        </w:rPr>
        <w:instrText xml:space="preserve"> REF _Ref36214088 \r \h  \* MERGEFORMAT </w:instrText>
      </w:r>
      <w:r w:rsidRPr="00027624">
        <w:rPr>
          <w:rFonts w:eastAsiaTheme="minorEastAsia"/>
          <w:lang w:eastAsia="en-US"/>
        </w:rPr>
      </w:r>
      <w:r w:rsidRPr="00027624">
        <w:rPr>
          <w:rFonts w:eastAsiaTheme="minorEastAsia"/>
          <w:lang w:eastAsia="en-US"/>
        </w:rPr>
        <w:fldChar w:fldCharType="separate"/>
      </w:r>
      <w:r w:rsidR="00891058">
        <w:rPr>
          <w:rFonts w:eastAsiaTheme="minorEastAsia"/>
          <w:lang w:eastAsia="en-US"/>
        </w:rPr>
        <w:t>Chart 3H-6</w:t>
      </w:r>
      <w:r w:rsidRPr="00027624">
        <w:rPr>
          <w:rFonts w:eastAsiaTheme="minorEastAsia"/>
          <w:lang w:eastAsia="en-US"/>
        </w:rPr>
        <w:fldChar w:fldCharType="end"/>
      </w:r>
      <w:r w:rsidRPr="00027624">
        <w:rPr>
          <w:rFonts w:eastAsiaTheme="minorEastAsia"/>
          <w:lang w:eastAsia="en-US"/>
        </w:rPr>
        <w:t xml:space="preserve">). </w:t>
      </w:r>
      <w:r w:rsidRPr="00027624">
        <w:rPr>
          <w:rFonts w:eastAsiaTheme="minorEastAsia"/>
        </w:rPr>
        <w:t xml:space="preserve">The difference may be due to the HILDA Survey </w:t>
      </w:r>
      <w:r w:rsidRPr="00027624">
        <w:rPr>
          <w:rFonts w:eastAsiaTheme="minorEastAsia"/>
          <w:lang w:eastAsia="en-US"/>
        </w:rPr>
        <w:t xml:space="preserve">relying on people </w:t>
      </w:r>
      <w:r w:rsidRPr="00027624">
        <w:rPr>
          <w:rFonts w:eastAsiaTheme="minorEastAsia"/>
        </w:rPr>
        <w:t>self</w:t>
      </w:r>
      <w:r w:rsidR="00A8443E" w:rsidRPr="00027624">
        <w:rPr>
          <w:rFonts w:eastAsiaTheme="minorEastAsia"/>
        </w:rPr>
        <w:noBreakHyphen/>
      </w:r>
      <w:r w:rsidRPr="00027624">
        <w:rPr>
          <w:rFonts w:eastAsiaTheme="minorEastAsia"/>
          <w:lang w:eastAsia="en-US"/>
        </w:rPr>
        <w:t>reporting</w:t>
      </w:r>
      <w:r w:rsidRPr="00027624">
        <w:rPr>
          <w:rFonts w:eastAsiaTheme="minorEastAsia"/>
        </w:rPr>
        <w:t xml:space="preserve"> inheritance amounts</w:t>
      </w:r>
      <w:r w:rsidRPr="00027624">
        <w:rPr>
          <w:rFonts w:eastAsiaTheme="minorEastAsia"/>
          <w:lang w:eastAsia="en-US"/>
        </w:rPr>
        <w:t xml:space="preserve"> and excluding some people </w:t>
      </w:r>
      <w:r w:rsidRPr="00027624">
        <w:rPr>
          <w:rFonts w:eastAsiaTheme="minorEastAsia"/>
        </w:rPr>
        <w:t>living in aged care</w:t>
      </w:r>
      <w:r w:rsidRPr="00027624">
        <w:rPr>
          <w:rFonts w:eastAsiaTheme="minorEastAsia"/>
          <w:lang w:eastAsia="en-US"/>
        </w:rPr>
        <w:t>,</w:t>
      </w:r>
      <w:r w:rsidRPr="00027624">
        <w:rPr>
          <w:rFonts w:eastAsiaTheme="minorEastAsia"/>
        </w:rPr>
        <w:t xml:space="preserve"> and probate data excluding some small estates that do not require a probate. </w:t>
      </w:r>
      <w:r w:rsidRPr="00027624">
        <w:rPr>
          <w:rFonts w:eastAsiaTheme="minorEastAsia"/>
          <w:lang w:eastAsia="en-US"/>
        </w:rPr>
        <w:t>Probate data</w:t>
      </w:r>
      <w:r w:rsidRPr="00027624">
        <w:rPr>
          <w:rFonts w:eastAsiaTheme="minorEastAsia"/>
        </w:rPr>
        <w:t xml:space="preserve"> excludes superannuation death benefits, jointly owned assets and family trusts. Source: </w:t>
      </w:r>
      <w:r w:rsidRPr="00027624">
        <w:t>Cameo modelling undertaken for the review.</w:t>
      </w:r>
    </w:p>
    <w:p w14:paraId="203B5980" w14:textId="77777777" w:rsidR="00B3792F" w:rsidRPr="00027624" w:rsidRDefault="00B3792F" w:rsidP="00B3792F">
      <w:pPr>
        <w:autoSpaceDE w:val="0"/>
        <w:autoSpaceDN w:val="0"/>
        <w:adjustRightInd w:val="0"/>
        <w:spacing w:before="0"/>
        <w:rPr>
          <w:rFonts w:eastAsiaTheme="minorEastAsia" w:cs="Calibri"/>
          <w:color w:val="000000"/>
          <w:lang w:eastAsia="en-US"/>
        </w:rPr>
      </w:pPr>
      <w:r w:rsidRPr="00027624">
        <w:rPr>
          <w:rFonts w:eastAsiaTheme="minorEastAsia" w:cs="Calibri"/>
          <w:color w:val="000000"/>
          <w:lang w:eastAsia="en-US"/>
        </w:rPr>
        <w:t xml:space="preserve">Most inheritances go to people over age 50 </w:t>
      </w:r>
      <w:sdt>
        <w:sdtPr>
          <w:rPr>
            <w:rFonts w:eastAsiaTheme="minorEastAsia" w:cs="Calibri"/>
            <w:color w:val="000000"/>
            <w:lang w:eastAsia="en-US"/>
          </w:rPr>
          <w:id w:val="-1224598156"/>
          <w:citation/>
        </w:sdtPr>
        <w:sdtEndPr/>
        <w:sdtContent>
          <w:r w:rsidRPr="00027624">
            <w:rPr>
              <w:rFonts w:eastAsiaTheme="minorEastAsia" w:cs="Calibri"/>
              <w:color w:val="000000"/>
              <w:lang w:eastAsia="en-US"/>
            </w:rPr>
            <w:fldChar w:fldCharType="begin"/>
          </w:r>
          <w:r w:rsidRPr="00027624">
            <w:rPr>
              <w:rFonts w:eastAsiaTheme="minorEastAsia" w:cs="Calibri"/>
              <w:color w:val="000000"/>
              <w:lang w:eastAsia="en-US"/>
            </w:rPr>
            <w:instrText xml:space="preserve">CITATION Gra19 \p 42 \l 3081 </w:instrText>
          </w:r>
          <w:r w:rsidRPr="00027624">
            <w:rPr>
              <w:rFonts w:eastAsiaTheme="minorEastAsia" w:cs="Calibri"/>
              <w:color w:val="000000"/>
              <w:lang w:eastAsia="en-US"/>
            </w:rPr>
            <w:fldChar w:fldCharType="separate"/>
          </w:r>
          <w:r w:rsidR="00E83F6E" w:rsidRPr="00E83F6E">
            <w:rPr>
              <w:rFonts w:eastAsiaTheme="minorEastAsia" w:cs="Calibri"/>
              <w:noProof/>
              <w:color w:val="000000"/>
              <w:lang w:eastAsia="en-US"/>
            </w:rPr>
            <w:t>(Wood, et al., 2019, p. 42)</w:t>
          </w:r>
          <w:r w:rsidRPr="00027624">
            <w:rPr>
              <w:rFonts w:eastAsiaTheme="minorEastAsia" w:cs="Calibri"/>
              <w:color w:val="000000"/>
              <w:lang w:eastAsia="en-US"/>
            </w:rPr>
            <w:fldChar w:fldCharType="end"/>
          </w:r>
        </w:sdtContent>
      </w:sdt>
      <w:r w:rsidRPr="00027624">
        <w:rPr>
          <w:rFonts w:eastAsiaTheme="minorEastAsia" w:cs="Calibri"/>
          <w:color w:val="000000"/>
          <w:lang w:eastAsia="en-US"/>
        </w:rPr>
        <w:t>. As the timing and size of inheritances is uncertain, this makes it difficult for working</w:t>
      </w:r>
      <w:r w:rsidR="00A8443E" w:rsidRPr="00027624">
        <w:rPr>
          <w:rFonts w:eastAsiaTheme="minorEastAsia" w:cs="Calibri"/>
          <w:color w:val="000000"/>
          <w:lang w:eastAsia="en-US"/>
        </w:rPr>
        <w:noBreakHyphen/>
      </w:r>
      <w:r w:rsidRPr="00027624">
        <w:rPr>
          <w:rFonts w:eastAsiaTheme="minorEastAsia" w:cs="Calibri"/>
          <w:color w:val="000000"/>
          <w:lang w:eastAsia="en-US"/>
        </w:rPr>
        <w:t>age people to plan optimally for retirement and to avoid over</w:t>
      </w:r>
      <w:r w:rsidR="00A8443E" w:rsidRPr="00027624">
        <w:rPr>
          <w:rFonts w:eastAsiaTheme="minorEastAsia" w:cs="Calibri"/>
          <w:color w:val="000000"/>
          <w:lang w:eastAsia="en-US"/>
        </w:rPr>
        <w:noBreakHyphen/>
      </w:r>
      <w:r w:rsidRPr="00027624">
        <w:rPr>
          <w:rFonts w:eastAsiaTheme="minorEastAsia" w:cs="Calibri"/>
          <w:color w:val="000000"/>
          <w:lang w:eastAsia="en-US"/>
        </w:rPr>
        <w:t xml:space="preserve">saving. With life expectancy at birth projected to increase in the </w:t>
      </w:r>
      <w:r w:rsidRPr="00027624">
        <w:rPr>
          <w:rFonts w:eastAsiaTheme="minorEastAsia"/>
          <w:color w:val="000000"/>
        </w:rPr>
        <w:t>future (</w:t>
      </w:r>
      <w:r w:rsidRPr="00027624">
        <w:t xml:space="preserve">see </w:t>
      </w:r>
      <w:r w:rsidRPr="00027624">
        <w:rPr>
          <w:i/>
        </w:rPr>
        <w:t>1D. The changing Australian landscape</w:t>
      </w:r>
      <w:r w:rsidRPr="00027624">
        <w:t>)</w:t>
      </w:r>
      <w:r w:rsidRPr="00027624">
        <w:rPr>
          <w:rFonts w:eastAsiaTheme="minorEastAsia" w:cs="Calibri"/>
          <w:color w:val="000000"/>
          <w:lang w:eastAsia="en-US"/>
        </w:rPr>
        <w:t>, inheritances are expected to increasingly go to even older Australians.</w:t>
      </w:r>
    </w:p>
    <w:p w14:paraId="1FE53AF3" w14:textId="77777777" w:rsidR="00B3792F" w:rsidRPr="00027624" w:rsidRDefault="00B3792F" w:rsidP="00B3792F">
      <w:pPr>
        <w:autoSpaceDE w:val="0"/>
        <w:autoSpaceDN w:val="0"/>
        <w:adjustRightInd w:val="0"/>
        <w:spacing w:before="0"/>
        <w:rPr>
          <w:rFonts w:eastAsiaTheme="minorEastAsia" w:cs="Calibri"/>
          <w:color w:val="000000"/>
          <w:lang w:eastAsia="en-US"/>
        </w:rPr>
      </w:pPr>
      <w:r w:rsidRPr="00027624">
        <w:rPr>
          <w:rFonts w:eastAsiaTheme="minorEastAsia" w:cs="Calibri"/>
          <w:color w:val="000000"/>
          <w:lang w:eastAsia="en-US"/>
        </w:rPr>
        <w:t>Inheritances and gifts have generally been tax</w:t>
      </w:r>
      <w:r w:rsidR="00A8443E" w:rsidRPr="00027624">
        <w:rPr>
          <w:rFonts w:eastAsiaTheme="minorEastAsia" w:cs="Calibri"/>
          <w:color w:val="000000"/>
          <w:lang w:eastAsia="en-US"/>
        </w:rPr>
        <w:noBreakHyphen/>
      </w:r>
      <w:r w:rsidRPr="00027624">
        <w:rPr>
          <w:rFonts w:eastAsiaTheme="minorEastAsia" w:cs="Calibri"/>
          <w:color w:val="000000"/>
          <w:lang w:eastAsia="en-US"/>
        </w:rPr>
        <w:t xml:space="preserve">free in Australia since the late 1970s </w:t>
      </w:r>
      <w:sdt>
        <w:sdtPr>
          <w:rPr>
            <w:rFonts w:eastAsiaTheme="minorHAnsi" w:cs="Calibri"/>
            <w:color w:val="000000"/>
            <w:szCs w:val="22"/>
            <w:lang w:eastAsia="en-US"/>
          </w:rPr>
          <w:id w:val="-476381854"/>
          <w:citation/>
        </w:sdtPr>
        <w:sdtEndPr/>
        <w:sdtContent>
          <w:r w:rsidRPr="00027624">
            <w:rPr>
              <w:rFonts w:eastAsiaTheme="minorHAnsi" w:cs="Calibri"/>
              <w:color w:val="000000"/>
              <w:szCs w:val="22"/>
              <w:lang w:eastAsia="en-US"/>
            </w:rPr>
            <w:fldChar w:fldCharType="begin"/>
          </w:r>
          <w:r w:rsidRPr="00027624">
            <w:rPr>
              <w:rFonts w:eastAsiaTheme="minorHAnsi" w:cs="Calibri"/>
              <w:color w:val="000000"/>
              <w:szCs w:val="22"/>
              <w:lang w:eastAsia="en-US"/>
            </w:rPr>
            <w:instrText xml:space="preserve">CITATION Dan18 \l 3081 </w:instrText>
          </w:r>
          <w:r w:rsidRPr="00027624">
            <w:rPr>
              <w:rFonts w:eastAsiaTheme="minorHAnsi" w:cs="Calibri"/>
              <w:color w:val="000000"/>
              <w:szCs w:val="22"/>
              <w:lang w:eastAsia="en-US"/>
            </w:rPr>
            <w:fldChar w:fldCharType="separate"/>
          </w:r>
          <w:r w:rsidR="00E83F6E" w:rsidRPr="00E83F6E">
            <w:rPr>
              <w:rFonts w:eastAsiaTheme="minorHAnsi" w:cs="Calibri"/>
              <w:noProof/>
              <w:color w:val="000000"/>
              <w:szCs w:val="22"/>
              <w:lang w:eastAsia="en-US"/>
            </w:rPr>
            <w:t>(The Sydney Morning Herald, 2018)</w:t>
          </w:r>
          <w:r w:rsidRPr="00027624">
            <w:rPr>
              <w:rFonts w:eastAsiaTheme="minorHAnsi" w:cs="Calibri"/>
              <w:color w:val="000000"/>
              <w:szCs w:val="22"/>
              <w:lang w:eastAsia="en-US"/>
            </w:rPr>
            <w:fldChar w:fldCharType="end"/>
          </w:r>
        </w:sdtContent>
      </w:sdt>
      <w:r w:rsidRPr="00027624">
        <w:rPr>
          <w:rFonts w:eastAsiaTheme="minorEastAsia" w:cs="Calibri"/>
          <w:color w:val="000000"/>
          <w:lang w:eastAsia="en-US"/>
        </w:rPr>
        <w:t>. However, superannuation death benefits are taxed in some cases, including the taxable component of lump sum benefits paid to non</w:t>
      </w:r>
      <w:r w:rsidR="00A8443E" w:rsidRPr="00027624">
        <w:rPr>
          <w:rFonts w:eastAsiaTheme="minorEastAsia" w:cs="Calibri"/>
          <w:color w:val="000000"/>
          <w:lang w:eastAsia="en-US"/>
        </w:rPr>
        <w:noBreakHyphen/>
      </w:r>
      <w:r w:rsidRPr="00027624">
        <w:rPr>
          <w:rFonts w:eastAsiaTheme="minorEastAsia" w:cs="Calibri"/>
          <w:color w:val="000000"/>
          <w:lang w:eastAsia="en-US"/>
        </w:rPr>
        <w:t xml:space="preserve">dependants and income stream benefits paid to dependants </w:t>
      </w:r>
      <w:sdt>
        <w:sdtPr>
          <w:rPr>
            <w:rFonts w:eastAsiaTheme="minorEastAsia" w:cs="Calibri"/>
            <w:color w:val="000000"/>
            <w:lang w:eastAsia="en-US"/>
          </w:rPr>
          <w:id w:val="1869460"/>
          <w:citation/>
        </w:sdtPr>
        <w:sdtEndPr/>
        <w:sdtContent>
          <w:r w:rsidRPr="00027624">
            <w:rPr>
              <w:rFonts w:eastAsiaTheme="minorEastAsia" w:cs="Calibri"/>
              <w:color w:val="000000"/>
              <w:lang w:eastAsia="en-US"/>
            </w:rPr>
            <w:fldChar w:fldCharType="begin"/>
          </w:r>
          <w:r w:rsidRPr="00027624">
            <w:rPr>
              <w:rFonts w:eastAsiaTheme="minorEastAsia" w:cs="Calibri"/>
              <w:color w:val="000000"/>
              <w:lang w:eastAsia="en-US"/>
            </w:rPr>
            <w:instrText xml:space="preserve"> CITATION ATO202 \l 3081 </w:instrText>
          </w:r>
          <w:r w:rsidRPr="00027624">
            <w:rPr>
              <w:rFonts w:eastAsiaTheme="minorEastAsia" w:cs="Calibri"/>
              <w:color w:val="000000"/>
              <w:lang w:eastAsia="en-US"/>
            </w:rPr>
            <w:fldChar w:fldCharType="separate"/>
          </w:r>
          <w:r w:rsidR="00E83F6E" w:rsidRPr="00E83F6E">
            <w:rPr>
              <w:rFonts w:eastAsiaTheme="minorEastAsia" w:cs="Calibri"/>
              <w:noProof/>
              <w:color w:val="000000"/>
              <w:lang w:eastAsia="en-US"/>
            </w:rPr>
            <w:t>(ATO, 2020d)</w:t>
          </w:r>
          <w:r w:rsidRPr="00027624">
            <w:rPr>
              <w:rFonts w:eastAsiaTheme="minorEastAsia" w:cs="Calibri"/>
              <w:color w:val="000000"/>
              <w:lang w:eastAsia="en-US"/>
            </w:rPr>
            <w:fldChar w:fldCharType="end"/>
          </w:r>
        </w:sdtContent>
      </w:sdt>
      <w:r w:rsidRPr="00027624">
        <w:rPr>
          <w:rFonts w:eastAsiaTheme="minorEastAsia" w:cs="Calibri"/>
          <w:color w:val="000000"/>
          <w:lang w:eastAsia="en-US"/>
        </w:rPr>
        <w:t>.</w:t>
      </w:r>
      <w:r w:rsidRPr="00027624">
        <w:rPr>
          <w:rStyle w:val="FootnoteReference"/>
          <w:rFonts w:eastAsiaTheme="minorEastAsia" w:cs="Calibri"/>
          <w:color w:val="000000"/>
          <w:lang w:eastAsia="en-US"/>
        </w:rPr>
        <w:footnoteReference w:id="237"/>
      </w:r>
      <w:r w:rsidRPr="00027624">
        <w:rPr>
          <w:rFonts w:eastAsiaTheme="minorEastAsia" w:cs="Calibri"/>
          <w:color w:val="000000"/>
          <w:lang w:eastAsia="en-US"/>
        </w:rPr>
        <w:t xml:space="preserve"> In 2017, Australia was one of eight OECD countries without any inheritance, estate or gift taxes </w:t>
      </w:r>
      <w:sdt>
        <w:sdtPr>
          <w:rPr>
            <w:rFonts w:eastAsiaTheme="minorEastAsia" w:cs="Calibri"/>
            <w:color w:val="000000"/>
            <w:lang w:eastAsia="en-US"/>
          </w:rPr>
          <w:id w:val="-496953947"/>
          <w:citation/>
        </w:sdtPr>
        <w:sdtEndPr/>
        <w:sdtContent>
          <w:r w:rsidRPr="00027624">
            <w:rPr>
              <w:rFonts w:eastAsiaTheme="minorEastAsia" w:cs="Calibri"/>
              <w:color w:val="000000"/>
              <w:lang w:eastAsia="en-US"/>
            </w:rPr>
            <w:fldChar w:fldCharType="begin"/>
          </w:r>
          <w:r w:rsidRPr="00027624">
            <w:rPr>
              <w:rFonts w:eastAsiaTheme="minorEastAsia" w:cs="Calibri"/>
              <w:color w:val="000000"/>
              <w:lang w:eastAsia="en-US"/>
            </w:rPr>
            <w:instrText xml:space="preserve"> CITATION OEC20 \l 3081 </w:instrText>
          </w:r>
          <w:r w:rsidRPr="00027624">
            <w:rPr>
              <w:rFonts w:eastAsiaTheme="minorEastAsia" w:cs="Calibri"/>
              <w:color w:val="000000"/>
              <w:lang w:eastAsia="en-US"/>
            </w:rPr>
            <w:fldChar w:fldCharType="separate"/>
          </w:r>
          <w:r w:rsidR="00E83F6E" w:rsidRPr="00E83F6E">
            <w:rPr>
              <w:rFonts w:eastAsiaTheme="minorEastAsia" w:cs="Calibri"/>
              <w:noProof/>
              <w:color w:val="000000"/>
              <w:lang w:eastAsia="en-US"/>
            </w:rPr>
            <w:t>(OECD, 2020b)</w:t>
          </w:r>
          <w:r w:rsidRPr="00027624">
            <w:rPr>
              <w:rFonts w:eastAsiaTheme="minorEastAsia" w:cs="Calibri"/>
              <w:color w:val="000000"/>
              <w:lang w:eastAsia="en-US"/>
            </w:rPr>
            <w:fldChar w:fldCharType="end"/>
          </w:r>
        </w:sdtContent>
      </w:sdt>
      <w:r w:rsidRPr="00027624">
        <w:rPr>
          <w:rFonts w:eastAsiaTheme="minorEastAsia" w:cs="Calibri"/>
          <w:color w:val="000000"/>
          <w:lang w:eastAsia="en-US"/>
        </w:rPr>
        <w:t>.</w:t>
      </w:r>
    </w:p>
    <w:tbl>
      <w:tblPr>
        <w:tblStyle w:val="TableGrid"/>
        <w:tblW w:w="5000" w:type="pct"/>
        <w:shd w:val="clear" w:color="auto" w:fill="FFF8EA"/>
        <w:tblLook w:val="04A0" w:firstRow="1" w:lastRow="0" w:firstColumn="1" w:lastColumn="0" w:noHBand="0" w:noVBand="1"/>
      </w:tblPr>
      <w:tblGrid>
        <w:gridCol w:w="9070"/>
      </w:tblGrid>
      <w:tr w:rsidR="00B3792F" w:rsidRPr="00027624" w14:paraId="490E4ED8" w14:textId="77777777" w:rsidTr="00B3792F">
        <w:tc>
          <w:tcPr>
            <w:tcW w:w="5000" w:type="pct"/>
            <w:shd w:val="clear" w:color="auto" w:fill="FFF8EA"/>
          </w:tcPr>
          <w:p w14:paraId="38133FA4" w14:textId="77777777" w:rsidR="00B3792F" w:rsidRPr="00027624" w:rsidRDefault="00B3792F" w:rsidP="00582C3E">
            <w:pPr>
              <w:pStyle w:val="BoxHeading"/>
            </w:pPr>
            <w:r w:rsidRPr="00027624">
              <w:lastRenderedPageBreak/>
              <w:t xml:space="preserve">Impact of changes to certain </w:t>
            </w:r>
            <w:r w:rsidRPr="00027624" w:rsidDel="00A550C5">
              <w:t>policy</w:t>
            </w:r>
            <w:r w:rsidRPr="00027624">
              <w:t xml:space="preserve"> settings on intergenerational equity</w:t>
            </w:r>
          </w:p>
          <w:p w14:paraId="557D355E" w14:textId="77777777" w:rsidR="00B3792F" w:rsidRPr="00027624" w:rsidRDefault="00B3792F" w:rsidP="00B3792F">
            <w:r w:rsidRPr="00027624">
              <w:t>A few submissions raised policy proposals to improve intergenerational equity. The following summary outlines some implications of some of those proposals.</w:t>
            </w:r>
          </w:p>
          <w:p w14:paraId="3F75393B" w14:textId="77777777" w:rsidR="00B3792F" w:rsidRPr="00027624" w:rsidRDefault="00B3792F" w:rsidP="00972849">
            <w:pPr>
              <w:pStyle w:val="Bullet"/>
              <w:numPr>
                <w:ilvl w:val="0"/>
                <w:numId w:val="44"/>
              </w:numPr>
              <w:ind w:left="284" w:hanging="284"/>
              <w:rPr>
                <w:b/>
              </w:rPr>
            </w:pPr>
            <w:r w:rsidRPr="00027624">
              <w:rPr>
                <w:b/>
              </w:rPr>
              <w:t>Increase the rate of SG</w:t>
            </w:r>
            <w:r w:rsidRPr="00027624">
              <w:rPr>
                <w:b/>
                <w:bCs/>
              </w:rPr>
              <w:t>.</w:t>
            </w:r>
            <w:r w:rsidRPr="00027624">
              <w:rPr>
                <w:bCs/>
              </w:rPr>
              <w:t xml:space="preserve"> This would increase the extent of cohort self</w:t>
            </w:r>
            <w:r w:rsidR="00A8443E" w:rsidRPr="00027624">
              <w:rPr>
                <w:bCs/>
              </w:rPr>
              <w:noBreakHyphen/>
            </w:r>
            <w:r w:rsidRPr="00027624">
              <w:rPr>
                <w:bCs/>
              </w:rPr>
              <w:t>funding in the system, as a smaller share of each generation</w:t>
            </w:r>
            <w:r w:rsidR="00A8443E" w:rsidRPr="00027624">
              <w:rPr>
                <w:bCs/>
              </w:rPr>
              <w:t>’</w:t>
            </w:r>
            <w:r w:rsidRPr="00027624">
              <w:rPr>
                <w:bCs/>
              </w:rPr>
              <w:t>s retirement incomes would be funded by the Age Pension.</w:t>
            </w:r>
            <w:r w:rsidRPr="00027624">
              <w:rPr>
                <w:b/>
              </w:rPr>
              <w:t xml:space="preserve"> </w:t>
            </w:r>
          </w:p>
          <w:p w14:paraId="0F215D5C" w14:textId="77777777" w:rsidR="00B3792F" w:rsidRPr="00027624" w:rsidRDefault="00B3792F" w:rsidP="00972849">
            <w:pPr>
              <w:pStyle w:val="Bullet"/>
              <w:numPr>
                <w:ilvl w:val="0"/>
                <w:numId w:val="44"/>
              </w:numPr>
              <w:ind w:left="284" w:hanging="284"/>
            </w:pPr>
            <w:r w:rsidRPr="00027624">
              <w:rPr>
                <w:b/>
              </w:rPr>
              <w:t xml:space="preserve">Change superannuation </w:t>
            </w:r>
            <w:r w:rsidRPr="00027624" w:rsidDel="000A2D39">
              <w:rPr>
                <w:b/>
              </w:rPr>
              <w:t>tax</w:t>
            </w:r>
            <w:r w:rsidRPr="00027624">
              <w:rPr>
                <w:b/>
              </w:rPr>
              <w:t xml:space="preserve"> concessions</w:t>
            </w:r>
            <w:r w:rsidRPr="00027624">
              <w:rPr>
                <w:b/>
                <w:bCs/>
              </w:rPr>
              <w:t>.</w:t>
            </w:r>
            <w:r w:rsidRPr="00027624">
              <w:rPr>
                <w:bCs/>
              </w:rPr>
              <w:t xml:space="preserve"> Changes to contributions tax concessions would have little effect on intergenerational equity.</w:t>
            </w:r>
            <w:r w:rsidRPr="00027624">
              <w:rPr>
                <w:b/>
              </w:rPr>
              <w:t xml:space="preserve"> </w:t>
            </w:r>
            <w:r w:rsidRPr="00027624">
              <w:t>Reducing tax concessions on earnings of assets held in the retirement phase would improve intergenerational equity by reducing the cost of these concessions to working</w:t>
            </w:r>
            <w:r w:rsidR="00A8443E" w:rsidRPr="00027624">
              <w:noBreakHyphen/>
            </w:r>
            <w:r w:rsidRPr="00027624">
              <w:t>age people.</w:t>
            </w:r>
          </w:p>
          <w:p w14:paraId="0E074C7F" w14:textId="77777777" w:rsidR="00B3792F" w:rsidRPr="00027624" w:rsidRDefault="00B3792F" w:rsidP="00B3792F">
            <w:pPr>
              <w:pStyle w:val="BoxBullet"/>
              <w:rPr>
                <w:rFonts w:asciiTheme="minorHAnsi" w:eastAsiaTheme="minorEastAsia" w:hAnsiTheme="minorHAnsi"/>
              </w:rPr>
            </w:pPr>
            <w:r w:rsidRPr="00027624">
              <w:rPr>
                <w:b/>
                <w:bCs/>
              </w:rPr>
              <w:t>Encourage people to spend more of their savings in retirement</w:t>
            </w:r>
            <w:r w:rsidRPr="00027624">
              <w:rPr>
                <w:b/>
              </w:rPr>
              <w:t>.</w:t>
            </w:r>
            <w:r w:rsidRPr="00027624">
              <w:t xml:space="preserve"> This would likely reduce wealth inequality among future generations. Inheritances would be lower if retirees consumed a higher proportion of their savings during retirement, rather than dying with the majority of the wealth they had at retirement. Given inheritances are distributed unequally, this would assist in reducing intragenerational wealth inequality for future generations, but would mean some current younger people are less prepared for retirement. </w:t>
            </w:r>
          </w:p>
        </w:tc>
      </w:tr>
    </w:tbl>
    <w:p w14:paraId="44F3A2D7" w14:textId="77777777" w:rsidR="00B3792F" w:rsidRPr="00027624" w:rsidRDefault="00B3792F" w:rsidP="00B3792F"/>
    <w:p w14:paraId="51BADAEF" w14:textId="77777777" w:rsidR="001B6C0B" w:rsidRPr="00027624" w:rsidRDefault="001B6C0B" w:rsidP="00B3792F">
      <w:pPr>
        <w:sectPr w:rsidR="001B6C0B" w:rsidRPr="00027624" w:rsidSect="001B6C0B">
          <w:type w:val="oddPage"/>
          <w:pgSz w:w="11906" w:h="16838" w:code="9"/>
          <w:pgMar w:top="1418" w:right="1418" w:bottom="1418" w:left="1418" w:header="709" w:footer="709" w:gutter="0"/>
          <w:cols w:space="708"/>
          <w:titlePg/>
          <w:docGrid w:linePitch="360"/>
        </w:sectPr>
      </w:pPr>
      <w:bookmarkStart w:id="4010" w:name="_Toc33528006"/>
      <w:bookmarkStart w:id="4011" w:name="_Toc40278937"/>
      <w:bookmarkStart w:id="4012" w:name="_Toc40280528"/>
      <w:bookmarkEnd w:id="4010"/>
      <w:bookmarkEnd w:id="4011"/>
      <w:bookmarkEnd w:id="4012"/>
    </w:p>
    <w:p w14:paraId="086DF1F2" w14:textId="77777777" w:rsidR="00BC6F14" w:rsidRPr="00027624" w:rsidRDefault="00883EEA" w:rsidP="00BC6F14">
      <w:bookmarkStart w:id="4013" w:name="_Toc45520537"/>
      <w:r w:rsidRPr="00027624">
        <w:rPr>
          <w:noProof/>
        </w:rPr>
        <w:lastRenderedPageBreak/>
        <w:drawing>
          <wp:anchor distT="0" distB="0" distL="114300" distR="114300" simplePos="0" relativeHeight="251658246" behindDoc="1" locked="0" layoutInCell="1" allowOverlap="1" wp14:anchorId="5299B74C" wp14:editId="6E19D06C">
            <wp:simplePos x="0" y="0"/>
            <wp:positionH relativeFrom="page">
              <wp:align>center</wp:align>
            </wp:positionH>
            <wp:positionV relativeFrom="page">
              <wp:align>top</wp:align>
            </wp:positionV>
            <wp:extent cx="7567200" cy="10706400"/>
            <wp:effectExtent l="0" t="0" r="0" b="0"/>
            <wp:wrapNone/>
            <wp:docPr id="255367801" name="Picture 25536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567200" cy="10706400"/>
                    </a:xfrm>
                    <a:prstGeom prst="rect">
                      <a:avLst/>
                    </a:prstGeom>
                    <a:noFill/>
                  </pic:spPr>
                </pic:pic>
              </a:graphicData>
            </a:graphic>
            <wp14:sizeRelH relativeFrom="page">
              <wp14:pctWidth>0</wp14:pctWidth>
            </wp14:sizeRelH>
            <wp14:sizeRelV relativeFrom="page">
              <wp14:pctHeight>0</wp14:pctHeight>
            </wp14:sizeRelV>
          </wp:anchor>
        </w:drawing>
      </w:r>
    </w:p>
    <w:p w14:paraId="7CE792B3" w14:textId="77777777" w:rsidR="002A2FAE" w:rsidRPr="00027624" w:rsidRDefault="002A2FAE" w:rsidP="002A2FAE">
      <w:pPr>
        <w:pStyle w:val="Chapterheading"/>
        <w:spacing w:before="1080"/>
        <w:ind w:left="2126"/>
      </w:pPr>
      <w:bookmarkStart w:id="4014" w:name="_Toc46133649"/>
      <w:r w:rsidRPr="00027624">
        <w:t>Sustainability</w:t>
      </w:r>
      <w:bookmarkEnd w:id="4013"/>
      <w:bookmarkEnd w:id="4014"/>
    </w:p>
    <w:p w14:paraId="5AF3C94C" w14:textId="77777777" w:rsidR="002A2FAE" w:rsidRPr="00027624" w:rsidRDefault="002A2FAE" w:rsidP="002A2FAE">
      <w:pPr>
        <w:pStyle w:val="Heading2"/>
      </w:pPr>
      <w:bookmarkStart w:id="4015" w:name="_Toc45520538"/>
      <w:bookmarkStart w:id="4016" w:name="_Toc46133650"/>
      <w:r w:rsidRPr="00027624">
        <w:t>Outline of this chapter</w:t>
      </w:r>
      <w:bookmarkEnd w:id="4015"/>
      <w:bookmarkEnd w:id="4016"/>
    </w:p>
    <w:p w14:paraId="557E5494" w14:textId="77777777" w:rsidR="002A2FAE" w:rsidRPr="00027624" w:rsidRDefault="002A2FAE" w:rsidP="002A2FAE">
      <w:r w:rsidRPr="00027624">
        <w:t>This chapter considers the sustainability of the retirement income system. The costs of the system analysed include: Age Pension expenditure, superannuation tax concessions, the superannuation fees paid by members and social transfers in kind.</w:t>
      </w:r>
    </w:p>
    <w:p w14:paraId="6A7FA826" w14:textId="77777777" w:rsidR="002A2FAE" w:rsidRPr="00027624" w:rsidRDefault="002A2FAE" w:rsidP="002A2FAE">
      <w:r w:rsidRPr="00027624">
        <w:t>This chapter is organised in five parts:</w:t>
      </w:r>
    </w:p>
    <w:p w14:paraId="3E62B9B5" w14:textId="77777777" w:rsidR="002A2FAE" w:rsidRPr="00027624" w:rsidRDefault="002A2FAE" w:rsidP="00FC7361">
      <w:pPr>
        <w:pStyle w:val="OutlineNumbered1"/>
        <w:numPr>
          <w:ilvl w:val="0"/>
          <w:numId w:val="91"/>
        </w:numPr>
        <w:ind w:left="908" w:hanging="454"/>
      </w:pPr>
      <w:r w:rsidRPr="00027624">
        <w:t>Historical system costs.</w:t>
      </w:r>
    </w:p>
    <w:p w14:paraId="6C7B30EA" w14:textId="77777777" w:rsidR="002A2FAE" w:rsidRPr="00027624" w:rsidRDefault="002A2FAE" w:rsidP="00716CEE">
      <w:pPr>
        <w:pStyle w:val="OutlineNumbered1"/>
      </w:pPr>
      <w:r w:rsidRPr="00027624">
        <w:t>Projected future system costs.</w:t>
      </w:r>
    </w:p>
    <w:p w14:paraId="4D106AE2" w14:textId="77777777" w:rsidR="002A2FAE" w:rsidRPr="00027624" w:rsidRDefault="002A2FAE" w:rsidP="00716CEE">
      <w:pPr>
        <w:pStyle w:val="OutlineNumbered1"/>
      </w:pPr>
      <w:r w:rsidRPr="00027624">
        <w:t>The</w:t>
      </w:r>
      <w:r w:rsidRPr="00027624" w:rsidDel="007A5039">
        <w:t xml:space="preserve"> </w:t>
      </w:r>
      <w:r w:rsidRPr="00027624">
        <w:t>cost</w:t>
      </w:r>
      <w:r w:rsidR="00A8443E" w:rsidRPr="00027624">
        <w:noBreakHyphen/>
      </w:r>
      <w:r w:rsidRPr="00027624">
        <w:t>effectiveness of the retirement income system, including how Government support is allocated to promote adequate retirement outcomes.</w:t>
      </w:r>
    </w:p>
    <w:p w14:paraId="09E12CE8" w14:textId="77777777" w:rsidR="002A2FAE" w:rsidRPr="00027624" w:rsidRDefault="002A2FAE" w:rsidP="00716CEE">
      <w:pPr>
        <w:pStyle w:val="OutlineNumbered1"/>
      </w:pPr>
      <w:r w:rsidRPr="00027624">
        <w:t>The potential effects of alternative trends, including lower returns, lower wage growth and lower superannuation account fees.</w:t>
      </w:r>
    </w:p>
    <w:p w14:paraId="1E847ABA" w14:textId="77777777" w:rsidR="002A2FAE" w:rsidRPr="00027624" w:rsidRDefault="002A2FAE" w:rsidP="00716CEE">
      <w:pPr>
        <w:pStyle w:val="OutlineNumbered1"/>
      </w:pPr>
      <w:r w:rsidRPr="00027624">
        <w:t>Public confidence, including the effects of economic and integrity shocks on confidence, as well as policy changes and how to achieve reform without undermining confidence.</w:t>
      </w:r>
    </w:p>
    <w:p w14:paraId="5B64FF1F" w14:textId="4932F832" w:rsidR="002A2FAE" w:rsidRPr="00027624" w:rsidRDefault="002A2FAE" w:rsidP="002A2FAE">
      <w:r w:rsidRPr="00027624">
        <w:t>The immediate (and likely ongoing) detrimental impact on financial and labour markets of the COVID</w:t>
      </w:r>
      <w:r w:rsidR="00A8443E" w:rsidRPr="00027624">
        <w:noBreakHyphen/>
      </w:r>
      <w:r w:rsidRPr="00027624">
        <w:t xml:space="preserve">19 Pandemic is not reflected in baseline projections. However, </w:t>
      </w:r>
      <w:r w:rsidRPr="00027624">
        <w:fldChar w:fldCharType="begin"/>
      </w:r>
      <w:r w:rsidRPr="00027624">
        <w:instrText xml:space="preserve"> REF _Ref41920147 \r \h  \* MERGEFORMAT </w:instrText>
      </w:r>
      <w:r w:rsidRPr="00027624">
        <w:fldChar w:fldCharType="separate"/>
      </w:r>
      <w:r w:rsidR="00891058">
        <w:t>Box 4A-4</w:t>
      </w:r>
      <w:r w:rsidRPr="00027624">
        <w:fldChar w:fldCharType="end"/>
      </w:r>
      <w:r w:rsidRPr="00027624">
        <w:t xml:space="preserve"> contains analysis using Treasury</w:t>
      </w:r>
      <w:r w:rsidR="00A8443E" w:rsidRPr="00027624">
        <w:t>’</w:t>
      </w:r>
      <w:r w:rsidRPr="00027624">
        <w:t>s MARIA (Model of Australian Retirement Incomes and Assets) model of a large, but short</w:t>
      </w:r>
      <w:r w:rsidR="00A8443E" w:rsidRPr="00027624">
        <w:noBreakHyphen/>
      </w:r>
      <w:r w:rsidRPr="00027624">
        <w:t>term, shock to superannuation and how it impacts the retirement income system in the long term.</w:t>
      </w:r>
    </w:p>
    <w:p w14:paraId="4C9C2206" w14:textId="77777777" w:rsidR="001B6C0B" w:rsidRPr="00027624" w:rsidRDefault="001B6C0B">
      <w:pPr>
        <w:spacing w:before="0" w:after="160" w:line="259" w:lineRule="auto"/>
        <w:rPr>
          <w:b/>
          <w:color w:val="604878" w:themeColor="accent3"/>
          <w:sz w:val="26"/>
          <w:szCs w:val="26"/>
        </w:rPr>
        <w:sectPr w:rsidR="001B6C0B" w:rsidRPr="00027624" w:rsidSect="001B6C0B">
          <w:headerReference w:type="first" r:id="rId301"/>
          <w:footerReference w:type="first" r:id="rId302"/>
          <w:type w:val="oddPage"/>
          <w:pgSz w:w="11906" w:h="16838" w:code="9"/>
          <w:pgMar w:top="1418" w:right="1418" w:bottom="1418" w:left="1418" w:header="709" w:footer="709" w:gutter="0"/>
          <w:cols w:space="708"/>
          <w:titlePg/>
          <w:docGrid w:linePitch="360"/>
        </w:sectPr>
      </w:pPr>
    </w:p>
    <w:p w14:paraId="1CD23140" w14:textId="77777777" w:rsidR="002A2FAE" w:rsidRPr="00027624" w:rsidRDefault="002A2FAE" w:rsidP="00FC7361">
      <w:pPr>
        <w:pStyle w:val="Heading1"/>
        <w:numPr>
          <w:ilvl w:val="1"/>
          <w:numId w:val="28"/>
        </w:numPr>
      </w:pPr>
      <w:bookmarkStart w:id="4017" w:name="_Toc31209579"/>
      <w:bookmarkStart w:id="4018" w:name="_Toc31270941"/>
      <w:bookmarkStart w:id="4019" w:name="_Toc31274385"/>
      <w:bookmarkStart w:id="4020" w:name="_Toc31276217"/>
      <w:bookmarkStart w:id="4021" w:name="_Toc31352215"/>
      <w:bookmarkStart w:id="4022" w:name="_Toc31720358"/>
      <w:bookmarkStart w:id="4023" w:name="_Toc34644110"/>
      <w:bookmarkStart w:id="4024" w:name="_Toc45520539"/>
      <w:bookmarkStart w:id="4025" w:name="_Toc46133651"/>
      <w:r w:rsidRPr="00027624">
        <w:lastRenderedPageBreak/>
        <w:t>Sustainability</w:t>
      </w:r>
      <w:bookmarkEnd w:id="4017"/>
      <w:bookmarkEnd w:id="4018"/>
      <w:bookmarkEnd w:id="4019"/>
      <w:bookmarkEnd w:id="4020"/>
      <w:bookmarkEnd w:id="4021"/>
      <w:bookmarkEnd w:id="4022"/>
      <w:bookmarkEnd w:id="4023"/>
      <w:bookmarkEnd w:id="4024"/>
      <w:bookmarkEnd w:id="4025"/>
    </w:p>
    <w:tbl>
      <w:tblPr>
        <w:tblW w:w="5000" w:type="pct"/>
        <w:shd w:val="clear" w:color="auto" w:fill="DFD7E7" w:themeFill="accent3" w:themeFillTint="33"/>
        <w:tblLook w:val="01E0" w:firstRow="1" w:lastRow="1" w:firstColumn="1" w:lastColumn="1" w:noHBand="0" w:noVBand="0"/>
      </w:tblPr>
      <w:tblGrid>
        <w:gridCol w:w="9070"/>
      </w:tblGrid>
      <w:tr w:rsidR="002A2FAE" w:rsidRPr="00027624" w14:paraId="198F0663" w14:textId="77777777" w:rsidTr="002A2FAE">
        <w:tc>
          <w:tcPr>
            <w:tcW w:w="5000" w:type="pct"/>
            <w:shd w:val="clear" w:color="auto" w:fill="DFD7E7" w:themeFill="accent3" w:themeFillTint="33"/>
          </w:tcPr>
          <w:p w14:paraId="46B81B66" w14:textId="77777777" w:rsidR="002A2FAE" w:rsidRPr="00027624" w:rsidRDefault="002A2FAE" w:rsidP="00FC7361">
            <w:pPr>
              <w:pStyle w:val="BoxHeading"/>
              <w:numPr>
                <w:ilvl w:val="5"/>
                <w:numId w:val="28"/>
              </w:numPr>
              <w:spacing w:before="120"/>
            </w:pPr>
            <w:r w:rsidRPr="00027624">
              <w:t>Chapter summary</w:t>
            </w:r>
          </w:p>
          <w:p w14:paraId="1FFFE5E8" w14:textId="77777777" w:rsidR="002A2FAE" w:rsidRPr="00027624" w:rsidRDefault="002A2FAE" w:rsidP="002A2FAE">
            <w:pPr>
              <w:pStyle w:val="BoxBullet"/>
            </w:pPr>
            <w:r w:rsidRPr="00027624">
              <w:rPr>
                <w:b/>
                <w:bCs/>
              </w:rPr>
              <w:t xml:space="preserve">Under current policy settings, the total projected cost of Age Pension expenditure and superannuation tax concessions together is estimated to grow from 4.6 per cent of GDP today to 5 per cent by 2060. </w:t>
            </w:r>
            <w:r w:rsidRPr="00027624">
              <w:t>The overall increase is projected to be due to the growing future cost of earnings tax concessions.</w:t>
            </w:r>
          </w:p>
          <w:p w14:paraId="3723C48E" w14:textId="77777777" w:rsidR="002A2FAE" w:rsidRPr="00027624" w:rsidRDefault="002A2FAE" w:rsidP="002A2FAE">
            <w:pPr>
              <w:pStyle w:val="BoxBullet"/>
            </w:pPr>
            <w:r w:rsidRPr="00027624">
              <w:rPr>
                <w:b/>
                <w:bCs/>
              </w:rPr>
              <w:t>Age Pension spending has been stable over the past 20 years and is projected to fall moderately as a percentage of GDP over the next 40 years</w:t>
            </w:r>
            <w:r w:rsidRPr="00027624">
              <w:rPr>
                <w:b/>
              </w:rPr>
              <w:t>.</w:t>
            </w:r>
            <w:r w:rsidRPr="00027624">
              <w:t xml:space="preserve"> This is despite growth in the maximum payment rate and the number of retirees. Higher superannuation balances driven by a maturing system, combined with means testing, will continue to constrain Government spending on the Age Pension.</w:t>
            </w:r>
          </w:p>
          <w:p w14:paraId="72385C2A" w14:textId="77777777" w:rsidR="002A2FAE" w:rsidRPr="00027624" w:rsidRDefault="002A2FAE" w:rsidP="002A2FAE">
            <w:pPr>
              <w:pStyle w:val="BoxBullet"/>
              <w:rPr>
                <w:b/>
                <w:bCs/>
              </w:rPr>
            </w:pPr>
            <w:r w:rsidRPr="00027624">
              <w:rPr>
                <w:b/>
                <w:bCs/>
              </w:rPr>
              <w:t>The cost of superannuation tax concessions</w:t>
            </w:r>
            <w:r w:rsidR="00A8443E" w:rsidRPr="00027624">
              <w:rPr>
                <w:b/>
                <w:bCs/>
              </w:rPr>
              <w:t xml:space="preserve"> — </w:t>
            </w:r>
            <w:r w:rsidRPr="00027624">
              <w:rPr>
                <w:b/>
                <w:bCs/>
              </w:rPr>
              <w:t>although difficult to measure</w:t>
            </w:r>
            <w:r w:rsidR="00A8443E" w:rsidRPr="00027624">
              <w:rPr>
                <w:b/>
                <w:bCs/>
              </w:rPr>
              <w:t xml:space="preserve"> — </w:t>
            </w:r>
            <w:r w:rsidRPr="00027624">
              <w:rPr>
                <w:b/>
                <w:bCs/>
              </w:rPr>
              <w:t xml:space="preserve">is projected to increase as a percentage of GDP as the superannuation system matures. </w:t>
            </w:r>
            <w:r w:rsidRPr="00027624">
              <w:rPr>
                <w:bCs/>
              </w:rPr>
              <w:t xml:space="preserve">This is </w:t>
            </w:r>
            <w:r w:rsidRPr="00027624">
              <w:t>projected</w:t>
            </w:r>
            <w:r w:rsidRPr="00027624">
              <w:rPr>
                <w:bCs/>
              </w:rPr>
              <w:t xml:space="preserve"> to </w:t>
            </w:r>
            <w:r w:rsidRPr="00027624">
              <w:t xml:space="preserve">be due to growing </w:t>
            </w:r>
            <w:r w:rsidRPr="00027624">
              <w:rPr>
                <w:bCs/>
              </w:rPr>
              <w:t xml:space="preserve">earnings tax concessions. </w:t>
            </w:r>
            <w:r w:rsidRPr="00027624">
              <w:t>Recent tightening of caps on contributions should help contain superannuation contributions tax concessions into the future. Earnings tax concessions increase as the system grows and are not subject to direct caps.</w:t>
            </w:r>
          </w:p>
          <w:p w14:paraId="7734BCA1" w14:textId="77777777" w:rsidR="002A2FAE" w:rsidRPr="00027624" w:rsidRDefault="002A2FAE" w:rsidP="002A2FAE">
            <w:pPr>
              <w:pStyle w:val="BoxBullet"/>
              <w:rPr>
                <w:b/>
                <w:bCs/>
              </w:rPr>
            </w:pPr>
            <w:r w:rsidRPr="00027624">
              <w:rPr>
                <w:b/>
                <w:bCs/>
              </w:rPr>
              <w:t>Social transfers in kind are substantial and increasing</w:t>
            </w:r>
            <w:r w:rsidRPr="00027624">
              <w:rPr>
                <w:b/>
              </w:rPr>
              <w:t xml:space="preserve">. </w:t>
            </w:r>
            <w:r w:rsidRPr="00027624">
              <w:t>This is mostly due to increasing Medicare and aged care expenditure.</w:t>
            </w:r>
          </w:p>
          <w:p w14:paraId="3D35529E" w14:textId="77777777" w:rsidR="002A2FAE" w:rsidRPr="00027624" w:rsidRDefault="002A2FAE" w:rsidP="002A2FAE">
            <w:pPr>
              <w:pStyle w:val="BoxBullet"/>
            </w:pPr>
            <w:r w:rsidRPr="00027624">
              <w:rPr>
                <w:b/>
                <w:bCs/>
              </w:rPr>
              <w:t>Superannuation tax concessions boost retirement incomes across the income distribution</w:t>
            </w:r>
            <w:r w:rsidRPr="00027624">
              <w:t>. They increase retirement incomes most for households at the higher end of the income distribution. Superannuation tax concessions cost more than the Age Pension savings they produce across the income distribution.</w:t>
            </w:r>
          </w:p>
          <w:p w14:paraId="41AF410E" w14:textId="77777777" w:rsidR="002A2FAE" w:rsidRPr="00027624" w:rsidRDefault="002A2FAE" w:rsidP="002A2FAE">
            <w:pPr>
              <w:pStyle w:val="BoxBullet"/>
              <w:rPr>
                <w:b/>
                <w:bCs/>
              </w:rPr>
            </w:pPr>
            <w:r w:rsidRPr="00027624">
              <w:rPr>
                <w:b/>
                <w:bCs/>
              </w:rPr>
              <w:t>The retirement income system is robust to changes to trends such as reductions in earnings and wages growth</w:t>
            </w:r>
            <w:r w:rsidRPr="00027624">
              <w:rPr>
                <w:b/>
              </w:rPr>
              <w:t>.</w:t>
            </w:r>
            <w:r w:rsidRPr="00027624">
              <w:rPr>
                <w:b/>
                <w:bCs/>
              </w:rPr>
              <w:t xml:space="preserve"> </w:t>
            </w:r>
            <w:r w:rsidRPr="00027624">
              <w:t>Lower earnings and lower wages would reduce incomes in retirement from superannuation, but Age Pension income would cushion this impact for people. Lower fees would reduce the cost of the system and improve outcomes for people in retirement.</w:t>
            </w:r>
          </w:p>
          <w:p w14:paraId="7B5F7EC3" w14:textId="77777777" w:rsidR="002A2FAE" w:rsidRPr="00027624" w:rsidRDefault="002A2FAE" w:rsidP="002A2FAE">
            <w:pPr>
              <w:pStyle w:val="BoxBullet"/>
              <w:rPr>
                <w:b/>
              </w:rPr>
            </w:pPr>
            <w:r w:rsidRPr="00027624">
              <w:rPr>
                <w:b/>
              </w:rPr>
              <w:t xml:space="preserve">Public confidence can be undermined by </w:t>
            </w:r>
            <w:r w:rsidRPr="00027624">
              <w:rPr>
                <w:b/>
                <w:bCs/>
              </w:rPr>
              <w:t xml:space="preserve">poorly executed </w:t>
            </w:r>
            <w:r w:rsidRPr="00027624">
              <w:rPr>
                <w:b/>
              </w:rPr>
              <w:t xml:space="preserve">policy </w:t>
            </w:r>
            <w:r w:rsidRPr="00027624">
              <w:rPr>
                <w:b/>
                <w:bCs/>
              </w:rPr>
              <w:t>changes</w:t>
            </w:r>
            <w:r w:rsidRPr="00027624">
              <w:rPr>
                <w:b/>
              </w:rPr>
              <w:t xml:space="preserve">, economic shocks, </w:t>
            </w:r>
            <w:r w:rsidRPr="00027624">
              <w:rPr>
                <w:b/>
                <w:bCs/>
              </w:rPr>
              <w:t xml:space="preserve">concerns over </w:t>
            </w:r>
            <w:r w:rsidRPr="00027624">
              <w:rPr>
                <w:b/>
              </w:rPr>
              <w:t>system integrity or a general mismatch between expectations and outcomes.</w:t>
            </w:r>
            <w:r w:rsidRPr="00027624" w:rsidDel="00F75FF0">
              <w:t xml:space="preserve"> </w:t>
            </w:r>
            <w:r w:rsidRPr="00027624">
              <w:t>Broadly, the Australian system appears to enjoy reasonable levels of public confidence.</w:t>
            </w:r>
          </w:p>
        </w:tc>
      </w:tr>
    </w:tbl>
    <w:p w14:paraId="1EF4CE12" w14:textId="77777777" w:rsidR="002A2FAE" w:rsidRPr="00027624" w:rsidRDefault="002A2FAE" w:rsidP="00BC6F14">
      <w:pPr>
        <w:pStyle w:val="SingleParagraph"/>
      </w:pP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2A2FAE" w:rsidRPr="00027624" w14:paraId="1A55DAEC" w14:textId="77777777" w:rsidTr="002A2FAE">
        <w:tc>
          <w:tcPr>
            <w:tcW w:w="5000" w:type="pct"/>
            <w:shd w:val="clear" w:color="auto" w:fill="FFF8EA"/>
          </w:tcPr>
          <w:p w14:paraId="309254AB" w14:textId="77777777" w:rsidR="002A2FAE" w:rsidRPr="00027624" w:rsidRDefault="002A2FAE" w:rsidP="00FC7361">
            <w:pPr>
              <w:pStyle w:val="BoxHeading"/>
              <w:numPr>
                <w:ilvl w:val="5"/>
                <w:numId w:val="28"/>
              </w:numPr>
              <w:spacing w:before="120"/>
            </w:pPr>
            <w:r w:rsidRPr="00027624">
              <w:t>Stakeholder views on sustainability</w:t>
            </w:r>
          </w:p>
          <w:p w14:paraId="78C6EC93" w14:textId="77777777" w:rsidR="002A2FAE" w:rsidRPr="00027624" w:rsidRDefault="002A2FAE" w:rsidP="002A2FAE">
            <w:pPr>
              <w:pStyle w:val="BoxText"/>
            </w:pPr>
            <w:r w:rsidRPr="00027624">
              <w:t>Some</w:t>
            </w:r>
            <w:r w:rsidRPr="00027624" w:rsidDel="00EF2FA8">
              <w:t xml:space="preserve"> </w:t>
            </w:r>
            <w:r w:rsidR="00913645" w:rsidRPr="00027624">
              <w:t xml:space="preserve">stakeholders </w:t>
            </w:r>
            <w:r w:rsidRPr="00027624">
              <w:t>suggested taking a whole</w:t>
            </w:r>
            <w:r w:rsidR="00A8443E" w:rsidRPr="00027624">
              <w:noBreakHyphen/>
            </w:r>
            <w:r w:rsidRPr="00027624">
              <w:t>of</w:t>
            </w:r>
            <w:r w:rsidR="00A8443E" w:rsidRPr="00027624">
              <w:noBreakHyphen/>
            </w:r>
            <w:r w:rsidRPr="00027624">
              <w:t xml:space="preserve">system perspective when analysing sustainability, incorporating public funding and private savings, alongside assessing intergenerational equity (addressed in </w:t>
            </w:r>
            <w:r w:rsidRPr="00027624">
              <w:rPr>
                <w:i/>
              </w:rPr>
              <w:t>3H.</w:t>
            </w:r>
            <w:r w:rsidRPr="00027624">
              <w:t xml:space="preserve"> </w:t>
            </w:r>
            <w:r w:rsidRPr="00027624">
              <w:rPr>
                <w:i/>
                <w:iCs/>
              </w:rPr>
              <w:t>Intergenerational equity</w:t>
            </w:r>
            <w:r w:rsidRPr="00027624">
              <w:t>).</w:t>
            </w:r>
          </w:p>
          <w:p w14:paraId="026EB60C" w14:textId="77777777" w:rsidR="002A2FAE" w:rsidRPr="00027624" w:rsidRDefault="00A8443E" w:rsidP="002A2FAE">
            <w:pPr>
              <w:pStyle w:val="Quote"/>
              <w:rPr>
                <w:i w:val="0"/>
                <w:iCs w:val="0"/>
              </w:rPr>
            </w:pPr>
            <w:r w:rsidRPr="00027624">
              <w:t>‘</w:t>
            </w:r>
            <w:r w:rsidR="002A2FAE" w:rsidRPr="00027624">
              <w:t>… the sustainability of the Retirement Income System as a whole depends on the overall cost of the Age Pension, superannuation concessions and tax treatment of other assets and income.</w:t>
            </w:r>
            <w:r w:rsidRPr="00027624">
              <w:t>’</w:t>
            </w:r>
            <w:sdt>
              <w:sdtPr>
                <w:id w:val="-1131542020"/>
                <w:citation/>
              </w:sdtPr>
              <w:sdtEndPr/>
              <w:sdtContent>
                <w:r w:rsidR="002A2FAE" w:rsidRPr="00027624">
                  <w:fldChar w:fldCharType="begin"/>
                </w:r>
                <w:r w:rsidR="002A2FAE" w:rsidRPr="00027624">
                  <w:instrText xml:space="preserve">CITATION COT20 \p 37 \l 3081 </w:instrText>
                </w:r>
                <w:r w:rsidR="002A2FAE" w:rsidRPr="00027624">
                  <w:fldChar w:fldCharType="separate"/>
                </w:r>
                <w:r w:rsidR="00E83F6E">
                  <w:rPr>
                    <w:noProof/>
                  </w:rPr>
                  <w:t xml:space="preserve"> (COTA, 2020, p. 37)</w:t>
                </w:r>
                <w:r w:rsidR="002A2FAE" w:rsidRPr="00027624">
                  <w:fldChar w:fldCharType="end"/>
                </w:r>
              </w:sdtContent>
            </w:sdt>
          </w:p>
          <w:p w14:paraId="6C4A9A89" w14:textId="77777777" w:rsidR="002A2FAE" w:rsidRPr="00027624" w:rsidRDefault="002A2FAE" w:rsidP="002A2FAE">
            <w:pPr>
              <w:pStyle w:val="BoxText"/>
            </w:pPr>
            <w:r w:rsidRPr="00027624">
              <w:t>Some</w:t>
            </w:r>
            <w:r w:rsidR="00913645" w:rsidRPr="00027624">
              <w:t xml:space="preserve"> stakeholders</w:t>
            </w:r>
            <w:r w:rsidRPr="00027624">
              <w:t xml:space="preserve"> recommended assessing whether the system was </w:t>
            </w:r>
            <w:r w:rsidR="00A8443E" w:rsidRPr="00027624">
              <w:t>‘</w:t>
            </w:r>
            <w:r w:rsidRPr="00027624">
              <w:t>good value</w:t>
            </w:r>
            <w:r w:rsidR="00A8443E" w:rsidRPr="00027624">
              <w:t>’</w:t>
            </w:r>
            <w:r w:rsidRPr="00027624">
              <w:t xml:space="preserve"> to taxpayers.</w:t>
            </w:r>
          </w:p>
          <w:p w14:paraId="0517721C" w14:textId="77777777" w:rsidR="002A2FAE" w:rsidRPr="00027624" w:rsidRDefault="00A8443E" w:rsidP="002A2FAE">
            <w:pPr>
              <w:pStyle w:val="Quote"/>
              <w:rPr>
                <w:i w:val="0"/>
                <w:iCs w:val="0"/>
              </w:rPr>
            </w:pPr>
            <w:r w:rsidRPr="00027624">
              <w:t>‘</w:t>
            </w:r>
            <w:r w:rsidR="002A2FAE" w:rsidRPr="00027624">
              <w:t>The key measure is whether taxpayers and members receive good value.</w:t>
            </w:r>
            <w:r w:rsidRPr="00027624">
              <w:t>’</w:t>
            </w:r>
            <w:r w:rsidR="002A2FAE" w:rsidRPr="00027624">
              <w:br/>
            </w:r>
            <w:sdt>
              <w:sdtPr>
                <w:rPr>
                  <w:i w:val="0"/>
                </w:rPr>
                <w:id w:val="-1622223870"/>
                <w:citation/>
              </w:sdtPr>
              <w:sdtEndPr/>
              <w:sdtContent>
                <w:r w:rsidR="002A2FAE" w:rsidRPr="00027624">
                  <w:rPr>
                    <w:i w:val="0"/>
                  </w:rPr>
                  <w:fldChar w:fldCharType="begin"/>
                </w:r>
                <w:r w:rsidR="002A2FAE" w:rsidRPr="00027624">
                  <w:rPr>
                    <w:i w:val="0"/>
                  </w:rPr>
                  <w:instrText xml:space="preserve">CITATION Ric20 \p 24 \l 3081 </w:instrText>
                </w:r>
                <w:r w:rsidR="002A2FAE" w:rsidRPr="00027624">
                  <w:rPr>
                    <w:i w:val="0"/>
                  </w:rPr>
                  <w:fldChar w:fldCharType="separate"/>
                </w:r>
                <w:r w:rsidR="00E83F6E">
                  <w:rPr>
                    <w:noProof/>
                  </w:rPr>
                  <w:t>(Rice Warner, 2020, p. 24)</w:t>
                </w:r>
                <w:r w:rsidR="002A2FAE" w:rsidRPr="00027624">
                  <w:rPr>
                    <w:i w:val="0"/>
                  </w:rPr>
                  <w:fldChar w:fldCharType="end"/>
                </w:r>
              </w:sdtContent>
            </w:sdt>
          </w:p>
          <w:p w14:paraId="6F815BC9" w14:textId="77777777" w:rsidR="002A2FAE" w:rsidRPr="00027624" w:rsidRDefault="002A2FAE" w:rsidP="002A2FAE">
            <w:pPr>
              <w:pStyle w:val="BoxText"/>
            </w:pPr>
            <w:r w:rsidRPr="00027624">
              <w:t>Stakeholders considered means testing of the Age Pension and the compulsory nature of the Superannuation Guarantee (SG) play key roles in influencing the sustainability of the system. Tax concessions on superannuation and the concessional treatment of owner</w:t>
            </w:r>
            <w:r w:rsidR="00A8443E" w:rsidRPr="00027624">
              <w:noBreakHyphen/>
            </w:r>
            <w:r w:rsidRPr="00027624">
              <w:t>occupied housing in the Age Pension means test were identified as policies that decreased system sustainability. Many stakeholders were concerned about the sustainability of the cost of social transfers in kind, such as health and aged care benefits. One submission argued that while the retirement income system was sustainable, the same could not be said for aged care:</w:t>
            </w:r>
          </w:p>
          <w:p w14:paraId="50AB1006" w14:textId="77777777" w:rsidR="002A2FAE" w:rsidRPr="00027624" w:rsidRDefault="00A8443E" w:rsidP="002A2FAE">
            <w:pPr>
              <w:pStyle w:val="Quote"/>
              <w:rPr>
                <w:i w:val="0"/>
                <w:iCs w:val="0"/>
              </w:rPr>
            </w:pPr>
            <w:r w:rsidRPr="00027624">
              <w:lastRenderedPageBreak/>
              <w:t>‘</w:t>
            </w:r>
            <w:r w:rsidR="002A2FAE" w:rsidRPr="00027624">
              <w:t>Government support for retirement incomes is affordable now and in the future. In contrast, the Commonwealth government faces significant long</w:t>
            </w:r>
            <w:r w:rsidRPr="00027624">
              <w:noBreakHyphen/>
            </w:r>
            <w:r w:rsidR="002A2FAE" w:rsidRPr="00027624">
              <w:t>term fiscal challenges from escalating future health and aged care expenses.</w:t>
            </w:r>
            <w:r w:rsidRPr="00027624">
              <w:t>’</w:t>
            </w:r>
            <w:sdt>
              <w:sdtPr>
                <w:id w:val="-1340530142"/>
                <w:citation/>
              </w:sdtPr>
              <w:sdtEndPr/>
              <w:sdtContent>
                <w:r w:rsidR="002A2FAE" w:rsidRPr="00027624">
                  <w:fldChar w:fldCharType="begin"/>
                </w:r>
                <w:r w:rsidR="002A2FAE" w:rsidRPr="00027624">
                  <w:instrText xml:space="preserve">CITATION ASF20Sub \p 22 \l 3081 </w:instrText>
                </w:r>
                <w:r w:rsidR="002A2FAE" w:rsidRPr="00027624">
                  <w:fldChar w:fldCharType="separate"/>
                </w:r>
                <w:r w:rsidR="00E83F6E">
                  <w:rPr>
                    <w:noProof/>
                  </w:rPr>
                  <w:t xml:space="preserve"> (ASFA, 2020a, p. 22)</w:t>
                </w:r>
                <w:r w:rsidR="002A2FAE" w:rsidRPr="00027624">
                  <w:fldChar w:fldCharType="end"/>
                </w:r>
              </w:sdtContent>
            </w:sdt>
          </w:p>
          <w:p w14:paraId="4D92A67F" w14:textId="77777777" w:rsidR="002A2FAE" w:rsidRPr="00027624" w:rsidRDefault="002A2FAE" w:rsidP="002A2FAE">
            <w:pPr>
              <w:pStyle w:val="BoxText"/>
            </w:pPr>
            <w:r w:rsidRPr="00027624">
              <w:t>More stakeholders raised concerns about the benefits of tax concessions being inequitably distributed, than about the sustainability of those concessions, although the two are linked. The large benefits going to higher</w:t>
            </w:r>
            <w:r w:rsidR="00A8443E" w:rsidRPr="00027624">
              <w:noBreakHyphen/>
            </w:r>
            <w:r w:rsidRPr="00027624">
              <w:t>income earners were often framed as inequitable and unsustainable.</w:t>
            </w:r>
          </w:p>
          <w:p w14:paraId="0E0A3AB2" w14:textId="77777777" w:rsidR="002A2FAE" w:rsidRPr="00027624" w:rsidRDefault="002A2FAE" w:rsidP="002A2FAE">
            <w:pPr>
              <w:pStyle w:val="BoxText"/>
            </w:pPr>
            <w:r w:rsidRPr="00027624">
              <w:t>Stakeholders noted that public confidence was essential to the sustainability of the system. Concerns raised centred on:</w:t>
            </w:r>
          </w:p>
          <w:p w14:paraId="397A6900" w14:textId="77777777" w:rsidR="002A2FAE" w:rsidRPr="00027624" w:rsidRDefault="002A2FAE" w:rsidP="002A2FAE">
            <w:pPr>
              <w:pStyle w:val="BoxBullet"/>
            </w:pPr>
            <w:r w:rsidRPr="00027624">
              <w:t>Whether complexity makes it difficult for people to understand and have confidence in the system</w:t>
            </w:r>
          </w:p>
          <w:p w14:paraId="281AF088" w14:textId="77777777" w:rsidR="002A2FAE" w:rsidRPr="00027624" w:rsidRDefault="002A2FAE" w:rsidP="002A2FAE">
            <w:pPr>
              <w:pStyle w:val="BoxBullet"/>
            </w:pPr>
            <w:r w:rsidRPr="00027624">
              <w:t>The frequency of policy changes</w:t>
            </w:r>
          </w:p>
          <w:p w14:paraId="2C8A487B" w14:textId="77777777" w:rsidR="002A2FAE" w:rsidRPr="00027624" w:rsidRDefault="002A2FAE" w:rsidP="002A2FAE">
            <w:pPr>
              <w:pStyle w:val="BoxBullet"/>
            </w:pPr>
            <w:r w:rsidRPr="00027624">
              <w:t xml:space="preserve">Misconduct and failings exposed by the </w:t>
            </w:r>
            <w:r w:rsidRPr="00027624" w:rsidDel="00564B68">
              <w:rPr>
                <w:i/>
              </w:rPr>
              <w:t>Royal Commission</w:t>
            </w:r>
            <w:r w:rsidRPr="00027624">
              <w:rPr>
                <w:i/>
              </w:rPr>
              <w:t xml:space="preserve"> into Misconduct in the Banking, Superannuation and Financial Services Industry</w:t>
            </w:r>
            <w:r w:rsidRPr="00027624">
              <w:t xml:space="preserve">, and the Productivity Commission report </w:t>
            </w:r>
            <w:r w:rsidRPr="00027624">
              <w:rPr>
                <w:i/>
              </w:rPr>
              <w:t>Superannuation: Assessing Efficiency and Competition</w:t>
            </w:r>
          </w:p>
          <w:p w14:paraId="500B5D91" w14:textId="77777777" w:rsidR="002A2FAE" w:rsidRPr="00027624" w:rsidRDefault="002A2FAE" w:rsidP="002A2FAE">
            <w:pPr>
              <w:pStyle w:val="BoxBullet"/>
            </w:pPr>
            <w:r w:rsidRPr="00027624">
              <w:t>A lack of trust in financial advice</w:t>
            </w:r>
          </w:p>
          <w:p w14:paraId="5F115712" w14:textId="77777777" w:rsidR="002A2FAE" w:rsidRPr="00027624" w:rsidRDefault="00A8443E" w:rsidP="002A2FAE">
            <w:pPr>
              <w:pStyle w:val="Quote"/>
              <w:rPr>
                <w:i w:val="0"/>
                <w:iCs w:val="0"/>
              </w:rPr>
            </w:pPr>
            <w:r w:rsidRPr="00027624">
              <w:t>‘</w:t>
            </w:r>
            <w:r w:rsidR="002A2FAE" w:rsidRPr="00027624">
              <w:t>National Seniors believes confidence in the retirement income system is impacted largely by perceptions about complexity, instability and unfairness.</w:t>
            </w:r>
            <w:r w:rsidRPr="00027624">
              <w:t>’</w:t>
            </w:r>
            <w:r w:rsidR="002A2FAE" w:rsidRPr="00027624">
              <w:t xml:space="preserve"> </w:t>
            </w:r>
            <w:r w:rsidR="002A2FAE" w:rsidRPr="00027624">
              <w:br/>
            </w:r>
            <w:sdt>
              <w:sdtPr>
                <w:rPr>
                  <w:i w:val="0"/>
                </w:rPr>
                <w:id w:val="-2080818719"/>
                <w:citation/>
              </w:sdtPr>
              <w:sdtEndPr/>
              <w:sdtContent>
                <w:r w:rsidR="002A2FAE" w:rsidRPr="00027624">
                  <w:rPr>
                    <w:i w:val="0"/>
                  </w:rPr>
                  <w:fldChar w:fldCharType="begin"/>
                </w:r>
                <w:r w:rsidR="002A2FAE" w:rsidRPr="00027624">
                  <w:rPr>
                    <w:i w:val="0"/>
                  </w:rPr>
                  <w:instrText xml:space="preserve">CITATION Nat20 \p 63 \l 3081 </w:instrText>
                </w:r>
                <w:r w:rsidR="002A2FAE" w:rsidRPr="00027624">
                  <w:rPr>
                    <w:i w:val="0"/>
                  </w:rPr>
                  <w:fldChar w:fldCharType="separate"/>
                </w:r>
                <w:r w:rsidR="00E83F6E">
                  <w:rPr>
                    <w:noProof/>
                  </w:rPr>
                  <w:t>(National Seniors Australia, 2020, p. 63)</w:t>
                </w:r>
                <w:r w:rsidR="002A2FAE" w:rsidRPr="00027624">
                  <w:rPr>
                    <w:i w:val="0"/>
                  </w:rPr>
                  <w:fldChar w:fldCharType="end"/>
                </w:r>
              </w:sdtContent>
            </w:sdt>
          </w:p>
          <w:p w14:paraId="37462DBF" w14:textId="77777777" w:rsidR="002A2FAE" w:rsidRPr="00027624" w:rsidRDefault="002A2FAE" w:rsidP="002A2FAE">
            <w:pPr>
              <w:pStyle w:val="BoxText"/>
            </w:pPr>
            <w:r w:rsidRPr="00027624">
              <w:t>Some stakeholders suggested the review should consider the impact of shocks or alternative trends, such as lower investment returns.</w:t>
            </w:r>
          </w:p>
        </w:tc>
      </w:tr>
    </w:tbl>
    <w:p w14:paraId="6ABC3DBD" w14:textId="77777777" w:rsidR="002A2FAE" w:rsidRPr="00027624" w:rsidRDefault="002A2FAE" w:rsidP="00AB09DB">
      <w:pPr>
        <w:pStyle w:val="Heading2"/>
        <w:spacing w:before="240"/>
      </w:pPr>
      <w:bookmarkStart w:id="4026" w:name="_Toc45520540"/>
      <w:bookmarkStart w:id="4027" w:name="_Toc46133652"/>
      <w:r w:rsidRPr="00027624">
        <w:rPr>
          <w:rFonts w:eastAsiaTheme="minorHAnsi"/>
        </w:rPr>
        <w:lastRenderedPageBreak/>
        <w:t>H</w:t>
      </w:r>
      <w:r w:rsidRPr="00027624">
        <w:t>istorical costs</w:t>
      </w:r>
      <w:bookmarkEnd w:id="4026"/>
      <w:bookmarkEnd w:id="4027"/>
    </w:p>
    <w:p w14:paraId="529969BB" w14:textId="18A647A6" w:rsidR="002A2FAE" w:rsidRPr="00027624" w:rsidRDefault="002A2FAE">
      <w:r w:rsidRPr="00027624">
        <w:rPr>
          <w:b/>
        </w:rPr>
        <w:t>The total cost of Age Pension expenditure and superannuation tax concessions</w:t>
      </w:r>
      <w:r w:rsidRPr="00027624">
        <w:rPr>
          <w:b/>
          <w:bCs/>
        </w:rPr>
        <w:t>, both contributions and earnings concessions, have</w:t>
      </w:r>
      <w:r w:rsidRPr="00027624">
        <w:rPr>
          <w:b/>
        </w:rPr>
        <w:t xml:space="preserve"> risen from 3.55 per cent of GDP in June 2001 to 4.52 per cent of GDP in June 2019</w:t>
      </w:r>
      <w:r w:rsidRPr="00027624">
        <w:t xml:space="preserve"> (</w:t>
      </w:r>
      <w:r w:rsidRPr="00027624">
        <w:fldChar w:fldCharType="begin"/>
      </w:r>
      <w:r w:rsidRPr="00027624">
        <w:instrText xml:space="preserve"> REF _Ref40702252 \r \h  \* MERGEFORMAT </w:instrText>
      </w:r>
      <w:r w:rsidRPr="00027624">
        <w:fldChar w:fldCharType="separate"/>
      </w:r>
      <w:r w:rsidR="00891058">
        <w:t>Chart 4A-1</w:t>
      </w:r>
      <w:r w:rsidRPr="00027624">
        <w:fldChar w:fldCharType="end"/>
      </w:r>
      <w:r w:rsidRPr="00027624">
        <w:t>)</w:t>
      </w:r>
      <w:r w:rsidRPr="00027624">
        <w:rPr>
          <w:b/>
          <w:bCs/>
        </w:rPr>
        <w:t>.</w:t>
      </w:r>
      <w:r w:rsidRPr="00027624">
        <w:t xml:space="preserve"> All components increased as a percentage of GDP over the period, although tax concessions have grown by more than Age Pension expenditure (0.8 percentage points</w:t>
      </w:r>
      <w:r w:rsidR="000527D4" w:rsidRPr="00027624">
        <w:t xml:space="preserve"> </w:t>
      </w:r>
      <w:r w:rsidRPr="00027624">
        <w:t>compared with 0.2 percentage points).</w:t>
      </w:r>
    </w:p>
    <w:p w14:paraId="6279FE41" w14:textId="77777777" w:rsidR="002A2FAE" w:rsidRPr="00027624" w:rsidRDefault="002A2FAE" w:rsidP="00FC7361">
      <w:pPr>
        <w:pStyle w:val="ChartMainHeading"/>
        <w:keepLines/>
        <w:numPr>
          <w:ilvl w:val="2"/>
          <w:numId w:val="29"/>
        </w:numPr>
      </w:pPr>
      <w:bookmarkStart w:id="4028" w:name="_Ref40702252"/>
      <w:r w:rsidRPr="00027624">
        <w:t>Total system cost</w:t>
      </w:r>
      <w:bookmarkEnd w:id="4028"/>
    </w:p>
    <w:p w14:paraId="7D1BDCD9" w14:textId="77777777" w:rsidR="002A2FAE" w:rsidRPr="00027624" w:rsidRDefault="002713F3" w:rsidP="00BC6F14">
      <w:pPr>
        <w:pStyle w:val="ChartGraphic"/>
        <w:keepLines/>
      </w:pPr>
      <w:r>
        <w:rPr>
          <w:noProof/>
        </w:rPr>
        <w:drawing>
          <wp:inline distT="0" distB="0" distL="0" distR="0" wp14:anchorId="6F5DBC10" wp14:editId="7A04A353">
            <wp:extent cx="5547360" cy="2522220"/>
            <wp:effectExtent l="0" t="0" r="0" b="0"/>
            <wp:docPr id="2050622970" name="Picture 2050622970" descr="This chart shows the gradual increase of Age Pension expenditure and superannuation tax concessions as a percentage of GDP over the past two decades." title="Chart 4A-1 Total system 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547360" cy="2522220"/>
                    </a:xfrm>
                    <a:prstGeom prst="rect">
                      <a:avLst/>
                    </a:prstGeom>
                    <a:noFill/>
                  </pic:spPr>
                </pic:pic>
              </a:graphicData>
            </a:graphic>
          </wp:inline>
        </w:drawing>
      </w:r>
    </w:p>
    <w:p w14:paraId="30F47DD9" w14:textId="77777777" w:rsidR="002A2FAE" w:rsidRPr="00027624" w:rsidRDefault="002A2FAE" w:rsidP="00BC6F14">
      <w:pPr>
        <w:pStyle w:val="ChartorTableNote"/>
        <w:keepLines/>
      </w:pPr>
      <w:r w:rsidRPr="00027624">
        <w:t>Note Age Pension expenditure includes supplementary allowances. The tax concessions</w:t>
      </w:r>
      <w:r w:rsidRPr="00027624">
        <w:rPr>
          <w:noProof/>
        </w:rPr>
        <w:t xml:space="preserve"> time series is presented to illustrate the general trend. The cost of tax concessions is estimated independently each year (i.e. there is no dynamic impact of the removal of concessions over time), and year</w:t>
      </w:r>
      <w:r w:rsidR="00A8443E" w:rsidRPr="00027624">
        <w:rPr>
          <w:noProof/>
        </w:rPr>
        <w:noBreakHyphen/>
      </w:r>
      <w:r w:rsidRPr="00027624">
        <w:rPr>
          <w:noProof/>
        </w:rPr>
        <w:t>to</w:t>
      </w:r>
      <w:r w:rsidR="00A8443E" w:rsidRPr="00027624">
        <w:rPr>
          <w:noProof/>
        </w:rPr>
        <w:noBreakHyphen/>
      </w:r>
      <w:r w:rsidRPr="00027624">
        <w:rPr>
          <w:noProof/>
        </w:rPr>
        <w:t xml:space="preserve">year estimates may be subject to changes in policy benchmarks, data, assumptions and methodology. </w:t>
      </w:r>
      <w:r w:rsidRPr="00027624">
        <w:t>Source: Analysis of Annual Report 2000</w:t>
      </w:r>
      <w:r w:rsidR="00A8443E" w:rsidRPr="00027624">
        <w:noBreakHyphen/>
      </w:r>
      <w:r w:rsidRPr="00027624">
        <w:t>2001 to 2018</w:t>
      </w:r>
      <w:r w:rsidR="00A8443E" w:rsidRPr="00027624">
        <w:noBreakHyphen/>
      </w:r>
      <w:r w:rsidRPr="00027624">
        <w:t xml:space="preserve">19 </w:t>
      </w:r>
      <w:sdt>
        <w:sdtPr>
          <w:id w:val="-527337384"/>
          <w:citation/>
        </w:sdtPr>
        <w:sdtEndPr/>
        <w:sdtContent>
          <w:r w:rsidRPr="00027624">
            <w:fldChar w:fldCharType="begin"/>
          </w:r>
          <w:r w:rsidRPr="00027624">
            <w:instrText xml:space="preserve">CITATION DSS109 \l 3081 </w:instrText>
          </w:r>
          <w:r w:rsidRPr="00027624">
            <w:fldChar w:fldCharType="separate"/>
          </w:r>
          <w:r w:rsidR="00E83F6E">
            <w:rPr>
              <w:noProof/>
            </w:rPr>
            <w:t>(Department of Social Services, 2019)</w:t>
          </w:r>
          <w:r w:rsidRPr="00027624">
            <w:fldChar w:fldCharType="end"/>
          </w:r>
        </w:sdtContent>
      </w:sdt>
      <w:r w:rsidRPr="00027624">
        <w:t>; Tax Expenditures Statement 2004 to 2017</w:t>
      </w:r>
      <w:sdt>
        <w:sdtPr>
          <w:id w:val="510421612"/>
          <w:citation/>
        </w:sdtPr>
        <w:sdtEndPr/>
        <w:sdtContent>
          <w:r w:rsidRPr="00027624">
            <w:fldChar w:fldCharType="begin"/>
          </w:r>
          <w:r w:rsidRPr="00027624">
            <w:instrText xml:space="preserve">CITATION TreEx18 \l 3081 </w:instrText>
          </w:r>
          <w:r w:rsidRPr="00027624">
            <w:fldChar w:fldCharType="separate"/>
          </w:r>
          <w:r w:rsidR="00E83F6E">
            <w:rPr>
              <w:noProof/>
            </w:rPr>
            <w:t xml:space="preserve"> (The Treasury, 2018b)</w:t>
          </w:r>
          <w:r w:rsidRPr="00027624">
            <w:fldChar w:fldCharType="end"/>
          </w:r>
        </w:sdtContent>
      </w:sdt>
      <w:r w:rsidRPr="00027624">
        <w:t xml:space="preserve">; Tax Benchmarks and Variations Statement 2018 to 2019 </w:t>
      </w:r>
      <w:sdt>
        <w:sdtPr>
          <w:id w:val="59374259"/>
          <w:citation/>
        </w:sdtPr>
        <w:sdtEndPr/>
        <w:sdtContent>
          <w:r w:rsidRPr="00027624">
            <w:fldChar w:fldCharType="begin"/>
          </w:r>
          <w:r w:rsidRPr="00027624">
            <w:instrText xml:space="preserve">CITATION TreB201 \l 3081 </w:instrText>
          </w:r>
          <w:r w:rsidRPr="00027624">
            <w:fldChar w:fldCharType="separate"/>
          </w:r>
          <w:r w:rsidR="00E83F6E">
            <w:rPr>
              <w:noProof/>
            </w:rPr>
            <w:t>(The Treasury, 2020)</w:t>
          </w:r>
          <w:r w:rsidRPr="00027624">
            <w:fldChar w:fldCharType="end"/>
          </w:r>
        </w:sdtContent>
      </w:sdt>
      <w:r w:rsidRPr="00027624">
        <w:t>;</w:t>
      </w:r>
      <w:sdt>
        <w:sdtPr>
          <w:id w:val="92136404"/>
          <w:citation/>
        </w:sdtPr>
        <w:sdtEndPr/>
        <w:sdtContent>
          <w:r w:rsidRPr="00027624">
            <w:fldChar w:fldCharType="begin"/>
          </w:r>
          <w:r w:rsidRPr="00027624">
            <w:instrText xml:space="preserve">CITATION ABS19mm \l 3081 </w:instrText>
          </w:r>
          <w:r w:rsidRPr="00027624">
            <w:fldChar w:fldCharType="separate"/>
          </w:r>
          <w:r w:rsidR="00E83F6E">
            <w:rPr>
              <w:noProof/>
            </w:rPr>
            <w:t xml:space="preserve"> (ABS, 2019d)</w:t>
          </w:r>
          <w:r w:rsidRPr="00027624">
            <w:fldChar w:fldCharType="end"/>
          </w:r>
        </w:sdtContent>
      </w:sdt>
      <w:r w:rsidRPr="00027624">
        <w:t>.</w:t>
      </w:r>
    </w:p>
    <w:p w14:paraId="2E8CC1FA" w14:textId="77777777" w:rsidR="002A2FAE" w:rsidRPr="00027624" w:rsidRDefault="002A2FAE" w:rsidP="002A2FAE">
      <w:pPr>
        <w:pStyle w:val="Heading3"/>
      </w:pPr>
      <w:r w:rsidRPr="00027624">
        <w:lastRenderedPageBreak/>
        <w:t>Age Pension</w:t>
      </w:r>
    </w:p>
    <w:p w14:paraId="68FA6CFC" w14:textId="2570243B" w:rsidR="002A2FAE" w:rsidRPr="00027624" w:rsidRDefault="002A2FAE" w:rsidP="002A2FAE">
      <w:r w:rsidRPr="00027624">
        <w:t>Since 2000</w:t>
      </w:r>
      <w:r w:rsidR="00A8443E" w:rsidRPr="00027624">
        <w:noBreakHyphen/>
      </w:r>
      <w:r w:rsidRPr="00027624">
        <w:t>01, the cost of the Age Pension (including supplementary allowances) has grown by 92 per cent in real</w:t>
      </w:r>
      <w:r w:rsidRPr="00027624">
        <w:rPr>
          <w:rStyle w:val="FootnoteReference"/>
        </w:rPr>
        <w:footnoteReference w:id="238"/>
      </w:r>
      <w:r w:rsidRPr="00027624">
        <w:t xml:space="preserve"> terms, from $24 billion to $46 billion (</w:t>
      </w:r>
      <w:r w:rsidR="0094445E">
        <w:fldChar w:fldCharType="begin"/>
      </w:r>
      <w:r w:rsidR="0094445E">
        <w:instrText xml:space="preserve"> REF _Ref44837659 \r \h </w:instrText>
      </w:r>
      <w:r w:rsidR="0094445E">
        <w:fldChar w:fldCharType="separate"/>
      </w:r>
      <w:r w:rsidR="00891058">
        <w:t>Chart 4A-2</w:t>
      </w:r>
      <w:r w:rsidR="0094445E">
        <w:fldChar w:fldCharType="end"/>
      </w:r>
      <w:r w:rsidRPr="00027624">
        <w:t>).</w:t>
      </w:r>
    </w:p>
    <w:p w14:paraId="6A33DF3A" w14:textId="322D2AA7" w:rsidR="002A2FAE" w:rsidRPr="00027624" w:rsidRDefault="002A2FAE" w:rsidP="002A2FAE">
      <w:r w:rsidRPr="00027624">
        <w:rPr>
          <w:b/>
        </w:rPr>
        <w:t>Age Pension spending has been reasonably stable as a percentage of GDP</w:t>
      </w:r>
      <w:r w:rsidRPr="00027624">
        <w:rPr>
          <w:b/>
          <w:bCs/>
        </w:rPr>
        <w:t>,</w:t>
      </w:r>
      <w:r w:rsidRPr="00027624">
        <w:t xml:space="preserve"> increasing by 0.</w:t>
      </w:r>
      <w:r w:rsidRPr="00027624" w:rsidDel="00731903">
        <w:t>2</w:t>
      </w:r>
      <w:r w:rsidRPr="00027624">
        <w:t> percentage points to 2.4 per cent between June 2001 and June 2019 (</w:t>
      </w:r>
      <w:r w:rsidRPr="00027624">
        <w:fldChar w:fldCharType="begin"/>
      </w:r>
      <w:r w:rsidRPr="00027624">
        <w:instrText xml:space="preserve"> REF _Ref44837659 \r \h  \* MERGEFORMAT </w:instrText>
      </w:r>
      <w:r w:rsidRPr="00027624">
        <w:fldChar w:fldCharType="separate"/>
      </w:r>
      <w:r w:rsidR="00891058">
        <w:t>Chart 4A-2</w:t>
      </w:r>
      <w:r w:rsidRPr="00027624">
        <w:fldChar w:fldCharType="end"/>
      </w:r>
      <w:r w:rsidRPr="00027624">
        <w:t>). As a share of the Commonwealth Budget, Age Pension spending has increased by 0.9 percentage points over the same period. As a share of average wages, Age Pension spending per working</w:t>
      </w:r>
      <w:r w:rsidR="00A8443E" w:rsidRPr="00027624">
        <w:noBreakHyphen/>
      </w:r>
      <w:r w:rsidRPr="00027624">
        <w:t>age person has been relatively stable over several decades (see</w:t>
      </w:r>
      <w:r w:rsidRPr="00027624">
        <w:rPr>
          <w:i/>
        </w:rPr>
        <w:t xml:space="preserve"> 3H. Intergenerational equity</w:t>
      </w:r>
      <w:r w:rsidRPr="00027624">
        <w:t>)</w:t>
      </w:r>
      <w:r w:rsidRPr="00027624">
        <w:rPr>
          <w:iCs/>
        </w:rPr>
        <w:t>.</w:t>
      </w:r>
    </w:p>
    <w:tbl>
      <w:tblPr>
        <w:tblStyle w:val="TableGrid"/>
        <w:tblW w:w="0" w:type="auto"/>
        <w:tblLook w:val="04A0" w:firstRow="1" w:lastRow="0" w:firstColumn="1" w:lastColumn="0" w:noHBand="0" w:noVBand="1"/>
      </w:tblPr>
      <w:tblGrid>
        <w:gridCol w:w="4528"/>
        <w:gridCol w:w="4542"/>
      </w:tblGrid>
      <w:tr w:rsidR="002A2FAE" w:rsidRPr="00027624" w14:paraId="39599614" w14:textId="77777777" w:rsidTr="002A2FAE">
        <w:trPr>
          <w:trHeight w:val="68"/>
        </w:trPr>
        <w:tc>
          <w:tcPr>
            <w:tcW w:w="9072" w:type="dxa"/>
            <w:gridSpan w:val="2"/>
            <w:shd w:val="clear" w:color="auto" w:fill="auto"/>
          </w:tcPr>
          <w:p w14:paraId="6307B28C" w14:textId="77777777" w:rsidR="002A2FAE" w:rsidRPr="00027624" w:rsidRDefault="002A2FAE" w:rsidP="0010191F">
            <w:pPr>
              <w:pStyle w:val="ChartMainHeading"/>
              <w:numPr>
                <w:ilvl w:val="2"/>
                <w:numId w:val="28"/>
              </w:numPr>
            </w:pPr>
            <w:bookmarkStart w:id="4029" w:name="_Ref44837659"/>
            <w:r w:rsidRPr="00027624">
              <w:t xml:space="preserve">Total </w:t>
            </w:r>
            <w:r w:rsidRPr="0010191F">
              <w:t>Age</w:t>
            </w:r>
            <w:r w:rsidRPr="00027624">
              <w:t> Pension expenditure</w:t>
            </w:r>
            <w:bookmarkEnd w:id="4029"/>
          </w:p>
        </w:tc>
      </w:tr>
      <w:tr w:rsidR="002A2FAE" w:rsidRPr="00027624" w14:paraId="36734C5C" w14:textId="77777777" w:rsidTr="002A2FAE">
        <w:trPr>
          <w:trHeight w:val="141"/>
        </w:trPr>
        <w:tc>
          <w:tcPr>
            <w:tcW w:w="4536" w:type="dxa"/>
            <w:shd w:val="clear" w:color="auto" w:fill="auto"/>
          </w:tcPr>
          <w:p w14:paraId="3CDF425A" w14:textId="77777777" w:rsidR="002A2FAE" w:rsidRPr="00027624" w:rsidRDefault="002A2FAE" w:rsidP="002A2FAE">
            <w:pPr>
              <w:pStyle w:val="ChartSecondHeading"/>
            </w:pPr>
            <w:r w:rsidRPr="00027624">
              <w:t>Dollars</w:t>
            </w:r>
          </w:p>
        </w:tc>
        <w:tc>
          <w:tcPr>
            <w:tcW w:w="4536" w:type="dxa"/>
            <w:shd w:val="clear" w:color="auto" w:fill="auto"/>
          </w:tcPr>
          <w:p w14:paraId="5C013C4D" w14:textId="77777777" w:rsidR="002A2FAE" w:rsidRPr="00027624" w:rsidRDefault="002A2FAE" w:rsidP="002A2FAE">
            <w:pPr>
              <w:pStyle w:val="ChartSecondHeading"/>
            </w:pPr>
            <w:r w:rsidRPr="00027624">
              <w:t>Percentage terms</w:t>
            </w:r>
          </w:p>
        </w:tc>
      </w:tr>
      <w:tr w:rsidR="002A2FAE" w:rsidRPr="00027624" w14:paraId="74CB07EA" w14:textId="77777777" w:rsidTr="002A2FAE">
        <w:tc>
          <w:tcPr>
            <w:tcW w:w="4536" w:type="dxa"/>
            <w:shd w:val="clear" w:color="auto" w:fill="auto"/>
          </w:tcPr>
          <w:p w14:paraId="00453EF7" w14:textId="77777777" w:rsidR="002A2FAE" w:rsidRPr="00027624" w:rsidRDefault="002713F3" w:rsidP="002A2FAE">
            <w:pPr>
              <w:pStyle w:val="ChartGraphic"/>
            </w:pPr>
            <w:r>
              <w:rPr>
                <w:noProof/>
              </w:rPr>
              <w:drawing>
                <wp:inline distT="0" distB="0" distL="0" distR="0" wp14:anchorId="1EFAAE8D" wp14:editId="12071365">
                  <wp:extent cx="2828925" cy="2836429"/>
                  <wp:effectExtent l="0" t="0" r="0" b="2540"/>
                  <wp:docPr id="2050622971" name="Picture 2050622971" descr="This chart shows the real increase in Age Pension spending over the past two decades, from about $25 billion in 2001 to $45 billion in 2019." title="Chart 4A-2 Total Age Pension expenditure  - Dol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830525" cy="2838033"/>
                          </a:xfrm>
                          <a:prstGeom prst="rect">
                            <a:avLst/>
                          </a:prstGeom>
                          <a:noFill/>
                        </pic:spPr>
                      </pic:pic>
                    </a:graphicData>
                  </a:graphic>
                </wp:inline>
              </w:drawing>
            </w:r>
          </w:p>
        </w:tc>
        <w:tc>
          <w:tcPr>
            <w:tcW w:w="4536" w:type="dxa"/>
            <w:shd w:val="clear" w:color="auto" w:fill="auto"/>
          </w:tcPr>
          <w:p w14:paraId="7B8D3F87" w14:textId="77777777" w:rsidR="002A2FAE" w:rsidRPr="00027624" w:rsidRDefault="002713F3" w:rsidP="002A2FAE">
            <w:pPr>
              <w:pStyle w:val="ChartGraphic"/>
            </w:pPr>
            <w:r>
              <w:rPr>
                <w:noProof/>
              </w:rPr>
              <w:drawing>
                <wp:inline distT="0" distB="0" distL="0" distR="0" wp14:anchorId="347FB7B3" wp14:editId="22B715BC">
                  <wp:extent cx="2838450" cy="2838450"/>
                  <wp:effectExtent l="0" t="0" r="0" b="0"/>
                  <wp:docPr id="2050622972" name="Picture 2050622972" descr="This chart shows that Age Pension spending has remained flat as a percentage of GDP and increased slightly as a proportion of the Commonwealth budget." title="Chart 4A-2 Total Age Pension expenditure  – Percentage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pic:spPr>
                      </pic:pic>
                    </a:graphicData>
                  </a:graphic>
                </wp:inline>
              </w:drawing>
            </w:r>
          </w:p>
        </w:tc>
      </w:tr>
      <w:tr w:rsidR="002A2FAE" w:rsidRPr="00027624" w14:paraId="7BF6632C" w14:textId="77777777" w:rsidTr="002A2FAE">
        <w:tc>
          <w:tcPr>
            <w:tcW w:w="4536" w:type="dxa"/>
            <w:shd w:val="clear" w:color="auto" w:fill="auto"/>
          </w:tcPr>
          <w:p w14:paraId="2BFB9D8F" w14:textId="77777777" w:rsidR="002A2FAE" w:rsidRPr="00027624" w:rsidRDefault="002A2FAE" w:rsidP="002A2FAE">
            <w:pPr>
              <w:pStyle w:val="ChartorTableNote"/>
            </w:pPr>
            <w:r w:rsidRPr="00027624">
              <w:t>Note: Values are in 2018</w:t>
            </w:r>
            <w:r w:rsidR="00A8443E" w:rsidRPr="00027624">
              <w:noBreakHyphen/>
            </w:r>
            <w:r w:rsidRPr="00027624">
              <w:t>19 dollars, inflated by CPI. Age Pension expenditure includes supplementary allowances. Source: Annual Reports 2000</w:t>
            </w:r>
            <w:r w:rsidR="00A8443E" w:rsidRPr="00027624">
              <w:noBreakHyphen/>
            </w:r>
            <w:r w:rsidRPr="00027624">
              <w:t>2001 to 2018</w:t>
            </w:r>
            <w:r w:rsidR="00A8443E" w:rsidRPr="00027624">
              <w:noBreakHyphen/>
            </w:r>
            <w:r w:rsidRPr="00027624">
              <w:t xml:space="preserve">19 </w:t>
            </w:r>
            <w:sdt>
              <w:sdtPr>
                <w:id w:val="-1917470222"/>
                <w:citation/>
              </w:sdtPr>
              <w:sdtEndPr/>
              <w:sdtContent>
                <w:r w:rsidRPr="00027624">
                  <w:fldChar w:fldCharType="begin"/>
                </w:r>
                <w:r w:rsidRPr="00027624">
                  <w:instrText xml:space="preserve">CITATION DSS109 \l 3081 </w:instrText>
                </w:r>
                <w:r w:rsidRPr="00027624">
                  <w:fldChar w:fldCharType="separate"/>
                </w:r>
                <w:r w:rsidR="00E83F6E">
                  <w:rPr>
                    <w:noProof/>
                  </w:rPr>
                  <w:t>(Department of Social Services, 2019)</w:t>
                </w:r>
                <w:r w:rsidRPr="00027624">
                  <w:fldChar w:fldCharType="end"/>
                </w:r>
              </w:sdtContent>
            </w:sdt>
            <w:r w:rsidRPr="00027624">
              <w:t xml:space="preserve"> and </w:t>
            </w:r>
            <w:sdt>
              <w:sdtPr>
                <w:id w:val="-1463873552"/>
                <w:citation/>
              </w:sdtPr>
              <w:sdtEndPr/>
              <w:sdtContent>
                <w:r w:rsidRPr="00027624">
                  <w:fldChar w:fldCharType="begin"/>
                </w:r>
                <w:r w:rsidRPr="00027624">
                  <w:instrText xml:space="preserve"> CITATION ABS202e \l 3081 </w:instrText>
                </w:r>
                <w:r w:rsidRPr="00027624">
                  <w:fldChar w:fldCharType="separate"/>
                </w:r>
                <w:r w:rsidR="00E83F6E">
                  <w:rPr>
                    <w:noProof/>
                  </w:rPr>
                  <w:t>(ABS, 2020e)</w:t>
                </w:r>
                <w:r w:rsidRPr="00027624">
                  <w:fldChar w:fldCharType="end"/>
                </w:r>
              </w:sdtContent>
            </w:sdt>
            <w:r w:rsidRPr="00027624">
              <w:t>.</w:t>
            </w:r>
          </w:p>
        </w:tc>
        <w:tc>
          <w:tcPr>
            <w:tcW w:w="4536" w:type="dxa"/>
            <w:shd w:val="clear" w:color="auto" w:fill="auto"/>
          </w:tcPr>
          <w:p w14:paraId="6ED85309" w14:textId="77777777" w:rsidR="002A2FAE" w:rsidRPr="00027624" w:rsidRDefault="002A2FAE" w:rsidP="002A2FAE">
            <w:pPr>
              <w:pStyle w:val="ChartorTableNote"/>
            </w:pPr>
            <w:r w:rsidRPr="00027624">
              <w:t>Note: Age Pension expenditure includes supplementary allowances. Source: Analysis of Annual Report 2000</w:t>
            </w:r>
            <w:r w:rsidR="00A8443E" w:rsidRPr="00027624">
              <w:noBreakHyphen/>
            </w:r>
            <w:r w:rsidRPr="00027624">
              <w:t>2001 to 2018</w:t>
            </w:r>
            <w:r w:rsidR="00A8443E" w:rsidRPr="00027624">
              <w:noBreakHyphen/>
            </w:r>
            <w:r w:rsidRPr="00027624">
              <w:t xml:space="preserve">19 </w:t>
            </w:r>
            <w:sdt>
              <w:sdtPr>
                <w:id w:val="-578982626"/>
                <w:citation/>
              </w:sdtPr>
              <w:sdtEndPr/>
              <w:sdtContent>
                <w:r w:rsidRPr="00027624">
                  <w:fldChar w:fldCharType="begin"/>
                </w:r>
                <w:r w:rsidRPr="00027624">
                  <w:instrText xml:space="preserve">CITATION DSS109 \l 3081 </w:instrText>
                </w:r>
                <w:r w:rsidRPr="00027624">
                  <w:fldChar w:fldCharType="separate"/>
                </w:r>
                <w:r w:rsidR="00E83F6E">
                  <w:rPr>
                    <w:noProof/>
                  </w:rPr>
                  <w:t>(Department of Social Services, 2019)</w:t>
                </w:r>
                <w:r w:rsidRPr="00027624">
                  <w:fldChar w:fldCharType="end"/>
                </w:r>
              </w:sdtContent>
            </w:sdt>
            <w:r w:rsidRPr="00027624">
              <w:t>;</w:t>
            </w:r>
            <w:sdt>
              <w:sdtPr>
                <w:id w:val="944494945"/>
                <w:citation/>
              </w:sdtPr>
              <w:sdtEndPr/>
              <w:sdtContent>
                <w:r w:rsidRPr="00027624">
                  <w:fldChar w:fldCharType="begin"/>
                </w:r>
                <w:r w:rsidRPr="00027624">
                  <w:instrText xml:space="preserve">CITATION ABS19mm \l 3081 </w:instrText>
                </w:r>
                <w:r w:rsidRPr="00027624">
                  <w:fldChar w:fldCharType="separate"/>
                </w:r>
                <w:r w:rsidR="00E83F6E">
                  <w:rPr>
                    <w:noProof/>
                  </w:rPr>
                  <w:t xml:space="preserve"> (ABS, 2019d)</w:t>
                </w:r>
                <w:r w:rsidRPr="00027624">
                  <w:fldChar w:fldCharType="end"/>
                </w:r>
              </w:sdtContent>
            </w:sdt>
            <w:r w:rsidRPr="00027624">
              <w:t>; and data provided to the review by The Treasury.</w:t>
            </w:r>
          </w:p>
        </w:tc>
      </w:tr>
    </w:tbl>
    <w:p w14:paraId="36478632" w14:textId="77777777" w:rsidR="002A2FAE" w:rsidRPr="00027624" w:rsidRDefault="002A2FAE" w:rsidP="002A2FAE">
      <w:pPr>
        <w:spacing w:before="240"/>
      </w:pPr>
      <w:r w:rsidRPr="00027624">
        <w:rPr>
          <w:b/>
        </w:rPr>
        <w:t xml:space="preserve">Age Pension costs are affected by the size of the population of Age Pension </w:t>
      </w:r>
      <w:r w:rsidRPr="00027624">
        <w:rPr>
          <w:b/>
          <w:bCs/>
        </w:rPr>
        <w:t xml:space="preserve">eligibility </w:t>
      </w:r>
      <w:r w:rsidRPr="00027624">
        <w:rPr>
          <w:b/>
        </w:rPr>
        <w:t>age, the rate of payment and the impact of means testing</w:t>
      </w:r>
      <w:r w:rsidRPr="00027624">
        <w:t xml:space="preserve"> (see</w:t>
      </w:r>
      <w:r w:rsidRPr="00027624">
        <w:rPr>
          <w:i/>
        </w:rPr>
        <w:t xml:space="preserve"> 1B. Design of Australia</w:t>
      </w:r>
      <w:r w:rsidR="00A8443E" w:rsidRPr="00027624">
        <w:rPr>
          <w:i/>
        </w:rPr>
        <w:t>’</w:t>
      </w:r>
      <w:r w:rsidRPr="00027624">
        <w:rPr>
          <w:i/>
        </w:rPr>
        <w:t>s retirement income system</w:t>
      </w:r>
      <w:r w:rsidRPr="00027624">
        <w:t>)</w:t>
      </w:r>
      <w:r w:rsidRPr="00027624">
        <w:rPr>
          <w:b/>
          <w:bCs/>
        </w:rPr>
        <w:t>.</w:t>
      </w:r>
    </w:p>
    <w:p w14:paraId="70F405B3" w14:textId="77777777" w:rsidR="002A2FAE" w:rsidRPr="00027624" w:rsidRDefault="002A2FAE" w:rsidP="002A2FAE">
      <w:r w:rsidRPr="00027624">
        <w:t>From June 2002 to June 2019, the size of the population over Age Pension eligibility age grew 46 per cent to 3.9 million people. Reflecting Australia</w:t>
      </w:r>
      <w:r w:rsidR="00A8443E" w:rsidRPr="00027624">
        <w:t>’</w:t>
      </w:r>
      <w:r w:rsidRPr="00027624">
        <w:t>s ageing population, this exceeded the overall population growth of 32 per cent.</w:t>
      </w:r>
      <w:r w:rsidRPr="00027624">
        <w:rPr>
          <w:rStyle w:val="FootnoteReference"/>
        </w:rPr>
        <w:footnoteReference w:id="239"/>
      </w:r>
      <w:r w:rsidRPr="00027624">
        <w:t xml:space="preserve"> Increases to the Age Pension eligibility age have partially moderated this growth.</w:t>
      </w:r>
      <w:r w:rsidRPr="00027624">
        <w:rPr>
          <w:rStyle w:val="FootnoteReference"/>
        </w:rPr>
        <w:footnoteReference w:id="240"/>
      </w:r>
      <w:bookmarkStart w:id="4030" w:name="_Ref34149467"/>
    </w:p>
    <w:p w14:paraId="5C8BA68D" w14:textId="26C0B342" w:rsidR="002A2FAE" w:rsidRPr="00027624" w:rsidRDefault="002A2FAE" w:rsidP="002A2FAE">
      <w:r w:rsidRPr="00027624">
        <w:t>From June 2001 to June 2019, the maximum rate of payment (including supplementary allowances) grew 28 per cent in real terms for couples and 37 per cent for singles (</w:t>
      </w:r>
      <w:r w:rsidRPr="00027624">
        <w:fldChar w:fldCharType="begin"/>
      </w:r>
      <w:r w:rsidRPr="00027624">
        <w:instrText xml:space="preserve"> REF _Ref39664712 \r \h  \* MERGEFORMAT </w:instrText>
      </w:r>
      <w:r w:rsidRPr="00027624">
        <w:fldChar w:fldCharType="separate"/>
      </w:r>
      <w:r w:rsidR="00891058">
        <w:t>Chart 4A-3</w:t>
      </w:r>
      <w:r w:rsidRPr="00027624">
        <w:fldChar w:fldCharType="end"/>
      </w:r>
      <w:r w:rsidRPr="00027624">
        <w:t xml:space="preserve">). The rate of the </w:t>
      </w:r>
      <w:r w:rsidRPr="00027624">
        <w:lastRenderedPageBreak/>
        <w:t>Age Pension is benchmarked to male total average weekly earnings,</w:t>
      </w:r>
      <w:r w:rsidRPr="00027624">
        <w:rPr>
          <w:rStyle w:val="FootnoteReference"/>
        </w:rPr>
        <w:footnoteReference w:id="241"/>
      </w:r>
      <w:r w:rsidRPr="00027624">
        <w:t xml:space="preserve"> which means the value of the Age Pension generally increases in real terms over time.</w:t>
      </w:r>
    </w:p>
    <w:p w14:paraId="7481593E" w14:textId="77777777" w:rsidR="002A2FAE" w:rsidRPr="00027624" w:rsidRDefault="002A2FAE" w:rsidP="002A2FAE">
      <w:r w:rsidRPr="00027624">
        <w:t>From June 2001 to June 2019</w:t>
      </w:r>
      <w:r w:rsidRPr="00027624" w:rsidDel="00992CFB">
        <w:t>,</w:t>
      </w:r>
      <w:r w:rsidRPr="00027624">
        <w:t xml:space="preserve"> male total average weekly earnings grew 19 per cent in real terms.</w:t>
      </w:r>
      <w:r w:rsidRPr="00027624">
        <w:rPr>
          <w:rStyle w:val="FootnoteReference"/>
        </w:rPr>
        <w:footnoteReference w:id="242"/>
      </w:r>
      <w:r w:rsidRPr="00027624">
        <w:t xml:space="preserve"> The rate of growth in the maximum rate of the Age Pension is also influenced by:</w:t>
      </w:r>
    </w:p>
    <w:p w14:paraId="2149A08D" w14:textId="77777777" w:rsidR="002A2FAE" w:rsidRPr="00027624" w:rsidRDefault="002A2FAE" w:rsidP="002A2FAE">
      <w:pPr>
        <w:pStyle w:val="Bullet"/>
      </w:pPr>
      <w:r w:rsidRPr="00027624">
        <w:t xml:space="preserve">The changes following the Harmer review in 2009 (see </w:t>
      </w:r>
      <w:r w:rsidRPr="00027624">
        <w:rPr>
          <w:i/>
        </w:rPr>
        <w:t>2A. Achieving a minimum standard of living in retirement</w:t>
      </w:r>
      <w:r w:rsidRPr="00027624">
        <w:t>)</w:t>
      </w:r>
    </w:p>
    <w:p w14:paraId="20A112F9" w14:textId="77777777" w:rsidR="002A2FAE" w:rsidRPr="00027624" w:rsidRDefault="002A2FAE" w:rsidP="002A2FAE">
      <w:pPr>
        <w:pStyle w:val="Bullet"/>
      </w:pPr>
      <w:r w:rsidRPr="00027624">
        <w:t>Recent real decreases in male total average weekly earnings (resulting in the Age Pension being increased the CPI or the Pensioners and Beneficiaries Living Cost Index, whichever is higher)</w:t>
      </w:r>
    </w:p>
    <w:p w14:paraId="5E619473" w14:textId="77777777" w:rsidR="002A2FAE" w:rsidRPr="00027624" w:rsidRDefault="002A2FAE" w:rsidP="00FC7361">
      <w:pPr>
        <w:pStyle w:val="ChartMainHeading"/>
        <w:numPr>
          <w:ilvl w:val="2"/>
          <w:numId w:val="28"/>
        </w:numPr>
      </w:pPr>
      <w:bookmarkStart w:id="4031" w:name="_Ref39664712"/>
      <w:r w:rsidRPr="00027624">
        <w:t>M</w:t>
      </w:r>
      <w:r w:rsidRPr="00027624" w:rsidDel="00A42C1E">
        <w:t xml:space="preserve">aximum </w:t>
      </w:r>
      <w:r w:rsidRPr="00027624">
        <w:t>Age Pension</w:t>
      </w:r>
      <w:r w:rsidRPr="00027624" w:rsidDel="00A42C1E">
        <w:t xml:space="preserve"> rates and </w:t>
      </w:r>
      <w:r w:rsidRPr="00027624">
        <w:t>male total average weekly earnings</w:t>
      </w:r>
      <w:bookmarkEnd w:id="4030"/>
      <w:bookmarkEnd w:id="4031"/>
      <w:r w:rsidRPr="00027624">
        <w:t xml:space="preserve"> (MTAWE)</w:t>
      </w:r>
    </w:p>
    <w:tbl>
      <w:tblPr>
        <w:tblStyle w:val="TableGrid"/>
        <w:tblW w:w="0" w:type="auto"/>
        <w:tblLook w:val="04A0" w:firstRow="1" w:lastRow="0" w:firstColumn="1" w:lastColumn="0" w:noHBand="0" w:noVBand="1"/>
      </w:tblPr>
      <w:tblGrid>
        <w:gridCol w:w="4563"/>
        <w:gridCol w:w="4507"/>
      </w:tblGrid>
      <w:tr w:rsidR="002A2FAE" w:rsidRPr="00027624" w14:paraId="33E3FAE9" w14:textId="77777777" w:rsidTr="002A2FAE">
        <w:tc>
          <w:tcPr>
            <w:tcW w:w="4536" w:type="dxa"/>
            <w:shd w:val="clear" w:color="auto" w:fill="auto"/>
          </w:tcPr>
          <w:p w14:paraId="6088F03E" w14:textId="77777777" w:rsidR="002A2FAE" w:rsidRPr="00027624" w:rsidRDefault="002A2FAE" w:rsidP="002A2FAE">
            <w:pPr>
              <w:pStyle w:val="ChartSecondHeading"/>
            </w:pPr>
            <w:r w:rsidRPr="00027624">
              <w:rPr>
                <w:color w:val="144E60" w:themeColor="accent1"/>
              </w:rPr>
              <w:t>Dollar terms</w:t>
            </w:r>
          </w:p>
        </w:tc>
        <w:tc>
          <w:tcPr>
            <w:tcW w:w="4536" w:type="dxa"/>
            <w:shd w:val="clear" w:color="auto" w:fill="auto"/>
          </w:tcPr>
          <w:p w14:paraId="00756D05" w14:textId="77777777" w:rsidR="002A2FAE" w:rsidRPr="00027624" w:rsidRDefault="002A2FAE" w:rsidP="002A2FAE">
            <w:pPr>
              <w:pStyle w:val="ChartSecondHeading"/>
            </w:pPr>
            <w:r w:rsidRPr="00027624">
              <w:t>Indexed to 2000</w:t>
            </w:r>
            <w:r w:rsidR="00A8443E" w:rsidRPr="00027624">
              <w:noBreakHyphen/>
            </w:r>
            <w:r w:rsidRPr="00027624">
              <w:t>01</w:t>
            </w:r>
          </w:p>
        </w:tc>
      </w:tr>
      <w:tr w:rsidR="002A2FAE" w:rsidRPr="00027624" w14:paraId="2D9D9E36" w14:textId="77777777" w:rsidTr="002A2FAE">
        <w:tc>
          <w:tcPr>
            <w:tcW w:w="4536" w:type="dxa"/>
            <w:shd w:val="clear" w:color="auto" w:fill="auto"/>
          </w:tcPr>
          <w:p w14:paraId="4C1D88EC" w14:textId="77777777" w:rsidR="002A2FAE" w:rsidRPr="00027624" w:rsidRDefault="002713F3" w:rsidP="002A2FAE">
            <w:pPr>
              <w:pStyle w:val="ChartGraphic"/>
            </w:pPr>
            <w:r>
              <w:rPr>
                <w:noProof/>
              </w:rPr>
              <w:drawing>
                <wp:inline distT="0" distB="0" distL="0" distR="0" wp14:anchorId="64C9A09D" wp14:editId="2623A6A4">
                  <wp:extent cx="2847975" cy="2847975"/>
                  <wp:effectExtent l="0" t="0" r="9525" b="9525"/>
                  <wp:docPr id="2050622973" name="Picture 2050622973" descr="These charts show the increase in the Age Pension maximum rate over the past two decades in real terms. The payment received a one-off increase in 2009, with a relatively higher increase to the single rate. The rate of growth over the past 5 years has slowed with lower wage growth." title="Chart 4A-3 Maximum Age Pension rates and male total average weekly earnings (M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847975" cy="2847975"/>
                          </a:xfrm>
                          <a:prstGeom prst="rect">
                            <a:avLst/>
                          </a:prstGeom>
                          <a:noFill/>
                        </pic:spPr>
                      </pic:pic>
                    </a:graphicData>
                  </a:graphic>
                </wp:inline>
              </w:drawing>
            </w:r>
          </w:p>
        </w:tc>
        <w:tc>
          <w:tcPr>
            <w:tcW w:w="4536" w:type="dxa"/>
            <w:shd w:val="clear" w:color="auto" w:fill="auto"/>
          </w:tcPr>
          <w:p w14:paraId="241AA7A1" w14:textId="77777777" w:rsidR="002A2FAE" w:rsidRPr="00027624" w:rsidRDefault="002713F3" w:rsidP="002A2FAE">
            <w:pPr>
              <w:pStyle w:val="ChartGraphic"/>
            </w:pPr>
            <w:r>
              <w:rPr>
                <w:noProof/>
              </w:rPr>
              <w:drawing>
                <wp:inline distT="0" distB="0" distL="0" distR="0" wp14:anchorId="40BCA1DE" wp14:editId="1F9A95A5">
                  <wp:extent cx="2820672" cy="2790825"/>
                  <wp:effectExtent l="0" t="0" r="0" b="0"/>
                  <wp:docPr id="2050622974" name="Picture 205062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824593" cy="2794705"/>
                          </a:xfrm>
                          <a:prstGeom prst="rect">
                            <a:avLst/>
                          </a:prstGeom>
                          <a:noFill/>
                        </pic:spPr>
                      </pic:pic>
                    </a:graphicData>
                  </a:graphic>
                </wp:inline>
              </w:drawing>
            </w:r>
          </w:p>
        </w:tc>
      </w:tr>
      <w:tr w:rsidR="002A2FAE" w:rsidRPr="00027624" w14:paraId="5E5552FA" w14:textId="77777777" w:rsidTr="002A2FAE">
        <w:tc>
          <w:tcPr>
            <w:tcW w:w="4536" w:type="dxa"/>
            <w:shd w:val="clear" w:color="auto" w:fill="auto"/>
          </w:tcPr>
          <w:p w14:paraId="12CB457A" w14:textId="77777777" w:rsidR="002A2FAE" w:rsidRPr="00027624" w:rsidRDefault="002A2FAE" w:rsidP="002A2FAE">
            <w:pPr>
              <w:pStyle w:val="ChartorTableNote"/>
            </w:pPr>
            <w:r w:rsidRPr="00027624">
              <w:t>Note: Values are in 2018</w:t>
            </w:r>
            <w:r w:rsidR="00A8443E" w:rsidRPr="00027624">
              <w:noBreakHyphen/>
            </w:r>
            <w:r w:rsidRPr="00027624">
              <w:t>19 dollars. Source: Analysis of Annual Reports 2000</w:t>
            </w:r>
            <w:r w:rsidR="00A8443E" w:rsidRPr="00027624">
              <w:noBreakHyphen/>
            </w:r>
            <w:r w:rsidRPr="00027624">
              <w:t>2001 to 2018</w:t>
            </w:r>
            <w:r w:rsidR="00A8443E" w:rsidRPr="00027624">
              <w:noBreakHyphen/>
            </w:r>
            <w:r w:rsidRPr="00027624">
              <w:t xml:space="preserve">19 </w:t>
            </w:r>
            <w:sdt>
              <w:sdtPr>
                <w:id w:val="1292790164"/>
                <w:citation/>
              </w:sdtPr>
              <w:sdtEndPr/>
              <w:sdtContent>
                <w:r w:rsidRPr="00027624">
                  <w:fldChar w:fldCharType="begin"/>
                </w:r>
                <w:r w:rsidRPr="00027624">
                  <w:instrText xml:space="preserve">CITATION DSS109 \l 3081 </w:instrText>
                </w:r>
                <w:r w:rsidRPr="00027624">
                  <w:fldChar w:fldCharType="separate"/>
                </w:r>
                <w:r w:rsidR="00E83F6E">
                  <w:rPr>
                    <w:noProof/>
                  </w:rPr>
                  <w:t>(Department of Social Services, 2019)</w:t>
                </w:r>
                <w:r w:rsidRPr="00027624">
                  <w:fldChar w:fldCharType="end"/>
                </w:r>
              </w:sdtContent>
            </w:sdt>
            <w:r w:rsidRPr="00027624">
              <w:t>; A guide to Australian Government payments 2015 to 2019</w:t>
            </w:r>
            <w:sdt>
              <w:sdtPr>
                <w:id w:val="760110888"/>
                <w:citation/>
              </w:sdtPr>
              <w:sdtEndPr/>
              <w:sdtContent>
                <w:r w:rsidRPr="00027624">
                  <w:fldChar w:fldCharType="begin"/>
                </w:r>
                <w:r w:rsidRPr="00027624">
                  <w:instrText xml:space="preserve"> CITATION Serv19 \l 3081 </w:instrText>
                </w:r>
                <w:r w:rsidRPr="00027624">
                  <w:fldChar w:fldCharType="separate"/>
                </w:r>
                <w:r w:rsidR="00E83F6E">
                  <w:rPr>
                    <w:noProof/>
                  </w:rPr>
                  <w:t xml:space="preserve"> (Services Australia, 2019)</w:t>
                </w:r>
                <w:r w:rsidRPr="00027624">
                  <w:fldChar w:fldCharType="end"/>
                </w:r>
              </w:sdtContent>
            </w:sdt>
            <w:r w:rsidRPr="00027624">
              <w:t xml:space="preserve">; </w:t>
            </w:r>
            <w:sdt>
              <w:sdtPr>
                <w:id w:val="2090347014"/>
                <w:citation/>
              </w:sdtPr>
              <w:sdtEndPr/>
              <w:sdtContent>
                <w:r w:rsidRPr="00027624">
                  <w:fldChar w:fldCharType="begin"/>
                </w:r>
                <w:r w:rsidRPr="00027624">
                  <w:instrText xml:space="preserve"> CITATION ABS202e \l 3081 </w:instrText>
                </w:r>
                <w:r w:rsidRPr="00027624">
                  <w:fldChar w:fldCharType="separate"/>
                </w:r>
                <w:r w:rsidR="00E83F6E">
                  <w:rPr>
                    <w:noProof/>
                  </w:rPr>
                  <w:t>(ABS, 2020e)</w:t>
                </w:r>
                <w:r w:rsidRPr="00027624">
                  <w:fldChar w:fldCharType="end"/>
                </w:r>
              </w:sdtContent>
            </w:sdt>
            <w:r w:rsidRPr="00027624">
              <w:t>;</w:t>
            </w:r>
            <w:sdt>
              <w:sdtPr>
                <w:id w:val="-1967350022"/>
                <w:citation/>
              </w:sdtPr>
              <w:sdtEndPr/>
              <w:sdtContent>
                <w:r w:rsidRPr="00027624">
                  <w:fldChar w:fldCharType="begin"/>
                </w:r>
                <w:r w:rsidRPr="00027624">
                  <w:instrText xml:space="preserve">CITATION ABS19mm \l 3081 </w:instrText>
                </w:r>
                <w:r w:rsidRPr="00027624">
                  <w:fldChar w:fldCharType="separate"/>
                </w:r>
                <w:r w:rsidR="00E83F6E">
                  <w:rPr>
                    <w:noProof/>
                  </w:rPr>
                  <w:t xml:space="preserve"> (ABS, 2019d)</w:t>
                </w:r>
                <w:r w:rsidRPr="00027624">
                  <w:fldChar w:fldCharType="end"/>
                </w:r>
              </w:sdtContent>
            </w:sdt>
            <w:r w:rsidRPr="00027624">
              <w:t>.</w:t>
            </w:r>
          </w:p>
        </w:tc>
        <w:tc>
          <w:tcPr>
            <w:tcW w:w="4536" w:type="dxa"/>
            <w:shd w:val="clear" w:color="auto" w:fill="auto"/>
          </w:tcPr>
          <w:p w14:paraId="1B351437" w14:textId="77777777" w:rsidR="002A2FAE" w:rsidRPr="00027624" w:rsidRDefault="002A2FAE" w:rsidP="002A2FAE">
            <w:pPr>
              <w:pStyle w:val="ChartorTableNote"/>
              <w:rPr>
                <w:noProof/>
              </w:rPr>
            </w:pPr>
            <w:r w:rsidRPr="00027624">
              <w:t>Note: Values indexed relative to 2000</w:t>
            </w:r>
            <w:r w:rsidR="00A8443E" w:rsidRPr="00027624">
              <w:noBreakHyphen/>
            </w:r>
            <w:r w:rsidRPr="00027624">
              <w:t>01. Source: Analysis of Annual Reports 2000</w:t>
            </w:r>
            <w:r w:rsidR="00A8443E" w:rsidRPr="00027624">
              <w:noBreakHyphen/>
            </w:r>
            <w:r w:rsidRPr="00027624">
              <w:t>2001 to 2018</w:t>
            </w:r>
            <w:r w:rsidR="00A8443E" w:rsidRPr="00027624">
              <w:noBreakHyphen/>
            </w:r>
            <w:r w:rsidRPr="00027624">
              <w:t xml:space="preserve">19 </w:t>
            </w:r>
            <w:sdt>
              <w:sdtPr>
                <w:id w:val="-1705790371"/>
                <w:citation/>
              </w:sdtPr>
              <w:sdtEndPr/>
              <w:sdtContent>
                <w:r w:rsidRPr="00027624">
                  <w:fldChar w:fldCharType="begin"/>
                </w:r>
                <w:r w:rsidRPr="00027624">
                  <w:instrText xml:space="preserve">CITATION DSS109 \l 3081 </w:instrText>
                </w:r>
                <w:r w:rsidRPr="00027624">
                  <w:fldChar w:fldCharType="separate"/>
                </w:r>
                <w:r w:rsidR="00E83F6E">
                  <w:rPr>
                    <w:noProof/>
                  </w:rPr>
                  <w:t>(Department of Social Services, 2019)</w:t>
                </w:r>
                <w:r w:rsidRPr="00027624">
                  <w:fldChar w:fldCharType="end"/>
                </w:r>
              </w:sdtContent>
            </w:sdt>
            <w:r w:rsidRPr="00027624">
              <w:t>; A guide to Australian Government payments 2015 to 2019</w:t>
            </w:r>
            <w:sdt>
              <w:sdtPr>
                <w:id w:val="133303414"/>
                <w:citation/>
              </w:sdtPr>
              <w:sdtEndPr/>
              <w:sdtContent>
                <w:r w:rsidRPr="00027624">
                  <w:fldChar w:fldCharType="begin"/>
                </w:r>
                <w:r w:rsidRPr="00027624">
                  <w:instrText xml:space="preserve"> CITATION Serv19 \l 3081 </w:instrText>
                </w:r>
                <w:r w:rsidRPr="00027624">
                  <w:fldChar w:fldCharType="separate"/>
                </w:r>
                <w:r w:rsidR="00E83F6E">
                  <w:rPr>
                    <w:noProof/>
                  </w:rPr>
                  <w:t xml:space="preserve"> (Services Australia, 2019)</w:t>
                </w:r>
                <w:r w:rsidRPr="00027624">
                  <w:fldChar w:fldCharType="end"/>
                </w:r>
              </w:sdtContent>
            </w:sdt>
            <w:r w:rsidRPr="00027624">
              <w:t xml:space="preserve">; </w:t>
            </w:r>
            <w:sdt>
              <w:sdtPr>
                <w:id w:val="440185424"/>
                <w:citation/>
              </w:sdtPr>
              <w:sdtEndPr/>
              <w:sdtContent>
                <w:r w:rsidRPr="00027624">
                  <w:fldChar w:fldCharType="begin"/>
                </w:r>
                <w:r w:rsidRPr="00027624">
                  <w:instrText xml:space="preserve"> CITATION ABS202e \l 3081 </w:instrText>
                </w:r>
                <w:r w:rsidRPr="00027624">
                  <w:fldChar w:fldCharType="separate"/>
                </w:r>
                <w:r w:rsidR="00E83F6E">
                  <w:rPr>
                    <w:noProof/>
                  </w:rPr>
                  <w:t>(ABS, 2020e)</w:t>
                </w:r>
                <w:r w:rsidRPr="00027624">
                  <w:fldChar w:fldCharType="end"/>
                </w:r>
              </w:sdtContent>
            </w:sdt>
            <w:r w:rsidRPr="00027624">
              <w:t>;</w:t>
            </w:r>
            <w:sdt>
              <w:sdtPr>
                <w:id w:val="-48465275"/>
                <w:citation/>
              </w:sdtPr>
              <w:sdtEndPr/>
              <w:sdtContent>
                <w:r w:rsidRPr="00027624">
                  <w:fldChar w:fldCharType="begin"/>
                </w:r>
                <w:r w:rsidRPr="00027624">
                  <w:instrText xml:space="preserve">CITATION ABS19mm \l 3081 </w:instrText>
                </w:r>
                <w:r w:rsidRPr="00027624">
                  <w:fldChar w:fldCharType="separate"/>
                </w:r>
                <w:r w:rsidR="00E83F6E">
                  <w:rPr>
                    <w:noProof/>
                  </w:rPr>
                  <w:t xml:space="preserve"> (ABS, 2019d)</w:t>
                </w:r>
                <w:r w:rsidRPr="00027624">
                  <w:fldChar w:fldCharType="end"/>
                </w:r>
              </w:sdtContent>
            </w:sdt>
            <w:r w:rsidRPr="00027624">
              <w:t>.</w:t>
            </w:r>
          </w:p>
        </w:tc>
      </w:tr>
    </w:tbl>
    <w:p w14:paraId="0A5D283A" w14:textId="0FFC0298" w:rsidR="002A2FAE" w:rsidRPr="00027624" w:rsidRDefault="002A2FAE" w:rsidP="002A2FAE">
      <w:pPr>
        <w:spacing w:before="240"/>
      </w:pPr>
      <w:r w:rsidRPr="00027624">
        <w:rPr>
          <w:b/>
        </w:rPr>
        <w:t>The composition of Age Pension recipients was broadly stable from June 2001 to June 2019</w:t>
      </w:r>
      <w:r w:rsidRPr="00027624">
        <w:t xml:space="preserve"> (</w:t>
      </w:r>
      <w:r w:rsidRPr="00027624">
        <w:fldChar w:fldCharType="begin"/>
      </w:r>
      <w:r w:rsidRPr="00027624">
        <w:instrText xml:space="preserve"> REF _Ref39491491 \r \h  \* MERGEFORMAT </w:instrText>
      </w:r>
      <w:r w:rsidRPr="00027624">
        <w:fldChar w:fldCharType="separate"/>
      </w:r>
      <w:r w:rsidR="00891058">
        <w:t>Chart 4A-4</w:t>
      </w:r>
      <w:r w:rsidRPr="00027624">
        <w:fldChar w:fldCharType="end"/>
      </w:r>
      <w:r w:rsidRPr="00027624">
        <w:t>). The share of part</w:t>
      </w:r>
      <w:r w:rsidR="00A8443E" w:rsidRPr="00027624">
        <w:noBreakHyphen/>
      </w:r>
      <w:r w:rsidRPr="00027624">
        <w:t>rate age pensioners was increasing up until the Global Financial Crisis (GFC), which reduced retirees</w:t>
      </w:r>
      <w:r w:rsidR="00A8443E" w:rsidRPr="00027624">
        <w:t>’</w:t>
      </w:r>
      <w:r w:rsidRPr="00027624">
        <w:t xml:space="preserve"> net worth and increased the share of retirees receiving a full</w:t>
      </w:r>
      <w:r w:rsidR="00A8443E" w:rsidRPr="00027624">
        <w:noBreakHyphen/>
      </w:r>
      <w:r w:rsidRPr="00027624">
        <w:t>rate Age Pension. In 2017, when the assets test taper rate steepened (from $1.50 per $1,000 of assets to $3), some part</w:t>
      </w:r>
      <w:r w:rsidR="00A8443E" w:rsidRPr="00027624">
        <w:noBreakHyphen/>
      </w:r>
      <w:r w:rsidRPr="00027624">
        <w:t>rate age pensioners moved off the Age Pension.</w:t>
      </w:r>
    </w:p>
    <w:p w14:paraId="32DCDFA9" w14:textId="77777777" w:rsidR="002A2FAE" w:rsidRPr="00027624" w:rsidRDefault="002A2FAE" w:rsidP="00FC7361">
      <w:pPr>
        <w:pStyle w:val="ChartMainHeading"/>
        <w:numPr>
          <w:ilvl w:val="2"/>
          <w:numId w:val="28"/>
        </w:numPr>
      </w:pPr>
      <w:bookmarkStart w:id="4032" w:name="_Ref39491491"/>
      <w:r w:rsidRPr="00027624">
        <w:lastRenderedPageBreak/>
        <w:t>The Age Pension eligibility age population</w:t>
      </w:r>
      <w:bookmarkEnd w:id="4032"/>
    </w:p>
    <w:p w14:paraId="5E7D1EC6" w14:textId="77777777" w:rsidR="002A2FAE" w:rsidRPr="00027624" w:rsidRDefault="000C7212" w:rsidP="000C7212">
      <w:pPr>
        <w:pStyle w:val="ChartGraphic"/>
      </w:pPr>
      <w:r>
        <w:rPr>
          <w:noProof/>
        </w:rPr>
        <w:drawing>
          <wp:inline distT="0" distB="0" distL="0" distR="0" wp14:anchorId="086BA62C" wp14:editId="24D2A78C">
            <wp:extent cx="5585460" cy="2529840"/>
            <wp:effectExtent l="0" t="0" r="0" b="3810"/>
            <wp:docPr id="761061973" name="Picture 761061973" descr="This chart shows the proportions of people on the full-rate, part-rate, and not on pension for the over 65 population over the past two decades. Proportions have remained relatively stable over time. The GFC caused an increase of full-rate over part-pensioners. Policy changes in 2016 led to a decrease in part-rate pensioners and more non-pensioners." title="Chart 4A-4 The Age Pension eligibility ag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585460" cy="2529840"/>
                    </a:xfrm>
                    <a:prstGeom prst="rect">
                      <a:avLst/>
                    </a:prstGeom>
                    <a:noFill/>
                  </pic:spPr>
                </pic:pic>
              </a:graphicData>
            </a:graphic>
          </wp:inline>
        </w:drawing>
      </w:r>
    </w:p>
    <w:p w14:paraId="01127D9B" w14:textId="77777777" w:rsidR="002A2FAE" w:rsidRPr="00027624" w:rsidRDefault="002A2FAE" w:rsidP="002A2FAE">
      <w:pPr>
        <w:pStyle w:val="ChartorTableNote"/>
      </w:pPr>
      <w:r w:rsidRPr="00027624">
        <w:t>Source: Annual Reports 2000</w:t>
      </w:r>
      <w:r w:rsidR="00A8443E" w:rsidRPr="00027624">
        <w:noBreakHyphen/>
      </w:r>
      <w:r w:rsidRPr="00027624">
        <w:t>2001 to 2018</w:t>
      </w:r>
      <w:r w:rsidR="00A8443E" w:rsidRPr="00027624">
        <w:noBreakHyphen/>
      </w:r>
      <w:r w:rsidRPr="00027624">
        <w:t>19</w:t>
      </w:r>
      <w:sdt>
        <w:sdtPr>
          <w:id w:val="950904531"/>
          <w:citation/>
        </w:sdtPr>
        <w:sdtEndPr/>
        <w:sdtContent>
          <w:r w:rsidRPr="00027624">
            <w:fldChar w:fldCharType="begin"/>
          </w:r>
          <w:r w:rsidRPr="00027624">
            <w:instrText xml:space="preserve">CITATION DSS109 \l 3081 </w:instrText>
          </w:r>
          <w:r w:rsidRPr="00027624">
            <w:fldChar w:fldCharType="separate"/>
          </w:r>
          <w:r w:rsidR="00E83F6E">
            <w:rPr>
              <w:noProof/>
            </w:rPr>
            <w:t xml:space="preserve"> (Department of Social Services, 2019)</w:t>
          </w:r>
          <w:r w:rsidRPr="00027624">
            <w:fldChar w:fldCharType="end"/>
          </w:r>
        </w:sdtContent>
      </w:sdt>
      <w:r w:rsidRPr="00027624">
        <w:t>.</w:t>
      </w:r>
    </w:p>
    <w:p w14:paraId="3D695776" w14:textId="542DBA72" w:rsidR="002A2FAE" w:rsidRPr="00027624" w:rsidRDefault="002A2FAE" w:rsidP="002A2FAE">
      <w:r w:rsidRPr="00027624">
        <w:t>The composition of the Age Pension population has not changed as much as superannuation balances and net worth for those over age 65. Superannuation balances (and overall net worth) for people aged over 65 have increased substantially in real terms since 2006 (</w:t>
      </w:r>
      <w:r w:rsidRPr="00027624">
        <w:fldChar w:fldCharType="begin"/>
      </w:r>
      <w:r w:rsidRPr="00027624">
        <w:instrText xml:space="preserve"> REF _Ref39491511 \r \h  \* MERGEFORMAT </w:instrText>
      </w:r>
      <w:r w:rsidRPr="00027624">
        <w:fldChar w:fldCharType="separate"/>
      </w:r>
      <w:r w:rsidR="00891058">
        <w:t>Chart 4A-5</w:t>
      </w:r>
      <w:r w:rsidRPr="00027624">
        <w:fldChar w:fldCharType="end"/>
      </w:r>
      <w:r w:rsidRPr="00027624">
        <w:t>). However, this growth has been from a relatively low base. The median age pensioner still has limited assets outside owner</w:t>
      </w:r>
      <w:r w:rsidR="00A8443E" w:rsidRPr="00027624">
        <w:noBreakHyphen/>
      </w:r>
      <w:r w:rsidRPr="00027624">
        <w:t>occupied housing (</w:t>
      </w:r>
      <w:r w:rsidRPr="00027624">
        <w:rPr>
          <w:iCs/>
        </w:rPr>
        <w:t xml:space="preserve">see </w:t>
      </w:r>
      <w:r w:rsidRPr="00027624">
        <w:rPr>
          <w:i/>
          <w:iCs/>
        </w:rPr>
        <w:t>3C. Home ownership status</w:t>
      </w:r>
      <w:r w:rsidRPr="00027624">
        <w:t>)</w:t>
      </w:r>
      <w:r w:rsidRPr="00027624">
        <w:rPr>
          <w:i/>
          <w:iCs/>
        </w:rPr>
        <w:t xml:space="preserve">. </w:t>
      </w:r>
      <w:r w:rsidRPr="00027624">
        <w:t>The design of the means test results in people moving from full</w:t>
      </w:r>
      <w:r w:rsidR="00A8443E" w:rsidRPr="00027624">
        <w:noBreakHyphen/>
      </w:r>
      <w:r w:rsidRPr="00027624">
        <w:t xml:space="preserve">rate </w:t>
      </w:r>
      <w:r w:rsidR="000527D4" w:rsidRPr="00027624">
        <w:t>A</w:t>
      </w:r>
      <w:r w:rsidRPr="00027624">
        <w:t xml:space="preserve">ge </w:t>
      </w:r>
      <w:r w:rsidR="000527D4" w:rsidRPr="00027624">
        <w:t>P</w:t>
      </w:r>
      <w:r w:rsidRPr="00027624">
        <w:t>ensions to part</w:t>
      </w:r>
      <w:r w:rsidR="00A8443E" w:rsidRPr="00027624">
        <w:noBreakHyphen/>
      </w:r>
      <w:r w:rsidRPr="00027624">
        <w:t xml:space="preserve">rate </w:t>
      </w:r>
      <w:r w:rsidR="000527D4" w:rsidRPr="00027624">
        <w:t>A</w:t>
      </w:r>
      <w:r w:rsidRPr="00027624">
        <w:t xml:space="preserve">ge </w:t>
      </w:r>
      <w:r w:rsidR="000527D4" w:rsidRPr="00027624">
        <w:t>P</w:t>
      </w:r>
      <w:r w:rsidRPr="00027624">
        <w:t>ensions more quickly than people move off the Age Pension altogether.</w:t>
      </w:r>
    </w:p>
    <w:p w14:paraId="0D4D0D88" w14:textId="77777777" w:rsidR="002A2FAE" w:rsidRPr="00027624" w:rsidRDefault="002A2FAE" w:rsidP="00FC7361">
      <w:pPr>
        <w:pStyle w:val="ChartMainHeading"/>
        <w:numPr>
          <w:ilvl w:val="2"/>
          <w:numId w:val="28"/>
        </w:numPr>
      </w:pPr>
      <w:bookmarkStart w:id="4033" w:name="_Ref39491511"/>
      <w:r w:rsidRPr="00027624">
        <w:t>Change in assets of people aged 65 and over compared with CPI growth</w:t>
      </w:r>
      <w:bookmarkEnd w:id="4033"/>
    </w:p>
    <w:p w14:paraId="600CDA2B" w14:textId="77777777" w:rsidR="002A2FAE" w:rsidRPr="00027624" w:rsidRDefault="000C7212" w:rsidP="00232C88">
      <w:pPr>
        <w:pStyle w:val="ChartGraphic"/>
      </w:pPr>
      <w:r>
        <w:rPr>
          <w:noProof/>
        </w:rPr>
        <w:drawing>
          <wp:inline distT="0" distB="0" distL="0" distR="0" wp14:anchorId="40727D3A" wp14:editId="033AEBF9">
            <wp:extent cx="5440680" cy="2606040"/>
            <wp:effectExtent l="0" t="0" r="7620" b="3810"/>
            <wp:docPr id="761061974" name="Picture 761061974" descr="This chart shows the assets (both total wealth and superannuation balances) in real terms of those aged 65 and over have increased significantly from 2006 to 2018. " title="Chart 4A-5 Change in assets of people aged 65 and over compared with CPI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40680" cy="2606040"/>
                    </a:xfrm>
                    <a:prstGeom prst="rect">
                      <a:avLst/>
                    </a:prstGeom>
                    <a:noFill/>
                  </pic:spPr>
                </pic:pic>
              </a:graphicData>
            </a:graphic>
          </wp:inline>
        </w:drawing>
      </w:r>
    </w:p>
    <w:p w14:paraId="681A9390" w14:textId="77777777" w:rsidR="002A2FAE" w:rsidRPr="00027624" w:rsidDel="00677870" w:rsidRDefault="002A2FAE" w:rsidP="002A2FAE">
      <w:pPr>
        <w:pStyle w:val="ChartorTableNote"/>
      </w:pPr>
      <w:r w:rsidRPr="00027624">
        <w:t>Note: Values indexed relative to 2005</w:t>
      </w:r>
      <w:r w:rsidR="00A8443E" w:rsidRPr="00027624">
        <w:noBreakHyphen/>
      </w:r>
      <w:r w:rsidRPr="00027624">
        <w:t>06. Source: Analysis of Household Income and Wealth, 2005</w:t>
      </w:r>
      <w:r w:rsidR="00A8443E" w:rsidRPr="00027624">
        <w:noBreakHyphen/>
      </w:r>
      <w:r w:rsidRPr="00027624">
        <w:t>06 to 2017</w:t>
      </w:r>
      <w:r w:rsidR="00A8443E" w:rsidRPr="00027624">
        <w:noBreakHyphen/>
      </w:r>
      <w:r w:rsidRPr="00027624">
        <w:t xml:space="preserve">18 </w:t>
      </w:r>
      <w:sdt>
        <w:sdtPr>
          <w:id w:val="-1387414375"/>
          <w:citation/>
        </w:sdtPr>
        <w:sdtEndPr/>
        <w:sdtContent>
          <w:r w:rsidRPr="00027624">
            <w:fldChar w:fldCharType="begin"/>
          </w:r>
          <w:r w:rsidRPr="00027624">
            <w:instrText xml:space="preserve"> CITATION ABS198 \l 3081 </w:instrText>
          </w:r>
          <w:r w:rsidRPr="00027624">
            <w:fldChar w:fldCharType="separate"/>
          </w:r>
          <w:r w:rsidR="00E83F6E">
            <w:rPr>
              <w:noProof/>
            </w:rPr>
            <w:t>(ABS, 2019k)</w:t>
          </w:r>
          <w:r w:rsidRPr="00027624">
            <w:fldChar w:fldCharType="end"/>
          </w:r>
        </w:sdtContent>
      </w:sdt>
      <w:r w:rsidRPr="00027624">
        <w:t xml:space="preserve">; </w:t>
      </w:r>
      <w:sdt>
        <w:sdtPr>
          <w:id w:val="69940962"/>
          <w:citation/>
        </w:sdtPr>
        <w:sdtEndPr/>
        <w:sdtContent>
          <w:r w:rsidRPr="00027624">
            <w:fldChar w:fldCharType="begin"/>
          </w:r>
          <w:r w:rsidRPr="00027624">
            <w:instrText xml:space="preserve"> CITATION ABS202e \l 3081 </w:instrText>
          </w:r>
          <w:r w:rsidRPr="00027624">
            <w:fldChar w:fldCharType="separate"/>
          </w:r>
          <w:r w:rsidR="00E83F6E">
            <w:rPr>
              <w:noProof/>
            </w:rPr>
            <w:t>(ABS, 2020e)</w:t>
          </w:r>
          <w:r w:rsidRPr="00027624">
            <w:fldChar w:fldCharType="end"/>
          </w:r>
        </w:sdtContent>
      </w:sdt>
      <w:r w:rsidRPr="00027624">
        <w:t>.</w:t>
      </w:r>
    </w:p>
    <w:p w14:paraId="5E9BE363" w14:textId="77777777" w:rsidR="002A2FAE" w:rsidRPr="00027624" w:rsidRDefault="002A2FAE" w:rsidP="002A2FAE">
      <w:pPr>
        <w:pStyle w:val="Heading3"/>
      </w:pPr>
      <w:r w:rsidRPr="00027624">
        <w:t xml:space="preserve">Superannuation </w:t>
      </w:r>
      <w:r w:rsidRPr="00027624" w:rsidDel="00E36F7D">
        <w:t xml:space="preserve">tax </w:t>
      </w:r>
      <w:r w:rsidRPr="00027624">
        <w:t>concessions</w:t>
      </w:r>
    </w:p>
    <w:p w14:paraId="1D6F3245" w14:textId="77777777" w:rsidR="002A2FAE" w:rsidRPr="00027624" w:rsidRDefault="002A2FAE" w:rsidP="002A2FAE">
      <w:r w:rsidRPr="00027624">
        <w:t xml:space="preserve">The cost of superannuation </w:t>
      </w:r>
      <w:r w:rsidRPr="00027624" w:rsidDel="00E36F7D">
        <w:t>tax</w:t>
      </w:r>
      <w:r w:rsidRPr="00027624">
        <w:t xml:space="preserve"> concessions represents forgone tax revenue for the Government, as</w:t>
      </w:r>
      <w:r w:rsidRPr="00027624" w:rsidDel="006123BE">
        <w:t xml:space="preserve"> opposed to </w:t>
      </w:r>
      <w:r w:rsidRPr="00027624">
        <w:t>a direct expenditure cost.</w:t>
      </w:r>
      <w:r w:rsidRPr="00027624">
        <w:rPr>
          <w:rStyle w:val="FootnoteReference"/>
        </w:rPr>
        <w:footnoteReference w:id="243"/>
      </w:r>
      <w:r w:rsidRPr="00027624">
        <w:t xml:space="preserve"> The cost of tax concessions is not observed but estimated by </w:t>
      </w:r>
      <w:r w:rsidRPr="00027624">
        <w:lastRenderedPageBreak/>
        <w:t>comparing actual revenue received with what might have been collected in the absence of concessions. Constructing this counterfactual is not straightforward. Opinions differ around the appropriate tax benchmark and the potential effect of behavioural change.</w:t>
      </w:r>
    </w:p>
    <w:p w14:paraId="4DE84AB8" w14:textId="3DE846F5" w:rsidR="002A2FAE" w:rsidRPr="00027624" w:rsidRDefault="002A2FAE" w:rsidP="002A2FAE">
      <w:r w:rsidRPr="00027624">
        <w:t xml:space="preserve">This </w:t>
      </w:r>
      <w:r w:rsidR="00232C88" w:rsidRPr="00027624">
        <w:t>review</w:t>
      </w:r>
      <w:r w:rsidRPr="00027624">
        <w:t xml:space="preserve"> uses a comprehensive income tax benchmark to measure the cost of superannuation tax concessions. This means tax revenue actually collected is compared with the estimated amount that would have been collected if contributions and earnings were all taxed at full marginal rates. An alternative benchmark is an expenditure tax benchmark, which taxes contributions at full marginal rates but treats earnings as tax</w:t>
      </w:r>
      <w:r w:rsidR="00A8443E" w:rsidRPr="00027624">
        <w:noBreakHyphen/>
      </w:r>
      <w:r w:rsidRPr="00027624">
        <w:t xml:space="preserve">free. </w:t>
      </w:r>
      <w:r w:rsidRPr="00027624">
        <w:rPr>
          <w:i/>
        </w:rPr>
        <w:fldChar w:fldCharType="begin"/>
      </w:r>
      <w:r w:rsidRPr="00027624">
        <w:rPr>
          <w:i/>
        </w:rPr>
        <w:instrText xml:space="preserve"> REF _Ref43117316 \h  \* MERGEFORMAT </w:instrText>
      </w:r>
      <w:r w:rsidRPr="00027624">
        <w:rPr>
          <w:i/>
        </w:rPr>
      </w:r>
      <w:r w:rsidRPr="00027624">
        <w:rPr>
          <w:i/>
        </w:rPr>
        <w:fldChar w:fldCharType="separate"/>
      </w:r>
      <w:r w:rsidR="00891058" w:rsidRPr="00027624">
        <w:rPr>
          <w:i/>
        </w:rPr>
        <w:t>Annex — estimating superannuation tax concessions</w:t>
      </w:r>
      <w:r w:rsidRPr="00027624">
        <w:rPr>
          <w:i/>
        </w:rPr>
        <w:fldChar w:fldCharType="end"/>
      </w:r>
      <w:r w:rsidRPr="00027624">
        <w:rPr>
          <w:i/>
          <w:iCs/>
        </w:rPr>
        <w:t xml:space="preserve"> </w:t>
      </w:r>
      <w:r w:rsidRPr="00027624">
        <w:t xml:space="preserve">provides more detail on the tax benchmark used in this </w:t>
      </w:r>
      <w:r w:rsidR="00232C88" w:rsidRPr="00027624">
        <w:t>review</w:t>
      </w:r>
      <w:r w:rsidRPr="00027624">
        <w:t>.</w:t>
      </w:r>
    </w:p>
    <w:p w14:paraId="638763E3" w14:textId="28EBF285" w:rsidR="002A2FAE" w:rsidRPr="00027624" w:rsidRDefault="002A2FAE" w:rsidP="002A2FAE">
      <w:r w:rsidRPr="00027624">
        <w:rPr>
          <w:b/>
        </w:rPr>
        <w:t>Both contributions and earnings tax concessions have increased in real terms over the past 20 years</w:t>
      </w:r>
      <w:r w:rsidRPr="00027624">
        <w:t xml:space="preserve"> (</w:t>
      </w:r>
      <w:r w:rsidRPr="00027624">
        <w:fldChar w:fldCharType="begin"/>
      </w:r>
      <w:r w:rsidRPr="00027624">
        <w:instrText xml:space="preserve"> REF _Ref39153944 \r \h  \* MERGEFORMAT </w:instrText>
      </w:r>
      <w:r w:rsidRPr="00027624">
        <w:fldChar w:fldCharType="separate"/>
      </w:r>
      <w:r w:rsidR="00891058">
        <w:t>Chart 4A-6</w:t>
      </w:r>
      <w:r w:rsidRPr="00027624">
        <w:fldChar w:fldCharType="end"/>
      </w:r>
      <w:r w:rsidRPr="00027624">
        <w:t>)</w:t>
      </w:r>
      <w:r w:rsidRPr="00027624">
        <w:rPr>
          <w:b/>
          <w:bCs/>
        </w:rPr>
        <w:t>.</w:t>
      </w:r>
      <w:r w:rsidRPr="00027624">
        <w:t xml:space="preserve"> In general, earnings tax concessions are more volatile than contributions tax concessions because earnings are closely linked to financial markets. Contributions tax concessions are linked to wage growth and employment levels. Some variation in the value of both tax concessions can be attributed to changes in the personal income tax rates and thresholds, which are the benchmark tax treatment.</w:t>
      </w:r>
    </w:p>
    <w:p w14:paraId="5C0FDCA5" w14:textId="77777777" w:rsidR="002A2FAE" w:rsidRPr="00027624" w:rsidRDefault="002A2FAE" w:rsidP="00FC7361">
      <w:pPr>
        <w:pStyle w:val="ChartMainHeading"/>
        <w:numPr>
          <w:ilvl w:val="2"/>
          <w:numId w:val="28"/>
        </w:numPr>
      </w:pPr>
      <w:bookmarkStart w:id="4034" w:name="_Ref39153944"/>
      <w:bookmarkStart w:id="4035" w:name="_Ref43298287"/>
      <w:r w:rsidRPr="00027624">
        <w:t>The cost of superannuation tax concessions</w:t>
      </w:r>
      <w:bookmarkEnd w:id="4034"/>
      <w:bookmarkEnd w:id="4035"/>
    </w:p>
    <w:p w14:paraId="67909655" w14:textId="77777777" w:rsidR="002A2FAE" w:rsidRPr="00027624" w:rsidRDefault="00053F72" w:rsidP="002A2FAE">
      <w:pPr>
        <w:pStyle w:val="ChartGraphic"/>
      </w:pPr>
      <w:r>
        <w:rPr>
          <w:noProof/>
        </w:rPr>
        <w:drawing>
          <wp:inline distT="0" distB="0" distL="0" distR="0" wp14:anchorId="067B5107" wp14:editId="43E03B68">
            <wp:extent cx="5547360" cy="2522220"/>
            <wp:effectExtent l="0" t="0" r="0" b="0"/>
            <wp:docPr id="761061975" name="Picture 761061975" descr="This chart shows the increase (in 2019 real dollars) of superannuation tax concession from $15 billion in 2001 to $40 billion in 2019. Concessions are made up of mostly an even split of employer contributions concessions and earnings tax concessions." title="Chart 4A-6 The cost of superannuation tax conce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547360" cy="2522220"/>
                    </a:xfrm>
                    <a:prstGeom prst="rect">
                      <a:avLst/>
                    </a:prstGeom>
                    <a:noFill/>
                  </pic:spPr>
                </pic:pic>
              </a:graphicData>
            </a:graphic>
          </wp:inline>
        </w:drawing>
      </w:r>
    </w:p>
    <w:p w14:paraId="30E42667" w14:textId="77777777" w:rsidR="002A2FAE" w:rsidRPr="00027624" w:rsidRDefault="002A2FAE" w:rsidP="002A2FAE">
      <w:pPr>
        <w:pStyle w:val="ChartorTableNote"/>
      </w:pPr>
      <w:r w:rsidRPr="00027624">
        <w:t>Note: Values are in 2018</w:t>
      </w:r>
      <w:r w:rsidR="00A8443E" w:rsidRPr="00027624">
        <w:noBreakHyphen/>
      </w:r>
      <w:r w:rsidRPr="00027624">
        <w:t>19 dollars, inflated by CPI.</w:t>
      </w:r>
      <w:r w:rsidRPr="00027624">
        <w:rPr>
          <w:noProof/>
        </w:rPr>
        <w:t xml:space="preserve"> This time series is presented to illustrate the general trend. The cost of tax concessions is estimated independently each year (i.e. there is no dynamic impact of the removal of concessions over time), and year</w:t>
      </w:r>
      <w:r w:rsidR="00A8443E" w:rsidRPr="00027624">
        <w:rPr>
          <w:noProof/>
        </w:rPr>
        <w:noBreakHyphen/>
      </w:r>
      <w:r w:rsidRPr="00027624">
        <w:rPr>
          <w:noProof/>
        </w:rPr>
        <w:t>to</w:t>
      </w:r>
      <w:r w:rsidR="00A8443E" w:rsidRPr="00027624">
        <w:rPr>
          <w:noProof/>
        </w:rPr>
        <w:noBreakHyphen/>
      </w:r>
      <w:r w:rsidRPr="00027624">
        <w:rPr>
          <w:noProof/>
        </w:rPr>
        <w:t>year estimates may be subject to changes in policy benchmarks, data, assumptions and methodology. Personal contribution</w:t>
      </w:r>
      <w:r w:rsidR="00FF2FA7" w:rsidRPr="00027624">
        <w:rPr>
          <w:noProof/>
        </w:rPr>
        <w:t>s</w:t>
      </w:r>
      <w:r w:rsidRPr="00027624">
        <w:rPr>
          <w:noProof/>
        </w:rPr>
        <w:t xml:space="preserve"> tax concessions stem from people making contributions from post</w:t>
      </w:r>
      <w:r w:rsidR="00A8443E" w:rsidRPr="00027624">
        <w:rPr>
          <w:noProof/>
        </w:rPr>
        <w:noBreakHyphen/>
      </w:r>
      <w:r w:rsidRPr="00027624">
        <w:rPr>
          <w:noProof/>
        </w:rPr>
        <w:t xml:space="preserve">tax income, but claiming a deduction on their tax return. </w:t>
      </w:r>
      <w:r w:rsidRPr="00027624">
        <w:t>Source: Tax Expenditures Statement 2004 to 2017</w:t>
      </w:r>
      <w:sdt>
        <w:sdtPr>
          <w:id w:val="958149864"/>
          <w:citation/>
        </w:sdtPr>
        <w:sdtEndPr/>
        <w:sdtContent>
          <w:r w:rsidRPr="00027624">
            <w:fldChar w:fldCharType="begin"/>
          </w:r>
          <w:r w:rsidRPr="00027624">
            <w:instrText xml:space="preserve">CITATION TreEx18 \l 3081 </w:instrText>
          </w:r>
          <w:r w:rsidRPr="00027624">
            <w:fldChar w:fldCharType="separate"/>
          </w:r>
          <w:r w:rsidR="00E83F6E">
            <w:rPr>
              <w:noProof/>
            </w:rPr>
            <w:t xml:space="preserve"> (The Treasury, 2018b)</w:t>
          </w:r>
          <w:r w:rsidRPr="00027624">
            <w:fldChar w:fldCharType="end"/>
          </w:r>
        </w:sdtContent>
      </w:sdt>
      <w:r w:rsidRPr="00027624">
        <w:t xml:space="preserve">; Tax Benchmarks and Variations Statement 2018 to 2019 </w:t>
      </w:r>
      <w:sdt>
        <w:sdtPr>
          <w:id w:val="-1424483514"/>
          <w:citation/>
        </w:sdtPr>
        <w:sdtEndPr/>
        <w:sdtContent>
          <w:r w:rsidRPr="00027624">
            <w:fldChar w:fldCharType="begin"/>
          </w:r>
          <w:r w:rsidRPr="00027624">
            <w:instrText xml:space="preserve">CITATION TreB201 \l 3081 </w:instrText>
          </w:r>
          <w:r w:rsidRPr="00027624">
            <w:fldChar w:fldCharType="separate"/>
          </w:r>
          <w:r w:rsidR="00E83F6E">
            <w:rPr>
              <w:noProof/>
            </w:rPr>
            <w:t>(The Treasury, 2020)</w:t>
          </w:r>
          <w:r w:rsidRPr="00027624">
            <w:fldChar w:fldCharType="end"/>
          </w:r>
        </w:sdtContent>
      </w:sdt>
      <w:r w:rsidRPr="00027624">
        <w:t>.</w:t>
      </w:r>
    </w:p>
    <w:p w14:paraId="3BA209FF" w14:textId="77777777" w:rsidR="00AB09DB" w:rsidRPr="00027624" w:rsidRDefault="00AB09DB" w:rsidP="00AB09DB">
      <w:r w:rsidRPr="00027624">
        <w:t>Total contributions have grown faster (75 per cent from June 2004 to June 2019) in real terms than salary and wages (55 per cent),</w:t>
      </w:r>
      <w:r w:rsidRPr="00027624">
        <w:rPr>
          <w:rStyle w:val="FootnoteReference"/>
        </w:rPr>
        <w:footnoteReference w:id="244"/>
      </w:r>
      <w:r w:rsidRPr="00027624">
        <w:t xml:space="preserve"> partly due to the 0.5 percentage point increase in the SG rate over 2013</w:t>
      </w:r>
      <w:r w:rsidRPr="00027624">
        <w:noBreakHyphen/>
        <w:t>15. The cost of contributions tax concessions has grown more slowly (62 per cent) than contributions, reflecting the tightening of policy settings, such as lower contributions caps and a reduced Division 293 tax threshold. Introducing the transfer balance cap, which restricts the amount that can be taken into the retirement phase where earnings are tax</w:t>
      </w:r>
      <w:r w:rsidRPr="00027624">
        <w:noBreakHyphen/>
        <w:t>free, has partly restrained growth in earnings tax concessions.</w:t>
      </w:r>
    </w:p>
    <w:p w14:paraId="5266478A" w14:textId="3479BB7F" w:rsidR="00AB09DB" w:rsidRPr="00027624" w:rsidRDefault="00AB09DB" w:rsidP="00185891">
      <w:pPr>
        <w:keepLines/>
      </w:pPr>
      <w:r w:rsidRPr="00027624">
        <w:lastRenderedPageBreak/>
        <w:t xml:space="preserve">Contributions and earnings </w:t>
      </w:r>
      <w:r w:rsidRPr="00027624" w:rsidDel="00E36F7D">
        <w:t xml:space="preserve">tax </w:t>
      </w:r>
      <w:r w:rsidRPr="00027624">
        <w:t xml:space="preserve">concessions together were estimated to cost </w:t>
      </w:r>
      <w:r w:rsidRPr="00027624" w:rsidDel="003934ED">
        <w:t>a</w:t>
      </w:r>
      <w:r w:rsidRPr="00027624">
        <w:t xml:space="preserve"> total of $41.55 billion in revenue forgone terms in 2018</w:t>
      </w:r>
      <w:r w:rsidRPr="00027624">
        <w:noBreakHyphen/>
        <w:t>19 (</w:t>
      </w:r>
      <w:r w:rsidRPr="00027624">
        <w:fldChar w:fldCharType="begin"/>
      </w:r>
      <w:r w:rsidRPr="00027624">
        <w:instrText xml:space="preserve"> REF _Ref43298287 \r \h  \* MERGEFORMAT </w:instrText>
      </w:r>
      <w:r w:rsidRPr="00027624">
        <w:fldChar w:fldCharType="separate"/>
      </w:r>
      <w:r w:rsidR="00891058">
        <w:t>Chart 4A-6</w:t>
      </w:r>
      <w:r w:rsidRPr="00027624">
        <w:fldChar w:fldCharType="end"/>
      </w:r>
      <w:r w:rsidRPr="00027624">
        <w:t>).</w:t>
      </w:r>
      <w:r w:rsidRPr="00027624">
        <w:rPr>
          <w:rStyle w:val="FootnoteReference"/>
        </w:rPr>
        <w:footnoteReference w:id="245"/>
      </w:r>
      <w:r w:rsidRPr="00027624">
        <w:t xml:space="preserve"> Of this, $18.3 billion was employer contributions </w:t>
      </w:r>
      <w:r w:rsidRPr="00027624" w:rsidDel="00E36F7D">
        <w:t xml:space="preserve">tax </w:t>
      </w:r>
      <w:r w:rsidRPr="00027624">
        <w:t xml:space="preserve">concessions (both compulsory and salary sacrifice) and $22.1 billion was earnings </w:t>
      </w:r>
      <w:r w:rsidRPr="00027624" w:rsidDel="00E36F7D">
        <w:t xml:space="preserve">tax </w:t>
      </w:r>
      <w:r w:rsidRPr="00027624">
        <w:t xml:space="preserve">concessions. Only $1.1 billion was personal contributions </w:t>
      </w:r>
      <w:r w:rsidRPr="00027624" w:rsidDel="00E36F7D">
        <w:t xml:space="preserve">tax </w:t>
      </w:r>
      <w:r w:rsidRPr="00027624">
        <w:t>concessions, reflecting that</w:t>
      </w:r>
      <w:r w:rsidRPr="00027624" w:rsidDel="00D426F9">
        <w:t xml:space="preserve"> </w:t>
      </w:r>
      <w:r w:rsidRPr="00027624">
        <w:t>less than 10 per cent of personal contributions are concessional.</w:t>
      </w:r>
    </w:p>
    <w:p w14:paraId="38D3530C" w14:textId="492BD45A" w:rsidR="002A2FAE" w:rsidRPr="00027624" w:rsidRDefault="002A2FAE" w:rsidP="002A2FAE">
      <w:pPr>
        <w:spacing w:before="240"/>
      </w:pPr>
      <w:r w:rsidRPr="00027624">
        <w:t>The cost of tax concessions peaked in 2007</w:t>
      </w:r>
      <w:r w:rsidR="00A8443E" w:rsidRPr="00027624">
        <w:noBreakHyphen/>
      </w:r>
      <w:r w:rsidRPr="00027624">
        <w:t>08 at $46.6 billion, before declining substantially to $29.7 billion in 2009</w:t>
      </w:r>
      <w:r w:rsidR="00A8443E" w:rsidRPr="00027624">
        <w:noBreakHyphen/>
      </w:r>
      <w:r w:rsidRPr="00027624">
        <w:t>10.</w:t>
      </w:r>
      <w:r w:rsidRPr="00027624">
        <w:rPr>
          <w:rStyle w:val="FootnoteReference"/>
        </w:rPr>
        <w:footnoteReference w:id="246"/>
      </w:r>
      <w:r w:rsidRPr="00027624">
        <w:t xml:space="preserve"> They were then relatively stable in real terms until around 2015. Since then, they have grown by almost 40 per cent. The same pattern is observed as both a</w:t>
      </w:r>
      <w:r w:rsidRPr="00027624" w:rsidDel="002C6366">
        <w:t xml:space="preserve"> </w:t>
      </w:r>
      <w:r w:rsidRPr="00027624">
        <w:t>percentage of GDP and the Commonwealth Budget (</w:t>
      </w:r>
      <w:r w:rsidRPr="00027624">
        <w:fldChar w:fldCharType="begin"/>
      </w:r>
      <w:r w:rsidRPr="00027624">
        <w:instrText xml:space="preserve"> REF _Ref39491680 \r \h  \* MERGEFORMAT </w:instrText>
      </w:r>
      <w:r w:rsidRPr="00027624">
        <w:fldChar w:fldCharType="separate"/>
      </w:r>
      <w:r w:rsidR="00891058">
        <w:t>Chart 4A-7</w:t>
      </w:r>
      <w:r w:rsidRPr="00027624">
        <w:fldChar w:fldCharType="end"/>
      </w:r>
      <w:r w:rsidRPr="00027624">
        <w:t>).</w:t>
      </w:r>
    </w:p>
    <w:p w14:paraId="1E25CC00" w14:textId="77777777" w:rsidR="002A2FAE" w:rsidRPr="00027624" w:rsidRDefault="002A2FAE" w:rsidP="002A2FAE">
      <w:pPr>
        <w:rPr>
          <w:b/>
        </w:rPr>
      </w:pPr>
      <w:r w:rsidRPr="00027624">
        <w:t>Since 2000</w:t>
      </w:r>
      <w:r w:rsidR="00A8443E" w:rsidRPr="00027624">
        <w:noBreakHyphen/>
      </w:r>
      <w:r w:rsidRPr="00027624">
        <w:t xml:space="preserve">01, the cost of superannuation tax concessions has grown faster than the Age Pension as a percentage of GDP. </w:t>
      </w:r>
      <w:r w:rsidRPr="00027624">
        <w:rPr>
          <w:b/>
        </w:rPr>
        <w:t>By 2018</w:t>
      </w:r>
      <w:r w:rsidR="00A8443E" w:rsidRPr="00027624">
        <w:rPr>
          <w:b/>
        </w:rPr>
        <w:noBreakHyphen/>
      </w:r>
      <w:r w:rsidRPr="00027624">
        <w:rPr>
          <w:b/>
        </w:rPr>
        <w:t>19, the cost of superannuation tax concessions was only 0.25 percentage points less than the cost of the Age Pension as a percentage of GDP.</w:t>
      </w:r>
    </w:p>
    <w:p w14:paraId="2B0FF145" w14:textId="77777777" w:rsidR="002A2FAE" w:rsidRPr="00027624" w:rsidRDefault="002A2FAE" w:rsidP="00FC7361">
      <w:pPr>
        <w:pStyle w:val="ChartMainHeading"/>
        <w:numPr>
          <w:ilvl w:val="2"/>
          <w:numId w:val="28"/>
        </w:numPr>
      </w:pPr>
      <w:bookmarkStart w:id="4036" w:name="_Ref39491680"/>
      <w:r w:rsidRPr="00027624">
        <w:t>The cost of superannuation tax concessions</w:t>
      </w:r>
      <w:bookmarkEnd w:id="4036"/>
    </w:p>
    <w:p w14:paraId="1DA7B2AB" w14:textId="77777777" w:rsidR="002A2FAE" w:rsidRPr="00027624" w:rsidRDefault="00053F72" w:rsidP="00053F72">
      <w:pPr>
        <w:pStyle w:val="ChartGraphic"/>
      </w:pPr>
      <w:r>
        <w:rPr>
          <w:noProof/>
        </w:rPr>
        <w:drawing>
          <wp:inline distT="0" distB="0" distL="0" distR="0" wp14:anchorId="0C53E8A8" wp14:editId="0A111E18">
            <wp:extent cx="5593080" cy="2628900"/>
            <wp:effectExtent l="0" t="0" r="7620" b="0"/>
            <wp:docPr id="761061976" name="Picture 761061976" descr="This chart shows the cost of superannuation tax concessions as a percentage of GDP and the Commonwealth budget from 2001 to 2019. There is a large increase in 2008 and return to trend thereafter. Tax concessions have cost about 2 per cent of GDP and approximately 8 per cent of GDP over the past decade. " title="Chart 4A-7 The cost of superannuation tax conce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593080" cy="2628900"/>
                    </a:xfrm>
                    <a:prstGeom prst="rect">
                      <a:avLst/>
                    </a:prstGeom>
                    <a:noFill/>
                  </pic:spPr>
                </pic:pic>
              </a:graphicData>
            </a:graphic>
          </wp:inline>
        </w:drawing>
      </w:r>
    </w:p>
    <w:p w14:paraId="457E125A" w14:textId="77777777" w:rsidR="002A2FAE" w:rsidRPr="00027624" w:rsidRDefault="002A2FAE">
      <w:pPr>
        <w:pStyle w:val="ChartorTableNote"/>
      </w:pPr>
      <w:r w:rsidRPr="00027624">
        <w:t>Source: Analysis of Tax Expenditures Statement 2004 to 2017</w:t>
      </w:r>
      <w:sdt>
        <w:sdtPr>
          <w:id w:val="-1878763162"/>
          <w:citation/>
        </w:sdtPr>
        <w:sdtEndPr/>
        <w:sdtContent>
          <w:r w:rsidRPr="00027624">
            <w:fldChar w:fldCharType="begin"/>
          </w:r>
          <w:r w:rsidRPr="00027624">
            <w:instrText xml:space="preserve">CITATION TreEx18 \l 3081 </w:instrText>
          </w:r>
          <w:r w:rsidRPr="00027624">
            <w:fldChar w:fldCharType="separate"/>
          </w:r>
          <w:r w:rsidR="00E83F6E">
            <w:rPr>
              <w:noProof/>
            </w:rPr>
            <w:t xml:space="preserve"> (The Treasury, 2018b)</w:t>
          </w:r>
          <w:r w:rsidRPr="00027624">
            <w:fldChar w:fldCharType="end"/>
          </w:r>
        </w:sdtContent>
      </w:sdt>
      <w:r w:rsidRPr="00027624">
        <w:t xml:space="preserve">, Tax Benchmarks and Variations Statement 2018 to 2019 </w:t>
      </w:r>
      <w:sdt>
        <w:sdtPr>
          <w:id w:val="58526392"/>
          <w:citation/>
        </w:sdtPr>
        <w:sdtEndPr/>
        <w:sdtContent>
          <w:r w:rsidRPr="00027624">
            <w:fldChar w:fldCharType="begin"/>
          </w:r>
          <w:r w:rsidRPr="00027624">
            <w:instrText xml:space="preserve">CITATION TreB201 \l 3081 </w:instrText>
          </w:r>
          <w:r w:rsidRPr="00027624">
            <w:fldChar w:fldCharType="separate"/>
          </w:r>
          <w:r w:rsidR="00E83F6E">
            <w:rPr>
              <w:noProof/>
            </w:rPr>
            <w:t>(The Treasury, 2020)</w:t>
          </w:r>
          <w:r w:rsidRPr="00027624">
            <w:fldChar w:fldCharType="end"/>
          </w:r>
        </w:sdtContent>
      </w:sdt>
      <w:r w:rsidRPr="00027624">
        <w:t xml:space="preserve">, </w:t>
      </w:r>
      <w:sdt>
        <w:sdtPr>
          <w:id w:val="-1733536997"/>
          <w:citation/>
        </w:sdtPr>
        <w:sdtEndPr/>
        <w:sdtContent>
          <w:r w:rsidRPr="00027624">
            <w:fldChar w:fldCharType="begin"/>
          </w:r>
          <w:r w:rsidRPr="00027624">
            <w:instrText xml:space="preserve"> CITATION ABS19mm \l 3081 </w:instrText>
          </w:r>
          <w:r w:rsidRPr="00027624">
            <w:fldChar w:fldCharType="separate"/>
          </w:r>
          <w:r w:rsidR="00E83F6E">
            <w:rPr>
              <w:noProof/>
            </w:rPr>
            <w:t>(ABS, 2019d)</w:t>
          </w:r>
          <w:r w:rsidRPr="00027624">
            <w:fldChar w:fldCharType="end"/>
          </w:r>
        </w:sdtContent>
      </w:sdt>
      <w:r w:rsidRPr="00027624">
        <w:t>, and data provided by The Treasury for the review.</w:t>
      </w:r>
    </w:p>
    <w:p w14:paraId="1092E46F" w14:textId="77777777" w:rsidR="002A2FAE" w:rsidRPr="00027624" w:rsidRDefault="002A2FAE" w:rsidP="002A2FAE">
      <w:pPr>
        <w:pStyle w:val="Heading3"/>
      </w:pPr>
      <w:r w:rsidRPr="00027624">
        <w:t>Superannuation fees</w:t>
      </w:r>
    </w:p>
    <w:p w14:paraId="6E5232B7" w14:textId="77777777" w:rsidR="002A2FAE" w:rsidRPr="00027624" w:rsidRDefault="002A2FAE" w:rsidP="002A2FAE">
      <w:r w:rsidRPr="00027624">
        <w:t>Superannuation fees have been analysed extensively in recent years</w:t>
      </w:r>
      <w:sdt>
        <w:sdtPr>
          <w:id w:val="-1165548494"/>
          <w:citation/>
        </w:sdtPr>
        <w:sdtEndPr/>
        <w:sdtContent>
          <w:r w:rsidRPr="00027624">
            <w:fldChar w:fldCharType="begin"/>
          </w:r>
          <w:r w:rsidRPr="00027624">
            <w:instrText xml:space="preserve">CITATION Pro18 \t  \m Min14 \t  \m Min15 \n  \t  \l 3081 </w:instrText>
          </w:r>
          <w:r w:rsidRPr="00027624">
            <w:fldChar w:fldCharType="separate"/>
          </w:r>
          <w:r w:rsidR="00E83F6E">
            <w:rPr>
              <w:noProof/>
            </w:rPr>
            <w:t xml:space="preserve"> (Productivity Commission, 2018a; Minifie, et al., 2014; 2015)</w:t>
          </w:r>
          <w:r w:rsidRPr="00027624">
            <w:fldChar w:fldCharType="end"/>
          </w:r>
        </w:sdtContent>
      </w:sdt>
      <w:r w:rsidRPr="00027624">
        <w:t xml:space="preserve">. These studies found fees across the system have trended down as a percentage of assets in recent years but there is scope for further reductions that would improve net returns, particularly among retail funds. The Productivity Commission </w:t>
      </w:r>
      <w:sdt>
        <w:sdtPr>
          <w:id w:val="37017609"/>
          <w:citation/>
        </w:sdtPr>
        <w:sdtEndPr/>
        <w:sdtContent>
          <w:r w:rsidRPr="00027624">
            <w:fldChar w:fldCharType="begin"/>
          </w:r>
          <w:r w:rsidRPr="00027624">
            <w:instrText xml:space="preserve">CITATION Pro18 \n  \t  \l 3081 </w:instrText>
          </w:r>
          <w:r w:rsidRPr="00027624">
            <w:fldChar w:fldCharType="separate"/>
          </w:r>
          <w:r w:rsidR="00E83F6E">
            <w:rPr>
              <w:noProof/>
            </w:rPr>
            <w:t>(2018a)</w:t>
          </w:r>
          <w:r w:rsidRPr="00027624">
            <w:fldChar w:fldCharType="end"/>
          </w:r>
        </w:sdtContent>
      </w:sdt>
      <w:r w:rsidRPr="00027624">
        <w:t xml:space="preserve"> noted that </w:t>
      </w:r>
      <w:r w:rsidRPr="00027624">
        <w:rPr>
          <w:b/>
        </w:rPr>
        <w:t>just</w:t>
      </w:r>
      <w:r w:rsidRPr="00027624">
        <w:t xml:space="preserve"> </w:t>
      </w:r>
      <w:r w:rsidRPr="00027624">
        <w:rPr>
          <w:b/>
        </w:rPr>
        <w:t>0.5 percentage points extra in fees across a working life can reduce retirement balances by 12 per cent</w:t>
      </w:r>
      <w:r w:rsidRPr="00027624">
        <w:t>. The projected impact of lower fees on future retirement incomes is analysed below.</w:t>
      </w:r>
    </w:p>
    <w:p w14:paraId="62707FC1" w14:textId="77777777" w:rsidR="002A2FAE" w:rsidRPr="00027624" w:rsidRDefault="002A2FAE" w:rsidP="002A2FAE">
      <w:pPr>
        <w:pStyle w:val="Heading3"/>
      </w:pPr>
      <w:r w:rsidRPr="00027624">
        <w:lastRenderedPageBreak/>
        <w:t>Other costs of the retirement income system</w:t>
      </w:r>
    </w:p>
    <w:p w14:paraId="10E1F0E6" w14:textId="77777777" w:rsidR="002A2FAE" w:rsidRPr="00027624" w:rsidRDefault="002A2FAE" w:rsidP="002A2FAE">
      <w:r w:rsidRPr="00027624">
        <w:t>A range of other costs are incurred in supporting retirement outcomes. Some of these are not large by themselves (compared to the Age Pension and superannuation tax concessions), but they are numerous and can add up to a substantial cost.</w:t>
      </w:r>
    </w:p>
    <w:p w14:paraId="46E35C9B" w14:textId="77777777" w:rsidR="002A2FAE" w:rsidRPr="00027624" w:rsidRDefault="002A2FAE" w:rsidP="002A2FAE">
      <w:pPr>
        <w:pStyle w:val="Bullet"/>
        <w:tabs>
          <w:tab w:val="num" w:pos="851"/>
        </w:tabs>
      </w:pPr>
      <w:r w:rsidRPr="00027624">
        <w:t>Government superannuation co</w:t>
      </w:r>
      <w:r w:rsidR="00A8443E" w:rsidRPr="00027624">
        <w:noBreakHyphen/>
      </w:r>
      <w:r w:rsidRPr="00027624">
        <w:t>contributions have fallen substantially in real terms, from $819 million in 2010</w:t>
      </w:r>
      <w:r w:rsidR="00A8443E" w:rsidRPr="00027624">
        <w:noBreakHyphen/>
      </w:r>
      <w:r w:rsidRPr="00027624">
        <w:t>11 to $121 million in 2018</w:t>
      </w:r>
      <w:r w:rsidR="00A8443E" w:rsidRPr="00027624">
        <w:noBreakHyphen/>
      </w:r>
      <w:r w:rsidRPr="00027624">
        <w:t>19.</w:t>
      </w:r>
      <w:r w:rsidRPr="00027624">
        <w:rPr>
          <w:rStyle w:val="FootnoteReference"/>
        </w:rPr>
        <w:footnoteReference w:id="247"/>
      </w:r>
      <w:r w:rsidRPr="00027624">
        <w:t xml:space="preserve"> This is mostly the result of changes in 2011 that: reduced the income threshold; halved the maximum co</w:t>
      </w:r>
      <w:r w:rsidR="00A8443E" w:rsidRPr="00027624">
        <w:noBreakHyphen/>
      </w:r>
      <w:r w:rsidRPr="00027624">
        <w:t>contribution a person could receive to $500 a year; and reduced the co</w:t>
      </w:r>
      <w:r w:rsidR="00A8443E" w:rsidRPr="00027624">
        <w:noBreakHyphen/>
      </w:r>
      <w:r w:rsidRPr="00027624">
        <w:t xml:space="preserve">contribution rate from 100 per cent to 50 per cent of the personal contributions made </w:t>
      </w:r>
      <w:sdt>
        <w:sdtPr>
          <w:id w:val="-305848798"/>
          <w:citation/>
        </w:sdtPr>
        <w:sdtEndPr/>
        <w:sdtContent>
          <w:r w:rsidRPr="00027624">
            <w:fldChar w:fldCharType="begin"/>
          </w:r>
          <w:r w:rsidRPr="00027624">
            <w:instrText xml:space="preserve">CITATION Tre11 \l 3081 </w:instrText>
          </w:r>
          <w:r w:rsidRPr="00027624">
            <w:fldChar w:fldCharType="separate"/>
          </w:r>
          <w:r w:rsidR="00E83F6E">
            <w:rPr>
              <w:noProof/>
            </w:rPr>
            <w:t>(The Treasury, 2011)</w:t>
          </w:r>
          <w:r w:rsidRPr="00027624">
            <w:fldChar w:fldCharType="end"/>
          </w:r>
        </w:sdtContent>
      </w:sdt>
      <w:r w:rsidRPr="00027624">
        <w:t>.</w:t>
      </w:r>
    </w:p>
    <w:p w14:paraId="1B6470DD" w14:textId="77777777" w:rsidR="002A2FAE" w:rsidRPr="00027624" w:rsidRDefault="002A2FAE" w:rsidP="002A2FAE">
      <w:pPr>
        <w:pStyle w:val="Bullet"/>
        <w:tabs>
          <w:tab w:val="num" w:pos="567"/>
        </w:tabs>
      </w:pPr>
      <w:r w:rsidRPr="00027624">
        <w:t xml:space="preserve">The system has several </w:t>
      </w:r>
      <w:r w:rsidRPr="00027624" w:rsidDel="00E36F7D">
        <w:t xml:space="preserve">tax </w:t>
      </w:r>
      <w:r w:rsidRPr="00027624">
        <w:t>concessions targeted at</w:t>
      </w:r>
      <w:r w:rsidRPr="00027624" w:rsidDel="0070058C">
        <w:t xml:space="preserve"> </w:t>
      </w:r>
      <w:r w:rsidRPr="00027624">
        <w:t>lower</w:t>
      </w:r>
      <w:r w:rsidR="00A8443E" w:rsidRPr="00027624">
        <w:noBreakHyphen/>
      </w:r>
      <w:r w:rsidRPr="00027624">
        <w:t>income earners, including the low income superannuation tax offset, the low income spouse contribution offset and the tax</w:t>
      </w:r>
      <w:r w:rsidR="00A8443E" w:rsidRPr="00027624">
        <w:noBreakHyphen/>
      </w:r>
      <w:r w:rsidRPr="00027624">
        <w:t>free status of Government co</w:t>
      </w:r>
      <w:r w:rsidR="00A8443E" w:rsidRPr="00027624">
        <w:noBreakHyphen/>
      </w:r>
      <w:r w:rsidRPr="00027624">
        <w:t xml:space="preserve">contributions. The estimated cost of these concessions is aggregated but </w:t>
      </w:r>
      <w:r w:rsidR="00913645" w:rsidRPr="00027624">
        <w:t>the low income superannuation tax offset</w:t>
      </w:r>
      <w:r w:rsidRPr="00027624">
        <w:t xml:space="preserve"> is by far the largest. The aggregate cost of all these </w:t>
      </w:r>
      <w:r w:rsidRPr="00027624" w:rsidDel="00E36F7D">
        <w:t xml:space="preserve">tax </w:t>
      </w:r>
      <w:r w:rsidRPr="00027624">
        <w:t>concessions has been relatively stable in real terms at around $200 million a year</w:t>
      </w:r>
      <w:r w:rsidRPr="00027624" w:rsidDel="00F400B3">
        <w:t xml:space="preserve"> </w:t>
      </w:r>
      <w:r w:rsidRPr="00027624">
        <w:t>since 2011</w:t>
      </w:r>
      <w:r w:rsidR="00A8443E" w:rsidRPr="00027624">
        <w:noBreakHyphen/>
      </w:r>
      <w:r w:rsidRPr="00027624">
        <w:t>12.</w:t>
      </w:r>
      <w:r w:rsidRPr="00027624">
        <w:rPr>
          <w:rStyle w:val="FootnoteReference"/>
        </w:rPr>
        <w:footnoteReference w:id="248"/>
      </w:r>
    </w:p>
    <w:p w14:paraId="774A9DDB" w14:textId="77777777" w:rsidR="002A2FAE" w:rsidRPr="00027624" w:rsidRDefault="002A2FAE" w:rsidP="002A2FAE">
      <w:pPr>
        <w:pStyle w:val="Bullet"/>
        <w:tabs>
          <w:tab w:val="num" w:pos="567"/>
        </w:tabs>
      </w:pPr>
      <w:r w:rsidRPr="00027624">
        <w:t>The seniors and pensioners tax offset reduces the tax paid for eligible seniors and pensioners. Since 2012</w:t>
      </w:r>
      <w:r w:rsidR="00A8443E" w:rsidRPr="00027624">
        <w:noBreakHyphen/>
      </w:r>
      <w:r w:rsidRPr="00027624">
        <w:t xml:space="preserve">13, the cost of this </w:t>
      </w:r>
      <w:r w:rsidRPr="00027624" w:rsidDel="00E36F7D">
        <w:t xml:space="preserve">tax </w:t>
      </w:r>
      <w:r w:rsidRPr="00027624">
        <w:t>concession has been relatively steady in real terms at around $800 million a year.</w:t>
      </w:r>
      <w:r w:rsidRPr="00027624">
        <w:rPr>
          <w:rStyle w:val="FootnoteReference"/>
        </w:rPr>
        <w:footnoteReference w:id="249"/>
      </w:r>
      <w:r w:rsidRPr="00027624">
        <w:t xml:space="preserve"> S</w:t>
      </w:r>
      <w:r w:rsidR="00913645" w:rsidRPr="00027624">
        <w:t>eniors and pensioners tax offset</w:t>
      </w:r>
      <w:r w:rsidRPr="00027624">
        <w:t xml:space="preserve"> recipients also benefit from a higher Medicare Levy threshold, although the cost of this is not separately reported. The distribution of these benefits is covered in </w:t>
      </w:r>
      <w:r w:rsidRPr="00027624">
        <w:rPr>
          <w:i/>
        </w:rPr>
        <w:t>3A. Income and wealth distribution</w:t>
      </w:r>
      <w:r w:rsidRPr="00027624">
        <w:rPr>
          <w:iCs/>
        </w:rPr>
        <w:t>.</w:t>
      </w:r>
    </w:p>
    <w:p w14:paraId="0496D705" w14:textId="77777777" w:rsidR="002A2FAE" w:rsidRPr="00027624" w:rsidRDefault="002A2FAE" w:rsidP="002A2FAE">
      <w:pPr>
        <w:pStyle w:val="Bullet"/>
        <w:tabs>
          <w:tab w:val="num" w:pos="567"/>
        </w:tabs>
      </w:pPr>
      <w:r w:rsidRPr="00027624">
        <w:t>Since 2005, people aged over 65 have received a more generous private health insurance rebate than others. The Grattan Institute estimated the cost of this at $250 million in 2015</w:t>
      </w:r>
      <w:r w:rsidR="00A8443E" w:rsidRPr="00027624">
        <w:noBreakHyphen/>
      </w:r>
      <w:r w:rsidRPr="00027624">
        <w:t xml:space="preserve">16 </w:t>
      </w:r>
      <w:sdt>
        <w:sdtPr>
          <w:id w:val="-120838817"/>
          <w:citation/>
        </w:sdtPr>
        <w:sdtEndPr/>
        <w:sdtContent>
          <w:r w:rsidRPr="00027624">
            <w:fldChar w:fldCharType="begin"/>
          </w:r>
          <w:r w:rsidRPr="00027624">
            <w:instrText xml:space="preserve">CITATION Gra16 \p 34 \l 3081 </w:instrText>
          </w:r>
          <w:r w:rsidRPr="00027624">
            <w:fldChar w:fldCharType="separate"/>
          </w:r>
          <w:r w:rsidR="00E83F6E">
            <w:rPr>
              <w:noProof/>
            </w:rPr>
            <w:t>(Daley, et al., 2016, p. 34)</w:t>
          </w:r>
          <w:r w:rsidRPr="00027624">
            <w:fldChar w:fldCharType="end"/>
          </w:r>
        </w:sdtContent>
      </w:sdt>
      <w:r w:rsidRPr="00027624">
        <w:t>.</w:t>
      </w:r>
    </w:p>
    <w:p w14:paraId="29C3830E" w14:textId="77777777" w:rsidR="002A2FAE" w:rsidRPr="00027624" w:rsidRDefault="002A2FAE" w:rsidP="002A2FAE">
      <w:pPr>
        <w:pStyle w:val="Heading3"/>
      </w:pPr>
      <w:r w:rsidRPr="00027624">
        <w:t>Social transfers in kind</w:t>
      </w:r>
    </w:p>
    <w:p w14:paraId="4C877851" w14:textId="77777777" w:rsidR="002A2FAE" w:rsidRPr="00027624" w:rsidRDefault="002A2FAE" w:rsidP="002A2FAE">
      <w:pPr>
        <w:pStyle w:val="Bullet"/>
        <w:numPr>
          <w:ilvl w:val="0"/>
          <w:numId w:val="0"/>
        </w:numPr>
      </w:pPr>
      <w:r w:rsidRPr="00027624">
        <w:t>Government provision of social transfers in kind improves retirement outcomes by decreasing retirees</w:t>
      </w:r>
      <w:r w:rsidR="00A8443E" w:rsidRPr="00027624">
        <w:t>’</w:t>
      </w:r>
      <w:r w:rsidRPr="00027624">
        <w:t xml:space="preserve"> effective living costs (see</w:t>
      </w:r>
      <w:r w:rsidRPr="00027624">
        <w:rPr>
          <w:i/>
        </w:rPr>
        <w:t xml:space="preserve"> 2A. Achieving a minimum standard of living in retirement</w:t>
      </w:r>
      <w:r w:rsidRPr="00027624">
        <w:t>)</w:t>
      </w:r>
      <w:r w:rsidRPr="00027624">
        <w:rPr>
          <w:iCs/>
        </w:rPr>
        <w:t>.</w:t>
      </w:r>
      <w:r w:rsidRPr="00027624">
        <w:t xml:space="preserve"> This may not be well understood in the community (see</w:t>
      </w:r>
      <w:r w:rsidRPr="00027624">
        <w:rPr>
          <w:i/>
        </w:rPr>
        <w:t xml:space="preserve"> 5A. Cohesion</w:t>
      </w:r>
      <w:r w:rsidRPr="00027624">
        <w:t>)</w:t>
      </w:r>
      <w:r w:rsidRPr="00027624">
        <w:rPr>
          <w:iCs/>
        </w:rPr>
        <w:t xml:space="preserve">. </w:t>
      </w:r>
      <w:r w:rsidRPr="00027624">
        <w:t>Social transfers in kind reduce or fully cover the costs people would be required to pay to access a range of essential services, such as health and aged care</w:t>
      </w:r>
      <w:r w:rsidRPr="00027624" w:rsidDel="00F52CDA">
        <w:rPr>
          <w:i/>
        </w:rPr>
        <w:t>.</w:t>
      </w:r>
      <w:r w:rsidRPr="00027624" w:rsidDel="00F52CDA">
        <w:t xml:space="preserve"> </w:t>
      </w:r>
      <w:r w:rsidRPr="00027624">
        <w:t>Some</w:t>
      </w:r>
      <w:r w:rsidRPr="00027624" w:rsidDel="00B316BB">
        <w:t xml:space="preserve"> </w:t>
      </w:r>
      <w:r w:rsidRPr="00027624">
        <w:t xml:space="preserve">social transfers in kind are universal and some are targeted to </w:t>
      </w:r>
      <w:r w:rsidR="00D50CC0" w:rsidRPr="00027624">
        <w:t>people</w:t>
      </w:r>
      <w:r w:rsidRPr="00027624">
        <w:t xml:space="preserve"> and cohorts based on eligibility criteria (often based on a means assessment). Social transfers in kind are provided by all levels of government in Australia.</w:t>
      </w:r>
    </w:p>
    <w:p w14:paraId="041F992A" w14:textId="77777777" w:rsidR="002A2FAE" w:rsidRPr="00027624" w:rsidRDefault="002A2FAE" w:rsidP="002A2FAE">
      <w:pPr>
        <w:pStyle w:val="Bullet"/>
        <w:numPr>
          <w:ilvl w:val="0"/>
          <w:numId w:val="0"/>
        </w:numPr>
      </w:pPr>
      <w:r w:rsidRPr="00027624">
        <w:t>The most comprehensive valuation of in</w:t>
      </w:r>
      <w:r w:rsidR="00A8443E" w:rsidRPr="00027624">
        <w:noBreakHyphen/>
      </w:r>
      <w:r w:rsidRPr="00027624">
        <w:t>kind support currently available is social transfers in kind compiled</w:t>
      </w:r>
      <w:r w:rsidRPr="00027624" w:rsidDel="003A74F9">
        <w:t xml:space="preserve"> </w:t>
      </w:r>
      <w:r w:rsidRPr="00027624">
        <w:t>by the ABS. Social transfers in kind includes non</w:t>
      </w:r>
      <w:r w:rsidR="00A8443E" w:rsidRPr="00027624">
        <w:noBreakHyphen/>
      </w:r>
      <w:r w:rsidRPr="00027624">
        <w:t>monetary transfers in the form of education, health, social security and welfare, housing and electricity</w:t>
      </w:r>
      <w:sdt>
        <w:sdtPr>
          <w:id w:val="-1968416613"/>
          <w:citation/>
        </w:sdtPr>
        <w:sdtEndPr/>
        <w:sdtContent>
          <w:r w:rsidRPr="00027624">
            <w:fldChar w:fldCharType="begin"/>
          </w:r>
          <w:r w:rsidRPr="00027624">
            <w:instrText xml:space="preserve"> CITATION ABS18 \l 3081 </w:instrText>
          </w:r>
          <w:r w:rsidRPr="00027624">
            <w:fldChar w:fldCharType="separate"/>
          </w:r>
          <w:r w:rsidR="00E83F6E">
            <w:rPr>
              <w:noProof/>
            </w:rPr>
            <w:t xml:space="preserve"> (ABS, 2018c)</w:t>
          </w:r>
          <w:r w:rsidRPr="00027624">
            <w:fldChar w:fldCharType="end"/>
          </w:r>
        </w:sdtContent>
      </w:sdt>
      <w:r w:rsidRPr="00027624">
        <w:t>.</w:t>
      </w:r>
      <w:r w:rsidRPr="00027624">
        <w:rPr>
          <w:rStyle w:val="FootnoteReference"/>
        </w:rPr>
        <w:footnoteReference w:id="250"/>
      </w:r>
      <w:r w:rsidRPr="00027624">
        <w:t xml:space="preserve"> The measure attributes the value of these transfers on a per household basis.</w:t>
      </w:r>
      <w:r w:rsidRPr="00027624">
        <w:rPr>
          <w:rStyle w:val="FootnoteReference"/>
        </w:rPr>
        <w:t xml:space="preserve"> </w:t>
      </w:r>
    </w:p>
    <w:p w14:paraId="4B439CA6" w14:textId="5A8EA6F8" w:rsidR="002A2FAE" w:rsidRPr="00027624" w:rsidRDefault="002A2FAE" w:rsidP="002A2FAE">
      <w:pPr>
        <w:pStyle w:val="Bullet"/>
        <w:numPr>
          <w:ilvl w:val="0"/>
          <w:numId w:val="0"/>
        </w:numPr>
      </w:pPr>
      <w:r w:rsidRPr="00027624">
        <w:rPr>
          <w:b/>
        </w:rPr>
        <w:t>The value of</w:t>
      </w:r>
      <w:r w:rsidRPr="00027624" w:rsidDel="002464CD">
        <w:rPr>
          <w:b/>
        </w:rPr>
        <w:t xml:space="preserve"> </w:t>
      </w:r>
      <w:r w:rsidRPr="00027624">
        <w:rPr>
          <w:b/>
        </w:rPr>
        <w:t>social transfers in kind attributed to all households has increased in real terms</w:t>
      </w:r>
      <w:r w:rsidRPr="00027624">
        <w:rPr>
          <w:b/>
          <w:bCs/>
        </w:rPr>
        <w:t>,</w:t>
      </w:r>
      <w:r w:rsidRPr="00027624">
        <w:t xml:space="preserve"> as has the share attributed to households where the reference person was aged 65 and older</w:t>
      </w:r>
      <w:r w:rsidRPr="00027624" w:rsidDel="00866891">
        <w:t xml:space="preserve"> </w:t>
      </w:r>
      <w:r w:rsidRPr="00027624">
        <w:t>(</w:t>
      </w:r>
      <w:r w:rsidRPr="00027624">
        <w:fldChar w:fldCharType="begin"/>
      </w:r>
      <w:r w:rsidRPr="00027624">
        <w:instrText xml:space="preserve"> REF _Ref39844698 \r \h  \* MERGEFORMAT </w:instrText>
      </w:r>
      <w:r w:rsidRPr="00027624">
        <w:fldChar w:fldCharType="separate"/>
      </w:r>
      <w:r w:rsidR="00891058">
        <w:t>Chart 4A-8</w:t>
      </w:r>
      <w:r w:rsidRPr="00027624">
        <w:fldChar w:fldCharType="end"/>
      </w:r>
      <w:r w:rsidRPr="00027624">
        <w:t>). In 2003</w:t>
      </w:r>
      <w:r w:rsidR="00A8443E" w:rsidRPr="00027624">
        <w:noBreakHyphen/>
      </w:r>
      <w:r w:rsidRPr="00027624">
        <w:t>04, almost $27 billion of social transfer in kind expenditure</w:t>
      </w:r>
      <w:r w:rsidR="00913645" w:rsidRPr="00027624">
        <w:t xml:space="preserve"> was attributable to households aged </w:t>
      </w:r>
      <w:r w:rsidRPr="00027624">
        <w:t>65 and over compared with $55 billion in 2015</w:t>
      </w:r>
      <w:r w:rsidR="00A8443E" w:rsidRPr="00027624">
        <w:noBreakHyphen/>
      </w:r>
      <w:r w:rsidRPr="00027624">
        <w:t xml:space="preserve">16, representing growth in real terms of </w:t>
      </w:r>
      <w:r w:rsidRPr="00027624">
        <w:lastRenderedPageBreak/>
        <w:t>106 per cent. Social transfers in kind attributed to households aged 65 and over as a percentage of GDP has increased from 2.3 per cent in 2003</w:t>
      </w:r>
      <w:r w:rsidR="00A8443E" w:rsidRPr="00027624">
        <w:noBreakHyphen/>
      </w:r>
      <w:r w:rsidRPr="00027624">
        <w:t>04 to 3.3 per cent in 2015</w:t>
      </w:r>
      <w:r w:rsidR="00A8443E" w:rsidRPr="00027624">
        <w:noBreakHyphen/>
      </w:r>
      <w:r w:rsidRPr="00027624">
        <w:t>16. This is higher than the cost of the Age Pension as a percentage of GDP.</w:t>
      </w:r>
    </w:p>
    <w:p w14:paraId="7BDD7593" w14:textId="77777777" w:rsidR="002A2FAE" w:rsidRPr="00027624" w:rsidRDefault="002A2FAE" w:rsidP="00FC7361">
      <w:pPr>
        <w:pStyle w:val="ChartMainHeading"/>
        <w:numPr>
          <w:ilvl w:val="2"/>
          <w:numId w:val="28"/>
        </w:numPr>
      </w:pPr>
      <w:bookmarkStart w:id="4038" w:name="_Ref39844698"/>
      <w:r w:rsidRPr="00027624">
        <w:t>Social transfers in kind</w:t>
      </w:r>
      <w:bookmarkEnd w:id="4038"/>
    </w:p>
    <w:p w14:paraId="79F49078" w14:textId="77777777" w:rsidR="002A2FAE" w:rsidRPr="00027624" w:rsidRDefault="00DB193C" w:rsidP="002A2FAE">
      <w:pPr>
        <w:pStyle w:val="ChartGraphic"/>
      </w:pPr>
      <w:r>
        <w:rPr>
          <w:noProof/>
        </w:rPr>
        <w:drawing>
          <wp:inline distT="0" distB="0" distL="0" distR="0" wp14:anchorId="4DBC46E0" wp14:editId="4AF7D624">
            <wp:extent cx="5585460" cy="2522220"/>
            <wp:effectExtent l="0" t="0" r="0" b="0"/>
            <wp:docPr id="2062294276" name="Picture 2062294276" descr="This chart shows the real spending on social transfers in kind in the 2004, 2010 and 2016 financial years. Over that period, the proportion going to households aged 65 and over has increased from 21 to 27 per cent. Total costs of social transfers has increased from about $130 billion to just over $200 billion over the period." title="Chart 4A-8 Social transfers in k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36574667" w14:textId="77777777" w:rsidR="002A2FAE" w:rsidRPr="00027624" w:rsidRDefault="002A2FAE" w:rsidP="002A2FAE">
      <w:pPr>
        <w:pStyle w:val="ChartorTableNote"/>
      </w:pPr>
      <w:r w:rsidRPr="00027624">
        <w:t>Note: Values are in 20</w:t>
      </w:r>
      <w:r w:rsidRPr="00027624" w:rsidDel="00E63ABE">
        <w:t>15</w:t>
      </w:r>
      <w:r w:rsidR="00A8443E" w:rsidRPr="00027624">
        <w:noBreakHyphen/>
      </w:r>
      <w:r w:rsidRPr="00027624">
        <w:t>16 dollars, inflated by CPI.</w:t>
      </w:r>
      <w:r w:rsidRPr="00027624">
        <w:rPr>
          <w:noProof/>
        </w:rPr>
        <w:t xml:space="preserve"> </w:t>
      </w:r>
      <w:r w:rsidRPr="00027624">
        <w:t>Source: Analysis of Government Benefits, Taxes and Household Income 2003</w:t>
      </w:r>
      <w:r w:rsidR="00A8443E" w:rsidRPr="00027624">
        <w:noBreakHyphen/>
      </w:r>
      <w:r w:rsidRPr="00027624">
        <w:t>04 to 2015</w:t>
      </w:r>
      <w:r w:rsidR="00A8443E" w:rsidRPr="00027624">
        <w:noBreakHyphen/>
      </w:r>
      <w:r w:rsidRPr="00027624">
        <w:t xml:space="preserve">16 </w:t>
      </w:r>
      <w:sdt>
        <w:sdtPr>
          <w:id w:val="-1843160821"/>
          <w:citation/>
        </w:sdtPr>
        <w:sdtEndPr/>
        <w:sdtContent>
          <w:r w:rsidRPr="00027624">
            <w:fldChar w:fldCharType="begin"/>
          </w:r>
          <w:r w:rsidRPr="00027624">
            <w:instrText xml:space="preserve"> CITATION ABS18 \l 3081 </w:instrText>
          </w:r>
          <w:r w:rsidRPr="00027624">
            <w:fldChar w:fldCharType="separate"/>
          </w:r>
          <w:r w:rsidR="00E83F6E">
            <w:rPr>
              <w:noProof/>
            </w:rPr>
            <w:t>(ABS, 2018c)</w:t>
          </w:r>
          <w:r w:rsidRPr="00027624">
            <w:fldChar w:fldCharType="end"/>
          </w:r>
        </w:sdtContent>
      </w:sdt>
      <w:r w:rsidRPr="00027624">
        <w:t>.</w:t>
      </w:r>
    </w:p>
    <w:p w14:paraId="4D34AC2B" w14:textId="77777777" w:rsidR="002A2FAE" w:rsidRPr="00027624" w:rsidDel="00CD3F43" w:rsidRDefault="002A2FAE" w:rsidP="002A2FAE">
      <w:pPr>
        <w:spacing w:before="240"/>
      </w:pPr>
      <w:r w:rsidRPr="00027624">
        <w:rPr>
          <w:b/>
        </w:rPr>
        <w:t>Health and aged care comprise the largest social transfers in kind attributed to people aged 65 and over by the Commonwealth Government</w:t>
      </w:r>
      <w:r w:rsidRPr="00027624">
        <w:rPr>
          <w:b/>
          <w:bCs/>
        </w:rPr>
        <w:t>.</w:t>
      </w:r>
    </w:p>
    <w:p w14:paraId="78BDC3C9" w14:textId="77777777" w:rsidR="002A2FAE" w:rsidRPr="00027624" w:rsidRDefault="002A2FAE" w:rsidP="002A2FAE">
      <w:pPr>
        <w:pStyle w:val="Heading4"/>
      </w:pPr>
      <w:r w:rsidRPr="00027624">
        <w:t>Health transfers</w:t>
      </w:r>
    </w:p>
    <w:p w14:paraId="230CF1E1" w14:textId="315B6175" w:rsidR="002A2FAE" w:rsidRPr="00027624" w:rsidRDefault="002A2FAE" w:rsidP="002A2FAE">
      <w:r w:rsidRPr="00027624">
        <w:t>At the Commonwealth level, most health transfers are</w:t>
      </w:r>
      <w:r w:rsidRPr="00027624" w:rsidDel="000E5EE3">
        <w:t xml:space="preserve"> </w:t>
      </w:r>
      <w:r w:rsidRPr="00027624">
        <w:t>Medicare, the Pharmaceutical Benefits Scheme and public hospitals</w:t>
      </w:r>
      <w:sdt>
        <w:sdtPr>
          <w:id w:val="1786231837"/>
          <w:citation/>
        </w:sdtPr>
        <w:sdtEndPr/>
        <w:sdtContent>
          <w:r w:rsidRPr="00027624">
            <w:fldChar w:fldCharType="begin"/>
          </w:r>
          <w:r w:rsidRPr="00027624">
            <w:instrText xml:space="preserve">CITATION Parb19 \l 3081 </w:instrText>
          </w:r>
          <w:r w:rsidRPr="00027624">
            <w:fldChar w:fldCharType="separate"/>
          </w:r>
          <w:r w:rsidR="00E83F6E">
            <w:rPr>
              <w:noProof/>
            </w:rPr>
            <w:t xml:space="preserve"> (Parliamentary Budget Office, 2019a)</w:t>
          </w:r>
          <w:r w:rsidRPr="00027624">
            <w:fldChar w:fldCharType="end"/>
          </w:r>
        </w:sdtContent>
      </w:sdt>
      <w:r w:rsidRPr="00027624">
        <w:t>. Demand for and therefore expenditure on these three health services increase as people age</w:t>
      </w:r>
      <w:r w:rsidRPr="00027624" w:rsidDel="00E05B7F">
        <w:t xml:space="preserve"> </w:t>
      </w:r>
      <w:r w:rsidRPr="00027624" w:rsidDel="00F67A06">
        <w:t>(</w:t>
      </w:r>
      <w:r w:rsidRPr="00027624">
        <w:fldChar w:fldCharType="begin"/>
      </w:r>
      <w:r w:rsidRPr="00027624">
        <w:instrText xml:space="preserve"> REF _Ref39822055 \r \h  \* MERGEFORMAT </w:instrText>
      </w:r>
      <w:r w:rsidRPr="00027624">
        <w:fldChar w:fldCharType="separate"/>
      </w:r>
      <w:r w:rsidR="00891058">
        <w:t>Chart 4A-9</w:t>
      </w:r>
      <w:r w:rsidRPr="00027624">
        <w:fldChar w:fldCharType="end"/>
      </w:r>
      <w:r w:rsidRPr="00027624">
        <w:t>).</w:t>
      </w:r>
    </w:p>
    <w:p w14:paraId="42A801F4" w14:textId="77777777" w:rsidR="002A2FAE" w:rsidRPr="00027624" w:rsidRDefault="002A2FAE" w:rsidP="00FC7361">
      <w:pPr>
        <w:pStyle w:val="ChartMainHeading"/>
        <w:numPr>
          <w:ilvl w:val="2"/>
          <w:numId w:val="28"/>
        </w:numPr>
      </w:pPr>
      <w:bookmarkStart w:id="4039" w:name="_Ref39822055"/>
      <w:r w:rsidRPr="00027624">
        <w:t>Commonwealth health care costs per person</w:t>
      </w:r>
    </w:p>
    <w:p w14:paraId="425FD6D7" w14:textId="77777777" w:rsidR="002A2FAE" w:rsidRPr="00027624" w:rsidRDefault="00DB193C" w:rsidP="002A2FAE">
      <w:pPr>
        <w:pStyle w:val="ChartGraphic"/>
      </w:pPr>
      <w:r>
        <w:rPr>
          <w:noProof/>
        </w:rPr>
        <w:drawing>
          <wp:inline distT="0" distB="0" distL="0" distR="0" wp14:anchorId="20DF09F5" wp14:editId="278DBE8B">
            <wp:extent cx="5478780" cy="2621280"/>
            <wp:effectExtent l="0" t="0" r="7620" b="7620"/>
            <wp:docPr id="2062294275" name="Picture 2062294275" descr="This chart shows the per person cost to the Government of hospitals, Medicare, and the PBS by age. All categories show an increased cost with age, most notably hospital spending." title="Chart 4A-9 Commonwealth health care costs pe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78780" cy="2621280"/>
                    </a:xfrm>
                    <a:prstGeom prst="rect">
                      <a:avLst/>
                    </a:prstGeom>
                    <a:noFill/>
                  </pic:spPr>
                </pic:pic>
              </a:graphicData>
            </a:graphic>
          </wp:inline>
        </w:drawing>
      </w:r>
    </w:p>
    <w:bookmarkEnd w:id="4039"/>
    <w:p w14:paraId="71C1D0D7" w14:textId="77777777" w:rsidR="002A2FAE" w:rsidRPr="00027624" w:rsidRDefault="002A2FAE" w:rsidP="002A2FAE">
      <w:pPr>
        <w:pStyle w:val="ChartorTableNote"/>
      </w:pPr>
      <w:r w:rsidRPr="00027624">
        <w:t>Note: 2017</w:t>
      </w:r>
      <w:r w:rsidR="00A8443E" w:rsidRPr="00027624">
        <w:noBreakHyphen/>
      </w:r>
      <w:r w:rsidRPr="00027624">
        <w:t xml:space="preserve">18 Source: </w:t>
      </w:r>
      <w:sdt>
        <w:sdtPr>
          <w:id w:val="921604368"/>
          <w:citation/>
        </w:sdtPr>
        <w:sdtEndPr/>
        <w:sdtContent>
          <w:r w:rsidRPr="00027624">
            <w:fldChar w:fldCharType="begin"/>
          </w:r>
          <w:r w:rsidRPr="00027624">
            <w:rPr>
              <w:i/>
            </w:rPr>
            <w:instrText xml:space="preserve">CITATION Parb19 \l 3081 </w:instrText>
          </w:r>
          <w:r w:rsidRPr="00027624">
            <w:rPr>
              <w:i/>
            </w:rPr>
            <w:fldChar w:fldCharType="separate"/>
          </w:r>
          <w:r w:rsidR="00E83F6E">
            <w:rPr>
              <w:noProof/>
            </w:rPr>
            <w:t>(Parliamentary Budget Office, 2019a)</w:t>
          </w:r>
          <w:r w:rsidRPr="00027624">
            <w:fldChar w:fldCharType="end"/>
          </w:r>
        </w:sdtContent>
      </w:sdt>
      <w:r w:rsidRPr="00027624">
        <w:t>.</w:t>
      </w:r>
    </w:p>
    <w:p w14:paraId="3375C709" w14:textId="0C961575" w:rsidR="002A2FAE" w:rsidRPr="00027624" w:rsidRDefault="002A2FAE" w:rsidP="002A2FAE">
      <w:r w:rsidRPr="00027624">
        <w:t>Government expenditure on the Pharmaceutical Benefits Scheme for older Australians has remained relatively stable as a percentage of GDP (</w:t>
      </w:r>
      <w:r w:rsidRPr="00027624">
        <w:fldChar w:fldCharType="begin"/>
      </w:r>
      <w:r w:rsidRPr="00027624">
        <w:instrText xml:space="preserve"> REF _Ref39751937 \r \h  \* MERGEFORMAT </w:instrText>
      </w:r>
      <w:r w:rsidRPr="00027624">
        <w:fldChar w:fldCharType="separate"/>
      </w:r>
      <w:r w:rsidR="00891058">
        <w:t>Chart 4A-10</w:t>
      </w:r>
      <w:r w:rsidRPr="00027624">
        <w:fldChar w:fldCharType="end"/>
      </w:r>
      <w:r w:rsidRPr="00027624">
        <w:t xml:space="preserve">). </w:t>
      </w:r>
      <w:r w:rsidRPr="00027624">
        <w:rPr>
          <w:rFonts w:eastAsia="Calibri"/>
        </w:rPr>
        <w:t xml:space="preserve">People aged 65 and over account for around </w:t>
      </w:r>
      <w:r w:rsidRPr="00027624">
        <w:rPr>
          <w:rFonts w:eastAsia="Calibri"/>
        </w:rPr>
        <w:lastRenderedPageBreak/>
        <w:t>50 per cent of Pharmaceutical Benefits Scheme spending,</w:t>
      </w:r>
      <w:r w:rsidRPr="00027624">
        <w:rPr>
          <w:rStyle w:val="FootnoteReference"/>
          <w:rFonts w:eastAsia="Calibri"/>
        </w:rPr>
        <w:footnoteReference w:id="251"/>
      </w:r>
      <w:r w:rsidRPr="00027624">
        <w:rPr>
          <w:rFonts w:eastAsia="Calibri"/>
        </w:rPr>
        <w:t xml:space="preserve"> receiving more prescriptions and a greater subsidy per script </w:t>
      </w:r>
      <w:sdt>
        <w:sdtPr>
          <w:rPr>
            <w:rFonts w:eastAsia="Calibri"/>
          </w:rPr>
          <w:id w:val="-1884168331"/>
          <w:citation/>
        </w:sdtPr>
        <w:sdtEndPr/>
        <w:sdtContent>
          <w:r w:rsidRPr="00027624">
            <w:rPr>
              <w:rFonts w:eastAsia="Calibri"/>
            </w:rPr>
            <w:fldChar w:fldCharType="begin"/>
          </w:r>
          <w:r w:rsidRPr="00027624">
            <w:rPr>
              <w:rFonts w:eastAsia="Calibri"/>
            </w:rPr>
            <w:instrText xml:space="preserve">CITATION Dep131 \p 43 \l 3081 </w:instrText>
          </w:r>
          <w:r w:rsidRPr="00027624">
            <w:rPr>
              <w:rFonts w:eastAsia="Calibri"/>
            </w:rPr>
            <w:fldChar w:fldCharType="separate"/>
          </w:r>
          <w:r w:rsidR="00E83F6E" w:rsidRPr="00E83F6E">
            <w:rPr>
              <w:rFonts w:eastAsia="Calibri"/>
              <w:noProof/>
            </w:rPr>
            <w:t>(Department of Health, 2013, p. 43)</w:t>
          </w:r>
          <w:r w:rsidRPr="00027624">
            <w:rPr>
              <w:rFonts w:eastAsia="Calibri"/>
            </w:rPr>
            <w:fldChar w:fldCharType="end"/>
          </w:r>
        </w:sdtContent>
      </w:sdt>
      <w:r w:rsidRPr="00027624">
        <w:rPr>
          <w:rFonts w:eastAsia="Calibri"/>
        </w:rPr>
        <w:t xml:space="preserve">. Growth in the Pharmaceutical Benefits Scheme has been fairly muted over the past two decades as a result of successive reforms that reduced the price to Government of Pharmaceutical Benefits Scheme medicines </w:t>
      </w:r>
      <w:sdt>
        <w:sdtPr>
          <w:rPr>
            <w:rFonts w:eastAsia="Calibri"/>
            <w:u w:val="single"/>
          </w:rPr>
          <w:id w:val="-1620219568"/>
          <w:citation/>
        </w:sdtPr>
        <w:sdtEndPr/>
        <w:sdtContent>
          <w:r w:rsidRPr="00027624">
            <w:rPr>
              <w:rFonts w:eastAsia="Calibri"/>
              <w:u w:val="single"/>
            </w:rPr>
            <w:fldChar w:fldCharType="begin"/>
          </w:r>
          <w:r w:rsidRPr="00027624">
            <w:rPr>
              <w:rFonts w:eastAsia="Calibri"/>
              <w:u w:val="single"/>
            </w:rPr>
            <w:instrText xml:space="preserve">CITATION Dep10 \l 3081 </w:instrText>
          </w:r>
          <w:r w:rsidRPr="00027624">
            <w:rPr>
              <w:rFonts w:eastAsia="Calibri"/>
              <w:u w:val="single"/>
            </w:rPr>
            <w:fldChar w:fldCharType="separate"/>
          </w:r>
          <w:r w:rsidR="00E83F6E" w:rsidRPr="00E83F6E">
            <w:rPr>
              <w:rFonts w:eastAsia="Calibri"/>
              <w:noProof/>
            </w:rPr>
            <w:t>(Department of Health and Ageing, 2010)</w:t>
          </w:r>
          <w:r w:rsidRPr="00027624">
            <w:rPr>
              <w:rFonts w:eastAsia="Calibri"/>
              <w:u w:val="single"/>
            </w:rPr>
            <w:fldChar w:fldCharType="end"/>
          </w:r>
        </w:sdtContent>
      </w:sdt>
      <w:r w:rsidRPr="00027624">
        <w:rPr>
          <w:rFonts w:eastAsia="Calibri"/>
        </w:rPr>
        <w:t>.</w:t>
      </w:r>
    </w:p>
    <w:p w14:paraId="486172B8" w14:textId="77777777" w:rsidR="002A2FAE" w:rsidRPr="00027624" w:rsidRDefault="002A2FAE" w:rsidP="00FC7361">
      <w:pPr>
        <w:pStyle w:val="ChartMainHeading"/>
        <w:numPr>
          <w:ilvl w:val="2"/>
          <w:numId w:val="28"/>
        </w:numPr>
        <w:rPr>
          <w:rFonts w:eastAsiaTheme="minorHAnsi"/>
        </w:rPr>
      </w:pPr>
      <w:bookmarkStart w:id="4040" w:name="_Ref39751937"/>
      <w:r w:rsidRPr="00027624">
        <w:rPr>
          <w:rFonts w:eastAsiaTheme="minorHAnsi"/>
        </w:rPr>
        <w:t>Commonwealth health expenditure</w:t>
      </w:r>
      <w:bookmarkEnd w:id="4040"/>
    </w:p>
    <w:tbl>
      <w:tblPr>
        <w:tblStyle w:val="TableGrid"/>
        <w:tblW w:w="0" w:type="auto"/>
        <w:tblLook w:val="04A0" w:firstRow="1" w:lastRow="0" w:firstColumn="1" w:lastColumn="0" w:noHBand="0" w:noVBand="1"/>
      </w:tblPr>
      <w:tblGrid>
        <w:gridCol w:w="4535"/>
        <w:gridCol w:w="4535"/>
      </w:tblGrid>
      <w:tr w:rsidR="002A2FAE" w:rsidRPr="00027624" w14:paraId="365EF354" w14:textId="77777777" w:rsidTr="002A2FAE">
        <w:tc>
          <w:tcPr>
            <w:tcW w:w="4536" w:type="dxa"/>
            <w:shd w:val="clear" w:color="auto" w:fill="auto"/>
          </w:tcPr>
          <w:p w14:paraId="5D7ADD80" w14:textId="77777777" w:rsidR="002A2FAE" w:rsidRPr="00027624" w:rsidRDefault="002A2FAE" w:rsidP="002A2FAE">
            <w:pPr>
              <w:pStyle w:val="ChartSecondHeading"/>
            </w:pPr>
            <w:r w:rsidRPr="00027624">
              <w:t>Pharmaceutical Benefits Scheme</w:t>
            </w:r>
          </w:p>
        </w:tc>
        <w:tc>
          <w:tcPr>
            <w:tcW w:w="4536" w:type="dxa"/>
            <w:shd w:val="clear" w:color="auto" w:fill="auto"/>
          </w:tcPr>
          <w:p w14:paraId="4D905D7A" w14:textId="77777777" w:rsidR="002A2FAE" w:rsidRPr="00027624" w:rsidRDefault="002A2FAE" w:rsidP="002A2FAE">
            <w:pPr>
              <w:pStyle w:val="ChartSecondHeading"/>
            </w:pPr>
            <w:r w:rsidRPr="00027624">
              <w:t>Medicare</w:t>
            </w:r>
          </w:p>
        </w:tc>
      </w:tr>
    </w:tbl>
    <w:p w14:paraId="73A9A778" w14:textId="77777777" w:rsidR="002A2FAE" w:rsidRPr="00027624" w:rsidRDefault="00DB193C" w:rsidP="00DB193C">
      <w:pPr>
        <w:pStyle w:val="ChartGraphic"/>
        <w:jc w:val="left"/>
      </w:pPr>
      <w:r>
        <w:rPr>
          <w:noProof/>
        </w:rPr>
        <w:drawing>
          <wp:inline distT="0" distB="0" distL="0" distR="0" wp14:anchorId="03D3995D" wp14:editId="67AF4778">
            <wp:extent cx="2865120" cy="2895600"/>
            <wp:effectExtent l="0" t="0" r="0" b="0"/>
            <wp:docPr id="2062294277" name="Picture 2062294277" descr="This chart shows that as a proportion of GDP, expenditure on the Pharmaceutical Benefit Scheme has remained relatively stable in total, and for people aged 65 and over." title="Chart 4A-10 Commonwealth health expenditure – Pharmaceutical Benefits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865120" cy="2895600"/>
                    </a:xfrm>
                    <a:prstGeom prst="rect">
                      <a:avLst/>
                    </a:prstGeom>
                    <a:noFill/>
                  </pic:spPr>
                </pic:pic>
              </a:graphicData>
            </a:graphic>
          </wp:inline>
        </w:drawing>
      </w:r>
      <w:r>
        <w:rPr>
          <w:noProof/>
        </w:rPr>
        <w:drawing>
          <wp:inline distT="0" distB="0" distL="0" distR="0" wp14:anchorId="4A55B9C2" wp14:editId="55C42848">
            <wp:extent cx="2872740" cy="2880360"/>
            <wp:effectExtent l="0" t="0" r="3810" b="0"/>
            <wp:docPr id="2062294279" name="Picture 2062294279" descr="This chart shows that as a proportion of GDP total Medicare spending and the amount spent on those aged 65 and over, has increased about 0.2 of a percentage point from 2003 to 2019 financial year." title="Chart 4A-10 Commonwealth health expenditure - Medi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4E8A8B26" w14:textId="77777777" w:rsidR="002A2FAE" w:rsidRPr="00027624" w:rsidRDefault="002A2FAE" w:rsidP="002A2FAE">
      <w:pPr>
        <w:pStyle w:val="ChartorTableNote"/>
      </w:pPr>
      <w:r w:rsidRPr="00027624">
        <w:t>Note: The increase in total Pharmaceutical Benefits Scheme expenditure in 2015</w:t>
      </w:r>
      <w:r w:rsidR="00A8443E" w:rsidRPr="00027624">
        <w:noBreakHyphen/>
      </w:r>
      <w:r w:rsidRPr="00027624">
        <w:t>16 and 2016</w:t>
      </w:r>
      <w:r w:rsidR="00A8443E" w:rsidRPr="00027624">
        <w:noBreakHyphen/>
      </w:r>
      <w:r w:rsidRPr="00027624">
        <w:t xml:space="preserve">17 is due to the listing of treatments for hepatitis C on the Pharmaceutical Benefits Scheme from 1 March 2016. Source: Analysis of </w:t>
      </w:r>
      <w:sdt>
        <w:sdtPr>
          <w:id w:val="270129283"/>
          <w:citation/>
        </w:sdtPr>
        <w:sdtEndPr/>
        <w:sdtContent>
          <w:r w:rsidRPr="00027624">
            <w:fldChar w:fldCharType="begin"/>
          </w:r>
          <w:r w:rsidRPr="00027624">
            <w:instrText xml:space="preserve">CITATION Deph19 \l 3081 </w:instrText>
          </w:r>
          <w:r w:rsidRPr="00027624">
            <w:fldChar w:fldCharType="separate"/>
          </w:r>
          <w:r w:rsidR="00E83F6E">
            <w:rPr>
              <w:noProof/>
            </w:rPr>
            <w:t>(Department of Health, 2019b)</w:t>
          </w:r>
          <w:r w:rsidRPr="00027624">
            <w:fldChar w:fldCharType="end"/>
          </w:r>
        </w:sdtContent>
      </w:sdt>
      <w:r w:rsidRPr="00027624">
        <w:t>; data provided by the Department of Health; and data provided by The Treasury for the review.</w:t>
      </w:r>
    </w:p>
    <w:p w14:paraId="340901A7" w14:textId="77777777" w:rsidR="002A2FAE" w:rsidRPr="00027624" w:rsidRDefault="002A2FAE" w:rsidP="002A2FAE">
      <w:r w:rsidRPr="00027624">
        <w:t>Government expenditure on Medicare has increased for Australians aged 65 and over. The share of expenditure attributed to people aged 65 and over grew from 28 per cent in 2002</w:t>
      </w:r>
      <w:r w:rsidR="00A8443E" w:rsidRPr="00027624">
        <w:noBreakHyphen/>
      </w:r>
      <w:r w:rsidRPr="00027624">
        <w:t>03 to 37 per cent in 2018</w:t>
      </w:r>
      <w:r w:rsidR="00A8443E" w:rsidRPr="00027624">
        <w:noBreakHyphen/>
      </w:r>
      <w:r w:rsidRPr="00027624">
        <w:t xml:space="preserve">19 </w:t>
      </w:r>
      <w:sdt>
        <w:sdtPr>
          <w:id w:val="1978728592"/>
          <w:citation/>
        </w:sdtPr>
        <w:sdtEndPr/>
        <w:sdtContent>
          <w:r w:rsidRPr="00027624">
            <w:fldChar w:fldCharType="begin"/>
          </w:r>
          <w:r w:rsidRPr="00027624">
            <w:instrText xml:space="preserve"> CITATION Deph19 \l 3081 </w:instrText>
          </w:r>
          <w:r w:rsidRPr="00027624">
            <w:fldChar w:fldCharType="separate"/>
          </w:r>
          <w:r w:rsidR="00E83F6E">
            <w:rPr>
              <w:noProof/>
            </w:rPr>
            <w:t>(Department of Health, 2019b)</w:t>
          </w:r>
          <w:r w:rsidRPr="00027624">
            <w:fldChar w:fldCharType="end"/>
          </w:r>
        </w:sdtContent>
      </w:sdt>
      <w:r w:rsidRPr="00027624">
        <w:t>. Growth in Medicare spending has been sup</w:t>
      </w:r>
      <w:r w:rsidR="00913645" w:rsidRPr="00027624">
        <w:t>p</w:t>
      </w:r>
      <w:r w:rsidRPr="00027624">
        <w:t>ressed since 2013, when the indexation of various listings to the Medicare Benefits Schedule was paused. Indexation recommenced in 2019.</w:t>
      </w:r>
    </w:p>
    <w:p w14:paraId="58913D22" w14:textId="77777777" w:rsidR="002A2FAE" w:rsidRPr="00027624" w:rsidRDefault="002A2FAE" w:rsidP="002A2FAE">
      <w:r w:rsidRPr="00027624">
        <w:t>Research suggests health costs are primarily driven by technological improvements, such as developing new treatments, rather than the ageing population</w:t>
      </w:r>
      <w:sdt>
        <w:sdtPr>
          <w:id w:val="1777907754"/>
          <w:citation/>
        </w:sdtPr>
        <w:sdtEndPr/>
        <w:sdtContent>
          <w:r w:rsidRPr="00027624">
            <w:fldChar w:fldCharType="begin"/>
          </w:r>
          <w:r w:rsidRPr="00027624">
            <w:instrText xml:space="preserve">CITATION Parb19 \l 3081 </w:instrText>
          </w:r>
          <w:r w:rsidRPr="00027624">
            <w:fldChar w:fldCharType="separate"/>
          </w:r>
          <w:r w:rsidR="00E83F6E">
            <w:rPr>
              <w:noProof/>
            </w:rPr>
            <w:t xml:space="preserve"> (Parliamentary Budget Office, 2019a)</w:t>
          </w:r>
          <w:r w:rsidRPr="00027624">
            <w:fldChar w:fldCharType="end"/>
          </w:r>
        </w:sdtContent>
      </w:sdt>
      <w:r w:rsidRPr="00027624">
        <w:t xml:space="preserve">. Higher national incomes are also associated with increased health spending </w:t>
      </w:r>
      <w:sdt>
        <w:sdtPr>
          <w:id w:val="242072081"/>
          <w:citation/>
        </w:sdtPr>
        <w:sdtEndPr/>
        <w:sdtContent>
          <w:r w:rsidRPr="00027624">
            <w:fldChar w:fldCharType="begin"/>
          </w:r>
          <w:r w:rsidRPr="00027624">
            <w:instrText xml:space="preserve"> CITATION Parb19 \l 3081 </w:instrText>
          </w:r>
          <w:r w:rsidRPr="00027624">
            <w:fldChar w:fldCharType="separate"/>
          </w:r>
          <w:r w:rsidR="00E83F6E">
            <w:rPr>
              <w:noProof/>
            </w:rPr>
            <w:t>(Parliamentary Budget Office, 2019a)</w:t>
          </w:r>
          <w:r w:rsidRPr="00027624">
            <w:fldChar w:fldCharType="end"/>
          </w:r>
        </w:sdtContent>
      </w:sdt>
      <w:r w:rsidRPr="00027624">
        <w:t>. Wealthier countries show a preference for more or higher</w:t>
      </w:r>
      <w:r w:rsidR="00A8443E" w:rsidRPr="00027624">
        <w:noBreakHyphen/>
      </w:r>
      <w:r w:rsidRPr="00027624">
        <w:t>quality health care. The extent to which these factors drive Commonwealth health spending partially depends on Government policy, such as decisions to add new listings to the Pharmaceutical Benefits Scheme or Medicare.</w:t>
      </w:r>
      <w:bookmarkStart w:id="4041" w:name="_1649746608"/>
      <w:bookmarkStart w:id="4042" w:name="_1649755823"/>
      <w:bookmarkEnd w:id="4041"/>
      <w:bookmarkEnd w:id="4042"/>
    </w:p>
    <w:p w14:paraId="56E3168B" w14:textId="77777777" w:rsidR="002A2FAE" w:rsidRPr="00027624" w:rsidRDefault="002A2FAE" w:rsidP="002A2FAE">
      <w:pPr>
        <w:pStyle w:val="Heading4"/>
      </w:pPr>
      <w:r w:rsidRPr="00027624">
        <w:t>Aged care</w:t>
      </w:r>
    </w:p>
    <w:p w14:paraId="60E4C07D" w14:textId="4C025DF5" w:rsidR="002A2FAE" w:rsidRPr="00027624" w:rsidRDefault="002A2FAE" w:rsidP="002A2FAE">
      <w:r w:rsidRPr="00027624">
        <w:rPr>
          <w:b/>
        </w:rPr>
        <w:t>Aged care is the largest social transfer in kind attributed to older Australians</w:t>
      </w:r>
      <w:r w:rsidRPr="00027624">
        <w:rPr>
          <w:b/>
          <w:bCs/>
        </w:rPr>
        <w:t>,</w:t>
      </w:r>
      <w:r w:rsidRPr="00027624">
        <w:t xml:space="preserve"> at a cost of $20.1 billion in 2018</w:t>
      </w:r>
      <w:r w:rsidR="00A8443E" w:rsidRPr="00027624">
        <w:noBreakHyphen/>
      </w:r>
      <w:r w:rsidRPr="00027624">
        <w:t>19, and a projected cost of</w:t>
      </w:r>
      <w:r w:rsidRPr="00027624" w:rsidDel="00ED0EE5">
        <w:t xml:space="preserve"> </w:t>
      </w:r>
      <w:r w:rsidRPr="00027624">
        <w:t>$25.4 billion by 2022</w:t>
      </w:r>
      <w:r w:rsidR="00A8443E" w:rsidRPr="00027624">
        <w:noBreakHyphen/>
      </w:r>
      <w:r w:rsidRPr="00027624">
        <w:t>23</w:t>
      </w:r>
      <w:sdt>
        <w:sdtPr>
          <w:id w:val="1606151018"/>
          <w:citation/>
        </w:sdtPr>
        <w:sdtEndPr/>
        <w:sdtContent>
          <w:r w:rsidRPr="00027624">
            <w:fldChar w:fldCharType="begin"/>
          </w:r>
          <w:r w:rsidR="00C9557B">
            <w:instrText>CITATION Prod20 \p 14.3 \l 3081  \m ACF191</w:instrText>
          </w:r>
          <w:r w:rsidRPr="00027624">
            <w:fldChar w:fldCharType="separate"/>
          </w:r>
          <w:r w:rsidR="00E83F6E">
            <w:rPr>
              <w:noProof/>
            </w:rPr>
            <w:t xml:space="preserve"> (Productivity Commission, 2020b, p. 14.3; Aged Care Financing Authority, 2019)</w:t>
          </w:r>
          <w:r w:rsidRPr="00027624">
            <w:fldChar w:fldCharType="end"/>
          </w:r>
        </w:sdtContent>
      </w:sdt>
      <w:r w:rsidRPr="00027624">
        <w:t>. Government expenditure has increased by an average of 4.7 per cent a year since 2012</w:t>
      </w:r>
      <w:r w:rsidR="00A8443E" w:rsidRPr="00027624">
        <w:noBreakHyphen/>
      </w:r>
      <w:r w:rsidRPr="00027624">
        <w:t>13 (</w:t>
      </w:r>
      <w:r w:rsidRPr="00027624">
        <w:fldChar w:fldCharType="begin"/>
      </w:r>
      <w:r w:rsidRPr="00027624">
        <w:instrText xml:space="preserve"> REF _Ref39822014 \r \h  \* MERGEFORMAT </w:instrText>
      </w:r>
      <w:r w:rsidRPr="00027624">
        <w:fldChar w:fldCharType="separate"/>
      </w:r>
      <w:r w:rsidR="00891058">
        <w:t>Chart 4A-11</w:t>
      </w:r>
      <w:r w:rsidRPr="00027624">
        <w:fldChar w:fldCharType="end"/>
      </w:r>
      <w:r w:rsidRPr="00027624">
        <w:t>). Aged care expenditure has increased as a percentage of GDP from 0.8 per cent in 2009</w:t>
      </w:r>
      <w:r w:rsidR="00A8443E" w:rsidRPr="00027624">
        <w:noBreakHyphen/>
      </w:r>
      <w:r w:rsidRPr="00027624">
        <w:t>10 to 1.1 per cent in 2018</w:t>
      </w:r>
      <w:r w:rsidR="00A8443E" w:rsidRPr="00027624">
        <w:noBreakHyphen/>
      </w:r>
      <w:r w:rsidRPr="00027624">
        <w:t>19.</w:t>
      </w:r>
    </w:p>
    <w:p w14:paraId="42B96E20" w14:textId="77777777" w:rsidR="002A2FAE" w:rsidRPr="00027624" w:rsidRDefault="002A2FAE" w:rsidP="00FC7361">
      <w:pPr>
        <w:pStyle w:val="ChartMainHeading"/>
        <w:numPr>
          <w:ilvl w:val="2"/>
          <w:numId w:val="28"/>
        </w:numPr>
        <w:ind w:left="284"/>
      </w:pPr>
      <w:bookmarkStart w:id="4043" w:name="_Ref39822014"/>
      <w:r w:rsidRPr="00027624">
        <w:lastRenderedPageBreak/>
        <w:t>Government expenditure on aged care services</w:t>
      </w:r>
      <w:bookmarkEnd w:id="4043"/>
    </w:p>
    <w:p w14:paraId="5EC29EFC" w14:textId="77777777" w:rsidR="002A2FAE" w:rsidRPr="00027624" w:rsidRDefault="001142A0" w:rsidP="002A2FAE">
      <w:pPr>
        <w:pStyle w:val="ChartGraphic"/>
        <w:ind w:left="284"/>
      </w:pPr>
      <w:r>
        <w:rPr>
          <w:noProof/>
        </w:rPr>
        <w:drawing>
          <wp:inline distT="0" distB="0" distL="0" distR="0" wp14:anchorId="614A4612" wp14:editId="796EFA4D">
            <wp:extent cx="5577840" cy="2529840"/>
            <wp:effectExtent l="0" t="0" r="3810" b="3810"/>
            <wp:docPr id="2062294280" name="Picture 2062294280" descr="This chart shows the steady increase in aged care spending from 2010 to 2019, both in real terms and as a percentage of GDP." title="Chart 4A-11 Government expenditure on aged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6B5A0FD2" w14:textId="77777777" w:rsidR="002A2FAE" w:rsidRPr="00027624" w:rsidRDefault="002A2FAE" w:rsidP="002A2FAE">
      <w:pPr>
        <w:pStyle w:val="ChartorTableNote"/>
      </w:pPr>
      <w:r w:rsidRPr="00027624">
        <w:t>Note: Values are in 2018</w:t>
      </w:r>
      <w:r w:rsidR="00A8443E" w:rsidRPr="00027624">
        <w:noBreakHyphen/>
      </w:r>
      <w:r w:rsidRPr="00027624">
        <w:t>19 dollars, inflated by CPI.</w:t>
      </w:r>
      <w:r w:rsidRPr="00027624">
        <w:rPr>
          <w:noProof/>
        </w:rPr>
        <w:t xml:space="preserve"> </w:t>
      </w:r>
      <w:r w:rsidRPr="00027624">
        <w:t xml:space="preserve">Source: Analysis of </w:t>
      </w:r>
      <w:sdt>
        <w:sdtPr>
          <w:id w:val="1889687458"/>
          <w:citation/>
        </w:sdtPr>
        <w:sdtEndPr/>
        <w:sdtContent>
          <w:r w:rsidRPr="00027624">
            <w:fldChar w:fldCharType="begin"/>
          </w:r>
          <w:r w:rsidRPr="00027624">
            <w:instrText xml:space="preserve">CITATION Prod20 \l 3081 </w:instrText>
          </w:r>
          <w:r w:rsidRPr="00027624">
            <w:fldChar w:fldCharType="separate"/>
          </w:r>
          <w:r w:rsidR="00E83F6E">
            <w:rPr>
              <w:noProof/>
            </w:rPr>
            <w:t>(Productivity Commission, 2020b)</w:t>
          </w:r>
          <w:r w:rsidRPr="00027624">
            <w:fldChar w:fldCharType="end"/>
          </w:r>
        </w:sdtContent>
      </w:sdt>
      <w:r w:rsidRPr="00027624">
        <w:t xml:space="preserve"> and data provided by The Treasury for the review.</w:t>
      </w:r>
    </w:p>
    <w:p w14:paraId="791DE92A" w14:textId="2A59DF61" w:rsidR="002A2FAE" w:rsidRPr="00027624" w:rsidRDefault="002A2FAE" w:rsidP="002A2FAE">
      <w:r w:rsidRPr="00027624">
        <w:rPr>
          <w:b/>
        </w:rPr>
        <w:t>Most of the cost associated with aged care comes from residential care</w:t>
      </w:r>
      <w:r w:rsidRPr="00027624">
        <w:rPr>
          <w:b/>
          <w:bCs/>
        </w:rPr>
        <w:t>,</w:t>
      </w:r>
      <w:r w:rsidRPr="00027624">
        <w:t xml:space="preserve"> which accounted for around 65 per cent of total expenditure in 2018</w:t>
      </w:r>
      <w:r w:rsidR="00A8443E" w:rsidRPr="00027624">
        <w:noBreakHyphen/>
      </w:r>
      <w:r w:rsidRPr="00027624">
        <w:t xml:space="preserve">19 </w:t>
      </w:r>
      <w:sdt>
        <w:sdtPr>
          <w:id w:val="631378515"/>
          <w:citation/>
        </w:sdtPr>
        <w:sdtEndPr/>
        <w:sdtContent>
          <w:r w:rsidRPr="00027624">
            <w:fldChar w:fldCharType="begin"/>
          </w:r>
          <w:r w:rsidRPr="00027624">
            <w:instrText xml:space="preserve">CITATION Dep191 \l 3081 </w:instrText>
          </w:r>
          <w:r w:rsidRPr="00027624">
            <w:fldChar w:fldCharType="separate"/>
          </w:r>
          <w:r w:rsidR="00E83F6E">
            <w:rPr>
              <w:noProof/>
            </w:rPr>
            <w:t>(Department of Health, 2019a)</w:t>
          </w:r>
          <w:r w:rsidRPr="00027624">
            <w:fldChar w:fldCharType="end"/>
          </w:r>
        </w:sdtContent>
      </w:sdt>
      <w:r w:rsidRPr="00027624">
        <w:t>. Most home care consumers and a large proportion of residential aged care consumers are full</w:t>
      </w:r>
      <w:r w:rsidR="00A8443E" w:rsidRPr="00027624">
        <w:noBreakHyphen/>
      </w:r>
      <w:r w:rsidRPr="00027624">
        <w:t xml:space="preserve">rate Age Pension recipients </w:t>
      </w:r>
      <w:sdt>
        <w:sdtPr>
          <w:id w:val="1972238680"/>
          <w:citation/>
        </w:sdtPr>
        <w:sdtEndPr/>
        <w:sdtContent>
          <w:r w:rsidRPr="00027624">
            <w:fldChar w:fldCharType="begin"/>
          </w:r>
          <w:r w:rsidRPr="00027624">
            <w:instrText xml:space="preserve">CITATION Dep17 \t  \l 3081 </w:instrText>
          </w:r>
          <w:r w:rsidRPr="00027624">
            <w:fldChar w:fldCharType="separate"/>
          </w:r>
          <w:r w:rsidR="00E83F6E">
            <w:rPr>
              <w:noProof/>
            </w:rPr>
            <w:t>(Tune, 2017)</w:t>
          </w:r>
          <w:r w:rsidRPr="00027624">
            <w:fldChar w:fldCharType="end"/>
          </w:r>
        </w:sdtContent>
      </w:sdt>
      <w:r w:rsidRPr="00027624">
        <w:t>, which reduces the amount they are required to contribute to the cost of their care (</w:t>
      </w:r>
      <w:r w:rsidRPr="00027624">
        <w:fldChar w:fldCharType="begin"/>
      </w:r>
      <w:r w:rsidRPr="00027624">
        <w:instrText xml:space="preserve"> REF _Ref35254775 \r \h  \* MERGEFORMAT </w:instrText>
      </w:r>
      <w:r w:rsidRPr="00027624">
        <w:fldChar w:fldCharType="separate"/>
      </w:r>
      <w:r w:rsidR="00891058">
        <w:t>Box 4A-3</w:t>
      </w:r>
      <w:r w:rsidRPr="00027624">
        <w:fldChar w:fldCharType="end"/>
      </w:r>
      <w:r w:rsidRPr="00027624">
        <w:t>), (see Box 5A</w:t>
      </w:r>
      <w:r w:rsidR="00A8443E" w:rsidRPr="00027624">
        <w:noBreakHyphen/>
      </w:r>
      <w:r w:rsidRPr="00027624">
        <w:t xml:space="preserve">6 in </w:t>
      </w:r>
      <w:r w:rsidRPr="00027624">
        <w:rPr>
          <w:i/>
        </w:rPr>
        <w:t>5A. Cohesion</w:t>
      </w:r>
      <w:r w:rsidRPr="00027624">
        <w:t xml:space="preserve"> for more information about aged care means testing).</w:t>
      </w:r>
    </w:p>
    <w:tbl>
      <w:tblPr>
        <w:tblpPr w:leftFromText="180" w:rightFromText="180" w:vertAnchor="text" w:tblpY="1"/>
        <w:tblOverlap w:val="never"/>
        <w:tblW w:w="5000" w:type="pct"/>
        <w:shd w:val="clear" w:color="auto" w:fill="FFF8EA"/>
        <w:tblCellMar>
          <w:left w:w="0" w:type="dxa"/>
          <w:right w:w="0" w:type="dxa"/>
        </w:tblCellMar>
        <w:tblLook w:val="04A0" w:firstRow="1" w:lastRow="0" w:firstColumn="1" w:lastColumn="0" w:noHBand="0" w:noVBand="1"/>
      </w:tblPr>
      <w:tblGrid>
        <w:gridCol w:w="9070"/>
      </w:tblGrid>
      <w:tr w:rsidR="002A2FAE" w:rsidRPr="00027624" w14:paraId="33919002" w14:textId="77777777" w:rsidTr="002A2FAE">
        <w:tc>
          <w:tcPr>
            <w:tcW w:w="5000" w:type="pct"/>
            <w:shd w:val="clear" w:color="auto" w:fill="FFF8EA"/>
            <w:tcMar>
              <w:top w:w="0" w:type="dxa"/>
              <w:left w:w="108" w:type="dxa"/>
              <w:bottom w:w="0" w:type="dxa"/>
              <w:right w:w="108" w:type="dxa"/>
            </w:tcMar>
            <w:hideMark/>
          </w:tcPr>
          <w:p w14:paraId="0B86F675" w14:textId="77777777" w:rsidR="002A2FAE" w:rsidRPr="00027624" w:rsidRDefault="002A2FAE" w:rsidP="00FC7361">
            <w:pPr>
              <w:pStyle w:val="BoxHeading"/>
              <w:numPr>
                <w:ilvl w:val="5"/>
                <w:numId w:val="28"/>
              </w:numPr>
            </w:pPr>
            <w:bookmarkStart w:id="4044" w:name="_Ref35254775"/>
            <w:bookmarkStart w:id="4045" w:name="_Ref40973976"/>
            <w:r w:rsidRPr="00027624">
              <w:t>Aged care and the retirement income system</w:t>
            </w:r>
            <w:bookmarkEnd w:id="4044"/>
            <w:bookmarkEnd w:id="4045"/>
          </w:p>
          <w:p w14:paraId="53A9A644" w14:textId="77777777" w:rsidR="002A2FAE" w:rsidRPr="00027624" w:rsidRDefault="002A2FAE" w:rsidP="002A2FAE">
            <w:pPr>
              <w:pStyle w:val="BoxText"/>
              <w:spacing w:line="260" w:lineRule="exact"/>
              <w:jc w:val="both"/>
            </w:pPr>
            <w:r w:rsidRPr="00027624">
              <w:t>The aged care system is not part of the retirement income system, but the two systems interact. Aged care basic daily fees are determined by the rate of Age Pension (set at 17.5 per cent of the single rate of the Age Pension for home care and 85 per cent for residential care).</w:t>
            </w:r>
          </w:p>
          <w:p w14:paraId="2E5C6EA6" w14:textId="77777777" w:rsidR="002A2FAE" w:rsidRPr="00027624" w:rsidRDefault="002A2FAE" w:rsidP="002A2FAE">
            <w:pPr>
              <w:pStyle w:val="BoxText"/>
              <w:spacing w:line="260" w:lineRule="exact"/>
              <w:jc w:val="both"/>
            </w:pPr>
            <w:r w:rsidRPr="00027624">
              <w:t xml:space="preserve">Many people find it challenging to estimate and plan for the cost of their aged care </w:t>
            </w:r>
            <w:sdt>
              <w:sdtPr>
                <w:id w:val="388855594"/>
                <w:citation/>
              </w:sdtPr>
              <w:sdtEndPr/>
              <w:sdtContent>
                <w:r w:rsidRPr="00027624">
                  <w:fldChar w:fldCharType="begin"/>
                </w:r>
                <w:r w:rsidRPr="00027624">
                  <w:instrText xml:space="preserve"> CITATION ACF18 \l 3081 </w:instrText>
                </w:r>
                <w:r w:rsidRPr="00027624">
                  <w:fldChar w:fldCharType="separate"/>
                </w:r>
                <w:r w:rsidR="00E83F6E">
                  <w:rPr>
                    <w:noProof/>
                  </w:rPr>
                  <w:t>(Aged Care Financing Authority, 2018)</w:t>
                </w:r>
                <w:r w:rsidRPr="00027624">
                  <w:fldChar w:fldCharType="end"/>
                </w:r>
              </w:sdtContent>
            </w:sdt>
            <w:r w:rsidRPr="00027624">
              <w:t>. The actual costs can vary significantly depending on the type of and length of time spent in care. People also find it difficult to estimate their likelihood of requiring care or how means testing may apply to them.</w:t>
            </w:r>
          </w:p>
          <w:p w14:paraId="2B0D9805" w14:textId="77777777" w:rsidR="002A2FAE" w:rsidRPr="00027624" w:rsidRDefault="002A2FAE" w:rsidP="002A2FAE">
            <w:pPr>
              <w:pStyle w:val="BoxText"/>
              <w:spacing w:line="260" w:lineRule="exact"/>
              <w:jc w:val="both"/>
            </w:pPr>
            <w:r w:rsidRPr="00027624">
              <w:t xml:space="preserve">As outlined in </w:t>
            </w:r>
            <w:r w:rsidRPr="00027624">
              <w:rPr>
                <w:i/>
              </w:rPr>
              <w:t>Appendix 6A. Detailed modelling methods and assumptions</w:t>
            </w:r>
            <w:r w:rsidRPr="00027624">
              <w:t>, health and aged care costs do not significantly increase during retirement. Consumer costs of aged care are relatively low overall under current funding arrangements. Fees for home care and residential care are means tested. The majority of people pay only a small fraction of the total cost of the care they receive (see Box 5A</w:t>
            </w:r>
            <w:r w:rsidR="00A8443E" w:rsidRPr="00027624">
              <w:noBreakHyphen/>
            </w:r>
            <w:r w:rsidR="0094445E">
              <w:t>6</w:t>
            </w:r>
            <w:r w:rsidRPr="00027624">
              <w:t xml:space="preserve"> in </w:t>
            </w:r>
            <w:r w:rsidRPr="00027624">
              <w:rPr>
                <w:i/>
              </w:rPr>
              <w:t xml:space="preserve">5A. Cohesion </w:t>
            </w:r>
            <w:r w:rsidRPr="00027624">
              <w:t>for full details of aged care means testing).</w:t>
            </w:r>
          </w:p>
          <w:p w14:paraId="438DB6C2" w14:textId="77777777" w:rsidR="002A2FAE" w:rsidRPr="00027624" w:rsidRDefault="002A2FAE" w:rsidP="002A2FAE">
            <w:pPr>
              <w:pStyle w:val="BoxText"/>
              <w:spacing w:line="260" w:lineRule="exact"/>
              <w:jc w:val="both"/>
            </w:pPr>
            <w:r w:rsidRPr="00027624">
              <w:t xml:space="preserve">For people who pay the basic daily fee for </w:t>
            </w:r>
            <w:r w:rsidRPr="00027624">
              <w:rPr>
                <w:b/>
              </w:rPr>
              <w:t>home care</w:t>
            </w:r>
            <w:r w:rsidRPr="00027624">
              <w:t xml:space="preserve"> (83 per cent in 2018</w:t>
            </w:r>
            <w:r w:rsidR="00A8443E" w:rsidRPr="00027624">
              <w:noBreakHyphen/>
            </w:r>
            <w:r w:rsidRPr="00027624">
              <w:t>19), the average fee is $73 per week or $3,813 per year. Fewer than half of home care providers charge the maximum allowable daily fee. Only 11 per cent of home care consumers pay income</w:t>
            </w:r>
            <w:r w:rsidR="00A8443E" w:rsidRPr="00027624">
              <w:noBreakHyphen/>
            </w:r>
            <w:r w:rsidRPr="00027624">
              <w:t>tested care fees,</w:t>
            </w:r>
            <w:r w:rsidRPr="00027624">
              <w:rPr>
                <w:b/>
              </w:rPr>
              <w:t xml:space="preserve"> </w:t>
            </w:r>
            <w:r w:rsidRPr="00027624">
              <w:t xml:space="preserve">averaging an additional $70 per week or $3,675 per year. The Government contributes between 72 per cent and 93 per cent of the cost of a home care package, depending on the level of care the person needs. In total, </w:t>
            </w:r>
            <w:r w:rsidRPr="00027624">
              <w:rPr>
                <w:b/>
              </w:rPr>
              <w:t>the Government covers more than 90 per cent of the cost of all home care provided</w:t>
            </w:r>
            <w:r w:rsidRPr="00027624">
              <w:rPr>
                <w:b/>
                <w:bCs/>
              </w:rPr>
              <w:t>.</w:t>
            </w:r>
            <w:r w:rsidRPr="00027624">
              <w:rPr>
                <w:rStyle w:val="FootnoteReference"/>
              </w:rPr>
              <w:footnoteReference w:id="252"/>
            </w:r>
          </w:p>
          <w:p w14:paraId="2EA8FA22" w14:textId="77777777" w:rsidR="002A2FAE" w:rsidRPr="00027624" w:rsidRDefault="002A2FAE" w:rsidP="002A2FAE">
            <w:pPr>
              <w:pStyle w:val="BoxText"/>
              <w:spacing w:line="260" w:lineRule="exact"/>
              <w:jc w:val="both"/>
            </w:pPr>
            <w:r w:rsidRPr="00027624">
              <w:t xml:space="preserve">At age 65, the lifetime risk of admission to </w:t>
            </w:r>
            <w:r w:rsidRPr="00027624">
              <w:rPr>
                <w:b/>
              </w:rPr>
              <w:t>residential care</w:t>
            </w:r>
            <w:r w:rsidRPr="00027624">
              <w:t xml:space="preserve"> is 39 per cent for men and 53 per cent for women. Lifetime risk is generally increasing because more people are surviving to an age (beyond 80) where they may need high</w:t>
            </w:r>
            <w:r w:rsidR="00A8443E" w:rsidRPr="00027624">
              <w:noBreakHyphen/>
            </w:r>
            <w:r w:rsidRPr="00027624">
              <w:t>level care. Since peaking around 2011</w:t>
            </w:r>
            <w:r w:rsidR="00A8443E" w:rsidRPr="00027624">
              <w:noBreakHyphen/>
            </w:r>
            <w:r w:rsidRPr="00027624">
              <w:t xml:space="preserve">13 (at 40 per cent for men and 55 per cent for women), </w:t>
            </w:r>
            <w:r w:rsidRPr="00027624">
              <w:lastRenderedPageBreak/>
              <w:t>lifetime risk has declined slightly.</w:t>
            </w:r>
            <w:r w:rsidRPr="00027624">
              <w:rPr>
                <w:rStyle w:val="FootnoteReference"/>
              </w:rPr>
              <w:footnoteReference w:id="253"/>
            </w:r>
            <w:r w:rsidRPr="00027624">
              <w:t xml:space="preserve"> This is likely due to the increased preference for and availability of home care, rather than a reduction in overall care needs.</w:t>
            </w:r>
          </w:p>
          <w:p w14:paraId="2390B309" w14:textId="77777777" w:rsidR="002A2FAE" w:rsidRPr="00027624" w:rsidRDefault="002A2FAE" w:rsidP="002A2FAE">
            <w:pPr>
              <w:pStyle w:val="BoxText"/>
              <w:spacing w:line="260" w:lineRule="exact"/>
              <w:jc w:val="both"/>
            </w:pPr>
            <w:r w:rsidRPr="00027624">
              <w:t>More than one</w:t>
            </w:r>
            <w:r w:rsidR="00A8443E" w:rsidRPr="00027624">
              <w:noBreakHyphen/>
            </w:r>
            <w:r w:rsidRPr="00027624">
              <w:t>third of people exit residential care within 12 months, but the average length of stay is around three years</w:t>
            </w:r>
            <w:sdt>
              <w:sdtPr>
                <w:id w:val="1367254560"/>
                <w:citation/>
              </w:sdtPr>
              <w:sdtEndPr/>
              <w:sdtContent>
                <w:r w:rsidR="00C9557B">
                  <w:fldChar w:fldCharType="begin"/>
                </w:r>
                <w:r w:rsidR="00C9557B">
                  <w:instrText xml:space="preserve"> CITATION ACF191 \l 3081 </w:instrText>
                </w:r>
                <w:r w:rsidR="00C9557B">
                  <w:fldChar w:fldCharType="separate"/>
                </w:r>
                <w:r w:rsidR="00E83F6E">
                  <w:rPr>
                    <w:noProof/>
                  </w:rPr>
                  <w:t xml:space="preserve"> (Aged Care Financing Authority, 2019)</w:t>
                </w:r>
                <w:r w:rsidR="00C9557B">
                  <w:fldChar w:fldCharType="end"/>
                </w:r>
              </w:sdtContent>
            </w:sdt>
            <w:r w:rsidRPr="00027624">
              <w:t>.</w:t>
            </w:r>
          </w:p>
          <w:p w14:paraId="01311B18" w14:textId="77777777" w:rsidR="002A2FAE" w:rsidRPr="00027624" w:rsidRDefault="002A2FAE" w:rsidP="002A2FAE">
            <w:pPr>
              <w:pStyle w:val="BoxText"/>
              <w:spacing w:line="260" w:lineRule="exact"/>
              <w:jc w:val="both"/>
            </w:pPr>
            <w:r w:rsidRPr="00027624">
              <w:t>All residential aged care consumers pay the basic daily fee set at 85 per cent of the single rate of Age Pension ($19,071.25 per year at 1 May 2020). Around half of residents pay some or all of their accommodation costs</w:t>
            </w:r>
            <w:sdt>
              <w:sdtPr>
                <w:id w:val="-1844006465"/>
                <w:citation/>
              </w:sdtPr>
              <w:sdtEndPr/>
              <w:sdtContent>
                <w:r w:rsidR="00C9557B">
                  <w:fldChar w:fldCharType="begin"/>
                </w:r>
                <w:r w:rsidR="00C9557B">
                  <w:instrText xml:space="preserve"> CITATION ACF191 \l 3081 </w:instrText>
                </w:r>
                <w:r w:rsidR="00C9557B">
                  <w:fldChar w:fldCharType="separate"/>
                </w:r>
                <w:r w:rsidR="00E83F6E">
                  <w:rPr>
                    <w:noProof/>
                  </w:rPr>
                  <w:t xml:space="preserve"> (Aged Care Financing Authority, 2019)</w:t>
                </w:r>
                <w:r w:rsidR="00C9557B">
                  <w:fldChar w:fldCharType="end"/>
                </w:r>
              </w:sdtContent>
            </w:sdt>
            <w:r w:rsidRPr="00027624">
              <w:t>. One</w:t>
            </w:r>
            <w:r w:rsidR="00A8443E" w:rsidRPr="00027624">
              <w:noBreakHyphen/>
            </w:r>
            <w:r w:rsidRPr="00027624">
              <w:t>third of residents also pay means</w:t>
            </w:r>
            <w:r w:rsidR="00A8443E" w:rsidRPr="00027624">
              <w:noBreakHyphen/>
            </w:r>
            <w:r w:rsidRPr="00027624">
              <w:t>tested care fees. In 2018</w:t>
            </w:r>
            <w:r w:rsidR="00A8443E" w:rsidRPr="00027624">
              <w:noBreakHyphen/>
            </w:r>
            <w:r w:rsidRPr="00027624">
              <w:t>19, the average weekly means</w:t>
            </w:r>
            <w:r w:rsidR="00A8443E" w:rsidRPr="00027624">
              <w:noBreakHyphen/>
            </w:r>
            <w:r w:rsidRPr="00027624">
              <w:t xml:space="preserve">tested fee was $173 (around $9,000 per year). Overall, </w:t>
            </w:r>
            <w:r w:rsidRPr="00027624">
              <w:rPr>
                <w:b/>
              </w:rPr>
              <w:t>the Government covers up to 81 per cent of the costs of care in a residential setting</w:t>
            </w:r>
            <w:r w:rsidRPr="00027624">
              <w:rPr>
                <w:b/>
                <w:bCs/>
              </w:rPr>
              <w:t>,</w:t>
            </w:r>
            <w:r w:rsidRPr="00027624">
              <w:t xml:space="preserve"> depending on the level of care needed.</w:t>
            </w:r>
            <w:r w:rsidRPr="00027624">
              <w:rPr>
                <w:rStyle w:val="FootnoteReference"/>
              </w:rPr>
              <w:footnoteReference w:id="254"/>
            </w:r>
          </w:p>
          <w:p w14:paraId="53E90B62" w14:textId="77777777" w:rsidR="002A2FAE" w:rsidRPr="00027624" w:rsidRDefault="002A2FAE" w:rsidP="00FC7361">
            <w:pPr>
              <w:pStyle w:val="TableMainHeading"/>
              <w:numPr>
                <w:ilvl w:val="3"/>
                <w:numId w:val="28"/>
              </w:numPr>
            </w:pPr>
            <w:r w:rsidRPr="00027624">
              <w:t>Residential aged care subsidies and supplements</w:t>
            </w:r>
          </w:p>
          <w:tbl>
            <w:tblPr>
              <w:tblW w:w="4966" w:type="pct"/>
              <w:tblLook w:val="01E0" w:firstRow="1" w:lastRow="1" w:firstColumn="1" w:lastColumn="1" w:noHBand="0" w:noVBand="0"/>
            </w:tblPr>
            <w:tblGrid>
              <w:gridCol w:w="2153"/>
              <w:gridCol w:w="2214"/>
              <w:gridCol w:w="2214"/>
              <w:gridCol w:w="2213"/>
            </w:tblGrid>
            <w:tr w:rsidR="002A2FAE" w:rsidRPr="00027624" w14:paraId="23018502" w14:textId="77777777" w:rsidTr="002A2FAE">
              <w:trPr>
                <w:trHeight w:val="270"/>
                <w:tblHeader/>
              </w:trPr>
              <w:tc>
                <w:tcPr>
                  <w:tcW w:w="1224" w:type="pct"/>
                  <w:vMerge w:val="restart"/>
                  <w:shd w:val="clear" w:color="auto" w:fill="E5E5E5"/>
                  <w:vAlign w:val="bottom"/>
                </w:tcPr>
                <w:p w14:paraId="2E669A20" w14:textId="77777777" w:rsidR="002A2FAE" w:rsidRPr="00027624" w:rsidRDefault="002A2FAE" w:rsidP="007B222E">
                  <w:pPr>
                    <w:pStyle w:val="TableColumnHeadingLeft"/>
                    <w:framePr w:hSpace="180" w:wrap="around" w:vAnchor="text" w:hAnchor="text" w:y="1"/>
                    <w:suppressOverlap/>
                  </w:pPr>
                  <w:r w:rsidRPr="00027624">
                    <w:t>Level of assistance needed</w:t>
                  </w:r>
                </w:p>
              </w:tc>
              <w:tc>
                <w:tcPr>
                  <w:tcW w:w="3776" w:type="pct"/>
                  <w:gridSpan w:val="3"/>
                  <w:shd w:val="clear" w:color="auto" w:fill="E5E5E5"/>
                </w:tcPr>
                <w:p w14:paraId="313395AB" w14:textId="77777777" w:rsidR="002A2FAE" w:rsidRPr="00027624" w:rsidRDefault="002A2FAE" w:rsidP="007B222E">
                  <w:pPr>
                    <w:pStyle w:val="TableColumnHeadingCentred"/>
                    <w:framePr w:hSpace="180" w:wrap="around" w:vAnchor="text" w:hAnchor="text" w:y="1"/>
                    <w:suppressOverlap/>
                  </w:pPr>
                  <w:r w:rsidRPr="00027624">
                    <w:t>Category or area of assistance</w:t>
                  </w:r>
                </w:p>
              </w:tc>
            </w:tr>
            <w:tr w:rsidR="002A2FAE" w:rsidRPr="00027624" w14:paraId="5FCE7F28" w14:textId="77777777" w:rsidTr="002A2FAE">
              <w:trPr>
                <w:trHeight w:val="270"/>
                <w:tblHeader/>
              </w:trPr>
              <w:tc>
                <w:tcPr>
                  <w:tcW w:w="1224" w:type="pct"/>
                  <w:vMerge/>
                  <w:shd w:val="clear" w:color="auto" w:fill="E5E5E5"/>
                </w:tcPr>
                <w:p w14:paraId="0C5866EF" w14:textId="77777777" w:rsidR="002A2FAE" w:rsidRPr="00027624" w:rsidRDefault="002A2FAE" w:rsidP="007B222E">
                  <w:pPr>
                    <w:pStyle w:val="TableTextLeft"/>
                    <w:framePr w:hSpace="180" w:wrap="around" w:vAnchor="text" w:hAnchor="text" w:y="1"/>
                    <w:suppressOverlap/>
                  </w:pPr>
                </w:p>
              </w:tc>
              <w:tc>
                <w:tcPr>
                  <w:tcW w:w="1259" w:type="pct"/>
                  <w:shd w:val="clear" w:color="auto" w:fill="E5E5E5"/>
                </w:tcPr>
                <w:p w14:paraId="3671A40F" w14:textId="77777777" w:rsidR="002A2FAE" w:rsidRPr="00027624" w:rsidRDefault="002A2FAE" w:rsidP="007B222E">
                  <w:pPr>
                    <w:pStyle w:val="TableColumnHeadingCentred"/>
                    <w:framePr w:hSpace="180" w:wrap="around" w:vAnchor="text" w:hAnchor="text" w:y="1"/>
                    <w:suppressOverlap/>
                  </w:pPr>
                  <w:r w:rsidRPr="00027624">
                    <w:t>Activities of daily living ($)</w:t>
                  </w:r>
                </w:p>
              </w:tc>
              <w:tc>
                <w:tcPr>
                  <w:tcW w:w="1259" w:type="pct"/>
                  <w:shd w:val="clear" w:color="auto" w:fill="E5E5E5"/>
                </w:tcPr>
                <w:p w14:paraId="40AFA6FF" w14:textId="77777777" w:rsidR="002A2FAE" w:rsidRPr="00027624" w:rsidRDefault="002A2FAE" w:rsidP="007B222E">
                  <w:pPr>
                    <w:pStyle w:val="TableColumnHeadingCentred"/>
                    <w:framePr w:hSpace="180" w:wrap="around" w:vAnchor="text" w:hAnchor="text" w:y="1"/>
                    <w:suppressOverlap/>
                  </w:pPr>
                  <w:r w:rsidRPr="00027624">
                    <w:t>Behaviour ($)</w:t>
                  </w:r>
                </w:p>
              </w:tc>
              <w:tc>
                <w:tcPr>
                  <w:tcW w:w="1259" w:type="pct"/>
                  <w:shd w:val="clear" w:color="auto" w:fill="E5E5E5"/>
                </w:tcPr>
                <w:p w14:paraId="2DA64C6B" w14:textId="77777777" w:rsidR="002A2FAE" w:rsidRPr="00027624" w:rsidRDefault="002A2FAE" w:rsidP="007B222E">
                  <w:pPr>
                    <w:pStyle w:val="TableColumnHeadingCentred"/>
                    <w:framePr w:hSpace="180" w:wrap="around" w:vAnchor="text" w:hAnchor="text" w:y="1"/>
                    <w:suppressOverlap/>
                  </w:pPr>
                  <w:r w:rsidRPr="00027624">
                    <w:t>Complex health care ($)</w:t>
                  </w:r>
                </w:p>
              </w:tc>
            </w:tr>
            <w:tr w:rsidR="002A2FAE" w:rsidRPr="00027624" w14:paraId="3CAE7CF0" w14:textId="77777777" w:rsidTr="002A2FAE">
              <w:trPr>
                <w:trHeight w:val="270"/>
              </w:trPr>
              <w:tc>
                <w:tcPr>
                  <w:tcW w:w="1224" w:type="pct"/>
                </w:tcPr>
                <w:p w14:paraId="0FF11D04" w14:textId="77777777" w:rsidR="002A2FAE" w:rsidRPr="00027624" w:rsidRDefault="002A2FAE" w:rsidP="007B222E">
                  <w:pPr>
                    <w:pStyle w:val="TableTextLeft"/>
                    <w:framePr w:hSpace="180" w:wrap="around" w:vAnchor="text" w:hAnchor="text" w:y="1"/>
                    <w:suppressOverlap/>
                  </w:pPr>
                  <w:r w:rsidRPr="00027624">
                    <w:t>Nil</w:t>
                  </w:r>
                </w:p>
              </w:tc>
              <w:tc>
                <w:tcPr>
                  <w:tcW w:w="1259" w:type="pct"/>
                </w:tcPr>
                <w:p w14:paraId="2FF2E31E" w14:textId="77777777" w:rsidR="002A2FAE" w:rsidRPr="00027624" w:rsidRDefault="002A2FAE" w:rsidP="007B222E">
                  <w:pPr>
                    <w:pStyle w:val="TableTextCentered"/>
                    <w:framePr w:hSpace="180" w:wrap="around" w:vAnchor="text" w:hAnchor="text" w:y="1"/>
                    <w:suppressOverlap/>
                  </w:pPr>
                  <w:r w:rsidRPr="00027624">
                    <w:t>Nil</w:t>
                  </w:r>
                </w:p>
              </w:tc>
              <w:tc>
                <w:tcPr>
                  <w:tcW w:w="1259" w:type="pct"/>
                </w:tcPr>
                <w:p w14:paraId="13FFC660" w14:textId="77777777" w:rsidR="002A2FAE" w:rsidRPr="00027624" w:rsidRDefault="002A2FAE" w:rsidP="007B222E">
                  <w:pPr>
                    <w:pStyle w:val="TableTextCentered"/>
                    <w:framePr w:hSpace="180" w:wrap="around" w:vAnchor="text" w:hAnchor="text" w:y="1"/>
                    <w:suppressOverlap/>
                  </w:pPr>
                  <w:r w:rsidRPr="00027624">
                    <w:t>Nil</w:t>
                  </w:r>
                </w:p>
              </w:tc>
              <w:tc>
                <w:tcPr>
                  <w:tcW w:w="1259" w:type="pct"/>
                </w:tcPr>
                <w:p w14:paraId="566A077F" w14:textId="77777777" w:rsidR="002A2FAE" w:rsidRPr="00027624" w:rsidRDefault="002A2FAE" w:rsidP="007B222E">
                  <w:pPr>
                    <w:pStyle w:val="TableTextCentered"/>
                    <w:framePr w:hSpace="180" w:wrap="around" w:vAnchor="text" w:hAnchor="text" w:y="1"/>
                    <w:suppressOverlap/>
                  </w:pPr>
                  <w:r w:rsidRPr="00027624">
                    <w:t>Nil</w:t>
                  </w:r>
                </w:p>
              </w:tc>
            </w:tr>
            <w:tr w:rsidR="002A2FAE" w:rsidRPr="00027624" w14:paraId="6BE01B85" w14:textId="77777777" w:rsidTr="002A2FAE">
              <w:trPr>
                <w:trHeight w:val="270"/>
              </w:trPr>
              <w:tc>
                <w:tcPr>
                  <w:tcW w:w="1224" w:type="pct"/>
                </w:tcPr>
                <w:p w14:paraId="0CFBC8F3" w14:textId="77777777" w:rsidR="002A2FAE" w:rsidRPr="00027624" w:rsidRDefault="002A2FAE" w:rsidP="007B222E">
                  <w:pPr>
                    <w:pStyle w:val="TableTextLeft"/>
                    <w:framePr w:hSpace="180" w:wrap="around" w:vAnchor="text" w:hAnchor="text" w:y="1"/>
                    <w:suppressOverlap/>
                  </w:pPr>
                  <w:r w:rsidRPr="00027624">
                    <w:t>Low</w:t>
                  </w:r>
                </w:p>
              </w:tc>
              <w:tc>
                <w:tcPr>
                  <w:tcW w:w="1259" w:type="pct"/>
                </w:tcPr>
                <w:p w14:paraId="3258C9E0" w14:textId="77777777" w:rsidR="002A2FAE" w:rsidRPr="00027624" w:rsidRDefault="002A2FAE" w:rsidP="007B222E">
                  <w:pPr>
                    <w:pStyle w:val="TableTextCentered"/>
                    <w:framePr w:hSpace="180" w:wrap="around" w:vAnchor="text" w:hAnchor="text" w:y="1"/>
                    <w:suppressOverlap/>
                  </w:pPr>
                  <w:r w:rsidRPr="00027624">
                    <w:t>13,753.20</w:t>
                  </w:r>
                </w:p>
              </w:tc>
              <w:tc>
                <w:tcPr>
                  <w:tcW w:w="1259" w:type="pct"/>
                </w:tcPr>
                <w:p w14:paraId="134567AD" w14:textId="77777777" w:rsidR="002A2FAE" w:rsidRPr="00027624" w:rsidRDefault="002A2FAE" w:rsidP="007B222E">
                  <w:pPr>
                    <w:pStyle w:val="TableTextCentered"/>
                    <w:framePr w:hSpace="180" w:wrap="around" w:vAnchor="text" w:hAnchor="text" w:y="1"/>
                    <w:suppressOverlap/>
                  </w:pPr>
                  <w:r w:rsidRPr="00027624">
                    <w:t>3,142.65</w:t>
                  </w:r>
                </w:p>
              </w:tc>
              <w:tc>
                <w:tcPr>
                  <w:tcW w:w="1259" w:type="pct"/>
                </w:tcPr>
                <w:p w14:paraId="68A70E65" w14:textId="77777777" w:rsidR="002A2FAE" w:rsidRPr="00027624" w:rsidRDefault="002A2FAE" w:rsidP="007B222E">
                  <w:pPr>
                    <w:pStyle w:val="TableTextCentered"/>
                    <w:framePr w:hSpace="180" w:wrap="around" w:vAnchor="text" w:hAnchor="text" w:y="1"/>
                    <w:suppressOverlap/>
                  </w:pPr>
                  <w:r w:rsidRPr="00027624">
                    <w:t>6,099.15</w:t>
                  </w:r>
                </w:p>
              </w:tc>
            </w:tr>
            <w:tr w:rsidR="002A2FAE" w:rsidRPr="00027624" w14:paraId="6060FA16" w14:textId="77777777" w:rsidTr="002A2FAE">
              <w:trPr>
                <w:trHeight w:val="270"/>
              </w:trPr>
              <w:tc>
                <w:tcPr>
                  <w:tcW w:w="1224" w:type="pct"/>
                </w:tcPr>
                <w:p w14:paraId="0F8CAD90" w14:textId="77777777" w:rsidR="002A2FAE" w:rsidRPr="00027624" w:rsidRDefault="002A2FAE" w:rsidP="007B222E">
                  <w:pPr>
                    <w:pStyle w:val="TableTextLeft"/>
                    <w:framePr w:hSpace="180" w:wrap="around" w:vAnchor="text" w:hAnchor="text" w:y="1"/>
                    <w:suppressOverlap/>
                  </w:pPr>
                  <w:r w:rsidRPr="00027624">
                    <w:t>Medium</w:t>
                  </w:r>
                </w:p>
              </w:tc>
              <w:tc>
                <w:tcPr>
                  <w:tcW w:w="1259" w:type="pct"/>
                </w:tcPr>
                <w:p w14:paraId="22EB24B0" w14:textId="77777777" w:rsidR="002A2FAE" w:rsidRPr="00027624" w:rsidRDefault="002A2FAE" w:rsidP="007B222E">
                  <w:pPr>
                    <w:pStyle w:val="TableTextCentered"/>
                    <w:framePr w:hSpace="180" w:wrap="around" w:vAnchor="text" w:hAnchor="text" w:y="1"/>
                    <w:suppressOverlap/>
                  </w:pPr>
                  <w:r w:rsidRPr="00027624">
                    <w:t>29,948.25</w:t>
                  </w:r>
                </w:p>
              </w:tc>
              <w:tc>
                <w:tcPr>
                  <w:tcW w:w="1259" w:type="pct"/>
                </w:tcPr>
                <w:p w14:paraId="31EB3055" w14:textId="77777777" w:rsidR="002A2FAE" w:rsidRPr="00027624" w:rsidRDefault="002A2FAE" w:rsidP="007B222E">
                  <w:pPr>
                    <w:pStyle w:val="TableTextCentered"/>
                    <w:framePr w:hSpace="180" w:wrap="around" w:vAnchor="text" w:hAnchor="text" w:y="1"/>
                    <w:suppressOverlap/>
                  </w:pPr>
                  <w:r w:rsidRPr="00027624">
                    <w:t>6,515.25</w:t>
                  </w:r>
                </w:p>
              </w:tc>
              <w:tc>
                <w:tcPr>
                  <w:tcW w:w="1259" w:type="pct"/>
                </w:tcPr>
                <w:p w14:paraId="26A9EFCB" w14:textId="77777777" w:rsidR="002A2FAE" w:rsidRPr="00027624" w:rsidRDefault="002A2FAE" w:rsidP="007B222E">
                  <w:pPr>
                    <w:pStyle w:val="TableTextCentered"/>
                    <w:framePr w:hSpace="180" w:wrap="around" w:vAnchor="text" w:hAnchor="text" w:y="1"/>
                    <w:suppressOverlap/>
                  </w:pPr>
                  <w:r w:rsidRPr="00027624">
                    <w:t>17,377.65</w:t>
                  </w:r>
                </w:p>
              </w:tc>
            </w:tr>
            <w:tr w:rsidR="002A2FAE" w:rsidRPr="00027624" w14:paraId="16AD80F4" w14:textId="77777777" w:rsidTr="002A2FAE">
              <w:trPr>
                <w:trHeight w:val="270"/>
              </w:trPr>
              <w:tc>
                <w:tcPr>
                  <w:tcW w:w="1224" w:type="pct"/>
                </w:tcPr>
                <w:p w14:paraId="036718CE" w14:textId="77777777" w:rsidR="002A2FAE" w:rsidRPr="00027624" w:rsidRDefault="002A2FAE" w:rsidP="007B222E">
                  <w:pPr>
                    <w:pStyle w:val="TableTextLeft"/>
                    <w:framePr w:hSpace="180" w:wrap="around" w:vAnchor="text" w:hAnchor="text" w:y="1"/>
                    <w:suppressOverlap/>
                  </w:pPr>
                  <w:r w:rsidRPr="00027624">
                    <w:t>High</w:t>
                  </w:r>
                </w:p>
              </w:tc>
              <w:tc>
                <w:tcPr>
                  <w:tcW w:w="1259" w:type="pct"/>
                </w:tcPr>
                <w:p w14:paraId="252F3F26" w14:textId="77777777" w:rsidR="002A2FAE" w:rsidRPr="00027624" w:rsidRDefault="002A2FAE" w:rsidP="007B222E">
                  <w:pPr>
                    <w:pStyle w:val="TableTextCentered"/>
                    <w:framePr w:hSpace="180" w:wrap="around" w:vAnchor="text" w:hAnchor="text" w:y="1"/>
                    <w:suppressOverlap/>
                  </w:pPr>
                  <w:r w:rsidRPr="00027624">
                    <w:t>41,489.55</w:t>
                  </w:r>
                </w:p>
              </w:tc>
              <w:tc>
                <w:tcPr>
                  <w:tcW w:w="1259" w:type="pct"/>
                </w:tcPr>
                <w:p w14:paraId="20966402" w14:textId="77777777" w:rsidR="002A2FAE" w:rsidRPr="00027624" w:rsidRDefault="002A2FAE" w:rsidP="007B222E">
                  <w:pPr>
                    <w:pStyle w:val="TableTextCentered"/>
                    <w:framePr w:hSpace="180" w:wrap="around" w:vAnchor="text" w:hAnchor="text" w:y="1"/>
                    <w:suppressOverlap/>
                  </w:pPr>
                  <w:r w:rsidRPr="00027624">
                    <w:t>13,581.65</w:t>
                  </w:r>
                </w:p>
              </w:tc>
              <w:tc>
                <w:tcPr>
                  <w:tcW w:w="1259" w:type="pct"/>
                </w:tcPr>
                <w:p w14:paraId="448753FA" w14:textId="77777777" w:rsidR="002A2FAE" w:rsidRPr="00027624" w:rsidRDefault="002A2FAE" w:rsidP="007B222E">
                  <w:pPr>
                    <w:pStyle w:val="TableTextCentered"/>
                    <w:framePr w:hSpace="180" w:wrap="around" w:vAnchor="text" w:hAnchor="text" w:y="1"/>
                    <w:suppressOverlap/>
                  </w:pPr>
                  <w:r w:rsidRPr="00027624">
                    <w:t>25,090.10</w:t>
                  </w:r>
                </w:p>
              </w:tc>
            </w:tr>
          </w:tbl>
          <w:p w14:paraId="1938D008" w14:textId="77777777" w:rsidR="002A2FAE" w:rsidRPr="00027624" w:rsidRDefault="002A2FAE" w:rsidP="002A2FAE">
            <w:pPr>
              <w:pStyle w:val="ChartorTableNote"/>
              <w:rPr>
                <w:rFonts w:eastAsiaTheme="minorHAnsi" w:cs="Calibri"/>
                <w:szCs w:val="18"/>
              </w:rPr>
            </w:pPr>
            <w:r w:rsidRPr="00027624">
              <w:t>Note: Daily Aged Care Funding Instrument subsidy rates as at 1 May 2020. These figures have been annualised and do not include temporary additional daily amounts. Consumer assistance needs are assessed against each category, with the total Government contribution calculated accordingly. For example, the Government contribution for a consumer needing high</w:t>
            </w:r>
            <w:r w:rsidR="00A8443E" w:rsidRPr="00027624">
              <w:noBreakHyphen/>
            </w:r>
            <w:r w:rsidRPr="00027624">
              <w:t xml:space="preserve">level assistance with activities of daily living and behaviour, but without complex health care needs, would be $55,071.20 ($41,489.55 + $13,581.65 + $0). Source: </w:t>
            </w:r>
            <w:sdt>
              <w:sdtPr>
                <w:id w:val="405461"/>
                <w:citation/>
              </w:sdtPr>
              <w:sdtEndPr/>
              <w:sdtContent>
                <w:r w:rsidRPr="00027624">
                  <w:fldChar w:fldCharType="begin"/>
                </w:r>
                <w:r w:rsidRPr="00027624">
                  <w:instrText xml:space="preserve"> CITATION Dep20 \l 3081 </w:instrText>
                </w:r>
                <w:r w:rsidRPr="00027624">
                  <w:fldChar w:fldCharType="separate"/>
                </w:r>
                <w:r w:rsidR="00E83F6E">
                  <w:rPr>
                    <w:noProof/>
                  </w:rPr>
                  <w:t>(Department of Health, 2020b)</w:t>
                </w:r>
                <w:r w:rsidRPr="00027624">
                  <w:fldChar w:fldCharType="end"/>
                </w:r>
              </w:sdtContent>
            </w:sdt>
            <w:r w:rsidRPr="00027624">
              <w:t>.</w:t>
            </w:r>
          </w:p>
        </w:tc>
      </w:tr>
    </w:tbl>
    <w:p w14:paraId="724E730B" w14:textId="77777777" w:rsidR="002A2FAE" w:rsidRPr="00027624" w:rsidRDefault="002A2FAE" w:rsidP="002A2FAE">
      <w:pPr>
        <w:pStyle w:val="Heading4"/>
      </w:pPr>
      <w:r w:rsidRPr="00027624">
        <w:lastRenderedPageBreak/>
        <w:t>Concession cards</w:t>
      </w:r>
    </w:p>
    <w:p w14:paraId="46A0506D" w14:textId="77777777" w:rsidR="002A2FAE" w:rsidRPr="00027624" w:rsidRDefault="002A2FAE" w:rsidP="002A2FAE">
      <w:r w:rsidRPr="00027624">
        <w:t xml:space="preserve">Concession cards provide the basis for other forms of social transfers in kind governments provide. </w:t>
      </w:r>
      <w:r w:rsidRPr="00027624" w:rsidDel="00D54A93">
        <w:t>Concession cards</w:t>
      </w:r>
      <w:r w:rsidRPr="00027624">
        <w:t xml:space="preserve"> are not directly linked to the retirement income system but serve a broader purpose of subsidising the living costs of lower</w:t>
      </w:r>
      <w:r w:rsidR="00A8443E" w:rsidRPr="00027624">
        <w:noBreakHyphen/>
      </w:r>
      <w:r w:rsidRPr="00027624">
        <w:t>income earners.</w:t>
      </w:r>
    </w:p>
    <w:p w14:paraId="0F3A40F0" w14:textId="77777777" w:rsidR="002A2FAE" w:rsidRPr="00027624" w:rsidRDefault="002A2FAE" w:rsidP="002A2FAE">
      <w:r w:rsidRPr="00027624">
        <w:t>Most Australians of Age Pension eligibility age (81 per cent)</w:t>
      </w:r>
      <w:r w:rsidRPr="00027624">
        <w:rPr>
          <w:rStyle w:val="FootnoteReference"/>
        </w:rPr>
        <w:footnoteReference w:id="255"/>
      </w:r>
      <w:r w:rsidRPr="00027624">
        <w:t xml:space="preserve"> are eligible for a concession card, either as supplementary assistance to the Age Pension or by meeting an income test.</w:t>
      </w:r>
      <w:r w:rsidRPr="00027624">
        <w:rPr>
          <w:rStyle w:val="FootnoteReference"/>
        </w:rPr>
        <w:footnoteReference w:id="256"/>
      </w:r>
      <w:r w:rsidRPr="00027624">
        <w:t xml:space="preserve"> The three types of card (Pensioner Concession Card</w:t>
      </w:r>
      <w:r w:rsidRPr="00027624">
        <w:rPr>
          <w:bCs/>
        </w:rPr>
        <w:t xml:space="preserve">, </w:t>
      </w:r>
      <w:r w:rsidRPr="00027624">
        <w:t>Commonwealth Seniors Health Card and</w:t>
      </w:r>
      <w:r w:rsidRPr="00027624">
        <w:rPr>
          <w:bCs/>
        </w:rPr>
        <w:t xml:space="preserve"> </w:t>
      </w:r>
      <w:r w:rsidRPr="00027624">
        <w:t>Health Care Card)</w:t>
      </w:r>
      <w:r w:rsidRPr="00027624">
        <w:rPr>
          <w:bCs/>
        </w:rPr>
        <w:t xml:space="preserve"> </w:t>
      </w:r>
      <w:r w:rsidRPr="00027624">
        <w:t>all provide similar benefits at the federal level. State and territory and local governments provide most concessions to Pensioner Concession Card and Health Care Card holders. This is because the cards are directly linked to social security payments and holders have to meet more stringent means test requirements.</w:t>
      </w:r>
    </w:p>
    <w:p w14:paraId="48D9FAC6" w14:textId="77777777" w:rsidR="002A2FAE" w:rsidRPr="00027624" w:rsidRDefault="002A2FAE" w:rsidP="002A2FAE">
      <w:pPr>
        <w:pStyle w:val="Bullet"/>
        <w:numPr>
          <w:ilvl w:val="0"/>
          <w:numId w:val="0"/>
        </w:numPr>
      </w:pPr>
      <w:r w:rsidRPr="00027624">
        <w:t>Estimating the value of social transfers in kind from concession cards at a state and territory level is challenging as each government independently determines the types of concessions offered, who can access them and how benefits are reported. As a result, the concessions vary by state and territory. For example, Victoria offers a 50 per cent reduction on council rates while Tasmania offers 30 per cent</w:t>
      </w:r>
      <w:sdt>
        <w:sdtPr>
          <w:id w:val="-952250425"/>
          <w:citation/>
        </w:sdtPr>
        <w:sdtEndPr/>
        <w:sdtContent>
          <w:r w:rsidRPr="00027624">
            <w:fldChar w:fldCharType="begin"/>
          </w:r>
          <w:r w:rsidRPr="00027624">
            <w:instrText xml:space="preserve">CITATION Vic20 \m Tas20 \l 3081 </w:instrText>
          </w:r>
          <w:r w:rsidRPr="00027624">
            <w:fldChar w:fldCharType="separate"/>
          </w:r>
          <w:r w:rsidR="00E83F6E">
            <w:rPr>
              <w:noProof/>
            </w:rPr>
            <w:t xml:space="preserve"> (Victorian Government, 2020; Tasmanian Government, 2017)</w:t>
          </w:r>
          <w:r w:rsidRPr="00027624">
            <w:fldChar w:fldCharType="end"/>
          </w:r>
        </w:sdtContent>
      </w:sdt>
      <w:r w:rsidRPr="00027624">
        <w:t>. Given these differences, historical and future costs of social transfers in kind to concession</w:t>
      </w:r>
      <w:r w:rsidR="00A8443E" w:rsidRPr="00027624">
        <w:noBreakHyphen/>
      </w:r>
      <w:r w:rsidRPr="00027624">
        <w:t>card holders have not been estimated or projected.</w:t>
      </w:r>
    </w:p>
    <w:p w14:paraId="6D76519F" w14:textId="77777777" w:rsidR="002A2FAE" w:rsidRPr="00027624" w:rsidRDefault="002A2FAE" w:rsidP="002A2FAE">
      <w:pPr>
        <w:pStyle w:val="Heading2"/>
      </w:pPr>
      <w:bookmarkStart w:id="4046" w:name="_Toc45520541"/>
      <w:bookmarkStart w:id="4047" w:name="_Toc46133653"/>
      <w:r w:rsidRPr="00027624">
        <w:lastRenderedPageBreak/>
        <w:t>Projected future costs</w:t>
      </w:r>
      <w:bookmarkEnd w:id="4046"/>
      <w:bookmarkEnd w:id="4047"/>
    </w:p>
    <w:p w14:paraId="6F263CD7" w14:textId="7DBA3806" w:rsidR="002A2FAE" w:rsidRPr="00027624" w:rsidRDefault="002A2FAE" w:rsidP="002A2FAE">
      <w:r w:rsidRPr="00027624">
        <w:rPr>
          <w:b/>
        </w:rPr>
        <w:t>The total projected cost of Age Pension expenditure and superannuation tax concessions together is estimated to grow from 4.6 per cent of GDP today to 5 per cent by 2060.</w:t>
      </w:r>
      <w:r w:rsidRPr="00027624">
        <w:t xml:space="preserve"> With Age Pension expenditure falling and contributions tax expenditure stable as a percentage of GDP, the overall increase is projected to be due to growth in earnings tax concessions (</w:t>
      </w:r>
      <w:r w:rsidRPr="00027624">
        <w:fldChar w:fldCharType="begin"/>
      </w:r>
      <w:r w:rsidRPr="00027624">
        <w:instrText xml:space="preserve"> REF _Ref43299843 \r \h  \* MERGEFORMAT </w:instrText>
      </w:r>
      <w:r w:rsidRPr="00027624">
        <w:fldChar w:fldCharType="separate"/>
      </w:r>
      <w:r w:rsidR="00891058">
        <w:t>Chart 4A-12</w:t>
      </w:r>
      <w:r w:rsidRPr="00027624">
        <w:fldChar w:fldCharType="end"/>
      </w:r>
      <w:r w:rsidRPr="00027624">
        <w:t>). By 2047, the cost of superannuation tax concessions is projected to be greater than the cost of the Age Pension as a percentage of GDP.</w:t>
      </w:r>
    </w:p>
    <w:p w14:paraId="28F8FC84" w14:textId="77777777" w:rsidR="002A2FAE" w:rsidRPr="00027624" w:rsidRDefault="002A2FAE" w:rsidP="00FC7361">
      <w:pPr>
        <w:pStyle w:val="ChartMainHeading"/>
        <w:numPr>
          <w:ilvl w:val="2"/>
          <w:numId w:val="28"/>
        </w:numPr>
      </w:pPr>
      <w:bookmarkStart w:id="4048" w:name="_Ref43299843"/>
      <w:r w:rsidRPr="00027624">
        <w:t>Total projected system cost</w:t>
      </w:r>
      <w:bookmarkEnd w:id="4048"/>
    </w:p>
    <w:p w14:paraId="72FC29E5" w14:textId="77777777" w:rsidR="002A2FAE" w:rsidRPr="00027624" w:rsidRDefault="000B1EF9" w:rsidP="002A2FAE">
      <w:pPr>
        <w:pStyle w:val="ChartGraphic"/>
      </w:pPr>
      <w:r>
        <w:rPr>
          <w:noProof/>
        </w:rPr>
        <w:drawing>
          <wp:inline distT="0" distB="0" distL="0" distR="0" wp14:anchorId="31854D0A" wp14:editId="61E95637">
            <wp:extent cx="5539740" cy="2514600"/>
            <wp:effectExtent l="0" t="0" r="3810" b="0"/>
            <wp:docPr id="2062294281" name="Picture 2062294281" descr="This chart shows the projected expenditure (as a proportion of GDP) on superannuation concessions and the Age Pension from 2020 to 2060. Age Pension costs are expected to fall slightly. Contributions tax concessions are relatively stable. Earnings tax concession increase significantly." title="Chart 4A-12 Total projected system 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39740" cy="2514600"/>
                    </a:xfrm>
                    <a:prstGeom prst="rect">
                      <a:avLst/>
                    </a:prstGeom>
                    <a:noFill/>
                  </pic:spPr>
                </pic:pic>
              </a:graphicData>
            </a:graphic>
          </wp:inline>
        </w:drawing>
      </w:r>
    </w:p>
    <w:p w14:paraId="4EE01D24" w14:textId="77777777" w:rsidR="002A2FAE" w:rsidRPr="00027624" w:rsidRDefault="002A2FAE" w:rsidP="002A2FAE">
      <w:pPr>
        <w:pStyle w:val="ChartorTableNote"/>
      </w:pPr>
      <w:r w:rsidRPr="00027624">
        <w:t>Note: Includes service pensioners. The tax concessions</w:t>
      </w:r>
      <w:r w:rsidRPr="00027624">
        <w:rPr>
          <w:noProof/>
        </w:rPr>
        <w:t xml:space="preserve"> time series is presented to illustrate the general trend. The cost of tax concessions is estimated independently each year (i.e. there is no dynamic impact of the removal of concessions over time). </w:t>
      </w:r>
      <w:r w:rsidRPr="00027624">
        <w:t>Earnings tax concessions includes the concessional taxation of superannuation earnings and capital gains tax discount for superannuation funds (broadly C1 and C4 in the Tax Benchmarks and Variations Statement). Contributions tax concessions includes the concessional taxation of employer and personal contributions (broadly C2 and C3 in the Tax Benchmarks and Variations Statement). Projections in MARIA broadly follow the methodology of the Tax Benchmarks and Variations Statement but have been calculated on an additive basis. The value of superannuation tax concessions is estimated by adding contributions and earnings to taxable income in two stages and applying the progressive income tax rates at each stage. The value of the earnings tax concession is the difference between the total value of concessions and value of contributions tax concessions. Personal income tax thresholds are also indexed for movements in wages beyond the medium</w:t>
      </w:r>
      <w:r w:rsidR="00A8443E" w:rsidRPr="00027624">
        <w:noBreakHyphen/>
      </w:r>
      <w:r w:rsidRPr="00027624">
        <w:t>term period. Source: Treasury estimates for the review using MARIA.</w:t>
      </w:r>
    </w:p>
    <w:p w14:paraId="06CADE1A" w14:textId="78DD12BA" w:rsidR="002A2FAE" w:rsidRPr="00027624" w:rsidRDefault="002A2FAE" w:rsidP="002A2FAE">
      <w:pPr>
        <w:spacing w:before="240"/>
      </w:pPr>
      <w:r w:rsidRPr="00027624">
        <w:t>The projections in this chapter are long term and do not take into account the potential short</w:t>
      </w:r>
      <w:r w:rsidR="00A8443E" w:rsidRPr="00027624">
        <w:noBreakHyphen/>
      </w:r>
      <w:r w:rsidRPr="00027624">
        <w:t>term effects of the COVID</w:t>
      </w:r>
      <w:r w:rsidR="00A8443E" w:rsidRPr="00027624">
        <w:noBreakHyphen/>
      </w:r>
      <w:r w:rsidRPr="00027624">
        <w:t xml:space="preserve">19 Pandemic. </w:t>
      </w:r>
      <w:r w:rsidRPr="00027624">
        <w:fldChar w:fldCharType="begin"/>
      </w:r>
      <w:r w:rsidRPr="00027624">
        <w:instrText xml:space="preserve"> REF _Ref41920147 \r \h  \* MERGEFORMAT </w:instrText>
      </w:r>
      <w:r w:rsidRPr="00027624">
        <w:fldChar w:fldCharType="separate"/>
      </w:r>
      <w:r w:rsidR="00891058">
        <w:t>Box 4A-4</w:t>
      </w:r>
      <w:r w:rsidRPr="00027624">
        <w:fldChar w:fldCharType="end"/>
      </w:r>
      <w:r w:rsidRPr="00027624">
        <w:t xml:space="preserve"> offers an illustration of how a large, but short</w:t>
      </w:r>
      <w:r w:rsidR="00A8443E" w:rsidRPr="00027624">
        <w:noBreakHyphen/>
      </w:r>
      <w:r w:rsidRPr="00027624">
        <w:t>term, shock to superannuation might impact the retirement income system in the long term using Treasury</w:t>
      </w:r>
      <w:r w:rsidR="00A8443E" w:rsidRPr="00027624">
        <w:t>’</w:t>
      </w:r>
      <w:r w:rsidRPr="00027624">
        <w:t>s MARIA.</w:t>
      </w:r>
    </w:p>
    <w:tbl>
      <w:tblPr>
        <w:tblStyle w:val="TableGrid"/>
        <w:tblpPr w:leftFromText="180" w:rightFromText="180" w:vertAnchor="text" w:tblpY="1"/>
        <w:tblOverlap w:val="never"/>
        <w:tblW w:w="0" w:type="auto"/>
        <w:shd w:val="clear" w:color="auto" w:fill="FFF8EA"/>
        <w:tblLook w:val="04A0" w:firstRow="1" w:lastRow="0" w:firstColumn="1" w:lastColumn="0" w:noHBand="0" w:noVBand="1"/>
      </w:tblPr>
      <w:tblGrid>
        <w:gridCol w:w="9070"/>
      </w:tblGrid>
      <w:tr w:rsidR="002A2FAE" w:rsidRPr="00027624" w14:paraId="014817E9" w14:textId="77777777" w:rsidTr="002A2FAE">
        <w:tc>
          <w:tcPr>
            <w:tcW w:w="9072" w:type="dxa"/>
            <w:shd w:val="clear" w:color="auto" w:fill="FFF8EA"/>
          </w:tcPr>
          <w:p w14:paraId="2FB72DC4" w14:textId="77777777" w:rsidR="002A2FAE" w:rsidRPr="00027624" w:rsidRDefault="002A2FAE" w:rsidP="00FC7361">
            <w:pPr>
              <w:pStyle w:val="BoxHeading"/>
              <w:numPr>
                <w:ilvl w:val="5"/>
                <w:numId w:val="28"/>
              </w:numPr>
            </w:pPr>
            <w:bookmarkStart w:id="4049" w:name="_Ref41920147"/>
            <w:r w:rsidRPr="00027624">
              <w:t>The long</w:t>
            </w:r>
            <w:r w:rsidR="00A8443E" w:rsidRPr="00027624">
              <w:noBreakHyphen/>
            </w:r>
            <w:r w:rsidRPr="00027624">
              <w:t>run impact of a large short</w:t>
            </w:r>
            <w:r w:rsidR="00A8443E" w:rsidRPr="00027624">
              <w:noBreakHyphen/>
            </w:r>
            <w:r w:rsidRPr="00027624">
              <w:t>term shock to the retirement income system</w:t>
            </w:r>
            <w:bookmarkEnd w:id="4049"/>
          </w:p>
          <w:p w14:paraId="21637306" w14:textId="77777777" w:rsidR="002A2FAE" w:rsidRPr="00027624" w:rsidRDefault="002A2FAE" w:rsidP="002A2FAE">
            <w:pPr>
              <w:rPr>
                <w:rFonts w:asciiTheme="minorHAnsi" w:hAnsiTheme="minorHAnsi" w:cstheme="minorBidi"/>
              </w:rPr>
            </w:pPr>
            <w:r w:rsidRPr="00027624">
              <w:rPr>
                <w:rFonts w:asciiTheme="minorHAnsi" w:hAnsiTheme="minorHAnsi" w:cstheme="minorBidi"/>
              </w:rPr>
              <w:t>The models used in this review to understand long</w:t>
            </w:r>
            <w:r w:rsidR="00A8443E" w:rsidRPr="00027624">
              <w:rPr>
                <w:rFonts w:asciiTheme="minorHAnsi" w:hAnsiTheme="minorHAnsi" w:cstheme="minorBidi"/>
              </w:rPr>
              <w:noBreakHyphen/>
            </w:r>
            <w:r w:rsidRPr="00027624">
              <w:rPr>
                <w:rFonts w:asciiTheme="minorHAnsi" w:hAnsiTheme="minorHAnsi" w:cstheme="minorBidi"/>
              </w:rPr>
              <w:t xml:space="preserve">term trends in the retirement income system are </w:t>
            </w:r>
            <w:r w:rsidRPr="00027624">
              <w:rPr>
                <w:rFonts w:asciiTheme="minorHAnsi" w:hAnsiTheme="minorHAnsi"/>
              </w:rPr>
              <w:t>based on historical data and</w:t>
            </w:r>
            <w:r w:rsidRPr="00027624">
              <w:rPr>
                <w:rFonts w:asciiTheme="minorHAnsi" w:hAnsiTheme="minorHAnsi" w:cstheme="minorBidi"/>
              </w:rPr>
              <w:t xml:space="preserve"> the economic outlook for </w:t>
            </w:r>
            <w:r w:rsidRPr="00027624">
              <w:rPr>
                <w:rFonts w:asciiTheme="minorHAnsi" w:hAnsiTheme="minorHAnsi"/>
              </w:rPr>
              <w:t xml:space="preserve">Australia </w:t>
            </w:r>
            <w:r w:rsidRPr="00027624">
              <w:rPr>
                <w:rFonts w:asciiTheme="minorHAnsi" w:hAnsiTheme="minorHAnsi" w:cstheme="minorBidi"/>
              </w:rPr>
              <w:t xml:space="preserve">at the time of the </w:t>
            </w:r>
            <w:r w:rsidRPr="00027624">
              <w:rPr>
                <w:rFonts w:asciiTheme="minorHAnsi" w:hAnsiTheme="minorHAnsi"/>
              </w:rPr>
              <w:t>2019</w:t>
            </w:r>
            <w:r w:rsidR="00A8443E" w:rsidRPr="00027624">
              <w:rPr>
                <w:rFonts w:asciiTheme="minorHAnsi" w:hAnsiTheme="minorHAnsi"/>
              </w:rPr>
              <w:noBreakHyphen/>
            </w:r>
            <w:r w:rsidRPr="00027624">
              <w:rPr>
                <w:rFonts w:asciiTheme="minorHAnsi" w:hAnsiTheme="minorHAnsi"/>
              </w:rPr>
              <w:t>20 Mid</w:t>
            </w:r>
            <w:r w:rsidR="00A8443E" w:rsidRPr="00027624">
              <w:rPr>
                <w:rFonts w:asciiTheme="minorHAnsi" w:hAnsiTheme="minorHAnsi"/>
              </w:rPr>
              <w:noBreakHyphen/>
            </w:r>
            <w:r w:rsidRPr="00027624">
              <w:rPr>
                <w:rFonts w:asciiTheme="minorHAnsi" w:hAnsiTheme="minorHAnsi"/>
              </w:rPr>
              <w:t>Year Economic and Fiscal Outlook</w:t>
            </w:r>
            <w:r w:rsidRPr="00027624">
              <w:rPr>
                <w:rFonts w:asciiTheme="minorHAnsi" w:hAnsiTheme="minorHAnsi" w:cstheme="minorBidi"/>
              </w:rPr>
              <w:t>.</w:t>
            </w:r>
          </w:p>
          <w:p w14:paraId="7F407735" w14:textId="77777777" w:rsidR="002A2FAE" w:rsidRPr="00027624" w:rsidRDefault="002A2FAE" w:rsidP="002A2FAE">
            <w:pPr>
              <w:rPr>
                <w:rFonts w:asciiTheme="minorHAnsi" w:hAnsiTheme="minorHAnsi"/>
              </w:rPr>
            </w:pPr>
            <w:r w:rsidRPr="00027624">
              <w:rPr>
                <w:rFonts w:asciiTheme="minorHAnsi" w:hAnsiTheme="minorHAnsi" w:cstheme="minorBidi"/>
              </w:rPr>
              <w:t xml:space="preserve">The </w:t>
            </w:r>
            <w:r w:rsidRPr="00027624">
              <w:rPr>
                <w:rFonts w:asciiTheme="minorHAnsi" w:hAnsiTheme="minorHAnsi"/>
              </w:rPr>
              <w:t>review</w:t>
            </w:r>
            <w:r w:rsidRPr="00027624">
              <w:rPr>
                <w:rFonts w:asciiTheme="minorHAnsi" w:hAnsiTheme="minorHAnsi" w:cstheme="minorBidi"/>
              </w:rPr>
              <w:t xml:space="preserve"> examined the impact of a large short</w:t>
            </w:r>
            <w:r w:rsidR="00A8443E" w:rsidRPr="00027624">
              <w:rPr>
                <w:rFonts w:asciiTheme="minorHAnsi" w:hAnsiTheme="minorHAnsi" w:cstheme="minorBidi"/>
              </w:rPr>
              <w:noBreakHyphen/>
            </w:r>
            <w:r w:rsidRPr="00027624">
              <w:rPr>
                <w:rFonts w:asciiTheme="minorHAnsi" w:hAnsiTheme="minorHAnsi" w:cstheme="minorBidi"/>
              </w:rPr>
              <w:t xml:space="preserve">term shock to superannuation assets. </w:t>
            </w:r>
            <w:r w:rsidRPr="00027624">
              <w:rPr>
                <w:rFonts w:asciiTheme="minorHAnsi" w:hAnsiTheme="minorHAnsi" w:cstheme="minorBidi"/>
                <w:b/>
              </w:rPr>
              <w:t>The shock is not projecting the impact of the COVID</w:t>
            </w:r>
            <w:r w:rsidR="00A8443E" w:rsidRPr="00027624">
              <w:rPr>
                <w:rFonts w:asciiTheme="minorHAnsi" w:hAnsiTheme="minorHAnsi" w:cstheme="minorBidi"/>
                <w:b/>
              </w:rPr>
              <w:noBreakHyphen/>
            </w:r>
            <w:r w:rsidRPr="00027624">
              <w:rPr>
                <w:rFonts w:asciiTheme="minorHAnsi" w:hAnsiTheme="minorHAnsi" w:cstheme="minorBidi"/>
                <w:b/>
              </w:rPr>
              <w:t>19 Pandemic</w:t>
            </w:r>
            <w:r w:rsidRPr="00027624">
              <w:rPr>
                <w:rFonts w:asciiTheme="minorHAnsi" w:hAnsiTheme="minorHAnsi" w:cstheme="minorBidi"/>
                <w:b/>
                <w:bCs/>
              </w:rPr>
              <w:t>,</w:t>
            </w:r>
            <w:r w:rsidRPr="00027624">
              <w:rPr>
                <w:rFonts w:asciiTheme="minorHAnsi" w:hAnsiTheme="minorHAnsi" w:cstheme="minorBidi"/>
              </w:rPr>
              <w:t xml:space="preserve"> which remains uncertain, but provides a stylised path of a short</w:t>
            </w:r>
            <w:r w:rsidR="00A8443E" w:rsidRPr="00027624">
              <w:rPr>
                <w:rFonts w:asciiTheme="minorHAnsi" w:hAnsiTheme="minorHAnsi" w:cstheme="minorBidi"/>
              </w:rPr>
              <w:noBreakHyphen/>
            </w:r>
            <w:r w:rsidRPr="00027624">
              <w:rPr>
                <w:rFonts w:asciiTheme="minorHAnsi" w:hAnsiTheme="minorHAnsi" w:cstheme="minorBidi"/>
              </w:rPr>
              <w:t xml:space="preserve">run shock on the system over the long term. </w:t>
            </w:r>
            <w:r w:rsidRPr="00027624">
              <w:rPr>
                <w:rFonts w:asciiTheme="minorHAnsi" w:hAnsiTheme="minorHAnsi"/>
              </w:rPr>
              <w:t>The shock includes a:</w:t>
            </w:r>
          </w:p>
          <w:p w14:paraId="672A17C6" w14:textId="77777777" w:rsidR="002A2FAE" w:rsidRPr="00027624" w:rsidRDefault="002A2FAE" w:rsidP="00716CEE">
            <w:pPr>
              <w:pStyle w:val="BoxBullet"/>
            </w:pPr>
            <w:r w:rsidRPr="00027624">
              <w:t>20 per cent reduction in superannuation balances in 2020</w:t>
            </w:r>
          </w:p>
          <w:p w14:paraId="54DEF9F2" w14:textId="77777777" w:rsidR="002A2FAE" w:rsidRPr="00027624" w:rsidRDefault="002A2FAE" w:rsidP="00716CEE">
            <w:pPr>
              <w:pStyle w:val="BoxBullet"/>
            </w:pPr>
            <w:r w:rsidRPr="00027624">
              <w:t>50 per cent reduction in superannuation fund earnings in 2020 and 2021</w:t>
            </w:r>
          </w:p>
          <w:p w14:paraId="09278BCA" w14:textId="77777777" w:rsidR="002A2FAE" w:rsidRPr="00027624" w:rsidRDefault="002A2FAE" w:rsidP="00716CEE">
            <w:pPr>
              <w:pStyle w:val="BoxBullet"/>
              <w:rPr>
                <w:rFonts w:cstheme="minorHAnsi"/>
              </w:rPr>
            </w:pPr>
            <w:r w:rsidRPr="00027624">
              <w:lastRenderedPageBreak/>
              <w:t>90 per cent reduction in voluntary pre</w:t>
            </w:r>
            <w:r w:rsidR="00A8443E" w:rsidRPr="00027624">
              <w:noBreakHyphen/>
            </w:r>
            <w:r w:rsidRPr="00027624">
              <w:t xml:space="preserve"> and post</w:t>
            </w:r>
            <w:r w:rsidR="00A8443E" w:rsidRPr="00027624">
              <w:noBreakHyphen/>
            </w:r>
            <w:r w:rsidRPr="00027624">
              <w:t>tax contributions to superannuation in 2020</w:t>
            </w:r>
          </w:p>
          <w:p w14:paraId="4D2A73D0" w14:textId="11D2BB83" w:rsidR="002A2FAE" w:rsidRPr="00027624" w:rsidRDefault="002A2FAE" w:rsidP="002A2FAE">
            <w:pPr>
              <w:rPr>
                <w:rFonts w:asciiTheme="minorHAnsi" w:hAnsiTheme="minorHAnsi" w:cstheme="minorBidi"/>
              </w:rPr>
            </w:pPr>
            <w:r w:rsidRPr="00027624">
              <w:rPr>
                <w:rFonts w:asciiTheme="minorHAnsi" w:hAnsiTheme="minorHAnsi"/>
              </w:rPr>
              <w:t>Broadly, the scenario sees superannuation funds under management fall sharply, eventually leading to higher Age Pension expenditure as a percentage of GDP than the baseline</w:t>
            </w:r>
            <w:r w:rsidRPr="00027624">
              <w:rPr>
                <w:rFonts w:asciiTheme="minorHAnsi" w:hAnsiTheme="minorHAnsi" w:cstheme="minorBidi"/>
              </w:rPr>
              <w:t xml:space="preserve"> </w:t>
            </w:r>
            <w:r w:rsidRPr="00027624">
              <w:rPr>
                <w:rFonts w:asciiTheme="minorHAnsi" w:hAnsiTheme="minorHAnsi"/>
              </w:rPr>
              <w:t>(</w:t>
            </w:r>
            <w:r w:rsidRPr="00027624">
              <w:rPr>
                <w:rFonts w:cstheme="minorBidi"/>
              </w:rPr>
              <w:fldChar w:fldCharType="begin"/>
            </w:r>
            <w:r w:rsidRPr="00027624">
              <w:rPr>
                <w:rFonts w:asciiTheme="minorHAnsi" w:hAnsiTheme="minorHAnsi" w:cstheme="minorBidi"/>
              </w:rPr>
              <w:instrText xml:space="preserve"> REF _Ref40963944 \r \h </w:instrText>
            </w:r>
            <w:r w:rsidRPr="00027624">
              <w:rPr>
                <w:rFonts w:cstheme="minorBidi"/>
              </w:rPr>
              <w:instrText xml:space="preserve"> \* MERGEFORMAT </w:instrText>
            </w:r>
            <w:r w:rsidRPr="00027624">
              <w:rPr>
                <w:rFonts w:cstheme="minorBidi"/>
              </w:rPr>
            </w:r>
            <w:r w:rsidRPr="00027624">
              <w:rPr>
                <w:rFonts w:cstheme="minorBidi"/>
              </w:rPr>
              <w:fldChar w:fldCharType="separate"/>
            </w:r>
            <w:r w:rsidR="00891058">
              <w:rPr>
                <w:rFonts w:asciiTheme="minorHAnsi" w:hAnsiTheme="minorHAnsi" w:cstheme="minorBidi"/>
              </w:rPr>
              <w:t>Chart 4A-13</w:t>
            </w:r>
            <w:r w:rsidRPr="00027624">
              <w:rPr>
                <w:rFonts w:cstheme="minorBidi"/>
              </w:rPr>
              <w:fldChar w:fldCharType="end"/>
            </w:r>
            <w:r w:rsidRPr="00027624">
              <w:rPr>
                <w:rFonts w:asciiTheme="minorHAnsi" w:hAnsiTheme="minorHAnsi" w:cstheme="minorBidi"/>
              </w:rPr>
              <w:t xml:space="preserve">). </w:t>
            </w:r>
            <w:r w:rsidRPr="00027624">
              <w:rPr>
                <w:rFonts w:asciiTheme="minorHAnsi" w:hAnsiTheme="minorHAnsi"/>
              </w:rPr>
              <w:t>By 2036, the gap in projected Age Pension expenditure is highest, at under 0.2 per cent of GDP. As superannuation assets converge back to the baseline path, the gap in Age Pension expenditure falls.</w:t>
            </w:r>
          </w:p>
          <w:p w14:paraId="70A9CB93" w14:textId="77777777" w:rsidR="002A2FAE" w:rsidRPr="00027624" w:rsidRDefault="002A2FAE" w:rsidP="00FC7361">
            <w:pPr>
              <w:pStyle w:val="ChartMainHeading"/>
              <w:numPr>
                <w:ilvl w:val="2"/>
                <w:numId w:val="28"/>
              </w:numPr>
            </w:pPr>
            <w:bookmarkStart w:id="4050" w:name="_Ref40963944"/>
            <w:r w:rsidRPr="00027624">
              <w:t>Shock analysis projections</w:t>
            </w:r>
            <w:bookmarkEnd w:id="4050"/>
          </w:p>
          <w:tbl>
            <w:tblPr>
              <w:tblStyle w:val="TableGrid"/>
              <w:tblW w:w="0" w:type="auto"/>
              <w:tblLook w:val="04A0" w:firstRow="1" w:lastRow="0" w:firstColumn="1" w:lastColumn="0" w:noHBand="0" w:noVBand="1"/>
            </w:tblPr>
            <w:tblGrid>
              <w:gridCol w:w="4427"/>
              <w:gridCol w:w="4427"/>
            </w:tblGrid>
            <w:tr w:rsidR="002A2FAE" w:rsidRPr="00027624" w14:paraId="59CF1F40" w14:textId="77777777" w:rsidTr="002A2FAE">
              <w:tc>
                <w:tcPr>
                  <w:tcW w:w="4428" w:type="dxa"/>
                  <w:shd w:val="clear" w:color="auto" w:fill="auto"/>
                </w:tcPr>
                <w:p w14:paraId="3CF3BE83" w14:textId="77777777" w:rsidR="002A2FAE" w:rsidRPr="00027624" w:rsidRDefault="002A2FAE" w:rsidP="007B222E">
                  <w:pPr>
                    <w:pStyle w:val="ChartSecondHeading"/>
                    <w:framePr w:hSpace="180" w:wrap="around" w:vAnchor="text" w:hAnchor="text" w:y="1"/>
                    <w:suppressOverlap/>
                    <w:rPr>
                      <w:color w:val="5C4878"/>
                      <w:sz w:val="22"/>
                    </w:rPr>
                  </w:pPr>
                  <w:r w:rsidRPr="00027624">
                    <w:t>Superannuation assets under management</w:t>
                  </w:r>
                </w:p>
              </w:tc>
              <w:tc>
                <w:tcPr>
                  <w:tcW w:w="4428" w:type="dxa"/>
                  <w:shd w:val="clear" w:color="auto" w:fill="auto"/>
                </w:tcPr>
                <w:p w14:paraId="6DE08805" w14:textId="77777777" w:rsidR="002A2FAE" w:rsidRPr="00027624" w:rsidRDefault="002A2FAE" w:rsidP="007B222E">
                  <w:pPr>
                    <w:pStyle w:val="ChartSecondHeading"/>
                    <w:framePr w:hSpace="180" w:wrap="around" w:vAnchor="text" w:hAnchor="text" w:y="1"/>
                    <w:suppressOverlap/>
                    <w:rPr>
                      <w:color w:val="5C4878"/>
                      <w:sz w:val="22"/>
                    </w:rPr>
                  </w:pPr>
                  <w:r w:rsidRPr="00027624">
                    <w:t>Age Pension expenditure</w:t>
                  </w:r>
                </w:p>
              </w:tc>
            </w:tr>
          </w:tbl>
          <w:p w14:paraId="79EEC8C4" w14:textId="77777777" w:rsidR="002A2FAE" w:rsidRPr="00027624" w:rsidRDefault="009D0D85" w:rsidP="009D0D85">
            <w:pPr>
              <w:pStyle w:val="ChartGraphic"/>
              <w:jc w:val="left"/>
            </w:pPr>
            <w:r>
              <w:rPr>
                <w:noProof/>
              </w:rPr>
              <w:drawing>
                <wp:inline distT="0" distB="0" distL="0" distR="0" wp14:anchorId="4F9D7729" wp14:editId="66F15169">
                  <wp:extent cx="2783441" cy="2790825"/>
                  <wp:effectExtent l="0" t="0" r="0" b="0"/>
                  <wp:docPr id="2062294282" name="Picture 2062294282" descr="These charts show the projected impact of a short term economic shock on the funds under management and Age Pension expenditure from 2020 to 2060. Superannuation assets under management in the shock scenario are lower, though converges over time to the baseline by about 2060. The increase in Age Pension spending under the scenario is more persistently higher  (by about 0.1 per cent of GDP)." title="Chart 4A-13 Shock analysis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85639" cy="2793029"/>
                          </a:xfrm>
                          <a:prstGeom prst="rect">
                            <a:avLst/>
                          </a:prstGeom>
                          <a:noFill/>
                        </pic:spPr>
                      </pic:pic>
                    </a:graphicData>
                  </a:graphic>
                </wp:inline>
              </w:drawing>
            </w:r>
            <w:r>
              <w:rPr>
                <w:noProof/>
              </w:rPr>
              <w:drawing>
                <wp:inline distT="0" distB="0" distL="0" distR="0" wp14:anchorId="52CD0A1A" wp14:editId="1F0962EF">
                  <wp:extent cx="2771775" cy="2779108"/>
                  <wp:effectExtent l="0" t="0" r="0" b="2540"/>
                  <wp:docPr id="2062294283" name="Picture 206229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776048" cy="2783393"/>
                          </a:xfrm>
                          <a:prstGeom prst="rect">
                            <a:avLst/>
                          </a:prstGeom>
                          <a:noFill/>
                        </pic:spPr>
                      </pic:pic>
                    </a:graphicData>
                  </a:graphic>
                </wp:inline>
              </w:drawing>
            </w:r>
          </w:p>
          <w:p w14:paraId="58990455" w14:textId="77777777" w:rsidR="002A2FAE" w:rsidRPr="00027624" w:rsidRDefault="002A2FAE" w:rsidP="002A2FAE">
            <w:pPr>
              <w:pStyle w:val="ChartorTableNote"/>
            </w:pPr>
            <w:r w:rsidRPr="00027624">
              <w:t>Source: Treasury estimates for the review using MARIA.</w:t>
            </w:r>
          </w:p>
        </w:tc>
      </w:tr>
    </w:tbl>
    <w:p w14:paraId="45C9EFC1" w14:textId="77777777" w:rsidR="002A2FAE" w:rsidRPr="00027624" w:rsidRDefault="002A2FAE" w:rsidP="002A2FAE">
      <w:pPr>
        <w:pStyle w:val="Heading3"/>
      </w:pPr>
      <w:r w:rsidRPr="00027624">
        <w:lastRenderedPageBreak/>
        <w:t>Age Pension</w:t>
      </w:r>
    </w:p>
    <w:p w14:paraId="6EFF9C19" w14:textId="58C23F6D" w:rsidR="002A2FAE" w:rsidRPr="00027624" w:rsidRDefault="002A2FAE" w:rsidP="002A2FAE">
      <w:r w:rsidRPr="00027624">
        <w:rPr>
          <w:b/>
        </w:rPr>
        <w:t>Age Pension expenditure as a percentage of GDP is expected to fall moderately over the next 40 years</w:t>
      </w:r>
      <w:r w:rsidRPr="00027624">
        <w:rPr>
          <w:b/>
          <w:bCs/>
        </w:rPr>
        <w:t>,</w:t>
      </w:r>
      <w:r w:rsidRPr="00027624">
        <w:t xml:space="preserve"> from 2.5 per cent today to 2.3 per cent in 2060</w:t>
      </w:r>
      <w:r w:rsidRPr="00027624" w:rsidDel="00681742">
        <w:t xml:space="preserve"> </w:t>
      </w:r>
      <w:r w:rsidRPr="00027624">
        <w:t>(</w:t>
      </w:r>
      <w:r w:rsidRPr="00027624">
        <w:fldChar w:fldCharType="begin"/>
      </w:r>
      <w:r w:rsidRPr="00027624">
        <w:instrText xml:space="preserve"> REF _Ref44845394 \r \h  \* MERGEFORMAT </w:instrText>
      </w:r>
      <w:r w:rsidRPr="00027624">
        <w:fldChar w:fldCharType="separate"/>
      </w:r>
      <w:r w:rsidR="00891058">
        <w:t>Chart 4A-14</w:t>
      </w:r>
      <w:r w:rsidRPr="00027624">
        <w:fldChar w:fldCharType="end"/>
      </w:r>
      <w:r w:rsidRPr="00027624">
        <w:t>).</w:t>
      </w:r>
      <w:r w:rsidRPr="00027624">
        <w:rPr>
          <w:rStyle w:val="FootnoteReference"/>
        </w:rPr>
        <w:footnoteReference w:id="257"/>
      </w:r>
      <w:r w:rsidRPr="00027624">
        <w:t xml:space="preserve"> This is despite the population over Age Pension eligibility age being expected to grow faster than the working</w:t>
      </w:r>
      <w:r w:rsidR="00A8443E" w:rsidRPr="00027624">
        <w:noBreakHyphen/>
      </w:r>
      <w:r w:rsidRPr="00027624">
        <w:t>age population, leading to fewer working</w:t>
      </w:r>
      <w:r w:rsidR="00A8443E" w:rsidRPr="00027624">
        <w:noBreakHyphen/>
      </w:r>
      <w:r w:rsidRPr="00027624">
        <w:t>age people for each person of Age Pension eligibility age.</w:t>
      </w:r>
    </w:p>
    <w:p w14:paraId="5F146058" w14:textId="77777777" w:rsidR="002A2FAE" w:rsidRPr="00027624" w:rsidRDefault="002A2FAE" w:rsidP="00FC7361">
      <w:pPr>
        <w:pStyle w:val="ChartMainHeading"/>
        <w:numPr>
          <w:ilvl w:val="2"/>
          <w:numId w:val="28"/>
        </w:numPr>
        <w:rPr>
          <w:noProof/>
        </w:rPr>
      </w:pPr>
      <w:bookmarkStart w:id="4051" w:name="_Ref44845394"/>
      <w:r w:rsidRPr="00027624">
        <w:lastRenderedPageBreak/>
        <w:t>Age Pension projections</w:t>
      </w:r>
      <w:bookmarkEnd w:id="4051"/>
    </w:p>
    <w:tbl>
      <w:tblPr>
        <w:tblW w:w="5000" w:type="pct"/>
        <w:tblLook w:val="01E0" w:firstRow="1" w:lastRow="1" w:firstColumn="1" w:lastColumn="1" w:noHBand="0" w:noVBand="0"/>
      </w:tblPr>
      <w:tblGrid>
        <w:gridCol w:w="4535"/>
        <w:gridCol w:w="4535"/>
      </w:tblGrid>
      <w:tr w:rsidR="002A2FAE" w:rsidRPr="00027624" w14:paraId="0B500851" w14:textId="77777777" w:rsidTr="002A2FAE">
        <w:tc>
          <w:tcPr>
            <w:tcW w:w="2500" w:type="pct"/>
          </w:tcPr>
          <w:p w14:paraId="2BC0F426" w14:textId="77777777" w:rsidR="002A2FAE" w:rsidRPr="00027624" w:rsidRDefault="002A2FAE" w:rsidP="002A2FAE">
            <w:pPr>
              <w:pStyle w:val="ChartSecondHeading"/>
            </w:pPr>
            <w:r w:rsidRPr="00027624">
              <w:t>Age Pension expenditure</w:t>
            </w:r>
          </w:p>
        </w:tc>
        <w:tc>
          <w:tcPr>
            <w:tcW w:w="2500" w:type="pct"/>
          </w:tcPr>
          <w:p w14:paraId="24632A07" w14:textId="77777777" w:rsidR="002A2FAE" w:rsidRPr="00027624" w:rsidRDefault="002A2FAE" w:rsidP="002A2FAE">
            <w:pPr>
              <w:pStyle w:val="ChartSecondHeading"/>
            </w:pPr>
            <w:r w:rsidRPr="00027624">
              <w:t>Working</w:t>
            </w:r>
            <w:r w:rsidR="00A8443E" w:rsidRPr="00027624">
              <w:noBreakHyphen/>
            </w:r>
            <w:r w:rsidRPr="00027624">
              <w:t>age persons to persons of Age Pension eligibility age</w:t>
            </w:r>
          </w:p>
        </w:tc>
      </w:tr>
    </w:tbl>
    <w:p w14:paraId="185BC0A1" w14:textId="77777777" w:rsidR="002A2FAE" w:rsidRPr="00027624" w:rsidRDefault="002A2FAE" w:rsidP="002A2FAE">
      <w:pPr>
        <w:pStyle w:val="ChartGraphic"/>
        <w:tabs>
          <w:tab w:val="left" w:pos="225"/>
          <w:tab w:val="center" w:pos="4536"/>
        </w:tabs>
        <w:jc w:val="left"/>
      </w:pPr>
      <w:r w:rsidRPr="00027624">
        <w:rPr>
          <w:noProof/>
        </w:rPr>
        <w:t xml:space="preserve"> </w:t>
      </w:r>
      <w:r w:rsidR="005B29D4">
        <w:rPr>
          <w:noProof/>
        </w:rPr>
        <w:drawing>
          <wp:inline distT="0" distB="0" distL="0" distR="0" wp14:anchorId="46253C59" wp14:editId="1D88EDCA">
            <wp:extent cx="2849960" cy="2857500"/>
            <wp:effectExtent l="0" t="0" r="7620" b="0"/>
            <wp:docPr id="2062294284" name="Picture 2062294284" descr="This chart shows Age Pension spending as a proportion of GDP is expected to increase slightly over the next decade as the baby boomer generation reaches retirement before gradually declining from 2040. " title="Chart 4A-14 Age Pension projections – Age Pension expend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50040" cy="2857580"/>
                    </a:xfrm>
                    <a:prstGeom prst="rect">
                      <a:avLst/>
                    </a:prstGeom>
                    <a:noFill/>
                  </pic:spPr>
                </pic:pic>
              </a:graphicData>
            </a:graphic>
          </wp:inline>
        </w:drawing>
      </w:r>
      <w:r w:rsidR="005B29D4">
        <w:rPr>
          <w:noProof/>
        </w:rPr>
        <w:drawing>
          <wp:inline distT="0" distB="0" distL="0" distR="0" wp14:anchorId="29170E7D" wp14:editId="74939C69">
            <wp:extent cx="2847975" cy="2847975"/>
            <wp:effectExtent l="0" t="0" r="9525" b="9525"/>
            <wp:docPr id="2062294285" name="Picture 2062294285" descr="This chart shows that over the next 40 years the number of working age people per retiree age is projected to fall from over 4 to about 3 people." title="Chart 4A-14 Age Pension projections – Working-age persons to persons of Age Pension eligibilit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847975" cy="2847975"/>
                    </a:xfrm>
                    <a:prstGeom prst="rect">
                      <a:avLst/>
                    </a:prstGeom>
                    <a:noFill/>
                  </pic:spPr>
                </pic:pic>
              </a:graphicData>
            </a:graphic>
          </wp:inline>
        </w:drawing>
      </w:r>
    </w:p>
    <w:p w14:paraId="12F9929E" w14:textId="77777777" w:rsidR="002A2FAE" w:rsidRPr="00027624" w:rsidRDefault="002A2FAE" w:rsidP="002A2FAE">
      <w:pPr>
        <w:pStyle w:val="ChartorTableNote"/>
      </w:pPr>
      <w:r w:rsidRPr="00027624">
        <w:t xml:space="preserve">Note: Includes service pensioners. The volatility in the early years of the projection is mostly due to the legislated future increases to the Age Pension eligibility age. </w:t>
      </w:r>
      <w:r w:rsidR="00A8443E" w:rsidRPr="00027624">
        <w:t>‘</w:t>
      </w:r>
      <w:r w:rsidRPr="00027624">
        <w:t>Working</w:t>
      </w:r>
      <w:r w:rsidR="00A8443E" w:rsidRPr="00027624">
        <w:noBreakHyphen/>
      </w:r>
      <w:r w:rsidRPr="00027624">
        <w:t>age</w:t>
      </w:r>
      <w:r w:rsidR="00A8443E" w:rsidRPr="00027624">
        <w:t>’</w:t>
      </w:r>
      <w:r w:rsidRPr="00027624">
        <w:t xml:space="preserve"> refers to all persons aged 15 and over but under the Age Pension eligibility age. Source: Treasury estimates for the review using MARIA; population projections provided by the Centre for Population, The Treasury as at December 2019.</w:t>
      </w:r>
    </w:p>
    <w:p w14:paraId="0B7A7EBC" w14:textId="6541F2A4" w:rsidR="00AF1E28" w:rsidRDefault="002A2FAE" w:rsidP="002A2FAE">
      <w:pPr>
        <w:spacing w:before="240"/>
      </w:pPr>
      <w:r w:rsidRPr="00027624">
        <w:t xml:space="preserve">The fall in the cost of the Age Pension as a percentage of GDP is primarily driven by the maturing of the superannuation system and the effect of means testing. </w:t>
      </w:r>
      <w:r w:rsidRPr="00027624">
        <w:rPr>
          <w:b/>
        </w:rPr>
        <w:t xml:space="preserve">The share of the Age Pension age population receiving a pension </w:t>
      </w:r>
      <w:r w:rsidRPr="00027624">
        <w:rPr>
          <w:b/>
          <w:bCs/>
        </w:rPr>
        <w:t xml:space="preserve">(Age Pension, service, carer and disability pensions) </w:t>
      </w:r>
      <w:r w:rsidRPr="00027624">
        <w:rPr>
          <w:b/>
        </w:rPr>
        <w:t xml:space="preserve">is </w:t>
      </w:r>
      <w:r w:rsidRPr="00027624">
        <w:rPr>
          <w:b/>
          <w:bCs/>
        </w:rPr>
        <w:t xml:space="preserve">projected </w:t>
      </w:r>
      <w:r w:rsidRPr="00027624">
        <w:rPr>
          <w:b/>
        </w:rPr>
        <w:t xml:space="preserve">to fall from 73.5 per cent in 2020 to 62 per cent in 2060 </w:t>
      </w:r>
      <w:r w:rsidRPr="00027624">
        <w:t>(</w:t>
      </w:r>
      <w:r w:rsidRPr="00027624">
        <w:fldChar w:fldCharType="begin"/>
      </w:r>
      <w:r w:rsidRPr="00027624">
        <w:instrText xml:space="preserve"> REF _Ref40799979 \r \h  \* MERGEFORMAT </w:instrText>
      </w:r>
      <w:r w:rsidRPr="00027624">
        <w:fldChar w:fldCharType="separate"/>
      </w:r>
      <w:r w:rsidR="00891058">
        <w:t>Chart 4A-15</w:t>
      </w:r>
      <w:r w:rsidRPr="00027624">
        <w:fldChar w:fldCharType="end"/>
      </w:r>
      <w:r w:rsidRPr="00027624">
        <w:t>).</w:t>
      </w:r>
      <w:r w:rsidRPr="00027624">
        <w:rPr>
          <w:rStyle w:val="FootnoteReference"/>
          <w:b/>
        </w:rPr>
        <w:footnoteReference w:id="258"/>
      </w:r>
      <w:r w:rsidRPr="00027624">
        <w:t xml:space="preserve"> Within this, the combination of the maturing superannuation system and the design of the means tests leads to a projected shift towards part</w:t>
      </w:r>
      <w:r w:rsidR="00A8443E" w:rsidRPr="00027624">
        <w:noBreakHyphen/>
      </w:r>
      <w:r w:rsidRPr="00027624">
        <w:t xml:space="preserve">rate age pensioners: from an estimated 37.6 per cent of age pensioners today, to 62.5 per cent of age pensioners in 2060. </w:t>
      </w:r>
    </w:p>
    <w:p w14:paraId="755CA2C6" w14:textId="77777777" w:rsidR="002A2FAE" w:rsidRPr="00027624" w:rsidRDefault="002A2FAE" w:rsidP="00FC7361">
      <w:pPr>
        <w:pStyle w:val="ChartMainHeading"/>
        <w:numPr>
          <w:ilvl w:val="2"/>
          <w:numId w:val="28"/>
        </w:numPr>
      </w:pPr>
      <w:bookmarkStart w:id="4052" w:name="_Ref40799979"/>
      <w:r w:rsidRPr="00027624">
        <w:t>Projected Age Pension eligibility age population</w:t>
      </w:r>
      <w:bookmarkEnd w:id="4052"/>
    </w:p>
    <w:p w14:paraId="7DDD73C5" w14:textId="77777777" w:rsidR="002A2FAE" w:rsidRPr="00027624" w:rsidRDefault="005B29D4" w:rsidP="002A2FAE">
      <w:pPr>
        <w:pStyle w:val="ChartGraphic"/>
      </w:pPr>
      <w:r>
        <w:rPr>
          <w:noProof/>
        </w:rPr>
        <w:drawing>
          <wp:inline distT="0" distB="0" distL="0" distR="0" wp14:anchorId="5DE46187" wp14:editId="1D7E5BC6">
            <wp:extent cx="5501640" cy="2628900"/>
            <wp:effectExtent l="0" t="0" r="3810" b="0"/>
            <wp:docPr id="2062294286" name="Picture 2062294286" descr="This chart shows a projected fall in the retiree population on the Age Pension to 2060. Within those receiving the Age Pension, there is expected to be a significant fall in those on a full-rate pension with an increase in those who are asset tested." title="Chart 4A-15 Projected Age Pension eligibility ag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01640" cy="2628900"/>
                    </a:xfrm>
                    <a:prstGeom prst="rect">
                      <a:avLst/>
                    </a:prstGeom>
                    <a:noFill/>
                  </pic:spPr>
                </pic:pic>
              </a:graphicData>
            </a:graphic>
          </wp:inline>
        </w:drawing>
      </w:r>
    </w:p>
    <w:p w14:paraId="33AF57DC" w14:textId="77777777" w:rsidR="002A2FAE" w:rsidRPr="00027624" w:rsidDel="00406D72" w:rsidRDefault="002A2FAE" w:rsidP="00AF1E28">
      <w:pPr>
        <w:pStyle w:val="ChartorTableNote"/>
        <w:spacing w:before="0" w:after="0"/>
      </w:pPr>
      <w:r w:rsidRPr="00027624">
        <w:t>Note: Includes service, carer and disability pensioners. Source: Treasury estimates for the review using MARIA.</w:t>
      </w:r>
    </w:p>
    <w:p w14:paraId="68CA602C" w14:textId="77777777" w:rsidR="00AF1E28" w:rsidRPr="00027624" w:rsidRDefault="00AF1E28" w:rsidP="00AF1E28">
      <w:pPr>
        <w:spacing w:before="240"/>
      </w:pPr>
      <w:r w:rsidRPr="00027624">
        <w:lastRenderedPageBreak/>
        <w:t>In future, increasing numbers of part</w:t>
      </w:r>
      <w:r w:rsidRPr="00027624">
        <w:noBreakHyphen/>
        <w:t>rate age pensioners are projected to have their payment determined by the assets test rather than the income test. In 2020, an estimated 37.3 per cent of part</w:t>
      </w:r>
      <w:r w:rsidRPr="00027624">
        <w:noBreakHyphen/>
        <w:t>rate age pensioners were asset tested. By 2060, this is projected to rise to 66.7 per cent.</w:t>
      </w:r>
    </w:p>
    <w:p w14:paraId="36D85C3D" w14:textId="45E40391" w:rsidR="002A2FAE" w:rsidRPr="00027624" w:rsidRDefault="002A2FAE" w:rsidP="002A2FAE">
      <w:r w:rsidRPr="00027624">
        <w:t>These changes will be supported by growth in superannuation balances. Over the next 40 years, the average superannuation balance for a single person is projected to grow at a compound annual average real rate of 3.8 per cent a year. This outstrips projected growth in the singles means</w:t>
      </w:r>
      <w:r w:rsidR="00A8443E" w:rsidRPr="00027624">
        <w:noBreakHyphen/>
      </w:r>
      <w:r w:rsidR="00BD163D" w:rsidRPr="00027624">
        <w:t xml:space="preserve">test </w:t>
      </w:r>
      <w:r w:rsidRPr="00027624">
        <w:t>free areas (which increase in line with the CPI) and cut</w:t>
      </w:r>
      <w:r w:rsidR="00A8443E" w:rsidRPr="00027624">
        <w:noBreakHyphen/>
      </w:r>
      <w:r w:rsidRPr="00027624">
        <w:t>offs (that increase faster than CPI because of growth in the maximum rate of the Age Pension</w:t>
      </w:r>
      <w:r w:rsidRPr="00027624">
        <w:rPr>
          <w:rStyle w:val="FootnoteReference"/>
        </w:rPr>
        <w:footnoteReference w:id="259"/>
      </w:r>
      <w:r w:rsidRPr="00027624">
        <w:t>) (</w:t>
      </w:r>
      <w:r w:rsidRPr="00027624">
        <w:fldChar w:fldCharType="begin"/>
      </w:r>
      <w:r w:rsidRPr="00027624">
        <w:instrText xml:space="preserve"> REF _Ref44411671 \r \h  \* MERGEFORMAT </w:instrText>
      </w:r>
      <w:r w:rsidRPr="00027624">
        <w:fldChar w:fldCharType="separate"/>
      </w:r>
      <w:r w:rsidR="00891058">
        <w:t>Chart 4A-16</w:t>
      </w:r>
      <w:r w:rsidRPr="00027624">
        <w:fldChar w:fldCharType="end"/>
      </w:r>
      <w:r w:rsidRPr="00027624">
        <w:t>).</w:t>
      </w:r>
    </w:p>
    <w:p w14:paraId="25576B5A" w14:textId="77777777" w:rsidR="002A2FAE" w:rsidRPr="00027624" w:rsidRDefault="002A2FAE" w:rsidP="00FC7361">
      <w:pPr>
        <w:pStyle w:val="ChartMainHeading"/>
        <w:numPr>
          <w:ilvl w:val="2"/>
          <w:numId w:val="28"/>
        </w:numPr>
      </w:pPr>
      <w:bookmarkStart w:id="4053" w:name="_Ref40966567"/>
      <w:bookmarkStart w:id="4054" w:name="_Ref44411671"/>
      <w:r w:rsidRPr="00027624">
        <w:t xml:space="preserve">Projected assets and Age Pension means test </w:t>
      </w:r>
      <w:bookmarkEnd w:id="4053"/>
      <w:r w:rsidRPr="00027624">
        <w:t>thresholds, single retirees</w:t>
      </w:r>
      <w:bookmarkEnd w:id="4054"/>
    </w:p>
    <w:p w14:paraId="25BE1159" w14:textId="77777777" w:rsidR="002A2FAE" w:rsidRPr="00027624" w:rsidRDefault="005B29D4" w:rsidP="005B29D4">
      <w:pPr>
        <w:pStyle w:val="ChartGraphic"/>
      </w:pPr>
      <w:r>
        <w:rPr>
          <w:noProof/>
        </w:rPr>
        <w:drawing>
          <wp:inline distT="0" distB="0" distL="0" distR="0" wp14:anchorId="13938BB5" wp14:editId="1E634AE4">
            <wp:extent cx="5760720" cy="2522220"/>
            <wp:effectExtent l="0" t="0" r="0" b="0"/>
            <wp:docPr id="2062294287" name="Picture 2062294287" descr="This chart illustrates the projected increase in those on the Age Pension who are asset-tested. The asset-test free area stays flat in real terms while the average superannuation balances of retirees are projected to increase significantly." title="Chart 4A-16 Projected assets and Age Pension means test thresholds, single reti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60720" cy="2522220"/>
                    </a:xfrm>
                    <a:prstGeom prst="rect">
                      <a:avLst/>
                    </a:prstGeom>
                    <a:noFill/>
                  </pic:spPr>
                </pic:pic>
              </a:graphicData>
            </a:graphic>
          </wp:inline>
        </w:drawing>
      </w:r>
    </w:p>
    <w:p w14:paraId="07AC38E9" w14:textId="77777777" w:rsidR="002A2FAE" w:rsidRPr="00027624" w:rsidRDefault="002A2FAE" w:rsidP="002A2FAE">
      <w:pPr>
        <w:pStyle w:val="ChartorTableNote"/>
      </w:pPr>
      <w:r w:rsidRPr="00027624">
        <w:t>Note: Values are in 2019</w:t>
      </w:r>
      <w:r w:rsidR="00A8443E" w:rsidRPr="00027624">
        <w:noBreakHyphen/>
      </w:r>
      <w:r w:rsidRPr="00027624">
        <w:t>20 dollars, deflated by the CPI. The single, home owner assets test parameters are chosen for illustrative purposes. Similar trends would be evident using other configurations (e.g. couple, non</w:t>
      </w:r>
      <w:r w:rsidR="00A8443E" w:rsidRPr="00027624">
        <w:noBreakHyphen/>
      </w:r>
      <w:r w:rsidRPr="00027624">
        <w:t xml:space="preserve">home owner income test). </w:t>
      </w:r>
      <w:r w:rsidR="00A8443E" w:rsidRPr="00027624">
        <w:t>‘</w:t>
      </w:r>
      <w:r w:rsidRPr="00027624">
        <w:t>Assessable</w:t>
      </w:r>
      <w:r w:rsidR="00A8443E" w:rsidRPr="00027624">
        <w:t>’</w:t>
      </w:r>
      <w:r w:rsidRPr="00027624">
        <w:t xml:space="preserve"> non</w:t>
      </w:r>
      <w:r w:rsidR="00A8443E" w:rsidRPr="00027624">
        <w:noBreakHyphen/>
      </w:r>
      <w:r w:rsidRPr="00027624">
        <w:t>superannuation assets refers to non</w:t>
      </w:r>
      <w:r w:rsidR="00A8443E" w:rsidRPr="00027624">
        <w:noBreakHyphen/>
      </w:r>
      <w:r w:rsidRPr="00027624">
        <w:t>superannuation assets that are assessable in the Age Pension assets test. Source: Treasury estimates for the review using MARIA.</w:t>
      </w:r>
    </w:p>
    <w:p w14:paraId="750FF13F" w14:textId="77777777" w:rsidR="002A2FAE" w:rsidRPr="00027624" w:rsidRDefault="002A2FAE" w:rsidP="002A2FAE">
      <w:pPr>
        <w:spacing w:before="240"/>
      </w:pPr>
      <w:r w:rsidRPr="00027624">
        <w:t>Means testing and higher superannuation balances play an important role in reducing reliance on, and therefore the cost of, the Age Pension. If the composition of Age Pension</w:t>
      </w:r>
      <w:r w:rsidRPr="00027624" w:rsidDel="00E95561">
        <w:t xml:space="preserve"> </w:t>
      </w:r>
      <w:r w:rsidRPr="00027624">
        <w:t>recipients in 2060 remained the same as in 2020 (46 per cent full</w:t>
      </w:r>
      <w:r w:rsidR="00A8443E" w:rsidRPr="00027624">
        <w:noBreakHyphen/>
      </w:r>
      <w:r w:rsidRPr="00027624">
        <w:t>rate age pensioners and 28 per cent part</w:t>
      </w:r>
      <w:r w:rsidR="00A8443E" w:rsidRPr="00027624">
        <w:noBreakHyphen/>
      </w:r>
      <w:r w:rsidRPr="00027624">
        <w:t>rate age pensioners), Age Pension spending would be projected to be 3.6 per cent of GDP in 2060, instead of 2.3 per cent.</w:t>
      </w:r>
      <w:r w:rsidRPr="00027624">
        <w:rPr>
          <w:rStyle w:val="FootnoteReference"/>
        </w:rPr>
        <w:footnoteReference w:id="260"/>
      </w:r>
    </w:p>
    <w:p w14:paraId="7FA6FD56" w14:textId="77777777" w:rsidR="002A2FAE" w:rsidRPr="00027624" w:rsidRDefault="002A2FAE" w:rsidP="002A2FAE">
      <w:pPr>
        <w:pStyle w:val="Heading3"/>
      </w:pPr>
      <w:r w:rsidRPr="00027624">
        <w:t>Superannuation tax concessions</w:t>
      </w:r>
    </w:p>
    <w:p w14:paraId="4451CB65" w14:textId="0C3914E1" w:rsidR="002A2FAE" w:rsidRPr="00027624" w:rsidRDefault="002A2FAE" w:rsidP="002A2FAE">
      <w:r w:rsidRPr="00027624">
        <w:rPr>
          <w:b/>
        </w:rPr>
        <w:t xml:space="preserve">As the superannuation system grows, the cost of contributions tax concessions as a percentage of GDP is </w:t>
      </w:r>
      <w:r w:rsidRPr="00027624">
        <w:rPr>
          <w:b/>
          <w:bCs/>
        </w:rPr>
        <w:t>projected</w:t>
      </w:r>
      <w:r w:rsidRPr="00027624">
        <w:rPr>
          <w:b/>
        </w:rPr>
        <w:t xml:space="preserve"> to remain stable, while</w:t>
      </w:r>
      <w:r w:rsidRPr="00027624">
        <w:t xml:space="preserve"> </w:t>
      </w:r>
      <w:r w:rsidRPr="00027624">
        <w:rPr>
          <w:b/>
        </w:rPr>
        <w:t xml:space="preserve">earnings tax concessions as a percentage of GDP are </w:t>
      </w:r>
      <w:r w:rsidRPr="00027624">
        <w:rPr>
          <w:b/>
          <w:bCs/>
        </w:rPr>
        <w:t xml:space="preserve">projected </w:t>
      </w:r>
      <w:r w:rsidRPr="00027624">
        <w:rPr>
          <w:b/>
        </w:rPr>
        <w:t>to grow</w:t>
      </w:r>
      <w:r w:rsidRPr="00027624">
        <w:t xml:space="preserve"> </w:t>
      </w:r>
      <w:r w:rsidRPr="00027624">
        <w:rPr>
          <w:b/>
        </w:rPr>
        <w:t>(</w:t>
      </w:r>
      <w:r w:rsidRPr="00027624">
        <w:rPr>
          <w:b/>
        </w:rPr>
        <w:fldChar w:fldCharType="begin"/>
      </w:r>
      <w:r w:rsidRPr="00027624">
        <w:rPr>
          <w:b/>
        </w:rPr>
        <w:instrText xml:space="preserve"> REF _Ref44083659 \r \h  \* MERGEFORMAT </w:instrText>
      </w:r>
      <w:r w:rsidRPr="00027624">
        <w:rPr>
          <w:b/>
        </w:rPr>
      </w:r>
      <w:r w:rsidRPr="00027624">
        <w:rPr>
          <w:b/>
        </w:rPr>
        <w:fldChar w:fldCharType="separate"/>
      </w:r>
      <w:r w:rsidR="00891058">
        <w:rPr>
          <w:b/>
        </w:rPr>
        <w:t>Chart 4A-17</w:t>
      </w:r>
      <w:r w:rsidRPr="00027624">
        <w:rPr>
          <w:b/>
        </w:rPr>
        <w:fldChar w:fldCharType="end"/>
      </w:r>
      <w:r w:rsidRPr="00027624">
        <w:rPr>
          <w:b/>
        </w:rPr>
        <w:t>).</w:t>
      </w:r>
    </w:p>
    <w:p w14:paraId="10F4C4F9" w14:textId="77777777" w:rsidR="002A2FAE" w:rsidRPr="00027624" w:rsidRDefault="002A2FAE" w:rsidP="002A2FAE">
      <w:r w:rsidRPr="00027624">
        <w:t xml:space="preserve">Broadly, the future cost of contributions tax concessions is a function of wage growth, contributions rates and population growth. Concessional contributions caps and the additional contributions tax </w:t>
      </w:r>
      <w:r w:rsidRPr="00027624">
        <w:lastRenderedPageBreak/>
        <w:t>paid by the top 1.8 per cent of people in employment (in the form of Division 293 tax), help to contain contributions tax concessions.</w:t>
      </w:r>
    </w:p>
    <w:p w14:paraId="193551C9" w14:textId="77777777" w:rsidR="002A2FAE" w:rsidRPr="00027624" w:rsidRDefault="002A2FAE" w:rsidP="002A2FAE">
      <w:pPr>
        <w:rPr>
          <w:rFonts w:cs="Arial"/>
          <w:szCs w:val="26"/>
        </w:rPr>
      </w:pPr>
      <w:r w:rsidRPr="00027624">
        <w:t>The cost of earnings tax concessions is a function of the growth in the size of the superannuation system and the projected rate of return. Both of these inputs exceed projected GDP growth. Therefore, earnings tax concessions are projected to grow as a percentage of GDP. In particular, the cost of the earnings tax exemption in the retirement phase is likely to grow as the superannuation system matures.</w:t>
      </w:r>
    </w:p>
    <w:p w14:paraId="2D8F50E1" w14:textId="77777777" w:rsidR="002A2FAE" w:rsidRPr="00027624" w:rsidRDefault="002A2FAE" w:rsidP="00FC7361">
      <w:pPr>
        <w:pStyle w:val="ChartMainHeading"/>
        <w:numPr>
          <w:ilvl w:val="2"/>
          <w:numId w:val="28"/>
        </w:numPr>
      </w:pPr>
      <w:bookmarkStart w:id="4055" w:name="_Ref43301538"/>
      <w:r w:rsidRPr="00027624">
        <w:t xml:space="preserve">Projected </w:t>
      </w:r>
      <w:bookmarkStart w:id="4056" w:name="_Ref44083659"/>
      <w:r w:rsidRPr="00027624">
        <w:t>cost of superannuation tax concessions</w:t>
      </w:r>
      <w:bookmarkEnd w:id="4055"/>
      <w:bookmarkEnd w:id="4056"/>
    </w:p>
    <w:p w14:paraId="6E1E9ECD" w14:textId="77777777" w:rsidR="002A2FAE" w:rsidRPr="00027624" w:rsidRDefault="005B29D4" w:rsidP="00C661D1">
      <w:pPr>
        <w:pStyle w:val="ChartGraphic"/>
      </w:pPr>
      <w:r>
        <w:rPr>
          <w:noProof/>
        </w:rPr>
        <w:drawing>
          <wp:inline distT="0" distB="0" distL="0" distR="0" wp14:anchorId="623CBFC7" wp14:editId="4F9622EA">
            <wp:extent cx="5577840" cy="2522220"/>
            <wp:effectExtent l="0" t="0" r="3810" b="0"/>
            <wp:docPr id="2062294288" name="Picture 2062294288" descr="This chart shows the projected change in superannuation tax concession to 2060. Contributions concessions are projected to remain stable at 1 per cent of GDP. Earning concessions increase from about 1 to 1.5 per cent of GDP." title="Chart 4A-17 Projected cost of superannuation tax conce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7BF2139" w14:textId="77777777" w:rsidR="002A2FAE" w:rsidRPr="00027624" w:rsidRDefault="002A2FAE" w:rsidP="002A2FAE">
      <w:pPr>
        <w:pStyle w:val="ChartorTableNote"/>
      </w:pPr>
      <w:r w:rsidRPr="00027624">
        <w:t>Note: The tax concessions</w:t>
      </w:r>
      <w:r w:rsidRPr="00027624">
        <w:rPr>
          <w:noProof/>
        </w:rPr>
        <w:t xml:space="preserve"> time series is presented to illustrate the general trend. The cost of tax concessions is estimated independently each year (i.e. there is no dynamic impact of the removal of concessions over time). </w:t>
      </w:r>
      <w:r w:rsidRPr="00027624">
        <w:t>Earnings tax concessions includes the concessional taxation of superannuation earnings and capital gains tax discount for superannuation funds (broadly C1 and C4 in the Tax Benchmarks and Variations Statement). Contributions tax concessions includes the concessional taxation of employer and personal contributions (broadly C2 and C3 in the Tax Benchmarks and Variations Statement). Projections in MARIA broadly follow the methodology of the Tax Benchmarks and Variations Statement but have been calculated on an additive basis. The value of superannuation tax concessions is estimated by adding contributions and earnings to taxable income in two stages and applying the progressive income tax rates at each stage. The value of the earnings tax concession is the difference between the total value of concessions and value of contributions tax concessions. Personal income tax thresholds are also indexed for movements in wages beyond the medium</w:t>
      </w:r>
      <w:r w:rsidR="00A8443E" w:rsidRPr="00027624">
        <w:noBreakHyphen/>
      </w:r>
      <w:r w:rsidRPr="00027624">
        <w:t>term period. Source: Treasury estimates for the review using MARIA.</w:t>
      </w:r>
    </w:p>
    <w:p w14:paraId="6A6A6032" w14:textId="77777777" w:rsidR="002A2FAE" w:rsidRPr="00027624" w:rsidRDefault="002A2FAE" w:rsidP="002A2FAE">
      <w:pPr>
        <w:pStyle w:val="Heading3"/>
      </w:pPr>
      <w:r w:rsidRPr="00027624">
        <w:t>Superannuation fees</w:t>
      </w:r>
    </w:p>
    <w:p w14:paraId="0DF94BDD" w14:textId="06ADCB10" w:rsidR="002A2FAE" w:rsidRPr="00027624" w:rsidRDefault="002A2FAE" w:rsidP="002A2FAE">
      <w:r w:rsidRPr="00027624">
        <w:t>Accurately projecting trends in superannuation fees is challenging. On balance, future decreases in fees as a per cent of assets are likely as the industry consolidates and the regulatory environment shifts. Anticipating this outcome, industry projections from Rice Warner suggest fees could fall by as much as 0.3 per cent of assets over the coming decade (</w:t>
      </w:r>
      <w:r w:rsidRPr="00027624">
        <w:fldChar w:fldCharType="begin"/>
      </w:r>
      <w:r w:rsidRPr="00027624">
        <w:instrText xml:space="preserve"> REF _Ref41393441 \r \h  \* MERGEFORMAT </w:instrText>
      </w:r>
      <w:r w:rsidRPr="00027624">
        <w:fldChar w:fldCharType="separate"/>
      </w:r>
      <w:r w:rsidR="00891058">
        <w:t>Chart 4A-18</w:t>
      </w:r>
      <w:r w:rsidRPr="00027624">
        <w:fldChar w:fldCharType="end"/>
      </w:r>
      <w:r w:rsidRPr="00027624">
        <w:t>). Such a fall would represent an acceleration relative to historical trends. The Productivity Commission</w:t>
      </w:r>
      <w:sdt>
        <w:sdtPr>
          <w:id w:val="-464206684"/>
          <w:citation/>
        </w:sdtPr>
        <w:sdtEndPr/>
        <w:sdtContent>
          <w:r w:rsidRPr="00027624">
            <w:fldChar w:fldCharType="begin"/>
          </w:r>
          <w:r w:rsidRPr="00027624">
            <w:instrText xml:space="preserve">CITATION Pro18 \n  \t  \l 3081 </w:instrText>
          </w:r>
          <w:r w:rsidRPr="00027624">
            <w:fldChar w:fldCharType="separate"/>
          </w:r>
          <w:r w:rsidR="00E83F6E">
            <w:rPr>
              <w:noProof/>
            </w:rPr>
            <w:t xml:space="preserve"> (2018a)</w:t>
          </w:r>
          <w:r w:rsidRPr="00027624">
            <w:fldChar w:fldCharType="end"/>
          </w:r>
        </w:sdtContent>
      </w:sdt>
      <w:r w:rsidRPr="00027624">
        <w:t xml:space="preserve"> found that, over the decade to 2017, fees as a share of assets fell by only around 0.2 per cent of assets.</w:t>
      </w:r>
    </w:p>
    <w:p w14:paraId="2FE00DC4" w14:textId="77777777" w:rsidR="002A2FAE" w:rsidRPr="00027624" w:rsidRDefault="002A2FAE" w:rsidP="002A2FAE">
      <w:r w:rsidRPr="00027624">
        <w:t xml:space="preserve">The Productivity Commission </w:t>
      </w:r>
      <w:sdt>
        <w:sdtPr>
          <w:id w:val="879746388"/>
          <w:citation/>
        </w:sdtPr>
        <w:sdtEndPr/>
        <w:sdtContent>
          <w:r w:rsidRPr="00027624">
            <w:fldChar w:fldCharType="begin"/>
          </w:r>
          <w:r w:rsidRPr="00027624">
            <w:instrText xml:space="preserve">CITATION Pro18 \n  \t  \l 3081 </w:instrText>
          </w:r>
          <w:r w:rsidRPr="00027624">
            <w:fldChar w:fldCharType="separate"/>
          </w:r>
          <w:r w:rsidR="00E83F6E">
            <w:rPr>
              <w:noProof/>
            </w:rPr>
            <w:t>(2018a)</w:t>
          </w:r>
          <w:r w:rsidRPr="00027624">
            <w:fldChar w:fldCharType="end"/>
          </w:r>
        </w:sdtContent>
      </w:sdt>
      <w:r w:rsidR="00FD0753" w:rsidRPr="00027624">
        <w:t xml:space="preserve"> also noted that current fee</w:t>
      </w:r>
      <w:r w:rsidRPr="00027624">
        <w:t xml:space="preserve"> levels are unnecessarily high and that there is scope for further reductions without compromising members</w:t>
      </w:r>
      <w:r w:rsidR="00A8443E" w:rsidRPr="00027624">
        <w:t>’</w:t>
      </w:r>
      <w:r w:rsidRPr="00027624">
        <w:t xml:space="preserve"> outcomes. If fee levels do not fall, total fee revenue as a percentage of GDP is projected to double to be around 2 per cent by 2060.</w:t>
      </w:r>
      <w:r w:rsidRPr="00027624">
        <w:rPr>
          <w:rStyle w:val="FootnoteReference"/>
        </w:rPr>
        <w:footnoteReference w:id="261"/>
      </w:r>
    </w:p>
    <w:p w14:paraId="417CDFAF" w14:textId="77777777" w:rsidR="002A2FAE" w:rsidRPr="00027624" w:rsidRDefault="002A2FAE" w:rsidP="00FC7361">
      <w:pPr>
        <w:pStyle w:val="ChartMainHeading"/>
        <w:numPr>
          <w:ilvl w:val="2"/>
          <w:numId w:val="28"/>
        </w:numPr>
      </w:pPr>
      <w:bookmarkStart w:id="4057" w:name="_Ref39493033"/>
      <w:bookmarkStart w:id="4058" w:name="_Ref40885904"/>
      <w:bookmarkStart w:id="4059" w:name="_Ref41393441"/>
      <w:r w:rsidRPr="00027624">
        <w:lastRenderedPageBreak/>
        <w:t>Projected superannuation fees</w:t>
      </w:r>
      <w:bookmarkEnd w:id="4057"/>
      <w:bookmarkEnd w:id="4058"/>
      <w:bookmarkEnd w:id="4059"/>
    </w:p>
    <w:p w14:paraId="6E9E215A" w14:textId="77777777" w:rsidR="002A2FAE" w:rsidRPr="00027624" w:rsidRDefault="007C6759" w:rsidP="007C6759">
      <w:pPr>
        <w:pStyle w:val="ChartGraphic"/>
      </w:pPr>
      <w:r>
        <w:rPr>
          <w:noProof/>
        </w:rPr>
        <w:drawing>
          <wp:inline distT="0" distB="0" distL="0" distR="0" wp14:anchorId="4DC63AE1" wp14:editId="48CDBBB4">
            <wp:extent cx="5608320" cy="2522220"/>
            <wp:effectExtent l="0" t="0" r="0" b="0"/>
            <wp:docPr id="2062294289" name="Picture 2062294289" descr="This chart shows the projected superannuation fees which underlie projections of future balances. The Treasury’s MARIA model assumes a constant rate of 0.8 per cent of assets. Rice Warner assumes a fall from 0.9 per cent to about 0.6 per cent by around 2030 and stable thereafter." title="Chart 4A-18 Projected superannuation f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08320" cy="2522220"/>
                    </a:xfrm>
                    <a:prstGeom prst="rect">
                      <a:avLst/>
                    </a:prstGeom>
                    <a:noFill/>
                  </pic:spPr>
                </pic:pic>
              </a:graphicData>
            </a:graphic>
          </wp:inline>
        </w:drawing>
      </w:r>
    </w:p>
    <w:p w14:paraId="43725F4C" w14:textId="77777777" w:rsidR="002A2FAE" w:rsidRPr="00027624" w:rsidRDefault="002A2FAE" w:rsidP="002A2FAE">
      <w:pPr>
        <w:pStyle w:val="ChartorTableNote"/>
      </w:pPr>
      <w:r w:rsidRPr="00027624">
        <w:t>Note: Values are in 2019</w:t>
      </w:r>
      <w:r w:rsidR="00A8443E" w:rsidRPr="00027624">
        <w:noBreakHyphen/>
      </w:r>
      <w:r w:rsidRPr="00027624">
        <w:t>20 dollars, deflated using CPI. Source: Treasury estimates for the review using MARIA; Analysis of Rice Warner estimates for the review.</w:t>
      </w:r>
    </w:p>
    <w:p w14:paraId="15BECC24" w14:textId="77777777" w:rsidR="002A2FAE" w:rsidRPr="00027624" w:rsidRDefault="002A2FAE" w:rsidP="002A2FAE">
      <w:pPr>
        <w:pStyle w:val="Heading3"/>
      </w:pPr>
      <w:r w:rsidRPr="00027624">
        <w:t>Social transfers in kind</w:t>
      </w:r>
    </w:p>
    <w:p w14:paraId="53AA3946" w14:textId="77777777" w:rsidR="002A2FAE" w:rsidRPr="00027624" w:rsidRDefault="002A2FAE" w:rsidP="002A2FAE">
      <w:r w:rsidRPr="00027624">
        <w:t>Projections of social transfers in kind have not been undertaken. However, medium</w:t>
      </w:r>
      <w:r w:rsidR="00A8443E" w:rsidRPr="00027624">
        <w:noBreakHyphen/>
      </w:r>
      <w:r w:rsidRPr="00027624">
        <w:t>term projections of health and aged care costs under current policy settings are regularly prepared by the Parliamentary Budget Office (PBO). The latest PBO expenditure projections from 2018</w:t>
      </w:r>
      <w:r w:rsidR="00A8443E" w:rsidRPr="00027624">
        <w:noBreakHyphen/>
      </w:r>
      <w:r w:rsidRPr="00027624">
        <w:t>19 to 2029</w:t>
      </w:r>
      <w:r w:rsidR="00A8443E" w:rsidRPr="00027624">
        <w:noBreakHyphen/>
      </w:r>
      <w:r w:rsidRPr="00027624">
        <w:t>30 indicate that: Pharmaceutical Benefits Scheme expenditure will decline by 0.2 per cent as a proportion of GDP; and Medicare and aged care spending will increase by 0.1 per cent and 0.2 per cent of GDP, respectively.</w:t>
      </w:r>
    </w:p>
    <w:p w14:paraId="4464151C" w14:textId="2F72427F" w:rsidR="002A2FAE" w:rsidRPr="00027624" w:rsidRDefault="002A2FAE" w:rsidP="002A2FAE">
      <w:r w:rsidRPr="00027624">
        <w:rPr>
          <w:b/>
        </w:rPr>
        <w:t>Aged care expenditure is particularly at risk of increasing faster than GDP</w:t>
      </w:r>
      <w:r w:rsidRPr="00027624">
        <w:t xml:space="preserve"> as it is more sensitive to the impact of ageing than health care. Over the decade to June 2029, population ageing is projected to increase annual average growth in aged care spending by around 1.8 percentage points, compared with 0.5 percentage points for health (</w:t>
      </w:r>
      <w:r w:rsidRPr="00027624">
        <w:fldChar w:fldCharType="begin"/>
      </w:r>
      <w:r w:rsidRPr="00027624">
        <w:instrText xml:space="preserve"> REF _Ref39841360 \r \h  \* MERGEFORMAT </w:instrText>
      </w:r>
      <w:r w:rsidRPr="00027624">
        <w:fldChar w:fldCharType="separate"/>
      </w:r>
      <w:r w:rsidR="00891058">
        <w:t>Chart 4A-19</w:t>
      </w:r>
      <w:r w:rsidRPr="00027624">
        <w:fldChar w:fldCharType="end"/>
      </w:r>
      <w:r w:rsidRPr="00027624">
        <w:t>).</w:t>
      </w:r>
    </w:p>
    <w:p w14:paraId="4E8AB57A" w14:textId="77777777" w:rsidR="002A2FAE" w:rsidRPr="00027624" w:rsidRDefault="002A2FAE" w:rsidP="002A2FAE">
      <w:r w:rsidRPr="00027624">
        <w:t>The effect of ageing on aged care expenditure is projected to peak as the baby boomer generation reach their 80s, from 2030</w:t>
      </w:r>
      <w:sdt>
        <w:sdtPr>
          <w:id w:val="-428888446"/>
          <w:citation/>
        </w:sdtPr>
        <w:sdtEndPr/>
        <w:sdtContent>
          <w:r w:rsidRPr="00027624">
            <w:fldChar w:fldCharType="begin"/>
          </w:r>
          <w:r w:rsidRPr="00027624">
            <w:instrText xml:space="preserve">CITATION Parb19 \p 15 \l 3081 </w:instrText>
          </w:r>
          <w:r w:rsidRPr="00027624">
            <w:fldChar w:fldCharType="separate"/>
          </w:r>
          <w:r w:rsidR="00E83F6E">
            <w:rPr>
              <w:noProof/>
            </w:rPr>
            <w:t xml:space="preserve"> (Parliamentary Budget Office, 2019a, p. 15)</w:t>
          </w:r>
          <w:r w:rsidRPr="00027624">
            <w:fldChar w:fldCharType="end"/>
          </w:r>
        </w:sdtContent>
      </w:sdt>
      <w:r w:rsidRPr="00027624">
        <w:t>.</w:t>
      </w:r>
    </w:p>
    <w:p w14:paraId="3A60EF26" w14:textId="77777777" w:rsidR="002A2FAE" w:rsidRPr="00027624" w:rsidRDefault="002A2FAE" w:rsidP="00FC7361">
      <w:pPr>
        <w:pStyle w:val="ChartMainHeading"/>
        <w:numPr>
          <w:ilvl w:val="2"/>
          <w:numId w:val="28"/>
        </w:numPr>
      </w:pPr>
      <w:bookmarkStart w:id="4060" w:name="_Ref39841360"/>
      <w:r w:rsidRPr="00027624">
        <w:t>Projected average annual real growth in aged care spending</w:t>
      </w:r>
      <w:bookmarkEnd w:id="4060"/>
    </w:p>
    <w:p w14:paraId="33C358E0" w14:textId="77777777" w:rsidR="002A2FAE" w:rsidRPr="00027624" w:rsidRDefault="007C6759" w:rsidP="002A2FAE">
      <w:pPr>
        <w:pStyle w:val="ChartGraphic"/>
      </w:pPr>
      <w:r>
        <w:rPr>
          <w:noProof/>
        </w:rPr>
        <w:drawing>
          <wp:inline distT="0" distB="0" distL="0" distR="0" wp14:anchorId="17A6CCCC" wp14:editId="750B70DE">
            <wp:extent cx="5585460" cy="2529840"/>
            <wp:effectExtent l="0" t="0" r="0" b="3810"/>
            <wp:docPr id="2062294290" name="Picture 2062294290" descr="This chart compares projected growth in Commonwealth health and aged care spending over the next decade. Aged care spending growth is higher and is driven much more by the ageing population then health." title="Chart 4A-19 Projected average annual real growth in aged care s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85460" cy="2529840"/>
                    </a:xfrm>
                    <a:prstGeom prst="rect">
                      <a:avLst/>
                    </a:prstGeom>
                    <a:noFill/>
                  </pic:spPr>
                </pic:pic>
              </a:graphicData>
            </a:graphic>
          </wp:inline>
        </w:drawing>
      </w:r>
    </w:p>
    <w:p w14:paraId="68355B92" w14:textId="77777777" w:rsidR="002A2FAE" w:rsidRPr="00027624" w:rsidRDefault="002A2FAE" w:rsidP="002A2FAE">
      <w:pPr>
        <w:pStyle w:val="ChartorTableNote"/>
      </w:pPr>
      <w:r w:rsidRPr="00027624">
        <w:t>Note: Medium</w:t>
      </w:r>
      <w:r w:rsidR="00A8443E" w:rsidRPr="00027624">
        <w:noBreakHyphen/>
      </w:r>
      <w:r w:rsidRPr="00027624">
        <w:t xml:space="preserve">term projections for the period June 2019 to June 2029. Source: </w:t>
      </w:r>
      <w:sdt>
        <w:sdtPr>
          <w:id w:val="147632617"/>
          <w:citation/>
        </w:sdtPr>
        <w:sdtEndPr/>
        <w:sdtContent>
          <w:r w:rsidRPr="00027624">
            <w:fldChar w:fldCharType="begin"/>
          </w:r>
          <w:r w:rsidRPr="00027624">
            <w:instrText xml:space="preserve">CITATION Parb19 \l 3081 </w:instrText>
          </w:r>
          <w:r w:rsidRPr="00027624">
            <w:fldChar w:fldCharType="separate"/>
          </w:r>
          <w:r w:rsidR="00E83F6E">
            <w:rPr>
              <w:noProof/>
            </w:rPr>
            <w:t>(Parliamentary Budget Office, 2019a)</w:t>
          </w:r>
          <w:r w:rsidRPr="00027624">
            <w:fldChar w:fldCharType="end"/>
          </w:r>
        </w:sdtContent>
      </w:sdt>
      <w:r w:rsidRPr="00027624">
        <w:t>.</w:t>
      </w:r>
    </w:p>
    <w:p w14:paraId="6206D3D7" w14:textId="77777777" w:rsidR="002A2FAE" w:rsidRPr="00027624" w:rsidRDefault="002A2FAE" w:rsidP="002A2FAE">
      <w:r w:rsidRPr="00027624">
        <w:lastRenderedPageBreak/>
        <w:t xml:space="preserve">Stakeholders expressed concerns about the sustainability of the aged care system. This concern is raised directly in the recent </w:t>
      </w:r>
      <w:r w:rsidRPr="00027624">
        <w:rPr>
          <w:i/>
        </w:rPr>
        <w:t>Legislated Review of Aged Care 2017</w:t>
      </w:r>
      <w:r w:rsidRPr="00027624">
        <w:t xml:space="preserve"> (the Tune Review) stating:</w:t>
      </w:r>
    </w:p>
    <w:p w14:paraId="3AF9DD36" w14:textId="77777777" w:rsidR="002A2FAE" w:rsidRPr="00027624" w:rsidRDefault="00A8443E" w:rsidP="002A2FAE">
      <w:pPr>
        <w:pStyle w:val="Quote"/>
        <w:rPr>
          <w:i w:val="0"/>
        </w:rPr>
      </w:pPr>
      <w:r w:rsidRPr="00027624">
        <w:t>‘</w:t>
      </w:r>
      <w:r w:rsidR="002A2FAE" w:rsidRPr="00027624">
        <w:t>Currently, the government provides around three</w:t>
      </w:r>
      <w:r w:rsidRPr="00027624">
        <w:noBreakHyphen/>
      </w:r>
      <w:r w:rsidR="002A2FAE" w:rsidRPr="00027624">
        <w:t>quarters of all aged care funding, with consumers meeting less than a quarter of the cost. This is likely to be unsustainable into the future and there is a strong case to increase the proportion of the costs that are met by consumers.</w:t>
      </w:r>
      <w:r w:rsidRPr="00027624">
        <w:t>’</w:t>
      </w:r>
      <w:sdt>
        <w:sdtPr>
          <w:id w:val="278066699"/>
          <w:citation/>
        </w:sdtPr>
        <w:sdtEndPr>
          <w:rPr>
            <w:i w:val="0"/>
          </w:rPr>
        </w:sdtEndPr>
        <w:sdtContent>
          <w:r w:rsidR="002A2FAE" w:rsidRPr="00027624">
            <w:rPr>
              <w:i w:val="0"/>
            </w:rPr>
            <w:fldChar w:fldCharType="begin"/>
          </w:r>
          <w:r w:rsidR="002A2FAE" w:rsidRPr="00027624">
            <w:rPr>
              <w:i w:val="0"/>
            </w:rPr>
            <w:instrText xml:space="preserve">CITATION Dep17 \p 8 \t  \l 3081 </w:instrText>
          </w:r>
          <w:r w:rsidR="002A2FAE" w:rsidRPr="00027624">
            <w:rPr>
              <w:i w:val="0"/>
            </w:rPr>
            <w:fldChar w:fldCharType="separate"/>
          </w:r>
          <w:r w:rsidR="00E83F6E">
            <w:rPr>
              <w:i w:val="0"/>
              <w:noProof/>
            </w:rPr>
            <w:t xml:space="preserve"> </w:t>
          </w:r>
          <w:r w:rsidR="00E83F6E">
            <w:rPr>
              <w:noProof/>
            </w:rPr>
            <w:t>(Tune, 2017, p. 8)</w:t>
          </w:r>
          <w:r w:rsidR="002A2FAE" w:rsidRPr="00027624">
            <w:rPr>
              <w:i w:val="0"/>
            </w:rPr>
            <w:fldChar w:fldCharType="end"/>
          </w:r>
        </w:sdtContent>
      </w:sdt>
    </w:p>
    <w:p w14:paraId="1EA82EFF" w14:textId="77777777" w:rsidR="002A2FAE" w:rsidRPr="00027624" w:rsidRDefault="002A2FAE" w:rsidP="002A2FAE">
      <w:r w:rsidRPr="00027624">
        <w:t>The Aged Care Funding Authority (ACFA)</w:t>
      </w:r>
      <w:sdt>
        <w:sdtPr>
          <w:id w:val="-1989621274"/>
          <w:citation/>
        </w:sdtPr>
        <w:sdtEndPr/>
        <w:sdtContent>
          <w:r w:rsidR="00D61D9F">
            <w:fldChar w:fldCharType="begin"/>
          </w:r>
          <w:r w:rsidR="00D61D9F">
            <w:instrText xml:space="preserve">CITATION ACF191 \n  \t  \l 3081 </w:instrText>
          </w:r>
          <w:r w:rsidR="00D61D9F">
            <w:fldChar w:fldCharType="separate"/>
          </w:r>
          <w:r w:rsidR="00E83F6E">
            <w:rPr>
              <w:noProof/>
            </w:rPr>
            <w:t xml:space="preserve"> (2019)</w:t>
          </w:r>
          <w:r w:rsidR="00D61D9F">
            <w:fldChar w:fldCharType="end"/>
          </w:r>
        </w:sdtContent>
      </w:sdt>
      <w:r w:rsidRPr="00027624">
        <w:t xml:space="preserve"> has also identified some challenges with the sustainability of the aged care system from a funding perspective, including the need for equitable contributions to costs by consumers.</w:t>
      </w:r>
    </w:p>
    <w:p w14:paraId="351F9FF7" w14:textId="77777777" w:rsidR="002A2FAE" w:rsidRPr="00027624" w:rsidRDefault="002A2FAE" w:rsidP="002A2FAE">
      <w:r w:rsidRPr="00027624">
        <w:t xml:space="preserve">The shift in consumer preferences from residential care to home care, which costs the Government less than residential care, is expected to help improve the affordability of the aged care system for taxpayers </w:t>
      </w:r>
      <w:sdt>
        <w:sdtPr>
          <w:id w:val="-1372907550"/>
          <w:citation/>
        </w:sdtPr>
        <w:sdtEndPr/>
        <w:sdtContent>
          <w:r w:rsidRPr="00027624">
            <w:fldChar w:fldCharType="begin"/>
          </w:r>
          <w:r w:rsidR="00C9557B">
            <w:instrText xml:space="preserve">CITATION Parb19 \p 16 \l 3081 </w:instrText>
          </w:r>
          <w:r w:rsidR="00563492">
            <w:instrText xml:space="preserve"> \m ACF191</w:instrText>
          </w:r>
          <w:r w:rsidRPr="00027624">
            <w:fldChar w:fldCharType="separate"/>
          </w:r>
          <w:r w:rsidR="00E83F6E">
            <w:rPr>
              <w:noProof/>
            </w:rPr>
            <w:t>(Parliamentary Budget Office, 2019a, p. 16; Aged Care Financing Authority, 2019)</w:t>
          </w:r>
          <w:r w:rsidRPr="00027624">
            <w:fldChar w:fldCharType="end"/>
          </w:r>
        </w:sdtContent>
      </w:sdt>
      <w:r w:rsidRPr="00027624">
        <w:t xml:space="preserve">. The </w:t>
      </w:r>
      <w:r w:rsidRPr="00027624">
        <w:rPr>
          <w:i/>
        </w:rPr>
        <w:t>Royal Commission into Aged Care Quality and Safety</w:t>
      </w:r>
      <w:r w:rsidRPr="00027624">
        <w:rPr>
          <w:iCs/>
        </w:rPr>
        <w:t xml:space="preserve"> is currently considering aged care costs</w:t>
      </w:r>
      <w:r w:rsidRPr="00027624">
        <w:t>. The final report of the Royal Commission is due to be released on 12 November 2020.</w:t>
      </w:r>
    </w:p>
    <w:p w14:paraId="19488A78" w14:textId="77777777" w:rsidR="002A2FAE" w:rsidRPr="00027624" w:rsidRDefault="002A2FAE" w:rsidP="00AF1E28">
      <w:pPr>
        <w:pStyle w:val="Heading2"/>
        <w:spacing w:before="240"/>
      </w:pPr>
      <w:bookmarkStart w:id="4061" w:name="_Toc45520542"/>
      <w:bookmarkStart w:id="4062" w:name="_Toc46133654"/>
      <w:r w:rsidRPr="00027624">
        <w:t>Cost</w:t>
      </w:r>
      <w:r w:rsidR="00A8443E" w:rsidRPr="00027624">
        <w:noBreakHyphen/>
      </w:r>
      <w:r w:rsidRPr="00027624">
        <w:t>effectiveness</w:t>
      </w:r>
      <w:bookmarkEnd w:id="4061"/>
      <w:bookmarkEnd w:id="4062"/>
    </w:p>
    <w:p w14:paraId="0EF4D8DE" w14:textId="77777777" w:rsidR="002A2FAE" w:rsidRPr="00027624" w:rsidRDefault="002A2FAE" w:rsidP="002A2FAE">
      <w:r w:rsidRPr="00027624">
        <w:t>The cost</w:t>
      </w:r>
      <w:r w:rsidR="00A8443E" w:rsidRPr="00027624">
        <w:noBreakHyphen/>
      </w:r>
      <w:r w:rsidRPr="00027624">
        <w:t>effectiveness of the retirement income system is best assessed by the efficiency with which Government support produces adequate retirement outcomes. The Age Pension and superannuation tax concessions make up most of the monetary support in the retirement income system. Age Pension support is based on a person</w:t>
      </w:r>
      <w:r w:rsidR="00A8443E" w:rsidRPr="00027624">
        <w:t>’</w:t>
      </w:r>
      <w:r w:rsidRPr="00027624">
        <w:t>s means in retirement. Superannuation tax concessions increase with income, contributions during working life and investment earnings.</w:t>
      </w:r>
    </w:p>
    <w:p w14:paraId="623063C2" w14:textId="77777777" w:rsidR="002A2FAE" w:rsidRPr="00027624" w:rsidRDefault="002A2FAE" w:rsidP="002A2FAE">
      <w:r w:rsidRPr="00027624">
        <w:rPr>
          <w:b/>
        </w:rPr>
        <w:t>The Age Pension</w:t>
      </w:r>
      <w:r w:rsidRPr="00027624" w:rsidDel="00396DE3">
        <w:rPr>
          <w:b/>
        </w:rPr>
        <w:t xml:space="preserve"> </w:t>
      </w:r>
      <w:r w:rsidRPr="00027624">
        <w:rPr>
          <w:b/>
        </w:rPr>
        <w:t>delivers or supports adequate retirement incomes for the bottom two</w:t>
      </w:r>
      <w:r w:rsidR="00A8443E" w:rsidRPr="00027624">
        <w:rPr>
          <w:b/>
        </w:rPr>
        <w:noBreakHyphen/>
      </w:r>
      <w:r w:rsidRPr="00027624">
        <w:rPr>
          <w:b/>
        </w:rPr>
        <w:t>thirds to three</w:t>
      </w:r>
      <w:r w:rsidR="00A8443E" w:rsidRPr="00027624">
        <w:rPr>
          <w:b/>
        </w:rPr>
        <w:noBreakHyphen/>
      </w:r>
      <w:r w:rsidRPr="00027624">
        <w:rPr>
          <w:b/>
        </w:rPr>
        <w:t>quarters of income distribution</w:t>
      </w:r>
      <w:r w:rsidR="00AF1E28">
        <w:t xml:space="preserve"> </w:t>
      </w:r>
      <w:r w:rsidRPr="00027624">
        <w:t xml:space="preserve">(see </w:t>
      </w:r>
      <w:r w:rsidRPr="00027624">
        <w:rPr>
          <w:i/>
        </w:rPr>
        <w:t>2C. Maintaining standards of living in retirement</w:t>
      </w:r>
      <w:r w:rsidRPr="00027624">
        <w:t>).</w:t>
      </w:r>
    </w:p>
    <w:p w14:paraId="757002A2" w14:textId="084F9202" w:rsidR="002A2FAE" w:rsidRPr="00027624" w:rsidRDefault="002A2FAE" w:rsidP="002A2FAE">
      <w:r w:rsidRPr="00027624">
        <w:rPr>
          <w:b/>
        </w:rPr>
        <w:t>Superannuation tax concessions contribute to adequate replacement rates for the top 50 per cent of households</w:t>
      </w:r>
      <w:r w:rsidRPr="00027624">
        <w:t xml:space="preserve"> in terms of the income distribution (</w:t>
      </w:r>
      <w:r w:rsidRPr="00027624">
        <w:fldChar w:fldCharType="begin"/>
      </w:r>
      <w:r w:rsidRPr="00027624">
        <w:instrText xml:space="preserve"> REF _Ref41397158 \r \h  \* MERGEFORMAT </w:instrText>
      </w:r>
      <w:r w:rsidRPr="00027624">
        <w:fldChar w:fldCharType="separate"/>
      </w:r>
      <w:r w:rsidR="00891058">
        <w:t>Chart 4A-20</w:t>
      </w:r>
      <w:r w:rsidRPr="00027624">
        <w:fldChar w:fldCharType="end"/>
      </w:r>
      <w:r w:rsidRPr="00027624">
        <w:t xml:space="preserve">). However, superannuation tax concessions have the most significant impact on the retirement incomes of the top 10 per cent of the income distribution, as earnings tax concessions grow strongly. As noted in </w:t>
      </w:r>
      <w:r w:rsidRPr="00027624">
        <w:rPr>
          <w:i/>
        </w:rPr>
        <w:t>Appendix 6A. Detailed modelling methods and assumptions</w:t>
      </w:r>
      <w:r w:rsidRPr="00027624">
        <w:t>,</w:t>
      </w:r>
      <w:r w:rsidRPr="00027624">
        <w:rPr>
          <w:i/>
          <w:iCs/>
        </w:rPr>
        <w:t xml:space="preserve"> </w:t>
      </w:r>
      <w:r w:rsidRPr="00027624">
        <w:t>stakeholders agree that higher</w:t>
      </w:r>
      <w:r w:rsidR="00A8443E" w:rsidRPr="00027624">
        <w:noBreakHyphen/>
      </w:r>
      <w:r w:rsidRPr="00027624">
        <w:t>income earners can maintain their standard of living with lower replacement rates.</w:t>
      </w:r>
    </w:p>
    <w:p w14:paraId="6521F60A" w14:textId="77777777" w:rsidR="002A2FAE" w:rsidRPr="00027624" w:rsidRDefault="002A2FAE" w:rsidP="00FC7361">
      <w:pPr>
        <w:pStyle w:val="ChartMainHeading"/>
        <w:numPr>
          <w:ilvl w:val="2"/>
          <w:numId w:val="28"/>
        </w:numPr>
      </w:pPr>
      <w:bookmarkStart w:id="4063" w:name="_Ref41397158"/>
      <w:r w:rsidRPr="00027624">
        <w:t>Projected composition of average annual retirement incomes</w:t>
      </w:r>
      <w:bookmarkEnd w:id="4063"/>
    </w:p>
    <w:p w14:paraId="62E8BAC4" w14:textId="77777777" w:rsidR="002A2FAE" w:rsidRPr="00027624" w:rsidRDefault="006C2774" w:rsidP="002A2FAE">
      <w:pPr>
        <w:pStyle w:val="ChartGraphic"/>
      </w:pPr>
      <w:r>
        <w:rPr>
          <w:noProof/>
        </w:rPr>
        <w:drawing>
          <wp:inline distT="0" distB="0" distL="0" distR="0" wp14:anchorId="52F5EEC8" wp14:editId="3FD64B7E">
            <wp:extent cx="5418000" cy="2448000"/>
            <wp:effectExtent l="0" t="0" r="0" b="0"/>
            <wp:docPr id="7" name="Picture 7" descr="This chart compares the sources of retirement incomes in the future by income decile. Those on lower incomes are majority funded by the Age Pension. As income increases the Age Pension falls replaced by private income excluding superannuation tax concessions." title="Chart 4A-20 Projected composition of average annual retirement in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418000" cy="2448000"/>
                    </a:xfrm>
                    <a:prstGeom prst="rect">
                      <a:avLst/>
                    </a:prstGeom>
                    <a:noFill/>
                  </pic:spPr>
                </pic:pic>
              </a:graphicData>
            </a:graphic>
          </wp:inline>
        </w:drawing>
      </w:r>
    </w:p>
    <w:p w14:paraId="1551E8F1" w14:textId="77777777" w:rsidR="002A2FAE" w:rsidRPr="00027624" w:rsidRDefault="002A2FAE" w:rsidP="006C2774">
      <w:pPr>
        <w:pStyle w:val="ChartorTableNote"/>
        <w:spacing w:before="0" w:after="120"/>
      </w:pPr>
      <w:r w:rsidRPr="00027624">
        <w:t>Note: Incomes are deflated in line with the review</w:t>
      </w:r>
      <w:r w:rsidR="00A8443E" w:rsidRPr="00027624">
        <w:t>’</w:t>
      </w:r>
      <w:r w:rsidRPr="00027624">
        <w:t xml:space="preserve">s mixed deflator. See </w:t>
      </w:r>
      <w:r w:rsidRPr="00027624">
        <w:rPr>
          <w:i/>
          <w:iCs/>
        </w:rPr>
        <w:t>Appendix 6A. Detailed modelling methods and assumptions</w:t>
      </w:r>
      <w:r w:rsidRPr="00027624">
        <w:t>. Private income includes superannuation and non</w:t>
      </w:r>
      <w:r w:rsidR="00A8443E" w:rsidRPr="00027624">
        <w:noBreakHyphen/>
      </w:r>
      <w:r w:rsidRPr="00027624">
        <w:t xml:space="preserve">superannuation savings. The </w:t>
      </w:r>
      <w:r w:rsidR="00A8443E" w:rsidRPr="00027624">
        <w:t>‘</w:t>
      </w:r>
      <w:r w:rsidRPr="00027624">
        <w:t>private income funded by tax concessions</w:t>
      </w:r>
      <w:r w:rsidR="00A8443E" w:rsidRPr="00027624">
        <w:t>’</w:t>
      </w:r>
      <w:r w:rsidRPr="00027624">
        <w:t xml:space="preserve"> components are estimated by projecting retirement incomes with contributions and earnings taxed at marginal rates separately. Source: Cameo modelling undertaken for the review.</w:t>
      </w:r>
    </w:p>
    <w:p w14:paraId="02622312" w14:textId="101F9DEB" w:rsidR="002A2FAE" w:rsidRPr="00027624" w:rsidRDefault="002A2FAE" w:rsidP="002A2FAE">
      <w:r w:rsidRPr="00027624">
        <w:rPr>
          <w:b/>
        </w:rPr>
        <w:lastRenderedPageBreak/>
        <w:t>People with higher retirement incomes receive the most tax concessions over a lifetime</w:t>
      </w:r>
      <w:r w:rsidRPr="00027624">
        <w:t xml:space="preserve"> (</w:t>
      </w:r>
      <w:r w:rsidRPr="00027624">
        <w:fldChar w:fldCharType="begin"/>
      </w:r>
      <w:r w:rsidRPr="00027624">
        <w:instrText xml:space="preserve"> REF _Ref41397370 \r \h  \* MERGEFORMAT </w:instrText>
      </w:r>
      <w:r w:rsidRPr="00027624">
        <w:fldChar w:fldCharType="separate"/>
      </w:r>
      <w:r w:rsidR="00891058">
        <w:t>Chart 4A-21</w:t>
      </w:r>
      <w:r w:rsidRPr="00027624">
        <w:fldChar w:fldCharType="end"/>
      </w:r>
      <w:r w:rsidRPr="00027624">
        <w:t>). Controls on contributions tax concessions result in lifetime support flattening as retirement incomes increase. Earnings tax concessions continue to increase as average retirement incomes increase, particularly from the 70</w:t>
      </w:r>
      <w:r w:rsidRPr="00027624">
        <w:rPr>
          <w:vertAlign w:val="superscript"/>
        </w:rPr>
        <w:t>th</w:t>
      </w:r>
      <w:r w:rsidRPr="00027624">
        <w:t xml:space="preserve"> to 95</w:t>
      </w:r>
      <w:r w:rsidRPr="00027624">
        <w:rPr>
          <w:vertAlign w:val="superscript"/>
        </w:rPr>
        <w:t>th</w:t>
      </w:r>
      <w:r w:rsidRPr="00027624">
        <w:t xml:space="preserve"> percentiles. These projections do not include post</w:t>
      </w:r>
      <w:r w:rsidR="00A8443E" w:rsidRPr="00027624">
        <w:noBreakHyphen/>
      </w:r>
      <w:r w:rsidRPr="00027624">
        <w:t>tax voluntary contributions. If included, they would further increase the lifetime earnings tax concessions support provided to the upper percentiles, as they are most likely to make post</w:t>
      </w:r>
      <w:r w:rsidR="00A8443E" w:rsidRPr="00027624">
        <w:noBreakHyphen/>
      </w:r>
      <w:r w:rsidRPr="00027624">
        <w:t xml:space="preserve">tax voluntary contributions (see </w:t>
      </w:r>
      <w:r w:rsidRPr="00027624">
        <w:rPr>
          <w:i/>
          <w:iCs/>
        </w:rPr>
        <w:t>3A. Income and wealth distribution</w:t>
      </w:r>
      <w:r w:rsidRPr="00027624">
        <w:t>).</w:t>
      </w:r>
    </w:p>
    <w:p w14:paraId="09E821E4" w14:textId="77777777" w:rsidR="002A2FAE" w:rsidRPr="00027624" w:rsidRDefault="002A2FAE" w:rsidP="00FC7361">
      <w:pPr>
        <w:pStyle w:val="ChartMainHeading"/>
        <w:numPr>
          <w:ilvl w:val="2"/>
          <w:numId w:val="28"/>
        </w:numPr>
      </w:pPr>
      <w:bookmarkStart w:id="4064" w:name="_Ref41397370"/>
      <w:r w:rsidRPr="00027624">
        <w:t>Projected average annual retirement incomes and lifetime Government support</w:t>
      </w:r>
      <w:bookmarkEnd w:id="4064"/>
    </w:p>
    <w:p w14:paraId="2968CBB9" w14:textId="77777777" w:rsidR="002A2FAE" w:rsidRPr="00027624" w:rsidRDefault="007156F6" w:rsidP="002A2FAE">
      <w:pPr>
        <w:pStyle w:val="ChartGraphic"/>
      </w:pPr>
      <w:r>
        <w:rPr>
          <w:noProof/>
        </w:rPr>
        <w:drawing>
          <wp:inline distT="0" distB="0" distL="0" distR="0" wp14:anchorId="1B1AFCA3" wp14:editId="755AC736">
            <wp:extent cx="5577840" cy="2514600"/>
            <wp:effectExtent l="0" t="0" r="3810" b="0"/>
            <wp:docPr id="18" name="Picture 18" descr="This chart compares the projected value of Age Pension and superannuation concessions by the level of retirement income. Those on lower incomes receive much higher Age Pension. However, those on higher retirement incomes receive an even greater value in superannuation concessions, particularly earnings tax concessions." title="Chart 4A-21 Projected average annual retirement incomes and lifetime Government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577840" cy="2514600"/>
                    </a:xfrm>
                    <a:prstGeom prst="rect">
                      <a:avLst/>
                    </a:prstGeom>
                    <a:noFill/>
                  </pic:spPr>
                </pic:pic>
              </a:graphicData>
            </a:graphic>
          </wp:inline>
        </w:drawing>
      </w:r>
    </w:p>
    <w:p w14:paraId="345C42E7" w14:textId="77777777" w:rsidR="002A2FAE" w:rsidRPr="00027624" w:rsidRDefault="002A2FAE" w:rsidP="002A2FAE">
      <w:pPr>
        <w:pStyle w:val="ChartorTableNote"/>
      </w:pPr>
      <w:r w:rsidRPr="00027624">
        <w:t>Note: Y</w:t>
      </w:r>
      <w:r w:rsidR="00A8443E" w:rsidRPr="00027624">
        <w:noBreakHyphen/>
      </w:r>
      <w:r w:rsidRPr="00027624">
        <w:t>axis values (lifetime Government support) are deflated to 2019</w:t>
      </w:r>
      <w:r w:rsidR="00A8443E" w:rsidRPr="00027624">
        <w:noBreakHyphen/>
      </w:r>
      <w:r w:rsidRPr="00027624">
        <w:t>20 dollars using with the review</w:t>
      </w:r>
      <w:r w:rsidR="00A8443E" w:rsidRPr="00027624">
        <w:t>’</w:t>
      </w:r>
      <w:r w:rsidRPr="00027624">
        <w:t>s GDP deflator. X</w:t>
      </w:r>
      <w:r w:rsidR="00A8443E" w:rsidRPr="00027624">
        <w:noBreakHyphen/>
      </w:r>
      <w:r w:rsidRPr="00027624">
        <w:t>axis values (average retirement incomes) are deflated using the review</w:t>
      </w:r>
      <w:r w:rsidR="00A8443E" w:rsidRPr="00027624">
        <w:t>’</w:t>
      </w:r>
      <w:r w:rsidRPr="00027624">
        <w:t xml:space="preserve">s mixed deflator. See </w:t>
      </w:r>
      <w:r w:rsidRPr="00027624">
        <w:rPr>
          <w:i/>
        </w:rPr>
        <w:t>Appendix 6A. Detailed modelling methods and assumptions</w:t>
      </w:r>
      <w:r w:rsidRPr="00027624">
        <w:t>. Source: Cameo modelling undertaken for the review.</w:t>
      </w:r>
    </w:p>
    <w:p w14:paraId="527F662E" w14:textId="77777777" w:rsidR="002A2FAE" w:rsidRPr="00027624" w:rsidRDefault="002A2FAE" w:rsidP="00223830">
      <w:r w:rsidRPr="00027624">
        <w:t>Aside from providing adequate retirement incomes, three other rationales for tax concessions have been proposed:</w:t>
      </w:r>
    </w:p>
    <w:p w14:paraId="7C7FD520" w14:textId="77777777" w:rsidR="002A2FAE" w:rsidRPr="00027624" w:rsidRDefault="002A2FAE" w:rsidP="00FC7361">
      <w:pPr>
        <w:pStyle w:val="OutlineNumbered1"/>
        <w:numPr>
          <w:ilvl w:val="0"/>
          <w:numId w:val="92"/>
        </w:numPr>
        <w:ind w:left="908" w:hanging="454"/>
      </w:pPr>
      <w:r w:rsidRPr="00027624">
        <w:rPr>
          <w:b/>
          <w:bCs/>
        </w:rPr>
        <w:t>As an incentive for additional savings</w:t>
      </w:r>
      <w:r w:rsidRPr="00027624">
        <w:t xml:space="preserve">. As outlined in </w:t>
      </w:r>
      <w:r w:rsidRPr="00027624">
        <w:rPr>
          <w:i/>
          <w:iCs/>
        </w:rPr>
        <w:t>5A. Cohesion</w:t>
      </w:r>
      <w:r w:rsidRPr="00027624">
        <w:t>,</w:t>
      </w:r>
      <w:r w:rsidRPr="00027624">
        <w:rPr>
          <w:i/>
          <w:iCs/>
        </w:rPr>
        <w:t xml:space="preserve"> </w:t>
      </w:r>
      <w:r w:rsidRPr="00027624">
        <w:t>the evidence suggests tax concessions are of limited effectiveness in increasing people</w:t>
      </w:r>
      <w:r w:rsidR="00A8443E" w:rsidRPr="00027624">
        <w:t>’</w:t>
      </w:r>
      <w:r w:rsidRPr="00027624">
        <w:t xml:space="preserve">s overall savings. Instead, they appear to encourage people to </w:t>
      </w:r>
      <w:r w:rsidRPr="00027624">
        <w:rPr>
          <w:i/>
        </w:rPr>
        <w:t xml:space="preserve">reallocate </w:t>
      </w:r>
      <w:r w:rsidRPr="00027624">
        <w:t>existing savings, or savings they would have made in any case, into superannuation.</w:t>
      </w:r>
    </w:p>
    <w:p w14:paraId="4F20300C" w14:textId="3DA77F80" w:rsidR="002A2FAE" w:rsidRPr="00027624" w:rsidRDefault="002A2FAE" w:rsidP="00223830">
      <w:pPr>
        <w:pStyle w:val="OutlineNumbered1"/>
      </w:pPr>
      <w:r w:rsidRPr="00027624">
        <w:rPr>
          <w:b/>
          <w:bCs/>
        </w:rPr>
        <w:t>As compensation for preservation</w:t>
      </w:r>
      <w:r w:rsidRPr="00027624">
        <w:t>. Tax concessions are poorly targeted as compensation for preservation. Contributions tax concessions are received disproportionately by people with higher balances, who are either close to or above the preservation age, rather than those furthest away (</w:t>
      </w:r>
      <w:r w:rsidRPr="00027624">
        <w:fldChar w:fldCharType="begin"/>
      </w:r>
      <w:r w:rsidRPr="00027624">
        <w:instrText xml:space="preserve"> REF _Ref41397495 \r \h  \* MERGEFORMAT </w:instrText>
      </w:r>
      <w:r w:rsidRPr="00027624">
        <w:fldChar w:fldCharType="separate"/>
      </w:r>
      <w:r w:rsidR="00891058">
        <w:t>Chart 4A-22</w:t>
      </w:r>
      <w:r w:rsidRPr="00027624">
        <w:fldChar w:fldCharType="end"/>
      </w:r>
      <w:r w:rsidRPr="00027624">
        <w:t xml:space="preserve">). These people typically make large voluntary contributions. Total superannuation contributions increase with income and age up until retirement, with the size of increases jumping most noticeably after age 50 (see </w:t>
      </w:r>
      <w:r w:rsidRPr="00027624">
        <w:rPr>
          <w:i/>
          <w:iCs/>
        </w:rPr>
        <w:t>3A. Income and wealth distribution</w:t>
      </w:r>
      <w:r w:rsidRPr="00027624">
        <w:t>).</w:t>
      </w:r>
    </w:p>
    <w:p w14:paraId="20E02D47" w14:textId="77777777" w:rsidR="002A2FAE" w:rsidRPr="00027624" w:rsidRDefault="002A2FAE" w:rsidP="00223830">
      <w:pPr>
        <w:pStyle w:val="OutlineNumbered1"/>
        <w:numPr>
          <w:ilvl w:val="0"/>
          <w:numId w:val="0"/>
        </w:numPr>
        <w:ind w:left="908"/>
      </w:pPr>
      <w:r w:rsidRPr="00027624">
        <w:t>The result is that contributions tax concessions are accessed most by older people with higher balances as they approach retirement. From 2012</w:t>
      </w:r>
      <w:r w:rsidR="00A8443E" w:rsidRPr="00027624">
        <w:noBreakHyphen/>
      </w:r>
      <w:r w:rsidRPr="00027624">
        <w:t>13 to 2016</w:t>
      </w:r>
      <w:r w:rsidR="00A8443E" w:rsidRPr="00027624">
        <w:noBreakHyphen/>
      </w:r>
      <w:r w:rsidRPr="00027624">
        <w:t>17, a typical 55</w:t>
      </w:r>
      <w:r w:rsidR="00A8443E" w:rsidRPr="00027624">
        <w:noBreakHyphen/>
      </w:r>
      <w:r w:rsidRPr="00027624">
        <w:t>year</w:t>
      </w:r>
      <w:r w:rsidR="00A8443E" w:rsidRPr="00027624">
        <w:noBreakHyphen/>
      </w:r>
      <w:r w:rsidRPr="00027624">
        <w:t>old (59 in 2016</w:t>
      </w:r>
      <w:r w:rsidR="00A8443E" w:rsidRPr="00027624">
        <w:noBreakHyphen/>
      </w:r>
      <w:r w:rsidRPr="00027624">
        <w:t>17) with a balance in the top decile, received more than $20,000 in contribution concessions in real terms (with more than half coming from voluntary contributions). By 2016</w:t>
      </w:r>
      <w:r w:rsidR="00A8443E" w:rsidRPr="00027624">
        <w:noBreakHyphen/>
      </w:r>
      <w:r w:rsidRPr="00027624">
        <w:t>17, this individual</w:t>
      </w:r>
      <w:r w:rsidR="00A8443E" w:rsidRPr="00027624">
        <w:t>’</w:t>
      </w:r>
      <w:r w:rsidRPr="00027624">
        <w:t>s balance was around $1.1 million.</w:t>
      </w:r>
    </w:p>
    <w:p w14:paraId="5335CC5E" w14:textId="099435E2" w:rsidR="002A2FAE" w:rsidRPr="00027624" w:rsidRDefault="002A2FAE" w:rsidP="00223830">
      <w:pPr>
        <w:pStyle w:val="OutlineNumbered1"/>
      </w:pPr>
      <w:r w:rsidRPr="00027624">
        <w:rPr>
          <w:b/>
          <w:bCs/>
        </w:rPr>
        <w:t>To reduce Age Pension spending</w:t>
      </w:r>
      <w:r w:rsidRPr="00027624">
        <w:rPr>
          <w:b/>
        </w:rPr>
        <w:t>.</w:t>
      </w:r>
      <w:r w:rsidRPr="00027624">
        <w:t xml:space="preserve"> The cost of tax concession support over a</w:t>
      </w:r>
      <w:r w:rsidRPr="00027624" w:rsidDel="00E02447">
        <w:t xml:space="preserve"> </w:t>
      </w:r>
      <w:r w:rsidRPr="00027624">
        <w:t>lifetime is projected to outweigh the associated Age Pension savings (</w:t>
      </w:r>
      <w:r w:rsidR="00571817" w:rsidRPr="00027624">
        <w:fldChar w:fldCharType="begin"/>
      </w:r>
      <w:r w:rsidR="00571817" w:rsidRPr="00027624">
        <w:instrText xml:space="preserve"> REF _Ref45634604 \r \h </w:instrText>
      </w:r>
      <w:r w:rsidR="00027624">
        <w:instrText xml:space="preserve"> \* MERGEFORMAT </w:instrText>
      </w:r>
      <w:r w:rsidR="00571817" w:rsidRPr="00027624">
        <w:fldChar w:fldCharType="separate"/>
      </w:r>
      <w:r w:rsidR="00891058">
        <w:t>Chart 4A-23</w:t>
      </w:r>
      <w:r w:rsidR="00571817" w:rsidRPr="00027624">
        <w:fldChar w:fldCharType="end"/>
      </w:r>
      <w:r w:rsidRPr="00027624">
        <w:t>). This is true for either of the contributions and earnings tax concessions alone, and both together. This result does not alter even assuming salary sacrifice contributions are redirected to consumption in the absence of tax concessions.</w:t>
      </w:r>
      <w:bookmarkStart w:id="4065" w:name="_Hlk42512461"/>
      <w:bookmarkEnd w:id="4065"/>
    </w:p>
    <w:p w14:paraId="51EE083E" w14:textId="77777777" w:rsidR="002A2FAE" w:rsidRPr="00027624" w:rsidRDefault="002A2FAE" w:rsidP="00FC7361">
      <w:pPr>
        <w:pStyle w:val="ChartMainHeading"/>
        <w:numPr>
          <w:ilvl w:val="2"/>
          <w:numId w:val="28"/>
        </w:numPr>
      </w:pPr>
      <w:bookmarkStart w:id="4066" w:name="_Ref40969927"/>
      <w:bookmarkStart w:id="4067" w:name="_Ref41397495"/>
      <w:bookmarkStart w:id="4068" w:name="_Ref39833067"/>
      <w:r w:rsidRPr="00027624">
        <w:lastRenderedPageBreak/>
        <w:t>Cumulative superannuation contribution concessions over five years, averages by age and superannuation balance decile</w:t>
      </w:r>
      <w:bookmarkEnd w:id="4066"/>
      <w:bookmarkEnd w:id="4067"/>
    </w:p>
    <w:bookmarkEnd w:id="4068"/>
    <w:p w14:paraId="33BF010D" w14:textId="77777777" w:rsidR="002A2FAE" w:rsidRPr="00027624" w:rsidRDefault="007156F6" w:rsidP="002A2FAE">
      <w:pPr>
        <w:pStyle w:val="ChartGraphic"/>
      </w:pPr>
      <w:r>
        <w:rPr>
          <w:noProof/>
        </w:rPr>
        <w:drawing>
          <wp:inline distT="0" distB="0" distL="0" distR="0" wp14:anchorId="36996631" wp14:editId="35F23E24">
            <wp:extent cx="5615940" cy="2522220"/>
            <wp:effectExtent l="0" t="0" r="3810" b="0"/>
            <wp:docPr id="19" name="Picture 19" descr="This chart shows that the value of superannuation concessions increases substantially in proportion to the value of superannuation assets held by the person. Lower-income groups access little to no tax concessions whereas the top balance decile receives about $15,000 or higher in tax concessions across each age group. For older people, voluntary contributions begin to make up a much greater proportion of the concessions compared to that from SG contributions." title="Chart 4A-22 Cumulative superannuation contribution concessions over five years, averages by age and superannuation balance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15940" cy="2522220"/>
                    </a:xfrm>
                    <a:prstGeom prst="rect">
                      <a:avLst/>
                    </a:prstGeom>
                    <a:noFill/>
                  </pic:spPr>
                </pic:pic>
              </a:graphicData>
            </a:graphic>
          </wp:inline>
        </w:drawing>
      </w:r>
    </w:p>
    <w:p w14:paraId="419810FC" w14:textId="77777777" w:rsidR="002A2FAE" w:rsidRPr="00027624" w:rsidRDefault="002A2FAE" w:rsidP="002A2FAE">
      <w:pPr>
        <w:pStyle w:val="ChartorTableNote"/>
      </w:pPr>
      <w:r w:rsidRPr="00027624">
        <w:t>Note: Values are the average cumulative concessions for the period 2012</w:t>
      </w:r>
      <w:r w:rsidR="00A8443E" w:rsidRPr="00027624">
        <w:noBreakHyphen/>
      </w:r>
      <w:r w:rsidRPr="00027624">
        <w:t>13 to 2016</w:t>
      </w:r>
      <w:r w:rsidR="00A8443E" w:rsidRPr="00027624">
        <w:noBreakHyphen/>
      </w:r>
      <w:r w:rsidRPr="00027624">
        <w:t>17 and are presented in 2016</w:t>
      </w:r>
      <w:r w:rsidR="00A8443E" w:rsidRPr="00027624">
        <w:noBreakHyphen/>
      </w:r>
      <w:r w:rsidRPr="00027624">
        <w:t>17 dollars, inflated by CPI. The review estimates concessions as the estimated increase in tax if contributions were all made from post</w:t>
      </w:r>
      <w:r w:rsidR="00A8443E" w:rsidRPr="00027624">
        <w:noBreakHyphen/>
      </w:r>
      <w:r w:rsidRPr="00027624">
        <w:t>tax income. Cumulative refers to the total concessions received across the five years under observation. Tax settings in both scenarios are tailored to the year under observation. Data are from before the 2016</w:t>
      </w:r>
      <w:r w:rsidR="00A8443E" w:rsidRPr="00027624">
        <w:noBreakHyphen/>
      </w:r>
      <w:r w:rsidRPr="00027624">
        <w:t>17 reforms; however, the highest average annual concessional contribution for a cohort observed in the data is below the revised $25,000 cap. The changes to the contributions caps are unlikely to have affected the trends in voluntary contributions. Source: Longitudinal data provided by the ATO for the review.</w:t>
      </w:r>
    </w:p>
    <w:p w14:paraId="01D07568" w14:textId="77777777" w:rsidR="002A2FAE" w:rsidRPr="00027624" w:rsidRDefault="002A2FAE" w:rsidP="00FC7361">
      <w:pPr>
        <w:pStyle w:val="ChartMainHeading"/>
        <w:numPr>
          <w:ilvl w:val="2"/>
          <w:numId w:val="28"/>
        </w:numPr>
      </w:pPr>
      <w:bookmarkStart w:id="4069" w:name="_Ref45634604"/>
      <w:r w:rsidRPr="00027624">
        <w:t>The interaction of tax concessions and Age Pension spending over a lifetime</w:t>
      </w:r>
      <w:bookmarkEnd w:id="4069"/>
    </w:p>
    <w:tbl>
      <w:tblPr>
        <w:tblStyle w:val="TableGrid"/>
        <w:tblW w:w="0" w:type="auto"/>
        <w:tblLook w:val="04A0" w:firstRow="1" w:lastRow="0" w:firstColumn="1" w:lastColumn="0" w:noHBand="0" w:noVBand="1"/>
      </w:tblPr>
      <w:tblGrid>
        <w:gridCol w:w="709"/>
        <w:gridCol w:w="2552"/>
        <w:gridCol w:w="2550"/>
        <w:gridCol w:w="2551"/>
        <w:gridCol w:w="708"/>
      </w:tblGrid>
      <w:tr w:rsidR="002A2FAE" w:rsidRPr="00027624" w14:paraId="50ADA5B0" w14:textId="77777777" w:rsidTr="002A2FAE">
        <w:tc>
          <w:tcPr>
            <w:tcW w:w="709" w:type="dxa"/>
            <w:shd w:val="clear" w:color="auto" w:fill="auto"/>
          </w:tcPr>
          <w:p w14:paraId="3534D2CD" w14:textId="77777777" w:rsidR="002A2FAE" w:rsidRPr="00027624" w:rsidRDefault="002A2FAE" w:rsidP="002A2FAE">
            <w:pPr>
              <w:pStyle w:val="ChartSecondHeading"/>
            </w:pPr>
          </w:p>
        </w:tc>
        <w:tc>
          <w:tcPr>
            <w:tcW w:w="2552" w:type="dxa"/>
            <w:shd w:val="clear" w:color="auto" w:fill="auto"/>
          </w:tcPr>
          <w:p w14:paraId="4687C8E8" w14:textId="77777777" w:rsidR="002A2FAE" w:rsidRPr="00027624" w:rsidRDefault="002A2FAE" w:rsidP="002A2FAE">
            <w:pPr>
              <w:pStyle w:val="ChartSecondHeading"/>
            </w:pPr>
            <w:r w:rsidRPr="00027624">
              <w:t xml:space="preserve">Contributions </w:t>
            </w:r>
            <w:r w:rsidRPr="00027624">
              <w:br/>
              <w:t>concessions only</w:t>
            </w:r>
          </w:p>
        </w:tc>
        <w:tc>
          <w:tcPr>
            <w:tcW w:w="2551" w:type="dxa"/>
            <w:shd w:val="clear" w:color="auto" w:fill="auto"/>
          </w:tcPr>
          <w:p w14:paraId="6233533B" w14:textId="77777777" w:rsidR="002A2FAE" w:rsidRPr="00027624" w:rsidRDefault="002A2FAE" w:rsidP="002A2FAE">
            <w:pPr>
              <w:pStyle w:val="ChartSecondHeading"/>
            </w:pPr>
            <w:r w:rsidRPr="00027624">
              <w:t xml:space="preserve">Earnings </w:t>
            </w:r>
            <w:r w:rsidRPr="00027624">
              <w:br/>
              <w:t>concessions only</w:t>
            </w:r>
          </w:p>
        </w:tc>
        <w:tc>
          <w:tcPr>
            <w:tcW w:w="2552" w:type="dxa"/>
            <w:shd w:val="clear" w:color="auto" w:fill="auto"/>
          </w:tcPr>
          <w:p w14:paraId="660CEE4D" w14:textId="77777777" w:rsidR="002A2FAE" w:rsidRPr="00027624" w:rsidRDefault="002A2FAE" w:rsidP="002A2FAE">
            <w:pPr>
              <w:pStyle w:val="ChartSecondHeading"/>
            </w:pPr>
            <w:r w:rsidRPr="00027624">
              <w:t>Combined</w:t>
            </w:r>
          </w:p>
        </w:tc>
        <w:tc>
          <w:tcPr>
            <w:tcW w:w="708" w:type="dxa"/>
            <w:shd w:val="clear" w:color="auto" w:fill="auto"/>
          </w:tcPr>
          <w:p w14:paraId="191EE115" w14:textId="77777777" w:rsidR="002A2FAE" w:rsidRPr="00027624" w:rsidRDefault="002A2FAE" w:rsidP="002A2FAE">
            <w:pPr>
              <w:pStyle w:val="ChartSecondHeading"/>
            </w:pPr>
          </w:p>
        </w:tc>
      </w:tr>
    </w:tbl>
    <w:p w14:paraId="30BA4095" w14:textId="77777777" w:rsidR="002A2FAE" w:rsidRPr="00027624" w:rsidRDefault="00400A1A" w:rsidP="002A2FAE">
      <w:pPr>
        <w:pStyle w:val="ChartGraphic"/>
      </w:pPr>
      <w:r>
        <w:rPr>
          <w:noProof/>
        </w:rPr>
        <w:drawing>
          <wp:inline distT="0" distB="0" distL="0" distR="0" wp14:anchorId="2946CAD7" wp14:editId="1BE052D4">
            <wp:extent cx="5577840" cy="2514600"/>
            <wp:effectExtent l="0" t="0" r="3810" b="0"/>
            <wp:docPr id="20" name="Picture 20" descr="This chart shows that the savings to the Age Pension are significantly outweighed by the lifetime cost of superannuation concessions. This difference is substantial for higher-income earners in the 80th percentile and above." title="Chart 4A-23 The interaction of tax concessions and Age Pension spending over a life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77840" cy="2514600"/>
                    </a:xfrm>
                    <a:prstGeom prst="rect">
                      <a:avLst/>
                    </a:prstGeom>
                    <a:noFill/>
                  </pic:spPr>
                </pic:pic>
              </a:graphicData>
            </a:graphic>
          </wp:inline>
        </w:drawing>
      </w:r>
    </w:p>
    <w:p w14:paraId="744C6054" w14:textId="77777777" w:rsidR="002A2FAE" w:rsidRPr="00027624" w:rsidRDefault="002A2FAE" w:rsidP="002A2FAE">
      <w:pPr>
        <w:pStyle w:val="ChartorTableNote"/>
      </w:pPr>
      <w:r w:rsidRPr="00027624">
        <w:t>Note: Values are in 2019</w:t>
      </w:r>
      <w:r w:rsidR="00A8443E" w:rsidRPr="00027624">
        <w:noBreakHyphen/>
      </w:r>
      <w:r w:rsidRPr="00027624">
        <w:t>20 dollars, deflated using the review</w:t>
      </w:r>
      <w:r w:rsidR="00A8443E" w:rsidRPr="00027624">
        <w:t>’</w:t>
      </w:r>
      <w:r w:rsidRPr="00027624">
        <w:t xml:space="preserve">s GDP deflator. See </w:t>
      </w:r>
      <w:r w:rsidRPr="00027624">
        <w:rPr>
          <w:i/>
        </w:rPr>
        <w:t>Appendix 6A. Detailed modelling methods and assumptions</w:t>
      </w:r>
      <w:r w:rsidRPr="00027624">
        <w:t>. Source: Cameo modelling undertaken for the review.</w:t>
      </w:r>
    </w:p>
    <w:p w14:paraId="31186C4E" w14:textId="77777777" w:rsidR="002A2FAE" w:rsidRPr="00027624" w:rsidRDefault="002A2FAE" w:rsidP="002A2FAE">
      <w:pPr>
        <w:pStyle w:val="Heading2"/>
      </w:pPr>
      <w:bookmarkStart w:id="4070" w:name="_Toc45520543"/>
      <w:bookmarkStart w:id="4071" w:name="_Toc46133655"/>
      <w:r w:rsidRPr="00027624">
        <w:t>Potential effects of changing trends</w:t>
      </w:r>
      <w:bookmarkEnd w:id="4070"/>
      <w:bookmarkEnd w:id="4071"/>
    </w:p>
    <w:p w14:paraId="10FFB47F" w14:textId="77777777" w:rsidR="002A2FAE" w:rsidRPr="00027624" w:rsidRDefault="002A2FAE" w:rsidP="002A2FAE">
      <w:r w:rsidRPr="00027624">
        <w:t>The system</w:t>
      </w:r>
      <w:r w:rsidR="00A8443E" w:rsidRPr="00027624">
        <w:t>’</w:t>
      </w:r>
      <w:r w:rsidRPr="00027624">
        <w:t>s sustainability is affected by changes in trends. Three scenarios were modelled against the baseline to estimate the effect on Government expenditure, the Age Pension population and individual retirement outcomes:</w:t>
      </w:r>
    </w:p>
    <w:p w14:paraId="3CBC1C8A" w14:textId="77777777" w:rsidR="002A2FAE" w:rsidRPr="00027624" w:rsidRDefault="002A2FAE" w:rsidP="00223830">
      <w:pPr>
        <w:pStyle w:val="Bullet"/>
      </w:pPr>
      <w:r w:rsidRPr="00027624">
        <w:rPr>
          <w:b/>
        </w:rPr>
        <w:lastRenderedPageBreak/>
        <w:t>Lower earnings.</w:t>
      </w:r>
      <w:r w:rsidRPr="00027624">
        <w:t xml:space="preserve"> A 1 percentage point reduction in investment returns across all asset classes.</w:t>
      </w:r>
      <w:r w:rsidRPr="00027624">
        <w:rPr>
          <w:rStyle w:val="FootnoteReference"/>
        </w:rPr>
        <w:footnoteReference w:id="262"/>
      </w:r>
    </w:p>
    <w:p w14:paraId="179FC103" w14:textId="77777777" w:rsidR="002A2FAE" w:rsidRPr="00027624" w:rsidRDefault="002A2FAE" w:rsidP="00223830">
      <w:pPr>
        <w:pStyle w:val="Bullet"/>
      </w:pPr>
      <w:r w:rsidRPr="00027624">
        <w:rPr>
          <w:b/>
        </w:rPr>
        <w:t>Lower wages.</w:t>
      </w:r>
      <w:r w:rsidRPr="00027624">
        <w:t xml:space="preserve"> A 1 percentage point reduction in nominal wages growth.</w:t>
      </w:r>
    </w:p>
    <w:p w14:paraId="66BC52A0" w14:textId="77777777" w:rsidR="002A2FAE" w:rsidRPr="00027624" w:rsidRDefault="002A2FAE" w:rsidP="00223830">
      <w:pPr>
        <w:pStyle w:val="Bullet"/>
        <w:rPr>
          <w:b/>
          <w:bCs/>
        </w:rPr>
      </w:pPr>
      <w:r w:rsidRPr="00027624">
        <w:rPr>
          <w:b/>
          <w:bCs/>
        </w:rPr>
        <w:t xml:space="preserve">Lower fees. </w:t>
      </w:r>
      <w:r w:rsidRPr="00027624">
        <w:t>A faster (than that modelled above) reduction in annual superannuation fees charged.</w:t>
      </w:r>
    </w:p>
    <w:p w14:paraId="61BAA95A" w14:textId="77777777" w:rsidR="002A2FAE" w:rsidRPr="00027624" w:rsidRDefault="002A2FAE" w:rsidP="002A2FAE">
      <w:r w:rsidRPr="00027624">
        <w:t>These scenarios are partial and do not account for flow</w:t>
      </w:r>
      <w:r w:rsidR="00A8443E" w:rsidRPr="00027624">
        <w:noBreakHyphen/>
      </w:r>
      <w:r w:rsidRPr="00027624">
        <w:t>on effects that would likely occur in the wider economy. For example, lower returns are likely to be accompanied by lower GDP growth.</w:t>
      </w:r>
    </w:p>
    <w:p w14:paraId="50FFCABE" w14:textId="77777777" w:rsidR="002A2FAE" w:rsidRPr="00027624" w:rsidRDefault="002A2FAE" w:rsidP="002A2FAE">
      <w:r w:rsidRPr="00027624">
        <w:t>Broader macroeconomic relationships have not been modelled.</w:t>
      </w:r>
      <w:r w:rsidRPr="00027624" w:rsidDel="005541D7">
        <w:t xml:space="preserve"> </w:t>
      </w:r>
      <w:r w:rsidRPr="00027624">
        <w:t>The results presented are designed to provide insight into the first</w:t>
      </w:r>
      <w:r w:rsidR="00A8443E" w:rsidRPr="00027624">
        <w:noBreakHyphen/>
      </w:r>
      <w:r w:rsidRPr="00027624">
        <w:t>order effects of alternative assumptions.</w:t>
      </w:r>
      <w:r w:rsidRPr="00027624">
        <w:rPr>
          <w:rStyle w:val="FootnoteReference"/>
        </w:rPr>
        <w:footnoteReference w:id="263"/>
      </w:r>
    </w:p>
    <w:p w14:paraId="0011CE31" w14:textId="7765DB5D" w:rsidR="002A2FAE" w:rsidRPr="00027624" w:rsidRDefault="002A2FAE" w:rsidP="002A2FAE">
      <w:r w:rsidRPr="00027624">
        <w:t xml:space="preserve">More detail and results from these scenarios can be found in </w:t>
      </w:r>
      <w:r w:rsidRPr="00027624">
        <w:rPr>
          <w:i/>
        </w:rPr>
        <w:fldChar w:fldCharType="begin"/>
      </w:r>
      <w:r w:rsidRPr="00027624">
        <w:rPr>
          <w:i/>
        </w:rPr>
        <w:instrText xml:space="preserve"> REF _Ref42527972 \h  \* MERGEFORMAT </w:instrText>
      </w:r>
      <w:r w:rsidRPr="00027624">
        <w:rPr>
          <w:i/>
        </w:rPr>
      </w:r>
      <w:r w:rsidRPr="00027624">
        <w:rPr>
          <w:i/>
        </w:rPr>
        <w:fldChar w:fldCharType="separate"/>
      </w:r>
      <w:r w:rsidR="00891058" w:rsidRPr="00027624">
        <w:rPr>
          <w:i/>
        </w:rPr>
        <w:t>Annex — scenario analysis</w:t>
      </w:r>
      <w:r w:rsidRPr="00027624">
        <w:rPr>
          <w:i/>
        </w:rPr>
        <w:fldChar w:fldCharType="end"/>
      </w:r>
      <w:r w:rsidRPr="00027624">
        <w:t>.</w:t>
      </w:r>
    </w:p>
    <w:p w14:paraId="461FE83F" w14:textId="77777777" w:rsidR="002A2FAE" w:rsidRPr="00027624" w:rsidRDefault="002A2FAE" w:rsidP="002A2FAE">
      <w:pPr>
        <w:pStyle w:val="Heading3"/>
      </w:pPr>
      <w:r w:rsidRPr="00027624">
        <w:t>Lower earnings</w:t>
      </w:r>
    </w:p>
    <w:p w14:paraId="511D8670" w14:textId="77777777" w:rsidR="002A2FAE" w:rsidRPr="00027624" w:rsidRDefault="002A2FAE" w:rsidP="002A2FAE">
      <w:r w:rsidRPr="00027624">
        <w:t>The lower earnings scenario assumes superannuation earnings are one percentage point lower across all asset classes than assumed in the baseline.</w:t>
      </w:r>
    </w:p>
    <w:p w14:paraId="74BB5E16" w14:textId="49378C01" w:rsidR="002A2FAE" w:rsidRPr="00027624" w:rsidRDefault="002A2FAE" w:rsidP="002A2FAE">
      <w:r w:rsidRPr="00027624">
        <w:t>Lower earnings are projected to lead to lower superannuation balances and therefore higher Age Pension expenditure. While higher Age Pension payments partially offset the impact of lower superannuation balances for lower and median percentiles,</w:t>
      </w:r>
      <w:r w:rsidRPr="00027624">
        <w:rPr>
          <w:rStyle w:val="FootnoteReference"/>
        </w:rPr>
        <w:footnoteReference w:id="264"/>
      </w:r>
      <w:r w:rsidRPr="00027624">
        <w:t xml:space="preserve"> average retirement incomes fall across the population (</w:t>
      </w:r>
      <w:r w:rsidRPr="00027624">
        <w:fldChar w:fldCharType="begin"/>
      </w:r>
      <w:r w:rsidRPr="00027624">
        <w:instrText xml:space="preserve"> REF _Ref40971924 \r \h  \* MERGEFORMAT </w:instrText>
      </w:r>
      <w:r w:rsidRPr="00027624">
        <w:fldChar w:fldCharType="separate"/>
      </w:r>
      <w:r w:rsidR="00891058">
        <w:t>Chart 4A-24</w:t>
      </w:r>
      <w:r w:rsidRPr="00027624">
        <w:fldChar w:fldCharType="end"/>
      </w:r>
      <w:r w:rsidRPr="00027624">
        <w:t>).</w:t>
      </w:r>
    </w:p>
    <w:p w14:paraId="5315654E" w14:textId="77777777" w:rsidR="002A2FAE" w:rsidRPr="00027624" w:rsidRDefault="002A2FAE" w:rsidP="00FC7361">
      <w:pPr>
        <w:pStyle w:val="ChartMainHeading"/>
        <w:numPr>
          <w:ilvl w:val="2"/>
          <w:numId w:val="28"/>
        </w:numPr>
      </w:pPr>
      <w:bookmarkStart w:id="4072" w:name="_Ref40971924"/>
      <w:r w:rsidRPr="00027624">
        <w:t>Projected effect of lower earnings</w:t>
      </w:r>
      <w:bookmarkEnd w:id="4072"/>
    </w:p>
    <w:tbl>
      <w:tblPr>
        <w:tblStyle w:val="TableGrid"/>
        <w:tblW w:w="9309" w:type="dxa"/>
        <w:tblLook w:val="04A0" w:firstRow="1" w:lastRow="0" w:firstColumn="1" w:lastColumn="0" w:noHBand="0" w:noVBand="1"/>
      </w:tblPr>
      <w:tblGrid>
        <w:gridCol w:w="4752"/>
        <w:gridCol w:w="4716"/>
      </w:tblGrid>
      <w:tr w:rsidR="002A2FAE" w:rsidRPr="00027624" w14:paraId="65060DBD" w14:textId="77777777" w:rsidTr="009423CA">
        <w:trPr>
          <w:trHeight w:val="506"/>
        </w:trPr>
        <w:tc>
          <w:tcPr>
            <w:tcW w:w="4672" w:type="dxa"/>
            <w:shd w:val="clear" w:color="auto" w:fill="auto"/>
          </w:tcPr>
          <w:p w14:paraId="76DC5027" w14:textId="77777777" w:rsidR="002A2FAE" w:rsidRPr="00027624" w:rsidRDefault="002A2FAE" w:rsidP="002A2FAE">
            <w:pPr>
              <w:pStyle w:val="ChartSecondHeading"/>
            </w:pPr>
            <w:r w:rsidRPr="00027624">
              <w:t>Age Pension spending</w:t>
            </w:r>
          </w:p>
        </w:tc>
        <w:tc>
          <w:tcPr>
            <w:tcW w:w="4637" w:type="dxa"/>
            <w:shd w:val="clear" w:color="auto" w:fill="auto"/>
          </w:tcPr>
          <w:p w14:paraId="7CFBDACE" w14:textId="77777777" w:rsidR="002A2FAE" w:rsidRPr="00027624" w:rsidRDefault="002A2FAE" w:rsidP="002A2FAE">
            <w:pPr>
              <w:pStyle w:val="ChartSecondHeading"/>
            </w:pPr>
            <w:r w:rsidRPr="00027624">
              <w:t xml:space="preserve">Change in average retirement incomes </w:t>
            </w:r>
            <w:r w:rsidRPr="00027624">
              <w:br/>
              <w:t>(selected percentiles)</w:t>
            </w:r>
          </w:p>
        </w:tc>
      </w:tr>
      <w:tr w:rsidR="002A2FAE" w:rsidRPr="00027624" w14:paraId="6D0201C3" w14:textId="77777777" w:rsidTr="009423CA">
        <w:trPr>
          <w:trHeight w:val="4532"/>
        </w:trPr>
        <w:tc>
          <w:tcPr>
            <w:tcW w:w="4672" w:type="dxa"/>
            <w:shd w:val="clear" w:color="auto" w:fill="auto"/>
          </w:tcPr>
          <w:p w14:paraId="344A0412" w14:textId="77777777" w:rsidR="002A2FAE" w:rsidRPr="00027624" w:rsidRDefault="009423CA" w:rsidP="002A2FAE">
            <w:pPr>
              <w:pStyle w:val="ChartGraphic"/>
            </w:pPr>
            <w:r>
              <w:rPr>
                <w:noProof/>
              </w:rPr>
              <w:drawing>
                <wp:inline distT="0" distB="0" distL="0" distR="0" wp14:anchorId="07D655C0" wp14:editId="44A46C35">
                  <wp:extent cx="2880360" cy="2887980"/>
                  <wp:effectExtent l="0" t="0" r="0" b="7620"/>
                  <wp:docPr id="11" name="Picture 11" descr="This charts show the effect on projections of a lower earnings on superannuation scenario. Chart one shows Age Pension spending increases over the baseline projection." title="Chart 4A-24 Projected effect of lower earnings – Age Pension s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tc>
        <w:tc>
          <w:tcPr>
            <w:tcW w:w="4637" w:type="dxa"/>
            <w:shd w:val="clear" w:color="auto" w:fill="auto"/>
          </w:tcPr>
          <w:p w14:paraId="168AFC69" w14:textId="77777777" w:rsidR="002A2FAE" w:rsidRPr="00027624" w:rsidRDefault="009423CA" w:rsidP="002A2FAE">
            <w:pPr>
              <w:pStyle w:val="ChartGraphic"/>
              <w:jc w:val="right"/>
            </w:pPr>
            <w:r>
              <w:rPr>
                <w:noProof/>
              </w:rPr>
              <w:drawing>
                <wp:inline distT="0" distB="0" distL="0" distR="0" wp14:anchorId="72D815B3" wp14:editId="66C57C2C">
                  <wp:extent cx="2857500" cy="2880360"/>
                  <wp:effectExtent l="0" t="0" r="0" b="0"/>
                  <wp:docPr id="22" name="Picture 22" descr="This chart shows the effect on individual retirement incomes. The negative effect on retirement incomes increases the higher the working life income of the person." title="Chart 4A-24 Projected effect of lower earnings – Change in average retirement incomes (selected percen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857500" cy="2880360"/>
                          </a:xfrm>
                          <a:prstGeom prst="rect">
                            <a:avLst/>
                          </a:prstGeom>
                          <a:noFill/>
                        </pic:spPr>
                      </pic:pic>
                    </a:graphicData>
                  </a:graphic>
                </wp:inline>
              </w:drawing>
            </w:r>
          </w:p>
        </w:tc>
      </w:tr>
    </w:tbl>
    <w:p w14:paraId="010A89D5" w14:textId="77777777" w:rsidR="002A2FAE" w:rsidRPr="00027624" w:rsidRDefault="002A2FAE" w:rsidP="002A2FAE">
      <w:pPr>
        <w:pStyle w:val="ChartorTableNote"/>
      </w:pPr>
      <w:r w:rsidRPr="00027624">
        <w:t>Source: Analysis of Rice Warner estimates for the review.</w:t>
      </w:r>
    </w:p>
    <w:p w14:paraId="0C566AC0" w14:textId="77777777" w:rsidR="002A2FAE" w:rsidRPr="00027624" w:rsidRDefault="002A2FAE" w:rsidP="002A2FAE">
      <w:pPr>
        <w:pStyle w:val="Heading3"/>
      </w:pPr>
      <w:r w:rsidRPr="00027624">
        <w:lastRenderedPageBreak/>
        <w:t>Lower wages growth</w:t>
      </w:r>
    </w:p>
    <w:p w14:paraId="6A4A0E55" w14:textId="77777777" w:rsidR="002A2FAE" w:rsidRPr="00027624" w:rsidRDefault="002A2FAE" w:rsidP="002A2FAE">
      <w:r w:rsidRPr="00027624">
        <w:t>This scenario assesses the impact of wages growing at 2.5 per cent, instead of the baseline assumption of 3.5 per cent.</w:t>
      </w:r>
    </w:p>
    <w:p w14:paraId="3614BC44" w14:textId="4E6AB836" w:rsidR="002A2FAE" w:rsidRPr="00027624" w:rsidRDefault="002A2FAE" w:rsidP="002A2FAE">
      <w:r w:rsidRPr="00027624">
        <w:t>As with lower earnings, lower wages are projected to lead to lower superannuation balances, higher Age Pension expenditure and lower retirement incomes (</w:t>
      </w:r>
      <w:r w:rsidRPr="00027624">
        <w:fldChar w:fldCharType="begin"/>
      </w:r>
      <w:r w:rsidRPr="00027624">
        <w:instrText xml:space="preserve"> REF _Ref40971962 \r \h  \* MERGEFORMAT </w:instrText>
      </w:r>
      <w:r w:rsidRPr="00027624">
        <w:fldChar w:fldCharType="separate"/>
      </w:r>
      <w:r w:rsidR="00891058">
        <w:t>Chart 4A-25</w:t>
      </w:r>
      <w:r w:rsidRPr="00027624">
        <w:fldChar w:fldCharType="end"/>
      </w:r>
      <w:r w:rsidRPr="00027624">
        <w:t>). However, the impact of lower wages is more gradual than that of lower earnings, as lower wages lead to lower contributions, which take time to feed through to retirement outcomes.</w:t>
      </w:r>
    </w:p>
    <w:p w14:paraId="548755B8" w14:textId="77777777" w:rsidR="002A2FAE" w:rsidRPr="00027624" w:rsidRDefault="002A2FAE" w:rsidP="00FC7361">
      <w:pPr>
        <w:pStyle w:val="ChartMainHeading"/>
        <w:numPr>
          <w:ilvl w:val="2"/>
          <w:numId w:val="28"/>
        </w:numPr>
      </w:pPr>
      <w:bookmarkStart w:id="4073" w:name="_Ref40971962"/>
      <w:r w:rsidRPr="00027624">
        <w:t>Projected effect of lower wages</w:t>
      </w:r>
      <w:bookmarkEnd w:id="4073"/>
    </w:p>
    <w:tbl>
      <w:tblPr>
        <w:tblStyle w:val="TableGrid"/>
        <w:tblW w:w="0" w:type="auto"/>
        <w:tblLook w:val="04A0" w:firstRow="1" w:lastRow="0" w:firstColumn="1" w:lastColumn="0" w:noHBand="0" w:noVBand="1"/>
      </w:tblPr>
      <w:tblGrid>
        <w:gridCol w:w="4535"/>
        <w:gridCol w:w="4535"/>
      </w:tblGrid>
      <w:tr w:rsidR="002A2FAE" w:rsidRPr="00027624" w14:paraId="6CB81215" w14:textId="77777777" w:rsidTr="002A2FAE">
        <w:tc>
          <w:tcPr>
            <w:tcW w:w="4536" w:type="dxa"/>
            <w:shd w:val="clear" w:color="auto" w:fill="auto"/>
          </w:tcPr>
          <w:p w14:paraId="66F04597" w14:textId="77777777" w:rsidR="002A2FAE" w:rsidRPr="00027624" w:rsidRDefault="002A2FAE" w:rsidP="002A2FAE">
            <w:pPr>
              <w:pStyle w:val="ChartSecondHeading"/>
            </w:pPr>
            <w:r w:rsidRPr="00027624">
              <w:t xml:space="preserve">Age Pension spending </w:t>
            </w:r>
          </w:p>
        </w:tc>
        <w:tc>
          <w:tcPr>
            <w:tcW w:w="4536" w:type="dxa"/>
            <w:shd w:val="clear" w:color="auto" w:fill="auto"/>
          </w:tcPr>
          <w:p w14:paraId="2AAA9237" w14:textId="77777777" w:rsidR="002A2FAE" w:rsidRPr="00027624" w:rsidRDefault="002A2FAE" w:rsidP="002A2FAE">
            <w:pPr>
              <w:pStyle w:val="ChartSecondHeading"/>
            </w:pPr>
            <w:r w:rsidRPr="00027624">
              <w:t>Change in average retirement incomes</w:t>
            </w:r>
            <w:r w:rsidRPr="00027624">
              <w:br/>
              <w:t>(selected percentiles)</w:t>
            </w:r>
          </w:p>
        </w:tc>
      </w:tr>
    </w:tbl>
    <w:p w14:paraId="6C9AA21E" w14:textId="77777777" w:rsidR="002A2FAE" w:rsidRPr="00027624" w:rsidRDefault="009423CA" w:rsidP="002A2FAE">
      <w:pPr>
        <w:pStyle w:val="ChartGraphic"/>
        <w:jc w:val="both"/>
      </w:pPr>
      <w:r>
        <w:rPr>
          <w:noProof/>
        </w:rPr>
        <w:drawing>
          <wp:inline distT="0" distB="0" distL="0" distR="0" wp14:anchorId="41397F79" wp14:editId="55DC167A">
            <wp:extent cx="2851860" cy="2859405"/>
            <wp:effectExtent l="0" t="0" r="5715" b="0"/>
            <wp:docPr id="23" name="Picture 23" descr="This chart shows that under a lower wage scenario, Age Pension spending increases over time relative to the baseline scenario." title="Chart 4A-25 Projected effect of lower wages - Age Pension s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853113" cy="2860661"/>
                    </a:xfrm>
                    <a:prstGeom prst="rect">
                      <a:avLst/>
                    </a:prstGeom>
                    <a:noFill/>
                  </pic:spPr>
                </pic:pic>
              </a:graphicData>
            </a:graphic>
          </wp:inline>
        </w:drawing>
      </w:r>
      <w:r>
        <w:rPr>
          <w:noProof/>
        </w:rPr>
        <w:drawing>
          <wp:inline distT="0" distB="0" distL="0" distR="0" wp14:anchorId="77573822" wp14:editId="68116D2E">
            <wp:extent cx="2857500" cy="2849960"/>
            <wp:effectExtent l="0" t="0" r="0" b="7620"/>
            <wp:docPr id="24" name="Picture 24" descr="This chart shows that under a lower wage scenario overall retirement income is lower. The effect is more pronounced for higher income earners." title="Chart 4A-25 Projected effect of lower wages - Change in average retirement incomes (selected percen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857500" cy="2849960"/>
                    </a:xfrm>
                    <a:prstGeom prst="rect">
                      <a:avLst/>
                    </a:prstGeom>
                    <a:noFill/>
                  </pic:spPr>
                </pic:pic>
              </a:graphicData>
            </a:graphic>
          </wp:inline>
        </w:drawing>
      </w:r>
    </w:p>
    <w:p w14:paraId="034A47B9" w14:textId="77777777" w:rsidR="002A2FAE" w:rsidRPr="00027624" w:rsidRDefault="002A2FAE" w:rsidP="002A2FAE">
      <w:pPr>
        <w:pStyle w:val="ChartorTableNote"/>
      </w:pPr>
      <w:r w:rsidRPr="00027624">
        <w:t>Source: Analysis of Rice Warner estimates for the review.</w:t>
      </w:r>
    </w:p>
    <w:p w14:paraId="53AE2A32" w14:textId="77777777" w:rsidR="002A2FAE" w:rsidRPr="00027624" w:rsidRDefault="002A2FAE" w:rsidP="002A2FAE">
      <w:r w:rsidRPr="00027624">
        <w:t>In this scenario, the growth in Age Pension expenditure is partially offset by the fact the lower wages assumption also affects the Age Pension indexation. With lower wages growth, growth in the maximum payment rate of Age Pension is also subdued.</w:t>
      </w:r>
    </w:p>
    <w:p w14:paraId="5B959D87" w14:textId="77777777" w:rsidR="002A2FAE" w:rsidRPr="00027624" w:rsidRDefault="002A2FAE" w:rsidP="002A2FAE">
      <w:r w:rsidRPr="00027624">
        <w:t>More broadly, lower wages do not materially impact replacement rates, given lower wages decrease living standards across both working life and retirement.</w:t>
      </w:r>
    </w:p>
    <w:p w14:paraId="15C91AF6" w14:textId="77777777" w:rsidR="002A2FAE" w:rsidRPr="00027624" w:rsidRDefault="002A2FAE" w:rsidP="002A2FAE">
      <w:pPr>
        <w:pStyle w:val="Heading3"/>
      </w:pPr>
      <w:r w:rsidRPr="00027624">
        <w:t>Lower fees</w:t>
      </w:r>
    </w:p>
    <w:p w14:paraId="5F1C1DD1" w14:textId="77777777" w:rsidR="002A2FAE" w:rsidRPr="00027624" w:rsidRDefault="002A2FAE" w:rsidP="002A2FAE">
      <w:r w:rsidRPr="00027624">
        <w:t>This scenario considers a situation where both fixed and percentage of asset</w:t>
      </w:r>
      <w:r w:rsidR="00A8443E" w:rsidRPr="00027624">
        <w:noBreakHyphen/>
      </w:r>
      <w:r w:rsidRPr="00027624">
        <w:t>based fees are reduced to the lowest fees of a particular sector (industry, retail and corporate), reflecting faster than expected consolidation and stronger competition within each sector. In aggregate, this leads to fees reducing to 0.53 per cent of system assets by 2059, rather than 0.64 per cent in the baseline.</w:t>
      </w:r>
    </w:p>
    <w:p w14:paraId="54B0BB95" w14:textId="31111FF4" w:rsidR="002A2FAE" w:rsidRPr="00027624" w:rsidRDefault="002A2FAE" w:rsidP="002A2FAE">
      <w:r w:rsidRPr="00027624">
        <w:t>Lower fees are projected to slightly reduce Age Pension expenditure as a percentage of GDP and improve retirement incomes across the population (</w:t>
      </w:r>
      <w:r w:rsidRPr="00027624">
        <w:fldChar w:fldCharType="begin"/>
      </w:r>
      <w:r w:rsidRPr="00027624">
        <w:instrText xml:space="preserve"> REF _Ref40972027 \r \h  \* MERGEFORMAT </w:instrText>
      </w:r>
      <w:r w:rsidRPr="00027624">
        <w:fldChar w:fldCharType="separate"/>
      </w:r>
      <w:r w:rsidR="00891058">
        <w:t>Chart 4A-26</w:t>
      </w:r>
      <w:r w:rsidRPr="00027624">
        <w:fldChar w:fldCharType="end"/>
      </w:r>
      <w:r w:rsidRPr="00027624">
        <w:t>). The effect of lower fees on overall retirement incomes is smaller than the effect on balances at retirement (the latter detailed by the Productivity Commission</w:t>
      </w:r>
      <w:sdt>
        <w:sdtPr>
          <w:id w:val="-1765220385"/>
          <w:citation/>
        </w:sdtPr>
        <w:sdtEndPr/>
        <w:sdtContent>
          <w:r w:rsidRPr="00027624">
            <w:fldChar w:fldCharType="begin"/>
          </w:r>
          <w:r w:rsidRPr="00027624">
            <w:instrText xml:space="preserve">CITATION Pro18 \n  \t  \l 3081 </w:instrText>
          </w:r>
          <w:r w:rsidRPr="00027624">
            <w:fldChar w:fldCharType="separate"/>
          </w:r>
          <w:r w:rsidR="00E83F6E">
            <w:rPr>
              <w:noProof/>
            </w:rPr>
            <w:t xml:space="preserve"> (2018a)</w:t>
          </w:r>
          <w:r w:rsidRPr="00027624">
            <w:fldChar w:fldCharType="end"/>
          </w:r>
        </w:sdtContent>
      </w:sdt>
      <w:r w:rsidRPr="00027624">
        <w:t>). This is because the latter does not account for the offsetting impact of the Age Pension.</w:t>
      </w:r>
    </w:p>
    <w:p w14:paraId="1B19291C" w14:textId="77777777" w:rsidR="002A2FAE" w:rsidRPr="00027624" w:rsidRDefault="002A2FAE" w:rsidP="00FC7361">
      <w:pPr>
        <w:pStyle w:val="ChartMainHeading"/>
        <w:numPr>
          <w:ilvl w:val="2"/>
          <w:numId w:val="28"/>
        </w:numPr>
      </w:pPr>
      <w:bookmarkStart w:id="4074" w:name="_Ref40972027"/>
      <w:r w:rsidRPr="00027624">
        <w:rPr>
          <w:noProof/>
        </w:rPr>
        <w:lastRenderedPageBreak/>
        <w:t>Projected effect of lower fees</w:t>
      </w:r>
      <w:bookmarkEnd w:id="4074"/>
    </w:p>
    <w:tbl>
      <w:tblPr>
        <w:tblStyle w:val="TableGrid"/>
        <w:tblW w:w="0" w:type="auto"/>
        <w:tblLook w:val="04A0" w:firstRow="1" w:lastRow="0" w:firstColumn="1" w:lastColumn="0" w:noHBand="0" w:noVBand="1"/>
      </w:tblPr>
      <w:tblGrid>
        <w:gridCol w:w="4535"/>
        <w:gridCol w:w="4535"/>
      </w:tblGrid>
      <w:tr w:rsidR="002A2FAE" w:rsidRPr="00027624" w14:paraId="674506F1" w14:textId="77777777" w:rsidTr="002A2FAE">
        <w:tc>
          <w:tcPr>
            <w:tcW w:w="4536" w:type="dxa"/>
            <w:shd w:val="clear" w:color="auto" w:fill="auto"/>
          </w:tcPr>
          <w:p w14:paraId="2F4AD2D1" w14:textId="77777777" w:rsidR="002A2FAE" w:rsidRPr="00027624" w:rsidRDefault="002A2FAE" w:rsidP="002A2FAE">
            <w:pPr>
              <w:pStyle w:val="ChartSecondHeading"/>
            </w:pPr>
            <w:r w:rsidRPr="00027624">
              <w:t>Age Pension spending</w:t>
            </w:r>
          </w:p>
        </w:tc>
        <w:tc>
          <w:tcPr>
            <w:tcW w:w="4536" w:type="dxa"/>
            <w:shd w:val="clear" w:color="auto" w:fill="auto"/>
          </w:tcPr>
          <w:p w14:paraId="648665E1" w14:textId="77777777" w:rsidR="002A2FAE" w:rsidRPr="00027624" w:rsidRDefault="002A2FAE" w:rsidP="002A2FAE">
            <w:pPr>
              <w:pStyle w:val="ChartSecondHeading"/>
            </w:pPr>
            <w:r w:rsidRPr="00027624">
              <w:t>Change in average retirement incomes</w:t>
            </w:r>
          </w:p>
          <w:p w14:paraId="12FF4D4C" w14:textId="77777777" w:rsidR="002A2FAE" w:rsidRPr="00027624" w:rsidRDefault="002A2FAE" w:rsidP="002A2FAE">
            <w:pPr>
              <w:pStyle w:val="ChartSecondHeading"/>
            </w:pPr>
            <w:r w:rsidRPr="00027624">
              <w:t>(selected percentiles)</w:t>
            </w:r>
          </w:p>
        </w:tc>
      </w:tr>
    </w:tbl>
    <w:p w14:paraId="5E283D71" w14:textId="77777777" w:rsidR="002A2FAE" w:rsidRPr="00027624" w:rsidRDefault="00033F2F" w:rsidP="002A2FAE">
      <w:pPr>
        <w:pStyle w:val="ChartGraphic"/>
      </w:pPr>
      <w:r>
        <w:rPr>
          <w:noProof/>
        </w:rPr>
        <w:drawing>
          <wp:inline distT="0" distB="0" distL="0" distR="0" wp14:anchorId="7F966F39" wp14:editId="4935E507">
            <wp:extent cx="2857500" cy="2887980"/>
            <wp:effectExtent l="0" t="0" r="0" b="7620"/>
            <wp:docPr id="25" name="Picture 25" descr="This chart shows that under a lower fees scenario, there is a small decrease in Age Pension expenditure relative to the baseline scenario" title="Chart 4A-26 Projected effect of lower fees - Age Pension s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857500" cy="2887980"/>
                    </a:xfrm>
                    <a:prstGeom prst="rect">
                      <a:avLst/>
                    </a:prstGeom>
                    <a:noFill/>
                  </pic:spPr>
                </pic:pic>
              </a:graphicData>
            </a:graphic>
          </wp:inline>
        </w:drawing>
      </w:r>
      <w:r>
        <w:rPr>
          <w:noProof/>
        </w:rPr>
        <w:drawing>
          <wp:inline distT="0" distB="0" distL="0" distR="0" wp14:anchorId="33A0192E" wp14:editId="1FF2D92C">
            <wp:extent cx="2880360" cy="2887980"/>
            <wp:effectExtent l="0" t="0" r="0" b="7620"/>
            <wp:docPr id="26" name="Picture 26" descr="This chart shows that under a lower fees scenario, retirement income is projected to be higher relative to the baseline scenario." title="Chart 4A-26 Projected effect of lower fees - Change in average retirement incomes (selected percen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p w14:paraId="48C9F57C" w14:textId="77777777" w:rsidR="002A2FAE" w:rsidRPr="00027624" w:rsidRDefault="002A2FAE" w:rsidP="002A2FAE">
      <w:pPr>
        <w:pStyle w:val="ChartorTableNote"/>
      </w:pPr>
      <w:r w:rsidRPr="00027624">
        <w:t>Source: Analysis of Rice Warner estimates for the review.</w:t>
      </w:r>
    </w:p>
    <w:p w14:paraId="06DB834C" w14:textId="77777777" w:rsidR="002A2FAE" w:rsidRPr="00027624" w:rsidRDefault="002A2FAE" w:rsidP="002A2FAE">
      <w:pPr>
        <w:pStyle w:val="Heading2"/>
      </w:pPr>
      <w:bookmarkStart w:id="4075" w:name="_Toc45520544"/>
      <w:bookmarkStart w:id="4076" w:name="_Toc46133656"/>
      <w:r w:rsidRPr="00027624">
        <w:t>Public confidence</w:t>
      </w:r>
      <w:bookmarkEnd w:id="4075"/>
      <w:bookmarkEnd w:id="4076"/>
    </w:p>
    <w:p w14:paraId="2E48A7A5" w14:textId="77777777" w:rsidR="002A2FAE" w:rsidRPr="00027624" w:rsidRDefault="002A2FAE" w:rsidP="002A2FAE">
      <w:r w:rsidRPr="00027624">
        <w:t xml:space="preserve">The public has to have confidence in the retirement income system for it to be sustainable. </w:t>
      </w:r>
      <w:r w:rsidRPr="00027624">
        <w:rPr>
          <w:rFonts w:eastAsiaTheme="minorEastAsia"/>
        </w:rPr>
        <w:t>Public confidence is shaped by people</w:t>
      </w:r>
      <w:r w:rsidR="00A8443E" w:rsidRPr="00027624">
        <w:rPr>
          <w:rFonts w:eastAsiaTheme="minorEastAsia"/>
        </w:rPr>
        <w:t>’</w:t>
      </w:r>
      <w:r w:rsidRPr="00027624">
        <w:rPr>
          <w:rFonts w:eastAsiaTheme="minorEastAsia"/>
        </w:rPr>
        <w:t>s beliefs about whether the system will both deliver an adequate retirement income for them and generate adequate outcomes across society.</w:t>
      </w:r>
    </w:p>
    <w:p w14:paraId="34541EC9" w14:textId="77777777" w:rsidR="002A2FAE" w:rsidRPr="00027624" w:rsidRDefault="002A2FAE" w:rsidP="002A2FAE">
      <w:r w:rsidRPr="00027624">
        <w:t>Public confidence can be undermined by poor system integrity or by people experiencing, expecting or perceiving poor outcomes or uncertainty in policy settings. A lack of public confidence that policy settings are delivering on expectations could lead to public demands for reform.</w:t>
      </w:r>
    </w:p>
    <w:p w14:paraId="1A2DE78E" w14:textId="77777777" w:rsidR="002A2FAE" w:rsidRPr="00027624" w:rsidRDefault="002A2FAE" w:rsidP="002A2FAE">
      <w:pPr>
        <w:pStyle w:val="Heading3"/>
        <w:rPr>
          <w:rFonts w:eastAsiaTheme="minorHAnsi"/>
        </w:rPr>
      </w:pPr>
      <w:r w:rsidRPr="00027624">
        <w:rPr>
          <w:rFonts w:eastAsia="Calibri"/>
        </w:rPr>
        <w:t>System integrity</w:t>
      </w:r>
    </w:p>
    <w:p w14:paraId="6E18E097" w14:textId="77777777" w:rsidR="002A2FAE" w:rsidRPr="00027624" w:rsidRDefault="002A2FAE" w:rsidP="002A2FAE">
      <w:pPr>
        <w:rPr>
          <w:rFonts w:eastAsia="Calibri" w:cs="Calibri"/>
        </w:rPr>
      </w:pPr>
      <w:r w:rsidRPr="00027624">
        <w:rPr>
          <w:rFonts w:eastAsia="Calibri"/>
        </w:rPr>
        <w:t>Concerns about the</w:t>
      </w:r>
      <w:r w:rsidRPr="00027624">
        <w:t xml:space="preserve"> integri</w:t>
      </w:r>
      <w:r w:rsidRPr="00027624">
        <w:rPr>
          <w:rFonts w:eastAsia="Calibri" w:cs="Calibri"/>
        </w:rPr>
        <w:t xml:space="preserve">ty of the retirement income system can undermine public confidence. Integrity and governance failures identified over the past decade include </w:t>
      </w:r>
      <w:r w:rsidR="00A8443E" w:rsidRPr="00027624">
        <w:rPr>
          <w:rFonts w:eastAsia="Calibri" w:cs="Calibri"/>
        </w:rPr>
        <w:t>‘</w:t>
      </w:r>
      <w:r w:rsidRPr="00027624">
        <w:rPr>
          <w:rFonts w:eastAsia="Calibri" w:cs="Calibri"/>
        </w:rPr>
        <w:t>fees for no service</w:t>
      </w:r>
      <w:r w:rsidR="00A8443E" w:rsidRPr="00027624">
        <w:rPr>
          <w:rFonts w:eastAsia="Calibri" w:cs="Calibri"/>
        </w:rPr>
        <w:t>’</w:t>
      </w:r>
      <w:r w:rsidRPr="00027624">
        <w:rPr>
          <w:rFonts w:eastAsia="Calibri" w:cs="Calibri"/>
        </w:rPr>
        <w:t>, misconduct by superannuation trustees and non</w:t>
      </w:r>
      <w:r w:rsidR="00A8443E" w:rsidRPr="00027624">
        <w:rPr>
          <w:rFonts w:eastAsia="Calibri" w:cs="Calibri"/>
        </w:rPr>
        <w:noBreakHyphen/>
      </w:r>
      <w:r w:rsidRPr="00027624">
        <w:rPr>
          <w:rFonts w:eastAsia="Calibri" w:cs="Calibri"/>
        </w:rPr>
        <w:t xml:space="preserve">payment of superannuation by employers. Concerns have led to numerous inquiries and investigations, including the </w:t>
      </w:r>
      <w:r w:rsidRPr="00027624">
        <w:rPr>
          <w:rFonts w:eastAsia="Calibri" w:cs="Calibri"/>
          <w:i/>
        </w:rPr>
        <w:t>Royal Commission into Misconduct in the Banking, Superannuation and Financial Service Industries</w:t>
      </w:r>
      <w:r w:rsidRPr="00027624">
        <w:rPr>
          <w:rFonts w:eastAsia="Calibri" w:cs="Calibri"/>
          <w:iCs/>
        </w:rPr>
        <w:t xml:space="preserve"> </w:t>
      </w:r>
      <w:r w:rsidRPr="00027624">
        <w:rPr>
          <w:rFonts w:eastAsia="Calibri" w:cs="Calibri"/>
        </w:rPr>
        <w:t>(Hayne Royal Commission)</w:t>
      </w:r>
      <w:r w:rsidRPr="00027624">
        <w:rPr>
          <w:rFonts w:eastAsia="Calibri"/>
        </w:rPr>
        <w:t>.</w:t>
      </w:r>
    </w:p>
    <w:p w14:paraId="4B6CEEED" w14:textId="77777777" w:rsidR="002A2FAE" w:rsidRPr="00027624" w:rsidRDefault="002A2FAE" w:rsidP="002A2FAE">
      <w:pPr>
        <w:rPr>
          <w:rFonts w:eastAsia="Calibri" w:cs="Calibri"/>
        </w:rPr>
      </w:pPr>
      <w:r w:rsidRPr="00027624">
        <w:rPr>
          <w:rFonts w:eastAsia="Calibri" w:cs="Calibri"/>
        </w:rPr>
        <w:t>The Hayne Royal Commission report</w:t>
      </w:r>
      <w:sdt>
        <w:sdtPr>
          <w:rPr>
            <w:rFonts w:eastAsia="Calibri"/>
          </w:rPr>
          <w:id w:val="211314479"/>
          <w:citation/>
        </w:sdtPr>
        <w:sdtEndPr/>
        <w:sdtContent>
          <w:r w:rsidRPr="00027624">
            <w:rPr>
              <w:rFonts w:eastAsia="Calibri"/>
            </w:rPr>
            <w:fldChar w:fldCharType="begin"/>
          </w:r>
          <w:r w:rsidRPr="00027624">
            <w:rPr>
              <w:rFonts w:eastAsia="Calibri"/>
            </w:rPr>
            <w:instrText xml:space="preserve">CITATION Hay19 \n  \t  \l 3081 </w:instrText>
          </w:r>
          <w:r w:rsidRPr="00027624">
            <w:rPr>
              <w:rFonts w:eastAsia="Calibri"/>
            </w:rPr>
            <w:fldChar w:fldCharType="separate"/>
          </w:r>
          <w:r w:rsidR="00E83F6E">
            <w:rPr>
              <w:rFonts w:eastAsia="Calibri"/>
              <w:noProof/>
            </w:rPr>
            <w:t xml:space="preserve"> </w:t>
          </w:r>
          <w:r w:rsidR="00E83F6E" w:rsidRPr="00E83F6E">
            <w:rPr>
              <w:rFonts w:eastAsia="Calibri"/>
              <w:noProof/>
            </w:rPr>
            <w:t>(2019)</w:t>
          </w:r>
          <w:r w:rsidRPr="00027624">
            <w:rPr>
              <w:rFonts w:eastAsia="Calibri"/>
            </w:rPr>
            <w:fldChar w:fldCharType="end"/>
          </w:r>
        </w:sdtContent>
      </w:sdt>
      <w:r w:rsidRPr="00027624">
        <w:rPr>
          <w:rFonts w:eastAsia="Calibri" w:cs="Calibri"/>
        </w:rPr>
        <w:t xml:space="preserve"> and the Productivity Commission report </w:t>
      </w:r>
      <w:sdt>
        <w:sdtPr>
          <w:rPr>
            <w:rFonts w:eastAsia="Calibri"/>
          </w:rPr>
          <w:id w:val="-1148520461"/>
          <w:citation/>
        </w:sdtPr>
        <w:sdtEndPr/>
        <w:sdtContent>
          <w:r w:rsidRPr="00027624">
            <w:rPr>
              <w:rFonts w:eastAsia="Calibri"/>
            </w:rPr>
            <w:fldChar w:fldCharType="begin"/>
          </w:r>
          <w:r w:rsidRPr="00027624">
            <w:rPr>
              <w:rFonts w:eastAsia="Calibri"/>
            </w:rPr>
            <w:instrText xml:space="preserve">CITATION Pro18 \n  \t  \l 3081 </w:instrText>
          </w:r>
          <w:r w:rsidRPr="00027624">
            <w:rPr>
              <w:rFonts w:eastAsia="Calibri"/>
            </w:rPr>
            <w:fldChar w:fldCharType="separate"/>
          </w:r>
          <w:r w:rsidR="00E83F6E" w:rsidRPr="00E83F6E">
            <w:rPr>
              <w:rFonts w:eastAsia="Calibri"/>
              <w:noProof/>
            </w:rPr>
            <w:t>(2018a)</w:t>
          </w:r>
          <w:r w:rsidRPr="00027624">
            <w:rPr>
              <w:rFonts w:eastAsia="Calibri"/>
            </w:rPr>
            <w:fldChar w:fldCharType="end"/>
          </w:r>
        </w:sdtContent>
      </w:sdt>
      <w:r w:rsidRPr="00027624">
        <w:rPr>
          <w:rFonts w:eastAsia="Calibri" w:cs="Calibri"/>
          <w:i/>
        </w:rPr>
        <w:t xml:space="preserve"> </w:t>
      </w:r>
      <w:r w:rsidRPr="00027624">
        <w:rPr>
          <w:rFonts w:eastAsia="Calibri"/>
        </w:rPr>
        <w:t>also questioned the effectiveness of regulators in protecting superannuation members from harm</w:t>
      </w:r>
      <w:r w:rsidRPr="00027624">
        <w:rPr>
          <w:rFonts w:eastAsia="Calibri" w:cs="Calibri"/>
        </w:rPr>
        <w:t xml:space="preserve">. </w:t>
      </w:r>
      <w:r w:rsidRPr="00027624">
        <w:rPr>
          <w:rFonts w:eastAsia="Calibri"/>
        </w:rPr>
        <w:t>The Productivity Commission found a lack of transparency around fees and performance.</w:t>
      </w:r>
    </w:p>
    <w:p w14:paraId="2D16CD7F" w14:textId="77777777" w:rsidR="002A2FAE" w:rsidRPr="00027624" w:rsidRDefault="002A2FAE" w:rsidP="002A2FAE">
      <w:pPr>
        <w:rPr>
          <w:rFonts w:eastAsia="Calibri" w:cs="Calibri"/>
        </w:rPr>
      </w:pPr>
      <w:r w:rsidRPr="00027624">
        <w:rPr>
          <w:rFonts w:eastAsia="Calibri"/>
        </w:rPr>
        <w:t>The period of the Hayne Royal Commission hearings was associated with large flows of funds from retail superannuation funds to industry superannuation funds</w:t>
      </w:r>
      <w:sdt>
        <w:sdtPr>
          <w:rPr>
            <w:rFonts w:eastAsia="Calibri"/>
            <w:noProof/>
          </w:rPr>
          <w:id w:val="1427537763"/>
          <w:citation/>
        </w:sdtPr>
        <w:sdtEndPr/>
        <w:sdtContent>
          <w:r w:rsidRPr="00027624">
            <w:rPr>
              <w:rFonts w:eastAsia="Calibri"/>
              <w:noProof/>
            </w:rPr>
            <w:fldChar w:fldCharType="begin"/>
          </w:r>
          <w:r w:rsidRPr="00027624">
            <w:rPr>
              <w:rFonts w:eastAsia="Calibri"/>
              <w:noProof/>
            </w:rPr>
            <w:instrText xml:space="preserve"> CITATION Ric \l 3081 </w:instrText>
          </w:r>
          <w:r w:rsidRPr="00027624">
            <w:rPr>
              <w:rFonts w:eastAsia="Calibri"/>
              <w:noProof/>
            </w:rPr>
            <w:fldChar w:fldCharType="separate"/>
          </w:r>
          <w:r w:rsidR="00E83F6E">
            <w:rPr>
              <w:rFonts w:eastAsia="Calibri"/>
              <w:noProof/>
            </w:rPr>
            <w:t xml:space="preserve"> </w:t>
          </w:r>
          <w:r w:rsidR="00E83F6E" w:rsidRPr="00E83F6E">
            <w:rPr>
              <w:rFonts w:eastAsia="Calibri"/>
              <w:noProof/>
            </w:rPr>
            <w:t>(Rice Warner, 2018)</w:t>
          </w:r>
          <w:r w:rsidRPr="00027624">
            <w:rPr>
              <w:rFonts w:eastAsia="Calibri"/>
              <w:noProof/>
            </w:rPr>
            <w:fldChar w:fldCharType="end"/>
          </w:r>
        </w:sdtContent>
      </w:sdt>
      <w:r w:rsidRPr="00027624">
        <w:rPr>
          <w:rFonts w:eastAsia="Calibri" w:cs="Calibri"/>
        </w:rPr>
        <w:t xml:space="preserve">. </w:t>
      </w:r>
      <w:r w:rsidRPr="00027624">
        <w:rPr>
          <w:rFonts w:eastAsia="Calibri"/>
        </w:rPr>
        <w:t>For example, $10.9 billion was transferred from retail funds in 2018, up from $3.5 billion in 2017</w:t>
      </w:r>
      <w:sdt>
        <w:sdtPr>
          <w:rPr>
            <w:rFonts w:eastAsia="Calibri"/>
          </w:rPr>
          <w:id w:val="-2015751926"/>
          <w:citation/>
        </w:sdtPr>
        <w:sdtEndPr/>
        <w:sdtContent>
          <w:r w:rsidRPr="00027624">
            <w:rPr>
              <w:rFonts w:eastAsia="Calibri"/>
            </w:rPr>
            <w:fldChar w:fldCharType="begin"/>
          </w:r>
          <w:r w:rsidRPr="00027624">
            <w:rPr>
              <w:rFonts w:eastAsia="Calibri"/>
            </w:rPr>
            <w:instrText xml:space="preserve">CITATION APR18 \l 3081 </w:instrText>
          </w:r>
          <w:r w:rsidRPr="00027624">
            <w:rPr>
              <w:rFonts w:eastAsia="Calibri"/>
            </w:rPr>
            <w:fldChar w:fldCharType="separate"/>
          </w:r>
          <w:r w:rsidR="00E83F6E">
            <w:rPr>
              <w:rFonts w:eastAsia="Calibri"/>
              <w:noProof/>
            </w:rPr>
            <w:t xml:space="preserve"> </w:t>
          </w:r>
          <w:r w:rsidR="00E83F6E" w:rsidRPr="00E83F6E">
            <w:rPr>
              <w:rFonts w:eastAsia="Calibri"/>
              <w:noProof/>
            </w:rPr>
            <w:t>(Australian Prudential Regulation Authority, 2019b)</w:t>
          </w:r>
          <w:r w:rsidRPr="00027624">
            <w:rPr>
              <w:rFonts w:eastAsia="Calibri"/>
            </w:rPr>
            <w:fldChar w:fldCharType="end"/>
          </w:r>
        </w:sdtContent>
      </w:sdt>
      <w:r w:rsidRPr="00027624">
        <w:rPr>
          <w:rFonts w:eastAsia="Calibri"/>
        </w:rPr>
        <w:t>.</w:t>
      </w:r>
      <w:r w:rsidRPr="00027624">
        <w:rPr>
          <w:rFonts w:eastAsia="Calibri" w:cs="Calibri"/>
        </w:rPr>
        <w:t xml:space="preserve"> This suggests the misconduct aired during the hearings undermined confidence in at least part of the superannuation sector. That said, overall, </w:t>
      </w:r>
      <w:r w:rsidRPr="00027624">
        <w:rPr>
          <w:rFonts w:eastAsia="Calibri"/>
          <w:b/>
        </w:rPr>
        <w:t>most people still trust superannuation</w:t>
      </w:r>
      <w:r w:rsidRPr="00027624">
        <w:rPr>
          <w:rFonts w:eastAsia="Calibri"/>
        </w:rPr>
        <w:t>.</w:t>
      </w:r>
      <w:r w:rsidRPr="00027624">
        <w:rPr>
          <w:rFonts w:eastAsia="Calibri" w:cs="Calibri"/>
        </w:rPr>
        <w:t xml:space="preserve"> </w:t>
      </w:r>
      <w:r w:rsidRPr="00027624">
        <w:rPr>
          <w:rFonts w:eastAsia="Calibri"/>
        </w:rPr>
        <w:t>One survey found around 60 per cent of members trust their superannuation fund to act in their best interests</w:t>
      </w:r>
      <w:sdt>
        <w:sdtPr>
          <w:rPr>
            <w:rFonts w:eastAsia="Calibri"/>
          </w:rPr>
          <w:id w:val="753020733"/>
          <w:citation/>
        </w:sdtPr>
        <w:sdtEndPr/>
        <w:sdtContent>
          <w:r w:rsidRPr="00027624">
            <w:rPr>
              <w:rFonts w:eastAsia="Calibri"/>
            </w:rPr>
            <w:fldChar w:fldCharType="begin"/>
          </w:r>
          <w:r w:rsidRPr="00027624">
            <w:rPr>
              <w:rFonts w:eastAsia="Calibri"/>
            </w:rPr>
            <w:instrText xml:space="preserve"> CITATION Qan19 \l 3081 </w:instrText>
          </w:r>
          <w:r w:rsidRPr="00027624">
            <w:rPr>
              <w:rFonts w:eastAsia="Calibri"/>
            </w:rPr>
            <w:fldChar w:fldCharType="separate"/>
          </w:r>
          <w:r w:rsidR="00E83F6E">
            <w:rPr>
              <w:rFonts w:eastAsia="Calibri"/>
              <w:noProof/>
            </w:rPr>
            <w:t xml:space="preserve"> </w:t>
          </w:r>
          <w:r w:rsidR="00E83F6E" w:rsidRPr="00E83F6E">
            <w:rPr>
              <w:rFonts w:eastAsia="Calibri"/>
              <w:noProof/>
            </w:rPr>
            <w:t>(Qantas Super, 2019)</w:t>
          </w:r>
          <w:r w:rsidRPr="00027624">
            <w:rPr>
              <w:rFonts w:eastAsia="Calibri"/>
            </w:rPr>
            <w:fldChar w:fldCharType="end"/>
          </w:r>
        </w:sdtContent>
      </w:sdt>
      <w:r w:rsidRPr="00027624">
        <w:rPr>
          <w:rFonts w:eastAsia="Calibri"/>
        </w:rPr>
        <w:t>.</w:t>
      </w:r>
      <w:r w:rsidRPr="00027624">
        <w:rPr>
          <w:rFonts w:eastAsia="Calibri" w:cs="Calibri"/>
        </w:rPr>
        <w:t xml:space="preserve"> </w:t>
      </w:r>
      <w:r w:rsidRPr="00027624">
        <w:rPr>
          <w:rFonts w:eastAsia="Calibri"/>
        </w:rPr>
        <w:t xml:space="preserve">Another survey found most </w:t>
      </w:r>
      <w:r w:rsidRPr="00027624">
        <w:rPr>
          <w:rFonts w:eastAsia="Calibri"/>
        </w:rPr>
        <w:lastRenderedPageBreak/>
        <w:t>people still consider superannuation to be a stable investment for their retirement (53 per cent agreed, 17 per cent disagreed)</w:t>
      </w:r>
      <w:r w:rsidRPr="00027624">
        <w:rPr>
          <w:rFonts w:eastAsia="Calibri" w:cs="Calibri"/>
        </w:rPr>
        <w:t xml:space="preserve"> </w:t>
      </w:r>
      <w:sdt>
        <w:sdtPr>
          <w:rPr>
            <w:rFonts w:eastAsia="Calibri"/>
          </w:rPr>
          <w:id w:val="353009702"/>
          <w:citation/>
        </w:sdtPr>
        <w:sdtEndPr/>
        <w:sdtContent>
          <w:r w:rsidRPr="00027624">
            <w:rPr>
              <w:rFonts w:eastAsia="Calibri"/>
            </w:rPr>
            <w:fldChar w:fldCharType="begin"/>
          </w:r>
          <w:r w:rsidR="00C2586A">
            <w:rPr>
              <w:rFonts w:eastAsia="Calibri"/>
            </w:rPr>
            <w:instrText xml:space="preserve">CITATION BETng \l 3081 </w:instrText>
          </w:r>
          <w:r w:rsidRPr="00027624">
            <w:rPr>
              <w:rFonts w:eastAsia="Calibri"/>
            </w:rPr>
            <w:fldChar w:fldCharType="separate"/>
          </w:r>
          <w:r w:rsidR="00E83F6E" w:rsidRPr="00E83F6E">
            <w:rPr>
              <w:rFonts w:eastAsia="Calibri"/>
              <w:noProof/>
            </w:rPr>
            <w:t>(BETA, Forthcoming)</w:t>
          </w:r>
          <w:r w:rsidRPr="00027624">
            <w:rPr>
              <w:rFonts w:eastAsia="Calibri"/>
            </w:rPr>
            <w:fldChar w:fldCharType="end"/>
          </w:r>
        </w:sdtContent>
      </w:sdt>
      <w:r w:rsidRPr="00027624">
        <w:rPr>
          <w:rFonts w:eastAsia="Calibri"/>
        </w:rPr>
        <w:t>.</w:t>
      </w:r>
    </w:p>
    <w:p w14:paraId="5ED63AFB" w14:textId="77777777" w:rsidR="002A2FAE" w:rsidRPr="00027624" w:rsidRDefault="002A2FAE" w:rsidP="002A2FAE">
      <w:r w:rsidRPr="00027624">
        <w:rPr>
          <w:rFonts w:eastAsiaTheme="minorEastAsia"/>
        </w:rPr>
        <w:t xml:space="preserve">Stakeholders noted </w:t>
      </w:r>
      <w:r w:rsidRPr="00027624">
        <w:rPr>
          <w:rFonts w:eastAsiaTheme="minorEastAsia"/>
          <w:b/>
        </w:rPr>
        <w:t>low public confidence in financial advisers is affecting the retirement income system</w:t>
      </w:r>
      <w:r w:rsidRPr="00027624">
        <w:rPr>
          <w:rFonts w:eastAsiaTheme="minorEastAsia"/>
        </w:rPr>
        <w:t>.</w:t>
      </w:r>
      <w:r w:rsidRPr="00027624">
        <w:rPr>
          <w:rStyle w:val="FootnoteReference"/>
          <w:rFonts w:eastAsiaTheme="minorEastAsia"/>
        </w:rPr>
        <w:footnoteReference w:id="265"/>
      </w:r>
      <w:r w:rsidRPr="00027624">
        <w:rPr>
          <w:rFonts w:eastAsiaTheme="minorEastAsia"/>
        </w:rPr>
        <w:t xml:space="preserve"> A</w:t>
      </w:r>
      <w:r w:rsidRPr="00027624">
        <w:t xml:space="preserve"> recent ASIC report found 49 per cent of survey respondents had little or no trust in financial advisers and that this was a barrier in seeking advice</w:t>
      </w:r>
      <w:sdt>
        <w:sdtPr>
          <w:id w:val="1306197209"/>
          <w:citation/>
        </w:sdtPr>
        <w:sdtEndPr/>
        <w:sdtContent>
          <w:r w:rsidRPr="00027624">
            <w:fldChar w:fldCharType="begin"/>
          </w:r>
          <w:r w:rsidRPr="00027624">
            <w:instrText xml:space="preserve">CITATION ASIv19 \l 3081 </w:instrText>
          </w:r>
          <w:r w:rsidRPr="00027624">
            <w:fldChar w:fldCharType="separate"/>
          </w:r>
          <w:r w:rsidR="00E83F6E">
            <w:rPr>
              <w:noProof/>
            </w:rPr>
            <w:t xml:space="preserve"> (ASIC, 2019b)</w:t>
          </w:r>
          <w:r w:rsidRPr="00027624">
            <w:fldChar w:fldCharType="end"/>
          </w:r>
        </w:sdtContent>
      </w:sdt>
      <w:r w:rsidRPr="00027624">
        <w:t>.</w:t>
      </w:r>
    </w:p>
    <w:p w14:paraId="5BA191B7" w14:textId="77777777" w:rsidR="002A2FAE" w:rsidRPr="00027624" w:rsidRDefault="002A2FAE" w:rsidP="002A2FAE">
      <w:r w:rsidRPr="00027624">
        <w:t xml:space="preserve">As discussed in </w:t>
      </w:r>
      <w:r w:rsidRPr="00027624">
        <w:rPr>
          <w:i/>
        </w:rPr>
        <w:t>5A. Cohesion</w:t>
      </w:r>
      <w:r w:rsidRPr="00027624">
        <w:t>, the financial advice industry is undergoing a period of transition. New professional standards are likely to improve the quality of financial advice and, ultimately, consumer trust in that advice. Survey results suggest consumers are aware of some of the reforms to financial advice</w:t>
      </w:r>
      <w:sdt>
        <w:sdtPr>
          <w:id w:val="729504463"/>
          <w:citation/>
        </w:sdtPr>
        <w:sdtEndPr/>
        <w:sdtContent>
          <w:r w:rsidRPr="00027624">
            <w:fldChar w:fldCharType="begin"/>
          </w:r>
          <w:r w:rsidRPr="00027624">
            <w:instrText xml:space="preserve">CITATION ASIv19 \p 35 \l 3081 </w:instrText>
          </w:r>
          <w:r w:rsidRPr="00027624">
            <w:fldChar w:fldCharType="separate"/>
          </w:r>
          <w:r w:rsidR="00E83F6E">
            <w:rPr>
              <w:noProof/>
            </w:rPr>
            <w:t xml:space="preserve"> (ASIC, 2019b, p. 35)</w:t>
          </w:r>
          <w:r w:rsidRPr="00027624">
            <w:fldChar w:fldCharType="end"/>
          </w:r>
        </w:sdtContent>
      </w:sdt>
      <w:r w:rsidRPr="00027624">
        <w:t>.</w:t>
      </w:r>
    </w:p>
    <w:p w14:paraId="605FEDD9" w14:textId="77777777" w:rsidR="002A2FAE" w:rsidRPr="00027624" w:rsidRDefault="002A2FAE" w:rsidP="002A2FAE">
      <w:r w:rsidRPr="00027624">
        <w:t xml:space="preserve">More broadly, the </w:t>
      </w:r>
      <w:r w:rsidRPr="00027624">
        <w:rPr>
          <w:i/>
        </w:rPr>
        <w:t>Government</w:t>
      </w:r>
      <w:r w:rsidR="00A8443E" w:rsidRPr="00027624">
        <w:rPr>
          <w:i/>
        </w:rPr>
        <w:t>’</w:t>
      </w:r>
      <w:r w:rsidRPr="00027624">
        <w:rPr>
          <w:i/>
        </w:rPr>
        <w:t xml:space="preserve">s response to the </w:t>
      </w:r>
      <w:r w:rsidRPr="00027624">
        <w:rPr>
          <w:rFonts w:eastAsia="Calibri"/>
          <w:i/>
        </w:rPr>
        <w:t>Hayne Royal Commission</w:t>
      </w:r>
      <w:r w:rsidRPr="00027624">
        <w:t xml:space="preserve"> </w:t>
      </w:r>
      <w:r w:rsidRPr="00027624">
        <w:rPr>
          <w:i/>
        </w:rPr>
        <w:t>2019</w:t>
      </w:r>
      <w:r w:rsidRPr="00027624">
        <w:t xml:space="preserve"> aims to enhance trust in superannuation funds. The recommendations of the </w:t>
      </w:r>
      <w:r w:rsidRPr="00027624">
        <w:rPr>
          <w:rFonts w:eastAsia="Calibri" w:cs="Calibri"/>
        </w:rPr>
        <w:t>Productivity Commission</w:t>
      </w:r>
      <w:r w:rsidRPr="00027624">
        <w:t xml:space="preserve"> </w:t>
      </w:r>
      <w:sdt>
        <w:sdtPr>
          <w:id w:val="-1666771747"/>
          <w:citation/>
        </w:sdtPr>
        <w:sdtEndPr/>
        <w:sdtContent>
          <w:r w:rsidRPr="00027624">
            <w:fldChar w:fldCharType="begin"/>
          </w:r>
          <w:r w:rsidRPr="00027624">
            <w:instrText xml:space="preserve">CITATION Pro18 \n  \t  \l 3081 </w:instrText>
          </w:r>
          <w:r w:rsidRPr="00027624">
            <w:fldChar w:fldCharType="separate"/>
          </w:r>
          <w:r w:rsidR="00E83F6E">
            <w:rPr>
              <w:noProof/>
            </w:rPr>
            <w:t>(2018a)</w:t>
          </w:r>
          <w:r w:rsidRPr="00027624">
            <w:fldChar w:fldCharType="end"/>
          </w:r>
        </w:sdtContent>
      </w:sdt>
      <w:r w:rsidRPr="00027624">
        <w:t xml:space="preserve"> aim to improve the efficiency of the system and align the incentives of participants. Successful reforms may reduce the risk of future misconduct and scandals affecting public confidence in the system.</w:t>
      </w:r>
    </w:p>
    <w:p w14:paraId="5B348BE6" w14:textId="77777777" w:rsidR="002A2FAE" w:rsidRPr="00027624" w:rsidRDefault="002A2FAE" w:rsidP="002A2FAE">
      <w:pPr>
        <w:pStyle w:val="Heading3"/>
        <w:rPr>
          <w:rFonts w:eastAsiaTheme="minorHAnsi"/>
        </w:rPr>
      </w:pPr>
      <w:r w:rsidRPr="00027624">
        <w:rPr>
          <w:rFonts w:eastAsiaTheme="minorHAnsi"/>
        </w:rPr>
        <w:t>Economic shocks</w:t>
      </w:r>
    </w:p>
    <w:p w14:paraId="09E7F03E" w14:textId="77777777" w:rsidR="002A2FAE" w:rsidRPr="00027624" w:rsidRDefault="002A2FAE" w:rsidP="002A2FAE">
      <w:r w:rsidRPr="00027624">
        <w:t>The retirement income system is exposed to financial markets through superannuation investments. Although superannuation is a long</w:t>
      </w:r>
      <w:r w:rsidR="00A8443E" w:rsidRPr="00027624">
        <w:noBreakHyphen/>
      </w:r>
      <w:r w:rsidRPr="00027624">
        <w:t xml:space="preserve">term investment, </w:t>
      </w:r>
      <w:r w:rsidRPr="00027624">
        <w:rPr>
          <w:b/>
        </w:rPr>
        <w:t>economic shocks can still undermine public confidence and affect people</w:t>
      </w:r>
      <w:r w:rsidR="00A8443E" w:rsidRPr="00027624">
        <w:rPr>
          <w:b/>
        </w:rPr>
        <w:t>’</w:t>
      </w:r>
      <w:r w:rsidRPr="00027624">
        <w:rPr>
          <w:b/>
        </w:rPr>
        <w:t>s retirement outcomes</w:t>
      </w:r>
      <w:r w:rsidRPr="00027624">
        <w:t xml:space="preserve"> (see </w:t>
      </w:r>
      <w:r w:rsidRPr="00027624">
        <w:rPr>
          <w:i/>
        </w:rPr>
        <w:t>2C. Maintaining standards of living in retirement</w:t>
      </w:r>
      <w:r w:rsidRPr="00027624">
        <w:t>), particularly for those close to or in retirement.</w:t>
      </w:r>
    </w:p>
    <w:p w14:paraId="21F82D67" w14:textId="77777777" w:rsidR="002A2FAE" w:rsidRPr="00027624" w:rsidRDefault="002A2FAE" w:rsidP="002A2FAE">
      <w:r w:rsidRPr="00027624">
        <w:t>The GFC provides a case study of how an economic shock can affect confidence. For many people, the GFC was the first time they experienced a significant fall in their superannuation balance, having grown accustomed to balances only increasing. Many did not realise their superannuation was invested in financial markets</w:t>
      </w:r>
      <w:sdt>
        <w:sdtPr>
          <w:id w:val="1979259901"/>
          <w:citation/>
        </w:sdtPr>
        <w:sdtEndPr/>
        <w:sdtContent>
          <w:r w:rsidRPr="00027624">
            <w:fldChar w:fldCharType="begin"/>
          </w:r>
          <w:r w:rsidRPr="00027624">
            <w:instrText xml:space="preserve"> CITATION Col10 \l 3081 </w:instrText>
          </w:r>
          <w:r w:rsidRPr="00027624">
            <w:fldChar w:fldCharType="separate"/>
          </w:r>
          <w:r w:rsidR="00E83F6E">
            <w:rPr>
              <w:noProof/>
            </w:rPr>
            <w:t xml:space="preserve"> (Colmar Brunton Social Research, 2010)</w:t>
          </w:r>
          <w:r w:rsidRPr="00027624">
            <w:fldChar w:fldCharType="end"/>
          </w:r>
        </w:sdtContent>
      </w:sdt>
      <w:r w:rsidRPr="00027624">
        <w:t>. Many who had planned to retire around this time may have delayed their retirement plans</w:t>
      </w:r>
      <w:sdt>
        <w:sdtPr>
          <w:id w:val="-37352737"/>
          <w:citation/>
        </w:sdtPr>
        <w:sdtEndPr/>
        <w:sdtContent>
          <w:r w:rsidRPr="00027624">
            <w:fldChar w:fldCharType="begin"/>
          </w:r>
          <w:r w:rsidRPr="00027624">
            <w:instrText xml:space="preserve"> CITATION Ken13 \l 3081 </w:instrText>
          </w:r>
          <w:r w:rsidRPr="00027624">
            <w:fldChar w:fldCharType="separate"/>
          </w:r>
          <w:r w:rsidR="00E83F6E">
            <w:rPr>
              <w:noProof/>
            </w:rPr>
            <w:t xml:space="preserve"> (Kendig, et al., 2013)</w:t>
          </w:r>
          <w:r w:rsidRPr="00027624">
            <w:fldChar w:fldCharType="end"/>
          </w:r>
        </w:sdtContent>
      </w:sdt>
      <w:r w:rsidRPr="00027624">
        <w:t>.</w:t>
      </w:r>
    </w:p>
    <w:p w14:paraId="48F288B5" w14:textId="77777777" w:rsidR="002A2FAE" w:rsidRPr="00027624" w:rsidRDefault="002A2FAE" w:rsidP="002A2FAE">
      <w:r w:rsidRPr="00027624">
        <w:t xml:space="preserve">Initial behavioural responses to the GFC were relatively small and short term. Few superannuation members switched their investments to reduce exposure to market volatility during and directly after the GFC </w:t>
      </w:r>
      <w:sdt>
        <w:sdtPr>
          <w:id w:val="-535431779"/>
          <w:citation/>
        </w:sdtPr>
        <w:sdtEndPr/>
        <w:sdtContent>
          <w:r w:rsidRPr="00027624">
            <w:fldChar w:fldCharType="begin"/>
          </w:r>
          <w:r w:rsidRPr="00027624">
            <w:instrText>CITATION AFS10 \p 4 \l 3081  \m Ger10</w:instrText>
          </w:r>
          <w:r w:rsidRPr="00027624">
            <w:fldChar w:fldCharType="separate"/>
          </w:r>
          <w:r w:rsidR="00E83F6E">
            <w:rPr>
              <w:noProof/>
            </w:rPr>
            <w:t>(ASFA, 2010, p. 4; Gerrans, 2012)</w:t>
          </w:r>
          <w:r w:rsidRPr="00027624">
            <w:fldChar w:fldCharType="end"/>
          </w:r>
        </w:sdtContent>
      </w:sdt>
      <w:r w:rsidRPr="00027624">
        <w:t>. While some people paused and stopped making voluntary contributions to superannuation as a result of the GFC</w:t>
      </w:r>
      <w:sdt>
        <w:sdtPr>
          <w:id w:val="-1407991590"/>
          <w:citation/>
        </w:sdtPr>
        <w:sdtEndPr/>
        <w:sdtContent>
          <w:r w:rsidRPr="00027624">
            <w:fldChar w:fldCharType="begin"/>
          </w:r>
          <w:r w:rsidRPr="00027624">
            <w:instrText xml:space="preserve">CITATION Col10 \p 110 \l 3081 </w:instrText>
          </w:r>
          <w:r w:rsidRPr="00027624">
            <w:fldChar w:fldCharType="separate"/>
          </w:r>
          <w:r w:rsidR="00E83F6E">
            <w:rPr>
              <w:noProof/>
            </w:rPr>
            <w:t xml:space="preserve"> (Colmar Brunton Social Research, 2010, p. 110)</w:t>
          </w:r>
          <w:r w:rsidRPr="00027624">
            <w:fldChar w:fldCharType="end"/>
          </w:r>
        </w:sdtContent>
      </w:sdt>
      <w:r w:rsidRPr="00027624">
        <w:t>, aggregate voluntary contributions continued to generally trend up afterwards.</w:t>
      </w:r>
    </w:p>
    <w:p w14:paraId="1B735BC0" w14:textId="77777777" w:rsidR="002A2FAE" w:rsidRPr="00027624" w:rsidRDefault="002A2FAE" w:rsidP="002A2FAE">
      <w:r w:rsidRPr="00027624">
        <w:t>Since the GFC, research has shown some pre</w:t>
      </w:r>
      <w:r w:rsidR="00A8443E" w:rsidRPr="00027624">
        <w:noBreakHyphen/>
      </w:r>
      <w:r w:rsidRPr="00027624">
        <w:t>retirees are more wary and distrustful of superannuation because it exposes them to market volatility</w:t>
      </w:r>
      <w:sdt>
        <w:sdtPr>
          <w:id w:val="708607719"/>
          <w:citation/>
        </w:sdtPr>
        <w:sdtEndPr/>
        <w:sdtContent>
          <w:r w:rsidRPr="00027624">
            <w:fldChar w:fldCharType="begin"/>
          </w:r>
          <w:r w:rsidRPr="00027624">
            <w:instrText xml:space="preserve">CITATION Sou16 \p 28 \l 3081 </w:instrText>
          </w:r>
          <w:r w:rsidRPr="00027624">
            <w:fldChar w:fldCharType="separate"/>
          </w:r>
          <w:r w:rsidR="00E83F6E">
            <w:rPr>
              <w:noProof/>
            </w:rPr>
            <w:t xml:space="preserve"> (Souvlis, et al., 2016, p. 28)</w:t>
          </w:r>
          <w:r w:rsidRPr="00027624">
            <w:fldChar w:fldCharType="end"/>
          </w:r>
        </w:sdtContent>
      </w:sdt>
      <w:r w:rsidRPr="00027624">
        <w:t xml:space="preserve">. </w:t>
      </w:r>
      <w:r w:rsidRPr="00027624">
        <w:rPr>
          <w:i/>
        </w:rPr>
        <w:t>2C. Maintaining standards of living in retirement</w:t>
      </w:r>
      <w:r w:rsidRPr="00027624" w:rsidDel="0088487A">
        <w:rPr>
          <w:iCs/>
        </w:rPr>
        <w:t xml:space="preserve"> </w:t>
      </w:r>
      <w:r w:rsidRPr="00027624">
        <w:t xml:space="preserve">provides more detail on the effect of market volatility and sequencing risk on retirement incomes. A BETA </w:t>
      </w:r>
      <w:sdt>
        <w:sdtPr>
          <w:id w:val="-1857648152"/>
          <w:citation/>
        </w:sdtPr>
        <w:sdtEndPr/>
        <w:sdtContent>
          <w:r w:rsidRPr="00027624">
            <w:fldChar w:fldCharType="begin"/>
          </w:r>
          <w:r w:rsidR="00C2586A">
            <w:instrText xml:space="preserve">CITATION BETng \n  \t  \l 3081 </w:instrText>
          </w:r>
          <w:r w:rsidRPr="00027624">
            <w:fldChar w:fldCharType="separate"/>
          </w:r>
          <w:r w:rsidR="00E83F6E">
            <w:rPr>
              <w:noProof/>
            </w:rPr>
            <w:t>(Forthcoming)</w:t>
          </w:r>
          <w:r w:rsidRPr="00027624">
            <w:fldChar w:fldCharType="end"/>
          </w:r>
        </w:sdtContent>
      </w:sdt>
      <w:r w:rsidRPr="00027624">
        <w:t xml:space="preserve"> survey, undertaken as the effects of the COVID</w:t>
      </w:r>
      <w:r w:rsidR="00A8443E" w:rsidRPr="00027624">
        <w:noBreakHyphen/>
      </w:r>
      <w:r w:rsidRPr="00027624">
        <w:t>19 Pandemic were beginning to emerge, found two</w:t>
      </w:r>
      <w:r w:rsidR="00A8443E" w:rsidRPr="00027624">
        <w:noBreakHyphen/>
      </w:r>
      <w:r w:rsidRPr="00027624">
        <w:t>thirds of respondents were concerned about how financial markets will affect their superannuation. Survey responses may change as the effect of the COVID</w:t>
      </w:r>
      <w:r w:rsidR="00A8443E" w:rsidRPr="00027624">
        <w:noBreakHyphen/>
      </w:r>
      <w:r w:rsidRPr="00027624">
        <w:t>19 Pandemic develops. Retirees generally have greater retirement worries about financial markets falling than those not yet retired.</w:t>
      </w:r>
      <w:r w:rsidRPr="00027624">
        <w:rPr>
          <w:rStyle w:val="FootnoteReference"/>
        </w:rPr>
        <w:footnoteReference w:id="266"/>
      </w:r>
    </w:p>
    <w:p w14:paraId="33939FFB" w14:textId="77777777" w:rsidR="002A2FAE" w:rsidRPr="00027624" w:rsidRDefault="002A2FAE" w:rsidP="002A2FAE">
      <w:r w:rsidRPr="00027624">
        <w:t xml:space="preserve">Research undertaken after the GFC found people see property as an alternative, </w:t>
      </w:r>
      <w:r w:rsidR="00A8443E" w:rsidRPr="00027624">
        <w:t>‘</w:t>
      </w:r>
      <w:r w:rsidRPr="00027624">
        <w:t>safe</w:t>
      </w:r>
      <w:r w:rsidR="00A8443E" w:rsidRPr="00027624">
        <w:t>’</w:t>
      </w:r>
      <w:r w:rsidRPr="00027624">
        <w:t xml:space="preserve"> investment compared with superannuation </w:t>
      </w:r>
      <w:sdt>
        <w:sdtPr>
          <w:id w:val="1358468573"/>
          <w:citation/>
        </w:sdtPr>
        <w:sdtEndPr/>
        <w:sdtContent>
          <w:r w:rsidRPr="00027624">
            <w:fldChar w:fldCharType="begin"/>
          </w:r>
          <w:r w:rsidRPr="00027624">
            <w:instrText xml:space="preserve"> CITATION Col10 \l 3081  \m Mel18</w:instrText>
          </w:r>
          <w:r w:rsidRPr="00027624">
            <w:fldChar w:fldCharType="separate"/>
          </w:r>
          <w:r w:rsidR="00E83F6E">
            <w:rPr>
              <w:noProof/>
            </w:rPr>
            <w:t>(Colmar Brunton Social Research, 2010; Melbourne Business School, 2019)</w:t>
          </w:r>
          <w:r w:rsidRPr="00027624">
            <w:fldChar w:fldCharType="end"/>
          </w:r>
        </w:sdtContent>
      </w:sdt>
      <w:r w:rsidRPr="00027624">
        <w:t>. It is not clear whether the GFC influenced these views. Surveys have also found retirees exposed to the GFC say they were more concerned about a future market collapse and were more conservative with their retirement income strategies</w:t>
      </w:r>
      <w:sdt>
        <w:sdtPr>
          <w:id w:val="-455026172"/>
          <w:citation/>
        </w:sdtPr>
        <w:sdtEndPr/>
        <w:sdtContent>
          <w:r w:rsidRPr="00027624">
            <w:fldChar w:fldCharType="begin"/>
          </w:r>
          <w:r w:rsidRPr="00027624">
            <w:instrText xml:space="preserve">CITATION Natc18 \l 3081 </w:instrText>
          </w:r>
          <w:r w:rsidRPr="00027624">
            <w:fldChar w:fldCharType="separate"/>
          </w:r>
          <w:r w:rsidR="00E83F6E">
            <w:rPr>
              <w:noProof/>
            </w:rPr>
            <w:t xml:space="preserve"> (National Seniors and Challenger, 2018)</w:t>
          </w:r>
          <w:r w:rsidRPr="00027624">
            <w:fldChar w:fldCharType="end"/>
          </w:r>
        </w:sdtContent>
      </w:sdt>
      <w:r w:rsidRPr="00027624">
        <w:t>.</w:t>
      </w:r>
    </w:p>
    <w:p w14:paraId="416D21BF" w14:textId="77777777" w:rsidR="002A2FAE" w:rsidRPr="00027624" w:rsidRDefault="002A2FAE" w:rsidP="002A2FAE">
      <w:r w:rsidRPr="00027624" w:rsidDel="0019578E">
        <w:rPr>
          <w:b/>
        </w:rPr>
        <w:t>Superannuation members</w:t>
      </w:r>
      <w:r w:rsidRPr="00027624">
        <w:rPr>
          <w:b/>
        </w:rPr>
        <w:t xml:space="preserve"> who switched to a more conservative investment strategy during the GFC were generally older and held higher balances, and were more likely to be women</w:t>
      </w:r>
      <w:r w:rsidRPr="00027624">
        <w:rPr>
          <w:bCs/>
        </w:rPr>
        <w:t xml:space="preserve"> </w:t>
      </w:r>
      <w:sdt>
        <w:sdtPr>
          <w:id w:val="-2031862579"/>
          <w:citation/>
        </w:sdtPr>
        <w:sdtEndPr/>
        <w:sdtContent>
          <w:r w:rsidRPr="00027624">
            <w:fldChar w:fldCharType="begin"/>
          </w:r>
          <w:r w:rsidRPr="00027624">
            <w:instrText xml:space="preserve"> CITATION Ger10 \l 3081 </w:instrText>
          </w:r>
          <w:r w:rsidRPr="00027624">
            <w:fldChar w:fldCharType="separate"/>
          </w:r>
          <w:r w:rsidR="00E83F6E">
            <w:rPr>
              <w:noProof/>
            </w:rPr>
            <w:t xml:space="preserve">(Gerrans, </w:t>
          </w:r>
          <w:r w:rsidR="00E83F6E">
            <w:rPr>
              <w:noProof/>
            </w:rPr>
            <w:lastRenderedPageBreak/>
            <w:t>2012)</w:t>
          </w:r>
          <w:r w:rsidRPr="00027624">
            <w:fldChar w:fldCharType="end"/>
          </w:r>
        </w:sdtContent>
      </w:sdt>
      <w:r w:rsidRPr="00027624">
        <w:t>.</w:t>
      </w:r>
      <w:r w:rsidRPr="00027624" w:rsidDel="0080132C">
        <w:t xml:space="preserve"> </w:t>
      </w:r>
      <w:r w:rsidRPr="00027624">
        <w:t xml:space="preserve">SMSF members, who tend to be older, were more likely to switch to more conservative investment strategies and therefore crystallise losses, than members in default funds </w:t>
      </w:r>
      <w:sdt>
        <w:sdtPr>
          <w:id w:val="-109749147"/>
          <w:citation/>
        </w:sdtPr>
        <w:sdtEndPr/>
        <w:sdtContent>
          <w:r w:rsidRPr="00027624">
            <w:fldChar w:fldCharType="begin"/>
          </w:r>
          <w:r w:rsidRPr="00027624">
            <w:instrText xml:space="preserve">CITATION Col10 \p 9 \l 3081 </w:instrText>
          </w:r>
          <w:r w:rsidRPr="00027624">
            <w:fldChar w:fldCharType="separate"/>
          </w:r>
          <w:r w:rsidR="00E83F6E">
            <w:rPr>
              <w:noProof/>
            </w:rPr>
            <w:t>(Colmar Brunton Social Research, 2010, p. 9)</w:t>
          </w:r>
          <w:r w:rsidRPr="00027624">
            <w:fldChar w:fldCharType="end"/>
          </w:r>
        </w:sdtContent>
      </w:sdt>
      <w:r w:rsidRPr="00027624">
        <w:t>. This switching is likely to have been detrimental. Subsequent research found members who moved from balanced investment strategies to conservative investment strategies were more likely to have lower balances than those who remained in balanced investment strategies 10 years later</w:t>
      </w:r>
      <w:sdt>
        <w:sdtPr>
          <w:id w:val="215635709"/>
          <w:citation/>
        </w:sdtPr>
        <w:sdtEndPr/>
        <w:sdtContent>
          <w:r w:rsidRPr="00027624">
            <w:fldChar w:fldCharType="begin"/>
          </w:r>
          <w:r w:rsidRPr="00027624">
            <w:instrText xml:space="preserve"> CITATION Sup18 \l 3081 </w:instrText>
          </w:r>
          <w:r w:rsidRPr="00027624">
            <w:fldChar w:fldCharType="separate"/>
          </w:r>
          <w:r w:rsidR="00E83F6E">
            <w:rPr>
              <w:noProof/>
            </w:rPr>
            <w:t xml:space="preserve"> (SuperRatings, 2018)</w:t>
          </w:r>
          <w:r w:rsidRPr="00027624">
            <w:fldChar w:fldCharType="end"/>
          </w:r>
        </w:sdtContent>
      </w:sdt>
      <w:r w:rsidRPr="00027624">
        <w:t>. One fund found most people who switched to more conservative investment strategies during the GFC did not switch back</w:t>
      </w:r>
      <w:sdt>
        <w:sdtPr>
          <w:id w:val="-1198455806"/>
          <w:citation/>
        </w:sdtPr>
        <w:sdtEndPr/>
        <w:sdtContent>
          <w:r w:rsidRPr="00027624">
            <w:fldChar w:fldCharType="begin"/>
          </w:r>
          <w:r w:rsidRPr="00027624">
            <w:instrText xml:space="preserve"> CITATION First19 \l 3081 </w:instrText>
          </w:r>
          <w:r w:rsidRPr="00027624">
            <w:fldChar w:fldCharType="separate"/>
          </w:r>
          <w:r w:rsidR="00E83F6E">
            <w:rPr>
              <w:noProof/>
            </w:rPr>
            <w:t xml:space="preserve"> (First State Super, 2019)</w:t>
          </w:r>
          <w:r w:rsidRPr="00027624">
            <w:fldChar w:fldCharType="end"/>
          </w:r>
        </w:sdtContent>
      </w:sdt>
      <w:r w:rsidRPr="00027624">
        <w:t>.</w:t>
      </w:r>
    </w:p>
    <w:p w14:paraId="12B473C2" w14:textId="77777777" w:rsidR="002A2FAE" w:rsidRPr="00027624" w:rsidRDefault="002A2FAE" w:rsidP="002A2FAE">
      <w:r w:rsidRPr="00027624">
        <w:t>In response to the GFC, the Government lowered superannuation minimum drawdown rates and Age Pension deeming rates, which allowed retirees to avoid using their capital and, for those on an income</w:t>
      </w:r>
      <w:r w:rsidR="00A8443E" w:rsidRPr="00027624">
        <w:noBreakHyphen/>
      </w:r>
      <w:r w:rsidRPr="00027624">
        <w:t>tested part</w:t>
      </w:r>
      <w:r w:rsidR="00A8443E" w:rsidRPr="00027624">
        <w:noBreakHyphen/>
      </w:r>
      <w:r w:rsidRPr="00027624">
        <w:t>rate Age Pension, increased their public income. Similar measures were undertaken in response to the COVID</w:t>
      </w:r>
      <w:r w:rsidR="00A8443E" w:rsidRPr="00027624">
        <w:noBreakHyphen/>
      </w:r>
      <w:r w:rsidRPr="00027624">
        <w:t>19 Pandemic. By demonstrating the Government was responsive to retirees</w:t>
      </w:r>
      <w:r w:rsidR="00A8443E" w:rsidRPr="00027624">
        <w:t>’</w:t>
      </w:r>
      <w:r w:rsidRPr="00027624">
        <w:t xml:space="preserve"> concerns, these measures may have improved retirees</w:t>
      </w:r>
      <w:r w:rsidR="00A8443E" w:rsidRPr="00027624">
        <w:t>’</w:t>
      </w:r>
      <w:r w:rsidRPr="00027624">
        <w:t xml:space="preserve"> confidence that the system would continue to provide income into the future. However, such measures likely discouraged current consumption of retirement assets at a time when retirees could have benefited from this consumption (see</w:t>
      </w:r>
      <w:r w:rsidRPr="00027624">
        <w:rPr>
          <w:i/>
        </w:rPr>
        <w:t xml:space="preserve"> 5A. Cohesion</w:t>
      </w:r>
      <w:r w:rsidRPr="00027624">
        <w:t>)</w:t>
      </w:r>
      <w:r w:rsidRPr="00027624">
        <w:rPr>
          <w:iCs/>
        </w:rPr>
        <w:t>.</w:t>
      </w:r>
      <w:r w:rsidRPr="00027624">
        <w:rPr>
          <w:i/>
        </w:rPr>
        <w:t xml:space="preserve"> </w:t>
      </w:r>
      <w:r w:rsidRPr="00027624">
        <w:t>It may take some time to assess the effect of the Government response during the COVID</w:t>
      </w:r>
      <w:r w:rsidR="00A8443E" w:rsidRPr="00027624">
        <w:noBreakHyphen/>
      </w:r>
      <w:r w:rsidRPr="00027624">
        <w:t>19 Pandemic on public confidence in the retirement income system.</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2A2FAE" w:rsidRPr="00027624" w14:paraId="665C59BD" w14:textId="77777777" w:rsidTr="002A2FAE">
        <w:tc>
          <w:tcPr>
            <w:tcW w:w="5000" w:type="pct"/>
            <w:shd w:val="clear" w:color="auto" w:fill="FFF8EA"/>
          </w:tcPr>
          <w:p w14:paraId="2FC98503" w14:textId="77777777" w:rsidR="002A2FAE" w:rsidRPr="00027624" w:rsidRDefault="002A2FAE" w:rsidP="00FC7361">
            <w:pPr>
              <w:pStyle w:val="BoxHeading"/>
              <w:numPr>
                <w:ilvl w:val="5"/>
                <w:numId w:val="28"/>
              </w:numPr>
            </w:pPr>
            <w:bookmarkStart w:id="4077" w:name="_Ref39240776"/>
            <w:r w:rsidRPr="00027624">
              <w:t>The COVID</w:t>
            </w:r>
            <w:r w:rsidR="00A8443E" w:rsidRPr="00027624">
              <w:noBreakHyphen/>
            </w:r>
            <w:r w:rsidRPr="00027624">
              <w:t>19 Pandemic and public confidence</w:t>
            </w:r>
            <w:bookmarkEnd w:id="4077"/>
          </w:p>
          <w:p w14:paraId="61008C05" w14:textId="77777777" w:rsidR="002A2FAE" w:rsidRPr="00027624" w:rsidRDefault="002A2FAE" w:rsidP="002A2FAE">
            <w:pPr>
              <w:pStyle w:val="BoxText"/>
            </w:pPr>
            <w:r w:rsidRPr="00027624">
              <w:t>The full effect of the COVID</w:t>
            </w:r>
            <w:r w:rsidR="00A8443E" w:rsidRPr="00027624">
              <w:noBreakHyphen/>
            </w:r>
            <w:r w:rsidRPr="00027624">
              <w:t>19 Pandemic on public confidence in the retirement income system remains to be seen. Many superannuation funds have reported spikes in member engagement, including members switching to more conservative investment strategies</w:t>
            </w:r>
            <w:sdt>
              <w:sdtPr>
                <w:id w:val="-1441992127"/>
                <w:citation/>
              </w:sdtPr>
              <w:sdtEndPr/>
              <w:sdtContent>
                <w:r w:rsidRPr="00027624">
                  <w:fldChar w:fldCharType="begin"/>
                </w:r>
                <w:r w:rsidR="00C20BE9" w:rsidRPr="00027624">
                  <w:instrText xml:space="preserve">CITATION Sun20 \m FirstS20 \l 3081 </w:instrText>
                </w:r>
                <w:r w:rsidRPr="00027624">
                  <w:fldChar w:fldCharType="separate"/>
                </w:r>
                <w:r w:rsidR="00E83F6E">
                  <w:rPr>
                    <w:noProof/>
                  </w:rPr>
                  <w:t xml:space="preserve"> (Sunsuper, 2020; First State Super, 2020a)</w:t>
                </w:r>
                <w:r w:rsidRPr="00027624">
                  <w:fldChar w:fldCharType="end"/>
                </w:r>
              </w:sdtContent>
            </w:sdt>
            <w:r w:rsidRPr="00027624">
              <w:t>. Reports note members switching around 1.5 per cent of funds held under management into more conservative investments, such as cash, since the beginning of the market volatility related to the pandemic</w:t>
            </w:r>
            <w:sdt>
              <w:sdtPr>
                <w:id w:val="-413855052"/>
                <w:citation/>
              </w:sdtPr>
              <w:sdtEndPr/>
              <w:sdtContent>
                <w:r w:rsidRPr="00027624">
                  <w:fldChar w:fldCharType="begin"/>
                </w:r>
                <w:r w:rsidRPr="00027624">
                  <w:instrText xml:space="preserve"> CITATION Flo20 \l 3081  \m Joa20</w:instrText>
                </w:r>
                <w:r w:rsidRPr="00027624">
                  <w:fldChar w:fldCharType="separate"/>
                </w:r>
                <w:r w:rsidR="00E83F6E">
                  <w:rPr>
                    <w:noProof/>
                  </w:rPr>
                  <w:t xml:space="preserve"> (Chong, 2020; Mather, 2020)</w:t>
                </w:r>
                <w:r w:rsidRPr="00027624">
                  <w:fldChar w:fldCharType="end"/>
                </w:r>
              </w:sdtContent>
            </w:sdt>
            <w:r w:rsidRPr="00027624">
              <w:rPr>
                <w:rFonts w:eastAsiaTheme="minorHAnsi"/>
              </w:rPr>
              <w:t>.</w:t>
            </w:r>
            <w:r w:rsidRPr="00027624">
              <w:t xml:space="preserve"> Some funds have noted members who have not received financial advice are more likely to switch to more conservative investment strategies. As discussed in </w:t>
            </w:r>
            <w:r w:rsidRPr="00027624">
              <w:rPr>
                <w:i/>
              </w:rPr>
              <w:t>2C. Maintaining standards of living in retirement</w:t>
            </w:r>
            <w:r w:rsidRPr="00027624">
              <w:rPr>
                <w:iCs/>
              </w:rPr>
              <w:t>,</w:t>
            </w:r>
            <w:r w:rsidRPr="00027624">
              <w:t xml:space="preserve"> forthcoming research by First State Super indicates that rates of investment switching in response to the COVID</w:t>
            </w:r>
            <w:r w:rsidR="00A8443E" w:rsidRPr="00027624">
              <w:noBreakHyphen/>
            </w:r>
            <w:r w:rsidRPr="00027624">
              <w:t xml:space="preserve">19 Pandemic were more than four times higher among largely unadvised First State Super retirees, compared with retirees advised through the StatePlus financial planning practice. </w:t>
            </w:r>
            <w:r w:rsidR="00673D11">
              <w:t>T</w:t>
            </w:r>
            <w:r w:rsidRPr="00027624">
              <w:t>he role of advice and guidance in improving retirement outcomes</w:t>
            </w:r>
            <w:r w:rsidR="00673D11">
              <w:t xml:space="preserve"> is expanded in </w:t>
            </w:r>
            <w:r w:rsidR="00673D11" w:rsidRPr="00027624">
              <w:rPr>
                <w:i/>
              </w:rPr>
              <w:t>5A. Cohesion</w:t>
            </w:r>
            <w:r w:rsidR="00673D11">
              <w:rPr>
                <w:i/>
              </w:rPr>
              <w:t>.</w:t>
            </w:r>
          </w:p>
          <w:p w14:paraId="6D08840A" w14:textId="77777777" w:rsidR="002A2FAE" w:rsidRPr="00027624" w:rsidRDefault="002A2FAE" w:rsidP="002A2FAE">
            <w:pPr>
              <w:pStyle w:val="BoxText"/>
            </w:pPr>
            <w:r w:rsidRPr="00027624">
              <w:t>In response, funds have increased their levels of member engagement, reminding members that:</w:t>
            </w:r>
          </w:p>
          <w:p w14:paraId="7ABE66DF" w14:textId="77777777" w:rsidR="002A2FAE" w:rsidRPr="00027624" w:rsidRDefault="002A2FAE" w:rsidP="002A2FAE">
            <w:pPr>
              <w:pStyle w:val="BoxBullet"/>
            </w:pPr>
            <w:r w:rsidRPr="00027624">
              <w:t>Superannuation is a long</w:t>
            </w:r>
            <w:r w:rsidR="00A8443E" w:rsidRPr="00027624">
              <w:noBreakHyphen/>
            </w:r>
            <w:r w:rsidRPr="00027624">
              <w:t>term investment</w:t>
            </w:r>
          </w:p>
          <w:p w14:paraId="757D60EF" w14:textId="77777777" w:rsidR="002A2FAE" w:rsidRPr="00027624" w:rsidRDefault="002A2FAE" w:rsidP="002A2FAE">
            <w:pPr>
              <w:pStyle w:val="BoxBullet"/>
            </w:pPr>
            <w:r w:rsidRPr="00027624">
              <w:t>It is not a good time to switch to cash investments</w:t>
            </w:r>
          </w:p>
          <w:p w14:paraId="65FCAEA0" w14:textId="77777777" w:rsidR="002A2FAE" w:rsidRPr="00027624" w:rsidRDefault="002A2FAE" w:rsidP="002A2FAE">
            <w:pPr>
              <w:pStyle w:val="BoxBullet"/>
            </w:pPr>
            <w:r w:rsidRPr="00027624">
              <w:t>It is difficult to successfully time a switch to cash and a switch back to riskier investments</w:t>
            </w:r>
          </w:p>
          <w:p w14:paraId="29C42F6E" w14:textId="77777777" w:rsidR="002A2FAE" w:rsidRPr="00027624" w:rsidRDefault="002A2FAE" w:rsidP="002A2FAE">
            <w:pPr>
              <w:pStyle w:val="BoxText"/>
            </w:pPr>
            <w:r w:rsidRPr="00027624">
              <w:t>Funds note that people should seek advice before changing their investment strategies.</w:t>
            </w:r>
          </w:p>
        </w:tc>
      </w:tr>
    </w:tbl>
    <w:p w14:paraId="7FEB8C23" w14:textId="77777777" w:rsidR="002A2FAE" w:rsidRPr="00027624" w:rsidRDefault="002A2FAE" w:rsidP="002A2FAE">
      <w:pPr>
        <w:pStyle w:val="Heading3"/>
        <w:rPr>
          <w:rFonts w:eastAsiaTheme="minorHAnsi"/>
        </w:rPr>
      </w:pPr>
      <w:r w:rsidRPr="00027624">
        <w:rPr>
          <w:rFonts w:eastAsiaTheme="minorHAnsi"/>
        </w:rPr>
        <w:t>Policy changes</w:t>
      </w:r>
    </w:p>
    <w:p w14:paraId="0A6C0AD0" w14:textId="77777777" w:rsidR="002A2FAE" w:rsidRPr="00027624" w:rsidRDefault="002A2FAE" w:rsidP="002A2FAE">
      <w:r w:rsidRPr="00027624">
        <w:t>Elements of the retirement income system have been reviewed extensively over the past decade by the:</w:t>
      </w:r>
    </w:p>
    <w:p w14:paraId="6DE776D8" w14:textId="77777777" w:rsidR="002A2FAE" w:rsidRPr="00027624" w:rsidRDefault="002A2FAE" w:rsidP="00223830">
      <w:pPr>
        <w:pStyle w:val="Bullet"/>
        <w:rPr>
          <w:i/>
        </w:rPr>
      </w:pPr>
      <w:r w:rsidRPr="00027624">
        <w:rPr>
          <w:i/>
        </w:rPr>
        <w:t>2009 Harmer Review</w:t>
      </w:r>
    </w:p>
    <w:p w14:paraId="63C73FE4" w14:textId="77777777" w:rsidR="002A2FAE" w:rsidRPr="00027624" w:rsidRDefault="002A2FAE" w:rsidP="00223830">
      <w:pPr>
        <w:pStyle w:val="Bullet"/>
        <w:rPr>
          <w:i/>
        </w:rPr>
      </w:pPr>
      <w:r w:rsidRPr="00027624">
        <w:rPr>
          <w:i/>
        </w:rPr>
        <w:t>2009 Cooper Review</w:t>
      </w:r>
    </w:p>
    <w:p w14:paraId="6DEAFEBE" w14:textId="77777777" w:rsidR="002A2FAE" w:rsidRPr="00027624" w:rsidRDefault="002A2FAE" w:rsidP="00223830">
      <w:pPr>
        <w:pStyle w:val="Bullet"/>
        <w:rPr>
          <w:i/>
        </w:rPr>
      </w:pPr>
      <w:r w:rsidRPr="00027624">
        <w:rPr>
          <w:i/>
        </w:rPr>
        <w:t>2010 Henry Review</w:t>
      </w:r>
    </w:p>
    <w:p w14:paraId="6B3BB4F5" w14:textId="77777777" w:rsidR="002A2FAE" w:rsidRPr="00027624" w:rsidRDefault="002A2FAE" w:rsidP="00223830">
      <w:pPr>
        <w:pStyle w:val="Bullet"/>
        <w:rPr>
          <w:i/>
        </w:rPr>
      </w:pPr>
      <w:r w:rsidRPr="00027624">
        <w:rPr>
          <w:i/>
        </w:rPr>
        <w:t>2014 Financial System Inquiry</w:t>
      </w:r>
    </w:p>
    <w:p w14:paraId="6C9A179B" w14:textId="77777777" w:rsidR="002A2FAE" w:rsidRPr="00027624" w:rsidRDefault="002A2FAE" w:rsidP="00223830">
      <w:pPr>
        <w:pStyle w:val="Bullet"/>
      </w:pPr>
      <w:r w:rsidRPr="00027624">
        <w:t>2016</w:t>
      </w:r>
      <w:r w:rsidR="00A8443E" w:rsidRPr="00027624">
        <w:noBreakHyphen/>
      </w:r>
      <w:r w:rsidRPr="00027624">
        <w:t xml:space="preserve">17 Superannuation Budget Reform Package started by the </w:t>
      </w:r>
      <w:r w:rsidRPr="00027624">
        <w:rPr>
          <w:i/>
        </w:rPr>
        <w:t>2016 Tax White Paper</w:t>
      </w:r>
    </w:p>
    <w:p w14:paraId="6E889835" w14:textId="77777777" w:rsidR="002A2FAE" w:rsidRPr="00027624" w:rsidRDefault="002A2FAE" w:rsidP="00223830">
      <w:pPr>
        <w:pStyle w:val="Bullet"/>
        <w:rPr>
          <w:i/>
        </w:rPr>
      </w:pPr>
      <w:r w:rsidRPr="00027624">
        <w:rPr>
          <w:i/>
        </w:rPr>
        <w:lastRenderedPageBreak/>
        <w:t>2018 Productivity Commission Inquiry Report: Superannuation: Assessing Efficiency and Competitiveness</w:t>
      </w:r>
    </w:p>
    <w:p w14:paraId="09440FAF" w14:textId="77777777" w:rsidR="002A2FAE" w:rsidRPr="00027624" w:rsidRDefault="002A2FAE" w:rsidP="002A2FAE">
      <w:r w:rsidRPr="00027624">
        <w:t>All of these reports recommended, and many resulted in, significant policy reforms.</w:t>
      </w:r>
    </w:p>
    <w:p w14:paraId="131A6BBE" w14:textId="77777777" w:rsidR="002A2FAE" w:rsidRPr="00027624" w:rsidRDefault="002A2FAE" w:rsidP="002A2FAE">
      <w:r w:rsidRPr="00027624">
        <w:t>Many submissions noted, and consumer surveys have consistently found, people are concerned that retirement income policy changes too much</w:t>
      </w:r>
      <w:sdt>
        <w:sdtPr>
          <w:id w:val="341135569"/>
          <w:citation/>
        </w:sdtPr>
        <w:sdtEndPr/>
        <w:sdtContent>
          <w:r w:rsidR="00B216E7">
            <w:fldChar w:fldCharType="begin"/>
          </w:r>
          <w:r w:rsidR="00B216E7">
            <w:instrText xml:space="preserve"> CITATION BETng \l 3081 </w:instrText>
          </w:r>
          <w:r w:rsidR="00B216E7">
            <w:fldChar w:fldCharType="separate"/>
          </w:r>
          <w:r w:rsidR="00E83F6E">
            <w:rPr>
              <w:noProof/>
            </w:rPr>
            <w:t xml:space="preserve"> (BETA, Forthcoming)</w:t>
          </w:r>
          <w:r w:rsidR="00B216E7">
            <w:fldChar w:fldCharType="end"/>
          </w:r>
        </w:sdtContent>
      </w:sdt>
      <w:r w:rsidRPr="00027624">
        <w:t>.</w:t>
      </w:r>
      <w:r w:rsidRPr="00027624">
        <w:rPr>
          <w:rStyle w:val="FootnoteReference"/>
        </w:rPr>
        <w:footnoteReference w:id="267"/>
      </w:r>
      <w:r w:rsidRPr="00027624">
        <w:t xml:space="preserve"> In one survey: 28 per cent of people over the age of 40 who were not retired were worried about changes to the Age Pension; and 26 per cent were worried about changes to superannuation rules.</w:t>
      </w:r>
      <w:r w:rsidRPr="00027624">
        <w:rPr>
          <w:rStyle w:val="FootnoteReference"/>
        </w:rPr>
        <w:footnoteReference w:id="268"/>
      </w:r>
      <w:r w:rsidRPr="00027624">
        <w:t xml:space="preserve"> Some previous Government reviews have also raised the concern that frequent changes to policy and inconsistent policies undermine public confidence in the system</w:t>
      </w:r>
      <w:sdt>
        <w:sdtPr>
          <w:id w:val="1117644012"/>
          <w:citation/>
        </w:sdtPr>
        <w:sdtEndPr/>
        <w:sdtContent>
          <w:r w:rsidRPr="00027624">
            <w:fldChar w:fldCharType="begin"/>
          </w:r>
          <w:r w:rsidRPr="00027624">
            <w:instrText xml:space="preserve">CITATION Fin04 \m Sup10 \l 3081 </w:instrText>
          </w:r>
          <w:r w:rsidRPr="00027624">
            <w:fldChar w:fldCharType="separate"/>
          </w:r>
          <w:r w:rsidR="00E83F6E">
            <w:rPr>
              <w:noProof/>
            </w:rPr>
            <w:t xml:space="preserve"> (Financial System Inquiry, 2014; Super System Review, 2010)</w:t>
          </w:r>
          <w:r w:rsidRPr="00027624">
            <w:fldChar w:fldCharType="end"/>
          </w:r>
        </w:sdtContent>
      </w:sdt>
      <w:r w:rsidRPr="00027624">
        <w:t>.</w:t>
      </w:r>
    </w:p>
    <w:p w14:paraId="77A41037" w14:textId="77777777" w:rsidR="002A2FAE" w:rsidRPr="00027624" w:rsidRDefault="002A2FAE" w:rsidP="002A2FAE">
      <w:r w:rsidRPr="00027624">
        <w:rPr>
          <w:b/>
        </w:rPr>
        <w:t>Older people are particularly concerned about policy changes as they have less time to respond before their retirement</w:t>
      </w:r>
      <w:r w:rsidRPr="00027624">
        <w:t xml:space="preserve"> </w:t>
      </w:r>
      <w:sdt>
        <w:sdtPr>
          <w:id w:val="1099911660"/>
          <w:citation/>
        </w:sdtPr>
        <w:sdtEndPr/>
        <w:sdtContent>
          <w:r w:rsidRPr="00027624">
            <w:fldChar w:fldCharType="begin"/>
          </w:r>
          <w:r w:rsidRPr="00027624">
            <w:instrText>CITATION Sou16 \l 3081  \m Mel18</w:instrText>
          </w:r>
          <w:r w:rsidRPr="00027624">
            <w:fldChar w:fldCharType="separate"/>
          </w:r>
          <w:r w:rsidR="00E83F6E">
            <w:rPr>
              <w:noProof/>
            </w:rPr>
            <w:t>(Souvlis, et al., 2016; Melbourne Business School, 2019)</w:t>
          </w:r>
          <w:r w:rsidRPr="00027624">
            <w:fldChar w:fldCharType="end"/>
          </w:r>
        </w:sdtContent>
      </w:sdt>
      <w:r w:rsidRPr="00027624">
        <w:t>, especially if changes are not grandfathered. Among those who have already retired, surveys show concern about changes to the Age Pension has increased over the past five years. Concern about changes to superannuation has slightly decreased.</w:t>
      </w:r>
      <w:r w:rsidRPr="00027624">
        <w:rPr>
          <w:rStyle w:val="FootnoteReference"/>
        </w:rPr>
        <w:footnoteReference w:id="269"/>
      </w:r>
    </w:p>
    <w:p w14:paraId="6C0F1706" w14:textId="77777777" w:rsidR="002A2FAE" w:rsidRPr="00027624" w:rsidRDefault="002A2FAE" w:rsidP="002A2FAE">
      <w:r w:rsidRPr="00027624">
        <w:rPr>
          <w:b/>
        </w:rPr>
        <w:t xml:space="preserve">Policy reform can </w:t>
      </w:r>
      <w:r w:rsidRPr="00027624">
        <w:rPr>
          <w:b/>
          <w:bCs/>
        </w:rPr>
        <w:t>undermine</w:t>
      </w:r>
      <w:r w:rsidRPr="00027624">
        <w:rPr>
          <w:b/>
        </w:rPr>
        <w:t xml:space="preserve"> public confidence even when it improves outcomes</w:t>
      </w:r>
      <w:r w:rsidRPr="00027624">
        <w:rPr>
          <w:b/>
          <w:bCs/>
        </w:rPr>
        <w:t>.</w:t>
      </w:r>
      <w:r w:rsidRPr="00027624">
        <w:t xml:space="preserve"> For example, a C</w:t>
      </w:r>
      <w:r w:rsidR="00FD0753" w:rsidRPr="00027624">
        <w:t>HOICE</w:t>
      </w:r>
      <w:r w:rsidRPr="00027624">
        <w:t xml:space="preserve"> consumer focus group found people were anxious about the 2016</w:t>
      </w:r>
      <w:r w:rsidR="00A8443E" w:rsidRPr="00027624">
        <w:noBreakHyphen/>
      </w:r>
      <w:r w:rsidRPr="00027624">
        <w:t>17 Budget Superannuation Reform Package</w:t>
      </w:r>
      <w:sdt>
        <w:sdtPr>
          <w:id w:val="225498071"/>
          <w:citation/>
        </w:sdtPr>
        <w:sdtEndPr/>
        <w:sdtContent>
          <w:r w:rsidR="00AB0822" w:rsidRPr="00027624">
            <w:fldChar w:fldCharType="begin"/>
          </w:r>
          <w:r w:rsidR="00AB0822" w:rsidRPr="00027624">
            <w:instrText xml:space="preserve">CITATION Sup20 \p 5 \l 3081 </w:instrText>
          </w:r>
          <w:r w:rsidR="00AB0822" w:rsidRPr="00027624">
            <w:fldChar w:fldCharType="separate"/>
          </w:r>
          <w:r w:rsidR="00E83F6E">
            <w:rPr>
              <w:noProof/>
            </w:rPr>
            <w:t xml:space="preserve"> (Super Consumers Australia, 2020, p. 5)</w:t>
          </w:r>
          <w:r w:rsidR="00AB0822" w:rsidRPr="00027624">
            <w:fldChar w:fldCharType="end"/>
          </w:r>
        </w:sdtContent>
      </w:sdt>
      <w:r w:rsidRPr="00027624">
        <w:t>. This was despite the package aiming to improve sustainability and confidence in the system by reducing the extent to which superannuation could be used for non</w:t>
      </w:r>
      <w:r w:rsidR="00A8443E" w:rsidRPr="00027624">
        <w:noBreakHyphen/>
      </w:r>
      <w:r w:rsidRPr="00027624">
        <w:t xml:space="preserve">retirement income purposes </w:t>
      </w:r>
      <w:sdt>
        <w:sdtPr>
          <w:id w:val="1433939477"/>
          <w:citation/>
        </w:sdtPr>
        <w:sdtEndPr/>
        <w:sdtContent>
          <w:r w:rsidRPr="00027624">
            <w:fldChar w:fldCharType="begin"/>
          </w:r>
          <w:r w:rsidRPr="00027624">
            <w:instrText xml:space="preserve">CITATION TreB16 \l 3081 </w:instrText>
          </w:r>
          <w:r w:rsidRPr="00027624">
            <w:fldChar w:fldCharType="separate"/>
          </w:r>
          <w:r w:rsidR="00E83F6E">
            <w:rPr>
              <w:noProof/>
            </w:rPr>
            <w:t>(The Treasury, 2016a)</w:t>
          </w:r>
          <w:r w:rsidRPr="00027624">
            <w:fldChar w:fldCharType="end"/>
          </w:r>
        </w:sdtContent>
      </w:sdt>
      <w:r w:rsidRPr="00027624">
        <w:t>. Treasury modelling indicated the combination of measures in the package would adversely affect only 4 per cent of superannuation fund members, while benefiting more than 20 per cent</w:t>
      </w:r>
      <w:sdt>
        <w:sdtPr>
          <w:id w:val="-1489709748"/>
          <w:citation/>
        </w:sdtPr>
        <w:sdtEndPr/>
        <w:sdtContent>
          <w:r w:rsidRPr="00027624">
            <w:fldChar w:fldCharType="begin"/>
          </w:r>
          <w:r w:rsidRPr="00027624">
            <w:instrText xml:space="preserve">CITATION TreB16 \l 3081 </w:instrText>
          </w:r>
          <w:r w:rsidRPr="00027624">
            <w:fldChar w:fldCharType="separate"/>
          </w:r>
          <w:r w:rsidR="00E83F6E">
            <w:rPr>
              <w:noProof/>
            </w:rPr>
            <w:t xml:space="preserve"> (The Treasury, 2016a)</w:t>
          </w:r>
          <w:r w:rsidRPr="00027624">
            <w:fldChar w:fldCharType="end"/>
          </w:r>
        </w:sdtContent>
      </w:sdt>
      <w:r w:rsidRPr="00027624">
        <w:t>.</w:t>
      </w:r>
    </w:p>
    <w:p w14:paraId="19F32390" w14:textId="77777777" w:rsidR="002A2FAE" w:rsidRPr="00027624" w:rsidRDefault="002A2FAE" w:rsidP="002A2FAE">
      <w:r w:rsidRPr="00027624">
        <w:t>People</w:t>
      </w:r>
      <w:r w:rsidRPr="00027624" w:rsidDel="00011DBA">
        <w:t xml:space="preserve"> </w:t>
      </w:r>
      <w:r w:rsidRPr="00027624">
        <w:t>can lose confidence in the system because they misunderstand how reforms will affect them. People are more sensitive to losses than gains</w:t>
      </w:r>
      <w:sdt>
        <w:sdtPr>
          <w:id w:val="462315601"/>
          <w:citation/>
        </w:sdtPr>
        <w:sdtEndPr/>
        <w:sdtContent>
          <w:r w:rsidRPr="00027624">
            <w:fldChar w:fldCharType="begin"/>
          </w:r>
          <w:r w:rsidRPr="00027624">
            <w:instrText xml:space="preserve">CITATION Kah79 \l 3081 </w:instrText>
          </w:r>
          <w:r w:rsidRPr="00027624">
            <w:fldChar w:fldCharType="separate"/>
          </w:r>
          <w:r w:rsidR="00E83F6E">
            <w:rPr>
              <w:noProof/>
            </w:rPr>
            <w:t xml:space="preserve"> (Kahneman &amp; Tversky, 1979)</w:t>
          </w:r>
          <w:r w:rsidRPr="00027624">
            <w:fldChar w:fldCharType="end"/>
          </w:r>
        </w:sdtContent>
      </w:sdt>
      <w:r w:rsidRPr="00027624">
        <w:t>. Those adversely affected by policy changes may be more vocal than those who benefit from changes. People who have benefited from policy reform may not be aware they were beneficiaries, partly due to the complexity of the system. For example, the 2016</w:t>
      </w:r>
      <w:r w:rsidR="00A8443E" w:rsidRPr="00027624">
        <w:noBreakHyphen/>
      </w:r>
      <w:r w:rsidRPr="00027624">
        <w:t xml:space="preserve">17 Budget Superannuation Reform Package contained more than 11 measures that affected different cohorts of people in different ways but people may not have understood the changes. </w:t>
      </w:r>
      <w:r w:rsidRPr="00027624">
        <w:rPr>
          <w:b/>
        </w:rPr>
        <w:t>People may be more confident if there is better or more targeted communication about the effects of policy reform.</w:t>
      </w:r>
    </w:p>
    <w:p w14:paraId="1FA811D3" w14:textId="77777777" w:rsidR="002A2FAE" w:rsidRPr="00027624" w:rsidRDefault="002A2FAE" w:rsidP="002A2FAE">
      <w:r w:rsidRPr="00027624">
        <w:t>Stakeholders noted the industry may be contributing to community concerns around reforms by attributing new fees or increases in existing fees to Government reforms</w:t>
      </w:r>
      <w:r w:rsidRPr="00027624" w:rsidDel="00540437">
        <w:t xml:space="preserve"> </w:t>
      </w:r>
      <w:r w:rsidRPr="00027624">
        <w:t>when they disclose the fees to consumers</w:t>
      </w:r>
      <w:r w:rsidR="00AB0822">
        <w:t xml:space="preserve"> </w:t>
      </w:r>
      <w:sdt>
        <w:sdtPr>
          <w:id w:val="1845518908"/>
          <w:citation/>
        </w:sdtPr>
        <w:sdtEndPr/>
        <w:sdtContent>
          <w:r w:rsidR="00AB0822" w:rsidRPr="00027624">
            <w:fldChar w:fldCharType="begin"/>
          </w:r>
          <w:r w:rsidR="00AB0822">
            <w:instrText xml:space="preserve">CITATION Sup20 \p 23-24 \l 3081 </w:instrText>
          </w:r>
          <w:r w:rsidR="00AB0822" w:rsidRPr="00027624">
            <w:fldChar w:fldCharType="separate"/>
          </w:r>
          <w:r w:rsidR="00E83F6E">
            <w:rPr>
              <w:noProof/>
            </w:rPr>
            <w:t>(Super Consumers Australia, 2020, pp. 23-24)</w:t>
          </w:r>
          <w:r w:rsidR="00AB0822" w:rsidRPr="00027624">
            <w:fldChar w:fldCharType="end"/>
          </w:r>
        </w:sdtContent>
      </w:sdt>
      <w:r w:rsidRPr="00027624">
        <w:t>. While policy changes can undermine public confidence, a lack of change can inhibit effective and practical reform.</w:t>
      </w:r>
    </w:p>
    <w:p w14:paraId="0DC07C36" w14:textId="77777777" w:rsidR="002A2FAE" w:rsidRPr="00027624" w:rsidRDefault="002A2FAE" w:rsidP="002A2FAE">
      <w:pPr>
        <w:pStyle w:val="Heading3"/>
        <w:rPr>
          <w:rFonts w:eastAsiaTheme="minorEastAsia"/>
        </w:rPr>
      </w:pPr>
      <w:r w:rsidRPr="00027624">
        <w:rPr>
          <w:rFonts w:eastAsiaTheme="minorEastAsia"/>
        </w:rPr>
        <w:t>Uncertainty over the future of the Age Pension</w:t>
      </w:r>
    </w:p>
    <w:p w14:paraId="2C69CBB5" w14:textId="77777777" w:rsidR="002A2FAE" w:rsidRPr="00027624" w:rsidRDefault="002A2FAE" w:rsidP="002A2FAE">
      <w:pPr>
        <w:pStyle w:val="Bullet"/>
        <w:numPr>
          <w:ilvl w:val="0"/>
          <w:numId w:val="0"/>
        </w:numPr>
      </w:pPr>
      <w:r w:rsidRPr="00027624">
        <w:rPr>
          <w:b/>
        </w:rPr>
        <w:t>Many people are uncertain about the future of the Age Pension.</w:t>
      </w:r>
      <w:r w:rsidRPr="00027624">
        <w:t xml:space="preserve"> Surveys suggest that less than half of all respondents (48 per cent) and only 37 per cent of people aged under 55 agreed the Age Pension will exist when they reach retirement</w:t>
      </w:r>
      <w:sdt>
        <w:sdtPr>
          <w:id w:val="873430642"/>
          <w:citation/>
        </w:sdtPr>
        <w:sdtEndPr/>
        <w:sdtContent>
          <w:r w:rsidRPr="00027624">
            <w:fldChar w:fldCharType="begin"/>
          </w:r>
          <w:r w:rsidR="00C2586A">
            <w:instrText xml:space="preserve">CITATION BETng \l 3081 </w:instrText>
          </w:r>
          <w:r w:rsidRPr="00027624">
            <w:fldChar w:fldCharType="separate"/>
          </w:r>
          <w:r w:rsidR="00E83F6E">
            <w:rPr>
              <w:noProof/>
            </w:rPr>
            <w:t xml:space="preserve"> (BETA, Forthcoming)</w:t>
          </w:r>
          <w:r w:rsidRPr="00027624">
            <w:fldChar w:fldCharType="end"/>
          </w:r>
        </w:sdtContent>
      </w:sdt>
      <w:r w:rsidRPr="00027624">
        <w:t>. The same survey found only 39 per cent of people agreed the Age Pension will maintain a similar value when they reach retirement. For those aged under 55, this number was 28 per cent.</w:t>
      </w:r>
    </w:p>
    <w:p w14:paraId="71B8990C" w14:textId="77777777" w:rsidR="002A2FAE" w:rsidRPr="00027624" w:rsidRDefault="002A2FAE" w:rsidP="002A2FAE">
      <w:pPr>
        <w:pStyle w:val="Bullet"/>
        <w:numPr>
          <w:ilvl w:val="0"/>
          <w:numId w:val="0"/>
        </w:numPr>
      </w:pPr>
      <w:r w:rsidRPr="00027624">
        <w:t xml:space="preserve">One focus group found consensus for the idea that the Government intended to </w:t>
      </w:r>
      <w:r w:rsidR="00A8443E" w:rsidRPr="00027624">
        <w:t>‘</w:t>
      </w:r>
      <w:r w:rsidRPr="00027624">
        <w:t>wean</w:t>
      </w:r>
      <w:r w:rsidR="00A8443E" w:rsidRPr="00027624">
        <w:t>’</w:t>
      </w:r>
      <w:r w:rsidRPr="00027624">
        <w:t xml:space="preserve"> people off the Age Pension by increasing eligibility requirements</w:t>
      </w:r>
      <w:sdt>
        <w:sdtPr>
          <w:id w:val="2145769024"/>
          <w:citation/>
        </w:sdtPr>
        <w:sdtEndPr/>
        <w:sdtContent>
          <w:r w:rsidRPr="00027624">
            <w:fldChar w:fldCharType="begin"/>
          </w:r>
          <w:r w:rsidRPr="00027624">
            <w:instrText xml:space="preserve">CITATION Mel18 \p 37 \l 3081 </w:instrText>
          </w:r>
          <w:r w:rsidRPr="00027624">
            <w:fldChar w:fldCharType="separate"/>
          </w:r>
          <w:r w:rsidR="00E83F6E">
            <w:rPr>
              <w:noProof/>
            </w:rPr>
            <w:t xml:space="preserve"> (Melbourne Business School, 2019, p. 37)</w:t>
          </w:r>
          <w:r w:rsidRPr="00027624">
            <w:fldChar w:fldCharType="end"/>
          </w:r>
        </w:sdtContent>
      </w:sdt>
      <w:r w:rsidRPr="00027624">
        <w:t xml:space="preserve">. </w:t>
      </w:r>
      <w:r w:rsidRPr="00027624">
        <w:lastRenderedPageBreak/>
        <w:t>Other qualitative research has found people have a deep</w:t>
      </w:r>
      <w:r w:rsidR="00A8443E" w:rsidRPr="00027624">
        <w:noBreakHyphen/>
      </w:r>
      <w:r w:rsidRPr="00027624">
        <w:t>seated fear the Age Pension will no longer exist when they retire and their private savings will be insufficient to make up the difference</w:t>
      </w:r>
      <w:sdt>
        <w:sdtPr>
          <w:id w:val="-1093941761"/>
          <w:citation/>
        </w:sdtPr>
        <w:sdtEndPr/>
        <w:sdtContent>
          <w:r w:rsidRPr="00027624">
            <w:fldChar w:fldCharType="begin"/>
          </w:r>
          <w:r w:rsidRPr="00027624">
            <w:instrText xml:space="preserve">CITATION Col10 \p 6,7,35,96 \l 3081 </w:instrText>
          </w:r>
          <w:r w:rsidRPr="00027624">
            <w:fldChar w:fldCharType="separate"/>
          </w:r>
          <w:r w:rsidR="00E83F6E">
            <w:rPr>
              <w:noProof/>
            </w:rPr>
            <w:t xml:space="preserve"> (Colmar Brunton Social Research, 2010, pp. 6,7,35,96)</w:t>
          </w:r>
          <w:r w:rsidRPr="00027624">
            <w:fldChar w:fldCharType="end"/>
          </w:r>
        </w:sdtContent>
      </w:sdt>
      <w:r w:rsidRPr="00027624">
        <w:t>.</w:t>
      </w:r>
    </w:p>
    <w:p w14:paraId="51D44756" w14:textId="77777777" w:rsidR="002A2FAE" w:rsidRPr="00027624" w:rsidRDefault="002A2FAE" w:rsidP="002A2FAE">
      <w:pPr>
        <w:pStyle w:val="Bullet"/>
        <w:numPr>
          <w:ilvl w:val="0"/>
          <w:numId w:val="0"/>
        </w:numPr>
      </w:pPr>
      <w:r w:rsidRPr="00027624">
        <w:t>Some of the concerns around the future of the Age Pension may stem from the 2003 and 2007 Intergenerational Reports, which found Age and Service Pension payments were expected to rise substantially as a percentage of GDP as the population ages</w:t>
      </w:r>
      <w:sdt>
        <w:sdtPr>
          <w:id w:val="1297108242"/>
          <w:citation/>
        </w:sdtPr>
        <w:sdtEndPr/>
        <w:sdtContent>
          <w:r w:rsidRPr="00027624">
            <w:fldChar w:fldCharType="begin"/>
          </w:r>
          <w:r w:rsidRPr="00027624">
            <w:instrText xml:space="preserve">CITATION Tre03 \m Tsy07 \n  \t  \l 3081 </w:instrText>
          </w:r>
          <w:r w:rsidRPr="00027624">
            <w:fldChar w:fldCharType="separate"/>
          </w:r>
          <w:r w:rsidR="00E83F6E">
            <w:rPr>
              <w:noProof/>
            </w:rPr>
            <w:t xml:space="preserve"> (Commonwealth of Australia, 2002; 2007)</w:t>
          </w:r>
          <w:r w:rsidRPr="00027624">
            <w:fldChar w:fldCharType="end"/>
          </w:r>
        </w:sdtContent>
      </w:sdt>
      <w:r w:rsidRPr="00027624">
        <w:t xml:space="preserve">. More recent modelling, including for the 2015 </w:t>
      </w:r>
      <w:r w:rsidRPr="00027624">
        <w:rPr>
          <w:i/>
        </w:rPr>
        <w:t>Intergenerational Report</w:t>
      </w:r>
      <w:r w:rsidRPr="00027624">
        <w:t xml:space="preserve"> </w:t>
      </w:r>
      <w:sdt>
        <w:sdtPr>
          <w:id w:val="-1489165738"/>
          <w:citation/>
        </w:sdtPr>
        <w:sdtEndPr/>
        <w:sdtContent>
          <w:r w:rsidR="00664EC1">
            <w:fldChar w:fldCharType="begin"/>
          </w:r>
          <w:r w:rsidR="00664EC1">
            <w:instrText xml:space="preserve"> CITATION The15 \l 3081 </w:instrText>
          </w:r>
          <w:r w:rsidR="00664EC1">
            <w:fldChar w:fldCharType="separate"/>
          </w:r>
          <w:r w:rsidR="00E83F6E">
            <w:rPr>
              <w:noProof/>
            </w:rPr>
            <w:t>(Commonwealth of Australia, 2015)</w:t>
          </w:r>
          <w:r w:rsidR="00664EC1">
            <w:fldChar w:fldCharType="end"/>
          </w:r>
        </w:sdtContent>
      </w:sdt>
      <w:r w:rsidRPr="00027624">
        <w:t xml:space="preserve"> and for this review, projected the cost of the Age Pension as a percentage of GDP to decline over the next 40 years.</w:t>
      </w:r>
    </w:p>
    <w:p w14:paraId="57C19052" w14:textId="1B06B1AC" w:rsidR="002A2FAE" w:rsidRPr="00027624" w:rsidRDefault="002A2FAE" w:rsidP="002A2FAE">
      <w:pPr>
        <w:pStyle w:val="Bullet"/>
        <w:numPr>
          <w:ilvl w:val="0"/>
          <w:numId w:val="0"/>
        </w:numPr>
      </w:pPr>
      <w:r w:rsidRPr="00027624">
        <w:t>While the Age Pension has broad public support</w:t>
      </w:r>
      <w:sdt>
        <w:sdtPr>
          <w:id w:val="597288403"/>
          <w:citation/>
        </w:sdtPr>
        <w:sdtEndPr/>
        <w:sdtContent>
          <w:r w:rsidRPr="00027624">
            <w:fldChar w:fldCharType="begin"/>
          </w:r>
          <w:r w:rsidRPr="00027624">
            <w:instrText xml:space="preserve">CITATION McC18 \l 3081 </w:instrText>
          </w:r>
          <w:r w:rsidRPr="00027624">
            <w:fldChar w:fldCharType="separate"/>
          </w:r>
          <w:r w:rsidR="00E83F6E">
            <w:rPr>
              <w:noProof/>
            </w:rPr>
            <w:t xml:space="preserve"> (McCallum &amp; Rees, 2018)</w:t>
          </w:r>
          <w:r w:rsidRPr="00027624">
            <w:fldChar w:fldCharType="end"/>
          </w:r>
        </w:sdtContent>
      </w:sdt>
      <w:r w:rsidRPr="00027624">
        <w:t xml:space="preserve"> (</w:t>
      </w:r>
      <w:r w:rsidRPr="00027624">
        <w:fldChar w:fldCharType="begin"/>
      </w:r>
      <w:r w:rsidRPr="00027624">
        <w:instrText xml:space="preserve"> REF _Ref39485243 \r \h  \* MERGEFORMAT </w:instrText>
      </w:r>
      <w:r w:rsidRPr="00027624">
        <w:fldChar w:fldCharType="separate"/>
      </w:r>
      <w:r w:rsidR="00891058">
        <w:t>Table 4A-2</w:t>
      </w:r>
      <w:r w:rsidRPr="00027624">
        <w:fldChar w:fldCharType="end"/>
      </w:r>
      <w:r w:rsidRPr="00027624">
        <w:t>), concerns around the future of the Age Pension may stem from different views as to its role as either a:</w:t>
      </w:r>
    </w:p>
    <w:p w14:paraId="37CA9113" w14:textId="77777777" w:rsidR="002A2FAE" w:rsidRPr="00027624" w:rsidRDefault="002A2FAE" w:rsidP="00223830">
      <w:pPr>
        <w:pStyle w:val="Bullet"/>
      </w:pPr>
      <w:r w:rsidRPr="00027624">
        <w:t>Safety net or poverty relief for those who do not have enough private savings</w:t>
      </w:r>
    </w:p>
    <w:p w14:paraId="712C6655" w14:textId="77777777" w:rsidR="002A2FAE" w:rsidRPr="00027624" w:rsidRDefault="002A2FAE" w:rsidP="002A2FAE">
      <w:pPr>
        <w:pStyle w:val="Bullet"/>
        <w:numPr>
          <w:ilvl w:val="0"/>
          <w:numId w:val="0"/>
        </w:numPr>
        <w:ind w:left="284"/>
      </w:pPr>
      <w:r w:rsidRPr="00027624">
        <w:t>or</w:t>
      </w:r>
    </w:p>
    <w:p w14:paraId="4F5EC250" w14:textId="77777777" w:rsidR="002A2FAE" w:rsidRPr="00027624" w:rsidRDefault="002A2FAE" w:rsidP="00223830">
      <w:pPr>
        <w:pStyle w:val="Bullet"/>
      </w:pPr>
      <w:r w:rsidRPr="00027624">
        <w:t>Primary form of income support for most retirees</w:t>
      </w:r>
    </w:p>
    <w:p w14:paraId="01516596" w14:textId="77777777" w:rsidR="002A2FAE" w:rsidRPr="00027624" w:rsidRDefault="002A2FAE" w:rsidP="002A2FAE">
      <w:pPr>
        <w:pStyle w:val="Bullet"/>
        <w:numPr>
          <w:ilvl w:val="0"/>
          <w:numId w:val="0"/>
        </w:numPr>
      </w:pPr>
      <w:r w:rsidRPr="00027624">
        <w:t xml:space="preserve">Some stakeholders supported a universal (not means tested) Age Pension to better enable people to plan for their retirement </w:t>
      </w:r>
      <w:sdt>
        <w:sdtPr>
          <w:id w:val="-1348628409"/>
          <w:citation/>
        </w:sdtPr>
        <w:sdtEndPr/>
        <w:sdtContent>
          <w:r w:rsidRPr="00027624">
            <w:fldChar w:fldCharType="begin"/>
          </w:r>
          <w:r w:rsidRPr="00027624">
            <w:instrText>CITATION AMK20 \l 3081  \m Mer20 \m DrC20</w:instrText>
          </w:r>
          <w:r w:rsidRPr="00027624">
            <w:fldChar w:fldCharType="separate"/>
          </w:r>
          <w:r w:rsidR="00E83F6E">
            <w:rPr>
              <w:noProof/>
            </w:rPr>
            <w:t>(Davis, 2020; Mercer, 2020; Murray, 2020)</w:t>
          </w:r>
          <w:r w:rsidRPr="00027624">
            <w:fldChar w:fldCharType="end"/>
          </w:r>
        </w:sdtContent>
      </w:sdt>
      <w:r w:rsidRPr="00027624">
        <w:t>, or because they believe the original intent of the Age Pension was to provide universal support</w:t>
      </w:r>
      <w:sdt>
        <w:sdtPr>
          <w:id w:val="-1491939050"/>
          <w:citation/>
        </w:sdtPr>
        <w:sdtEndPr/>
        <w:sdtContent>
          <w:r w:rsidRPr="00027624">
            <w:fldChar w:fldCharType="begin"/>
          </w:r>
          <w:r w:rsidRPr="00027624">
            <w:instrText xml:space="preserve"> CITATION VOI20 \l 3081 </w:instrText>
          </w:r>
          <w:r w:rsidRPr="00027624">
            <w:fldChar w:fldCharType="separate"/>
          </w:r>
          <w:r w:rsidR="00E83F6E">
            <w:rPr>
              <w:noProof/>
            </w:rPr>
            <w:t xml:space="preserve"> (Australian Pensioner Voice, 2020)</w:t>
          </w:r>
          <w:r w:rsidRPr="00027624">
            <w:fldChar w:fldCharType="end"/>
          </w:r>
        </w:sdtContent>
      </w:sdt>
      <w:r w:rsidRPr="00027624">
        <w:t xml:space="preserve">. Some stakeholders cited historical policy statements by lawmakers as reasons for this view </w:t>
      </w:r>
      <w:sdt>
        <w:sdtPr>
          <w:id w:val="-742796592"/>
          <w:citation/>
        </w:sdtPr>
        <w:sdtEndPr/>
        <w:sdtContent>
          <w:r w:rsidRPr="00027624">
            <w:fldChar w:fldCharType="begin"/>
          </w:r>
          <w:r w:rsidRPr="00027624">
            <w:instrText xml:space="preserve"> CITATION You20 \l 3081 </w:instrText>
          </w:r>
          <w:r w:rsidRPr="00027624">
            <w:fldChar w:fldCharType="separate"/>
          </w:r>
          <w:r w:rsidR="00E83F6E">
            <w:rPr>
              <w:noProof/>
            </w:rPr>
            <w:t>(Your Life Choices, 2020)</w:t>
          </w:r>
          <w:r w:rsidRPr="00027624">
            <w:fldChar w:fldCharType="end"/>
          </w:r>
        </w:sdtContent>
      </w:sdt>
      <w:r w:rsidRPr="00027624">
        <w:t>. The National Welfare Fund, which operated from the 1940s until the 1980s, may also have contributed to this belief. Its associated Social Services Contribution may have been perceived by some older Australians as pre</w:t>
      </w:r>
      <w:r w:rsidR="00A8443E" w:rsidRPr="00027624">
        <w:noBreakHyphen/>
      </w:r>
      <w:r w:rsidRPr="00027624">
        <w:t xml:space="preserve">funding their Age Pension entitlement. </w:t>
      </w:r>
      <w:bookmarkStart w:id="4078" w:name="_Hlk45027796"/>
      <w:r w:rsidRPr="00027624">
        <w:t>In fact, receiving the Age Pension has always been contingent on meeting eligibility and means test criteria. Entitlement has never been based on contributions.</w:t>
      </w:r>
    </w:p>
    <w:bookmarkEnd w:id="4078"/>
    <w:p w14:paraId="2AB2DBE6" w14:textId="77777777" w:rsidR="002A2FAE" w:rsidRPr="00027624" w:rsidRDefault="002A2FAE" w:rsidP="002A2FAE">
      <w:pPr>
        <w:pStyle w:val="Bullet"/>
        <w:numPr>
          <w:ilvl w:val="0"/>
          <w:numId w:val="0"/>
        </w:numPr>
      </w:pPr>
      <w:r w:rsidRPr="00027624">
        <w:t>Others considered the role of superannuation is to reduce or replace the Age Pension. Some stakeholders argued the system should be designed to reduce reliance on the Age Pension</w:t>
      </w:r>
      <w:sdt>
        <w:sdtPr>
          <w:id w:val="926536363"/>
          <w:citation/>
        </w:sdtPr>
        <w:sdtEndPr/>
        <w:sdtContent>
          <w:r w:rsidRPr="00027624">
            <w:fldChar w:fldCharType="begin"/>
          </w:r>
          <w:r w:rsidRPr="00027624">
            <w:instrText xml:space="preserve">CITATION Busn20 \l 3081 </w:instrText>
          </w:r>
          <w:r w:rsidRPr="00027624">
            <w:fldChar w:fldCharType="separate"/>
          </w:r>
          <w:r w:rsidR="00E83F6E">
            <w:rPr>
              <w:noProof/>
            </w:rPr>
            <w:t xml:space="preserve"> (Business Council of Australia, 2020)</w:t>
          </w:r>
          <w:r w:rsidRPr="00027624">
            <w:fldChar w:fldCharType="end"/>
          </w:r>
        </w:sdtContent>
      </w:sdt>
      <w:r w:rsidRPr="00027624">
        <w:t>. Other submissions suggested people have a more dignified retirement when they are self</w:t>
      </w:r>
      <w:r w:rsidR="00A8443E" w:rsidRPr="00027624">
        <w:noBreakHyphen/>
      </w:r>
      <w:r w:rsidRPr="00027624">
        <w:t>sufficient and not relying on the Age Pension</w:t>
      </w:r>
      <w:sdt>
        <w:sdtPr>
          <w:id w:val="-1902505535"/>
          <w:citation/>
        </w:sdtPr>
        <w:sdtEndPr/>
        <w:sdtContent>
          <w:r w:rsidRPr="00027624">
            <w:fldChar w:fldCharType="begin"/>
          </w:r>
          <w:r w:rsidRPr="00027624">
            <w:instrText xml:space="preserve">CITATION AMP20 \p 7 \l 3081 </w:instrText>
          </w:r>
          <w:r w:rsidRPr="00027624">
            <w:fldChar w:fldCharType="separate"/>
          </w:r>
          <w:r w:rsidR="00E83F6E">
            <w:rPr>
              <w:noProof/>
            </w:rPr>
            <w:t xml:space="preserve"> (AMP, 2020, p. 7)</w:t>
          </w:r>
          <w:r w:rsidRPr="00027624">
            <w:fldChar w:fldCharType="end"/>
          </w:r>
        </w:sdtContent>
      </w:sdt>
      <w:r w:rsidRPr="00027624">
        <w:t>, and that the system should encourage people to be self</w:t>
      </w:r>
      <w:r w:rsidR="00A8443E" w:rsidRPr="00027624">
        <w:noBreakHyphen/>
      </w:r>
      <w:r w:rsidRPr="00027624">
        <w:t>reliant</w:t>
      </w:r>
      <w:sdt>
        <w:sdtPr>
          <w:id w:val="-1749645984"/>
          <w:citation/>
        </w:sdtPr>
        <w:sdtEndPr/>
        <w:sdtContent>
          <w:r w:rsidR="00B216E7">
            <w:fldChar w:fldCharType="begin"/>
          </w:r>
          <w:r w:rsidR="00B216E7">
            <w:instrText xml:space="preserve">CITATION Sel20 \p 26 \l 3081 </w:instrText>
          </w:r>
          <w:r w:rsidR="00B216E7">
            <w:fldChar w:fldCharType="separate"/>
          </w:r>
          <w:r w:rsidR="00E83F6E">
            <w:rPr>
              <w:noProof/>
            </w:rPr>
            <w:t xml:space="preserve"> (Self-managed Independent Superannuation Funds Association, 2020, p. 26)</w:t>
          </w:r>
          <w:r w:rsidR="00B216E7">
            <w:fldChar w:fldCharType="end"/>
          </w:r>
        </w:sdtContent>
      </w:sdt>
      <w:r w:rsidRPr="00027624">
        <w:t>.</w:t>
      </w:r>
    </w:p>
    <w:p w14:paraId="2AAAC712" w14:textId="77777777" w:rsidR="002A2FAE" w:rsidRPr="00027624" w:rsidRDefault="002A2FAE" w:rsidP="002A2FAE">
      <w:pPr>
        <w:pStyle w:val="Bullet"/>
        <w:numPr>
          <w:ilvl w:val="0"/>
          <w:numId w:val="0"/>
        </w:numPr>
      </w:pPr>
      <w:r w:rsidRPr="00027624">
        <w:t>These different views about the role of the Age Pension, in addition to concerns about its future costs, may be contributing to concerns about its future.</w:t>
      </w:r>
    </w:p>
    <w:p w14:paraId="74A3CB93" w14:textId="77777777" w:rsidR="002A2FAE" w:rsidRPr="00027624" w:rsidRDefault="002A2FAE" w:rsidP="00FC7361">
      <w:pPr>
        <w:pStyle w:val="TableMainHeading"/>
        <w:numPr>
          <w:ilvl w:val="3"/>
          <w:numId w:val="28"/>
        </w:numPr>
        <w:rPr>
          <w:rFonts w:eastAsiaTheme="minorHAnsi"/>
        </w:rPr>
      </w:pPr>
      <w:bookmarkStart w:id="4079" w:name="_Ref39485243"/>
      <w:r w:rsidRPr="00027624">
        <w:rPr>
          <w:rFonts w:eastAsiaTheme="minorHAnsi"/>
        </w:rPr>
        <w:t xml:space="preserve">Views on who should be eligible for the </w:t>
      </w:r>
      <w:bookmarkEnd w:id="4079"/>
      <w:r w:rsidRPr="00027624">
        <w:rPr>
          <w:rFonts w:eastAsiaTheme="minorHAnsi"/>
        </w:rPr>
        <w:t>Age Pension</w:t>
      </w:r>
    </w:p>
    <w:tbl>
      <w:tblPr>
        <w:tblW w:w="5000" w:type="pct"/>
        <w:tblLook w:val="01E0" w:firstRow="1" w:lastRow="1" w:firstColumn="1" w:lastColumn="1" w:noHBand="0" w:noVBand="0"/>
      </w:tblPr>
      <w:tblGrid>
        <w:gridCol w:w="4881"/>
        <w:gridCol w:w="4189"/>
      </w:tblGrid>
      <w:tr w:rsidR="002A2FAE" w:rsidRPr="00027624" w14:paraId="6728305D" w14:textId="77777777" w:rsidTr="00AD6771">
        <w:trPr>
          <w:tblHeader/>
        </w:trPr>
        <w:tc>
          <w:tcPr>
            <w:tcW w:w="2691" w:type="pct"/>
            <w:shd w:val="clear" w:color="auto" w:fill="E5E5E5"/>
          </w:tcPr>
          <w:p w14:paraId="4AC5BA47" w14:textId="77777777" w:rsidR="002A2FAE" w:rsidRPr="00027624" w:rsidRDefault="002A2FAE" w:rsidP="002A2FAE">
            <w:pPr>
              <w:pStyle w:val="TableColumnHeadingLeft"/>
            </w:pPr>
            <w:r w:rsidRPr="00027624">
              <w:br w:type="page"/>
              <w:t>Eligibility criteria</w:t>
            </w:r>
          </w:p>
        </w:tc>
        <w:tc>
          <w:tcPr>
            <w:tcW w:w="2309" w:type="pct"/>
            <w:shd w:val="clear" w:color="auto" w:fill="E5E5E5"/>
          </w:tcPr>
          <w:p w14:paraId="1E881F5F" w14:textId="77777777" w:rsidR="002A2FAE" w:rsidRPr="00027624" w:rsidRDefault="002A2FAE" w:rsidP="002A2FAE">
            <w:pPr>
              <w:pStyle w:val="TableColumnHeadingLeft"/>
              <w:jc w:val="center"/>
            </w:pPr>
            <w:r w:rsidRPr="00027624">
              <w:t>Per cent in agreement</w:t>
            </w:r>
          </w:p>
        </w:tc>
      </w:tr>
      <w:tr w:rsidR="002A2FAE" w:rsidRPr="00027624" w14:paraId="30E3EB72" w14:textId="77777777" w:rsidTr="00AD6771">
        <w:trPr>
          <w:tblHeader/>
        </w:trPr>
        <w:tc>
          <w:tcPr>
            <w:tcW w:w="2691" w:type="pct"/>
            <w:shd w:val="clear" w:color="auto" w:fill="auto"/>
          </w:tcPr>
          <w:p w14:paraId="0BD44A1D" w14:textId="77777777" w:rsidR="002A2FAE" w:rsidRPr="00027624" w:rsidRDefault="002A2FAE" w:rsidP="002A2FAE">
            <w:pPr>
              <w:pStyle w:val="TableTextLeft"/>
            </w:pPr>
            <w:r w:rsidRPr="00027624">
              <w:t>Full payment for all, irrespective of other income</w:t>
            </w:r>
          </w:p>
        </w:tc>
        <w:tc>
          <w:tcPr>
            <w:tcW w:w="2309" w:type="pct"/>
            <w:shd w:val="clear" w:color="auto" w:fill="auto"/>
          </w:tcPr>
          <w:p w14:paraId="6A2BE458" w14:textId="77777777" w:rsidR="002A2FAE" w:rsidRPr="00027624" w:rsidRDefault="002A2FAE" w:rsidP="002A2FAE">
            <w:pPr>
              <w:pStyle w:val="TableTextLeft"/>
              <w:jc w:val="center"/>
            </w:pPr>
            <w:r w:rsidRPr="00027624">
              <w:t>15.4</w:t>
            </w:r>
          </w:p>
        </w:tc>
      </w:tr>
      <w:tr w:rsidR="002A2FAE" w:rsidRPr="00027624" w14:paraId="2DC84D8C" w14:textId="77777777" w:rsidTr="00AD6771">
        <w:trPr>
          <w:tblHeader/>
        </w:trPr>
        <w:tc>
          <w:tcPr>
            <w:tcW w:w="2691" w:type="pct"/>
            <w:shd w:val="clear" w:color="auto" w:fill="auto"/>
          </w:tcPr>
          <w:p w14:paraId="32CC4856" w14:textId="77777777" w:rsidR="002A2FAE" w:rsidRPr="00027624" w:rsidRDefault="002A2FAE" w:rsidP="002A2FAE">
            <w:pPr>
              <w:pStyle w:val="TableTextLeft"/>
            </w:pPr>
            <w:r w:rsidRPr="00027624">
              <w:t>At least part payment for all, irrespective of other income</w:t>
            </w:r>
          </w:p>
        </w:tc>
        <w:tc>
          <w:tcPr>
            <w:tcW w:w="2309" w:type="pct"/>
            <w:shd w:val="clear" w:color="auto" w:fill="auto"/>
          </w:tcPr>
          <w:p w14:paraId="61FFCF80" w14:textId="77777777" w:rsidR="002A2FAE" w:rsidRPr="00027624" w:rsidRDefault="002A2FAE" w:rsidP="002A2FAE">
            <w:pPr>
              <w:pStyle w:val="TableTextLeft"/>
              <w:jc w:val="center"/>
            </w:pPr>
            <w:r w:rsidRPr="00027624">
              <w:t>49.5</w:t>
            </w:r>
          </w:p>
        </w:tc>
      </w:tr>
      <w:tr w:rsidR="002A2FAE" w:rsidRPr="00027624" w14:paraId="47977D92" w14:textId="77777777" w:rsidTr="00AD6771">
        <w:trPr>
          <w:tblHeader/>
        </w:trPr>
        <w:tc>
          <w:tcPr>
            <w:tcW w:w="2691" w:type="pct"/>
            <w:shd w:val="clear" w:color="auto" w:fill="auto"/>
          </w:tcPr>
          <w:p w14:paraId="7853CAD9" w14:textId="77777777" w:rsidR="002A2FAE" w:rsidRPr="00027624" w:rsidRDefault="002A2FAE" w:rsidP="002A2FAE">
            <w:pPr>
              <w:pStyle w:val="TableTextLeft"/>
            </w:pPr>
            <w:r w:rsidRPr="00027624">
              <w:t>Only paid to those without other income</w:t>
            </w:r>
          </w:p>
        </w:tc>
        <w:tc>
          <w:tcPr>
            <w:tcW w:w="2309" w:type="pct"/>
            <w:shd w:val="clear" w:color="auto" w:fill="auto"/>
          </w:tcPr>
          <w:p w14:paraId="4199E29D" w14:textId="77777777" w:rsidR="002A2FAE" w:rsidRPr="00027624" w:rsidRDefault="002A2FAE" w:rsidP="002A2FAE">
            <w:pPr>
              <w:pStyle w:val="TableTextLeft"/>
              <w:jc w:val="center"/>
            </w:pPr>
            <w:r w:rsidRPr="00027624">
              <w:t>28.4</w:t>
            </w:r>
          </w:p>
        </w:tc>
      </w:tr>
      <w:tr w:rsidR="002A2FAE" w:rsidRPr="00027624" w14:paraId="517CE946" w14:textId="77777777" w:rsidTr="00AD6771">
        <w:trPr>
          <w:tblHeader/>
        </w:trPr>
        <w:tc>
          <w:tcPr>
            <w:tcW w:w="2691" w:type="pct"/>
            <w:shd w:val="clear" w:color="auto" w:fill="auto"/>
          </w:tcPr>
          <w:p w14:paraId="19B93065" w14:textId="77777777" w:rsidR="002A2FAE" w:rsidRPr="00027624" w:rsidRDefault="002A2FAE" w:rsidP="002A2FAE">
            <w:pPr>
              <w:pStyle w:val="TableTextLeft"/>
            </w:pPr>
            <w:r w:rsidRPr="00027624">
              <w:t>Nobody should receive the Age Pension</w:t>
            </w:r>
          </w:p>
        </w:tc>
        <w:tc>
          <w:tcPr>
            <w:tcW w:w="2309" w:type="pct"/>
            <w:shd w:val="clear" w:color="auto" w:fill="auto"/>
          </w:tcPr>
          <w:p w14:paraId="70824ACF" w14:textId="77777777" w:rsidR="002A2FAE" w:rsidRPr="00027624" w:rsidRDefault="002A2FAE" w:rsidP="002A2FAE">
            <w:pPr>
              <w:pStyle w:val="TableTextLeft"/>
              <w:jc w:val="center"/>
            </w:pPr>
            <w:r w:rsidRPr="00027624">
              <w:t>2.8</w:t>
            </w:r>
          </w:p>
        </w:tc>
      </w:tr>
      <w:tr w:rsidR="002A2FAE" w:rsidRPr="00027624" w14:paraId="62BF0DAE" w14:textId="77777777" w:rsidTr="00AD6771">
        <w:tc>
          <w:tcPr>
            <w:tcW w:w="2691" w:type="pct"/>
          </w:tcPr>
          <w:p w14:paraId="400E08DB" w14:textId="77777777" w:rsidR="002A2FAE" w:rsidRPr="00027624" w:rsidRDefault="002A2FAE" w:rsidP="002A2FAE">
            <w:pPr>
              <w:pStyle w:val="TableTextLeft"/>
            </w:pPr>
            <w:r w:rsidRPr="00027624">
              <w:t>Don</w:t>
            </w:r>
            <w:r w:rsidR="00A8443E" w:rsidRPr="00027624">
              <w:t>’</w:t>
            </w:r>
            <w:r w:rsidRPr="00027624">
              <w:t>t know</w:t>
            </w:r>
          </w:p>
        </w:tc>
        <w:tc>
          <w:tcPr>
            <w:tcW w:w="2309" w:type="pct"/>
          </w:tcPr>
          <w:p w14:paraId="75769F02" w14:textId="77777777" w:rsidR="002A2FAE" w:rsidRPr="00027624" w:rsidRDefault="002A2FAE" w:rsidP="002A2FAE">
            <w:pPr>
              <w:pStyle w:val="TableTextLeft"/>
              <w:jc w:val="center"/>
            </w:pPr>
            <w:r w:rsidRPr="00027624">
              <w:t>3.9</w:t>
            </w:r>
          </w:p>
        </w:tc>
      </w:tr>
    </w:tbl>
    <w:p w14:paraId="567CB316" w14:textId="77777777" w:rsidR="002A2FAE" w:rsidRPr="00027624" w:rsidRDefault="002A2FAE" w:rsidP="002A2FAE">
      <w:pPr>
        <w:pStyle w:val="ChartorTableNote"/>
        <w:rPr>
          <w:rFonts w:eastAsiaTheme="minorHAnsi"/>
        </w:rPr>
      </w:pPr>
      <w:r w:rsidRPr="00027624">
        <w:rPr>
          <w:rFonts w:eastAsiaTheme="minorHAnsi"/>
        </w:rPr>
        <w:t>Source:</w:t>
      </w:r>
      <w:sdt>
        <w:sdtPr>
          <w:rPr>
            <w:rFonts w:eastAsiaTheme="minorHAnsi"/>
          </w:rPr>
          <w:id w:val="-132952038"/>
          <w:citation/>
        </w:sdtPr>
        <w:sdtEndPr/>
        <w:sdtContent>
          <w:r w:rsidRPr="00027624">
            <w:rPr>
              <w:rFonts w:eastAsiaTheme="minorHAnsi"/>
            </w:rPr>
            <w:fldChar w:fldCharType="begin"/>
          </w:r>
          <w:r w:rsidRPr="00027624">
            <w:rPr>
              <w:rFonts w:eastAsiaTheme="minorHAnsi"/>
            </w:rPr>
            <w:instrText xml:space="preserve">CITATION Bra16 \p 18 \l 3081 </w:instrText>
          </w:r>
          <w:r w:rsidRPr="00027624">
            <w:rPr>
              <w:rFonts w:eastAsiaTheme="minorHAnsi"/>
            </w:rPr>
            <w:fldChar w:fldCharType="separate"/>
          </w:r>
          <w:r w:rsidR="00E83F6E">
            <w:rPr>
              <w:rFonts w:eastAsiaTheme="minorHAnsi"/>
              <w:noProof/>
            </w:rPr>
            <w:t xml:space="preserve"> </w:t>
          </w:r>
          <w:r w:rsidR="00E83F6E" w:rsidRPr="00E83F6E">
            <w:rPr>
              <w:rFonts w:eastAsiaTheme="minorHAnsi"/>
              <w:noProof/>
            </w:rPr>
            <w:t>(Bray &amp; Gray, 2016, p. 18)</w:t>
          </w:r>
          <w:r w:rsidRPr="00027624">
            <w:rPr>
              <w:rFonts w:eastAsiaTheme="minorHAnsi"/>
            </w:rPr>
            <w:fldChar w:fldCharType="end"/>
          </w:r>
        </w:sdtContent>
      </w:sdt>
      <w:r w:rsidRPr="00027624">
        <w:rPr>
          <w:rFonts w:eastAsiaTheme="minorHAnsi"/>
        </w:rPr>
        <w:t>.</w:t>
      </w:r>
    </w:p>
    <w:p w14:paraId="08EF3BE5" w14:textId="77777777" w:rsidR="002A2FAE" w:rsidRPr="00027624" w:rsidRDefault="002A2FAE" w:rsidP="002A2FAE">
      <w:pPr>
        <w:pStyle w:val="Heading3"/>
        <w:rPr>
          <w:rFonts w:eastAsiaTheme="minorHAnsi"/>
        </w:rPr>
      </w:pPr>
      <w:r w:rsidRPr="00027624">
        <w:rPr>
          <w:rFonts w:eastAsiaTheme="minorHAnsi"/>
        </w:rPr>
        <w:t>Expectations and realities of retirement outcomes</w:t>
      </w:r>
    </w:p>
    <w:p w14:paraId="5CD97F0E" w14:textId="77777777" w:rsidR="002A2FAE" w:rsidRPr="00027624" w:rsidRDefault="002A2FAE" w:rsidP="002A2FAE">
      <w:r w:rsidRPr="00027624">
        <w:t>Whether people have confidence the retirement income system will produce adequate outcomes depends on their expectations of retirement needs and their confidence in the system to deliver them.</w:t>
      </w:r>
    </w:p>
    <w:p w14:paraId="1EEC2523" w14:textId="6723909F" w:rsidR="002A2FAE" w:rsidRPr="00027624" w:rsidRDefault="002A2FAE" w:rsidP="002A2FAE">
      <w:r w:rsidRPr="00027624">
        <w:rPr>
          <w:b/>
        </w:rPr>
        <w:lastRenderedPageBreak/>
        <w:t>Large numbers of pre</w:t>
      </w:r>
      <w:r w:rsidR="00A8443E" w:rsidRPr="00027624">
        <w:rPr>
          <w:b/>
        </w:rPr>
        <w:noBreakHyphen/>
      </w:r>
      <w:r w:rsidRPr="00027624">
        <w:rPr>
          <w:b/>
        </w:rPr>
        <w:t>retirees fear they are not saving enough to last through their retirement</w:t>
      </w:r>
      <w:sdt>
        <w:sdtPr>
          <w:id w:val="1309978022"/>
          <w:citation/>
        </w:sdtPr>
        <w:sdtEndPr/>
        <w:sdtContent>
          <w:r w:rsidRPr="00027624">
            <w:fldChar w:fldCharType="begin"/>
          </w:r>
          <w:r w:rsidRPr="00027624">
            <w:instrText xml:space="preserve">CITATION Dal18 \l 3081 </w:instrText>
          </w:r>
          <w:r w:rsidRPr="00027624">
            <w:fldChar w:fldCharType="separate"/>
          </w:r>
          <w:r w:rsidR="00E83F6E">
            <w:rPr>
              <w:noProof/>
            </w:rPr>
            <w:t xml:space="preserve"> (Daley, et al., 2018b)</w:t>
          </w:r>
          <w:r w:rsidRPr="00027624">
            <w:fldChar w:fldCharType="end"/>
          </w:r>
        </w:sdtContent>
      </w:sdt>
      <w:r w:rsidRPr="00027624">
        <w:t>.</w:t>
      </w:r>
      <w:r w:rsidRPr="00027624">
        <w:rPr>
          <w:rStyle w:val="FootnoteReference"/>
        </w:rPr>
        <w:footnoteReference w:id="270"/>
      </w:r>
      <w:r w:rsidRPr="00027624">
        <w:t xml:space="preserve"> How much income people expect to have in retirement is significantly less than how much they think they would like or need (</w:t>
      </w:r>
      <w:r w:rsidRPr="00027624">
        <w:fldChar w:fldCharType="begin"/>
      </w:r>
      <w:r w:rsidRPr="00027624">
        <w:instrText xml:space="preserve"> REF _Ref39244069 \r \h  \* MERGEFORMAT </w:instrText>
      </w:r>
      <w:r w:rsidRPr="00027624">
        <w:fldChar w:fldCharType="separate"/>
      </w:r>
      <w:r w:rsidR="00891058">
        <w:t>Chart 4A-27</w:t>
      </w:r>
      <w:r w:rsidRPr="00027624">
        <w:fldChar w:fldCharType="end"/>
      </w:r>
      <w:r w:rsidRPr="00027624">
        <w:t>). One survey found just over half (52 per cent) of respondents think they will reach their retirement aims</w:t>
      </w:r>
      <w:sdt>
        <w:sdtPr>
          <w:id w:val="511339911"/>
          <w:citation/>
        </w:sdtPr>
        <w:sdtEndPr/>
        <w:sdtContent>
          <w:r w:rsidRPr="00027624">
            <w:fldChar w:fldCharType="begin"/>
          </w:r>
          <w:r w:rsidR="00C2586A">
            <w:instrText xml:space="preserve">CITATION BETng \l 3081 </w:instrText>
          </w:r>
          <w:r w:rsidRPr="00027624">
            <w:fldChar w:fldCharType="separate"/>
          </w:r>
          <w:r w:rsidR="00E83F6E">
            <w:rPr>
              <w:noProof/>
            </w:rPr>
            <w:t xml:space="preserve"> (BETA, Forthcoming)</w:t>
          </w:r>
          <w:r w:rsidRPr="00027624">
            <w:fldChar w:fldCharType="end"/>
          </w:r>
        </w:sdtContent>
      </w:sdt>
      <w:r w:rsidRPr="00027624">
        <w:t xml:space="preserve">. Similarly, people do not have confidence in the current regulatory settings. Another survey found only 31 per cent of people agreed they were confident in Government regulations for retirement, and 47 per cent disagreed </w:t>
      </w:r>
      <w:sdt>
        <w:sdtPr>
          <w:id w:val="661593478"/>
          <w:citation/>
        </w:sdtPr>
        <w:sdtEndPr/>
        <w:sdtContent>
          <w:r w:rsidRPr="00027624">
            <w:fldChar w:fldCharType="begin"/>
          </w:r>
          <w:r w:rsidRPr="00027624">
            <w:instrText xml:space="preserve">CITATION Gha17 \l 3081 </w:instrText>
          </w:r>
          <w:r w:rsidRPr="00027624">
            <w:fldChar w:fldCharType="separate"/>
          </w:r>
          <w:r w:rsidR="00E83F6E">
            <w:rPr>
              <w:noProof/>
            </w:rPr>
            <w:t>(Ghafoori, et al., 2017)</w:t>
          </w:r>
          <w:r w:rsidRPr="00027624">
            <w:fldChar w:fldCharType="end"/>
          </w:r>
        </w:sdtContent>
      </w:sdt>
      <w:r w:rsidRPr="00027624">
        <w:t>.</w:t>
      </w:r>
    </w:p>
    <w:p w14:paraId="64597C84" w14:textId="77777777" w:rsidR="002A2FAE" w:rsidRPr="00027624" w:rsidRDefault="002A2FAE" w:rsidP="00FC7361">
      <w:pPr>
        <w:pStyle w:val="ChartMainHeading"/>
        <w:numPr>
          <w:ilvl w:val="2"/>
          <w:numId w:val="28"/>
        </w:numPr>
      </w:pPr>
      <w:bookmarkStart w:id="4080" w:name="_Ref39244069"/>
      <w:r w:rsidRPr="00027624">
        <w:t>Expected monthly retirement income and perceived income required for a comfortable retirement — averages among people who have not yet retired</w:t>
      </w:r>
      <w:bookmarkEnd w:id="4080"/>
    </w:p>
    <w:p w14:paraId="580AB4C2" w14:textId="77777777" w:rsidR="002A2FAE" w:rsidRPr="00027624" w:rsidRDefault="003A49E0" w:rsidP="00D60066">
      <w:pPr>
        <w:pStyle w:val="ChartGraphic"/>
      </w:pPr>
      <w:r>
        <w:rPr>
          <w:noProof/>
        </w:rPr>
        <w:drawing>
          <wp:inline distT="0" distB="0" distL="0" distR="0" wp14:anchorId="42823032" wp14:editId="177FC562">
            <wp:extent cx="5577840" cy="2522220"/>
            <wp:effectExtent l="0" t="0" r="3810" b="0"/>
            <wp:docPr id="815138315" name="Picture 815138315" descr="This chart shows that people yet to retire believe that they will need a higher level of income to be comfortable in retirement than they expect to receive. The level of income perceived to be required for a comfortable retirement  increased from 2015 to 2019 while expected retirement income declined slightly. " title="Chart 4A-27 Expected monthly retirement income and perceived income required for a comfortable retirement — averages among people who have not yet ret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DC56A64" w14:textId="77777777" w:rsidR="002A2FAE" w:rsidRPr="00027624" w:rsidRDefault="002A2FAE" w:rsidP="002A2FAE">
      <w:pPr>
        <w:pStyle w:val="ChartorTableNote"/>
      </w:pPr>
      <w:r w:rsidRPr="00027624">
        <w:t>Source: Investment Trends October 2019 Retirement Income Report.</w:t>
      </w:r>
    </w:p>
    <w:p w14:paraId="098F5819" w14:textId="77777777" w:rsidR="002A2FAE" w:rsidRPr="00027624" w:rsidRDefault="002A2FAE" w:rsidP="002A2FAE">
      <w:r w:rsidRPr="00027624">
        <w:t>Fear of not having enough savings for a comfortable retirement may be exacerbated by industry and media estimates of what constitutes an adequate superannuation balance</w:t>
      </w:r>
      <w:r w:rsidR="00AB0822" w:rsidRPr="00AB0822">
        <w:t xml:space="preserve"> </w:t>
      </w:r>
      <w:sdt>
        <w:sdtPr>
          <w:id w:val="-2003423471"/>
          <w:citation/>
        </w:sdtPr>
        <w:sdtEndPr/>
        <w:sdtContent>
          <w:r w:rsidR="00AB0822" w:rsidRPr="00027624">
            <w:fldChar w:fldCharType="begin"/>
          </w:r>
          <w:r w:rsidR="00AB0822">
            <w:instrText xml:space="preserve">CITATION Sup20 \p 3 \l 3081 </w:instrText>
          </w:r>
          <w:r w:rsidR="00AB0822" w:rsidRPr="00027624">
            <w:fldChar w:fldCharType="separate"/>
          </w:r>
          <w:r w:rsidR="00E83F6E">
            <w:rPr>
              <w:noProof/>
            </w:rPr>
            <w:t>(Super Consumers Australia, 2020, p. 3)</w:t>
          </w:r>
          <w:r w:rsidR="00AB0822" w:rsidRPr="00027624">
            <w:fldChar w:fldCharType="end"/>
          </w:r>
        </w:sdtContent>
      </w:sdt>
      <w:r w:rsidRPr="00027624">
        <w:t>.</w:t>
      </w:r>
    </w:p>
    <w:p w14:paraId="5B335B6C" w14:textId="77777777" w:rsidR="002A2FAE" w:rsidRPr="00027624" w:rsidRDefault="002A2FAE" w:rsidP="002A2FAE">
      <w:r w:rsidRPr="00027624">
        <w:rPr>
          <w:b/>
        </w:rPr>
        <w:t>People who actively prepare for their retirement feel more confident about their expected retirement incomes</w:t>
      </w:r>
      <w:sdt>
        <w:sdtPr>
          <w:id w:val="-1440371130"/>
          <w:citation/>
        </w:sdtPr>
        <w:sdtEndPr/>
        <w:sdtContent>
          <w:r w:rsidRPr="00027624">
            <w:fldChar w:fldCharType="begin"/>
          </w:r>
          <w:r w:rsidRPr="00027624">
            <w:instrText xml:space="preserve">CITATION Bra16 \l 3081 </w:instrText>
          </w:r>
          <w:r w:rsidRPr="00027624">
            <w:fldChar w:fldCharType="separate"/>
          </w:r>
          <w:r w:rsidR="00E83F6E">
            <w:rPr>
              <w:noProof/>
            </w:rPr>
            <w:t xml:space="preserve"> (Bray &amp; Gray, 2016)</w:t>
          </w:r>
          <w:r w:rsidRPr="00027624">
            <w:fldChar w:fldCharType="end"/>
          </w:r>
        </w:sdtContent>
      </w:sdt>
      <w:r w:rsidRPr="00027624">
        <w:t>.</w:t>
      </w:r>
      <w:r w:rsidRPr="00027624">
        <w:rPr>
          <w:rStyle w:val="FootnoteReference"/>
        </w:rPr>
        <w:footnoteReference w:id="271"/>
      </w:r>
      <w:r w:rsidRPr="00027624">
        <w:t xml:space="preserve"> The same is true of people who access financial advice</w:t>
      </w:r>
      <w:r w:rsidRPr="00027624" w:rsidDel="00A171CB">
        <w:t>,</w:t>
      </w:r>
      <w:r w:rsidRPr="00027624">
        <w:t xml:space="preserve"> as discussed in </w:t>
      </w:r>
      <w:r w:rsidRPr="00027624">
        <w:rPr>
          <w:i/>
        </w:rPr>
        <w:t>5A. Cohesion</w:t>
      </w:r>
      <w:r w:rsidRPr="00027624">
        <w:t>. This suggests if access to advice improves, confidence is also likely to improve.</w:t>
      </w:r>
    </w:p>
    <w:p w14:paraId="5C471BBE" w14:textId="77777777" w:rsidR="002A2FAE" w:rsidRPr="00027624" w:rsidRDefault="002A2FAE" w:rsidP="002A2FAE">
      <w:r w:rsidRPr="00027624">
        <w:t xml:space="preserve">Compared to people who have not yet retired, retirees are generally less worried about having enough income to meet ongoing costs in retirement. But </w:t>
      </w:r>
      <w:r w:rsidRPr="00027624" w:rsidDel="00DF6F11">
        <w:t xml:space="preserve">many </w:t>
      </w:r>
      <w:r w:rsidRPr="00027624">
        <w:t>are concerned about running out of funds before they die (see</w:t>
      </w:r>
      <w:r w:rsidRPr="00027624">
        <w:rPr>
          <w:i/>
        </w:rPr>
        <w:t xml:space="preserve"> 5A. Cohesion</w:t>
      </w:r>
      <w:r w:rsidRPr="00027624">
        <w:t>).</w:t>
      </w:r>
      <w:r w:rsidRPr="00027624">
        <w:rPr>
          <w:rStyle w:val="FootnoteReference"/>
        </w:rPr>
        <w:footnoteReference w:id="272"/>
      </w:r>
      <w:r w:rsidRPr="00027624">
        <w:t xml:space="preserve"> Pre</w:t>
      </w:r>
      <w:r w:rsidR="00A8443E" w:rsidRPr="00027624">
        <w:noBreakHyphen/>
      </w:r>
      <w:r w:rsidRPr="00027624">
        <w:t>retirees and retirees appear to have very different ideas about what is needed to achieve a comfortable lifestyle in retirement. One survey found pre</w:t>
      </w:r>
      <w:r w:rsidR="00A8443E" w:rsidRPr="00027624">
        <w:noBreakHyphen/>
      </w:r>
      <w:r w:rsidRPr="00027624">
        <w:t>retiree respondents believed the average SG rate they would need for a comfortable retirement was 12.1 per cent. In contrast, retirees thought it was 10.8 per cent.</w:t>
      </w:r>
      <w:r w:rsidRPr="00027624">
        <w:rPr>
          <w:rStyle w:val="FootnoteReference"/>
        </w:rPr>
        <w:footnoteReference w:id="273"/>
      </w:r>
      <w:r w:rsidRPr="00027624" w:rsidDel="005F4EC0">
        <w:t xml:space="preserve"> </w:t>
      </w:r>
      <w:r w:rsidRPr="00027624" w:rsidDel="001D228D">
        <w:t xml:space="preserve">This suggests </w:t>
      </w:r>
      <w:r w:rsidRPr="00027624">
        <w:t>that until they</w:t>
      </w:r>
      <w:r w:rsidRPr="00027624" w:rsidDel="001D228D">
        <w:t xml:space="preserve"> </w:t>
      </w:r>
      <w:r w:rsidRPr="00027624">
        <w:t>retire, people lack</w:t>
      </w:r>
      <w:r w:rsidRPr="00027624" w:rsidDel="001D228D">
        <w:t xml:space="preserve"> confidence </w:t>
      </w:r>
      <w:r w:rsidRPr="00027624">
        <w:t xml:space="preserve">that </w:t>
      </w:r>
      <w:r w:rsidRPr="00027624" w:rsidDel="001D228D">
        <w:t xml:space="preserve">the system </w:t>
      </w:r>
      <w:r w:rsidRPr="00027624">
        <w:t>will deliver the level of income in retirement they are seeking. Overall</w:t>
      </w:r>
      <w:r w:rsidRPr="00027624" w:rsidDel="001D228D">
        <w:t xml:space="preserve">, </w:t>
      </w:r>
      <w:r w:rsidRPr="00027624" w:rsidDel="001D228D">
        <w:rPr>
          <w:b/>
        </w:rPr>
        <w:t>better community understanding of the system is needed</w:t>
      </w:r>
      <w:r w:rsidRPr="00027624" w:rsidDel="001D228D">
        <w:rPr>
          <w:b/>
          <w:bCs/>
        </w:rPr>
        <w:t>.</w:t>
      </w:r>
    </w:p>
    <w:p w14:paraId="2F003C3D" w14:textId="77777777" w:rsidR="002A2FAE" w:rsidRPr="00027624" w:rsidRDefault="002A2FAE" w:rsidP="002A2FAE">
      <w:pPr>
        <w:pStyle w:val="Heading3"/>
      </w:pPr>
      <w:r w:rsidRPr="00027624">
        <w:t>Loss of public confidence from perceptions of unfairness</w:t>
      </w:r>
    </w:p>
    <w:p w14:paraId="3713BF6F" w14:textId="77777777" w:rsidR="002A2FAE" w:rsidRPr="00027624" w:rsidRDefault="002A2FAE" w:rsidP="002A2FAE">
      <w:r w:rsidRPr="00027624">
        <w:t xml:space="preserve">International evidence shows the public will make political demands when confidence in the retirement income system falls far enough. Events in other nations, such as the following two recent </w:t>
      </w:r>
      <w:r w:rsidRPr="00027624">
        <w:lastRenderedPageBreak/>
        <w:t>international examples, demonstrate what can happen if the public loses confidence in a retirement income system</w:t>
      </w:r>
      <w:r w:rsidR="00A8443E" w:rsidRPr="00027624">
        <w:t>’</w:t>
      </w:r>
      <w:r w:rsidRPr="00027624">
        <w:t>s ability to deliver fair outcomes.</w:t>
      </w:r>
    </w:p>
    <w:p w14:paraId="0BA3E5E9" w14:textId="77777777" w:rsidR="002A2FAE" w:rsidRPr="00027624" w:rsidRDefault="002A2FAE" w:rsidP="002A2FAE">
      <w:pPr>
        <w:pStyle w:val="Heading4"/>
        <w:rPr>
          <w:rFonts w:eastAsiaTheme="minorHAnsi"/>
        </w:rPr>
      </w:pPr>
      <w:r w:rsidRPr="00027624">
        <w:rPr>
          <w:rFonts w:eastAsiaTheme="minorHAnsi"/>
        </w:rPr>
        <w:t>Chile</w:t>
      </w:r>
    </w:p>
    <w:p w14:paraId="29B7D44B" w14:textId="77777777" w:rsidR="002A2FAE" w:rsidRPr="00027624" w:rsidRDefault="002A2FAE" w:rsidP="002A2FAE">
      <w:r w:rsidRPr="00027624">
        <w:t>In 2019, Chile experienced rioting and mass protests over several issues, including adequacy and equity within the existing retirement system</w:t>
      </w:r>
      <w:sdt>
        <w:sdtPr>
          <w:id w:val="-262601963"/>
          <w:citation/>
        </w:sdtPr>
        <w:sdtEndPr/>
        <w:sdtContent>
          <w:r w:rsidRPr="00027624">
            <w:fldChar w:fldCharType="begin"/>
          </w:r>
          <w:r w:rsidRPr="00027624">
            <w:instrText xml:space="preserve"> CITATION Blo19 \l 3081 </w:instrText>
          </w:r>
          <w:r w:rsidRPr="00027624">
            <w:fldChar w:fldCharType="separate"/>
          </w:r>
          <w:r w:rsidR="00E83F6E">
            <w:rPr>
              <w:noProof/>
            </w:rPr>
            <w:t xml:space="preserve"> (Bloomberg, 2019)</w:t>
          </w:r>
          <w:r w:rsidRPr="00027624">
            <w:fldChar w:fldCharType="end"/>
          </w:r>
        </w:sdtContent>
      </w:sdt>
      <w:r w:rsidRPr="00027624">
        <w:t>.</w:t>
      </w:r>
    </w:p>
    <w:p w14:paraId="0C580103" w14:textId="1949219D" w:rsidR="002A2FAE" w:rsidRPr="00027624" w:rsidRDefault="002A2FAE" w:rsidP="002A2FAE">
      <w:r w:rsidRPr="00027624">
        <w:t>Chile</w:t>
      </w:r>
      <w:r w:rsidR="00A8443E" w:rsidRPr="00027624">
        <w:t>’</w:t>
      </w:r>
      <w:r w:rsidRPr="00027624">
        <w:t>s retirement income system is largely privately provided through a mandatory defined contribution scheme managed by a for</w:t>
      </w:r>
      <w:r w:rsidR="00A8443E" w:rsidRPr="00027624">
        <w:noBreakHyphen/>
      </w:r>
      <w:r w:rsidRPr="00027624">
        <w:t>profit funds management industry. It also includes supplementary employer</w:t>
      </w:r>
      <w:r w:rsidR="00A8443E" w:rsidRPr="00027624">
        <w:noBreakHyphen/>
      </w:r>
      <w:r w:rsidRPr="00027624">
        <w:t>sponsored schemes and a small means</w:t>
      </w:r>
      <w:r w:rsidR="00A8443E" w:rsidRPr="00027624">
        <w:noBreakHyphen/>
      </w:r>
      <w:r w:rsidRPr="00027624">
        <w:t>tested social assistance pillar</w:t>
      </w:r>
      <w:r w:rsidR="00FB032B" w:rsidRPr="00FB032B">
        <w:t xml:space="preserve"> </w:t>
      </w:r>
      <w:sdt>
        <w:sdtPr>
          <w:id w:val="-178510383"/>
          <w:citation/>
        </w:sdtPr>
        <w:sdtEndPr/>
        <w:sdtContent>
          <w:r w:rsidR="00FB032B" w:rsidRPr="00027624">
            <w:fldChar w:fldCharType="begin"/>
          </w:r>
          <w:r w:rsidR="00FB032B">
            <w:instrText xml:space="preserve">CITATION MerP191 \p 26 \l 3081 </w:instrText>
          </w:r>
          <w:r w:rsidR="00FB032B" w:rsidRPr="00027624">
            <w:fldChar w:fldCharType="separate"/>
          </w:r>
          <w:r w:rsidR="00E83F6E">
            <w:rPr>
              <w:noProof/>
            </w:rPr>
            <w:t>(Mercer, 2019b, p. 26)</w:t>
          </w:r>
          <w:r w:rsidR="00FB032B" w:rsidRPr="00027624">
            <w:fldChar w:fldCharType="end"/>
          </w:r>
        </w:sdtContent>
      </w:sdt>
      <w:r w:rsidRPr="00027624">
        <w:t>. Chileans expected to receive 70 per cent replacement rates of their final salary if they contributed 10 per cent of their income throughout their working lives</w:t>
      </w:r>
      <w:sdt>
        <w:sdtPr>
          <w:id w:val="1686623600"/>
          <w:citation/>
        </w:sdtPr>
        <w:sdtEndPr/>
        <w:sdtContent>
          <w:r w:rsidRPr="00027624">
            <w:fldChar w:fldCharType="begin"/>
          </w:r>
          <w:r w:rsidRPr="00027624">
            <w:instrText xml:space="preserve"> CITATION The19 \l 3081 </w:instrText>
          </w:r>
          <w:r w:rsidRPr="00027624">
            <w:fldChar w:fldCharType="separate"/>
          </w:r>
          <w:r w:rsidR="00E83F6E">
            <w:rPr>
              <w:noProof/>
            </w:rPr>
            <w:t xml:space="preserve"> (The Economist, 2019)</w:t>
          </w:r>
          <w:r w:rsidRPr="00027624">
            <w:fldChar w:fldCharType="end"/>
          </w:r>
        </w:sdtContent>
      </w:sdt>
      <w:r w:rsidRPr="00027624">
        <w:t>. While Chile</w:t>
      </w:r>
      <w:r w:rsidR="00A8443E" w:rsidRPr="00027624">
        <w:t>’</w:t>
      </w:r>
      <w:r w:rsidRPr="00027624">
        <w:t>s system is considered fiscally sustainable (</w:t>
      </w:r>
      <w:r w:rsidRPr="00027624">
        <w:fldChar w:fldCharType="begin"/>
      </w:r>
      <w:r w:rsidRPr="00027624">
        <w:instrText xml:space="preserve"> REF _Ref39841869 \r \h  \* MERGEFORMAT </w:instrText>
      </w:r>
      <w:r w:rsidRPr="00027624">
        <w:fldChar w:fldCharType="separate"/>
      </w:r>
      <w:r w:rsidR="00891058">
        <w:t>Table 4A-3</w:t>
      </w:r>
      <w:r w:rsidRPr="00027624">
        <w:fldChar w:fldCharType="end"/>
      </w:r>
      <w:r w:rsidRPr="00027624">
        <w:t>)</w:t>
      </w:r>
      <w:r w:rsidR="00FB032B" w:rsidRPr="00FB032B">
        <w:t xml:space="preserve"> </w:t>
      </w:r>
      <w:sdt>
        <w:sdtPr>
          <w:id w:val="-1771540366"/>
          <w:citation/>
        </w:sdtPr>
        <w:sdtEndPr/>
        <w:sdtContent>
          <w:r w:rsidR="00FB032B" w:rsidRPr="00027624">
            <w:fldChar w:fldCharType="begin"/>
          </w:r>
          <w:r w:rsidR="00FB032B">
            <w:instrText xml:space="preserve">CITATION MerP191 \p 26 \l 3081 </w:instrText>
          </w:r>
          <w:r w:rsidR="00FB032B" w:rsidRPr="00027624">
            <w:fldChar w:fldCharType="separate"/>
          </w:r>
          <w:r w:rsidR="00E83F6E">
            <w:rPr>
              <w:noProof/>
            </w:rPr>
            <w:t>(Mercer, 2019b, p. 26)</w:t>
          </w:r>
          <w:r w:rsidR="00FB032B" w:rsidRPr="00027624">
            <w:fldChar w:fldCharType="end"/>
          </w:r>
        </w:sdtContent>
      </w:sdt>
      <w:r w:rsidRPr="00027624">
        <w:t>, it delivers low replacement rates (</w:t>
      </w:r>
      <w:r w:rsidRPr="00027624" w:rsidDel="00D42F5C">
        <w:t>37</w:t>
      </w:r>
      <w:r w:rsidRPr="00027624">
        <w:t xml:space="preserve"> to 45 per cent) </w:t>
      </w:r>
      <w:sdt>
        <w:sdtPr>
          <w:id w:val="50115766"/>
          <w:citation/>
        </w:sdtPr>
        <w:sdtEndPr/>
        <w:sdtContent>
          <w:r w:rsidRPr="00027624">
            <w:fldChar w:fldCharType="begin"/>
          </w:r>
          <w:r w:rsidRPr="00027624">
            <w:instrText xml:space="preserve"> CITATION OEC19d \l 3081 </w:instrText>
          </w:r>
          <w:r w:rsidRPr="00027624">
            <w:fldChar w:fldCharType="separate"/>
          </w:r>
          <w:r w:rsidR="00E83F6E">
            <w:rPr>
              <w:noProof/>
            </w:rPr>
            <w:t>(OECD, 2019b)</w:t>
          </w:r>
          <w:r w:rsidRPr="00027624">
            <w:fldChar w:fldCharType="end"/>
          </w:r>
        </w:sdtContent>
      </w:sdt>
      <w:r w:rsidRPr="00027624">
        <w:t>. Up to one</w:t>
      </w:r>
      <w:r w:rsidR="00A8443E" w:rsidRPr="00027624">
        <w:noBreakHyphen/>
      </w:r>
      <w:r w:rsidRPr="00027624">
        <w:t>third of Chile</w:t>
      </w:r>
      <w:r w:rsidR="00A8443E" w:rsidRPr="00027624">
        <w:t>’</w:t>
      </w:r>
      <w:r w:rsidRPr="00027624">
        <w:t>s population are in irregular employment</w:t>
      </w:r>
      <w:sdt>
        <w:sdtPr>
          <w:id w:val="1935859499"/>
          <w:citation/>
        </w:sdtPr>
        <w:sdtEndPr/>
        <w:sdtContent>
          <w:r w:rsidRPr="00027624">
            <w:fldChar w:fldCharType="begin"/>
          </w:r>
          <w:r w:rsidRPr="00027624">
            <w:instrText xml:space="preserve"> CITATION FinT19 \l 3081 </w:instrText>
          </w:r>
          <w:r w:rsidRPr="00027624">
            <w:fldChar w:fldCharType="separate"/>
          </w:r>
          <w:r w:rsidR="00E83F6E">
            <w:rPr>
              <w:noProof/>
            </w:rPr>
            <w:t xml:space="preserve"> (Financial Times, 2019)</w:t>
          </w:r>
          <w:r w:rsidRPr="00027624">
            <w:fldChar w:fldCharType="end"/>
          </w:r>
        </w:sdtContent>
      </w:sdt>
      <w:r w:rsidRPr="00027624">
        <w:t>,</w:t>
      </w:r>
      <w:r w:rsidRPr="00027624" w:rsidDel="001C3883">
        <w:t xml:space="preserve"> </w:t>
      </w:r>
      <w:r w:rsidRPr="00027624">
        <w:t>meaning they are often not covered by the scheme, or may not make regular payments into the scheme.</w:t>
      </w:r>
    </w:p>
    <w:p w14:paraId="272B99AC" w14:textId="77777777" w:rsidR="002A2FAE" w:rsidRPr="00027624" w:rsidRDefault="002A2FAE" w:rsidP="002A2FAE">
      <w:r w:rsidRPr="00027624">
        <w:t>In 2020, in response to protestors</w:t>
      </w:r>
      <w:r w:rsidR="00A8443E" w:rsidRPr="00027624">
        <w:t>’</w:t>
      </w:r>
      <w:r w:rsidRPr="00027624">
        <w:t xml:space="preserve"> concerns, the Chilean Government proposed a range of reforms to improve adequacy and equity. These included increasing the defined contribution rate paid during employment and increasing current and future public pension payments</w:t>
      </w:r>
      <w:sdt>
        <w:sdtPr>
          <w:id w:val="-2012130579"/>
          <w:citation/>
        </w:sdtPr>
        <w:sdtEndPr/>
        <w:sdtContent>
          <w:r w:rsidRPr="00027624">
            <w:fldChar w:fldCharType="begin"/>
          </w:r>
          <w:r w:rsidRPr="00027624">
            <w:instrText xml:space="preserve"> CITATION Reu20 \l 3081 </w:instrText>
          </w:r>
          <w:r w:rsidRPr="00027624">
            <w:fldChar w:fldCharType="separate"/>
          </w:r>
          <w:r w:rsidR="00E83F6E">
            <w:rPr>
              <w:noProof/>
            </w:rPr>
            <w:t xml:space="preserve"> (Reuters, 2020)</w:t>
          </w:r>
          <w:r w:rsidRPr="00027624">
            <w:fldChar w:fldCharType="end"/>
          </w:r>
        </w:sdtContent>
      </w:sdt>
      <w:r w:rsidRPr="00027624">
        <w:t>.</w:t>
      </w:r>
    </w:p>
    <w:p w14:paraId="4EB31D32" w14:textId="77777777" w:rsidR="002A2FAE" w:rsidRPr="00027624" w:rsidRDefault="002A2FAE" w:rsidP="00AF1E28">
      <w:pPr>
        <w:pStyle w:val="Heading4"/>
        <w:spacing w:before="240"/>
        <w:rPr>
          <w:rFonts w:eastAsiaTheme="minorHAnsi"/>
        </w:rPr>
      </w:pPr>
      <w:r w:rsidRPr="00027624">
        <w:rPr>
          <w:rFonts w:eastAsiaTheme="minorHAnsi"/>
        </w:rPr>
        <w:t>France</w:t>
      </w:r>
    </w:p>
    <w:p w14:paraId="4873EC78" w14:textId="77777777" w:rsidR="002A2FAE" w:rsidRPr="00027624" w:rsidRDefault="002A2FAE" w:rsidP="002A2FAE">
      <w:r w:rsidRPr="00027624">
        <w:t>The French retirement income system may not be fiscally sustainable</w:t>
      </w:r>
      <w:sdt>
        <w:sdtPr>
          <w:id w:val="497167993"/>
          <w:citation/>
        </w:sdtPr>
        <w:sdtEndPr/>
        <w:sdtContent>
          <w:r w:rsidRPr="00027624">
            <w:fldChar w:fldCharType="begin"/>
          </w:r>
          <w:r w:rsidRPr="00027624">
            <w:instrText xml:space="preserve">CITATION MerP191 \p 29 \l 3081 </w:instrText>
          </w:r>
          <w:r w:rsidRPr="00027624">
            <w:fldChar w:fldCharType="separate"/>
          </w:r>
          <w:r w:rsidR="00E83F6E">
            <w:rPr>
              <w:noProof/>
            </w:rPr>
            <w:t xml:space="preserve"> (Mercer, 2019b, p. 29)</w:t>
          </w:r>
          <w:r w:rsidRPr="00027624">
            <w:fldChar w:fldCharType="end"/>
          </w:r>
        </w:sdtContent>
      </w:sdt>
      <w:r w:rsidRPr="00027624">
        <w:t>. France</w:t>
      </w:r>
      <w:r w:rsidR="00A8443E" w:rsidRPr="00027624">
        <w:t>’</w:t>
      </w:r>
      <w:r w:rsidRPr="00027624">
        <w:t>s system includes an earnings</w:t>
      </w:r>
      <w:r w:rsidR="00A8443E" w:rsidRPr="00027624">
        <w:noBreakHyphen/>
      </w:r>
      <w:r w:rsidRPr="00027624">
        <w:t>based public pension, and mandatory and voluntary occupational pension plans. It is regarded as generous in terms of replacement rates</w:t>
      </w:r>
      <w:sdt>
        <w:sdtPr>
          <w:id w:val="-1220290540"/>
          <w:citation/>
        </w:sdtPr>
        <w:sdtEndPr/>
        <w:sdtContent>
          <w:r w:rsidRPr="00027624">
            <w:fldChar w:fldCharType="begin"/>
          </w:r>
          <w:r w:rsidR="00FB032B">
            <w:instrText>CITATION OEC19d \p 147 \l 3081  \m MerP191</w:instrText>
          </w:r>
          <w:r w:rsidRPr="00027624">
            <w:fldChar w:fldCharType="separate"/>
          </w:r>
          <w:r w:rsidR="00E83F6E">
            <w:rPr>
              <w:noProof/>
            </w:rPr>
            <w:t xml:space="preserve"> (OECD, 2019b, p. 147; Mercer, 2019b)</w:t>
          </w:r>
          <w:r w:rsidRPr="00027624">
            <w:fldChar w:fldCharType="end"/>
          </w:r>
        </w:sdtContent>
      </w:sdt>
      <w:r w:rsidRPr="00027624">
        <w:t>.</w:t>
      </w:r>
    </w:p>
    <w:p w14:paraId="22438140" w14:textId="77777777" w:rsidR="002A2FAE" w:rsidRPr="00027624" w:rsidRDefault="002A2FAE" w:rsidP="002A2FAE">
      <w:r w:rsidRPr="00027624">
        <w:t xml:space="preserve">Attempts by the French Government to improve its fiscal sustainability have resulted in mass protests </w:t>
      </w:r>
      <w:sdt>
        <w:sdtPr>
          <w:id w:val="-1912999251"/>
          <w:citation/>
        </w:sdtPr>
        <w:sdtEndPr/>
        <w:sdtContent>
          <w:r w:rsidRPr="00027624">
            <w:fldChar w:fldCharType="begin"/>
          </w:r>
          <w:r w:rsidRPr="00027624">
            <w:instrText xml:space="preserve"> CITATION Econ19 \l 3081 </w:instrText>
          </w:r>
          <w:r w:rsidRPr="00027624">
            <w:fldChar w:fldCharType="separate"/>
          </w:r>
          <w:r w:rsidR="00E83F6E">
            <w:rPr>
              <w:noProof/>
            </w:rPr>
            <w:t>(The Economist, 2019)</w:t>
          </w:r>
          <w:r w:rsidRPr="00027624">
            <w:fldChar w:fldCharType="end"/>
          </w:r>
        </w:sdtContent>
      </w:sdt>
      <w:r w:rsidRPr="00027624">
        <w:t>. The French Government is proposing reform to create a simplified pension system that</w:t>
      </w:r>
      <w:r w:rsidRPr="00027624" w:rsidDel="0024064B">
        <w:t xml:space="preserve"> </w:t>
      </w:r>
      <w:r w:rsidRPr="00027624">
        <w:t>encourages a longer contribution period. Protestors claim the plan undermines the economic security of women and self</w:t>
      </w:r>
      <w:r w:rsidR="00A8443E" w:rsidRPr="00027624">
        <w:noBreakHyphen/>
      </w:r>
      <w:r w:rsidRPr="00027624">
        <w:t xml:space="preserve">employed people, as well as existing benefits and rights </w:t>
      </w:r>
      <w:sdt>
        <w:sdtPr>
          <w:id w:val="1335042270"/>
          <w:citation/>
        </w:sdtPr>
        <w:sdtEndPr/>
        <w:sdtContent>
          <w:r w:rsidRPr="00027624">
            <w:fldChar w:fldCharType="begin"/>
          </w:r>
          <w:r w:rsidRPr="00027624">
            <w:instrText xml:space="preserve"> CITATION Fra19 \l 3081  \m The20</w:instrText>
          </w:r>
          <w:r w:rsidRPr="00027624">
            <w:fldChar w:fldCharType="separate"/>
          </w:r>
          <w:r w:rsidR="00E83F6E">
            <w:rPr>
              <w:noProof/>
            </w:rPr>
            <w:t>(France24, 2019; The Guardian, 2020)</w:t>
          </w:r>
          <w:r w:rsidRPr="00027624">
            <w:fldChar w:fldCharType="end"/>
          </w:r>
        </w:sdtContent>
      </w:sdt>
      <w:r w:rsidRPr="00027624">
        <w:t>.</w:t>
      </w:r>
    </w:p>
    <w:p w14:paraId="12C23CEF" w14:textId="77777777" w:rsidR="002A2FAE" w:rsidRPr="00027624" w:rsidRDefault="002A2FAE" w:rsidP="00FC7361">
      <w:pPr>
        <w:pStyle w:val="TableMainHeading"/>
        <w:numPr>
          <w:ilvl w:val="3"/>
          <w:numId w:val="28"/>
        </w:numPr>
      </w:pPr>
      <w:bookmarkStart w:id="4081" w:name="_Ref39841869"/>
      <w:r w:rsidRPr="00027624">
        <w:t>Mercer Global Pension Index Scores 2019</w:t>
      </w:r>
      <w:bookmarkEnd w:id="4081"/>
    </w:p>
    <w:tbl>
      <w:tblPr>
        <w:tblW w:w="5000" w:type="pct"/>
        <w:tblLook w:val="01E0" w:firstRow="1" w:lastRow="1" w:firstColumn="1" w:lastColumn="1" w:noHBand="0" w:noVBand="0"/>
      </w:tblPr>
      <w:tblGrid>
        <w:gridCol w:w="1513"/>
        <w:gridCol w:w="1513"/>
        <w:gridCol w:w="1511"/>
        <w:gridCol w:w="1511"/>
        <w:gridCol w:w="1511"/>
        <w:gridCol w:w="1511"/>
      </w:tblGrid>
      <w:tr w:rsidR="002A2FAE" w:rsidRPr="00027624" w14:paraId="4C00D2AF" w14:textId="77777777" w:rsidTr="002A2FAE">
        <w:trPr>
          <w:trHeight w:val="270"/>
          <w:tblHeader/>
        </w:trPr>
        <w:tc>
          <w:tcPr>
            <w:tcW w:w="834" w:type="pct"/>
            <w:shd w:val="clear" w:color="auto" w:fill="E5E5E5"/>
          </w:tcPr>
          <w:p w14:paraId="40A857A5" w14:textId="77777777" w:rsidR="002A2FAE" w:rsidRPr="00027624" w:rsidRDefault="002A2FAE" w:rsidP="002A2FAE">
            <w:pPr>
              <w:pStyle w:val="TableColumnHeadingLeft"/>
            </w:pPr>
            <w:r w:rsidRPr="00027624">
              <w:t>Country</w:t>
            </w:r>
          </w:p>
        </w:tc>
        <w:tc>
          <w:tcPr>
            <w:tcW w:w="834" w:type="pct"/>
            <w:shd w:val="clear" w:color="auto" w:fill="E5E5E5"/>
          </w:tcPr>
          <w:p w14:paraId="15371EF9" w14:textId="77777777" w:rsidR="002A2FAE" w:rsidRPr="00027624" w:rsidRDefault="002A2FAE" w:rsidP="002A2FAE">
            <w:pPr>
              <w:pStyle w:val="TableColumnHeadingCentred"/>
            </w:pPr>
            <w:r w:rsidRPr="00027624">
              <w:t>Grade</w:t>
            </w:r>
          </w:p>
        </w:tc>
        <w:tc>
          <w:tcPr>
            <w:tcW w:w="833" w:type="pct"/>
            <w:shd w:val="clear" w:color="auto" w:fill="E5E5E5"/>
          </w:tcPr>
          <w:p w14:paraId="7EABFB9D" w14:textId="77777777" w:rsidR="002A2FAE" w:rsidRPr="00027624" w:rsidRDefault="002A2FAE" w:rsidP="002A2FAE">
            <w:pPr>
              <w:pStyle w:val="TableColumnHeadingCentred"/>
            </w:pPr>
            <w:r w:rsidRPr="00027624">
              <w:t>Overall score</w:t>
            </w:r>
          </w:p>
        </w:tc>
        <w:tc>
          <w:tcPr>
            <w:tcW w:w="833" w:type="pct"/>
            <w:shd w:val="clear" w:color="auto" w:fill="E5E5E5"/>
          </w:tcPr>
          <w:p w14:paraId="26E0A8FA" w14:textId="77777777" w:rsidR="002A2FAE" w:rsidRPr="00027624" w:rsidRDefault="002A2FAE" w:rsidP="002A2FAE">
            <w:pPr>
              <w:pStyle w:val="TableColumnHeadingCentred"/>
            </w:pPr>
            <w:r w:rsidRPr="00027624">
              <w:t>Adequacy score</w:t>
            </w:r>
          </w:p>
        </w:tc>
        <w:tc>
          <w:tcPr>
            <w:tcW w:w="833" w:type="pct"/>
            <w:shd w:val="clear" w:color="auto" w:fill="E5E5E5"/>
          </w:tcPr>
          <w:p w14:paraId="13BF4AE0" w14:textId="77777777" w:rsidR="002A2FAE" w:rsidRPr="00027624" w:rsidRDefault="002A2FAE" w:rsidP="002A2FAE">
            <w:pPr>
              <w:pStyle w:val="TableColumnHeadingCentred"/>
            </w:pPr>
            <w:r w:rsidRPr="00027624">
              <w:t>Sustainability score</w:t>
            </w:r>
          </w:p>
        </w:tc>
        <w:tc>
          <w:tcPr>
            <w:tcW w:w="833" w:type="pct"/>
            <w:shd w:val="clear" w:color="auto" w:fill="E5E5E5"/>
          </w:tcPr>
          <w:p w14:paraId="2CA834DD" w14:textId="77777777" w:rsidR="002A2FAE" w:rsidRPr="00027624" w:rsidRDefault="002A2FAE" w:rsidP="002A2FAE">
            <w:pPr>
              <w:pStyle w:val="TableColumnHeadingCentred"/>
            </w:pPr>
            <w:r w:rsidRPr="00027624">
              <w:t>Integrity score</w:t>
            </w:r>
          </w:p>
        </w:tc>
      </w:tr>
      <w:tr w:rsidR="002A2FAE" w:rsidRPr="00027624" w14:paraId="1838FFCC" w14:textId="77777777" w:rsidTr="002A2FAE">
        <w:trPr>
          <w:trHeight w:val="270"/>
        </w:trPr>
        <w:tc>
          <w:tcPr>
            <w:tcW w:w="834" w:type="pct"/>
          </w:tcPr>
          <w:p w14:paraId="569F5997" w14:textId="77777777" w:rsidR="002A2FAE" w:rsidRPr="00027624" w:rsidRDefault="002A2FAE" w:rsidP="002A2FAE">
            <w:pPr>
              <w:pStyle w:val="TableTextLeft"/>
            </w:pPr>
            <w:r w:rsidRPr="00027624">
              <w:t>Australia</w:t>
            </w:r>
          </w:p>
        </w:tc>
        <w:tc>
          <w:tcPr>
            <w:tcW w:w="834" w:type="pct"/>
            <w:vAlign w:val="center"/>
          </w:tcPr>
          <w:p w14:paraId="3A3CE3C7" w14:textId="77777777" w:rsidR="002A2FAE" w:rsidRPr="00027624" w:rsidRDefault="002A2FAE" w:rsidP="002A2FAE">
            <w:pPr>
              <w:pStyle w:val="TableTextCentered"/>
            </w:pPr>
            <w:r w:rsidRPr="00027624">
              <w:t>B+</w:t>
            </w:r>
          </w:p>
        </w:tc>
        <w:tc>
          <w:tcPr>
            <w:tcW w:w="833" w:type="pct"/>
            <w:vAlign w:val="center"/>
          </w:tcPr>
          <w:p w14:paraId="4CFB0EAD" w14:textId="77777777" w:rsidR="002A2FAE" w:rsidRPr="00027624" w:rsidRDefault="002A2FAE" w:rsidP="002A2FAE">
            <w:pPr>
              <w:pStyle w:val="TableTextCentered"/>
            </w:pPr>
            <w:r w:rsidRPr="00027624">
              <w:t>75.3</w:t>
            </w:r>
          </w:p>
        </w:tc>
        <w:tc>
          <w:tcPr>
            <w:tcW w:w="833" w:type="pct"/>
            <w:vAlign w:val="center"/>
          </w:tcPr>
          <w:p w14:paraId="566EE454" w14:textId="77777777" w:rsidR="002A2FAE" w:rsidRPr="00027624" w:rsidRDefault="002A2FAE" w:rsidP="002A2FAE">
            <w:pPr>
              <w:pStyle w:val="TableTextCentered"/>
            </w:pPr>
            <w:r w:rsidRPr="00027624">
              <w:t>70.3</w:t>
            </w:r>
          </w:p>
        </w:tc>
        <w:tc>
          <w:tcPr>
            <w:tcW w:w="833" w:type="pct"/>
            <w:vAlign w:val="center"/>
          </w:tcPr>
          <w:p w14:paraId="773A506A" w14:textId="77777777" w:rsidR="002A2FAE" w:rsidRPr="00027624" w:rsidRDefault="002A2FAE" w:rsidP="002A2FAE">
            <w:pPr>
              <w:pStyle w:val="TableTextCentered"/>
            </w:pPr>
            <w:r w:rsidRPr="00027624">
              <w:t>73.5</w:t>
            </w:r>
          </w:p>
        </w:tc>
        <w:tc>
          <w:tcPr>
            <w:tcW w:w="833" w:type="pct"/>
            <w:vAlign w:val="center"/>
          </w:tcPr>
          <w:p w14:paraId="132BF3E9" w14:textId="77777777" w:rsidR="002A2FAE" w:rsidRPr="00027624" w:rsidRDefault="002A2FAE" w:rsidP="002A2FAE">
            <w:pPr>
              <w:pStyle w:val="TableTextCentered"/>
            </w:pPr>
            <w:r w:rsidRPr="00027624">
              <w:t>85.7</w:t>
            </w:r>
          </w:p>
        </w:tc>
      </w:tr>
      <w:tr w:rsidR="002A2FAE" w:rsidRPr="00027624" w14:paraId="4D9C0293" w14:textId="77777777" w:rsidTr="002A2FAE">
        <w:trPr>
          <w:trHeight w:val="270"/>
        </w:trPr>
        <w:tc>
          <w:tcPr>
            <w:tcW w:w="834" w:type="pct"/>
          </w:tcPr>
          <w:p w14:paraId="5DB9F9E4" w14:textId="77777777" w:rsidR="002A2FAE" w:rsidRPr="00027624" w:rsidRDefault="002A2FAE" w:rsidP="002A2FAE">
            <w:pPr>
              <w:pStyle w:val="TableTextLeft"/>
            </w:pPr>
            <w:r w:rsidRPr="00027624">
              <w:t>Chile</w:t>
            </w:r>
          </w:p>
        </w:tc>
        <w:tc>
          <w:tcPr>
            <w:tcW w:w="834" w:type="pct"/>
            <w:vAlign w:val="center"/>
          </w:tcPr>
          <w:p w14:paraId="42B4964A" w14:textId="77777777" w:rsidR="002A2FAE" w:rsidRPr="00027624" w:rsidRDefault="002A2FAE" w:rsidP="002A2FAE">
            <w:pPr>
              <w:pStyle w:val="TableTextCentered"/>
            </w:pPr>
            <w:r w:rsidRPr="00027624">
              <w:t>B</w:t>
            </w:r>
          </w:p>
        </w:tc>
        <w:tc>
          <w:tcPr>
            <w:tcW w:w="833" w:type="pct"/>
            <w:vAlign w:val="center"/>
          </w:tcPr>
          <w:p w14:paraId="24F67564" w14:textId="77777777" w:rsidR="002A2FAE" w:rsidRPr="00027624" w:rsidRDefault="002A2FAE" w:rsidP="002A2FAE">
            <w:pPr>
              <w:pStyle w:val="TableTextCentered"/>
            </w:pPr>
            <w:r w:rsidRPr="00027624">
              <w:t>68.7</w:t>
            </w:r>
          </w:p>
        </w:tc>
        <w:tc>
          <w:tcPr>
            <w:tcW w:w="833" w:type="pct"/>
            <w:vAlign w:val="center"/>
          </w:tcPr>
          <w:p w14:paraId="1E02555F" w14:textId="77777777" w:rsidR="002A2FAE" w:rsidRPr="00027624" w:rsidRDefault="002A2FAE" w:rsidP="002A2FAE">
            <w:pPr>
              <w:pStyle w:val="TableTextCentered"/>
            </w:pPr>
            <w:r w:rsidRPr="00027624">
              <w:t>59.4</w:t>
            </w:r>
          </w:p>
        </w:tc>
        <w:tc>
          <w:tcPr>
            <w:tcW w:w="833" w:type="pct"/>
            <w:vAlign w:val="center"/>
          </w:tcPr>
          <w:p w14:paraId="5A91E165" w14:textId="77777777" w:rsidR="002A2FAE" w:rsidRPr="00027624" w:rsidRDefault="002A2FAE" w:rsidP="002A2FAE">
            <w:pPr>
              <w:pStyle w:val="TableTextCentered"/>
            </w:pPr>
            <w:r w:rsidRPr="00027624">
              <w:t>71.7</w:t>
            </w:r>
          </w:p>
        </w:tc>
        <w:tc>
          <w:tcPr>
            <w:tcW w:w="833" w:type="pct"/>
            <w:vAlign w:val="center"/>
          </w:tcPr>
          <w:p w14:paraId="2980CF43" w14:textId="77777777" w:rsidR="002A2FAE" w:rsidRPr="00027624" w:rsidRDefault="002A2FAE" w:rsidP="002A2FAE">
            <w:pPr>
              <w:pStyle w:val="TableTextCentered"/>
            </w:pPr>
            <w:r w:rsidRPr="00027624">
              <w:t>79.2</w:t>
            </w:r>
          </w:p>
        </w:tc>
      </w:tr>
      <w:tr w:rsidR="002A2FAE" w:rsidRPr="00027624" w14:paraId="435312EF" w14:textId="77777777" w:rsidTr="002A2FAE">
        <w:trPr>
          <w:trHeight w:val="270"/>
        </w:trPr>
        <w:tc>
          <w:tcPr>
            <w:tcW w:w="834" w:type="pct"/>
          </w:tcPr>
          <w:p w14:paraId="751B94F2" w14:textId="77777777" w:rsidR="002A2FAE" w:rsidRPr="00027624" w:rsidRDefault="002A2FAE" w:rsidP="002A2FAE">
            <w:pPr>
              <w:pStyle w:val="TableTextLeft"/>
            </w:pPr>
            <w:r w:rsidRPr="00027624">
              <w:t>France</w:t>
            </w:r>
          </w:p>
        </w:tc>
        <w:tc>
          <w:tcPr>
            <w:tcW w:w="834" w:type="pct"/>
            <w:vAlign w:val="center"/>
          </w:tcPr>
          <w:p w14:paraId="3E2DF60F" w14:textId="77777777" w:rsidR="002A2FAE" w:rsidRPr="00027624" w:rsidRDefault="002A2FAE" w:rsidP="002A2FAE">
            <w:pPr>
              <w:pStyle w:val="TableTextCentered"/>
            </w:pPr>
            <w:r w:rsidRPr="00027624">
              <w:t>C+</w:t>
            </w:r>
          </w:p>
        </w:tc>
        <w:tc>
          <w:tcPr>
            <w:tcW w:w="833" w:type="pct"/>
            <w:vAlign w:val="center"/>
          </w:tcPr>
          <w:p w14:paraId="044577E4" w14:textId="77777777" w:rsidR="002A2FAE" w:rsidRPr="00027624" w:rsidRDefault="002A2FAE" w:rsidP="002A2FAE">
            <w:pPr>
              <w:pStyle w:val="TableTextCentered"/>
            </w:pPr>
            <w:r w:rsidRPr="00027624">
              <w:t>60.2</w:t>
            </w:r>
          </w:p>
        </w:tc>
        <w:tc>
          <w:tcPr>
            <w:tcW w:w="833" w:type="pct"/>
            <w:vAlign w:val="center"/>
          </w:tcPr>
          <w:p w14:paraId="78152284" w14:textId="77777777" w:rsidR="002A2FAE" w:rsidRPr="00027624" w:rsidRDefault="002A2FAE" w:rsidP="002A2FAE">
            <w:pPr>
              <w:pStyle w:val="TableTextCentered"/>
            </w:pPr>
            <w:r w:rsidRPr="00027624">
              <w:t>79.1</w:t>
            </w:r>
          </w:p>
        </w:tc>
        <w:tc>
          <w:tcPr>
            <w:tcW w:w="833" w:type="pct"/>
            <w:vAlign w:val="center"/>
          </w:tcPr>
          <w:p w14:paraId="5DDA2719" w14:textId="77777777" w:rsidR="002A2FAE" w:rsidRPr="00027624" w:rsidRDefault="002A2FAE" w:rsidP="002A2FAE">
            <w:pPr>
              <w:pStyle w:val="TableTextCentered"/>
            </w:pPr>
            <w:r w:rsidRPr="00027624">
              <w:t>41.0</w:t>
            </w:r>
          </w:p>
        </w:tc>
        <w:tc>
          <w:tcPr>
            <w:tcW w:w="833" w:type="pct"/>
            <w:vAlign w:val="center"/>
          </w:tcPr>
          <w:p w14:paraId="151AE1BF" w14:textId="77777777" w:rsidR="002A2FAE" w:rsidRPr="00027624" w:rsidRDefault="002A2FAE" w:rsidP="002A2FAE">
            <w:pPr>
              <w:pStyle w:val="TableTextCentered"/>
            </w:pPr>
            <w:r w:rsidRPr="00027624">
              <w:t>56.8</w:t>
            </w:r>
          </w:p>
        </w:tc>
      </w:tr>
    </w:tbl>
    <w:p w14:paraId="650A3DA7" w14:textId="77777777" w:rsidR="002A2FAE" w:rsidRPr="00027624" w:rsidRDefault="002A2FAE" w:rsidP="002A2FAE">
      <w:pPr>
        <w:pStyle w:val="ChartorTableNote"/>
      </w:pPr>
      <w:r w:rsidRPr="00027624">
        <w:t>Source:</w:t>
      </w:r>
      <w:r w:rsidR="00FB032B" w:rsidRPr="00FB032B">
        <w:t xml:space="preserve"> </w:t>
      </w:r>
      <w:sdt>
        <w:sdtPr>
          <w:id w:val="156352626"/>
          <w:citation/>
        </w:sdtPr>
        <w:sdtEndPr/>
        <w:sdtContent>
          <w:r w:rsidR="00FB032B" w:rsidRPr="00027624">
            <w:fldChar w:fldCharType="begin"/>
          </w:r>
          <w:r w:rsidR="00FB032B">
            <w:instrText xml:space="preserve">CITATION MerP191 \p 6-7 \l 3081 </w:instrText>
          </w:r>
          <w:r w:rsidR="00FB032B" w:rsidRPr="00027624">
            <w:fldChar w:fldCharType="separate"/>
          </w:r>
          <w:r w:rsidR="00E83F6E">
            <w:rPr>
              <w:noProof/>
            </w:rPr>
            <w:t>(Mercer, 2019b, pp. 6-7)</w:t>
          </w:r>
          <w:r w:rsidR="00FB032B" w:rsidRPr="00027624">
            <w:fldChar w:fldCharType="end"/>
          </w:r>
        </w:sdtContent>
      </w:sdt>
      <w:r w:rsidRPr="00027624">
        <w:t>.</w:t>
      </w:r>
    </w:p>
    <w:p w14:paraId="54EC1FE9" w14:textId="77777777" w:rsidR="002A2FAE" w:rsidRPr="00027624" w:rsidRDefault="002A2FAE" w:rsidP="002A2FAE">
      <w:r w:rsidRPr="00027624">
        <w:t>Little robust evidence exists to explain what determines public confidence in, or the political sustainability of, a retirement income system. Nevertheless, these cases are suggestive. In Chile and France, governments faced strong public opposition as a result of widely held beliefs that retirement income systems were failing, or that reforms would fail, to achieve adequate and equitable outcomes. The protests demonstrate how difficult it can be for governments to improve</w:t>
      </w:r>
      <w:r w:rsidRPr="00027624" w:rsidDel="0024064B">
        <w:t xml:space="preserve"> </w:t>
      </w:r>
      <w:r w:rsidRPr="00027624">
        <w:t>fiscal sustainability if it comes at a perceived cost to the adequacy and equity of outcomes.</w:t>
      </w:r>
    </w:p>
    <w:p w14:paraId="01910B3C" w14:textId="77777777" w:rsidR="002A2FAE" w:rsidRPr="00027624" w:rsidRDefault="002A2FAE" w:rsidP="002A2FAE">
      <w:r w:rsidRPr="00027624">
        <w:t>The example of Chile</w:t>
      </w:r>
      <w:r w:rsidRPr="00027624" w:rsidDel="00BF7320">
        <w:t xml:space="preserve"> </w:t>
      </w:r>
      <w:r w:rsidRPr="00027624">
        <w:t>shows that a retirement income system based on significant private contributions is not necessarily more politically sustainable than systems with a large public provision of retirement benefits. In the case of Australia, compulsory superannuation was introduced with the intention of making Australia</w:t>
      </w:r>
      <w:r w:rsidR="00A8443E" w:rsidRPr="00027624">
        <w:t>’</w:t>
      </w:r>
      <w:r w:rsidRPr="00027624">
        <w:t xml:space="preserve">s retirement income system more politically sustainable and giving </w:t>
      </w:r>
      <w:r w:rsidRPr="00027624">
        <w:lastRenderedPageBreak/>
        <w:t xml:space="preserve">people more control over their retirement incomes. At the time, the then Treasurer, Paul Keating, said: </w:t>
      </w:r>
      <w:r w:rsidR="00A8443E" w:rsidRPr="00027624">
        <w:t>‘</w:t>
      </w:r>
      <w:r w:rsidRPr="00027624">
        <w:t>[compulsory superannuation] is the difference between a full, active life and a life governed by budgetary exigencies and the vagaries of politics</w:t>
      </w:r>
      <w:r w:rsidR="00A8443E" w:rsidRPr="00027624">
        <w:t>’</w:t>
      </w:r>
      <w:r w:rsidRPr="00027624">
        <w:t xml:space="preserve"> </w:t>
      </w:r>
      <w:sdt>
        <w:sdtPr>
          <w:id w:val="1388529412"/>
          <w:citation/>
        </w:sdtPr>
        <w:sdtEndPr/>
        <w:sdtContent>
          <w:r w:rsidRPr="00027624">
            <w:fldChar w:fldCharType="begin"/>
          </w:r>
          <w:r w:rsidRPr="00027624">
            <w:instrText xml:space="preserve"> CITATION Pau91 \l 3081 </w:instrText>
          </w:r>
          <w:r w:rsidRPr="00027624">
            <w:fldChar w:fldCharType="separate"/>
          </w:r>
          <w:r w:rsidR="00E83F6E">
            <w:rPr>
              <w:noProof/>
            </w:rPr>
            <w:t>(Keating, 1991)</w:t>
          </w:r>
          <w:r w:rsidRPr="00027624">
            <w:fldChar w:fldCharType="end"/>
          </w:r>
        </w:sdtContent>
      </w:sdt>
      <w:r w:rsidRPr="00027624">
        <w:t>.</w:t>
      </w:r>
    </w:p>
    <w:p w14:paraId="3468AB41" w14:textId="77777777" w:rsidR="002A2FAE" w:rsidRPr="00027624" w:rsidRDefault="002A2FAE" w:rsidP="002A2FAE">
      <w:r w:rsidRPr="00027624">
        <w:t>Survey results indicate most people (60 per cent) think the rules of superannuation and the Age Pension change too much. But more people see superannuation as a stable investment for retirement (53 per cent) than believe the Age Pension will still exist when they retire (48 per cent)</w:t>
      </w:r>
      <w:sdt>
        <w:sdtPr>
          <w:id w:val="-1479221948"/>
          <w:citation/>
        </w:sdtPr>
        <w:sdtEndPr/>
        <w:sdtContent>
          <w:r w:rsidRPr="00027624">
            <w:fldChar w:fldCharType="begin"/>
          </w:r>
          <w:r w:rsidR="00C2586A">
            <w:instrText xml:space="preserve">CITATION BETng \l 3081 </w:instrText>
          </w:r>
          <w:r w:rsidRPr="00027624">
            <w:fldChar w:fldCharType="separate"/>
          </w:r>
          <w:r w:rsidR="00E83F6E">
            <w:rPr>
              <w:noProof/>
            </w:rPr>
            <w:t xml:space="preserve"> (BETA, Forthcoming)</w:t>
          </w:r>
          <w:r w:rsidRPr="00027624">
            <w:fldChar w:fldCharType="end"/>
          </w:r>
        </w:sdtContent>
      </w:sdt>
      <w:r w:rsidRPr="00027624">
        <w:t>. This suggests that introducing superannuation has made Australia</w:t>
      </w:r>
      <w:r w:rsidR="00A8443E" w:rsidRPr="00027624">
        <w:t>’</w:t>
      </w:r>
      <w:r w:rsidRPr="00027624">
        <w:t>s retirement income system more politically sustainable than might otherwise be the case.</w:t>
      </w:r>
    </w:p>
    <w:p w14:paraId="2E7EA7C5" w14:textId="77777777" w:rsidR="002A2FAE" w:rsidRPr="00027624" w:rsidDel="00A771E8" w:rsidRDefault="002A2FAE" w:rsidP="002A2FAE">
      <w:pPr>
        <w:pStyle w:val="Heading3"/>
      </w:pPr>
      <w:r w:rsidRPr="00027624">
        <w:t>Perceptions</w:t>
      </w:r>
      <w:r w:rsidRPr="00027624" w:rsidDel="00B94B82">
        <w:t xml:space="preserve"> of fairness </w:t>
      </w:r>
      <w:r w:rsidRPr="00027624">
        <w:t>and equity in Australia</w:t>
      </w:r>
    </w:p>
    <w:p w14:paraId="4BF6F6A9" w14:textId="77777777" w:rsidR="002A2FAE" w:rsidRPr="00027624" w:rsidDel="00A771E8" w:rsidRDefault="002A2FAE" w:rsidP="002A2FAE">
      <w:r w:rsidRPr="00027624" w:rsidDel="00A771E8">
        <w:t>M</w:t>
      </w:r>
      <w:r w:rsidRPr="00027624">
        <w:t>any stakeholders raised</w:t>
      </w:r>
      <w:r w:rsidRPr="00027624" w:rsidDel="00A771E8">
        <w:t xml:space="preserve"> </w:t>
      </w:r>
      <w:r w:rsidRPr="00027624">
        <w:t xml:space="preserve">concerns about fairness and </w:t>
      </w:r>
      <w:r w:rsidRPr="00027624" w:rsidDel="00A771E8">
        <w:t xml:space="preserve">equity in </w:t>
      </w:r>
      <w:r w:rsidRPr="00027624">
        <w:t xml:space="preserve">their </w:t>
      </w:r>
      <w:r w:rsidRPr="00027624" w:rsidDel="00A771E8">
        <w:t>submissions</w:t>
      </w:r>
      <w:r w:rsidRPr="00027624">
        <w:t xml:space="preserve"> on the Australian system.</w:t>
      </w:r>
      <w:r w:rsidRPr="00027624" w:rsidDel="00A771E8">
        <w:t xml:space="preserve"> </w:t>
      </w:r>
      <w:r w:rsidRPr="00027624">
        <w:t xml:space="preserve">Many of these issues are analysed in </w:t>
      </w:r>
      <w:r w:rsidR="00322B1F">
        <w:rPr>
          <w:i/>
        </w:rPr>
        <w:t>3.</w:t>
      </w:r>
      <w:r w:rsidRPr="00027624">
        <w:rPr>
          <w:i/>
        </w:rPr>
        <w:t xml:space="preserve"> Equity</w:t>
      </w:r>
      <w:r w:rsidRPr="00027624">
        <w:t>. A</w:t>
      </w:r>
      <w:r w:rsidRPr="00027624" w:rsidDel="00A771E8">
        <w:t>t least one stakeholder</w:t>
      </w:r>
      <w:r w:rsidRPr="00027624">
        <w:t xml:space="preserve"> considered</w:t>
      </w:r>
      <w:r w:rsidRPr="00027624" w:rsidDel="00A771E8">
        <w:t xml:space="preserve"> inequitable tax concessions and falling home ownership rates could become a source of intergenerational conflict</w:t>
      </w:r>
      <w:sdt>
        <w:sdtPr>
          <w:id w:val="-1818024716"/>
          <w:citation/>
        </w:sdtPr>
        <w:sdtEndPr/>
        <w:sdtContent>
          <w:r w:rsidRPr="00027624">
            <w:fldChar w:fldCharType="begin"/>
          </w:r>
          <w:r w:rsidRPr="00027624">
            <w:instrText xml:space="preserve">CITATION Nat20 \p 67 \l 3081 </w:instrText>
          </w:r>
          <w:r w:rsidRPr="00027624">
            <w:fldChar w:fldCharType="separate"/>
          </w:r>
          <w:r w:rsidR="00E83F6E">
            <w:rPr>
              <w:noProof/>
            </w:rPr>
            <w:t xml:space="preserve"> (National Seniors Australia, 2020, p. 67)</w:t>
          </w:r>
          <w:r w:rsidRPr="00027624">
            <w:fldChar w:fldCharType="end"/>
          </w:r>
        </w:sdtContent>
      </w:sdt>
      <w:r w:rsidRPr="00027624">
        <w:t>. A</w:t>
      </w:r>
      <w:r w:rsidRPr="00027624" w:rsidDel="00A771E8">
        <w:t xml:space="preserve">cademic literature suggests views of intergenerational inequity are focused towards excessive benefits across life </w:t>
      </w:r>
      <w:r w:rsidRPr="00027624">
        <w:t xml:space="preserve">rather </w:t>
      </w:r>
      <w:r w:rsidRPr="00027624" w:rsidDel="00A771E8">
        <w:t>than just in retirement</w:t>
      </w:r>
      <w:sdt>
        <w:sdtPr>
          <w:id w:val="-492188658"/>
          <w:citation/>
        </w:sdtPr>
        <w:sdtEndPr/>
        <w:sdtContent>
          <w:r w:rsidRPr="00027624">
            <w:fldChar w:fldCharType="begin"/>
          </w:r>
          <w:r w:rsidRPr="00027624">
            <w:instrText xml:space="preserve"> CITATION Ken19 \l 3081 </w:instrText>
          </w:r>
          <w:r w:rsidRPr="00027624">
            <w:fldChar w:fldCharType="separate"/>
          </w:r>
          <w:r w:rsidR="00E83F6E">
            <w:rPr>
              <w:noProof/>
            </w:rPr>
            <w:t xml:space="preserve"> (Kendig, et al., 2019)</w:t>
          </w:r>
          <w:r w:rsidRPr="00027624">
            <w:fldChar w:fldCharType="end"/>
          </w:r>
        </w:sdtContent>
      </w:sdt>
      <w:r w:rsidRPr="00027624" w:rsidDel="00A771E8">
        <w:t>.</w:t>
      </w:r>
      <w:r w:rsidRPr="00027624" w:rsidDel="00A771E8">
        <w:rPr>
          <w:b/>
        </w:rPr>
        <w:t xml:space="preserve"> </w:t>
      </w:r>
      <w:r w:rsidRPr="00027624">
        <w:rPr>
          <w:b/>
        </w:rPr>
        <w:t>Although</w:t>
      </w:r>
      <w:r w:rsidRPr="00027624" w:rsidDel="00A771E8">
        <w:rPr>
          <w:b/>
        </w:rPr>
        <w:t xml:space="preserve"> </w:t>
      </w:r>
      <w:r w:rsidRPr="00027624">
        <w:rPr>
          <w:b/>
        </w:rPr>
        <w:t>some</w:t>
      </w:r>
      <w:r w:rsidRPr="00027624" w:rsidDel="00A771E8">
        <w:rPr>
          <w:b/>
        </w:rPr>
        <w:t xml:space="preserve"> </w:t>
      </w:r>
      <w:r w:rsidRPr="00027624">
        <w:rPr>
          <w:b/>
        </w:rPr>
        <w:t>concerns about</w:t>
      </w:r>
      <w:r w:rsidRPr="00027624" w:rsidDel="00A771E8">
        <w:rPr>
          <w:b/>
        </w:rPr>
        <w:t xml:space="preserve"> system equity </w:t>
      </w:r>
      <w:r w:rsidRPr="00027624">
        <w:rPr>
          <w:b/>
        </w:rPr>
        <w:t>may be valid</w:t>
      </w:r>
      <w:r w:rsidRPr="00027624" w:rsidDel="00A771E8">
        <w:rPr>
          <w:b/>
        </w:rPr>
        <w:t>,</w:t>
      </w:r>
      <w:r w:rsidRPr="00027624">
        <w:rPr>
          <w:b/>
        </w:rPr>
        <w:t xml:space="preserve"> limited evidence exists to suggest they will</w:t>
      </w:r>
      <w:r w:rsidRPr="00027624" w:rsidDel="00A771E8">
        <w:rPr>
          <w:b/>
        </w:rPr>
        <w:t xml:space="preserve"> undermine the </w:t>
      </w:r>
      <w:r w:rsidRPr="00027624">
        <w:rPr>
          <w:b/>
        </w:rPr>
        <w:t>system</w:t>
      </w:r>
      <w:r w:rsidR="00A8443E" w:rsidRPr="00027624">
        <w:rPr>
          <w:b/>
        </w:rPr>
        <w:t>’</w:t>
      </w:r>
      <w:r w:rsidRPr="00027624">
        <w:rPr>
          <w:b/>
        </w:rPr>
        <w:t xml:space="preserve">s </w:t>
      </w:r>
      <w:r w:rsidRPr="00027624" w:rsidDel="00A771E8">
        <w:rPr>
          <w:b/>
        </w:rPr>
        <w:t>political sustainability.</w:t>
      </w:r>
    </w:p>
    <w:p w14:paraId="5C619B87" w14:textId="77777777" w:rsidR="002A2FAE" w:rsidRPr="00027624" w:rsidRDefault="002A2FAE" w:rsidP="002A2FAE">
      <w:pPr>
        <w:pStyle w:val="Heading3"/>
        <w:rPr>
          <w:rFonts w:eastAsiaTheme="minorHAnsi"/>
        </w:rPr>
      </w:pPr>
      <w:r w:rsidRPr="00027624">
        <w:rPr>
          <w:rFonts w:eastAsiaTheme="minorHAnsi"/>
        </w:rPr>
        <w:t>How reform can be undertaken without undermining public confidence</w:t>
      </w:r>
    </w:p>
    <w:p w14:paraId="27988261" w14:textId="77777777" w:rsidR="002A2FAE" w:rsidRPr="00027624" w:rsidRDefault="002A2FAE" w:rsidP="002A2FAE">
      <w:r w:rsidRPr="00027624">
        <w:t>There is a view that retirement income system reform may be more successful if it is implemented during a crisis, such as an economic shock</w:t>
      </w:r>
      <w:sdt>
        <w:sdtPr>
          <w:id w:val="-2107492506"/>
          <w:citation/>
        </w:sdtPr>
        <w:sdtEndPr/>
        <w:sdtContent>
          <w:r w:rsidRPr="00027624">
            <w:fldChar w:fldCharType="begin"/>
          </w:r>
          <w:r w:rsidRPr="00027624">
            <w:instrText xml:space="preserve"> CITATION Lor04 \l 3081 </w:instrText>
          </w:r>
          <w:r w:rsidRPr="00027624">
            <w:fldChar w:fldCharType="separate"/>
          </w:r>
          <w:r w:rsidR="00E83F6E">
            <w:rPr>
              <w:noProof/>
            </w:rPr>
            <w:t xml:space="preserve"> (Lora &amp; Olivera, 2004)</w:t>
          </w:r>
          <w:r w:rsidRPr="00027624">
            <w:fldChar w:fldCharType="end"/>
          </w:r>
        </w:sdtContent>
      </w:sdt>
      <w:r w:rsidRPr="00027624">
        <w:t>. This could be because public confidence in existing policy settings falls to a point where the public is willing to accept reform, or at least to accept that reform is necessary. Many foreign retirement income systems were reformed in response to the GFC and sovereign debt crises</w:t>
      </w:r>
      <w:sdt>
        <w:sdtPr>
          <w:id w:val="1378433902"/>
          <w:citation/>
        </w:sdtPr>
        <w:sdtEndPr/>
        <w:sdtContent>
          <w:r w:rsidRPr="00027624">
            <w:fldChar w:fldCharType="begin"/>
          </w:r>
          <w:r w:rsidRPr="00027624">
            <w:instrText xml:space="preserve"> CITATION Has19 \l 3081 </w:instrText>
          </w:r>
          <w:r w:rsidRPr="00027624">
            <w:fldChar w:fldCharType="separate"/>
          </w:r>
          <w:r w:rsidR="00E83F6E">
            <w:rPr>
              <w:noProof/>
            </w:rPr>
            <w:t xml:space="preserve"> (Hassel, et al., 2019)</w:t>
          </w:r>
          <w:r w:rsidRPr="00027624">
            <w:fldChar w:fldCharType="end"/>
          </w:r>
        </w:sdtContent>
      </w:sdt>
      <w:r w:rsidRPr="00027624">
        <w:t>.</w:t>
      </w:r>
    </w:p>
    <w:p w14:paraId="20CE9224" w14:textId="77777777" w:rsidR="002A2FAE" w:rsidRPr="00027624" w:rsidRDefault="002A2FAE" w:rsidP="002A2FAE">
      <w:r w:rsidRPr="00027624">
        <w:t>International literature on pension reform suggests people are more willing to accept changes to the system when: it benefits them as individuals; it is in line with their political beliefs; or they are well</w:t>
      </w:r>
      <w:r w:rsidR="00A8443E" w:rsidRPr="00027624">
        <w:noBreakHyphen/>
      </w:r>
      <w:r w:rsidRPr="00027624">
        <w:t>informed about the system</w:t>
      </w:r>
      <w:sdt>
        <w:sdtPr>
          <w:id w:val="1931995918"/>
          <w:citation/>
        </w:sdtPr>
        <w:sdtEndPr/>
        <w:sdtContent>
          <w:r w:rsidRPr="00027624">
            <w:fldChar w:fldCharType="begin"/>
          </w:r>
          <w:r w:rsidRPr="00027624">
            <w:instrText xml:space="preserve">CITATION Boe12 \m Gouv17 \l 3081 </w:instrText>
          </w:r>
          <w:r w:rsidRPr="00027624">
            <w:fldChar w:fldCharType="separate"/>
          </w:r>
          <w:r w:rsidR="00E83F6E">
            <w:rPr>
              <w:noProof/>
            </w:rPr>
            <w:t xml:space="preserve"> (Boeri &amp; Tabellini, 2012; Gouveia, 2017)</w:t>
          </w:r>
          <w:r w:rsidRPr="00027624">
            <w:fldChar w:fldCharType="end"/>
          </w:r>
        </w:sdtContent>
      </w:sdt>
      <w:r w:rsidRPr="00027624">
        <w:t>.</w:t>
      </w:r>
    </w:p>
    <w:p w14:paraId="2FC92CD2" w14:textId="77777777" w:rsidR="002A2FAE" w:rsidRPr="00027624" w:rsidRDefault="002A2FAE" w:rsidP="002A2FAE">
      <w:r w:rsidRPr="00027624">
        <w:t>Submissions suggested reform could be implemented while maintaining confidence by:</w:t>
      </w:r>
    </w:p>
    <w:p w14:paraId="53C9418A" w14:textId="77777777" w:rsidR="002A2FAE" w:rsidRPr="00027624" w:rsidRDefault="002A2FAE" w:rsidP="00223830">
      <w:pPr>
        <w:pStyle w:val="Bullet"/>
      </w:pPr>
      <w:r w:rsidRPr="00027624">
        <w:rPr>
          <w:b/>
        </w:rPr>
        <w:t>Grandfathering existing outcomes</w:t>
      </w:r>
      <w:r w:rsidRPr="00027624">
        <w:t xml:space="preserve"> and providing a sufficient transitional period for people to adjust to new settings</w:t>
      </w:r>
      <w:sdt>
        <w:sdtPr>
          <w:id w:val="-316182898"/>
          <w:citation/>
        </w:sdtPr>
        <w:sdtEndPr/>
        <w:sdtContent>
          <w:r w:rsidRPr="00027624">
            <w:fldChar w:fldCharType="begin"/>
          </w:r>
          <w:r w:rsidRPr="00027624">
            <w:instrText xml:space="preserve">CITATION Nat20 \p 3 \m The202 \p 35 \m Ass20 \p 2 \l 3081 </w:instrText>
          </w:r>
          <w:r w:rsidRPr="00027624">
            <w:fldChar w:fldCharType="separate"/>
          </w:r>
          <w:r w:rsidR="00E83F6E">
            <w:rPr>
              <w:noProof/>
            </w:rPr>
            <w:t xml:space="preserve"> (National Seniors Australia, 2020, p. 3; Alliance for a Fairer Retirement System, 2020, p. 35; Bunbury Branch of the Association of Independent Retirees, 2020, p. 2)</w:t>
          </w:r>
          <w:r w:rsidRPr="00027624">
            <w:fldChar w:fldCharType="end"/>
          </w:r>
        </w:sdtContent>
      </w:sdt>
    </w:p>
    <w:p w14:paraId="6AE42F62" w14:textId="77777777" w:rsidR="002A2FAE" w:rsidRPr="00027624" w:rsidRDefault="002A2FAE" w:rsidP="00223830">
      <w:pPr>
        <w:pStyle w:val="Bullet"/>
      </w:pPr>
      <w:r w:rsidRPr="00027624">
        <w:rPr>
          <w:b/>
        </w:rPr>
        <w:t>Effectively communicating the benefits of reform.</w:t>
      </w:r>
      <w:r w:rsidRPr="00027624">
        <w:t xml:space="preserve"> People are more willing to support reform if its benefits are communicated well</w:t>
      </w:r>
      <w:r w:rsidR="00AB0822" w:rsidRPr="00AB0822">
        <w:t xml:space="preserve"> </w:t>
      </w:r>
      <w:sdt>
        <w:sdtPr>
          <w:id w:val="-1632855137"/>
          <w:citation/>
        </w:sdtPr>
        <w:sdtEndPr/>
        <w:sdtContent>
          <w:r w:rsidR="00AB0822" w:rsidRPr="00027624">
            <w:fldChar w:fldCharType="begin"/>
          </w:r>
          <w:r w:rsidR="00AB0822">
            <w:instrText xml:space="preserve">CITATION Sup20 \l 3081 </w:instrText>
          </w:r>
          <w:r w:rsidR="00AB0822" w:rsidRPr="00027624">
            <w:fldChar w:fldCharType="separate"/>
          </w:r>
          <w:r w:rsidR="00E83F6E">
            <w:rPr>
              <w:noProof/>
            </w:rPr>
            <w:t>(Super Consumers Australia, 2020)</w:t>
          </w:r>
          <w:r w:rsidR="00AB0822" w:rsidRPr="00027624">
            <w:fldChar w:fldCharType="end"/>
          </w:r>
        </w:sdtContent>
      </w:sdt>
    </w:p>
    <w:p w14:paraId="4EFAC427" w14:textId="77777777" w:rsidR="002A2FAE" w:rsidRPr="00027624" w:rsidRDefault="002A2FAE" w:rsidP="00223830">
      <w:pPr>
        <w:pStyle w:val="Bullet"/>
      </w:pPr>
      <w:r w:rsidRPr="00027624">
        <w:rPr>
          <w:b/>
        </w:rPr>
        <w:t xml:space="preserve">Aligning reforms with public attitudes toward equity. </w:t>
      </w:r>
      <w:r w:rsidRPr="00027624">
        <w:t>The public is more likely to accept reforms consistent with (perceived) equitable outcomes</w:t>
      </w:r>
    </w:p>
    <w:tbl>
      <w:tblPr>
        <w:tblStyle w:val="TableGrid"/>
        <w:tblW w:w="5000" w:type="pct"/>
        <w:shd w:val="clear" w:color="auto" w:fill="FFF8EA"/>
        <w:tblLook w:val="04A0" w:firstRow="1" w:lastRow="0" w:firstColumn="1" w:lastColumn="0" w:noHBand="0" w:noVBand="1"/>
      </w:tblPr>
      <w:tblGrid>
        <w:gridCol w:w="9070"/>
      </w:tblGrid>
      <w:tr w:rsidR="002A2FAE" w:rsidRPr="00027624" w14:paraId="76672166" w14:textId="77777777" w:rsidTr="002A2FAE">
        <w:tc>
          <w:tcPr>
            <w:tcW w:w="5000" w:type="pct"/>
            <w:shd w:val="clear" w:color="auto" w:fill="FFF8EA"/>
          </w:tcPr>
          <w:p w14:paraId="0543E842" w14:textId="77777777" w:rsidR="002A2FAE" w:rsidRPr="00027624" w:rsidRDefault="002A2FAE" w:rsidP="00FC7361">
            <w:pPr>
              <w:pStyle w:val="BoxHeading"/>
              <w:numPr>
                <w:ilvl w:val="5"/>
                <w:numId w:val="28"/>
              </w:numPr>
            </w:pPr>
            <w:r w:rsidRPr="00027624">
              <w:lastRenderedPageBreak/>
              <w:t>Impact of changes to certain policy settings on the sustainability of the retirement income system</w:t>
            </w:r>
          </w:p>
          <w:p w14:paraId="1931E885" w14:textId="77777777" w:rsidR="002A2FAE" w:rsidRPr="00027624" w:rsidRDefault="002A2FAE" w:rsidP="002A2FAE">
            <w:pPr>
              <w:pStyle w:val="BoxText"/>
            </w:pPr>
            <w:r w:rsidRPr="00027624">
              <w:t>A significant number of submissions raised policy proposals affecting the sustainability of the retirement income system. The following summary outlines some implications of some of those proposals.</w:t>
            </w:r>
          </w:p>
          <w:p w14:paraId="2AB2072A" w14:textId="77777777" w:rsidR="002A2FAE" w:rsidRPr="00027624" w:rsidRDefault="002A2FAE" w:rsidP="002A2FAE">
            <w:pPr>
              <w:pStyle w:val="Bullet"/>
            </w:pPr>
            <w:r w:rsidRPr="00027624">
              <w:rPr>
                <w:b/>
                <w:bCs/>
              </w:rPr>
              <w:t xml:space="preserve">Means testing promotes the sustainability of Age Pension spending. </w:t>
            </w:r>
            <w:r w:rsidRPr="00027624">
              <w:t>Over time, the SG leads to superannuation balances growing faster than the means test free areas and cut</w:t>
            </w:r>
            <w:r w:rsidR="00A8443E" w:rsidRPr="00027624">
              <w:noBreakHyphen/>
            </w:r>
            <w:r w:rsidRPr="00027624">
              <w:t>offs. This will move some people on full</w:t>
            </w:r>
            <w:r w:rsidR="00A8443E" w:rsidRPr="00027624">
              <w:noBreakHyphen/>
            </w:r>
            <w:r w:rsidRPr="00027624">
              <w:t>rate pensions to part</w:t>
            </w:r>
            <w:r w:rsidR="00A8443E" w:rsidRPr="00027624">
              <w:noBreakHyphen/>
            </w:r>
            <w:r w:rsidRPr="00027624">
              <w:t>rate pensions, and some on part</w:t>
            </w:r>
            <w:r w:rsidR="00A8443E" w:rsidRPr="00027624">
              <w:noBreakHyphen/>
            </w:r>
            <w:r w:rsidRPr="00027624">
              <w:t>rate pensions off the Age Pension. Age Pension means testing also makes the system effective at offsetting the consequences of low earnings and lower wages for lower</w:t>
            </w:r>
            <w:r w:rsidR="00A8443E" w:rsidRPr="00027624">
              <w:noBreakHyphen/>
            </w:r>
            <w:r w:rsidRPr="00027624">
              <w:t xml:space="preserve"> and middle</w:t>
            </w:r>
            <w:r w:rsidR="00A8443E" w:rsidRPr="00027624">
              <w:noBreakHyphen/>
            </w:r>
            <w:r w:rsidRPr="00027624">
              <w:t>income earners. Sustainability of the system will depend on its overall costs and both Age Pension and superannuation tax concessions.</w:t>
            </w:r>
          </w:p>
          <w:p w14:paraId="0AC9AFBA" w14:textId="77777777" w:rsidR="002A2FAE" w:rsidRPr="00027624" w:rsidRDefault="002A2FAE" w:rsidP="002A2FAE">
            <w:pPr>
              <w:pStyle w:val="Bullet"/>
            </w:pPr>
            <w:r w:rsidRPr="00027624">
              <w:rPr>
                <w:b/>
                <w:bCs/>
              </w:rPr>
              <w:t xml:space="preserve">Earnings tax concessions increase the cost of the system over time. </w:t>
            </w:r>
            <w:r w:rsidRPr="00027624">
              <w:t>While contributions tax concessions are not projected to increase the cost of the system as a proportion of GDP over time, earnings tax concessions are. Earnings tax concessions disproportionately benefit people who are already likely to achieve adequate retirement incomes. SG contributions are the main influence reducing Age Pension expenditure.</w:t>
            </w:r>
          </w:p>
        </w:tc>
      </w:tr>
    </w:tbl>
    <w:p w14:paraId="6D79340C" w14:textId="77777777" w:rsidR="002A2FAE" w:rsidRPr="00027624" w:rsidRDefault="002A2FAE" w:rsidP="002A2FAE">
      <w:pPr>
        <w:ind w:left="284"/>
      </w:pPr>
      <w:r w:rsidRPr="00027624">
        <w:br w:type="page"/>
      </w:r>
    </w:p>
    <w:p w14:paraId="5DCEA313" w14:textId="77777777" w:rsidR="002A2FAE" w:rsidRPr="00027624" w:rsidRDefault="003767FD" w:rsidP="003275A4">
      <w:pPr>
        <w:pStyle w:val="Heading2"/>
        <w:spacing w:before="0" w:after="0"/>
        <w:rPr>
          <w:i/>
        </w:rPr>
      </w:pPr>
      <w:bookmarkStart w:id="4082" w:name="_Ref43117316"/>
      <w:bookmarkStart w:id="4083" w:name="_Toc45520545"/>
      <w:bookmarkStart w:id="4084" w:name="_Toc46133657"/>
      <w:r w:rsidRPr="00027624">
        <w:rPr>
          <w:i/>
        </w:rPr>
        <w:lastRenderedPageBreak/>
        <w:t>Annex</w:t>
      </w:r>
      <w:r w:rsidR="00A8443E" w:rsidRPr="00027624">
        <w:rPr>
          <w:i/>
        </w:rPr>
        <w:t xml:space="preserve"> — </w:t>
      </w:r>
      <w:r w:rsidR="002A2FAE" w:rsidRPr="00027624">
        <w:rPr>
          <w:i/>
        </w:rPr>
        <w:t>estimating superannuation tax concessions</w:t>
      </w:r>
      <w:bookmarkEnd w:id="4082"/>
      <w:bookmarkEnd w:id="4083"/>
      <w:bookmarkEnd w:id="4084"/>
    </w:p>
    <w:p w14:paraId="5B52ED56" w14:textId="77777777" w:rsidR="002A2FAE" w:rsidRPr="00027624" w:rsidRDefault="002A2FAE" w:rsidP="003275A4">
      <w:pPr>
        <w:spacing w:before="80" w:after="80"/>
      </w:pPr>
      <w:r w:rsidRPr="00027624">
        <w:t xml:space="preserve">Treasury publishes estimates of the cost of superannuation </w:t>
      </w:r>
      <w:r w:rsidRPr="00027624" w:rsidDel="00E36F7D">
        <w:t xml:space="preserve">tax </w:t>
      </w:r>
      <w:r w:rsidRPr="00027624">
        <w:t xml:space="preserve">concessions in the annual Tax Benchmarks and Variations Statement (previously the </w:t>
      </w:r>
      <w:r w:rsidRPr="00027624" w:rsidDel="00E36F7D">
        <w:t>Tax Expenditure</w:t>
      </w:r>
      <w:r w:rsidRPr="00027624">
        <w:t>s Statement). The Tax Benchmarks and Variations Statement includes estimates for 12 different superannuation tax concessions. Of these, contributions tax concessions (both employer and personal) and earnings tax concessions make up the vast majority of the total cost.</w:t>
      </w:r>
    </w:p>
    <w:p w14:paraId="1767E97E" w14:textId="77777777" w:rsidR="002A2FAE" w:rsidRPr="00027624" w:rsidRDefault="002A2FAE" w:rsidP="003275A4">
      <w:pPr>
        <w:spacing w:after="80"/>
      </w:pPr>
      <w:r w:rsidRPr="00027624">
        <w:t xml:space="preserve">Estimating </w:t>
      </w:r>
      <w:r w:rsidRPr="00027624" w:rsidDel="00E36F7D">
        <w:t>tax</w:t>
      </w:r>
      <w:r w:rsidRPr="00027624">
        <w:t xml:space="preserve"> concessions requires considering two issues: what the counterfactual tax benchmark should be and behavioural change.</w:t>
      </w:r>
    </w:p>
    <w:p w14:paraId="087533CF" w14:textId="77777777" w:rsidR="002A2FAE" w:rsidRPr="00027624" w:rsidRDefault="002A2FAE" w:rsidP="003275A4">
      <w:pPr>
        <w:pStyle w:val="Heading3"/>
        <w:spacing w:before="200"/>
      </w:pPr>
      <w:r w:rsidRPr="00027624">
        <w:t>The tax benchmark</w:t>
      </w:r>
    </w:p>
    <w:p w14:paraId="1351460C" w14:textId="77777777" w:rsidR="002A2FAE" w:rsidRPr="00027624" w:rsidRDefault="002A2FAE" w:rsidP="003275A4">
      <w:pPr>
        <w:spacing w:after="80"/>
      </w:pPr>
      <w:r w:rsidRPr="00027624">
        <w:t>The Tax Benchmarks and Variations Statement uses an income tax benchmark, which means the counterfactual tax treatment of contributions and earnings are the general settings of the personal income tax system.</w:t>
      </w:r>
    </w:p>
    <w:p w14:paraId="2FF8F687" w14:textId="77777777" w:rsidR="002A2FAE" w:rsidRPr="00027624" w:rsidRDefault="002A2FAE" w:rsidP="003275A4">
      <w:pPr>
        <w:spacing w:after="80"/>
      </w:pPr>
      <w:r w:rsidRPr="00027624">
        <w:t xml:space="preserve">Some stakeholders argued a better benchmark to use would be an </w:t>
      </w:r>
      <w:r w:rsidR="00A8443E" w:rsidRPr="00027624">
        <w:t>‘</w:t>
      </w:r>
      <w:r w:rsidRPr="00027624">
        <w:t>expenditure</w:t>
      </w:r>
      <w:r w:rsidR="00A8443E" w:rsidRPr="00027624">
        <w:t>’</w:t>
      </w:r>
      <w:r w:rsidRPr="00027624">
        <w:t xml:space="preserve"> benchmark. An expenditure benchmark compares the revenue actually collected with the revenue that might have been collected had contributions been taxed at personal marginal rates and all earnings been tax</w:t>
      </w:r>
      <w:r w:rsidR="00A8443E" w:rsidRPr="00027624">
        <w:noBreakHyphen/>
      </w:r>
      <w:r w:rsidRPr="00027624">
        <w:t>free. This is sometimes called a TEE benchmark, referring to fully taxed contributions (T), but exempted earnings and withdrawals (EE)</w:t>
      </w:r>
      <w:r w:rsidRPr="00027624">
        <w:fldChar w:fldCharType="begin"/>
      </w:r>
      <w:r w:rsidRPr="00027624">
        <w:fldChar w:fldCharType="separate"/>
      </w:r>
      <w:r w:rsidRPr="00027624">
        <w:rPr>
          <w:b/>
          <w:bCs/>
          <w:lang w:val="en-US"/>
        </w:rPr>
        <w:t>Error! No bookmark name given.</w:t>
      </w:r>
      <w:r w:rsidRPr="00027624">
        <w:fldChar w:fldCharType="end"/>
      </w:r>
      <w:r w:rsidRPr="00027624">
        <w:t>.</w:t>
      </w:r>
      <w:r w:rsidRPr="00027624">
        <w:rPr>
          <w:rStyle w:val="FootnoteReference"/>
        </w:rPr>
        <w:footnoteReference w:id="274"/>
      </w:r>
    </w:p>
    <w:p w14:paraId="7D166D69" w14:textId="77777777" w:rsidR="002A2FAE" w:rsidRPr="00027624" w:rsidRDefault="002A2FAE" w:rsidP="003275A4">
      <w:pPr>
        <w:spacing w:after="80"/>
      </w:pPr>
      <w:r w:rsidRPr="00027624">
        <w:t>Broadly speaking, two main arguments were put forward, each subject to challenge:</w:t>
      </w:r>
    </w:p>
    <w:p w14:paraId="60704336" w14:textId="77777777" w:rsidR="002A2FAE" w:rsidRPr="00027624" w:rsidRDefault="002A2FAE" w:rsidP="003275A4">
      <w:pPr>
        <w:pStyle w:val="OutlineNumbered1"/>
        <w:numPr>
          <w:ilvl w:val="0"/>
          <w:numId w:val="93"/>
        </w:numPr>
        <w:spacing w:after="80"/>
      </w:pPr>
      <w:r w:rsidRPr="00027624">
        <w:t xml:space="preserve">The benchmark selected is inevitably an implicit judgement about what is the </w:t>
      </w:r>
      <w:r w:rsidR="00A8443E" w:rsidRPr="00027624">
        <w:t>‘</w:t>
      </w:r>
      <w:r w:rsidRPr="00027624">
        <w:t>best</w:t>
      </w:r>
      <w:r w:rsidR="00A8443E" w:rsidRPr="00027624">
        <w:t>’</w:t>
      </w:r>
      <w:r w:rsidRPr="00027624">
        <w:t xml:space="preserve"> alternative tax treatment. A range of influential papers on the optimal taxation of saving — for example, Atkinson and Stiglitz </w:t>
      </w:r>
      <w:sdt>
        <w:sdtPr>
          <w:id w:val="-113291155"/>
          <w:citation/>
        </w:sdtPr>
        <w:sdtEndPr/>
        <w:sdtContent>
          <w:r w:rsidRPr="00027624">
            <w:fldChar w:fldCharType="begin"/>
          </w:r>
          <w:r w:rsidRPr="00027624">
            <w:instrText xml:space="preserve">CITATION Atk76 \n  \t  \l 3081 </w:instrText>
          </w:r>
          <w:r w:rsidRPr="00027624">
            <w:fldChar w:fldCharType="separate"/>
          </w:r>
          <w:r w:rsidR="00E83F6E">
            <w:rPr>
              <w:noProof/>
            </w:rPr>
            <w:t>(1976)</w:t>
          </w:r>
          <w:r w:rsidRPr="00027624">
            <w:fldChar w:fldCharType="end"/>
          </w:r>
        </w:sdtContent>
      </w:sdt>
      <w:r w:rsidRPr="00027624">
        <w:t xml:space="preserve">; Chamley </w:t>
      </w:r>
      <w:sdt>
        <w:sdtPr>
          <w:id w:val="1138150774"/>
          <w:citation/>
        </w:sdtPr>
        <w:sdtEndPr/>
        <w:sdtContent>
          <w:r w:rsidRPr="00027624">
            <w:fldChar w:fldCharType="begin"/>
          </w:r>
          <w:r w:rsidRPr="00027624">
            <w:instrText xml:space="preserve">CITATION Cha86 \n  \t  \l 3081 </w:instrText>
          </w:r>
          <w:r w:rsidRPr="00027624">
            <w:fldChar w:fldCharType="separate"/>
          </w:r>
          <w:r w:rsidR="00E83F6E">
            <w:rPr>
              <w:noProof/>
            </w:rPr>
            <w:t>(1986)</w:t>
          </w:r>
          <w:r w:rsidRPr="00027624">
            <w:fldChar w:fldCharType="end"/>
          </w:r>
        </w:sdtContent>
      </w:sdt>
      <w:r w:rsidRPr="00027624">
        <w:t xml:space="preserve">; and Judd </w:t>
      </w:r>
      <w:sdt>
        <w:sdtPr>
          <w:id w:val="478351699"/>
          <w:citation/>
        </w:sdtPr>
        <w:sdtEndPr/>
        <w:sdtContent>
          <w:r w:rsidRPr="00027624">
            <w:fldChar w:fldCharType="begin"/>
          </w:r>
          <w:r w:rsidRPr="00027624">
            <w:instrText xml:space="preserve">CITATION Ken85 \n  \t  \l 3081 </w:instrText>
          </w:r>
          <w:r w:rsidRPr="00027624">
            <w:fldChar w:fldCharType="separate"/>
          </w:r>
          <w:r w:rsidR="00E83F6E">
            <w:rPr>
              <w:noProof/>
            </w:rPr>
            <w:t>(1985)</w:t>
          </w:r>
          <w:r w:rsidRPr="00027624">
            <w:fldChar w:fldCharType="end"/>
          </w:r>
        </w:sdtContent>
      </w:sdt>
      <w:r w:rsidRPr="00027624">
        <w:t xml:space="preserve"> — suggest that, under certain conditions, the </w:t>
      </w:r>
      <w:r w:rsidR="00A8443E" w:rsidRPr="00027624">
        <w:t>‘</w:t>
      </w:r>
      <w:r w:rsidRPr="00027624">
        <w:t>normal</w:t>
      </w:r>
      <w:r w:rsidR="00A8443E" w:rsidRPr="00027624">
        <w:t>’</w:t>
      </w:r>
      <w:r w:rsidRPr="00027624">
        <w:t xml:space="preserve"> (or risk</w:t>
      </w:r>
      <w:r w:rsidR="00A8443E" w:rsidRPr="00027624">
        <w:noBreakHyphen/>
      </w:r>
      <w:r w:rsidRPr="00027624">
        <w:t xml:space="preserve">free) return to savings should not be taxed. Drawing on such analysis, some stakeholders consider </w:t>
      </w:r>
      <w:r w:rsidRPr="00027624" w:rsidDel="007373CC">
        <w:t xml:space="preserve">the </w:t>
      </w:r>
      <w:r w:rsidRPr="00027624">
        <w:t>benchmark should reflect such a structure. Some considerations that challenge this approach include:</w:t>
      </w:r>
    </w:p>
    <w:p w14:paraId="4DCF6860" w14:textId="77777777" w:rsidR="002A2FAE" w:rsidRPr="00027624" w:rsidRDefault="002A2FAE" w:rsidP="003275A4">
      <w:pPr>
        <w:pStyle w:val="ListParagraph"/>
        <w:numPr>
          <w:ilvl w:val="0"/>
          <w:numId w:val="94"/>
        </w:numPr>
        <w:spacing w:after="100"/>
        <w:ind w:left="1380"/>
      </w:pPr>
      <w:r w:rsidRPr="00027624">
        <w:t xml:space="preserve">Estimating the cost of tax concessions is about </w:t>
      </w:r>
      <w:r w:rsidR="00A8443E" w:rsidRPr="00027624">
        <w:t>‘</w:t>
      </w:r>
      <w:r w:rsidRPr="00027624">
        <w:t>what is</w:t>
      </w:r>
      <w:r w:rsidR="00A8443E" w:rsidRPr="00027624">
        <w:t>’</w:t>
      </w:r>
      <w:r w:rsidRPr="00027624">
        <w:t xml:space="preserve"> not </w:t>
      </w:r>
      <w:r w:rsidR="00A8443E" w:rsidRPr="00027624">
        <w:t>‘</w:t>
      </w:r>
      <w:r w:rsidRPr="00027624">
        <w:t>what should be</w:t>
      </w:r>
      <w:r w:rsidR="00A8443E" w:rsidRPr="00027624">
        <w:t>’</w:t>
      </w:r>
      <w:r w:rsidRPr="00027624">
        <w:t xml:space="preserve">. This means estimating the cost of legislated deviations should be from the norm (whether the norm is </w:t>
      </w:r>
      <w:r w:rsidR="00A8443E" w:rsidRPr="00027624">
        <w:t>‘</w:t>
      </w:r>
      <w:r w:rsidRPr="00027624">
        <w:t>optimal</w:t>
      </w:r>
      <w:r w:rsidR="00A8443E" w:rsidRPr="00027624">
        <w:t>’</w:t>
      </w:r>
      <w:r w:rsidRPr="00027624">
        <w:t xml:space="preserve"> or not), not deviations from a theoretical optimum.</w:t>
      </w:r>
    </w:p>
    <w:p w14:paraId="28E40B16" w14:textId="77777777" w:rsidR="002A2FAE" w:rsidRPr="00027624" w:rsidRDefault="002A2FAE" w:rsidP="003275A4">
      <w:pPr>
        <w:pStyle w:val="ListParagraph"/>
        <w:numPr>
          <w:ilvl w:val="0"/>
          <w:numId w:val="94"/>
        </w:numPr>
        <w:spacing w:after="100"/>
        <w:ind w:left="1380"/>
      </w:pPr>
      <w:r w:rsidRPr="00027624">
        <w:t>Few superannuation members receive the risk</w:t>
      </w:r>
      <w:r w:rsidR="00A8443E" w:rsidRPr="00027624">
        <w:noBreakHyphen/>
      </w:r>
      <w:r w:rsidRPr="00027624">
        <w:t xml:space="preserve">free level of return. Most receive a </w:t>
      </w:r>
      <w:r w:rsidR="00A8443E" w:rsidRPr="00027624">
        <w:t>‘</w:t>
      </w:r>
      <w:r w:rsidRPr="00027624">
        <w:t>supernormal</w:t>
      </w:r>
      <w:r w:rsidR="00A8443E" w:rsidRPr="00027624">
        <w:t>’</w:t>
      </w:r>
      <w:r w:rsidRPr="00027624">
        <w:t xml:space="preserve"> return from diversified portfolios of risky assets. The Mirrlees Review </w:t>
      </w:r>
      <w:sdt>
        <w:sdtPr>
          <w:id w:val="-1995253246"/>
          <w:citation/>
        </w:sdtPr>
        <w:sdtEndPr/>
        <w:sdtContent>
          <w:r w:rsidRPr="00027624">
            <w:fldChar w:fldCharType="begin"/>
          </w:r>
          <w:r w:rsidRPr="00027624">
            <w:instrText xml:space="preserve">CITATION Mir11 \n  \t  \l 3081 </w:instrText>
          </w:r>
          <w:r w:rsidRPr="00027624">
            <w:fldChar w:fldCharType="separate"/>
          </w:r>
          <w:r w:rsidR="00E83F6E">
            <w:t>(2011)</w:t>
          </w:r>
          <w:r w:rsidRPr="00027624">
            <w:fldChar w:fldCharType="end"/>
          </w:r>
        </w:sdtContent>
      </w:sdt>
      <w:r w:rsidRPr="00027624">
        <w:t xml:space="preserve"> stopped short of proposing a TEE framework for returns from such portfolios (as is superannuation).</w:t>
      </w:r>
    </w:p>
    <w:p w14:paraId="4F8A0729" w14:textId="77777777" w:rsidR="002A2FAE" w:rsidRPr="00027624" w:rsidRDefault="002A2FAE" w:rsidP="003275A4">
      <w:pPr>
        <w:pStyle w:val="ListParagraph"/>
        <w:numPr>
          <w:ilvl w:val="0"/>
          <w:numId w:val="94"/>
        </w:numPr>
        <w:spacing w:after="80"/>
        <w:ind w:left="1380"/>
      </w:pPr>
      <w:r w:rsidRPr="00027624">
        <w:t xml:space="preserve">More generally, not everyone agrees about the theoretical optimum tax treatment. For example, extensive literature surveys by Auerbach </w:t>
      </w:r>
      <w:sdt>
        <w:sdtPr>
          <w:id w:val="1896535283"/>
          <w:citation/>
        </w:sdtPr>
        <w:sdtEndPr/>
        <w:sdtContent>
          <w:r w:rsidRPr="00027624">
            <w:fldChar w:fldCharType="begin"/>
          </w:r>
          <w:r w:rsidRPr="00027624">
            <w:instrText xml:space="preserve">CITATION Aue06 \n  \t  \l 3081 </w:instrText>
          </w:r>
          <w:r w:rsidRPr="00027624">
            <w:fldChar w:fldCharType="separate"/>
          </w:r>
          <w:r w:rsidR="00E83F6E">
            <w:t>(2006)</w:t>
          </w:r>
          <w:r w:rsidRPr="00027624">
            <w:fldChar w:fldCharType="end"/>
          </w:r>
        </w:sdtContent>
      </w:sdt>
      <w:r w:rsidRPr="00027624">
        <w:t xml:space="preserve">, Sorensen </w:t>
      </w:r>
      <w:sdt>
        <w:sdtPr>
          <w:id w:val="1740597227"/>
          <w:citation/>
        </w:sdtPr>
        <w:sdtEndPr/>
        <w:sdtContent>
          <w:r w:rsidRPr="00027624">
            <w:fldChar w:fldCharType="begin"/>
          </w:r>
          <w:r w:rsidRPr="00027624">
            <w:instrText xml:space="preserve">CITATION Sor07 \n  \t  \l 3081 </w:instrText>
          </w:r>
          <w:r w:rsidRPr="00027624">
            <w:fldChar w:fldCharType="separate"/>
          </w:r>
          <w:r w:rsidR="00E83F6E">
            <w:t>(2007)</w:t>
          </w:r>
          <w:r w:rsidRPr="00027624">
            <w:fldChar w:fldCharType="end"/>
          </w:r>
        </w:sdtContent>
      </w:sdt>
      <w:r w:rsidRPr="00027624">
        <w:t xml:space="preserve">, and Diamond and Banks </w:t>
      </w:r>
      <w:sdt>
        <w:sdtPr>
          <w:id w:val="1717233761"/>
          <w:citation/>
        </w:sdtPr>
        <w:sdtEndPr/>
        <w:sdtContent>
          <w:r w:rsidRPr="00027624">
            <w:fldChar w:fldCharType="begin"/>
          </w:r>
          <w:r w:rsidRPr="00027624">
            <w:instrText xml:space="preserve">CITATION Dia09 \n  \t  \l 3081 </w:instrText>
          </w:r>
          <w:r w:rsidRPr="00027624">
            <w:fldChar w:fldCharType="separate"/>
          </w:r>
          <w:r w:rsidR="00E83F6E">
            <w:t>(2009)</w:t>
          </w:r>
          <w:r w:rsidRPr="00027624">
            <w:fldChar w:fldCharType="end"/>
          </w:r>
        </w:sdtContent>
      </w:sdt>
      <w:r w:rsidRPr="00027624">
        <w:t>, report a number of findings that a positive tax on the normal return to savings can be part of an optimised tax mix, and a tax rate of zero is only optimal under certain assumptions.</w:t>
      </w:r>
    </w:p>
    <w:p w14:paraId="7D418443" w14:textId="77777777" w:rsidR="002A2FAE" w:rsidRPr="00027624" w:rsidRDefault="002A2FAE" w:rsidP="003275A4">
      <w:pPr>
        <w:pStyle w:val="OutlineNumbered1"/>
        <w:spacing w:after="80"/>
      </w:pPr>
      <w:r w:rsidRPr="00027624">
        <w:t>A comprehensive income tax benchmark does not represent a politically sustainable option because the public would not accept compelled savings with no concessional tax treatment. However:</w:t>
      </w:r>
    </w:p>
    <w:p w14:paraId="557BEC69" w14:textId="77777777" w:rsidR="002A2FAE" w:rsidRPr="00027624" w:rsidRDefault="002A2FAE" w:rsidP="003275A4">
      <w:pPr>
        <w:pStyle w:val="ListParagraph"/>
        <w:numPr>
          <w:ilvl w:val="0"/>
          <w:numId w:val="94"/>
        </w:numPr>
        <w:spacing w:after="0"/>
        <w:ind w:left="1380"/>
      </w:pPr>
      <w:r w:rsidRPr="00027624">
        <w:t>Political acceptability is not relevant to the relatively narrow task of measuring Government costs. For example, removing the Age Pension would almost certainly be unacceptable to the public, yet the cost of the Age Pension is still measured in its entirety.</w:t>
      </w:r>
    </w:p>
    <w:p w14:paraId="0E294B8B" w14:textId="77777777" w:rsidR="002A2FAE" w:rsidRPr="00027624" w:rsidRDefault="002A2FAE" w:rsidP="002A2FAE">
      <w:pPr>
        <w:pStyle w:val="Heading3"/>
      </w:pPr>
      <w:r w:rsidRPr="00027624">
        <w:lastRenderedPageBreak/>
        <w:t>Behavioural change</w:t>
      </w:r>
    </w:p>
    <w:p w14:paraId="6143CD57" w14:textId="77777777" w:rsidR="002A2FAE" w:rsidRPr="00027624" w:rsidRDefault="002A2FAE" w:rsidP="002A2FAE">
      <w:r w:rsidRPr="00027624">
        <w:t>Another issue in estimating the cost of superannuation tax concessions concerns behavioural change. People could alter their behaviour if the concessional tax treatment of superannuation was removed, perhaps by saving less or using alternative savings vehicles.</w:t>
      </w:r>
    </w:p>
    <w:p w14:paraId="01296524" w14:textId="77777777" w:rsidR="002A2FAE" w:rsidRPr="00027624" w:rsidRDefault="002A2FAE" w:rsidP="002A2FAE">
      <w:r w:rsidRPr="00027624">
        <w:t xml:space="preserve">As outlined in </w:t>
      </w:r>
      <w:r w:rsidRPr="00027624">
        <w:rPr>
          <w:i/>
        </w:rPr>
        <w:t>5A.</w:t>
      </w:r>
      <w:r w:rsidRPr="00027624">
        <w:t xml:space="preserve"> </w:t>
      </w:r>
      <w:r w:rsidRPr="00027624">
        <w:rPr>
          <w:i/>
        </w:rPr>
        <w:t>Cohesion</w:t>
      </w:r>
      <w:r w:rsidRPr="00027624">
        <w:t xml:space="preserve">, tax concessions have a limited effect at encouraging </w:t>
      </w:r>
      <w:r w:rsidRPr="00027624">
        <w:rPr>
          <w:i/>
        </w:rPr>
        <w:t xml:space="preserve">additional </w:t>
      </w:r>
      <w:r w:rsidRPr="00027624">
        <w:t>savings or increasing people</w:t>
      </w:r>
      <w:r w:rsidR="00A8443E" w:rsidRPr="00027624">
        <w:t>’</w:t>
      </w:r>
      <w:r w:rsidRPr="00027624">
        <w:t xml:space="preserve">s overall savings. Instead, they mostly encourage people to </w:t>
      </w:r>
      <w:r w:rsidRPr="00027624">
        <w:rPr>
          <w:i/>
        </w:rPr>
        <w:t xml:space="preserve">reallocate </w:t>
      </w:r>
      <w:r w:rsidRPr="00027624">
        <w:t>existing savings, or savings they would have made in any case, into superannuation. Compulsory superannuation is the main driver of increased household savings. This suggests people are unlikely to save less in total if tax concessions were removed. But they may choose alternative savings vehicles.</w:t>
      </w:r>
    </w:p>
    <w:p w14:paraId="2C19C416" w14:textId="77777777" w:rsidR="002A2FAE" w:rsidRPr="00027624" w:rsidRDefault="002A2FAE" w:rsidP="002A2FAE">
      <w:r w:rsidRPr="00027624">
        <w:t xml:space="preserve">Since 2009, Treasury has produced estimates that attempt to account for this expected reallocation of savings. These estimates are called </w:t>
      </w:r>
      <w:r w:rsidR="00A8443E" w:rsidRPr="00027624">
        <w:t>‘</w:t>
      </w:r>
      <w:r w:rsidRPr="00027624">
        <w:t>revenue gain</w:t>
      </w:r>
      <w:r w:rsidR="00A8443E" w:rsidRPr="00027624">
        <w:t>’</w:t>
      </w:r>
      <w:r w:rsidRPr="00027624">
        <w:t xml:space="preserve"> (RG) estimates (as opposed to the general estimates that do not account for behavioural change called </w:t>
      </w:r>
      <w:r w:rsidR="00A8443E" w:rsidRPr="00027624">
        <w:t>‘</w:t>
      </w:r>
      <w:r w:rsidRPr="00027624">
        <w:t>revenue forgone</w:t>
      </w:r>
      <w:r w:rsidR="00A8443E" w:rsidRPr="00027624">
        <w:t>’</w:t>
      </w:r>
      <w:r w:rsidRPr="00027624">
        <w:t xml:space="preserve"> (RF)). They are done for the highest</w:t>
      </w:r>
      <w:r w:rsidR="00A8443E" w:rsidRPr="00027624">
        <w:noBreakHyphen/>
      </w:r>
      <w:r w:rsidRPr="00027624">
        <w:t>cost superannuation tax concessions: employer contributions (both SG and salary sacrifice) and the earnings tax concession.</w:t>
      </w:r>
    </w:p>
    <w:p w14:paraId="738447B2" w14:textId="5228862B" w:rsidR="002A2FAE" w:rsidRPr="00027624" w:rsidRDefault="002A2FAE" w:rsidP="002A2FAE">
      <w:r w:rsidRPr="00027624">
        <w:t>These estimates cannot be used for long</w:t>
      </w:r>
      <w:r w:rsidR="00A8443E" w:rsidRPr="00027624">
        <w:noBreakHyphen/>
      </w:r>
      <w:r w:rsidRPr="00027624">
        <w:t>term analysis as the methodology depends on the year in which the estimates are based. Regardless</w:t>
      </w:r>
      <w:r w:rsidRPr="00027624" w:rsidDel="00B22CEA">
        <w:t xml:space="preserve">, </w:t>
      </w:r>
      <w:r w:rsidRPr="00027624">
        <w:t>estimated behavioural change makes a relatively small difference to the estimates of total superannuation tax concessions over a four</w:t>
      </w:r>
      <w:r w:rsidR="00A8443E" w:rsidRPr="00027624">
        <w:noBreakHyphen/>
      </w:r>
      <w:r w:rsidRPr="00027624">
        <w:t>year projection period, provided compulsion continues (</w:t>
      </w:r>
      <w:r w:rsidRPr="00027624">
        <w:fldChar w:fldCharType="begin"/>
      </w:r>
      <w:r w:rsidRPr="00027624">
        <w:instrText xml:space="preserve"> REF _Ref39844166 \r \h  \* MERGEFORMAT </w:instrText>
      </w:r>
      <w:r w:rsidRPr="00027624">
        <w:fldChar w:fldCharType="separate"/>
      </w:r>
      <w:r w:rsidR="00891058">
        <w:t>Chart 4A-28</w:t>
      </w:r>
      <w:r w:rsidRPr="00027624">
        <w:fldChar w:fldCharType="end"/>
      </w:r>
      <w:r w:rsidRPr="00027624">
        <w:t>).</w:t>
      </w:r>
    </w:p>
    <w:p w14:paraId="34BF7CDA" w14:textId="77777777" w:rsidR="002A2FAE" w:rsidRPr="00027624" w:rsidRDefault="002A2FAE" w:rsidP="002A2FAE">
      <w:r w:rsidRPr="00027624">
        <w:t>RG estimates assume the concessional tax treatment is withdrawn at the start of the next financial year, with behavioural change assumptions made over the following three financial years.</w:t>
      </w:r>
    </w:p>
    <w:p w14:paraId="312578C2" w14:textId="77777777" w:rsidR="002A2FAE" w:rsidRPr="00027624" w:rsidRDefault="002A2FAE" w:rsidP="002A2FAE">
      <w:r w:rsidRPr="00027624">
        <w:t>The RG employer contributions concessions estimate is steady at around 4 per cent below the RF estimate. This is because other avenues (rather than voluntary salary sacrifice contributions) are used to reduce average tax rates on personal income.</w:t>
      </w:r>
    </w:p>
    <w:p w14:paraId="059681D9" w14:textId="77777777" w:rsidR="002A2FAE" w:rsidRPr="00027624" w:rsidRDefault="002A2FAE" w:rsidP="00FC7361">
      <w:pPr>
        <w:pStyle w:val="ChartMainHeading"/>
        <w:numPr>
          <w:ilvl w:val="2"/>
          <w:numId w:val="28"/>
        </w:numPr>
      </w:pPr>
      <w:bookmarkStart w:id="4085" w:name="_Ref39844166"/>
      <w:r w:rsidRPr="00027624">
        <w:t>Superannuation tax concessions: revenue forgone and revenue gain estimates</w:t>
      </w:r>
      <w:bookmarkEnd w:id="4085"/>
    </w:p>
    <w:tbl>
      <w:tblPr>
        <w:tblStyle w:val="TableGrid"/>
        <w:tblW w:w="0" w:type="auto"/>
        <w:tblLook w:val="04A0" w:firstRow="1" w:lastRow="0" w:firstColumn="1" w:lastColumn="0" w:noHBand="0" w:noVBand="1"/>
      </w:tblPr>
      <w:tblGrid>
        <w:gridCol w:w="4535"/>
        <w:gridCol w:w="4535"/>
      </w:tblGrid>
      <w:tr w:rsidR="002A2FAE" w:rsidRPr="00027624" w14:paraId="7769C27D" w14:textId="77777777" w:rsidTr="002A2FAE">
        <w:tc>
          <w:tcPr>
            <w:tcW w:w="4536" w:type="dxa"/>
            <w:shd w:val="clear" w:color="auto" w:fill="auto"/>
          </w:tcPr>
          <w:p w14:paraId="7A000D5D" w14:textId="77777777" w:rsidR="002A2FAE" w:rsidRPr="00027624" w:rsidRDefault="002A2FAE" w:rsidP="002A2FAE">
            <w:pPr>
              <w:pStyle w:val="ChartSecondHeading"/>
            </w:pPr>
            <w:r w:rsidRPr="00027624">
              <w:t>Employer contributions</w:t>
            </w:r>
          </w:p>
        </w:tc>
        <w:tc>
          <w:tcPr>
            <w:tcW w:w="4536" w:type="dxa"/>
            <w:shd w:val="clear" w:color="auto" w:fill="auto"/>
          </w:tcPr>
          <w:p w14:paraId="6F0D9714" w14:textId="77777777" w:rsidR="002A2FAE" w:rsidRPr="00027624" w:rsidRDefault="002A2FAE" w:rsidP="002A2FAE">
            <w:pPr>
              <w:pStyle w:val="ChartSecondHeading"/>
            </w:pPr>
            <w:r w:rsidRPr="00027624">
              <w:t>Earnings</w:t>
            </w:r>
          </w:p>
        </w:tc>
      </w:tr>
    </w:tbl>
    <w:p w14:paraId="2F5728BA" w14:textId="77777777" w:rsidR="002A2FAE" w:rsidRPr="00027624" w:rsidRDefault="00FF16C2" w:rsidP="002A2FAE">
      <w:pPr>
        <w:pStyle w:val="ChartGraphic"/>
        <w:jc w:val="left"/>
      </w:pPr>
      <w:r>
        <w:rPr>
          <w:noProof/>
        </w:rPr>
        <w:drawing>
          <wp:inline distT="0" distB="0" distL="0" distR="0" wp14:anchorId="1BC40490" wp14:editId="38A7CAA1">
            <wp:extent cx="2842260" cy="2842260"/>
            <wp:effectExtent l="0" t="0" r="0" b="0"/>
            <wp:docPr id="815138317" name="Picture 815138317" descr="This chart compares the projected cost of concessions on employer contributions between 2019-20 and 2022-23 using two methodologies, revenue forgone and revenue gain. Under both methods, concessions on employer contributions increase over time, with the revenue gain method showing a slightly lower cost than the revenue forgone measure. " title="Chart 4A-28 Superannuation tax concessions: revenue forgone and revenue gain estimates – employer contribu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842260" cy="2842260"/>
                    </a:xfrm>
                    <a:prstGeom prst="rect">
                      <a:avLst/>
                    </a:prstGeom>
                    <a:noFill/>
                  </pic:spPr>
                </pic:pic>
              </a:graphicData>
            </a:graphic>
          </wp:inline>
        </w:drawing>
      </w:r>
      <w:r>
        <w:rPr>
          <w:noProof/>
        </w:rPr>
        <w:drawing>
          <wp:inline distT="0" distB="0" distL="0" distR="0" wp14:anchorId="1150F487" wp14:editId="69C18C99">
            <wp:extent cx="2853468" cy="2838450"/>
            <wp:effectExtent l="0" t="0" r="4445" b="0"/>
            <wp:docPr id="815138320" name="Picture 815138320" descr="This chart compares the projected cost of earnings tax concessions between 2019-20 and 2022-23 using two methodologies, revenue forgone and revenue gain. The revenue forgone method shows a higher level of concessions over time than the revenue gain method, with the gap increasing each year. " title="Chart 4A-28 Superannuation tax concessions: revenue forgone and revenue gain estimates – e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853468" cy="2838450"/>
                    </a:xfrm>
                    <a:prstGeom prst="rect">
                      <a:avLst/>
                    </a:prstGeom>
                    <a:noFill/>
                  </pic:spPr>
                </pic:pic>
              </a:graphicData>
            </a:graphic>
          </wp:inline>
        </w:drawing>
      </w:r>
    </w:p>
    <w:p w14:paraId="3DC23007" w14:textId="77777777" w:rsidR="002A2FAE" w:rsidRPr="00027624" w:rsidRDefault="002A2FAE" w:rsidP="002A2FAE">
      <w:pPr>
        <w:pStyle w:val="ChartorTableNote"/>
      </w:pPr>
      <w:r w:rsidRPr="00027624">
        <w:t xml:space="preserve">Source: Treasury </w:t>
      </w:r>
      <w:sdt>
        <w:sdtPr>
          <w:id w:val="-1891642453"/>
          <w:citation/>
        </w:sdtPr>
        <w:sdtEndPr/>
        <w:sdtContent>
          <w:r w:rsidRPr="00027624">
            <w:fldChar w:fldCharType="begin"/>
          </w:r>
          <w:r w:rsidRPr="00027624">
            <w:instrText xml:space="preserve">CITATION TreB201 \n  \t  \l 3081 </w:instrText>
          </w:r>
          <w:r w:rsidRPr="00027624">
            <w:fldChar w:fldCharType="separate"/>
          </w:r>
          <w:r w:rsidR="00E83F6E">
            <w:rPr>
              <w:noProof/>
            </w:rPr>
            <w:t>(2020)</w:t>
          </w:r>
          <w:r w:rsidRPr="00027624">
            <w:fldChar w:fldCharType="end"/>
          </w:r>
        </w:sdtContent>
      </w:sdt>
      <w:r w:rsidRPr="00027624">
        <w:t>.</w:t>
      </w:r>
    </w:p>
    <w:p w14:paraId="5DB948D2" w14:textId="77777777" w:rsidR="002A2FAE" w:rsidRPr="00027624" w:rsidRDefault="002A2FAE" w:rsidP="002A2FAE">
      <w:r w:rsidRPr="00027624">
        <w:t>The RG earnings concession estimate assumes voluntary contributions and retirement</w:t>
      </w:r>
      <w:r w:rsidR="00A8443E" w:rsidRPr="00027624">
        <w:noBreakHyphen/>
      </w:r>
      <w:r w:rsidRPr="00027624">
        <w:t>phase assets are gradually redirected from superannuation towards alternative tax</w:t>
      </w:r>
      <w:r w:rsidR="00A8443E" w:rsidRPr="00027624">
        <w:noBreakHyphen/>
      </w:r>
      <w:r w:rsidRPr="00027624">
        <w:t xml:space="preserve">preferred vehicles. At the end of four years, the RG earnings estimate is 14 per cent lower than that for RF. This is because the </w:t>
      </w:r>
      <w:r w:rsidRPr="00027624">
        <w:lastRenderedPageBreak/>
        <w:t>earnings on these alternative tax</w:t>
      </w:r>
      <w:r w:rsidR="00A8443E" w:rsidRPr="00027624">
        <w:noBreakHyphen/>
      </w:r>
      <w:r w:rsidRPr="00027624">
        <w:t>preferred vehicles are subject to lower marginal tax rates than those used in the RF estimate.</w:t>
      </w:r>
    </w:p>
    <w:p w14:paraId="282B76AF" w14:textId="77777777" w:rsidR="002A2FAE" w:rsidRPr="00027624" w:rsidRDefault="002A2FAE" w:rsidP="002A2FAE">
      <w:r w:rsidRPr="00027624">
        <w:t>For both the earnings and contributions concessions, the difference between the RF and the RG estimate is relatively small. This is largely because the effective tax rate on superannuation is lower than other tax</w:t>
      </w:r>
      <w:r w:rsidR="00A8443E" w:rsidRPr="00027624">
        <w:noBreakHyphen/>
      </w:r>
      <w:r w:rsidRPr="00027624">
        <w:t>preferred savings vehicles.</w:t>
      </w:r>
    </w:p>
    <w:p w14:paraId="2674DB9C" w14:textId="77777777" w:rsidR="002A2FAE" w:rsidRPr="00027624" w:rsidRDefault="002A2FAE" w:rsidP="00AD6771">
      <w:r w:rsidRPr="00027624">
        <w:br w:type="page"/>
      </w:r>
    </w:p>
    <w:p w14:paraId="6C19C6D0" w14:textId="77777777" w:rsidR="002A2FAE" w:rsidRPr="00027624" w:rsidRDefault="003767FD" w:rsidP="002A2FAE">
      <w:pPr>
        <w:pStyle w:val="Heading2"/>
        <w:rPr>
          <w:i/>
        </w:rPr>
      </w:pPr>
      <w:bookmarkStart w:id="4086" w:name="_Ref42527972"/>
      <w:bookmarkStart w:id="4087" w:name="_Toc45520546"/>
      <w:bookmarkStart w:id="4088" w:name="_Toc46133658"/>
      <w:r w:rsidRPr="00027624">
        <w:rPr>
          <w:i/>
        </w:rPr>
        <w:lastRenderedPageBreak/>
        <w:t>Annex</w:t>
      </w:r>
      <w:r w:rsidR="00A8443E" w:rsidRPr="00027624">
        <w:rPr>
          <w:i/>
        </w:rPr>
        <w:t xml:space="preserve"> — </w:t>
      </w:r>
      <w:r w:rsidR="002A2FAE" w:rsidRPr="00027624">
        <w:rPr>
          <w:i/>
        </w:rPr>
        <w:t>scenario analysis</w:t>
      </w:r>
      <w:bookmarkEnd w:id="4086"/>
      <w:bookmarkEnd w:id="4087"/>
      <w:bookmarkEnd w:id="4088"/>
    </w:p>
    <w:p w14:paraId="33ECFCEB" w14:textId="77777777" w:rsidR="002A2FAE" w:rsidRPr="00027624" w:rsidRDefault="002A2FAE" w:rsidP="002A2FAE">
      <w:r w:rsidRPr="00027624">
        <w:t>The scenarios are:</w:t>
      </w:r>
    </w:p>
    <w:p w14:paraId="25AF97D1" w14:textId="77777777" w:rsidR="002A2FAE" w:rsidRPr="00027624" w:rsidRDefault="002A2FAE" w:rsidP="002A2FAE">
      <w:pPr>
        <w:pStyle w:val="Bullet"/>
      </w:pPr>
      <w:r w:rsidRPr="00027624">
        <w:rPr>
          <w:b/>
        </w:rPr>
        <w:t>Lower earnings</w:t>
      </w:r>
      <w:r w:rsidRPr="00027624">
        <w:t>. A 1 percentage point reduction in investment returns across all asset classes</w:t>
      </w:r>
      <w:r w:rsidRPr="00027624">
        <w:rPr>
          <w:rStyle w:val="FootnoteReference"/>
        </w:rPr>
        <w:footnoteReference w:id="275"/>
      </w:r>
    </w:p>
    <w:p w14:paraId="5C5FFB99" w14:textId="77777777" w:rsidR="002A2FAE" w:rsidRPr="00027624" w:rsidRDefault="002A2FAE" w:rsidP="002A2FAE">
      <w:pPr>
        <w:pStyle w:val="Bullet"/>
      </w:pPr>
      <w:r w:rsidRPr="00027624">
        <w:rPr>
          <w:b/>
        </w:rPr>
        <w:t>Lower wages.</w:t>
      </w:r>
      <w:r w:rsidRPr="00027624">
        <w:t xml:space="preserve"> A 1 percentage point reduction in nominal wages growth</w:t>
      </w:r>
    </w:p>
    <w:p w14:paraId="69441224" w14:textId="77777777" w:rsidR="002A2FAE" w:rsidRPr="00027624" w:rsidRDefault="002A2FAE" w:rsidP="002A2FAE">
      <w:pPr>
        <w:pStyle w:val="Bullet"/>
        <w:rPr>
          <w:b/>
          <w:bCs/>
        </w:rPr>
      </w:pPr>
      <w:r w:rsidRPr="00027624">
        <w:rPr>
          <w:b/>
          <w:bCs/>
        </w:rPr>
        <w:t xml:space="preserve">Lower fees. </w:t>
      </w:r>
      <w:r w:rsidRPr="00027624">
        <w:t>A faster (than that modelled above) reduction in annual superannuation fees charged</w:t>
      </w:r>
    </w:p>
    <w:p w14:paraId="7378EF0E" w14:textId="77777777" w:rsidR="002A2FAE" w:rsidRPr="00027624" w:rsidRDefault="002A2FAE" w:rsidP="002A2FAE">
      <w:r w:rsidRPr="00027624">
        <w:t>These scenarios can help inform understanding of the potential effects of alternative trends on the retirement income system. Importantly, the scenarios only allow for partial modelling. They do not account for flow</w:t>
      </w:r>
      <w:r w:rsidR="00A8443E" w:rsidRPr="00027624">
        <w:noBreakHyphen/>
      </w:r>
      <w:r w:rsidRPr="00027624">
        <w:t>on effects that would occur in the wider economy, should these scenarios occur.</w:t>
      </w:r>
    </w:p>
    <w:p w14:paraId="0177CF38" w14:textId="77777777" w:rsidR="002A2FAE" w:rsidRPr="00027624" w:rsidRDefault="002A2FAE" w:rsidP="002A2FAE">
      <w:pPr>
        <w:pStyle w:val="Heading3"/>
      </w:pPr>
      <w:r w:rsidRPr="00027624">
        <w:t>Lower earnings</w:t>
      </w:r>
    </w:p>
    <w:p w14:paraId="6C5556CE" w14:textId="38F5C804" w:rsidR="002A2FAE" w:rsidRPr="00027624" w:rsidRDefault="002A2FAE" w:rsidP="002A2FAE">
      <w:r w:rsidRPr="00027624">
        <w:t>The lower earnings scenario projected higher Age Pension expenditure as a percentage of GDP and lower retirement incomes. In 2059, lower earnings increases Age Pension coverage to 61 per cent of the eligible population compared with 51 per cent in the baseline (</w:t>
      </w:r>
      <w:r w:rsidRPr="00027624">
        <w:fldChar w:fldCharType="begin"/>
      </w:r>
      <w:r w:rsidRPr="00027624">
        <w:instrText xml:space="preserve"> REF _Ref40887430 \r \h  \* MERGEFORMAT </w:instrText>
      </w:r>
      <w:r w:rsidRPr="00027624">
        <w:fldChar w:fldCharType="separate"/>
      </w:r>
      <w:r w:rsidR="00891058">
        <w:t>Chart 4A-29</w:t>
      </w:r>
      <w:r w:rsidRPr="00027624">
        <w:fldChar w:fldCharType="end"/>
      </w:r>
      <w:r w:rsidRPr="00027624">
        <w:t>).</w:t>
      </w:r>
    </w:p>
    <w:p w14:paraId="20F01746" w14:textId="77777777" w:rsidR="002A2FAE" w:rsidRPr="00027624" w:rsidRDefault="002A2FAE" w:rsidP="00FC7361">
      <w:pPr>
        <w:pStyle w:val="ChartMainHeading"/>
        <w:numPr>
          <w:ilvl w:val="2"/>
          <w:numId w:val="28"/>
        </w:numPr>
      </w:pPr>
      <w:bookmarkStart w:id="4089" w:name="_Ref40887430"/>
      <w:r w:rsidRPr="00027624">
        <w:t>Age Pension population projection</w:t>
      </w:r>
      <w:r w:rsidR="00A8443E" w:rsidRPr="00027624">
        <w:t xml:space="preserve"> — </w:t>
      </w:r>
      <w:r w:rsidRPr="00027624">
        <w:t>baseline (solid line) and lower earnings scenario (dashed line)</w:t>
      </w:r>
      <w:bookmarkEnd w:id="4089"/>
    </w:p>
    <w:p w14:paraId="35B98FCD" w14:textId="77777777" w:rsidR="002A2FAE" w:rsidRPr="00027624" w:rsidRDefault="00CD4E9A" w:rsidP="002A2FAE">
      <w:pPr>
        <w:pStyle w:val="ChartGraphic"/>
      </w:pPr>
      <w:r>
        <w:rPr>
          <w:noProof/>
        </w:rPr>
        <w:drawing>
          <wp:inline distT="0" distB="0" distL="0" distR="0" wp14:anchorId="413BB435" wp14:editId="2A7D1AF0">
            <wp:extent cx="5577840" cy="2522220"/>
            <wp:effectExtent l="0" t="0" r="3810" b="0"/>
            <wp:docPr id="30" name="Picture 30" descr="This chart shows that under a lower earnings scenario, there is projected to be a larger proportion of people on the Age Pension. Compared to the baseline, the proportion of both full-rate and part-rate pensioners increases." title="Chart 4A-29 Age Pension population projection – baseline (solid line) and lower earnings scenario (dash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ACE8E3B" w14:textId="77777777" w:rsidR="002A2FAE" w:rsidRPr="00027624" w:rsidRDefault="002A2FAE" w:rsidP="002A2FAE">
      <w:pPr>
        <w:pStyle w:val="ChartorTableNote"/>
      </w:pPr>
      <w:r w:rsidRPr="00027624">
        <w:t>Source: Analysis of Rice Warner estimates for the review.</w:t>
      </w:r>
    </w:p>
    <w:p w14:paraId="51333058" w14:textId="77777777" w:rsidR="002A2FAE" w:rsidRPr="00027624" w:rsidRDefault="002A2FAE" w:rsidP="002A2FAE">
      <w:pPr>
        <w:pStyle w:val="Heading3"/>
      </w:pPr>
      <w:r w:rsidRPr="00027624">
        <w:t>Lower wages growth</w:t>
      </w:r>
    </w:p>
    <w:p w14:paraId="33D281AD" w14:textId="7DE12EB7" w:rsidR="002A2FAE" w:rsidRPr="00027624" w:rsidRDefault="002A2FAE" w:rsidP="002A2FAE">
      <w:r w:rsidRPr="00027624">
        <w:t>The lower wages scenario projected higher Age Pension expenditure as a percentage of GDP and lower retirement incomes. The proportion of the eligible population receiving the Age Pension in this scenario (56 per cent) (</w:t>
      </w:r>
      <w:r w:rsidRPr="00027624">
        <w:fldChar w:fldCharType="begin"/>
      </w:r>
      <w:r w:rsidRPr="00027624">
        <w:instrText xml:space="preserve"> REF _Ref40887620 \r \h  \* MERGEFORMAT </w:instrText>
      </w:r>
      <w:r w:rsidRPr="00027624">
        <w:fldChar w:fldCharType="separate"/>
      </w:r>
      <w:r w:rsidR="00891058">
        <w:t>Chart 4A-30</w:t>
      </w:r>
      <w:r w:rsidRPr="00027624">
        <w:fldChar w:fldCharType="end"/>
      </w:r>
      <w:r w:rsidRPr="00027624">
        <w:t>) is smaller than in the lower earnings scenario (61 per cent) (</w:t>
      </w:r>
      <w:r w:rsidRPr="00027624">
        <w:fldChar w:fldCharType="begin"/>
      </w:r>
      <w:r w:rsidRPr="00027624">
        <w:instrText xml:space="preserve"> REF _Ref40887430 \r \h  \* MERGEFORMAT </w:instrText>
      </w:r>
      <w:r w:rsidRPr="00027624">
        <w:fldChar w:fldCharType="separate"/>
      </w:r>
      <w:r w:rsidR="00891058">
        <w:t>Chart 4A-29</w:t>
      </w:r>
      <w:r w:rsidRPr="00027624">
        <w:fldChar w:fldCharType="end"/>
      </w:r>
      <w:r w:rsidRPr="00027624">
        <w:t>).</w:t>
      </w:r>
    </w:p>
    <w:p w14:paraId="2DC59E4B" w14:textId="77777777" w:rsidR="002A2FAE" w:rsidRPr="00027624" w:rsidRDefault="002A2FAE" w:rsidP="00FC7361">
      <w:pPr>
        <w:pStyle w:val="ChartMainHeading"/>
        <w:numPr>
          <w:ilvl w:val="2"/>
          <w:numId w:val="28"/>
        </w:numPr>
      </w:pPr>
      <w:bookmarkStart w:id="4090" w:name="_Ref40887620"/>
      <w:r w:rsidRPr="00027624">
        <w:lastRenderedPageBreak/>
        <w:t>Age Pension population projection</w:t>
      </w:r>
      <w:r w:rsidR="00A8443E" w:rsidRPr="00027624">
        <w:t xml:space="preserve"> — </w:t>
      </w:r>
      <w:r w:rsidRPr="00027624">
        <w:t>baseline (solid line) and lower wages scenario (dashed line)</w:t>
      </w:r>
      <w:bookmarkEnd w:id="4090"/>
    </w:p>
    <w:p w14:paraId="115671ED" w14:textId="77777777" w:rsidR="002A2FAE" w:rsidRPr="00027624" w:rsidRDefault="002A2FAE" w:rsidP="002A2FAE">
      <w:pPr>
        <w:pStyle w:val="ChartGraphic"/>
      </w:pPr>
      <w:r w:rsidRPr="00027624">
        <w:t xml:space="preserve"> </w:t>
      </w:r>
      <w:r w:rsidR="00353DB0">
        <w:rPr>
          <w:noProof/>
        </w:rPr>
        <w:drawing>
          <wp:inline distT="0" distB="0" distL="0" distR="0" wp14:anchorId="1C7F402F" wp14:editId="58CDFA21">
            <wp:extent cx="5608320" cy="2522220"/>
            <wp:effectExtent l="0" t="0" r="0" b="0"/>
            <wp:docPr id="815138322" name="Picture 815138322" descr="This chart shows that under a lower wages scenario, there would be a higher proportion of people on the Age Pension. The proportion of people receiving a part-rate pension is projected to increase by a larger amount than those receiving a full-rate pension." title="Chart 4A-30 Age Pension population projection – baseline (solid line) and lower wages scenario (dash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08320" cy="2522220"/>
                    </a:xfrm>
                    <a:prstGeom prst="rect">
                      <a:avLst/>
                    </a:prstGeom>
                    <a:noFill/>
                  </pic:spPr>
                </pic:pic>
              </a:graphicData>
            </a:graphic>
          </wp:inline>
        </w:drawing>
      </w:r>
    </w:p>
    <w:p w14:paraId="3C5D39EF" w14:textId="77777777" w:rsidR="002A2FAE" w:rsidRPr="00027624" w:rsidRDefault="002A2FAE" w:rsidP="002A2FAE">
      <w:pPr>
        <w:pStyle w:val="ChartorTableNote"/>
      </w:pPr>
      <w:r w:rsidRPr="00027624">
        <w:t>Source: Analysis of Rice Warner estimates for the review.</w:t>
      </w:r>
    </w:p>
    <w:p w14:paraId="5F845F70" w14:textId="77777777" w:rsidR="002A2FAE" w:rsidRPr="00027624" w:rsidRDefault="002A2FAE" w:rsidP="002A2FAE">
      <w:pPr>
        <w:pStyle w:val="Heading3"/>
      </w:pPr>
      <w:r w:rsidRPr="00027624">
        <w:t>Lower fees</w:t>
      </w:r>
    </w:p>
    <w:p w14:paraId="744E2ED1" w14:textId="60B558E7" w:rsidR="002A2FAE" w:rsidRPr="00027624" w:rsidRDefault="002A2FAE" w:rsidP="002A2FAE">
      <w:r w:rsidRPr="00027624">
        <w:t>The lower fees scenario projected lower Age Pension expenditure as a percentage of GDP and higher retirement incomes. The proportion of the eligible population receiving the Age Pension is projected to be 48 per cent, compared with 51 per cent in the baseline (</w:t>
      </w:r>
      <w:r w:rsidRPr="00027624">
        <w:fldChar w:fldCharType="begin"/>
      </w:r>
      <w:r w:rsidRPr="00027624">
        <w:instrText xml:space="preserve"> REF _Ref40887729 \r \h  \* MERGEFORMAT </w:instrText>
      </w:r>
      <w:r w:rsidRPr="00027624">
        <w:fldChar w:fldCharType="separate"/>
      </w:r>
      <w:r w:rsidR="00891058">
        <w:t>Chart 4A-31</w:t>
      </w:r>
      <w:r w:rsidRPr="00027624">
        <w:fldChar w:fldCharType="end"/>
      </w:r>
      <w:r w:rsidRPr="00027624">
        <w:t>).</w:t>
      </w:r>
    </w:p>
    <w:p w14:paraId="7666EDAD" w14:textId="77777777" w:rsidR="002A2FAE" w:rsidRPr="00027624" w:rsidRDefault="002A2FAE" w:rsidP="00FC7361">
      <w:pPr>
        <w:pStyle w:val="ChartMainHeading"/>
        <w:numPr>
          <w:ilvl w:val="2"/>
          <w:numId w:val="28"/>
        </w:numPr>
      </w:pPr>
      <w:bookmarkStart w:id="4091" w:name="_Ref40887729"/>
      <w:r w:rsidRPr="00027624">
        <w:t>Age Pension population projection</w:t>
      </w:r>
      <w:r w:rsidR="00A8443E" w:rsidRPr="00027624">
        <w:t xml:space="preserve"> — </w:t>
      </w:r>
      <w:r w:rsidRPr="00027624">
        <w:t>baseline (solid line) and lower fees scenario (dashed line)</w:t>
      </w:r>
      <w:bookmarkEnd w:id="4091"/>
    </w:p>
    <w:p w14:paraId="65B8F976" w14:textId="77777777" w:rsidR="002A2FAE" w:rsidRPr="00027624" w:rsidRDefault="007D705B" w:rsidP="00D60066">
      <w:pPr>
        <w:pStyle w:val="ChartGraphic"/>
      </w:pPr>
      <w:r>
        <w:rPr>
          <w:noProof/>
        </w:rPr>
        <w:drawing>
          <wp:inline distT="0" distB="0" distL="0" distR="0" wp14:anchorId="7101A086" wp14:editId="66781B08">
            <wp:extent cx="5554980" cy="2522220"/>
            <wp:effectExtent l="0" t="0" r="7620" b="0"/>
            <wp:docPr id="815138324" name="Picture 815138324" descr="This chart shows that under a lower fees scenario, there would be a slightly lower proportion of people on the Age Pension." title="Chart 4A-31 Age Pension population projection – baseline (solid line) and lower fees scenario (dash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554980" cy="2522220"/>
                    </a:xfrm>
                    <a:prstGeom prst="rect">
                      <a:avLst/>
                    </a:prstGeom>
                    <a:noFill/>
                  </pic:spPr>
                </pic:pic>
              </a:graphicData>
            </a:graphic>
          </wp:inline>
        </w:drawing>
      </w:r>
    </w:p>
    <w:p w14:paraId="04470833" w14:textId="77777777" w:rsidR="002A2FAE" w:rsidRPr="00027624" w:rsidRDefault="002A2FAE" w:rsidP="002A2FAE">
      <w:pPr>
        <w:pStyle w:val="ChartorTableNote"/>
      </w:pPr>
      <w:r w:rsidRPr="00027624">
        <w:t>Source: Analysis of Rice Warner estimates for the review.</w:t>
      </w:r>
    </w:p>
    <w:p w14:paraId="34124852" w14:textId="77777777" w:rsidR="0088764D" w:rsidRPr="00027624" w:rsidRDefault="0088764D" w:rsidP="002A2FAE">
      <w:pPr>
        <w:pStyle w:val="ChartorTableNote"/>
        <w:sectPr w:rsidR="0088764D" w:rsidRPr="00027624" w:rsidSect="001B6C0B">
          <w:headerReference w:type="first" r:id="rId343"/>
          <w:type w:val="oddPage"/>
          <w:pgSz w:w="11906" w:h="16838" w:code="9"/>
          <w:pgMar w:top="1418" w:right="1418" w:bottom="1418" w:left="1418" w:header="709" w:footer="709" w:gutter="0"/>
          <w:cols w:space="708"/>
          <w:titlePg/>
          <w:docGrid w:linePitch="360"/>
        </w:sectPr>
      </w:pPr>
    </w:p>
    <w:p w14:paraId="3C6D49AE" w14:textId="77777777" w:rsidR="002A2FAE" w:rsidRPr="00027624" w:rsidRDefault="00883EEA" w:rsidP="002A2FAE">
      <w:pPr>
        <w:pStyle w:val="SingleParagraph"/>
      </w:pPr>
      <w:r w:rsidRPr="00027624">
        <w:rPr>
          <w:noProof/>
        </w:rPr>
        <w:lastRenderedPageBreak/>
        <w:drawing>
          <wp:anchor distT="0" distB="0" distL="114300" distR="114300" simplePos="0" relativeHeight="251658243" behindDoc="1" locked="0" layoutInCell="1" allowOverlap="1" wp14:anchorId="28B1E08B" wp14:editId="4AFFF7C8">
            <wp:simplePos x="0" y="0"/>
            <wp:positionH relativeFrom="page">
              <wp:align>center</wp:align>
            </wp:positionH>
            <wp:positionV relativeFrom="page">
              <wp:align>top</wp:align>
            </wp:positionV>
            <wp:extent cx="7570800" cy="10710000"/>
            <wp:effectExtent l="0" t="0" r="0" b="0"/>
            <wp:wrapNone/>
            <wp:docPr id="698098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570800" cy="107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B07486" w14:textId="77777777" w:rsidR="002A2FAE" w:rsidRPr="00027624" w:rsidRDefault="002A2FAE" w:rsidP="00975545">
      <w:pPr>
        <w:pStyle w:val="Chapterheading"/>
        <w:numPr>
          <w:ilvl w:val="0"/>
          <w:numId w:val="26"/>
        </w:numPr>
        <w:spacing w:before="1080"/>
      </w:pPr>
      <w:bookmarkStart w:id="4092" w:name="_Toc45520547"/>
      <w:bookmarkStart w:id="4093" w:name="_Toc46133659"/>
      <w:r w:rsidRPr="00027624">
        <w:t>Cohesion</w:t>
      </w:r>
      <w:bookmarkEnd w:id="4092"/>
      <w:bookmarkEnd w:id="4093"/>
    </w:p>
    <w:p w14:paraId="57730A20" w14:textId="77777777" w:rsidR="002A2FAE" w:rsidRPr="00027624" w:rsidRDefault="002A2FAE" w:rsidP="002A2FAE">
      <w:pPr>
        <w:pStyle w:val="Heading2"/>
      </w:pPr>
      <w:bookmarkStart w:id="4094" w:name="_Toc45520548"/>
      <w:bookmarkStart w:id="4095" w:name="_Toc46133660"/>
      <w:r w:rsidRPr="00027624">
        <w:t>Outline of this chapter</w:t>
      </w:r>
      <w:bookmarkEnd w:id="4094"/>
      <w:bookmarkEnd w:id="4095"/>
    </w:p>
    <w:p w14:paraId="73585878" w14:textId="77777777" w:rsidR="002A2FAE" w:rsidRPr="00027624" w:rsidRDefault="002A2FAE" w:rsidP="002A2FAE">
      <w:r w:rsidRPr="00027624">
        <w:t>This chapter examines whether the retirement income system is functioning cohesively. It examines whether the three pillars are effectively integrated and the retirement income system is functioning cohesively against three of the suggested elements for the system</w:t>
      </w:r>
      <w:r w:rsidR="00A8443E" w:rsidRPr="00027624">
        <w:t>’</w:t>
      </w:r>
      <w:r w:rsidRPr="00027624">
        <w:t xml:space="preserve">s objective (see </w:t>
      </w:r>
      <w:r w:rsidRPr="00027624">
        <w:rPr>
          <w:i/>
        </w:rPr>
        <w:t xml:space="preserve">1C. The objective of the system and </w:t>
      </w:r>
      <w:r w:rsidR="00CA7598">
        <w:rPr>
          <w:i/>
        </w:rPr>
        <w:t xml:space="preserve">the </w:t>
      </w:r>
      <w:r w:rsidRPr="00027624">
        <w:rPr>
          <w:i/>
        </w:rPr>
        <w:t>role</w:t>
      </w:r>
      <w:r w:rsidR="00A905B8">
        <w:rPr>
          <w:i/>
        </w:rPr>
        <w:t>s</w:t>
      </w:r>
      <w:r w:rsidRPr="00027624">
        <w:rPr>
          <w:i/>
        </w:rPr>
        <w:t xml:space="preserve"> of the pillars</w:t>
      </w:r>
      <w:r w:rsidRPr="00027624">
        <w:t xml:space="preserve">). That it should: </w:t>
      </w:r>
    </w:p>
    <w:p w14:paraId="1F46F48C" w14:textId="77777777" w:rsidR="002A2FAE" w:rsidRPr="00027624" w:rsidRDefault="002A2FAE" w:rsidP="00D904C5">
      <w:pPr>
        <w:pStyle w:val="Bullet"/>
      </w:pPr>
      <w:r w:rsidRPr="00027624">
        <w:t xml:space="preserve">Have effective incentives to smooth consumption and support people in taking personal responsibility for their retirement incomes </w:t>
      </w:r>
    </w:p>
    <w:p w14:paraId="00206991" w14:textId="77777777" w:rsidR="002A2FAE" w:rsidRPr="00027624" w:rsidRDefault="002A2FAE" w:rsidP="00D904C5">
      <w:pPr>
        <w:pStyle w:val="Bullet"/>
      </w:pPr>
      <w:r w:rsidRPr="00027624">
        <w:t xml:space="preserve">Interact effectively with other systems </w:t>
      </w:r>
    </w:p>
    <w:p w14:paraId="767E96D2" w14:textId="77777777" w:rsidR="002A2FAE" w:rsidRPr="00027624" w:rsidRDefault="002A2FAE" w:rsidP="00D904C5">
      <w:pPr>
        <w:pStyle w:val="Bullet"/>
      </w:pPr>
      <w:r w:rsidRPr="00027624">
        <w:t>Not be unnecessarily complex for consumers</w:t>
      </w:r>
    </w:p>
    <w:p w14:paraId="716CEA80" w14:textId="77777777" w:rsidR="002A2FAE" w:rsidRPr="00027624" w:rsidRDefault="002A2FAE" w:rsidP="002A2FAE">
      <w:r w:rsidRPr="00027624">
        <w:t>These elements are interlinked. Unnecessary complexity can undermine the effectiveness of incentives to smooth income and consumption over a lifetime. Similarly, interaction with other systems, such as the health or aged care systems, can lead to additional complexity.</w:t>
      </w:r>
    </w:p>
    <w:p w14:paraId="7A6D3498" w14:textId="77777777" w:rsidR="002A2FAE" w:rsidRPr="00027624" w:rsidRDefault="002A2FAE" w:rsidP="002A2FAE">
      <w:r w:rsidRPr="00027624">
        <w:t>The chapter also explores the implications of changes to the Age Pension means</w:t>
      </w:r>
      <w:r w:rsidR="00A8443E" w:rsidRPr="00027624">
        <w:noBreakHyphen/>
      </w:r>
      <w:r w:rsidRPr="00027624">
        <w:t>testing arrangements on the performance of the retirement income system. Consideration is given to the effects of changing the Age Pension assets test taper rate or merging the Age Pension assets and income tests. These issues were raised in submissions.</w:t>
      </w:r>
      <w:bookmarkStart w:id="4096" w:name="_Toc31209582"/>
      <w:bookmarkStart w:id="4097" w:name="_Toc31270944"/>
      <w:bookmarkStart w:id="4098" w:name="_Toc31274388"/>
      <w:bookmarkStart w:id="4099" w:name="_Toc31276220"/>
      <w:bookmarkStart w:id="4100" w:name="_Toc31352218"/>
      <w:bookmarkStart w:id="4101" w:name="_Toc31720361"/>
      <w:bookmarkStart w:id="4102" w:name="_Toc33529368"/>
      <w:bookmarkStart w:id="4103" w:name="_Toc34644295"/>
    </w:p>
    <w:p w14:paraId="4A87B46A" w14:textId="77777777" w:rsidR="0088764D" w:rsidRPr="00027624" w:rsidRDefault="0088764D" w:rsidP="0088764D">
      <w:pPr>
        <w:sectPr w:rsidR="0088764D" w:rsidRPr="00027624" w:rsidSect="001B6C0B">
          <w:type w:val="oddPage"/>
          <w:pgSz w:w="11906" w:h="16838" w:code="9"/>
          <w:pgMar w:top="1418" w:right="1418" w:bottom="1418" w:left="1418" w:header="709" w:footer="709" w:gutter="0"/>
          <w:cols w:space="708"/>
          <w:titlePg/>
          <w:docGrid w:linePitch="360"/>
        </w:sectPr>
      </w:pPr>
    </w:p>
    <w:p w14:paraId="53211076" w14:textId="77777777" w:rsidR="002A2FAE" w:rsidRPr="00027624" w:rsidRDefault="002A2FAE" w:rsidP="002A2FAE">
      <w:pPr>
        <w:pStyle w:val="Heading1"/>
      </w:pPr>
      <w:bookmarkStart w:id="4104" w:name="_Ref45024708"/>
      <w:bookmarkStart w:id="4105" w:name="_Toc45520549"/>
      <w:bookmarkStart w:id="4106" w:name="_Toc46133661"/>
      <w:r w:rsidRPr="00027624">
        <w:lastRenderedPageBreak/>
        <w:t>Cohesion</w:t>
      </w:r>
      <w:bookmarkEnd w:id="4104"/>
      <w:bookmarkEnd w:id="4105"/>
      <w:bookmarkEnd w:id="4106"/>
    </w:p>
    <w:tbl>
      <w:tblPr>
        <w:tblpPr w:leftFromText="180" w:rightFromText="180" w:vertAnchor="text" w:tblpY="1"/>
        <w:tblOverlap w:val="never"/>
        <w:tblW w:w="5000" w:type="pct"/>
        <w:tblLook w:val="01E0" w:firstRow="1" w:lastRow="1" w:firstColumn="1" w:lastColumn="1" w:noHBand="0" w:noVBand="0"/>
      </w:tblPr>
      <w:tblGrid>
        <w:gridCol w:w="9070"/>
      </w:tblGrid>
      <w:tr w:rsidR="002A2FAE" w:rsidRPr="00027624" w14:paraId="36CA8785" w14:textId="77777777" w:rsidTr="002A2FAE">
        <w:tc>
          <w:tcPr>
            <w:tcW w:w="5000" w:type="pct"/>
            <w:shd w:val="clear" w:color="auto" w:fill="DFD7E7" w:themeFill="accent3" w:themeFillTint="33"/>
            <w:hideMark/>
          </w:tcPr>
          <w:p w14:paraId="3681636C" w14:textId="77777777" w:rsidR="002A2FAE" w:rsidRPr="00027624" w:rsidRDefault="002A2FAE" w:rsidP="00325A8D">
            <w:pPr>
              <w:pStyle w:val="BoxHeading"/>
              <w:numPr>
                <w:ilvl w:val="5"/>
                <w:numId w:val="13"/>
              </w:numPr>
            </w:pPr>
            <w:bookmarkStart w:id="4107" w:name="_Ref43125996"/>
            <w:r w:rsidRPr="00027624">
              <w:t>Section summary</w:t>
            </w:r>
            <w:bookmarkEnd w:id="4107"/>
            <w:r w:rsidRPr="00027624">
              <w:t xml:space="preserve"> </w:t>
            </w:r>
          </w:p>
          <w:p w14:paraId="1CCFF6EF" w14:textId="77777777" w:rsidR="002A2FAE" w:rsidRPr="00027624" w:rsidRDefault="002A2FAE" w:rsidP="002A2FAE">
            <w:pPr>
              <w:pStyle w:val="BoxBullet"/>
            </w:pPr>
            <w:r w:rsidRPr="00027624">
              <w:rPr>
                <w:b/>
              </w:rPr>
              <w:t xml:space="preserve">With the maturing superannuation system, compulsory superannuation is effective at helping </w:t>
            </w:r>
            <w:r w:rsidRPr="00027624" w:rsidDel="008151FD">
              <w:rPr>
                <w:b/>
              </w:rPr>
              <w:t xml:space="preserve">most people </w:t>
            </w:r>
            <w:r w:rsidRPr="00027624">
              <w:rPr>
                <w:b/>
              </w:rPr>
              <w:t xml:space="preserve">save </w:t>
            </w:r>
            <w:r w:rsidRPr="00027624" w:rsidDel="008151FD">
              <w:rPr>
                <w:b/>
              </w:rPr>
              <w:t xml:space="preserve">enough </w:t>
            </w:r>
            <w:r w:rsidRPr="00027624">
              <w:rPr>
                <w:b/>
              </w:rPr>
              <w:t>for an adequate retirement income, when combined with the Age Pension</w:t>
            </w:r>
            <w:r w:rsidRPr="00027624">
              <w:t xml:space="preserve">. The opportunity to make voluntary superannuation contributions provides sufficient flexibility to achieve a higher level of superannuation savings for those with the means to do so. </w:t>
            </w:r>
          </w:p>
          <w:p w14:paraId="7140FA59" w14:textId="77777777" w:rsidR="002A2FAE" w:rsidRPr="00027624" w:rsidDel="00286FD5" w:rsidRDefault="002A2FAE" w:rsidP="002A2FAE">
            <w:pPr>
              <w:pStyle w:val="BoxBullet"/>
            </w:pPr>
            <w:r w:rsidRPr="00027624">
              <w:rPr>
                <w:b/>
              </w:rPr>
              <w:t>Financial incentives to save for retirement</w:t>
            </w:r>
            <w:r w:rsidRPr="00027624">
              <w:rPr>
                <w:b/>
                <w:bCs/>
              </w:rPr>
              <w:t xml:space="preserve">, </w:t>
            </w:r>
            <w:r w:rsidRPr="00027624">
              <w:rPr>
                <w:b/>
              </w:rPr>
              <w:t>or to encourage older Australians to continue to work</w:t>
            </w:r>
            <w:r w:rsidRPr="00027624">
              <w:rPr>
                <w:b/>
                <w:bCs/>
              </w:rPr>
              <w:t>, appear to</w:t>
            </w:r>
            <w:r w:rsidRPr="00027624">
              <w:rPr>
                <w:b/>
              </w:rPr>
              <w:t xml:space="preserve"> have limited effect on retirement outcomes</w:t>
            </w:r>
            <w:r w:rsidRPr="00027624">
              <w:rPr>
                <w:b/>
                <w:bCs/>
              </w:rPr>
              <w:t>.</w:t>
            </w:r>
            <w:r w:rsidRPr="00027624">
              <w:t xml:space="preserve"> Tax concessions tend to lead people to reallocate rather than increase savings, and evidence that the Age Pension means test affects savings behaviour pre</w:t>
            </w:r>
            <w:r w:rsidR="00A8443E" w:rsidRPr="00027624">
              <w:noBreakHyphen/>
            </w:r>
            <w:r w:rsidRPr="00027624">
              <w:t>retirement is weak. Incentives for people to remain in the workforce tend to benefit those who would have worked without the incentive.</w:t>
            </w:r>
          </w:p>
          <w:p w14:paraId="64D12C21" w14:textId="77777777" w:rsidR="002A2FAE" w:rsidRPr="00027624" w:rsidRDefault="002A2FAE" w:rsidP="002A2FAE">
            <w:pPr>
              <w:pStyle w:val="BoxDash"/>
            </w:pPr>
            <w:r w:rsidRPr="00027624">
              <w:t>Few middle</w:t>
            </w:r>
            <w:r w:rsidR="00A8443E" w:rsidRPr="00027624">
              <w:noBreakHyphen/>
            </w:r>
            <w:r w:rsidRPr="00027624">
              <w:t xml:space="preserve"> to lower</w:t>
            </w:r>
            <w:r w:rsidR="00A8443E" w:rsidRPr="00027624">
              <w:noBreakHyphen/>
            </w:r>
            <w:r w:rsidRPr="00027624">
              <w:t>income earners make voluntary contributions to their superannuation.</w:t>
            </w:r>
          </w:p>
          <w:p w14:paraId="4796DB4F" w14:textId="77777777" w:rsidR="002A2FAE" w:rsidRPr="00027624" w:rsidRDefault="002A2FAE" w:rsidP="002A2FAE">
            <w:pPr>
              <w:pStyle w:val="BoxDash"/>
            </w:pPr>
            <w:r w:rsidRPr="00027624" w:rsidDel="00286FD5">
              <w:t xml:space="preserve">Personal budget constraints are the main </w:t>
            </w:r>
            <w:r w:rsidRPr="00027624">
              <w:t>reason people do not save more for</w:t>
            </w:r>
            <w:r w:rsidRPr="00027624" w:rsidDel="00286FD5">
              <w:t xml:space="preserve"> retirement. </w:t>
            </w:r>
            <w:r w:rsidRPr="00027624">
              <w:t>When</w:t>
            </w:r>
            <w:r w:rsidRPr="00027624" w:rsidDel="00286FD5">
              <w:t xml:space="preserve"> deciding</w:t>
            </w:r>
            <w:r w:rsidRPr="00027624">
              <w:t xml:space="preserve"> </w:t>
            </w:r>
            <w:r w:rsidRPr="00027624" w:rsidDel="00286FD5">
              <w:t xml:space="preserve">to retire, people mostly consider the superannuation </w:t>
            </w:r>
            <w:r w:rsidRPr="00027624">
              <w:t xml:space="preserve">preservation </w:t>
            </w:r>
            <w:r w:rsidRPr="00027624" w:rsidDel="00286FD5">
              <w:t xml:space="preserve">and </w:t>
            </w:r>
            <w:r w:rsidRPr="00027624">
              <w:t>Age Pension</w:t>
            </w:r>
            <w:r w:rsidRPr="00027624" w:rsidDel="00286FD5">
              <w:t xml:space="preserve"> eligibility ages and factors outside the retirement income system, such as health.</w:t>
            </w:r>
          </w:p>
          <w:p w14:paraId="01684011" w14:textId="77777777" w:rsidR="002A2FAE" w:rsidRPr="00027624" w:rsidRDefault="002A2FAE" w:rsidP="002A2FAE">
            <w:pPr>
              <w:pStyle w:val="BoxBullet"/>
            </w:pPr>
            <w:r w:rsidRPr="00027624">
              <w:rPr>
                <w:b/>
              </w:rPr>
              <w:t>There is little evidence people structure their superannuation withdrawals to access the Age Pension.</w:t>
            </w:r>
          </w:p>
          <w:p w14:paraId="176E81E7" w14:textId="77777777" w:rsidR="002A2FAE" w:rsidRPr="00027624" w:rsidRDefault="002A2FAE" w:rsidP="002A2FAE">
            <w:pPr>
              <w:pStyle w:val="BoxBullet"/>
            </w:pPr>
            <w:r w:rsidRPr="00027624">
              <w:rPr>
                <w:b/>
              </w:rPr>
              <w:t xml:space="preserve">Incentives to draw down assets to </w:t>
            </w:r>
            <w:r w:rsidRPr="00027624">
              <w:rPr>
                <w:b/>
                <w:bCs/>
              </w:rPr>
              <w:t>finance living standards</w:t>
            </w:r>
            <w:r w:rsidRPr="00027624">
              <w:rPr>
                <w:b/>
              </w:rPr>
              <w:t xml:space="preserve"> in retirement are not effective.</w:t>
            </w:r>
            <w:r w:rsidRPr="00027624">
              <w:t xml:space="preserve"> The majority of people are not using their superannuation balances and other savings effectively to maintain their living standards in retirement. If they did so, they could achieve the same retirement outcome with a lower level of saving and higher standard of living in their working life.</w:t>
            </w:r>
          </w:p>
          <w:p w14:paraId="057A3777" w14:textId="77777777" w:rsidR="002A2FAE" w:rsidRPr="00027624" w:rsidRDefault="002A2FAE" w:rsidP="002A2FAE">
            <w:pPr>
              <w:pStyle w:val="BoxDash"/>
              <w:rPr>
                <w:b/>
              </w:rPr>
            </w:pPr>
            <w:r w:rsidRPr="00027624">
              <w:t>Retirees are concerned about outliving their savings and tend to spend less rather than use products to manage this risk.</w:t>
            </w:r>
          </w:p>
          <w:p w14:paraId="3CAE8638" w14:textId="77777777" w:rsidR="002A2FAE" w:rsidRPr="00027624" w:rsidRDefault="002A2FAE" w:rsidP="002A2FAE">
            <w:pPr>
              <w:pStyle w:val="BoxDash"/>
            </w:pPr>
            <w:r w:rsidRPr="00027624">
              <w:t>Prescribed minimum drawdown rates anchor behaviour and reinforce a tendency to conserve superannuation savings. Without a change to drawdown behaviour, bequests from superannuation will grow.</w:t>
            </w:r>
          </w:p>
          <w:p w14:paraId="0E5FD419" w14:textId="77777777" w:rsidR="002A2FAE" w:rsidRPr="00027624" w:rsidRDefault="002A2FAE" w:rsidP="002A2FAE">
            <w:pPr>
              <w:pStyle w:val="BoxDash"/>
            </w:pPr>
            <w:r w:rsidRPr="00027624">
              <w:t>The Age Pension means test taper rate does not appear to have a strong effect on whether people draw down or consume their assets.</w:t>
            </w:r>
          </w:p>
          <w:p w14:paraId="0D58724A" w14:textId="77777777" w:rsidR="002A2FAE" w:rsidRPr="00027624" w:rsidRDefault="002A2FAE" w:rsidP="002A2FAE">
            <w:pPr>
              <w:pStyle w:val="BoxDash"/>
              <w:rPr>
                <w:b/>
              </w:rPr>
            </w:pPr>
            <w:r w:rsidRPr="00027624">
              <w:t xml:space="preserve">People are less likely to consume savings that are framed as assets as they have been primed during working life to save this </w:t>
            </w:r>
            <w:r w:rsidR="00A8443E" w:rsidRPr="00027624">
              <w:t>‘</w:t>
            </w:r>
            <w:r w:rsidRPr="00027624">
              <w:t>nest egg</w:t>
            </w:r>
            <w:r w:rsidR="00A8443E" w:rsidRPr="00027624">
              <w:t>’</w:t>
            </w:r>
            <w:r w:rsidRPr="00027624">
              <w:t>. Expressing superannuation balances in terms of retirement income, in a similar way to working life income, may encourage people to draw down from their savings in retirement.</w:t>
            </w:r>
          </w:p>
          <w:p w14:paraId="152544FF" w14:textId="77777777" w:rsidR="002A2FAE" w:rsidRPr="00027624" w:rsidRDefault="002A2FAE" w:rsidP="002A2FAE">
            <w:pPr>
              <w:pStyle w:val="BoxDash"/>
              <w:rPr>
                <w:b/>
              </w:rPr>
            </w:pPr>
            <w:r w:rsidRPr="00027624">
              <w:t xml:space="preserve">Precautionary saving for aged care costs appears to inhibit some people from drawing down assets. They appear to be unaware of the extent to which these costs are subsidised by Government. </w:t>
            </w:r>
          </w:p>
          <w:p w14:paraId="51D4A262" w14:textId="77777777" w:rsidR="002A2FAE" w:rsidRPr="00027624" w:rsidRDefault="002A2FAE" w:rsidP="002A2FAE">
            <w:pPr>
              <w:pStyle w:val="BoxDash"/>
            </w:pPr>
            <w:r w:rsidRPr="00027624">
              <w:t>Both the tax and retirement income systems encourage investment in the principal residence. But few people draw on the equity in their home to boost their retirement income.</w:t>
            </w:r>
          </w:p>
          <w:p w14:paraId="656668D5" w14:textId="77777777" w:rsidR="002A2FAE" w:rsidRPr="00027624" w:rsidRDefault="002A2FAE" w:rsidP="002A2FAE">
            <w:pPr>
              <w:pStyle w:val="BoxDash"/>
            </w:pPr>
            <w:r w:rsidRPr="00027624">
              <w:t xml:space="preserve">Surveys suggest leaving bequests is not the highest priority of retirees. But most people leave a significant share of their retirement savings as a bequest, often unintentionally. </w:t>
            </w:r>
          </w:p>
          <w:p w14:paraId="24D0AE6A" w14:textId="77777777" w:rsidR="002A2FAE" w:rsidRPr="00027624" w:rsidRDefault="002A2FAE" w:rsidP="002A2FAE">
            <w:pPr>
              <w:pStyle w:val="BoxBullet"/>
            </w:pPr>
            <w:r w:rsidRPr="00027624">
              <w:rPr>
                <w:b/>
              </w:rPr>
              <w:t xml:space="preserve">System complexity </w:t>
            </w:r>
            <w:r w:rsidRPr="00027624">
              <w:rPr>
                <w:b/>
                <w:bCs/>
              </w:rPr>
              <w:t>prevents</w:t>
            </w:r>
            <w:r w:rsidRPr="00027624">
              <w:rPr>
                <w:b/>
              </w:rPr>
              <w:t xml:space="preserve"> people optimising their retirement income.</w:t>
            </w:r>
            <w:r w:rsidRPr="00027624">
              <w:t xml:space="preserve"> Navigating different parts of the retirement income system, combining income sources and managing the multiple risks faced in retirement is challenging. People need assistance with complex financial decisions. Interactions between the retirement income system and other systems, such as the aged care system, increase complexity. </w:t>
            </w:r>
          </w:p>
          <w:p w14:paraId="74BFD5B9" w14:textId="77777777" w:rsidR="002A2FAE" w:rsidRPr="00027624" w:rsidRDefault="002A2FAE" w:rsidP="00BD163D">
            <w:pPr>
              <w:pStyle w:val="BoxBullet"/>
              <w:rPr>
                <w:rFonts w:asciiTheme="minorHAnsi" w:eastAsiaTheme="minorEastAsia" w:hAnsiTheme="minorHAnsi"/>
              </w:rPr>
            </w:pPr>
            <w:r w:rsidRPr="00027624">
              <w:rPr>
                <w:b/>
              </w:rPr>
              <w:t>People lack an adequate framework to guide their decision</w:t>
            </w:r>
            <w:r w:rsidR="00A8443E" w:rsidRPr="00027624">
              <w:rPr>
                <w:b/>
              </w:rPr>
              <w:noBreakHyphen/>
            </w:r>
            <w:r w:rsidRPr="00027624">
              <w:rPr>
                <w:b/>
              </w:rPr>
              <w:t>making in planning for retirement and when in retirement.</w:t>
            </w:r>
            <w:r w:rsidRPr="00027624">
              <w:t xml:space="preserve"> The current financial advice regime is not meeting people</w:t>
            </w:r>
            <w:r w:rsidR="00A8443E" w:rsidRPr="00027624">
              <w:t>’</w:t>
            </w:r>
            <w:r w:rsidRPr="00027624">
              <w:t xml:space="preserve">s needs. People struggle to achieve a stable income in retirement. Superannuation funds play only a limited role in informing and guiding people to get better retirement incomes from their savings. Current regulatory barriers impede </w:t>
            </w:r>
            <w:r w:rsidRPr="00027624">
              <w:lastRenderedPageBreak/>
              <w:t>funds from providing cost</w:t>
            </w:r>
            <w:r w:rsidR="00A8443E" w:rsidRPr="00027624">
              <w:noBreakHyphen/>
            </w:r>
            <w:r w:rsidRPr="00027624">
              <w:t xml:space="preserve">effective guidance and advice about retirement. The proposed </w:t>
            </w:r>
            <w:r w:rsidR="00814818" w:rsidRPr="00027624">
              <w:t>Retirement Income Covenant</w:t>
            </w:r>
            <w:r w:rsidRPr="00027624">
              <w:t xml:space="preserve"> envisages creating a legal obligation on superannuation funds to consider their members</w:t>
            </w:r>
            <w:r w:rsidR="00A8443E" w:rsidRPr="00027624">
              <w:t>’</w:t>
            </w:r>
            <w:r w:rsidRPr="00027624">
              <w:t xml:space="preserve"> needs in retirement.</w:t>
            </w:r>
          </w:p>
          <w:p w14:paraId="7E770367" w14:textId="77777777" w:rsidR="002A2FAE" w:rsidRPr="00027624" w:rsidRDefault="002A2FAE" w:rsidP="002A2FAE">
            <w:pPr>
              <w:pStyle w:val="BoxBullet"/>
            </w:pPr>
            <w:r w:rsidRPr="00027624">
              <w:rPr>
                <w:b/>
              </w:rPr>
              <w:t>Evidence suggests the retirement income system could be more cohesive and simpler for people to engage with.</w:t>
            </w:r>
          </w:p>
        </w:tc>
      </w:tr>
    </w:tbl>
    <w:p w14:paraId="12BDD1F6" w14:textId="77777777" w:rsidR="002A2FAE" w:rsidRPr="00027624" w:rsidRDefault="002A2FAE">
      <w:pPr>
        <w:pStyle w:val="Heading2"/>
      </w:pPr>
      <w:bookmarkStart w:id="4108" w:name="_Toc45520550"/>
      <w:bookmarkStart w:id="4109" w:name="_Toc46133662"/>
      <w:r w:rsidRPr="00027624">
        <w:lastRenderedPageBreak/>
        <w:t>Outline of this section</w:t>
      </w:r>
      <w:bookmarkEnd w:id="4108"/>
      <w:bookmarkEnd w:id="4109"/>
    </w:p>
    <w:p w14:paraId="172C7946" w14:textId="77777777" w:rsidR="002A2FAE" w:rsidRPr="00027624" w:rsidRDefault="002A2FAE" w:rsidP="002A2FAE">
      <w:r w:rsidRPr="00027624">
        <w:t>This section considers the cohesiveness of the:</w:t>
      </w:r>
    </w:p>
    <w:p w14:paraId="20354108" w14:textId="77777777" w:rsidR="002A2FAE" w:rsidRPr="00027624" w:rsidRDefault="002A2FAE" w:rsidP="00FC7361">
      <w:pPr>
        <w:pStyle w:val="Bullet"/>
        <w:numPr>
          <w:ilvl w:val="0"/>
          <w:numId w:val="44"/>
        </w:numPr>
      </w:pPr>
      <w:r w:rsidRPr="00027624">
        <w:rPr>
          <w:b/>
          <w:bCs/>
        </w:rPr>
        <w:t>Pre</w:t>
      </w:r>
      <w:r w:rsidR="00A8443E" w:rsidRPr="00027624">
        <w:rPr>
          <w:b/>
        </w:rPr>
        <w:noBreakHyphen/>
      </w:r>
      <w:r w:rsidRPr="00027624">
        <w:rPr>
          <w:b/>
        </w:rPr>
        <w:t>retirement phase</w:t>
      </w:r>
      <w:r w:rsidRPr="00027624">
        <w:t>: the incentives to save and invest for retirement and the role of the Superannuation Guarantee (SG), along with the incentives to continue to work</w:t>
      </w:r>
    </w:p>
    <w:p w14:paraId="360C9823" w14:textId="77777777" w:rsidR="002A2FAE" w:rsidRPr="00027624" w:rsidRDefault="002A2FAE" w:rsidP="00FC7361">
      <w:pPr>
        <w:pStyle w:val="Bullet"/>
        <w:numPr>
          <w:ilvl w:val="0"/>
          <w:numId w:val="44"/>
        </w:numPr>
      </w:pPr>
      <w:r w:rsidRPr="00027624">
        <w:rPr>
          <w:b/>
          <w:bCs/>
        </w:rPr>
        <w:t>R</w:t>
      </w:r>
      <w:r w:rsidRPr="00027624">
        <w:rPr>
          <w:b/>
        </w:rPr>
        <w:t>etirement phase</w:t>
      </w:r>
      <w:r w:rsidRPr="00027624">
        <w:t>: the incentives and support for retirees to optimise their assets to fund their living standards in retirement</w:t>
      </w:r>
    </w:p>
    <w:tbl>
      <w:tblPr>
        <w:tblStyle w:val="TableGrid"/>
        <w:tblpPr w:leftFromText="180" w:rightFromText="180" w:vertAnchor="text" w:tblpY="1"/>
        <w:tblOverlap w:val="never"/>
        <w:tblW w:w="5000" w:type="pct"/>
        <w:tblLook w:val="04A0" w:firstRow="1" w:lastRow="0" w:firstColumn="1" w:lastColumn="0" w:noHBand="0" w:noVBand="1"/>
      </w:tblPr>
      <w:tblGrid>
        <w:gridCol w:w="9070"/>
      </w:tblGrid>
      <w:tr w:rsidR="002A2FAE" w:rsidRPr="00027624" w14:paraId="3A0391D0" w14:textId="77777777" w:rsidTr="002A2FAE">
        <w:tc>
          <w:tcPr>
            <w:tcW w:w="5000" w:type="pct"/>
            <w:shd w:val="clear" w:color="auto" w:fill="FFF8EA"/>
          </w:tcPr>
          <w:p w14:paraId="1C355474" w14:textId="77777777" w:rsidR="002A2FAE" w:rsidRPr="00027624" w:rsidRDefault="002A2FAE" w:rsidP="00325A8D">
            <w:pPr>
              <w:pStyle w:val="BoxHeading"/>
              <w:numPr>
                <w:ilvl w:val="5"/>
                <w:numId w:val="13"/>
              </w:numPr>
            </w:pPr>
            <w:r w:rsidRPr="00027624">
              <w:t xml:space="preserve">Stakeholder views on cohesion of the retirement income system </w:t>
            </w:r>
          </w:p>
          <w:p w14:paraId="44F5A288" w14:textId="77777777" w:rsidR="002A2FAE" w:rsidRPr="00027624" w:rsidRDefault="002A2FAE" w:rsidP="002A2FAE">
            <w:r w:rsidRPr="00027624">
              <w:t>Most submissions discussed the importance of the principle of cohesion. In general, stakeholders were concerned about the lack of cohesion between the three pillars: the Age Pension, compulsory superannuation</w:t>
            </w:r>
            <w:r w:rsidR="00FD0753" w:rsidRPr="00027624">
              <w:t>,</w:t>
            </w:r>
            <w:r w:rsidRPr="00027624">
              <w:t xml:space="preserve"> and voluntary savings, arguing that policy and regulation for each pillar were developed in isolation. Some stakeholders expressed concern about a lack of continuity between the pre</w:t>
            </w:r>
            <w:r w:rsidR="00A8443E" w:rsidRPr="00027624">
              <w:noBreakHyphen/>
            </w:r>
            <w:r w:rsidRPr="00027624">
              <w:t>retirement and retirement phases.</w:t>
            </w:r>
          </w:p>
          <w:p w14:paraId="1E6924AF" w14:textId="77777777" w:rsidR="002A2FAE" w:rsidRPr="00027624" w:rsidRDefault="002A2FAE" w:rsidP="002A2FAE">
            <w:r w:rsidRPr="00027624">
              <w:rPr>
                <w:b/>
              </w:rPr>
              <w:t>Pre</w:t>
            </w:r>
            <w:r w:rsidR="00A8443E" w:rsidRPr="00027624">
              <w:rPr>
                <w:b/>
              </w:rPr>
              <w:noBreakHyphen/>
            </w:r>
            <w:r w:rsidRPr="00027624">
              <w:rPr>
                <w:b/>
              </w:rPr>
              <w:t>retirement phase.</w:t>
            </w:r>
            <w:r w:rsidRPr="00027624">
              <w:t xml:space="preserve"> Many stakeholders noted the SG plays a key role in ensuring people are saving for their retirement.</w:t>
            </w:r>
            <w:r w:rsidRPr="00027624" w:rsidDel="00D00F8C">
              <w:t xml:space="preserve"> </w:t>
            </w:r>
            <w:r w:rsidRPr="00027624">
              <w:t>They had mixed views about whether tax concessions for voluntary superannuation contributions had the same effect. A few stakeholders considered tax concessions essential to the superannuation system</w:t>
            </w:r>
            <w:r w:rsidR="00A8443E" w:rsidRPr="00027624">
              <w:t>’</w:t>
            </w:r>
            <w:r w:rsidRPr="00027624">
              <w:t>s design. One submission noted superannuation tax concessions are:</w:t>
            </w:r>
          </w:p>
          <w:p w14:paraId="42B108EB" w14:textId="77777777" w:rsidR="002A2FAE" w:rsidRPr="00027624" w:rsidRDefault="00A8443E" w:rsidP="002A2FAE">
            <w:pPr>
              <w:pStyle w:val="Quote"/>
              <w:rPr>
                <w:i w:val="0"/>
              </w:rPr>
            </w:pPr>
            <w:r w:rsidRPr="00027624">
              <w:t>‘</w:t>
            </w:r>
            <w:r w:rsidR="002A2FAE" w:rsidRPr="00027624">
              <w:t xml:space="preserve">…an </w:t>
            </w:r>
            <w:r w:rsidRPr="00027624">
              <w:t>“</w:t>
            </w:r>
            <w:r w:rsidR="002A2FAE" w:rsidRPr="00027624">
              <w:t>incentive</w:t>
            </w:r>
            <w:r w:rsidRPr="00027624">
              <w:t>”</w:t>
            </w:r>
            <w:r w:rsidR="002A2FAE" w:rsidRPr="00027624">
              <w:t xml:space="preserve"> to save and an </w:t>
            </w:r>
            <w:r w:rsidRPr="00027624">
              <w:t>“</w:t>
            </w:r>
            <w:r w:rsidR="002A2FAE" w:rsidRPr="00027624">
              <w:t>investment</w:t>
            </w:r>
            <w:r w:rsidRPr="00027624">
              <w:t>”</w:t>
            </w:r>
            <w:r w:rsidR="002A2FAE" w:rsidRPr="00027624">
              <w:t xml:space="preserve"> that will yield future returns in terms of less pressure on the budget and productive investment of superannuation savings in the economy, in turn leading to higher tax revenue.</w:t>
            </w:r>
            <w:r w:rsidRPr="00027624">
              <w:t>’</w:t>
            </w:r>
            <w:r w:rsidR="002A2FAE" w:rsidRPr="00027624">
              <w:t xml:space="preserve"> </w:t>
            </w:r>
            <w:r w:rsidR="002A2FAE" w:rsidRPr="00027624">
              <w:br/>
            </w:r>
            <w:sdt>
              <w:sdtPr>
                <w:rPr>
                  <w:i w:val="0"/>
                </w:rPr>
                <w:id w:val="-744795327"/>
                <w:citation/>
              </w:sdtPr>
              <w:sdtEndPr/>
              <w:sdtContent>
                <w:r w:rsidR="00B216E7">
                  <w:rPr>
                    <w:i w:val="0"/>
                  </w:rPr>
                  <w:fldChar w:fldCharType="begin"/>
                </w:r>
                <w:r w:rsidR="00B216E7">
                  <w:rPr>
                    <w:i w:val="0"/>
                  </w:rPr>
                  <w:instrText xml:space="preserve">CITATION Sel20 \p 14 \l 3081 </w:instrText>
                </w:r>
                <w:r w:rsidR="00B216E7">
                  <w:rPr>
                    <w:i w:val="0"/>
                  </w:rPr>
                  <w:fldChar w:fldCharType="separate"/>
                </w:r>
                <w:r w:rsidR="00E83F6E">
                  <w:rPr>
                    <w:noProof/>
                  </w:rPr>
                  <w:t>(Self-managed Independent Superannuation Funds Association, 2020, p. 14)</w:t>
                </w:r>
                <w:r w:rsidR="00B216E7">
                  <w:rPr>
                    <w:i w:val="0"/>
                  </w:rPr>
                  <w:fldChar w:fldCharType="end"/>
                </w:r>
              </w:sdtContent>
            </w:sdt>
          </w:p>
          <w:p w14:paraId="1CAFF3D1" w14:textId="77777777" w:rsidR="002A2FAE" w:rsidRPr="00027624" w:rsidRDefault="002A2FAE" w:rsidP="002A2FAE">
            <w:pPr>
              <w:rPr>
                <w:i/>
              </w:rPr>
            </w:pPr>
            <w:r w:rsidRPr="00027624">
              <w:t>In contrast, some stakeholders claimed the tax concessions benefit higher</w:t>
            </w:r>
            <w:r w:rsidR="00A8443E" w:rsidRPr="00027624">
              <w:noBreakHyphen/>
            </w:r>
            <w:r w:rsidRPr="00027624">
              <w:t>income earners disproportionately and do little to encourage lower</w:t>
            </w:r>
            <w:r w:rsidR="00A8443E" w:rsidRPr="00027624">
              <w:noBreakHyphen/>
            </w:r>
            <w:r w:rsidRPr="00027624">
              <w:t xml:space="preserve"> and middle</w:t>
            </w:r>
            <w:r w:rsidR="00A8443E" w:rsidRPr="00027624">
              <w:noBreakHyphen/>
            </w:r>
            <w:r w:rsidRPr="00027624">
              <w:t>income earners to save. One submission stated:</w:t>
            </w:r>
            <w:r w:rsidRPr="00027624">
              <w:rPr>
                <w:i/>
              </w:rPr>
              <w:t xml:space="preserve"> </w:t>
            </w:r>
          </w:p>
          <w:p w14:paraId="2529679A" w14:textId="77777777" w:rsidR="002A2FAE" w:rsidRPr="00027624" w:rsidRDefault="00A8443E" w:rsidP="002A2FAE">
            <w:pPr>
              <w:pStyle w:val="Quote"/>
              <w:rPr>
                <w:i w:val="0"/>
              </w:rPr>
            </w:pPr>
            <w:r w:rsidRPr="00027624">
              <w:t>‘</w:t>
            </w:r>
            <w:r w:rsidR="002A2FAE" w:rsidRPr="00027624">
              <w:t>The tax incentives support groups which are already pre</w:t>
            </w:r>
            <w:r w:rsidRPr="00027624">
              <w:noBreakHyphen/>
            </w:r>
            <w:r w:rsidR="002A2FAE" w:rsidRPr="00027624">
              <w:t>disposed to take advantage of them, and it appears that they are supporting those with higher incomes who are already likely to save, rather than incentivising additional saving.</w:t>
            </w:r>
            <w:r w:rsidRPr="00027624">
              <w:t>’</w:t>
            </w:r>
            <w:r w:rsidR="002A2FAE" w:rsidRPr="00027624">
              <w:br/>
            </w:r>
            <w:r w:rsidR="002A2FAE" w:rsidRPr="00027624">
              <w:rPr>
                <w:i w:val="0"/>
              </w:rPr>
              <w:fldChar w:fldCharType="begin"/>
            </w:r>
            <w:r w:rsidR="002A2FAE" w:rsidRPr="00027624">
              <w:rPr>
                <w:i w:val="0"/>
              </w:rPr>
              <w:instrText xml:space="preserve">CITATION Fir20Sub \p 29 \l 3081 </w:instrText>
            </w:r>
            <w:r w:rsidR="002A2FAE" w:rsidRPr="00027624">
              <w:rPr>
                <w:i w:val="0"/>
              </w:rPr>
              <w:fldChar w:fldCharType="separate"/>
            </w:r>
            <w:r w:rsidR="00E83F6E">
              <w:rPr>
                <w:i w:val="0"/>
                <w:noProof/>
              </w:rPr>
              <w:t xml:space="preserve"> </w:t>
            </w:r>
            <w:r w:rsidR="00E83F6E">
              <w:rPr>
                <w:noProof/>
              </w:rPr>
              <w:t>(First State Super, 2020b, p. 29)</w:t>
            </w:r>
            <w:r w:rsidR="002A2FAE" w:rsidRPr="00027624">
              <w:rPr>
                <w:i w:val="0"/>
              </w:rPr>
              <w:fldChar w:fldCharType="end"/>
            </w:r>
          </w:p>
          <w:p w14:paraId="40784E25" w14:textId="77777777" w:rsidR="002A2FAE" w:rsidRPr="00027624" w:rsidRDefault="002A2FAE" w:rsidP="002A2FAE">
            <w:pPr>
              <w:rPr>
                <w:i/>
              </w:rPr>
            </w:pPr>
            <w:r w:rsidRPr="00027624">
              <w:t>Most submissions discussed the impact of the Age Pension means test on savings behaviour pre</w:t>
            </w:r>
            <w:r w:rsidR="00A8443E" w:rsidRPr="00027624">
              <w:noBreakHyphen/>
            </w:r>
            <w:r w:rsidRPr="00027624">
              <w:t>retirement. Stakeholders suggested the Age Pension assets test taper rate can be a disincentive for saving for retirement.</w:t>
            </w:r>
          </w:p>
          <w:p w14:paraId="625ABB0E" w14:textId="77777777" w:rsidR="002A2FAE" w:rsidRPr="00027624" w:rsidRDefault="002A2FAE" w:rsidP="002A2FAE">
            <w:pPr>
              <w:rPr>
                <w:i/>
              </w:rPr>
            </w:pPr>
            <w:r w:rsidRPr="00027624">
              <w:rPr>
                <w:b/>
              </w:rPr>
              <w:t>Retirement phase.</w:t>
            </w:r>
            <w:r w:rsidRPr="00027624">
              <w:t xml:space="preserve"> Some stakeholders noted retirees are underspending in retirement, rarely consuming their capital and</w:t>
            </w:r>
            <w:r w:rsidRPr="00027624" w:rsidDel="008E6E16">
              <w:t xml:space="preserve"> </w:t>
            </w:r>
            <w:r w:rsidRPr="00027624">
              <w:t>drawing down only the earnings from their assets. They are also reluctant to draw on home equity</w:t>
            </w:r>
            <w:r w:rsidRPr="00027624" w:rsidDel="00337B25">
              <w:t xml:space="preserve"> </w:t>
            </w:r>
            <w:r w:rsidRPr="00027624">
              <w:t>to fund retirement:</w:t>
            </w:r>
          </w:p>
          <w:p w14:paraId="4DC6EB37" w14:textId="77777777" w:rsidR="002A2FAE" w:rsidRPr="00027624" w:rsidRDefault="00A8443E" w:rsidP="002A2FAE">
            <w:pPr>
              <w:pStyle w:val="Quote"/>
              <w:rPr>
                <w:i w:val="0"/>
              </w:rPr>
            </w:pPr>
            <w:r w:rsidRPr="00027624">
              <w:t>‘</w:t>
            </w:r>
            <w:r w:rsidR="002A2FAE" w:rsidRPr="00027624">
              <w:t>…the fact that the value of the family home is not included in the asset test creates an incentive for retirees to hold on to a large house and live frugally on a very modest income, trying to stay eligible for the age pension.</w:t>
            </w:r>
            <w:r w:rsidRPr="00027624">
              <w:t>’</w:t>
            </w:r>
            <w:r w:rsidR="002A2FAE" w:rsidRPr="00027624">
              <w:t xml:space="preserve"> </w:t>
            </w:r>
            <w:r w:rsidR="002A2FAE" w:rsidRPr="00027624">
              <w:br/>
            </w:r>
            <w:r w:rsidR="002A2FAE" w:rsidRPr="00027624">
              <w:rPr>
                <w:i w:val="0"/>
              </w:rPr>
              <w:fldChar w:fldCharType="begin"/>
            </w:r>
            <w:r w:rsidR="002A2FAE" w:rsidRPr="00027624">
              <w:rPr>
                <w:i w:val="0"/>
              </w:rPr>
              <w:instrText xml:space="preserve">CITATION Monf20 \p 2 \l 3081 </w:instrText>
            </w:r>
            <w:r w:rsidR="002A2FAE" w:rsidRPr="00027624">
              <w:rPr>
                <w:i w:val="0"/>
              </w:rPr>
              <w:fldChar w:fldCharType="separate"/>
            </w:r>
            <w:r w:rsidR="00E83F6E">
              <w:rPr>
                <w:noProof/>
              </w:rPr>
              <w:t>(Monash Centre for Financial Studies, 2020, p. 2)</w:t>
            </w:r>
            <w:r w:rsidR="002A2FAE" w:rsidRPr="00027624">
              <w:rPr>
                <w:i w:val="0"/>
              </w:rPr>
              <w:fldChar w:fldCharType="end"/>
            </w:r>
          </w:p>
          <w:p w14:paraId="633A82BB" w14:textId="77777777" w:rsidR="002A2FAE" w:rsidRPr="00027624" w:rsidRDefault="002A2FAE" w:rsidP="002A2FAE">
            <w:pPr>
              <w:rPr>
                <w:i/>
              </w:rPr>
            </w:pPr>
            <w:r w:rsidRPr="00027624">
              <w:t>A few stakeholders suggested the fear of running out of money in retirement drives conservative drawdown behaviour for retirees. Some stakeholders attributed this behaviour to a lack of retirement income products that provide longevity risk protection along with low levels of financial literacy, which acts as a barrier to engagement.</w:t>
            </w:r>
          </w:p>
          <w:p w14:paraId="56B63366" w14:textId="77777777" w:rsidR="002A2FAE" w:rsidRPr="00027624" w:rsidRDefault="002A2FAE" w:rsidP="002A2FAE">
            <w:r w:rsidRPr="00027624">
              <w:lastRenderedPageBreak/>
              <w:t>The majority of stakeholders considered the system is too complex for people to navigate. They considered that system defaults, automation and data sharing were important to reduce complexity and achieve better retirement outcomes. One submission stated:</w:t>
            </w:r>
          </w:p>
          <w:p w14:paraId="26DEA660" w14:textId="77777777" w:rsidR="002A2FAE" w:rsidRPr="00027624" w:rsidRDefault="00A8443E" w:rsidP="00FD0753">
            <w:pPr>
              <w:pStyle w:val="Quote"/>
              <w:spacing w:before="0" w:after="0"/>
              <w:ind w:left="862" w:right="862"/>
            </w:pPr>
            <w:r w:rsidRPr="00027624">
              <w:t>‘</w:t>
            </w:r>
            <w:r w:rsidR="002A2FAE" w:rsidRPr="00027624">
              <w:t>…we are in favour of strong default structures, so people don</w:t>
            </w:r>
            <w:r w:rsidRPr="00027624">
              <w:t>’</w:t>
            </w:r>
            <w:r w:rsidR="002A2FAE" w:rsidRPr="00027624">
              <w:t>t need to make decisions in complex areas (nor be forced by complexity to pay financial advisers to assist them within the mandatory system).</w:t>
            </w:r>
            <w:r w:rsidR="00FD0753" w:rsidRPr="00027624">
              <w:t>’</w:t>
            </w:r>
            <w:r w:rsidR="00975545" w:rsidRPr="00027624">
              <w:t xml:space="preserve"> </w:t>
            </w:r>
            <w:r w:rsidR="002A2FAE" w:rsidRPr="00027624">
              <w:rPr>
                <w:i w:val="0"/>
              </w:rPr>
              <w:fldChar w:fldCharType="begin"/>
            </w:r>
            <w:r w:rsidR="002A2FAE" w:rsidRPr="00027624">
              <w:rPr>
                <w:i w:val="0"/>
              </w:rPr>
              <w:instrText xml:space="preserve">CITATION Ric20 \p 5 \l 3081 </w:instrText>
            </w:r>
            <w:r w:rsidR="002A2FAE" w:rsidRPr="00027624">
              <w:rPr>
                <w:i w:val="0"/>
              </w:rPr>
              <w:fldChar w:fldCharType="separate"/>
            </w:r>
            <w:r w:rsidR="00E83F6E">
              <w:rPr>
                <w:i w:val="0"/>
                <w:noProof/>
              </w:rPr>
              <w:t xml:space="preserve"> </w:t>
            </w:r>
            <w:r w:rsidR="00E83F6E">
              <w:rPr>
                <w:noProof/>
              </w:rPr>
              <w:t>(Rice Warner, 2020, p. 5)</w:t>
            </w:r>
            <w:r w:rsidR="002A2FAE" w:rsidRPr="00027624">
              <w:rPr>
                <w:i w:val="0"/>
              </w:rPr>
              <w:fldChar w:fldCharType="end"/>
            </w:r>
          </w:p>
          <w:p w14:paraId="46A16DF1" w14:textId="77777777" w:rsidR="002A2FAE" w:rsidRPr="00027624" w:rsidRDefault="002A2FAE" w:rsidP="00620C5E">
            <w:pPr>
              <w:pStyle w:val="BoxText"/>
            </w:pPr>
            <w:r w:rsidRPr="00027624">
              <w:t>Some stakeholders considered financial advice to be critical to making better decisions and reducing worry and uncertainty in retirement. However, they noted people were deterred from accessing personal financial advice because of its high cost and unclear benefits, and their distrust of the financial advice industry. Some stakeholders suggested the type of financial advice people need has changed over time and demand for financial advice will increase in future.</w:t>
            </w:r>
            <w:r w:rsidRPr="00027624" w:rsidDel="009211F4">
              <w:t xml:space="preserve"> </w:t>
            </w:r>
            <w:r w:rsidRPr="00027624">
              <w:t>They argued the superannuation industry should play a greater role in providing financial advice. One submission noted the benefits of superannuation funds providing ongoing information and regular updates to members on likely retirement incomes. Other submissions suggested that regulations on intra</w:t>
            </w:r>
            <w:r w:rsidR="00A8443E" w:rsidRPr="00027624">
              <w:noBreakHyphen/>
            </w:r>
            <w:r w:rsidRPr="00027624">
              <w:t>fund advice, which limit cross</w:t>
            </w:r>
            <w:r w:rsidR="00A8443E" w:rsidRPr="00027624">
              <w:noBreakHyphen/>
            </w:r>
            <w:r w:rsidRPr="00027624">
              <w:t xml:space="preserve">subsidising financial advice costs, are a barrier to fund involvement. Others thought appropriate defaults and system simplification would reduce the need for financial advice. </w:t>
            </w:r>
          </w:p>
        </w:tc>
      </w:tr>
    </w:tbl>
    <w:p w14:paraId="35FDBB8B" w14:textId="77777777" w:rsidR="002A2FAE" w:rsidRPr="00027624" w:rsidRDefault="002A2FAE">
      <w:pPr>
        <w:pStyle w:val="Heading2"/>
        <w:rPr>
          <w:rFonts w:eastAsiaTheme="majorEastAsia"/>
        </w:rPr>
      </w:pPr>
      <w:bookmarkStart w:id="4110" w:name="_Toc45520551"/>
      <w:bookmarkStart w:id="4111" w:name="_Toc46133663"/>
      <w:r w:rsidRPr="00027624">
        <w:rPr>
          <w:rFonts w:eastAsiaTheme="majorEastAsia"/>
        </w:rPr>
        <w:lastRenderedPageBreak/>
        <w:t>Cohesiveness of pre</w:t>
      </w:r>
      <w:r w:rsidR="00A8443E" w:rsidRPr="00027624">
        <w:rPr>
          <w:rFonts w:eastAsiaTheme="majorEastAsia"/>
        </w:rPr>
        <w:noBreakHyphen/>
      </w:r>
      <w:r w:rsidRPr="00027624">
        <w:rPr>
          <w:rFonts w:eastAsiaTheme="majorEastAsia"/>
        </w:rPr>
        <w:t>retirement settings for saving and investment</w:t>
      </w:r>
      <w:bookmarkEnd w:id="4110"/>
      <w:bookmarkEnd w:id="4111"/>
    </w:p>
    <w:p w14:paraId="62109B4F" w14:textId="77777777" w:rsidR="002A2FAE" w:rsidRPr="00027624" w:rsidRDefault="002A2FAE">
      <w:r w:rsidRPr="00027624">
        <w:rPr>
          <w:b/>
        </w:rPr>
        <w:t xml:space="preserve">For most people, the </w:t>
      </w:r>
      <w:r w:rsidRPr="00027624">
        <w:rPr>
          <w:b/>
          <w:bCs/>
        </w:rPr>
        <w:t>pre</w:t>
      </w:r>
      <w:r w:rsidR="00A8443E" w:rsidRPr="00027624">
        <w:rPr>
          <w:b/>
          <w:bCs/>
        </w:rPr>
        <w:noBreakHyphen/>
      </w:r>
      <w:r w:rsidRPr="00027624">
        <w:rPr>
          <w:b/>
          <w:bCs/>
        </w:rPr>
        <w:t>retirement</w:t>
      </w:r>
      <w:r w:rsidRPr="00027624">
        <w:rPr>
          <w:b/>
        </w:rPr>
        <w:t xml:space="preserve"> phase is</w:t>
      </w:r>
      <w:r w:rsidRPr="00027624" w:rsidDel="00670007">
        <w:rPr>
          <w:b/>
        </w:rPr>
        <w:t xml:space="preserve"> </w:t>
      </w:r>
      <w:r w:rsidRPr="00027624">
        <w:rPr>
          <w:b/>
        </w:rPr>
        <w:t>characterised by defaults</w:t>
      </w:r>
      <w:r w:rsidRPr="00027624">
        <w:rPr>
          <w:rStyle w:val="FootnoteReference"/>
          <w:b/>
        </w:rPr>
        <w:footnoteReference w:id="276"/>
      </w:r>
      <w:r w:rsidRPr="00027624">
        <w:rPr>
          <w:b/>
          <w:bCs/>
        </w:rPr>
        <w:t xml:space="preserve"> and compulsion</w:t>
      </w:r>
      <w:r w:rsidRPr="00027624">
        <w:t>,</w:t>
      </w:r>
      <w:r w:rsidRPr="00027624">
        <w:rPr>
          <w:bCs/>
        </w:rPr>
        <w:t xml:space="preserve"> s</w:t>
      </w:r>
      <w:r w:rsidRPr="00027624">
        <w:t>uch as compulsory superannuation with the SG, and default enrolment into an employer</w:t>
      </w:r>
      <w:r w:rsidR="00A8443E" w:rsidRPr="00027624">
        <w:t>’</w:t>
      </w:r>
      <w:r w:rsidRPr="00027624">
        <w:t xml:space="preserve">s fund and MySuper products. These defaults are highly regulated. For example, a MySuper product is </w:t>
      </w:r>
      <w:r w:rsidR="00A8443E" w:rsidRPr="00027624">
        <w:t>‘</w:t>
      </w:r>
      <w:r w:rsidRPr="00027624">
        <w:t>a simple, well‐designed product suitable for the majority of members</w:t>
      </w:r>
      <w:r w:rsidR="00A8443E" w:rsidRPr="00027624">
        <w:t>’</w:t>
      </w:r>
      <w:r w:rsidRPr="00027624">
        <w:fldChar w:fldCharType="begin"/>
      </w:r>
      <w:r w:rsidRPr="00027624">
        <w:instrText xml:space="preserve">CITATION Sup10 \p 1 \l 3081 </w:instrText>
      </w:r>
      <w:r w:rsidRPr="00027624">
        <w:fldChar w:fldCharType="separate"/>
      </w:r>
      <w:r w:rsidR="00E83F6E">
        <w:rPr>
          <w:noProof/>
        </w:rPr>
        <w:t xml:space="preserve"> (Super System Review, 2010, p. 1)</w:t>
      </w:r>
      <w:r w:rsidRPr="00027624">
        <w:fldChar w:fldCharType="end"/>
      </w:r>
      <w:r w:rsidRPr="00027624">
        <w:t>. Defaults in the pre</w:t>
      </w:r>
      <w:r w:rsidR="00A8443E" w:rsidRPr="00027624">
        <w:noBreakHyphen/>
      </w:r>
      <w:r w:rsidRPr="00027624">
        <w:t>retirement phase have allowed a large proportion of the population to grow their superannuation savings in a simple product without needing to make complex choices.</w:t>
      </w:r>
    </w:p>
    <w:p w14:paraId="32232168" w14:textId="77777777" w:rsidR="002A2FAE" w:rsidRPr="00027624" w:rsidRDefault="002A2FAE" w:rsidP="002A2FAE">
      <w:r w:rsidRPr="00027624">
        <w:rPr>
          <w:b/>
        </w:rPr>
        <w:t xml:space="preserve">Defaults and compulsion </w:t>
      </w:r>
      <w:r w:rsidRPr="00027624">
        <w:rPr>
          <w:b/>
          <w:bCs/>
        </w:rPr>
        <w:t>have been</w:t>
      </w:r>
      <w:r w:rsidRPr="00027624">
        <w:rPr>
          <w:b/>
        </w:rPr>
        <w:t xml:space="preserve"> effective </w:t>
      </w:r>
      <w:r w:rsidRPr="00027624">
        <w:rPr>
          <w:b/>
          <w:bCs/>
        </w:rPr>
        <w:t>in</w:t>
      </w:r>
      <w:r w:rsidRPr="00027624">
        <w:rPr>
          <w:b/>
        </w:rPr>
        <w:t xml:space="preserve"> increasing household savings</w:t>
      </w:r>
      <w:r w:rsidRPr="00027624">
        <w:t>. The introduction of compulsory SG increased retirement savings. Superannuation is now the second</w:t>
      </w:r>
      <w:r w:rsidR="00A8443E" w:rsidRPr="00027624">
        <w:noBreakHyphen/>
      </w:r>
      <w:r w:rsidRPr="00027624">
        <w:t>largest asset for most people, after the</w:t>
      </w:r>
      <w:r w:rsidRPr="00027624" w:rsidDel="00186009">
        <w:t xml:space="preserve"> </w:t>
      </w:r>
      <w:r w:rsidRPr="00027624">
        <w:t>home</w:t>
      </w:r>
      <w:r w:rsidRPr="00027624">
        <w:fldChar w:fldCharType="begin"/>
      </w:r>
      <w:r w:rsidRPr="00027624">
        <w:instrText xml:space="preserve"> CITATION ABS198 \l 3081 </w:instrText>
      </w:r>
      <w:r w:rsidRPr="00027624">
        <w:fldChar w:fldCharType="separate"/>
      </w:r>
      <w:r w:rsidR="00E83F6E">
        <w:rPr>
          <w:noProof/>
        </w:rPr>
        <w:t xml:space="preserve"> (ABS, 2019k)</w:t>
      </w:r>
      <w:r w:rsidRPr="00027624">
        <w:fldChar w:fldCharType="end"/>
      </w:r>
      <w:r w:rsidRPr="00027624">
        <w:t>. Studies have consistently found that the SG has increased household net wealth</w:t>
      </w:r>
      <w:r w:rsidRPr="00027624">
        <w:fldChar w:fldCharType="begin"/>
      </w:r>
      <w:r w:rsidRPr="00027624">
        <w:instrText xml:space="preserve">CITATION Con07 \t  \m Rut20 \t  \l 3081 </w:instrText>
      </w:r>
      <w:r w:rsidRPr="00027624">
        <w:fldChar w:fldCharType="separate"/>
      </w:r>
      <w:r w:rsidR="00E83F6E">
        <w:rPr>
          <w:noProof/>
        </w:rPr>
        <w:t xml:space="preserve"> (Connolly, 2007; Ruthbah &amp; Pham, 2020a)</w:t>
      </w:r>
      <w:r w:rsidRPr="00027624">
        <w:fldChar w:fldCharType="end"/>
      </w:r>
      <w:r w:rsidRPr="00027624">
        <w:t xml:space="preserve">. </w:t>
      </w:r>
    </w:p>
    <w:p w14:paraId="08C5685A" w14:textId="77777777" w:rsidR="002A2FAE" w:rsidRPr="00027624" w:rsidRDefault="002A2FAE" w:rsidP="002A2FAE">
      <w:r w:rsidRPr="00027624">
        <w:t xml:space="preserve">Research commissioned by the review found the SG crowds out private savings in the short term but increases wealth in the long term. Some </w:t>
      </w:r>
      <w:r w:rsidRPr="00027624">
        <w:rPr>
          <w:lang w:eastAsia="en-US"/>
        </w:rPr>
        <w:t>substitution appears to occur between compulsory superannuation and private household saving, but this effect is small. Estimates suggest that, for every dollar increase in compulsory superannuation, households reduce their private saving by 43 cents, meaning total household savings are higher overall</w:t>
      </w:r>
      <w:r w:rsidRPr="00027624">
        <w:fldChar w:fldCharType="begin"/>
      </w:r>
      <w:r w:rsidRPr="00027624">
        <w:instrText xml:space="preserve">CITATION Rut20 \l 3081 </w:instrText>
      </w:r>
      <w:r w:rsidRPr="00027624">
        <w:fldChar w:fldCharType="separate"/>
      </w:r>
      <w:r w:rsidR="00E83F6E">
        <w:rPr>
          <w:noProof/>
        </w:rPr>
        <w:t xml:space="preserve"> (Ruthbah &amp; Pham, 2020a)</w:t>
      </w:r>
      <w:r w:rsidRPr="00027624">
        <w:fldChar w:fldCharType="end"/>
      </w:r>
      <w:r w:rsidRPr="00027624">
        <w:t>.</w:t>
      </w:r>
    </w:p>
    <w:p w14:paraId="184108CF" w14:textId="77777777" w:rsidR="002A2FAE" w:rsidRPr="00027624" w:rsidRDefault="002A2FAE" w:rsidP="002A2FAE">
      <w:r w:rsidRPr="00027624">
        <w:t>The policy settings in the pre</w:t>
      </w:r>
      <w:r w:rsidR="00A8443E" w:rsidRPr="00027624">
        <w:noBreakHyphen/>
      </w:r>
      <w:r w:rsidRPr="00027624">
        <w:t>retirement phase have changed over time to ensure they function as intended and better reflect the needs of consumers. Stakeholders have proposed further changes:</w:t>
      </w:r>
    </w:p>
    <w:p w14:paraId="11FBA4F3" w14:textId="77777777" w:rsidR="002A2FAE" w:rsidRPr="00027624" w:rsidRDefault="002A2FAE" w:rsidP="000A7644">
      <w:pPr>
        <w:pStyle w:val="Bullet"/>
        <w:numPr>
          <w:ilvl w:val="0"/>
          <w:numId w:val="44"/>
        </w:numPr>
        <w:ind w:left="284" w:hanging="284"/>
      </w:pPr>
      <w:r w:rsidRPr="00027624">
        <w:rPr>
          <w:b/>
        </w:rPr>
        <w:t xml:space="preserve">Changes to the SG. </w:t>
      </w:r>
      <w:r w:rsidRPr="00027624">
        <w:t>Beyond changes to the rate (see</w:t>
      </w:r>
      <w:r w:rsidRPr="00027624">
        <w:rPr>
          <w:i/>
        </w:rPr>
        <w:t xml:space="preserve"> 2D. Policy scenario: Implications of maintaining the SG rate</w:t>
      </w:r>
      <w:r w:rsidRPr="00027624">
        <w:t>), some stakeholders proposed introducing more flexibility around its application; for example, by allowing people to opt in or out of SG increases.</w:t>
      </w:r>
    </w:p>
    <w:p w14:paraId="7DF3B725" w14:textId="77777777" w:rsidR="002A2FAE" w:rsidRPr="00027624" w:rsidRDefault="002A2FAE" w:rsidP="000A7644">
      <w:pPr>
        <w:pStyle w:val="Bullet"/>
        <w:numPr>
          <w:ilvl w:val="0"/>
          <w:numId w:val="44"/>
        </w:numPr>
        <w:ind w:left="284" w:hanging="284"/>
      </w:pPr>
      <w:r w:rsidRPr="00027624">
        <w:rPr>
          <w:b/>
        </w:rPr>
        <w:t>Changes to default fund and product selection.</w:t>
      </w:r>
      <w:r w:rsidRPr="00027624">
        <w:t xml:space="preserve"> The Productivity Commission</w:t>
      </w:r>
      <w:r w:rsidRPr="00027624">
        <w:fldChar w:fldCharType="begin"/>
      </w:r>
      <w:r w:rsidRPr="00027624">
        <w:instrText xml:space="preserve">CITATION Pro18 \n  \l 3081 </w:instrText>
      </w:r>
      <w:r w:rsidRPr="00027624">
        <w:fldChar w:fldCharType="separate"/>
      </w:r>
      <w:r w:rsidR="00E83F6E">
        <w:rPr>
          <w:noProof/>
        </w:rPr>
        <w:t xml:space="preserve"> (2018a)</w:t>
      </w:r>
      <w:r w:rsidRPr="00027624">
        <w:fldChar w:fldCharType="end"/>
      </w:r>
      <w:r w:rsidRPr="00027624">
        <w:t xml:space="preserve"> found the current default mechanisms for selecting superannuation funds and products are too variable and lack accountability. The Commission proposed winding back some of the default settings and encouraging members to make more active choices on these issues. It suggested members would be assisted by a </w:t>
      </w:r>
      <w:r w:rsidR="00A8443E" w:rsidRPr="00027624">
        <w:t>‘</w:t>
      </w:r>
      <w:r w:rsidRPr="00027624">
        <w:t>best in show</w:t>
      </w:r>
      <w:r w:rsidR="00A8443E" w:rsidRPr="00027624">
        <w:t>’</w:t>
      </w:r>
      <w:r w:rsidRPr="00027624">
        <w:t xml:space="preserve"> shortlist of superannuation products, supported by an </w:t>
      </w:r>
      <w:r w:rsidR="00A8443E" w:rsidRPr="00027624">
        <w:t>‘</w:t>
      </w:r>
      <w:r w:rsidRPr="00027624">
        <w:t>outcomes test</w:t>
      </w:r>
      <w:r w:rsidR="00A8443E" w:rsidRPr="00027624">
        <w:t>’</w:t>
      </w:r>
      <w:r w:rsidRPr="00027624">
        <w:t xml:space="preserve"> to prove product quality. Some stakeholders also suggested rolling out the Consumer Data </w:t>
      </w:r>
      <w:r w:rsidRPr="00027624">
        <w:lastRenderedPageBreak/>
        <w:t>Right to the retirement income sector and introducing more digital literacy and engagement tools to improve consumer choice</w:t>
      </w:r>
      <w:r w:rsidRPr="00027624">
        <w:fldChar w:fldCharType="begin"/>
      </w:r>
      <w:r w:rsidRPr="00027624">
        <w:instrText xml:space="preserve">CITATION Divsa \p 3 \l 3081 </w:instrText>
      </w:r>
      <w:r w:rsidRPr="00027624">
        <w:fldChar w:fldCharType="separate"/>
      </w:r>
      <w:r w:rsidR="00E83F6E">
        <w:rPr>
          <w:noProof/>
        </w:rPr>
        <w:t xml:space="preserve"> (Diversa Trustees - A Sargon Business, 2020, p. 3)</w:t>
      </w:r>
      <w:r w:rsidRPr="00027624">
        <w:fldChar w:fldCharType="end"/>
      </w:r>
      <w:r w:rsidRPr="00027624">
        <w:t>.</w:t>
      </w:r>
    </w:p>
    <w:p w14:paraId="09C6017A" w14:textId="77777777" w:rsidR="002A2FAE" w:rsidRPr="00027624" w:rsidRDefault="002A2FAE" w:rsidP="002A2FAE">
      <w:r w:rsidRPr="00027624">
        <w:t>By influencing behaviours and outcomes, defaults deliver reasonable outcomes to the point of retirement for most people. However, relying on defaults can lead to low engagement, which can lead to low levels of consumer</w:t>
      </w:r>
      <w:r w:rsidR="00A8443E" w:rsidRPr="00027624">
        <w:noBreakHyphen/>
      </w:r>
      <w:r w:rsidRPr="00027624">
        <w:t>driven competition</w:t>
      </w:r>
      <w:r w:rsidRPr="00027624">
        <w:fldChar w:fldCharType="begin"/>
      </w:r>
      <w:r w:rsidRPr="00027624">
        <w:instrText xml:space="preserve">CITATION Pro18 \l 3081 </w:instrText>
      </w:r>
      <w:r w:rsidRPr="00027624">
        <w:fldChar w:fldCharType="separate"/>
      </w:r>
      <w:r w:rsidR="00E83F6E">
        <w:rPr>
          <w:noProof/>
        </w:rPr>
        <w:t xml:space="preserve"> (Productivity Commission, 2018a)</w:t>
      </w:r>
      <w:r w:rsidRPr="00027624">
        <w:fldChar w:fldCharType="end"/>
      </w:r>
      <w:r w:rsidRPr="00027624">
        <w:t>. The Productivity Commission found that superannuation fees have not come down as much as expected, some funds are underperforming, and the default system does not deliver reliable outcomes. A sizeable minority of people are defaulted into underperforming funds, leading to worse outcomes at retirement</w:t>
      </w:r>
      <w:r w:rsidRPr="00027624">
        <w:fldChar w:fldCharType="begin"/>
      </w:r>
      <w:r w:rsidRPr="00027624">
        <w:instrText xml:space="preserve">CITATION Pro18 \l 3081 </w:instrText>
      </w:r>
      <w:r w:rsidRPr="00027624">
        <w:fldChar w:fldCharType="separate"/>
      </w:r>
      <w:r w:rsidR="00E83F6E">
        <w:rPr>
          <w:noProof/>
        </w:rPr>
        <w:t xml:space="preserve"> (Productivity Commission, 2018a)</w:t>
      </w:r>
      <w:r w:rsidRPr="00027624">
        <w:fldChar w:fldCharType="end"/>
      </w:r>
      <w:r w:rsidRPr="00027624">
        <w:t xml:space="preserve">. </w:t>
      </w:r>
    </w:p>
    <w:p w14:paraId="0C3362B1" w14:textId="52E28367" w:rsidR="002A2FAE" w:rsidRPr="00027624" w:rsidRDefault="002A2FAE" w:rsidP="002A2FAE">
      <w:r w:rsidRPr="00027624">
        <w:t>The Productivity Commission</w:t>
      </w:r>
      <w:r w:rsidRPr="00027624">
        <w:fldChar w:fldCharType="begin"/>
      </w:r>
      <w:r w:rsidRPr="00027624">
        <w:instrText xml:space="preserve">CITATION Pro18 \n  \t  \l 3081 </w:instrText>
      </w:r>
      <w:r w:rsidRPr="00027624">
        <w:fldChar w:fldCharType="separate"/>
      </w:r>
      <w:r w:rsidR="00E83F6E">
        <w:rPr>
          <w:noProof/>
        </w:rPr>
        <w:t xml:space="preserve"> (2018a)</w:t>
      </w:r>
      <w:r w:rsidRPr="00027624">
        <w:fldChar w:fldCharType="end"/>
      </w:r>
      <w:r w:rsidRPr="00027624">
        <w:t xml:space="preserve"> also found that </w:t>
      </w:r>
      <w:r w:rsidR="00A8443E" w:rsidRPr="00027624">
        <w:t>‘</w:t>
      </w:r>
      <w:r w:rsidRPr="00027624">
        <w:t>choice members</w:t>
      </w:r>
      <w:r w:rsidR="00A8443E" w:rsidRPr="00027624">
        <w:t>’</w:t>
      </w:r>
      <w:r w:rsidRPr="00027624">
        <w:t xml:space="preserve"> (people who choose their own superannuation product) do not get better outcomes in retirement on average. Stakeholders have suggested better financial literacy as one way to improve engagement and retirement outcomes. This is discussed below in </w:t>
      </w:r>
      <w:r w:rsidRPr="00027624">
        <w:rPr>
          <w:i/>
        </w:rPr>
        <w:fldChar w:fldCharType="begin"/>
      </w:r>
      <w:r w:rsidRPr="00027624">
        <w:rPr>
          <w:i/>
        </w:rPr>
        <w:instrText xml:space="preserve"> REF _Ref44421963 \h  \* MERGEFORMAT </w:instrText>
      </w:r>
      <w:r w:rsidRPr="00027624">
        <w:rPr>
          <w:i/>
        </w:rPr>
      </w:r>
      <w:r w:rsidRPr="00027624">
        <w:rPr>
          <w:i/>
        </w:rPr>
        <w:fldChar w:fldCharType="separate"/>
      </w:r>
      <w:r w:rsidR="00891058" w:rsidRPr="00891058">
        <w:rPr>
          <w:i/>
        </w:rPr>
        <w:t>Cohesiveness of the retirement phase</w:t>
      </w:r>
      <w:r w:rsidRPr="00027624">
        <w:rPr>
          <w:i/>
        </w:rPr>
        <w:fldChar w:fldCharType="end"/>
      </w:r>
      <w:r w:rsidRPr="00027624">
        <w:t>.</w:t>
      </w:r>
    </w:p>
    <w:p w14:paraId="2A5DCAB6" w14:textId="77777777" w:rsidR="002A2FAE" w:rsidRPr="00027624" w:rsidRDefault="002A2FAE">
      <w:pPr>
        <w:pStyle w:val="Heading3"/>
      </w:pPr>
      <w:r w:rsidRPr="00027624">
        <w:t>Financial incentives to work and save</w:t>
      </w:r>
    </w:p>
    <w:p w14:paraId="6B367A9C" w14:textId="77777777" w:rsidR="002A2FAE" w:rsidRPr="00027624" w:rsidRDefault="002A2FAE" w:rsidP="002A2FAE">
      <w:r w:rsidRPr="00027624">
        <w:rPr>
          <w:b/>
        </w:rPr>
        <w:t>Not everyone is covered by the SG</w:t>
      </w:r>
      <w:r w:rsidRPr="00027624">
        <w:rPr>
          <w:b/>
          <w:bCs/>
        </w:rPr>
        <w:t xml:space="preserve"> and some people may want to save more than the SG rate</w:t>
      </w:r>
      <w:r w:rsidRPr="00027624">
        <w:t xml:space="preserve">. The retirement income system provides incentives to encourage people to work, save and take an active role in planning for retirement. However, evidence suggests these incentives have limited effects on overall savings. </w:t>
      </w:r>
    </w:p>
    <w:p w14:paraId="240AB25A" w14:textId="77777777" w:rsidR="002A2FAE" w:rsidRPr="00027624" w:rsidRDefault="002A2FAE">
      <w:pPr>
        <w:pStyle w:val="Heading4"/>
        <w:rPr>
          <w:rFonts w:eastAsiaTheme="majorEastAsia"/>
        </w:rPr>
      </w:pPr>
      <w:r w:rsidRPr="00027624">
        <w:rPr>
          <w:rFonts w:eastAsiaTheme="majorEastAsia"/>
        </w:rPr>
        <w:t>Tax concessions for superannuation</w:t>
      </w:r>
    </w:p>
    <w:p w14:paraId="4968EDF4" w14:textId="6E5272AB" w:rsidR="002A2FAE" w:rsidRPr="00027624" w:rsidRDefault="002A2FAE" w:rsidP="002A2FAE">
      <w:r w:rsidRPr="00027624">
        <w:t>Tax concessions are offered on both compulsory and voluntary superannuation contributions, although they only operate as an incentive for voluntary contributions. Voluntary contributions can be made pre</w:t>
      </w:r>
      <w:r w:rsidR="00A8443E" w:rsidRPr="00027624">
        <w:noBreakHyphen/>
      </w:r>
      <w:r w:rsidRPr="00027624">
        <w:t>tax (concessional) or post</w:t>
      </w:r>
      <w:r w:rsidR="00A8443E" w:rsidRPr="00027624">
        <w:noBreakHyphen/>
      </w:r>
      <w:r w:rsidRPr="00027624">
        <w:t>tax (non</w:t>
      </w:r>
      <w:r w:rsidR="00A8443E" w:rsidRPr="00027624">
        <w:noBreakHyphen/>
      </w:r>
      <w:r w:rsidRPr="00027624">
        <w:t xml:space="preserve">concessional) (see </w:t>
      </w:r>
      <w:r w:rsidRPr="00027624">
        <w:rPr>
          <w:i/>
        </w:rPr>
        <w:fldChar w:fldCharType="begin"/>
      </w:r>
      <w:r w:rsidRPr="00027624">
        <w:rPr>
          <w:i/>
        </w:rPr>
        <w:instrText xml:space="preserve"> REF _Ref35253505 \r \h  \* MERGEFORMAT </w:instrText>
      </w:r>
      <w:r w:rsidRPr="00027624">
        <w:rPr>
          <w:i/>
        </w:rPr>
      </w:r>
      <w:r w:rsidRPr="00027624">
        <w:rPr>
          <w:i/>
        </w:rPr>
        <w:fldChar w:fldCharType="separate"/>
      </w:r>
      <w:r w:rsidR="00891058">
        <w:rPr>
          <w:i/>
        </w:rPr>
        <w:t>Box 5A-3</w:t>
      </w:r>
      <w:r w:rsidRPr="00027624">
        <w:rPr>
          <w:i/>
        </w:rPr>
        <w:fldChar w:fldCharType="end"/>
      </w:r>
      <w:r w:rsidRPr="00027624">
        <w:rPr>
          <w:i/>
        </w:rPr>
        <w:t xml:space="preserve"> </w:t>
      </w:r>
      <w:r w:rsidRPr="00027624">
        <w:t xml:space="preserve">and </w:t>
      </w:r>
      <w:r w:rsidRPr="00027624">
        <w:rPr>
          <w:i/>
        </w:rPr>
        <w:t>1B. Design of Australia</w:t>
      </w:r>
      <w:r w:rsidR="00A8443E" w:rsidRPr="00027624">
        <w:rPr>
          <w:i/>
        </w:rPr>
        <w:t>’</w:t>
      </w:r>
      <w:r w:rsidRPr="00027624">
        <w:rPr>
          <w:i/>
        </w:rPr>
        <w:t>s retirement income system</w:t>
      </w:r>
      <w:r w:rsidRPr="00027624">
        <w:t>).</w:t>
      </w:r>
    </w:p>
    <w:p w14:paraId="597D7983" w14:textId="77777777" w:rsidR="002A2FAE" w:rsidRPr="00027624" w:rsidRDefault="002A2FAE" w:rsidP="002A2FAE">
      <w:r w:rsidRPr="00027624">
        <w:t>The tax rate on voluntary concessional contributions may be higher or lower than 15 per cent, depending on the person</w:t>
      </w:r>
      <w:r w:rsidR="00A8443E" w:rsidRPr="00027624">
        <w:t>’</w:t>
      </w:r>
      <w:r w:rsidRPr="00027624">
        <w:t>s taxable income. The main way people access voluntary concessional contributions is through salary sacrificing.</w:t>
      </w:r>
      <w:r w:rsidRPr="00027624">
        <w:rPr>
          <w:rStyle w:val="FootnoteReference"/>
        </w:rPr>
        <w:footnoteReference w:id="277"/>
      </w:r>
    </w:p>
    <w:p w14:paraId="3DAB888E" w14:textId="77777777" w:rsidR="002A2FAE" w:rsidRPr="00027624" w:rsidRDefault="002A2FAE" w:rsidP="002A2FAE">
      <w:r w:rsidRPr="00027624">
        <w:t>Although non</w:t>
      </w:r>
      <w:r w:rsidR="00A8443E" w:rsidRPr="00027624">
        <w:noBreakHyphen/>
      </w:r>
      <w:r w:rsidRPr="00027624">
        <w:t xml:space="preserve">concessional contributions do not receive a contributions tax concession, they benefit from investment earnings being taxed concessionally at a headline rate of 15 per cent. However, the </w:t>
      </w:r>
      <w:r w:rsidRPr="00027624">
        <w:rPr>
          <w:i/>
        </w:rPr>
        <w:t>effective</w:t>
      </w:r>
      <w:r w:rsidRPr="00027624">
        <w:t xml:space="preserve"> concessional tax rate for earnings is often lower</w:t>
      </w:r>
      <w:r w:rsidRPr="00027624" w:rsidDel="00E50B9E">
        <w:t xml:space="preserve"> </w:t>
      </w:r>
      <w:r w:rsidRPr="00027624">
        <w:t>than 15 per cent. Dividend imputation</w:t>
      </w:r>
      <w:r w:rsidRPr="00027624">
        <w:rPr>
          <w:rStyle w:val="FootnoteReference"/>
        </w:rPr>
        <w:footnoteReference w:id="278"/>
      </w:r>
      <w:r w:rsidRPr="00027624">
        <w:t xml:space="preserve"> and the 33 per cent capital gains tax concession for assets held in a superannuation fund for more than 12 months reduce the tax paid by the fund</w:t>
      </w:r>
      <w:r w:rsidRPr="00027624" w:rsidDel="02796242">
        <w:t>.</w:t>
      </w:r>
      <w:r w:rsidRPr="00027624">
        <w:t xml:space="preserve"> As a result, modelling for the review assumes a 7 per cent effective earnings tax rate (see </w:t>
      </w:r>
      <w:r w:rsidRPr="00027624">
        <w:rPr>
          <w:i/>
        </w:rPr>
        <w:t>Appendix 6A. Detailed modelling methods and assumptions</w:t>
      </w:r>
      <w:r w:rsidRPr="00027624">
        <w:t xml:space="preserve">). </w:t>
      </w:r>
    </w:p>
    <w:tbl>
      <w:tblPr>
        <w:tblStyle w:val="TableGrid"/>
        <w:tblW w:w="5000" w:type="pct"/>
        <w:tblLook w:val="04A0" w:firstRow="1" w:lastRow="0" w:firstColumn="1" w:lastColumn="0" w:noHBand="0" w:noVBand="1"/>
      </w:tblPr>
      <w:tblGrid>
        <w:gridCol w:w="9070"/>
      </w:tblGrid>
      <w:tr w:rsidR="002A2FAE" w:rsidRPr="00027624" w14:paraId="3263273D" w14:textId="77777777" w:rsidTr="002A2FAE">
        <w:tc>
          <w:tcPr>
            <w:tcW w:w="5000" w:type="pct"/>
            <w:shd w:val="clear" w:color="auto" w:fill="FFF8EA"/>
          </w:tcPr>
          <w:p w14:paraId="78A293FD" w14:textId="77777777" w:rsidR="002A2FAE" w:rsidRPr="00027624" w:rsidRDefault="002A2FAE" w:rsidP="00325A8D">
            <w:pPr>
              <w:pStyle w:val="BoxHeading"/>
              <w:numPr>
                <w:ilvl w:val="5"/>
                <w:numId w:val="13"/>
              </w:numPr>
            </w:pPr>
            <w:bookmarkStart w:id="4112" w:name="_Ref35253505"/>
            <w:r w:rsidRPr="00027624">
              <w:lastRenderedPageBreak/>
              <w:t>Tax concessions for voluntary superannuation contributions</w:t>
            </w:r>
          </w:p>
          <w:p w14:paraId="10143A0A" w14:textId="77777777" w:rsidR="002A2FAE" w:rsidRPr="00027624" w:rsidRDefault="002A2FAE" w:rsidP="002A2FAE">
            <w:pPr>
              <w:rPr>
                <w:b/>
              </w:rPr>
            </w:pPr>
            <w:r w:rsidRPr="00027624">
              <w:rPr>
                <w:b/>
              </w:rPr>
              <w:t>Pre</w:t>
            </w:r>
            <w:r w:rsidR="00A8443E" w:rsidRPr="00027624">
              <w:rPr>
                <w:b/>
              </w:rPr>
              <w:noBreakHyphen/>
            </w:r>
            <w:r w:rsidRPr="00027624">
              <w:rPr>
                <w:b/>
              </w:rPr>
              <w:t>tax (concessional) contributions</w:t>
            </w:r>
          </w:p>
          <w:p w14:paraId="73033F1D" w14:textId="77777777" w:rsidR="002A2FAE" w:rsidRPr="00027624" w:rsidRDefault="002A2FAE" w:rsidP="002A2FAE">
            <w:pPr>
              <w:pStyle w:val="Bullet"/>
            </w:pPr>
            <w:r w:rsidRPr="00027624">
              <w:t xml:space="preserve">A concessional tax rate of 15 per cent applies to both contributions and investment earnings, such as interest, dividends and rental income. </w:t>
            </w:r>
          </w:p>
          <w:p w14:paraId="5E991F30" w14:textId="77777777" w:rsidR="002A2FAE" w:rsidRPr="00027624" w:rsidRDefault="002A2FAE" w:rsidP="002A2FAE">
            <w:pPr>
              <w:pStyle w:val="Bullet"/>
            </w:pPr>
            <w:r w:rsidRPr="00027624">
              <w:t>Concessional contributions are capped at $25,000 a year. A carry forward rule allows people to make additional contributions for unused amounts from the last five years (for superannuation balances less than $500,000).</w:t>
            </w:r>
          </w:p>
          <w:p w14:paraId="334E64C2" w14:textId="77777777" w:rsidR="002A2FAE" w:rsidRPr="00027624" w:rsidRDefault="002A2FAE" w:rsidP="002A2FAE">
            <w:pPr>
              <w:pStyle w:val="Bullet"/>
            </w:pPr>
            <w:r w:rsidRPr="00027624">
              <w:t>Tax concessions are reduced for those with very high incomes through Division 293 tax, with the current threshold set at $250,000 of combined income and contributions. Division 293 charges an additional 15 per cent tax on either superannuation contributions or the amount over the threshold, whichever is lower.</w:t>
            </w:r>
          </w:p>
          <w:p w14:paraId="617C24AA" w14:textId="77777777" w:rsidR="002A2FAE" w:rsidRPr="00027624" w:rsidRDefault="002A2FAE" w:rsidP="002A2FAE">
            <w:pPr>
              <w:pStyle w:val="Bullet"/>
            </w:pPr>
            <w:r w:rsidRPr="00027624">
              <w:t xml:space="preserve">Excess contributions are taxed at the marginal tax rate. </w:t>
            </w:r>
          </w:p>
          <w:p w14:paraId="729784D1" w14:textId="77777777" w:rsidR="002A2FAE" w:rsidRPr="00027624" w:rsidRDefault="002A2FAE" w:rsidP="002A2FAE">
            <w:pPr>
              <w:pStyle w:val="Bullet"/>
            </w:pPr>
            <w:r w:rsidRPr="00027624">
              <w:t>Contributions by lower</w:t>
            </w:r>
            <w:r w:rsidR="00A8443E" w:rsidRPr="00027624">
              <w:noBreakHyphen/>
            </w:r>
            <w:r w:rsidRPr="00027624">
              <w:t>income earners, especially those below the tax</w:t>
            </w:r>
            <w:r w:rsidR="00A8443E" w:rsidRPr="00027624">
              <w:noBreakHyphen/>
            </w:r>
            <w:r w:rsidRPr="00027624">
              <w:t>free threshold ($18,200 in 2018</w:t>
            </w:r>
            <w:r w:rsidR="00A8443E" w:rsidRPr="00027624">
              <w:noBreakHyphen/>
            </w:r>
            <w:r w:rsidRPr="00027624">
              <w:t>19) are effectively tax</w:t>
            </w:r>
            <w:r w:rsidR="00A8443E" w:rsidRPr="00027624">
              <w:noBreakHyphen/>
            </w:r>
            <w:r w:rsidRPr="00027624">
              <w:t>free. Any tax payable is offset by the low income superannuation tax offset.</w:t>
            </w:r>
          </w:p>
          <w:p w14:paraId="39CF37D1" w14:textId="77777777" w:rsidR="002A2FAE" w:rsidRPr="00027624" w:rsidRDefault="002A2FAE" w:rsidP="002A2FAE">
            <w:pPr>
              <w:rPr>
                <w:b/>
              </w:rPr>
            </w:pPr>
            <w:r w:rsidRPr="00027624">
              <w:rPr>
                <w:b/>
              </w:rPr>
              <w:t>Post</w:t>
            </w:r>
            <w:r w:rsidR="00A8443E" w:rsidRPr="00027624">
              <w:rPr>
                <w:b/>
              </w:rPr>
              <w:noBreakHyphen/>
            </w:r>
            <w:r w:rsidRPr="00027624">
              <w:rPr>
                <w:b/>
              </w:rPr>
              <w:t>tax (non</w:t>
            </w:r>
            <w:r w:rsidR="00A8443E" w:rsidRPr="00027624">
              <w:rPr>
                <w:b/>
              </w:rPr>
              <w:noBreakHyphen/>
            </w:r>
            <w:r w:rsidRPr="00027624">
              <w:rPr>
                <w:b/>
              </w:rPr>
              <w:t>concessional) contributions</w:t>
            </w:r>
          </w:p>
          <w:p w14:paraId="5D9D2A5C" w14:textId="77777777" w:rsidR="002A2FAE" w:rsidRPr="00027624" w:rsidRDefault="002A2FAE" w:rsidP="002A2FAE">
            <w:pPr>
              <w:pStyle w:val="Bullet"/>
            </w:pPr>
            <w:r w:rsidRPr="00027624">
              <w:t>Post</w:t>
            </w:r>
            <w:r w:rsidR="00A8443E" w:rsidRPr="00027624">
              <w:noBreakHyphen/>
            </w:r>
            <w:r w:rsidRPr="00027624">
              <w:t>tax contributions are made after income tax has been paid at the person</w:t>
            </w:r>
            <w:r w:rsidR="00A8443E" w:rsidRPr="00027624">
              <w:t>’</w:t>
            </w:r>
            <w:r w:rsidRPr="00027624">
              <w:t>s marginal income tax rate. But investment earnings are taxed concessionally at 15 per cent.</w:t>
            </w:r>
          </w:p>
          <w:p w14:paraId="716EF8AA" w14:textId="77777777" w:rsidR="002A2FAE" w:rsidRPr="00027624" w:rsidRDefault="002A2FAE" w:rsidP="002A2FAE">
            <w:pPr>
              <w:pStyle w:val="Bullet"/>
            </w:pPr>
            <w:r w:rsidRPr="00027624">
              <w:t>Non</w:t>
            </w:r>
            <w:r w:rsidR="00A8443E" w:rsidRPr="00027624">
              <w:noBreakHyphen/>
            </w:r>
            <w:r w:rsidRPr="00027624">
              <w:t>concessional contributions are capped at $100,000 a year. Beyond this,</w:t>
            </w:r>
            <w:r w:rsidRPr="00027624" w:rsidDel="008E4BEB">
              <w:t xml:space="preserve"> </w:t>
            </w:r>
            <w:r w:rsidRPr="00027624">
              <w:t>they are taxed at 47 per cent if excess contributions and earnings are not withdrawn. People under 65 may be able to bring forward up to three years of non</w:t>
            </w:r>
            <w:r w:rsidR="00A8443E" w:rsidRPr="00027624">
              <w:noBreakHyphen/>
            </w:r>
            <w:r w:rsidRPr="00027624">
              <w:t xml:space="preserve">concessional contributions, depending on their superannuation balance. </w:t>
            </w:r>
          </w:p>
          <w:p w14:paraId="49468B84" w14:textId="77777777" w:rsidR="002A2FAE" w:rsidRPr="00027624" w:rsidRDefault="002A2FAE" w:rsidP="002A2FAE">
            <w:pPr>
              <w:pStyle w:val="Bullet"/>
            </w:pPr>
            <w:r w:rsidRPr="00027624">
              <w:t>The Government makes a 50 per cent co</w:t>
            </w:r>
            <w:r w:rsidR="00A8443E" w:rsidRPr="00027624">
              <w:noBreakHyphen/>
            </w:r>
            <w:r w:rsidRPr="00027624">
              <w:t>payment for post</w:t>
            </w:r>
            <w:r w:rsidR="00A8443E" w:rsidRPr="00027624">
              <w:noBreakHyphen/>
            </w:r>
            <w:r w:rsidRPr="00027624">
              <w:t>tax contributions by lower</w:t>
            </w:r>
            <w:r w:rsidR="00A8443E" w:rsidRPr="00027624">
              <w:noBreakHyphen/>
            </w:r>
            <w:r w:rsidRPr="00027624">
              <w:t xml:space="preserve"> to middle</w:t>
            </w:r>
            <w:r w:rsidR="00A8443E" w:rsidRPr="00027624">
              <w:noBreakHyphen/>
            </w:r>
            <w:r w:rsidRPr="00027624">
              <w:t>income earners, capped at $500.</w:t>
            </w:r>
          </w:p>
        </w:tc>
      </w:tr>
    </w:tbl>
    <w:p w14:paraId="20E5124C" w14:textId="77777777" w:rsidR="002A2FAE" w:rsidRPr="00027624" w:rsidRDefault="002A2FAE" w:rsidP="002A2FAE">
      <w:r w:rsidRPr="00027624">
        <w:rPr>
          <w:bCs/>
        </w:rPr>
        <w:t>About 17 per cent of workers are self</w:t>
      </w:r>
      <w:r w:rsidR="00A8443E" w:rsidRPr="00027624">
        <w:rPr>
          <w:bCs/>
        </w:rPr>
        <w:noBreakHyphen/>
      </w:r>
      <w:r w:rsidRPr="00027624">
        <w:rPr>
          <w:bCs/>
        </w:rPr>
        <w:t xml:space="preserve">employed. </w:t>
      </w:r>
      <w:r w:rsidRPr="00027624">
        <w:rPr>
          <w:b/>
          <w:bCs/>
        </w:rPr>
        <w:t>Self</w:t>
      </w:r>
      <w:r w:rsidR="00A8443E" w:rsidRPr="00027624">
        <w:rPr>
          <w:b/>
          <w:bCs/>
        </w:rPr>
        <w:noBreakHyphen/>
      </w:r>
      <w:r w:rsidRPr="00027624">
        <w:rPr>
          <w:b/>
          <w:bCs/>
        </w:rPr>
        <w:t>employed people are not covered by the SG</w:t>
      </w:r>
      <w:r w:rsidRPr="00027624">
        <w:rPr>
          <w:bCs/>
        </w:rPr>
        <w:t xml:space="preserve">, and only </w:t>
      </w:r>
      <w:r w:rsidRPr="00027624">
        <w:t>around a quarter of them make a voluntary contribution in a given year. As a result, self</w:t>
      </w:r>
      <w:r w:rsidR="00A8443E" w:rsidRPr="00027624">
        <w:noBreakHyphen/>
      </w:r>
      <w:r w:rsidRPr="00027624">
        <w:t>employed people generally have lower superannuation balances than employees. However, they have similar levels of overall wealth. They typically have access to other tax</w:t>
      </w:r>
      <w:r w:rsidR="00A8443E" w:rsidRPr="00027624">
        <w:noBreakHyphen/>
      </w:r>
      <w:r w:rsidRPr="00027624">
        <w:t xml:space="preserve">effective avenues to save for retirement and hold more savings in property and business assets than employees (see </w:t>
      </w:r>
      <w:r w:rsidR="009C3D63">
        <w:rPr>
          <w:i/>
          <w:iCs/>
        </w:rPr>
        <w:t>3D. SG coverage</w:t>
      </w:r>
      <w:r w:rsidRPr="00027624">
        <w:t>).</w:t>
      </w:r>
    </w:p>
    <w:p w14:paraId="0EFBBDDC" w14:textId="51F7BF90" w:rsidR="002A2FAE" w:rsidRPr="00027624" w:rsidRDefault="002A2FAE" w:rsidP="002A2FAE">
      <w:r w:rsidRPr="00027624">
        <w:rPr>
          <w:b/>
          <w:bCs/>
        </w:rPr>
        <w:t xml:space="preserve">Around a quarter </w:t>
      </w:r>
      <w:r w:rsidRPr="00027624">
        <w:rPr>
          <w:b/>
        </w:rPr>
        <w:t>of people make voluntary</w:t>
      </w:r>
      <w:r w:rsidRPr="00027624">
        <w:rPr>
          <w:b/>
          <w:bCs/>
        </w:rPr>
        <w:t xml:space="preserve"> superannuation</w:t>
      </w:r>
      <w:r w:rsidRPr="00027624">
        <w:rPr>
          <w:b/>
        </w:rPr>
        <w:t xml:space="preserve"> contributions</w:t>
      </w:r>
      <w:r w:rsidRPr="00027624">
        <w:fldChar w:fldCharType="begin"/>
      </w:r>
      <w:r w:rsidRPr="00027624">
        <w:instrText xml:space="preserve"> CITATION ATOv19 \l 3081 </w:instrText>
      </w:r>
      <w:r w:rsidRPr="00027624">
        <w:fldChar w:fldCharType="separate"/>
      </w:r>
      <w:r w:rsidR="00E83F6E">
        <w:rPr>
          <w:noProof/>
        </w:rPr>
        <w:t xml:space="preserve"> (ATO, 2019f)</w:t>
      </w:r>
      <w:r w:rsidRPr="00027624">
        <w:fldChar w:fldCharType="end"/>
      </w:r>
      <w:r w:rsidRPr="00027624">
        <w:t>. Most people make pre</w:t>
      </w:r>
      <w:r w:rsidR="00A8443E" w:rsidRPr="00027624">
        <w:noBreakHyphen/>
      </w:r>
      <w:r w:rsidRPr="00027624">
        <w:t>tax superannuation contributions at or near the SG rate (</w:t>
      </w:r>
      <w:r w:rsidRPr="00027624">
        <w:fldChar w:fldCharType="begin"/>
      </w:r>
      <w:r w:rsidRPr="00027624">
        <w:instrText xml:space="preserve"> REF _Ref43126030 \r \h  \* MERGEFORMAT </w:instrText>
      </w:r>
      <w:r w:rsidRPr="00027624">
        <w:fldChar w:fldCharType="separate"/>
      </w:r>
      <w:r w:rsidR="00891058">
        <w:t>Chart 5A-1</w:t>
      </w:r>
      <w:r w:rsidRPr="00027624">
        <w:fldChar w:fldCharType="end"/>
      </w:r>
      <w:r w:rsidRPr="00027624">
        <w:t>). However, for higher</w:t>
      </w:r>
      <w:r w:rsidR="00A8443E" w:rsidRPr="00027624">
        <w:noBreakHyphen/>
      </w:r>
      <w:r w:rsidRPr="00027624">
        <w:t>income people, older people and those with higher superannuation balances, voluntary contributions make up a large proportion of total annual contributions (</w:t>
      </w:r>
      <w:r w:rsidRPr="00027624">
        <w:fldChar w:fldCharType="begin"/>
      </w:r>
      <w:r w:rsidRPr="00027624">
        <w:instrText xml:space="preserve"> REF _Ref43125986 \r \h  \* MERGEFORMAT </w:instrText>
      </w:r>
      <w:r w:rsidRPr="00027624">
        <w:fldChar w:fldCharType="separate"/>
      </w:r>
      <w:r w:rsidR="00891058">
        <w:t>Chart 5A-2</w:t>
      </w:r>
      <w:r w:rsidRPr="00027624">
        <w:fldChar w:fldCharType="end"/>
      </w:r>
      <w:r w:rsidRPr="00027624">
        <w:t>)</w:t>
      </w:r>
      <w:r w:rsidRPr="00027624">
        <w:rPr>
          <w:i/>
        </w:rPr>
        <w:t xml:space="preserve"> </w:t>
      </w:r>
      <w:r w:rsidRPr="00027624">
        <w:t>(see</w:t>
      </w:r>
      <w:r w:rsidRPr="00027624">
        <w:rPr>
          <w:i/>
        </w:rPr>
        <w:t xml:space="preserve"> 3A. Income and wealth distribution)</w:t>
      </w:r>
      <w:r w:rsidRPr="00027624">
        <w:t xml:space="preserve">. </w:t>
      </w:r>
    </w:p>
    <w:p w14:paraId="6AAF6900" w14:textId="77777777" w:rsidR="002A2FAE" w:rsidRPr="00027624" w:rsidRDefault="002A2FAE" w:rsidP="002A2FAE"/>
    <w:p w14:paraId="665C1B29" w14:textId="77777777" w:rsidR="002A2FAE" w:rsidRPr="00027624" w:rsidRDefault="002A2FAE" w:rsidP="00FC7361">
      <w:pPr>
        <w:pStyle w:val="ChartMainHeading"/>
        <w:numPr>
          <w:ilvl w:val="2"/>
          <w:numId w:val="31"/>
        </w:numPr>
      </w:pPr>
      <w:bookmarkStart w:id="4113" w:name="_Ref43126030"/>
      <w:r w:rsidRPr="00027624">
        <w:lastRenderedPageBreak/>
        <w:t>Distribution of concessional superannuation contributions among taxpayers</w:t>
      </w:r>
      <w:bookmarkEnd w:id="4113"/>
    </w:p>
    <w:p w14:paraId="768ADEE4" w14:textId="77777777" w:rsidR="002A2FAE" w:rsidRPr="00027624" w:rsidRDefault="006C628C" w:rsidP="002A2FAE">
      <w:pPr>
        <w:pStyle w:val="ChartGraphic"/>
      </w:pPr>
      <w:r>
        <w:rPr>
          <w:noProof/>
        </w:rPr>
        <w:drawing>
          <wp:inline distT="0" distB="0" distL="0" distR="0" wp14:anchorId="58D191D7" wp14:editId="7AD4CB4E">
            <wp:extent cx="5585460" cy="2522220"/>
            <wp:effectExtent l="0" t="0" r="0" b="0"/>
            <wp:docPr id="741687606" name="Picture 741687606" descr="This chart shows the proportion of taxable income that people contribute to their superannuation. The most common amount contributed is 0 per cent, with next most common amounts being 9 and 10 per cent, which are close to the SG rate of 9.5 per cent. " title="Chart 5A-1 Distribution of concessional superannuation contributions among taxp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4895B95A" w14:textId="77777777" w:rsidR="002A2FAE" w:rsidRPr="00027624" w:rsidRDefault="002A2FAE" w:rsidP="002A2FAE">
      <w:pPr>
        <w:pStyle w:val="ChartorTableNote"/>
      </w:pPr>
      <w:r w:rsidRPr="00027624">
        <w:t>Source: Analysis of ATO individual income tax returns and member contributions statements, 2017</w:t>
      </w:r>
      <w:r w:rsidR="00A8443E" w:rsidRPr="00027624">
        <w:noBreakHyphen/>
      </w:r>
      <w:r w:rsidRPr="00027624">
        <w:t>18.</w:t>
      </w:r>
    </w:p>
    <w:p w14:paraId="32F49A85" w14:textId="77777777" w:rsidR="002A2FAE" w:rsidRPr="00027624" w:rsidRDefault="002A2FAE" w:rsidP="002A2FAE">
      <w:pPr>
        <w:pStyle w:val="ChartMainHeading"/>
      </w:pPr>
      <w:bookmarkStart w:id="4114" w:name="_Ref43125986"/>
      <w:r w:rsidRPr="00027624">
        <w:t>Voluntary superannuation contributions as a proportion of total contributions, by superannuation balance</w:t>
      </w:r>
      <w:bookmarkEnd w:id="4114"/>
    </w:p>
    <w:p w14:paraId="6CD8BE93" w14:textId="77777777" w:rsidR="002A2FAE" w:rsidRPr="00027624" w:rsidRDefault="006C628C" w:rsidP="002A2FAE">
      <w:pPr>
        <w:pStyle w:val="ChartGraphic"/>
      </w:pPr>
      <w:r>
        <w:rPr>
          <w:noProof/>
        </w:rPr>
        <w:drawing>
          <wp:inline distT="0" distB="0" distL="0" distR="0" wp14:anchorId="5088663F" wp14:editId="1BC762EB">
            <wp:extent cx="5577840" cy="2522220"/>
            <wp:effectExtent l="0" t="0" r="3810" b="0"/>
            <wp:docPr id="741687608" name="Picture 741687608" descr="This chart shows the proportion of voluntary superannuation contributions as a percentage of total contributions by both age and superannuation balance. It shows people aged 55 and over make relatively more voluntary contributions than people under 55. It also shows that people with higher balances make more voluntary contributions than people with lower balances. " title="Chart 5A-2 Voluntary superannuation contributions as a proportion of total contributions, by superannuation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213FA92" w14:textId="77777777" w:rsidR="002A2FAE" w:rsidRPr="00027624" w:rsidRDefault="002A2FAE" w:rsidP="002A2FAE">
      <w:pPr>
        <w:pStyle w:val="ChartorTableNote"/>
      </w:pPr>
      <w:r w:rsidRPr="00027624">
        <w:t>Source: Analysis of ATO individual income tax returns and member contributions statements, 2017</w:t>
      </w:r>
      <w:r w:rsidR="00A8443E" w:rsidRPr="00027624">
        <w:noBreakHyphen/>
      </w:r>
      <w:r w:rsidRPr="00027624">
        <w:t>18.</w:t>
      </w:r>
    </w:p>
    <w:p w14:paraId="6380A5E7" w14:textId="5711BB1B" w:rsidR="002A2FAE" w:rsidRPr="00027624" w:rsidRDefault="002A2FAE" w:rsidP="002A2FAE">
      <w:r w:rsidRPr="00027624">
        <w:rPr>
          <w:b/>
          <w:bCs/>
        </w:rPr>
        <w:t>In general, tax concessions</w:t>
      </w:r>
      <w:r w:rsidRPr="00027624">
        <w:rPr>
          <w:b/>
        </w:rPr>
        <w:t xml:space="preserve"> </w:t>
      </w:r>
      <w:r w:rsidRPr="00027624">
        <w:rPr>
          <w:b/>
          <w:bCs/>
        </w:rPr>
        <w:t>appear to be of limited effectiveness</w:t>
      </w:r>
      <w:r w:rsidRPr="00027624">
        <w:rPr>
          <w:b/>
        </w:rPr>
        <w:t xml:space="preserve"> at encouraging </w:t>
      </w:r>
      <w:r w:rsidRPr="00027624">
        <w:rPr>
          <w:b/>
          <w:i/>
          <w:iCs/>
        </w:rPr>
        <w:t xml:space="preserve">additional </w:t>
      </w:r>
      <w:r w:rsidRPr="00027624">
        <w:rPr>
          <w:b/>
        </w:rPr>
        <w:t xml:space="preserve">savings </w:t>
      </w:r>
      <w:r w:rsidRPr="00027624">
        <w:t>or increasing people</w:t>
      </w:r>
      <w:r w:rsidR="00A8443E" w:rsidRPr="00027624">
        <w:t>’</w:t>
      </w:r>
      <w:r w:rsidRPr="00027624">
        <w:t xml:space="preserve">s overall savings. Instead, tax concessions appear to mostly encourage people to </w:t>
      </w:r>
      <w:r w:rsidRPr="00027624">
        <w:rPr>
          <w:i/>
          <w:iCs/>
        </w:rPr>
        <w:t xml:space="preserve">reallocate </w:t>
      </w:r>
      <w:r w:rsidRPr="00027624">
        <w:t>existing savings, or savings they would have made in any case, into superannuation.</w:t>
      </w:r>
      <w:r w:rsidRPr="00027624" w:rsidDel="004466EB">
        <w:t xml:space="preserve"> </w:t>
      </w:r>
      <w:r w:rsidRPr="00027624">
        <w:t>Some studies find a small, positive effect of tax incentives on overall savings. Others find no significant effect (</w:t>
      </w:r>
      <w:r w:rsidRPr="00027624">
        <w:fldChar w:fldCharType="begin"/>
      </w:r>
      <w:r w:rsidRPr="00027624">
        <w:instrText xml:space="preserve"> REF _Ref42284307 \r \h </w:instrText>
      </w:r>
      <w:r w:rsidR="00FA7639" w:rsidRPr="00027624">
        <w:instrText xml:space="preserve"> \* MERGEFORMAT </w:instrText>
      </w:r>
      <w:r w:rsidRPr="00027624">
        <w:fldChar w:fldCharType="separate"/>
      </w:r>
      <w:r w:rsidR="00891058">
        <w:t>Table 5A-1</w:t>
      </w:r>
      <w:r w:rsidRPr="00027624">
        <w:fldChar w:fldCharType="end"/>
      </w:r>
      <w:r w:rsidRPr="00027624">
        <w:t>). Those finding a small positive effect generally agree that this applies only to lower</w:t>
      </w:r>
      <w:r w:rsidR="00A8443E" w:rsidRPr="00027624">
        <w:noBreakHyphen/>
      </w:r>
      <w:r w:rsidRPr="00027624">
        <w:t xml:space="preserve"> and middle</w:t>
      </w:r>
      <w:r w:rsidR="00A8443E" w:rsidRPr="00027624">
        <w:noBreakHyphen/>
      </w:r>
      <w:r w:rsidRPr="00027624">
        <w:t>income earners:</w:t>
      </w:r>
      <w:r w:rsidRPr="00027624" w:rsidDel="007518BB">
        <w:t xml:space="preserve"> </w:t>
      </w:r>
      <w:r w:rsidRPr="00027624">
        <w:t>a group that</w:t>
      </w:r>
      <w:r w:rsidRPr="00027624" w:rsidDel="007518BB">
        <w:t xml:space="preserve"> make</w:t>
      </w:r>
      <w:r w:rsidRPr="00027624">
        <w:t>s</w:t>
      </w:r>
      <w:r w:rsidRPr="00027624" w:rsidDel="007518BB">
        <w:t xml:space="preserve"> relatively small</w:t>
      </w:r>
      <w:r w:rsidRPr="00027624">
        <w:t xml:space="preserve"> </w:t>
      </w:r>
      <w:r w:rsidRPr="00027624" w:rsidDel="007518BB">
        <w:t>voluntary contributions (see</w:t>
      </w:r>
      <w:r w:rsidRPr="00027624" w:rsidDel="007518BB">
        <w:rPr>
          <w:i/>
        </w:rPr>
        <w:t xml:space="preserve"> </w:t>
      </w:r>
      <w:r w:rsidRPr="00027624">
        <w:rPr>
          <w:i/>
        </w:rPr>
        <w:t>3A.</w:t>
      </w:r>
      <w:r w:rsidRPr="00027624" w:rsidDel="007518BB">
        <w:rPr>
          <w:i/>
        </w:rPr>
        <w:t xml:space="preserve"> Income and </w:t>
      </w:r>
      <w:r w:rsidRPr="00027624">
        <w:rPr>
          <w:i/>
        </w:rPr>
        <w:t>w</w:t>
      </w:r>
      <w:r w:rsidRPr="00027624" w:rsidDel="007518BB">
        <w:rPr>
          <w:i/>
        </w:rPr>
        <w:t>ealth</w:t>
      </w:r>
      <w:r w:rsidRPr="00027624">
        <w:rPr>
          <w:i/>
        </w:rPr>
        <w:t xml:space="preserve"> distribution</w:t>
      </w:r>
      <w:r w:rsidRPr="00027624" w:rsidDel="007518BB">
        <w:t>)</w:t>
      </w:r>
      <w:r w:rsidRPr="00027624">
        <w:t xml:space="preserve">. </w:t>
      </w:r>
      <w:r w:rsidRPr="00027624" w:rsidDel="007518BB">
        <w:t xml:space="preserve">Most of the </w:t>
      </w:r>
      <w:r w:rsidRPr="00027624">
        <w:t>contributions are made by</w:t>
      </w:r>
      <w:r w:rsidRPr="00027624" w:rsidDel="007518BB">
        <w:t xml:space="preserve"> higher</w:t>
      </w:r>
      <w:r w:rsidR="00A8443E" w:rsidRPr="00027624">
        <w:noBreakHyphen/>
      </w:r>
      <w:r w:rsidRPr="00027624" w:rsidDel="007518BB">
        <w:t>income earners</w:t>
      </w:r>
      <w:r w:rsidRPr="00027624">
        <w:t>, and may represent</w:t>
      </w:r>
      <w:r w:rsidRPr="00027624" w:rsidDel="007518BB">
        <w:t xml:space="preserve"> </w:t>
      </w:r>
      <w:r w:rsidRPr="00027624">
        <w:t>reallocation of</w:t>
      </w:r>
      <w:r w:rsidRPr="00027624" w:rsidDel="007518BB">
        <w:t xml:space="preserve"> savings that would have </w:t>
      </w:r>
      <w:r w:rsidRPr="00027624">
        <w:t xml:space="preserve">probably </w:t>
      </w:r>
      <w:r w:rsidRPr="00027624" w:rsidDel="007518BB">
        <w:t xml:space="preserve">occurred </w:t>
      </w:r>
      <w:r w:rsidRPr="00027624">
        <w:t>with or without the tax concessions</w:t>
      </w:r>
      <w:r w:rsidRPr="00027624">
        <w:fldChar w:fldCharType="begin"/>
      </w:r>
      <w:r w:rsidRPr="00027624">
        <w:instrText xml:space="preserve"> CITATION OEC18 \l 3081 </w:instrText>
      </w:r>
      <w:r w:rsidRPr="00027624">
        <w:fldChar w:fldCharType="separate"/>
      </w:r>
      <w:r w:rsidR="00E83F6E">
        <w:rPr>
          <w:noProof/>
        </w:rPr>
        <w:t xml:space="preserve"> (OECD, 2018a)</w:t>
      </w:r>
      <w:r w:rsidRPr="00027624">
        <w:fldChar w:fldCharType="end"/>
      </w:r>
      <w:r w:rsidRPr="00027624" w:rsidDel="007518BB">
        <w:t>.</w:t>
      </w:r>
      <w:r w:rsidRPr="00027624">
        <w:t xml:space="preserve"> Alt</w:t>
      </w:r>
      <w:r w:rsidRPr="00027624" w:rsidDel="007518BB">
        <w:t>h</w:t>
      </w:r>
      <w:r w:rsidRPr="00027624">
        <w:t xml:space="preserve">ough </w:t>
      </w:r>
      <w:r w:rsidRPr="00027624" w:rsidDel="007518BB">
        <w:t xml:space="preserve">Australian evidence </w:t>
      </w:r>
      <w:r w:rsidRPr="00027624">
        <w:t>on the overall effect on savings is not definitive, it suggests the impact is small</w:t>
      </w:r>
      <w:r w:rsidRPr="00027624" w:rsidDel="007518BB">
        <w:t>.</w:t>
      </w:r>
    </w:p>
    <w:p w14:paraId="59697A37" w14:textId="77777777" w:rsidR="002A2FAE" w:rsidRPr="00027624" w:rsidRDefault="002A2FAE" w:rsidP="002A2FAE">
      <w:r w:rsidRPr="00027624">
        <w:t xml:space="preserve">Policy settings are particularly relevant when considering if international findings can be generalised to Australia. For example, many studies use US data on 401(k) retirement accounts to measure the combined effect of tax incentives and the offer of the plan from an employer. In Australia, most people are compelled through the SG to both open an account and contribute at a relatively high </w:t>
      </w:r>
      <w:r w:rsidRPr="00027624">
        <w:lastRenderedPageBreak/>
        <w:t>level. If Australia</w:t>
      </w:r>
      <w:r w:rsidR="00A8443E" w:rsidRPr="00027624">
        <w:t>’</w:t>
      </w:r>
      <w:r w:rsidRPr="00027624">
        <w:t xml:space="preserve">s superannuation tax concessions are to generate additional savings, these savings must be voluntary </w:t>
      </w:r>
      <w:r w:rsidRPr="00027624">
        <w:rPr>
          <w:i/>
        </w:rPr>
        <w:t>on top of</w:t>
      </w:r>
      <w:r w:rsidRPr="00027624">
        <w:t xml:space="preserve"> the additional savings that result from the SG. Many other countries</w:t>
      </w:r>
      <w:r w:rsidR="00A8443E" w:rsidRPr="00027624">
        <w:t>’</w:t>
      </w:r>
      <w:r w:rsidRPr="00027624">
        <w:t xml:space="preserve"> incentives seek to elicit additional savings from a base of low or no retirement savings. Some employers offer compulsory contribution rates above the SG as part of their employment packages</w:t>
      </w:r>
      <w:r w:rsidRPr="00027624">
        <w:fldChar w:fldCharType="begin"/>
      </w:r>
      <w:r w:rsidRPr="00027624">
        <w:instrText xml:space="preserve">CITATION Mer20 \l 3081 </w:instrText>
      </w:r>
      <w:r w:rsidRPr="00027624">
        <w:fldChar w:fldCharType="separate"/>
      </w:r>
      <w:r w:rsidR="00E83F6E">
        <w:rPr>
          <w:noProof/>
        </w:rPr>
        <w:t xml:space="preserve"> (Mercer, 2020)</w:t>
      </w:r>
      <w:r w:rsidRPr="00027624">
        <w:fldChar w:fldCharType="end"/>
      </w:r>
      <w:r w:rsidRPr="00027624">
        <w:t>. This further reduces the scope for tax concessions to generate additional savings from voluntary contributions.</w:t>
      </w:r>
      <w:bookmarkEnd w:id="4112"/>
    </w:p>
    <w:p w14:paraId="3E826E04" w14:textId="77777777" w:rsidR="002A2FAE" w:rsidRPr="00027624" w:rsidRDefault="002A2FAE" w:rsidP="00FC7361">
      <w:pPr>
        <w:pStyle w:val="TableMainHeading"/>
        <w:numPr>
          <w:ilvl w:val="3"/>
          <w:numId w:val="32"/>
        </w:numPr>
      </w:pPr>
      <w:bookmarkStart w:id="4115" w:name="_Ref41901776"/>
      <w:bookmarkStart w:id="4116" w:name="_Ref42284307"/>
      <w:bookmarkStart w:id="4117" w:name="_Ref44072844"/>
      <w:r w:rsidRPr="00027624">
        <w:t>Summary of Australian and international literature on the effect of tax concessions</w:t>
      </w:r>
      <w:bookmarkEnd w:id="4115"/>
      <w:r w:rsidRPr="00027624">
        <w:t xml:space="preserve"> on generating additional retirement savings</w:t>
      </w:r>
      <w:bookmarkEnd w:id="4116"/>
      <w:bookmarkEnd w:id="4117"/>
    </w:p>
    <w:tbl>
      <w:tblPr>
        <w:tblW w:w="5015" w:type="pct"/>
        <w:tblLook w:val="01E0" w:firstRow="1" w:lastRow="1" w:firstColumn="1" w:lastColumn="1" w:noHBand="0" w:noVBand="0"/>
      </w:tblPr>
      <w:tblGrid>
        <w:gridCol w:w="2693"/>
        <w:gridCol w:w="6404"/>
      </w:tblGrid>
      <w:tr w:rsidR="002A2FAE" w:rsidRPr="00027624" w14:paraId="3A2CE80F" w14:textId="77777777" w:rsidTr="002A2FAE">
        <w:trPr>
          <w:tblHeader/>
        </w:trPr>
        <w:tc>
          <w:tcPr>
            <w:tcW w:w="1480" w:type="pct"/>
            <w:shd w:val="clear" w:color="auto" w:fill="E5E5E5"/>
          </w:tcPr>
          <w:p w14:paraId="2CC367B8" w14:textId="77777777" w:rsidR="002A2FAE" w:rsidRPr="00027624" w:rsidRDefault="002A2FAE" w:rsidP="002A2FAE">
            <w:pPr>
              <w:pStyle w:val="TableColumnHeadingLeft"/>
            </w:pPr>
            <w:r w:rsidRPr="00027624">
              <w:br w:type="page"/>
              <w:t>Country/Paper</w:t>
            </w:r>
          </w:p>
        </w:tc>
        <w:tc>
          <w:tcPr>
            <w:tcW w:w="3520" w:type="pct"/>
            <w:shd w:val="clear" w:color="auto" w:fill="E5E5E5"/>
          </w:tcPr>
          <w:p w14:paraId="5F6ED6A2" w14:textId="77777777" w:rsidR="002A2FAE" w:rsidRPr="00027624" w:rsidRDefault="002A2FAE" w:rsidP="002A2FAE">
            <w:pPr>
              <w:pStyle w:val="TableColumnHeadingLeft"/>
              <w:jc w:val="center"/>
            </w:pPr>
            <w:r w:rsidRPr="00027624">
              <w:t>Finding</w:t>
            </w:r>
          </w:p>
        </w:tc>
      </w:tr>
      <w:tr w:rsidR="002A2FAE" w:rsidRPr="00027624" w14:paraId="7B2E0666" w14:textId="77777777" w:rsidTr="002A2FAE">
        <w:trPr>
          <w:tblHeader/>
        </w:trPr>
        <w:tc>
          <w:tcPr>
            <w:tcW w:w="1480" w:type="pct"/>
            <w:shd w:val="clear" w:color="auto" w:fill="E5E5E5"/>
          </w:tcPr>
          <w:p w14:paraId="67CF4DCE" w14:textId="77777777" w:rsidR="002A2FAE" w:rsidRPr="00027624" w:rsidRDefault="002A2FAE" w:rsidP="002A2FAE">
            <w:pPr>
              <w:pStyle w:val="TableTextLeft"/>
              <w:rPr>
                <w:i/>
              </w:rPr>
            </w:pPr>
            <w:r w:rsidRPr="00027624">
              <w:rPr>
                <w:i/>
              </w:rPr>
              <w:t>Australia</w:t>
            </w:r>
          </w:p>
        </w:tc>
        <w:tc>
          <w:tcPr>
            <w:tcW w:w="3520" w:type="pct"/>
            <w:shd w:val="clear" w:color="auto" w:fill="E5E5E5"/>
          </w:tcPr>
          <w:p w14:paraId="16E8C72F" w14:textId="77777777" w:rsidR="002A2FAE" w:rsidRPr="00027624" w:rsidRDefault="002A2FAE" w:rsidP="002A2FAE">
            <w:pPr>
              <w:pStyle w:val="TableTextLeft"/>
            </w:pPr>
          </w:p>
        </w:tc>
      </w:tr>
      <w:tr w:rsidR="002A2FAE" w:rsidRPr="00027624" w14:paraId="263B6AD7" w14:textId="77777777" w:rsidTr="002A2FAE">
        <w:tc>
          <w:tcPr>
            <w:tcW w:w="1480" w:type="pct"/>
          </w:tcPr>
          <w:p w14:paraId="2FB87D54" w14:textId="77777777" w:rsidR="002A2FAE" w:rsidRPr="00027624" w:rsidRDefault="002A2FAE" w:rsidP="002A2FAE">
            <w:pPr>
              <w:pStyle w:val="TableTextLeft"/>
            </w:pPr>
            <w:r w:rsidRPr="00027624">
              <w:t>Sobeck and Breunig</w:t>
            </w:r>
            <w:r w:rsidRPr="00027624">
              <w:fldChar w:fldCharType="begin"/>
            </w:r>
            <w:r w:rsidRPr="00027624">
              <w:instrText xml:space="preserve">CITATION Kri20 \n  \t  \l 3081 </w:instrText>
            </w:r>
            <w:r w:rsidRPr="00027624">
              <w:fldChar w:fldCharType="separate"/>
            </w:r>
            <w:r w:rsidR="00E83F6E">
              <w:rPr>
                <w:noProof/>
              </w:rPr>
              <w:t xml:space="preserve"> (2020)</w:t>
            </w:r>
            <w:r w:rsidRPr="00027624">
              <w:fldChar w:fldCharType="end"/>
            </w:r>
            <w:r w:rsidRPr="00027624">
              <w:t xml:space="preserve"> (commissioned by the review)</w:t>
            </w:r>
          </w:p>
        </w:tc>
        <w:tc>
          <w:tcPr>
            <w:tcW w:w="3520" w:type="pct"/>
          </w:tcPr>
          <w:p w14:paraId="53ACC62C" w14:textId="77777777" w:rsidR="002A2FAE" w:rsidRPr="00027624" w:rsidRDefault="002A2FAE" w:rsidP="002A2FAE">
            <w:pPr>
              <w:pStyle w:val="TableTextLeft"/>
            </w:pPr>
            <w:r w:rsidRPr="00027624">
              <w:t>Incentives from co</w:t>
            </w:r>
            <w:r w:rsidR="00A8443E" w:rsidRPr="00027624">
              <w:noBreakHyphen/>
            </w:r>
            <w:r w:rsidRPr="00027624">
              <w:t>contribution policy have a small, positive effect on overall savings (23 cents in the dollar).</w:t>
            </w:r>
          </w:p>
        </w:tc>
      </w:tr>
      <w:tr w:rsidR="002A2FAE" w:rsidRPr="00027624" w14:paraId="3BEE0087" w14:textId="77777777" w:rsidTr="002A2FAE">
        <w:tc>
          <w:tcPr>
            <w:tcW w:w="1480" w:type="pct"/>
          </w:tcPr>
          <w:p w14:paraId="507E8050" w14:textId="77777777" w:rsidR="002A2FAE" w:rsidRPr="00027624" w:rsidRDefault="002A2FAE" w:rsidP="002A2FAE">
            <w:pPr>
              <w:pStyle w:val="TableTextLeft"/>
            </w:pPr>
            <w:r w:rsidRPr="00027624">
              <w:t>Ruthbah and Pham</w:t>
            </w:r>
            <w:r w:rsidRPr="00027624">
              <w:fldChar w:fldCharType="begin"/>
            </w:r>
            <w:r w:rsidRPr="00027624">
              <w:instrText xml:space="preserve">CITATION Rut201 \n  \t  \l 3081 </w:instrText>
            </w:r>
            <w:r w:rsidRPr="00027624">
              <w:fldChar w:fldCharType="separate"/>
            </w:r>
            <w:r w:rsidR="00E83F6E">
              <w:rPr>
                <w:noProof/>
              </w:rPr>
              <w:t xml:space="preserve"> (2020b)</w:t>
            </w:r>
            <w:r w:rsidRPr="00027624">
              <w:fldChar w:fldCharType="end"/>
            </w:r>
            <w:r w:rsidRPr="00027624">
              <w:t>(commissioned by the review)</w:t>
            </w:r>
          </w:p>
        </w:tc>
        <w:tc>
          <w:tcPr>
            <w:tcW w:w="3520" w:type="pct"/>
          </w:tcPr>
          <w:p w14:paraId="200D5E79" w14:textId="77777777" w:rsidR="002A2FAE" w:rsidRPr="00027624" w:rsidRDefault="002A2FAE" w:rsidP="002A2FAE">
            <w:pPr>
              <w:pStyle w:val="TableTextLeft"/>
            </w:pPr>
            <w:r w:rsidRPr="00027624">
              <w:t>Incentives from co</w:t>
            </w:r>
            <w:r w:rsidR="00A8443E" w:rsidRPr="00027624">
              <w:noBreakHyphen/>
            </w:r>
            <w:r w:rsidRPr="00027624">
              <w:t xml:space="preserve">contribution policy have small, positive effects on overall savings. Division 293 tax appears to lead to a reallocation of savings with no effect on wealth. Concessional </w:t>
            </w:r>
            <w:r w:rsidR="00404B9D" w:rsidRPr="00027624">
              <w:t>contributions cap</w:t>
            </w:r>
            <w:r w:rsidRPr="00027624">
              <w:t>s may have marginal effects on savings and wealth.</w:t>
            </w:r>
          </w:p>
        </w:tc>
      </w:tr>
      <w:tr w:rsidR="002A2FAE" w:rsidRPr="00027624" w14:paraId="3F042A8E" w14:textId="77777777" w:rsidTr="002A2FAE">
        <w:tc>
          <w:tcPr>
            <w:tcW w:w="1480" w:type="pct"/>
          </w:tcPr>
          <w:p w14:paraId="34971A34" w14:textId="77777777" w:rsidR="002A2FAE" w:rsidRPr="00027624" w:rsidRDefault="002A2FAE" w:rsidP="002A2FAE">
            <w:pPr>
              <w:pStyle w:val="TableTextLeft"/>
            </w:pPr>
            <w:r w:rsidRPr="00027624">
              <w:t>Feng</w:t>
            </w:r>
            <w:r w:rsidRPr="00027624">
              <w:fldChar w:fldCharType="begin"/>
            </w:r>
            <w:r w:rsidRPr="00027624">
              <w:instrText xml:space="preserve">CITATION Fen14 \n  \t  \l 3081 </w:instrText>
            </w:r>
            <w:r w:rsidRPr="00027624">
              <w:fldChar w:fldCharType="separate"/>
            </w:r>
            <w:r w:rsidR="00E83F6E">
              <w:rPr>
                <w:noProof/>
              </w:rPr>
              <w:t xml:space="preserve"> (2014)</w:t>
            </w:r>
            <w:r w:rsidRPr="00027624">
              <w:fldChar w:fldCharType="end"/>
            </w:r>
          </w:p>
        </w:tc>
        <w:tc>
          <w:tcPr>
            <w:tcW w:w="3520" w:type="pct"/>
          </w:tcPr>
          <w:p w14:paraId="23D50A98" w14:textId="77777777" w:rsidR="002A2FAE" w:rsidRPr="00027624" w:rsidRDefault="002A2FAE" w:rsidP="002A2FAE">
            <w:pPr>
              <w:pStyle w:val="TableTextLeft"/>
            </w:pPr>
            <w:r w:rsidRPr="00027624">
              <w:t>Tax incentives have a limited effect, if any, on the level of salary sacrifice contributions.</w:t>
            </w:r>
          </w:p>
        </w:tc>
      </w:tr>
      <w:tr w:rsidR="002A2FAE" w:rsidRPr="00027624" w14:paraId="2888D097" w14:textId="77777777" w:rsidTr="002A2FAE">
        <w:trPr>
          <w:tblHeader/>
        </w:trPr>
        <w:tc>
          <w:tcPr>
            <w:tcW w:w="1480" w:type="pct"/>
            <w:shd w:val="clear" w:color="auto" w:fill="E5E5E5"/>
          </w:tcPr>
          <w:p w14:paraId="1DE1726A" w14:textId="77777777" w:rsidR="002A2FAE" w:rsidRPr="00027624" w:rsidRDefault="002A2FAE" w:rsidP="002A2FAE">
            <w:pPr>
              <w:pStyle w:val="TableTextLeft"/>
              <w:rPr>
                <w:i/>
              </w:rPr>
            </w:pPr>
            <w:r w:rsidRPr="00027624">
              <w:rPr>
                <w:i/>
              </w:rPr>
              <w:t>USA</w:t>
            </w:r>
          </w:p>
        </w:tc>
        <w:tc>
          <w:tcPr>
            <w:tcW w:w="3520" w:type="pct"/>
            <w:shd w:val="clear" w:color="auto" w:fill="E5E5E5"/>
          </w:tcPr>
          <w:p w14:paraId="6CEF0467" w14:textId="77777777" w:rsidR="002A2FAE" w:rsidRPr="00027624" w:rsidRDefault="002A2FAE" w:rsidP="002A2FAE">
            <w:pPr>
              <w:pStyle w:val="TableTextLeft"/>
            </w:pPr>
          </w:p>
        </w:tc>
      </w:tr>
      <w:tr w:rsidR="002A2FAE" w:rsidRPr="00027624" w14:paraId="4B49BC18" w14:textId="77777777" w:rsidTr="002A2FAE">
        <w:tc>
          <w:tcPr>
            <w:tcW w:w="1480" w:type="pct"/>
          </w:tcPr>
          <w:p w14:paraId="23B6FD5C" w14:textId="77777777" w:rsidR="002A2FAE" w:rsidRPr="00027624" w:rsidRDefault="002A2FAE" w:rsidP="002A2FAE">
            <w:pPr>
              <w:pStyle w:val="TableTextLeft"/>
            </w:pPr>
            <w:r w:rsidRPr="00027624">
              <w:t>Benjamin</w:t>
            </w:r>
            <w:r w:rsidRPr="00027624">
              <w:fldChar w:fldCharType="begin"/>
            </w:r>
            <w:r w:rsidRPr="00027624">
              <w:instrText xml:space="preserve">CITATION Dan03 \n  \t  \l 3081 </w:instrText>
            </w:r>
            <w:r w:rsidRPr="00027624">
              <w:fldChar w:fldCharType="separate"/>
            </w:r>
            <w:r w:rsidR="00E83F6E">
              <w:rPr>
                <w:noProof/>
              </w:rPr>
              <w:t xml:space="preserve"> (2003)</w:t>
            </w:r>
            <w:r w:rsidRPr="00027624">
              <w:fldChar w:fldCharType="end"/>
            </w:r>
          </w:p>
        </w:tc>
        <w:tc>
          <w:tcPr>
            <w:tcW w:w="3520" w:type="pct"/>
          </w:tcPr>
          <w:p w14:paraId="3E22775B" w14:textId="77777777" w:rsidR="002A2FAE" w:rsidRPr="00027624" w:rsidRDefault="002A2FAE" w:rsidP="002A2FAE">
            <w:pPr>
              <w:pStyle w:val="TableTextLeft"/>
            </w:pPr>
            <w:r w:rsidRPr="00027624">
              <w:t>A quarter of 401(k) balances represent additional private savings, mostly stemming from lower</w:t>
            </w:r>
            <w:r w:rsidR="00A8443E" w:rsidRPr="00027624">
              <w:noBreakHyphen/>
            </w:r>
            <w:r w:rsidRPr="00027624">
              <w:t xml:space="preserve"> and middle</w:t>
            </w:r>
            <w:r w:rsidR="00A8443E" w:rsidRPr="00027624">
              <w:noBreakHyphen/>
            </w:r>
            <w:r w:rsidRPr="00027624">
              <w:t xml:space="preserve">income households. </w:t>
            </w:r>
          </w:p>
        </w:tc>
      </w:tr>
      <w:tr w:rsidR="002A2FAE" w:rsidRPr="00027624" w14:paraId="798D0E72" w14:textId="77777777" w:rsidTr="002A2FAE">
        <w:tc>
          <w:tcPr>
            <w:tcW w:w="1480" w:type="pct"/>
          </w:tcPr>
          <w:p w14:paraId="66C1BCFB" w14:textId="77777777" w:rsidR="002A2FAE" w:rsidRPr="00027624" w:rsidRDefault="002A2FAE" w:rsidP="002A2FAE">
            <w:pPr>
              <w:pStyle w:val="TableTextLeft"/>
            </w:pPr>
            <w:r w:rsidRPr="00027624">
              <w:t>Beshears et. al.</w:t>
            </w:r>
            <w:r w:rsidRPr="00027624">
              <w:fldChar w:fldCharType="begin"/>
            </w:r>
            <w:r w:rsidRPr="00027624">
              <w:instrText xml:space="preserve">CITATION Joh17 \n  \t  \l 3081 </w:instrText>
            </w:r>
            <w:r w:rsidRPr="00027624">
              <w:fldChar w:fldCharType="separate"/>
            </w:r>
            <w:r w:rsidR="00E83F6E">
              <w:rPr>
                <w:noProof/>
              </w:rPr>
              <w:t xml:space="preserve"> (2017)</w:t>
            </w:r>
            <w:r w:rsidRPr="00027624">
              <w:fldChar w:fldCharType="end"/>
            </w:r>
          </w:p>
        </w:tc>
        <w:tc>
          <w:tcPr>
            <w:tcW w:w="3520" w:type="pct"/>
          </w:tcPr>
          <w:p w14:paraId="317BE857" w14:textId="77777777" w:rsidR="002A2FAE" w:rsidRPr="00027624" w:rsidRDefault="002A2FAE" w:rsidP="002A2FAE">
            <w:pPr>
              <w:pStyle w:val="TableTextLeft"/>
            </w:pPr>
            <w:r w:rsidRPr="00027624">
              <w:t>No evidence that contribution rates respond to the tax incentive associated with a Roth contribution option (non</w:t>
            </w:r>
            <w:r w:rsidR="00A8443E" w:rsidRPr="00027624">
              <w:noBreakHyphen/>
            </w:r>
            <w:r w:rsidRPr="00027624">
              <w:t xml:space="preserve">deductible contributions but untaxed withdrawals, compared with deductible contributions but taxed withdrawals) on existing 401(k) plans. </w:t>
            </w:r>
          </w:p>
        </w:tc>
      </w:tr>
      <w:tr w:rsidR="002A2FAE" w:rsidRPr="00027624" w14:paraId="2A7BC63A" w14:textId="77777777" w:rsidTr="002A2FAE">
        <w:tc>
          <w:tcPr>
            <w:tcW w:w="1480" w:type="pct"/>
          </w:tcPr>
          <w:p w14:paraId="33701823" w14:textId="77777777" w:rsidR="002A2FAE" w:rsidRPr="00027624" w:rsidRDefault="002A2FAE" w:rsidP="002A2FAE">
            <w:pPr>
              <w:pStyle w:val="TableTextLeft"/>
            </w:pPr>
            <w:r w:rsidRPr="00027624">
              <w:t>Gelber</w:t>
            </w:r>
            <w:r w:rsidRPr="00027624">
              <w:fldChar w:fldCharType="begin"/>
            </w:r>
            <w:r w:rsidRPr="00027624">
              <w:instrText xml:space="preserve">CITATION Ale11 \n  \t  \l 3081 </w:instrText>
            </w:r>
            <w:r w:rsidRPr="00027624">
              <w:fldChar w:fldCharType="separate"/>
            </w:r>
            <w:r w:rsidR="00E83F6E">
              <w:rPr>
                <w:noProof/>
              </w:rPr>
              <w:t xml:space="preserve"> (2011)</w:t>
            </w:r>
            <w:r w:rsidRPr="00027624">
              <w:fldChar w:fldCharType="end"/>
            </w:r>
          </w:p>
        </w:tc>
        <w:tc>
          <w:tcPr>
            <w:tcW w:w="3520" w:type="pct"/>
          </w:tcPr>
          <w:p w14:paraId="6E5ABFC4" w14:textId="77777777" w:rsidR="002A2FAE" w:rsidRPr="00027624" w:rsidRDefault="002A2FAE" w:rsidP="002A2FAE">
            <w:pPr>
              <w:pStyle w:val="TableTextLeft"/>
            </w:pPr>
            <w:r w:rsidRPr="00027624">
              <w:t xml:space="preserve">No definitive conclusion on whether 401(k) contributions generate additional savings. </w:t>
            </w:r>
          </w:p>
        </w:tc>
      </w:tr>
      <w:tr w:rsidR="002A2FAE" w:rsidRPr="00027624" w14:paraId="7AF215C0" w14:textId="77777777" w:rsidTr="002A2FAE">
        <w:tc>
          <w:tcPr>
            <w:tcW w:w="1480" w:type="pct"/>
          </w:tcPr>
          <w:p w14:paraId="69707B01" w14:textId="77777777" w:rsidR="002A2FAE" w:rsidRPr="00027624" w:rsidRDefault="002A2FAE" w:rsidP="002A2FAE">
            <w:pPr>
              <w:pStyle w:val="TableTextLeft"/>
            </w:pPr>
            <w:r w:rsidRPr="00027624">
              <w:t>Engelhardt and Kumar</w:t>
            </w:r>
            <w:r w:rsidRPr="00027624">
              <w:fldChar w:fldCharType="begin"/>
            </w:r>
            <w:r w:rsidRPr="00027624">
              <w:instrText xml:space="preserve">CITATION Gar06 \n  \t  \l 3081 </w:instrText>
            </w:r>
            <w:r w:rsidRPr="00027624">
              <w:fldChar w:fldCharType="separate"/>
            </w:r>
            <w:r w:rsidR="00E83F6E">
              <w:rPr>
                <w:noProof/>
              </w:rPr>
              <w:t xml:space="preserve"> (2006)</w:t>
            </w:r>
            <w:r w:rsidRPr="00027624">
              <w:fldChar w:fldCharType="end"/>
            </w:r>
          </w:p>
        </w:tc>
        <w:tc>
          <w:tcPr>
            <w:tcW w:w="3520" w:type="pct"/>
          </w:tcPr>
          <w:p w14:paraId="1B2BD0B3" w14:textId="77777777" w:rsidR="002A2FAE" w:rsidRPr="00027624" w:rsidRDefault="002A2FAE" w:rsidP="002A2FAE">
            <w:pPr>
              <w:pStyle w:val="TableTextLeft"/>
            </w:pPr>
            <w:r w:rsidRPr="00027624">
              <w:t>Participation in 401(k) plans produces the largest additional savings for lower</w:t>
            </w:r>
            <w:r w:rsidR="00A8443E" w:rsidRPr="00027624">
              <w:noBreakHyphen/>
            </w:r>
            <w:r w:rsidRPr="00027624">
              <w:t xml:space="preserve"> and middle</w:t>
            </w:r>
            <w:r w:rsidR="00A8443E" w:rsidRPr="00027624">
              <w:noBreakHyphen/>
            </w:r>
            <w:r w:rsidRPr="00027624">
              <w:t>wealth households.</w:t>
            </w:r>
          </w:p>
        </w:tc>
      </w:tr>
      <w:tr w:rsidR="002A2FAE" w:rsidRPr="00027624" w14:paraId="55D45217" w14:textId="77777777" w:rsidTr="002A2FAE">
        <w:tc>
          <w:tcPr>
            <w:tcW w:w="1480" w:type="pct"/>
          </w:tcPr>
          <w:p w14:paraId="343965D4" w14:textId="77777777" w:rsidR="002A2FAE" w:rsidRPr="00027624" w:rsidRDefault="002A2FAE" w:rsidP="002A2FAE">
            <w:pPr>
              <w:pStyle w:val="TableTextLeft"/>
            </w:pPr>
            <w:r w:rsidRPr="00027624">
              <w:t>Chernozhukov and Hansen</w:t>
            </w:r>
            <w:r w:rsidRPr="00027624">
              <w:fldChar w:fldCharType="begin"/>
            </w:r>
            <w:r w:rsidRPr="00027624">
              <w:instrText xml:space="preserve">CITATION Vic04 \n  \t  \l 3081 </w:instrText>
            </w:r>
            <w:r w:rsidRPr="00027624">
              <w:fldChar w:fldCharType="separate"/>
            </w:r>
            <w:r w:rsidR="00E83F6E">
              <w:rPr>
                <w:noProof/>
              </w:rPr>
              <w:t xml:space="preserve"> (2004)</w:t>
            </w:r>
            <w:r w:rsidRPr="00027624">
              <w:fldChar w:fldCharType="end"/>
            </w:r>
          </w:p>
        </w:tc>
        <w:tc>
          <w:tcPr>
            <w:tcW w:w="3520" w:type="pct"/>
          </w:tcPr>
          <w:p w14:paraId="19045241" w14:textId="77777777" w:rsidR="002A2FAE" w:rsidRPr="00027624" w:rsidRDefault="002A2FAE" w:rsidP="002A2FAE">
            <w:pPr>
              <w:pStyle w:val="TableTextLeft"/>
            </w:pPr>
            <w:r w:rsidRPr="00027624">
              <w:t xml:space="preserve">Participation in 401(k) plans produces additional savings, but less so for the upper end of the wealth distribution. </w:t>
            </w:r>
          </w:p>
        </w:tc>
      </w:tr>
      <w:tr w:rsidR="002A2FAE" w:rsidRPr="00027624" w14:paraId="0DF5894D" w14:textId="77777777" w:rsidTr="002A2FAE">
        <w:tc>
          <w:tcPr>
            <w:tcW w:w="1480" w:type="pct"/>
          </w:tcPr>
          <w:p w14:paraId="4D5E2B53" w14:textId="77777777" w:rsidR="002A2FAE" w:rsidRPr="00027624" w:rsidRDefault="002A2FAE" w:rsidP="002A2FAE">
            <w:pPr>
              <w:pStyle w:val="TableTextLeft"/>
            </w:pPr>
            <w:r w:rsidRPr="00027624">
              <w:t>Engen and Gale</w:t>
            </w:r>
            <w:r w:rsidRPr="00027624">
              <w:fldChar w:fldCharType="begin"/>
            </w:r>
            <w:r w:rsidRPr="00027624">
              <w:instrText xml:space="preserve">CITATION Eri00 \n  \t  \l 3081 </w:instrText>
            </w:r>
            <w:r w:rsidRPr="00027624">
              <w:fldChar w:fldCharType="separate"/>
            </w:r>
            <w:r w:rsidR="00E83F6E">
              <w:rPr>
                <w:noProof/>
              </w:rPr>
              <w:t xml:space="preserve"> (2000)</w:t>
            </w:r>
            <w:r w:rsidRPr="00027624">
              <w:fldChar w:fldCharType="end"/>
            </w:r>
          </w:p>
        </w:tc>
        <w:tc>
          <w:tcPr>
            <w:tcW w:w="3520" w:type="pct"/>
          </w:tcPr>
          <w:p w14:paraId="30B0E95E" w14:textId="77777777" w:rsidR="002A2FAE" w:rsidRPr="00027624" w:rsidRDefault="002A2FAE" w:rsidP="002A2FAE">
            <w:pPr>
              <w:pStyle w:val="TableTextLeft"/>
            </w:pPr>
            <w:r w:rsidRPr="00027624">
              <w:t>Savings in 401(k) accounts held by lower</w:t>
            </w:r>
            <w:r w:rsidR="00A8443E" w:rsidRPr="00027624">
              <w:noBreakHyphen/>
            </w:r>
            <w:r w:rsidRPr="00027624">
              <w:t>income households are more likely to represent additional savings than those held by higher</w:t>
            </w:r>
            <w:r w:rsidR="00A8443E" w:rsidRPr="00027624">
              <w:noBreakHyphen/>
            </w:r>
            <w:r w:rsidRPr="00027624">
              <w:t xml:space="preserve">earning groups. </w:t>
            </w:r>
          </w:p>
        </w:tc>
      </w:tr>
      <w:tr w:rsidR="002A2FAE" w:rsidRPr="00027624" w14:paraId="1E64ECEA" w14:textId="77777777" w:rsidTr="002A2FAE">
        <w:tc>
          <w:tcPr>
            <w:tcW w:w="1480" w:type="pct"/>
          </w:tcPr>
          <w:p w14:paraId="1FA113C2" w14:textId="77777777" w:rsidR="002A2FAE" w:rsidRPr="00027624" w:rsidRDefault="002A2FAE" w:rsidP="002A2FAE">
            <w:pPr>
              <w:pStyle w:val="TableTextLeft"/>
            </w:pPr>
            <w:r w:rsidRPr="00027624">
              <w:t>Engen et. al.</w:t>
            </w:r>
            <w:r w:rsidRPr="00027624">
              <w:fldChar w:fldCharType="begin"/>
            </w:r>
            <w:r w:rsidRPr="00027624">
              <w:instrText xml:space="preserve">CITATION Eri96 \n  \t  \l 3081 </w:instrText>
            </w:r>
            <w:r w:rsidRPr="00027624">
              <w:fldChar w:fldCharType="separate"/>
            </w:r>
            <w:r w:rsidR="00E83F6E">
              <w:rPr>
                <w:noProof/>
              </w:rPr>
              <w:t xml:space="preserve"> (1996)</w:t>
            </w:r>
            <w:r w:rsidRPr="00027624">
              <w:fldChar w:fldCharType="end"/>
            </w:r>
          </w:p>
        </w:tc>
        <w:tc>
          <w:tcPr>
            <w:tcW w:w="3520" w:type="pct"/>
          </w:tcPr>
          <w:p w14:paraId="017FC994" w14:textId="77777777" w:rsidR="002A2FAE" w:rsidRPr="00027624" w:rsidRDefault="002A2FAE" w:rsidP="002A2FAE">
            <w:pPr>
              <w:pStyle w:val="TableTextLeft"/>
            </w:pPr>
            <w:r w:rsidRPr="00027624">
              <w:t xml:space="preserve">Little, if any, of 401(k) contributions represent additional savings. </w:t>
            </w:r>
          </w:p>
        </w:tc>
      </w:tr>
      <w:tr w:rsidR="002A2FAE" w:rsidRPr="00027624" w14:paraId="16614902" w14:textId="77777777" w:rsidTr="002A2FAE">
        <w:tc>
          <w:tcPr>
            <w:tcW w:w="1480" w:type="pct"/>
          </w:tcPr>
          <w:p w14:paraId="20E17EB0" w14:textId="77777777" w:rsidR="002A2FAE" w:rsidRPr="00027624" w:rsidRDefault="002A2FAE" w:rsidP="002A2FAE">
            <w:pPr>
              <w:pStyle w:val="TableTextLeft"/>
            </w:pPr>
            <w:r w:rsidRPr="00027624">
              <w:t>Poterba et. al</w:t>
            </w:r>
            <w:r w:rsidRPr="00027624">
              <w:fldChar w:fldCharType="begin"/>
            </w:r>
            <w:r w:rsidRPr="00027624">
              <w:instrText xml:space="preserve">CITATION Jam96 \n  \t  \l 3081 </w:instrText>
            </w:r>
            <w:r w:rsidRPr="00027624">
              <w:fldChar w:fldCharType="separate"/>
            </w:r>
            <w:r w:rsidR="00E83F6E">
              <w:rPr>
                <w:noProof/>
              </w:rPr>
              <w:t xml:space="preserve"> (1996)</w:t>
            </w:r>
            <w:r w:rsidRPr="00027624">
              <w:fldChar w:fldCharType="end"/>
            </w:r>
          </w:p>
        </w:tc>
        <w:tc>
          <w:tcPr>
            <w:tcW w:w="3520" w:type="pct"/>
          </w:tcPr>
          <w:p w14:paraId="05C5F554" w14:textId="77777777" w:rsidR="002A2FAE" w:rsidRPr="00027624" w:rsidRDefault="002A2FAE" w:rsidP="002A2FAE">
            <w:pPr>
              <w:pStyle w:val="TableTextLeft"/>
            </w:pPr>
            <w:r w:rsidRPr="00027624">
              <w:t>The weight of evidence is that the bulk of IRA and 401(k) contributions are net additions to savings (more recent papers have critiqued this paper</w:t>
            </w:r>
            <w:r w:rsidR="00A8443E" w:rsidRPr="00027624">
              <w:t xml:space="preserve"> — </w:t>
            </w:r>
            <w:r w:rsidRPr="00027624">
              <w:t>for example, Benjamin</w:t>
            </w:r>
            <w:r w:rsidRPr="00027624">
              <w:fldChar w:fldCharType="begin"/>
            </w:r>
            <w:r w:rsidRPr="00027624">
              <w:instrText xml:space="preserve">CITATION Dan03 \n  \t  \l 3081 </w:instrText>
            </w:r>
            <w:r w:rsidRPr="00027624">
              <w:fldChar w:fldCharType="separate"/>
            </w:r>
            <w:r w:rsidR="00E83F6E">
              <w:rPr>
                <w:noProof/>
              </w:rPr>
              <w:t xml:space="preserve"> (2003)</w:t>
            </w:r>
            <w:r w:rsidRPr="00027624">
              <w:fldChar w:fldCharType="end"/>
            </w:r>
            <w:r w:rsidRPr="00027624">
              <w:t xml:space="preserve"> and Engen and Gale</w:t>
            </w:r>
            <w:r w:rsidRPr="00027624">
              <w:fldChar w:fldCharType="begin"/>
            </w:r>
            <w:r w:rsidRPr="00027624">
              <w:instrText xml:space="preserve">CITATION Eri00 \n  \t  \l 3081 </w:instrText>
            </w:r>
            <w:r w:rsidRPr="00027624">
              <w:fldChar w:fldCharType="separate"/>
            </w:r>
            <w:r w:rsidR="00E83F6E">
              <w:rPr>
                <w:noProof/>
              </w:rPr>
              <w:t xml:space="preserve"> (2000)</w:t>
            </w:r>
            <w:r w:rsidRPr="00027624">
              <w:fldChar w:fldCharType="end"/>
            </w:r>
            <w:r w:rsidRPr="00027624">
              <w:t>).</w:t>
            </w:r>
          </w:p>
        </w:tc>
      </w:tr>
      <w:tr w:rsidR="002A2FAE" w:rsidRPr="00027624" w14:paraId="689DD530" w14:textId="77777777" w:rsidTr="002A2FAE">
        <w:trPr>
          <w:tblHeader/>
        </w:trPr>
        <w:tc>
          <w:tcPr>
            <w:tcW w:w="1480" w:type="pct"/>
            <w:shd w:val="clear" w:color="auto" w:fill="E5E5E5"/>
          </w:tcPr>
          <w:p w14:paraId="2D3A9760" w14:textId="77777777" w:rsidR="002A2FAE" w:rsidRPr="00027624" w:rsidRDefault="002A2FAE" w:rsidP="002A2FAE">
            <w:pPr>
              <w:pStyle w:val="TableTextLeft"/>
              <w:rPr>
                <w:i/>
              </w:rPr>
            </w:pPr>
            <w:r w:rsidRPr="00027624">
              <w:rPr>
                <w:i/>
              </w:rPr>
              <w:t>Other international</w:t>
            </w:r>
          </w:p>
        </w:tc>
        <w:tc>
          <w:tcPr>
            <w:tcW w:w="3520" w:type="pct"/>
            <w:shd w:val="clear" w:color="auto" w:fill="E5E5E5"/>
          </w:tcPr>
          <w:p w14:paraId="3BCDFE34" w14:textId="77777777" w:rsidR="002A2FAE" w:rsidRPr="00027624" w:rsidRDefault="002A2FAE" w:rsidP="002A2FAE">
            <w:pPr>
              <w:pStyle w:val="TableTextLeft"/>
            </w:pPr>
          </w:p>
        </w:tc>
      </w:tr>
      <w:tr w:rsidR="002A2FAE" w:rsidRPr="00027624" w14:paraId="516EA203" w14:textId="77777777" w:rsidTr="002A2FAE">
        <w:tc>
          <w:tcPr>
            <w:tcW w:w="1480" w:type="pct"/>
          </w:tcPr>
          <w:p w14:paraId="0A086EC1" w14:textId="77777777" w:rsidR="002A2FAE" w:rsidRPr="00027624" w:rsidRDefault="002A2FAE" w:rsidP="002A2FAE">
            <w:pPr>
              <w:pStyle w:val="TableTextLeft"/>
            </w:pPr>
            <w:r w:rsidRPr="00027624">
              <w:t>Chetty et. al.</w:t>
            </w:r>
            <w:r w:rsidRPr="00027624">
              <w:fldChar w:fldCharType="begin"/>
            </w:r>
            <w:r w:rsidRPr="00027624">
              <w:instrText xml:space="preserve">CITATION Raj14 \n  \t  \l 3081 </w:instrText>
            </w:r>
            <w:r w:rsidRPr="00027624">
              <w:fldChar w:fldCharType="separate"/>
            </w:r>
            <w:r w:rsidR="00E83F6E">
              <w:rPr>
                <w:noProof/>
              </w:rPr>
              <w:t xml:space="preserve"> (2014)</w:t>
            </w:r>
            <w:r w:rsidRPr="00027624">
              <w:fldChar w:fldCharType="end"/>
            </w:r>
          </w:p>
        </w:tc>
        <w:tc>
          <w:tcPr>
            <w:tcW w:w="3520" w:type="pct"/>
          </w:tcPr>
          <w:p w14:paraId="008D8D34" w14:textId="77777777" w:rsidR="002A2FAE" w:rsidRPr="00027624" w:rsidRDefault="002A2FAE" w:rsidP="002A2FAE">
            <w:pPr>
              <w:pStyle w:val="TableTextLeft"/>
            </w:pPr>
            <w:r w:rsidRPr="00027624">
              <w:t>Changes to subsidies for voluntary contributions in Denmark produce only 1 cent of additional savings for every $1 of Government expenditure.</w:t>
            </w:r>
          </w:p>
        </w:tc>
      </w:tr>
      <w:tr w:rsidR="002A2FAE" w:rsidRPr="00027624" w14:paraId="4CD4C2DC" w14:textId="77777777" w:rsidTr="002A2FAE">
        <w:tc>
          <w:tcPr>
            <w:tcW w:w="1480" w:type="pct"/>
          </w:tcPr>
          <w:p w14:paraId="1C4A27AF" w14:textId="77777777" w:rsidR="002A2FAE" w:rsidRPr="00027624" w:rsidRDefault="002A2FAE" w:rsidP="002A2FAE">
            <w:pPr>
              <w:pStyle w:val="TableTextLeft"/>
            </w:pPr>
            <w:r w:rsidRPr="00027624">
              <w:t>Attanasio et. al</w:t>
            </w:r>
            <w:r w:rsidRPr="00027624">
              <w:fldChar w:fldCharType="begin"/>
            </w:r>
            <w:r w:rsidRPr="00027624">
              <w:instrText xml:space="preserve">CITATION Att05 \n  \t  \l 3081 </w:instrText>
            </w:r>
            <w:r w:rsidRPr="00027624">
              <w:fldChar w:fldCharType="separate"/>
            </w:r>
            <w:r w:rsidR="00E83F6E">
              <w:rPr>
                <w:noProof/>
              </w:rPr>
              <w:t xml:space="preserve"> (2005)</w:t>
            </w:r>
            <w:r w:rsidRPr="00027624">
              <w:fldChar w:fldCharType="end"/>
            </w:r>
          </w:p>
        </w:tc>
        <w:tc>
          <w:tcPr>
            <w:tcW w:w="3520" w:type="pct"/>
          </w:tcPr>
          <w:p w14:paraId="63E1144D" w14:textId="77777777" w:rsidR="002A2FAE" w:rsidRPr="00027624" w:rsidRDefault="002A2FAE" w:rsidP="002A2FAE">
            <w:pPr>
              <w:pStyle w:val="TableTextLeft"/>
            </w:pPr>
            <w:r w:rsidRPr="00027624">
              <w:t>Limited evidence that either the US or UK schemes produce additional savings.</w:t>
            </w:r>
          </w:p>
        </w:tc>
      </w:tr>
      <w:tr w:rsidR="002A2FAE" w:rsidRPr="00027624" w14:paraId="2445B3CB" w14:textId="77777777" w:rsidTr="002A2FAE">
        <w:tc>
          <w:tcPr>
            <w:tcW w:w="1480" w:type="pct"/>
          </w:tcPr>
          <w:p w14:paraId="1944598D" w14:textId="77777777" w:rsidR="002A2FAE" w:rsidRPr="00027624" w:rsidRDefault="002A2FAE" w:rsidP="002A2FAE">
            <w:pPr>
              <w:pStyle w:val="TableTextLeft"/>
            </w:pPr>
            <w:r w:rsidRPr="00027624">
              <w:t>Ayuso et. al.</w:t>
            </w:r>
            <w:r w:rsidRPr="00027624">
              <w:fldChar w:fldCharType="begin"/>
            </w:r>
            <w:r w:rsidRPr="00027624">
              <w:instrText xml:space="preserve">CITATION Ayu19a \n  \t  \l 3081 </w:instrText>
            </w:r>
            <w:r w:rsidRPr="00027624">
              <w:fldChar w:fldCharType="separate"/>
            </w:r>
            <w:r w:rsidR="00E83F6E">
              <w:rPr>
                <w:noProof/>
              </w:rPr>
              <w:t xml:space="preserve"> (2019)</w:t>
            </w:r>
            <w:r w:rsidRPr="00027624">
              <w:fldChar w:fldCharType="end"/>
            </w:r>
          </w:p>
        </w:tc>
        <w:tc>
          <w:tcPr>
            <w:tcW w:w="3520" w:type="pct"/>
          </w:tcPr>
          <w:p w14:paraId="6E2C31B7" w14:textId="77777777" w:rsidR="002A2FAE" w:rsidRPr="00027624" w:rsidRDefault="002A2FAE" w:rsidP="002A2FAE">
            <w:pPr>
              <w:pStyle w:val="TableTextLeft"/>
            </w:pPr>
            <w:r w:rsidRPr="00027624">
              <w:t xml:space="preserve">On average, 19 cents in each euro contributed to the Spanish scheme represent additional savings. </w:t>
            </w:r>
          </w:p>
          <w:p w14:paraId="307C1BDD" w14:textId="77777777" w:rsidR="002A2FAE" w:rsidRPr="00027624" w:rsidRDefault="002A2FAE" w:rsidP="002A2FAE">
            <w:pPr>
              <w:pStyle w:val="TableTextLeft"/>
            </w:pPr>
            <w:r w:rsidRPr="00027624">
              <w:t xml:space="preserve">Contributions from households close to retirement are more likely to represent a reallocation of existing savings. </w:t>
            </w:r>
          </w:p>
        </w:tc>
      </w:tr>
      <w:tr w:rsidR="002A2FAE" w:rsidRPr="00027624" w14:paraId="5B924AE9" w14:textId="77777777" w:rsidTr="002A2FAE">
        <w:tc>
          <w:tcPr>
            <w:tcW w:w="1480" w:type="pct"/>
          </w:tcPr>
          <w:p w14:paraId="210F49AA" w14:textId="77777777" w:rsidR="002A2FAE" w:rsidRPr="00027624" w:rsidRDefault="002A2FAE" w:rsidP="002A2FAE">
            <w:pPr>
              <w:pStyle w:val="TableTextLeft"/>
            </w:pPr>
            <w:r w:rsidRPr="00027624">
              <w:t>Corneo et. al.</w:t>
            </w:r>
            <w:r w:rsidRPr="00027624">
              <w:fldChar w:fldCharType="begin"/>
            </w:r>
            <w:r w:rsidRPr="00027624">
              <w:instrText xml:space="preserve">CITATION Gia15 \n  \t  \l 3081 </w:instrText>
            </w:r>
            <w:r w:rsidRPr="00027624">
              <w:fldChar w:fldCharType="separate"/>
            </w:r>
            <w:r w:rsidR="00E83F6E">
              <w:rPr>
                <w:noProof/>
              </w:rPr>
              <w:t xml:space="preserve"> (2015)</w:t>
            </w:r>
            <w:r w:rsidRPr="00027624">
              <w:fldChar w:fldCharType="end"/>
            </w:r>
          </w:p>
        </w:tc>
        <w:tc>
          <w:tcPr>
            <w:tcW w:w="3520" w:type="pct"/>
          </w:tcPr>
          <w:p w14:paraId="6289CD35" w14:textId="77777777" w:rsidR="002A2FAE" w:rsidRPr="00027624" w:rsidRDefault="002A2FAE" w:rsidP="002A2FAE">
            <w:pPr>
              <w:pStyle w:val="TableTextLeft"/>
            </w:pPr>
            <w:r w:rsidRPr="00027624">
              <w:t xml:space="preserve">High wealth households in Germany are much more likely to benefit from private pension subsidies. </w:t>
            </w:r>
          </w:p>
        </w:tc>
      </w:tr>
      <w:tr w:rsidR="002A2FAE" w:rsidRPr="00027624" w14:paraId="5123D285" w14:textId="77777777" w:rsidTr="002A2FAE">
        <w:tc>
          <w:tcPr>
            <w:tcW w:w="1480" w:type="pct"/>
          </w:tcPr>
          <w:p w14:paraId="1650B2A0" w14:textId="77777777" w:rsidR="002A2FAE" w:rsidRPr="00027624" w:rsidRDefault="002A2FAE" w:rsidP="002A2FAE">
            <w:pPr>
              <w:pStyle w:val="TableTextLeft"/>
            </w:pPr>
            <w:r w:rsidRPr="00027624">
              <w:t>Paiella and Tiseno</w:t>
            </w:r>
            <w:r w:rsidRPr="00027624">
              <w:fldChar w:fldCharType="begin"/>
            </w:r>
            <w:r w:rsidRPr="00027624">
              <w:instrText xml:space="preserve">CITATION Mon14 \n  \t  \l 3081 </w:instrText>
            </w:r>
            <w:r w:rsidRPr="00027624">
              <w:fldChar w:fldCharType="separate"/>
            </w:r>
            <w:r w:rsidR="00E83F6E">
              <w:rPr>
                <w:noProof/>
              </w:rPr>
              <w:t xml:space="preserve"> (2014)</w:t>
            </w:r>
            <w:r w:rsidRPr="00027624">
              <w:fldChar w:fldCharType="end"/>
            </w:r>
          </w:p>
        </w:tc>
        <w:tc>
          <w:tcPr>
            <w:tcW w:w="3520" w:type="pct"/>
          </w:tcPr>
          <w:p w14:paraId="30E15FC5" w14:textId="77777777" w:rsidR="002A2FAE" w:rsidRPr="00027624" w:rsidRDefault="002A2FAE" w:rsidP="002A2FAE">
            <w:pPr>
              <w:pStyle w:val="TableTextLeft"/>
            </w:pPr>
            <w:r w:rsidRPr="00027624">
              <w:t>Increases in tax incentives in Italy have little, if any, effect on overall household savings.</w:t>
            </w:r>
          </w:p>
        </w:tc>
      </w:tr>
    </w:tbl>
    <w:p w14:paraId="66501CDE" w14:textId="77777777" w:rsidR="002A2FAE" w:rsidRPr="00027624" w:rsidRDefault="002A2FAE" w:rsidP="00AD6771">
      <w:pPr>
        <w:pStyle w:val="SingleParagraph"/>
      </w:pPr>
    </w:p>
    <w:p w14:paraId="2A7067B6" w14:textId="3CD59A59" w:rsidR="002A2FAE" w:rsidRPr="00027624" w:rsidRDefault="002A2FAE" w:rsidP="002A2FAE">
      <w:r w:rsidRPr="00027624">
        <w:rPr>
          <w:b/>
          <w:bCs/>
        </w:rPr>
        <w:t>T</w:t>
      </w:r>
      <w:r w:rsidRPr="00027624">
        <w:rPr>
          <w:b/>
        </w:rPr>
        <w:t>ax incentives have a limited effect on the decision to salary sacrifice</w:t>
      </w:r>
      <w:r w:rsidRPr="00027624">
        <w:fldChar w:fldCharType="begin"/>
      </w:r>
      <w:r w:rsidRPr="00027624">
        <w:instrText xml:space="preserve">CITATION Fen14 \l 3081 </w:instrText>
      </w:r>
      <w:r w:rsidRPr="00027624">
        <w:fldChar w:fldCharType="separate"/>
      </w:r>
      <w:r w:rsidR="00E83F6E">
        <w:rPr>
          <w:noProof/>
        </w:rPr>
        <w:t xml:space="preserve"> (Feng, 2014)</w:t>
      </w:r>
      <w:r w:rsidRPr="00027624">
        <w:fldChar w:fldCharType="end"/>
      </w:r>
      <w:r w:rsidRPr="00027624">
        <w:t xml:space="preserve">. </w:t>
      </w:r>
      <w:r w:rsidRPr="00027624" w:rsidDel="001E53A6">
        <w:t>I</w:t>
      </w:r>
      <w:r w:rsidRPr="00027624">
        <w:t xml:space="preserve">f tax incentives provided a strong incentive to make voluntary superannuation contributions, salary sacrifice would </w:t>
      </w:r>
      <w:r w:rsidRPr="00027624">
        <w:lastRenderedPageBreak/>
        <w:t xml:space="preserve">be expected to </w:t>
      </w:r>
      <w:r w:rsidR="00A8443E" w:rsidRPr="00027624">
        <w:t>‘</w:t>
      </w:r>
      <w:r w:rsidRPr="00027624">
        <w:t>step up</w:t>
      </w:r>
      <w:r w:rsidR="00A8443E" w:rsidRPr="00027624">
        <w:t>’</w:t>
      </w:r>
      <w:r w:rsidRPr="00027624">
        <w:t xml:space="preserve"> at each of the marginal tax rate thresholds (and among all age groups) where people get the largest tax benefit from making salary sacrifice contributions. In fact, although salary sacrifice rates increase with income, they do not jump at the marginal tax rate thresholds</w:t>
      </w:r>
      <w:r w:rsidRPr="00027624">
        <w:fldChar w:fldCharType="begin"/>
      </w:r>
      <w:r w:rsidRPr="00027624">
        <w:instrText xml:space="preserve">CITATION Fen14 \p 65 \l 3081 </w:instrText>
      </w:r>
      <w:r w:rsidRPr="00027624">
        <w:fldChar w:fldCharType="separate"/>
      </w:r>
      <w:r w:rsidR="00E83F6E">
        <w:rPr>
          <w:noProof/>
        </w:rPr>
        <w:t xml:space="preserve"> (Feng, 2014, p. 65)</w:t>
      </w:r>
      <w:r w:rsidRPr="00027624">
        <w:fldChar w:fldCharType="end"/>
      </w:r>
      <w:r w:rsidRPr="00027624">
        <w:t>. More recent data confirms this result (</w:t>
      </w:r>
      <w:r w:rsidRPr="00027624">
        <w:fldChar w:fldCharType="begin"/>
      </w:r>
      <w:r w:rsidRPr="00027624">
        <w:instrText xml:space="preserve"> REF _Ref38978358 \r \h  \* MERGEFORMAT </w:instrText>
      </w:r>
      <w:r w:rsidRPr="00027624">
        <w:fldChar w:fldCharType="separate"/>
      </w:r>
      <w:r w:rsidR="00891058">
        <w:t>Chart 5A-3</w:t>
      </w:r>
      <w:r w:rsidRPr="00027624">
        <w:fldChar w:fldCharType="end"/>
      </w:r>
      <w:r w:rsidRPr="00027624">
        <w:t>).</w:t>
      </w:r>
      <w:r w:rsidRPr="00027624">
        <w:rPr>
          <w:rStyle w:val="FootnoteReference"/>
        </w:rPr>
        <w:footnoteReference w:id="279"/>
      </w:r>
    </w:p>
    <w:p w14:paraId="35477CA5" w14:textId="77777777" w:rsidR="002A2FAE" w:rsidRPr="00027624" w:rsidRDefault="002A2FAE" w:rsidP="002A2FAE">
      <w:pPr>
        <w:pStyle w:val="ChartMainHeading"/>
      </w:pPr>
      <w:bookmarkStart w:id="4118" w:name="_Ref38978358"/>
      <w:r w:rsidRPr="00027624">
        <w:t>Concessional voluntary superannuation contribution rates by income intervals and age, per $1,000</w:t>
      </w:r>
      <w:bookmarkEnd w:id="4118"/>
    </w:p>
    <w:p w14:paraId="1285A361" w14:textId="77777777" w:rsidR="002A2FAE" w:rsidRPr="00027624" w:rsidRDefault="007B3559" w:rsidP="002A2FAE">
      <w:pPr>
        <w:pStyle w:val="ChartGraphic"/>
      </w:pPr>
      <w:r>
        <w:rPr>
          <w:noProof/>
        </w:rPr>
        <w:drawing>
          <wp:inline distT="0" distB="0" distL="0" distR="0" wp14:anchorId="4B2A97A7" wp14:editId="3C08CA0B">
            <wp:extent cx="5562600" cy="2880360"/>
            <wp:effectExtent l="0" t="0" r="0" b="0"/>
            <wp:docPr id="45" name="Picture 45" descr="This chart shows how concessional voluntary superannuation contributions vary by income and age. Those aged 55-64 make significantly more voluntary concessional contributions than those under 55. The amount contributed increases with total income. The chart compares the amount contributed with the marginal tax rate thresholds, and there are no large increases in contribution rates at the marginal tax rate thresholds." title="Chart 5A-3 Concessional voluntary superannuation contribution rates by income intervals and age, per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62600" cy="2880360"/>
                    </a:xfrm>
                    <a:prstGeom prst="rect">
                      <a:avLst/>
                    </a:prstGeom>
                    <a:noFill/>
                  </pic:spPr>
                </pic:pic>
              </a:graphicData>
            </a:graphic>
          </wp:inline>
        </w:drawing>
      </w:r>
    </w:p>
    <w:p w14:paraId="2BD9871F" w14:textId="77777777" w:rsidR="002A2FAE" w:rsidRPr="00027624" w:rsidRDefault="002A2FAE" w:rsidP="002A2FAE">
      <w:pPr>
        <w:pStyle w:val="ChartorTableNote"/>
      </w:pPr>
      <w:r w:rsidRPr="00027624">
        <w:t>Source:</w:t>
      </w:r>
      <w:r w:rsidRPr="00027624">
        <w:fldChar w:fldCharType="begin"/>
      </w:r>
      <w:r w:rsidRPr="00027624">
        <w:instrText xml:space="preserve"> CITATION Fen14 \l 3081 </w:instrText>
      </w:r>
      <w:r w:rsidRPr="00027624">
        <w:fldChar w:fldCharType="separate"/>
      </w:r>
      <w:r w:rsidR="00E83F6E">
        <w:rPr>
          <w:noProof/>
        </w:rPr>
        <w:t xml:space="preserve"> (Feng, 2014)</w:t>
      </w:r>
      <w:r w:rsidRPr="00027624">
        <w:fldChar w:fldCharType="end"/>
      </w:r>
      <w:r w:rsidRPr="00027624">
        <w:t xml:space="preserve"> updated using ATO individual income tax returns and member contributions statements, 2017</w:t>
      </w:r>
      <w:r w:rsidR="00A8443E" w:rsidRPr="00027624">
        <w:noBreakHyphen/>
      </w:r>
      <w:r w:rsidRPr="00027624">
        <w:t>18.</w:t>
      </w:r>
    </w:p>
    <w:p w14:paraId="532183A8" w14:textId="32C2C7CC" w:rsidR="002A2FAE" w:rsidRPr="00027624" w:rsidRDefault="002A2FAE" w:rsidP="002A2FAE">
      <w:r w:rsidRPr="00027624">
        <w:rPr>
          <w:b/>
        </w:rPr>
        <w:t>Similarly, the Division 293 tax has no impact on overall savings</w:t>
      </w:r>
      <w:r w:rsidRPr="00027624">
        <w:fldChar w:fldCharType="begin"/>
      </w:r>
      <w:r w:rsidRPr="00027624">
        <w:instrText xml:space="preserve">CITATION Rut201 \l 3081 </w:instrText>
      </w:r>
      <w:r w:rsidRPr="00027624">
        <w:fldChar w:fldCharType="separate"/>
      </w:r>
      <w:r w:rsidR="00E83F6E">
        <w:rPr>
          <w:noProof/>
        </w:rPr>
        <w:t xml:space="preserve"> (Ruthbah &amp; Pham, 2020b)</w:t>
      </w:r>
      <w:r w:rsidRPr="00027624">
        <w:fldChar w:fldCharType="end"/>
      </w:r>
      <w:r w:rsidRPr="00027624">
        <w:t>, suggesting either the tax rate is still concessional for very high</w:t>
      </w:r>
      <w:r w:rsidR="00A8443E" w:rsidRPr="00027624">
        <w:noBreakHyphen/>
      </w:r>
      <w:r w:rsidRPr="00027624">
        <w:t>income earners and superannuation remains an attractive savings vehicle, and/or tax concessions have limited impact on very high</w:t>
      </w:r>
      <w:r w:rsidR="00A8443E" w:rsidRPr="00027624">
        <w:noBreakHyphen/>
      </w:r>
      <w:r w:rsidRPr="00027624">
        <w:t>income earners</w:t>
      </w:r>
      <w:r w:rsidR="00A8443E" w:rsidRPr="00027624">
        <w:t>’</w:t>
      </w:r>
      <w:r w:rsidRPr="00027624">
        <w:t xml:space="preserve"> decisions to save (</w:t>
      </w:r>
      <w:r w:rsidRPr="00027624">
        <w:fldChar w:fldCharType="begin"/>
      </w:r>
      <w:r w:rsidRPr="00027624">
        <w:instrText xml:space="preserve"> REF _Ref42284307 \r \h  \* MERGEFORMAT </w:instrText>
      </w:r>
      <w:r w:rsidRPr="00027624">
        <w:fldChar w:fldCharType="separate"/>
      </w:r>
      <w:r w:rsidR="00891058">
        <w:t>Table 5A-1</w:t>
      </w:r>
      <w:r w:rsidRPr="00027624">
        <w:fldChar w:fldCharType="end"/>
      </w:r>
      <w:r w:rsidRPr="00027624">
        <w:t>).</w:t>
      </w:r>
    </w:p>
    <w:p w14:paraId="47C4A43D" w14:textId="77777777" w:rsidR="002A2FAE" w:rsidRPr="00027624" w:rsidRDefault="002A2FAE" w:rsidP="002A2FAE">
      <w:pPr>
        <w:rPr>
          <w:rStyle w:val="normaltextrun"/>
        </w:rPr>
      </w:pPr>
      <w:r w:rsidRPr="00027624">
        <w:t>The earnings tax exemption in the retirement phase is particularly unlikely to encourage additional savings. It primarily benefits people who earned higher incomes</w:t>
      </w:r>
      <w:r w:rsidRPr="00027624">
        <w:rPr>
          <w:rStyle w:val="FootnoteReference"/>
        </w:rPr>
        <w:footnoteReference w:id="280"/>
      </w:r>
      <w:r w:rsidRPr="00027624">
        <w:t xml:space="preserve"> over their lifetime (see Chart 3A</w:t>
      </w:r>
      <w:r w:rsidR="00A8443E" w:rsidRPr="00027624">
        <w:noBreakHyphen/>
      </w:r>
      <w:r w:rsidRPr="00027624">
        <w:t xml:space="preserve">11 in </w:t>
      </w:r>
      <w:r w:rsidRPr="00027624">
        <w:rPr>
          <w:i/>
        </w:rPr>
        <w:t>3A. Income and wealth distribution</w:t>
      </w:r>
      <w:r w:rsidRPr="00027624">
        <w:t>). T</w:t>
      </w:r>
      <w:r w:rsidRPr="00027624">
        <w:rPr>
          <w:rStyle w:val="normaltextrun"/>
          <w:rFonts w:cs="Calibri"/>
          <w:color w:val="000000"/>
          <w:szCs w:val="22"/>
          <w:shd w:val="clear" w:color="auto" w:fill="FFFFFF"/>
        </w:rPr>
        <w:t>ax incentives that benefit higher</w:t>
      </w:r>
      <w:r w:rsidR="00A8443E" w:rsidRPr="00027624">
        <w:rPr>
          <w:rStyle w:val="normaltextrun"/>
          <w:rFonts w:cs="Calibri"/>
          <w:color w:val="000000"/>
          <w:szCs w:val="22"/>
          <w:shd w:val="clear" w:color="auto" w:fill="FFFFFF"/>
        </w:rPr>
        <w:noBreakHyphen/>
      </w:r>
      <w:r w:rsidRPr="00027624">
        <w:rPr>
          <w:rStyle w:val="normaltextrun"/>
          <w:rFonts w:cs="Calibri"/>
          <w:color w:val="000000"/>
          <w:szCs w:val="22"/>
          <w:shd w:val="clear" w:color="auto" w:fill="FFFFFF"/>
        </w:rPr>
        <w:t xml:space="preserve">income earners are most likely to lead to portfolio reallocation, rather than new savings. Literature on tax salience suggests the most effective incentives are ones that affect </w:t>
      </w:r>
      <w:r w:rsidR="00D50CC0" w:rsidRPr="00027624">
        <w:rPr>
          <w:rStyle w:val="normaltextrun"/>
          <w:rFonts w:cs="Calibri"/>
          <w:color w:val="000000"/>
          <w:szCs w:val="22"/>
          <w:shd w:val="clear" w:color="auto" w:fill="FFFFFF"/>
        </w:rPr>
        <w:t>people</w:t>
      </w:r>
      <w:r w:rsidRPr="00027624">
        <w:rPr>
          <w:rStyle w:val="normaltextrun"/>
          <w:rFonts w:cs="Calibri"/>
          <w:color w:val="000000"/>
          <w:szCs w:val="22"/>
          <w:shd w:val="clear" w:color="auto" w:fill="FFFFFF"/>
        </w:rPr>
        <w:t xml:space="preserve"> immediately</w:t>
      </w:r>
      <w:r w:rsidRPr="00027624">
        <w:fldChar w:fldCharType="begin"/>
      </w:r>
      <w:r w:rsidRPr="00027624">
        <w:instrText xml:space="preserve"> CITATION Che11 \l 3081 </w:instrText>
      </w:r>
      <w:r w:rsidRPr="00027624">
        <w:fldChar w:fldCharType="separate"/>
      </w:r>
      <w:r w:rsidR="00E83F6E">
        <w:rPr>
          <w:noProof/>
        </w:rPr>
        <w:t xml:space="preserve"> (Chetty, 2011)</w:t>
      </w:r>
      <w:r w:rsidRPr="00027624">
        <w:fldChar w:fldCharType="end"/>
      </w:r>
      <w:r w:rsidRPr="00027624">
        <w:t xml:space="preserve">. As </w:t>
      </w:r>
      <w:r w:rsidRPr="00027624">
        <w:rPr>
          <w:rStyle w:val="normaltextrun"/>
          <w:rFonts w:cs="Calibri"/>
          <w:color w:val="000000"/>
          <w:szCs w:val="22"/>
          <w:shd w:val="clear" w:color="auto" w:fill="FFFFFF"/>
        </w:rPr>
        <w:t xml:space="preserve">the benefit of the exemption occurs in retirement, it is less likely to </w:t>
      </w:r>
      <w:r w:rsidRPr="00027624">
        <w:rPr>
          <w:rStyle w:val="normaltextrun"/>
          <w:rFonts w:cs="Calibri"/>
          <w:color w:val="000000"/>
          <w:shd w:val="clear" w:color="auto" w:fill="FFFFFF"/>
        </w:rPr>
        <w:t xml:space="preserve">influence </w:t>
      </w:r>
      <w:r w:rsidRPr="00027624">
        <w:rPr>
          <w:rStyle w:val="normaltextrun"/>
          <w:rFonts w:cs="Calibri"/>
          <w:color w:val="000000"/>
          <w:szCs w:val="22"/>
          <w:shd w:val="clear" w:color="auto" w:fill="FFFFFF"/>
        </w:rPr>
        <w:t xml:space="preserve">savings decisions made years earlier while people are working. </w:t>
      </w:r>
    </w:p>
    <w:p w14:paraId="5DDD9AB0" w14:textId="77777777" w:rsidR="002A2FAE" w:rsidRPr="00027624" w:rsidRDefault="002A2FAE" w:rsidP="002A2FAE">
      <w:r w:rsidRPr="00027624">
        <w:rPr>
          <w:b/>
        </w:rPr>
        <w:t>The strongest drivers of voluntary superannuation contributions are income and age</w:t>
      </w:r>
      <w:r w:rsidRPr="00027624">
        <w:t>, rather than tax concessions. Superannuation contributions trend with income</w:t>
      </w:r>
      <w:sdt>
        <w:sdtPr>
          <w:id w:val="1267579441"/>
          <w:citation/>
        </w:sdtPr>
        <w:sdtEndPr/>
        <w:sdtContent>
          <w:r w:rsidR="00B216E7">
            <w:fldChar w:fldCharType="begin"/>
          </w:r>
          <w:r w:rsidR="00B216E7">
            <w:instrText xml:space="preserve"> CITATION CEP18 \l 3081 </w:instrText>
          </w:r>
          <w:r w:rsidR="00B216E7">
            <w:fldChar w:fldCharType="separate"/>
          </w:r>
          <w:r w:rsidR="00E83F6E">
            <w:rPr>
              <w:noProof/>
            </w:rPr>
            <w:t xml:space="preserve"> (CEPAR, 2018a)</w:t>
          </w:r>
          <w:r w:rsidR="00B216E7">
            <w:fldChar w:fldCharType="end"/>
          </w:r>
        </w:sdtContent>
      </w:sdt>
      <w:r w:rsidRPr="00027624">
        <w:t>. One study found a 10 per cent increase in income lifted the likelihood of people making pre</w:t>
      </w:r>
      <w:r w:rsidR="00A8443E" w:rsidRPr="00027624">
        <w:noBreakHyphen/>
      </w:r>
      <w:r w:rsidRPr="00027624">
        <w:t>tax voluntary contributions by more than 1 per cent</w:t>
      </w:r>
      <w:r w:rsidRPr="00027624">
        <w:fldChar w:fldCharType="begin"/>
      </w:r>
      <w:r w:rsidRPr="00027624">
        <w:instrText xml:space="preserve">CITATION Fen18 \p "10, 13" \t  \l 3081 </w:instrText>
      </w:r>
      <w:r w:rsidRPr="00027624">
        <w:fldChar w:fldCharType="separate"/>
      </w:r>
      <w:r w:rsidR="00E83F6E">
        <w:rPr>
          <w:noProof/>
        </w:rPr>
        <w:t xml:space="preserve"> (Feng, 2018, pp. 10, 13)</w:t>
      </w:r>
      <w:r w:rsidRPr="00027624">
        <w:fldChar w:fldCharType="end"/>
      </w:r>
      <w:r w:rsidRPr="00027624">
        <w:t>. It also found savings were closely related to age, regardless of the type of savings, with the marginal effect higher for pre</w:t>
      </w:r>
      <w:r w:rsidR="00A8443E" w:rsidRPr="00027624">
        <w:noBreakHyphen/>
      </w:r>
      <w:r w:rsidRPr="00027624">
        <w:t>tax contributions than post</w:t>
      </w:r>
      <w:r w:rsidR="00A8443E" w:rsidRPr="00027624">
        <w:noBreakHyphen/>
      </w:r>
      <w:r w:rsidRPr="00027624">
        <w:t>tax contributions. Similarly, a recent study using Australian tax data found people in the top superannuation balance quartile rapidly increase their contributions before retirement</w:t>
      </w:r>
      <w:r w:rsidRPr="00027624">
        <w:fldChar w:fldCharType="begin"/>
      </w:r>
      <w:r w:rsidRPr="00027624">
        <w:instrText xml:space="preserve"> CITATION Pol \l 3081 </w:instrText>
      </w:r>
      <w:r w:rsidRPr="00027624">
        <w:fldChar w:fldCharType="separate"/>
      </w:r>
      <w:r w:rsidR="00E83F6E">
        <w:rPr>
          <w:noProof/>
        </w:rPr>
        <w:t xml:space="preserve"> (Polidano, et al., 2020)</w:t>
      </w:r>
      <w:r w:rsidRPr="00027624">
        <w:fldChar w:fldCharType="end"/>
      </w:r>
      <w:r w:rsidRPr="00027624">
        <w:t xml:space="preserve">. </w:t>
      </w:r>
    </w:p>
    <w:p w14:paraId="19844CAC" w14:textId="09653FFA" w:rsidR="002A2FAE" w:rsidRPr="00027624" w:rsidRDefault="002A2FAE" w:rsidP="002A2FAE">
      <w:r w:rsidRPr="00027624">
        <w:rPr>
          <w:b/>
        </w:rPr>
        <w:lastRenderedPageBreak/>
        <w:t>The main reason people do not make contributions to superannuation is because they cannot afford to do so.</w:t>
      </w:r>
      <w:r w:rsidRPr="00027624">
        <w:t xml:space="preserve"> BETA</w:t>
      </w:r>
      <w:sdt>
        <w:sdtPr>
          <w:id w:val="259273059"/>
          <w:citation/>
        </w:sdtPr>
        <w:sdtEndPr/>
        <w:sdtContent>
          <w:r w:rsidR="00B216E7">
            <w:fldChar w:fldCharType="begin"/>
          </w:r>
          <w:r w:rsidR="00B216E7">
            <w:instrText xml:space="preserve">CITATION BETng \n  \t  \l 3081 </w:instrText>
          </w:r>
          <w:r w:rsidR="00B216E7">
            <w:fldChar w:fldCharType="separate"/>
          </w:r>
          <w:r w:rsidR="00E83F6E">
            <w:rPr>
              <w:noProof/>
            </w:rPr>
            <w:t xml:space="preserve"> (Forthcoming)</w:t>
          </w:r>
          <w:r w:rsidR="00B216E7">
            <w:fldChar w:fldCharType="end"/>
          </w:r>
        </w:sdtContent>
      </w:sdt>
      <w:r w:rsidRPr="00027624">
        <w:t xml:space="preserve"> found 45 per cent of employees who do not make voluntary contributions say this is because they cannot afford to (</w:t>
      </w:r>
      <w:r w:rsidRPr="00027624">
        <w:fldChar w:fldCharType="begin"/>
      </w:r>
      <w:r w:rsidRPr="00027624">
        <w:instrText xml:space="preserve"> REF _Ref41050916 \r \h  \* MERGEFORMAT </w:instrText>
      </w:r>
      <w:r w:rsidRPr="00027624">
        <w:fldChar w:fldCharType="separate"/>
      </w:r>
      <w:r w:rsidR="00891058">
        <w:t>Chart 5A-4</w:t>
      </w:r>
      <w:r w:rsidRPr="00027624">
        <w:fldChar w:fldCharType="end"/>
      </w:r>
      <w:r w:rsidRPr="00027624">
        <w:t>). Survey data suggests this is particularly the case for lower</w:t>
      </w:r>
      <w:r w:rsidR="00A8443E" w:rsidRPr="00027624">
        <w:noBreakHyphen/>
      </w:r>
      <w:r w:rsidRPr="00027624">
        <w:t>income earners</w:t>
      </w:r>
      <w:r w:rsidRPr="00027624">
        <w:fldChar w:fldCharType="begin"/>
      </w:r>
      <w:r w:rsidRPr="00027624">
        <w:instrText>CITATION Fen18 \p 14 \t  \l 3081  \m Ral17</w:instrText>
      </w:r>
      <w:r w:rsidRPr="00027624">
        <w:fldChar w:fldCharType="separate"/>
      </w:r>
      <w:r w:rsidR="00E83F6E">
        <w:rPr>
          <w:noProof/>
        </w:rPr>
        <w:t xml:space="preserve"> (Feng, 2018, p. 14; Ralston &amp; Feng, 2017)</w:t>
      </w:r>
      <w:r w:rsidRPr="00027624">
        <w:fldChar w:fldCharType="end"/>
      </w:r>
      <w:r w:rsidRPr="00027624">
        <w:t>. Findings from</w:t>
      </w:r>
      <w:r w:rsidRPr="00027624">
        <w:rPr>
          <w:i/>
        </w:rPr>
        <w:t xml:space="preserve"> 2C. Maintaining living standards in retirement </w:t>
      </w:r>
      <w:r w:rsidRPr="00027624">
        <w:t>suggest that making voluntary contributions could contribute to some people, particularly those on lower incomes, having higher living standards in retirement than during working life.</w:t>
      </w:r>
    </w:p>
    <w:p w14:paraId="037E2A32" w14:textId="77777777" w:rsidR="002A2FAE" w:rsidRPr="00027624" w:rsidRDefault="002A2FAE" w:rsidP="002A2FAE">
      <w:pPr>
        <w:pStyle w:val="ChartMainHeading"/>
      </w:pPr>
      <w:bookmarkStart w:id="4119" w:name="_Ref35253864"/>
      <w:bookmarkStart w:id="4120" w:name="_Ref41050916"/>
      <w:r w:rsidRPr="00027624">
        <w:t>Employees</w:t>
      </w:r>
      <w:r w:rsidR="00A8443E" w:rsidRPr="00027624">
        <w:t>’</w:t>
      </w:r>
      <w:r w:rsidRPr="00027624">
        <w:t xml:space="preserve"> reasons for not making voluntary superannuation contributions</w:t>
      </w:r>
      <w:bookmarkEnd w:id="4119"/>
      <w:r w:rsidRPr="00027624">
        <w:t xml:space="preserve"> </w:t>
      </w:r>
      <w:bookmarkEnd w:id="4120"/>
    </w:p>
    <w:p w14:paraId="1A256D20" w14:textId="77777777" w:rsidR="002A2FAE" w:rsidRPr="00027624" w:rsidRDefault="00455951" w:rsidP="002A2FAE">
      <w:pPr>
        <w:pStyle w:val="ChartGraphic"/>
      </w:pPr>
      <w:r>
        <w:rPr>
          <w:noProof/>
        </w:rPr>
        <w:drawing>
          <wp:inline distT="0" distB="0" distL="0" distR="0" wp14:anchorId="383BE2CF" wp14:editId="6C78FEBB">
            <wp:extent cx="5577840" cy="2522220"/>
            <wp:effectExtent l="0" t="0" r="3810" b="0"/>
            <wp:docPr id="46" name="Picture 46" descr="This chart shows the main reason people do not make voluntary contributions to their superannuation is they ‘can’t afford to’. The next most common reasons were they ‘save outside superannuation’, they ‘haven’t thought about it’, and ‘do not need to’, respectively. " title="Chart 5A-4 Employees’ reasons for not making voluntary superannuation contrib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8D81781" w14:textId="77777777" w:rsidR="002A2FAE" w:rsidRPr="00027624" w:rsidRDefault="002A2FAE" w:rsidP="002A2FAE">
      <w:pPr>
        <w:pStyle w:val="ChartorTableNote"/>
      </w:pPr>
      <w:r w:rsidRPr="00027624">
        <w:t>Note: Based on 2020 survey data. Source:</w:t>
      </w:r>
      <w:sdt>
        <w:sdtPr>
          <w:id w:val="-1439521594"/>
          <w:citation/>
        </w:sdtPr>
        <w:sdtEndPr/>
        <w:sdtContent>
          <w:r w:rsidR="00C2586A" w:rsidRPr="00027624">
            <w:fldChar w:fldCharType="begin"/>
          </w:r>
          <w:r w:rsidR="00C2586A">
            <w:instrText xml:space="preserve">CITATION BETng \l 3081 </w:instrText>
          </w:r>
          <w:r w:rsidR="00C2586A" w:rsidRPr="00027624">
            <w:fldChar w:fldCharType="separate"/>
          </w:r>
          <w:r w:rsidR="00E83F6E">
            <w:rPr>
              <w:noProof/>
            </w:rPr>
            <w:t xml:space="preserve"> (BETA, Forthcoming)</w:t>
          </w:r>
          <w:r w:rsidR="00C2586A" w:rsidRPr="00027624">
            <w:fldChar w:fldCharType="end"/>
          </w:r>
        </w:sdtContent>
      </w:sdt>
      <w:r w:rsidRPr="00027624">
        <w:t>.</w:t>
      </w:r>
    </w:p>
    <w:p w14:paraId="050A7028" w14:textId="77777777" w:rsidR="002A2FAE" w:rsidRPr="00027624" w:rsidRDefault="002A2FAE" w:rsidP="002A2FAE">
      <w:r w:rsidRPr="00027624">
        <w:t>Other reasons people do not make voluntary superannuation contributions include that they think they will have enough savings without making additional superannuation contributions, believe the SG or their spouse</w:t>
      </w:r>
      <w:r w:rsidR="00A8443E" w:rsidRPr="00027624">
        <w:t>’</w:t>
      </w:r>
      <w:r w:rsidRPr="00027624">
        <w:t>s superannuation is sufficient</w:t>
      </w:r>
      <w:r w:rsidRPr="00027624">
        <w:fldChar w:fldCharType="begin"/>
      </w:r>
      <w:r w:rsidRPr="00027624">
        <w:instrText xml:space="preserve">CITATION Fen18 \p 14-15 \t  \l 3081 </w:instrText>
      </w:r>
      <w:r w:rsidRPr="00027624">
        <w:fldChar w:fldCharType="separate"/>
      </w:r>
      <w:r w:rsidR="00E83F6E">
        <w:rPr>
          <w:noProof/>
        </w:rPr>
        <w:t xml:space="preserve"> (Feng, 2018, pp. 14-15)</w:t>
      </w:r>
      <w:r w:rsidRPr="00027624">
        <w:fldChar w:fldCharType="end"/>
      </w:r>
      <w:r w:rsidRPr="00027624">
        <w:t>, or are saving outside superannuation. A recent survey showed that, for people who do not make voluntary contributions, between 3</w:t>
      </w:r>
      <w:r w:rsidR="00A8443E" w:rsidRPr="00027624">
        <w:noBreakHyphen/>
      </w:r>
      <w:r w:rsidRPr="00027624">
        <w:t>6 per cent did not think they needed to make extra superannuation contributions, and 26</w:t>
      </w:r>
      <w:r w:rsidR="00A8443E" w:rsidRPr="00027624">
        <w:noBreakHyphen/>
      </w:r>
      <w:r w:rsidRPr="00027624">
        <w:t>35 per cent used savings vehicles other than superannuation for their extra savings</w:t>
      </w:r>
      <w:sdt>
        <w:sdtPr>
          <w:id w:val="209390667"/>
          <w:citation/>
        </w:sdtPr>
        <w:sdtEndPr/>
        <w:sdtContent>
          <w:r w:rsidR="00DA20E9" w:rsidRPr="00027624">
            <w:fldChar w:fldCharType="begin"/>
          </w:r>
          <w:r w:rsidR="00DA20E9">
            <w:instrText xml:space="preserve">CITATION BETng \l 3081 </w:instrText>
          </w:r>
          <w:r w:rsidR="00DA20E9" w:rsidRPr="00027624">
            <w:fldChar w:fldCharType="separate"/>
          </w:r>
          <w:r w:rsidR="00E83F6E">
            <w:rPr>
              <w:noProof/>
            </w:rPr>
            <w:t xml:space="preserve"> (BETA, Forthcoming)</w:t>
          </w:r>
          <w:r w:rsidR="00DA20E9" w:rsidRPr="00027624">
            <w:fldChar w:fldCharType="end"/>
          </w:r>
        </w:sdtContent>
      </w:sdt>
      <w:r w:rsidRPr="00027624">
        <w:t>. Self</w:t>
      </w:r>
      <w:r w:rsidR="00A8443E" w:rsidRPr="00027624">
        <w:noBreakHyphen/>
      </w:r>
      <w:r w:rsidRPr="00027624">
        <w:t>employed people were more likely to think they needed to save more and were more likely to save outside superannuation</w:t>
      </w:r>
      <w:sdt>
        <w:sdtPr>
          <w:id w:val="-346098959"/>
          <w:citation/>
        </w:sdtPr>
        <w:sdtEndPr/>
        <w:sdtContent>
          <w:r w:rsidR="00C2586A" w:rsidRPr="00027624">
            <w:fldChar w:fldCharType="begin"/>
          </w:r>
          <w:r w:rsidR="00C2586A">
            <w:instrText xml:space="preserve">CITATION BETng \l 3081 </w:instrText>
          </w:r>
          <w:r w:rsidR="00C2586A" w:rsidRPr="00027624">
            <w:fldChar w:fldCharType="separate"/>
          </w:r>
          <w:r w:rsidR="00E83F6E">
            <w:rPr>
              <w:noProof/>
            </w:rPr>
            <w:t xml:space="preserve"> (BETA, Forthcoming)</w:t>
          </w:r>
          <w:r w:rsidR="00C2586A" w:rsidRPr="00027624">
            <w:fldChar w:fldCharType="end"/>
          </w:r>
        </w:sdtContent>
      </w:sdt>
      <w:r w:rsidRPr="00027624">
        <w:t>.</w:t>
      </w:r>
    </w:p>
    <w:p w14:paraId="7C7D5C29" w14:textId="6E43F179" w:rsidR="002A2FAE" w:rsidRPr="00027624" w:rsidRDefault="002A2FAE" w:rsidP="002A2FAE">
      <w:r w:rsidRPr="00027624">
        <w:t xml:space="preserve">Almost a quarter of people who do not make voluntary contributions </w:t>
      </w:r>
      <w:r w:rsidR="00A8443E" w:rsidRPr="00027624">
        <w:t>‘</w:t>
      </w:r>
      <w:r w:rsidRPr="00027624">
        <w:t>haven</w:t>
      </w:r>
      <w:r w:rsidR="00A8443E" w:rsidRPr="00027624">
        <w:t>’</w:t>
      </w:r>
      <w:r w:rsidRPr="00027624">
        <w:t>t thought much about saving for retirement</w:t>
      </w:r>
      <w:r w:rsidR="00A8443E" w:rsidRPr="00027624">
        <w:t>’</w:t>
      </w:r>
      <w:sdt>
        <w:sdtPr>
          <w:id w:val="-1578433221"/>
          <w:citation/>
        </w:sdtPr>
        <w:sdtEndPr/>
        <w:sdtContent>
          <w:r w:rsidR="00C2586A" w:rsidRPr="00027624">
            <w:fldChar w:fldCharType="begin"/>
          </w:r>
          <w:r w:rsidR="00C2586A">
            <w:instrText xml:space="preserve">CITATION BETng \l 3081 </w:instrText>
          </w:r>
          <w:r w:rsidR="00C2586A" w:rsidRPr="00027624">
            <w:fldChar w:fldCharType="separate"/>
          </w:r>
          <w:r w:rsidR="00E83F6E">
            <w:rPr>
              <w:noProof/>
            </w:rPr>
            <w:t xml:space="preserve"> (BETA, Forthcoming)</w:t>
          </w:r>
          <w:r w:rsidR="00C2586A" w:rsidRPr="00027624">
            <w:fldChar w:fldCharType="end"/>
          </w:r>
        </w:sdtContent>
      </w:sdt>
      <w:r w:rsidRPr="00027624">
        <w:t>. People stick with default saving rates in retirement programs</w:t>
      </w:r>
      <w:r w:rsidRPr="00027624">
        <w:fldChar w:fldCharType="begin"/>
      </w:r>
      <w:r w:rsidRPr="00027624">
        <w:instrText xml:space="preserve">CITATION Sha12 \l 3081 </w:instrText>
      </w:r>
      <w:r w:rsidRPr="00027624">
        <w:fldChar w:fldCharType="separate"/>
      </w:r>
      <w:r w:rsidR="00E83F6E">
        <w:rPr>
          <w:noProof/>
        </w:rPr>
        <w:t xml:space="preserve"> (Shafir, 2012)</w:t>
      </w:r>
      <w:r w:rsidRPr="00027624">
        <w:fldChar w:fldCharType="end"/>
      </w:r>
      <w:r w:rsidRPr="00027624">
        <w:t>.</w:t>
      </w:r>
      <w:r w:rsidRPr="00027624">
        <w:rPr>
          <w:rFonts w:cs="Arial"/>
          <w:kern w:val="32"/>
          <w:vertAlign w:val="superscript"/>
        </w:rPr>
        <w:footnoteReference w:id="281"/>
      </w:r>
      <w:r w:rsidRPr="00027624">
        <w:t xml:space="preserve"> People may also disengage because the system is complex</w:t>
      </w:r>
      <w:r w:rsidRPr="00027624">
        <w:fldChar w:fldCharType="begin"/>
      </w:r>
      <w:r w:rsidRPr="00027624">
        <w:instrText xml:space="preserve">CITATION Fen18 \p 59 \m Raf18 \p 2 \l 3081 </w:instrText>
      </w:r>
      <w:r w:rsidRPr="00027624">
        <w:fldChar w:fldCharType="separate"/>
      </w:r>
      <w:r w:rsidR="00E83F6E">
        <w:rPr>
          <w:noProof/>
        </w:rPr>
        <w:t xml:space="preserve"> (Feng, 2018, p. 59; CEPAR, 2018b, p. 2)</w:t>
      </w:r>
      <w:r w:rsidRPr="00027624">
        <w:fldChar w:fldCharType="end"/>
      </w:r>
      <w:r w:rsidRPr="00027624">
        <w:t xml:space="preserve">. This is further discussed in </w:t>
      </w:r>
      <w:r w:rsidRPr="00027624">
        <w:rPr>
          <w:i/>
        </w:rPr>
        <w:fldChar w:fldCharType="begin"/>
      </w:r>
      <w:r w:rsidRPr="00027624">
        <w:rPr>
          <w:i/>
        </w:rPr>
        <w:instrText xml:space="preserve"> REF _Ref44421963 \h  \* MERGEFORMAT </w:instrText>
      </w:r>
      <w:r w:rsidRPr="00027624">
        <w:rPr>
          <w:i/>
        </w:rPr>
      </w:r>
      <w:r w:rsidRPr="00027624">
        <w:rPr>
          <w:i/>
        </w:rPr>
        <w:fldChar w:fldCharType="separate"/>
      </w:r>
      <w:r w:rsidR="00891058" w:rsidRPr="00891058">
        <w:rPr>
          <w:i/>
        </w:rPr>
        <w:t>Cohesiveness of the retirement phase</w:t>
      </w:r>
      <w:r w:rsidRPr="00027624">
        <w:rPr>
          <w:i/>
        </w:rPr>
        <w:fldChar w:fldCharType="end"/>
      </w:r>
      <w:r w:rsidRPr="00027624">
        <w:t xml:space="preserve"> below. </w:t>
      </w:r>
    </w:p>
    <w:p w14:paraId="7045827C" w14:textId="77777777" w:rsidR="002A2FAE" w:rsidRPr="00027624" w:rsidRDefault="002A2FAE" w:rsidP="002A2FAE">
      <w:r w:rsidRPr="00027624">
        <w:t>Tax concessions can only be an effective incentive to make additional superannuation contributions if people know about them. Survey data suggests around 21 per cent of self</w:t>
      </w:r>
      <w:r w:rsidR="00A8443E" w:rsidRPr="00027624">
        <w:noBreakHyphen/>
      </w:r>
      <w:r w:rsidRPr="00027624">
        <w:t>employed people and 23 per cent of employees are not aware of superannuation tax concessions</w:t>
      </w:r>
      <w:sdt>
        <w:sdtPr>
          <w:id w:val="860319449"/>
          <w:citation/>
        </w:sdtPr>
        <w:sdtEndPr/>
        <w:sdtContent>
          <w:r w:rsidR="00C2586A" w:rsidRPr="00027624">
            <w:fldChar w:fldCharType="begin"/>
          </w:r>
          <w:r w:rsidR="00C2586A">
            <w:instrText xml:space="preserve">CITATION BETng \l 3081 </w:instrText>
          </w:r>
          <w:r w:rsidR="00C2586A" w:rsidRPr="00027624">
            <w:fldChar w:fldCharType="separate"/>
          </w:r>
          <w:r w:rsidR="00E83F6E">
            <w:rPr>
              <w:noProof/>
            </w:rPr>
            <w:t xml:space="preserve"> (BETA, Forthcoming)</w:t>
          </w:r>
          <w:r w:rsidR="00C2586A" w:rsidRPr="00027624">
            <w:fldChar w:fldCharType="end"/>
          </w:r>
        </w:sdtContent>
      </w:sdt>
      <w:r w:rsidRPr="00027624">
        <w:t xml:space="preserve">. </w:t>
      </w:r>
    </w:p>
    <w:p w14:paraId="35ABB6F9" w14:textId="77777777" w:rsidR="002A2FAE" w:rsidRPr="00027624" w:rsidRDefault="002A2FAE" w:rsidP="002A2FAE">
      <w:pPr>
        <w:pStyle w:val="Heading4"/>
      </w:pPr>
      <w:r w:rsidRPr="00027624">
        <w:t>Government co</w:t>
      </w:r>
      <w:r w:rsidR="00A8443E" w:rsidRPr="00027624">
        <w:noBreakHyphen/>
      </w:r>
      <w:r w:rsidRPr="00027624">
        <w:t>contributions to superannuation</w:t>
      </w:r>
    </w:p>
    <w:p w14:paraId="179745E7" w14:textId="77777777" w:rsidR="002A2FAE" w:rsidRPr="00027624" w:rsidRDefault="002A2FAE" w:rsidP="002A2FAE">
      <w:r w:rsidRPr="00027624">
        <w:rPr>
          <w:b/>
        </w:rPr>
        <w:t>Government co</w:t>
      </w:r>
      <w:r w:rsidR="00A8443E" w:rsidRPr="00027624">
        <w:rPr>
          <w:b/>
        </w:rPr>
        <w:noBreakHyphen/>
      </w:r>
      <w:r w:rsidRPr="00027624">
        <w:rPr>
          <w:b/>
        </w:rPr>
        <w:t>contributions have a limited impact on superannuation contribution rates</w:t>
      </w:r>
      <w:r w:rsidRPr="00027624">
        <w:t>. Eligible people in lower</w:t>
      </w:r>
      <w:r w:rsidR="00262E42" w:rsidRPr="00027624">
        <w:t xml:space="preserve"> </w:t>
      </w:r>
      <w:r w:rsidRPr="00027624">
        <w:t>income ranges do not contribute more than those who are ineligible</w:t>
      </w:r>
      <w:r w:rsidRPr="00027624">
        <w:fldChar w:fldCharType="begin"/>
      </w:r>
      <w:r w:rsidRPr="00027624">
        <w:instrText xml:space="preserve">CITATION Fen18 \p 10 \t  \l 3081 </w:instrText>
      </w:r>
      <w:r w:rsidRPr="00027624">
        <w:fldChar w:fldCharType="separate"/>
      </w:r>
      <w:r w:rsidR="00E83F6E">
        <w:rPr>
          <w:noProof/>
        </w:rPr>
        <w:t xml:space="preserve"> (Feng, 2018, p. 10)</w:t>
      </w:r>
      <w:r w:rsidRPr="00027624">
        <w:fldChar w:fldCharType="end"/>
      </w:r>
      <w:r w:rsidRPr="00027624">
        <w:t>. Research found a government co</w:t>
      </w:r>
      <w:r w:rsidR="00A8443E" w:rsidRPr="00027624">
        <w:noBreakHyphen/>
      </w:r>
      <w:r w:rsidRPr="00027624">
        <w:t>contribution of $1 increased total savings by 23 cents</w:t>
      </w:r>
      <w:sdt>
        <w:sdtPr>
          <w:id w:val="-878249720"/>
          <w:citation/>
        </w:sdtPr>
        <w:sdtEndPr/>
        <w:sdtContent>
          <w:r w:rsidRPr="00027624">
            <w:fldChar w:fldCharType="begin"/>
          </w:r>
          <w:r w:rsidRPr="00027624">
            <w:instrText xml:space="preserve"> CITATION Kri20 \l 3081 </w:instrText>
          </w:r>
          <w:r w:rsidRPr="00027624">
            <w:fldChar w:fldCharType="separate"/>
          </w:r>
          <w:r w:rsidR="00E83F6E">
            <w:rPr>
              <w:noProof/>
            </w:rPr>
            <w:t xml:space="preserve"> (Sobeck &amp; Breunig, 2020)</w:t>
          </w:r>
          <w:r w:rsidRPr="00027624">
            <w:fldChar w:fldCharType="end"/>
          </w:r>
        </w:sdtContent>
      </w:sdt>
      <w:r w:rsidRPr="00027624">
        <w:t xml:space="preserve">. Another study, using a different dataset and methodology, found that increases to </w:t>
      </w:r>
      <w:r w:rsidRPr="00027624">
        <w:lastRenderedPageBreak/>
        <w:t>the Government co</w:t>
      </w:r>
      <w:r w:rsidR="00A8443E" w:rsidRPr="00027624">
        <w:noBreakHyphen/>
      </w:r>
      <w:r w:rsidRPr="00027624">
        <w:t>contribution cap had a very small positive impact on household saving</w:t>
      </w:r>
      <w:r w:rsidRPr="00027624">
        <w:fldChar w:fldCharType="begin"/>
      </w:r>
      <w:r w:rsidRPr="00027624">
        <w:instrText xml:space="preserve">CITATION Rut201 \t  \l 3081 </w:instrText>
      </w:r>
      <w:r w:rsidRPr="00027624">
        <w:fldChar w:fldCharType="separate"/>
      </w:r>
      <w:r w:rsidR="00E83F6E">
        <w:rPr>
          <w:noProof/>
        </w:rPr>
        <w:t xml:space="preserve"> (Ruthbah &amp; Pham, 2020b)</w:t>
      </w:r>
      <w:r w:rsidRPr="00027624">
        <w:fldChar w:fldCharType="end"/>
      </w:r>
      <w:r w:rsidRPr="00027624">
        <w:t xml:space="preserve">. </w:t>
      </w:r>
    </w:p>
    <w:p w14:paraId="2161616C" w14:textId="77777777" w:rsidR="002A2FAE" w:rsidRPr="00027624" w:rsidRDefault="002A2FAE" w:rsidP="002A2FAE">
      <w:pPr>
        <w:pStyle w:val="Heading4"/>
        <w:rPr>
          <w:rFonts w:eastAsiaTheme="majorEastAsia"/>
        </w:rPr>
      </w:pPr>
      <w:r w:rsidRPr="00027624">
        <w:rPr>
          <w:rFonts w:eastAsiaTheme="majorEastAsia"/>
        </w:rPr>
        <w:t>The Age Pension means test</w:t>
      </w:r>
    </w:p>
    <w:p w14:paraId="2FE3300C" w14:textId="77777777" w:rsidR="002A2FAE" w:rsidRPr="00027624" w:rsidRDefault="002A2FAE" w:rsidP="002A2FAE">
      <w:r w:rsidRPr="00027624">
        <w:t>The Age Pension means test is designed to ensure Government support is targeted to people in need by reducing a person</w:t>
      </w:r>
      <w:r w:rsidR="00A8443E" w:rsidRPr="00027624">
        <w:t>’</w:t>
      </w:r>
      <w:r w:rsidRPr="00027624">
        <w:t>s rate of Age Pension payable as their means increase. The current assets test taper reduces at a rate that</w:t>
      </w:r>
      <w:r w:rsidRPr="00027624">
        <w:rPr>
          <w:rStyle w:val="CommentReference"/>
        </w:rPr>
        <w:t xml:space="preserve"> </w:t>
      </w:r>
      <w:r w:rsidRPr="00027624">
        <w:t>generates high effective marginal tax rates for middle</w:t>
      </w:r>
      <w:r w:rsidR="00A8443E" w:rsidRPr="00027624">
        <w:noBreakHyphen/>
      </w:r>
      <w:r w:rsidRPr="00027624">
        <w:t>income earners.</w:t>
      </w:r>
    </w:p>
    <w:p w14:paraId="39B6FE99" w14:textId="1EB69506" w:rsidR="002A2FAE" w:rsidRPr="00027624" w:rsidRDefault="002A2FAE" w:rsidP="002A2FAE">
      <w:r w:rsidRPr="00027624">
        <w:t>The impact of the assets test on retirement savings can most clearly be seen by modelling the effect of salary sacrificing $1,000 in the year directly before retirement for people from different income percentiles (</w:t>
      </w:r>
      <w:r w:rsidRPr="00027624">
        <w:fldChar w:fldCharType="begin"/>
      </w:r>
      <w:r w:rsidRPr="00027624">
        <w:instrText xml:space="preserve"> REF _Ref36025507 \r \h  \* MERGEFORMAT </w:instrText>
      </w:r>
      <w:r w:rsidRPr="00027624">
        <w:fldChar w:fldCharType="separate"/>
      </w:r>
      <w:r w:rsidR="00891058">
        <w:t>Chart 5A-5</w:t>
      </w:r>
      <w:r w:rsidRPr="00027624">
        <w:fldChar w:fldCharType="end"/>
      </w:r>
      <w:r w:rsidRPr="00027624">
        <w:t>). The model compares the additional income a person would get in retirement with their reduction in disposable income pre</w:t>
      </w:r>
      <w:r w:rsidR="00A8443E" w:rsidRPr="00027624">
        <w:noBreakHyphen/>
      </w:r>
      <w:r w:rsidRPr="00027624">
        <w:t>retirement. For a median earner, retirement income only increases by around one</w:t>
      </w:r>
      <w:r w:rsidR="00A8443E" w:rsidRPr="00027624">
        <w:noBreakHyphen/>
      </w:r>
      <w:r w:rsidRPr="00027624">
        <w:t xml:space="preserve">third of the disposable income they gave up, mostly due to the impact of the Age Pension means test. </w:t>
      </w:r>
    </w:p>
    <w:p w14:paraId="3C51FCF0" w14:textId="77777777" w:rsidR="002A2FAE" w:rsidRPr="00027624" w:rsidRDefault="002A2FAE" w:rsidP="002A2FAE">
      <w:pPr>
        <w:pStyle w:val="ChartMainHeading"/>
        <w:rPr>
          <w:rFonts w:eastAsiaTheme="minorEastAsia"/>
        </w:rPr>
      </w:pPr>
      <w:bookmarkStart w:id="4121" w:name="_Ref36025507"/>
      <w:r w:rsidRPr="00027624">
        <w:t>Effect of saving an extra $1,000 immediately before retirement, by income percentile</w:t>
      </w:r>
      <w:bookmarkEnd w:id="4121"/>
    </w:p>
    <w:p w14:paraId="3061565C" w14:textId="77777777" w:rsidR="002A2FAE" w:rsidRPr="00027624" w:rsidRDefault="00455951" w:rsidP="002A2FAE">
      <w:pPr>
        <w:pStyle w:val="ChartGraphic"/>
        <w:rPr>
          <w:rFonts w:eastAsiaTheme="minorEastAsia"/>
        </w:rPr>
      </w:pPr>
      <w:r>
        <w:rPr>
          <w:rFonts w:eastAsiaTheme="minorEastAsia"/>
          <w:noProof/>
        </w:rPr>
        <w:drawing>
          <wp:inline distT="0" distB="0" distL="0" distR="0" wp14:anchorId="78D13C79" wp14:editId="0E09E792">
            <wp:extent cx="5585460" cy="2522220"/>
            <wp:effectExtent l="0" t="0" r="0" b="0"/>
            <wp:docPr id="55" name="Picture 55" descr="This chart shows the effect on total retirement income of saving an extra $1,000 immediately before retirement is strongest for the lower income percentiles and the higher income percentiles. The effect is smallest for the 40th income percentile, due to the impact of the Age Pension means test." title="Chart 5A- Effect of saving an extra $1,000 immediately before retirement,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213AD2BA" w14:textId="77777777" w:rsidR="002A2FAE" w:rsidRPr="00027624" w:rsidRDefault="002A2FAE" w:rsidP="002A2FAE">
      <w:pPr>
        <w:pStyle w:val="ChartorTableNote"/>
      </w:pPr>
      <w:r w:rsidRPr="00027624">
        <w:t>Note: The scenario assumes people salary sacrifice an additional $1,000 in the year before retirement. Superannuation is drawn down at an annuitised rate to life expectancy. The 10</w:t>
      </w:r>
      <w:r w:rsidRPr="00027624">
        <w:rPr>
          <w:vertAlign w:val="superscript"/>
        </w:rPr>
        <w:t>th</w:t>
      </w:r>
      <w:r w:rsidRPr="00027624">
        <w:t xml:space="preserve"> income percentile is excluded from this analysis due to low asset levels in superannuation and relatively low marginal propensity to save. The 90</w:t>
      </w:r>
      <w:r w:rsidRPr="00027624">
        <w:rPr>
          <w:vertAlign w:val="superscript"/>
        </w:rPr>
        <w:t>th</w:t>
      </w:r>
      <w:r w:rsidRPr="00027624">
        <w:t xml:space="preserve"> percentile is excluded because their projected balance is already over the transfer balance cap, and so cannot make post</w:t>
      </w:r>
      <w:r w:rsidR="00A8443E" w:rsidRPr="00027624">
        <w:noBreakHyphen/>
      </w:r>
      <w:r w:rsidRPr="00027624">
        <w:t>tax voluntary contributions. Contributions and earnings concessions are</w:t>
      </w:r>
      <w:r w:rsidRPr="00027624" w:rsidDel="00E96FF1">
        <w:t xml:space="preserve"> </w:t>
      </w:r>
      <w:r w:rsidRPr="00027624">
        <w:t>calculated as the difference between concessional and marginal tax rates. Government concessions are deflated by the long</w:t>
      </w:r>
      <w:r w:rsidR="00A8443E" w:rsidRPr="00027624">
        <w:noBreakHyphen/>
      </w:r>
      <w:r w:rsidRPr="00027624">
        <w:t>term Government bond rate. Net earnings are the change in lifetime superannuation draw downs, less change in total contributions tax and total initial capital outlay. Total retirement income and components are deflated by CPI. Source: Cameo modelling undertaken for the review.</w:t>
      </w:r>
    </w:p>
    <w:p w14:paraId="68B2F219" w14:textId="77777777" w:rsidR="002A2FAE" w:rsidRPr="00027624" w:rsidRDefault="002A2FAE">
      <w:r w:rsidRPr="00027624">
        <w:t>A number of submissions suggested the effect of high effective marginal tax rates on middle</w:t>
      </w:r>
      <w:r w:rsidR="00A8443E" w:rsidRPr="00027624">
        <w:noBreakHyphen/>
      </w:r>
      <w:r w:rsidRPr="00027624">
        <w:t>income earners is a disincentive to make additional superannuation savings.</w:t>
      </w:r>
      <w:r w:rsidRPr="00027624">
        <w:rPr>
          <w:rStyle w:val="FootnoteReference"/>
        </w:rPr>
        <w:t xml:space="preserve"> </w:t>
      </w:r>
      <w:r w:rsidRPr="00027624">
        <w:t>Submissions suggested that the assets test taper rate discourages people from continuing to save for retirement if they hold assets close to or just above the assets test free area.</w:t>
      </w:r>
      <w:r w:rsidRPr="00027624">
        <w:rPr>
          <w:rStyle w:val="FootnoteReference"/>
        </w:rPr>
        <w:footnoteReference w:id="282"/>
      </w:r>
      <w:r w:rsidRPr="00027624">
        <w:t xml:space="preserve"> Submissions also suggested people rearrange their income and assets to either gain access to the Age Pension or to increase the amount of Age Pension they receive. For example, this could be achieved by reducing the amount of assessable income and assets a person holds (e.g. increasing the value of their principal residence through home renovation). </w:t>
      </w:r>
    </w:p>
    <w:p w14:paraId="33FEA2B1" w14:textId="77777777" w:rsidR="002A2FAE" w:rsidRPr="00027624" w:rsidRDefault="002A2FAE" w:rsidP="002A2FAE">
      <w:r w:rsidRPr="00027624">
        <w:rPr>
          <w:b/>
        </w:rPr>
        <w:t>Evidence that the Age Pension means test affects savings behaviour prior to retirement is weak.</w:t>
      </w:r>
      <w:r w:rsidRPr="00027624">
        <w:t xml:space="preserve"> For the means test to affect savings behaviour, people need to be aware of and understand it. Survey research found that, when deciding how much to contribute to superannuation, people said tax concessions were a more important factor (22 per cent) than missing out on the Age Pension (8 per cent)</w:t>
      </w:r>
      <w:sdt>
        <w:sdtPr>
          <w:id w:val="-1856409503"/>
          <w:citation/>
        </w:sdtPr>
        <w:sdtEndPr/>
        <w:sdtContent>
          <w:r w:rsidR="00C2586A" w:rsidRPr="00027624">
            <w:fldChar w:fldCharType="begin"/>
          </w:r>
          <w:r w:rsidR="00C2586A">
            <w:instrText xml:space="preserve">CITATION BETng \l 3081 </w:instrText>
          </w:r>
          <w:r w:rsidR="00C2586A" w:rsidRPr="00027624">
            <w:fldChar w:fldCharType="separate"/>
          </w:r>
          <w:r w:rsidR="00E83F6E">
            <w:rPr>
              <w:noProof/>
            </w:rPr>
            <w:t xml:space="preserve"> (BETA, Forthcoming)</w:t>
          </w:r>
          <w:r w:rsidR="00C2586A" w:rsidRPr="00027624">
            <w:fldChar w:fldCharType="end"/>
          </w:r>
        </w:sdtContent>
      </w:sdt>
      <w:r w:rsidRPr="00027624">
        <w:t>.</w:t>
      </w:r>
    </w:p>
    <w:p w14:paraId="4AB43292" w14:textId="77777777" w:rsidR="002A2FAE" w:rsidRPr="00027624" w:rsidRDefault="002A2FAE" w:rsidP="002A2FAE">
      <w:r w:rsidRPr="00027624">
        <w:rPr>
          <w:bCs/>
        </w:rPr>
        <w:t>R</w:t>
      </w:r>
      <w:r w:rsidRPr="00027624">
        <w:t>ecent studies have examined whether the assets test taper rate has an impact on how people save pre</w:t>
      </w:r>
      <w:r w:rsidR="00A8443E" w:rsidRPr="00027624">
        <w:noBreakHyphen/>
      </w:r>
      <w:r w:rsidRPr="00027624">
        <w:t>retirement by analysing the changes to the taper rate in 2007 and 2017. In 2007, the assets test taper rate was lowered from $3 per fortnight for every $1,000 of assets above the threshold, to $1.50 per $1,000 of assets. This increased the value of assets a person could hold while remaining eligible for the Age Pension. In 2017, this policy was reversed, and the assets test returned to the previous rate of $3 per $1</w:t>
      </w:r>
      <w:r w:rsidR="007E4958" w:rsidRPr="00027624">
        <w:t>,</w:t>
      </w:r>
      <w:r w:rsidRPr="00027624">
        <w:t xml:space="preserve">000 (see </w:t>
      </w:r>
      <w:r w:rsidRPr="00027624">
        <w:rPr>
          <w:i/>
        </w:rPr>
        <w:t>1B. Design of Australia</w:t>
      </w:r>
      <w:r w:rsidR="00A8443E" w:rsidRPr="00027624">
        <w:rPr>
          <w:i/>
        </w:rPr>
        <w:t>’</w:t>
      </w:r>
      <w:r w:rsidRPr="00027624">
        <w:rPr>
          <w:i/>
        </w:rPr>
        <w:t>s retirement income system</w:t>
      </w:r>
      <w:r w:rsidRPr="00027624">
        <w:t>).</w:t>
      </w:r>
    </w:p>
    <w:p w14:paraId="7E04F5CF" w14:textId="77777777" w:rsidR="002A2FAE" w:rsidRPr="00027624" w:rsidRDefault="002A2FAE" w:rsidP="002A2FAE">
      <w:pPr>
        <w:rPr>
          <w:bCs/>
        </w:rPr>
      </w:pPr>
      <w:r w:rsidRPr="00027624">
        <w:t xml:space="preserve">The literature is not conclusive on the impact of the taper rate on savings behaviour. </w:t>
      </w:r>
      <w:r w:rsidRPr="00027624">
        <w:rPr>
          <w:bCs/>
        </w:rPr>
        <w:t>One study suggested the 2007 change may have resulted in the people subject to a lower taper rate saving more</w:t>
      </w:r>
      <w:r w:rsidRPr="00027624">
        <w:rPr>
          <w:bCs/>
        </w:rPr>
        <w:fldChar w:fldCharType="begin"/>
      </w:r>
      <w:r w:rsidRPr="00027624">
        <w:rPr>
          <w:bCs/>
        </w:rPr>
        <w:instrText xml:space="preserve"> CITATION Whe18 \l 3081 </w:instrText>
      </w:r>
      <w:r w:rsidRPr="00027624">
        <w:rPr>
          <w:bCs/>
        </w:rPr>
        <w:fldChar w:fldCharType="separate"/>
      </w:r>
      <w:r w:rsidR="00E83F6E">
        <w:rPr>
          <w:bCs/>
          <w:noProof/>
        </w:rPr>
        <w:t xml:space="preserve"> </w:t>
      </w:r>
      <w:r w:rsidR="00E83F6E">
        <w:rPr>
          <w:noProof/>
        </w:rPr>
        <w:t>(Whelan, et al., 2018)</w:t>
      </w:r>
      <w:r w:rsidRPr="00027624">
        <w:rPr>
          <w:bCs/>
        </w:rPr>
        <w:fldChar w:fldCharType="end"/>
      </w:r>
      <w:r w:rsidRPr="00027624">
        <w:rPr>
          <w:bCs/>
        </w:rPr>
        <w:t xml:space="preserve">. However, the authors noted the results could have been affected by the GFC or valuation effects. This makes it difficult to attribute the difference in wealth solely to the change in the taper rate. </w:t>
      </w:r>
    </w:p>
    <w:p w14:paraId="1F57002F" w14:textId="77777777" w:rsidR="002A2FAE" w:rsidRPr="00027624" w:rsidRDefault="002A2FAE" w:rsidP="002A2FAE">
      <w:r w:rsidRPr="00027624">
        <w:t>More recent research did not show evidence of statistical correlation between the taper rate change and savings for the 2017 taper rate change</w:t>
      </w:r>
      <w:r w:rsidRPr="00027624">
        <w:fldChar w:fldCharType="begin"/>
      </w:r>
      <w:r w:rsidRPr="00027624">
        <w:instrText xml:space="preserve"> CITATION Dun20 \l 3081 </w:instrText>
      </w:r>
      <w:r w:rsidRPr="00027624">
        <w:fldChar w:fldCharType="separate"/>
      </w:r>
      <w:r w:rsidR="00E83F6E">
        <w:rPr>
          <w:noProof/>
        </w:rPr>
        <w:t xml:space="preserve"> (Cassells, et al., 2020)</w:t>
      </w:r>
      <w:r w:rsidRPr="00027624">
        <w:fldChar w:fldCharType="end"/>
      </w:r>
      <w:r w:rsidRPr="00027624">
        <w:t>. Although this may reflect the limited time since implementation.</w:t>
      </w:r>
      <w:r w:rsidRPr="00027624">
        <w:rPr>
          <w:rStyle w:val="FootnoteReference"/>
        </w:rPr>
        <w:footnoteReference w:id="283"/>
      </w:r>
      <w:r w:rsidRPr="00027624">
        <w:t xml:space="preserve"> For the 2007 taper rate change, this research found no statistical difference in the savings of people expected to be part</w:t>
      </w:r>
      <w:r w:rsidR="00A8443E" w:rsidRPr="00027624">
        <w:noBreakHyphen/>
      </w:r>
      <w:r w:rsidRPr="00027624">
        <w:t>rate age pensioners before the taper rate change and those expected to be full</w:t>
      </w:r>
      <w:r w:rsidR="00A8443E" w:rsidRPr="00027624">
        <w:noBreakHyphen/>
      </w:r>
      <w:r w:rsidRPr="00027624">
        <w:t>rate age pensioners. People expected to become part</w:t>
      </w:r>
      <w:r w:rsidR="00A8443E" w:rsidRPr="00027624">
        <w:noBreakHyphen/>
      </w:r>
      <w:r w:rsidRPr="00027624">
        <w:t>rate age pensioners following the change were found to have higher savings than people not expecting to receive the Age Pension, although this result is not consistent with the theoretical predictions of how incentives from the taper rate could affect savings.</w:t>
      </w:r>
      <w:r w:rsidRPr="00027624">
        <w:rPr>
          <w:rStyle w:val="FootnoteReference"/>
        </w:rPr>
        <w:footnoteReference w:id="284"/>
      </w:r>
      <w:r w:rsidRPr="00027624">
        <w:t xml:space="preserve"> </w:t>
      </w:r>
    </w:p>
    <w:p w14:paraId="67AED9D2" w14:textId="77777777" w:rsidR="002A2FAE" w:rsidRPr="00027624" w:rsidRDefault="002A2FAE" w:rsidP="002A2FAE">
      <w:pPr>
        <w:rPr>
          <w:rFonts w:eastAsiaTheme="majorEastAsia"/>
        </w:rPr>
      </w:pPr>
      <w:r w:rsidRPr="00027624">
        <w:t>If the assets test was driving savings decisions, evidence of bunching around the assets test free area would be expected. But Department of Social Services payment data from June 2019 does not show any evidence of bunching of assets around the assets test free area, for either single or coupled age pensioners.</w:t>
      </w:r>
      <w:r w:rsidRPr="00027624">
        <w:rPr>
          <w:rStyle w:val="FootnoteReference"/>
        </w:rPr>
        <w:footnoteReference w:id="285"/>
      </w:r>
    </w:p>
    <w:p w14:paraId="39E749D2" w14:textId="77777777" w:rsidR="002A2FAE" w:rsidRPr="00027624" w:rsidRDefault="002A2FAE" w:rsidP="002A2FAE">
      <w:pPr>
        <w:pStyle w:val="Heading3"/>
        <w:rPr>
          <w:rFonts w:eastAsiaTheme="majorEastAsia"/>
        </w:rPr>
      </w:pPr>
      <w:r w:rsidRPr="00027624">
        <w:rPr>
          <w:rFonts w:eastAsiaTheme="majorEastAsia"/>
        </w:rPr>
        <w:t>Other incentives to work or retire</w:t>
      </w:r>
    </w:p>
    <w:p w14:paraId="7907D2C7" w14:textId="77777777" w:rsidR="002A2FAE" w:rsidRPr="00027624" w:rsidRDefault="002A2FAE" w:rsidP="002A2FAE">
      <w:r w:rsidRPr="00027624">
        <w:t xml:space="preserve">The system can support retirement incomes by discouraging people from voluntarily retiring early, or by allowing them to earn income while retired. As outlined in </w:t>
      </w:r>
      <w:r w:rsidRPr="00027624">
        <w:rPr>
          <w:i/>
        </w:rPr>
        <w:t>3E. Age of retirement</w:t>
      </w:r>
      <w:r w:rsidRPr="00027624">
        <w:t xml:space="preserve">, early retirement leads to lower retirement savings and lower replacement rates. </w:t>
      </w:r>
    </w:p>
    <w:p w14:paraId="3C2E2629" w14:textId="77777777" w:rsidR="002A2FAE" w:rsidRPr="00027624" w:rsidRDefault="002A2FAE" w:rsidP="002A2FAE">
      <w:r w:rsidRPr="00027624">
        <w:t xml:space="preserve">Signals in the system, such as the age people are eligible for the Age Pension and the preservation age, strongly influence when people retire. However, other financial incentives do not seem to have much impact, either on the timing of retirement, or the likelihood of working during retirement. </w:t>
      </w:r>
    </w:p>
    <w:p w14:paraId="517AD520" w14:textId="77777777" w:rsidR="002A2FAE" w:rsidRPr="00027624" w:rsidRDefault="002A2FAE" w:rsidP="002A2FAE">
      <w:r w:rsidRPr="00027624">
        <w:t xml:space="preserve">Financial incentives to continue working are ineffective for those who retire involuntarily. This group could be helped by removing barriers to work; for example, by introducing measures to reduce ageism, increasing the flexibility of work and care arrangements or encouraging lifelong learning. </w:t>
      </w:r>
    </w:p>
    <w:p w14:paraId="704F0B7B" w14:textId="77777777" w:rsidR="002A2FAE" w:rsidRPr="00027624" w:rsidRDefault="002A2FAE" w:rsidP="002A2FAE">
      <w:r w:rsidRPr="00027624">
        <w:t>That said, for a significant proportion of people, retiring before the Age Pension eligibility age is a choice: just under 40 per cent of voluntary retirements take place between the ages of 55 and 64</w:t>
      </w:r>
      <w:sdt>
        <w:sdtPr>
          <w:id w:val="604613079"/>
          <w:citation/>
        </w:sdtPr>
        <w:sdtEndPr/>
        <w:sdtContent>
          <w:r w:rsidR="00C216B2">
            <w:fldChar w:fldCharType="begin"/>
          </w:r>
          <w:r w:rsidR="00C216B2">
            <w:instrText xml:space="preserve"> CITATION ABS205 \l 3081 </w:instrText>
          </w:r>
          <w:r w:rsidR="00C216B2">
            <w:fldChar w:fldCharType="separate"/>
          </w:r>
          <w:r w:rsidR="00E83F6E">
            <w:rPr>
              <w:noProof/>
            </w:rPr>
            <w:t xml:space="preserve"> (ABS, 2020n)</w:t>
          </w:r>
          <w:r w:rsidR="00C216B2">
            <w:fldChar w:fldCharType="end"/>
          </w:r>
        </w:sdtContent>
      </w:sdt>
      <w:r w:rsidRPr="00027624">
        <w:t>.</w:t>
      </w:r>
    </w:p>
    <w:p w14:paraId="23786C3D" w14:textId="77777777" w:rsidR="002A2FAE" w:rsidRPr="00027624" w:rsidRDefault="002A2FAE" w:rsidP="002A2FAE">
      <w:pPr>
        <w:pStyle w:val="Heading4"/>
      </w:pPr>
      <w:r w:rsidRPr="00027624">
        <w:rPr>
          <w:rFonts w:eastAsiaTheme="majorEastAsia"/>
        </w:rPr>
        <w:t>Financial incentives to keep working</w:t>
      </w:r>
    </w:p>
    <w:p w14:paraId="5DDD320E" w14:textId="77777777" w:rsidR="002A2FAE" w:rsidRPr="00027624" w:rsidRDefault="002A2FAE" w:rsidP="002A2FAE">
      <w:r w:rsidRPr="00027624">
        <w:t>Several policies in the retirement income system are designed to encourage older workforce participation, such as:</w:t>
      </w:r>
    </w:p>
    <w:p w14:paraId="09D63162" w14:textId="77777777" w:rsidR="002A2FAE" w:rsidRPr="00027624" w:rsidRDefault="002A2FAE" w:rsidP="00931935">
      <w:pPr>
        <w:pStyle w:val="Bullet"/>
      </w:pPr>
      <w:r w:rsidRPr="00027624">
        <w:rPr>
          <w:b/>
        </w:rPr>
        <w:t>The Work Bonus</w:t>
      </w:r>
      <w:r w:rsidRPr="00027624">
        <w:t>. This increases the amount an eligible age pensioner can earn from work before it affects their Age Pension rate</w:t>
      </w:r>
    </w:p>
    <w:p w14:paraId="79313E76" w14:textId="77777777" w:rsidR="002A2FAE" w:rsidRPr="00027624" w:rsidRDefault="002A2FAE" w:rsidP="00931935">
      <w:pPr>
        <w:pStyle w:val="Bullet"/>
      </w:pPr>
      <w:r w:rsidRPr="00027624">
        <w:rPr>
          <w:b/>
        </w:rPr>
        <w:t xml:space="preserve">The </w:t>
      </w:r>
      <w:r w:rsidR="00A8443E" w:rsidRPr="00027624">
        <w:rPr>
          <w:b/>
        </w:rPr>
        <w:t>‘</w:t>
      </w:r>
      <w:r w:rsidRPr="00027624">
        <w:rPr>
          <w:b/>
        </w:rPr>
        <w:t>Work Test</w:t>
      </w:r>
      <w:r w:rsidR="00A8443E" w:rsidRPr="00027624">
        <w:rPr>
          <w:b/>
        </w:rPr>
        <w:t>’</w:t>
      </w:r>
      <w:r w:rsidRPr="00027624">
        <w:rPr>
          <w:b/>
        </w:rPr>
        <w:t xml:space="preserve"> for superannuation contributions</w:t>
      </w:r>
      <w:r w:rsidRPr="00027624">
        <w:t>. To satisfy the Work Test, people must work at least 40 hours during a consecutive 30</w:t>
      </w:r>
      <w:r w:rsidR="00A8443E" w:rsidRPr="00027624">
        <w:noBreakHyphen/>
      </w:r>
      <w:r w:rsidRPr="00027624">
        <w:t>day period each financial year. The Work Test is easy to satisfy and unlikely to encourage high levels of workforce participation</w:t>
      </w:r>
    </w:p>
    <w:p w14:paraId="7136281B" w14:textId="77777777" w:rsidR="002A2FAE" w:rsidRPr="00027624" w:rsidRDefault="002A2FAE" w:rsidP="00931935">
      <w:pPr>
        <w:pStyle w:val="Bullet"/>
      </w:pPr>
      <w:r w:rsidRPr="00027624">
        <w:rPr>
          <w:b/>
        </w:rPr>
        <w:t>Transition to Retirement Income Streams program</w:t>
      </w:r>
      <w:r w:rsidRPr="00027624">
        <w:t>. This program aims to prolong workforce participation by allowing workers who have reached preservation age and wish to continue working to access their superannuation</w:t>
      </w:r>
    </w:p>
    <w:p w14:paraId="45AD7BBC" w14:textId="77777777" w:rsidR="002A2FAE" w:rsidRPr="00027624" w:rsidRDefault="002A2FAE" w:rsidP="00931935">
      <w:pPr>
        <w:pStyle w:val="Bullet"/>
      </w:pPr>
      <w:r w:rsidRPr="00027624">
        <w:rPr>
          <w:b/>
        </w:rPr>
        <w:t>Income tax reductions for those age 65 and over</w:t>
      </w:r>
      <w:r w:rsidRPr="00027624">
        <w:t>. For example, the seniors and pensioners tax offset (see 1B</w:t>
      </w:r>
      <w:r w:rsidRPr="00027624">
        <w:rPr>
          <w:i/>
          <w:iCs/>
        </w:rPr>
        <w:t>. Design of Australia</w:t>
      </w:r>
      <w:r w:rsidR="00A8443E" w:rsidRPr="00027624">
        <w:rPr>
          <w:i/>
          <w:iCs/>
        </w:rPr>
        <w:t>’</w:t>
      </w:r>
      <w:r w:rsidRPr="00027624">
        <w:rPr>
          <w:i/>
          <w:iCs/>
        </w:rPr>
        <w:t>s retirement income system</w:t>
      </w:r>
      <w:r w:rsidRPr="00027624">
        <w:t>)</w:t>
      </w:r>
    </w:p>
    <w:p w14:paraId="2B70B2BD" w14:textId="77777777" w:rsidR="002A2FAE" w:rsidRPr="00027624" w:rsidRDefault="002A2FAE" w:rsidP="002A2FAE">
      <w:r w:rsidRPr="00027624">
        <w:rPr>
          <w:b/>
        </w:rPr>
        <w:t>These incentives to encourage people to keep working appear to have limited impact.</w:t>
      </w:r>
      <w:r w:rsidRPr="00027624">
        <w:t xml:space="preserve"> One study found Transition to Retirement Income Streams had small positive labour supply effects, which increased after the program</w:t>
      </w:r>
      <w:r w:rsidR="00A8443E" w:rsidRPr="00027624">
        <w:t>’</w:t>
      </w:r>
      <w:r w:rsidRPr="00027624">
        <w:t>s initial years</w:t>
      </w:r>
      <w:r w:rsidRPr="00027624">
        <w:fldChar w:fldCharType="begin"/>
      </w:r>
      <w:r w:rsidRPr="00027624">
        <w:instrText xml:space="preserve">CITATION Car20f \t  \l 3081 </w:instrText>
      </w:r>
      <w:r w:rsidRPr="00027624">
        <w:fldChar w:fldCharType="separate"/>
      </w:r>
      <w:r w:rsidR="00E83F6E">
        <w:rPr>
          <w:noProof/>
        </w:rPr>
        <w:t xml:space="preserve"> (Carter, 2020)</w:t>
      </w:r>
      <w:r w:rsidRPr="00027624">
        <w:fldChar w:fldCharType="end"/>
      </w:r>
      <w:r w:rsidRPr="00027624">
        <w:t>. But the stronger response was from people with higher incomes. At least half of the participants seemed to be using tax minimisation strategies. This is consistent with findings on the mature age worker tax offset: a targeted earned income tax credit of up to $500 to incentivise participation of older workers, which existed from 2004</w:t>
      </w:r>
      <w:r w:rsidR="00A8443E" w:rsidRPr="00027624">
        <w:noBreakHyphen/>
      </w:r>
      <w:r w:rsidRPr="00027624">
        <w:t>05 to 2014</w:t>
      </w:r>
      <w:r w:rsidR="00A8443E" w:rsidRPr="00027624">
        <w:noBreakHyphen/>
      </w:r>
      <w:r w:rsidRPr="00027624">
        <w:t>15. The mature age worker tax offset increased labour market participation by around 0.5 percentage points</w:t>
      </w:r>
      <w:r w:rsidRPr="00027624">
        <w:fldChar w:fldCharType="begin"/>
      </w:r>
      <w:r w:rsidRPr="00027624">
        <w:instrText xml:space="preserve">CITATION Bre18 \l 3081 </w:instrText>
      </w:r>
      <w:r w:rsidRPr="00027624">
        <w:fldChar w:fldCharType="separate"/>
      </w:r>
      <w:r w:rsidR="00E83F6E">
        <w:rPr>
          <w:noProof/>
        </w:rPr>
        <w:t xml:space="preserve"> (Breunig &amp; Carter, 2018)</w:t>
      </w:r>
      <w:r w:rsidRPr="00027624">
        <w:fldChar w:fldCharType="end"/>
      </w:r>
      <w:r w:rsidRPr="00027624">
        <w:t>.</w:t>
      </w:r>
      <w:r w:rsidRPr="00027624">
        <w:rPr>
          <w:vertAlign w:val="superscript"/>
        </w:rPr>
        <w:t xml:space="preserve"> </w:t>
      </w:r>
    </w:p>
    <w:p w14:paraId="1D85D587" w14:textId="77777777" w:rsidR="002A2FAE" w:rsidRPr="00027624" w:rsidRDefault="002A2FAE" w:rsidP="002A2FAE">
      <w:r w:rsidRPr="00027624">
        <w:t>The seniors and pensioners tax offset</w:t>
      </w:r>
      <w:r w:rsidR="00A8443E" w:rsidRPr="00027624">
        <w:t>’</w:t>
      </w:r>
      <w:r w:rsidRPr="00027624">
        <w:t xml:space="preserve">s effectiveness in encouraging older workforce participation is unclear. The seniors and pensioners tax offset decreases effective marginal tax rates for seniors earning less than about $15,000 a year but increases them for those earning more than $20,000 a year, as benefits are withdrawn. </w:t>
      </w:r>
    </w:p>
    <w:p w14:paraId="325D5FDB" w14:textId="77777777" w:rsidR="002A2FAE" w:rsidRPr="00027624" w:rsidRDefault="002A2FAE" w:rsidP="002A2FAE">
      <w:r w:rsidRPr="00027624">
        <w:t xml:space="preserve">Some stakeholders argued the Age Pension income test creates disincentives to continue to work in retirement. A study from 1990 found evidence of age pensioner income </w:t>
      </w:r>
      <w:r w:rsidR="00A8443E" w:rsidRPr="00027624">
        <w:t>‘</w:t>
      </w:r>
      <w:r w:rsidRPr="00027624">
        <w:t>bunching</w:t>
      </w:r>
      <w:r w:rsidR="00A8443E" w:rsidRPr="00027624">
        <w:t>’</w:t>
      </w:r>
      <w:r w:rsidRPr="00027624">
        <w:t xml:space="preserve"> below means test income thresholds</w:t>
      </w:r>
      <w:r w:rsidRPr="00027624">
        <w:fldChar w:fldCharType="begin"/>
      </w:r>
      <w:r w:rsidRPr="00027624">
        <w:instrText xml:space="preserve"> CITATION Cre90 \l 3081 </w:instrText>
      </w:r>
      <w:r w:rsidRPr="00027624">
        <w:fldChar w:fldCharType="separate"/>
      </w:r>
      <w:r w:rsidR="00E83F6E">
        <w:rPr>
          <w:noProof/>
        </w:rPr>
        <w:t xml:space="preserve"> (Creedy &amp; Disney, 1990)</w:t>
      </w:r>
      <w:r w:rsidRPr="00027624">
        <w:fldChar w:fldCharType="end"/>
      </w:r>
      <w:r w:rsidRPr="00027624">
        <w:t>. However, these findings are inconsistent with current Age Pension payment data.</w:t>
      </w:r>
      <w:r w:rsidRPr="00027624">
        <w:rPr>
          <w:rStyle w:val="FootnoteReference"/>
        </w:rPr>
        <w:footnoteReference w:id="286"/>
      </w:r>
      <w:r w:rsidRPr="00027624">
        <w:t xml:space="preserve"> This shows that, of the 4 per cent of age pensioners who reported employment income in the previous fortnight, the majority had reported less than $250 in earnings.</w:t>
      </w:r>
      <w:r w:rsidRPr="00027624">
        <w:rPr>
          <w:vertAlign w:val="superscript"/>
        </w:rPr>
        <w:footnoteReference w:id="287"/>
      </w:r>
      <w:r w:rsidRPr="00027624">
        <w:t xml:space="preserve"> This is well below the point at which employment earnings would impact an age pensioner</w:t>
      </w:r>
      <w:r w:rsidR="00A8443E" w:rsidRPr="00027624">
        <w:t>’</w:t>
      </w:r>
      <w:r w:rsidRPr="00027624">
        <w:t>s rate of payment.</w:t>
      </w:r>
      <w:r w:rsidRPr="00027624">
        <w:rPr>
          <w:vertAlign w:val="superscript"/>
        </w:rPr>
        <w:footnoteReference w:id="288"/>
      </w:r>
      <w:r w:rsidRPr="00027624">
        <w:t xml:space="preserve"> As detailed above, age pensioners benefit from the Work Bonus, which allows them to keep more of the Age Pension when they have income from employment.</w:t>
      </w:r>
      <w:r w:rsidRPr="00027624">
        <w:rPr>
          <w:vertAlign w:val="superscript"/>
        </w:rPr>
        <w:footnoteReference w:id="289"/>
      </w:r>
    </w:p>
    <w:p w14:paraId="433316CC" w14:textId="77777777" w:rsidR="002A2FAE" w:rsidRPr="00027624" w:rsidRDefault="002A2FAE" w:rsidP="002A2FAE">
      <w:pPr>
        <w:pStyle w:val="Heading4"/>
      </w:pPr>
      <w:r w:rsidRPr="00027624">
        <w:t>Financial incentives to retire</w:t>
      </w:r>
    </w:p>
    <w:p w14:paraId="19FE5978" w14:textId="0BBD8774" w:rsidR="002A2FAE" w:rsidRPr="00027624" w:rsidRDefault="002A2FAE" w:rsidP="002A2FAE">
      <w:r w:rsidRPr="00027624">
        <w:t xml:space="preserve">Theoretically, superannuation may create an incentive for people to retire at preservation age and live on superannuation savings until they become eligible for the Age Pension. </w:t>
      </w:r>
      <w:r w:rsidRPr="00027624">
        <w:fldChar w:fldCharType="begin"/>
      </w:r>
      <w:r w:rsidRPr="00027624">
        <w:instrText xml:space="preserve"> REF _Ref35254139 \r \h  \* MERGEFORMAT </w:instrText>
      </w:r>
      <w:r w:rsidRPr="00027624">
        <w:fldChar w:fldCharType="separate"/>
      </w:r>
      <w:r w:rsidR="00891058">
        <w:t>Chart 5A-6</w:t>
      </w:r>
      <w:r w:rsidRPr="00027624">
        <w:fldChar w:fldCharType="end"/>
      </w:r>
      <w:r w:rsidRPr="00027624">
        <w:t xml:space="preserve"> shows the gap between the Age Pension eligibility age and superannuation preservation age. Some people may be able to offset a limited (if any) loss of income before receiving the Age Pension with a higher Age Pension in retirement</w:t>
      </w:r>
      <w:r w:rsidRPr="00027624">
        <w:fldChar w:fldCharType="begin"/>
      </w:r>
      <w:r w:rsidRPr="00027624">
        <w:instrText xml:space="preserve">CITATION Ing17 \p 424-426 \l 3081 </w:instrText>
      </w:r>
      <w:r w:rsidRPr="00027624">
        <w:fldChar w:fldCharType="separate"/>
      </w:r>
      <w:r w:rsidR="00E83F6E">
        <w:rPr>
          <w:noProof/>
        </w:rPr>
        <w:t xml:space="preserve"> (Ingles &amp; Stewart, 2017, pp. 424-426)</w:t>
      </w:r>
      <w:r w:rsidRPr="00027624">
        <w:fldChar w:fldCharType="end"/>
      </w:r>
      <w:r w:rsidRPr="00027624">
        <w:t xml:space="preserve">. However, whether people are actively trying to </w:t>
      </w:r>
      <w:r w:rsidR="00A8443E" w:rsidRPr="00027624">
        <w:t>‘</w:t>
      </w:r>
      <w:r w:rsidRPr="00027624">
        <w:t>game the system</w:t>
      </w:r>
      <w:r w:rsidR="00A8443E" w:rsidRPr="00027624">
        <w:t>’</w:t>
      </w:r>
      <w:r w:rsidRPr="00027624">
        <w:t xml:space="preserve"> by retiring before Age Pension eligibility age is difficult to assess</w:t>
      </w:r>
      <w:r w:rsidRPr="00027624">
        <w:fldChar w:fldCharType="begin"/>
      </w:r>
      <w:r w:rsidRPr="00027624">
        <w:instrText xml:space="preserve">CITATION Agn \p 4 \l 3081 </w:instrText>
      </w:r>
      <w:r w:rsidRPr="00027624" w:rsidDel="00C05B9C">
        <w:instrText xml:space="preserve">CITATION Agn \p 4 \l 3081 </w:instrText>
      </w:r>
      <w:r w:rsidRPr="00027624">
        <w:fldChar w:fldCharType="separate"/>
      </w:r>
      <w:r w:rsidR="00E83F6E">
        <w:rPr>
          <w:noProof/>
        </w:rPr>
        <w:t xml:space="preserve"> (Agnew, 2013, p. 4)</w:t>
      </w:r>
      <w:r w:rsidRPr="00027624">
        <w:fldChar w:fldCharType="end"/>
      </w:r>
      <w:r w:rsidRPr="00027624">
        <w:t>.</w:t>
      </w:r>
    </w:p>
    <w:p w14:paraId="4DBAFD66" w14:textId="774C8D27" w:rsidR="002A2FAE" w:rsidRPr="00027624" w:rsidRDefault="002A2FAE" w:rsidP="002A2FAE">
      <w:r w:rsidRPr="00027624">
        <w:rPr>
          <w:b/>
        </w:rPr>
        <w:t>There is little evidence that people structure their superannuation withdrawals to access the Age Pension</w:t>
      </w:r>
      <w:r w:rsidRPr="00027624">
        <w:fldChar w:fldCharType="begin"/>
      </w:r>
      <w:r w:rsidRPr="00027624">
        <w:instrText xml:space="preserve">CITATION Pro151 \p 91-94 \l 3081 </w:instrText>
      </w:r>
      <w:r w:rsidRPr="00027624">
        <w:fldChar w:fldCharType="separate"/>
      </w:r>
      <w:r w:rsidR="00E83F6E">
        <w:rPr>
          <w:noProof/>
        </w:rPr>
        <w:t xml:space="preserve"> (Productivity Commission, 2015b, pp. 91-94)</w:t>
      </w:r>
      <w:r w:rsidRPr="00027624">
        <w:fldChar w:fldCharType="end"/>
      </w:r>
      <w:r w:rsidRPr="00027624">
        <w:t>. One study using longitudinal data found that households above Age Pension eligibility age have more non</w:t>
      </w:r>
      <w:r w:rsidR="00A8443E" w:rsidRPr="00027624">
        <w:noBreakHyphen/>
      </w:r>
      <w:r w:rsidRPr="00027624">
        <w:t>financial assets than households just below Age Pension eligibility age, but have similar levels of home equity</w:t>
      </w:r>
      <w:r w:rsidRPr="00027624">
        <w:fldChar w:fldCharType="begin"/>
      </w:r>
      <w:r w:rsidRPr="00027624">
        <w:instrText xml:space="preserve"> CITATION Cob10 \l 3081 </w:instrText>
      </w:r>
      <w:r w:rsidRPr="00027624">
        <w:fldChar w:fldCharType="separate"/>
      </w:r>
      <w:r w:rsidR="00E83F6E">
        <w:rPr>
          <w:noProof/>
        </w:rPr>
        <w:t xml:space="preserve"> (Cobb-Clark &amp; Hildebrand, 2010)</w:t>
      </w:r>
      <w:r w:rsidRPr="00027624">
        <w:fldChar w:fldCharType="end"/>
      </w:r>
      <w:r w:rsidRPr="00027624">
        <w:t>. Most people do not draw down their savings.</w:t>
      </w:r>
      <w:r w:rsidRPr="00027624" w:rsidDel="009A2C1D">
        <w:t xml:space="preserve"> </w:t>
      </w:r>
      <w:r w:rsidRPr="00027624">
        <w:t xml:space="preserve">Instead, they live off the income generated by their savings (see </w:t>
      </w:r>
      <w:r w:rsidRPr="00027624">
        <w:rPr>
          <w:i/>
        </w:rPr>
        <w:fldChar w:fldCharType="begin"/>
      </w:r>
      <w:r w:rsidRPr="00027624">
        <w:rPr>
          <w:i/>
        </w:rPr>
        <w:instrText xml:space="preserve"> REF _Ref43134158 \h  \* MERGEFORMAT </w:instrText>
      </w:r>
      <w:r w:rsidRPr="00027624">
        <w:rPr>
          <w:i/>
        </w:rPr>
      </w:r>
      <w:r w:rsidRPr="00027624">
        <w:rPr>
          <w:i/>
        </w:rPr>
        <w:fldChar w:fldCharType="separate"/>
      </w:r>
      <w:r w:rsidR="00891058" w:rsidRPr="00891058">
        <w:rPr>
          <w:i/>
        </w:rPr>
        <w:t>Current retirement outcomes</w:t>
      </w:r>
      <w:r w:rsidRPr="00027624">
        <w:rPr>
          <w:i/>
        </w:rPr>
        <w:fldChar w:fldCharType="end"/>
      </w:r>
      <w:r w:rsidR="00842A7C" w:rsidRPr="00027624">
        <w:t>,</w:t>
      </w:r>
      <w:r w:rsidRPr="00027624">
        <w:t xml:space="preserve"> below). People who take lump sums have low balances and do not have enough wealth to be affected by Age Pension means testing. These people were most likely to spend their lump sum on their home, including paying down mortgage debt</w:t>
      </w:r>
      <w:r w:rsidRPr="00027624">
        <w:fldChar w:fldCharType="begin"/>
      </w:r>
      <w:r w:rsidRPr="00027624">
        <w:instrText xml:space="preserve">CITATION Pro151 \p 83-87 \l 3081 </w:instrText>
      </w:r>
      <w:r w:rsidRPr="00027624">
        <w:fldChar w:fldCharType="separate"/>
      </w:r>
      <w:r w:rsidR="00E83F6E">
        <w:rPr>
          <w:noProof/>
        </w:rPr>
        <w:t xml:space="preserve"> (Productivity Commission, 2015b, pp. 83-87)</w:t>
      </w:r>
      <w:r w:rsidRPr="00027624">
        <w:fldChar w:fldCharType="end"/>
      </w:r>
      <w:r w:rsidRPr="00027624">
        <w:t xml:space="preserve">. </w:t>
      </w:r>
    </w:p>
    <w:p w14:paraId="199823B9" w14:textId="77777777" w:rsidR="002A2FAE" w:rsidRPr="00027624" w:rsidRDefault="002A2FAE" w:rsidP="002A2FAE">
      <w:pPr>
        <w:pStyle w:val="ChartMainHeading"/>
      </w:pPr>
      <w:bookmarkStart w:id="4122" w:name="_Ref35254139"/>
      <w:r w:rsidRPr="00027624">
        <w:t>Gap between Age Pension eligibility age and superannuation preservation age</w:t>
      </w:r>
      <w:bookmarkEnd w:id="4122"/>
    </w:p>
    <w:p w14:paraId="7C9F38BC" w14:textId="77777777" w:rsidR="002A2FAE" w:rsidRPr="00027624" w:rsidRDefault="009D02F5" w:rsidP="002A2FAE">
      <w:pPr>
        <w:pStyle w:val="ChartGraphic"/>
      </w:pPr>
      <w:r>
        <w:rPr>
          <w:noProof/>
        </w:rPr>
        <w:drawing>
          <wp:inline distT="0" distB="0" distL="0" distR="0" wp14:anchorId="2D057806" wp14:editId="45DA498F">
            <wp:extent cx="5577840" cy="2621280"/>
            <wp:effectExtent l="0" t="0" r="3810" b="7620"/>
            <wp:docPr id="58" name="Picture 58" descr="This chart shows the gap between the superannuation preservation age and the Age Pension eligibility age has narrowed between 2014 and today and will narrow in future (out to year 2025). The preservation age will reach 60 (up from 55 in 2014) and the Age Pension eligibility age will reach 67 (up from 65 in 2014)." title="Chart 5A-6 Gap between Age Pension eligibility age and superannuation preservation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77840" cy="2621280"/>
                    </a:xfrm>
                    <a:prstGeom prst="rect">
                      <a:avLst/>
                    </a:prstGeom>
                    <a:noFill/>
                  </pic:spPr>
                </pic:pic>
              </a:graphicData>
            </a:graphic>
          </wp:inline>
        </w:drawing>
      </w:r>
    </w:p>
    <w:p w14:paraId="03507DE9" w14:textId="77777777" w:rsidR="002A2FAE" w:rsidRPr="00027624" w:rsidRDefault="002A2FAE" w:rsidP="002A2FAE">
      <w:pPr>
        <w:pStyle w:val="ChartorTableNote"/>
        <w:rPr>
          <w:rFonts w:eastAsiaTheme="minorEastAsia"/>
        </w:rPr>
      </w:pPr>
      <w:r w:rsidRPr="00027624">
        <w:rPr>
          <w:rFonts w:eastAsiaTheme="minorEastAsia"/>
        </w:rPr>
        <w:t>Note: Legislated increases will occur on 1 July each year. Source:</w:t>
      </w:r>
      <w:r w:rsidRPr="00027624">
        <w:rPr>
          <w:rFonts w:eastAsiaTheme="minorEastAsia"/>
        </w:rPr>
        <w:fldChar w:fldCharType="begin"/>
      </w:r>
      <w:r w:rsidRPr="00027624">
        <w:rPr>
          <w:rFonts w:eastAsiaTheme="minorEastAsia"/>
        </w:rPr>
        <w:instrText xml:space="preserve">CITATION DSS204 \m ATO204 \l 3081 </w:instrText>
      </w:r>
      <w:r w:rsidRPr="00027624">
        <w:rPr>
          <w:rFonts w:eastAsiaTheme="minorEastAsia"/>
        </w:rPr>
        <w:fldChar w:fldCharType="separate"/>
      </w:r>
      <w:r w:rsidR="00E83F6E">
        <w:rPr>
          <w:rFonts w:eastAsiaTheme="minorEastAsia"/>
          <w:noProof/>
        </w:rPr>
        <w:t xml:space="preserve"> </w:t>
      </w:r>
      <w:r w:rsidR="00E83F6E" w:rsidRPr="00E83F6E">
        <w:rPr>
          <w:rFonts w:eastAsiaTheme="minorEastAsia"/>
          <w:noProof/>
        </w:rPr>
        <w:t>(Department of Social Services, 2020e; ATO, 2020c)</w:t>
      </w:r>
      <w:r w:rsidRPr="00027624">
        <w:rPr>
          <w:rFonts w:eastAsiaTheme="minorEastAsia"/>
        </w:rPr>
        <w:fldChar w:fldCharType="end"/>
      </w:r>
      <w:r w:rsidRPr="00027624">
        <w:rPr>
          <w:rFonts w:eastAsiaTheme="minorEastAsia"/>
        </w:rPr>
        <w:t>.</w:t>
      </w:r>
    </w:p>
    <w:p w14:paraId="41FAFFA1" w14:textId="77777777" w:rsidR="002A2FAE" w:rsidRPr="00027624" w:rsidRDefault="002A2FAE" w:rsidP="002A2FAE">
      <w:r w:rsidRPr="00027624">
        <w:t xml:space="preserve">In future, when people have larger balances after 40 years of compulsory superannuation, more people may choose to retire before the age they become eligible to apply for the Age Pension. Currently, most people with large balances at retirement have saved voluntarily. These people tend to have a predisposition to save and be cautious in spending. As the SG matures, this could change. </w:t>
      </w:r>
    </w:p>
    <w:p w14:paraId="552D8EDE" w14:textId="77777777" w:rsidR="002A2FAE" w:rsidRPr="00027624" w:rsidRDefault="002A2FAE" w:rsidP="002A2FAE">
      <w:r w:rsidRPr="00027624">
        <w:rPr>
          <w:b/>
        </w:rPr>
        <w:t xml:space="preserve">People say financial </w:t>
      </w:r>
      <w:r w:rsidRPr="00027624">
        <w:rPr>
          <w:b/>
          <w:bCs/>
        </w:rPr>
        <w:t>incentives</w:t>
      </w:r>
      <w:r w:rsidRPr="00027624">
        <w:rPr>
          <w:b/>
        </w:rPr>
        <w:t xml:space="preserve"> do not motivate them to retire</w:t>
      </w:r>
      <w:r w:rsidRPr="00027624">
        <w:t>. According to Household, Income and Labour Dynamics in Australia (HILDA) data, only 4 per cent of retirees said their retirement was motivated by superannuation rules making it financially advantageous to retire</w:t>
      </w:r>
      <w:r w:rsidRPr="00027624">
        <w:rPr>
          <w:i/>
        </w:rPr>
        <w:t>.</w:t>
      </w:r>
      <w:r w:rsidRPr="00027624">
        <w:rPr>
          <w:rStyle w:val="FootnoteReference"/>
        </w:rPr>
        <w:footnoteReference w:id="290"/>
      </w:r>
      <w:r w:rsidRPr="00027624">
        <w:t xml:space="preserve"> </w:t>
      </w:r>
    </w:p>
    <w:p w14:paraId="4FCEC126" w14:textId="1CA21902" w:rsidR="002A2FAE" w:rsidRPr="00027624" w:rsidRDefault="002A2FAE" w:rsidP="002A2FAE">
      <w:r w:rsidRPr="00027624">
        <w:rPr>
          <w:b/>
        </w:rPr>
        <w:t xml:space="preserve">Very few people said their decision to work less, or not at all, was to avoid losing benefits such as the Age Pension </w:t>
      </w:r>
      <w:r w:rsidRPr="00027624">
        <w:t>(</w:t>
      </w:r>
      <w:r w:rsidRPr="00027624">
        <w:fldChar w:fldCharType="begin"/>
      </w:r>
      <w:r w:rsidRPr="00027624">
        <w:instrText xml:space="preserve"> REF _Ref42288805 \r \h  \* MERGEFORMAT </w:instrText>
      </w:r>
      <w:r w:rsidRPr="00027624">
        <w:fldChar w:fldCharType="separate"/>
      </w:r>
      <w:r w:rsidR="00891058">
        <w:t>Chart 5A-7</w:t>
      </w:r>
      <w:r w:rsidRPr="00027624">
        <w:fldChar w:fldCharType="end"/>
      </w:r>
      <w:r w:rsidRPr="00027624">
        <w:t>). Most people over 55 who do not want a paid job, or who work less than 35 hours per week and do not want more hours, said this was because they had no need to or were satisfied with their current situation or were permanently retired</w:t>
      </w:r>
      <w:r w:rsidRPr="00027624">
        <w:fldChar w:fldCharType="begin"/>
      </w:r>
      <w:r w:rsidRPr="00027624">
        <w:instrText xml:space="preserve"> CITATION ABS1714 \l 3081 </w:instrText>
      </w:r>
      <w:r w:rsidRPr="00027624">
        <w:fldChar w:fldCharType="separate"/>
      </w:r>
      <w:r w:rsidR="00E83F6E">
        <w:rPr>
          <w:noProof/>
        </w:rPr>
        <w:t xml:space="preserve"> (ABS, 2017b)</w:t>
      </w:r>
      <w:r w:rsidRPr="00027624">
        <w:fldChar w:fldCharType="end"/>
      </w:r>
      <w:r w:rsidRPr="00027624">
        <w:t>. Most age pensioners do not work in retirement. The proportion of age pensioners with declared earnings from employment has slightly increased from 3 per cent in 2008 to more than 4 per cent in 2019.</w:t>
      </w:r>
      <w:r w:rsidRPr="00027624">
        <w:rPr>
          <w:rStyle w:val="FootnoteReference"/>
        </w:rPr>
        <w:footnoteReference w:id="291"/>
      </w:r>
    </w:p>
    <w:p w14:paraId="49D4BB3A" w14:textId="77777777" w:rsidR="002A2FAE" w:rsidRPr="00027624" w:rsidRDefault="002A2FAE" w:rsidP="002A2FAE">
      <w:pPr>
        <w:pStyle w:val="ChartMainHeading"/>
        <w:rPr>
          <w:rFonts w:eastAsiaTheme="minorEastAsia"/>
        </w:rPr>
      </w:pPr>
      <w:bookmarkStart w:id="4123" w:name="_Ref35254253"/>
      <w:bookmarkStart w:id="4124" w:name="_Ref42288805"/>
      <w:bookmarkEnd w:id="4123"/>
      <w:r w:rsidRPr="00027624">
        <w:rPr>
          <w:rFonts w:eastAsiaTheme="minorEastAsia"/>
        </w:rPr>
        <w:t>Barriers to workforce participation for people aged 55 and over</w:t>
      </w:r>
      <w:bookmarkEnd w:id="4124"/>
      <w:r w:rsidRPr="00027624">
        <w:rPr>
          <w:rFonts w:eastAsiaTheme="minorEastAsia"/>
        </w:rPr>
        <w:t xml:space="preserve"> </w:t>
      </w:r>
    </w:p>
    <w:p w14:paraId="011F738B" w14:textId="77777777" w:rsidR="002A2FAE" w:rsidRPr="00027624" w:rsidRDefault="009D02F5" w:rsidP="009D02F5">
      <w:pPr>
        <w:pStyle w:val="ChartGraphic"/>
        <w:rPr>
          <w:rFonts w:eastAsiaTheme="minorEastAsia"/>
        </w:rPr>
      </w:pPr>
      <w:r>
        <w:rPr>
          <w:rFonts w:eastAsiaTheme="minorEastAsia"/>
          <w:noProof/>
        </w:rPr>
        <w:drawing>
          <wp:inline distT="0" distB="0" distL="0" distR="0" wp14:anchorId="6244C272" wp14:editId="02E484E8">
            <wp:extent cx="5577840" cy="2522220"/>
            <wp:effectExtent l="0" t="0" r="3810" b="0"/>
            <wp:docPr id="59" name="Picture 59" descr="This chart shows the barriers to workforce participation for people aged 55 and over who did not want to participate in the workforce and for people who are usually employed 0-34 hours per week and did not want any additional hours. The most common reason for not working additional hours for those employed was ‘no current need’, and for those who did not want to participate in the workplace, it was because they were ‘permanently retired’. The least common reason for both groups was that their ‘social security payment may be affected’. Other reasons includes illness or disability and caring responsibilities." title="Chart 5A-7 Barriers to workforce participation for people aged 55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EA05C4F" w14:textId="77777777" w:rsidR="002A2FAE" w:rsidRPr="00027624" w:rsidRDefault="002A2FAE" w:rsidP="002A2FAE">
      <w:pPr>
        <w:pStyle w:val="ChartorTableNote"/>
        <w:rPr>
          <w:rFonts w:eastAsiaTheme="minorEastAsia"/>
        </w:rPr>
      </w:pPr>
      <w:r w:rsidRPr="00027624">
        <w:rPr>
          <w:rFonts w:eastAsiaTheme="minorEastAsia"/>
        </w:rPr>
        <w:t>Note: Survey data is for 2016</w:t>
      </w:r>
      <w:r w:rsidR="00A8443E" w:rsidRPr="00027624">
        <w:rPr>
          <w:rFonts w:eastAsiaTheme="minorEastAsia"/>
        </w:rPr>
        <w:noBreakHyphen/>
      </w:r>
      <w:r w:rsidRPr="00027624">
        <w:rPr>
          <w:rFonts w:eastAsiaTheme="minorEastAsia"/>
        </w:rPr>
        <w:t xml:space="preserve">17 and has been aggregated. </w:t>
      </w:r>
      <w:r w:rsidR="00A8443E" w:rsidRPr="00027624">
        <w:rPr>
          <w:rFonts w:eastAsiaTheme="minorEastAsia"/>
        </w:rPr>
        <w:t>‘</w:t>
      </w:r>
      <w:r w:rsidRPr="00027624">
        <w:rPr>
          <w:rFonts w:eastAsiaTheme="minorEastAsia"/>
        </w:rPr>
        <w:t>Social security payment may be affected</w:t>
      </w:r>
      <w:r w:rsidR="00A8443E" w:rsidRPr="00027624">
        <w:rPr>
          <w:rFonts w:eastAsiaTheme="minorEastAsia"/>
        </w:rPr>
        <w:t>’</w:t>
      </w:r>
      <w:r w:rsidRPr="00027624">
        <w:rPr>
          <w:rFonts w:eastAsiaTheme="minorEastAsia"/>
        </w:rPr>
        <w:t xml:space="preserve"> is from </w:t>
      </w:r>
      <w:r w:rsidR="00A8443E" w:rsidRPr="00027624">
        <w:rPr>
          <w:rFonts w:eastAsiaTheme="minorEastAsia"/>
        </w:rPr>
        <w:t>‘</w:t>
      </w:r>
      <w:r w:rsidRPr="00027624">
        <w:rPr>
          <w:rFonts w:eastAsiaTheme="minorEastAsia"/>
        </w:rPr>
        <w:t>Welfare payments/pension/allowance may be affected</w:t>
      </w:r>
      <w:r w:rsidR="00A8443E" w:rsidRPr="00027624">
        <w:rPr>
          <w:rFonts w:eastAsiaTheme="minorEastAsia"/>
        </w:rPr>
        <w:t>’</w:t>
      </w:r>
      <w:r w:rsidRPr="00027624">
        <w:rPr>
          <w:rFonts w:eastAsiaTheme="minorEastAsia"/>
        </w:rPr>
        <w:t xml:space="preserve">, </w:t>
      </w:r>
      <w:r w:rsidR="00A8443E" w:rsidRPr="00027624">
        <w:rPr>
          <w:rFonts w:eastAsiaTheme="minorEastAsia"/>
        </w:rPr>
        <w:t>‘</w:t>
      </w:r>
      <w:r w:rsidRPr="00027624">
        <w:rPr>
          <w:rFonts w:eastAsiaTheme="minorEastAsia"/>
        </w:rPr>
        <w:t>Other</w:t>
      </w:r>
      <w:r w:rsidR="00A8443E" w:rsidRPr="00027624">
        <w:rPr>
          <w:rFonts w:eastAsiaTheme="minorEastAsia"/>
        </w:rPr>
        <w:t>’</w:t>
      </w:r>
      <w:r w:rsidRPr="00027624">
        <w:rPr>
          <w:rFonts w:eastAsiaTheme="minorEastAsia"/>
        </w:rPr>
        <w:t xml:space="preserve"> is any remaining results outside those listed in this note. </w:t>
      </w:r>
      <w:r w:rsidR="00A8443E" w:rsidRPr="00027624">
        <w:rPr>
          <w:rFonts w:eastAsiaTheme="minorEastAsia"/>
        </w:rPr>
        <w:t>‘</w:t>
      </w:r>
      <w:r w:rsidRPr="00027624">
        <w:rPr>
          <w:rFonts w:eastAsiaTheme="minorEastAsia"/>
        </w:rPr>
        <w:t>Caring responsibilities</w:t>
      </w:r>
      <w:r w:rsidR="00A8443E" w:rsidRPr="00027624">
        <w:rPr>
          <w:rFonts w:eastAsiaTheme="minorEastAsia"/>
        </w:rPr>
        <w:t>’</w:t>
      </w:r>
      <w:r w:rsidRPr="00027624">
        <w:rPr>
          <w:rFonts w:eastAsiaTheme="minorEastAsia"/>
        </w:rPr>
        <w:t xml:space="preserve"> is </w:t>
      </w:r>
      <w:r w:rsidR="00A8443E" w:rsidRPr="00027624">
        <w:rPr>
          <w:rFonts w:eastAsiaTheme="minorEastAsia"/>
        </w:rPr>
        <w:t>‘</w:t>
      </w:r>
      <w:r w:rsidRPr="00027624">
        <w:rPr>
          <w:rFonts w:eastAsiaTheme="minorEastAsia"/>
        </w:rPr>
        <w:t>Caring for children</w:t>
      </w:r>
      <w:r w:rsidR="00A8443E" w:rsidRPr="00027624">
        <w:rPr>
          <w:rFonts w:eastAsiaTheme="minorEastAsia"/>
        </w:rPr>
        <w:t>’</w:t>
      </w:r>
      <w:r w:rsidRPr="00027624">
        <w:rPr>
          <w:rFonts w:eastAsiaTheme="minorEastAsia"/>
        </w:rPr>
        <w:t xml:space="preserve"> and </w:t>
      </w:r>
      <w:r w:rsidR="00A8443E" w:rsidRPr="00027624">
        <w:rPr>
          <w:rFonts w:eastAsiaTheme="minorEastAsia"/>
        </w:rPr>
        <w:t>‘</w:t>
      </w:r>
      <w:r w:rsidRPr="00027624">
        <w:rPr>
          <w:rFonts w:eastAsiaTheme="minorEastAsia"/>
        </w:rPr>
        <w:t>Caring for ill/disabled/elderly person</w:t>
      </w:r>
      <w:r w:rsidR="00A8443E" w:rsidRPr="00027624">
        <w:rPr>
          <w:rFonts w:eastAsiaTheme="minorEastAsia"/>
        </w:rPr>
        <w:t>’</w:t>
      </w:r>
      <w:r w:rsidRPr="00027624">
        <w:rPr>
          <w:rFonts w:eastAsiaTheme="minorEastAsia"/>
        </w:rPr>
        <w:t xml:space="preserve">. </w:t>
      </w:r>
      <w:r w:rsidR="00A8443E" w:rsidRPr="00027624">
        <w:rPr>
          <w:rFonts w:eastAsiaTheme="minorEastAsia"/>
        </w:rPr>
        <w:t>‘</w:t>
      </w:r>
      <w:r w:rsidRPr="00027624">
        <w:rPr>
          <w:rFonts w:eastAsiaTheme="minorEastAsia"/>
        </w:rPr>
        <w:t>Illness or disability</w:t>
      </w:r>
      <w:r w:rsidR="00A8443E" w:rsidRPr="00027624">
        <w:rPr>
          <w:rFonts w:eastAsiaTheme="minorEastAsia"/>
        </w:rPr>
        <w:t>’</w:t>
      </w:r>
      <w:r w:rsidRPr="00027624">
        <w:rPr>
          <w:rFonts w:eastAsiaTheme="minorEastAsia"/>
        </w:rPr>
        <w:t xml:space="preserve"> is </w:t>
      </w:r>
      <w:r w:rsidR="00A8443E" w:rsidRPr="00027624">
        <w:rPr>
          <w:rFonts w:eastAsiaTheme="minorEastAsia"/>
        </w:rPr>
        <w:t>‘</w:t>
      </w:r>
      <w:r w:rsidRPr="00027624">
        <w:rPr>
          <w:rFonts w:eastAsiaTheme="minorEastAsia"/>
        </w:rPr>
        <w:t>Short</w:t>
      </w:r>
      <w:r w:rsidR="00A8443E" w:rsidRPr="00027624">
        <w:rPr>
          <w:rFonts w:eastAsiaTheme="minorEastAsia"/>
        </w:rPr>
        <w:noBreakHyphen/>
      </w:r>
      <w:r w:rsidRPr="00027624">
        <w:rPr>
          <w:rFonts w:eastAsiaTheme="minorEastAsia"/>
        </w:rPr>
        <w:t>term sickness or injury</w:t>
      </w:r>
      <w:r w:rsidR="00A8443E" w:rsidRPr="00027624">
        <w:rPr>
          <w:rFonts w:eastAsiaTheme="minorEastAsia"/>
        </w:rPr>
        <w:t>’</w:t>
      </w:r>
      <w:r w:rsidRPr="00027624">
        <w:rPr>
          <w:rFonts w:eastAsiaTheme="minorEastAsia"/>
        </w:rPr>
        <w:t xml:space="preserve"> and </w:t>
      </w:r>
      <w:r w:rsidR="00A8443E" w:rsidRPr="00027624">
        <w:rPr>
          <w:rFonts w:eastAsiaTheme="minorEastAsia"/>
        </w:rPr>
        <w:t>‘</w:t>
      </w:r>
      <w:r w:rsidRPr="00027624">
        <w:rPr>
          <w:rFonts w:eastAsiaTheme="minorEastAsia"/>
        </w:rPr>
        <w:t>Long</w:t>
      </w:r>
      <w:r w:rsidR="00A8443E" w:rsidRPr="00027624">
        <w:rPr>
          <w:rFonts w:eastAsiaTheme="minorEastAsia"/>
        </w:rPr>
        <w:noBreakHyphen/>
      </w:r>
      <w:r w:rsidRPr="00027624">
        <w:rPr>
          <w:rFonts w:eastAsiaTheme="minorEastAsia"/>
        </w:rPr>
        <w:t>term sickness or disability</w:t>
      </w:r>
      <w:r w:rsidR="00A8443E" w:rsidRPr="00027624">
        <w:rPr>
          <w:rFonts w:eastAsiaTheme="minorEastAsia"/>
        </w:rPr>
        <w:t>’</w:t>
      </w:r>
      <w:r w:rsidRPr="00027624">
        <w:rPr>
          <w:rFonts w:eastAsiaTheme="minorEastAsia"/>
        </w:rPr>
        <w:t xml:space="preserve">. </w:t>
      </w:r>
      <w:r w:rsidR="00A8443E" w:rsidRPr="00027624">
        <w:rPr>
          <w:rFonts w:eastAsiaTheme="minorEastAsia"/>
        </w:rPr>
        <w:t>‘</w:t>
      </w:r>
      <w:r w:rsidRPr="00027624">
        <w:rPr>
          <w:rFonts w:eastAsiaTheme="minorEastAsia"/>
        </w:rPr>
        <w:t>No current need</w:t>
      </w:r>
      <w:r w:rsidR="00A8443E" w:rsidRPr="00027624">
        <w:rPr>
          <w:rFonts w:eastAsiaTheme="minorEastAsia"/>
        </w:rPr>
        <w:t>’</w:t>
      </w:r>
      <w:r w:rsidRPr="00027624">
        <w:rPr>
          <w:rFonts w:eastAsiaTheme="minorEastAsia"/>
        </w:rPr>
        <w:t xml:space="preserve"> is </w:t>
      </w:r>
      <w:r w:rsidR="00A8443E" w:rsidRPr="00027624">
        <w:rPr>
          <w:rFonts w:eastAsiaTheme="minorEastAsia"/>
        </w:rPr>
        <w:t>‘</w:t>
      </w:r>
      <w:r w:rsidRPr="00027624">
        <w:rPr>
          <w:rFonts w:eastAsiaTheme="minorEastAsia"/>
        </w:rPr>
        <w:t>No need/satisfied with current arrangements/retired from full</w:t>
      </w:r>
      <w:r w:rsidR="00A8443E" w:rsidRPr="00027624">
        <w:rPr>
          <w:rFonts w:eastAsiaTheme="minorEastAsia"/>
        </w:rPr>
        <w:noBreakHyphen/>
      </w:r>
      <w:r w:rsidRPr="00027624">
        <w:rPr>
          <w:rFonts w:eastAsiaTheme="minorEastAsia"/>
        </w:rPr>
        <w:t>time work (for now)</w:t>
      </w:r>
      <w:r w:rsidR="00A8443E" w:rsidRPr="00027624">
        <w:rPr>
          <w:rFonts w:eastAsiaTheme="minorEastAsia"/>
        </w:rPr>
        <w:t>’</w:t>
      </w:r>
      <w:r w:rsidRPr="00027624">
        <w:rPr>
          <w:rFonts w:eastAsiaTheme="minorEastAsia"/>
        </w:rPr>
        <w:t>. Permanently retired</w:t>
      </w:r>
      <w:r w:rsidR="00A8443E" w:rsidRPr="00027624">
        <w:rPr>
          <w:rFonts w:eastAsiaTheme="minorEastAsia"/>
        </w:rPr>
        <w:t>’</w:t>
      </w:r>
      <w:r w:rsidRPr="00027624">
        <w:rPr>
          <w:rFonts w:eastAsiaTheme="minorEastAsia"/>
        </w:rPr>
        <w:t xml:space="preserve"> is </w:t>
      </w:r>
      <w:r w:rsidR="00A8443E" w:rsidRPr="00027624">
        <w:rPr>
          <w:rFonts w:eastAsiaTheme="minorEastAsia"/>
        </w:rPr>
        <w:t>‘</w:t>
      </w:r>
      <w:r w:rsidRPr="00027624">
        <w:rPr>
          <w:rFonts w:eastAsiaTheme="minorEastAsia"/>
        </w:rPr>
        <w:t>Permanently retired from full</w:t>
      </w:r>
      <w:r w:rsidR="00A8443E" w:rsidRPr="00027624">
        <w:rPr>
          <w:rFonts w:eastAsiaTheme="minorEastAsia"/>
        </w:rPr>
        <w:noBreakHyphen/>
      </w:r>
      <w:r w:rsidRPr="00027624">
        <w:rPr>
          <w:rFonts w:eastAsiaTheme="minorEastAsia"/>
        </w:rPr>
        <w:t>time work/will not work full</w:t>
      </w:r>
      <w:r w:rsidR="00A8443E" w:rsidRPr="00027624">
        <w:rPr>
          <w:rFonts w:eastAsiaTheme="minorEastAsia"/>
        </w:rPr>
        <w:noBreakHyphen/>
      </w:r>
      <w:r w:rsidRPr="00027624">
        <w:rPr>
          <w:rFonts w:eastAsiaTheme="minorEastAsia"/>
        </w:rPr>
        <w:t>time again</w:t>
      </w:r>
      <w:r w:rsidR="00A8443E" w:rsidRPr="00027624">
        <w:rPr>
          <w:rFonts w:eastAsiaTheme="minorEastAsia"/>
        </w:rPr>
        <w:t>’</w:t>
      </w:r>
      <w:r w:rsidRPr="00027624">
        <w:rPr>
          <w:rFonts w:eastAsiaTheme="minorEastAsia"/>
        </w:rPr>
        <w:t>. Source:</w:t>
      </w:r>
      <w:r w:rsidRPr="00027624">
        <w:rPr>
          <w:rFonts w:eastAsiaTheme="minorEastAsia"/>
        </w:rPr>
        <w:fldChar w:fldCharType="begin"/>
      </w:r>
      <w:r w:rsidRPr="00027624">
        <w:rPr>
          <w:rFonts w:eastAsiaTheme="minorEastAsia"/>
        </w:rPr>
        <w:instrText xml:space="preserve">CITATION ABS1714 \l 3081 </w:instrText>
      </w:r>
      <w:r w:rsidRPr="00027624">
        <w:rPr>
          <w:rFonts w:eastAsiaTheme="minorEastAsia"/>
        </w:rPr>
        <w:fldChar w:fldCharType="separate"/>
      </w:r>
      <w:r w:rsidR="00E83F6E">
        <w:rPr>
          <w:rFonts w:eastAsiaTheme="minorEastAsia"/>
          <w:noProof/>
        </w:rPr>
        <w:t xml:space="preserve"> </w:t>
      </w:r>
      <w:r w:rsidR="00E83F6E" w:rsidRPr="00E83F6E">
        <w:rPr>
          <w:rFonts w:eastAsiaTheme="minorEastAsia"/>
          <w:noProof/>
        </w:rPr>
        <w:t>(ABS, 2017b)</w:t>
      </w:r>
      <w:r w:rsidRPr="00027624">
        <w:rPr>
          <w:rFonts w:eastAsiaTheme="minorEastAsia"/>
        </w:rPr>
        <w:fldChar w:fldCharType="end"/>
      </w:r>
      <w:r w:rsidRPr="00027624">
        <w:rPr>
          <w:rFonts w:eastAsiaTheme="minorEastAsia"/>
        </w:rPr>
        <w:t>.</w:t>
      </w:r>
    </w:p>
    <w:p w14:paraId="5902211C" w14:textId="77777777" w:rsidR="002A2FAE" w:rsidRPr="00027624" w:rsidRDefault="002A2FAE" w:rsidP="002A2FAE">
      <w:pPr>
        <w:pStyle w:val="Heading4"/>
        <w:rPr>
          <w:rFonts w:eastAsiaTheme="minorEastAsia"/>
        </w:rPr>
      </w:pPr>
      <w:r w:rsidRPr="00027624">
        <w:rPr>
          <w:rFonts w:eastAsiaTheme="minorEastAsia"/>
        </w:rPr>
        <w:t xml:space="preserve">Influence of eligibility ages for the Age Pension and superannuation </w:t>
      </w:r>
    </w:p>
    <w:p w14:paraId="41BD0F6B" w14:textId="2AD325B6" w:rsidR="002A2FAE" w:rsidRPr="00BA3C92" w:rsidRDefault="002A2FAE" w:rsidP="002A2FAE">
      <w:pPr>
        <w:rPr>
          <w:spacing w:val="-2"/>
        </w:rPr>
      </w:pPr>
      <w:r w:rsidRPr="00BA3C92">
        <w:rPr>
          <w:spacing w:val="-2"/>
        </w:rPr>
        <w:t>The Age Pension eligibility age is a strong signal or anchor for retirement. Retirement is concentrated around the age people are eligible to apply for the Age Pension but increases steadily beginning around preservation age (</w:t>
      </w:r>
      <w:r w:rsidRPr="00BA3C92">
        <w:rPr>
          <w:spacing w:val="-2"/>
        </w:rPr>
        <w:fldChar w:fldCharType="begin"/>
      </w:r>
      <w:r w:rsidRPr="00BA3C92">
        <w:rPr>
          <w:spacing w:val="-2"/>
        </w:rPr>
        <w:instrText xml:space="preserve"> REF _Ref35254272 \r \h  \* MERGEFORMAT </w:instrText>
      </w:r>
      <w:r w:rsidRPr="00BA3C92">
        <w:rPr>
          <w:spacing w:val="-2"/>
        </w:rPr>
      </w:r>
      <w:r w:rsidRPr="00BA3C92">
        <w:rPr>
          <w:spacing w:val="-2"/>
        </w:rPr>
        <w:fldChar w:fldCharType="separate"/>
      </w:r>
      <w:r w:rsidR="00891058">
        <w:rPr>
          <w:spacing w:val="-2"/>
        </w:rPr>
        <w:t>Chart 5A-8</w:t>
      </w:r>
      <w:r w:rsidRPr="00BA3C92">
        <w:rPr>
          <w:spacing w:val="-2"/>
        </w:rPr>
        <w:fldChar w:fldCharType="end"/>
      </w:r>
      <w:r w:rsidRPr="00BA3C92">
        <w:rPr>
          <w:spacing w:val="-2"/>
        </w:rPr>
        <w:t>). An increasing minority choose to continue working at older ages.</w:t>
      </w:r>
    </w:p>
    <w:p w14:paraId="0D054EBF" w14:textId="77777777" w:rsidR="002A2FAE" w:rsidRPr="00027624" w:rsidRDefault="002A2FAE" w:rsidP="002A2FAE">
      <w:pPr>
        <w:pStyle w:val="ChartMainHeading"/>
      </w:pPr>
      <w:bookmarkStart w:id="4125" w:name="_Ref35254272"/>
      <w:r w:rsidRPr="00027624">
        <w:t>Changes in labour force participation rate by age</w:t>
      </w:r>
      <w:bookmarkEnd w:id="4125"/>
    </w:p>
    <w:p w14:paraId="1FAAA4D2" w14:textId="77777777" w:rsidR="002A2FAE" w:rsidRPr="00027624" w:rsidRDefault="0034302D" w:rsidP="002A2FAE">
      <w:pPr>
        <w:pStyle w:val="ChartGraphic"/>
      </w:pPr>
      <w:r>
        <w:rPr>
          <w:noProof/>
        </w:rPr>
        <w:drawing>
          <wp:inline distT="0" distB="0" distL="0" distR="0" wp14:anchorId="13CB6491" wp14:editId="7CDDCF90">
            <wp:extent cx="5547360" cy="2987040"/>
            <wp:effectExtent l="0" t="0" r="0" b="3810"/>
            <wp:docPr id="815138306" name="Picture 815138306" descr="This chart shows changes in the labour force participation rate by age for men in 2006 and 2016 and for women in 2006 and 2016. It shows the peak drop in labour force participation occurs at age 65 in each scenario except for women in 2006, where the greatest drop in labour force participation occurred at age 63, which aligned with women’s Age Pension eligibility age at the time.  " title="Chart 5A-8  Changes in labour force participation rate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47360" cy="2987040"/>
                    </a:xfrm>
                    <a:prstGeom prst="rect">
                      <a:avLst/>
                    </a:prstGeom>
                    <a:noFill/>
                  </pic:spPr>
                </pic:pic>
              </a:graphicData>
            </a:graphic>
          </wp:inline>
        </w:drawing>
      </w:r>
    </w:p>
    <w:p w14:paraId="7081BEF0" w14:textId="77777777" w:rsidR="002A2FAE" w:rsidRPr="00027624" w:rsidRDefault="002A2FAE" w:rsidP="002A2FAE">
      <w:pPr>
        <w:pStyle w:val="ChartorTableNote"/>
      </w:pPr>
      <w:r w:rsidRPr="00027624">
        <w:t>Note: This chart takes the proportion of people in the labour force at age 49, and then measures the incremental change in labour force participation rate at future ages. Source: Analysis of</w:t>
      </w:r>
      <w:r w:rsidRPr="00027624">
        <w:fldChar w:fldCharType="begin"/>
      </w:r>
      <w:r w:rsidRPr="00027624">
        <w:instrText>CITATION Aus16 \l 3081  \m ABS3</w:instrText>
      </w:r>
      <w:r w:rsidRPr="00027624">
        <w:fldChar w:fldCharType="separate"/>
      </w:r>
      <w:r w:rsidR="00E83F6E">
        <w:rPr>
          <w:noProof/>
        </w:rPr>
        <w:t xml:space="preserve"> (ABS, 2006a; ABS, 2016a)</w:t>
      </w:r>
      <w:r w:rsidRPr="00027624">
        <w:fldChar w:fldCharType="end"/>
      </w:r>
      <w:r w:rsidRPr="00027624">
        <w:t>.</w:t>
      </w:r>
    </w:p>
    <w:p w14:paraId="3C86F54C" w14:textId="77777777" w:rsidR="002A2FAE" w:rsidRPr="00027624" w:rsidRDefault="002A2FAE" w:rsidP="002A2FAE">
      <w:r w:rsidRPr="00027624">
        <w:t>International evidence suggests a strong relationship between age of retirement and the ages at which social security retirement benefits become accessible</w:t>
      </w:r>
      <w:r w:rsidRPr="00027624">
        <w:fldChar w:fldCharType="begin"/>
      </w:r>
      <w:r w:rsidRPr="00027624">
        <w:instrText xml:space="preserve"> CITATION Gru \l 3081 </w:instrText>
      </w:r>
      <w:r w:rsidRPr="00027624">
        <w:fldChar w:fldCharType="separate"/>
      </w:r>
      <w:r w:rsidR="00E83F6E">
        <w:rPr>
          <w:noProof/>
        </w:rPr>
        <w:t xml:space="preserve"> (Gruber &amp; Wise, 1997)</w:t>
      </w:r>
      <w:r w:rsidRPr="00027624">
        <w:fldChar w:fldCharType="end"/>
      </w:r>
      <w:r w:rsidRPr="00027624">
        <w:t>. In Australia, one study</w:t>
      </w:r>
      <w:r w:rsidRPr="00027624" w:rsidDel="00333328">
        <w:t xml:space="preserve"> </w:t>
      </w:r>
      <w:r w:rsidRPr="00027624">
        <w:t>found increasing the Age Pension eligibility age by one year reduced retirement probability each year by approximately 10 per cent</w:t>
      </w:r>
      <w:sdt>
        <w:sdtPr>
          <w:id w:val="337206374"/>
          <w:citation/>
        </w:sdtPr>
        <w:sdtEndPr/>
        <w:sdtContent>
          <w:r w:rsidR="00F16201" w:rsidRPr="00027624">
            <w:fldChar w:fldCharType="begin"/>
          </w:r>
          <w:r w:rsidR="00F16201" w:rsidRPr="00027624">
            <w:instrText xml:space="preserve">CITATION Kad15 \l 3081 </w:instrText>
          </w:r>
          <w:r w:rsidR="00F16201" w:rsidRPr="00027624">
            <w:fldChar w:fldCharType="separate"/>
          </w:r>
          <w:r w:rsidR="00E83F6E">
            <w:rPr>
              <w:noProof/>
            </w:rPr>
            <w:t xml:space="preserve"> (Atalay &amp; Barrett, 2012)</w:t>
          </w:r>
          <w:r w:rsidR="00F16201" w:rsidRPr="00027624">
            <w:fldChar w:fldCharType="end"/>
          </w:r>
        </w:sdtContent>
      </w:sdt>
      <w:r w:rsidRPr="00027624">
        <w:t>. Productivity Commission modelling showed increasing the Age Pension eligibility age from 67 to 70 increased participation rates for those at relevant ages by around 3</w:t>
      </w:r>
      <w:r w:rsidR="00A8443E" w:rsidRPr="00027624">
        <w:noBreakHyphen/>
      </w:r>
      <w:r w:rsidRPr="00027624">
        <w:t>10 per cent</w:t>
      </w:r>
      <w:r w:rsidRPr="00027624">
        <w:fldChar w:fldCharType="begin"/>
      </w:r>
      <w:r w:rsidRPr="00027624">
        <w:instrText xml:space="preserve">CITATION Pro13 \p 15 \l 3081 </w:instrText>
      </w:r>
      <w:r w:rsidRPr="00027624">
        <w:fldChar w:fldCharType="separate"/>
      </w:r>
      <w:r w:rsidR="00E83F6E">
        <w:rPr>
          <w:noProof/>
        </w:rPr>
        <w:t xml:space="preserve"> (Productivity Commission, 2013a, p. 15)</w:t>
      </w:r>
      <w:r w:rsidRPr="00027624">
        <w:fldChar w:fldCharType="end"/>
      </w:r>
      <w:r w:rsidRPr="00027624">
        <w:t xml:space="preserve">. For further discussion on the factors that influence retirement decisions see </w:t>
      </w:r>
      <w:r w:rsidRPr="00027624">
        <w:rPr>
          <w:i/>
        </w:rPr>
        <w:t>3E. Age of retirement.</w:t>
      </w:r>
    </w:p>
    <w:p w14:paraId="207D450B" w14:textId="77777777" w:rsidR="002A2FAE" w:rsidRPr="00027624" w:rsidRDefault="002A2FAE" w:rsidP="002A2FAE">
      <w:pPr>
        <w:pStyle w:val="Heading3"/>
        <w:rPr>
          <w:rFonts w:eastAsiaTheme="majorEastAsia"/>
        </w:rPr>
      </w:pPr>
      <w:r w:rsidRPr="00027624">
        <w:rPr>
          <w:rFonts w:eastAsiaTheme="majorEastAsia"/>
        </w:rPr>
        <w:t>Incentives to invest</w:t>
      </w:r>
    </w:p>
    <w:p w14:paraId="00CE8813" w14:textId="091088D8" w:rsidR="002A2FAE" w:rsidRPr="00027624" w:rsidRDefault="002A2FAE" w:rsidP="002A2FAE">
      <w:pPr>
        <w:rPr>
          <w:b/>
        </w:rPr>
      </w:pPr>
      <w:r w:rsidRPr="00027624">
        <w:t>Incentives in the retirement income system can influence how people invest their savings and whether they maximise their investment returns. Upon retirement, most people</w:t>
      </w:r>
      <w:r w:rsidR="00A8443E" w:rsidRPr="00027624">
        <w:t>’</w:t>
      </w:r>
      <w:r w:rsidRPr="00027624">
        <w:t>s two largest assets are their principal residence and their superannuation</w:t>
      </w:r>
      <w:r w:rsidRPr="00027624">
        <w:fldChar w:fldCharType="begin"/>
      </w:r>
      <w:r w:rsidRPr="00027624">
        <w:instrText xml:space="preserve"> CITATION ABS198 \l 3081 </w:instrText>
      </w:r>
      <w:r w:rsidRPr="00027624">
        <w:fldChar w:fldCharType="separate"/>
      </w:r>
      <w:r w:rsidR="00E83F6E">
        <w:rPr>
          <w:noProof/>
        </w:rPr>
        <w:t xml:space="preserve"> (ABS, 2019k)</w:t>
      </w:r>
      <w:r w:rsidRPr="00027624">
        <w:fldChar w:fldCharType="end"/>
      </w:r>
      <w:r w:rsidRPr="00027624">
        <w:t>. Both have low effective marginal tax rates compared with other assets (</w:t>
      </w:r>
      <w:r w:rsidRPr="00027624">
        <w:fldChar w:fldCharType="begin"/>
      </w:r>
      <w:r w:rsidRPr="00027624">
        <w:instrText xml:space="preserve"> REF _Ref35254349 \r \h  \* MERGEFORMAT </w:instrText>
      </w:r>
      <w:r w:rsidRPr="00027624">
        <w:fldChar w:fldCharType="separate"/>
      </w:r>
      <w:r w:rsidR="00891058">
        <w:t>Chart 5A-9</w:t>
      </w:r>
      <w:r w:rsidRPr="00027624">
        <w:fldChar w:fldCharType="end"/>
      </w:r>
      <w:r w:rsidRPr="00027624">
        <w:t xml:space="preserve">). </w:t>
      </w:r>
    </w:p>
    <w:p w14:paraId="0E46E28C" w14:textId="77777777" w:rsidR="002A2FAE" w:rsidRPr="00027624" w:rsidRDefault="002A2FAE" w:rsidP="002A2FAE">
      <w:pPr>
        <w:pStyle w:val="ChartMainHeading"/>
      </w:pPr>
      <w:bookmarkStart w:id="4126" w:name="_Ref35254349"/>
      <w:r w:rsidRPr="00027624">
        <w:t>Effective marginal tax rates for different asset classes</w:t>
      </w:r>
      <w:bookmarkEnd w:id="4126"/>
    </w:p>
    <w:p w14:paraId="506DDDB1" w14:textId="77777777" w:rsidR="002A2FAE" w:rsidRPr="00027624" w:rsidRDefault="00254DCC" w:rsidP="00D60066">
      <w:pPr>
        <w:pStyle w:val="ChartGraphic"/>
      </w:pPr>
      <w:r>
        <w:rPr>
          <w:noProof/>
        </w:rPr>
        <w:drawing>
          <wp:inline distT="0" distB="0" distL="0" distR="0" wp14:anchorId="6470C3B1" wp14:editId="55104B38">
            <wp:extent cx="5547360" cy="4320540"/>
            <wp:effectExtent l="0" t="0" r="0" b="3810"/>
            <wp:docPr id="229" name="Picture 229" descr="This chart shows the effective marginal tax rates of assets including own home, superannuation, investment property and other assets such as savings accounts, domestic shares and international shares. The highest effective marginal tax rates are on the rental income from investment property and savings accounts. A person’s own home and superannuation have among the lowest effective marginal tax rates." title="Chart 5A-9 Effective marginal tax rates for different asset 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547360" cy="4320540"/>
                    </a:xfrm>
                    <a:prstGeom prst="rect">
                      <a:avLst/>
                    </a:prstGeom>
                    <a:noFill/>
                  </pic:spPr>
                </pic:pic>
              </a:graphicData>
            </a:graphic>
          </wp:inline>
        </w:drawing>
      </w:r>
    </w:p>
    <w:p w14:paraId="21DEA38F" w14:textId="77777777" w:rsidR="002A2FAE" w:rsidRPr="00027624" w:rsidRDefault="002A2FAE" w:rsidP="002A2FAE">
      <w:pPr>
        <w:pStyle w:val="ChartorTableNote"/>
      </w:pPr>
      <w:r w:rsidRPr="00027624">
        <w:t>Note: This chart shows the effective marginal tax rates in Australia for several asset types for a 20</w:t>
      </w:r>
      <w:r w:rsidR="00A8443E" w:rsidRPr="00027624">
        <w:noBreakHyphen/>
      </w:r>
      <w:r w:rsidRPr="00027624">
        <w:t>year investment. The calculation incorpo</w:t>
      </w:r>
      <w:r w:rsidRPr="00027624">
        <w:rPr>
          <w:color w:val="auto"/>
        </w:rPr>
        <w:t xml:space="preserve">rates the effects of the personal income tax including imputation credit, capital gains discounts, Medicare Levy and superannuation </w:t>
      </w:r>
      <w:r w:rsidRPr="00027624">
        <w:t>taxes (except Division 293 tax). It also incorporates land taxes and stamp duties. It uses a baseline where people pay the full marginal tax rate on labour income but no further taxes on savings. Concessional tax rates on superannuation and annual rental losses on negatively</w:t>
      </w:r>
      <w:r w:rsidR="00A8443E" w:rsidRPr="00027624">
        <w:noBreakHyphen/>
      </w:r>
      <w:r w:rsidRPr="00027624">
        <w:t xml:space="preserve">geared properties reduce total tax revenue and can generate negative effective marginal tax rates. For people on 47 per cent income tax for whom Division 293 tax applies, the effective marginal tax rate of concessional superannuation contributions increases from </w:t>
      </w:r>
      <w:r w:rsidR="00A8443E" w:rsidRPr="00027624">
        <w:noBreakHyphen/>
      </w:r>
      <w:r w:rsidRPr="00027624">
        <w:t xml:space="preserve">44 per cent to </w:t>
      </w:r>
      <w:r w:rsidR="00A8443E" w:rsidRPr="00027624">
        <w:noBreakHyphen/>
      </w:r>
      <w:r w:rsidRPr="00027624">
        <w:t>14 per cent. Effective marginal tax rates for superannuation are sensitive to the assumed length of investment, the assumed rate of inflation, and the assumed real return on investment. The effective marginal tax rate on non</w:t>
      </w:r>
      <w:r w:rsidR="00A8443E" w:rsidRPr="00027624">
        <w:noBreakHyphen/>
      </w:r>
      <w:r w:rsidRPr="00027624">
        <w:t>concessional superannuation contributions reflects the tax rate applying to real returns, making it higher than the 15 per cent nominal tax rate. Source: Data provided by the Tax and Transfer Policy Institute for the review, 2020.</w:t>
      </w:r>
    </w:p>
    <w:p w14:paraId="7535756B" w14:textId="77777777" w:rsidR="002A2FAE" w:rsidRPr="00027624" w:rsidRDefault="002A2FAE" w:rsidP="002A2FAE">
      <w:pPr>
        <w:pStyle w:val="Heading4"/>
      </w:pPr>
      <w:r w:rsidRPr="00027624">
        <w:t>Investments in the principal residence</w:t>
      </w:r>
    </w:p>
    <w:p w14:paraId="1EE68D39" w14:textId="77777777" w:rsidR="002A2FAE" w:rsidRPr="00027624" w:rsidRDefault="002A2FAE" w:rsidP="002A2FAE">
      <w:r w:rsidRPr="00027624">
        <w:t>The retirement income system has some influence on decisions to purchase a home through both superannuation and Age Pension policy settings.</w:t>
      </w:r>
    </w:p>
    <w:p w14:paraId="0DC48739" w14:textId="77777777" w:rsidR="002A2FAE" w:rsidRPr="00027624" w:rsidRDefault="002A2FAE" w:rsidP="002A2FAE">
      <w:r w:rsidRPr="00027624">
        <w:t xml:space="preserve">Superannuation interacts with home ownership in two ways: </w:t>
      </w:r>
    </w:p>
    <w:p w14:paraId="47843C12" w14:textId="77777777" w:rsidR="002A2FAE" w:rsidRPr="00027624" w:rsidRDefault="002A2FAE" w:rsidP="00FC7361">
      <w:pPr>
        <w:pStyle w:val="OutlineNumbered1"/>
        <w:numPr>
          <w:ilvl w:val="0"/>
          <w:numId w:val="95"/>
        </w:numPr>
      </w:pPr>
      <w:r w:rsidRPr="00027624">
        <w:t>Superannuation and housing investments compete with each other for household savings, deterring investment in more liquid assets such as stocks or bonds.</w:t>
      </w:r>
      <w:r w:rsidRPr="00027624" w:rsidDel="00EA4927">
        <w:t xml:space="preserve"> </w:t>
      </w:r>
      <w:r w:rsidRPr="00027624">
        <w:t>One study found having a mortgage marginally decreases the level of superannuation savings</w:t>
      </w:r>
      <w:r w:rsidRPr="00027624">
        <w:fldChar w:fldCharType="begin"/>
      </w:r>
      <w:r w:rsidRPr="00027624">
        <w:instrText xml:space="preserve">CITATION Fen18 \p 10 \l 3081 </w:instrText>
      </w:r>
      <w:r w:rsidRPr="00027624">
        <w:fldChar w:fldCharType="separate"/>
      </w:r>
      <w:r w:rsidR="00E83F6E">
        <w:rPr>
          <w:noProof/>
        </w:rPr>
        <w:t xml:space="preserve"> (Feng, 2018, p. 10)</w:t>
      </w:r>
      <w:r w:rsidRPr="00027624">
        <w:fldChar w:fldCharType="end"/>
      </w:r>
      <w:r w:rsidRPr="00027624">
        <w:t>. Another study and research commissioned by the review found the SG marginally decreases other household savings but has a positive effect on household net wealth</w:t>
      </w:r>
      <w:r w:rsidRPr="00027624">
        <w:fldChar w:fldCharType="begin"/>
      </w:r>
      <w:r w:rsidRPr="00027624">
        <w:instrText xml:space="preserve">CITATION Rut20 \m Con07 \l 3081 </w:instrText>
      </w:r>
      <w:r w:rsidRPr="00027624">
        <w:fldChar w:fldCharType="separate"/>
      </w:r>
      <w:r w:rsidR="00E83F6E">
        <w:rPr>
          <w:noProof/>
        </w:rPr>
        <w:t xml:space="preserve"> (Ruthbah &amp; Pham, 2020a; Connolly, 2007)</w:t>
      </w:r>
      <w:r w:rsidRPr="00027624">
        <w:fldChar w:fldCharType="end"/>
      </w:r>
      <w:r w:rsidRPr="00027624">
        <w:t>.</w:t>
      </w:r>
    </w:p>
    <w:p w14:paraId="37015861" w14:textId="77777777" w:rsidR="002A2FAE" w:rsidRPr="00027624" w:rsidRDefault="002A2FAE" w:rsidP="00931935">
      <w:pPr>
        <w:pStyle w:val="OutlineNumbered1"/>
      </w:pPr>
      <w:r w:rsidRPr="00027624">
        <w:t>The First Home Super Saver Scheme (FHSSS) allows people to save money for their first home inside their superannuation fund, using the concessional tax treatment of superannuation to save faster. This incentive</w:t>
      </w:r>
      <w:r w:rsidR="00A8443E" w:rsidRPr="00027624">
        <w:t>’</w:t>
      </w:r>
      <w:r w:rsidRPr="00027624">
        <w:t>s effectiveness is unclear, with only 8,216</w:t>
      </w:r>
      <w:r w:rsidR="00AD6771" w:rsidRPr="00027624">
        <w:t> </w:t>
      </w:r>
      <w:r w:rsidRPr="00027624">
        <w:t>people acces</w:t>
      </w:r>
      <w:r w:rsidRPr="00027624">
        <w:rPr>
          <w:bCs/>
        </w:rPr>
        <w:t>sing</w:t>
      </w:r>
      <w:r w:rsidRPr="00027624">
        <w:t xml:space="preserve"> the FHSSS since its introduction in 2018. The average amount withdrawn was $12,882.</w:t>
      </w:r>
      <w:r w:rsidRPr="00027624">
        <w:rPr>
          <w:rStyle w:val="FootnoteReference"/>
        </w:rPr>
        <w:footnoteReference w:id="292"/>
      </w:r>
      <w:r w:rsidRPr="00027624">
        <w:rPr>
          <w:vertAlign w:val="superscript"/>
        </w:rPr>
        <w:t xml:space="preserve"> </w:t>
      </w:r>
    </w:p>
    <w:p w14:paraId="49A852E9" w14:textId="77777777" w:rsidR="002A2FAE" w:rsidRPr="00027624" w:rsidRDefault="002A2FAE" w:rsidP="002A2FAE">
      <w:r w:rsidRPr="00027624">
        <w:t>Several submissions said exempting the principal residence from the Age Pension assets test creates an incentive to invest more in housing than would occur if the principal residence was in the asset</w:t>
      </w:r>
      <w:r w:rsidR="00EE4A19" w:rsidRPr="00027624">
        <w:t>s</w:t>
      </w:r>
      <w:r w:rsidRPr="00027624">
        <w:t xml:space="preserve"> test. Although little evidence exists to show the significance of this incentive (see </w:t>
      </w:r>
      <w:r w:rsidRPr="00027624">
        <w:rPr>
          <w:i/>
        </w:rPr>
        <w:t>3C. Home ownership status</w:t>
      </w:r>
      <w:r w:rsidRPr="00027624">
        <w:t>).</w:t>
      </w:r>
    </w:p>
    <w:p w14:paraId="59818E08" w14:textId="77777777" w:rsidR="002A2FAE" w:rsidRPr="00027624" w:rsidRDefault="002A2FAE">
      <w:r w:rsidRPr="00027624">
        <w:t>While the retirement income system affects incentives to invest in the principal residence, more influential drivers of investment in housing exist outside the system. These include financial incentives (e.g. capital gains tax concessions) that apply when most people make home purchase decisions, and non</w:t>
      </w:r>
      <w:r w:rsidR="00A8443E" w:rsidRPr="00027624">
        <w:noBreakHyphen/>
      </w:r>
      <w:r w:rsidRPr="00027624">
        <w:t>financial factors (e.g. emotional security, stability and belonging)</w:t>
      </w:r>
      <w:r w:rsidRPr="00027624">
        <w:fldChar w:fldCharType="begin"/>
      </w:r>
      <w:r w:rsidRPr="00027624">
        <w:instrText xml:space="preserve">CITATION Aus17f \l 3081 </w:instrText>
      </w:r>
      <w:r w:rsidRPr="00027624">
        <w:fldChar w:fldCharType="separate"/>
      </w:r>
      <w:r w:rsidR="00E83F6E">
        <w:rPr>
          <w:noProof/>
        </w:rPr>
        <w:t xml:space="preserve"> (Sheppard, et al., 2017)</w:t>
      </w:r>
      <w:r w:rsidRPr="00027624">
        <w:fldChar w:fldCharType="end"/>
      </w:r>
      <w:r w:rsidRPr="00027624">
        <w:t>.</w:t>
      </w:r>
    </w:p>
    <w:p w14:paraId="5A32BD7E" w14:textId="77777777" w:rsidR="002A2FAE" w:rsidRPr="00027624" w:rsidRDefault="002A2FAE">
      <w:r w:rsidRPr="00027624">
        <w:rPr>
          <w:b/>
        </w:rPr>
        <w:t>Concentrating wealth in home ownership could lead to suboptimal outcomes</w:t>
      </w:r>
      <w:r w:rsidRPr="00027624">
        <w:t>. Historically, home ownership has generated good investment returns</w:t>
      </w:r>
      <w:r w:rsidRPr="00027624">
        <w:fldChar w:fldCharType="begin"/>
      </w:r>
      <w:r w:rsidRPr="00027624">
        <w:instrText xml:space="preserve">CITATION CEP19 \p 27 \l 3081 </w:instrText>
      </w:r>
      <w:r w:rsidRPr="00027624">
        <w:fldChar w:fldCharType="separate"/>
      </w:r>
      <w:r w:rsidR="00E83F6E">
        <w:rPr>
          <w:noProof/>
        </w:rPr>
        <w:t xml:space="preserve"> (CEPAR, 2019, p. 27)</w:t>
      </w:r>
      <w:r w:rsidRPr="00027624">
        <w:fldChar w:fldCharType="end"/>
      </w:r>
      <w:r w:rsidRPr="00027624">
        <w:t>. Housing inflation has contributed to wealth accumulation</w:t>
      </w:r>
      <w:r w:rsidRPr="00027624">
        <w:fldChar w:fldCharType="begin"/>
      </w:r>
      <w:r w:rsidRPr="00027624">
        <w:instrText xml:space="preserve"> CITATION Adk19 \l 3081 </w:instrText>
      </w:r>
      <w:r w:rsidRPr="00027624">
        <w:fldChar w:fldCharType="separate"/>
      </w:r>
      <w:r w:rsidR="00E83F6E">
        <w:rPr>
          <w:noProof/>
        </w:rPr>
        <w:t xml:space="preserve"> (Adkins, et al., 2019)</w:t>
      </w:r>
      <w:r w:rsidRPr="00027624">
        <w:fldChar w:fldCharType="end"/>
      </w:r>
      <w:r w:rsidRPr="00027624">
        <w:t>, benefiting retirees. However, owning a principal residence is not always the best investment option for retirement</w:t>
      </w:r>
      <w:r w:rsidRPr="00027624">
        <w:fldChar w:fldCharType="begin"/>
      </w:r>
      <w:r w:rsidRPr="00027624">
        <w:instrText xml:space="preserve"> CITATION Fox14 \l 3081  \m Bar16s</w:instrText>
      </w:r>
      <w:r w:rsidRPr="00027624">
        <w:fldChar w:fldCharType="separate"/>
      </w:r>
      <w:r w:rsidR="00E83F6E">
        <w:rPr>
          <w:noProof/>
        </w:rPr>
        <w:t xml:space="preserve"> (Fox &amp; Tulip, 2014; Masters &amp; Price, 2019)</w:t>
      </w:r>
      <w:r w:rsidRPr="00027624">
        <w:fldChar w:fldCharType="end"/>
      </w:r>
      <w:r w:rsidRPr="00027624">
        <w:t>:</w:t>
      </w:r>
    </w:p>
    <w:p w14:paraId="679C7CE3" w14:textId="77777777" w:rsidR="002A2FAE" w:rsidRPr="00027624" w:rsidRDefault="002A2FAE" w:rsidP="00931935">
      <w:pPr>
        <w:pStyle w:val="Bullet"/>
      </w:pPr>
      <w:r w:rsidRPr="00027624">
        <w:t>Renters investing the equivalent of mortgage payments in other assets could be better off during periods when house prices are stable or falling.</w:t>
      </w:r>
    </w:p>
    <w:p w14:paraId="797002CD" w14:textId="77777777" w:rsidR="002A2FAE" w:rsidRPr="00027624" w:rsidRDefault="002A2FAE" w:rsidP="00931935">
      <w:pPr>
        <w:pStyle w:val="Bullet"/>
      </w:pPr>
      <w:r w:rsidRPr="00027624">
        <w:t xml:space="preserve">Retirees are often reluctant to sell their principal residence to fund retirement (see </w:t>
      </w:r>
      <w:r w:rsidRPr="00027624">
        <w:rPr>
          <w:i/>
        </w:rPr>
        <w:t>Consumption of housing equity</w:t>
      </w:r>
      <w:r w:rsidRPr="00027624">
        <w:t>, below).</w:t>
      </w:r>
    </w:p>
    <w:p w14:paraId="592879B8" w14:textId="77777777" w:rsidR="002A2FAE" w:rsidRPr="00027624" w:rsidRDefault="002A2FAE" w:rsidP="00931935">
      <w:pPr>
        <w:pStyle w:val="Bullet"/>
      </w:pPr>
      <w:r w:rsidRPr="00027624">
        <w:t>Retirees with large mortgage debt are vulnerable to negative economic shocks and more likely to cut back on spending</w:t>
      </w:r>
      <w:r w:rsidRPr="00027624">
        <w:fldChar w:fldCharType="begin"/>
      </w:r>
      <w:r w:rsidRPr="00027624">
        <w:instrText xml:space="preserve"> CITATION Pri19 \l 3081 </w:instrText>
      </w:r>
      <w:r w:rsidRPr="00027624">
        <w:fldChar w:fldCharType="separate"/>
      </w:r>
      <w:r w:rsidR="00E83F6E">
        <w:rPr>
          <w:noProof/>
        </w:rPr>
        <w:t xml:space="preserve"> (Price, et al., 2019)</w:t>
      </w:r>
      <w:r w:rsidRPr="00027624">
        <w:fldChar w:fldCharType="end"/>
      </w:r>
      <w:r w:rsidRPr="00027624">
        <w:t xml:space="preserve"> (see </w:t>
      </w:r>
      <w:r w:rsidRPr="00027624">
        <w:rPr>
          <w:i/>
        </w:rPr>
        <w:t>2C. Maintaining standards of living in retirement</w:t>
      </w:r>
      <w:r w:rsidRPr="00027624">
        <w:t>).</w:t>
      </w:r>
    </w:p>
    <w:p w14:paraId="00D25C71" w14:textId="77777777" w:rsidR="002A2FAE" w:rsidRPr="00027624" w:rsidRDefault="002A2FAE" w:rsidP="002A2FAE">
      <w:r w:rsidRPr="00027624">
        <w:t>Given most home owners have better retirement outcomes than non</w:t>
      </w:r>
      <w:r w:rsidR="00A8443E" w:rsidRPr="00027624">
        <w:noBreakHyphen/>
      </w:r>
      <w:r w:rsidRPr="00027624">
        <w:t>home owners, many submissions raised equity concerns about excluding the principal residence from the Age Pension asset</w:t>
      </w:r>
      <w:r w:rsidR="00EE4A19" w:rsidRPr="00027624">
        <w:t>s</w:t>
      </w:r>
      <w:r w:rsidRPr="00027624">
        <w:t xml:space="preserve"> test (see </w:t>
      </w:r>
      <w:r w:rsidRPr="00027624">
        <w:rPr>
          <w:i/>
        </w:rPr>
        <w:t>3C. Home ownership status</w:t>
      </w:r>
      <w:r w:rsidRPr="00027624">
        <w:t>).</w:t>
      </w:r>
    </w:p>
    <w:p w14:paraId="2131114D" w14:textId="77777777" w:rsidR="002A2FAE" w:rsidRPr="00027624" w:rsidRDefault="002A2FAE" w:rsidP="002A2FAE">
      <w:pPr>
        <w:pStyle w:val="Heading2"/>
      </w:pPr>
      <w:bookmarkStart w:id="4127" w:name="_Ref44421963"/>
      <w:bookmarkStart w:id="4128" w:name="_Toc45520552"/>
      <w:bookmarkStart w:id="4129" w:name="_Toc46133664"/>
      <w:r w:rsidRPr="00027624">
        <w:t>Cohesiveness of the retirement phase</w:t>
      </w:r>
      <w:bookmarkEnd w:id="4127"/>
      <w:bookmarkEnd w:id="4128"/>
      <w:bookmarkEnd w:id="4129"/>
      <w:r w:rsidRPr="00027624">
        <w:t xml:space="preserve"> </w:t>
      </w:r>
    </w:p>
    <w:p w14:paraId="72717DEE" w14:textId="77777777" w:rsidR="002A2FAE" w:rsidRPr="00027624" w:rsidRDefault="002A2FAE" w:rsidP="002A2FAE">
      <w:r w:rsidRPr="00027624">
        <w:t xml:space="preserve">For the system to be cohesive, its retirement phase should support people in converting their savings into income. This is particularly important for superannuation given that compulsory savings and tax concessions exist to provide retirement income. Current retirement outcomes show savings are often not being used as income, with significant amounts left as unintentional bequests. </w:t>
      </w:r>
    </w:p>
    <w:p w14:paraId="06F8F954" w14:textId="77777777" w:rsidR="002A2FAE" w:rsidRPr="00027624" w:rsidRDefault="002A2FAE" w:rsidP="002A2FAE">
      <w:r w:rsidRPr="00027624">
        <w:t>The complexity of decision</w:t>
      </w:r>
      <w:r w:rsidR="00A8443E" w:rsidRPr="00027624">
        <w:noBreakHyphen/>
      </w:r>
      <w:r w:rsidRPr="00027624">
        <w:t xml:space="preserve">making at the point of retirement, relatively low levels of financial literacy and infrequent use of services such as financial advice contribute to many people making suboptimal decisions. People are more likely to rely on behavioural biases and rules of thumb when deciding how to spend their savings. This may lead to lower standards of living in retirement (see </w:t>
      </w:r>
      <w:r w:rsidRPr="00027624">
        <w:rPr>
          <w:i/>
        </w:rPr>
        <w:t>Default bias and anchoring</w:t>
      </w:r>
      <w:r w:rsidRPr="00027624">
        <w:t xml:space="preserve">, below). </w:t>
      </w:r>
    </w:p>
    <w:p w14:paraId="1881CFEE" w14:textId="77777777" w:rsidR="002A2FAE" w:rsidRPr="00027624" w:rsidRDefault="002A2FAE" w:rsidP="002A2FAE">
      <w:r w:rsidRPr="00027624">
        <w:t xml:space="preserve">For the retirement phase to </w:t>
      </w:r>
      <w:r w:rsidRPr="00027624" w:rsidDel="000A14CE">
        <w:t>be more effective,</w:t>
      </w:r>
      <w:r w:rsidRPr="00027624">
        <w:t xml:space="preserve"> people need more assistance to navigate the system and get better outcomes; for example, through guided choice and </w:t>
      </w:r>
      <w:r w:rsidRPr="00027624" w:rsidDel="00842FE4">
        <w:t>s</w:t>
      </w:r>
      <w:r w:rsidRPr="00027624">
        <w:t>ystem simplification.</w:t>
      </w:r>
    </w:p>
    <w:p w14:paraId="47128AB8" w14:textId="77777777" w:rsidR="002A2FAE" w:rsidRPr="00027624" w:rsidRDefault="002A2FAE" w:rsidP="002A2FAE">
      <w:pPr>
        <w:pStyle w:val="Heading3"/>
        <w:tabs>
          <w:tab w:val="left" w:pos="6225"/>
        </w:tabs>
      </w:pPr>
      <w:bookmarkStart w:id="4130" w:name="_Ref43134158"/>
      <w:r w:rsidRPr="00027624">
        <w:t>Current retirement outcomes</w:t>
      </w:r>
      <w:bookmarkEnd w:id="4130"/>
    </w:p>
    <w:p w14:paraId="2D608398" w14:textId="77777777" w:rsidR="002A2FAE" w:rsidRPr="00027624" w:rsidRDefault="002A2FAE" w:rsidP="002A2FAE">
      <w:pPr>
        <w:pStyle w:val="Heading4"/>
      </w:pPr>
      <w:r w:rsidRPr="00027624">
        <w:t>Consumption of assets</w:t>
      </w:r>
    </w:p>
    <w:p w14:paraId="6AA53462" w14:textId="77DD5A8A" w:rsidR="002A2FAE" w:rsidRPr="00027624" w:rsidRDefault="002A2FAE" w:rsidP="002A2FAE">
      <w:r w:rsidRPr="00027624">
        <w:rPr>
          <w:b/>
        </w:rPr>
        <w:t>In general, retirees do not consume their retirement savings</w:t>
      </w:r>
      <w:r w:rsidRPr="00027624">
        <w:t>. Net financial wealth (including superannuation but not housing) grows in retirement, apart from a decline associated with the GFC (</w:t>
      </w:r>
      <w:r w:rsidRPr="00027624">
        <w:fldChar w:fldCharType="begin"/>
      </w:r>
      <w:r w:rsidRPr="00027624">
        <w:instrText xml:space="preserve"> REF _Ref43899265 \r \h  \* MERGEFORMAT </w:instrText>
      </w:r>
      <w:r w:rsidRPr="00027624">
        <w:fldChar w:fldCharType="separate"/>
      </w:r>
      <w:r w:rsidR="00891058">
        <w:t>Chart 5A-10</w:t>
      </w:r>
      <w:r w:rsidRPr="00027624">
        <w:fldChar w:fldCharType="end"/>
      </w:r>
      <w:r w:rsidRPr="00027624">
        <w:t>). For age pensioners, this is true across all asset types (including superannuation, housing and other savings), regardless of wealth levels and whether they recently started or finished their retirement</w:t>
      </w:r>
      <w:r w:rsidRPr="00027624">
        <w:fldChar w:fldCharType="begin"/>
      </w:r>
      <w:r w:rsidRPr="00027624">
        <w:instrText xml:space="preserve"> CITATION Ash17 \l 3081 </w:instrText>
      </w:r>
      <w:r w:rsidRPr="00027624">
        <w:fldChar w:fldCharType="separate"/>
      </w:r>
      <w:r w:rsidR="00E83F6E">
        <w:rPr>
          <w:noProof/>
        </w:rPr>
        <w:t xml:space="preserve"> (Asher, et al., 2017)</w:t>
      </w:r>
      <w:r w:rsidRPr="00027624">
        <w:fldChar w:fldCharType="end"/>
      </w:r>
      <w:r w:rsidRPr="00027624">
        <w:t>.</w:t>
      </w:r>
      <w:r w:rsidRPr="00027624">
        <w:rPr>
          <w:rStyle w:val="FootnoteReference"/>
        </w:rPr>
        <w:footnoteReference w:id="293"/>
      </w:r>
      <w:r w:rsidRPr="00027624">
        <w:t xml:space="preserve"> While this is a general trend, some age pensioners do consume more of their assets than others:</w:t>
      </w:r>
    </w:p>
    <w:p w14:paraId="5ED78F75" w14:textId="77777777" w:rsidR="002A2FAE" w:rsidRPr="00027624" w:rsidRDefault="002A2FAE" w:rsidP="00931935">
      <w:pPr>
        <w:pStyle w:val="Bullet"/>
      </w:pPr>
      <w:r w:rsidRPr="00027624">
        <w:t>Around 10 per cent of single age pensioners consumed 90 per cent of their assets in an eight</w:t>
      </w:r>
      <w:r w:rsidR="00A8443E" w:rsidRPr="00027624">
        <w:noBreakHyphen/>
      </w:r>
      <w:r w:rsidRPr="00027624">
        <w:t>year period.</w:t>
      </w:r>
      <w:r w:rsidRPr="00027624">
        <w:rPr>
          <w:rStyle w:val="FootnoteReference"/>
        </w:rPr>
        <w:footnoteReference w:id="294"/>
      </w:r>
      <w:r w:rsidRPr="00027624">
        <w:t xml:space="preserve"> A small number of them exhausted all their assets</w:t>
      </w:r>
      <w:r w:rsidRPr="00027624">
        <w:fldChar w:fldCharType="begin"/>
      </w:r>
      <w:r w:rsidRPr="00027624">
        <w:instrText xml:space="preserve">CITATION Ash17 \p 585 \t  \l 3081 </w:instrText>
      </w:r>
      <w:r w:rsidRPr="00027624" w:rsidDel="007141E6">
        <w:instrText xml:space="preserve">CITATION Ash17 \p 585 \t  \l 3081 </w:instrText>
      </w:r>
      <w:r w:rsidRPr="00027624">
        <w:fldChar w:fldCharType="separate"/>
      </w:r>
      <w:r w:rsidR="00E83F6E">
        <w:rPr>
          <w:noProof/>
        </w:rPr>
        <w:t xml:space="preserve"> (Asher, et al., 2017, p. 585)</w:t>
      </w:r>
      <w:r w:rsidRPr="00027624">
        <w:fldChar w:fldCharType="end"/>
      </w:r>
      <w:r w:rsidRPr="00027624">
        <w:t>.</w:t>
      </w:r>
    </w:p>
    <w:p w14:paraId="0EA75F03" w14:textId="77777777" w:rsidR="002A2FAE" w:rsidRPr="00027624" w:rsidRDefault="002A2FAE" w:rsidP="00931935">
      <w:pPr>
        <w:pStyle w:val="Bullet"/>
      </w:pPr>
      <w:r w:rsidRPr="00027624">
        <w:t>Long</w:t>
      </w:r>
      <w:r w:rsidR="00A8443E" w:rsidRPr="00027624">
        <w:noBreakHyphen/>
      </w:r>
      <w:r w:rsidRPr="00027624">
        <w:t>term singles (those who entered retirement single) and non</w:t>
      </w:r>
      <w:r w:rsidR="00A8443E" w:rsidRPr="00027624">
        <w:noBreakHyphen/>
      </w:r>
      <w:r w:rsidRPr="00027624">
        <w:t>home owners who receive the Age Pension tend to consume their assets faster than other households</w:t>
      </w:r>
      <w:r w:rsidRPr="00027624">
        <w:fldChar w:fldCharType="begin"/>
      </w:r>
      <w:r w:rsidRPr="00027624">
        <w:instrText xml:space="preserve">CITATION Ash17 \p 600-601 \t  \l 3081 </w:instrText>
      </w:r>
      <w:r w:rsidRPr="00027624">
        <w:fldChar w:fldCharType="separate"/>
      </w:r>
      <w:r w:rsidR="00E83F6E">
        <w:rPr>
          <w:noProof/>
        </w:rPr>
        <w:t xml:space="preserve"> (Asher, et al., 2017, pp. 600-601)</w:t>
      </w:r>
      <w:r w:rsidRPr="00027624">
        <w:fldChar w:fldCharType="end"/>
      </w:r>
      <w:r w:rsidRPr="00027624">
        <w:t xml:space="preserve">. </w:t>
      </w:r>
    </w:p>
    <w:p w14:paraId="45F4B1F5" w14:textId="77777777" w:rsidR="002A2FAE" w:rsidRPr="00027624" w:rsidRDefault="002A2FAE" w:rsidP="00931935">
      <w:pPr>
        <w:pStyle w:val="Bullet"/>
      </w:pPr>
      <w:r w:rsidRPr="00027624">
        <w:t>Younger, wealthier retirees have slightly higher rates of asset consumption, decreasing with age</w:t>
      </w:r>
      <w:r w:rsidRPr="00027624">
        <w:fldChar w:fldCharType="begin"/>
      </w:r>
      <w:r w:rsidRPr="00027624">
        <w:instrText xml:space="preserve">CITATION Ash17 \p 585 \l 3081 </w:instrText>
      </w:r>
      <w:r w:rsidRPr="00027624" w:rsidDel="007141E6">
        <w:instrText xml:space="preserve">CITATION Ash17 \p 585 \l 3081 </w:instrText>
      </w:r>
      <w:r w:rsidRPr="00027624">
        <w:fldChar w:fldCharType="separate"/>
      </w:r>
      <w:r w:rsidR="00E83F6E">
        <w:rPr>
          <w:noProof/>
        </w:rPr>
        <w:t xml:space="preserve"> (Asher, et al., 2017, p. 585)</w:t>
      </w:r>
      <w:r w:rsidRPr="00027624">
        <w:fldChar w:fldCharType="end"/>
      </w:r>
      <w:r w:rsidRPr="00027624">
        <w:t xml:space="preserve"> (see </w:t>
      </w:r>
      <w:r w:rsidRPr="00027624">
        <w:rPr>
          <w:i/>
        </w:rPr>
        <w:t>2C. Maintaining standards of living in retirement</w:t>
      </w:r>
      <w:r w:rsidRPr="00027624">
        <w:t>).</w:t>
      </w:r>
    </w:p>
    <w:p w14:paraId="575BE2DD" w14:textId="77777777" w:rsidR="002A2FAE" w:rsidRPr="00027624" w:rsidRDefault="002A2FAE" w:rsidP="002A2FAE">
      <w:pPr>
        <w:pStyle w:val="ChartMainHeading"/>
      </w:pPr>
      <w:bookmarkStart w:id="4131" w:name="_Ref41303248"/>
      <w:bookmarkStart w:id="4132" w:name="_Ref43899265"/>
      <w:r w:rsidRPr="00027624">
        <w:t xml:space="preserve">Household net financial wealth by age cohort, excluding the family home, relative to 2005 </w:t>
      </w:r>
      <w:bookmarkEnd w:id="4131"/>
      <w:bookmarkEnd w:id="4132"/>
    </w:p>
    <w:p w14:paraId="7B1B1079" w14:textId="77777777" w:rsidR="002A2FAE" w:rsidRPr="00027624" w:rsidRDefault="00254DCC" w:rsidP="00D60066">
      <w:pPr>
        <w:pStyle w:val="ChartGraphic"/>
      </w:pPr>
      <w:r>
        <w:rPr>
          <w:noProof/>
        </w:rPr>
        <w:drawing>
          <wp:inline distT="0" distB="0" distL="0" distR="0" wp14:anchorId="6D228F17" wp14:editId="61D846D6">
            <wp:extent cx="5577840" cy="2628900"/>
            <wp:effectExtent l="0" t="0" r="3810" b="0"/>
            <wp:docPr id="231" name="Picture 231" descr="This chart shows that households born in different periods (1940-44, 1935-39, and 1930-34) experienced a dip and then a growth in their net financial wealth excluding the family home between 2005-06 and 2015-16. " title="Chart 5A-10 Household net financial wealth by age cohort, excluding the family home, relative to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577840" cy="2628900"/>
                    </a:xfrm>
                    <a:prstGeom prst="rect">
                      <a:avLst/>
                    </a:prstGeom>
                    <a:noFill/>
                  </pic:spPr>
                </pic:pic>
              </a:graphicData>
            </a:graphic>
          </wp:inline>
        </w:drawing>
      </w:r>
    </w:p>
    <w:p w14:paraId="5853EA24" w14:textId="77777777" w:rsidR="002A2FAE" w:rsidRPr="00027624" w:rsidRDefault="002A2FAE" w:rsidP="002A2FAE">
      <w:pPr>
        <w:pStyle w:val="ChartorTableNote"/>
      </w:pPr>
      <w:r w:rsidRPr="00027624">
        <w:t>Note: Based on net financial wealth from the 2005</w:t>
      </w:r>
      <w:r w:rsidR="00A8443E" w:rsidRPr="00027624">
        <w:noBreakHyphen/>
      </w:r>
      <w:r w:rsidRPr="00027624">
        <w:t>06, 2009</w:t>
      </w:r>
      <w:r w:rsidR="00A8443E" w:rsidRPr="00027624">
        <w:noBreakHyphen/>
      </w:r>
      <w:r w:rsidRPr="00027624">
        <w:t>10 and 2015</w:t>
      </w:r>
      <w:r w:rsidR="00A8443E" w:rsidRPr="00027624">
        <w:noBreakHyphen/>
      </w:r>
      <w:r w:rsidRPr="00027624">
        <w:t xml:space="preserve">16 iterations of the </w:t>
      </w:r>
      <w:r w:rsidR="00BE51D1" w:rsidRPr="00027624">
        <w:t>Survey of Income and Housing</w:t>
      </w:r>
      <w:r w:rsidRPr="00027624">
        <w:t>. Net financial wealth is total net wealth excluding the value of the principal place of residence (and related mortgage liabilities), personal effects and motor vehicles. Deflated by CPI. Source:</w:t>
      </w:r>
      <w:r w:rsidRPr="00027624">
        <w:fldChar w:fldCharType="begin"/>
      </w:r>
      <w:r w:rsidRPr="00027624">
        <w:instrText xml:space="preserve">CITATION Dal18 \l 3081 </w:instrText>
      </w:r>
      <w:r w:rsidRPr="00027624">
        <w:fldChar w:fldCharType="separate"/>
      </w:r>
      <w:r w:rsidR="00E83F6E">
        <w:rPr>
          <w:noProof/>
        </w:rPr>
        <w:t xml:space="preserve"> (Daley, et al., 2018b)</w:t>
      </w:r>
      <w:r w:rsidRPr="00027624">
        <w:fldChar w:fldCharType="end"/>
      </w:r>
      <w:r w:rsidRPr="00027624">
        <w:t>.</w:t>
      </w:r>
    </w:p>
    <w:p w14:paraId="264A4E68" w14:textId="77777777" w:rsidR="002A2FAE" w:rsidRPr="00027624" w:rsidRDefault="002A2FAE" w:rsidP="002A2FAE">
      <w:r w:rsidRPr="00027624" w:rsidDel="00507517">
        <w:t>As a result, when retirees die, most leave the majority of the wealth they had at retirement as a bequest</w:t>
      </w:r>
      <w:r w:rsidRPr="00027624">
        <w:fldChar w:fldCharType="begin"/>
      </w:r>
      <w:r w:rsidRPr="00027624">
        <w:instrText xml:space="preserve">CITATION Dal18 \p 32 \m Ree16 \l 3081 </w:instrText>
      </w:r>
      <w:r w:rsidRPr="00027624">
        <w:fldChar w:fldCharType="separate"/>
      </w:r>
      <w:r w:rsidR="00E83F6E">
        <w:rPr>
          <w:noProof/>
        </w:rPr>
        <w:t xml:space="preserve"> (Daley, et al., 2018b, p. 32; Reeson, et al., 2016)</w:t>
      </w:r>
      <w:r w:rsidRPr="00027624">
        <w:fldChar w:fldCharType="end"/>
      </w:r>
      <w:r w:rsidRPr="00027624">
        <w:t xml:space="preserve">. Data provided by a large superannuation fund found members who died left 90 per cent of the balance they had at retirement. Another </w:t>
      </w:r>
      <w:r w:rsidRPr="00027624" w:rsidDel="00507517">
        <w:t xml:space="preserve">study found </w:t>
      </w:r>
      <w:r w:rsidRPr="00027624">
        <w:t xml:space="preserve">a similar result: </w:t>
      </w:r>
      <w:r w:rsidR="00620C5E" w:rsidRPr="00027624">
        <w:t xml:space="preserve">at death, </w:t>
      </w:r>
      <w:r w:rsidRPr="00027624">
        <w:t>a</w:t>
      </w:r>
      <w:r w:rsidRPr="00027624" w:rsidDel="00507517">
        <w:t xml:space="preserve">ge </w:t>
      </w:r>
      <w:r w:rsidRPr="00027624">
        <w:t>p</w:t>
      </w:r>
      <w:r w:rsidRPr="00027624" w:rsidDel="00507517">
        <w:t>ensioners leave around 90</w:t>
      </w:r>
      <w:r w:rsidRPr="00027624">
        <w:t> per cent</w:t>
      </w:r>
      <w:r w:rsidRPr="00027624" w:rsidDel="00507517">
        <w:t xml:space="preserve"> of</w:t>
      </w:r>
      <w:r w:rsidRPr="00027624">
        <w:t xml:space="preserve"> the assessable assets </w:t>
      </w:r>
      <w:r w:rsidR="00620C5E" w:rsidRPr="00027624">
        <w:t xml:space="preserve">they had </w:t>
      </w:r>
      <w:r w:rsidRPr="00027624">
        <w:t>at the point of retirement</w:t>
      </w:r>
      <w:r w:rsidRPr="00027624" w:rsidDel="00507517">
        <w:fldChar w:fldCharType="begin"/>
      </w:r>
      <w:r w:rsidRPr="00027624" w:rsidDel="00507517">
        <w:instrText xml:space="preserve">CITATION Ash17 \p 585 \t  \l 3081 CITATION Ash17 \p 585 \t  \l 3081 </w:instrText>
      </w:r>
      <w:r w:rsidRPr="00027624" w:rsidDel="00507517">
        <w:fldChar w:fldCharType="separate"/>
      </w:r>
      <w:r w:rsidR="00E83F6E">
        <w:rPr>
          <w:noProof/>
        </w:rPr>
        <w:t xml:space="preserve"> (Asher, et al., 2017, p. 585)</w:t>
      </w:r>
      <w:r w:rsidRPr="00027624" w:rsidDel="00507517">
        <w:fldChar w:fldCharType="end"/>
      </w:r>
      <w:r w:rsidRPr="00027624" w:rsidDel="00507517">
        <w:t xml:space="preserve">. This suggests that retirees tend to consume only the income derived from assets and not the assets themselves. </w:t>
      </w:r>
    </w:p>
    <w:p w14:paraId="0BAEB1C5" w14:textId="77777777" w:rsidR="002A2FAE" w:rsidRPr="00027624" w:rsidRDefault="002A2FAE" w:rsidP="002A2FAE">
      <w:r w:rsidRPr="00027624">
        <w:rPr>
          <w:b/>
        </w:rPr>
        <w:t>The evidence suggests the Age Pension means test taper does not have a strong effect on people drawing down or consuming their assets.</w:t>
      </w:r>
      <w:r w:rsidRPr="00027624">
        <w:t xml:space="preserve"> Department of Social Services administrative data shows age pensioners generally maintain their assessable assets well into their later years, with a large proportion increasing or maintaining their assets holdings.</w:t>
      </w:r>
      <w:r w:rsidRPr="00027624">
        <w:rPr>
          <w:rStyle w:val="FootnoteReference"/>
        </w:rPr>
        <w:footnoteReference w:id="295"/>
      </w:r>
      <w:r w:rsidRPr="00027624">
        <w:t xml:space="preserve"> This result occurred both when the assets test taper was reduced to $1.50 (from 2007 to 2016) and at its present rate of $3. </w:t>
      </w:r>
    </w:p>
    <w:p w14:paraId="47E678B4" w14:textId="77777777" w:rsidR="002A2FAE" w:rsidRPr="00027624" w:rsidRDefault="002A2FAE" w:rsidP="002A2FAE">
      <w:r w:rsidRPr="00027624">
        <w:t>Consumer surveys and anecdotal material presented in submissions support these findings and reveal that Australian retirees are keen to preserve their sav</w:t>
      </w:r>
      <w:r w:rsidR="00D12F9D" w:rsidRPr="00027624">
        <w:t>ings throughout retirement. One </w:t>
      </w:r>
      <w:r w:rsidRPr="00027624">
        <w:t>stakeholder noted:</w:t>
      </w:r>
    </w:p>
    <w:p w14:paraId="6FB17CAF" w14:textId="77777777" w:rsidR="002A2FAE" w:rsidRPr="00027624" w:rsidRDefault="00A8443E" w:rsidP="00EE4A19">
      <w:pPr>
        <w:pStyle w:val="Quote"/>
      </w:pPr>
      <w:r w:rsidRPr="00027624">
        <w:rPr>
          <w:rStyle w:val="SubtleEmphasis"/>
          <w:rFonts w:eastAsiaTheme="majorEastAsia"/>
          <w:i/>
          <w:iCs/>
          <w:color w:val="404040" w:themeColor="text1" w:themeTint="BF"/>
        </w:rPr>
        <w:t>‘</w:t>
      </w:r>
      <w:r w:rsidR="002A2FAE" w:rsidRPr="00027624">
        <w:rPr>
          <w:rStyle w:val="SubtleEmphasis"/>
          <w:rFonts w:eastAsiaTheme="majorEastAsia"/>
          <w:i/>
          <w:iCs/>
          <w:color w:val="404040" w:themeColor="text1" w:themeTint="BF"/>
        </w:rPr>
        <w:t>…retirees express concern or distress about the difficulty of living off the earnings from their retirement lump sums. The suggestion that they should be drawing down on the lump sum to improve their income is strongly resisted, even when they are of an advanced age and have a significant lump sum.</w:t>
      </w:r>
      <w:r w:rsidRPr="00027624">
        <w:rPr>
          <w:rStyle w:val="SubtleEmphasis"/>
          <w:rFonts w:eastAsiaTheme="majorEastAsia"/>
          <w:i/>
          <w:iCs/>
          <w:color w:val="404040" w:themeColor="text1" w:themeTint="BF"/>
        </w:rPr>
        <w:t>’</w:t>
      </w:r>
      <w:r w:rsidR="002A2FAE" w:rsidRPr="00027624">
        <w:rPr>
          <w:rStyle w:val="SubtleEmphasis"/>
          <w:rFonts w:eastAsiaTheme="majorEastAsia"/>
          <w:i/>
          <w:iCs/>
          <w:color w:val="404040" w:themeColor="text1" w:themeTint="BF"/>
        </w:rPr>
        <w:br/>
      </w:r>
      <w:r w:rsidR="002A2FAE" w:rsidRPr="00027624">
        <w:rPr>
          <w:rStyle w:val="SubtleEmphasis"/>
          <w:rFonts w:eastAsiaTheme="majorEastAsia"/>
          <w:i/>
          <w:iCs/>
          <w:color w:val="404040" w:themeColor="text1" w:themeTint="BF"/>
        </w:rPr>
        <w:fldChar w:fldCharType="begin"/>
      </w:r>
      <w:r w:rsidR="002A2FAE" w:rsidRPr="00027624">
        <w:rPr>
          <w:rStyle w:val="SubtleEmphasis"/>
          <w:rFonts w:eastAsiaTheme="majorEastAsia"/>
          <w:i/>
          <w:iCs/>
          <w:color w:val="404040" w:themeColor="text1" w:themeTint="BF"/>
        </w:rPr>
        <w:instrText xml:space="preserve">CITATION COT20 \p 28 \l 3081 </w:instrText>
      </w:r>
      <w:r w:rsidR="002A2FAE" w:rsidRPr="00027624">
        <w:rPr>
          <w:rStyle w:val="SubtleEmphasis"/>
          <w:rFonts w:eastAsiaTheme="majorEastAsia"/>
          <w:i/>
          <w:iCs/>
          <w:color w:val="404040" w:themeColor="text1" w:themeTint="BF"/>
        </w:rPr>
        <w:fldChar w:fldCharType="separate"/>
      </w:r>
      <w:r w:rsidR="00E83F6E">
        <w:rPr>
          <w:rStyle w:val="SubtleEmphasis"/>
          <w:rFonts w:eastAsiaTheme="majorEastAsia"/>
          <w:i/>
          <w:iCs/>
          <w:noProof/>
          <w:color w:val="404040" w:themeColor="text1" w:themeTint="BF"/>
        </w:rPr>
        <w:t xml:space="preserve"> </w:t>
      </w:r>
      <w:r w:rsidR="00E83F6E" w:rsidRPr="00E83F6E">
        <w:rPr>
          <w:rFonts w:eastAsiaTheme="majorEastAsia"/>
          <w:noProof/>
        </w:rPr>
        <w:t>(COTA, 2020, p. 28)</w:t>
      </w:r>
      <w:r w:rsidR="002A2FAE" w:rsidRPr="00027624">
        <w:rPr>
          <w:rStyle w:val="SubtleEmphasis"/>
          <w:rFonts w:eastAsiaTheme="majorEastAsia"/>
          <w:i/>
          <w:iCs/>
          <w:color w:val="404040" w:themeColor="text1" w:themeTint="BF"/>
        </w:rPr>
        <w:fldChar w:fldCharType="end"/>
      </w:r>
    </w:p>
    <w:p w14:paraId="070949FA" w14:textId="77777777" w:rsidR="002A2FAE" w:rsidRPr="00027624" w:rsidRDefault="002A2FAE" w:rsidP="002A2FAE">
      <w:pPr>
        <w:rPr>
          <w:rStyle w:val="SubtleEmphasis"/>
          <w:rFonts w:eastAsiaTheme="majorEastAsia"/>
          <w:i w:val="0"/>
          <w:color w:val="auto"/>
        </w:rPr>
      </w:pPr>
      <w:r w:rsidRPr="00027624">
        <w:t xml:space="preserve">This lack of consumption of retirement assets is consistent with </w:t>
      </w:r>
      <w:r w:rsidRPr="00027624">
        <w:rPr>
          <w:rStyle w:val="SubtleEmphasis"/>
          <w:rFonts w:eastAsiaTheme="majorEastAsia"/>
          <w:i w:val="0"/>
          <w:color w:val="auto"/>
        </w:rPr>
        <w:t>studies conducted in the US and the Netherlands</w:t>
      </w:r>
      <w:r w:rsidRPr="00027624">
        <w:rPr>
          <w:rStyle w:val="SubtleEmphasis"/>
          <w:rFonts w:eastAsiaTheme="majorEastAsia"/>
          <w:i w:val="0"/>
          <w:color w:val="auto"/>
        </w:rPr>
        <w:fldChar w:fldCharType="begin"/>
      </w:r>
      <w:r w:rsidRPr="00027624">
        <w:rPr>
          <w:rStyle w:val="SubtleEmphasis"/>
          <w:rFonts w:eastAsiaTheme="majorEastAsia"/>
          <w:color w:val="auto"/>
        </w:rPr>
        <w:instrText xml:space="preserve">CITATION Ooi15 \l 3081 </w:instrText>
      </w:r>
      <w:r w:rsidRPr="00027624" w:rsidDel="00071399">
        <w:rPr>
          <w:rStyle w:val="SubtleEmphasis"/>
          <w:rFonts w:eastAsiaTheme="majorEastAsia"/>
          <w:color w:val="auto"/>
        </w:rPr>
        <w:instrText xml:space="preserve"> CITATION Ooi15 \l 3081 </w:instrText>
      </w:r>
      <w:r w:rsidRPr="00027624">
        <w:rPr>
          <w:rStyle w:val="SubtleEmphasis"/>
          <w:rFonts w:eastAsiaTheme="majorEastAsia"/>
          <w:color w:val="auto"/>
        </w:rPr>
        <w:instrText xml:space="preserve"> \m Dyn04</w:instrText>
      </w:r>
      <w:r w:rsidRPr="00027624">
        <w:rPr>
          <w:rStyle w:val="SubtleEmphasis"/>
          <w:rFonts w:eastAsiaTheme="majorEastAsia"/>
          <w:i w:val="0"/>
          <w:color w:val="auto"/>
        </w:rPr>
        <w:fldChar w:fldCharType="separate"/>
      </w:r>
      <w:r w:rsidR="00E83F6E">
        <w:rPr>
          <w:rStyle w:val="SubtleEmphasis"/>
          <w:rFonts w:eastAsiaTheme="majorEastAsia"/>
          <w:noProof/>
          <w:color w:val="auto"/>
        </w:rPr>
        <w:t xml:space="preserve"> </w:t>
      </w:r>
      <w:r w:rsidR="00E83F6E" w:rsidRPr="00E83F6E">
        <w:rPr>
          <w:rFonts w:eastAsiaTheme="majorEastAsia"/>
          <w:noProof/>
        </w:rPr>
        <w:t>(Ooijen, et al., 2015; Dynan, et al., 2004)</w:t>
      </w:r>
      <w:r w:rsidRPr="00027624">
        <w:rPr>
          <w:rStyle w:val="SubtleEmphasis"/>
          <w:rFonts w:eastAsiaTheme="majorEastAsia"/>
          <w:i w:val="0"/>
          <w:color w:val="auto"/>
        </w:rPr>
        <w:fldChar w:fldCharType="end"/>
      </w:r>
      <w:r w:rsidRPr="00027624">
        <w:rPr>
          <w:rStyle w:val="SubtleEmphasis"/>
          <w:rFonts w:eastAsiaTheme="majorEastAsia"/>
          <w:color w:val="auto"/>
        </w:rPr>
        <w:t xml:space="preserve">. </w:t>
      </w:r>
    </w:p>
    <w:p w14:paraId="0A67ADCD" w14:textId="77777777" w:rsidR="002A2FAE" w:rsidRPr="00027624" w:rsidDel="00507517" w:rsidRDefault="002A2FAE" w:rsidP="002A2FAE">
      <w:pPr>
        <w:pStyle w:val="Heading5"/>
        <w:rPr>
          <w:rStyle w:val="SubtleEmphasis"/>
          <w:rFonts w:eastAsiaTheme="majorEastAsia"/>
          <w:b w:val="0"/>
          <w:i w:val="0"/>
          <w:color w:val="144E60" w:themeColor="accent1"/>
          <w:kern w:val="0"/>
          <w:szCs w:val="20"/>
        </w:rPr>
      </w:pPr>
      <w:r w:rsidRPr="00027624">
        <w:rPr>
          <w:rStyle w:val="SubtleEmphasis"/>
          <w:rFonts w:eastAsiaTheme="majorEastAsia"/>
          <w:i w:val="0"/>
          <w:color w:val="144E60" w:themeColor="accent1"/>
        </w:rPr>
        <w:t>Draw down of s</w:t>
      </w:r>
      <w:r w:rsidRPr="00027624" w:rsidDel="00507517">
        <w:rPr>
          <w:rStyle w:val="SubtleEmphasis"/>
          <w:rFonts w:eastAsiaTheme="majorEastAsia"/>
          <w:i w:val="0"/>
          <w:color w:val="144E60" w:themeColor="accent1"/>
        </w:rPr>
        <w:t>uperannuation assets</w:t>
      </w:r>
    </w:p>
    <w:p w14:paraId="46834ADE" w14:textId="77777777" w:rsidR="002A2FAE" w:rsidRPr="00027624" w:rsidDel="00507517" w:rsidRDefault="002A2FAE" w:rsidP="002A2FAE">
      <w:r w:rsidRPr="00027624">
        <w:t>Maintenance or growth of balances in retirement occurs</w:t>
      </w:r>
      <w:r w:rsidRPr="00027624" w:rsidDel="00507517">
        <w:t xml:space="preserve"> despite policy </w:t>
      </w:r>
      <w:r w:rsidRPr="00027624">
        <w:t xml:space="preserve">settings </w:t>
      </w:r>
      <w:r w:rsidRPr="00027624" w:rsidDel="00507517">
        <w:t>in the retirement phase</w:t>
      </w:r>
      <w:r w:rsidRPr="00027624" w:rsidDel="00FA0058">
        <w:t xml:space="preserve"> </w:t>
      </w:r>
      <w:r w:rsidRPr="00027624">
        <w:t>that are designed to</w:t>
      </w:r>
      <w:r w:rsidRPr="00027624" w:rsidDel="00507517">
        <w:t xml:space="preserve"> influence drawdown behaviour</w:t>
      </w:r>
      <w:r w:rsidRPr="00027624">
        <w:t>.</w:t>
      </w:r>
    </w:p>
    <w:p w14:paraId="35DC05BC" w14:textId="77777777" w:rsidR="002A2FAE" w:rsidRPr="00027624" w:rsidDel="00507517" w:rsidRDefault="002A2FAE" w:rsidP="00931935">
      <w:pPr>
        <w:pStyle w:val="Bullet"/>
        <w:rPr>
          <w:bCs/>
        </w:rPr>
      </w:pPr>
      <w:r w:rsidRPr="00027624" w:rsidDel="00507517">
        <w:rPr>
          <w:b/>
        </w:rPr>
        <w:t xml:space="preserve">The </w:t>
      </w:r>
      <w:r w:rsidRPr="00027624">
        <w:rPr>
          <w:b/>
        </w:rPr>
        <w:t>Age Pension</w:t>
      </w:r>
      <w:r w:rsidRPr="00027624" w:rsidDel="00507517">
        <w:rPr>
          <w:b/>
        </w:rPr>
        <w:t xml:space="preserve"> means test</w:t>
      </w:r>
      <w:r w:rsidRPr="00027624">
        <w:rPr>
          <w:b/>
        </w:rPr>
        <w:t xml:space="preserve">. </w:t>
      </w:r>
      <w:r w:rsidRPr="00027624">
        <w:t xml:space="preserve">The test is designed to encourage people to use their own resources before </w:t>
      </w:r>
      <w:r w:rsidR="00A8443E" w:rsidRPr="00027624">
        <w:t>‘</w:t>
      </w:r>
      <w:r w:rsidRPr="00027624">
        <w:t>calling on the Government for support</w:t>
      </w:r>
      <w:r w:rsidR="00A8443E" w:rsidRPr="00027624">
        <w:t>’</w:t>
      </w:r>
      <w:sdt>
        <w:sdtPr>
          <w:id w:val="7883616"/>
          <w:citation/>
        </w:sdtPr>
        <w:sdtEndPr/>
        <w:sdtContent>
          <w:r w:rsidRPr="00027624">
            <w:fldChar w:fldCharType="begin"/>
          </w:r>
          <w:r w:rsidRPr="00027624">
            <w:instrText xml:space="preserve"> CITATION DSSG20 \l 3081 </w:instrText>
          </w:r>
          <w:r w:rsidRPr="00027624">
            <w:fldChar w:fldCharType="separate"/>
          </w:r>
          <w:r w:rsidR="00E83F6E">
            <w:rPr>
              <w:noProof/>
            </w:rPr>
            <w:t xml:space="preserve"> (Department of Social Services, 2015)</w:t>
          </w:r>
          <w:r w:rsidRPr="00027624">
            <w:fldChar w:fldCharType="end"/>
          </w:r>
        </w:sdtContent>
      </w:sdt>
      <w:r w:rsidRPr="00027624">
        <w:t>. This encourages use of assets in retirement by withdrawing support for people as their level of assets increase.</w:t>
      </w:r>
      <w:r w:rsidRPr="00027624" w:rsidDel="002104E2">
        <w:t xml:space="preserve"> </w:t>
      </w:r>
      <w:r w:rsidRPr="00027624" w:rsidDel="00507517">
        <w:t>Retirees</w:t>
      </w:r>
      <w:r w:rsidRPr="00027624" w:rsidDel="00980D09">
        <w:t xml:space="preserve"> </w:t>
      </w:r>
      <w:r w:rsidRPr="00027624" w:rsidDel="00507517">
        <w:t xml:space="preserve">affected by the assets test </w:t>
      </w:r>
      <w:r w:rsidRPr="00027624">
        <w:t>who draw</w:t>
      </w:r>
      <w:r w:rsidRPr="00027624" w:rsidDel="00507517">
        <w:t xml:space="preserve"> down their superannuation </w:t>
      </w:r>
      <w:r w:rsidRPr="00027624">
        <w:t xml:space="preserve">and other financial assets </w:t>
      </w:r>
      <w:r w:rsidRPr="00027624" w:rsidDel="00507517">
        <w:t>more quickly</w:t>
      </w:r>
      <w:r w:rsidRPr="00027624">
        <w:t xml:space="preserve"> receive</w:t>
      </w:r>
      <w:r w:rsidRPr="00027624" w:rsidDel="00507517">
        <w:t xml:space="preserve"> increase</w:t>
      </w:r>
      <w:r w:rsidRPr="00027624">
        <w:t>d</w:t>
      </w:r>
      <w:r w:rsidRPr="00027624" w:rsidDel="00507517">
        <w:t xml:space="preserve"> </w:t>
      </w:r>
      <w:r w:rsidRPr="00027624">
        <w:t>Age Pension</w:t>
      </w:r>
      <w:r w:rsidRPr="00027624" w:rsidDel="00507517">
        <w:t xml:space="preserve"> </w:t>
      </w:r>
      <w:r w:rsidRPr="00027624">
        <w:t>support</w:t>
      </w:r>
      <w:r w:rsidRPr="00027624" w:rsidDel="00507517">
        <w:t xml:space="preserve"> over their retirement. </w:t>
      </w:r>
      <w:r w:rsidRPr="00027624">
        <w:t xml:space="preserve">Australia is unique in having two different Age Pension means tests: one based on assets and the other one is income (see </w:t>
      </w:r>
      <w:r w:rsidRPr="00027624">
        <w:rPr>
          <w:i/>
        </w:rPr>
        <w:t>1B. Design of Australia</w:t>
      </w:r>
      <w:r w:rsidR="00A8443E" w:rsidRPr="00027624">
        <w:rPr>
          <w:i/>
        </w:rPr>
        <w:t>’</w:t>
      </w:r>
      <w:r w:rsidRPr="00027624">
        <w:rPr>
          <w:i/>
        </w:rPr>
        <w:t>s retirement income system</w:t>
      </w:r>
      <w:r w:rsidRPr="00027624">
        <w:t xml:space="preserve">). </w:t>
      </w:r>
    </w:p>
    <w:p w14:paraId="54D4C407" w14:textId="77777777" w:rsidR="002A2FAE" w:rsidRPr="00027624" w:rsidDel="00507517" w:rsidRDefault="002A2FAE" w:rsidP="00931935">
      <w:pPr>
        <w:pStyle w:val="Bullet"/>
      </w:pPr>
      <w:r w:rsidRPr="00027624" w:rsidDel="00507517">
        <w:rPr>
          <w:b/>
        </w:rPr>
        <w:t>Superannuation drawdown rules</w:t>
      </w:r>
      <w:r w:rsidRPr="00027624">
        <w:rPr>
          <w:b/>
        </w:rPr>
        <w:t>.</w:t>
      </w:r>
      <w:r w:rsidRPr="00027624" w:rsidDel="00507517">
        <w:t xml:space="preserve"> Each year, people are required to withdraw a certain percentage of their superannuation, based on their age, to maintain their earnings tax exemption in retirement. The percentage that must be withdrawn each year increases with age. The purpose of these rules is to ensure that savings receiving the earning</w:t>
      </w:r>
      <w:r w:rsidRPr="00027624">
        <w:t xml:space="preserve">s </w:t>
      </w:r>
      <w:r w:rsidRPr="00027624" w:rsidDel="00507517">
        <w:t>tax exemption are used for retirement income purposes and not for estate planning purposes</w:t>
      </w:r>
      <w:r w:rsidRPr="00027624" w:rsidDel="00507517">
        <w:fldChar w:fldCharType="begin"/>
      </w:r>
      <w:r w:rsidRPr="00027624">
        <w:instrText xml:space="preserve">CITATION Tre16 \p 3 \l 3081 </w:instrText>
      </w:r>
      <w:r w:rsidRPr="00027624" w:rsidDel="00507517">
        <w:fldChar w:fldCharType="separate"/>
      </w:r>
      <w:r w:rsidR="00E83F6E">
        <w:rPr>
          <w:noProof/>
        </w:rPr>
        <w:t xml:space="preserve"> (The Treasury, 2016c, p. 3)</w:t>
      </w:r>
      <w:r w:rsidRPr="00027624" w:rsidDel="00507517">
        <w:fldChar w:fldCharType="end"/>
      </w:r>
      <w:r w:rsidRPr="00027624" w:rsidDel="00507517">
        <w:t xml:space="preserve">. </w:t>
      </w:r>
      <w:r w:rsidRPr="00027624">
        <w:t>The rules are not designed for people to optimise their retirement income.</w:t>
      </w:r>
    </w:p>
    <w:p w14:paraId="01712C5E" w14:textId="217956D2" w:rsidR="002A2FAE" w:rsidRPr="00027624" w:rsidRDefault="002A2FAE" w:rsidP="002A2FAE">
      <w:r w:rsidRPr="00027624">
        <w:rPr>
          <w:b/>
        </w:rPr>
        <w:t>T</w:t>
      </w:r>
      <w:r w:rsidRPr="00027624" w:rsidDel="00507517">
        <w:rPr>
          <w:b/>
        </w:rPr>
        <w:t xml:space="preserve">he higher </w:t>
      </w:r>
      <w:r w:rsidRPr="00027624">
        <w:rPr>
          <w:b/>
        </w:rPr>
        <w:t>a person</w:t>
      </w:r>
      <w:r w:rsidR="00A8443E" w:rsidRPr="00027624">
        <w:rPr>
          <w:b/>
        </w:rPr>
        <w:t>’</w:t>
      </w:r>
      <w:r w:rsidRPr="00027624">
        <w:rPr>
          <w:b/>
        </w:rPr>
        <w:t>s</w:t>
      </w:r>
      <w:r w:rsidRPr="00027624" w:rsidDel="00507517">
        <w:rPr>
          <w:b/>
        </w:rPr>
        <w:t xml:space="preserve"> </w:t>
      </w:r>
      <w:r w:rsidRPr="00027624">
        <w:rPr>
          <w:b/>
        </w:rPr>
        <w:t xml:space="preserve">superannuation </w:t>
      </w:r>
      <w:r w:rsidRPr="00027624" w:rsidDel="00507517">
        <w:rPr>
          <w:b/>
        </w:rPr>
        <w:t>balance</w:t>
      </w:r>
      <w:r w:rsidRPr="00027624">
        <w:rPr>
          <w:b/>
        </w:rPr>
        <w:t>,</w:t>
      </w:r>
      <w:r w:rsidRPr="00027624" w:rsidDel="00507517">
        <w:rPr>
          <w:b/>
        </w:rPr>
        <w:t xml:space="preserve"> the more likely they are to draw down at the minimum rate</w:t>
      </w:r>
      <w:r w:rsidRPr="00027624">
        <w:t xml:space="preserve"> </w:t>
      </w:r>
      <w:r w:rsidRPr="00027624" w:rsidDel="00507517">
        <w:t>(</w:t>
      </w:r>
      <w:r w:rsidRPr="00027624" w:rsidDel="00507517">
        <w:fldChar w:fldCharType="begin"/>
      </w:r>
      <w:r w:rsidRPr="00027624" w:rsidDel="00507517">
        <w:instrText xml:space="preserve"> REF _Ref35254537 \r \h </w:instrText>
      </w:r>
      <w:r w:rsidRPr="00027624">
        <w:instrText xml:space="preserve"> \* MERGEFORMAT </w:instrText>
      </w:r>
      <w:r w:rsidRPr="00027624" w:rsidDel="00507517">
        <w:fldChar w:fldCharType="separate"/>
      </w:r>
      <w:r w:rsidR="00891058">
        <w:t>Chart 5A-11</w:t>
      </w:r>
      <w:r w:rsidRPr="00027624" w:rsidDel="00507517">
        <w:fldChar w:fldCharType="end"/>
      </w:r>
      <w:r w:rsidRPr="00027624" w:rsidDel="00507517">
        <w:t>).</w:t>
      </w:r>
      <w:r w:rsidRPr="00027624" w:rsidDel="00507517">
        <w:rPr>
          <w:rStyle w:val="SubtleEmphasis"/>
          <w:rFonts w:eastAsiaTheme="majorEastAsia"/>
          <w:color w:val="auto"/>
        </w:rPr>
        <w:t xml:space="preserve"> </w:t>
      </w:r>
      <w:r w:rsidRPr="00027624">
        <w:t xml:space="preserve">Drawing down at the minimum rate is likely to leave a large balance at life expectancy (currently around 85). The Australian Government Actuary projected the nominal superannuation balance at death for someone who died at or before age 90, and drew down at the minimum rate, would be larger than their balance when starting retirement (Treasury 2016, p. 5). </w:t>
      </w:r>
    </w:p>
    <w:p w14:paraId="6DBFD43C" w14:textId="77777777" w:rsidR="002A2FAE" w:rsidRPr="00027624" w:rsidDel="00507517" w:rsidRDefault="002A2FAE" w:rsidP="002A2FAE">
      <w:r w:rsidRPr="00027624" w:rsidDel="00507517">
        <w:rPr>
          <w:rStyle w:val="SubtleEmphasis"/>
          <w:rFonts w:eastAsiaTheme="majorEastAsia"/>
          <w:i w:val="0"/>
          <w:color w:val="auto"/>
        </w:rPr>
        <w:t>P</w:t>
      </w:r>
      <w:r w:rsidRPr="00027624" w:rsidDel="00507517">
        <w:t>eople on lower balances draw down at much higher rates than those with higher balances ac</w:t>
      </w:r>
      <w:r w:rsidRPr="00027624">
        <w:t>ross all ages in retirement</w:t>
      </w:r>
      <w:r w:rsidRPr="00027624" w:rsidDel="00507517">
        <w:t>.</w:t>
      </w:r>
      <w:r w:rsidRPr="00027624">
        <w:t xml:space="preserve"> </w:t>
      </w:r>
      <w:r w:rsidRPr="00027624" w:rsidDel="00507517">
        <w:t>This is consistent with findings that most people who take a lump sum from superannuation have low balances</w:t>
      </w:r>
      <w:r w:rsidRPr="00027624" w:rsidDel="00507517">
        <w:fldChar w:fldCharType="begin"/>
      </w:r>
      <w:r w:rsidRPr="00027624">
        <w:instrText xml:space="preserve">CITATION Pro151 \l 3081 </w:instrText>
      </w:r>
      <w:r w:rsidRPr="00027624" w:rsidDel="00507517">
        <w:fldChar w:fldCharType="separate"/>
      </w:r>
      <w:r w:rsidR="00E83F6E">
        <w:rPr>
          <w:noProof/>
        </w:rPr>
        <w:t xml:space="preserve"> (Productivity Commission, 2015b)</w:t>
      </w:r>
      <w:r w:rsidRPr="00027624" w:rsidDel="00507517">
        <w:fldChar w:fldCharType="end"/>
      </w:r>
      <w:r w:rsidRPr="00027624" w:rsidDel="00507517">
        <w:t xml:space="preserve">. </w:t>
      </w:r>
    </w:p>
    <w:p w14:paraId="733DE394" w14:textId="77777777" w:rsidR="002A2FAE" w:rsidRPr="00027624" w:rsidDel="00507517" w:rsidRDefault="002A2FAE" w:rsidP="002A2FAE">
      <w:pPr>
        <w:pStyle w:val="ChartMainHeading"/>
      </w:pPr>
      <w:bookmarkStart w:id="4133" w:name="_Ref35254537"/>
      <w:bookmarkStart w:id="4134" w:name="_Ref40971791"/>
      <w:r w:rsidRPr="00027624">
        <w:t>Median superannuation d</w:t>
      </w:r>
      <w:r w:rsidRPr="00027624" w:rsidDel="00507517">
        <w:t>rawdown rates</w:t>
      </w:r>
      <w:r w:rsidRPr="00027624">
        <w:t>,</w:t>
      </w:r>
      <w:r w:rsidRPr="00027624" w:rsidDel="00507517">
        <w:t xml:space="preserve"> by </w:t>
      </w:r>
      <w:r w:rsidRPr="00027624">
        <w:t xml:space="preserve">age group and </w:t>
      </w:r>
      <w:r w:rsidRPr="00027624" w:rsidDel="00507517">
        <w:t>asset level</w:t>
      </w:r>
      <w:bookmarkEnd w:id="4133"/>
      <w:bookmarkEnd w:id="4134"/>
    </w:p>
    <w:tbl>
      <w:tblPr>
        <w:tblW w:w="5000" w:type="pct"/>
        <w:tblCellMar>
          <w:left w:w="0" w:type="dxa"/>
          <w:right w:w="0" w:type="dxa"/>
        </w:tblCellMar>
        <w:tblLook w:val="01E0" w:firstRow="1" w:lastRow="1" w:firstColumn="1" w:lastColumn="1" w:noHBand="0" w:noVBand="0"/>
      </w:tblPr>
      <w:tblGrid>
        <w:gridCol w:w="4535"/>
        <w:gridCol w:w="4535"/>
      </w:tblGrid>
      <w:tr w:rsidR="002A2FAE" w:rsidRPr="00027624" w14:paraId="37911034" w14:textId="77777777" w:rsidTr="002A2FAE">
        <w:tc>
          <w:tcPr>
            <w:tcW w:w="2500" w:type="pct"/>
          </w:tcPr>
          <w:p w14:paraId="28508BCB" w14:textId="77777777" w:rsidR="002A2FAE" w:rsidRPr="00027624" w:rsidRDefault="002A2FAE" w:rsidP="002A2FAE">
            <w:pPr>
              <w:pStyle w:val="ChartSecondHeading"/>
            </w:pPr>
            <w:r w:rsidRPr="00027624">
              <w:t>All balances</w:t>
            </w:r>
          </w:p>
        </w:tc>
        <w:tc>
          <w:tcPr>
            <w:tcW w:w="2500" w:type="pct"/>
          </w:tcPr>
          <w:p w14:paraId="350FBB4C" w14:textId="77777777" w:rsidR="002A2FAE" w:rsidRPr="00027624" w:rsidRDefault="002A2FAE" w:rsidP="00EE4A19">
            <w:pPr>
              <w:pStyle w:val="ChartSecondHeading"/>
            </w:pPr>
            <w:r w:rsidRPr="00027624">
              <w:t>Balances over $100</w:t>
            </w:r>
            <w:r w:rsidR="00EE4A19" w:rsidRPr="00027624">
              <w:t>,</w:t>
            </w:r>
            <w:r w:rsidRPr="00027624">
              <w:t>000</w:t>
            </w:r>
          </w:p>
        </w:tc>
      </w:tr>
      <w:tr w:rsidR="002A2FAE" w:rsidRPr="00027624" w14:paraId="0223D568" w14:textId="77777777" w:rsidTr="002A2FAE">
        <w:tc>
          <w:tcPr>
            <w:tcW w:w="2500" w:type="pct"/>
          </w:tcPr>
          <w:p w14:paraId="53275A34" w14:textId="77777777" w:rsidR="002A2FAE" w:rsidRPr="00027624" w:rsidRDefault="00A159D9" w:rsidP="002A2FAE">
            <w:pPr>
              <w:pStyle w:val="ChartGraphic"/>
            </w:pPr>
            <w:r>
              <w:rPr>
                <w:noProof/>
              </w:rPr>
              <w:drawing>
                <wp:inline distT="0" distB="0" distL="0" distR="0" wp14:anchorId="412265B8" wp14:editId="5FA525D9">
                  <wp:extent cx="2880360" cy="2880360"/>
                  <wp:effectExtent l="0" t="0" r="0" b="0"/>
                  <wp:docPr id="679974610" name="Picture 679974610" descr="This chart shows that median superannuation drawdown rates decrease with superannuation balances across all age groups (for people aged 65 and over). Drawdown rates are under 10 per cent for balances of $50,000 and greater." title="Chart 5A-11 Median superannuation drawdown rates, by age group and asset level - all bal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2500" w:type="pct"/>
          </w:tcPr>
          <w:p w14:paraId="27BC6963" w14:textId="77777777" w:rsidR="002A2FAE" w:rsidRPr="00027624" w:rsidRDefault="00A159D9" w:rsidP="002A2FAE">
            <w:pPr>
              <w:pStyle w:val="ChartGraphic"/>
            </w:pPr>
            <w:r>
              <w:rPr>
                <w:noProof/>
              </w:rPr>
              <w:drawing>
                <wp:inline distT="0" distB="0" distL="0" distR="0" wp14:anchorId="5DA9E626" wp14:editId="59EF245B">
                  <wp:extent cx="2880360" cy="2887980"/>
                  <wp:effectExtent l="0" t="0" r="0" b="7620"/>
                  <wp:docPr id="679974611" name="Picture 679974611" descr="The charts shows median superannuation drawdown rates for those with superannuation balances over $100,000. For those aged 80-84, superannuation draw down rates do not change significantly as balances increase; whereas, for all other age groups drawdown rates fall sharply as superannuation balances increase. At all age groups drawdown rates are lower with balances of $500,000 and over, compared to balances of $100,000-200,000.  " title="Chart 5A-11 Median superannuation drawdown rates, by age group and asset level - balances over $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tc>
      </w:tr>
    </w:tbl>
    <w:p w14:paraId="33BEB379" w14:textId="77777777" w:rsidR="002A2FAE" w:rsidRPr="00027624" w:rsidDel="00507517" w:rsidRDefault="002A2FAE" w:rsidP="002A2FAE">
      <w:pPr>
        <w:pStyle w:val="ChartorTableNote"/>
      </w:pPr>
      <w:r w:rsidRPr="00027624" w:rsidDel="00507517">
        <w:t xml:space="preserve">Source: </w:t>
      </w:r>
      <w:r w:rsidRPr="00027624">
        <w:t>Analysis of</w:t>
      </w:r>
      <w:r w:rsidRPr="00027624" w:rsidDel="00507517">
        <w:t xml:space="preserve"> Rice Warner data, 2018</w:t>
      </w:r>
      <w:r w:rsidRPr="00027624">
        <w:t>.</w:t>
      </w:r>
    </w:p>
    <w:p w14:paraId="35F807BF" w14:textId="11967325" w:rsidR="002A2FAE" w:rsidRPr="00027624" w:rsidDel="00507517" w:rsidRDefault="002A2FAE" w:rsidP="002A2FAE">
      <w:r w:rsidRPr="00027624">
        <w:t>S</w:t>
      </w:r>
      <w:r w:rsidRPr="00027624" w:rsidDel="00507517">
        <w:t>uperannuation assets have tended to</w:t>
      </w:r>
      <w:r w:rsidRPr="00027624" w:rsidDel="00507517">
        <w:rPr>
          <w:bCs/>
        </w:rPr>
        <w:t xml:space="preserve"> grow in retirement </w:t>
      </w:r>
      <w:r w:rsidRPr="00027624" w:rsidDel="00507517">
        <w:t>(</w:t>
      </w:r>
      <w:r w:rsidRPr="00027624" w:rsidDel="00507517">
        <w:fldChar w:fldCharType="begin"/>
      </w:r>
      <w:r w:rsidRPr="00027624" w:rsidDel="00507517">
        <w:instrText xml:space="preserve"> REF _Ref40858106 \r \h </w:instrText>
      </w:r>
      <w:r w:rsidRPr="00027624">
        <w:instrText xml:space="preserve"> \* MERGEFORMAT </w:instrText>
      </w:r>
      <w:r w:rsidRPr="00027624" w:rsidDel="00507517">
        <w:fldChar w:fldCharType="separate"/>
      </w:r>
      <w:r w:rsidR="00891058">
        <w:t>Chart 5A-12</w:t>
      </w:r>
      <w:r w:rsidRPr="00027624" w:rsidDel="00507517">
        <w:fldChar w:fldCharType="end"/>
      </w:r>
      <w:r w:rsidRPr="00027624" w:rsidDel="00507517">
        <w:t xml:space="preserve">), instead of declining as </w:t>
      </w:r>
      <w:r w:rsidRPr="00027624">
        <w:t xml:space="preserve">would be </w:t>
      </w:r>
      <w:r w:rsidRPr="00027624" w:rsidDel="00507517">
        <w:t>expected</w:t>
      </w:r>
      <w:r w:rsidRPr="00027624">
        <w:t xml:space="preserve"> if assets were funding retirement</w:t>
      </w:r>
      <w:r w:rsidRPr="00027624" w:rsidDel="00507517">
        <w:t>. This means investments have tended to equal or exceed drawdown rates</w:t>
      </w:r>
      <w:r w:rsidRPr="00027624">
        <w:t>.</w:t>
      </w:r>
    </w:p>
    <w:p w14:paraId="074DEC41" w14:textId="77777777" w:rsidR="002A2FAE" w:rsidRPr="00027624" w:rsidRDefault="002A2FAE" w:rsidP="002A2FAE">
      <w:pPr>
        <w:pStyle w:val="ChartMainHeading"/>
      </w:pPr>
      <w:bookmarkStart w:id="4135" w:name="_Ref40858106"/>
      <w:r w:rsidRPr="00027624">
        <w:t>Average superannuation balances, by age cohort</w:t>
      </w:r>
      <w:bookmarkEnd w:id="4135"/>
    </w:p>
    <w:p w14:paraId="536D2020" w14:textId="77777777" w:rsidR="002A2FAE" w:rsidRPr="00027624" w:rsidRDefault="00A159D9" w:rsidP="002A2FAE">
      <w:pPr>
        <w:pStyle w:val="ChartGraphic"/>
      </w:pPr>
      <w:r>
        <w:rPr>
          <w:noProof/>
        </w:rPr>
        <w:drawing>
          <wp:inline distT="0" distB="0" distL="0" distR="0" wp14:anchorId="4652AE1F" wp14:editId="6CEEA6C9">
            <wp:extent cx="5585460" cy="2529840"/>
            <wp:effectExtent l="0" t="0" r="0" b="3810"/>
            <wp:docPr id="679974612" name="Picture 679974612" descr="This chart shows average superannuation balances have generally tended to grow in retirement, between 2013-2017, for those born between 1936 and 1966. The exception is some earlier cohorts, such as the birth cohort born in 1936 (aged 77-81), where balances have increased and then fallen over the period. The Chart shows significant growth in balances between age 47 and age 65, and that balances for those over 65 continue to growth but at a slower pace. " title="Chart 5A-12 Average superannuation balances, by age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585460" cy="2529840"/>
                    </a:xfrm>
                    <a:prstGeom prst="rect">
                      <a:avLst/>
                    </a:prstGeom>
                    <a:noFill/>
                  </pic:spPr>
                </pic:pic>
              </a:graphicData>
            </a:graphic>
          </wp:inline>
        </w:drawing>
      </w:r>
    </w:p>
    <w:p w14:paraId="1C765367" w14:textId="77777777" w:rsidR="002A2FAE" w:rsidRPr="00027624" w:rsidRDefault="002A2FAE" w:rsidP="002A2FAE">
      <w:pPr>
        <w:pStyle w:val="ChartorTableNote"/>
      </w:pPr>
      <w:r w:rsidRPr="00027624">
        <w:t>Note: Values are in 2017 dollars deflated by CPI. ALife data, 10 per cent sample. Data for 2013 to 2017, members with balances above zero dollars at 30 June 2013. Includes every second one</w:t>
      </w:r>
      <w:r w:rsidR="00A8443E" w:rsidRPr="00027624">
        <w:noBreakHyphen/>
      </w:r>
      <w:r w:rsidRPr="00027624">
        <w:t>year birth cohort born 1936</w:t>
      </w:r>
      <w:r w:rsidR="00A8443E" w:rsidRPr="00027624">
        <w:noBreakHyphen/>
      </w:r>
      <w:r w:rsidRPr="00027624">
        <w:t>66. Source:</w:t>
      </w:r>
      <w:r w:rsidRPr="00027624">
        <w:fldChar w:fldCharType="begin"/>
      </w:r>
      <w:r w:rsidRPr="00027624">
        <w:instrText xml:space="preserve">CITATION Pol \l 3081 </w:instrText>
      </w:r>
      <w:r w:rsidRPr="00027624">
        <w:fldChar w:fldCharType="separate"/>
      </w:r>
      <w:r w:rsidR="00E83F6E">
        <w:rPr>
          <w:noProof/>
        </w:rPr>
        <w:t xml:space="preserve"> (Polidano, et al., 2020)</w:t>
      </w:r>
      <w:r w:rsidRPr="00027624">
        <w:fldChar w:fldCharType="end"/>
      </w:r>
      <w:r w:rsidRPr="00027624">
        <w:t>.</w:t>
      </w:r>
    </w:p>
    <w:p w14:paraId="026A5FDA" w14:textId="5733C136" w:rsidR="00BA3C92" w:rsidRPr="00027624" w:rsidRDefault="00BA3C92" w:rsidP="00BA3C92">
      <w:bookmarkStart w:id="4136" w:name="_Hlk38372559"/>
      <w:r w:rsidRPr="00027624">
        <w:t>While the tax data shows a drop in the average superannuation balances of people in the oldest cohort born in 1936 (</w:t>
      </w:r>
      <w:r w:rsidRPr="00027624">
        <w:fldChar w:fldCharType="begin"/>
      </w:r>
      <w:r w:rsidRPr="00027624">
        <w:instrText xml:space="preserve"> REF _Ref40858106 \r \h  \* MERGEFORMAT </w:instrText>
      </w:r>
      <w:r w:rsidRPr="00027624">
        <w:fldChar w:fldCharType="separate"/>
      </w:r>
      <w:r w:rsidR="00891058">
        <w:t>Chart 5A-12</w:t>
      </w:r>
      <w:r w:rsidRPr="00027624">
        <w:fldChar w:fldCharType="end"/>
      </w:r>
      <w:r w:rsidRPr="00027624">
        <w:t>),</w:t>
      </w:r>
      <w:r w:rsidRPr="00027624">
        <w:rPr>
          <w:rStyle w:val="FootnoteReference"/>
        </w:rPr>
        <w:footnoteReference w:id="296"/>
      </w:r>
      <w:r w:rsidRPr="00027624">
        <w:t xml:space="preserve"> Department of Social Services analysis of payment data relating to age pensioners does not show any significant change in assessable assets in the five years before death.</w:t>
      </w:r>
      <w:r w:rsidRPr="00027624">
        <w:rPr>
          <w:rStyle w:val="FootnoteReference"/>
        </w:rPr>
        <w:footnoteReference w:id="297"/>
      </w:r>
    </w:p>
    <w:p w14:paraId="45EBE1F9" w14:textId="77777777" w:rsidR="002A2FAE" w:rsidRPr="00027624" w:rsidRDefault="002A2FAE" w:rsidP="002A2FAE">
      <w:pPr>
        <w:rPr>
          <w:b/>
        </w:rPr>
      </w:pPr>
      <w:r w:rsidRPr="00027624">
        <w:rPr>
          <w:b/>
        </w:rPr>
        <w:t xml:space="preserve">Low consumption of superannuation </w:t>
      </w:r>
      <w:r w:rsidRPr="00027624">
        <w:rPr>
          <w:b/>
          <w:bCs/>
        </w:rPr>
        <w:t>precludes higher</w:t>
      </w:r>
      <w:r w:rsidRPr="00027624">
        <w:rPr>
          <w:b/>
        </w:rPr>
        <w:t xml:space="preserve"> living standards</w:t>
      </w:r>
      <w:r w:rsidRPr="00027624">
        <w:t xml:space="preserve">. People could have a higher standard of living, either in retirement (by consuming more) or during their working lives (by saving less). </w:t>
      </w:r>
    </w:p>
    <w:p w14:paraId="0548D4A5" w14:textId="77777777" w:rsidR="002A2FAE" w:rsidRPr="00027624" w:rsidRDefault="002A2FAE" w:rsidP="002A2FAE">
      <w:r w:rsidRPr="00027624">
        <w:t>Reflecting the retirement income system</w:t>
      </w:r>
      <w:r w:rsidR="00A8443E" w:rsidRPr="00027624">
        <w:t>’</w:t>
      </w:r>
      <w:r w:rsidRPr="00027624">
        <w:t xml:space="preserve">s intent to generate income </w:t>
      </w:r>
      <w:r w:rsidR="00D303DB" w:rsidRPr="00027624">
        <w:t xml:space="preserve">for </w:t>
      </w:r>
      <w:r w:rsidRPr="00027624">
        <w:t xml:space="preserve">retirement, most adequacy analysis assumes superannuation assets are used in full or large part </w:t>
      </w:r>
      <w:r w:rsidR="003A119F" w:rsidRPr="00027624">
        <w:t>in</w:t>
      </w:r>
      <w:r w:rsidRPr="00027624">
        <w:t xml:space="preserve"> retirement </w:t>
      </w:r>
      <w:sdt>
        <w:sdtPr>
          <w:id w:val="364490390"/>
          <w:citation/>
        </w:sdtPr>
        <w:sdtEndPr/>
        <w:sdtContent>
          <w:r w:rsidR="00DF1CD7" w:rsidRPr="00027624">
            <w:fldChar w:fldCharType="begin"/>
          </w:r>
          <w:r w:rsidR="00DF1CD7" w:rsidRPr="00027624">
            <w:instrText>CITATION Hen09 \p 68 \l 3081  \m Daw92 \m Gra20 \m RicWM19 \m Tre02f</w:instrText>
          </w:r>
          <w:r w:rsidR="00DF1CD7" w:rsidRPr="00027624">
            <w:fldChar w:fldCharType="separate"/>
          </w:r>
          <w:r w:rsidR="00E83F6E">
            <w:rPr>
              <w:noProof/>
            </w:rPr>
            <w:t>(Australia’s Future Tax System Review, 2009, p. 68; Dawkins, 1992; Grattan Institute, 2020; Rice Warner, 2019c; The Treasury, 2002)</w:t>
          </w:r>
          <w:r w:rsidR="00DF1CD7" w:rsidRPr="00027624">
            <w:fldChar w:fldCharType="end"/>
          </w:r>
        </w:sdtContent>
      </w:sdt>
    </w:p>
    <w:p w14:paraId="5612777C" w14:textId="77777777" w:rsidR="002A2FAE" w:rsidRPr="00027624" w:rsidRDefault="002A2FAE" w:rsidP="002A2FAE">
      <w:r w:rsidRPr="00027624">
        <w:t xml:space="preserve">If superannuation was consumed more efficiently in retirement, most people would have higher replacement rates. </w:t>
      </w:r>
      <w:r w:rsidRPr="00027624">
        <w:rPr>
          <w:iCs/>
        </w:rPr>
        <w:t>The median earner</w:t>
      </w:r>
      <w:r w:rsidR="00A8443E" w:rsidRPr="00027624">
        <w:rPr>
          <w:iCs/>
        </w:rPr>
        <w:t>’</w:t>
      </w:r>
      <w:r w:rsidRPr="00027624">
        <w:rPr>
          <w:iCs/>
        </w:rPr>
        <w:t>s replacement rate is up to 19 percentage points higher if they consume their superannuation assets in retirement, relative to drawing down at minimum rates</w:t>
      </w:r>
      <w:r w:rsidRPr="00027624">
        <w:t xml:space="preserve"> (see Chart 2C</w:t>
      </w:r>
      <w:r w:rsidR="00A8443E" w:rsidRPr="00027624">
        <w:noBreakHyphen/>
      </w:r>
      <w:r w:rsidRPr="00027624">
        <w:t xml:space="preserve">18 in </w:t>
      </w:r>
      <w:r w:rsidRPr="00027624">
        <w:rPr>
          <w:i/>
        </w:rPr>
        <w:t>2C. Maintaining standards of living in retirement</w:t>
      </w:r>
      <w:r w:rsidRPr="00027624">
        <w:t xml:space="preserve">). </w:t>
      </w:r>
    </w:p>
    <w:p w14:paraId="1D7EBD12" w14:textId="77777777" w:rsidR="002A2FAE" w:rsidRPr="00027624" w:rsidRDefault="002A2FAE" w:rsidP="002A2FAE">
      <w:r w:rsidRPr="00027624">
        <w:rPr>
          <w:b/>
        </w:rPr>
        <w:t>Drawing down and consuming assets is the most effective way for people to achieve adequate retirement incomes</w:t>
      </w:r>
      <w:r w:rsidRPr="00027624">
        <w:t>. It is especially important during periods of significant economic shocks and financial market volatility, such as the COVID</w:t>
      </w:r>
      <w:r w:rsidR="00A8443E" w:rsidRPr="00027624">
        <w:noBreakHyphen/>
      </w:r>
      <w:r w:rsidRPr="00027624">
        <w:t>19 Pandemic. With ultra</w:t>
      </w:r>
      <w:r w:rsidR="00A8443E" w:rsidRPr="00027624">
        <w:noBreakHyphen/>
      </w:r>
      <w:r w:rsidRPr="00027624">
        <w:t xml:space="preserve">low interest rates and reduced dividend payments, returns alone cannot be expected to generate sufficient income; retirees will need to draw down savings. Drawing down must be combined with strategies to effectively manage investment and sequencing risks (see </w:t>
      </w:r>
      <w:r w:rsidRPr="00027624">
        <w:rPr>
          <w:i/>
        </w:rPr>
        <w:t>2C. Maintaining standards of living in retirement</w:t>
      </w:r>
      <w:r w:rsidRPr="00027624">
        <w:t xml:space="preserve">). </w:t>
      </w:r>
    </w:p>
    <w:p w14:paraId="22281A08" w14:textId="3BB6181F" w:rsidR="002A2FAE" w:rsidRPr="00027624" w:rsidRDefault="002A2FAE" w:rsidP="002A2FAE">
      <w:r w:rsidRPr="00027624">
        <w:t>Without a change to retirees</w:t>
      </w:r>
      <w:r w:rsidR="00A8443E" w:rsidRPr="00027624">
        <w:t>’</w:t>
      </w:r>
      <w:r w:rsidRPr="00027624">
        <w:t xml:space="preserve"> drawdown behaviour, bequests from superannuation will grow. Rice Warner projections show average death benefits from superannuation for people aged 65 and over are expected to grow in real terms from an average of $190,000 in 2019 to more than $480,000 by 2059 (</w:t>
      </w:r>
      <w:r w:rsidRPr="00027624">
        <w:fldChar w:fldCharType="begin"/>
      </w:r>
      <w:r w:rsidRPr="00027624">
        <w:instrText xml:space="preserve"> REF _Ref35964215 \r \h  \* MERGEFORMAT </w:instrText>
      </w:r>
      <w:r w:rsidRPr="00027624">
        <w:fldChar w:fldCharType="separate"/>
      </w:r>
      <w:r w:rsidR="00891058">
        <w:t>Chart 5A-13</w:t>
      </w:r>
      <w:r w:rsidRPr="00027624">
        <w:fldChar w:fldCharType="end"/>
      </w:r>
      <w:r w:rsidRPr="00027624">
        <w:t xml:space="preserve">). Aggregate death benefits are projected to increase from around $1 of every $5 paid from </w:t>
      </w:r>
      <w:r w:rsidR="00EE4A19" w:rsidRPr="00027624">
        <w:t xml:space="preserve">the </w:t>
      </w:r>
      <w:r w:rsidRPr="00027624">
        <w:t xml:space="preserve">superannuation system in 2019 to around $1 of every $3 paid out by 2059. Bequests from housing assets will also increase if housing assets continue to grow and retirees avoid drawing on their housing wealth. </w:t>
      </w:r>
    </w:p>
    <w:p w14:paraId="777B6B1C" w14:textId="77777777" w:rsidR="002A2FAE" w:rsidRPr="00027624" w:rsidRDefault="002A2FAE" w:rsidP="002A2FAE">
      <w:pPr>
        <w:pStyle w:val="ChartMainHeading"/>
      </w:pPr>
      <w:bookmarkStart w:id="4137" w:name="_Ref35964215"/>
      <w:r w:rsidRPr="00027624">
        <w:t>Projected average superannuation death benefits for population aged 65 and over</w:t>
      </w:r>
    </w:p>
    <w:bookmarkEnd w:id="4137"/>
    <w:p w14:paraId="54C918F1" w14:textId="77777777" w:rsidR="002A2FAE" w:rsidRPr="00027624" w:rsidRDefault="002E0CCB" w:rsidP="002A2FAE">
      <w:pPr>
        <w:pStyle w:val="ChartGraphic"/>
      </w:pPr>
      <w:r>
        <w:rPr>
          <w:noProof/>
        </w:rPr>
        <w:drawing>
          <wp:inline distT="0" distB="0" distL="0" distR="0" wp14:anchorId="1A8170D2" wp14:editId="72D1EF3E">
            <wp:extent cx="5577840" cy="2522220"/>
            <wp:effectExtent l="0" t="0" r="3810" b="0"/>
            <wp:docPr id="815138335" name="Picture 815138335" descr="This chart shows average projected superannuation death benefits for the population aged 65 and over growing from just under $200,000 in 2019 to just under $500,000 in 2059. " title="Chart 5A-13 Projected superannuation death benefits for population aged 65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41CEB47C" w14:textId="77777777" w:rsidR="002A2FAE" w:rsidRPr="00027624" w:rsidRDefault="002A2FAE" w:rsidP="002A2FAE">
      <w:pPr>
        <w:pStyle w:val="ChartorTableNote"/>
      </w:pPr>
      <w:r w:rsidRPr="00027624">
        <w:t>Note: Values are in 2019 dollars, deflated by CPI. Source: Analysis of Rice Warner estimates for the review.</w:t>
      </w:r>
    </w:p>
    <w:tbl>
      <w:tblPr>
        <w:tblW w:w="5000" w:type="pct"/>
        <w:shd w:val="clear" w:color="auto" w:fill="FFF8EA"/>
        <w:tblLook w:val="01E0" w:firstRow="1" w:lastRow="1" w:firstColumn="1" w:lastColumn="1" w:noHBand="0" w:noVBand="0"/>
      </w:tblPr>
      <w:tblGrid>
        <w:gridCol w:w="9070"/>
      </w:tblGrid>
      <w:tr w:rsidR="002A2FAE" w:rsidRPr="00027624" w14:paraId="43DBF06E" w14:textId="77777777" w:rsidTr="003A119F">
        <w:tc>
          <w:tcPr>
            <w:tcW w:w="5000" w:type="pct"/>
            <w:shd w:val="clear" w:color="auto" w:fill="FFF8EA"/>
          </w:tcPr>
          <w:p w14:paraId="31EED835" w14:textId="77777777" w:rsidR="002A2FAE" w:rsidRPr="00027624" w:rsidRDefault="002A2FAE" w:rsidP="00325A8D">
            <w:pPr>
              <w:pStyle w:val="BoxHeading"/>
              <w:numPr>
                <w:ilvl w:val="5"/>
                <w:numId w:val="13"/>
              </w:numPr>
            </w:pPr>
            <w:bookmarkStart w:id="4138" w:name="_Ref41740667"/>
            <w:r w:rsidRPr="00027624">
              <w:t xml:space="preserve">Bequests and low consumption in retirement </w:t>
            </w:r>
          </w:p>
          <w:p w14:paraId="32E936F5" w14:textId="77777777" w:rsidR="002A2FAE" w:rsidRPr="00027624" w:rsidRDefault="002A2FAE" w:rsidP="002A2FAE">
            <w:pPr>
              <w:rPr>
                <w:sz w:val="20"/>
              </w:rPr>
            </w:pPr>
            <w:r w:rsidRPr="00027624">
              <w:rPr>
                <w:b/>
                <w:sz w:val="20"/>
              </w:rPr>
              <w:t>Bequests do not appear to be a high priority for retirees</w:t>
            </w:r>
            <w:r w:rsidRPr="00027624">
              <w:rPr>
                <w:sz w:val="20"/>
              </w:rPr>
              <w:t>. Despite the significant number of</w:t>
            </w:r>
            <w:r w:rsidRPr="00027624">
              <w:rPr>
                <w:rStyle w:val="CommentReference"/>
              </w:rPr>
              <w:t xml:space="preserve"> </w:t>
            </w:r>
            <w:r w:rsidRPr="00027624">
              <w:rPr>
                <w:sz w:val="20"/>
              </w:rPr>
              <w:t xml:space="preserve">bequests, several surveys found </w:t>
            </w:r>
            <w:r w:rsidR="00A8443E" w:rsidRPr="00027624">
              <w:rPr>
                <w:sz w:val="20"/>
              </w:rPr>
              <w:t>‘</w:t>
            </w:r>
            <w:r w:rsidRPr="00027624">
              <w:rPr>
                <w:sz w:val="20"/>
              </w:rPr>
              <w:t>leaving a bequest</w:t>
            </w:r>
            <w:r w:rsidR="00A8443E" w:rsidRPr="00027624">
              <w:rPr>
                <w:sz w:val="20"/>
              </w:rPr>
              <w:t>’</w:t>
            </w:r>
            <w:r w:rsidRPr="00027624">
              <w:rPr>
                <w:sz w:val="20"/>
              </w:rPr>
              <w:t xml:space="preserve"> is one of the least important retirement savings objectives for people</w:t>
            </w:r>
            <w:r w:rsidRPr="00027624">
              <w:rPr>
                <w:sz w:val="20"/>
              </w:rPr>
              <w:fldChar w:fldCharType="begin"/>
            </w:r>
            <w:r w:rsidRPr="00027624">
              <w:rPr>
                <w:sz w:val="20"/>
              </w:rPr>
              <w:instrText>CITATION Nat17 \l 3081  \m Alo20 \m Hob18 \m Mer191</w:instrText>
            </w:r>
            <w:r w:rsidRPr="00027624">
              <w:rPr>
                <w:sz w:val="20"/>
              </w:rPr>
              <w:fldChar w:fldCharType="separate"/>
            </w:r>
            <w:r w:rsidR="00E83F6E">
              <w:rPr>
                <w:noProof/>
                <w:sz w:val="20"/>
              </w:rPr>
              <w:t xml:space="preserve"> </w:t>
            </w:r>
            <w:r w:rsidR="00E83F6E" w:rsidRPr="00E83F6E">
              <w:rPr>
                <w:noProof/>
                <w:sz w:val="20"/>
              </w:rPr>
              <w:t>(National Seniors Australia and Challenger, 2017; Alonso-Garcia, et al., Forthcoming; Hobman &amp; Reeson, Forthcoming; Mercer, 2019a)</w:t>
            </w:r>
            <w:r w:rsidRPr="00027624">
              <w:rPr>
                <w:sz w:val="20"/>
              </w:rPr>
              <w:fldChar w:fldCharType="end"/>
            </w:r>
            <w:r w:rsidRPr="00027624">
              <w:rPr>
                <w:sz w:val="20"/>
              </w:rPr>
              <w:t>. One study found bequests ranked 18 out of 19 possible savings motives in retirement</w:t>
            </w:r>
            <w:r w:rsidRPr="00027624">
              <w:rPr>
                <w:sz w:val="20"/>
              </w:rPr>
              <w:fldChar w:fldCharType="begin"/>
            </w:r>
            <w:r w:rsidRPr="00027624">
              <w:rPr>
                <w:sz w:val="20"/>
              </w:rPr>
              <w:instrText xml:space="preserve">CITATION Alo20 \p 27 \l 3081 </w:instrText>
            </w:r>
            <w:r w:rsidRPr="00027624">
              <w:rPr>
                <w:sz w:val="20"/>
              </w:rPr>
              <w:fldChar w:fldCharType="separate"/>
            </w:r>
            <w:r w:rsidR="00E83F6E">
              <w:rPr>
                <w:noProof/>
                <w:sz w:val="20"/>
              </w:rPr>
              <w:t xml:space="preserve"> </w:t>
            </w:r>
            <w:r w:rsidR="00E83F6E" w:rsidRPr="00E83F6E">
              <w:rPr>
                <w:noProof/>
                <w:sz w:val="20"/>
              </w:rPr>
              <w:t>(Alonso-Garcia, et al., Forthcoming, p. 27)</w:t>
            </w:r>
            <w:r w:rsidRPr="00027624">
              <w:rPr>
                <w:sz w:val="20"/>
              </w:rPr>
              <w:fldChar w:fldCharType="end"/>
            </w:r>
            <w:r w:rsidRPr="00027624">
              <w:rPr>
                <w:sz w:val="20"/>
              </w:rPr>
              <w:t>. Similarly, bequests ranked last out of nine possible attributes for savings in a consumer group survey</w:t>
            </w:r>
            <w:r w:rsidRPr="00027624">
              <w:rPr>
                <w:sz w:val="20"/>
              </w:rPr>
              <w:fldChar w:fldCharType="begin"/>
            </w:r>
            <w:r w:rsidRPr="00027624">
              <w:rPr>
                <w:sz w:val="20"/>
              </w:rPr>
              <w:instrText xml:space="preserve">CITATION Nat17 \p 9 \l 3081 </w:instrText>
            </w:r>
            <w:r w:rsidRPr="00027624">
              <w:rPr>
                <w:sz w:val="20"/>
              </w:rPr>
              <w:fldChar w:fldCharType="separate"/>
            </w:r>
            <w:r w:rsidR="00E83F6E">
              <w:rPr>
                <w:noProof/>
                <w:sz w:val="20"/>
              </w:rPr>
              <w:t xml:space="preserve"> </w:t>
            </w:r>
            <w:r w:rsidR="00E83F6E" w:rsidRPr="00E83F6E">
              <w:rPr>
                <w:noProof/>
                <w:sz w:val="20"/>
              </w:rPr>
              <w:t>(National Seniors Australia and Challenger, 2017, p. 9)</w:t>
            </w:r>
            <w:r w:rsidRPr="00027624">
              <w:rPr>
                <w:sz w:val="20"/>
              </w:rPr>
              <w:fldChar w:fldCharType="end"/>
            </w:r>
            <w:r w:rsidRPr="00027624">
              <w:rPr>
                <w:sz w:val="20"/>
              </w:rPr>
              <w:t>. They ranked among the bottom three desired retirement income product features in another survey</w:t>
            </w:r>
            <w:r w:rsidRPr="00027624">
              <w:rPr>
                <w:sz w:val="20"/>
              </w:rPr>
              <w:fldChar w:fldCharType="begin"/>
            </w:r>
            <w:r w:rsidRPr="00027624">
              <w:rPr>
                <w:sz w:val="20"/>
              </w:rPr>
              <w:instrText xml:space="preserve">CITATION Mer191 \p 4 \l 3081 </w:instrText>
            </w:r>
            <w:r w:rsidRPr="00027624">
              <w:rPr>
                <w:sz w:val="20"/>
              </w:rPr>
              <w:fldChar w:fldCharType="separate"/>
            </w:r>
            <w:r w:rsidR="00E83F6E">
              <w:rPr>
                <w:noProof/>
                <w:sz w:val="20"/>
              </w:rPr>
              <w:t xml:space="preserve"> </w:t>
            </w:r>
            <w:r w:rsidR="00E83F6E" w:rsidRPr="00E83F6E">
              <w:rPr>
                <w:noProof/>
                <w:sz w:val="20"/>
              </w:rPr>
              <w:t>(Mercer, 2019a, p. 4)</w:t>
            </w:r>
            <w:r w:rsidRPr="00027624">
              <w:rPr>
                <w:sz w:val="20"/>
              </w:rPr>
              <w:fldChar w:fldCharType="end"/>
            </w:r>
            <w:r w:rsidRPr="00027624">
              <w:rPr>
                <w:sz w:val="20"/>
              </w:rPr>
              <w:t xml:space="preserve">. </w:t>
            </w:r>
          </w:p>
          <w:p w14:paraId="37EE1658" w14:textId="77777777" w:rsidR="002A2FAE" w:rsidRPr="00027624" w:rsidRDefault="002A2FAE" w:rsidP="002A2FAE">
            <w:r w:rsidRPr="00027624">
              <w:rPr>
                <w:sz w:val="20"/>
              </w:rPr>
              <w:t>The bequest motive may be different for the principal residence. Some researchers suggested the principal residence serves a dual purpose: allowing people to fund out</w:t>
            </w:r>
            <w:r w:rsidR="00A8443E" w:rsidRPr="00027624">
              <w:rPr>
                <w:sz w:val="20"/>
              </w:rPr>
              <w:noBreakHyphen/>
            </w:r>
            <w:r w:rsidRPr="00027624">
              <w:rPr>
                <w:sz w:val="20"/>
              </w:rPr>
              <w:t>of</w:t>
            </w:r>
            <w:r w:rsidR="00A8443E" w:rsidRPr="00027624">
              <w:rPr>
                <w:sz w:val="20"/>
              </w:rPr>
              <w:noBreakHyphen/>
            </w:r>
            <w:r w:rsidRPr="00027624">
              <w:rPr>
                <w:sz w:val="20"/>
              </w:rPr>
              <w:t>pocket aged care and health expenses as needed and, if not needed, leaving a bequest</w:t>
            </w:r>
            <w:r w:rsidRPr="00027624">
              <w:rPr>
                <w:sz w:val="20"/>
              </w:rPr>
              <w:fldChar w:fldCharType="begin"/>
            </w:r>
            <w:r w:rsidRPr="00027624">
              <w:rPr>
                <w:sz w:val="20"/>
              </w:rPr>
              <w:instrText xml:space="preserve">CITATION CEP19 \l 3081 </w:instrText>
            </w:r>
            <w:r w:rsidRPr="00027624">
              <w:rPr>
                <w:sz w:val="20"/>
              </w:rPr>
              <w:fldChar w:fldCharType="separate"/>
            </w:r>
            <w:r w:rsidR="00E83F6E">
              <w:rPr>
                <w:noProof/>
                <w:sz w:val="20"/>
              </w:rPr>
              <w:t xml:space="preserve"> </w:t>
            </w:r>
            <w:r w:rsidR="00E83F6E" w:rsidRPr="00E83F6E">
              <w:rPr>
                <w:noProof/>
                <w:sz w:val="20"/>
              </w:rPr>
              <w:t>(CEPAR, 2019)</w:t>
            </w:r>
            <w:r w:rsidRPr="00027624">
              <w:rPr>
                <w:sz w:val="20"/>
              </w:rPr>
              <w:fldChar w:fldCharType="end"/>
            </w:r>
            <w:r w:rsidRPr="00027624">
              <w:rPr>
                <w:sz w:val="20"/>
              </w:rPr>
              <w:t>. In a Productivity Commission survey</w:t>
            </w:r>
            <w:r w:rsidRPr="00027624">
              <w:rPr>
                <w:sz w:val="20"/>
              </w:rPr>
              <w:fldChar w:fldCharType="begin"/>
            </w:r>
            <w:r w:rsidRPr="00027624">
              <w:rPr>
                <w:sz w:val="20"/>
              </w:rPr>
              <w:instrText xml:space="preserve">CITATION Pro15 \p 14 \n  \l 3081 </w:instrText>
            </w:r>
            <w:r w:rsidRPr="00027624">
              <w:rPr>
                <w:sz w:val="20"/>
              </w:rPr>
              <w:fldChar w:fldCharType="separate"/>
            </w:r>
            <w:r w:rsidR="00E83F6E">
              <w:rPr>
                <w:noProof/>
                <w:sz w:val="20"/>
              </w:rPr>
              <w:t xml:space="preserve"> </w:t>
            </w:r>
            <w:r w:rsidR="00E83F6E" w:rsidRPr="00E83F6E">
              <w:rPr>
                <w:noProof/>
                <w:sz w:val="20"/>
              </w:rPr>
              <w:t>(2015a, p. 14)</w:t>
            </w:r>
            <w:r w:rsidRPr="00027624">
              <w:rPr>
                <w:sz w:val="20"/>
              </w:rPr>
              <w:fldChar w:fldCharType="end"/>
            </w:r>
            <w:r w:rsidRPr="00027624">
              <w:rPr>
                <w:sz w:val="20"/>
              </w:rPr>
              <w:t>, 71 per cent of respondents said they saw the family home as a safety net for adverse events, and 44 per cent said they wished to pass the family home on to their children.</w:t>
            </w:r>
          </w:p>
        </w:tc>
      </w:tr>
    </w:tbl>
    <w:bookmarkEnd w:id="4138"/>
    <w:p w14:paraId="67A38A38" w14:textId="77777777" w:rsidR="002A2FAE" w:rsidRPr="00027624" w:rsidRDefault="002A2FAE" w:rsidP="002A2FAE">
      <w:pPr>
        <w:pStyle w:val="Heading5"/>
      </w:pPr>
      <w:r w:rsidRPr="00027624">
        <w:t xml:space="preserve">Consumption of housing equity </w:t>
      </w:r>
    </w:p>
    <w:bookmarkEnd w:id="4136"/>
    <w:p w14:paraId="07FA7385" w14:textId="77777777" w:rsidR="002A2FAE" w:rsidRPr="00027624" w:rsidRDefault="002A2FAE" w:rsidP="002A2FAE">
      <w:r w:rsidRPr="00027624">
        <w:rPr>
          <w:b/>
          <w:bCs/>
        </w:rPr>
        <w:t>Retirees tend to avoid using housing wealth to fund their retirement</w:t>
      </w:r>
      <w:r w:rsidRPr="00027624">
        <w:t>, despite it being their largest store of wealth</w:t>
      </w:r>
      <w:r w:rsidRPr="00027624">
        <w:fldChar w:fldCharType="begin"/>
      </w:r>
      <w:r w:rsidRPr="00027624">
        <w:instrText xml:space="preserve"> CITATION Whe192 \l 3081 </w:instrText>
      </w:r>
      <w:r w:rsidRPr="00027624">
        <w:fldChar w:fldCharType="separate"/>
      </w:r>
      <w:r w:rsidR="00E83F6E">
        <w:rPr>
          <w:noProof/>
        </w:rPr>
        <w:t xml:space="preserve"> (Whelan, et al., 2019)</w:t>
      </w:r>
      <w:r w:rsidRPr="00027624">
        <w:fldChar w:fldCharType="end"/>
      </w:r>
      <w:r w:rsidRPr="00027624">
        <w:t>. Yet, research shows Australians are increasingly likely to borrow against the value of their home for other purposes, such as purchasing investment property</w:t>
      </w:r>
      <w:r w:rsidRPr="00027624">
        <w:fldChar w:fldCharType="begin"/>
      </w:r>
      <w:r w:rsidRPr="00027624">
        <w:instrText xml:space="preserve"> CITATION Ong19 \l 3081 </w:instrText>
      </w:r>
      <w:r w:rsidRPr="00027624">
        <w:fldChar w:fldCharType="separate"/>
      </w:r>
      <w:r w:rsidR="00E83F6E">
        <w:rPr>
          <w:noProof/>
        </w:rPr>
        <w:t xml:space="preserve"> (Ong, et al., 2019)</w:t>
      </w:r>
      <w:r w:rsidRPr="00027624">
        <w:fldChar w:fldCharType="end"/>
      </w:r>
      <w:r w:rsidRPr="00027624">
        <w:t>.</w:t>
      </w:r>
    </w:p>
    <w:p w14:paraId="2E2E5B62" w14:textId="77777777" w:rsidR="002A2FAE" w:rsidRPr="00027624" w:rsidRDefault="002A2FAE" w:rsidP="002A2FAE">
      <w:r w:rsidRPr="00027624">
        <w:t xml:space="preserve">The Government has two programs to encourage the use of housing equity to fund living costs in retirement (see </w:t>
      </w:r>
      <w:r w:rsidRPr="00027624">
        <w:rPr>
          <w:i/>
        </w:rPr>
        <w:t>1B. Design of Australia</w:t>
      </w:r>
      <w:r w:rsidR="00A8443E" w:rsidRPr="00027624">
        <w:rPr>
          <w:i/>
        </w:rPr>
        <w:t>’</w:t>
      </w:r>
      <w:r w:rsidRPr="00027624">
        <w:rPr>
          <w:i/>
        </w:rPr>
        <w:t>s retirement income system</w:t>
      </w:r>
      <w:r w:rsidRPr="00027624">
        <w:t>).</w:t>
      </w:r>
    </w:p>
    <w:p w14:paraId="43747C91" w14:textId="4302319A" w:rsidR="002A2FAE" w:rsidRPr="00027624" w:rsidRDefault="002A2FAE" w:rsidP="00931935">
      <w:pPr>
        <w:pStyle w:val="Bullet"/>
      </w:pPr>
      <w:r w:rsidRPr="00027624">
        <w:rPr>
          <w:b/>
        </w:rPr>
        <w:t>Pension Loans Scheme</w:t>
      </w:r>
      <w:r w:rsidRPr="00027624">
        <w:t>. Take</w:t>
      </w:r>
      <w:r w:rsidR="00A8443E" w:rsidRPr="00027624">
        <w:noBreakHyphen/>
      </w:r>
      <w:r w:rsidRPr="00027624">
        <w:t>up of this scheme, while increasing, remains low (</w:t>
      </w:r>
      <w:r w:rsidRPr="00027624">
        <w:fldChar w:fldCharType="begin"/>
      </w:r>
      <w:r w:rsidRPr="00027624">
        <w:instrText xml:space="preserve"> REF _Ref36041881 \r \h  \* MERGEFORMAT </w:instrText>
      </w:r>
      <w:r w:rsidRPr="00027624">
        <w:fldChar w:fldCharType="separate"/>
      </w:r>
      <w:r w:rsidR="00891058">
        <w:t>Table 5A-2</w:t>
      </w:r>
      <w:r w:rsidRPr="00027624">
        <w:fldChar w:fldCharType="end"/>
      </w:r>
      <w:r w:rsidRPr="00027624">
        <w:t>). Some stakeholders suggested the name of the scheme and the way eligibility for the scheme is described undermine take</w:t>
      </w:r>
      <w:r w:rsidR="00A8443E" w:rsidRPr="00027624">
        <w:noBreakHyphen/>
      </w:r>
      <w:r w:rsidRPr="00027624">
        <w:t>up, as non</w:t>
      </w:r>
      <w:r w:rsidR="00A8443E" w:rsidRPr="00027624">
        <w:noBreakHyphen/>
      </w:r>
      <w:r w:rsidRPr="00027624">
        <w:t xml:space="preserve">pensioners may not understand they are eligible. </w:t>
      </w:r>
    </w:p>
    <w:p w14:paraId="66DBA8D4" w14:textId="77777777" w:rsidR="002A2FAE" w:rsidRPr="00027624" w:rsidRDefault="002A2FAE" w:rsidP="00931935">
      <w:pPr>
        <w:pStyle w:val="Bullet"/>
      </w:pPr>
      <w:r w:rsidRPr="00027624">
        <w:rPr>
          <w:b/>
        </w:rPr>
        <w:t>Downsizer contribution scheme</w:t>
      </w:r>
      <w:r w:rsidRPr="00027624">
        <w:t>. Between 1 July 2018 and 17 January 2020, more than 9,000 people made downsizer contributions, with an average contribution of $230,000.</w:t>
      </w:r>
      <w:r w:rsidRPr="00027624">
        <w:rPr>
          <w:rStyle w:val="FootnoteReference"/>
        </w:rPr>
        <w:footnoteReference w:id="298"/>
      </w:r>
    </w:p>
    <w:p w14:paraId="13E8CB46" w14:textId="77777777" w:rsidR="002A2FAE" w:rsidRPr="00027624" w:rsidRDefault="002A2FAE" w:rsidP="00620C5E">
      <w:r w:rsidRPr="00027624">
        <w:t xml:space="preserve">The existence of many </w:t>
      </w:r>
      <w:r w:rsidR="00A8443E" w:rsidRPr="00027624">
        <w:t>‘</w:t>
      </w:r>
      <w:r w:rsidRPr="00027624">
        <w:t>asset rich, income poor</w:t>
      </w:r>
      <w:r w:rsidR="00A8443E" w:rsidRPr="00027624">
        <w:t>’</w:t>
      </w:r>
      <w:r w:rsidRPr="00027624">
        <w:t xml:space="preserve"> retirees on the Age Pension suggests home equity release has significant potential to help support retirement incomes (see </w:t>
      </w:r>
      <w:r w:rsidRPr="00027624">
        <w:rPr>
          <w:i/>
        </w:rPr>
        <w:t>3C. Home ownership status</w:t>
      </w:r>
      <w:r w:rsidRPr="00027624">
        <w:t>).</w:t>
      </w:r>
    </w:p>
    <w:p w14:paraId="64CAF260" w14:textId="77777777" w:rsidR="002A2FAE" w:rsidRPr="00027624" w:rsidRDefault="002A2FAE" w:rsidP="00325A8D">
      <w:pPr>
        <w:pStyle w:val="TableMainHeading"/>
        <w:numPr>
          <w:ilvl w:val="3"/>
          <w:numId w:val="13"/>
        </w:numPr>
      </w:pPr>
      <w:bookmarkStart w:id="4139" w:name="_Ref36041881"/>
      <w:r w:rsidRPr="00027624">
        <w:t>Use of the Pension Loans Scheme</w:t>
      </w:r>
      <w:bookmarkEnd w:id="4139"/>
    </w:p>
    <w:tbl>
      <w:tblPr>
        <w:tblW w:w="5000" w:type="pct"/>
        <w:tblLook w:val="01E0" w:firstRow="1" w:lastRow="1" w:firstColumn="1" w:lastColumn="1" w:noHBand="0" w:noVBand="0"/>
      </w:tblPr>
      <w:tblGrid>
        <w:gridCol w:w="3022"/>
        <w:gridCol w:w="3024"/>
        <w:gridCol w:w="3024"/>
      </w:tblGrid>
      <w:tr w:rsidR="002A2FAE" w:rsidRPr="00027624" w14:paraId="1C444649" w14:textId="77777777" w:rsidTr="002A2FAE">
        <w:trPr>
          <w:trHeight w:val="270"/>
          <w:tblHeader/>
        </w:trPr>
        <w:tc>
          <w:tcPr>
            <w:tcW w:w="1666" w:type="pct"/>
            <w:shd w:val="clear" w:color="auto" w:fill="E5E5E5"/>
          </w:tcPr>
          <w:p w14:paraId="58C144AF" w14:textId="77777777" w:rsidR="002A2FAE" w:rsidRPr="00027624" w:rsidRDefault="002A2FAE" w:rsidP="002A2FAE">
            <w:pPr>
              <w:pStyle w:val="TableColumnHeadingRight"/>
            </w:pPr>
          </w:p>
        </w:tc>
        <w:tc>
          <w:tcPr>
            <w:tcW w:w="1667" w:type="pct"/>
            <w:shd w:val="clear" w:color="auto" w:fill="E5E5E5"/>
          </w:tcPr>
          <w:p w14:paraId="0974D86D" w14:textId="77777777" w:rsidR="002A2FAE" w:rsidRPr="00027624" w:rsidRDefault="002A2FAE" w:rsidP="002A2FAE">
            <w:pPr>
              <w:pStyle w:val="TableColumnHeadingRight"/>
              <w:jc w:val="center"/>
            </w:pPr>
            <w:r w:rsidRPr="00027624">
              <w:t>June 2018</w:t>
            </w:r>
          </w:p>
        </w:tc>
        <w:tc>
          <w:tcPr>
            <w:tcW w:w="1667" w:type="pct"/>
            <w:shd w:val="clear" w:color="auto" w:fill="E5E5E5"/>
          </w:tcPr>
          <w:p w14:paraId="629F81D2" w14:textId="77777777" w:rsidR="002A2FAE" w:rsidRPr="00027624" w:rsidRDefault="002A2FAE" w:rsidP="002A2FAE">
            <w:pPr>
              <w:pStyle w:val="TableColumnHeadingRight"/>
              <w:jc w:val="center"/>
            </w:pPr>
            <w:r w:rsidRPr="00027624">
              <w:t>March 2020</w:t>
            </w:r>
          </w:p>
        </w:tc>
      </w:tr>
      <w:tr w:rsidR="002A2FAE" w:rsidRPr="00027624" w14:paraId="2FB91BAA" w14:textId="77777777" w:rsidTr="002A2FAE">
        <w:trPr>
          <w:trHeight w:val="270"/>
        </w:trPr>
        <w:tc>
          <w:tcPr>
            <w:tcW w:w="1666" w:type="pct"/>
          </w:tcPr>
          <w:p w14:paraId="02490EB4" w14:textId="77777777" w:rsidR="002A2FAE" w:rsidRPr="00027624" w:rsidRDefault="002A2FAE" w:rsidP="002A2FAE">
            <w:pPr>
              <w:pStyle w:val="TableTextLeft"/>
            </w:pPr>
            <w:r w:rsidRPr="00027624">
              <w:t>Participants</w:t>
            </w:r>
          </w:p>
        </w:tc>
        <w:tc>
          <w:tcPr>
            <w:tcW w:w="1667" w:type="pct"/>
          </w:tcPr>
          <w:p w14:paraId="47C5BB00" w14:textId="77777777" w:rsidR="002A2FAE" w:rsidRPr="00027624" w:rsidRDefault="002A2FAE" w:rsidP="002A2FAE">
            <w:pPr>
              <w:pStyle w:val="TableTextRight"/>
              <w:jc w:val="center"/>
            </w:pPr>
            <w:r w:rsidRPr="00027624">
              <w:t>642</w:t>
            </w:r>
          </w:p>
        </w:tc>
        <w:tc>
          <w:tcPr>
            <w:tcW w:w="1667" w:type="pct"/>
          </w:tcPr>
          <w:p w14:paraId="07A3BDE8" w14:textId="77777777" w:rsidR="002A2FAE" w:rsidRPr="00027624" w:rsidRDefault="002A2FAE" w:rsidP="002A2FAE">
            <w:pPr>
              <w:pStyle w:val="TableTextRight"/>
              <w:jc w:val="center"/>
            </w:pPr>
            <w:r w:rsidRPr="00027624">
              <w:t>2,288</w:t>
            </w:r>
          </w:p>
        </w:tc>
      </w:tr>
      <w:tr w:rsidR="002A2FAE" w:rsidRPr="00027624" w14:paraId="1C5E8AC9" w14:textId="77777777" w:rsidTr="002A2FAE">
        <w:trPr>
          <w:trHeight w:val="270"/>
        </w:trPr>
        <w:tc>
          <w:tcPr>
            <w:tcW w:w="1666" w:type="pct"/>
          </w:tcPr>
          <w:p w14:paraId="6B670CF1" w14:textId="77777777" w:rsidR="002A2FAE" w:rsidRPr="00027624" w:rsidRDefault="002A2FAE" w:rsidP="002A2FAE">
            <w:pPr>
              <w:pStyle w:val="TableTextLeft"/>
            </w:pPr>
            <w:r w:rsidRPr="00027624">
              <w:t>Number of new loans</w:t>
            </w:r>
          </w:p>
        </w:tc>
        <w:tc>
          <w:tcPr>
            <w:tcW w:w="1667" w:type="pct"/>
          </w:tcPr>
          <w:p w14:paraId="6B685EA0" w14:textId="77777777" w:rsidR="002A2FAE" w:rsidRPr="00027624" w:rsidRDefault="002A2FAE" w:rsidP="002A2FAE">
            <w:pPr>
              <w:pStyle w:val="TableTextRight"/>
              <w:jc w:val="center"/>
            </w:pPr>
            <w:r w:rsidRPr="00027624">
              <w:t>80</w:t>
            </w:r>
          </w:p>
          <w:p w14:paraId="1E0321AE" w14:textId="77777777" w:rsidR="002A2FAE" w:rsidRPr="00027624" w:rsidRDefault="002A2FAE" w:rsidP="002A2FAE">
            <w:pPr>
              <w:pStyle w:val="TableTextRight"/>
              <w:jc w:val="center"/>
            </w:pPr>
            <w:r w:rsidRPr="00027624">
              <w:t>(six months prior)</w:t>
            </w:r>
          </w:p>
        </w:tc>
        <w:tc>
          <w:tcPr>
            <w:tcW w:w="1667" w:type="pct"/>
          </w:tcPr>
          <w:p w14:paraId="792FC5EE" w14:textId="77777777" w:rsidR="002A2FAE" w:rsidRPr="00027624" w:rsidRDefault="002A2FAE" w:rsidP="002A2FAE">
            <w:pPr>
              <w:pStyle w:val="TableTextRight"/>
              <w:jc w:val="center"/>
            </w:pPr>
            <w:r w:rsidRPr="00027624">
              <w:t>1,500</w:t>
            </w:r>
          </w:p>
          <w:p w14:paraId="38C944BB" w14:textId="77777777" w:rsidR="002A2FAE" w:rsidRPr="00027624" w:rsidRDefault="002A2FAE" w:rsidP="002A2FAE">
            <w:pPr>
              <w:pStyle w:val="TableTextRight"/>
              <w:jc w:val="center"/>
            </w:pPr>
            <w:r w:rsidRPr="00027624">
              <w:t>(nine months prior)</w:t>
            </w:r>
          </w:p>
        </w:tc>
      </w:tr>
      <w:tr w:rsidR="002A2FAE" w:rsidRPr="00027624" w14:paraId="275D88F0" w14:textId="77777777" w:rsidTr="002A2FAE">
        <w:trPr>
          <w:trHeight w:val="270"/>
        </w:trPr>
        <w:tc>
          <w:tcPr>
            <w:tcW w:w="1666" w:type="pct"/>
          </w:tcPr>
          <w:p w14:paraId="71FEF41E" w14:textId="77777777" w:rsidR="002A2FAE" w:rsidRPr="00027624" w:rsidRDefault="002A2FAE" w:rsidP="002A2FAE">
            <w:pPr>
              <w:pStyle w:val="TableTextLeft"/>
            </w:pPr>
            <w:r w:rsidRPr="00027624">
              <w:t>Average debt</w:t>
            </w:r>
          </w:p>
        </w:tc>
        <w:tc>
          <w:tcPr>
            <w:tcW w:w="1667" w:type="pct"/>
          </w:tcPr>
          <w:p w14:paraId="5CE81E74" w14:textId="77777777" w:rsidR="002A2FAE" w:rsidRPr="00027624" w:rsidRDefault="002A2FAE" w:rsidP="002A2FAE">
            <w:pPr>
              <w:pStyle w:val="TableTextRight"/>
              <w:jc w:val="center"/>
            </w:pPr>
            <w:r w:rsidRPr="00027624">
              <w:t>$45,366</w:t>
            </w:r>
          </w:p>
        </w:tc>
        <w:tc>
          <w:tcPr>
            <w:tcW w:w="1667" w:type="pct"/>
          </w:tcPr>
          <w:p w14:paraId="4FE53636" w14:textId="77777777" w:rsidR="002A2FAE" w:rsidRPr="00027624" w:rsidRDefault="002A2FAE" w:rsidP="002A2FAE">
            <w:pPr>
              <w:pStyle w:val="TableTextRight"/>
              <w:jc w:val="center"/>
            </w:pPr>
            <w:r w:rsidRPr="00027624">
              <w:t>$18,884</w:t>
            </w:r>
          </w:p>
        </w:tc>
      </w:tr>
      <w:tr w:rsidR="002A2FAE" w:rsidRPr="00027624" w14:paraId="48E54F1D" w14:textId="77777777" w:rsidTr="002A2FAE">
        <w:trPr>
          <w:trHeight w:val="270"/>
        </w:trPr>
        <w:tc>
          <w:tcPr>
            <w:tcW w:w="1666" w:type="pct"/>
          </w:tcPr>
          <w:p w14:paraId="4A5B386D" w14:textId="77777777" w:rsidR="002A2FAE" w:rsidRPr="00027624" w:rsidRDefault="002A2FAE" w:rsidP="002A2FAE">
            <w:pPr>
              <w:pStyle w:val="TableTextLeft"/>
            </w:pPr>
            <w:r w:rsidRPr="00027624">
              <w:t>Largest debt in scheme</w:t>
            </w:r>
          </w:p>
        </w:tc>
        <w:tc>
          <w:tcPr>
            <w:tcW w:w="1667" w:type="pct"/>
          </w:tcPr>
          <w:p w14:paraId="28909440" w14:textId="77777777" w:rsidR="002A2FAE" w:rsidRPr="00027624" w:rsidRDefault="002A2FAE" w:rsidP="002A2FAE">
            <w:pPr>
              <w:pStyle w:val="TableTextRight"/>
              <w:jc w:val="center"/>
            </w:pPr>
            <w:r w:rsidRPr="00027624">
              <w:t>$345,863</w:t>
            </w:r>
          </w:p>
        </w:tc>
        <w:tc>
          <w:tcPr>
            <w:tcW w:w="1667" w:type="pct"/>
          </w:tcPr>
          <w:p w14:paraId="4D942F3E" w14:textId="77777777" w:rsidR="002A2FAE" w:rsidRPr="00027624" w:rsidRDefault="002A2FAE" w:rsidP="002A2FAE">
            <w:pPr>
              <w:pStyle w:val="TableTextRight"/>
              <w:jc w:val="center"/>
            </w:pPr>
            <w:r w:rsidRPr="00027624">
              <w:t>$423,250</w:t>
            </w:r>
          </w:p>
        </w:tc>
      </w:tr>
    </w:tbl>
    <w:p w14:paraId="2018F377" w14:textId="77777777" w:rsidR="002A2FAE" w:rsidRPr="00027624" w:rsidRDefault="002A2FAE" w:rsidP="002A2FAE">
      <w:pPr>
        <w:pStyle w:val="ChartorTableNote"/>
      </w:pPr>
      <w:r w:rsidRPr="00027624">
        <w:t>Source: Department of Social Services payment data.</w:t>
      </w:r>
      <w:r w:rsidRPr="00027624" w:rsidDel="00E47064">
        <w:t xml:space="preserve"> </w:t>
      </w:r>
    </w:p>
    <w:p w14:paraId="7840CD3B" w14:textId="13C1DFEC" w:rsidR="002A2FAE" w:rsidRPr="00027624" w:rsidRDefault="002A2FAE" w:rsidP="002A2FAE">
      <w:r w:rsidRPr="00027624">
        <w:t>Despite these Government initiatives, and the potential benefits of equity release products (</w:t>
      </w:r>
      <w:r w:rsidRPr="00027624">
        <w:fldChar w:fldCharType="begin"/>
      </w:r>
      <w:r w:rsidRPr="00027624">
        <w:instrText xml:space="preserve"> REF _Ref40887456 \r \h  \* MERGEFORMAT </w:instrText>
      </w:r>
      <w:r w:rsidRPr="00027624">
        <w:fldChar w:fldCharType="separate"/>
      </w:r>
      <w:r w:rsidR="00891058">
        <w:t>Box 5A-5</w:t>
      </w:r>
      <w:r w:rsidRPr="00027624">
        <w:fldChar w:fldCharType="end"/>
      </w:r>
      <w:r w:rsidR="00842A7C" w:rsidRPr="00027624">
        <w:t>)</w:t>
      </w:r>
      <w:r w:rsidRPr="00027624">
        <w:t xml:space="preserve"> especially for retirees who are asset rich and income poor, retirees still tend to draw less on home equity than other assets. This is because they:</w:t>
      </w:r>
    </w:p>
    <w:p w14:paraId="690E48B1" w14:textId="25731BB4" w:rsidR="002A2FAE" w:rsidRPr="00027624" w:rsidRDefault="002A2FAE" w:rsidP="00931935">
      <w:pPr>
        <w:pStyle w:val="Bullet"/>
      </w:pPr>
      <w:r w:rsidRPr="00027624">
        <w:t>Want to use their home equity to fund future expenses such as aged care services (</w:t>
      </w:r>
      <w:r w:rsidRPr="00027624">
        <w:fldChar w:fldCharType="begin"/>
      </w:r>
      <w:r w:rsidRPr="00027624">
        <w:instrText xml:space="preserve"> REF _Ref42324892 \r \h </w:instrText>
      </w:r>
      <w:r w:rsidRPr="00027624">
        <w:rPr>
          <w:b/>
          <w:lang w:val="en-US"/>
        </w:rPr>
        <w:instrText xml:space="preserve"> \* MERGEFORMAT </w:instrText>
      </w:r>
      <w:r w:rsidRPr="00027624">
        <w:fldChar w:fldCharType="separate"/>
      </w:r>
      <w:r w:rsidR="00891058">
        <w:t>Chart 5A-14</w:t>
      </w:r>
      <w:r w:rsidRPr="00027624">
        <w:fldChar w:fldCharType="end"/>
      </w:r>
      <w:r w:rsidRPr="00027624">
        <w:t>)</w:t>
      </w:r>
      <w:r w:rsidRPr="00027624">
        <w:fldChar w:fldCharType="begin"/>
      </w:r>
      <w:r w:rsidRPr="00027624">
        <w:instrText xml:space="preserve">CITATION Pro15 \l 3081 </w:instrText>
      </w:r>
      <w:r w:rsidRPr="00027624">
        <w:fldChar w:fldCharType="separate"/>
      </w:r>
      <w:r w:rsidR="00E83F6E">
        <w:rPr>
          <w:noProof/>
        </w:rPr>
        <w:t xml:space="preserve"> (Productivity Commission, 2015a)</w:t>
      </w:r>
      <w:r w:rsidRPr="00027624">
        <w:fldChar w:fldCharType="end"/>
      </w:r>
    </w:p>
    <w:p w14:paraId="64079CAB" w14:textId="77777777" w:rsidR="002A2FAE" w:rsidRPr="00027624" w:rsidRDefault="002A2FAE" w:rsidP="00931935">
      <w:pPr>
        <w:pStyle w:val="Bullet"/>
      </w:pPr>
      <w:r w:rsidRPr="00027624">
        <w:t>View mortgage equity products as inherently risky</w:t>
      </w:r>
      <w:r w:rsidRPr="00027624">
        <w:fldChar w:fldCharType="begin"/>
      </w:r>
      <w:r w:rsidRPr="00027624">
        <w:instrText xml:space="preserve">CITATION Ong13 \p 2 \l 3081 </w:instrText>
      </w:r>
      <w:r w:rsidRPr="00027624" w:rsidDel="00382D90">
        <w:instrText xml:space="preserve">CITATION Ong13 \p 2 \l 3081 </w:instrText>
      </w:r>
      <w:r w:rsidRPr="00027624">
        <w:fldChar w:fldCharType="separate"/>
      </w:r>
      <w:r w:rsidR="00E83F6E">
        <w:rPr>
          <w:noProof/>
        </w:rPr>
        <w:t xml:space="preserve"> (Ong, et al., 2013, p. 2)</w:t>
      </w:r>
      <w:r w:rsidRPr="00027624">
        <w:fldChar w:fldCharType="end"/>
      </w:r>
      <w:r w:rsidRPr="00027624">
        <w:t xml:space="preserve"> and do not understand the nature of Government programs such as the Pension Loans Scheme</w:t>
      </w:r>
      <w:sdt>
        <w:sdtPr>
          <w:id w:val="-820660917"/>
          <w:citation/>
        </w:sdtPr>
        <w:sdtEndPr/>
        <w:sdtContent>
          <w:r w:rsidR="003C1D6F">
            <w:fldChar w:fldCharType="begin"/>
          </w:r>
          <w:r w:rsidR="003C1D6F">
            <w:instrText xml:space="preserve"> CITATION AMK20 \l 3081 </w:instrText>
          </w:r>
          <w:r w:rsidR="003C1D6F">
            <w:fldChar w:fldCharType="separate"/>
          </w:r>
          <w:r w:rsidR="00E83F6E">
            <w:rPr>
              <w:noProof/>
            </w:rPr>
            <w:t xml:space="preserve"> (Davis, 2020)</w:t>
          </w:r>
          <w:r w:rsidR="003C1D6F">
            <w:fldChar w:fldCharType="end"/>
          </w:r>
        </w:sdtContent>
      </w:sdt>
      <w:r w:rsidRPr="00027624">
        <w:rPr>
          <w:rStyle w:val="FootnoteReference"/>
        </w:rPr>
        <w:footnoteReference w:id="299"/>
      </w:r>
    </w:p>
    <w:p w14:paraId="13123B51" w14:textId="77777777" w:rsidR="002A2FAE" w:rsidRPr="00027624" w:rsidRDefault="002A2FAE" w:rsidP="00931935">
      <w:pPr>
        <w:pStyle w:val="Bullet"/>
      </w:pPr>
      <w:r w:rsidRPr="00027624">
        <w:t xml:space="preserve">Wish to </w:t>
      </w:r>
      <w:r w:rsidR="00A8443E" w:rsidRPr="00027624">
        <w:t>‘</w:t>
      </w:r>
      <w:r w:rsidRPr="00027624">
        <w:t>age in place</w:t>
      </w:r>
      <w:r w:rsidR="00A8443E" w:rsidRPr="00027624">
        <w:t>’</w:t>
      </w:r>
      <w:r w:rsidRPr="00027624">
        <w:t>, lack suitable downsizing options or want to pass on their principal residence to heirs</w:t>
      </w:r>
      <w:r w:rsidRPr="00027624">
        <w:fldChar w:fldCharType="begin"/>
      </w:r>
      <w:r w:rsidRPr="00027624">
        <w:instrText xml:space="preserve">CITATION CEP19 \m Pro15 \p 68-69 \l 3081 </w:instrText>
      </w:r>
      <w:r w:rsidRPr="00027624">
        <w:fldChar w:fldCharType="separate"/>
      </w:r>
      <w:r w:rsidR="00E83F6E">
        <w:rPr>
          <w:noProof/>
        </w:rPr>
        <w:t xml:space="preserve"> (CEPAR, 2019; Productivity Commission, 2015a, pp. 68-69)</w:t>
      </w:r>
      <w:r w:rsidRPr="00027624">
        <w:fldChar w:fldCharType="end"/>
      </w:r>
    </w:p>
    <w:p w14:paraId="3D7A5B2E" w14:textId="77777777" w:rsidR="002A2FAE" w:rsidRPr="00027624" w:rsidRDefault="002A2FAE" w:rsidP="00931935">
      <w:pPr>
        <w:pStyle w:val="Bullet"/>
      </w:pPr>
      <w:r w:rsidRPr="00027624">
        <w:t>Are put off by transaction costs, such as stamp duty</w:t>
      </w:r>
      <w:r w:rsidR="00620C5E" w:rsidRPr="00027624">
        <w:t>,</w:t>
      </w:r>
      <w:r w:rsidRPr="00027624">
        <w:t xml:space="preserve"> and the difficulty of moving</w:t>
      </w:r>
      <w:r w:rsidRPr="00027624">
        <w:fldChar w:fldCharType="begin"/>
      </w:r>
      <w:r w:rsidRPr="00027624">
        <w:instrText xml:space="preserve">CITATION Pro15 \l 3081 </w:instrText>
      </w:r>
      <w:r w:rsidRPr="00027624">
        <w:fldChar w:fldCharType="separate"/>
      </w:r>
      <w:r w:rsidR="00E83F6E">
        <w:rPr>
          <w:noProof/>
        </w:rPr>
        <w:t xml:space="preserve"> (Productivity Commission, 2015a)</w:t>
      </w:r>
      <w:r w:rsidRPr="00027624">
        <w:fldChar w:fldCharType="end"/>
      </w:r>
    </w:p>
    <w:p w14:paraId="1A08DBDD" w14:textId="77777777" w:rsidR="002A2FAE" w:rsidRPr="00027624" w:rsidRDefault="002A2FAE" w:rsidP="002A2FAE">
      <w:pPr>
        <w:pStyle w:val="ChartMainHeading"/>
      </w:pPr>
      <w:bookmarkStart w:id="4140" w:name="_Ref42324892"/>
      <w:r w:rsidRPr="00027624">
        <w:t>Circumstances in which retirees would draw down the equity in their home</w:t>
      </w:r>
      <w:bookmarkEnd w:id="4140"/>
      <w:r w:rsidRPr="00027624">
        <w:t>, by age</w:t>
      </w:r>
    </w:p>
    <w:p w14:paraId="60E77331" w14:textId="77777777" w:rsidR="002A2FAE" w:rsidRPr="00027624" w:rsidRDefault="003A5E46" w:rsidP="00D60066">
      <w:pPr>
        <w:pStyle w:val="ChartGraphic"/>
        <w:rPr>
          <w:noProof/>
        </w:rPr>
      </w:pPr>
      <w:r>
        <w:rPr>
          <w:noProof/>
        </w:rPr>
        <w:drawing>
          <wp:inline distT="0" distB="0" distL="0" distR="0" wp14:anchorId="7AD41E3F" wp14:editId="3699597D">
            <wp:extent cx="5585460" cy="2514600"/>
            <wp:effectExtent l="0" t="0" r="0" b="0"/>
            <wp:docPr id="771978742" name="Picture 771978742" descr="This chart shows that most retirees would not draw down the equity in their home for any reason. The most common circumstance for drawing down equity was for aged care services. " title="Chart 5A-14 Circumstances in which retirees would draw down the equity in their home,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585460" cy="2514600"/>
                    </a:xfrm>
                    <a:prstGeom prst="rect">
                      <a:avLst/>
                    </a:prstGeom>
                    <a:noFill/>
                  </pic:spPr>
                </pic:pic>
              </a:graphicData>
            </a:graphic>
          </wp:inline>
        </w:drawing>
      </w:r>
    </w:p>
    <w:p w14:paraId="2A3B0AB3" w14:textId="77777777" w:rsidR="002A2FAE" w:rsidRPr="00027624" w:rsidRDefault="002A2FAE" w:rsidP="002A2FAE">
      <w:pPr>
        <w:pStyle w:val="ChartorTableNote"/>
      </w:pPr>
      <w:r w:rsidRPr="00027624">
        <w:t>Source:</w:t>
      </w:r>
      <w:r w:rsidRPr="00027624">
        <w:fldChar w:fldCharType="begin"/>
      </w:r>
      <w:r w:rsidRPr="00027624">
        <w:instrText xml:space="preserve">CITATION Pro15 \p 58 \l 3081 \p 58 </w:instrText>
      </w:r>
      <w:r w:rsidRPr="00027624">
        <w:fldChar w:fldCharType="separate"/>
      </w:r>
      <w:r w:rsidR="00E83F6E">
        <w:rPr>
          <w:noProof/>
        </w:rPr>
        <w:t xml:space="preserve"> (Productivity Commission, 2015a, p. 58)</w:t>
      </w:r>
      <w:r w:rsidRPr="00027624">
        <w:fldChar w:fldCharType="end"/>
      </w:r>
      <w:r w:rsidRPr="00027624">
        <w:t>.</w:t>
      </w:r>
      <w:r w:rsidRPr="00027624">
        <w:rPr>
          <w:rStyle w:val="FootnoteReference"/>
        </w:rPr>
        <w:t xml:space="preserve"> </w:t>
      </w:r>
    </w:p>
    <w:tbl>
      <w:tblPr>
        <w:tblStyle w:val="TableGrid"/>
        <w:tblW w:w="5000" w:type="pct"/>
        <w:tblLook w:val="04A0" w:firstRow="1" w:lastRow="0" w:firstColumn="1" w:lastColumn="0" w:noHBand="0" w:noVBand="1"/>
      </w:tblPr>
      <w:tblGrid>
        <w:gridCol w:w="9070"/>
      </w:tblGrid>
      <w:tr w:rsidR="002A2FAE" w:rsidRPr="00027624" w14:paraId="37081708" w14:textId="77777777" w:rsidTr="003275A4">
        <w:trPr>
          <w:trHeight w:val="1985"/>
        </w:trPr>
        <w:tc>
          <w:tcPr>
            <w:tcW w:w="9070" w:type="dxa"/>
            <w:shd w:val="clear" w:color="auto" w:fill="FFF8EA"/>
          </w:tcPr>
          <w:p w14:paraId="36163E15" w14:textId="77777777" w:rsidR="002A2FAE" w:rsidRPr="00027624" w:rsidRDefault="002A2FAE" w:rsidP="00325A8D">
            <w:pPr>
              <w:pStyle w:val="BoxHeading"/>
              <w:keepNext w:val="0"/>
              <w:widowControl w:val="0"/>
              <w:numPr>
                <w:ilvl w:val="5"/>
                <w:numId w:val="13"/>
              </w:numPr>
            </w:pPr>
            <w:bookmarkStart w:id="4141" w:name="_Ref40887456"/>
            <w:r w:rsidRPr="00027624">
              <w:t>The home equity release market</w:t>
            </w:r>
            <w:bookmarkEnd w:id="4141"/>
          </w:p>
          <w:p w14:paraId="0E58894B" w14:textId="77777777" w:rsidR="002A2FAE" w:rsidRPr="00027624" w:rsidRDefault="002A2FAE" w:rsidP="002A2FAE">
            <w:r w:rsidRPr="00027624">
              <w:t>Retirees can access the equity stored in their home by downsizing or through different types of equity release products,</w:t>
            </w:r>
            <w:r w:rsidRPr="00027624">
              <w:rPr>
                <w:rStyle w:val="FootnoteReference"/>
              </w:rPr>
              <w:footnoteReference w:id="300"/>
            </w:r>
            <w:r w:rsidRPr="00027624">
              <w:t xml:space="preserve"> including:</w:t>
            </w:r>
          </w:p>
          <w:p w14:paraId="7597B7AB" w14:textId="77777777" w:rsidR="002A2FAE" w:rsidRPr="00027624" w:rsidRDefault="002A2FAE" w:rsidP="00931935">
            <w:pPr>
              <w:pStyle w:val="BoxBullet"/>
            </w:pPr>
            <w:r w:rsidRPr="00027624">
              <w:rPr>
                <w:b/>
              </w:rPr>
              <w:t>Reverse mortgages</w:t>
            </w:r>
            <w:r w:rsidRPr="00027624">
              <w:t>. The most common equity release product, where the capital accessed and accumulated interest are paid back when the owner sells the home</w:t>
            </w:r>
            <w:r w:rsidRPr="00027624">
              <w:fldChar w:fldCharType="begin"/>
            </w:r>
            <w:r w:rsidRPr="00027624">
              <w:instrText xml:space="preserve">CITATION Pro15 \l 3081 </w:instrText>
            </w:r>
            <w:r w:rsidRPr="00027624">
              <w:fldChar w:fldCharType="separate"/>
            </w:r>
            <w:r w:rsidR="00E83F6E">
              <w:rPr>
                <w:noProof/>
              </w:rPr>
              <w:t xml:space="preserve"> (Productivity Commission, 2015a)</w:t>
            </w:r>
            <w:r w:rsidRPr="00027624">
              <w:fldChar w:fldCharType="end"/>
            </w:r>
          </w:p>
          <w:p w14:paraId="586E0884" w14:textId="77777777" w:rsidR="002A2FAE" w:rsidRPr="00027624" w:rsidRDefault="002A2FAE" w:rsidP="00931935">
            <w:pPr>
              <w:pStyle w:val="BoxBullet"/>
            </w:pPr>
            <w:r w:rsidRPr="00027624">
              <w:rPr>
                <w:b/>
              </w:rPr>
              <w:t>Home reversion</w:t>
            </w:r>
            <w:r w:rsidRPr="00027624">
              <w:t>. Where a retiree sells a proportion of the future value of their principal residence while they continue to live there. The share is sold for a discounted portion of the market value. The household receives a lump sum and keeps the remaining proportion of the home equity</w:t>
            </w:r>
            <w:r w:rsidRPr="00027624">
              <w:fldChar w:fldCharType="begin"/>
            </w:r>
            <w:r w:rsidRPr="00027624">
              <w:instrText xml:space="preserve">CITATION ASI20 \l 3081 </w:instrText>
            </w:r>
            <w:r w:rsidRPr="00027624">
              <w:fldChar w:fldCharType="separate"/>
            </w:r>
            <w:r w:rsidR="00E83F6E">
              <w:rPr>
                <w:noProof/>
              </w:rPr>
              <w:t xml:space="preserve"> (Moneysmart, 2020)</w:t>
            </w:r>
            <w:r w:rsidRPr="00027624">
              <w:fldChar w:fldCharType="end"/>
            </w:r>
          </w:p>
          <w:p w14:paraId="73CDBE3D" w14:textId="4C9D6870" w:rsidR="002A2FAE" w:rsidRPr="00730553" w:rsidRDefault="002A2FAE" w:rsidP="002A2FAE">
            <w:pPr>
              <w:pStyle w:val="BoxBullet"/>
              <w:rPr>
                <w:b/>
              </w:rPr>
            </w:pPr>
            <w:r w:rsidRPr="003275A4">
              <w:rPr>
                <w:b/>
              </w:rPr>
              <w:t>Home equity loans</w:t>
            </w:r>
            <w:r w:rsidRPr="000A7644">
              <w:rPr>
                <w:b/>
              </w:rPr>
              <w:t xml:space="preserve">. </w:t>
            </w:r>
            <w:r w:rsidRPr="000A7644">
              <w:t>This is essentially a mortgage. Traditional home equity loans have a repayment term, just like regular conventional mortgages. People make regular, fixed payments covering both principal and interest. As with any mortgage, if the loan is not paid off, the property could be sold to satisfy the remaining debt</w:t>
            </w:r>
          </w:p>
        </w:tc>
      </w:tr>
      <w:tr w:rsidR="00730553" w:rsidRPr="00027624" w14:paraId="65912256" w14:textId="77777777" w:rsidTr="00730553">
        <w:trPr>
          <w:trHeight w:val="1985"/>
        </w:trPr>
        <w:tc>
          <w:tcPr>
            <w:tcW w:w="9070" w:type="dxa"/>
            <w:shd w:val="clear" w:color="auto" w:fill="FFF8EA"/>
          </w:tcPr>
          <w:p w14:paraId="6BA0E458" w14:textId="77777777" w:rsidR="00730553" w:rsidRPr="00027624" w:rsidRDefault="00730553" w:rsidP="00730553">
            <w:pPr>
              <w:pStyle w:val="TableMainHeading"/>
              <w:keepLines/>
              <w:numPr>
                <w:ilvl w:val="3"/>
                <w:numId w:val="13"/>
              </w:numPr>
            </w:pPr>
            <w:r w:rsidRPr="00027624">
              <w:rPr>
                <w:bCs/>
              </w:rPr>
              <w:t>F</w:t>
            </w:r>
            <w:r w:rsidRPr="00027624">
              <w:t xml:space="preserve">actors </w:t>
            </w:r>
            <w:r w:rsidRPr="00027624">
              <w:rPr>
                <w:bCs/>
              </w:rPr>
              <w:t>constrain</w:t>
            </w:r>
            <w:r w:rsidRPr="00027624">
              <w:t xml:space="preserve">ing </w:t>
            </w:r>
            <w:r w:rsidRPr="00027624">
              <w:rPr>
                <w:bCs/>
              </w:rPr>
              <w:t>Australia’s</w:t>
            </w:r>
            <w:r w:rsidRPr="00027624">
              <w:t xml:space="preserve"> home equity release market</w:t>
            </w:r>
          </w:p>
          <w:tbl>
            <w:tblPr>
              <w:tblStyle w:val="TableGrid"/>
              <w:tblW w:w="0" w:type="auto"/>
              <w:tblLook w:val="04A0" w:firstRow="1" w:lastRow="0" w:firstColumn="1" w:lastColumn="0" w:noHBand="0" w:noVBand="1"/>
            </w:tblPr>
            <w:tblGrid>
              <w:gridCol w:w="4426"/>
              <w:gridCol w:w="4428"/>
            </w:tblGrid>
            <w:tr w:rsidR="00730553" w:rsidRPr="00027624" w14:paraId="78322C44" w14:textId="77777777" w:rsidTr="00730553">
              <w:trPr>
                <w:cantSplit/>
              </w:trPr>
              <w:tc>
                <w:tcPr>
                  <w:tcW w:w="4536" w:type="dxa"/>
                  <w:tcBorders>
                    <w:top w:val="nil"/>
                    <w:left w:val="nil"/>
                    <w:bottom w:val="nil"/>
                    <w:right w:val="nil"/>
                  </w:tcBorders>
                </w:tcPr>
                <w:p w14:paraId="1664FF4E" w14:textId="77777777" w:rsidR="00730553" w:rsidRPr="00027624" w:rsidRDefault="00730553" w:rsidP="00730553">
                  <w:pPr>
                    <w:pStyle w:val="TableSecondHeading"/>
                    <w:jc w:val="center"/>
                  </w:pPr>
                  <w:r w:rsidRPr="00027624">
                    <w:t>Demand factors</w:t>
                  </w:r>
                </w:p>
              </w:tc>
              <w:tc>
                <w:tcPr>
                  <w:tcW w:w="4536" w:type="dxa"/>
                  <w:tcBorders>
                    <w:top w:val="nil"/>
                    <w:left w:val="nil"/>
                    <w:bottom w:val="nil"/>
                    <w:right w:val="nil"/>
                  </w:tcBorders>
                </w:tcPr>
                <w:p w14:paraId="3BA30636" w14:textId="77777777" w:rsidR="00730553" w:rsidRPr="00027624" w:rsidRDefault="00730553" w:rsidP="00730553">
                  <w:pPr>
                    <w:pStyle w:val="TableSecondHeading"/>
                    <w:jc w:val="center"/>
                  </w:pPr>
                  <w:r w:rsidRPr="00027624">
                    <w:t>Supply factors</w:t>
                  </w:r>
                </w:p>
              </w:tc>
            </w:tr>
            <w:tr w:rsidR="00730553" w:rsidRPr="00027624" w14:paraId="7526B36D" w14:textId="77777777" w:rsidTr="00730553">
              <w:trPr>
                <w:cantSplit/>
              </w:trPr>
              <w:tc>
                <w:tcPr>
                  <w:tcW w:w="4536" w:type="dxa"/>
                  <w:tcBorders>
                    <w:top w:val="nil"/>
                    <w:left w:val="nil"/>
                    <w:bottom w:val="nil"/>
                    <w:right w:val="nil"/>
                  </w:tcBorders>
                  <w:shd w:val="clear" w:color="auto" w:fill="auto"/>
                </w:tcPr>
                <w:p w14:paraId="37D92710" w14:textId="77777777" w:rsidR="00730553" w:rsidRPr="00027624" w:rsidRDefault="00730553" w:rsidP="00730553">
                  <w:pPr>
                    <w:keepNext/>
                    <w:keepLines/>
                    <w:jc w:val="center"/>
                    <w:rPr>
                      <w:sz w:val="18"/>
                      <w:szCs w:val="18"/>
                    </w:rPr>
                  </w:pPr>
                  <w:r w:rsidRPr="00027624">
                    <w:rPr>
                      <w:sz w:val="18"/>
                      <w:szCs w:val="18"/>
                    </w:rPr>
                    <w:t>The value of the principal residence is excluded from the Age Pension means test. If accessing the equity released in the principal residence affects a retiree’s Age Pension eligibility, this option is less attractive than drawing on other assets.</w:t>
                  </w:r>
                </w:p>
              </w:tc>
              <w:tc>
                <w:tcPr>
                  <w:tcW w:w="4536" w:type="dxa"/>
                  <w:tcBorders>
                    <w:top w:val="nil"/>
                    <w:left w:val="nil"/>
                    <w:bottom w:val="nil"/>
                    <w:right w:val="nil"/>
                  </w:tcBorders>
                  <w:shd w:val="clear" w:color="auto" w:fill="auto"/>
                </w:tcPr>
                <w:p w14:paraId="20BC5C1E" w14:textId="77777777" w:rsidR="00730553" w:rsidRPr="00027624" w:rsidRDefault="00730553" w:rsidP="00730553">
                  <w:pPr>
                    <w:keepNext/>
                    <w:keepLines/>
                    <w:jc w:val="center"/>
                    <w:rPr>
                      <w:sz w:val="18"/>
                      <w:szCs w:val="18"/>
                    </w:rPr>
                  </w:pPr>
                  <w:r w:rsidRPr="00027624">
                    <w:rPr>
                      <w:sz w:val="18"/>
                      <w:szCs w:val="18"/>
                    </w:rPr>
                    <w:t>Lenders have high barriers to entry, including capital adequacy regulations, difficulties in obtaining wholesale funding and low interest rates squeezing profit margins</w:t>
                  </w:r>
                  <w:r w:rsidRPr="00027624">
                    <w:rPr>
                      <w:sz w:val="18"/>
                      <w:szCs w:val="18"/>
                    </w:rPr>
                    <w:fldChar w:fldCharType="begin"/>
                  </w:r>
                  <w:r w:rsidRPr="00027624">
                    <w:rPr>
                      <w:sz w:val="18"/>
                      <w:szCs w:val="18"/>
                    </w:rPr>
                    <w:instrText xml:space="preserve">CITATION ASI18 \p 53 \l 3081 </w:instrText>
                  </w:r>
                  <w:r w:rsidRPr="00027624">
                    <w:rPr>
                      <w:sz w:val="18"/>
                      <w:szCs w:val="18"/>
                    </w:rPr>
                    <w:fldChar w:fldCharType="separate"/>
                  </w:r>
                  <w:r>
                    <w:rPr>
                      <w:noProof/>
                      <w:sz w:val="18"/>
                      <w:szCs w:val="18"/>
                    </w:rPr>
                    <w:t xml:space="preserve"> </w:t>
                  </w:r>
                  <w:r w:rsidRPr="00E83F6E">
                    <w:rPr>
                      <w:noProof/>
                      <w:sz w:val="18"/>
                      <w:szCs w:val="18"/>
                    </w:rPr>
                    <w:t>(ASIC, 2018c, p. 53)</w:t>
                  </w:r>
                  <w:r w:rsidRPr="00027624">
                    <w:rPr>
                      <w:sz w:val="18"/>
                      <w:szCs w:val="18"/>
                    </w:rPr>
                    <w:fldChar w:fldCharType="end"/>
                  </w:r>
                  <w:r w:rsidRPr="00027624">
                    <w:rPr>
                      <w:sz w:val="18"/>
                      <w:szCs w:val="18"/>
                    </w:rPr>
                    <w:t>.</w:t>
                  </w:r>
                </w:p>
              </w:tc>
            </w:tr>
            <w:tr w:rsidR="00730553" w:rsidRPr="00027624" w14:paraId="73903C52" w14:textId="77777777" w:rsidTr="00730553">
              <w:trPr>
                <w:cantSplit/>
              </w:trPr>
              <w:tc>
                <w:tcPr>
                  <w:tcW w:w="4536" w:type="dxa"/>
                  <w:tcBorders>
                    <w:top w:val="nil"/>
                    <w:left w:val="nil"/>
                    <w:bottom w:val="nil"/>
                    <w:right w:val="nil"/>
                  </w:tcBorders>
                  <w:shd w:val="clear" w:color="auto" w:fill="auto"/>
                </w:tcPr>
                <w:p w14:paraId="68BE5634" w14:textId="77777777" w:rsidR="00730553" w:rsidRPr="00027624" w:rsidRDefault="00730553" w:rsidP="00730553">
                  <w:pPr>
                    <w:keepNext/>
                    <w:keepLines/>
                    <w:jc w:val="center"/>
                    <w:rPr>
                      <w:sz w:val="18"/>
                      <w:szCs w:val="18"/>
                    </w:rPr>
                  </w:pPr>
                  <w:r w:rsidRPr="00027624">
                    <w:rPr>
                      <w:sz w:val="18"/>
                      <w:szCs w:val="18"/>
                    </w:rPr>
                    <w:t>People generally have negative perceptions about home equity release products, believing they take advantage of vulnerable people or contribute to elder abuse</w:t>
                  </w:r>
                  <w:r w:rsidRPr="00027624">
                    <w:rPr>
                      <w:sz w:val="18"/>
                      <w:szCs w:val="18"/>
                    </w:rPr>
                    <w:fldChar w:fldCharType="begin"/>
                  </w:r>
                  <w:r w:rsidRPr="00027624">
                    <w:rPr>
                      <w:sz w:val="18"/>
                      <w:szCs w:val="18"/>
                    </w:rPr>
                    <w:instrText xml:space="preserve">CITATION ASI18 \l 3081 </w:instrText>
                  </w:r>
                  <w:r w:rsidRPr="00027624">
                    <w:rPr>
                      <w:sz w:val="18"/>
                      <w:szCs w:val="18"/>
                    </w:rPr>
                    <w:fldChar w:fldCharType="separate"/>
                  </w:r>
                  <w:r>
                    <w:rPr>
                      <w:noProof/>
                      <w:sz w:val="18"/>
                      <w:szCs w:val="18"/>
                    </w:rPr>
                    <w:t xml:space="preserve"> </w:t>
                  </w:r>
                  <w:r w:rsidRPr="00E83F6E">
                    <w:rPr>
                      <w:noProof/>
                      <w:sz w:val="18"/>
                      <w:szCs w:val="18"/>
                    </w:rPr>
                    <w:t>(ASIC, 2018c)</w:t>
                  </w:r>
                  <w:r w:rsidRPr="00027624">
                    <w:rPr>
                      <w:sz w:val="18"/>
                      <w:szCs w:val="18"/>
                    </w:rPr>
                    <w:fldChar w:fldCharType="end"/>
                  </w:r>
                  <w:r w:rsidRPr="00027624">
                    <w:rPr>
                      <w:sz w:val="18"/>
                      <w:szCs w:val="18"/>
                    </w:rPr>
                    <w:t>.</w:t>
                  </w:r>
                </w:p>
              </w:tc>
              <w:tc>
                <w:tcPr>
                  <w:tcW w:w="4536" w:type="dxa"/>
                  <w:tcBorders>
                    <w:top w:val="nil"/>
                    <w:left w:val="nil"/>
                    <w:bottom w:val="nil"/>
                    <w:right w:val="nil"/>
                  </w:tcBorders>
                  <w:shd w:val="clear" w:color="auto" w:fill="auto"/>
                </w:tcPr>
                <w:p w14:paraId="68FE0199" w14:textId="77777777" w:rsidR="00730553" w:rsidRPr="00027624" w:rsidRDefault="00730553" w:rsidP="00730553">
                  <w:pPr>
                    <w:keepNext/>
                    <w:keepLines/>
                    <w:jc w:val="center"/>
                    <w:rPr>
                      <w:sz w:val="18"/>
                      <w:szCs w:val="18"/>
                    </w:rPr>
                  </w:pPr>
                  <w:r w:rsidRPr="00027624">
                    <w:rPr>
                      <w:sz w:val="18"/>
                      <w:szCs w:val="18"/>
                    </w:rPr>
                    <w:t>Anecdotal evidence suggests potential providers are concerned about reputational risks if retirees release equity in their principal residence without informing beneficiaries.</w:t>
                  </w:r>
                </w:p>
              </w:tc>
            </w:tr>
          </w:tbl>
          <w:p w14:paraId="7F670BA6" w14:textId="77777777" w:rsidR="00730553" w:rsidRPr="00027624" w:rsidRDefault="00730553" w:rsidP="00730553">
            <w:pPr>
              <w:pStyle w:val="BoxText"/>
              <w:keepNext/>
              <w:keepLines/>
            </w:pPr>
            <w:r w:rsidRPr="00027624">
              <w:t>The private market for home equity release is still relatively small compared to the 1.9 million home</w:t>
            </w:r>
            <w:r w:rsidRPr="00027624">
              <w:noBreakHyphen/>
              <w:t>owning households aged over 65 in 2017</w:t>
            </w:r>
            <w:r w:rsidRPr="00027624">
              <w:noBreakHyphen/>
              <w:t>18</w:t>
            </w:r>
            <w:r w:rsidRPr="00027624">
              <w:rPr>
                <w:noProof/>
              </w:rPr>
              <w:fldChar w:fldCharType="begin"/>
            </w:r>
            <w:r w:rsidRPr="00027624">
              <w:rPr>
                <w:noProof/>
              </w:rPr>
              <w:instrText xml:space="preserve"> CITATION ABS9i \l 3081 </w:instrText>
            </w:r>
            <w:r w:rsidRPr="00027624">
              <w:rPr>
                <w:noProof/>
              </w:rPr>
              <w:fldChar w:fldCharType="separate"/>
            </w:r>
            <w:r>
              <w:rPr>
                <w:noProof/>
              </w:rPr>
              <w:t xml:space="preserve"> (ABS, 2019n)</w:t>
            </w:r>
            <w:r w:rsidRPr="00027624">
              <w:rPr>
                <w:noProof/>
              </w:rPr>
              <w:fldChar w:fldCharType="end"/>
            </w:r>
            <w:r w:rsidRPr="00027624">
              <w:t>. At the end of 2014, reverse mortgages totalled around 40,000</w:t>
            </w:r>
            <w:r w:rsidRPr="00027624">
              <w:fldChar w:fldCharType="begin"/>
            </w:r>
            <w:r w:rsidRPr="00027624">
              <w:instrText xml:space="preserve">CITATION Pro15 \l 3081 </w:instrText>
            </w:r>
            <w:r w:rsidRPr="00027624">
              <w:fldChar w:fldCharType="separate"/>
            </w:r>
            <w:r>
              <w:rPr>
                <w:noProof/>
              </w:rPr>
              <w:t xml:space="preserve"> (Productivity Commission, 2015a)</w:t>
            </w:r>
            <w:r w:rsidRPr="00027624">
              <w:fldChar w:fldCharType="end"/>
            </w:r>
            <w:r w:rsidRPr="00027624">
              <w:t>. Anecdotal evidence suggests the market may have since dropped to less than 30,000</w:t>
            </w:r>
            <w:r w:rsidRPr="00027624">
              <w:rPr>
                <w:sz w:val="22"/>
              </w:rPr>
              <w:t>.</w:t>
            </w:r>
            <w:r w:rsidRPr="00027624">
              <w:rPr>
                <w:rStyle w:val="FootnoteReference"/>
              </w:rPr>
              <w:footnoteReference w:id="301"/>
            </w:r>
            <w:r w:rsidRPr="00027624">
              <w:t xml:space="preserve"> Australia has a limited number of reverse mortgage providers, with just two writing 80 per cent of new loans from 2013</w:t>
            </w:r>
            <w:r w:rsidRPr="00027624">
              <w:noBreakHyphen/>
              <w:t>2017</w:t>
            </w:r>
            <w:r w:rsidRPr="00027624">
              <w:fldChar w:fldCharType="begin"/>
            </w:r>
            <w:r w:rsidRPr="00027624">
              <w:instrText xml:space="preserve">CITATION ASI18 \l 3081 </w:instrText>
            </w:r>
            <w:r w:rsidRPr="00027624">
              <w:fldChar w:fldCharType="separate"/>
            </w:r>
            <w:r>
              <w:rPr>
                <w:noProof/>
              </w:rPr>
              <w:t xml:space="preserve"> (ASIC, 2018c)</w:t>
            </w:r>
            <w:r w:rsidRPr="00027624">
              <w:fldChar w:fldCharType="end"/>
            </w:r>
            <w:r w:rsidRPr="00027624">
              <w:t>. Other private equity release products are available, including debt</w:t>
            </w:r>
            <w:r w:rsidRPr="00027624">
              <w:noBreakHyphen/>
              <w:t>free products such as fractional property investment, but these have even smaller take</w:t>
            </w:r>
            <w:r w:rsidRPr="00027624">
              <w:noBreakHyphen/>
              <w:t>up.</w:t>
            </w:r>
          </w:p>
          <w:p w14:paraId="2F36D4DE" w14:textId="77777777" w:rsidR="00730553" w:rsidRPr="00027624" w:rsidRDefault="00730553" w:rsidP="00730553">
            <w:r w:rsidRPr="00027624">
              <w:t>Other countries have seen stronger growth in the equity release market. In particular, the UK had rapid growth in equity release products across all regions</w:t>
            </w:r>
            <w:r w:rsidRPr="00027624">
              <w:fldChar w:fldCharType="begin"/>
            </w:r>
            <w:r w:rsidRPr="00027624">
              <w:instrText xml:space="preserve"> CITATION Equ19 \l 3081 </w:instrText>
            </w:r>
            <w:r w:rsidRPr="00027624">
              <w:fldChar w:fldCharType="separate"/>
            </w:r>
            <w:r>
              <w:rPr>
                <w:noProof/>
              </w:rPr>
              <w:t xml:space="preserve"> (Equity Release Council, 2019)</w:t>
            </w:r>
            <w:r w:rsidRPr="00027624">
              <w:fldChar w:fldCharType="end"/>
            </w:r>
            <w:r w:rsidRPr="00027624">
              <w:t>, albeit off a low base. Market innovation has played a role in this development</w:t>
            </w:r>
            <w:r w:rsidRPr="00027624">
              <w:fldChar w:fldCharType="begin"/>
            </w:r>
            <w:r w:rsidRPr="00027624">
              <w:instrText xml:space="preserve">CITATION The12 \l 3081 </w:instrText>
            </w:r>
            <w:r w:rsidRPr="00027624">
              <w:fldChar w:fldCharType="separate"/>
            </w:r>
            <w:r>
              <w:rPr>
                <w:noProof/>
              </w:rPr>
              <w:t xml:space="preserve"> (Rozario, 2012)</w:t>
            </w:r>
            <w:r w:rsidRPr="00027624">
              <w:fldChar w:fldCharType="end"/>
            </w:r>
            <w:r w:rsidRPr="00027624">
              <w:t xml:space="preserve">, as well as policy initiatives. For example, </w:t>
            </w:r>
            <w:r w:rsidRPr="00027624">
              <w:rPr>
                <w:rStyle w:val="normaltextrun1"/>
                <w:rFonts w:cs="Calibri"/>
              </w:rPr>
              <w:t>in the UK an inheritance tax of 40 per cent of the value of an estate worth more than £325,000 (more than A$550,000) may encourage capital draw down.</w:t>
            </w:r>
          </w:p>
        </w:tc>
      </w:tr>
    </w:tbl>
    <w:p w14:paraId="4C6864E6" w14:textId="4B415F5C" w:rsidR="002A2FAE" w:rsidRPr="00027624" w:rsidRDefault="002A2FAE" w:rsidP="002A2FAE">
      <w:pPr>
        <w:pStyle w:val="Heading3"/>
      </w:pPr>
      <w:r w:rsidRPr="00027624">
        <w:t>Risk and uncertainty</w:t>
      </w:r>
    </w:p>
    <w:p w14:paraId="5BF3A0F9" w14:textId="77777777" w:rsidR="002A2FAE" w:rsidRPr="00027624" w:rsidRDefault="002A2FAE" w:rsidP="002A2FAE">
      <w:pPr>
        <w:spacing w:before="0" w:after="160" w:line="259" w:lineRule="auto"/>
      </w:pPr>
      <w:r w:rsidRPr="00027624">
        <w:rPr>
          <w:b/>
        </w:rPr>
        <w:t>Low consumption of assets in retirement is partly the result of people insuring themselves against risk and protecting themselves from uncertainty</w:t>
      </w:r>
      <w:r w:rsidRPr="00027624">
        <w:t>. Retirement involves complex risks and uncertainties, which people often struggle to understand:</w:t>
      </w:r>
    </w:p>
    <w:p w14:paraId="2C734CFF" w14:textId="77777777" w:rsidR="002A2FAE" w:rsidRPr="00027624" w:rsidRDefault="002A2FAE" w:rsidP="00931935">
      <w:pPr>
        <w:pStyle w:val="Bullet"/>
      </w:pPr>
      <w:r w:rsidRPr="00027624">
        <w:rPr>
          <w:b/>
        </w:rPr>
        <w:t>Market risk</w:t>
      </w:r>
      <w:r w:rsidRPr="00027624">
        <w:rPr>
          <w:bCs/>
        </w:rPr>
        <w:t>,</w:t>
      </w:r>
      <w:r w:rsidRPr="00027624">
        <w:t xml:space="preserve"> including the risk of negative returns.</w:t>
      </w:r>
    </w:p>
    <w:p w14:paraId="5E5D92A0" w14:textId="77777777" w:rsidR="002A2FAE" w:rsidRPr="00027624" w:rsidRDefault="002A2FAE" w:rsidP="00931935">
      <w:pPr>
        <w:pStyle w:val="Bullet"/>
      </w:pPr>
      <w:r w:rsidRPr="00027624">
        <w:rPr>
          <w:b/>
          <w:bCs/>
        </w:rPr>
        <w:t>Longevity risk</w:t>
      </w:r>
      <w:r w:rsidRPr="00027624">
        <w:t>. The risk of running outliving one</w:t>
      </w:r>
      <w:r w:rsidR="00A8443E" w:rsidRPr="00027624">
        <w:t>’</w:t>
      </w:r>
      <w:r w:rsidRPr="00027624">
        <w:t>s savings, which tends to increase if returns are invested conservatively to manage market risk.</w:t>
      </w:r>
    </w:p>
    <w:p w14:paraId="46CEE29C" w14:textId="77777777" w:rsidR="002A2FAE" w:rsidRPr="00027624" w:rsidRDefault="002A2FAE" w:rsidP="000A7644">
      <w:pPr>
        <w:pStyle w:val="Bullet"/>
        <w:numPr>
          <w:ilvl w:val="0"/>
          <w:numId w:val="44"/>
        </w:numPr>
        <w:ind w:left="284" w:hanging="284"/>
      </w:pPr>
      <w:r w:rsidRPr="00027624">
        <w:rPr>
          <w:b/>
          <w:bCs/>
        </w:rPr>
        <w:t>Inflation risk</w:t>
      </w:r>
      <w:r w:rsidRPr="00027624">
        <w:t>. The risk of living expenses increasing more than expected.</w:t>
      </w:r>
    </w:p>
    <w:p w14:paraId="09D85663" w14:textId="77777777" w:rsidR="002A2FAE" w:rsidRPr="00027624" w:rsidRDefault="002A2FAE" w:rsidP="000A7644">
      <w:pPr>
        <w:pStyle w:val="Bullet"/>
        <w:numPr>
          <w:ilvl w:val="0"/>
          <w:numId w:val="44"/>
        </w:numPr>
        <w:ind w:left="284" w:hanging="284"/>
      </w:pPr>
      <w:r w:rsidRPr="00027624">
        <w:rPr>
          <w:b/>
        </w:rPr>
        <w:t>Sequencing risk</w:t>
      </w:r>
      <w:r w:rsidRPr="00027624">
        <w:t>. The risk of converting assets to income during an economic shock, like the GFC or the COVID</w:t>
      </w:r>
      <w:r w:rsidR="00A8443E" w:rsidRPr="00027624">
        <w:noBreakHyphen/>
      </w:r>
      <w:r w:rsidRPr="00027624">
        <w:t>19 Pandemic.</w:t>
      </w:r>
    </w:p>
    <w:p w14:paraId="4B76D407" w14:textId="77777777" w:rsidR="002A2FAE" w:rsidRPr="00027624" w:rsidRDefault="002A2FAE" w:rsidP="002A2FAE">
      <w:r w:rsidRPr="00027624">
        <w:t>Choosing a suitable retirement income product and drawdown pattern involves understanding and trading off these risks, as well as future and present consumption. This sort of complex risk calculation is normally done by actuaries, who are trained in understanding and calculating complex risks.</w:t>
      </w:r>
      <w:r w:rsidRPr="00027624">
        <w:rPr>
          <w:rStyle w:val="CommentReference"/>
        </w:rPr>
        <w:t xml:space="preserve"> </w:t>
      </w:r>
      <w:r w:rsidRPr="00027624">
        <w:t>Many people overestimate their likely future spending on health and aged care because they do not know or understand the value of in</w:t>
      </w:r>
      <w:r w:rsidR="00A8443E" w:rsidRPr="00027624">
        <w:noBreakHyphen/>
      </w:r>
      <w:r w:rsidRPr="00027624">
        <w:t>kind support the Government provides for these services (see</w:t>
      </w:r>
      <w:r w:rsidRPr="00027624">
        <w:rPr>
          <w:i/>
        </w:rPr>
        <w:t xml:space="preserve"> 4. Sustainability</w:t>
      </w:r>
      <w:r w:rsidRPr="00027624">
        <w:t>).</w:t>
      </w:r>
    </w:p>
    <w:p w14:paraId="28B0F5FF" w14:textId="77777777" w:rsidR="002A2FAE" w:rsidRPr="00027624" w:rsidRDefault="002A2FAE" w:rsidP="002A2FAE">
      <w:pPr>
        <w:pStyle w:val="Heading4"/>
      </w:pPr>
      <w:r w:rsidRPr="00027624">
        <w:t>Longevity risk</w:t>
      </w:r>
    </w:p>
    <w:p w14:paraId="27DA0F3B" w14:textId="77777777" w:rsidR="002A2FAE" w:rsidRPr="00027624" w:rsidRDefault="002A2FAE" w:rsidP="002A2FAE">
      <w:r w:rsidRPr="00027624">
        <w:t>Retirees want to be debt</w:t>
      </w:r>
      <w:r w:rsidR="00A8443E" w:rsidRPr="00027624">
        <w:noBreakHyphen/>
      </w:r>
      <w:r w:rsidRPr="00027624">
        <w:t>free and feel financially secure in retirement</w:t>
      </w:r>
      <w:r w:rsidRPr="00027624">
        <w:fldChar w:fldCharType="begin"/>
      </w:r>
      <w:r w:rsidRPr="00027624">
        <w:instrText xml:space="preserve"> CITATION Orf19 \l 3081 </w:instrText>
      </w:r>
      <w:r w:rsidRPr="00027624">
        <w:fldChar w:fldCharType="separate"/>
      </w:r>
      <w:r w:rsidR="00E83F6E">
        <w:rPr>
          <w:noProof/>
        </w:rPr>
        <w:t xml:space="preserve"> (Orford Initiative, 2019)</w:t>
      </w:r>
      <w:r w:rsidRPr="00027624">
        <w:fldChar w:fldCharType="end"/>
      </w:r>
      <w:r w:rsidRPr="00027624">
        <w:t>.</w:t>
      </w:r>
    </w:p>
    <w:p w14:paraId="73870ADE" w14:textId="77777777" w:rsidR="002A2FAE" w:rsidRPr="00027624" w:rsidRDefault="002A2FAE" w:rsidP="002A2FAE">
      <w:r w:rsidRPr="00027624">
        <w:rPr>
          <w:b/>
        </w:rPr>
        <w:t>Many retirees are concerned they will run out of money before death</w:t>
      </w:r>
      <w:r w:rsidRPr="00027624">
        <w:fldChar w:fldCharType="begin"/>
      </w:r>
      <w:r w:rsidRPr="00027624">
        <w:instrText xml:space="preserve">CITATION Nat18f \l 3081 </w:instrText>
      </w:r>
      <w:r w:rsidRPr="00027624">
        <w:fldChar w:fldCharType="separate"/>
      </w:r>
      <w:r w:rsidR="00E83F6E">
        <w:rPr>
          <w:noProof/>
        </w:rPr>
        <w:t xml:space="preserve"> (Rees, et al., 2018)</w:t>
      </w:r>
      <w:r w:rsidRPr="00027624">
        <w:fldChar w:fldCharType="end"/>
      </w:r>
      <w:r w:rsidRPr="00027624">
        <w:t>, even though most die with a substantial proportion of their wealth intact. This could be because people misunderstand how compounding affects savings growth (savings invested in superannuation do not grow linearly, but exponentially) and do not take into account earnings when they consider their savings</w:t>
      </w:r>
      <w:r w:rsidRPr="00027624">
        <w:fldChar w:fldCharType="begin"/>
      </w:r>
      <w:r w:rsidRPr="00027624">
        <w:instrText xml:space="preserve"> CITATION McK11 \l 3081 </w:instrText>
      </w:r>
      <w:r w:rsidRPr="00027624">
        <w:fldChar w:fldCharType="separate"/>
      </w:r>
      <w:r w:rsidR="00E83F6E">
        <w:rPr>
          <w:noProof/>
        </w:rPr>
        <w:t xml:space="preserve"> (McKenzie &amp; Liersch, 2011)</w:t>
      </w:r>
      <w:r w:rsidRPr="00027624">
        <w:fldChar w:fldCharType="end"/>
      </w:r>
      <w:r w:rsidRPr="00027624">
        <w:t xml:space="preserve">. Emphasising that the Age Pension protects people from longevity risk could help to ease some of these concerns. However, many retirees are also concerned about the stability of Age Pension settings (see </w:t>
      </w:r>
      <w:r w:rsidR="002E3D20" w:rsidRPr="00027624">
        <w:rPr>
          <w:i/>
        </w:rPr>
        <w:t>Uncertainty and precautionary savings</w:t>
      </w:r>
      <w:r w:rsidR="002E3D20" w:rsidRPr="00027624">
        <w:t>, below</w:t>
      </w:r>
      <w:r w:rsidRPr="00027624">
        <w:t>).</w:t>
      </w:r>
    </w:p>
    <w:p w14:paraId="1EB8EEF2" w14:textId="659C6C3B" w:rsidR="002A2FAE" w:rsidRPr="00027624" w:rsidRDefault="002A2FAE" w:rsidP="002A2FAE">
      <w:r w:rsidRPr="00027624">
        <w:t>Income streams that provide longevity risk management can be funded publicly (the Age Pension) or privately (annuitised products or defined benefit pensions). People aged 55 and over say they value longevity risk management features in retirement income products more than other retirement income product features (</w:t>
      </w:r>
      <w:r w:rsidRPr="00027624">
        <w:fldChar w:fldCharType="begin"/>
      </w:r>
      <w:r w:rsidRPr="00027624">
        <w:instrText xml:space="preserve"> REF _Ref35254860 \r \h  \* MERGEFORMAT </w:instrText>
      </w:r>
      <w:r w:rsidRPr="00027624">
        <w:fldChar w:fldCharType="separate"/>
      </w:r>
      <w:r w:rsidR="00891058">
        <w:t>Chart</w:t>
      </w:r>
      <w:r w:rsidR="00891058" w:rsidRPr="00891058">
        <w:rPr>
          <w:rStyle w:val="CommentReference"/>
        </w:rPr>
        <w:t xml:space="preserve"> </w:t>
      </w:r>
      <w:r w:rsidR="00891058">
        <w:t>5A-15</w:t>
      </w:r>
      <w:r w:rsidRPr="00027624">
        <w:fldChar w:fldCharType="end"/>
      </w:r>
      <w:r w:rsidRPr="00027624">
        <w:t xml:space="preserve">), but they generally do not invest in products that have these features. </w:t>
      </w:r>
    </w:p>
    <w:p w14:paraId="37B37CFA" w14:textId="77777777" w:rsidR="002A2FAE" w:rsidRPr="00027624" w:rsidRDefault="002A2FAE" w:rsidP="002A2FAE">
      <w:pPr>
        <w:pStyle w:val="ChartMainHeading"/>
      </w:pPr>
      <w:bookmarkStart w:id="4142" w:name="_Ref35254860"/>
      <w:r w:rsidRPr="00027624">
        <w:t>Importance of retirement income product features</w:t>
      </w:r>
      <w:bookmarkEnd w:id="4142"/>
    </w:p>
    <w:p w14:paraId="7BCE4C19" w14:textId="77777777" w:rsidR="002A2FAE" w:rsidRPr="00027624" w:rsidRDefault="003A5E46" w:rsidP="00322B1F">
      <w:pPr>
        <w:pStyle w:val="ChartGraphic"/>
      </w:pPr>
      <w:r>
        <w:rPr>
          <w:noProof/>
        </w:rPr>
        <w:drawing>
          <wp:inline distT="0" distB="0" distL="0" distR="0" wp14:anchorId="340ADAF7" wp14:editId="1F7F054E">
            <wp:extent cx="5547360" cy="2697480"/>
            <wp:effectExtent l="0" t="0" r="0" b="7620"/>
            <wp:docPr id="679974613" name="Picture 679974613" descr="This chart shows the most important retirement income product feature for people is assurance that they won’t run out of money before they die, followed by a stable level of income throughout their retirement and finally access to savings whenever they want. " title="Chart 5A-15 Importance of retirement income product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547360" cy="2697480"/>
                    </a:xfrm>
                    <a:prstGeom prst="rect">
                      <a:avLst/>
                    </a:prstGeom>
                    <a:noFill/>
                  </pic:spPr>
                </pic:pic>
              </a:graphicData>
            </a:graphic>
          </wp:inline>
        </w:drawing>
      </w:r>
    </w:p>
    <w:p w14:paraId="344A4DA6" w14:textId="77777777" w:rsidR="002A2FAE" w:rsidRPr="00027624" w:rsidRDefault="003A5E46" w:rsidP="002A2FAE">
      <w:pPr>
        <w:pStyle w:val="ChartorTableNote"/>
      </w:pPr>
      <w:r>
        <w:t>Note:</w:t>
      </w:r>
      <w:r w:rsidR="002A2FAE" w:rsidRPr="00027624">
        <w:t xml:space="preserve"> More than 1,000 survey respondents aged 55 and over. Source:</w:t>
      </w:r>
      <w:r w:rsidR="002A2FAE" w:rsidRPr="00027624">
        <w:fldChar w:fldCharType="begin"/>
      </w:r>
      <w:r w:rsidR="002A2FAE" w:rsidRPr="00027624">
        <w:instrText xml:space="preserve">CITATION Mer191 \p 3 \l 3081 </w:instrText>
      </w:r>
      <w:r w:rsidR="002A2FAE" w:rsidRPr="00027624">
        <w:fldChar w:fldCharType="separate"/>
      </w:r>
      <w:r w:rsidR="00E83F6E">
        <w:rPr>
          <w:noProof/>
        </w:rPr>
        <w:t xml:space="preserve"> (Mercer, 2019a, p. 3)</w:t>
      </w:r>
      <w:r w:rsidR="002A2FAE" w:rsidRPr="00027624">
        <w:fldChar w:fldCharType="end"/>
      </w:r>
      <w:r w:rsidR="002A2FAE" w:rsidRPr="00027624">
        <w:t xml:space="preserve">. </w:t>
      </w:r>
    </w:p>
    <w:p w14:paraId="2191A8CE" w14:textId="77777777" w:rsidR="002A2FAE" w:rsidRPr="00027624" w:rsidRDefault="002A2FAE" w:rsidP="002A2FAE">
      <w:r w:rsidRPr="00027624">
        <w:t>At June 2019, around 83 per cent of accounts in the pension phase were invested in account</w:t>
      </w:r>
      <w:r w:rsidR="00A8443E" w:rsidRPr="00027624">
        <w:noBreakHyphen/>
      </w:r>
      <w:r w:rsidRPr="00027624">
        <w:t>based pensions that do not manage the risk of running out of money in retirement.</w:t>
      </w:r>
      <w:r w:rsidRPr="00027624">
        <w:rPr>
          <w:rStyle w:val="FootnoteReference"/>
        </w:rPr>
        <w:footnoteReference w:id="302"/>
      </w:r>
      <w:r w:rsidRPr="00027624">
        <w:t xml:space="preserve"> Most of the remaining assets are invested in term annuities, which only provide a guaranteed income stream for a limited period and therefore do not manage longevity risk beyond the term of the product. </w:t>
      </w:r>
    </w:p>
    <w:p w14:paraId="6C05B5F5" w14:textId="02A5DE47" w:rsidR="002A2FAE" w:rsidRPr="00027624" w:rsidRDefault="002A2FAE" w:rsidP="002A2FAE">
      <w:r w:rsidRPr="00027624">
        <w:t>Retirees may be self</w:t>
      </w:r>
      <w:r w:rsidR="00A8443E" w:rsidRPr="00027624">
        <w:noBreakHyphen/>
      </w:r>
      <w:r w:rsidRPr="00027624">
        <w:t>insuring against longevity risk and only consuming the minimum necessary in order to avoid running out of savings</w:t>
      </w:r>
      <w:sdt>
        <w:sdtPr>
          <w:id w:val="-1346015951"/>
          <w:citation/>
        </w:sdtPr>
        <w:sdtEndPr/>
        <w:sdtContent>
          <w:r w:rsidRPr="00027624">
            <w:fldChar w:fldCharType="begin"/>
          </w:r>
          <w:r w:rsidRPr="00027624">
            <w:instrText xml:space="preserve">CITATION Fin04 \p 120 \l 3081 </w:instrText>
          </w:r>
          <w:r w:rsidRPr="00027624">
            <w:fldChar w:fldCharType="separate"/>
          </w:r>
          <w:r w:rsidR="00E83F6E">
            <w:rPr>
              <w:noProof/>
            </w:rPr>
            <w:t xml:space="preserve"> (Financial System Inquiry, 2014, p. 120)</w:t>
          </w:r>
          <w:r w:rsidRPr="00027624">
            <w:fldChar w:fldCharType="end"/>
          </w:r>
        </w:sdtContent>
      </w:sdt>
      <w:r w:rsidRPr="00027624">
        <w:t xml:space="preserve">. Explanations for this behaviour include the current framing of annuities and their complexity, perceived lack of value for money, and the role of the Age Pension in providing a constant income stream (see </w:t>
      </w:r>
      <w:r w:rsidRPr="00027624">
        <w:fldChar w:fldCharType="begin"/>
      </w:r>
      <w:r w:rsidRPr="00027624">
        <w:instrText xml:space="preserve"> REF _Ref42798285 \r \h  \* MERGEFORMAT </w:instrText>
      </w:r>
      <w:r w:rsidRPr="00027624">
        <w:fldChar w:fldCharType="separate"/>
      </w:r>
      <w:r w:rsidR="00891058">
        <w:t>Box 5A-15</w:t>
      </w:r>
      <w:r w:rsidRPr="00027624">
        <w:fldChar w:fldCharType="end"/>
      </w:r>
      <w:r w:rsidRPr="00027624">
        <w:t>). Other contributing factors are the role of funds in only offering account</w:t>
      </w:r>
      <w:r w:rsidR="00A8443E" w:rsidRPr="00027624">
        <w:noBreakHyphen/>
      </w:r>
      <w:r w:rsidRPr="00027624">
        <w:t>based pensions, as well as the incentives for financial advisers</w:t>
      </w:r>
      <w:r w:rsidRPr="00027624" w:rsidDel="007F0B85">
        <w:t xml:space="preserve"> </w:t>
      </w:r>
      <w:r w:rsidRPr="00027624">
        <w:t xml:space="preserve">to recommend products that require regular monitoring and subsequent financial advice. </w:t>
      </w:r>
    </w:p>
    <w:p w14:paraId="32227104" w14:textId="77777777" w:rsidR="002A2FAE" w:rsidRPr="00027624" w:rsidRDefault="002A2FAE" w:rsidP="00D303DB">
      <w:pPr>
        <w:pStyle w:val="Bullet"/>
        <w:numPr>
          <w:ilvl w:val="0"/>
          <w:numId w:val="0"/>
        </w:numPr>
      </w:pPr>
      <w:r w:rsidRPr="00027624">
        <w:t>Longevity risk protection should encourage people to consume their other assets. However, evidence from the US suggests even people with guaranteed, constant income streams are unlikely to</w:t>
      </w:r>
      <w:r w:rsidRPr="00027624" w:rsidDel="00772F2B">
        <w:t xml:space="preserve"> </w:t>
      </w:r>
      <w:r w:rsidRPr="00027624">
        <w:t>draw down their non</w:t>
      </w:r>
      <w:r w:rsidR="00A8443E" w:rsidRPr="00027624">
        <w:noBreakHyphen/>
      </w:r>
      <w:r w:rsidRPr="00027624">
        <w:t>pension assets to generate income. Evidence from the US shows defined benefit recipients consume less of their non</w:t>
      </w:r>
      <w:r w:rsidR="00A8443E" w:rsidRPr="00027624">
        <w:noBreakHyphen/>
      </w:r>
      <w:r w:rsidRPr="00027624">
        <w:t>pension assets than other retirees</w:t>
      </w:r>
      <w:r w:rsidRPr="00027624">
        <w:fldChar w:fldCharType="begin"/>
      </w:r>
      <w:r w:rsidRPr="00027624">
        <w:instrText xml:space="preserve">CITATION Ban18 \t  \l 3081 </w:instrText>
      </w:r>
      <w:r w:rsidRPr="00027624" w:rsidDel="007108A5">
        <w:instrText xml:space="preserve">CITATION Ban18 \t  \l 3081 </w:instrText>
      </w:r>
      <w:r w:rsidRPr="00027624">
        <w:fldChar w:fldCharType="separate"/>
      </w:r>
      <w:r w:rsidR="00E83F6E">
        <w:rPr>
          <w:noProof/>
        </w:rPr>
        <w:t xml:space="preserve"> (Banerjee, 2018)</w:t>
      </w:r>
      <w:r w:rsidRPr="00027624">
        <w:fldChar w:fldCharType="end"/>
      </w:r>
      <w:r w:rsidRPr="00027624">
        <w:t xml:space="preserve">. </w:t>
      </w:r>
    </w:p>
    <w:p w14:paraId="6E56676A" w14:textId="77777777" w:rsidR="002A2FAE" w:rsidRPr="00027624" w:rsidRDefault="002A2FAE" w:rsidP="002A2FAE">
      <w:r w:rsidRPr="00027624">
        <w:t>These findings suggest retirees are still reluctant to draw down their assets, even if they have a high degree of longevity risk protection. It appears retirees may be influenced by a desire not to spend their assets (asset</w:t>
      </w:r>
      <w:r w:rsidR="00A8443E" w:rsidRPr="00027624">
        <w:noBreakHyphen/>
      </w:r>
      <w:r w:rsidRPr="00027624">
        <w:t>framing bias). Concern about outliving savings is unlikely the sole driver of current drawdown behaviour.</w:t>
      </w:r>
    </w:p>
    <w:p w14:paraId="03CA39DC" w14:textId="77777777" w:rsidR="002A2FAE" w:rsidRPr="00027624" w:rsidRDefault="002A2FAE" w:rsidP="002A2FAE">
      <w:pPr>
        <w:pStyle w:val="Heading5"/>
      </w:pPr>
      <w:r w:rsidRPr="00027624">
        <w:t>Uncertainty and precautionary saving</w:t>
      </w:r>
    </w:p>
    <w:p w14:paraId="001A5337" w14:textId="77777777" w:rsidR="002A2FAE" w:rsidRPr="00027624" w:rsidRDefault="002A2FAE" w:rsidP="002A2FAE">
      <w:r w:rsidRPr="00027624">
        <w:rPr>
          <w:b/>
        </w:rPr>
        <w:t>Retirees may also be managing the risk of the need to fund lump</w:t>
      </w:r>
      <w:r w:rsidR="00A8443E" w:rsidRPr="00027624">
        <w:rPr>
          <w:b/>
        </w:rPr>
        <w:noBreakHyphen/>
      </w:r>
      <w:r w:rsidRPr="00027624">
        <w:rPr>
          <w:b/>
        </w:rPr>
        <w:t xml:space="preserve">sum expenditure </w:t>
      </w:r>
      <w:r w:rsidRPr="00027624">
        <w:t>by avoiding drawing on their retirement savings. Some academic literature and submissions suggest fears around aged care costs could hold retirees back from drawing down on their assets in retirement</w:t>
      </w:r>
      <w:r w:rsidRPr="00027624">
        <w:fldChar w:fldCharType="begin"/>
      </w:r>
      <w:r w:rsidRPr="00027624">
        <w:instrText xml:space="preserve">CITATION Dal18 \m Pro15 \m Act19 \p 31 \m CEP19 \m Ash17 \p 595 \l 3081 </w:instrText>
      </w:r>
      <w:r w:rsidRPr="00027624">
        <w:fldChar w:fldCharType="separate"/>
      </w:r>
      <w:r w:rsidR="00E83F6E">
        <w:rPr>
          <w:noProof/>
        </w:rPr>
        <w:t xml:space="preserve"> (Daley, et al., 2018b; Productivity Commission, 2015a; Actuaries Institute, 2019, p. 31; CEPAR, 2019; Asher, et al., 2017, p. 595)</w:t>
      </w:r>
      <w:r w:rsidRPr="00027624">
        <w:fldChar w:fldCharType="end"/>
      </w:r>
      <w:r w:rsidRPr="00027624">
        <w:t>. Retirees are more likely to draw down their savings in countries with greater public coverage of aged care and health care, than in countries like Australia, where retirees fund some of their own aged care costs</w:t>
      </w:r>
      <w:r w:rsidRPr="00027624">
        <w:fldChar w:fldCharType="begin"/>
      </w:r>
      <w:r w:rsidRPr="00027624">
        <w:instrText xml:space="preserve">CITATION Dal18 \p 33 \l 3081 </w:instrText>
      </w:r>
      <w:r w:rsidRPr="00027624">
        <w:fldChar w:fldCharType="separate"/>
      </w:r>
      <w:r w:rsidR="00E83F6E">
        <w:rPr>
          <w:noProof/>
        </w:rPr>
        <w:t xml:space="preserve"> (Daley, et al., 2018b, p. 33)</w:t>
      </w:r>
      <w:r w:rsidRPr="00027624">
        <w:fldChar w:fldCharType="end"/>
      </w:r>
      <w:r w:rsidRPr="00027624">
        <w:t>. However, it is unclear whether there is a causal link, or whether the difference in behaviour is a result of cultural or attitudinal factors, such as different attitudes towards relying on social security in different countries.</w:t>
      </w:r>
    </w:p>
    <w:p w14:paraId="0CF7117E" w14:textId="139A5D62" w:rsidR="002A2FAE" w:rsidRPr="00027624" w:rsidRDefault="002A2FAE" w:rsidP="002A2FAE">
      <w:r w:rsidRPr="00027624">
        <w:t>Health and aged care costs are heavily subsidised in Australia. Most people</w:t>
      </w:r>
      <w:r w:rsidR="00A8443E" w:rsidRPr="00027624">
        <w:t>’</w:t>
      </w:r>
      <w:r w:rsidRPr="00027624">
        <w:t xml:space="preserve">s expenditure on these items does not increase significantly during retirement (see </w:t>
      </w:r>
      <w:r w:rsidRPr="00027624">
        <w:rPr>
          <w:i/>
        </w:rPr>
        <w:t xml:space="preserve">Appendix 6A. Detailed modelling methods and assumptions </w:t>
      </w:r>
      <w:r w:rsidRPr="00027624">
        <w:t xml:space="preserve">and </w:t>
      </w:r>
      <w:r w:rsidR="002E3D20" w:rsidRPr="00027624">
        <w:rPr>
          <w:i/>
        </w:rPr>
        <w:t>4</w:t>
      </w:r>
      <w:r w:rsidRPr="00027624">
        <w:rPr>
          <w:i/>
        </w:rPr>
        <w:t xml:space="preserve">. Sustainability). </w:t>
      </w:r>
      <w:r w:rsidRPr="00027624">
        <w:t>But households may not be aware of the extent of Government subsidies, especially given the complexity of aged care means</w:t>
      </w:r>
      <w:r w:rsidR="00A8443E" w:rsidRPr="00027624">
        <w:noBreakHyphen/>
      </w:r>
      <w:r w:rsidRPr="00027624">
        <w:t>testing arrangements (</w:t>
      </w:r>
      <w:r w:rsidRPr="00027624">
        <w:fldChar w:fldCharType="begin"/>
      </w:r>
      <w:r w:rsidRPr="00027624">
        <w:instrText xml:space="preserve"> REF _Ref35589640 \r \h  \* MERGEFORMAT </w:instrText>
      </w:r>
      <w:r w:rsidRPr="00027624">
        <w:fldChar w:fldCharType="separate"/>
      </w:r>
      <w:r w:rsidR="00891058">
        <w:t>Box 5A-6</w:t>
      </w:r>
      <w:r w:rsidRPr="00027624">
        <w:fldChar w:fldCharType="end"/>
      </w:r>
      <w:r w:rsidRPr="00027624">
        <w:t>). Researchers have argued that many retirees do not realise the value of the aged care safety net</w:t>
      </w:r>
      <w:r w:rsidRPr="00027624">
        <w:fldChar w:fldCharType="begin"/>
      </w:r>
      <w:r w:rsidRPr="00027624">
        <w:instrText xml:space="preserve">CITATION CEP19 \p 34 \l 3081 </w:instrText>
      </w:r>
      <w:r w:rsidRPr="00027624">
        <w:fldChar w:fldCharType="separate"/>
      </w:r>
      <w:r w:rsidR="00E83F6E">
        <w:rPr>
          <w:noProof/>
        </w:rPr>
        <w:t xml:space="preserve"> (CEPAR, 2019, p. 34)</w:t>
      </w:r>
      <w:r w:rsidRPr="00027624">
        <w:fldChar w:fldCharType="end"/>
      </w:r>
      <w:r w:rsidRPr="00027624">
        <w:t>.</w:t>
      </w:r>
    </w:p>
    <w:p w14:paraId="7D66BE33" w14:textId="44095BFF" w:rsidR="002A2FAE" w:rsidRPr="00027624" w:rsidRDefault="002A2FAE" w:rsidP="002A2FAE">
      <w:r w:rsidRPr="00027624">
        <w:t>In contrast, aged care literacy and concern about aged care are low</w:t>
      </w:r>
      <w:r w:rsidRPr="00027624">
        <w:fldChar w:fldCharType="begin"/>
      </w:r>
      <w:r w:rsidRPr="00027624">
        <w:instrText xml:space="preserve">CITATION Mer191 \m Nat18f \m ACF18 \p 35 \l 3081 </w:instrText>
      </w:r>
      <w:r w:rsidRPr="00027624">
        <w:fldChar w:fldCharType="separate"/>
      </w:r>
      <w:r w:rsidR="00E83F6E">
        <w:rPr>
          <w:noProof/>
        </w:rPr>
        <w:t xml:space="preserve"> (Mercer, 2019a; Rees, et al., 2018; Aged Care Financing Authority, 2018, p. 35)</w:t>
      </w:r>
      <w:r w:rsidRPr="00027624">
        <w:fldChar w:fldCharType="end"/>
      </w:r>
      <w:r w:rsidRPr="00027624">
        <w:t xml:space="preserve"> (</w:t>
      </w:r>
      <w:r w:rsidRPr="00027624">
        <w:fldChar w:fldCharType="begin"/>
      </w:r>
      <w:r w:rsidRPr="00027624">
        <w:instrText xml:space="preserve"> REF _Ref35254731 \r \h  \* MERGEFORMAT </w:instrText>
      </w:r>
      <w:r w:rsidRPr="00027624">
        <w:fldChar w:fldCharType="separate"/>
      </w:r>
      <w:r w:rsidR="00891058">
        <w:t>Chart 5A-16</w:t>
      </w:r>
      <w:r w:rsidRPr="00027624">
        <w:fldChar w:fldCharType="end"/>
      </w:r>
      <w:r w:rsidRPr="00027624">
        <w:t>) and many people may not consider aged care costs when deciding whether to draw down their assets.</w:t>
      </w:r>
      <w:r w:rsidRPr="00027624" w:rsidDel="00094C13">
        <w:t xml:space="preserve"> </w:t>
      </w:r>
      <w:r w:rsidRPr="00027624">
        <w:t>Surveys suggest many people are not interested in finding out more to help them plan for retirement and would prefer not to think about aged care</w:t>
      </w:r>
      <w:r w:rsidRPr="00027624">
        <w:fldChar w:fldCharType="begin"/>
      </w:r>
      <w:r w:rsidRPr="00027624">
        <w:instrText xml:space="preserve">CITATION ACF18 \p 32-33 \m Nat19 \p 23 \l 3081 </w:instrText>
      </w:r>
      <w:r w:rsidRPr="00027624">
        <w:fldChar w:fldCharType="separate"/>
      </w:r>
      <w:r w:rsidR="00E83F6E">
        <w:rPr>
          <w:noProof/>
        </w:rPr>
        <w:t xml:space="preserve"> (Aged Care Financing Authority, 2018, pp. 32-33; McCallum, et al., 2019, p. 23)</w:t>
      </w:r>
      <w:r w:rsidRPr="00027624">
        <w:fldChar w:fldCharType="end"/>
      </w:r>
      <w:r w:rsidRPr="00027624">
        <w:t>. Another survey found only 25 per cent of respondents were concerned about covering aged care costs</w:t>
      </w:r>
      <w:r w:rsidRPr="00027624">
        <w:fldChar w:fldCharType="begin"/>
      </w:r>
      <w:r w:rsidRPr="00027624">
        <w:instrText xml:space="preserve"> CITATION Mer191 \l 3081 </w:instrText>
      </w:r>
      <w:r w:rsidRPr="00027624">
        <w:fldChar w:fldCharType="separate"/>
      </w:r>
      <w:r w:rsidR="00E83F6E">
        <w:rPr>
          <w:noProof/>
        </w:rPr>
        <w:t xml:space="preserve"> (Mercer, 2019a)</w:t>
      </w:r>
      <w:r w:rsidRPr="00027624">
        <w:fldChar w:fldCharType="end"/>
      </w:r>
      <w:r w:rsidRPr="00027624">
        <w:t>. This remained consistent even as people aged.</w:t>
      </w:r>
    </w:p>
    <w:p w14:paraId="699BB848" w14:textId="77777777" w:rsidR="002A2FAE" w:rsidRPr="00027624" w:rsidRDefault="002A2FAE" w:rsidP="002A2FAE">
      <w:pPr>
        <w:pStyle w:val="ChartMainHeading"/>
      </w:pPr>
      <w:bookmarkStart w:id="4143" w:name="_Ref35254731"/>
      <w:r w:rsidRPr="00027624">
        <w:t>How informed people feel they are about aged care costs</w:t>
      </w:r>
      <w:bookmarkEnd w:id="4143"/>
      <w:r w:rsidRPr="00027624">
        <w:t xml:space="preserve"> and the steps involved</w:t>
      </w:r>
    </w:p>
    <w:p w14:paraId="15F98657" w14:textId="77777777" w:rsidR="002A2FAE" w:rsidRPr="00027624" w:rsidRDefault="00805FE5" w:rsidP="00D60066">
      <w:pPr>
        <w:pStyle w:val="ChartGraphic"/>
      </w:pPr>
      <w:r>
        <w:rPr>
          <w:noProof/>
        </w:rPr>
        <w:drawing>
          <wp:inline distT="0" distB="0" distL="0" distR="0" wp14:anchorId="66FB576D" wp14:editId="5355E57C">
            <wp:extent cx="5577840" cy="1615440"/>
            <wp:effectExtent l="0" t="0" r="3810" b="3810"/>
            <wp:docPr id="679974614" name="Picture 679974614" descr="This chart shows that only 10 per cent of survey respondents feel very informed about aged care costs and the steps involved. 35 per cent feel somewhat informed, 27 per cent feel somewhat uninformed, and 29 per cent feel very uninformed. " title="Chart 5A-16 How informed people feel they are about aged care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577840" cy="1615440"/>
                    </a:xfrm>
                    <a:prstGeom prst="rect">
                      <a:avLst/>
                    </a:prstGeom>
                    <a:noFill/>
                  </pic:spPr>
                </pic:pic>
              </a:graphicData>
            </a:graphic>
          </wp:inline>
        </w:drawing>
      </w:r>
    </w:p>
    <w:p w14:paraId="20A36577" w14:textId="77777777" w:rsidR="002A2FAE" w:rsidRPr="00027624" w:rsidRDefault="002A2FAE" w:rsidP="002A2FAE">
      <w:pPr>
        <w:pStyle w:val="ChartorTableNote"/>
      </w:pPr>
      <w:r w:rsidRPr="00027624">
        <w:t>Note: Respondents aged over 40. Source:</w:t>
      </w:r>
      <w:r w:rsidRPr="00027624">
        <w:rPr>
          <w:iCs/>
        </w:rPr>
        <w:t xml:space="preserve"> Investment Trends October 2019 Retirement Income Report</w:t>
      </w:r>
      <w:r w:rsidRPr="00027624">
        <w:t>.</w:t>
      </w:r>
    </w:p>
    <w:p w14:paraId="37784000" w14:textId="77777777" w:rsidR="002A2FAE" w:rsidRPr="00027624" w:rsidRDefault="002A2FAE" w:rsidP="002A2FAE">
      <w:r w:rsidRPr="00027624">
        <w:rPr>
          <w:bCs/>
        </w:rPr>
        <w:t>People</w:t>
      </w:r>
      <w:r w:rsidR="00A8443E" w:rsidRPr="00027624">
        <w:rPr>
          <w:bCs/>
        </w:rPr>
        <w:t>’</w:t>
      </w:r>
      <w:r w:rsidRPr="00027624">
        <w:rPr>
          <w:bCs/>
        </w:rPr>
        <w:t xml:space="preserve">s confidence in their ability to fund aged care costs appears to be linked to household income and home ownership. </w:t>
      </w:r>
      <w:r w:rsidRPr="00027624">
        <w:t>Households with incomes above $50,000 were more likely than those with lower incomes to have confidence in their ability to pay aged care costs</w:t>
      </w:r>
      <w:r w:rsidRPr="00027624">
        <w:fldChar w:fldCharType="begin"/>
      </w:r>
      <w:r w:rsidRPr="00027624">
        <w:instrText xml:space="preserve">CITATION ACF18 \p 34 \l 3081 </w:instrText>
      </w:r>
      <w:r w:rsidRPr="00027624">
        <w:fldChar w:fldCharType="separate"/>
      </w:r>
      <w:r w:rsidR="00E83F6E">
        <w:rPr>
          <w:noProof/>
        </w:rPr>
        <w:t xml:space="preserve"> (Aged Care Financing Authority, 2018, p. 34)</w:t>
      </w:r>
      <w:r w:rsidRPr="00027624">
        <w:fldChar w:fldCharType="end"/>
      </w:r>
      <w:r w:rsidRPr="00027624">
        <w:t>. Home owners without a mortgage were more confident than those with a mortgage or renting</w:t>
      </w:r>
      <w:r w:rsidRPr="00027624">
        <w:fldChar w:fldCharType="begin"/>
      </w:r>
      <w:r w:rsidRPr="00027624">
        <w:instrText xml:space="preserve">CITATION ACF18 \p 34 \l 3081 </w:instrText>
      </w:r>
      <w:r w:rsidRPr="00027624" w:rsidDel="00C50657">
        <w:instrText xml:space="preserve">CITATION ACF18 \p 34 \l 3081 </w:instrText>
      </w:r>
      <w:r w:rsidRPr="00027624">
        <w:fldChar w:fldCharType="separate"/>
      </w:r>
      <w:r w:rsidR="00E83F6E">
        <w:rPr>
          <w:noProof/>
        </w:rPr>
        <w:t xml:space="preserve"> (Aged Care Financing Authority, 2018, p. 34)</w:t>
      </w:r>
      <w:r w:rsidRPr="00027624">
        <w:fldChar w:fldCharType="end"/>
      </w:r>
      <w:r w:rsidRPr="00027624">
        <w:t xml:space="preserve">. </w:t>
      </w:r>
    </w:p>
    <w:p w14:paraId="1B3C1B91" w14:textId="3108B044" w:rsidR="002A2FAE" w:rsidRPr="00027624" w:rsidRDefault="002A2FAE" w:rsidP="002A2FAE">
      <w:r w:rsidRPr="00027624">
        <w:t>A National Seniors survey found that, for those who had considered how to fund aged care, their principal residence was the main source of funding</w:t>
      </w:r>
      <w:r w:rsidRPr="00027624">
        <w:fldChar w:fldCharType="begin"/>
      </w:r>
      <w:r w:rsidRPr="00027624">
        <w:instrText xml:space="preserve">CITATION Nat19 \p 23 \l 3081 </w:instrText>
      </w:r>
      <w:r w:rsidRPr="00027624">
        <w:fldChar w:fldCharType="separate"/>
      </w:r>
      <w:r w:rsidR="00E83F6E">
        <w:rPr>
          <w:noProof/>
        </w:rPr>
        <w:t xml:space="preserve"> (McCallum, et al., 2019, p. 23)</w:t>
      </w:r>
      <w:r w:rsidRPr="00027624">
        <w:fldChar w:fldCharType="end"/>
      </w:r>
      <w:r w:rsidRPr="00027624">
        <w:t>. However, only a minority of retirees said they would consider drawing on the principal residence for aged care or health expenses</w:t>
      </w:r>
      <w:r w:rsidRPr="00027624">
        <w:fldChar w:fldCharType="begin"/>
      </w:r>
      <w:r w:rsidRPr="00027624">
        <w:instrText xml:space="preserve">CITATION Pro15 \l 3081 </w:instrText>
      </w:r>
      <w:r w:rsidRPr="00027624">
        <w:fldChar w:fldCharType="separate"/>
      </w:r>
      <w:r w:rsidR="00E83F6E">
        <w:rPr>
          <w:noProof/>
        </w:rPr>
        <w:t xml:space="preserve"> (Productivity Commission, 2015a)</w:t>
      </w:r>
      <w:r w:rsidRPr="00027624">
        <w:fldChar w:fldCharType="end"/>
      </w:r>
      <w:r w:rsidRPr="00027624">
        <w:t>. Aged care costs were the most reported reason a person would draw down home equity (almost 40 per cent) (</w:t>
      </w:r>
      <w:r w:rsidRPr="00027624">
        <w:fldChar w:fldCharType="begin"/>
      </w:r>
      <w:r w:rsidRPr="00027624">
        <w:instrText xml:space="preserve"> REF _Ref42324892 \r \h  \* MERGEFORMAT </w:instrText>
      </w:r>
      <w:r w:rsidRPr="00027624">
        <w:fldChar w:fldCharType="separate"/>
      </w:r>
      <w:r w:rsidR="00891058">
        <w:t>Chart 5A-14</w:t>
      </w:r>
      <w:r w:rsidRPr="00027624">
        <w:fldChar w:fldCharType="end"/>
      </w:r>
      <w:r w:rsidRPr="00027624">
        <w:t>). However, the same proportion said they would not draw down under any circumstances. Some retirees may sell the principal residence to pay a Refundable Accommodation Deposit (or RAD) and/or to fund their aged care expenses (</w:t>
      </w:r>
      <w:r w:rsidRPr="00027624">
        <w:fldChar w:fldCharType="begin"/>
      </w:r>
      <w:r w:rsidRPr="00027624">
        <w:instrText xml:space="preserve"> REF _Ref41661128 \r \h  \* MERGEFORMAT </w:instrText>
      </w:r>
      <w:r w:rsidRPr="00027624">
        <w:fldChar w:fldCharType="separate"/>
      </w:r>
      <w:r w:rsidR="00891058">
        <w:t>Box 5A-7</w:t>
      </w:r>
      <w:r w:rsidRPr="00027624">
        <w:fldChar w:fldCharType="end"/>
      </w:r>
      <w:r w:rsidRPr="00027624">
        <w:t>).</w:t>
      </w:r>
    </w:p>
    <w:p w14:paraId="6BFA3BCD" w14:textId="77777777" w:rsidR="002A2FAE" w:rsidRPr="00027624" w:rsidRDefault="002A2FAE" w:rsidP="002A2FAE">
      <w:pPr>
        <w:spacing w:before="0" w:after="160" w:line="259" w:lineRule="auto"/>
      </w:pPr>
      <w:r w:rsidRPr="00027624">
        <w:t xml:space="preserve">While aged care costs might explain some of the reticence to draw down on housing assets, it is unlikely to be a major driver of the low draw down of superannuation assets. </w:t>
      </w:r>
    </w:p>
    <w:tbl>
      <w:tblPr>
        <w:tblStyle w:val="TableGrid"/>
        <w:tblW w:w="5000" w:type="pct"/>
        <w:tblCellMar>
          <w:top w:w="113" w:type="dxa"/>
          <w:bottom w:w="113" w:type="dxa"/>
        </w:tblCellMar>
        <w:tblLook w:val="04A0" w:firstRow="1" w:lastRow="0" w:firstColumn="1" w:lastColumn="0" w:noHBand="0" w:noVBand="1"/>
      </w:tblPr>
      <w:tblGrid>
        <w:gridCol w:w="9070"/>
      </w:tblGrid>
      <w:tr w:rsidR="002A2FAE" w:rsidRPr="00027624" w14:paraId="6D31D297" w14:textId="77777777" w:rsidTr="00D12F9D">
        <w:tc>
          <w:tcPr>
            <w:tcW w:w="5000" w:type="pct"/>
            <w:shd w:val="clear" w:color="auto" w:fill="FFF8EA"/>
          </w:tcPr>
          <w:p w14:paraId="79D5152A" w14:textId="77777777" w:rsidR="002A2FAE" w:rsidRPr="00027624" w:rsidRDefault="002A2FAE" w:rsidP="00325A8D">
            <w:pPr>
              <w:pStyle w:val="BoxHeading"/>
              <w:keepNext w:val="0"/>
              <w:widowControl w:val="0"/>
              <w:numPr>
                <w:ilvl w:val="5"/>
                <w:numId w:val="13"/>
              </w:numPr>
            </w:pPr>
            <w:bookmarkStart w:id="4144" w:name="_Ref35589640"/>
            <w:r w:rsidRPr="00027624">
              <w:t>Aged care</w:t>
            </w:r>
            <w:r w:rsidR="00A8443E" w:rsidRPr="00027624">
              <w:t xml:space="preserve"> — </w:t>
            </w:r>
            <w:r w:rsidRPr="00027624">
              <w:t>types and means testing</w:t>
            </w:r>
            <w:bookmarkEnd w:id="4144"/>
          </w:p>
          <w:p w14:paraId="7E99E976" w14:textId="77777777" w:rsidR="002A2FAE" w:rsidRPr="00027624" w:rsidRDefault="002A2FAE" w:rsidP="002A2FAE">
            <w:pPr>
              <w:pStyle w:val="BoxText"/>
            </w:pPr>
            <w:r w:rsidRPr="00027624">
              <w:t>Aged care services and costs depend on the care type retirees choose:</w:t>
            </w:r>
            <w:r w:rsidRPr="00027624">
              <w:rPr>
                <w:rStyle w:val="FootnoteReference"/>
              </w:rPr>
              <w:footnoteReference w:id="303"/>
            </w:r>
          </w:p>
          <w:p w14:paraId="719E41C9" w14:textId="77777777" w:rsidR="002A2FAE" w:rsidRPr="00027624" w:rsidRDefault="002A2FAE" w:rsidP="00931935">
            <w:pPr>
              <w:pStyle w:val="BoxBullet"/>
            </w:pPr>
            <w:r w:rsidRPr="00027624">
              <w:rPr>
                <w:b/>
              </w:rPr>
              <w:t>Commonwealth Home Support Program</w:t>
            </w:r>
            <w:r w:rsidRPr="00027624">
              <w:rPr>
                <w:bCs/>
              </w:rPr>
              <w:t xml:space="preserve">. </w:t>
            </w:r>
            <w:r w:rsidRPr="00027624">
              <w:t>Provides low</w:t>
            </w:r>
            <w:r w:rsidR="00A8443E" w:rsidRPr="00027624">
              <w:noBreakHyphen/>
            </w:r>
            <w:r w:rsidRPr="00027624">
              <w:t>level support at home. Services include access to nursing, meals, home modification and transport. Care is not formally means tested. People may pay a co</w:t>
            </w:r>
            <w:r w:rsidR="00A8443E" w:rsidRPr="00027624">
              <w:noBreakHyphen/>
            </w:r>
            <w:r w:rsidRPr="00027624">
              <w:t>contribution payment, which varies based on the services required and the fees set by providers.</w:t>
            </w:r>
          </w:p>
          <w:p w14:paraId="5F4EA7D7" w14:textId="155473FA" w:rsidR="002A2FAE" w:rsidRPr="00027624" w:rsidRDefault="002A2FAE" w:rsidP="00931935">
            <w:pPr>
              <w:pStyle w:val="BoxBullet"/>
            </w:pPr>
            <w:r w:rsidRPr="00027624">
              <w:rPr>
                <w:b/>
              </w:rPr>
              <w:t>Home Care Packages</w:t>
            </w:r>
            <w:r w:rsidRPr="00027624">
              <w:rPr>
                <w:bCs/>
              </w:rPr>
              <w:t xml:space="preserve">. </w:t>
            </w:r>
            <w:r w:rsidRPr="00027624">
              <w:t>Provides higher</w:t>
            </w:r>
            <w:r w:rsidR="00A8443E" w:rsidRPr="00027624">
              <w:noBreakHyphen/>
            </w:r>
            <w:r w:rsidRPr="00027624">
              <w:t>level home support for those with more complex care needs. Four levels of packages are available based on the person</w:t>
            </w:r>
            <w:r w:rsidR="00A8443E" w:rsidRPr="00027624">
              <w:t>’</w:t>
            </w:r>
            <w:r w:rsidRPr="00027624">
              <w:t>s care needs. Most people pay a basic daily fee, depending on their package level ($9.63 to $10.75 per day). Some are required to pay an income</w:t>
            </w:r>
            <w:r w:rsidR="00A8443E" w:rsidRPr="00027624">
              <w:noBreakHyphen/>
            </w:r>
            <w:r w:rsidRPr="00027624">
              <w:t>tested care fee of up to $30.86 per day (</w:t>
            </w:r>
            <w:r w:rsidRPr="00027624">
              <w:fldChar w:fldCharType="begin"/>
            </w:r>
            <w:r w:rsidRPr="00027624">
              <w:instrText xml:space="preserve"> REF _Ref44601978 \r \h  \* MERGEFORMAT </w:instrText>
            </w:r>
            <w:r w:rsidRPr="00027624">
              <w:fldChar w:fldCharType="separate"/>
            </w:r>
            <w:r w:rsidR="00891058">
              <w:t>Chart 5A-17</w:t>
            </w:r>
            <w:r w:rsidRPr="00027624">
              <w:fldChar w:fldCharType="end"/>
            </w:r>
            <w:r w:rsidRPr="00027624">
              <w:t>).</w:t>
            </w:r>
          </w:p>
          <w:p w14:paraId="6789CBA1" w14:textId="0C88FB31" w:rsidR="002A2FAE" w:rsidRDefault="002A2FAE" w:rsidP="00D12F9D">
            <w:pPr>
              <w:pStyle w:val="ChartMainHeading"/>
            </w:pPr>
            <w:bookmarkStart w:id="4145" w:name="_Ref44601978"/>
            <w:r w:rsidRPr="00027624">
              <w:t>Income test for home care</w:t>
            </w:r>
            <w:bookmarkEnd w:id="4145"/>
          </w:p>
          <w:p w14:paraId="4E0702B3" w14:textId="61EE4D6F" w:rsidR="00301744" w:rsidRDefault="00301744" w:rsidP="004B3F5F">
            <w:pPr>
              <w:pStyle w:val="ChartMainHeading"/>
              <w:numPr>
                <w:ilvl w:val="0"/>
                <w:numId w:val="0"/>
              </w:numPr>
              <w:jc w:val="left"/>
              <w:rPr>
                <w:rFonts w:cs="Times New Roman"/>
                <w:b w:val="0"/>
                <w:noProof/>
                <w:color w:val="004A7F"/>
                <w:kern w:val="0"/>
                <w:sz w:val="20"/>
                <w:szCs w:val="20"/>
              </w:rPr>
            </w:pPr>
            <w:r>
              <w:rPr>
                <w:rFonts w:cs="Times New Roman"/>
                <w:b w:val="0"/>
                <w:noProof/>
                <w:color w:val="004A7F"/>
                <w:kern w:val="0"/>
                <w:sz w:val="20"/>
                <w:szCs w:val="20"/>
              </w:rPr>
              <w:drawing>
                <wp:inline distT="0" distB="0" distL="0" distR="0" wp14:anchorId="62CE1826" wp14:editId="5BE28703">
                  <wp:extent cx="5577840" cy="3962400"/>
                  <wp:effectExtent l="0" t="0" r="3810" b="0"/>
                  <wp:docPr id="2002235517" name="Picture 2002235517" descr="This chart shows that people are treated three different ways under the income test for the purposes of government support for home care. Up until an annual income of $27,736.80 a level similar to full-rate age pensioners, people do not pay a care fee, after which the fee depends on their income. A 50 per cent taper rate is applied up until $38,971.74, and then the first cap is hit. For incomes of $53,060.80 to $64,295.76, a 50 per cent taper rate is applied, up to the second cap. This latter group is akin to non-age pensioners. " title="Chart 5A-17 Income test for hom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577840" cy="3962400"/>
                          </a:xfrm>
                          <a:prstGeom prst="rect">
                            <a:avLst/>
                          </a:prstGeom>
                          <a:noFill/>
                        </pic:spPr>
                      </pic:pic>
                    </a:graphicData>
                  </a:graphic>
                </wp:inline>
              </w:drawing>
            </w:r>
          </w:p>
          <w:p w14:paraId="71EFA373" w14:textId="77777777" w:rsidR="002A2FAE" w:rsidRPr="00027624" w:rsidRDefault="002A2FAE" w:rsidP="002A2FAE">
            <w:pPr>
              <w:pStyle w:val="ChartorTableNote"/>
            </w:pPr>
            <w:r w:rsidRPr="00027624">
              <w:t>Source: Department of Health.</w:t>
            </w:r>
          </w:p>
          <w:p w14:paraId="115E6412" w14:textId="543E5CB8" w:rsidR="002A2FAE" w:rsidRPr="00027624" w:rsidRDefault="002A2FAE" w:rsidP="002A2FAE">
            <w:pPr>
              <w:pStyle w:val="BoxBullet"/>
            </w:pPr>
            <w:r w:rsidRPr="00027624">
              <w:rPr>
                <w:b/>
              </w:rPr>
              <w:t>Residential care</w:t>
            </w:r>
            <w:r w:rsidRPr="00027624">
              <w:t>.</w:t>
            </w:r>
            <w:r w:rsidRPr="00027624">
              <w:rPr>
                <w:b/>
              </w:rPr>
              <w:t xml:space="preserve"> </w:t>
            </w:r>
            <w:r w:rsidRPr="00027624">
              <w:rPr>
                <w:bCs/>
              </w:rPr>
              <w:t>Provides f</w:t>
            </w:r>
            <w:r w:rsidRPr="00027624">
              <w:t>ull</w:t>
            </w:r>
            <w:r w:rsidR="00A8443E" w:rsidRPr="00027624">
              <w:noBreakHyphen/>
            </w:r>
            <w:r w:rsidRPr="00027624">
              <w:t>time care and accommodation for people who are no longer able to live independently in their home. All residents pay the basic daily fee (set at 85 per cent of the single base rate of Age Pension) to cover daily living costs, such as meals, cleaning and laundry. People may also pay a means</w:t>
            </w:r>
            <w:r w:rsidR="00A8443E" w:rsidRPr="00027624">
              <w:noBreakHyphen/>
            </w:r>
            <w:r w:rsidRPr="00027624">
              <w:t xml:space="preserve">tested care fee and/or fully or partly cover their accommodation costs (see </w:t>
            </w:r>
            <w:r w:rsidRPr="00027624">
              <w:fldChar w:fldCharType="begin"/>
            </w:r>
            <w:r w:rsidRPr="00027624">
              <w:instrText xml:space="preserve"> REF _Ref44602081 \r \h  \* MERGEFORMAT </w:instrText>
            </w:r>
            <w:r w:rsidRPr="00027624">
              <w:fldChar w:fldCharType="separate"/>
            </w:r>
            <w:r w:rsidR="00891058">
              <w:t>Chart 5A-18</w:t>
            </w:r>
            <w:r w:rsidRPr="00027624">
              <w:fldChar w:fldCharType="end"/>
            </w:r>
            <w:r w:rsidRPr="00027624">
              <w:t xml:space="preserve">). Many residential facilities also offer optional </w:t>
            </w:r>
            <w:r w:rsidR="00A8443E" w:rsidRPr="00027624">
              <w:t>‘</w:t>
            </w:r>
            <w:r w:rsidRPr="00027624">
              <w:t>extra</w:t>
            </w:r>
            <w:r w:rsidR="00A8443E" w:rsidRPr="00027624">
              <w:t>’</w:t>
            </w:r>
            <w:r w:rsidRPr="00027624">
              <w:t xml:space="preserve"> or </w:t>
            </w:r>
            <w:r w:rsidR="00A8443E" w:rsidRPr="00027624">
              <w:t>‘</w:t>
            </w:r>
            <w:r w:rsidRPr="00027624">
              <w:t>additional</w:t>
            </w:r>
            <w:r w:rsidR="00A8443E" w:rsidRPr="00027624">
              <w:t>’</w:t>
            </w:r>
            <w:r w:rsidRPr="00027624">
              <w:t xml:space="preserve"> services at a cost to the resident.</w:t>
            </w:r>
          </w:p>
        </w:tc>
      </w:tr>
      <w:tr w:rsidR="00D12F9D" w:rsidRPr="00027624" w14:paraId="6BFA64B0" w14:textId="77777777" w:rsidTr="00D12F9D">
        <w:tc>
          <w:tcPr>
            <w:tcW w:w="5000" w:type="pct"/>
            <w:shd w:val="clear" w:color="auto" w:fill="FFF8EA"/>
          </w:tcPr>
          <w:p w14:paraId="2B68D2B5" w14:textId="2442B5EE" w:rsidR="00D12F9D" w:rsidRDefault="00D12F9D" w:rsidP="00D12F9D">
            <w:pPr>
              <w:pStyle w:val="ChartMainHeading"/>
              <w:keepLines/>
              <w:numPr>
                <w:ilvl w:val="2"/>
                <w:numId w:val="13"/>
              </w:numPr>
            </w:pPr>
            <w:bookmarkStart w:id="4146" w:name="_Ref44602081"/>
            <w:r w:rsidRPr="00027624">
              <w:t>Means test (assets and income) for residential care</w:t>
            </w:r>
          </w:p>
          <w:p w14:paraId="7DF5244C" w14:textId="6E8CB26F" w:rsidR="00301744" w:rsidRDefault="00301744" w:rsidP="003A112B">
            <w:pPr>
              <w:rPr>
                <w:b/>
                <w:noProof/>
                <w:color w:val="004A7F"/>
              </w:rPr>
            </w:pPr>
            <w:r>
              <w:rPr>
                <w:b/>
                <w:noProof/>
                <w:color w:val="004A7F"/>
              </w:rPr>
              <w:drawing>
                <wp:inline distT="0" distB="0" distL="0" distR="0" wp14:anchorId="48A56DFB" wp14:editId="71757464">
                  <wp:extent cx="5577840" cy="3962400"/>
                  <wp:effectExtent l="0" t="0" r="3810" b="0"/>
                  <wp:docPr id="2002235518" name="Picture 2002235518" descr="This chart shows how the aged care income test and assets test interact for the purposes of how much the Government provides support for accommodation costs. There is an asset free area of $50,500 and an income free area of $27,736.80. The asset level of $171,535.20 is where an accommodation payment becomes payable if income is greater than $27,736.80.  An accommodation payment becomes payable when assets are less than $50,500 and income is greater than $70,099.12." title="Chart 5A-18 Means test (assets and income) for residential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577840" cy="3962400"/>
                          </a:xfrm>
                          <a:prstGeom prst="rect">
                            <a:avLst/>
                          </a:prstGeom>
                          <a:noFill/>
                        </pic:spPr>
                      </pic:pic>
                    </a:graphicData>
                  </a:graphic>
                </wp:inline>
              </w:drawing>
            </w:r>
          </w:p>
          <w:bookmarkEnd w:id="4146"/>
          <w:p w14:paraId="0C917FEE" w14:textId="77777777" w:rsidR="00D12F9D" w:rsidRPr="00027624" w:rsidRDefault="00D12F9D" w:rsidP="00D12F9D">
            <w:pPr>
              <w:pStyle w:val="ChartorTableNote"/>
              <w:keepNext/>
              <w:keepLines/>
            </w:pPr>
            <w:r w:rsidRPr="00027624">
              <w:t>Source: Department of Health.</w:t>
            </w:r>
          </w:p>
          <w:p w14:paraId="44E58CED" w14:textId="77777777" w:rsidR="00D12F9D" w:rsidRPr="00027624" w:rsidRDefault="00D12F9D" w:rsidP="00D12F9D">
            <w:r w:rsidRPr="00027624">
              <w:t>To assess assets for means</w:t>
            </w:r>
            <w:r w:rsidRPr="00027624">
              <w:noBreakHyphen/>
              <w:t xml:space="preserve">tested care fees, the value of the principal residence is capped under </w:t>
            </w:r>
            <w:r w:rsidRPr="00027624">
              <w:rPr>
                <w:rFonts w:eastAsiaTheme="minorEastAsia"/>
              </w:rPr>
              <w:t>the</w:t>
            </w:r>
            <w:r w:rsidRPr="00027624">
              <w:t xml:space="preserve"> means test unless the property is: </w:t>
            </w:r>
          </w:p>
          <w:p w14:paraId="355C342B" w14:textId="77777777" w:rsidR="00D12F9D" w:rsidRPr="00027624" w:rsidRDefault="00D12F9D" w:rsidP="00D12F9D">
            <w:pPr>
              <w:pStyle w:val="BoxBullet"/>
            </w:pPr>
            <w:r w:rsidRPr="00027624">
              <w:t>Occupied by a protected person (a partner, dependent child or eligible carer living in the home with the resident for at least two years), in which case the value is not included at all</w:t>
            </w:r>
          </w:p>
          <w:p w14:paraId="10E660BC" w14:textId="50460EFB" w:rsidR="00010DDE" w:rsidRPr="003A112B" w:rsidRDefault="00D12F9D" w:rsidP="00010DDE">
            <w:pPr>
              <w:pStyle w:val="BoxBullet"/>
            </w:pPr>
            <w:r w:rsidRPr="00027624">
              <w:t>Sold, at which point the full value is included</w:t>
            </w:r>
          </w:p>
          <w:p w14:paraId="7119BDAC" w14:textId="77777777" w:rsidR="00D12F9D" w:rsidRPr="00027624" w:rsidRDefault="00D12F9D" w:rsidP="00D12F9D">
            <w:pPr>
              <w:pStyle w:val="TableMainHeading"/>
              <w:keepLines/>
              <w:numPr>
                <w:ilvl w:val="3"/>
                <w:numId w:val="13"/>
              </w:numPr>
            </w:pPr>
            <w:r w:rsidRPr="00027624">
              <w:t>Means testing of residential aged care</w:t>
            </w:r>
          </w:p>
          <w:tbl>
            <w:tblPr>
              <w:tblStyle w:val="GridTable2-Accent6"/>
              <w:tblpPr w:leftFromText="180" w:rightFromText="180" w:vertAnchor="text" w:horzAnchor="margin" w:tblpY="81"/>
              <w:tblOverlap w:val="never"/>
              <w:tblW w:w="8787" w:type="dxa"/>
              <w:tblLook w:val="0420" w:firstRow="1" w:lastRow="0" w:firstColumn="0" w:lastColumn="0" w:noHBand="0" w:noVBand="1"/>
            </w:tblPr>
            <w:tblGrid>
              <w:gridCol w:w="1161"/>
              <w:gridCol w:w="1324"/>
              <w:gridCol w:w="1597"/>
              <w:gridCol w:w="1036"/>
              <w:gridCol w:w="1947"/>
              <w:gridCol w:w="1722"/>
            </w:tblGrid>
            <w:tr w:rsidR="00D12F9D" w:rsidRPr="00027624" w14:paraId="07509E9E" w14:textId="77777777" w:rsidTr="00AC6F8F">
              <w:trPr>
                <w:cnfStyle w:val="100000000000" w:firstRow="1" w:lastRow="0" w:firstColumn="0" w:lastColumn="0" w:oddVBand="0" w:evenVBand="0" w:oddHBand="0" w:evenHBand="0" w:firstRowFirstColumn="0" w:firstRowLastColumn="0" w:lastRowFirstColumn="0" w:lastRowLastColumn="0"/>
                <w:trHeight w:val="264"/>
              </w:trPr>
              <w:tc>
                <w:tcPr>
                  <w:tcW w:w="1165" w:type="dxa"/>
                  <w:tcBorders>
                    <w:left w:val="nil"/>
                  </w:tcBorders>
                  <w:shd w:val="clear" w:color="auto" w:fill="D9D9D9" w:themeFill="background1" w:themeFillShade="D9"/>
                  <w:hideMark/>
                </w:tcPr>
                <w:p w14:paraId="038E643A" w14:textId="77777777" w:rsidR="00D12F9D" w:rsidRPr="00027624" w:rsidRDefault="00D12F9D" w:rsidP="00D12F9D">
                  <w:pPr>
                    <w:pStyle w:val="TableColumnHeadingCentred"/>
                    <w:keepLines/>
                  </w:pPr>
                  <w:r w:rsidRPr="00027624">
                    <w:rPr>
                      <w:b/>
                      <w:sz w:val="22"/>
                    </w:rPr>
                    <w:t>Annual income ($)</w:t>
                  </w:r>
                </w:p>
              </w:tc>
              <w:tc>
                <w:tcPr>
                  <w:tcW w:w="1327" w:type="dxa"/>
                  <w:shd w:val="clear" w:color="auto" w:fill="D9D9D9" w:themeFill="background1" w:themeFillShade="D9"/>
                  <w:hideMark/>
                </w:tcPr>
                <w:p w14:paraId="08A7B88D" w14:textId="77777777" w:rsidR="00D12F9D" w:rsidRPr="00027624" w:rsidRDefault="00D12F9D" w:rsidP="00D12F9D">
                  <w:pPr>
                    <w:pStyle w:val="TableColumnHeadingCentred"/>
                    <w:keepLines/>
                    <w:rPr>
                      <w:b/>
                      <w:sz w:val="22"/>
                    </w:rPr>
                  </w:pPr>
                  <w:r w:rsidRPr="00027624">
                    <w:rPr>
                      <w:b/>
                      <w:sz w:val="22"/>
                    </w:rPr>
                    <w:t xml:space="preserve">Assets </w:t>
                  </w:r>
                  <w:r w:rsidRPr="00027624">
                    <w:rPr>
                      <w:bCs w:val="0"/>
                      <w:sz w:val="22"/>
                    </w:rPr>
                    <w:br/>
                  </w:r>
                  <w:r w:rsidRPr="00027624">
                    <w:rPr>
                      <w:b/>
                      <w:sz w:val="22"/>
                    </w:rPr>
                    <w:t>($)</w:t>
                  </w:r>
                </w:p>
              </w:tc>
              <w:tc>
                <w:tcPr>
                  <w:tcW w:w="1606" w:type="dxa"/>
                  <w:shd w:val="clear" w:color="auto" w:fill="D9D9D9" w:themeFill="background1" w:themeFillShade="D9"/>
                </w:tcPr>
                <w:p w14:paraId="255FA488" w14:textId="77777777" w:rsidR="00D12F9D" w:rsidRPr="00027624" w:rsidRDefault="00D12F9D" w:rsidP="00D12F9D">
                  <w:pPr>
                    <w:pStyle w:val="TableColumnHeadingCentred"/>
                    <w:keepLines/>
                    <w:rPr>
                      <w:b/>
                      <w:sz w:val="22"/>
                    </w:rPr>
                  </w:pPr>
                  <w:r w:rsidRPr="00027624">
                    <w:rPr>
                      <w:b/>
                      <w:sz w:val="22"/>
                    </w:rPr>
                    <w:t>Area in diagram above</w:t>
                  </w:r>
                </w:p>
              </w:tc>
              <w:tc>
                <w:tcPr>
                  <w:tcW w:w="1041" w:type="dxa"/>
                  <w:shd w:val="clear" w:color="auto" w:fill="D9D9D9" w:themeFill="background1" w:themeFillShade="D9"/>
                </w:tcPr>
                <w:p w14:paraId="6137CECB" w14:textId="77777777" w:rsidR="00D12F9D" w:rsidRPr="00027624" w:rsidRDefault="00D12F9D" w:rsidP="00D12F9D">
                  <w:pPr>
                    <w:pStyle w:val="TableColumnHeadingCentred"/>
                    <w:keepLines/>
                    <w:rPr>
                      <w:b/>
                      <w:sz w:val="22"/>
                    </w:rPr>
                  </w:pPr>
                  <w:r w:rsidRPr="00027624">
                    <w:rPr>
                      <w:b/>
                      <w:sz w:val="22"/>
                    </w:rPr>
                    <w:t>Basic daily fee ($)</w:t>
                  </w:r>
                </w:p>
              </w:tc>
              <w:tc>
                <w:tcPr>
                  <w:tcW w:w="1953" w:type="dxa"/>
                  <w:shd w:val="clear" w:color="auto" w:fill="D9D9D9" w:themeFill="background1" w:themeFillShade="D9"/>
                </w:tcPr>
                <w:p w14:paraId="35053656" w14:textId="77777777" w:rsidR="00D12F9D" w:rsidRPr="00027624" w:rsidRDefault="00D12F9D" w:rsidP="00D12F9D">
                  <w:pPr>
                    <w:pStyle w:val="TableColumnHeadingCentred"/>
                    <w:keepLines/>
                    <w:rPr>
                      <w:b/>
                      <w:sz w:val="22"/>
                    </w:rPr>
                  </w:pPr>
                  <w:r w:rsidRPr="00027624">
                    <w:rPr>
                      <w:b/>
                      <w:sz w:val="22"/>
                    </w:rPr>
                    <w:t>Means</w:t>
                  </w:r>
                  <w:r w:rsidRPr="00027624">
                    <w:rPr>
                      <w:b/>
                      <w:sz w:val="22"/>
                    </w:rPr>
                    <w:noBreakHyphen/>
                    <w:t xml:space="preserve">tested care fee </w:t>
                  </w:r>
                  <w:r w:rsidRPr="00027624">
                    <w:rPr>
                      <w:bCs w:val="0"/>
                      <w:sz w:val="22"/>
                    </w:rPr>
                    <w:br/>
                  </w:r>
                  <w:r w:rsidRPr="00027624">
                    <w:rPr>
                      <w:b/>
                      <w:sz w:val="22"/>
                    </w:rPr>
                    <w:t>($)</w:t>
                  </w:r>
                </w:p>
              </w:tc>
              <w:tc>
                <w:tcPr>
                  <w:tcW w:w="1695" w:type="dxa"/>
                  <w:tcBorders>
                    <w:right w:val="nil"/>
                  </w:tcBorders>
                  <w:shd w:val="clear" w:color="auto" w:fill="D9D9D9" w:themeFill="background1" w:themeFillShade="D9"/>
                </w:tcPr>
                <w:p w14:paraId="24024CFF" w14:textId="77777777" w:rsidR="00D12F9D" w:rsidRPr="00027624" w:rsidRDefault="00D12F9D" w:rsidP="00D12F9D">
                  <w:pPr>
                    <w:pStyle w:val="TableColumnHeadingCentred"/>
                    <w:keepLines/>
                    <w:rPr>
                      <w:b/>
                      <w:sz w:val="22"/>
                    </w:rPr>
                  </w:pPr>
                  <w:r w:rsidRPr="00027624">
                    <w:rPr>
                      <w:b/>
                      <w:sz w:val="22"/>
                    </w:rPr>
                    <w:t xml:space="preserve">Accommodation payment </w:t>
                  </w:r>
                </w:p>
              </w:tc>
            </w:tr>
            <w:tr w:rsidR="00D12F9D" w:rsidRPr="00027624" w14:paraId="3E00E1E3" w14:textId="77777777" w:rsidTr="00AC6F8F">
              <w:trPr>
                <w:cnfStyle w:val="000000100000" w:firstRow="0" w:lastRow="0" w:firstColumn="0" w:lastColumn="0" w:oddVBand="0" w:evenVBand="0" w:oddHBand="1" w:evenHBand="0" w:firstRowFirstColumn="0" w:firstRowLastColumn="0" w:lastRowFirstColumn="0" w:lastRowLastColumn="0"/>
                <w:trHeight w:val="246"/>
              </w:trPr>
              <w:tc>
                <w:tcPr>
                  <w:tcW w:w="1165" w:type="dxa"/>
                  <w:tcBorders>
                    <w:top w:val="single" w:sz="2" w:space="0" w:color="C1C1C1" w:themeColor="accent6" w:themeTint="99"/>
                    <w:left w:val="nil"/>
                    <w:bottom w:val="single" w:sz="2" w:space="0" w:color="C1C1C1" w:themeColor="accent6" w:themeTint="99"/>
                    <w:right w:val="single" w:sz="2" w:space="0" w:color="C1C1C1" w:themeColor="accent6" w:themeTint="99"/>
                  </w:tcBorders>
                  <w:shd w:val="clear" w:color="auto" w:fill="auto"/>
                  <w:hideMark/>
                </w:tcPr>
                <w:p w14:paraId="3AE1CDEB" w14:textId="20309892" w:rsidR="00D12F9D" w:rsidRPr="00027624" w:rsidRDefault="00555836" w:rsidP="00D12F9D">
                  <w:pPr>
                    <w:pStyle w:val="TableTextLeft"/>
                    <w:keepLines/>
                    <w:jc w:val="center"/>
                    <w:rPr>
                      <w:szCs w:val="18"/>
                    </w:rPr>
                  </w:pPr>
                  <w:r>
                    <w:rPr>
                      <w:szCs w:val="18"/>
                    </w:rPr>
                    <w:t>Below 27,737</w:t>
                  </w:r>
                </w:p>
              </w:tc>
              <w:tc>
                <w:tcPr>
                  <w:tcW w:w="1327"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hideMark/>
                </w:tcPr>
                <w:p w14:paraId="03A584E5" w14:textId="77777777" w:rsidR="00D12F9D" w:rsidRPr="00027624" w:rsidRDefault="00D12F9D" w:rsidP="00D12F9D">
                  <w:pPr>
                    <w:pStyle w:val="TableTextLeft"/>
                    <w:keepLines/>
                    <w:jc w:val="center"/>
                    <w:rPr>
                      <w:szCs w:val="18"/>
                    </w:rPr>
                  </w:pPr>
                  <w:r w:rsidRPr="00027624">
                    <w:rPr>
                      <w:szCs w:val="18"/>
                    </w:rPr>
                    <w:t>Below 50,500</w:t>
                  </w:r>
                </w:p>
              </w:tc>
              <w:tc>
                <w:tcPr>
                  <w:tcW w:w="1606"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7FE7F478" w14:textId="77777777" w:rsidR="00D12F9D" w:rsidRPr="00027624" w:rsidRDefault="00D12F9D" w:rsidP="00D12F9D">
                  <w:pPr>
                    <w:pStyle w:val="TableTextLeft"/>
                    <w:keepLines/>
                    <w:jc w:val="center"/>
                    <w:rPr>
                      <w:szCs w:val="18"/>
                    </w:rPr>
                  </w:pPr>
                  <w:r w:rsidRPr="00027624">
                    <w:rPr>
                      <w:szCs w:val="18"/>
                    </w:rPr>
                    <w:t>Inside green box</w:t>
                  </w:r>
                </w:p>
              </w:tc>
              <w:tc>
                <w:tcPr>
                  <w:tcW w:w="1041"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009A910A" w14:textId="77777777" w:rsidR="00D12F9D" w:rsidRPr="00027624" w:rsidRDefault="00D12F9D" w:rsidP="00D12F9D">
                  <w:pPr>
                    <w:pStyle w:val="TableTextLeft"/>
                    <w:keepLines/>
                    <w:jc w:val="center"/>
                    <w:rPr>
                      <w:szCs w:val="18"/>
                    </w:rPr>
                  </w:pPr>
                  <w:r w:rsidRPr="00027624">
                    <w:rPr>
                      <w:szCs w:val="18"/>
                    </w:rPr>
                    <w:t>52.25</w:t>
                  </w:r>
                </w:p>
              </w:tc>
              <w:tc>
                <w:tcPr>
                  <w:tcW w:w="1953"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44BAE069" w14:textId="77777777" w:rsidR="00D12F9D" w:rsidRPr="00027624" w:rsidRDefault="00D12F9D" w:rsidP="00D12F9D">
                  <w:pPr>
                    <w:pStyle w:val="TableTextLeft"/>
                    <w:keepLines/>
                    <w:jc w:val="center"/>
                    <w:rPr>
                      <w:szCs w:val="18"/>
                    </w:rPr>
                  </w:pPr>
                  <w:r w:rsidRPr="00027624">
                    <w:rPr>
                      <w:szCs w:val="18"/>
                    </w:rPr>
                    <w:t>Nil</w:t>
                  </w:r>
                </w:p>
              </w:tc>
              <w:tc>
                <w:tcPr>
                  <w:tcW w:w="1695" w:type="dxa"/>
                  <w:tcBorders>
                    <w:top w:val="single" w:sz="2" w:space="0" w:color="C1C1C1" w:themeColor="accent6" w:themeTint="99"/>
                    <w:left w:val="single" w:sz="2" w:space="0" w:color="C1C1C1" w:themeColor="accent6" w:themeTint="99"/>
                    <w:bottom w:val="single" w:sz="2" w:space="0" w:color="C1C1C1" w:themeColor="accent6" w:themeTint="99"/>
                    <w:right w:val="nil"/>
                  </w:tcBorders>
                  <w:shd w:val="clear" w:color="auto" w:fill="auto"/>
                </w:tcPr>
                <w:p w14:paraId="503FE354" w14:textId="77777777" w:rsidR="00D12F9D" w:rsidRPr="00027624" w:rsidRDefault="00D12F9D" w:rsidP="00D12F9D">
                  <w:pPr>
                    <w:pStyle w:val="TableTextLeft"/>
                    <w:keepLines/>
                    <w:jc w:val="center"/>
                    <w:rPr>
                      <w:szCs w:val="18"/>
                    </w:rPr>
                  </w:pPr>
                  <w:r w:rsidRPr="00027624">
                    <w:rPr>
                      <w:szCs w:val="18"/>
                    </w:rPr>
                    <w:t>Nil</w:t>
                  </w:r>
                </w:p>
              </w:tc>
            </w:tr>
            <w:tr w:rsidR="00D12F9D" w:rsidRPr="00027624" w14:paraId="106FED7D" w14:textId="77777777" w:rsidTr="00AC6F8F">
              <w:trPr>
                <w:trHeight w:val="395"/>
              </w:trPr>
              <w:tc>
                <w:tcPr>
                  <w:tcW w:w="1165" w:type="dxa"/>
                  <w:tcBorders>
                    <w:top w:val="single" w:sz="2" w:space="0" w:color="C1C1C1" w:themeColor="accent6" w:themeTint="99"/>
                    <w:left w:val="nil"/>
                    <w:bottom w:val="single" w:sz="2" w:space="0" w:color="C1C1C1" w:themeColor="accent6" w:themeTint="99"/>
                    <w:right w:val="single" w:sz="2" w:space="0" w:color="C1C1C1" w:themeColor="accent6" w:themeTint="99"/>
                  </w:tcBorders>
                  <w:shd w:val="clear" w:color="auto" w:fill="auto"/>
                  <w:hideMark/>
                </w:tcPr>
                <w:p w14:paraId="42E6892C" w14:textId="2FB77AB4" w:rsidR="00D12F9D" w:rsidRPr="00027624" w:rsidRDefault="00D12F9D" w:rsidP="00555836">
                  <w:pPr>
                    <w:pStyle w:val="TableTextLeft"/>
                    <w:keepLines/>
                    <w:jc w:val="center"/>
                    <w:rPr>
                      <w:szCs w:val="18"/>
                    </w:rPr>
                  </w:pPr>
                  <w:r w:rsidRPr="00027624">
                    <w:rPr>
                      <w:szCs w:val="18"/>
                    </w:rPr>
                    <w:t>27,</w:t>
                  </w:r>
                  <w:r w:rsidR="00555836">
                    <w:rPr>
                      <w:szCs w:val="18"/>
                    </w:rPr>
                    <w:t>737</w:t>
                  </w:r>
                  <w:r w:rsidRPr="00027624">
                    <w:rPr>
                      <w:szCs w:val="18"/>
                    </w:rPr>
                    <w:t xml:space="preserve"> to 70,</w:t>
                  </w:r>
                  <w:r w:rsidR="00555836">
                    <w:rPr>
                      <w:szCs w:val="18"/>
                    </w:rPr>
                    <w:t>099</w:t>
                  </w:r>
                  <w:r w:rsidRPr="00027624">
                    <w:rPr>
                      <w:szCs w:val="18"/>
                    </w:rPr>
                    <w:t xml:space="preserve"> (50% taper)</w:t>
                  </w:r>
                </w:p>
              </w:tc>
              <w:tc>
                <w:tcPr>
                  <w:tcW w:w="1327"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hideMark/>
                </w:tcPr>
                <w:p w14:paraId="2129304F" w14:textId="434F9BC3" w:rsidR="00D12F9D" w:rsidRPr="00027624" w:rsidRDefault="00D12F9D" w:rsidP="00D12F9D">
                  <w:pPr>
                    <w:pStyle w:val="TableTextLeft"/>
                    <w:keepLines/>
                    <w:jc w:val="center"/>
                    <w:rPr>
                      <w:szCs w:val="18"/>
                    </w:rPr>
                  </w:pPr>
                  <w:r w:rsidRPr="00027624">
                    <w:rPr>
                      <w:szCs w:val="18"/>
                    </w:rPr>
                    <w:t>5</w:t>
                  </w:r>
                  <w:r w:rsidR="00555836">
                    <w:rPr>
                      <w:szCs w:val="18"/>
                    </w:rPr>
                    <w:t>0,500 to 171,535 (50 per cent</w:t>
                  </w:r>
                  <w:r w:rsidRPr="00027624">
                    <w:rPr>
                      <w:szCs w:val="18"/>
                    </w:rPr>
                    <w:t xml:space="preserve"> taper)</w:t>
                  </w:r>
                </w:p>
              </w:tc>
              <w:tc>
                <w:tcPr>
                  <w:tcW w:w="1606"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442EF993" w14:textId="77777777" w:rsidR="00D12F9D" w:rsidRPr="00027624" w:rsidRDefault="00D12F9D" w:rsidP="00D12F9D">
                  <w:pPr>
                    <w:pStyle w:val="TableTextLeft"/>
                    <w:keepLines/>
                    <w:jc w:val="center"/>
                    <w:rPr>
                      <w:szCs w:val="18"/>
                    </w:rPr>
                  </w:pPr>
                  <w:r w:rsidRPr="00027624">
                    <w:rPr>
                      <w:szCs w:val="18"/>
                    </w:rPr>
                    <w:t>Outside green box, inside blue line</w:t>
                  </w:r>
                </w:p>
              </w:tc>
              <w:tc>
                <w:tcPr>
                  <w:tcW w:w="1041"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5929630E" w14:textId="77777777" w:rsidR="00D12F9D" w:rsidRPr="00027624" w:rsidRDefault="00D12F9D" w:rsidP="00D12F9D">
                  <w:pPr>
                    <w:pStyle w:val="TableTextLeft"/>
                    <w:keepLines/>
                    <w:jc w:val="center"/>
                    <w:rPr>
                      <w:szCs w:val="18"/>
                    </w:rPr>
                  </w:pPr>
                  <w:r w:rsidRPr="00027624">
                    <w:rPr>
                      <w:szCs w:val="18"/>
                    </w:rPr>
                    <w:t>52.25</w:t>
                  </w:r>
                </w:p>
              </w:tc>
              <w:tc>
                <w:tcPr>
                  <w:tcW w:w="1953"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23C9E415" w14:textId="77777777" w:rsidR="00D12F9D" w:rsidRPr="00027624" w:rsidRDefault="00D12F9D" w:rsidP="00D12F9D">
                  <w:pPr>
                    <w:pStyle w:val="TableTextLeft"/>
                    <w:keepLines/>
                    <w:jc w:val="center"/>
                    <w:rPr>
                      <w:szCs w:val="18"/>
                    </w:rPr>
                  </w:pPr>
                  <w:r w:rsidRPr="00027624">
                    <w:rPr>
                      <w:szCs w:val="18"/>
                    </w:rPr>
                    <w:t>Nil</w:t>
                  </w:r>
                </w:p>
              </w:tc>
              <w:tc>
                <w:tcPr>
                  <w:tcW w:w="1695" w:type="dxa"/>
                  <w:tcBorders>
                    <w:top w:val="single" w:sz="2" w:space="0" w:color="C1C1C1" w:themeColor="accent6" w:themeTint="99"/>
                    <w:left w:val="single" w:sz="2" w:space="0" w:color="C1C1C1" w:themeColor="accent6" w:themeTint="99"/>
                    <w:bottom w:val="single" w:sz="2" w:space="0" w:color="C1C1C1" w:themeColor="accent6" w:themeTint="99"/>
                    <w:right w:val="nil"/>
                  </w:tcBorders>
                  <w:shd w:val="clear" w:color="auto" w:fill="auto"/>
                </w:tcPr>
                <w:p w14:paraId="133FC4DC" w14:textId="77777777" w:rsidR="00D12F9D" w:rsidRPr="00027624" w:rsidRDefault="00D12F9D" w:rsidP="00D12F9D">
                  <w:pPr>
                    <w:pStyle w:val="TableTextLeft"/>
                    <w:keepLines/>
                    <w:jc w:val="center"/>
                    <w:rPr>
                      <w:szCs w:val="18"/>
                    </w:rPr>
                  </w:pPr>
                  <w:r w:rsidRPr="00027624">
                    <w:rPr>
                      <w:szCs w:val="18"/>
                    </w:rPr>
                    <w:t>Partial payment (Government subsidy available)</w:t>
                  </w:r>
                </w:p>
              </w:tc>
            </w:tr>
            <w:tr w:rsidR="00D12F9D" w:rsidRPr="00027624" w14:paraId="6190F851" w14:textId="77777777" w:rsidTr="00AC6F8F">
              <w:trPr>
                <w:cnfStyle w:val="000000100000" w:firstRow="0" w:lastRow="0" w:firstColumn="0" w:lastColumn="0" w:oddVBand="0" w:evenVBand="0" w:oddHBand="1" w:evenHBand="0" w:firstRowFirstColumn="0" w:firstRowLastColumn="0" w:lastRowFirstColumn="0" w:lastRowLastColumn="0"/>
                <w:trHeight w:val="1400"/>
              </w:trPr>
              <w:tc>
                <w:tcPr>
                  <w:tcW w:w="1165" w:type="dxa"/>
                  <w:tcBorders>
                    <w:top w:val="single" w:sz="2" w:space="0" w:color="C1C1C1" w:themeColor="accent6" w:themeTint="99"/>
                    <w:left w:val="nil"/>
                    <w:bottom w:val="single" w:sz="2" w:space="0" w:color="C1C1C1" w:themeColor="accent6" w:themeTint="99"/>
                    <w:right w:val="single" w:sz="2" w:space="0" w:color="C1C1C1" w:themeColor="accent6" w:themeTint="99"/>
                  </w:tcBorders>
                  <w:shd w:val="clear" w:color="auto" w:fill="auto"/>
                  <w:hideMark/>
                </w:tcPr>
                <w:p w14:paraId="30F6856A" w14:textId="0C1B9A24" w:rsidR="00D12F9D" w:rsidRPr="00027624" w:rsidRDefault="00D12F9D" w:rsidP="00555836">
                  <w:pPr>
                    <w:pStyle w:val="TableTextLeft"/>
                    <w:keepLines/>
                    <w:jc w:val="center"/>
                    <w:rPr>
                      <w:szCs w:val="18"/>
                    </w:rPr>
                  </w:pPr>
                  <w:r w:rsidRPr="00027624">
                    <w:rPr>
                      <w:szCs w:val="18"/>
                    </w:rPr>
                    <w:t>70,</w:t>
                  </w:r>
                  <w:r w:rsidR="00555836">
                    <w:rPr>
                      <w:szCs w:val="18"/>
                    </w:rPr>
                    <w:t>099</w:t>
                  </w:r>
                  <w:r w:rsidRPr="00027624">
                    <w:rPr>
                      <w:szCs w:val="18"/>
                    </w:rPr>
                    <w:t xml:space="preserve"> and above</w:t>
                  </w:r>
                </w:p>
              </w:tc>
              <w:tc>
                <w:tcPr>
                  <w:tcW w:w="1327"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hideMark/>
                </w:tcPr>
                <w:p w14:paraId="7C690567" w14:textId="129D70F1" w:rsidR="00D12F9D" w:rsidRPr="00027624" w:rsidRDefault="00D12F9D" w:rsidP="00D12F9D">
                  <w:pPr>
                    <w:pStyle w:val="TableTextLeft"/>
                    <w:keepLines/>
                    <w:jc w:val="center"/>
                    <w:rPr>
                      <w:szCs w:val="18"/>
                    </w:rPr>
                  </w:pPr>
                  <w:r w:rsidRPr="00027624">
                    <w:rPr>
                      <w:szCs w:val="18"/>
                    </w:rPr>
                    <w:t>1</w:t>
                  </w:r>
                  <w:r w:rsidR="00555836">
                    <w:rPr>
                      <w:szCs w:val="18"/>
                    </w:rPr>
                    <w:t>71,535</w:t>
                  </w:r>
                  <w:r w:rsidRPr="00027624">
                    <w:rPr>
                      <w:szCs w:val="18"/>
                    </w:rPr>
                    <w:t xml:space="preserve"> and above</w:t>
                  </w:r>
                </w:p>
              </w:tc>
              <w:tc>
                <w:tcPr>
                  <w:tcW w:w="1606"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64012EB6" w14:textId="77777777" w:rsidR="00D12F9D" w:rsidRPr="00027624" w:rsidRDefault="00D12F9D" w:rsidP="00D12F9D">
                  <w:pPr>
                    <w:pStyle w:val="TableTextLeft"/>
                    <w:keepLines/>
                    <w:jc w:val="center"/>
                    <w:rPr>
                      <w:szCs w:val="18"/>
                    </w:rPr>
                  </w:pPr>
                  <w:r w:rsidRPr="00027624">
                    <w:rPr>
                      <w:szCs w:val="18"/>
                    </w:rPr>
                    <w:t>Outside blue line</w:t>
                  </w:r>
                </w:p>
              </w:tc>
              <w:tc>
                <w:tcPr>
                  <w:tcW w:w="1041"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1C69E458" w14:textId="77777777" w:rsidR="00D12F9D" w:rsidRPr="00027624" w:rsidRDefault="00D12F9D" w:rsidP="00D12F9D">
                  <w:pPr>
                    <w:pStyle w:val="TableTextLeft"/>
                    <w:keepLines/>
                    <w:jc w:val="center"/>
                    <w:rPr>
                      <w:szCs w:val="18"/>
                    </w:rPr>
                  </w:pPr>
                  <w:r w:rsidRPr="00027624">
                    <w:rPr>
                      <w:szCs w:val="18"/>
                    </w:rPr>
                    <w:t>52.25</w:t>
                  </w:r>
                </w:p>
              </w:tc>
              <w:tc>
                <w:tcPr>
                  <w:tcW w:w="1953" w:type="dxa"/>
                  <w:tcBorders>
                    <w:top w:val="single" w:sz="2" w:space="0" w:color="C1C1C1" w:themeColor="accent6" w:themeTint="99"/>
                    <w:left w:val="single" w:sz="2" w:space="0" w:color="C1C1C1" w:themeColor="accent6" w:themeTint="99"/>
                    <w:bottom w:val="single" w:sz="2" w:space="0" w:color="C1C1C1" w:themeColor="accent6" w:themeTint="99"/>
                    <w:right w:val="single" w:sz="2" w:space="0" w:color="C1C1C1" w:themeColor="accent6" w:themeTint="99"/>
                  </w:tcBorders>
                  <w:shd w:val="clear" w:color="auto" w:fill="auto"/>
                </w:tcPr>
                <w:p w14:paraId="2569D0D9" w14:textId="77777777" w:rsidR="00D12F9D" w:rsidRPr="00027624" w:rsidRDefault="00D12F9D" w:rsidP="00D12F9D">
                  <w:pPr>
                    <w:pStyle w:val="TableTextLeft"/>
                    <w:keepLines/>
                    <w:jc w:val="center"/>
                    <w:rPr>
                      <w:szCs w:val="18"/>
                    </w:rPr>
                  </w:pPr>
                  <w:r w:rsidRPr="00027624">
                    <w:rPr>
                      <w:szCs w:val="18"/>
                    </w:rPr>
                    <w:t xml:space="preserve">Up to 259.15, </w:t>
                  </w:r>
                  <w:r w:rsidRPr="00027624">
                    <w:rPr>
                      <w:szCs w:val="18"/>
                    </w:rPr>
                    <w:br/>
                    <w:t>up to an annual cap of 28,087.41 per year or lifetime cap of 67,409.85 home and residential care combined</w:t>
                  </w:r>
                </w:p>
              </w:tc>
              <w:tc>
                <w:tcPr>
                  <w:tcW w:w="1695" w:type="dxa"/>
                  <w:tcBorders>
                    <w:top w:val="single" w:sz="2" w:space="0" w:color="C1C1C1" w:themeColor="accent6" w:themeTint="99"/>
                    <w:left w:val="single" w:sz="2" w:space="0" w:color="C1C1C1" w:themeColor="accent6" w:themeTint="99"/>
                    <w:bottom w:val="single" w:sz="2" w:space="0" w:color="C1C1C1" w:themeColor="accent6" w:themeTint="99"/>
                    <w:right w:val="nil"/>
                  </w:tcBorders>
                  <w:shd w:val="clear" w:color="auto" w:fill="auto"/>
                </w:tcPr>
                <w:p w14:paraId="677DD63E" w14:textId="77777777" w:rsidR="00D12F9D" w:rsidRPr="00027624" w:rsidRDefault="00D12F9D" w:rsidP="00D12F9D">
                  <w:pPr>
                    <w:pStyle w:val="TableTextLeft"/>
                    <w:keepLines/>
                    <w:jc w:val="center"/>
                    <w:rPr>
                      <w:szCs w:val="18"/>
                    </w:rPr>
                  </w:pPr>
                  <w:r w:rsidRPr="00027624">
                    <w:rPr>
                      <w:szCs w:val="18"/>
                    </w:rPr>
                    <w:t>Full cost payable</w:t>
                  </w:r>
                </w:p>
              </w:tc>
            </w:tr>
          </w:tbl>
          <w:p w14:paraId="11931591" w14:textId="77777777" w:rsidR="00D12F9D" w:rsidRPr="00027624" w:rsidRDefault="00D12F9D" w:rsidP="00010DDE">
            <w:pPr>
              <w:pStyle w:val="ChartorTableNote"/>
              <w:keepLines/>
              <w:spacing w:after="120"/>
            </w:pPr>
            <w:r w:rsidRPr="00027624">
              <w:t>Source:</w:t>
            </w:r>
            <w:r w:rsidRPr="00027624">
              <w:fldChar w:fldCharType="begin"/>
            </w:r>
            <w:r w:rsidRPr="00027624">
              <w:instrText xml:space="preserve"> CITATION Dep203 \l 3081 </w:instrText>
            </w:r>
            <w:r w:rsidRPr="00027624">
              <w:fldChar w:fldCharType="separate"/>
            </w:r>
            <w:r w:rsidR="00E83F6E">
              <w:rPr>
                <w:noProof/>
              </w:rPr>
              <w:t xml:space="preserve"> (Department of Health, 2020a)</w:t>
            </w:r>
            <w:r w:rsidRPr="00027624">
              <w:fldChar w:fldCharType="end"/>
            </w:r>
            <w:r w:rsidRPr="00027624">
              <w:t>.</w:t>
            </w:r>
          </w:p>
          <w:p w14:paraId="52AF22DB" w14:textId="77777777" w:rsidR="00D12F9D" w:rsidRPr="00027624" w:rsidRDefault="00D12F9D" w:rsidP="00D12F9D">
            <w:pPr>
              <w:pStyle w:val="BoxText"/>
              <w:keepNext/>
              <w:rPr>
                <w:b/>
              </w:rPr>
            </w:pPr>
            <w:r w:rsidRPr="00027624">
              <w:rPr>
                <w:b/>
              </w:rPr>
              <w:t>Fee caps</w:t>
            </w:r>
          </w:p>
          <w:p w14:paraId="23D91AD4" w14:textId="77777777" w:rsidR="00D12F9D" w:rsidRPr="00027624" w:rsidRDefault="00D12F9D" w:rsidP="00D12F9D">
            <w:pPr>
              <w:pStyle w:val="BoxText"/>
            </w:pPr>
            <w:r w:rsidRPr="00027624">
              <w:t>Annual ($28,087.41) and lifetime ($67,409.85) caps on combined means</w:t>
            </w:r>
            <w:r w:rsidRPr="00027624">
              <w:noBreakHyphen/>
              <w:t xml:space="preserve">tested care fees in home and residential care currently protect those who may require aged care services for long periods of time, from very high costs. These caps are a form of social insurance. Both the Aged Care Financing Authority and the </w:t>
            </w:r>
            <w:r w:rsidRPr="00027624">
              <w:rPr>
                <w:i/>
              </w:rPr>
              <w:t>Legislated Review of Aged Care 2017</w:t>
            </w:r>
            <w:r w:rsidRPr="00027624">
              <w:t xml:space="preserve"> recommended the caps be removed</w:t>
            </w:r>
            <w:sdt>
              <w:sdtPr>
                <w:id w:val="-1436822769"/>
                <w:citation/>
              </w:sdtPr>
              <w:sdtEndPr/>
              <w:sdtContent>
                <w:r w:rsidR="008F172D">
                  <w:fldChar w:fldCharType="begin"/>
                </w:r>
                <w:r w:rsidR="008F172D">
                  <w:instrText xml:space="preserve"> CITATION ACF191 \l 3081  \m Dep17</w:instrText>
                </w:r>
                <w:r w:rsidR="008F172D">
                  <w:fldChar w:fldCharType="separate"/>
                </w:r>
                <w:r w:rsidR="00E83F6E">
                  <w:rPr>
                    <w:noProof/>
                  </w:rPr>
                  <w:t xml:space="preserve"> (Aged Care Financing Authority, 2019; Tune, 2017)</w:t>
                </w:r>
                <w:r w:rsidR="008F172D">
                  <w:fldChar w:fldCharType="end"/>
                </w:r>
              </w:sdtContent>
            </w:sdt>
            <w:r w:rsidRPr="00027624">
              <w:t>.</w:t>
            </w:r>
          </w:p>
          <w:p w14:paraId="5AE706BD" w14:textId="77777777" w:rsidR="00D12F9D" w:rsidRPr="00027624" w:rsidRDefault="00D12F9D" w:rsidP="00D12F9D">
            <w:r w:rsidRPr="00027624">
              <w:t xml:space="preserve">Currently, only a small </w:t>
            </w:r>
            <w:r w:rsidRPr="00027624">
              <w:rPr>
                <w:rFonts w:eastAsiaTheme="minorEastAsia"/>
              </w:rPr>
              <w:t>number</w:t>
            </w:r>
            <w:r w:rsidRPr="00027624">
              <w:t xml:space="preserve"> of people (1.8 per cent of people in residential care, 2018</w:t>
            </w:r>
            <w:r w:rsidRPr="00027624">
              <w:noBreakHyphen/>
              <w:t>19) reach the annual cap, and even fewer reach the lifetime cap (0.8 per cent of people in home and residential care in 2018</w:t>
            </w:r>
            <w:r w:rsidRPr="00027624">
              <w:noBreakHyphen/>
              <w:t>19).</w:t>
            </w:r>
            <w:r w:rsidRPr="00027624">
              <w:rPr>
                <w:rStyle w:val="FootnoteReference"/>
              </w:rPr>
              <w:footnoteReference w:id="304"/>
            </w:r>
          </w:p>
        </w:tc>
      </w:tr>
    </w:tbl>
    <w:p w14:paraId="7FF5A094" w14:textId="77777777" w:rsidR="002A2FAE" w:rsidRPr="00027624" w:rsidRDefault="002A2FAE" w:rsidP="002A2FAE">
      <w:pPr>
        <w:pStyle w:val="ChartorTableNote"/>
      </w:pPr>
    </w:p>
    <w:tbl>
      <w:tblPr>
        <w:tblStyle w:val="TableGrid"/>
        <w:tblpPr w:leftFromText="180" w:rightFromText="180" w:vertAnchor="text" w:tblpY="1"/>
        <w:tblOverlap w:val="never"/>
        <w:tblW w:w="5000" w:type="pct"/>
        <w:tblLook w:val="04A0" w:firstRow="1" w:lastRow="0" w:firstColumn="1" w:lastColumn="0" w:noHBand="0" w:noVBand="1"/>
      </w:tblPr>
      <w:tblGrid>
        <w:gridCol w:w="9070"/>
      </w:tblGrid>
      <w:tr w:rsidR="002A2FAE" w:rsidRPr="00027624" w14:paraId="2F2B3480" w14:textId="77777777" w:rsidTr="002A2FAE">
        <w:tc>
          <w:tcPr>
            <w:tcW w:w="5000" w:type="pct"/>
            <w:shd w:val="clear" w:color="auto" w:fill="FFF8EA"/>
          </w:tcPr>
          <w:p w14:paraId="0D1E5CA8" w14:textId="77777777" w:rsidR="002A2FAE" w:rsidRPr="00027624" w:rsidRDefault="002A2FAE" w:rsidP="00325A8D">
            <w:pPr>
              <w:pStyle w:val="BoxHeading"/>
              <w:numPr>
                <w:ilvl w:val="5"/>
                <w:numId w:val="13"/>
              </w:numPr>
            </w:pPr>
            <w:bookmarkStart w:id="4147" w:name="_Ref41661128"/>
            <w:r w:rsidRPr="00027624">
              <w:t>Using retirement income and assets to cover aged care costs</w:t>
            </w:r>
            <w:bookmarkEnd w:id="4147"/>
          </w:p>
          <w:p w14:paraId="60D55B7E" w14:textId="77777777" w:rsidR="002A2FAE" w:rsidRPr="00027624" w:rsidRDefault="002A2FAE" w:rsidP="002A2FAE">
            <w:pPr>
              <w:pStyle w:val="BoxText"/>
            </w:pPr>
            <w:r w:rsidRPr="00027624">
              <w:t>The costs associated with residential care accommodation can be paid as a refundable lump</w:t>
            </w:r>
            <w:r w:rsidR="00A8443E" w:rsidRPr="00027624">
              <w:noBreakHyphen/>
            </w:r>
            <w:r w:rsidRPr="00027624">
              <w:t>sum deposit (RAD), as a non</w:t>
            </w:r>
            <w:r w:rsidR="00A8443E" w:rsidRPr="00027624">
              <w:noBreakHyphen/>
            </w:r>
            <w:r w:rsidRPr="00027624">
              <w:t xml:space="preserve">refundable ongoing Daily Accommodation Payment (DAP) or a combination of both. Residential aged care providers often prefer RADs because they can be used for capital financing. But providers can no longer </w:t>
            </w:r>
            <w:r w:rsidRPr="00027624">
              <w:rPr>
                <w:i/>
              </w:rPr>
              <w:t>require</w:t>
            </w:r>
            <w:r w:rsidRPr="00027624">
              <w:t xml:space="preserve"> consumers to pay a RAD. Increasingly, people are choosing to pay their accommodation fees daily, rather than as a lump sum</w:t>
            </w:r>
            <w:r w:rsidRPr="00027624">
              <w:fldChar w:fldCharType="begin"/>
            </w:r>
            <w:r w:rsidRPr="00027624">
              <w:instrText xml:space="preserve"> CITATION ACF191 \l 3081 </w:instrText>
            </w:r>
            <w:r w:rsidRPr="00027624">
              <w:fldChar w:fldCharType="separate"/>
            </w:r>
            <w:r w:rsidR="00E83F6E">
              <w:rPr>
                <w:noProof/>
              </w:rPr>
              <w:t xml:space="preserve"> (Aged Care Financing Authority, 2019)</w:t>
            </w:r>
            <w:r w:rsidRPr="00027624">
              <w:fldChar w:fldCharType="end"/>
            </w:r>
            <w:r w:rsidRPr="00027624">
              <w:t>. In 2017</w:t>
            </w:r>
            <w:r w:rsidR="00A8443E" w:rsidRPr="00027624">
              <w:noBreakHyphen/>
            </w:r>
            <w:r w:rsidRPr="00027624">
              <w:t>18, 73 per cent of the aged care population paid their accommodation fees by either a DAP or a combination of the DAP and RAD</w:t>
            </w:r>
            <w:r w:rsidRPr="00027624">
              <w:fldChar w:fldCharType="begin"/>
            </w:r>
            <w:r w:rsidRPr="00027624">
              <w:instrText xml:space="preserve">CITATION ACF191 \p 120 \l 3081 </w:instrText>
            </w:r>
            <w:r w:rsidRPr="00027624">
              <w:fldChar w:fldCharType="separate"/>
            </w:r>
            <w:r w:rsidR="00E83F6E">
              <w:rPr>
                <w:noProof/>
              </w:rPr>
              <w:t xml:space="preserve"> (Aged Care Financing Authority, 2019, p. 120)</w:t>
            </w:r>
            <w:r w:rsidRPr="00027624">
              <w:fldChar w:fldCharType="end"/>
            </w:r>
            <w:r w:rsidRPr="00027624">
              <w:t xml:space="preserve">. </w:t>
            </w:r>
          </w:p>
          <w:p w14:paraId="7423CF08" w14:textId="77777777" w:rsidR="002A2FAE" w:rsidRPr="00027624" w:rsidRDefault="002A2FAE" w:rsidP="002A2FAE">
            <w:pPr>
              <w:pStyle w:val="BoxText"/>
            </w:pPr>
            <w:r w:rsidRPr="00027624">
              <w:t>People have a range of options for funding aged care, depending on their total means and how their assets are invested. Stakeholders considered equity release and private insurance were underutilised options that are likely to be more efficient than precautionary saving. Some academics are currently exploring the viability of long</w:t>
            </w:r>
            <w:r w:rsidR="00A8443E" w:rsidRPr="00027624">
              <w:noBreakHyphen/>
            </w:r>
            <w:r w:rsidRPr="00027624">
              <w:t>term care insurance in Australia</w:t>
            </w:r>
            <w:r w:rsidRPr="00027624">
              <w:fldChar w:fldCharType="begin"/>
            </w:r>
            <w:r w:rsidRPr="00027624">
              <w:instrText xml:space="preserve">CITATION Nat20 \m CEP19 \p 32 \l 3081 </w:instrText>
            </w:r>
            <w:r w:rsidRPr="00027624">
              <w:fldChar w:fldCharType="separate"/>
            </w:r>
            <w:r w:rsidR="00E83F6E">
              <w:rPr>
                <w:noProof/>
              </w:rPr>
              <w:t xml:space="preserve"> (National Seniors Australia, 2020; CEPAR, 2019, p. 32)</w:t>
            </w:r>
            <w:r w:rsidRPr="00027624">
              <w:fldChar w:fldCharType="end"/>
            </w:r>
            <w:r w:rsidRPr="00027624">
              <w:t>.</w:t>
            </w:r>
          </w:p>
          <w:p w14:paraId="1CCA5314" w14:textId="77777777" w:rsidR="002A2FAE" w:rsidRPr="00027624" w:rsidRDefault="002A2FAE" w:rsidP="002A2FAE">
            <w:pPr>
              <w:pStyle w:val="BoxText"/>
            </w:pPr>
            <w:r w:rsidRPr="00027624">
              <w:t>If people are able to meet all their aged care costs using regular payments, having a steady income stream may give them a greater degree of comfort that they can meet these costs. Private income streams can be created by drawing down financial assets (such as superannuation), using housing assets through equity release, or (if available) purchasing long</w:t>
            </w:r>
            <w:r w:rsidR="00A8443E" w:rsidRPr="00027624">
              <w:noBreakHyphen/>
            </w:r>
            <w:r w:rsidRPr="00027624">
              <w:t xml:space="preserve">term care insurance. </w:t>
            </w:r>
          </w:p>
          <w:p w14:paraId="18E1F2C5" w14:textId="77777777" w:rsidR="002A2FAE" w:rsidRPr="00027624" w:rsidRDefault="002A2FAE" w:rsidP="008F172D">
            <w:pPr>
              <w:pStyle w:val="BoxText"/>
            </w:pPr>
            <w:r w:rsidRPr="00027624">
              <w:t>However, most people in home and residential care are full</w:t>
            </w:r>
            <w:r w:rsidR="00A8443E" w:rsidRPr="00027624">
              <w:noBreakHyphen/>
            </w:r>
            <w:r w:rsidRPr="00027624">
              <w:t>rate Age Pension recipients. In June 2016, 82 per cent of people in home care and 60 per cent of new residential care admissions were full</w:t>
            </w:r>
            <w:r w:rsidR="00A8443E" w:rsidRPr="00027624">
              <w:noBreakHyphen/>
            </w:r>
            <w:r w:rsidRPr="00027624">
              <w:t>rate Age Pension recipients</w:t>
            </w:r>
            <w:sdt>
              <w:sdtPr>
                <w:id w:val="-242957081"/>
                <w:citation/>
              </w:sdtPr>
              <w:sdtEndPr/>
              <w:sdtContent>
                <w:r w:rsidR="008F172D">
                  <w:fldChar w:fldCharType="begin"/>
                </w:r>
                <w:r w:rsidR="008F172D">
                  <w:instrText xml:space="preserve">CITATION Dep17 \p 160 \l 3081 </w:instrText>
                </w:r>
                <w:r w:rsidR="008F172D">
                  <w:fldChar w:fldCharType="separate"/>
                </w:r>
                <w:r w:rsidR="00E83F6E">
                  <w:rPr>
                    <w:noProof/>
                  </w:rPr>
                  <w:t xml:space="preserve"> (Tune, 2017, p. 160)</w:t>
                </w:r>
                <w:r w:rsidR="008F172D">
                  <w:fldChar w:fldCharType="end"/>
                </w:r>
              </w:sdtContent>
            </w:sdt>
            <w:r w:rsidRPr="00027624">
              <w:t xml:space="preserve">. As the superannuation system matures and people retire with more savings, future generations may be better able to contribute to their aged care costs. </w:t>
            </w:r>
          </w:p>
        </w:tc>
      </w:tr>
    </w:tbl>
    <w:p w14:paraId="2789F089" w14:textId="77777777" w:rsidR="002A2FAE" w:rsidRPr="00027624" w:rsidRDefault="002A2FAE" w:rsidP="002A2FAE">
      <w:pPr>
        <w:pStyle w:val="Heading4"/>
      </w:pPr>
      <w:r w:rsidRPr="00027624">
        <w:t>Complexity and defaults</w:t>
      </w:r>
    </w:p>
    <w:p w14:paraId="71DD9008" w14:textId="77777777" w:rsidR="002A2FAE" w:rsidRPr="00027624" w:rsidRDefault="002A2FAE" w:rsidP="002A2FAE">
      <w:pPr>
        <w:spacing w:before="0" w:after="160" w:line="259" w:lineRule="auto"/>
      </w:pPr>
      <w:r w:rsidRPr="00027624">
        <w:t>As well as the risks and uncertainty already discussed, retirement involves multiple decisions and difficult trade</w:t>
      </w:r>
      <w:r w:rsidR="00A8443E" w:rsidRPr="00027624">
        <w:noBreakHyphen/>
      </w:r>
      <w:r w:rsidRPr="00027624">
        <w:t>offs. At retirement, people face decisions around:</w:t>
      </w:r>
    </w:p>
    <w:p w14:paraId="5BEB820F" w14:textId="77777777" w:rsidR="002A2FAE" w:rsidRPr="00027624" w:rsidRDefault="002A2FAE" w:rsidP="00931935">
      <w:pPr>
        <w:pStyle w:val="Bullet"/>
      </w:pPr>
      <w:r w:rsidRPr="00027624">
        <w:t>When to retire</w:t>
      </w:r>
    </w:p>
    <w:p w14:paraId="74E95CBA" w14:textId="77777777" w:rsidR="002A2FAE" w:rsidRPr="00027624" w:rsidRDefault="002A2FAE" w:rsidP="002A2FAE">
      <w:pPr>
        <w:pStyle w:val="Bullet"/>
      </w:pPr>
      <w:r w:rsidRPr="00027624">
        <w:t>Whether to keep their money in the superannuation system</w:t>
      </w:r>
    </w:p>
    <w:p w14:paraId="37973F43" w14:textId="77777777" w:rsidR="002A2FAE" w:rsidRPr="00027624" w:rsidRDefault="002A2FAE" w:rsidP="002A2FAE">
      <w:pPr>
        <w:pStyle w:val="Bullet"/>
      </w:pPr>
      <w:r w:rsidRPr="00027624">
        <w:t>How to invest their savings</w:t>
      </w:r>
    </w:p>
    <w:p w14:paraId="4062B233" w14:textId="77777777" w:rsidR="002A2FAE" w:rsidRPr="00027624" w:rsidRDefault="002A2FAE" w:rsidP="002A2FAE">
      <w:pPr>
        <w:pStyle w:val="Bullet"/>
      </w:pPr>
      <w:r w:rsidRPr="00027624">
        <w:t>How to draw down their savings</w:t>
      </w:r>
    </w:p>
    <w:p w14:paraId="255B2599" w14:textId="77777777" w:rsidR="002A2FAE" w:rsidRPr="00027624" w:rsidRDefault="002A2FAE" w:rsidP="002A2FAE">
      <w:pPr>
        <w:pStyle w:val="Bullet"/>
      </w:pPr>
      <w:r w:rsidRPr="00027624">
        <w:t xml:space="preserve">Their future need to meet any lumpy expenditure </w:t>
      </w:r>
    </w:p>
    <w:p w14:paraId="34BE149B" w14:textId="272DC88A" w:rsidR="002A2FAE" w:rsidRPr="00027624" w:rsidRDefault="002A2FAE" w:rsidP="002A2FAE">
      <w:r w:rsidRPr="00027624">
        <w:t>Retirees have very little opportunity to learn from past experience when making these decisions, and it may be some time for the consequences of decisions to be realised. This makes it almost impossible for retirees to determine an optimal retirement income strategy on their own (</w:t>
      </w:r>
      <w:r w:rsidRPr="00027624">
        <w:fldChar w:fldCharType="begin"/>
      </w:r>
      <w:r w:rsidRPr="00027624">
        <w:instrText xml:space="preserve"> REF _Ref35255005 \r \h  \* MERGEFORMAT </w:instrText>
      </w:r>
      <w:r w:rsidRPr="00027624">
        <w:fldChar w:fldCharType="separate"/>
      </w:r>
      <w:r w:rsidR="00891058">
        <w:t>Box 5A-8</w:t>
      </w:r>
      <w:r w:rsidRPr="00027624">
        <w:fldChar w:fldCharType="end"/>
      </w:r>
      <w:r w:rsidRPr="00027624">
        <w:t xml:space="preserve">). Very few people seek help when making decisions (see </w:t>
      </w:r>
      <w:r w:rsidRPr="00027624">
        <w:rPr>
          <w:i/>
        </w:rPr>
        <w:fldChar w:fldCharType="begin"/>
      </w:r>
      <w:r w:rsidRPr="00027624">
        <w:rPr>
          <w:i/>
        </w:rPr>
        <w:instrText xml:space="preserve"> REF _Ref43128472 \h  \* MERGEFORMAT </w:instrText>
      </w:r>
      <w:r w:rsidRPr="00027624">
        <w:rPr>
          <w:i/>
        </w:rPr>
      </w:r>
      <w:r w:rsidRPr="00027624">
        <w:rPr>
          <w:i/>
        </w:rPr>
        <w:fldChar w:fldCharType="separate"/>
      </w:r>
      <w:r w:rsidR="00891058" w:rsidRPr="00891058">
        <w:rPr>
          <w:i/>
        </w:rPr>
        <w:t>Improving outcomes</w:t>
      </w:r>
      <w:r w:rsidRPr="00027624">
        <w:rPr>
          <w:i/>
        </w:rPr>
        <w:fldChar w:fldCharType="end"/>
      </w:r>
      <w:r w:rsidRPr="00027624">
        <w:t>, below).</w:t>
      </w:r>
    </w:p>
    <w:p w14:paraId="7B2956B8" w14:textId="77777777" w:rsidR="002A2FAE" w:rsidRPr="00027624" w:rsidRDefault="002A2FAE" w:rsidP="002A2FAE">
      <w:r w:rsidRPr="00027624">
        <w:rPr>
          <w:b/>
        </w:rPr>
        <w:t>Interactions with other systems make the retirement income system more complex</w:t>
      </w:r>
      <w:r w:rsidRPr="00027624">
        <w:t>. The retirement income system interacts with many other different systems and rules in complicated ways, including:</w:t>
      </w:r>
    </w:p>
    <w:p w14:paraId="7BF0DDEE" w14:textId="341BE223" w:rsidR="002A2FAE" w:rsidRPr="00027624" w:rsidRDefault="002A2FAE" w:rsidP="00FC7361">
      <w:pPr>
        <w:pStyle w:val="Bullet"/>
        <w:numPr>
          <w:ilvl w:val="0"/>
          <w:numId w:val="35"/>
        </w:numPr>
      </w:pPr>
      <w:r w:rsidRPr="00027624">
        <w:rPr>
          <w:b/>
        </w:rPr>
        <w:t>The aged care system</w:t>
      </w:r>
      <w:r w:rsidRPr="00027624">
        <w:t>. Home support, home care and residential care each have a different means test, which is different again from the Age Pension means test (</w:t>
      </w:r>
      <w:r w:rsidRPr="00027624">
        <w:fldChar w:fldCharType="begin"/>
      </w:r>
      <w:r w:rsidRPr="00027624">
        <w:instrText xml:space="preserve"> REF _Ref35589640 \r \h  \* MERGEFORMAT </w:instrText>
      </w:r>
      <w:r w:rsidRPr="00027624">
        <w:fldChar w:fldCharType="separate"/>
      </w:r>
      <w:r w:rsidR="00891058">
        <w:t>Box 5A-6</w:t>
      </w:r>
      <w:r w:rsidRPr="00027624">
        <w:fldChar w:fldCharType="end"/>
      </w:r>
      <w:r w:rsidRPr="00027624">
        <w:t>)</w:t>
      </w:r>
    </w:p>
    <w:p w14:paraId="627EF4DC" w14:textId="77777777" w:rsidR="002A2FAE" w:rsidRPr="00027624" w:rsidRDefault="002A2FAE" w:rsidP="00FC7361">
      <w:pPr>
        <w:pStyle w:val="Bullet"/>
        <w:numPr>
          <w:ilvl w:val="0"/>
          <w:numId w:val="35"/>
        </w:numPr>
      </w:pPr>
      <w:r w:rsidRPr="00027624">
        <w:rPr>
          <w:b/>
        </w:rPr>
        <w:t>Housing</w:t>
      </w:r>
      <w:r w:rsidRPr="00027624">
        <w:t>. People may need to navigate the Age Pension means test, the Pension Loans Scheme and the downsizer contribution in addition to tax rules such as stamp duty, capital gains tax, land tax and other housing rules</w:t>
      </w:r>
    </w:p>
    <w:p w14:paraId="3B849070" w14:textId="77777777" w:rsidR="002A2FAE" w:rsidRPr="00027624" w:rsidRDefault="002A2FAE" w:rsidP="00FC7361">
      <w:pPr>
        <w:pStyle w:val="Bullet"/>
        <w:numPr>
          <w:ilvl w:val="0"/>
          <w:numId w:val="35"/>
        </w:numPr>
      </w:pPr>
      <w:r w:rsidRPr="00027624">
        <w:rPr>
          <w:b/>
        </w:rPr>
        <w:t>Tax rules</w:t>
      </w:r>
      <w:r w:rsidRPr="00027624">
        <w:t>. Many different tax rules apply, such as to T</w:t>
      </w:r>
      <w:r w:rsidRPr="00027624" w:rsidDel="003A6AC1">
        <w:t xml:space="preserve">ransition to </w:t>
      </w:r>
      <w:r w:rsidRPr="00027624">
        <w:t>R</w:t>
      </w:r>
      <w:r w:rsidRPr="00027624" w:rsidDel="003A6AC1">
        <w:t>etirement</w:t>
      </w:r>
      <w:r w:rsidRPr="00027624">
        <w:t xml:space="preserve"> Income Streams, offsets and rebates, </w:t>
      </w:r>
      <w:r w:rsidR="00404B9D" w:rsidRPr="00027624">
        <w:t>contributions cap</w:t>
      </w:r>
      <w:r w:rsidR="00620C5E" w:rsidRPr="00027624">
        <w:t>s, different Medicare L</w:t>
      </w:r>
      <w:r w:rsidRPr="00027624">
        <w:t>evy thresholds and the tax</w:t>
      </w:r>
      <w:r w:rsidR="00A8443E" w:rsidRPr="00027624">
        <w:noBreakHyphen/>
      </w:r>
      <w:r w:rsidRPr="00027624">
        <w:t>free parts of bona</w:t>
      </w:r>
      <w:r w:rsidR="00A8443E" w:rsidRPr="00027624">
        <w:noBreakHyphen/>
      </w:r>
      <w:r w:rsidRPr="00027624">
        <w:t xml:space="preserve">fide redundancy and approved early retirement scheme payment limits. </w:t>
      </w:r>
    </w:p>
    <w:p w14:paraId="67A5DD78" w14:textId="77777777" w:rsidR="002A2FAE" w:rsidRPr="00027624" w:rsidRDefault="002A2FAE" w:rsidP="00FC7361">
      <w:pPr>
        <w:pStyle w:val="Bullet"/>
        <w:numPr>
          <w:ilvl w:val="0"/>
          <w:numId w:val="35"/>
        </w:numPr>
      </w:pPr>
      <w:r w:rsidRPr="00027624">
        <w:rPr>
          <w:b/>
        </w:rPr>
        <w:t>The social security system</w:t>
      </w:r>
      <w:r w:rsidRPr="00027624">
        <w:t>, including Commonwealth Rent Assistance, FTB, Mobility Allowance, Remote Area Allowance and concession cards.</w:t>
      </w:r>
    </w:p>
    <w:tbl>
      <w:tblPr>
        <w:tblStyle w:val="TableGrid"/>
        <w:tblW w:w="5000" w:type="pct"/>
        <w:tblLook w:val="04A0" w:firstRow="1" w:lastRow="0" w:firstColumn="1" w:lastColumn="0" w:noHBand="0" w:noVBand="1"/>
      </w:tblPr>
      <w:tblGrid>
        <w:gridCol w:w="9070"/>
      </w:tblGrid>
      <w:tr w:rsidR="002A2FAE" w:rsidRPr="00027624" w14:paraId="743471C0" w14:textId="77777777" w:rsidTr="002A2FAE">
        <w:tc>
          <w:tcPr>
            <w:tcW w:w="5000" w:type="pct"/>
            <w:shd w:val="clear" w:color="auto" w:fill="FFF8EA"/>
            <w:hideMark/>
          </w:tcPr>
          <w:p w14:paraId="612E3B0E" w14:textId="77777777" w:rsidR="002A2FAE" w:rsidRPr="00027624" w:rsidRDefault="002A2FAE" w:rsidP="00325A8D">
            <w:pPr>
              <w:pStyle w:val="BoxHeading"/>
              <w:keepNext w:val="0"/>
              <w:widowControl w:val="0"/>
              <w:numPr>
                <w:ilvl w:val="5"/>
                <w:numId w:val="13"/>
              </w:numPr>
            </w:pPr>
            <w:bookmarkStart w:id="4148" w:name="_Ref35255005"/>
            <w:r w:rsidRPr="00027624">
              <w:t>Complexity leads to misunderstandings and misconceptions</w:t>
            </w:r>
            <w:bookmarkEnd w:id="4148"/>
            <w:r w:rsidRPr="00027624">
              <w:t xml:space="preserve"> </w:t>
            </w:r>
          </w:p>
          <w:p w14:paraId="459C6898" w14:textId="77777777" w:rsidR="002A2FAE" w:rsidRPr="00027624" w:rsidRDefault="002A2FAE" w:rsidP="002A2FAE">
            <w:pPr>
              <w:pStyle w:val="BoxText"/>
            </w:pPr>
            <w:r w:rsidRPr="00027624">
              <w:t>The views below represent perspectives observed in press articles, surveys and some submissions. These concerns are real and affect how people behave. However, they are generally not supported by evidence.</w:t>
            </w:r>
          </w:p>
          <w:p w14:paraId="1C656743" w14:textId="77777777" w:rsidR="002A2FAE" w:rsidRPr="00027624" w:rsidRDefault="002A2FAE" w:rsidP="002A2FAE">
            <w:pPr>
              <w:pStyle w:val="BoxText"/>
              <w:rPr>
                <w:b/>
              </w:rPr>
            </w:pPr>
            <w:r w:rsidRPr="00027624">
              <w:rPr>
                <w:b/>
              </w:rPr>
              <w:t>Adequacy of retirement income/retirement expenditure needs</w:t>
            </w:r>
          </w:p>
          <w:p w14:paraId="79373939" w14:textId="77777777" w:rsidR="002A2FAE" w:rsidRPr="00027624" w:rsidRDefault="00A8443E" w:rsidP="00931935">
            <w:pPr>
              <w:pStyle w:val="BoxBullet"/>
            </w:pPr>
            <w:r w:rsidRPr="00027624">
              <w:t>‘</w:t>
            </w:r>
            <w:r w:rsidR="002A2FAE" w:rsidRPr="00027624">
              <w:t>I need to preserve my assets in case I get sick or need aged care.</w:t>
            </w:r>
            <w:r w:rsidRPr="00027624">
              <w:t>’</w:t>
            </w:r>
          </w:p>
          <w:p w14:paraId="569B2F46" w14:textId="77777777" w:rsidR="002A2FAE" w:rsidRPr="00027624" w:rsidRDefault="00A8443E" w:rsidP="00931935">
            <w:pPr>
              <w:pStyle w:val="BoxBullet"/>
            </w:pPr>
            <w:r w:rsidRPr="00027624">
              <w:t>‘</w:t>
            </w:r>
            <w:r w:rsidR="002A2FAE" w:rsidRPr="00027624">
              <w:t>I will need to pay for most of my health costs in retirement.</w:t>
            </w:r>
            <w:r w:rsidRPr="00027624">
              <w:t>’</w:t>
            </w:r>
          </w:p>
          <w:p w14:paraId="1A717C1B" w14:textId="77777777" w:rsidR="002A2FAE" w:rsidRPr="00027624" w:rsidRDefault="00A8443E" w:rsidP="00931935">
            <w:pPr>
              <w:pStyle w:val="BoxBullet"/>
            </w:pPr>
            <w:r w:rsidRPr="00027624">
              <w:t>‘</w:t>
            </w:r>
            <w:r w:rsidR="002A2FAE" w:rsidRPr="00027624">
              <w:t>I need $1,000,000 in superannuation for an adequate retirement income.</w:t>
            </w:r>
            <w:r w:rsidRPr="00027624">
              <w:t>’</w:t>
            </w:r>
          </w:p>
          <w:p w14:paraId="0EB2CBF6" w14:textId="77777777" w:rsidR="002A2FAE" w:rsidRPr="00027624" w:rsidRDefault="002A2FAE" w:rsidP="002A2FAE">
            <w:pPr>
              <w:pStyle w:val="BoxText"/>
              <w:rPr>
                <w:b/>
              </w:rPr>
            </w:pPr>
            <w:r w:rsidRPr="00027624">
              <w:rPr>
                <w:b/>
              </w:rPr>
              <w:t>Retirement income products and investment strategies</w:t>
            </w:r>
          </w:p>
          <w:p w14:paraId="7C476006" w14:textId="77777777" w:rsidR="002A2FAE" w:rsidRPr="00027624" w:rsidRDefault="00A8443E" w:rsidP="00931935">
            <w:pPr>
              <w:pStyle w:val="BoxBullet"/>
            </w:pPr>
            <w:r w:rsidRPr="00027624">
              <w:t>‘</w:t>
            </w:r>
            <w:r w:rsidR="002A2FAE" w:rsidRPr="00027624">
              <w:t>The best investment strategy in retirement is very low risk, such as cash.</w:t>
            </w:r>
            <w:r w:rsidRPr="00027624">
              <w:t>’</w:t>
            </w:r>
          </w:p>
          <w:p w14:paraId="593BC734" w14:textId="77777777" w:rsidR="002A2FAE" w:rsidRPr="00027624" w:rsidRDefault="00A8443E" w:rsidP="00931935">
            <w:pPr>
              <w:pStyle w:val="BoxBullet"/>
            </w:pPr>
            <w:r w:rsidRPr="00027624">
              <w:t>‘</w:t>
            </w:r>
            <w:r w:rsidR="002A2FAE" w:rsidRPr="00027624">
              <w:t>Investing in real estate is a better investment strategy for retirement.</w:t>
            </w:r>
            <w:r w:rsidRPr="00027624">
              <w:t>’</w:t>
            </w:r>
          </w:p>
          <w:p w14:paraId="65560E00" w14:textId="77777777" w:rsidR="002A2FAE" w:rsidRPr="00027624" w:rsidRDefault="002A2FAE" w:rsidP="002A2FAE">
            <w:pPr>
              <w:pStyle w:val="BoxText"/>
              <w:rPr>
                <w:b/>
              </w:rPr>
            </w:pPr>
            <w:r w:rsidRPr="00027624">
              <w:rPr>
                <w:b/>
              </w:rPr>
              <w:t>Age Pension</w:t>
            </w:r>
          </w:p>
          <w:p w14:paraId="3163F65C" w14:textId="77777777" w:rsidR="002A2FAE" w:rsidRPr="00027624" w:rsidRDefault="00A8443E" w:rsidP="00931935">
            <w:pPr>
              <w:pStyle w:val="BoxBullet"/>
            </w:pPr>
            <w:r w:rsidRPr="00027624">
              <w:t>‘</w:t>
            </w:r>
            <w:r w:rsidR="002A2FAE" w:rsidRPr="00027624">
              <w:t xml:space="preserve">The Age Pension is earned during working life. Taxpayers </w:t>
            </w:r>
            <w:r w:rsidRPr="00027624">
              <w:t>“</w:t>
            </w:r>
            <w:r w:rsidR="002A2FAE" w:rsidRPr="00027624">
              <w:t>pre</w:t>
            </w:r>
            <w:r w:rsidRPr="00027624">
              <w:noBreakHyphen/>
            </w:r>
            <w:r w:rsidR="002A2FAE" w:rsidRPr="00027624">
              <w:t>pay</w:t>
            </w:r>
            <w:r w:rsidRPr="00027624">
              <w:t>”</w:t>
            </w:r>
            <w:r w:rsidR="002A2FAE" w:rsidRPr="00027624">
              <w:t xml:space="preserve"> for it through their taxes.</w:t>
            </w:r>
            <w:r w:rsidRPr="00027624">
              <w:t>’</w:t>
            </w:r>
          </w:p>
          <w:p w14:paraId="62EEF186" w14:textId="77777777" w:rsidR="002A2FAE" w:rsidRPr="00027624" w:rsidRDefault="00A8443E" w:rsidP="00931935">
            <w:pPr>
              <w:pStyle w:val="BoxBullet"/>
            </w:pPr>
            <w:r w:rsidRPr="00027624">
              <w:t>‘</w:t>
            </w:r>
            <w:r w:rsidR="002A2FAE" w:rsidRPr="00027624">
              <w:t>The Age Pension will become unaffordable. Most people in the future won</w:t>
            </w:r>
            <w:r w:rsidRPr="00027624">
              <w:t>’</w:t>
            </w:r>
            <w:r w:rsidR="002A2FAE" w:rsidRPr="00027624">
              <w:t>t receive it.</w:t>
            </w:r>
            <w:r w:rsidRPr="00027624">
              <w:t>’</w:t>
            </w:r>
          </w:p>
          <w:p w14:paraId="03B4942D" w14:textId="77777777" w:rsidR="002A2FAE" w:rsidRPr="00027624" w:rsidRDefault="002A2FAE" w:rsidP="002A2FAE">
            <w:pPr>
              <w:pStyle w:val="BoxText"/>
              <w:rPr>
                <w:b/>
              </w:rPr>
            </w:pPr>
            <w:r w:rsidRPr="00027624">
              <w:rPr>
                <w:b/>
              </w:rPr>
              <w:t>Superannuation</w:t>
            </w:r>
          </w:p>
          <w:p w14:paraId="41A52471" w14:textId="77777777" w:rsidR="002A2FAE" w:rsidRPr="00027624" w:rsidRDefault="00A8443E" w:rsidP="00931935">
            <w:pPr>
              <w:pStyle w:val="BoxBullet"/>
            </w:pPr>
            <w:r w:rsidRPr="00027624">
              <w:t>‘</w:t>
            </w:r>
            <w:r w:rsidR="002A2FAE" w:rsidRPr="00027624">
              <w:t>The minimum drawdown rate is what the Government recommends.</w:t>
            </w:r>
            <w:r w:rsidRPr="00027624">
              <w:t>’</w:t>
            </w:r>
            <w:r w:rsidR="002A2FAE" w:rsidRPr="00027624">
              <w:t xml:space="preserve"> </w:t>
            </w:r>
          </w:p>
          <w:p w14:paraId="7773CF53" w14:textId="77777777" w:rsidR="002A2FAE" w:rsidRPr="00027624" w:rsidRDefault="00A8443E" w:rsidP="00931935">
            <w:pPr>
              <w:pStyle w:val="BoxBullet"/>
            </w:pPr>
            <w:r w:rsidRPr="00027624">
              <w:t>‘</w:t>
            </w:r>
            <w:r w:rsidR="002A2FAE" w:rsidRPr="00027624">
              <w:t>If I withdraw my money from superannuation, I must spend it.</w:t>
            </w:r>
            <w:r w:rsidRPr="00027624">
              <w:t>’</w:t>
            </w:r>
          </w:p>
          <w:p w14:paraId="30E59FE9" w14:textId="77777777" w:rsidR="002A2FAE" w:rsidRPr="00027624" w:rsidRDefault="00A8443E" w:rsidP="00931935">
            <w:pPr>
              <w:pStyle w:val="BoxBullet"/>
            </w:pPr>
            <w:r w:rsidRPr="00027624">
              <w:t>‘</w:t>
            </w:r>
            <w:r w:rsidR="002A2FAE" w:rsidRPr="00027624">
              <w:t>I should only draw down the income earned on my assets</w:t>
            </w:r>
            <w:r w:rsidRPr="00027624">
              <w:t xml:space="preserve"> — </w:t>
            </w:r>
            <w:r w:rsidR="002A2FAE" w:rsidRPr="00027624">
              <w:t>not the capital.</w:t>
            </w:r>
            <w:r w:rsidRPr="00027624">
              <w:t>’</w:t>
            </w:r>
          </w:p>
        </w:tc>
      </w:tr>
    </w:tbl>
    <w:p w14:paraId="1AFCD73A" w14:textId="77777777" w:rsidR="002A2FAE" w:rsidRPr="00027624" w:rsidRDefault="002A2FAE" w:rsidP="002A2FAE">
      <w:pPr>
        <w:pStyle w:val="BoxText"/>
        <w:rPr>
          <w:sz w:val="22"/>
        </w:rPr>
      </w:pPr>
      <w:r w:rsidRPr="00027624">
        <w:rPr>
          <w:b/>
          <w:sz w:val="22"/>
        </w:rPr>
        <w:t>In complex situations, people get cognitive or choice overload</w:t>
      </w:r>
      <w:r w:rsidRPr="00027624">
        <w:rPr>
          <w:sz w:val="22"/>
        </w:rPr>
        <w:t xml:space="preserve"> and disengage or rely on shortcuts to help them make decisions, instead of assessing the options to make the best decision</w:t>
      </w:r>
      <w:r w:rsidRPr="00027624">
        <w:rPr>
          <w:sz w:val="22"/>
        </w:rPr>
        <w:fldChar w:fldCharType="begin"/>
      </w:r>
      <w:r w:rsidRPr="00027624">
        <w:rPr>
          <w:sz w:val="22"/>
        </w:rPr>
        <w:instrText xml:space="preserve">CITATION Pro18 \l 3081 </w:instrText>
      </w:r>
      <w:r w:rsidRPr="00027624">
        <w:rPr>
          <w:sz w:val="22"/>
        </w:rPr>
        <w:fldChar w:fldCharType="separate"/>
      </w:r>
      <w:r w:rsidR="00E83F6E">
        <w:rPr>
          <w:noProof/>
          <w:sz w:val="22"/>
        </w:rPr>
        <w:t xml:space="preserve"> </w:t>
      </w:r>
      <w:r w:rsidR="00E83F6E" w:rsidRPr="00E83F6E">
        <w:rPr>
          <w:noProof/>
          <w:sz w:val="22"/>
        </w:rPr>
        <w:t>(Productivity Commission, 2018a)</w:t>
      </w:r>
      <w:r w:rsidRPr="00027624">
        <w:rPr>
          <w:sz w:val="22"/>
        </w:rPr>
        <w:fldChar w:fldCharType="end"/>
      </w:r>
      <w:r w:rsidRPr="00027624">
        <w:rPr>
          <w:sz w:val="22"/>
        </w:rPr>
        <w:t>. In complex situations people tend to:</w:t>
      </w:r>
    </w:p>
    <w:p w14:paraId="70D984F0" w14:textId="77777777" w:rsidR="002A2FAE" w:rsidRPr="00027624" w:rsidRDefault="002A2FAE" w:rsidP="00FC7361">
      <w:pPr>
        <w:pStyle w:val="Bullet"/>
        <w:numPr>
          <w:ilvl w:val="0"/>
          <w:numId w:val="36"/>
        </w:numPr>
      </w:pPr>
      <w:r w:rsidRPr="00027624">
        <w:t>Rely on heuristics (rules of thumb) and pick options they understand</w:t>
      </w:r>
      <w:r w:rsidRPr="00027624">
        <w:fldChar w:fldCharType="begin"/>
      </w:r>
      <w:r w:rsidRPr="00027624">
        <w:instrText xml:space="preserve"> CITATION Ben07 \l 3081 </w:instrText>
      </w:r>
      <w:r w:rsidRPr="00027624">
        <w:fldChar w:fldCharType="separate"/>
      </w:r>
      <w:r w:rsidR="00E83F6E">
        <w:rPr>
          <w:noProof/>
        </w:rPr>
        <w:t xml:space="preserve"> (Benartzi &amp; Thaler, 2007)</w:t>
      </w:r>
      <w:r w:rsidRPr="00027624">
        <w:fldChar w:fldCharType="end"/>
      </w:r>
      <w:r w:rsidRPr="00027624">
        <w:t xml:space="preserve"> </w:t>
      </w:r>
    </w:p>
    <w:p w14:paraId="63CDE638" w14:textId="77777777" w:rsidR="002A2FAE" w:rsidRPr="00027624" w:rsidRDefault="002A2FAE" w:rsidP="00FC7361">
      <w:pPr>
        <w:pStyle w:val="Bullet"/>
        <w:numPr>
          <w:ilvl w:val="0"/>
          <w:numId w:val="36"/>
        </w:numPr>
      </w:pPr>
      <w:r w:rsidRPr="00027624">
        <w:t>Stick with what they know</w:t>
      </w:r>
    </w:p>
    <w:p w14:paraId="6D05D612" w14:textId="77777777" w:rsidR="002A2FAE" w:rsidRPr="00027624" w:rsidRDefault="002A2FAE" w:rsidP="00FC7361">
      <w:pPr>
        <w:pStyle w:val="Bullet"/>
        <w:numPr>
          <w:ilvl w:val="0"/>
          <w:numId w:val="36"/>
        </w:numPr>
      </w:pPr>
      <w:r w:rsidRPr="00027624">
        <w:t>Stick with the default option</w:t>
      </w:r>
    </w:p>
    <w:p w14:paraId="13F267AE" w14:textId="77777777" w:rsidR="002A2FAE" w:rsidRPr="00027624" w:rsidRDefault="002A2FAE" w:rsidP="00FC7361">
      <w:pPr>
        <w:pStyle w:val="Bullet"/>
        <w:numPr>
          <w:ilvl w:val="0"/>
          <w:numId w:val="36"/>
        </w:numPr>
      </w:pPr>
      <w:r w:rsidRPr="00027624">
        <w:t>Follow others</w:t>
      </w:r>
    </w:p>
    <w:p w14:paraId="55802A7E" w14:textId="77777777" w:rsidR="002A2FAE" w:rsidRPr="00027624" w:rsidRDefault="002A2FAE" w:rsidP="00FC7361">
      <w:pPr>
        <w:pStyle w:val="Bullet"/>
        <w:numPr>
          <w:ilvl w:val="0"/>
          <w:numId w:val="36"/>
        </w:numPr>
      </w:pPr>
      <w:r w:rsidRPr="00027624">
        <w:t>Procrastinate, disengage or avoid making the decision</w:t>
      </w:r>
      <w:r w:rsidRPr="00027624">
        <w:rPr>
          <w:rStyle w:val="FootnoteReference"/>
        </w:rPr>
        <w:footnoteReference w:id="305"/>
      </w:r>
    </w:p>
    <w:p w14:paraId="30EB0B07" w14:textId="77777777" w:rsidR="002A2FAE" w:rsidRPr="00027624" w:rsidRDefault="002A2FAE" w:rsidP="00FC7361">
      <w:pPr>
        <w:pStyle w:val="Bullet"/>
        <w:numPr>
          <w:ilvl w:val="0"/>
          <w:numId w:val="36"/>
        </w:numPr>
      </w:pPr>
      <w:r w:rsidRPr="00027624">
        <w:t>Be prone to misleading advice</w:t>
      </w:r>
      <w:r w:rsidRPr="00027624">
        <w:fldChar w:fldCharType="begin"/>
      </w:r>
      <w:r w:rsidRPr="00027624">
        <w:instrText xml:space="preserve">CITATION Dun09 \l 3081 </w:instrText>
      </w:r>
      <w:r w:rsidRPr="00027624">
        <w:fldChar w:fldCharType="separate"/>
      </w:r>
      <w:r w:rsidR="00E83F6E">
        <w:rPr>
          <w:noProof/>
        </w:rPr>
        <w:t xml:space="preserve"> (Reeson &amp; Dunstall, 2009)</w:t>
      </w:r>
      <w:r w:rsidRPr="00027624">
        <w:fldChar w:fldCharType="end"/>
      </w:r>
    </w:p>
    <w:p w14:paraId="4412CA8F" w14:textId="77777777" w:rsidR="002A2FAE" w:rsidRPr="00027624" w:rsidRDefault="002A2FAE" w:rsidP="002A2FAE">
      <w:r w:rsidRPr="00027624">
        <w:t xml:space="preserve">At retirement, in the face of complexity, people fall back on defaults, even if these defaults were not designed for the purpose people use them. For example, many people rely on </w:t>
      </w:r>
      <w:r w:rsidR="00A8443E" w:rsidRPr="00027624">
        <w:t>‘</w:t>
      </w:r>
      <w:r w:rsidRPr="00027624">
        <w:t>easy</w:t>
      </w:r>
      <w:r w:rsidR="00A8443E" w:rsidRPr="00027624">
        <w:t>’</w:t>
      </w:r>
      <w:r w:rsidRPr="00027624">
        <w:t xml:space="preserve"> options such as selecting an account</w:t>
      </w:r>
      <w:r w:rsidR="00A8443E" w:rsidRPr="00027624">
        <w:noBreakHyphen/>
      </w:r>
      <w:r w:rsidRPr="00027624">
        <w:t>based pension and withdrawing at minimum draw down rates, or withdrawing their superannuation and placing it in a bank account. Selecting a good option involves time, money and effort, and requires giving retirees more support. The behavioural biases particularly relevant to current decision</w:t>
      </w:r>
      <w:r w:rsidR="00A8443E" w:rsidRPr="00027624">
        <w:noBreakHyphen/>
      </w:r>
      <w:r w:rsidRPr="00027624">
        <w:t xml:space="preserve">making in retirement are default bias, anchoring and asset or </w:t>
      </w:r>
      <w:r w:rsidR="00A8443E" w:rsidRPr="00027624">
        <w:t>‘</w:t>
      </w:r>
      <w:r w:rsidRPr="00027624">
        <w:t>nest egg</w:t>
      </w:r>
      <w:r w:rsidR="00A8443E" w:rsidRPr="00027624">
        <w:t>’</w:t>
      </w:r>
      <w:r w:rsidRPr="00027624">
        <w:t xml:space="preserve"> framing.</w:t>
      </w:r>
    </w:p>
    <w:p w14:paraId="1FF1A093" w14:textId="77777777" w:rsidR="002A2FAE" w:rsidRPr="00027624" w:rsidRDefault="002A2FAE" w:rsidP="00010DDE">
      <w:pPr>
        <w:pStyle w:val="Heading4"/>
        <w:spacing w:before="120"/>
      </w:pPr>
      <w:r w:rsidRPr="00027624">
        <w:t>Default bias and anchoring</w:t>
      </w:r>
    </w:p>
    <w:p w14:paraId="13A9EBF7" w14:textId="77777777" w:rsidR="002A2FAE" w:rsidRPr="00027624" w:rsidRDefault="002A2FAE" w:rsidP="002A2FAE">
      <w:r w:rsidRPr="00027624">
        <w:t xml:space="preserve">Many decisions </w:t>
      </w:r>
      <w:r w:rsidR="002E3D20" w:rsidRPr="00027624">
        <w:t xml:space="preserve">in </w:t>
      </w:r>
      <w:r w:rsidRPr="00027624">
        <w:t>retirement are explained by defaults and people</w:t>
      </w:r>
      <w:r w:rsidR="00A8443E" w:rsidRPr="00027624">
        <w:t>’</w:t>
      </w:r>
      <w:r w:rsidRPr="00027624">
        <w:t>s reliance on rules of thumb</w:t>
      </w:r>
      <w:r w:rsidRPr="00027624">
        <w:fldChar w:fldCharType="begin"/>
      </w:r>
      <w:r w:rsidRPr="00027624">
        <w:instrText xml:space="preserve">CITATION Bat13 \l 3081 </w:instrText>
      </w:r>
      <w:r w:rsidRPr="00027624">
        <w:fldChar w:fldCharType="separate"/>
      </w:r>
      <w:r w:rsidR="00E83F6E">
        <w:rPr>
          <w:noProof/>
        </w:rPr>
        <w:t xml:space="preserve"> (Bateman, et al., 2017)</w:t>
      </w:r>
      <w:r w:rsidRPr="00027624">
        <w:fldChar w:fldCharType="end"/>
      </w:r>
      <w:r w:rsidRPr="00027624">
        <w:t>. Research indicates retirees are strongly influenced by the statutory minimum drawdown rules:</w:t>
      </w:r>
    </w:p>
    <w:p w14:paraId="78CE1DEC" w14:textId="77777777" w:rsidR="002A2FAE" w:rsidRPr="00027624" w:rsidRDefault="002A2FAE" w:rsidP="00FC7361">
      <w:pPr>
        <w:pStyle w:val="Bullet"/>
        <w:numPr>
          <w:ilvl w:val="0"/>
          <w:numId w:val="37"/>
        </w:numPr>
      </w:pPr>
      <w:r w:rsidRPr="00027624">
        <w:t>When people were told about minimum drawdown rates, they reduced their intende</w:t>
      </w:r>
      <w:r w:rsidR="00C20894" w:rsidRPr="00027624">
        <w:t>d draw down from superannuation</w:t>
      </w:r>
      <w:r w:rsidRPr="00027624">
        <w:fldChar w:fldCharType="begin"/>
      </w:r>
      <w:r w:rsidRPr="00027624">
        <w:instrText xml:space="preserve"> CITATION Hob18 \l 3081 </w:instrText>
      </w:r>
      <w:r w:rsidRPr="00027624">
        <w:fldChar w:fldCharType="separate"/>
      </w:r>
      <w:r w:rsidR="00E83F6E">
        <w:rPr>
          <w:noProof/>
        </w:rPr>
        <w:t xml:space="preserve"> (Hobman &amp; Reeson, Forthcoming)</w:t>
      </w:r>
      <w:r w:rsidRPr="00027624">
        <w:fldChar w:fldCharType="end"/>
      </w:r>
      <w:r w:rsidRPr="00027624">
        <w:t>.</w:t>
      </w:r>
      <w:r w:rsidRPr="00027624">
        <w:rPr>
          <w:rStyle w:val="FootnoteReference"/>
        </w:rPr>
        <w:footnoteReference w:id="306"/>
      </w:r>
      <w:r w:rsidRPr="00027624">
        <w:t xml:space="preserve"> </w:t>
      </w:r>
    </w:p>
    <w:p w14:paraId="165ED39C" w14:textId="77777777" w:rsidR="002A2FAE" w:rsidRPr="00027624" w:rsidRDefault="002A2FAE" w:rsidP="00FC7361">
      <w:pPr>
        <w:pStyle w:val="Bullet"/>
        <w:numPr>
          <w:ilvl w:val="0"/>
          <w:numId w:val="37"/>
        </w:numPr>
      </w:pPr>
      <w:r w:rsidRPr="00027624">
        <w:t>People were willing to change their spending to match minimum drawdown rates</w:t>
      </w:r>
      <w:r w:rsidRPr="00027624">
        <w:fldChar w:fldCharType="begin"/>
      </w:r>
      <w:r w:rsidRPr="00027624">
        <w:instrText xml:space="preserve">CITATION Alo17 \t  \l 3081 </w:instrText>
      </w:r>
      <w:r w:rsidRPr="00027624">
        <w:fldChar w:fldCharType="separate"/>
      </w:r>
      <w:r w:rsidR="00E83F6E">
        <w:rPr>
          <w:noProof/>
        </w:rPr>
        <w:t xml:space="preserve"> (Alonso-Garcia, et al., 2017)</w:t>
      </w:r>
      <w:r w:rsidRPr="00027624">
        <w:fldChar w:fldCharType="end"/>
      </w:r>
      <w:r w:rsidRPr="00027624">
        <w:t>. This is consistent with research showing decisions at retirement are influenced by defaults</w:t>
      </w:r>
      <w:r w:rsidRPr="00027624">
        <w:fldChar w:fldCharType="begin"/>
      </w:r>
      <w:r w:rsidRPr="00027624">
        <w:instrText xml:space="preserve">CITATION Bat13 \l 3081 </w:instrText>
      </w:r>
      <w:r w:rsidRPr="00027624">
        <w:fldChar w:fldCharType="separate"/>
      </w:r>
      <w:r w:rsidR="00E83F6E">
        <w:rPr>
          <w:noProof/>
        </w:rPr>
        <w:t xml:space="preserve"> (Bateman, et al., 2017)</w:t>
      </w:r>
      <w:r w:rsidRPr="00027624">
        <w:fldChar w:fldCharType="end"/>
      </w:r>
      <w:r w:rsidRPr="00027624">
        <w:t>.</w:t>
      </w:r>
    </w:p>
    <w:p w14:paraId="4EE8B84D" w14:textId="77777777" w:rsidR="002A2FAE" w:rsidRPr="00027624" w:rsidRDefault="002A2FAE" w:rsidP="00FC7361">
      <w:pPr>
        <w:pStyle w:val="Bullet"/>
        <w:numPr>
          <w:ilvl w:val="0"/>
          <w:numId w:val="37"/>
        </w:numPr>
      </w:pPr>
      <w:r w:rsidRPr="00027624">
        <w:t>More than half of retirees older than 65 draw down at the minimum rate</w:t>
      </w:r>
      <w:r w:rsidRPr="00027624">
        <w:fldChar w:fldCharType="begin"/>
      </w:r>
      <w:r w:rsidRPr="00027624">
        <w:instrText xml:space="preserve">CITATION Ric191 \l 3081 </w:instrText>
      </w:r>
      <w:r w:rsidRPr="00027624">
        <w:fldChar w:fldCharType="separate"/>
      </w:r>
      <w:r w:rsidR="00E83F6E">
        <w:rPr>
          <w:noProof/>
        </w:rPr>
        <w:t xml:space="preserve"> (Rice Warner, 2019b)</w:t>
      </w:r>
      <w:r w:rsidRPr="00027624">
        <w:fldChar w:fldCharType="end"/>
      </w:r>
      <w:r w:rsidRPr="00027624">
        <w:t>, and the median withdrawal amount for all ages is just above the minimum. At age 60, drawdowns bunch around the minimum and maximum amounts</w:t>
      </w:r>
      <w:r w:rsidR="00C2586A" w:rsidRPr="00C2586A">
        <w:rPr>
          <w:rStyle w:val="BulletChar"/>
        </w:rPr>
        <w:t xml:space="preserve"> </w:t>
      </w:r>
      <w:sdt>
        <w:sdtPr>
          <w:rPr>
            <w:rStyle w:val="BulletChar"/>
          </w:rPr>
          <w:id w:val="-2123840647"/>
          <w:citation/>
        </w:sdtPr>
        <w:sdtEndPr>
          <w:rPr>
            <w:rStyle w:val="BulletChar"/>
          </w:rPr>
        </w:sdtEndPr>
        <w:sdtContent>
          <w:r w:rsidR="00C2586A" w:rsidRPr="00027624">
            <w:rPr>
              <w:rStyle w:val="BulletChar"/>
            </w:rPr>
            <w:fldChar w:fldCharType="begin"/>
          </w:r>
          <w:r w:rsidR="00C2586A">
            <w:rPr>
              <w:rStyle w:val="BulletChar"/>
            </w:rPr>
            <w:instrText xml:space="preserve">CITATION Bal18 \l 3081 </w:instrText>
          </w:r>
          <w:r w:rsidR="00C2586A" w:rsidRPr="00027624">
            <w:rPr>
              <w:rStyle w:val="BulletChar"/>
            </w:rPr>
            <w:fldChar w:fldCharType="separate"/>
          </w:r>
          <w:r w:rsidR="00E83F6E">
            <w:rPr>
              <w:noProof/>
            </w:rPr>
            <w:t>(Balnozan, 2018)</w:t>
          </w:r>
          <w:r w:rsidR="00C2586A" w:rsidRPr="00027624">
            <w:rPr>
              <w:rStyle w:val="BulletChar"/>
            </w:rPr>
            <w:fldChar w:fldCharType="end"/>
          </w:r>
        </w:sdtContent>
      </w:sdt>
      <w:r w:rsidR="00C2586A">
        <w:t>.</w:t>
      </w:r>
    </w:p>
    <w:p w14:paraId="50F33764" w14:textId="77777777" w:rsidR="002A2FAE" w:rsidRPr="00027624" w:rsidRDefault="002A2FAE" w:rsidP="002E3D20">
      <w:pPr>
        <w:pStyle w:val="Bullet"/>
      </w:pPr>
      <w:r w:rsidRPr="00027624">
        <w:t>One large superannuation fund reported around half of its members on an income stream chose a fixed nominal amount above the minimum, while the other half selected the minimum drawdown amount. Studies using APRA data found a similar pattern</w:t>
      </w:r>
      <w:r w:rsidR="00C2586A" w:rsidRPr="00C2586A">
        <w:rPr>
          <w:rStyle w:val="BulletChar"/>
        </w:rPr>
        <w:t xml:space="preserve"> </w:t>
      </w:r>
      <w:sdt>
        <w:sdtPr>
          <w:rPr>
            <w:rStyle w:val="BulletChar"/>
          </w:rPr>
          <w:id w:val="216478672"/>
          <w:citation/>
        </w:sdtPr>
        <w:sdtEndPr>
          <w:rPr>
            <w:rStyle w:val="BulletChar"/>
          </w:rPr>
        </w:sdtEndPr>
        <w:sdtContent>
          <w:r w:rsidR="00C2586A" w:rsidRPr="00027624">
            <w:rPr>
              <w:rStyle w:val="BulletChar"/>
            </w:rPr>
            <w:fldChar w:fldCharType="begin"/>
          </w:r>
          <w:r w:rsidR="00C2586A">
            <w:rPr>
              <w:rStyle w:val="BulletChar"/>
            </w:rPr>
            <w:instrText xml:space="preserve">CITATION Bal18 \l 3081 </w:instrText>
          </w:r>
          <w:r w:rsidR="00C2586A" w:rsidRPr="00027624">
            <w:rPr>
              <w:rStyle w:val="BulletChar"/>
            </w:rPr>
            <w:fldChar w:fldCharType="separate"/>
          </w:r>
          <w:r w:rsidR="00E83F6E">
            <w:rPr>
              <w:noProof/>
            </w:rPr>
            <w:t>(Balnozan, 2018)</w:t>
          </w:r>
          <w:r w:rsidR="00C2586A" w:rsidRPr="00027624">
            <w:rPr>
              <w:rStyle w:val="BulletChar"/>
            </w:rPr>
            <w:fldChar w:fldCharType="end"/>
          </w:r>
        </w:sdtContent>
      </w:sdt>
      <w:r w:rsidR="00C2586A">
        <w:t>.</w:t>
      </w:r>
    </w:p>
    <w:p w14:paraId="1DA0D3DE" w14:textId="3A65ACE7" w:rsidR="002A2FAE" w:rsidRPr="00027624" w:rsidRDefault="002A2FAE" w:rsidP="002A2FAE">
      <w:pPr>
        <w:rPr>
          <w:bCs/>
        </w:rPr>
      </w:pPr>
      <w:r w:rsidRPr="00027624">
        <w:t xml:space="preserve">This suggests the minimum draw down rules may be acting as a </w:t>
      </w:r>
      <w:r w:rsidR="00A8443E" w:rsidRPr="00027624">
        <w:t>‘</w:t>
      </w:r>
      <w:r w:rsidRPr="00027624">
        <w:t>default</w:t>
      </w:r>
      <w:r w:rsidR="00A8443E" w:rsidRPr="00027624">
        <w:t>’</w:t>
      </w:r>
      <w:r w:rsidRPr="00027624">
        <w:t xml:space="preserve"> option for many people when they select a draw down amount.</w:t>
      </w:r>
      <w:r w:rsidRPr="00027624" w:rsidDel="003474E2">
        <w:t xml:space="preserve"> </w:t>
      </w:r>
      <w:r w:rsidRPr="00027624">
        <w:t xml:space="preserve">For some, it is the easiest option to pick. For others, it is an </w:t>
      </w:r>
      <w:r w:rsidR="00A8443E" w:rsidRPr="00027624">
        <w:t>‘</w:t>
      </w:r>
      <w:r w:rsidRPr="00027624">
        <w:t>anchor</w:t>
      </w:r>
      <w:r w:rsidR="00A8443E" w:rsidRPr="00027624">
        <w:t>’</w:t>
      </w:r>
      <w:r w:rsidRPr="00027624">
        <w:t>; a reference point that informs their final decision on a draw down amount. The exception is the significant majority of people with low balances who withdraw larger amounts than the minimum (</w:t>
      </w:r>
      <w:r w:rsidRPr="00027624">
        <w:fldChar w:fldCharType="begin"/>
      </w:r>
      <w:r w:rsidRPr="00027624">
        <w:instrText xml:space="preserve"> REF _Ref40971791 \r \h  \* MERGEFORMAT </w:instrText>
      </w:r>
      <w:r w:rsidRPr="00027624">
        <w:fldChar w:fldCharType="separate"/>
      </w:r>
      <w:r w:rsidR="00891058">
        <w:t>Chart 5A-11</w:t>
      </w:r>
      <w:r w:rsidRPr="00027624">
        <w:fldChar w:fldCharType="end"/>
      </w:r>
      <w:r w:rsidRPr="00027624">
        <w:t>).</w:t>
      </w:r>
    </w:p>
    <w:p w14:paraId="3DECABA3" w14:textId="77777777" w:rsidR="002A2FAE" w:rsidRPr="00027624" w:rsidRDefault="002A2FAE" w:rsidP="002A2FAE">
      <w:r w:rsidRPr="00027624">
        <w:rPr>
          <w:bCs/>
        </w:rPr>
        <w:t xml:space="preserve">In addition to the difficulty of managing complex risks and uncertainties, most households need to combine multiple income sources to generate their retirement income. </w:t>
      </w:r>
      <w:r w:rsidRPr="00027624">
        <w:t xml:space="preserve">A typical retiree couple household combines at least four different income sources: the Age Pension, two superannuation accounts and assets outside of superannuation. </w:t>
      </w:r>
      <w:r w:rsidRPr="00027624">
        <w:rPr>
          <w:bCs/>
        </w:rPr>
        <w:t>Evidence suggests people prefer to have a stable income stream in retirement</w:t>
      </w:r>
      <w:r w:rsidRPr="00027624">
        <w:fldChar w:fldCharType="begin"/>
      </w:r>
      <w:r w:rsidRPr="00027624">
        <w:instrText xml:space="preserve">CITATION Mer191 \l 3081 </w:instrText>
      </w:r>
      <w:r w:rsidRPr="00027624">
        <w:fldChar w:fldCharType="separate"/>
      </w:r>
      <w:r w:rsidR="00E83F6E">
        <w:rPr>
          <w:noProof/>
        </w:rPr>
        <w:t xml:space="preserve"> (Mercer, 2019a)</w:t>
      </w:r>
      <w:r w:rsidRPr="00027624">
        <w:fldChar w:fldCharType="end"/>
      </w:r>
      <w:r w:rsidRPr="00027624">
        <w:t>. To plan a stable income, people need to consider and integrate all income sources.</w:t>
      </w:r>
    </w:p>
    <w:p w14:paraId="3B816AB3" w14:textId="42754715" w:rsidR="002A2FAE" w:rsidRPr="00027624" w:rsidRDefault="002A2FAE" w:rsidP="002A2FAE">
      <w:r w:rsidRPr="00027624">
        <w:rPr>
          <w:b/>
        </w:rPr>
        <w:t>Current default settings in retirement contribute to income instability</w:t>
      </w:r>
      <w:r w:rsidRPr="00027624">
        <w:t>. The Age Pension means test, when coupled with minimum superannuation draw down requirements, does not lead to stable income for those affected by the assets test (</w:t>
      </w:r>
      <w:r w:rsidRPr="00027624">
        <w:fldChar w:fldCharType="begin"/>
      </w:r>
      <w:r w:rsidRPr="00027624">
        <w:instrText xml:space="preserve"> REF _Ref44867477 \r \h  \* MERGEFORMAT </w:instrText>
      </w:r>
      <w:r w:rsidRPr="00027624">
        <w:fldChar w:fldCharType="separate"/>
      </w:r>
      <w:r w:rsidR="00891058">
        <w:t>Chart 5A-19</w:t>
      </w:r>
      <w:r w:rsidRPr="00027624">
        <w:fldChar w:fldCharType="end"/>
      </w:r>
      <w:r w:rsidRPr="00027624">
        <w:t>). The income it delivers also tends to peak relatively late in retirement, at ages 85</w:t>
      </w:r>
      <w:r w:rsidR="00A8443E" w:rsidRPr="00027624">
        <w:noBreakHyphen/>
      </w:r>
      <w:r w:rsidRPr="00027624">
        <w:t xml:space="preserve">90. This does not align with observed patterns of retiree consumption, which decline through retirement (see </w:t>
      </w:r>
      <w:r w:rsidRPr="00027624">
        <w:rPr>
          <w:i/>
        </w:rPr>
        <w:t>Appendix 6A. Detailed modelling methods and assumptions</w:t>
      </w:r>
      <w:r w:rsidRPr="00027624">
        <w:t>).</w:t>
      </w:r>
      <w:r w:rsidRPr="00027624" w:rsidDel="00DB3A37">
        <w:t xml:space="preserve"> </w:t>
      </w:r>
    </w:p>
    <w:p w14:paraId="6EE730BD" w14:textId="77777777" w:rsidR="002A2FAE" w:rsidRPr="00027624" w:rsidRDefault="002A2FAE" w:rsidP="00325A8D">
      <w:pPr>
        <w:pStyle w:val="ChartMainHeading"/>
        <w:numPr>
          <w:ilvl w:val="2"/>
          <w:numId w:val="13"/>
        </w:numPr>
      </w:pPr>
      <w:bookmarkStart w:id="4149" w:name="_Ref44867477"/>
      <w:r w:rsidRPr="00027624">
        <w:t>Annual retirement income if an account</w:t>
      </w:r>
      <w:r w:rsidR="00A8443E" w:rsidRPr="00027624">
        <w:noBreakHyphen/>
      </w:r>
      <w:r w:rsidRPr="00027624">
        <w:t>based pension is drawn down at minimum drawdown rates, single home owner</w:t>
      </w:r>
      <w:bookmarkEnd w:id="4149"/>
    </w:p>
    <w:tbl>
      <w:tblPr>
        <w:tblW w:w="5000" w:type="pct"/>
        <w:tblLook w:val="01E0" w:firstRow="1" w:lastRow="1" w:firstColumn="1" w:lastColumn="1" w:noHBand="0" w:noVBand="0"/>
      </w:tblPr>
      <w:tblGrid>
        <w:gridCol w:w="4535"/>
        <w:gridCol w:w="4535"/>
      </w:tblGrid>
      <w:tr w:rsidR="002A2FAE" w:rsidRPr="00027624" w14:paraId="78BF4ADF" w14:textId="77777777" w:rsidTr="002A2FAE">
        <w:tc>
          <w:tcPr>
            <w:tcW w:w="2500" w:type="pct"/>
          </w:tcPr>
          <w:p w14:paraId="3645A917" w14:textId="77777777" w:rsidR="002A2FAE" w:rsidRPr="00027624" w:rsidRDefault="002A2FAE" w:rsidP="002A2FAE">
            <w:pPr>
              <w:pStyle w:val="ChartSecondHeading"/>
            </w:pPr>
            <w:r w:rsidRPr="00027624">
              <w:t>$400,000 super</w:t>
            </w:r>
            <w:r w:rsidR="002E3D20" w:rsidRPr="00027624">
              <w:t>annuation balance at retirement</w:t>
            </w:r>
          </w:p>
        </w:tc>
        <w:tc>
          <w:tcPr>
            <w:tcW w:w="2500" w:type="pct"/>
          </w:tcPr>
          <w:p w14:paraId="29749686" w14:textId="77777777" w:rsidR="002A2FAE" w:rsidRPr="00027624" w:rsidRDefault="002A2FAE" w:rsidP="002A2FAE">
            <w:pPr>
              <w:pStyle w:val="ChartSecondHeading"/>
            </w:pPr>
            <w:r w:rsidRPr="00027624">
              <w:t>$800,000 superannuation balance at retirement</w:t>
            </w:r>
          </w:p>
        </w:tc>
      </w:tr>
    </w:tbl>
    <w:p w14:paraId="5DA8560E" w14:textId="77777777" w:rsidR="002A2FAE" w:rsidRPr="00027624" w:rsidRDefault="005F365A" w:rsidP="00D60066">
      <w:pPr>
        <w:pStyle w:val="ChartGraphic"/>
      </w:pPr>
      <w:r>
        <w:rPr>
          <w:noProof/>
        </w:rPr>
        <w:drawing>
          <wp:inline distT="0" distB="0" distL="0" distR="0" wp14:anchorId="24C6F7EB" wp14:editId="0021C4F2">
            <wp:extent cx="2872740" cy="2880360"/>
            <wp:effectExtent l="0" t="0" r="3810" b="0"/>
            <wp:docPr id="679974616" name="Picture 679974616" descr="This chart shows the total income profile for a person with a $400,000 superannuation balance at retirement, drawn down at minimum rates from an account-based pension, for a single home owner. The chart demonstrates that the income from an account-based pension, when paired with income from the Age Pension, creates a lumpy income profile that peaks at ages 85 to 90. " title="Chart 5A-19 Annual retirement income if an account-based pension is drawn down at minimum drawdown rates, single home owner - $400,000 superannuation balance at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r>
        <w:rPr>
          <w:noProof/>
        </w:rPr>
        <w:drawing>
          <wp:inline distT="0" distB="0" distL="0" distR="0" wp14:anchorId="2A8D31D6" wp14:editId="05BDA1E2">
            <wp:extent cx="2872740" cy="2880360"/>
            <wp:effectExtent l="0" t="0" r="3810" b="0"/>
            <wp:docPr id="679974617" name="Picture 679974617" descr="This chart shows the total income profile for a person with an $800,000 superannuation balance at retirement, drawn down at minimum rates from an account-based pension, for a single home owner. The chart demonstrates that the income from an account based pension, when paired with income from the Age Pension, creates a very lumpy income profile – more so than the previous chart showing a $400,000 balance." title="Chart 5A-19 Annual retirement income if an account-based pension is drawn down at minimum drawdown rates, single home owner - $800,000 superannuation balance at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1DFA3978" w14:textId="77777777" w:rsidR="002A2FAE" w:rsidRPr="00027624" w:rsidRDefault="002A2FAE" w:rsidP="002A2FAE">
      <w:pPr>
        <w:pStyle w:val="ChartorTableNote"/>
      </w:pPr>
      <w:r w:rsidRPr="00027624">
        <w:t>Source: Cameo modelling undertaken for the review.</w:t>
      </w:r>
    </w:p>
    <w:p w14:paraId="237B7707" w14:textId="77777777" w:rsidR="002A2FAE" w:rsidRPr="00027624" w:rsidRDefault="00A8443E" w:rsidP="002A2FAE">
      <w:pPr>
        <w:pStyle w:val="Heading4"/>
      </w:pPr>
      <w:r w:rsidRPr="00027624">
        <w:t>‘</w:t>
      </w:r>
      <w:r w:rsidR="002A2FAE" w:rsidRPr="00027624">
        <w:t>Nest egg</w:t>
      </w:r>
      <w:r w:rsidRPr="00027624">
        <w:t>’</w:t>
      </w:r>
      <w:r w:rsidR="002A2FAE" w:rsidRPr="00027624">
        <w:t xml:space="preserve"> framing</w:t>
      </w:r>
    </w:p>
    <w:p w14:paraId="5292177E" w14:textId="77777777" w:rsidR="002A2FAE" w:rsidRPr="00027624" w:rsidRDefault="002A2FAE" w:rsidP="002A2FAE">
      <w:pPr>
        <w:rPr>
          <w:bCs/>
        </w:rPr>
      </w:pPr>
      <w:r w:rsidRPr="00027624">
        <w:rPr>
          <w:bCs/>
        </w:rPr>
        <w:t>People are primed to save</w:t>
      </w:r>
      <w:r w:rsidRPr="00027624" w:rsidDel="003E2B12">
        <w:rPr>
          <w:bCs/>
        </w:rPr>
        <w:t xml:space="preserve"> for retirement during their</w:t>
      </w:r>
      <w:r w:rsidRPr="00027624">
        <w:rPr>
          <w:bCs/>
        </w:rPr>
        <w:t xml:space="preserve"> working lives, such as through compulsory superannuation. But, when they retire, they struggle with the concept that their savings are meant to be consumed to fund their retirement</w:t>
      </w:r>
      <w:r w:rsidRPr="00027624">
        <w:rPr>
          <w:bCs/>
        </w:rPr>
        <w:fldChar w:fldCharType="begin"/>
      </w:r>
      <w:r w:rsidRPr="00027624">
        <w:rPr>
          <w:bCs/>
        </w:rPr>
        <w:instrText xml:space="preserve">CITATION Ban15f \t  \m Ree16 \l 3081 </w:instrText>
      </w:r>
      <w:r w:rsidRPr="00027624">
        <w:rPr>
          <w:bCs/>
        </w:rPr>
        <w:fldChar w:fldCharType="separate"/>
      </w:r>
      <w:r w:rsidR="00E83F6E">
        <w:rPr>
          <w:bCs/>
          <w:noProof/>
        </w:rPr>
        <w:t xml:space="preserve"> </w:t>
      </w:r>
      <w:r w:rsidR="00E83F6E">
        <w:rPr>
          <w:noProof/>
        </w:rPr>
        <w:t>(Banerjee, 2015; Reeson, et al., 2016)</w:t>
      </w:r>
      <w:r w:rsidRPr="00027624">
        <w:rPr>
          <w:bCs/>
        </w:rPr>
        <w:fldChar w:fldCharType="end"/>
      </w:r>
      <w:r w:rsidRPr="00027624">
        <w:rPr>
          <w:bCs/>
        </w:rPr>
        <w:t xml:space="preserve">. People are primed to consider their savings are for saving, and not for spending. This </w:t>
      </w:r>
      <w:r w:rsidR="00A8443E" w:rsidRPr="00027624">
        <w:rPr>
          <w:bCs/>
        </w:rPr>
        <w:t>‘</w:t>
      </w:r>
      <w:r w:rsidRPr="00027624">
        <w:rPr>
          <w:bCs/>
        </w:rPr>
        <w:t>savings mindset</w:t>
      </w:r>
      <w:r w:rsidR="00A8443E" w:rsidRPr="00027624">
        <w:rPr>
          <w:bCs/>
        </w:rPr>
        <w:t>’</w:t>
      </w:r>
      <w:r w:rsidRPr="00027624">
        <w:rPr>
          <w:bCs/>
        </w:rPr>
        <w:t xml:space="preserve"> is reinforced by the fact that superannuation is often described as a savings balance or even a </w:t>
      </w:r>
      <w:r w:rsidR="00A8443E" w:rsidRPr="00027624">
        <w:rPr>
          <w:bCs/>
        </w:rPr>
        <w:t>‘</w:t>
      </w:r>
      <w:r w:rsidRPr="00027624">
        <w:rPr>
          <w:bCs/>
        </w:rPr>
        <w:t>nest egg</w:t>
      </w:r>
      <w:r w:rsidR="00A8443E" w:rsidRPr="00027624">
        <w:rPr>
          <w:bCs/>
        </w:rPr>
        <w:t>’</w:t>
      </w:r>
      <w:r w:rsidRPr="00027624">
        <w:rPr>
          <w:bCs/>
        </w:rPr>
        <w:t xml:space="preserve">, instead of </w:t>
      </w:r>
      <w:r w:rsidRPr="00027624">
        <w:t xml:space="preserve">in </w:t>
      </w:r>
      <w:r w:rsidRPr="00027624">
        <w:rPr>
          <w:bCs/>
        </w:rPr>
        <w:t>income terms (e.g. $500 a week). Evidence from the US suggests retirees are more reluctant to spend savings that they see as lump sums or investments, rather than as an income stream</w:t>
      </w:r>
      <w:r w:rsidRPr="00027624">
        <w:rPr>
          <w:bCs/>
        </w:rPr>
        <w:fldChar w:fldCharType="begin"/>
      </w:r>
      <w:r w:rsidRPr="00027624">
        <w:rPr>
          <w:bCs/>
        </w:rPr>
        <w:instrText xml:space="preserve">CITATION Bro08 \m Mad15 \l 3081 </w:instrText>
      </w:r>
      <w:r w:rsidRPr="00027624">
        <w:rPr>
          <w:bCs/>
        </w:rPr>
        <w:fldChar w:fldCharType="separate"/>
      </w:r>
      <w:r w:rsidR="00E83F6E">
        <w:rPr>
          <w:bCs/>
          <w:noProof/>
        </w:rPr>
        <w:t xml:space="preserve"> </w:t>
      </w:r>
      <w:r w:rsidR="00E83F6E">
        <w:rPr>
          <w:noProof/>
        </w:rPr>
        <w:t>(Brown, et al., 2008; Madamba &amp; Utkus, 2016)</w:t>
      </w:r>
      <w:r w:rsidRPr="00027624">
        <w:rPr>
          <w:bCs/>
        </w:rPr>
        <w:fldChar w:fldCharType="end"/>
      </w:r>
      <w:r w:rsidRPr="00027624">
        <w:rPr>
          <w:bCs/>
        </w:rPr>
        <w:t>.</w:t>
      </w:r>
      <w:r w:rsidRPr="00027624">
        <w:rPr>
          <w:bCs/>
          <w:vertAlign w:val="superscript"/>
        </w:rPr>
        <w:footnoteReference w:id="307"/>
      </w:r>
      <w:r w:rsidRPr="00027624">
        <w:rPr>
          <w:bCs/>
        </w:rPr>
        <w:t xml:space="preserve"> Comments from an Australian consumer fo</w:t>
      </w:r>
      <w:r w:rsidR="002E3D20" w:rsidRPr="00027624">
        <w:rPr>
          <w:bCs/>
        </w:rPr>
        <w:t>cus group support this finding:</w:t>
      </w:r>
    </w:p>
    <w:p w14:paraId="499C0F58" w14:textId="77777777" w:rsidR="002A2FAE" w:rsidRPr="00027624" w:rsidRDefault="00A8443E" w:rsidP="002E3D20">
      <w:pPr>
        <w:pStyle w:val="Quote"/>
      </w:pPr>
      <w:r w:rsidRPr="00027624">
        <w:t>‘</w:t>
      </w:r>
      <w:r w:rsidR="002A2FAE" w:rsidRPr="00027624">
        <w:t>At the moment I would be terrified to draw down on the super, I know we have a lot more super than most people, but we need it</w:t>
      </w:r>
      <w:r w:rsidRPr="00027624">
        <w:t>’</w:t>
      </w:r>
      <w:r w:rsidR="002A2FAE" w:rsidRPr="00027624">
        <w:t xml:space="preserve"> (female, retired 20 years).</w:t>
      </w:r>
      <w:r w:rsidR="002E3D20" w:rsidRPr="00027624">
        <w:br/>
      </w:r>
      <w:r w:rsidR="002E3D20" w:rsidRPr="00027624">
        <w:br/>
      </w:r>
      <w:r w:rsidRPr="00027624">
        <w:t>‘</w:t>
      </w:r>
      <w:r w:rsidR="002A2FAE" w:rsidRPr="00027624">
        <w:t>Big bills, I have an overdraft with the bank and pay for it out of that and then pay that back gradually over the year. Saves using the capital</w:t>
      </w:r>
      <w:r w:rsidRPr="00027624">
        <w:t>’</w:t>
      </w:r>
      <w:r w:rsidR="002A2FAE" w:rsidRPr="00027624">
        <w:t xml:space="preserve"> (male, retired 22 years</w:t>
      </w:r>
      <w:r w:rsidR="002E3D20" w:rsidRPr="00027624">
        <w:t>).</w:t>
      </w:r>
      <w:r w:rsidR="002E3D20" w:rsidRPr="00027624">
        <w:br/>
      </w:r>
      <w:r w:rsidR="002A2FAE" w:rsidRPr="00027624">
        <w:fldChar w:fldCharType="begin"/>
      </w:r>
      <w:r w:rsidR="002A2FAE" w:rsidRPr="00027624">
        <w:instrText xml:space="preserve">CITATION Nat19 \p 17-18 \l 3081 </w:instrText>
      </w:r>
      <w:r w:rsidR="002A2FAE" w:rsidRPr="00027624">
        <w:fldChar w:fldCharType="separate"/>
      </w:r>
      <w:r w:rsidR="00E83F6E">
        <w:rPr>
          <w:noProof/>
        </w:rPr>
        <w:t xml:space="preserve"> (McCallum, et al., 2019, pp. 17-18)</w:t>
      </w:r>
      <w:r w:rsidR="002A2FAE" w:rsidRPr="00027624">
        <w:fldChar w:fldCharType="end"/>
      </w:r>
    </w:p>
    <w:p w14:paraId="03058341" w14:textId="77777777" w:rsidR="002A2FAE" w:rsidRPr="00027624" w:rsidRDefault="002A2FAE" w:rsidP="002A2FAE">
      <w:pPr>
        <w:rPr>
          <w:bCs/>
        </w:rPr>
      </w:pPr>
      <w:r w:rsidRPr="00027624">
        <w:rPr>
          <w:bCs/>
        </w:rPr>
        <w:t>Another consumer focus group found people have three simple ideas to manage their finances in retirement: pay off the house, receive the Age Pension and hold on to all wealth</w:t>
      </w:r>
      <w:r w:rsidRPr="00027624">
        <w:rPr>
          <w:bCs/>
        </w:rPr>
        <w:fldChar w:fldCharType="begin"/>
      </w:r>
      <w:r w:rsidRPr="00027624">
        <w:rPr>
          <w:bCs/>
        </w:rPr>
        <w:instrText xml:space="preserve">CITATION Orf19 \p 13 \l 3081 </w:instrText>
      </w:r>
      <w:r w:rsidRPr="00027624" w:rsidDel="00235222">
        <w:rPr>
          <w:bCs/>
        </w:rPr>
        <w:instrText xml:space="preserve">CITATION Orf19 \p 13 \l 3081 </w:instrText>
      </w:r>
      <w:r w:rsidRPr="00027624">
        <w:rPr>
          <w:bCs/>
        </w:rPr>
        <w:fldChar w:fldCharType="separate"/>
      </w:r>
      <w:r w:rsidR="00E83F6E">
        <w:rPr>
          <w:bCs/>
          <w:noProof/>
        </w:rPr>
        <w:t xml:space="preserve"> </w:t>
      </w:r>
      <w:r w:rsidR="00E83F6E">
        <w:rPr>
          <w:noProof/>
        </w:rPr>
        <w:t>(Orford Initiative, 2019, p. 13)</w:t>
      </w:r>
      <w:r w:rsidRPr="00027624">
        <w:rPr>
          <w:bCs/>
        </w:rPr>
        <w:fldChar w:fldCharType="end"/>
      </w:r>
      <w:r w:rsidR="002E3D20" w:rsidRPr="00027624">
        <w:rPr>
          <w:bCs/>
        </w:rPr>
        <w:t>.</w:t>
      </w:r>
    </w:p>
    <w:p w14:paraId="058917C1" w14:textId="77777777" w:rsidR="002A2FAE" w:rsidRPr="00027624" w:rsidRDefault="002A2FAE" w:rsidP="002A2FAE">
      <w:pPr>
        <w:pStyle w:val="Heading3"/>
      </w:pPr>
      <w:bookmarkStart w:id="4150" w:name="_Ref43128472"/>
      <w:r w:rsidRPr="00027624">
        <w:t>Improving outcomes</w:t>
      </w:r>
      <w:bookmarkEnd w:id="4150"/>
    </w:p>
    <w:p w14:paraId="7760F0FF" w14:textId="77777777" w:rsidR="002A2FAE" w:rsidRPr="00027624" w:rsidRDefault="002A2FAE" w:rsidP="002A2FAE">
      <w:pPr>
        <w:spacing w:after="160" w:line="259" w:lineRule="auto"/>
      </w:pPr>
      <w:r w:rsidRPr="00027624">
        <w:rPr>
          <w:b/>
        </w:rPr>
        <w:t xml:space="preserve">The </w:t>
      </w:r>
      <w:r w:rsidRPr="00027624">
        <w:rPr>
          <w:b/>
          <w:bCs/>
        </w:rPr>
        <w:t>system should support people to make good decisions and get better outcomes in retirement</w:t>
      </w:r>
      <w:r w:rsidRPr="00027624">
        <w:rPr>
          <w:bCs/>
        </w:rPr>
        <w:t>.</w:t>
      </w:r>
      <w:r w:rsidRPr="00027624">
        <w:t xml:space="preserve"> System cohesion at retirement would be improved if people could:</w:t>
      </w:r>
    </w:p>
    <w:p w14:paraId="5D0A6C13" w14:textId="77777777" w:rsidR="002A2FAE" w:rsidRPr="00027624" w:rsidRDefault="002A2FAE" w:rsidP="00FC7361">
      <w:pPr>
        <w:pStyle w:val="Bullet"/>
        <w:numPr>
          <w:ilvl w:val="0"/>
          <w:numId w:val="38"/>
        </w:numPr>
        <w:rPr>
          <w:b/>
        </w:rPr>
      </w:pPr>
      <w:r w:rsidRPr="00027624">
        <w:t>Combine their income sources with minimal effort</w:t>
      </w:r>
    </w:p>
    <w:p w14:paraId="73E0F2C9" w14:textId="77777777" w:rsidR="002A2FAE" w:rsidRPr="00027624" w:rsidRDefault="002A2FAE" w:rsidP="00FC7361">
      <w:pPr>
        <w:pStyle w:val="Bullet"/>
        <w:numPr>
          <w:ilvl w:val="0"/>
          <w:numId w:val="38"/>
        </w:numPr>
        <w:rPr>
          <w:b/>
        </w:rPr>
      </w:pPr>
      <w:r w:rsidRPr="00027624">
        <w:t>Consume more of their savings to support their standard of living in retirement</w:t>
      </w:r>
    </w:p>
    <w:p w14:paraId="17CEF9B7" w14:textId="77777777" w:rsidR="002A2FAE" w:rsidRPr="00027624" w:rsidRDefault="002A2FAE" w:rsidP="002A2FAE">
      <w:pPr>
        <w:spacing w:after="160" w:line="259" w:lineRule="auto"/>
        <w:rPr>
          <w:b/>
        </w:rPr>
      </w:pPr>
      <w:r w:rsidRPr="00027624">
        <w:t xml:space="preserve">Both of these involve helping people to make decisions in the face of risks and uncertainties, and choose more optimal outcomes rather than relying on behavioural biases or inertia. </w:t>
      </w:r>
    </w:p>
    <w:p w14:paraId="7A4E9C25" w14:textId="77777777" w:rsidR="002A2FAE" w:rsidRPr="00027624" w:rsidRDefault="002A2FAE" w:rsidP="002A2FAE">
      <w:r w:rsidRPr="00027624">
        <w:t>Stakeholders suggested a number of ways retirement outcomes could be improved:</w:t>
      </w:r>
    </w:p>
    <w:p w14:paraId="34C94043" w14:textId="77777777" w:rsidR="002A2FAE" w:rsidRPr="00027624" w:rsidRDefault="002A2FAE" w:rsidP="00FC7361">
      <w:pPr>
        <w:pStyle w:val="Bullet"/>
        <w:numPr>
          <w:ilvl w:val="0"/>
          <w:numId w:val="38"/>
        </w:numPr>
      </w:pPr>
      <w:r w:rsidRPr="00027624">
        <w:t>Expressing retirement income projections as an income stream may help people overcome asset framing of retirement savings.</w:t>
      </w:r>
    </w:p>
    <w:p w14:paraId="27B317E4" w14:textId="77777777" w:rsidR="002A2FAE" w:rsidRPr="00027624" w:rsidRDefault="002A2FAE" w:rsidP="00931935">
      <w:pPr>
        <w:pStyle w:val="Bullet"/>
      </w:pPr>
      <w:r w:rsidRPr="00027624">
        <w:t>Increasing financial literacy, if people are willing to engage, would help people make better decisions.</w:t>
      </w:r>
    </w:p>
    <w:p w14:paraId="1CA85F98" w14:textId="77777777" w:rsidR="002A2FAE" w:rsidRPr="00027624" w:rsidRDefault="002A2FAE" w:rsidP="00791570">
      <w:pPr>
        <w:pStyle w:val="Bullet"/>
      </w:pPr>
      <w:r w:rsidRPr="00027624">
        <w:t>Providing guidance and financial advice</w:t>
      </w:r>
      <w:r w:rsidRPr="00027624" w:rsidDel="00934E60">
        <w:t xml:space="preserve"> </w:t>
      </w:r>
      <w:r w:rsidRPr="00027624">
        <w:t>about retirement options and trade</w:t>
      </w:r>
      <w:r w:rsidR="00A8443E" w:rsidRPr="00027624">
        <w:noBreakHyphen/>
      </w:r>
      <w:r w:rsidRPr="00027624">
        <w:t>offs would reduce the amount of complexity people have to face.</w:t>
      </w:r>
    </w:p>
    <w:p w14:paraId="026814ED" w14:textId="77777777" w:rsidR="002A2FAE" w:rsidRPr="00027624" w:rsidRDefault="002A2FAE" w:rsidP="00791570">
      <w:pPr>
        <w:pStyle w:val="Bullet"/>
      </w:pPr>
      <w:r w:rsidRPr="00027624">
        <w:t>Offering a guided choice framework to help people make decisions would improve outcomes for those who would otherwise</w:t>
      </w:r>
      <w:r w:rsidRPr="00027624" w:rsidDel="005B7764">
        <w:t xml:space="preserve"> </w:t>
      </w:r>
      <w:r w:rsidRPr="00027624">
        <w:t>rely on defaults, such a</w:t>
      </w:r>
      <w:r w:rsidR="00620C5E" w:rsidRPr="00027624">
        <w:t>s the minimum draw</w:t>
      </w:r>
      <w:r w:rsidRPr="00027624">
        <w:t>down rates.</w:t>
      </w:r>
    </w:p>
    <w:p w14:paraId="6DF77F3E" w14:textId="77777777" w:rsidR="002A2FAE" w:rsidRPr="00027624" w:rsidRDefault="002A2FAE" w:rsidP="00791570">
      <w:pPr>
        <w:pStyle w:val="Bullet"/>
      </w:pPr>
      <w:r w:rsidRPr="00027624">
        <w:t>Simplifying the system.</w:t>
      </w:r>
    </w:p>
    <w:p w14:paraId="4AD961BD" w14:textId="77777777" w:rsidR="002A2FAE" w:rsidRPr="00027624" w:rsidRDefault="002A2FAE" w:rsidP="002A2FAE">
      <w:pPr>
        <w:pStyle w:val="Heading4"/>
      </w:pPr>
      <w:r w:rsidRPr="00027624">
        <w:t>Retirement income projections</w:t>
      </w:r>
    </w:p>
    <w:p w14:paraId="108775F1" w14:textId="0D61E298" w:rsidR="002A2FAE" w:rsidRPr="00027624" w:rsidRDefault="002A2FAE" w:rsidP="002A2FAE">
      <w:pPr>
        <w:rPr>
          <w:bCs/>
        </w:rPr>
      </w:pPr>
      <w:r w:rsidRPr="00027624">
        <w:rPr>
          <w:bCs/>
        </w:rPr>
        <w:t>Projections or estimates of a person</w:t>
      </w:r>
      <w:r w:rsidR="00A8443E" w:rsidRPr="00027624">
        <w:rPr>
          <w:bCs/>
        </w:rPr>
        <w:t>’</w:t>
      </w:r>
      <w:r w:rsidRPr="00027624">
        <w:rPr>
          <w:bCs/>
        </w:rPr>
        <w:t xml:space="preserve">s retirement income, which focus on future income </w:t>
      </w:r>
      <w:r w:rsidRPr="00027624">
        <w:t xml:space="preserve">streams </w:t>
      </w:r>
      <w:r w:rsidRPr="00027624">
        <w:rPr>
          <w:bCs/>
        </w:rPr>
        <w:t xml:space="preserve">rather than lump sums, can help people plan for their retirement. </w:t>
      </w:r>
      <w:r w:rsidRPr="00027624">
        <w:t>Specifically, they</w:t>
      </w:r>
      <w:r w:rsidRPr="00027624">
        <w:rPr>
          <w:bCs/>
        </w:rPr>
        <w:t xml:space="preserve"> may help people to think about superannuation in terms of income, rather than an asset (</w:t>
      </w:r>
      <w:r w:rsidRPr="00027624">
        <w:rPr>
          <w:bCs/>
        </w:rPr>
        <w:fldChar w:fldCharType="begin"/>
      </w:r>
      <w:r w:rsidRPr="00027624">
        <w:rPr>
          <w:bCs/>
        </w:rPr>
        <w:instrText xml:space="preserve"> REF _Ref40334776 \r \h  \* MERGEFORMAT </w:instrText>
      </w:r>
      <w:r w:rsidRPr="00027624">
        <w:rPr>
          <w:bCs/>
        </w:rPr>
      </w:r>
      <w:r w:rsidRPr="00027624">
        <w:rPr>
          <w:bCs/>
        </w:rPr>
        <w:fldChar w:fldCharType="separate"/>
      </w:r>
      <w:r w:rsidR="00891058">
        <w:rPr>
          <w:bCs/>
        </w:rPr>
        <w:t>Box 5A-9</w:t>
      </w:r>
      <w:r w:rsidRPr="00027624">
        <w:rPr>
          <w:bCs/>
        </w:rPr>
        <w:fldChar w:fldCharType="end"/>
      </w:r>
      <w:r w:rsidRPr="00027624">
        <w:rPr>
          <w:bCs/>
        </w:rPr>
        <w:t>). The framing issue could also be overcome if converting savings into income was a default part of the system; for example</w:t>
      </w:r>
      <w:r w:rsidRPr="00027624">
        <w:t xml:space="preserve">, </w:t>
      </w:r>
      <w:r w:rsidRPr="00027624">
        <w:rPr>
          <w:bCs/>
        </w:rPr>
        <w:t>if people used part of their contributions to superannuation to pre</w:t>
      </w:r>
      <w:r w:rsidR="00A8443E" w:rsidRPr="00027624">
        <w:rPr>
          <w:bCs/>
        </w:rPr>
        <w:noBreakHyphen/>
      </w:r>
      <w:r w:rsidRPr="00027624">
        <w:rPr>
          <w:bCs/>
        </w:rPr>
        <w:t xml:space="preserve">purchase an income stream, rather than to increase their savings balance. This would be similar to the situation with some defined benefit pensions, where people contribute to a right to an income stream. </w:t>
      </w:r>
    </w:p>
    <w:p w14:paraId="37C44FB4" w14:textId="77777777" w:rsidR="002A2FAE" w:rsidRPr="00027624" w:rsidRDefault="002A2FAE" w:rsidP="00010DDE">
      <w:pPr>
        <w:pStyle w:val="SingleParagraph"/>
      </w:pPr>
    </w:p>
    <w:tbl>
      <w:tblPr>
        <w:tblW w:w="5000" w:type="pct"/>
        <w:shd w:val="clear" w:color="auto" w:fill="FFF8EA"/>
        <w:tblCellMar>
          <w:top w:w="113" w:type="dxa"/>
          <w:bottom w:w="113" w:type="dxa"/>
        </w:tblCellMar>
        <w:tblLook w:val="01E0" w:firstRow="1" w:lastRow="1" w:firstColumn="1" w:lastColumn="1" w:noHBand="0" w:noVBand="0"/>
      </w:tblPr>
      <w:tblGrid>
        <w:gridCol w:w="9070"/>
      </w:tblGrid>
      <w:tr w:rsidR="002A2FAE" w:rsidRPr="00027624" w14:paraId="10E4E3B4" w14:textId="77777777" w:rsidTr="003275A4">
        <w:tc>
          <w:tcPr>
            <w:tcW w:w="5000" w:type="pct"/>
            <w:shd w:val="clear" w:color="auto" w:fill="FFF8EA"/>
          </w:tcPr>
          <w:p w14:paraId="01328C3A" w14:textId="77777777" w:rsidR="002A2FAE" w:rsidRPr="00027624" w:rsidRDefault="002A2FAE" w:rsidP="00325A8D">
            <w:pPr>
              <w:pStyle w:val="BoxHeading"/>
              <w:keepNext w:val="0"/>
              <w:widowControl w:val="0"/>
              <w:numPr>
                <w:ilvl w:val="5"/>
                <w:numId w:val="13"/>
              </w:numPr>
            </w:pPr>
            <w:bookmarkStart w:id="4151" w:name="_Ref40334776"/>
            <w:bookmarkStart w:id="4152" w:name="_Ref41741073"/>
            <w:r w:rsidRPr="00027624">
              <w:t>Retirement income projections and calculators</w:t>
            </w:r>
          </w:p>
          <w:p w14:paraId="0B3A4CC3" w14:textId="77777777" w:rsidR="002A2FAE" w:rsidRPr="00027624" w:rsidRDefault="002A2FAE" w:rsidP="002A2FAE">
            <w:pPr>
              <w:pStyle w:val="BoxText"/>
            </w:pPr>
            <w:r w:rsidRPr="00027624">
              <w:t xml:space="preserve">Presenting information in a relatively simple manner can improve understanding and reduce cognitive load </w:t>
            </w:r>
            <w:r w:rsidRPr="00027624">
              <w:fldChar w:fldCharType="begin"/>
            </w:r>
            <w:r w:rsidRPr="00027624">
              <w:instrText xml:space="preserve"> CITATION Pro17 \l 3081 </w:instrText>
            </w:r>
            <w:r w:rsidRPr="00027624">
              <w:fldChar w:fldCharType="separate"/>
            </w:r>
            <w:r w:rsidR="00E83F6E">
              <w:rPr>
                <w:noProof/>
              </w:rPr>
              <w:t xml:space="preserve"> (Hiscox, et al., 2017)</w:t>
            </w:r>
            <w:r w:rsidRPr="00027624">
              <w:fldChar w:fldCharType="end"/>
            </w:r>
            <w:r w:rsidRPr="00027624">
              <w:t xml:space="preserve">. </w:t>
            </w:r>
          </w:p>
          <w:p w14:paraId="569F9774" w14:textId="77777777" w:rsidR="002A2FAE" w:rsidRPr="00027624" w:rsidRDefault="002A2FAE" w:rsidP="002A2FAE">
            <w:pPr>
              <w:pStyle w:val="BoxText"/>
            </w:pPr>
            <w:r w:rsidRPr="00027624">
              <w:rPr>
                <w:b/>
              </w:rPr>
              <w:t xml:space="preserve">Retirement income projections </w:t>
            </w:r>
            <w:r w:rsidRPr="00027624">
              <w:t xml:space="preserve">indicate the amount of income or the superannuation balance a person will have at retirement while they are in the process of saving. Projections are sent to members through periodic statements by their superannuation fund to help people plan for retirement. If presented in terms of income, projections could also overcome framing retirement savings as a </w:t>
            </w:r>
            <w:r w:rsidR="00A8443E" w:rsidRPr="00027624">
              <w:t>‘</w:t>
            </w:r>
            <w:r w:rsidRPr="00027624">
              <w:t>nest egg</w:t>
            </w:r>
            <w:r w:rsidR="00A8443E" w:rsidRPr="00027624">
              <w:t>’</w:t>
            </w:r>
            <w:r w:rsidRPr="00027624">
              <w:t xml:space="preserve">. </w:t>
            </w:r>
          </w:p>
          <w:p w14:paraId="43820E7A" w14:textId="77777777" w:rsidR="002A2FAE" w:rsidRPr="00027624" w:rsidRDefault="002A2FAE" w:rsidP="002A2FAE">
            <w:pPr>
              <w:pStyle w:val="BoxText"/>
            </w:pPr>
            <w:r w:rsidRPr="00027624">
              <w:t>While evidence suggests income projections increase pre</w:t>
            </w:r>
            <w:r w:rsidR="00A8443E" w:rsidRPr="00027624">
              <w:noBreakHyphen/>
            </w:r>
            <w:r w:rsidRPr="00027624">
              <w:t>retirement engagement with superannuation</w:t>
            </w:r>
            <w:r w:rsidRPr="00027624">
              <w:fldChar w:fldCharType="begin"/>
            </w:r>
            <w:r w:rsidRPr="00027624">
              <w:instrText xml:space="preserve"> CITATION Smy19 \l 3081 </w:instrText>
            </w:r>
            <w:r w:rsidRPr="00027624">
              <w:fldChar w:fldCharType="separate"/>
            </w:r>
            <w:r w:rsidR="00E83F6E">
              <w:rPr>
                <w:noProof/>
              </w:rPr>
              <w:t xml:space="preserve"> (Smyrnis, et al., 2019)</w:t>
            </w:r>
            <w:r w:rsidRPr="00027624">
              <w:fldChar w:fldCharType="end"/>
            </w:r>
            <w:r w:rsidRPr="00027624">
              <w:t xml:space="preserve">, their impact on drawing down assets in retirement has not yet been tested. </w:t>
            </w:r>
          </w:p>
          <w:p w14:paraId="6F722B7E" w14:textId="77777777" w:rsidR="002A2FAE" w:rsidRPr="00027624" w:rsidRDefault="002A2FAE" w:rsidP="002A2FAE">
            <w:pPr>
              <w:pStyle w:val="BoxText"/>
            </w:pPr>
            <w:r w:rsidRPr="00027624">
              <w:t>The Government has been working on a framework to encourage the use of retirement income projections and to ensure the projections are presented on a consistent basis to avoid confusing people.</w:t>
            </w:r>
            <w:r w:rsidRPr="00027624">
              <w:rPr>
                <w:rStyle w:val="FootnoteReference"/>
              </w:rPr>
              <w:footnoteReference w:id="308"/>
            </w:r>
            <w:r w:rsidRPr="00027624">
              <w:t xml:space="preserve"> </w:t>
            </w:r>
          </w:p>
          <w:p w14:paraId="09FB846D" w14:textId="77777777" w:rsidR="002A2FAE" w:rsidRPr="00027624" w:rsidRDefault="002A2FAE" w:rsidP="002A2FAE">
            <w:pPr>
              <w:rPr>
                <w:sz w:val="20"/>
              </w:rPr>
            </w:pPr>
            <w:r w:rsidRPr="00027624">
              <w:rPr>
                <w:sz w:val="20"/>
              </w:rPr>
              <w:t xml:space="preserve">Similar to retirement income projections, </w:t>
            </w:r>
            <w:r w:rsidRPr="00027624">
              <w:rPr>
                <w:b/>
                <w:sz w:val="20"/>
              </w:rPr>
              <w:t>retirement income calculators</w:t>
            </w:r>
            <w:r w:rsidRPr="00027624">
              <w:rPr>
                <w:sz w:val="20"/>
              </w:rPr>
              <w:t xml:space="preserve"> are available on fund websites. They allow people to calculate their retirement income by entering their own information. But current calculators are limited to calculations of expected Age Pension income and suggested superannuation withdrawals. Also, the assumptions used are not as closely regulated as retirement income projections. </w:t>
            </w:r>
          </w:p>
          <w:p w14:paraId="1114029F" w14:textId="77777777" w:rsidR="002A2FAE" w:rsidRPr="00027624" w:rsidRDefault="002A2FAE" w:rsidP="002A2FAE">
            <w:pPr>
              <w:pStyle w:val="BoxText"/>
            </w:pPr>
            <w:r w:rsidRPr="00027624">
              <w:t>Because they offer long</w:t>
            </w:r>
            <w:r w:rsidR="00A8443E" w:rsidRPr="00027624">
              <w:noBreakHyphen/>
            </w:r>
            <w:r w:rsidRPr="00027624">
              <w:t xml:space="preserve">term estimates, assumptions are critical to the effectiveness of both calculators and projections. To help typical people balance their current and future incomes, default assumptions must be reliable and neither overly conservative nor optimistic. The assumptions needed for these calculators and projections include future rates of return on investment, expected Age Pension income and benchmark retirement income. There is a role for regulation in ensuring the assumptions used in all tools are reasonable and consistent. </w:t>
            </w:r>
          </w:p>
          <w:p w14:paraId="47B54A01" w14:textId="77777777" w:rsidR="002A2FAE" w:rsidRPr="00027624" w:rsidRDefault="002A2FAE" w:rsidP="002A2FAE">
            <w:r w:rsidRPr="00027624">
              <w:rPr>
                <w:sz w:val="20"/>
              </w:rPr>
              <w:t>The ASIC Retirement Planner on the MoneySmart website, which helps people calculate their superannuation and Age Pension income, was used by 6 per cent of the population aged 45</w:t>
            </w:r>
            <w:r w:rsidR="00A8443E" w:rsidRPr="00027624">
              <w:rPr>
                <w:sz w:val="20"/>
              </w:rPr>
              <w:noBreakHyphen/>
            </w:r>
            <w:r w:rsidRPr="00027624">
              <w:rPr>
                <w:sz w:val="20"/>
              </w:rPr>
              <w:t>65 in 2019.</w:t>
            </w:r>
            <w:r w:rsidRPr="00027624">
              <w:rPr>
                <w:rStyle w:val="FootnoteReference"/>
              </w:rPr>
              <w:footnoteReference w:id="309"/>
            </w:r>
            <w:r w:rsidRPr="00027624">
              <w:rPr>
                <w:sz w:val="20"/>
              </w:rPr>
              <w:t xml:space="preserve"> </w:t>
            </w:r>
          </w:p>
        </w:tc>
      </w:tr>
    </w:tbl>
    <w:bookmarkEnd w:id="4151"/>
    <w:bookmarkEnd w:id="4152"/>
    <w:p w14:paraId="380033FA" w14:textId="77777777" w:rsidR="002A2FAE" w:rsidRPr="00027624" w:rsidRDefault="002A2FAE" w:rsidP="002A2FAE">
      <w:pPr>
        <w:pStyle w:val="Heading4"/>
      </w:pPr>
      <w:r w:rsidRPr="00027624">
        <w:t>Financial literacy</w:t>
      </w:r>
    </w:p>
    <w:p w14:paraId="7AD6D183" w14:textId="77777777" w:rsidR="002A2FAE" w:rsidRPr="00027624" w:rsidRDefault="002A2FAE" w:rsidP="002A2FAE">
      <w:pPr>
        <w:rPr>
          <w:bCs/>
        </w:rPr>
      </w:pPr>
      <w:r w:rsidRPr="00027624">
        <w:t>Lower financial literacy is correlated with:</w:t>
      </w:r>
    </w:p>
    <w:p w14:paraId="1E308AAC" w14:textId="77777777" w:rsidR="002A2FAE" w:rsidRPr="00027624" w:rsidRDefault="002A2FAE" w:rsidP="00791570">
      <w:pPr>
        <w:pStyle w:val="Bullet"/>
      </w:pPr>
      <w:r w:rsidRPr="00027624">
        <w:t>Lower superannuation balances</w:t>
      </w:r>
    </w:p>
    <w:p w14:paraId="4744BA88" w14:textId="77777777" w:rsidR="002A2FAE" w:rsidRPr="00027624" w:rsidRDefault="002A2FAE" w:rsidP="00791570">
      <w:pPr>
        <w:pStyle w:val="Bullet"/>
      </w:pPr>
      <w:r w:rsidRPr="00027624">
        <w:t>Lower willingness to take financial risk</w:t>
      </w:r>
    </w:p>
    <w:p w14:paraId="32B4C946" w14:textId="77777777" w:rsidR="002A2FAE" w:rsidRPr="00027624" w:rsidRDefault="002A2FAE" w:rsidP="00791570">
      <w:pPr>
        <w:pStyle w:val="Bullet"/>
      </w:pPr>
      <w:r w:rsidRPr="00027624">
        <w:t>Shorter savings horizons</w:t>
      </w:r>
    </w:p>
    <w:p w14:paraId="5C9A6269" w14:textId="77777777" w:rsidR="002A2FAE" w:rsidRPr="00027624" w:rsidRDefault="002A2FAE" w:rsidP="00791570">
      <w:pPr>
        <w:pStyle w:val="Bullet"/>
      </w:pPr>
      <w:r w:rsidRPr="00027624">
        <w:t>Being less likely to set up a retirement plan</w:t>
      </w:r>
    </w:p>
    <w:p w14:paraId="29BE4A23" w14:textId="77777777" w:rsidR="002A2FAE" w:rsidRPr="00027624" w:rsidRDefault="002A2FAE" w:rsidP="00791570">
      <w:pPr>
        <w:pStyle w:val="Bullet"/>
      </w:pPr>
      <w:r w:rsidRPr="00027624">
        <w:t>Being less informed about pension rules</w:t>
      </w:r>
    </w:p>
    <w:p w14:paraId="042EDB17" w14:textId="77777777" w:rsidR="002A2FAE" w:rsidRPr="00027624" w:rsidRDefault="002A2FAE" w:rsidP="00791570">
      <w:pPr>
        <w:pStyle w:val="Bullet"/>
      </w:pPr>
      <w:r w:rsidRPr="00027624">
        <w:t>Paying higher investment fees</w:t>
      </w:r>
    </w:p>
    <w:p w14:paraId="1497A194" w14:textId="77777777" w:rsidR="002A2FAE" w:rsidRPr="00027624" w:rsidRDefault="002A2FAE" w:rsidP="00791570">
      <w:pPr>
        <w:pStyle w:val="Bullet"/>
      </w:pPr>
      <w:r w:rsidRPr="00027624">
        <w:t>Not diversifying pension assets</w:t>
      </w:r>
      <w:sdt>
        <w:sdtPr>
          <w:id w:val="-339001529"/>
          <w:citation/>
        </w:sdtPr>
        <w:sdtEndPr/>
        <w:sdtContent>
          <w:r w:rsidRPr="00027624">
            <w:fldChar w:fldCharType="begin"/>
          </w:r>
          <w:r w:rsidRPr="00027624">
            <w:instrText xml:space="preserve"> CITATION Lus14 \l 3081  \m Pre20</w:instrText>
          </w:r>
          <w:r w:rsidRPr="00027624">
            <w:fldChar w:fldCharType="separate"/>
          </w:r>
          <w:r w:rsidR="00E83F6E">
            <w:rPr>
              <w:noProof/>
            </w:rPr>
            <w:t xml:space="preserve"> (Lusardi &amp; Mitchell, 2014; Preston, 2020)</w:t>
          </w:r>
          <w:r w:rsidRPr="00027624">
            <w:fldChar w:fldCharType="end"/>
          </w:r>
        </w:sdtContent>
      </w:sdt>
      <w:r w:rsidRPr="00027624">
        <w:t xml:space="preserve"> </w:t>
      </w:r>
    </w:p>
    <w:p w14:paraId="181E624A" w14:textId="77777777" w:rsidR="002A2FAE" w:rsidRPr="00027624" w:rsidRDefault="002A2FAE" w:rsidP="002A2FAE">
      <w:r w:rsidRPr="00027624">
        <w:t>However, limited evidence exists that programs aimed at improving financial literacy are effective. One meta</w:t>
      </w:r>
      <w:r w:rsidR="00A8443E" w:rsidRPr="00027624">
        <w:noBreakHyphen/>
      </w:r>
      <w:r w:rsidRPr="00027624">
        <w:t>analysis of the international literature found that interventions to improve financial literacy explained only 0.1 per cent of the variance in financial behaviours studied, and that even extensive education programs had negligible effects on financial behaviour 20 months on from the time of intervention</w:t>
      </w:r>
      <w:r w:rsidRPr="00027624">
        <w:fldChar w:fldCharType="begin"/>
      </w:r>
      <w:r w:rsidRPr="00027624">
        <w:instrText xml:space="preserve"> CITATION Fer05 \l 3081 </w:instrText>
      </w:r>
      <w:r w:rsidRPr="00027624">
        <w:fldChar w:fldCharType="separate"/>
      </w:r>
      <w:r w:rsidR="00E83F6E">
        <w:rPr>
          <w:noProof/>
        </w:rPr>
        <w:t xml:space="preserve"> (Fernandes, et al., 2005)</w:t>
      </w:r>
      <w:r w:rsidRPr="00027624">
        <w:fldChar w:fldCharType="end"/>
      </w:r>
      <w:r w:rsidRPr="00027624">
        <w:t>. A review of the international literature concluded that the results of financial education interventions are highly variable</w:t>
      </w:r>
      <w:r w:rsidRPr="00027624">
        <w:fldChar w:fldCharType="begin"/>
      </w:r>
      <w:r w:rsidRPr="00027624">
        <w:instrText xml:space="preserve">CITATION Joh18 \p 224 \l 3081 </w:instrText>
      </w:r>
      <w:r w:rsidRPr="00027624">
        <w:fldChar w:fldCharType="separate"/>
      </w:r>
      <w:r w:rsidR="00E83F6E">
        <w:rPr>
          <w:noProof/>
        </w:rPr>
        <w:t xml:space="preserve"> (Beshears, et al., 2018, p. 224)</w:t>
      </w:r>
      <w:r w:rsidRPr="00027624">
        <w:fldChar w:fldCharType="end"/>
      </w:r>
      <w:r w:rsidRPr="00027624">
        <w:t>. The Productivity Commission recommended Australian financial literacy initiatives be subject to formal, independent evaluation for funding to continue</w:t>
      </w:r>
      <w:r w:rsidRPr="00027624">
        <w:fldChar w:fldCharType="begin"/>
      </w:r>
      <w:r w:rsidRPr="00027624">
        <w:instrText xml:space="preserve">CITATION Pro18 \l 3081 </w:instrText>
      </w:r>
      <w:r w:rsidRPr="00027624">
        <w:fldChar w:fldCharType="separate"/>
      </w:r>
      <w:r w:rsidR="00E83F6E">
        <w:rPr>
          <w:noProof/>
        </w:rPr>
        <w:t xml:space="preserve"> (Productivity Commission, 2018a)</w:t>
      </w:r>
      <w:r w:rsidRPr="00027624">
        <w:fldChar w:fldCharType="end"/>
      </w:r>
      <w:r w:rsidRPr="00027624">
        <w:t xml:space="preserve">. In 2018, ASIC switched from a National Financial Literacy Strategy to a National Financial Capability Strategy and is now finalising a monitoring and evaluation framework. </w:t>
      </w:r>
    </w:p>
    <w:p w14:paraId="60AD7B36" w14:textId="77777777" w:rsidR="002A2FAE" w:rsidRPr="00027624" w:rsidRDefault="002A2FAE" w:rsidP="002A2FAE">
      <w:r w:rsidRPr="00027624">
        <w:t>Qualitative research done for a consumer group indicated that people did not want to be educated about superannuation; instead, they wanted assistance in making decisions</w:t>
      </w:r>
      <w:r w:rsidR="00AB0822" w:rsidRPr="00AB0822">
        <w:t xml:space="preserve"> </w:t>
      </w:r>
      <w:sdt>
        <w:sdtPr>
          <w:id w:val="1159733237"/>
          <w:citation/>
        </w:sdtPr>
        <w:sdtEndPr/>
        <w:sdtContent>
          <w:r w:rsidR="00AB0822" w:rsidRPr="00027624">
            <w:fldChar w:fldCharType="begin"/>
          </w:r>
          <w:r w:rsidR="00AB0822">
            <w:instrText xml:space="preserve">CITATION Sup20 \p 23 \l 3081 </w:instrText>
          </w:r>
          <w:r w:rsidR="00AB0822" w:rsidRPr="00027624">
            <w:fldChar w:fldCharType="separate"/>
          </w:r>
          <w:r w:rsidR="00E83F6E">
            <w:rPr>
              <w:noProof/>
            </w:rPr>
            <w:t>(Super Consumers Australia, 2020, p. 23)</w:t>
          </w:r>
          <w:r w:rsidR="00AB0822" w:rsidRPr="00027624">
            <w:fldChar w:fldCharType="end"/>
          </w:r>
        </w:sdtContent>
      </w:sdt>
      <w:r w:rsidRPr="00027624">
        <w:t>. Similarly, a joint paper by ASIC and the Dutch Authority for Financial Markets found that product disclosure has not solved the complexity of financial markets. Firms providing mandatory information has not necessarily resulted in informed consumers and often does not correlate with better consumer outcomes</w:t>
      </w:r>
      <w:r w:rsidRPr="00027624">
        <w:rPr>
          <w:noProof/>
        </w:rPr>
        <w:fldChar w:fldCharType="begin"/>
      </w:r>
      <w:r w:rsidRPr="00027624">
        <w:rPr>
          <w:noProof/>
        </w:rPr>
        <w:instrText xml:space="preserve">CITATION ASI192 \l 3081 </w:instrText>
      </w:r>
      <w:r w:rsidRPr="00027624">
        <w:rPr>
          <w:noProof/>
        </w:rPr>
        <w:fldChar w:fldCharType="separate"/>
      </w:r>
      <w:r w:rsidR="00E83F6E">
        <w:rPr>
          <w:noProof/>
        </w:rPr>
        <w:t xml:space="preserve"> (ASIC and the Dutch Authority for Financial Markets, 2019a)</w:t>
      </w:r>
      <w:r w:rsidRPr="00027624">
        <w:rPr>
          <w:noProof/>
        </w:rPr>
        <w:fldChar w:fldCharType="end"/>
      </w:r>
      <w:r w:rsidRPr="00027624">
        <w:rPr>
          <w:noProof/>
        </w:rPr>
        <w:t>.</w:t>
      </w:r>
    </w:p>
    <w:p w14:paraId="7A5CA7A5" w14:textId="77777777" w:rsidR="002A2FAE" w:rsidRPr="00027624" w:rsidRDefault="002A2FAE" w:rsidP="002A2FAE">
      <w:r w:rsidRPr="00027624">
        <w:t xml:space="preserve">This suggests that financial literacy initiatives should not be relied on to improve engagement and retirement outcomes, given the difficulty of improving financial literacy. </w:t>
      </w:r>
      <w:r w:rsidRPr="00027624">
        <w:rPr>
          <w:b/>
        </w:rPr>
        <w:t>Financial advice and guidance may be more likely to improve decision</w:t>
      </w:r>
      <w:r w:rsidR="00A8443E" w:rsidRPr="00027624">
        <w:rPr>
          <w:b/>
        </w:rPr>
        <w:noBreakHyphen/>
      </w:r>
      <w:r w:rsidRPr="00027624">
        <w:rPr>
          <w:b/>
        </w:rPr>
        <w:t>making.</w:t>
      </w:r>
    </w:p>
    <w:p w14:paraId="4F986DC3" w14:textId="77777777" w:rsidR="002A2FAE" w:rsidRPr="00027624" w:rsidRDefault="002A2FAE" w:rsidP="002A2FAE">
      <w:pPr>
        <w:pStyle w:val="Heading4"/>
      </w:pPr>
      <w:r w:rsidRPr="00027624">
        <w:t xml:space="preserve">Financial advice and guidance </w:t>
      </w:r>
    </w:p>
    <w:p w14:paraId="25B79F64" w14:textId="2181A3D1" w:rsidR="002A2FAE" w:rsidRPr="00027624" w:rsidRDefault="002A2FAE" w:rsidP="002A2FAE">
      <w:r w:rsidRPr="00027624">
        <w:t xml:space="preserve">Providing assistance to people at retirement could help them understand their options, make better decisions and get better outcomes. This assistance can come in the form of regulated financial advice (see </w:t>
      </w:r>
      <w:r w:rsidRPr="00027624">
        <w:fldChar w:fldCharType="begin"/>
      </w:r>
      <w:r w:rsidRPr="00027624">
        <w:instrText xml:space="preserve"> REF _Ref41295253 \r \h  \* MERGEFORMAT </w:instrText>
      </w:r>
      <w:r w:rsidRPr="00027624">
        <w:fldChar w:fldCharType="separate"/>
      </w:r>
      <w:r w:rsidR="00891058">
        <w:t>Box 5A-10</w:t>
      </w:r>
      <w:r w:rsidRPr="00027624">
        <w:fldChar w:fldCharType="end"/>
      </w:r>
      <w:r w:rsidRPr="00027624">
        <w:t xml:space="preserve"> for specific definitions) offered by a financial adviser (unaligned or aligned with a superannuation fund) or through guidance. </w:t>
      </w:r>
    </w:p>
    <w:p w14:paraId="106A9918" w14:textId="27A6E2AC" w:rsidR="002A2FAE" w:rsidRPr="00027624" w:rsidRDefault="002A2FAE" w:rsidP="002A2FAE">
      <w:r w:rsidRPr="00027624">
        <w:rPr>
          <w:b/>
        </w:rPr>
        <w:t>Most people do not seek financial advice at retirement.</w:t>
      </w:r>
      <w:r w:rsidRPr="00027624">
        <w:t xml:space="preserve"> Around 26 per cent of 55</w:t>
      </w:r>
      <w:r w:rsidR="00A8443E" w:rsidRPr="00027624">
        <w:noBreakHyphen/>
      </w:r>
      <w:r w:rsidRPr="00027624">
        <w:t>64 year olds seek financial advice at retirement</w:t>
      </w:r>
      <w:r w:rsidRPr="00027624">
        <w:fldChar w:fldCharType="begin"/>
      </w:r>
      <w:r w:rsidRPr="00027624">
        <w:instrText xml:space="preserve"> CITATION Adv19 \l 3081 </w:instrText>
      </w:r>
      <w:r w:rsidRPr="00027624">
        <w:fldChar w:fldCharType="separate"/>
      </w:r>
      <w:r w:rsidR="00E83F6E">
        <w:rPr>
          <w:noProof/>
        </w:rPr>
        <w:t xml:space="preserve"> (Adviser Ratings, 2019)</w:t>
      </w:r>
      <w:r w:rsidRPr="00027624">
        <w:fldChar w:fldCharType="end"/>
      </w:r>
      <w:r w:rsidRPr="00027624">
        <w:t>. Barriers to seeking financial advice (</w:t>
      </w:r>
      <w:r w:rsidRPr="00027624">
        <w:fldChar w:fldCharType="begin"/>
      </w:r>
      <w:r w:rsidRPr="00027624">
        <w:instrText xml:space="preserve"> REF _Ref44074562 \r \h  \* MERGEFORMAT </w:instrText>
      </w:r>
      <w:r w:rsidRPr="00027624">
        <w:fldChar w:fldCharType="separate"/>
      </w:r>
      <w:r w:rsidR="00891058">
        <w:t>Chart 5A-20</w:t>
      </w:r>
      <w:r w:rsidRPr="00027624">
        <w:fldChar w:fldCharType="end"/>
      </w:r>
      <w:r w:rsidRPr="00027624">
        <w:t xml:space="preserve">) are outlined below. </w:t>
      </w:r>
    </w:p>
    <w:p w14:paraId="647FF86C" w14:textId="77777777" w:rsidR="002A2FAE" w:rsidRPr="00027624" w:rsidRDefault="002A2FAE" w:rsidP="00325A8D">
      <w:pPr>
        <w:pStyle w:val="ChartMainHeading"/>
        <w:numPr>
          <w:ilvl w:val="2"/>
          <w:numId w:val="13"/>
        </w:numPr>
      </w:pPr>
      <w:bookmarkStart w:id="4153" w:name="_Ref42324983"/>
      <w:bookmarkStart w:id="4154" w:name="_Ref44074562"/>
      <w:r w:rsidRPr="00027624">
        <w:t>Barriers to seeking financial advice</w:t>
      </w:r>
      <w:bookmarkEnd w:id="4153"/>
      <w:bookmarkEnd w:id="4154"/>
    </w:p>
    <w:p w14:paraId="1C6A24BF" w14:textId="77777777" w:rsidR="002A2FAE" w:rsidRPr="00027624" w:rsidRDefault="000A5DC3" w:rsidP="002A2FAE">
      <w:pPr>
        <w:pStyle w:val="ChartGraphic"/>
      </w:pPr>
      <w:r>
        <w:rPr>
          <w:noProof/>
        </w:rPr>
        <w:drawing>
          <wp:inline distT="0" distB="0" distL="0" distR="0" wp14:anchorId="56F8135F" wp14:editId="060C0D2A">
            <wp:extent cx="5577840" cy="3276600"/>
            <wp:effectExtent l="0" t="0" r="3810" b="0"/>
            <wp:docPr id="679974618" name="Picture 679974618" descr="This chart shows the most common barrier to seeking financial advice is that advice is too expensive, followed by respondents thinking that their financial circumstances are too limited for advice to be worthwhile. Other responses include ‘I like to manage my finances by myself’, ‘I do not trust financial advisers’ and ‘I do not see the value in consulting an adviser’. " title="Chart 5A-20 Barriers to seeking financial ad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577840" cy="3276600"/>
                    </a:xfrm>
                    <a:prstGeom prst="rect">
                      <a:avLst/>
                    </a:prstGeom>
                    <a:noFill/>
                  </pic:spPr>
                </pic:pic>
              </a:graphicData>
            </a:graphic>
          </wp:inline>
        </w:drawing>
      </w:r>
    </w:p>
    <w:p w14:paraId="2F10813D" w14:textId="77777777" w:rsidR="002A2FAE" w:rsidRPr="00027624" w:rsidRDefault="002A2FAE" w:rsidP="002A2FAE">
      <w:pPr>
        <w:pStyle w:val="ChartorTableNote"/>
      </w:pPr>
      <w:r w:rsidRPr="00027624">
        <w:t>Note: 2,545 survey participants from an online survey. Source:</w:t>
      </w:r>
      <w:r w:rsidRPr="00027624">
        <w:fldChar w:fldCharType="begin"/>
      </w:r>
      <w:r w:rsidRPr="00027624">
        <w:instrText xml:space="preserve">CITATION ASIv19 \p 7 \l 3081 </w:instrText>
      </w:r>
      <w:r w:rsidRPr="00027624">
        <w:fldChar w:fldCharType="separate"/>
      </w:r>
      <w:r w:rsidR="00E83F6E">
        <w:rPr>
          <w:noProof/>
        </w:rPr>
        <w:t xml:space="preserve"> (ASIC, 2019b, p. 7)</w:t>
      </w:r>
      <w:r w:rsidRPr="00027624">
        <w:fldChar w:fldCharType="end"/>
      </w:r>
      <w:r w:rsidRPr="00027624">
        <w:t>.</w:t>
      </w:r>
    </w:p>
    <w:p w14:paraId="273AD070" w14:textId="77777777" w:rsidR="002A2FAE" w:rsidRPr="00027624" w:rsidRDefault="002A2FAE" w:rsidP="00791570">
      <w:pPr>
        <w:pStyle w:val="Bullet"/>
      </w:pPr>
      <w:r w:rsidRPr="00027624">
        <w:rPr>
          <w:b/>
        </w:rPr>
        <w:t>Cost</w:t>
      </w:r>
      <w:r w:rsidRPr="00027624">
        <w:t>. People are unwilling to pay for the full cost of personal financial advice. One survey found consumers were willing to pay no more than $500 for comprehensive personal financial advice,</w:t>
      </w:r>
      <w:r w:rsidRPr="00027624">
        <w:fldChar w:fldCharType="begin"/>
      </w:r>
      <w:r w:rsidRPr="00027624">
        <w:instrText xml:space="preserve">CITATION Ric192 \p 25 \l 3081 </w:instrText>
      </w:r>
      <w:r w:rsidRPr="00027624">
        <w:fldChar w:fldCharType="separate"/>
      </w:r>
      <w:r w:rsidR="00E83F6E">
        <w:rPr>
          <w:noProof/>
        </w:rPr>
        <w:t xml:space="preserve"> (Rice Warner, 2019a, p. 25)</w:t>
      </w:r>
      <w:r w:rsidRPr="00027624">
        <w:fldChar w:fldCharType="end"/>
      </w:r>
      <w:r w:rsidRPr="00027624">
        <w:t xml:space="preserve"> but a comprehensive retirement plan costs around $2,500 to $5,000</w:t>
      </w:r>
      <w:r w:rsidRPr="00027624">
        <w:fldChar w:fldCharType="begin"/>
      </w:r>
      <w:r w:rsidRPr="00027624">
        <w:instrText xml:space="preserve">CITATION Ric20 \p 9 \l 3081 </w:instrText>
      </w:r>
      <w:r w:rsidRPr="00027624">
        <w:fldChar w:fldCharType="separate"/>
      </w:r>
      <w:r w:rsidR="00E83F6E">
        <w:rPr>
          <w:noProof/>
        </w:rPr>
        <w:t xml:space="preserve"> (Rice Warner, 2020, p. 9)</w:t>
      </w:r>
      <w:r w:rsidRPr="00027624">
        <w:fldChar w:fldCharType="end"/>
      </w:r>
      <w:r w:rsidRPr="00027624">
        <w:t xml:space="preserve">. Personal financial advice costs may increase in future as a result of changes aimed at improving the quality of advice, including increased professional standard requirements; changes arising from implementing the Hayne Royal Commission recommendations; and higher costs of professional indemnity insurance. However, technology may drive costs down in the future. </w:t>
      </w:r>
    </w:p>
    <w:p w14:paraId="165B12E9" w14:textId="77777777" w:rsidR="002A2FAE" w:rsidRPr="00027624" w:rsidRDefault="002A2FAE" w:rsidP="00791570">
      <w:pPr>
        <w:pStyle w:val="Bullet"/>
        <w:rPr>
          <w:b/>
        </w:rPr>
      </w:pPr>
      <w:r w:rsidRPr="00027624">
        <w:rPr>
          <w:b/>
        </w:rPr>
        <w:t>Limited finances</w:t>
      </w:r>
      <w:r w:rsidRPr="00027624">
        <w:t>. People with few assets and simple financial affairs do not consider that they need comprehensive financial advice</w:t>
      </w:r>
      <w:r w:rsidRPr="00027624">
        <w:fldChar w:fldCharType="begin"/>
      </w:r>
      <w:r w:rsidRPr="00027624">
        <w:instrText xml:space="preserve">CITATION ASIv19 \l 3081 </w:instrText>
      </w:r>
      <w:r w:rsidRPr="00027624">
        <w:fldChar w:fldCharType="separate"/>
      </w:r>
      <w:r w:rsidR="00E83F6E">
        <w:rPr>
          <w:noProof/>
        </w:rPr>
        <w:t xml:space="preserve"> (ASIC, 2019b)</w:t>
      </w:r>
      <w:r w:rsidRPr="00027624">
        <w:fldChar w:fldCharType="end"/>
      </w:r>
      <w:r w:rsidRPr="00027624">
        <w:t>.</w:t>
      </w:r>
      <w:r w:rsidRPr="00027624" w:rsidDel="0056311D">
        <w:rPr>
          <w:b/>
        </w:rPr>
        <w:t xml:space="preserve"> </w:t>
      </w:r>
    </w:p>
    <w:p w14:paraId="3EF12D4A" w14:textId="77777777" w:rsidR="002A2FAE" w:rsidRPr="00027624" w:rsidRDefault="002A2FAE" w:rsidP="00791570">
      <w:pPr>
        <w:pStyle w:val="Bullet"/>
      </w:pPr>
      <w:r w:rsidRPr="00027624">
        <w:rPr>
          <w:b/>
        </w:rPr>
        <w:t>Lack of trust</w:t>
      </w:r>
      <w:r w:rsidRPr="00027624">
        <w:t>. Almost half of those surveyed by ASIC thought advisers were more interested in helping themselves than their clients. Thirty</w:t>
      </w:r>
      <w:r w:rsidR="00A8443E" w:rsidRPr="00027624">
        <w:noBreakHyphen/>
      </w:r>
      <w:r w:rsidRPr="00027624">
        <w:t>seven per cent thought advisers did not have their best interests at heart</w:t>
      </w:r>
      <w:r w:rsidRPr="00027624">
        <w:fldChar w:fldCharType="begin"/>
      </w:r>
      <w:r w:rsidRPr="00027624">
        <w:instrText xml:space="preserve">CITATION ASIv19 \p 8 \l 3081 \p 8 </w:instrText>
      </w:r>
      <w:r w:rsidRPr="00027624">
        <w:fldChar w:fldCharType="separate"/>
      </w:r>
      <w:r w:rsidR="00E83F6E">
        <w:rPr>
          <w:noProof/>
        </w:rPr>
        <w:t xml:space="preserve"> (ASIC, 2019b, p. 8)</w:t>
      </w:r>
      <w:r w:rsidRPr="00027624">
        <w:fldChar w:fldCharType="end"/>
      </w:r>
      <w:r w:rsidRPr="00027624">
        <w:t>.</w:t>
      </w:r>
    </w:p>
    <w:p w14:paraId="45635603" w14:textId="77777777" w:rsidR="00010DDE" w:rsidRPr="00027624" w:rsidRDefault="00010DDE" w:rsidP="00010DDE">
      <w:pPr>
        <w:pStyle w:val="SingleParagraph"/>
      </w:pPr>
      <w:r w:rsidRPr="00027624">
        <w:br w:type="page"/>
      </w:r>
    </w:p>
    <w:tbl>
      <w:tblPr>
        <w:tblpPr w:leftFromText="180" w:rightFromText="180" w:vertAnchor="text" w:tblpY="1"/>
        <w:tblOverlap w:val="never"/>
        <w:tblW w:w="4975" w:type="pct"/>
        <w:tblCellMar>
          <w:left w:w="0" w:type="dxa"/>
          <w:right w:w="0" w:type="dxa"/>
        </w:tblCellMar>
        <w:tblLook w:val="04A0" w:firstRow="1" w:lastRow="0" w:firstColumn="1" w:lastColumn="0" w:noHBand="0" w:noVBand="1"/>
      </w:tblPr>
      <w:tblGrid>
        <w:gridCol w:w="9025"/>
      </w:tblGrid>
      <w:tr w:rsidR="002A2FAE" w:rsidRPr="00027624" w14:paraId="26CE4A92" w14:textId="77777777" w:rsidTr="002A2FAE">
        <w:tc>
          <w:tcPr>
            <w:tcW w:w="5000" w:type="pct"/>
            <w:shd w:val="clear" w:color="auto" w:fill="FFF8EA"/>
            <w:tcMar>
              <w:top w:w="0" w:type="dxa"/>
              <w:left w:w="108" w:type="dxa"/>
              <w:bottom w:w="0" w:type="dxa"/>
              <w:right w:w="108" w:type="dxa"/>
            </w:tcMar>
            <w:hideMark/>
          </w:tcPr>
          <w:p w14:paraId="0EE77AAC" w14:textId="77777777" w:rsidR="002A2FAE" w:rsidRPr="00027624" w:rsidRDefault="002A2FAE" w:rsidP="00325A8D">
            <w:pPr>
              <w:pStyle w:val="BoxHeading"/>
              <w:numPr>
                <w:ilvl w:val="5"/>
                <w:numId w:val="13"/>
              </w:numPr>
            </w:pPr>
            <w:bookmarkStart w:id="4155" w:name="_Ref41295253"/>
            <w:r w:rsidRPr="00027624">
              <w:t xml:space="preserve">What is financial advice? </w:t>
            </w:r>
          </w:p>
          <w:p w14:paraId="6159DA32" w14:textId="77777777" w:rsidR="002A2FAE" w:rsidRPr="00027624" w:rsidRDefault="002A2FAE" w:rsidP="002A2FAE">
            <w:pPr>
              <w:keepNext/>
              <w:spacing w:before="40" w:after="0" w:line="260" w:lineRule="exact"/>
              <w:jc w:val="both"/>
              <w:rPr>
                <w:b/>
                <w:bCs/>
                <w:color w:val="272727"/>
                <w:sz w:val="20"/>
              </w:rPr>
            </w:pPr>
            <w:r w:rsidRPr="00027624">
              <w:rPr>
                <w:b/>
                <w:bCs/>
                <w:color w:val="272727"/>
                <w:sz w:val="20"/>
              </w:rPr>
              <w:t>Comprehensive or full personal financial advice</w:t>
            </w:r>
          </w:p>
          <w:p w14:paraId="4F149577" w14:textId="77777777" w:rsidR="002A2FAE" w:rsidRPr="00027624" w:rsidRDefault="002A2FAE" w:rsidP="002A2FAE">
            <w:pPr>
              <w:pStyle w:val="BoxText"/>
            </w:pPr>
            <w:r w:rsidRPr="00027624">
              <w:t xml:space="preserve">Comprehensive advice, otherwise known as full personal financial advice, is provided by a registered financial adviser who is licensed or authorised to provide such advice. These financial advisers must comply with a number of obligations, including the best interests duty, giving a Statement of Advice and not accepting conflicted remuneration. </w:t>
            </w:r>
          </w:p>
          <w:p w14:paraId="63B6E63F" w14:textId="77777777" w:rsidR="002A2FAE" w:rsidRPr="00027624" w:rsidRDefault="002A2FAE" w:rsidP="002A2FAE">
            <w:pPr>
              <w:pStyle w:val="BoxText"/>
            </w:pPr>
            <w:r w:rsidRPr="00027624">
              <w:t xml:space="preserve">The definition of </w:t>
            </w:r>
            <w:r w:rsidRPr="00027624" w:rsidDel="00EA4A6A">
              <w:t xml:space="preserve">personal </w:t>
            </w:r>
            <w:r w:rsidRPr="00027624">
              <w:t>financial advice can be ambiguous. Technically, it is defined as financial advice that takes into account an individual</w:t>
            </w:r>
            <w:r w:rsidR="00A8443E" w:rsidRPr="00027624">
              <w:t>’</w:t>
            </w:r>
            <w:r w:rsidRPr="00027624">
              <w:t>s personal circumstances or advice where a reasonable person might expect the adviser to have taken their personal circumstances into account</w:t>
            </w:r>
            <w:r w:rsidRPr="00027624">
              <w:fldChar w:fldCharType="begin"/>
            </w:r>
            <w:r w:rsidRPr="00027624">
              <w:instrText xml:space="preserve">CITATION Com01 \l 3081 </w:instrText>
            </w:r>
            <w:r w:rsidRPr="00027624">
              <w:fldChar w:fldCharType="separate"/>
            </w:r>
            <w:r w:rsidR="00E83F6E">
              <w:rPr>
                <w:noProof/>
              </w:rPr>
              <w:t xml:space="preserve"> (Commonwealth of Australia, 2001)</w:t>
            </w:r>
            <w:r w:rsidRPr="00027624">
              <w:fldChar w:fldCharType="end"/>
            </w:r>
            <w:r w:rsidRPr="00027624">
              <w:t>. This is generally the costliest form of advice.</w:t>
            </w:r>
          </w:p>
          <w:p w14:paraId="7AABEDED" w14:textId="77777777" w:rsidR="002A2FAE" w:rsidRPr="00027624" w:rsidRDefault="002A2FAE" w:rsidP="002A2FAE">
            <w:pPr>
              <w:pStyle w:val="BoxText"/>
            </w:pPr>
            <w:r w:rsidRPr="00027624">
              <w:t>Around 75 per cent of superannuation funds offer access to comprehensive financial advice, and around 50 per cent offer this advice in</w:t>
            </w:r>
            <w:r w:rsidR="00A8443E" w:rsidRPr="00027624">
              <w:noBreakHyphen/>
            </w:r>
            <w:r w:rsidRPr="00027624">
              <w:t>house (others use related or contracted parties)</w:t>
            </w:r>
            <w:r w:rsidRPr="00027624">
              <w:fldChar w:fldCharType="begin"/>
            </w:r>
            <w:r w:rsidRPr="00027624">
              <w:instrText xml:space="preserve">CITATION Ric192 \p 21-22 \l 3081 </w:instrText>
            </w:r>
            <w:r w:rsidRPr="00027624">
              <w:fldChar w:fldCharType="separate"/>
            </w:r>
            <w:r w:rsidR="00E83F6E">
              <w:rPr>
                <w:noProof/>
              </w:rPr>
              <w:t xml:space="preserve"> (Rice Warner, 2019a, pp. 21-22)</w:t>
            </w:r>
            <w:r w:rsidRPr="00027624">
              <w:fldChar w:fldCharType="end"/>
            </w:r>
            <w:r w:rsidRPr="00027624">
              <w:t>. Currently, costs related to financial advice on superannuation may be deducted from the person</w:t>
            </w:r>
            <w:r w:rsidR="00A8443E" w:rsidRPr="00027624">
              <w:t>’</w:t>
            </w:r>
            <w:r w:rsidRPr="00027624">
              <w:t xml:space="preserve">s superannuation account. However, the Hayne Royal Commission recommended banning the deduction of financial advice fees from MySuper accounts. </w:t>
            </w:r>
          </w:p>
          <w:p w14:paraId="30D3A4A5" w14:textId="77777777" w:rsidR="002A2FAE" w:rsidRPr="00027624" w:rsidRDefault="002A2FAE" w:rsidP="002A2FAE">
            <w:pPr>
              <w:keepNext/>
              <w:spacing w:before="40" w:after="0" w:line="260" w:lineRule="exact"/>
              <w:jc w:val="both"/>
              <w:rPr>
                <w:b/>
                <w:bCs/>
                <w:color w:val="272727"/>
                <w:sz w:val="20"/>
              </w:rPr>
            </w:pPr>
            <w:r w:rsidRPr="00027624">
              <w:rPr>
                <w:b/>
                <w:bCs/>
                <w:color w:val="272727"/>
                <w:sz w:val="20"/>
              </w:rPr>
              <w:t>Scaled personal financial advice</w:t>
            </w:r>
          </w:p>
          <w:p w14:paraId="4260180C" w14:textId="77777777" w:rsidR="002A2FAE" w:rsidRPr="00027624" w:rsidRDefault="002A2FAE" w:rsidP="002A2FAE">
            <w:pPr>
              <w:pStyle w:val="BoxText"/>
              <w:widowControl w:val="0"/>
            </w:pPr>
            <w:r w:rsidRPr="00027624">
              <w:t>Personal financial advice ranges from</w:t>
            </w:r>
            <w:r w:rsidRPr="00027624" w:rsidDel="00054BBE">
              <w:t xml:space="preserve"> </w:t>
            </w:r>
            <w:r w:rsidRPr="00027624">
              <w:t xml:space="preserve">comprehensive to </w:t>
            </w:r>
            <w:r w:rsidR="00A8443E" w:rsidRPr="00027624">
              <w:t>‘</w:t>
            </w:r>
            <w:r w:rsidRPr="00027624">
              <w:t>scaled advice</w:t>
            </w:r>
            <w:r w:rsidR="00A8443E" w:rsidRPr="00027624">
              <w:t>’</w:t>
            </w:r>
            <w:r w:rsidRPr="00027624">
              <w:t>. Scaled advice is a term often used to describe personal financial advice that is limited in scope; for example, financial advice that focuses only on whether a person should change their superannuation investment strategy (and does not, for instance, also consider whether their existing fund remains the most appropriate). The same regulations apply to scaled financial advice as full personal financial advice.</w:t>
            </w:r>
          </w:p>
          <w:p w14:paraId="7B87507C" w14:textId="77777777" w:rsidR="002A2FAE" w:rsidRPr="00027624" w:rsidRDefault="002A2FAE" w:rsidP="002A2FAE">
            <w:pPr>
              <w:pStyle w:val="BoxText"/>
              <w:widowControl w:val="0"/>
            </w:pPr>
            <w:r w:rsidRPr="00027624">
              <w:t>ASIC has indicated that all types of advice can be scaled, including advice about complex issues and that scaled advice can include advice on a single topic or multiple topics. Scaled advice is not lesser quality advice</w:t>
            </w:r>
            <w:r w:rsidRPr="00027624">
              <w:fldChar w:fldCharType="begin"/>
            </w:r>
            <w:r w:rsidRPr="00027624">
              <w:instrText xml:space="preserve">CITATION ASI15 \p 9 \l 3081 </w:instrText>
            </w:r>
            <w:r w:rsidRPr="00027624">
              <w:fldChar w:fldCharType="separate"/>
            </w:r>
            <w:r w:rsidR="00E83F6E">
              <w:rPr>
                <w:noProof/>
              </w:rPr>
              <w:t xml:space="preserve"> (ASIC, 2012a, p. 9)</w:t>
            </w:r>
            <w:r w:rsidRPr="00027624">
              <w:fldChar w:fldCharType="end"/>
            </w:r>
            <w:r w:rsidRPr="00027624">
              <w:t>. Around 85 per cent of superannuation funds offer single issue or scaled financial advice</w:t>
            </w:r>
            <w:r w:rsidRPr="00027624">
              <w:fldChar w:fldCharType="begin"/>
            </w:r>
            <w:r w:rsidRPr="00027624">
              <w:instrText xml:space="preserve">CITATION Ric192 \p 21 \l 3081 </w:instrText>
            </w:r>
            <w:r w:rsidRPr="00027624">
              <w:fldChar w:fldCharType="separate"/>
            </w:r>
            <w:r w:rsidR="00E83F6E">
              <w:rPr>
                <w:noProof/>
              </w:rPr>
              <w:t xml:space="preserve"> (Rice Warner, 2019a, p. 21)</w:t>
            </w:r>
            <w:r w:rsidRPr="00027624">
              <w:fldChar w:fldCharType="end"/>
            </w:r>
            <w:r w:rsidRPr="00027624">
              <w:t>.</w:t>
            </w:r>
          </w:p>
          <w:p w14:paraId="112793DE" w14:textId="77777777" w:rsidR="002A2FAE" w:rsidRPr="00027624" w:rsidRDefault="002A2FAE" w:rsidP="002A2FAE">
            <w:pPr>
              <w:keepNext/>
              <w:spacing w:before="40" w:after="0" w:line="260" w:lineRule="exact"/>
              <w:jc w:val="both"/>
              <w:rPr>
                <w:b/>
                <w:bCs/>
                <w:color w:val="272727"/>
                <w:sz w:val="20"/>
              </w:rPr>
            </w:pPr>
            <w:r w:rsidRPr="00027624">
              <w:rPr>
                <w:b/>
                <w:bCs/>
                <w:color w:val="272727"/>
                <w:sz w:val="20"/>
              </w:rPr>
              <w:t xml:space="preserve">General financial advice </w:t>
            </w:r>
          </w:p>
          <w:p w14:paraId="36607800" w14:textId="77777777" w:rsidR="002A2FAE" w:rsidRPr="00027624" w:rsidRDefault="002A2FAE" w:rsidP="002A2FAE">
            <w:pPr>
              <w:pStyle w:val="BoxText"/>
            </w:pPr>
            <w:r w:rsidRPr="00027624">
              <w:t>General financial advice does not take into account people</w:t>
            </w:r>
            <w:r w:rsidR="00A8443E" w:rsidRPr="00027624">
              <w:t>’</w:t>
            </w:r>
            <w:r w:rsidRPr="00027624">
              <w:t xml:space="preserve">s personal circumstances. In most cases, financial advisers are required to warn people that they have not taken into account personal circumstances when giving the advice. In practice, it can sometimes be difficult to distinguish general financial advice from factual information and personal financial advice. The </w:t>
            </w:r>
            <w:r w:rsidRPr="00027624">
              <w:rPr>
                <w:i/>
                <w:iCs/>
              </w:rPr>
              <w:t>Financial System Inquiry</w:t>
            </w:r>
            <w:sdt>
              <w:sdtPr>
                <w:rPr>
                  <w:i/>
                  <w:iCs/>
                </w:rPr>
                <w:id w:val="-1558311970"/>
                <w:citation/>
              </w:sdtPr>
              <w:sdtEndPr/>
              <w:sdtContent>
                <w:r w:rsidR="00664EC1">
                  <w:rPr>
                    <w:i/>
                    <w:iCs/>
                  </w:rPr>
                  <w:fldChar w:fldCharType="begin"/>
                </w:r>
                <w:r w:rsidR="00664EC1">
                  <w:rPr>
                    <w:iCs/>
                  </w:rPr>
                  <w:instrText xml:space="preserve">CITATION Fin04 \n  \t  \l 3081 </w:instrText>
                </w:r>
                <w:r w:rsidR="00664EC1">
                  <w:rPr>
                    <w:i/>
                    <w:iCs/>
                  </w:rPr>
                  <w:fldChar w:fldCharType="separate"/>
                </w:r>
                <w:r w:rsidR="00E83F6E">
                  <w:rPr>
                    <w:iCs/>
                    <w:noProof/>
                  </w:rPr>
                  <w:t xml:space="preserve"> </w:t>
                </w:r>
                <w:r w:rsidR="00E83F6E">
                  <w:rPr>
                    <w:noProof/>
                  </w:rPr>
                  <w:t>(2014)</w:t>
                </w:r>
                <w:r w:rsidR="00664EC1">
                  <w:rPr>
                    <w:i/>
                    <w:iCs/>
                  </w:rPr>
                  <w:fldChar w:fldCharType="end"/>
                </w:r>
              </w:sdtContent>
            </w:sdt>
            <w:r w:rsidRPr="00027624">
              <w:t xml:space="preserve"> recommended relabelling </w:t>
            </w:r>
            <w:r w:rsidR="00A8443E" w:rsidRPr="00027624">
              <w:t>‘</w:t>
            </w:r>
            <w:r w:rsidRPr="00027624">
              <w:t>general financial advice</w:t>
            </w:r>
            <w:r w:rsidR="00A8443E" w:rsidRPr="00027624">
              <w:t>’</w:t>
            </w:r>
            <w:r w:rsidRPr="00027624">
              <w:t xml:space="preserve"> to increase consumer understanding of the term (recommendation 40).</w:t>
            </w:r>
          </w:p>
          <w:p w14:paraId="2DE8755D" w14:textId="77777777" w:rsidR="002A2FAE" w:rsidRPr="00027624" w:rsidRDefault="002A2FAE" w:rsidP="002A2FAE">
            <w:pPr>
              <w:keepNext/>
              <w:spacing w:before="40" w:after="0" w:line="260" w:lineRule="exact"/>
              <w:jc w:val="both"/>
              <w:rPr>
                <w:b/>
                <w:bCs/>
                <w:color w:val="272727"/>
                <w:sz w:val="21"/>
                <w:szCs w:val="21"/>
              </w:rPr>
            </w:pPr>
            <w:r w:rsidRPr="00027624">
              <w:rPr>
                <w:b/>
                <w:bCs/>
                <w:color w:val="272727"/>
                <w:sz w:val="20"/>
              </w:rPr>
              <w:t>Intra</w:t>
            </w:r>
            <w:r w:rsidR="00A8443E" w:rsidRPr="00027624">
              <w:rPr>
                <w:b/>
                <w:bCs/>
                <w:color w:val="272727"/>
                <w:sz w:val="20"/>
              </w:rPr>
              <w:noBreakHyphen/>
            </w:r>
            <w:r w:rsidRPr="00027624">
              <w:rPr>
                <w:b/>
                <w:bCs/>
                <w:color w:val="272727"/>
                <w:sz w:val="20"/>
              </w:rPr>
              <w:t>fund advice</w:t>
            </w:r>
          </w:p>
          <w:p w14:paraId="49EB30B3" w14:textId="77777777" w:rsidR="002A2FAE" w:rsidRPr="00027624" w:rsidRDefault="002A2FAE" w:rsidP="002A2FAE">
            <w:pPr>
              <w:pStyle w:val="BoxText"/>
            </w:pPr>
            <w:r w:rsidRPr="00027624">
              <w:t xml:space="preserve">Since 2013, in an attempt to ensure retirement savings were not eroded by excessive superannuation fees, superannuation funds have been restricted when collectively charging their membership for financial advice services. Financial advice that is collectively charged for is known as </w:t>
            </w:r>
            <w:r w:rsidR="00A8443E" w:rsidRPr="00027624">
              <w:t>‘</w:t>
            </w:r>
            <w:r w:rsidRPr="00027624">
              <w:t>intra</w:t>
            </w:r>
            <w:r w:rsidR="00A8443E" w:rsidRPr="00027624">
              <w:noBreakHyphen/>
            </w:r>
            <w:r w:rsidRPr="00027624">
              <w:t>fund advice</w:t>
            </w:r>
            <w:r w:rsidR="00A8443E" w:rsidRPr="00027624">
              <w:t>’</w:t>
            </w:r>
            <w:r w:rsidRPr="00027624">
              <w:t>. Because the advice a person receives is effectively cross</w:t>
            </w:r>
            <w:r w:rsidR="00A8443E" w:rsidRPr="00027624">
              <w:noBreakHyphen/>
            </w:r>
            <w:r w:rsidRPr="00027624">
              <w:t>subsidised by other members, the scope of intra</w:t>
            </w:r>
            <w:r w:rsidR="00A8443E" w:rsidRPr="00027624">
              <w:noBreakHyphen/>
            </w:r>
            <w:r w:rsidRPr="00027624">
              <w:t>fund advice is limited. It can be general or personal, non</w:t>
            </w:r>
            <w:r w:rsidR="00A8443E" w:rsidRPr="00027624">
              <w:noBreakHyphen/>
            </w:r>
            <w:r w:rsidRPr="00027624">
              <w:t>ongoing financial advice limited to issues relating to a person</w:t>
            </w:r>
            <w:r w:rsidR="00A8443E" w:rsidRPr="00027624">
              <w:t>’</w:t>
            </w:r>
            <w:r w:rsidRPr="00027624">
              <w:t>s existing superannuation account, such as insurance coverage, contribution or investment options</w:t>
            </w:r>
            <w:r w:rsidRPr="00027624">
              <w:fldChar w:fldCharType="begin"/>
            </w:r>
            <w:r w:rsidRPr="00027624">
              <w:instrText xml:space="preserve"> CITATION Com93 \l 3081 </w:instrText>
            </w:r>
            <w:r w:rsidRPr="00027624">
              <w:fldChar w:fldCharType="separate"/>
            </w:r>
            <w:r w:rsidR="00E83F6E">
              <w:rPr>
                <w:noProof/>
              </w:rPr>
              <w:t xml:space="preserve"> (Commonwealth of Australia, 1993)</w:t>
            </w:r>
            <w:r w:rsidRPr="00027624">
              <w:fldChar w:fldCharType="end"/>
            </w:r>
            <w:r w:rsidRPr="00027624">
              <w:t>. Intra</w:t>
            </w:r>
            <w:r w:rsidR="00A8443E" w:rsidRPr="00027624">
              <w:noBreakHyphen/>
            </w:r>
            <w:r w:rsidRPr="00027624">
              <w:t>fund advice currently cannot consider a person</w:t>
            </w:r>
            <w:r w:rsidR="00A8443E" w:rsidRPr="00027624">
              <w:t>’</w:t>
            </w:r>
            <w:r w:rsidRPr="00027624">
              <w:t>s circumstances outside their interest in the superannuation fund, such as social security eligibility, health, aged care needs and assets held outside the fund. These limits on scope mean intra</w:t>
            </w:r>
            <w:r w:rsidR="00A8443E" w:rsidRPr="00027624">
              <w:noBreakHyphen/>
            </w:r>
            <w:r w:rsidRPr="00027624">
              <w:t>fund financial advice is of limited assistance at retirement. Many stakeholders argue the intra</w:t>
            </w:r>
            <w:r w:rsidR="00A8443E" w:rsidRPr="00027624">
              <w:noBreakHyphen/>
            </w:r>
            <w:r w:rsidRPr="00027624">
              <w:t xml:space="preserve">fund advice provisions should be expanded for the retirement phase. This would give most retirees access to personal advice they do not directly pay for. </w:t>
            </w:r>
          </w:p>
          <w:p w14:paraId="5EB81A8B" w14:textId="77777777" w:rsidR="002A2FAE" w:rsidRPr="00027624" w:rsidRDefault="002A2FAE" w:rsidP="002A2FAE">
            <w:pPr>
              <w:spacing w:line="260" w:lineRule="exact"/>
              <w:jc w:val="both"/>
              <w:rPr>
                <w:b/>
                <w:bCs/>
                <w:sz w:val="20"/>
              </w:rPr>
            </w:pPr>
            <w:r w:rsidRPr="00027624">
              <w:rPr>
                <w:b/>
                <w:bCs/>
                <w:sz w:val="20"/>
              </w:rPr>
              <w:t>Digital advice</w:t>
            </w:r>
          </w:p>
          <w:p w14:paraId="57DF2654" w14:textId="77777777" w:rsidR="002A2FAE" w:rsidRPr="00027624" w:rsidRDefault="002A2FAE" w:rsidP="002A2FAE">
            <w:pPr>
              <w:pStyle w:val="BoxText"/>
            </w:pPr>
            <w:r w:rsidRPr="00027624">
              <w:t>Digital (or robo or automated) financial advice includes automated financial advice that uses algorithms or technology to offer financial advice. It can be provided directly to people, or a financial adviser could use the tool to assist them to give advice. As the financial advice legal framework is technology</w:t>
            </w:r>
            <w:r w:rsidR="00A8443E" w:rsidRPr="00027624">
              <w:noBreakHyphen/>
            </w:r>
            <w:r w:rsidRPr="00027624">
              <w:t>neutral, the same requirements apply to digital financial advice, whatever category of financial advice is provided.</w:t>
            </w:r>
          </w:p>
        </w:tc>
      </w:tr>
      <w:tr w:rsidR="002A2FAE" w:rsidRPr="00027624" w14:paraId="47C99655" w14:textId="77777777" w:rsidTr="002A2FAE">
        <w:tc>
          <w:tcPr>
            <w:tcW w:w="5000" w:type="pct"/>
            <w:shd w:val="clear" w:color="auto" w:fill="FFF8EA"/>
            <w:tcMar>
              <w:top w:w="0" w:type="dxa"/>
              <w:left w:w="108" w:type="dxa"/>
              <w:bottom w:w="0" w:type="dxa"/>
              <w:right w:w="108" w:type="dxa"/>
            </w:tcMar>
            <w:hideMark/>
          </w:tcPr>
          <w:p w14:paraId="530F85A6" w14:textId="77777777" w:rsidR="002A2FAE" w:rsidRPr="00027624" w:rsidRDefault="002A2FAE" w:rsidP="002A2FAE">
            <w:pPr>
              <w:keepNext/>
              <w:spacing w:before="240" w:line="260" w:lineRule="exact"/>
              <w:ind w:left="851" w:hanging="851"/>
              <w:jc w:val="both"/>
              <w:rPr>
                <w:b/>
                <w:bCs/>
                <w:color w:val="604878"/>
                <w:sz w:val="26"/>
                <w:szCs w:val="26"/>
              </w:rPr>
            </w:pPr>
            <w:r w:rsidRPr="00027624">
              <w:rPr>
                <w:b/>
                <w:bCs/>
                <w:color w:val="604878"/>
                <w:sz w:val="26"/>
                <w:szCs w:val="26"/>
              </w:rPr>
              <w:t>What is not financial advice?</w:t>
            </w:r>
          </w:p>
          <w:p w14:paraId="15871D81" w14:textId="77777777" w:rsidR="002A2FAE" w:rsidRPr="00027624" w:rsidRDefault="002A2FAE" w:rsidP="002A2FAE">
            <w:pPr>
              <w:keepNext/>
              <w:spacing w:before="40" w:after="0" w:line="260" w:lineRule="exact"/>
              <w:jc w:val="both"/>
              <w:rPr>
                <w:b/>
                <w:bCs/>
                <w:color w:val="272727"/>
                <w:sz w:val="20"/>
              </w:rPr>
            </w:pPr>
            <w:r w:rsidRPr="00027624">
              <w:rPr>
                <w:b/>
                <w:bCs/>
                <w:color w:val="272727"/>
                <w:sz w:val="20"/>
              </w:rPr>
              <w:t>Guidance</w:t>
            </w:r>
          </w:p>
          <w:p w14:paraId="7B839C6D" w14:textId="77777777" w:rsidR="002A2FAE" w:rsidRPr="00027624" w:rsidRDefault="002A2FAE" w:rsidP="002A2FAE">
            <w:pPr>
              <w:pStyle w:val="BoxText"/>
            </w:pPr>
            <w:r w:rsidRPr="00027624">
              <w:t xml:space="preserve">This is advice or assistance provided to people that does not relate to a financial product recommendation. For example, guidance at retirement could include assistance on: </w:t>
            </w:r>
          </w:p>
          <w:p w14:paraId="0314F524" w14:textId="77777777" w:rsidR="002A2FAE" w:rsidRPr="00027624" w:rsidRDefault="002A2FAE" w:rsidP="00791570">
            <w:pPr>
              <w:pStyle w:val="BoxBullet"/>
            </w:pPr>
            <w:r w:rsidRPr="00027624">
              <w:t>The best age to retire</w:t>
            </w:r>
          </w:p>
          <w:p w14:paraId="560D1D26" w14:textId="77777777" w:rsidR="002A2FAE" w:rsidRPr="00027624" w:rsidRDefault="002A2FAE" w:rsidP="00791570">
            <w:pPr>
              <w:pStyle w:val="BoxBullet"/>
            </w:pPr>
            <w:r w:rsidRPr="00027624">
              <w:t>Their Age Pension entitlements</w:t>
            </w:r>
          </w:p>
          <w:p w14:paraId="5024280D" w14:textId="77777777" w:rsidR="002A2FAE" w:rsidRPr="00027624" w:rsidRDefault="002A2FAE" w:rsidP="00791570">
            <w:pPr>
              <w:pStyle w:val="BoxBullet"/>
            </w:pPr>
            <w:r w:rsidRPr="00027624">
              <w:t>Their financial position and debts and assets</w:t>
            </w:r>
          </w:p>
          <w:p w14:paraId="16216520" w14:textId="77777777" w:rsidR="002A2FAE" w:rsidRPr="00027624" w:rsidRDefault="002A2FAE" w:rsidP="00791570">
            <w:pPr>
              <w:pStyle w:val="BoxBullet"/>
            </w:pPr>
            <w:r w:rsidRPr="00027624">
              <w:t>How and when to pay down debt</w:t>
            </w:r>
          </w:p>
          <w:p w14:paraId="1A312D68" w14:textId="77777777" w:rsidR="002A2FAE" w:rsidRPr="00027624" w:rsidRDefault="002A2FAE" w:rsidP="00791570">
            <w:pPr>
              <w:pStyle w:val="BoxBullet"/>
            </w:pPr>
            <w:r w:rsidRPr="00027624">
              <w:t>Their likely future living expenses</w:t>
            </w:r>
          </w:p>
          <w:p w14:paraId="6BA7ABC5" w14:textId="77777777" w:rsidR="002A2FAE" w:rsidRPr="00027624" w:rsidRDefault="002A2FAE" w:rsidP="00791570">
            <w:pPr>
              <w:pStyle w:val="BoxBullet"/>
            </w:pPr>
            <w:r w:rsidRPr="00027624">
              <w:t>Their retirement income needs</w:t>
            </w:r>
          </w:p>
          <w:p w14:paraId="1A759F3A" w14:textId="77777777" w:rsidR="002A2FAE" w:rsidRPr="00027624" w:rsidRDefault="002A2FAE" w:rsidP="002A2FAE">
            <w:pPr>
              <w:pStyle w:val="BoxText"/>
            </w:pPr>
            <w:r w:rsidRPr="00027624">
              <w:t>While guidance of this nature is unlikely to fall with the definition of regulated financial advice, the definition of what constitutes financial advice is not always clear, and this ambiguity may explain funds</w:t>
            </w:r>
            <w:r w:rsidR="00A8443E" w:rsidRPr="00027624">
              <w:t>’</w:t>
            </w:r>
            <w:r w:rsidRPr="00027624">
              <w:t xml:space="preserve"> reluctance to offer guidance.</w:t>
            </w:r>
          </w:p>
          <w:p w14:paraId="2D6A34E2" w14:textId="77777777" w:rsidR="002A2FAE" w:rsidRPr="00027624" w:rsidRDefault="002A2FAE" w:rsidP="002A2FAE">
            <w:pPr>
              <w:keepNext/>
              <w:spacing w:before="40" w:after="0" w:line="260" w:lineRule="exact"/>
              <w:jc w:val="both"/>
              <w:rPr>
                <w:b/>
                <w:bCs/>
                <w:color w:val="272727"/>
                <w:sz w:val="20"/>
              </w:rPr>
            </w:pPr>
            <w:r w:rsidRPr="00027624">
              <w:rPr>
                <w:b/>
                <w:bCs/>
                <w:color w:val="272727"/>
                <w:sz w:val="20"/>
              </w:rPr>
              <w:t xml:space="preserve">Factual information </w:t>
            </w:r>
          </w:p>
          <w:p w14:paraId="5E7BA082" w14:textId="77777777" w:rsidR="002A2FAE" w:rsidRPr="00027624" w:rsidRDefault="002A2FAE" w:rsidP="002A2FAE">
            <w:pPr>
              <w:pStyle w:val="BoxText"/>
            </w:pPr>
            <w:r w:rsidRPr="00027624">
              <w:t>ASIC Regulatory Guide 244</w:t>
            </w:r>
            <w:r w:rsidRPr="00027624">
              <w:fldChar w:fldCharType="begin"/>
            </w:r>
            <w:r w:rsidRPr="00027624">
              <w:instrText xml:space="preserve">CITATION ASI15 \n  \t  \l 3081 </w:instrText>
            </w:r>
            <w:r w:rsidRPr="00027624">
              <w:fldChar w:fldCharType="separate"/>
            </w:r>
            <w:r w:rsidR="00E83F6E">
              <w:rPr>
                <w:noProof/>
              </w:rPr>
              <w:t xml:space="preserve"> (2012a)</w:t>
            </w:r>
            <w:r w:rsidRPr="00027624">
              <w:fldChar w:fldCharType="end"/>
            </w:r>
            <w:r w:rsidRPr="00027624">
              <w:t xml:space="preserve"> uses the concept of </w:t>
            </w:r>
            <w:r w:rsidR="00A8443E" w:rsidRPr="00027624">
              <w:t>‘</w:t>
            </w:r>
            <w:r w:rsidRPr="00027624">
              <w:t>factual information</w:t>
            </w:r>
            <w:r w:rsidR="00A8443E" w:rsidRPr="00027624">
              <w:t>’</w:t>
            </w:r>
            <w:r w:rsidRPr="00027624">
              <w:t xml:space="preserve">. Factual information is objectively ascertainable information, the truth or accuracy of which cannot reasonably be questioned. </w:t>
            </w:r>
          </w:p>
        </w:tc>
      </w:tr>
    </w:tbl>
    <w:bookmarkEnd w:id="4155"/>
    <w:p w14:paraId="1B99256E" w14:textId="77777777" w:rsidR="002A2FAE" w:rsidRPr="00027624" w:rsidRDefault="002A2FAE" w:rsidP="002A2FAE">
      <w:pPr>
        <w:pStyle w:val="Heading5"/>
      </w:pPr>
      <w:r w:rsidRPr="00027624">
        <w:t>Potential benefits of financial advice</w:t>
      </w:r>
    </w:p>
    <w:p w14:paraId="5D3DABAD" w14:textId="77777777" w:rsidR="002A2FAE" w:rsidRPr="00027624" w:rsidRDefault="002A2FAE" w:rsidP="002A2FAE">
      <w:r w:rsidRPr="00027624">
        <w:t xml:space="preserve">Stakeholders pointed out the potential benefits of financial advice, including: </w:t>
      </w:r>
    </w:p>
    <w:p w14:paraId="21EFE6F6" w14:textId="77777777" w:rsidR="002A2FAE" w:rsidRPr="00027624" w:rsidRDefault="002A2FAE" w:rsidP="00FC7361">
      <w:pPr>
        <w:pStyle w:val="Bullet"/>
        <w:numPr>
          <w:ilvl w:val="0"/>
          <w:numId w:val="39"/>
        </w:numPr>
        <w:rPr>
          <w:b/>
        </w:rPr>
      </w:pPr>
      <w:r w:rsidRPr="00027624">
        <w:rPr>
          <w:b/>
        </w:rPr>
        <w:t>Better income management</w:t>
      </w:r>
      <w:r w:rsidRPr="00027624">
        <w:t>.</w:t>
      </w:r>
      <w:r w:rsidRPr="00027624">
        <w:rPr>
          <w:b/>
        </w:rPr>
        <w:t xml:space="preserve"> </w:t>
      </w:r>
      <w:r w:rsidRPr="00027624">
        <w:t>For most people, the main barrier to receiving a predictable income stream in retirement is working out how best to combine multiple sources of income</w:t>
      </w:r>
    </w:p>
    <w:p w14:paraId="0B7C406A" w14:textId="77777777" w:rsidR="002A2FAE" w:rsidRPr="00027624" w:rsidRDefault="002A2FAE" w:rsidP="00FC7361">
      <w:pPr>
        <w:pStyle w:val="Bullet"/>
        <w:numPr>
          <w:ilvl w:val="0"/>
          <w:numId w:val="39"/>
        </w:numPr>
      </w:pPr>
      <w:r w:rsidRPr="00027624">
        <w:rPr>
          <w:b/>
        </w:rPr>
        <w:t>Increased confidence and peace of mind</w:t>
      </w:r>
      <w:r w:rsidRPr="00027624">
        <w:t>.</w:t>
      </w:r>
      <w:r w:rsidRPr="00027624">
        <w:rPr>
          <w:b/>
        </w:rPr>
        <w:t xml:space="preserve"> </w:t>
      </w:r>
      <w:r w:rsidRPr="00027624">
        <w:t>One</w:t>
      </w:r>
      <w:r w:rsidRPr="00027624">
        <w:rPr>
          <w:b/>
        </w:rPr>
        <w:t xml:space="preserve"> </w:t>
      </w:r>
      <w:r w:rsidRPr="00027624">
        <w:t>fund reported that the bulk of advised clients felt more peace of mind and confidence in making decisions</w:t>
      </w:r>
      <w:r w:rsidRPr="00027624">
        <w:fldChar w:fldCharType="begin"/>
      </w:r>
      <w:r w:rsidRPr="00027624">
        <w:instrText xml:space="preserve">CITATION MLC20 \p 24-25 \l 3081 </w:instrText>
      </w:r>
      <w:r w:rsidRPr="00027624">
        <w:fldChar w:fldCharType="separate"/>
      </w:r>
      <w:r w:rsidR="00E83F6E">
        <w:rPr>
          <w:noProof/>
        </w:rPr>
        <w:t xml:space="preserve"> (MLC Wealth, 2020, pp. 24-25)</w:t>
      </w:r>
      <w:r w:rsidRPr="00027624">
        <w:fldChar w:fldCharType="end"/>
      </w:r>
      <w:r w:rsidRPr="00027624">
        <w:t>. Surveys have also found positive emotional outcomes for people receiving financial advice</w:t>
      </w:r>
      <w:r w:rsidRPr="00027624">
        <w:fldChar w:fldCharType="begin"/>
      </w:r>
      <w:r w:rsidRPr="00027624">
        <w:instrText xml:space="preserve">CITATION Van19 \l 3081 </w:instrText>
      </w:r>
      <w:r w:rsidRPr="00027624" w:rsidDel="006168FD">
        <w:instrText xml:space="preserve"> CITATION Van19 \l 3081 </w:instrText>
      </w:r>
      <w:r w:rsidRPr="00027624">
        <w:fldChar w:fldCharType="separate"/>
      </w:r>
      <w:r w:rsidR="00E83F6E">
        <w:rPr>
          <w:noProof/>
        </w:rPr>
        <w:t xml:space="preserve"> (Vanguard, 2019)</w:t>
      </w:r>
      <w:r w:rsidRPr="00027624">
        <w:fldChar w:fldCharType="end"/>
      </w:r>
      <w:r w:rsidRPr="00027624">
        <w:t>. Half of respondents to another survey who had received advice said their mental health had also benefited from receiving financial advice</w:t>
      </w:r>
      <w:r w:rsidRPr="00027624">
        <w:fldChar w:fldCharType="begin"/>
      </w:r>
      <w:r w:rsidRPr="00027624">
        <w:instrText xml:space="preserve"> CITATION Fid19 \l 3081 </w:instrText>
      </w:r>
      <w:r w:rsidRPr="00027624">
        <w:fldChar w:fldCharType="separate"/>
      </w:r>
      <w:r w:rsidR="00E83F6E">
        <w:rPr>
          <w:noProof/>
        </w:rPr>
        <w:t xml:space="preserve"> (Fidelity International, 2019)</w:t>
      </w:r>
      <w:r w:rsidRPr="00027624">
        <w:fldChar w:fldCharType="end"/>
      </w:r>
    </w:p>
    <w:p w14:paraId="38BFDC34" w14:textId="77777777" w:rsidR="002A2FAE" w:rsidRPr="00027624" w:rsidRDefault="002A2FAE" w:rsidP="00FC7361">
      <w:pPr>
        <w:pStyle w:val="Bullet"/>
        <w:numPr>
          <w:ilvl w:val="0"/>
          <w:numId w:val="39"/>
        </w:numPr>
      </w:pPr>
      <w:r w:rsidRPr="00027624">
        <w:rPr>
          <w:b/>
        </w:rPr>
        <w:t>Better investment decisions</w:t>
      </w:r>
      <w:r w:rsidRPr="00027624">
        <w:t>. One American study found that seeking financial advice may lead to better investment decisions</w:t>
      </w:r>
      <w:r w:rsidRPr="00027624">
        <w:fldChar w:fldCharType="begin"/>
      </w:r>
      <w:r w:rsidRPr="00027624">
        <w:instrText xml:space="preserve"> CITATION Fra15 \l 3081 </w:instrText>
      </w:r>
      <w:r w:rsidRPr="00027624">
        <w:fldChar w:fldCharType="separate"/>
      </w:r>
      <w:r w:rsidR="00E83F6E">
        <w:rPr>
          <w:noProof/>
        </w:rPr>
        <w:t xml:space="preserve"> (Kinniry Jr., et al., 2015)</w:t>
      </w:r>
      <w:r w:rsidRPr="00027624">
        <w:fldChar w:fldCharType="end"/>
      </w:r>
      <w:r w:rsidRPr="00027624">
        <w:t>, which may increase the likelihood of money lasting during retirement, or increase retirees</w:t>
      </w:r>
      <w:r w:rsidR="00A8443E" w:rsidRPr="00027624">
        <w:t>’</w:t>
      </w:r>
      <w:r w:rsidRPr="00027624">
        <w:t xml:space="preserve"> income, allowing them to have a better standard of living. Another US study indicated retirement income could be increased by 22.6 per cent by using a better retirement income strategy, such as using annuities or choosing a better drawdown strategy</w:t>
      </w:r>
      <w:r w:rsidRPr="00027624">
        <w:fldChar w:fldCharType="begin"/>
      </w:r>
      <w:r w:rsidRPr="00027624">
        <w:instrText xml:space="preserve">CITATION Bla13 \l 3081 </w:instrText>
      </w:r>
      <w:r w:rsidRPr="00027624" w:rsidDel="006168FD">
        <w:instrText xml:space="preserve"> CITATION Bla13 \l 3081 </w:instrText>
      </w:r>
      <w:r w:rsidRPr="00027624">
        <w:fldChar w:fldCharType="separate"/>
      </w:r>
      <w:r w:rsidR="00E83F6E">
        <w:rPr>
          <w:noProof/>
        </w:rPr>
        <w:t xml:space="preserve"> (Blanchett &amp; Kaplan, 2013)</w:t>
      </w:r>
      <w:r w:rsidRPr="00027624">
        <w:fldChar w:fldCharType="end"/>
      </w:r>
      <w:r w:rsidRPr="00027624">
        <w:t>. However, some of the suggestions discussed in the American literature on financial advice are already available at low cost for most people in Australia through defaults that exist in the pre</w:t>
      </w:r>
      <w:r w:rsidR="00A8443E" w:rsidRPr="00027624">
        <w:noBreakHyphen/>
      </w:r>
      <w:r w:rsidRPr="00027624">
        <w:t>retirement phase. For example, MySuper products offer people balanced and diversified investments without seeking advice</w:t>
      </w:r>
    </w:p>
    <w:p w14:paraId="336F8B7C" w14:textId="77777777" w:rsidR="002A2FAE" w:rsidRPr="00027624" w:rsidRDefault="002A2FAE" w:rsidP="002E3D20">
      <w:r w:rsidRPr="00027624">
        <w:t>Defaults in the retirement phase, such as the proposed Comprehensive Income Products for Retirement, combined with guidance, could lead to a better drawdown strategy and greater take</w:t>
      </w:r>
      <w:r w:rsidR="00A8443E" w:rsidRPr="00027624">
        <w:noBreakHyphen/>
      </w:r>
      <w:r w:rsidRPr="00027624">
        <w:t xml:space="preserve">up of products that efficiently manage risks, such as longevity risk. </w:t>
      </w:r>
    </w:p>
    <w:p w14:paraId="5946F0A8" w14:textId="38353DAC" w:rsidR="002A2FAE" w:rsidRPr="00027624" w:rsidRDefault="002A2FAE" w:rsidP="002E3D20">
      <w:r w:rsidRPr="00027624">
        <w:t>In Australia, the data indicates benefits from financial advice: people who did not use a financial adviser at retirement transferred a much larger proportion of their wealth into cash and equivalents (</w:t>
      </w:r>
      <w:r w:rsidRPr="00027624">
        <w:fldChar w:fldCharType="begin"/>
      </w:r>
      <w:r w:rsidRPr="00027624">
        <w:instrText xml:space="preserve"> REF _Ref42360973 \r \h  \* MERGEFORMAT </w:instrText>
      </w:r>
      <w:r w:rsidRPr="00027624">
        <w:fldChar w:fldCharType="separate"/>
      </w:r>
      <w:r w:rsidR="00891058">
        <w:t>Chart 5A-21</w:t>
      </w:r>
      <w:r w:rsidRPr="00027624">
        <w:fldChar w:fldCharType="end"/>
      </w:r>
      <w:r w:rsidRPr="00027624">
        <w:t xml:space="preserve">), a strategy that would likely lead to lower income during retirement. </w:t>
      </w:r>
      <w:r w:rsidRPr="00027624">
        <w:fldChar w:fldCharType="begin"/>
      </w:r>
      <w:r w:rsidRPr="00027624">
        <w:instrText xml:space="preserve"> REF _Ref42361055 \r \h  \* MERGEFORMAT </w:instrText>
      </w:r>
      <w:r w:rsidRPr="00027624">
        <w:fldChar w:fldCharType="separate"/>
      </w:r>
      <w:r w:rsidR="00891058">
        <w:t>Box 5A-11</w:t>
      </w:r>
      <w:r w:rsidRPr="00027624">
        <w:fldChar w:fldCharType="end"/>
      </w:r>
      <w:r w:rsidRPr="00027624">
        <w:t xml:space="preserve"> discusses evidence showing the benefits of financial advice on investment switching behaviour in an economic crisis. </w:t>
      </w:r>
    </w:p>
    <w:p w14:paraId="118B4A5B" w14:textId="77777777" w:rsidR="002A2FAE" w:rsidRPr="00027624" w:rsidRDefault="002A2FAE" w:rsidP="00325A8D">
      <w:pPr>
        <w:pStyle w:val="ChartMainHeading"/>
        <w:numPr>
          <w:ilvl w:val="2"/>
          <w:numId w:val="13"/>
        </w:numPr>
      </w:pPr>
      <w:bookmarkStart w:id="4156" w:name="_Ref42360973"/>
      <w:r w:rsidRPr="00027624">
        <w:t>How retirement savings were used by retirees, by use of a financial planner</w:t>
      </w:r>
      <w:bookmarkEnd w:id="4156"/>
    </w:p>
    <w:p w14:paraId="27B03910" w14:textId="77777777" w:rsidR="002A2FAE" w:rsidRPr="00027624" w:rsidRDefault="00C46C6C" w:rsidP="002A2FAE">
      <w:pPr>
        <w:pStyle w:val="ChartGraphic"/>
      </w:pPr>
      <w:r>
        <w:rPr>
          <w:noProof/>
        </w:rPr>
        <w:drawing>
          <wp:inline distT="0" distB="0" distL="0" distR="0" wp14:anchorId="1761BC15" wp14:editId="1B793178">
            <wp:extent cx="5577840" cy="2613660"/>
            <wp:effectExtent l="0" t="0" r="3810" b="0"/>
            <wp:docPr id="679974619" name="Picture 679974619" descr="This chart shows that where people used a financial planner most of them (70 per cent) transferred their retirement savings to a retirement income product, which compares to 47 per cent of people who did not use a financial planner. A sizeable minority of people (23 per cent) who did not use a financial planner moved their retirement savings into cash and cash products." title="Chart 5A-21 How retirement savings were used by retirees, by use of a financial pl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577840" cy="2613660"/>
                    </a:xfrm>
                    <a:prstGeom prst="rect">
                      <a:avLst/>
                    </a:prstGeom>
                    <a:noFill/>
                  </pic:spPr>
                </pic:pic>
              </a:graphicData>
            </a:graphic>
          </wp:inline>
        </w:drawing>
      </w:r>
    </w:p>
    <w:p w14:paraId="2E89D08A" w14:textId="77777777" w:rsidR="002A2FAE" w:rsidRPr="00027624" w:rsidRDefault="002A2FAE" w:rsidP="002A2FAE">
      <w:pPr>
        <w:pStyle w:val="ChartorTableNote"/>
      </w:pPr>
      <w:r w:rsidRPr="00027624">
        <w:t>Note: 651 respondents. Source:</w:t>
      </w:r>
      <w:r w:rsidRPr="00027624">
        <w:rPr>
          <w:i/>
          <w:iCs/>
        </w:rPr>
        <w:t xml:space="preserve"> </w:t>
      </w:r>
      <w:r w:rsidRPr="00027624">
        <w:rPr>
          <w:iCs/>
        </w:rPr>
        <w:t>Investment Trends October 2017 Retirement Income Report</w:t>
      </w:r>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2A2FAE" w:rsidRPr="00027624" w14:paraId="10FC8899" w14:textId="77777777" w:rsidTr="0016495E">
        <w:tc>
          <w:tcPr>
            <w:tcW w:w="5000" w:type="pct"/>
            <w:shd w:val="clear" w:color="auto" w:fill="FFF8EA"/>
          </w:tcPr>
          <w:p w14:paraId="7811FAAC" w14:textId="77777777" w:rsidR="002A2FAE" w:rsidRPr="00027624" w:rsidRDefault="002A2FAE" w:rsidP="00325A8D">
            <w:pPr>
              <w:pStyle w:val="BoxHeading"/>
              <w:numPr>
                <w:ilvl w:val="5"/>
                <w:numId w:val="13"/>
              </w:numPr>
            </w:pPr>
            <w:bookmarkStart w:id="4157" w:name="_Ref42361055"/>
            <w:r w:rsidRPr="00027624">
              <w:t>The benefits of financial advice in an economic crisis</w:t>
            </w:r>
            <w:bookmarkEnd w:id="4157"/>
          </w:p>
          <w:p w14:paraId="64CA8FB2" w14:textId="77777777" w:rsidR="002A2FAE" w:rsidRPr="00027624" w:rsidRDefault="002A2FAE" w:rsidP="0016495E">
            <w:pPr>
              <w:pStyle w:val="BoxBullet"/>
            </w:pPr>
            <w:r w:rsidRPr="00027624">
              <w:t xml:space="preserve">Falling markets can be stressful. The complexity of navigating the system is an issue, particularly during downturns </w:t>
            </w:r>
            <w:sdt>
              <w:sdtPr>
                <w:id w:val="-1196683547"/>
                <w:citation/>
              </w:sdtPr>
              <w:sdtEndPr/>
              <w:sdtContent>
                <w:r w:rsidRPr="00027624">
                  <w:fldChar w:fldCharType="begin"/>
                </w:r>
                <w:r w:rsidRPr="00027624">
                  <w:instrText xml:space="preserve"> CITATION HBa09 \l 3081 </w:instrText>
                </w:r>
                <w:r w:rsidRPr="00027624">
                  <w:fldChar w:fldCharType="separate"/>
                </w:r>
                <w:r w:rsidR="00E83F6E">
                  <w:rPr>
                    <w:noProof/>
                  </w:rPr>
                  <w:t>(Bateman, 2009)</w:t>
                </w:r>
                <w:r w:rsidRPr="00027624">
                  <w:fldChar w:fldCharType="end"/>
                </w:r>
              </w:sdtContent>
            </w:sdt>
            <w:r w:rsidRPr="00027624">
              <w:t xml:space="preserve">. Complexity, combined with fear and uncertainty, can lead people to make poor choices, such as switching assets to cash during periods of market volatility. Switching can protect balances from further falls in the short term, but means members are likely to miss out on any rebound in markets. As cash delivers significantly lower return than balanced funds over the long run, this behaviour typically impairs retirement outcomes. </w:t>
            </w:r>
          </w:p>
          <w:p w14:paraId="49F77934" w14:textId="77777777" w:rsidR="002A2FAE" w:rsidRPr="00027624" w:rsidRDefault="002A2FAE" w:rsidP="0016495E">
            <w:pPr>
              <w:pStyle w:val="BoxBullet"/>
            </w:pPr>
            <w:r w:rsidRPr="00027624">
              <w:t>Forthcoming research by a large fund points to the importance of guidance and advice in reassuring members and helping them stay the course when markets fall. The fund comprised two broad groups of retirees: one where retirees were largely self</w:t>
            </w:r>
            <w:r w:rsidR="00A8443E" w:rsidRPr="00027624">
              <w:noBreakHyphen/>
            </w:r>
            <w:r w:rsidRPr="00027624">
              <w:t>directed, while the other group typically received financial advice. Key member characteristics and aggregate asset allocations were otherwise broadly similar across the two groups. Following the sharp market downturn in March 2020, just 0.9 per cent of funds under management for the largely advised group was switched, while 11 per cent of funds under management for the self</w:t>
            </w:r>
            <w:r w:rsidR="00A8443E" w:rsidRPr="00027624">
              <w:noBreakHyphen/>
            </w:r>
            <w:r w:rsidRPr="00027624">
              <w:t>directed group was switched. Across both groups of members, close to 80 per cent of switches were into a more defensive investment option, with around 50 per cent of these being switches to cash.</w:t>
            </w:r>
          </w:p>
          <w:p w14:paraId="35F19C0E" w14:textId="77777777" w:rsidR="002A2FAE" w:rsidRPr="00027624" w:rsidRDefault="002A2FAE" w:rsidP="00DB686A">
            <w:pPr>
              <w:pStyle w:val="BoxBullet"/>
            </w:pPr>
            <w:r w:rsidRPr="00027624">
              <w:t>Earlier research by the same fund found that 83 per cent of the self</w:t>
            </w:r>
            <w:r w:rsidR="00A8443E" w:rsidRPr="00027624">
              <w:noBreakHyphen/>
            </w:r>
            <w:r w:rsidRPr="00027624">
              <w:t xml:space="preserve">directed group </w:t>
            </w:r>
            <w:r w:rsidR="00DB686A" w:rsidRPr="00027624">
              <w:t xml:space="preserve">aged </w:t>
            </w:r>
            <w:r w:rsidRPr="00027624">
              <w:t>over 50 who switched to a more defensive option during the GFC, missed the rebound in markets and had not switched back by the end of June 2010. This suggests that members who switch during periods of market stress may not switch back without prompting, further emphasising the value in ready access to advice and guidance.</w:t>
            </w:r>
          </w:p>
        </w:tc>
      </w:tr>
    </w:tbl>
    <w:p w14:paraId="4311224F" w14:textId="77777777" w:rsidR="002A2FAE" w:rsidRPr="00027624" w:rsidRDefault="002A2FAE" w:rsidP="002A2FAE">
      <w:pPr>
        <w:pStyle w:val="Heading5"/>
      </w:pPr>
      <w:r w:rsidRPr="00027624">
        <w:t xml:space="preserve">Outcomes from financial advice </w:t>
      </w:r>
    </w:p>
    <w:p w14:paraId="035E0A8B" w14:textId="77777777" w:rsidR="002A2FAE" w:rsidRPr="00027624" w:rsidRDefault="002A2FAE" w:rsidP="002A2FAE">
      <w:r w:rsidRPr="00027624">
        <w:t>Variable outcomes from financial advice have been well documented by ASIC and more recently by the Hayne Royal Commission, which highlighted several instances of poor consumer outcomes from financial advice.</w:t>
      </w:r>
    </w:p>
    <w:p w14:paraId="49C721CE" w14:textId="77777777" w:rsidR="002A2FAE" w:rsidRPr="00027624" w:rsidRDefault="002A2FAE" w:rsidP="00791570">
      <w:pPr>
        <w:pStyle w:val="Bullet"/>
      </w:pPr>
      <w:r w:rsidRPr="00027624">
        <w:t>A 2012 ASIC shadow</w:t>
      </w:r>
      <w:r w:rsidR="00A8443E" w:rsidRPr="00027624">
        <w:noBreakHyphen/>
      </w:r>
      <w:r w:rsidRPr="00027624">
        <w:t>shopping exercise on retirement advice found only 3 per cent of advice was good and 39 per cent was poor, with advice overly focused on the merits of particular products. ASIC found much of the advice did not help clients to develop a realistic and achievable plan for their retirement or make the most of their financial resources. This</w:t>
      </w:r>
      <w:r w:rsidRPr="00027624" w:rsidDel="008D2068">
        <w:t xml:space="preserve"> </w:t>
      </w:r>
      <w:r w:rsidRPr="00027624">
        <w:t>review was conducted before the Future of Financial Advice reforms</w:t>
      </w:r>
      <w:r w:rsidRPr="00027624">
        <w:fldChar w:fldCharType="begin"/>
      </w:r>
      <w:r w:rsidRPr="00027624">
        <w:instrText xml:space="preserve">CITATION ASIC18 \l 3081 </w:instrText>
      </w:r>
      <w:r w:rsidRPr="00027624">
        <w:fldChar w:fldCharType="separate"/>
      </w:r>
      <w:r w:rsidR="00E83F6E">
        <w:rPr>
          <w:noProof/>
        </w:rPr>
        <w:t xml:space="preserve"> (ASIC, 2018a)</w:t>
      </w:r>
      <w:r w:rsidRPr="00027624">
        <w:fldChar w:fldCharType="end"/>
      </w:r>
      <w:r w:rsidRPr="00027624">
        <w:t>.</w:t>
      </w:r>
    </w:p>
    <w:p w14:paraId="7768B539" w14:textId="77777777" w:rsidR="002A2FAE" w:rsidRPr="00027624" w:rsidRDefault="002A2FAE" w:rsidP="00791570">
      <w:pPr>
        <w:pStyle w:val="Bullet"/>
      </w:pPr>
      <w:r w:rsidRPr="00027624">
        <w:t>In 2016, ASIC released a report finding widespread instances of people paying for financial advice, but not being delivered any services</w:t>
      </w:r>
      <w:r w:rsidRPr="00027624">
        <w:fldChar w:fldCharType="begin"/>
      </w:r>
      <w:r w:rsidRPr="00027624">
        <w:instrText xml:space="preserve">CITATION ASI16 \l 3081 </w:instrText>
      </w:r>
      <w:r w:rsidRPr="00027624">
        <w:fldChar w:fldCharType="separate"/>
      </w:r>
      <w:r w:rsidR="00E83F6E">
        <w:rPr>
          <w:noProof/>
        </w:rPr>
        <w:t xml:space="preserve"> (ASIC, 2016a)</w:t>
      </w:r>
      <w:r w:rsidRPr="00027624">
        <w:fldChar w:fldCharType="end"/>
      </w:r>
      <w:r w:rsidRPr="00027624">
        <w:t>. Many of these instances involved superannuation products where advice fees were being deducted directly from the product, reducing the affected client</w:t>
      </w:r>
      <w:r w:rsidR="00A8443E" w:rsidRPr="00027624">
        <w:t>’</w:t>
      </w:r>
      <w:r w:rsidRPr="00027624">
        <w:t xml:space="preserve">s future retirement income. </w:t>
      </w:r>
    </w:p>
    <w:p w14:paraId="06FD404D" w14:textId="77777777" w:rsidR="002A2FAE" w:rsidRPr="00027624" w:rsidRDefault="002A2FAE" w:rsidP="00791570">
      <w:pPr>
        <w:pStyle w:val="Bullet"/>
      </w:pPr>
      <w:r w:rsidRPr="00027624">
        <w:t xml:space="preserve">In 2018, ASIC reviewed the quality of financial advice and compliance provided by vertically integrated firms and found that 75 per cent failed to comply with the requirements associated with the best interests duty, but the quality of advice had improved after the Future of Financial Advice reforms. However, ASIC found only 10 per cent of files showed that consumers would be significantly worse off as a result of following the financial advice. </w:t>
      </w:r>
    </w:p>
    <w:p w14:paraId="3C986F5D" w14:textId="77777777" w:rsidR="002A2FAE" w:rsidRPr="00027624" w:rsidRDefault="002A2FAE" w:rsidP="00791570">
      <w:pPr>
        <w:pStyle w:val="Bullet"/>
        <w:rPr>
          <w:i/>
        </w:rPr>
      </w:pPr>
      <w:r w:rsidRPr="00027624">
        <w:t>In 2019, ASIC looked at financial advice offered by 25 superannuation funds and found 49 per cent complied with the best interests duty, with the member at risk of suffering detriment in 15 per cent of cases, and the other failures mostly due to disclos</w:t>
      </w:r>
      <w:r w:rsidR="00C20894" w:rsidRPr="00027624">
        <w:t>ure and record</w:t>
      </w:r>
      <w:r w:rsidR="00A8443E" w:rsidRPr="00027624">
        <w:noBreakHyphen/>
      </w:r>
      <w:r w:rsidR="00C20894" w:rsidRPr="00027624">
        <w:t>keeping failures</w:t>
      </w:r>
      <w:r w:rsidRPr="00027624">
        <w:fldChar w:fldCharType="begin"/>
      </w:r>
      <w:r w:rsidRPr="00027624">
        <w:instrText xml:space="preserve">CITATION ASI191 \l 3081 </w:instrText>
      </w:r>
      <w:r w:rsidRPr="00027624">
        <w:fldChar w:fldCharType="separate"/>
      </w:r>
      <w:r w:rsidR="00E83F6E">
        <w:rPr>
          <w:noProof/>
        </w:rPr>
        <w:t xml:space="preserve"> (ASIC, 2019d)</w:t>
      </w:r>
      <w:r w:rsidRPr="00027624">
        <w:fldChar w:fldCharType="end"/>
      </w:r>
      <w:r w:rsidRPr="00027624">
        <w:t xml:space="preserve">. ASIC noted: </w:t>
      </w:r>
    </w:p>
    <w:p w14:paraId="3EF50EC3" w14:textId="77777777" w:rsidR="002A2FAE" w:rsidRPr="00027624" w:rsidRDefault="00A8443E" w:rsidP="002A2FAE">
      <w:pPr>
        <w:pStyle w:val="Quote"/>
      </w:pPr>
      <w:r w:rsidRPr="00027624">
        <w:t>‘</w:t>
      </w:r>
      <w:r w:rsidR="002A2FAE" w:rsidRPr="00027624">
        <w:t>Superannuation funds play an important role in meeting the financial advice needs of Australians. Good financial advice can result in members making the most out of their superannuation savings upon their retirement. Poor financial advice, however, can significantly impact a member</w:t>
      </w:r>
      <w:r w:rsidRPr="00027624">
        <w:t>’</w:t>
      </w:r>
      <w:r w:rsidR="002A2FAE" w:rsidRPr="00027624">
        <w:t>s financial position and retirement plans.</w:t>
      </w:r>
      <w:r w:rsidRPr="00027624">
        <w:t>’</w:t>
      </w:r>
      <w:r w:rsidR="002A2FAE" w:rsidRPr="00027624">
        <w:rPr>
          <w:i w:val="0"/>
        </w:rPr>
        <w:fldChar w:fldCharType="begin"/>
      </w:r>
      <w:r w:rsidR="002A2FAE" w:rsidRPr="00027624">
        <w:rPr>
          <w:i w:val="0"/>
        </w:rPr>
        <w:instrText xml:space="preserve">CITATION ASI191 \p 7 \l 3081 </w:instrText>
      </w:r>
      <w:r w:rsidR="002A2FAE" w:rsidRPr="00027624">
        <w:rPr>
          <w:i w:val="0"/>
        </w:rPr>
        <w:fldChar w:fldCharType="separate"/>
      </w:r>
      <w:r w:rsidR="00E83F6E">
        <w:rPr>
          <w:i w:val="0"/>
          <w:noProof/>
        </w:rPr>
        <w:t xml:space="preserve"> </w:t>
      </w:r>
      <w:r w:rsidR="00E83F6E">
        <w:rPr>
          <w:noProof/>
        </w:rPr>
        <w:t>(ASIC, 2019d, p. 7)</w:t>
      </w:r>
      <w:r w:rsidR="002A2FAE" w:rsidRPr="00027624">
        <w:rPr>
          <w:i w:val="0"/>
        </w:rPr>
        <w:fldChar w:fldCharType="end"/>
      </w:r>
      <w:r w:rsidR="002A2FAE" w:rsidRPr="00027624">
        <w:rPr>
          <w:i w:val="0"/>
        </w:rPr>
        <w:t xml:space="preserve"> </w:t>
      </w:r>
    </w:p>
    <w:p w14:paraId="5A442FB9" w14:textId="77777777" w:rsidR="002A2FAE" w:rsidRPr="00027624" w:rsidRDefault="002A2FAE" w:rsidP="002A2FAE">
      <w:r w:rsidRPr="00027624">
        <w:t>Recent changes to financial advice regulation and further reforms in light of the Hayne Royal Commission may improve financial advice outcomes for consumers.</w:t>
      </w:r>
    </w:p>
    <w:p w14:paraId="04E7A0BB" w14:textId="77777777" w:rsidR="002A2FAE" w:rsidRPr="00027624" w:rsidRDefault="002A2FAE" w:rsidP="002A2FAE">
      <w:r w:rsidRPr="00027624">
        <w:t>Changes in response to the Hayne Royal Commission, such as removing grandfathered arrangements for conflicted remuneration and introducing a Code of Ethics banning commissions</w:t>
      </w:r>
      <w:r w:rsidRPr="00027624">
        <w:rPr>
          <w:rStyle w:val="FootnoteReference"/>
        </w:rPr>
        <w:footnoteReference w:id="310"/>
      </w:r>
      <w:r w:rsidRPr="00027624">
        <w:t xml:space="preserve"> are expected to lead to more strategic financial advice. In this case, advisers are paid for strategic recommendations rather than advice focused on getting consumers to take up products for which the adviser receives a commission. </w:t>
      </w:r>
    </w:p>
    <w:p w14:paraId="450DD537" w14:textId="77777777" w:rsidR="002A2FAE" w:rsidRPr="00027624" w:rsidRDefault="002A2FAE" w:rsidP="002A2FAE">
      <w:r w:rsidRPr="00027624">
        <w:t>Advisers are already shifting away from commiss</w:t>
      </w:r>
      <w:r w:rsidR="00C20894" w:rsidRPr="00027624">
        <w:t>ions to a fee</w:t>
      </w:r>
      <w:r w:rsidR="00A8443E" w:rsidRPr="00027624">
        <w:noBreakHyphen/>
      </w:r>
      <w:r w:rsidR="00C20894" w:rsidRPr="00027624">
        <w:t>for</w:t>
      </w:r>
      <w:r w:rsidR="00A8443E" w:rsidRPr="00027624">
        <w:noBreakHyphen/>
      </w:r>
      <w:r w:rsidR="00C20894" w:rsidRPr="00027624">
        <w:t>service model</w:t>
      </w:r>
      <w:r w:rsidRPr="00027624">
        <w:fldChar w:fldCharType="begin"/>
      </w:r>
      <w:r w:rsidRPr="00027624">
        <w:instrText xml:space="preserve"> CITATION Adv19 \l 3081 </w:instrText>
      </w:r>
      <w:r w:rsidRPr="00027624">
        <w:fldChar w:fldCharType="separate"/>
      </w:r>
      <w:r w:rsidR="00E83F6E">
        <w:rPr>
          <w:noProof/>
        </w:rPr>
        <w:t xml:space="preserve"> (Adviser Ratings, 2019)</w:t>
      </w:r>
      <w:r w:rsidRPr="00027624">
        <w:fldChar w:fldCharType="end"/>
      </w:r>
      <w:r w:rsidRPr="00027624">
        <w:t>, which makes the cost of advice more transparent. While the recently introduced professional standards for financial advisers are</w:t>
      </w:r>
      <w:r w:rsidRPr="00027624" w:rsidDel="009E4264">
        <w:t xml:space="preserve"> </w:t>
      </w:r>
      <w:r w:rsidRPr="00027624">
        <w:t>likely to improve adviser competence,</w:t>
      </w:r>
      <w:r w:rsidRPr="00027624">
        <w:rPr>
          <w:rStyle w:val="FootnoteReference"/>
        </w:rPr>
        <w:footnoteReference w:id="311"/>
      </w:r>
      <w:r w:rsidRPr="00027624">
        <w:t xml:space="preserve"> these reforms may reduce the supply of financial advisers if some advisers fail or choose not to meet the new standards. </w:t>
      </w:r>
      <w:bookmarkStart w:id="4158" w:name="_Hlk45019834"/>
      <w:r w:rsidRPr="00027624">
        <w:t>The effectiveness of reforms aimed at improving the quality of financial advice will be reviewed by Government in 2022.</w:t>
      </w:r>
      <w:bookmarkEnd w:id="4158"/>
    </w:p>
    <w:p w14:paraId="3EB96A0F" w14:textId="77777777" w:rsidR="002A2FAE" w:rsidRPr="00027624" w:rsidRDefault="002A2FAE" w:rsidP="002A2FAE">
      <w:pPr>
        <w:pStyle w:val="Heading5"/>
      </w:pPr>
      <w:r w:rsidRPr="00027624">
        <w:t>Technology options around financial advice</w:t>
      </w:r>
    </w:p>
    <w:p w14:paraId="6A269B70" w14:textId="77777777" w:rsidR="002A2FAE" w:rsidRPr="00027624" w:rsidRDefault="002A2FAE" w:rsidP="002A2FAE">
      <w:r w:rsidRPr="00027624">
        <w:t>Digital financial advice offers a potential solution to make getting assistance for retirement both efficient and affordable. Depending on design, greater use of digital financial advice may also reduce costs and biases and improve outcomes. But the following barriers and limitations to digital financial advice would need to be addressed:</w:t>
      </w:r>
    </w:p>
    <w:p w14:paraId="6625F74B" w14:textId="77777777" w:rsidR="002A2FAE" w:rsidRPr="00027624" w:rsidRDefault="002A2FAE" w:rsidP="00FC7361">
      <w:pPr>
        <w:pStyle w:val="Bullet"/>
        <w:numPr>
          <w:ilvl w:val="0"/>
          <w:numId w:val="40"/>
        </w:numPr>
        <w:rPr>
          <w:b/>
        </w:rPr>
      </w:pPr>
      <w:r w:rsidRPr="00027624">
        <w:rPr>
          <w:b/>
        </w:rPr>
        <w:t>Take</w:t>
      </w:r>
      <w:r w:rsidR="00A8443E" w:rsidRPr="00027624">
        <w:rPr>
          <w:b/>
        </w:rPr>
        <w:noBreakHyphen/>
      </w:r>
      <w:r w:rsidRPr="00027624">
        <w:rPr>
          <w:b/>
        </w:rPr>
        <w:t>up of digital financial advice is low, and the tools for retirement are limited</w:t>
      </w:r>
      <w:r w:rsidRPr="00027624">
        <w:t>. An ASIC survey in August 2019 showed only 1 per cent of respondents had used digital advice, and only 19 per cent were open to digital advice once it was explained to them</w:t>
      </w:r>
      <w:r w:rsidRPr="00027624">
        <w:fldChar w:fldCharType="begin"/>
      </w:r>
      <w:r w:rsidRPr="00027624">
        <w:instrText xml:space="preserve">CITATION ASIv19 \p 5 \l 3081 </w:instrText>
      </w:r>
      <w:r w:rsidRPr="00027624">
        <w:fldChar w:fldCharType="separate"/>
      </w:r>
      <w:r w:rsidR="00E83F6E">
        <w:rPr>
          <w:noProof/>
        </w:rPr>
        <w:t xml:space="preserve"> (ASIC, 2019b, p. 5)</w:t>
      </w:r>
      <w:r w:rsidRPr="00027624">
        <w:fldChar w:fldCharType="end"/>
      </w:r>
      <w:r w:rsidRPr="00027624">
        <w:t>. In the US, the use of digital financial advice is increasing rapidly</w:t>
      </w:r>
      <w:sdt>
        <w:sdtPr>
          <w:id w:val="-1886481575"/>
          <w:citation/>
        </w:sdtPr>
        <w:sdtEndPr/>
        <w:sdtContent>
          <w:r w:rsidRPr="00027624">
            <w:fldChar w:fldCharType="begin"/>
          </w:r>
          <w:r w:rsidRPr="00027624">
            <w:instrText xml:space="preserve"> CITATION Sta20 \l 3081 </w:instrText>
          </w:r>
          <w:r w:rsidRPr="00027624">
            <w:fldChar w:fldCharType="separate"/>
          </w:r>
          <w:r w:rsidR="00E83F6E">
            <w:rPr>
              <w:noProof/>
            </w:rPr>
            <w:t xml:space="preserve"> (Statista, 2020)</w:t>
          </w:r>
          <w:r w:rsidRPr="00027624">
            <w:fldChar w:fldCharType="end"/>
          </w:r>
        </w:sdtContent>
      </w:sdt>
      <w:r w:rsidRPr="00027624">
        <w:t xml:space="preserve"> but anecdotal evidence suggests it is generally used to guide investment rather than retirement strategies. Current digital financial advice tools cannot calculate an appropriate retirement strategy for a household, although some are in development.</w:t>
      </w:r>
      <w:r w:rsidRPr="00027624">
        <w:rPr>
          <w:rStyle w:val="FootnoteReference"/>
        </w:rPr>
        <w:footnoteReference w:id="312"/>
      </w:r>
      <w:r w:rsidRPr="00027624">
        <w:t xml:space="preserve"> </w:t>
      </w:r>
    </w:p>
    <w:p w14:paraId="598CEFC1" w14:textId="77777777" w:rsidR="002A2FAE" w:rsidRPr="00027624" w:rsidRDefault="002A2FAE" w:rsidP="00FC7361">
      <w:pPr>
        <w:pStyle w:val="Bullet"/>
        <w:numPr>
          <w:ilvl w:val="0"/>
          <w:numId w:val="40"/>
        </w:numPr>
      </w:pPr>
      <w:r w:rsidRPr="00027624">
        <w:rPr>
          <w:b/>
        </w:rPr>
        <w:t>People do not trust digital financial advice</w:t>
      </w:r>
      <w:r w:rsidRPr="00027624">
        <w:t>.</w:t>
      </w:r>
      <w:r w:rsidRPr="00027624">
        <w:rPr>
          <w:b/>
        </w:rPr>
        <w:t xml:space="preserve"> </w:t>
      </w:r>
      <w:r w:rsidRPr="00027624">
        <w:t>Younger and higher</w:t>
      </w:r>
      <w:r w:rsidR="00A8443E" w:rsidRPr="00027624">
        <w:noBreakHyphen/>
      </w:r>
      <w:r w:rsidRPr="00027624">
        <w:t>income people are more likely to welcome automated financial advice.</w:t>
      </w:r>
      <w:r w:rsidRPr="00027624">
        <w:rPr>
          <w:vertAlign w:val="superscript"/>
        </w:rPr>
        <w:footnoteReference w:id="313"/>
      </w:r>
      <w:r w:rsidRPr="00027624">
        <w:t xml:space="preserve"> Trust in digital financial advice and guidance improves when people experience it</w:t>
      </w:r>
      <w:r w:rsidRPr="00027624">
        <w:fldChar w:fldCharType="begin"/>
      </w:r>
      <w:r w:rsidRPr="00027624">
        <w:instrText xml:space="preserve"> CITATION Loch17 \l 3081 </w:instrText>
      </w:r>
      <w:r w:rsidRPr="00027624">
        <w:fldChar w:fldCharType="separate"/>
      </w:r>
      <w:r w:rsidR="00E83F6E">
        <w:rPr>
          <w:noProof/>
        </w:rPr>
        <w:t xml:space="preserve"> (Lochner, et al., 2017)</w:t>
      </w:r>
      <w:r w:rsidRPr="00027624">
        <w:fldChar w:fldCharType="end"/>
      </w:r>
      <w:r w:rsidRPr="00027624">
        <w:t xml:space="preserve">. This suggests trust in digital advice may increase in future. People may also trust digital financial advice tools more if outcomes are delivered by a person. </w:t>
      </w:r>
    </w:p>
    <w:p w14:paraId="0ED6B474" w14:textId="77777777" w:rsidR="002A2FAE" w:rsidRPr="00027624" w:rsidRDefault="002A2FAE" w:rsidP="00FC7361">
      <w:pPr>
        <w:pStyle w:val="Bullet"/>
        <w:numPr>
          <w:ilvl w:val="0"/>
          <w:numId w:val="40"/>
        </w:numPr>
      </w:pPr>
      <w:r w:rsidRPr="00027624">
        <w:rPr>
          <w:b/>
        </w:rPr>
        <w:t>People may not be willing to pay for digital financial advice</w:t>
      </w:r>
      <w:r w:rsidRPr="00027624">
        <w:t>. Consumers expect digital financial advice to be free or cheap</w:t>
      </w:r>
      <w:sdt>
        <w:sdtPr>
          <w:id w:val="-692837741"/>
          <w:citation/>
        </w:sdtPr>
        <w:sdtEndPr/>
        <w:sdtContent>
          <w:r w:rsidR="003F10D8">
            <w:fldChar w:fldCharType="begin"/>
          </w:r>
          <w:r w:rsidR="003F10D8">
            <w:instrText xml:space="preserve"> CITATION Loch17 \l 3081 </w:instrText>
          </w:r>
          <w:r w:rsidR="003F10D8">
            <w:fldChar w:fldCharType="separate"/>
          </w:r>
          <w:r w:rsidR="00E83F6E">
            <w:rPr>
              <w:noProof/>
            </w:rPr>
            <w:t xml:space="preserve"> (Lochner, et al., 2017)</w:t>
          </w:r>
          <w:r w:rsidR="003F10D8">
            <w:fldChar w:fldCharType="end"/>
          </w:r>
        </w:sdtContent>
      </w:sdt>
      <w:r w:rsidRPr="00027624">
        <w:t>. Rice Warner</w:t>
      </w:r>
      <w:r w:rsidRPr="00027624">
        <w:fldChar w:fldCharType="begin"/>
      </w:r>
      <w:r w:rsidRPr="00027624">
        <w:instrText xml:space="preserve">CITATION Ric192 \p 25 \n  \t  \l 3081 </w:instrText>
      </w:r>
      <w:r w:rsidRPr="00027624">
        <w:fldChar w:fldCharType="separate"/>
      </w:r>
      <w:r w:rsidR="00E83F6E">
        <w:rPr>
          <w:noProof/>
        </w:rPr>
        <w:t xml:space="preserve"> (2019a, p. 25)</w:t>
      </w:r>
      <w:r w:rsidRPr="00027624">
        <w:fldChar w:fldCharType="end"/>
      </w:r>
      <w:r w:rsidRPr="00027624">
        <w:t xml:space="preserve"> found consumers were willing to pay less than $250 for digital financial advice. Although ongoing costs are low, financial providers offering digital financial advice incur significant upfront software costs.</w:t>
      </w:r>
    </w:p>
    <w:p w14:paraId="5DD58AD9" w14:textId="77777777" w:rsidR="002A2FAE" w:rsidRPr="00027624" w:rsidRDefault="002A2FAE" w:rsidP="00FC7361">
      <w:pPr>
        <w:pStyle w:val="Bullet"/>
        <w:numPr>
          <w:ilvl w:val="0"/>
          <w:numId w:val="40"/>
        </w:numPr>
      </w:pPr>
      <w:r w:rsidRPr="00027624">
        <w:rPr>
          <w:b/>
        </w:rPr>
        <w:t>Regulatory barriers may prevent creating and using digital financial advice tools for retirement</w:t>
      </w:r>
      <w:r w:rsidRPr="00027624">
        <w:t>.</w:t>
      </w:r>
      <w:r w:rsidRPr="00027624">
        <w:rPr>
          <w:b/>
        </w:rPr>
        <w:t xml:space="preserve"> </w:t>
      </w:r>
      <w:r w:rsidRPr="00027624">
        <w:t>Some argue that there is legal uncertainty around fulfilling financial advice obligations when there is not a person involved in delivering the advice</w:t>
      </w:r>
      <w:r w:rsidRPr="00027624">
        <w:fldChar w:fldCharType="begin"/>
      </w:r>
      <w:r w:rsidRPr="00027624">
        <w:instrText xml:space="preserve">CITATION Sim19 \l 3081 </w:instrText>
      </w:r>
      <w:r w:rsidRPr="00027624">
        <w:fldChar w:fldCharType="separate"/>
      </w:r>
      <w:r w:rsidR="00E83F6E">
        <w:rPr>
          <w:noProof/>
        </w:rPr>
        <w:t xml:space="preserve"> (Soljo &amp; Blades, 2019)</w:t>
      </w:r>
      <w:r w:rsidRPr="00027624">
        <w:fldChar w:fldCharType="end"/>
      </w:r>
      <w:r w:rsidRPr="00027624">
        <w:t>, although ASIC has issued regulatory guidance on providing digital financial advice</w:t>
      </w:r>
      <w:r w:rsidRPr="00027624">
        <w:fldChar w:fldCharType="begin"/>
      </w:r>
      <w:r w:rsidRPr="00027624">
        <w:instrText xml:space="preserve">CITATION ASI161 \l 3081 </w:instrText>
      </w:r>
      <w:r w:rsidRPr="00027624">
        <w:fldChar w:fldCharType="separate"/>
      </w:r>
      <w:r w:rsidR="00E83F6E">
        <w:rPr>
          <w:noProof/>
        </w:rPr>
        <w:t xml:space="preserve"> (ASIC, 2016b)</w:t>
      </w:r>
      <w:r w:rsidRPr="00027624">
        <w:fldChar w:fldCharType="end"/>
      </w:r>
      <w:r w:rsidRPr="00027624">
        <w:t xml:space="preserve">. </w:t>
      </w:r>
    </w:p>
    <w:p w14:paraId="643C9653" w14:textId="77777777" w:rsidR="002A2FAE" w:rsidRPr="00027624" w:rsidRDefault="002A2FAE" w:rsidP="002A2FAE">
      <w:pPr>
        <w:pStyle w:val="Heading5"/>
      </w:pPr>
      <w:r w:rsidRPr="00027624">
        <w:t xml:space="preserve">Guidance </w:t>
      </w:r>
    </w:p>
    <w:p w14:paraId="035FD2C9" w14:textId="27DC79A2" w:rsidR="002A2FAE" w:rsidRPr="00027624" w:rsidRDefault="002A2FAE">
      <w:r w:rsidRPr="00027624">
        <w:t>The complexity of retirement means people often need assistance that</w:t>
      </w:r>
      <w:r w:rsidRPr="00027624" w:rsidDel="004D3250">
        <w:t xml:space="preserve"> </w:t>
      </w:r>
      <w:r w:rsidRPr="00027624">
        <w:t>may not include a recommendation relating to a financial product (</w:t>
      </w:r>
      <w:r w:rsidRPr="00027624">
        <w:fldChar w:fldCharType="begin"/>
      </w:r>
      <w:r w:rsidRPr="00027624">
        <w:instrText xml:space="preserve"> REF _Ref41295253 \r \h  \* MERGEFORMAT </w:instrText>
      </w:r>
      <w:r w:rsidRPr="00027624">
        <w:fldChar w:fldCharType="separate"/>
      </w:r>
      <w:r w:rsidR="00891058">
        <w:t>Box 5A-10</w:t>
      </w:r>
      <w:r w:rsidRPr="00027624">
        <w:fldChar w:fldCharType="end"/>
      </w:r>
      <w:r w:rsidRPr="00027624">
        <w:t>).</w:t>
      </w:r>
      <w:r w:rsidRPr="00027624" w:rsidDel="007F664D">
        <w:t xml:space="preserve"> </w:t>
      </w:r>
      <w:r w:rsidRPr="00027624">
        <w:t xml:space="preserve">Nevertheless, any legal uncertainty about whether guidance of this nature would require providers to comply with financial advice obligations would increase the costs of providing guidance. In the absence of certainty, providers are likely to comply with the obligations to avoid any risk of breaching the law. Funds may also be reluctant to provide guidance because these services are likely to require significant investment and ongoing costs. </w:t>
      </w:r>
    </w:p>
    <w:p w14:paraId="0E261A53" w14:textId="77777777" w:rsidR="002A2FAE" w:rsidRPr="00027624" w:rsidRDefault="002A2FAE" w:rsidP="002A2FAE">
      <w:r w:rsidRPr="00027624">
        <w:t>The Financial System Inquiry envisaged a greater role for superannuation trustees in guiding retirees into retirement, including designing a pre</w:t>
      </w:r>
      <w:r w:rsidR="00A8443E" w:rsidRPr="00027624">
        <w:noBreakHyphen/>
      </w:r>
      <w:r w:rsidRPr="00027624">
        <w:t>selected product for the member. These pre</w:t>
      </w:r>
      <w:r w:rsidR="00A8443E" w:rsidRPr="00027624">
        <w:noBreakHyphen/>
      </w:r>
      <w:r w:rsidRPr="00027624">
        <w:t xml:space="preserve">selected products are known as a </w:t>
      </w:r>
      <w:r w:rsidR="00A8443E" w:rsidRPr="00027624">
        <w:t>‘</w:t>
      </w:r>
      <w:r w:rsidRPr="00027624">
        <w:t>Comprehensive Income Products for Retirement</w:t>
      </w:r>
      <w:r w:rsidR="00A8443E" w:rsidRPr="00027624">
        <w:t>’</w:t>
      </w:r>
      <w:r w:rsidRPr="00027624">
        <w:t>. One stakeholder noted trustees should offer these services as part of offering retirement phase products</w:t>
      </w:r>
      <w:r w:rsidRPr="00027624">
        <w:fldChar w:fldCharType="begin"/>
      </w:r>
      <w:r w:rsidRPr="00027624">
        <w:instrText xml:space="preserve">CITATION Ric20 \p 9 \l 3081 </w:instrText>
      </w:r>
      <w:r w:rsidRPr="00027624">
        <w:fldChar w:fldCharType="separate"/>
      </w:r>
      <w:r w:rsidR="00E83F6E">
        <w:rPr>
          <w:noProof/>
        </w:rPr>
        <w:t xml:space="preserve"> (Rice Warner, 2020, p. 9)</w:t>
      </w:r>
      <w:r w:rsidRPr="00027624">
        <w:fldChar w:fldCharType="end"/>
      </w:r>
      <w:r w:rsidRPr="00027624">
        <w:t>.</w:t>
      </w:r>
    </w:p>
    <w:p w14:paraId="66CCA98F" w14:textId="5301F6E7" w:rsidR="002A2FAE" w:rsidRPr="00027624" w:rsidRDefault="002A2FAE" w:rsidP="002A2FAE">
      <w:r w:rsidRPr="00027624">
        <w:t>The same technology that facilitates digital advice could be modified to help funds offer guidance to members in a cost</w:t>
      </w:r>
      <w:r w:rsidR="00A8443E" w:rsidRPr="00027624">
        <w:noBreakHyphen/>
      </w:r>
      <w:r w:rsidRPr="00027624">
        <w:t>effective way. It could also be used by Government to offer guidance directly to individuals, through better use of tools such as calculators (</w:t>
      </w:r>
      <w:r w:rsidRPr="00027624">
        <w:fldChar w:fldCharType="begin"/>
      </w:r>
      <w:r w:rsidRPr="00027624">
        <w:instrText xml:space="preserve"> REF _Ref41741073 \r \h  \* MERGEFORMAT </w:instrText>
      </w:r>
      <w:r w:rsidRPr="00027624">
        <w:fldChar w:fldCharType="separate"/>
      </w:r>
      <w:r w:rsidR="00891058">
        <w:t>Box 5A-9</w:t>
      </w:r>
      <w:r w:rsidRPr="00027624">
        <w:fldChar w:fldCharType="end"/>
      </w:r>
      <w:r w:rsidRPr="00027624">
        <w:t>).</w:t>
      </w:r>
    </w:p>
    <w:p w14:paraId="5491B0C2" w14:textId="31C6F34D" w:rsidR="002A2FAE" w:rsidRPr="00027624" w:rsidRDefault="002A2FAE" w:rsidP="002A2FAE">
      <w:r w:rsidRPr="00027624">
        <w:t>In the UK, the Financial Conduct Authority recommends making providers assess whether consumers are eligible for enhanced annuities (annuities for low life expectancy), by asking simple health and lifestyle questions, and then offering the best enhanced annuities on the market. In Australia, the Government</w:t>
      </w:r>
      <w:r w:rsidR="00A8443E" w:rsidRPr="00027624">
        <w:t>’</w:t>
      </w:r>
      <w:r w:rsidRPr="00027624">
        <w:t xml:space="preserve">s proposed </w:t>
      </w:r>
      <w:r w:rsidR="00814818" w:rsidRPr="00027624">
        <w:t>Retirement Income Covenant</w:t>
      </w:r>
      <w:r w:rsidRPr="00027624">
        <w:t xml:space="preserve"> suggests a greater role for superannuation funds in guiding members at retirement (</w:t>
      </w:r>
      <w:r w:rsidRPr="00027624">
        <w:fldChar w:fldCharType="begin"/>
      </w:r>
      <w:r w:rsidRPr="00027624">
        <w:instrText xml:space="preserve"> REF _Ref40972484 \r \h  \* MERGEFORMAT </w:instrText>
      </w:r>
      <w:r w:rsidRPr="00027624">
        <w:fldChar w:fldCharType="separate"/>
      </w:r>
      <w:r w:rsidR="00891058">
        <w:t>Box 5A-12</w:t>
      </w:r>
      <w:r w:rsidRPr="00027624">
        <w:fldChar w:fldCharType="end"/>
      </w:r>
      <w:r w:rsidRPr="00027624">
        <w:t xml:space="preserve">). The covenant envisages a guided choice framework in the form of a retirement income strategy for fund members that provides higher and more stable income in retirement than the current </w:t>
      </w:r>
      <w:r w:rsidR="00A8443E" w:rsidRPr="00027624">
        <w:t>‘</w:t>
      </w:r>
      <w:r w:rsidRPr="00027624">
        <w:t>default</w:t>
      </w:r>
      <w:r w:rsidR="00A8443E" w:rsidRPr="00027624">
        <w:t>’</w:t>
      </w:r>
      <w:r w:rsidRPr="00027624">
        <w:t xml:space="preserve"> settings. </w:t>
      </w:r>
    </w:p>
    <w:tbl>
      <w:tblPr>
        <w:tblW w:w="5000" w:type="pct"/>
        <w:shd w:val="clear" w:color="auto" w:fill="FFF8EA"/>
        <w:tblLook w:val="01E0" w:firstRow="1" w:lastRow="1" w:firstColumn="1" w:lastColumn="1" w:noHBand="0" w:noVBand="0"/>
      </w:tblPr>
      <w:tblGrid>
        <w:gridCol w:w="9070"/>
      </w:tblGrid>
      <w:tr w:rsidR="002A2FAE" w:rsidRPr="00027624" w14:paraId="778DDA74" w14:textId="77777777" w:rsidTr="003A119F">
        <w:tc>
          <w:tcPr>
            <w:tcW w:w="5000" w:type="pct"/>
            <w:shd w:val="clear" w:color="auto" w:fill="FFF8EA"/>
          </w:tcPr>
          <w:p w14:paraId="7436EC33" w14:textId="77777777" w:rsidR="002A2FAE" w:rsidRPr="00027624" w:rsidRDefault="002A2FAE" w:rsidP="00325A8D">
            <w:pPr>
              <w:pStyle w:val="BoxHeading"/>
              <w:numPr>
                <w:ilvl w:val="5"/>
                <w:numId w:val="13"/>
              </w:numPr>
            </w:pPr>
            <w:bookmarkStart w:id="4159" w:name="_Ref42619878"/>
            <w:bookmarkStart w:id="4160" w:name="_Ref40972484"/>
            <w:bookmarkStart w:id="4161" w:name="_Ref40955578"/>
            <w:bookmarkStart w:id="4162" w:name="_Hlk40782760"/>
            <w:r w:rsidRPr="00027624">
              <w:t xml:space="preserve">The </w:t>
            </w:r>
            <w:r w:rsidR="00814818" w:rsidRPr="00027624">
              <w:t>Retirement Income Covenant</w:t>
            </w:r>
            <w:bookmarkEnd w:id="4159"/>
            <w:r w:rsidRPr="00027624">
              <w:t xml:space="preserve"> </w:t>
            </w:r>
          </w:p>
          <w:p w14:paraId="7A1045AD" w14:textId="77777777" w:rsidR="002A2FAE" w:rsidRPr="00027624" w:rsidRDefault="002A2FAE" w:rsidP="0016495E">
            <w:pPr>
              <w:pStyle w:val="BoxText"/>
            </w:pPr>
            <w:r w:rsidRPr="00027624">
              <w:t>To develop the retirement phase of the superannuation system, in the 2018</w:t>
            </w:r>
            <w:r w:rsidR="00A8443E" w:rsidRPr="00027624">
              <w:noBreakHyphen/>
            </w:r>
            <w:r w:rsidRPr="00027624">
              <w:t>19 Budget</w:t>
            </w:r>
            <w:r w:rsidRPr="00027624">
              <w:rPr>
                <w:rStyle w:val="FootnoteReference"/>
              </w:rPr>
              <w:footnoteReference w:id="314"/>
            </w:r>
            <w:r w:rsidRPr="00027624">
              <w:t xml:space="preserve"> the former Minister for Revenue and Financial Services, the Hon Kelly O</w:t>
            </w:r>
            <w:r w:rsidR="00A8443E" w:rsidRPr="00027624">
              <w:t>’</w:t>
            </w:r>
            <w:r w:rsidRPr="00027624">
              <w:t>Dwyer MP, announced plans to create a legal obligation on superannuation funds to consider their members</w:t>
            </w:r>
            <w:r w:rsidR="00A8443E" w:rsidRPr="00027624">
              <w:t>’</w:t>
            </w:r>
            <w:r w:rsidRPr="00027624">
              <w:t xml:space="preserve"> needs in retirement and develop an appropriate retirement income strategy (see the Government</w:t>
            </w:r>
            <w:r w:rsidR="00A8443E" w:rsidRPr="00027624">
              <w:t>’</w:t>
            </w:r>
            <w:r w:rsidRPr="00027624">
              <w:t>s Retirement Income Covenant Position Paper).</w:t>
            </w:r>
            <w:r w:rsidRPr="00027624">
              <w:rPr>
                <w:rStyle w:val="FootnoteReference"/>
              </w:rPr>
              <w:footnoteReference w:id="315"/>
            </w:r>
            <w:r w:rsidRPr="00027624">
              <w:t xml:space="preserve"> This built on the Government</w:t>
            </w:r>
            <w:r w:rsidR="00A8443E" w:rsidRPr="00027624">
              <w:t>’</w:t>
            </w:r>
            <w:r w:rsidRPr="00027624">
              <w:t>s response to the 2014 Financial System Inquiry, in which the Government committed to develop legislation to allow funds to provide pre</w:t>
            </w:r>
            <w:r w:rsidR="00A8443E" w:rsidRPr="00027624">
              <w:noBreakHyphen/>
            </w:r>
            <w:r w:rsidRPr="00027624">
              <w:t xml:space="preserve">selected products at retirement and guide members at retirement. </w:t>
            </w:r>
          </w:p>
          <w:p w14:paraId="5D4E0671" w14:textId="77777777" w:rsidR="002A2FAE" w:rsidRPr="00027624" w:rsidRDefault="002A2FAE" w:rsidP="0016495E">
            <w:pPr>
              <w:pStyle w:val="BoxText"/>
            </w:pPr>
            <w:r w:rsidRPr="00027624">
              <w:t>This would complement the current legislative framework, the</w:t>
            </w:r>
            <w:r w:rsidRPr="00027624">
              <w:rPr>
                <w:i/>
              </w:rPr>
              <w:t xml:space="preserve"> Superannuation Industry (Supervision) Act 1993 (SIS Act),</w:t>
            </w:r>
            <w:r w:rsidRPr="00027624">
              <w:t xml:space="preserve"> which has specific obligations in superannuation law that impose duties (called covenants) on trustees of superannuation funds that apply to the </w:t>
            </w:r>
            <w:r w:rsidR="00FF2FA7" w:rsidRPr="00027624">
              <w:t>pre</w:t>
            </w:r>
            <w:r w:rsidR="00A8443E" w:rsidRPr="00027624">
              <w:noBreakHyphen/>
            </w:r>
            <w:r w:rsidR="00FF2FA7" w:rsidRPr="00027624">
              <w:t>retirement phase</w:t>
            </w:r>
            <w:r w:rsidRPr="00027624">
              <w:t>.</w:t>
            </w:r>
            <w:r w:rsidRPr="00027624">
              <w:rPr>
                <w:rStyle w:val="FootnoteReference"/>
              </w:rPr>
              <w:footnoteReference w:id="316"/>
            </w:r>
            <w:r w:rsidRPr="00027624">
              <w:t xml:space="preserve"> (The retirement phase currently has no specific legal framework.)</w:t>
            </w:r>
          </w:p>
          <w:p w14:paraId="1559FBFD" w14:textId="77777777" w:rsidR="002A2FAE" w:rsidRPr="00027624" w:rsidRDefault="002A2FAE" w:rsidP="0016495E">
            <w:pPr>
              <w:pStyle w:val="BoxText"/>
            </w:pPr>
            <w:r w:rsidRPr="00027624">
              <w:t>Under the new obligations, trustees would be required to consider how to manage members</w:t>
            </w:r>
            <w:r w:rsidR="00A8443E" w:rsidRPr="00027624">
              <w:t>’</w:t>
            </w:r>
            <w:r w:rsidRPr="00027624">
              <w:t xml:space="preserve"> retirement risks, such as longevity and inflation, their Age Pension eligibility, any need for access to capital, as well as the risk of cognitive decline. Trustees would also be required to develop and offer a Comprehensive Income Product for Retirement: a retirement income product that is likely made up of a combination of products, which provides broadly constant income for life (that is, it manages longevity risk) and some access to capital.</w:t>
            </w:r>
          </w:p>
          <w:p w14:paraId="3824D1B5" w14:textId="77777777" w:rsidR="002A2FAE" w:rsidRPr="00027624" w:rsidRDefault="002A2FAE" w:rsidP="0016495E">
            <w:pPr>
              <w:pStyle w:val="BoxText"/>
            </w:pPr>
            <w:r w:rsidRPr="00027624">
              <w:t xml:space="preserve">As part of the </w:t>
            </w:r>
            <w:r w:rsidR="00814818" w:rsidRPr="00027624">
              <w:t>Retirement Income Covenant</w:t>
            </w:r>
            <w:r w:rsidRPr="00027624">
              <w:t>, trustees would have a legal responsibility to guide members at retirement (guided choice) by providing financial advice, information or guidance to help them understand and make choices about retirement income products.</w:t>
            </w:r>
          </w:p>
        </w:tc>
      </w:tr>
    </w:tbl>
    <w:bookmarkEnd w:id="4160"/>
    <w:bookmarkEnd w:id="4161"/>
    <w:bookmarkEnd w:id="4162"/>
    <w:p w14:paraId="18027BD8" w14:textId="77777777" w:rsidR="002A2FAE" w:rsidRPr="00027624" w:rsidRDefault="002A2FAE" w:rsidP="002A2FAE">
      <w:pPr>
        <w:pStyle w:val="Heading4"/>
      </w:pPr>
      <w:r w:rsidRPr="00027624">
        <w:t>Future roles providing guidance and financial advice</w:t>
      </w:r>
    </w:p>
    <w:p w14:paraId="3255CFEE" w14:textId="77777777" w:rsidR="002A2FAE" w:rsidRPr="00027624" w:rsidRDefault="002A2FAE" w:rsidP="002A2FAE">
      <w:r w:rsidRPr="00027624">
        <w:t>When people receive assistance it must be paid for, either by the Government, from people</w:t>
      </w:r>
      <w:r w:rsidR="00A8443E" w:rsidRPr="00027624">
        <w:t>’</w:t>
      </w:r>
      <w:r w:rsidRPr="00027624">
        <w:t>s superannuation accounts or directly by the people accessing the assistance.</w:t>
      </w:r>
    </w:p>
    <w:p w14:paraId="2116BBB9" w14:textId="77777777" w:rsidR="002A2FAE" w:rsidRPr="00027624" w:rsidRDefault="002A2FAE" w:rsidP="002A2FAE">
      <w:pPr>
        <w:pStyle w:val="Heading5"/>
      </w:pPr>
      <w:r w:rsidRPr="00027624">
        <w:t xml:space="preserve">Role of superannuation funds </w:t>
      </w:r>
    </w:p>
    <w:p w14:paraId="002C6F05" w14:textId="77777777" w:rsidR="002A2FAE" w:rsidRPr="00027624" w:rsidRDefault="002A2FAE" w:rsidP="002A2FAE">
      <w:r w:rsidRPr="00027624">
        <w:t>Superannuation funds are well placed to provide both guidance and financial advice at retirement (or prompt people to seek financial advice) because members have to contact their fund to transfer their assets into the tax</w:t>
      </w:r>
      <w:r w:rsidR="00A8443E" w:rsidRPr="00027624">
        <w:noBreakHyphen/>
      </w:r>
      <w:r w:rsidRPr="00027624">
        <w:t xml:space="preserve">free retirement phase and to start accessing their savings. This guidance could relate to a product, or it could relate to another strategy, such as, for low balance holders, using their superannuation to pay down debt. </w:t>
      </w:r>
    </w:p>
    <w:p w14:paraId="43ABB8E1" w14:textId="77777777" w:rsidR="002A2FAE" w:rsidRPr="00027624" w:rsidRDefault="002A2FAE" w:rsidP="002A2FAE">
      <w:r w:rsidRPr="00027624">
        <w:t xml:space="preserve">Arguably, given retirement income is the core purpose of superannuation, funds have a responsibility to provide this guidance. However, the regulatory framework does not make it easy for funds to provide such guidance. Anecdotal evidence suggests some funds are </w:t>
      </w:r>
      <w:r w:rsidRPr="00027624">
        <w:rPr>
          <w:bCs/>
        </w:rPr>
        <w:t xml:space="preserve">reticent to provide guidance to people at retirement as </w:t>
      </w:r>
      <w:r w:rsidRPr="00027624">
        <w:t>there is legal ambiguity over what is and what is not financial advice</w:t>
      </w:r>
      <w:r w:rsidRPr="00027624">
        <w:rPr>
          <w:bCs/>
        </w:rPr>
        <w:t>.</w:t>
      </w:r>
      <w:r w:rsidRPr="00027624" w:rsidDel="00121A28">
        <w:t xml:space="preserve"> </w:t>
      </w:r>
    </w:p>
    <w:p w14:paraId="2DE07412" w14:textId="77777777" w:rsidR="002A2FAE" w:rsidRPr="00027624" w:rsidRDefault="002A2FAE" w:rsidP="002A2FAE">
      <w:pPr>
        <w:rPr>
          <w:bCs/>
        </w:rPr>
      </w:pPr>
      <w:r w:rsidRPr="00027624">
        <w:t>Under superannuation law, trustees are required to act in the best interests of their membership as a whole, which means they are focused on factors such as keeping costs for the entire membership down and trying to maximise funds under management. This may not be in the interests of an individual member. For example,</w:t>
      </w:r>
      <w:r w:rsidRPr="00027624" w:rsidDel="001D7ED1">
        <w:t xml:space="preserve"> </w:t>
      </w:r>
      <w:r w:rsidRPr="00027624">
        <w:t>funds may be inclined to offer or recommend products or strategies that involve members drawing down their retirement savings more slowly. Further, advisers associated with funds may have an incentive to recommend their fund</w:t>
      </w:r>
      <w:r w:rsidR="00A8443E" w:rsidRPr="00027624">
        <w:t>’</w:t>
      </w:r>
      <w:r w:rsidRPr="00027624">
        <w:t xml:space="preserve">s products. This could dampen the already limited competitive forces </w:t>
      </w:r>
      <w:r w:rsidRPr="00027624" w:rsidDel="001D7ED1">
        <w:t>i</w:t>
      </w:r>
      <w:r w:rsidRPr="00027624">
        <w:t>n the retirement income product market. A</w:t>
      </w:r>
      <w:r w:rsidRPr="00027624" w:rsidDel="001D7ED1">
        <w:t xml:space="preserve">t present, </w:t>
      </w:r>
      <w:r w:rsidRPr="00027624">
        <w:t>this risk is likely to be small. Of note, product quality regulation has been used in the pre</w:t>
      </w:r>
      <w:r w:rsidR="00A8443E" w:rsidRPr="00027624">
        <w:noBreakHyphen/>
      </w:r>
      <w:r w:rsidRPr="00027624">
        <w:t>retirement phase to tackle the risk of poor outcomes from the lack of competitive forces.</w:t>
      </w:r>
    </w:p>
    <w:p w14:paraId="16D1A0B9" w14:textId="77777777" w:rsidR="002A2FAE" w:rsidRPr="00027624" w:rsidRDefault="002A2FAE" w:rsidP="002A2FAE">
      <w:r w:rsidRPr="00027624">
        <w:t xml:space="preserve">Overall, </w:t>
      </w:r>
      <w:r w:rsidRPr="00027624">
        <w:rPr>
          <w:b/>
        </w:rPr>
        <w:t>giving funds the confidence to provide limited and targeted guidance to members without needing to comply with the legal obligations associated with financial advice would likely improve people</w:t>
      </w:r>
      <w:r w:rsidR="00A8443E" w:rsidRPr="00027624">
        <w:rPr>
          <w:b/>
        </w:rPr>
        <w:t>’</w:t>
      </w:r>
      <w:r w:rsidRPr="00027624">
        <w:rPr>
          <w:b/>
        </w:rPr>
        <w:t>s retirement outcomes</w:t>
      </w:r>
      <w:r w:rsidRPr="00027624">
        <w:t>. The benefits associated with drawing down more retirement savings and higher standards of living in retirement, coupled with effective regulation, would likely outweigh any potential impact from conflicts of interest.</w:t>
      </w:r>
    </w:p>
    <w:p w14:paraId="030F85F1" w14:textId="77777777" w:rsidR="002A2FAE" w:rsidRPr="00027624" w:rsidRDefault="002A2FAE" w:rsidP="002A2FAE">
      <w:pPr>
        <w:pStyle w:val="Heading5"/>
      </w:pPr>
      <w:r w:rsidRPr="00027624">
        <w:t>Role of Government</w:t>
      </w:r>
    </w:p>
    <w:p w14:paraId="059232E4" w14:textId="77777777" w:rsidR="002A2FAE" w:rsidRPr="00027624" w:rsidRDefault="002A2FAE">
      <w:r w:rsidRPr="00027624">
        <w:t>The Government currently provides guidance through ASIC</w:t>
      </w:r>
      <w:r w:rsidR="00A8443E" w:rsidRPr="00027624">
        <w:t>’</w:t>
      </w:r>
      <w:r w:rsidRPr="00027624">
        <w:t>s MoneySmart website and the Financial Information Service. The Government promotes these services through Financial Health Checks for 45</w:t>
      </w:r>
      <w:r w:rsidR="00A8443E" w:rsidRPr="00027624">
        <w:noBreakHyphen/>
      </w:r>
      <w:r w:rsidRPr="00027624">
        <w:t xml:space="preserve"> and 65</w:t>
      </w:r>
      <w:r w:rsidR="00A8443E" w:rsidRPr="00027624">
        <w:noBreakHyphen/>
      </w:r>
      <w:r w:rsidRPr="00027624">
        <w:t>year</w:t>
      </w:r>
      <w:r w:rsidR="00A8443E" w:rsidRPr="00027624">
        <w:noBreakHyphen/>
      </w:r>
      <w:r w:rsidRPr="00027624">
        <w:t xml:space="preserve">olds. </w:t>
      </w:r>
    </w:p>
    <w:p w14:paraId="54B6FB1E" w14:textId="77777777" w:rsidR="002A2FAE" w:rsidRPr="00027624" w:rsidRDefault="002A2FAE" w:rsidP="00430DC4">
      <w:pPr>
        <w:numPr>
          <w:ilvl w:val="0"/>
          <w:numId w:val="30"/>
        </w:numPr>
        <w:ind w:left="284" w:hanging="284"/>
      </w:pPr>
      <w:r w:rsidRPr="00027624">
        <w:rPr>
          <w:b/>
          <w:bCs/>
        </w:rPr>
        <w:t xml:space="preserve">MoneySmart </w:t>
      </w:r>
      <w:r w:rsidRPr="00027624">
        <w:t xml:space="preserve">provides a retirement income calculator and general information, but does not assist people to make decisions. It directs people to seek financial advice. </w:t>
      </w:r>
    </w:p>
    <w:p w14:paraId="0ACC97C4" w14:textId="77777777" w:rsidR="002A2FAE" w:rsidRPr="00027624" w:rsidRDefault="002A2FAE" w:rsidP="00430DC4">
      <w:pPr>
        <w:numPr>
          <w:ilvl w:val="0"/>
          <w:numId w:val="30"/>
        </w:numPr>
        <w:ind w:left="284" w:hanging="284"/>
      </w:pPr>
      <w:r w:rsidRPr="00027624">
        <w:rPr>
          <w:b/>
          <w:bCs/>
        </w:rPr>
        <w:t>Financial Information Service</w:t>
      </w:r>
      <w:r w:rsidRPr="00027624">
        <w:t xml:space="preserve"> provides seminars and phone guidance. It was originally targeted at pensioners but now has a broader role.</w:t>
      </w:r>
    </w:p>
    <w:p w14:paraId="65E6F7A4" w14:textId="5647345F" w:rsidR="002A2FAE" w:rsidRPr="00027624" w:rsidRDefault="002A2FAE">
      <w:r w:rsidRPr="00027624">
        <w:rPr>
          <w:b/>
          <w:bCs/>
        </w:rPr>
        <w:t>Some stakeholders argued the Government should offer affordable guidance at retirement</w:t>
      </w:r>
      <w:r w:rsidRPr="00027624">
        <w:t>, based on the UK</w:t>
      </w:r>
      <w:r w:rsidR="00A8443E" w:rsidRPr="00027624">
        <w:t>’</w:t>
      </w:r>
      <w:r w:rsidRPr="00027624">
        <w:t>s Money and Pensions Service (</w:t>
      </w:r>
      <w:r w:rsidRPr="00027624">
        <w:fldChar w:fldCharType="begin"/>
      </w:r>
      <w:r w:rsidRPr="00027624">
        <w:instrText xml:space="preserve"> REF _Ref42597721 \r \h </w:instrText>
      </w:r>
      <w:r w:rsidRPr="00027624">
        <w:rPr>
          <w:noProof/>
        </w:rPr>
        <w:instrText xml:space="preserve"> \* MERGEFORMAT </w:instrText>
      </w:r>
      <w:r w:rsidRPr="00027624">
        <w:fldChar w:fldCharType="separate"/>
      </w:r>
      <w:r w:rsidR="00891058">
        <w:t>Box 5A-13</w:t>
      </w:r>
      <w:r w:rsidRPr="00027624">
        <w:fldChar w:fldCharType="end"/>
      </w:r>
      <w:r w:rsidRPr="00027624">
        <w:rPr>
          <w:noProof/>
        </w:rPr>
        <w:t>)</w:t>
      </w:r>
      <w:r w:rsidR="00AB0822" w:rsidRPr="00AB0822">
        <w:t xml:space="preserve"> </w:t>
      </w:r>
      <w:sdt>
        <w:sdtPr>
          <w:id w:val="-521406928"/>
          <w:citation/>
        </w:sdtPr>
        <w:sdtEndPr/>
        <w:sdtContent>
          <w:r w:rsidR="00AB0822" w:rsidRPr="00027624">
            <w:fldChar w:fldCharType="begin"/>
          </w:r>
          <w:r w:rsidR="00AB0822">
            <w:instrText xml:space="preserve">CITATION Sup20 \p 29-30 \l 3081 </w:instrText>
          </w:r>
          <w:r w:rsidR="00AB0822" w:rsidRPr="00027624">
            <w:fldChar w:fldCharType="separate"/>
          </w:r>
          <w:r w:rsidR="00E83F6E">
            <w:rPr>
              <w:noProof/>
            </w:rPr>
            <w:t>(Super Consumers Australia, 2020, pp. 29-30)</w:t>
          </w:r>
          <w:r w:rsidR="00AB0822" w:rsidRPr="00027624">
            <w:fldChar w:fldCharType="end"/>
          </w:r>
        </w:sdtContent>
      </w:sdt>
      <w:r w:rsidRPr="00027624">
        <w:t>. Although the UK model gives retirees access to affordable and independent guidance at retirement, it does not guarantee people will seek this guidance or advice. Research by the UK</w:t>
      </w:r>
      <w:r w:rsidR="00A8443E" w:rsidRPr="00027624">
        <w:t>’</w:t>
      </w:r>
      <w:r w:rsidRPr="00027624">
        <w:t>s Financial Conduct Authority found many of those approaching retirement had not received advice</w:t>
      </w:r>
      <w:r w:rsidRPr="00027624">
        <w:fldChar w:fldCharType="begin"/>
      </w:r>
      <w:r w:rsidRPr="00027624">
        <w:instrText xml:space="preserve"> CITATION Fin19 \l 3081 </w:instrText>
      </w:r>
      <w:r w:rsidRPr="00027624">
        <w:fldChar w:fldCharType="separate"/>
      </w:r>
      <w:r w:rsidR="00E83F6E">
        <w:rPr>
          <w:noProof/>
        </w:rPr>
        <w:t xml:space="preserve"> (Financial Conduct Authority, 2019)</w:t>
      </w:r>
      <w:r w:rsidRPr="00027624">
        <w:fldChar w:fldCharType="end"/>
      </w:r>
      <w:r w:rsidRPr="00027624">
        <w:t xml:space="preserve">. </w:t>
      </w:r>
    </w:p>
    <w:p w14:paraId="68B74CAE" w14:textId="77777777" w:rsidR="002A2FAE" w:rsidRPr="00027624" w:rsidRDefault="002A2FAE" w:rsidP="002A2FAE">
      <w:r w:rsidRPr="00027624">
        <w:t>Stakeholders suggested a number of roles the Government could play in the retirement phase, including:</w:t>
      </w:r>
    </w:p>
    <w:p w14:paraId="5B05A3F3" w14:textId="77777777" w:rsidR="002A2FAE" w:rsidRPr="00027624" w:rsidRDefault="002A2FAE" w:rsidP="00791570">
      <w:pPr>
        <w:pStyle w:val="Bullet"/>
        <w:rPr>
          <w:b/>
        </w:rPr>
      </w:pPr>
      <w:r w:rsidRPr="00027624">
        <w:rPr>
          <w:b/>
        </w:rPr>
        <w:t>On products.</w:t>
      </w:r>
    </w:p>
    <w:p w14:paraId="026F7AF8" w14:textId="77777777" w:rsidR="002A2FAE" w:rsidRPr="00027624" w:rsidRDefault="002A2FAE" w:rsidP="002A2FAE">
      <w:pPr>
        <w:pStyle w:val="Dash"/>
        <w:ind w:left="567"/>
      </w:pPr>
      <w:r w:rsidRPr="00027624">
        <w:t xml:space="preserve">Regulating the quality of retirement income products </w:t>
      </w:r>
    </w:p>
    <w:p w14:paraId="09CD3FD5" w14:textId="77777777" w:rsidR="002A2FAE" w:rsidRPr="00027624" w:rsidRDefault="002A2FAE" w:rsidP="002A2FAE">
      <w:pPr>
        <w:pStyle w:val="Dash"/>
        <w:ind w:left="567"/>
      </w:pPr>
      <w:r w:rsidRPr="00027624">
        <w:t>Introducing</w:t>
      </w:r>
      <w:r w:rsidRPr="00027624" w:rsidDel="00211EE9">
        <w:t xml:space="preserve"> </w:t>
      </w:r>
      <w:r w:rsidRPr="00027624">
        <w:t>product standards to allow for better comparability between products (akin to its role in the pre</w:t>
      </w:r>
      <w:r w:rsidR="00A8443E" w:rsidRPr="00027624">
        <w:noBreakHyphen/>
      </w:r>
      <w:r w:rsidRPr="00027624">
        <w:t>retirement phase for MySuper products)</w:t>
      </w:r>
    </w:p>
    <w:p w14:paraId="221689A7" w14:textId="77777777" w:rsidR="002A2FAE" w:rsidRPr="00027624" w:rsidRDefault="002A2FAE" w:rsidP="002A2FAE">
      <w:pPr>
        <w:pStyle w:val="Dash"/>
        <w:ind w:left="567"/>
      </w:pPr>
      <w:r w:rsidRPr="00027624">
        <w:t>Developing a comparison tool to encourage competition</w:t>
      </w:r>
    </w:p>
    <w:p w14:paraId="55AB89C6" w14:textId="77777777" w:rsidR="002A2FAE" w:rsidRPr="00027624" w:rsidRDefault="002A2FAE" w:rsidP="00791570">
      <w:pPr>
        <w:pStyle w:val="Bullet"/>
        <w:rPr>
          <w:b/>
        </w:rPr>
      </w:pPr>
      <w:r w:rsidRPr="00027624">
        <w:rPr>
          <w:b/>
        </w:rPr>
        <w:t>On guidance or financial advice.</w:t>
      </w:r>
    </w:p>
    <w:p w14:paraId="30D151C7" w14:textId="77777777" w:rsidR="002A2FAE" w:rsidRPr="00027624" w:rsidRDefault="002A2FAE" w:rsidP="002A2FAE">
      <w:pPr>
        <w:pStyle w:val="Dash"/>
        <w:ind w:left="567"/>
      </w:pPr>
      <w:r w:rsidRPr="00027624">
        <w:t>Providing guidance at retirement, especially around generic retirement income strategies for people based on broad characteristics (e.g. gender, couple status, net wealth)</w:t>
      </w:r>
    </w:p>
    <w:p w14:paraId="693AFD2E" w14:textId="77777777" w:rsidR="002A2FAE" w:rsidRPr="00027624" w:rsidRDefault="002A2FAE" w:rsidP="002A2FAE">
      <w:pPr>
        <w:pStyle w:val="Dash"/>
        <w:ind w:left="567"/>
      </w:pPr>
      <w:r w:rsidRPr="00027624">
        <w:t>Funding/subsidising the cost of financial advice</w:t>
      </w:r>
    </w:p>
    <w:p w14:paraId="170FCF44" w14:textId="77777777" w:rsidR="002A2FAE" w:rsidRPr="00027624" w:rsidRDefault="002A2FAE" w:rsidP="002A2FAE">
      <w:pPr>
        <w:pStyle w:val="Dash"/>
        <w:ind w:left="567"/>
      </w:pPr>
      <w:r w:rsidRPr="00027624">
        <w:t xml:space="preserve">Directly providing financial advice by employing financial advisers </w:t>
      </w:r>
    </w:p>
    <w:tbl>
      <w:tblPr>
        <w:tblStyle w:val="TableGrid"/>
        <w:tblW w:w="5000" w:type="pct"/>
        <w:tblLook w:val="04A0" w:firstRow="1" w:lastRow="0" w:firstColumn="1" w:lastColumn="0" w:noHBand="0" w:noVBand="1"/>
      </w:tblPr>
      <w:tblGrid>
        <w:gridCol w:w="9070"/>
      </w:tblGrid>
      <w:tr w:rsidR="002A2FAE" w:rsidRPr="00027624" w14:paraId="0D96B4D3" w14:textId="77777777" w:rsidTr="002A2FAE">
        <w:tc>
          <w:tcPr>
            <w:tcW w:w="5000" w:type="pct"/>
            <w:shd w:val="clear" w:color="auto" w:fill="FFF8EA"/>
          </w:tcPr>
          <w:p w14:paraId="548F195A" w14:textId="77777777" w:rsidR="002A2FAE" w:rsidRPr="00027624" w:rsidRDefault="002A2FAE" w:rsidP="00325A8D">
            <w:pPr>
              <w:pStyle w:val="BoxHeading"/>
              <w:numPr>
                <w:ilvl w:val="5"/>
                <w:numId w:val="13"/>
              </w:numPr>
            </w:pPr>
            <w:bookmarkStart w:id="4163" w:name="_Ref41488109"/>
            <w:bookmarkStart w:id="4164" w:name="_Ref42597721"/>
            <w:bookmarkStart w:id="4165" w:name="_Ref35255217"/>
            <w:r w:rsidRPr="00027624">
              <w:t>The UK</w:t>
            </w:r>
            <w:r w:rsidR="00A8443E" w:rsidRPr="00027624">
              <w:t>’</w:t>
            </w:r>
            <w:r w:rsidRPr="00027624">
              <w:t>s Money and Pensions Service</w:t>
            </w:r>
            <w:bookmarkEnd w:id="4163"/>
            <w:bookmarkEnd w:id="4164"/>
          </w:p>
          <w:p w14:paraId="10CC6DA3" w14:textId="77777777" w:rsidR="002A2FAE" w:rsidRPr="00027624" w:rsidRDefault="002A2FAE" w:rsidP="00DB686A">
            <w:pPr>
              <w:pStyle w:val="BoxText"/>
            </w:pPr>
            <w:r w:rsidRPr="00027624">
              <w:t xml:space="preserve">In the UK, providers are required to direct retirees to the service and send a </w:t>
            </w:r>
            <w:r w:rsidR="00A8443E" w:rsidRPr="00027624">
              <w:t>‘</w:t>
            </w:r>
            <w:r w:rsidRPr="00027624">
              <w:t>wake up pack</w:t>
            </w:r>
            <w:r w:rsidR="00A8443E" w:rsidRPr="00027624">
              <w:t>’</w:t>
            </w:r>
            <w:r w:rsidRPr="00027624">
              <w:t xml:space="preserve"> to retirees at age</w:t>
            </w:r>
            <w:r w:rsidR="00DB686A" w:rsidRPr="00027624">
              <w:t> </w:t>
            </w:r>
            <w:r w:rsidRPr="00027624">
              <w:t xml:space="preserve">50. The service conducts research on the best way to engage with retirees. Retirees are given a free session, which could be seen as </w:t>
            </w:r>
            <w:r w:rsidR="00A8443E" w:rsidRPr="00027624">
              <w:t>‘</w:t>
            </w:r>
            <w:r w:rsidRPr="00027624">
              <w:t>simple advice</w:t>
            </w:r>
            <w:r w:rsidR="00A8443E" w:rsidRPr="00027624">
              <w:t>’</w:t>
            </w:r>
            <w:r w:rsidRPr="00027624">
              <w:t xml:space="preserve">. More complicated cases are directed to a list of </w:t>
            </w:r>
            <w:r w:rsidR="00A8443E" w:rsidRPr="00027624">
              <w:t>‘</w:t>
            </w:r>
            <w:r w:rsidRPr="00027624">
              <w:t>trusted</w:t>
            </w:r>
            <w:r w:rsidR="00A8443E" w:rsidRPr="00027624">
              <w:t>’</w:t>
            </w:r>
            <w:r w:rsidRPr="00027624">
              <w:t xml:space="preserve"> financial advisers. The service is funded by an industry levy.</w:t>
            </w:r>
          </w:p>
        </w:tc>
      </w:tr>
    </w:tbl>
    <w:p w14:paraId="69A3B560" w14:textId="77777777" w:rsidR="002A2FAE" w:rsidRPr="00027624" w:rsidRDefault="002A2FAE" w:rsidP="002A2FAE">
      <w:pPr>
        <w:pStyle w:val="Heading5"/>
      </w:pPr>
      <w:r w:rsidRPr="00027624">
        <w:t xml:space="preserve">Role of financial advisers </w:t>
      </w:r>
    </w:p>
    <w:p w14:paraId="487222F4" w14:textId="77777777" w:rsidR="002A2FAE" w:rsidRPr="00027624" w:rsidRDefault="002A2FAE" w:rsidP="002A2FAE">
      <w:r w:rsidRPr="00027624">
        <w:t>While the affordability of financial advice remains an issue, technology may bring down costs. ASIC has suggested industry or Government could subsidise basic financial advice services, so they can be provided at low cost</w:t>
      </w:r>
      <w:r w:rsidRPr="00027624">
        <w:fldChar w:fldCharType="begin"/>
      </w:r>
      <w:r w:rsidRPr="00027624">
        <w:instrText xml:space="preserve">CITATION ASIC2018 \p 13 \l 3081 </w:instrText>
      </w:r>
      <w:r w:rsidRPr="00027624">
        <w:fldChar w:fldCharType="separate"/>
      </w:r>
      <w:r w:rsidR="00E83F6E">
        <w:rPr>
          <w:noProof/>
        </w:rPr>
        <w:t xml:space="preserve"> (ASIC, 2018b, p. 13)</w:t>
      </w:r>
      <w:r w:rsidRPr="00027624">
        <w:fldChar w:fldCharType="end"/>
      </w:r>
      <w:r w:rsidRPr="00027624">
        <w:t>.</w:t>
      </w:r>
    </w:p>
    <w:p w14:paraId="5DB3C6E0" w14:textId="77777777" w:rsidR="002A2FAE" w:rsidRPr="00027624" w:rsidRDefault="002A2FAE" w:rsidP="002A2FAE">
      <w:r w:rsidRPr="00027624">
        <w:t>The fee</w:t>
      </w:r>
      <w:r w:rsidR="00A8443E" w:rsidRPr="00027624">
        <w:noBreakHyphen/>
      </w:r>
      <w:r w:rsidRPr="00027624">
        <w:t>for</w:t>
      </w:r>
      <w:r w:rsidR="00A8443E" w:rsidRPr="00027624">
        <w:noBreakHyphen/>
      </w:r>
      <w:r w:rsidRPr="00027624">
        <w:t>service model that many financial advisers now use may mean that unaligned financial advisers are less conflicted than superannuation funds when they provide financial advice. This may encourage a more competitive retirement product market. However, financial advisers may have an incentive to recommend retirement products that require an adviser</w:t>
      </w:r>
      <w:r w:rsidR="00A8443E" w:rsidRPr="00027624">
        <w:t>’</w:t>
      </w:r>
      <w:r w:rsidRPr="00027624">
        <w:t>s frequent involvement, such as an account</w:t>
      </w:r>
      <w:r w:rsidR="00A8443E" w:rsidRPr="00027624">
        <w:noBreakHyphen/>
      </w:r>
      <w:r w:rsidRPr="00027624">
        <w:t xml:space="preserve">based pension, rather than a </w:t>
      </w:r>
      <w:r w:rsidR="00A8443E" w:rsidRPr="00027624">
        <w:t>‘</w:t>
      </w:r>
      <w:r w:rsidRPr="00027624">
        <w:t>set and forget</w:t>
      </w:r>
      <w:r w:rsidR="00A8443E" w:rsidRPr="00027624">
        <w:t>’</w:t>
      </w:r>
      <w:r w:rsidRPr="00027624">
        <w:t xml:space="preserve"> product, such as a lifetime annuity or other longevity risk management product. </w:t>
      </w:r>
    </w:p>
    <w:tbl>
      <w:tblPr>
        <w:tblW w:w="5000" w:type="pct"/>
        <w:shd w:val="clear" w:color="auto" w:fill="FFF8EA"/>
        <w:tblLook w:val="01E0" w:firstRow="1" w:lastRow="1" w:firstColumn="1" w:lastColumn="1" w:noHBand="0" w:noVBand="0"/>
      </w:tblPr>
      <w:tblGrid>
        <w:gridCol w:w="9070"/>
      </w:tblGrid>
      <w:tr w:rsidR="002A2FAE" w:rsidRPr="00027624" w14:paraId="4E7F0F16" w14:textId="77777777" w:rsidTr="003A119F">
        <w:tc>
          <w:tcPr>
            <w:tcW w:w="5000" w:type="pct"/>
            <w:shd w:val="clear" w:color="auto" w:fill="FFF8EA"/>
          </w:tcPr>
          <w:p w14:paraId="54E17037" w14:textId="77777777" w:rsidR="002A2FAE" w:rsidRPr="00027624" w:rsidRDefault="002A2FAE" w:rsidP="00325A8D">
            <w:pPr>
              <w:pStyle w:val="BoxHeading"/>
              <w:keepNext w:val="0"/>
              <w:widowControl w:val="0"/>
              <w:numPr>
                <w:ilvl w:val="5"/>
                <w:numId w:val="13"/>
              </w:numPr>
            </w:pPr>
            <w:r w:rsidRPr="00027624">
              <w:t>Stakeholder views on the financial advice framework</w:t>
            </w:r>
          </w:p>
          <w:p w14:paraId="679ADCF2" w14:textId="77777777" w:rsidR="002A2FAE" w:rsidRPr="00027624" w:rsidRDefault="002A2FAE" w:rsidP="002A2FAE">
            <w:pPr>
              <w:pStyle w:val="BoxText"/>
              <w:jc w:val="both"/>
            </w:pPr>
            <w:r w:rsidRPr="00027624">
              <w:t xml:space="preserve">Many stakeholders suggested the financial advice framework was failing to adequately meet the range of needs of people approaching and in retirement. Stakeholders suggested ways to improve the financial advice framework and/or facilitate funds to provide greater assistance to members. </w:t>
            </w:r>
          </w:p>
          <w:p w14:paraId="3B1B307E" w14:textId="77777777" w:rsidR="002A2FAE" w:rsidRPr="00027624" w:rsidRDefault="002A2FAE" w:rsidP="002A2FAE">
            <w:pPr>
              <w:pStyle w:val="BoxText"/>
              <w:jc w:val="both"/>
              <w:rPr>
                <w:b/>
                <w:iCs/>
              </w:rPr>
            </w:pPr>
            <w:r w:rsidRPr="00027624">
              <w:rPr>
                <w:b/>
                <w:iCs/>
              </w:rPr>
              <w:t xml:space="preserve">Facilitating more affordable scaled and digital financial advice </w:t>
            </w:r>
          </w:p>
          <w:p w14:paraId="1D201FED" w14:textId="77777777" w:rsidR="002A2FAE" w:rsidRPr="00027624" w:rsidRDefault="002A2FAE" w:rsidP="002A2FAE">
            <w:pPr>
              <w:pStyle w:val="BoxText"/>
              <w:jc w:val="both"/>
            </w:pPr>
            <w:r w:rsidRPr="00027624">
              <w:t>The regulatory requirements are identical for scaled, digital and comprehensive financial advice regardless of how simple or complex the advice is. Although ASIC has issued material to try to promote scaled advice,</w:t>
            </w:r>
            <w:r w:rsidRPr="00027624">
              <w:rPr>
                <w:rStyle w:val="FootnoteReference"/>
              </w:rPr>
              <w:footnoteReference w:id="317"/>
            </w:r>
            <w:r w:rsidRPr="00027624">
              <w:t xml:space="preserve"> affordable scaled and digital financial advice is in limited supply. </w:t>
            </w:r>
          </w:p>
          <w:p w14:paraId="74758BE1" w14:textId="77777777" w:rsidR="002A2FAE" w:rsidRPr="00027624" w:rsidRDefault="002A2FAE" w:rsidP="002A2FAE">
            <w:pPr>
              <w:pStyle w:val="BoxText"/>
              <w:jc w:val="both"/>
            </w:pPr>
            <w:r w:rsidRPr="00027624">
              <w:t>To address this gap, some stakeholders suggested providing greater regulatory certainty around providing scaled financial advice, such as developing and defining specific, limited personal circumstances (e.g.</w:t>
            </w:r>
            <w:r w:rsidR="00DB686A" w:rsidRPr="00027624">
              <w:t> </w:t>
            </w:r>
            <w:r w:rsidRPr="00027624">
              <w:t>Age Pension eligibility and health status) that must be taken into consideration by financial advisers. Others suggested creating simple retirement income solutions, appropriate to most circumstances, could also facilitate the use of scaled financial advice.</w:t>
            </w:r>
          </w:p>
          <w:p w14:paraId="5C842D33" w14:textId="77777777" w:rsidR="002A2FAE" w:rsidRPr="00027624" w:rsidRDefault="002A2FAE" w:rsidP="002A2FAE">
            <w:pPr>
              <w:pStyle w:val="BoxText"/>
              <w:jc w:val="both"/>
            </w:pPr>
            <w:r w:rsidRPr="00027624">
              <w:t>Stakeholders noted that making scaled advice more affordable may mean more people are likely to seek advice. This might facilitate greater development of technology</w:t>
            </w:r>
            <w:r w:rsidR="00A8443E" w:rsidRPr="00027624">
              <w:noBreakHyphen/>
            </w:r>
            <w:r w:rsidRPr="00027624">
              <w:t xml:space="preserve">assisted, or digital financial advice and guidance. </w:t>
            </w:r>
          </w:p>
          <w:p w14:paraId="55C6DE1C" w14:textId="77777777" w:rsidR="002A2FAE" w:rsidRPr="00027624" w:rsidRDefault="002A2FAE" w:rsidP="002A2FAE">
            <w:pPr>
              <w:rPr>
                <w:bCs/>
              </w:rPr>
            </w:pPr>
            <w:r w:rsidRPr="00027624">
              <w:rPr>
                <w:sz w:val="20"/>
              </w:rPr>
              <w:t>One</w:t>
            </w:r>
            <w:r w:rsidRPr="00027624">
              <w:rPr>
                <w:bCs/>
                <w:sz w:val="20"/>
              </w:rPr>
              <w:t xml:space="preserve"> stakeholder argued funds are well placed to fill the gap left by existing financial advisers</w:t>
            </w:r>
            <w:r w:rsidRPr="00027624">
              <w:rPr>
                <w:bCs/>
                <w:sz w:val="20"/>
              </w:rPr>
              <w:fldChar w:fldCharType="begin"/>
            </w:r>
            <w:r w:rsidRPr="00027624">
              <w:rPr>
                <w:bCs/>
                <w:sz w:val="20"/>
              </w:rPr>
              <w:instrText xml:space="preserve">CITATION Ric192 \l 3081 </w:instrText>
            </w:r>
            <w:r w:rsidRPr="00027624">
              <w:rPr>
                <w:bCs/>
                <w:sz w:val="20"/>
              </w:rPr>
              <w:fldChar w:fldCharType="separate"/>
            </w:r>
            <w:r w:rsidR="00E83F6E">
              <w:rPr>
                <w:bCs/>
                <w:noProof/>
                <w:sz w:val="20"/>
              </w:rPr>
              <w:t xml:space="preserve"> </w:t>
            </w:r>
            <w:r w:rsidR="00E83F6E" w:rsidRPr="00E83F6E">
              <w:rPr>
                <w:noProof/>
                <w:sz w:val="20"/>
              </w:rPr>
              <w:t>(Rice Warner, 2019a)</w:t>
            </w:r>
            <w:r w:rsidRPr="00027624">
              <w:rPr>
                <w:bCs/>
                <w:sz w:val="20"/>
              </w:rPr>
              <w:fldChar w:fldCharType="end"/>
            </w:r>
            <w:r w:rsidRPr="00027624">
              <w:rPr>
                <w:bCs/>
                <w:sz w:val="20"/>
              </w:rPr>
              <w:t xml:space="preserve">. </w:t>
            </w:r>
          </w:p>
          <w:p w14:paraId="4943B72E" w14:textId="77777777" w:rsidR="002A2FAE" w:rsidRPr="00027624" w:rsidRDefault="002A2FAE" w:rsidP="002A2FAE">
            <w:pPr>
              <w:pStyle w:val="BoxText"/>
              <w:jc w:val="both"/>
              <w:rPr>
                <w:b/>
                <w:iCs/>
              </w:rPr>
            </w:pPr>
            <w:r w:rsidRPr="00027624">
              <w:rPr>
                <w:b/>
                <w:iCs/>
              </w:rPr>
              <w:t>Expanding the intra</w:t>
            </w:r>
            <w:r w:rsidR="00A8443E" w:rsidRPr="00027624">
              <w:rPr>
                <w:b/>
                <w:iCs/>
              </w:rPr>
              <w:noBreakHyphen/>
            </w:r>
            <w:r w:rsidRPr="00027624">
              <w:rPr>
                <w:b/>
                <w:iCs/>
              </w:rPr>
              <w:t xml:space="preserve">fund advice provision </w:t>
            </w:r>
          </w:p>
          <w:p w14:paraId="45D745D7" w14:textId="77777777" w:rsidR="002A2FAE" w:rsidRPr="00027624" w:rsidRDefault="002A2FAE" w:rsidP="002A2FAE">
            <w:pPr>
              <w:pStyle w:val="BoxText"/>
              <w:jc w:val="both"/>
            </w:pPr>
            <w:r w:rsidRPr="00027624" w:rsidDel="006D2510">
              <w:t>Intra</w:t>
            </w:r>
            <w:r w:rsidR="00A8443E" w:rsidRPr="00027624">
              <w:noBreakHyphen/>
            </w:r>
            <w:r w:rsidRPr="00027624">
              <w:t>fund advice currently cannot consider an individual</w:t>
            </w:r>
            <w:r w:rsidR="00A8443E" w:rsidRPr="00027624">
              <w:t>’</w:t>
            </w:r>
            <w:r w:rsidRPr="00027624">
              <w:t>s circumstances outside their interest in the superannuation fund, such as social security eligibility, health, aged care needs and assets held outside the fund. Stakeholders called for the intra</w:t>
            </w:r>
            <w:r w:rsidR="00A8443E" w:rsidRPr="00027624">
              <w:noBreakHyphen/>
            </w:r>
            <w:r w:rsidRPr="00027624">
              <w:t>fund advice arrangements to be expanded to allow these factors to be considered to improve access to advice approaching retirement. While this could make financial advice more affordable for a given person, such changes would not make the system</w:t>
            </w:r>
            <w:r w:rsidR="00A8443E" w:rsidRPr="00027624">
              <w:noBreakHyphen/>
            </w:r>
            <w:r w:rsidRPr="00027624">
              <w:t>wide costs of financial advice more affordable. They could lead to younger fund members subsidising members approaching retirement</w:t>
            </w:r>
            <w:r w:rsidRPr="00027624" w:rsidDel="00051E18">
              <w:t>.</w:t>
            </w:r>
            <w:r w:rsidRPr="00027624">
              <w:t xml:space="preserve"> As the true cost of intra</w:t>
            </w:r>
            <w:r w:rsidR="00A8443E" w:rsidRPr="00027624">
              <w:noBreakHyphen/>
            </w:r>
            <w:r w:rsidRPr="00027624">
              <w:t>fund advice is hidden by cross</w:t>
            </w:r>
            <w:r w:rsidR="00A8443E" w:rsidRPr="00027624">
              <w:noBreakHyphen/>
            </w:r>
            <w:r w:rsidRPr="00027624">
              <w:t xml:space="preserve">subsidisation, expanding these arrangements may lead to less transparency around costs. </w:t>
            </w:r>
          </w:p>
          <w:p w14:paraId="6E9F12AF" w14:textId="77777777" w:rsidR="002A2FAE" w:rsidRPr="00027624" w:rsidRDefault="002A2FAE" w:rsidP="002A2FAE">
            <w:pPr>
              <w:pStyle w:val="BoxText"/>
              <w:jc w:val="both"/>
            </w:pPr>
            <w:r w:rsidRPr="00027624">
              <w:t>Of note, funds are not restricted from providing broader personal advice individually charged to the member.</w:t>
            </w:r>
          </w:p>
          <w:p w14:paraId="679CABA6" w14:textId="77777777" w:rsidR="002A2FAE" w:rsidRPr="00027624" w:rsidRDefault="002A2FAE" w:rsidP="002A2FAE">
            <w:pPr>
              <w:pStyle w:val="BoxText"/>
              <w:jc w:val="both"/>
              <w:rPr>
                <w:b/>
                <w:iCs/>
              </w:rPr>
            </w:pPr>
            <w:r w:rsidRPr="00027624">
              <w:rPr>
                <w:b/>
                <w:iCs/>
              </w:rPr>
              <w:t>Providing greater guidance</w:t>
            </w:r>
          </w:p>
          <w:p w14:paraId="0071E4B0" w14:textId="77777777" w:rsidR="002A2FAE" w:rsidRPr="00027624" w:rsidRDefault="002A2FAE" w:rsidP="002A2FAE">
            <w:pPr>
              <w:pStyle w:val="BoxText"/>
              <w:jc w:val="both"/>
            </w:pPr>
            <w:r w:rsidRPr="00027624">
              <w:t>Some stakeholders argued that clearly articulating that</w:t>
            </w:r>
            <w:r w:rsidRPr="00027624" w:rsidDel="00AB701B">
              <w:t xml:space="preserve"> </w:t>
            </w:r>
            <w:r w:rsidRPr="00027624">
              <w:t>guidance was not subject to the financial advice framework could facilitate greater fund communication with people approaching and at retirement.</w:t>
            </w:r>
          </w:p>
          <w:p w14:paraId="2C5EDE33" w14:textId="144D62B3" w:rsidR="002A2FAE" w:rsidRPr="00027624" w:rsidRDefault="002A2FAE" w:rsidP="002A2FAE">
            <w:pPr>
              <w:pStyle w:val="BoxText"/>
              <w:jc w:val="both"/>
            </w:pPr>
            <w:r w:rsidRPr="00027624">
              <w:t xml:space="preserve">Similarly, many submissions recommended the Government implement the </w:t>
            </w:r>
            <w:r w:rsidR="00814818" w:rsidRPr="00027624">
              <w:t>Retirement Income Covenant</w:t>
            </w:r>
            <w:r w:rsidRPr="00027624">
              <w:t xml:space="preserve">, which would encourage funds to guide their members at retirement, essentially through a </w:t>
            </w:r>
            <w:r w:rsidR="00A8443E" w:rsidRPr="00027624">
              <w:t>‘</w:t>
            </w:r>
            <w:r w:rsidRPr="00027624">
              <w:t>guided choice</w:t>
            </w:r>
            <w:r w:rsidR="00A8443E" w:rsidRPr="00027624">
              <w:t>’</w:t>
            </w:r>
            <w:r w:rsidRPr="00027624">
              <w:t xml:space="preserve"> or decision</w:t>
            </w:r>
            <w:r w:rsidR="00A8443E" w:rsidRPr="00027624">
              <w:noBreakHyphen/>
            </w:r>
            <w:r w:rsidRPr="00027624">
              <w:t xml:space="preserve">making framework (see </w:t>
            </w:r>
            <w:r w:rsidRPr="00027624">
              <w:fldChar w:fldCharType="begin"/>
            </w:r>
            <w:r w:rsidRPr="00027624">
              <w:instrText xml:space="preserve"> REF _Ref42619878 \r \h  \* MERGEFORMAT </w:instrText>
            </w:r>
            <w:r w:rsidRPr="00027624">
              <w:fldChar w:fldCharType="separate"/>
            </w:r>
            <w:r w:rsidR="00891058">
              <w:t>Box 5A-12</w:t>
            </w:r>
            <w:r w:rsidRPr="00027624">
              <w:fldChar w:fldCharType="end"/>
            </w:r>
            <w:r w:rsidRPr="00027624">
              <w:t xml:space="preserve">). </w:t>
            </w:r>
          </w:p>
        </w:tc>
      </w:tr>
    </w:tbl>
    <w:bookmarkEnd w:id="4096"/>
    <w:bookmarkEnd w:id="4097"/>
    <w:bookmarkEnd w:id="4098"/>
    <w:bookmarkEnd w:id="4099"/>
    <w:bookmarkEnd w:id="4100"/>
    <w:bookmarkEnd w:id="4101"/>
    <w:bookmarkEnd w:id="4102"/>
    <w:bookmarkEnd w:id="4103"/>
    <w:bookmarkEnd w:id="4165"/>
    <w:p w14:paraId="7B72AC0C" w14:textId="77777777" w:rsidR="002A2FAE" w:rsidRPr="00027624" w:rsidRDefault="002A2FAE" w:rsidP="002A2FAE">
      <w:pPr>
        <w:pStyle w:val="Heading4"/>
      </w:pPr>
      <w:r w:rsidRPr="00027624">
        <w:t xml:space="preserve">Guided choice and innovative retirement income products </w:t>
      </w:r>
    </w:p>
    <w:p w14:paraId="793F43D7" w14:textId="77777777" w:rsidR="002A2FAE" w:rsidRPr="00027624" w:rsidRDefault="002A2FAE" w:rsidP="002A2FAE">
      <w:r w:rsidRPr="00027624">
        <w:t>Compared to the pre</w:t>
      </w:r>
      <w:r w:rsidR="00A8443E" w:rsidRPr="00027624">
        <w:noBreakHyphen/>
      </w:r>
      <w:r w:rsidRPr="00027624">
        <w:t>retirement phase, the retirement phase involves more complex decisions. However, it has no default arrangements. Stakeholders proposed that a guided choice framework</w:t>
      </w:r>
      <w:r w:rsidRPr="00027624">
        <w:rPr>
          <w:rStyle w:val="FootnoteReference"/>
        </w:rPr>
        <w:footnoteReference w:id="318"/>
      </w:r>
      <w:r w:rsidRPr="00027624">
        <w:t xml:space="preserve"> at retirement, offered by superannuation funds, could simplify the experience for many. It could create pathways for people to choose between, or a reference point from which they can compare different retirement strategies. It could also be accompanied by financial advice or guidance. </w:t>
      </w:r>
    </w:p>
    <w:p w14:paraId="0B1A7623" w14:textId="77777777" w:rsidR="002A2FAE" w:rsidRPr="00027624" w:rsidRDefault="002A2FAE" w:rsidP="002A2FAE">
      <w:r w:rsidRPr="00027624">
        <w:t xml:space="preserve">The literature suggests that guided choice frameworks can </w:t>
      </w:r>
      <w:r w:rsidR="00A8443E" w:rsidRPr="00027624">
        <w:t>‘</w:t>
      </w:r>
      <w:r w:rsidRPr="00027624">
        <w:t>nudge</w:t>
      </w:r>
      <w:r w:rsidR="00A8443E" w:rsidRPr="00027624">
        <w:t>’</w:t>
      </w:r>
      <w:r w:rsidRPr="00027624">
        <w:t xml:space="preserve"> people where there is uncertainty around the best course of action to help them make a decision</w:t>
      </w:r>
      <w:r w:rsidRPr="00027624">
        <w:fldChar w:fldCharType="begin"/>
      </w:r>
      <w:r w:rsidRPr="00027624">
        <w:instrText xml:space="preserve"> CITATION Tha08 \l 3081 </w:instrText>
      </w:r>
      <w:r w:rsidRPr="00027624">
        <w:fldChar w:fldCharType="separate"/>
      </w:r>
      <w:r w:rsidR="00E83F6E">
        <w:rPr>
          <w:noProof/>
        </w:rPr>
        <w:t xml:space="preserve"> (Thaler &amp; Sunstein, 2008)</w:t>
      </w:r>
      <w:r w:rsidRPr="00027624">
        <w:fldChar w:fldCharType="end"/>
      </w:r>
      <w:r w:rsidRPr="00027624">
        <w:t>. The UK, for example, will assist unengaged consumers with small balances, by mandating four investment pathways that every defined contribution pension provider must offer when someone reaches age 55. This is consistent with the concept of reducing choice overload, where people are able to engage better when the number of options are limited</w:t>
      </w:r>
      <w:r w:rsidRPr="00027624">
        <w:fldChar w:fldCharType="begin"/>
      </w:r>
      <w:r w:rsidRPr="00027624">
        <w:instrText xml:space="preserve"> CITATION Cro04 \l 3081 </w:instrText>
      </w:r>
      <w:r w:rsidRPr="00027624">
        <w:fldChar w:fldCharType="separate"/>
      </w:r>
      <w:r w:rsidR="00E83F6E">
        <w:rPr>
          <w:noProof/>
        </w:rPr>
        <w:t xml:space="preserve"> (Cronqvist &amp; Thaler, 2004)</w:t>
      </w:r>
      <w:r w:rsidRPr="00027624">
        <w:fldChar w:fldCharType="end"/>
      </w:r>
      <w:r w:rsidRPr="00027624">
        <w:t>.</w:t>
      </w:r>
    </w:p>
    <w:p w14:paraId="1132C6E7" w14:textId="77777777" w:rsidR="002A2FAE" w:rsidRPr="00027624" w:rsidRDefault="002A2FAE" w:rsidP="002A2FAE">
      <w:r w:rsidRPr="00027624">
        <w:t>Some stakeholders pointed out the difficulty of designing retirement income strategies that would suit a group of retirees with different life expectancies, Age Pension entitlements and preferences. Defaults can reduce competition</w:t>
      </w:r>
      <w:r w:rsidRPr="00027624">
        <w:fldChar w:fldCharType="begin"/>
      </w:r>
      <w:r w:rsidRPr="00027624">
        <w:instrText xml:space="preserve">CITATION Pro18 \l 3081 </w:instrText>
      </w:r>
      <w:r w:rsidRPr="00027624">
        <w:fldChar w:fldCharType="separate"/>
      </w:r>
      <w:r w:rsidR="00E83F6E">
        <w:rPr>
          <w:noProof/>
        </w:rPr>
        <w:t xml:space="preserve"> (Productivity Commission, 2018a)</w:t>
      </w:r>
      <w:r w:rsidRPr="00027624">
        <w:fldChar w:fldCharType="end"/>
      </w:r>
      <w:r w:rsidRPr="00027624">
        <w:t xml:space="preserve"> and need </w:t>
      </w:r>
      <w:r w:rsidR="00DB686A" w:rsidRPr="00027624">
        <w:t xml:space="preserve">to </w:t>
      </w:r>
      <w:r w:rsidRPr="00027624">
        <w:t>be designed carefully to avoid adverse outcomes. However, in the absence of a strategy designed for consumers, account</w:t>
      </w:r>
      <w:r w:rsidR="00A8443E" w:rsidRPr="00027624">
        <w:noBreakHyphen/>
      </w:r>
      <w:r w:rsidRPr="00027624">
        <w:t xml:space="preserve">based pensions at minimum drawdown rates are effectively acting as a default strategy for all retirees. </w:t>
      </w:r>
    </w:p>
    <w:p w14:paraId="64054982" w14:textId="0608CBB6" w:rsidR="002A2FAE" w:rsidRPr="00027624" w:rsidRDefault="002A2FAE" w:rsidP="002A2FAE">
      <w:r w:rsidRPr="00027624">
        <w:t>Stakeholders have indicated that an improved range of products is needed to align with people</w:t>
      </w:r>
      <w:r w:rsidR="00A8443E" w:rsidRPr="00027624">
        <w:t>’</w:t>
      </w:r>
      <w:r w:rsidRPr="00027624">
        <w:t>s consumption patterns in retirement and provide longevity risk protection for those who need it (</w:t>
      </w:r>
      <w:r w:rsidRPr="00027624">
        <w:fldChar w:fldCharType="begin"/>
      </w:r>
      <w:r w:rsidRPr="00027624">
        <w:instrText xml:space="preserve"> REF _Ref42802113 \r \h  \* MERGEFORMAT </w:instrText>
      </w:r>
      <w:r w:rsidRPr="00027624">
        <w:fldChar w:fldCharType="separate"/>
      </w:r>
      <w:r w:rsidR="00891058">
        <w:t>Box 5A-15</w:t>
      </w:r>
      <w:r w:rsidRPr="00027624">
        <w:fldChar w:fldCharType="end"/>
      </w:r>
      <w:r w:rsidRPr="00027624">
        <w:t xml:space="preserve">). Products are needed that provide a reasonably stable income without the need for regular monitoring, flexibility to withdraw a lump sum, and longevity risk management if necessary. Retirees find it difficult to combine a portfolio of available products that provide both flexibility and longevity risk management (including the Age Pension). </w:t>
      </w:r>
    </w:p>
    <w:tbl>
      <w:tblPr>
        <w:tblStyle w:val="TableGrid"/>
        <w:tblpPr w:leftFromText="180" w:rightFromText="180" w:vertAnchor="text" w:tblpY="1"/>
        <w:tblOverlap w:val="never"/>
        <w:tblW w:w="4878" w:type="pct"/>
        <w:tblLook w:val="04A0" w:firstRow="1" w:lastRow="0" w:firstColumn="1" w:lastColumn="0" w:noHBand="0" w:noVBand="1"/>
      </w:tblPr>
      <w:tblGrid>
        <w:gridCol w:w="8849"/>
      </w:tblGrid>
      <w:tr w:rsidR="002A2FAE" w:rsidRPr="00027624" w14:paraId="600C7CBE" w14:textId="77777777" w:rsidTr="002A2FAE">
        <w:tc>
          <w:tcPr>
            <w:tcW w:w="5000" w:type="pct"/>
            <w:shd w:val="clear" w:color="auto" w:fill="FFF8EA"/>
            <w:hideMark/>
          </w:tcPr>
          <w:p w14:paraId="39E1E5E8" w14:textId="77777777" w:rsidR="002A2FAE" w:rsidRPr="00027624" w:rsidRDefault="002A2FAE" w:rsidP="00325A8D">
            <w:pPr>
              <w:pStyle w:val="BoxHeading"/>
              <w:numPr>
                <w:ilvl w:val="5"/>
                <w:numId w:val="13"/>
              </w:numPr>
            </w:pPr>
            <w:bookmarkStart w:id="4166" w:name="_Ref42798285"/>
            <w:bookmarkStart w:id="4167" w:name="_Ref42802113"/>
            <w:r w:rsidRPr="00027624">
              <w:t>The annuities market in Australia</w:t>
            </w:r>
            <w:bookmarkEnd w:id="4166"/>
            <w:bookmarkEnd w:id="4167"/>
          </w:p>
          <w:p w14:paraId="2A3DBB6A" w14:textId="77777777" w:rsidR="002A2FAE" w:rsidRPr="00027624" w:rsidRDefault="002A2FAE" w:rsidP="002A2FAE">
            <w:r w:rsidRPr="00027624">
              <w:t>Annuities take different forms, but all manage longevity risk through paying a regular income stream for the designated period, giving people confidence to spend their retirement savings. Term annuities are the most common type of annuity in Australia,</w:t>
            </w:r>
            <w:r w:rsidRPr="00027624">
              <w:fldChar w:fldCharType="begin"/>
            </w:r>
            <w:r w:rsidRPr="00027624">
              <w:instrText xml:space="preserve">CITATION Mer14 \p 2 \l 3081 </w:instrText>
            </w:r>
            <w:r w:rsidRPr="00027624">
              <w:fldChar w:fldCharType="separate"/>
            </w:r>
            <w:r w:rsidR="00E83F6E">
              <w:rPr>
                <w:noProof/>
              </w:rPr>
              <w:t xml:space="preserve"> (Mercer, 2014, p. 2)</w:t>
            </w:r>
            <w:r w:rsidRPr="00027624">
              <w:fldChar w:fldCharType="end"/>
            </w:r>
            <w:r w:rsidRPr="00027624">
              <w:t xml:space="preserve"> but they do not completely manage longevity risk as they provide an income stream only for the designated period. The two main types of products that fully manage longevity risk are: </w:t>
            </w:r>
          </w:p>
          <w:p w14:paraId="1D4BABF3" w14:textId="77777777" w:rsidR="002A2FAE" w:rsidRPr="00027624" w:rsidRDefault="002A2FAE" w:rsidP="00FC7361">
            <w:pPr>
              <w:pStyle w:val="Bullet"/>
              <w:numPr>
                <w:ilvl w:val="0"/>
                <w:numId w:val="41"/>
              </w:numPr>
              <w:rPr>
                <w:rFonts w:ascii="Times New Roman" w:hAnsi="Times New Roman"/>
              </w:rPr>
            </w:pPr>
            <w:r w:rsidRPr="00027624">
              <w:t>Life annuities, which are capital</w:t>
            </w:r>
            <w:r w:rsidR="00A8443E" w:rsidRPr="00027624">
              <w:noBreakHyphen/>
            </w:r>
            <w:r w:rsidRPr="00027624">
              <w:t xml:space="preserve">backed, offered by a registered life insurance company and pay a guaranteed amount of income. </w:t>
            </w:r>
          </w:p>
          <w:p w14:paraId="7B1045F7" w14:textId="77777777" w:rsidR="002A2FAE" w:rsidRPr="00027624" w:rsidRDefault="002A2FAE" w:rsidP="00FC7361">
            <w:pPr>
              <w:pStyle w:val="Bullet"/>
              <w:numPr>
                <w:ilvl w:val="0"/>
                <w:numId w:val="41"/>
              </w:numPr>
              <w:rPr>
                <w:rFonts w:ascii="Times New Roman" w:hAnsi="Times New Roman"/>
              </w:rPr>
            </w:pPr>
            <w:r w:rsidRPr="00027624">
              <w:t>Group self</w:t>
            </w:r>
            <w:r w:rsidR="00A8443E" w:rsidRPr="00027624">
              <w:noBreakHyphen/>
            </w:r>
            <w:r w:rsidRPr="00027624">
              <w:t xml:space="preserve">annuitised products, which can be administered by superannuation funds and involve people pooling their money to create an income stream that is subject to market risk and the mortality experience of the pool. </w:t>
            </w:r>
          </w:p>
          <w:p w14:paraId="3A5919E1" w14:textId="77777777" w:rsidR="002A2FAE" w:rsidRPr="00027624" w:rsidRDefault="002A2FAE" w:rsidP="00DB686A">
            <w:pPr>
              <w:pStyle w:val="BoxText"/>
              <w:rPr>
                <w:rFonts w:ascii="Times New Roman" w:hAnsi="Times New Roman"/>
              </w:rPr>
            </w:pPr>
            <w:r w:rsidRPr="00027624">
              <w:t>Annuities can be immediate (i.e. they start straight away) or deferred (e.g. they may commence in 10 years).</w:t>
            </w:r>
          </w:p>
          <w:p w14:paraId="07429E0A" w14:textId="77777777" w:rsidR="002A2FAE" w:rsidRPr="00027624" w:rsidRDefault="002A2FAE" w:rsidP="002A2FAE">
            <w:r w:rsidRPr="00027624">
              <w:t>Despite the potential for annuities to provide a stable income for life, and more efficient use of retirement income, the take</w:t>
            </w:r>
            <w:r w:rsidR="00A8443E" w:rsidRPr="00027624">
              <w:noBreakHyphen/>
            </w:r>
            <w:r w:rsidRPr="00027624">
              <w:t>up of annuities in Australia is very low. Of pension phase accounts, around 6 per cent are invested in annuities</w:t>
            </w:r>
            <w:r w:rsidRPr="00027624">
              <w:fldChar w:fldCharType="begin"/>
            </w:r>
            <w:r w:rsidRPr="00027624">
              <w:instrText xml:space="preserve">CITATION APR19 \l 3081 </w:instrText>
            </w:r>
            <w:r w:rsidRPr="00027624">
              <w:fldChar w:fldCharType="separate"/>
            </w:r>
            <w:r w:rsidR="00E83F6E">
              <w:rPr>
                <w:noProof/>
              </w:rPr>
              <w:t xml:space="preserve"> (Australian Prudential Regulation Authority, 2020a)</w:t>
            </w:r>
            <w:r w:rsidRPr="00027624">
              <w:fldChar w:fldCharType="end"/>
            </w:r>
            <w:r w:rsidRPr="00027624">
              <w:t>. Attractive structuring of these products is challenging in a low interest rate environment.</w:t>
            </w:r>
          </w:p>
          <w:p w14:paraId="21B59C2F" w14:textId="77777777" w:rsidR="002A2FAE" w:rsidRPr="00027624" w:rsidRDefault="002A2FAE" w:rsidP="002A2FAE">
            <w:r w:rsidRPr="00027624">
              <w:t>Low take</w:t>
            </w:r>
            <w:r w:rsidR="00A8443E" w:rsidRPr="00027624">
              <w:noBreakHyphen/>
            </w:r>
            <w:r w:rsidRPr="00027624">
              <w:t xml:space="preserve">up of annuities is not unique to Australia. Economists call the fact that </w:t>
            </w:r>
            <w:r w:rsidR="00D50CC0" w:rsidRPr="00027624">
              <w:t>people</w:t>
            </w:r>
            <w:r w:rsidRPr="00027624">
              <w:t xml:space="preserve"> invest very little in annuities, even though they f</w:t>
            </w:r>
            <w:r w:rsidR="00DB686A" w:rsidRPr="00027624">
              <w:t>acilitate consumption smoothing,</w:t>
            </w:r>
            <w:r w:rsidRPr="00027624">
              <w:t xml:space="preserve"> the </w:t>
            </w:r>
            <w:r w:rsidR="00A8443E" w:rsidRPr="00027624">
              <w:t>‘</w:t>
            </w:r>
            <w:r w:rsidRPr="00027624">
              <w:t>annuity puzzle</w:t>
            </w:r>
            <w:r w:rsidR="00A8443E" w:rsidRPr="00027624">
              <w:t>’</w:t>
            </w:r>
            <w:r w:rsidRPr="00027624">
              <w:t>. It has led to many countries (such as Austria, Iceland, Ireland, Italy, the Netherlands, Norway, Sweden and Switzerland) mandating at least partial annuitisation at retirement. For an explanation of the academic literature on the annuity puzzle see</w:t>
            </w:r>
            <w:r w:rsidRPr="00027624">
              <w:fldChar w:fldCharType="begin"/>
            </w:r>
            <w:r w:rsidRPr="00027624">
              <w:instrText xml:space="preserve">CITATION Joh18 \p 205-210 \l 3081 </w:instrText>
            </w:r>
            <w:r w:rsidRPr="00027624">
              <w:fldChar w:fldCharType="separate"/>
            </w:r>
            <w:r w:rsidR="00E83F6E">
              <w:rPr>
                <w:noProof/>
              </w:rPr>
              <w:t xml:space="preserve"> (Beshears, et al., 2018, pp. 205-210)</w:t>
            </w:r>
            <w:r w:rsidRPr="00027624">
              <w:fldChar w:fldCharType="end"/>
            </w:r>
            <w:r w:rsidRPr="00027624">
              <w:t>.</w:t>
            </w:r>
          </w:p>
          <w:p w14:paraId="4F35738A" w14:textId="77777777" w:rsidR="002A2FAE" w:rsidRPr="00027624" w:rsidRDefault="002A2FAE" w:rsidP="002A2FAE">
            <w:r w:rsidRPr="00027624">
              <w:t>Research shows that people would take up Comprehensive Income Products for Retirement products that combine income, risk management (e.g. longevity risk management) and flexibility (e.g. to access a lump sum) if these products were offered. A 2017 experiment by the Behavioural Economics Team of the Australian Government (BETA) on the take</w:t>
            </w:r>
            <w:r w:rsidR="00A8443E" w:rsidRPr="00027624">
              <w:noBreakHyphen/>
            </w:r>
            <w:r w:rsidRPr="00027624">
              <w:t>up of Comprehensive Income Products for Retirement found:</w:t>
            </w:r>
          </w:p>
          <w:p w14:paraId="509E6560" w14:textId="77777777" w:rsidR="002A2FAE" w:rsidRPr="00027624" w:rsidRDefault="00A8443E" w:rsidP="002A2FAE">
            <w:pPr>
              <w:pStyle w:val="Quote"/>
            </w:pPr>
            <w:r w:rsidRPr="00027624">
              <w:t>‘</w:t>
            </w:r>
            <w:r w:rsidR="002A2FAE" w:rsidRPr="00027624">
              <w:t>On average members were around 50% willing to choose the CIPR if it were offered to them in the future. Given the lack of product diversity (94% of retirement assets in Australia are currently allocated to ABPs) and the fact that CIPRs are a new product, this level of interest is encouraging and suggests CIPRs may do well (in terms of customer take</w:t>
            </w:r>
            <w:r w:rsidRPr="00027624">
              <w:noBreakHyphen/>
            </w:r>
            <w:r w:rsidR="002A2FAE" w:rsidRPr="00027624">
              <w:t>up) in the market.</w:t>
            </w:r>
            <w:r w:rsidRPr="00027624">
              <w:t>’</w:t>
            </w:r>
            <w:r w:rsidR="002A2FAE" w:rsidRPr="00027624">
              <w:rPr>
                <w:i w:val="0"/>
              </w:rPr>
              <w:fldChar w:fldCharType="begin"/>
            </w:r>
            <w:r w:rsidR="002A2FAE" w:rsidRPr="00027624">
              <w:rPr>
                <w:i w:val="0"/>
              </w:rPr>
              <w:instrText xml:space="preserve">CITATION Pro17 \p 7 \l 3081 </w:instrText>
            </w:r>
            <w:r w:rsidR="002A2FAE" w:rsidRPr="00027624">
              <w:rPr>
                <w:i w:val="0"/>
              </w:rPr>
              <w:fldChar w:fldCharType="separate"/>
            </w:r>
            <w:r w:rsidR="00E83F6E">
              <w:rPr>
                <w:i w:val="0"/>
                <w:noProof/>
              </w:rPr>
              <w:t xml:space="preserve"> </w:t>
            </w:r>
            <w:r w:rsidR="00E83F6E">
              <w:rPr>
                <w:noProof/>
              </w:rPr>
              <w:t>(Hiscox, et al., 2017, p. 7)</w:t>
            </w:r>
            <w:r w:rsidR="002A2FAE" w:rsidRPr="00027624">
              <w:rPr>
                <w:i w:val="0"/>
              </w:rPr>
              <w:fldChar w:fldCharType="end"/>
            </w:r>
          </w:p>
          <w:p w14:paraId="67A3F175" w14:textId="77777777" w:rsidR="002A2FAE" w:rsidRPr="00027624" w:rsidRDefault="002A2FAE" w:rsidP="002A2FAE">
            <w:pPr>
              <w:jc w:val="left"/>
            </w:pPr>
            <w:r w:rsidRPr="00027624">
              <w:t>More recent research suggests that while people are interested in annuity products, they find the process of choosing between specific products too difficult</w:t>
            </w:r>
            <w:r w:rsidRPr="00027624">
              <w:fldChar w:fldCharType="begin"/>
            </w:r>
            <w:r w:rsidRPr="00027624">
              <w:instrText xml:space="preserve"> CITATION Orf20 \l 3081 </w:instrText>
            </w:r>
            <w:r w:rsidRPr="00027624">
              <w:fldChar w:fldCharType="separate"/>
            </w:r>
            <w:r w:rsidR="00E83F6E">
              <w:rPr>
                <w:noProof/>
              </w:rPr>
              <w:t xml:space="preserve"> (Orford Initiative, 2020)</w:t>
            </w:r>
            <w:r w:rsidRPr="00027624">
              <w:fldChar w:fldCharType="end"/>
            </w:r>
            <w:r w:rsidRPr="00027624">
              <w:t xml:space="preserve">. This suggests there may be a role for guidance and financial advice in encouraging people to make more use of annuities. </w:t>
            </w:r>
          </w:p>
          <w:p w14:paraId="177310B0" w14:textId="77777777" w:rsidR="002A2FAE" w:rsidRPr="00027624" w:rsidRDefault="002A2FAE" w:rsidP="002A2FAE">
            <w:r w:rsidRPr="00027624">
              <w:t xml:space="preserve">In recent years, the Government has removed some of the barriers to people taking up products that manage longevity risk: </w:t>
            </w:r>
          </w:p>
          <w:p w14:paraId="3453FB17" w14:textId="77777777" w:rsidR="002A2FAE" w:rsidRPr="00027624" w:rsidRDefault="002A2FAE" w:rsidP="0016495E">
            <w:pPr>
              <w:pStyle w:val="BoxBullet"/>
            </w:pPr>
            <w:r w:rsidRPr="00027624">
              <w:t xml:space="preserve">In 2017, the Government passed legislation to allow eligible longevity risk management products to receive the tax exemption on earnings in the retirement phase. This was part of the </w:t>
            </w:r>
            <w:r w:rsidRPr="00027624">
              <w:rPr>
                <w:i/>
              </w:rPr>
              <w:t>2016</w:t>
            </w:r>
            <w:r w:rsidR="00A8443E" w:rsidRPr="00027624">
              <w:rPr>
                <w:i/>
              </w:rPr>
              <w:noBreakHyphen/>
            </w:r>
            <w:r w:rsidRPr="00027624">
              <w:rPr>
                <w:i/>
              </w:rPr>
              <w:t>17 Budget and related superannuation</w:t>
            </w:r>
            <w:r w:rsidRPr="00027624">
              <w:t xml:space="preserve"> reforms. </w:t>
            </w:r>
          </w:p>
          <w:p w14:paraId="14D48251" w14:textId="77777777" w:rsidR="002A2FAE" w:rsidRPr="00027624" w:rsidRDefault="002A2FAE" w:rsidP="0016495E">
            <w:pPr>
              <w:pStyle w:val="BoxBullet"/>
            </w:pPr>
            <w:r w:rsidRPr="00027624">
              <w:t>In 2019, the Age Pension means</w:t>
            </w:r>
            <w:r w:rsidR="00A8443E" w:rsidRPr="00027624">
              <w:noBreakHyphen/>
            </w:r>
            <w:r w:rsidRPr="00027624">
              <w:t>testing rules were created for pooled lifetime income streams to clarify their means</w:t>
            </w:r>
            <w:r w:rsidR="00A8443E" w:rsidRPr="00027624">
              <w:noBreakHyphen/>
            </w:r>
            <w:r w:rsidRPr="00027624">
              <w:t xml:space="preserve">testing treatment. This was part of the </w:t>
            </w:r>
            <w:r w:rsidRPr="00027624">
              <w:rPr>
                <w:i/>
              </w:rPr>
              <w:t>More Choices for a Longer Life 2018</w:t>
            </w:r>
            <w:r w:rsidR="00A8443E" w:rsidRPr="00027624">
              <w:rPr>
                <w:i/>
              </w:rPr>
              <w:noBreakHyphen/>
            </w:r>
            <w:r w:rsidRPr="00027624">
              <w:rPr>
                <w:i/>
              </w:rPr>
              <w:t>19 Budget package</w:t>
            </w:r>
            <w:r w:rsidRPr="00027624">
              <w:t xml:space="preserve">, and was in response to stakeholder calls for the social security settings to incentivise the use of these products. </w:t>
            </w:r>
          </w:p>
          <w:p w14:paraId="3798128D" w14:textId="190EDDC1" w:rsidR="002A2FAE" w:rsidRPr="00027624" w:rsidRDefault="002A2FAE" w:rsidP="002A2FAE">
            <w:pPr>
              <w:rPr>
                <w:rFonts w:ascii="Times New Roman" w:hAnsi="Times New Roman"/>
              </w:rPr>
            </w:pPr>
            <w:r w:rsidRPr="00027624">
              <w:t xml:space="preserve">The </w:t>
            </w:r>
            <w:r w:rsidR="00814818" w:rsidRPr="00027624">
              <w:t>Retirement Income Covenant</w:t>
            </w:r>
            <w:r w:rsidRPr="00027624">
              <w:t xml:space="preserve"> (</w:t>
            </w:r>
            <w:r w:rsidRPr="00027624">
              <w:fldChar w:fldCharType="begin"/>
            </w:r>
            <w:r w:rsidRPr="00027624">
              <w:instrText xml:space="preserve"> REF _Ref42619878 \r \h  \* MERGEFORMAT </w:instrText>
            </w:r>
            <w:r w:rsidRPr="00027624">
              <w:fldChar w:fldCharType="separate"/>
            </w:r>
            <w:r w:rsidR="00891058">
              <w:t>Box 5A-12</w:t>
            </w:r>
            <w:r w:rsidRPr="00027624">
              <w:fldChar w:fldCharType="end"/>
            </w:r>
            <w:r w:rsidRPr="00027624">
              <w:t>) is also designed to encourage take</w:t>
            </w:r>
            <w:r w:rsidR="00A8443E" w:rsidRPr="00027624">
              <w:noBreakHyphen/>
            </w:r>
            <w:r w:rsidRPr="00027624">
              <w:t>up of products that manage longevity risk by requiring superannuation funds to consider whether they should develop and offer a Comprehensive Income Product for Retirement.</w:t>
            </w:r>
          </w:p>
        </w:tc>
      </w:tr>
    </w:tbl>
    <w:p w14:paraId="5A1A76D7" w14:textId="77777777" w:rsidR="002A2FAE" w:rsidRPr="00027624" w:rsidRDefault="002A2FAE" w:rsidP="002A2FAE">
      <w:r w:rsidRPr="00027624">
        <w:t>To address these issues, some stakeholders have called for simple regulated products suitable for most people and satisfy minimum requirements (akin to MySuper products) to be developed for the retirement phase. Given these products would be standardised and regulated, funds and financial advisers could potentially provide guidance on these products outside of the financial advice framework. The Government has consulted on creating a framework for Comprehensive Income Products for Retirement that would meet minimum standards and provide income higher than an account</w:t>
      </w:r>
      <w:r w:rsidR="00A8443E" w:rsidRPr="00027624">
        <w:noBreakHyphen/>
      </w:r>
      <w:r w:rsidRPr="00027624">
        <w:t>based pension drawn down at minimum rates, alongside flexibility and longevity risk management</w:t>
      </w:r>
      <w:r w:rsidRPr="00027624">
        <w:fldChar w:fldCharType="begin"/>
      </w:r>
      <w:r w:rsidRPr="00027624">
        <w:instrText xml:space="preserve">CITATION The16 \l 3081 </w:instrText>
      </w:r>
      <w:r w:rsidRPr="00027624">
        <w:fldChar w:fldCharType="separate"/>
      </w:r>
      <w:r w:rsidR="00E83F6E">
        <w:rPr>
          <w:noProof/>
        </w:rPr>
        <w:t xml:space="preserve"> (The Treasury, 2016b)</w:t>
      </w:r>
      <w:r w:rsidRPr="00027624">
        <w:fldChar w:fldCharType="end"/>
      </w:r>
      <w:r w:rsidRPr="00027624">
        <w:t>.</w:t>
      </w:r>
      <w:r w:rsidRPr="00027624" w:rsidDel="009B187A">
        <w:rPr>
          <w:i/>
          <w:iCs/>
        </w:rPr>
        <w:t xml:space="preserve"> </w:t>
      </w:r>
      <w:r w:rsidRPr="00027624">
        <w:t>Under the proposal, if a financial adviser recommended another type of product they could be required to justify why that product was better for their client</w:t>
      </w:r>
      <w:r w:rsidRPr="00027624">
        <w:fldChar w:fldCharType="begin"/>
      </w:r>
      <w:r w:rsidRPr="00027624">
        <w:instrText xml:space="preserve">CITATION The16 \p 38 \l 3081 </w:instrText>
      </w:r>
      <w:r w:rsidRPr="00027624">
        <w:fldChar w:fldCharType="separate"/>
      </w:r>
      <w:r w:rsidR="00E83F6E">
        <w:rPr>
          <w:noProof/>
        </w:rPr>
        <w:t xml:space="preserve"> (The Treasury, 2016b, p. 38)</w:t>
      </w:r>
      <w:r w:rsidRPr="00027624">
        <w:fldChar w:fldCharType="end"/>
      </w:r>
      <w:r w:rsidRPr="00027624">
        <w:t>.</w:t>
      </w:r>
    </w:p>
    <w:p w14:paraId="444DEC93" w14:textId="3034F494" w:rsidR="002A2FAE" w:rsidRPr="00027624" w:rsidRDefault="002A2FAE" w:rsidP="002A2FAE">
      <w:pPr>
        <w:spacing w:before="0" w:after="160" w:line="259" w:lineRule="auto"/>
      </w:pPr>
      <w:r w:rsidRPr="00027624">
        <w:t>Other products that could improve retirement outcomes include long</w:t>
      </w:r>
      <w:r w:rsidR="00A8443E" w:rsidRPr="00027624">
        <w:noBreakHyphen/>
      </w:r>
      <w:r w:rsidRPr="00027624">
        <w:t>term care insurance, for people who are uncertain if they are likely to need to fund aged care costs (</w:t>
      </w:r>
      <w:r w:rsidRPr="00027624">
        <w:fldChar w:fldCharType="begin"/>
      </w:r>
      <w:r w:rsidRPr="00027624">
        <w:instrText xml:space="preserve"> REF _Ref35589640 \r \h  \* MERGEFORMAT </w:instrText>
      </w:r>
      <w:r w:rsidRPr="00027624">
        <w:fldChar w:fldCharType="separate"/>
      </w:r>
      <w:r w:rsidR="00891058">
        <w:t>Box 5A-6</w:t>
      </w:r>
      <w:r w:rsidRPr="00027624">
        <w:fldChar w:fldCharType="end"/>
      </w:r>
      <w:r w:rsidRPr="00027624">
        <w:t>). If changes are made to encourage greater personal provision for aged care costs following the Aged Care Royal Commission, long</w:t>
      </w:r>
      <w:r w:rsidR="00A8443E" w:rsidRPr="00027624">
        <w:noBreakHyphen/>
      </w:r>
      <w:r w:rsidRPr="00027624">
        <w:t>term care insurance may make aged care costs more affordable for people and give them the confidence to draw down their retirement savings. If arrangements stay the same, more information and guidance about the likely costs of aged care, and the fact that it is not necessary to fund costs through a lump sum, may negate the need for long</w:t>
      </w:r>
      <w:r w:rsidR="00A8443E" w:rsidRPr="00027624">
        <w:noBreakHyphen/>
      </w:r>
      <w:r w:rsidRPr="00027624">
        <w:t xml:space="preserve">term care insurance. </w:t>
      </w:r>
    </w:p>
    <w:p w14:paraId="7C798E67" w14:textId="77777777" w:rsidR="002A2FAE" w:rsidRPr="00027624" w:rsidRDefault="002A2FAE" w:rsidP="002A2FAE">
      <w:pPr>
        <w:pStyle w:val="Heading4"/>
      </w:pPr>
      <w:r w:rsidRPr="00027624">
        <w:t>A simpler system</w:t>
      </w:r>
    </w:p>
    <w:p w14:paraId="5E58FECD" w14:textId="77777777" w:rsidR="002A2FAE" w:rsidRPr="00027624" w:rsidRDefault="002A2FAE" w:rsidP="002A2FAE">
      <w:r w:rsidRPr="00027624">
        <w:t xml:space="preserve">A large number of stakeholders observed that simplifying the system, especially reforms to the design and administration of the Age Pension means test, would allow people to better understand their likely retirement outcomes. </w:t>
      </w:r>
    </w:p>
    <w:p w14:paraId="1733E234" w14:textId="27E427E1" w:rsidR="002A2FAE" w:rsidRPr="00027624" w:rsidRDefault="002A2FAE" w:rsidP="002A2FAE">
      <w:r w:rsidRPr="00027624">
        <w:t>Several stakeholders noted the complexity of administrative arrangements at retirement (</w:t>
      </w:r>
      <w:r w:rsidRPr="00027624">
        <w:fldChar w:fldCharType="begin"/>
      </w:r>
      <w:r w:rsidRPr="00027624">
        <w:instrText xml:space="preserve"> REF _Ref39845384 \r \h  \* MERGEFORMAT </w:instrText>
      </w:r>
      <w:r w:rsidRPr="00027624">
        <w:fldChar w:fldCharType="separate"/>
      </w:r>
      <w:r w:rsidR="00891058">
        <w:t>Box 5A-16</w:t>
      </w:r>
      <w:r w:rsidRPr="00027624">
        <w:fldChar w:fldCharType="end"/>
      </w:r>
      <w:r w:rsidRPr="00027624">
        <w:t>). Some noted that people experience delays in accessing the Age Pension caused by the complex nature of application requirements, poor understanding of the system, procrastination and stigma around dealing with Government agencies. After a person has been found to be eligible for the Age Pension, they face ongoing reporting requirements. An analysis of Age Pension data found 82 per cent of age pensioners had more than four variations in their pension benefit amounts each year, the majority of which were for minor amounts of less than 3 per cent of the payment</w:t>
      </w:r>
      <w:sdt>
        <w:sdtPr>
          <w:id w:val="803198860"/>
          <w:citation/>
        </w:sdtPr>
        <w:sdtEndPr/>
        <w:sdtContent>
          <w:r w:rsidRPr="00027624">
            <w:fldChar w:fldCharType="begin"/>
          </w:r>
          <w:r w:rsidRPr="00027624">
            <w:instrText xml:space="preserve">CITATION Cen20 \p 21 \l 3081 </w:instrText>
          </w:r>
          <w:r w:rsidRPr="00027624">
            <w:fldChar w:fldCharType="separate"/>
          </w:r>
          <w:r w:rsidR="00E83F6E">
            <w:rPr>
              <w:noProof/>
            </w:rPr>
            <w:t xml:space="preserve"> (Centre for Law, Markets and Regulation, 2020, p. 21)</w:t>
          </w:r>
          <w:r w:rsidRPr="00027624">
            <w:fldChar w:fldCharType="end"/>
          </w:r>
        </w:sdtContent>
      </w:sdt>
      <w:r w:rsidR="00DB686A" w:rsidRPr="00027624">
        <w:t>.</w:t>
      </w:r>
    </w:p>
    <w:p w14:paraId="3C79B5AA" w14:textId="77777777" w:rsidR="002A2FAE" w:rsidRPr="00027624" w:rsidRDefault="002A2FAE" w:rsidP="002A2FAE">
      <w:pPr>
        <w:pStyle w:val="Heading5"/>
      </w:pPr>
      <w:r w:rsidRPr="00027624">
        <w:t>Age Pension means test</w:t>
      </w:r>
    </w:p>
    <w:p w14:paraId="243B0D42" w14:textId="77777777" w:rsidR="002A2FAE" w:rsidRPr="00027624" w:rsidRDefault="002A2FAE" w:rsidP="002A2FAE">
      <w:r w:rsidRPr="00027624">
        <w:t xml:space="preserve">Submissions and stakeholders proposed various options to simplify Age Pension means testing, including: </w:t>
      </w:r>
    </w:p>
    <w:p w14:paraId="08784FEE" w14:textId="77777777" w:rsidR="002A2FAE" w:rsidRPr="00027624" w:rsidRDefault="002A2FAE" w:rsidP="00430DC4">
      <w:pPr>
        <w:pStyle w:val="Bullet"/>
      </w:pPr>
      <w:r w:rsidRPr="00027624">
        <w:rPr>
          <w:b/>
          <w:bCs/>
        </w:rPr>
        <w:t xml:space="preserve">Removing </w:t>
      </w:r>
      <w:r w:rsidRPr="00027624">
        <w:rPr>
          <w:b/>
        </w:rPr>
        <w:t>means testing and creating a universal Age Pension</w:t>
      </w:r>
      <w:r w:rsidRPr="00027624">
        <w:t>. This could reduce administrative costs and create certainty for retirees. However, it could cause equity issues and, in the absence of other changes, cost significantly more than the current Age Pension</w:t>
      </w:r>
      <w:r w:rsidRPr="00027624">
        <w:rPr>
          <w:rStyle w:val="FootnoteReference"/>
        </w:rPr>
        <w:footnoteReference w:id="319"/>
      </w:r>
      <w:r w:rsidRPr="00027624">
        <w:t xml:space="preserve"> </w:t>
      </w:r>
    </w:p>
    <w:p w14:paraId="0A9F24B9" w14:textId="77777777" w:rsidR="002A2FAE" w:rsidRPr="00027624" w:rsidRDefault="002A2FAE" w:rsidP="00430DC4">
      <w:pPr>
        <w:pStyle w:val="Bullet"/>
      </w:pPr>
      <w:r w:rsidRPr="00027624">
        <w:rPr>
          <w:b/>
          <w:bCs/>
        </w:rPr>
        <w:t>Merging the income and assets tests</w:t>
      </w:r>
      <w:r w:rsidRPr="00027624">
        <w:t xml:space="preserve">. A merged means test would combine the income test and an asset consumption factor, so only one test would apply (see </w:t>
      </w:r>
      <w:r w:rsidRPr="00027624">
        <w:rPr>
          <w:i/>
        </w:rPr>
        <w:t>Appendix</w:t>
      </w:r>
      <w:r w:rsidRPr="00027624">
        <w:t xml:space="preserve"> </w:t>
      </w:r>
      <w:r w:rsidRPr="00027624">
        <w:rPr>
          <w:i/>
        </w:rPr>
        <w:t>6B. An example to illustrate the trade</w:t>
      </w:r>
      <w:r w:rsidR="00A8443E" w:rsidRPr="00027624">
        <w:rPr>
          <w:i/>
        </w:rPr>
        <w:noBreakHyphen/>
      </w:r>
      <w:r w:rsidRPr="00027624">
        <w:rPr>
          <w:i/>
        </w:rPr>
        <w:t>offs of merging the income and assets tests).</w:t>
      </w:r>
      <w:r w:rsidRPr="00027624">
        <w:t xml:space="preserve"> Some stakeholders proposed it could vary by age to be fairer</w:t>
      </w:r>
      <w:r w:rsidRPr="00027624" w:rsidDel="00A9775F">
        <w:t xml:space="preserve"> </w:t>
      </w:r>
      <w:r w:rsidRPr="00027624">
        <w:t>between age pensioners</w:t>
      </w:r>
      <w:r w:rsidRPr="00027624">
        <w:fldChar w:fldCharType="begin"/>
      </w:r>
      <w:r w:rsidRPr="00027624">
        <w:instrText xml:space="preserve">CITATION Cen20 \p 28 \l 3081 </w:instrText>
      </w:r>
      <w:r w:rsidRPr="00027624">
        <w:fldChar w:fldCharType="separate"/>
      </w:r>
      <w:r w:rsidR="00E83F6E">
        <w:rPr>
          <w:noProof/>
        </w:rPr>
        <w:t xml:space="preserve"> (Centre for Law, Markets and Regulation, 2020, p. 28)</w:t>
      </w:r>
      <w:r w:rsidRPr="00027624">
        <w:fldChar w:fldCharType="end"/>
      </w:r>
      <w:r w:rsidRPr="00027624">
        <w:t>. In doing so, a merged means test could provide part Age Pension recipients with a flat income profile.</w:t>
      </w:r>
      <w:r w:rsidRPr="00027624" w:rsidDel="002E0623">
        <w:t xml:space="preserve"> </w:t>
      </w:r>
      <w:r w:rsidRPr="00027624">
        <w:t>Any change to the means test could affect equity outcomes. Depending on the test</w:t>
      </w:r>
      <w:r w:rsidR="00A8443E" w:rsidRPr="00027624">
        <w:t>’</w:t>
      </w:r>
      <w:r w:rsidRPr="00027624">
        <w:t>s design, it could have a positive or negative effect on horizontal and vertical equity.</w:t>
      </w:r>
      <w:r w:rsidRPr="00027624">
        <w:rPr>
          <w:rStyle w:val="FootnoteReference"/>
        </w:rPr>
        <w:footnoteReference w:id="320"/>
      </w:r>
      <w:r w:rsidRPr="00027624">
        <w:t xml:space="preserve"> While it would remove the need for two tests, a merged means test could be more complex for people to understand </w:t>
      </w:r>
    </w:p>
    <w:p w14:paraId="165076B8" w14:textId="77777777" w:rsidR="002A2FAE" w:rsidRPr="00027624" w:rsidRDefault="002A2FAE" w:rsidP="00430DC4">
      <w:pPr>
        <w:pStyle w:val="Bullet"/>
      </w:pPr>
      <w:r w:rsidRPr="00027624">
        <w:rPr>
          <w:b/>
        </w:rPr>
        <w:t>Creating a one</w:t>
      </w:r>
      <w:r w:rsidR="00A8443E" w:rsidRPr="00027624">
        <w:rPr>
          <w:b/>
        </w:rPr>
        <w:noBreakHyphen/>
      </w:r>
      <w:r w:rsidRPr="00027624">
        <w:rPr>
          <w:b/>
        </w:rPr>
        <w:t>off means test</w:t>
      </w:r>
      <w:r w:rsidRPr="00027624">
        <w:t>. This would give age pensioners income certainty and reduce ongoing administrative costs. But review mechanisms would be needed to reflect significant changes in circumstances; for example, after suffering an expensive health shock or receiving an inheritance</w:t>
      </w:r>
    </w:p>
    <w:tbl>
      <w:tblPr>
        <w:tblStyle w:val="TableGrid"/>
        <w:tblW w:w="5000" w:type="pct"/>
        <w:tblLook w:val="04A0" w:firstRow="1" w:lastRow="0" w:firstColumn="1" w:lastColumn="0" w:noHBand="0" w:noVBand="1"/>
      </w:tblPr>
      <w:tblGrid>
        <w:gridCol w:w="9070"/>
      </w:tblGrid>
      <w:tr w:rsidR="002A2FAE" w:rsidRPr="00027624" w14:paraId="0EF31F1A" w14:textId="77777777" w:rsidTr="002A2FAE">
        <w:tc>
          <w:tcPr>
            <w:tcW w:w="5000" w:type="pct"/>
            <w:shd w:val="clear" w:color="auto" w:fill="FFF8EA"/>
            <w:hideMark/>
          </w:tcPr>
          <w:p w14:paraId="27E73C73" w14:textId="77777777" w:rsidR="002A2FAE" w:rsidRPr="00027624" w:rsidRDefault="002A2FAE" w:rsidP="00BA3C92">
            <w:pPr>
              <w:pStyle w:val="BoxHeading"/>
              <w:widowControl w:val="0"/>
              <w:numPr>
                <w:ilvl w:val="5"/>
                <w:numId w:val="13"/>
              </w:numPr>
              <w:spacing w:before="120"/>
            </w:pPr>
            <w:bookmarkStart w:id="4168" w:name="_Ref39845384"/>
            <w:r w:rsidRPr="00027624">
              <w:t>Requirements to access Age Pension and superannuation benefits</w:t>
            </w:r>
            <w:bookmarkEnd w:id="4168"/>
          </w:p>
          <w:p w14:paraId="6D06C5D1" w14:textId="77777777" w:rsidR="002A2FAE" w:rsidRPr="00027624" w:rsidRDefault="002A2FAE" w:rsidP="00BA3C92">
            <w:pPr>
              <w:spacing w:after="80"/>
            </w:pPr>
            <w:r w:rsidRPr="00027624">
              <w:rPr>
                <w:b/>
              </w:rPr>
              <w:t>To access the Age Pension</w:t>
            </w:r>
            <w:r w:rsidRPr="00027624">
              <w:t>, people must:</w:t>
            </w:r>
          </w:p>
          <w:p w14:paraId="37DFCC0D" w14:textId="77777777" w:rsidR="002A2FAE" w:rsidRPr="00027624" w:rsidRDefault="002A2FAE" w:rsidP="00BA3C92">
            <w:pPr>
              <w:pStyle w:val="BoxBullet"/>
              <w:spacing w:after="80"/>
            </w:pPr>
            <w:r w:rsidRPr="00027624">
              <w:t>Provide proof of identity, in person and with supporting documents, unless previously part of the social security system</w:t>
            </w:r>
          </w:p>
          <w:p w14:paraId="1FA3E292" w14:textId="77777777" w:rsidR="002A2FAE" w:rsidRPr="00027624" w:rsidRDefault="002A2FAE" w:rsidP="00BA3C92">
            <w:pPr>
              <w:pStyle w:val="BoxBullet"/>
              <w:spacing w:after="80"/>
            </w:pPr>
            <w:r w:rsidRPr="00027624">
              <w:t>Report on their income and asset values, which are self</w:t>
            </w:r>
            <w:r w:rsidR="00A8443E" w:rsidRPr="00027624">
              <w:noBreakHyphen/>
            </w:r>
            <w:r w:rsidRPr="00027624">
              <w:t>assessed but must be in line with a range of valuation methodologies. This often requires further supporting documents</w:t>
            </w:r>
          </w:p>
          <w:p w14:paraId="6D37B854" w14:textId="77777777" w:rsidR="002A2FAE" w:rsidRPr="00027624" w:rsidRDefault="002A2FAE" w:rsidP="00BA3C92">
            <w:pPr>
              <w:pStyle w:val="BoxBullet"/>
              <w:spacing w:after="80"/>
            </w:pPr>
            <w:r w:rsidRPr="00027624">
              <w:t xml:space="preserve">Continue to report changes in circumstances, including changes to income and assets </w:t>
            </w:r>
          </w:p>
          <w:p w14:paraId="0DA75EB0" w14:textId="77777777" w:rsidR="002A2FAE" w:rsidRPr="00027624" w:rsidRDefault="002A2FAE" w:rsidP="00BA3C92">
            <w:pPr>
              <w:spacing w:after="80"/>
            </w:pPr>
            <w:r w:rsidRPr="00027624">
              <w:rPr>
                <w:b/>
              </w:rPr>
              <w:t>To access superannuation benefits</w:t>
            </w:r>
            <w:r w:rsidRPr="00027624">
              <w:t>, people must:</w:t>
            </w:r>
          </w:p>
          <w:p w14:paraId="68E83644" w14:textId="77777777" w:rsidR="002A2FAE" w:rsidRPr="00027624" w:rsidRDefault="002A2FAE" w:rsidP="00BA3C92">
            <w:pPr>
              <w:pStyle w:val="BoxBullet"/>
              <w:spacing w:after="80"/>
            </w:pPr>
            <w:r w:rsidRPr="00027624">
              <w:t>Notify the superannuation fund that a condition of release has been met (usually retiring after preservation age)</w:t>
            </w:r>
          </w:p>
          <w:p w14:paraId="2F76AE9D" w14:textId="77777777" w:rsidR="002A2FAE" w:rsidRPr="00027624" w:rsidRDefault="002A2FAE" w:rsidP="00BA3C92">
            <w:pPr>
              <w:pStyle w:val="BoxBullet"/>
              <w:spacing w:after="80"/>
            </w:pPr>
            <w:r w:rsidRPr="00027624">
              <w:t xml:space="preserve">Select a retirement income product from their own or another superannuation fund. In either case, administrative processes will be involved in purchasing the product </w:t>
            </w:r>
          </w:p>
          <w:p w14:paraId="771583B1" w14:textId="77777777" w:rsidR="002A2FAE" w:rsidRPr="00027624" w:rsidRDefault="002A2FAE" w:rsidP="00BA3C92">
            <w:pPr>
              <w:spacing w:after="80"/>
              <w:ind w:left="720"/>
            </w:pPr>
            <w:r w:rsidRPr="00027624">
              <w:t>OR</w:t>
            </w:r>
          </w:p>
          <w:p w14:paraId="0F6A0228" w14:textId="77777777" w:rsidR="002A2FAE" w:rsidRPr="00027624" w:rsidRDefault="002A2FAE" w:rsidP="00BA3C92">
            <w:pPr>
              <w:pStyle w:val="BoxBullet"/>
              <w:spacing w:after="80"/>
            </w:pPr>
            <w:r w:rsidRPr="00027624">
              <w:t>Withdraw benefits from the superannuation system</w:t>
            </w:r>
          </w:p>
          <w:p w14:paraId="70E17EE3" w14:textId="77777777" w:rsidR="002A2FAE" w:rsidRPr="00027624" w:rsidRDefault="002A2FAE" w:rsidP="00BA3C92">
            <w:pPr>
              <w:pStyle w:val="BoxText"/>
              <w:spacing w:after="80"/>
            </w:pPr>
            <w:r w:rsidRPr="00027624">
              <w:rPr>
                <w:b/>
              </w:rPr>
              <w:t>To change a superannuation retirement income product</w:t>
            </w:r>
            <w:r w:rsidRPr="00027624">
              <w:t xml:space="preserve">, people must: </w:t>
            </w:r>
          </w:p>
          <w:p w14:paraId="15CDB9D0" w14:textId="77777777" w:rsidR="002A2FAE" w:rsidRPr="00027624" w:rsidRDefault="002A2FAE" w:rsidP="00BA3C92">
            <w:pPr>
              <w:pStyle w:val="BoxBullet"/>
              <w:spacing w:after="80"/>
            </w:pPr>
            <w:r w:rsidRPr="00027624">
              <w:t xml:space="preserve">Commute the </w:t>
            </w:r>
            <w:r w:rsidR="00A8443E" w:rsidRPr="00027624">
              <w:t>‘</w:t>
            </w:r>
            <w:r w:rsidRPr="00027624">
              <w:t>retirement phase</w:t>
            </w:r>
            <w:r w:rsidR="00A8443E" w:rsidRPr="00027624">
              <w:t>’</w:t>
            </w:r>
            <w:r w:rsidRPr="00027624">
              <w:t xml:space="preserve"> product back to the pre</w:t>
            </w:r>
            <w:r w:rsidR="00A8443E" w:rsidRPr="00027624">
              <w:noBreakHyphen/>
            </w:r>
            <w:r w:rsidRPr="00027624">
              <w:t xml:space="preserve">retirement (or accumulation) phase before it can be transferred to the new product </w:t>
            </w:r>
          </w:p>
          <w:p w14:paraId="105E110B" w14:textId="77777777" w:rsidR="002A2FAE" w:rsidRPr="00027624" w:rsidRDefault="002A2FAE" w:rsidP="00BA3C92">
            <w:pPr>
              <w:pStyle w:val="BoxBullet"/>
              <w:spacing w:after="80"/>
            </w:pPr>
            <w:r w:rsidRPr="00027624">
              <w:t>If the new product is with a different fund, open an accumulation account in that fund before the new pension product can be purchased</w:t>
            </w:r>
          </w:p>
          <w:p w14:paraId="03C09A7B" w14:textId="77777777" w:rsidR="002A2FAE" w:rsidRPr="00027624" w:rsidRDefault="002A2FAE" w:rsidP="00BA3C92">
            <w:pPr>
              <w:spacing w:after="80"/>
            </w:pPr>
            <w:r w:rsidRPr="00027624">
              <w:t>These complex steps are in place because of the need to prevent fraud, the different taxation arrangements for the pre</w:t>
            </w:r>
            <w:r w:rsidR="00A8443E" w:rsidRPr="00027624">
              <w:noBreakHyphen/>
            </w:r>
            <w:r w:rsidRPr="00027624">
              <w:t>retirement and retirement phases and the need to identify taxed and non</w:t>
            </w:r>
            <w:r w:rsidR="00A8443E" w:rsidRPr="00027624">
              <w:noBreakHyphen/>
            </w:r>
            <w:r w:rsidRPr="00027624">
              <w:t>taxed amounts.</w:t>
            </w:r>
          </w:p>
        </w:tc>
      </w:tr>
    </w:tbl>
    <w:p w14:paraId="1FFCE7B0" w14:textId="77777777" w:rsidR="002A2FAE" w:rsidRPr="00027624" w:rsidRDefault="002A2FAE" w:rsidP="00BA3C92">
      <w:pPr>
        <w:pStyle w:val="Heading5"/>
        <w:spacing w:before="120"/>
      </w:pPr>
      <w:r w:rsidRPr="00027624">
        <w:t>Superannuation tax: one product for life</w:t>
      </w:r>
    </w:p>
    <w:p w14:paraId="44510A1A" w14:textId="77777777" w:rsidR="002A2FAE" w:rsidRPr="00027624" w:rsidRDefault="002A2FAE" w:rsidP="002A2FAE">
      <w:r w:rsidRPr="00027624">
        <w:t>Different tax arrangements for superannuation in the pre</w:t>
      </w:r>
      <w:r w:rsidR="00A8443E" w:rsidRPr="00027624">
        <w:noBreakHyphen/>
      </w:r>
      <w:r w:rsidRPr="00027624">
        <w:t>retirement (or accumulation) phase and the retirement (or pension) phase create complexity. Some stakeholders have suggested that aligning the tax arrangements would:</w:t>
      </w:r>
    </w:p>
    <w:p w14:paraId="73FD6601" w14:textId="77777777" w:rsidR="002A2FAE" w:rsidRPr="00027624" w:rsidRDefault="002A2FAE" w:rsidP="00791570">
      <w:pPr>
        <w:pStyle w:val="Bullet"/>
      </w:pPr>
      <w:r w:rsidRPr="00027624">
        <w:rPr>
          <w:b/>
        </w:rPr>
        <w:t>Allow people to have a single superannuation account for life</w:t>
      </w:r>
      <w:r w:rsidRPr="00027624">
        <w:t>. Pre</w:t>
      </w:r>
      <w:r w:rsidR="00A8443E" w:rsidRPr="00027624">
        <w:noBreakHyphen/>
      </w:r>
      <w:r w:rsidRPr="00027624">
        <w:t xml:space="preserve">retirement and retirement phase accounts would have the same tax and administrative arrangements, </w:t>
      </w:r>
      <w:r w:rsidRPr="00027624" w:rsidDel="00C82578">
        <w:t xml:space="preserve">making </w:t>
      </w:r>
      <w:r w:rsidRPr="00027624">
        <w:t>the $1.6 million transfer balance cap</w:t>
      </w:r>
      <w:r w:rsidRPr="00027624" w:rsidDel="00C82578">
        <w:t xml:space="preserve"> redundant</w:t>
      </w:r>
    </w:p>
    <w:p w14:paraId="5B3F170B" w14:textId="77777777" w:rsidR="002A2FAE" w:rsidRPr="00027624" w:rsidRDefault="002A2FAE" w:rsidP="00791570">
      <w:pPr>
        <w:pStyle w:val="Bullet"/>
      </w:pPr>
      <w:r w:rsidRPr="00027624">
        <w:rPr>
          <w:b/>
        </w:rPr>
        <w:t>Simplify the process for changing superannuation funds in retirement</w:t>
      </w:r>
      <w:r w:rsidRPr="00027624">
        <w:t>. People would not need to commute a retirement phase account back to the pre</w:t>
      </w:r>
      <w:r w:rsidR="00A8443E" w:rsidRPr="00027624">
        <w:noBreakHyphen/>
      </w:r>
      <w:r w:rsidRPr="00027624">
        <w:t>retirement phase before transferring to a new fund</w:t>
      </w:r>
    </w:p>
    <w:p w14:paraId="1E63E361" w14:textId="77777777" w:rsidR="002A2FAE" w:rsidRPr="00027624" w:rsidRDefault="002A2FAE" w:rsidP="00791570">
      <w:pPr>
        <w:pStyle w:val="Bullet"/>
      </w:pPr>
      <w:r w:rsidRPr="00027624">
        <w:rPr>
          <w:b/>
        </w:rPr>
        <w:t>Simplify superannuation for people who return to work after retiring</w:t>
      </w:r>
      <w:r w:rsidRPr="00027624">
        <w:t>. The SG received from employment could be deposited in the same superannuation account from which a pension is being drawn, removing the need to hold multiple accounts and pay multiple fees</w:t>
      </w:r>
    </w:p>
    <w:p w14:paraId="7916C6AB" w14:textId="77777777" w:rsidR="002A2FAE" w:rsidRPr="00027624" w:rsidRDefault="002A2FAE" w:rsidP="002A2FAE">
      <w:r w:rsidRPr="00027624">
        <w:t>However, if this change was made in the absence of other changes to assist people at retirement and encourage them to consume their retirement savings, many people would likely remain in pre</w:t>
      </w:r>
      <w:r w:rsidR="00A8443E" w:rsidRPr="00027624">
        <w:noBreakHyphen/>
      </w:r>
      <w:r w:rsidRPr="00027624">
        <w:t xml:space="preserve">retirement products and would preserve their retirement savings. This would lower standards of living in retirement. </w:t>
      </w:r>
    </w:p>
    <w:p w14:paraId="79D0846E" w14:textId="77777777" w:rsidR="002A2FAE" w:rsidRPr="00027624" w:rsidRDefault="002A2FAE" w:rsidP="00BA3C92">
      <w:pPr>
        <w:pStyle w:val="Heading5"/>
        <w:spacing w:before="120"/>
      </w:pPr>
      <w:r w:rsidRPr="00027624">
        <w:t xml:space="preserve">Administrative requirements </w:t>
      </w:r>
    </w:p>
    <w:p w14:paraId="4F7568F8" w14:textId="3D22F23C" w:rsidR="002A2FAE" w:rsidRPr="00027624" w:rsidRDefault="002A2FAE" w:rsidP="00BA3C92">
      <w:pPr>
        <w:spacing w:after="80"/>
        <w:rPr>
          <w:i/>
        </w:rPr>
      </w:pPr>
      <w:r w:rsidRPr="00027624">
        <w:t>People must go through numerous administrative processes and requirements to access the Age Pension and superannuation benefits (</w:t>
      </w:r>
      <w:r w:rsidRPr="00027624">
        <w:fldChar w:fldCharType="begin"/>
      </w:r>
      <w:r w:rsidRPr="00027624">
        <w:instrText xml:space="preserve"> REF _Ref39845384 \r \h  \* MERGEFORMAT </w:instrText>
      </w:r>
      <w:r w:rsidRPr="00027624">
        <w:fldChar w:fldCharType="separate"/>
      </w:r>
      <w:r w:rsidR="00891058">
        <w:t>Box 5A-16</w:t>
      </w:r>
      <w:r w:rsidRPr="00027624">
        <w:fldChar w:fldCharType="end"/>
      </w:r>
      <w:r w:rsidRPr="00027624">
        <w:t>). Proposals to reduce this administrative burden include:</w:t>
      </w:r>
    </w:p>
    <w:p w14:paraId="6648D96B" w14:textId="77777777" w:rsidR="002A2FAE" w:rsidRPr="00027624" w:rsidRDefault="002A2FAE" w:rsidP="00BA3C92">
      <w:pPr>
        <w:pStyle w:val="Bullet"/>
        <w:spacing w:after="80"/>
      </w:pPr>
      <w:r w:rsidRPr="00027624">
        <w:rPr>
          <w:b/>
        </w:rPr>
        <w:t>Simplifying the system.</w:t>
      </w:r>
      <w:r w:rsidRPr="00027624">
        <w:t xml:space="preserve"> Some of the simplification options discussed above, such as a universal Age Pension or a one</w:t>
      </w:r>
      <w:r w:rsidR="00A8443E" w:rsidRPr="00027624">
        <w:noBreakHyphen/>
      </w:r>
      <w:r w:rsidRPr="00027624">
        <w:t>off means test, could also reduce reporting requirements for retirees. However, these changes may have equity trade</w:t>
      </w:r>
      <w:r w:rsidR="00A8443E" w:rsidRPr="00027624">
        <w:noBreakHyphen/>
      </w:r>
      <w:r w:rsidRPr="00027624">
        <w:t>offs, require changes to other parts of the system or shift the administrative burden from one area of the system to another</w:t>
      </w:r>
    </w:p>
    <w:p w14:paraId="13C9CA38" w14:textId="77777777" w:rsidR="002A2FAE" w:rsidRPr="00027624" w:rsidRDefault="002A2FAE" w:rsidP="00BA3C92">
      <w:pPr>
        <w:pStyle w:val="Bullet"/>
        <w:spacing w:after="80"/>
      </w:pPr>
      <w:r w:rsidRPr="00027624">
        <w:rPr>
          <w:b/>
        </w:rPr>
        <w:t>Data</w:t>
      </w:r>
      <w:r w:rsidR="00A8443E" w:rsidRPr="00027624">
        <w:rPr>
          <w:b/>
        </w:rPr>
        <w:noBreakHyphen/>
      </w:r>
      <w:r w:rsidRPr="00027624">
        <w:rPr>
          <w:b/>
        </w:rPr>
        <w:t>sharing and pre</w:t>
      </w:r>
      <w:r w:rsidR="00A8443E" w:rsidRPr="00027624">
        <w:rPr>
          <w:b/>
        </w:rPr>
        <w:noBreakHyphen/>
      </w:r>
      <w:r w:rsidRPr="00027624">
        <w:rPr>
          <w:b/>
        </w:rPr>
        <w:t>filling information.</w:t>
      </w:r>
      <w:r w:rsidRPr="00027624">
        <w:t xml:space="preserve"> This could make application processes and reporting requirements easier, drawing on indirect data sources. For example, Services Australia now uses data collected from superannuation funds and income stream providers to automatically adjust pensioners</w:t>
      </w:r>
      <w:r w:rsidR="00A8443E" w:rsidRPr="00027624">
        <w:t>’</w:t>
      </w:r>
      <w:r w:rsidRPr="00027624">
        <w:t xml:space="preserve"> assets and income information</w:t>
      </w:r>
    </w:p>
    <w:p w14:paraId="3F5F92D9" w14:textId="77777777" w:rsidR="002A2FAE" w:rsidRPr="00027624" w:rsidRDefault="002A2FAE" w:rsidP="00BA3C92">
      <w:pPr>
        <w:pStyle w:val="Bullet"/>
        <w:spacing w:after="80"/>
      </w:pPr>
      <w:r w:rsidRPr="00027624">
        <w:rPr>
          <w:b/>
        </w:rPr>
        <w:t>Greater integration.</w:t>
      </w:r>
      <w:r w:rsidRPr="00027624">
        <w:t xml:space="preserve"> This could reduce inefficiencies, avoiding the need to give different Government agencies the same information. The Government is making progress towards a </w:t>
      </w:r>
      <w:r w:rsidR="00A8443E" w:rsidRPr="00027624">
        <w:t>‘</w:t>
      </w:r>
      <w:r w:rsidRPr="00027624">
        <w:t>tell us once</w:t>
      </w:r>
      <w:r w:rsidR="00A8443E" w:rsidRPr="00027624">
        <w:t>’</w:t>
      </w:r>
      <w:r w:rsidRPr="00027624">
        <w:t xml:space="preserve"> capability. For example, work is underway to create a </w:t>
      </w:r>
      <w:r w:rsidR="00A8443E" w:rsidRPr="00027624">
        <w:t>‘</w:t>
      </w:r>
      <w:r w:rsidRPr="00027624">
        <w:t>Digital Pass</w:t>
      </w:r>
      <w:r w:rsidR="00A8443E" w:rsidRPr="00027624">
        <w:t>’</w:t>
      </w:r>
      <w:r w:rsidRPr="00027624">
        <w:t xml:space="preserve"> for online Government services, so people do not need to prove their identity multiple times </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2A2FAE" w:rsidRPr="00027624" w14:paraId="0528E3D0" w14:textId="77777777" w:rsidTr="003A119F">
        <w:tc>
          <w:tcPr>
            <w:tcW w:w="5000" w:type="pct"/>
            <w:shd w:val="clear" w:color="auto" w:fill="FFF8EA"/>
          </w:tcPr>
          <w:p w14:paraId="509153C4" w14:textId="77777777" w:rsidR="002A2FAE" w:rsidRPr="00027624" w:rsidRDefault="002A2FAE" w:rsidP="00325A8D">
            <w:pPr>
              <w:pStyle w:val="BoxHeading"/>
              <w:numPr>
                <w:ilvl w:val="5"/>
                <w:numId w:val="13"/>
              </w:numPr>
            </w:pPr>
            <w:r w:rsidRPr="00027624">
              <w:t xml:space="preserve">Impact of changes to certain policy settings on cohesion </w:t>
            </w:r>
          </w:p>
          <w:p w14:paraId="7247643C" w14:textId="77777777" w:rsidR="002A2FAE" w:rsidRPr="00027624" w:rsidRDefault="002A2FAE" w:rsidP="002A2FAE">
            <w:pPr>
              <w:pStyle w:val="BoxText"/>
            </w:pPr>
            <w:r w:rsidRPr="00027624">
              <w:t>A significant number of submissions put forward policy suggestions to change the cohesion of the retirement income system. The following summary outlines some of the implications of some of the proposed changes to particular policy settings</w:t>
            </w:r>
            <w:r w:rsidRPr="00027624">
              <w:rPr>
                <w:i/>
              </w:rPr>
              <w:t>.</w:t>
            </w:r>
          </w:p>
          <w:p w14:paraId="37DD506D" w14:textId="77777777" w:rsidR="002A2FAE" w:rsidRPr="00027624" w:rsidRDefault="002A2FAE" w:rsidP="00791570">
            <w:pPr>
              <w:pStyle w:val="BoxBullet"/>
              <w:rPr>
                <w:rStyle w:val="BulletChar"/>
                <w:sz w:val="22"/>
              </w:rPr>
            </w:pPr>
            <w:r w:rsidRPr="00027624">
              <w:rPr>
                <w:rStyle w:val="BulletChar"/>
                <w:b/>
              </w:rPr>
              <w:t>Lower the Age Pension assets test taper rate</w:t>
            </w:r>
            <w:r w:rsidRPr="00027624">
              <w:rPr>
                <w:rStyle w:val="BulletChar"/>
                <w:b/>
                <w:bCs/>
              </w:rPr>
              <w:t xml:space="preserve">. </w:t>
            </w:r>
            <w:r w:rsidRPr="00027624">
              <w:rPr>
                <w:rStyle w:val="BulletChar"/>
              </w:rPr>
              <w:t>This</w:t>
            </w:r>
            <w:r w:rsidRPr="00027624">
              <w:rPr>
                <w:rStyle w:val="BulletChar"/>
                <w:b/>
              </w:rPr>
              <w:t xml:space="preserve"> </w:t>
            </w:r>
            <w:r w:rsidRPr="00027624">
              <w:rPr>
                <w:rStyle w:val="BulletChar"/>
              </w:rPr>
              <w:t>would run counter to the objective of encouraging retirees to more efficiently draw down their assets. Even though it would slightly lower the effective marginal tax rate on retirement savings, they would remain high, and the overall disincentive to save would remain.</w:t>
            </w:r>
          </w:p>
          <w:p w14:paraId="40633E8A" w14:textId="77777777" w:rsidR="002A2FAE" w:rsidRPr="00027624" w:rsidRDefault="002A2FAE" w:rsidP="00791570">
            <w:pPr>
              <w:pStyle w:val="BoxBullet"/>
              <w:rPr>
                <w:rStyle w:val="BulletChar"/>
                <w:sz w:val="22"/>
              </w:rPr>
            </w:pPr>
            <w:r w:rsidRPr="00027624">
              <w:rPr>
                <w:rStyle w:val="BulletChar"/>
                <w:b/>
                <w:bCs/>
              </w:rPr>
              <w:t>Introduce</w:t>
            </w:r>
            <w:r w:rsidRPr="00027624">
              <w:rPr>
                <w:rStyle w:val="BulletChar"/>
                <w:b/>
              </w:rPr>
              <w:t xml:space="preserve"> a merged means test for the Age Pension</w:t>
            </w:r>
            <w:r w:rsidRPr="00027624">
              <w:rPr>
                <w:rStyle w:val="BulletChar"/>
                <w:b/>
                <w:bCs/>
              </w:rPr>
              <w:t>.</w:t>
            </w:r>
            <w:r w:rsidRPr="00027624">
              <w:rPr>
                <w:rStyle w:val="BulletChar"/>
              </w:rPr>
              <w:t xml:space="preserve"> This may encourage people to draw down more from their assets in their later years of retirement. However, depending on the design of the merged means test, it may not significantly reduce system complexity. There would continue to be significant differences between the means tests for the Age Pension and for aged care. </w:t>
            </w:r>
          </w:p>
          <w:p w14:paraId="3A62FEE9" w14:textId="77777777" w:rsidR="002A2FAE" w:rsidRPr="00027624" w:rsidRDefault="002A2FAE" w:rsidP="00791570">
            <w:pPr>
              <w:pStyle w:val="BoxBullet"/>
            </w:pPr>
            <w:r w:rsidRPr="00027624">
              <w:rPr>
                <w:b/>
                <w:bCs/>
              </w:rPr>
              <w:t>Change superannuation tax concessions and incentives to work.</w:t>
            </w:r>
            <w:r w:rsidRPr="00027624">
              <w:t xml:space="preserve"> The SG is the main driver of retirement savings for most people, not voluntary superannuation contributions. Most voluntary contributions are made by people who would likely reallocate those savings to the next most tax</w:t>
            </w:r>
            <w:r w:rsidR="00A8443E" w:rsidRPr="00027624">
              <w:noBreakHyphen/>
            </w:r>
            <w:r w:rsidRPr="00027624">
              <w:t>effective savings vehicle. Removing financial incentives to work would have little impact on people</w:t>
            </w:r>
            <w:r w:rsidR="00A8443E" w:rsidRPr="00027624">
              <w:t>’</w:t>
            </w:r>
            <w:r w:rsidRPr="00027624">
              <w:t xml:space="preserve">s behaviour, as financial incentives are largely ineffective at changing behaviour and benefit those who would continue to work anyway. </w:t>
            </w:r>
          </w:p>
          <w:p w14:paraId="02DA1521" w14:textId="77777777" w:rsidR="002A2FAE" w:rsidRPr="00027624" w:rsidRDefault="002A2FAE" w:rsidP="00791570">
            <w:pPr>
              <w:pStyle w:val="BoxBullet"/>
            </w:pPr>
            <w:r w:rsidRPr="00027624">
              <w:rPr>
                <w:b/>
                <w:bCs/>
              </w:rPr>
              <w:t>Encourage people to use their assets more efficiently in retirement.</w:t>
            </w:r>
            <w:r w:rsidRPr="00027624">
              <w:t xml:space="preserve"> This would lead to a higher standard of living in retirement.</w:t>
            </w:r>
            <w:r w:rsidRPr="00027624">
              <w:rPr>
                <w:b/>
              </w:rPr>
              <w:t xml:space="preserve"> </w:t>
            </w:r>
            <w:r w:rsidRPr="00027624">
              <w:t xml:space="preserve">Alternatively, people could save less and achieve adequate retirement incomes to maintain their standard of living in retirement while having a higher standard of living in their working life (see </w:t>
            </w:r>
            <w:r w:rsidRPr="00027624">
              <w:rPr>
                <w:i/>
              </w:rPr>
              <w:t>2D.</w:t>
            </w:r>
            <w:r w:rsidRPr="00027624">
              <w:t xml:space="preserve"> </w:t>
            </w:r>
            <w:r w:rsidRPr="00027624">
              <w:rPr>
                <w:i/>
              </w:rPr>
              <w:t>Policy scenario: Implications of maintaining the SG rate).</w:t>
            </w:r>
          </w:p>
          <w:p w14:paraId="0369365C" w14:textId="77777777" w:rsidR="002A2FAE" w:rsidRPr="00027624" w:rsidRDefault="002A2FAE" w:rsidP="0016495E">
            <w:pPr>
              <w:pStyle w:val="BoxDash"/>
            </w:pPr>
            <w:r w:rsidRPr="00027624">
              <w:rPr>
                <w:b/>
              </w:rPr>
              <w:t xml:space="preserve">Implementing the </w:t>
            </w:r>
            <w:r w:rsidR="00814818" w:rsidRPr="00027624">
              <w:rPr>
                <w:b/>
              </w:rPr>
              <w:t>Retirement Income Covenant</w:t>
            </w:r>
            <w:r w:rsidRPr="00027624">
              <w:rPr>
                <w:b/>
              </w:rPr>
              <w:t xml:space="preserve"> would provide a decision</w:t>
            </w:r>
            <w:r w:rsidR="00A8443E" w:rsidRPr="00027624">
              <w:rPr>
                <w:b/>
              </w:rPr>
              <w:noBreakHyphen/>
            </w:r>
            <w:r w:rsidRPr="00027624">
              <w:rPr>
                <w:b/>
              </w:rPr>
              <w:t>making framework to assist people at retirement.</w:t>
            </w:r>
            <w:r w:rsidRPr="00027624">
              <w:t xml:space="preserve"> The covenant would require superannuation funds to provide guidance to their members at retirement, which would simplify the experience for people and encourage them to more efficiently draw down their savings.</w:t>
            </w:r>
          </w:p>
          <w:p w14:paraId="765710B5" w14:textId="77777777" w:rsidR="002A2FAE" w:rsidRPr="00027624" w:rsidRDefault="002A2FAE" w:rsidP="00BA3C92">
            <w:pPr>
              <w:pStyle w:val="BoxDash"/>
            </w:pPr>
            <w:r w:rsidRPr="00027624">
              <w:t xml:space="preserve">Increasing the minimum drawdown rates would likely increase retirement incomes and may lead to higher living standards for the majority of retirees who use these rates as a </w:t>
            </w:r>
            <w:r w:rsidR="00A8443E" w:rsidRPr="00027624">
              <w:t>‘</w:t>
            </w:r>
            <w:r w:rsidRPr="00027624">
              <w:t>default drawdown strategy</w:t>
            </w:r>
            <w:r w:rsidR="00A8443E" w:rsidRPr="00027624">
              <w:t>’</w:t>
            </w:r>
            <w:r w:rsidRPr="00027624">
              <w:t>. However, increasing the minimum drawdown rates without providing longevity risk protection could lead to income shock for some retirees. Retirees would likely benefit more from a more tailored drawdown strategy that accounts for factors such as Age Pension eligibility, couple status and age of retirement, instead of a one</w:t>
            </w:r>
            <w:r w:rsidR="00A8443E" w:rsidRPr="00027624">
              <w:noBreakHyphen/>
            </w:r>
            <w:r w:rsidRPr="00027624">
              <w:t>size</w:t>
            </w:r>
            <w:r w:rsidR="00A8443E" w:rsidRPr="00027624">
              <w:noBreakHyphen/>
            </w:r>
            <w:r w:rsidRPr="00027624">
              <w:t>fits</w:t>
            </w:r>
            <w:r w:rsidR="00A8443E" w:rsidRPr="00027624">
              <w:noBreakHyphen/>
            </w:r>
            <w:r w:rsidRPr="00027624">
              <w:t xml:space="preserve">all drawdown rate. </w:t>
            </w:r>
          </w:p>
        </w:tc>
      </w:tr>
    </w:tbl>
    <w:p w14:paraId="0CB854B1" w14:textId="77777777" w:rsidR="002A2FAE" w:rsidRPr="00027624" w:rsidRDefault="002A2FAE"/>
    <w:p w14:paraId="1695D1A3" w14:textId="77777777" w:rsidR="0088764D" w:rsidRPr="00027624" w:rsidRDefault="0088764D">
      <w:pPr>
        <w:spacing w:before="0" w:after="160" w:line="259" w:lineRule="auto"/>
        <w:sectPr w:rsidR="0088764D" w:rsidRPr="00027624" w:rsidSect="001B6C0B">
          <w:type w:val="oddPage"/>
          <w:pgSz w:w="11906" w:h="16838" w:code="9"/>
          <w:pgMar w:top="1418" w:right="1418" w:bottom="1418" w:left="1418" w:header="709" w:footer="709" w:gutter="0"/>
          <w:cols w:space="708"/>
          <w:titlePg/>
          <w:docGrid w:linePitch="360"/>
        </w:sectPr>
      </w:pPr>
    </w:p>
    <w:p w14:paraId="0C980AB2" w14:textId="77777777" w:rsidR="002A2FAE" w:rsidRPr="00027624" w:rsidRDefault="002A2FAE" w:rsidP="001E724C">
      <w:pPr>
        <w:pStyle w:val="Heading1"/>
      </w:pPr>
      <w:bookmarkStart w:id="4169" w:name="_Toc45520553"/>
      <w:bookmarkStart w:id="4170" w:name="_Toc46133665"/>
      <w:r w:rsidRPr="00027624">
        <w:t>Policy scenario: Implications of changing Age Pension means test settings</w:t>
      </w:r>
      <w:bookmarkEnd w:id="4169"/>
      <w:bookmarkEnd w:id="4170"/>
    </w:p>
    <w:tbl>
      <w:tblPr>
        <w:tblW w:w="5000" w:type="pct"/>
        <w:tblLook w:val="01E0" w:firstRow="1" w:lastRow="1" w:firstColumn="1" w:lastColumn="1" w:noHBand="0" w:noVBand="0"/>
      </w:tblPr>
      <w:tblGrid>
        <w:gridCol w:w="9070"/>
      </w:tblGrid>
      <w:tr w:rsidR="002A2FAE" w:rsidRPr="00027624" w14:paraId="1481CAE1" w14:textId="77777777" w:rsidTr="002A2FAE">
        <w:tc>
          <w:tcPr>
            <w:tcW w:w="5000" w:type="pct"/>
            <w:shd w:val="clear" w:color="auto" w:fill="DFD7E7" w:themeFill="accent3" w:themeFillTint="33"/>
          </w:tcPr>
          <w:p w14:paraId="3FDF1625" w14:textId="77777777" w:rsidR="002A2FAE" w:rsidRPr="00E110FE" w:rsidRDefault="002A2FAE" w:rsidP="00E110FE">
            <w:pPr>
              <w:pStyle w:val="BoxHeading"/>
            </w:pPr>
            <w:r w:rsidRPr="00E110FE">
              <w:t>Section summary</w:t>
            </w:r>
          </w:p>
          <w:p w14:paraId="6C616E38" w14:textId="77777777" w:rsidR="002A2FAE" w:rsidRPr="00027624" w:rsidRDefault="002A2FAE" w:rsidP="002A2FAE">
            <w:pPr>
              <w:pStyle w:val="Heading4"/>
              <w:keepNext w:val="0"/>
              <w:spacing w:before="240"/>
            </w:pPr>
            <w:r w:rsidRPr="00027624">
              <w:t xml:space="preserve">A lower assets test taper rate </w:t>
            </w:r>
          </w:p>
          <w:p w14:paraId="70CE3FF2" w14:textId="77777777" w:rsidR="002A2FAE" w:rsidRPr="00027624" w:rsidRDefault="002A2FAE" w:rsidP="008D184F">
            <w:pPr>
              <w:pStyle w:val="BoxBullet"/>
            </w:pPr>
            <w:r w:rsidRPr="00027624">
              <w:rPr>
                <w:rFonts w:cs="Calibri"/>
                <w:b/>
              </w:rPr>
              <w:t>Many stakeholders supported lowering the assets test taper rate. The</w:t>
            </w:r>
            <w:r w:rsidRPr="00027624">
              <w:rPr>
                <w:b/>
              </w:rPr>
              <w:t xml:space="preserve"> short</w:t>
            </w:r>
            <w:r w:rsidR="00A8443E" w:rsidRPr="00027624">
              <w:rPr>
                <w:b/>
              </w:rPr>
              <w:noBreakHyphen/>
            </w:r>
            <w:r w:rsidRPr="00027624">
              <w:rPr>
                <w:b/>
              </w:rPr>
              <w:t>term benefits of a lower taper rate would primarily go to retirees in the upper half of the wealth distribution.</w:t>
            </w:r>
            <w:r w:rsidRPr="00027624">
              <w:t xml:space="preserve"> Lower wealth retirees who receive a full pension, or are means tested by income, would not be affected by changes to the assets test. </w:t>
            </w:r>
          </w:p>
          <w:p w14:paraId="33780C71" w14:textId="77777777" w:rsidR="002A2FAE" w:rsidRPr="00027624" w:rsidRDefault="002A2FAE" w:rsidP="008D184F">
            <w:pPr>
              <w:pStyle w:val="BoxBullet"/>
            </w:pPr>
            <w:r w:rsidRPr="00027624">
              <w:rPr>
                <w:b/>
                <w:bCs/>
              </w:rPr>
              <w:t>As the superannuation system matures, most retirees would receive additional income from a lower taper rate.</w:t>
            </w:r>
            <w:r w:rsidRPr="00027624">
              <w:rPr>
                <w:bCs/>
              </w:rPr>
              <w:t xml:space="preserve"> </w:t>
            </w:r>
            <w:r w:rsidRPr="00027624">
              <w:t>Almost two</w:t>
            </w:r>
            <w:r w:rsidR="00A8443E" w:rsidRPr="00027624">
              <w:noBreakHyphen/>
            </w:r>
            <w:r w:rsidRPr="00027624">
              <w:t>thirds of retirees are projected to receive a part</w:t>
            </w:r>
            <w:r w:rsidR="00A8443E" w:rsidRPr="00027624">
              <w:noBreakHyphen/>
            </w:r>
            <w:r w:rsidRPr="00027624">
              <w:t>pension by 2060 as a result of higher household assets.</w:t>
            </w:r>
            <w:r w:rsidRPr="00027624">
              <w:rPr>
                <w:bCs/>
              </w:rPr>
              <w:t xml:space="preserve"> </w:t>
            </w:r>
          </w:p>
          <w:p w14:paraId="1F8229B0" w14:textId="77777777" w:rsidR="002A2FAE" w:rsidRPr="00027624" w:rsidRDefault="002A2FAE" w:rsidP="008D184F">
            <w:pPr>
              <w:pStyle w:val="BoxBullet"/>
              <w:rPr>
                <w:rFonts w:asciiTheme="minorHAnsi" w:eastAsiaTheme="minorEastAsia" w:hAnsiTheme="minorHAnsi"/>
                <w:bCs/>
                <w:szCs w:val="22"/>
              </w:rPr>
            </w:pPr>
            <w:r w:rsidRPr="00027624">
              <w:rPr>
                <w:b/>
                <w:bCs/>
              </w:rPr>
              <w:t>A lower taper rate would increase replacement rates for middle</w:t>
            </w:r>
            <w:r w:rsidR="00A8443E" w:rsidRPr="00027624">
              <w:rPr>
                <w:b/>
                <w:bCs/>
              </w:rPr>
              <w:noBreakHyphen/>
            </w:r>
            <w:r w:rsidRPr="00027624">
              <w:rPr>
                <w:b/>
                <w:bCs/>
              </w:rPr>
              <w:t>income earners and increase fiscal costs.</w:t>
            </w:r>
            <w:r w:rsidRPr="00027624">
              <w:rPr>
                <w:bCs/>
              </w:rPr>
              <w:t xml:space="preserve"> </w:t>
            </w:r>
            <w:r w:rsidRPr="00027624">
              <w:t>Projections suggest replacement rates for this group would exceed the 65</w:t>
            </w:r>
            <w:r w:rsidR="00A8443E" w:rsidRPr="00027624">
              <w:noBreakHyphen/>
            </w:r>
            <w:r w:rsidRPr="00027624">
              <w:t>75 per cent benchmark under current policy settings. For illustrative purposes, the fiscal cost of lowering the taper rate to 2.25 per cent would be around $1 billion in 2019</w:t>
            </w:r>
            <w:r w:rsidR="00A8443E" w:rsidRPr="00027624">
              <w:noBreakHyphen/>
            </w:r>
            <w:r w:rsidRPr="00027624">
              <w:t>20.</w:t>
            </w:r>
            <w:r w:rsidRPr="00027624">
              <w:rPr>
                <w:bCs/>
              </w:rPr>
              <w:t xml:space="preserve"> </w:t>
            </w:r>
            <w:r w:rsidRPr="00027624">
              <w:t>This would grow to 0.20 per cent of GDP in the long term as the superannuation system matures and more households are affected by the assets test.</w:t>
            </w:r>
          </w:p>
          <w:p w14:paraId="5F860839" w14:textId="77777777" w:rsidR="002A2FAE" w:rsidRPr="00027624" w:rsidRDefault="002A2FAE" w:rsidP="008D184F">
            <w:pPr>
              <w:pStyle w:val="BoxBullet"/>
            </w:pPr>
            <w:r w:rsidRPr="00027624">
              <w:rPr>
                <w:rFonts w:cs="Calibri"/>
                <w:b/>
                <w:bCs/>
              </w:rPr>
              <w:t>A</w:t>
            </w:r>
            <w:r w:rsidRPr="00027624">
              <w:rPr>
                <w:b/>
                <w:bCs/>
              </w:rPr>
              <w:t xml:space="preserve"> lower taper rate would provide more reward for additional savings.</w:t>
            </w:r>
            <w:r w:rsidRPr="00027624">
              <w:rPr>
                <w:bCs/>
              </w:rPr>
              <w:t xml:space="preserve"> </w:t>
            </w:r>
            <w:r w:rsidRPr="00027624">
              <w:t xml:space="preserve">But evidence suggests savings behaviour may not change significantly in response. </w:t>
            </w:r>
          </w:p>
          <w:p w14:paraId="33F650E5" w14:textId="77777777" w:rsidR="002A2FAE" w:rsidRPr="00027624" w:rsidRDefault="002A2FAE" w:rsidP="008D184F">
            <w:pPr>
              <w:pStyle w:val="BoxBullet"/>
            </w:pPr>
            <w:r w:rsidRPr="00027624">
              <w:rPr>
                <w:b/>
                <w:bCs/>
              </w:rPr>
              <w:t>A lower taper rate would reduce incentives for retirees to draw down their assets in retirement.</w:t>
            </w:r>
            <w:r w:rsidRPr="00027624">
              <w:rPr>
                <w:bCs/>
              </w:rPr>
              <w:t xml:space="preserve"> </w:t>
            </w:r>
            <w:r w:rsidRPr="00027624">
              <w:t xml:space="preserve">The impact of this incentive on drawdowns is uncertain. It may be small in the presence of other behavioural factors, such as anchoring to minimum drawdown rates. </w:t>
            </w:r>
          </w:p>
          <w:p w14:paraId="0B8A2109" w14:textId="77777777" w:rsidR="002A2FAE" w:rsidRPr="00027624" w:rsidRDefault="002A2FAE" w:rsidP="002A2FAE">
            <w:pPr>
              <w:pStyle w:val="Heading4"/>
              <w:keepNext w:val="0"/>
            </w:pPr>
            <w:r w:rsidRPr="00027624">
              <w:t>Merged means test</w:t>
            </w:r>
          </w:p>
          <w:p w14:paraId="4D220074" w14:textId="77777777" w:rsidR="002A2FAE" w:rsidRPr="00027624" w:rsidRDefault="002A2FAE" w:rsidP="00DF66DA">
            <w:pPr>
              <w:pStyle w:val="BoxBullet"/>
            </w:pPr>
            <w:r w:rsidRPr="00027624">
              <w:rPr>
                <w:b/>
                <w:bCs/>
              </w:rPr>
              <w:t>Some stakeholders proposed merging the income and assets tests to reduce the complexity of the Age Pension means test.</w:t>
            </w:r>
            <w:r w:rsidRPr="00027624">
              <w:t xml:space="preserve"> Merging the income and assets tests would involve trade</w:t>
            </w:r>
            <w:r w:rsidR="00A8443E" w:rsidRPr="00027624">
              <w:noBreakHyphen/>
            </w:r>
            <w:r w:rsidRPr="00027624">
              <w:t>offs between the system</w:t>
            </w:r>
            <w:r w:rsidR="00A8443E" w:rsidRPr="00027624">
              <w:t>’</w:t>
            </w:r>
            <w:r w:rsidRPr="00027624">
              <w:t xml:space="preserve">s objective of adequacy, equity, sustainability and cohesion. </w:t>
            </w:r>
          </w:p>
          <w:p w14:paraId="2C784619" w14:textId="77777777" w:rsidR="002A2FAE" w:rsidRPr="00027624" w:rsidRDefault="002A2FAE" w:rsidP="00DF66DA">
            <w:pPr>
              <w:pStyle w:val="BoxBullet"/>
            </w:pPr>
            <w:r w:rsidRPr="00027624">
              <w:rPr>
                <w:b/>
                <w:bCs/>
              </w:rPr>
              <w:t xml:space="preserve">Abolishing the assets test </w:t>
            </w:r>
            <w:r w:rsidRPr="00027624">
              <w:rPr>
                <w:b/>
              </w:rPr>
              <w:t>would simplify the means</w:t>
            </w:r>
            <w:r w:rsidR="00A8443E" w:rsidRPr="00027624">
              <w:rPr>
                <w:b/>
              </w:rPr>
              <w:noBreakHyphen/>
            </w:r>
            <w:r w:rsidRPr="00027624">
              <w:rPr>
                <w:b/>
              </w:rPr>
              <w:t>testing arrangements.</w:t>
            </w:r>
            <w:r w:rsidRPr="00027624">
              <w:t xml:space="preserve"> But this would increase Age Pension expenditure and primarily benefit retirees with significant asset levels. </w:t>
            </w:r>
          </w:p>
          <w:p w14:paraId="1D25EC66" w14:textId="77777777" w:rsidR="002A2FAE" w:rsidRPr="00027624" w:rsidRDefault="002A2FAE" w:rsidP="00DF66DA">
            <w:pPr>
              <w:pStyle w:val="BoxBullet"/>
            </w:pPr>
            <w:r w:rsidRPr="00027624">
              <w:rPr>
                <w:b/>
              </w:rPr>
              <w:t>Replacing the assets test with a capital consumption component in the income test may improve equity.</w:t>
            </w:r>
            <w:r w:rsidRPr="00027624">
              <w:t xml:space="preserve"> But, depending on the design, it may increase complexity.</w:t>
            </w:r>
          </w:p>
          <w:p w14:paraId="52EACB30" w14:textId="77777777" w:rsidR="002A2FAE" w:rsidRPr="00027624" w:rsidRDefault="002A2FAE" w:rsidP="00DF66DA">
            <w:pPr>
              <w:pStyle w:val="BoxBullet"/>
              <w:rPr>
                <w:rFonts w:asciiTheme="minorHAnsi" w:eastAsiaTheme="minorEastAsia" w:hAnsiTheme="minorHAnsi"/>
                <w:b/>
              </w:rPr>
            </w:pPr>
            <w:r w:rsidRPr="00027624">
              <w:rPr>
                <w:b/>
              </w:rPr>
              <w:t>It would be challenging to design a merged means test that achieves the objective of the current dual means test but is less complex.</w:t>
            </w:r>
          </w:p>
        </w:tc>
      </w:tr>
    </w:tbl>
    <w:p w14:paraId="5250D66E" w14:textId="77777777" w:rsidR="002A2FAE" w:rsidRPr="00027624" w:rsidRDefault="002A2FAE" w:rsidP="002A2FAE">
      <w:pPr>
        <w:pStyle w:val="Heading2"/>
      </w:pPr>
      <w:bookmarkStart w:id="4171" w:name="_Toc45520554"/>
      <w:bookmarkStart w:id="4172" w:name="_Toc46133666"/>
      <w:r w:rsidRPr="00027624">
        <w:t>Outline of this section</w:t>
      </w:r>
      <w:bookmarkEnd w:id="4171"/>
      <w:bookmarkEnd w:id="4172"/>
      <w:r w:rsidRPr="00027624">
        <w:t xml:space="preserve"> </w:t>
      </w:r>
    </w:p>
    <w:p w14:paraId="023F18C0" w14:textId="77777777" w:rsidR="002A2FAE" w:rsidRPr="00027624" w:rsidRDefault="002A2FAE" w:rsidP="002A2FAE">
      <w:r w:rsidRPr="00027624">
        <w:t>A number of submissions called for a reduction in the Age Pension assets test taper rate. Others proposed merging the income and assets test. To improve understanding of the impact of changing the Age Pension means test settings, this section considers the implications of a lower assets test taper rate and the trade</w:t>
      </w:r>
      <w:r w:rsidR="00A8443E" w:rsidRPr="00027624">
        <w:noBreakHyphen/>
      </w:r>
      <w:r w:rsidRPr="00027624">
        <w:t xml:space="preserve">offs of merging the Age Pension income and assets tests. </w:t>
      </w:r>
    </w:p>
    <w:tbl>
      <w:tblPr>
        <w:tblW w:w="5000" w:type="pct"/>
        <w:tblLook w:val="01E0" w:firstRow="1" w:lastRow="1" w:firstColumn="1" w:lastColumn="1" w:noHBand="0" w:noVBand="0"/>
      </w:tblPr>
      <w:tblGrid>
        <w:gridCol w:w="9070"/>
      </w:tblGrid>
      <w:tr w:rsidR="002A2FAE" w:rsidRPr="00027624" w14:paraId="39F44471" w14:textId="77777777" w:rsidTr="0016495E">
        <w:tc>
          <w:tcPr>
            <w:tcW w:w="5000" w:type="pct"/>
            <w:shd w:val="clear" w:color="auto" w:fill="FFF8EA"/>
          </w:tcPr>
          <w:p w14:paraId="49A5289C" w14:textId="77777777" w:rsidR="002A2FAE" w:rsidRPr="00E110FE" w:rsidRDefault="002A2FAE" w:rsidP="00E110FE">
            <w:pPr>
              <w:pStyle w:val="BoxHeading"/>
            </w:pPr>
            <w:r w:rsidRPr="00E110FE">
              <w:t>Stakeholder views on the Age Pension means test</w:t>
            </w:r>
          </w:p>
          <w:p w14:paraId="6013BE9E" w14:textId="77777777" w:rsidR="002A2FAE" w:rsidRPr="00027624" w:rsidRDefault="002A2FAE" w:rsidP="002A2FAE">
            <w:r w:rsidRPr="00027624">
              <w:t>Most stakeholders who raised the Age Pension means testing supported lowering the taper rate. Many said the current taper rate excessively penalises middle</w:t>
            </w:r>
            <w:r w:rsidR="00A8443E" w:rsidRPr="00027624">
              <w:noBreakHyphen/>
            </w:r>
            <w:r w:rsidRPr="00027624">
              <w:t xml:space="preserve">income earners, with the high effective marginal tax rates discouraging saving. </w:t>
            </w:r>
            <w:r w:rsidRPr="00027624">
              <w:rPr>
                <w:rFonts w:asciiTheme="majorHAnsi" w:eastAsiaTheme="minorEastAsia" w:hAnsiTheme="majorHAnsi"/>
                <w:lang w:eastAsia="en-US"/>
              </w:rPr>
              <w:t>Others claimed it distorts incentives by encouraging spending to avoid the assets test, which may reduce self</w:t>
            </w:r>
            <w:r w:rsidR="00A8443E" w:rsidRPr="00027624">
              <w:rPr>
                <w:rFonts w:asciiTheme="majorHAnsi" w:eastAsiaTheme="minorEastAsia" w:hAnsiTheme="majorHAnsi"/>
                <w:lang w:eastAsia="en-US"/>
              </w:rPr>
              <w:noBreakHyphen/>
            </w:r>
            <w:r w:rsidRPr="00027624">
              <w:rPr>
                <w:rFonts w:asciiTheme="majorHAnsi" w:eastAsiaTheme="minorEastAsia" w:hAnsiTheme="majorHAnsi"/>
                <w:lang w:eastAsia="en-US"/>
              </w:rPr>
              <w:t xml:space="preserve">sufficiency and increase longevity risks. </w:t>
            </w:r>
          </w:p>
          <w:p w14:paraId="70848AFD" w14:textId="77777777" w:rsidR="002A2FAE" w:rsidRPr="00027624" w:rsidRDefault="002A2FAE" w:rsidP="002A2FAE">
            <w:r w:rsidRPr="00027624">
              <w:t xml:space="preserve">Some stakeholders said the taper rate means households with higher wealth can have lower incomes than </w:t>
            </w:r>
            <w:r w:rsidR="00B2720D" w:rsidRPr="00027624">
              <w:t>lower-wealth</w:t>
            </w:r>
            <w:r w:rsidRPr="00027624">
              <w:t xml:space="preserve"> households: </w:t>
            </w:r>
          </w:p>
          <w:p w14:paraId="27D4F2B7" w14:textId="77777777" w:rsidR="002A2FAE" w:rsidRPr="00027624" w:rsidRDefault="00A8443E" w:rsidP="002A2FAE">
            <w:pPr>
              <w:pStyle w:val="Quote"/>
            </w:pPr>
            <w:r w:rsidRPr="00027624">
              <w:t>‘</w:t>
            </w:r>
            <w:r w:rsidR="002A2FAE" w:rsidRPr="00027624">
              <w:t>The system as it stands is perverse. For many, the more they save the worse they are, because of the assets test taper rate.</w:t>
            </w:r>
            <w:r w:rsidRPr="00027624">
              <w:t>’</w:t>
            </w:r>
            <w:r w:rsidR="002A2FAE" w:rsidRPr="00027624">
              <w:br/>
            </w:r>
            <w:r w:rsidR="002A2FAE" w:rsidRPr="00027624">
              <w:rPr>
                <w:i w:val="0"/>
              </w:rPr>
              <w:fldChar w:fldCharType="begin"/>
            </w:r>
            <w:r w:rsidR="002A2FAE" w:rsidRPr="00027624">
              <w:rPr>
                <w:i w:val="0"/>
              </w:rPr>
              <w:instrText xml:space="preserve"> CITATION Nat20 \l 3081 </w:instrText>
            </w:r>
            <w:r w:rsidR="002A2FAE" w:rsidRPr="00027624">
              <w:rPr>
                <w:i w:val="0"/>
              </w:rPr>
              <w:fldChar w:fldCharType="separate"/>
            </w:r>
            <w:r w:rsidR="00E83F6E">
              <w:rPr>
                <w:i w:val="0"/>
                <w:noProof/>
              </w:rPr>
              <w:t xml:space="preserve"> </w:t>
            </w:r>
            <w:r w:rsidR="00E83F6E">
              <w:rPr>
                <w:noProof/>
              </w:rPr>
              <w:t>(National Seniors Australia, 2020)</w:t>
            </w:r>
            <w:r w:rsidR="002A2FAE" w:rsidRPr="00027624">
              <w:rPr>
                <w:i w:val="0"/>
              </w:rPr>
              <w:fldChar w:fldCharType="end"/>
            </w:r>
          </w:p>
          <w:p w14:paraId="2F70120D" w14:textId="77777777" w:rsidR="002A2FAE" w:rsidRPr="00027624" w:rsidRDefault="002A2FAE" w:rsidP="002A2FAE">
            <w:r w:rsidRPr="00027624">
              <w:t>Others raised fairness concerns, noting the assets test particularly affects middle</w:t>
            </w:r>
            <w:r w:rsidR="00A8443E" w:rsidRPr="00027624">
              <w:noBreakHyphen/>
            </w:r>
            <w:r w:rsidRPr="00027624">
              <w:t xml:space="preserve">income earners: </w:t>
            </w:r>
          </w:p>
          <w:p w14:paraId="79713FB5" w14:textId="77777777" w:rsidR="002A2FAE" w:rsidRPr="00027624" w:rsidRDefault="00A8443E" w:rsidP="002A2FAE">
            <w:pPr>
              <w:pStyle w:val="Quote"/>
            </w:pPr>
            <w:r w:rsidRPr="00027624">
              <w:t>‘</w:t>
            </w:r>
            <w:r w:rsidR="002A2FAE" w:rsidRPr="00027624">
              <w:t>Changes to the Age Pension assets test taper rate in 2017 demonstrate how the absence of an objective for the retirement income system created significant inequities for middle Australia that threaten the integrity of the system.</w:t>
            </w:r>
            <w:r w:rsidRPr="00027624">
              <w:t>’</w:t>
            </w:r>
            <w:r w:rsidR="002A2FAE" w:rsidRPr="00027624">
              <w:rPr>
                <w:i w:val="0"/>
              </w:rPr>
              <w:fldChar w:fldCharType="begin"/>
            </w:r>
            <w:r w:rsidR="002A2FAE" w:rsidRPr="00027624">
              <w:rPr>
                <w:i w:val="0"/>
              </w:rPr>
              <w:instrText xml:space="preserve"> CITATION AIS201 \l 3081 </w:instrText>
            </w:r>
            <w:r w:rsidR="002A2FAE" w:rsidRPr="00027624">
              <w:rPr>
                <w:i w:val="0"/>
              </w:rPr>
              <w:fldChar w:fldCharType="separate"/>
            </w:r>
            <w:r w:rsidR="00E83F6E">
              <w:rPr>
                <w:i w:val="0"/>
                <w:noProof/>
              </w:rPr>
              <w:t xml:space="preserve"> </w:t>
            </w:r>
            <w:r w:rsidR="00E83F6E">
              <w:rPr>
                <w:noProof/>
              </w:rPr>
              <w:t>(Australian Institute of Superannuation Trustees, 2020)</w:t>
            </w:r>
            <w:r w:rsidR="002A2FAE" w:rsidRPr="00027624">
              <w:rPr>
                <w:i w:val="0"/>
              </w:rPr>
              <w:fldChar w:fldCharType="end"/>
            </w:r>
          </w:p>
          <w:p w14:paraId="08A5EB6F" w14:textId="77777777" w:rsidR="002A2FAE" w:rsidRPr="00027624" w:rsidRDefault="002A2FAE" w:rsidP="002A2FAE">
            <w:r w:rsidRPr="00027624">
              <w:t xml:space="preserve">Some submissions supported a high taper rate, noting it would reduce Government expenditure and improve sustainability. </w:t>
            </w:r>
          </w:p>
          <w:p w14:paraId="6045AB5B" w14:textId="77777777" w:rsidR="002A2FAE" w:rsidRPr="00027624" w:rsidRDefault="002A2FAE" w:rsidP="002A2FAE">
            <w:r w:rsidRPr="00027624">
              <w:t>Some stakeholders disagreed that the $3 taper rate would lead to lower retirement incomes, pointing out that retirees with higher wealth can consume their assets and the system should encourage this.</w:t>
            </w:r>
          </w:p>
          <w:p w14:paraId="6BCBBE70" w14:textId="77777777" w:rsidR="002A2FAE" w:rsidRPr="00027624" w:rsidRDefault="002A2FAE" w:rsidP="002A2FAE">
            <w:pPr>
              <w:rPr>
                <w:b/>
                <w:szCs w:val="22"/>
              </w:rPr>
            </w:pPr>
            <w:r w:rsidRPr="00027624">
              <w:rPr>
                <w:szCs w:val="22"/>
              </w:rPr>
              <w:t>Some stakeholders advocated that a merged means test</w:t>
            </w:r>
            <w:r w:rsidRPr="00027624" w:rsidDel="000C137D">
              <w:rPr>
                <w:szCs w:val="22"/>
              </w:rPr>
              <w:t xml:space="preserve"> </w:t>
            </w:r>
            <w:r w:rsidRPr="00027624">
              <w:rPr>
                <w:szCs w:val="22"/>
              </w:rPr>
              <w:t>would be an improvement over the current dual means test as it would</w:t>
            </w:r>
            <w:r w:rsidRPr="00027624">
              <w:rPr>
                <w:b/>
                <w:szCs w:val="22"/>
              </w:rPr>
              <w:t>:</w:t>
            </w:r>
          </w:p>
          <w:p w14:paraId="0255BC9D" w14:textId="77777777" w:rsidR="002A2FAE" w:rsidRPr="00027624" w:rsidRDefault="002A2FAE" w:rsidP="00791570">
            <w:pPr>
              <w:pStyle w:val="Bullet"/>
            </w:pPr>
            <w:r w:rsidRPr="00027624">
              <w:t>Create a simpler means test framework, which may be easier to administer and understand</w:t>
            </w:r>
          </w:p>
          <w:p w14:paraId="2E317222" w14:textId="77777777" w:rsidR="002A2FAE" w:rsidRPr="00027624" w:rsidRDefault="002A2FAE" w:rsidP="00791570">
            <w:pPr>
              <w:pStyle w:val="Bullet"/>
            </w:pPr>
            <w:r w:rsidRPr="00027624">
              <w:t>Ensure a consistent measure of a person</w:t>
            </w:r>
            <w:r w:rsidR="00A8443E" w:rsidRPr="00027624">
              <w:t>’</w:t>
            </w:r>
            <w:r w:rsidRPr="00027624">
              <w:t xml:space="preserve">s total means. The current dual means test can result in people with different levels of assets and/or income receiving the same Age Pension </w:t>
            </w:r>
          </w:p>
        </w:tc>
      </w:tr>
    </w:tbl>
    <w:p w14:paraId="6AF27578" w14:textId="77777777" w:rsidR="002A2FAE" w:rsidRPr="00027624" w:rsidRDefault="002A2FAE" w:rsidP="002A2FAE">
      <w:pPr>
        <w:pStyle w:val="Heading2"/>
      </w:pPr>
      <w:bookmarkStart w:id="4173" w:name="_Toc45520555"/>
      <w:bookmarkStart w:id="4174" w:name="_Toc46133667"/>
      <w:r w:rsidRPr="00027624">
        <w:t>Design of the Age Pension means test</w:t>
      </w:r>
      <w:bookmarkEnd w:id="4173"/>
      <w:bookmarkEnd w:id="4174"/>
    </w:p>
    <w:p w14:paraId="7291754D" w14:textId="77777777" w:rsidR="002A2FAE" w:rsidRPr="00027624" w:rsidRDefault="002A2FAE" w:rsidP="002A2FAE">
      <w:pPr>
        <w:rPr>
          <w:rFonts w:cs="Calibri"/>
        </w:rPr>
      </w:pPr>
      <w:r w:rsidRPr="00027624">
        <w:rPr>
          <w:rFonts w:cs="Calibri"/>
          <w:szCs w:val="22"/>
        </w:rPr>
        <w:t>Means testing in the retirement income system reduces Age Pension payments based on retirees</w:t>
      </w:r>
      <w:r w:rsidR="00A8443E" w:rsidRPr="00027624">
        <w:rPr>
          <w:rFonts w:cs="Calibri"/>
          <w:szCs w:val="22"/>
        </w:rPr>
        <w:t>’</w:t>
      </w:r>
      <w:r w:rsidRPr="00027624">
        <w:rPr>
          <w:rFonts w:cs="Calibri"/>
          <w:szCs w:val="22"/>
        </w:rPr>
        <w:t xml:space="preserve"> income and assets. </w:t>
      </w:r>
      <w:r w:rsidRPr="00027624">
        <w:rPr>
          <w:rFonts w:cs="Calibri"/>
        </w:rPr>
        <w:t>The Age Pension means test consists of two elements, applying whichever test gives the lower rate of pension.</w:t>
      </w:r>
      <w:r w:rsidRPr="00027624">
        <w:rPr>
          <w:rStyle w:val="FootnoteReference"/>
          <w:rFonts w:cs="Calibri"/>
        </w:rPr>
        <w:footnoteReference w:id="321"/>
      </w:r>
    </w:p>
    <w:p w14:paraId="514DFCCA" w14:textId="77777777" w:rsidR="002A2FAE" w:rsidRPr="00027624" w:rsidRDefault="002A2FAE" w:rsidP="00791570">
      <w:pPr>
        <w:pStyle w:val="Bullet"/>
      </w:pPr>
      <w:r w:rsidRPr="00027624">
        <w:rPr>
          <w:b/>
          <w:bCs/>
        </w:rPr>
        <w:t>The income test</w:t>
      </w:r>
      <w:r w:rsidRPr="00027624">
        <w:t xml:space="preserve"> takes account of a retiree</w:t>
      </w:r>
      <w:r w:rsidR="00A8443E" w:rsidRPr="00027624">
        <w:t>’</w:t>
      </w:r>
      <w:r w:rsidRPr="00027624">
        <w:t>s income from employment and financial assets. The Age Pension payment is reduced by $0.50 a fortnight for each dollar of income over the income test free area.</w:t>
      </w:r>
    </w:p>
    <w:p w14:paraId="37E7A7ED" w14:textId="77777777" w:rsidR="002A2FAE" w:rsidRPr="00027624" w:rsidRDefault="002A2FAE" w:rsidP="00791570">
      <w:pPr>
        <w:pStyle w:val="Bullet"/>
      </w:pPr>
      <w:r w:rsidRPr="00027624">
        <w:rPr>
          <w:b/>
          <w:bCs/>
        </w:rPr>
        <w:t>The assets test</w:t>
      </w:r>
      <w:r w:rsidRPr="00027624">
        <w:t xml:space="preserve"> reduces a recipient</w:t>
      </w:r>
      <w:r w:rsidR="00A8443E" w:rsidRPr="00027624">
        <w:t>’</w:t>
      </w:r>
      <w:r w:rsidRPr="00027624">
        <w:t xml:space="preserve">s pension payment by $3 a fortnight for every $1,000 in assessable assets over the assets test free area. This rate of reduction in the Age Pension payment is known as the </w:t>
      </w:r>
      <w:r w:rsidR="00A8443E" w:rsidRPr="00027624">
        <w:t>‘</w:t>
      </w:r>
      <w:r w:rsidRPr="00027624">
        <w:t>assets test taper rate</w:t>
      </w:r>
      <w:r w:rsidR="00A8443E" w:rsidRPr="00027624">
        <w:t>’</w:t>
      </w:r>
      <w:r w:rsidRPr="00027624">
        <w:t>, which reduces the Age Pension at a rate of $7.80 for every $100 in assessable assets.</w:t>
      </w:r>
    </w:p>
    <w:p w14:paraId="4D220112" w14:textId="77777777" w:rsidR="002A2FAE" w:rsidRPr="00027624" w:rsidRDefault="002A2FAE" w:rsidP="00791570">
      <w:pPr>
        <w:pStyle w:val="Bullet"/>
      </w:pPr>
      <w:r w:rsidRPr="00027624">
        <w:t xml:space="preserve">Most people affected by the means test are income tested, with the assets test applying to those with significant wealth. This recognises the capacity of wealthy retirees to draw down their asset holdings to support their retirement (see </w:t>
      </w:r>
      <w:r w:rsidRPr="00027624">
        <w:rPr>
          <w:i/>
        </w:rPr>
        <w:t>2A: Design of Australia</w:t>
      </w:r>
      <w:r w:rsidR="00A8443E" w:rsidRPr="00027624">
        <w:rPr>
          <w:i/>
        </w:rPr>
        <w:t>’</w:t>
      </w:r>
      <w:r w:rsidRPr="00027624">
        <w:rPr>
          <w:i/>
        </w:rPr>
        <w:t>s retirement income system).</w:t>
      </w:r>
    </w:p>
    <w:p w14:paraId="2C8FDE71" w14:textId="77777777" w:rsidR="002A2FAE" w:rsidRPr="00027624" w:rsidRDefault="002A2FAE" w:rsidP="002A2FAE">
      <w:pPr>
        <w:rPr>
          <w:rFonts w:cs="Calibri"/>
        </w:rPr>
      </w:pPr>
      <w:r w:rsidRPr="00027624">
        <w:rPr>
          <w:rFonts w:cs="Calibri"/>
        </w:rPr>
        <w:t>As a large number of stakeholders advocated reducing the assets test taper rate, this section outlines some of the implications of a lower taper rate.</w:t>
      </w:r>
    </w:p>
    <w:p w14:paraId="265552CB" w14:textId="77777777" w:rsidR="002A2FAE" w:rsidRPr="00027624" w:rsidRDefault="002A2FAE" w:rsidP="002A2FAE">
      <w:pPr>
        <w:pStyle w:val="Heading2"/>
      </w:pPr>
      <w:bookmarkStart w:id="4175" w:name="_Toc45520556"/>
      <w:bookmarkStart w:id="4176" w:name="_Toc46133668"/>
      <w:r w:rsidRPr="00027624">
        <w:t>Implications of a lower assets test taper rate</w:t>
      </w:r>
      <w:bookmarkEnd w:id="4175"/>
      <w:bookmarkEnd w:id="4176"/>
    </w:p>
    <w:p w14:paraId="32560300" w14:textId="77777777" w:rsidR="002A2FAE" w:rsidRPr="00027624" w:rsidRDefault="002A2FAE" w:rsidP="002A2FAE">
      <w:pPr>
        <w:rPr>
          <w:rFonts w:cs="Calibri"/>
        </w:rPr>
      </w:pPr>
      <w:r w:rsidRPr="00027624">
        <w:rPr>
          <w:rFonts w:cs="Calibri"/>
        </w:rPr>
        <w:t xml:space="preserve">The current assets test taper rate has several strengths. It creates an incentive for retirees to use the assets they have saved for retirement, and helps ensure Age Pension payments go to those in need. Limiting eligibility contains the fiscal cost of the Age Pension. </w:t>
      </w:r>
    </w:p>
    <w:p w14:paraId="28BDD4E4" w14:textId="77777777" w:rsidR="002A2FAE" w:rsidRPr="00027624" w:rsidRDefault="002A2FAE" w:rsidP="002A2FAE">
      <w:pPr>
        <w:rPr>
          <w:rFonts w:cs="Calibri"/>
        </w:rPr>
      </w:pPr>
      <w:r w:rsidRPr="00027624">
        <w:rPr>
          <w:rFonts w:cs="Calibri"/>
        </w:rPr>
        <w:t>A number of stakeholders argued the current system could distort incentives to make additional superannuation savings for retirement and, under certain assumptions, lead to lower total income for retirees with higher balances</w:t>
      </w:r>
      <w:r w:rsidR="0036764A" w:rsidRPr="00027624">
        <w:rPr>
          <w:rFonts w:cs="Calibri"/>
        </w:rPr>
        <w:t xml:space="preserve"> (see </w:t>
      </w:r>
      <w:r w:rsidR="0036764A" w:rsidRPr="00027624">
        <w:rPr>
          <w:rFonts w:cs="Calibri"/>
          <w:i/>
          <w:iCs/>
        </w:rPr>
        <w:t>5A. Cohesion</w:t>
      </w:r>
      <w:r w:rsidR="0036764A" w:rsidRPr="00027624">
        <w:rPr>
          <w:rFonts w:cs="Calibri"/>
        </w:rPr>
        <w:t>)</w:t>
      </w:r>
      <w:r w:rsidRPr="00027624">
        <w:rPr>
          <w:rFonts w:cs="Calibri"/>
        </w:rPr>
        <w:t>. Many stakeholders pointed to high effective marginal tax rates due to the taper rate exceeding the expected return on savings.</w:t>
      </w:r>
    </w:p>
    <w:p w14:paraId="159D0A05" w14:textId="77777777" w:rsidR="002A2FAE" w:rsidRPr="00027624" w:rsidRDefault="002A2FAE" w:rsidP="002A2FAE">
      <w:pPr>
        <w:rPr>
          <w:rFonts w:cs="Calibri"/>
        </w:rPr>
      </w:pPr>
      <w:r w:rsidRPr="00027624">
        <w:rPr>
          <w:rFonts w:cs="Calibri"/>
        </w:rPr>
        <w:t xml:space="preserve">As the superannuation system matures, an increasing number of retirees will be assessed under the assets test. </w:t>
      </w:r>
      <w:r w:rsidRPr="00027624">
        <w:t>The proportion of part</w:t>
      </w:r>
      <w:r w:rsidR="00A8443E" w:rsidRPr="00027624">
        <w:noBreakHyphen/>
      </w:r>
      <w:r w:rsidRPr="00027624">
        <w:t>rate age pensioners who will be assets tested is projected to rise from about one</w:t>
      </w:r>
      <w:r w:rsidR="00A8443E" w:rsidRPr="00027624">
        <w:noBreakHyphen/>
      </w:r>
      <w:r w:rsidRPr="00027624">
        <w:t>third in 2020 to two</w:t>
      </w:r>
      <w:r w:rsidR="00A8443E" w:rsidRPr="00027624">
        <w:noBreakHyphen/>
      </w:r>
      <w:r w:rsidRPr="00027624">
        <w:t>thirds by 2060</w:t>
      </w:r>
      <w:r w:rsidRPr="00027624">
        <w:rPr>
          <w:rFonts w:cs="Calibri"/>
        </w:rPr>
        <w:t xml:space="preserve"> (see </w:t>
      </w:r>
      <w:r w:rsidRPr="00027624">
        <w:rPr>
          <w:rFonts w:cs="Calibri"/>
          <w:i/>
        </w:rPr>
        <w:t>4. Sustainability</w:t>
      </w:r>
      <w:r w:rsidRPr="00027624">
        <w:rPr>
          <w:rFonts w:cs="Calibri"/>
        </w:rPr>
        <w:t xml:space="preserve">). </w:t>
      </w:r>
    </w:p>
    <w:p w14:paraId="44961777" w14:textId="77777777" w:rsidR="002A2FAE" w:rsidRPr="00027624" w:rsidRDefault="002A2FAE" w:rsidP="002A2FAE">
      <w:pPr>
        <w:rPr>
          <w:rFonts w:cs="Calibri"/>
        </w:rPr>
      </w:pPr>
      <w:r w:rsidRPr="00027624">
        <w:rPr>
          <w:rFonts w:cs="Calibri"/>
        </w:rPr>
        <w:t>To consider the implications of changes to the taper rate, a scenario with a $2.25 taper rate was chosen for illustrative purposes. This is within the $2</w:t>
      </w:r>
      <w:r w:rsidR="00A8443E" w:rsidRPr="00027624">
        <w:rPr>
          <w:rFonts w:cs="Calibri"/>
        </w:rPr>
        <w:noBreakHyphen/>
      </w:r>
      <w:r w:rsidRPr="00027624">
        <w:rPr>
          <w:rFonts w:cs="Calibri"/>
        </w:rPr>
        <w:t>$2.25 range proposed by a number of stakeholders. For simplicity, the assets test free areas were maintained at their current levels.</w:t>
      </w:r>
    </w:p>
    <w:p w14:paraId="4D0F0C2B" w14:textId="77777777" w:rsidR="002A2FAE" w:rsidRPr="00027624" w:rsidRDefault="002A2FAE" w:rsidP="002A2FAE">
      <w:pPr>
        <w:pStyle w:val="Heading3"/>
      </w:pPr>
      <w:r w:rsidRPr="00027624">
        <w:t>Effect on adequacy</w:t>
      </w:r>
    </w:p>
    <w:p w14:paraId="5552A297" w14:textId="77777777" w:rsidR="002A2FAE" w:rsidRPr="00027624" w:rsidRDefault="002A2FAE" w:rsidP="002A2FAE">
      <w:pPr>
        <w:pStyle w:val="Heading4"/>
      </w:pPr>
      <w:r w:rsidRPr="00027624">
        <w:t>Short</w:t>
      </w:r>
      <w:r w:rsidR="00A8443E" w:rsidRPr="00027624">
        <w:noBreakHyphen/>
      </w:r>
      <w:r w:rsidRPr="00027624">
        <w:t>term impact on retirement income</w:t>
      </w:r>
    </w:p>
    <w:p w14:paraId="5E3453F2" w14:textId="77777777" w:rsidR="002A2FAE" w:rsidRPr="00027624" w:rsidRDefault="002A2FAE" w:rsidP="002A2FAE">
      <w:pPr>
        <w:rPr>
          <w:rFonts w:cs="Calibri"/>
        </w:rPr>
      </w:pPr>
      <w:r w:rsidRPr="00027624">
        <w:rPr>
          <w:rFonts w:cs="Calibri"/>
        </w:rPr>
        <w:t>Sixty</w:t>
      </w:r>
      <w:r w:rsidR="00A8443E" w:rsidRPr="00027624">
        <w:rPr>
          <w:rFonts w:cs="Calibri"/>
        </w:rPr>
        <w:noBreakHyphen/>
      </w:r>
      <w:r w:rsidRPr="00027624">
        <w:rPr>
          <w:rFonts w:cs="Calibri"/>
        </w:rPr>
        <w:t xml:space="preserve">one per cent of current Age Pension recipients have income and assets below the relevant free areas and receive a full Age Pension. This group would see no additional income from this change. </w:t>
      </w:r>
      <w:r w:rsidRPr="00027624">
        <w:rPr>
          <w:rFonts w:cs="Calibri"/>
          <w:b/>
        </w:rPr>
        <w:t>The immediate benefits of lowering the taper rate would go to part</w:t>
      </w:r>
      <w:r w:rsidR="00A8443E" w:rsidRPr="00027624">
        <w:rPr>
          <w:rFonts w:cs="Calibri"/>
          <w:b/>
        </w:rPr>
        <w:noBreakHyphen/>
      </w:r>
      <w:r w:rsidRPr="00027624">
        <w:rPr>
          <w:rFonts w:cs="Calibri"/>
          <w:b/>
        </w:rPr>
        <w:t xml:space="preserve">rate age pensioner recipients subject to the </w:t>
      </w:r>
      <w:r w:rsidRPr="00027624">
        <w:rPr>
          <w:rFonts w:cs="Calibri"/>
          <w:b/>
          <w:bCs/>
        </w:rPr>
        <w:t>assets</w:t>
      </w:r>
      <w:r w:rsidRPr="00027624">
        <w:rPr>
          <w:rFonts w:cs="Calibri"/>
          <w:b/>
        </w:rPr>
        <w:t xml:space="preserve"> test, who make up 13 per cent of all age pensioners</w:t>
      </w:r>
      <w:r w:rsidRPr="00027624">
        <w:rPr>
          <w:rFonts w:cs="Calibri"/>
        </w:rPr>
        <w:t xml:space="preserve">. </w:t>
      </w:r>
    </w:p>
    <w:p w14:paraId="188543A2" w14:textId="0C5A4D68" w:rsidR="002A2FAE" w:rsidRPr="00027624" w:rsidRDefault="002A2FAE" w:rsidP="002A2FAE">
      <w:pPr>
        <w:rPr>
          <w:rFonts w:cs="Calibri"/>
        </w:rPr>
      </w:pPr>
      <w:r w:rsidRPr="00027624">
        <w:rPr>
          <w:rFonts w:cs="Calibri"/>
        </w:rPr>
        <w:t>Retirees with assets just above the assets test cut</w:t>
      </w:r>
      <w:r w:rsidR="00A8443E" w:rsidRPr="00027624">
        <w:rPr>
          <w:rFonts w:cs="Calibri"/>
        </w:rPr>
        <w:noBreakHyphen/>
      </w:r>
      <w:r w:rsidRPr="00027624">
        <w:rPr>
          <w:rFonts w:cs="Calibri"/>
        </w:rPr>
        <w:t>off who currently receive no Age Pension would also benefit by starting to receive a small part</w:t>
      </w:r>
      <w:r w:rsidR="00A8443E" w:rsidRPr="00027624">
        <w:rPr>
          <w:rFonts w:cs="Calibri"/>
        </w:rPr>
        <w:noBreakHyphen/>
      </w:r>
      <w:r w:rsidRPr="00027624">
        <w:rPr>
          <w:rFonts w:cs="Calibri"/>
        </w:rPr>
        <w:t>pension</w:t>
      </w:r>
      <w:r w:rsidRPr="00027624" w:rsidDel="002028F0">
        <w:rPr>
          <w:rFonts w:cs="Calibri"/>
        </w:rPr>
        <w:t>.</w:t>
      </w:r>
      <w:r w:rsidRPr="00027624">
        <w:rPr>
          <w:rFonts w:cs="Calibri"/>
        </w:rPr>
        <w:t xml:space="preserve"> These retirees are in the top half of current retirees by wealth </w:t>
      </w:r>
      <w:r w:rsidRPr="00027624">
        <w:rPr>
          <w:rFonts w:cs="Calibri"/>
          <w:szCs w:val="22"/>
        </w:rPr>
        <w:t>(</w:t>
      </w:r>
      <w:r w:rsidRPr="00027624">
        <w:rPr>
          <w:rFonts w:cs="Calibri"/>
          <w:szCs w:val="22"/>
        </w:rPr>
        <w:fldChar w:fldCharType="begin"/>
      </w:r>
      <w:r w:rsidRPr="00027624">
        <w:rPr>
          <w:rFonts w:cs="Calibri"/>
          <w:szCs w:val="22"/>
        </w:rPr>
        <w:instrText xml:space="preserve"> REF _Ref42786030 \r \h  \* MERGEFORMAT </w:instrText>
      </w:r>
      <w:r w:rsidRPr="00027624">
        <w:rPr>
          <w:rFonts w:cs="Calibri"/>
          <w:szCs w:val="22"/>
        </w:rPr>
      </w:r>
      <w:r w:rsidRPr="00027624">
        <w:rPr>
          <w:rFonts w:cs="Calibri"/>
          <w:szCs w:val="22"/>
        </w:rPr>
        <w:fldChar w:fldCharType="separate"/>
      </w:r>
      <w:r w:rsidR="00891058">
        <w:rPr>
          <w:rFonts w:cs="Calibri"/>
          <w:szCs w:val="22"/>
        </w:rPr>
        <w:t>Chart 5B-1</w:t>
      </w:r>
      <w:r w:rsidRPr="00027624">
        <w:rPr>
          <w:rFonts w:cs="Calibri"/>
          <w:szCs w:val="22"/>
        </w:rPr>
        <w:fldChar w:fldCharType="end"/>
      </w:r>
      <w:r w:rsidRPr="00027624">
        <w:rPr>
          <w:rFonts w:cs="Calibri"/>
          <w:szCs w:val="22"/>
        </w:rPr>
        <w:t>).</w:t>
      </w:r>
      <w:r w:rsidRPr="00027624">
        <w:rPr>
          <w:rFonts w:cs="Calibri"/>
        </w:rPr>
        <w:t xml:space="preserve"> </w:t>
      </w:r>
    </w:p>
    <w:p w14:paraId="4B8053BA" w14:textId="77777777" w:rsidR="002A2FAE" w:rsidRPr="00027624" w:rsidRDefault="0036764A" w:rsidP="00FC7361">
      <w:pPr>
        <w:pStyle w:val="ChartMainHeading"/>
        <w:numPr>
          <w:ilvl w:val="2"/>
          <w:numId w:val="34"/>
        </w:numPr>
      </w:pPr>
      <w:bookmarkStart w:id="4177" w:name="_Ref40415456"/>
      <w:bookmarkStart w:id="4178" w:name="_Ref42786030"/>
      <w:r w:rsidRPr="00027624">
        <w:t>Change in asset</w:t>
      </w:r>
      <w:r w:rsidR="00A8443E" w:rsidRPr="00027624">
        <w:noBreakHyphen/>
      </w:r>
      <w:r w:rsidR="002A2FAE" w:rsidRPr="00027624">
        <w:t>tested area from current policy to $2.25 taper rate</w:t>
      </w:r>
      <w:bookmarkEnd w:id="4177"/>
      <w:r w:rsidR="002A2FAE" w:rsidRPr="00027624">
        <w:t xml:space="preserve"> by wealth </w:t>
      </w:r>
      <w:bookmarkEnd w:id="4178"/>
      <w:r w:rsidR="00A13B30" w:rsidRPr="00027624">
        <w:t>decile</w:t>
      </w:r>
    </w:p>
    <w:p w14:paraId="1518D10D" w14:textId="77777777" w:rsidR="00137EAB" w:rsidRPr="00137EAB" w:rsidRDefault="00137EAB" w:rsidP="00137EAB">
      <w:pPr>
        <w:pStyle w:val="ChartSecondHeading"/>
      </w:pPr>
      <w:r>
        <w:t>Assessable assets</w:t>
      </w:r>
    </w:p>
    <w:p w14:paraId="7418A853" w14:textId="77777777" w:rsidR="002A2FAE" w:rsidRPr="00027624" w:rsidRDefault="00713291" w:rsidP="00D60066">
      <w:pPr>
        <w:pStyle w:val="ChartGraphic"/>
      </w:pPr>
      <w:r>
        <w:rPr>
          <w:noProof/>
        </w:rPr>
        <w:drawing>
          <wp:inline distT="0" distB="0" distL="0" distR="0" wp14:anchorId="136B9925" wp14:editId="21DEDE09">
            <wp:extent cx="5585460" cy="2522220"/>
            <wp:effectExtent l="0" t="0" r="0" b="0"/>
            <wp:docPr id="679974620" name="Picture 679974620" descr="This chart shows how a change in the taper rate associated with the Age Pension assets test would affect those in different wealth deciles. It shows the greatest impact of the change would be to people in higher wealth deciles. " title="Chart 5B-1 Change in asset-tested area from current policy to $2.25 taper rate by wealth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70FE78BA" w14:textId="77777777" w:rsidR="002A2FAE" w:rsidRPr="00027624" w:rsidRDefault="002A2FAE" w:rsidP="002A2FAE">
      <w:pPr>
        <w:pStyle w:val="ChartorTableNote"/>
      </w:pPr>
      <w:r w:rsidRPr="00027624">
        <w:t xml:space="preserve">Note: Thresholds are for couples who are home owners as at June 2017. Assessable assets defined in the </w:t>
      </w:r>
      <w:r w:rsidR="00BE51D1" w:rsidRPr="00027624">
        <w:t>Survey of Income and Housing</w:t>
      </w:r>
      <w:r w:rsidRPr="00027624">
        <w:t xml:space="preserve"> as household wealth less value of the home. Source: Analysis of ABS Survey of Income and Housing Confidentialised Unit Record File, 2017</w:t>
      </w:r>
      <w:r w:rsidR="00A8443E" w:rsidRPr="00027624">
        <w:noBreakHyphen/>
      </w:r>
      <w:r w:rsidRPr="00027624">
        <w:t>18.</w:t>
      </w:r>
    </w:p>
    <w:p w14:paraId="6D6A6C15" w14:textId="77777777" w:rsidR="002A2FAE" w:rsidRPr="00027624" w:rsidRDefault="002A2FAE" w:rsidP="002A2FAE">
      <w:pPr>
        <w:pStyle w:val="Heading4"/>
      </w:pPr>
      <w:r w:rsidRPr="00027624">
        <w:t>Long</w:t>
      </w:r>
      <w:r w:rsidR="00A8443E" w:rsidRPr="00027624">
        <w:noBreakHyphen/>
      </w:r>
      <w:r w:rsidRPr="00027624">
        <w:t>term impact on retirement income</w:t>
      </w:r>
    </w:p>
    <w:p w14:paraId="26C14CDA" w14:textId="77B37DFE" w:rsidR="002A2FAE" w:rsidRPr="00027624" w:rsidRDefault="002A2FAE" w:rsidP="002A2FAE">
      <w:pPr>
        <w:rPr>
          <w:rFonts w:cs="Calibri"/>
        </w:rPr>
      </w:pPr>
      <w:r w:rsidRPr="00027624">
        <w:t xml:space="preserve">As the superannuation system matures, future retirees will have higher assets in retirement. </w:t>
      </w:r>
      <w:r w:rsidRPr="00027624" w:rsidDel="009158B6">
        <w:t xml:space="preserve">As a </w:t>
      </w:r>
      <w:r w:rsidRPr="00027624">
        <w:t>result</w:t>
      </w:r>
      <w:r w:rsidRPr="00027624" w:rsidDel="009158B6">
        <w:t xml:space="preserve">, </w:t>
      </w:r>
      <w:r w:rsidRPr="00027624">
        <w:t xml:space="preserve">an increasing proportion of future retirees are likely to be affected by the assets test for at least some of their retirement. A lower taper rate would benefit retirees further down the income distribution range. </w:t>
      </w:r>
      <w:r w:rsidRPr="00027624">
        <w:rPr>
          <w:rFonts w:cs="Calibri"/>
        </w:rPr>
        <w:t>By 2060, only people in the lowest 10 per cent of incomes would not benefit from a lower taper rate (</w:t>
      </w:r>
      <w:r w:rsidRPr="00027624">
        <w:rPr>
          <w:rFonts w:cs="Calibri"/>
        </w:rPr>
        <w:fldChar w:fldCharType="begin"/>
      </w:r>
      <w:r w:rsidRPr="00027624">
        <w:rPr>
          <w:rFonts w:cs="Calibri"/>
        </w:rPr>
        <w:instrText xml:space="preserve"> REF _Ref42785875 \r \h  \* MERGEFORMAT </w:instrText>
      </w:r>
      <w:r w:rsidRPr="00027624">
        <w:rPr>
          <w:rFonts w:cs="Calibri"/>
        </w:rPr>
      </w:r>
      <w:r w:rsidRPr="00027624">
        <w:rPr>
          <w:rFonts w:cs="Calibri"/>
        </w:rPr>
        <w:fldChar w:fldCharType="separate"/>
      </w:r>
      <w:r w:rsidR="00891058">
        <w:rPr>
          <w:rFonts w:cs="Calibri"/>
        </w:rPr>
        <w:t>Chart 5B-2</w:t>
      </w:r>
      <w:r w:rsidRPr="00027624">
        <w:rPr>
          <w:rFonts w:cs="Calibri"/>
        </w:rPr>
        <w:fldChar w:fldCharType="end"/>
      </w:r>
      <w:r w:rsidRPr="00027624">
        <w:rPr>
          <w:rFonts w:cs="Calibri"/>
        </w:rPr>
        <w:t>)</w:t>
      </w:r>
      <w:r w:rsidRPr="00027624">
        <w:t>.</w:t>
      </w:r>
    </w:p>
    <w:p w14:paraId="60AE1E56" w14:textId="77777777" w:rsidR="002A2FAE" w:rsidRPr="00027624" w:rsidRDefault="002A2FAE" w:rsidP="00FC7361">
      <w:pPr>
        <w:pStyle w:val="ChartMainHeading"/>
        <w:numPr>
          <w:ilvl w:val="2"/>
          <w:numId w:val="33"/>
        </w:numPr>
      </w:pPr>
      <w:bookmarkStart w:id="4179" w:name="_Ref42785875"/>
      <w:r w:rsidRPr="00027624">
        <w:t xml:space="preserve">Projected change in total Age Pension received under a $2.25 taper rate </w:t>
      </w:r>
      <w:bookmarkEnd w:id="4179"/>
    </w:p>
    <w:p w14:paraId="12CEAC9A" w14:textId="77777777" w:rsidR="002A2FAE" w:rsidRPr="00027624" w:rsidRDefault="00713291" w:rsidP="00D60066">
      <w:pPr>
        <w:pStyle w:val="ChartGraphic"/>
      </w:pPr>
      <w:r>
        <w:rPr>
          <w:noProof/>
        </w:rPr>
        <w:drawing>
          <wp:inline distT="0" distB="0" distL="0" distR="0" wp14:anchorId="7DF8BE95" wp14:editId="4AB446A0">
            <wp:extent cx="5532120" cy="2522220"/>
            <wp:effectExtent l="0" t="0" r="0" b="0"/>
            <wp:docPr id="679974621" name="Picture 679974621" descr="This chart shows how the change in the taper rate would affect different income percentiles: it shows the change increases Age Pension receipts for those in the 60th, 70th, and 80th income percentiles more than those in lower income percentiles. " title="Chart 5B-2 Projected change in total Age Pension received under a $2.25 taper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532120" cy="2522220"/>
                    </a:xfrm>
                    <a:prstGeom prst="rect">
                      <a:avLst/>
                    </a:prstGeom>
                    <a:noFill/>
                  </pic:spPr>
                </pic:pic>
              </a:graphicData>
            </a:graphic>
          </wp:inline>
        </w:drawing>
      </w:r>
    </w:p>
    <w:p w14:paraId="1DC03DE1" w14:textId="77777777" w:rsidR="002A2FAE" w:rsidRPr="00027624" w:rsidRDefault="002A2FAE" w:rsidP="00D60066">
      <w:pPr>
        <w:pStyle w:val="ChartorTableNote"/>
      </w:pPr>
      <w:r w:rsidRPr="00027624">
        <w:t>Note: Values are in 2019</w:t>
      </w:r>
      <w:r w:rsidR="00A8443E" w:rsidRPr="00027624">
        <w:noBreakHyphen/>
      </w:r>
      <w:r w:rsidRPr="00027624">
        <w:t>20 dollars, deflated using the review</w:t>
      </w:r>
      <w:r w:rsidR="00A8443E" w:rsidRPr="00027624">
        <w:t>’</w:t>
      </w:r>
      <w:r w:rsidRPr="00027624">
        <w:t>s mixed deflator. Higher</w:t>
      </w:r>
      <w:r w:rsidR="00A8443E" w:rsidRPr="00027624">
        <w:noBreakHyphen/>
      </w:r>
      <w:r w:rsidRPr="00027624">
        <w:t>income earners benefit from the lower taper rate because they draw down their assets to levels that make them eligible for a part</w:t>
      </w:r>
      <w:r w:rsidR="00A8443E" w:rsidRPr="00027624">
        <w:noBreakHyphen/>
      </w:r>
      <w:r w:rsidRPr="00027624">
        <w:t xml:space="preserve">rate Age Pension as they age (see </w:t>
      </w:r>
      <w:r w:rsidRPr="00027624">
        <w:rPr>
          <w:i/>
        </w:rPr>
        <w:t>Appendix 6A. Detailed modelling methods and assumptions)</w:t>
      </w:r>
      <w:r w:rsidRPr="00027624">
        <w:t>. Source: Cameo modelling undertaken for the review.</w:t>
      </w:r>
    </w:p>
    <w:p w14:paraId="7312A179" w14:textId="77777777" w:rsidR="00991CC6" w:rsidRPr="00027624" w:rsidRDefault="00991CC6" w:rsidP="00991CC6">
      <w:r w:rsidRPr="00027624">
        <w:t xml:space="preserve">Nevertheless, </w:t>
      </w:r>
      <w:r w:rsidRPr="00027624">
        <w:rPr>
          <w:rFonts w:cs="Calibri"/>
        </w:rPr>
        <w:t>most of the benefit of a lower taper rate would go to middle- to higher</w:t>
      </w:r>
      <w:r w:rsidRPr="00027624">
        <w:rPr>
          <w:rFonts w:cs="Calibri"/>
        </w:rPr>
        <w:noBreakHyphen/>
        <w:t xml:space="preserve">income retirees. </w:t>
      </w:r>
      <w:r w:rsidRPr="00027624">
        <w:t>A lower taper rate would increase eligibility for retirees with higher assets and increase income for retirees who receive part</w:t>
      </w:r>
      <w:r w:rsidRPr="00027624">
        <w:noBreakHyphen/>
        <w:t xml:space="preserve">pensions. </w:t>
      </w:r>
    </w:p>
    <w:p w14:paraId="2CC99CC3" w14:textId="77777777" w:rsidR="00991CC6" w:rsidRPr="00027624" w:rsidRDefault="00991CC6" w:rsidP="00991CC6">
      <w:r w:rsidRPr="00027624">
        <w:rPr>
          <w:b/>
          <w:bCs/>
        </w:rPr>
        <w:t>Retirees at the 60</w:t>
      </w:r>
      <w:r w:rsidRPr="00027624">
        <w:rPr>
          <w:b/>
          <w:bCs/>
          <w:vertAlign w:val="superscript"/>
        </w:rPr>
        <w:t>th</w:t>
      </w:r>
      <w:r w:rsidRPr="00027624">
        <w:rPr>
          <w:b/>
          <w:bCs/>
        </w:rPr>
        <w:t xml:space="preserve"> to 80</w:t>
      </w:r>
      <w:r w:rsidRPr="00027624">
        <w:rPr>
          <w:b/>
          <w:bCs/>
          <w:vertAlign w:val="superscript"/>
        </w:rPr>
        <w:t>th</w:t>
      </w:r>
      <w:r w:rsidRPr="00027624">
        <w:rPr>
          <w:b/>
          <w:bCs/>
        </w:rPr>
        <w:t xml:space="preserve"> income percentiles would see the largest increases in lifetime Age Pension payments from a lower taper rate</w:t>
      </w:r>
      <w:r w:rsidRPr="00027624">
        <w:t>. Since people in these percentiles spend more time than others in retirement receiving part</w:t>
      </w:r>
      <w:r w:rsidRPr="00027624">
        <w:noBreakHyphen/>
        <w:t>pensions, they would be most affected by a taper rate change.</w:t>
      </w:r>
    </w:p>
    <w:p w14:paraId="4D8FBDC7" w14:textId="77777777" w:rsidR="00991CC6" w:rsidRPr="00027624" w:rsidRDefault="00991CC6" w:rsidP="00991CC6">
      <w:r w:rsidRPr="00027624">
        <w:t>For example, a retiree at the 60</w:t>
      </w:r>
      <w:r w:rsidRPr="00027624">
        <w:rPr>
          <w:vertAlign w:val="superscript"/>
        </w:rPr>
        <w:t>th</w:t>
      </w:r>
      <w:r w:rsidRPr="00027624">
        <w:t xml:space="preserve"> percentile would receive no income from the pension when they began their retirement. Depending on the extent they draw down their assets, under a lower taper rate they would become eligible for a part</w:t>
      </w:r>
      <w:r w:rsidRPr="00027624">
        <w:noBreakHyphen/>
        <w:t>pension at an earlier age. The benefit of a lower taper rate is smaller for retirees whose assets drop below the assets test threshold earlier in retirement and, consequently, spend fewer years affected by the assets test.</w:t>
      </w:r>
    </w:p>
    <w:p w14:paraId="1E706C70" w14:textId="77777777" w:rsidR="002A2FAE" w:rsidRPr="00027624" w:rsidRDefault="002A2FAE" w:rsidP="002A2FAE">
      <w:pPr>
        <w:pStyle w:val="Heading4"/>
      </w:pPr>
      <w:r w:rsidRPr="00027624">
        <w:t>Replacement rates</w:t>
      </w:r>
    </w:p>
    <w:p w14:paraId="59FCC2CD" w14:textId="51BB20A8" w:rsidR="002A2FAE" w:rsidRPr="00027624" w:rsidRDefault="002A2FAE" w:rsidP="002A2FAE">
      <w:pPr>
        <w:rPr>
          <w:rFonts w:cs="Calibri"/>
        </w:rPr>
      </w:pPr>
      <w:r w:rsidRPr="00027624">
        <w:rPr>
          <w:rFonts w:cs="Calibri"/>
        </w:rPr>
        <w:t>It is estimated that a $2.25 taper rate would increase replacement rates for most income percentiles, primarily due to higher Age Pension payments (</w:t>
      </w:r>
      <w:r w:rsidRPr="00027624">
        <w:rPr>
          <w:rFonts w:cs="Calibri"/>
        </w:rPr>
        <w:fldChar w:fldCharType="begin"/>
      </w:r>
      <w:r w:rsidRPr="00027624">
        <w:rPr>
          <w:rFonts w:cs="Calibri"/>
        </w:rPr>
        <w:instrText xml:space="preserve"> REF _Ref42787194 \r \h  \* MERGEFORMAT </w:instrText>
      </w:r>
      <w:r w:rsidRPr="00027624">
        <w:rPr>
          <w:rFonts w:cs="Calibri"/>
        </w:rPr>
      </w:r>
      <w:r w:rsidRPr="00027624">
        <w:rPr>
          <w:rFonts w:cs="Calibri"/>
        </w:rPr>
        <w:fldChar w:fldCharType="separate"/>
      </w:r>
      <w:r w:rsidR="00891058">
        <w:rPr>
          <w:rFonts w:cs="Calibri"/>
        </w:rPr>
        <w:t>Chart 5B-3</w:t>
      </w:r>
      <w:r w:rsidRPr="00027624">
        <w:rPr>
          <w:rFonts w:cs="Calibri"/>
        </w:rPr>
        <w:fldChar w:fldCharType="end"/>
      </w:r>
      <w:r w:rsidRPr="00027624">
        <w:rPr>
          <w:rFonts w:cs="Calibri"/>
        </w:rPr>
        <w:t xml:space="preserve">). </w:t>
      </w:r>
      <w:r w:rsidRPr="00027624">
        <w:rPr>
          <w:rFonts w:cs="Calibri"/>
          <w:b/>
          <w:bCs/>
        </w:rPr>
        <w:t>The improvement would be largest for middle</w:t>
      </w:r>
      <w:r w:rsidR="00A8443E" w:rsidRPr="00027624">
        <w:rPr>
          <w:rFonts w:cs="Calibri"/>
          <w:b/>
          <w:bCs/>
        </w:rPr>
        <w:noBreakHyphen/>
      </w:r>
      <w:r w:rsidRPr="00027624">
        <w:rPr>
          <w:rFonts w:cs="Calibri"/>
          <w:b/>
          <w:bCs/>
        </w:rPr>
        <w:t>income retirees</w:t>
      </w:r>
      <w:r w:rsidRPr="00027624">
        <w:rPr>
          <w:rFonts w:cs="Calibri"/>
        </w:rPr>
        <w:t xml:space="preserve"> (40</w:t>
      </w:r>
      <w:r w:rsidRPr="00027624">
        <w:rPr>
          <w:rFonts w:cs="Calibri"/>
          <w:vertAlign w:val="superscript"/>
        </w:rPr>
        <w:t>th</w:t>
      </w:r>
      <w:r w:rsidRPr="00027624">
        <w:rPr>
          <w:rFonts w:cs="Calibri"/>
        </w:rPr>
        <w:t xml:space="preserve"> to 70</w:t>
      </w:r>
      <w:r w:rsidRPr="00027624">
        <w:rPr>
          <w:rFonts w:cs="Calibri"/>
          <w:vertAlign w:val="superscript"/>
        </w:rPr>
        <w:t>th</w:t>
      </w:r>
      <w:r w:rsidRPr="00027624">
        <w:rPr>
          <w:rFonts w:cs="Calibri"/>
        </w:rPr>
        <w:t xml:space="preserve"> percentiles), with replacement rates for the median</w:t>
      </w:r>
      <w:r w:rsidR="0036764A" w:rsidRPr="00027624">
        <w:rPr>
          <w:rFonts w:cs="Calibri"/>
        </w:rPr>
        <w:t>-</w:t>
      </w:r>
      <w:r w:rsidRPr="00027624">
        <w:rPr>
          <w:rFonts w:cs="Calibri"/>
        </w:rPr>
        <w:t>income retiree improving by around 3 percentage points. As middle</w:t>
      </w:r>
      <w:r w:rsidR="00A8443E" w:rsidRPr="00027624">
        <w:rPr>
          <w:rFonts w:cs="Calibri"/>
        </w:rPr>
        <w:noBreakHyphen/>
      </w:r>
      <w:r w:rsidRPr="00027624">
        <w:rPr>
          <w:rFonts w:cs="Calibri"/>
        </w:rPr>
        <w:t>income retirees spend a significant portion of their retirement accessing a part</w:t>
      </w:r>
      <w:r w:rsidR="00A8443E" w:rsidRPr="00027624">
        <w:rPr>
          <w:rFonts w:cs="Calibri"/>
        </w:rPr>
        <w:noBreakHyphen/>
      </w:r>
      <w:r w:rsidRPr="00027624">
        <w:rPr>
          <w:rFonts w:cs="Calibri"/>
        </w:rPr>
        <w:t>rate Age Pension, they are particularly affected by a change in means testing.</w:t>
      </w:r>
    </w:p>
    <w:p w14:paraId="50CA2291" w14:textId="77777777" w:rsidR="002A2FAE" w:rsidRPr="00027624" w:rsidRDefault="002A2FAE" w:rsidP="00FC7361">
      <w:pPr>
        <w:pStyle w:val="ChartMainHeading"/>
        <w:numPr>
          <w:ilvl w:val="2"/>
          <w:numId w:val="33"/>
        </w:numPr>
      </w:pPr>
      <w:bookmarkStart w:id="4180" w:name="_Ref42785899"/>
      <w:bookmarkStart w:id="4181" w:name="_Ref42787194"/>
      <w:bookmarkStart w:id="4182" w:name="_Ref40889458"/>
      <w:r w:rsidRPr="00027624">
        <w:t>Projected replacement rates for retirees by income percentile</w:t>
      </w:r>
      <w:bookmarkEnd w:id="4180"/>
      <w:bookmarkEnd w:id="4181"/>
    </w:p>
    <w:bookmarkEnd w:id="4182"/>
    <w:p w14:paraId="759CE452" w14:textId="77777777" w:rsidR="002A2FAE" w:rsidRPr="00027624" w:rsidRDefault="009E44B7" w:rsidP="00D60066">
      <w:pPr>
        <w:pStyle w:val="ChartGraphic"/>
        <w:rPr>
          <w:rFonts w:cs="Calibri"/>
          <w:szCs w:val="22"/>
        </w:rPr>
      </w:pPr>
      <w:r>
        <w:rPr>
          <w:rFonts w:cs="Calibri"/>
          <w:noProof/>
          <w:szCs w:val="22"/>
        </w:rPr>
        <w:drawing>
          <wp:inline distT="0" distB="0" distL="0" distR="0" wp14:anchorId="01064291" wp14:editId="6834715E">
            <wp:extent cx="5615940" cy="2522220"/>
            <wp:effectExtent l="0" t="0" r="3810" b="0"/>
            <wp:docPr id="679974622" name="Picture 679974622" descr="This chart shows the impact on replacement rates of a different asset-test taper rate. Replacement rates increase most for people in the 40th to 70th income percentiles. It shows that the replacement rates of lower income percentiles are not significantly affected by a change in the taper rate. " title="Chart 5B-3 Projected replacement rates for retire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15940" cy="2522220"/>
                    </a:xfrm>
                    <a:prstGeom prst="rect">
                      <a:avLst/>
                    </a:prstGeom>
                    <a:noFill/>
                  </pic:spPr>
                </pic:pic>
              </a:graphicData>
            </a:graphic>
          </wp:inline>
        </w:drawing>
      </w:r>
    </w:p>
    <w:p w14:paraId="1EF02137" w14:textId="77777777" w:rsidR="002A2FAE" w:rsidRPr="00027624" w:rsidRDefault="002A2FAE" w:rsidP="00D60066">
      <w:pPr>
        <w:pStyle w:val="ChartorTableNote"/>
      </w:pPr>
      <w:r w:rsidRPr="00027624">
        <w:t>Source: Cameo modelling undertaken for the review.</w:t>
      </w:r>
    </w:p>
    <w:p w14:paraId="7D370588" w14:textId="77777777" w:rsidR="002A2FAE" w:rsidRPr="00027624" w:rsidRDefault="002A2FAE" w:rsidP="002A2FAE">
      <w:pPr>
        <w:spacing w:after="0"/>
        <w:rPr>
          <w:i/>
        </w:rPr>
      </w:pPr>
      <w:r w:rsidRPr="00027624">
        <w:rPr>
          <w:rFonts w:cs="Calibri"/>
        </w:rPr>
        <w:t>For the 60</w:t>
      </w:r>
      <w:r w:rsidRPr="00027624">
        <w:rPr>
          <w:rFonts w:cs="Calibri"/>
          <w:vertAlign w:val="superscript"/>
        </w:rPr>
        <w:t>th</w:t>
      </w:r>
      <w:r w:rsidRPr="00027624">
        <w:rPr>
          <w:rFonts w:cs="Calibri"/>
        </w:rPr>
        <w:t xml:space="preserve"> percentile and below, the increase would result in replacement rates further exceeding the 65</w:t>
      </w:r>
      <w:r w:rsidR="00A8443E" w:rsidRPr="00027624">
        <w:rPr>
          <w:rFonts w:cs="Calibri"/>
        </w:rPr>
        <w:noBreakHyphen/>
      </w:r>
      <w:r w:rsidRPr="00027624">
        <w:rPr>
          <w:rFonts w:cs="Calibri"/>
        </w:rPr>
        <w:t xml:space="preserve">75 per cent benchmark for replacement rates (see </w:t>
      </w:r>
      <w:r w:rsidRPr="00027624">
        <w:rPr>
          <w:i/>
        </w:rPr>
        <w:t>2C. Maintaining standards of living in retirement</w:t>
      </w:r>
      <w:r w:rsidRPr="00027624">
        <w:rPr>
          <w:rFonts w:cs="Calibri"/>
        </w:rPr>
        <w:t xml:space="preserve">). This suggests the change is not needed for these retirees to achieve an adequate retirement income. </w:t>
      </w:r>
    </w:p>
    <w:p w14:paraId="42DC2858" w14:textId="77777777" w:rsidR="002A2FAE" w:rsidRPr="00027624" w:rsidRDefault="002A2FAE" w:rsidP="002A2FAE">
      <w:pPr>
        <w:rPr>
          <w:rFonts w:cs="Calibri"/>
        </w:rPr>
      </w:pPr>
      <w:r w:rsidRPr="00027624">
        <w:rPr>
          <w:rFonts w:cs="Calibri"/>
        </w:rPr>
        <w:t>Lower</w:t>
      </w:r>
      <w:r w:rsidR="00A8443E" w:rsidRPr="00027624">
        <w:rPr>
          <w:rFonts w:cs="Calibri"/>
        </w:rPr>
        <w:noBreakHyphen/>
      </w:r>
      <w:r w:rsidRPr="00027624">
        <w:rPr>
          <w:rFonts w:cs="Calibri"/>
        </w:rPr>
        <w:t>income retirees (30</w:t>
      </w:r>
      <w:r w:rsidRPr="00027624">
        <w:rPr>
          <w:rFonts w:cs="Calibri"/>
          <w:vertAlign w:val="superscript"/>
        </w:rPr>
        <w:t>th</w:t>
      </w:r>
      <w:r w:rsidRPr="00027624">
        <w:rPr>
          <w:rFonts w:cs="Calibri"/>
        </w:rPr>
        <w:t xml:space="preserve"> percentile and under) would mostly be unaffected by the taper rate change. This group does not accumulate enough assets to be affected by means testing for most of their retirement. Higher</w:t>
      </w:r>
      <w:r w:rsidR="00A8443E" w:rsidRPr="00027624">
        <w:rPr>
          <w:rFonts w:cs="Calibri"/>
        </w:rPr>
        <w:noBreakHyphen/>
      </w:r>
      <w:r w:rsidRPr="00027624">
        <w:rPr>
          <w:rFonts w:cs="Calibri"/>
        </w:rPr>
        <w:t xml:space="preserve">income retirees would see very little change in their replacement rates, as Age Pension payments are low compared with their retirement income. The high asset values for this group mean they do not access the Age Pension for significant portions of their retirement. </w:t>
      </w:r>
    </w:p>
    <w:p w14:paraId="13048E37" w14:textId="4E29B94C" w:rsidR="002A2FAE" w:rsidRPr="00027624" w:rsidRDefault="002A2FAE" w:rsidP="002A2FAE">
      <w:pPr>
        <w:rPr>
          <w:rFonts w:cs="Calibri"/>
        </w:rPr>
      </w:pPr>
      <w:r w:rsidRPr="00027624">
        <w:rPr>
          <w:rFonts w:cs="Calibri"/>
          <w:b/>
          <w:bCs/>
        </w:rPr>
        <w:t>The assets test taper rate change would affect couples differently to singles.</w:t>
      </w:r>
      <w:r w:rsidRPr="00027624">
        <w:rPr>
          <w:rFonts w:cs="Calibri"/>
        </w:rPr>
        <w:t xml:space="preserve"> For couples, the taper rate changes increase replacement rates at lower</w:t>
      </w:r>
      <w:r w:rsidR="00A8443E" w:rsidRPr="00027624">
        <w:rPr>
          <w:rFonts w:cs="Calibri"/>
        </w:rPr>
        <w:noBreakHyphen/>
      </w:r>
      <w:r w:rsidRPr="00027624">
        <w:rPr>
          <w:rFonts w:cs="Calibri"/>
        </w:rPr>
        <w:t>income deciles (</w:t>
      </w:r>
      <w:r w:rsidRPr="00027624">
        <w:rPr>
          <w:rFonts w:cs="Calibri"/>
        </w:rPr>
        <w:fldChar w:fldCharType="begin"/>
      </w:r>
      <w:r w:rsidRPr="00027624">
        <w:rPr>
          <w:rFonts w:cs="Calibri"/>
        </w:rPr>
        <w:instrText xml:space="preserve"> REF _Ref40889493 \r \h  \* MERGEFORMAT </w:instrText>
      </w:r>
      <w:r w:rsidRPr="00027624">
        <w:rPr>
          <w:rFonts w:cs="Calibri"/>
        </w:rPr>
      </w:r>
      <w:r w:rsidRPr="00027624">
        <w:rPr>
          <w:rFonts w:cs="Calibri"/>
        </w:rPr>
        <w:fldChar w:fldCharType="separate"/>
      </w:r>
      <w:r w:rsidR="00891058">
        <w:rPr>
          <w:rFonts w:cs="Calibri"/>
        </w:rPr>
        <w:t>Chart 5B-4</w:t>
      </w:r>
      <w:r w:rsidRPr="00027624">
        <w:rPr>
          <w:rFonts w:cs="Calibri"/>
        </w:rPr>
        <w:fldChar w:fldCharType="end"/>
      </w:r>
      <w:r w:rsidRPr="00027624">
        <w:rPr>
          <w:rFonts w:cs="Calibri"/>
        </w:rPr>
        <w:t xml:space="preserve">). </w:t>
      </w:r>
    </w:p>
    <w:p w14:paraId="30D08A14" w14:textId="77777777" w:rsidR="002A2FAE" w:rsidRPr="00027624" w:rsidRDefault="002A2FAE" w:rsidP="00FC7361">
      <w:pPr>
        <w:pStyle w:val="ChartMainHeading"/>
        <w:numPr>
          <w:ilvl w:val="2"/>
          <w:numId w:val="33"/>
        </w:numPr>
      </w:pPr>
      <w:bookmarkStart w:id="4183" w:name="_Ref40889493"/>
      <w:r w:rsidRPr="00027624">
        <w:t>Projected replacement rates for coupled retirees by income percentile</w:t>
      </w:r>
    </w:p>
    <w:bookmarkEnd w:id="4183"/>
    <w:p w14:paraId="4B4E00A6" w14:textId="77777777" w:rsidR="002A2FAE" w:rsidRPr="00027624" w:rsidRDefault="00A02F53" w:rsidP="00D60066">
      <w:pPr>
        <w:pStyle w:val="ChartGraphic"/>
        <w:rPr>
          <w:rFonts w:cs="Calibri"/>
          <w:szCs w:val="22"/>
        </w:rPr>
      </w:pPr>
      <w:r>
        <w:rPr>
          <w:rFonts w:cs="Calibri"/>
          <w:noProof/>
          <w:szCs w:val="22"/>
        </w:rPr>
        <w:drawing>
          <wp:inline distT="0" distB="0" distL="0" distR="0" wp14:anchorId="3EEE01EF" wp14:editId="4BCD0A83">
            <wp:extent cx="5760720" cy="2529840"/>
            <wp:effectExtent l="0" t="0" r="0" b="3810"/>
            <wp:docPr id="679974623" name="Picture 679974623" descr="This chart shows the change to the taper rate would improve replacement rates for retiree couples in all income percentiles except in the 10th and 90th income percentiles. " title="Chart 5B-4 Projected replacement rates for coupled retire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60720" cy="2529840"/>
                    </a:xfrm>
                    <a:prstGeom prst="rect">
                      <a:avLst/>
                    </a:prstGeom>
                    <a:noFill/>
                  </pic:spPr>
                </pic:pic>
              </a:graphicData>
            </a:graphic>
          </wp:inline>
        </w:drawing>
      </w:r>
    </w:p>
    <w:p w14:paraId="0A7BC2EA" w14:textId="77777777" w:rsidR="002A2FAE" w:rsidRPr="00027624" w:rsidRDefault="002A2FAE" w:rsidP="002A2FAE">
      <w:pPr>
        <w:pStyle w:val="ChartorTableNote"/>
      </w:pPr>
      <w:r w:rsidRPr="00027624">
        <w:t>Source: Cameo modelling undertaken for the review.</w:t>
      </w:r>
    </w:p>
    <w:p w14:paraId="48F13FFB" w14:textId="400C4F0B" w:rsidR="002A2FAE" w:rsidRPr="00027624" w:rsidRDefault="002A2FAE" w:rsidP="002A2FAE">
      <w:pPr>
        <w:rPr>
          <w:rFonts w:cs="Calibri"/>
        </w:rPr>
      </w:pPr>
      <w:r w:rsidRPr="00027624">
        <w:rPr>
          <w:rFonts w:cs="Calibri"/>
        </w:rPr>
        <w:t>The analysis for both singles and couples assumes that retirees efficiently draw down their assets in retirement (</w:t>
      </w:r>
      <w:r w:rsidRPr="00027624">
        <w:rPr>
          <w:rFonts w:cs="Calibri"/>
          <w:i/>
        </w:rPr>
        <w:t>Appendix 6A. Detailed modelling methods and assumptions)</w:t>
      </w:r>
      <w:r w:rsidRPr="00027624">
        <w:rPr>
          <w:rFonts w:cs="Calibri"/>
        </w:rPr>
        <w:t>. If drawdowns were instead at legislated minimum rates, the taper rate change would provide a larger increase in replacement rates for middle</w:t>
      </w:r>
      <w:r w:rsidR="00A8443E" w:rsidRPr="00027624">
        <w:rPr>
          <w:rFonts w:cs="Calibri"/>
        </w:rPr>
        <w:noBreakHyphen/>
      </w:r>
      <w:r w:rsidRPr="00027624">
        <w:rPr>
          <w:rFonts w:cs="Calibri"/>
        </w:rPr>
        <w:t>income earners. Under lower drawdown rates</w:t>
      </w:r>
      <w:r w:rsidR="0036764A" w:rsidRPr="00027624">
        <w:rPr>
          <w:rFonts w:cs="Calibri"/>
        </w:rPr>
        <w:t>,</w:t>
      </w:r>
      <w:r w:rsidRPr="00027624">
        <w:rPr>
          <w:rFonts w:cs="Calibri"/>
        </w:rPr>
        <w:t xml:space="preserve"> middle</w:t>
      </w:r>
      <w:r w:rsidR="00A8443E" w:rsidRPr="00027624">
        <w:rPr>
          <w:rFonts w:cs="Calibri"/>
        </w:rPr>
        <w:noBreakHyphen/>
      </w:r>
      <w:r w:rsidRPr="00027624">
        <w:rPr>
          <w:rFonts w:cs="Calibri"/>
        </w:rPr>
        <w:t>income retirees maintain higher asset values for longer and therefore spend more of their retirement affected by means testing (</w:t>
      </w:r>
      <w:r w:rsidRPr="00027624">
        <w:rPr>
          <w:rFonts w:cs="Calibri"/>
        </w:rPr>
        <w:fldChar w:fldCharType="begin"/>
      </w:r>
      <w:r w:rsidRPr="00027624">
        <w:rPr>
          <w:rFonts w:cs="Calibri"/>
        </w:rPr>
        <w:instrText xml:space="preserve"> REF _Ref40956047 \r \h  \* MERGEFORMAT </w:instrText>
      </w:r>
      <w:r w:rsidRPr="00027624">
        <w:rPr>
          <w:rFonts w:cs="Calibri"/>
        </w:rPr>
      </w:r>
      <w:r w:rsidRPr="00027624">
        <w:rPr>
          <w:rFonts w:cs="Calibri"/>
        </w:rPr>
        <w:fldChar w:fldCharType="separate"/>
      </w:r>
      <w:r w:rsidR="00891058">
        <w:rPr>
          <w:rFonts w:cs="Calibri"/>
        </w:rPr>
        <w:t>Chart 5B-5</w:t>
      </w:r>
      <w:r w:rsidRPr="00027624">
        <w:rPr>
          <w:rFonts w:cs="Calibri"/>
        </w:rPr>
        <w:fldChar w:fldCharType="end"/>
      </w:r>
      <w:r w:rsidRPr="00027624">
        <w:rPr>
          <w:rFonts w:cs="Calibri"/>
        </w:rPr>
        <w:t>).</w:t>
      </w:r>
    </w:p>
    <w:p w14:paraId="6A306A21" w14:textId="77777777" w:rsidR="002A2FAE" w:rsidRPr="00027624" w:rsidRDefault="002A2FAE" w:rsidP="00FC7361">
      <w:pPr>
        <w:pStyle w:val="ChartMainHeading"/>
        <w:numPr>
          <w:ilvl w:val="2"/>
          <w:numId w:val="33"/>
        </w:numPr>
      </w:pPr>
      <w:bookmarkStart w:id="4184" w:name="_Ref40956047"/>
      <w:r w:rsidRPr="00027624">
        <w:t>Projected replacement rate when assuming minimum drawdowns</w:t>
      </w:r>
      <w:bookmarkEnd w:id="4184"/>
      <w:r w:rsidRPr="00027624">
        <w:t xml:space="preserve"> for retirees by income percentile</w:t>
      </w:r>
    </w:p>
    <w:p w14:paraId="5E646E0C" w14:textId="77777777" w:rsidR="002A2FAE" w:rsidRPr="00027624" w:rsidRDefault="00A02F53" w:rsidP="00D60066">
      <w:pPr>
        <w:pStyle w:val="ChartGraphic"/>
        <w:rPr>
          <w:rFonts w:cs="Calibri"/>
        </w:rPr>
      </w:pPr>
      <w:r>
        <w:rPr>
          <w:rFonts w:cs="Calibri"/>
          <w:noProof/>
        </w:rPr>
        <w:drawing>
          <wp:inline distT="0" distB="0" distL="0" distR="0" wp14:anchorId="14191185" wp14:editId="20C1CB33">
            <wp:extent cx="5623560" cy="2522220"/>
            <wp:effectExtent l="0" t="0" r="0" b="0"/>
            <wp:docPr id="1888992928" name="Picture 1888992928" descr="This chart shows the impact on replacement rates when superannuation income is drawn down at the minimum draw down rates and the assets-test taper rate is lowered to $2.25. Replacement rates improve most for middle income percentiles under this scenario. " title="Chart 5B-5 Projected replacement rate when assuming minimum drawdowns for retire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23560" cy="2522220"/>
                    </a:xfrm>
                    <a:prstGeom prst="rect">
                      <a:avLst/>
                    </a:prstGeom>
                    <a:noFill/>
                  </pic:spPr>
                </pic:pic>
              </a:graphicData>
            </a:graphic>
          </wp:inline>
        </w:drawing>
      </w:r>
    </w:p>
    <w:p w14:paraId="4DDE9814" w14:textId="77777777" w:rsidR="002A2FAE" w:rsidRPr="00027624" w:rsidRDefault="002A2FAE" w:rsidP="002A2FAE">
      <w:pPr>
        <w:pStyle w:val="ChartorTableNote"/>
      </w:pPr>
      <w:r w:rsidRPr="00027624">
        <w:t>Source: Cameo modelling undertaken for the review.</w:t>
      </w:r>
    </w:p>
    <w:p w14:paraId="6F7D094F" w14:textId="77777777" w:rsidR="002A2FAE" w:rsidRPr="00027624" w:rsidRDefault="002A2FAE" w:rsidP="002A2FAE">
      <w:pPr>
        <w:pStyle w:val="Heading3"/>
      </w:pPr>
      <w:r w:rsidRPr="00027624">
        <w:t xml:space="preserve">Effect on equity </w:t>
      </w:r>
    </w:p>
    <w:p w14:paraId="2ADB17EF" w14:textId="77777777" w:rsidR="002A2FAE" w:rsidRPr="00027624" w:rsidRDefault="002A2FAE" w:rsidP="002A2FAE">
      <w:pPr>
        <w:pStyle w:val="Heading4"/>
      </w:pPr>
      <w:r w:rsidRPr="00027624">
        <w:t>Income equality in retirement</w:t>
      </w:r>
    </w:p>
    <w:p w14:paraId="3231E598" w14:textId="77777777" w:rsidR="002A2FAE" w:rsidRPr="00027624" w:rsidRDefault="002A2FAE" w:rsidP="002A2FAE">
      <w:pPr>
        <w:rPr>
          <w:rFonts w:cs="Calibri"/>
        </w:rPr>
      </w:pPr>
      <w:r w:rsidRPr="00027624">
        <w:rPr>
          <w:rFonts w:cs="Calibri"/>
          <w:b/>
          <w:bCs/>
        </w:rPr>
        <w:t>A lower taper rate would have a small effect on income inequality.</w:t>
      </w:r>
      <w:r w:rsidRPr="00027624">
        <w:rPr>
          <w:rFonts w:cs="Calibri"/>
        </w:rPr>
        <w:t xml:space="preserve"> It would </w:t>
      </w:r>
      <w:r w:rsidRPr="00027624">
        <w:t>decrease the retirement income gap between middle</w:t>
      </w:r>
      <w:r w:rsidR="0036764A" w:rsidRPr="00027624">
        <w:t>-</w:t>
      </w:r>
      <w:r w:rsidRPr="00027624">
        <w:t xml:space="preserve"> and higher</w:t>
      </w:r>
      <w:r w:rsidR="00A8443E" w:rsidRPr="00027624">
        <w:noBreakHyphen/>
      </w:r>
      <w:r w:rsidRPr="00027624">
        <w:t>income retirees, and increase the retirement income gap between lower</w:t>
      </w:r>
      <w:r w:rsidR="00A8443E" w:rsidRPr="00027624">
        <w:noBreakHyphen/>
      </w:r>
      <w:r w:rsidRPr="00027624">
        <w:t xml:space="preserve">income retirees and all other retirees. </w:t>
      </w:r>
    </w:p>
    <w:p w14:paraId="3F41D3C8" w14:textId="6750AD06" w:rsidR="002A2FAE" w:rsidRPr="00027624" w:rsidRDefault="002A2FAE" w:rsidP="002A2FAE">
      <w:r w:rsidRPr="00027624">
        <w:t>T</w:t>
      </w:r>
      <w:r w:rsidRPr="00027624">
        <w:rPr>
          <w:rFonts w:cs="Calibri"/>
        </w:rPr>
        <w:t>he magnitude of these changes would be small (</w:t>
      </w:r>
      <w:r w:rsidRPr="00027624">
        <w:rPr>
          <w:rFonts w:cs="Calibri"/>
        </w:rPr>
        <w:fldChar w:fldCharType="begin"/>
      </w:r>
      <w:r w:rsidRPr="00027624">
        <w:rPr>
          <w:rFonts w:cs="Calibri"/>
        </w:rPr>
        <w:instrText xml:space="preserve"> REF _Ref39771293 \r \h  \* MERGEFORMAT </w:instrText>
      </w:r>
      <w:r w:rsidRPr="00027624">
        <w:rPr>
          <w:rFonts w:cs="Calibri"/>
        </w:rPr>
      </w:r>
      <w:r w:rsidRPr="00027624">
        <w:rPr>
          <w:rFonts w:cs="Calibri"/>
        </w:rPr>
        <w:fldChar w:fldCharType="separate"/>
      </w:r>
      <w:r w:rsidR="00891058">
        <w:rPr>
          <w:rFonts w:cs="Calibri"/>
        </w:rPr>
        <w:t>Chart 5B-6</w:t>
      </w:r>
      <w:r w:rsidRPr="00027624">
        <w:rPr>
          <w:rFonts w:cs="Calibri"/>
        </w:rPr>
        <w:fldChar w:fldCharType="end"/>
      </w:r>
      <w:r w:rsidRPr="00027624">
        <w:rPr>
          <w:rFonts w:cs="Calibri"/>
        </w:rPr>
        <w:t>). For example, currently retirees in the 90</w:t>
      </w:r>
      <w:r w:rsidRPr="00027624">
        <w:rPr>
          <w:rFonts w:cs="Calibri"/>
          <w:vertAlign w:val="superscript"/>
        </w:rPr>
        <w:t>th</w:t>
      </w:r>
      <w:r w:rsidRPr="00027624">
        <w:rPr>
          <w:rFonts w:cs="Calibri"/>
        </w:rPr>
        <w:t xml:space="preserve"> income percentile are projected to have incomes 1.63 times that of median</w:t>
      </w:r>
      <w:r w:rsidR="0036764A" w:rsidRPr="00027624">
        <w:rPr>
          <w:rFonts w:cs="Calibri"/>
        </w:rPr>
        <w:t>-</w:t>
      </w:r>
      <w:r w:rsidRPr="00027624">
        <w:rPr>
          <w:rFonts w:cs="Calibri"/>
        </w:rPr>
        <w:t>income retirees. With the lower taper this would reduce to 1.60.</w:t>
      </w:r>
    </w:p>
    <w:p w14:paraId="5B667825" w14:textId="77777777" w:rsidR="002A2FAE" w:rsidRPr="00027624" w:rsidRDefault="002A2FAE" w:rsidP="00FC7361">
      <w:pPr>
        <w:pStyle w:val="ChartMainHeading"/>
        <w:numPr>
          <w:ilvl w:val="2"/>
          <w:numId w:val="33"/>
        </w:numPr>
        <w:rPr>
          <w:rFonts w:eastAsiaTheme="minorEastAsia"/>
        </w:rPr>
      </w:pPr>
      <w:bookmarkStart w:id="4185" w:name="_Ref39771293"/>
      <w:r w:rsidRPr="00027624">
        <w:rPr>
          <w:rFonts w:eastAsiaTheme="minorEastAsia"/>
        </w:rPr>
        <w:t>Projected average annual income of retirees by income percentile</w:t>
      </w:r>
      <w:bookmarkEnd w:id="4185"/>
    </w:p>
    <w:p w14:paraId="051C1124" w14:textId="77777777" w:rsidR="002A2FAE" w:rsidRPr="00027624" w:rsidRDefault="0063063F" w:rsidP="00D60066">
      <w:pPr>
        <w:pStyle w:val="ChartGraphic"/>
      </w:pPr>
      <w:r>
        <w:rPr>
          <w:noProof/>
        </w:rPr>
        <w:drawing>
          <wp:inline distT="0" distB="0" distL="0" distR="0" wp14:anchorId="459D19A0" wp14:editId="36ECEE82">
            <wp:extent cx="5615940" cy="2522220"/>
            <wp:effectExtent l="0" t="0" r="3810" b="0"/>
            <wp:docPr id="1888992929" name="Picture 1888992929" descr="The chart shows a lower taper rate would lead to a small increase in projected average annual income for retirees people at the middle- and higher- income percentiles." title="Chart 5B-6 Projected average annual income of retirees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15940" cy="2522220"/>
                    </a:xfrm>
                    <a:prstGeom prst="rect">
                      <a:avLst/>
                    </a:prstGeom>
                    <a:noFill/>
                  </pic:spPr>
                </pic:pic>
              </a:graphicData>
            </a:graphic>
          </wp:inline>
        </w:drawing>
      </w:r>
    </w:p>
    <w:p w14:paraId="20CA428F" w14:textId="77777777" w:rsidR="002A2FAE" w:rsidRPr="00027624" w:rsidRDefault="002A2FAE" w:rsidP="00D60066">
      <w:pPr>
        <w:pStyle w:val="ChartorTableNote"/>
      </w:pPr>
      <w:r w:rsidRPr="00027624">
        <w:t>Note: Values are in 2019</w:t>
      </w:r>
      <w:r w:rsidR="00A8443E" w:rsidRPr="00027624">
        <w:noBreakHyphen/>
      </w:r>
      <w:r w:rsidRPr="00027624">
        <w:t>20 dollars, deflated using the review</w:t>
      </w:r>
      <w:r w:rsidR="00A8443E" w:rsidRPr="00027624">
        <w:t>’</w:t>
      </w:r>
      <w:r w:rsidRPr="00027624">
        <w:t>s mixed deflator. Source: Cameo modelling undertaken for the review.</w:t>
      </w:r>
    </w:p>
    <w:p w14:paraId="0A682F6F" w14:textId="77777777" w:rsidR="002A2FAE" w:rsidRPr="00027624" w:rsidRDefault="002A2FAE" w:rsidP="002A2FAE">
      <w:pPr>
        <w:pStyle w:val="Heading4"/>
      </w:pPr>
      <w:r w:rsidRPr="00027624">
        <w:t>Groups that would benefit less from a lower taper rate</w:t>
      </w:r>
    </w:p>
    <w:p w14:paraId="59F073BD" w14:textId="3E715A63" w:rsidR="002A2FAE" w:rsidRPr="00027624" w:rsidRDefault="002A2FAE" w:rsidP="002A2FAE">
      <w:pPr>
        <w:rPr>
          <w:rFonts w:cs="Calibri"/>
        </w:rPr>
      </w:pPr>
      <w:r w:rsidRPr="00027624">
        <w:rPr>
          <w:rFonts w:cs="Calibri"/>
          <w:b/>
          <w:bCs/>
        </w:rPr>
        <w:t>A lower taper rate would increase the gender gap in retirement incomes at the lower end of the income distribution</w:t>
      </w:r>
      <w:r w:rsidRPr="00027624">
        <w:rPr>
          <w:rFonts w:cs="Calibri"/>
        </w:rPr>
        <w:t xml:space="preserve"> (</w:t>
      </w:r>
      <w:r w:rsidRPr="00027624">
        <w:rPr>
          <w:rFonts w:cs="Calibri"/>
        </w:rPr>
        <w:fldChar w:fldCharType="begin"/>
      </w:r>
      <w:r w:rsidRPr="00027624">
        <w:rPr>
          <w:rFonts w:cs="Calibri"/>
        </w:rPr>
        <w:instrText xml:space="preserve"> REF _Ref40198490 \r \h  \* MERGEFORMAT </w:instrText>
      </w:r>
      <w:r w:rsidRPr="00027624">
        <w:rPr>
          <w:rFonts w:cs="Calibri"/>
        </w:rPr>
      </w:r>
      <w:r w:rsidRPr="00027624">
        <w:rPr>
          <w:rFonts w:cs="Calibri"/>
        </w:rPr>
        <w:fldChar w:fldCharType="separate"/>
      </w:r>
      <w:r w:rsidR="00891058">
        <w:rPr>
          <w:rFonts w:cs="Calibri"/>
        </w:rPr>
        <w:t>Chart 5B-7</w:t>
      </w:r>
      <w:r w:rsidRPr="00027624">
        <w:rPr>
          <w:rFonts w:cs="Calibri"/>
        </w:rPr>
        <w:fldChar w:fldCharType="end"/>
      </w:r>
      <w:r w:rsidRPr="00027624">
        <w:rPr>
          <w:rFonts w:cs="Calibri"/>
        </w:rPr>
        <w:t>). This is because men at lower percentiles receive an asset</w:t>
      </w:r>
      <w:r w:rsidR="00A8443E" w:rsidRPr="00027624">
        <w:rPr>
          <w:rFonts w:cs="Calibri"/>
        </w:rPr>
        <w:noBreakHyphen/>
      </w:r>
      <w:r w:rsidRPr="00027624">
        <w:rPr>
          <w:rFonts w:cs="Calibri"/>
        </w:rPr>
        <w:t xml:space="preserve">tested rate of Age Pension for more of their retirement than women, benefiting more from a lower taper rate. In comparison, at higher percentiles, a lower taper rate would marginally narrow the gender gap in retirement incomes. Men spend more time than women not receiving any Age Pension and would therefore benefit less from the change. </w:t>
      </w:r>
    </w:p>
    <w:p w14:paraId="7894FF43" w14:textId="77777777" w:rsidR="002A2FAE" w:rsidRPr="00027624" w:rsidRDefault="002A2FAE" w:rsidP="00FC7361">
      <w:pPr>
        <w:pStyle w:val="ChartMainHeading"/>
        <w:numPr>
          <w:ilvl w:val="2"/>
          <w:numId w:val="33"/>
        </w:numPr>
      </w:pPr>
      <w:bookmarkStart w:id="4186" w:name="_Ref40198490"/>
      <w:r w:rsidRPr="00027624">
        <w:t>Projected effect of a taper rate change on the gender gap in annual average retirement incomes</w:t>
      </w:r>
      <w:bookmarkEnd w:id="4186"/>
    </w:p>
    <w:p w14:paraId="071192DF" w14:textId="77777777" w:rsidR="002A2FAE" w:rsidRPr="00027624" w:rsidRDefault="0063063F" w:rsidP="00D60066">
      <w:pPr>
        <w:pStyle w:val="ChartGraphic"/>
      </w:pPr>
      <w:r>
        <w:rPr>
          <w:noProof/>
        </w:rPr>
        <w:drawing>
          <wp:inline distT="0" distB="0" distL="0" distR="0" wp14:anchorId="3A86D3D5" wp14:editId="61796DB7">
            <wp:extent cx="5577840" cy="2522220"/>
            <wp:effectExtent l="0" t="0" r="3810" b="0"/>
            <wp:docPr id="1888992930" name="Picture 1888992930" descr="This chart shows that under the scenario of a change to the taper rate there would be a higher gender gap in annual average retirement incomes at lower income percentiles, and less of a gender gap in annual average retirement incomes at higher income percentiles. " title="Chart 5B-7 Projected effect of a taper rate change on the gender gap in annual average retirement in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483C2D48" w14:textId="77777777" w:rsidR="002A2FAE" w:rsidRPr="00027624" w:rsidRDefault="002A2FAE" w:rsidP="002A2FAE">
      <w:pPr>
        <w:pStyle w:val="ChartorTableNote"/>
      </w:pPr>
      <w:r w:rsidRPr="00027624">
        <w:t>Note: Gender gaps are calculated relative to men</w:t>
      </w:r>
      <w:r w:rsidR="00A8443E" w:rsidRPr="00027624">
        <w:t>’</w:t>
      </w:r>
      <w:r w:rsidRPr="00027624">
        <w:t>s retirement incomes. A 10 per cent gender gap in retirement incomes means that women</w:t>
      </w:r>
      <w:r w:rsidR="00A8443E" w:rsidRPr="00027624">
        <w:t>’</w:t>
      </w:r>
      <w:r w:rsidRPr="00027624">
        <w:t>s incomes are 90 per cent of men</w:t>
      </w:r>
      <w:r w:rsidR="00A8443E" w:rsidRPr="00027624">
        <w:t>’</w:t>
      </w:r>
      <w:r w:rsidRPr="00027624">
        <w:t xml:space="preserve">s incomes. For more detail on the adjustments to the cameo model for gender analysis, see </w:t>
      </w:r>
      <w:r w:rsidRPr="00027624">
        <w:rPr>
          <w:i/>
        </w:rPr>
        <w:t xml:space="preserve">Appendix 6A. Detailed modelling methods </w:t>
      </w:r>
      <w:r w:rsidRPr="00027624">
        <w:rPr>
          <w:i/>
          <w:iCs/>
        </w:rPr>
        <w:t>and assumptions.</w:t>
      </w:r>
      <w:r w:rsidRPr="00027624">
        <w:t xml:space="preserve"> Source: Cameo modelling undertaken for the review.</w:t>
      </w:r>
    </w:p>
    <w:p w14:paraId="47A20CCE" w14:textId="77777777" w:rsidR="002A2FAE" w:rsidRPr="00027624" w:rsidRDefault="002A2FAE" w:rsidP="002A2FAE">
      <w:r w:rsidRPr="00027624">
        <w:t xml:space="preserve">Under the scenario assessed, the median woman would receive a 2.5 per cent increase in average annual retirement income from a lower taper rate, compared to the 3.7 per cent increase in average annual retirement income received by the median man. </w:t>
      </w:r>
    </w:p>
    <w:p w14:paraId="2ED21906" w14:textId="77777777" w:rsidR="002A2FAE" w:rsidRPr="00027624" w:rsidRDefault="002A2FAE" w:rsidP="002A2FAE">
      <w:pPr>
        <w:rPr>
          <w:rFonts w:cs="Calibri"/>
        </w:rPr>
      </w:pPr>
      <w:r w:rsidRPr="00027624">
        <w:rPr>
          <w:rFonts w:cs="Calibri"/>
        </w:rPr>
        <w:t>Other groups that are disproportionately represented among low</w:t>
      </w:r>
      <w:r w:rsidR="0036764A" w:rsidRPr="00027624">
        <w:rPr>
          <w:rFonts w:cs="Calibri"/>
        </w:rPr>
        <w:t>-</w:t>
      </w:r>
      <w:r w:rsidRPr="00027624">
        <w:rPr>
          <w:rFonts w:cs="Calibri"/>
        </w:rPr>
        <w:t xml:space="preserve">wealth retirees would benefit less from a lower taper rate. These groups include early retired households, Aboriginal and Torres Strait Islanders people and people with disabilities. </w:t>
      </w:r>
    </w:p>
    <w:p w14:paraId="4D16BB05" w14:textId="77777777" w:rsidR="002A2FAE" w:rsidRPr="00027624" w:rsidRDefault="002A2FAE" w:rsidP="002A2FAE">
      <w:pPr>
        <w:pStyle w:val="Heading3"/>
      </w:pPr>
      <w:r w:rsidRPr="00027624">
        <w:t>Effect on sustainability</w:t>
      </w:r>
    </w:p>
    <w:p w14:paraId="7C117F5C" w14:textId="77777777" w:rsidR="002A2FAE" w:rsidRPr="00027624" w:rsidRDefault="002A2FAE" w:rsidP="002A2FAE">
      <w:pPr>
        <w:pStyle w:val="Heading4"/>
      </w:pPr>
      <w:r w:rsidRPr="00027624">
        <w:t>Fiscal cost</w:t>
      </w:r>
    </w:p>
    <w:p w14:paraId="464FF6BD" w14:textId="6EB3F5D7" w:rsidR="002A2FAE" w:rsidRPr="00027624" w:rsidRDefault="002A2FAE" w:rsidP="002A2FAE">
      <w:pPr>
        <w:spacing w:before="0"/>
        <w:rPr>
          <w:rFonts w:cs="Calibri"/>
        </w:rPr>
      </w:pPr>
      <w:r w:rsidRPr="00027624">
        <w:rPr>
          <w:rFonts w:cs="Calibri"/>
          <w:b/>
          <w:bCs/>
        </w:rPr>
        <w:t>Lowering the taper rate would come with a fiscal cost.</w:t>
      </w:r>
      <w:r w:rsidRPr="00027624">
        <w:rPr>
          <w:rFonts w:cs="Calibri"/>
        </w:rPr>
        <w:t xml:space="preserve"> For example, the fiscal cost of lowering the taper rate to $2.25 in 2019</w:t>
      </w:r>
      <w:r w:rsidR="00A8443E" w:rsidRPr="00027624">
        <w:rPr>
          <w:rFonts w:cs="Calibri"/>
        </w:rPr>
        <w:noBreakHyphen/>
      </w:r>
      <w:r w:rsidRPr="00027624">
        <w:rPr>
          <w:rFonts w:cs="Calibri"/>
        </w:rPr>
        <w:t>20 would be around $1 billion (0.05 per cent of GDP). This is projected to grow to 0.1 per cent of GDP in 2029</w:t>
      </w:r>
      <w:r w:rsidR="00A8443E" w:rsidRPr="00027624">
        <w:rPr>
          <w:rFonts w:cs="Calibri"/>
        </w:rPr>
        <w:noBreakHyphen/>
      </w:r>
      <w:r w:rsidRPr="00027624">
        <w:rPr>
          <w:rFonts w:cs="Calibri"/>
        </w:rPr>
        <w:t>30 and 0.2 per cent of GDP in 2059</w:t>
      </w:r>
      <w:r w:rsidR="00A8443E" w:rsidRPr="00027624">
        <w:rPr>
          <w:rFonts w:cs="Calibri"/>
        </w:rPr>
        <w:noBreakHyphen/>
      </w:r>
      <w:r w:rsidRPr="00027624">
        <w:rPr>
          <w:rFonts w:cs="Calibri"/>
        </w:rPr>
        <w:t xml:space="preserve">60 as the </w:t>
      </w:r>
      <w:r w:rsidRPr="00027624">
        <w:t xml:space="preserve">superannuation system matures and households accumulate more assets </w:t>
      </w:r>
      <w:r w:rsidRPr="00027624">
        <w:rPr>
          <w:rFonts w:cs="Calibri"/>
        </w:rPr>
        <w:t>(</w:t>
      </w:r>
      <w:r w:rsidRPr="00027624">
        <w:rPr>
          <w:rFonts w:cs="Calibri"/>
        </w:rPr>
        <w:fldChar w:fldCharType="begin"/>
      </w:r>
      <w:r w:rsidRPr="00027624">
        <w:rPr>
          <w:rFonts w:cs="Calibri"/>
        </w:rPr>
        <w:instrText xml:space="preserve"> REF _Ref42786174 \r \h  \* MERGEFORMAT </w:instrText>
      </w:r>
      <w:r w:rsidRPr="00027624">
        <w:rPr>
          <w:rFonts w:cs="Calibri"/>
        </w:rPr>
      </w:r>
      <w:r w:rsidRPr="00027624">
        <w:rPr>
          <w:rFonts w:cs="Calibri"/>
        </w:rPr>
        <w:fldChar w:fldCharType="separate"/>
      </w:r>
      <w:r w:rsidR="00891058">
        <w:rPr>
          <w:rFonts w:cs="Calibri"/>
        </w:rPr>
        <w:t>Table 5B-2</w:t>
      </w:r>
      <w:r w:rsidRPr="00027624">
        <w:rPr>
          <w:rFonts w:cs="Calibri"/>
        </w:rPr>
        <w:fldChar w:fldCharType="end"/>
      </w:r>
      <w:r w:rsidRPr="00027624">
        <w:rPr>
          <w:rFonts w:cs="Calibri"/>
        </w:rPr>
        <w:t>)</w:t>
      </w:r>
      <w:r w:rsidRPr="00027624">
        <w:t>.</w:t>
      </w:r>
    </w:p>
    <w:p w14:paraId="04B9967E" w14:textId="77777777" w:rsidR="002A2FAE" w:rsidRPr="00027624" w:rsidRDefault="002A2FAE" w:rsidP="00791570">
      <w:pPr>
        <w:pStyle w:val="TableMainHeading"/>
        <w:rPr>
          <w:rFonts w:cs="Calibri"/>
          <w:szCs w:val="22"/>
        </w:rPr>
      </w:pPr>
      <w:bookmarkStart w:id="4187" w:name="_Ref42786174"/>
      <w:r w:rsidRPr="00027624">
        <w:rPr>
          <w:rFonts w:eastAsiaTheme="minorEastAsia"/>
        </w:rPr>
        <w:t>Indicative fiscal costs of reducing the assets test taper rate to $2.25</w:t>
      </w:r>
      <w:bookmarkEnd w:id="4187"/>
    </w:p>
    <w:tbl>
      <w:tblPr>
        <w:tblW w:w="8972" w:type="dxa"/>
        <w:tblLook w:val="01E0" w:firstRow="1" w:lastRow="1" w:firstColumn="1" w:lastColumn="1" w:noHBand="0" w:noVBand="0"/>
      </w:tblPr>
      <w:tblGrid>
        <w:gridCol w:w="2682"/>
        <w:gridCol w:w="1762"/>
        <w:gridCol w:w="1132"/>
        <w:gridCol w:w="1132"/>
        <w:gridCol w:w="1132"/>
        <w:gridCol w:w="1132"/>
      </w:tblGrid>
      <w:tr w:rsidR="002A2FAE" w:rsidRPr="00027624" w14:paraId="28B21D9B" w14:textId="77777777" w:rsidTr="002A2FAE">
        <w:trPr>
          <w:trHeight w:val="270"/>
          <w:tblHeader/>
        </w:trPr>
        <w:tc>
          <w:tcPr>
            <w:tcW w:w="0" w:type="auto"/>
            <w:shd w:val="clear" w:color="auto" w:fill="E5E5E5"/>
          </w:tcPr>
          <w:p w14:paraId="5ECF0D7A" w14:textId="77777777" w:rsidR="002A2FAE" w:rsidRPr="00027624" w:rsidRDefault="002A2FAE" w:rsidP="002A2FAE">
            <w:pPr>
              <w:pStyle w:val="TableColumnHeadingCentred"/>
            </w:pPr>
          </w:p>
        </w:tc>
        <w:tc>
          <w:tcPr>
            <w:tcW w:w="0" w:type="auto"/>
            <w:shd w:val="clear" w:color="auto" w:fill="E5E5E5"/>
          </w:tcPr>
          <w:p w14:paraId="4844F9E1" w14:textId="77777777" w:rsidR="002A2FAE" w:rsidRPr="00027624" w:rsidRDefault="002A2FAE" w:rsidP="002A2FAE">
            <w:pPr>
              <w:pStyle w:val="TableColumnHeadingCentred"/>
            </w:pPr>
            <w:r w:rsidRPr="00027624">
              <w:t>2019</w:t>
            </w:r>
            <w:r w:rsidR="00A8443E" w:rsidRPr="00027624">
              <w:noBreakHyphen/>
            </w:r>
            <w:r w:rsidRPr="00027624">
              <w:t>20</w:t>
            </w:r>
          </w:p>
        </w:tc>
        <w:tc>
          <w:tcPr>
            <w:tcW w:w="1132" w:type="dxa"/>
            <w:shd w:val="clear" w:color="auto" w:fill="E5E5E5"/>
          </w:tcPr>
          <w:p w14:paraId="1933108C" w14:textId="77777777" w:rsidR="002A2FAE" w:rsidRPr="00027624" w:rsidRDefault="002A2FAE" w:rsidP="002A2FAE">
            <w:pPr>
              <w:pStyle w:val="TableColumnHeadingCentred"/>
            </w:pPr>
            <w:r w:rsidRPr="00027624">
              <w:t>2029</w:t>
            </w:r>
            <w:r w:rsidR="00A8443E" w:rsidRPr="00027624">
              <w:noBreakHyphen/>
            </w:r>
            <w:r w:rsidRPr="00027624">
              <w:t>30</w:t>
            </w:r>
          </w:p>
        </w:tc>
        <w:tc>
          <w:tcPr>
            <w:tcW w:w="1132" w:type="dxa"/>
            <w:shd w:val="clear" w:color="auto" w:fill="E5E5E5"/>
          </w:tcPr>
          <w:p w14:paraId="570E7C3C" w14:textId="77777777" w:rsidR="002A2FAE" w:rsidRPr="00027624" w:rsidRDefault="002A2FAE" w:rsidP="002A2FAE">
            <w:pPr>
              <w:pStyle w:val="TableColumnHeadingCentred"/>
            </w:pPr>
            <w:r w:rsidRPr="00027624">
              <w:t>2039</w:t>
            </w:r>
            <w:r w:rsidR="00A8443E" w:rsidRPr="00027624">
              <w:noBreakHyphen/>
            </w:r>
            <w:r w:rsidRPr="00027624">
              <w:t>40</w:t>
            </w:r>
          </w:p>
        </w:tc>
        <w:tc>
          <w:tcPr>
            <w:tcW w:w="1132" w:type="dxa"/>
            <w:shd w:val="clear" w:color="auto" w:fill="E5E5E5"/>
          </w:tcPr>
          <w:p w14:paraId="61C0FE89" w14:textId="77777777" w:rsidR="002A2FAE" w:rsidRPr="00027624" w:rsidRDefault="002A2FAE" w:rsidP="002A2FAE">
            <w:pPr>
              <w:pStyle w:val="TableColumnHeadingCentred"/>
            </w:pPr>
            <w:r w:rsidRPr="00027624">
              <w:t>2049</w:t>
            </w:r>
            <w:r w:rsidR="00A8443E" w:rsidRPr="00027624">
              <w:noBreakHyphen/>
            </w:r>
            <w:r w:rsidRPr="00027624">
              <w:t>50</w:t>
            </w:r>
          </w:p>
        </w:tc>
        <w:tc>
          <w:tcPr>
            <w:tcW w:w="1132" w:type="dxa"/>
            <w:shd w:val="clear" w:color="auto" w:fill="E5E5E5"/>
          </w:tcPr>
          <w:p w14:paraId="43F1A775" w14:textId="77777777" w:rsidR="002A2FAE" w:rsidRPr="00027624" w:rsidRDefault="002A2FAE" w:rsidP="002A2FAE">
            <w:pPr>
              <w:pStyle w:val="TableColumnHeadingCentred"/>
            </w:pPr>
            <w:r w:rsidRPr="00027624">
              <w:t>2059</w:t>
            </w:r>
            <w:r w:rsidR="00A8443E" w:rsidRPr="00027624">
              <w:noBreakHyphen/>
            </w:r>
            <w:r w:rsidRPr="00027624">
              <w:t>60</w:t>
            </w:r>
          </w:p>
        </w:tc>
      </w:tr>
      <w:tr w:rsidR="002A2FAE" w:rsidRPr="00027624" w14:paraId="06F301F1" w14:textId="77777777" w:rsidTr="002A2FAE">
        <w:trPr>
          <w:trHeight w:val="270"/>
        </w:trPr>
        <w:tc>
          <w:tcPr>
            <w:tcW w:w="0" w:type="auto"/>
          </w:tcPr>
          <w:p w14:paraId="54267E93" w14:textId="77777777" w:rsidR="002A2FAE" w:rsidRPr="00027624" w:rsidRDefault="002A2FAE" w:rsidP="002A2FAE">
            <w:pPr>
              <w:pStyle w:val="TableTextLeft"/>
            </w:pPr>
            <w:r w:rsidRPr="00027624">
              <w:t>Total cost (per cent of GDP)</w:t>
            </w:r>
          </w:p>
        </w:tc>
        <w:tc>
          <w:tcPr>
            <w:tcW w:w="0" w:type="auto"/>
          </w:tcPr>
          <w:p w14:paraId="63D2C13D" w14:textId="77777777" w:rsidR="002A2FAE" w:rsidRPr="00027624" w:rsidRDefault="002A2FAE" w:rsidP="002A2FAE">
            <w:pPr>
              <w:pStyle w:val="TableTextCentered"/>
            </w:pPr>
            <w:r w:rsidRPr="00027624">
              <w:t xml:space="preserve">0.05 </w:t>
            </w:r>
            <w:r w:rsidRPr="00027624">
              <w:br/>
              <w:t>(about $1 billion)</w:t>
            </w:r>
          </w:p>
        </w:tc>
        <w:tc>
          <w:tcPr>
            <w:tcW w:w="1132" w:type="dxa"/>
          </w:tcPr>
          <w:p w14:paraId="274C3A52" w14:textId="77777777" w:rsidR="002A2FAE" w:rsidRPr="00027624" w:rsidRDefault="002A2FAE" w:rsidP="002A2FAE">
            <w:pPr>
              <w:pStyle w:val="TableTextCentered"/>
            </w:pPr>
            <w:r w:rsidRPr="00027624">
              <w:t>0.10</w:t>
            </w:r>
          </w:p>
        </w:tc>
        <w:tc>
          <w:tcPr>
            <w:tcW w:w="1132" w:type="dxa"/>
          </w:tcPr>
          <w:p w14:paraId="32662A9D" w14:textId="77777777" w:rsidR="002A2FAE" w:rsidRPr="00027624" w:rsidRDefault="002A2FAE" w:rsidP="002A2FAE">
            <w:pPr>
              <w:pStyle w:val="TableTextCentered"/>
            </w:pPr>
            <w:r w:rsidRPr="00027624">
              <w:t>0.12</w:t>
            </w:r>
          </w:p>
        </w:tc>
        <w:tc>
          <w:tcPr>
            <w:tcW w:w="1132" w:type="dxa"/>
          </w:tcPr>
          <w:p w14:paraId="147DA62D" w14:textId="77777777" w:rsidR="002A2FAE" w:rsidRPr="00027624" w:rsidRDefault="002A2FAE" w:rsidP="002A2FAE">
            <w:pPr>
              <w:pStyle w:val="TableTextCentered"/>
            </w:pPr>
            <w:r w:rsidRPr="00027624">
              <w:t>0.17</w:t>
            </w:r>
          </w:p>
        </w:tc>
        <w:tc>
          <w:tcPr>
            <w:tcW w:w="1132" w:type="dxa"/>
          </w:tcPr>
          <w:p w14:paraId="335CB75C" w14:textId="77777777" w:rsidR="002A2FAE" w:rsidRPr="00027624" w:rsidRDefault="002A2FAE" w:rsidP="002A2FAE">
            <w:pPr>
              <w:pStyle w:val="TableTextCentered"/>
            </w:pPr>
            <w:r w:rsidRPr="00027624">
              <w:t>0.20</w:t>
            </w:r>
          </w:p>
        </w:tc>
      </w:tr>
    </w:tbl>
    <w:p w14:paraId="339E32E6" w14:textId="77777777" w:rsidR="002A2FAE" w:rsidRPr="00027624" w:rsidRDefault="002A2FAE" w:rsidP="002A2FAE">
      <w:pPr>
        <w:spacing w:after="240"/>
        <w:rPr>
          <w:rFonts w:cs="Calibri"/>
          <w:szCs w:val="22"/>
        </w:rPr>
      </w:pPr>
      <w:r w:rsidRPr="00027624">
        <w:rPr>
          <w:rFonts w:cs="Calibri"/>
          <w:sz w:val="18"/>
          <w:szCs w:val="18"/>
        </w:rPr>
        <w:t>Note: This is a counterfactual analysis as if the Age Pension assets test taper rate was reduced from 1 July 2019. Source: D</w:t>
      </w:r>
      <w:r w:rsidR="0036764A" w:rsidRPr="00027624">
        <w:rPr>
          <w:rFonts w:cs="Calibri"/>
          <w:sz w:val="18"/>
          <w:szCs w:val="18"/>
        </w:rPr>
        <w:t xml:space="preserve">epartment </w:t>
      </w:r>
      <w:r w:rsidRPr="00027624">
        <w:rPr>
          <w:rFonts w:cs="Calibri"/>
          <w:sz w:val="18"/>
          <w:szCs w:val="18"/>
        </w:rPr>
        <w:t>S</w:t>
      </w:r>
      <w:r w:rsidR="0036764A" w:rsidRPr="00027624">
        <w:rPr>
          <w:rFonts w:cs="Calibri"/>
          <w:sz w:val="18"/>
          <w:szCs w:val="18"/>
        </w:rPr>
        <w:t xml:space="preserve">ocial </w:t>
      </w:r>
      <w:r w:rsidRPr="00027624">
        <w:rPr>
          <w:rFonts w:cs="Calibri"/>
          <w:sz w:val="18"/>
          <w:szCs w:val="18"/>
        </w:rPr>
        <w:t>S</w:t>
      </w:r>
      <w:r w:rsidR="0036764A" w:rsidRPr="00027624">
        <w:rPr>
          <w:rFonts w:cs="Calibri"/>
          <w:sz w:val="18"/>
          <w:szCs w:val="18"/>
        </w:rPr>
        <w:t>ervices</w:t>
      </w:r>
      <w:r w:rsidRPr="00027624">
        <w:rPr>
          <w:rFonts w:cs="Calibri"/>
          <w:sz w:val="18"/>
          <w:szCs w:val="18"/>
        </w:rPr>
        <w:t xml:space="preserve"> modelling for the review and analysis of Rice Warner estimates for the review.</w:t>
      </w:r>
    </w:p>
    <w:p w14:paraId="57136BCF" w14:textId="3F2869BB" w:rsidR="002A2FAE" w:rsidRPr="00027624" w:rsidRDefault="002A2FAE" w:rsidP="002A2FAE">
      <w:pPr>
        <w:spacing w:before="0"/>
        <w:rPr>
          <w:rFonts w:cs="Calibri"/>
        </w:rPr>
      </w:pPr>
      <w:r w:rsidRPr="00027624">
        <w:rPr>
          <w:rFonts w:cs="Calibri"/>
          <w:b/>
          <w:bCs/>
        </w:rPr>
        <w:t>The increased cost is due to higher Age Pension payments</w:t>
      </w:r>
      <w:r w:rsidRPr="00027624">
        <w:rPr>
          <w:rFonts w:cs="Calibri"/>
        </w:rPr>
        <w:t>. More retirees would become eligible to receive a part</w:t>
      </w:r>
      <w:r w:rsidR="00A8443E" w:rsidRPr="00027624">
        <w:rPr>
          <w:rFonts w:cs="Calibri"/>
        </w:rPr>
        <w:noBreakHyphen/>
      </w:r>
      <w:r w:rsidRPr="00027624">
        <w:rPr>
          <w:rFonts w:cs="Calibri"/>
        </w:rPr>
        <w:t>pension, and many would receive higher pension payments. The change would result in an increase of 8 percentage points in the proportion of people receiving a part</w:t>
      </w:r>
      <w:r w:rsidR="00A8443E" w:rsidRPr="00027624">
        <w:rPr>
          <w:rFonts w:cs="Calibri"/>
        </w:rPr>
        <w:noBreakHyphen/>
      </w:r>
      <w:r w:rsidRPr="00027624">
        <w:rPr>
          <w:rFonts w:cs="Calibri"/>
        </w:rPr>
        <w:t>rate Age Pension by 2059</w:t>
      </w:r>
      <w:r w:rsidR="00A8443E" w:rsidRPr="00027624">
        <w:rPr>
          <w:rFonts w:cs="Calibri"/>
        </w:rPr>
        <w:noBreakHyphen/>
      </w:r>
      <w:r w:rsidRPr="00027624">
        <w:rPr>
          <w:rFonts w:cs="Calibri"/>
        </w:rPr>
        <w:t>60 from around 21 per cent to around 29 per cent (</w:t>
      </w:r>
      <w:r w:rsidRPr="00027624">
        <w:rPr>
          <w:rFonts w:cs="Calibri"/>
        </w:rPr>
        <w:fldChar w:fldCharType="begin"/>
      </w:r>
      <w:r w:rsidRPr="00027624">
        <w:rPr>
          <w:rFonts w:cs="Calibri"/>
        </w:rPr>
        <w:instrText xml:space="preserve"> REF _Ref42786200 \r \h  \* MERGEFORMAT </w:instrText>
      </w:r>
      <w:r w:rsidRPr="00027624">
        <w:rPr>
          <w:rFonts w:cs="Calibri"/>
        </w:rPr>
      </w:r>
      <w:r w:rsidRPr="00027624">
        <w:rPr>
          <w:rFonts w:cs="Calibri"/>
        </w:rPr>
        <w:fldChar w:fldCharType="separate"/>
      </w:r>
      <w:r w:rsidR="00891058">
        <w:rPr>
          <w:rFonts w:cs="Calibri"/>
        </w:rPr>
        <w:t>Chart 5B-8</w:t>
      </w:r>
      <w:r w:rsidRPr="00027624">
        <w:rPr>
          <w:rFonts w:cs="Calibri"/>
        </w:rPr>
        <w:fldChar w:fldCharType="end"/>
      </w:r>
      <w:r w:rsidRPr="00027624">
        <w:rPr>
          <w:rFonts w:cs="Calibri"/>
        </w:rPr>
        <w:t xml:space="preserve">). </w:t>
      </w:r>
    </w:p>
    <w:p w14:paraId="1F1BBE44" w14:textId="77777777" w:rsidR="002A2FAE" w:rsidRPr="00027624" w:rsidRDefault="002A2FAE" w:rsidP="002A2FAE">
      <w:pPr>
        <w:spacing w:before="0"/>
        <w:rPr>
          <w:rFonts w:cs="Calibri"/>
        </w:rPr>
      </w:pPr>
      <w:r w:rsidRPr="00027624">
        <w:rPr>
          <w:rFonts w:cs="Calibri"/>
        </w:rPr>
        <w:t>If the free area of the assets test was unchanged, lowering the taper rate would have a negligible effect on the number of retirees receiving a full</w:t>
      </w:r>
      <w:r w:rsidR="00A8443E" w:rsidRPr="00027624">
        <w:rPr>
          <w:rFonts w:cs="Calibri"/>
        </w:rPr>
        <w:noBreakHyphen/>
      </w:r>
      <w:r w:rsidRPr="00027624">
        <w:rPr>
          <w:rFonts w:cs="Calibri"/>
        </w:rPr>
        <w:t>rate Age Pension.</w:t>
      </w:r>
    </w:p>
    <w:p w14:paraId="065EF6EC" w14:textId="77777777" w:rsidR="002A2FAE" w:rsidRPr="00027624" w:rsidRDefault="002A2FAE" w:rsidP="00FC7361">
      <w:pPr>
        <w:pStyle w:val="ChartMainHeading"/>
        <w:numPr>
          <w:ilvl w:val="2"/>
          <w:numId w:val="33"/>
        </w:numPr>
        <w:rPr>
          <w:rFonts w:eastAsiaTheme="minorEastAsia"/>
        </w:rPr>
      </w:pPr>
      <w:bookmarkStart w:id="4188" w:name="_Ref42786200"/>
      <w:r w:rsidRPr="00027624">
        <w:rPr>
          <w:rFonts w:eastAsiaTheme="minorEastAsia"/>
        </w:rPr>
        <w:t>Projected proportion of retirees on a full</w:t>
      </w:r>
      <w:r w:rsidR="00A8443E" w:rsidRPr="00027624">
        <w:rPr>
          <w:rFonts w:eastAsiaTheme="minorEastAsia"/>
        </w:rPr>
        <w:noBreakHyphen/>
      </w:r>
      <w:r w:rsidRPr="00027624">
        <w:rPr>
          <w:rFonts w:eastAsiaTheme="minorEastAsia"/>
        </w:rPr>
        <w:t xml:space="preserve"> and part</w:t>
      </w:r>
      <w:r w:rsidR="00A8443E" w:rsidRPr="00027624">
        <w:rPr>
          <w:rFonts w:eastAsiaTheme="minorEastAsia"/>
        </w:rPr>
        <w:noBreakHyphen/>
      </w:r>
      <w:r w:rsidRPr="00027624">
        <w:rPr>
          <w:rFonts w:eastAsiaTheme="minorEastAsia"/>
        </w:rPr>
        <w:t xml:space="preserve">rate </w:t>
      </w:r>
      <w:bookmarkEnd w:id="4188"/>
      <w:r w:rsidRPr="00027624">
        <w:rPr>
          <w:rFonts w:eastAsiaTheme="minorEastAsia"/>
        </w:rPr>
        <w:t>Age Pension</w:t>
      </w:r>
    </w:p>
    <w:p w14:paraId="04336267" w14:textId="77777777" w:rsidR="002A2FAE" w:rsidRPr="00027624" w:rsidRDefault="00353A95" w:rsidP="00D60066">
      <w:pPr>
        <w:pStyle w:val="ChartGraphic"/>
        <w:rPr>
          <w:rFonts w:cs="Calibri"/>
          <w:szCs w:val="22"/>
        </w:rPr>
      </w:pPr>
      <w:r>
        <w:rPr>
          <w:rFonts w:cs="Calibri"/>
          <w:noProof/>
          <w:szCs w:val="22"/>
        </w:rPr>
        <w:drawing>
          <wp:inline distT="0" distB="0" distL="0" distR="0" wp14:anchorId="0A72EF6F" wp14:editId="765822A7">
            <wp:extent cx="5875020" cy="2529840"/>
            <wp:effectExtent l="0" t="0" r="0" b="3810"/>
            <wp:docPr id="1888992931" name="Picture 1888992931" descr="This chart shows that under the change to the taper rate scenario there would fewer part-rate age pensioners over time (to 2059)." title="Chart 5B-8 Projected proportion of retirees on a full- and part-rate Age P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875020" cy="2529840"/>
                    </a:xfrm>
                    <a:prstGeom prst="rect">
                      <a:avLst/>
                    </a:prstGeom>
                    <a:noFill/>
                  </pic:spPr>
                </pic:pic>
              </a:graphicData>
            </a:graphic>
          </wp:inline>
        </w:drawing>
      </w:r>
    </w:p>
    <w:p w14:paraId="4252B267" w14:textId="77777777" w:rsidR="002A2FAE" w:rsidRPr="00027624" w:rsidRDefault="002A2FAE" w:rsidP="00D60066">
      <w:pPr>
        <w:pStyle w:val="ChartorTableNote"/>
      </w:pPr>
      <w:r w:rsidRPr="00027624">
        <w:t>Source: Analysis of Rice Warner estimates for the review.</w:t>
      </w:r>
    </w:p>
    <w:p w14:paraId="799300F7" w14:textId="77777777" w:rsidR="002A2FAE" w:rsidRPr="00027624" w:rsidRDefault="002A2FAE" w:rsidP="002A2FAE">
      <w:pPr>
        <w:pStyle w:val="Heading3"/>
      </w:pPr>
      <w:r w:rsidRPr="00027624">
        <w:t>Effect on cohesion</w:t>
      </w:r>
    </w:p>
    <w:p w14:paraId="179904FC" w14:textId="77777777" w:rsidR="002A2FAE" w:rsidRPr="00027624" w:rsidRDefault="002A2FAE" w:rsidP="002A2FAE">
      <w:pPr>
        <w:pStyle w:val="Heading4"/>
      </w:pPr>
      <w:r w:rsidRPr="00027624">
        <w:t>Incentives to save</w:t>
      </w:r>
    </w:p>
    <w:p w14:paraId="6460F7C2" w14:textId="4C689C98" w:rsidR="002A2FAE" w:rsidRPr="00027624" w:rsidRDefault="002A2FAE" w:rsidP="002A2FAE">
      <w:pPr>
        <w:spacing w:before="0"/>
        <w:rPr>
          <w:rFonts w:cs="Calibri"/>
        </w:rPr>
      </w:pPr>
      <w:r w:rsidRPr="00027624">
        <w:rPr>
          <w:rFonts w:cs="Calibri"/>
        </w:rPr>
        <w:t>Lowering the taper rate would increase the marginal benefit from saving for the 20</w:t>
      </w:r>
      <w:r w:rsidRPr="00027624">
        <w:rPr>
          <w:rFonts w:cs="Calibri"/>
          <w:vertAlign w:val="superscript"/>
        </w:rPr>
        <w:t>th</w:t>
      </w:r>
      <w:r w:rsidRPr="00027624">
        <w:rPr>
          <w:rFonts w:cs="Calibri"/>
        </w:rPr>
        <w:t xml:space="preserve"> to 40</w:t>
      </w:r>
      <w:r w:rsidRPr="00027624">
        <w:rPr>
          <w:rFonts w:cs="Calibri"/>
          <w:vertAlign w:val="superscript"/>
        </w:rPr>
        <w:t>th</w:t>
      </w:r>
      <w:r w:rsidR="0036764A" w:rsidRPr="00027624">
        <w:rPr>
          <w:rFonts w:cs="Calibri"/>
          <w:vertAlign w:val="superscript"/>
        </w:rPr>
        <w:t> </w:t>
      </w:r>
      <w:r w:rsidRPr="00027624">
        <w:rPr>
          <w:rFonts w:cs="Calibri"/>
        </w:rPr>
        <w:t>percentiles (</w:t>
      </w:r>
      <w:r w:rsidRPr="00027624">
        <w:rPr>
          <w:rFonts w:cs="Calibri"/>
        </w:rPr>
        <w:fldChar w:fldCharType="begin"/>
      </w:r>
      <w:r w:rsidRPr="00027624">
        <w:rPr>
          <w:rFonts w:cs="Calibri"/>
        </w:rPr>
        <w:instrText xml:space="preserve"> REF _Ref45276957 \r \h </w:instrText>
      </w:r>
      <w:r w:rsidR="00FA7639" w:rsidRPr="00027624">
        <w:rPr>
          <w:rFonts w:cs="Calibri"/>
        </w:rPr>
        <w:instrText xml:space="preserve"> \* MERGEFORMAT </w:instrText>
      </w:r>
      <w:r w:rsidRPr="00027624">
        <w:rPr>
          <w:rFonts w:cs="Calibri"/>
        </w:rPr>
      </w:r>
      <w:r w:rsidRPr="00027624">
        <w:rPr>
          <w:rFonts w:cs="Calibri"/>
        </w:rPr>
        <w:fldChar w:fldCharType="separate"/>
      </w:r>
      <w:r w:rsidR="00891058">
        <w:rPr>
          <w:rFonts w:cs="Calibri"/>
        </w:rPr>
        <w:t>Chart 5B-9</w:t>
      </w:r>
      <w:r w:rsidRPr="00027624">
        <w:rPr>
          <w:rFonts w:cs="Calibri"/>
        </w:rPr>
        <w:fldChar w:fldCharType="end"/>
      </w:r>
      <w:r w:rsidRPr="00027624">
        <w:rPr>
          <w:rFonts w:cs="Calibri"/>
        </w:rPr>
        <w:t xml:space="preserve">). These income groups would see a smaller reduction in their pension due to the increase in their assets. </w:t>
      </w:r>
      <w:r w:rsidRPr="00027624">
        <w:rPr>
          <w:rFonts w:eastAsia="Calibri" w:cs="Calibri"/>
        </w:rPr>
        <w:t>For the 50</w:t>
      </w:r>
      <w:r w:rsidRPr="00027624">
        <w:rPr>
          <w:rFonts w:eastAsia="Calibri" w:cs="Calibri"/>
          <w:vertAlign w:val="superscript"/>
        </w:rPr>
        <w:t>th</w:t>
      </w:r>
      <w:r w:rsidRPr="00027624">
        <w:rPr>
          <w:rFonts w:eastAsia="Calibri" w:cs="Calibri"/>
        </w:rPr>
        <w:t xml:space="preserve"> percentile and above, the lower taper rate would have little effect on their return on saving.</w:t>
      </w:r>
      <w:r w:rsidRPr="00027624">
        <w:rPr>
          <w:rStyle w:val="FootnoteReference"/>
          <w:rFonts w:eastAsia="Calibri" w:cs="Calibri"/>
          <w:szCs w:val="22"/>
        </w:rPr>
        <w:footnoteReference w:id="322"/>
      </w:r>
      <w:r w:rsidRPr="00027624">
        <w:rPr>
          <w:rFonts w:eastAsia="Calibri" w:cs="Calibri"/>
        </w:rPr>
        <w:t xml:space="preserve"> </w:t>
      </w:r>
    </w:p>
    <w:p w14:paraId="770DC0DD" w14:textId="77777777" w:rsidR="002A2FAE" w:rsidRPr="00027624" w:rsidRDefault="002A2FAE" w:rsidP="002A2FAE">
      <w:pPr>
        <w:spacing w:before="0"/>
        <w:rPr>
          <w:rFonts w:cs="Calibri"/>
        </w:rPr>
      </w:pPr>
      <w:r w:rsidRPr="00027624">
        <w:rPr>
          <w:rFonts w:cs="Calibri"/>
        </w:rPr>
        <w:t>While improving incentives to save for some, a lower taper rate may not meaningfully affect savings behaviour because:</w:t>
      </w:r>
    </w:p>
    <w:p w14:paraId="65ACD3FF" w14:textId="77777777" w:rsidR="002A2FAE" w:rsidRPr="00027624" w:rsidRDefault="002A2FAE" w:rsidP="002A2FAE">
      <w:pPr>
        <w:pStyle w:val="Bullet"/>
      </w:pPr>
      <w:r w:rsidRPr="00027624">
        <w:t xml:space="preserve">Even though the return from marginal savings improves, effective marginal tax rates on retirement savings remain high, maintaining the disincentive to save. </w:t>
      </w:r>
      <w:r w:rsidRPr="00027624">
        <w:rPr>
          <w:rFonts w:eastAsia="Calibri"/>
        </w:rPr>
        <w:t xml:space="preserve">Even with a taper rate as low as $1, the retirement income generated by saving $1,000 prior to retirement remains less than $1,000 of retirement income. </w:t>
      </w:r>
    </w:p>
    <w:p w14:paraId="324DC544" w14:textId="77777777" w:rsidR="002A2FAE" w:rsidRPr="00027624" w:rsidRDefault="002A2FAE" w:rsidP="002A2FAE">
      <w:pPr>
        <w:pStyle w:val="ListParagraph"/>
        <w:numPr>
          <w:ilvl w:val="0"/>
          <w:numId w:val="1"/>
        </w:numPr>
        <w:spacing w:after="240"/>
        <w:rPr>
          <w:rFonts w:eastAsia="Calibri"/>
        </w:rPr>
      </w:pPr>
      <w:r w:rsidRPr="00027624">
        <w:t xml:space="preserve">Many people of working age are not aware of or do not understand the assets test (see </w:t>
      </w:r>
      <w:r w:rsidRPr="00027624">
        <w:rPr>
          <w:rFonts w:cs="Calibri"/>
          <w:i/>
          <w:iCs/>
        </w:rPr>
        <w:t xml:space="preserve">5A. </w:t>
      </w:r>
      <w:r w:rsidRPr="00027624">
        <w:rPr>
          <w:rFonts w:cs="Calibri"/>
          <w:i/>
        </w:rPr>
        <w:t>Cohesion</w:t>
      </w:r>
      <w:r w:rsidRPr="00027624">
        <w:rPr>
          <w:rFonts w:cs="Calibri"/>
        </w:rPr>
        <w:t>)</w:t>
      </w:r>
      <w:r w:rsidRPr="00027624">
        <w:t>. Savings behaviour may not be affected if people do not understand the benefits and take them into account.</w:t>
      </w:r>
    </w:p>
    <w:p w14:paraId="6C957D32" w14:textId="77777777" w:rsidR="002A2FAE" w:rsidRPr="00991CC6" w:rsidRDefault="002A2FAE" w:rsidP="00991CC6">
      <w:pPr>
        <w:pStyle w:val="Bullet"/>
      </w:pPr>
      <w:r w:rsidRPr="00027624">
        <w:rPr>
          <w:rFonts w:asciiTheme="minorHAnsi" w:eastAsiaTheme="minorEastAsia" w:hAnsiTheme="minorHAnsi"/>
        </w:rPr>
        <w:t xml:space="preserve">Behavioural economics research suggests reactions to incentives are smaller when the effects are less noticeable </w:t>
      </w:r>
      <w:sdt>
        <w:sdtPr>
          <w:rPr>
            <w:rFonts w:asciiTheme="minorHAnsi" w:eastAsiaTheme="minorEastAsia" w:hAnsiTheme="minorHAnsi"/>
          </w:rPr>
          <w:id w:val="-1096175487"/>
          <w:citation/>
        </w:sdtPr>
        <w:sdtEndPr/>
        <w:sdtContent>
          <w:r w:rsidRPr="00027624">
            <w:rPr>
              <w:rFonts w:asciiTheme="minorHAnsi" w:eastAsiaTheme="minorEastAsia" w:hAnsiTheme="minorHAnsi"/>
            </w:rPr>
            <w:fldChar w:fldCharType="begin"/>
          </w:r>
          <w:r w:rsidRPr="00027624">
            <w:rPr>
              <w:rFonts w:asciiTheme="minorHAnsi" w:eastAsiaTheme="minorEastAsia" w:hAnsiTheme="minorHAnsi"/>
            </w:rPr>
            <w:instrText xml:space="preserve"> CITATION VarP16 \l 3081 </w:instrText>
          </w:r>
          <w:r w:rsidRPr="00027624">
            <w:rPr>
              <w:rFonts w:asciiTheme="minorHAnsi" w:eastAsiaTheme="minorEastAsia" w:hAnsiTheme="minorHAnsi"/>
            </w:rPr>
            <w:fldChar w:fldCharType="separate"/>
          </w:r>
          <w:r w:rsidR="00E83F6E" w:rsidRPr="00E83F6E">
            <w:rPr>
              <w:rFonts w:asciiTheme="minorHAnsi" w:eastAsiaTheme="minorEastAsia" w:hAnsiTheme="minorHAnsi"/>
              <w:noProof/>
            </w:rPr>
            <w:t>(Varela, 2016)</w:t>
          </w:r>
          <w:r w:rsidRPr="00027624">
            <w:rPr>
              <w:rFonts w:asciiTheme="minorHAnsi" w:eastAsiaTheme="minorEastAsia" w:hAnsiTheme="minorHAnsi"/>
            </w:rPr>
            <w:fldChar w:fldCharType="end"/>
          </w:r>
        </w:sdtContent>
      </w:sdt>
      <w:r w:rsidRPr="00027624">
        <w:rPr>
          <w:rFonts w:asciiTheme="minorHAnsi" w:eastAsiaTheme="minorEastAsia" w:hAnsiTheme="minorHAnsi"/>
        </w:rPr>
        <w:t xml:space="preserve">. In the </w:t>
      </w:r>
      <w:r w:rsidR="00FF2FA7" w:rsidRPr="00027624">
        <w:rPr>
          <w:rFonts w:asciiTheme="minorHAnsi" w:eastAsiaTheme="minorEastAsia" w:hAnsiTheme="minorHAnsi"/>
        </w:rPr>
        <w:t>pre</w:t>
      </w:r>
      <w:r w:rsidR="00A8443E" w:rsidRPr="00027624">
        <w:rPr>
          <w:rFonts w:asciiTheme="minorHAnsi" w:eastAsiaTheme="minorEastAsia" w:hAnsiTheme="minorHAnsi"/>
        </w:rPr>
        <w:noBreakHyphen/>
      </w:r>
      <w:r w:rsidR="00FF2FA7" w:rsidRPr="00027624">
        <w:rPr>
          <w:rFonts w:asciiTheme="minorHAnsi" w:eastAsiaTheme="minorEastAsia" w:hAnsiTheme="minorHAnsi"/>
        </w:rPr>
        <w:t>retirement phase</w:t>
      </w:r>
      <w:r w:rsidRPr="00027624">
        <w:rPr>
          <w:rFonts w:asciiTheme="minorHAnsi" w:eastAsiaTheme="minorEastAsia" w:hAnsiTheme="minorHAnsi"/>
        </w:rPr>
        <w:t>, people may not take into account the effect of the taper since it occurs many years in the future.</w:t>
      </w:r>
    </w:p>
    <w:p w14:paraId="3DF0C98C" w14:textId="77777777" w:rsidR="002A2FAE" w:rsidRPr="00027624" w:rsidRDefault="002A2FAE" w:rsidP="00FC7361">
      <w:pPr>
        <w:pStyle w:val="ChartMainHeading"/>
        <w:numPr>
          <w:ilvl w:val="2"/>
          <w:numId w:val="33"/>
        </w:numPr>
        <w:rPr>
          <w:rFonts w:eastAsiaTheme="minorEastAsia"/>
        </w:rPr>
      </w:pPr>
      <w:bookmarkStart w:id="4189" w:name="_Ref39771622"/>
      <w:bookmarkStart w:id="4190" w:name="_Ref45276957"/>
      <w:bookmarkEnd w:id="4189"/>
      <w:r w:rsidRPr="00027624">
        <w:rPr>
          <w:rFonts w:eastAsiaTheme="minorEastAsia"/>
        </w:rPr>
        <w:t>Projected effect of saving an extra $1,000 immediately before retirement, by income percentile</w:t>
      </w:r>
      <w:bookmarkEnd w:id="4190"/>
    </w:p>
    <w:p w14:paraId="5970C65E" w14:textId="77777777" w:rsidR="002A2FAE" w:rsidRPr="00027624" w:rsidRDefault="00353A95" w:rsidP="00D60066">
      <w:pPr>
        <w:pStyle w:val="ChartGraphic"/>
      </w:pPr>
      <w:r>
        <w:rPr>
          <w:noProof/>
        </w:rPr>
        <w:drawing>
          <wp:inline distT="0" distB="0" distL="0" distR="0" wp14:anchorId="2E365CC0" wp14:editId="769103CB">
            <wp:extent cx="5577840" cy="2545080"/>
            <wp:effectExtent l="0" t="0" r="3810" b="7620"/>
            <wp:docPr id="1888992932" name="Picture 1888992932" descr="This chart shows that with the change in the taper rate, the effect of saving an extra $1,000 immediately before retirement varies less across income percentiles than under the current settings. Under both the baseline and scenario, lower-income earners and higher income earners benefit the most. " title="Chart 5B-9 Projected effect of saving an extra $1,000 immediately before retirement, by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577840" cy="2545080"/>
                    </a:xfrm>
                    <a:prstGeom prst="rect">
                      <a:avLst/>
                    </a:prstGeom>
                    <a:noFill/>
                  </pic:spPr>
                </pic:pic>
              </a:graphicData>
            </a:graphic>
          </wp:inline>
        </w:drawing>
      </w:r>
    </w:p>
    <w:p w14:paraId="5676DB10" w14:textId="77777777" w:rsidR="002A2FAE" w:rsidRPr="00027624" w:rsidRDefault="002A2FAE" w:rsidP="002A2FAE">
      <w:pPr>
        <w:pStyle w:val="ChartorTableNote"/>
      </w:pPr>
      <w:r w:rsidRPr="00027624">
        <w:t>Note: The scenario assumes people salary sacrifice an additional $1,000 in the year before retirement. Superannuation is drawn down at an annuitised rate to life expectancy. The 10</w:t>
      </w:r>
      <w:r w:rsidRPr="00027624">
        <w:rPr>
          <w:vertAlign w:val="superscript"/>
        </w:rPr>
        <w:t>th</w:t>
      </w:r>
      <w:r w:rsidRPr="00027624">
        <w:t xml:space="preserve"> income percentile is excluded from this analysis due to low asset levels in superannuation and relatively low marginal propensity to save. The 90</w:t>
      </w:r>
      <w:r w:rsidRPr="00027624">
        <w:rPr>
          <w:vertAlign w:val="superscript"/>
        </w:rPr>
        <w:t>th</w:t>
      </w:r>
      <w:r w:rsidRPr="00027624">
        <w:t xml:space="preserve"> percentile is excluded because their projected balance is already over the transfer balance cap, and so cannot make post</w:t>
      </w:r>
      <w:r w:rsidR="00A8443E" w:rsidRPr="00027624">
        <w:noBreakHyphen/>
      </w:r>
      <w:r w:rsidRPr="00027624">
        <w:t>tax voluntary contributions. Total retirement income and components are deflated by CPI. Source: Cameo modelling undertaken for the review.</w:t>
      </w:r>
    </w:p>
    <w:p w14:paraId="28BEE9A1" w14:textId="77777777" w:rsidR="002A2FAE" w:rsidRPr="00027624" w:rsidRDefault="002A2FAE" w:rsidP="002A2FAE">
      <w:pPr>
        <w:pStyle w:val="Heading4"/>
      </w:pPr>
      <w:r w:rsidRPr="00027624">
        <w:t>Asset drawdowns</w:t>
      </w:r>
    </w:p>
    <w:p w14:paraId="3F157FC8" w14:textId="77777777" w:rsidR="002A2FAE" w:rsidRPr="00027624" w:rsidRDefault="002A2FAE" w:rsidP="002A2FAE">
      <w:pPr>
        <w:spacing w:after="0"/>
        <w:rPr>
          <w:i/>
        </w:rPr>
      </w:pPr>
      <w:r w:rsidRPr="00027624">
        <w:rPr>
          <w:rFonts w:cs="Calibri"/>
        </w:rPr>
        <w:t xml:space="preserve">As outlined in </w:t>
      </w:r>
      <w:r w:rsidRPr="00027624">
        <w:rPr>
          <w:i/>
        </w:rPr>
        <w:t>2C. Maintaining standards of living in retirement</w:t>
      </w:r>
      <w:r w:rsidRPr="00027624">
        <w:rPr>
          <w:rFonts w:cs="Calibri"/>
        </w:rPr>
        <w:t>, improving retirees</w:t>
      </w:r>
      <w:r w:rsidR="00A8443E" w:rsidRPr="00027624">
        <w:rPr>
          <w:rFonts w:cs="Calibri"/>
        </w:rPr>
        <w:t>’</w:t>
      </w:r>
      <w:r w:rsidRPr="00027624">
        <w:rPr>
          <w:rFonts w:cs="Calibri"/>
        </w:rPr>
        <w:t xml:space="preserve"> drawdowns of their superannuation assets, along with accessing the equity in their home, can significantly increase their retirement incomes. </w:t>
      </w:r>
    </w:p>
    <w:p w14:paraId="36D401A2" w14:textId="77777777" w:rsidR="002A2FAE" w:rsidRPr="00027624" w:rsidRDefault="002A2FAE">
      <w:pPr>
        <w:rPr>
          <w:rFonts w:cs="Calibri"/>
        </w:rPr>
      </w:pPr>
      <w:r w:rsidRPr="00027624">
        <w:rPr>
          <w:rFonts w:cs="Calibri"/>
        </w:rPr>
        <w:t xml:space="preserve">Many retirees currently draw down their assets at low rates. This likely reflects fear of outliving their savings; saving for unexpected expenses in retirement; and relying on the statutory minimum draw down rates as a default (see </w:t>
      </w:r>
      <w:r w:rsidRPr="00027624">
        <w:rPr>
          <w:rFonts w:cs="Calibri"/>
          <w:i/>
          <w:iCs/>
        </w:rPr>
        <w:t>5A. Cohesion</w:t>
      </w:r>
      <w:r w:rsidRPr="00027624">
        <w:rPr>
          <w:rFonts w:cs="Calibri"/>
        </w:rPr>
        <w:t>). Addressing these issues directly, including promoting greater understanding of the retirement system and broader availability of products, would help people use their assets more efficiently in retirement. It would reduce the incentive for retirees to draw down by:</w:t>
      </w:r>
    </w:p>
    <w:p w14:paraId="7E4F85DB" w14:textId="77777777" w:rsidR="002A2FAE" w:rsidRPr="00027624" w:rsidRDefault="002A2FAE" w:rsidP="00430DC4">
      <w:pPr>
        <w:pStyle w:val="Bullet"/>
      </w:pPr>
      <w:r w:rsidRPr="00027624">
        <w:t>Providing higher pension payments for a given level of assets</w:t>
      </w:r>
    </w:p>
    <w:p w14:paraId="4BCF12E0" w14:textId="77777777" w:rsidR="002A2FAE" w:rsidRPr="00027624" w:rsidRDefault="002A2FAE" w:rsidP="00430DC4">
      <w:pPr>
        <w:pStyle w:val="Bullet"/>
      </w:pPr>
      <w:r w:rsidRPr="00027624">
        <w:t>Increasing eligibility for a part</w:t>
      </w:r>
      <w:r w:rsidR="00A8443E" w:rsidRPr="00027624">
        <w:noBreakHyphen/>
      </w:r>
      <w:r w:rsidRPr="00027624">
        <w:t>pension at higher incomes</w:t>
      </w:r>
    </w:p>
    <w:p w14:paraId="62140000" w14:textId="77777777" w:rsidR="002A2FAE" w:rsidRPr="00027624" w:rsidRDefault="002A2FAE" w:rsidP="002A2FAE">
      <w:pPr>
        <w:rPr>
          <w:rFonts w:cs="Calibri"/>
        </w:rPr>
      </w:pPr>
      <w:r w:rsidRPr="00027624">
        <w:rPr>
          <w:rFonts w:cs="Calibri"/>
        </w:rPr>
        <w:t>In particular, a lower taper rate would give more income to middle</w:t>
      </w:r>
      <w:r w:rsidR="00A8443E" w:rsidRPr="00027624">
        <w:rPr>
          <w:rFonts w:cs="Calibri"/>
        </w:rPr>
        <w:noBreakHyphen/>
      </w:r>
      <w:r w:rsidRPr="00027624">
        <w:rPr>
          <w:rFonts w:cs="Calibri"/>
        </w:rPr>
        <w:t xml:space="preserve">income retirees drawing down at the minimum rate, reducing the need to draw down their assets to support their retirement income. However, the primary drivers of drawdown rates appear to be unrelated to the taper rate, so the effect of changing the rate may be small (see </w:t>
      </w:r>
      <w:r w:rsidRPr="00027624">
        <w:rPr>
          <w:rFonts w:cs="Calibri"/>
          <w:i/>
          <w:iCs/>
        </w:rPr>
        <w:t>5A. Cohesion</w:t>
      </w:r>
      <w:r w:rsidRPr="00027624">
        <w:rPr>
          <w:rFonts w:cs="Calibri"/>
        </w:rPr>
        <w:t>).</w:t>
      </w:r>
    </w:p>
    <w:p w14:paraId="3450FE08" w14:textId="77777777" w:rsidR="002A2FAE" w:rsidRPr="00027624" w:rsidRDefault="002A2FAE" w:rsidP="002A2FAE">
      <w:pPr>
        <w:pStyle w:val="Heading2"/>
      </w:pPr>
      <w:bookmarkStart w:id="4191" w:name="_Toc45520557"/>
      <w:bookmarkStart w:id="4192" w:name="_Toc46133669"/>
      <w:r w:rsidRPr="00027624">
        <w:t>Merged means test</w:t>
      </w:r>
      <w:bookmarkEnd w:id="4191"/>
      <w:bookmarkEnd w:id="4192"/>
    </w:p>
    <w:p w14:paraId="222E4051" w14:textId="77777777" w:rsidR="002A2FAE" w:rsidRPr="00027624" w:rsidRDefault="002A2FAE" w:rsidP="002A2FAE">
      <w:pPr>
        <w:spacing w:before="0"/>
      </w:pPr>
      <w:r w:rsidRPr="00027624">
        <w:t>Submissions raised a series of approaches to redesign and simplify the means test arrangements. These included:</w:t>
      </w:r>
    </w:p>
    <w:p w14:paraId="63661ADF" w14:textId="77777777" w:rsidR="002A2FAE" w:rsidRPr="00027624" w:rsidRDefault="002A2FAE" w:rsidP="00791570">
      <w:pPr>
        <w:pStyle w:val="Bullet"/>
      </w:pPr>
      <w:r w:rsidRPr="00027624">
        <w:rPr>
          <w:b/>
        </w:rPr>
        <w:t>A universal age pension</w:t>
      </w:r>
      <w:r w:rsidRPr="00027624">
        <w:t>. This would require a fundamental redesign of the retirement income system, including superannuation tax concessions</w:t>
      </w:r>
    </w:p>
    <w:p w14:paraId="5F21C6BC" w14:textId="77777777" w:rsidR="002A2FAE" w:rsidRPr="00027624" w:rsidRDefault="002A2FAE" w:rsidP="00791570">
      <w:pPr>
        <w:pStyle w:val="Bullet"/>
      </w:pPr>
      <w:r w:rsidRPr="00027624">
        <w:rPr>
          <w:b/>
          <w:bCs/>
        </w:rPr>
        <w:t>Merging the income and assets tests</w:t>
      </w:r>
      <w:r w:rsidRPr="00027624">
        <w:t>. This was raised in submissions and past reviews</w:t>
      </w:r>
    </w:p>
    <w:p w14:paraId="2DD1FF74" w14:textId="77777777" w:rsidR="002A2FAE" w:rsidRPr="00027624" w:rsidRDefault="002A2FAE" w:rsidP="002A2FAE">
      <w:pPr>
        <w:adjustRightInd w:val="0"/>
        <w:spacing w:before="0"/>
      </w:pPr>
      <w:r w:rsidRPr="00027624">
        <w:t>Between 1961 and 1976, Australia had a merged means test. The test reduced</w:t>
      </w:r>
      <w:r w:rsidRPr="00027624" w:rsidDel="00D92136">
        <w:t xml:space="preserve"> annual pension </w:t>
      </w:r>
      <w:r w:rsidRPr="00027624">
        <w:t xml:space="preserve">payments by the amount of any deemed income derived from property above an exempt amount, as well as by the amount of any income not derived from property. The merged means test was effectively abolished in 1976 when reform was introduced to make the means test an </w:t>
      </w:r>
      <w:r w:rsidR="00A8443E" w:rsidRPr="00027624">
        <w:t>‘</w:t>
      </w:r>
      <w:r w:rsidRPr="00027624">
        <w:t>income</w:t>
      </w:r>
      <w:r w:rsidR="00A8443E" w:rsidRPr="00027624">
        <w:noBreakHyphen/>
      </w:r>
      <w:r w:rsidRPr="00027624">
        <w:t>only</w:t>
      </w:r>
      <w:r w:rsidR="00A8443E" w:rsidRPr="00027624">
        <w:t>’</w:t>
      </w:r>
      <w:r w:rsidRPr="00027624">
        <w:t xml:space="preserve"> test. In 1985, assets test components were reintroduced to the means test to address fiscal pressures and ensure the Age Pension was appropriately targeted. </w:t>
      </w:r>
    </w:p>
    <w:p w14:paraId="6C41C0DB" w14:textId="77777777" w:rsidR="002A2FAE" w:rsidRPr="00027624" w:rsidRDefault="002A2FAE" w:rsidP="002A2FAE">
      <w:pPr>
        <w:adjustRightInd w:val="0"/>
        <w:spacing w:before="0"/>
      </w:pPr>
      <w:r w:rsidRPr="00027624">
        <w:t>The final reports of</w:t>
      </w:r>
      <w:sdt>
        <w:sdtPr>
          <w:id w:val="1469238554"/>
          <w:citation/>
        </w:sdtPr>
        <w:sdtEndPr/>
        <w:sdtContent>
          <w:r w:rsidRPr="00027624">
            <w:fldChar w:fldCharType="begin"/>
          </w:r>
          <w:r w:rsidRPr="00027624">
            <w:instrText xml:space="preserve">CITATION Hen09 \l 3081 </w:instrText>
          </w:r>
          <w:r w:rsidRPr="00027624">
            <w:fldChar w:fldCharType="separate"/>
          </w:r>
          <w:r w:rsidR="00E83F6E">
            <w:rPr>
              <w:noProof/>
            </w:rPr>
            <w:t xml:space="preserve"> (Australia’s Future Tax System Review, 2009)</w:t>
          </w:r>
          <w:r w:rsidRPr="00027624">
            <w:fldChar w:fldCharType="end"/>
          </w:r>
        </w:sdtContent>
      </w:sdt>
      <w:r w:rsidRPr="00027624">
        <w:t xml:space="preserve"> and</w:t>
      </w:r>
      <w:r w:rsidRPr="00027624">
        <w:fldChar w:fldCharType="begin"/>
      </w:r>
      <w:r w:rsidRPr="00027624">
        <w:instrText xml:space="preserve">CITATION Nat14 \l 3081 </w:instrText>
      </w:r>
      <w:r w:rsidRPr="00027624">
        <w:fldChar w:fldCharType="separate"/>
      </w:r>
      <w:r w:rsidR="00E83F6E">
        <w:rPr>
          <w:noProof/>
        </w:rPr>
        <w:t xml:space="preserve"> (National Commission of Audit, 2014)</w:t>
      </w:r>
      <w:r w:rsidRPr="00027624">
        <w:fldChar w:fldCharType="end"/>
      </w:r>
      <w:r w:rsidRPr="00027624">
        <w:t xml:space="preserve"> recommended simplifying the dual means test by abolishing the assets test. In its place, they recommended introducing a single comprehensive income test that would deem income from a greater range of assets, including a proportion of the family home above a certain threshold. </w:t>
      </w:r>
    </w:p>
    <w:p w14:paraId="319088D8" w14:textId="77777777" w:rsidR="002A2FAE" w:rsidRPr="00027624" w:rsidRDefault="002A2FAE" w:rsidP="002A2FAE">
      <w:pPr>
        <w:adjustRightInd w:val="0"/>
        <w:spacing w:before="0"/>
      </w:pPr>
      <w:r w:rsidRPr="00027624">
        <w:t xml:space="preserve">In contrast, other stakeholders have proposed a merged means test by </w:t>
      </w:r>
      <w:r w:rsidR="00A8443E" w:rsidRPr="00027624">
        <w:t>‘</w:t>
      </w:r>
      <w:r w:rsidRPr="00027624">
        <w:t>combining</w:t>
      </w:r>
      <w:r w:rsidR="00A8443E" w:rsidRPr="00027624">
        <w:t>’</w:t>
      </w:r>
      <w:r w:rsidRPr="00027624">
        <w:t xml:space="preserve"> the income and assets tests (e.g. Centre for Law, Markets and Regulation</w:t>
      </w:r>
      <w:r w:rsidRPr="00027624">
        <w:fldChar w:fldCharType="begin"/>
      </w:r>
      <w:r w:rsidRPr="00027624">
        <w:instrText xml:space="preserve">CITATION Cen20 \n  \t  \l 3081 </w:instrText>
      </w:r>
      <w:r w:rsidRPr="00027624">
        <w:fldChar w:fldCharType="separate"/>
      </w:r>
      <w:r w:rsidR="00E83F6E">
        <w:rPr>
          <w:noProof/>
        </w:rPr>
        <w:t xml:space="preserve"> (2020)</w:t>
      </w:r>
      <w:r w:rsidRPr="00027624">
        <w:fldChar w:fldCharType="end"/>
      </w:r>
      <w:r w:rsidRPr="00027624">
        <w:t xml:space="preserve"> and Andrew Podger</w:t>
      </w:r>
      <w:r w:rsidRPr="00027624">
        <w:fldChar w:fldCharType="begin"/>
      </w:r>
      <w:r w:rsidRPr="00027624">
        <w:instrText xml:space="preserve">CITATION And19 \n  \t  \l 3081 </w:instrText>
      </w:r>
      <w:r w:rsidRPr="00027624">
        <w:fldChar w:fldCharType="separate"/>
      </w:r>
      <w:r w:rsidR="00E83F6E">
        <w:rPr>
          <w:noProof/>
        </w:rPr>
        <w:t xml:space="preserve"> (2019)</w:t>
      </w:r>
      <w:r w:rsidRPr="00027624">
        <w:fldChar w:fldCharType="end"/>
      </w:r>
      <w:r w:rsidRPr="00027624">
        <w:t>). Such a combined means test would include an asset capital drawdown component (in place of the assets test) to recognise that a person can draw down on their assets to provide retirement income.</w:t>
      </w:r>
    </w:p>
    <w:p w14:paraId="10DEA6E8" w14:textId="77777777" w:rsidR="002A2FAE" w:rsidRPr="00027624" w:rsidRDefault="002A2FAE">
      <w:pPr>
        <w:pStyle w:val="Heading3"/>
      </w:pPr>
      <w:r w:rsidRPr="00027624">
        <w:t>Issues with the current dual means test</w:t>
      </w:r>
    </w:p>
    <w:p w14:paraId="48B5BCFD" w14:textId="77777777" w:rsidR="002A2FAE" w:rsidRPr="00027624" w:rsidRDefault="002A2FAE" w:rsidP="002A2FAE">
      <w:pPr>
        <w:adjustRightInd w:val="0"/>
        <w:spacing w:before="0"/>
      </w:pPr>
      <w:r w:rsidRPr="00027624">
        <w:t>Stakeholders highlighted that the dual means test is complex. The complexity makes it difficult for retirees to understand how each test assesses their income and assets, and the interactions between the income and assets tests taper rates, thresholds and Age Pension payment rate. This also makes it difficult for retirees to navigate the retirement income system.</w:t>
      </w:r>
    </w:p>
    <w:p w14:paraId="7F202447" w14:textId="77777777" w:rsidR="002A2FAE" w:rsidRPr="00027624" w:rsidRDefault="002A2FAE">
      <w:pPr>
        <w:adjustRightInd w:val="0"/>
        <w:spacing w:before="0"/>
      </w:pPr>
      <w:r w:rsidRPr="00027624">
        <w:t>The dual means test can</w:t>
      </w:r>
      <w:r w:rsidR="00C20894" w:rsidRPr="00027624">
        <w:t xml:space="preserve"> result in inequitable outcomes</w:t>
      </w:r>
      <w:r w:rsidRPr="00027624">
        <w:fldChar w:fldCharType="begin"/>
      </w:r>
      <w:r w:rsidRPr="00027624">
        <w:instrText xml:space="preserve">CITATION Hen09 \l 3081 </w:instrText>
      </w:r>
      <w:r w:rsidRPr="00027624">
        <w:fldChar w:fldCharType="separate"/>
      </w:r>
      <w:r w:rsidR="00E83F6E">
        <w:rPr>
          <w:noProof/>
        </w:rPr>
        <w:t xml:space="preserve"> (Australia’s Future Tax System Review, 2009)</w:t>
      </w:r>
      <w:r w:rsidRPr="00027624">
        <w:fldChar w:fldCharType="end"/>
      </w:r>
      <w:r w:rsidRPr="00027624">
        <w:t xml:space="preserve"> as people with different levels of means can receive the same Age Pension income in some circumstances.</w:t>
      </w:r>
      <w:r w:rsidRPr="00027624" w:rsidDel="00A91BB9">
        <w:t xml:space="preserve"> </w:t>
      </w:r>
      <w:r w:rsidRPr="00027624">
        <w:t>This is because when the assets test determines a retiree</w:t>
      </w:r>
      <w:r w:rsidR="00A8443E" w:rsidRPr="00027624">
        <w:t>’</w:t>
      </w:r>
      <w:r w:rsidRPr="00027624">
        <w:t>s Age Pension payment amount, their income (such as from part</w:t>
      </w:r>
      <w:r w:rsidR="00A8443E" w:rsidRPr="00027624">
        <w:noBreakHyphen/>
      </w:r>
      <w:r w:rsidRPr="00027624">
        <w:t>time work) does not affect their Age Pension payment amount. Similarly, when the income test determines a retiree</w:t>
      </w:r>
      <w:r w:rsidR="00A8443E" w:rsidRPr="00027624">
        <w:t>’</w:t>
      </w:r>
      <w:r w:rsidRPr="00027624">
        <w:t>s Age Pension payment amount, the value of a retiree</w:t>
      </w:r>
      <w:r w:rsidR="00A8443E" w:rsidRPr="00027624">
        <w:t>’</w:t>
      </w:r>
      <w:r w:rsidRPr="00027624">
        <w:t>s assets does not affect their Age Pension payment amount.</w:t>
      </w:r>
    </w:p>
    <w:p w14:paraId="0F1CA6FD" w14:textId="77777777" w:rsidR="002A2FAE" w:rsidRPr="00027624" w:rsidRDefault="002A2FAE" w:rsidP="002A2FAE">
      <w:pPr>
        <w:spacing w:before="0"/>
      </w:pPr>
      <w:r w:rsidRPr="00027624">
        <w:t>Under the dual means test, people on a part</w:t>
      </w:r>
      <w:r w:rsidR="00A8443E" w:rsidRPr="00027624">
        <w:noBreakHyphen/>
      </w:r>
      <w:r w:rsidRPr="00027624">
        <w:t>rate Age Pension typically receive substantially higher Age Pension payments later in their life (over and above the effects of indexation). This makes it difficult for people to derive stable incomes when combining their Age Pension and income from superannuation or other private sources.</w:t>
      </w:r>
    </w:p>
    <w:p w14:paraId="593F00AA" w14:textId="7482A525" w:rsidR="002A2FAE" w:rsidRPr="00027624" w:rsidRDefault="002A2FAE" w:rsidP="002A2FAE">
      <w:pPr>
        <w:spacing w:before="0"/>
      </w:pPr>
      <w:r w:rsidRPr="00027624">
        <w:t>This instability in incomes occurs under a range of drawdown strategies, including when a person takes up an account</w:t>
      </w:r>
      <w:r w:rsidR="00A8443E" w:rsidRPr="00027624">
        <w:noBreakHyphen/>
      </w:r>
      <w:r w:rsidRPr="00027624">
        <w:t>based pension and draws down to have constant private income in nominal or real teams (</w:t>
      </w:r>
      <w:r w:rsidRPr="00027624">
        <w:fldChar w:fldCharType="begin"/>
      </w:r>
      <w:r w:rsidRPr="00027624">
        <w:instrText xml:space="preserve"> REF _Ref42786586 \r \h  \* MERGEFORMAT </w:instrText>
      </w:r>
      <w:r w:rsidRPr="00027624">
        <w:fldChar w:fldCharType="separate"/>
      </w:r>
      <w:r w:rsidR="00891058">
        <w:t>Chart 5B-10</w:t>
      </w:r>
      <w:r w:rsidRPr="00027624">
        <w:fldChar w:fldCharType="end"/>
      </w:r>
      <w:r w:rsidRPr="00027624">
        <w:t xml:space="preserve">), or draws down according to the superannuation minimum drawdown requirements (see </w:t>
      </w:r>
      <w:r w:rsidRPr="00027624">
        <w:rPr>
          <w:i/>
        </w:rPr>
        <w:fldChar w:fldCharType="begin"/>
      </w:r>
      <w:r w:rsidRPr="00027624">
        <w:rPr>
          <w:i/>
        </w:rPr>
        <w:instrText xml:space="preserve"> REF _Ref45024708 \w \h  \* MERGEFORMAT </w:instrText>
      </w:r>
      <w:r w:rsidRPr="00027624">
        <w:rPr>
          <w:i/>
        </w:rPr>
      </w:r>
      <w:r w:rsidRPr="00027624">
        <w:rPr>
          <w:i/>
        </w:rPr>
        <w:fldChar w:fldCharType="separate"/>
      </w:r>
      <w:r w:rsidR="00891058">
        <w:rPr>
          <w:i/>
        </w:rPr>
        <w:t>Section 5A</w:t>
      </w:r>
      <w:r w:rsidRPr="00027624">
        <w:rPr>
          <w:i/>
        </w:rPr>
        <w:fldChar w:fldCharType="end"/>
      </w:r>
      <w:r w:rsidRPr="00027624">
        <w:rPr>
          <w:i/>
        </w:rPr>
        <w:t xml:space="preserve">. </w:t>
      </w:r>
      <w:r w:rsidRPr="00027624">
        <w:rPr>
          <w:i/>
        </w:rPr>
        <w:fldChar w:fldCharType="begin"/>
      </w:r>
      <w:r w:rsidRPr="00027624">
        <w:rPr>
          <w:i/>
        </w:rPr>
        <w:instrText xml:space="preserve"> REF _Ref45024708 \h  \* MERGEFORMAT </w:instrText>
      </w:r>
      <w:r w:rsidRPr="00027624">
        <w:rPr>
          <w:i/>
        </w:rPr>
      </w:r>
      <w:r w:rsidRPr="00027624">
        <w:rPr>
          <w:i/>
        </w:rPr>
        <w:fldChar w:fldCharType="separate"/>
      </w:r>
      <w:r w:rsidR="00891058" w:rsidRPr="00891058">
        <w:rPr>
          <w:i/>
        </w:rPr>
        <w:t>Cohesion</w:t>
      </w:r>
      <w:r w:rsidRPr="00027624">
        <w:rPr>
          <w:i/>
        </w:rPr>
        <w:fldChar w:fldCharType="end"/>
      </w:r>
      <w:r w:rsidRPr="00027624">
        <w:t>). For example, a 67</w:t>
      </w:r>
      <w:r w:rsidR="00A8443E" w:rsidRPr="00027624">
        <w:noBreakHyphen/>
      </w:r>
      <w:r w:rsidRPr="00027624">
        <w:t>year</w:t>
      </w:r>
      <w:r w:rsidR="00A8443E" w:rsidRPr="00027624">
        <w:noBreakHyphen/>
      </w:r>
      <w:r w:rsidRPr="00027624">
        <w:t>old single home owner with $500,000 of assessable assets, who uses an account</w:t>
      </w:r>
      <w:r w:rsidR="00A8443E" w:rsidRPr="00027624">
        <w:noBreakHyphen/>
      </w:r>
      <w:r w:rsidRPr="00027624">
        <w:t>based pension to deliver constant private income in nominal terms, will see their Age Pension payment increase by more than 400 per cent from less than $10,000 to $30,000 at age 87.</w:t>
      </w:r>
    </w:p>
    <w:p w14:paraId="610961E8" w14:textId="3ACBD8FB" w:rsidR="002A2FAE" w:rsidRPr="00027624" w:rsidRDefault="002A2FAE">
      <w:pPr>
        <w:spacing w:before="0" w:after="240"/>
      </w:pPr>
      <w:r w:rsidRPr="00027624">
        <w:t xml:space="preserve">These profiles of retirement income do not align with observed patterns of retiree consumption, which decline through retirement, partly because health and aged care are heavily subsidised by Government (see </w:t>
      </w:r>
      <w:r w:rsidRPr="00027624">
        <w:rPr>
          <w:i/>
          <w:iCs/>
        </w:rPr>
        <w:t>5A. Cohesion</w:t>
      </w:r>
      <w:r w:rsidRPr="00027624">
        <w:t>). Under current arrangements, the profile of the Age Pension makes it difficult for people on a part</w:t>
      </w:r>
      <w:r w:rsidR="00A8443E" w:rsidRPr="00027624">
        <w:noBreakHyphen/>
      </w:r>
      <w:r w:rsidRPr="00027624">
        <w:t>rate Age Pension to achieve a broadly constant level of total income in retirement in real terms or in nominal terms (</w:t>
      </w:r>
      <w:r w:rsidRPr="00027624">
        <w:fldChar w:fldCharType="begin"/>
      </w:r>
      <w:r w:rsidRPr="00027624">
        <w:instrText xml:space="preserve"> REF _Ref42786586 \r \h  \* MERGEFORMAT </w:instrText>
      </w:r>
      <w:r w:rsidRPr="00027624">
        <w:fldChar w:fldCharType="separate"/>
      </w:r>
      <w:r w:rsidR="00891058">
        <w:t>Chart 5B-10</w:t>
      </w:r>
      <w:r w:rsidRPr="00027624">
        <w:fldChar w:fldCharType="end"/>
      </w:r>
      <w:r w:rsidRPr="00027624">
        <w:t>).</w:t>
      </w:r>
    </w:p>
    <w:p w14:paraId="3FFDED8E" w14:textId="77777777" w:rsidR="002A2FAE" w:rsidRPr="00027624" w:rsidRDefault="002A2FAE" w:rsidP="00FC7361">
      <w:pPr>
        <w:pStyle w:val="ChartMainHeading"/>
        <w:numPr>
          <w:ilvl w:val="2"/>
          <w:numId w:val="33"/>
        </w:numPr>
      </w:pPr>
      <w:bookmarkStart w:id="4193" w:name="_Ref40800815"/>
      <w:bookmarkStart w:id="4194" w:name="_Ref42786586"/>
      <w:r w:rsidRPr="00027624">
        <w:t>Age </w:t>
      </w:r>
      <w:r w:rsidRPr="00027624">
        <w:rPr>
          <w:rFonts w:eastAsiaTheme="minorEastAsia"/>
        </w:rPr>
        <w:t>Pension</w:t>
      </w:r>
      <w:r w:rsidRPr="00027624">
        <w:t xml:space="preserve"> and private income in retirement for $500,000 of assessable assets under the current arrangements, by age</w:t>
      </w:r>
      <w:bookmarkEnd w:id="4193"/>
      <w:bookmarkEnd w:id="4194"/>
      <w:r w:rsidRPr="00027624">
        <w:t xml:space="preserve"> </w:t>
      </w:r>
    </w:p>
    <w:tbl>
      <w:tblPr>
        <w:tblStyle w:val="TableGrid"/>
        <w:tblW w:w="9234" w:type="dxa"/>
        <w:tblLook w:val="04A0" w:firstRow="1" w:lastRow="0" w:firstColumn="1" w:lastColumn="0" w:noHBand="0" w:noVBand="1"/>
      </w:tblPr>
      <w:tblGrid>
        <w:gridCol w:w="4548"/>
        <w:gridCol w:w="4686"/>
      </w:tblGrid>
      <w:tr w:rsidR="002A2FAE" w:rsidRPr="00027624" w14:paraId="68A0DFB0" w14:textId="77777777" w:rsidTr="00755D09">
        <w:trPr>
          <w:trHeight w:val="5010"/>
        </w:trPr>
        <w:tc>
          <w:tcPr>
            <w:tcW w:w="4549" w:type="dxa"/>
            <w:shd w:val="clear" w:color="auto" w:fill="auto"/>
          </w:tcPr>
          <w:p w14:paraId="0B8F261F" w14:textId="77777777" w:rsidR="002A2FAE" w:rsidRPr="00027624" w:rsidRDefault="002A2FAE" w:rsidP="00D60066">
            <w:pPr>
              <w:pStyle w:val="ChartSecondHeading"/>
              <w:rPr>
                <w:noProof/>
              </w:rPr>
            </w:pPr>
            <w:r w:rsidRPr="00027624">
              <w:t xml:space="preserve">Constant </w:t>
            </w:r>
            <w:r w:rsidRPr="00027624">
              <w:rPr>
                <w:i/>
              </w:rPr>
              <w:t>nominal</w:t>
            </w:r>
            <w:r w:rsidRPr="00027624">
              <w:t xml:space="preserve"> private income</w:t>
            </w:r>
          </w:p>
          <w:p w14:paraId="0DB63C52" w14:textId="77777777" w:rsidR="002A2FAE" w:rsidRPr="00027624" w:rsidRDefault="00755D09" w:rsidP="00D60066">
            <w:pPr>
              <w:pStyle w:val="ChartGraphic"/>
            </w:pPr>
            <w:r>
              <w:rPr>
                <w:noProof/>
              </w:rPr>
              <w:drawing>
                <wp:inline distT="0" distB="0" distL="0" distR="0" wp14:anchorId="344B7EFA" wp14:editId="4F531CF4">
                  <wp:extent cx="2694737" cy="2880000"/>
                  <wp:effectExtent l="0" t="0" r="0" b="0"/>
                  <wp:docPr id="1888992933" name="Picture 1888992933" descr="This chart shows that under current settings, when constant real income is combined with Age Pension income, total income increases with age. " title="Chart 5B-10 Age Pension and private income in retirement for $500,000 of assessable assets under the current arrangements, by age – constant nominal privat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694737" cy="2880000"/>
                          </a:xfrm>
                          <a:prstGeom prst="rect">
                            <a:avLst/>
                          </a:prstGeom>
                          <a:noFill/>
                        </pic:spPr>
                      </pic:pic>
                    </a:graphicData>
                  </a:graphic>
                </wp:inline>
              </w:drawing>
            </w:r>
          </w:p>
        </w:tc>
        <w:tc>
          <w:tcPr>
            <w:tcW w:w="4685" w:type="dxa"/>
            <w:shd w:val="clear" w:color="auto" w:fill="auto"/>
          </w:tcPr>
          <w:p w14:paraId="2334CD17" w14:textId="77777777" w:rsidR="002A2FAE" w:rsidRPr="00027624" w:rsidRDefault="002A2FAE" w:rsidP="002A2FAE">
            <w:pPr>
              <w:pStyle w:val="ChartSecondHeading"/>
            </w:pPr>
            <w:r w:rsidRPr="00027624">
              <w:t xml:space="preserve">Constant </w:t>
            </w:r>
            <w:r w:rsidRPr="00027624">
              <w:rPr>
                <w:i/>
              </w:rPr>
              <w:t xml:space="preserve">real </w:t>
            </w:r>
            <w:r w:rsidRPr="00027624">
              <w:t>private income</w:t>
            </w:r>
          </w:p>
          <w:p w14:paraId="3BACA0C8" w14:textId="77777777" w:rsidR="002A2FAE" w:rsidRPr="00027624" w:rsidRDefault="00755D09" w:rsidP="00D60066">
            <w:pPr>
              <w:pStyle w:val="ChartGraphic"/>
            </w:pPr>
            <w:r>
              <w:rPr>
                <w:noProof/>
              </w:rPr>
              <w:drawing>
                <wp:inline distT="0" distB="0" distL="0" distR="0" wp14:anchorId="428A9834" wp14:editId="59FDDB61">
                  <wp:extent cx="2833200" cy="2880000"/>
                  <wp:effectExtent l="0" t="0" r="5715" b="0"/>
                  <wp:docPr id="1888992934" name="Picture 1888992934" descr="This chart shows that under current settings, when constant nominal private income and Age Pension income is combined, total income peaks at age 77 before declining slowly. " title="Chart 5B-10 Age Pension and private income in retirement for $500,000 of assessable assets under the current arrangements, by age – constant real privat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833200" cy="2880000"/>
                          </a:xfrm>
                          <a:prstGeom prst="rect">
                            <a:avLst/>
                          </a:prstGeom>
                          <a:noFill/>
                        </pic:spPr>
                      </pic:pic>
                    </a:graphicData>
                  </a:graphic>
                </wp:inline>
              </w:drawing>
            </w:r>
          </w:p>
        </w:tc>
      </w:tr>
    </w:tbl>
    <w:p w14:paraId="7EB24444" w14:textId="77777777" w:rsidR="002A2FAE" w:rsidRPr="00027624" w:rsidRDefault="002A2FAE" w:rsidP="00D60066">
      <w:pPr>
        <w:pStyle w:val="ChartorTableNote"/>
      </w:pPr>
      <w:r w:rsidRPr="00027624">
        <w:t>Note: Values are in 2019</w:t>
      </w:r>
      <w:r w:rsidR="00A8443E" w:rsidRPr="00027624">
        <w:noBreakHyphen/>
      </w:r>
      <w:r w:rsidRPr="00027624">
        <w:t>20 dollars, deflated by CPI. Assumes the person is a single home owner who begins retirement on 1 July 2019. Constant nominal private income means the person consumes $43,000 of their assessable assets each year. Constant real private income means the person consumes $35,000 of their assessable assets at age 67, with the amount consumed increasing by 2.5 per cent (i.e. inflation) each year. The person has around $10,000 of assessable assets remaining at age 88 under both drawdown strategies. Source: Calculations based on Age Pension rates and thresholds as at 1 May 2020 and assumptions for the example of a merged means test. The life expectancy used to calculate the deemed capital consumption is sourced from the Australian Life Tables 2015</w:t>
      </w:r>
      <w:r w:rsidR="00A8443E" w:rsidRPr="00027624">
        <w:noBreakHyphen/>
      </w:r>
      <w:r w:rsidRPr="00027624">
        <w:t>17</w:t>
      </w:r>
      <w:r w:rsidRPr="00027624">
        <w:fldChar w:fldCharType="begin"/>
      </w:r>
      <w:r w:rsidRPr="00027624">
        <w:instrText xml:space="preserve"> CITATION AGA19 \l 3081 </w:instrText>
      </w:r>
      <w:r w:rsidRPr="00027624">
        <w:fldChar w:fldCharType="separate"/>
      </w:r>
      <w:r w:rsidR="00E83F6E">
        <w:rPr>
          <w:noProof/>
        </w:rPr>
        <w:t xml:space="preserve"> (Australian Government Actuary, 2019)</w:t>
      </w:r>
      <w:r w:rsidRPr="00027624">
        <w:fldChar w:fldCharType="end"/>
      </w:r>
      <w:r w:rsidRPr="00027624">
        <w:t>.</w:t>
      </w:r>
    </w:p>
    <w:p w14:paraId="17F1E309" w14:textId="77777777" w:rsidR="002A2FAE" w:rsidRPr="00027624" w:rsidRDefault="002A2FAE" w:rsidP="002A2FAE">
      <w:pPr>
        <w:pStyle w:val="Heading3"/>
      </w:pPr>
      <w:r w:rsidRPr="00027624">
        <w:t>Trade</w:t>
      </w:r>
      <w:r w:rsidR="00A8443E" w:rsidRPr="00027624">
        <w:noBreakHyphen/>
      </w:r>
      <w:r w:rsidRPr="00027624">
        <w:t xml:space="preserve">offs involved in merging the income and assets tests </w:t>
      </w:r>
    </w:p>
    <w:p w14:paraId="359F8D56" w14:textId="77777777" w:rsidR="002A2FAE" w:rsidRPr="00027624" w:rsidRDefault="002A2FAE" w:rsidP="002A2FAE">
      <w:pPr>
        <w:spacing w:before="0" w:after="240"/>
      </w:pPr>
      <w:r w:rsidRPr="00027624">
        <w:t>Merging the current income and assets tests would represent a fundamental change to the way entitlement to the Age Pension is determined. The design of a merged means test would involve trade</w:t>
      </w:r>
      <w:r w:rsidR="00A8443E" w:rsidRPr="00027624">
        <w:noBreakHyphen/>
      </w:r>
      <w:r w:rsidRPr="00027624">
        <w:t>offs between different aspects of the retirement system objective. It would be challenging to design a merged means test that achieves all the suggested elements of the objective for the retirement income system</w:t>
      </w:r>
      <w:r w:rsidR="00A8443E" w:rsidRPr="00027624">
        <w:t xml:space="preserve"> — </w:t>
      </w:r>
      <w:r w:rsidRPr="00027624">
        <w:t xml:space="preserve">particularly equity and cohesion. </w:t>
      </w:r>
    </w:p>
    <w:p w14:paraId="44FDF781" w14:textId="77777777" w:rsidR="002A2FAE" w:rsidRPr="00027624" w:rsidRDefault="002A2FAE" w:rsidP="002A2FAE">
      <w:pPr>
        <w:spacing w:before="0" w:after="240"/>
      </w:pPr>
      <w:r w:rsidRPr="00027624">
        <w:t>For example, the proposal by Australia</w:t>
      </w:r>
      <w:r w:rsidR="00A8443E" w:rsidRPr="00027624">
        <w:t>’</w:t>
      </w:r>
      <w:r w:rsidRPr="00027624">
        <w:t>s Future Tax System Review</w:t>
      </w:r>
      <w:r w:rsidRPr="00027624">
        <w:fldChar w:fldCharType="begin"/>
      </w:r>
      <w:r w:rsidRPr="00027624">
        <w:instrText xml:space="preserve">CITATION Hen09 \n  \t  \l 3081 </w:instrText>
      </w:r>
      <w:r w:rsidRPr="00027624">
        <w:fldChar w:fldCharType="separate"/>
      </w:r>
      <w:r w:rsidR="00E83F6E">
        <w:rPr>
          <w:noProof/>
        </w:rPr>
        <w:t xml:space="preserve"> (2009)</w:t>
      </w:r>
      <w:r w:rsidRPr="00027624">
        <w:fldChar w:fldCharType="end"/>
      </w:r>
      <w:r w:rsidRPr="00027624">
        <w:t xml:space="preserve"> and the National Commission of Audit</w:t>
      </w:r>
      <w:r w:rsidRPr="00027624">
        <w:fldChar w:fldCharType="begin"/>
      </w:r>
      <w:r w:rsidRPr="00027624">
        <w:instrText xml:space="preserve">CITATION Nat14 \n  \t  \l 3081 </w:instrText>
      </w:r>
      <w:r w:rsidRPr="00027624">
        <w:fldChar w:fldCharType="separate"/>
      </w:r>
      <w:r w:rsidR="00E83F6E">
        <w:rPr>
          <w:noProof/>
        </w:rPr>
        <w:t xml:space="preserve"> (2014)</w:t>
      </w:r>
      <w:r w:rsidRPr="00027624">
        <w:fldChar w:fldCharType="end"/>
      </w:r>
      <w:r w:rsidRPr="00027624">
        <w:t xml:space="preserve"> would significantly simplify the current dual means test. But abolishing the assets test would not fully reflect the objective of the current dual test to target Age Pension payments. It would result in means from assets being assessed only in terms of earnings they could generate, and not on the ability to draw on the capital itself.</w:t>
      </w:r>
    </w:p>
    <w:p w14:paraId="5E0CF2D8" w14:textId="77777777" w:rsidR="002A2FAE" w:rsidRPr="00027624" w:rsidRDefault="002A2FAE" w:rsidP="002A2FAE">
      <w:pPr>
        <w:spacing w:before="0" w:after="240"/>
      </w:pPr>
      <w:r w:rsidRPr="00027624">
        <w:t xml:space="preserve">Such a change would have adverse equity implications. It would likely involve a </w:t>
      </w:r>
      <w:r w:rsidRPr="00027624">
        <w:rPr>
          <w:b/>
        </w:rPr>
        <w:t>large fiscal cost</w:t>
      </w:r>
      <w:r w:rsidRPr="00027624">
        <w:t>. In addition, assessing retirees</w:t>
      </w:r>
      <w:r w:rsidR="00A8443E" w:rsidRPr="00027624">
        <w:t>’</w:t>
      </w:r>
      <w:r w:rsidRPr="00027624">
        <w:t xml:space="preserve"> means by using only the income from their assets implies the objective is for retirees to maintain their assets through retirement, consuming only their income, rather than drawing on the capital itself.</w:t>
      </w:r>
    </w:p>
    <w:p w14:paraId="31CD2049" w14:textId="77777777" w:rsidR="002A2FAE" w:rsidRPr="00027624" w:rsidRDefault="002A2FAE" w:rsidP="002A2FAE">
      <w:pPr>
        <w:spacing w:before="0" w:after="240"/>
      </w:pPr>
      <w:r w:rsidRPr="00027624">
        <w:t>One way a merged means test could achieve the intent of the assets test would be to include a capital consumption component in the income test. This would effectively assess retirees</w:t>
      </w:r>
      <w:r w:rsidR="00A8443E" w:rsidRPr="00027624">
        <w:t>’</w:t>
      </w:r>
      <w:r w:rsidRPr="00027624">
        <w:t xml:space="preserve"> means by assuming they are drawing down on their assets to fund their retirement and would overcome some of the equity challenges of applying an </w:t>
      </w:r>
      <w:r w:rsidR="00A8443E" w:rsidRPr="00027624">
        <w:t>‘</w:t>
      </w:r>
      <w:r w:rsidRPr="00027624">
        <w:t>income</w:t>
      </w:r>
      <w:r w:rsidR="00A8443E" w:rsidRPr="00027624">
        <w:noBreakHyphen/>
      </w:r>
      <w:r w:rsidRPr="00027624">
        <w:t>only</w:t>
      </w:r>
      <w:r w:rsidR="00A8443E" w:rsidRPr="00027624">
        <w:t>’</w:t>
      </w:r>
      <w:r w:rsidRPr="00027624">
        <w:t xml:space="preserve"> test. This approach could also generate more stable Age Pension income across retirement for some retirees. However, this would likely require the amount assumed to be drawn down be determined by remaining life expectancy and so vary by age, as suggested in the submission by the Centre for Law, Markets and Regulation</w:t>
      </w:r>
      <w:r w:rsidRPr="00027624">
        <w:fldChar w:fldCharType="begin"/>
      </w:r>
      <w:r w:rsidRPr="00027624">
        <w:instrText xml:space="preserve">CITATION Cen20 \n  \t  \l 3081 </w:instrText>
      </w:r>
      <w:r w:rsidRPr="00027624">
        <w:fldChar w:fldCharType="separate"/>
      </w:r>
      <w:r w:rsidR="00E83F6E">
        <w:rPr>
          <w:noProof/>
        </w:rPr>
        <w:t xml:space="preserve"> (2020)</w:t>
      </w:r>
      <w:r w:rsidRPr="00027624">
        <w:fldChar w:fldCharType="end"/>
      </w:r>
      <w:r w:rsidRPr="00027624">
        <w:t>.</w:t>
      </w:r>
      <w:r w:rsidRPr="00027624" w:rsidDel="000A45B2">
        <w:t xml:space="preserve"> </w:t>
      </w:r>
    </w:p>
    <w:p w14:paraId="255C65DD" w14:textId="77777777" w:rsidR="002A2FAE" w:rsidRPr="00027624" w:rsidRDefault="002A2FAE" w:rsidP="002A2FAE">
      <w:pPr>
        <w:spacing w:before="0" w:after="240"/>
      </w:pPr>
      <w:r w:rsidRPr="00027624">
        <w:t>Such an approach is likely to be complex and difficult for retirees to understand and apply, and could result in reduced transparency compared with current arrangements. Depending on design, it could raise concerns as it may result in some people on a part</w:t>
      </w:r>
      <w:r w:rsidR="00A8443E" w:rsidRPr="00027624">
        <w:noBreakHyphen/>
      </w:r>
      <w:r w:rsidRPr="00027624">
        <w:t>rate Age Pension receiving less than they currently do. Being quite different from current arrangements may necessitate the use of transitional arrangements to avoid making some existing retirees worse off. Such arrangements would add complexity to the means test, requiring two schemes to operate simultaneously for an extended period.</w:t>
      </w:r>
    </w:p>
    <w:p w14:paraId="64BCA4DA" w14:textId="77777777" w:rsidR="002A2FAE" w:rsidRPr="00027624" w:rsidRDefault="002A2FAE" w:rsidP="002A2FAE">
      <w:pPr>
        <w:spacing w:before="0" w:after="240"/>
      </w:pPr>
      <w:r w:rsidRPr="00027624">
        <w:t>A merged means test could be designed to improve some elements of the retirement system objective but it would be difficult to avoid compromising others</w:t>
      </w:r>
      <w:r w:rsidRPr="00027624">
        <w:rPr>
          <w:bCs/>
        </w:rPr>
        <w:t>.</w:t>
      </w:r>
      <w:r w:rsidRPr="00027624">
        <w:t xml:space="preserve"> Ultimately, the impact of a merged means test would depend on the selected policy parameters, such as the model for assessing assets, how assets are assumed to contribute to means, the level of means a person can have without reducing their Age Pension, and the rate at which support is withdrawn. </w:t>
      </w:r>
    </w:p>
    <w:p w14:paraId="340D29AB" w14:textId="77777777" w:rsidR="002A2FAE" w:rsidRPr="00027624" w:rsidRDefault="002A2FAE" w:rsidP="002A2FAE">
      <w:pPr>
        <w:spacing w:before="0" w:after="240"/>
      </w:pPr>
      <w:r w:rsidRPr="00027624">
        <w:t xml:space="preserve">An illustrative example of a merged means test is investigated in </w:t>
      </w:r>
      <w:r w:rsidRPr="00027624">
        <w:rPr>
          <w:i/>
        </w:rPr>
        <w:t>Appendix 6B. An example to illustrate the trade</w:t>
      </w:r>
      <w:r w:rsidR="00A8443E" w:rsidRPr="00027624">
        <w:rPr>
          <w:i/>
        </w:rPr>
        <w:noBreakHyphen/>
      </w:r>
      <w:r w:rsidRPr="00027624">
        <w:rPr>
          <w:i/>
        </w:rPr>
        <w:t>offs of merging the income and assets tests</w:t>
      </w:r>
      <w:r w:rsidRPr="00027624">
        <w:t>. It provides evidence on the trade</w:t>
      </w:r>
      <w:r w:rsidR="00A8443E" w:rsidRPr="00027624">
        <w:noBreakHyphen/>
      </w:r>
      <w:r w:rsidRPr="00027624">
        <w:t>offs involved in a merged means test. It does not represent an ideal or preferred approach.</w:t>
      </w:r>
    </w:p>
    <w:bookmarkEnd w:id="464"/>
    <w:bookmarkEnd w:id="465"/>
    <w:bookmarkEnd w:id="466"/>
    <w:bookmarkEnd w:id="467"/>
    <w:bookmarkEnd w:id="648"/>
    <w:p w14:paraId="7804633A" w14:textId="77777777" w:rsidR="0088764D" w:rsidRPr="00027624" w:rsidRDefault="0088764D">
      <w:pPr>
        <w:spacing w:before="0" w:after="160" w:line="259" w:lineRule="auto"/>
        <w:sectPr w:rsidR="0088764D" w:rsidRPr="00027624" w:rsidSect="001B6C0B">
          <w:type w:val="oddPage"/>
          <w:pgSz w:w="11906" w:h="16838" w:code="9"/>
          <w:pgMar w:top="1418" w:right="1418" w:bottom="1418" w:left="1418" w:header="709" w:footer="709" w:gutter="0"/>
          <w:cols w:space="708"/>
          <w:titlePg/>
          <w:docGrid w:linePitch="360"/>
        </w:sectPr>
      </w:pPr>
    </w:p>
    <w:p w14:paraId="5B5FADAB" w14:textId="77777777" w:rsidR="00E96B29" w:rsidRPr="00027624" w:rsidRDefault="00883EEA" w:rsidP="00E96B29">
      <w:pPr>
        <w:pStyle w:val="SingleParagraph"/>
      </w:pPr>
      <w:r w:rsidRPr="00027624">
        <w:rPr>
          <w:noProof/>
        </w:rPr>
        <w:drawing>
          <wp:anchor distT="0" distB="0" distL="114300" distR="114300" simplePos="0" relativeHeight="251658245" behindDoc="1" locked="0" layoutInCell="1" allowOverlap="1" wp14:anchorId="7AD605EE" wp14:editId="7FAE78AA">
            <wp:simplePos x="0" y="0"/>
            <wp:positionH relativeFrom="page">
              <wp:posOffset>0</wp:posOffset>
            </wp:positionH>
            <wp:positionV relativeFrom="page">
              <wp:posOffset>-9525</wp:posOffset>
            </wp:positionV>
            <wp:extent cx="7570470" cy="10708640"/>
            <wp:effectExtent l="0" t="0" r="0" b="0"/>
            <wp:wrapNone/>
            <wp:docPr id="771978749" name="Picture 77197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tirement Income Review - chapter title pages2.jpg"/>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570470" cy="10708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964DDF" w14:textId="77777777" w:rsidR="00E96B29" w:rsidRPr="00027624" w:rsidRDefault="00E96B29" w:rsidP="00975545">
      <w:pPr>
        <w:pStyle w:val="Chapterheading"/>
        <w:numPr>
          <w:ilvl w:val="0"/>
          <w:numId w:val="26"/>
        </w:numPr>
        <w:spacing w:before="1080"/>
      </w:pPr>
      <w:bookmarkStart w:id="4195" w:name="_Toc45520558"/>
      <w:bookmarkStart w:id="4196" w:name="_Toc46133670"/>
      <w:r w:rsidRPr="00027624">
        <w:t>Appendices</w:t>
      </w:r>
      <w:bookmarkEnd w:id="4195"/>
      <w:bookmarkEnd w:id="4196"/>
    </w:p>
    <w:p w14:paraId="213601D6" w14:textId="77777777" w:rsidR="0088764D" w:rsidRPr="00027624" w:rsidRDefault="0088764D">
      <w:pPr>
        <w:spacing w:before="0" w:after="160" w:line="259" w:lineRule="auto"/>
        <w:rPr>
          <w:rFonts w:asciiTheme="minorHAnsi" w:eastAsiaTheme="minorEastAsia" w:hAnsiTheme="minorHAnsi" w:cstheme="minorBidi"/>
          <w:noProof/>
          <w:color w:val="144E60" w:themeColor="accent1"/>
          <w:szCs w:val="22"/>
          <w:lang w:eastAsia="en-US"/>
        </w:rPr>
        <w:sectPr w:rsidR="0088764D" w:rsidRPr="00027624" w:rsidSect="001B6C0B">
          <w:type w:val="oddPage"/>
          <w:pgSz w:w="11906" w:h="16838" w:code="9"/>
          <w:pgMar w:top="1418" w:right="1418" w:bottom="1418" w:left="1418" w:header="709" w:footer="709" w:gutter="0"/>
          <w:cols w:space="708"/>
          <w:titlePg/>
          <w:docGrid w:linePitch="360"/>
        </w:sectPr>
      </w:pPr>
    </w:p>
    <w:p w14:paraId="2FF12D76" w14:textId="77777777" w:rsidR="00E96B29" w:rsidRPr="00027624" w:rsidRDefault="00E96B29" w:rsidP="00E96B29">
      <w:pPr>
        <w:pStyle w:val="Heading1"/>
      </w:pPr>
      <w:bookmarkStart w:id="4197" w:name="_Toc45520559"/>
      <w:bookmarkStart w:id="4198" w:name="_Toc46133671"/>
      <w:r w:rsidRPr="00027624">
        <w:t>Detailed modelling methods and assumptions</w:t>
      </w:r>
      <w:bookmarkEnd w:id="4197"/>
      <w:bookmarkEnd w:id="4198"/>
    </w:p>
    <w:p w14:paraId="5269C81E" w14:textId="77777777" w:rsidR="00E96B29" w:rsidRPr="00027624" w:rsidRDefault="00E96B29" w:rsidP="00E96B29">
      <w:pPr>
        <w:pStyle w:val="Heading2"/>
      </w:pPr>
      <w:bookmarkStart w:id="4199" w:name="_Toc45520560"/>
      <w:bookmarkStart w:id="4200" w:name="_Toc46133672"/>
      <w:bookmarkStart w:id="4201" w:name="_Toc31209604"/>
      <w:bookmarkStart w:id="4202" w:name="_Toc31270970"/>
      <w:bookmarkStart w:id="4203" w:name="_Toc31274414"/>
      <w:bookmarkStart w:id="4204" w:name="_Toc31276246"/>
      <w:bookmarkStart w:id="4205" w:name="_Toc31352253"/>
      <w:bookmarkStart w:id="4206" w:name="_Toc31720396"/>
      <w:bookmarkStart w:id="4207" w:name="_Toc34645268"/>
      <w:r w:rsidRPr="00027624">
        <w:t>Outline of appendix</w:t>
      </w:r>
      <w:bookmarkEnd w:id="4199"/>
      <w:bookmarkEnd w:id="4200"/>
    </w:p>
    <w:p w14:paraId="3F2F0A97" w14:textId="77777777" w:rsidR="00E96B29" w:rsidRPr="00027624" w:rsidRDefault="00E96B29" w:rsidP="00E96B29">
      <w:r w:rsidRPr="00027624">
        <w:t>This appendix covers the detail of modelling methods and assumptions used as part of the review:</w:t>
      </w:r>
    </w:p>
    <w:p w14:paraId="0AB6235E" w14:textId="77777777" w:rsidR="00E96B29" w:rsidRPr="00027624" w:rsidRDefault="00E96B29" w:rsidP="00FC7361">
      <w:pPr>
        <w:pStyle w:val="OutlineNumbered1"/>
        <w:numPr>
          <w:ilvl w:val="0"/>
          <w:numId w:val="96"/>
        </w:numPr>
      </w:pPr>
      <w:bookmarkStart w:id="4208" w:name="_Ref42620779"/>
      <w:r w:rsidRPr="00027624">
        <w:t>Evidence on the effect of change in the Superannuation Guarantee (SG) on wages growth</w:t>
      </w:r>
      <w:bookmarkEnd w:id="4208"/>
    </w:p>
    <w:p w14:paraId="08777ED4" w14:textId="77777777" w:rsidR="00E96B29" w:rsidRPr="00027624" w:rsidRDefault="00E96B29" w:rsidP="00791570">
      <w:pPr>
        <w:pStyle w:val="OutlineNumbered1"/>
      </w:pPr>
      <w:r w:rsidRPr="00027624">
        <w:t>Evidence on the spending growth needed in retirement</w:t>
      </w:r>
    </w:p>
    <w:p w14:paraId="6B494EE6" w14:textId="77777777" w:rsidR="00E96B29" w:rsidRPr="00027624" w:rsidRDefault="00E96B29" w:rsidP="00791570">
      <w:pPr>
        <w:pStyle w:val="OutlineNumbered1"/>
      </w:pPr>
      <w:r w:rsidRPr="00027624">
        <w:t>Evidence for the review</w:t>
      </w:r>
      <w:r w:rsidR="00A8443E" w:rsidRPr="00027624">
        <w:t>’</w:t>
      </w:r>
      <w:r w:rsidRPr="00027624">
        <w:t>s adequacy benchmark</w:t>
      </w:r>
    </w:p>
    <w:p w14:paraId="7664BD1F" w14:textId="77777777" w:rsidR="00E96B29" w:rsidRPr="00027624" w:rsidRDefault="00E96B29" w:rsidP="00791570">
      <w:pPr>
        <w:pStyle w:val="OutlineNumbered1"/>
      </w:pPr>
      <w:r w:rsidRPr="00027624">
        <w:t>The review</w:t>
      </w:r>
      <w:r w:rsidR="00A8443E" w:rsidRPr="00027624">
        <w:t>’</w:t>
      </w:r>
      <w:r w:rsidRPr="00027624">
        <w:t>s retirement income cameo model (assumptions and methodology)</w:t>
      </w:r>
    </w:p>
    <w:p w14:paraId="11B839F0" w14:textId="77777777" w:rsidR="00E96B29" w:rsidRPr="00027624" w:rsidRDefault="00E96B29" w:rsidP="00791570">
      <w:pPr>
        <w:pStyle w:val="OutlineNumbered1"/>
      </w:pPr>
      <w:r w:rsidRPr="00027624">
        <w:t>Model of Australian Retirement Incomes and Assets (assumptions and methodology)</w:t>
      </w:r>
    </w:p>
    <w:p w14:paraId="63936069" w14:textId="77777777" w:rsidR="00E96B29" w:rsidRPr="00027624" w:rsidRDefault="00E96B29" w:rsidP="00791570">
      <w:pPr>
        <w:pStyle w:val="OutlineNumbered1"/>
      </w:pPr>
      <w:r w:rsidRPr="00027624">
        <w:t>SPROUT (Rice Warner model/ISA): assumptions and methodology)</w:t>
      </w:r>
    </w:p>
    <w:p w14:paraId="27E68D23" w14:textId="77777777" w:rsidR="00E96B29" w:rsidRPr="00027624" w:rsidRDefault="00E96B29" w:rsidP="00791570">
      <w:pPr>
        <w:pStyle w:val="OutlineNumbered1"/>
      </w:pPr>
      <w:r w:rsidRPr="00027624">
        <w:t>Modelling financial stress</w:t>
      </w:r>
    </w:p>
    <w:p w14:paraId="52C14E42" w14:textId="77777777" w:rsidR="00E96B29" w:rsidRPr="00027624" w:rsidRDefault="00E96B29" w:rsidP="00E96B29">
      <w:pPr>
        <w:pStyle w:val="Heading2"/>
        <w:rPr>
          <w:lang w:val="en-US"/>
        </w:rPr>
      </w:pPr>
      <w:bookmarkStart w:id="4209" w:name="_Ref42617175"/>
      <w:bookmarkStart w:id="4210" w:name="_Toc45520561"/>
      <w:bookmarkStart w:id="4211" w:name="_Toc46133673"/>
      <w:r w:rsidRPr="00027624">
        <w:t>Evidence on the effect of changes in the Superannuation Guarantee on wages growth</w:t>
      </w:r>
      <w:bookmarkEnd w:id="4209"/>
      <w:bookmarkEnd w:id="4210"/>
      <w:bookmarkEnd w:id="4211"/>
    </w:p>
    <w:p w14:paraId="5CE40BF2" w14:textId="77777777" w:rsidR="00E96B29" w:rsidRPr="00027624" w:rsidRDefault="00E96B29" w:rsidP="00E96B29">
      <w:r w:rsidRPr="00027624">
        <w:t>The SG mandates employers make contributions into employees</w:t>
      </w:r>
      <w:r w:rsidR="00A8443E" w:rsidRPr="00027624">
        <w:t>’</w:t>
      </w:r>
      <w:r w:rsidRPr="00027624">
        <w:t xml:space="preserve"> personal superannuation accounts. The SG is currently at 9.5 per cent of ordinary time earnings and is legislated to increase to 10 per cent on 1 July 2021. Further increases, by 0.5 percentage points each year, will follow until the SG reaches 12 per cent on 1 July 2025. How these changes will affect living standards both during and before retirement will depend on the extent to which the costs of higher SG payments reduce wages growth.</w:t>
      </w:r>
    </w:p>
    <w:p w14:paraId="33AB382E" w14:textId="77777777" w:rsidR="00E96B29" w:rsidRPr="00027624" w:rsidRDefault="00E96B29" w:rsidP="00E96B29">
      <w:r w:rsidRPr="00027624">
        <w:t>The weight of evidence suggests the majority of SG increases are paid for through lower growth in wages. This evidence includes:</w:t>
      </w:r>
    </w:p>
    <w:p w14:paraId="4A96FA74" w14:textId="77777777" w:rsidR="00E96B29" w:rsidRPr="00027624" w:rsidRDefault="00E96B29" w:rsidP="00E96B29">
      <w:pPr>
        <w:pStyle w:val="Bullet"/>
      </w:pPr>
      <w:r w:rsidRPr="00027624">
        <w:t xml:space="preserve">Two domestic studies assessing the effect of the SG on wages in Australia, using </w:t>
      </w:r>
      <w:r w:rsidRPr="00027624" w:rsidDel="004C4946">
        <w:t>different</w:t>
      </w:r>
      <w:r w:rsidRPr="00027624">
        <w:t xml:space="preserve"> data sources and identification strategies</w:t>
      </w:r>
    </w:p>
    <w:p w14:paraId="1D130165" w14:textId="77777777" w:rsidR="00E96B29" w:rsidRPr="00027624" w:rsidRDefault="00E96B29" w:rsidP="00E96B29">
      <w:pPr>
        <w:pStyle w:val="Bullet"/>
      </w:pPr>
      <w:r w:rsidRPr="00027624">
        <w:t xml:space="preserve">Economic theory and international evidence of the effects of </w:t>
      </w:r>
      <w:r w:rsidR="00A8443E" w:rsidRPr="00027624">
        <w:t>‘</w:t>
      </w:r>
      <w:r w:rsidRPr="00027624">
        <w:t>mandated benefits</w:t>
      </w:r>
      <w:r w:rsidR="00A8443E" w:rsidRPr="00027624">
        <w:t>’</w:t>
      </w:r>
      <w:r w:rsidRPr="00027624">
        <w:t xml:space="preserve"> that provide employees strong direct benefits like superannuation</w:t>
      </w:r>
    </w:p>
    <w:p w14:paraId="7D293D94" w14:textId="77777777" w:rsidR="00E96B29" w:rsidRPr="00027624" w:rsidRDefault="00E96B29" w:rsidP="00E96B29">
      <w:pPr>
        <w:pStyle w:val="Bullet"/>
      </w:pPr>
      <w:r w:rsidRPr="00027624">
        <w:t>The explicit intent of the SG policy at its outset for a trade</w:t>
      </w:r>
      <w:r w:rsidR="00A8443E" w:rsidRPr="00027624">
        <w:noBreakHyphen/>
      </w:r>
      <w:r w:rsidRPr="00027624">
        <w:t>off between wages and superannuation contributions, which has not been significantly affected by subsequent developments in Australian wage</w:t>
      </w:r>
      <w:r w:rsidR="00A8443E" w:rsidRPr="00027624">
        <w:noBreakHyphen/>
      </w:r>
      <w:r w:rsidRPr="00027624">
        <w:t>setting arrangements.</w:t>
      </w:r>
    </w:p>
    <w:p w14:paraId="322C5851" w14:textId="77777777" w:rsidR="00E96B29" w:rsidRPr="00027624" w:rsidRDefault="00E96B29" w:rsidP="00E96B29">
      <w:pPr>
        <w:pStyle w:val="Heading3"/>
      </w:pPr>
      <w:r w:rsidRPr="00027624">
        <w:t>History of the Superannuation Guarantee and wages in Australia</w:t>
      </w:r>
    </w:p>
    <w:p w14:paraId="6A44F783" w14:textId="77777777" w:rsidR="00E96B29" w:rsidRPr="00027624" w:rsidRDefault="00E96B29" w:rsidP="00E96B29">
      <w:r w:rsidRPr="00027624">
        <w:t xml:space="preserve">The forerunner of the SG, and start of compulsory superannuation, was </w:t>
      </w:r>
      <w:r w:rsidR="00A8443E" w:rsidRPr="00027624">
        <w:t>‘</w:t>
      </w:r>
      <w:r w:rsidRPr="00027624">
        <w:t>award superannuation</w:t>
      </w:r>
      <w:r w:rsidR="00A8443E" w:rsidRPr="00027624">
        <w:t>’</w:t>
      </w:r>
      <w:r w:rsidRPr="00027624">
        <w:t>. Superannuation through award wages started in 1985, negotiated between the federal Labor government and the Australian Council of Trade Unions (ACTU).</w:t>
      </w:r>
      <w:r w:rsidRPr="00027624">
        <w:rPr>
          <w:rStyle w:val="FootnoteReference"/>
        </w:rPr>
        <w:footnoteReference w:id="323"/>
      </w:r>
    </w:p>
    <w:p w14:paraId="72D83F7E" w14:textId="77777777" w:rsidR="00E96B29" w:rsidRPr="00027624" w:rsidRDefault="00E96B29">
      <w:r w:rsidRPr="00027624">
        <w:t>Compulsory award superannuation was explicitly a trade</w:t>
      </w:r>
      <w:r w:rsidR="00A8443E" w:rsidRPr="00027624">
        <w:noBreakHyphen/>
      </w:r>
      <w:r w:rsidRPr="00027624">
        <w:t>off with wages:</w:t>
      </w:r>
    </w:p>
    <w:p w14:paraId="6D08BBFB" w14:textId="77777777" w:rsidR="00E96B29" w:rsidRPr="00027624" w:rsidRDefault="00A8443E" w:rsidP="00E96B29">
      <w:pPr>
        <w:pStyle w:val="Quote"/>
      </w:pPr>
      <w:r w:rsidRPr="00027624">
        <w:t>‘</w:t>
      </w:r>
      <w:r w:rsidR="00E96B29" w:rsidRPr="00027624">
        <w:t>In return for tax cuts and 3% Award</w:t>
      </w:r>
      <w:r w:rsidRPr="00027624">
        <w:noBreakHyphen/>
      </w:r>
      <w:r w:rsidR="00E96B29" w:rsidRPr="00027624">
        <w:t>based Superannuation the ACTU accepted a 2% discount of the wage rise based on the CPI.</w:t>
      </w:r>
      <w:r w:rsidRPr="00027624">
        <w:t>’</w:t>
      </w:r>
      <w:r w:rsidR="00E96B29" w:rsidRPr="00027624">
        <w:t xml:space="preserve"> </w:t>
      </w:r>
      <w:sdt>
        <w:sdtPr>
          <w:id w:val="-719671228"/>
          <w:citation/>
        </w:sdtPr>
        <w:sdtEndPr/>
        <w:sdtContent>
          <w:r w:rsidR="00E96B29" w:rsidRPr="00027624">
            <w:fldChar w:fldCharType="begin"/>
          </w:r>
          <w:r w:rsidR="00E96B29" w:rsidRPr="00027624">
            <w:instrText xml:space="preserve"> CITATION ACT90 \l 3081 </w:instrText>
          </w:r>
          <w:r w:rsidR="00E96B29" w:rsidRPr="00027624">
            <w:fldChar w:fldCharType="separate"/>
          </w:r>
          <w:r w:rsidR="00E83F6E">
            <w:rPr>
              <w:noProof/>
            </w:rPr>
            <w:t>(Australian Council of Trade Unions, 1990)</w:t>
          </w:r>
          <w:r w:rsidR="00E96B29" w:rsidRPr="00027624">
            <w:fldChar w:fldCharType="end"/>
          </w:r>
        </w:sdtContent>
      </w:sdt>
    </w:p>
    <w:p w14:paraId="03208C17" w14:textId="77777777" w:rsidR="00E96B29" w:rsidRPr="00027624" w:rsidRDefault="00E96B29" w:rsidP="00E96B29">
      <w:r w:rsidRPr="00027624">
        <w:t>This increased the coverage of superannuation to 55 per cent of employees in 1988, up from 32 per cent in 1974</w:t>
      </w:r>
      <w:sdt>
        <w:sdtPr>
          <w:id w:val="364487895"/>
          <w:citation/>
        </w:sdtPr>
        <w:sdtEndPr/>
        <w:sdtContent>
          <w:r w:rsidRPr="00027624">
            <w:fldChar w:fldCharType="begin"/>
          </w:r>
          <w:r w:rsidRPr="00027624">
            <w:instrText xml:space="preserve"> CITATION ABS09 \l 3081 </w:instrText>
          </w:r>
          <w:r w:rsidRPr="00027624">
            <w:fldChar w:fldCharType="separate"/>
          </w:r>
          <w:r w:rsidR="00E83F6E">
            <w:rPr>
              <w:noProof/>
            </w:rPr>
            <w:t xml:space="preserve"> (ABS, 2009a)</w:t>
          </w:r>
          <w:r w:rsidRPr="00027624">
            <w:fldChar w:fldCharType="end"/>
          </w:r>
        </w:sdtContent>
      </w:sdt>
      <w:r w:rsidRPr="00027624">
        <w:t>.</w:t>
      </w:r>
    </w:p>
    <w:p w14:paraId="12AB043B" w14:textId="77777777" w:rsidR="00E96B29" w:rsidRPr="00027624" w:rsidRDefault="00E96B29" w:rsidP="00E96B29">
      <w:r w:rsidRPr="00027624">
        <w:t xml:space="preserve">Part of the motivation for shifting some remuneration from current wages to superannuation was to temper inflationary pressures in the face of exchange rate depreciation and declines in the terms of trade </w:t>
      </w:r>
      <w:sdt>
        <w:sdtPr>
          <w:id w:val="-507529904"/>
          <w:citation/>
        </w:sdtPr>
        <w:sdtEndPr/>
        <w:sdtContent>
          <w:r w:rsidRPr="00027624">
            <w:fldChar w:fldCharType="begin"/>
          </w:r>
          <w:r w:rsidRPr="00027624">
            <w:instrText xml:space="preserve"> CITATION ACT90 \l 3081 </w:instrText>
          </w:r>
          <w:r w:rsidRPr="00027624">
            <w:fldChar w:fldCharType="separate"/>
          </w:r>
          <w:r w:rsidR="00E83F6E">
            <w:rPr>
              <w:noProof/>
            </w:rPr>
            <w:t>(Australian Council of Trade Unions, 1990)</w:t>
          </w:r>
          <w:r w:rsidRPr="00027624">
            <w:fldChar w:fldCharType="end"/>
          </w:r>
        </w:sdtContent>
      </w:sdt>
      <w:r w:rsidRPr="00027624">
        <w:t xml:space="preserve">; </w:t>
      </w:r>
      <w:sdt>
        <w:sdtPr>
          <w:id w:val="565542034"/>
          <w:citation/>
        </w:sdtPr>
        <w:sdtEndPr/>
        <w:sdtContent>
          <w:r w:rsidRPr="00027624">
            <w:fldChar w:fldCharType="begin"/>
          </w:r>
          <w:r w:rsidRPr="00027624">
            <w:instrText xml:space="preserve"> CITATION Mil20 \l 3081 </w:instrText>
          </w:r>
          <w:r w:rsidRPr="00027624">
            <w:fldChar w:fldCharType="separate"/>
          </w:r>
          <w:r w:rsidR="00E83F6E">
            <w:rPr>
              <w:noProof/>
            </w:rPr>
            <w:t>(Millane, 2020)</w:t>
          </w:r>
          <w:r w:rsidRPr="00027624">
            <w:fldChar w:fldCharType="end"/>
          </w:r>
        </w:sdtContent>
      </w:sdt>
      <w:r w:rsidRPr="00027624">
        <w:t>. This tempering would only occur if higher superannuation resulted in reduced wages growth.</w:t>
      </w:r>
    </w:p>
    <w:p w14:paraId="45CE15EA" w14:textId="77777777" w:rsidR="00E96B29" w:rsidRPr="00027624" w:rsidRDefault="00E96B29" w:rsidP="00E96B29">
      <w:r w:rsidRPr="00027624">
        <w:t xml:space="preserve">A comprehensive employer SG was pursued after the Australian Industrial Relations Commission rejected further increases to award superannuation </w:t>
      </w:r>
      <w:sdt>
        <w:sdtPr>
          <w:id w:val="-677116001"/>
          <w:citation/>
        </w:sdtPr>
        <w:sdtEndPr/>
        <w:sdtContent>
          <w:r w:rsidRPr="00027624">
            <w:fldChar w:fldCharType="begin"/>
          </w:r>
          <w:r w:rsidRPr="00027624">
            <w:instrText xml:space="preserve"> CITATION Mil20 \l 3081 </w:instrText>
          </w:r>
          <w:r w:rsidRPr="00027624">
            <w:fldChar w:fldCharType="separate"/>
          </w:r>
          <w:r w:rsidR="00E83F6E">
            <w:rPr>
              <w:noProof/>
            </w:rPr>
            <w:t>(Millane, 2020)</w:t>
          </w:r>
          <w:r w:rsidRPr="00027624">
            <w:fldChar w:fldCharType="end"/>
          </w:r>
        </w:sdtContent>
      </w:sdt>
      <w:r w:rsidRPr="00027624">
        <w:t>.</w:t>
      </w:r>
      <w:r w:rsidRPr="00027624" w:rsidDel="00D355A9">
        <w:t xml:space="preserve"> </w:t>
      </w:r>
      <w:r w:rsidRPr="00027624">
        <w:t>The Government described the</w:t>
      </w:r>
      <w:r w:rsidRPr="00027624" w:rsidDel="008535BE">
        <w:t xml:space="preserve"> </w:t>
      </w:r>
      <w:r w:rsidRPr="00027624">
        <w:t xml:space="preserve">introduction of the SG as </w:t>
      </w:r>
      <w:r w:rsidR="00A8443E" w:rsidRPr="00027624">
        <w:rPr>
          <w:rStyle w:val="QuoteChar"/>
        </w:rPr>
        <w:t>‘</w:t>
      </w:r>
      <w:r w:rsidRPr="00027624">
        <w:rPr>
          <w:rStyle w:val="QuoteChar"/>
        </w:rPr>
        <w:t>forgoing a faster increase in real take</w:t>
      </w:r>
      <w:r w:rsidR="00A8443E" w:rsidRPr="00027624">
        <w:rPr>
          <w:rStyle w:val="QuoteChar"/>
        </w:rPr>
        <w:noBreakHyphen/>
      </w:r>
      <w:r w:rsidRPr="00027624">
        <w:rPr>
          <w:rStyle w:val="QuoteChar"/>
        </w:rPr>
        <w:t>home pay in return for a higher standard of living in retirement</w:t>
      </w:r>
      <w:r w:rsidR="00A8443E" w:rsidRPr="00027624">
        <w:rPr>
          <w:rStyle w:val="QuoteChar"/>
        </w:rPr>
        <w:t>’</w:t>
      </w:r>
      <w:r w:rsidRPr="00027624">
        <w:t xml:space="preserve"> </w:t>
      </w:r>
      <w:sdt>
        <w:sdtPr>
          <w:id w:val="1068609430"/>
          <w:citation/>
        </w:sdtPr>
        <w:sdtEndPr/>
        <w:sdtContent>
          <w:r w:rsidRPr="00027624">
            <w:fldChar w:fldCharType="begin"/>
          </w:r>
          <w:r w:rsidRPr="00027624">
            <w:instrText xml:space="preserve">CITATION Daw92 \p 17 \l 3081 </w:instrText>
          </w:r>
          <w:r w:rsidRPr="00027624">
            <w:fldChar w:fldCharType="separate"/>
          </w:r>
          <w:r w:rsidR="00E83F6E">
            <w:rPr>
              <w:noProof/>
            </w:rPr>
            <w:t>(Dawkins, 1992, p. 17)</w:t>
          </w:r>
          <w:r w:rsidRPr="00027624">
            <w:fldChar w:fldCharType="end"/>
          </w:r>
        </w:sdtContent>
      </w:sdt>
      <w:r w:rsidRPr="00027624">
        <w:t>. Starting in 1992, the payments were initially 3 per cent of ordinary time earnings (4 per cent for employers with payrolls greater than $1 million).</w:t>
      </w:r>
    </w:p>
    <w:p w14:paraId="0E2B919F" w14:textId="667292EF" w:rsidR="00E96B29" w:rsidRPr="00027624" w:rsidRDefault="00E96B29" w:rsidP="00E96B29">
      <w:r w:rsidRPr="00027624">
        <w:t>From its introduction, the rate of the SG was legislated to increase over time. All employees were paid a rate of 6 per cent in 1996, which increased to 9 per cent in 2002. Small increases in 2013 and 2014 brought the rate to its current level of 9.5 per cent. The next increase in the SG to 10 per cent is legislated to occur on 1 July 2021, with further increases bringing the rate to 12 per cent by mid</w:t>
      </w:r>
      <w:r w:rsidR="00A8443E" w:rsidRPr="00027624">
        <w:noBreakHyphen/>
      </w:r>
      <w:r w:rsidRPr="00027624">
        <w:t>2025 (</w:t>
      </w:r>
      <w:r w:rsidRPr="00027624">
        <w:fldChar w:fldCharType="begin"/>
      </w:r>
      <w:r w:rsidRPr="00027624">
        <w:instrText xml:space="preserve"> REF _Ref39472587 \r \h  \* MERGEFORMAT </w:instrText>
      </w:r>
      <w:r w:rsidRPr="00027624">
        <w:fldChar w:fldCharType="separate"/>
      </w:r>
      <w:r w:rsidR="00891058">
        <w:t>Chart 6A-1</w:t>
      </w:r>
      <w:r w:rsidRPr="00027624">
        <w:fldChar w:fldCharType="end"/>
      </w:r>
      <w:r w:rsidRPr="00027624">
        <w:t>).</w:t>
      </w:r>
    </w:p>
    <w:p w14:paraId="387E2B8C" w14:textId="77777777" w:rsidR="00E96B29" w:rsidRPr="00027624" w:rsidRDefault="00E96B29" w:rsidP="00E96B29">
      <w:pPr>
        <w:pStyle w:val="ChartMainHeading"/>
      </w:pPr>
      <w:bookmarkStart w:id="4212" w:name="_Ref39472587"/>
      <w:r w:rsidRPr="00027624">
        <w:t>Rate of the SG, actual and legislated rates</w:t>
      </w:r>
      <w:bookmarkEnd w:id="4212"/>
    </w:p>
    <w:p w14:paraId="5B5968D5" w14:textId="77777777" w:rsidR="00E96B29" w:rsidRPr="00027624" w:rsidRDefault="00E96B29" w:rsidP="00E96B29">
      <w:pPr>
        <w:pStyle w:val="ChartGraphic"/>
      </w:pPr>
      <w:r w:rsidRPr="00027624">
        <w:t> </w:t>
      </w:r>
      <w:r w:rsidR="00F05967">
        <w:rPr>
          <w:noProof/>
        </w:rPr>
        <w:drawing>
          <wp:inline distT="0" distB="0" distL="0" distR="0" wp14:anchorId="6357FFAD" wp14:editId="41F87BAB">
            <wp:extent cx="5585460" cy="2522220"/>
            <wp:effectExtent l="0" t="0" r="0" b="0"/>
            <wp:docPr id="1888992935" name="Picture 1888992935" descr="This chart shows that the SG rate has increased over time. It is currently legislated to increase to 12 per cent by mid-2025." title="Chart 6A-1 Rate of the SG, actual and legislated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10179E74" w14:textId="77777777" w:rsidR="00E96B29" w:rsidRPr="00027624" w:rsidRDefault="00E96B29" w:rsidP="00E96B29">
      <w:pPr>
        <w:pStyle w:val="ChartorTableNote"/>
      </w:pPr>
      <w:r w:rsidRPr="00027624">
        <w:t xml:space="preserve">Source: </w:t>
      </w:r>
      <w:sdt>
        <w:sdtPr>
          <w:id w:val="404344996"/>
          <w:citation/>
        </w:sdtPr>
        <w:sdtEndPr/>
        <w:sdtContent>
          <w:r w:rsidRPr="00027624">
            <w:fldChar w:fldCharType="begin"/>
          </w:r>
          <w:r w:rsidRPr="00027624">
            <w:instrText xml:space="preserve">CITATION Com92 \l 3081 </w:instrText>
          </w:r>
          <w:r w:rsidRPr="00027624">
            <w:fldChar w:fldCharType="separate"/>
          </w:r>
          <w:r w:rsidR="00E83F6E">
            <w:rPr>
              <w:noProof/>
            </w:rPr>
            <w:t>(Commonwealth of Australia, 1992)</w:t>
          </w:r>
          <w:r w:rsidRPr="00027624">
            <w:fldChar w:fldCharType="end"/>
          </w:r>
        </w:sdtContent>
      </w:sdt>
      <w:r w:rsidRPr="00027624">
        <w:fldChar w:fldCharType="begin"/>
      </w:r>
      <w:r w:rsidRPr="00027624">
        <w:instrText xml:space="preserve"> CITATION ATO20 \l 3081 </w:instrText>
      </w:r>
      <w:r w:rsidRPr="00027624">
        <w:fldChar w:fldCharType="separate"/>
      </w:r>
      <w:r w:rsidR="00E83F6E">
        <w:rPr>
          <w:noProof/>
        </w:rPr>
        <w:t xml:space="preserve"> (ATO, 2020g)</w:t>
      </w:r>
      <w:r w:rsidRPr="00027624">
        <w:fldChar w:fldCharType="end"/>
      </w:r>
      <w:r w:rsidRPr="00027624">
        <w:t>.</w:t>
      </w:r>
    </w:p>
    <w:p w14:paraId="75269145" w14:textId="77777777" w:rsidR="00E96B29" w:rsidRPr="00027624" w:rsidRDefault="00E96B29" w:rsidP="00E96B29">
      <w:r w:rsidRPr="00027624">
        <w:t>The explicit trade</w:t>
      </w:r>
      <w:r w:rsidR="00A8443E" w:rsidRPr="00027624">
        <w:noBreakHyphen/>
      </w:r>
      <w:r w:rsidRPr="00027624">
        <w:t>off between superannuation and wages in the Accord ceased soon after the SG was introduced. Award wages became less common when enterprise bargaining was introduced in 1993, which promoted decentralised wage negotiation between unions and individual employers. About a fifth of employees currently have wages set under awards.</w:t>
      </w:r>
    </w:p>
    <w:p w14:paraId="639FE8B1" w14:textId="77777777" w:rsidR="00E96B29" w:rsidRPr="00027624" w:rsidRDefault="00E96B29" w:rsidP="00E96B29">
      <w:r w:rsidRPr="00027624">
        <w:t>Reflecting policy intent and economic theory, governments, Treasury and other analysis has typically assumed pass</w:t>
      </w:r>
      <w:r w:rsidR="00A8443E" w:rsidRPr="00027624">
        <w:noBreakHyphen/>
      </w:r>
      <w:r w:rsidRPr="00027624">
        <w:t xml:space="preserve">through of SG increases to lower wage growth </w:t>
      </w:r>
      <w:sdt>
        <w:sdtPr>
          <w:id w:val="-571122129"/>
          <w:citation/>
        </w:sdtPr>
        <w:sdtEndPr/>
        <w:sdtContent>
          <w:r w:rsidRPr="00027624">
            <w:fldChar w:fldCharType="begin"/>
          </w:r>
          <w:r w:rsidRPr="00027624">
            <w:instrText>CITATION Gal12 \m Rot11 \l 3081  \m Hen09</w:instrText>
          </w:r>
          <w:r w:rsidRPr="00027624">
            <w:fldChar w:fldCharType="separate"/>
          </w:r>
          <w:r w:rsidR="00E83F6E">
            <w:rPr>
              <w:noProof/>
            </w:rPr>
            <w:t>(Gallagher, 2012; Rothman, 2011; Australia’s Future Tax System Review, 2009)</w:t>
          </w:r>
          <w:r w:rsidRPr="00027624">
            <w:fldChar w:fldCharType="end"/>
          </w:r>
        </w:sdtContent>
      </w:sdt>
      <w:r w:rsidRPr="00027624">
        <w:t xml:space="preserve">. For instance, in 2007, Paul Keating remarked that </w:t>
      </w:r>
      <w:r w:rsidR="00A8443E" w:rsidRPr="00027624">
        <w:rPr>
          <w:rStyle w:val="QuoteChar"/>
        </w:rPr>
        <w:t>‘</w:t>
      </w:r>
      <w:r w:rsidRPr="00027624">
        <w:rPr>
          <w:rStyle w:val="QuoteChar"/>
        </w:rPr>
        <w:t>the cost of superannuation was never borne by employers. It was absorbed into the overall wage cost</w:t>
      </w:r>
      <w:r w:rsidR="00A8443E" w:rsidRPr="00027624">
        <w:rPr>
          <w:rStyle w:val="QuoteChar"/>
        </w:rPr>
        <w:t>’</w:t>
      </w:r>
      <w:r w:rsidRPr="00027624">
        <w:t xml:space="preserve"> </w:t>
      </w:r>
      <w:sdt>
        <w:sdtPr>
          <w:id w:val="-1954850623"/>
          <w:citation/>
        </w:sdtPr>
        <w:sdtEndPr/>
        <w:sdtContent>
          <w:r w:rsidRPr="00027624">
            <w:fldChar w:fldCharType="begin"/>
          </w:r>
          <w:r w:rsidRPr="00027624">
            <w:instrText xml:space="preserve"> CITATION Kea07 \l 3081 </w:instrText>
          </w:r>
          <w:r w:rsidRPr="00027624">
            <w:fldChar w:fldCharType="separate"/>
          </w:r>
          <w:r w:rsidR="00E83F6E">
            <w:rPr>
              <w:noProof/>
            </w:rPr>
            <w:t>(Keating, 2007)</w:t>
          </w:r>
          <w:r w:rsidRPr="00027624">
            <w:fldChar w:fldCharType="end"/>
          </w:r>
        </w:sdtContent>
      </w:sdt>
      <w:r w:rsidRPr="00027624">
        <w:t>.</w:t>
      </w:r>
    </w:p>
    <w:p w14:paraId="08AECC69" w14:textId="77777777" w:rsidR="00E96B29" w:rsidRPr="00027624" w:rsidRDefault="00E96B29" w:rsidP="00E96B29">
      <w:r w:rsidRPr="00027624">
        <w:t>This analysis assumed the trade</w:t>
      </w:r>
      <w:r w:rsidR="00A8443E" w:rsidRPr="00027624">
        <w:noBreakHyphen/>
      </w:r>
      <w:r w:rsidRPr="00027624">
        <w:t>off was implicit, where employers and workers negotiated to maintain the same overall total pay packet, including superannuation. As a result, the debate about the incidence of the SG (who bears the cost) has shifted to being an empirical question; that is, the incidence must be inferred from observed data.</w:t>
      </w:r>
    </w:p>
    <w:p w14:paraId="34E48028" w14:textId="77777777" w:rsidR="00E96B29" w:rsidRPr="00027624" w:rsidRDefault="00E96B29" w:rsidP="00E96B29">
      <w:pPr>
        <w:pStyle w:val="Heading3"/>
      </w:pPr>
      <w:r w:rsidRPr="00027624">
        <w:t>Wage setting in Australia</w:t>
      </w:r>
    </w:p>
    <w:p w14:paraId="3D155839" w14:textId="77777777" w:rsidR="00E96B29" w:rsidRPr="00027624" w:rsidRDefault="00E96B29" w:rsidP="00E96B29">
      <w:r w:rsidRPr="00027624">
        <w:t>The wage</w:t>
      </w:r>
      <w:r w:rsidR="00A8443E" w:rsidRPr="00027624">
        <w:noBreakHyphen/>
      </w:r>
      <w:r w:rsidRPr="00027624">
        <w:t>setting process in Australia is likely to facilitate high levels of pass</w:t>
      </w:r>
      <w:r w:rsidR="00A8443E" w:rsidRPr="00027624">
        <w:noBreakHyphen/>
      </w:r>
      <w:r w:rsidRPr="00027624">
        <w:t>through of SG costs to wages. Since an overhaul in the early 1990s, the system of comprehensive award wages has evolved into three main wage</w:t>
      </w:r>
      <w:r w:rsidR="00A8443E" w:rsidRPr="00027624">
        <w:noBreakHyphen/>
      </w:r>
      <w:r w:rsidRPr="00027624">
        <w:t>setting methods:</w:t>
      </w:r>
    </w:p>
    <w:p w14:paraId="76E64670" w14:textId="77777777" w:rsidR="00E96B29" w:rsidRPr="00027624" w:rsidRDefault="00E96B29" w:rsidP="00E96B29">
      <w:pPr>
        <w:pStyle w:val="Bullet"/>
      </w:pPr>
      <w:r w:rsidRPr="00027624">
        <w:t>Collective agreements, covering groups of employees at different firms</w:t>
      </w:r>
    </w:p>
    <w:p w14:paraId="7B293EAE" w14:textId="77777777" w:rsidR="00E96B29" w:rsidRPr="00027624" w:rsidRDefault="00E96B29" w:rsidP="00E96B29">
      <w:pPr>
        <w:pStyle w:val="Bullet"/>
      </w:pPr>
      <w:r w:rsidRPr="00027624">
        <w:t>Individual agreements, negotiated between employees and employers</w:t>
      </w:r>
    </w:p>
    <w:p w14:paraId="78568D1F" w14:textId="77777777" w:rsidR="00E96B29" w:rsidRPr="00027624" w:rsidRDefault="00E96B29" w:rsidP="00E96B29">
      <w:pPr>
        <w:pStyle w:val="Bullet"/>
      </w:pPr>
      <w:r w:rsidRPr="00027624">
        <w:t>Award wages and the national minimum wage, centrally determined by the Fair Work Commission</w:t>
      </w:r>
    </w:p>
    <w:p w14:paraId="2B70DE77" w14:textId="77777777" w:rsidR="00E96B29" w:rsidRPr="00027624" w:rsidRDefault="00E96B29" w:rsidP="00E96B29">
      <w:pPr>
        <w:pStyle w:val="ChartMainHeading"/>
      </w:pPr>
      <w:bookmarkStart w:id="4213" w:name="_Ref42705856"/>
      <w:r w:rsidRPr="00027624">
        <w:t>Methods of employee wage setting in Australia</w:t>
      </w:r>
      <w:bookmarkEnd w:id="4213"/>
    </w:p>
    <w:p w14:paraId="24134CFB" w14:textId="77777777" w:rsidR="00E96B29" w:rsidRPr="00027624" w:rsidRDefault="00757E37" w:rsidP="00E96B29">
      <w:pPr>
        <w:pStyle w:val="ChartGraphic"/>
      </w:pPr>
      <w:r>
        <w:rPr>
          <w:noProof/>
        </w:rPr>
        <w:drawing>
          <wp:inline distT="0" distB="0" distL="0" distR="0" wp14:anchorId="74AD3791" wp14:editId="3439BDD2">
            <wp:extent cx="5585460" cy="2659380"/>
            <wp:effectExtent l="0" t="0" r="0" b="7620"/>
            <wp:docPr id="1888992955" name="Picture 1888992955" descr="This chart shows that the most common methods of employee wage setting in Australia are by collective or individual agreements, which each account for almost 40 per cent of wage-setting. Award only represents the remaining 20 per cent. " title="Chart 6A-2 Methods of employee wage setting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585460" cy="2659380"/>
                    </a:xfrm>
                    <a:prstGeom prst="rect">
                      <a:avLst/>
                    </a:prstGeom>
                    <a:noFill/>
                  </pic:spPr>
                </pic:pic>
              </a:graphicData>
            </a:graphic>
          </wp:inline>
        </w:drawing>
      </w:r>
    </w:p>
    <w:p w14:paraId="137CF32E" w14:textId="77777777" w:rsidR="00E96B29" w:rsidRPr="00027624" w:rsidRDefault="00E96B29" w:rsidP="00DE6C9E">
      <w:pPr>
        <w:pStyle w:val="ChartorTableNote"/>
      </w:pPr>
      <w:r w:rsidRPr="00027624">
        <w:t xml:space="preserve">Note: Based on survey data collected in May 2018. Excludes </w:t>
      </w:r>
      <w:r w:rsidR="00A8443E" w:rsidRPr="00027624">
        <w:t>‘</w:t>
      </w:r>
      <w:r w:rsidRPr="00027624">
        <w:t>owner manager of incorporated enterprise</w:t>
      </w:r>
      <w:r w:rsidR="00A8443E" w:rsidRPr="00027624">
        <w:t>’</w:t>
      </w:r>
      <w:r w:rsidRPr="00027624">
        <w:t>. Source: Analysis of</w:t>
      </w:r>
      <w:sdt>
        <w:sdtPr>
          <w:id w:val="-1414475123"/>
          <w:citation/>
        </w:sdtPr>
        <w:sdtEndPr/>
        <w:sdtContent>
          <w:r w:rsidRPr="00027624">
            <w:fldChar w:fldCharType="begin"/>
          </w:r>
          <w:r w:rsidRPr="00027624">
            <w:instrText xml:space="preserve"> CITATION ABS195 \l 3081 </w:instrText>
          </w:r>
          <w:r w:rsidRPr="00027624">
            <w:fldChar w:fldCharType="separate"/>
          </w:r>
          <w:r w:rsidR="00E83F6E">
            <w:rPr>
              <w:noProof/>
            </w:rPr>
            <w:t xml:space="preserve"> (ABS, 2019h)</w:t>
          </w:r>
          <w:r w:rsidRPr="00027624">
            <w:fldChar w:fldCharType="end"/>
          </w:r>
        </w:sdtContent>
      </w:sdt>
      <w:r w:rsidRPr="00027624">
        <w:t>.</w:t>
      </w:r>
    </w:p>
    <w:p w14:paraId="3B89F5D1" w14:textId="77777777" w:rsidR="00E96B29" w:rsidRPr="00027624" w:rsidRDefault="00E96B29" w:rsidP="00E96B29">
      <w:pPr>
        <w:pStyle w:val="Heading4"/>
      </w:pPr>
      <w:r w:rsidRPr="00027624">
        <w:t>Individual agreements</w:t>
      </w:r>
    </w:p>
    <w:p w14:paraId="36A81F0E" w14:textId="2ABFF90F" w:rsidR="00E96B29" w:rsidRPr="00027624" w:rsidRDefault="00E96B29" w:rsidP="00E96B29">
      <w:r w:rsidRPr="00027624">
        <w:t>Almost 40 per cent of employees have wages set by individual agreements with their employer (</w:t>
      </w:r>
      <w:r w:rsidRPr="00027624">
        <w:fldChar w:fldCharType="begin"/>
      </w:r>
      <w:r w:rsidRPr="00027624">
        <w:instrText xml:space="preserve"> REF _Ref42705856 \r \h  \* MERGEFORMAT </w:instrText>
      </w:r>
      <w:r w:rsidRPr="00027624">
        <w:fldChar w:fldCharType="separate"/>
      </w:r>
      <w:r w:rsidR="00891058">
        <w:t>Chart 6A-2</w:t>
      </w:r>
      <w:r w:rsidRPr="00027624">
        <w:fldChar w:fldCharType="end"/>
      </w:r>
      <w:r w:rsidRPr="00027624">
        <w:t>).</w:t>
      </w:r>
    </w:p>
    <w:p w14:paraId="6ABC248A" w14:textId="77777777" w:rsidR="00E96B29" w:rsidRPr="00027624" w:rsidRDefault="00E96B29" w:rsidP="00E96B29">
      <w:r w:rsidRPr="00027624">
        <w:t xml:space="preserve">Since these agreements are individual, no detailed data is available on how </w:t>
      </w:r>
      <w:r w:rsidR="00016EA8" w:rsidRPr="00027624">
        <w:t>SG</w:t>
      </w:r>
      <w:r w:rsidRPr="00027624">
        <w:t xml:space="preserve"> costs are distributed. However, such agreements are more likely to cover higher</w:t>
      </w:r>
      <w:r w:rsidR="00A8443E" w:rsidRPr="00027624">
        <w:noBreakHyphen/>
      </w:r>
      <w:r w:rsidRPr="00027624">
        <w:t>income workers who gain a higher value from superannuation tax concessions. About sixty per cent of employees on individual arrangements earn more than the median wage</w:t>
      </w:r>
      <w:sdt>
        <w:sdtPr>
          <w:id w:val="1787542438"/>
          <w:citation/>
        </w:sdtPr>
        <w:sdtEndPr/>
        <w:sdtContent>
          <w:r w:rsidRPr="00027624">
            <w:fldChar w:fldCharType="begin"/>
          </w:r>
          <w:r w:rsidRPr="00027624">
            <w:instrText xml:space="preserve"> CITATION ABS195 \l 3081 </w:instrText>
          </w:r>
          <w:r w:rsidRPr="00027624">
            <w:fldChar w:fldCharType="separate"/>
          </w:r>
          <w:r w:rsidR="00E83F6E">
            <w:rPr>
              <w:noProof/>
            </w:rPr>
            <w:t xml:space="preserve"> (ABS, 2019h)</w:t>
          </w:r>
          <w:r w:rsidRPr="00027624">
            <w:fldChar w:fldCharType="end"/>
          </w:r>
        </w:sdtContent>
      </w:sdt>
      <w:r w:rsidRPr="00027624">
        <w:t>.</w:t>
      </w:r>
    </w:p>
    <w:p w14:paraId="4ED2B4C6" w14:textId="77777777" w:rsidR="00E96B29" w:rsidRPr="00027624" w:rsidRDefault="00E96B29" w:rsidP="00E96B29">
      <w:r w:rsidRPr="00027624">
        <w:t>Many individual agreements define a total remuneration package, which includes superannuation, suggesting</w:t>
      </w:r>
      <w:r w:rsidRPr="00027624" w:rsidDel="00392743">
        <w:t xml:space="preserve"> </w:t>
      </w:r>
      <w:r w:rsidRPr="00027624">
        <w:t>that the incidence of the SG is contracted onto the employee.</w:t>
      </w:r>
      <w:r w:rsidRPr="00027624" w:rsidDel="00392743">
        <w:t xml:space="preserve"> </w:t>
      </w:r>
      <w:r w:rsidRPr="00027624">
        <w:t>For such agreements, it implies full pass</w:t>
      </w:r>
      <w:r w:rsidR="00A8443E" w:rsidRPr="00027624">
        <w:noBreakHyphen/>
      </w:r>
      <w:r w:rsidRPr="00027624">
        <w:t>through of SG changes to wages in the short run, with the potential for subsequent reallocation back to the employer through renegotiation.</w:t>
      </w:r>
    </w:p>
    <w:p w14:paraId="046DE653" w14:textId="77777777" w:rsidR="00E96B29" w:rsidRPr="00027624" w:rsidRDefault="00E96B29" w:rsidP="00E96B29">
      <w:r w:rsidRPr="00027624">
        <w:t xml:space="preserve">Analysis also suggests that wages growth for workers on individual agreements is more responsive to changes in economic conditions </w:t>
      </w:r>
      <w:sdt>
        <w:sdtPr>
          <w:id w:val="-1994633461"/>
          <w:citation/>
        </w:sdtPr>
        <w:sdtEndPr/>
        <w:sdtContent>
          <w:r w:rsidRPr="00027624">
            <w:fldChar w:fldCharType="begin"/>
          </w:r>
          <w:r w:rsidRPr="00027624">
            <w:instrText xml:space="preserve"> CITATION Bis19 \l 3081 </w:instrText>
          </w:r>
          <w:r w:rsidRPr="00027624">
            <w:fldChar w:fldCharType="separate"/>
          </w:r>
          <w:r w:rsidR="00E83F6E">
            <w:rPr>
              <w:noProof/>
            </w:rPr>
            <w:t>(Bishop &amp; Cassidy, 2019)</w:t>
          </w:r>
          <w:r w:rsidRPr="00027624">
            <w:fldChar w:fldCharType="end"/>
          </w:r>
        </w:sdtContent>
      </w:sdt>
      <w:r w:rsidRPr="00027624">
        <w:t>, which may mean it is also quite responsive to changes in labour costs. Some individual agreements are linked to award wage outcomes, which take into account changes in the SG.</w:t>
      </w:r>
    </w:p>
    <w:p w14:paraId="0729C231" w14:textId="77777777" w:rsidR="00E96B29" w:rsidRPr="00027624" w:rsidRDefault="00E96B29" w:rsidP="00E96B29">
      <w:pPr>
        <w:pStyle w:val="Heading4"/>
      </w:pPr>
      <w:r w:rsidRPr="00027624">
        <w:t>Awards</w:t>
      </w:r>
    </w:p>
    <w:p w14:paraId="680B8294" w14:textId="77777777" w:rsidR="00E96B29" w:rsidRPr="00027624" w:rsidRDefault="00E96B29" w:rsidP="00E96B29">
      <w:r w:rsidRPr="00027624">
        <w:t xml:space="preserve">Award wages are legally binding minimum wages that vary by industry and occupation, with the national minimum wage applying to any employee not covered by a specific award. These awards directly determine the wages of around 20 per cent of employees and around 13 per cent of total wages </w:t>
      </w:r>
      <w:sdt>
        <w:sdtPr>
          <w:id w:val="831804898"/>
          <w:citation/>
        </w:sdtPr>
        <w:sdtEndPr/>
        <w:sdtContent>
          <w:r w:rsidRPr="00027624">
            <w:fldChar w:fldCharType="begin"/>
          </w:r>
          <w:r w:rsidRPr="00027624">
            <w:instrText xml:space="preserve"> CITATION Bis19 \l 3081 </w:instrText>
          </w:r>
          <w:r w:rsidRPr="00027624">
            <w:fldChar w:fldCharType="separate"/>
          </w:r>
          <w:r w:rsidR="00E83F6E">
            <w:rPr>
              <w:noProof/>
            </w:rPr>
            <w:t>(Bishop &amp; Cassidy, 2019)</w:t>
          </w:r>
          <w:r w:rsidRPr="00027624">
            <w:fldChar w:fldCharType="end"/>
          </w:r>
        </w:sdtContent>
      </w:sdt>
      <w:r w:rsidRPr="00027624">
        <w:t>. The Fair Work Commission centrally determines award wages and the minimum wage.</w:t>
      </w:r>
    </w:p>
    <w:p w14:paraId="1C9D4B1F" w14:textId="77777777" w:rsidR="00E96B29" w:rsidRPr="00027624" w:rsidRDefault="00E96B29" w:rsidP="00E96B29">
      <w:r w:rsidRPr="00027624">
        <w:t>The Fair Work Commission has considered SG contributions a deferred benefit for employees and has taken changes in the SG into account when determining award wage outcomes. For example:</w:t>
      </w:r>
    </w:p>
    <w:p w14:paraId="5957B88E" w14:textId="77777777" w:rsidR="00E96B29" w:rsidRPr="00027624" w:rsidRDefault="00A8443E" w:rsidP="00E96B29">
      <w:pPr>
        <w:pStyle w:val="Quote"/>
      </w:pPr>
      <w:r w:rsidRPr="00027624">
        <w:t>‘</w:t>
      </w:r>
      <w:r w:rsidR="00E96B29" w:rsidRPr="00027624">
        <w:t>The SG rate increase to apply from 1 July 2013 is a moderating factor in considering the adjustment that should be made to minimum wages. As a result, though it would not be appropriate to quantify its effect, the increase in modern award minimum wages and the NMW [national minimum wage] we have awarded in this Review is lower than it otherwise would have been in the absence of the SG rate increase.</w:t>
      </w:r>
      <w:r w:rsidRPr="00027624">
        <w:t>’</w:t>
      </w:r>
      <w:r w:rsidR="00E96B29" w:rsidRPr="00027624">
        <w:t xml:space="preserve"> </w:t>
      </w:r>
      <w:sdt>
        <w:sdtPr>
          <w:id w:val="1711449991"/>
          <w:citation/>
        </w:sdtPr>
        <w:sdtEndPr/>
        <w:sdtContent>
          <w:r w:rsidR="00E96B29" w:rsidRPr="00027624">
            <w:fldChar w:fldCharType="begin"/>
          </w:r>
          <w:r w:rsidR="00E96B29" w:rsidRPr="00027624">
            <w:instrText xml:space="preserve"> CITATION Fai13 \l 3081 </w:instrText>
          </w:r>
          <w:r w:rsidR="00E96B29" w:rsidRPr="00027624">
            <w:fldChar w:fldCharType="separate"/>
          </w:r>
          <w:r w:rsidR="00E83F6E">
            <w:rPr>
              <w:noProof/>
            </w:rPr>
            <w:t>(Fair Work Commission, 2013)</w:t>
          </w:r>
          <w:r w:rsidR="00E96B29" w:rsidRPr="00027624">
            <w:fldChar w:fldCharType="end"/>
          </w:r>
        </w:sdtContent>
      </w:sdt>
    </w:p>
    <w:p w14:paraId="155006B1" w14:textId="77777777" w:rsidR="00E96B29" w:rsidRPr="00027624" w:rsidRDefault="00E96B29" w:rsidP="00E96B29">
      <w:r w:rsidRPr="00027624">
        <w:t xml:space="preserve">As well as explicitly considering the SG in award wages growth, the Fair Work Commission also considers average and median earnings </w:t>
      </w:r>
      <w:sdt>
        <w:sdtPr>
          <w:id w:val="-720284799"/>
          <w:citation/>
        </w:sdtPr>
        <w:sdtEndPr/>
        <w:sdtContent>
          <w:r w:rsidRPr="00027624">
            <w:fldChar w:fldCharType="begin"/>
          </w:r>
          <w:r w:rsidRPr="00027624">
            <w:instrText xml:space="preserve"> CITATION Fai19 \l 3081 </w:instrText>
          </w:r>
          <w:r w:rsidRPr="00027624">
            <w:fldChar w:fldCharType="separate"/>
          </w:r>
          <w:r w:rsidR="00E83F6E">
            <w:rPr>
              <w:noProof/>
            </w:rPr>
            <w:t>(Fair Work Commission, 2019a)</w:t>
          </w:r>
          <w:r w:rsidRPr="00027624">
            <w:fldChar w:fldCharType="end"/>
          </w:r>
        </w:sdtContent>
      </w:sdt>
      <w:r w:rsidRPr="00027624">
        <w:t>. To the extent that SG increases reduce wages growth for employees using other wage</w:t>
      </w:r>
      <w:r w:rsidR="00A8443E" w:rsidRPr="00027624">
        <w:noBreakHyphen/>
      </w:r>
      <w:r w:rsidRPr="00027624">
        <w:t>setting processes, this is likely to have second</w:t>
      </w:r>
      <w:r w:rsidR="00A8443E" w:rsidRPr="00027624">
        <w:noBreakHyphen/>
      </w:r>
      <w:r w:rsidRPr="00027624">
        <w:t>round effects on wages growth for employees who rely on awards.</w:t>
      </w:r>
    </w:p>
    <w:p w14:paraId="3A1D6561" w14:textId="77777777" w:rsidR="00E96B29" w:rsidRPr="00027624" w:rsidRDefault="00E96B29" w:rsidP="00E96B29">
      <w:pPr>
        <w:pStyle w:val="Heading4"/>
      </w:pPr>
      <w:r w:rsidRPr="00027624">
        <w:t>Collective agreements</w:t>
      </w:r>
    </w:p>
    <w:p w14:paraId="14C7131B" w14:textId="77777777" w:rsidR="00E96B29" w:rsidRPr="00027624" w:rsidRDefault="00E96B29" w:rsidP="00E96B29">
      <w:r w:rsidRPr="00027624">
        <w:t>Collective agreements, covering groups of employees at different firms, account for around 40 per cent of employees</w:t>
      </w:r>
      <w:r w:rsidR="00A8443E" w:rsidRPr="00027624">
        <w:t>’</w:t>
      </w:r>
      <w:r w:rsidRPr="00027624">
        <w:t xml:space="preserve"> wages in Australia </w:t>
      </w:r>
      <w:sdt>
        <w:sdtPr>
          <w:id w:val="1086182904"/>
          <w:citation/>
        </w:sdtPr>
        <w:sdtEndPr/>
        <w:sdtContent>
          <w:r w:rsidRPr="00027624">
            <w:fldChar w:fldCharType="begin"/>
          </w:r>
          <w:r w:rsidRPr="00027624">
            <w:instrText xml:space="preserve"> CITATION Bis19 \l 3081 </w:instrText>
          </w:r>
          <w:r w:rsidRPr="00027624">
            <w:fldChar w:fldCharType="separate"/>
          </w:r>
          <w:r w:rsidR="00E83F6E">
            <w:rPr>
              <w:noProof/>
            </w:rPr>
            <w:t>(Bishop &amp; Cassidy, 2019)</w:t>
          </w:r>
          <w:r w:rsidRPr="00027624">
            <w:fldChar w:fldCharType="end"/>
          </w:r>
        </w:sdtContent>
      </w:sdt>
      <w:r w:rsidRPr="00027624">
        <w:t>. Union involvement in negotiating wages might lead to lower pass</w:t>
      </w:r>
      <w:r w:rsidR="00A8443E" w:rsidRPr="00027624">
        <w:noBreakHyphen/>
      </w:r>
      <w:r w:rsidRPr="00027624">
        <w:t>through of superannuation costs to wages if unions enhance the bargaining power of employees. However, there is empirical evidence that pass</w:t>
      </w:r>
      <w:r w:rsidR="00A8443E" w:rsidRPr="00027624">
        <w:noBreakHyphen/>
      </w:r>
      <w:r w:rsidRPr="00027624">
        <w:t xml:space="preserve">through in these agreements is strong </w:t>
      </w:r>
      <w:sdt>
        <w:sdtPr>
          <w:id w:val="813844927"/>
          <w:citation/>
        </w:sdtPr>
        <w:sdtEndPr/>
        <w:sdtContent>
          <w:r w:rsidRPr="00027624">
            <w:fldChar w:fldCharType="begin"/>
          </w:r>
          <w:r w:rsidRPr="00027624">
            <w:instrText xml:space="preserve"> CITATION Coa20 \l 3081 </w:instrText>
          </w:r>
          <w:r w:rsidRPr="00027624">
            <w:fldChar w:fldCharType="separate"/>
          </w:r>
          <w:r w:rsidR="00E83F6E">
            <w:rPr>
              <w:noProof/>
            </w:rPr>
            <w:t>(Coates, et al., 2020)</w:t>
          </w:r>
          <w:r w:rsidRPr="00027624">
            <w:fldChar w:fldCharType="end"/>
          </w:r>
        </w:sdtContent>
      </w:sdt>
      <w:r w:rsidRPr="00027624">
        <w:t>.</w:t>
      </w:r>
    </w:p>
    <w:p w14:paraId="3434B69F" w14:textId="77777777" w:rsidR="00E96B29" w:rsidRPr="00027624" w:rsidRDefault="00E96B29" w:rsidP="00E96B29">
      <w:r w:rsidRPr="00027624">
        <w:t>Some employees may be unaffected by changes to the SG, as they already receive superannuation contributions above the SG (for example, university employees). In aggregate, 14 per cent of employees reported receiving superannuation contributions above 9.5 per cent in the 2018 Household, and Labour Dynamics in Australia (HILDA) Survey.</w:t>
      </w:r>
    </w:p>
    <w:p w14:paraId="654EB3FF" w14:textId="77777777" w:rsidR="00E96B29" w:rsidRPr="00027624" w:rsidRDefault="00E96B29" w:rsidP="00E96B29">
      <w:r w:rsidRPr="00027624">
        <w:t>Within these wage</w:t>
      </w:r>
      <w:r w:rsidR="00A8443E" w:rsidRPr="00027624">
        <w:noBreakHyphen/>
      </w:r>
      <w:r w:rsidRPr="00027624">
        <w:t>setting frameworks, other factors will also matter. Bargaining power, prevailing profitability, market conditions and wage growth may affect how SG costs are distributed across industries and over time.</w:t>
      </w:r>
    </w:p>
    <w:p w14:paraId="175C2D5C" w14:textId="77777777" w:rsidR="00E96B29" w:rsidRPr="00027624" w:rsidRDefault="00E96B29" w:rsidP="00E96B29">
      <w:pPr>
        <w:pStyle w:val="Heading3"/>
      </w:pPr>
      <w:r w:rsidRPr="00027624">
        <w:t>Submissions to the review</w:t>
      </w:r>
    </w:p>
    <w:p w14:paraId="4644CF3B" w14:textId="77777777" w:rsidR="00E96B29" w:rsidRPr="00027624" w:rsidRDefault="00E96B29" w:rsidP="00E96B29">
      <w:r w:rsidRPr="00027624">
        <w:t>Submissions were mixed on the effect of the SG on wages growth. This division was most evident in research and policy institutes</w:t>
      </w:r>
      <w:r w:rsidR="00A8443E" w:rsidRPr="00027624">
        <w:t>’</w:t>
      </w:r>
      <w:r w:rsidRPr="00027624">
        <w:t xml:space="preserve"> submissions, many of which presented evidence they have previously released on the subject.</w:t>
      </w:r>
    </w:p>
    <w:p w14:paraId="58CED5BC" w14:textId="77777777" w:rsidR="00E96B29" w:rsidRPr="00027624" w:rsidRDefault="00E96B29" w:rsidP="00E96B29">
      <w:r w:rsidRPr="00027624">
        <w:t>Likewise, representative bodies were broadly split on whether higher SG payments were a trade</w:t>
      </w:r>
      <w:r w:rsidR="00A8443E" w:rsidRPr="00027624">
        <w:noBreakHyphen/>
      </w:r>
      <w:r w:rsidRPr="00027624">
        <w:t>off for lower wages growth, but industry organisations generally agreed that there was a trade</w:t>
      </w:r>
      <w:r w:rsidR="00A8443E" w:rsidRPr="00027624">
        <w:noBreakHyphen/>
      </w:r>
      <w:r w:rsidRPr="00027624">
        <w:t>off.</w:t>
      </w:r>
    </w:p>
    <w:p w14:paraId="11EA7C32" w14:textId="77777777" w:rsidR="00E96B29" w:rsidRPr="00027624" w:rsidRDefault="00E96B29" w:rsidP="00E96B29">
      <w:r w:rsidRPr="00027624">
        <w:t xml:space="preserve">Submissions presented no new empirical evidence. The </w:t>
      </w:r>
      <w:r w:rsidRPr="00027624">
        <w:rPr>
          <w:i/>
        </w:rPr>
        <w:t>International literature</w:t>
      </w:r>
      <w:r w:rsidRPr="00027624">
        <w:t xml:space="preserve"> and </w:t>
      </w:r>
      <w:r w:rsidRPr="00027624">
        <w:rPr>
          <w:i/>
        </w:rPr>
        <w:t>Australian evidence</w:t>
      </w:r>
      <w:r w:rsidRPr="00027624">
        <w:t xml:space="preserve"> sections below assess the existing research referenced in the submissions.</w:t>
      </w:r>
    </w:p>
    <w:p w14:paraId="6BAB370B" w14:textId="77777777" w:rsidR="00E96B29" w:rsidRPr="00027624" w:rsidRDefault="00E96B29" w:rsidP="00E96B29">
      <w:r w:rsidRPr="00027624">
        <w:t>One submission used a macroeconomic overlapping generations model to explore the impacts of changes to the SG. The submission referred to a paper</w:t>
      </w:r>
      <w:sdt>
        <w:sdtPr>
          <w:id w:val="1158112486"/>
          <w:citation/>
        </w:sdtPr>
        <w:sdtEndPr/>
        <w:sdtContent>
          <w:r w:rsidRPr="00027624">
            <w:fldChar w:fldCharType="begin"/>
          </w:r>
          <w:r w:rsidRPr="00027624">
            <w:instrText xml:space="preserve">CITATION Kud13 \l 3081 </w:instrText>
          </w:r>
          <w:r w:rsidRPr="00027624">
            <w:fldChar w:fldCharType="separate"/>
          </w:r>
          <w:r w:rsidR="00E83F6E">
            <w:rPr>
              <w:noProof/>
            </w:rPr>
            <w:t xml:space="preserve"> (Kudrna &amp; Woodland, 2013)</w:t>
          </w:r>
          <w:r w:rsidRPr="00027624">
            <w:fldChar w:fldCharType="end"/>
          </w:r>
        </w:sdtContent>
      </w:sdt>
      <w:r w:rsidRPr="00027624">
        <w:t xml:space="preserve"> whose central assumption resulted in a full pass</w:t>
      </w:r>
      <w:r w:rsidR="00A8443E" w:rsidRPr="00027624">
        <w:noBreakHyphen/>
      </w:r>
      <w:r w:rsidRPr="00027624">
        <w:t xml:space="preserve">through to wages, but the submission drew attention to an alternative scenario in that paper with a much lower impact on wages. The alternative scenario assumed that higher domestic savings in Australia due to a higher SG rate could significantly reduce the domestic real interest rate. This reduced borrowing costs, increased domestic investment in the economy and in turn boosted wages. </w:t>
      </w:r>
    </w:p>
    <w:p w14:paraId="226B99A2" w14:textId="77777777" w:rsidR="00E96B29" w:rsidRPr="00027624" w:rsidRDefault="00E96B29" w:rsidP="00E96B29">
      <w:r w:rsidRPr="00027624">
        <w:t>In contrast, the </w:t>
      </w:r>
      <w:r w:rsidRPr="00027624">
        <w:rPr>
          <w:color w:val="000000"/>
          <w:shd w:val="clear" w:color="auto" w:fill="FFFFFF"/>
        </w:rPr>
        <w:t>paper</w:t>
      </w:r>
      <w:r w:rsidR="00A8443E" w:rsidRPr="00027624">
        <w:rPr>
          <w:color w:val="000000"/>
          <w:shd w:val="clear" w:color="auto" w:fill="FFFFFF"/>
        </w:rPr>
        <w:t>’</w:t>
      </w:r>
      <w:r w:rsidRPr="00027624">
        <w:rPr>
          <w:color w:val="000000"/>
          <w:shd w:val="clear" w:color="auto" w:fill="FFFFFF"/>
        </w:rPr>
        <w:t xml:space="preserve">s central assumption that the real interest rate affecting investment in Australia is instead set internationally is more typical in similar macroeconomic models, such as </w:t>
      </w:r>
      <w:sdt>
        <w:sdtPr>
          <w:rPr>
            <w:color w:val="000000"/>
            <w:shd w:val="clear" w:color="auto" w:fill="FFFFFF"/>
          </w:rPr>
          <w:id w:val="2139455348"/>
          <w:citation/>
        </w:sdtPr>
        <w:sdtEndPr/>
        <w:sdtContent>
          <w:r w:rsidRPr="00027624">
            <w:rPr>
              <w:color w:val="000000"/>
              <w:shd w:val="clear" w:color="auto" w:fill="FFFFFF"/>
            </w:rPr>
            <w:fldChar w:fldCharType="begin"/>
          </w:r>
          <w:r w:rsidRPr="00027624">
            <w:rPr>
              <w:color w:val="000000"/>
              <w:shd w:val="clear" w:color="auto" w:fill="FFFFFF"/>
            </w:rPr>
            <w:instrText xml:space="preserve"> CITATION Kud15 \l 3081 </w:instrText>
          </w:r>
          <w:r w:rsidRPr="00027624">
            <w:rPr>
              <w:color w:val="000000"/>
              <w:shd w:val="clear" w:color="auto" w:fill="FFFFFF"/>
            </w:rPr>
            <w:fldChar w:fldCharType="separate"/>
          </w:r>
          <w:r w:rsidR="00E83F6E" w:rsidRPr="00E83F6E">
            <w:rPr>
              <w:noProof/>
              <w:color w:val="000000"/>
              <w:shd w:val="clear" w:color="auto" w:fill="FFFFFF"/>
            </w:rPr>
            <w:t>(Kudrna, et al., 2015)</w:t>
          </w:r>
          <w:r w:rsidRPr="00027624">
            <w:rPr>
              <w:color w:val="000000"/>
              <w:shd w:val="clear" w:color="auto" w:fill="FFFFFF"/>
            </w:rPr>
            <w:fldChar w:fldCharType="end"/>
          </w:r>
        </w:sdtContent>
      </w:sdt>
      <w:r w:rsidRPr="00027624">
        <w:rPr>
          <w:color w:val="000000"/>
          <w:shd w:val="clear" w:color="auto" w:fill="FFFFFF"/>
        </w:rPr>
        <w:t xml:space="preserve"> and </w:t>
      </w:r>
      <w:sdt>
        <w:sdtPr>
          <w:rPr>
            <w:color w:val="000000"/>
            <w:shd w:val="clear" w:color="auto" w:fill="FFFFFF"/>
          </w:rPr>
          <w:id w:val="-1098332600"/>
          <w:citation/>
        </w:sdtPr>
        <w:sdtEndPr/>
        <w:sdtContent>
          <w:r w:rsidRPr="00027624">
            <w:rPr>
              <w:color w:val="000000"/>
              <w:shd w:val="clear" w:color="auto" w:fill="FFFFFF"/>
            </w:rPr>
            <w:fldChar w:fldCharType="begin"/>
          </w:r>
          <w:r w:rsidRPr="00027624">
            <w:rPr>
              <w:color w:val="000000"/>
              <w:shd w:val="clear" w:color="auto" w:fill="FFFFFF"/>
            </w:rPr>
            <w:instrText xml:space="preserve"> CITATION Kud18 \l 3081 </w:instrText>
          </w:r>
          <w:r w:rsidRPr="00027624">
            <w:rPr>
              <w:color w:val="000000"/>
              <w:shd w:val="clear" w:color="auto" w:fill="FFFFFF"/>
            </w:rPr>
            <w:fldChar w:fldCharType="separate"/>
          </w:r>
          <w:r w:rsidR="00E83F6E" w:rsidRPr="00E83F6E">
            <w:rPr>
              <w:noProof/>
              <w:color w:val="000000"/>
              <w:shd w:val="clear" w:color="auto" w:fill="FFFFFF"/>
            </w:rPr>
            <w:t>(Kudrna &amp; Tran, 2018)</w:t>
          </w:r>
          <w:r w:rsidRPr="00027624">
            <w:rPr>
              <w:color w:val="000000"/>
              <w:shd w:val="clear" w:color="auto" w:fill="FFFFFF"/>
            </w:rPr>
            <w:fldChar w:fldCharType="end"/>
          </w:r>
        </w:sdtContent>
      </w:sdt>
      <w:r w:rsidRPr="00027624">
        <w:rPr>
          <w:color w:val="000000"/>
          <w:shd w:val="clear" w:color="auto" w:fill="FFFFFF"/>
        </w:rPr>
        <w:t>.</w:t>
      </w:r>
    </w:p>
    <w:p w14:paraId="14F1A06A" w14:textId="77777777" w:rsidR="00E96B29" w:rsidRPr="00027624" w:rsidRDefault="00E96B29" w:rsidP="00E96B29">
      <w:pPr>
        <w:pStyle w:val="Heading3"/>
      </w:pPr>
      <w:r w:rsidRPr="00027624">
        <w:t>Economic theory</w:t>
      </w:r>
    </w:p>
    <w:p w14:paraId="14A3BDB4" w14:textId="77777777" w:rsidR="00E96B29" w:rsidRPr="00027624" w:rsidRDefault="00E96B29" w:rsidP="00E96B29">
      <w:r w:rsidRPr="00027624">
        <w:t xml:space="preserve">The SG is a </w:t>
      </w:r>
      <w:r w:rsidR="00A8443E" w:rsidRPr="00027624">
        <w:t>‘</w:t>
      </w:r>
      <w:r w:rsidRPr="00027624">
        <w:t>mandated benefit</w:t>
      </w:r>
      <w:r w:rsidR="00A8443E" w:rsidRPr="00027624">
        <w:t>’</w:t>
      </w:r>
      <w:r w:rsidRPr="00027624">
        <w:t xml:space="preserve"> for employees. Since employers must pay SG amounts, they face the legal incidence of the payment. However, employees receive all the benefits. Superannuation therefore differs from other taxes on employment, such as payroll taxes, which provide no direct benefits to employees.</w:t>
      </w:r>
    </w:p>
    <w:p w14:paraId="68B168E5" w14:textId="77777777" w:rsidR="00E96B29" w:rsidRPr="00027624" w:rsidRDefault="00E96B29" w:rsidP="00E96B29">
      <w:r w:rsidRPr="00027624">
        <w:t xml:space="preserve">While employers bear the legal incidence of the SG, the </w:t>
      </w:r>
      <w:r w:rsidR="00A8443E" w:rsidRPr="00027624">
        <w:t>‘</w:t>
      </w:r>
      <w:r w:rsidRPr="00027624">
        <w:t>economic incidence</w:t>
      </w:r>
      <w:r w:rsidR="00A8443E" w:rsidRPr="00027624">
        <w:t>’</w:t>
      </w:r>
      <w:r w:rsidRPr="00027624">
        <w:t xml:space="preserve"> (who ultimately bears the cost) will depend on how employers and employees respond to the benefit; for instance, how much employees value the superannuation benefit, how much the demand for labour changes in response to a change in wages, as well as structural features of the labour market such as minimum wages and wage</w:t>
      </w:r>
      <w:r w:rsidR="00A8443E" w:rsidRPr="00027624">
        <w:noBreakHyphen/>
      </w:r>
      <w:r w:rsidRPr="00027624">
        <w:t>setting processes.</w:t>
      </w:r>
    </w:p>
    <w:p w14:paraId="79121678" w14:textId="77777777" w:rsidR="00E96B29" w:rsidRPr="00027624" w:rsidRDefault="00E96B29" w:rsidP="00E96B29">
      <w:r w:rsidRPr="00027624">
        <w:t>In general, employers will respond to an increase in employment costs with a combination of four possible changes:</w:t>
      </w:r>
    </w:p>
    <w:p w14:paraId="45F4EE68" w14:textId="77777777" w:rsidR="00E96B29" w:rsidRPr="00027624" w:rsidRDefault="00E96B29" w:rsidP="00FC7361">
      <w:pPr>
        <w:pStyle w:val="OutlineNumbered1"/>
        <w:numPr>
          <w:ilvl w:val="0"/>
          <w:numId w:val="97"/>
        </w:numPr>
      </w:pPr>
      <w:r w:rsidRPr="00027624">
        <w:t>Increase the prices of their products or services</w:t>
      </w:r>
    </w:p>
    <w:p w14:paraId="606AEC83" w14:textId="77777777" w:rsidR="00E96B29" w:rsidRPr="00027624" w:rsidRDefault="00E96B29" w:rsidP="00791570">
      <w:pPr>
        <w:pStyle w:val="OutlineNumbered1"/>
      </w:pPr>
      <w:r w:rsidRPr="00027624">
        <w:t>Reduce employee wages (or wages growth)</w:t>
      </w:r>
    </w:p>
    <w:p w14:paraId="01004A8A" w14:textId="77777777" w:rsidR="00E96B29" w:rsidRPr="00027624" w:rsidRDefault="00E96B29" w:rsidP="00791570">
      <w:pPr>
        <w:pStyle w:val="OutlineNumbered1"/>
      </w:pPr>
      <w:r w:rsidRPr="00027624">
        <w:t>Reduce the amount of labour demanded</w:t>
      </w:r>
    </w:p>
    <w:p w14:paraId="033847A9" w14:textId="77777777" w:rsidR="00E96B29" w:rsidRPr="00027624" w:rsidRDefault="00E96B29" w:rsidP="00791570">
      <w:pPr>
        <w:pStyle w:val="OutlineNumbered1"/>
      </w:pPr>
      <w:r w:rsidRPr="00027624">
        <w:t>Reduce their profits</w:t>
      </w:r>
    </w:p>
    <w:p w14:paraId="2121C25D" w14:textId="77777777" w:rsidR="00E96B29" w:rsidRPr="00027624" w:rsidRDefault="00E96B29" w:rsidP="00E96B29">
      <w:r w:rsidRPr="00027624">
        <w:t>Even if wages are unaffected, lower labour demand and higher prices are also costs borne by workers.</w:t>
      </w:r>
    </w:p>
    <w:p w14:paraId="272A2FF4" w14:textId="77777777" w:rsidR="00E96B29" w:rsidRPr="00027624" w:rsidRDefault="00E96B29" w:rsidP="00E96B29">
      <w:r w:rsidRPr="00027624">
        <w:t xml:space="preserve">In a stylised labour market framework </w:t>
      </w:r>
      <w:sdt>
        <w:sdtPr>
          <w:id w:val="-931193110"/>
          <w:citation/>
        </w:sdtPr>
        <w:sdtEndPr/>
        <w:sdtContent>
          <w:r w:rsidRPr="00027624">
            <w:fldChar w:fldCharType="begin"/>
          </w:r>
          <w:r w:rsidRPr="00027624">
            <w:instrText xml:space="preserve"> CITATION Sum89 \l 3081 </w:instrText>
          </w:r>
          <w:r w:rsidRPr="00027624">
            <w:fldChar w:fldCharType="separate"/>
          </w:r>
          <w:r w:rsidR="00E83F6E">
            <w:rPr>
              <w:noProof/>
            </w:rPr>
            <w:t>(Summers, 1989)</w:t>
          </w:r>
          <w:r w:rsidRPr="00027624">
            <w:fldChar w:fldCharType="end"/>
          </w:r>
        </w:sdtContent>
      </w:sdt>
      <w:r w:rsidRPr="00027624">
        <w:t>, mandated benefits increase the cost of hiring workers and therefore reduce the demand for labour. Since employers must pay the additional cost of the benefit on top of a given wage, they demand a lower quantity of labour at each wage level than previously. In addition (and by contrast to the example of payroll taxes), employees increase their supply of labour, since for a given take</w:t>
      </w:r>
      <w:r w:rsidR="00A8443E" w:rsidRPr="00027624">
        <w:noBreakHyphen/>
      </w:r>
      <w:r w:rsidRPr="00027624">
        <w:t>home wage they now receive the additional benefit.</w:t>
      </w:r>
    </w:p>
    <w:p w14:paraId="187E7DBF" w14:textId="77777777" w:rsidR="00E96B29" w:rsidRPr="00027624" w:rsidRDefault="00E96B29" w:rsidP="00E96B29">
      <w:r w:rsidRPr="00027624">
        <w:t>It is ambiguous if the new equilibrium wage rate results in more of the costs of a mandated benefit falling on employees or employers. That will depend both on how employers and employees adjust their demand and supply of labour in response to changes in the wage rate and how much employees value the benefit. In general, wages will fall more if employees</w:t>
      </w:r>
      <w:r w:rsidR="00A8443E" w:rsidRPr="00027624">
        <w:t>’</w:t>
      </w:r>
      <w:r w:rsidRPr="00027624">
        <w:t xml:space="preserve"> willingness to work is unresponsive to changes in the wage rate and if they place a high value on the benefit.</w:t>
      </w:r>
    </w:p>
    <w:p w14:paraId="47AAB8E7" w14:textId="77777777" w:rsidR="00E96B29" w:rsidRPr="00027624" w:rsidRDefault="00E96B29" w:rsidP="00E96B29">
      <w:r w:rsidRPr="00027624">
        <w:t>Since, in practice, superannuation has strong direct benefits for employees (payments accumulate in employees</w:t>
      </w:r>
      <w:r w:rsidR="00A8443E" w:rsidRPr="00027624">
        <w:t>’</w:t>
      </w:r>
      <w:r w:rsidRPr="00027624">
        <w:t xml:space="preserve"> accounts to be withdrawn in retirement), this suggests a relatively strong theoretical pass</w:t>
      </w:r>
      <w:r w:rsidR="00A8443E" w:rsidRPr="00027624">
        <w:noBreakHyphen/>
      </w:r>
      <w:r w:rsidRPr="00027624">
        <w:t>through of SG costs to wages.</w:t>
      </w:r>
    </w:p>
    <w:p w14:paraId="7B845410" w14:textId="77777777" w:rsidR="00E96B29" w:rsidRPr="00027624" w:rsidRDefault="00E96B29" w:rsidP="00E96B29">
      <w:r w:rsidRPr="00027624">
        <w:t>In a simple, theoretical example, with a perfectly competitive labour market and employees who are indifferent to the mix of superannuation and wages in their remuneration, there might be full pass</w:t>
      </w:r>
      <w:r w:rsidR="00A8443E" w:rsidRPr="00027624">
        <w:noBreakHyphen/>
      </w:r>
      <w:r w:rsidRPr="00027624">
        <w:t>through; that is, wages would fall by exactly the value of superannuation payments. However, in practice, employees may value superannuation less than take</w:t>
      </w:r>
      <w:r w:rsidR="00A8443E" w:rsidRPr="00027624">
        <w:noBreakHyphen/>
      </w:r>
      <w:r w:rsidRPr="00027624">
        <w:t>home wages, since access to superannuation is restricted, and the relative benefits of associated tax concessions will depend on employees</w:t>
      </w:r>
      <w:r w:rsidR="00A8443E" w:rsidRPr="00027624">
        <w:t>’</w:t>
      </w:r>
      <w:r w:rsidRPr="00027624">
        <w:t xml:space="preserve"> time discount factors and the somewhat opaque effects of superannuation savings on pension benefits.</w:t>
      </w:r>
    </w:p>
    <w:p w14:paraId="1E99DFC1" w14:textId="77777777" w:rsidR="00E96B29" w:rsidRPr="00027624" w:rsidRDefault="00E96B29" w:rsidP="00E96B29">
      <w:r w:rsidRPr="00027624">
        <w:t>In addition, wages are not set according to supply and demand schedules in a perfectly competitive environment, but depend on wage</w:t>
      </w:r>
      <w:r w:rsidR="00A8443E" w:rsidRPr="00027624">
        <w:noBreakHyphen/>
      </w:r>
      <w:r w:rsidRPr="00027624">
        <w:t xml:space="preserve">setting processes, minimum wages, bargaining power and matching considerations. Detailed analysis of the theoretical economic incidence of Australian superannuation is discussed in Freebairn </w:t>
      </w:r>
      <w:sdt>
        <w:sdtPr>
          <w:id w:val="2096426687"/>
          <w:citation/>
        </w:sdtPr>
        <w:sdtEndPr/>
        <w:sdtContent>
          <w:r w:rsidRPr="00027624">
            <w:fldChar w:fldCharType="begin"/>
          </w:r>
          <w:r w:rsidRPr="00027624">
            <w:instrText xml:space="preserve">CITATION Fre98 \n  \t  \l 3081 </w:instrText>
          </w:r>
          <w:r w:rsidRPr="00027624">
            <w:fldChar w:fldCharType="separate"/>
          </w:r>
          <w:r w:rsidR="00E83F6E">
            <w:rPr>
              <w:noProof/>
            </w:rPr>
            <w:t>(1998)</w:t>
          </w:r>
          <w:r w:rsidRPr="00027624">
            <w:fldChar w:fldCharType="end"/>
          </w:r>
        </w:sdtContent>
      </w:sdt>
      <w:r w:rsidRPr="00027624">
        <w:t>.</w:t>
      </w:r>
    </w:p>
    <w:p w14:paraId="10299EFF" w14:textId="77777777" w:rsidR="00E96B29" w:rsidRPr="00027624" w:rsidRDefault="00E96B29" w:rsidP="00E96B29">
      <w:pPr>
        <w:pStyle w:val="Heading3"/>
      </w:pPr>
      <w:r w:rsidRPr="00027624">
        <w:t>International literature</w:t>
      </w:r>
    </w:p>
    <w:p w14:paraId="27C552BD" w14:textId="77777777" w:rsidR="00E96B29" w:rsidRPr="00027624" w:rsidRDefault="00E96B29" w:rsidP="00E96B29">
      <w:r w:rsidRPr="00027624">
        <w:t>Consistent with theory, international evidence suggests that mandated benefits similar to superannuation (those with strong direct benefits for employees) have high pass</w:t>
      </w:r>
      <w:r w:rsidR="00A8443E" w:rsidRPr="00027624">
        <w:noBreakHyphen/>
      </w:r>
      <w:r w:rsidRPr="00027624">
        <w:t>through to wages.</w:t>
      </w:r>
    </w:p>
    <w:p w14:paraId="5803D5AE" w14:textId="77777777" w:rsidR="00E96B29" w:rsidRPr="00027624" w:rsidRDefault="00E96B29" w:rsidP="00E96B29">
      <w:r w:rsidRPr="00027624">
        <w:t>Of the two broad methodologies used to study such measures, those employing micro</w:t>
      </w:r>
      <w:r w:rsidR="00A8443E" w:rsidRPr="00027624">
        <w:noBreakHyphen/>
      </w:r>
      <w:r w:rsidRPr="00027624">
        <w:t>econometric approaches, using data at the firm or employee level, are preferred in comparative studies. For instance, the European Commission</w:t>
      </w:r>
      <w:r w:rsidR="00A8443E" w:rsidRPr="00027624">
        <w:t>’</w:t>
      </w:r>
      <w:r w:rsidRPr="00027624">
        <w:t xml:space="preserve">s </w:t>
      </w:r>
      <w:sdt>
        <w:sdtPr>
          <w:id w:val="-789206458"/>
          <w:citation/>
        </w:sdtPr>
        <w:sdtEndPr/>
        <w:sdtContent>
          <w:r w:rsidRPr="00027624">
            <w:fldChar w:fldCharType="begin"/>
          </w:r>
          <w:r w:rsidRPr="00027624">
            <w:instrText xml:space="preserve">CITATION Eur15 \n  \t  \l 3081 </w:instrText>
          </w:r>
          <w:r w:rsidRPr="00027624">
            <w:fldChar w:fldCharType="separate"/>
          </w:r>
          <w:r w:rsidR="00E83F6E">
            <w:rPr>
              <w:noProof/>
            </w:rPr>
            <w:t>(2015)</w:t>
          </w:r>
          <w:r w:rsidRPr="00027624">
            <w:fldChar w:fldCharType="end"/>
          </w:r>
        </w:sdtContent>
      </w:sdt>
      <w:r w:rsidRPr="00027624">
        <w:t xml:space="preserve"> literature survey noted that macro</w:t>
      </w:r>
      <w:r w:rsidR="00A8443E" w:rsidRPr="00027624">
        <w:noBreakHyphen/>
      </w:r>
      <w:r w:rsidRPr="00027624">
        <w:t>econometric approaches have difficulty estimating the long</w:t>
      </w:r>
      <w:r w:rsidR="00A8443E" w:rsidRPr="00027624">
        <w:noBreakHyphen/>
      </w:r>
      <w:r w:rsidRPr="00027624">
        <w:t>run incidence of mandated benefits. Macro</w:t>
      </w:r>
      <w:r w:rsidR="00A8443E" w:rsidRPr="00027624">
        <w:noBreakHyphen/>
      </w:r>
      <w:r w:rsidRPr="00027624">
        <w:t>econometric studies rely on cross</w:t>
      </w:r>
      <w:r w:rsidR="00A8443E" w:rsidRPr="00027624">
        <w:noBreakHyphen/>
      </w:r>
      <w:r w:rsidRPr="00027624">
        <w:t>country and time series variation in taxes on labour and are therefore less able to control for contemporaneous changes in other factors that might affect wages growth.</w:t>
      </w:r>
    </w:p>
    <w:p w14:paraId="262956D2" w14:textId="77777777" w:rsidR="00E96B29" w:rsidRPr="00027624" w:rsidRDefault="00E96B29" w:rsidP="00E96B29">
      <w:r w:rsidRPr="00027624">
        <w:t>The other main difference across international studies is in the degree to which the program being studied gives a direct benefit to employees. Programs that provide weak direct benefits to employees, such as payroll taxes, are found to have lower pass</w:t>
      </w:r>
      <w:r w:rsidR="00A8443E" w:rsidRPr="00027624">
        <w:noBreakHyphen/>
      </w:r>
      <w:r w:rsidRPr="00027624">
        <w:t xml:space="preserve">through to wages than those with strong direct benefits. </w:t>
      </w:r>
      <w:sdt>
        <w:sdtPr>
          <w:id w:val="309224294"/>
          <w:citation/>
        </w:sdtPr>
        <w:sdtEndPr/>
        <w:sdtContent>
          <w:r w:rsidRPr="00027624">
            <w:fldChar w:fldCharType="begin"/>
          </w:r>
          <w:r w:rsidRPr="00027624">
            <w:instrText xml:space="preserve"> CITATION Boz19 \l 3081 </w:instrText>
          </w:r>
          <w:r w:rsidRPr="00027624">
            <w:fldChar w:fldCharType="separate"/>
          </w:r>
          <w:r w:rsidR="00E83F6E">
            <w:rPr>
              <w:noProof/>
            </w:rPr>
            <w:t>(Bozio, et al., 2019)</w:t>
          </w:r>
          <w:r w:rsidRPr="00027624">
            <w:fldChar w:fldCharType="end"/>
          </w:r>
        </w:sdtContent>
      </w:sdt>
      <w:r w:rsidRPr="00027624">
        <w:t xml:space="preserve"> found average pass</w:t>
      </w:r>
      <w:r w:rsidR="00A8443E" w:rsidRPr="00027624">
        <w:noBreakHyphen/>
      </w:r>
      <w:r w:rsidRPr="00027624">
        <w:t>through was only around 15 per cent across a range of studies looking at programs with weak links to employee benefits, but averaged 103 per cent across studies of programs with strong direct benefits. This is consistent with differences posited by theory that employees increase their willingness to work when mandated benefits with direct benefits for the employee are included.</w:t>
      </w:r>
    </w:p>
    <w:p w14:paraId="1AF46B44" w14:textId="77777777" w:rsidR="00E96B29" w:rsidRPr="00027624" w:rsidRDefault="00E96B29" w:rsidP="00E96B29">
      <w:r w:rsidRPr="00027624">
        <w:t>Pass</w:t>
      </w:r>
      <w:r w:rsidR="00A8443E" w:rsidRPr="00027624">
        <w:noBreakHyphen/>
      </w:r>
      <w:r w:rsidRPr="00027624">
        <w:t>through to wages tends to be larger in the long run. A meta</w:t>
      </w:r>
      <w:r w:rsidR="00A8443E" w:rsidRPr="00027624">
        <w:noBreakHyphen/>
      </w:r>
      <w:r w:rsidRPr="00027624">
        <w:t xml:space="preserve">analysis by </w:t>
      </w:r>
      <w:sdt>
        <w:sdtPr>
          <w:id w:val="-2131154305"/>
          <w:citation/>
        </w:sdtPr>
        <w:sdtEndPr/>
        <w:sdtContent>
          <w:r w:rsidRPr="00027624">
            <w:fldChar w:fldCharType="begin"/>
          </w:r>
          <w:r w:rsidRPr="00027624">
            <w:instrText xml:space="preserve"> CITATION Mel13 \l 3081 </w:instrText>
          </w:r>
          <w:r w:rsidRPr="00027624">
            <w:fldChar w:fldCharType="separate"/>
          </w:r>
          <w:r w:rsidR="00E83F6E">
            <w:rPr>
              <w:noProof/>
            </w:rPr>
            <w:t>(Melguizo &amp; González-Páramo, 2013)</w:t>
          </w:r>
          <w:r w:rsidRPr="00027624">
            <w:fldChar w:fldCharType="end"/>
          </w:r>
        </w:sdtContent>
      </w:sdt>
      <w:r w:rsidRPr="00027624">
        <w:t>, which incorporates the results of a large number of studies, found that a little less than half of the costs are passed through in the short run, but three</w:t>
      </w:r>
      <w:r w:rsidR="00A8443E" w:rsidRPr="00027624">
        <w:noBreakHyphen/>
      </w:r>
      <w:r w:rsidRPr="00027624">
        <w:t>quarters are passed through on average in the long run. This may be because the legal incidence of these programs is on employers, and wage setting and labour demand do not adjust as much in the short run.</w:t>
      </w:r>
    </w:p>
    <w:p w14:paraId="2DC3D34A" w14:textId="77777777" w:rsidR="00E96B29" w:rsidRPr="00027624" w:rsidRDefault="00E96B29" w:rsidP="00E96B29">
      <w:r w:rsidRPr="00027624">
        <w:t>Wage</w:t>
      </w:r>
      <w:r w:rsidR="00A8443E" w:rsidRPr="00027624">
        <w:noBreakHyphen/>
      </w:r>
      <w:r w:rsidRPr="00027624">
        <w:t>setting institutions are also important. Both highly centralised and highly decentralised wage</w:t>
      </w:r>
      <w:r w:rsidR="00A8443E" w:rsidRPr="00027624">
        <w:noBreakHyphen/>
      </w:r>
      <w:r w:rsidRPr="00027624">
        <w:t>setting regimes, similar to award wages and individual agreements in Australia, tend to exhibit the highest degrees of pass</w:t>
      </w:r>
      <w:r w:rsidR="00A8443E" w:rsidRPr="00027624">
        <w:noBreakHyphen/>
      </w:r>
      <w:r w:rsidRPr="00027624">
        <w:t>through to wages</w:t>
      </w:r>
      <w:sdt>
        <w:sdtPr>
          <w:id w:val="-398049474"/>
          <w:citation/>
        </w:sdtPr>
        <w:sdtEndPr/>
        <w:sdtContent>
          <w:r w:rsidRPr="00027624">
            <w:fldChar w:fldCharType="begin"/>
          </w:r>
          <w:r w:rsidRPr="00027624">
            <w:instrText xml:space="preserve"> CITATION Eur15 \l 3081 </w:instrText>
          </w:r>
          <w:r w:rsidRPr="00027624">
            <w:fldChar w:fldCharType="separate"/>
          </w:r>
          <w:r w:rsidR="00E83F6E">
            <w:rPr>
              <w:noProof/>
            </w:rPr>
            <w:t xml:space="preserve"> (European Commission, 2015)</w:t>
          </w:r>
          <w:r w:rsidRPr="00027624">
            <w:fldChar w:fldCharType="end"/>
          </w:r>
        </w:sdtContent>
      </w:sdt>
      <w:r w:rsidRPr="00027624">
        <w:t>. Employers are also found to be more able to shift costs that apply economy</w:t>
      </w:r>
      <w:r w:rsidR="00A8443E" w:rsidRPr="00027624">
        <w:noBreakHyphen/>
      </w:r>
      <w:r w:rsidRPr="00027624">
        <w:t>wide, such as superannuation, than firm</w:t>
      </w:r>
      <w:r w:rsidR="00A8443E" w:rsidRPr="00027624">
        <w:noBreakHyphen/>
      </w:r>
      <w:r w:rsidRPr="00027624">
        <w:t>specific costs.</w:t>
      </w:r>
      <w:sdt>
        <w:sdtPr>
          <w:id w:val="-594783227"/>
          <w:citation/>
        </w:sdtPr>
        <w:sdtEndPr/>
        <w:sdtContent>
          <w:r w:rsidRPr="00027624">
            <w:fldChar w:fldCharType="begin"/>
          </w:r>
          <w:r w:rsidRPr="00027624">
            <w:instrText xml:space="preserve"> CITATION Mel13 \l 3081 </w:instrText>
          </w:r>
          <w:r w:rsidRPr="00027624">
            <w:fldChar w:fldCharType="separate"/>
          </w:r>
          <w:r w:rsidR="00E83F6E">
            <w:rPr>
              <w:noProof/>
            </w:rPr>
            <w:t xml:space="preserve"> (Melguizo &amp; González-Páramo, 2013)</w:t>
          </w:r>
          <w:r w:rsidRPr="00027624">
            <w:fldChar w:fldCharType="end"/>
          </w:r>
        </w:sdtContent>
      </w:sdt>
      <w:r w:rsidRPr="00027624">
        <w:t xml:space="preserve"> also estimate that pass</w:t>
      </w:r>
      <w:r w:rsidR="00A8443E" w:rsidRPr="00027624">
        <w:noBreakHyphen/>
      </w:r>
      <w:r w:rsidRPr="00027624">
        <w:t>through is higher for employees in the public sector, which may reflect differences in wage negotiation for these workers.</w:t>
      </w:r>
    </w:p>
    <w:p w14:paraId="4C8D9194" w14:textId="77777777" w:rsidR="00E96B29" w:rsidRPr="00027624" w:rsidRDefault="00E96B29" w:rsidP="00E96B29">
      <w:pPr>
        <w:pStyle w:val="Heading3"/>
      </w:pPr>
      <w:r w:rsidRPr="00027624">
        <w:t>Australian evidence</w:t>
      </w:r>
    </w:p>
    <w:p w14:paraId="6E16B07B" w14:textId="3C6CC600" w:rsidR="00E96B29" w:rsidRPr="00027624" w:rsidRDefault="00E96B29" w:rsidP="00E96B29">
      <w:r w:rsidRPr="00027624">
        <w:t>A small number of empirical studies have examined the effect of the SG on wages in Australia. High</w:t>
      </w:r>
      <w:r w:rsidR="00A8443E" w:rsidRPr="00027624">
        <w:noBreakHyphen/>
      </w:r>
      <w:r w:rsidRPr="00027624">
        <w:t>quality micro</w:t>
      </w:r>
      <w:r w:rsidR="00A8443E" w:rsidRPr="00027624">
        <w:noBreakHyphen/>
      </w:r>
      <w:r w:rsidRPr="00027624">
        <w:t>econometric research</w:t>
      </w:r>
      <w:r w:rsidRPr="00027624">
        <w:rPr>
          <w:rStyle w:val="FootnoteReference"/>
        </w:rPr>
        <w:footnoteReference w:id="324"/>
      </w:r>
      <w:r w:rsidRPr="00027624">
        <w:t xml:space="preserve"> estimates most or all of the economic incidence of SG changes fall on employees through lower wages growth. This is consistent with both theory and international evidence of the effect of mandated benefits on wages, given superannuation has strong direct benefits for employees (</w:t>
      </w:r>
      <w:r w:rsidR="006B5A75">
        <w:fldChar w:fldCharType="begin"/>
      </w:r>
      <w:r w:rsidR="006B5A75">
        <w:instrText xml:space="preserve"> REF _Ref45887769 \r \h </w:instrText>
      </w:r>
      <w:r w:rsidR="006B5A75">
        <w:fldChar w:fldCharType="separate"/>
      </w:r>
      <w:r w:rsidR="00891058">
        <w:t>Chart 6A-3</w:t>
      </w:r>
      <w:r w:rsidR="006B5A75">
        <w:fldChar w:fldCharType="end"/>
      </w:r>
      <w:r w:rsidRPr="00027624">
        <w:t>).</w:t>
      </w:r>
    </w:p>
    <w:p w14:paraId="777D5717" w14:textId="77777777" w:rsidR="00E96B29" w:rsidRPr="00027624" w:rsidRDefault="00E96B29" w:rsidP="00E96B29">
      <w:pPr>
        <w:pStyle w:val="ChartMainHeading"/>
      </w:pPr>
      <w:bookmarkStart w:id="4214" w:name="_Ref45887769"/>
      <w:r w:rsidRPr="00027624">
        <w:t>Estimates of the pass</w:t>
      </w:r>
      <w:r w:rsidR="00A8443E" w:rsidRPr="00027624">
        <w:noBreakHyphen/>
      </w:r>
      <w:r w:rsidRPr="00027624">
        <w:t>through to wages from the SG and mandated benefits, 95 per cent confidence intervals</w:t>
      </w:r>
      <w:bookmarkEnd w:id="4214"/>
    </w:p>
    <w:p w14:paraId="1E8309AA" w14:textId="77777777" w:rsidR="00E96B29" w:rsidRPr="00027624" w:rsidRDefault="00757E37" w:rsidP="00E96B29">
      <w:pPr>
        <w:pStyle w:val="ChartGraphic"/>
      </w:pPr>
      <w:r>
        <w:rPr>
          <w:noProof/>
        </w:rPr>
        <w:drawing>
          <wp:inline distT="0" distB="0" distL="0" distR="0" wp14:anchorId="2633FCC7" wp14:editId="33752FD1">
            <wp:extent cx="5577840" cy="2522220"/>
            <wp:effectExtent l="0" t="0" r="3810" b="0"/>
            <wp:docPr id="1888992956" name="Picture 1888992956" descr="This chart shows that studies estimate most of the increase in SG comes at the expense of lower wage growth. It shows that recent estimates in Australia are that 80 per cent or more of the increase is passed through to lower wages. International meta studies find weaker pass through in the short term, but long term estimates are similar to the recent Australian studies. " title="Chart 6A-3 Estimates of the pass-through to wages from the SG and mandated benefits, 95 per cent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4167F6C" w14:textId="77777777" w:rsidR="00E96B29" w:rsidRPr="00027624" w:rsidRDefault="00E96B29" w:rsidP="00DE6C9E">
      <w:pPr>
        <w:pStyle w:val="ChartorTableNote"/>
      </w:pPr>
      <w:r w:rsidRPr="00027624">
        <w:t xml:space="preserve">Note: 100 per cent implies all of the costs of SG or mandated benefits changes are passed through as reductions in wages growth. Breunig and Sobeck </w:t>
      </w:r>
      <w:sdt>
        <w:sdtPr>
          <w:id w:val="1046108552"/>
          <w:citation/>
        </w:sdtPr>
        <w:sdtEndPr/>
        <w:sdtContent>
          <w:r w:rsidRPr="00027624">
            <w:fldChar w:fldCharType="begin"/>
          </w:r>
          <w:r w:rsidRPr="00027624">
            <w:instrText xml:space="preserve">CITATION Bre20 \n  \t  \l 3081 </w:instrText>
          </w:r>
          <w:r w:rsidRPr="00027624">
            <w:fldChar w:fldCharType="separate"/>
          </w:r>
          <w:r w:rsidR="00E83F6E">
            <w:rPr>
              <w:noProof/>
            </w:rPr>
            <w:t>(2020)</w:t>
          </w:r>
          <w:r w:rsidRPr="00027624">
            <w:fldChar w:fldCharType="end"/>
          </w:r>
        </w:sdtContent>
      </w:sdt>
      <w:r w:rsidRPr="00027624">
        <w:t xml:space="preserve"> estimate relates to the SG change for 2002</w:t>
      </w:r>
      <w:r w:rsidR="00A8443E" w:rsidRPr="00027624">
        <w:noBreakHyphen/>
      </w:r>
      <w:r w:rsidRPr="00027624">
        <w:t>03. The Coates, et al., 2020 estimate uses the authors</w:t>
      </w:r>
      <w:r w:rsidR="00A8443E" w:rsidRPr="00027624">
        <w:t>’</w:t>
      </w:r>
      <w:r w:rsidRPr="00027624">
        <w:t xml:space="preserve"> preferred model. International meta</w:t>
      </w:r>
      <w:r w:rsidR="00A8443E" w:rsidRPr="00027624">
        <w:noBreakHyphen/>
      </w:r>
      <w:r w:rsidRPr="00027624">
        <w:t xml:space="preserve">analysis of mandated benefits is based on 52 empirical studies looking at the incidence of labour taxes and social security contributions </w:t>
      </w:r>
      <w:sdt>
        <w:sdtPr>
          <w:id w:val="40024234"/>
          <w:citation/>
        </w:sdtPr>
        <w:sdtEndPr/>
        <w:sdtContent>
          <w:r w:rsidRPr="00027624">
            <w:fldChar w:fldCharType="begin"/>
          </w:r>
          <w:r w:rsidRPr="00027624">
            <w:instrText xml:space="preserve">CITATION Mel13 \l 3081 </w:instrText>
          </w:r>
          <w:r w:rsidRPr="00027624">
            <w:fldChar w:fldCharType="separate"/>
          </w:r>
          <w:r w:rsidR="00E83F6E">
            <w:rPr>
              <w:noProof/>
            </w:rPr>
            <w:t>(Melguizo &amp; González-Páramo, 2013)</w:t>
          </w:r>
          <w:r w:rsidRPr="00027624">
            <w:fldChar w:fldCharType="end"/>
          </w:r>
        </w:sdtContent>
      </w:sdt>
      <w:r w:rsidRPr="00027624">
        <w:t>. Source: Review analysis.</w:t>
      </w:r>
    </w:p>
    <w:p w14:paraId="0E2322B6" w14:textId="77777777" w:rsidR="00E96B29" w:rsidRPr="00027624" w:rsidRDefault="00E96B29" w:rsidP="00E96B29">
      <w:pPr>
        <w:spacing w:before="240" w:after="240"/>
      </w:pPr>
      <w:r w:rsidRPr="00027624">
        <w:t>Similar to international studies, the two broad empirical approaches are macro</w:t>
      </w:r>
      <w:r w:rsidR="00A8443E" w:rsidRPr="00027624">
        <w:noBreakHyphen/>
      </w:r>
      <w:r w:rsidRPr="00027624">
        <w:t>econometric and micro</w:t>
      </w:r>
      <w:r w:rsidR="00A8443E" w:rsidRPr="00027624">
        <w:noBreakHyphen/>
      </w:r>
      <w:r w:rsidRPr="00027624">
        <w:t>econometric. Micro</w:t>
      </w:r>
      <w:r w:rsidR="00A8443E" w:rsidRPr="00027624">
        <w:noBreakHyphen/>
      </w:r>
      <w:r w:rsidRPr="00027624">
        <w:t>econometric studies are able to control for many more contemporaneous determinants of wages growth and are able to identify pass</w:t>
      </w:r>
      <w:r w:rsidR="00A8443E" w:rsidRPr="00027624">
        <w:noBreakHyphen/>
      </w:r>
      <w:r w:rsidRPr="00027624">
        <w:t>through over longer timeframes, so these studies are preferred in the literature.</w:t>
      </w:r>
    </w:p>
    <w:p w14:paraId="74F756BD" w14:textId="77777777" w:rsidR="00E96B29" w:rsidRPr="00027624" w:rsidRDefault="00E96B29" w:rsidP="00E96B29">
      <w:r w:rsidRPr="00027624">
        <w:t>Two recent studies from research institutes used almost identical macro</w:t>
      </w:r>
      <w:r w:rsidR="00A8443E" w:rsidRPr="00027624">
        <w:noBreakHyphen/>
      </w:r>
      <w:r w:rsidRPr="00027624">
        <w:t xml:space="preserve">econometric approaches: the McKell Institute </w:t>
      </w:r>
      <w:sdt>
        <w:sdtPr>
          <w:id w:val="-1180886523"/>
          <w:citation/>
        </w:sdtPr>
        <w:sdtEndPr/>
        <w:sdtContent>
          <w:r w:rsidRPr="00027624">
            <w:fldChar w:fldCharType="begin"/>
          </w:r>
          <w:r w:rsidRPr="00027624">
            <w:instrText xml:space="preserve"> CITATION Kyl19 \l 3081 </w:instrText>
          </w:r>
          <w:r w:rsidRPr="00027624">
            <w:fldChar w:fldCharType="separate"/>
          </w:r>
          <w:r w:rsidR="00E83F6E">
            <w:rPr>
              <w:noProof/>
            </w:rPr>
            <w:t>(Taylor, 2019)</w:t>
          </w:r>
          <w:r w:rsidRPr="00027624">
            <w:fldChar w:fldCharType="end"/>
          </w:r>
        </w:sdtContent>
      </w:sdt>
      <w:r w:rsidRPr="00027624">
        <w:t xml:space="preserve"> and the Centre for the Future of Work at the Australia Institute </w:t>
      </w:r>
      <w:sdt>
        <w:sdtPr>
          <w:id w:val="-567036033"/>
          <w:citation/>
        </w:sdtPr>
        <w:sdtEndPr/>
        <w:sdtContent>
          <w:r w:rsidRPr="00027624">
            <w:fldChar w:fldCharType="begin"/>
          </w:r>
          <w:r w:rsidRPr="00027624">
            <w:instrText xml:space="preserve"> CITATION Sta19 \l 3081 </w:instrText>
          </w:r>
          <w:r w:rsidRPr="00027624">
            <w:fldChar w:fldCharType="separate"/>
          </w:r>
          <w:r w:rsidR="00E83F6E">
            <w:rPr>
              <w:noProof/>
            </w:rPr>
            <w:t>(Stanford, 2019)</w:t>
          </w:r>
          <w:r w:rsidRPr="00027624">
            <w:fldChar w:fldCharType="end"/>
          </w:r>
        </w:sdtContent>
      </w:sdt>
      <w:r w:rsidRPr="00027624">
        <w:t>. They both found no significant pass</w:t>
      </w:r>
      <w:r w:rsidR="00A8443E" w:rsidRPr="00027624">
        <w:noBreakHyphen/>
      </w:r>
      <w:r w:rsidRPr="00027624">
        <w:t>through of SG costs to wages. These studies use time series regressions, and assess the linear effect of SG changes on contemporaneous aggregate wages growth. Their approach raises a number of issues:</w:t>
      </w:r>
    </w:p>
    <w:p w14:paraId="4FC77A75" w14:textId="77777777" w:rsidR="00E96B29" w:rsidRPr="00027624" w:rsidRDefault="00E96B29" w:rsidP="00E96B29">
      <w:pPr>
        <w:pStyle w:val="Bullet"/>
      </w:pPr>
      <w:r w:rsidRPr="00027624">
        <w:rPr>
          <w:b/>
        </w:rPr>
        <w:t>The number of time series observations is limited.</w:t>
      </w:r>
      <w:r w:rsidRPr="00027624">
        <w:t xml:space="preserve"> This means their estimates have low precision and they are not able to account for longer</w:t>
      </w:r>
      <w:r w:rsidR="00A8443E" w:rsidRPr="00027624">
        <w:noBreakHyphen/>
      </w:r>
      <w:r w:rsidRPr="00027624">
        <w:t>run pass</w:t>
      </w:r>
      <w:r w:rsidR="00A8443E" w:rsidRPr="00027624">
        <w:noBreakHyphen/>
      </w:r>
      <w:r w:rsidRPr="00027624">
        <w:t>through into wages. This is important as labour market frictions and international evidence suggests pass</w:t>
      </w:r>
      <w:r w:rsidR="00A8443E" w:rsidRPr="00027624">
        <w:noBreakHyphen/>
      </w:r>
      <w:r w:rsidRPr="00027624">
        <w:t>through is higher in the long run.</w:t>
      </w:r>
    </w:p>
    <w:p w14:paraId="32B1C6A0" w14:textId="77777777" w:rsidR="00E96B29" w:rsidRPr="00027624" w:rsidRDefault="00E96B29" w:rsidP="00E96B29">
      <w:pPr>
        <w:pStyle w:val="Bullet"/>
      </w:pPr>
      <w:r w:rsidRPr="00027624">
        <w:rPr>
          <w:b/>
        </w:rPr>
        <w:t>Only a limited number of control variables can be used.</w:t>
      </w:r>
      <w:r w:rsidRPr="00027624">
        <w:t xml:space="preserve"> This may cause bias in their estimates of the effect of the SG if other factors that influence aggregate wage growth have not been controlled for, known as omitted variable bias. For instance, compositional factors, such as the changing industry composition of the labour force, have not been controlled for.</w:t>
      </w:r>
    </w:p>
    <w:p w14:paraId="691DC615" w14:textId="77777777" w:rsidR="00E96B29" w:rsidRPr="00027624" w:rsidRDefault="00E96B29" w:rsidP="00E96B29">
      <w:pPr>
        <w:pStyle w:val="Bullet"/>
      </w:pPr>
      <w:r w:rsidRPr="00027624">
        <w:rPr>
          <w:b/>
        </w:rPr>
        <w:t>The specification may be affected by reverse causation.</w:t>
      </w:r>
      <w:r w:rsidRPr="00027624">
        <w:t xml:space="preserve"> It may have historically been easier to increase the SG when prevailing wages growth was strong, confounding their results.</w:t>
      </w:r>
    </w:p>
    <w:p w14:paraId="36450B4A" w14:textId="77777777" w:rsidR="00E96B29" w:rsidRPr="00027624" w:rsidRDefault="00E96B29" w:rsidP="00E96B29">
      <w:pPr>
        <w:pStyle w:val="Bullet"/>
      </w:pPr>
      <w:r w:rsidRPr="00027624">
        <w:rPr>
          <w:b/>
        </w:rPr>
        <w:t>Their conclusions can change significantly with small changes in model specification</w:t>
      </w:r>
      <w:r w:rsidRPr="00027624">
        <w:rPr>
          <w:b/>
          <w:bCs/>
        </w:rPr>
        <w:t>.</w:t>
      </w:r>
      <w:r w:rsidRPr="00027624">
        <w:t xml:space="preserve"> This is shown by the Grattan Institute</w:t>
      </w:r>
      <w:r w:rsidR="00A8443E" w:rsidRPr="00027624">
        <w:t>’</w:t>
      </w:r>
      <w:r w:rsidRPr="00027624">
        <w:t xml:space="preserve">s replications of the time series models </w:t>
      </w:r>
      <w:sdt>
        <w:sdtPr>
          <w:id w:val="601379656"/>
          <w:citation/>
        </w:sdtPr>
        <w:sdtEndPr/>
        <w:sdtContent>
          <w:r w:rsidRPr="00027624">
            <w:fldChar w:fldCharType="begin"/>
          </w:r>
          <w:r w:rsidRPr="00027624">
            <w:instrText xml:space="preserve">CITATION Nol19 \l 3081 </w:instrText>
          </w:r>
          <w:r w:rsidRPr="00027624">
            <w:fldChar w:fldCharType="separate"/>
          </w:r>
          <w:r w:rsidR="00E83F6E">
            <w:rPr>
              <w:noProof/>
            </w:rPr>
            <w:t>(Nolan, et al., 2019)</w:t>
          </w:r>
          <w:r w:rsidRPr="00027624">
            <w:fldChar w:fldCharType="end"/>
          </w:r>
        </w:sdtContent>
      </w:sdt>
      <w:r w:rsidRPr="00027624">
        <w:t xml:space="preserve">; </w:t>
      </w:r>
      <w:sdt>
        <w:sdtPr>
          <w:id w:val="877363460"/>
          <w:citation/>
        </w:sdtPr>
        <w:sdtEndPr/>
        <w:sdtContent>
          <w:r w:rsidRPr="00027624">
            <w:fldChar w:fldCharType="begin"/>
          </w:r>
          <w:r w:rsidRPr="00027624">
            <w:instrText xml:space="preserve"> CITATION Coa20 \l 3081 </w:instrText>
          </w:r>
          <w:r w:rsidRPr="00027624">
            <w:fldChar w:fldCharType="separate"/>
          </w:r>
          <w:r w:rsidR="00E83F6E">
            <w:rPr>
              <w:noProof/>
            </w:rPr>
            <w:t>(Coates, et al., 2020)</w:t>
          </w:r>
          <w:r w:rsidRPr="00027624">
            <w:fldChar w:fldCharType="end"/>
          </w:r>
        </w:sdtContent>
      </w:sdt>
      <w:r w:rsidRPr="00027624">
        <w:t>. Reasonable alternative specifications can support a trade</w:t>
      </w:r>
      <w:r w:rsidR="00A8443E" w:rsidRPr="00027624">
        <w:noBreakHyphen/>
      </w:r>
      <w:r w:rsidRPr="00027624">
        <w:t>off between the SG and wages growth.</w:t>
      </w:r>
    </w:p>
    <w:p w14:paraId="11CEF2CC" w14:textId="77777777" w:rsidR="00E96B29" w:rsidRPr="00027624" w:rsidRDefault="00E96B29" w:rsidP="00E96B29">
      <w:r w:rsidRPr="00027624">
        <w:t>The</w:t>
      </w:r>
      <w:r w:rsidR="003C6FD5" w:rsidRPr="00027624">
        <w:t xml:space="preserve"> Stanford </w:t>
      </w:r>
      <w:sdt>
        <w:sdtPr>
          <w:id w:val="-232777851"/>
          <w:citation/>
        </w:sdtPr>
        <w:sdtEndPr/>
        <w:sdtContent>
          <w:r w:rsidRPr="00027624">
            <w:fldChar w:fldCharType="begin"/>
          </w:r>
          <w:r w:rsidR="003C6FD5" w:rsidRPr="00027624">
            <w:instrText xml:space="preserve">CITATION Sta19 \n  \t  \l 3081 </w:instrText>
          </w:r>
          <w:r w:rsidRPr="00027624">
            <w:fldChar w:fldCharType="separate"/>
          </w:r>
          <w:r w:rsidR="00E83F6E">
            <w:rPr>
              <w:noProof/>
            </w:rPr>
            <w:t>(2019)</w:t>
          </w:r>
          <w:r w:rsidRPr="00027624">
            <w:fldChar w:fldCharType="end"/>
          </w:r>
        </w:sdtContent>
      </w:sdt>
      <w:r w:rsidRPr="00027624">
        <w:t xml:space="preserve"> study also presents unconditional correlation analysis between:</w:t>
      </w:r>
    </w:p>
    <w:p w14:paraId="4B453893" w14:textId="77777777" w:rsidR="00E96B29" w:rsidRPr="00027624" w:rsidRDefault="00E96B29" w:rsidP="00E96B29">
      <w:pPr>
        <w:pStyle w:val="Bullet"/>
      </w:pPr>
      <w:r w:rsidRPr="00027624">
        <w:t>average wage growth and the industry share of the wage bill paid in superannuation in Australia, and</w:t>
      </w:r>
    </w:p>
    <w:p w14:paraId="39984FA5" w14:textId="77777777" w:rsidR="00E96B29" w:rsidRPr="00027624" w:rsidRDefault="00E96B29" w:rsidP="00E96B29">
      <w:pPr>
        <w:pStyle w:val="Bullet"/>
      </w:pPr>
      <w:r w:rsidRPr="00027624">
        <w:t>unit wage costs and rates of employer social contributions across countries</w:t>
      </w:r>
    </w:p>
    <w:p w14:paraId="23344A87" w14:textId="77777777" w:rsidR="00E96B29" w:rsidRPr="00027624" w:rsidRDefault="00E96B29" w:rsidP="00E96B29">
      <w:r w:rsidRPr="00027624">
        <w:t>This unconditional correlation analysis has methodological issues. It fails to control for any differences in labour market conditions across industries and countries. It also suffers from definitional issues; for instance, superannuation is paid as a share of ordinary time earnings, not the total wage bill, and no account is made for differences in social contributions</w:t>
      </w:r>
      <w:r w:rsidR="00A8443E" w:rsidRPr="00027624">
        <w:t>’</w:t>
      </w:r>
      <w:r w:rsidRPr="00027624">
        <w:t xml:space="preserve"> direct benefit to employees across countries.</w:t>
      </w:r>
    </w:p>
    <w:p w14:paraId="281BF1DD" w14:textId="77777777" w:rsidR="00E96B29" w:rsidRPr="00027624" w:rsidRDefault="00E96B29" w:rsidP="00E96B29">
      <w:r w:rsidRPr="00027624">
        <w:t>Two recent papers have employed micro</w:t>
      </w:r>
      <w:r w:rsidR="00A8443E" w:rsidRPr="00027624">
        <w:noBreakHyphen/>
      </w:r>
      <w:r w:rsidRPr="00027624">
        <w:t>econometric techniques using different data sources and conclude that the majority (70</w:t>
      </w:r>
      <w:r w:rsidR="00A8443E" w:rsidRPr="00027624">
        <w:noBreakHyphen/>
      </w:r>
      <w:r w:rsidRPr="00027624">
        <w:t>100 per cent) of SG costs are paid for by employees through lower wages growth.</w:t>
      </w:r>
    </w:p>
    <w:p w14:paraId="531A7670" w14:textId="77777777" w:rsidR="00E96B29" w:rsidRPr="00027624" w:rsidRDefault="00E96B29" w:rsidP="00E96B29">
      <w:r w:rsidRPr="00027624">
        <w:t xml:space="preserve">The Grattan Institute </w:t>
      </w:r>
      <w:sdt>
        <w:sdtPr>
          <w:id w:val="-887423643"/>
          <w:citation/>
        </w:sdtPr>
        <w:sdtEndPr/>
        <w:sdtContent>
          <w:r w:rsidRPr="00027624">
            <w:fldChar w:fldCharType="begin"/>
          </w:r>
          <w:r w:rsidRPr="00027624">
            <w:instrText xml:space="preserve"> CITATION Coa20 \l 3081 </w:instrText>
          </w:r>
          <w:r w:rsidRPr="00027624">
            <w:fldChar w:fldCharType="separate"/>
          </w:r>
          <w:r w:rsidR="00E83F6E">
            <w:rPr>
              <w:noProof/>
            </w:rPr>
            <w:t>(Coates, et al., 2020)</w:t>
          </w:r>
          <w:r w:rsidRPr="00027624">
            <w:fldChar w:fldCharType="end"/>
          </w:r>
        </w:sdtContent>
      </w:sdt>
      <w:r w:rsidRPr="00027624">
        <w:t xml:space="preserve"> identifies the correlation between the SG and wages growth in a pooled sample of 80,000 enterprise agreements registered from 1991 to 2018. They find that 80 per cent of SG increases are passed through to lower aggregate wages within the period of the enterprise agreement, typically two to three years. The dataset does not allow for observation of long</w:t>
      </w:r>
      <w:r w:rsidR="00A8443E" w:rsidRPr="00027624">
        <w:noBreakHyphen/>
      </w:r>
      <w:r w:rsidRPr="00027624">
        <w:t>run effects, but authors noted long</w:t>
      </w:r>
      <w:r w:rsidR="00A8443E" w:rsidRPr="00027624">
        <w:noBreakHyphen/>
      </w:r>
      <w:r w:rsidRPr="00027624">
        <w:t>run pass</w:t>
      </w:r>
      <w:r w:rsidR="00A8443E" w:rsidRPr="00027624">
        <w:noBreakHyphen/>
      </w:r>
      <w:r w:rsidRPr="00027624">
        <w:t>through is likely to be even higher based on similar international studies.</w:t>
      </w:r>
    </w:p>
    <w:p w14:paraId="393E87A5" w14:textId="77777777" w:rsidR="00E96B29" w:rsidRPr="00027624" w:rsidRDefault="00E96B29" w:rsidP="00E96B29">
      <w:r w:rsidRPr="00027624">
        <w:t>The data used in</w:t>
      </w:r>
      <w:r w:rsidR="003C6FD5" w:rsidRPr="00027624">
        <w:t xml:space="preserve"> Coates, et al.</w:t>
      </w:r>
      <w:r w:rsidRPr="00027624">
        <w:t xml:space="preserve"> </w:t>
      </w:r>
      <w:sdt>
        <w:sdtPr>
          <w:id w:val="-1299532944"/>
          <w:citation/>
        </w:sdtPr>
        <w:sdtEndPr/>
        <w:sdtContent>
          <w:r w:rsidRPr="00027624">
            <w:fldChar w:fldCharType="begin"/>
          </w:r>
          <w:r w:rsidR="003C6FD5" w:rsidRPr="00027624">
            <w:instrText xml:space="preserve">CITATION Coa20 \n  \t  \l 3081 </w:instrText>
          </w:r>
          <w:r w:rsidRPr="00027624">
            <w:fldChar w:fldCharType="separate"/>
          </w:r>
          <w:r w:rsidR="00E83F6E">
            <w:rPr>
              <w:noProof/>
            </w:rPr>
            <w:t>(2020)</w:t>
          </w:r>
          <w:r w:rsidRPr="00027624">
            <w:fldChar w:fldCharType="end"/>
          </w:r>
        </w:sdtContent>
      </w:sdt>
      <w:r w:rsidRPr="00027624">
        <w:t xml:space="preserve"> covers those on collective agreements in the federal industrial relations system. These agreements represent an </w:t>
      </w:r>
      <w:r w:rsidR="00A8443E" w:rsidRPr="00027624">
        <w:t>‘</w:t>
      </w:r>
      <w:r w:rsidRPr="00027624">
        <w:t>intermediate</w:t>
      </w:r>
      <w:r w:rsidR="00A8443E" w:rsidRPr="00027624">
        <w:t>’</w:t>
      </w:r>
      <w:r w:rsidRPr="00027624">
        <w:t xml:space="preserve"> level of wage setting, which international evidence suggests has a lower level of pass</w:t>
      </w:r>
      <w:r w:rsidR="00A8443E" w:rsidRPr="00027624">
        <w:noBreakHyphen/>
      </w:r>
      <w:r w:rsidRPr="00027624">
        <w:t xml:space="preserve">through </w:t>
      </w:r>
      <w:sdt>
        <w:sdtPr>
          <w:id w:val="-792517130"/>
          <w:citation/>
        </w:sdtPr>
        <w:sdtEndPr/>
        <w:sdtContent>
          <w:r w:rsidRPr="00027624">
            <w:fldChar w:fldCharType="begin"/>
          </w:r>
          <w:r w:rsidRPr="00027624">
            <w:instrText xml:space="preserve"> CITATION Eur15 \l 3081 </w:instrText>
          </w:r>
          <w:r w:rsidRPr="00027624">
            <w:fldChar w:fldCharType="separate"/>
          </w:r>
          <w:r w:rsidR="00E83F6E">
            <w:rPr>
              <w:noProof/>
            </w:rPr>
            <w:t>(European Commission, 2015)</w:t>
          </w:r>
          <w:r w:rsidRPr="00027624">
            <w:fldChar w:fldCharType="end"/>
          </w:r>
        </w:sdtContent>
      </w:sdt>
      <w:r w:rsidRPr="00027624">
        <w:t>.</w:t>
      </w:r>
    </w:p>
    <w:p w14:paraId="2EE6A06E" w14:textId="77777777" w:rsidR="00E96B29" w:rsidRPr="00027624" w:rsidRDefault="00E96B29" w:rsidP="00E96B29">
      <w:r w:rsidRPr="00027624">
        <w:t>The authors exploit significant cross</w:t>
      </w:r>
      <w:r w:rsidR="00A8443E" w:rsidRPr="00027624">
        <w:noBreakHyphen/>
      </w:r>
      <w:r w:rsidRPr="00027624">
        <w:t>sectional and time variation in agreements and substantial amounts of data to control for additional factors that are likely to affect wages growth. This includes more macroeconomic drivers of wages growth, such as underemployment and per capita GDP growth. In addition, they account for factors that would explain differences in wage growth across agreements: fixed effects for sector and industry, along with things such as industry</w:t>
      </w:r>
      <w:r w:rsidR="00A8443E" w:rsidRPr="00027624">
        <w:noBreakHyphen/>
      </w:r>
      <w:r w:rsidRPr="00027624">
        <w:t>level unemployment rates. This addresses concerns about omitted variable bias.</w:t>
      </w:r>
    </w:p>
    <w:p w14:paraId="60A56D7B" w14:textId="77777777" w:rsidR="00E96B29" w:rsidRPr="00027624" w:rsidRDefault="00E96B29" w:rsidP="00E96B29">
      <w:r w:rsidRPr="00027624">
        <w:t xml:space="preserve">The extensive list of control variables included in </w:t>
      </w:r>
      <w:r w:rsidR="003C6FD5" w:rsidRPr="00027624">
        <w:t xml:space="preserve">Coates, et al. </w:t>
      </w:r>
      <w:sdt>
        <w:sdtPr>
          <w:id w:val="503328260"/>
          <w:citation/>
        </w:sdtPr>
        <w:sdtEndPr/>
        <w:sdtContent>
          <w:r w:rsidR="003C6FD5" w:rsidRPr="00027624">
            <w:fldChar w:fldCharType="begin"/>
          </w:r>
          <w:r w:rsidR="003C6FD5" w:rsidRPr="00027624">
            <w:instrText xml:space="preserve">CITATION Coa20 \n  \t  \l 3081 </w:instrText>
          </w:r>
          <w:r w:rsidR="003C6FD5" w:rsidRPr="00027624">
            <w:fldChar w:fldCharType="separate"/>
          </w:r>
          <w:r w:rsidR="00E83F6E">
            <w:rPr>
              <w:noProof/>
            </w:rPr>
            <w:t>(2020)</w:t>
          </w:r>
          <w:r w:rsidR="003C6FD5" w:rsidRPr="00027624">
            <w:fldChar w:fldCharType="end"/>
          </w:r>
        </w:sdtContent>
      </w:sdt>
      <w:r w:rsidR="003C6FD5" w:rsidRPr="00027624">
        <w:t xml:space="preserve"> </w:t>
      </w:r>
      <w:r w:rsidRPr="00027624">
        <w:t>and the high level of robustness their results show to changes in model specification, strongly suggests the effect they identify is due to SG changes. In addition, alternative specifications that exclude agreements paying more than the SG give stronger effects, equal to full pass</w:t>
      </w:r>
      <w:r w:rsidR="00A8443E" w:rsidRPr="00027624">
        <w:noBreakHyphen/>
      </w:r>
      <w:r w:rsidRPr="00027624">
        <w:t>through, suggesting that their partial pass</w:t>
      </w:r>
      <w:r w:rsidR="00A8443E" w:rsidRPr="00027624">
        <w:noBreakHyphen/>
      </w:r>
      <w:r w:rsidRPr="00027624">
        <w:t>through estimates are tempered by agreements not affected by the SG.</w:t>
      </w:r>
    </w:p>
    <w:p w14:paraId="4565F980" w14:textId="77777777" w:rsidR="00E96B29" w:rsidRPr="00027624" w:rsidRDefault="00E96B29" w:rsidP="00E96B29">
      <w:r w:rsidRPr="00027624">
        <w:t>The second micro</w:t>
      </w:r>
      <w:r w:rsidR="00A8443E" w:rsidRPr="00027624">
        <w:noBreakHyphen/>
      </w:r>
      <w:r w:rsidRPr="00027624">
        <w:t xml:space="preserve">econometric analysis, from the Tax and Transfer Policy Institute </w:t>
      </w:r>
      <w:sdt>
        <w:sdtPr>
          <w:id w:val="-1363045003"/>
          <w:citation/>
        </w:sdtPr>
        <w:sdtEndPr/>
        <w:sdtContent>
          <w:r w:rsidRPr="00027624">
            <w:fldChar w:fldCharType="begin"/>
          </w:r>
          <w:r w:rsidRPr="00027624">
            <w:instrText xml:space="preserve"> CITATION Bre20 \l 3081 </w:instrText>
          </w:r>
          <w:r w:rsidRPr="00027624">
            <w:fldChar w:fldCharType="separate"/>
          </w:r>
          <w:r w:rsidR="00E83F6E">
            <w:rPr>
              <w:noProof/>
            </w:rPr>
            <w:t>(Breunig &amp; Sobeck, 2020)</w:t>
          </w:r>
          <w:r w:rsidRPr="00027624">
            <w:fldChar w:fldCharType="end"/>
          </w:r>
        </w:sdtContent>
      </w:sdt>
      <w:r w:rsidRPr="00027624">
        <w:t>, which was commissioned by the review, estimated that changes to the SG causally lower wages growth. The authors found pass</w:t>
      </w:r>
      <w:r w:rsidR="00A8443E" w:rsidRPr="00027624">
        <w:noBreakHyphen/>
      </w:r>
      <w:r w:rsidRPr="00027624">
        <w:t>through was between 70 and 100 per cent.</w:t>
      </w:r>
    </w:p>
    <w:p w14:paraId="742179F7" w14:textId="77777777" w:rsidR="00E96B29" w:rsidRPr="00027624" w:rsidRDefault="00E96B29" w:rsidP="00E96B29">
      <w:r w:rsidRPr="00027624">
        <w:t>Their identification strategy compares wages growth for workers receiving more than the SG</w:t>
      </w:r>
      <w:r w:rsidR="00A8443E" w:rsidRPr="00027624">
        <w:noBreakHyphen/>
      </w:r>
      <w:r w:rsidRPr="00027624">
        <w:t>legislated rate to those receiving the legislated rate. Increases to the legislated rate of the SG should only affect the latter group, allowing a comparison of wages growth between them.</w:t>
      </w:r>
    </w:p>
    <w:p w14:paraId="4350EA19" w14:textId="77777777" w:rsidR="00E96B29" w:rsidRPr="00027624" w:rsidRDefault="00E96B29" w:rsidP="00E96B29">
      <w:r w:rsidRPr="00027624">
        <w:t>Their data includes individual tax return data from the Australian Taxation Office (ATO) from 2002</w:t>
      </w:r>
      <w:r w:rsidR="00A8443E" w:rsidRPr="00027624">
        <w:noBreakHyphen/>
      </w:r>
      <w:r w:rsidRPr="00027624">
        <w:t>03 to 2016</w:t>
      </w:r>
      <w:r w:rsidR="00A8443E" w:rsidRPr="00027624">
        <w:noBreakHyphen/>
      </w:r>
      <w:r w:rsidRPr="00027624">
        <w:t>17, covering all three different wage</w:t>
      </w:r>
      <w:r w:rsidR="00A8443E" w:rsidRPr="00027624">
        <w:noBreakHyphen/>
      </w:r>
      <w:r w:rsidRPr="00027624">
        <w:t xml:space="preserve">setting arrangements. A relative strength of this study, compared to Coates et al. </w:t>
      </w:r>
      <w:sdt>
        <w:sdtPr>
          <w:id w:val="-255362410"/>
          <w:citation/>
        </w:sdtPr>
        <w:sdtEndPr/>
        <w:sdtContent>
          <w:r w:rsidRPr="00027624">
            <w:fldChar w:fldCharType="begin"/>
          </w:r>
          <w:r w:rsidRPr="00027624">
            <w:instrText xml:space="preserve">CITATION Coa20 \n  \t  \l 3081 </w:instrText>
          </w:r>
          <w:r w:rsidRPr="00027624">
            <w:fldChar w:fldCharType="separate"/>
          </w:r>
          <w:r w:rsidR="00E83F6E">
            <w:rPr>
              <w:noProof/>
            </w:rPr>
            <w:t>(2020)</w:t>
          </w:r>
          <w:r w:rsidRPr="00027624">
            <w:fldChar w:fldCharType="end"/>
          </w:r>
        </w:sdtContent>
      </w:sdt>
      <w:r w:rsidRPr="00027624">
        <w:t xml:space="preserve"> study, is that the dataset covers all wage</w:t>
      </w:r>
      <w:r w:rsidR="00A8443E" w:rsidRPr="00027624">
        <w:noBreakHyphen/>
      </w:r>
      <w:r w:rsidRPr="00027624">
        <w:t>setting agreement types.</w:t>
      </w:r>
    </w:p>
    <w:p w14:paraId="1231942E" w14:textId="77777777" w:rsidR="00E96B29" w:rsidRPr="00027624" w:rsidRDefault="003C6FD5" w:rsidP="00E96B29">
      <w:r w:rsidRPr="00027624">
        <w:t xml:space="preserve">Breunig &amp; Sobeck </w:t>
      </w:r>
      <w:sdt>
        <w:sdtPr>
          <w:id w:val="812994841"/>
          <w:citation/>
        </w:sdtPr>
        <w:sdtEndPr/>
        <w:sdtContent>
          <w:r w:rsidR="00E96B29" w:rsidRPr="00027624">
            <w:fldChar w:fldCharType="begin"/>
          </w:r>
          <w:r w:rsidRPr="00027624">
            <w:instrText xml:space="preserve">CITATION Bre20 \n  \t  \l 3081 </w:instrText>
          </w:r>
          <w:r w:rsidR="00E96B29" w:rsidRPr="00027624">
            <w:fldChar w:fldCharType="separate"/>
          </w:r>
          <w:r w:rsidR="00E83F6E">
            <w:rPr>
              <w:noProof/>
            </w:rPr>
            <w:t>(2020)</w:t>
          </w:r>
          <w:r w:rsidR="00E96B29" w:rsidRPr="00027624">
            <w:fldChar w:fldCharType="end"/>
          </w:r>
        </w:sdtContent>
      </w:sdt>
      <w:r w:rsidR="00E96B29" w:rsidRPr="00027624">
        <w:t xml:space="preserve"> find that employees receiving superannuation contributions above the SG rate have persistently lower wages growth over their sample. They identify that in years the SG was increased, the difference in wages growth narrowed, providing evidence that changes to the SG are passed through to lower wages growth.</w:t>
      </w:r>
    </w:p>
    <w:p w14:paraId="130E6D0C" w14:textId="77777777" w:rsidR="00E96B29" w:rsidRPr="00027624" w:rsidRDefault="00E96B29" w:rsidP="00E96B29">
      <w:r w:rsidRPr="00027624">
        <w:t>The causality of these results relies on the assumption that the difference in wages growth between employees who receive exactly the SG and others is constant over time (in the absence of SG changes). They are able to use individual fixed effects to control for persistent differences between them over time, which accounts for substantial heterogeneity between people. Their results are robust to a number of methodological and sample selection changes, and add to the empirical evidence that the majority of SG costs are passed through to wages.</w:t>
      </w:r>
    </w:p>
    <w:p w14:paraId="2B7A3203" w14:textId="77777777" w:rsidR="00E96B29" w:rsidRPr="00027624" w:rsidRDefault="00E96B29" w:rsidP="00E96B29">
      <w:pPr>
        <w:pStyle w:val="Heading3"/>
      </w:pPr>
      <w:r w:rsidRPr="00027624">
        <w:t>Possible future effects</w:t>
      </w:r>
    </w:p>
    <w:p w14:paraId="09DD6FF7" w14:textId="77777777" w:rsidR="00E96B29" w:rsidRPr="00027624" w:rsidRDefault="00E96B29" w:rsidP="00E96B29">
      <w:r w:rsidRPr="00027624">
        <w:t>In predicting future impacts of the SG on wages, the rate of pass</w:t>
      </w:r>
      <w:r w:rsidR="00A8443E" w:rsidRPr="00027624">
        <w:noBreakHyphen/>
      </w:r>
      <w:r w:rsidRPr="00027624">
        <w:t>through would depend on workers</w:t>
      </w:r>
      <w:r w:rsidR="00A8443E" w:rsidRPr="00027624">
        <w:t>’</w:t>
      </w:r>
      <w:r w:rsidRPr="00027624">
        <w:t xml:space="preserve"> bargaining power and the domestic labour market. However, there is no clear evidence that future changes to the SG will have lower pass</w:t>
      </w:r>
      <w:r w:rsidR="00A8443E" w:rsidRPr="00027624">
        <w:noBreakHyphen/>
      </w:r>
      <w:r w:rsidRPr="00027624">
        <w:t>through to wages than previous increases.</w:t>
      </w:r>
    </w:p>
    <w:p w14:paraId="0F1D062A" w14:textId="77777777" w:rsidR="00E96B29" w:rsidRPr="00027624" w:rsidRDefault="00E96B29" w:rsidP="00E96B29">
      <w:r w:rsidRPr="00027624">
        <w:t>Lower aggregate wage growth may reduce pass</w:t>
      </w:r>
      <w:r w:rsidR="00A8443E" w:rsidRPr="00027624">
        <w:noBreakHyphen/>
      </w:r>
      <w:r w:rsidRPr="00027624">
        <w:t>through in the short run. Wages tend to be sticky; nominal wage decreases are rare and there is some evidence of clumping of wage increases around expected inflation</w:t>
      </w:r>
      <w:sdt>
        <w:sdtPr>
          <w:id w:val="-1074670454"/>
          <w:citation/>
        </w:sdtPr>
        <w:sdtEndPr/>
        <w:sdtContent>
          <w:r w:rsidR="00621A83">
            <w:fldChar w:fldCharType="begin"/>
          </w:r>
          <w:r w:rsidR="00621A83">
            <w:instrText xml:space="preserve"> CITATION DebR19 \l 3081 </w:instrText>
          </w:r>
          <w:r w:rsidR="00621A83">
            <w:fldChar w:fldCharType="separate"/>
          </w:r>
          <w:r w:rsidR="00E83F6E">
            <w:rPr>
              <w:noProof/>
            </w:rPr>
            <w:t xml:space="preserve"> (Debelle, 2019)</w:t>
          </w:r>
          <w:r w:rsidR="00621A83">
            <w:fldChar w:fldCharType="end"/>
          </w:r>
        </w:sdtContent>
      </w:sdt>
      <w:r w:rsidRPr="00027624">
        <w:t>.</w:t>
      </w:r>
    </w:p>
    <w:p w14:paraId="67822BE8" w14:textId="77777777" w:rsidR="00E96B29" w:rsidRPr="00027624" w:rsidRDefault="00E96B29" w:rsidP="00E96B29">
      <w:r w:rsidRPr="00027624">
        <w:t>Given average wage growth has been low over recent years, it could be argued that these nominal rigidities may be more binding. In 2018, around half of wage increases were between 2 and 3 per cent, up more than 40 per cent since 2012</w:t>
      </w:r>
      <w:sdt>
        <w:sdtPr>
          <w:id w:val="-378777251"/>
          <w:citation/>
        </w:sdtPr>
        <w:sdtEndPr/>
        <w:sdtContent>
          <w:r w:rsidR="00621A83">
            <w:fldChar w:fldCharType="begin"/>
          </w:r>
          <w:r w:rsidR="00621A83">
            <w:instrText xml:space="preserve"> CITATION DebR19 \l 3081 </w:instrText>
          </w:r>
          <w:r w:rsidR="00621A83">
            <w:fldChar w:fldCharType="separate"/>
          </w:r>
          <w:r w:rsidR="00E83F6E">
            <w:rPr>
              <w:noProof/>
            </w:rPr>
            <w:t xml:space="preserve"> (Debelle, 2019)</w:t>
          </w:r>
          <w:r w:rsidR="00621A83">
            <w:fldChar w:fldCharType="end"/>
          </w:r>
        </w:sdtContent>
      </w:sdt>
      <w:r w:rsidRPr="00027624">
        <w:t>.Compared to these recent wage outcomes, there is potential for even lower wage growth or even wage freezes arising in the short term resulting from the COVID</w:t>
      </w:r>
      <w:r w:rsidR="00A8443E" w:rsidRPr="00027624">
        <w:noBreakHyphen/>
      </w:r>
      <w:r w:rsidRPr="00027624">
        <w:t>19 Pandemic. This may mean more of the short</w:t>
      </w:r>
      <w:r w:rsidR="00A8443E" w:rsidRPr="00027624">
        <w:noBreakHyphen/>
      </w:r>
      <w:r w:rsidRPr="00027624">
        <w:t>term incidence of SG increases legislated to occur in 2021 could, in some instances, initially fall on employers. Where employers bear more of the SG increase this could lead to changes in the demand for labour and/or investment. The impact of the COVID</w:t>
      </w:r>
      <w:r w:rsidR="00A8443E" w:rsidRPr="00027624">
        <w:noBreakHyphen/>
      </w:r>
      <w:r w:rsidRPr="00027624">
        <w:t>19 Pandemic on the economy over the next few years is very uncertain. However, the modelling undertaken for the review is aimed at assessing the long</w:t>
      </w:r>
      <w:r w:rsidR="00A8443E" w:rsidRPr="00027624">
        <w:noBreakHyphen/>
      </w:r>
      <w:r w:rsidRPr="00027624">
        <w:t>term implications of different SG rates. Variations in the business cycle and shorter</w:t>
      </w:r>
      <w:r w:rsidR="00A8443E" w:rsidRPr="00027624">
        <w:noBreakHyphen/>
      </w:r>
      <w:r w:rsidRPr="00027624">
        <w:t>term volatility are unlikely to impact on long</w:t>
      </w:r>
      <w:r w:rsidR="00A8443E" w:rsidRPr="00027624">
        <w:noBreakHyphen/>
      </w:r>
      <w:r w:rsidRPr="00027624">
        <w:t>term economic trends. Over the long term, the research suggests most of the impact of SG changes will be passed on to workers.</w:t>
      </w:r>
    </w:p>
    <w:p w14:paraId="07DB5B65" w14:textId="77777777" w:rsidR="00E96B29" w:rsidRPr="00027624" w:rsidRDefault="00E96B29" w:rsidP="00E96B29">
      <w:r w:rsidRPr="00027624">
        <w:t>While lower wages growth in the year of introduction could reduce pass</w:t>
      </w:r>
      <w:r w:rsidR="00A8443E" w:rsidRPr="00027624">
        <w:noBreakHyphen/>
      </w:r>
      <w:r w:rsidRPr="00027624">
        <w:t>through of changes to the SG, evidence suggests this will not be maintained and the long</w:t>
      </w:r>
      <w:r w:rsidR="00A8443E" w:rsidRPr="00027624">
        <w:noBreakHyphen/>
      </w:r>
      <w:r w:rsidRPr="00027624">
        <w:t>run economic incidence of the SG will be mostly on employees. This suggests any additional compensation from SG increases when nominal wages are held constant will be recouped through lower wages growth when wage freezes are lifted.</w:t>
      </w:r>
    </w:p>
    <w:p w14:paraId="054DEBB1" w14:textId="77777777" w:rsidR="00E96B29" w:rsidRPr="00027624" w:rsidRDefault="00E96B29" w:rsidP="00E96B29">
      <w:r w:rsidRPr="00027624">
        <w:t>Some evidence suggests pass</w:t>
      </w:r>
      <w:r w:rsidR="00A8443E" w:rsidRPr="00027624">
        <w:noBreakHyphen/>
      </w:r>
      <w:r w:rsidRPr="00027624">
        <w:t>through could be higher in the future. International estimates suggest labour demand has become more flexible over recent years, due to technology improvements increasing the substitutability of domestic labour and compositional shifts towards flexible contracts for low</w:t>
      </w:r>
      <w:r w:rsidR="00A8443E" w:rsidRPr="00027624">
        <w:noBreakHyphen/>
      </w:r>
      <w:r w:rsidRPr="00027624">
        <w:t>skilled jobs</w:t>
      </w:r>
      <w:sdt>
        <w:sdtPr>
          <w:id w:val="38861365"/>
          <w:citation/>
        </w:sdtPr>
        <w:sdtEndPr/>
        <w:sdtContent>
          <w:r w:rsidRPr="00027624">
            <w:fldChar w:fldCharType="begin"/>
          </w:r>
          <w:r w:rsidRPr="00027624">
            <w:instrText xml:space="preserve"> CITATION Eur15 \l 3081 </w:instrText>
          </w:r>
          <w:r w:rsidRPr="00027624">
            <w:fldChar w:fldCharType="separate"/>
          </w:r>
          <w:r w:rsidR="00E83F6E">
            <w:rPr>
              <w:noProof/>
            </w:rPr>
            <w:t xml:space="preserve"> (European Commission, 2015)</w:t>
          </w:r>
          <w:r w:rsidRPr="00027624">
            <w:fldChar w:fldCharType="end"/>
          </w:r>
        </w:sdtContent>
      </w:sdt>
      <w:r w:rsidRPr="00027624">
        <w:t>. Such factors reduce bargaining power of employees and would increase the pass</w:t>
      </w:r>
      <w:r w:rsidR="00A8443E" w:rsidRPr="00027624">
        <w:noBreakHyphen/>
      </w:r>
      <w:r w:rsidRPr="00027624">
        <w:t xml:space="preserve">through of superannuation costs to employees. In line with this, </w:t>
      </w:r>
      <w:sdt>
        <w:sdtPr>
          <w:id w:val="784861781"/>
          <w:citation/>
        </w:sdtPr>
        <w:sdtEndPr/>
        <w:sdtContent>
          <w:r w:rsidRPr="00027624">
            <w:fldChar w:fldCharType="begin"/>
          </w:r>
          <w:r w:rsidRPr="00027624">
            <w:instrText xml:space="preserve"> CITATION Bre20 \l 3081 </w:instrText>
          </w:r>
          <w:r w:rsidRPr="00027624">
            <w:fldChar w:fldCharType="separate"/>
          </w:r>
          <w:r w:rsidR="00E83F6E">
            <w:rPr>
              <w:noProof/>
            </w:rPr>
            <w:t>(Breunig &amp; Sobeck, 2020)</w:t>
          </w:r>
          <w:r w:rsidRPr="00027624">
            <w:fldChar w:fldCharType="end"/>
          </w:r>
        </w:sdtContent>
      </w:sdt>
      <w:r w:rsidRPr="00027624">
        <w:t xml:space="preserve"> found evidence that pass</w:t>
      </w:r>
      <w:r w:rsidR="00A8443E" w:rsidRPr="00027624">
        <w:noBreakHyphen/>
      </w:r>
      <w:r w:rsidRPr="00027624">
        <w:t>through from the most recent changes to the SG were higher than in the past.</w:t>
      </w:r>
    </w:p>
    <w:p w14:paraId="1957890B" w14:textId="77777777" w:rsidR="00E96B29" w:rsidRPr="00027624" w:rsidRDefault="00E96B29" w:rsidP="00E96B29">
      <w:r w:rsidRPr="00027624">
        <w:t>There is limited evidence that other changes would reduce pass</w:t>
      </w:r>
      <w:r w:rsidR="00A8443E" w:rsidRPr="00027624">
        <w:noBreakHyphen/>
      </w:r>
      <w:r w:rsidRPr="00027624">
        <w:t>through.</w:t>
      </w:r>
    </w:p>
    <w:p w14:paraId="4E31371F" w14:textId="77777777" w:rsidR="00E96B29" w:rsidRPr="00027624" w:rsidRDefault="00E96B29" w:rsidP="00E96B29">
      <w:pPr>
        <w:pStyle w:val="Bullet"/>
      </w:pPr>
      <w:r w:rsidRPr="00027624">
        <w:t>Employees will probably not value superannuation less than in the past, given tax concessions and access arrangements have remained broadly unchanged.</w:t>
      </w:r>
    </w:p>
    <w:p w14:paraId="511C8F14" w14:textId="77777777" w:rsidR="00E96B29" w:rsidRPr="00027624" w:rsidRDefault="00E96B29" w:rsidP="00E96B29">
      <w:pPr>
        <w:pStyle w:val="Bullet"/>
      </w:pPr>
      <w:r w:rsidRPr="00027624">
        <w:t>Increases in employee bargaining power that could shift the costs of SG changes towards employers have not been apparent.</w:t>
      </w:r>
    </w:p>
    <w:p w14:paraId="4FA9E4E8" w14:textId="77777777" w:rsidR="00E96B29" w:rsidRPr="00027624" w:rsidRDefault="00E96B29" w:rsidP="00E96B29">
      <w:pPr>
        <w:pStyle w:val="Dash"/>
      </w:pPr>
      <w:r w:rsidRPr="00027624">
        <w:t xml:space="preserve">The general environment of weak wages growth is a priori evidence against this; similarly, the total share of income paid to workers has been falling for some time </w:t>
      </w:r>
      <w:sdt>
        <w:sdtPr>
          <w:id w:val="1243523843"/>
          <w:citation/>
        </w:sdtPr>
        <w:sdtEndPr/>
        <w:sdtContent>
          <w:r w:rsidRPr="00027624">
            <w:fldChar w:fldCharType="begin"/>
          </w:r>
          <w:r w:rsidRPr="00027624">
            <w:instrText xml:space="preserve">CITATION LaC19 \l 3081 </w:instrText>
          </w:r>
          <w:r w:rsidRPr="00027624">
            <w:fldChar w:fldCharType="separate"/>
          </w:r>
          <w:r w:rsidR="00E83F6E">
            <w:rPr>
              <w:noProof/>
            </w:rPr>
            <w:t>(La Cava, 2019)</w:t>
          </w:r>
          <w:r w:rsidRPr="00027624">
            <w:fldChar w:fldCharType="end"/>
          </w:r>
        </w:sdtContent>
      </w:sdt>
      <w:r w:rsidRPr="00027624">
        <w:t>.</w:t>
      </w:r>
    </w:p>
    <w:p w14:paraId="43BF6EAC" w14:textId="77777777" w:rsidR="00E96B29" w:rsidRPr="00027624" w:rsidRDefault="00E96B29" w:rsidP="00E96B29">
      <w:pPr>
        <w:pStyle w:val="Dash"/>
      </w:pPr>
      <w:r w:rsidRPr="00027624">
        <w:t>Trade unions have been found to have a similar influence on aggregate wages growth as in the past</w:t>
      </w:r>
      <w:sdt>
        <w:sdtPr>
          <w:id w:val="1420066571"/>
          <w:citation/>
        </w:sdtPr>
        <w:sdtEndPr/>
        <w:sdtContent>
          <w:r w:rsidRPr="00027624">
            <w:fldChar w:fldCharType="begin"/>
          </w:r>
          <w:r w:rsidRPr="00027624">
            <w:instrText xml:space="preserve">CITATION Bis191 \l 3081 </w:instrText>
          </w:r>
          <w:r w:rsidRPr="00027624">
            <w:fldChar w:fldCharType="separate"/>
          </w:r>
          <w:r w:rsidR="00E83F6E">
            <w:rPr>
              <w:noProof/>
            </w:rPr>
            <w:t xml:space="preserve"> (Bishop &amp; Chan, 2019)</w:t>
          </w:r>
          <w:r w:rsidRPr="00027624">
            <w:fldChar w:fldCharType="end"/>
          </w:r>
        </w:sdtContent>
      </w:sdt>
      <w:r w:rsidRPr="00027624">
        <w:t>.</w:t>
      </w:r>
    </w:p>
    <w:p w14:paraId="2205A6E2" w14:textId="77777777" w:rsidR="00E96B29" w:rsidRPr="00027624" w:rsidRDefault="00E96B29">
      <w:pPr>
        <w:pStyle w:val="Dash"/>
      </w:pPr>
      <w:r w:rsidRPr="00027624">
        <w:t>The current economic environment associated with COVID</w:t>
      </w:r>
      <w:r w:rsidR="00A8443E" w:rsidRPr="00027624">
        <w:noBreakHyphen/>
      </w:r>
      <w:r w:rsidRPr="00027624">
        <w:t>19 Pandemic has resulted in elevated levels of unemployment and underemployment. This could reduce worker bargaining power in the short</w:t>
      </w:r>
      <w:r w:rsidR="00A8443E" w:rsidRPr="00027624">
        <w:noBreakHyphen/>
      </w:r>
      <w:r w:rsidRPr="00027624">
        <w:t xml:space="preserve">term making it more likely for pass through to wages to occur. </w:t>
      </w:r>
    </w:p>
    <w:p w14:paraId="4DE0033E" w14:textId="77777777" w:rsidR="00E96B29" w:rsidRPr="00027624" w:rsidRDefault="00E96B29" w:rsidP="00E96B29">
      <w:pPr>
        <w:pStyle w:val="Heading2"/>
      </w:pPr>
      <w:bookmarkStart w:id="4215" w:name="_Ref42617901"/>
      <w:bookmarkStart w:id="4216" w:name="_Toc45520562"/>
      <w:bookmarkStart w:id="4217" w:name="_Toc46133674"/>
      <w:r w:rsidRPr="00027624">
        <w:t>Evidence on the spending growth needed in retirement</w:t>
      </w:r>
      <w:bookmarkEnd w:id="4215"/>
      <w:bookmarkEnd w:id="4216"/>
      <w:bookmarkEnd w:id="4217"/>
    </w:p>
    <w:p w14:paraId="25E944E1" w14:textId="77777777" w:rsidR="00E96B29" w:rsidRPr="00027624" w:rsidRDefault="00E96B29" w:rsidP="00E96B29">
      <w:r w:rsidRPr="00027624">
        <w:t>The rate of spending growth in retirement is critical to determining whether the retirement income system delivers adequate outcomes. The issue has not been addressed substantially in previous reviews, nor have governments made a goal explicit. Submissions to the review identified this as an important issue for measuring adequacy.</w:t>
      </w:r>
    </w:p>
    <w:p w14:paraId="01044009" w14:textId="77777777" w:rsidR="00E96B29" w:rsidRPr="00027624" w:rsidRDefault="00E96B29" w:rsidP="00E96B29">
      <w:r w:rsidRPr="00027624">
        <w:t>Projections undertaken for the review have deflated retirement income by the Consumer Price Index (CPI). This approach is based on the following evidence:</w:t>
      </w:r>
    </w:p>
    <w:p w14:paraId="1B195A03" w14:textId="4F364533" w:rsidR="00E96B29" w:rsidRPr="00027624" w:rsidRDefault="00E96B29" w:rsidP="00E96B29">
      <w:pPr>
        <w:pStyle w:val="Bullet"/>
      </w:pPr>
      <w:r w:rsidRPr="00027624">
        <w:t>The expenditure patterns of current retirees. While there are differing opinions within the community (</w:t>
      </w:r>
      <w:r w:rsidRPr="00027624">
        <w:fldChar w:fldCharType="begin"/>
      </w:r>
      <w:r w:rsidRPr="00027624">
        <w:instrText xml:space="preserve"> REF _Ref38617422 \r \h  \* MERGEFORMAT </w:instrText>
      </w:r>
      <w:r w:rsidRPr="00027624">
        <w:fldChar w:fldCharType="separate"/>
      </w:r>
      <w:r w:rsidR="00891058">
        <w:t>Box 6A-1</w:t>
      </w:r>
      <w:r w:rsidRPr="00027624">
        <w:fldChar w:fldCharType="end"/>
      </w:r>
      <w:r w:rsidRPr="00027624">
        <w:t>), the weight of evidence points to retirees</w:t>
      </w:r>
      <w:r w:rsidR="00A8443E" w:rsidRPr="00027624">
        <w:t>’</w:t>
      </w:r>
      <w:r w:rsidRPr="00027624">
        <w:t xml:space="preserve"> spending being maintained or falling relative to prices.</w:t>
      </w:r>
    </w:p>
    <w:p w14:paraId="369ED62C" w14:textId="77777777" w:rsidR="00E96B29" w:rsidRPr="00027624" w:rsidRDefault="00E96B29" w:rsidP="00E96B29">
      <w:pPr>
        <w:pStyle w:val="Bullet"/>
      </w:pPr>
      <w:r w:rsidRPr="00027624">
        <w:t>The indexation of available retirement income products in Australia, which mostly increase with prices.</w:t>
      </w:r>
    </w:p>
    <w:p w14:paraId="068B13FE" w14:textId="77777777" w:rsidR="00E96B29" w:rsidRPr="00027624" w:rsidRDefault="00E96B29" w:rsidP="00E96B29">
      <w:pPr>
        <w:pStyle w:val="Bullet"/>
      </w:pPr>
      <w:r w:rsidRPr="00027624">
        <w:t>International practices, which, on balance, use prices for indexing retirement benefits.</w:t>
      </w:r>
    </w:p>
    <w:p w14:paraId="208AA355" w14:textId="77777777" w:rsidR="00E96B29" w:rsidRPr="00027624" w:rsidRDefault="00E96B29" w:rsidP="00E96B29">
      <w:pPr>
        <w:pStyle w:val="Heading3"/>
      </w:pPr>
      <w:r w:rsidRPr="00027624">
        <w:t>Expenditure patterns of current retirees</w:t>
      </w:r>
    </w:p>
    <w:tbl>
      <w:tblPr>
        <w:tblStyle w:val="TableGrid"/>
        <w:tblpPr w:leftFromText="180" w:rightFromText="180" w:vertAnchor="text" w:horzAnchor="margin" w:tblpY="109"/>
        <w:tblW w:w="5000" w:type="pct"/>
        <w:shd w:val="clear" w:color="auto" w:fill="FFF8EA"/>
        <w:tblLook w:val="04A0" w:firstRow="1" w:lastRow="0" w:firstColumn="1" w:lastColumn="0" w:noHBand="0" w:noVBand="1"/>
      </w:tblPr>
      <w:tblGrid>
        <w:gridCol w:w="9070"/>
      </w:tblGrid>
      <w:tr w:rsidR="00E96B29" w:rsidRPr="00027624" w14:paraId="08E8AEFB" w14:textId="77777777" w:rsidTr="00E96B29">
        <w:tc>
          <w:tcPr>
            <w:tcW w:w="5000" w:type="pct"/>
            <w:shd w:val="clear" w:color="auto" w:fill="FFF8EA"/>
          </w:tcPr>
          <w:p w14:paraId="01A8C63B" w14:textId="77777777" w:rsidR="00E96B29" w:rsidRPr="00027624" w:rsidRDefault="00E96B29" w:rsidP="00E96B29">
            <w:pPr>
              <w:pStyle w:val="BoxHeading"/>
              <w:ind w:left="357" w:hanging="357"/>
            </w:pPr>
            <w:bookmarkStart w:id="4218" w:name="_Ref38617422"/>
            <w:r w:rsidRPr="00027624">
              <w:t>Stakeholder views on expenditure patterns</w:t>
            </w:r>
            <w:bookmarkEnd w:id="4218"/>
          </w:p>
          <w:p w14:paraId="42C96A73" w14:textId="77777777" w:rsidR="00E96B29" w:rsidRPr="00027624" w:rsidRDefault="00E96B29" w:rsidP="00E96B29">
            <w:pPr>
              <w:keepNext/>
              <w:jc w:val="left"/>
            </w:pPr>
            <w:r w:rsidRPr="00027624">
              <w:t>Stakeholders expressed three broad positions on expenditure patterns of Australian retirees.</w:t>
            </w:r>
          </w:p>
          <w:p w14:paraId="44058D47" w14:textId="77777777" w:rsidR="00E96B29" w:rsidRPr="00027624" w:rsidRDefault="00E96B29" w:rsidP="00FC7361">
            <w:pPr>
              <w:pStyle w:val="OutlineNumbered1"/>
              <w:numPr>
                <w:ilvl w:val="0"/>
                <w:numId w:val="76"/>
              </w:numPr>
            </w:pPr>
            <w:r w:rsidRPr="00027624">
              <w:t>Expenditure falls as people age. Some submissions noted research using the Australian Bureau of Statistics (ABS) Household Expenditure Survey and bank transaction data compiled by Milliman (an actuarial consulting firm), which suggests that, in Australia, spending by retirees falls in real terms as they age.</w:t>
            </w:r>
          </w:p>
          <w:p w14:paraId="2409B762" w14:textId="77777777" w:rsidR="00E96B29" w:rsidRPr="00027624" w:rsidRDefault="00E96B29" w:rsidP="00791570">
            <w:pPr>
              <w:pStyle w:val="OutlineNumbered1"/>
            </w:pPr>
            <w:r w:rsidRPr="00027624">
              <w:t>Expenditure falls but is constrained by retirees</w:t>
            </w:r>
            <w:r w:rsidR="00A8443E" w:rsidRPr="00027624">
              <w:t>’</w:t>
            </w:r>
            <w:r w:rsidRPr="00027624">
              <w:t xml:space="preserve"> income. Some submissions argued that it is not appropriate to use actual expenditure data to determine retirees</w:t>
            </w:r>
            <w:r w:rsidR="00A8443E" w:rsidRPr="00027624">
              <w:t>’</w:t>
            </w:r>
            <w:r w:rsidRPr="00027624">
              <w:t xml:space="preserve"> spending needs as many retirees have low incomes, which places a limit on spending. These submissions argued retirees may refrain from spending due to factors such as a fear of outliving their assets.</w:t>
            </w:r>
          </w:p>
          <w:p w14:paraId="23CCF53B" w14:textId="77777777" w:rsidR="00E96B29" w:rsidRPr="004D79D7" w:rsidRDefault="00E96B29" w:rsidP="00791570">
            <w:pPr>
              <w:pStyle w:val="OutlineNumbered1"/>
            </w:pPr>
            <w:r w:rsidRPr="00027624">
              <w:t xml:space="preserve">Expenditure increases as retirees age. Submissions that supported this view cited international evidence and spending research using HILDA data. Some international studies have suggested that increases in health spending more than offsets lower expenditure in other areas as people age. HILDA data suggests limited reduction in </w:t>
            </w:r>
            <w:r w:rsidRPr="00027624" w:rsidDel="00566BF9">
              <w:t xml:space="preserve">spending </w:t>
            </w:r>
            <w:r w:rsidRPr="00027624">
              <w:t>as people age. However, other stakeholders noted that HILDA is limited as it does not capture some spending categories.</w:t>
            </w:r>
          </w:p>
        </w:tc>
      </w:tr>
    </w:tbl>
    <w:p w14:paraId="618D7ECA" w14:textId="77777777" w:rsidR="00E96B29" w:rsidRPr="00027624" w:rsidRDefault="00E96B29" w:rsidP="00E96B29">
      <w:pPr>
        <w:spacing w:before="240"/>
      </w:pPr>
      <w:r w:rsidRPr="00027624">
        <w:t>Examining the expenditure patterns of current retirees provides the best evidence for determining the income needs of future retirees. The review has used a number of data sources to measure the expenditure patterns of retirees:</w:t>
      </w:r>
    </w:p>
    <w:p w14:paraId="0C4600A6" w14:textId="77777777" w:rsidR="00E96B29" w:rsidRPr="00027624" w:rsidRDefault="00E96B29" w:rsidP="008D56F9">
      <w:pPr>
        <w:pStyle w:val="Bullet"/>
      </w:pPr>
      <w:r w:rsidRPr="00027624">
        <w:t>Data from the ABS Ho</w:t>
      </w:r>
      <w:r w:rsidR="00016EA8" w:rsidRPr="00027624">
        <w:t>usehold Expenditure Survey</w:t>
      </w:r>
      <w:r w:rsidRPr="00027624">
        <w:t xml:space="preserve"> on the expenditure of the population between 1988</w:t>
      </w:r>
      <w:r w:rsidR="00A8443E" w:rsidRPr="00027624">
        <w:noBreakHyphen/>
      </w:r>
      <w:r w:rsidRPr="00027624">
        <w:t>89 and 2015</w:t>
      </w:r>
      <w:r w:rsidR="00A8443E" w:rsidRPr="00027624">
        <w:noBreakHyphen/>
      </w:r>
      <w:r w:rsidRPr="00027624">
        <w:t>16. This data can be used to track the spending patterns of generations as they age.</w:t>
      </w:r>
    </w:p>
    <w:p w14:paraId="74939E0B" w14:textId="77777777" w:rsidR="00E96B29" w:rsidRPr="00027624" w:rsidRDefault="00E96B29" w:rsidP="00E96B29">
      <w:pPr>
        <w:pStyle w:val="Bullet"/>
      </w:pPr>
      <w:r w:rsidRPr="00027624">
        <w:t>Research from the Reserve Bank of Australia (RBA) on demographic trends and household spending</w:t>
      </w:r>
      <w:sdt>
        <w:sdtPr>
          <w:id w:val="-160242328"/>
          <w:citation/>
        </w:sdtPr>
        <w:sdtEndPr/>
        <w:sdtContent>
          <w:r w:rsidRPr="00027624">
            <w:fldChar w:fldCharType="begin"/>
          </w:r>
          <w:r w:rsidRPr="00027624">
            <w:instrText xml:space="preserve">CITATION COKU20 \l 3081 </w:instrText>
          </w:r>
          <w:r w:rsidRPr="00027624">
            <w:fldChar w:fldCharType="separate"/>
          </w:r>
          <w:r w:rsidR="00E83F6E">
            <w:rPr>
              <w:noProof/>
            </w:rPr>
            <w:t xml:space="preserve"> (Cokis &amp; McLoughlin, 2020)</w:t>
          </w:r>
          <w:r w:rsidRPr="00027624">
            <w:fldChar w:fldCharType="end"/>
          </w:r>
        </w:sdtContent>
      </w:sdt>
      <w:r w:rsidRPr="00027624">
        <w:t>.</w:t>
      </w:r>
    </w:p>
    <w:p w14:paraId="5E22FF9C" w14:textId="77777777" w:rsidR="00E96B29" w:rsidRPr="00027624" w:rsidRDefault="00E96B29" w:rsidP="00E96B29">
      <w:pPr>
        <w:pStyle w:val="Bullet"/>
      </w:pPr>
      <w:r w:rsidRPr="00027624">
        <w:t>Spending pattern analysis compiled by Milliman, an actuarial consulting firm.</w:t>
      </w:r>
    </w:p>
    <w:p w14:paraId="7FB4E7FF" w14:textId="77777777" w:rsidR="00E96B29" w:rsidRPr="00027624" w:rsidRDefault="00E96B29" w:rsidP="00E96B29">
      <w:pPr>
        <w:pStyle w:val="Bullet"/>
        <w:numPr>
          <w:ilvl w:val="0"/>
          <w:numId w:val="0"/>
        </w:numPr>
      </w:pPr>
      <w:r w:rsidRPr="00027624">
        <w:t>The HILDA Survey also tracks household expenditure. The review uses the HES instead of HILDA to track household expenditure because:</w:t>
      </w:r>
    </w:p>
    <w:p w14:paraId="5A352A28" w14:textId="3D6E510C" w:rsidR="00E96B29" w:rsidRPr="00027624" w:rsidRDefault="00E96B29" w:rsidP="00E96B29">
      <w:pPr>
        <w:pStyle w:val="Bullet"/>
      </w:pPr>
      <w:r w:rsidRPr="00027624">
        <w:t>HILDA records a smaller proportion of total household expenditure due to fewer expenditure categories than HES. Large areas of discretionary spending such as recreation and personal care are not surveyed in HILDA (</w:t>
      </w:r>
      <w:r w:rsidRPr="00027624">
        <w:fldChar w:fldCharType="begin"/>
      </w:r>
      <w:r w:rsidRPr="00027624">
        <w:instrText xml:space="preserve"> REF _Ref42859407 \r \h  \* MERGEFORMAT </w:instrText>
      </w:r>
      <w:r w:rsidRPr="00027624">
        <w:fldChar w:fldCharType="separate"/>
      </w:r>
      <w:r w:rsidR="00891058">
        <w:t>Table 6A-1</w:t>
      </w:r>
      <w:r w:rsidRPr="00027624">
        <w:fldChar w:fldCharType="end"/>
      </w:r>
      <w:r w:rsidRPr="00027624">
        <w:t>).</w:t>
      </w:r>
    </w:p>
    <w:p w14:paraId="449F1892" w14:textId="77777777" w:rsidR="00E96B29" w:rsidRPr="00027624" w:rsidRDefault="00E96B29" w:rsidP="00E96B29">
      <w:pPr>
        <w:pStyle w:val="Bullet"/>
      </w:pPr>
      <w:r w:rsidRPr="00027624">
        <w:t>ABS data can be preferable to HILDA as it is not affected by issues where people drop out of HILDA over time and includes greater span of years</w:t>
      </w:r>
      <w:sdt>
        <w:sdtPr>
          <w:id w:val="889155183"/>
          <w:citation/>
        </w:sdtPr>
        <w:sdtEndPr/>
        <w:sdtContent>
          <w:r w:rsidRPr="00027624">
            <w:fldChar w:fldCharType="begin"/>
          </w:r>
          <w:r w:rsidRPr="00027624">
            <w:instrText xml:space="preserve">CITATION Mat18 \l 3081 </w:instrText>
          </w:r>
          <w:r w:rsidRPr="00027624">
            <w:fldChar w:fldCharType="separate"/>
          </w:r>
          <w:r w:rsidR="00E83F6E">
            <w:rPr>
              <w:noProof/>
            </w:rPr>
            <w:t xml:space="preserve"> (Taylor, 2018)</w:t>
          </w:r>
          <w:r w:rsidRPr="00027624">
            <w:fldChar w:fldCharType="end"/>
          </w:r>
        </w:sdtContent>
      </w:sdt>
      <w:r w:rsidRPr="00027624">
        <w:t>.</w:t>
      </w:r>
    </w:p>
    <w:p w14:paraId="267E834A" w14:textId="77777777" w:rsidR="00E96B29" w:rsidRPr="00027624" w:rsidRDefault="00E96B29" w:rsidP="00E96B29">
      <w:pPr>
        <w:pStyle w:val="Bullet"/>
      </w:pPr>
      <w:r w:rsidRPr="00027624">
        <w:t>Survey methodology differences mean HES records some expenditure more accurately. HILDA expenditure data is based on participants</w:t>
      </w:r>
      <w:r w:rsidR="00A8443E" w:rsidRPr="00027624">
        <w:t>’</w:t>
      </w:r>
      <w:r w:rsidRPr="00027624">
        <w:t xml:space="preserve"> recollection of weekly expenditure, while HES is based on recorded expenditure.</w:t>
      </w:r>
    </w:p>
    <w:p w14:paraId="5E7F7716" w14:textId="77777777" w:rsidR="00E96B29" w:rsidRPr="00027624" w:rsidRDefault="00E96B29" w:rsidP="00E96B29">
      <w:pPr>
        <w:pStyle w:val="TableMainHeading"/>
      </w:pPr>
      <w:bookmarkStart w:id="4219" w:name="_Ref42859407"/>
      <w:r w:rsidRPr="00027624">
        <w:t>HILDA and HES expenditure categories</w:t>
      </w:r>
      <w:bookmarkEnd w:id="4219"/>
    </w:p>
    <w:tbl>
      <w:tblPr>
        <w:tblW w:w="5000" w:type="pct"/>
        <w:tblLook w:val="01E0" w:firstRow="1" w:lastRow="1" w:firstColumn="1" w:lastColumn="1" w:noHBand="0" w:noVBand="0"/>
      </w:tblPr>
      <w:tblGrid>
        <w:gridCol w:w="4535"/>
        <w:gridCol w:w="4535"/>
      </w:tblGrid>
      <w:tr w:rsidR="00E96B29" w:rsidRPr="00027624" w14:paraId="7E00DD32" w14:textId="77777777" w:rsidTr="00E96B29">
        <w:trPr>
          <w:tblHeader/>
        </w:trPr>
        <w:tc>
          <w:tcPr>
            <w:tcW w:w="2500" w:type="pct"/>
            <w:shd w:val="clear" w:color="auto" w:fill="E5E5E5"/>
          </w:tcPr>
          <w:p w14:paraId="5B087296" w14:textId="77777777" w:rsidR="00E96B29" w:rsidRPr="00027624" w:rsidRDefault="00E96B29" w:rsidP="00E96B29">
            <w:pPr>
              <w:pStyle w:val="TableColumnHeadingCentred"/>
            </w:pPr>
            <w:r w:rsidRPr="00027624">
              <w:br w:type="page"/>
              <w:t>Household Expenditure Survey</w:t>
            </w:r>
          </w:p>
        </w:tc>
        <w:tc>
          <w:tcPr>
            <w:tcW w:w="2500" w:type="pct"/>
            <w:shd w:val="clear" w:color="auto" w:fill="E5E5E5"/>
          </w:tcPr>
          <w:p w14:paraId="6E20DE66" w14:textId="77777777" w:rsidR="00E96B29" w:rsidRPr="00027624" w:rsidRDefault="00E96B29" w:rsidP="00E96B29">
            <w:pPr>
              <w:pStyle w:val="TableColumnHeadingCentred"/>
            </w:pPr>
            <w:r w:rsidRPr="00027624">
              <w:t>HILDA</w:t>
            </w:r>
          </w:p>
        </w:tc>
      </w:tr>
      <w:tr w:rsidR="00E96B29" w:rsidRPr="00027624" w14:paraId="143BAAAE" w14:textId="77777777" w:rsidTr="00E96B29">
        <w:tc>
          <w:tcPr>
            <w:tcW w:w="2500" w:type="pct"/>
          </w:tcPr>
          <w:p w14:paraId="0232C7F8" w14:textId="77777777" w:rsidR="00E96B29" w:rsidRPr="00027624" w:rsidRDefault="00E96B29" w:rsidP="00E96B29">
            <w:pPr>
              <w:pStyle w:val="TableTextLeft"/>
              <w:rPr>
                <w:color w:val="auto"/>
              </w:rPr>
            </w:pPr>
            <w:r w:rsidRPr="00027624">
              <w:rPr>
                <w:color w:val="auto"/>
              </w:rPr>
              <w:t>Alcoholic beverages</w:t>
            </w:r>
          </w:p>
        </w:tc>
        <w:tc>
          <w:tcPr>
            <w:tcW w:w="2500" w:type="pct"/>
          </w:tcPr>
          <w:p w14:paraId="712E31DC" w14:textId="77777777" w:rsidR="00E96B29" w:rsidRPr="00027624" w:rsidRDefault="00E96B29" w:rsidP="00E96B29">
            <w:pPr>
              <w:pStyle w:val="TableTextLeft"/>
              <w:rPr>
                <w:color w:val="auto"/>
              </w:rPr>
            </w:pPr>
            <w:r w:rsidRPr="00027624">
              <w:rPr>
                <w:color w:val="auto"/>
              </w:rPr>
              <w:t>Alcohol</w:t>
            </w:r>
          </w:p>
        </w:tc>
      </w:tr>
      <w:tr w:rsidR="00E96B29" w:rsidRPr="00027624" w14:paraId="0735E3FA" w14:textId="77777777" w:rsidTr="00E96B29">
        <w:tc>
          <w:tcPr>
            <w:tcW w:w="2500" w:type="pct"/>
          </w:tcPr>
          <w:p w14:paraId="500F9307" w14:textId="77777777" w:rsidR="00E96B29" w:rsidRPr="00027624" w:rsidRDefault="00E96B29" w:rsidP="00E96B29">
            <w:pPr>
              <w:pStyle w:val="TableTextLeft"/>
              <w:rPr>
                <w:color w:val="auto"/>
              </w:rPr>
            </w:pPr>
            <w:r w:rsidRPr="00027624">
              <w:rPr>
                <w:color w:val="auto"/>
              </w:rPr>
              <w:t>Clothing and footwear</w:t>
            </w:r>
          </w:p>
        </w:tc>
        <w:tc>
          <w:tcPr>
            <w:tcW w:w="2500" w:type="pct"/>
          </w:tcPr>
          <w:p w14:paraId="008847C4" w14:textId="77777777" w:rsidR="00E96B29" w:rsidRPr="00027624" w:rsidRDefault="00E96B29" w:rsidP="00E96B29">
            <w:pPr>
              <w:pStyle w:val="TableTextLeft"/>
              <w:rPr>
                <w:color w:val="auto"/>
              </w:rPr>
            </w:pPr>
            <w:r w:rsidRPr="00027624">
              <w:rPr>
                <w:color w:val="auto"/>
              </w:rPr>
              <w:t>Clothing and footwear (women/men/children)</w:t>
            </w:r>
          </w:p>
        </w:tc>
      </w:tr>
      <w:tr w:rsidR="00E96B29" w:rsidRPr="00027624" w14:paraId="04980D39" w14:textId="77777777" w:rsidTr="00E96B29">
        <w:tc>
          <w:tcPr>
            <w:tcW w:w="2500" w:type="pct"/>
          </w:tcPr>
          <w:p w14:paraId="3977A305" w14:textId="77777777" w:rsidR="00E96B29" w:rsidRPr="00027624" w:rsidRDefault="00E96B29" w:rsidP="00E96B29">
            <w:pPr>
              <w:pStyle w:val="TableTextLeft"/>
              <w:rPr>
                <w:color w:val="auto"/>
              </w:rPr>
            </w:pPr>
            <w:r w:rsidRPr="00027624">
              <w:rPr>
                <w:color w:val="auto"/>
              </w:rPr>
              <w:t>Communication</w:t>
            </w:r>
          </w:p>
        </w:tc>
        <w:tc>
          <w:tcPr>
            <w:tcW w:w="2500" w:type="pct"/>
          </w:tcPr>
          <w:p w14:paraId="3DB5DACF" w14:textId="77777777" w:rsidR="00E96B29" w:rsidRPr="00027624" w:rsidRDefault="00E96B29" w:rsidP="00E96B29">
            <w:pPr>
              <w:pStyle w:val="TableTextLeft"/>
              <w:rPr>
                <w:color w:val="auto"/>
              </w:rPr>
            </w:pPr>
            <w:r w:rsidRPr="00027624">
              <w:rPr>
                <w:color w:val="auto"/>
              </w:rPr>
              <w:t>Telephone rent and calls/internet charges</w:t>
            </w:r>
          </w:p>
        </w:tc>
      </w:tr>
      <w:tr w:rsidR="00E96B29" w:rsidRPr="00027624" w14:paraId="538A560B" w14:textId="77777777" w:rsidTr="00E96B29">
        <w:tc>
          <w:tcPr>
            <w:tcW w:w="2500" w:type="pct"/>
          </w:tcPr>
          <w:p w14:paraId="583FE4E6" w14:textId="77777777" w:rsidR="00E96B29" w:rsidRPr="00027624" w:rsidRDefault="00E96B29" w:rsidP="00E96B29">
            <w:pPr>
              <w:pStyle w:val="TableTextLeft"/>
              <w:rPr>
                <w:color w:val="auto"/>
              </w:rPr>
            </w:pPr>
            <w:r w:rsidRPr="00027624">
              <w:rPr>
                <w:color w:val="auto"/>
              </w:rPr>
              <w:t>Current housing costs</w:t>
            </w:r>
          </w:p>
          <w:p w14:paraId="263D374E" w14:textId="77777777" w:rsidR="00E96B29" w:rsidRPr="00027624" w:rsidRDefault="00E96B29" w:rsidP="00E96B29">
            <w:pPr>
              <w:pStyle w:val="TableTextLeft"/>
              <w:rPr>
                <w:color w:val="auto"/>
              </w:rPr>
            </w:pPr>
            <w:r w:rsidRPr="00027624">
              <w:rPr>
                <w:color w:val="auto"/>
              </w:rPr>
              <w:t>Mortgage repayments principal</w:t>
            </w:r>
          </w:p>
        </w:tc>
        <w:tc>
          <w:tcPr>
            <w:tcW w:w="2500" w:type="pct"/>
          </w:tcPr>
          <w:p w14:paraId="157F6675" w14:textId="77777777" w:rsidR="00E96B29" w:rsidRPr="00027624" w:rsidRDefault="00E96B29" w:rsidP="00E96B29">
            <w:pPr>
              <w:pStyle w:val="TableTextLeft"/>
              <w:rPr>
                <w:color w:val="auto"/>
              </w:rPr>
            </w:pPr>
            <w:r w:rsidRPr="00027624">
              <w:rPr>
                <w:color w:val="auto"/>
              </w:rPr>
              <w:t>Rent and mortgage repayments/repairs, renovation and maintenance to home</w:t>
            </w:r>
          </w:p>
        </w:tc>
      </w:tr>
      <w:tr w:rsidR="00E96B29" w:rsidRPr="00027624" w14:paraId="528C364C" w14:textId="77777777" w:rsidTr="00E96B29">
        <w:tc>
          <w:tcPr>
            <w:tcW w:w="2500" w:type="pct"/>
          </w:tcPr>
          <w:p w14:paraId="7D13BF08" w14:textId="77777777" w:rsidR="00E96B29" w:rsidRPr="00027624" w:rsidRDefault="00E96B29" w:rsidP="00E96B29">
            <w:pPr>
              <w:pStyle w:val="TableTextLeft"/>
              <w:rPr>
                <w:color w:val="auto"/>
              </w:rPr>
            </w:pPr>
            <w:r w:rsidRPr="00027624">
              <w:rPr>
                <w:color w:val="auto"/>
              </w:rPr>
              <w:t>Domestic fuel and power</w:t>
            </w:r>
          </w:p>
        </w:tc>
        <w:tc>
          <w:tcPr>
            <w:tcW w:w="2500" w:type="pct"/>
          </w:tcPr>
          <w:p w14:paraId="79948A57" w14:textId="77777777" w:rsidR="00E96B29" w:rsidRPr="00027624" w:rsidRDefault="00E96B29" w:rsidP="00E96B29">
            <w:pPr>
              <w:pStyle w:val="TableTextLeft"/>
              <w:rPr>
                <w:color w:val="auto"/>
              </w:rPr>
            </w:pPr>
            <w:r w:rsidRPr="00027624">
              <w:rPr>
                <w:color w:val="auto"/>
              </w:rPr>
              <w:t>Electricity, gas and other heating fuel bills</w:t>
            </w:r>
          </w:p>
        </w:tc>
      </w:tr>
      <w:tr w:rsidR="00E96B29" w:rsidRPr="00027624" w14:paraId="00C314ED" w14:textId="77777777" w:rsidTr="00E96B29">
        <w:tc>
          <w:tcPr>
            <w:tcW w:w="2500" w:type="pct"/>
          </w:tcPr>
          <w:p w14:paraId="680BE3D7" w14:textId="77777777" w:rsidR="00E96B29" w:rsidRPr="00027624" w:rsidRDefault="00E96B29" w:rsidP="00E96B29">
            <w:pPr>
              <w:pStyle w:val="TableTextLeft"/>
              <w:rPr>
                <w:color w:val="auto"/>
              </w:rPr>
            </w:pPr>
            <w:r w:rsidRPr="00027624">
              <w:rPr>
                <w:color w:val="auto"/>
              </w:rPr>
              <w:t>Education</w:t>
            </w:r>
          </w:p>
        </w:tc>
        <w:tc>
          <w:tcPr>
            <w:tcW w:w="2500" w:type="pct"/>
          </w:tcPr>
          <w:p w14:paraId="2B308DF7" w14:textId="77777777" w:rsidR="00E96B29" w:rsidRPr="00027624" w:rsidRDefault="00E96B29" w:rsidP="00E96B29">
            <w:pPr>
              <w:pStyle w:val="TableTextLeft"/>
              <w:rPr>
                <w:color w:val="auto"/>
              </w:rPr>
            </w:pPr>
            <w:r w:rsidRPr="00027624">
              <w:rPr>
                <w:color w:val="auto"/>
              </w:rPr>
              <w:t xml:space="preserve">Education fees </w:t>
            </w:r>
          </w:p>
        </w:tc>
      </w:tr>
      <w:tr w:rsidR="00E96B29" w:rsidRPr="00027624" w14:paraId="6D65E374" w14:textId="77777777" w:rsidTr="00E96B29">
        <w:tc>
          <w:tcPr>
            <w:tcW w:w="2500" w:type="pct"/>
          </w:tcPr>
          <w:p w14:paraId="5706738E" w14:textId="77777777" w:rsidR="00E96B29" w:rsidRPr="00027624" w:rsidRDefault="00E96B29" w:rsidP="00E96B29">
            <w:pPr>
              <w:pStyle w:val="TableTextLeft"/>
              <w:rPr>
                <w:color w:val="auto"/>
              </w:rPr>
            </w:pPr>
            <w:r w:rsidRPr="00027624">
              <w:rPr>
                <w:color w:val="auto"/>
              </w:rPr>
              <w:t>Food and non</w:t>
            </w:r>
            <w:r w:rsidR="00A8443E" w:rsidRPr="00027624">
              <w:rPr>
                <w:color w:val="auto"/>
              </w:rPr>
              <w:noBreakHyphen/>
            </w:r>
            <w:r w:rsidRPr="00027624">
              <w:rPr>
                <w:color w:val="auto"/>
              </w:rPr>
              <w:t>alcoholic beverages</w:t>
            </w:r>
          </w:p>
        </w:tc>
        <w:tc>
          <w:tcPr>
            <w:tcW w:w="2500" w:type="pct"/>
          </w:tcPr>
          <w:p w14:paraId="2D8BF5EA" w14:textId="77777777" w:rsidR="00E96B29" w:rsidRPr="00027624" w:rsidRDefault="00E96B29" w:rsidP="00E96B29">
            <w:pPr>
              <w:pStyle w:val="TableTextLeft"/>
              <w:rPr>
                <w:color w:val="auto"/>
              </w:rPr>
            </w:pPr>
            <w:r w:rsidRPr="00027624">
              <w:rPr>
                <w:color w:val="auto"/>
              </w:rPr>
              <w:t>Groceries/Meals eaten out</w:t>
            </w:r>
          </w:p>
        </w:tc>
      </w:tr>
      <w:tr w:rsidR="00E96B29" w:rsidRPr="00027624" w14:paraId="37EA07F2" w14:textId="77777777" w:rsidTr="00E96B29">
        <w:tc>
          <w:tcPr>
            <w:tcW w:w="2500" w:type="pct"/>
          </w:tcPr>
          <w:p w14:paraId="78D3C3FC" w14:textId="77777777" w:rsidR="00E96B29" w:rsidRPr="00027624" w:rsidRDefault="00E96B29" w:rsidP="00E96B29">
            <w:pPr>
              <w:pStyle w:val="TableTextLeft"/>
              <w:rPr>
                <w:color w:val="auto"/>
              </w:rPr>
            </w:pPr>
            <w:r w:rsidRPr="00027624">
              <w:rPr>
                <w:color w:val="auto"/>
              </w:rPr>
              <w:t>Household furnishings and equipment</w:t>
            </w:r>
          </w:p>
        </w:tc>
        <w:tc>
          <w:tcPr>
            <w:tcW w:w="2500" w:type="pct"/>
          </w:tcPr>
          <w:p w14:paraId="6F129BA5" w14:textId="77777777" w:rsidR="00E96B29" w:rsidRPr="00027624" w:rsidRDefault="00E96B29" w:rsidP="00E96B29">
            <w:pPr>
              <w:pStyle w:val="TableTextLeft"/>
              <w:rPr>
                <w:color w:val="auto"/>
              </w:rPr>
            </w:pPr>
            <w:r w:rsidRPr="00027624">
              <w:rPr>
                <w:color w:val="auto"/>
              </w:rPr>
              <w:t>n/a</w:t>
            </w:r>
          </w:p>
        </w:tc>
      </w:tr>
      <w:tr w:rsidR="00E96B29" w:rsidRPr="00027624" w14:paraId="43E4B7F8" w14:textId="77777777" w:rsidTr="00E96B29">
        <w:tc>
          <w:tcPr>
            <w:tcW w:w="2500" w:type="pct"/>
          </w:tcPr>
          <w:p w14:paraId="283FA442" w14:textId="77777777" w:rsidR="00E96B29" w:rsidRPr="00027624" w:rsidRDefault="00E96B29" w:rsidP="00E96B29">
            <w:pPr>
              <w:pStyle w:val="TableTextLeft"/>
              <w:rPr>
                <w:color w:val="auto"/>
              </w:rPr>
            </w:pPr>
            <w:r w:rsidRPr="00027624">
              <w:rPr>
                <w:color w:val="auto"/>
              </w:rPr>
              <w:t>Household services and operation</w:t>
            </w:r>
          </w:p>
        </w:tc>
        <w:tc>
          <w:tcPr>
            <w:tcW w:w="2500" w:type="pct"/>
          </w:tcPr>
          <w:p w14:paraId="2C8D4D8C" w14:textId="77777777" w:rsidR="00E96B29" w:rsidRPr="00027624" w:rsidRDefault="00E96B29" w:rsidP="00E96B29">
            <w:pPr>
              <w:pStyle w:val="TableTextLeft"/>
              <w:rPr>
                <w:color w:val="auto"/>
              </w:rPr>
            </w:pPr>
            <w:r w:rsidRPr="00027624">
              <w:rPr>
                <w:color w:val="auto"/>
              </w:rPr>
              <w:t>n/a</w:t>
            </w:r>
          </w:p>
        </w:tc>
      </w:tr>
      <w:tr w:rsidR="00E96B29" w:rsidRPr="00027624" w14:paraId="1C6F3D4C" w14:textId="77777777" w:rsidTr="00E96B29">
        <w:tc>
          <w:tcPr>
            <w:tcW w:w="2500" w:type="pct"/>
          </w:tcPr>
          <w:p w14:paraId="38728334" w14:textId="77777777" w:rsidR="00E96B29" w:rsidRPr="00027624" w:rsidRDefault="00E96B29" w:rsidP="00E96B29">
            <w:pPr>
              <w:pStyle w:val="TableTextLeft"/>
              <w:rPr>
                <w:color w:val="auto"/>
              </w:rPr>
            </w:pPr>
            <w:r w:rsidRPr="00027624">
              <w:rPr>
                <w:color w:val="auto"/>
              </w:rPr>
              <w:t>Medical care and health expenses</w:t>
            </w:r>
          </w:p>
        </w:tc>
        <w:tc>
          <w:tcPr>
            <w:tcW w:w="2500" w:type="pct"/>
          </w:tcPr>
          <w:p w14:paraId="1C204121" w14:textId="77777777" w:rsidR="00E96B29" w:rsidRPr="00027624" w:rsidRDefault="00E96B29" w:rsidP="00E96B29">
            <w:pPr>
              <w:pStyle w:val="TableTextLeft"/>
              <w:rPr>
                <w:color w:val="auto"/>
              </w:rPr>
            </w:pPr>
            <w:r w:rsidRPr="00027624">
              <w:rPr>
                <w:color w:val="auto"/>
              </w:rPr>
              <w:t>Fees paid to health practitioners/medicines, prescriptions and pharmaceuticals/private health insurance</w:t>
            </w:r>
          </w:p>
        </w:tc>
      </w:tr>
      <w:tr w:rsidR="00E96B29" w:rsidRPr="00027624" w14:paraId="48C9E1EF" w14:textId="77777777" w:rsidTr="00E96B29">
        <w:tc>
          <w:tcPr>
            <w:tcW w:w="2500" w:type="pct"/>
          </w:tcPr>
          <w:p w14:paraId="728F49D3" w14:textId="77777777" w:rsidR="00E96B29" w:rsidRPr="00027624" w:rsidRDefault="00E96B29" w:rsidP="00E96B29">
            <w:pPr>
              <w:pStyle w:val="TableTextLeft"/>
              <w:rPr>
                <w:color w:val="auto"/>
              </w:rPr>
            </w:pPr>
            <w:r w:rsidRPr="00027624">
              <w:rPr>
                <w:color w:val="auto"/>
              </w:rPr>
              <w:t>Miscellaneous goods and services</w:t>
            </w:r>
          </w:p>
        </w:tc>
        <w:tc>
          <w:tcPr>
            <w:tcW w:w="2500" w:type="pct"/>
          </w:tcPr>
          <w:p w14:paraId="7E100CD9" w14:textId="77777777" w:rsidR="00E96B29" w:rsidRPr="00027624" w:rsidRDefault="00E96B29" w:rsidP="00E96B29">
            <w:pPr>
              <w:pStyle w:val="TableTextLeft"/>
              <w:rPr>
                <w:color w:val="auto"/>
              </w:rPr>
            </w:pPr>
            <w:r w:rsidRPr="00027624">
              <w:rPr>
                <w:color w:val="auto"/>
              </w:rPr>
              <w:t>n/a</w:t>
            </w:r>
          </w:p>
        </w:tc>
      </w:tr>
      <w:tr w:rsidR="00E96B29" w:rsidRPr="00027624" w14:paraId="7632D519" w14:textId="77777777" w:rsidTr="00E96B29">
        <w:tc>
          <w:tcPr>
            <w:tcW w:w="2500" w:type="pct"/>
          </w:tcPr>
          <w:p w14:paraId="03ED6678" w14:textId="77777777" w:rsidR="00E96B29" w:rsidRPr="00027624" w:rsidRDefault="00E96B29" w:rsidP="00E96B29">
            <w:pPr>
              <w:pStyle w:val="TableTextLeft"/>
              <w:rPr>
                <w:color w:val="auto"/>
              </w:rPr>
            </w:pPr>
            <w:r w:rsidRPr="00027624">
              <w:rPr>
                <w:color w:val="auto"/>
              </w:rPr>
              <w:t>Personal care</w:t>
            </w:r>
          </w:p>
        </w:tc>
        <w:tc>
          <w:tcPr>
            <w:tcW w:w="2500" w:type="pct"/>
          </w:tcPr>
          <w:p w14:paraId="4580B880" w14:textId="77777777" w:rsidR="00E96B29" w:rsidRPr="00027624" w:rsidRDefault="00E96B29" w:rsidP="00E96B29">
            <w:pPr>
              <w:pStyle w:val="TableTextLeft"/>
              <w:rPr>
                <w:color w:val="auto"/>
              </w:rPr>
            </w:pPr>
            <w:r w:rsidRPr="00027624">
              <w:rPr>
                <w:color w:val="auto"/>
              </w:rPr>
              <w:t>n/a</w:t>
            </w:r>
          </w:p>
        </w:tc>
      </w:tr>
      <w:tr w:rsidR="00E96B29" w:rsidRPr="00027624" w14:paraId="716D96E2" w14:textId="77777777" w:rsidTr="00E96B29">
        <w:tc>
          <w:tcPr>
            <w:tcW w:w="2500" w:type="pct"/>
          </w:tcPr>
          <w:p w14:paraId="17260EAE" w14:textId="77777777" w:rsidR="00E96B29" w:rsidRPr="00027624" w:rsidRDefault="00E96B29" w:rsidP="00E96B29">
            <w:pPr>
              <w:pStyle w:val="TableTextLeft"/>
              <w:rPr>
                <w:color w:val="auto"/>
              </w:rPr>
            </w:pPr>
            <w:r w:rsidRPr="00027624">
              <w:rPr>
                <w:color w:val="auto"/>
              </w:rPr>
              <w:t>Recreation</w:t>
            </w:r>
          </w:p>
        </w:tc>
        <w:tc>
          <w:tcPr>
            <w:tcW w:w="2500" w:type="pct"/>
          </w:tcPr>
          <w:p w14:paraId="2A0DE096" w14:textId="77777777" w:rsidR="00E96B29" w:rsidRPr="00027624" w:rsidRDefault="00E96B29" w:rsidP="00E96B29">
            <w:pPr>
              <w:pStyle w:val="TableTextLeft"/>
              <w:rPr>
                <w:color w:val="auto"/>
              </w:rPr>
            </w:pPr>
            <w:r w:rsidRPr="00027624">
              <w:rPr>
                <w:color w:val="auto"/>
              </w:rPr>
              <w:t>n/a</w:t>
            </w:r>
          </w:p>
        </w:tc>
      </w:tr>
      <w:tr w:rsidR="00E96B29" w:rsidRPr="00027624" w14:paraId="501EE971" w14:textId="77777777" w:rsidTr="00E96B29">
        <w:tc>
          <w:tcPr>
            <w:tcW w:w="2500" w:type="pct"/>
          </w:tcPr>
          <w:p w14:paraId="14424561" w14:textId="77777777" w:rsidR="00E96B29" w:rsidRPr="00027624" w:rsidRDefault="00E96B29" w:rsidP="00E96B29">
            <w:pPr>
              <w:pStyle w:val="TableTextLeft"/>
              <w:rPr>
                <w:color w:val="auto"/>
              </w:rPr>
            </w:pPr>
            <w:r w:rsidRPr="00027624">
              <w:rPr>
                <w:color w:val="auto"/>
              </w:rPr>
              <w:t>Tobacco products</w:t>
            </w:r>
          </w:p>
        </w:tc>
        <w:tc>
          <w:tcPr>
            <w:tcW w:w="2500" w:type="pct"/>
          </w:tcPr>
          <w:p w14:paraId="4D6C55A8" w14:textId="77777777" w:rsidR="00E96B29" w:rsidRPr="00027624" w:rsidRDefault="00E96B29" w:rsidP="00E96B29">
            <w:pPr>
              <w:pStyle w:val="TableTextLeft"/>
              <w:rPr>
                <w:color w:val="auto"/>
              </w:rPr>
            </w:pPr>
            <w:r w:rsidRPr="00027624">
              <w:rPr>
                <w:color w:val="auto"/>
              </w:rPr>
              <w:t>Cigarettes and other tobacco products</w:t>
            </w:r>
          </w:p>
        </w:tc>
      </w:tr>
      <w:tr w:rsidR="00E96B29" w:rsidRPr="00027624" w14:paraId="61FD8F36" w14:textId="77777777" w:rsidTr="00E96B29">
        <w:tc>
          <w:tcPr>
            <w:tcW w:w="2500" w:type="pct"/>
          </w:tcPr>
          <w:p w14:paraId="4CEE84F8" w14:textId="77777777" w:rsidR="00E96B29" w:rsidRPr="00027624" w:rsidRDefault="00E96B29" w:rsidP="00E96B29">
            <w:pPr>
              <w:pStyle w:val="TableTextLeft"/>
              <w:rPr>
                <w:color w:val="auto"/>
              </w:rPr>
            </w:pPr>
            <w:r w:rsidRPr="00027624">
              <w:rPr>
                <w:color w:val="auto"/>
              </w:rPr>
              <w:t>Transport</w:t>
            </w:r>
          </w:p>
        </w:tc>
        <w:tc>
          <w:tcPr>
            <w:tcW w:w="2500" w:type="pct"/>
          </w:tcPr>
          <w:p w14:paraId="756FEDAA" w14:textId="77777777" w:rsidR="00E96B29" w:rsidRPr="00027624" w:rsidRDefault="00E96B29" w:rsidP="00E96B29">
            <w:pPr>
              <w:pStyle w:val="TableTextLeft"/>
              <w:rPr>
                <w:color w:val="auto"/>
              </w:rPr>
            </w:pPr>
            <w:r w:rsidRPr="00027624">
              <w:rPr>
                <w:color w:val="auto"/>
              </w:rPr>
              <w:t>Public transports and taxis/Motor vehicle repairs and maintenance/motor vehicle fuel</w:t>
            </w:r>
          </w:p>
        </w:tc>
      </w:tr>
    </w:tbl>
    <w:p w14:paraId="576BFF94" w14:textId="77777777" w:rsidR="00E96B29" w:rsidRPr="00027624" w:rsidRDefault="00E96B29" w:rsidP="00E96B29">
      <w:pPr>
        <w:pStyle w:val="ChartorTableNote"/>
      </w:pPr>
      <w:r w:rsidRPr="00027624">
        <w:t xml:space="preserve">Note: HILDA categories are bundled by type. Source: </w:t>
      </w:r>
      <w:sdt>
        <w:sdtPr>
          <w:id w:val="-1328290693"/>
          <w:citation/>
        </w:sdtPr>
        <w:sdtEndPr/>
        <w:sdtContent>
          <w:r w:rsidRPr="00027624">
            <w:fldChar w:fldCharType="begin"/>
          </w:r>
          <w:r w:rsidRPr="00027624">
            <w:instrText xml:space="preserve"> CITATION ABSdfd \l 3081 </w:instrText>
          </w:r>
          <w:r w:rsidRPr="00027624">
            <w:fldChar w:fldCharType="separate"/>
          </w:r>
          <w:r w:rsidR="00E83F6E">
            <w:rPr>
              <w:noProof/>
            </w:rPr>
            <w:t>(ABS, 2017e)</w:t>
          </w:r>
          <w:r w:rsidRPr="00027624">
            <w:fldChar w:fldCharType="end"/>
          </w:r>
        </w:sdtContent>
      </w:sdt>
      <w:r w:rsidRPr="00027624">
        <w:t>; HILDA Survey data (Wave 18).</w:t>
      </w:r>
    </w:p>
    <w:p w14:paraId="6538BF5C" w14:textId="3A2489CD" w:rsidR="00E96B29" w:rsidRPr="00027624" w:rsidRDefault="00E96B29" w:rsidP="00E96B29">
      <w:pPr>
        <w:spacing w:before="240"/>
      </w:pPr>
      <w:r w:rsidRPr="00027624">
        <w:t>Analysis suggests that retirees have flat or falling spending relative to prices as they age. Regardless of the age cohort examined, retirees show the same trend of declining spending (</w:t>
      </w:r>
      <w:r w:rsidRPr="00027624">
        <w:fldChar w:fldCharType="begin"/>
      </w:r>
      <w:r w:rsidRPr="00027624">
        <w:instrText xml:space="preserve"> REF _Ref39238152 \r \h  \* MERGEFORMAT </w:instrText>
      </w:r>
      <w:r w:rsidRPr="00027624">
        <w:fldChar w:fldCharType="separate"/>
      </w:r>
      <w:r w:rsidR="00891058">
        <w:t>Chart 6A-4</w:t>
      </w:r>
      <w:r w:rsidRPr="00027624">
        <w:fldChar w:fldCharType="end"/>
      </w:r>
      <w:r w:rsidRPr="00027624">
        <w:t>).</w:t>
      </w:r>
    </w:p>
    <w:p w14:paraId="4D120A28" w14:textId="77777777" w:rsidR="00E96B29" w:rsidRPr="00027624" w:rsidRDefault="00E96B29" w:rsidP="00E96B29">
      <w:pPr>
        <w:pStyle w:val="ChartMainHeading"/>
        <w:rPr>
          <w:noProof/>
        </w:rPr>
      </w:pPr>
      <w:bookmarkStart w:id="4220" w:name="_Ref39238152"/>
      <w:r w:rsidRPr="00027624">
        <w:rPr>
          <w:noProof/>
        </w:rPr>
        <w:t>Median household weekly expenditure</w:t>
      </w:r>
      <w:bookmarkEnd w:id="4220"/>
    </w:p>
    <w:p w14:paraId="481C8349" w14:textId="77777777" w:rsidR="00E96B29" w:rsidRPr="00027624" w:rsidRDefault="00757E37" w:rsidP="00E96B29">
      <w:pPr>
        <w:pStyle w:val="ChartGraphic"/>
      </w:pPr>
      <w:r>
        <w:rPr>
          <w:noProof/>
        </w:rPr>
        <w:drawing>
          <wp:inline distT="0" distB="0" distL="0" distR="0" wp14:anchorId="31B83061" wp14:editId="0224CFB6">
            <wp:extent cx="5593080" cy="2522220"/>
            <wp:effectExtent l="0" t="0" r="7620" b="0"/>
            <wp:docPr id="1888992957" name="Picture 1888992957" descr="This chart shows that median household weekly expenditure declines when households enter or are approaching retirement. Households aged 60 to 64 in 2016 spend just over $800 per week, and for every 5 year cohort after this, spending declines by around $100. The chart shows that households 80 and over spend around $450 per week which is just over half of that of households aged 60 to 64. " title="Chart 6A-4 Median household weekly expend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pic:spPr>
                </pic:pic>
              </a:graphicData>
            </a:graphic>
          </wp:inline>
        </w:drawing>
      </w:r>
    </w:p>
    <w:p w14:paraId="08E570CC" w14:textId="77777777" w:rsidR="00E96B29" w:rsidRPr="00027624" w:rsidRDefault="00E96B29" w:rsidP="00DE6C9E">
      <w:pPr>
        <w:pStyle w:val="ChartorTableNote"/>
      </w:pPr>
      <w:r w:rsidRPr="00027624">
        <w:t>Note: Values are in 2018</w:t>
      </w:r>
      <w:r w:rsidR="00A8443E" w:rsidRPr="00027624">
        <w:noBreakHyphen/>
      </w:r>
      <w:r w:rsidRPr="00027624">
        <w:t xml:space="preserve">19 dollars, indexed to CPI. Household expenditure is equivalised. </w:t>
      </w:r>
      <w:r w:rsidRPr="00027624">
        <w:rPr>
          <w:color w:val="auto"/>
        </w:rPr>
        <w:t>Cohorts use five</w:t>
      </w:r>
      <w:r w:rsidR="00A8443E" w:rsidRPr="00027624">
        <w:rPr>
          <w:color w:val="auto"/>
        </w:rPr>
        <w:noBreakHyphen/>
      </w:r>
      <w:r w:rsidRPr="00027624">
        <w:rPr>
          <w:color w:val="auto"/>
        </w:rPr>
        <w:t xml:space="preserve">year birth ranges based on the age of the household reference </w:t>
      </w:r>
      <w:r w:rsidRPr="00027624">
        <w:t>person</w:t>
      </w:r>
      <w:r w:rsidRPr="00027624">
        <w:rPr>
          <w:color w:val="auto"/>
        </w:rPr>
        <w:t>.</w:t>
      </w:r>
      <w:r w:rsidRPr="00027624" w:rsidDel="00A71C69">
        <w:rPr>
          <w:color w:val="auto"/>
        </w:rPr>
        <w:t xml:space="preserve"> </w:t>
      </w:r>
      <w:r w:rsidRPr="00027624">
        <w:t>Household weekly expenditure excludes voluntary superannuation contributions and capital housing costs. The principal and interest components of mortgage repayments are included in weekly expenditure. Source: Analysis of ABS Household Expenditure Survey Confidentialised Unit Record File, 1988</w:t>
      </w:r>
      <w:r w:rsidR="00A8443E" w:rsidRPr="00027624">
        <w:noBreakHyphen/>
      </w:r>
      <w:r w:rsidRPr="00027624">
        <w:t>89 to 2015</w:t>
      </w:r>
      <w:r w:rsidR="00A8443E" w:rsidRPr="00027624">
        <w:noBreakHyphen/>
      </w:r>
      <w:r w:rsidRPr="00027624">
        <w:t>16.</w:t>
      </w:r>
    </w:p>
    <w:p w14:paraId="6524FD73" w14:textId="47B57203" w:rsidR="00E96B29" w:rsidRPr="00027624" w:rsidRDefault="00E96B29" w:rsidP="00E96B29">
      <w:pPr>
        <w:spacing w:before="240"/>
      </w:pPr>
      <w:r w:rsidRPr="00027624">
        <w:t>Expenditure falls because retirees spend less on discretionary items.</w:t>
      </w:r>
      <w:r w:rsidRPr="00027624">
        <w:rPr>
          <w:rStyle w:val="FootnoteReference"/>
        </w:rPr>
        <w:footnoteReference w:id="325"/>
      </w:r>
      <w:r w:rsidRPr="00027624">
        <w:t xml:space="preserve"> In particular, retirees spend less in real terms on transport, clothing and recreation. Falling spending in these categories is consistent with retirees being less active as they age (</w:t>
      </w:r>
      <w:r w:rsidRPr="00027624">
        <w:fldChar w:fldCharType="begin"/>
      </w:r>
      <w:r w:rsidRPr="00027624">
        <w:instrText xml:space="preserve"> REF _Ref42705950 \r \h  \* MERGEFORMAT </w:instrText>
      </w:r>
      <w:r w:rsidRPr="00027624">
        <w:fldChar w:fldCharType="separate"/>
      </w:r>
      <w:r w:rsidR="00891058">
        <w:t>Chart 6A-5</w:t>
      </w:r>
      <w:r w:rsidRPr="00027624">
        <w:fldChar w:fldCharType="end"/>
      </w:r>
      <w:r w:rsidRPr="00027624">
        <w:t>).</w:t>
      </w:r>
    </w:p>
    <w:p w14:paraId="571C1F95" w14:textId="77777777" w:rsidR="00E96B29" w:rsidRPr="00027624" w:rsidRDefault="00E96B29" w:rsidP="00E96B29">
      <w:pPr>
        <w:spacing w:before="240"/>
      </w:pPr>
      <w:r w:rsidRPr="00027624">
        <w:t xml:space="preserve">On average, total spending on essential items remains roughly constant in real terms. The main essential item on which spending falls is food, likely due to eating out less and having additional time to make food at home. International studies suggest that quality and quantity of food consumed by retirees do not decline despite reduced expenditure </w:t>
      </w:r>
      <w:sdt>
        <w:sdtPr>
          <w:id w:val="320782110"/>
          <w:citation/>
        </w:sdtPr>
        <w:sdtEndPr/>
        <w:sdtContent>
          <w:r w:rsidRPr="00027624">
            <w:fldChar w:fldCharType="begin"/>
          </w:r>
          <w:r w:rsidRPr="00027624">
            <w:instrText xml:space="preserve">CITATION Agu05 \l 3081 </w:instrText>
          </w:r>
          <w:r w:rsidRPr="00027624">
            <w:fldChar w:fldCharType="separate"/>
          </w:r>
          <w:r w:rsidR="00E83F6E">
            <w:rPr>
              <w:noProof/>
            </w:rPr>
            <w:t>(Aguiar &amp; Hurst, 2005)</w:t>
          </w:r>
          <w:r w:rsidRPr="00027624">
            <w:fldChar w:fldCharType="end"/>
          </w:r>
        </w:sdtContent>
      </w:sdt>
      <w:r w:rsidRPr="00027624">
        <w:t>.</w:t>
      </w:r>
    </w:p>
    <w:p w14:paraId="6CF48C2A" w14:textId="77777777" w:rsidR="00E96B29" w:rsidRPr="00027624" w:rsidRDefault="00E96B29" w:rsidP="00E96B29">
      <w:pPr>
        <w:spacing w:before="240"/>
      </w:pPr>
      <w:r w:rsidRPr="00027624">
        <w:t>Households typically spend a declining share of their budgets on discretionary items as they age. For example, for households aged 80 or older in 2015</w:t>
      </w:r>
      <w:r w:rsidR="00A8443E" w:rsidRPr="00027624">
        <w:noBreakHyphen/>
      </w:r>
      <w:r w:rsidRPr="00027624">
        <w:t>2016, 19 per cent of their spending was on discretionary items, compared to</w:t>
      </w:r>
      <w:r w:rsidRPr="00027624" w:rsidDel="005974BF">
        <w:t xml:space="preserve"> </w:t>
      </w:r>
      <w:r w:rsidRPr="00027624">
        <w:t>41 per cent in 1988</w:t>
      </w:r>
      <w:r w:rsidR="00A8443E" w:rsidRPr="00027624">
        <w:noBreakHyphen/>
      </w:r>
      <w:r w:rsidRPr="00027624">
        <w:t>89 when they were aged 55</w:t>
      </w:r>
      <w:r w:rsidR="00A8443E" w:rsidRPr="00027624">
        <w:noBreakHyphen/>
      </w:r>
      <w:r w:rsidRPr="00027624">
        <w:t>59.</w:t>
      </w:r>
      <w:r w:rsidRPr="00027624">
        <w:rPr>
          <w:rStyle w:val="FootnoteReference"/>
        </w:rPr>
        <w:footnoteReference w:id="326"/>
      </w:r>
    </w:p>
    <w:p w14:paraId="7CB21CD1" w14:textId="77777777" w:rsidR="00E96B29" w:rsidRPr="00027624" w:rsidRDefault="00E96B29" w:rsidP="00E96B29">
      <w:pPr>
        <w:pStyle w:val="ChartMainHeading"/>
      </w:pPr>
      <w:bookmarkStart w:id="4221" w:name="_Ref42705950"/>
      <w:bookmarkStart w:id="4222" w:name="_Ref44506792"/>
      <w:r w:rsidRPr="00027624">
        <w:t xml:space="preserve">Median household weekly </w:t>
      </w:r>
      <w:r w:rsidRPr="00027624" w:rsidDel="00E76475">
        <w:t>spending</w:t>
      </w:r>
      <w:r w:rsidRPr="00027624">
        <w:t>, following one cohort over time</w:t>
      </w:r>
      <w:bookmarkEnd w:id="4221"/>
      <w:bookmarkEnd w:id="4222"/>
    </w:p>
    <w:tbl>
      <w:tblPr>
        <w:tblStyle w:val="TableGrid"/>
        <w:tblW w:w="9796" w:type="dxa"/>
        <w:tblLook w:val="04A0" w:firstRow="1" w:lastRow="0" w:firstColumn="1" w:lastColumn="0" w:noHBand="0" w:noVBand="1"/>
      </w:tblPr>
      <w:tblGrid>
        <w:gridCol w:w="4898"/>
        <w:gridCol w:w="4898"/>
      </w:tblGrid>
      <w:tr w:rsidR="00E96B29" w:rsidRPr="00027624" w14:paraId="1CB2FDE0" w14:textId="77777777" w:rsidTr="00E96B29">
        <w:trPr>
          <w:trHeight w:val="145"/>
        </w:trPr>
        <w:tc>
          <w:tcPr>
            <w:tcW w:w="4898" w:type="dxa"/>
            <w:shd w:val="clear" w:color="auto" w:fill="auto"/>
          </w:tcPr>
          <w:p w14:paraId="58087DFA" w14:textId="77777777" w:rsidR="00E96B29" w:rsidRPr="00027624" w:rsidRDefault="00E96B29" w:rsidP="00E96B29">
            <w:pPr>
              <w:pStyle w:val="ChartSecondHeading"/>
              <w:rPr>
                <w:b w:val="0"/>
                <w:sz w:val="22"/>
                <w:szCs w:val="22"/>
              </w:rPr>
            </w:pPr>
            <w:r w:rsidRPr="00027624">
              <w:rPr>
                <w:szCs w:val="22"/>
              </w:rPr>
              <w:t>Spending on essential items</w:t>
            </w:r>
          </w:p>
        </w:tc>
        <w:tc>
          <w:tcPr>
            <w:tcW w:w="4898" w:type="dxa"/>
            <w:shd w:val="clear" w:color="auto" w:fill="auto"/>
          </w:tcPr>
          <w:p w14:paraId="58D5C9FE" w14:textId="77777777" w:rsidR="00E96B29" w:rsidRPr="00027624" w:rsidRDefault="00E96B29" w:rsidP="00E96B29">
            <w:pPr>
              <w:pStyle w:val="ChartSecondHeading"/>
              <w:rPr>
                <w:b w:val="0"/>
                <w:sz w:val="22"/>
                <w:szCs w:val="22"/>
              </w:rPr>
            </w:pPr>
            <w:r w:rsidRPr="00027624">
              <w:rPr>
                <w:szCs w:val="22"/>
              </w:rPr>
              <w:t>Spending on discretionary items</w:t>
            </w:r>
          </w:p>
        </w:tc>
      </w:tr>
      <w:tr w:rsidR="00E96B29" w:rsidRPr="00027624" w14:paraId="2B1B471D" w14:textId="77777777" w:rsidTr="00E96B29">
        <w:trPr>
          <w:trHeight w:val="4813"/>
        </w:trPr>
        <w:tc>
          <w:tcPr>
            <w:tcW w:w="4898" w:type="dxa"/>
            <w:shd w:val="clear" w:color="auto" w:fill="auto"/>
          </w:tcPr>
          <w:p w14:paraId="19C243BC" w14:textId="77777777" w:rsidR="00E96B29" w:rsidRPr="00027624" w:rsidRDefault="00757E37" w:rsidP="00DE6C9E">
            <w:pPr>
              <w:pStyle w:val="ChartGraphic"/>
            </w:pPr>
            <w:r>
              <w:rPr>
                <w:noProof/>
              </w:rPr>
              <w:drawing>
                <wp:inline distT="0" distB="0" distL="0" distR="0" wp14:anchorId="59411DC2" wp14:editId="321F6E80">
                  <wp:extent cx="2880360" cy="2880360"/>
                  <wp:effectExtent l="0" t="0" r="0" b="0"/>
                  <wp:docPr id="1888992958" name="Picture 1888992958" descr="These two charts show household spending by category for retirees. &#10;&#10;The left hand chart shows spending essentials Spending on food and person items decreases with age, whilst housing costs, utilities and medical costs increase. Household services remains largely stable. &#10;&#10;The right hand chart shows that spending on discretionary items declines with age. By age 80, expenditure on recreation had more than halved compared to the 50-59 age cohort. This was consistent across other categories, which similar decline for transport, clothing, furnishings, and alcohol and tobacco." title="Chart 6A-5 Median household weekly spending, following one cohort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4898" w:type="dxa"/>
            <w:shd w:val="clear" w:color="auto" w:fill="auto"/>
          </w:tcPr>
          <w:p w14:paraId="4CAD301B" w14:textId="77777777" w:rsidR="00E96B29" w:rsidRPr="00027624" w:rsidRDefault="00757E37" w:rsidP="00DE6C9E">
            <w:pPr>
              <w:pStyle w:val="ChartGraphic"/>
            </w:pPr>
            <w:r>
              <w:rPr>
                <w:noProof/>
              </w:rPr>
              <w:drawing>
                <wp:inline distT="0" distB="0" distL="0" distR="0" wp14:anchorId="7ADEF8DE" wp14:editId="56FE4AB8">
                  <wp:extent cx="2880360" cy="2887980"/>
                  <wp:effectExtent l="0" t="0" r="0" b="7620"/>
                  <wp:docPr id="1888992959" name="Picture 188899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80360" cy="2887980"/>
                          </a:xfrm>
                          <a:prstGeom prst="rect">
                            <a:avLst/>
                          </a:prstGeom>
                          <a:noFill/>
                        </pic:spPr>
                      </pic:pic>
                    </a:graphicData>
                  </a:graphic>
                </wp:inline>
              </w:drawing>
            </w:r>
          </w:p>
        </w:tc>
      </w:tr>
    </w:tbl>
    <w:p w14:paraId="5083EC11" w14:textId="77777777" w:rsidR="00E96B29" w:rsidRPr="00027624" w:rsidRDefault="00E96B29" w:rsidP="00DE6C9E">
      <w:pPr>
        <w:pStyle w:val="ChartorTableNote"/>
      </w:pPr>
      <w:r w:rsidRPr="00027624">
        <w:t>Note: Cohorts constructed using five</w:t>
      </w:r>
      <w:r w:rsidR="00A8443E" w:rsidRPr="00027624">
        <w:noBreakHyphen/>
      </w:r>
      <w:r w:rsidRPr="00027624">
        <w:t xml:space="preserve">year birth ranges. Cohort </w:t>
      </w:r>
      <w:r w:rsidR="00A8443E" w:rsidRPr="00027624">
        <w:t>‘</w:t>
      </w:r>
      <w:r w:rsidRPr="00027624">
        <w:t>80 and over</w:t>
      </w:r>
      <w:r w:rsidR="00A8443E" w:rsidRPr="00027624">
        <w:t>’</w:t>
      </w:r>
      <w:r w:rsidRPr="00027624">
        <w:t xml:space="preserve"> in 2015</w:t>
      </w:r>
      <w:r w:rsidR="00A8443E" w:rsidRPr="00027624">
        <w:noBreakHyphen/>
      </w:r>
      <w:r w:rsidRPr="00027624">
        <w:t xml:space="preserve">16, aged </w:t>
      </w:r>
      <w:r w:rsidR="00A8443E" w:rsidRPr="00027624">
        <w:t>‘</w:t>
      </w:r>
      <w:r w:rsidRPr="00027624">
        <w:t>75</w:t>
      </w:r>
      <w:r w:rsidR="00A8443E" w:rsidRPr="00027624">
        <w:noBreakHyphen/>
      </w:r>
      <w:r w:rsidRPr="00027624">
        <w:t>79</w:t>
      </w:r>
      <w:r w:rsidR="00A8443E" w:rsidRPr="00027624">
        <w:t>’</w:t>
      </w:r>
      <w:r w:rsidRPr="00027624">
        <w:t xml:space="preserve"> in 2009</w:t>
      </w:r>
      <w:r w:rsidR="00A8443E" w:rsidRPr="00027624">
        <w:noBreakHyphen/>
      </w:r>
      <w:r w:rsidRPr="00027624">
        <w:t>10 and so on. Values are in 2018</w:t>
      </w:r>
      <w:r w:rsidR="00A8443E" w:rsidRPr="00027624">
        <w:noBreakHyphen/>
      </w:r>
      <w:r w:rsidRPr="00027624">
        <w:t>19 dollars, indexed to CPI. Household expenditure is equivalised. Household expenditure excludes voluntary superannuation contributions and capital housing costs. Housing includes the principal and interest components of mortgage repayments. Miscellaneous includes education costs, which were included as a separate category in the 2015</w:t>
      </w:r>
      <w:r w:rsidR="00A8443E" w:rsidRPr="00027624">
        <w:noBreakHyphen/>
      </w:r>
      <w:r w:rsidRPr="00027624">
        <w:t>16 Household Expenditure Survey.</w:t>
      </w:r>
      <w:r w:rsidRPr="00027624" w:rsidDel="00990879">
        <w:t xml:space="preserve"> </w:t>
      </w:r>
      <w:r w:rsidRPr="00027624">
        <w:t>Source: Analysis of ABS Household Expenditure Survey Confidentialised Unit Record File, 1988</w:t>
      </w:r>
      <w:r w:rsidR="00A8443E" w:rsidRPr="00027624">
        <w:noBreakHyphen/>
      </w:r>
      <w:r w:rsidRPr="00027624">
        <w:t>89 to 2015</w:t>
      </w:r>
      <w:r w:rsidR="00A8443E" w:rsidRPr="00027624">
        <w:noBreakHyphen/>
      </w:r>
      <w:r w:rsidRPr="00027624">
        <w:t>16.</w:t>
      </w:r>
    </w:p>
    <w:p w14:paraId="70041B6B" w14:textId="77777777" w:rsidR="00E96B29" w:rsidRPr="00027624" w:rsidRDefault="00E96B29" w:rsidP="00E96B29">
      <w:pPr>
        <w:pStyle w:val="Heading3"/>
      </w:pPr>
      <w:r w:rsidRPr="00027624">
        <w:t>Health expenses</w:t>
      </w:r>
    </w:p>
    <w:p w14:paraId="689CD081" w14:textId="77777777" w:rsidR="00E96B29" w:rsidRPr="00027624" w:rsidRDefault="00E96B29" w:rsidP="00E96B29">
      <w:pPr>
        <w:spacing w:before="240"/>
      </w:pPr>
      <w:r w:rsidRPr="00027624">
        <w:t>Stakeholders raised concerns about health expenses increasing through retirement, and therefore requiring higher income in late retirement to meet these rising costs.</w:t>
      </w:r>
    </w:p>
    <w:p w14:paraId="62F7CFC9" w14:textId="77777777" w:rsidR="00E96B29" w:rsidRPr="00027624" w:rsidRDefault="00E96B29" w:rsidP="00E96B29">
      <w:pPr>
        <w:spacing w:before="240"/>
      </w:pPr>
      <w:r w:rsidRPr="00027624">
        <w:t xml:space="preserve">Some submissions cited a study of American retirees suggesting spending patterns in late retirement change due to medical expenses </w:t>
      </w:r>
      <w:sdt>
        <w:sdtPr>
          <w:id w:val="1226268156"/>
          <w:citation/>
        </w:sdtPr>
        <w:sdtEndPr/>
        <w:sdtContent>
          <w:r w:rsidRPr="00027624">
            <w:fldChar w:fldCharType="begin"/>
          </w:r>
          <w:r w:rsidRPr="00027624">
            <w:instrText xml:space="preserve"> CITATION DBl14 \l 3081 </w:instrText>
          </w:r>
          <w:r w:rsidRPr="00027624">
            <w:fldChar w:fldCharType="separate"/>
          </w:r>
          <w:r w:rsidR="00E83F6E">
            <w:rPr>
              <w:noProof/>
            </w:rPr>
            <w:t>(Blanchett, 2014)</w:t>
          </w:r>
          <w:r w:rsidRPr="00027624">
            <w:fldChar w:fldCharType="end"/>
          </w:r>
        </w:sdtContent>
      </w:sdt>
      <w:r w:rsidRPr="00027624">
        <w:t>.</w:t>
      </w:r>
    </w:p>
    <w:p w14:paraId="57EB3393" w14:textId="77777777" w:rsidR="00E96B29" w:rsidRPr="00027624" w:rsidRDefault="00E96B29" w:rsidP="00E96B29">
      <w:pPr>
        <w:spacing w:before="240"/>
      </w:pPr>
      <w:r w:rsidRPr="00027624">
        <w:t>The broad findings of the study can be summarised as follows:</w:t>
      </w:r>
    </w:p>
    <w:p w14:paraId="75267B45" w14:textId="77777777" w:rsidR="00E96B29" w:rsidRPr="00027624" w:rsidRDefault="00E96B29" w:rsidP="00E96B29">
      <w:pPr>
        <w:pStyle w:val="Bullet"/>
      </w:pPr>
      <w:r w:rsidRPr="00027624">
        <w:t xml:space="preserve">As retirees age, their </w:t>
      </w:r>
      <w:r w:rsidRPr="00027624">
        <w:rPr>
          <w:b/>
        </w:rPr>
        <w:t>spending relative to prices falls for all ages older than 62</w:t>
      </w:r>
      <w:r w:rsidRPr="00027624">
        <w:t>.</w:t>
      </w:r>
    </w:p>
    <w:p w14:paraId="60540358" w14:textId="77777777" w:rsidR="00E96B29" w:rsidRPr="00027624" w:rsidRDefault="00E96B29" w:rsidP="00E96B29">
      <w:pPr>
        <w:pStyle w:val="Bullet"/>
      </w:pPr>
      <w:r w:rsidRPr="00027624">
        <w:t>Spending falls fastest for retirees in the middle ages of retirement.</w:t>
      </w:r>
    </w:p>
    <w:p w14:paraId="12113BC9" w14:textId="77777777" w:rsidR="00E96B29" w:rsidRPr="00027624" w:rsidRDefault="00E96B29" w:rsidP="00E96B29">
      <w:pPr>
        <w:pStyle w:val="Bullet"/>
      </w:pPr>
      <w:r w:rsidRPr="00027624">
        <w:t>Spending falls, but more slowly, for people aged in their 60s.</w:t>
      </w:r>
    </w:p>
    <w:p w14:paraId="3A2F4850" w14:textId="38246330" w:rsidR="00E96B29" w:rsidRPr="00027624" w:rsidRDefault="00E96B29" w:rsidP="00E96B29">
      <w:pPr>
        <w:pStyle w:val="Bullet"/>
      </w:pPr>
      <w:r w:rsidRPr="00027624">
        <w:rPr>
          <w:b/>
        </w:rPr>
        <w:t>People aged in their 80s still have falling expenditure</w:t>
      </w:r>
      <w:r w:rsidRPr="00027624">
        <w:t>, but rising health costs mean this fall is not as significant as falls in mid</w:t>
      </w:r>
      <w:r w:rsidR="00A8443E" w:rsidRPr="00027624">
        <w:noBreakHyphen/>
      </w:r>
      <w:r w:rsidRPr="00027624">
        <w:t>retirement age spending. For example, average spending declines by about 1.5 per cent at age 85 compared to about 2 per cent at age 75 (</w:t>
      </w:r>
      <w:r w:rsidRPr="00027624">
        <w:fldChar w:fldCharType="begin"/>
      </w:r>
      <w:r w:rsidRPr="00027624">
        <w:instrText xml:space="preserve"> REF _Ref39402908 \r \h  \* MERGEFORMAT </w:instrText>
      </w:r>
      <w:r w:rsidRPr="00027624">
        <w:fldChar w:fldCharType="separate"/>
      </w:r>
      <w:r w:rsidR="00891058">
        <w:t>Chart 6A-6</w:t>
      </w:r>
      <w:r w:rsidRPr="00027624">
        <w:fldChar w:fldCharType="end"/>
      </w:r>
      <w:r w:rsidRPr="00027624">
        <w:t>).</w:t>
      </w:r>
    </w:p>
    <w:p w14:paraId="42F60B0A" w14:textId="77777777" w:rsidR="00E96B29" w:rsidRPr="00027624" w:rsidRDefault="00E96B29" w:rsidP="00E96B29">
      <w:pPr>
        <w:pStyle w:val="ChartMainHeading"/>
      </w:pPr>
      <w:bookmarkStart w:id="4223" w:name="_Ref39402908"/>
      <w:r w:rsidRPr="00027624">
        <w:t>Annual real change in total expenditure, by age</w:t>
      </w:r>
    </w:p>
    <w:p w14:paraId="741260A3" w14:textId="77777777" w:rsidR="00E96B29" w:rsidRPr="00027624" w:rsidRDefault="00757E37" w:rsidP="00E96B29">
      <w:pPr>
        <w:pStyle w:val="ChartGraphic"/>
      </w:pPr>
      <w:r>
        <w:rPr>
          <w:noProof/>
        </w:rPr>
        <w:drawing>
          <wp:inline distT="0" distB="0" distL="0" distR="0" wp14:anchorId="7485483C" wp14:editId="38312C5E">
            <wp:extent cx="5577840" cy="2522220"/>
            <wp:effectExtent l="0" t="0" r="3810" b="0"/>
            <wp:docPr id="1242828832" name="Picture 1242828832" descr="This chart shows that annual real change in total expenditure declines with age, reducing to the lowest point of around negative 2 per cent for people aged in their 70’s. There is a slight uptick of around 0.5 percentage points as people enter their 80’s, however, annual real expenditure growth remains negative." title="Chart 6A-6 Annual real change in total expenditure,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00123D89" w14:textId="77777777" w:rsidR="00E96B29" w:rsidRPr="00027624" w:rsidRDefault="00E96B29" w:rsidP="00DE6C9E">
      <w:pPr>
        <w:pStyle w:val="ChartorTableNote"/>
      </w:pPr>
      <w:r w:rsidRPr="00027624">
        <w:t xml:space="preserve">Source: </w:t>
      </w:r>
      <w:sdt>
        <w:sdtPr>
          <w:id w:val="-1758288283"/>
          <w:citation/>
        </w:sdtPr>
        <w:sdtEndPr/>
        <w:sdtContent>
          <w:r w:rsidRPr="00027624">
            <w:fldChar w:fldCharType="begin"/>
          </w:r>
          <w:r w:rsidRPr="00027624">
            <w:instrText xml:space="preserve"> CITATION DBl14 \l 3081 </w:instrText>
          </w:r>
          <w:r w:rsidRPr="00027624">
            <w:fldChar w:fldCharType="separate"/>
          </w:r>
          <w:r w:rsidR="00E83F6E">
            <w:rPr>
              <w:noProof/>
            </w:rPr>
            <w:t>(Blanchett, 2014)</w:t>
          </w:r>
          <w:r w:rsidRPr="00027624">
            <w:fldChar w:fldCharType="end"/>
          </w:r>
        </w:sdtContent>
      </w:sdt>
      <w:bookmarkEnd w:id="4223"/>
      <w:r w:rsidRPr="00027624">
        <w:t>.</w:t>
      </w:r>
    </w:p>
    <w:p w14:paraId="56CF6F09" w14:textId="4050CBE4" w:rsidR="00E96B29" w:rsidRPr="00027624" w:rsidRDefault="00E96B29" w:rsidP="00E96B29">
      <w:pPr>
        <w:spacing w:before="240"/>
      </w:pPr>
      <w:r w:rsidRPr="00027624">
        <w:t>In Australia, there is evidence that medical expenses grow modestly from a low level as people age. In 2015</w:t>
      </w:r>
      <w:r w:rsidR="00A8443E" w:rsidRPr="00027624">
        <w:noBreakHyphen/>
      </w:r>
      <w:r w:rsidRPr="00027624">
        <w:t>16, medical expenses made up 9 per cent of median expenditure at ages 80 and over (or $40 per week), compared to 5 per cent of median expenditure at ages 55</w:t>
      </w:r>
      <w:r w:rsidR="00A8443E" w:rsidRPr="00027624">
        <w:noBreakHyphen/>
      </w:r>
      <w:r w:rsidRPr="00027624">
        <w:t>59 (or $28 per week) (</w:t>
      </w:r>
      <w:r w:rsidRPr="00027624">
        <w:fldChar w:fldCharType="begin"/>
      </w:r>
      <w:r w:rsidRPr="00027624">
        <w:instrText xml:space="preserve"> REF _Ref44506792 \w \h  \* MERGEFORMAT </w:instrText>
      </w:r>
      <w:r w:rsidRPr="00027624">
        <w:fldChar w:fldCharType="separate"/>
      </w:r>
      <w:r w:rsidR="00891058">
        <w:t>Chart 6A-5</w:t>
      </w:r>
      <w:r w:rsidRPr="00027624">
        <w:fldChar w:fldCharType="end"/>
      </w:r>
      <w:r w:rsidRPr="00027624">
        <w:t>). Government services provide significant in</w:t>
      </w:r>
      <w:r w:rsidR="00A8443E" w:rsidRPr="00027624">
        <w:noBreakHyphen/>
      </w:r>
      <w:r w:rsidRPr="00027624">
        <w:t xml:space="preserve">kind </w:t>
      </w:r>
      <w:r w:rsidR="00016EA8" w:rsidRPr="00027624">
        <w:t>support</w:t>
      </w:r>
      <w:r w:rsidRPr="00027624">
        <w:t xml:space="preserve"> to Australians as they age, limiting the increase in out</w:t>
      </w:r>
      <w:r w:rsidR="00A8443E" w:rsidRPr="00027624">
        <w:noBreakHyphen/>
      </w:r>
      <w:r w:rsidRPr="00027624">
        <w:t>of</w:t>
      </w:r>
      <w:r w:rsidR="00A8443E" w:rsidRPr="00027624">
        <w:noBreakHyphen/>
      </w:r>
      <w:r w:rsidRPr="00027624">
        <w:t>pocket expenses to retiree households (see</w:t>
      </w:r>
      <w:r w:rsidRPr="00027624">
        <w:rPr>
          <w:i/>
        </w:rPr>
        <w:t xml:space="preserve"> 4. Sustainability</w:t>
      </w:r>
      <w:r w:rsidRPr="00027624">
        <w:t>). Further, the slight increases in health costs tend to be more than offset by declining expenditure in other categories of spending (</w:t>
      </w:r>
      <w:r w:rsidRPr="00027624">
        <w:fldChar w:fldCharType="begin"/>
      </w:r>
      <w:r w:rsidRPr="00027624">
        <w:instrText xml:space="preserve"> REF _Ref44506792 \w \h  \* MERGEFORMAT </w:instrText>
      </w:r>
      <w:r w:rsidRPr="00027624">
        <w:fldChar w:fldCharType="separate"/>
      </w:r>
      <w:r w:rsidR="00891058">
        <w:t>Chart 6A-5</w:t>
      </w:r>
      <w:r w:rsidRPr="00027624">
        <w:fldChar w:fldCharType="end"/>
      </w:r>
      <w:r w:rsidRPr="00027624">
        <w:t>). The increase in medical expenses as a share of expenditure in part reflects that overall expenditure is falling.</w:t>
      </w:r>
    </w:p>
    <w:p w14:paraId="6EE383EF" w14:textId="77777777" w:rsidR="00E96B29" w:rsidRPr="00027624" w:rsidRDefault="00E96B29" w:rsidP="00E96B29">
      <w:pPr>
        <w:spacing w:before="240"/>
      </w:pPr>
      <w:r w:rsidRPr="00027624">
        <w:t>Evidence from other countries on health spending of retirees should be interpreted with caution. Results will depend on the health care system for the particular country. Australia</w:t>
      </w:r>
      <w:r w:rsidR="00A8443E" w:rsidRPr="00027624">
        <w:t>’</w:t>
      </w:r>
      <w:r w:rsidRPr="00027624">
        <w:t>s universal health care system provides significant support to retirees (see</w:t>
      </w:r>
      <w:r w:rsidRPr="00027624">
        <w:rPr>
          <w:i/>
        </w:rPr>
        <w:t xml:space="preserve"> 2A. Achieving a minimum standard of living in retirement</w:t>
      </w:r>
      <w:r w:rsidRPr="00027624">
        <w:t>).</w:t>
      </w:r>
    </w:p>
    <w:p w14:paraId="2949633C" w14:textId="77777777" w:rsidR="00E96B29" w:rsidRPr="00027624" w:rsidRDefault="00E96B29" w:rsidP="00E96B29">
      <w:pPr>
        <w:pStyle w:val="Heading3"/>
      </w:pPr>
      <w:r w:rsidRPr="00027624">
        <w:t>Expenditure patterns of high</w:t>
      </w:r>
      <w:r w:rsidR="00A8443E" w:rsidRPr="00027624">
        <w:noBreakHyphen/>
      </w:r>
      <w:r w:rsidRPr="00027624">
        <w:t>wealth retirees</w:t>
      </w:r>
    </w:p>
    <w:p w14:paraId="7F70AE90" w14:textId="77777777" w:rsidR="00E96B29" w:rsidRPr="00027624" w:rsidRDefault="00E96B29" w:rsidP="00E96B29">
      <w:pPr>
        <w:spacing w:before="240"/>
      </w:pPr>
      <w:r w:rsidRPr="00027624">
        <w:t>To understand the spending retirees may wish to have, the review considered expenditure of the top 20 per cent of wealthiest retirees. These households have income that is consistently higher than their expenses. They also have wealth that is similar to the projected real wealth for median earners under a mature superannuation system.</w:t>
      </w:r>
    </w:p>
    <w:p w14:paraId="20E5CC3E" w14:textId="77777777" w:rsidR="00E96B29" w:rsidRPr="00027624" w:rsidRDefault="00E96B29" w:rsidP="00E96B29">
      <w:pPr>
        <w:spacing w:before="240"/>
      </w:pPr>
      <w:r w:rsidRPr="00027624">
        <w:t>Given these groups face fewer budget constraints, their spending patterns over time are more likely to reflect genuine preference rather than necessity.</w:t>
      </w:r>
    </w:p>
    <w:p w14:paraId="2AD918CD" w14:textId="4E91CD59" w:rsidR="00E96B29" w:rsidRPr="00027624" w:rsidRDefault="00E96B29" w:rsidP="00E96B29">
      <w:pPr>
        <w:spacing w:before="240"/>
      </w:pPr>
      <w:r w:rsidRPr="00027624">
        <w:t>For high</w:t>
      </w:r>
      <w:r w:rsidR="00A8443E" w:rsidRPr="00027624">
        <w:noBreakHyphen/>
      </w:r>
      <w:r w:rsidRPr="00027624">
        <w:t>wealth retirees, spending falls or remains flat with age in a pattern broadly similar to other retirees (</w:t>
      </w:r>
      <w:r w:rsidRPr="00027624">
        <w:fldChar w:fldCharType="begin"/>
      </w:r>
      <w:r w:rsidRPr="00027624">
        <w:instrText xml:space="preserve"> REF _Ref38617752 \r \h  \* MERGEFORMAT </w:instrText>
      </w:r>
      <w:r w:rsidRPr="00027624">
        <w:fldChar w:fldCharType="separate"/>
      </w:r>
      <w:r w:rsidR="00891058">
        <w:t>Chart 6A-7</w:t>
      </w:r>
      <w:r w:rsidRPr="00027624">
        <w:fldChar w:fldCharType="end"/>
      </w:r>
      <w:r w:rsidRPr="00027624">
        <w:t>). Falling real spending is despite their income rising significantly in real terms (</w:t>
      </w:r>
      <w:r w:rsidRPr="00027624">
        <w:fldChar w:fldCharType="begin"/>
      </w:r>
      <w:r w:rsidRPr="00027624">
        <w:instrText xml:space="preserve"> REF _Ref39403149 \r \h  \* MERGEFORMAT </w:instrText>
      </w:r>
      <w:r w:rsidRPr="00027624">
        <w:fldChar w:fldCharType="separate"/>
      </w:r>
      <w:r w:rsidR="00891058">
        <w:t>Chart 6A-8</w:t>
      </w:r>
      <w:r w:rsidRPr="00027624">
        <w:fldChar w:fldCharType="end"/>
      </w:r>
      <w:r w:rsidRPr="00027624">
        <w:t>). It suggests falls in expenditure during retirement are not due to income constraints.</w:t>
      </w:r>
    </w:p>
    <w:p w14:paraId="659945BD" w14:textId="77777777" w:rsidR="00E96B29" w:rsidRPr="00027624" w:rsidRDefault="00E96B29" w:rsidP="00E96B29">
      <w:pPr>
        <w:pStyle w:val="ChartMainHeading"/>
      </w:pPr>
      <w:bookmarkStart w:id="4224" w:name="_Ref38617752"/>
      <w:bookmarkStart w:id="4225" w:name="_Ref40338415"/>
      <w:r w:rsidRPr="00027624">
        <w:rPr>
          <w:noProof/>
        </w:rPr>
        <w:t>Median household weekly expenditure</w:t>
      </w:r>
      <w:r w:rsidRPr="00027624">
        <w:t xml:space="preserve">, </w:t>
      </w:r>
      <w:bookmarkEnd w:id="4224"/>
      <w:r w:rsidRPr="00027624">
        <w:t>top 20 per cent of households by income</w:t>
      </w:r>
      <w:bookmarkEnd w:id="4225"/>
    </w:p>
    <w:p w14:paraId="441558A0" w14:textId="77777777" w:rsidR="00E96B29" w:rsidRPr="00027624" w:rsidRDefault="00757E37" w:rsidP="00E96B29">
      <w:pPr>
        <w:pStyle w:val="ChartGraphic"/>
      </w:pPr>
      <w:r>
        <w:rPr>
          <w:noProof/>
        </w:rPr>
        <w:drawing>
          <wp:inline distT="0" distB="0" distL="0" distR="0" wp14:anchorId="517FF4AE" wp14:editId="34DA8B95">
            <wp:extent cx="5554980" cy="2522220"/>
            <wp:effectExtent l="0" t="0" r="7620" b="0"/>
            <wp:docPr id="1242828833" name="Picture 1242828833" descr="This chart shows that, for the top 20 per cent of households by wealth, expenditure by age cohort. Spending generally declines for people in retirement" title="Chart 6A-7 Median household weekly expenditure, top 20 per cent of households by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54980" cy="2522220"/>
                    </a:xfrm>
                    <a:prstGeom prst="rect">
                      <a:avLst/>
                    </a:prstGeom>
                    <a:noFill/>
                  </pic:spPr>
                </pic:pic>
              </a:graphicData>
            </a:graphic>
          </wp:inline>
        </w:drawing>
      </w:r>
    </w:p>
    <w:p w14:paraId="01F5BA5C" w14:textId="77777777" w:rsidR="00E96B29" w:rsidRPr="00027624" w:rsidRDefault="00E96B29" w:rsidP="00DE6C9E">
      <w:pPr>
        <w:pStyle w:val="ChartorTableNote"/>
      </w:pPr>
      <w:r w:rsidRPr="00027624">
        <w:t>Note: Data includes Household Expenditure Survey 1988</w:t>
      </w:r>
      <w:r w:rsidR="00A8443E" w:rsidRPr="00027624">
        <w:noBreakHyphen/>
      </w:r>
      <w:r w:rsidRPr="00027624">
        <w:t>89 to 2015</w:t>
      </w:r>
      <w:r w:rsidR="00A8443E" w:rsidRPr="00027624">
        <w:noBreakHyphen/>
      </w:r>
      <w:r w:rsidRPr="00027624">
        <w:t xml:space="preserve">16. Household expenditure is equivalised. Includes households in the top 20 per cent of income earners. </w:t>
      </w:r>
      <w:r w:rsidRPr="00027624">
        <w:rPr>
          <w:color w:val="auto"/>
        </w:rPr>
        <w:t>Pseudo</w:t>
      </w:r>
      <w:r w:rsidR="00A8443E" w:rsidRPr="00027624">
        <w:rPr>
          <w:color w:val="auto"/>
        </w:rPr>
        <w:noBreakHyphen/>
      </w:r>
      <w:r w:rsidRPr="00027624">
        <w:rPr>
          <w:color w:val="auto"/>
        </w:rPr>
        <w:t>cohorts have been constructed using five</w:t>
      </w:r>
      <w:r w:rsidR="00A8443E" w:rsidRPr="00027624">
        <w:rPr>
          <w:color w:val="auto"/>
        </w:rPr>
        <w:noBreakHyphen/>
      </w:r>
      <w:r w:rsidRPr="00027624">
        <w:rPr>
          <w:color w:val="auto"/>
        </w:rPr>
        <w:t xml:space="preserve">year birth ranges. </w:t>
      </w:r>
      <w:r w:rsidRPr="00027624">
        <w:t>Values are in 2018</w:t>
      </w:r>
      <w:r w:rsidR="00A8443E" w:rsidRPr="00027624">
        <w:noBreakHyphen/>
      </w:r>
      <w:r w:rsidRPr="00027624">
        <w:t>19 dollars, indexed to CPI</w:t>
      </w:r>
      <w:r w:rsidRPr="00027624">
        <w:rPr>
          <w:color w:val="auto"/>
        </w:rPr>
        <w:t xml:space="preserve">. </w:t>
      </w:r>
      <w:r w:rsidRPr="00027624">
        <w:t>Household weekly expenditure excludes voluntary superannuation contributions and capital housing costs. Principal and interest components of mortgage repayments are included in weekly expenditure. Source: Analysis of ABS Household Expenditure Survey Confidentialised Unit Record File, 1988 to 2015</w:t>
      </w:r>
      <w:r w:rsidR="00A8443E" w:rsidRPr="00027624">
        <w:noBreakHyphen/>
      </w:r>
      <w:r w:rsidRPr="00027624">
        <w:t>16.</w:t>
      </w:r>
    </w:p>
    <w:p w14:paraId="4AFB12CB" w14:textId="2107F1F3" w:rsidR="00E96B29" w:rsidRPr="00027624" w:rsidRDefault="00E96B29" w:rsidP="00E96B29">
      <w:pPr>
        <w:spacing w:before="240"/>
      </w:pPr>
      <w:r w:rsidRPr="00027624">
        <w:t>Total spending on essential items is stable with age for these households, with most of the decrease coming from lower discretionary spending consistent with patterns of all retirees (</w:t>
      </w:r>
      <w:r w:rsidRPr="00027624">
        <w:fldChar w:fldCharType="begin"/>
      </w:r>
      <w:r w:rsidRPr="00027624">
        <w:instrText xml:space="preserve"> REF _Ref39403149 \r \h  \* MERGEFORMAT </w:instrText>
      </w:r>
      <w:r w:rsidRPr="00027624">
        <w:fldChar w:fldCharType="separate"/>
      </w:r>
      <w:r w:rsidR="00891058">
        <w:t>Chart 6A-8</w:t>
      </w:r>
      <w:r w:rsidRPr="00027624">
        <w:fldChar w:fldCharType="end"/>
      </w:r>
      <w:r w:rsidRPr="00027624">
        <w:t>).</w:t>
      </w:r>
    </w:p>
    <w:p w14:paraId="1D0CD882" w14:textId="77777777" w:rsidR="00E96B29" w:rsidRPr="00027624" w:rsidRDefault="00E96B29" w:rsidP="00E96B29">
      <w:pPr>
        <w:pStyle w:val="ChartMainHeading"/>
        <w:spacing w:before="240"/>
      </w:pPr>
      <w:bookmarkStart w:id="4226" w:name="_Ref39403149"/>
      <w:r w:rsidRPr="00027624">
        <w:t>Median household weekly expenditure and disposable income</w:t>
      </w:r>
      <w:bookmarkEnd w:id="4226"/>
      <w:r w:rsidRPr="00027624">
        <w:t>,</w:t>
      </w:r>
      <w:r w:rsidRPr="00027624" w:rsidDel="00D73161">
        <w:t xml:space="preserve"> </w:t>
      </w:r>
      <w:r w:rsidRPr="00027624">
        <w:t>top 20 per cent of households by income</w:t>
      </w:r>
    </w:p>
    <w:tbl>
      <w:tblPr>
        <w:tblStyle w:val="TableGrid"/>
        <w:tblW w:w="9584" w:type="dxa"/>
        <w:tblLook w:val="04A0" w:firstRow="1" w:lastRow="0" w:firstColumn="1" w:lastColumn="0" w:noHBand="0" w:noVBand="1"/>
      </w:tblPr>
      <w:tblGrid>
        <w:gridCol w:w="4792"/>
        <w:gridCol w:w="4792"/>
      </w:tblGrid>
      <w:tr w:rsidR="00E96B29" w:rsidRPr="00027624" w14:paraId="5126BE18" w14:textId="77777777" w:rsidTr="00E96B29">
        <w:trPr>
          <w:trHeight w:val="346"/>
        </w:trPr>
        <w:tc>
          <w:tcPr>
            <w:tcW w:w="4792" w:type="dxa"/>
            <w:shd w:val="clear" w:color="auto" w:fill="auto"/>
          </w:tcPr>
          <w:p w14:paraId="10DAA6C8" w14:textId="77777777" w:rsidR="00E96B29" w:rsidRPr="00027624" w:rsidRDefault="00E96B29" w:rsidP="00E96B29">
            <w:pPr>
              <w:pStyle w:val="ChartSecondHeading"/>
            </w:pPr>
            <w:bookmarkStart w:id="4227" w:name="_Ref38617810"/>
            <w:r w:rsidRPr="00027624">
              <w:t>Cohort aged 80 and over in 2016</w:t>
            </w:r>
            <w:bookmarkEnd w:id="4227"/>
          </w:p>
        </w:tc>
        <w:tc>
          <w:tcPr>
            <w:tcW w:w="4792" w:type="dxa"/>
            <w:shd w:val="clear" w:color="auto" w:fill="auto"/>
          </w:tcPr>
          <w:p w14:paraId="2F3CF8EF" w14:textId="77777777" w:rsidR="00E96B29" w:rsidRPr="00027624" w:rsidRDefault="00E96B29" w:rsidP="00E96B29">
            <w:pPr>
              <w:pStyle w:val="ChartSecondHeading"/>
            </w:pPr>
            <w:r w:rsidRPr="00027624">
              <w:t>Cohort aged 75</w:t>
            </w:r>
            <w:r w:rsidR="00A8443E" w:rsidRPr="00027624">
              <w:noBreakHyphen/>
            </w:r>
            <w:r w:rsidRPr="00027624">
              <w:t>79 in 2016</w:t>
            </w:r>
          </w:p>
        </w:tc>
      </w:tr>
      <w:tr w:rsidR="00E96B29" w:rsidRPr="00027624" w14:paraId="54F2BC8D" w14:textId="77777777" w:rsidTr="00E96B29">
        <w:trPr>
          <w:trHeight w:val="4413"/>
        </w:trPr>
        <w:tc>
          <w:tcPr>
            <w:tcW w:w="4792" w:type="dxa"/>
            <w:shd w:val="clear" w:color="auto" w:fill="auto"/>
          </w:tcPr>
          <w:p w14:paraId="56576D51" w14:textId="77777777" w:rsidR="00E96B29" w:rsidRPr="00027624" w:rsidRDefault="00D06995" w:rsidP="00E96B29">
            <w:pPr>
              <w:pStyle w:val="ChartGraphic"/>
            </w:pPr>
            <w:r>
              <w:rPr>
                <w:noProof/>
              </w:rPr>
              <w:drawing>
                <wp:inline distT="0" distB="0" distL="0" distR="0" wp14:anchorId="3F299AD6" wp14:editId="3A25D710">
                  <wp:extent cx="2857500" cy="2880360"/>
                  <wp:effectExtent l="0" t="0" r="0" b="0"/>
                  <wp:docPr id="1242828834" name="Picture 1242828834" descr="These charts show spending and income for two cohorts of retirees who are in the top 20 per cent of households. &#10;The left hand chart shows that the cohort aged 80 and over in 2016 increased spending on essential categories as they aged, while spending on discretionary spending declined. Their disposable incomes declined from age 55 to 59 till around 65 to 69, before increasing back up. At age 80 and over, disposable income is higher but still remains below the highest point at age 50-59.&#10;&#10;The left hand chart shows there was a similar pattern for the cohort of retirees aged 75-79 in 2016." title="Chart 6A-8 Median household weekly expenditure and disposable income, top 20 per cent of households by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857500" cy="2880360"/>
                          </a:xfrm>
                          <a:prstGeom prst="rect">
                            <a:avLst/>
                          </a:prstGeom>
                          <a:noFill/>
                        </pic:spPr>
                      </pic:pic>
                    </a:graphicData>
                  </a:graphic>
                </wp:inline>
              </w:drawing>
            </w:r>
          </w:p>
        </w:tc>
        <w:tc>
          <w:tcPr>
            <w:tcW w:w="4792" w:type="dxa"/>
            <w:shd w:val="clear" w:color="auto" w:fill="auto"/>
          </w:tcPr>
          <w:p w14:paraId="7309AB04" w14:textId="77777777" w:rsidR="00E96B29" w:rsidRPr="00027624" w:rsidRDefault="00D06995" w:rsidP="00E96B29">
            <w:pPr>
              <w:pStyle w:val="ChartGraphic"/>
            </w:pPr>
            <w:r>
              <w:rPr>
                <w:noProof/>
              </w:rPr>
              <w:drawing>
                <wp:inline distT="0" distB="0" distL="0" distR="0" wp14:anchorId="58B85A0D" wp14:editId="33638B60">
                  <wp:extent cx="2857500" cy="2880360"/>
                  <wp:effectExtent l="0" t="0" r="0" b="0"/>
                  <wp:docPr id="1242828838" name="Picture 124282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857500" cy="2880360"/>
                          </a:xfrm>
                          <a:prstGeom prst="rect">
                            <a:avLst/>
                          </a:prstGeom>
                          <a:noFill/>
                        </pic:spPr>
                      </pic:pic>
                    </a:graphicData>
                  </a:graphic>
                </wp:inline>
              </w:drawing>
            </w:r>
          </w:p>
        </w:tc>
      </w:tr>
    </w:tbl>
    <w:p w14:paraId="7F38500D" w14:textId="77777777" w:rsidR="00E96B29" w:rsidRPr="00027624" w:rsidRDefault="00E96B29" w:rsidP="00DE6C9E">
      <w:pPr>
        <w:pStyle w:val="ChartorTableNote"/>
      </w:pPr>
      <w:r w:rsidRPr="00027624">
        <w:t>Note: This chart shows equivalised weekly household expenditure and income by age for two birth cohorts. Expenditure is split into essential and discretionary categories. Data includes Household Expenditure Survey 1988</w:t>
      </w:r>
      <w:r w:rsidR="00A8443E" w:rsidRPr="00027624">
        <w:noBreakHyphen/>
      </w:r>
      <w:r w:rsidRPr="00027624">
        <w:t>89 to 2015</w:t>
      </w:r>
      <w:r w:rsidR="00A8443E" w:rsidRPr="00027624">
        <w:noBreakHyphen/>
      </w:r>
      <w:r w:rsidRPr="00027624">
        <w:t>16. Includes households in the top 20 per cent of income earners. Pseudo</w:t>
      </w:r>
      <w:r w:rsidR="00A8443E" w:rsidRPr="00027624">
        <w:rPr>
          <w:color w:val="auto"/>
        </w:rPr>
        <w:noBreakHyphen/>
      </w:r>
      <w:r w:rsidRPr="00027624">
        <w:rPr>
          <w:color w:val="auto"/>
        </w:rPr>
        <w:t>cohorts have been constructed using five</w:t>
      </w:r>
      <w:r w:rsidR="00A8443E" w:rsidRPr="00027624">
        <w:rPr>
          <w:color w:val="auto"/>
        </w:rPr>
        <w:noBreakHyphen/>
      </w:r>
      <w:r w:rsidRPr="00027624">
        <w:rPr>
          <w:color w:val="auto"/>
        </w:rPr>
        <w:t xml:space="preserve">year birth ranges. </w:t>
      </w:r>
      <w:r w:rsidRPr="00027624">
        <w:t>Values are in 2018</w:t>
      </w:r>
      <w:r w:rsidR="00A8443E" w:rsidRPr="00027624">
        <w:noBreakHyphen/>
      </w:r>
      <w:r w:rsidRPr="00027624">
        <w:t>19 dollars, indexed to CPI. Household weekly expenditure excludes voluntary superannuation contributions and capital housing costs. Principal and interest components of mortgage repayments are included in weekly expenditure. Source: Analysis of ABS Household Expenditure Survey Confidentialised Unit Record File, 1988</w:t>
      </w:r>
      <w:r w:rsidR="00A8443E" w:rsidRPr="00027624">
        <w:noBreakHyphen/>
      </w:r>
      <w:r w:rsidRPr="00027624">
        <w:t>89 to 2015</w:t>
      </w:r>
      <w:r w:rsidR="00A8443E" w:rsidRPr="00027624">
        <w:noBreakHyphen/>
      </w:r>
      <w:r w:rsidRPr="00027624">
        <w:t>16.</w:t>
      </w:r>
    </w:p>
    <w:p w14:paraId="2E63F2F7" w14:textId="77777777" w:rsidR="00E96B29" w:rsidRPr="00027624" w:rsidRDefault="00E96B29" w:rsidP="00E96B29">
      <w:pPr>
        <w:pStyle w:val="Heading3"/>
      </w:pPr>
      <w:bookmarkStart w:id="4228" w:name="_Ref42617620"/>
      <w:r w:rsidRPr="00027624">
        <w:t>Spending patterns of future retirees</w:t>
      </w:r>
      <w:bookmarkEnd w:id="4228"/>
    </w:p>
    <w:p w14:paraId="4B6CCB77" w14:textId="77777777" w:rsidR="00E96B29" w:rsidRPr="00027624" w:rsidRDefault="00E96B29" w:rsidP="00991CC6">
      <w:r w:rsidRPr="00027624">
        <w:t>It is possible that expenditure patterns could change for future retirees. Some submissions argued that higher wealth in future or higher spending patterns among younger generations could change expenditure needs in retirement.</w:t>
      </w:r>
    </w:p>
    <w:p w14:paraId="27C676FD" w14:textId="62477679" w:rsidR="00E96B29" w:rsidRPr="00027624" w:rsidRDefault="00E96B29" w:rsidP="00991CC6">
      <w:r w:rsidRPr="00027624">
        <w:t>For example, the previous</w:t>
      </w:r>
      <w:r w:rsidR="003A119F" w:rsidRPr="00027624">
        <w:t xml:space="preserve"> </w:t>
      </w:r>
      <w:r w:rsidR="009E7111" w:rsidRPr="00027624">
        <w:t>analysis</w:t>
      </w:r>
      <w:r w:rsidRPr="00027624">
        <w:t xml:space="preserve"> showed a broad consistency in retirement spending patterns by age for retirees today, regardless of wealth. However, spending growth was faster among households aged 65 and over between 2003</w:t>
      </w:r>
      <w:r w:rsidR="00A8443E" w:rsidRPr="00027624">
        <w:noBreakHyphen/>
      </w:r>
      <w:r w:rsidRPr="00027624">
        <w:t>04 and 2017</w:t>
      </w:r>
      <w:r w:rsidR="00A8443E" w:rsidRPr="00027624">
        <w:noBreakHyphen/>
      </w:r>
      <w:r w:rsidRPr="00027624">
        <w:t>18 relative to the spending growth of working</w:t>
      </w:r>
      <w:r w:rsidR="00A8443E" w:rsidRPr="00027624">
        <w:noBreakHyphen/>
      </w:r>
      <w:r w:rsidRPr="00027624">
        <w:t>age households (</w:t>
      </w:r>
      <w:r w:rsidRPr="00027624">
        <w:fldChar w:fldCharType="begin"/>
      </w:r>
      <w:r w:rsidRPr="00027624">
        <w:instrText xml:space="preserve"> REF _Ref42011975 \r \h  \* MERGEFORMAT </w:instrText>
      </w:r>
      <w:r w:rsidRPr="00027624">
        <w:fldChar w:fldCharType="separate"/>
      </w:r>
      <w:r w:rsidR="00891058">
        <w:t>Chart 6A-9</w:t>
      </w:r>
      <w:r w:rsidRPr="00027624">
        <w:fldChar w:fldCharType="end"/>
      </w:r>
      <w:r w:rsidRPr="00027624">
        <w:t>).</w:t>
      </w:r>
    </w:p>
    <w:p w14:paraId="03CF8AD3" w14:textId="065DE7F9" w:rsidR="00E96B29" w:rsidRPr="00027624" w:rsidRDefault="00E96B29" w:rsidP="00991CC6">
      <w:r w:rsidRPr="00027624">
        <w:t>Rising living standards mean each generation has higher income and spending than the one before it.</w:t>
      </w:r>
      <w:r w:rsidRPr="00027624">
        <w:rPr>
          <w:rStyle w:val="FootnoteReference"/>
        </w:rPr>
        <w:footnoteReference w:id="327"/>
      </w:r>
      <w:r w:rsidRPr="00027624">
        <w:t xml:space="preserve"> For example, households aged 65 and over in 2017</w:t>
      </w:r>
      <w:r w:rsidR="00A8443E" w:rsidRPr="00027624">
        <w:noBreakHyphen/>
      </w:r>
      <w:r w:rsidRPr="00027624">
        <w:t>18 spent over 40 per cent more than households in the same age range in 2003</w:t>
      </w:r>
      <w:r w:rsidR="00A8443E" w:rsidRPr="00027624">
        <w:noBreakHyphen/>
      </w:r>
      <w:r w:rsidRPr="00027624">
        <w:t>04 (</w:t>
      </w:r>
      <w:r w:rsidRPr="00027624">
        <w:fldChar w:fldCharType="begin"/>
      </w:r>
      <w:r w:rsidRPr="00027624">
        <w:instrText xml:space="preserve"> REF _Ref39240618 \r \h  \* MERGEFORMAT </w:instrText>
      </w:r>
      <w:r w:rsidRPr="00027624">
        <w:fldChar w:fldCharType="separate"/>
      </w:r>
      <w:r w:rsidR="00891058">
        <w:t>Chart 6A-9</w:t>
      </w:r>
      <w:r w:rsidRPr="00027624">
        <w:fldChar w:fldCharType="end"/>
      </w:r>
      <w:r w:rsidRPr="00027624">
        <w:t>).</w:t>
      </w:r>
    </w:p>
    <w:p w14:paraId="4C0D7BFF" w14:textId="153596F2" w:rsidR="00E96B29" w:rsidRPr="00027624" w:rsidRDefault="00E96B29" w:rsidP="00991CC6">
      <w:r w:rsidRPr="00027624">
        <w:t>Nevertheless, when tracking spending by a given generation as they age, the pattern of falling expenditure during retirement has remained (</w:t>
      </w:r>
      <w:r w:rsidRPr="00027624">
        <w:fldChar w:fldCharType="begin"/>
      </w:r>
      <w:r w:rsidRPr="00027624">
        <w:instrText xml:space="preserve"> REF _Ref39238152 \r \h  \* MERGEFORMAT </w:instrText>
      </w:r>
      <w:r w:rsidRPr="00027624">
        <w:fldChar w:fldCharType="separate"/>
      </w:r>
      <w:r w:rsidR="00891058">
        <w:t>Chart 6A-4</w:t>
      </w:r>
      <w:r w:rsidRPr="00027624">
        <w:fldChar w:fldCharType="end"/>
      </w:r>
      <w:r w:rsidRPr="00027624">
        <w:t>).</w:t>
      </w:r>
    </w:p>
    <w:p w14:paraId="3C5ABA15" w14:textId="77777777" w:rsidR="00E96B29" w:rsidRPr="00027624" w:rsidRDefault="00E96B29" w:rsidP="00991CC6">
      <w:r w:rsidRPr="00027624">
        <w:t>Age</w:t>
      </w:r>
      <w:r w:rsidR="00A8443E" w:rsidRPr="00027624">
        <w:noBreakHyphen/>
      </w:r>
      <w:r w:rsidRPr="00027624">
        <w:t>based differences in income and assets growth over the last decade may also explain faster spending growth of older households:</w:t>
      </w:r>
    </w:p>
    <w:p w14:paraId="7FA1864D" w14:textId="77777777" w:rsidR="00E96B29" w:rsidRPr="00027624" w:rsidRDefault="00E96B29" w:rsidP="00991CC6">
      <w:pPr>
        <w:pStyle w:val="Bullet"/>
        <w:spacing w:before="120"/>
      </w:pPr>
      <w:r w:rsidRPr="00027624">
        <w:t>Income growth for older households increased faster than that for working</w:t>
      </w:r>
      <w:r w:rsidR="00A8443E" w:rsidRPr="00027624">
        <w:noBreakHyphen/>
      </w:r>
      <w:r w:rsidRPr="00027624">
        <w:t xml:space="preserve">age households due to rising asset values combined with the 2009 Age Pension increase (see </w:t>
      </w:r>
      <w:r w:rsidRPr="00027624">
        <w:rPr>
          <w:i/>
        </w:rPr>
        <w:t xml:space="preserve">1D. The changing Australian landscape </w:t>
      </w:r>
      <w:r w:rsidRPr="00027624">
        <w:t xml:space="preserve">and </w:t>
      </w:r>
      <w:r w:rsidRPr="00027624">
        <w:rPr>
          <w:i/>
        </w:rPr>
        <w:t>4. Sustainability</w:t>
      </w:r>
      <w:r w:rsidRPr="00027624">
        <w:t>).</w:t>
      </w:r>
    </w:p>
    <w:p w14:paraId="72AA2D88" w14:textId="77777777" w:rsidR="00E96B29" w:rsidRPr="00027624" w:rsidRDefault="00E96B29" w:rsidP="00991CC6">
      <w:pPr>
        <w:pStyle w:val="Bullet"/>
        <w:spacing w:before="120"/>
      </w:pPr>
      <w:r w:rsidRPr="00027624">
        <w:t>Younger households, which typically have fewer assets, had their spending growth constrained by slow wage growth.</w:t>
      </w:r>
    </w:p>
    <w:p w14:paraId="05A1BA76" w14:textId="77777777" w:rsidR="00E96B29" w:rsidRPr="00027624" w:rsidRDefault="00E96B29" w:rsidP="00E96B29">
      <w:pPr>
        <w:pStyle w:val="ChartMainHeading"/>
      </w:pPr>
      <w:bookmarkStart w:id="4229" w:name="_Ref42011975"/>
      <w:bookmarkStart w:id="4230" w:name="_Ref39240618"/>
      <w:r w:rsidRPr="00027624">
        <w:t>Growth in real household consumption by age</w:t>
      </w:r>
      <w:bookmarkEnd w:id="4229"/>
      <w:bookmarkEnd w:id="4230"/>
    </w:p>
    <w:p w14:paraId="287B04AE" w14:textId="77777777" w:rsidR="00E96B29" w:rsidRPr="00027624" w:rsidRDefault="00D06995" w:rsidP="00E96B29">
      <w:pPr>
        <w:pStyle w:val="ChartGraphic"/>
      </w:pPr>
      <w:r>
        <w:rPr>
          <w:noProof/>
        </w:rPr>
        <w:drawing>
          <wp:inline distT="0" distB="0" distL="0" distR="0" wp14:anchorId="0CE6B5E0" wp14:editId="09DBF73E">
            <wp:extent cx="5585460" cy="2522220"/>
            <wp:effectExtent l="0" t="0" r="0" b="0"/>
            <wp:docPr id="1242828839" name="Picture 1242828839" descr="This chart shows that growth in real household consumption by age has been the highest for older age cohorts from 2003-04 to 2017-18. For the younger cohorts aged 15 to 24 and 25 to 30, consumption increased by around 10 per cent growth, compared to households aged 55 to 64 and 65 and over where consumption increased by over 40 per cent." title="Chart 6A-9 Growth in real household consumption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126F4973" w14:textId="77777777" w:rsidR="00E96B29" w:rsidRPr="00027624" w:rsidRDefault="00E96B29" w:rsidP="00DE6C9E">
      <w:pPr>
        <w:pStyle w:val="ChartorTableNote"/>
      </w:pPr>
      <w:r w:rsidRPr="00027624">
        <w:t xml:space="preserve">Note: Age is based on age of reference person and relates to year of survey. Household consumption is deflated with the aggregate household consumption deflator. Source: </w:t>
      </w:r>
      <w:sdt>
        <w:sdtPr>
          <w:id w:val="909588925"/>
          <w:citation/>
        </w:sdtPr>
        <w:sdtEndPr/>
        <w:sdtContent>
          <w:r w:rsidRPr="00027624">
            <w:fldChar w:fldCharType="begin"/>
          </w:r>
          <w:r w:rsidRPr="00027624">
            <w:instrText xml:space="preserve">CITATION COKU20 \l 3081 </w:instrText>
          </w:r>
          <w:r w:rsidRPr="00027624">
            <w:fldChar w:fldCharType="separate"/>
          </w:r>
          <w:r w:rsidR="00E83F6E">
            <w:rPr>
              <w:noProof/>
            </w:rPr>
            <w:t>(Cokis &amp; McLoughlin, 2020)</w:t>
          </w:r>
          <w:r w:rsidRPr="00027624">
            <w:fldChar w:fldCharType="end"/>
          </w:r>
        </w:sdtContent>
      </w:sdt>
      <w:r w:rsidRPr="00027624">
        <w:t>.</w:t>
      </w:r>
    </w:p>
    <w:p w14:paraId="52618A22" w14:textId="77777777" w:rsidR="00E96B29" w:rsidRPr="00027624" w:rsidRDefault="00E96B29" w:rsidP="00E96B29">
      <w:pPr>
        <w:pStyle w:val="Heading3"/>
        <w:rPr>
          <w:rStyle w:val="Heading6Char"/>
          <w:rFonts w:eastAsiaTheme="minorHAnsi"/>
          <w:b/>
        </w:rPr>
      </w:pPr>
      <w:r w:rsidRPr="00027624">
        <w:t>Indexation of international schemes</w:t>
      </w:r>
    </w:p>
    <w:p w14:paraId="02FD0D87" w14:textId="656560B3" w:rsidR="00E96B29" w:rsidRPr="00027624" w:rsidRDefault="00E96B29" w:rsidP="00E96B29">
      <w:r w:rsidRPr="00027624">
        <w:t>Most OECD retirement income systems index retirement income to prices rather than wages</w:t>
      </w:r>
      <w:sdt>
        <w:sdtPr>
          <w:id w:val="-195152121"/>
          <w:citation/>
        </w:sdtPr>
        <w:sdtEndPr/>
        <w:sdtContent>
          <w:r w:rsidRPr="00027624">
            <w:fldChar w:fldCharType="begin"/>
          </w:r>
          <w:r w:rsidRPr="00027624">
            <w:instrText xml:space="preserve"> CITATION OEC19d \l 3081 </w:instrText>
          </w:r>
          <w:r w:rsidRPr="00027624">
            <w:fldChar w:fldCharType="separate"/>
          </w:r>
          <w:r w:rsidR="00E83F6E">
            <w:rPr>
              <w:noProof/>
            </w:rPr>
            <w:t xml:space="preserve"> (OECD, 2019b)</w:t>
          </w:r>
          <w:r w:rsidRPr="00027624">
            <w:fldChar w:fldCharType="end"/>
          </w:r>
        </w:sdtContent>
      </w:sdt>
      <w:r w:rsidRPr="00027624">
        <w:t>,</w:t>
      </w:r>
      <w:sdt>
        <w:sdtPr>
          <w:id w:val="-1423405113"/>
          <w:citation/>
        </w:sdtPr>
        <w:sdtEndPr/>
        <w:sdtContent>
          <w:r w:rsidRPr="00027624">
            <w:fldChar w:fldCharType="begin"/>
          </w:r>
          <w:r w:rsidRPr="00027624">
            <w:instrText xml:space="preserve">CITATION OEC15 \l 3081 </w:instrText>
          </w:r>
          <w:r w:rsidRPr="00027624">
            <w:fldChar w:fldCharType="separate"/>
          </w:r>
          <w:r w:rsidR="00E83F6E">
            <w:rPr>
              <w:noProof/>
            </w:rPr>
            <w:t xml:space="preserve"> (OECD, 2015)</w:t>
          </w:r>
          <w:r w:rsidRPr="00027624">
            <w:fldChar w:fldCharType="end"/>
          </w:r>
        </w:sdtContent>
      </w:sdt>
      <w:r w:rsidRPr="00027624">
        <w:t>. Among OECD countries, 57 per cent of earnings</w:t>
      </w:r>
      <w:r w:rsidR="00A8443E" w:rsidRPr="00027624">
        <w:noBreakHyphen/>
      </w:r>
      <w:r w:rsidRPr="00027624">
        <w:t xml:space="preserve">related indexed </w:t>
      </w:r>
      <w:r w:rsidRPr="00027624" w:rsidDel="00202345">
        <w:t>schemes</w:t>
      </w:r>
      <w:r w:rsidRPr="00027624">
        <w:t xml:space="preserve"> and 59 per cent of social safety net schemes are predominantly indexed to prices (</w:t>
      </w:r>
      <w:r w:rsidRPr="00027624">
        <w:fldChar w:fldCharType="begin"/>
      </w:r>
      <w:r w:rsidRPr="00027624">
        <w:instrText xml:space="preserve"> REF _Ref42706239 \r \h  \* MERGEFORMAT </w:instrText>
      </w:r>
      <w:r w:rsidRPr="00027624">
        <w:fldChar w:fldCharType="separate"/>
      </w:r>
      <w:r w:rsidR="00891058">
        <w:t>Table 6A-2</w:t>
      </w:r>
      <w:r w:rsidRPr="00027624">
        <w:fldChar w:fldCharType="end"/>
      </w:r>
      <w:r w:rsidRPr="00027624">
        <w:t>).</w:t>
      </w:r>
    </w:p>
    <w:p w14:paraId="40FC98FC" w14:textId="77777777" w:rsidR="00E96B29" w:rsidRPr="00027624" w:rsidRDefault="00E96B29" w:rsidP="00E96B29">
      <w:pPr>
        <w:pStyle w:val="TableMainHeading"/>
      </w:pPr>
      <w:bookmarkStart w:id="4231" w:name="_Ref42706239"/>
      <w:r w:rsidRPr="00027624">
        <w:t>Indexation of retirement income schemes</w:t>
      </w:r>
      <w:bookmarkEnd w:id="4231"/>
      <w:r w:rsidRPr="00027624">
        <w:t>, selected OECD countries</w:t>
      </w:r>
    </w:p>
    <w:tbl>
      <w:tblPr>
        <w:tblW w:w="5000" w:type="pct"/>
        <w:tblLook w:val="01E0" w:firstRow="1" w:lastRow="1" w:firstColumn="1" w:lastColumn="1" w:noHBand="0" w:noVBand="0"/>
      </w:tblPr>
      <w:tblGrid>
        <w:gridCol w:w="1813"/>
        <w:gridCol w:w="2155"/>
        <w:gridCol w:w="2550"/>
        <w:gridCol w:w="2552"/>
      </w:tblGrid>
      <w:tr w:rsidR="00E96B29" w:rsidRPr="00027624" w14:paraId="269D2783" w14:textId="77777777" w:rsidTr="00E96B29">
        <w:trPr>
          <w:trHeight w:val="270"/>
        </w:trPr>
        <w:tc>
          <w:tcPr>
            <w:tcW w:w="999" w:type="pct"/>
            <w:shd w:val="clear" w:color="auto" w:fill="E5E5E5"/>
          </w:tcPr>
          <w:p w14:paraId="3585C415" w14:textId="77777777" w:rsidR="00E96B29" w:rsidRPr="00027624" w:rsidRDefault="00E96B29" w:rsidP="00E96B29">
            <w:pPr>
              <w:pStyle w:val="TableColumnHeadingCentred"/>
              <w:keepNext/>
              <w:jc w:val="left"/>
            </w:pPr>
            <w:r w:rsidRPr="00027624">
              <w:t>Indexation</w:t>
            </w:r>
          </w:p>
        </w:tc>
        <w:tc>
          <w:tcPr>
            <w:tcW w:w="1188" w:type="pct"/>
            <w:shd w:val="clear" w:color="auto" w:fill="E5E5E5"/>
          </w:tcPr>
          <w:p w14:paraId="67C01D83" w14:textId="77777777" w:rsidR="00E96B29" w:rsidRPr="00027624" w:rsidRDefault="00E96B29" w:rsidP="00E96B29">
            <w:pPr>
              <w:pStyle w:val="TableTextLeft"/>
              <w:keepNext/>
            </w:pPr>
          </w:p>
        </w:tc>
        <w:tc>
          <w:tcPr>
            <w:tcW w:w="1406" w:type="pct"/>
            <w:shd w:val="clear" w:color="auto" w:fill="E5E5E5"/>
          </w:tcPr>
          <w:p w14:paraId="50391A28" w14:textId="77777777" w:rsidR="00E96B29" w:rsidRPr="00027624" w:rsidRDefault="00E96B29" w:rsidP="00E96B29">
            <w:pPr>
              <w:pStyle w:val="TableColumnHeadingCentred"/>
              <w:keepNext/>
            </w:pPr>
            <w:r w:rsidRPr="00027624">
              <w:t>Safety net</w:t>
            </w:r>
          </w:p>
          <w:p w14:paraId="39AD5C21" w14:textId="77777777" w:rsidR="00E96B29" w:rsidRPr="00027624" w:rsidRDefault="00E96B29" w:rsidP="00E96B29">
            <w:pPr>
              <w:pStyle w:val="TableColumnHeadingCentred"/>
              <w:keepNext/>
            </w:pPr>
            <w:r w:rsidRPr="00027624">
              <w:t>(per cent)</w:t>
            </w:r>
          </w:p>
        </w:tc>
        <w:tc>
          <w:tcPr>
            <w:tcW w:w="1407" w:type="pct"/>
            <w:shd w:val="clear" w:color="auto" w:fill="E5E5E5"/>
          </w:tcPr>
          <w:p w14:paraId="4AB43188" w14:textId="77777777" w:rsidR="00E96B29" w:rsidRPr="00027624" w:rsidRDefault="00E96B29" w:rsidP="00E96B29">
            <w:pPr>
              <w:pStyle w:val="TableColumnHeadingCentred"/>
              <w:keepNext/>
            </w:pPr>
            <w:r w:rsidRPr="00027624">
              <w:t>Earnings</w:t>
            </w:r>
            <w:r w:rsidR="00A8443E" w:rsidRPr="00027624">
              <w:noBreakHyphen/>
            </w:r>
            <w:r w:rsidRPr="00027624">
              <w:t>relatedⁱ</w:t>
            </w:r>
          </w:p>
          <w:p w14:paraId="7DDD1C8C" w14:textId="77777777" w:rsidR="00E96B29" w:rsidRPr="00027624" w:rsidRDefault="00E96B29" w:rsidP="00E96B29">
            <w:pPr>
              <w:pStyle w:val="TableColumnHeadingCentred"/>
              <w:keepNext/>
            </w:pPr>
            <w:r w:rsidRPr="00027624">
              <w:t>(per cent)</w:t>
            </w:r>
          </w:p>
        </w:tc>
      </w:tr>
      <w:tr w:rsidR="00E96B29" w:rsidRPr="00027624" w14:paraId="7669FF2D" w14:textId="77777777" w:rsidTr="00E96B29">
        <w:trPr>
          <w:trHeight w:val="270"/>
        </w:trPr>
        <w:tc>
          <w:tcPr>
            <w:tcW w:w="2187" w:type="pct"/>
            <w:gridSpan w:val="2"/>
          </w:tcPr>
          <w:p w14:paraId="7601A1C8" w14:textId="77777777" w:rsidR="00E96B29" w:rsidRPr="00027624" w:rsidRDefault="00E96B29" w:rsidP="00E96B29">
            <w:pPr>
              <w:pStyle w:val="TableTextLeft"/>
              <w:keepNext/>
            </w:pPr>
            <w:r w:rsidRPr="00027624">
              <w:t>Predominantly wages</w:t>
            </w:r>
          </w:p>
        </w:tc>
        <w:tc>
          <w:tcPr>
            <w:tcW w:w="1406" w:type="pct"/>
          </w:tcPr>
          <w:p w14:paraId="37A863A7" w14:textId="77777777" w:rsidR="00E96B29" w:rsidRPr="00027624" w:rsidRDefault="00E96B29" w:rsidP="00E96B29">
            <w:pPr>
              <w:pStyle w:val="TableTextRight"/>
              <w:jc w:val="center"/>
            </w:pPr>
            <w:r w:rsidRPr="00027624">
              <w:t>32</w:t>
            </w:r>
          </w:p>
        </w:tc>
        <w:tc>
          <w:tcPr>
            <w:tcW w:w="1407" w:type="pct"/>
          </w:tcPr>
          <w:p w14:paraId="5203CA05" w14:textId="77777777" w:rsidR="00E96B29" w:rsidRPr="00027624" w:rsidRDefault="00E96B29" w:rsidP="00E96B29">
            <w:pPr>
              <w:pStyle w:val="TableTextRight"/>
              <w:jc w:val="center"/>
            </w:pPr>
            <w:r w:rsidRPr="00027624">
              <w:t>25</w:t>
            </w:r>
          </w:p>
        </w:tc>
      </w:tr>
      <w:tr w:rsidR="00E96B29" w:rsidRPr="00027624" w14:paraId="1FE94F17" w14:textId="77777777" w:rsidTr="00E96B29">
        <w:trPr>
          <w:trHeight w:val="270"/>
        </w:trPr>
        <w:tc>
          <w:tcPr>
            <w:tcW w:w="2187" w:type="pct"/>
            <w:gridSpan w:val="2"/>
          </w:tcPr>
          <w:p w14:paraId="5B6F47A0" w14:textId="77777777" w:rsidR="00E96B29" w:rsidRPr="00027624" w:rsidRDefault="00E96B29" w:rsidP="00E96B29">
            <w:pPr>
              <w:pStyle w:val="TableTextLeft"/>
              <w:keepNext/>
            </w:pPr>
            <w:r w:rsidRPr="00027624">
              <w:t>Predominantly prices</w:t>
            </w:r>
          </w:p>
        </w:tc>
        <w:tc>
          <w:tcPr>
            <w:tcW w:w="1406" w:type="pct"/>
          </w:tcPr>
          <w:p w14:paraId="571B9CB7" w14:textId="77777777" w:rsidR="00E96B29" w:rsidRPr="00027624" w:rsidRDefault="00E96B29" w:rsidP="00E96B29">
            <w:pPr>
              <w:pStyle w:val="TableTextRight"/>
              <w:jc w:val="center"/>
            </w:pPr>
            <w:r w:rsidRPr="00027624">
              <w:t>59</w:t>
            </w:r>
          </w:p>
        </w:tc>
        <w:tc>
          <w:tcPr>
            <w:tcW w:w="1407" w:type="pct"/>
          </w:tcPr>
          <w:p w14:paraId="5957FF48" w14:textId="77777777" w:rsidR="00E96B29" w:rsidRPr="00027624" w:rsidRDefault="00E96B29" w:rsidP="00E96B29">
            <w:pPr>
              <w:pStyle w:val="TableTextRight"/>
              <w:jc w:val="center"/>
            </w:pPr>
            <w:r w:rsidRPr="00027624">
              <w:t>57</w:t>
            </w:r>
          </w:p>
        </w:tc>
      </w:tr>
      <w:tr w:rsidR="00E96B29" w:rsidRPr="00027624" w14:paraId="1C92B9BC" w14:textId="77777777" w:rsidTr="00E96B29">
        <w:trPr>
          <w:trHeight w:val="270"/>
        </w:trPr>
        <w:tc>
          <w:tcPr>
            <w:tcW w:w="2187" w:type="pct"/>
            <w:gridSpan w:val="2"/>
          </w:tcPr>
          <w:p w14:paraId="548BE857" w14:textId="77777777" w:rsidR="00E96B29" w:rsidRPr="00027624" w:rsidRDefault="00E96B29" w:rsidP="00E96B29">
            <w:pPr>
              <w:pStyle w:val="TableTextLeft"/>
              <w:keepNext/>
            </w:pPr>
            <w:r w:rsidRPr="00027624">
              <w:t>Other</w:t>
            </w:r>
          </w:p>
        </w:tc>
        <w:tc>
          <w:tcPr>
            <w:tcW w:w="1406" w:type="pct"/>
          </w:tcPr>
          <w:p w14:paraId="165D3A48" w14:textId="77777777" w:rsidR="00E96B29" w:rsidRPr="00027624" w:rsidRDefault="00E96B29" w:rsidP="00E96B29">
            <w:pPr>
              <w:pStyle w:val="TableTextRight"/>
              <w:jc w:val="center"/>
            </w:pPr>
            <w:r w:rsidRPr="00027624">
              <w:t>9</w:t>
            </w:r>
            <w:r w:rsidRPr="00027624">
              <w:rPr>
                <w:color w:val="auto"/>
              </w:rPr>
              <w:t>ⁱⁱ</w:t>
            </w:r>
          </w:p>
        </w:tc>
        <w:tc>
          <w:tcPr>
            <w:tcW w:w="1407" w:type="pct"/>
          </w:tcPr>
          <w:p w14:paraId="1191AC7C" w14:textId="77777777" w:rsidR="00E96B29" w:rsidRPr="00027624" w:rsidRDefault="00E96B29" w:rsidP="00E96B29">
            <w:pPr>
              <w:pStyle w:val="TableTextRight"/>
              <w:jc w:val="center"/>
            </w:pPr>
            <w:r w:rsidRPr="00027624">
              <w:t>18</w:t>
            </w:r>
            <w:r w:rsidRPr="00027624">
              <w:rPr>
                <w:color w:val="auto"/>
              </w:rPr>
              <w:t>ⁱⁱⁱ</w:t>
            </w:r>
          </w:p>
        </w:tc>
      </w:tr>
    </w:tbl>
    <w:p w14:paraId="43EC2CF9" w14:textId="77777777" w:rsidR="00E96B29" w:rsidRPr="00027624" w:rsidRDefault="00E96B29" w:rsidP="00E96B29">
      <w:pPr>
        <w:pStyle w:val="ChartorTableNote"/>
        <w:jc w:val="left"/>
      </w:pPr>
      <w:r w:rsidRPr="00027624">
        <w:t xml:space="preserve">Note: </w:t>
      </w:r>
      <w:r w:rsidRPr="00027624">
        <w:rPr>
          <w:color w:val="auto"/>
        </w:rPr>
        <w:t>ⁱ</w:t>
      </w:r>
      <w:r w:rsidRPr="00027624">
        <w:t>includes defined benefits, points, notional or non</w:t>
      </w:r>
      <w:r w:rsidR="00A8443E" w:rsidRPr="00027624">
        <w:noBreakHyphen/>
      </w:r>
      <w:r w:rsidRPr="00027624">
        <w:t>financial defined contribution schemes. Does not include countries with defined contributions schemes such as Australia or those with no mandatory earnings</w:t>
      </w:r>
      <w:r w:rsidR="00A8443E" w:rsidRPr="00027624">
        <w:noBreakHyphen/>
      </w:r>
      <w:r w:rsidRPr="00027624">
        <w:t xml:space="preserve">related pension scheme as these are not indexed. </w:t>
      </w:r>
      <w:r w:rsidRPr="00027624">
        <w:rPr>
          <w:color w:val="auto"/>
        </w:rPr>
        <w:t xml:space="preserve">ⁱⁱincludes </w:t>
      </w:r>
      <w:r w:rsidRPr="00027624">
        <w:t>50/50 prices/wages split for Switzerland, and</w:t>
      </w:r>
      <w:r w:rsidRPr="00027624">
        <w:rPr>
          <w:color w:val="auto"/>
        </w:rPr>
        <w:t xml:space="preserve"> discretionary for Austria and Luxembourg. ⁱⁱⁱ</w:t>
      </w:r>
      <w:r w:rsidRPr="00027624">
        <w:t xml:space="preserve">includes 50/50 prices/wages split for Switzerland, Czech Republic and the Slovak Republic, and discretionary choice for Austria and Luxembourg. </w:t>
      </w:r>
      <w:r w:rsidR="00A8443E" w:rsidRPr="00027624">
        <w:t>‘</w:t>
      </w:r>
      <w:r w:rsidRPr="00027624">
        <w:t>Predominantly</w:t>
      </w:r>
      <w:r w:rsidR="00A8443E" w:rsidRPr="00027624">
        <w:t>’</w:t>
      </w:r>
      <w:r w:rsidRPr="00027624">
        <w:t xml:space="preserve"> indicates more than 50 per cent of the indexation is weighted to the given method. Earnings</w:t>
      </w:r>
      <w:r w:rsidR="00A8443E" w:rsidRPr="00027624">
        <w:noBreakHyphen/>
      </w:r>
      <w:r w:rsidRPr="00027624">
        <w:t xml:space="preserve">related data from 2019, Safety net data from 2015. Source: Analysis of </w:t>
      </w:r>
      <w:sdt>
        <w:sdtPr>
          <w:id w:val="302665811"/>
          <w:citation/>
        </w:sdtPr>
        <w:sdtEndPr/>
        <w:sdtContent>
          <w:r w:rsidRPr="00027624">
            <w:fldChar w:fldCharType="begin"/>
          </w:r>
          <w:r w:rsidRPr="00027624">
            <w:instrText xml:space="preserve"> CITATION OEC19d \l 3081 </w:instrText>
          </w:r>
          <w:r w:rsidRPr="00027624">
            <w:fldChar w:fldCharType="separate"/>
          </w:r>
          <w:r w:rsidR="00E83F6E">
            <w:rPr>
              <w:noProof/>
            </w:rPr>
            <w:t>(OECD, 2019b)</w:t>
          </w:r>
          <w:r w:rsidRPr="00027624">
            <w:fldChar w:fldCharType="end"/>
          </w:r>
        </w:sdtContent>
      </w:sdt>
      <w:r w:rsidRPr="00027624">
        <w:t xml:space="preserve"> </w:t>
      </w:r>
      <w:sdt>
        <w:sdtPr>
          <w:id w:val="-2093993626"/>
          <w:citation/>
        </w:sdtPr>
        <w:sdtEndPr/>
        <w:sdtContent>
          <w:r w:rsidRPr="00027624">
            <w:fldChar w:fldCharType="begin"/>
          </w:r>
          <w:r w:rsidRPr="00027624">
            <w:instrText xml:space="preserve">CITATION OEC15 \l 3081 </w:instrText>
          </w:r>
          <w:r w:rsidRPr="00027624">
            <w:fldChar w:fldCharType="separate"/>
          </w:r>
          <w:r w:rsidR="00E83F6E">
            <w:rPr>
              <w:noProof/>
            </w:rPr>
            <w:t>(OECD, 2015)</w:t>
          </w:r>
          <w:r w:rsidRPr="00027624">
            <w:fldChar w:fldCharType="end"/>
          </w:r>
        </w:sdtContent>
      </w:sdt>
      <w:r w:rsidRPr="00027624">
        <w:t>.</w:t>
      </w:r>
    </w:p>
    <w:p w14:paraId="568637D4" w14:textId="77777777" w:rsidR="00E96B29" w:rsidRPr="00027624" w:rsidRDefault="00E96B29" w:rsidP="00E96B29">
      <w:r w:rsidRPr="00027624">
        <w:t>International organisations tend to use price deflation for system</w:t>
      </w:r>
      <w:r w:rsidR="00A8443E" w:rsidRPr="00027624">
        <w:noBreakHyphen/>
      </w:r>
      <w:r w:rsidRPr="00027624">
        <w:t>level assessments. OECD guidance is for pension plans to be indexed to prices. OECD modelling of replacement rates also uses price indexation</w:t>
      </w:r>
      <w:sdt>
        <w:sdtPr>
          <w:id w:val="-1792587409"/>
          <w:citation/>
        </w:sdtPr>
        <w:sdtEndPr/>
        <w:sdtContent>
          <w:r w:rsidRPr="00027624">
            <w:fldChar w:fldCharType="begin"/>
          </w:r>
          <w:r w:rsidRPr="00027624">
            <w:instrText xml:space="preserve">CITATION OEC15 \l 3081 </w:instrText>
          </w:r>
          <w:r w:rsidRPr="00027624">
            <w:fldChar w:fldCharType="separate"/>
          </w:r>
          <w:r w:rsidR="00E83F6E">
            <w:rPr>
              <w:noProof/>
            </w:rPr>
            <w:t xml:space="preserve"> (OECD, 2015)</w:t>
          </w:r>
          <w:r w:rsidRPr="00027624">
            <w:fldChar w:fldCharType="end"/>
          </w:r>
        </w:sdtContent>
      </w:sdt>
      <w:r w:rsidRPr="00027624">
        <w:t>. Likewise, the World Bank has used price deflation to calculate future retirement expenditure</w:t>
      </w:r>
      <w:sdt>
        <w:sdtPr>
          <w:id w:val="283699161"/>
          <w:citation/>
        </w:sdtPr>
        <w:sdtEndPr/>
        <w:sdtContent>
          <w:r w:rsidRPr="00027624">
            <w:fldChar w:fldCharType="begin"/>
          </w:r>
          <w:r w:rsidRPr="00027624">
            <w:instrText xml:space="preserve">CITATION Wor94 \l 3081 </w:instrText>
          </w:r>
          <w:r w:rsidRPr="00027624">
            <w:fldChar w:fldCharType="separate"/>
          </w:r>
          <w:r w:rsidR="00E83F6E">
            <w:rPr>
              <w:noProof/>
            </w:rPr>
            <w:t xml:space="preserve"> (World Bank, 1994)</w:t>
          </w:r>
          <w:r w:rsidRPr="00027624">
            <w:fldChar w:fldCharType="end"/>
          </w:r>
        </w:sdtContent>
      </w:sdt>
      <w:r w:rsidRPr="00027624">
        <w:t>.</w:t>
      </w:r>
    </w:p>
    <w:p w14:paraId="7618A504" w14:textId="77777777" w:rsidR="00E96B29" w:rsidRPr="00027624" w:rsidRDefault="00E96B29" w:rsidP="00E96B29">
      <w:pPr>
        <w:pStyle w:val="Heading3"/>
      </w:pPr>
      <w:r w:rsidRPr="00027624">
        <w:t>Indexation of retirement products in Australia</w:t>
      </w:r>
    </w:p>
    <w:p w14:paraId="2A7F84F6" w14:textId="77777777" w:rsidR="00E96B29" w:rsidRPr="00027624" w:rsidRDefault="00E96B29" w:rsidP="00E96B29">
      <w:r w:rsidRPr="00027624">
        <w:t>Most financial retirement products in Australia are indexed to prices. This includes both private annuity products and indexation of defined benefit schemes.</w:t>
      </w:r>
    </w:p>
    <w:p w14:paraId="791CAA9B" w14:textId="73A5CF24" w:rsidR="00E96B29" w:rsidRPr="00027624" w:rsidRDefault="00E96B29" w:rsidP="00E96B29">
      <w:r w:rsidRPr="00027624" w:rsidDel="005D3A79">
        <w:t>The Australian market for retirement products is still developing, including only limited annuity products and existing defined benefit schemes</w:t>
      </w:r>
      <w:r w:rsidRPr="00027624">
        <w:t xml:space="preserve"> (</w:t>
      </w:r>
      <w:r w:rsidRPr="00027624">
        <w:fldChar w:fldCharType="begin"/>
      </w:r>
      <w:r w:rsidRPr="00027624">
        <w:instrText xml:space="preserve"> REF _Ref39089660 \r \h  \* MERGEFORMAT </w:instrText>
      </w:r>
      <w:r w:rsidRPr="00027624">
        <w:fldChar w:fldCharType="separate"/>
      </w:r>
      <w:r w:rsidR="00891058">
        <w:t>Table 6A-3</w:t>
      </w:r>
      <w:r w:rsidRPr="00027624">
        <w:fldChar w:fldCharType="end"/>
      </w:r>
      <w:r w:rsidRPr="00027624">
        <w:t>)</w:t>
      </w:r>
      <w:r w:rsidRPr="00027624" w:rsidDel="005D3A79">
        <w:t>.</w:t>
      </w:r>
    </w:p>
    <w:p w14:paraId="5BC9E2F6" w14:textId="77777777" w:rsidR="00E96B29" w:rsidRPr="00027624" w:rsidRDefault="00E96B29" w:rsidP="00E96B29">
      <w:pPr>
        <w:pStyle w:val="TableMainHeading"/>
        <w:keepLines/>
        <w:rPr>
          <w:rFonts w:eastAsiaTheme="minorHAnsi"/>
        </w:rPr>
      </w:pPr>
      <w:bookmarkStart w:id="4232" w:name="_Ref39089660"/>
      <w:r w:rsidRPr="00027624">
        <w:rPr>
          <w:rFonts w:eastAsiaTheme="minorHAnsi"/>
        </w:rPr>
        <w:t>Australian retirement income products</w:t>
      </w:r>
      <w:bookmarkEnd w:id="4232"/>
    </w:p>
    <w:tbl>
      <w:tblPr>
        <w:tblStyle w:val="TableGrid"/>
        <w:tblW w:w="5000" w:type="pct"/>
        <w:tblLook w:val="0000" w:firstRow="0" w:lastRow="0" w:firstColumn="0" w:lastColumn="0" w:noHBand="0" w:noVBand="0"/>
      </w:tblPr>
      <w:tblGrid>
        <w:gridCol w:w="3024"/>
        <w:gridCol w:w="3024"/>
        <w:gridCol w:w="3022"/>
      </w:tblGrid>
      <w:tr w:rsidR="00E96B29" w:rsidRPr="00027624" w14:paraId="2113A9F8" w14:textId="77777777" w:rsidTr="00E96B29">
        <w:trPr>
          <w:trHeight w:val="110"/>
        </w:trPr>
        <w:tc>
          <w:tcPr>
            <w:tcW w:w="1667" w:type="pct"/>
          </w:tcPr>
          <w:p w14:paraId="6B14CB82" w14:textId="77777777" w:rsidR="00E96B29" w:rsidRPr="00027624" w:rsidRDefault="00E96B29" w:rsidP="00E96B29">
            <w:pPr>
              <w:pStyle w:val="TableColumnHeadingLeft"/>
              <w:rPr>
                <w:rFonts w:eastAsiaTheme="minorHAnsi"/>
                <w:lang w:eastAsia="en-US"/>
              </w:rPr>
            </w:pPr>
            <w:r w:rsidRPr="00027624">
              <w:rPr>
                <w:rFonts w:eastAsiaTheme="minorHAnsi"/>
                <w:lang w:eastAsia="en-US"/>
              </w:rPr>
              <w:t>Provider</w:t>
            </w:r>
          </w:p>
        </w:tc>
        <w:tc>
          <w:tcPr>
            <w:tcW w:w="1667" w:type="pct"/>
          </w:tcPr>
          <w:p w14:paraId="17D039C2" w14:textId="77777777" w:rsidR="00E96B29" w:rsidRPr="00027624" w:rsidRDefault="00E96B29" w:rsidP="00E96B29">
            <w:pPr>
              <w:pStyle w:val="TableColumnHeadingCentred"/>
              <w:rPr>
                <w:rFonts w:eastAsiaTheme="minorHAnsi"/>
                <w:lang w:eastAsia="en-US"/>
              </w:rPr>
            </w:pPr>
            <w:r w:rsidRPr="00027624">
              <w:rPr>
                <w:rFonts w:eastAsiaTheme="minorHAnsi"/>
                <w:lang w:eastAsia="en-US"/>
              </w:rPr>
              <w:t>Product</w:t>
            </w:r>
          </w:p>
        </w:tc>
        <w:tc>
          <w:tcPr>
            <w:tcW w:w="1666" w:type="pct"/>
          </w:tcPr>
          <w:p w14:paraId="2A4480F3" w14:textId="77777777" w:rsidR="00E96B29" w:rsidRPr="00027624" w:rsidRDefault="00E96B29" w:rsidP="00E96B29">
            <w:pPr>
              <w:pStyle w:val="TableColumnHeadingCentred"/>
              <w:rPr>
                <w:rFonts w:eastAsiaTheme="minorHAnsi"/>
                <w:lang w:eastAsia="en-US"/>
              </w:rPr>
            </w:pPr>
            <w:r w:rsidRPr="00027624">
              <w:rPr>
                <w:rFonts w:eastAsiaTheme="minorHAnsi"/>
                <w:lang w:eastAsia="en-US"/>
              </w:rPr>
              <w:t>Indexation</w:t>
            </w:r>
          </w:p>
        </w:tc>
      </w:tr>
      <w:tr w:rsidR="00E96B29" w:rsidRPr="00027624" w14:paraId="78875295" w14:textId="77777777" w:rsidTr="00E96B29">
        <w:trPr>
          <w:trHeight w:val="110"/>
        </w:trPr>
        <w:tc>
          <w:tcPr>
            <w:tcW w:w="5000" w:type="pct"/>
            <w:gridSpan w:val="3"/>
            <w:shd w:val="clear" w:color="auto" w:fill="auto"/>
          </w:tcPr>
          <w:p w14:paraId="0A6C51B5" w14:textId="77777777" w:rsidR="00E96B29" w:rsidRPr="00027624" w:rsidRDefault="00E96B29" w:rsidP="00E96B29">
            <w:pPr>
              <w:pStyle w:val="TableTextLeft"/>
              <w:rPr>
                <w:rFonts w:eastAsiaTheme="minorHAnsi" w:cs="Calibri"/>
                <w:szCs w:val="18"/>
                <w:lang w:eastAsia="en-US"/>
              </w:rPr>
            </w:pPr>
            <w:r w:rsidRPr="00027624">
              <w:rPr>
                <w:rFonts w:eastAsiaTheme="minorHAnsi"/>
                <w:b/>
                <w:lang w:eastAsia="en-US"/>
              </w:rPr>
              <w:t>Annuities</w:t>
            </w:r>
          </w:p>
        </w:tc>
      </w:tr>
      <w:tr w:rsidR="00E96B29" w:rsidRPr="00027624" w14:paraId="64AEE31B" w14:textId="77777777" w:rsidTr="00E96B29">
        <w:tc>
          <w:tcPr>
            <w:tcW w:w="1667" w:type="pct"/>
            <w:shd w:val="clear" w:color="auto" w:fill="auto"/>
          </w:tcPr>
          <w:p w14:paraId="7A78296B" w14:textId="77777777" w:rsidR="00E96B29" w:rsidRPr="00027624" w:rsidRDefault="00E96B29" w:rsidP="00E96B29">
            <w:pPr>
              <w:pStyle w:val="TableTextLeft"/>
              <w:rPr>
                <w:rFonts w:eastAsiaTheme="minorHAnsi"/>
                <w:lang w:eastAsia="en-US"/>
              </w:rPr>
            </w:pPr>
            <w:r w:rsidRPr="00027624">
              <w:rPr>
                <w:rFonts w:eastAsiaTheme="minorHAnsi"/>
                <w:lang w:eastAsia="en-US"/>
              </w:rPr>
              <w:t>Challenger</w:t>
            </w:r>
          </w:p>
        </w:tc>
        <w:tc>
          <w:tcPr>
            <w:tcW w:w="1667" w:type="pct"/>
            <w:shd w:val="clear" w:color="auto" w:fill="auto"/>
          </w:tcPr>
          <w:p w14:paraId="6ED9E17C" w14:textId="77777777" w:rsidR="00E96B29" w:rsidRPr="00027624" w:rsidRDefault="00E96B29" w:rsidP="00E96B29">
            <w:pPr>
              <w:pStyle w:val="TableTextLeft"/>
              <w:rPr>
                <w:rFonts w:eastAsiaTheme="minorHAnsi"/>
                <w:lang w:eastAsia="en-US"/>
              </w:rPr>
            </w:pPr>
            <w:r w:rsidRPr="00027624">
              <w:rPr>
                <w:rFonts w:eastAsiaTheme="minorHAnsi"/>
                <w:lang w:eastAsia="en-US"/>
              </w:rPr>
              <w:t>Guaranteed lifetime annuity</w:t>
            </w:r>
          </w:p>
        </w:tc>
        <w:tc>
          <w:tcPr>
            <w:tcW w:w="1666" w:type="pct"/>
            <w:shd w:val="clear" w:color="auto" w:fill="auto"/>
          </w:tcPr>
          <w:p w14:paraId="37AC3660" w14:textId="77777777" w:rsidR="00E96B29" w:rsidRPr="00027624" w:rsidRDefault="00E96B29" w:rsidP="00E96B29">
            <w:pPr>
              <w:pStyle w:val="TableTextLeft"/>
              <w:rPr>
                <w:rFonts w:eastAsiaTheme="minorHAnsi"/>
                <w:lang w:eastAsia="en-US"/>
              </w:rPr>
            </w:pPr>
            <w:r w:rsidRPr="00027624">
              <w:rPr>
                <w:rFonts w:eastAsiaTheme="minorHAnsi"/>
                <w:lang w:eastAsia="en-US"/>
              </w:rPr>
              <w:t>CPI or other fixed percentage</w:t>
            </w:r>
          </w:p>
        </w:tc>
      </w:tr>
      <w:tr w:rsidR="00E96B29" w:rsidRPr="00027624" w14:paraId="6DD2B86D" w14:textId="77777777" w:rsidTr="00E96B29">
        <w:trPr>
          <w:trHeight w:val="242"/>
        </w:trPr>
        <w:tc>
          <w:tcPr>
            <w:tcW w:w="1667" w:type="pct"/>
            <w:shd w:val="clear" w:color="auto" w:fill="auto"/>
          </w:tcPr>
          <w:p w14:paraId="244B61AB" w14:textId="77777777" w:rsidR="00E96B29" w:rsidRPr="00027624" w:rsidRDefault="00E96B29" w:rsidP="00E96B29">
            <w:pPr>
              <w:pStyle w:val="TableTextLeft"/>
              <w:rPr>
                <w:rFonts w:eastAsiaTheme="minorHAnsi"/>
                <w:lang w:eastAsia="en-US"/>
              </w:rPr>
            </w:pPr>
            <w:r w:rsidRPr="00027624">
              <w:rPr>
                <w:rFonts w:eastAsiaTheme="minorHAnsi"/>
                <w:lang w:eastAsia="en-US"/>
              </w:rPr>
              <w:t>Challenger</w:t>
            </w:r>
          </w:p>
        </w:tc>
        <w:tc>
          <w:tcPr>
            <w:tcW w:w="1667" w:type="pct"/>
            <w:shd w:val="clear" w:color="auto" w:fill="auto"/>
          </w:tcPr>
          <w:p w14:paraId="7AEEB54F" w14:textId="77777777" w:rsidR="00E96B29" w:rsidRPr="00027624" w:rsidRDefault="00E96B29" w:rsidP="00E96B29">
            <w:pPr>
              <w:pStyle w:val="TableTextLeft"/>
              <w:rPr>
                <w:rFonts w:eastAsiaTheme="minorHAnsi"/>
                <w:lang w:eastAsia="en-US"/>
              </w:rPr>
            </w:pPr>
            <w:r w:rsidRPr="00027624">
              <w:rPr>
                <w:rFonts w:eastAsiaTheme="minorHAnsi"/>
                <w:lang w:eastAsia="en-US"/>
              </w:rPr>
              <w:t>Term annuity</w:t>
            </w:r>
          </w:p>
        </w:tc>
        <w:tc>
          <w:tcPr>
            <w:tcW w:w="1666" w:type="pct"/>
            <w:shd w:val="clear" w:color="auto" w:fill="auto"/>
          </w:tcPr>
          <w:p w14:paraId="32AE8FE3" w14:textId="77777777" w:rsidR="00E96B29" w:rsidRPr="00027624" w:rsidRDefault="00E96B29" w:rsidP="00E96B29">
            <w:pPr>
              <w:pStyle w:val="TableTextLeft"/>
              <w:rPr>
                <w:rFonts w:eastAsiaTheme="minorHAnsi"/>
                <w:lang w:eastAsia="en-US"/>
              </w:rPr>
            </w:pPr>
            <w:r w:rsidRPr="00027624">
              <w:rPr>
                <w:rFonts w:eastAsiaTheme="minorHAnsi"/>
                <w:lang w:eastAsia="en-US"/>
              </w:rPr>
              <w:t>CPI or other fixed percentage</w:t>
            </w:r>
          </w:p>
        </w:tc>
      </w:tr>
      <w:tr w:rsidR="00E96B29" w:rsidRPr="00027624" w14:paraId="005D16A8" w14:textId="77777777" w:rsidTr="00E96B29">
        <w:trPr>
          <w:trHeight w:val="242"/>
        </w:trPr>
        <w:tc>
          <w:tcPr>
            <w:tcW w:w="1667" w:type="pct"/>
            <w:shd w:val="clear" w:color="auto" w:fill="auto"/>
          </w:tcPr>
          <w:p w14:paraId="47FA19F2" w14:textId="77777777" w:rsidR="00E96B29" w:rsidRPr="00027624" w:rsidRDefault="00E96B29" w:rsidP="00E96B29">
            <w:pPr>
              <w:pStyle w:val="TableTextLeft"/>
              <w:rPr>
                <w:rFonts w:eastAsiaTheme="minorHAnsi"/>
                <w:lang w:eastAsia="en-US"/>
              </w:rPr>
            </w:pPr>
            <w:r w:rsidRPr="00027624">
              <w:rPr>
                <w:rFonts w:eastAsiaTheme="minorHAnsi"/>
                <w:lang w:eastAsia="en-US"/>
              </w:rPr>
              <w:t>CommInsure</w:t>
            </w:r>
          </w:p>
        </w:tc>
        <w:tc>
          <w:tcPr>
            <w:tcW w:w="1667" w:type="pct"/>
            <w:shd w:val="clear" w:color="auto" w:fill="auto"/>
          </w:tcPr>
          <w:p w14:paraId="60C22590" w14:textId="77777777" w:rsidR="00E96B29" w:rsidRPr="00027624" w:rsidRDefault="00E96B29" w:rsidP="00E96B29">
            <w:pPr>
              <w:pStyle w:val="TableTextLeft"/>
              <w:rPr>
                <w:rFonts w:eastAsiaTheme="minorHAnsi"/>
                <w:lang w:eastAsia="en-US"/>
              </w:rPr>
            </w:pPr>
            <w:r w:rsidRPr="00027624">
              <w:rPr>
                <w:rFonts w:eastAsiaTheme="minorHAnsi"/>
                <w:lang w:eastAsia="en-US"/>
              </w:rPr>
              <w:t>Guaranteed lifetime annuity</w:t>
            </w:r>
          </w:p>
        </w:tc>
        <w:tc>
          <w:tcPr>
            <w:tcW w:w="1666" w:type="pct"/>
            <w:shd w:val="clear" w:color="auto" w:fill="auto"/>
          </w:tcPr>
          <w:p w14:paraId="1327FE8D" w14:textId="77777777" w:rsidR="00E96B29" w:rsidRPr="00027624" w:rsidRDefault="00E96B29" w:rsidP="00E96B29">
            <w:pPr>
              <w:pStyle w:val="TableTextLeft"/>
              <w:rPr>
                <w:rFonts w:eastAsiaTheme="minorHAnsi"/>
                <w:lang w:eastAsia="en-US"/>
              </w:rPr>
            </w:pPr>
            <w:r w:rsidRPr="00027624">
              <w:rPr>
                <w:rFonts w:eastAsiaTheme="minorHAnsi"/>
                <w:lang w:eastAsia="en-US"/>
              </w:rPr>
              <w:t xml:space="preserve">CPI or other fixed percentage </w:t>
            </w:r>
            <w:r w:rsidRPr="00027624">
              <w:rPr>
                <w:rFonts w:eastAsiaTheme="minorHAnsi"/>
                <w:lang w:eastAsia="en-US"/>
              </w:rPr>
              <w:br/>
              <w:t>&lt; 8 per cent</w:t>
            </w:r>
          </w:p>
        </w:tc>
      </w:tr>
      <w:tr w:rsidR="00E96B29" w:rsidRPr="00027624" w14:paraId="762EE11C" w14:textId="77777777" w:rsidTr="00E96B29">
        <w:trPr>
          <w:trHeight w:val="242"/>
        </w:trPr>
        <w:tc>
          <w:tcPr>
            <w:tcW w:w="1667" w:type="pct"/>
            <w:shd w:val="clear" w:color="auto" w:fill="auto"/>
          </w:tcPr>
          <w:p w14:paraId="0E3ADDB0" w14:textId="77777777" w:rsidR="00E96B29" w:rsidRPr="00027624" w:rsidRDefault="00E96B29" w:rsidP="00E96B29">
            <w:pPr>
              <w:pStyle w:val="TableTextLeft"/>
              <w:rPr>
                <w:rFonts w:eastAsiaTheme="minorHAnsi"/>
                <w:lang w:eastAsia="en-US"/>
              </w:rPr>
            </w:pPr>
            <w:r w:rsidRPr="00027624">
              <w:rPr>
                <w:rFonts w:eastAsiaTheme="minorHAnsi"/>
                <w:lang w:eastAsia="en-US"/>
              </w:rPr>
              <w:t>Mercer</w:t>
            </w:r>
          </w:p>
        </w:tc>
        <w:tc>
          <w:tcPr>
            <w:tcW w:w="1667" w:type="pct"/>
            <w:shd w:val="clear" w:color="auto" w:fill="auto"/>
          </w:tcPr>
          <w:p w14:paraId="03575454" w14:textId="77777777" w:rsidR="00E96B29" w:rsidRPr="00027624" w:rsidRDefault="00E96B29" w:rsidP="00E96B29">
            <w:pPr>
              <w:pStyle w:val="TableTextLeft"/>
              <w:rPr>
                <w:rFonts w:eastAsiaTheme="minorHAnsi"/>
                <w:lang w:eastAsia="en-US"/>
              </w:rPr>
            </w:pPr>
            <w:r w:rsidRPr="00027624">
              <w:rPr>
                <w:rFonts w:eastAsiaTheme="minorHAnsi"/>
                <w:lang w:eastAsia="en-US"/>
              </w:rPr>
              <w:t>Group self</w:t>
            </w:r>
            <w:r w:rsidR="00A8443E" w:rsidRPr="00027624">
              <w:rPr>
                <w:rFonts w:eastAsiaTheme="minorHAnsi"/>
                <w:lang w:eastAsia="en-US"/>
              </w:rPr>
              <w:noBreakHyphen/>
            </w:r>
            <w:r w:rsidRPr="00027624">
              <w:rPr>
                <w:rFonts w:eastAsiaTheme="minorHAnsi"/>
                <w:lang w:eastAsia="en-US"/>
              </w:rPr>
              <w:t>annuity</w:t>
            </w:r>
          </w:p>
        </w:tc>
        <w:tc>
          <w:tcPr>
            <w:tcW w:w="1666" w:type="pct"/>
            <w:shd w:val="clear" w:color="auto" w:fill="auto"/>
          </w:tcPr>
          <w:p w14:paraId="484ABC84" w14:textId="77777777" w:rsidR="00E96B29" w:rsidRPr="00027624" w:rsidRDefault="00E96B29" w:rsidP="00E96B29">
            <w:pPr>
              <w:pStyle w:val="TableTextLeft"/>
              <w:rPr>
                <w:rFonts w:eastAsiaTheme="minorHAnsi"/>
                <w:lang w:eastAsia="en-US"/>
              </w:rPr>
            </w:pPr>
            <w:r w:rsidRPr="00027624">
              <w:rPr>
                <w:rFonts w:eastAsiaTheme="minorHAnsi"/>
                <w:lang w:eastAsia="en-US"/>
              </w:rPr>
              <w:t xml:space="preserve">Approximately stable in real terms until 12 years after purchase, then growing in real terms due to a capital return and </w:t>
            </w:r>
            <w:r w:rsidR="00A8443E" w:rsidRPr="00027624">
              <w:rPr>
                <w:rFonts w:eastAsiaTheme="minorHAnsi"/>
                <w:lang w:eastAsia="en-US"/>
              </w:rPr>
              <w:t>‘</w:t>
            </w:r>
            <w:r w:rsidRPr="00027624">
              <w:rPr>
                <w:rFonts w:eastAsiaTheme="minorHAnsi"/>
                <w:lang w:eastAsia="en-US"/>
              </w:rPr>
              <w:t>living bonus</w:t>
            </w:r>
            <w:r w:rsidR="00A8443E" w:rsidRPr="00027624">
              <w:rPr>
                <w:rFonts w:eastAsiaTheme="minorHAnsi"/>
                <w:lang w:eastAsia="en-US"/>
              </w:rPr>
              <w:t>’</w:t>
            </w:r>
          </w:p>
        </w:tc>
      </w:tr>
      <w:tr w:rsidR="00E96B29" w:rsidRPr="00027624" w14:paraId="3FA45662" w14:textId="77777777" w:rsidTr="00E96B29">
        <w:trPr>
          <w:trHeight w:val="110"/>
        </w:trPr>
        <w:tc>
          <w:tcPr>
            <w:tcW w:w="5000" w:type="pct"/>
            <w:gridSpan w:val="3"/>
            <w:shd w:val="clear" w:color="auto" w:fill="auto"/>
          </w:tcPr>
          <w:p w14:paraId="7F7ED452" w14:textId="77777777" w:rsidR="00E96B29" w:rsidRPr="00027624" w:rsidRDefault="00E96B29" w:rsidP="00E96B29">
            <w:pPr>
              <w:pStyle w:val="TableTextLeft"/>
              <w:rPr>
                <w:rFonts w:eastAsiaTheme="minorHAnsi" w:cs="Calibri"/>
                <w:szCs w:val="18"/>
                <w:lang w:eastAsia="en-US"/>
              </w:rPr>
            </w:pPr>
            <w:r w:rsidRPr="00027624">
              <w:rPr>
                <w:rFonts w:eastAsiaTheme="minorHAnsi"/>
                <w:b/>
                <w:lang w:eastAsia="en-US"/>
              </w:rPr>
              <w:t>Defined benefit schemes</w:t>
            </w:r>
          </w:p>
        </w:tc>
      </w:tr>
      <w:tr w:rsidR="00E96B29" w:rsidRPr="00027624" w14:paraId="2943B699" w14:textId="77777777" w:rsidTr="00E96B29">
        <w:trPr>
          <w:trHeight w:val="110"/>
        </w:trPr>
        <w:tc>
          <w:tcPr>
            <w:tcW w:w="1667" w:type="pct"/>
            <w:shd w:val="clear" w:color="auto" w:fill="auto"/>
          </w:tcPr>
          <w:p w14:paraId="1E92CC8A" w14:textId="77777777" w:rsidR="00E96B29" w:rsidRPr="00027624" w:rsidRDefault="00E96B29" w:rsidP="00E96B29">
            <w:pPr>
              <w:pStyle w:val="TableTextLeft"/>
              <w:rPr>
                <w:rFonts w:eastAsiaTheme="minorHAnsi"/>
                <w:lang w:eastAsia="en-US"/>
              </w:rPr>
            </w:pPr>
            <w:r w:rsidRPr="00027624">
              <w:rPr>
                <w:rFonts w:eastAsiaTheme="minorHAnsi"/>
                <w:lang w:eastAsia="en-US"/>
              </w:rPr>
              <w:t>Commonwealth</w:t>
            </w:r>
          </w:p>
        </w:tc>
        <w:tc>
          <w:tcPr>
            <w:tcW w:w="1667" w:type="pct"/>
            <w:shd w:val="clear" w:color="auto" w:fill="auto"/>
          </w:tcPr>
          <w:p w14:paraId="00BD82EF" w14:textId="77777777" w:rsidR="00E96B29" w:rsidRPr="00027624" w:rsidRDefault="00E96B29" w:rsidP="00E96B29">
            <w:pPr>
              <w:pStyle w:val="TableTextLeft"/>
              <w:rPr>
                <w:rFonts w:eastAsiaTheme="minorHAnsi"/>
                <w:lang w:eastAsia="en-US"/>
              </w:rPr>
            </w:pPr>
            <w:r w:rsidRPr="00027624">
              <w:rPr>
                <w:rFonts w:eastAsiaTheme="minorHAnsi"/>
                <w:lang w:eastAsia="en-US"/>
              </w:rPr>
              <w:t>Commonwealth Superannuation Scheme</w:t>
            </w:r>
          </w:p>
        </w:tc>
        <w:tc>
          <w:tcPr>
            <w:tcW w:w="1666" w:type="pct"/>
            <w:shd w:val="clear" w:color="auto" w:fill="auto"/>
          </w:tcPr>
          <w:p w14:paraId="0154B22A" w14:textId="77777777" w:rsidR="00E96B29" w:rsidRPr="00027624" w:rsidRDefault="00E96B29" w:rsidP="00E96B29">
            <w:pPr>
              <w:pStyle w:val="TableTextLeft"/>
              <w:rPr>
                <w:rFonts w:eastAsiaTheme="minorHAnsi"/>
                <w:lang w:eastAsia="en-US"/>
              </w:rPr>
            </w:pPr>
            <w:r w:rsidRPr="00027624">
              <w:rPr>
                <w:rFonts w:eastAsiaTheme="minorHAnsi"/>
                <w:lang w:eastAsia="en-US"/>
              </w:rPr>
              <w:t>CPI</w:t>
            </w:r>
          </w:p>
        </w:tc>
      </w:tr>
      <w:tr w:rsidR="00E96B29" w:rsidRPr="00027624" w14:paraId="6501722C" w14:textId="77777777" w:rsidTr="00E96B29">
        <w:trPr>
          <w:trHeight w:val="242"/>
        </w:trPr>
        <w:tc>
          <w:tcPr>
            <w:tcW w:w="1667" w:type="pct"/>
            <w:shd w:val="clear" w:color="auto" w:fill="auto"/>
          </w:tcPr>
          <w:p w14:paraId="25C0D98B" w14:textId="77777777" w:rsidR="00E96B29" w:rsidRPr="00027624" w:rsidRDefault="00E96B29" w:rsidP="00E96B29">
            <w:pPr>
              <w:pStyle w:val="TableTextLeft"/>
              <w:rPr>
                <w:rFonts w:eastAsiaTheme="minorHAnsi"/>
                <w:lang w:eastAsia="en-US"/>
              </w:rPr>
            </w:pPr>
            <w:r w:rsidRPr="00027624">
              <w:rPr>
                <w:rFonts w:eastAsiaTheme="minorHAnsi"/>
                <w:lang w:eastAsia="en-US"/>
              </w:rPr>
              <w:t>Commonwealth</w:t>
            </w:r>
          </w:p>
        </w:tc>
        <w:tc>
          <w:tcPr>
            <w:tcW w:w="1667" w:type="pct"/>
            <w:shd w:val="clear" w:color="auto" w:fill="auto"/>
          </w:tcPr>
          <w:p w14:paraId="72667F66" w14:textId="77777777" w:rsidR="00E96B29" w:rsidRPr="00027624" w:rsidRDefault="00E96B29" w:rsidP="00E96B29">
            <w:pPr>
              <w:pStyle w:val="TableTextLeft"/>
              <w:rPr>
                <w:rFonts w:eastAsiaTheme="minorHAnsi"/>
                <w:lang w:eastAsia="en-US"/>
              </w:rPr>
            </w:pPr>
            <w:r w:rsidRPr="00027624">
              <w:rPr>
                <w:rFonts w:eastAsiaTheme="minorHAnsi"/>
                <w:lang w:eastAsia="en-US"/>
              </w:rPr>
              <w:t>Defence Force Retirement and Death Benefits</w:t>
            </w:r>
          </w:p>
        </w:tc>
        <w:tc>
          <w:tcPr>
            <w:tcW w:w="1666" w:type="pct"/>
            <w:shd w:val="clear" w:color="auto" w:fill="auto"/>
          </w:tcPr>
          <w:p w14:paraId="613262B4" w14:textId="77777777" w:rsidR="00E96B29" w:rsidRPr="00027624" w:rsidRDefault="00E96B29" w:rsidP="00E96B29">
            <w:pPr>
              <w:pStyle w:val="TableTextLeft"/>
              <w:rPr>
                <w:rFonts w:eastAsiaTheme="minorHAnsi"/>
                <w:lang w:eastAsia="en-US"/>
              </w:rPr>
            </w:pPr>
            <w:r w:rsidRPr="00027624">
              <w:rPr>
                <w:rFonts w:eastAsiaTheme="minorHAnsi"/>
                <w:lang w:eastAsia="en-US"/>
              </w:rPr>
              <w:t>CPI or Pensioner and beneficiary living cost index</w:t>
            </w:r>
          </w:p>
        </w:tc>
      </w:tr>
      <w:tr w:rsidR="00E96B29" w:rsidRPr="00027624" w14:paraId="2BC8BF39" w14:textId="77777777" w:rsidTr="00E96B29">
        <w:trPr>
          <w:trHeight w:val="110"/>
        </w:trPr>
        <w:tc>
          <w:tcPr>
            <w:tcW w:w="1667" w:type="pct"/>
            <w:shd w:val="clear" w:color="auto" w:fill="auto"/>
          </w:tcPr>
          <w:p w14:paraId="0385F993" w14:textId="77777777" w:rsidR="00E96B29" w:rsidRPr="00027624" w:rsidRDefault="00E96B29" w:rsidP="00E96B29">
            <w:pPr>
              <w:pStyle w:val="TableTextLeft"/>
              <w:rPr>
                <w:rFonts w:eastAsiaTheme="minorHAnsi"/>
                <w:lang w:eastAsia="en-US"/>
              </w:rPr>
            </w:pPr>
            <w:r w:rsidRPr="00027624">
              <w:rPr>
                <w:rFonts w:eastAsiaTheme="minorHAnsi"/>
                <w:lang w:eastAsia="en-US"/>
              </w:rPr>
              <w:t>Commonwealth</w:t>
            </w:r>
          </w:p>
        </w:tc>
        <w:tc>
          <w:tcPr>
            <w:tcW w:w="1667" w:type="pct"/>
            <w:shd w:val="clear" w:color="auto" w:fill="auto"/>
          </w:tcPr>
          <w:p w14:paraId="45C42BFB" w14:textId="77777777" w:rsidR="00E96B29" w:rsidRPr="00027624" w:rsidRDefault="00E96B29" w:rsidP="00E96B29">
            <w:pPr>
              <w:pStyle w:val="TableTextLeft"/>
              <w:rPr>
                <w:rFonts w:eastAsiaTheme="minorHAnsi"/>
                <w:lang w:eastAsia="en-US"/>
              </w:rPr>
            </w:pPr>
            <w:r w:rsidRPr="00027624">
              <w:rPr>
                <w:rFonts w:eastAsiaTheme="minorHAnsi"/>
                <w:lang w:eastAsia="en-US"/>
              </w:rPr>
              <w:t>Public Sector Superannuation Scheme</w:t>
            </w:r>
          </w:p>
        </w:tc>
        <w:tc>
          <w:tcPr>
            <w:tcW w:w="1666" w:type="pct"/>
            <w:shd w:val="clear" w:color="auto" w:fill="auto"/>
          </w:tcPr>
          <w:p w14:paraId="11D82323" w14:textId="77777777" w:rsidR="00E96B29" w:rsidRPr="00027624" w:rsidRDefault="00E96B29" w:rsidP="00E96B29">
            <w:pPr>
              <w:pStyle w:val="TableTextLeft"/>
              <w:rPr>
                <w:rFonts w:eastAsiaTheme="minorHAnsi"/>
                <w:lang w:eastAsia="en-US"/>
              </w:rPr>
            </w:pPr>
            <w:r w:rsidRPr="00027624">
              <w:rPr>
                <w:rFonts w:eastAsiaTheme="minorHAnsi"/>
                <w:lang w:eastAsia="en-US"/>
              </w:rPr>
              <w:t>CPI option</w:t>
            </w:r>
          </w:p>
        </w:tc>
      </w:tr>
      <w:tr w:rsidR="00E96B29" w:rsidRPr="00027624" w14:paraId="30B72D34" w14:textId="77777777" w:rsidTr="00E96B29">
        <w:trPr>
          <w:trHeight w:val="110"/>
        </w:trPr>
        <w:tc>
          <w:tcPr>
            <w:tcW w:w="5000" w:type="pct"/>
            <w:gridSpan w:val="3"/>
            <w:shd w:val="clear" w:color="auto" w:fill="auto"/>
          </w:tcPr>
          <w:p w14:paraId="4F5CA873" w14:textId="77777777" w:rsidR="00E96B29" w:rsidRPr="00027624" w:rsidRDefault="00E96B29" w:rsidP="00E96B29">
            <w:pPr>
              <w:pStyle w:val="TableTextLeft"/>
              <w:rPr>
                <w:rFonts w:eastAsiaTheme="minorHAnsi" w:cs="Calibri"/>
                <w:szCs w:val="18"/>
                <w:lang w:eastAsia="en-US"/>
              </w:rPr>
            </w:pPr>
            <w:r w:rsidRPr="00027624">
              <w:rPr>
                <w:rFonts w:eastAsiaTheme="minorHAnsi"/>
                <w:b/>
                <w:lang w:eastAsia="en-US"/>
              </w:rPr>
              <w:t>Government social security</w:t>
            </w:r>
          </w:p>
        </w:tc>
      </w:tr>
      <w:tr w:rsidR="00E96B29" w:rsidRPr="00027624" w14:paraId="482FEB50" w14:textId="77777777" w:rsidTr="00E96B29">
        <w:trPr>
          <w:trHeight w:val="110"/>
        </w:trPr>
        <w:tc>
          <w:tcPr>
            <w:tcW w:w="1667" w:type="pct"/>
            <w:shd w:val="clear" w:color="auto" w:fill="auto"/>
          </w:tcPr>
          <w:p w14:paraId="7E4DED2B" w14:textId="77777777" w:rsidR="00E96B29" w:rsidRPr="00027624" w:rsidRDefault="00E96B29" w:rsidP="00E96B29">
            <w:pPr>
              <w:pStyle w:val="TableTextLeft"/>
              <w:rPr>
                <w:rFonts w:eastAsiaTheme="minorHAnsi"/>
                <w:lang w:eastAsia="en-US"/>
              </w:rPr>
            </w:pPr>
            <w:r w:rsidRPr="00027624">
              <w:rPr>
                <w:rFonts w:eastAsiaTheme="minorHAnsi"/>
                <w:lang w:eastAsia="en-US"/>
              </w:rPr>
              <w:t>Commonwealth</w:t>
            </w:r>
          </w:p>
        </w:tc>
        <w:tc>
          <w:tcPr>
            <w:tcW w:w="1667" w:type="pct"/>
            <w:shd w:val="clear" w:color="auto" w:fill="auto"/>
          </w:tcPr>
          <w:p w14:paraId="0E907D31" w14:textId="77777777" w:rsidR="00E96B29" w:rsidRPr="00027624" w:rsidRDefault="00E96B29" w:rsidP="00E96B29">
            <w:pPr>
              <w:pStyle w:val="TableTextLeft"/>
              <w:rPr>
                <w:rFonts w:eastAsiaTheme="minorHAnsi"/>
                <w:lang w:eastAsia="en-US"/>
              </w:rPr>
            </w:pPr>
            <w:r w:rsidRPr="00027624">
              <w:rPr>
                <w:rFonts w:eastAsiaTheme="minorHAnsi"/>
                <w:lang w:eastAsia="en-US"/>
              </w:rPr>
              <w:t>Age Pension</w:t>
            </w:r>
          </w:p>
        </w:tc>
        <w:tc>
          <w:tcPr>
            <w:tcW w:w="1666" w:type="pct"/>
            <w:shd w:val="clear" w:color="auto" w:fill="auto"/>
          </w:tcPr>
          <w:p w14:paraId="581F69EF" w14:textId="77777777" w:rsidR="00E96B29" w:rsidRPr="00027624" w:rsidRDefault="00E96B29" w:rsidP="00E96B29">
            <w:pPr>
              <w:pStyle w:val="TableTextLeft"/>
              <w:rPr>
                <w:rFonts w:eastAsiaTheme="minorHAnsi"/>
                <w:lang w:eastAsia="en-US"/>
              </w:rPr>
            </w:pPr>
            <w:r w:rsidRPr="00027624">
              <w:rPr>
                <w:rFonts w:eastAsiaTheme="minorHAnsi"/>
                <w:lang w:eastAsia="en-US"/>
              </w:rPr>
              <w:t>Wages*</w:t>
            </w:r>
          </w:p>
        </w:tc>
      </w:tr>
    </w:tbl>
    <w:p w14:paraId="71632EB5" w14:textId="77777777" w:rsidR="00E96B29" w:rsidRPr="00027624" w:rsidRDefault="00E96B29" w:rsidP="00E96B29">
      <w:pPr>
        <w:pStyle w:val="ChartorTableNote"/>
      </w:pPr>
      <w:r w:rsidRPr="00027624">
        <w:t xml:space="preserve">* The Age Pension is indexed to the higher growth of CPI and Pensioner and Beneficiary Living Cost Index and then benchmarked to male total average weekly earnings. Source: </w:t>
      </w:r>
      <w:sdt>
        <w:sdtPr>
          <w:id w:val="-626857453"/>
          <w:citation/>
        </w:sdtPr>
        <w:sdtEndPr/>
        <w:sdtContent>
          <w:r w:rsidRPr="00027624">
            <w:fldChar w:fldCharType="begin"/>
          </w:r>
          <w:r w:rsidRPr="00027624">
            <w:instrText xml:space="preserve">CITATION Cha203 \l 3081 </w:instrText>
          </w:r>
          <w:r w:rsidRPr="00027624">
            <w:fldChar w:fldCharType="separate"/>
          </w:r>
          <w:r w:rsidR="00E83F6E">
            <w:rPr>
              <w:noProof/>
            </w:rPr>
            <w:t>(Challenger, 2020)</w:t>
          </w:r>
          <w:r w:rsidRPr="00027624">
            <w:fldChar w:fldCharType="end"/>
          </w:r>
        </w:sdtContent>
      </w:sdt>
      <w:r w:rsidRPr="00027624">
        <w:t>,</w:t>
      </w:r>
      <w:sdt>
        <w:sdtPr>
          <w:id w:val="1307133472"/>
          <w:citation/>
        </w:sdtPr>
        <w:sdtEndPr/>
        <w:sdtContent>
          <w:r w:rsidRPr="00027624">
            <w:fldChar w:fldCharType="begin"/>
          </w:r>
          <w:r w:rsidRPr="00027624">
            <w:instrText xml:space="preserve">CITATION ComBa20 \l 3081 </w:instrText>
          </w:r>
          <w:r w:rsidRPr="00027624">
            <w:fldChar w:fldCharType="separate"/>
          </w:r>
          <w:r w:rsidR="00E83F6E">
            <w:rPr>
              <w:noProof/>
            </w:rPr>
            <w:t xml:space="preserve"> (Commonwealth Bank, 2020)</w:t>
          </w:r>
          <w:r w:rsidRPr="00027624">
            <w:fldChar w:fldCharType="end"/>
          </w:r>
        </w:sdtContent>
      </w:sdt>
      <w:r w:rsidRPr="00027624">
        <w:t xml:space="preserve">, </w:t>
      </w:r>
      <w:sdt>
        <w:sdtPr>
          <w:id w:val="-1549995558"/>
          <w:citation/>
        </w:sdtPr>
        <w:sdtEndPr/>
        <w:sdtContent>
          <w:r w:rsidRPr="00027624">
            <w:fldChar w:fldCharType="begin"/>
          </w:r>
          <w:r w:rsidRPr="00027624">
            <w:instrText xml:space="preserve">CITATION Mer17 \l 3081 </w:instrText>
          </w:r>
          <w:r w:rsidRPr="00027624">
            <w:fldChar w:fldCharType="separate"/>
          </w:r>
          <w:r w:rsidR="00E83F6E">
            <w:rPr>
              <w:noProof/>
            </w:rPr>
            <w:t>(Mercer, 2017)</w:t>
          </w:r>
          <w:r w:rsidRPr="00027624">
            <w:fldChar w:fldCharType="end"/>
          </w:r>
        </w:sdtContent>
      </w:sdt>
      <w:r w:rsidRPr="00027624">
        <w:t>,</w:t>
      </w:r>
      <w:sdt>
        <w:sdtPr>
          <w:id w:val="-2078270662"/>
          <w:citation/>
        </w:sdtPr>
        <w:sdtEndPr/>
        <w:sdtContent>
          <w:r w:rsidRPr="00027624">
            <w:fldChar w:fldCharType="begin"/>
          </w:r>
          <w:r w:rsidRPr="00027624">
            <w:instrText xml:space="preserve">CITATION ComPD201 \l 3081 </w:instrText>
          </w:r>
          <w:r w:rsidRPr="00027624">
            <w:fldChar w:fldCharType="separate"/>
          </w:r>
          <w:r w:rsidR="00E83F6E">
            <w:rPr>
              <w:noProof/>
            </w:rPr>
            <w:t xml:space="preserve"> (Commonwealth Superannuation Corporation, 2020)</w:t>
          </w:r>
          <w:r w:rsidRPr="00027624">
            <w:fldChar w:fldCharType="end"/>
          </w:r>
        </w:sdtContent>
      </w:sdt>
      <w:r w:rsidRPr="00027624">
        <w:t>.</w:t>
      </w:r>
    </w:p>
    <w:p w14:paraId="0503BD02" w14:textId="77777777" w:rsidR="00E96B29" w:rsidRPr="00027624" w:rsidRDefault="00E96B29">
      <w:pPr>
        <w:pStyle w:val="Heading2"/>
      </w:pPr>
      <w:bookmarkStart w:id="4233" w:name="_Toc45520563"/>
      <w:bookmarkStart w:id="4234" w:name="_Toc46133675"/>
      <w:r w:rsidRPr="00027624">
        <w:t>Evidence for the adequacy benchmark</w:t>
      </w:r>
      <w:bookmarkEnd w:id="4233"/>
      <w:bookmarkEnd w:id="4234"/>
    </w:p>
    <w:p w14:paraId="7B76B4E3" w14:textId="77777777" w:rsidR="00E96B29" w:rsidRPr="00027624" w:rsidRDefault="00E96B29" w:rsidP="00E96B29">
      <w:r w:rsidRPr="00027624">
        <w:t>Following is an outline of the evidence for the replacement rate benchmark of 65</w:t>
      </w:r>
      <w:r w:rsidR="00A8443E" w:rsidRPr="00027624">
        <w:noBreakHyphen/>
      </w:r>
      <w:r w:rsidRPr="00027624">
        <w:t>75 per cent used in the review.</w:t>
      </w:r>
    </w:p>
    <w:p w14:paraId="14066D64" w14:textId="77777777" w:rsidR="00E96B29" w:rsidRPr="00027624" w:rsidRDefault="00E96B29" w:rsidP="00E96B29">
      <w:r w:rsidRPr="00027624">
        <w:t>Replacement rate benchmarks estimate the proportion of working</w:t>
      </w:r>
      <w:r w:rsidR="00A8443E" w:rsidRPr="00027624">
        <w:noBreakHyphen/>
      </w:r>
      <w:r w:rsidRPr="00027624">
        <w:t>life income that allows retirees to maintain their standard of living. Retirees who meet the benchmark are assumed to have the capacity to maintain living standards between working life and retirement. Exceeding or falling below the benchmark indicates that living standards may have increased or fallen, respectively, in retirement.</w:t>
      </w:r>
    </w:p>
    <w:p w14:paraId="559F51CB" w14:textId="77777777" w:rsidR="00E96B29" w:rsidRPr="00027624" w:rsidRDefault="00E96B29" w:rsidP="00E96B29">
      <w:r w:rsidRPr="00027624">
        <w:t>Replacement rate benchmarks are less than 100 per cent because people in retirement can maintain living standards with lower income than during their working lives. This is because:</w:t>
      </w:r>
    </w:p>
    <w:p w14:paraId="5C11C8FD" w14:textId="77777777" w:rsidR="00E96B29" w:rsidRPr="00027624" w:rsidRDefault="00E96B29" w:rsidP="00E96B29">
      <w:pPr>
        <w:pStyle w:val="Bullet"/>
      </w:pPr>
      <w:r w:rsidRPr="00027624">
        <w:t>People do not need to save when in retirement. They are in the phase of life where they can draw down their wealth and spend the income they are receiving.</w:t>
      </w:r>
    </w:p>
    <w:p w14:paraId="31586F7F" w14:textId="77777777" w:rsidR="00E96B29" w:rsidRPr="00027624" w:rsidRDefault="00E96B29" w:rsidP="00E96B29">
      <w:pPr>
        <w:pStyle w:val="Bullet"/>
      </w:pPr>
      <w:r w:rsidRPr="00027624">
        <w:t>Most retirees have lower housing costs because they have paid off their mortgage (see</w:t>
      </w:r>
      <w:r w:rsidRPr="00027624">
        <w:rPr>
          <w:i/>
        </w:rPr>
        <w:t xml:space="preserve"> 2A. Achieving a minimum standard of living in retirement</w:t>
      </w:r>
      <w:r w:rsidRPr="00027624">
        <w:t xml:space="preserve"> and </w:t>
      </w:r>
      <w:r w:rsidRPr="00027624">
        <w:rPr>
          <w:i/>
        </w:rPr>
        <w:t>1D. The changing Australian landscape</w:t>
      </w:r>
      <w:r w:rsidRPr="00027624">
        <w:t>).</w:t>
      </w:r>
    </w:p>
    <w:p w14:paraId="28BA2FF5" w14:textId="77777777" w:rsidR="00E96B29" w:rsidRPr="00027624" w:rsidRDefault="00E96B29" w:rsidP="00E96B29">
      <w:pPr>
        <w:pStyle w:val="Bullet"/>
      </w:pPr>
      <w:r w:rsidRPr="00027624">
        <w:t>Other costs also fall, such as the costs associated with raising children and participating in the labour force</w:t>
      </w:r>
      <w:r w:rsidRPr="00027624">
        <w:rPr>
          <w:i/>
        </w:rPr>
        <w:t xml:space="preserve"> </w:t>
      </w:r>
      <w:r w:rsidRPr="00027624">
        <w:t>(</w:t>
      </w:r>
      <w:r w:rsidRPr="00027624">
        <w:rPr>
          <w:i/>
        </w:rPr>
        <w:t>2A. Achieving a minimum standard of living in retirement</w:t>
      </w:r>
      <w:r w:rsidRPr="00027624">
        <w:t>).</w:t>
      </w:r>
    </w:p>
    <w:p w14:paraId="09CE9529" w14:textId="77777777" w:rsidR="00E96B29" w:rsidRPr="00027624" w:rsidRDefault="00E96B29" w:rsidP="00E96B29">
      <w:pPr>
        <w:pStyle w:val="Bullet"/>
      </w:pPr>
      <w:r w:rsidRPr="00027624">
        <w:t>Retirees pay less tax than those with comparable incomes in working life, through targeted mechanisms such as the seniors a</w:t>
      </w:r>
      <w:r w:rsidR="00016EA8" w:rsidRPr="00027624">
        <w:t>nd pensioners tax offset</w:t>
      </w:r>
      <w:r w:rsidRPr="00027624">
        <w:t xml:space="preserve"> and tax</w:t>
      </w:r>
      <w:r w:rsidR="00A8443E" w:rsidRPr="00027624">
        <w:noBreakHyphen/>
      </w:r>
      <w:r w:rsidRPr="00027624">
        <w:t>free superannuation.</w:t>
      </w:r>
    </w:p>
    <w:p w14:paraId="553D007D" w14:textId="77777777" w:rsidR="00E96B29" w:rsidRPr="00027624" w:rsidRDefault="00E96B29" w:rsidP="00E96B29">
      <w:pPr>
        <w:pStyle w:val="Bullet"/>
      </w:pPr>
      <w:r w:rsidRPr="00027624">
        <w:t>Government services such as health care provide more support to retirees as a proportion of their income compared to people in the workforce (</w:t>
      </w:r>
      <w:r w:rsidRPr="00027624">
        <w:rPr>
          <w:i/>
        </w:rPr>
        <w:t>2A. Achieving a minimum standard of living in retirement</w:t>
      </w:r>
      <w:r w:rsidRPr="00027624">
        <w:t>). These services reduce retirees</w:t>
      </w:r>
      <w:r w:rsidR="00A8443E" w:rsidRPr="00027624">
        <w:t>’</w:t>
      </w:r>
      <w:r w:rsidRPr="00027624">
        <w:t xml:space="preserve"> reliance on income to fund spending.</w:t>
      </w:r>
    </w:p>
    <w:p w14:paraId="204896E6" w14:textId="77777777" w:rsidR="00E96B29" w:rsidRPr="00027624" w:rsidRDefault="00E96B29" w:rsidP="00E96B29">
      <w:pPr>
        <w:pStyle w:val="Bullet"/>
      </w:pPr>
      <w:r w:rsidRPr="00027624">
        <w:t>Retirees may also benefit modestly from producing more things at home</w:t>
      </w:r>
      <w:sdt>
        <w:sdtPr>
          <w:id w:val="-1041520409"/>
          <w:citation/>
        </w:sdtPr>
        <w:sdtEndPr/>
        <w:sdtContent>
          <w:r w:rsidRPr="00027624">
            <w:fldChar w:fldCharType="begin"/>
          </w:r>
          <w:r w:rsidRPr="00027624">
            <w:instrText xml:space="preserve"> CITATION Bee15 \l 3081 </w:instrText>
          </w:r>
          <w:r w:rsidRPr="00027624">
            <w:fldChar w:fldCharType="separate"/>
          </w:r>
          <w:r w:rsidR="00E83F6E">
            <w:rPr>
              <w:noProof/>
            </w:rPr>
            <w:t xml:space="preserve"> (Been, et al., 2015)</w:t>
          </w:r>
          <w:r w:rsidRPr="00027624">
            <w:fldChar w:fldCharType="end"/>
          </w:r>
        </w:sdtContent>
      </w:sdt>
      <w:r w:rsidRPr="00027624">
        <w:t>; for example, cooking meals at home rather than eating out.</w:t>
      </w:r>
    </w:p>
    <w:p w14:paraId="1BD1C714" w14:textId="77777777" w:rsidR="00E96B29" w:rsidRPr="00027624" w:rsidRDefault="00E96B29" w:rsidP="00E96B29">
      <w:r w:rsidRPr="00027624">
        <w:t>There is no universally agreed replacement rate benchmark. The review has used a replacement rate benchmark of 65</w:t>
      </w:r>
      <w:r w:rsidR="00A8443E" w:rsidRPr="00027624">
        <w:noBreakHyphen/>
      </w:r>
      <w:r w:rsidRPr="00027624">
        <w:t>75 per cent, based on:</w:t>
      </w:r>
    </w:p>
    <w:p w14:paraId="59CF15B8" w14:textId="77777777" w:rsidR="00E96B29" w:rsidRPr="00027624" w:rsidRDefault="00E96B29" w:rsidP="00E96B29">
      <w:pPr>
        <w:pStyle w:val="Bullet"/>
        <w:tabs>
          <w:tab w:val="num" w:pos="850"/>
        </w:tabs>
        <w:ind w:left="850" w:hanging="850"/>
      </w:pPr>
      <w:r w:rsidRPr="00027624">
        <w:t>International and domestic replacement rate benchmarks</w:t>
      </w:r>
    </w:p>
    <w:p w14:paraId="78810A4F" w14:textId="77777777" w:rsidR="00E96B29" w:rsidRPr="00027624" w:rsidRDefault="00E96B29" w:rsidP="00E96B29">
      <w:pPr>
        <w:pStyle w:val="Bullet"/>
        <w:tabs>
          <w:tab w:val="num" w:pos="850"/>
        </w:tabs>
        <w:ind w:left="850" w:hanging="850"/>
      </w:pPr>
      <w:r w:rsidRPr="00027624">
        <w:t>The proportion of income working</w:t>
      </w:r>
      <w:r w:rsidR="00A8443E" w:rsidRPr="00027624">
        <w:noBreakHyphen/>
      </w:r>
      <w:r w:rsidRPr="00027624">
        <w:t>age people spend on consumption</w:t>
      </w:r>
    </w:p>
    <w:p w14:paraId="09756A12" w14:textId="77777777" w:rsidR="00E96B29" w:rsidRPr="00027624" w:rsidRDefault="00E96B29" w:rsidP="00E96B29">
      <w:pPr>
        <w:pStyle w:val="Bullet"/>
        <w:tabs>
          <w:tab w:val="num" w:pos="850"/>
        </w:tabs>
        <w:ind w:left="850" w:hanging="850"/>
      </w:pPr>
      <w:r w:rsidRPr="00027624">
        <w:t>Survey data on how much income Australians say they need for retirement</w:t>
      </w:r>
    </w:p>
    <w:p w14:paraId="7872E145" w14:textId="77777777" w:rsidR="00E96B29" w:rsidRPr="00027624" w:rsidRDefault="00E96B29" w:rsidP="00E96B29">
      <w:pPr>
        <w:pStyle w:val="Bullet"/>
      </w:pPr>
      <w:r w:rsidRPr="00027624">
        <w:t>Replacement rates achieved by current retirees, where survey evidence suggests their wellbeing is maintained or improved on entering retirement</w:t>
      </w:r>
    </w:p>
    <w:p w14:paraId="6A38FEC3" w14:textId="77777777" w:rsidR="00E96B29" w:rsidRPr="00027624" w:rsidRDefault="00E96B29" w:rsidP="00E96B29">
      <w:pPr>
        <w:pStyle w:val="Heading3"/>
      </w:pPr>
      <w:r w:rsidRPr="00027624">
        <w:t>Common replacement rate benchmarks</w:t>
      </w:r>
    </w:p>
    <w:p w14:paraId="279271DB" w14:textId="77777777" w:rsidR="00E96B29" w:rsidRPr="00027624" w:rsidRDefault="00E96B29" w:rsidP="00E96B29">
      <w:pPr>
        <w:keepNext/>
      </w:pPr>
      <w:r w:rsidRPr="00027624">
        <w:t>Some of the replacement rate benchmarks used by a variety of organisations are as follows:</w:t>
      </w:r>
    </w:p>
    <w:p w14:paraId="3826B16E" w14:textId="77777777" w:rsidR="00E96B29" w:rsidRPr="00027624" w:rsidRDefault="00E96B29" w:rsidP="00E96B29">
      <w:pPr>
        <w:pStyle w:val="Bullet"/>
      </w:pPr>
      <w:r w:rsidRPr="00027624">
        <w:t xml:space="preserve">The 70 per cent benchmark used by the OECD as a general rule of thumb </w:t>
      </w:r>
      <w:sdt>
        <w:sdtPr>
          <w:id w:val="-1298754573"/>
          <w:citation/>
        </w:sdtPr>
        <w:sdtEndPr/>
        <w:sdtContent>
          <w:r w:rsidRPr="00027624">
            <w:fldChar w:fldCharType="begin"/>
          </w:r>
          <w:r w:rsidRPr="00027624">
            <w:instrText xml:space="preserve"> CITATION Ant09 \l 3081 </w:instrText>
          </w:r>
          <w:r w:rsidRPr="00027624">
            <w:fldChar w:fldCharType="separate"/>
          </w:r>
          <w:r w:rsidR="00E83F6E">
            <w:rPr>
              <w:noProof/>
            </w:rPr>
            <w:t>(Antolin, 2009)</w:t>
          </w:r>
          <w:r w:rsidRPr="00027624">
            <w:fldChar w:fldCharType="end"/>
          </w:r>
        </w:sdtContent>
      </w:sdt>
      <w:r w:rsidRPr="00027624">
        <w:t xml:space="preserve">, although </w:t>
      </w:r>
      <w:r w:rsidRPr="00027624" w:rsidDel="00EC15AD">
        <w:t>not</w:t>
      </w:r>
      <w:r w:rsidRPr="00027624">
        <w:t xml:space="preserve"> officially endorsed.</w:t>
      </w:r>
    </w:p>
    <w:p w14:paraId="3F719EC1" w14:textId="77777777" w:rsidR="00E96B29" w:rsidRPr="00027624" w:rsidRDefault="00E96B29" w:rsidP="00E96B29">
      <w:pPr>
        <w:pStyle w:val="Bullet"/>
      </w:pPr>
      <w:r w:rsidRPr="00027624">
        <w:t>The Actuaries Institute suggests 65</w:t>
      </w:r>
      <w:r w:rsidR="00A8443E" w:rsidRPr="00027624">
        <w:noBreakHyphen/>
      </w:r>
      <w:r w:rsidRPr="00027624">
        <w:t>75 per cent is the benchmark range generally applied internationally and in Australia</w:t>
      </w:r>
      <w:r w:rsidR="004F427E">
        <w:t xml:space="preserve"> </w:t>
      </w:r>
      <w:sdt>
        <w:sdtPr>
          <w:id w:val="-1408841529"/>
          <w:citation/>
        </w:sdtPr>
        <w:sdtEndPr/>
        <w:sdtContent>
          <w:r w:rsidR="004F427E" w:rsidRPr="00027624">
            <w:fldChar w:fldCharType="begin"/>
          </w:r>
          <w:r w:rsidR="004F427E">
            <w:instrText xml:space="preserve">CITATION Act \l 3081 </w:instrText>
          </w:r>
          <w:r w:rsidR="004F427E" w:rsidRPr="00027624">
            <w:fldChar w:fldCharType="separate"/>
          </w:r>
          <w:r w:rsidR="00E83F6E">
            <w:rPr>
              <w:noProof/>
            </w:rPr>
            <w:t>(Actuaries Institute, 2020)</w:t>
          </w:r>
          <w:r w:rsidR="004F427E" w:rsidRPr="00027624">
            <w:fldChar w:fldCharType="end"/>
          </w:r>
        </w:sdtContent>
      </w:sdt>
      <w:r w:rsidRPr="00027624">
        <w:t>.</w:t>
      </w:r>
    </w:p>
    <w:p w14:paraId="04E42B22" w14:textId="77777777" w:rsidR="00E96B29" w:rsidRPr="00027624" w:rsidRDefault="00E96B29" w:rsidP="00E96B29">
      <w:pPr>
        <w:pStyle w:val="Bullet"/>
      </w:pPr>
      <w:r w:rsidRPr="00027624">
        <w:t>The UK Pensions Review used a gross replacement rate benchmark of 80 per cent for the lowest income earners, 67 per cent for median earners, falling to 50 per cent for higher</w:t>
      </w:r>
      <w:r w:rsidR="00A8443E" w:rsidRPr="00027624">
        <w:noBreakHyphen/>
      </w:r>
      <w:r w:rsidRPr="00027624">
        <w:t>income earners</w:t>
      </w:r>
      <w:sdt>
        <w:sdtPr>
          <w:id w:val="1654332099"/>
          <w:citation/>
        </w:sdtPr>
        <w:sdtEndPr/>
        <w:sdtContent>
          <w:r w:rsidRPr="00027624">
            <w:fldChar w:fldCharType="begin"/>
          </w:r>
          <w:r w:rsidRPr="00027624">
            <w:instrText xml:space="preserve"> CITATION Pen041 \l 3081 </w:instrText>
          </w:r>
          <w:r w:rsidRPr="00027624">
            <w:fldChar w:fldCharType="separate"/>
          </w:r>
          <w:r w:rsidR="00E83F6E">
            <w:rPr>
              <w:noProof/>
            </w:rPr>
            <w:t xml:space="preserve"> (Pensions Commission, 2004)</w:t>
          </w:r>
          <w:r w:rsidRPr="00027624">
            <w:fldChar w:fldCharType="end"/>
          </w:r>
        </w:sdtContent>
      </w:sdt>
      <w:r w:rsidRPr="00027624">
        <w:t>.</w:t>
      </w:r>
    </w:p>
    <w:p w14:paraId="405762BC" w14:textId="77777777" w:rsidR="00E96B29" w:rsidRPr="00027624" w:rsidRDefault="00E96B29" w:rsidP="00E96B29">
      <w:pPr>
        <w:pStyle w:val="Bullet"/>
      </w:pPr>
      <w:r w:rsidRPr="00027624">
        <w:t xml:space="preserve">Submissions to the review suggested benchmarks of 65 per cent or 70 per cent </w:t>
      </w:r>
      <w:sdt>
        <w:sdtPr>
          <w:id w:val="-732620045"/>
          <w:citation/>
        </w:sdtPr>
        <w:sdtEndPr/>
        <w:sdtContent>
          <w:r w:rsidRPr="00027624">
            <w:fldChar w:fldCharType="begin"/>
          </w:r>
          <w:r w:rsidRPr="00027624">
            <w:instrText xml:space="preserve"> CITATION Ind20 \l 3081 </w:instrText>
          </w:r>
          <w:r w:rsidRPr="00027624">
            <w:fldChar w:fldCharType="separate"/>
          </w:r>
          <w:r w:rsidR="00E83F6E">
            <w:rPr>
              <w:noProof/>
            </w:rPr>
            <w:t>(Industry Super Australia, 2020)</w:t>
          </w:r>
          <w:r w:rsidRPr="00027624">
            <w:fldChar w:fldCharType="end"/>
          </w:r>
        </w:sdtContent>
      </w:sdt>
      <w:r w:rsidRPr="00027624">
        <w:fldChar w:fldCharType="begin"/>
      </w:r>
      <w:r w:rsidRPr="00027624">
        <w:instrText xml:space="preserve"> CITATION Gra20 \l 3081 </w:instrText>
      </w:r>
      <w:r w:rsidRPr="00027624">
        <w:fldChar w:fldCharType="separate"/>
      </w:r>
      <w:r w:rsidR="00E83F6E">
        <w:rPr>
          <w:noProof/>
        </w:rPr>
        <w:t xml:space="preserve"> (Grattan Institute, 2020)</w:t>
      </w:r>
      <w:r w:rsidRPr="00027624">
        <w:fldChar w:fldCharType="end"/>
      </w:r>
      <w:r w:rsidRPr="00027624">
        <w:t>. Some submissions proposed benchmarks that varied by income, such as at least 85 per cent for lower</w:t>
      </w:r>
      <w:r w:rsidR="00A8443E" w:rsidRPr="00027624">
        <w:noBreakHyphen/>
      </w:r>
      <w:r w:rsidRPr="00027624">
        <w:t>income earners, falling to 60 per cent for higher</w:t>
      </w:r>
      <w:r w:rsidR="00A8443E" w:rsidRPr="00027624">
        <w:noBreakHyphen/>
      </w:r>
      <w:r w:rsidRPr="00027624">
        <w:t xml:space="preserve">income earners </w:t>
      </w:r>
      <w:sdt>
        <w:sdtPr>
          <w:id w:val="714928143"/>
          <w:citation/>
        </w:sdtPr>
        <w:sdtEndPr/>
        <w:sdtContent>
          <w:r w:rsidRPr="00027624">
            <w:fldChar w:fldCharType="begin"/>
          </w:r>
          <w:r w:rsidRPr="00027624">
            <w:instrText xml:space="preserve"> CITATION Mer20 \l 3081 </w:instrText>
          </w:r>
          <w:r w:rsidRPr="00027624">
            <w:fldChar w:fldCharType="separate"/>
          </w:r>
          <w:r w:rsidR="00E83F6E">
            <w:rPr>
              <w:noProof/>
            </w:rPr>
            <w:t>(Mercer, 2020)</w:t>
          </w:r>
          <w:r w:rsidRPr="00027624">
            <w:fldChar w:fldCharType="end"/>
          </w:r>
        </w:sdtContent>
      </w:sdt>
      <w:r w:rsidRPr="00027624">
        <w:t>.</w:t>
      </w:r>
    </w:p>
    <w:p w14:paraId="7373A6A7" w14:textId="77777777" w:rsidR="00E96B29" w:rsidRPr="00027624" w:rsidRDefault="00E96B29" w:rsidP="00E96B29">
      <w:pPr>
        <w:keepNext/>
      </w:pPr>
      <w:r w:rsidRPr="00027624">
        <w:t>The above rates vary due to differences in calculation methods, including the impact of tax and estimates of consumption needs in retirement. Overall, it is broadly agreed that:</w:t>
      </w:r>
    </w:p>
    <w:p w14:paraId="36CD4523" w14:textId="77777777" w:rsidR="00E96B29" w:rsidRPr="00027624" w:rsidRDefault="00E96B29" w:rsidP="00E96B29">
      <w:pPr>
        <w:pStyle w:val="Bullet"/>
      </w:pPr>
      <w:r w:rsidRPr="00027624">
        <w:t>Most retirees can maintain their consumption with lower levels of income in retirement than in working life</w:t>
      </w:r>
    </w:p>
    <w:p w14:paraId="7BE21BEA" w14:textId="77777777" w:rsidR="00E96B29" w:rsidRPr="00027624" w:rsidRDefault="00E96B29" w:rsidP="00E96B29">
      <w:pPr>
        <w:pStyle w:val="Bullet"/>
      </w:pPr>
      <w:r w:rsidRPr="00027624">
        <w:t>Lower</w:t>
      </w:r>
      <w:r w:rsidR="00A8443E" w:rsidRPr="00027624">
        <w:noBreakHyphen/>
      </w:r>
      <w:r w:rsidRPr="00027624">
        <w:t>income earners need higher replacement rates to achieve a minimum standard of living in retirement</w:t>
      </w:r>
    </w:p>
    <w:p w14:paraId="2C55D5CC" w14:textId="77777777" w:rsidR="00E96B29" w:rsidRPr="00027624" w:rsidRDefault="00E96B29" w:rsidP="00E96B29">
      <w:pPr>
        <w:pStyle w:val="Bullet"/>
      </w:pPr>
      <w:r w:rsidRPr="00027624">
        <w:t>Higher</w:t>
      </w:r>
      <w:r w:rsidR="00A8443E" w:rsidRPr="00027624">
        <w:noBreakHyphen/>
      </w:r>
      <w:r w:rsidRPr="00027624">
        <w:t>income earners need lower replacement rates</w:t>
      </w:r>
    </w:p>
    <w:p w14:paraId="73F7BB43" w14:textId="77777777" w:rsidR="00E96B29" w:rsidRPr="00027624" w:rsidRDefault="00E96B29" w:rsidP="00E96B29">
      <w:pPr>
        <w:pStyle w:val="Heading3"/>
      </w:pPr>
      <w:r w:rsidRPr="00027624">
        <w:rPr>
          <w:rStyle w:val="Heading4Char"/>
          <w:b/>
          <w:color w:val="30A9B2" w:themeColor="accent4"/>
          <w:sz w:val="32"/>
        </w:rPr>
        <w:t>E</w:t>
      </w:r>
      <w:r w:rsidRPr="00027624">
        <w:t>stimates using income and consumption data</w:t>
      </w:r>
    </w:p>
    <w:p w14:paraId="01D7F679" w14:textId="77777777" w:rsidR="00E96B29" w:rsidRPr="00027624" w:rsidRDefault="00E96B29" w:rsidP="00E96B29">
      <w:pPr>
        <w:keepNext/>
      </w:pPr>
      <w:r w:rsidRPr="00027624">
        <w:t>Following is evidence on the proportion of working</w:t>
      </w:r>
      <w:r w:rsidR="00A8443E" w:rsidRPr="00027624">
        <w:noBreakHyphen/>
      </w:r>
      <w:r w:rsidRPr="00027624">
        <w:t>life disposable income Australians spend, adjusting for some costs Australians tend not to have in retirement. This provides figures analogous to a net replacement rate target.</w:t>
      </w:r>
      <w:r w:rsidRPr="00027624">
        <w:rPr>
          <w:rStyle w:val="FootnoteReference"/>
        </w:rPr>
        <w:footnoteReference w:id="328"/>
      </w:r>
    </w:p>
    <w:p w14:paraId="5517409F" w14:textId="77777777" w:rsidR="00E96B29" w:rsidRPr="00027624" w:rsidRDefault="00E96B29" w:rsidP="00E96B29">
      <w:r w:rsidRPr="00027624">
        <w:t>A conservative approach has been taken to calculating the proportion of working</w:t>
      </w:r>
      <w:r w:rsidR="00A8443E" w:rsidRPr="00027624">
        <w:noBreakHyphen/>
      </w:r>
      <w:r w:rsidRPr="00027624">
        <w:t>life income Australians spend. Mortgage and education costs have been excluded but other significant costs are not accounted for, including those associated with raising children, lifestyle changes and effects from producing more at home. As the calculations use disposable income, the analysis does not account for differences in tax paid in retirement. It should therefore be considered an upper estimate of an appropriate replacement rate, as it does not factor in all areas where retirees have lower costs than working</w:t>
      </w:r>
      <w:r w:rsidR="00A8443E" w:rsidRPr="00027624">
        <w:noBreakHyphen/>
      </w:r>
      <w:r w:rsidRPr="00027624">
        <w:t>age Australians.</w:t>
      </w:r>
    </w:p>
    <w:p w14:paraId="7816E43C" w14:textId="527962E7" w:rsidR="00E96B29" w:rsidRPr="00027624" w:rsidRDefault="00E96B29" w:rsidP="00E96B29">
      <w:r w:rsidRPr="00027624">
        <w:t>On average, middle</w:t>
      </w:r>
      <w:r w:rsidR="00A8443E" w:rsidRPr="00027624">
        <w:noBreakHyphen/>
      </w:r>
      <w:r w:rsidRPr="00027624">
        <w:t>income households spend about 75 per cent of their disposable income after excluding their mortgage and education costs, and accounting for savings (</w:t>
      </w:r>
      <w:r w:rsidRPr="00027624">
        <w:fldChar w:fldCharType="begin"/>
      </w:r>
      <w:r w:rsidRPr="00027624">
        <w:instrText xml:space="preserve"> REF _Ref45284174 \r \h </w:instrText>
      </w:r>
      <w:r w:rsidR="00027624">
        <w:instrText xml:space="preserve"> \* MERGEFORMAT </w:instrText>
      </w:r>
      <w:r w:rsidRPr="00027624">
        <w:fldChar w:fldCharType="separate"/>
      </w:r>
      <w:r w:rsidR="00891058">
        <w:t>Chart 6A-10</w:t>
      </w:r>
      <w:r w:rsidRPr="00027624">
        <w:fldChar w:fldCharType="end"/>
      </w:r>
      <w:r w:rsidRPr="00027624">
        <w:t>). This proportion is roughly constant for all age groups. Consistent with benchmarks used by others, results differ by income:</w:t>
      </w:r>
    </w:p>
    <w:p w14:paraId="213EC5CA" w14:textId="77777777" w:rsidR="00E96B29" w:rsidRPr="00027624" w:rsidRDefault="00E96B29" w:rsidP="00E96B29">
      <w:pPr>
        <w:pStyle w:val="Bullet"/>
      </w:pPr>
      <w:r w:rsidRPr="00027624">
        <w:t>Just under 100 per cent for lower</w:t>
      </w:r>
      <w:r w:rsidR="00A8443E" w:rsidRPr="00027624">
        <w:noBreakHyphen/>
      </w:r>
      <w:r w:rsidRPr="00027624">
        <w:t>income earners.</w:t>
      </w:r>
    </w:p>
    <w:p w14:paraId="003690C2" w14:textId="77777777" w:rsidR="00E96B29" w:rsidRPr="00027624" w:rsidRDefault="00E96B29" w:rsidP="00E96B29">
      <w:pPr>
        <w:pStyle w:val="Bullet"/>
      </w:pPr>
      <w:r w:rsidRPr="00027624">
        <w:t>About 75 per cent for middle</w:t>
      </w:r>
      <w:r w:rsidR="00A8443E" w:rsidRPr="00027624">
        <w:noBreakHyphen/>
      </w:r>
      <w:r w:rsidRPr="00027624">
        <w:t>income earners.</w:t>
      </w:r>
    </w:p>
    <w:p w14:paraId="485C02B2" w14:textId="77777777" w:rsidR="00E96B29" w:rsidRPr="00027624" w:rsidRDefault="00E96B29" w:rsidP="00E96B29">
      <w:pPr>
        <w:pStyle w:val="Bullet"/>
      </w:pPr>
      <w:r w:rsidRPr="00027624">
        <w:t>About 60 per cent for higher</w:t>
      </w:r>
      <w:r w:rsidR="00A8443E" w:rsidRPr="00027624">
        <w:noBreakHyphen/>
      </w:r>
      <w:r w:rsidRPr="00027624">
        <w:t>income earners.</w:t>
      </w:r>
    </w:p>
    <w:p w14:paraId="0CE0448E" w14:textId="77777777" w:rsidR="00E96B29" w:rsidRPr="00027624" w:rsidRDefault="00E96B29" w:rsidP="00E96B29">
      <w:pPr>
        <w:pStyle w:val="ChartMainHeading"/>
      </w:pPr>
      <w:bookmarkStart w:id="4235" w:name="_Ref45284174"/>
      <w:r w:rsidRPr="00027624">
        <w:t>Modified expenditure as a proportion of disposable income</w:t>
      </w:r>
      <w:bookmarkEnd w:id="4235"/>
    </w:p>
    <w:p w14:paraId="12B2ADF1" w14:textId="77777777" w:rsidR="00E96B29" w:rsidRPr="00027624" w:rsidRDefault="00E4247B" w:rsidP="00E96B29">
      <w:pPr>
        <w:pStyle w:val="ChartGraphic"/>
      </w:pPr>
      <w:r>
        <w:rPr>
          <w:noProof/>
        </w:rPr>
        <w:drawing>
          <wp:inline distT="0" distB="0" distL="0" distR="0" wp14:anchorId="56A8C716" wp14:editId="23EA6E5C">
            <wp:extent cx="5585460" cy="2522220"/>
            <wp:effectExtent l="0" t="0" r="0" b="0"/>
            <wp:docPr id="1242828840" name="Picture 1242828840" descr="This chart shows that once disposable income has been adjusted for household savings, and mortgage and education costs, lower-income earners spend around 90 per cent of their income, middle-income earners spend around 75 per cent of their income and high income earners spend around 60 per cent of their income. This relationship is reasonably consistent across ages." title="Chart 6A-10 Modified expenditure as a proportion of disposabl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6BC7AC6C" w14:textId="77777777" w:rsidR="00E96B29" w:rsidRPr="00027624" w:rsidRDefault="00E96B29" w:rsidP="00E96B29">
      <w:pPr>
        <w:pStyle w:val="ChartorTableNote"/>
      </w:pPr>
      <w:r w:rsidRPr="00027624">
        <w:t>Note: Lower</w:t>
      </w:r>
      <w:r w:rsidR="00A8443E" w:rsidRPr="00027624">
        <w:noBreakHyphen/>
      </w:r>
      <w:r w:rsidRPr="00027624">
        <w:t>income earners are defined as those in the bottom 30 per cent of all earners, higher</w:t>
      </w:r>
      <w:r w:rsidR="00A8443E" w:rsidRPr="00027624">
        <w:noBreakHyphen/>
      </w:r>
      <w:r w:rsidRPr="00027624">
        <w:t>income earners in the top 20 per cent and middle</w:t>
      </w:r>
      <w:r w:rsidR="00A8443E" w:rsidRPr="00027624">
        <w:noBreakHyphen/>
      </w:r>
      <w:r w:rsidRPr="00027624">
        <w:t xml:space="preserve">income earners are those in between. Modified household expenditure as a proportion of household </w:t>
      </w:r>
      <w:r w:rsidRPr="00027624" w:rsidDel="00A0399A">
        <w:t xml:space="preserve">disposable </w:t>
      </w:r>
      <w:r w:rsidRPr="00027624">
        <w:t>income, employed working</w:t>
      </w:r>
      <w:r w:rsidR="00A8443E" w:rsidRPr="00027624">
        <w:noBreakHyphen/>
      </w:r>
      <w:r w:rsidRPr="00027624">
        <w:t xml:space="preserve">age population. Modified expenditure is calculated as total expenditure on goods and services, less mortgage and education costs, as a percentage of disposable income. Households with expenses greater than double household income excluded from the data. </w:t>
      </w:r>
      <w:r w:rsidRPr="00027624">
        <w:rPr>
          <w:color w:val="auto"/>
        </w:rPr>
        <w:t xml:space="preserve">Source: </w:t>
      </w:r>
      <w:r w:rsidRPr="00027624">
        <w:rPr>
          <w:color w:val="auto"/>
          <w:szCs w:val="18"/>
        </w:rPr>
        <w:t>Analysis of ABS Household Expenditure Survey Confidentialised Unit Record File, 2015</w:t>
      </w:r>
      <w:r w:rsidR="00A8443E" w:rsidRPr="00027624">
        <w:rPr>
          <w:color w:val="auto"/>
          <w:szCs w:val="18"/>
        </w:rPr>
        <w:noBreakHyphen/>
      </w:r>
      <w:r w:rsidRPr="00027624">
        <w:rPr>
          <w:color w:val="auto"/>
          <w:szCs w:val="18"/>
        </w:rPr>
        <w:t>16.</w:t>
      </w:r>
    </w:p>
    <w:p w14:paraId="662E9C13" w14:textId="075A8761" w:rsidR="00E96B29" w:rsidRPr="00027624" w:rsidRDefault="00E96B29" w:rsidP="00E96B29">
      <w:r w:rsidRPr="00027624">
        <w:t>Savings rates are higher for higher</w:t>
      </w:r>
      <w:r w:rsidR="00A8443E" w:rsidRPr="00027624">
        <w:noBreakHyphen/>
      </w:r>
      <w:r w:rsidRPr="00027624">
        <w:t>income earners, which creates a larger wedge between income and consumption</w:t>
      </w:r>
      <w:sdt>
        <w:sdtPr>
          <w:id w:val="-899443126"/>
          <w:citation/>
        </w:sdtPr>
        <w:sdtEndPr/>
        <w:sdtContent>
          <w:r w:rsidRPr="00027624">
            <w:fldChar w:fldCharType="begin"/>
          </w:r>
          <w:r w:rsidRPr="00027624">
            <w:instrText xml:space="preserve"> CITATION Finlay14 \l 3081 </w:instrText>
          </w:r>
          <w:r w:rsidRPr="00027624">
            <w:fldChar w:fldCharType="separate"/>
          </w:r>
          <w:r w:rsidR="00E83F6E">
            <w:rPr>
              <w:noProof/>
            </w:rPr>
            <w:t xml:space="preserve"> (Finlay &amp; Price, 2014)</w:t>
          </w:r>
          <w:r w:rsidRPr="00027624">
            <w:fldChar w:fldCharType="end"/>
          </w:r>
        </w:sdtContent>
      </w:sdt>
      <w:r w:rsidRPr="00027624">
        <w:t xml:space="preserve"> (</w:t>
      </w:r>
      <w:r w:rsidRPr="00027624">
        <w:fldChar w:fldCharType="begin"/>
      </w:r>
      <w:r w:rsidRPr="00027624">
        <w:instrText xml:space="preserve"> REF _Ref39405732 \r \h  \* MERGEFORMAT </w:instrText>
      </w:r>
      <w:r w:rsidRPr="00027624">
        <w:fldChar w:fldCharType="separate"/>
      </w:r>
      <w:r w:rsidR="00891058">
        <w:t>Chart 6A-11</w:t>
      </w:r>
      <w:r w:rsidRPr="00027624">
        <w:fldChar w:fldCharType="end"/>
      </w:r>
      <w:r w:rsidRPr="00027624">
        <w:t>).</w:t>
      </w:r>
    </w:p>
    <w:p w14:paraId="25267406" w14:textId="77777777" w:rsidR="00E96B29" w:rsidRPr="00027624" w:rsidRDefault="00E96B29" w:rsidP="00E96B29">
      <w:pPr>
        <w:pStyle w:val="ChartMainHeading"/>
      </w:pPr>
      <w:bookmarkStart w:id="4236" w:name="_Ref39405732"/>
      <w:r w:rsidRPr="00027624">
        <w:t>Household saving ratio by income quintile</w:t>
      </w:r>
      <w:bookmarkEnd w:id="4236"/>
    </w:p>
    <w:p w14:paraId="4F3DCBF7" w14:textId="77777777" w:rsidR="00E96B29" w:rsidRPr="00027624" w:rsidRDefault="00E4247B" w:rsidP="00E96B29">
      <w:pPr>
        <w:pStyle w:val="ChartGraphic"/>
      </w:pPr>
      <w:r>
        <w:rPr>
          <w:noProof/>
        </w:rPr>
        <w:drawing>
          <wp:inline distT="0" distB="0" distL="0" distR="0" wp14:anchorId="73989151" wp14:editId="3F0BBEB8">
            <wp:extent cx="5585460" cy="2522220"/>
            <wp:effectExtent l="0" t="0" r="0" b="0"/>
            <wp:docPr id="1242828843" name="Picture 1242828843" descr="This chart shows that household savings increase as income increases. Households in the lowest income quintile have a negative savings rate of around 20 per cent, while households in the highest income quintile have a positive savings rate of up to 25 per cent. Savings rates improved between 2003-04 and 2009-10 for all except the lowest income quintile." title="Chart 6A-11 Household saving ratio by income qui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10C6AF01" w14:textId="77777777" w:rsidR="00E96B29" w:rsidRPr="00027624" w:rsidRDefault="00E96B29" w:rsidP="00E96B29">
      <w:pPr>
        <w:pStyle w:val="ChartorTableNote"/>
      </w:pPr>
      <w:r w:rsidRPr="00027624">
        <w:t>Note: Saving ratio shows the relationship between household saving and spending. Data is from 2003</w:t>
      </w:r>
      <w:r w:rsidR="00A8443E" w:rsidRPr="00027624">
        <w:noBreakHyphen/>
      </w:r>
      <w:r w:rsidRPr="00027624">
        <w:t>04 and 2009</w:t>
      </w:r>
      <w:r w:rsidR="00A8443E" w:rsidRPr="00027624">
        <w:noBreakHyphen/>
      </w:r>
      <w:r w:rsidRPr="00027624">
        <w:t>10 Household Expenditure Surveys. Source:</w:t>
      </w:r>
      <w:sdt>
        <w:sdtPr>
          <w:id w:val="-1069111470"/>
          <w:citation/>
        </w:sdtPr>
        <w:sdtEndPr/>
        <w:sdtContent>
          <w:r w:rsidRPr="00027624">
            <w:fldChar w:fldCharType="begin"/>
          </w:r>
          <w:r w:rsidRPr="00027624">
            <w:instrText xml:space="preserve"> CITATION Finlay14 \l 3081 </w:instrText>
          </w:r>
          <w:r w:rsidRPr="00027624">
            <w:fldChar w:fldCharType="separate"/>
          </w:r>
          <w:r w:rsidR="00E83F6E">
            <w:rPr>
              <w:noProof/>
            </w:rPr>
            <w:t xml:space="preserve"> (Finlay &amp; Price, 2014)</w:t>
          </w:r>
          <w:r w:rsidRPr="00027624">
            <w:fldChar w:fldCharType="end"/>
          </w:r>
        </w:sdtContent>
      </w:sdt>
      <w:r w:rsidRPr="00027624">
        <w:t>.</w:t>
      </w:r>
    </w:p>
    <w:p w14:paraId="31347EE6" w14:textId="77777777" w:rsidR="00E96B29" w:rsidRPr="00027624" w:rsidRDefault="00E96B29" w:rsidP="00E96B29">
      <w:pPr>
        <w:pStyle w:val="Heading3"/>
        <w:keepNext w:val="0"/>
      </w:pPr>
      <w:r w:rsidRPr="00027624">
        <w:t>Housing costs</w:t>
      </w:r>
    </w:p>
    <w:p w14:paraId="45F5069C" w14:textId="77777777" w:rsidR="00E96B29" w:rsidRPr="00027624" w:rsidRDefault="00E96B29" w:rsidP="00E96B29">
      <w:r w:rsidRPr="00027624">
        <w:t>The review considered the impact of housing costs, particularly given their important role in maintaining living standards between working life and retirement.</w:t>
      </w:r>
    </w:p>
    <w:p w14:paraId="640B6C55" w14:textId="556055E2" w:rsidR="00E96B29" w:rsidRPr="00027624" w:rsidRDefault="00E96B29" w:rsidP="00E96B29">
      <w:r w:rsidRPr="00027624">
        <w:t>Home ownership reduces spending in working life (through repaying a mortgage) and lowers housing costs in retirement. Housing costs are about a quarter of household disposable income for home owners between ages 25</w:t>
      </w:r>
      <w:r w:rsidR="00A8443E" w:rsidRPr="00027624">
        <w:noBreakHyphen/>
      </w:r>
      <w:r w:rsidRPr="00027624">
        <w:t>34, but only around 5 per cent of household disposable income for home owners aged 65 and over (</w:t>
      </w:r>
      <w:r w:rsidRPr="00027624">
        <w:fldChar w:fldCharType="begin"/>
      </w:r>
      <w:r w:rsidRPr="00027624">
        <w:instrText xml:space="preserve"> REF _Ref39405880 \r \h  \* MERGEFORMAT </w:instrText>
      </w:r>
      <w:r w:rsidRPr="00027624">
        <w:fldChar w:fldCharType="separate"/>
      </w:r>
      <w:r w:rsidR="00891058">
        <w:t>Chart 6A-12</w:t>
      </w:r>
      <w:r w:rsidRPr="00027624">
        <w:fldChar w:fldCharType="end"/>
      </w:r>
      <w:r w:rsidRPr="00027624">
        <w:t>).</w:t>
      </w:r>
    </w:p>
    <w:p w14:paraId="2547D4AB" w14:textId="77777777" w:rsidR="00E96B29" w:rsidRPr="00027624" w:rsidRDefault="00E96B29" w:rsidP="00E96B29">
      <w:r w:rsidRPr="00027624">
        <w:t>Renters do not benefit from lower housing costs later in life. Housing costs remain about a quarter of a renter</w:t>
      </w:r>
      <w:r w:rsidR="00A8443E" w:rsidRPr="00027624">
        <w:t>’</w:t>
      </w:r>
      <w:r w:rsidRPr="00027624">
        <w:t>s household disposable income over their lives, even increasing slightly once they reach retirement age.</w:t>
      </w:r>
    </w:p>
    <w:p w14:paraId="4FB66B27" w14:textId="77777777" w:rsidR="00E96B29" w:rsidRPr="00027624" w:rsidRDefault="00E96B29" w:rsidP="00E96B29">
      <w:pPr>
        <w:pStyle w:val="ChartMainHeading"/>
      </w:pPr>
      <w:bookmarkStart w:id="4237" w:name="_Ref39405880"/>
      <w:r w:rsidRPr="00027624">
        <w:t>Housing costs as a percentage of household disposable income, by age</w:t>
      </w:r>
      <w:bookmarkEnd w:id="4237"/>
      <w:r w:rsidRPr="00027624">
        <w:t xml:space="preserve"> and tenure</w:t>
      </w:r>
    </w:p>
    <w:p w14:paraId="24399880" w14:textId="77777777" w:rsidR="00E96B29" w:rsidRPr="00027624" w:rsidRDefault="00595031" w:rsidP="00DE6C9E">
      <w:pPr>
        <w:pStyle w:val="ChartGraphic"/>
      </w:pPr>
      <w:r>
        <w:rPr>
          <w:noProof/>
        </w:rPr>
        <w:drawing>
          <wp:inline distT="0" distB="0" distL="0" distR="0" wp14:anchorId="40A08112" wp14:editId="68845C6A">
            <wp:extent cx="5577840" cy="2522220"/>
            <wp:effectExtent l="0" t="0" r="3810" b="0"/>
            <wp:docPr id="1242828844" name="Picture 1242828844" descr="This chart shows that housing costs as a proportion of household disposable income decline substantially with age for home owners, from close to 25 per cent at the 15-24 age range down to around 5 per cent for households aged 75 and over. In contrast, renters experience increasing housing costs with age as a proportion of disposable income – from less than 25 per cent at ages 35-44 up to almost 30 per cent at age 75 and over." title="Chart 6A-12 Housing costs as a percentage of household disposable income, by age and ten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09C3E77" w14:textId="77777777" w:rsidR="00E96B29" w:rsidRPr="00027624" w:rsidRDefault="00E96B29" w:rsidP="00DE6C9E">
      <w:pPr>
        <w:pStyle w:val="ChartorTableNote"/>
      </w:pPr>
      <w:r w:rsidRPr="00027624">
        <w:t>Note: Data is from 2015</w:t>
      </w:r>
      <w:r w:rsidR="00A8443E" w:rsidRPr="00027624">
        <w:noBreakHyphen/>
      </w:r>
      <w:r w:rsidRPr="00027624">
        <w:t xml:space="preserve">16. Housing costs include mortgage interest and principal repayments and general rates for home owners, and rental payments for renters. Age refers to age of reference person in household. Source: </w:t>
      </w:r>
      <w:sdt>
        <w:sdtPr>
          <w:id w:val="559988501"/>
          <w:citation/>
        </w:sdtPr>
        <w:sdtEndPr/>
        <w:sdtContent>
          <w:r w:rsidRPr="00027624">
            <w:fldChar w:fldCharType="begin"/>
          </w:r>
          <w:r w:rsidRPr="00027624">
            <w:instrText xml:space="preserve"> CITATION Dal18 \l 3081 </w:instrText>
          </w:r>
          <w:r w:rsidRPr="00027624">
            <w:fldChar w:fldCharType="separate"/>
          </w:r>
          <w:r w:rsidR="00E83F6E">
            <w:rPr>
              <w:noProof/>
            </w:rPr>
            <w:t>(Daley, et al., 2018b)</w:t>
          </w:r>
          <w:r w:rsidRPr="00027624">
            <w:fldChar w:fldCharType="end"/>
          </w:r>
        </w:sdtContent>
      </w:sdt>
      <w:r w:rsidRPr="00027624">
        <w:t>.</w:t>
      </w:r>
    </w:p>
    <w:p w14:paraId="15153E83" w14:textId="77777777" w:rsidR="00E96B29" w:rsidRPr="00027624" w:rsidRDefault="00E96B29" w:rsidP="00E96B29">
      <w:r w:rsidRPr="00027624">
        <w:t>The review also considered the lifetime costs of purchasing a home, particularly given increases in Australian housing prices over recent years, (see</w:t>
      </w:r>
      <w:r w:rsidRPr="00027624">
        <w:rPr>
          <w:i/>
        </w:rPr>
        <w:t xml:space="preserve"> 1D. The changing Australian landscape</w:t>
      </w:r>
      <w:r w:rsidRPr="00027624">
        <w:t>).</w:t>
      </w:r>
    </w:p>
    <w:p w14:paraId="6B0BF4EA" w14:textId="77777777" w:rsidR="00E96B29" w:rsidRPr="00027624" w:rsidRDefault="00E96B29" w:rsidP="00E96B29">
      <w:r w:rsidRPr="00027624">
        <w:t>The proportion of lifetime income needed to purchase a house has grown significantly. On average, households purchasing homes in 2020 will devote almost 18 per cent or their total working</w:t>
      </w:r>
      <w:r w:rsidR="00A8443E" w:rsidRPr="00027624">
        <w:noBreakHyphen/>
      </w:r>
      <w:r w:rsidRPr="00027624">
        <w:t>life income to repaying their mortgages, an increase of around 12 percentage points since the 1980s (see</w:t>
      </w:r>
      <w:r w:rsidRPr="00027624">
        <w:rPr>
          <w:i/>
        </w:rPr>
        <w:t xml:space="preserve"> 1D. The changing Australian landscape</w:t>
      </w:r>
      <w:r w:rsidRPr="00027624">
        <w:t>).</w:t>
      </w:r>
    </w:p>
    <w:p w14:paraId="44BFA03B" w14:textId="77777777" w:rsidR="00E96B29" w:rsidRPr="00027624" w:rsidRDefault="00E96B29" w:rsidP="00E96B29">
      <w:r w:rsidRPr="00027624">
        <w:t>The higher share of lifetime income needed to buy a home has important implications for replacement rates. Increases in the proportion of working</w:t>
      </w:r>
      <w:r w:rsidR="00A8443E" w:rsidRPr="00027624">
        <w:noBreakHyphen/>
      </w:r>
      <w:r w:rsidRPr="00027624">
        <w:t>life income required to purchase a home reduce spending during working life. Consequently, any replacement rate benchmark today should be lower than it was previously, due to rising housing costs.</w:t>
      </w:r>
    </w:p>
    <w:p w14:paraId="0672CE94" w14:textId="77777777" w:rsidR="00E96B29" w:rsidRPr="00027624" w:rsidRDefault="00E96B29" w:rsidP="00E96B29">
      <w:r w:rsidRPr="00027624">
        <w:t>Since owner</w:t>
      </w:r>
      <w:r w:rsidR="00A8443E" w:rsidRPr="00027624">
        <w:noBreakHyphen/>
      </w:r>
      <w:r w:rsidRPr="00027624">
        <w:t>occupied housing gives benefits across someone</w:t>
      </w:r>
      <w:r w:rsidR="00A8443E" w:rsidRPr="00027624">
        <w:t>’</w:t>
      </w:r>
      <w:r w:rsidRPr="00027624">
        <w:t>s life, it is appropriate that the additional costs of acquiring a home affect consumption in retirement as well as in working life.</w:t>
      </w:r>
    </w:p>
    <w:p w14:paraId="7D6BC0C1" w14:textId="77777777" w:rsidR="00E96B29" w:rsidRPr="00027624" w:rsidRDefault="00E96B29" w:rsidP="00E96B29">
      <w:pPr>
        <w:pStyle w:val="Heading3"/>
      </w:pPr>
      <w:r w:rsidRPr="00027624">
        <w:t>The cost of children</w:t>
      </w:r>
    </w:p>
    <w:p w14:paraId="29CEA6C6" w14:textId="77777777" w:rsidR="00E96B29" w:rsidRPr="00027624" w:rsidRDefault="00E96B29" w:rsidP="00E96B29">
      <w:r w:rsidRPr="00027624">
        <w:t>The cost of raising children is an important difference between working</w:t>
      </w:r>
      <w:r w:rsidR="00A8443E" w:rsidRPr="00027624">
        <w:noBreakHyphen/>
      </w:r>
      <w:r w:rsidRPr="00027624">
        <w:t>life and retirement spending.</w:t>
      </w:r>
    </w:p>
    <w:p w14:paraId="77E0BABD" w14:textId="77777777" w:rsidR="00E96B29" w:rsidRPr="00027624" w:rsidRDefault="00E96B29" w:rsidP="00E96B29">
      <w:r w:rsidRPr="00027624">
        <w:t>Raising children is a significant lifetime expense, typically during working lives. One study estimated the weekly costs of raising children of certain ages for low</w:t>
      </w:r>
      <w:r w:rsidR="00A8443E" w:rsidRPr="00027624">
        <w:noBreakHyphen/>
      </w:r>
      <w:r w:rsidRPr="00027624">
        <w:t>paid families was $203 for the first child or $340 a week for two children in 2016, or between $10,000</w:t>
      </w:r>
      <w:r w:rsidR="00A8443E" w:rsidRPr="00027624">
        <w:noBreakHyphen/>
      </w:r>
      <w:r w:rsidRPr="00027624">
        <w:t>18,000 per year</w:t>
      </w:r>
      <w:r w:rsidRPr="00027624">
        <w:rPr>
          <w:rStyle w:val="FootnoteReference"/>
        </w:rPr>
        <w:footnoteReference w:id="329"/>
      </w:r>
      <w:sdt>
        <w:sdtPr>
          <w:id w:val="25682827"/>
          <w:citation/>
        </w:sdtPr>
        <w:sdtEndPr/>
        <w:sdtContent>
          <w:r w:rsidRPr="00027624">
            <w:fldChar w:fldCharType="begin"/>
          </w:r>
          <w:r w:rsidRPr="00027624">
            <w:instrText xml:space="preserve"> CITATION Sau18 \l 3081 </w:instrText>
          </w:r>
          <w:r w:rsidRPr="00027624">
            <w:fldChar w:fldCharType="separate"/>
          </w:r>
          <w:r w:rsidR="00E83F6E">
            <w:rPr>
              <w:noProof/>
            </w:rPr>
            <w:t xml:space="preserve"> (Saunders &amp; Bedford, 2018)</w:t>
          </w:r>
          <w:r w:rsidRPr="00027624">
            <w:fldChar w:fldCharType="end"/>
          </w:r>
        </w:sdtContent>
      </w:sdt>
      <w:r w:rsidRPr="00027624">
        <w:t>. Another study found that households need significantly less income in retirement after accounting for the costs of raising children</w:t>
      </w:r>
      <w:sdt>
        <w:sdtPr>
          <w:id w:val="1354306063"/>
          <w:citation/>
        </w:sdtPr>
        <w:sdtEndPr/>
        <w:sdtContent>
          <w:r w:rsidRPr="00027624">
            <w:fldChar w:fldCharType="begin"/>
          </w:r>
          <w:r w:rsidRPr="00027624">
            <w:instrText xml:space="preserve">CITATION Sch06 \l 3081 </w:instrText>
          </w:r>
          <w:r w:rsidRPr="00027624">
            <w:fldChar w:fldCharType="separate"/>
          </w:r>
          <w:r w:rsidR="00E83F6E">
            <w:rPr>
              <w:noProof/>
            </w:rPr>
            <w:t xml:space="preserve"> (Scholz &amp; Seshadri, 2009)</w:t>
          </w:r>
          <w:r w:rsidRPr="00027624">
            <w:fldChar w:fldCharType="end"/>
          </w:r>
        </w:sdtContent>
      </w:sdt>
      <w:r w:rsidRPr="00027624">
        <w:t>.</w:t>
      </w:r>
    </w:p>
    <w:p w14:paraId="0368E970" w14:textId="77777777" w:rsidR="00E96B29" w:rsidRPr="00027624" w:rsidRDefault="00E96B29">
      <w:r w:rsidRPr="00027624">
        <w:t>The working</w:t>
      </w:r>
      <w:r w:rsidR="00A8443E" w:rsidRPr="00027624">
        <w:noBreakHyphen/>
      </w:r>
      <w:r w:rsidRPr="00027624">
        <w:t>life income target is based on the last 10 years before retirement. During this time, people are less likely to be incurring costs associated with raising children</w:t>
      </w:r>
      <w:sdt>
        <w:sdtPr>
          <w:id w:val="-548452527"/>
          <w:citation/>
        </w:sdtPr>
        <w:sdtEndPr/>
        <w:sdtContent>
          <w:r w:rsidRPr="00027624">
            <w:fldChar w:fldCharType="begin"/>
          </w:r>
          <w:r w:rsidRPr="00027624">
            <w:instrText xml:space="preserve"> CITATION ABS196 \l 3081 </w:instrText>
          </w:r>
          <w:r w:rsidRPr="00027624">
            <w:fldChar w:fldCharType="separate"/>
          </w:r>
          <w:r w:rsidR="00E83F6E">
            <w:rPr>
              <w:noProof/>
            </w:rPr>
            <w:t xml:space="preserve"> (ABS, 2019s)</w:t>
          </w:r>
          <w:r w:rsidRPr="00027624">
            <w:fldChar w:fldCharType="end"/>
          </w:r>
        </w:sdtContent>
      </w:sdt>
      <w:r w:rsidRPr="00027624">
        <w:t>. The review</w:t>
      </w:r>
      <w:r w:rsidR="00A8443E" w:rsidRPr="00027624">
        <w:t>’</w:t>
      </w:r>
      <w:r w:rsidRPr="00027624">
        <w:t>s replacement rate benchmark therefore makes no adjustment for the costs of children.</w:t>
      </w:r>
    </w:p>
    <w:p w14:paraId="6AD01C11" w14:textId="77777777" w:rsidR="00E96B29" w:rsidRPr="00027624" w:rsidRDefault="00E96B29" w:rsidP="00E96B29">
      <w:pPr>
        <w:pStyle w:val="Heading3"/>
      </w:pPr>
      <w:r w:rsidRPr="00027624">
        <w:t>Historical replacement rates</w:t>
      </w:r>
    </w:p>
    <w:p w14:paraId="4CD1A2B9" w14:textId="77777777" w:rsidR="00E96B29" w:rsidRPr="00027624" w:rsidRDefault="00E96B29" w:rsidP="00E96B29">
      <w:r w:rsidRPr="00027624">
        <w:t xml:space="preserve">The outcomes for recent retirees can provide an indication of the performance of the retirement income system under past policy settings. Yet due to data limitations, replacement rates for recent retirees are difficult to calculate and should be considered indicative only. Analysis from </w:t>
      </w:r>
      <w:bookmarkStart w:id="4238" w:name="_Toc42174719"/>
      <w:r w:rsidRPr="00027624">
        <w:rPr>
          <w:i/>
        </w:rPr>
        <w:t>2C. Maintaining standards of living in retirement</w:t>
      </w:r>
      <w:bookmarkEnd w:id="4238"/>
      <w:r w:rsidRPr="00027624">
        <w:t xml:space="preserve"> shows:</w:t>
      </w:r>
    </w:p>
    <w:p w14:paraId="215C7870" w14:textId="77777777" w:rsidR="00E96B29" w:rsidRPr="00027624" w:rsidRDefault="00E96B29" w:rsidP="00E96B29">
      <w:pPr>
        <w:pStyle w:val="Bullet"/>
      </w:pPr>
      <w:r w:rsidRPr="00027624">
        <w:t>Middle</w:t>
      </w:r>
      <w:r w:rsidR="00A8443E" w:rsidRPr="00027624">
        <w:noBreakHyphen/>
      </w:r>
      <w:r w:rsidRPr="00027624">
        <w:t xml:space="preserve"> and higher</w:t>
      </w:r>
      <w:r w:rsidR="00A8443E" w:rsidRPr="00027624">
        <w:noBreakHyphen/>
      </w:r>
      <w:r w:rsidRPr="00027624">
        <w:t>income earners, on average, achieved replacement rates about 65 per cent or higher</w:t>
      </w:r>
    </w:p>
    <w:p w14:paraId="7385235F" w14:textId="77777777" w:rsidR="00E96B29" w:rsidRPr="00027624" w:rsidRDefault="00E96B29" w:rsidP="00E96B29">
      <w:pPr>
        <w:pStyle w:val="Bullet"/>
      </w:pPr>
      <w:r w:rsidRPr="00027624">
        <w:t>Most recent retirees maintain their financial wellbeing and improve their general wellbeing in retirement (although financial wellbeing of some retirees does decline, particularly due to involuntary retirement)</w:t>
      </w:r>
    </w:p>
    <w:p w14:paraId="55AAE6AD" w14:textId="77777777" w:rsidR="00E96B29" w:rsidRPr="00027624" w:rsidRDefault="00E96B29" w:rsidP="00E96B29">
      <w:r w:rsidRPr="00027624">
        <w:t>Taken together, these results suggest that replacement rates achieved by an average person who retired recently can be a guide for an appropriate benchmark.</w:t>
      </w:r>
    </w:p>
    <w:p w14:paraId="18605BBC" w14:textId="77777777" w:rsidR="00E96B29" w:rsidRPr="00027624" w:rsidRDefault="00E96B29" w:rsidP="00E96B29">
      <w:r w:rsidRPr="00027624">
        <w:rPr>
          <w:i/>
        </w:rPr>
        <w:t>2C. Maintaining standards of living in retirement</w:t>
      </w:r>
      <w:r w:rsidRPr="00027624">
        <w:t xml:space="preserve"> presents analysis on the replacement rates of a cohort of retirees aged 65</w:t>
      </w:r>
      <w:r w:rsidR="00A8443E" w:rsidRPr="00027624">
        <w:noBreakHyphen/>
      </w:r>
      <w:r w:rsidRPr="00027624">
        <w:t>74 in 2017</w:t>
      </w:r>
      <w:r w:rsidR="00A8443E" w:rsidRPr="00027624">
        <w:noBreakHyphen/>
      </w:r>
      <w:r w:rsidRPr="00027624">
        <w:t>18.</w:t>
      </w:r>
    </w:p>
    <w:p w14:paraId="43ABE974" w14:textId="77777777" w:rsidR="00E96B29" w:rsidRPr="00027624" w:rsidRDefault="00E96B29" w:rsidP="00E96B29">
      <w:r w:rsidRPr="00027624">
        <w:t>Analysis following specific people over time also shows outcomes for recent retirees tend to be adequate. The longitudinal dataset, HILDA, was used to calculate the replacement rates of people who have retired since 2010. The longitudinal methodology compares incomes six and three years before and after retirement, respectively, to calculate replacement rates.</w:t>
      </w:r>
    </w:p>
    <w:p w14:paraId="3527DCC9" w14:textId="77777777" w:rsidR="00E96B29" w:rsidRPr="00027624" w:rsidRDefault="00E96B29" w:rsidP="00E96B29">
      <w:r w:rsidRPr="00027624">
        <w:t>While the longitudinal approach better reflects the experience of people who retire, it also has data limitations. The number of years available and sample size of the HILDA Survey means that calculations are based on a small number of years before and after retirement. Longer periods would have been more accurate due to being less affected by events like transitioning to retirement or uneven drawdown of superannuation. Longitudinal surveys are also affected by people dropping out of the survey, and this could also bias results.</w:t>
      </w:r>
    </w:p>
    <w:p w14:paraId="554DD619" w14:textId="77777777" w:rsidR="00E96B29" w:rsidRPr="00027624" w:rsidRDefault="00E96B29" w:rsidP="00E96B29">
      <w:pPr>
        <w:pStyle w:val="ChartMainHeading"/>
      </w:pPr>
      <w:bookmarkStart w:id="4239" w:name="_Ref44148361"/>
      <w:r w:rsidRPr="00027624">
        <w:t>Longitudinal analysis of replacement rates of retirees since 2010</w:t>
      </w:r>
      <w:bookmarkEnd w:id="4239"/>
    </w:p>
    <w:p w14:paraId="261B5713" w14:textId="77777777" w:rsidR="00E96B29" w:rsidRPr="00027624" w:rsidRDefault="002066B5" w:rsidP="00E96B29">
      <w:pPr>
        <w:pStyle w:val="ChartGraphic"/>
      </w:pPr>
      <w:r>
        <w:rPr>
          <w:noProof/>
        </w:rPr>
        <w:drawing>
          <wp:inline distT="0" distB="0" distL="0" distR="0" wp14:anchorId="38DA3649" wp14:editId="266157F3">
            <wp:extent cx="5562600" cy="2522220"/>
            <wp:effectExtent l="0" t="0" r="0" b="0"/>
            <wp:docPr id="1242828845" name="Picture 1242828845" descr="This charts shows replacement rates by income decile. Retirees at all income deciles except the 9th have achieved replacement rates at least in the 65-75 per cent replacement rate range. " title="Chart 6A-13 Longitudinal analysis of replacement rates of retirees sinc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562600" cy="2522220"/>
                    </a:xfrm>
                    <a:prstGeom prst="rect">
                      <a:avLst/>
                    </a:prstGeom>
                    <a:noFill/>
                  </pic:spPr>
                </pic:pic>
              </a:graphicData>
            </a:graphic>
          </wp:inline>
        </w:drawing>
      </w:r>
    </w:p>
    <w:p w14:paraId="01E82D27" w14:textId="77777777" w:rsidR="00E96B29" w:rsidRPr="00027624" w:rsidRDefault="00E96B29" w:rsidP="00E96B29">
      <w:pPr>
        <w:pStyle w:val="ChartorTableNote"/>
      </w:pPr>
      <w:r w:rsidRPr="00027624">
        <w:t>Note: Replacement rates calculated six years before retirement and three years after retirement. Includes people who retired from 2010, based on the latest observable point that people retired. Income is equivalised disposable household income. Based on median outcome within decile. Source: Analysis of HILDA Survey data (Waves 1 to 18).</w:t>
      </w:r>
    </w:p>
    <w:p w14:paraId="4318DBF4" w14:textId="77777777" w:rsidR="00E96B29" w:rsidRPr="00027624" w:rsidRDefault="00E96B29" w:rsidP="00E96B29">
      <w:pPr>
        <w:pStyle w:val="Heading3"/>
      </w:pPr>
      <w:r w:rsidRPr="00027624">
        <w:t>Expectations for retirement</w:t>
      </w:r>
    </w:p>
    <w:p w14:paraId="2BBAEE9E" w14:textId="7C9D4862" w:rsidR="00E96B29" w:rsidRPr="00027624" w:rsidRDefault="00E96B29" w:rsidP="00E96B29">
      <w:r w:rsidRPr="00027624">
        <w:t>The level of income people think they will need for an adequate retirement can help determine a replacement rate benchmark (</w:t>
      </w:r>
      <w:r w:rsidRPr="00027624">
        <w:fldChar w:fldCharType="begin"/>
      </w:r>
      <w:r w:rsidRPr="00027624">
        <w:instrText xml:space="preserve"> REF _Ref42009736 \r \h  \* MERGEFORMAT </w:instrText>
      </w:r>
      <w:r w:rsidRPr="00027624">
        <w:fldChar w:fldCharType="separate"/>
      </w:r>
      <w:r w:rsidR="00891058">
        <w:t>Chart 6A-14</w:t>
      </w:r>
      <w:r w:rsidRPr="00027624">
        <w:fldChar w:fldCharType="end"/>
      </w:r>
      <w:r w:rsidRPr="00027624">
        <w:t>).</w:t>
      </w:r>
    </w:p>
    <w:p w14:paraId="3D60FF1C" w14:textId="77777777" w:rsidR="00E96B29" w:rsidRPr="00027624" w:rsidRDefault="00E96B29" w:rsidP="00E96B29">
      <w:pPr>
        <w:pStyle w:val="ChartMainHeading"/>
      </w:pPr>
      <w:bookmarkStart w:id="4240" w:name="_Ref42009736"/>
      <w:r w:rsidRPr="00027624">
        <w:t>Replacement rates implied by survey data</w:t>
      </w:r>
      <w:bookmarkEnd w:id="4240"/>
    </w:p>
    <w:tbl>
      <w:tblPr>
        <w:tblStyle w:val="TableGrid"/>
        <w:tblW w:w="9384" w:type="dxa"/>
        <w:tblLook w:val="04A0" w:firstRow="1" w:lastRow="0" w:firstColumn="1" w:lastColumn="0" w:noHBand="0" w:noVBand="1"/>
      </w:tblPr>
      <w:tblGrid>
        <w:gridCol w:w="4836"/>
        <w:gridCol w:w="4686"/>
      </w:tblGrid>
      <w:tr w:rsidR="00E96B29" w:rsidRPr="00027624" w14:paraId="1891BB24" w14:textId="77777777" w:rsidTr="002066B5">
        <w:trPr>
          <w:trHeight w:val="5025"/>
        </w:trPr>
        <w:tc>
          <w:tcPr>
            <w:tcW w:w="4725" w:type="dxa"/>
            <w:shd w:val="clear" w:color="auto" w:fill="auto"/>
          </w:tcPr>
          <w:p w14:paraId="4D27BB99" w14:textId="77777777" w:rsidR="00E96B29" w:rsidRPr="00027624" w:rsidRDefault="00E96B29" w:rsidP="00E96B29">
            <w:pPr>
              <w:pStyle w:val="ChartSecondHeading"/>
              <w:rPr>
                <w:sz w:val="22"/>
                <w:szCs w:val="22"/>
              </w:rPr>
            </w:pPr>
            <w:r w:rsidRPr="00027624">
              <w:rPr>
                <w:sz w:val="22"/>
                <w:szCs w:val="22"/>
              </w:rPr>
              <w:t>Investment Trends</w:t>
            </w:r>
          </w:p>
          <w:p w14:paraId="0854C20A" w14:textId="77777777" w:rsidR="00E96B29" w:rsidRPr="00027624" w:rsidRDefault="002066B5" w:rsidP="00DE6C9E">
            <w:pPr>
              <w:pStyle w:val="ChartGraphic"/>
            </w:pPr>
            <w:r>
              <w:rPr>
                <w:noProof/>
              </w:rPr>
              <w:drawing>
                <wp:inline distT="0" distB="0" distL="0" distR="0" wp14:anchorId="7F77DF6A" wp14:editId="34C2D30E">
                  <wp:extent cx="2925959" cy="2933700"/>
                  <wp:effectExtent l="0" t="0" r="8255" b="0"/>
                  <wp:docPr id="1888992943" name="Picture 1888992943" descr="This chart shows ideal income in retirement by income level and the implied replacement rate for that income group. The implied replacement rate is 108 per cent for the 10th income percentile, between 72 and 68 per cent for the 20th to 70th income percentiles, and a less than 50 per cent for higher-income earners." title="Chart 6A-14 Replacement rates implied by survey data  – investmen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927528" cy="2935273"/>
                          </a:xfrm>
                          <a:prstGeom prst="rect">
                            <a:avLst/>
                          </a:prstGeom>
                          <a:noFill/>
                        </pic:spPr>
                      </pic:pic>
                    </a:graphicData>
                  </a:graphic>
                </wp:inline>
              </w:drawing>
            </w:r>
          </w:p>
        </w:tc>
        <w:tc>
          <w:tcPr>
            <w:tcW w:w="4659" w:type="dxa"/>
            <w:shd w:val="clear" w:color="auto" w:fill="auto"/>
          </w:tcPr>
          <w:p w14:paraId="36A4AADD" w14:textId="77777777" w:rsidR="00E96B29" w:rsidRPr="00027624" w:rsidRDefault="00E96B29" w:rsidP="00E96B29">
            <w:pPr>
              <w:pStyle w:val="ChartSecondHeading"/>
              <w:rPr>
                <w:b w:val="0"/>
                <w:sz w:val="22"/>
                <w:szCs w:val="22"/>
              </w:rPr>
            </w:pPr>
            <w:r w:rsidRPr="00027624">
              <w:rPr>
                <w:sz w:val="22"/>
                <w:szCs w:val="22"/>
              </w:rPr>
              <w:t>HILDA</w:t>
            </w:r>
          </w:p>
          <w:p w14:paraId="663BA0B9" w14:textId="77777777" w:rsidR="00E96B29" w:rsidRPr="00027624" w:rsidRDefault="002066B5" w:rsidP="00E96B29">
            <w:pPr>
              <w:pStyle w:val="ChartGraphic"/>
            </w:pPr>
            <w:r>
              <w:rPr>
                <w:noProof/>
              </w:rPr>
              <w:drawing>
                <wp:inline distT="0" distB="0" distL="0" distR="0" wp14:anchorId="31278924" wp14:editId="54C507BD">
                  <wp:extent cx="2834640" cy="2948940"/>
                  <wp:effectExtent l="0" t="0" r="3810" b="3810"/>
                  <wp:docPr id="1242828850" name="Picture 1242828850" descr="This chart shows implied replacement rates for pre-retirees based on HILDA data. Implied replacement rates decline with income, with couples requiring a lower replacement rate than singles to have a satisfactory standard of living. Replacement rates decline from almost 70 per cent for singles and around 85 per cent for couples at the 10th income percentile, down to around 25-30 per cent at the 90th income percentile.  " title="Chart 6A-14 Replacement rates implied by survey data  – HI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834640" cy="2948940"/>
                          </a:xfrm>
                          <a:prstGeom prst="rect">
                            <a:avLst/>
                          </a:prstGeom>
                          <a:noFill/>
                        </pic:spPr>
                      </pic:pic>
                    </a:graphicData>
                  </a:graphic>
                </wp:inline>
              </w:drawing>
            </w:r>
          </w:p>
        </w:tc>
      </w:tr>
    </w:tbl>
    <w:p w14:paraId="29C51711" w14:textId="77777777" w:rsidR="00E96B29" w:rsidRPr="00027624" w:rsidRDefault="00E96B29" w:rsidP="00DE6C9E">
      <w:pPr>
        <w:pStyle w:val="ChartorTableNote"/>
      </w:pPr>
      <w:r w:rsidRPr="00027624">
        <w:t>Note: Investment trends percentiles based on income of 45</w:t>
      </w:r>
      <w:r w:rsidR="00A8443E" w:rsidRPr="00027624">
        <w:noBreakHyphen/>
      </w:r>
      <w:r w:rsidRPr="00027624">
        <w:t>year</w:t>
      </w:r>
      <w:r w:rsidR="00A8443E" w:rsidRPr="00027624">
        <w:noBreakHyphen/>
      </w:r>
      <w:r w:rsidRPr="00027624">
        <w:t>olds in the review</w:t>
      </w:r>
      <w:r w:rsidR="00A8443E" w:rsidRPr="00027624">
        <w:t>’</w:t>
      </w:r>
      <w:r w:rsidRPr="00027624">
        <w:t>s retirement income model. Income is household pre</w:t>
      </w:r>
      <w:r w:rsidR="00A8443E" w:rsidRPr="00027624">
        <w:noBreakHyphen/>
      </w:r>
      <w:r w:rsidRPr="00027624">
        <w:t xml:space="preserve">tax income aligned with percentiles in review cameo modelling. Question is </w:t>
      </w:r>
      <w:r w:rsidR="00A8443E" w:rsidRPr="00027624">
        <w:t>‘</w:t>
      </w:r>
      <w:r w:rsidRPr="00027624">
        <w:t>When you are retired, what level of income do you think you will need to have a comfortable lifestyle in retirement?</w:t>
      </w:r>
      <w:r w:rsidR="00A8443E" w:rsidRPr="00027624">
        <w:t>’</w:t>
      </w:r>
      <w:r w:rsidRPr="00027624">
        <w:t xml:space="preserve"> HILDA income percentiles are based on disposable income using the review</w:t>
      </w:r>
      <w:r w:rsidR="00A8443E" w:rsidRPr="00027624">
        <w:t>’</w:t>
      </w:r>
      <w:r w:rsidRPr="00027624">
        <w:t>s categories for lower</w:t>
      </w:r>
      <w:r w:rsidR="00A8443E" w:rsidRPr="00027624">
        <w:noBreakHyphen/>
      </w:r>
      <w:r w:rsidRPr="00027624">
        <w:t>, middle</w:t>
      </w:r>
      <w:r w:rsidR="00A8443E" w:rsidRPr="00027624">
        <w:noBreakHyphen/>
      </w:r>
      <w:r w:rsidRPr="00027624">
        <w:t xml:space="preserve"> and higher</w:t>
      </w:r>
      <w:r w:rsidR="00A8443E" w:rsidRPr="00027624">
        <w:noBreakHyphen/>
      </w:r>
      <w:r w:rsidRPr="00027624">
        <w:t xml:space="preserve">income earners. HILDA question is </w:t>
      </w:r>
      <w:r w:rsidR="00A8443E" w:rsidRPr="00027624">
        <w:t>‘</w:t>
      </w:r>
      <w:r w:rsidRPr="00027624">
        <w:t>How much after</w:t>
      </w:r>
      <w:r w:rsidR="00A8443E" w:rsidRPr="00027624">
        <w:noBreakHyphen/>
      </w:r>
      <w:r w:rsidRPr="00027624">
        <w:t>tax income do you think you (and your partner) will you require in retirement in order to have a standard of living which you regard as satisfactory?</w:t>
      </w:r>
      <w:r w:rsidR="00A8443E" w:rsidRPr="00027624">
        <w:t>’</w:t>
      </w:r>
      <w:r w:rsidRPr="00027624">
        <w:t xml:space="preserve"> Source: Investment Trends, 2019; Analysis of HILDA Survey data (Waves 15).</w:t>
      </w:r>
    </w:p>
    <w:p w14:paraId="0912A97E" w14:textId="77777777" w:rsidR="00E96B29" w:rsidRPr="00027624" w:rsidRDefault="00E96B29" w:rsidP="00E96B29">
      <w:r w:rsidRPr="00027624">
        <w:t>In the Investment Trends survey, Australians believed an ideal retirement income was $44,000 per year for a middle</w:t>
      </w:r>
      <w:r w:rsidR="00A8443E" w:rsidRPr="00027624">
        <w:noBreakHyphen/>
      </w:r>
      <w:r w:rsidRPr="00027624">
        <w:t>income household, equivalent to a gross replacement rate of 68 per cent. For HILDA, the response of middle income earners implies a replacement rate of about 60 per cent for singles and 46 per cent for couples.</w:t>
      </w:r>
    </w:p>
    <w:p w14:paraId="2BFCF0BC" w14:textId="77777777" w:rsidR="00E96B29" w:rsidRPr="00027624" w:rsidRDefault="00E96B29" w:rsidP="00E96B29">
      <w:r w:rsidRPr="00027624">
        <w:t>This approach has some weaknesses:</w:t>
      </w:r>
    </w:p>
    <w:p w14:paraId="21AC2B59" w14:textId="77777777" w:rsidR="00E96B29" w:rsidRPr="00027624" w:rsidRDefault="00E96B29" w:rsidP="00E96B29">
      <w:pPr>
        <w:pStyle w:val="Bullet"/>
      </w:pPr>
      <w:r w:rsidRPr="00027624">
        <w:t>Surveys ask questions differently, which can influence the results.</w:t>
      </w:r>
    </w:p>
    <w:p w14:paraId="6507C102" w14:textId="77777777" w:rsidR="00E96B29" w:rsidRPr="00027624" w:rsidRDefault="00E96B29" w:rsidP="00E96B29">
      <w:pPr>
        <w:pStyle w:val="Bullet"/>
      </w:pPr>
      <w:r w:rsidRPr="00027624">
        <w:t>Retirement income planning is complicated. Australians may not know the lifestyle changes that happen in retirement or differences in taxation and social security transfers.</w:t>
      </w:r>
    </w:p>
    <w:p w14:paraId="75845519" w14:textId="77777777" w:rsidR="00E96B29" w:rsidRPr="00027624" w:rsidRDefault="00E96B29" w:rsidP="00E96B29">
      <w:r w:rsidRPr="00027624">
        <w:t>Overall, these results suggest replacement rates in the range of 65</w:t>
      </w:r>
      <w:r w:rsidR="00A8443E" w:rsidRPr="00027624">
        <w:noBreakHyphen/>
      </w:r>
      <w:r w:rsidRPr="00027624">
        <w:t>75 per cent are appropriate. Lower</w:t>
      </w:r>
      <w:r w:rsidR="00A8443E" w:rsidRPr="00027624">
        <w:noBreakHyphen/>
      </w:r>
      <w:r w:rsidRPr="00027624">
        <w:t>income earners prefer replacing about 100 per cent of their income in retirement. Higher</w:t>
      </w:r>
      <w:r w:rsidR="00A8443E" w:rsidRPr="00027624">
        <w:noBreakHyphen/>
      </w:r>
      <w:r w:rsidRPr="00027624">
        <w:t>income earners prefer lower replacement rates than middle</w:t>
      </w:r>
      <w:r w:rsidR="00A8443E" w:rsidRPr="00027624">
        <w:noBreakHyphen/>
      </w:r>
      <w:r w:rsidRPr="00027624">
        <w:t>income earners.</w:t>
      </w:r>
    </w:p>
    <w:p w14:paraId="70C18515" w14:textId="77777777" w:rsidR="00E96B29" w:rsidRPr="00027624" w:rsidRDefault="00E96B29" w:rsidP="00E96B29">
      <w:pPr>
        <w:pStyle w:val="Heading2"/>
      </w:pPr>
      <w:bookmarkStart w:id="4241" w:name="_Toc45520564"/>
      <w:bookmarkStart w:id="4242" w:name="_Toc46133676"/>
      <w:r w:rsidRPr="00027624">
        <w:t>ASFA comfortable standard as an adequacy objective</w:t>
      </w:r>
      <w:bookmarkEnd w:id="4241"/>
      <w:bookmarkEnd w:id="4242"/>
    </w:p>
    <w:p w14:paraId="4B1B7123" w14:textId="77777777" w:rsidR="00E96B29" w:rsidRPr="00027624" w:rsidRDefault="00E96B29" w:rsidP="00430DC4">
      <w:pPr>
        <w:pStyle w:val="Bullet"/>
        <w:numPr>
          <w:ilvl w:val="0"/>
          <w:numId w:val="0"/>
        </w:numPr>
      </w:pPr>
      <w:r w:rsidRPr="00027624">
        <w:t>The following is an overview as to why the review did not use the ASFA comfortable standard as an adequacy target. Some submissions from the superannuation industry endorsed the ASFA comfortable standard as a retirement income adequacy goal. The standard has several shortcomings as an adequacy objective:</w:t>
      </w:r>
    </w:p>
    <w:p w14:paraId="76D024F4" w14:textId="250D98C8" w:rsidR="00E96B29" w:rsidRPr="00027624" w:rsidRDefault="00E96B29" w:rsidP="00E96B29">
      <w:pPr>
        <w:pStyle w:val="Bullet"/>
      </w:pPr>
      <w:r w:rsidRPr="00027624">
        <w:t>It was initially designed as, and continues to reflect, a standard for the top 20 per cent of income earners. Further, it constitutes a standard of living higher than that experienced by most Australians during their working lives.</w:t>
      </w:r>
      <w:r w:rsidR="00430DC4">
        <w:br/>
      </w:r>
    </w:p>
    <w:p w14:paraId="2A268B4B" w14:textId="77777777" w:rsidR="00E96B29" w:rsidRPr="00027624" w:rsidRDefault="00E96B29" w:rsidP="00E96B29">
      <w:pPr>
        <w:pStyle w:val="Bullet"/>
      </w:pPr>
      <w:r w:rsidRPr="00027624">
        <w:t>It does not account for the trade</w:t>
      </w:r>
      <w:r w:rsidR="00A8443E" w:rsidRPr="00027624">
        <w:noBreakHyphen/>
      </w:r>
      <w:r w:rsidRPr="00027624">
        <w:t>off between working life and retirement living standards. Universal policy settings that result in a standard of living in retirement that exceeds working</w:t>
      </w:r>
      <w:r w:rsidR="00A8443E" w:rsidRPr="00027624">
        <w:noBreakHyphen/>
      </w:r>
      <w:r w:rsidRPr="00027624">
        <w:t>life standards are unlikely to improve lifetime wellbeing. A retirement goal is not appropriate if achieving it would come at the cost of a substantially lower standard of living in working life.</w:t>
      </w:r>
    </w:p>
    <w:p w14:paraId="23BA9065" w14:textId="77777777" w:rsidR="00E96B29" w:rsidRPr="00027624" w:rsidRDefault="00E96B29" w:rsidP="00E96B29">
      <w:pPr>
        <w:pStyle w:val="Bullet"/>
      </w:pPr>
      <w:r w:rsidRPr="00027624">
        <w:t>It would be difficult for a median</w:t>
      </w:r>
      <w:r w:rsidR="00A8443E" w:rsidRPr="00027624">
        <w:noBreakHyphen/>
      </w:r>
      <w:r w:rsidRPr="00027624">
        <w:t>income earner to achieve. A median earner working a 40</w:t>
      </w:r>
      <w:r w:rsidR="00A8443E" w:rsidRPr="00027624">
        <w:noBreakHyphen/>
      </w:r>
      <w:r w:rsidRPr="00027624">
        <w:t>year career would need the SG rate to continue escalating to 16.5 per cent to achieve the standard.</w:t>
      </w:r>
    </w:p>
    <w:p w14:paraId="4742257E" w14:textId="77777777" w:rsidR="00E96B29" w:rsidRPr="00027624" w:rsidRDefault="00E96B29" w:rsidP="00AF7D04">
      <w:pPr>
        <w:pStyle w:val="Heading3"/>
      </w:pPr>
      <w:r w:rsidRPr="00027624">
        <w:t>History of the ASFA standard</w:t>
      </w:r>
    </w:p>
    <w:p w14:paraId="4FA53275" w14:textId="77777777" w:rsidR="00E96B29" w:rsidRPr="00027624" w:rsidRDefault="00E96B29" w:rsidP="00E96B29">
      <w:r w:rsidRPr="00027624">
        <w:t>Contemporary budget standards were first developed in Australia in 1997 to facilitate research into the adequacy of social security payments, such as the Age Pension</w:t>
      </w:r>
      <w:sdt>
        <w:sdtPr>
          <w:id w:val="-1265681021"/>
          <w:citation/>
        </w:sdtPr>
        <w:sdtEndPr/>
        <w:sdtContent>
          <w:r w:rsidRPr="00027624">
            <w:fldChar w:fldCharType="begin"/>
          </w:r>
          <w:r w:rsidRPr="00027624">
            <w:instrText xml:space="preserve">CITATION Sau06 \t  \l 3081 </w:instrText>
          </w:r>
          <w:r w:rsidRPr="00027624">
            <w:fldChar w:fldCharType="separate"/>
          </w:r>
          <w:r w:rsidR="00E83F6E">
            <w:rPr>
              <w:noProof/>
            </w:rPr>
            <w:t xml:space="preserve"> (Saunders, 2006)</w:t>
          </w:r>
          <w:r w:rsidRPr="00027624">
            <w:fldChar w:fldCharType="end"/>
          </w:r>
        </w:sdtContent>
      </w:sdt>
      <w:r w:rsidRPr="00027624">
        <w:t xml:space="preserve">. The first Australian budget standards included a </w:t>
      </w:r>
      <w:r w:rsidR="00A8443E" w:rsidRPr="00027624">
        <w:t>‘</w:t>
      </w:r>
      <w:r w:rsidRPr="00027624">
        <w:t>low</w:t>
      </w:r>
      <w:r w:rsidR="00A8443E" w:rsidRPr="00027624">
        <w:noBreakHyphen/>
      </w:r>
      <w:r w:rsidRPr="00027624">
        <w:t>cost</w:t>
      </w:r>
      <w:r w:rsidR="00A8443E" w:rsidRPr="00027624">
        <w:t>’</w:t>
      </w:r>
      <w:r w:rsidRPr="00027624">
        <w:t xml:space="preserve"> poverty avoidance measure and a </w:t>
      </w:r>
      <w:r w:rsidR="00A8443E" w:rsidRPr="00027624">
        <w:t>‘</w:t>
      </w:r>
      <w:r w:rsidRPr="00027624">
        <w:t>modest but adequate</w:t>
      </w:r>
      <w:r w:rsidR="00A8443E" w:rsidRPr="00027624">
        <w:t>’</w:t>
      </w:r>
      <w:r w:rsidRPr="00027624">
        <w:t xml:space="preserve"> measure that reflected the spending of the median retiree.</w:t>
      </w:r>
    </w:p>
    <w:p w14:paraId="0F8D8A9F" w14:textId="77777777" w:rsidR="00E96B29" w:rsidRPr="00027624" w:rsidRDefault="00E96B29" w:rsidP="00E96B29">
      <w:r w:rsidRPr="00027624">
        <w:t>In 2003, ASFA and Westpac commissioned an update to add a comfortable retirement standard, intended for wealthy, self</w:t>
      </w:r>
      <w:r w:rsidR="00A8443E" w:rsidRPr="00027624">
        <w:noBreakHyphen/>
      </w:r>
      <w:r w:rsidRPr="00027624">
        <w:t xml:space="preserve">funded retirees. The new </w:t>
      </w:r>
      <w:r w:rsidR="00A8443E" w:rsidRPr="00027624">
        <w:t>‘</w:t>
      </w:r>
      <w:r w:rsidRPr="00027624">
        <w:t>comfortably affluent and sustainable</w:t>
      </w:r>
      <w:r w:rsidR="00A8443E" w:rsidRPr="00027624">
        <w:t>’</w:t>
      </w:r>
      <w:r w:rsidRPr="00027624">
        <w:t xml:space="preserve"> standard reflected the spending patterns and lifestyles of the top 20 per cent of income earners:</w:t>
      </w:r>
    </w:p>
    <w:p w14:paraId="440BC09D" w14:textId="77777777" w:rsidR="00E96B29" w:rsidRPr="00027624" w:rsidRDefault="00A8443E" w:rsidP="00E96B29">
      <w:pPr>
        <w:pStyle w:val="Quote"/>
      </w:pPr>
      <w:r w:rsidRPr="00027624">
        <w:t>‘</w:t>
      </w:r>
      <w:r w:rsidR="00E96B29" w:rsidRPr="00027624">
        <w:t>The comfortably affluent standard reflects a standard of living among older, healthy and fully active self</w:t>
      </w:r>
      <w:r w:rsidRPr="00027624">
        <w:noBreakHyphen/>
      </w:r>
      <w:r w:rsidR="00E96B29" w:rsidRPr="00027624">
        <w:t>retired Australians that allows them to engage actively with a broad range of leisure and recreational activities without having to require a rapid or substantial disbursement of assets. It represents a lifestyle that is common amongst those in the top (income) quintile of the aged population.</w:t>
      </w:r>
      <w:r w:rsidRPr="00027624">
        <w:t>’</w:t>
      </w:r>
      <w:sdt>
        <w:sdtPr>
          <w:rPr>
            <w:i w:val="0"/>
          </w:rPr>
          <w:id w:val="1360013832"/>
          <w:citation/>
        </w:sdtPr>
        <w:sdtEndPr/>
        <w:sdtContent>
          <w:r w:rsidR="00E96B29" w:rsidRPr="00027624">
            <w:rPr>
              <w:i w:val="0"/>
            </w:rPr>
            <w:fldChar w:fldCharType="begin"/>
          </w:r>
          <w:r w:rsidR="00E96B29" w:rsidRPr="00027624">
            <w:rPr>
              <w:i w:val="0"/>
            </w:rPr>
            <w:instrText xml:space="preserve"> CITATION Sau041 \l 3081 </w:instrText>
          </w:r>
          <w:r w:rsidR="00E96B29" w:rsidRPr="00027624">
            <w:rPr>
              <w:i w:val="0"/>
            </w:rPr>
            <w:fldChar w:fldCharType="separate"/>
          </w:r>
          <w:r w:rsidR="00E83F6E">
            <w:rPr>
              <w:i w:val="0"/>
              <w:noProof/>
            </w:rPr>
            <w:t xml:space="preserve"> </w:t>
          </w:r>
          <w:r w:rsidR="00E83F6E">
            <w:rPr>
              <w:noProof/>
            </w:rPr>
            <w:t>(Saunders, et al., 2004)</w:t>
          </w:r>
          <w:r w:rsidR="00E96B29" w:rsidRPr="00027624">
            <w:rPr>
              <w:i w:val="0"/>
            </w:rPr>
            <w:fldChar w:fldCharType="end"/>
          </w:r>
        </w:sdtContent>
      </w:sdt>
    </w:p>
    <w:p w14:paraId="11E9327C" w14:textId="77777777" w:rsidR="00E96B29" w:rsidRPr="00027624" w:rsidRDefault="00E96B29" w:rsidP="00E96B29">
      <w:r w:rsidRPr="00027624">
        <w:t xml:space="preserve">Subsequent updates in 2009 and 2018 amended the standard to reflect changes in expenditure patterns and redefined it as a </w:t>
      </w:r>
      <w:r w:rsidR="00A8443E" w:rsidRPr="00027624">
        <w:t>‘</w:t>
      </w:r>
      <w:r w:rsidRPr="00027624">
        <w:t>comfortable</w:t>
      </w:r>
      <w:r w:rsidR="00A8443E" w:rsidRPr="00027624">
        <w:t>’</w:t>
      </w:r>
      <w:r w:rsidRPr="00027624">
        <w:t xml:space="preserve"> standard</w:t>
      </w:r>
      <w:sdt>
        <w:sdtPr>
          <w:id w:val="1370186919"/>
          <w:citation/>
        </w:sdtPr>
        <w:sdtEndPr/>
        <w:sdtContent>
          <w:r w:rsidRPr="00027624">
            <w:fldChar w:fldCharType="begin"/>
          </w:r>
          <w:r w:rsidRPr="00027624">
            <w:instrText xml:space="preserve">CITATION Ass09 \l 3081 </w:instrText>
          </w:r>
          <w:r w:rsidRPr="00027624">
            <w:fldChar w:fldCharType="separate"/>
          </w:r>
          <w:r w:rsidR="00E83F6E">
            <w:rPr>
              <w:noProof/>
            </w:rPr>
            <w:t xml:space="preserve"> (ASFA, 2009)</w:t>
          </w:r>
          <w:r w:rsidRPr="00027624">
            <w:fldChar w:fldCharType="end"/>
          </w:r>
        </w:sdtContent>
      </w:sdt>
      <w:r w:rsidRPr="00027624">
        <w:t>.</w:t>
      </w:r>
    </w:p>
    <w:p w14:paraId="3A4284A8" w14:textId="77777777" w:rsidR="00E96B29" w:rsidRPr="00027624" w:rsidRDefault="00E96B29" w:rsidP="00976594">
      <w:pPr>
        <w:pStyle w:val="Heading3"/>
      </w:pPr>
      <w:r w:rsidRPr="00027624">
        <w:t>Appropriateness of the standard for current retirees</w:t>
      </w:r>
    </w:p>
    <w:p w14:paraId="24E7F10F" w14:textId="77777777" w:rsidR="00E96B29" w:rsidRPr="00027624" w:rsidRDefault="00E96B29" w:rsidP="00E96B29">
      <w:r w:rsidRPr="00027624">
        <w:t>An important part of assessing if the ASFA comfortable standard is an appropriate benchmark is how it compares to the consumption (standard of living) of working Australians and current retirees.</w:t>
      </w:r>
    </w:p>
    <w:p w14:paraId="71177F9F" w14:textId="77777777" w:rsidR="00E96B29" w:rsidRPr="00027624" w:rsidRDefault="00E96B29" w:rsidP="00E96B29">
      <w:r w:rsidRPr="00027624">
        <w:t>Analysis of ABS expenditure data suggests the ASFA comfortable standard provides a higher living standard than most people in the workforce enjoy today</w:t>
      </w:r>
      <w:sdt>
        <w:sdtPr>
          <w:id w:val="1300723466"/>
          <w:citation/>
        </w:sdtPr>
        <w:sdtEndPr/>
        <w:sdtContent>
          <w:r w:rsidRPr="00027624">
            <w:fldChar w:fldCharType="begin"/>
          </w:r>
          <w:r w:rsidRPr="00027624">
            <w:instrText xml:space="preserve"> CITATION Dal18 \l 3081 </w:instrText>
          </w:r>
          <w:r w:rsidRPr="00027624">
            <w:fldChar w:fldCharType="separate"/>
          </w:r>
          <w:r w:rsidR="00E83F6E">
            <w:rPr>
              <w:noProof/>
            </w:rPr>
            <w:t xml:space="preserve"> (Daley, et al., 2018b)</w:t>
          </w:r>
          <w:r w:rsidRPr="00027624">
            <w:fldChar w:fldCharType="end"/>
          </w:r>
        </w:sdtContent>
      </w:sdt>
      <w:r w:rsidRPr="00027624">
        <w:t>:</w:t>
      </w:r>
    </w:p>
    <w:p w14:paraId="2D87F94A" w14:textId="77777777" w:rsidR="00E96B29" w:rsidRPr="00027624" w:rsidRDefault="00E96B29" w:rsidP="00E96B29">
      <w:pPr>
        <w:pStyle w:val="Bullet"/>
      </w:pPr>
      <w:r w:rsidRPr="00027624">
        <w:t>The top 30 per cent of working</w:t>
      </w:r>
      <w:r w:rsidR="00A8443E" w:rsidRPr="00027624">
        <w:noBreakHyphen/>
      </w:r>
      <w:r w:rsidRPr="00027624">
        <w:t>age couples and the top 20 per cent of working</w:t>
      </w:r>
      <w:r w:rsidR="00A8443E" w:rsidRPr="00027624">
        <w:noBreakHyphen/>
      </w:r>
      <w:r w:rsidRPr="00027624">
        <w:t>age singles currently spend as much as the ASFA comfortable standard.</w:t>
      </w:r>
    </w:p>
    <w:p w14:paraId="54734F8B" w14:textId="77777777" w:rsidR="00E96B29" w:rsidRPr="00027624" w:rsidRDefault="00E96B29" w:rsidP="00E96B29">
      <w:pPr>
        <w:pStyle w:val="Bullet"/>
      </w:pPr>
      <w:r w:rsidRPr="00027624">
        <w:t>The top 30 per cent of retired couples and the top 10 per cent of retired singles spend as much as the ASFA comfortable standard.</w:t>
      </w:r>
    </w:p>
    <w:p w14:paraId="66BF6228" w14:textId="77777777" w:rsidR="00E96B29" w:rsidRPr="00027624" w:rsidRDefault="00E96B29" w:rsidP="00976594">
      <w:pPr>
        <w:pStyle w:val="Heading3"/>
      </w:pPr>
      <w:r w:rsidRPr="00027624">
        <w:t>Appropriateness of the standard for future retirees</w:t>
      </w:r>
    </w:p>
    <w:p w14:paraId="5725907E" w14:textId="77777777" w:rsidR="00E96B29" w:rsidRPr="00027624" w:rsidRDefault="00E96B29" w:rsidP="00E96B29">
      <w:r w:rsidRPr="00027624">
        <w:t>Another way to assess the ASFA comfortable standard is to look at what system changes would need to be made to achieve it and the effect these changes would have.</w:t>
      </w:r>
    </w:p>
    <w:p w14:paraId="57250432" w14:textId="77777777" w:rsidR="00E96B29" w:rsidRPr="00027624" w:rsidRDefault="00E96B29" w:rsidP="00E96B29">
      <w:r w:rsidRPr="00027624">
        <w:t>ASFA</w:t>
      </w:r>
      <w:r w:rsidR="00A8443E" w:rsidRPr="00027624">
        <w:t>’</w:t>
      </w:r>
      <w:r w:rsidRPr="00027624">
        <w:t>s modelling suggests 50 per cent of Australians can achieve the comfortable standard. They suggest women meet the ASFA standard from the 70</w:t>
      </w:r>
      <w:r w:rsidRPr="00027624">
        <w:rPr>
          <w:vertAlign w:val="superscript"/>
        </w:rPr>
        <w:t>th</w:t>
      </w:r>
      <w:r w:rsidRPr="00027624">
        <w:t xml:space="preserve"> income percentile </w:t>
      </w:r>
      <w:sdt>
        <w:sdtPr>
          <w:id w:val="1941630487"/>
          <w:citation/>
        </w:sdtPr>
        <w:sdtEndPr/>
        <w:sdtContent>
          <w:r w:rsidRPr="00027624">
            <w:fldChar w:fldCharType="begin"/>
          </w:r>
          <w:r w:rsidRPr="00027624">
            <w:instrText xml:space="preserve"> CITATION ASF20Sub \l 3081 </w:instrText>
          </w:r>
          <w:r w:rsidRPr="00027624">
            <w:fldChar w:fldCharType="separate"/>
          </w:r>
          <w:r w:rsidR="00E83F6E">
            <w:rPr>
              <w:noProof/>
            </w:rPr>
            <w:t>(ASFA, 2020a)</w:t>
          </w:r>
          <w:r w:rsidRPr="00027624">
            <w:fldChar w:fldCharType="end"/>
          </w:r>
        </w:sdtContent>
      </w:sdt>
      <w:r w:rsidRPr="00027624">
        <w:t>.</w:t>
      </w:r>
    </w:p>
    <w:p w14:paraId="421EC483" w14:textId="77777777" w:rsidR="00E96B29" w:rsidRPr="00027624" w:rsidRDefault="00E96B29" w:rsidP="00E96B29">
      <w:r w:rsidRPr="00027624">
        <w:t>ASFA modelling has several assumptions that differ from those used by the review. In particular, ASFA assumes significantly longer working lives, with careers from ages 19 to 67, and a larger gap between the investment rate of return after fees and taxes, and wage growth.</w:t>
      </w:r>
    </w:p>
    <w:p w14:paraId="3165A0F8" w14:textId="77777777" w:rsidR="00E96B29" w:rsidRPr="00027624" w:rsidRDefault="00E96B29" w:rsidP="00E96B29">
      <w:r w:rsidRPr="00027624">
        <w:t xml:space="preserve">They also use different income profiles than </w:t>
      </w:r>
      <w:r w:rsidR="009E7111" w:rsidRPr="00027624">
        <w:t xml:space="preserve">the </w:t>
      </w:r>
      <w:r w:rsidRPr="00027624">
        <w:t>review</w:t>
      </w:r>
      <w:r w:rsidR="00A8443E" w:rsidRPr="00027624">
        <w:t>’</w:t>
      </w:r>
      <w:r w:rsidR="009E7111" w:rsidRPr="00027624">
        <w:t>s</w:t>
      </w:r>
      <w:r w:rsidRPr="00027624">
        <w:t xml:space="preserve"> analysis of ATO data</w:t>
      </w:r>
      <w:r w:rsidR="003A119F" w:rsidRPr="00027624">
        <w:t>,</w:t>
      </w:r>
      <w:r w:rsidRPr="00027624">
        <w:t xml:space="preserve"> including:</w:t>
      </w:r>
    </w:p>
    <w:p w14:paraId="22DD1998" w14:textId="3D9A8E6E" w:rsidR="00E96B29" w:rsidRPr="00027624" w:rsidRDefault="009E7111" w:rsidP="00E96B29">
      <w:pPr>
        <w:pStyle w:val="Bullet"/>
      </w:pPr>
      <w:r w:rsidRPr="00027624">
        <w:t>W</w:t>
      </w:r>
      <w:r w:rsidR="00E96B29" w:rsidRPr="00027624">
        <w:t>orking</w:t>
      </w:r>
      <w:r w:rsidR="00A8443E" w:rsidRPr="00027624">
        <w:noBreakHyphen/>
      </w:r>
      <w:r w:rsidR="00E96B29" w:rsidRPr="00027624">
        <w:t>life income sourced from ATO data peaks at about age 45 and tends to decline thereafter as people transition to retirement (</w:t>
      </w:r>
      <w:r w:rsidR="00E96B29" w:rsidRPr="00027624">
        <w:fldChar w:fldCharType="begin"/>
      </w:r>
      <w:r w:rsidR="00E96B29" w:rsidRPr="00027624">
        <w:instrText xml:space="preserve"> REF _Ref44591505 \r \h  \* MERGEFORMAT </w:instrText>
      </w:r>
      <w:r w:rsidR="00E96B29" w:rsidRPr="00027624">
        <w:fldChar w:fldCharType="separate"/>
      </w:r>
      <w:r w:rsidR="00891058">
        <w:t>Chart 6A-17</w:t>
      </w:r>
      <w:r w:rsidR="00E96B29" w:rsidRPr="00027624">
        <w:fldChar w:fldCharType="end"/>
      </w:r>
      <w:r w:rsidR="00E96B29" w:rsidRPr="00027624">
        <w:t xml:space="preserve">). However, profiles presented in </w:t>
      </w:r>
      <w:sdt>
        <w:sdtPr>
          <w:id w:val="1597045785"/>
          <w:citation/>
        </w:sdtPr>
        <w:sdtEndPr/>
        <w:sdtContent>
          <w:r w:rsidR="00E96B29" w:rsidRPr="00027624">
            <w:fldChar w:fldCharType="begin"/>
          </w:r>
          <w:r w:rsidR="00E96B29" w:rsidRPr="00027624">
            <w:instrText xml:space="preserve">CITATION ASF20 \l 3081 </w:instrText>
          </w:r>
          <w:r w:rsidR="00E96B29" w:rsidRPr="00027624">
            <w:fldChar w:fldCharType="separate"/>
          </w:r>
          <w:r w:rsidR="00E83F6E">
            <w:rPr>
              <w:noProof/>
            </w:rPr>
            <w:t>(ASFA, 2020b)</w:t>
          </w:r>
          <w:r w:rsidR="00E96B29" w:rsidRPr="00027624">
            <w:fldChar w:fldCharType="end"/>
          </w:r>
        </w:sdtContent>
      </w:sdt>
      <w:r w:rsidR="00E96B29" w:rsidRPr="00027624">
        <w:t xml:space="preserve"> show income peaking about age 45 but broadly staying at these levels for later ages. This means later in life and across most deciles, incomes used in ASFA modelling can be higher on average than is observed in ATO data.</w:t>
      </w:r>
    </w:p>
    <w:p w14:paraId="172BAB59" w14:textId="77777777" w:rsidR="00E96B29" w:rsidRPr="00027624" w:rsidRDefault="00E96B29" w:rsidP="00E96B29">
      <w:pPr>
        <w:pStyle w:val="Bullet"/>
      </w:pPr>
      <w:r w:rsidRPr="00027624">
        <w:t>ASFA shows the bottom</w:t>
      </w:r>
      <w:r w:rsidR="00A8443E" w:rsidRPr="00027624">
        <w:noBreakHyphen/>
      </w:r>
      <w:r w:rsidRPr="00027624">
        <w:t xml:space="preserve">decile people earning $40,000 a year </w:t>
      </w:r>
      <w:sdt>
        <w:sdtPr>
          <w:id w:val="-1526627300"/>
          <w:citation/>
        </w:sdtPr>
        <w:sdtEndPr/>
        <w:sdtContent>
          <w:r w:rsidRPr="00027624">
            <w:fldChar w:fldCharType="begin"/>
          </w:r>
          <w:r w:rsidRPr="00027624">
            <w:instrText xml:space="preserve">CITATION ASF20 \l 3081 </w:instrText>
          </w:r>
          <w:r w:rsidRPr="00027624">
            <w:fldChar w:fldCharType="separate"/>
          </w:r>
          <w:r w:rsidR="00E83F6E">
            <w:rPr>
              <w:noProof/>
            </w:rPr>
            <w:t>(ASFA, 2020b)</w:t>
          </w:r>
          <w:r w:rsidRPr="00027624">
            <w:fldChar w:fldCharType="end"/>
          </w:r>
        </w:sdtContent>
      </w:sdt>
      <w:r w:rsidRPr="00027624">
        <w:t>, approximately the national minimum wage for a full</w:t>
      </w:r>
      <w:r w:rsidR="00A8443E" w:rsidRPr="00027624">
        <w:noBreakHyphen/>
      </w:r>
      <w:r w:rsidRPr="00027624">
        <w:t>time worker. This level of income is significantly higher than the lower</w:t>
      </w:r>
      <w:r w:rsidR="00A8443E" w:rsidRPr="00027624">
        <w:noBreakHyphen/>
      </w:r>
      <w:r w:rsidRPr="00027624">
        <w:t xml:space="preserve">income earnings in </w:t>
      </w:r>
      <w:r w:rsidR="009B7712" w:rsidRPr="00027624">
        <w:t xml:space="preserve">the </w:t>
      </w:r>
      <w:r w:rsidRPr="00027624">
        <w:t>review</w:t>
      </w:r>
      <w:r w:rsidR="00A8443E" w:rsidRPr="00027624">
        <w:t>’</w:t>
      </w:r>
      <w:r w:rsidR="009B7712" w:rsidRPr="00027624">
        <w:t>s</w:t>
      </w:r>
      <w:r w:rsidRPr="00027624">
        <w:t xml:space="preserve"> cameo modelling, with average incomes of about $22,600 and $36,000 for people in the 10</w:t>
      </w:r>
      <w:r w:rsidRPr="00027624">
        <w:rPr>
          <w:vertAlign w:val="superscript"/>
        </w:rPr>
        <w:t>th</w:t>
      </w:r>
      <w:r w:rsidRPr="00027624">
        <w:t xml:space="preserve"> and 20</w:t>
      </w:r>
      <w:r w:rsidRPr="00027624">
        <w:rPr>
          <w:vertAlign w:val="superscript"/>
        </w:rPr>
        <w:t>th</w:t>
      </w:r>
      <w:r w:rsidRPr="00027624">
        <w:t xml:space="preserve"> percentiles, respectively.</w:t>
      </w:r>
    </w:p>
    <w:p w14:paraId="0159219E" w14:textId="77777777" w:rsidR="00E96B29" w:rsidRPr="00027624" w:rsidRDefault="00E96B29" w:rsidP="00E96B29">
      <w:r w:rsidRPr="00027624">
        <w:t>Higher income assumptions make it easier to achieve a given retirement income target.</w:t>
      </w:r>
    </w:p>
    <w:p w14:paraId="536B6B49" w14:textId="37F1E80E" w:rsidR="00E96B29" w:rsidRPr="00027624" w:rsidRDefault="00E96B29" w:rsidP="00E96B29">
      <w:pPr>
        <w:pStyle w:val="ChartorTableNote"/>
        <w:spacing w:before="240"/>
        <w:contextualSpacing/>
        <w:jc w:val="left"/>
        <w:rPr>
          <w:color w:val="auto"/>
          <w:sz w:val="22"/>
          <w:szCs w:val="22"/>
        </w:rPr>
      </w:pPr>
      <w:r w:rsidRPr="00027624">
        <w:rPr>
          <w:color w:val="auto"/>
          <w:sz w:val="22"/>
          <w:szCs w:val="22"/>
        </w:rPr>
        <w:t>Median</w:t>
      </w:r>
      <w:r w:rsidR="0078546D" w:rsidRPr="00027624">
        <w:rPr>
          <w:color w:val="auto"/>
          <w:sz w:val="22"/>
          <w:szCs w:val="22"/>
        </w:rPr>
        <w:t>-</w:t>
      </w:r>
      <w:r w:rsidRPr="00027624">
        <w:rPr>
          <w:color w:val="auto"/>
          <w:sz w:val="22"/>
          <w:szCs w:val="22"/>
        </w:rPr>
        <w:t>income earners fall significantly short of the ASFA comfortable standard under the review</w:t>
      </w:r>
      <w:r w:rsidR="00A8443E" w:rsidRPr="00027624">
        <w:rPr>
          <w:color w:val="auto"/>
          <w:sz w:val="22"/>
          <w:szCs w:val="22"/>
        </w:rPr>
        <w:t>’</w:t>
      </w:r>
      <w:r w:rsidRPr="00027624">
        <w:rPr>
          <w:color w:val="auto"/>
          <w:sz w:val="22"/>
          <w:szCs w:val="22"/>
        </w:rPr>
        <w:t>s assumptions. Specifically, a median earner has a balance $</w:t>
      </w:r>
      <w:r w:rsidR="006B03BC">
        <w:rPr>
          <w:color w:val="auto"/>
          <w:sz w:val="22"/>
          <w:szCs w:val="22"/>
        </w:rPr>
        <w:t>93,000</w:t>
      </w:r>
      <w:r w:rsidRPr="00027624">
        <w:rPr>
          <w:color w:val="auto"/>
          <w:sz w:val="22"/>
          <w:szCs w:val="22"/>
        </w:rPr>
        <w:t xml:space="preserve"> below the balance required to achieve the ASFA comfortable standard of $545,000 in wage</w:t>
      </w:r>
      <w:r w:rsidR="00A8443E" w:rsidRPr="00027624">
        <w:rPr>
          <w:color w:val="auto"/>
          <w:sz w:val="22"/>
          <w:szCs w:val="22"/>
        </w:rPr>
        <w:noBreakHyphen/>
      </w:r>
      <w:r w:rsidRPr="00027624">
        <w:rPr>
          <w:color w:val="auto"/>
          <w:sz w:val="22"/>
          <w:szCs w:val="22"/>
        </w:rPr>
        <w:t>deflated terms (</w:t>
      </w:r>
      <w:r w:rsidRPr="00027624">
        <w:rPr>
          <w:color w:val="auto"/>
          <w:sz w:val="22"/>
          <w:szCs w:val="22"/>
        </w:rPr>
        <w:fldChar w:fldCharType="begin"/>
      </w:r>
      <w:r w:rsidRPr="00027624">
        <w:rPr>
          <w:color w:val="auto"/>
          <w:sz w:val="22"/>
          <w:szCs w:val="22"/>
        </w:rPr>
        <w:instrText xml:space="preserve"> REF _Ref42706792 \r \h  \* MERGEFORMAT </w:instrText>
      </w:r>
      <w:r w:rsidRPr="00027624">
        <w:rPr>
          <w:color w:val="auto"/>
          <w:sz w:val="22"/>
          <w:szCs w:val="22"/>
        </w:rPr>
      </w:r>
      <w:r w:rsidRPr="00027624">
        <w:rPr>
          <w:color w:val="auto"/>
          <w:sz w:val="22"/>
          <w:szCs w:val="22"/>
        </w:rPr>
        <w:fldChar w:fldCharType="separate"/>
      </w:r>
      <w:r w:rsidR="00891058">
        <w:rPr>
          <w:color w:val="auto"/>
          <w:sz w:val="22"/>
          <w:szCs w:val="22"/>
        </w:rPr>
        <w:t>Chart 6A-15</w:t>
      </w:r>
      <w:r w:rsidRPr="00027624">
        <w:rPr>
          <w:color w:val="auto"/>
          <w:sz w:val="22"/>
          <w:szCs w:val="22"/>
        </w:rPr>
        <w:fldChar w:fldCharType="end"/>
      </w:r>
      <w:r w:rsidRPr="00027624">
        <w:rPr>
          <w:color w:val="auto"/>
          <w:sz w:val="22"/>
          <w:szCs w:val="22"/>
        </w:rPr>
        <w:t>).</w:t>
      </w:r>
    </w:p>
    <w:p w14:paraId="5AFFB4E6" w14:textId="77777777" w:rsidR="00E96B29" w:rsidRPr="00027624" w:rsidRDefault="00E96B29" w:rsidP="00E96B29">
      <w:pPr>
        <w:pStyle w:val="ChartMainHeading"/>
      </w:pPr>
      <w:bookmarkStart w:id="4243" w:name="_Ref42706792"/>
      <w:r w:rsidRPr="00027624">
        <w:t>Superannuation balances at retirement, review and ASFA modelling</w:t>
      </w:r>
      <w:bookmarkEnd w:id="4243"/>
    </w:p>
    <w:p w14:paraId="1ECBB7A5" w14:textId="77777777" w:rsidR="00E96B29" w:rsidRPr="00027624" w:rsidRDefault="00CA776E" w:rsidP="00E96B29">
      <w:pPr>
        <w:pStyle w:val="ChartGraphic"/>
      </w:pPr>
      <w:r>
        <w:rPr>
          <w:noProof/>
        </w:rPr>
        <w:drawing>
          <wp:inline distT="0" distB="0" distL="0" distR="0" wp14:anchorId="25C6B973" wp14:editId="53C537CF">
            <wp:extent cx="5585460" cy="2545080"/>
            <wp:effectExtent l="0" t="0" r="0" b="7620"/>
            <wp:docPr id="1242828854" name="Picture 1242828854" descr="This chart shows that, based on ASFA modelling, men in the 50th income percentile and above, and women in the 70th income percentile and above, are projected to have a superannuation balance at retirement which meets the ASFA comfortable standard. This requires a balance of $545,000 at retirement. Under the review’s modelling, individuals from the 60th income percentile are projected to have a superannuation balance at retirement which meets the ASFA comfortable standard." title="Chart 6A-15 Superannuation balances at retirement, review and ASFA mod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585460" cy="2545080"/>
                    </a:xfrm>
                    <a:prstGeom prst="rect">
                      <a:avLst/>
                    </a:prstGeom>
                    <a:noFill/>
                  </pic:spPr>
                </pic:pic>
              </a:graphicData>
            </a:graphic>
          </wp:inline>
        </w:drawing>
      </w:r>
    </w:p>
    <w:p w14:paraId="0850F17D" w14:textId="77777777" w:rsidR="00E96B29" w:rsidRPr="00027624" w:rsidRDefault="00E96B29" w:rsidP="00E96B29">
      <w:pPr>
        <w:pStyle w:val="ChartorTableNote"/>
      </w:pPr>
      <w:r w:rsidRPr="00027624">
        <w:t>Notes: Values are 2019</w:t>
      </w:r>
      <w:r w:rsidR="00A8443E" w:rsidRPr="00027624">
        <w:noBreakHyphen/>
      </w:r>
      <w:r w:rsidRPr="00027624">
        <w:t xml:space="preserve">20 dollars, deflated by average weekly earnings. Based on ASFA estimate of $545,000 required to reach the </w:t>
      </w:r>
      <w:r w:rsidR="00A8443E" w:rsidRPr="00027624">
        <w:t>‘</w:t>
      </w:r>
      <w:r w:rsidRPr="00027624">
        <w:t>ASFA comfortable standard</w:t>
      </w:r>
      <w:r w:rsidR="00A8443E" w:rsidRPr="00027624">
        <w:t>’</w:t>
      </w:r>
      <w:r w:rsidRPr="00027624">
        <w:t xml:space="preserve"> in wage</w:t>
      </w:r>
      <w:r w:rsidR="00A8443E" w:rsidRPr="00027624">
        <w:noBreakHyphen/>
      </w:r>
      <w:r w:rsidRPr="00027624">
        <w:t xml:space="preserve">deflated terms. Source: </w:t>
      </w:r>
      <w:sdt>
        <w:sdtPr>
          <w:id w:val="-847252389"/>
          <w:citation/>
        </w:sdtPr>
        <w:sdtEndPr/>
        <w:sdtContent>
          <w:r w:rsidRPr="00027624">
            <w:fldChar w:fldCharType="begin"/>
          </w:r>
          <w:r w:rsidRPr="00027624">
            <w:instrText xml:space="preserve"> CITATION ASF20Sub \l 3081 </w:instrText>
          </w:r>
          <w:r w:rsidRPr="00027624">
            <w:fldChar w:fldCharType="separate"/>
          </w:r>
          <w:r w:rsidR="00E83F6E">
            <w:rPr>
              <w:noProof/>
            </w:rPr>
            <w:t>(ASFA, 2020a)</w:t>
          </w:r>
          <w:r w:rsidRPr="00027624">
            <w:fldChar w:fldCharType="end"/>
          </w:r>
        </w:sdtContent>
      </w:sdt>
      <w:r w:rsidRPr="00027624">
        <w:t xml:space="preserve"> and cameo modelling undertaken for the review.</w:t>
      </w:r>
    </w:p>
    <w:p w14:paraId="244CF2E6" w14:textId="77777777" w:rsidR="00E96B29" w:rsidRPr="00027624" w:rsidRDefault="00E96B29" w:rsidP="00E96B29">
      <w:r w:rsidRPr="00027624">
        <w:t xml:space="preserve">Based on </w:t>
      </w:r>
      <w:r w:rsidR="009B7712" w:rsidRPr="00027624">
        <w:t xml:space="preserve">the </w:t>
      </w:r>
      <w:r w:rsidRPr="00027624">
        <w:t>review</w:t>
      </w:r>
      <w:r w:rsidR="00A8443E" w:rsidRPr="00027624">
        <w:t>’</w:t>
      </w:r>
      <w:r w:rsidR="009B7712" w:rsidRPr="00027624">
        <w:t>s</w:t>
      </w:r>
      <w:r w:rsidRPr="00027624">
        <w:t xml:space="preserve"> modelling, individual behaviour or system changes would be needed for the median</w:t>
      </w:r>
      <w:r w:rsidR="00A8443E" w:rsidRPr="00027624">
        <w:noBreakHyphen/>
      </w:r>
      <w:r w:rsidRPr="00027624">
        <w:t>income earner to achieve the ASFA comfortable standard. For example, a m</w:t>
      </w:r>
      <w:r w:rsidR="0078546D" w:rsidRPr="00027624">
        <w:t>edian</w:t>
      </w:r>
      <w:r w:rsidR="00A8443E" w:rsidRPr="00027624">
        <w:noBreakHyphen/>
      </w:r>
      <w:r w:rsidRPr="00027624">
        <w:t>income earner would need the SG rate to continue rising at 0.5 per cent per year until reaching 16.5 per cent to achieve the ASFA comfortable standard. This would provide a replacement rate of 95 per cent, well above what is necessary for people to maintain their standard of living in retirement.</w:t>
      </w:r>
    </w:p>
    <w:p w14:paraId="370F14A8" w14:textId="77777777" w:rsidR="00E96B29" w:rsidRPr="00027624" w:rsidRDefault="00E96B29" w:rsidP="00E96B29">
      <w:pPr>
        <w:pStyle w:val="Heading2"/>
      </w:pPr>
      <w:bookmarkStart w:id="4244" w:name="_Toc45520565"/>
      <w:bookmarkStart w:id="4245" w:name="_Toc46133677"/>
      <w:r w:rsidRPr="00027624">
        <w:t>Retirement income cameo model</w:t>
      </w:r>
      <w:r w:rsidR="00A8443E" w:rsidRPr="00027624">
        <w:t xml:space="preserve"> — </w:t>
      </w:r>
      <w:r w:rsidRPr="00027624">
        <w:t>assumptions and methodology</w:t>
      </w:r>
      <w:bookmarkEnd w:id="4244"/>
      <w:bookmarkEnd w:id="4245"/>
    </w:p>
    <w:p w14:paraId="58984639" w14:textId="77777777" w:rsidR="00E96B29" w:rsidRPr="00027624" w:rsidRDefault="00E96B29" w:rsidP="00E96B29">
      <w:pPr>
        <w:pStyle w:val="Heading3"/>
      </w:pPr>
      <w:r w:rsidRPr="00027624">
        <w:t>Overview</w:t>
      </w:r>
    </w:p>
    <w:p w14:paraId="64CAE6B3" w14:textId="77777777" w:rsidR="00E96B29" w:rsidRPr="00027624" w:rsidRDefault="00E96B29" w:rsidP="00E96B29">
      <w:r w:rsidRPr="00027624">
        <w:t>The review used lifetime cameo models to analyse future retirement outcomes for people starting work today.</w:t>
      </w:r>
      <w:r w:rsidRPr="00027624">
        <w:rPr>
          <w:rStyle w:val="FootnoteReference"/>
        </w:rPr>
        <w:footnoteReference w:id="330"/>
      </w:r>
      <w:r w:rsidRPr="00027624">
        <w:t xml:space="preserve"> The models simulate retirement income and taxation outcomes for hypothetical individuals or couples for each year of their working life and retirement. This includes wage earnings, superannuation contributions, asset earnings and taxation across hypothetical lifetimes, as well as superannuation drawdowns, non</w:t>
      </w:r>
      <w:r w:rsidR="00A8443E" w:rsidRPr="00027624">
        <w:noBreakHyphen/>
      </w:r>
      <w:r w:rsidRPr="00027624">
        <w:t>superannuation financial wealth and Age Pension entitlements across a hypothetical retirement period.</w:t>
      </w:r>
    </w:p>
    <w:p w14:paraId="570153BE" w14:textId="77777777" w:rsidR="00E96B29" w:rsidRPr="00027624" w:rsidRDefault="00E96B29" w:rsidP="00E96B29">
      <w:r w:rsidRPr="00027624">
        <w:t>The lifetime cameo models used for the review were adapted from an existing Treasury model, the Excel Model of Retirement Incomes (EMORI). EMORI was extended by the review to include new data, capabilities and assumptions. Following is a description of the EMORI framework, data inputs and modelling assumptions used for the review</w:t>
      </w:r>
      <w:r w:rsidR="00A8443E" w:rsidRPr="00027624">
        <w:t>’</w:t>
      </w:r>
      <w:r w:rsidRPr="00027624">
        <w:t>s analysis.</w:t>
      </w:r>
    </w:p>
    <w:p w14:paraId="68F67D62" w14:textId="42D2FE04" w:rsidR="00E96B29" w:rsidRPr="00027624" w:rsidRDefault="00E96B29" w:rsidP="00E96B29">
      <w:r w:rsidRPr="00027624">
        <w:t>Specifications for the review</w:t>
      </w:r>
      <w:r w:rsidR="00A8443E" w:rsidRPr="00027624">
        <w:t>’</w:t>
      </w:r>
      <w:r w:rsidRPr="00027624">
        <w:t>s central case cameo model are outlined below (</w:t>
      </w:r>
      <w:r w:rsidRPr="00027624">
        <w:fldChar w:fldCharType="begin"/>
      </w:r>
      <w:r w:rsidRPr="00027624">
        <w:instrText xml:space="preserve"> REF _Ref42079186 \r \h  \* MERGEFORMAT </w:instrText>
      </w:r>
      <w:r w:rsidRPr="00027624">
        <w:fldChar w:fldCharType="separate"/>
      </w:r>
      <w:r w:rsidR="00891058">
        <w:t>Table 6A-4</w:t>
      </w:r>
      <w:r w:rsidRPr="00027624">
        <w:fldChar w:fldCharType="end"/>
      </w:r>
      <w:r w:rsidRPr="00027624">
        <w:t>).</w:t>
      </w:r>
    </w:p>
    <w:p w14:paraId="5334FEE1" w14:textId="77777777" w:rsidR="00E96B29" w:rsidRPr="00027624" w:rsidRDefault="00E96B29" w:rsidP="00E96B29">
      <w:pPr>
        <w:pStyle w:val="TableMainHeading"/>
      </w:pPr>
      <w:bookmarkStart w:id="4246" w:name="_Ref42079186"/>
      <w:r w:rsidRPr="00027624">
        <w:t>Major central case modelling assumptions</w:t>
      </w:r>
      <w:bookmarkEnd w:id="4246"/>
    </w:p>
    <w:tbl>
      <w:tblPr>
        <w:tblW w:w="5000" w:type="pct"/>
        <w:tblLook w:val="01E0" w:firstRow="1" w:lastRow="1" w:firstColumn="1" w:lastColumn="1" w:noHBand="0" w:noVBand="0"/>
      </w:tblPr>
      <w:tblGrid>
        <w:gridCol w:w="2265"/>
        <w:gridCol w:w="2269"/>
        <w:gridCol w:w="2268"/>
        <w:gridCol w:w="2268"/>
      </w:tblGrid>
      <w:tr w:rsidR="00E96B29" w:rsidRPr="00027624" w14:paraId="3388C617" w14:textId="77777777" w:rsidTr="00E96B29">
        <w:trPr>
          <w:trHeight w:val="270"/>
          <w:tblHeader/>
        </w:trPr>
        <w:tc>
          <w:tcPr>
            <w:tcW w:w="1249" w:type="pct"/>
            <w:shd w:val="clear" w:color="auto" w:fill="E5E5E5"/>
          </w:tcPr>
          <w:p w14:paraId="3322D541" w14:textId="77777777" w:rsidR="00E96B29" w:rsidRPr="00027624" w:rsidRDefault="00E96B29" w:rsidP="00E96B29">
            <w:pPr>
              <w:pStyle w:val="TableColumnHeadingCentred"/>
              <w:jc w:val="left"/>
            </w:pPr>
            <w:r w:rsidRPr="00027624">
              <w:t>Assumption</w:t>
            </w:r>
          </w:p>
        </w:tc>
        <w:tc>
          <w:tcPr>
            <w:tcW w:w="1251" w:type="pct"/>
            <w:shd w:val="clear" w:color="auto" w:fill="E5E5E5"/>
          </w:tcPr>
          <w:p w14:paraId="5A5BFE72" w14:textId="77777777" w:rsidR="00E96B29" w:rsidRPr="00027624" w:rsidRDefault="00E96B29" w:rsidP="00E96B29">
            <w:pPr>
              <w:pStyle w:val="TableColumnHeadingCentred"/>
              <w:jc w:val="left"/>
            </w:pPr>
            <w:r w:rsidRPr="00027624">
              <w:t>Central case</w:t>
            </w:r>
          </w:p>
        </w:tc>
        <w:tc>
          <w:tcPr>
            <w:tcW w:w="1250" w:type="pct"/>
            <w:shd w:val="clear" w:color="auto" w:fill="E5E5E5"/>
          </w:tcPr>
          <w:p w14:paraId="163D4178" w14:textId="77777777" w:rsidR="00E96B29" w:rsidRPr="00027624" w:rsidRDefault="00E96B29" w:rsidP="00E96B29">
            <w:pPr>
              <w:pStyle w:val="TableColumnHeadingCentred"/>
              <w:jc w:val="left"/>
            </w:pPr>
            <w:r w:rsidRPr="00027624">
              <w:t>Basis</w:t>
            </w:r>
          </w:p>
        </w:tc>
        <w:tc>
          <w:tcPr>
            <w:tcW w:w="1250" w:type="pct"/>
            <w:shd w:val="clear" w:color="auto" w:fill="E5E5E5"/>
          </w:tcPr>
          <w:p w14:paraId="47055B34" w14:textId="77777777" w:rsidR="00E96B29" w:rsidRPr="00027624" w:rsidRDefault="00E96B29" w:rsidP="00E96B29">
            <w:pPr>
              <w:pStyle w:val="TableColumnHeadingCentred"/>
              <w:jc w:val="left"/>
            </w:pPr>
            <w:r w:rsidRPr="00027624">
              <w:t>Sensitivity testingⁱ</w:t>
            </w:r>
          </w:p>
        </w:tc>
      </w:tr>
      <w:tr w:rsidR="00E96B29" w:rsidRPr="00027624" w14:paraId="64DFCC34" w14:textId="77777777" w:rsidTr="00E96B29">
        <w:trPr>
          <w:trHeight w:val="270"/>
        </w:trPr>
        <w:tc>
          <w:tcPr>
            <w:tcW w:w="1249" w:type="pct"/>
          </w:tcPr>
          <w:p w14:paraId="21241EEC" w14:textId="77777777" w:rsidR="00E96B29" w:rsidRPr="00027624" w:rsidRDefault="00E96B29" w:rsidP="00E96B29">
            <w:pPr>
              <w:pStyle w:val="TableTextLeft"/>
            </w:pPr>
            <w:r w:rsidRPr="00027624">
              <w:t>Life expectancy</w:t>
            </w:r>
          </w:p>
        </w:tc>
        <w:tc>
          <w:tcPr>
            <w:tcW w:w="1251" w:type="pct"/>
          </w:tcPr>
          <w:p w14:paraId="01C310EA" w14:textId="77777777" w:rsidR="00E96B29" w:rsidRPr="00027624" w:rsidRDefault="00E96B29" w:rsidP="00E96B29">
            <w:pPr>
              <w:pStyle w:val="TableTextCentered"/>
              <w:jc w:val="left"/>
            </w:pPr>
            <w:r w:rsidRPr="00027624">
              <w:t>92 years</w:t>
            </w:r>
          </w:p>
        </w:tc>
        <w:tc>
          <w:tcPr>
            <w:tcW w:w="1250" w:type="pct"/>
          </w:tcPr>
          <w:p w14:paraId="336C97EE" w14:textId="77777777" w:rsidR="00E96B29" w:rsidRPr="00027624" w:rsidRDefault="00E96B29" w:rsidP="00E96B29">
            <w:pPr>
              <w:pStyle w:val="TableTextCentered"/>
              <w:jc w:val="left"/>
            </w:pPr>
            <w:r w:rsidRPr="00027624">
              <w:t>Projections from 2015 Intergenerational Report (IGR)</w:t>
            </w:r>
          </w:p>
        </w:tc>
        <w:tc>
          <w:tcPr>
            <w:tcW w:w="1250" w:type="pct"/>
          </w:tcPr>
          <w:p w14:paraId="680D64C5" w14:textId="77777777" w:rsidR="00E96B29" w:rsidRPr="00027624" w:rsidRDefault="00E96B29" w:rsidP="00E96B29">
            <w:pPr>
              <w:pStyle w:val="TableTextCentered"/>
              <w:jc w:val="left"/>
            </w:pPr>
            <w:r w:rsidRPr="00027624">
              <w:t>Longer life expectancy</w:t>
            </w:r>
          </w:p>
        </w:tc>
      </w:tr>
      <w:tr w:rsidR="00E96B29" w:rsidRPr="00027624" w14:paraId="7D1DEE50" w14:textId="77777777" w:rsidTr="00E96B29">
        <w:trPr>
          <w:trHeight w:val="270"/>
        </w:trPr>
        <w:tc>
          <w:tcPr>
            <w:tcW w:w="1249" w:type="pct"/>
          </w:tcPr>
          <w:p w14:paraId="78A9E3A5" w14:textId="77777777" w:rsidR="00E96B29" w:rsidRPr="00027624" w:rsidRDefault="00E96B29" w:rsidP="00E96B29">
            <w:pPr>
              <w:pStyle w:val="TableTextLeft"/>
            </w:pPr>
            <w:r w:rsidRPr="00027624">
              <w:t>Length of working life</w:t>
            </w:r>
          </w:p>
        </w:tc>
        <w:tc>
          <w:tcPr>
            <w:tcW w:w="1251" w:type="pct"/>
          </w:tcPr>
          <w:p w14:paraId="288F1B57" w14:textId="77777777" w:rsidR="00E96B29" w:rsidRPr="00027624" w:rsidRDefault="00E96B29" w:rsidP="00E96B29">
            <w:pPr>
              <w:pStyle w:val="TableTextCentered"/>
              <w:jc w:val="left"/>
            </w:pPr>
            <w:r w:rsidRPr="00027624">
              <w:t>40 years</w:t>
            </w:r>
          </w:p>
        </w:tc>
        <w:tc>
          <w:tcPr>
            <w:tcW w:w="1250" w:type="pct"/>
          </w:tcPr>
          <w:p w14:paraId="1518AFC0" w14:textId="77777777" w:rsidR="00E96B29" w:rsidRPr="00027624" w:rsidRDefault="00E96B29" w:rsidP="00E96B29">
            <w:pPr>
              <w:pStyle w:val="TableTextCentered"/>
              <w:jc w:val="left"/>
            </w:pPr>
            <w:r w:rsidRPr="00027624">
              <w:t>Median in HILDA, checked against labour force trends and MARIA modelling</w:t>
            </w:r>
          </w:p>
        </w:tc>
        <w:tc>
          <w:tcPr>
            <w:tcW w:w="1250" w:type="pct"/>
          </w:tcPr>
          <w:p w14:paraId="6F1B15BD" w14:textId="77777777" w:rsidR="00E96B29" w:rsidRPr="00027624" w:rsidRDefault="00E96B29" w:rsidP="00E96B29">
            <w:pPr>
              <w:pStyle w:val="TableTextCentered"/>
              <w:jc w:val="left"/>
            </w:pPr>
            <w:r w:rsidRPr="00027624">
              <w:t>Testing of different career lengths, checked against careers of retirees today</w:t>
            </w:r>
          </w:p>
        </w:tc>
      </w:tr>
      <w:tr w:rsidR="00E96B29" w:rsidRPr="00027624" w14:paraId="2CE8044D" w14:textId="77777777" w:rsidTr="00E96B29">
        <w:trPr>
          <w:trHeight w:val="270"/>
        </w:trPr>
        <w:tc>
          <w:tcPr>
            <w:tcW w:w="1249" w:type="pct"/>
          </w:tcPr>
          <w:p w14:paraId="004C809B" w14:textId="77777777" w:rsidR="00E96B29" w:rsidRPr="00027624" w:rsidRDefault="00E96B29" w:rsidP="00E96B29">
            <w:pPr>
              <w:pStyle w:val="TableTextLeft"/>
            </w:pPr>
            <w:r w:rsidRPr="00027624">
              <w:t>Incomes</w:t>
            </w:r>
          </w:p>
        </w:tc>
        <w:tc>
          <w:tcPr>
            <w:tcW w:w="1251" w:type="pct"/>
          </w:tcPr>
          <w:p w14:paraId="11EE726F" w14:textId="77777777" w:rsidR="00E96B29" w:rsidRPr="00027624" w:rsidRDefault="00E96B29" w:rsidP="00E96B29">
            <w:pPr>
              <w:pStyle w:val="TableTextCentered"/>
              <w:jc w:val="left"/>
            </w:pPr>
            <w:r w:rsidRPr="00027624">
              <w:t xml:space="preserve">By age and income </w:t>
            </w:r>
          </w:p>
        </w:tc>
        <w:tc>
          <w:tcPr>
            <w:tcW w:w="1250" w:type="pct"/>
          </w:tcPr>
          <w:p w14:paraId="03A8C1AE" w14:textId="77777777" w:rsidR="00E96B29" w:rsidRPr="00027624" w:rsidRDefault="00E96B29" w:rsidP="00E96B29">
            <w:pPr>
              <w:pStyle w:val="TableTextCentered"/>
              <w:jc w:val="left"/>
            </w:pPr>
            <w:r w:rsidRPr="00027624">
              <w:t xml:space="preserve">Tax return data </w:t>
            </w:r>
          </w:p>
        </w:tc>
        <w:tc>
          <w:tcPr>
            <w:tcW w:w="1250" w:type="pct"/>
          </w:tcPr>
          <w:p w14:paraId="7C1AD847" w14:textId="77777777" w:rsidR="00E96B29" w:rsidRPr="00027624" w:rsidRDefault="00E96B29" w:rsidP="00E96B29">
            <w:pPr>
              <w:pStyle w:val="TableTextCentered"/>
              <w:jc w:val="left"/>
            </w:pPr>
            <w:r w:rsidRPr="00027624">
              <w:t>n/a</w:t>
            </w:r>
          </w:p>
        </w:tc>
      </w:tr>
      <w:tr w:rsidR="00E96B29" w:rsidRPr="00027624" w14:paraId="2A6F2407" w14:textId="77777777" w:rsidTr="00E96B29">
        <w:trPr>
          <w:trHeight w:val="270"/>
        </w:trPr>
        <w:tc>
          <w:tcPr>
            <w:tcW w:w="1249" w:type="pct"/>
          </w:tcPr>
          <w:p w14:paraId="5BF9C83A" w14:textId="77777777" w:rsidR="00E96B29" w:rsidRPr="00027624" w:rsidRDefault="00E96B29" w:rsidP="00E96B29">
            <w:pPr>
              <w:pStyle w:val="TableTextLeft"/>
            </w:pPr>
            <w:r w:rsidRPr="00027624">
              <w:t>Nominal wages growth</w:t>
            </w:r>
          </w:p>
        </w:tc>
        <w:tc>
          <w:tcPr>
            <w:tcW w:w="1251" w:type="pct"/>
          </w:tcPr>
          <w:p w14:paraId="18833323" w14:textId="77777777" w:rsidR="00E96B29" w:rsidRPr="00027624" w:rsidRDefault="00E96B29" w:rsidP="00E96B29">
            <w:pPr>
              <w:pStyle w:val="TableTextCentered"/>
              <w:jc w:val="left"/>
            </w:pPr>
            <w:r w:rsidRPr="00027624">
              <w:t>MYEFO 2019</w:t>
            </w:r>
            <w:r w:rsidR="00A8443E" w:rsidRPr="00027624">
              <w:noBreakHyphen/>
            </w:r>
            <w:r w:rsidRPr="00027624">
              <w:t>20 for forward estimates</w:t>
            </w:r>
          </w:p>
          <w:p w14:paraId="7C4D85ED" w14:textId="77777777" w:rsidR="00E96B29" w:rsidRPr="00027624" w:rsidRDefault="00E96B29" w:rsidP="00E96B29">
            <w:pPr>
              <w:pStyle w:val="TableTextCentered"/>
              <w:jc w:val="left"/>
            </w:pPr>
            <w:r w:rsidRPr="00027624">
              <w:t>Long run ~4%ⁱⁱ</w:t>
            </w:r>
          </w:p>
        </w:tc>
        <w:tc>
          <w:tcPr>
            <w:tcW w:w="1250" w:type="pct"/>
          </w:tcPr>
          <w:p w14:paraId="4517C87D" w14:textId="77777777" w:rsidR="00E96B29" w:rsidRPr="00027624" w:rsidRDefault="00E96B29" w:rsidP="00E96B29">
            <w:pPr>
              <w:pStyle w:val="TableTextCentered"/>
              <w:jc w:val="left"/>
            </w:pPr>
            <w:r w:rsidRPr="00027624">
              <w:t>Projections from IGR 2015; average weekly ordinary time earnings growth averaged 4% over past 20 years</w:t>
            </w:r>
          </w:p>
        </w:tc>
        <w:tc>
          <w:tcPr>
            <w:tcW w:w="1250" w:type="pct"/>
          </w:tcPr>
          <w:p w14:paraId="3C7332C2" w14:textId="77777777" w:rsidR="00E96B29" w:rsidRPr="00027624" w:rsidRDefault="00E96B29">
            <w:pPr>
              <w:pStyle w:val="TableTextCentered"/>
              <w:jc w:val="left"/>
            </w:pPr>
            <w:r w:rsidRPr="00027624">
              <w:t>0.5% lower</w:t>
            </w:r>
          </w:p>
        </w:tc>
      </w:tr>
      <w:tr w:rsidR="00E96B29" w:rsidRPr="00027624" w14:paraId="37BEEDE0" w14:textId="77777777" w:rsidTr="00E96B29">
        <w:trPr>
          <w:trHeight w:val="270"/>
        </w:trPr>
        <w:tc>
          <w:tcPr>
            <w:tcW w:w="1249" w:type="pct"/>
          </w:tcPr>
          <w:p w14:paraId="04C5FB6F" w14:textId="77777777" w:rsidR="00E96B29" w:rsidRPr="00027624" w:rsidRDefault="00E96B29" w:rsidP="00E96B29">
            <w:pPr>
              <w:pStyle w:val="TableTextLeft"/>
            </w:pPr>
            <w:r w:rsidRPr="00027624">
              <w:t>Investment returns (before fees and taxes)</w:t>
            </w:r>
          </w:p>
        </w:tc>
        <w:tc>
          <w:tcPr>
            <w:tcW w:w="1251" w:type="pct"/>
          </w:tcPr>
          <w:p w14:paraId="3A4B9177" w14:textId="77777777" w:rsidR="00E96B29" w:rsidRPr="00027624" w:rsidRDefault="00E96B29" w:rsidP="00E96B29">
            <w:pPr>
              <w:pStyle w:val="TableTextCentered"/>
              <w:jc w:val="left"/>
            </w:pPr>
            <w:r w:rsidRPr="00027624">
              <w:t>7.5% pre</w:t>
            </w:r>
            <w:r w:rsidR="00A8443E" w:rsidRPr="00027624">
              <w:noBreakHyphen/>
            </w:r>
            <w:r w:rsidRPr="00027624">
              <w:t>retirement phase</w:t>
            </w:r>
            <w:r w:rsidRPr="00027624">
              <w:br/>
              <w:t>6.2% retirement phase</w:t>
            </w:r>
          </w:p>
        </w:tc>
        <w:tc>
          <w:tcPr>
            <w:tcW w:w="1250" w:type="pct"/>
          </w:tcPr>
          <w:p w14:paraId="0018484B" w14:textId="77777777" w:rsidR="00E96B29" w:rsidRPr="00027624" w:rsidRDefault="00E96B29" w:rsidP="00E96B29">
            <w:pPr>
              <w:pStyle w:val="TableTextCentered"/>
              <w:jc w:val="left"/>
            </w:pPr>
            <w:r w:rsidRPr="00027624">
              <w:t>Forward</w:t>
            </w:r>
            <w:r w:rsidR="00A8443E" w:rsidRPr="00027624">
              <w:noBreakHyphen/>
            </w:r>
            <w:r w:rsidRPr="00027624">
              <w:t>looking investment return targets</w:t>
            </w:r>
          </w:p>
        </w:tc>
        <w:tc>
          <w:tcPr>
            <w:tcW w:w="1250" w:type="pct"/>
          </w:tcPr>
          <w:p w14:paraId="3E9A125A" w14:textId="77777777" w:rsidR="00E96B29" w:rsidRPr="00027624" w:rsidRDefault="00E96B29" w:rsidP="00E96B29">
            <w:pPr>
              <w:pStyle w:val="TableTextCentered"/>
              <w:jc w:val="left"/>
            </w:pPr>
            <w:r w:rsidRPr="00027624">
              <w:t>Higher/lower investment returns</w:t>
            </w:r>
          </w:p>
        </w:tc>
      </w:tr>
      <w:tr w:rsidR="00E96B29" w:rsidRPr="00027624" w14:paraId="14347218" w14:textId="77777777" w:rsidTr="00E96B29">
        <w:trPr>
          <w:trHeight w:val="270"/>
        </w:trPr>
        <w:tc>
          <w:tcPr>
            <w:tcW w:w="1249" w:type="pct"/>
          </w:tcPr>
          <w:p w14:paraId="32B8700F" w14:textId="77777777" w:rsidR="00E96B29" w:rsidRPr="00027624" w:rsidRDefault="00E96B29" w:rsidP="00E96B29">
            <w:pPr>
              <w:pStyle w:val="TableTextLeft"/>
            </w:pPr>
            <w:r w:rsidRPr="00027624">
              <w:t>Voluntary superannuation contributions</w:t>
            </w:r>
          </w:p>
        </w:tc>
        <w:tc>
          <w:tcPr>
            <w:tcW w:w="1251" w:type="pct"/>
          </w:tcPr>
          <w:p w14:paraId="68AFC670" w14:textId="77777777" w:rsidR="00E96B29" w:rsidRPr="00027624" w:rsidRDefault="00E96B29" w:rsidP="00E96B29">
            <w:pPr>
              <w:pStyle w:val="TableTextCentered"/>
              <w:jc w:val="left"/>
            </w:pPr>
            <w:r w:rsidRPr="00027624">
              <w:t>Salary sacrifice contributions only</w:t>
            </w:r>
          </w:p>
        </w:tc>
        <w:tc>
          <w:tcPr>
            <w:tcW w:w="1250" w:type="pct"/>
          </w:tcPr>
          <w:p w14:paraId="3A5CB278" w14:textId="77777777" w:rsidR="00E96B29" w:rsidRPr="00027624" w:rsidRDefault="00E96B29" w:rsidP="00E96B29">
            <w:pPr>
              <w:pStyle w:val="TableTextCentered"/>
              <w:jc w:val="left"/>
            </w:pPr>
            <w:r w:rsidRPr="00027624">
              <w:t>ATO income and tax data</w:t>
            </w:r>
          </w:p>
          <w:p w14:paraId="11378222" w14:textId="77777777" w:rsidR="00E96B29" w:rsidRPr="00027624" w:rsidRDefault="00E96B29" w:rsidP="00E96B29">
            <w:pPr>
              <w:pStyle w:val="TableTextCentered"/>
              <w:jc w:val="left"/>
            </w:pPr>
          </w:p>
        </w:tc>
        <w:tc>
          <w:tcPr>
            <w:tcW w:w="1250" w:type="pct"/>
          </w:tcPr>
          <w:p w14:paraId="19881258" w14:textId="77777777" w:rsidR="00E96B29" w:rsidRPr="00027624" w:rsidRDefault="00E96B29" w:rsidP="00E96B29">
            <w:pPr>
              <w:pStyle w:val="TableTextCentered"/>
              <w:jc w:val="left"/>
            </w:pPr>
            <w:r w:rsidRPr="00027624">
              <w:t>No voluntary saving</w:t>
            </w:r>
          </w:p>
        </w:tc>
      </w:tr>
      <w:tr w:rsidR="00E96B29" w:rsidRPr="00027624" w14:paraId="708AF37B" w14:textId="77777777" w:rsidTr="00E96B29">
        <w:trPr>
          <w:trHeight w:val="270"/>
        </w:trPr>
        <w:tc>
          <w:tcPr>
            <w:tcW w:w="1249" w:type="pct"/>
          </w:tcPr>
          <w:p w14:paraId="3B09B811" w14:textId="77777777" w:rsidR="00E96B29" w:rsidRPr="00027624" w:rsidRDefault="00E96B29" w:rsidP="00E96B29">
            <w:pPr>
              <w:pStyle w:val="TableTextLeft"/>
            </w:pPr>
            <w:r w:rsidRPr="00027624">
              <w:t>Superannuation drawdowns</w:t>
            </w:r>
          </w:p>
        </w:tc>
        <w:tc>
          <w:tcPr>
            <w:tcW w:w="1251" w:type="pct"/>
          </w:tcPr>
          <w:p w14:paraId="7EE74A99" w14:textId="77777777" w:rsidR="00E96B29" w:rsidRPr="00027624" w:rsidRDefault="00E96B29" w:rsidP="00E96B29">
            <w:pPr>
              <w:pStyle w:val="TableTextCentered"/>
              <w:jc w:val="left"/>
            </w:pPr>
            <w:r w:rsidRPr="00027624">
              <w:t>Optimal drawdown to exhaust at life expectancy</w:t>
            </w:r>
          </w:p>
        </w:tc>
        <w:tc>
          <w:tcPr>
            <w:tcW w:w="1250" w:type="pct"/>
          </w:tcPr>
          <w:p w14:paraId="0A25DB67" w14:textId="77777777" w:rsidR="00E96B29" w:rsidRPr="00027624" w:rsidRDefault="00E96B29" w:rsidP="00E96B29">
            <w:pPr>
              <w:pStyle w:val="TableTextCentered"/>
              <w:jc w:val="left"/>
            </w:pPr>
            <w:r w:rsidRPr="00027624">
              <w:t>Aligns with system purpose</w:t>
            </w:r>
          </w:p>
        </w:tc>
        <w:tc>
          <w:tcPr>
            <w:tcW w:w="1250" w:type="pct"/>
          </w:tcPr>
          <w:p w14:paraId="695EAFCB" w14:textId="77777777" w:rsidR="00E96B29" w:rsidRPr="00027624" w:rsidRDefault="00E96B29" w:rsidP="00E96B29">
            <w:pPr>
              <w:pStyle w:val="TableTextCentered"/>
              <w:jc w:val="left"/>
            </w:pPr>
            <w:r w:rsidRPr="00027624">
              <w:t>Minimum and observed drawdown rates</w:t>
            </w:r>
          </w:p>
        </w:tc>
      </w:tr>
      <w:tr w:rsidR="00E96B29" w:rsidRPr="00027624" w14:paraId="28045DB7" w14:textId="77777777" w:rsidTr="00E96B29">
        <w:trPr>
          <w:trHeight w:val="270"/>
        </w:trPr>
        <w:tc>
          <w:tcPr>
            <w:tcW w:w="1249" w:type="pct"/>
          </w:tcPr>
          <w:p w14:paraId="1DABB5BD" w14:textId="77777777" w:rsidR="00E96B29" w:rsidRPr="00027624" w:rsidRDefault="00E96B29" w:rsidP="00E96B29">
            <w:pPr>
              <w:pStyle w:val="TableTextLeft"/>
            </w:pPr>
            <w:r w:rsidRPr="00027624">
              <w:t>Management of longevity risk</w:t>
            </w:r>
          </w:p>
        </w:tc>
        <w:tc>
          <w:tcPr>
            <w:tcW w:w="1251" w:type="pct"/>
          </w:tcPr>
          <w:p w14:paraId="5F67D778" w14:textId="77777777" w:rsidR="00E96B29" w:rsidRPr="00027624" w:rsidRDefault="00E96B29" w:rsidP="00E96B29">
            <w:pPr>
              <w:pStyle w:val="TableTextCentered"/>
              <w:jc w:val="left"/>
            </w:pPr>
            <w:r w:rsidRPr="00027624">
              <w:t>Purchase of a deferred pooled longevity product</w:t>
            </w:r>
          </w:p>
        </w:tc>
        <w:tc>
          <w:tcPr>
            <w:tcW w:w="1250" w:type="pct"/>
          </w:tcPr>
          <w:p w14:paraId="2DC1FF32" w14:textId="77777777" w:rsidR="00E96B29" w:rsidRPr="00027624" w:rsidRDefault="00E96B29" w:rsidP="00E96B29">
            <w:pPr>
              <w:pStyle w:val="TableTextCentered"/>
              <w:jc w:val="left"/>
            </w:pPr>
            <w:r w:rsidRPr="00027624">
              <w:t>Aligns with system direction</w:t>
            </w:r>
          </w:p>
        </w:tc>
        <w:tc>
          <w:tcPr>
            <w:tcW w:w="1250" w:type="pct"/>
          </w:tcPr>
          <w:p w14:paraId="0667EA86" w14:textId="77777777" w:rsidR="00E96B29" w:rsidRPr="00027624" w:rsidRDefault="00E96B29" w:rsidP="00E96B29">
            <w:pPr>
              <w:pStyle w:val="TableTextCentered"/>
              <w:jc w:val="left"/>
            </w:pPr>
            <w:r w:rsidRPr="00027624">
              <w:t>No longevity protection</w:t>
            </w:r>
          </w:p>
          <w:p w14:paraId="5B9CC37C" w14:textId="77777777" w:rsidR="00E96B29" w:rsidRPr="00027624" w:rsidRDefault="00E96B29" w:rsidP="00E96B29">
            <w:pPr>
              <w:pStyle w:val="TableTextCentered"/>
              <w:jc w:val="left"/>
            </w:pPr>
            <w:r w:rsidRPr="00027624">
              <w:t>Different pricing</w:t>
            </w:r>
          </w:p>
        </w:tc>
      </w:tr>
      <w:tr w:rsidR="00E96B29" w:rsidRPr="00027624" w14:paraId="1EFA3826" w14:textId="77777777" w:rsidTr="00E96B29">
        <w:trPr>
          <w:trHeight w:val="270"/>
        </w:trPr>
        <w:tc>
          <w:tcPr>
            <w:tcW w:w="1249" w:type="pct"/>
          </w:tcPr>
          <w:p w14:paraId="4A8BFE03" w14:textId="77777777" w:rsidR="00E96B29" w:rsidRPr="00027624" w:rsidRDefault="00E96B29" w:rsidP="00E96B29">
            <w:pPr>
              <w:pStyle w:val="TableTextLeft"/>
            </w:pPr>
            <w:r w:rsidRPr="00027624">
              <w:t>Replacement rate calculation</w:t>
            </w:r>
          </w:p>
        </w:tc>
        <w:tc>
          <w:tcPr>
            <w:tcW w:w="1251" w:type="pct"/>
          </w:tcPr>
          <w:p w14:paraId="779C8C55" w14:textId="77777777" w:rsidR="00E96B29" w:rsidRPr="00027624" w:rsidRDefault="00E96B29" w:rsidP="00E96B29">
            <w:pPr>
              <w:pStyle w:val="TableTextCentered"/>
              <w:jc w:val="left"/>
            </w:pPr>
            <w:r w:rsidRPr="00027624">
              <w:t xml:space="preserve">Average annual whole of retirement disposable income divided by average annual disposable income 10 years before retirementⁱⁱⁱ </w:t>
            </w:r>
          </w:p>
        </w:tc>
        <w:tc>
          <w:tcPr>
            <w:tcW w:w="1250" w:type="pct"/>
          </w:tcPr>
          <w:p w14:paraId="4BC09183" w14:textId="77777777" w:rsidR="00E96B29" w:rsidRPr="00027624" w:rsidRDefault="00E96B29" w:rsidP="00E96B29">
            <w:pPr>
              <w:pStyle w:val="TableTextCentered"/>
              <w:jc w:val="left"/>
            </w:pPr>
            <w:r w:rsidRPr="00027624">
              <w:t>Analysis of spending needs</w:t>
            </w:r>
          </w:p>
        </w:tc>
        <w:tc>
          <w:tcPr>
            <w:tcW w:w="1250" w:type="pct"/>
          </w:tcPr>
          <w:p w14:paraId="359B3983" w14:textId="77777777" w:rsidR="00E96B29" w:rsidRPr="00027624" w:rsidRDefault="00E96B29" w:rsidP="00E96B29">
            <w:pPr>
              <w:pStyle w:val="TableTextCentered"/>
              <w:jc w:val="left"/>
            </w:pPr>
            <w:r w:rsidRPr="00027624">
              <w:t>Alternative deflators and calculation periods</w:t>
            </w:r>
          </w:p>
        </w:tc>
      </w:tr>
      <w:tr w:rsidR="00E96B29" w:rsidRPr="00027624" w14:paraId="429BDB6E" w14:textId="77777777" w:rsidTr="00E96B29">
        <w:trPr>
          <w:trHeight w:val="270"/>
        </w:trPr>
        <w:tc>
          <w:tcPr>
            <w:tcW w:w="1249" w:type="pct"/>
          </w:tcPr>
          <w:p w14:paraId="0048D051" w14:textId="77777777" w:rsidR="00E96B29" w:rsidRPr="00027624" w:rsidRDefault="00E96B29" w:rsidP="00E96B29">
            <w:pPr>
              <w:pStyle w:val="TableTextLeft"/>
            </w:pPr>
            <w:r w:rsidRPr="00027624">
              <w:t>Home ownership</w:t>
            </w:r>
          </w:p>
        </w:tc>
        <w:tc>
          <w:tcPr>
            <w:tcW w:w="1251" w:type="pct"/>
          </w:tcPr>
          <w:p w14:paraId="046C63FC" w14:textId="77777777" w:rsidR="00E96B29" w:rsidRPr="00027624" w:rsidRDefault="00E96B29" w:rsidP="00E96B29">
            <w:pPr>
              <w:pStyle w:val="TableTextCentered"/>
              <w:jc w:val="left"/>
            </w:pPr>
            <w:r w:rsidRPr="00027624">
              <w:t>Home owner</w:t>
            </w:r>
          </w:p>
        </w:tc>
        <w:tc>
          <w:tcPr>
            <w:tcW w:w="1250" w:type="pct"/>
          </w:tcPr>
          <w:p w14:paraId="4D4462A2" w14:textId="77777777" w:rsidR="00E96B29" w:rsidRPr="00027624" w:rsidRDefault="00E96B29" w:rsidP="00E96B29">
            <w:pPr>
              <w:pStyle w:val="TableTextCentered"/>
              <w:jc w:val="left"/>
            </w:pPr>
            <w:r w:rsidRPr="00027624">
              <w:t xml:space="preserve">Home ownership rates for middle and </w:t>
            </w:r>
            <w:r w:rsidR="00B2720D" w:rsidRPr="00027624">
              <w:t>higher-wealth</w:t>
            </w:r>
            <w:r w:rsidRPr="00027624">
              <w:t xml:space="preserve"> retirees exceed 95 per cent</w:t>
            </w:r>
          </w:p>
        </w:tc>
        <w:tc>
          <w:tcPr>
            <w:tcW w:w="1250" w:type="pct"/>
          </w:tcPr>
          <w:p w14:paraId="5388CFE1" w14:textId="77777777" w:rsidR="00E96B29" w:rsidRPr="00027624" w:rsidRDefault="00E96B29" w:rsidP="00E96B29">
            <w:pPr>
              <w:pStyle w:val="TableTextCentered"/>
              <w:jc w:val="left"/>
            </w:pPr>
            <w:r w:rsidRPr="00027624">
              <w:t>Renter</w:t>
            </w:r>
          </w:p>
        </w:tc>
      </w:tr>
    </w:tbl>
    <w:p w14:paraId="703DEBFE" w14:textId="74A911B7" w:rsidR="00E96B29" w:rsidRPr="00027624" w:rsidRDefault="00E96B29" w:rsidP="00E96B29">
      <w:pPr>
        <w:tabs>
          <w:tab w:val="left" w:pos="0"/>
        </w:tabs>
        <w:spacing w:after="60"/>
        <w:rPr>
          <w:iCs/>
          <w:sz w:val="18"/>
        </w:rPr>
      </w:pPr>
      <w:r w:rsidRPr="00027624">
        <w:rPr>
          <w:iCs/>
          <w:sz w:val="18"/>
        </w:rPr>
        <w:t xml:space="preserve">Note: </w:t>
      </w:r>
      <w:r w:rsidRPr="00027624">
        <w:rPr>
          <w:sz w:val="18"/>
        </w:rPr>
        <w:t xml:space="preserve">ⁱFor sensitivity testing, refer to </w:t>
      </w:r>
      <w:r w:rsidRPr="00027624">
        <w:rPr>
          <w:i/>
          <w:sz w:val="18"/>
        </w:rPr>
        <w:t>2C. Maintaining standards of living in retirement.</w:t>
      </w:r>
      <w:r w:rsidRPr="00027624">
        <w:rPr>
          <w:iCs/>
          <w:sz w:val="18"/>
        </w:rPr>
        <w:t xml:space="preserve"> </w:t>
      </w:r>
      <w:r w:rsidRPr="00027624">
        <w:rPr>
          <w:sz w:val="18"/>
        </w:rPr>
        <w:t xml:space="preserve">ⁱⁱLong run inflation of 2.5 per cent and productivity growth of 1.5 per cent gives nominal wages growth just over 4 per cent. See </w:t>
      </w:r>
      <w:sdt>
        <w:sdtPr>
          <w:rPr>
            <w:sz w:val="18"/>
          </w:rPr>
          <w:id w:val="-1353489647"/>
          <w:citation/>
        </w:sdtPr>
        <w:sdtEndPr/>
        <w:sdtContent>
          <w:r w:rsidRPr="00027624">
            <w:rPr>
              <w:sz w:val="18"/>
            </w:rPr>
            <w:fldChar w:fldCharType="begin"/>
          </w:r>
          <w:r w:rsidRPr="00027624">
            <w:rPr>
              <w:sz w:val="18"/>
            </w:rPr>
            <w:instrText xml:space="preserve"> CITATION The15 \l 3081 </w:instrText>
          </w:r>
          <w:r w:rsidRPr="00027624">
            <w:rPr>
              <w:sz w:val="18"/>
            </w:rPr>
            <w:fldChar w:fldCharType="separate"/>
          </w:r>
          <w:r w:rsidR="00E83F6E" w:rsidRPr="00E83F6E">
            <w:rPr>
              <w:noProof/>
              <w:sz w:val="18"/>
            </w:rPr>
            <w:t>(Commonwealth of Australia, 2015)</w:t>
          </w:r>
          <w:r w:rsidRPr="00027624">
            <w:rPr>
              <w:sz w:val="18"/>
            </w:rPr>
            <w:fldChar w:fldCharType="end"/>
          </w:r>
        </w:sdtContent>
      </w:sdt>
      <w:r w:rsidRPr="00027624">
        <w:rPr>
          <w:sz w:val="18"/>
        </w:rPr>
        <w:t>. ⁱⁱⁱReplacement rates are deflated using the review</w:t>
      </w:r>
      <w:r w:rsidR="00A8443E" w:rsidRPr="00027624">
        <w:rPr>
          <w:sz w:val="18"/>
        </w:rPr>
        <w:t>’</w:t>
      </w:r>
      <w:r w:rsidRPr="00027624">
        <w:rPr>
          <w:sz w:val="18"/>
        </w:rPr>
        <w:t xml:space="preserve">s mixed deflator. Refer to </w:t>
      </w:r>
      <w:r w:rsidRPr="00027624">
        <w:rPr>
          <w:i/>
          <w:sz w:val="18"/>
          <w:szCs w:val="18"/>
        </w:rPr>
        <w:fldChar w:fldCharType="begin"/>
      </w:r>
      <w:r w:rsidRPr="00027624">
        <w:rPr>
          <w:i/>
          <w:sz w:val="18"/>
          <w:szCs w:val="18"/>
        </w:rPr>
        <w:instrText xml:space="preserve"> REF _Ref42616963 \h  \* MERGEFORMAT </w:instrText>
      </w:r>
      <w:r w:rsidRPr="00027624">
        <w:rPr>
          <w:i/>
          <w:sz w:val="18"/>
          <w:szCs w:val="18"/>
        </w:rPr>
      </w:r>
      <w:r w:rsidRPr="00027624">
        <w:rPr>
          <w:i/>
          <w:sz w:val="18"/>
          <w:szCs w:val="18"/>
        </w:rPr>
        <w:fldChar w:fldCharType="separate"/>
      </w:r>
      <w:r w:rsidR="00891058" w:rsidRPr="00891058">
        <w:rPr>
          <w:i/>
          <w:sz w:val="18"/>
          <w:szCs w:val="18"/>
        </w:rPr>
        <w:t>Income deflation</w:t>
      </w:r>
      <w:r w:rsidRPr="00027624">
        <w:rPr>
          <w:i/>
          <w:sz w:val="18"/>
          <w:szCs w:val="18"/>
        </w:rPr>
        <w:fldChar w:fldCharType="end"/>
      </w:r>
      <w:r w:rsidRPr="00027624">
        <w:rPr>
          <w:i/>
          <w:sz w:val="18"/>
        </w:rPr>
        <w:t xml:space="preserve"> </w:t>
      </w:r>
      <w:r w:rsidRPr="00027624">
        <w:rPr>
          <w:sz w:val="18"/>
        </w:rPr>
        <w:t>below for specifications.</w:t>
      </w:r>
      <w:r w:rsidRPr="00027624">
        <w:rPr>
          <w:iCs/>
          <w:sz w:val="18"/>
        </w:rPr>
        <w:t xml:space="preserve"> Particular settings or sensitivities are analysed as deviations from the central case.</w:t>
      </w:r>
    </w:p>
    <w:p w14:paraId="129351BB" w14:textId="77777777" w:rsidR="00E96B29" w:rsidRPr="00027624" w:rsidRDefault="00E96B29" w:rsidP="00E96B29">
      <w:pPr>
        <w:pStyle w:val="Heading3"/>
      </w:pPr>
      <w:bookmarkStart w:id="4247" w:name="_Ref44680183"/>
      <w:r w:rsidRPr="00027624">
        <w:t>Different versions of the cameo model</w:t>
      </w:r>
      <w:bookmarkEnd w:id="4247"/>
    </w:p>
    <w:p w14:paraId="38B3407C" w14:textId="77777777" w:rsidR="00E96B29" w:rsidRPr="00027624" w:rsidRDefault="00E96B29" w:rsidP="00E96B29">
      <w:r w:rsidRPr="00027624">
        <w:t>The review developed two extended versions of the retirement income cameo model: one that models outcomes for individual employees (the all</w:t>
      </w:r>
      <w:r w:rsidR="00A8443E" w:rsidRPr="00027624">
        <w:noBreakHyphen/>
      </w:r>
      <w:r w:rsidRPr="00027624">
        <w:t>employees model); and one that models outcomes for singles employees and coupled employees (the household model). The all</w:t>
      </w:r>
      <w:r w:rsidR="00A8443E" w:rsidRPr="00027624">
        <w:noBreakHyphen/>
      </w:r>
      <w:r w:rsidRPr="00027624">
        <w:t>employees version included data from both singles and couples and treats each person as an individual, regardless of their marital status.</w:t>
      </w:r>
    </w:p>
    <w:p w14:paraId="4FBDAECF" w14:textId="77777777" w:rsidR="00E96B29" w:rsidRPr="00027624" w:rsidRDefault="00E96B29" w:rsidP="00E96B29">
      <w:r w:rsidRPr="00027624">
        <w:t>The household version used the income profiles for couples and singles. For simplicity, members of couples were assumed to be the same age, start their career at the same age, retire at the same age and remain coupled across their adult life.</w:t>
      </w:r>
    </w:p>
    <w:p w14:paraId="3AE82C44" w14:textId="1FCF3A08" w:rsidR="00E96B29" w:rsidRPr="00027624" w:rsidRDefault="00E96B29" w:rsidP="00E96B29">
      <w:pPr>
        <w:pStyle w:val="Bullet"/>
        <w:numPr>
          <w:ilvl w:val="0"/>
          <w:numId w:val="0"/>
        </w:numPr>
      </w:pPr>
      <w:r w:rsidRPr="00027624">
        <w:t>The review also created a gender</w:t>
      </w:r>
      <w:r w:rsidR="00A8443E" w:rsidRPr="00027624">
        <w:noBreakHyphen/>
      </w:r>
      <w:r w:rsidRPr="00027624">
        <w:t>specific cameo model, given the importance of assessing retirement system outcomes by gender. This model is based on the all</w:t>
      </w:r>
      <w:r w:rsidR="00A8443E" w:rsidRPr="00027624">
        <w:noBreakHyphen/>
      </w:r>
      <w:r w:rsidRPr="00027624">
        <w:t>employees model with inputs modified to reflect the circumstances of women, detailed in</w:t>
      </w:r>
      <w:r w:rsidRPr="00027624">
        <w:rPr>
          <w:i/>
        </w:rPr>
        <w:t xml:space="preserve"> </w:t>
      </w:r>
      <w:r w:rsidRPr="00027624">
        <w:rPr>
          <w:i/>
        </w:rPr>
        <w:fldChar w:fldCharType="begin"/>
      </w:r>
      <w:r w:rsidRPr="00027624">
        <w:rPr>
          <w:i/>
        </w:rPr>
        <w:instrText xml:space="preserve"> REF _Ref42617074 \h  \* MERGEFORMAT </w:instrText>
      </w:r>
      <w:r w:rsidRPr="00027624">
        <w:rPr>
          <w:i/>
        </w:rPr>
      </w:r>
      <w:r w:rsidRPr="00027624">
        <w:rPr>
          <w:i/>
        </w:rPr>
        <w:fldChar w:fldCharType="separate"/>
      </w:r>
      <w:r w:rsidR="00891058" w:rsidRPr="00891058">
        <w:rPr>
          <w:i/>
        </w:rPr>
        <w:t>Modelling gender</w:t>
      </w:r>
      <w:r w:rsidRPr="00027624">
        <w:rPr>
          <w:i/>
        </w:rPr>
        <w:fldChar w:fldCharType="end"/>
      </w:r>
      <w:r w:rsidRPr="00027624">
        <w:t xml:space="preserve"> specifications below.</w:t>
      </w:r>
    </w:p>
    <w:p w14:paraId="77F70A36" w14:textId="77777777" w:rsidR="00E96B29" w:rsidRPr="00027624" w:rsidRDefault="00E96B29" w:rsidP="00E96B29">
      <w:pPr>
        <w:pStyle w:val="Heading3"/>
      </w:pPr>
      <w:r w:rsidRPr="00027624">
        <w:t>Life expectancy</w:t>
      </w:r>
    </w:p>
    <w:p w14:paraId="5B4FADD4" w14:textId="77777777" w:rsidR="00E96B29" w:rsidRPr="00027624" w:rsidRDefault="00E96B29" w:rsidP="00E96B29">
      <w:r w:rsidRPr="00027624">
        <w:t>People are expected to live to age 92 based on the cohort life expectancy of someone born in 2015 and similar to the expected age of death for someone aged 60 in 2055</w:t>
      </w:r>
      <w:sdt>
        <w:sdtPr>
          <w:id w:val="1051736503"/>
          <w:citation/>
        </w:sdtPr>
        <w:sdtEndPr/>
        <w:sdtContent>
          <w:r w:rsidRPr="00027624">
            <w:fldChar w:fldCharType="begin"/>
          </w:r>
          <w:r w:rsidRPr="00027624">
            <w:instrText xml:space="preserve"> CITATION The15 \l 3081 </w:instrText>
          </w:r>
          <w:r w:rsidRPr="00027624">
            <w:fldChar w:fldCharType="separate"/>
          </w:r>
          <w:r w:rsidR="00E83F6E">
            <w:rPr>
              <w:noProof/>
            </w:rPr>
            <w:t xml:space="preserve"> (Commonwealth of Australia, 2015)</w:t>
          </w:r>
          <w:r w:rsidRPr="00027624">
            <w:fldChar w:fldCharType="end"/>
          </w:r>
        </w:sdtContent>
      </w:sdt>
      <w:r w:rsidRPr="00027624">
        <w:t>.</w:t>
      </w:r>
    </w:p>
    <w:p w14:paraId="1ACC93BB" w14:textId="77777777" w:rsidR="00E96B29" w:rsidRPr="00027624" w:rsidRDefault="00E96B29" w:rsidP="00E96B29">
      <w:r w:rsidRPr="00027624">
        <w:t xml:space="preserve">Sensitivity analysis of different life expectancy assumptions can be found in </w:t>
      </w:r>
      <w:r w:rsidRPr="00027624">
        <w:rPr>
          <w:i/>
        </w:rPr>
        <w:t>2C. Maintaining standards of living in retirement</w:t>
      </w:r>
      <w:r w:rsidRPr="00027624">
        <w:t>.</w:t>
      </w:r>
    </w:p>
    <w:p w14:paraId="354C2E1F" w14:textId="77777777" w:rsidR="00E96B29" w:rsidRPr="00027624" w:rsidRDefault="00E96B29" w:rsidP="00E96B29">
      <w:pPr>
        <w:pStyle w:val="Heading3"/>
      </w:pPr>
      <w:r w:rsidRPr="00027624">
        <w:t>Income, earnings and saving during working life</w:t>
      </w:r>
    </w:p>
    <w:p w14:paraId="46923626" w14:textId="77777777" w:rsidR="00E96B29" w:rsidRPr="00027624" w:rsidRDefault="00E96B29" w:rsidP="00E96B29">
      <w:r w:rsidRPr="00027624">
        <w:t>This section outlines the income, savings behaviour and earnings on assets used in cameo modelling.</w:t>
      </w:r>
    </w:p>
    <w:p w14:paraId="7234364E" w14:textId="77777777" w:rsidR="00E96B29" w:rsidRPr="00027624" w:rsidRDefault="00E96B29" w:rsidP="00E96B29">
      <w:pPr>
        <w:pStyle w:val="Heading4"/>
      </w:pPr>
      <w:r w:rsidRPr="00027624">
        <w:t>Income over a working life</w:t>
      </w:r>
    </w:p>
    <w:p w14:paraId="58143AC2" w14:textId="77777777" w:rsidR="00E96B29" w:rsidRPr="00027624" w:rsidRDefault="00E96B29" w:rsidP="00E96B29">
      <w:r w:rsidRPr="00027624">
        <w:t>Working</w:t>
      </w:r>
      <w:r w:rsidR="00A8443E" w:rsidRPr="00027624">
        <w:noBreakHyphen/>
      </w:r>
      <w:r w:rsidRPr="00027624">
        <w:t>life incomes were based on salary and wages across ages reported in individual tax returns. Incomes were based on all wage and salary earners with positive income in 2016</w:t>
      </w:r>
      <w:r w:rsidR="00A8443E" w:rsidRPr="00027624">
        <w:noBreakHyphen/>
      </w:r>
      <w:r w:rsidRPr="00027624">
        <w:t>17. People who appear to be self</w:t>
      </w:r>
      <w:r w:rsidR="00A8443E" w:rsidRPr="00027624">
        <w:noBreakHyphen/>
      </w:r>
      <w:r w:rsidRPr="00027624">
        <w:t>employed were excluded from the model because they have different contribution patterns. Outcomes for the self</w:t>
      </w:r>
      <w:r w:rsidR="00A8443E" w:rsidRPr="00027624">
        <w:noBreakHyphen/>
      </w:r>
      <w:r w:rsidRPr="00027624">
        <w:t xml:space="preserve">employed are considered in </w:t>
      </w:r>
      <w:r w:rsidR="009C3D63">
        <w:rPr>
          <w:i/>
        </w:rPr>
        <w:t>3D. SG coverage</w:t>
      </w:r>
      <w:r w:rsidRPr="00027624">
        <w:t>.</w:t>
      </w:r>
    </w:p>
    <w:p w14:paraId="1B1EF806" w14:textId="77777777" w:rsidR="00E96B29" w:rsidRPr="00027624" w:rsidRDefault="00E96B29" w:rsidP="00E96B29">
      <w:r w:rsidRPr="00027624">
        <w:t>For the all</w:t>
      </w:r>
      <w:r w:rsidR="00A8443E" w:rsidRPr="00027624">
        <w:noBreakHyphen/>
      </w:r>
      <w:r w:rsidRPr="00027624">
        <w:t>employees model, wage and salary estimates were sourced from Treasury</w:t>
      </w:r>
      <w:r w:rsidR="00A8443E" w:rsidRPr="00027624">
        <w:t>’</w:t>
      </w:r>
      <w:r w:rsidRPr="00027624">
        <w:t>s microsimulation model of the personal income tax system (TAXMOD), which uses data from a 16 per cent sample of individual tax returns from 2016</w:t>
      </w:r>
      <w:r w:rsidR="00A8443E" w:rsidRPr="00027624">
        <w:noBreakHyphen/>
      </w:r>
      <w:r w:rsidRPr="00027624">
        <w:t>17. This microsimulation model makes adjustments to future contribution patterns to account for policy changes not reflected in the 2016</w:t>
      </w:r>
      <w:r w:rsidR="00A8443E" w:rsidRPr="00027624">
        <w:noBreakHyphen/>
      </w:r>
      <w:r w:rsidRPr="00027624">
        <w:t xml:space="preserve">17 data (such as changes in </w:t>
      </w:r>
      <w:r w:rsidR="00404B9D" w:rsidRPr="00027624">
        <w:t>contributions cap</w:t>
      </w:r>
      <w:r w:rsidRPr="00027624">
        <w:t>s and SG rate increases).</w:t>
      </w:r>
    </w:p>
    <w:p w14:paraId="0E1DC5F7" w14:textId="77777777" w:rsidR="00E96B29" w:rsidRPr="00027624" w:rsidRDefault="00E96B29" w:rsidP="00E96B29">
      <w:r w:rsidRPr="00027624">
        <w:t>Wage earners were sorted into income percentiles for each single year of age. Total individual remuneration (salary and wages plus total employer superannuation contributions) was used to identify income percentiles at each age. The average wage, and average SG and salary sacrifice contribution rates, were calculated for each age and income percentile.</w:t>
      </w:r>
    </w:p>
    <w:p w14:paraId="274048A8" w14:textId="77777777" w:rsidR="00E96B29" w:rsidRPr="00027624" w:rsidRDefault="00E96B29" w:rsidP="00E96B29">
      <w:r w:rsidRPr="00027624">
        <w:t>A person</w:t>
      </w:r>
      <w:r w:rsidR="00A8443E" w:rsidRPr="00027624">
        <w:t>’</w:t>
      </w:r>
      <w:r w:rsidRPr="00027624">
        <w:t>s position in the income distribution was fixed for their whole life, as a simplifying assumption.</w:t>
      </w:r>
    </w:p>
    <w:p w14:paraId="68302A26" w14:textId="77777777" w:rsidR="00E96B29" w:rsidRPr="00027624" w:rsidRDefault="00E96B29" w:rsidP="00E96B29">
      <w:r w:rsidRPr="00027624">
        <w:t>The household model used 2016</w:t>
      </w:r>
      <w:r w:rsidR="00A8443E" w:rsidRPr="00027624">
        <w:noBreakHyphen/>
      </w:r>
      <w:r w:rsidRPr="00027624">
        <w:t>17 ALife data.</w:t>
      </w:r>
      <w:r w:rsidRPr="00027624">
        <w:rPr>
          <w:rStyle w:val="FootnoteReference"/>
        </w:rPr>
        <w:footnoteReference w:id="331"/>
      </w:r>
      <w:r w:rsidRPr="00027624">
        <w:t xml:space="preserve"> This provided a larger dataset than the 16 per cent sample used in TAXMOD for modelling sub</w:t>
      </w:r>
      <w:r w:rsidR="00A8443E" w:rsidRPr="00027624">
        <w:noBreakHyphen/>
      </w:r>
      <w:r w:rsidRPr="00027624">
        <w:t>populations and allowed matching of members of a couple. For the household model, households were sorted into income percentiles based on total household remuneration and the age of the primary earner. The secondary earner of the couple was assumed to be the same age as the primary earner. Wages and superannuation contributions were calculated in the same way as the whole</w:t>
      </w:r>
      <w:r w:rsidR="00A8443E" w:rsidRPr="00027624">
        <w:noBreakHyphen/>
      </w:r>
      <w:r w:rsidRPr="00027624">
        <w:t>of</w:t>
      </w:r>
      <w:r w:rsidR="00A8443E" w:rsidRPr="00027624">
        <w:noBreakHyphen/>
      </w:r>
      <w:r w:rsidRPr="00027624">
        <w:t>population model.</w:t>
      </w:r>
    </w:p>
    <w:p w14:paraId="1ACDDAD5" w14:textId="77777777" w:rsidR="00E96B29" w:rsidRPr="00027624" w:rsidRDefault="00E96B29" w:rsidP="00E96B29">
      <w:r w:rsidRPr="00027624">
        <w:t xml:space="preserve">The household model was only used for specific analysis of singles and couples. If not otherwise specified, the </w:t>
      </w:r>
      <w:r w:rsidR="00A8443E" w:rsidRPr="00027624">
        <w:t>‘</w:t>
      </w:r>
      <w:r w:rsidRPr="00027624">
        <w:t>retirement income cameo model</w:t>
      </w:r>
      <w:r w:rsidR="00A8443E" w:rsidRPr="00027624">
        <w:t>’</w:t>
      </w:r>
      <w:r w:rsidRPr="00027624">
        <w:t xml:space="preserve"> refers to the whole</w:t>
      </w:r>
      <w:r w:rsidR="00A8443E" w:rsidRPr="00027624">
        <w:noBreakHyphen/>
      </w:r>
      <w:r w:rsidRPr="00027624">
        <w:t>of</w:t>
      </w:r>
      <w:r w:rsidR="00A8443E" w:rsidRPr="00027624">
        <w:noBreakHyphen/>
      </w:r>
      <w:r w:rsidRPr="00027624">
        <w:t>population version of the model.</w:t>
      </w:r>
    </w:p>
    <w:p w14:paraId="6650EDDA" w14:textId="40844EBA" w:rsidR="00E96B29" w:rsidRPr="00027624" w:rsidRDefault="00E96B29" w:rsidP="00E96B29">
      <w:r w:rsidRPr="00027624">
        <w:t>The cameo models create 11 representative lifetime wage profiles by income percentile. Couples have higher average incomes than individuals at an equivalent point on the individual income distribution (</w:t>
      </w:r>
      <w:r w:rsidRPr="00027624">
        <w:fldChar w:fldCharType="begin"/>
      </w:r>
      <w:r w:rsidRPr="00027624">
        <w:instrText xml:space="preserve"> REF _Ref45285881 \r \h </w:instrText>
      </w:r>
      <w:r w:rsidR="003C6FD5" w:rsidRPr="00027624">
        <w:instrText xml:space="preserve"> \* MERGEFORMAT </w:instrText>
      </w:r>
      <w:r w:rsidRPr="00027624">
        <w:fldChar w:fldCharType="separate"/>
      </w:r>
      <w:r w:rsidR="00891058">
        <w:t>Chart 6A-16</w:t>
      </w:r>
      <w:r w:rsidRPr="00027624">
        <w:fldChar w:fldCharType="end"/>
      </w:r>
      <w:r w:rsidRPr="00027624">
        <w:t>).</w:t>
      </w:r>
    </w:p>
    <w:p w14:paraId="49C1A12E" w14:textId="77777777" w:rsidR="00E96B29" w:rsidRPr="00027624" w:rsidRDefault="00E96B29" w:rsidP="00E96B29">
      <w:pPr>
        <w:pStyle w:val="ChartMainHeading"/>
      </w:pPr>
      <w:bookmarkStart w:id="4248" w:name="_Ref45285881"/>
      <w:r w:rsidRPr="00027624">
        <w:t>Projected average annual disposable income over last 10 years of working life, by incom</w:t>
      </w:r>
      <w:r w:rsidRPr="00027624" w:rsidDel="00317370">
        <w:t>e</w:t>
      </w:r>
      <w:bookmarkEnd w:id="4248"/>
    </w:p>
    <w:p w14:paraId="24514B83" w14:textId="77777777" w:rsidR="00E96B29" w:rsidRPr="00027624" w:rsidRDefault="00CA776E" w:rsidP="00E96B29">
      <w:pPr>
        <w:pStyle w:val="ChartGraphic"/>
      </w:pPr>
      <w:r>
        <w:rPr>
          <w:noProof/>
        </w:rPr>
        <w:drawing>
          <wp:inline distT="0" distB="0" distL="0" distR="0" wp14:anchorId="4FFAE188" wp14:editId="66AAF65F">
            <wp:extent cx="5570220" cy="2522220"/>
            <wp:effectExtent l="0" t="0" r="0" b="0"/>
            <wp:docPr id="1242828863" name="Picture 1242828863" descr="This chart shows that average annual income in the last 10 years of working life increases with income percentile, from less than $25,000 per year at the 10th income percentile, to around $50,000 per year for a single and around $90,000 for a couple at the 50th income percentile. At the 90th income percentile average annual income is projected to be close to $100,000 for a single and over $150,000 for a couple." title="Chart 6A-16 Projected average annual disposable income over last 10 years of working life, by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570220" cy="2522220"/>
                    </a:xfrm>
                    <a:prstGeom prst="rect">
                      <a:avLst/>
                    </a:prstGeom>
                    <a:noFill/>
                  </pic:spPr>
                </pic:pic>
              </a:graphicData>
            </a:graphic>
          </wp:inline>
        </w:drawing>
      </w:r>
    </w:p>
    <w:p w14:paraId="5DCAA659" w14:textId="77777777" w:rsidR="00E96B29" w:rsidRPr="00027624" w:rsidRDefault="00E96B29" w:rsidP="00E96B29">
      <w:pPr>
        <w:pStyle w:val="ChartorTableNote"/>
      </w:pPr>
      <w:r w:rsidRPr="00027624">
        <w:t>Note: Values in 2019</w:t>
      </w:r>
      <w:r w:rsidR="00A8443E" w:rsidRPr="00027624">
        <w:noBreakHyphen/>
      </w:r>
      <w:r w:rsidRPr="00027624">
        <w:t>20 dollars, deflated using the review</w:t>
      </w:r>
      <w:r w:rsidR="00A8443E" w:rsidRPr="00027624">
        <w:t>’</w:t>
      </w:r>
      <w:r w:rsidRPr="00027624">
        <w:t>s mixed deflator. Income is average annual disposable income from ages 57</w:t>
      </w:r>
      <w:r w:rsidR="00A8443E" w:rsidRPr="00027624">
        <w:noBreakHyphen/>
      </w:r>
      <w:r w:rsidRPr="00027624">
        <w:t xml:space="preserve">66 for relevant household types. Couple income is at a household level. Source: </w:t>
      </w:r>
      <w:r w:rsidRPr="00CA776E">
        <w:rPr>
          <w:color w:val="auto"/>
          <w:szCs w:val="18"/>
        </w:rPr>
        <w:t>Cameo modelling undertaken for the review.</w:t>
      </w:r>
    </w:p>
    <w:p w14:paraId="425C824B" w14:textId="421B2C27" w:rsidR="00E96B29" w:rsidRPr="00027624" w:rsidRDefault="00E96B29" w:rsidP="00E96B29">
      <w:r w:rsidRPr="00027624">
        <w:t xml:space="preserve">Incomes are grown by projections of </w:t>
      </w:r>
      <w:bookmarkStart w:id="4249" w:name="_Hlk45273137"/>
      <w:r w:rsidRPr="00027624">
        <w:t>average weekly ordinary time earnings</w:t>
      </w:r>
      <w:bookmarkEnd w:id="4249"/>
      <w:r w:rsidRPr="00027624">
        <w:t>. Wage growth was based on economic parameters at the 2019</w:t>
      </w:r>
      <w:r w:rsidR="00A8443E" w:rsidRPr="00027624">
        <w:noBreakHyphen/>
      </w:r>
      <w:r w:rsidRPr="00027624">
        <w:t>20 Mid</w:t>
      </w:r>
      <w:r w:rsidR="00A8443E" w:rsidRPr="00027624">
        <w:noBreakHyphen/>
      </w:r>
      <w:r w:rsidRPr="00027624">
        <w:t xml:space="preserve">Year Economic and Fiscal Outlook. Nominal wages were assumed to grow by around 4 per cent per year in the medium to long term. Adjustments were made to wages growth to reflect changes to the SG rate in relevant scenarios. The interaction between changes in the SG rate and wages are explored in </w:t>
      </w:r>
      <w:r w:rsidRPr="00027624">
        <w:rPr>
          <w:i/>
          <w:iCs/>
        </w:rPr>
        <w:fldChar w:fldCharType="begin"/>
      </w:r>
      <w:r w:rsidRPr="00027624">
        <w:rPr>
          <w:i/>
        </w:rPr>
        <w:instrText xml:space="preserve"> REF _Ref42617175 \h </w:instrText>
      </w:r>
      <w:r w:rsidRPr="00027624">
        <w:rPr>
          <w:i/>
          <w:iCs/>
        </w:rPr>
        <w:instrText xml:space="preserve"> \* MERGEFORMAT </w:instrText>
      </w:r>
      <w:r w:rsidRPr="00027624">
        <w:rPr>
          <w:i/>
          <w:iCs/>
        </w:rPr>
      </w:r>
      <w:r w:rsidRPr="00027624">
        <w:rPr>
          <w:i/>
          <w:iCs/>
        </w:rPr>
        <w:fldChar w:fldCharType="separate"/>
      </w:r>
      <w:r w:rsidR="00891058" w:rsidRPr="00891058">
        <w:rPr>
          <w:i/>
        </w:rPr>
        <w:t>Evidence on the effect of changes in the Superannuation Guarantee on wages growth</w:t>
      </w:r>
      <w:r w:rsidRPr="00027624">
        <w:rPr>
          <w:i/>
          <w:iCs/>
        </w:rPr>
        <w:fldChar w:fldCharType="end"/>
      </w:r>
      <w:r w:rsidR="003C6FD5" w:rsidRPr="00027624">
        <w:rPr>
          <w:i/>
          <w:iCs/>
        </w:rPr>
        <w:t>,</w:t>
      </w:r>
      <w:r w:rsidRPr="00027624">
        <w:rPr>
          <w:i/>
          <w:iCs/>
        </w:rPr>
        <w:t xml:space="preserve"> </w:t>
      </w:r>
      <w:r w:rsidRPr="00027624">
        <w:rPr>
          <w:iCs/>
        </w:rPr>
        <w:t>above</w:t>
      </w:r>
      <w:r w:rsidRPr="00027624">
        <w:t>.</w:t>
      </w:r>
    </w:p>
    <w:p w14:paraId="71FF488A" w14:textId="77777777" w:rsidR="00E96B29" w:rsidRPr="00027624" w:rsidRDefault="00E96B29" w:rsidP="00E96B29">
      <w:r w:rsidRPr="00027624">
        <w:t>Data used in the retirement income cameo model shows that earnings change over a lifetime. Relative to wages, incomes grow at the start of people</w:t>
      </w:r>
      <w:r w:rsidR="00A8443E" w:rsidRPr="00027624">
        <w:t>’</w:t>
      </w:r>
      <w:r w:rsidRPr="00027624">
        <w:t>s careers, peak mid</w:t>
      </w:r>
      <w:r w:rsidR="00A8443E" w:rsidRPr="00027624">
        <w:noBreakHyphen/>
      </w:r>
      <w:r w:rsidRPr="00027624">
        <w:t xml:space="preserve">career and decline thereafter. For example, a median </w:t>
      </w:r>
      <w:r w:rsidRPr="00027624" w:rsidDel="0035484E">
        <w:t>earner</w:t>
      </w:r>
      <w:r w:rsidR="00A8443E" w:rsidRPr="00027624">
        <w:t>’</w:t>
      </w:r>
      <w:r w:rsidRPr="00027624" w:rsidDel="0035484E">
        <w:t xml:space="preserve">s </w:t>
      </w:r>
      <w:r w:rsidRPr="00027624">
        <w:t>income at age 27 is 67 per cent of average weekly ordinary time earnings, at age 43 income peaks at around 88 per cent of average weekly ordinary time earnings , and then income gradually declines as people near retirement.</w:t>
      </w:r>
    </w:p>
    <w:p w14:paraId="698ED968" w14:textId="77777777" w:rsidR="00E96B29" w:rsidRPr="00027624" w:rsidRDefault="00E96B29" w:rsidP="00E96B29">
      <w:r w:rsidRPr="00027624">
        <w:t>While wages decline as a proportion of average weekly ordinary time earnings as people near retirement, this does not mean wages decline in real terms (deflated by CPI). Real incomes tend to remain broadly stable in real terms from around 50, as nominal incomes grow in line with price inflation but slower than wage growth. From the 20</w:t>
      </w:r>
      <w:r w:rsidRPr="00027624">
        <w:rPr>
          <w:vertAlign w:val="superscript"/>
        </w:rPr>
        <w:t>th</w:t>
      </w:r>
      <w:r w:rsidRPr="00027624">
        <w:t xml:space="preserve"> percentile and higher, average real income in the 57</w:t>
      </w:r>
      <w:r w:rsidR="00A8443E" w:rsidRPr="00027624">
        <w:noBreakHyphen/>
      </w:r>
      <w:r w:rsidRPr="00027624">
        <w:t>66 age range (where the benchmark is set) exceeds real income at age 45. This suggests that the 57</w:t>
      </w:r>
      <w:r w:rsidR="00A8443E" w:rsidRPr="00027624">
        <w:noBreakHyphen/>
      </w:r>
      <w:r w:rsidRPr="00027624">
        <w:t>66 age range represents the peak of consumption opportunities.</w:t>
      </w:r>
      <w:r w:rsidRPr="00027624">
        <w:rPr>
          <w:rStyle w:val="FootnoteReference"/>
        </w:rPr>
        <w:footnoteReference w:id="332"/>
      </w:r>
    </w:p>
    <w:p w14:paraId="28374D9D" w14:textId="77777777" w:rsidR="00E96B29" w:rsidRPr="00027624" w:rsidRDefault="00E96B29" w:rsidP="00E96B29">
      <w:pPr>
        <w:pStyle w:val="Bullet"/>
        <w:numPr>
          <w:ilvl w:val="0"/>
          <w:numId w:val="0"/>
        </w:numPr>
      </w:pPr>
      <w:r w:rsidRPr="00027624">
        <w:t>The income data used in the model included both full</w:t>
      </w:r>
      <w:r w:rsidR="00A8443E" w:rsidRPr="00027624">
        <w:noBreakHyphen/>
      </w:r>
      <w:r w:rsidRPr="00027624">
        <w:t xml:space="preserve"> and part</w:t>
      </w:r>
      <w:r w:rsidR="00A8443E" w:rsidRPr="00027624">
        <w:noBreakHyphen/>
      </w:r>
      <w:r w:rsidRPr="00027624">
        <w:t>time workers. Lower income percentiles are expected to have a higher proportion of part</w:t>
      </w:r>
      <w:r w:rsidR="00A8443E" w:rsidRPr="00027624">
        <w:noBreakHyphen/>
      </w:r>
      <w:r w:rsidRPr="00027624">
        <w:t>time workers.</w:t>
      </w:r>
    </w:p>
    <w:p w14:paraId="6CA949E9" w14:textId="77777777" w:rsidR="00E96B29" w:rsidRPr="00027624" w:rsidRDefault="001C013E" w:rsidP="00E96B29">
      <w:pPr>
        <w:pStyle w:val="Heading5"/>
      </w:pPr>
      <w:r>
        <w:br w:type="column"/>
      </w:r>
      <w:r w:rsidR="00E96B29" w:rsidRPr="00027624">
        <w:t>Testing income profiles against longitudinal data</w:t>
      </w:r>
    </w:p>
    <w:p w14:paraId="35857398" w14:textId="77777777" w:rsidR="00E96B29" w:rsidRPr="00027624" w:rsidRDefault="00E96B29" w:rsidP="00E96B29">
      <w:r w:rsidRPr="00027624">
        <w:t>The retirement income cameo model uses a single year of income tax data as a basis for projecting income over a lifetime.</w:t>
      </w:r>
    </w:p>
    <w:p w14:paraId="5BB0631C" w14:textId="02FB4A0E" w:rsidR="00E96B29" w:rsidRPr="00027624" w:rsidRDefault="00E96B29" w:rsidP="00E96B29">
      <w:r w:rsidRPr="00027624">
        <w:t>The review tested these income profiles against longitudinal income data from ALife (</w:t>
      </w:r>
      <w:r w:rsidRPr="00027624">
        <w:fldChar w:fldCharType="begin"/>
      </w:r>
      <w:r w:rsidRPr="00027624">
        <w:instrText xml:space="preserve"> REF _Ref39074560 \r \h  \* MERGEFORMAT </w:instrText>
      </w:r>
      <w:r w:rsidRPr="00027624">
        <w:fldChar w:fldCharType="separate"/>
      </w:r>
      <w:r w:rsidR="00891058">
        <w:t>Chart 6A-17</w:t>
      </w:r>
      <w:r w:rsidRPr="00027624">
        <w:fldChar w:fldCharType="end"/>
      </w:r>
      <w:r w:rsidRPr="00027624">
        <w:t>). Comparisons show that the change in income over a lifetime is broadly similar between the cross</w:t>
      </w:r>
      <w:r w:rsidR="00A8443E" w:rsidRPr="00027624">
        <w:noBreakHyphen/>
      </w:r>
      <w:r w:rsidRPr="00027624">
        <w:t>sectional income profiles used in the review</w:t>
      </w:r>
      <w:r w:rsidR="00A8443E" w:rsidRPr="00027624">
        <w:t>’</w:t>
      </w:r>
      <w:r w:rsidRPr="00027624">
        <w:t>s model and the longitudinal ALife data.</w:t>
      </w:r>
    </w:p>
    <w:p w14:paraId="18D721A9" w14:textId="77777777" w:rsidR="00E96B29" w:rsidRPr="00027624" w:rsidRDefault="00E96B29" w:rsidP="00E96B29">
      <w:r w:rsidRPr="00027624">
        <w:t>The comparison shows that the review</w:t>
      </w:r>
      <w:r w:rsidR="00A8443E" w:rsidRPr="00027624">
        <w:t>’</w:t>
      </w:r>
      <w:r w:rsidRPr="00027624">
        <w:t>s model may underestimate lifetime incomes for those at lower</w:t>
      </w:r>
      <w:r w:rsidR="00A8443E" w:rsidRPr="00027624">
        <w:noBreakHyphen/>
      </w:r>
      <w:r w:rsidRPr="00027624">
        <w:t>income percentiles, and overestimate lifetime incomes for very high income percentiles. This is because people may not earn very high or low incomes for a significant period. For example, someone working part</w:t>
      </w:r>
      <w:r w:rsidR="00A8443E" w:rsidRPr="00027624">
        <w:noBreakHyphen/>
      </w:r>
      <w:r w:rsidRPr="00027624">
        <w:t>time to care for children may have a period of lower income followed by higher income as they return to full</w:t>
      </w:r>
      <w:r w:rsidR="00A8443E" w:rsidRPr="00027624">
        <w:noBreakHyphen/>
      </w:r>
      <w:r w:rsidRPr="00027624">
        <w:t>time work. Alternatively, higher</w:t>
      </w:r>
      <w:r w:rsidR="0078546D" w:rsidRPr="00027624">
        <w:t>-</w:t>
      </w:r>
      <w:r w:rsidRPr="00027624">
        <w:t>income periods may be due to people earning a bonus in a particular year or period.</w:t>
      </w:r>
    </w:p>
    <w:p w14:paraId="103306DF" w14:textId="77777777" w:rsidR="00E96B29" w:rsidRPr="00027624" w:rsidRDefault="00E96B29" w:rsidP="00E96B29">
      <w:r w:rsidRPr="00027624">
        <w:t>The impact of allowing for individuals to move across the income distribution is considered in the next section.</w:t>
      </w:r>
    </w:p>
    <w:tbl>
      <w:tblPr>
        <w:tblW w:w="5000" w:type="pct"/>
        <w:tblLook w:val="01E0" w:firstRow="1" w:lastRow="1" w:firstColumn="1" w:lastColumn="1" w:noHBand="0" w:noVBand="0"/>
      </w:tblPr>
      <w:tblGrid>
        <w:gridCol w:w="4563"/>
        <w:gridCol w:w="4507"/>
      </w:tblGrid>
      <w:tr w:rsidR="00E96B29" w:rsidRPr="00027624" w14:paraId="311FC597" w14:textId="77777777" w:rsidTr="00E96B29">
        <w:trPr>
          <w:cantSplit/>
          <w:trHeight w:val="514"/>
        </w:trPr>
        <w:tc>
          <w:tcPr>
            <w:tcW w:w="9072" w:type="dxa"/>
            <w:gridSpan w:val="2"/>
          </w:tcPr>
          <w:p w14:paraId="109B4E84" w14:textId="77777777" w:rsidR="00E96B29" w:rsidRPr="00027624" w:rsidRDefault="00E96B29" w:rsidP="00E96B29">
            <w:pPr>
              <w:pStyle w:val="ChartMainHeading"/>
              <w:rPr>
                <w:noProof/>
              </w:rPr>
            </w:pPr>
            <w:bookmarkStart w:id="4250" w:name="_Ref39074560"/>
            <w:bookmarkStart w:id="4251" w:name="_Ref44591505"/>
            <w:r w:rsidRPr="00027624">
              <w:t>Comparison of ALife wage profiles to the review</w:t>
            </w:r>
            <w:r w:rsidR="00A8443E" w:rsidRPr="00027624">
              <w:t>’</w:t>
            </w:r>
            <w:r w:rsidRPr="00027624">
              <w:t>s model, selected percentiles</w:t>
            </w:r>
            <w:bookmarkEnd w:id="4250"/>
            <w:bookmarkEnd w:id="4251"/>
          </w:p>
        </w:tc>
      </w:tr>
      <w:tr w:rsidR="00E96B29" w:rsidRPr="00027624" w14:paraId="63FAC2B6" w14:textId="77777777" w:rsidTr="00E96B29">
        <w:trPr>
          <w:cantSplit/>
          <w:trHeight w:val="283"/>
        </w:trPr>
        <w:tc>
          <w:tcPr>
            <w:tcW w:w="4536" w:type="dxa"/>
          </w:tcPr>
          <w:p w14:paraId="2AEC0F11" w14:textId="77777777" w:rsidR="00E96B29" w:rsidRPr="00027624" w:rsidRDefault="00E96B29" w:rsidP="00E96B29">
            <w:pPr>
              <w:pStyle w:val="ChartSecondHeading"/>
            </w:pPr>
            <w:r w:rsidRPr="00027624">
              <w:t>20</w:t>
            </w:r>
            <w:r w:rsidRPr="00027624">
              <w:rPr>
                <w:vertAlign w:val="superscript"/>
              </w:rPr>
              <w:t>th</w:t>
            </w:r>
            <w:r w:rsidRPr="00027624">
              <w:t xml:space="preserve"> income percentile</w:t>
            </w:r>
          </w:p>
        </w:tc>
        <w:tc>
          <w:tcPr>
            <w:tcW w:w="4536" w:type="dxa"/>
          </w:tcPr>
          <w:p w14:paraId="3D0AD784" w14:textId="77777777" w:rsidR="00E96B29" w:rsidRPr="00027624" w:rsidRDefault="00E96B29" w:rsidP="00E96B29">
            <w:pPr>
              <w:pStyle w:val="ChartSecondHeading"/>
            </w:pPr>
            <w:r w:rsidRPr="00027624">
              <w:t>Median</w:t>
            </w:r>
          </w:p>
        </w:tc>
      </w:tr>
      <w:tr w:rsidR="00E96B29" w:rsidRPr="00027624" w14:paraId="516F4395" w14:textId="77777777" w:rsidTr="00E96B29">
        <w:trPr>
          <w:cantSplit/>
          <w:trHeight w:val="4536"/>
        </w:trPr>
        <w:tc>
          <w:tcPr>
            <w:tcW w:w="4536" w:type="dxa"/>
          </w:tcPr>
          <w:p w14:paraId="260C9F34" w14:textId="77777777" w:rsidR="00E96B29" w:rsidRPr="00027624" w:rsidRDefault="00E96B29" w:rsidP="00E96B29">
            <w:pPr>
              <w:pStyle w:val="ChartGraphic"/>
            </w:pPr>
            <w:r w:rsidRPr="00027624">
              <w:br w:type="page"/>
            </w:r>
            <w:r w:rsidR="001C013E">
              <w:rPr>
                <w:noProof/>
              </w:rPr>
              <w:drawing>
                <wp:inline distT="0" distB="0" distL="0" distR="0" wp14:anchorId="47BA7DCB" wp14:editId="5878A212">
                  <wp:extent cx="2838450" cy="2853508"/>
                  <wp:effectExtent l="0" t="0" r="0" b="4445"/>
                  <wp:docPr id="1888992946" name="Picture 1888992946" descr="These charts show that income earners in the 20th percentile tend to have actual income that is marginally higher than the review’s model. Wage profiles for median earners fit closely to the review’s model at most ages. For both the 80th and 95th income earner, the review marginally overestimates income levels from around age 35. " title="Chart 6A-17 Comparison of ALife wage profiles to the review’s model, selected percen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839901" cy="2854966"/>
                          </a:xfrm>
                          <a:prstGeom prst="rect">
                            <a:avLst/>
                          </a:prstGeom>
                          <a:noFill/>
                        </pic:spPr>
                      </pic:pic>
                    </a:graphicData>
                  </a:graphic>
                </wp:inline>
              </w:drawing>
            </w:r>
          </w:p>
        </w:tc>
        <w:tc>
          <w:tcPr>
            <w:tcW w:w="4536" w:type="dxa"/>
          </w:tcPr>
          <w:p w14:paraId="4D44549F" w14:textId="77777777" w:rsidR="00E96B29" w:rsidRPr="00027624" w:rsidRDefault="001C013E" w:rsidP="00E96B29">
            <w:pPr>
              <w:pStyle w:val="ChartGraphic"/>
            </w:pPr>
            <w:r>
              <w:rPr>
                <w:noProof/>
              </w:rPr>
              <w:drawing>
                <wp:inline distT="0" distB="0" distL="0" distR="0" wp14:anchorId="26EE77C3" wp14:editId="25754AE9">
                  <wp:extent cx="2847975" cy="2870638"/>
                  <wp:effectExtent l="0" t="0" r="0" b="6350"/>
                  <wp:docPr id="1888992947" name="Picture 188899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850296" cy="2872977"/>
                          </a:xfrm>
                          <a:prstGeom prst="rect">
                            <a:avLst/>
                          </a:prstGeom>
                          <a:noFill/>
                        </pic:spPr>
                      </pic:pic>
                    </a:graphicData>
                  </a:graphic>
                </wp:inline>
              </w:drawing>
            </w:r>
          </w:p>
        </w:tc>
      </w:tr>
      <w:tr w:rsidR="00E96B29" w:rsidRPr="00027624" w14:paraId="7D92B445" w14:textId="77777777" w:rsidTr="00E96B29">
        <w:trPr>
          <w:cantSplit/>
          <w:trHeight w:val="283"/>
        </w:trPr>
        <w:tc>
          <w:tcPr>
            <w:tcW w:w="4536" w:type="dxa"/>
          </w:tcPr>
          <w:p w14:paraId="34809394" w14:textId="77777777" w:rsidR="00E96B29" w:rsidRPr="00027624" w:rsidRDefault="00E96B29" w:rsidP="00E96B29">
            <w:pPr>
              <w:pStyle w:val="ChartSecondHeading"/>
            </w:pPr>
            <w:r w:rsidRPr="00027624">
              <w:t>80</w:t>
            </w:r>
            <w:r w:rsidRPr="00027624">
              <w:rPr>
                <w:vertAlign w:val="superscript"/>
              </w:rPr>
              <w:t>th</w:t>
            </w:r>
            <w:r w:rsidRPr="00027624">
              <w:t xml:space="preserve"> income percentile</w:t>
            </w:r>
          </w:p>
        </w:tc>
        <w:tc>
          <w:tcPr>
            <w:tcW w:w="4536" w:type="dxa"/>
          </w:tcPr>
          <w:p w14:paraId="43AA768C" w14:textId="77777777" w:rsidR="00E96B29" w:rsidRPr="00027624" w:rsidRDefault="00E96B29" w:rsidP="00E96B29">
            <w:pPr>
              <w:pStyle w:val="ChartSecondHeading"/>
            </w:pPr>
            <w:r w:rsidRPr="00027624">
              <w:t>95</w:t>
            </w:r>
            <w:r w:rsidRPr="00027624">
              <w:rPr>
                <w:vertAlign w:val="superscript"/>
              </w:rPr>
              <w:t>th</w:t>
            </w:r>
            <w:r w:rsidRPr="00027624">
              <w:t xml:space="preserve"> income percentile</w:t>
            </w:r>
          </w:p>
        </w:tc>
      </w:tr>
      <w:tr w:rsidR="00E96B29" w:rsidRPr="00027624" w14:paraId="5875053A" w14:textId="77777777" w:rsidTr="00E96B29">
        <w:trPr>
          <w:cantSplit/>
          <w:trHeight w:val="4536"/>
        </w:trPr>
        <w:tc>
          <w:tcPr>
            <w:tcW w:w="4536" w:type="dxa"/>
          </w:tcPr>
          <w:p w14:paraId="001AABFD" w14:textId="77777777" w:rsidR="00E96B29" w:rsidRPr="00027624" w:rsidRDefault="001C013E" w:rsidP="00E96B29">
            <w:pPr>
              <w:pStyle w:val="ChartGraphic"/>
            </w:pPr>
            <w:r>
              <w:rPr>
                <w:noProof/>
              </w:rPr>
              <w:drawing>
                <wp:inline distT="0" distB="0" distL="0" distR="0" wp14:anchorId="1FC782AC" wp14:editId="43ECB289">
                  <wp:extent cx="2860675" cy="3036470"/>
                  <wp:effectExtent l="0" t="0" r="0" b="0"/>
                  <wp:docPr id="1888992948" name="Picture 188899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864046" cy="3040049"/>
                          </a:xfrm>
                          <a:prstGeom prst="rect">
                            <a:avLst/>
                          </a:prstGeom>
                          <a:noFill/>
                        </pic:spPr>
                      </pic:pic>
                    </a:graphicData>
                  </a:graphic>
                </wp:inline>
              </w:drawing>
            </w:r>
          </w:p>
        </w:tc>
        <w:tc>
          <w:tcPr>
            <w:tcW w:w="4536" w:type="dxa"/>
          </w:tcPr>
          <w:p w14:paraId="1A44B233" w14:textId="77777777" w:rsidR="00E96B29" w:rsidRPr="00027624" w:rsidRDefault="001C013E" w:rsidP="00E96B29">
            <w:pPr>
              <w:pStyle w:val="ChartGraphic"/>
            </w:pPr>
            <w:r>
              <w:rPr>
                <w:noProof/>
              </w:rPr>
              <w:drawing>
                <wp:inline distT="0" distB="0" distL="0" distR="0" wp14:anchorId="6A8A187E" wp14:editId="4EDA9B19">
                  <wp:extent cx="2821940" cy="2987473"/>
                  <wp:effectExtent l="0" t="0" r="0" b="3810"/>
                  <wp:docPr id="1888992949" name="Picture 188899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826969" cy="2992797"/>
                          </a:xfrm>
                          <a:prstGeom prst="rect">
                            <a:avLst/>
                          </a:prstGeom>
                          <a:noFill/>
                        </pic:spPr>
                      </pic:pic>
                    </a:graphicData>
                  </a:graphic>
                </wp:inline>
              </w:drawing>
            </w:r>
          </w:p>
        </w:tc>
      </w:tr>
      <w:tr w:rsidR="00E96B29" w:rsidRPr="00027624" w14:paraId="5ACFA6C9" w14:textId="77777777" w:rsidTr="00E96B29">
        <w:trPr>
          <w:cantSplit/>
          <w:trHeight w:val="283"/>
        </w:trPr>
        <w:tc>
          <w:tcPr>
            <w:tcW w:w="9072" w:type="dxa"/>
            <w:gridSpan w:val="2"/>
          </w:tcPr>
          <w:tbl>
            <w:tblPr>
              <w:tblStyle w:val="TableGrid"/>
              <w:tblW w:w="0" w:type="auto"/>
              <w:tblLook w:val="04A0" w:firstRow="1" w:lastRow="0" w:firstColumn="1" w:lastColumn="0" w:noHBand="0" w:noVBand="1"/>
            </w:tblPr>
            <w:tblGrid>
              <w:gridCol w:w="2209"/>
              <w:gridCol w:w="2209"/>
              <w:gridCol w:w="2209"/>
              <w:gridCol w:w="2209"/>
            </w:tblGrid>
            <w:tr w:rsidR="00E96B29" w:rsidRPr="00027624" w14:paraId="4DCF2DF6" w14:textId="77777777" w:rsidTr="00E96B29">
              <w:tc>
                <w:tcPr>
                  <w:tcW w:w="2209" w:type="dxa"/>
                  <w:shd w:val="clear" w:color="auto" w:fill="auto"/>
                  <w:vAlign w:val="bottom"/>
                </w:tcPr>
                <w:p w14:paraId="1C565AD8" w14:textId="77777777" w:rsidR="00E96B29" w:rsidRPr="00027624" w:rsidRDefault="00E96B29" w:rsidP="00E96B29">
                  <w:pPr>
                    <w:pStyle w:val="ChartGraphic"/>
                    <w:jc w:val="left"/>
                    <w:rPr>
                      <w:noProof/>
                      <w:color w:val="auto"/>
                      <w:sz w:val="18"/>
                    </w:rPr>
                  </w:pPr>
                  <w:r w:rsidRPr="00027624">
                    <w:rPr>
                      <w:rFonts w:ascii="Arial" w:hAnsi="Arial" w:cs="Arial"/>
                      <w:b/>
                      <w:bCs/>
                      <w:color w:val="144E60" w:themeColor="accent1"/>
                      <w:sz w:val="18"/>
                      <w:szCs w:val="16"/>
                    </w:rPr>
                    <w:t>ALife</w:t>
                  </w:r>
                  <w:r w:rsidR="00A8443E" w:rsidRPr="00027624">
                    <w:rPr>
                      <w:rFonts w:ascii="Arial" w:hAnsi="Arial" w:cs="Arial"/>
                      <w:b/>
                      <w:bCs/>
                      <w:color w:val="144E60" w:themeColor="accent1"/>
                      <w:sz w:val="18"/>
                      <w:szCs w:val="16"/>
                    </w:rPr>
                    <w:t xml:space="preserve"> — </w:t>
                  </w:r>
                  <w:r w:rsidRPr="00027624">
                    <w:rPr>
                      <w:rFonts w:ascii="Arial" w:hAnsi="Arial" w:cs="Arial"/>
                      <w:b/>
                      <w:bCs/>
                      <w:color w:val="144E60" w:themeColor="accent1"/>
                      <w:sz w:val="18"/>
                      <w:szCs w:val="16"/>
                    </w:rPr>
                    <w:t>age 40 in 2017</w:t>
                  </w:r>
                </w:p>
              </w:tc>
              <w:tc>
                <w:tcPr>
                  <w:tcW w:w="2209" w:type="dxa"/>
                  <w:shd w:val="clear" w:color="auto" w:fill="auto"/>
                  <w:vAlign w:val="bottom"/>
                </w:tcPr>
                <w:p w14:paraId="37E7D52E" w14:textId="77777777" w:rsidR="00E96B29" w:rsidRPr="00027624" w:rsidRDefault="00E96B29" w:rsidP="00E96B29">
                  <w:pPr>
                    <w:pStyle w:val="ChartGraphic"/>
                    <w:jc w:val="left"/>
                    <w:rPr>
                      <w:noProof/>
                      <w:color w:val="auto"/>
                      <w:sz w:val="18"/>
                    </w:rPr>
                  </w:pPr>
                  <w:r w:rsidRPr="00027624">
                    <w:rPr>
                      <w:rFonts w:ascii="Arial" w:hAnsi="Arial" w:cs="Arial"/>
                      <w:b/>
                      <w:bCs/>
                      <w:color w:val="4E8542" w:themeColor="accent2"/>
                      <w:sz w:val="18"/>
                      <w:szCs w:val="16"/>
                    </w:rPr>
                    <w:t>ALife</w:t>
                  </w:r>
                  <w:r w:rsidR="00A8443E" w:rsidRPr="00027624">
                    <w:rPr>
                      <w:rFonts w:ascii="Arial" w:hAnsi="Arial" w:cs="Arial"/>
                      <w:b/>
                      <w:bCs/>
                      <w:color w:val="4E8542" w:themeColor="accent2"/>
                      <w:sz w:val="18"/>
                      <w:szCs w:val="16"/>
                    </w:rPr>
                    <w:t xml:space="preserve"> — </w:t>
                  </w:r>
                  <w:r w:rsidRPr="00027624">
                    <w:rPr>
                      <w:rFonts w:ascii="Arial" w:hAnsi="Arial" w:cs="Arial"/>
                      <w:b/>
                      <w:bCs/>
                      <w:color w:val="4E8542" w:themeColor="accent2"/>
                      <w:sz w:val="18"/>
                      <w:szCs w:val="16"/>
                    </w:rPr>
                    <w:t>age 45 in 2017</w:t>
                  </w:r>
                </w:p>
              </w:tc>
              <w:tc>
                <w:tcPr>
                  <w:tcW w:w="2209" w:type="dxa"/>
                  <w:shd w:val="clear" w:color="auto" w:fill="auto"/>
                  <w:vAlign w:val="bottom"/>
                </w:tcPr>
                <w:p w14:paraId="53EA0ED7" w14:textId="77777777" w:rsidR="00E96B29" w:rsidRPr="00027624" w:rsidRDefault="00E96B29" w:rsidP="00E96B29">
                  <w:pPr>
                    <w:pStyle w:val="ChartGraphic"/>
                    <w:jc w:val="left"/>
                    <w:rPr>
                      <w:noProof/>
                      <w:color w:val="auto"/>
                      <w:sz w:val="18"/>
                    </w:rPr>
                  </w:pPr>
                  <w:r w:rsidRPr="00027624">
                    <w:rPr>
                      <w:rFonts w:ascii="Arial" w:hAnsi="Arial" w:cs="Arial"/>
                      <w:b/>
                      <w:bCs/>
                      <w:color w:val="604878" w:themeColor="accent3"/>
                      <w:sz w:val="18"/>
                      <w:szCs w:val="16"/>
                    </w:rPr>
                    <w:t>ALife</w:t>
                  </w:r>
                  <w:r w:rsidR="00A8443E" w:rsidRPr="00027624">
                    <w:rPr>
                      <w:rFonts w:ascii="Arial" w:hAnsi="Arial" w:cs="Arial"/>
                      <w:b/>
                      <w:bCs/>
                      <w:color w:val="604878" w:themeColor="accent3"/>
                      <w:sz w:val="18"/>
                      <w:szCs w:val="16"/>
                    </w:rPr>
                    <w:t xml:space="preserve"> — </w:t>
                  </w:r>
                  <w:r w:rsidRPr="00027624">
                    <w:rPr>
                      <w:rFonts w:ascii="Arial" w:hAnsi="Arial" w:cs="Arial"/>
                      <w:b/>
                      <w:bCs/>
                      <w:color w:val="604878" w:themeColor="accent3"/>
                      <w:sz w:val="18"/>
                      <w:szCs w:val="16"/>
                    </w:rPr>
                    <w:t>age 50 in 2017</w:t>
                  </w:r>
                </w:p>
              </w:tc>
              <w:tc>
                <w:tcPr>
                  <w:tcW w:w="2209" w:type="dxa"/>
                  <w:shd w:val="clear" w:color="auto" w:fill="auto"/>
                  <w:vAlign w:val="bottom"/>
                </w:tcPr>
                <w:p w14:paraId="554832BC" w14:textId="77777777" w:rsidR="00E96B29" w:rsidRPr="00027624" w:rsidRDefault="00E96B29" w:rsidP="00E96B29">
                  <w:pPr>
                    <w:pStyle w:val="ChartGraphic"/>
                    <w:jc w:val="left"/>
                    <w:rPr>
                      <w:noProof/>
                      <w:color w:val="30A9B2" w:themeColor="accent4"/>
                      <w:sz w:val="18"/>
                    </w:rPr>
                  </w:pPr>
                  <w:r w:rsidRPr="00027624">
                    <w:rPr>
                      <w:rFonts w:ascii="Arial" w:hAnsi="Arial" w:cs="Arial"/>
                      <w:b/>
                      <w:bCs/>
                      <w:color w:val="30A9B2" w:themeColor="accent4"/>
                      <w:sz w:val="18"/>
                      <w:szCs w:val="16"/>
                    </w:rPr>
                    <w:t>ALife</w:t>
                  </w:r>
                  <w:r w:rsidR="00A8443E" w:rsidRPr="00027624">
                    <w:rPr>
                      <w:rFonts w:ascii="Arial" w:hAnsi="Arial" w:cs="Arial"/>
                      <w:b/>
                      <w:bCs/>
                      <w:color w:val="30A9B2" w:themeColor="accent4"/>
                      <w:sz w:val="18"/>
                      <w:szCs w:val="16"/>
                    </w:rPr>
                    <w:t xml:space="preserve"> — </w:t>
                  </w:r>
                  <w:r w:rsidRPr="00027624">
                    <w:rPr>
                      <w:rFonts w:ascii="Arial" w:hAnsi="Arial" w:cs="Arial"/>
                      <w:b/>
                      <w:bCs/>
                      <w:color w:val="30A9B2" w:themeColor="accent4"/>
                      <w:sz w:val="18"/>
                      <w:szCs w:val="16"/>
                    </w:rPr>
                    <w:t>age 55 in 2017</w:t>
                  </w:r>
                </w:p>
              </w:tc>
            </w:tr>
            <w:tr w:rsidR="00E96B29" w:rsidRPr="00027624" w14:paraId="74BC84FD" w14:textId="77777777" w:rsidTr="00E96B29">
              <w:tc>
                <w:tcPr>
                  <w:tcW w:w="2209" w:type="dxa"/>
                  <w:shd w:val="clear" w:color="auto" w:fill="auto"/>
                  <w:vAlign w:val="bottom"/>
                </w:tcPr>
                <w:p w14:paraId="20232424" w14:textId="77777777" w:rsidR="00E96B29" w:rsidRPr="00027624" w:rsidRDefault="00E96B29" w:rsidP="00E96B29">
                  <w:pPr>
                    <w:pStyle w:val="ChartGraphic"/>
                    <w:jc w:val="left"/>
                    <w:rPr>
                      <w:noProof/>
                      <w:color w:val="auto"/>
                      <w:sz w:val="18"/>
                    </w:rPr>
                  </w:pPr>
                  <w:r w:rsidRPr="00027624">
                    <w:rPr>
                      <w:rFonts w:ascii="Arial" w:hAnsi="Arial" w:cs="Arial"/>
                      <w:b/>
                      <w:bCs/>
                      <w:color w:val="D6606D" w:themeColor="accent5"/>
                      <w:sz w:val="18"/>
                      <w:szCs w:val="16"/>
                    </w:rPr>
                    <w:t>ALife</w:t>
                  </w:r>
                  <w:r w:rsidR="00A8443E" w:rsidRPr="00027624">
                    <w:rPr>
                      <w:rFonts w:ascii="Arial" w:hAnsi="Arial" w:cs="Arial"/>
                      <w:b/>
                      <w:bCs/>
                      <w:color w:val="D6606D" w:themeColor="accent5"/>
                      <w:sz w:val="18"/>
                      <w:szCs w:val="16"/>
                    </w:rPr>
                    <w:t xml:space="preserve"> — </w:t>
                  </w:r>
                  <w:r w:rsidRPr="00027624">
                    <w:rPr>
                      <w:rFonts w:ascii="Arial" w:hAnsi="Arial" w:cs="Arial"/>
                      <w:b/>
                      <w:bCs/>
                      <w:color w:val="D6606D" w:themeColor="accent5"/>
                      <w:sz w:val="18"/>
                      <w:szCs w:val="16"/>
                    </w:rPr>
                    <w:t>age 60 in 2017</w:t>
                  </w:r>
                </w:p>
              </w:tc>
              <w:tc>
                <w:tcPr>
                  <w:tcW w:w="2209" w:type="dxa"/>
                  <w:shd w:val="clear" w:color="auto" w:fill="auto"/>
                  <w:vAlign w:val="bottom"/>
                </w:tcPr>
                <w:p w14:paraId="7F2E3086" w14:textId="77777777" w:rsidR="00E96B29" w:rsidRPr="00027624" w:rsidRDefault="00E96B29" w:rsidP="00E96B29">
                  <w:pPr>
                    <w:pStyle w:val="ChartGraphic"/>
                    <w:jc w:val="left"/>
                    <w:rPr>
                      <w:noProof/>
                      <w:color w:val="auto"/>
                      <w:sz w:val="18"/>
                    </w:rPr>
                  </w:pPr>
                  <w:r w:rsidRPr="00027624">
                    <w:rPr>
                      <w:rFonts w:ascii="Arial" w:hAnsi="Arial" w:cs="Arial"/>
                      <w:b/>
                      <w:bCs/>
                      <w:color w:val="999999" w:themeColor="accent6"/>
                      <w:sz w:val="18"/>
                      <w:szCs w:val="16"/>
                    </w:rPr>
                    <w:t>ALife</w:t>
                  </w:r>
                  <w:r w:rsidR="00A8443E" w:rsidRPr="00027624">
                    <w:rPr>
                      <w:rFonts w:ascii="Arial" w:hAnsi="Arial" w:cs="Arial"/>
                      <w:b/>
                      <w:bCs/>
                      <w:color w:val="999999" w:themeColor="accent6"/>
                      <w:sz w:val="18"/>
                      <w:szCs w:val="16"/>
                    </w:rPr>
                    <w:t xml:space="preserve"> — </w:t>
                  </w:r>
                  <w:r w:rsidRPr="00027624">
                    <w:rPr>
                      <w:rFonts w:ascii="Arial" w:hAnsi="Arial" w:cs="Arial"/>
                      <w:b/>
                      <w:bCs/>
                      <w:color w:val="999999" w:themeColor="accent6"/>
                      <w:sz w:val="18"/>
                      <w:szCs w:val="16"/>
                    </w:rPr>
                    <w:t>age 64 in 2017</w:t>
                  </w:r>
                </w:p>
              </w:tc>
              <w:tc>
                <w:tcPr>
                  <w:tcW w:w="2209" w:type="dxa"/>
                  <w:shd w:val="clear" w:color="auto" w:fill="auto"/>
                  <w:vAlign w:val="bottom"/>
                </w:tcPr>
                <w:p w14:paraId="2A086E68" w14:textId="77777777" w:rsidR="00E96B29" w:rsidRPr="00027624" w:rsidRDefault="00E96B29" w:rsidP="00E96B29">
                  <w:pPr>
                    <w:pStyle w:val="ChartGraphic"/>
                    <w:jc w:val="left"/>
                    <w:rPr>
                      <w:noProof/>
                      <w:color w:val="auto"/>
                      <w:sz w:val="18"/>
                    </w:rPr>
                  </w:pPr>
                  <w:r w:rsidRPr="00027624">
                    <w:rPr>
                      <w:rFonts w:ascii="Arial" w:hAnsi="Arial" w:cs="Arial"/>
                      <w:b/>
                      <w:bCs/>
                      <w:color w:val="000000"/>
                      <w:sz w:val="18"/>
                      <w:szCs w:val="16"/>
                    </w:rPr>
                    <w:t>Review</w:t>
                  </w:r>
                  <w:r w:rsidR="00A8443E" w:rsidRPr="00027624">
                    <w:rPr>
                      <w:rFonts w:ascii="Arial" w:hAnsi="Arial" w:cs="Arial"/>
                      <w:b/>
                      <w:bCs/>
                      <w:color w:val="000000"/>
                      <w:sz w:val="18"/>
                      <w:szCs w:val="16"/>
                    </w:rPr>
                    <w:t>’</w:t>
                  </w:r>
                  <w:r w:rsidRPr="00027624">
                    <w:rPr>
                      <w:rFonts w:ascii="Arial" w:hAnsi="Arial" w:cs="Arial"/>
                      <w:b/>
                      <w:bCs/>
                      <w:color w:val="000000"/>
                      <w:sz w:val="18"/>
                      <w:szCs w:val="16"/>
                    </w:rPr>
                    <w:t>s model</w:t>
                  </w:r>
                </w:p>
              </w:tc>
              <w:tc>
                <w:tcPr>
                  <w:tcW w:w="2209" w:type="dxa"/>
                  <w:shd w:val="clear" w:color="auto" w:fill="auto"/>
                  <w:vAlign w:val="bottom"/>
                </w:tcPr>
                <w:p w14:paraId="20804AA6" w14:textId="77777777" w:rsidR="00E96B29" w:rsidRPr="00027624" w:rsidRDefault="00E96B29" w:rsidP="00E96B29">
                  <w:pPr>
                    <w:pStyle w:val="ChartGraphic"/>
                    <w:jc w:val="left"/>
                    <w:rPr>
                      <w:noProof/>
                      <w:color w:val="30A9B2" w:themeColor="accent4"/>
                    </w:rPr>
                  </w:pPr>
                </w:p>
              </w:tc>
            </w:tr>
          </w:tbl>
          <w:p w14:paraId="7F46D112" w14:textId="77777777" w:rsidR="00E96B29" w:rsidRPr="00027624" w:rsidRDefault="00E96B29" w:rsidP="00E96B29">
            <w:pPr>
              <w:pStyle w:val="ChartGraphic"/>
              <w:jc w:val="left"/>
              <w:rPr>
                <w:noProof/>
                <w:color w:val="auto"/>
              </w:rPr>
            </w:pPr>
          </w:p>
        </w:tc>
      </w:tr>
    </w:tbl>
    <w:p w14:paraId="6B3E419C" w14:textId="77777777" w:rsidR="00E96B29" w:rsidRPr="00027624" w:rsidRDefault="00E96B29" w:rsidP="00E96B29">
      <w:pPr>
        <w:pStyle w:val="ChartorTableNote"/>
      </w:pPr>
      <w:r w:rsidRPr="00027624">
        <w:t xml:space="preserve">Note: </w:t>
      </w:r>
      <w:r w:rsidRPr="00027624">
        <w:rPr>
          <w:iCs/>
          <w:color w:val="auto"/>
        </w:rPr>
        <w:t xml:space="preserve">Incomes measured as a proportion of average weekly ordinary time earnings (AWOTE). </w:t>
      </w:r>
      <w:r w:rsidRPr="00027624">
        <w:t>Individuals in A</w:t>
      </w:r>
      <w:r w:rsidRPr="00027624">
        <w:rPr>
          <w:color w:val="auto"/>
        </w:rPr>
        <w:t>Life with positive wage and salary income were sorted into income percentiles by age cohort. Data is median employment income by age cohort and income percentile. ALife income profiles were increased uniformly by 7 per cent so that average lifetime income is similar for a median person in both datasets. This allows for comparability between datasets</w:t>
      </w:r>
      <w:r w:rsidRPr="00027624" w:rsidDel="002F301D">
        <w:rPr>
          <w:color w:val="auto"/>
        </w:rPr>
        <w:t xml:space="preserve"> </w:t>
      </w:r>
      <w:r w:rsidRPr="00027624">
        <w:rPr>
          <w:color w:val="auto"/>
        </w:rPr>
        <w:t xml:space="preserve">which are based on slightly different populations. </w:t>
      </w:r>
      <w:r w:rsidRPr="00027624">
        <w:t xml:space="preserve">Source: Analysis of ATO </w:t>
      </w:r>
      <w:r w:rsidR="007A1F0B" w:rsidRPr="00027624">
        <w:t>Longitudinal Information Files</w:t>
      </w:r>
      <w:r w:rsidRPr="00027624">
        <w:t>, 2016</w:t>
      </w:r>
      <w:r w:rsidR="00A8443E" w:rsidRPr="00027624">
        <w:noBreakHyphen/>
      </w:r>
      <w:r w:rsidRPr="00027624">
        <w:t>17 and cameo modelling undertaken for the review.</w:t>
      </w:r>
    </w:p>
    <w:p w14:paraId="4E6800A5" w14:textId="77777777" w:rsidR="00E96B29" w:rsidRPr="00027624" w:rsidRDefault="00E96B29" w:rsidP="00E96B29">
      <w:pPr>
        <w:pStyle w:val="Heading6"/>
      </w:pPr>
      <w:r w:rsidRPr="00027624">
        <w:t>Allowing for movement between income percentiles</w:t>
      </w:r>
    </w:p>
    <w:p w14:paraId="06EDA744" w14:textId="77777777" w:rsidR="00E96B29" w:rsidRPr="00027624" w:rsidRDefault="00E96B29" w:rsidP="00E96B29">
      <w:r w:rsidRPr="00027624">
        <w:t>Modelling uses cross</w:t>
      </w:r>
      <w:r w:rsidR="00A8443E" w:rsidRPr="00027624">
        <w:noBreakHyphen/>
      </w:r>
      <w:r w:rsidRPr="00027624">
        <w:t>sectional data and has a person</w:t>
      </w:r>
      <w:r w:rsidR="00A8443E" w:rsidRPr="00027624">
        <w:t>’</w:t>
      </w:r>
      <w:r w:rsidRPr="00027624">
        <w:t>s position in the income distribution fixed for their whole life. This is a simplifying assumption for modelling. People can move between income percentiles due to variations in type and length of employment. For example, a person working part time while studying may go on to work full time in better paid work.</w:t>
      </w:r>
    </w:p>
    <w:p w14:paraId="66368FB4" w14:textId="77777777" w:rsidR="00E96B29" w:rsidRPr="00027624" w:rsidRDefault="00E96B29" w:rsidP="00E96B29">
      <w:r w:rsidRPr="00027624">
        <w:t>The Productivity Commission found that close to 90 per cent of people moved between at least three income deciles between 2000</w:t>
      </w:r>
      <w:r w:rsidR="00A8443E" w:rsidRPr="00027624">
        <w:noBreakHyphen/>
      </w:r>
      <w:r w:rsidRPr="00027624">
        <w:t>01 and 2015</w:t>
      </w:r>
      <w:r w:rsidR="00A8443E" w:rsidRPr="00027624">
        <w:noBreakHyphen/>
      </w:r>
      <w:r w:rsidRPr="00027624">
        <w:t>16. However, less movement occurs for people in the top and bottom of the income distribution. Fifty per cent of people in the bottom decile of income earners in 2000</w:t>
      </w:r>
      <w:r w:rsidR="00A8443E" w:rsidRPr="00027624">
        <w:noBreakHyphen/>
      </w:r>
      <w:r w:rsidRPr="00027624">
        <w:t>01 ended in the bottom 20 per cent of earners in 2015</w:t>
      </w:r>
      <w:r w:rsidR="00A8443E" w:rsidRPr="00027624">
        <w:noBreakHyphen/>
      </w:r>
      <w:r w:rsidRPr="00027624">
        <w:t>16. Similarly, 41 per cent of people in the top</w:t>
      </w:r>
      <w:r w:rsidR="00A8443E" w:rsidRPr="00027624">
        <w:noBreakHyphen/>
      </w:r>
      <w:r w:rsidRPr="00027624">
        <w:t xml:space="preserve">income decile ended in the top 20 per cent of earners in the same period </w:t>
      </w:r>
      <w:sdt>
        <w:sdtPr>
          <w:id w:val="-1022549152"/>
          <w:citation/>
        </w:sdtPr>
        <w:sdtEndPr/>
        <w:sdtContent>
          <w:r w:rsidRPr="00027624">
            <w:fldChar w:fldCharType="begin"/>
          </w:r>
          <w:r w:rsidRPr="00027624">
            <w:instrText xml:space="preserve">CITATION Pro8b \p 95-98 \l 3081 </w:instrText>
          </w:r>
          <w:r w:rsidRPr="00027624">
            <w:fldChar w:fldCharType="separate"/>
          </w:r>
          <w:r w:rsidR="00E83F6E">
            <w:rPr>
              <w:noProof/>
            </w:rPr>
            <w:t>(Productivity Commission, 2018b, pp. 95-98)</w:t>
          </w:r>
          <w:r w:rsidRPr="00027624">
            <w:fldChar w:fldCharType="end"/>
          </w:r>
        </w:sdtContent>
      </w:sdt>
      <w:r w:rsidRPr="00027624">
        <w:t>.</w:t>
      </w:r>
    </w:p>
    <w:p w14:paraId="5633C87A" w14:textId="77777777" w:rsidR="00E96B29" w:rsidRPr="00027624" w:rsidRDefault="00E96B29" w:rsidP="00E96B29">
      <w:r w:rsidRPr="00027624">
        <w:t>A longitudinal analysis using ALife was undertaken to test the impact of assuming people do not move across the income distributions over their lifetimes. Longitudinal data in ALife follows specific people over time, allowing for analysis of incomes earned over a certain period.</w:t>
      </w:r>
    </w:p>
    <w:p w14:paraId="1B9ED33A" w14:textId="77777777" w:rsidR="00E96B29" w:rsidRPr="00027624" w:rsidRDefault="00E96B29" w:rsidP="00E96B29">
      <w:r w:rsidRPr="00027624">
        <w:t>ALife does not cover enough years to analyse a whole career. Lifetime incomes were estimated by combining the incomes of similar cohorts to form a representative career; for example, comb</w:t>
      </w:r>
      <w:r w:rsidR="008037C5" w:rsidRPr="00027624">
        <w:t>ining the career of median-</w:t>
      </w:r>
      <w:r w:rsidRPr="00027624">
        <w:t>income earners aged 27 with median earners aged 42.</w:t>
      </w:r>
    </w:p>
    <w:p w14:paraId="371A28EB" w14:textId="36FE41DD" w:rsidR="00E96B29" w:rsidRPr="00027624" w:rsidRDefault="00E96B29" w:rsidP="00E96B29">
      <w:r w:rsidRPr="00027624">
        <w:t>ALife data showed a small effect in allowing for movement between income percentiles. Incomes of people in the 10</w:t>
      </w:r>
      <w:r w:rsidRPr="00027624">
        <w:rPr>
          <w:vertAlign w:val="superscript"/>
        </w:rPr>
        <w:t>th</w:t>
      </w:r>
      <w:r w:rsidRPr="00027624">
        <w:t xml:space="preserve"> percentile are modestly higher in ALife compared to cross</w:t>
      </w:r>
      <w:r w:rsidR="00A8443E" w:rsidRPr="00027624">
        <w:noBreakHyphen/>
      </w:r>
      <w:r w:rsidRPr="00027624">
        <w:t>sectional data, with the largest falls at the 90</w:t>
      </w:r>
      <w:r w:rsidRPr="00027624">
        <w:rPr>
          <w:vertAlign w:val="superscript"/>
        </w:rPr>
        <w:t>th</w:t>
      </w:r>
      <w:r w:rsidRPr="00027624">
        <w:t xml:space="preserve"> decile and above (</w:t>
      </w:r>
      <w:r w:rsidRPr="00027624">
        <w:fldChar w:fldCharType="begin"/>
      </w:r>
      <w:r w:rsidRPr="00027624">
        <w:instrText xml:space="preserve"> REF _Ref42706969 \r \h </w:instrText>
      </w:r>
      <w:r w:rsidR="00027624">
        <w:instrText xml:space="preserve"> \* MERGEFORMAT </w:instrText>
      </w:r>
      <w:r w:rsidRPr="00027624">
        <w:fldChar w:fldCharType="separate"/>
      </w:r>
      <w:r w:rsidR="00891058">
        <w:t>Chart 6A-18</w:t>
      </w:r>
      <w:r w:rsidRPr="00027624">
        <w:fldChar w:fldCharType="end"/>
      </w:r>
      <w:r w:rsidRPr="00027624">
        <w:t>). As a result, replacement rates are slightly lower for lower</w:t>
      </w:r>
      <w:r w:rsidR="00A8443E" w:rsidRPr="00027624">
        <w:noBreakHyphen/>
      </w:r>
      <w:r w:rsidRPr="00027624">
        <w:t>income earners, and slightly higher for higher</w:t>
      </w:r>
      <w:r w:rsidR="00A8443E" w:rsidRPr="00027624">
        <w:noBreakHyphen/>
      </w:r>
      <w:r w:rsidRPr="00027624">
        <w:t>income earners when allowing for movement between income percentiles. There was little impact on middle</w:t>
      </w:r>
      <w:r w:rsidR="00A8443E" w:rsidRPr="00027624">
        <w:noBreakHyphen/>
      </w:r>
      <w:r w:rsidRPr="00027624">
        <w:t>income earners, who are the focus of the review</w:t>
      </w:r>
      <w:r w:rsidR="00A8443E" w:rsidRPr="00027624">
        <w:t>’</w:t>
      </w:r>
      <w:r w:rsidRPr="00027624">
        <w:t>s replacement rate analysis.</w:t>
      </w:r>
    </w:p>
    <w:p w14:paraId="01A098D7" w14:textId="77777777" w:rsidR="00E96B29" w:rsidRPr="00027624" w:rsidRDefault="00E96B29" w:rsidP="00E96B29">
      <w:pPr>
        <w:pStyle w:val="ChartMainHeading"/>
      </w:pPr>
      <w:bookmarkStart w:id="4252" w:name="_Ref42706969"/>
      <w:r w:rsidRPr="00027624">
        <w:t>Total working</w:t>
      </w:r>
      <w:r w:rsidR="00A8443E" w:rsidRPr="00027624">
        <w:noBreakHyphen/>
      </w:r>
      <w:r w:rsidRPr="00027624">
        <w:t>life incomes, longitudinal or cross</w:t>
      </w:r>
      <w:r w:rsidR="00A8443E" w:rsidRPr="00027624">
        <w:noBreakHyphen/>
      </w:r>
      <w:r w:rsidRPr="00027624">
        <w:t>sectional data</w:t>
      </w:r>
      <w:bookmarkEnd w:id="4252"/>
    </w:p>
    <w:p w14:paraId="09141EF0" w14:textId="77777777" w:rsidR="00E96B29" w:rsidRPr="00027624" w:rsidRDefault="001D5F3D" w:rsidP="00E96B29">
      <w:pPr>
        <w:pStyle w:val="ChartGraphic"/>
        <w:rPr>
          <w:i/>
          <w:color w:val="auto"/>
        </w:rPr>
      </w:pPr>
      <w:r>
        <w:rPr>
          <w:i/>
          <w:noProof/>
          <w:color w:val="auto"/>
        </w:rPr>
        <w:drawing>
          <wp:inline distT="0" distB="0" distL="0" distR="0" wp14:anchorId="337CFB8E" wp14:editId="5CCB3885">
            <wp:extent cx="5554980" cy="2522220"/>
            <wp:effectExtent l="0" t="0" r="7620" b="0"/>
            <wp:docPr id="141855617" name="Picture 141855617" descr="This chart shows that when using longitudinal data the gap between the highest and lowest income percentiles of lifetime income is reduced, compared to looking at the income distribution at a point in time. The effect is most significant for those at either end of the income distribution. With those at the lowest income percentiles seeing an increase in measured working life income when looking at a longitudinal data (10 to 13 times AWOTE over their lifetime for the 10 percentile), and those at the highest income percentiles seeing a decrease (123 to 113 times AWOTE over their lifetime for the 99th percentile)." title="Chart 6A-18 Total working-life incomes, longitudinal or cross-sectiona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554980" cy="2522220"/>
                    </a:xfrm>
                    <a:prstGeom prst="rect">
                      <a:avLst/>
                    </a:prstGeom>
                    <a:noFill/>
                  </pic:spPr>
                </pic:pic>
              </a:graphicData>
            </a:graphic>
          </wp:inline>
        </w:drawing>
      </w:r>
    </w:p>
    <w:p w14:paraId="63F3A4D1" w14:textId="77777777" w:rsidR="00E96B29" w:rsidRPr="00027624" w:rsidRDefault="00E96B29" w:rsidP="00E96B29">
      <w:pPr>
        <w:pStyle w:val="ChartorTableNote"/>
        <w:rPr>
          <w:i/>
        </w:rPr>
      </w:pPr>
      <w:r w:rsidRPr="00027624">
        <w:rPr>
          <w:iCs/>
        </w:rPr>
        <w:t xml:space="preserve">Note: ALife lifetime income is based on the age cohorts 40, 45, 50, 55, 60 and 64 in 2017. </w:t>
      </w:r>
      <w:r w:rsidRPr="00027624">
        <w:t xml:space="preserve">ALife income profiles were increased uniformly by 7 per cent so that average lifetime income is similar for a median person in both datasets. This allows for comparability between datasets that </w:t>
      </w:r>
      <w:r w:rsidRPr="001D5F3D">
        <w:rPr>
          <w:color w:val="auto"/>
        </w:rPr>
        <w:t>are based on slightly different populations. Lifetime income in cross</w:t>
      </w:r>
      <w:r w:rsidR="00A8443E" w:rsidRPr="001D5F3D">
        <w:rPr>
          <w:color w:val="auto"/>
        </w:rPr>
        <w:noBreakHyphen/>
      </w:r>
      <w:r w:rsidRPr="001D5F3D">
        <w:rPr>
          <w:color w:val="auto"/>
        </w:rPr>
        <w:t xml:space="preserve">sectional data sums income from ages 27 to 66 for each percentile. Source: </w:t>
      </w:r>
      <w:r w:rsidRPr="001D5F3D">
        <w:t xml:space="preserve">Analysis of ATO </w:t>
      </w:r>
      <w:r w:rsidR="007A1F0B" w:rsidRPr="001D5F3D">
        <w:t>Longitudinal Information Files</w:t>
      </w:r>
      <w:r w:rsidRPr="001D5F3D">
        <w:t xml:space="preserve"> (ALife), 2016</w:t>
      </w:r>
      <w:r w:rsidR="00A8443E" w:rsidRPr="001D5F3D">
        <w:noBreakHyphen/>
      </w:r>
      <w:r w:rsidRPr="001D5F3D">
        <w:t>17,</w:t>
      </w:r>
      <w:r w:rsidRPr="001D5F3D" w:rsidDel="00710E35">
        <w:t xml:space="preserve"> and </w:t>
      </w:r>
      <w:r w:rsidRPr="001D5F3D">
        <w:rPr>
          <w:color w:val="auto"/>
        </w:rPr>
        <w:t>cameo modelling undertaken for the review.</w:t>
      </w:r>
    </w:p>
    <w:p w14:paraId="1506E425" w14:textId="77777777" w:rsidR="00E96B29" w:rsidRPr="00027624" w:rsidRDefault="00E96B29" w:rsidP="00E96B29">
      <w:pPr>
        <w:pStyle w:val="Heading5"/>
      </w:pPr>
      <w:r w:rsidRPr="00027624">
        <w:t>Adjusting incomes near retirement</w:t>
      </w:r>
    </w:p>
    <w:p w14:paraId="446B2520" w14:textId="77777777" w:rsidR="00E96B29" w:rsidRPr="00027624" w:rsidRDefault="00E96B29" w:rsidP="00E96B29">
      <w:r w:rsidRPr="00027624">
        <w:t>The review adjusted incomes near retirement to account for the likely impact of higher labour force participation in the future. Without this change, modelling would reflect current workforce participation for older Australians. Older age participation is likely to continue rising given trends, especially for women, in past years (</w:t>
      </w:r>
      <w:r w:rsidR="00347F4A">
        <w:t xml:space="preserve">see </w:t>
      </w:r>
      <w:r w:rsidRPr="00027624">
        <w:rPr>
          <w:i/>
        </w:rPr>
        <w:t>1D. The changing Australian landscape</w:t>
      </w:r>
      <w:r w:rsidRPr="00027624">
        <w:t>).</w:t>
      </w:r>
    </w:p>
    <w:p w14:paraId="5D7C139E" w14:textId="77777777" w:rsidR="00E96B29" w:rsidRPr="00027624" w:rsidRDefault="00E96B29" w:rsidP="00E96B29">
      <w:r w:rsidRPr="00027624">
        <w:t>Average annual incomes gradually decline as a proportion of average weekly ordinary time earnings as people near retirement. This fall happens as people shift to fewer hours or reduced pay during the transition to retirement.</w:t>
      </w:r>
    </w:p>
    <w:p w14:paraId="7C0969D0" w14:textId="2F91C58A" w:rsidR="00E96B29" w:rsidRPr="00027624" w:rsidRDefault="00E96B29" w:rsidP="00E96B29">
      <w:r w:rsidRPr="00027624">
        <w:t>For men, income profiles towards the end of working life are largely unchanged over time. However, evidence suggests that incomes for women near retirement are changing (</w:t>
      </w:r>
      <w:r w:rsidRPr="00027624">
        <w:fldChar w:fldCharType="begin"/>
      </w:r>
      <w:r w:rsidRPr="00027624">
        <w:instrText xml:space="preserve"> REF _Ref38789342 \r \h  \* MERGEFORMAT </w:instrText>
      </w:r>
      <w:r w:rsidRPr="00027624">
        <w:fldChar w:fldCharType="separate"/>
      </w:r>
      <w:r w:rsidR="00891058">
        <w:t>Chart 6A-19</w:t>
      </w:r>
      <w:r w:rsidRPr="00027624">
        <w:fldChar w:fldCharType="end"/>
      </w:r>
      <w:r w:rsidRPr="00027624">
        <w:t>).</w:t>
      </w:r>
    </w:p>
    <w:p w14:paraId="102D5377" w14:textId="77777777" w:rsidR="00E96B29" w:rsidRPr="00027624" w:rsidRDefault="00E96B29" w:rsidP="00E96B29">
      <w:pPr>
        <w:pStyle w:val="Bullet"/>
      </w:pPr>
      <w:r w:rsidRPr="00027624">
        <w:rPr>
          <w:b/>
        </w:rPr>
        <w:t>Over the 10 years before age 64, the total income earned by cohorts of women has fallen as a proportion of average weekly ordinary time earnings.</w:t>
      </w:r>
      <w:r w:rsidRPr="00027624">
        <w:t xml:space="preserve"> Total incomes earned in the 10 years to 64 were about 2.8 per cent lower for the cohort of women aged 64 in 2017 than for 2007. This flattening could be due to higher participation of women with lower incomes.</w:t>
      </w:r>
    </w:p>
    <w:p w14:paraId="35E7BC4C" w14:textId="77777777" w:rsidR="00E96B29" w:rsidRPr="00027624" w:rsidRDefault="00E96B29" w:rsidP="00E96B29">
      <w:pPr>
        <w:pStyle w:val="Bullet"/>
      </w:pPr>
      <w:r w:rsidRPr="00027624">
        <w:rPr>
          <w:b/>
        </w:rPr>
        <w:t>Over the five years before age 64, total income earned by cohorts of women has risen, particularly at age 64.</w:t>
      </w:r>
      <w:r w:rsidRPr="00027624">
        <w:t xml:space="preserve"> This increase is likely due to a change in Age Pension eligibility age, which affected the retirement timing of women in the late 2000s and early 2010s. The increase in total incomes in the five</w:t>
      </w:r>
      <w:r w:rsidR="00A8443E" w:rsidRPr="00027624">
        <w:noBreakHyphen/>
      </w:r>
      <w:r w:rsidRPr="00027624">
        <w:t>year period is about 3 per cent between 2007 and 2017 cohorts.</w:t>
      </w:r>
    </w:p>
    <w:p w14:paraId="162F6EB4" w14:textId="77777777" w:rsidR="00E96B29" w:rsidRPr="00027624" w:rsidRDefault="00E96B29" w:rsidP="00E96B29">
      <w:pPr>
        <w:pStyle w:val="ChartMainHeading"/>
      </w:pPr>
      <w:bookmarkStart w:id="4253" w:name="_Ref38789342"/>
      <w:r w:rsidRPr="00027624">
        <w:t>Longitudinal analysis of female incomes, median earner</w:t>
      </w:r>
      <w:bookmarkEnd w:id="4253"/>
    </w:p>
    <w:p w14:paraId="34B6A09F" w14:textId="77777777" w:rsidR="00E96B29" w:rsidRPr="00027624" w:rsidRDefault="00DD2AD9" w:rsidP="00E96B29">
      <w:pPr>
        <w:pStyle w:val="ChartGraphic"/>
      </w:pPr>
      <w:r>
        <w:rPr>
          <w:noProof/>
        </w:rPr>
        <w:drawing>
          <wp:inline distT="0" distB="0" distL="0" distR="0" wp14:anchorId="7B444085" wp14:editId="046C3857">
            <wp:extent cx="5577840" cy="2529840"/>
            <wp:effectExtent l="0" t="0" r="3810" b="3810"/>
            <wp:docPr id="1888992951" name="Picture 1888992951" descr="This chart shows income profiles of different cohorts of women as they near retirement. Median income women aged 64 in 2017 earned relatively less at age ages 55-60 as a proportion of AWOTE than women aged 64 in 2007. However, women aged 64 in 2017 earned relatively more from ages 62-64 than women aged 64 in 2007." title="Chart 6A-19 Longitudinal analysis of female incomes, 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5D3CB433" w14:textId="77777777" w:rsidR="00E96B29" w:rsidRPr="006B5A75" w:rsidRDefault="00E96B29" w:rsidP="00E96B29">
      <w:pPr>
        <w:pStyle w:val="ChartorTableNote"/>
      </w:pPr>
      <w:r w:rsidRPr="00027624">
        <w:t>Note: Incomes measured as a proportion of average weekly ordinary time earnings. Includes people with a non</w:t>
      </w:r>
      <w:r w:rsidR="00A8443E" w:rsidRPr="00027624">
        <w:noBreakHyphen/>
      </w:r>
      <w:r w:rsidRPr="00027624">
        <w:t xml:space="preserve">zero salary and wage at least </w:t>
      </w:r>
      <w:r w:rsidRPr="006B5A75">
        <w:t>eight times in the 10 years from 2008 to 2017. Percentiles based on the 10</w:t>
      </w:r>
      <w:r w:rsidR="00A8443E" w:rsidRPr="006B5A75">
        <w:noBreakHyphen/>
      </w:r>
      <w:r w:rsidRPr="006B5A75">
        <w:t xml:space="preserve">year average of wages. Source: Analysis of ATO </w:t>
      </w:r>
      <w:r w:rsidR="007A1F0B" w:rsidRPr="006B5A75">
        <w:t>Longitudinal Information Files</w:t>
      </w:r>
      <w:r w:rsidRPr="006B5A75">
        <w:t xml:space="preserve"> (ALife), 2016</w:t>
      </w:r>
      <w:r w:rsidR="00A8443E" w:rsidRPr="006B5A75">
        <w:noBreakHyphen/>
      </w:r>
      <w:r w:rsidRPr="006B5A75">
        <w:t>17.</w:t>
      </w:r>
    </w:p>
    <w:p w14:paraId="7CD9EA75" w14:textId="77777777" w:rsidR="00E96B29" w:rsidRPr="00027624" w:rsidRDefault="00E96B29" w:rsidP="00E96B29">
      <w:r w:rsidRPr="00027624">
        <w:t>As the income just before retirement is important for assessing adequacy outcomes, the review used the 10 years before retirement as the basis for calculating replacement rates.</w:t>
      </w:r>
    </w:p>
    <w:p w14:paraId="4F0473DA" w14:textId="635499DE" w:rsidR="00E96B29" w:rsidRPr="00027624" w:rsidRDefault="00E96B29" w:rsidP="00E96B29">
      <w:pPr>
        <w:pStyle w:val="Bullet"/>
        <w:numPr>
          <w:ilvl w:val="0"/>
          <w:numId w:val="0"/>
        </w:numPr>
      </w:pPr>
      <w:r w:rsidRPr="00027624">
        <w:t>The review used cross</w:t>
      </w:r>
      <w:r w:rsidR="00A8443E" w:rsidRPr="00027624">
        <w:noBreakHyphen/>
      </w:r>
      <w:r w:rsidRPr="00027624">
        <w:t>sectional income data from tax returns as the basis for income in modelling calculations. This data does not have as large a drop</w:t>
      </w:r>
      <w:r w:rsidR="00A8443E" w:rsidRPr="00027624">
        <w:noBreakHyphen/>
      </w:r>
      <w:r w:rsidRPr="00027624">
        <w:t>off in incomes near retirement as longitudinal data (</w:t>
      </w:r>
      <w:r w:rsidRPr="00027624">
        <w:fldChar w:fldCharType="begin"/>
      </w:r>
      <w:r w:rsidRPr="00027624">
        <w:instrText xml:space="preserve"> REF _Ref38788634 \r \h  \* MERGEFORMAT </w:instrText>
      </w:r>
      <w:r w:rsidRPr="00027624">
        <w:fldChar w:fldCharType="separate"/>
      </w:r>
      <w:r w:rsidR="00891058">
        <w:t>Chart 6A-20</w:t>
      </w:r>
      <w:r w:rsidRPr="00027624">
        <w:fldChar w:fldCharType="end"/>
      </w:r>
      <w:r w:rsidRPr="00027624">
        <w:t>).</w:t>
      </w:r>
    </w:p>
    <w:p w14:paraId="78DD5B04" w14:textId="77777777" w:rsidR="00E96B29" w:rsidRPr="00027624" w:rsidRDefault="00E96B29" w:rsidP="00E96B29">
      <w:pPr>
        <w:pStyle w:val="Bullet"/>
        <w:numPr>
          <w:ilvl w:val="0"/>
          <w:numId w:val="0"/>
        </w:numPr>
      </w:pPr>
      <w:r w:rsidRPr="00027624">
        <w:t xml:space="preserve">Incomes in the model are adjusted upwards after age 60 so that the rate of decline </w:t>
      </w:r>
      <w:r w:rsidR="0078546D" w:rsidRPr="00027624">
        <w:t>in</w:t>
      </w:r>
      <w:r w:rsidRPr="00027624">
        <w:t xml:space="preserve"> a person</w:t>
      </w:r>
      <w:r w:rsidR="00A8443E" w:rsidRPr="00027624">
        <w:t>’</w:t>
      </w:r>
      <w:r w:rsidRPr="00027624">
        <w:t>s wage as a proportion of average weekly ordinary time earnings</w:t>
      </w:r>
      <w:r w:rsidRPr="00027624" w:rsidDel="00A0463A">
        <w:t xml:space="preserve"> </w:t>
      </w:r>
      <w:r w:rsidRPr="00027624">
        <w:t>is halved commencing at age 61 until retirement. As well as accounting for general increases in labour force participation, this upwards adjustment makes an allowance for legislated increases to the Age Pension eligibility age from 65 in 2016</w:t>
      </w:r>
      <w:r w:rsidR="00A8443E" w:rsidRPr="00027624">
        <w:noBreakHyphen/>
      </w:r>
      <w:r w:rsidRPr="00027624">
        <w:t>17</w:t>
      </w:r>
      <w:r w:rsidR="0078546D" w:rsidRPr="00027624">
        <w:t>,</w:t>
      </w:r>
      <w:r w:rsidRPr="00027624">
        <w:t xml:space="preserve"> to 67 by 2023</w:t>
      </w:r>
      <w:r w:rsidR="00A8443E" w:rsidRPr="00027624">
        <w:noBreakHyphen/>
      </w:r>
      <w:r w:rsidRPr="00027624">
        <w:t>24.</w:t>
      </w:r>
    </w:p>
    <w:p w14:paraId="5EF9AD13" w14:textId="77777777" w:rsidR="00E96B29" w:rsidRPr="00027624" w:rsidRDefault="00E96B29" w:rsidP="00E96B29">
      <w:pPr>
        <w:pStyle w:val="Bullet"/>
      </w:pPr>
      <w:r w:rsidRPr="00027624">
        <w:t>For median earners, this adjustment increases incomes in the given years before Age Pension eligibility age by 5 per cent; one and a half times the five</w:t>
      </w:r>
      <w:r w:rsidR="00A8443E" w:rsidRPr="00027624">
        <w:noBreakHyphen/>
      </w:r>
      <w:r w:rsidRPr="00027624">
        <w:t>year impact experienced by median</w:t>
      </w:r>
      <w:r w:rsidR="00A8443E" w:rsidRPr="00027624">
        <w:noBreakHyphen/>
      </w:r>
      <w:r w:rsidRPr="00027624">
        <w:t>income women explored above (of 3 per cent).</w:t>
      </w:r>
    </w:p>
    <w:p w14:paraId="2B719F39" w14:textId="77777777" w:rsidR="00E96B29" w:rsidRPr="00027624" w:rsidRDefault="00E96B29" w:rsidP="00E96B29">
      <w:pPr>
        <w:pStyle w:val="Dash"/>
      </w:pPr>
      <w:r w:rsidRPr="00027624">
        <w:t>This adjustment is larger than historically observed but broadly appropriate as it projects anticipated increases in labour force participation over a 40</w:t>
      </w:r>
      <w:r w:rsidR="00A8443E" w:rsidRPr="00027624">
        <w:noBreakHyphen/>
      </w:r>
      <w:r w:rsidRPr="00027624">
        <w:t>year timespan. This adjustment reduces replacement rates relative to unadjusted incomes.</w:t>
      </w:r>
    </w:p>
    <w:p w14:paraId="40F62812" w14:textId="7127E0DE" w:rsidR="00E96B29" w:rsidRPr="00027624" w:rsidRDefault="00E96B29" w:rsidP="00E96B29">
      <w:pPr>
        <w:pStyle w:val="Bullet"/>
      </w:pPr>
      <w:r w:rsidRPr="00027624">
        <w:t>The upwards adjustment of incomes is larger for lower</w:t>
      </w:r>
      <w:r w:rsidR="00A8443E" w:rsidRPr="00027624">
        <w:noBreakHyphen/>
      </w:r>
      <w:r w:rsidRPr="00027624">
        <w:t>income earners (</w:t>
      </w:r>
      <w:r w:rsidRPr="00027624">
        <w:fldChar w:fldCharType="begin"/>
      </w:r>
      <w:r w:rsidRPr="00027624">
        <w:instrText xml:space="preserve"> REF _Ref42106325 \r \h  \* MERGEFORMAT </w:instrText>
      </w:r>
      <w:r w:rsidRPr="00027624">
        <w:fldChar w:fldCharType="separate"/>
      </w:r>
      <w:r w:rsidR="00891058">
        <w:t>Table 6A-5</w:t>
      </w:r>
      <w:r w:rsidRPr="00027624">
        <w:fldChar w:fldCharType="end"/>
      </w:r>
      <w:r w:rsidRPr="00027624">
        <w:t>).</w:t>
      </w:r>
    </w:p>
    <w:p w14:paraId="3E6C16A0" w14:textId="77777777" w:rsidR="00E96B29" w:rsidRPr="00027624" w:rsidRDefault="00E96B29" w:rsidP="00E96B29">
      <w:pPr>
        <w:pStyle w:val="TableMainHeading"/>
      </w:pPr>
      <w:bookmarkStart w:id="4254" w:name="_Ref42106325"/>
      <w:r w:rsidRPr="00027624">
        <w:t>Incomes in years near retirement, average upwards adjustment by income percentile</w:t>
      </w:r>
      <w:bookmarkEnd w:id="4254"/>
    </w:p>
    <w:tbl>
      <w:tblPr>
        <w:tblStyle w:val="TableGrid"/>
        <w:tblW w:w="0" w:type="auto"/>
        <w:tblLook w:val="04A0" w:firstRow="1" w:lastRow="0" w:firstColumn="1" w:lastColumn="0" w:noHBand="0" w:noVBand="1"/>
      </w:tblPr>
      <w:tblGrid>
        <w:gridCol w:w="1073"/>
        <w:gridCol w:w="890"/>
        <w:gridCol w:w="889"/>
        <w:gridCol w:w="888"/>
        <w:gridCol w:w="888"/>
        <w:gridCol w:w="888"/>
        <w:gridCol w:w="888"/>
        <w:gridCol w:w="888"/>
        <w:gridCol w:w="889"/>
        <w:gridCol w:w="889"/>
      </w:tblGrid>
      <w:tr w:rsidR="00E96B29" w:rsidRPr="00027624" w14:paraId="0360C743" w14:textId="77777777" w:rsidTr="00E96B29">
        <w:tc>
          <w:tcPr>
            <w:tcW w:w="907" w:type="dxa"/>
          </w:tcPr>
          <w:p w14:paraId="53ACDB08" w14:textId="77777777" w:rsidR="00E96B29" w:rsidRPr="00027624" w:rsidRDefault="00E96B29" w:rsidP="00E96B29">
            <w:pPr>
              <w:pStyle w:val="TableColumnHeadingCentred"/>
              <w:keepNext/>
              <w:keepLines/>
            </w:pPr>
            <w:r w:rsidRPr="00027624">
              <w:t>Percentile</w:t>
            </w:r>
          </w:p>
        </w:tc>
        <w:tc>
          <w:tcPr>
            <w:tcW w:w="907" w:type="dxa"/>
          </w:tcPr>
          <w:p w14:paraId="295B92C1" w14:textId="77777777" w:rsidR="00E96B29" w:rsidRPr="00027624" w:rsidRDefault="00E96B29" w:rsidP="00E96B29">
            <w:pPr>
              <w:pStyle w:val="TableColumnHeadingCentred"/>
              <w:keepNext/>
              <w:keepLines/>
            </w:pPr>
            <w:r w:rsidRPr="00027624">
              <w:t>10</w:t>
            </w:r>
            <w:r w:rsidRPr="00027624">
              <w:rPr>
                <w:vertAlign w:val="superscript"/>
              </w:rPr>
              <w:t>th</w:t>
            </w:r>
          </w:p>
        </w:tc>
        <w:tc>
          <w:tcPr>
            <w:tcW w:w="907" w:type="dxa"/>
          </w:tcPr>
          <w:p w14:paraId="3919CF94" w14:textId="77777777" w:rsidR="00E96B29" w:rsidRPr="00027624" w:rsidRDefault="00E96B29" w:rsidP="00E96B29">
            <w:pPr>
              <w:pStyle w:val="TableColumnHeadingCentred"/>
              <w:keepNext/>
              <w:keepLines/>
            </w:pPr>
            <w:r w:rsidRPr="00027624">
              <w:t>20</w:t>
            </w:r>
            <w:r w:rsidRPr="00027624">
              <w:rPr>
                <w:vertAlign w:val="superscript"/>
              </w:rPr>
              <w:t>th</w:t>
            </w:r>
          </w:p>
        </w:tc>
        <w:tc>
          <w:tcPr>
            <w:tcW w:w="907" w:type="dxa"/>
          </w:tcPr>
          <w:p w14:paraId="2E3D35F6" w14:textId="77777777" w:rsidR="00E96B29" w:rsidRPr="00027624" w:rsidRDefault="00E96B29" w:rsidP="00E96B29">
            <w:pPr>
              <w:pStyle w:val="TableColumnHeadingCentred"/>
              <w:keepNext/>
              <w:keepLines/>
            </w:pPr>
            <w:r w:rsidRPr="00027624">
              <w:t>30</w:t>
            </w:r>
            <w:r w:rsidRPr="00027624">
              <w:rPr>
                <w:vertAlign w:val="superscript"/>
              </w:rPr>
              <w:t>th</w:t>
            </w:r>
          </w:p>
        </w:tc>
        <w:tc>
          <w:tcPr>
            <w:tcW w:w="907" w:type="dxa"/>
          </w:tcPr>
          <w:p w14:paraId="7D4BE5FF" w14:textId="77777777" w:rsidR="00E96B29" w:rsidRPr="00027624" w:rsidRDefault="00E96B29" w:rsidP="00E96B29">
            <w:pPr>
              <w:pStyle w:val="TableColumnHeadingCentred"/>
              <w:keepNext/>
              <w:keepLines/>
            </w:pPr>
            <w:r w:rsidRPr="00027624">
              <w:t>40</w:t>
            </w:r>
            <w:r w:rsidRPr="00027624">
              <w:rPr>
                <w:vertAlign w:val="superscript"/>
              </w:rPr>
              <w:t>th</w:t>
            </w:r>
          </w:p>
        </w:tc>
        <w:tc>
          <w:tcPr>
            <w:tcW w:w="907" w:type="dxa"/>
          </w:tcPr>
          <w:p w14:paraId="63C35A5A" w14:textId="77777777" w:rsidR="00E96B29" w:rsidRPr="00027624" w:rsidRDefault="00E96B29" w:rsidP="00E96B29">
            <w:pPr>
              <w:pStyle w:val="TableColumnHeadingCentred"/>
              <w:keepNext/>
              <w:keepLines/>
            </w:pPr>
            <w:r w:rsidRPr="00027624">
              <w:t>50</w:t>
            </w:r>
            <w:r w:rsidRPr="00027624">
              <w:rPr>
                <w:vertAlign w:val="superscript"/>
              </w:rPr>
              <w:t>th</w:t>
            </w:r>
          </w:p>
        </w:tc>
        <w:tc>
          <w:tcPr>
            <w:tcW w:w="907" w:type="dxa"/>
          </w:tcPr>
          <w:p w14:paraId="586E0C21" w14:textId="77777777" w:rsidR="00E96B29" w:rsidRPr="00027624" w:rsidRDefault="00E96B29" w:rsidP="00E96B29">
            <w:pPr>
              <w:pStyle w:val="TableColumnHeadingCentred"/>
              <w:keepNext/>
              <w:keepLines/>
            </w:pPr>
            <w:r w:rsidRPr="00027624">
              <w:t>60</w:t>
            </w:r>
            <w:r w:rsidRPr="00027624">
              <w:rPr>
                <w:vertAlign w:val="superscript"/>
              </w:rPr>
              <w:t>th</w:t>
            </w:r>
          </w:p>
        </w:tc>
        <w:tc>
          <w:tcPr>
            <w:tcW w:w="907" w:type="dxa"/>
          </w:tcPr>
          <w:p w14:paraId="10D43B3D" w14:textId="77777777" w:rsidR="00E96B29" w:rsidRPr="00027624" w:rsidRDefault="00E96B29" w:rsidP="00E96B29">
            <w:pPr>
              <w:pStyle w:val="TableColumnHeadingCentred"/>
              <w:keepNext/>
              <w:keepLines/>
            </w:pPr>
            <w:r w:rsidRPr="00027624">
              <w:t>70</w:t>
            </w:r>
            <w:r w:rsidRPr="00027624">
              <w:rPr>
                <w:vertAlign w:val="superscript"/>
              </w:rPr>
              <w:t>th</w:t>
            </w:r>
          </w:p>
        </w:tc>
        <w:tc>
          <w:tcPr>
            <w:tcW w:w="908" w:type="dxa"/>
          </w:tcPr>
          <w:p w14:paraId="38F14031" w14:textId="77777777" w:rsidR="00E96B29" w:rsidRPr="00027624" w:rsidRDefault="00E96B29" w:rsidP="00E96B29">
            <w:pPr>
              <w:pStyle w:val="TableColumnHeadingCentred"/>
              <w:keepNext/>
              <w:keepLines/>
            </w:pPr>
            <w:r w:rsidRPr="00027624">
              <w:t>80</w:t>
            </w:r>
            <w:r w:rsidRPr="00027624">
              <w:rPr>
                <w:vertAlign w:val="superscript"/>
              </w:rPr>
              <w:t>th</w:t>
            </w:r>
          </w:p>
        </w:tc>
        <w:tc>
          <w:tcPr>
            <w:tcW w:w="908" w:type="dxa"/>
          </w:tcPr>
          <w:p w14:paraId="1A387803" w14:textId="77777777" w:rsidR="00E96B29" w:rsidRPr="00027624" w:rsidRDefault="00E96B29" w:rsidP="00E96B29">
            <w:pPr>
              <w:pStyle w:val="TableColumnHeadingCentred"/>
              <w:keepNext/>
              <w:keepLines/>
            </w:pPr>
            <w:r w:rsidRPr="00027624">
              <w:t>90</w:t>
            </w:r>
            <w:r w:rsidRPr="00027624">
              <w:rPr>
                <w:vertAlign w:val="superscript"/>
              </w:rPr>
              <w:t>th</w:t>
            </w:r>
          </w:p>
        </w:tc>
      </w:tr>
      <w:tr w:rsidR="00E96B29" w:rsidRPr="00027624" w14:paraId="72400BCA" w14:textId="77777777" w:rsidTr="00E96B29">
        <w:tc>
          <w:tcPr>
            <w:tcW w:w="907" w:type="dxa"/>
            <w:shd w:val="clear" w:color="auto" w:fill="auto"/>
          </w:tcPr>
          <w:p w14:paraId="32C90359" w14:textId="77777777" w:rsidR="00E96B29" w:rsidRPr="00027624" w:rsidRDefault="00E96B29" w:rsidP="00E96B29">
            <w:pPr>
              <w:pStyle w:val="TableTextLeft"/>
              <w:keepNext/>
              <w:keepLines/>
            </w:pPr>
            <w:r w:rsidRPr="00027624">
              <w:t>Adjustment (per cent)</w:t>
            </w:r>
          </w:p>
        </w:tc>
        <w:tc>
          <w:tcPr>
            <w:tcW w:w="907" w:type="dxa"/>
            <w:shd w:val="clear" w:color="auto" w:fill="auto"/>
          </w:tcPr>
          <w:p w14:paraId="64923509" w14:textId="77777777" w:rsidR="00E96B29" w:rsidRPr="00027624" w:rsidRDefault="00E96B29" w:rsidP="00E96B29">
            <w:pPr>
              <w:pStyle w:val="TableTextCentered"/>
              <w:keepNext/>
              <w:keepLines/>
            </w:pPr>
            <w:r w:rsidRPr="00027624">
              <w:t>14.5</w:t>
            </w:r>
          </w:p>
        </w:tc>
        <w:tc>
          <w:tcPr>
            <w:tcW w:w="907" w:type="dxa"/>
            <w:shd w:val="clear" w:color="auto" w:fill="auto"/>
          </w:tcPr>
          <w:p w14:paraId="580993F4" w14:textId="77777777" w:rsidR="00E96B29" w:rsidRPr="00027624" w:rsidRDefault="00E96B29" w:rsidP="00E96B29">
            <w:pPr>
              <w:pStyle w:val="TableTextCentered"/>
              <w:keepNext/>
              <w:keepLines/>
            </w:pPr>
            <w:r w:rsidRPr="00027624">
              <w:t>10.6</w:t>
            </w:r>
          </w:p>
        </w:tc>
        <w:tc>
          <w:tcPr>
            <w:tcW w:w="907" w:type="dxa"/>
            <w:shd w:val="clear" w:color="auto" w:fill="auto"/>
          </w:tcPr>
          <w:p w14:paraId="027DD0E2" w14:textId="77777777" w:rsidR="00E96B29" w:rsidRPr="00027624" w:rsidRDefault="00E96B29" w:rsidP="00E96B29">
            <w:pPr>
              <w:pStyle w:val="TableTextCentered"/>
              <w:keepNext/>
              <w:keepLines/>
            </w:pPr>
            <w:r w:rsidRPr="00027624">
              <w:t>8.1</w:t>
            </w:r>
          </w:p>
        </w:tc>
        <w:tc>
          <w:tcPr>
            <w:tcW w:w="907" w:type="dxa"/>
            <w:shd w:val="clear" w:color="auto" w:fill="auto"/>
          </w:tcPr>
          <w:p w14:paraId="2FC32E64" w14:textId="77777777" w:rsidR="00E96B29" w:rsidRPr="00027624" w:rsidRDefault="00E96B29" w:rsidP="00E96B29">
            <w:pPr>
              <w:pStyle w:val="TableTextCentered"/>
              <w:keepNext/>
              <w:keepLines/>
            </w:pPr>
            <w:r w:rsidRPr="00027624">
              <w:t>6.1</w:t>
            </w:r>
          </w:p>
        </w:tc>
        <w:tc>
          <w:tcPr>
            <w:tcW w:w="907" w:type="dxa"/>
            <w:shd w:val="clear" w:color="auto" w:fill="auto"/>
          </w:tcPr>
          <w:p w14:paraId="6DD78653" w14:textId="77777777" w:rsidR="00E96B29" w:rsidRPr="00027624" w:rsidRDefault="00E96B29" w:rsidP="00E96B29">
            <w:pPr>
              <w:pStyle w:val="TableTextCentered"/>
              <w:keepNext/>
              <w:keepLines/>
            </w:pPr>
            <w:r w:rsidRPr="00027624">
              <w:t>5.0</w:t>
            </w:r>
          </w:p>
        </w:tc>
        <w:tc>
          <w:tcPr>
            <w:tcW w:w="907" w:type="dxa"/>
            <w:shd w:val="clear" w:color="auto" w:fill="auto"/>
          </w:tcPr>
          <w:p w14:paraId="00490063" w14:textId="77777777" w:rsidR="00E96B29" w:rsidRPr="00027624" w:rsidRDefault="00E96B29" w:rsidP="00E96B29">
            <w:pPr>
              <w:pStyle w:val="TableTextCentered"/>
              <w:keepNext/>
              <w:keepLines/>
            </w:pPr>
            <w:r w:rsidRPr="00027624">
              <w:t>4.5</w:t>
            </w:r>
          </w:p>
        </w:tc>
        <w:tc>
          <w:tcPr>
            <w:tcW w:w="907" w:type="dxa"/>
            <w:shd w:val="clear" w:color="auto" w:fill="auto"/>
          </w:tcPr>
          <w:p w14:paraId="0BA08E8A" w14:textId="77777777" w:rsidR="00E96B29" w:rsidRPr="00027624" w:rsidRDefault="00E96B29" w:rsidP="00E96B29">
            <w:pPr>
              <w:pStyle w:val="TableTextCentered"/>
              <w:keepNext/>
              <w:keepLines/>
            </w:pPr>
            <w:r w:rsidRPr="00027624">
              <w:t>4.4</w:t>
            </w:r>
          </w:p>
        </w:tc>
        <w:tc>
          <w:tcPr>
            <w:tcW w:w="908" w:type="dxa"/>
            <w:shd w:val="clear" w:color="auto" w:fill="auto"/>
          </w:tcPr>
          <w:p w14:paraId="2988FCEE" w14:textId="77777777" w:rsidR="00E96B29" w:rsidRPr="00027624" w:rsidRDefault="00E96B29" w:rsidP="00E96B29">
            <w:pPr>
              <w:pStyle w:val="TableTextCentered"/>
              <w:keepNext/>
              <w:keepLines/>
            </w:pPr>
            <w:r w:rsidRPr="00027624">
              <w:t>3.9</w:t>
            </w:r>
          </w:p>
        </w:tc>
        <w:tc>
          <w:tcPr>
            <w:tcW w:w="908" w:type="dxa"/>
            <w:shd w:val="clear" w:color="auto" w:fill="auto"/>
          </w:tcPr>
          <w:p w14:paraId="075C128B" w14:textId="77777777" w:rsidR="00E96B29" w:rsidRPr="00027624" w:rsidRDefault="00E96B29" w:rsidP="00E96B29">
            <w:pPr>
              <w:pStyle w:val="TableTextCentered"/>
              <w:keepNext/>
              <w:keepLines/>
            </w:pPr>
            <w:r w:rsidRPr="00027624">
              <w:t>3.8</w:t>
            </w:r>
          </w:p>
        </w:tc>
      </w:tr>
    </w:tbl>
    <w:p w14:paraId="1E1129CD" w14:textId="77777777" w:rsidR="00E96B29" w:rsidRPr="00027624" w:rsidRDefault="00E96B29" w:rsidP="00E96B29">
      <w:pPr>
        <w:pStyle w:val="ChartorTableNote"/>
      </w:pPr>
      <w:r w:rsidRPr="00027624">
        <w:t>Note: Upwards adjustment compares average income earned between ages 60</w:t>
      </w:r>
      <w:r w:rsidR="00A8443E" w:rsidRPr="00027624">
        <w:noBreakHyphen/>
      </w:r>
      <w:r w:rsidRPr="00027624">
        <w:t>66 using cross</w:t>
      </w:r>
      <w:r w:rsidR="00A8443E" w:rsidRPr="00027624">
        <w:noBreakHyphen/>
      </w:r>
      <w:r w:rsidRPr="00027624">
        <w:t>sectional data from Treasury</w:t>
      </w:r>
      <w:r w:rsidR="00A8443E" w:rsidRPr="00027624">
        <w:t>’</w:t>
      </w:r>
      <w:r w:rsidRPr="00027624">
        <w:t>s TAXMOD, which draws on the 2016</w:t>
      </w:r>
      <w:r w:rsidR="00A8443E" w:rsidRPr="00027624">
        <w:noBreakHyphen/>
      </w:r>
      <w:r w:rsidRPr="00027624">
        <w:t xml:space="preserve">17, 16 per cent sample file and incomes modelled by the review. Source: Analysis of ATO </w:t>
      </w:r>
      <w:r w:rsidR="007A1F0B" w:rsidRPr="00027624">
        <w:t>Longitudinal Information Files</w:t>
      </w:r>
      <w:r w:rsidRPr="00027624">
        <w:t xml:space="preserve"> (ALife), 2016</w:t>
      </w:r>
      <w:r w:rsidR="00A8443E" w:rsidRPr="00027624">
        <w:noBreakHyphen/>
      </w:r>
      <w:r w:rsidRPr="00027624">
        <w:t>17, and cross</w:t>
      </w:r>
      <w:r w:rsidR="00A8443E" w:rsidRPr="00027624">
        <w:noBreakHyphen/>
      </w:r>
      <w:r w:rsidRPr="00027624">
        <w:t>sectional data from the 2016</w:t>
      </w:r>
      <w:r w:rsidR="00A8443E" w:rsidRPr="00027624">
        <w:noBreakHyphen/>
      </w:r>
      <w:r w:rsidRPr="00027624">
        <w:t>17, 16 per cent sample file and incomes modelled by the review.</w:t>
      </w:r>
    </w:p>
    <w:p w14:paraId="137D5E70" w14:textId="77777777" w:rsidR="00E96B29" w:rsidRPr="00027624" w:rsidRDefault="00E96B29" w:rsidP="00E96B29">
      <w:pPr>
        <w:pStyle w:val="ChartMainHeading"/>
      </w:pPr>
      <w:bookmarkStart w:id="4255" w:name="_Ref38788634"/>
      <w:r w:rsidRPr="00027624">
        <w:t>Analysis of incomes in years before retirement, median earner</w:t>
      </w:r>
      <w:bookmarkEnd w:id="4255"/>
    </w:p>
    <w:p w14:paraId="4B9CB4AC" w14:textId="77777777" w:rsidR="00E96B29" w:rsidRPr="00027624" w:rsidRDefault="00DD2AD9" w:rsidP="00E96B29">
      <w:pPr>
        <w:pStyle w:val="ChartGraphic"/>
        <w:rPr>
          <w:i/>
          <w:iCs/>
          <w:color w:val="auto"/>
        </w:rPr>
      </w:pPr>
      <w:r>
        <w:rPr>
          <w:i/>
          <w:iCs/>
          <w:noProof/>
          <w:color w:val="auto"/>
        </w:rPr>
        <w:drawing>
          <wp:inline distT="0" distB="0" distL="0" distR="0" wp14:anchorId="46BA0532" wp14:editId="696633B7">
            <wp:extent cx="5585460" cy="2522220"/>
            <wp:effectExtent l="0" t="0" r="0" b="0"/>
            <wp:docPr id="141855618" name="Picture 141855618" descr="This chart shows income levels over ages for different datasets. The review’s model is higher than cross-sectional and longitudinal data sources from age 60." title="Chart 6A-20 Analysis of incomes in years before retirement, 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55CBF6FC" w14:textId="77777777" w:rsidR="00E96B29" w:rsidRPr="00027624" w:rsidRDefault="00E96B29" w:rsidP="00DE6C9E">
      <w:pPr>
        <w:pStyle w:val="ChartorTableNote"/>
      </w:pPr>
      <w:r w:rsidRPr="00027624">
        <w:t>Note: Incomes measured as a proportion of average weekly ordinary time earnings (AWOTE) in the relevant year. Cohorts aged 64 in reference year. Includes people with a non</w:t>
      </w:r>
      <w:r w:rsidR="00A8443E" w:rsidRPr="00027624">
        <w:noBreakHyphen/>
      </w:r>
      <w:r w:rsidRPr="00027624">
        <w:t>zero salary and wage at least eight times in the 10 years from 2008 to 2017. Percentiles based on the 10</w:t>
      </w:r>
      <w:r w:rsidR="00A8443E" w:rsidRPr="00027624">
        <w:noBreakHyphen/>
      </w:r>
      <w:r w:rsidRPr="00027624">
        <w:t>year average of wages. Longitudinal data scaled uniformly to match cross</w:t>
      </w:r>
      <w:r w:rsidR="00A8443E" w:rsidRPr="00027624">
        <w:noBreakHyphen/>
      </w:r>
      <w:r w:rsidRPr="00027624">
        <w:t xml:space="preserve">sectional income at age 55 for comparison. Source: Analysis of ATO </w:t>
      </w:r>
      <w:r w:rsidR="007A1F0B" w:rsidRPr="00027624">
        <w:t>Longitudinal Information Files</w:t>
      </w:r>
      <w:r w:rsidRPr="00027624">
        <w:t xml:space="preserve"> (ALife), 2016</w:t>
      </w:r>
      <w:r w:rsidR="00A8443E" w:rsidRPr="00027624">
        <w:noBreakHyphen/>
      </w:r>
      <w:r w:rsidRPr="00027624">
        <w:t>17, and cross</w:t>
      </w:r>
      <w:r w:rsidR="00A8443E" w:rsidRPr="00027624">
        <w:noBreakHyphen/>
      </w:r>
      <w:r w:rsidRPr="00027624">
        <w:t>sectional data from the 2016</w:t>
      </w:r>
      <w:r w:rsidR="00A8443E" w:rsidRPr="00027624">
        <w:noBreakHyphen/>
      </w:r>
      <w:r w:rsidRPr="00027624">
        <w:t>17, 16 per cent sample file and incomes modelled by the review.</w:t>
      </w:r>
    </w:p>
    <w:p w14:paraId="0CCF0CD9" w14:textId="77777777" w:rsidR="00E96B29" w:rsidRPr="00027624" w:rsidRDefault="00E96B29" w:rsidP="00E96B29">
      <w:pPr>
        <w:pStyle w:val="Heading5"/>
      </w:pPr>
      <w:bookmarkStart w:id="4256" w:name="_Ref42616963"/>
      <w:r w:rsidRPr="00027624">
        <w:t>Income deflation</w:t>
      </w:r>
      <w:bookmarkEnd w:id="4256"/>
    </w:p>
    <w:p w14:paraId="7E2C9880" w14:textId="77777777" w:rsidR="00E96B29" w:rsidRPr="00027624" w:rsidRDefault="00E96B29" w:rsidP="00E96B29">
      <w:pPr>
        <w:pStyle w:val="Bullet"/>
        <w:numPr>
          <w:ilvl w:val="0"/>
          <w:numId w:val="0"/>
        </w:numPr>
      </w:pPr>
      <w:r w:rsidRPr="00027624">
        <w:t>The present value of disposable income in a given year was calculated using a mixed deflator. This methodology is referred to as the review</w:t>
      </w:r>
      <w:r w:rsidR="00A8443E" w:rsidRPr="00027624">
        <w:t>’</w:t>
      </w:r>
      <w:r w:rsidRPr="00027624">
        <w:t>s mixed deflator in all applicable modelling in the report. The present value of income using the review</w:t>
      </w:r>
      <w:r w:rsidR="00A8443E" w:rsidRPr="00027624">
        <w:t>’</w:t>
      </w:r>
      <w:r w:rsidRPr="00027624">
        <w:t>s mixed deflator is always given in 2019</w:t>
      </w:r>
      <w:r w:rsidR="00A8443E" w:rsidRPr="00027624">
        <w:noBreakHyphen/>
      </w:r>
      <w:r w:rsidRPr="00027624">
        <w:t>20 dollars.</w:t>
      </w:r>
    </w:p>
    <w:p w14:paraId="0FE36522" w14:textId="77777777" w:rsidR="00E96B29" w:rsidRPr="00027624" w:rsidRDefault="00E96B29" w:rsidP="00E96B29">
      <w:pPr>
        <w:pStyle w:val="Bullet"/>
        <w:numPr>
          <w:ilvl w:val="0"/>
          <w:numId w:val="0"/>
        </w:numPr>
      </w:pPr>
      <w:r w:rsidRPr="00027624">
        <w:t>Income is deflated by wages up until retirement age. During retirement, income is deflated by prices building on wage deflation during working life.</w:t>
      </w:r>
    </w:p>
    <w:p w14:paraId="21AB7BEE" w14:textId="77777777" w:rsidR="00E96B29" w:rsidRPr="00027624" w:rsidRDefault="00E96B29" w:rsidP="00E96B29">
      <w:pPr>
        <w:pStyle w:val="Heading5"/>
      </w:pPr>
      <w:r w:rsidRPr="00027624">
        <w:t>Income for the replacement rate calculations</w:t>
      </w:r>
    </w:p>
    <w:p w14:paraId="4ABE243D" w14:textId="77777777" w:rsidR="00E96B29" w:rsidRPr="00027624" w:rsidRDefault="00E96B29" w:rsidP="00E96B29">
      <w:r w:rsidRPr="00027624">
        <w:t>Replacement rates for the review were calculated as:</w:t>
      </w:r>
    </w:p>
    <w:p w14:paraId="7B811CA3" w14:textId="77777777" w:rsidR="00E96B29" w:rsidRPr="00027624" w:rsidRDefault="00E96B29" w:rsidP="00E96B29">
      <m:oMathPara>
        <m:oMath>
          <m:r>
            <w:rPr>
              <w:rFonts w:ascii="Cambria Math" w:hAnsi="Cambria Math" w:cs="Cambria Math"/>
            </w:rPr>
            <m:t xml:space="preserve">Replacement rate </m:t>
          </m:r>
          <m:d>
            <m:dPr>
              <m:ctrlPr>
                <w:rPr>
                  <w:rFonts w:ascii="Cambria Math" w:hAnsi="Cambria Math" w:cs="Cambria Math"/>
                  <w:i/>
                </w:rPr>
              </m:ctrlPr>
            </m:dPr>
            <m:e>
              <m:r>
                <w:rPr>
                  <w:rFonts w:ascii="Cambria Math" w:hAnsi="Cambria Math" w:cs="Cambria Math"/>
                </w:rPr>
                <m:t>%</m:t>
              </m:r>
            </m:e>
          </m:d>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Retirement income</m:t>
              </m:r>
            </m:num>
            <m:den>
              <m:r>
                <m:rPr>
                  <m:sty m:val="p"/>
                </m:rPr>
                <w:rPr>
                  <w:rFonts w:ascii="Cambria Math" w:hAnsi="Cambria Math" w:cs="Cambria Math"/>
                </w:rPr>
                <m:t>Working</m:t>
              </m:r>
              <m:r>
                <m:rPr>
                  <m:sty m:val="p"/>
                </m:rPr>
                <w:rPr>
                  <w:rFonts w:ascii="Cambria Math" w:hAnsi="Cambria Math" w:cs="Cambria Math"/>
                </w:rPr>
                <w:noBreakHyphen/>
                <m:t>life income</m:t>
              </m:r>
            </m:den>
          </m:f>
          <m:r>
            <w:rPr>
              <w:rFonts w:ascii="Cambria Math" w:hAnsi="Cambria Math"/>
            </w:rPr>
            <m:t>×100</m:t>
          </m:r>
        </m:oMath>
      </m:oMathPara>
    </w:p>
    <w:p w14:paraId="2334894F" w14:textId="77777777" w:rsidR="00E96B29" w:rsidRPr="00027624" w:rsidRDefault="00E96B29" w:rsidP="00E96B29">
      <w:r w:rsidRPr="00027624">
        <w:t>The above equation uses the:</w:t>
      </w:r>
    </w:p>
    <w:p w14:paraId="31846B59" w14:textId="77777777" w:rsidR="00E96B29" w:rsidRPr="00027624" w:rsidRDefault="00E96B29" w:rsidP="00E96B29">
      <w:pPr>
        <w:pStyle w:val="Bullet"/>
      </w:pPr>
      <w:r w:rsidRPr="00027624">
        <w:rPr>
          <w:b/>
        </w:rPr>
        <w:t>Retirement income:</w:t>
      </w:r>
      <w:r w:rsidRPr="00027624">
        <w:t xml:space="preserve"> the present value of average annual income over the whole period of retirement</w:t>
      </w:r>
    </w:p>
    <w:p w14:paraId="40171265" w14:textId="77777777" w:rsidR="00E96B29" w:rsidRPr="00027624" w:rsidRDefault="00E96B29" w:rsidP="00E96B29">
      <w:pPr>
        <w:pStyle w:val="Bullet"/>
      </w:pPr>
      <w:r w:rsidRPr="00027624">
        <w:rPr>
          <w:b/>
        </w:rPr>
        <w:t>Working</w:t>
      </w:r>
      <w:r w:rsidR="00A8443E" w:rsidRPr="00027624">
        <w:rPr>
          <w:b/>
        </w:rPr>
        <w:noBreakHyphen/>
      </w:r>
      <w:r w:rsidRPr="00027624">
        <w:rPr>
          <w:b/>
        </w:rPr>
        <w:t>life income:</w:t>
      </w:r>
      <w:r w:rsidRPr="00027624">
        <w:t xml:space="preserve"> the present value of average annual income in the last 10 years of working life</w:t>
      </w:r>
    </w:p>
    <w:p w14:paraId="50297718" w14:textId="77777777" w:rsidR="00E96B29" w:rsidRPr="00027624" w:rsidRDefault="00E96B29" w:rsidP="00E96B29">
      <w:pPr>
        <w:pStyle w:val="Bullet"/>
        <w:numPr>
          <w:ilvl w:val="0"/>
          <w:numId w:val="0"/>
        </w:numPr>
      </w:pPr>
      <w:r w:rsidRPr="00027624">
        <w:t>These incomes were deflated using the review</w:t>
      </w:r>
      <w:r w:rsidR="00A8443E" w:rsidRPr="00027624">
        <w:t>’</w:t>
      </w:r>
      <w:r w:rsidRPr="00027624">
        <w:t>s mixed deflator. All values are based on disposable incomes (that is, after</w:t>
      </w:r>
      <w:r w:rsidR="00A8443E" w:rsidRPr="00027624">
        <w:noBreakHyphen/>
      </w:r>
      <w:r w:rsidRPr="00027624">
        <w:t>tax incomes).</w:t>
      </w:r>
    </w:p>
    <w:p w14:paraId="61CABBB8" w14:textId="77777777" w:rsidR="00E96B29" w:rsidRPr="00027624" w:rsidRDefault="00E96B29" w:rsidP="00E96B29">
      <w:pPr>
        <w:pStyle w:val="Heading6"/>
      </w:pPr>
      <w:r w:rsidRPr="00027624">
        <w:t>Retirement income</w:t>
      </w:r>
    </w:p>
    <w:p w14:paraId="3990602E" w14:textId="77777777" w:rsidR="00E96B29" w:rsidRPr="00027624" w:rsidRDefault="00E96B29" w:rsidP="00E96B29">
      <w:r w:rsidRPr="00027624">
        <w:t>Income averaged over the whole of retirement was used to calculate retirement income for the review</w:t>
      </w:r>
      <w:r w:rsidR="00A8443E" w:rsidRPr="00027624">
        <w:t>’</w:t>
      </w:r>
      <w:r w:rsidRPr="00027624">
        <w:t>s replacement rates. Using income across a person</w:t>
      </w:r>
      <w:r w:rsidR="00A8443E" w:rsidRPr="00027624">
        <w:t>’</w:t>
      </w:r>
      <w:r w:rsidRPr="00027624">
        <w:t>s whole retirement is appropriate because it reflects their circumstances over all the years of their retirement.</w:t>
      </w:r>
    </w:p>
    <w:p w14:paraId="72C6927C" w14:textId="77777777" w:rsidR="00E96B29" w:rsidRPr="00027624" w:rsidRDefault="00E96B29" w:rsidP="00E96B29">
      <w:r w:rsidRPr="00027624">
        <w:t>Replacement rates are sometimes measured using only the first year of, or a fixed number of years in, retirement</w:t>
      </w:r>
      <w:r w:rsidRPr="00027624">
        <w:fldChar w:fldCharType="begin"/>
      </w:r>
      <w:r w:rsidR="00AB0822">
        <w:instrText xml:space="preserve">CITATION Rot07 \p 3-4 \l 3081 </w:instrText>
      </w:r>
      <w:r w:rsidRPr="00027624">
        <w:fldChar w:fldCharType="separate"/>
      </w:r>
      <w:r w:rsidR="00E83F6E">
        <w:rPr>
          <w:noProof/>
        </w:rPr>
        <w:t xml:space="preserve"> (Rothman, 2007, pp. 3-4)</w:t>
      </w:r>
      <w:r w:rsidRPr="00027624">
        <w:fldChar w:fldCharType="end"/>
      </w:r>
      <w:r w:rsidRPr="00027624">
        <w:t>. Measures based on a short period after retirement risk skewing results if incomes rise or fall significantly during retirement. For example, a short period may overstate retirement if assets were quickly drawn down during retirement.</w:t>
      </w:r>
    </w:p>
    <w:p w14:paraId="46EE8DB7" w14:textId="3470D492" w:rsidR="00E96B29" w:rsidRPr="00027624" w:rsidRDefault="00E96B29" w:rsidP="00E96B29">
      <w:r w:rsidRPr="00027624">
        <w:t xml:space="preserve">Retirement incomes were deflated by prices. As noted previously, price increases best represent the growth in spending needs of retirees (see </w:t>
      </w:r>
      <w:r w:rsidRPr="00027624">
        <w:rPr>
          <w:i/>
        </w:rPr>
        <w:fldChar w:fldCharType="begin"/>
      </w:r>
      <w:r w:rsidRPr="00027624">
        <w:rPr>
          <w:i/>
        </w:rPr>
        <w:instrText xml:space="preserve"> REF _Ref42617901 \h  \* MERGEFORMAT </w:instrText>
      </w:r>
      <w:r w:rsidRPr="00027624">
        <w:rPr>
          <w:i/>
        </w:rPr>
      </w:r>
      <w:r w:rsidRPr="00027624">
        <w:rPr>
          <w:i/>
        </w:rPr>
        <w:fldChar w:fldCharType="separate"/>
      </w:r>
      <w:r w:rsidR="00891058" w:rsidRPr="00891058">
        <w:rPr>
          <w:i/>
        </w:rPr>
        <w:t>Evidence on the spending growth needed in retirement</w:t>
      </w:r>
      <w:r w:rsidRPr="00027624">
        <w:rPr>
          <w:i/>
        </w:rPr>
        <w:fldChar w:fldCharType="end"/>
      </w:r>
      <w:r w:rsidRPr="00027624">
        <w:rPr>
          <w:i/>
        </w:rPr>
        <w:t xml:space="preserve"> </w:t>
      </w:r>
      <w:r w:rsidRPr="00027624">
        <w:t>above).</w:t>
      </w:r>
    </w:p>
    <w:p w14:paraId="48BF8A42" w14:textId="77777777" w:rsidR="00E96B29" w:rsidRPr="00027624" w:rsidRDefault="00E96B29" w:rsidP="00E96B29">
      <w:pPr>
        <w:pStyle w:val="Heading6"/>
      </w:pPr>
      <w:r w:rsidRPr="00027624">
        <w:t>Working</w:t>
      </w:r>
      <w:r w:rsidR="00A8443E" w:rsidRPr="00027624">
        <w:noBreakHyphen/>
      </w:r>
      <w:r w:rsidRPr="00027624">
        <w:t>life income</w:t>
      </w:r>
    </w:p>
    <w:p w14:paraId="7727EB94" w14:textId="77777777" w:rsidR="00E96B29" w:rsidRPr="00027624" w:rsidRDefault="00E96B29" w:rsidP="00E96B29">
      <w:r w:rsidRPr="00027624">
        <w:t>Working</w:t>
      </w:r>
      <w:r w:rsidR="00A8443E" w:rsidRPr="00027624">
        <w:noBreakHyphen/>
      </w:r>
      <w:r w:rsidRPr="00027624">
        <w:t>life income was based on the average income in the last 10 years before retirement, deflated by wages. Determining an appropriate period to use for working</w:t>
      </w:r>
      <w:r w:rsidR="00A8443E" w:rsidRPr="00027624">
        <w:noBreakHyphen/>
      </w:r>
      <w:r w:rsidRPr="00027624">
        <w:t>life income involves balancing two issues:</w:t>
      </w:r>
    </w:p>
    <w:p w14:paraId="5185724B" w14:textId="77777777" w:rsidR="00E96B29" w:rsidRPr="00027624" w:rsidRDefault="00E96B29" w:rsidP="00E96B29">
      <w:pPr>
        <w:pStyle w:val="Bullet"/>
      </w:pPr>
      <w:r w:rsidRPr="00027624">
        <w:rPr>
          <w:b/>
        </w:rPr>
        <w:t>Periods closer to retirement better represent retirement expectations.</w:t>
      </w:r>
      <w:r w:rsidRPr="00027624">
        <w:t xml:space="preserve"> The proportion of people who have sought financial advice significantly increases for </w:t>
      </w:r>
      <w:r w:rsidR="0078546D" w:rsidRPr="00027624">
        <w:t>those aged</w:t>
      </w:r>
      <w:r w:rsidRPr="00027624">
        <w:t xml:space="preserve"> in the</w:t>
      </w:r>
      <w:r w:rsidR="0078546D" w:rsidRPr="00027624">
        <w:t>ir</w:t>
      </w:r>
      <w:r w:rsidRPr="00027624">
        <w:t xml:space="preserve"> mid</w:t>
      </w:r>
      <w:r w:rsidR="00A8443E" w:rsidRPr="00027624">
        <w:noBreakHyphen/>
      </w:r>
      <w:r w:rsidRPr="00027624">
        <w:t>50s</w:t>
      </w:r>
      <w:sdt>
        <w:sdtPr>
          <w:id w:val="-1885169184"/>
          <w:citation/>
        </w:sdtPr>
        <w:sdtEndPr/>
        <w:sdtContent>
          <w:r w:rsidRPr="00027624">
            <w:fldChar w:fldCharType="begin"/>
          </w:r>
          <w:r w:rsidRPr="00027624">
            <w:instrText xml:space="preserve">CITATION Sno \l 3081 </w:instrText>
          </w:r>
          <w:r w:rsidRPr="00027624">
            <w:fldChar w:fldCharType="separate"/>
          </w:r>
          <w:r w:rsidR="00E83F6E">
            <w:rPr>
              <w:noProof/>
            </w:rPr>
            <w:t xml:space="preserve"> (Snoke, et al., 2009)</w:t>
          </w:r>
          <w:r w:rsidRPr="00027624">
            <w:fldChar w:fldCharType="end"/>
          </w:r>
        </w:sdtContent>
      </w:sdt>
      <w:r w:rsidRPr="00027624">
        <w:t>. This is when people are likely to set expectations for the standard of living they want to maintain in retirement. People</w:t>
      </w:r>
      <w:r w:rsidR="00A8443E" w:rsidRPr="00027624">
        <w:t>’</w:t>
      </w:r>
      <w:r w:rsidRPr="00027624">
        <w:t>s lives also begin to become similar to what they will experience during retirement, particularly for those with children. Incomes earned in early or mid</w:t>
      </w:r>
      <w:r w:rsidR="00A8443E" w:rsidRPr="00027624">
        <w:noBreakHyphen/>
      </w:r>
      <w:r w:rsidRPr="00027624">
        <w:t>career are unlikely to significantly affect people</w:t>
      </w:r>
      <w:r w:rsidR="00A8443E" w:rsidRPr="00027624">
        <w:t>’</w:t>
      </w:r>
      <w:r w:rsidRPr="00027624">
        <w:t>s assessment of their retirement needs.</w:t>
      </w:r>
    </w:p>
    <w:p w14:paraId="077E85E2" w14:textId="77777777" w:rsidR="00E96B29" w:rsidRPr="00027624" w:rsidRDefault="00E96B29" w:rsidP="00E96B29">
      <w:pPr>
        <w:pStyle w:val="Bullet"/>
      </w:pPr>
      <w:r w:rsidRPr="00027624">
        <w:rPr>
          <w:b/>
        </w:rPr>
        <w:t>Periods too close to retirement include years when incomes trail off significantly in adjusted terms.</w:t>
      </w:r>
      <w:r w:rsidRPr="00027624">
        <w:t xml:space="preserve"> Close to a given retirement age, many are transitioning to retirement. A small period close to retirement may therefore not reflect a person</w:t>
      </w:r>
      <w:r w:rsidR="00A8443E" w:rsidRPr="00027624">
        <w:t>’</w:t>
      </w:r>
      <w:r w:rsidRPr="00027624">
        <w:t>s actual standard of living in working life</w:t>
      </w:r>
      <w:r w:rsidRPr="00027624">
        <w:rPr>
          <w:color w:val="604878" w:themeColor="accent3"/>
        </w:rPr>
        <w:t xml:space="preserve"> </w:t>
      </w:r>
      <w:r w:rsidRPr="00027624">
        <w:t>that they wish to replace in retirement.</w:t>
      </w:r>
    </w:p>
    <w:p w14:paraId="1BE2F264" w14:textId="77777777" w:rsidR="00E96B29" w:rsidRPr="00027624" w:rsidRDefault="00E96B29" w:rsidP="00E96B29">
      <w:r w:rsidRPr="00027624">
        <w:t>Some commentators suggest working</w:t>
      </w:r>
      <w:r w:rsidR="00A8443E" w:rsidRPr="00027624">
        <w:noBreakHyphen/>
      </w:r>
      <w:r w:rsidRPr="00027624">
        <w:t>life income should be based on a period further away from retirement to reflect the peak of income in middle age. This approach was not favoured as:</w:t>
      </w:r>
    </w:p>
    <w:p w14:paraId="6C799E26" w14:textId="77777777" w:rsidR="00E96B29" w:rsidRPr="00027624" w:rsidRDefault="00E96B29" w:rsidP="00E96B29">
      <w:pPr>
        <w:pStyle w:val="Bullet"/>
      </w:pPr>
      <w:r w:rsidRPr="00027624">
        <w:t>Financial stress peaks around age 50 for middle</w:t>
      </w:r>
      <w:r w:rsidR="00A8443E" w:rsidRPr="00027624">
        <w:noBreakHyphen/>
      </w:r>
      <w:r w:rsidRPr="00027624">
        <w:t>income earners, reflecting high costs such as those related to raising children. This suggests the period is not reflective of the standard of living people will aim to replace in retirement.</w:t>
      </w:r>
    </w:p>
    <w:p w14:paraId="10B4FE03" w14:textId="77777777" w:rsidR="00E96B29" w:rsidRPr="00027624" w:rsidRDefault="00E96B29">
      <w:pPr>
        <w:pStyle w:val="Bullet"/>
      </w:pPr>
      <w:r w:rsidRPr="00027624">
        <w:t>The 57</w:t>
      </w:r>
      <w:r w:rsidR="00A8443E" w:rsidRPr="00027624">
        <w:noBreakHyphen/>
      </w:r>
      <w:r w:rsidRPr="00027624">
        <w:t>66 age range represents the peak of consumption opportunities. Real incomes tend to remain broadly stable in real terms from around 50, as nominal incomes grow in line with price inflation but slower than wage growth. From the 20</w:t>
      </w:r>
      <w:r w:rsidRPr="00027624">
        <w:rPr>
          <w:vertAlign w:val="superscript"/>
        </w:rPr>
        <w:t>th</w:t>
      </w:r>
      <w:r w:rsidRPr="00027624">
        <w:t xml:space="preserve"> percentile and higher, average real income in the 57</w:t>
      </w:r>
      <w:r w:rsidR="00A8443E" w:rsidRPr="00027624">
        <w:noBreakHyphen/>
      </w:r>
      <w:r w:rsidRPr="00027624">
        <w:t>66 age range (where the benchmark is set) exceeds real income at age 45.</w:t>
      </w:r>
    </w:p>
    <w:p w14:paraId="0A816347" w14:textId="77777777" w:rsidR="00E96B29" w:rsidRPr="00027624" w:rsidRDefault="00E96B29" w:rsidP="00E96B29">
      <w:r w:rsidRPr="00027624">
        <w:t>Working</w:t>
      </w:r>
      <w:r w:rsidR="00A8443E" w:rsidRPr="00027624">
        <w:noBreakHyphen/>
      </w:r>
      <w:r w:rsidRPr="00027624">
        <w:t>life income is deflated by wages. Most stakeholders preferred wages for pre</w:t>
      </w:r>
      <w:r w:rsidR="00A8443E" w:rsidRPr="00027624">
        <w:noBreakHyphen/>
      </w:r>
      <w:r w:rsidRPr="00027624">
        <w:t>retirement deflation. The Actuaries Institute guidance recommends using wage</w:t>
      </w:r>
      <w:r w:rsidR="00A8443E" w:rsidRPr="00027624">
        <w:noBreakHyphen/>
      </w:r>
      <w:r w:rsidRPr="00027624">
        <w:t>based deflation of working</w:t>
      </w:r>
      <w:r w:rsidR="00A8443E" w:rsidRPr="00027624">
        <w:noBreakHyphen/>
      </w:r>
      <w:r w:rsidRPr="00027624">
        <w:t>life income as it is more understandable for people planning for their retirement:</w:t>
      </w:r>
    </w:p>
    <w:p w14:paraId="20CA5863" w14:textId="77777777" w:rsidR="00E96B29" w:rsidRPr="00027624" w:rsidRDefault="00A8443E" w:rsidP="00E96B29">
      <w:pPr>
        <w:pStyle w:val="Quote"/>
      </w:pPr>
      <w:r w:rsidRPr="00027624">
        <w:t>‘</w:t>
      </w:r>
      <w:r w:rsidR="00E96B29" w:rsidRPr="00027624">
        <w:t>… it is preferable for future benefits to be deflated using a wage</w:t>
      </w:r>
      <w:r w:rsidRPr="00027624">
        <w:noBreakHyphen/>
      </w:r>
      <w:r w:rsidR="00E96B29" w:rsidRPr="00027624">
        <w:t>based deflator in order to allow plan members to assess their purchasing power at retirement relative to their salary at retirement.</w:t>
      </w:r>
      <w:r w:rsidRPr="00027624">
        <w:t>’</w:t>
      </w:r>
      <w:r w:rsidR="00E96B29" w:rsidRPr="00027624">
        <w:t xml:space="preserve"> </w:t>
      </w:r>
      <w:sdt>
        <w:sdtPr>
          <w:id w:val="1332953649"/>
          <w:citation/>
        </w:sdtPr>
        <w:sdtEndPr/>
        <w:sdtContent>
          <w:r w:rsidR="00E96B29" w:rsidRPr="00027624">
            <w:fldChar w:fldCharType="begin"/>
          </w:r>
          <w:r w:rsidR="00E96B29" w:rsidRPr="00027624">
            <w:instrText xml:space="preserve">CITATION Act18 \l 3081 </w:instrText>
          </w:r>
          <w:r w:rsidR="00E96B29" w:rsidRPr="00027624">
            <w:fldChar w:fldCharType="separate"/>
          </w:r>
          <w:r w:rsidR="00E83F6E">
            <w:rPr>
              <w:noProof/>
            </w:rPr>
            <w:t>(Actuaries Institute, 2018)</w:t>
          </w:r>
          <w:r w:rsidR="00E96B29" w:rsidRPr="00027624">
            <w:fldChar w:fldCharType="end"/>
          </w:r>
        </w:sdtContent>
      </w:sdt>
    </w:p>
    <w:p w14:paraId="0DAD8D48" w14:textId="77777777" w:rsidR="00E96B29" w:rsidRPr="00027624" w:rsidRDefault="00E96B29" w:rsidP="00E96B29">
      <w:r w:rsidRPr="00027624">
        <w:t>For consistency, the same working</w:t>
      </w:r>
      <w:r w:rsidR="00A8443E" w:rsidRPr="00027624">
        <w:noBreakHyphen/>
      </w:r>
      <w:r w:rsidRPr="00027624">
        <w:t>life income target is used in all sensitivity analysis of retirement ages. For example, someone retiring earlier than 67 has their working</w:t>
      </w:r>
      <w:r w:rsidR="00A8443E" w:rsidRPr="00027624">
        <w:noBreakHyphen/>
      </w:r>
      <w:r w:rsidRPr="00027624">
        <w:t>life income target based on the incomes they would have earned in the 10 years to 67. Falling incomes in later ages can mean that average incomes in the 10 years to age 67 are lower than incomes in the 10 years to, say, age 62. This method avoids setting a higher retirement income target because someone retired earlier.</w:t>
      </w:r>
    </w:p>
    <w:p w14:paraId="5611C94A" w14:textId="77777777" w:rsidR="00E96B29" w:rsidRPr="00027624" w:rsidRDefault="00E96B29" w:rsidP="00E96B29">
      <w:pPr>
        <w:pStyle w:val="Heading5"/>
      </w:pPr>
      <w:r w:rsidRPr="00027624">
        <w:t>Personal income tax</w:t>
      </w:r>
    </w:p>
    <w:p w14:paraId="0363F653" w14:textId="77777777" w:rsidR="00E96B29" w:rsidRPr="00027624" w:rsidRDefault="00E96B29" w:rsidP="00E96B29">
      <w:r w:rsidRPr="00027624">
        <w:t>People pay personal income tax according to current policy, including all legislated future tax changes out to 2024</w:t>
      </w:r>
      <w:r w:rsidR="00A8443E" w:rsidRPr="00027624">
        <w:noBreakHyphen/>
      </w:r>
      <w:r w:rsidRPr="00027624">
        <w:t>25.</w:t>
      </w:r>
    </w:p>
    <w:p w14:paraId="2CED8AD9" w14:textId="77777777" w:rsidR="00E96B29" w:rsidRPr="00027624" w:rsidRDefault="00E96B29" w:rsidP="00E96B29">
      <w:r w:rsidRPr="00027624">
        <w:t>Personal income tax policies modelled include rates and thresholds; the Medicare Levy; and tax offsets including the low income tax offset, low and middle income tax offset (expiring 30 June 2022), and seniors and pensioners tax offset.</w:t>
      </w:r>
    </w:p>
    <w:p w14:paraId="2FF45F41" w14:textId="77777777" w:rsidR="00E96B29" w:rsidRPr="00027624" w:rsidRDefault="00E96B29" w:rsidP="00E96B29">
      <w:r w:rsidRPr="00027624">
        <w:t>Some policy settings are not automatically indexed over time. Given this assumption is unrealistic in the long term, tax steps, thresholds and offsets are indexed to wages growth beyond the medium term (from 2030</w:t>
      </w:r>
      <w:r w:rsidR="00A8443E" w:rsidRPr="00027624">
        <w:noBreakHyphen/>
      </w:r>
      <w:r w:rsidRPr="00027624">
        <w:t>31).</w:t>
      </w:r>
    </w:p>
    <w:p w14:paraId="4CF711D6" w14:textId="77777777" w:rsidR="00E96B29" w:rsidRPr="00027624" w:rsidRDefault="00E96B29" w:rsidP="00E96B29">
      <w:r w:rsidRPr="00027624">
        <w:t>Where people are liable for personal income tax, those tax liabilities are paid from:</w:t>
      </w:r>
    </w:p>
    <w:p w14:paraId="3D7414AF" w14:textId="77777777" w:rsidR="00E96B29" w:rsidRPr="00027624" w:rsidRDefault="00E96B29" w:rsidP="00E96B29">
      <w:pPr>
        <w:pStyle w:val="Bullet"/>
      </w:pPr>
      <w:r w:rsidRPr="00027624">
        <w:t>Wage and salary income before retirement</w:t>
      </w:r>
    </w:p>
    <w:p w14:paraId="294A6487" w14:textId="77777777" w:rsidR="00E96B29" w:rsidRPr="00027624" w:rsidRDefault="00E96B29" w:rsidP="00E96B29">
      <w:pPr>
        <w:pStyle w:val="Bullet"/>
      </w:pPr>
      <w:r w:rsidRPr="00027624">
        <w:t>Earnings on non</w:t>
      </w:r>
      <w:r w:rsidR="00A8443E" w:rsidRPr="00027624">
        <w:noBreakHyphen/>
      </w:r>
      <w:r w:rsidRPr="00027624">
        <w:t>superannuation wealth after retirement</w:t>
      </w:r>
    </w:p>
    <w:p w14:paraId="25FF588D" w14:textId="77777777" w:rsidR="00E96B29" w:rsidRPr="00027624" w:rsidRDefault="00E96B29">
      <w:pPr>
        <w:pStyle w:val="Heading5"/>
      </w:pPr>
      <w:r w:rsidRPr="00027624">
        <w:t>Length of working life</w:t>
      </w:r>
    </w:p>
    <w:p w14:paraId="4FF4D3F7" w14:textId="77777777" w:rsidR="00E96B29" w:rsidRPr="00027624" w:rsidRDefault="00E96B29" w:rsidP="00E96B29">
      <w:r w:rsidRPr="00027624">
        <w:t>The review assumes a career of 40 years as its central assumption. This is based on analysis of ABS and HILDA data (see</w:t>
      </w:r>
      <w:r w:rsidRPr="00027624">
        <w:rPr>
          <w:i/>
        </w:rPr>
        <w:t xml:space="preserve"> 2C. Maintaining standards of living in retirement</w:t>
      </w:r>
      <w:r w:rsidRPr="00027624">
        <w:t>).</w:t>
      </w:r>
    </w:p>
    <w:p w14:paraId="7E749427" w14:textId="77777777" w:rsidR="00E96B29" w:rsidRPr="00027624" w:rsidRDefault="00E96B29" w:rsidP="00E96B29">
      <w:r w:rsidRPr="00027624">
        <w:t>Analysis also compared the length of working life for those who retire in 2060 in the Model of Australian Retirement Incomes and Assets (MARIA) with the review</w:t>
      </w:r>
      <w:r w:rsidR="00A8443E" w:rsidRPr="00027624">
        <w:t>’</w:t>
      </w:r>
      <w:r w:rsidRPr="00027624">
        <w:t>s cameo model assumption.</w:t>
      </w:r>
    </w:p>
    <w:p w14:paraId="59648BCF" w14:textId="40D0AE73" w:rsidR="00E96B29" w:rsidRPr="00027624" w:rsidRDefault="00E96B29">
      <w:r w:rsidRPr="00027624">
        <w:t>Median years in the workforce in MARIA for women retiring in 2060 is about 38 years, while median years in the workforce for men is around 44 years (</w:t>
      </w:r>
      <w:r w:rsidRPr="00027624">
        <w:fldChar w:fldCharType="begin"/>
      </w:r>
      <w:r w:rsidRPr="00027624">
        <w:instrText xml:space="preserve"> REF _Ref42087798 \r \h  \* MERGEFORMAT </w:instrText>
      </w:r>
      <w:r w:rsidRPr="00027624">
        <w:fldChar w:fldCharType="separate"/>
      </w:r>
      <w:r w:rsidR="00891058">
        <w:t>Table 6A-6</w:t>
      </w:r>
      <w:r w:rsidRPr="00027624">
        <w:fldChar w:fldCharType="end"/>
      </w:r>
      <w:r w:rsidRPr="00027624">
        <w:t>). The combined median years in the workforce for those retiring in 2060 is just over 40 years.</w:t>
      </w:r>
    </w:p>
    <w:p w14:paraId="015476EB" w14:textId="77777777" w:rsidR="00E96B29" w:rsidRPr="00027624" w:rsidRDefault="00E96B29" w:rsidP="00E96B29">
      <w:pPr>
        <w:pStyle w:val="TableMainHeading"/>
        <w:rPr>
          <w:rFonts w:eastAsiaTheme="minorHAnsi"/>
          <w:lang w:eastAsia="en-US"/>
        </w:rPr>
      </w:pPr>
      <w:bookmarkStart w:id="4257" w:name="_Ref42077636"/>
      <w:bookmarkStart w:id="4258" w:name="_Ref42087798"/>
      <w:r w:rsidRPr="00027624">
        <w:rPr>
          <w:rFonts w:eastAsiaTheme="minorHAnsi"/>
          <w:lang w:eastAsia="en-US"/>
        </w:rPr>
        <w:t>Years in the workforce for those retiring in 2058 to 2060</w:t>
      </w:r>
      <w:bookmarkEnd w:id="4257"/>
      <w:bookmarkEnd w:id="4258"/>
      <w:r w:rsidRPr="00027624">
        <w:rPr>
          <w:rFonts w:eastAsiaTheme="minorHAnsi"/>
          <w:lang w:eastAsia="en-US"/>
        </w:rPr>
        <w:t>, MARIA modelling</w:t>
      </w:r>
    </w:p>
    <w:tbl>
      <w:tblPr>
        <w:tblStyle w:val="TableGrid"/>
        <w:tblW w:w="0" w:type="auto"/>
        <w:tblLook w:val="04A0" w:firstRow="1" w:lastRow="0" w:firstColumn="1" w:lastColumn="0" w:noHBand="0" w:noVBand="1"/>
      </w:tblPr>
      <w:tblGrid>
        <w:gridCol w:w="2267"/>
        <w:gridCol w:w="2268"/>
        <w:gridCol w:w="2267"/>
        <w:gridCol w:w="2268"/>
      </w:tblGrid>
      <w:tr w:rsidR="00E96B29" w:rsidRPr="00027624" w14:paraId="06299F6C" w14:textId="77777777" w:rsidTr="00E96B29">
        <w:tc>
          <w:tcPr>
            <w:tcW w:w="2268" w:type="dxa"/>
          </w:tcPr>
          <w:p w14:paraId="2062CC5F" w14:textId="77777777" w:rsidR="00E96B29" w:rsidRPr="00027624" w:rsidRDefault="00E96B29" w:rsidP="00E96B29">
            <w:pPr>
              <w:pStyle w:val="TableColumnHeadingCentred"/>
              <w:jc w:val="left"/>
            </w:pPr>
            <w:r w:rsidRPr="00027624">
              <w:t>Gender</w:t>
            </w:r>
          </w:p>
        </w:tc>
        <w:tc>
          <w:tcPr>
            <w:tcW w:w="2268" w:type="dxa"/>
          </w:tcPr>
          <w:p w14:paraId="0947186E" w14:textId="77777777" w:rsidR="00E96B29" w:rsidRPr="00027624" w:rsidRDefault="00E96B29" w:rsidP="00E96B29">
            <w:pPr>
              <w:pStyle w:val="TableColumnHeadingCentred"/>
            </w:pPr>
            <w:r w:rsidRPr="00027624">
              <w:t>Average</w:t>
            </w:r>
          </w:p>
        </w:tc>
        <w:tc>
          <w:tcPr>
            <w:tcW w:w="2268" w:type="dxa"/>
          </w:tcPr>
          <w:p w14:paraId="0780F09F" w14:textId="77777777" w:rsidR="00E96B29" w:rsidRPr="00027624" w:rsidRDefault="00E96B29" w:rsidP="00E96B29">
            <w:pPr>
              <w:pStyle w:val="TableColumnHeadingCentred"/>
            </w:pPr>
            <w:r w:rsidRPr="00027624">
              <w:t>Median</w:t>
            </w:r>
          </w:p>
        </w:tc>
        <w:tc>
          <w:tcPr>
            <w:tcW w:w="2268" w:type="dxa"/>
          </w:tcPr>
          <w:p w14:paraId="789BA584" w14:textId="77777777" w:rsidR="00E96B29" w:rsidRPr="00027624" w:rsidRDefault="00E96B29" w:rsidP="00E96B29">
            <w:pPr>
              <w:pStyle w:val="TableColumnHeadingCentred"/>
            </w:pPr>
            <w:r w:rsidRPr="00027624">
              <w:t>Standard deviation</w:t>
            </w:r>
          </w:p>
        </w:tc>
      </w:tr>
      <w:tr w:rsidR="00E96B29" w:rsidRPr="00027624" w14:paraId="1542443B" w14:textId="77777777" w:rsidTr="00E96B29">
        <w:tc>
          <w:tcPr>
            <w:tcW w:w="2268" w:type="dxa"/>
            <w:shd w:val="clear" w:color="auto" w:fill="auto"/>
          </w:tcPr>
          <w:p w14:paraId="05D5A1AB" w14:textId="77777777" w:rsidR="00E96B29" w:rsidRPr="00027624" w:rsidRDefault="00E96B29" w:rsidP="00E96B29">
            <w:pPr>
              <w:pStyle w:val="TableTextLeft"/>
              <w:rPr>
                <w:szCs w:val="22"/>
              </w:rPr>
            </w:pPr>
            <w:r w:rsidRPr="00027624">
              <w:rPr>
                <w:szCs w:val="22"/>
              </w:rPr>
              <w:t>Female</w:t>
            </w:r>
          </w:p>
        </w:tc>
        <w:tc>
          <w:tcPr>
            <w:tcW w:w="2268" w:type="dxa"/>
            <w:shd w:val="clear" w:color="auto" w:fill="auto"/>
          </w:tcPr>
          <w:p w14:paraId="6FA7CFC5" w14:textId="77777777" w:rsidR="00E96B29" w:rsidRPr="00027624" w:rsidRDefault="00E96B29" w:rsidP="00E96B29">
            <w:pPr>
              <w:pStyle w:val="TableTextCentered"/>
            </w:pPr>
            <w:r w:rsidRPr="00027624">
              <w:t>36.4</w:t>
            </w:r>
          </w:p>
        </w:tc>
        <w:tc>
          <w:tcPr>
            <w:tcW w:w="2268" w:type="dxa"/>
            <w:shd w:val="clear" w:color="auto" w:fill="auto"/>
          </w:tcPr>
          <w:p w14:paraId="13DAB0AE" w14:textId="77777777" w:rsidR="00E96B29" w:rsidRPr="00027624" w:rsidRDefault="00E96B29" w:rsidP="00E96B29">
            <w:pPr>
              <w:pStyle w:val="TableTextCentered"/>
            </w:pPr>
            <w:r w:rsidRPr="00027624">
              <w:t>38.0</w:t>
            </w:r>
          </w:p>
        </w:tc>
        <w:tc>
          <w:tcPr>
            <w:tcW w:w="2268" w:type="dxa"/>
            <w:shd w:val="clear" w:color="auto" w:fill="auto"/>
          </w:tcPr>
          <w:p w14:paraId="47B8BD48" w14:textId="77777777" w:rsidR="00E96B29" w:rsidRPr="00027624" w:rsidRDefault="00E96B29" w:rsidP="00E96B29">
            <w:pPr>
              <w:pStyle w:val="TableTextCentered"/>
            </w:pPr>
            <w:r w:rsidRPr="00027624">
              <w:t>12.7</w:t>
            </w:r>
          </w:p>
        </w:tc>
      </w:tr>
      <w:tr w:rsidR="00E96B29" w:rsidRPr="00027624" w14:paraId="39DDF891" w14:textId="77777777" w:rsidTr="00E96B29">
        <w:tc>
          <w:tcPr>
            <w:tcW w:w="2268" w:type="dxa"/>
            <w:shd w:val="clear" w:color="auto" w:fill="auto"/>
          </w:tcPr>
          <w:p w14:paraId="2A405371" w14:textId="77777777" w:rsidR="00E96B29" w:rsidRPr="00027624" w:rsidRDefault="00E96B29" w:rsidP="00E96B29">
            <w:pPr>
              <w:pStyle w:val="TableTextLeft"/>
              <w:rPr>
                <w:szCs w:val="22"/>
              </w:rPr>
            </w:pPr>
            <w:r w:rsidRPr="00027624">
              <w:rPr>
                <w:szCs w:val="22"/>
              </w:rPr>
              <w:t>Male</w:t>
            </w:r>
          </w:p>
        </w:tc>
        <w:tc>
          <w:tcPr>
            <w:tcW w:w="2268" w:type="dxa"/>
            <w:shd w:val="clear" w:color="auto" w:fill="auto"/>
          </w:tcPr>
          <w:p w14:paraId="00CDDEE3" w14:textId="77777777" w:rsidR="00E96B29" w:rsidRPr="00027624" w:rsidRDefault="00E96B29" w:rsidP="00E96B29">
            <w:pPr>
              <w:pStyle w:val="TableTextCentered"/>
            </w:pPr>
            <w:r w:rsidRPr="00027624">
              <w:t>41.9</w:t>
            </w:r>
          </w:p>
        </w:tc>
        <w:tc>
          <w:tcPr>
            <w:tcW w:w="2268" w:type="dxa"/>
            <w:shd w:val="clear" w:color="auto" w:fill="auto"/>
          </w:tcPr>
          <w:p w14:paraId="74EC4CDB" w14:textId="77777777" w:rsidR="00E96B29" w:rsidRPr="00027624" w:rsidRDefault="00E96B29" w:rsidP="00E96B29">
            <w:pPr>
              <w:pStyle w:val="TableTextCentered"/>
            </w:pPr>
            <w:r w:rsidRPr="00027624">
              <w:t>44.0</w:t>
            </w:r>
          </w:p>
        </w:tc>
        <w:tc>
          <w:tcPr>
            <w:tcW w:w="2268" w:type="dxa"/>
            <w:shd w:val="clear" w:color="auto" w:fill="auto"/>
          </w:tcPr>
          <w:p w14:paraId="284D55B6" w14:textId="77777777" w:rsidR="00E96B29" w:rsidRPr="00027624" w:rsidRDefault="00E96B29" w:rsidP="00E96B29">
            <w:pPr>
              <w:pStyle w:val="TableTextCentered"/>
            </w:pPr>
            <w:r w:rsidRPr="00027624">
              <w:t>13.8</w:t>
            </w:r>
          </w:p>
        </w:tc>
      </w:tr>
      <w:tr w:rsidR="00E96B29" w:rsidRPr="00027624" w14:paraId="275F7E4D" w14:textId="77777777" w:rsidTr="00E96B29">
        <w:tc>
          <w:tcPr>
            <w:tcW w:w="2268" w:type="dxa"/>
            <w:shd w:val="clear" w:color="auto" w:fill="auto"/>
          </w:tcPr>
          <w:p w14:paraId="1395972A" w14:textId="77777777" w:rsidR="00E96B29" w:rsidRPr="00027624" w:rsidRDefault="00E96B29" w:rsidP="00E96B29">
            <w:pPr>
              <w:pStyle w:val="TableTextLeft"/>
              <w:rPr>
                <w:szCs w:val="22"/>
              </w:rPr>
            </w:pPr>
            <w:r w:rsidRPr="00027624">
              <w:rPr>
                <w:szCs w:val="22"/>
              </w:rPr>
              <w:t>All</w:t>
            </w:r>
          </w:p>
        </w:tc>
        <w:tc>
          <w:tcPr>
            <w:tcW w:w="2268" w:type="dxa"/>
            <w:shd w:val="clear" w:color="auto" w:fill="auto"/>
          </w:tcPr>
          <w:p w14:paraId="6CD4DA7B" w14:textId="77777777" w:rsidR="00E96B29" w:rsidRPr="00027624" w:rsidRDefault="00E96B29" w:rsidP="00E96B29">
            <w:pPr>
              <w:pStyle w:val="TableTextCentered"/>
            </w:pPr>
            <w:r w:rsidRPr="00027624">
              <w:t>39.0</w:t>
            </w:r>
          </w:p>
        </w:tc>
        <w:tc>
          <w:tcPr>
            <w:tcW w:w="2268" w:type="dxa"/>
            <w:shd w:val="clear" w:color="auto" w:fill="auto"/>
          </w:tcPr>
          <w:p w14:paraId="3CCE91AD" w14:textId="77777777" w:rsidR="00E96B29" w:rsidRPr="00027624" w:rsidRDefault="00E96B29" w:rsidP="00E96B29">
            <w:pPr>
              <w:pStyle w:val="TableTextCentered"/>
            </w:pPr>
            <w:r w:rsidRPr="00027624">
              <w:t>40.9</w:t>
            </w:r>
          </w:p>
        </w:tc>
        <w:tc>
          <w:tcPr>
            <w:tcW w:w="2268" w:type="dxa"/>
            <w:shd w:val="clear" w:color="auto" w:fill="auto"/>
          </w:tcPr>
          <w:p w14:paraId="5BB77063" w14:textId="77777777" w:rsidR="00E96B29" w:rsidRPr="00027624" w:rsidRDefault="00E96B29" w:rsidP="00E96B29">
            <w:pPr>
              <w:pStyle w:val="TableTextCentered"/>
            </w:pPr>
            <w:r w:rsidRPr="00027624">
              <w:t>13.5</w:t>
            </w:r>
          </w:p>
        </w:tc>
      </w:tr>
    </w:tbl>
    <w:p w14:paraId="157D1EE0" w14:textId="77777777" w:rsidR="00E96B29" w:rsidRPr="00027624" w:rsidRDefault="00E96B29" w:rsidP="00E96B29">
      <w:pPr>
        <w:spacing w:after="240"/>
      </w:pPr>
      <w:r w:rsidRPr="00027624">
        <w:rPr>
          <w:sz w:val="18"/>
        </w:rPr>
        <w:t>Note: Years in workforce are included part</w:t>
      </w:r>
      <w:r w:rsidR="00A8443E" w:rsidRPr="00027624">
        <w:rPr>
          <w:sz w:val="18"/>
        </w:rPr>
        <w:noBreakHyphen/>
      </w:r>
      <w:r w:rsidRPr="00027624">
        <w:rPr>
          <w:sz w:val="18"/>
        </w:rPr>
        <w:t xml:space="preserve"> and full</w:t>
      </w:r>
      <w:r w:rsidR="00A8443E" w:rsidRPr="00027624">
        <w:rPr>
          <w:sz w:val="18"/>
        </w:rPr>
        <w:noBreakHyphen/>
      </w:r>
      <w:r w:rsidRPr="00027624">
        <w:rPr>
          <w:sz w:val="18"/>
        </w:rPr>
        <w:t>time work. Source: Treasury estimates for the review using MARIA.</w:t>
      </w:r>
    </w:p>
    <w:p w14:paraId="7C16351D" w14:textId="77777777" w:rsidR="00E96B29" w:rsidRPr="00027624" w:rsidRDefault="00E96B29" w:rsidP="00E96B29">
      <w:pPr>
        <w:pStyle w:val="Heading5"/>
      </w:pPr>
      <w:r w:rsidRPr="00027624">
        <w:t>Proportion of the population with little workforce attachment</w:t>
      </w:r>
    </w:p>
    <w:p w14:paraId="7B008D25" w14:textId="77777777" w:rsidR="00E96B29" w:rsidRPr="00027624" w:rsidRDefault="00E96B29" w:rsidP="00E96B29">
      <w:r w:rsidRPr="00027624">
        <w:t>Those in the population with little workforce attachment are not well captured by the income cameo modelling as they may not lodge tax returns. Given this group tends to earn low incomes over their lifetime, assessing whether the system delivers an appropriate minimum standard is a better adequacy indicator for this group.</w:t>
      </w:r>
    </w:p>
    <w:p w14:paraId="5F33CF22" w14:textId="77777777" w:rsidR="00E96B29" w:rsidRPr="00027624" w:rsidRDefault="00E96B29" w:rsidP="00E96B29">
      <w:r w:rsidRPr="00027624">
        <w:t xml:space="preserve">The </w:t>
      </w:r>
      <w:bookmarkStart w:id="4259" w:name="_Hlk42846879"/>
      <w:r w:rsidRPr="00027624">
        <w:t xml:space="preserve">Priority Investment Approach </w:t>
      </w:r>
      <w:bookmarkEnd w:id="4259"/>
      <w:r w:rsidRPr="00027624">
        <w:t>(PIA) dataset and actuarial model, administered by the Department of Social Services, was used to identify the size of this cohort.</w:t>
      </w:r>
    </w:p>
    <w:p w14:paraId="619E2D95" w14:textId="312B8D55" w:rsidR="00E96B29" w:rsidRPr="00027624" w:rsidDel="00E35F16" w:rsidRDefault="00E96B29" w:rsidP="00E96B29">
      <w:r w:rsidRPr="00027624" w:rsidDel="00E35F16">
        <w:t>The proportion of Australians aged 27 at 30 June 2018 expected to receive no income from employment</w:t>
      </w:r>
      <w:r w:rsidRPr="00027624">
        <w:rPr>
          <w:rStyle w:val="FootnoteReference"/>
        </w:rPr>
        <w:footnoteReference w:id="333"/>
      </w:r>
      <w:r w:rsidRPr="00027624" w:rsidDel="00E35F16">
        <w:t xml:space="preserve"> and also receive an income support payment</w:t>
      </w:r>
      <w:r w:rsidRPr="00027624">
        <w:t xml:space="preserve"> for</w:t>
      </w:r>
      <w:r w:rsidRPr="00027624" w:rsidDel="00E35F16">
        <w:t xml:space="preserve"> 15 years</w:t>
      </w:r>
      <w:r w:rsidRPr="00027624">
        <w:t xml:space="preserve"> or more</w:t>
      </w:r>
      <w:r w:rsidRPr="00027624" w:rsidDel="00E35F16">
        <w:t xml:space="preserve"> before they reach </w:t>
      </w:r>
      <w:r w:rsidRPr="00027624">
        <w:t>Age Pension</w:t>
      </w:r>
      <w:r w:rsidRPr="00027624" w:rsidDel="00E35F16">
        <w:t xml:space="preserve"> </w:t>
      </w:r>
      <w:r w:rsidRPr="00027624">
        <w:t xml:space="preserve">eligibility </w:t>
      </w:r>
      <w:r w:rsidRPr="00027624" w:rsidDel="00E35F16">
        <w:t>age is 9.6</w:t>
      </w:r>
      <w:r w:rsidRPr="00027624">
        <w:t> per cent (</w:t>
      </w:r>
      <w:r w:rsidRPr="00027624">
        <w:fldChar w:fldCharType="begin"/>
      </w:r>
      <w:r w:rsidRPr="00027624">
        <w:instrText xml:space="preserve"> REF _Ref42088210 \r \h  \* MERGEFORMAT </w:instrText>
      </w:r>
      <w:r w:rsidRPr="00027624">
        <w:fldChar w:fldCharType="separate"/>
      </w:r>
      <w:r w:rsidR="00891058">
        <w:t>Table 6A-7</w:t>
      </w:r>
      <w:r w:rsidRPr="00027624">
        <w:fldChar w:fldCharType="end"/>
      </w:r>
      <w:r w:rsidRPr="00027624">
        <w:t>)</w:t>
      </w:r>
      <w:r w:rsidRPr="00027624" w:rsidDel="00E35F16">
        <w:t>.</w:t>
      </w:r>
    </w:p>
    <w:p w14:paraId="0C478BFE" w14:textId="77777777" w:rsidR="00E96B29" w:rsidRPr="00027624" w:rsidRDefault="00E96B29" w:rsidP="00E96B29">
      <w:pPr>
        <w:pStyle w:val="TableMainHeading"/>
      </w:pPr>
      <w:bookmarkStart w:id="4260" w:name="_Ref39080673"/>
      <w:bookmarkStart w:id="4261" w:name="_Ref42088210"/>
      <w:r w:rsidRPr="00027624">
        <w:rPr>
          <w:rFonts w:eastAsiaTheme="minorHAnsi"/>
        </w:rPr>
        <w:t>Proportion of Australians</w:t>
      </w:r>
      <w:r w:rsidRPr="00027624">
        <w:t xml:space="preserve"> </w:t>
      </w:r>
      <w:bookmarkEnd w:id="4260"/>
      <w:r w:rsidRPr="00027624">
        <w:t>projected to receive income support</w:t>
      </w:r>
      <w:bookmarkEnd w:id="4261"/>
      <w:r w:rsidRPr="00027624">
        <w:t>, aged 27 on 30 June 2018</w:t>
      </w:r>
    </w:p>
    <w:tbl>
      <w:tblPr>
        <w:tblW w:w="5000" w:type="pct"/>
        <w:tblLook w:val="01E0" w:firstRow="1" w:lastRow="1" w:firstColumn="1" w:lastColumn="1" w:noHBand="0" w:noVBand="0"/>
      </w:tblPr>
      <w:tblGrid>
        <w:gridCol w:w="6947"/>
        <w:gridCol w:w="1134"/>
        <w:gridCol w:w="989"/>
      </w:tblGrid>
      <w:tr w:rsidR="00E96B29" w:rsidRPr="00027624" w14:paraId="451FA4E4" w14:textId="77777777" w:rsidTr="00E96B29">
        <w:trPr>
          <w:trHeight w:val="270"/>
          <w:tblHeader/>
        </w:trPr>
        <w:tc>
          <w:tcPr>
            <w:tcW w:w="3830" w:type="pct"/>
            <w:shd w:val="clear" w:color="auto" w:fill="E5E5E5"/>
          </w:tcPr>
          <w:p w14:paraId="2FD2411A" w14:textId="77777777" w:rsidR="00E96B29" w:rsidRPr="00027624" w:rsidRDefault="00E96B29" w:rsidP="00E96B29">
            <w:pPr>
              <w:pStyle w:val="TableColumnHeadingCentred"/>
              <w:jc w:val="left"/>
            </w:pPr>
            <w:r w:rsidRPr="00027624">
              <w:t>Projected groups</w:t>
            </w:r>
          </w:p>
        </w:tc>
        <w:tc>
          <w:tcPr>
            <w:tcW w:w="625" w:type="pct"/>
            <w:shd w:val="clear" w:color="auto" w:fill="E5E5E5"/>
          </w:tcPr>
          <w:p w14:paraId="30185445" w14:textId="77777777" w:rsidR="00E96B29" w:rsidRPr="00027624" w:rsidRDefault="00E96B29" w:rsidP="00E96B29">
            <w:pPr>
              <w:pStyle w:val="TableColumnHeadingCentred"/>
            </w:pPr>
            <w:r w:rsidRPr="00027624">
              <w:t>Number of peopleⁱⁱ</w:t>
            </w:r>
          </w:p>
        </w:tc>
        <w:tc>
          <w:tcPr>
            <w:tcW w:w="545" w:type="pct"/>
            <w:shd w:val="clear" w:color="auto" w:fill="E5E5E5"/>
          </w:tcPr>
          <w:p w14:paraId="30659C08" w14:textId="77777777" w:rsidR="00E96B29" w:rsidRPr="00027624" w:rsidRDefault="00E96B29" w:rsidP="00E96B29">
            <w:pPr>
              <w:pStyle w:val="TableColumnHeadingCentred"/>
            </w:pPr>
            <w:r w:rsidRPr="00027624">
              <w:t>Per cent of totalⁱⁱⁱ</w:t>
            </w:r>
          </w:p>
        </w:tc>
      </w:tr>
      <w:tr w:rsidR="00E96B29" w:rsidRPr="00027624" w14:paraId="55700AEC" w14:textId="77777777" w:rsidTr="00E96B29">
        <w:trPr>
          <w:trHeight w:val="270"/>
        </w:trPr>
        <w:tc>
          <w:tcPr>
            <w:tcW w:w="3830" w:type="pct"/>
            <w:vAlign w:val="bottom"/>
          </w:tcPr>
          <w:p w14:paraId="6A058B54" w14:textId="77777777" w:rsidR="00E96B29" w:rsidRPr="00027624" w:rsidRDefault="00E96B29">
            <w:pPr>
              <w:pStyle w:val="TableTextLeft"/>
              <w:rPr>
                <w:szCs w:val="22"/>
              </w:rPr>
            </w:pPr>
            <w:r w:rsidRPr="00027624">
              <w:rPr>
                <w:szCs w:val="22"/>
              </w:rPr>
              <w:t xml:space="preserve">Years before reaching Age Pension </w:t>
            </w:r>
            <w:r w:rsidRPr="00027624">
              <w:t xml:space="preserve">eligibility </w:t>
            </w:r>
            <w:r w:rsidRPr="00027624">
              <w:rPr>
                <w:szCs w:val="22"/>
              </w:rPr>
              <w:t>age and projected to receive income support</w:t>
            </w:r>
            <w:r w:rsidRPr="00027624">
              <w:t>ⁱ</w:t>
            </w:r>
            <w:r w:rsidRPr="00027624">
              <w:rPr>
                <w:szCs w:val="22"/>
              </w:rPr>
              <w:t>:</w:t>
            </w:r>
          </w:p>
        </w:tc>
        <w:tc>
          <w:tcPr>
            <w:tcW w:w="625" w:type="pct"/>
            <w:vAlign w:val="bottom"/>
          </w:tcPr>
          <w:p w14:paraId="71BF00CF" w14:textId="77777777" w:rsidR="00E96B29" w:rsidRPr="00027624" w:rsidRDefault="00E96B29" w:rsidP="00E96B29">
            <w:pPr>
              <w:pStyle w:val="TableTextCentered"/>
            </w:pPr>
          </w:p>
        </w:tc>
        <w:tc>
          <w:tcPr>
            <w:tcW w:w="545" w:type="pct"/>
            <w:vAlign w:val="bottom"/>
          </w:tcPr>
          <w:p w14:paraId="478F0999" w14:textId="77777777" w:rsidR="00E96B29" w:rsidRPr="00027624" w:rsidRDefault="00E96B29" w:rsidP="00E96B29">
            <w:pPr>
              <w:pStyle w:val="TableTextCentered"/>
            </w:pPr>
          </w:p>
        </w:tc>
      </w:tr>
      <w:tr w:rsidR="00E96B29" w:rsidRPr="00027624" w14:paraId="54BD137D" w14:textId="77777777" w:rsidTr="00E96B29">
        <w:trPr>
          <w:trHeight w:val="270"/>
        </w:trPr>
        <w:tc>
          <w:tcPr>
            <w:tcW w:w="3830" w:type="pct"/>
            <w:vAlign w:val="bottom"/>
          </w:tcPr>
          <w:p w14:paraId="465FDF7E" w14:textId="77777777" w:rsidR="00E96B29" w:rsidRPr="00027624" w:rsidRDefault="00E96B29">
            <w:pPr>
              <w:pStyle w:val="TableTextLeft"/>
              <w:rPr>
                <w:b/>
                <w:szCs w:val="22"/>
              </w:rPr>
            </w:pPr>
            <w:r w:rsidRPr="00027624">
              <w:rPr>
                <w:b/>
                <w:szCs w:val="22"/>
              </w:rPr>
              <w:t>All people receiving income support</w:t>
            </w:r>
          </w:p>
        </w:tc>
        <w:tc>
          <w:tcPr>
            <w:tcW w:w="625" w:type="pct"/>
            <w:vAlign w:val="bottom"/>
          </w:tcPr>
          <w:p w14:paraId="670DC3DB" w14:textId="77777777" w:rsidR="00E96B29" w:rsidRPr="00027624" w:rsidRDefault="00E96B29" w:rsidP="00E96B29">
            <w:pPr>
              <w:pStyle w:val="TableTextCentered"/>
            </w:pPr>
          </w:p>
        </w:tc>
        <w:tc>
          <w:tcPr>
            <w:tcW w:w="545" w:type="pct"/>
            <w:vAlign w:val="bottom"/>
          </w:tcPr>
          <w:p w14:paraId="161F95A8" w14:textId="77777777" w:rsidR="00E96B29" w:rsidRPr="00027624" w:rsidRDefault="00E96B29" w:rsidP="00E96B29">
            <w:pPr>
              <w:pStyle w:val="TableTextCentered"/>
            </w:pPr>
          </w:p>
        </w:tc>
      </w:tr>
      <w:tr w:rsidR="00E96B29" w:rsidRPr="00027624" w14:paraId="324AA056" w14:textId="77777777" w:rsidTr="00E96B29">
        <w:trPr>
          <w:trHeight w:val="270"/>
        </w:trPr>
        <w:tc>
          <w:tcPr>
            <w:tcW w:w="3830" w:type="pct"/>
            <w:vAlign w:val="bottom"/>
          </w:tcPr>
          <w:p w14:paraId="74A18ADB" w14:textId="77777777" w:rsidR="00E96B29" w:rsidRPr="00027624" w:rsidRDefault="00E96B29" w:rsidP="00E96B29">
            <w:pPr>
              <w:pStyle w:val="TableTextLeft"/>
              <w:ind w:left="306"/>
            </w:pPr>
            <w:r w:rsidRPr="00027624">
              <w:rPr>
                <w:szCs w:val="22"/>
              </w:rPr>
              <w:t xml:space="preserve">10 years or more </w:t>
            </w:r>
          </w:p>
        </w:tc>
        <w:tc>
          <w:tcPr>
            <w:tcW w:w="625" w:type="pct"/>
            <w:vAlign w:val="bottom"/>
          </w:tcPr>
          <w:p w14:paraId="7458FBB3" w14:textId="77777777" w:rsidR="00E96B29" w:rsidRPr="00027624" w:rsidRDefault="00E96B29" w:rsidP="00E96B29">
            <w:pPr>
              <w:pStyle w:val="TableTextCentered"/>
            </w:pPr>
            <w:r w:rsidRPr="00027624">
              <w:t xml:space="preserve">73,256 </w:t>
            </w:r>
          </w:p>
        </w:tc>
        <w:tc>
          <w:tcPr>
            <w:tcW w:w="545" w:type="pct"/>
            <w:vAlign w:val="bottom"/>
          </w:tcPr>
          <w:p w14:paraId="14BD03E2" w14:textId="77777777" w:rsidR="00E96B29" w:rsidRPr="00027624" w:rsidRDefault="00E96B29" w:rsidP="00E96B29">
            <w:pPr>
              <w:pStyle w:val="TableTextCentered"/>
            </w:pPr>
            <w:r w:rsidRPr="00027624">
              <w:t xml:space="preserve">20.3 </w:t>
            </w:r>
          </w:p>
        </w:tc>
      </w:tr>
      <w:tr w:rsidR="00E96B29" w:rsidRPr="00027624" w14:paraId="1C81D0CF" w14:textId="77777777" w:rsidTr="00E96B29">
        <w:trPr>
          <w:trHeight w:val="270"/>
        </w:trPr>
        <w:tc>
          <w:tcPr>
            <w:tcW w:w="3830" w:type="pct"/>
            <w:vAlign w:val="bottom"/>
          </w:tcPr>
          <w:p w14:paraId="73F5D5A9" w14:textId="77777777" w:rsidR="00E96B29" w:rsidRPr="00027624" w:rsidRDefault="00E96B29" w:rsidP="00E96B29">
            <w:pPr>
              <w:pStyle w:val="TableTextLeft"/>
              <w:ind w:left="306"/>
              <w:rPr>
                <w:szCs w:val="22"/>
              </w:rPr>
            </w:pPr>
            <w:r w:rsidRPr="00027624">
              <w:rPr>
                <w:szCs w:val="22"/>
              </w:rPr>
              <w:t>15 years or more</w:t>
            </w:r>
          </w:p>
        </w:tc>
        <w:tc>
          <w:tcPr>
            <w:tcW w:w="625" w:type="pct"/>
            <w:vAlign w:val="bottom"/>
          </w:tcPr>
          <w:p w14:paraId="3912AD1B" w14:textId="77777777" w:rsidR="00E96B29" w:rsidRPr="00027624" w:rsidRDefault="00E96B29" w:rsidP="00E96B29">
            <w:pPr>
              <w:pStyle w:val="TableTextCentered"/>
            </w:pPr>
            <w:r w:rsidRPr="00027624">
              <w:t>52,252</w:t>
            </w:r>
          </w:p>
        </w:tc>
        <w:tc>
          <w:tcPr>
            <w:tcW w:w="545" w:type="pct"/>
            <w:vAlign w:val="bottom"/>
          </w:tcPr>
          <w:p w14:paraId="1C87B044" w14:textId="77777777" w:rsidR="00E96B29" w:rsidRPr="00027624" w:rsidRDefault="00E96B29" w:rsidP="00E96B29">
            <w:pPr>
              <w:pStyle w:val="TableTextCentered"/>
            </w:pPr>
            <w:r w:rsidRPr="00027624">
              <w:t>14.5</w:t>
            </w:r>
          </w:p>
        </w:tc>
      </w:tr>
      <w:tr w:rsidR="00E96B29" w:rsidRPr="00027624" w14:paraId="652B2EA5" w14:textId="77777777" w:rsidTr="00E96B29">
        <w:trPr>
          <w:trHeight w:val="270"/>
        </w:trPr>
        <w:tc>
          <w:tcPr>
            <w:tcW w:w="3830" w:type="pct"/>
            <w:vAlign w:val="bottom"/>
          </w:tcPr>
          <w:p w14:paraId="3B346034" w14:textId="77777777" w:rsidR="00E96B29" w:rsidRPr="00027624" w:rsidRDefault="00E96B29" w:rsidP="00E96B29">
            <w:pPr>
              <w:pStyle w:val="TableTextLeft"/>
              <w:rPr>
                <w:b/>
                <w:szCs w:val="22"/>
              </w:rPr>
            </w:pPr>
            <w:r w:rsidRPr="00027624">
              <w:rPr>
                <w:b/>
                <w:szCs w:val="22"/>
              </w:rPr>
              <w:t>Only those projected not to have employment earnings</w:t>
            </w:r>
          </w:p>
        </w:tc>
        <w:tc>
          <w:tcPr>
            <w:tcW w:w="625" w:type="pct"/>
            <w:vAlign w:val="bottom"/>
          </w:tcPr>
          <w:p w14:paraId="635B7DE9" w14:textId="77777777" w:rsidR="00E96B29" w:rsidRPr="00027624" w:rsidRDefault="00E96B29" w:rsidP="00E96B29">
            <w:pPr>
              <w:pStyle w:val="TableTextCentered"/>
            </w:pPr>
          </w:p>
        </w:tc>
        <w:tc>
          <w:tcPr>
            <w:tcW w:w="545" w:type="pct"/>
            <w:vAlign w:val="bottom"/>
          </w:tcPr>
          <w:p w14:paraId="47FA3760" w14:textId="77777777" w:rsidR="00E96B29" w:rsidRPr="00027624" w:rsidRDefault="00E96B29" w:rsidP="00E96B29">
            <w:pPr>
              <w:pStyle w:val="TableTextCentered"/>
            </w:pPr>
          </w:p>
        </w:tc>
      </w:tr>
      <w:tr w:rsidR="00E96B29" w:rsidRPr="00027624" w14:paraId="7461A073" w14:textId="77777777" w:rsidTr="00E96B29">
        <w:trPr>
          <w:trHeight w:val="270"/>
        </w:trPr>
        <w:tc>
          <w:tcPr>
            <w:tcW w:w="3830" w:type="pct"/>
            <w:vAlign w:val="bottom"/>
          </w:tcPr>
          <w:p w14:paraId="44A968CD" w14:textId="77777777" w:rsidR="00E96B29" w:rsidRPr="00027624" w:rsidRDefault="00E96B29" w:rsidP="00E96B29">
            <w:pPr>
              <w:pStyle w:val="TableTextLeft"/>
              <w:ind w:left="306"/>
              <w:rPr>
                <w:szCs w:val="22"/>
              </w:rPr>
            </w:pPr>
            <w:r w:rsidRPr="00027624">
              <w:rPr>
                <w:szCs w:val="22"/>
              </w:rPr>
              <w:t>10 years or more</w:t>
            </w:r>
          </w:p>
        </w:tc>
        <w:tc>
          <w:tcPr>
            <w:tcW w:w="625" w:type="pct"/>
            <w:vAlign w:val="bottom"/>
          </w:tcPr>
          <w:p w14:paraId="322659CA" w14:textId="77777777" w:rsidR="00E96B29" w:rsidRPr="00027624" w:rsidRDefault="00E96B29" w:rsidP="00E96B29">
            <w:pPr>
              <w:pStyle w:val="TableTextCentered"/>
            </w:pPr>
            <w:r w:rsidRPr="00027624">
              <w:t>51,035</w:t>
            </w:r>
          </w:p>
        </w:tc>
        <w:tc>
          <w:tcPr>
            <w:tcW w:w="545" w:type="pct"/>
            <w:vAlign w:val="bottom"/>
          </w:tcPr>
          <w:p w14:paraId="044F61A5" w14:textId="77777777" w:rsidR="00E96B29" w:rsidRPr="00027624" w:rsidRDefault="00E96B29" w:rsidP="00E96B29">
            <w:pPr>
              <w:pStyle w:val="TableTextCentered"/>
            </w:pPr>
            <w:r w:rsidRPr="00027624">
              <w:t>14.1</w:t>
            </w:r>
          </w:p>
        </w:tc>
      </w:tr>
      <w:tr w:rsidR="00E96B29" w:rsidRPr="00027624" w14:paraId="773802DD" w14:textId="77777777" w:rsidTr="00E96B29">
        <w:trPr>
          <w:trHeight w:val="270"/>
        </w:trPr>
        <w:tc>
          <w:tcPr>
            <w:tcW w:w="3830" w:type="pct"/>
            <w:vAlign w:val="bottom"/>
          </w:tcPr>
          <w:p w14:paraId="60554DBE" w14:textId="77777777" w:rsidR="00E96B29" w:rsidRPr="00027624" w:rsidRDefault="00E96B29" w:rsidP="00E96B29">
            <w:pPr>
              <w:pStyle w:val="TableTextLeft"/>
              <w:ind w:left="306"/>
              <w:rPr>
                <w:szCs w:val="22"/>
              </w:rPr>
            </w:pPr>
            <w:r w:rsidRPr="00027624">
              <w:rPr>
                <w:szCs w:val="22"/>
              </w:rPr>
              <w:t xml:space="preserve">15 years or more </w:t>
            </w:r>
          </w:p>
        </w:tc>
        <w:tc>
          <w:tcPr>
            <w:tcW w:w="625" w:type="pct"/>
            <w:vAlign w:val="bottom"/>
          </w:tcPr>
          <w:p w14:paraId="43945681" w14:textId="77777777" w:rsidR="00E96B29" w:rsidRPr="00027624" w:rsidRDefault="00E96B29" w:rsidP="00E96B29">
            <w:pPr>
              <w:pStyle w:val="TableTextCentered"/>
            </w:pPr>
            <w:r w:rsidRPr="00027624">
              <w:t xml:space="preserve">34,563 </w:t>
            </w:r>
          </w:p>
        </w:tc>
        <w:tc>
          <w:tcPr>
            <w:tcW w:w="545" w:type="pct"/>
            <w:vAlign w:val="bottom"/>
          </w:tcPr>
          <w:p w14:paraId="2CC75C98" w14:textId="77777777" w:rsidR="00E96B29" w:rsidRPr="00027624" w:rsidRDefault="00E96B29" w:rsidP="00E96B29">
            <w:pPr>
              <w:pStyle w:val="TableTextCentered"/>
            </w:pPr>
            <w:r w:rsidRPr="00027624">
              <w:t>9.6</w:t>
            </w:r>
          </w:p>
        </w:tc>
      </w:tr>
      <w:tr w:rsidR="00E96B29" w:rsidRPr="00027624" w14:paraId="6AD26A8A" w14:textId="77777777" w:rsidTr="00E96B29">
        <w:trPr>
          <w:trHeight w:val="270"/>
        </w:trPr>
        <w:tc>
          <w:tcPr>
            <w:tcW w:w="3830" w:type="pct"/>
            <w:vAlign w:val="bottom"/>
          </w:tcPr>
          <w:p w14:paraId="3AD2DBB6" w14:textId="77777777" w:rsidR="00E96B29" w:rsidRPr="00027624" w:rsidRDefault="00E96B29" w:rsidP="00E96B29">
            <w:pPr>
              <w:pStyle w:val="TableTextLeft"/>
              <w:rPr>
                <w:b/>
                <w:szCs w:val="22"/>
              </w:rPr>
            </w:pPr>
            <w:r w:rsidRPr="00027624">
              <w:rPr>
                <w:b/>
                <w:szCs w:val="22"/>
              </w:rPr>
              <w:t>Total in age group</w:t>
            </w:r>
          </w:p>
        </w:tc>
        <w:tc>
          <w:tcPr>
            <w:tcW w:w="625" w:type="pct"/>
            <w:vAlign w:val="bottom"/>
          </w:tcPr>
          <w:p w14:paraId="46439FAC" w14:textId="77777777" w:rsidR="00E96B29" w:rsidRPr="00027624" w:rsidRDefault="00E96B29" w:rsidP="00E96B29">
            <w:pPr>
              <w:pStyle w:val="TableTextCentered"/>
            </w:pPr>
            <w:r w:rsidRPr="00027624">
              <w:t>361,047</w:t>
            </w:r>
          </w:p>
        </w:tc>
        <w:tc>
          <w:tcPr>
            <w:tcW w:w="545" w:type="pct"/>
            <w:vAlign w:val="bottom"/>
          </w:tcPr>
          <w:p w14:paraId="2B51590F" w14:textId="77777777" w:rsidR="00E96B29" w:rsidRPr="00027624" w:rsidRDefault="00E96B29" w:rsidP="00E96B29">
            <w:pPr>
              <w:pStyle w:val="TableTextCentered"/>
            </w:pPr>
            <w:r w:rsidRPr="00027624">
              <w:t>100</w:t>
            </w:r>
          </w:p>
        </w:tc>
      </w:tr>
    </w:tbl>
    <w:p w14:paraId="254E2506" w14:textId="77777777" w:rsidR="00E96B29" w:rsidRPr="006B5A75" w:rsidRDefault="00E96B29" w:rsidP="00E96B29">
      <w:pPr>
        <w:pStyle w:val="ChartorTableNote"/>
      </w:pPr>
      <w:r w:rsidRPr="00027624">
        <w:t xml:space="preserve">Note: The analysis uses raw data extracted from the Centrelink Enterprise Data Warehouse. Results were produced using the PIA dataset </w:t>
      </w:r>
      <w:r w:rsidR="00A8443E" w:rsidRPr="00027624">
        <w:t>‘</w:t>
      </w:r>
      <w:r w:rsidRPr="00027624">
        <w:t>as at</w:t>
      </w:r>
      <w:r w:rsidR="00A8443E" w:rsidRPr="00027624">
        <w:t>’</w:t>
      </w:r>
      <w:r w:rsidRPr="00027624">
        <w:t xml:space="preserve"> 30 June 2018 and </w:t>
      </w:r>
      <w:r w:rsidR="00A8443E" w:rsidRPr="00027624">
        <w:t>‘</w:t>
      </w:r>
      <w:r w:rsidRPr="00027624">
        <w:t>as known at</w:t>
      </w:r>
      <w:r w:rsidR="00A8443E" w:rsidRPr="00027624">
        <w:t>’</w:t>
      </w:r>
      <w:r w:rsidRPr="00027624">
        <w:t xml:space="preserve"> 30 September 2018. </w:t>
      </w:r>
      <w:r w:rsidR="00A8443E" w:rsidRPr="00027624">
        <w:t>‘</w:t>
      </w:r>
      <w:r w:rsidRPr="00027624">
        <w:t>As at</w:t>
      </w:r>
      <w:r w:rsidR="00A8443E" w:rsidRPr="00027624">
        <w:t>’</w:t>
      </w:r>
      <w:r w:rsidRPr="00027624">
        <w:t xml:space="preserve"> date is the date at which data is cut off. ⁱDoes not indicate the continuous receipt of income support. A recipient may receive income support for a full year or part of a year, which in both instances is recorded as having received income support for that year. ⁱⁱIncludes all Australians aged 27 </w:t>
      </w:r>
      <w:r w:rsidRPr="006B5A75">
        <w:t>as at 30 June 2018 who are projected to be in a particular group. This calculation excludes people expected to die before Age Pension eligibility age. ⁱⁱⁱCalculated by dividing the total number of Australians aged 27 as at 30 June 2018 who are projected to be in that group by the total number of Australians aged 27 as at 30 June 2018 who are projected to survive to Age Pension eligibility age. Source: Priority Investment Approach to Welfare Actuarial Modelling.</w:t>
      </w:r>
    </w:p>
    <w:p w14:paraId="41EF1871" w14:textId="77777777" w:rsidR="00E96B29" w:rsidRPr="00027624" w:rsidRDefault="00E96B29" w:rsidP="00E96B29">
      <w:pPr>
        <w:pStyle w:val="Heading4"/>
        <w:spacing w:before="240"/>
      </w:pPr>
      <w:r w:rsidRPr="00027624">
        <w:t>Superannuation accumulation</w:t>
      </w:r>
    </w:p>
    <w:p w14:paraId="0C8988E9" w14:textId="77777777" w:rsidR="00E96B29" w:rsidRPr="00027624" w:rsidRDefault="00E96B29" w:rsidP="00E96B29">
      <w:r w:rsidRPr="00027624">
        <w:t>This section outlines modelling assumptions affecting the accumulation of superannuation.</w:t>
      </w:r>
    </w:p>
    <w:p w14:paraId="13560EAA" w14:textId="77777777" w:rsidR="00E96B29" w:rsidRPr="00027624" w:rsidRDefault="00E96B29" w:rsidP="00E96B29">
      <w:pPr>
        <w:pStyle w:val="Heading5"/>
      </w:pPr>
      <w:r w:rsidRPr="00027624">
        <w:t>Superannuation Guarantee</w:t>
      </w:r>
    </w:p>
    <w:p w14:paraId="677D5630" w14:textId="77777777" w:rsidR="00E96B29" w:rsidRPr="00027624" w:rsidRDefault="00E96B29" w:rsidP="00E96B29">
      <w:r w:rsidRPr="00027624">
        <w:t>SG payments are modelled in line with legislated increases. The SG rate is 9.5 per cent to 2020</w:t>
      </w:r>
      <w:r w:rsidR="00A8443E" w:rsidRPr="00027624">
        <w:noBreakHyphen/>
      </w:r>
      <w:r w:rsidRPr="00027624">
        <w:t>21, increasing half a percentage point every financial year before reaching 12 per cent in 2024</w:t>
      </w:r>
      <w:r w:rsidR="00A8443E" w:rsidRPr="00027624">
        <w:noBreakHyphen/>
      </w:r>
      <w:r w:rsidRPr="00027624">
        <w:t>25.</w:t>
      </w:r>
    </w:p>
    <w:p w14:paraId="4E6065C0" w14:textId="77777777" w:rsidR="00E96B29" w:rsidRPr="00027624" w:rsidRDefault="00E96B29" w:rsidP="00E96B29">
      <w:r w:rsidRPr="00027624">
        <w:t>Modelling assumes people receive SG payments at the legislated rate, aligned with legal requirements for paying employees.</w:t>
      </w:r>
    </w:p>
    <w:p w14:paraId="632C4952" w14:textId="77777777" w:rsidR="00E96B29" w:rsidRPr="00027624" w:rsidRDefault="00E96B29" w:rsidP="00E96B29">
      <w:pPr>
        <w:pStyle w:val="Heading5"/>
      </w:pPr>
      <w:r w:rsidRPr="00027624">
        <w:t>Voluntary salary sacrifice contributions</w:t>
      </w:r>
    </w:p>
    <w:p w14:paraId="3505AF13" w14:textId="77777777" w:rsidR="00E96B29" w:rsidRPr="00027624" w:rsidRDefault="00E96B29" w:rsidP="00E96B29">
      <w:r w:rsidRPr="00027624">
        <w:t>The retirement income cameo model assumes people make voluntary salary sacrifice contributions to superannuation. Salary sacrifice rates by income percentile and age are sourced from Treasury</w:t>
      </w:r>
      <w:r w:rsidR="00A8443E" w:rsidRPr="00027624">
        <w:t>’</w:t>
      </w:r>
      <w:r w:rsidRPr="00027624">
        <w:t>s microsimulation model of the personal income tax system (TAXMOD).</w:t>
      </w:r>
    </w:p>
    <w:p w14:paraId="361A2F0A" w14:textId="77777777" w:rsidR="00E96B29" w:rsidRPr="00027624" w:rsidRDefault="00E96B29" w:rsidP="00E96B29">
      <w:r w:rsidRPr="00027624">
        <w:t>This microsimulation model makes adjustments to future salary sacrifice contribution patterns to account for policy changes not reflected in the 2016</w:t>
      </w:r>
      <w:r w:rsidR="00A8443E" w:rsidRPr="00027624">
        <w:noBreakHyphen/>
      </w:r>
      <w:r w:rsidRPr="00027624">
        <w:t xml:space="preserve">17 data (such as changes in </w:t>
      </w:r>
      <w:r w:rsidR="00404B9D" w:rsidRPr="00027624">
        <w:t>contributions cap</w:t>
      </w:r>
      <w:r w:rsidRPr="00027624">
        <w:t>s and SG rate increases). Personal deductible contributions are not incorporated into the model.</w:t>
      </w:r>
    </w:p>
    <w:p w14:paraId="258B62E2" w14:textId="77777777" w:rsidR="00E96B29" w:rsidRPr="00027624" w:rsidRDefault="00E96B29" w:rsidP="00E96B29">
      <w:r w:rsidRPr="00027624">
        <w:t>This data shows most salary sacrifice contributions</w:t>
      </w:r>
      <w:r w:rsidR="00A8443E" w:rsidRPr="00027624">
        <w:t xml:space="preserve"> — </w:t>
      </w:r>
      <w:r w:rsidRPr="00027624">
        <w:t>more than three</w:t>
      </w:r>
      <w:r w:rsidR="00A8443E" w:rsidRPr="00027624">
        <w:noBreakHyphen/>
      </w:r>
      <w:r w:rsidRPr="00027624">
        <w:t>quarters</w:t>
      </w:r>
      <w:r w:rsidR="00A8443E" w:rsidRPr="00027624">
        <w:t xml:space="preserve"> — </w:t>
      </w:r>
      <w:r w:rsidRPr="00027624">
        <w:t>are made after the age of 55 in the retirement income cameo model.</w:t>
      </w:r>
    </w:p>
    <w:p w14:paraId="6F5D402E" w14:textId="33142DC3" w:rsidR="00E96B29" w:rsidRPr="00027624" w:rsidRDefault="00E96B29" w:rsidP="00E96B29">
      <w:pPr>
        <w:rPr>
          <w:szCs w:val="22"/>
        </w:rPr>
      </w:pPr>
      <w:r w:rsidRPr="00027624">
        <w:rPr>
          <w:szCs w:val="22"/>
        </w:rPr>
        <w:t>Analysis of the ALife shows that most people make voluntary contributions at some point in the years approaching retirement. Focusing on cohorts aged 55 and over, about two</w:t>
      </w:r>
      <w:r w:rsidR="00A8443E" w:rsidRPr="00027624">
        <w:rPr>
          <w:szCs w:val="22"/>
        </w:rPr>
        <w:noBreakHyphen/>
      </w:r>
      <w:r w:rsidRPr="00027624">
        <w:rPr>
          <w:szCs w:val="22"/>
        </w:rPr>
        <w:t>thirds of people in the 50</w:t>
      </w:r>
      <w:r w:rsidRPr="00027624">
        <w:rPr>
          <w:szCs w:val="22"/>
          <w:vertAlign w:val="superscript"/>
        </w:rPr>
        <w:t>th</w:t>
      </w:r>
      <w:r w:rsidRPr="00027624">
        <w:rPr>
          <w:szCs w:val="22"/>
        </w:rPr>
        <w:t> percentile for superannuation balance in 2010 made a voluntary contribution in the eight</w:t>
      </w:r>
      <w:r w:rsidR="00A8443E" w:rsidRPr="00027624">
        <w:rPr>
          <w:szCs w:val="22"/>
        </w:rPr>
        <w:noBreakHyphen/>
      </w:r>
      <w:r w:rsidRPr="00027624">
        <w:rPr>
          <w:szCs w:val="22"/>
        </w:rPr>
        <w:t>year period covered by ALife (</w:t>
      </w:r>
      <w:r w:rsidRPr="00027624">
        <w:rPr>
          <w:szCs w:val="22"/>
        </w:rPr>
        <w:fldChar w:fldCharType="begin"/>
      </w:r>
      <w:r w:rsidRPr="00027624">
        <w:rPr>
          <w:szCs w:val="22"/>
        </w:rPr>
        <w:instrText xml:space="preserve"> REF _Ref42707284 \r \h  \* MERGEFORMAT </w:instrText>
      </w:r>
      <w:r w:rsidRPr="00027624">
        <w:rPr>
          <w:szCs w:val="22"/>
        </w:rPr>
      </w:r>
      <w:r w:rsidRPr="00027624">
        <w:rPr>
          <w:szCs w:val="22"/>
        </w:rPr>
        <w:fldChar w:fldCharType="separate"/>
      </w:r>
      <w:r w:rsidR="00891058">
        <w:rPr>
          <w:szCs w:val="22"/>
        </w:rPr>
        <w:t>Chart 6A-21</w:t>
      </w:r>
      <w:r w:rsidRPr="00027624">
        <w:rPr>
          <w:szCs w:val="22"/>
        </w:rPr>
        <w:fldChar w:fldCharType="end"/>
      </w:r>
      <w:r w:rsidRPr="00027624">
        <w:rPr>
          <w:szCs w:val="22"/>
        </w:rPr>
        <w:t>). More than 40 per cent made voluntary contributions in four or more of the eight years.</w:t>
      </w:r>
    </w:p>
    <w:p w14:paraId="67741ADF" w14:textId="77777777" w:rsidR="00E96B29" w:rsidRPr="00027624" w:rsidRDefault="00E96B29" w:rsidP="00E96B29">
      <w:pPr>
        <w:pStyle w:val="ChartMainHeading"/>
      </w:pPr>
      <w:bookmarkStart w:id="4262" w:name="_Ref42707284"/>
      <w:r w:rsidRPr="00027624">
        <w:t>Proportion of people who made voluntary contributions over an eight</w:t>
      </w:r>
      <w:r w:rsidR="00A8443E" w:rsidRPr="00027624">
        <w:noBreakHyphen/>
      </w:r>
      <w:r w:rsidRPr="00027624">
        <w:t>year period, by age and gender</w:t>
      </w:r>
      <w:bookmarkEnd w:id="4262"/>
    </w:p>
    <w:p w14:paraId="6C37C815" w14:textId="77777777" w:rsidR="00E96B29" w:rsidRPr="00027624" w:rsidRDefault="00E96B29" w:rsidP="00E96B29">
      <w:pPr>
        <w:pStyle w:val="ChartSecondHeading"/>
      </w:pPr>
      <w:r w:rsidRPr="00027624">
        <w:t>50</w:t>
      </w:r>
      <w:r w:rsidRPr="00027624">
        <w:rPr>
          <w:vertAlign w:val="superscript"/>
        </w:rPr>
        <w:t>th</w:t>
      </w:r>
      <w:r w:rsidRPr="00027624">
        <w:t xml:space="preserve"> percentile</w:t>
      </w:r>
    </w:p>
    <w:p w14:paraId="3303BD20" w14:textId="77777777" w:rsidR="00E96B29" w:rsidRPr="00027624" w:rsidRDefault="00DD2AD9" w:rsidP="00DE6C9E">
      <w:pPr>
        <w:pStyle w:val="ChartGraphic"/>
      </w:pPr>
      <w:r>
        <w:rPr>
          <w:noProof/>
        </w:rPr>
        <w:drawing>
          <wp:inline distT="0" distB="0" distL="0" distR="0" wp14:anchorId="10DAEA8B" wp14:editId="3964A206">
            <wp:extent cx="5577840" cy="2522220"/>
            <wp:effectExtent l="0" t="0" r="3810" b="0"/>
            <wp:docPr id="141855619" name="Picture 141855619" descr="This chart shows for people with a median balance, over 65 per cent of people aged 55 and 60 have made a voluntary superannuation contribution at least once in the last 8 years. Around 40 per cent of people made a voluntary contribution in at least 4 of 8 years. Women were marginally more likely to have made a voluntary contribution than men and people aged 60 were marginally more likely to have made a contribution than people aged 55." title="Chart 6A-21 Proportion of people who made voluntary contributions over an eight-year period,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317B32E4" w14:textId="77777777" w:rsidR="00E96B29" w:rsidRPr="00027624" w:rsidRDefault="00E96B29" w:rsidP="00DE6C9E">
      <w:pPr>
        <w:pStyle w:val="ChartorTableNote"/>
      </w:pPr>
      <w:r w:rsidRPr="00027624">
        <w:t>Note: 50</w:t>
      </w:r>
      <w:r w:rsidRPr="00027624">
        <w:rPr>
          <w:vertAlign w:val="superscript"/>
        </w:rPr>
        <w:t>th</w:t>
      </w:r>
      <w:r w:rsidRPr="00027624">
        <w:t xml:space="preserve"> percentile is calculated based on superannuation balance in 2010. Contributions are over an eight</w:t>
      </w:r>
      <w:r w:rsidR="00A8443E" w:rsidRPr="00027624">
        <w:noBreakHyphen/>
      </w:r>
      <w:r w:rsidRPr="00027624">
        <w:t>year period from 2010 to 2017 by age and gender. Age refers to age of the cohort in 2010. Source: Analysis of data provided by the ATO for the review.</w:t>
      </w:r>
    </w:p>
    <w:p w14:paraId="5E5C2C7E" w14:textId="77777777" w:rsidR="00E96B29" w:rsidRPr="00027624" w:rsidRDefault="00E96B29" w:rsidP="00E96B29">
      <w:pPr>
        <w:pStyle w:val="Heading6"/>
        <w:spacing w:before="240"/>
      </w:pPr>
      <w:r w:rsidRPr="00027624">
        <w:t>Non</w:t>
      </w:r>
      <w:r w:rsidR="00A8443E" w:rsidRPr="00027624">
        <w:noBreakHyphen/>
      </w:r>
      <w:r w:rsidRPr="00027624">
        <w:t>concessional contributions</w:t>
      </w:r>
    </w:p>
    <w:p w14:paraId="1123CB8C" w14:textId="77777777" w:rsidR="00E96B29" w:rsidRPr="00027624" w:rsidRDefault="00E96B29" w:rsidP="00E96B29">
      <w:r w:rsidRPr="00027624">
        <w:t>Non</w:t>
      </w:r>
      <w:r w:rsidR="00A8443E" w:rsidRPr="00027624">
        <w:noBreakHyphen/>
      </w:r>
      <w:r w:rsidRPr="00027624">
        <w:t>concessional contributions are those made out of after</w:t>
      </w:r>
      <w:r w:rsidR="00A8443E" w:rsidRPr="00027624">
        <w:noBreakHyphen/>
      </w:r>
      <w:r w:rsidRPr="00027624">
        <w:t>tax income. Individuals can currently contribute after</w:t>
      </w:r>
      <w:r w:rsidR="00A8443E" w:rsidRPr="00027624">
        <w:noBreakHyphen/>
      </w:r>
      <w:r w:rsidRPr="00027624">
        <w:t>tax income to superannuation subject to a yearly cap of $100,000, provided their total superannuation balance is under $1.6 million.</w:t>
      </w:r>
    </w:p>
    <w:p w14:paraId="2544714F" w14:textId="77777777" w:rsidR="00E96B29" w:rsidRPr="00027624" w:rsidRDefault="00E96B29" w:rsidP="00E96B29">
      <w:r w:rsidRPr="00027624">
        <w:t>These contributions form a significant part of total contributions to superannuation. In 2016</w:t>
      </w:r>
      <w:r w:rsidR="00A8443E" w:rsidRPr="00027624">
        <w:noBreakHyphen/>
      </w:r>
      <w:r w:rsidRPr="00027624">
        <w:t>17, more than 40 per cent of contributions to superannuation were non</w:t>
      </w:r>
      <w:r w:rsidR="00A8443E" w:rsidRPr="00027624">
        <w:noBreakHyphen/>
      </w:r>
      <w:r w:rsidRPr="00027624">
        <w:t>concessional contributions.</w:t>
      </w:r>
    </w:p>
    <w:p w14:paraId="4DBBA70F" w14:textId="77777777" w:rsidR="00E96B29" w:rsidRPr="00027624" w:rsidRDefault="00E96B29" w:rsidP="00E96B29">
      <w:r w:rsidRPr="00027624">
        <w:t>However, non</w:t>
      </w:r>
      <w:r w:rsidR="00A8443E" w:rsidRPr="00027624">
        <w:noBreakHyphen/>
      </w:r>
      <w:r w:rsidRPr="00027624">
        <w:t>concessional contributions are not modelled. The interactions between savings outside superannuation and non</w:t>
      </w:r>
      <w:r w:rsidR="00A8443E" w:rsidRPr="00027624">
        <w:noBreakHyphen/>
      </w:r>
      <w:r w:rsidRPr="00027624">
        <w:t>concessional contributions are unclear (for example, large non</w:t>
      </w:r>
      <w:r w:rsidR="00A8443E" w:rsidRPr="00027624">
        <w:noBreakHyphen/>
      </w:r>
      <w:r w:rsidRPr="00027624">
        <w:t>concessional contributions may come from existing savings). As modelling does not capture this interaction, a conservative approach is taken to exclude savings through non</w:t>
      </w:r>
      <w:r w:rsidR="00A8443E" w:rsidRPr="00027624">
        <w:noBreakHyphen/>
      </w:r>
      <w:r w:rsidRPr="00027624">
        <w:t>concessional contributions.</w:t>
      </w:r>
    </w:p>
    <w:p w14:paraId="3304CF9B" w14:textId="481DE70F" w:rsidR="00E96B29" w:rsidRPr="00027624" w:rsidRDefault="00E96B29" w:rsidP="00E96B29">
      <w:r w:rsidRPr="00027624">
        <w:t>Excluding non</w:t>
      </w:r>
      <w:r w:rsidR="00A8443E" w:rsidRPr="00027624">
        <w:noBreakHyphen/>
      </w:r>
      <w:r w:rsidRPr="00027624">
        <w:t>concessional contributions will underestimate both the replacement rates and lifetime superannuation tax concessions, especially for higher</w:t>
      </w:r>
      <w:r w:rsidR="00A8443E" w:rsidRPr="00027624">
        <w:noBreakHyphen/>
      </w:r>
      <w:r w:rsidRPr="00027624">
        <w:t>income earners. In 2017</w:t>
      </w:r>
      <w:r w:rsidR="00A8443E" w:rsidRPr="00027624">
        <w:noBreakHyphen/>
      </w:r>
      <w:r w:rsidRPr="00027624">
        <w:t>18, non</w:t>
      </w:r>
      <w:r w:rsidR="00A8443E" w:rsidRPr="00027624">
        <w:noBreakHyphen/>
      </w:r>
      <w:r w:rsidRPr="00027624">
        <w:t xml:space="preserve">concessional contributions were highly skewed to older, </w:t>
      </w:r>
      <w:r w:rsidR="00B2720D" w:rsidRPr="00027624">
        <w:t>higher-wealth</w:t>
      </w:r>
      <w:r w:rsidRPr="00027624">
        <w:t xml:space="preserve"> retirees (</w:t>
      </w:r>
      <w:r w:rsidRPr="00027624">
        <w:fldChar w:fldCharType="begin"/>
      </w:r>
      <w:r w:rsidRPr="00027624">
        <w:instrText xml:space="preserve"> REF _Ref43188255 \r \h  \* MERGEFORMAT </w:instrText>
      </w:r>
      <w:r w:rsidRPr="00027624">
        <w:fldChar w:fldCharType="separate"/>
      </w:r>
      <w:r w:rsidR="00891058">
        <w:t>Chart 6A-22</w:t>
      </w:r>
      <w:r w:rsidRPr="00027624">
        <w:fldChar w:fldCharType="end"/>
      </w:r>
      <w:r w:rsidRPr="00027624">
        <w:t>).</w:t>
      </w:r>
    </w:p>
    <w:p w14:paraId="5A9D2906" w14:textId="77777777" w:rsidR="00E96B29" w:rsidRPr="00027624" w:rsidRDefault="00E96B29" w:rsidP="00E96B29">
      <w:pPr>
        <w:pStyle w:val="ChartMainHeading"/>
      </w:pPr>
      <w:bookmarkStart w:id="4263" w:name="_Ref43188255"/>
      <w:r w:rsidRPr="00027624">
        <w:t>Average non</w:t>
      </w:r>
      <w:r w:rsidR="00A8443E" w:rsidRPr="00027624">
        <w:noBreakHyphen/>
      </w:r>
      <w:r w:rsidRPr="00027624">
        <w:t>concessional contributions, by age and superannuation balance</w:t>
      </w:r>
      <w:bookmarkEnd w:id="4263"/>
    </w:p>
    <w:p w14:paraId="5A3BC277" w14:textId="77777777" w:rsidR="00E96B29" w:rsidRPr="00027624" w:rsidRDefault="00CB5FBF" w:rsidP="00DE6C9E">
      <w:pPr>
        <w:pStyle w:val="ChartGraphic"/>
        <w:rPr>
          <w:noProof/>
        </w:rPr>
      </w:pPr>
      <w:r>
        <w:rPr>
          <w:noProof/>
        </w:rPr>
        <w:drawing>
          <wp:inline distT="0" distB="0" distL="0" distR="0" wp14:anchorId="64A89D9D" wp14:editId="33B37D48">
            <wp:extent cx="5577840" cy="2514600"/>
            <wp:effectExtent l="0" t="0" r="3810" b="0"/>
            <wp:docPr id="141855620" name="Picture 141855620" descr="This chart shows that older people, and those with larger superannuation balances make larger non-concessional contributions than younger people and those with lower balances. " title="Chart 6A-22 Average non-concessional contributions, by age and superannuation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577840" cy="2514600"/>
                    </a:xfrm>
                    <a:prstGeom prst="rect">
                      <a:avLst/>
                    </a:prstGeom>
                    <a:noFill/>
                  </pic:spPr>
                </pic:pic>
              </a:graphicData>
            </a:graphic>
          </wp:inline>
        </w:drawing>
      </w:r>
    </w:p>
    <w:p w14:paraId="41A02FAA" w14:textId="77777777" w:rsidR="00E96B29" w:rsidRPr="00027624" w:rsidRDefault="00E96B29" w:rsidP="00DE6C9E">
      <w:pPr>
        <w:pStyle w:val="ChartorTableNote"/>
      </w:pPr>
      <w:r w:rsidRPr="00027624">
        <w:t>Note: Non</w:t>
      </w:r>
      <w:r w:rsidR="00A8443E" w:rsidRPr="00027624">
        <w:noBreakHyphen/>
      </w:r>
      <w:r w:rsidRPr="00027624">
        <w:t>concessional figures are taken by subtracting personal superannuation contributions in the individual income tax returns (ITR) from the personal contributed amount in the member contribution statements (MCS). Excludes contributions where age was unknown or no MCS provided. Age as at 30 June 2018. Source: Analysis of ATO individual income tax returns and member contributions statements, 2017</w:t>
      </w:r>
      <w:r w:rsidR="00A8443E" w:rsidRPr="00027624">
        <w:noBreakHyphen/>
      </w:r>
      <w:r w:rsidRPr="00027624">
        <w:t>18.</w:t>
      </w:r>
    </w:p>
    <w:p w14:paraId="39515DD5" w14:textId="77777777" w:rsidR="00E96B29" w:rsidRPr="00027624" w:rsidRDefault="00E96B29" w:rsidP="00E96B29">
      <w:pPr>
        <w:pStyle w:val="Heading5"/>
      </w:pPr>
      <w:r w:rsidRPr="00027624">
        <w:t>Superannuation policy</w:t>
      </w:r>
    </w:p>
    <w:p w14:paraId="01897C64" w14:textId="77777777" w:rsidR="00E96B29" w:rsidRPr="00027624" w:rsidRDefault="00E96B29" w:rsidP="00E96B29">
      <w:r w:rsidRPr="00027624">
        <w:t>Following is an outline of the superannuation policy included in the modelling.</w:t>
      </w:r>
    </w:p>
    <w:p w14:paraId="1275AACC" w14:textId="77777777" w:rsidR="00E96B29" w:rsidRPr="00027624" w:rsidRDefault="00E96B29" w:rsidP="00E96B29">
      <w:pPr>
        <w:pStyle w:val="Heading6"/>
      </w:pPr>
      <w:r w:rsidRPr="00027624">
        <w:t>Taxation of superannuation contributions</w:t>
      </w:r>
    </w:p>
    <w:p w14:paraId="47261CDE" w14:textId="77777777" w:rsidR="00E96B29" w:rsidRPr="00027624" w:rsidRDefault="00E96B29">
      <w:r w:rsidRPr="00027624">
        <w:t>Contributions to superannuation are taxed according to c</w:t>
      </w:r>
      <w:r w:rsidR="00C20894" w:rsidRPr="00027624">
        <w:t>urrent policy, including the 15</w:t>
      </w:r>
      <w:r w:rsidRPr="00027624">
        <w:t> per cent contributions tax; low income super tax offset; the Division 293 tax; and excess contributions tax.</w:t>
      </w:r>
    </w:p>
    <w:p w14:paraId="1C2E3DF1" w14:textId="77777777" w:rsidR="00E96B29" w:rsidRPr="00027624" w:rsidRDefault="00E96B29" w:rsidP="00E96B29">
      <w:r w:rsidRPr="00027624">
        <w:t>Concessional superannuation contributions are also subject to the concessional contributions cap, and individuals may carry forward unused concessional cap if their total superannuation balance in the previous financial year was less than $500,000.</w:t>
      </w:r>
    </w:p>
    <w:p w14:paraId="350AF4B5" w14:textId="77777777" w:rsidR="00E96B29" w:rsidRPr="00027624" w:rsidRDefault="00E96B29" w:rsidP="00E96B29">
      <w:r w:rsidRPr="00027624">
        <w:t>As per non</w:t>
      </w:r>
      <w:r w:rsidR="00A8443E" w:rsidRPr="00027624">
        <w:noBreakHyphen/>
      </w:r>
      <w:r w:rsidRPr="00027624">
        <w:t>indexed personal income tax thresholds, all non</w:t>
      </w:r>
      <w:r w:rsidR="00A8443E" w:rsidRPr="00027624">
        <w:noBreakHyphen/>
      </w:r>
      <w:r w:rsidRPr="00027624">
        <w:t>indexed superannuation tax thresholds are indexed in line with average weekly ordinary time earnings beyond the medium term (2030</w:t>
      </w:r>
      <w:r w:rsidR="00A8443E" w:rsidRPr="00027624">
        <w:noBreakHyphen/>
      </w:r>
      <w:r w:rsidRPr="00027624">
        <w:t>31</w:t>
      </w:r>
      <w:r w:rsidR="0078546D" w:rsidRPr="00027624">
        <w:t> </w:t>
      </w:r>
      <w:r w:rsidRPr="00027624">
        <w:t>onwards).</w:t>
      </w:r>
    </w:p>
    <w:p w14:paraId="005A9967" w14:textId="77777777" w:rsidR="00E96B29" w:rsidRPr="00027624" w:rsidRDefault="00E96B29" w:rsidP="00E96B29">
      <w:pPr>
        <w:pStyle w:val="Heading6"/>
      </w:pPr>
      <w:r w:rsidRPr="00027624">
        <w:t>Taxation of superannuation earnings</w:t>
      </w:r>
    </w:p>
    <w:p w14:paraId="2EBBA922" w14:textId="77777777" w:rsidR="00E96B29" w:rsidRPr="00027624" w:rsidRDefault="00E96B29" w:rsidP="00E96B29">
      <w:r w:rsidRPr="00027624">
        <w:t xml:space="preserve">In the </w:t>
      </w:r>
      <w:r w:rsidR="0078546D" w:rsidRPr="00027624">
        <w:t>pre-retirement</w:t>
      </w:r>
      <w:r w:rsidRPr="00027624">
        <w:t xml:space="preserve"> phase, the tax rate on superannuation earnings is 15 </w:t>
      </w:r>
      <w:r w:rsidRPr="00027624" w:rsidDel="0068007C">
        <w:t>per</w:t>
      </w:r>
      <w:r w:rsidRPr="00027624">
        <w:t> </w:t>
      </w:r>
      <w:r w:rsidRPr="00027624" w:rsidDel="0068007C">
        <w:t>cent</w:t>
      </w:r>
      <w:r w:rsidRPr="00027624">
        <w:t xml:space="preserve">. However, some assets receive different tax treatment, such as net capital gains that attract a discount and franked dividends. A 7 per cent effective tax rate on superannuation earnings in the </w:t>
      </w:r>
      <w:r w:rsidR="00DD040A" w:rsidRPr="00027624">
        <w:t>pre-retirement</w:t>
      </w:r>
      <w:r w:rsidRPr="00027624">
        <w:t xml:space="preserve"> phase has been assumed for the retirement income cameo model. This assumption has been prepared using a top</w:t>
      </w:r>
      <w:r w:rsidR="00A8443E" w:rsidRPr="00027624">
        <w:noBreakHyphen/>
      </w:r>
      <w:r w:rsidRPr="00027624">
        <w:t>down framework across a long</w:t>
      </w:r>
      <w:r w:rsidR="00A8443E" w:rsidRPr="00027624">
        <w:noBreakHyphen/>
      </w:r>
      <w:r w:rsidRPr="00027624">
        <w:t>term horizon, and is intended to be broadly representative of a range of investments.</w:t>
      </w:r>
    </w:p>
    <w:p w14:paraId="70545757" w14:textId="77777777" w:rsidR="00E96B29" w:rsidRPr="00027624" w:rsidRDefault="00E96B29" w:rsidP="00E96B29">
      <w:r w:rsidRPr="00027624">
        <w:t>Earnings in the retirement phase are tax</w:t>
      </w:r>
      <w:r w:rsidR="00A8443E" w:rsidRPr="00027624">
        <w:noBreakHyphen/>
      </w:r>
      <w:r w:rsidRPr="00027624">
        <w:t>free, noting that the transfer balance cap restricts the balance people are able to transfer into the pension phase.</w:t>
      </w:r>
    </w:p>
    <w:p w14:paraId="6EA79299" w14:textId="77777777" w:rsidR="00E96B29" w:rsidRPr="00027624" w:rsidRDefault="00E96B29" w:rsidP="00E96B29">
      <w:pPr>
        <w:pStyle w:val="Heading6"/>
      </w:pPr>
      <w:r w:rsidRPr="00027624">
        <w:t>Fees</w:t>
      </w:r>
    </w:p>
    <w:p w14:paraId="2DAFEA4C" w14:textId="77777777" w:rsidR="00E96B29" w:rsidRPr="00027624" w:rsidRDefault="00E96B29" w:rsidP="00E96B29">
      <w:r w:rsidRPr="00027624">
        <w:t>Superannuation balances are assumed to attract a $74 fixed annual investment fee in 2019</w:t>
      </w:r>
      <w:r w:rsidR="00A8443E" w:rsidRPr="00027624">
        <w:noBreakHyphen/>
      </w:r>
      <w:r w:rsidRPr="00027624">
        <w:t>20 indexed to average weekly earnings. An annual variable investment fee of 0.85 per cent of the account balance also applies. Superannuation fees are payable in both the accumulation and retirement phases.</w:t>
      </w:r>
    </w:p>
    <w:p w14:paraId="50BC430B" w14:textId="77777777" w:rsidR="00E96B29" w:rsidRPr="00027624" w:rsidRDefault="00E96B29" w:rsidP="00E96B29">
      <w:r w:rsidRPr="00027624">
        <w:t>These investment fees are consistent with assumptions used in Treasury</w:t>
      </w:r>
      <w:r w:rsidR="00A8443E" w:rsidRPr="00027624">
        <w:t>’</w:t>
      </w:r>
      <w:r w:rsidRPr="00027624">
        <w:t>s MARIA and are based on historical data.</w:t>
      </w:r>
    </w:p>
    <w:p w14:paraId="6164EA3D" w14:textId="77777777" w:rsidR="00E96B29" w:rsidRPr="00027624" w:rsidRDefault="00E96B29" w:rsidP="00E96B29">
      <w:pPr>
        <w:pStyle w:val="Heading6"/>
      </w:pPr>
      <w:r w:rsidRPr="00027624">
        <w:t>Insurance</w:t>
      </w:r>
    </w:p>
    <w:p w14:paraId="777B1FEA" w14:textId="77777777" w:rsidR="00E96B29" w:rsidRPr="00027624" w:rsidRDefault="00E96B29" w:rsidP="00E96B29">
      <w:r w:rsidRPr="00027624">
        <w:t>Fixed annual insurance premiums are $214 in 2019</w:t>
      </w:r>
      <w:r w:rsidR="00A8443E" w:rsidRPr="00027624">
        <w:noBreakHyphen/>
      </w:r>
      <w:r w:rsidRPr="00027624">
        <w:t xml:space="preserve">20 and indexed to average weekly earnings. Premiums are paid in the </w:t>
      </w:r>
      <w:r w:rsidR="00DD040A" w:rsidRPr="00027624">
        <w:t>pre-retirement phase</w:t>
      </w:r>
      <w:r w:rsidRPr="00027624">
        <w:t xml:space="preserve"> only and subtracted from superannuation balances. This premium is consistent with estimates used in Treasury</w:t>
      </w:r>
      <w:r w:rsidR="00A8443E" w:rsidRPr="00027624">
        <w:t>’</w:t>
      </w:r>
      <w:r w:rsidRPr="00027624">
        <w:t>s MARIA and are based on historical data.</w:t>
      </w:r>
    </w:p>
    <w:p w14:paraId="49845A94" w14:textId="77777777" w:rsidR="00E96B29" w:rsidRPr="00027624" w:rsidRDefault="00E96B29" w:rsidP="00E96B29">
      <w:pPr>
        <w:pStyle w:val="Heading6"/>
      </w:pPr>
      <w:r w:rsidRPr="00027624">
        <w:t>The transfer balance cap</w:t>
      </w:r>
    </w:p>
    <w:p w14:paraId="7593C24B" w14:textId="77777777" w:rsidR="00E96B29" w:rsidRPr="00027624" w:rsidRDefault="00E96B29" w:rsidP="00E96B29">
      <w:r w:rsidRPr="00027624">
        <w:t>From 1 July 2017, people have been able to transfer their superannuation balance into the retirement phase subject to the transfer balance cap ($1.6 million in 2019</w:t>
      </w:r>
      <w:r w:rsidR="00A8443E" w:rsidRPr="00027624">
        <w:noBreakHyphen/>
      </w:r>
      <w:r w:rsidRPr="00027624">
        <w:t>20 and indexed periodically in $100,000 increments in line with CPI).</w:t>
      </w:r>
    </w:p>
    <w:p w14:paraId="4091B1FB" w14:textId="77777777" w:rsidR="00E96B29" w:rsidRPr="00027624" w:rsidRDefault="00E96B29" w:rsidP="00E96B29">
      <w:r w:rsidRPr="00027624">
        <w:t>Modelling assumes that superannuation balances over the transfer balance cap are transferred outside superannuation. Earnings on these amounts are taxed at marginal rates. Only retirees at the 90</w:t>
      </w:r>
      <w:r w:rsidRPr="00027624">
        <w:rPr>
          <w:vertAlign w:val="superscript"/>
        </w:rPr>
        <w:t>th</w:t>
      </w:r>
      <w:r w:rsidRPr="00027624">
        <w:t>, 95</w:t>
      </w:r>
      <w:r w:rsidRPr="00027624">
        <w:rPr>
          <w:vertAlign w:val="superscript"/>
        </w:rPr>
        <w:t>th</w:t>
      </w:r>
      <w:r w:rsidRPr="00027624">
        <w:t xml:space="preserve"> and 99</w:t>
      </w:r>
      <w:r w:rsidRPr="00027624">
        <w:rPr>
          <w:vertAlign w:val="superscript"/>
        </w:rPr>
        <w:t>th</w:t>
      </w:r>
      <w:r w:rsidRPr="00027624">
        <w:t> percentiles are affected by this assumption in the model. This assumption has a conservative impact on retirement incomes, compared to leaving assets in superannuation but in the accumulation phase, as:</w:t>
      </w:r>
    </w:p>
    <w:p w14:paraId="3065B20B" w14:textId="77777777" w:rsidR="00E96B29" w:rsidRPr="00027624" w:rsidRDefault="00E96B29" w:rsidP="00E96B29">
      <w:pPr>
        <w:pStyle w:val="Bullet"/>
      </w:pPr>
      <w:r w:rsidRPr="00027624">
        <w:t>Higher</w:t>
      </w:r>
      <w:r w:rsidR="00A8443E" w:rsidRPr="00027624">
        <w:noBreakHyphen/>
      </w:r>
      <w:r w:rsidRPr="00027624">
        <w:t xml:space="preserve">income earners affected by the cap </w:t>
      </w:r>
      <w:r w:rsidR="005A53FD" w:rsidRPr="00027624">
        <w:t xml:space="preserve">are </w:t>
      </w:r>
      <w:r w:rsidRPr="00027624">
        <w:t>typically paying higher taxes outside superannuation, which reduces their retirement incomes</w:t>
      </w:r>
    </w:p>
    <w:p w14:paraId="486C0AE4" w14:textId="77777777" w:rsidR="00E96B29" w:rsidRPr="00027624" w:rsidRDefault="00E96B29" w:rsidP="00E96B29">
      <w:pPr>
        <w:pStyle w:val="Bullet"/>
      </w:pPr>
      <w:r w:rsidRPr="00027624">
        <w:t>Asset drawdown rates are lower outside superannuation than inside superannuation for the purposes of review modelling</w:t>
      </w:r>
    </w:p>
    <w:p w14:paraId="73EA9DD3" w14:textId="77777777" w:rsidR="00E96B29" w:rsidRPr="00027624" w:rsidRDefault="00E96B29" w:rsidP="00E96B29">
      <w:pPr>
        <w:pStyle w:val="Heading5"/>
      </w:pPr>
      <w:bookmarkStart w:id="4264" w:name="_Ref42618877"/>
      <w:r w:rsidRPr="00027624">
        <w:t>Investment returns</w:t>
      </w:r>
      <w:bookmarkEnd w:id="4264"/>
    </w:p>
    <w:p w14:paraId="0AB58F0F" w14:textId="77777777" w:rsidR="00E96B29" w:rsidRPr="00027624" w:rsidRDefault="00E96B29" w:rsidP="00E96B29">
      <w:r w:rsidRPr="00027624">
        <w:t xml:space="preserve">Assets inside and outside superannuation are assumed to </w:t>
      </w:r>
      <w:r w:rsidRPr="00027624" w:rsidDel="00104FA3">
        <w:t>generate investment returns</w:t>
      </w:r>
      <w:r w:rsidRPr="00027624">
        <w:t xml:space="preserve"> of 7.5 per cent during the accumulation phase and 6.2 per cent during the retirement phase. These returns are before fees and taxes.</w:t>
      </w:r>
    </w:p>
    <w:p w14:paraId="723DD909" w14:textId="77777777" w:rsidR="00E96B29" w:rsidRPr="00027624" w:rsidRDefault="00E96B29" w:rsidP="00E96B29">
      <w:r w:rsidRPr="00027624">
        <w:t>These investment returns:</w:t>
      </w:r>
    </w:p>
    <w:p w14:paraId="49BC1D03" w14:textId="77777777" w:rsidR="00E96B29" w:rsidRPr="00027624" w:rsidRDefault="00E96B29" w:rsidP="00E96B29">
      <w:pPr>
        <w:pStyle w:val="Bullet"/>
      </w:pPr>
      <w:r w:rsidRPr="00027624">
        <w:t>Are based on</w:t>
      </w:r>
      <w:r w:rsidRPr="00027624" w:rsidDel="00104FA3">
        <w:t xml:space="preserve"> </w:t>
      </w:r>
      <w:r w:rsidRPr="00027624">
        <w:t>advice commissioned from th</w:t>
      </w:r>
      <w:r w:rsidR="005A53FD" w:rsidRPr="00027624">
        <w:t>e Australian Government Actuary</w:t>
      </w:r>
    </w:p>
    <w:p w14:paraId="50B1E7E9" w14:textId="77777777" w:rsidR="00E96B29" w:rsidRPr="00027624" w:rsidRDefault="00E96B29" w:rsidP="00E96B29">
      <w:pPr>
        <w:pStyle w:val="Bullet"/>
      </w:pPr>
      <w:r w:rsidRPr="00027624">
        <w:t>Are conservative relative to</w:t>
      </w:r>
      <w:r w:rsidRPr="00027624" w:rsidDel="00104FA3">
        <w:t xml:space="preserve"> </w:t>
      </w:r>
      <w:r w:rsidRPr="00027624">
        <w:t>historical returns</w:t>
      </w:r>
    </w:p>
    <w:p w14:paraId="541ABE18" w14:textId="77777777" w:rsidR="00E96B29" w:rsidRPr="00027624" w:rsidRDefault="00E96B29" w:rsidP="00E96B29">
      <w:pPr>
        <w:pStyle w:val="Bullet"/>
      </w:pPr>
      <w:r w:rsidRPr="00027624">
        <w:t>Align with, or are conservative compared to, industry growth and defensive targets</w:t>
      </w:r>
    </w:p>
    <w:p w14:paraId="20FB8081" w14:textId="3A800ED9" w:rsidR="00E96B29" w:rsidRPr="00027624" w:rsidRDefault="00E96B29" w:rsidP="00E96B29">
      <w:r w:rsidRPr="00027624">
        <w:t>These investment return assumptions are based on fund investment objectives and typical superannuation portfolios. A lower earnings rate in the retirement phase reflects a lower risk appetite, with retirees typically holding more defensive assets (</w:t>
      </w:r>
      <w:r w:rsidRPr="00027624">
        <w:fldChar w:fldCharType="begin"/>
      </w:r>
      <w:r w:rsidRPr="00027624">
        <w:instrText xml:space="preserve"> REF _Ref40348256 \r \h </w:instrText>
      </w:r>
      <w:r w:rsidR="00027624">
        <w:instrText xml:space="preserve"> \* MERGEFORMAT </w:instrText>
      </w:r>
      <w:r w:rsidRPr="00027624">
        <w:fldChar w:fldCharType="separate"/>
      </w:r>
      <w:r w:rsidR="00891058">
        <w:t>Chart 6A-23</w:t>
      </w:r>
      <w:r w:rsidRPr="00027624">
        <w:fldChar w:fldCharType="end"/>
      </w:r>
      <w:r w:rsidRPr="00027624">
        <w:t>).</w:t>
      </w:r>
      <w:r w:rsidRPr="00027624">
        <w:rPr>
          <w:rStyle w:val="FootnoteReference"/>
        </w:rPr>
        <w:footnoteReference w:id="334"/>
      </w:r>
    </w:p>
    <w:p w14:paraId="6B7D89E9" w14:textId="77777777" w:rsidR="00E96B29" w:rsidRPr="00027624" w:rsidRDefault="005A53FD" w:rsidP="00E96B29">
      <w:pPr>
        <w:rPr>
          <w:sz w:val="24"/>
        </w:rPr>
      </w:pPr>
      <w:r w:rsidRPr="00027624">
        <w:t>The Australian Government Actuary</w:t>
      </w:r>
      <w:r w:rsidR="00E96B29" w:rsidRPr="00027624">
        <w:t xml:space="preserve"> determined typical investment objectives (after fees and taxes) by examining the investment objectives of default portfolios in major Australian superannuation funds.</w:t>
      </w:r>
      <w:r w:rsidR="00E96B29" w:rsidRPr="00027624">
        <w:rPr>
          <w:sz w:val="24"/>
        </w:rPr>
        <w:t xml:space="preserve"> </w:t>
      </w:r>
      <w:r w:rsidR="00E96B29" w:rsidRPr="00027624">
        <w:t>Default investment options were used as the basis for determining fund investment objectives, as these tend to be used by a large proportion of superannuation members.</w:t>
      </w:r>
    </w:p>
    <w:p w14:paraId="4A20A090" w14:textId="1F2C568B" w:rsidR="00E96B29" w:rsidRPr="00027624" w:rsidRDefault="00E96B29" w:rsidP="00E96B29">
      <w:r w:rsidRPr="00027624">
        <w:t>The determination of accumulation phase investment objectives took into account default portfolios from the top 10 MySuper funds, covering more than 60 per cent of MySuper assets. The investment strategies of these portfolios were checked for broad consistency with the asset allocations reported by the Productivity Commission (</w:t>
      </w:r>
      <w:r w:rsidRPr="00027624">
        <w:fldChar w:fldCharType="begin"/>
      </w:r>
      <w:r w:rsidRPr="00027624">
        <w:instrText xml:space="preserve"> REF _Ref39259299 \r \h  \* MERGEFORMAT </w:instrText>
      </w:r>
      <w:r w:rsidRPr="00027624">
        <w:fldChar w:fldCharType="separate"/>
      </w:r>
      <w:r w:rsidR="00891058">
        <w:t>Table 6A-8</w:t>
      </w:r>
      <w:r w:rsidRPr="00027624">
        <w:fldChar w:fldCharType="end"/>
      </w:r>
      <w:r w:rsidRPr="00027624">
        <w:t>).</w:t>
      </w:r>
    </w:p>
    <w:p w14:paraId="60BC83F6" w14:textId="77777777" w:rsidR="00E96B29" w:rsidRPr="00027624" w:rsidRDefault="00E96B29" w:rsidP="00E96B29">
      <w:r w:rsidRPr="00027624">
        <w:t xml:space="preserve">The determination of retirement phase investment objectives adopted a similar approach. However, the retirement earnings rate assumption relies more on fund investment strategies, as the idea of a </w:t>
      </w:r>
      <w:r w:rsidR="00A8443E" w:rsidRPr="00027624">
        <w:t>‘</w:t>
      </w:r>
      <w:r w:rsidRPr="00027624">
        <w:t>default portfolio</w:t>
      </w:r>
      <w:r w:rsidR="00A8443E" w:rsidRPr="00027624">
        <w:t>’</w:t>
      </w:r>
      <w:r w:rsidRPr="00027624">
        <w:t xml:space="preserve"> is less applicable during the pension phase.</w:t>
      </w:r>
    </w:p>
    <w:p w14:paraId="3B1F516E" w14:textId="77777777" w:rsidR="00E96B29" w:rsidRPr="00027624" w:rsidRDefault="00E96B29" w:rsidP="00E96B29">
      <w:pPr>
        <w:pStyle w:val="TableMainHeading"/>
      </w:pPr>
      <w:bookmarkStart w:id="4265" w:name="_Ref39259299"/>
      <w:bookmarkStart w:id="4266" w:name="_Ref43748509"/>
      <w:r w:rsidRPr="00027624">
        <w:t>Asset allocation in pre</w:t>
      </w:r>
      <w:r w:rsidR="00A8443E" w:rsidRPr="00027624">
        <w:noBreakHyphen/>
      </w:r>
      <w:r w:rsidRPr="00027624">
        <w:t>retirement and retirement phases</w:t>
      </w:r>
      <w:bookmarkEnd w:id="4265"/>
      <w:bookmarkEnd w:id="4266"/>
    </w:p>
    <w:tbl>
      <w:tblPr>
        <w:tblStyle w:val="TableGrid"/>
        <w:tblW w:w="5000" w:type="pct"/>
        <w:tblLook w:val="01E0" w:firstRow="1" w:lastRow="1" w:firstColumn="1" w:lastColumn="1" w:noHBand="0" w:noVBand="0"/>
      </w:tblPr>
      <w:tblGrid>
        <w:gridCol w:w="1814"/>
        <w:gridCol w:w="1814"/>
        <w:gridCol w:w="1814"/>
        <w:gridCol w:w="1814"/>
        <w:gridCol w:w="1814"/>
      </w:tblGrid>
      <w:tr w:rsidR="00E96B29" w:rsidRPr="00027624" w14:paraId="737EA7D5" w14:textId="77777777" w:rsidTr="00E96B29">
        <w:trPr>
          <w:trHeight w:val="270"/>
        </w:trPr>
        <w:tc>
          <w:tcPr>
            <w:tcW w:w="1000" w:type="pct"/>
          </w:tcPr>
          <w:p w14:paraId="3B83B35E" w14:textId="77777777" w:rsidR="00E96B29" w:rsidRPr="00027624" w:rsidRDefault="00E96B29" w:rsidP="00E96B29">
            <w:pPr>
              <w:pStyle w:val="TableColumnHeadingCentred"/>
              <w:jc w:val="left"/>
            </w:pPr>
            <w:r w:rsidRPr="00027624">
              <w:t>Allocation type</w:t>
            </w:r>
          </w:p>
        </w:tc>
        <w:tc>
          <w:tcPr>
            <w:tcW w:w="2000" w:type="pct"/>
            <w:gridSpan w:val="2"/>
          </w:tcPr>
          <w:p w14:paraId="4684DEC9" w14:textId="77777777" w:rsidR="00E96B29" w:rsidRPr="00027624" w:rsidRDefault="00E96B29" w:rsidP="00E96B29">
            <w:pPr>
              <w:pStyle w:val="TableColumnHeadingCentred"/>
            </w:pPr>
            <w:r w:rsidRPr="00027624">
              <w:t>2007</w:t>
            </w:r>
          </w:p>
        </w:tc>
        <w:tc>
          <w:tcPr>
            <w:tcW w:w="2000" w:type="pct"/>
            <w:gridSpan w:val="2"/>
          </w:tcPr>
          <w:p w14:paraId="7263A35A" w14:textId="77777777" w:rsidR="00E96B29" w:rsidRPr="00027624" w:rsidRDefault="00E96B29" w:rsidP="00E96B29">
            <w:pPr>
              <w:pStyle w:val="TableColumnHeadingCentred"/>
            </w:pPr>
            <w:r w:rsidRPr="00027624">
              <w:t>2017</w:t>
            </w:r>
          </w:p>
        </w:tc>
      </w:tr>
      <w:tr w:rsidR="00E96B29" w:rsidRPr="00027624" w14:paraId="3247AE26" w14:textId="77777777" w:rsidTr="00E96B29">
        <w:trPr>
          <w:trHeight w:val="270"/>
        </w:trPr>
        <w:tc>
          <w:tcPr>
            <w:tcW w:w="1000" w:type="pct"/>
          </w:tcPr>
          <w:p w14:paraId="5CF98532" w14:textId="77777777" w:rsidR="00E96B29" w:rsidRPr="00027624" w:rsidRDefault="00E96B29" w:rsidP="00E96B29">
            <w:pPr>
              <w:pStyle w:val="TableColumnHeadingCentred"/>
            </w:pPr>
          </w:p>
        </w:tc>
        <w:tc>
          <w:tcPr>
            <w:tcW w:w="1000" w:type="pct"/>
          </w:tcPr>
          <w:p w14:paraId="6B77C1E0" w14:textId="77777777" w:rsidR="00E96B29" w:rsidRPr="00027624" w:rsidRDefault="00E96B29" w:rsidP="00E96B29">
            <w:pPr>
              <w:pStyle w:val="TableColumnHeadingCentred"/>
            </w:pPr>
            <w:r w:rsidRPr="00027624">
              <w:t>Pre</w:t>
            </w:r>
            <w:r w:rsidR="00A8443E" w:rsidRPr="00027624">
              <w:noBreakHyphen/>
            </w:r>
            <w:r w:rsidRPr="00027624">
              <w:t>retirement</w:t>
            </w:r>
          </w:p>
          <w:p w14:paraId="6C55B219" w14:textId="77777777" w:rsidR="00E96B29" w:rsidRPr="00027624" w:rsidRDefault="00E96B29" w:rsidP="00E96B29">
            <w:pPr>
              <w:pStyle w:val="TableColumnHeadingCentred"/>
            </w:pPr>
            <w:r w:rsidRPr="00027624">
              <w:t>(per cent)</w:t>
            </w:r>
          </w:p>
        </w:tc>
        <w:tc>
          <w:tcPr>
            <w:tcW w:w="1000" w:type="pct"/>
          </w:tcPr>
          <w:p w14:paraId="2E9E4F83" w14:textId="77777777" w:rsidR="00E96B29" w:rsidRPr="00027624" w:rsidRDefault="00E96B29" w:rsidP="00E96B29">
            <w:pPr>
              <w:pStyle w:val="TableColumnHeadingCentred"/>
            </w:pPr>
            <w:r w:rsidRPr="00027624">
              <w:t>Retirement</w:t>
            </w:r>
          </w:p>
          <w:p w14:paraId="0A5D13C2" w14:textId="77777777" w:rsidR="00E96B29" w:rsidRPr="00027624" w:rsidRDefault="00E96B29" w:rsidP="00E96B29">
            <w:pPr>
              <w:pStyle w:val="TableColumnHeadingCentred"/>
            </w:pPr>
            <w:r w:rsidRPr="00027624">
              <w:t>(per cent)</w:t>
            </w:r>
          </w:p>
        </w:tc>
        <w:tc>
          <w:tcPr>
            <w:tcW w:w="1000" w:type="pct"/>
          </w:tcPr>
          <w:p w14:paraId="2FCBB1AD" w14:textId="77777777" w:rsidR="00E96B29" w:rsidRPr="00027624" w:rsidRDefault="00E96B29" w:rsidP="00E96B29">
            <w:pPr>
              <w:pStyle w:val="TableColumnHeadingCentred"/>
            </w:pPr>
            <w:r w:rsidRPr="00027624">
              <w:t>Pre</w:t>
            </w:r>
            <w:r w:rsidR="00A8443E" w:rsidRPr="00027624">
              <w:noBreakHyphen/>
            </w:r>
            <w:r w:rsidRPr="00027624">
              <w:t>retirement</w:t>
            </w:r>
          </w:p>
          <w:p w14:paraId="346BF62A" w14:textId="77777777" w:rsidR="00E96B29" w:rsidRPr="00027624" w:rsidRDefault="00E96B29" w:rsidP="00E96B29">
            <w:pPr>
              <w:pStyle w:val="TableColumnHeadingCentred"/>
            </w:pPr>
            <w:r w:rsidRPr="00027624">
              <w:t>(per cent)</w:t>
            </w:r>
          </w:p>
        </w:tc>
        <w:tc>
          <w:tcPr>
            <w:tcW w:w="1000" w:type="pct"/>
          </w:tcPr>
          <w:p w14:paraId="2CCF8B91" w14:textId="77777777" w:rsidR="00E96B29" w:rsidRPr="00027624" w:rsidRDefault="00E96B29" w:rsidP="00E96B29">
            <w:pPr>
              <w:pStyle w:val="TableColumnHeadingCentred"/>
            </w:pPr>
            <w:r w:rsidRPr="00027624">
              <w:t>Retirement</w:t>
            </w:r>
          </w:p>
          <w:p w14:paraId="3129F924" w14:textId="77777777" w:rsidR="00E96B29" w:rsidRPr="00027624" w:rsidRDefault="00E96B29" w:rsidP="00E96B29">
            <w:pPr>
              <w:pStyle w:val="TableColumnHeadingCentred"/>
            </w:pPr>
            <w:r w:rsidRPr="00027624">
              <w:t>(per cent)</w:t>
            </w:r>
          </w:p>
        </w:tc>
      </w:tr>
      <w:tr w:rsidR="00E96B29" w:rsidRPr="00027624" w14:paraId="4D4CBABD" w14:textId="77777777" w:rsidTr="00E96B29">
        <w:trPr>
          <w:trHeight w:val="270"/>
        </w:trPr>
        <w:tc>
          <w:tcPr>
            <w:tcW w:w="1000" w:type="pct"/>
            <w:shd w:val="clear" w:color="auto" w:fill="FFFFFF" w:themeFill="background1"/>
          </w:tcPr>
          <w:p w14:paraId="02F0BA01" w14:textId="77777777" w:rsidR="00E96B29" w:rsidRPr="00027624" w:rsidRDefault="00E96B29" w:rsidP="00E96B29">
            <w:pPr>
              <w:pStyle w:val="TableTextLeft"/>
            </w:pPr>
            <w:r w:rsidRPr="00027624">
              <w:t>Defensive</w:t>
            </w:r>
          </w:p>
        </w:tc>
        <w:tc>
          <w:tcPr>
            <w:tcW w:w="1000" w:type="pct"/>
            <w:shd w:val="clear" w:color="auto" w:fill="FFFFFF" w:themeFill="background1"/>
          </w:tcPr>
          <w:p w14:paraId="681C75CD" w14:textId="77777777" w:rsidR="00E96B29" w:rsidRPr="00027624" w:rsidRDefault="00E96B29" w:rsidP="00E96B29">
            <w:pPr>
              <w:pStyle w:val="TableTextCentered"/>
            </w:pPr>
            <w:r w:rsidRPr="00027624">
              <w:t>19.9</w:t>
            </w:r>
          </w:p>
        </w:tc>
        <w:tc>
          <w:tcPr>
            <w:tcW w:w="1000" w:type="pct"/>
            <w:shd w:val="clear" w:color="auto" w:fill="FFFFFF" w:themeFill="background1"/>
          </w:tcPr>
          <w:p w14:paraId="26E03795" w14:textId="77777777" w:rsidR="00E96B29" w:rsidRPr="00027624" w:rsidRDefault="00E96B29" w:rsidP="00E96B29">
            <w:pPr>
              <w:pStyle w:val="TableTextCentered"/>
            </w:pPr>
            <w:r w:rsidRPr="00027624">
              <w:t>32.2</w:t>
            </w:r>
          </w:p>
        </w:tc>
        <w:tc>
          <w:tcPr>
            <w:tcW w:w="1000" w:type="pct"/>
            <w:shd w:val="clear" w:color="auto" w:fill="FFFFFF" w:themeFill="background1"/>
          </w:tcPr>
          <w:p w14:paraId="02C10E26" w14:textId="77777777" w:rsidR="00E96B29" w:rsidRPr="00027624" w:rsidRDefault="00E96B29" w:rsidP="00E96B29">
            <w:pPr>
              <w:pStyle w:val="TableTextCentered"/>
            </w:pPr>
            <w:r w:rsidRPr="00027624">
              <w:t>18.2</w:t>
            </w:r>
          </w:p>
        </w:tc>
        <w:tc>
          <w:tcPr>
            <w:tcW w:w="1000" w:type="pct"/>
            <w:shd w:val="clear" w:color="auto" w:fill="FFFFFF" w:themeFill="background1"/>
          </w:tcPr>
          <w:p w14:paraId="43487210" w14:textId="77777777" w:rsidR="00E96B29" w:rsidRPr="00027624" w:rsidRDefault="00E96B29" w:rsidP="00E96B29">
            <w:pPr>
              <w:pStyle w:val="TableTextCentered"/>
            </w:pPr>
            <w:r w:rsidRPr="00027624">
              <w:t>32.8</w:t>
            </w:r>
          </w:p>
        </w:tc>
      </w:tr>
      <w:tr w:rsidR="00E96B29" w:rsidRPr="00027624" w14:paraId="2B07A90D" w14:textId="77777777" w:rsidTr="00E96B29">
        <w:trPr>
          <w:trHeight w:val="270"/>
        </w:trPr>
        <w:tc>
          <w:tcPr>
            <w:tcW w:w="1000" w:type="pct"/>
            <w:shd w:val="clear" w:color="auto" w:fill="FFFFFF" w:themeFill="background1"/>
          </w:tcPr>
          <w:p w14:paraId="13A4B6DC" w14:textId="77777777" w:rsidR="00E96B29" w:rsidRPr="00027624" w:rsidRDefault="00E96B29" w:rsidP="00E96B29">
            <w:pPr>
              <w:pStyle w:val="TableTextLeft"/>
            </w:pPr>
            <w:r w:rsidRPr="00027624">
              <w:t>Growth</w:t>
            </w:r>
          </w:p>
        </w:tc>
        <w:tc>
          <w:tcPr>
            <w:tcW w:w="1000" w:type="pct"/>
            <w:shd w:val="clear" w:color="auto" w:fill="FFFFFF" w:themeFill="background1"/>
          </w:tcPr>
          <w:p w14:paraId="3107D35D" w14:textId="77777777" w:rsidR="00E96B29" w:rsidRPr="00027624" w:rsidRDefault="00E96B29" w:rsidP="00E96B29">
            <w:pPr>
              <w:pStyle w:val="TableTextCentered"/>
            </w:pPr>
            <w:r w:rsidRPr="00027624">
              <w:t>71.6</w:t>
            </w:r>
          </w:p>
        </w:tc>
        <w:tc>
          <w:tcPr>
            <w:tcW w:w="1000" w:type="pct"/>
            <w:shd w:val="clear" w:color="auto" w:fill="FFFFFF" w:themeFill="background1"/>
          </w:tcPr>
          <w:p w14:paraId="14446E87" w14:textId="77777777" w:rsidR="00E96B29" w:rsidRPr="00027624" w:rsidRDefault="00E96B29" w:rsidP="00E96B29">
            <w:pPr>
              <w:pStyle w:val="TableTextCentered"/>
            </w:pPr>
            <w:r w:rsidRPr="00027624">
              <w:t>63.1</w:t>
            </w:r>
          </w:p>
        </w:tc>
        <w:tc>
          <w:tcPr>
            <w:tcW w:w="1000" w:type="pct"/>
            <w:shd w:val="clear" w:color="auto" w:fill="FFFFFF" w:themeFill="background1"/>
          </w:tcPr>
          <w:p w14:paraId="2050FF6C" w14:textId="77777777" w:rsidR="00E96B29" w:rsidRPr="00027624" w:rsidRDefault="00E96B29" w:rsidP="00E96B29">
            <w:pPr>
              <w:pStyle w:val="TableTextCentered"/>
            </w:pPr>
            <w:r w:rsidRPr="00027624">
              <w:t>65.3</w:t>
            </w:r>
          </w:p>
        </w:tc>
        <w:tc>
          <w:tcPr>
            <w:tcW w:w="1000" w:type="pct"/>
            <w:shd w:val="clear" w:color="auto" w:fill="FFFFFF" w:themeFill="background1"/>
          </w:tcPr>
          <w:p w14:paraId="5E63858F" w14:textId="77777777" w:rsidR="00E96B29" w:rsidRPr="00027624" w:rsidRDefault="00E96B29" w:rsidP="00E96B29">
            <w:pPr>
              <w:pStyle w:val="TableTextCentered"/>
            </w:pPr>
            <w:r w:rsidRPr="00027624">
              <w:t>49.8</w:t>
            </w:r>
          </w:p>
        </w:tc>
      </w:tr>
      <w:tr w:rsidR="00E96B29" w:rsidRPr="00027624" w14:paraId="393DF57D" w14:textId="77777777" w:rsidTr="00E96B29">
        <w:trPr>
          <w:trHeight w:val="270"/>
        </w:trPr>
        <w:tc>
          <w:tcPr>
            <w:tcW w:w="1000" w:type="pct"/>
            <w:shd w:val="clear" w:color="auto" w:fill="FFFFFF" w:themeFill="background1"/>
          </w:tcPr>
          <w:p w14:paraId="5FED12FD" w14:textId="77777777" w:rsidR="00E96B29" w:rsidRPr="00027624" w:rsidRDefault="00E96B29" w:rsidP="00E96B29">
            <w:pPr>
              <w:pStyle w:val="TableTextLeft"/>
            </w:pPr>
            <w:r w:rsidRPr="00027624">
              <w:t>Otherⁱ</w:t>
            </w:r>
          </w:p>
        </w:tc>
        <w:tc>
          <w:tcPr>
            <w:tcW w:w="1000" w:type="pct"/>
            <w:shd w:val="clear" w:color="auto" w:fill="FFFFFF" w:themeFill="background1"/>
          </w:tcPr>
          <w:p w14:paraId="24FE67C0" w14:textId="77777777" w:rsidR="00E96B29" w:rsidRPr="00027624" w:rsidRDefault="00E96B29" w:rsidP="00E96B29">
            <w:pPr>
              <w:pStyle w:val="TableTextCentered"/>
            </w:pPr>
            <w:r w:rsidRPr="00027624">
              <w:t>8.6</w:t>
            </w:r>
          </w:p>
        </w:tc>
        <w:tc>
          <w:tcPr>
            <w:tcW w:w="1000" w:type="pct"/>
            <w:shd w:val="clear" w:color="auto" w:fill="FFFFFF" w:themeFill="background1"/>
          </w:tcPr>
          <w:p w14:paraId="4EDF038C" w14:textId="77777777" w:rsidR="00E96B29" w:rsidRPr="00027624" w:rsidRDefault="00E96B29" w:rsidP="00E96B29">
            <w:pPr>
              <w:pStyle w:val="TableTextCentered"/>
            </w:pPr>
            <w:r w:rsidRPr="00027624">
              <w:t>5.1</w:t>
            </w:r>
          </w:p>
        </w:tc>
        <w:tc>
          <w:tcPr>
            <w:tcW w:w="1000" w:type="pct"/>
            <w:shd w:val="clear" w:color="auto" w:fill="FFFFFF" w:themeFill="background1"/>
          </w:tcPr>
          <w:p w14:paraId="5C97E0AF" w14:textId="77777777" w:rsidR="00E96B29" w:rsidRPr="00027624" w:rsidRDefault="00E96B29" w:rsidP="00E96B29">
            <w:pPr>
              <w:pStyle w:val="TableTextCentered"/>
            </w:pPr>
            <w:r w:rsidRPr="00027624">
              <w:t>17.0</w:t>
            </w:r>
          </w:p>
        </w:tc>
        <w:tc>
          <w:tcPr>
            <w:tcW w:w="1000" w:type="pct"/>
            <w:shd w:val="clear" w:color="auto" w:fill="FFFFFF" w:themeFill="background1"/>
          </w:tcPr>
          <w:p w14:paraId="499376B6" w14:textId="77777777" w:rsidR="00E96B29" w:rsidRPr="00027624" w:rsidRDefault="00E96B29" w:rsidP="00E96B29">
            <w:pPr>
              <w:pStyle w:val="TableTextCentered"/>
            </w:pPr>
            <w:r w:rsidRPr="00027624">
              <w:t>17.5</w:t>
            </w:r>
          </w:p>
        </w:tc>
      </w:tr>
      <w:tr w:rsidR="00E96B29" w:rsidRPr="00027624" w14:paraId="795813B7" w14:textId="77777777" w:rsidTr="00E96B29">
        <w:trPr>
          <w:trHeight w:val="270"/>
        </w:trPr>
        <w:tc>
          <w:tcPr>
            <w:tcW w:w="1000" w:type="pct"/>
            <w:shd w:val="clear" w:color="auto" w:fill="FFFFFF" w:themeFill="background1"/>
          </w:tcPr>
          <w:p w14:paraId="18FFA04B" w14:textId="77777777" w:rsidR="00E96B29" w:rsidRPr="00027624" w:rsidRDefault="00E96B29" w:rsidP="00E96B29">
            <w:pPr>
              <w:pStyle w:val="TableTextLeft"/>
            </w:pPr>
            <w:r w:rsidRPr="00027624">
              <w:t>Totalⁱⁱ</w:t>
            </w:r>
          </w:p>
        </w:tc>
        <w:tc>
          <w:tcPr>
            <w:tcW w:w="1000" w:type="pct"/>
            <w:shd w:val="clear" w:color="auto" w:fill="FFFFFF" w:themeFill="background1"/>
          </w:tcPr>
          <w:p w14:paraId="21B51598" w14:textId="77777777" w:rsidR="00E96B29" w:rsidRPr="00027624" w:rsidRDefault="00E96B29" w:rsidP="00E96B29">
            <w:pPr>
              <w:pStyle w:val="TableTextCentered"/>
            </w:pPr>
            <w:r w:rsidRPr="00027624">
              <w:t>100.0</w:t>
            </w:r>
          </w:p>
        </w:tc>
        <w:tc>
          <w:tcPr>
            <w:tcW w:w="1000" w:type="pct"/>
            <w:shd w:val="clear" w:color="auto" w:fill="FFFFFF" w:themeFill="background1"/>
          </w:tcPr>
          <w:p w14:paraId="3B0A3279" w14:textId="77777777" w:rsidR="00E96B29" w:rsidRPr="00027624" w:rsidRDefault="00E96B29" w:rsidP="00E96B29">
            <w:pPr>
              <w:pStyle w:val="TableTextCentered"/>
            </w:pPr>
            <w:r w:rsidRPr="00027624">
              <w:t>100.0</w:t>
            </w:r>
          </w:p>
        </w:tc>
        <w:tc>
          <w:tcPr>
            <w:tcW w:w="1000" w:type="pct"/>
            <w:shd w:val="clear" w:color="auto" w:fill="FFFFFF" w:themeFill="background1"/>
          </w:tcPr>
          <w:p w14:paraId="113F2606" w14:textId="77777777" w:rsidR="00E96B29" w:rsidRPr="00027624" w:rsidRDefault="00E96B29" w:rsidP="00E96B29">
            <w:pPr>
              <w:pStyle w:val="TableTextCentered"/>
            </w:pPr>
            <w:r w:rsidRPr="00027624">
              <w:t>100.0</w:t>
            </w:r>
          </w:p>
        </w:tc>
        <w:tc>
          <w:tcPr>
            <w:tcW w:w="1000" w:type="pct"/>
            <w:shd w:val="clear" w:color="auto" w:fill="FFFFFF" w:themeFill="background1"/>
          </w:tcPr>
          <w:p w14:paraId="3EA27465" w14:textId="77777777" w:rsidR="00E96B29" w:rsidRPr="00027624" w:rsidRDefault="00E96B29" w:rsidP="00E96B29">
            <w:pPr>
              <w:pStyle w:val="TableTextCentered"/>
            </w:pPr>
            <w:r w:rsidRPr="00027624">
              <w:t>100.0</w:t>
            </w:r>
          </w:p>
        </w:tc>
      </w:tr>
    </w:tbl>
    <w:p w14:paraId="42F94931" w14:textId="77777777" w:rsidR="00E96B29" w:rsidRPr="00027624" w:rsidRDefault="00E96B29" w:rsidP="00E96B29">
      <w:pPr>
        <w:pStyle w:val="Caption"/>
        <w:spacing w:after="240"/>
        <w:rPr>
          <w:i w:val="0"/>
          <w:color w:val="auto"/>
        </w:rPr>
      </w:pPr>
      <w:r w:rsidRPr="00027624">
        <w:rPr>
          <w:i w:val="0"/>
          <w:color w:val="auto"/>
        </w:rPr>
        <w:t xml:space="preserve">Note: Original data grouped. </w:t>
      </w:r>
      <w:r w:rsidR="00A8443E" w:rsidRPr="00027624">
        <w:rPr>
          <w:i w:val="0"/>
          <w:color w:val="auto"/>
        </w:rPr>
        <w:t>‘</w:t>
      </w:r>
      <w:r w:rsidRPr="00027624">
        <w:rPr>
          <w:i w:val="0"/>
          <w:color w:val="auto"/>
        </w:rPr>
        <w:t>Growth</w:t>
      </w:r>
      <w:r w:rsidR="00A8443E" w:rsidRPr="00027624">
        <w:rPr>
          <w:i w:val="0"/>
          <w:color w:val="auto"/>
        </w:rPr>
        <w:t>’</w:t>
      </w:r>
      <w:r w:rsidRPr="00027624">
        <w:rPr>
          <w:i w:val="0"/>
          <w:color w:val="auto"/>
        </w:rPr>
        <w:t xml:space="preserve"> includes private equity, Australian and international listed equities, property and infrastructure. </w:t>
      </w:r>
      <w:r w:rsidR="00A8443E" w:rsidRPr="00027624">
        <w:rPr>
          <w:i w:val="0"/>
          <w:color w:val="auto"/>
        </w:rPr>
        <w:t>‘</w:t>
      </w:r>
      <w:r w:rsidRPr="00027624">
        <w:rPr>
          <w:i w:val="0"/>
          <w:color w:val="auto"/>
        </w:rPr>
        <w:t>Defensive</w:t>
      </w:r>
      <w:r w:rsidR="00A8443E" w:rsidRPr="00027624">
        <w:rPr>
          <w:i w:val="0"/>
          <w:color w:val="auto"/>
        </w:rPr>
        <w:t>’</w:t>
      </w:r>
      <w:r w:rsidRPr="00027624">
        <w:rPr>
          <w:i w:val="0"/>
          <w:color w:val="auto"/>
        </w:rPr>
        <w:t xml:space="preserve"> includes Australian and international fixed income, and cash. ⁱ</w:t>
      </w:r>
      <w:r w:rsidR="00A8443E" w:rsidRPr="00027624">
        <w:rPr>
          <w:i w:val="0"/>
          <w:color w:val="auto"/>
        </w:rPr>
        <w:t>’</w:t>
      </w:r>
      <w:r w:rsidRPr="00027624">
        <w:rPr>
          <w:i w:val="0"/>
          <w:color w:val="auto"/>
        </w:rPr>
        <w:t>Other</w:t>
      </w:r>
      <w:r w:rsidR="00A8443E" w:rsidRPr="00027624">
        <w:rPr>
          <w:i w:val="0"/>
          <w:color w:val="auto"/>
        </w:rPr>
        <w:t>’</w:t>
      </w:r>
      <w:r w:rsidRPr="00027624">
        <w:rPr>
          <w:i w:val="0"/>
          <w:color w:val="auto"/>
        </w:rPr>
        <w:t xml:space="preserve"> incorporates a blend of 50 per cent Australian and international equity and 50 per cent Australian and international fixed income. ⁱⁱCategories may not sum to 100 due to rounding. Source: Analysis of </w:t>
      </w:r>
      <w:sdt>
        <w:sdtPr>
          <w:rPr>
            <w:i w:val="0"/>
            <w:color w:val="auto"/>
          </w:rPr>
          <w:id w:val="196825717"/>
          <w:citation/>
        </w:sdtPr>
        <w:sdtEndPr/>
        <w:sdtContent>
          <w:r w:rsidRPr="00027624">
            <w:rPr>
              <w:i w:val="0"/>
              <w:color w:val="auto"/>
            </w:rPr>
            <w:fldChar w:fldCharType="begin"/>
          </w:r>
          <w:r w:rsidRPr="00027624">
            <w:rPr>
              <w:i w:val="0"/>
              <w:color w:val="auto"/>
            </w:rPr>
            <w:instrText xml:space="preserve"> CITATION Pro18 \l 3081 </w:instrText>
          </w:r>
          <w:r w:rsidRPr="00027624">
            <w:rPr>
              <w:i w:val="0"/>
              <w:color w:val="auto"/>
            </w:rPr>
            <w:fldChar w:fldCharType="separate"/>
          </w:r>
          <w:r w:rsidR="00E83F6E" w:rsidRPr="00E83F6E">
            <w:rPr>
              <w:noProof/>
              <w:color w:val="auto"/>
            </w:rPr>
            <w:t>(Productivity Commission, 2018a)</w:t>
          </w:r>
          <w:r w:rsidRPr="00027624">
            <w:rPr>
              <w:i w:val="0"/>
              <w:color w:val="auto"/>
            </w:rPr>
            <w:fldChar w:fldCharType="end"/>
          </w:r>
        </w:sdtContent>
      </w:sdt>
      <w:r w:rsidRPr="00027624">
        <w:rPr>
          <w:i w:val="0"/>
          <w:color w:val="auto"/>
        </w:rPr>
        <w:t>.</w:t>
      </w:r>
    </w:p>
    <w:p w14:paraId="7079C46D" w14:textId="77777777" w:rsidR="00E96B29" w:rsidRPr="00027624" w:rsidRDefault="00E96B29" w:rsidP="00E96B29">
      <w:pPr>
        <w:pStyle w:val="ChartMainHeading"/>
      </w:pPr>
      <w:bookmarkStart w:id="4267" w:name="_Ref40348256"/>
      <w:r w:rsidRPr="00027624">
        <w:t>Asset allocation in pre</w:t>
      </w:r>
      <w:r w:rsidR="00A8443E" w:rsidRPr="00027624">
        <w:noBreakHyphen/>
      </w:r>
      <w:r w:rsidRPr="00027624">
        <w:t>retirement and retirement phases</w:t>
      </w:r>
      <w:bookmarkEnd w:id="4267"/>
    </w:p>
    <w:tbl>
      <w:tblPr>
        <w:tblW w:w="5000" w:type="pct"/>
        <w:tblLook w:val="01E0" w:firstRow="1" w:lastRow="1" w:firstColumn="1" w:lastColumn="1" w:noHBand="0" w:noVBand="0"/>
      </w:tblPr>
      <w:tblGrid>
        <w:gridCol w:w="4535"/>
        <w:gridCol w:w="4535"/>
      </w:tblGrid>
      <w:tr w:rsidR="00E96B29" w:rsidRPr="00027624" w14:paraId="374951DB" w14:textId="77777777" w:rsidTr="00E96B29">
        <w:trPr>
          <w:tblHeader/>
        </w:trPr>
        <w:tc>
          <w:tcPr>
            <w:tcW w:w="2500" w:type="pct"/>
            <w:shd w:val="clear" w:color="auto" w:fill="auto"/>
          </w:tcPr>
          <w:p w14:paraId="0A716B75" w14:textId="77777777" w:rsidR="00E96B29" w:rsidRPr="00027624" w:rsidRDefault="00E96B29" w:rsidP="00E96B29">
            <w:pPr>
              <w:pStyle w:val="ChartSecondHeading"/>
            </w:pPr>
            <w:r w:rsidRPr="00027624">
              <w:br w:type="page"/>
              <w:t>Pre</w:t>
            </w:r>
            <w:r w:rsidR="00A8443E" w:rsidRPr="00027624">
              <w:noBreakHyphen/>
            </w:r>
            <w:r w:rsidRPr="00027624">
              <w:t>retirement phase</w:t>
            </w:r>
          </w:p>
        </w:tc>
        <w:tc>
          <w:tcPr>
            <w:tcW w:w="2500" w:type="pct"/>
            <w:shd w:val="clear" w:color="auto" w:fill="auto"/>
          </w:tcPr>
          <w:p w14:paraId="3C3423AC" w14:textId="77777777" w:rsidR="00E96B29" w:rsidRPr="00027624" w:rsidRDefault="00E96B29" w:rsidP="00E96B29">
            <w:pPr>
              <w:pStyle w:val="ChartSecondHeading"/>
            </w:pPr>
            <w:r w:rsidRPr="00027624">
              <w:t>Retirement phase</w:t>
            </w:r>
          </w:p>
        </w:tc>
      </w:tr>
      <w:tr w:rsidR="00E96B29" w:rsidRPr="00027624" w14:paraId="37BB3206" w14:textId="77777777" w:rsidTr="00E96B29">
        <w:tc>
          <w:tcPr>
            <w:tcW w:w="5000" w:type="pct"/>
            <w:gridSpan w:val="2"/>
            <w:shd w:val="clear" w:color="auto" w:fill="auto"/>
          </w:tcPr>
          <w:p w14:paraId="12D60645" w14:textId="77777777" w:rsidR="00E96B29" w:rsidRPr="00027624" w:rsidRDefault="00CB5FBF" w:rsidP="00DE6C9E">
            <w:pPr>
              <w:pStyle w:val="ChartGraphic"/>
            </w:pPr>
            <w:r>
              <w:rPr>
                <w:noProof/>
              </w:rPr>
              <w:drawing>
                <wp:inline distT="0" distB="0" distL="0" distR="0" wp14:anchorId="07DA068E" wp14:editId="523A2F6E">
                  <wp:extent cx="5505450" cy="2296489"/>
                  <wp:effectExtent l="0" t="0" r="0" b="8890"/>
                  <wp:docPr id="141855621" name="Picture 141855621" descr="These charts show that pre-retirement, 74 per cent of superannuation balances are allocated to growth assets, with the remaining 26 per cent in defensive assets. Post-retirement, 58 per cent of superannuation balances are allocated to growth assets, and 42 per cent to defensive assets." title="Chart 6A-23 Asset allocation in pre-retirement and retirement ph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559467" cy="2319021"/>
                          </a:xfrm>
                          <a:prstGeom prst="rect">
                            <a:avLst/>
                          </a:prstGeom>
                          <a:noFill/>
                        </pic:spPr>
                      </pic:pic>
                    </a:graphicData>
                  </a:graphic>
                </wp:inline>
              </w:drawing>
            </w:r>
          </w:p>
        </w:tc>
      </w:tr>
    </w:tbl>
    <w:p w14:paraId="237AE96C" w14:textId="4F27F998" w:rsidR="00E96B29" w:rsidRPr="00027624" w:rsidRDefault="00E96B29" w:rsidP="00DE6C9E">
      <w:pPr>
        <w:pStyle w:val="ChartorTableNote"/>
      </w:pPr>
      <w:r w:rsidRPr="00027624">
        <w:t xml:space="preserve">Note: Based on asset allocation in 2017. See note to </w:t>
      </w:r>
      <w:r w:rsidRPr="00027624">
        <w:fldChar w:fldCharType="begin"/>
      </w:r>
      <w:r w:rsidRPr="00027624">
        <w:instrText xml:space="preserve"> REF _Ref43748509 \r \h  \* MERGEFORMAT </w:instrText>
      </w:r>
      <w:r w:rsidRPr="00027624">
        <w:fldChar w:fldCharType="separate"/>
      </w:r>
      <w:r w:rsidR="00891058">
        <w:t>Table 6A-8</w:t>
      </w:r>
      <w:r w:rsidRPr="00027624">
        <w:fldChar w:fldCharType="end"/>
      </w:r>
      <w:r w:rsidRPr="00027624">
        <w:t xml:space="preserve"> for more. </w:t>
      </w:r>
      <w:r w:rsidR="00A8443E" w:rsidRPr="00027624">
        <w:t>‘</w:t>
      </w:r>
      <w:r w:rsidRPr="00027624">
        <w:t>Other</w:t>
      </w:r>
      <w:r w:rsidR="00A8443E" w:rsidRPr="00027624">
        <w:t>’</w:t>
      </w:r>
      <w:r w:rsidRPr="00027624">
        <w:t xml:space="preserve"> incorporated as 50/50 growth and defensive assets. Source: Analysis of </w:t>
      </w:r>
      <w:sdt>
        <w:sdtPr>
          <w:id w:val="692811664"/>
          <w:citation/>
        </w:sdtPr>
        <w:sdtEndPr/>
        <w:sdtContent>
          <w:r w:rsidRPr="00027624">
            <w:fldChar w:fldCharType="begin"/>
          </w:r>
          <w:r w:rsidRPr="00027624">
            <w:instrText xml:space="preserve"> CITATION Pro18 \l 3081 </w:instrText>
          </w:r>
          <w:r w:rsidRPr="00027624">
            <w:fldChar w:fldCharType="separate"/>
          </w:r>
          <w:r w:rsidR="00E83F6E">
            <w:rPr>
              <w:noProof/>
            </w:rPr>
            <w:t>(Productivity Commission, 2018a)</w:t>
          </w:r>
          <w:r w:rsidRPr="00027624">
            <w:fldChar w:fldCharType="end"/>
          </w:r>
        </w:sdtContent>
      </w:sdt>
      <w:r w:rsidRPr="00027624">
        <w:t>.</w:t>
      </w:r>
    </w:p>
    <w:p w14:paraId="3D599486" w14:textId="192C03A3" w:rsidR="00E96B29" w:rsidRPr="00027624" w:rsidRDefault="00E96B29" w:rsidP="00E96B29">
      <w:r w:rsidRPr="00027624">
        <w:t>The investment return assumptions in cameo modelling are broadly in line with other targets for both typical pre</w:t>
      </w:r>
      <w:r w:rsidR="00A8443E" w:rsidRPr="00027624">
        <w:noBreakHyphen/>
      </w:r>
      <w:r w:rsidRPr="00027624">
        <w:t>retirement and retirement phase portfolios (</w:t>
      </w:r>
      <w:r w:rsidRPr="00027624">
        <w:fldChar w:fldCharType="begin"/>
      </w:r>
      <w:r w:rsidRPr="00027624">
        <w:instrText xml:space="preserve"> REF _Ref39261477 \r \h  \* MERGEFORMAT </w:instrText>
      </w:r>
      <w:r w:rsidRPr="00027624">
        <w:fldChar w:fldCharType="separate"/>
      </w:r>
      <w:r w:rsidR="00891058">
        <w:t>Table 6A-9</w:t>
      </w:r>
      <w:r w:rsidRPr="00027624">
        <w:fldChar w:fldCharType="end"/>
      </w:r>
      <w:r w:rsidRPr="00027624">
        <w:t xml:space="preserve"> and </w:t>
      </w:r>
      <w:r w:rsidRPr="00027624">
        <w:fldChar w:fldCharType="begin"/>
      </w:r>
      <w:r w:rsidRPr="00027624">
        <w:instrText xml:space="preserve"> REF _Ref39261478 \r \h  \* MERGEFORMAT </w:instrText>
      </w:r>
      <w:r w:rsidRPr="00027624">
        <w:fldChar w:fldCharType="separate"/>
      </w:r>
      <w:r w:rsidR="00891058">
        <w:t>Table 6A-10</w:t>
      </w:r>
      <w:r w:rsidRPr="00027624">
        <w:fldChar w:fldCharType="end"/>
      </w:r>
      <w:r w:rsidRPr="00027624">
        <w:t>).</w:t>
      </w:r>
    </w:p>
    <w:p w14:paraId="30A3ACAD" w14:textId="77777777" w:rsidR="00E96B29" w:rsidRPr="00027624" w:rsidRDefault="00E96B29" w:rsidP="00E96B29">
      <w:pPr>
        <w:pStyle w:val="TableMainHeading"/>
      </w:pPr>
      <w:bookmarkStart w:id="4268" w:name="_Ref39261477"/>
      <w:r w:rsidRPr="00027624">
        <w:t>Pre</w:t>
      </w:r>
      <w:r w:rsidR="00A8443E" w:rsidRPr="00027624">
        <w:noBreakHyphen/>
      </w:r>
      <w:r w:rsidRPr="00027624">
        <w:t>retirement phase/growth portfolio investment returns</w:t>
      </w:r>
      <w:bookmarkEnd w:id="4268"/>
    </w:p>
    <w:tbl>
      <w:tblPr>
        <w:tblW w:w="5000" w:type="pct"/>
        <w:tblLook w:val="01E0" w:firstRow="1" w:lastRow="1" w:firstColumn="1" w:lastColumn="1" w:noHBand="0" w:noVBand="0"/>
      </w:tblPr>
      <w:tblGrid>
        <w:gridCol w:w="3024"/>
        <w:gridCol w:w="3024"/>
        <w:gridCol w:w="3022"/>
      </w:tblGrid>
      <w:tr w:rsidR="00E96B29" w:rsidRPr="00027624" w14:paraId="38EAF180" w14:textId="77777777" w:rsidTr="00E96B29">
        <w:trPr>
          <w:tblHeader/>
        </w:trPr>
        <w:tc>
          <w:tcPr>
            <w:tcW w:w="1667" w:type="pct"/>
            <w:shd w:val="clear" w:color="auto" w:fill="E5E5E5"/>
          </w:tcPr>
          <w:p w14:paraId="12243414" w14:textId="77777777" w:rsidR="00E96B29" w:rsidRPr="00027624" w:rsidRDefault="00E96B29" w:rsidP="00E96B29">
            <w:pPr>
              <w:pStyle w:val="ChartSecondHeading"/>
              <w:jc w:val="left"/>
              <w:rPr>
                <w:b w:val="0"/>
              </w:rPr>
            </w:pPr>
            <w:r w:rsidRPr="00027624">
              <w:br w:type="page"/>
              <w:t>Organisation</w:t>
            </w:r>
          </w:p>
        </w:tc>
        <w:tc>
          <w:tcPr>
            <w:tcW w:w="1667" w:type="pct"/>
            <w:shd w:val="clear" w:color="auto" w:fill="E5E5E5"/>
          </w:tcPr>
          <w:p w14:paraId="11EEA4D5" w14:textId="77777777" w:rsidR="00E96B29" w:rsidRPr="00027624" w:rsidRDefault="00E96B29" w:rsidP="00E96B29">
            <w:pPr>
              <w:pStyle w:val="ChartSecondHeading"/>
              <w:rPr>
                <w:b w:val="0"/>
              </w:rPr>
            </w:pPr>
            <w:r w:rsidRPr="00027624">
              <w:t>Gross investment return (per cent)</w:t>
            </w:r>
          </w:p>
        </w:tc>
        <w:tc>
          <w:tcPr>
            <w:tcW w:w="1666" w:type="pct"/>
            <w:shd w:val="clear" w:color="auto" w:fill="E5E5E5"/>
          </w:tcPr>
          <w:p w14:paraId="0B363063" w14:textId="77777777" w:rsidR="00E96B29" w:rsidRPr="00027624" w:rsidRDefault="00E96B29" w:rsidP="00E96B29">
            <w:pPr>
              <w:pStyle w:val="ChartSecondHeading"/>
              <w:rPr>
                <w:b w:val="0"/>
              </w:rPr>
            </w:pPr>
            <w:r w:rsidRPr="00027624">
              <w:t>Net investment return (per cent)</w:t>
            </w:r>
          </w:p>
        </w:tc>
      </w:tr>
      <w:tr w:rsidR="00E96B29" w:rsidRPr="00027624" w14:paraId="628D3DD6" w14:textId="77777777" w:rsidTr="00E96B29">
        <w:tc>
          <w:tcPr>
            <w:tcW w:w="1667" w:type="pct"/>
          </w:tcPr>
          <w:p w14:paraId="283F836F" w14:textId="77777777" w:rsidR="00E96B29" w:rsidRPr="00027624" w:rsidRDefault="00E96B29" w:rsidP="00E96B29">
            <w:pPr>
              <w:pStyle w:val="TableTextLeft"/>
            </w:pPr>
            <w:r w:rsidRPr="00027624">
              <w:t>Review assumption</w:t>
            </w:r>
          </w:p>
        </w:tc>
        <w:tc>
          <w:tcPr>
            <w:tcW w:w="1667" w:type="pct"/>
          </w:tcPr>
          <w:p w14:paraId="27A1FB30" w14:textId="77777777" w:rsidR="00E96B29" w:rsidRPr="00027624" w:rsidRDefault="00E96B29" w:rsidP="00E96B29">
            <w:pPr>
              <w:pStyle w:val="TableTextCentered"/>
            </w:pPr>
            <w:r w:rsidRPr="00027624">
              <w:t>7.5</w:t>
            </w:r>
          </w:p>
        </w:tc>
        <w:tc>
          <w:tcPr>
            <w:tcW w:w="1666" w:type="pct"/>
          </w:tcPr>
          <w:p w14:paraId="0C2E2D51" w14:textId="77777777" w:rsidR="00E96B29" w:rsidRPr="00027624" w:rsidRDefault="00E96B29" w:rsidP="00E96B29">
            <w:pPr>
              <w:pStyle w:val="TableTextCentered"/>
            </w:pPr>
            <w:r w:rsidRPr="00027624">
              <w:t>6.0ⁱ</w:t>
            </w:r>
          </w:p>
        </w:tc>
      </w:tr>
      <w:tr w:rsidR="00E96B29" w:rsidRPr="00027624" w14:paraId="4D1AD5EC" w14:textId="77777777" w:rsidTr="00E96B29">
        <w:tc>
          <w:tcPr>
            <w:tcW w:w="1667" w:type="pct"/>
          </w:tcPr>
          <w:p w14:paraId="5F8A2A89" w14:textId="77777777" w:rsidR="00E96B29" w:rsidRPr="00027624" w:rsidRDefault="00E96B29" w:rsidP="00E96B29">
            <w:pPr>
              <w:pStyle w:val="TableTextLeft"/>
            </w:pPr>
            <w:r w:rsidRPr="00027624">
              <w:t>MARIA (Treasury 2019) assumption</w:t>
            </w:r>
          </w:p>
        </w:tc>
        <w:tc>
          <w:tcPr>
            <w:tcW w:w="1667" w:type="pct"/>
          </w:tcPr>
          <w:p w14:paraId="528EA3E8" w14:textId="77777777" w:rsidR="00E96B29" w:rsidRPr="00027624" w:rsidRDefault="00E96B29" w:rsidP="00E96B29">
            <w:pPr>
              <w:pStyle w:val="TableTextCentered"/>
            </w:pPr>
            <w:r w:rsidRPr="00027624">
              <w:t>7.5</w:t>
            </w:r>
          </w:p>
        </w:tc>
        <w:tc>
          <w:tcPr>
            <w:tcW w:w="1666" w:type="pct"/>
          </w:tcPr>
          <w:p w14:paraId="4532E8D4" w14:textId="77777777" w:rsidR="00E96B29" w:rsidRPr="00027624" w:rsidRDefault="00E96B29" w:rsidP="00E96B29">
            <w:pPr>
              <w:pStyle w:val="TableTextCentered"/>
            </w:pPr>
          </w:p>
        </w:tc>
      </w:tr>
      <w:tr w:rsidR="00E96B29" w:rsidRPr="00027624" w14:paraId="5D0EC319" w14:textId="77777777" w:rsidTr="00E96B29">
        <w:tc>
          <w:tcPr>
            <w:tcW w:w="1667" w:type="pct"/>
          </w:tcPr>
          <w:p w14:paraId="198D8E76" w14:textId="77777777" w:rsidR="00E96B29" w:rsidRPr="00027624" w:rsidRDefault="00E96B29" w:rsidP="00E96B29">
            <w:pPr>
              <w:pStyle w:val="TableTextLeft"/>
            </w:pPr>
            <w:r w:rsidRPr="00027624">
              <w:t>Rice Warner Australian shares (gross of imputation credits) assumption</w:t>
            </w:r>
          </w:p>
        </w:tc>
        <w:tc>
          <w:tcPr>
            <w:tcW w:w="1667" w:type="pct"/>
          </w:tcPr>
          <w:p w14:paraId="669F0288" w14:textId="77777777" w:rsidR="00E96B29" w:rsidRPr="00027624" w:rsidRDefault="00E96B29" w:rsidP="00E96B29">
            <w:pPr>
              <w:pStyle w:val="TableTextCentered"/>
            </w:pPr>
            <w:r w:rsidRPr="00027624">
              <w:t>7.9</w:t>
            </w:r>
          </w:p>
        </w:tc>
        <w:tc>
          <w:tcPr>
            <w:tcW w:w="1666" w:type="pct"/>
          </w:tcPr>
          <w:p w14:paraId="7D31080D" w14:textId="77777777" w:rsidR="00E96B29" w:rsidRPr="00027624" w:rsidRDefault="00A8443E" w:rsidP="00E96B29">
            <w:pPr>
              <w:pStyle w:val="TableTextCentered"/>
            </w:pPr>
            <w:r w:rsidRPr="00027624">
              <w:noBreakHyphen/>
            </w:r>
          </w:p>
        </w:tc>
      </w:tr>
      <w:tr w:rsidR="00E96B29" w:rsidRPr="00027624" w14:paraId="672B2E0C" w14:textId="77777777" w:rsidTr="00E96B29">
        <w:tc>
          <w:tcPr>
            <w:tcW w:w="1667" w:type="pct"/>
          </w:tcPr>
          <w:p w14:paraId="1A5F70F9" w14:textId="77777777" w:rsidR="00E96B29" w:rsidRPr="00027624" w:rsidRDefault="00E96B29" w:rsidP="00E96B29">
            <w:pPr>
              <w:pStyle w:val="TableTextLeft"/>
            </w:pPr>
            <w:r w:rsidRPr="00027624">
              <w:t>Rice Warner international shares assumption</w:t>
            </w:r>
          </w:p>
        </w:tc>
        <w:tc>
          <w:tcPr>
            <w:tcW w:w="1667" w:type="pct"/>
          </w:tcPr>
          <w:p w14:paraId="5A7DC098" w14:textId="77777777" w:rsidR="00E96B29" w:rsidRPr="00027624" w:rsidRDefault="00E96B29" w:rsidP="00E96B29">
            <w:pPr>
              <w:pStyle w:val="TableTextCentered"/>
            </w:pPr>
            <w:r w:rsidRPr="00027624">
              <w:t>7.5</w:t>
            </w:r>
          </w:p>
        </w:tc>
        <w:tc>
          <w:tcPr>
            <w:tcW w:w="1666" w:type="pct"/>
          </w:tcPr>
          <w:p w14:paraId="255273A4" w14:textId="77777777" w:rsidR="00E96B29" w:rsidRPr="00027624" w:rsidRDefault="00A8443E" w:rsidP="00E96B29">
            <w:pPr>
              <w:pStyle w:val="TableTextCentered"/>
            </w:pPr>
            <w:r w:rsidRPr="00027624">
              <w:noBreakHyphen/>
            </w:r>
          </w:p>
        </w:tc>
      </w:tr>
      <w:tr w:rsidR="00E96B29" w:rsidRPr="00027624" w14:paraId="5429A4B0" w14:textId="77777777" w:rsidTr="00E96B29">
        <w:tc>
          <w:tcPr>
            <w:tcW w:w="1667" w:type="pct"/>
          </w:tcPr>
          <w:p w14:paraId="7E926988" w14:textId="77777777" w:rsidR="00E96B29" w:rsidRPr="00027624" w:rsidRDefault="00E96B29" w:rsidP="00E96B29">
            <w:pPr>
              <w:pStyle w:val="TableTextLeft"/>
            </w:pPr>
            <w:r w:rsidRPr="00027624">
              <w:t>Chant West growth fund 5</w:t>
            </w:r>
            <w:r w:rsidR="00A8443E" w:rsidRPr="00027624">
              <w:noBreakHyphen/>
            </w:r>
            <w:r w:rsidRPr="00027624">
              <w:t>year past performance</w:t>
            </w:r>
          </w:p>
        </w:tc>
        <w:tc>
          <w:tcPr>
            <w:tcW w:w="1667" w:type="pct"/>
          </w:tcPr>
          <w:p w14:paraId="51E78B2E" w14:textId="77777777" w:rsidR="00E96B29" w:rsidRPr="00027624" w:rsidRDefault="00A8443E" w:rsidP="00E96B29">
            <w:pPr>
              <w:pStyle w:val="TableTextCentered"/>
            </w:pPr>
            <w:r w:rsidRPr="00027624">
              <w:noBreakHyphen/>
            </w:r>
          </w:p>
        </w:tc>
        <w:tc>
          <w:tcPr>
            <w:tcW w:w="1666" w:type="pct"/>
          </w:tcPr>
          <w:p w14:paraId="3AD33875" w14:textId="77777777" w:rsidR="00E96B29" w:rsidRPr="00027624" w:rsidRDefault="00E96B29" w:rsidP="00E96B29">
            <w:pPr>
              <w:pStyle w:val="TableTextCentered"/>
            </w:pPr>
            <w:r w:rsidRPr="00027624">
              <w:t>8.0ⁱⁱ</w:t>
            </w:r>
          </w:p>
        </w:tc>
      </w:tr>
      <w:tr w:rsidR="00E96B29" w:rsidRPr="00027624" w14:paraId="5BCBB6FA" w14:textId="77777777" w:rsidTr="00E96B29">
        <w:tc>
          <w:tcPr>
            <w:tcW w:w="1667" w:type="pct"/>
          </w:tcPr>
          <w:p w14:paraId="5C9FD904" w14:textId="77777777" w:rsidR="00E96B29" w:rsidRPr="00027624" w:rsidRDefault="00E96B29" w:rsidP="00E96B29">
            <w:pPr>
              <w:pStyle w:val="TableTextLeft"/>
            </w:pPr>
            <w:r w:rsidRPr="00027624">
              <w:t>Chant West growth fund 10</w:t>
            </w:r>
            <w:r w:rsidR="00A8443E" w:rsidRPr="00027624">
              <w:noBreakHyphen/>
            </w:r>
            <w:r w:rsidRPr="00027624">
              <w:t>year past performance</w:t>
            </w:r>
          </w:p>
        </w:tc>
        <w:tc>
          <w:tcPr>
            <w:tcW w:w="1667" w:type="pct"/>
          </w:tcPr>
          <w:p w14:paraId="7B554990" w14:textId="77777777" w:rsidR="00E96B29" w:rsidRPr="00027624" w:rsidRDefault="00A8443E" w:rsidP="00E96B29">
            <w:pPr>
              <w:pStyle w:val="TableTextCentered"/>
            </w:pPr>
            <w:r w:rsidRPr="00027624">
              <w:noBreakHyphen/>
            </w:r>
          </w:p>
        </w:tc>
        <w:tc>
          <w:tcPr>
            <w:tcW w:w="1666" w:type="pct"/>
          </w:tcPr>
          <w:p w14:paraId="11F414B9" w14:textId="77777777" w:rsidR="00E96B29" w:rsidRPr="00027624" w:rsidRDefault="00E96B29" w:rsidP="00E96B29">
            <w:pPr>
              <w:pStyle w:val="TableTextCentered"/>
            </w:pPr>
            <w:r w:rsidRPr="00027624">
              <w:t xml:space="preserve">7.9ⁱⁱ </w:t>
            </w:r>
          </w:p>
        </w:tc>
      </w:tr>
      <w:tr w:rsidR="00E96B29" w:rsidRPr="00027624" w14:paraId="07DCA191" w14:textId="77777777" w:rsidTr="00E96B29">
        <w:tc>
          <w:tcPr>
            <w:tcW w:w="1667" w:type="pct"/>
          </w:tcPr>
          <w:p w14:paraId="31377062" w14:textId="77777777" w:rsidR="00E96B29" w:rsidRPr="00027624" w:rsidRDefault="00E96B29" w:rsidP="00E96B29">
            <w:pPr>
              <w:pStyle w:val="TableTextLeft"/>
            </w:pPr>
            <w:r w:rsidRPr="00027624">
              <w:t>Chant West growth fund 15</w:t>
            </w:r>
            <w:r w:rsidR="00A8443E" w:rsidRPr="00027624">
              <w:noBreakHyphen/>
            </w:r>
            <w:r w:rsidRPr="00027624">
              <w:t>year past performance</w:t>
            </w:r>
          </w:p>
        </w:tc>
        <w:tc>
          <w:tcPr>
            <w:tcW w:w="1667" w:type="pct"/>
          </w:tcPr>
          <w:p w14:paraId="36DF3818" w14:textId="77777777" w:rsidR="00E96B29" w:rsidRPr="00027624" w:rsidRDefault="00A8443E" w:rsidP="00E96B29">
            <w:pPr>
              <w:pStyle w:val="TableTextCentered"/>
            </w:pPr>
            <w:r w:rsidRPr="00027624">
              <w:noBreakHyphen/>
            </w:r>
          </w:p>
        </w:tc>
        <w:tc>
          <w:tcPr>
            <w:tcW w:w="1666" w:type="pct"/>
          </w:tcPr>
          <w:p w14:paraId="2C77B80D" w14:textId="77777777" w:rsidR="00E96B29" w:rsidRPr="00027624" w:rsidRDefault="00E96B29" w:rsidP="00E96B29">
            <w:pPr>
              <w:pStyle w:val="TableTextCentered"/>
            </w:pPr>
            <w:r w:rsidRPr="00027624">
              <w:t>7.0ⁱⁱ</w:t>
            </w:r>
          </w:p>
        </w:tc>
      </w:tr>
      <w:tr w:rsidR="00E96B29" w:rsidRPr="00027624" w14:paraId="228AF181" w14:textId="77777777" w:rsidTr="00E96B29">
        <w:tc>
          <w:tcPr>
            <w:tcW w:w="1667" w:type="pct"/>
          </w:tcPr>
          <w:p w14:paraId="362EFF29" w14:textId="77777777" w:rsidR="00E96B29" w:rsidRPr="00027624" w:rsidRDefault="00E96B29" w:rsidP="00E96B29">
            <w:pPr>
              <w:pStyle w:val="TableTextLeft"/>
            </w:pPr>
            <w:r w:rsidRPr="00027624">
              <w:t>Chant West growth fund target</w:t>
            </w:r>
          </w:p>
        </w:tc>
        <w:tc>
          <w:tcPr>
            <w:tcW w:w="1667" w:type="pct"/>
          </w:tcPr>
          <w:p w14:paraId="43FF864F" w14:textId="77777777" w:rsidR="00E96B29" w:rsidRPr="00027624" w:rsidRDefault="00A8443E" w:rsidP="00E96B29">
            <w:pPr>
              <w:pStyle w:val="TableTextCentered"/>
            </w:pPr>
            <w:r w:rsidRPr="00027624">
              <w:noBreakHyphen/>
            </w:r>
          </w:p>
        </w:tc>
        <w:tc>
          <w:tcPr>
            <w:tcW w:w="1666" w:type="pct"/>
          </w:tcPr>
          <w:p w14:paraId="3CD06A4D" w14:textId="77777777" w:rsidR="00E96B29" w:rsidRPr="00027624" w:rsidRDefault="00E96B29" w:rsidP="00E96B29">
            <w:pPr>
              <w:pStyle w:val="TableTextCentered"/>
            </w:pPr>
            <w:r w:rsidRPr="00027624">
              <w:t>6.0ⁱⁱ</w:t>
            </w:r>
          </w:p>
        </w:tc>
      </w:tr>
      <w:tr w:rsidR="00E96B29" w:rsidRPr="00027624" w14:paraId="6233DB12" w14:textId="77777777" w:rsidTr="00E96B29">
        <w:tc>
          <w:tcPr>
            <w:tcW w:w="1667" w:type="pct"/>
          </w:tcPr>
          <w:p w14:paraId="475F9A0F" w14:textId="77777777" w:rsidR="00E96B29" w:rsidRPr="00027624" w:rsidRDefault="00E96B29" w:rsidP="00E96B29">
            <w:pPr>
              <w:pStyle w:val="TableTextLeft"/>
            </w:pPr>
            <w:r w:rsidRPr="00027624">
              <w:t>Future Fund target</w:t>
            </w:r>
          </w:p>
        </w:tc>
        <w:tc>
          <w:tcPr>
            <w:tcW w:w="1667" w:type="pct"/>
          </w:tcPr>
          <w:p w14:paraId="39A61421" w14:textId="77777777" w:rsidR="00E96B29" w:rsidRPr="00027624" w:rsidRDefault="00A8443E" w:rsidP="00E96B29">
            <w:pPr>
              <w:pStyle w:val="TableTextCentered"/>
            </w:pPr>
            <w:r w:rsidRPr="00027624">
              <w:noBreakHyphen/>
            </w:r>
          </w:p>
        </w:tc>
        <w:tc>
          <w:tcPr>
            <w:tcW w:w="1666" w:type="pct"/>
          </w:tcPr>
          <w:p w14:paraId="335F184C" w14:textId="77777777" w:rsidR="00E96B29" w:rsidRPr="00027624" w:rsidRDefault="00E96B29" w:rsidP="00E96B29">
            <w:pPr>
              <w:pStyle w:val="TableTextCentered"/>
            </w:pPr>
            <w:r w:rsidRPr="00027624">
              <w:t>6.5</w:t>
            </w:r>
            <w:r w:rsidR="00A8443E" w:rsidRPr="00027624">
              <w:noBreakHyphen/>
            </w:r>
            <w:r w:rsidRPr="00027624">
              <w:t>7.5</w:t>
            </w:r>
          </w:p>
        </w:tc>
      </w:tr>
      <w:tr w:rsidR="00E96B29" w:rsidRPr="00027624" w14:paraId="473BB492" w14:textId="77777777" w:rsidTr="00E96B29">
        <w:tc>
          <w:tcPr>
            <w:tcW w:w="1667" w:type="pct"/>
          </w:tcPr>
          <w:p w14:paraId="7A683BF8" w14:textId="77777777" w:rsidR="00E96B29" w:rsidRPr="00027624" w:rsidRDefault="00E96B29" w:rsidP="00E96B29">
            <w:pPr>
              <w:pStyle w:val="TableTextLeft"/>
            </w:pPr>
            <w:r w:rsidRPr="00027624">
              <w:t>Grattan Institute assumption</w:t>
            </w:r>
          </w:p>
        </w:tc>
        <w:tc>
          <w:tcPr>
            <w:tcW w:w="1667" w:type="pct"/>
          </w:tcPr>
          <w:p w14:paraId="0BD191A8" w14:textId="77777777" w:rsidR="00E96B29" w:rsidRPr="00027624" w:rsidRDefault="00E96B29" w:rsidP="00E96B29">
            <w:pPr>
              <w:pStyle w:val="TableTextCentered"/>
            </w:pPr>
            <w:r w:rsidRPr="00027624">
              <w:t>7.5</w:t>
            </w:r>
          </w:p>
        </w:tc>
        <w:tc>
          <w:tcPr>
            <w:tcW w:w="1666" w:type="pct"/>
          </w:tcPr>
          <w:p w14:paraId="01CD978D" w14:textId="77777777" w:rsidR="00E96B29" w:rsidRPr="00027624" w:rsidRDefault="00A8443E" w:rsidP="00E96B29">
            <w:pPr>
              <w:pStyle w:val="TableTextCentered"/>
            </w:pPr>
            <w:r w:rsidRPr="00027624">
              <w:noBreakHyphen/>
            </w:r>
          </w:p>
        </w:tc>
      </w:tr>
      <w:tr w:rsidR="00E96B29" w:rsidRPr="00027624" w14:paraId="50E77041" w14:textId="77777777" w:rsidTr="00E96B29">
        <w:tc>
          <w:tcPr>
            <w:tcW w:w="1667" w:type="pct"/>
          </w:tcPr>
          <w:p w14:paraId="588B0F4B" w14:textId="77777777" w:rsidR="00E96B29" w:rsidRPr="00027624" w:rsidRDefault="00E96B29" w:rsidP="00E96B29">
            <w:pPr>
              <w:pStyle w:val="TableTextLeft"/>
            </w:pPr>
            <w:r w:rsidRPr="00027624">
              <w:t>Mercer assumption</w:t>
            </w:r>
          </w:p>
        </w:tc>
        <w:tc>
          <w:tcPr>
            <w:tcW w:w="1667" w:type="pct"/>
          </w:tcPr>
          <w:p w14:paraId="69D6A150" w14:textId="77777777" w:rsidR="00E96B29" w:rsidRPr="00027624" w:rsidRDefault="00A8443E" w:rsidP="00E96B29">
            <w:pPr>
              <w:pStyle w:val="TableTextCentered"/>
            </w:pPr>
            <w:r w:rsidRPr="00027624">
              <w:noBreakHyphen/>
            </w:r>
          </w:p>
        </w:tc>
        <w:tc>
          <w:tcPr>
            <w:tcW w:w="1666" w:type="pct"/>
          </w:tcPr>
          <w:p w14:paraId="69F75792" w14:textId="77777777" w:rsidR="00E96B29" w:rsidRPr="00027624" w:rsidRDefault="00E96B29" w:rsidP="00E96B29">
            <w:pPr>
              <w:pStyle w:val="TableTextCentered"/>
            </w:pPr>
            <w:r w:rsidRPr="00027624">
              <w:t>6.5</w:t>
            </w:r>
          </w:p>
        </w:tc>
      </w:tr>
    </w:tbl>
    <w:p w14:paraId="59CA3CE3" w14:textId="217256E8" w:rsidR="00E96B29" w:rsidRPr="00027624" w:rsidRDefault="00E96B29" w:rsidP="00E96B29">
      <w:pPr>
        <w:pStyle w:val="Caption"/>
        <w:spacing w:after="240"/>
        <w:rPr>
          <w:i w:val="0"/>
          <w:color w:val="auto"/>
        </w:rPr>
      </w:pPr>
      <w:r w:rsidRPr="00027624">
        <w:rPr>
          <w:i w:val="0"/>
          <w:iCs w:val="0"/>
          <w:color w:val="auto"/>
        </w:rPr>
        <w:t>Note</w:t>
      </w:r>
      <w:r w:rsidRPr="00027624">
        <w:rPr>
          <w:i w:val="0"/>
          <w:color w:val="auto"/>
        </w:rPr>
        <w:t xml:space="preserve">: All returns are nominal. Gross investment returns are provided before fees and taxes. Net investment returns are provided after fees and taxes. </w:t>
      </w:r>
      <w:r w:rsidRPr="00027624">
        <w:rPr>
          <w:i w:val="0"/>
          <w:iCs w:val="0"/>
          <w:color w:val="auto"/>
        </w:rPr>
        <w:t>Results assume CPI of 2.5 per cent, which is in the middle of the RBA</w:t>
      </w:r>
      <w:r w:rsidR="00A8443E" w:rsidRPr="00027624">
        <w:rPr>
          <w:i w:val="0"/>
          <w:iCs w:val="0"/>
          <w:color w:val="auto"/>
        </w:rPr>
        <w:t>’</w:t>
      </w:r>
      <w:r w:rsidRPr="00027624">
        <w:rPr>
          <w:i w:val="0"/>
          <w:iCs w:val="0"/>
          <w:color w:val="auto"/>
        </w:rPr>
        <w:t xml:space="preserve">s target. </w:t>
      </w:r>
      <w:r w:rsidRPr="00027624">
        <w:rPr>
          <w:i w:val="0"/>
          <w:color w:val="auto"/>
        </w:rPr>
        <w:t>Chant West growth fund and Future Fund targets are CPI plus 3.5 per cent and CPI plus 4 to 5 per cent, respectively. ⁱ Review net investment return assumes 0.85 per cent variable investment fee, 7 per cent effective tax rate and fixed investment and insurance fees of $74 and $214, respectively, both indexed to average weekly earnings.ⁱⁱ After investment fees and taxes, before administration fees and adviser commissions. Source: Treasury estimates for the review using MARIA</w:t>
      </w:r>
      <w:r w:rsidRPr="00027624" w:rsidDel="002265AE">
        <w:rPr>
          <w:i w:val="0"/>
          <w:color w:val="auto"/>
        </w:rPr>
        <w:t xml:space="preserve"> </w:t>
      </w:r>
      <w:r w:rsidRPr="00027624">
        <w:rPr>
          <w:i w:val="0"/>
          <w:color w:val="auto"/>
        </w:rPr>
        <w:t xml:space="preserve">(see </w:t>
      </w:r>
      <w:r w:rsidRPr="00027624">
        <w:rPr>
          <w:i w:val="0"/>
          <w:color w:val="auto"/>
        </w:rPr>
        <w:fldChar w:fldCharType="begin"/>
      </w:r>
      <w:r w:rsidRPr="00027624">
        <w:rPr>
          <w:i w:val="0"/>
          <w:color w:val="auto"/>
        </w:rPr>
        <w:instrText xml:space="preserve"> REF _Ref42619593 \h  \* MERGEFORMAT </w:instrText>
      </w:r>
      <w:r w:rsidRPr="00027624">
        <w:rPr>
          <w:i w:val="0"/>
          <w:color w:val="auto"/>
        </w:rPr>
      </w:r>
      <w:r w:rsidRPr="00027624">
        <w:rPr>
          <w:i w:val="0"/>
          <w:color w:val="auto"/>
        </w:rPr>
        <w:fldChar w:fldCharType="separate"/>
      </w:r>
      <w:r w:rsidR="00891058" w:rsidRPr="00891058">
        <w:rPr>
          <w:i w:val="0"/>
          <w:color w:val="auto"/>
        </w:rPr>
        <w:t>Model of Australian Retirement Incomes and Assets</w:t>
      </w:r>
      <w:r w:rsidRPr="00027624">
        <w:rPr>
          <w:i w:val="0"/>
          <w:color w:val="auto"/>
        </w:rPr>
        <w:fldChar w:fldCharType="end"/>
      </w:r>
      <w:r w:rsidRPr="00027624">
        <w:rPr>
          <w:i w:val="0"/>
          <w:color w:val="auto"/>
        </w:rPr>
        <w:t>), Rice Warner estimates for the review</w:t>
      </w:r>
      <w:r w:rsidRPr="00027624" w:rsidDel="002265AE">
        <w:rPr>
          <w:i w:val="0"/>
          <w:color w:val="auto"/>
        </w:rPr>
        <w:t xml:space="preserve"> </w:t>
      </w:r>
      <w:r w:rsidRPr="00027624">
        <w:rPr>
          <w:i w:val="0"/>
          <w:color w:val="auto"/>
        </w:rPr>
        <w:t xml:space="preserve">(see </w:t>
      </w:r>
      <w:r w:rsidR="006B5A75" w:rsidRPr="006B5A75">
        <w:rPr>
          <w:color w:val="auto"/>
        </w:rPr>
        <w:t>Superannuation, Pension and other Retirement OUTcomes</w:t>
      </w:r>
      <w:r w:rsidR="006B5A75">
        <w:rPr>
          <w:i w:val="0"/>
          <w:color w:val="auto"/>
        </w:rPr>
        <w:t>, below)</w:t>
      </w:r>
      <w:r w:rsidRPr="00027624">
        <w:rPr>
          <w:i w:val="0"/>
          <w:color w:val="auto"/>
        </w:rPr>
        <w:t xml:space="preserve"> </w:t>
      </w:r>
      <w:sdt>
        <w:sdtPr>
          <w:rPr>
            <w:i w:val="0"/>
            <w:color w:val="auto"/>
          </w:rPr>
          <w:id w:val="-987158766"/>
          <w:citation/>
        </w:sdtPr>
        <w:sdtEndPr/>
        <w:sdtContent>
          <w:r w:rsidRPr="00027624">
            <w:rPr>
              <w:i w:val="0"/>
              <w:color w:val="auto"/>
            </w:rPr>
            <w:fldChar w:fldCharType="begin"/>
          </w:r>
          <w:r w:rsidRPr="00027624">
            <w:rPr>
              <w:i w:val="0"/>
              <w:color w:val="auto"/>
            </w:rPr>
            <w:instrText xml:space="preserve"> CITATION Cha202 \l 3081 </w:instrText>
          </w:r>
          <w:r w:rsidRPr="00027624">
            <w:rPr>
              <w:i w:val="0"/>
              <w:color w:val="auto"/>
            </w:rPr>
            <w:fldChar w:fldCharType="separate"/>
          </w:r>
          <w:r w:rsidR="00E83F6E" w:rsidRPr="00E83F6E">
            <w:rPr>
              <w:noProof/>
              <w:color w:val="auto"/>
            </w:rPr>
            <w:t>(Chant West, 2020)</w:t>
          </w:r>
          <w:r w:rsidRPr="00027624">
            <w:rPr>
              <w:i w:val="0"/>
              <w:color w:val="auto"/>
            </w:rPr>
            <w:fldChar w:fldCharType="end"/>
          </w:r>
        </w:sdtContent>
      </w:sdt>
      <w:r w:rsidRPr="00027624">
        <w:rPr>
          <w:i w:val="0"/>
          <w:color w:val="auto"/>
        </w:rPr>
        <w:t>,</w:t>
      </w:r>
      <w:sdt>
        <w:sdtPr>
          <w:rPr>
            <w:i w:val="0"/>
            <w:color w:val="auto"/>
          </w:rPr>
          <w:id w:val="-1821268396"/>
          <w:citation/>
        </w:sdtPr>
        <w:sdtEndPr/>
        <w:sdtContent>
          <w:r w:rsidRPr="00027624">
            <w:rPr>
              <w:i w:val="0"/>
              <w:color w:val="auto"/>
            </w:rPr>
            <w:fldChar w:fldCharType="begin"/>
          </w:r>
          <w:r w:rsidRPr="00027624">
            <w:rPr>
              <w:i w:val="0"/>
              <w:color w:val="auto"/>
            </w:rPr>
            <w:instrText xml:space="preserve"> CITATION Gra20 \l 3081 </w:instrText>
          </w:r>
          <w:r w:rsidRPr="00027624">
            <w:rPr>
              <w:i w:val="0"/>
              <w:color w:val="auto"/>
            </w:rPr>
            <w:fldChar w:fldCharType="separate"/>
          </w:r>
          <w:r w:rsidR="00E83F6E">
            <w:rPr>
              <w:i w:val="0"/>
              <w:noProof/>
              <w:color w:val="auto"/>
            </w:rPr>
            <w:t xml:space="preserve"> </w:t>
          </w:r>
          <w:r w:rsidR="00E83F6E" w:rsidRPr="00E83F6E">
            <w:rPr>
              <w:noProof/>
              <w:color w:val="auto"/>
            </w:rPr>
            <w:t>(Grattan Institute, 2020)</w:t>
          </w:r>
          <w:r w:rsidRPr="00027624">
            <w:rPr>
              <w:i w:val="0"/>
              <w:color w:val="auto"/>
            </w:rPr>
            <w:fldChar w:fldCharType="end"/>
          </w:r>
        </w:sdtContent>
      </w:sdt>
      <w:r w:rsidRPr="00027624">
        <w:rPr>
          <w:i w:val="0"/>
          <w:color w:val="auto"/>
        </w:rPr>
        <w:t>,</w:t>
      </w:r>
      <w:sdt>
        <w:sdtPr>
          <w:rPr>
            <w:i w:val="0"/>
            <w:color w:val="auto"/>
          </w:rPr>
          <w:id w:val="674463188"/>
          <w:citation/>
        </w:sdtPr>
        <w:sdtEndPr/>
        <w:sdtContent>
          <w:r w:rsidRPr="00027624">
            <w:rPr>
              <w:i w:val="0"/>
              <w:color w:val="auto"/>
            </w:rPr>
            <w:fldChar w:fldCharType="begin"/>
          </w:r>
          <w:r w:rsidRPr="00027624">
            <w:rPr>
              <w:i w:val="0"/>
              <w:color w:val="auto"/>
            </w:rPr>
            <w:instrText xml:space="preserve"> CITATION Mer20 \l 3081 </w:instrText>
          </w:r>
          <w:r w:rsidRPr="00027624">
            <w:rPr>
              <w:i w:val="0"/>
              <w:color w:val="auto"/>
            </w:rPr>
            <w:fldChar w:fldCharType="separate"/>
          </w:r>
          <w:r w:rsidR="00E83F6E">
            <w:rPr>
              <w:i w:val="0"/>
              <w:noProof/>
              <w:color w:val="auto"/>
            </w:rPr>
            <w:t xml:space="preserve"> </w:t>
          </w:r>
          <w:r w:rsidR="00E83F6E" w:rsidRPr="00E83F6E">
            <w:rPr>
              <w:noProof/>
              <w:color w:val="auto"/>
            </w:rPr>
            <w:t>(Mercer, 2020)</w:t>
          </w:r>
          <w:r w:rsidRPr="00027624">
            <w:rPr>
              <w:i w:val="0"/>
              <w:color w:val="auto"/>
            </w:rPr>
            <w:fldChar w:fldCharType="end"/>
          </w:r>
        </w:sdtContent>
      </w:sdt>
      <w:r w:rsidRPr="00027624">
        <w:rPr>
          <w:i w:val="0"/>
          <w:color w:val="auto"/>
        </w:rPr>
        <w:t xml:space="preserve">, </w:t>
      </w:r>
      <w:sdt>
        <w:sdtPr>
          <w:rPr>
            <w:i w:val="0"/>
            <w:color w:val="auto"/>
          </w:rPr>
          <w:id w:val="548808406"/>
          <w:citation/>
        </w:sdtPr>
        <w:sdtEndPr/>
        <w:sdtContent>
          <w:r w:rsidRPr="00027624">
            <w:rPr>
              <w:i w:val="0"/>
              <w:color w:val="auto"/>
            </w:rPr>
            <w:fldChar w:fldCharType="begin"/>
          </w:r>
          <w:r w:rsidRPr="00027624">
            <w:rPr>
              <w:i w:val="0"/>
              <w:color w:val="auto"/>
            </w:rPr>
            <w:instrText xml:space="preserve"> CITATION Fut20 \l 3081 </w:instrText>
          </w:r>
          <w:r w:rsidRPr="00027624">
            <w:rPr>
              <w:i w:val="0"/>
              <w:color w:val="auto"/>
            </w:rPr>
            <w:fldChar w:fldCharType="separate"/>
          </w:r>
          <w:r w:rsidR="00E83F6E" w:rsidRPr="00E83F6E">
            <w:rPr>
              <w:noProof/>
              <w:color w:val="auto"/>
            </w:rPr>
            <w:t>(Future Fund, 2020)</w:t>
          </w:r>
          <w:r w:rsidRPr="00027624">
            <w:rPr>
              <w:i w:val="0"/>
              <w:color w:val="auto"/>
            </w:rPr>
            <w:fldChar w:fldCharType="end"/>
          </w:r>
        </w:sdtContent>
      </w:sdt>
      <w:r w:rsidRPr="00027624">
        <w:rPr>
          <w:i w:val="0"/>
          <w:color w:val="auto"/>
        </w:rPr>
        <w:t>.</w:t>
      </w:r>
    </w:p>
    <w:p w14:paraId="3E8EB10C" w14:textId="77777777" w:rsidR="00E96B29" w:rsidRPr="00027624" w:rsidRDefault="00E96B29" w:rsidP="00E96B29">
      <w:pPr>
        <w:pStyle w:val="TableMainHeading"/>
      </w:pPr>
      <w:bookmarkStart w:id="4269" w:name="_Ref39261478"/>
      <w:r w:rsidRPr="00027624">
        <w:t xml:space="preserve">Retirement phase/defensive portfolio investment returns </w:t>
      </w:r>
      <w:bookmarkEnd w:id="4269"/>
    </w:p>
    <w:tbl>
      <w:tblPr>
        <w:tblW w:w="5000" w:type="pct"/>
        <w:tblLook w:val="01E0" w:firstRow="1" w:lastRow="1" w:firstColumn="1" w:lastColumn="1" w:noHBand="0" w:noVBand="0"/>
      </w:tblPr>
      <w:tblGrid>
        <w:gridCol w:w="3024"/>
        <w:gridCol w:w="3024"/>
        <w:gridCol w:w="3022"/>
      </w:tblGrid>
      <w:tr w:rsidR="00E96B29" w:rsidRPr="00027624" w14:paraId="2E9E8897" w14:textId="77777777" w:rsidTr="00E96B29">
        <w:trPr>
          <w:tblHeader/>
        </w:trPr>
        <w:tc>
          <w:tcPr>
            <w:tcW w:w="1667" w:type="pct"/>
            <w:shd w:val="clear" w:color="auto" w:fill="E5E5E5"/>
          </w:tcPr>
          <w:p w14:paraId="032AF85F" w14:textId="77777777" w:rsidR="00E96B29" w:rsidRPr="00027624" w:rsidRDefault="00E96B29" w:rsidP="00E96B29">
            <w:pPr>
              <w:pStyle w:val="TableColumnHeadingCentred"/>
              <w:jc w:val="left"/>
              <w:rPr>
                <w:b w:val="0"/>
              </w:rPr>
            </w:pPr>
            <w:r w:rsidRPr="00027624">
              <w:br w:type="page"/>
              <w:t>Organisation</w:t>
            </w:r>
          </w:p>
        </w:tc>
        <w:tc>
          <w:tcPr>
            <w:tcW w:w="1667" w:type="pct"/>
            <w:shd w:val="clear" w:color="auto" w:fill="E5E5E5"/>
          </w:tcPr>
          <w:p w14:paraId="22871447" w14:textId="77777777" w:rsidR="00E96B29" w:rsidRPr="00027624" w:rsidRDefault="00E96B29" w:rsidP="00E96B29">
            <w:pPr>
              <w:pStyle w:val="TableColumnHeadingCentred"/>
              <w:rPr>
                <w:b w:val="0"/>
              </w:rPr>
            </w:pPr>
            <w:r w:rsidRPr="00027624">
              <w:t>Gross investment return (per cent)</w:t>
            </w:r>
          </w:p>
        </w:tc>
        <w:tc>
          <w:tcPr>
            <w:tcW w:w="1666" w:type="pct"/>
            <w:shd w:val="clear" w:color="auto" w:fill="E5E5E5"/>
          </w:tcPr>
          <w:p w14:paraId="3321B160" w14:textId="77777777" w:rsidR="00E96B29" w:rsidRPr="00027624" w:rsidRDefault="00E96B29" w:rsidP="00E96B29">
            <w:pPr>
              <w:pStyle w:val="TableColumnHeadingCentred"/>
              <w:rPr>
                <w:b w:val="0"/>
              </w:rPr>
            </w:pPr>
            <w:r w:rsidRPr="00027624">
              <w:t xml:space="preserve">Net investment return </w:t>
            </w:r>
            <w:r w:rsidRPr="00027624">
              <w:br/>
              <w:t>(per cent)</w:t>
            </w:r>
          </w:p>
        </w:tc>
      </w:tr>
      <w:tr w:rsidR="00E96B29" w:rsidRPr="00027624" w14:paraId="501EBF91" w14:textId="77777777" w:rsidTr="00E96B29">
        <w:tc>
          <w:tcPr>
            <w:tcW w:w="1667" w:type="pct"/>
          </w:tcPr>
          <w:p w14:paraId="12EAE518" w14:textId="77777777" w:rsidR="00E96B29" w:rsidRPr="00027624" w:rsidRDefault="00E96B29" w:rsidP="00E96B29">
            <w:pPr>
              <w:pStyle w:val="TableTextLeft"/>
            </w:pPr>
            <w:r w:rsidRPr="00027624">
              <w:t>Review (including MARIA modelling for the review) assumption</w:t>
            </w:r>
          </w:p>
        </w:tc>
        <w:tc>
          <w:tcPr>
            <w:tcW w:w="1667" w:type="pct"/>
          </w:tcPr>
          <w:p w14:paraId="58639432" w14:textId="77777777" w:rsidR="00E96B29" w:rsidRPr="00027624" w:rsidRDefault="00E96B29" w:rsidP="00E96B29">
            <w:pPr>
              <w:pStyle w:val="TableTextLeft"/>
              <w:jc w:val="center"/>
              <w:rPr>
                <w:color w:val="auto"/>
              </w:rPr>
            </w:pPr>
            <w:r w:rsidRPr="00027624">
              <w:rPr>
                <w:color w:val="auto"/>
              </w:rPr>
              <w:t>6.2</w:t>
            </w:r>
          </w:p>
        </w:tc>
        <w:tc>
          <w:tcPr>
            <w:tcW w:w="1666" w:type="pct"/>
          </w:tcPr>
          <w:p w14:paraId="7F393121" w14:textId="77777777" w:rsidR="00E96B29" w:rsidRPr="00027624" w:rsidRDefault="00E96B29" w:rsidP="00E96B29">
            <w:pPr>
              <w:pStyle w:val="TableTextLeft"/>
              <w:jc w:val="center"/>
              <w:rPr>
                <w:color w:val="auto"/>
              </w:rPr>
            </w:pPr>
            <w:r w:rsidRPr="00027624">
              <w:rPr>
                <w:color w:val="auto"/>
              </w:rPr>
              <w:t>5.35ⁱ</w:t>
            </w:r>
          </w:p>
        </w:tc>
      </w:tr>
      <w:tr w:rsidR="00E96B29" w:rsidRPr="00027624" w14:paraId="201F518D" w14:textId="77777777" w:rsidTr="00E96B29">
        <w:tc>
          <w:tcPr>
            <w:tcW w:w="1667" w:type="pct"/>
          </w:tcPr>
          <w:p w14:paraId="46A7EBD3" w14:textId="77777777" w:rsidR="00E96B29" w:rsidRPr="00027624" w:rsidRDefault="00E96B29" w:rsidP="00E96B29">
            <w:pPr>
              <w:pStyle w:val="TableTextLeft"/>
            </w:pPr>
            <w:r w:rsidRPr="00027624">
              <w:t>MARIA (Treasury 2019) assumption</w:t>
            </w:r>
          </w:p>
        </w:tc>
        <w:tc>
          <w:tcPr>
            <w:tcW w:w="1667" w:type="pct"/>
          </w:tcPr>
          <w:p w14:paraId="330EE8CD" w14:textId="77777777" w:rsidR="00E96B29" w:rsidRPr="00027624" w:rsidRDefault="00E96B29" w:rsidP="00E96B29">
            <w:pPr>
              <w:pStyle w:val="TableTextLeft"/>
              <w:jc w:val="center"/>
            </w:pPr>
            <w:r w:rsidRPr="00027624">
              <w:rPr>
                <w:color w:val="auto"/>
              </w:rPr>
              <w:t>6.5</w:t>
            </w:r>
          </w:p>
        </w:tc>
        <w:tc>
          <w:tcPr>
            <w:tcW w:w="1666" w:type="pct"/>
          </w:tcPr>
          <w:p w14:paraId="5E05D092" w14:textId="77777777" w:rsidR="00E96B29" w:rsidRPr="00027624" w:rsidRDefault="00A8443E" w:rsidP="00E96B29">
            <w:pPr>
              <w:pStyle w:val="TableTextLeft"/>
              <w:jc w:val="center"/>
            </w:pPr>
            <w:r w:rsidRPr="00027624">
              <w:noBreakHyphen/>
            </w:r>
          </w:p>
        </w:tc>
      </w:tr>
      <w:tr w:rsidR="00E96B29" w:rsidRPr="00027624" w14:paraId="239196F9" w14:textId="77777777" w:rsidTr="00E96B29">
        <w:tc>
          <w:tcPr>
            <w:tcW w:w="1667" w:type="pct"/>
          </w:tcPr>
          <w:p w14:paraId="6C883FE6" w14:textId="77777777" w:rsidR="00E96B29" w:rsidRPr="00027624" w:rsidRDefault="00E96B29" w:rsidP="00E96B29">
            <w:pPr>
              <w:pStyle w:val="TableTextLeft"/>
            </w:pPr>
            <w:r w:rsidRPr="00027624">
              <w:t>Chant West conservative fund 5</w:t>
            </w:r>
            <w:r w:rsidR="00A8443E" w:rsidRPr="00027624">
              <w:noBreakHyphen/>
            </w:r>
            <w:r w:rsidRPr="00027624">
              <w:t>year past performance</w:t>
            </w:r>
          </w:p>
        </w:tc>
        <w:tc>
          <w:tcPr>
            <w:tcW w:w="1667" w:type="pct"/>
          </w:tcPr>
          <w:p w14:paraId="420844CE" w14:textId="77777777" w:rsidR="00E96B29" w:rsidRPr="00027624" w:rsidRDefault="00A8443E" w:rsidP="00E96B29">
            <w:pPr>
              <w:pStyle w:val="TableTextLeft"/>
              <w:jc w:val="center"/>
            </w:pPr>
            <w:r w:rsidRPr="00027624">
              <w:noBreakHyphen/>
            </w:r>
          </w:p>
        </w:tc>
        <w:tc>
          <w:tcPr>
            <w:tcW w:w="1666" w:type="pct"/>
          </w:tcPr>
          <w:p w14:paraId="52445C31" w14:textId="77777777" w:rsidR="00E96B29" w:rsidRPr="00027624" w:rsidRDefault="00E96B29" w:rsidP="00E96B29">
            <w:pPr>
              <w:pStyle w:val="TableTextLeft"/>
              <w:jc w:val="center"/>
            </w:pPr>
            <w:r w:rsidRPr="00027624">
              <w:t>5.0</w:t>
            </w:r>
            <w:r w:rsidRPr="00027624">
              <w:rPr>
                <w:sz w:val="20"/>
                <w:vertAlign w:val="superscript"/>
              </w:rPr>
              <w:t>ii</w:t>
            </w:r>
          </w:p>
        </w:tc>
      </w:tr>
      <w:tr w:rsidR="00E96B29" w:rsidRPr="00027624" w14:paraId="59381DBF" w14:textId="77777777" w:rsidTr="00E96B29">
        <w:tc>
          <w:tcPr>
            <w:tcW w:w="1667" w:type="pct"/>
          </w:tcPr>
          <w:p w14:paraId="235999C3" w14:textId="77777777" w:rsidR="00E96B29" w:rsidRPr="00027624" w:rsidRDefault="00E96B29" w:rsidP="00E96B29">
            <w:pPr>
              <w:pStyle w:val="TableTextLeft"/>
            </w:pPr>
            <w:r w:rsidRPr="00027624">
              <w:t>Chant West conservative fund 10</w:t>
            </w:r>
            <w:r w:rsidR="00A8443E" w:rsidRPr="00027624">
              <w:noBreakHyphen/>
            </w:r>
            <w:r w:rsidRPr="00027624">
              <w:t>year past performance</w:t>
            </w:r>
          </w:p>
        </w:tc>
        <w:tc>
          <w:tcPr>
            <w:tcW w:w="1667" w:type="pct"/>
          </w:tcPr>
          <w:p w14:paraId="3F6C965F" w14:textId="77777777" w:rsidR="00E96B29" w:rsidRPr="00027624" w:rsidRDefault="00A8443E" w:rsidP="00E96B29">
            <w:pPr>
              <w:pStyle w:val="TableTextLeft"/>
              <w:jc w:val="center"/>
            </w:pPr>
            <w:r w:rsidRPr="00027624">
              <w:noBreakHyphen/>
            </w:r>
          </w:p>
        </w:tc>
        <w:tc>
          <w:tcPr>
            <w:tcW w:w="1666" w:type="pct"/>
          </w:tcPr>
          <w:p w14:paraId="43D18DC2" w14:textId="77777777" w:rsidR="00E96B29" w:rsidRPr="00027624" w:rsidRDefault="00E96B29" w:rsidP="00E96B29">
            <w:pPr>
              <w:pStyle w:val="TableTextLeft"/>
              <w:jc w:val="center"/>
            </w:pPr>
            <w:r w:rsidRPr="00027624">
              <w:t>5.7</w:t>
            </w:r>
            <w:r w:rsidRPr="00027624">
              <w:rPr>
                <w:sz w:val="20"/>
                <w:vertAlign w:val="superscript"/>
              </w:rPr>
              <w:t>ii</w:t>
            </w:r>
          </w:p>
        </w:tc>
      </w:tr>
      <w:tr w:rsidR="00E96B29" w:rsidRPr="00027624" w14:paraId="5B59648F" w14:textId="77777777" w:rsidTr="00E96B29">
        <w:tc>
          <w:tcPr>
            <w:tcW w:w="1667" w:type="pct"/>
          </w:tcPr>
          <w:p w14:paraId="58DA1329" w14:textId="77777777" w:rsidR="00E96B29" w:rsidRPr="00027624" w:rsidRDefault="00E96B29" w:rsidP="00E96B29">
            <w:pPr>
              <w:pStyle w:val="TableTextLeft"/>
            </w:pPr>
            <w:r w:rsidRPr="00027624">
              <w:t>Chant West conservative fund 15</w:t>
            </w:r>
            <w:r w:rsidR="00A8443E" w:rsidRPr="00027624">
              <w:noBreakHyphen/>
            </w:r>
            <w:r w:rsidRPr="00027624">
              <w:t>year past performance</w:t>
            </w:r>
          </w:p>
        </w:tc>
        <w:tc>
          <w:tcPr>
            <w:tcW w:w="1667" w:type="pct"/>
          </w:tcPr>
          <w:p w14:paraId="411DDF84" w14:textId="77777777" w:rsidR="00E96B29" w:rsidRPr="00027624" w:rsidRDefault="00A8443E" w:rsidP="00E96B29">
            <w:pPr>
              <w:pStyle w:val="TableTextLeft"/>
              <w:jc w:val="center"/>
            </w:pPr>
            <w:r w:rsidRPr="00027624">
              <w:noBreakHyphen/>
            </w:r>
          </w:p>
        </w:tc>
        <w:tc>
          <w:tcPr>
            <w:tcW w:w="1666" w:type="pct"/>
          </w:tcPr>
          <w:p w14:paraId="321499B4" w14:textId="77777777" w:rsidR="00E96B29" w:rsidRPr="00027624" w:rsidRDefault="00E96B29" w:rsidP="00E96B29">
            <w:pPr>
              <w:pStyle w:val="TableTextLeft"/>
              <w:jc w:val="center"/>
            </w:pPr>
            <w:r w:rsidRPr="00027624">
              <w:t>5.5</w:t>
            </w:r>
            <w:r w:rsidRPr="00027624">
              <w:rPr>
                <w:sz w:val="20"/>
                <w:vertAlign w:val="superscript"/>
              </w:rPr>
              <w:t>ii</w:t>
            </w:r>
          </w:p>
        </w:tc>
      </w:tr>
      <w:tr w:rsidR="00E96B29" w:rsidRPr="00027624" w14:paraId="1558EACA" w14:textId="77777777" w:rsidTr="00E96B29">
        <w:tc>
          <w:tcPr>
            <w:tcW w:w="1667" w:type="pct"/>
          </w:tcPr>
          <w:p w14:paraId="0F739772" w14:textId="77777777" w:rsidR="00E96B29" w:rsidRPr="00027624" w:rsidRDefault="00E96B29" w:rsidP="00E96B29">
            <w:pPr>
              <w:pStyle w:val="TableTextLeft"/>
            </w:pPr>
            <w:r w:rsidRPr="00027624">
              <w:t>Grattan Institute assumption</w:t>
            </w:r>
          </w:p>
        </w:tc>
        <w:tc>
          <w:tcPr>
            <w:tcW w:w="1667" w:type="pct"/>
          </w:tcPr>
          <w:p w14:paraId="6085AD8E" w14:textId="77777777" w:rsidR="00E96B29" w:rsidRPr="00027624" w:rsidRDefault="00E96B29" w:rsidP="00E96B29">
            <w:pPr>
              <w:pStyle w:val="TableTextLeft"/>
              <w:jc w:val="center"/>
            </w:pPr>
            <w:r w:rsidRPr="00027624">
              <w:t>6.5</w:t>
            </w:r>
          </w:p>
        </w:tc>
        <w:tc>
          <w:tcPr>
            <w:tcW w:w="1666" w:type="pct"/>
          </w:tcPr>
          <w:p w14:paraId="036002D2" w14:textId="77777777" w:rsidR="00E96B29" w:rsidRPr="00027624" w:rsidRDefault="00A8443E" w:rsidP="00E96B29">
            <w:pPr>
              <w:pStyle w:val="TableTextLeft"/>
              <w:jc w:val="center"/>
            </w:pPr>
            <w:r w:rsidRPr="00027624">
              <w:noBreakHyphen/>
            </w:r>
          </w:p>
        </w:tc>
      </w:tr>
      <w:tr w:rsidR="00E96B29" w:rsidRPr="00027624" w14:paraId="08F21D71" w14:textId="77777777" w:rsidTr="00E96B29">
        <w:tc>
          <w:tcPr>
            <w:tcW w:w="1667" w:type="pct"/>
          </w:tcPr>
          <w:p w14:paraId="0F33F937" w14:textId="77777777" w:rsidR="00E96B29" w:rsidRPr="00027624" w:rsidRDefault="00E96B29" w:rsidP="00E96B29">
            <w:pPr>
              <w:pStyle w:val="TableTextLeft"/>
            </w:pPr>
            <w:r w:rsidRPr="00027624">
              <w:t>OECD assumption</w:t>
            </w:r>
          </w:p>
        </w:tc>
        <w:tc>
          <w:tcPr>
            <w:tcW w:w="1667" w:type="pct"/>
          </w:tcPr>
          <w:p w14:paraId="57EC5E70" w14:textId="77777777" w:rsidR="00E96B29" w:rsidRPr="00027624" w:rsidRDefault="00E96B29" w:rsidP="00E96B29">
            <w:pPr>
              <w:pStyle w:val="TableTextLeft"/>
              <w:jc w:val="center"/>
            </w:pPr>
          </w:p>
        </w:tc>
        <w:tc>
          <w:tcPr>
            <w:tcW w:w="1666" w:type="pct"/>
          </w:tcPr>
          <w:p w14:paraId="21EFD604" w14:textId="77777777" w:rsidR="00E96B29" w:rsidRPr="00027624" w:rsidRDefault="00E96B29" w:rsidP="00E96B29">
            <w:pPr>
              <w:pStyle w:val="TableTextLeft"/>
              <w:jc w:val="center"/>
            </w:pPr>
            <w:r w:rsidRPr="00027624">
              <w:t>5.0</w:t>
            </w:r>
            <w:r w:rsidRPr="00027624">
              <w:rPr>
                <w:sz w:val="20"/>
                <w:vertAlign w:val="superscript"/>
              </w:rPr>
              <w:t>i</w:t>
            </w:r>
            <w:r w:rsidRPr="00027624">
              <w:rPr>
                <w:color w:val="auto"/>
                <w:sz w:val="20"/>
                <w:vertAlign w:val="superscript"/>
              </w:rPr>
              <w:t>ii</w:t>
            </w:r>
          </w:p>
        </w:tc>
      </w:tr>
      <w:tr w:rsidR="00E96B29" w:rsidRPr="00027624" w14:paraId="5A44C925" w14:textId="77777777" w:rsidTr="00E96B29">
        <w:tc>
          <w:tcPr>
            <w:tcW w:w="1667" w:type="pct"/>
          </w:tcPr>
          <w:p w14:paraId="4B601E30" w14:textId="77777777" w:rsidR="00E96B29" w:rsidRPr="00027624" w:rsidRDefault="00E96B29" w:rsidP="00E96B29">
            <w:pPr>
              <w:pStyle w:val="TableTextLeft"/>
            </w:pPr>
            <w:r w:rsidRPr="00027624">
              <w:t>Mercer assumption</w:t>
            </w:r>
          </w:p>
        </w:tc>
        <w:tc>
          <w:tcPr>
            <w:tcW w:w="1667" w:type="pct"/>
          </w:tcPr>
          <w:p w14:paraId="417302BC" w14:textId="77777777" w:rsidR="00E96B29" w:rsidRPr="00027624" w:rsidRDefault="00A8443E" w:rsidP="00E96B29">
            <w:pPr>
              <w:pStyle w:val="TableTextLeft"/>
              <w:jc w:val="center"/>
            </w:pPr>
            <w:r w:rsidRPr="00027624">
              <w:noBreakHyphen/>
            </w:r>
          </w:p>
        </w:tc>
        <w:tc>
          <w:tcPr>
            <w:tcW w:w="1666" w:type="pct"/>
          </w:tcPr>
          <w:p w14:paraId="743CC454" w14:textId="77777777" w:rsidR="00E96B29" w:rsidRPr="00027624" w:rsidRDefault="00E96B29" w:rsidP="00E96B29">
            <w:pPr>
              <w:pStyle w:val="TableTextLeft"/>
              <w:jc w:val="center"/>
            </w:pPr>
            <w:r w:rsidRPr="00027624">
              <w:t>6.0</w:t>
            </w:r>
          </w:p>
        </w:tc>
      </w:tr>
    </w:tbl>
    <w:p w14:paraId="1BE56962" w14:textId="5CFD5FC8" w:rsidR="00E96B29" w:rsidRPr="00027624" w:rsidRDefault="00E96B29" w:rsidP="00E96B29">
      <w:pPr>
        <w:pStyle w:val="ChartorTableNote"/>
        <w:rPr>
          <w:color w:val="000000" w:themeColor="text1"/>
        </w:rPr>
      </w:pPr>
      <w:r w:rsidRPr="00027624">
        <w:t>Note: All returns are nominal. Gross investment returns are provided before fees and taxes. Net investment returns are provided after fees and taxes. All results calculated assuming CPI of 2.5 per cent, which is in the middle of the RBA</w:t>
      </w:r>
      <w:r w:rsidR="00A8443E" w:rsidRPr="00027624">
        <w:t>’</w:t>
      </w:r>
      <w:r w:rsidRPr="00027624">
        <w:t xml:space="preserve">s target. This may differ to individual organisation estimates for CPI. ⁱReview net investment return assumes 0.85 per cent variable investment fee. ⁱⁱAfter investment fees and taxes, before administration fees and adviser commissions. </w:t>
      </w:r>
      <w:r w:rsidRPr="00027624">
        <w:rPr>
          <w:sz w:val="20"/>
          <w:vertAlign w:val="superscript"/>
        </w:rPr>
        <w:t>iii</w:t>
      </w:r>
      <w:r w:rsidRPr="00027624">
        <w:t>OECD investment returns calculated assuming a 90 per cent annuity factor, applied to 5.5 per cent</w:t>
      </w:r>
      <w:r w:rsidRPr="00027624">
        <w:rPr>
          <w:i/>
          <w:color w:val="auto"/>
        </w:rPr>
        <w:t xml:space="preserve"> gross investment returns. </w:t>
      </w:r>
      <w:r w:rsidRPr="00027624">
        <w:rPr>
          <w:color w:val="auto"/>
        </w:rPr>
        <w:t>Source: Treasury estimates for the review using MARIA</w:t>
      </w:r>
      <w:r w:rsidRPr="00027624" w:rsidDel="002265AE">
        <w:rPr>
          <w:color w:val="auto"/>
        </w:rPr>
        <w:t xml:space="preserve"> </w:t>
      </w:r>
      <w:r w:rsidRPr="00027624">
        <w:rPr>
          <w:color w:val="auto"/>
        </w:rPr>
        <w:t>(see</w:t>
      </w:r>
      <w:r w:rsidRPr="00027624">
        <w:rPr>
          <w:i/>
          <w:iCs/>
          <w:color w:val="auto"/>
        </w:rPr>
        <w:t xml:space="preserve"> </w:t>
      </w:r>
      <w:r w:rsidRPr="00027624">
        <w:rPr>
          <w:i/>
          <w:iCs/>
          <w:color w:val="auto"/>
        </w:rPr>
        <w:fldChar w:fldCharType="begin"/>
      </w:r>
      <w:r w:rsidRPr="00027624">
        <w:rPr>
          <w:i/>
          <w:iCs/>
          <w:color w:val="auto"/>
        </w:rPr>
        <w:instrText xml:space="preserve"> REF _Ref42619593 \h  \* MERGEFORMAT </w:instrText>
      </w:r>
      <w:r w:rsidRPr="00027624">
        <w:rPr>
          <w:i/>
          <w:iCs/>
          <w:color w:val="auto"/>
        </w:rPr>
      </w:r>
      <w:r w:rsidRPr="00027624">
        <w:rPr>
          <w:i/>
          <w:iCs/>
          <w:color w:val="auto"/>
        </w:rPr>
        <w:fldChar w:fldCharType="separate"/>
      </w:r>
      <w:r w:rsidR="00891058" w:rsidRPr="00891058">
        <w:rPr>
          <w:i/>
          <w:iCs/>
          <w:color w:val="auto"/>
        </w:rPr>
        <w:t>Model of Australian Retirement Incomes and Assets</w:t>
      </w:r>
      <w:r w:rsidRPr="00027624">
        <w:rPr>
          <w:i/>
          <w:iCs/>
          <w:color w:val="auto"/>
        </w:rPr>
        <w:fldChar w:fldCharType="end"/>
      </w:r>
      <w:r w:rsidRPr="00027624">
        <w:rPr>
          <w:color w:val="auto"/>
        </w:rPr>
        <w:t xml:space="preserve">), </w:t>
      </w:r>
      <w:sdt>
        <w:sdtPr>
          <w:rPr>
            <w:i/>
            <w:iCs/>
            <w:color w:val="auto"/>
          </w:rPr>
          <w:id w:val="2132053998"/>
          <w:citation/>
        </w:sdtPr>
        <w:sdtEndPr/>
        <w:sdtContent>
          <w:r w:rsidRPr="00027624">
            <w:rPr>
              <w:color w:val="auto"/>
            </w:rPr>
            <w:fldChar w:fldCharType="begin"/>
          </w:r>
          <w:r w:rsidRPr="00027624">
            <w:rPr>
              <w:color w:val="auto"/>
            </w:rPr>
            <w:instrText xml:space="preserve"> CITATION Cha202 \l 3081 </w:instrText>
          </w:r>
          <w:r w:rsidRPr="00027624">
            <w:rPr>
              <w:color w:val="auto"/>
            </w:rPr>
            <w:fldChar w:fldCharType="separate"/>
          </w:r>
          <w:r w:rsidR="00E83F6E" w:rsidRPr="00E83F6E">
            <w:rPr>
              <w:noProof/>
              <w:color w:val="auto"/>
            </w:rPr>
            <w:t>(Chant West, 2020)</w:t>
          </w:r>
          <w:r w:rsidRPr="00027624">
            <w:rPr>
              <w:color w:val="auto"/>
            </w:rPr>
            <w:fldChar w:fldCharType="end"/>
          </w:r>
        </w:sdtContent>
      </w:sdt>
      <w:r w:rsidRPr="00027624">
        <w:rPr>
          <w:color w:val="auto"/>
        </w:rPr>
        <w:t>,</w:t>
      </w:r>
      <w:sdt>
        <w:sdtPr>
          <w:rPr>
            <w:i/>
            <w:iCs/>
            <w:color w:val="auto"/>
          </w:rPr>
          <w:id w:val="138383573"/>
          <w:citation/>
        </w:sdtPr>
        <w:sdtEndPr/>
        <w:sdtContent>
          <w:r w:rsidRPr="00027624">
            <w:rPr>
              <w:color w:val="auto"/>
            </w:rPr>
            <w:fldChar w:fldCharType="begin"/>
          </w:r>
          <w:r w:rsidRPr="00027624">
            <w:rPr>
              <w:color w:val="auto"/>
            </w:rPr>
            <w:instrText xml:space="preserve"> CITATION Gra20 \l 3081 </w:instrText>
          </w:r>
          <w:r w:rsidRPr="00027624">
            <w:rPr>
              <w:color w:val="auto"/>
            </w:rPr>
            <w:fldChar w:fldCharType="separate"/>
          </w:r>
          <w:r w:rsidR="00E83F6E">
            <w:rPr>
              <w:noProof/>
              <w:color w:val="auto"/>
            </w:rPr>
            <w:t xml:space="preserve"> </w:t>
          </w:r>
          <w:r w:rsidR="00E83F6E" w:rsidRPr="00E83F6E">
            <w:rPr>
              <w:noProof/>
              <w:color w:val="auto"/>
            </w:rPr>
            <w:t>(Grattan Institute, 2020)</w:t>
          </w:r>
          <w:r w:rsidRPr="00027624">
            <w:rPr>
              <w:color w:val="auto"/>
            </w:rPr>
            <w:fldChar w:fldCharType="end"/>
          </w:r>
        </w:sdtContent>
      </w:sdt>
      <w:r w:rsidRPr="00027624">
        <w:rPr>
          <w:color w:val="auto"/>
        </w:rPr>
        <w:t xml:space="preserve">, </w:t>
      </w:r>
      <w:sdt>
        <w:sdtPr>
          <w:rPr>
            <w:i/>
            <w:iCs/>
            <w:color w:val="auto"/>
          </w:rPr>
          <w:id w:val="-228843145"/>
          <w:citation/>
        </w:sdtPr>
        <w:sdtEndPr/>
        <w:sdtContent>
          <w:r w:rsidRPr="00027624">
            <w:rPr>
              <w:color w:val="auto"/>
            </w:rPr>
            <w:fldChar w:fldCharType="begin"/>
          </w:r>
          <w:r w:rsidRPr="00027624">
            <w:rPr>
              <w:color w:val="auto"/>
            </w:rPr>
            <w:instrText xml:space="preserve"> CITATION OEC19d \l 3081 </w:instrText>
          </w:r>
          <w:r w:rsidRPr="00027624">
            <w:rPr>
              <w:color w:val="auto"/>
            </w:rPr>
            <w:fldChar w:fldCharType="separate"/>
          </w:r>
          <w:r w:rsidR="00E83F6E" w:rsidRPr="00E83F6E">
            <w:rPr>
              <w:noProof/>
              <w:color w:val="auto"/>
            </w:rPr>
            <w:t>(OECD, 2019b)</w:t>
          </w:r>
          <w:r w:rsidRPr="00027624">
            <w:rPr>
              <w:color w:val="auto"/>
            </w:rPr>
            <w:fldChar w:fldCharType="end"/>
          </w:r>
        </w:sdtContent>
      </w:sdt>
      <w:r w:rsidRPr="00027624">
        <w:rPr>
          <w:color w:val="auto"/>
        </w:rPr>
        <w:t>,</w:t>
      </w:r>
      <w:sdt>
        <w:sdtPr>
          <w:rPr>
            <w:i/>
            <w:iCs/>
            <w:color w:val="auto"/>
          </w:rPr>
          <w:id w:val="-2110419741"/>
          <w:citation/>
        </w:sdtPr>
        <w:sdtEndPr/>
        <w:sdtContent>
          <w:r w:rsidRPr="00027624">
            <w:rPr>
              <w:color w:val="auto"/>
            </w:rPr>
            <w:fldChar w:fldCharType="begin"/>
          </w:r>
          <w:r w:rsidRPr="00027624">
            <w:rPr>
              <w:color w:val="auto"/>
            </w:rPr>
            <w:instrText xml:space="preserve"> CITATION Mer20 \l 3081 </w:instrText>
          </w:r>
          <w:r w:rsidRPr="00027624">
            <w:rPr>
              <w:color w:val="auto"/>
            </w:rPr>
            <w:fldChar w:fldCharType="separate"/>
          </w:r>
          <w:r w:rsidR="00E83F6E">
            <w:rPr>
              <w:noProof/>
              <w:color w:val="auto"/>
            </w:rPr>
            <w:t xml:space="preserve"> </w:t>
          </w:r>
          <w:r w:rsidR="00E83F6E" w:rsidRPr="00E83F6E">
            <w:rPr>
              <w:noProof/>
              <w:color w:val="auto"/>
            </w:rPr>
            <w:t>(Mercer, 2020)</w:t>
          </w:r>
          <w:r w:rsidRPr="00027624">
            <w:rPr>
              <w:color w:val="auto"/>
            </w:rPr>
            <w:fldChar w:fldCharType="end"/>
          </w:r>
        </w:sdtContent>
      </w:sdt>
      <w:r w:rsidRPr="00027624">
        <w:rPr>
          <w:color w:val="auto"/>
        </w:rPr>
        <w:t>.</w:t>
      </w:r>
    </w:p>
    <w:p w14:paraId="4B089F61" w14:textId="77777777" w:rsidR="00E96B29" w:rsidRPr="00027624" w:rsidRDefault="00E96B29" w:rsidP="00991CC6">
      <w:pPr>
        <w:pStyle w:val="Heading4"/>
        <w:spacing w:before="120"/>
      </w:pPr>
      <w:r w:rsidRPr="00027624">
        <w:t>Savings outside superannuation</w:t>
      </w:r>
    </w:p>
    <w:p w14:paraId="24D730B8" w14:textId="77777777" w:rsidR="00E96B29" w:rsidRPr="00027624" w:rsidRDefault="00E96B29" w:rsidP="00991CC6">
      <w:r w:rsidRPr="00027624">
        <w:t>This section outlines assumptions regarding savings outside superannuation.</w:t>
      </w:r>
    </w:p>
    <w:p w14:paraId="6E74CC92" w14:textId="77777777" w:rsidR="00E96B29" w:rsidRPr="00027624" w:rsidRDefault="00E96B29" w:rsidP="00991CC6">
      <w:pPr>
        <w:pStyle w:val="Heading5"/>
        <w:spacing w:before="120"/>
      </w:pPr>
      <w:r w:rsidRPr="00027624">
        <w:t>Home ownership</w:t>
      </w:r>
    </w:p>
    <w:p w14:paraId="11D8F30E" w14:textId="77777777" w:rsidR="00E96B29" w:rsidRPr="00027624" w:rsidRDefault="00E96B29" w:rsidP="00991CC6">
      <w:r w:rsidRPr="00027624">
        <w:t xml:space="preserve">For cameo analysis, it has been assumed that people own their own home at retirement. Home ownership affects </w:t>
      </w:r>
      <w:r w:rsidRPr="00027624" w:rsidDel="0068007C">
        <w:t>Age</w:t>
      </w:r>
      <w:r w:rsidRPr="00027624">
        <w:t> Pension eligibility due to different means testing thresholds and renters being eligible for Commonwealth Rent Assistance.</w:t>
      </w:r>
    </w:p>
    <w:p w14:paraId="4AF116DC" w14:textId="77777777" w:rsidR="00E96B29" w:rsidRPr="00027624" w:rsidRDefault="00E96B29" w:rsidP="00991CC6">
      <w:r w:rsidRPr="00027624">
        <w:t>The home</w:t>
      </w:r>
      <w:r w:rsidRPr="00027624" w:rsidDel="008D1130">
        <w:t xml:space="preserve"> </w:t>
      </w:r>
      <w:r w:rsidRPr="00027624">
        <w:t xml:space="preserve">ownership assumption is based on ownership rates for middle and </w:t>
      </w:r>
      <w:r w:rsidR="00B2720D" w:rsidRPr="00027624">
        <w:t>higher-wealth</w:t>
      </w:r>
      <w:r w:rsidRPr="00027624">
        <w:t xml:space="preserve"> retirees, which exceed 95 per cent.</w:t>
      </w:r>
    </w:p>
    <w:p w14:paraId="1E06C74C" w14:textId="77777777" w:rsidR="00E96B29" w:rsidRPr="00027624" w:rsidRDefault="00E96B29" w:rsidP="00991CC6">
      <w:r w:rsidRPr="00027624">
        <w:t xml:space="preserve">Renting is highly skewed to </w:t>
      </w:r>
      <w:r w:rsidR="00B2720D" w:rsidRPr="00027624">
        <w:t>lower-wealth</w:t>
      </w:r>
      <w:r w:rsidRPr="00027624">
        <w:t xml:space="preserve"> groups, with three</w:t>
      </w:r>
      <w:r w:rsidR="00A8443E" w:rsidRPr="00027624">
        <w:noBreakHyphen/>
      </w:r>
      <w:r w:rsidRPr="00027624">
        <w:t>quarters of renters in the bottom two wealth deciles. As a result, the assessment of whether retirees are meeting a basic minimum standard is the most important assessment of adequacy for renters (</w:t>
      </w:r>
      <w:r w:rsidRPr="00027624">
        <w:rPr>
          <w:i/>
        </w:rPr>
        <w:t>3A. Achieving a minimum standard of living in retirement</w:t>
      </w:r>
      <w:r w:rsidRPr="00027624">
        <w:t>).</w:t>
      </w:r>
    </w:p>
    <w:p w14:paraId="05186C21" w14:textId="77777777" w:rsidR="00E96B29" w:rsidRPr="00027624" w:rsidRDefault="00E96B29" w:rsidP="00991CC6">
      <w:r w:rsidRPr="00027624">
        <w:t>Modelling includes sensitivity analysis on home ownership, given its importance for retirement outcomes (</w:t>
      </w:r>
      <w:r w:rsidRPr="00027624">
        <w:rPr>
          <w:i/>
        </w:rPr>
        <w:t>2C. Maintaining standards of living in retirement</w:t>
      </w:r>
      <w:r w:rsidRPr="00027624">
        <w:t>)</w:t>
      </w:r>
      <w:r w:rsidRPr="00027624">
        <w:rPr>
          <w:i/>
        </w:rPr>
        <w:t xml:space="preserve">. </w:t>
      </w:r>
      <w:r w:rsidRPr="00027624">
        <w:t>The review also examined the impact of trends in home ownership (</w:t>
      </w:r>
      <w:r w:rsidRPr="00027624">
        <w:rPr>
          <w:i/>
        </w:rPr>
        <w:t>3C. Home</w:t>
      </w:r>
      <w:r w:rsidRPr="00027624" w:rsidDel="008D1130">
        <w:rPr>
          <w:i/>
        </w:rPr>
        <w:t xml:space="preserve"> </w:t>
      </w:r>
      <w:r w:rsidRPr="00027624">
        <w:rPr>
          <w:i/>
        </w:rPr>
        <w:t>ownership status</w:t>
      </w:r>
      <w:r w:rsidRPr="00027624">
        <w:t>).</w:t>
      </w:r>
    </w:p>
    <w:p w14:paraId="14F8E656" w14:textId="77777777" w:rsidR="00E96B29" w:rsidRPr="00027624" w:rsidRDefault="00E96B29" w:rsidP="00991CC6">
      <w:pPr>
        <w:pStyle w:val="Heading5"/>
        <w:spacing w:before="120"/>
      </w:pPr>
      <w:r w:rsidRPr="00027624">
        <w:t>Financial assets outside superannuation</w:t>
      </w:r>
    </w:p>
    <w:p w14:paraId="2BA93B7F" w14:textId="77777777" w:rsidR="00E96B29" w:rsidRPr="00027624" w:rsidRDefault="00E96B29" w:rsidP="00991CC6">
      <w:r w:rsidRPr="00027624">
        <w:t>For cameo analysis, financial assets outside superannuation were estimated at the point of retirement. Data on financial assets held outside superannuation was sourced from the 2017</w:t>
      </w:r>
      <w:r w:rsidR="00A8443E" w:rsidRPr="00027624">
        <w:noBreakHyphen/>
      </w:r>
      <w:r w:rsidRPr="00027624">
        <w:t>18 Su</w:t>
      </w:r>
      <w:r w:rsidR="00BE51D1" w:rsidRPr="00027624">
        <w:t>rvey of Income and Housing</w:t>
      </w:r>
      <w:r w:rsidRPr="00027624">
        <w:t>. This data was used to rank individuals and households with positive wage and salary income into asset percentiles. Ratios of average financial assets outside superannuation were then calculated as a percentage of average lifetime earnings (using the historical ABS average weekly ordinary time earnings</w:t>
      </w:r>
      <w:r w:rsidRPr="00027624" w:rsidDel="000D43B8">
        <w:t xml:space="preserve"> </w:t>
      </w:r>
      <w:r w:rsidRPr="00027624">
        <w:t>series).</w:t>
      </w:r>
    </w:p>
    <w:p w14:paraId="165C5134" w14:textId="77777777" w:rsidR="00E96B29" w:rsidRPr="00027624" w:rsidRDefault="00E96B29" w:rsidP="00991CC6">
      <w:r w:rsidRPr="00027624">
        <w:t>For a given retiree, financial assets outside superannuation were projected in future years by multiplying the financial assets outside superannuation ratio for the relevant percentile by projected average lifetime earnings.</w:t>
      </w:r>
    </w:p>
    <w:p w14:paraId="6EA3F81A" w14:textId="77777777" w:rsidR="00E96B29" w:rsidRPr="00027624" w:rsidRDefault="00E96B29" w:rsidP="00991CC6">
      <w:pPr>
        <w:pStyle w:val="Heading5"/>
        <w:spacing w:before="120"/>
      </w:pPr>
      <w:r w:rsidRPr="00027624">
        <w:t>Personal use goods</w:t>
      </w:r>
    </w:p>
    <w:p w14:paraId="2371F0D6" w14:textId="77777777" w:rsidR="00E96B29" w:rsidRPr="00027624" w:rsidRDefault="00E96B29" w:rsidP="00991CC6">
      <w:r w:rsidRPr="00027624">
        <w:t xml:space="preserve">Cameo modelling assumed that households hold personal use assets (such as cars and furniture). These assets are assumed not to generate income but may reduce </w:t>
      </w:r>
      <w:r w:rsidRPr="00027624" w:rsidDel="0068007C">
        <w:t>Age</w:t>
      </w:r>
      <w:r w:rsidRPr="00027624">
        <w:t> Pension entitlements.</w:t>
      </w:r>
    </w:p>
    <w:p w14:paraId="65311117" w14:textId="77777777" w:rsidR="00E96B29" w:rsidRPr="00027624" w:rsidRDefault="00E96B29" w:rsidP="00991CC6">
      <w:r w:rsidRPr="00027624">
        <w:t>Data on personal use goods was sourced from 2015</w:t>
      </w:r>
      <w:r w:rsidR="00A8443E" w:rsidRPr="00027624">
        <w:noBreakHyphen/>
      </w:r>
      <w:r w:rsidRPr="00027624">
        <w:t>16 Department of Social Services data. The level of assets was projected using the same methodology as financial wealth outside superannuation.</w:t>
      </w:r>
    </w:p>
    <w:p w14:paraId="266986E9" w14:textId="77777777" w:rsidR="00E96B29" w:rsidRPr="00027624" w:rsidRDefault="00E96B29" w:rsidP="00991CC6">
      <w:pPr>
        <w:pStyle w:val="Heading3"/>
        <w:spacing w:before="120"/>
      </w:pPr>
      <w:r w:rsidRPr="00027624">
        <w:t>Income during retirement</w:t>
      </w:r>
    </w:p>
    <w:p w14:paraId="39694D2C" w14:textId="48515648" w:rsidR="00E96B29" w:rsidRPr="00027624" w:rsidRDefault="00E96B29" w:rsidP="00E96B29">
      <w:r w:rsidRPr="00027624">
        <w:t>Retirement income comprises three main sources: drawdown of superannuation, earnings from non</w:t>
      </w:r>
      <w:r w:rsidR="00A8443E" w:rsidRPr="00027624">
        <w:noBreakHyphen/>
      </w:r>
      <w:r w:rsidRPr="00027624">
        <w:t xml:space="preserve">superannuation wealth, and the </w:t>
      </w:r>
      <w:r w:rsidRPr="00027624" w:rsidDel="0068007C">
        <w:t>Age</w:t>
      </w:r>
      <w:r w:rsidRPr="00027624">
        <w:t> Pension (if eligible). The models used by the review projected average annual retirement income from these three sources by income percentile (</w:t>
      </w:r>
      <w:r w:rsidRPr="00027624">
        <w:fldChar w:fldCharType="begin"/>
      </w:r>
      <w:r w:rsidRPr="00027624">
        <w:instrText xml:space="preserve"> REF _Ref39263182 \r \h  \* MERGEFORMAT </w:instrText>
      </w:r>
      <w:r w:rsidRPr="00027624">
        <w:fldChar w:fldCharType="separate"/>
      </w:r>
      <w:r w:rsidR="00891058">
        <w:t>Chart 6A-24</w:t>
      </w:r>
      <w:r w:rsidRPr="00027624">
        <w:fldChar w:fldCharType="end"/>
      </w:r>
      <w:r w:rsidRPr="00027624">
        <w:t>).</w:t>
      </w:r>
    </w:p>
    <w:p w14:paraId="17C25120" w14:textId="77777777" w:rsidR="00E96B29" w:rsidRPr="00027624" w:rsidRDefault="00E96B29" w:rsidP="00E96B29">
      <w:pPr>
        <w:pStyle w:val="ChartMainHeading"/>
      </w:pPr>
      <w:bookmarkStart w:id="4270" w:name="_Ref39263182"/>
      <w:r w:rsidRPr="00027624">
        <w:t>Projected annual retirement income</w:t>
      </w:r>
      <w:bookmarkEnd w:id="4270"/>
    </w:p>
    <w:p w14:paraId="14AEFEB0" w14:textId="77777777" w:rsidR="00E96B29" w:rsidRPr="00027624" w:rsidRDefault="00E01569" w:rsidP="00DE6C9E">
      <w:pPr>
        <w:pStyle w:val="ChartGraphic"/>
      </w:pPr>
      <w:r>
        <w:rPr>
          <w:noProof/>
        </w:rPr>
        <w:drawing>
          <wp:inline distT="0" distB="0" distL="0" distR="0" wp14:anchorId="1D3A717E" wp14:editId="6620C324">
            <wp:extent cx="5570220" cy="2522220"/>
            <wp:effectExtent l="0" t="0" r="0" b="0"/>
            <wp:docPr id="141855622" name="Picture 141855622" descr="This chart shows projected retirement incomes delivered under the reviews cameo model. For couples, retirement income ranges from around $50,000 for the 10th income percentile to around $120,000 for the 90th income percentile. For singles, retirement income is over $30,000 for the 10th income percentile to around $70,000 at the 90th income percentile." title="Chart 6A-24 Projected annual retirement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570220" cy="2522220"/>
                    </a:xfrm>
                    <a:prstGeom prst="rect">
                      <a:avLst/>
                    </a:prstGeom>
                    <a:noFill/>
                  </pic:spPr>
                </pic:pic>
              </a:graphicData>
            </a:graphic>
          </wp:inline>
        </w:drawing>
      </w:r>
    </w:p>
    <w:p w14:paraId="186D530C" w14:textId="77777777" w:rsidR="00E96B29" w:rsidRPr="00027624" w:rsidRDefault="00E96B29" w:rsidP="00C11F4E">
      <w:pPr>
        <w:pStyle w:val="ChartorTableNote"/>
        <w:spacing w:after="120"/>
      </w:pPr>
      <w:r w:rsidRPr="00027624">
        <w:t>Note: Average annual retirement income averages annual disposable income from the whole of retirement. Couple income averages annual disposable income from the whole of retirement at a household level. Source: Cameo modelling undertaken for the review.</w:t>
      </w:r>
    </w:p>
    <w:p w14:paraId="3517B42C" w14:textId="77777777" w:rsidR="00E96B29" w:rsidRPr="00027624" w:rsidRDefault="00E96B29" w:rsidP="00C11F4E">
      <w:pPr>
        <w:pStyle w:val="Heading4"/>
        <w:spacing w:before="120"/>
      </w:pPr>
      <w:r w:rsidRPr="00027624">
        <w:t>Income from superannuation</w:t>
      </w:r>
    </w:p>
    <w:p w14:paraId="6967DA64" w14:textId="77777777" w:rsidR="00E96B29" w:rsidRPr="00027624" w:rsidRDefault="00E96B29" w:rsidP="00991CC6">
      <w:pPr>
        <w:spacing w:after="80"/>
      </w:pPr>
      <w:r w:rsidRPr="00027624">
        <w:t>On reaching retirement, people are assumed to use their superannuation by:</w:t>
      </w:r>
    </w:p>
    <w:p w14:paraId="5032296F" w14:textId="7E1DD594" w:rsidR="00E96B29" w:rsidRPr="00027624" w:rsidRDefault="00E96B29" w:rsidP="00991CC6">
      <w:pPr>
        <w:pStyle w:val="Bullet"/>
        <w:spacing w:after="80"/>
      </w:pPr>
      <w:r w:rsidRPr="00027624">
        <w:t>Using 5 per cent of their balance at retirement to purchase a longevity risk product (see</w:t>
      </w:r>
      <w:r w:rsidRPr="00027624">
        <w:rPr>
          <w:i/>
        </w:rPr>
        <w:t xml:space="preserve"> </w:t>
      </w:r>
      <w:r w:rsidRPr="00027624">
        <w:rPr>
          <w:i/>
        </w:rPr>
        <w:fldChar w:fldCharType="begin"/>
      </w:r>
      <w:r w:rsidRPr="00027624">
        <w:rPr>
          <w:i/>
        </w:rPr>
        <w:instrText xml:space="preserve"> REF _Ref42618464 \h  \* MERGEFORMAT </w:instrText>
      </w:r>
      <w:r w:rsidRPr="00027624">
        <w:rPr>
          <w:i/>
        </w:rPr>
      </w:r>
      <w:r w:rsidRPr="00027624">
        <w:rPr>
          <w:i/>
        </w:rPr>
        <w:fldChar w:fldCharType="separate"/>
      </w:r>
      <w:r w:rsidR="00891058" w:rsidRPr="00891058">
        <w:rPr>
          <w:i/>
        </w:rPr>
        <w:t>Longevity protection product</w:t>
      </w:r>
      <w:r w:rsidRPr="00027624">
        <w:rPr>
          <w:i/>
        </w:rPr>
        <w:fldChar w:fldCharType="end"/>
      </w:r>
      <w:r w:rsidR="00842A7C" w:rsidRPr="00027624">
        <w:t>,</w:t>
      </w:r>
      <w:r w:rsidRPr="00027624">
        <w:t xml:space="preserve"> below)</w:t>
      </w:r>
    </w:p>
    <w:p w14:paraId="2F6C71E0" w14:textId="77777777" w:rsidR="00E96B29" w:rsidRPr="00027624" w:rsidRDefault="00E96B29" w:rsidP="00991CC6">
      <w:pPr>
        <w:pStyle w:val="Bullet"/>
        <w:spacing w:after="80"/>
      </w:pPr>
      <w:r w:rsidRPr="00027624">
        <w:t>Converting the remaining 95 per cent into an account</w:t>
      </w:r>
      <w:r w:rsidR="00A8443E" w:rsidRPr="00027624">
        <w:noBreakHyphen/>
      </w:r>
      <w:r w:rsidRPr="00027624">
        <w:t>based pension</w:t>
      </w:r>
    </w:p>
    <w:p w14:paraId="6E595D16" w14:textId="77777777" w:rsidR="00E96B29" w:rsidRPr="00027624" w:rsidRDefault="00E96B29" w:rsidP="00991CC6">
      <w:pPr>
        <w:pStyle w:val="Bullet"/>
        <w:spacing w:after="80"/>
      </w:pPr>
      <w:r w:rsidRPr="00027624">
        <w:t>Transferring superannuation assets above the transfer balance cap outside superannuation</w:t>
      </w:r>
    </w:p>
    <w:p w14:paraId="75551677" w14:textId="77777777" w:rsidR="00E96B29" w:rsidRPr="00027624" w:rsidRDefault="00E96B29" w:rsidP="00E96B29">
      <w:pPr>
        <w:pStyle w:val="Heading5"/>
      </w:pPr>
      <w:r w:rsidRPr="00027624">
        <w:t>Account</w:t>
      </w:r>
      <w:r w:rsidR="00A8443E" w:rsidRPr="00027624">
        <w:noBreakHyphen/>
      </w:r>
      <w:r w:rsidRPr="00027624">
        <w:t>based pension</w:t>
      </w:r>
    </w:p>
    <w:p w14:paraId="5C4BCEA3" w14:textId="77777777" w:rsidR="00E96B29" w:rsidRPr="00027624" w:rsidRDefault="00E96B29" w:rsidP="00991CC6">
      <w:pPr>
        <w:spacing w:after="80"/>
      </w:pPr>
      <w:r w:rsidRPr="00027624">
        <w:t>Superannuation assets are drawn down at a rate to:</w:t>
      </w:r>
    </w:p>
    <w:p w14:paraId="63432359" w14:textId="77777777" w:rsidR="00E96B29" w:rsidRPr="00027624" w:rsidRDefault="00E96B29" w:rsidP="00991CC6">
      <w:pPr>
        <w:pStyle w:val="Bullet"/>
        <w:spacing w:after="80"/>
      </w:pPr>
      <w:r w:rsidRPr="00027624">
        <w:t>Exhaust superannuation assets (excluding their longevity protection product) at age 92, which is equal to cohort life expectancy in the 2015 Intergenerational Report averaged for men and women</w:t>
      </w:r>
      <w:r w:rsidRPr="00027624">
        <w:rPr>
          <w:rStyle w:val="FootnoteReference"/>
        </w:rPr>
        <w:footnoteReference w:id="335"/>
      </w:r>
    </w:p>
    <w:p w14:paraId="21AFE8E6" w14:textId="263AB315" w:rsidR="00E96B29" w:rsidRPr="00027624" w:rsidRDefault="00E96B29" w:rsidP="00991CC6">
      <w:pPr>
        <w:pStyle w:val="Bullet"/>
        <w:spacing w:after="80"/>
      </w:pPr>
      <w:r w:rsidRPr="00027624">
        <w:t xml:space="preserve">Produce a constant real income stream inclusive of any </w:t>
      </w:r>
      <w:r w:rsidRPr="00027624" w:rsidDel="0068007C">
        <w:t>Age</w:t>
      </w:r>
      <w:r w:rsidRPr="00027624">
        <w:t> Pension eligibility and non</w:t>
      </w:r>
      <w:r w:rsidR="00A8443E" w:rsidRPr="00027624">
        <w:noBreakHyphen/>
      </w:r>
      <w:r w:rsidRPr="00027624">
        <w:t>superannuation wealth income (</w:t>
      </w:r>
      <w:r w:rsidRPr="00027624">
        <w:fldChar w:fldCharType="begin"/>
      </w:r>
      <w:r w:rsidRPr="00027624">
        <w:instrText xml:space="preserve"> REF _Ref39140435 \r \h  \* MERGEFORMAT </w:instrText>
      </w:r>
      <w:r w:rsidRPr="00027624">
        <w:fldChar w:fldCharType="separate"/>
      </w:r>
      <w:r w:rsidR="00891058">
        <w:t>Chart 6A-25</w:t>
      </w:r>
      <w:r w:rsidRPr="00027624">
        <w:fldChar w:fldCharType="end"/>
      </w:r>
      <w:r w:rsidRPr="00027624">
        <w:t>)</w:t>
      </w:r>
    </w:p>
    <w:p w14:paraId="748671AE" w14:textId="77777777" w:rsidR="00E96B29" w:rsidRPr="00027624" w:rsidRDefault="00E96B29" w:rsidP="00E96B29">
      <w:pPr>
        <w:pStyle w:val="Bullet"/>
        <w:numPr>
          <w:ilvl w:val="0"/>
          <w:numId w:val="0"/>
        </w:numPr>
      </w:pPr>
      <w:r w:rsidRPr="00027624">
        <w:t>Ensuring superannuation wealth is for retirement income aligns with its intended purpose and avoids leaving large bequests. Additionally, this assumption tests the capacity of the system to deliver retirement incomes rather than the incomes delivered under lower drawdown rates (for drawdown sensitivity analysis and bequests, see</w:t>
      </w:r>
      <w:r w:rsidRPr="00027624">
        <w:rPr>
          <w:i/>
        </w:rPr>
        <w:t xml:space="preserve"> 2C. Maintaining standards of living in retirement</w:t>
      </w:r>
      <w:r w:rsidRPr="00027624">
        <w:t>).</w:t>
      </w:r>
    </w:p>
    <w:p w14:paraId="64C40DE7" w14:textId="77777777" w:rsidR="00E96B29" w:rsidRPr="00027624" w:rsidRDefault="00E96B29" w:rsidP="00E96B29">
      <w:pPr>
        <w:pStyle w:val="ChartMainHeading"/>
      </w:pPr>
      <w:bookmarkStart w:id="4271" w:name="_Ref39140435"/>
      <w:r w:rsidRPr="00027624">
        <w:t>Projected disposable income by age and income percentile</w:t>
      </w:r>
      <w:bookmarkEnd w:id="4271"/>
    </w:p>
    <w:p w14:paraId="5056541F" w14:textId="77777777" w:rsidR="00C11F4E" w:rsidRDefault="00E01569" w:rsidP="00C11F4E">
      <w:pPr>
        <w:pStyle w:val="ChartGraphic"/>
      </w:pPr>
      <w:r>
        <w:rPr>
          <w:noProof/>
        </w:rPr>
        <w:drawing>
          <wp:inline distT="0" distB="0" distL="0" distR="0" wp14:anchorId="11EB2A27" wp14:editId="05BCC721">
            <wp:extent cx="5580000" cy="2540550"/>
            <wp:effectExtent l="0" t="0" r="1905" b="0"/>
            <wp:docPr id="141855623" name="Picture 141855623" descr="This chart shows income by age for different income percentiles. Incomes are more varied in income working life and are generally hump shaped over age. Profiles narrowing in retirement, with each income percentile receiving a constant retirement income up to life expectancy and a slightly increasing retirement income post-life expectancy. " title="Chart 6A-25 Projected disposable income by age and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580000" cy="2540550"/>
                    </a:xfrm>
                    <a:prstGeom prst="rect">
                      <a:avLst/>
                    </a:prstGeom>
                    <a:noFill/>
                  </pic:spPr>
                </pic:pic>
              </a:graphicData>
            </a:graphic>
          </wp:inline>
        </w:drawing>
      </w:r>
    </w:p>
    <w:p w14:paraId="1AE6171C" w14:textId="77777777" w:rsidR="00E96B29" w:rsidRPr="00027624" w:rsidRDefault="00E96B29" w:rsidP="00991CC6">
      <w:pPr>
        <w:pStyle w:val="ChartorTableNote"/>
        <w:spacing w:before="0" w:after="120"/>
      </w:pPr>
      <w:r w:rsidRPr="00027624">
        <w:t>Note: Values are in 2019</w:t>
      </w:r>
      <w:r w:rsidR="00A8443E" w:rsidRPr="00027624">
        <w:noBreakHyphen/>
      </w:r>
      <w:r w:rsidRPr="00027624">
        <w:t>20 dollars using the review</w:t>
      </w:r>
      <w:r w:rsidR="00A8443E" w:rsidRPr="00027624">
        <w:t>’</w:t>
      </w:r>
      <w:r w:rsidRPr="00027624">
        <w:t>s mixed deflator. Source: Cameo modelling undertaken for the review.</w:t>
      </w:r>
    </w:p>
    <w:p w14:paraId="08114B97" w14:textId="77777777" w:rsidR="00E96B29" w:rsidRPr="00027624" w:rsidRDefault="00E96B29" w:rsidP="00991CC6">
      <w:pPr>
        <w:pStyle w:val="Bullet"/>
        <w:numPr>
          <w:ilvl w:val="0"/>
          <w:numId w:val="0"/>
        </w:numPr>
        <w:spacing w:after="80"/>
      </w:pPr>
      <w:r w:rsidRPr="00027624">
        <w:t>The drawdown rates used by the review are just one way to achieve this goal. Individual preferences or people</w:t>
      </w:r>
      <w:r w:rsidR="00A8443E" w:rsidRPr="00027624">
        <w:t>’</w:t>
      </w:r>
      <w:r w:rsidRPr="00027624">
        <w:t>s financial circumstances could mean they prefer other drawdown rates.</w:t>
      </w:r>
    </w:p>
    <w:p w14:paraId="1A8D9F19" w14:textId="41E2C52E" w:rsidR="00E96B29" w:rsidRPr="00027624" w:rsidRDefault="00E96B29" w:rsidP="00991CC6">
      <w:pPr>
        <w:pStyle w:val="Bullet"/>
        <w:numPr>
          <w:ilvl w:val="0"/>
          <w:numId w:val="0"/>
        </w:numPr>
        <w:spacing w:after="80"/>
      </w:pPr>
      <w:r w:rsidRPr="00027624">
        <w:t>The drawdown rates are calculated based on the review</w:t>
      </w:r>
      <w:r w:rsidR="00A8443E" w:rsidRPr="00027624">
        <w:t>’</w:t>
      </w:r>
      <w:r w:rsidRPr="00027624">
        <w:t xml:space="preserve">s modelling of wealth at retirement, expected asset returns, and </w:t>
      </w:r>
      <w:r w:rsidRPr="00027624" w:rsidDel="0068007C">
        <w:t>Age</w:t>
      </w:r>
      <w:r w:rsidRPr="00027624">
        <w:t> Pension eligibility. These rates increase with age to produce constant real income as balances reduce (</w:t>
      </w:r>
      <w:r w:rsidRPr="00027624">
        <w:fldChar w:fldCharType="begin"/>
      </w:r>
      <w:r w:rsidRPr="00027624">
        <w:instrText xml:space="preserve"> REF _Ref42621187 \n \h  \* MERGEFORMAT </w:instrText>
      </w:r>
      <w:r w:rsidRPr="00027624">
        <w:fldChar w:fldCharType="separate"/>
      </w:r>
      <w:r w:rsidR="00891058">
        <w:t>Table 6A-11</w:t>
      </w:r>
      <w:r w:rsidRPr="00027624">
        <w:fldChar w:fldCharType="end"/>
      </w:r>
      <w:r w:rsidRPr="00027624">
        <w:t xml:space="preserve"> and </w:t>
      </w:r>
      <w:r w:rsidRPr="00027624">
        <w:fldChar w:fldCharType="begin"/>
      </w:r>
      <w:r w:rsidRPr="00027624">
        <w:instrText xml:space="preserve"> REF _Ref39140513 \r \h  \* MERGEFORMAT </w:instrText>
      </w:r>
      <w:r w:rsidRPr="00027624">
        <w:fldChar w:fldCharType="separate"/>
      </w:r>
      <w:r w:rsidR="00891058">
        <w:t>Table 6A-12</w:t>
      </w:r>
      <w:r w:rsidRPr="00027624">
        <w:fldChar w:fldCharType="end"/>
      </w:r>
      <w:r w:rsidRPr="00027624">
        <w:t>).</w:t>
      </w:r>
    </w:p>
    <w:p w14:paraId="461D413F" w14:textId="7F19DBBF" w:rsidR="00E96B29" w:rsidRPr="00027624" w:rsidRDefault="00E96B29" w:rsidP="00991CC6">
      <w:pPr>
        <w:pStyle w:val="Bullet"/>
        <w:numPr>
          <w:ilvl w:val="0"/>
          <w:numId w:val="0"/>
        </w:numPr>
        <w:spacing w:after="80"/>
      </w:pPr>
      <w:r w:rsidRPr="00027624">
        <w:t>The drawdown rates are designed to exhaust superannuation balances at age 92 for most people. People in the top 80</w:t>
      </w:r>
      <w:r w:rsidRPr="00027624">
        <w:rPr>
          <w:vertAlign w:val="superscript"/>
        </w:rPr>
        <w:t>th</w:t>
      </w:r>
      <w:r w:rsidRPr="00027624">
        <w:t xml:space="preserve"> and higher percentiles can have balances that are not completely exhausted by this age.</w:t>
      </w:r>
      <w:r w:rsidR="00527196">
        <w:t xml:space="preserve"> </w:t>
      </w:r>
      <w:r w:rsidRPr="00027624">
        <w:t xml:space="preserve">The drawdown rates account for the </w:t>
      </w:r>
      <w:r w:rsidRPr="00027624" w:rsidDel="0068007C">
        <w:t>Age</w:t>
      </w:r>
      <w:r w:rsidRPr="00027624">
        <w:t xml:space="preserve"> Pension to produce a consistent income stream in real terms. The </w:t>
      </w:r>
      <w:r w:rsidRPr="00027624" w:rsidDel="0068007C">
        <w:t>Age</w:t>
      </w:r>
      <w:r w:rsidRPr="00027624">
        <w:t> Pension makes up a growing proportion of retirement income with age (</w:t>
      </w:r>
      <w:r w:rsidRPr="00027624">
        <w:fldChar w:fldCharType="begin"/>
      </w:r>
      <w:r w:rsidRPr="00027624">
        <w:instrText xml:space="preserve"> REF _Ref39140545 \r \h  \* MERGEFORMAT </w:instrText>
      </w:r>
      <w:r w:rsidRPr="00027624">
        <w:fldChar w:fldCharType="separate"/>
      </w:r>
      <w:r w:rsidR="00891058">
        <w:t>Chart 6A-29</w:t>
      </w:r>
      <w:r w:rsidRPr="00027624">
        <w:fldChar w:fldCharType="end"/>
      </w:r>
      <w:r w:rsidRPr="00027624">
        <w:t>).</w:t>
      </w:r>
      <w:r w:rsidRPr="00027624">
        <w:rPr>
          <w:rStyle w:val="FootnoteReference"/>
        </w:rPr>
        <w:footnoteReference w:id="336"/>
      </w:r>
    </w:p>
    <w:p w14:paraId="6B5CEC72" w14:textId="77777777" w:rsidR="00E96B29" w:rsidRPr="00027624" w:rsidRDefault="00E96B29" w:rsidP="00991CC6">
      <w:pPr>
        <w:pStyle w:val="Bullet"/>
        <w:numPr>
          <w:ilvl w:val="0"/>
          <w:numId w:val="0"/>
        </w:numPr>
        <w:spacing w:after="80"/>
      </w:pPr>
    </w:p>
    <w:p w14:paraId="66E7B418" w14:textId="77777777" w:rsidR="00E96B29" w:rsidRPr="00991CC6" w:rsidRDefault="00E96B29" w:rsidP="00991CC6">
      <w:pPr>
        <w:pStyle w:val="TableMainHeading"/>
      </w:pPr>
      <w:bookmarkStart w:id="4272" w:name="_Ref39140512"/>
      <w:bookmarkStart w:id="4273" w:name="_Ref42621187"/>
      <w:r w:rsidRPr="00991CC6">
        <w:t>Individual drawdown rates by income percentile</w:t>
      </w:r>
      <w:bookmarkEnd w:id="4272"/>
      <w:bookmarkEnd w:id="4273"/>
    </w:p>
    <w:tbl>
      <w:tblPr>
        <w:tblW w:w="5000" w:type="pct"/>
        <w:tblLook w:val="01E0" w:firstRow="1" w:lastRow="1" w:firstColumn="1" w:lastColumn="1" w:noHBand="0" w:noVBand="0"/>
      </w:tblPr>
      <w:tblGrid>
        <w:gridCol w:w="1388"/>
        <w:gridCol w:w="804"/>
        <w:gridCol w:w="842"/>
        <w:gridCol w:w="842"/>
        <w:gridCol w:w="842"/>
        <w:gridCol w:w="842"/>
        <w:gridCol w:w="842"/>
        <w:gridCol w:w="837"/>
        <w:gridCol w:w="837"/>
        <w:gridCol w:w="994"/>
      </w:tblGrid>
      <w:tr w:rsidR="00E96B29" w:rsidRPr="00027624" w14:paraId="7AA82BA5" w14:textId="77777777" w:rsidTr="00E96B29">
        <w:trPr>
          <w:trHeight w:val="270"/>
          <w:tblHeader/>
        </w:trPr>
        <w:tc>
          <w:tcPr>
            <w:tcW w:w="741" w:type="pct"/>
            <w:shd w:val="clear" w:color="auto" w:fill="E5E5E5"/>
          </w:tcPr>
          <w:p w14:paraId="61F4DF19" w14:textId="77777777" w:rsidR="00E96B29" w:rsidRPr="00027624" w:rsidRDefault="00E96B29" w:rsidP="00E96B29">
            <w:pPr>
              <w:pStyle w:val="TableColumnHeadingLeft"/>
            </w:pPr>
            <w:r w:rsidRPr="00027624">
              <w:t>Percentile</w:t>
            </w:r>
          </w:p>
        </w:tc>
        <w:tc>
          <w:tcPr>
            <w:tcW w:w="446" w:type="pct"/>
            <w:shd w:val="clear" w:color="auto" w:fill="E5E5E5"/>
          </w:tcPr>
          <w:p w14:paraId="0A1FAEE2" w14:textId="77777777" w:rsidR="00E96B29" w:rsidRPr="00027624" w:rsidRDefault="00E96B29" w:rsidP="00E96B29">
            <w:pPr>
              <w:pStyle w:val="TableColumnHeadingCentred"/>
            </w:pPr>
            <w:r w:rsidRPr="00027624">
              <w:t>10</w:t>
            </w:r>
            <w:r w:rsidRPr="00027624">
              <w:rPr>
                <w:vertAlign w:val="superscript"/>
              </w:rPr>
              <w:t>th</w:t>
            </w:r>
          </w:p>
        </w:tc>
        <w:tc>
          <w:tcPr>
            <w:tcW w:w="467" w:type="pct"/>
            <w:shd w:val="clear" w:color="auto" w:fill="E5E5E5"/>
          </w:tcPr>
          <w:p w14:paraId="7C84BDAF" w14:textId="77777777" w:rsidR="00E96B29" w:rsidRPr="00027624" w:rsidRDefault="00E96B29" w:rsidP="00E96B29">
            <w:pPr>
              <w:pStyle w:val="TableColumnHeadingCentred"/>
            </w:pPr>
            <w:r w:rsidRPr="00027624">
              <w:t>20</w:t>
            </w:r>
            <w:r w:rsidRPr="00027624">
              <w:rPr>
                <w:vertAlign w:val="superscript"/>
              </w:rPr>
              <w:t>th</w:t>
            </w:r>
          </w:p>
        </w:tc>
        <w:tc>
          <w:tcPr>
            <w:tcW w:w="467" w:type="pct"/>
            <w:shd w:val="clear" w:color="auto" w:fill="E5E5E5"/>
          </w:tcPr>
          <w:p w14:paraId="0B6DDB83" w14:textId="77777777" w:rsidR="00E96B29" w:rsidRPr="00027624" w:rsidRDefault="00E96B29" w:rsidP="00E96B29">
            <w:pPr>
              <w:pStyle w:val="TableColumnHeadingCentred"/>
            </w:pPr>
            <w:r w:rsidRPr="00027624">
              <w:t>30</w:t>
            </w:r>
            <w:r w:rsidRPr="00027624">
              <w:rPr>
                <w:vertAlign w:val="superscript"/>
              </w:rPr>
              <w:t>th</w:t>
            </w:r>
          </w:p>
        </w:tc>
        <w:tc>
          <w:tcPr>
            <w:tcW w:w="467" w:type="pct"/>
            <w:shd w:val="clear" w:color="auto" w:fill="E5E5E5"/>
          </w:tcPr>
          <w:p w14:paraId="108AEAAA" w14:textId="77777777" w:rsidR="00E96B29" w:rsidRPr="00027624" w:rsidRDefault="00E96B29" w:rsidP="00E96B29">
            <w:pPr>
              <w:pStyle w:val="TableColumnHeadingCentred"/>
            </w:pPr>
            <w:r w:rsidRPr="00027624">
              <w:t>40</w:t>
            </w:r>
            <w:r w:rsidRPr="00027624">
              <w:rPr>
                <w:vertAlign w:val="superscript"/>
              </w:rPr>
              <w:t>th</w:t>
            </w:r>
          </w:p>
        </w:tc>
        <w:tc>
          <w:tcPr>
            <w:tcW w:w="467" w:type="pct"/>
            <w:shd w:val="clear" w:color="auto" w:fill="E5E5E5"/>
          </w:tcPr>
          <w:p w14:paraId="3C592678" w14:textId="77777777" w:rsidR="00E96B29" w:rsidRPr="00027624" w:rsidRDefault="00E96B29" w:rsidP="00E96B29">
            <w:pPr>
              <w:pStyle w:val="TableColumnHeadingCentred"/>
            </w:pPr>
            <w:r w:rsidRPr="00027624">
              <w:t>50</w:t>
            </w:r>
            <w:r w:rsidRPr="00027624">
              <w:rPr>
                <w:vertAlign w:val="superscript"/>
              </w:rPr>
              <w:t>th</w:t>
            </w:r>
          </w:p>
        </w:tc>
        <w:tc>
          <w:tcPr>
            <w:tcW w:w="467" w:type="pct"/>
            <w:shd w:val="clear" w:color="auto" w:fill="E5E5E5"/>
          </w:tcPr>
          <w:p w14:paraId="4325919A" w14:textId="77777777" w:rsidR="00E96B29" w:rsidRPr="00027624" w:rsidRDefault="00E96B29" w:rsidP="00E96B29">
            <w:pPr>
              <w:pStyle w:val="TableColumnHeadingCentred"/>
            </w:pPr>
            <w:r w:rsidRPr="00027624">
              <w:t>60</w:t>
            </w:r>
            <w:r w:rsidRPr="00027624">
              <w:rPr>
                <w:vertAlign w:val="superscript"/>
              </w:rPr>
              <w:t>th</w:t>
            </w:r>
          </w:p>
        </w:tc>
        <w:tc>
          <w:tcPr>
            <w:tcW w:w="464" w:type="pct"/>
            <w:shd w:val="clear" w:color="auto" w:fill="E5E5E5"/>
          </w:tcPr>
          <w:p w14:paraId="134F89C7" w14:textId="77777777" w:rsidR="00E96B29" w:rsidRPr="00027624" w:rsidRDefault="00E96B29" w:rsidP="00E96B29">
            <w:pPr>
              <w:pStyle w:val="TableColumnHeadingCentred"/>
            </w:pPr>
            <w:r w:rsidRPr="00027624">
              <w:t>70</w:t>
            </w:r>
            <w:r w:rsidRPr="00027624">
              <w:rPr>
                <w:vertAlign w:val="superscript"/>
              </w:rPr>
              <w:t>th</w:t>
            </w:r>
          </w:p>
        </w:tc>
        <w:tc>
          <w:tcPr>
            <w:tcW w:w="464" w:type="pct"/>
            <w:shd w:val="clear" w:color="auto" w:fill="E5E5E5"/>
          </w:tcPr>
          <w:p w14:paraId="6D65600C" w14:textId="77777777" w:rsidR="00E96B29" w:rsidRPr="00027624" w:rsidRDefault="00E96B29" w:rsidP="00E96B29">
            <w:pPr>
              <w:pStyle w:val="TableColumnHeadingCentred"/>
            </w:pPr>
            <w:r w:rsidRPr="00027624">
              <w:t>80</w:t>
            </w:r>
            <w:r w:rsidRPr="00027624">
              <w:rPr>
                <w:vertAlign w:val="superscript"/>
              </w:rPr>
              <w:t>th</w:t>
            </w:r>
          </w:p>
        </w:tc>
        <w:tc>
          <w:tcPr>
            <w:tcW w:w="550" w:type="pct"/>
            <w:shd w:val="clear" w:color="auto" w:fill="E5E5E5"/>
          </w:tcPr>
          <w:p w14:paraId="65229482" w14:textId="77777777" w:rsidR="00E96B29" w:rsidRPr="00027624" w:rsidRDefault="00E96B29" w:rsidP="00E96B29">
            <w:pPr>
              <w:pStyle w:val="TableColumnHeadingCentred"/>
            </w:pPr>
            <w:r w:rsidRPr="00027624">
              <w:t>90</w:t>
            </w:r>
            <w:r w:rsidRPr="00027624">
              <w:rPr>
                <w:vertAlign w:val="superscript"/>
              </w:rPr>
              <w:t>th</w:t>
            </w:r>
          </w:p>
        </w:tc>
      </w:tr>
      <w:tr w:rsidR="00E96B29" w:rsidRPr="00027624" w14:paraId="52F2858B" w14:textId="77777777" w:rsidTr="00E96B29">
        <w:trPr>
          <w:trHeight w:val="270"/>
        </w:trPr>
        <w:tc>
          <w:tcPr>
            <w:tcW w:w="2588" w:type="pct"/>
            <w:gridSpan w:val="5"/>
            <w:shd w:val="clear" w:color="auto" w:fill="E5E5E5"/>
            <w:vAlign w:val="bottom"/>
          </w:tcPr>
          <w:p w14:paraId="209F52C7" w14:textId="77777777" w:rsidR="00E96B29" w:rsidRPr="00027624" w:rsidRDefault="00E96B29" w:rsidP="00E96B29">
            <w:pPr>
              <w:pStyle w:val="TableColumnHeadingLeft"/>
              <w:rPr>
                <w:szCs w:val="18"/>
              </w:rPr>
            </w:pPr>
            <w:r w:rsidRPr="00027624">
              <w:t>Assets at retirement ($</w:t>
            </w:r>
            <w:r w:rsidR="00A8443E" w:rsidRPr="00027624">
              <w:t>’</w:t>
            </w:r>
            <w:r w:rsidRPr="00027624">
              <w:t>000)</w:t>
            </w:r>
          </w:p>
        </w:tc>
        <w:tc>
          <w:tcPr>
            <w:tcW w:w="467" w:type="pct"/>
            <w:shd w:val="clear" w:color="auto" w:fill="E5E5E5"/>
            <w:vAlign w:val="bottom"/>
          </w:tcPr>
          <w:p w14:paraId="1B375D42" w14:textId="77777777" w:rsidR="00E96B29" w:rsidRPr="00027624" w:rsidRDefault="00E96B29" w:rsidP="00E96B29">
            <w:pPr>
              <w:pStyle w:val="TableColumnHeadingCentred"/>
              <w:rPr>
                <w:szCs w:val="18"/>
              </w:rPr>
            </w:pPr>
          </w:p>
        </w:tc>
        <w:tc>
          <w:tcPr>
            <w:tcW w:w="467" w:type="pct"/>
            <w:shd w:val="clear" w:color="auto" w:fill="E5E5E5"/>
            <w:vAlign w:val="bottom"/>
          </w:tcPr>
          <w:p w14:paraId="360172F6" w14:textId="77777777" w:rsidR="00E96B29" w:rsidRPr="00027624" w:rsidRDefault="00E96B29" w:rsidP="00E96B29">
            <w:pPr>
              <w:pStyle w:val="TableColumnHeadingCentred"/>
              <w:rPr>
                <w:szCs w:val="18"/>
              </w:rPr>
            </w:pPr>
          </w:p>
        </w:tc>
        <w:tc>
          <w:tcPr>
            <w:tcW w:w="464" w:type="pct"/>
            <w:shd w:val="clear" w:color="auto" w:fill="E5E5E5"/>
            <w:vAlign w:val="bottom"/>
          </w:tcPr>
          <w:p w14:paraId="70A413DE" w14:textId="77777777" w:rsidR="00E96B29" w:rsidRPr="00027624" w:rsidRDefault="00E96B29" w:rsidP="00E96B29">
            <w:pPr>
              <w:pStyle w:val="TableColumnHeadingCentred"/>
              <w:rPr>
                <w:szCs w:val="18"/>
              </w:rPr>
            </w:pPr>
          </w:p>
        </w:tc>
        <w:tc>
          <w:tcPr>
            <w:tcW w:w="464" w:type="pct"/>
            <w:shd w:val="clear" w:color="auto" w:fill="E5E5E5"/>
            <w:vAlign w:val="bottom"/>
          </w:tcPr>
          <w:p w14:paraId="619B16F2" w14:textId="77777777" w:rsidR="00E96B29" w:rsidRPr="00027624" w:rsidRDefault="00E96B29" w:rsidP="00E96B29">
            <w:pPr>
              <w:pStyle w:val="TableColumnHeadingCentred"/>
              <w:rPr>
                <w:szCs w:val="18"/>
              </w:rPr>
            </w:pPr>
          </w:p>
        </w:tc>
        <w:tc>
          <w:tcPr>
            <w:tcW w:w="550" w:type="pct"/>
            <w:shd w:val="clear" w:color="auto" w:fill="E5E5E5"/>
            <w:vAlign w:val="bottom"/>
          </w:tcPr>
          <w:p w14:paraId="15CC1FF4" w14:textId="77777777" w:rsidR="00E96B29" w:rsidRPr="00027624" w:rsidRDefault="00E96B29" w:rsidP="00E96B29">
            <w:pPr>
              <w:pStyle w:val="TableColumnHeadingCentred"/>
              <w:rPr>
                <w:szCs w:val="18"/>
              </w:rPr>
            </w:pPr>
          </w:p>
        </w:tc>
      </w:tr>
      <w:tr w:rsidR="00E96B29" w:rsidRPr="00027624" w14:paraId="12F64956" w14:textId="77777777" w:rsidTr="00E96B29">
        <w:trPr>
          <w:trHeight w:val="270"/>
        </w:trPr>
        <w:tc>
          <w:tcPr>
            <w:tcW w:w="741" w:type="pct"/>
            <w:shd w:val="clear" w:color="auto" w:fill="auto"/>
            <w:vAlign w:val="bottom"/>
          </w:tcPr>
          <w:p w14:paraId="3CF9FE49" w14:textId="77777777" w:rsidR="00E96B29" w:rsidRPr="00027624" w:rsidRDefault="00E96B29" w:rsidP="00E96B29">
            <w:pPr>
              <w:pStyle w:val="TableTextLeft"/>
              <w:rPr>
                <w:bCs/>
                <w:szCs w:val="18"/>
              </w:rPr>
            </w:pPr>
            <w:r w:rsidRPr="00027624">
              <w:rPr>
                <w:bCs/>
                <w:szCs w:val="18"/>
              </w:rPr>
              <w:t>Superannuation</w:t>
            </w:r>
          </w:p>
        </w:tc>
        <w:tc>
          <w:tcPr>
            <w:tcW w:w="446" w:type="pct"/>
            <w:shd w:val="clear" w:color="auto" w:fill="auto"/>
            <w:vAlign w:val="bottom"/>
          </w:tcPr>
          <w:p w14:paraId="5D9D19B9" w14:textId="77777777" w:rsidR="00E96B29" w:rsidRPr="00027624" w:rsidRDefault="00E96B29" w:rsidP="00E96B29">
            <w:pPr>
              <w:pStyle w:val="TableTextCentered"/>
              <w:rPr>
                <w:b/>
                <w:szCs w:val="18"/>
              </w:rPr>
            </w:pPr>
            <w:r w:rsidRPr="00027624">
              <w:rPr>
                <w:szCs w:val="18"/>
              </w:rPr>
              <w:t>145</w:t>
            </w:r>
          </w:p>
        </w:tc>
        <w:tc>
          <w:tcPr>
            <w:tcW w:w="467" w:type="pct"/>
            <w:shd w:val="clear" w:color="auto" w:fill="auto"/>
            <w:vAlign w:val="bottom"/>
          </w:tcPr>
          <w:p w14:paraId="6EF0BAED" w14:textId="77777777" w:rsidR="00E96B29" w:rsidRPr="00027624" w:rsidRDefault="00E96B29" w:rsidP="00E96B29">
            <w:pPr>
              <w:pStyle w:val="TableTextCentered"/>
              <w:rPr>
                <w:b/>
                <w:szCs w:val="18"/>
              </w:rPr>
            </w:pPr>
            <w:r w:rsidRPr="00027624">
              <w:rPr>
                <w:szCs w:val="18"/>
              </w:rPr>
              <w:t>220</w:t>
            </w:r>
          </w:p>
        </w:tc>
        <w:tc>
          <w:tcPr>
            <w:tcW w:w="467" w:type="pct"/>
            <w:shd w:val="clear" w:color="auto" w:fill="auto"/>
            <w:vAlign w:val="bottom"/>
          </w:tcPr>
          <w:p w14:paraId="24400571" w14:textId="77777777" w:rsidR="00E96B29" w:rsidRPr="00027624" w:rsidRDefault="00E96B29" w:rsidP="00E96B29">
            <w:pPr>
              <w:pStyle w:val="TableTextCentered"/>
              <w:rPr>
                <w:b/>
                <w:szCs w:val="18"/>
              </w:rPr>
            </w:pPr>
            <w:r w:rsidRPr="00027624">
              <w:rPr>
                <w:szCs w:val="18"/>
              </w:rPr>
              <w:t>300</w:t>
            </w:r>
          </w:p>
        </w:tc>
        <w:tc>
          <w:tcPr>
            <w:tcW w:w="467" w:type="pct"/>
            <w:shd w:val="clear" w:color="auto" w:fill="auto"/>
            <w:vAlign w:val="bottom"/>
          </w:tcPr>
          <w:p w14:paraId="471D96E4" w14:textId="77777777" w:rsidR="00E96B29" w:rsidRPr="00027624" w:rsidRDefault="00E96B29" w:rsidP="00E96B29">
            <w:pPr>
              <w:pStyle w:val="TableTextCentered"/>
              <w:rPr>
                <w:b/>
                <w:szCs w:val="18"/>
              </w:rPr>
            </w:pPr>
            <w:r w:rsidRPr="00027624">
              <w:rPr>
                <w:szCs w:val="18"/>
              </w:rPr>
              <w:t>375</w:t>
            </w:r>
          </w:p>
        </w:tc>
        <w:tc>
          <w:tcPr>
            <w:tcW w:w="467" w:type="pct"/>
            <w:shd w:val="clear" w:color="auto" w:fill="auto"/>
            <w:vAlign w:val="bottom"/>
          </w:tcPr>
          <w:p w14:paraId="553296AC" w14:textId="77777777" w:rsidR="00E96B29" w:rsidRPr="00027624" w:rsidRDefault="00E96B29" w:rsidP="00E96B29">
            <w:pPr>
              <w:pStyle w:val="TableTextCentered"/>
              <w:rPr>
                <w:b/>
                <w:szCs w:val="18"/>
              </w:rPr>
            </w:pPr>
            <w:r w:rsidRPr="00027624">
              <w:rPr>
                <w:szCs w:val="18"/>
              </w:rPr>
              <w:t>455</w:t>
            </w:r>
          </w:p>
        </w:tc>
        <w:tc>
          <w:tcPr>
            <w:tcW w:w="467" w:type="pct"/>
            <w:shd w:val="clear" w:color="auto" w:fill="auto"/>
            <w:vAlign w:val="bottom"/>
          </w:tcPr>
          <w:p w14:paraId="10CB2944" w14:textId="77777777" w:rsidR="00E96B29" w:rsidRPr="00027624" w:rsidRDefault="00E96B29" w:rsidP="00E96B29">
            <w:pPr>
              <w:pStyle w:val="TableTextCentered"/>
              <w:rPr>
                <w:b/>
                <w:szCs w:val="18"/>
              </w:rPr>
            </w:pPr>
            <w:r w:rsidRPr="00027624">
              <w:rPr>
                <w:szCs w:val="18"/>
              </w:rPr>
              <w:t>555</w:t>
            </w:r>
          </w:p>
        </w:tc>
        <w:tc>
          <w:tcPr>
            <w:tcW w:w="464" w:type="pct"/>
            <w:shd w:val="clear" w:color="auto" w:fill="auto"/>
            <w:vAlign w:val="bottom"/>
          </w:tcPr>
          <w:p w14:paraId="5CFAD4F1" w14:textId="77777777" w:rsidR="00E96B29" w:rsidRPr="00027624" w:rsidRDefault="00E96B29" w:rsidP="00E96B29">
            <w:pPr>
              <w:pStyle w:val="TableTextCentered"/>
              <w:rPr>
                <w:b/>
                <w:szCs w:val="18"/>
              </w:rPr>
            </w:pPr>
            <w:r w:rsidRPr="00027624">
              <w:rPr>
                <w:szCs w:val="18"/>
              </w:rPr>
              <w:t>660</w:t>
            </w:r>
          </w:p>
        </w:tc>
        <w:tc>
          <w:tcPr>
            <w:tcW w:w="464" w:type="pct"/>
            <w:shd w:val="clear" w:color="auto" w:fill="auto"/>
            <w:vAlign w:val="bottom"/>
          </w:tcPr>
          <w:p w14:paraId="1DC80715" w14:textId="77777777" w:rsidR="00E96B29" w:rsidRPr="00027624" w:rsidRDefault="00E96B29" w:rsidP="00E96B29">
            <w:pPr>
              <w:pStyle w:val="TableTextCentered"/>
              <w:rPr>
                <w:szCs w:val="18"/>
              </w:rPr>
            </w:pPr>
            <w:r w:rsidRPr="00027624">
              <w:rPr>
                <w:szCs w:val="18"/>
              </w:rPr>
              <w:t>810</w:t>
            </w:r>
          </w:p>
        </w:tc>
        <w:tc>
          <w:tcPr>
            <w:tcW w:w="550" w:type="pct"/>
            <w:shd w:val="clear" w:color="auto" w:fill="auto"/>
            <w:vAlign w:val="bottom"/>
          </w:tcPr>
          <w:p w14:paraId="1DC468D4" w14:textId="77777777" w:rsidR="00E96B29" w:rsidRPr="00027624" w:rsidRDefault="00E96B29" w:rsidP="00E96B29">
            <w:pPr>
              <w:pStyle w:val="TableTextCentered"/>
              <w:rPr>
                <w:szCs w:val="18"/>
              </w:rPr>
            </w:pPr>
            <w:r w:rsidRPr="00027624">
              <w:rPr>
                <w:szCs w:val="18"/>
              </w:rPr>
              <w:t>1,000</w:t>
            </w:r>
          </w:p>
        </w:tc>
      </w:tr>
      <w:tr w:rsidR="00E96B29" w:rsidRPr="00027624" w14:paraId="1650CC38" w14:textId="77777777" w:rsidTr="00E96B29">
        <w:trPr>
          <w:trHeight w:val="270"/>
        </w:trPr>
        <w:tc>
          <w:tcPr>
            <w:tcW w:w="741" w:type="pct"/>
            <w:shd w:val="clear" w:color="auto" w:fill="auto"/>
            <w:vAlign w:val="bottom"/>
          </w:tcPr>
          <w:p w14:paraId="0D682430" w14:textId="77777777" w:rsidR="00E96B29" w:rsidRPr="00027624" w:rsidRDefault="00E96B29" w:rsidP="00E96B29">
            <w:pPr>
              <w:pStyle w:val="TableTextLeft"/>
              <w:rPr>
                <w:bCs/>
                <w:szCs w:val="18"/>
              </w:rPr>
            </w:pPr>
            <w:r w:rsidRPr="00027624">
              <w:rPr>
                <w:bCs/>
                <w:szCs w:val="18"/>
              </w:rPr>
              <w:t>Other assets</w:t>
            </w:r>
          </w:p>
        </w:tc>
        <w:tc>
          <w:tcPr>
            <w:tcW w:w="446" w:type="pct"/>
            <w:shd w:val="clear" w:color="auto" w:fill="auto"/>
            <w:vAlign w:val="bottom"/>
          </w:tcPr>
          <w:p w14:paraId="6F4104E6" w14:textId="77777777" w:rsidR="00E96B29" w:rsidRPr="00027624" w:rsidRDefault="00E96B29" w:rsidP="00E96B29">
            <w:pPr>
              <w:pStyle w:val="TableTextCentered"/>
              <w:rPr>
                <w:b/>
                <w:szCs w:val="18"/>
              </w:rPr>
            </w:pPr>
            <w:r w:rsidRPr="00027624">
              <w:rPr>
                <w:szCs w:val="18"/>
              </w:rPr>
              <w:t>5</w:t>
            </w:r>
          </w:p>
        </w:tc>
        <w:tc>
          <w:tcPr>
            <w:tcW w:w="467" w:type="pct"/>
            <w:shd w:val="clear" w:color="auto" w:fill="auto"/>
            <w:vAlign w:val="bottom"/>
          </w:tcPr>
          <w:p w14:paraId="2C65E5FD" w14:textId="77777777" w:rsidR="00E96B29" w:rsidRPr="00027624" w:rsidRDefault="00E96B29" w:rsidP="00E96B29">
            <w:pPr>
              <w:pStyle w:val="TableTextCentered"/>
            </w:pPr>
            <w:r w:rsidRPr="00027624">
              <w:t>5</w:t>
            </w:r>
          </w:p>
        </w:tc>
        <w:tc>
          <w:tcPr>
            <w:tcW w:w="467" w:type="pct"/>
            <w:shd w:val="clear" w:color="auto" w:fill="auto"/>
            <w:vAlign w:val="bottom"/>
          </w:tcPr>
          <w:p w14:paraId="5C34ED41" w14:textId="77777777" w:rsidR="00E96B29" w:rsidRPr="00027624" w:rsidRDefault="00E96B29" w:rsidP="00E96B29">
            <w:pPr>
              <w:pStyle w:val="TableTextCentered"/>
              <w:rPr>
                <w:b/>
                <w:szCs w:val="18"/>
              </w:rPr>
            </w:pPr>
            <w:r w:rsidRPr="00027624">
              <w:rPr>
                <w:szCs w:val="18"/>
              </w:rPr>
              <w:t>10</w:t>
            </w:r>
          </w:p>
        </w:tc>
        <w:tc>
          <w:tcPr>
            <w:tcW w:w="467" w:type="pct"/>
            <w:shd w:val="clear" w:color="auto" w:fill="auto"/>
            <w:vAlign w:val="bottom"/>
          </w:tcPr>
          <w:p w14:paraId="757EC85A" w14:textId="77777777" w:rsidR="00E96B29" w:rsidRPr="00027624" w:rsidRDefault="00E96B29" w:rsidP="00E96B29">
            <w:pPr>
              <w:pStyle w:val="TableTextCentered"/>
              <w:rPr>
                <w:b/>
                <w:szCs w:val="18"/>
              </w:rPr>
            </w:pPr>
            <w:r w:rsidRPr="00027624">
              <w:rPr>
                <w:szCs w:val="18"/>
              </w:rPr>
              <w:t>15</w:t>
            </w:r>
          </w:p>
        </w:tc>
        <w:tc>
          <w:tcPr>
            <w:tcW w:w="467" w:type="pct"/>
            <w:shd w:val="clear" w:color="auto" w:fill="auto"/>
            <w:vAlign w:val="bottom"/>
          </w:tcPr>
          <w:p w14:paraId="1BD91A8F" w14:textId="77777777" w:rsidR="00E96B29" w:rsidRPr="00027624" w:rsidRDefault="00E96B29" w:rsidP="00E96B29">
            <w:pPr>
              <w:pStyle w:val="TableTextCentered"/>
              <w:rPr>
                <w:szCs w:val="18"/>
              </w:rPr>
            </w:pPr>
            <w:r w:rsidRPr="00027624">
              <w:rPr>
                <w:szCs w:val="18"/>
              </w:rPr>
              <w:t>25</w:t>
            </w:r>
          </w:p>
        </w:tc>
        <w:tc>
          <w:tcPr>
            <w:tcW w:w="467" w:type="pct"/>
            <w:shd w:val="clear" w:color="auto" w:fill="auto"/>
            <w:vAlign w:val="bottom"/>
          </w:tcPr>
          <w:p w14:paraId="72DCAF25" w14:textId="77777777" w:rsidR="00E96B29" w:rsidRPr="00027624" w:rsidRDefault="00E96B29" w:rsidP="00E96B29">
            <w:pPr>
              <w:pStyle w:val="TableTextCentered"/>
              <w:rPr>
                <w:b/>
                <w:szCs w:val="18"/>
              </w:rPr>
            </w:pPr>
            <w:r w:rsidRPr="00027624">
              <w:rPr>
                <w:szCs w:val="18"/>
              </w:rPr>
              <w:t>40</w:t>
            </w:r>
          </w:p>
        </w:tc>
        <w:tc>
          <w:tcPr>
            <w:tcW w:w="464" w:type="pct"/>
            <w:shd w:val="clear" w:color="auto" w:fill="auto"/>
            <w:vAlign w:val="bottom"/>
          </w:tcPr>
          <w:p w14:paraId="17381E6C" w14:textId="77777777" w:rsidR="00E96B29" w:rsidRPr="00027624" w:rsidRDefault="00E96B29" w:rsidP="00E96B29">
            <w:pPr>
              <w:pStyle w:val="TableTextCentered"/>
              <w:rPr>
                <w:b/>
                <w:szCs w:val="18"/>
              </w:rPr>
            </w:pPr>
            <w:r w:rsidRPr="00027624">
              <w:rPr>
                <w:szCs w:val="18"/>
              </w:rPr>
              <w:t>75</w:t>
            </w:r>
          </w:p>
        </w:tc>
        <w:tc>
          <w:tcPr>
            <w:tcW w:w="464" w:type="pct"/>
            <w:shd w:val="clear" w:color="auto" w:fill="auto"/>
            <w:vAlign w:val="bottom"/>
          </w:tcPr>
          <w:p w14:paraId="5EF3D200" w14:textId="77777777" w:rsidR="00E96B29" w:rsidRPr="00027624" w:rsidRDefault="00E96B29" w:rsidP="00E96B29">
            <w:pPr>
              <w:pStyle w:val="TableTextCentered"/>
              <w:rPr>
                <w:szCs w:val="18"/>
              </w:rPr>
            </w:pPr>
            <w:r w:rsidRPr="00027624">
              <w:rPr>
                <w:szCs w:val="18"/>
              </w:rPr>
              <w:t>150</w:t>
            </w:r>
          </w:p>
        </w:tc>
        <w:tc>
          <w:tcPr>
            <w:tcW w:w="550" w:type="pct"/>
            <w:shd w:val="clear" w:color="auto" w:fill="auto"/>
            <w:vAlign w:val="bottom"/>
          </w:tcPr>
          <w:p w14:paraId="4ACC2FC1" w14:textId="77777777" w:rsidR="00E96B29" w:rsidRPr="00027624" w:rsidRDefault="00E96B29" w:rsidP="00E96B29">
            <w:pPr>
              <w:pStyle w:val="TableTextCentered"/>
              <w:rPr>
                <w:szCs w:val="18"/>
              </w:rPr>
            </w:pPr>
            <w:r w:rsidRPr="00027624">
              <w:rPr>
                <w:szCs w:val="18"/>
              </w:rPr>
              <w:t>450</w:t>
            </w:r>
          </w:p>
        </w:tc>
      </w:tr>
      <w:tr w:rsidR="00E96B29" w:rsidRPr="00027624" w14:paraId="4BFE5AA9" w14:textId="77777777" w:rsidTr="00E96B29">
        <w:trPr>
          <w:trHeight w:val="270"/>
        </w:trPr>
        <w:tc>
          <w:tcPr>
            <w:tcW w:w="2121" w:type="pct"/>
            <w:gridSpan w:val="4"/>
            <w:shd w:val="clear" w:color="auto" w:fill="EAEAEA" w:themeFill="accent6" w:themeFillTint="33"/>
            <w:vAlign w:val="bottom"/>
          </w:tcPr>
          <w:p w14:paraId="34B7304D" w14:textId="77777777" w:rsidR="00E96B29" w:rsidRPr="00027624" w:rsidRDefault="00E96B29" w:rsidP="00E96B29">
            <w:pPr>
              <w:pStyle w:val="TableColumnHeadingLeft"/>
            </w:pPr>
            <w:r w:rsidRPr="00027624">
              <w:t>Drawdown rates by age (per cent)</w:t>
            </w:r>
          </w:p>
        </w:tc>
        <w:tc>
          <w:tcPr>
            <w:tcW w:w="467" w:type="pct"/>
            <w:shd w:val="clear" w:color="auto" w:fill="EAEAEA" w:themeFill="accent6" w:themeFillTint="33"/>
            <w:vAlign w:val="bottom"/>
          </w:tcPr>
          <w:p w14:paraId="72C4B709" w14:textId="77777777" w:rsidR="00E96B29" w:rsidRPr="00027624" w:rsidRDefault="00E96B29" w:rsidP="00E96B29">
            <w:pPr>
              <w:pStyle w:val="TableColumnHeadingLeft"/>
              <w:rPr>
                <w:szCs w:val="18"/>
              </w:rPr>
            </w:pPr>
          </w:p>
        </w:tc>
        <w:tc>
          <w:tcPr>
            <w:tcW w:w="934" w:type="pct"/>
            <w:gridSpan w:val="2"/>
            <w:shd w:val="clear" w:color="auto" w:fill="EAEAEA" w:themeFill="accent6" w:themeFillTint="33"/>
            <w:vAlign w:val="bottom"/>
          </w:tcPr>
          <w:p w14:paraId="7FAED5E4" w14:textId="77777777" w:rsidR="00E96B29" w:rsidRPr="00027624" w:rsidRDefault="00E96B29" w:rsidP="00E96B29">
            <w:pPr>
              <w:pStyle w:val="TableColumnHeadingLeft"/>
              <w:jc w:val="center"/>
              <w:rPr>
                <w:szCs w:val="18"/>
              </w:rPr>
            </w:pPr>
          </w:p>
        </w:tc>
        <w:tc>
          <w:tcPr>
            <w:tcW w:w="464" w:type="pct"/>
            <w:shd w:val="clear" w:color="auto" w:fill="EAEAEA" w:themeFill="accent6" w:themeFillTint="33"/>
            <w:vAlign w:val="bottom"/>
          </w:tcPr>
          <w:p w14:paraId="71509552" w14:textId="77777777" w:rsidR="00E96B29" w:rsidRPr="00027624" w:rsidRDefault="00E96B29" w:rsidP="00E96B29">
            <w:pPr>
              <w:pStyle w:val="TableColumnHeadingLeft"/>
              <w:rPr>
                <w:szCs w:val="18"/>
              </w:rPr>
            </w:pPr>
          </w:p>
        </w:tc>
        <w:tc>
          <w:tcPr>
            <w:tcW w:w="464" w:type="pct"/>
            <w:shd w:val="clear" w:color="auto" w:fill="EAEAEA" w:themeFill="accent6" w:themeFillTint="33"/>
            <w:vAlign w:val="bottom"/>
          </w:tcPr>
          <w:p w14:paraId="3B7D509E" w14:textId="77777777" w:rsidR="00E96B29" w:rsidRPr="00027624" w:rsidRDefault="00E96B29" w:rsidP="00E96B29">
            <w:pPr>
              <w:pStyle w:val="TableColumnHeadingLeft"/>
              <w:rPr>
                <w:szCs w:val="18"/>
              </w:rPr>
            </w:pPr>
          </w:p>
        </w:tc>
        <w:tc>
          <w:tcPr>
            <w:tcW w:w="550" w:type="pct"/>
            <w:shd w:val="clear" w:color="auto" w:fill="EAEAEA" w:themeFill="accent6" w:themeFillTint="33"/>
            <w:vAlign w:val="bottom"/>
          </w:tcPr>
          <w:p w14:paraId="518A918B" w14:textId="77777777" w:rsidR="00E96B29" w:rsidRPr="00027624" w:rsidRDefault="00E96B29" w:rsidP="00E96B29">
            <w:pPr>
              <w:pStyle w:val="TableColumnHeadingLeft"/>
              <w:rPr>
                <w:szCs w:val="18"/>
              </w:rPr>
            </w:pPr>
          </w:p>
        </w:tc>
      </w:tr>
      <w:tr w:rsidR="00E96B29" w:rsidRPr="00027624" w14:paraId="40B82FD5" w14:textId="77777777" w:rsidTr="00E96B29">
        <w:trPr>
          <w:trHeight w:val="270"/>
        </w:trPr>
        <w:tc>
          <w:tcPr>
            <w:tcW w:w="741" w:type="pct"/>
            <w:vAlign w:val="bottom"/>
          </w:tcPr>
          <w:p w14:paraId="77E8E513" w14:textId="77777777" w:rsidR="00E96B29" w:rsidRPr="00027624" w:rsidRDefault="00E96B29" w:rsidP="00E96B29">
            <w:pPr>
              <w:pStyle w:val="TableTextLeft"/>
              <w:rPr>
                <w:szCs w:val="18"/>
              </w:rPr>
            </w:pPr>
            <w:r w:rsidRPr="00027624">
              <w:rPr>
                <w:bCs/>
                <w:szCs w:val="18"/>
              </w:rPr>
              <w:t>67</w:t>
            </w:r>
          </w:p>
        </w:tc>
        <w:tc>
          <w:tcPr>
            <w:tcW w:w="446" w:type="pct"/>
            <w:vAlign w:val="bottom"/>
          </w:tcPr>
          <w:p w14:paraId="3CA90862" w14:textId="77777777" w:rsidR="00E96B29" w:rsidRPr="00027624" w:rsidRDefault="00E96B29" w:rsidP="00E96B29">
            <w:pPr>
              <w:pStyle w:val="TableTextCentered"/>
              <w:rPr>
                <w:szCs w:val="18"/>
              </w:rPr>
            </w:pPr>
            <w:r w:rsidRPr="00027624">
              <w:rPr>
                <w:szCs w:val="18"/>
              </w:rPr>
              <w:t>8.4</w:t>
            </w:r>
          </w:p>
        </w:tc>
        <w:tc>
          <w:tcPr>
            <w:tcW w:w="467" w:type="pct"/>
            <w:vAlign w:val="bottom"/>
          </w:tcPr>
          <w:p w14:paraId="3BB36275" w14:textId="77777777" w:rsidR="00E96B29" w:rsidRPr="00027624" w:rsidRDefault="00E96B29" w:rsidP="00E96B29">
            <w:pPr>
              <w:pStyle w:val="TableTextCentered"/>
              <w:rPr>
                <w:szCs w:val="18"/>
              </w:rPr>
            </w:pPr>
            <w:r w:rsidRPr="00027624">
              <w:rPr>
                <w:szCs w:val="18"/>
              </w:rPr>
              <w:t>9.5</w:t>
            </w:r>
          </w:p>
        </w:tc>
        <w:tc>
          <w:tcPr>
            <w:tcW w:w="467" w:type="pct"/>
            <w:vAlign w:val="bottom"/>
          </w:tcPr>
          <w:p w14:paraId="6BD4E796" w14:textId="77777777" w:rsidR="00E96B29" w:rsidRPr="00027624" w:rsidRDefault="00E96B29" w:rsidP="00E96B29">
            <w:pPr>
              <w:pStyle w:val="TableTextCentered"/>
              <w:rPr>
                <w:szCs w:val="18"/>
              </w:rPr>
            </w:pPr>
            <w:r w:rsidRPr="00027624">
              <w:rPr>
                <w:szCs w:val="18"/>
              </w:rPr>
              <w:t>10.0</w:t>
            </w:r>
          </w:p>
        </w:tc>
        <w:tc>
          <w:tcPr>
            <w:tcW w:w="467" w:type="pct"/>
            <w:vAlign w:val="bottom"/>
          </w:tcPr>
          <w:p w14:paraId="61C55176" w14:textId="77777777" w:rsidR="00E96B29" w:rsidRPr="00027624" w:rsidRDefault="00E96B29" w:rsidP="00E96B29">
            <w:pPr>
              <w:pStyle w:val="TableTextCentered"/>
              <w:rPr>
                <w:szCs w:val="18"/>
              </w:rPr>
            </w:pPr>
            <w:r w:rsidRPr="00027624">
              <w:rPr>
                <w:szCs w:val="18"/>
              </w:rPr>
              <w:t>10.2</w:t>
            </w:r>
          </w:p>
        </w:tc>
        <w:tc>
          <w:tcPr>
            <w:tcW w:w="467" w:type="pct"/>
            <w:vAlign w:val="bottom"/>
          </w:tcPr>
          <w:p w14:paraId="69D31254" w14:textId="77777777" w:rsidR="00E96B29" w:rsidRPr="00027624" w:rsidRDefault="00E96B29" w:rsidP="00E96B29">
            <w:pPr>
              <w:pStyle w:val="TableTextCentered"/>
              <w:rPr>
                <w:szCs w:val="18"/>
              </w:rPr>
            </w:pPr>
            <w:r w:rsidRPr="00027624">
              <w:rPr>
                <w:szCs w:val="18"/>
              </w:rPr>
              <w:t>10.0</w:t>
            </w:r>
          </w:p>
        </w:tc>
        <w:tc>
          <w:tcPr>
            <w:tcW w:w="467" w:type="pct"/>
            <w:vAlign w:val="bottom"/>
          </w:tcPr>
          <w:p w14:paraId="61730106" w14:textId="77777777" w:rsidR="00E96B29" w:rsidRPr="00027624" w:rsidRDefault="00E96B29" w:rsidP="00E96B29">
            <w:pPr>
              <w:pStyle w:val="TableTextCentered"/>
              <w:rPr>
                <w:szCs w:val="18"/>
              </w:rPr>
            </w:pPr>
            <w:r w:rsidRPr="00027624">
              <w:rPr>
                <w:szCs w:val="18"/>
              </w:rPr>
              <w:t>8.1</w:t>
            </w:r>
          </w:p>
        </w:tc>
        <w:tc>
          <w:tcPr>
            <w:tcW w:w="464" w:type="pct"/>
            <w:vAlign w:val="bottom"/>
          </w:tcPr>
          <w:p w14:paraId="13FB1B39" w14:textId="77777777" w:rsidR="00E96B29" w:rsidRPr="00027624" w:rsidRDefault="00E96B29" w:rsidP="00E96B29">
            <w:pPr>
              <w:pStyle w:val="TableTextCentered"/>
              <w:rPr>
                <w:szCs w:val="18"/>
              </w:rPr>
            </w:pPr>
            <w:r w:rsidRPr="00027624">
              <w:rPr>
                <w:szCs w:val="18"/>
              </w:rPr>
              <w:t>7.3</w:t>
            </w:r>
          </w:p>
        </w:tc>
        <w:tc>
          <w:tcPr>
            <w:tcW w:w="464" w:type="pct"/>
            <w:vAlign w:val="bottom"/>
          </w:tcPr>
          <w:p w14:paraId="23501D98" w14:textId="77777777" w:rsidR="00E96B29" w:rsidRPr="00027624" w:rsidRDefault="00E96B29" w:rsidP="00E96B29">
            <w:pPr>
              <w:pStyle w:val="TableTextCentered"/>
              <w:rPr>
                <w:szCs w:val="18"/>
              </w:rPr>
            </w:pPr>
            <w:r w:rsidRPr="00027624">
              <w:rPr>
                <w:szCs w:val="18"/>
              </w:rPr>
              <w:t>6.3</w:t>
            </w:r>
          </w:p>
        </w:tc>
        <w:tc>
          <w:tcPr>
            <w:tcW w:w="550" w:type="pct"/>
            <w:vAlign w:val="bottom"/>
          </w:tcPr>
          <w:p w14:paraId="538C196C" w14:textId="77777777" w:rsidR="00E96B29" w:rsidRPr="00027624" w:rsidRDefault="00E96B29" w:rsidP="00E96B29">
            <w:pPr>
              <w:pStyle w:val="TableTextCentered"/>
              <w:rPr>
                <w:szCs w:val="18"/>
              </w:rPr>
            </w:pPr>
            <w:r w:rsidRPr="00027624">
              <w:rPr>
                <w:szCs w:val="18"/>
              </w:rPr>
              <w:t>4.9</w:t>
            </w:r>
          </w:p>
        </w:tc>
      </w:tr>
      <w:tr w:rsidR="00E96B29" w:rsidRPr="00027624" w14:paraId="729065CE" w14:textId="77777777" w:rsidTr="00E96B29">
        <w:trPr>
          <w:trHeight w:val="270"/>
        </w:trPr>
        <w:tc>
          <w:tcPr>
            <w:tcW w:w="741" w:type="pct"/>
            <w:vAlign w:val="bottom"/>
          </w:tcPr>
          <w:p w14:paraId="750FD1EC" w14:textId="77777777" w:rsidR="00E96B29" w:rsidRPr="00027624" w:rsidRDefault="00E96B29" w:rsidP="00E96B29">
            <w:pPr>
              <w:pStyle w:val="TableTextLeft"/>
              <w:rPr>
                <w:szCs w:val="18"/>
              </w:rPr>
            </w:pPr>
            <w:r w:rsidRPr="00027624">
              <w:rPr>
                <w:bCs/>
                <w:szCs w:val="18"/>
              </w:rPr>
              <w:t>68</w:t>
            </w:r>
          </w:p>
        </w:tc>
        <w:tc>
          <w:tcPr>
            <w:tcW w:w="446" w:type="pct"/>
            <w:vAlign w:val="bottom"/>
          </w:tcPr>
          <w:p w14:paraId="7AF538E0" w14:textId="77777777" w:rsidR="00E96B29" w:rsidRPr="00027624" w:rsidRDefault="00E96B29" w:rsidP="00E96B29">
            <w:pPr>
              <w:pStyle w:val="TableTextCentered"/>
              <w:rPr>
                <w:szCs w:val="18"/>
              </w:rPr>
            </w:pPr>
            <w:r w:rsidRPr="00027624">
              <w:rPr>
                <w:szCs w:val="18"/>
              </w:rPr>
              <w:t>8.6</w:t>
            </w:r>
          </w:p>
        </w:tc>
        <w:tc>
          <w:tcPr>
            <w:tcW w:w="467" w:type="pct"/>
            <w:vAlign w:val="bottom"/>
          </w:tcPr>
          <w:p w14:paraId="2C93EA2E" w14:textId="77777777" w:rsidR="00E96B29" w:rsidRPr="00027624" w:rsidRDefault="00E96B29" w:rsidP="00E96B29">
            <w:pPr>
              <w:pStyle w:val="TableTextCentered"/>
              <w:rPr>
                <w:szCs w:val="18"/>
              </w:rPr>
            </w:pPr>
            <w:r w:rsidRPr="00027624">
              <w:rPr>
                <w:szCs w:val="18"/>
              </w:rPr>
              <w:t>9.5</w:t>
            </w:r>
          </w:p>
        </w:tc>
        <w:tc>
          <w:tcPr>
            <w:tcW w:w="467" w:type="pct"/>
            <w:vAlign w:val="bottom"/>
          </w:tcPr>
          <w:p w14:paraId="418BA37A" w14:textId="77777777" w:rsidR="00E96B29" w:rsidRPr="00027624" w:rsidRDefault="00E96B29" w:rsidP="00E96B29">
            <w:pPr>
              <w:pStyle w:val="TableTextCentered"/>
              <w:rPr>
                <w:szCs w:val="18"/>
              </w:rPr>
            </w:pPr>
            <w:r w:rsidRPr="00027624">
              <w:rPr>
                <w:szCs w:val="18"/>
              </w:rPr>
              <w:t>10.0</w:t>
            </w:r>
          </w:p>
        </w:tc>
        <w:tc>
          <w:tcPr>
            <w:tcW w:w="467" w:type="pct"/>
            <w:vAlign w:val="bottom"/>
          </w:tcPr>
          <w:p w14:paraId="250B6513" w14:textId="77777777" w:rsidR="00E96B29" w:rsidRPr="00027624" w:rsidRDefault="00E96B29" w:rsidP="00E96B29">
            <w:pPr>
              <w:pStyle w:val="TableTextCentered"/>
              <w:rPr>
                <w:szCs w:val="18"/>
              </w:rPr>
            </w:pPr>
            <w:r w:rsidRPr="00027624">
              <w:rPr>
                <w:szCs w:val="18"/>
              </w:rPr>
              <w:t>10.3</w:t>
            </w:r>
          </w:p>
        </w:tc>
        <w:tc>
          <w:tcPr>
            <w:tcW w:w="467" w:type="pct"/>
            <w:vAlign w:val="bottom"/>
          </w:tcPr>
          <w:p w14:paraId="41315701" w14:textId="77777777" w:rsidR="00E96B29" w:rsidRPr="00027624" w:rsidRDefault="00E96B29" w:rsidP="00E96B29">
            <w:pPr>
              <w:pStyle w:val="TableTextCentered"/>
              <w:rPr>
                <w:szCs w:val="18"/>
              </w:rPr>
            </w:pPr>
            <w:r w:rsidRPr="00027624">
              <w:rPr>
                <w:szCs w:val="18"/>
              </w:rPr>
              <w:t>10.5</w:t>
            </w:r>
          </w:p>
        </w:tc>
        <w:tc>
          <w:tcPr>
            <w:tcW w:w="467" w:type="pct"/>
            <w:vAlign w:val="bottom"/>
          </w:tcPr>
          <w:p w14:paraId="1CE397AF" w14:textId="77777777" w:rsidR="00E96B29" w:rsidRPr="00027624" w:rsidRDefault="00E96B29" w:rsidP="00E96B29">
            <w:pPr>
              <w:pStyle w:val="TableTextCentered"/>
              <w:rPr>
                <w:szCs w:val="18"/>
              </w:rPr>
            </w:pPr>
            <w:r w:rsidRPr="00027624">
              <w:rPr>
                <w:szCs w:val="18"/>
              </w:rPr>
              <w:t>8.7</w:t>
            </w:r>
          </w:p>
        </w:tc>
        <w:tc>
          <w:tcPr>
            <w:tcW w:w="464" w:type="pct"/>
            <w:vAlign w:val="bottom"/>
          </w:tcPr>
          <w:p w14:paraId="623ED1A4" w14:textId="77777777" w:rsidR="00E96B29" w:rsidRPr="00027624" w:rsidRDefault="00E96B29" w:rsidP="00E96B29">
            <w:pPr>
              <w:pStyle w:val="TableTextCentered"/>
              <w:rPr>
                <w:szCs w:val="18"/>
              </w:rPr>
            </w:pPr>
            <w:r w:rsidRPr="00027624">
              <w:rPr>
                <w:szCs w:val="18"/>
              </w:rPr>
              <w:t>7.7</w:t>
            </w:r>
          </w:p>
        </w:tc>
        <w:tc>
          <w:tcPr>
            <w:tcW w:w="464" w:type="pct"/>
            <w:vAlign w:val="bottom"/>
          </w:tcPr>
          <w:p w14:paraId="1EFD5BD8" w14:textId="77777777" w:rsidR="00E96B29" w:rsidRPr="00027624" w:rsidRDefault="00E96B29" w:rsidP="00E96B29">
            <w:pPr>
              <w:pStyle w:val="TableTextCentered"/>
              <w:rPr>
                <w:szCs w:val="18"/>
              </w:rPr>
            </w:pPr>
            <w:r w:rsidRPr="00027624">
              <w:rPr>
                <w:szCs w:val="18"/>
              </w:rPr>
              <w:t>6.6</w:t>
            </w:r>
          </w:p>
        </w:tc>
        <w:tc>
          <w:tcPr>
            <w:tcW w:w="550" w:type="pct"/>
            <w:vAlign w:val="bottom"/>
          </w:tcPr>
          <w:p w14:paraId="78B92A15" w14:textId="77777777" w:rsidR="00E96B29" w:rsidRPr="00027624" w:rsidRDefault="00E96B29" w:rsidP="00E96B29">
            <w:pPr>
              <w:pStyle w:val="TableTextCentered"/>
              <w:rPr>
                <w:szCs w:val="18"/>
              </w:rPr>
            </w:pPr>
            <w:r w:rsidRPr="00027624">
              <w:rPr>
                <w:szCs w:val="18"/>
              </w:rPr>
              <w:t>5.1</w:t>
            </w:r>
          </w:p>
        </w:tc>
      </w:tr>
      <w:tr w:rsidR="00E96B29" w:rsidRPr="00027624" w14:paraId="20C4BC12" w14:textId="77777777" w:rsidTr="00E96B29">
        <w:trPr>
          <w:trHeight w:val="270"/>
        </w:trPr>
        <w:tc>
          <w:tcPr>
            <w:tcW w:w="741" w:type="pct"/>
            <w:vAlign w:val="bottom"/>
          </w:tcPr>
          <w:p w14:paraId="289E8B8B" w14:textId="77777777" w:rsidR="00E96B29" w:rsidRPr="00027624" w:rsidRDefault="00E96B29" w:rsidP="00E96B29">
            <w:pPr>
              <w:pStyle w:val="TableTextLeft"/>
              <w:rPr>
                <w:szCs w:val="18"/>
              </w:rPr>
            </w:pPr>
            <w:r w:rsidRPr="00027624">
              <w:rPr>
                <w:bCs/>
                <w:szCs w:val="18"/>
              </w:rPr>
              <w:t>69</w:t>
            </w:r>
          </w:p>
        </w:tc>
        <w:tc>
          <w:tcPr>
            <w:tcW w:w="446" w:type="pct"/>
            <w:vAlign w:val="bottom"/>
          </w:tcPr>
          <w:p w14:paraId="655C2923" w14:textId="77777777" w:rsidR="00E96B29" w:rsidRPr="00027624" w:rsidRDefault="00E96B29" w:rsidP="00E96B29">
            <w:pPr>
              <w:pStyle w:val="TableTextCentered"/>
              <w:rPr>
                <w:szCs w:val="18"/>
              </w:rPr>
            </w:pPr>
            <w:r w:rsidRPr="00027624">
              <w:rPr>
                <w:szCs w:val="18"/>
              </w:rPr>
              <w:t>8.8</w:t>
            </w:r>
          </w:p>
        </w:tc>
        <w:tc>
          <w:tcPr>
            <w:tcW w:w="467" w:type="pct"/>
            <w:vAlign w:val="bottom"/>
          </w:tcPr>
          <w:p w14:paraId="1BA31529" w14:textId="77777777" w:rsidR="00E96B29" w:rsidRPr="00027624" w:rsidRDefault="00E96B29" w:rsidP="00E96B29">
            <w:pPr>
              <w:pStyle w:val="TableTextCentered"/>
              <w:rPr>
                <w:szCs w:val="18"/>
              </w:rPr>
            </w:pPr>
            <w:r w:rsidRPr="00027624">
              <w:rPr>
                <w:szCs w:val="18"/>
              </w:rPr>
              <w:t>9.4</w:t>
            </w:r>
          </w:p>
        </w:tc>
        <w:tc>
          <w:tcPr>
            <w:tcW w:w="467" w:type="pct"/>
            <w:vAlign w:val="bottom"/>
          </w:tcPr>
          <w:p w14:paraId="5A6F7985" w14:textId="77777777" w:rsidR="00E96B29" w:rsidRPr="00027624" w:rsidRDefault="00E96B29" w:rsidP="00E96B29">
            <w:pPr>
              <w:pStyle w:val="TableTextCentered"/>
              <w:rPr>
                <w:szCs w:val="18"/>
              </w:rPr>
            </w:pPr>
            <w:r w:rsidRPr="00027624">
              <w:rPr>
                <w:szCs w:val="18"/>
              </w:rPr>
              <w:t>10.0</w:t>
            </w:r>
          </w:p>
        </w:tc>
        <w:tc>
          <w:tcPr>
            <w:tcW w:w="467" w:type="pct"/>
            <w:vAlign w:val="bottom"/>
          </w:tcPr>
          <w:p w14:paraId="0195C2EE" w14:textId="77777777" w:rsidR="00E96B29" w:rsidRPr="00027624" w:rsidRDefault="00E96B29" w:rsidP="00E96B29">
            <w:pPr>
              <w:pStyle w:val="TableTextCentered"/>
              <w:rPr>
                <w:szCs w:val="18"/>
              </w:rPr>
            </w:pPr>
            <w:r w:rsidRPr="00027624">
              <w:rPr>
                <w:szCs w:val="18"/>
              </w:rPr>
              <w:t>10.4</w:t>
            </w:r>
          </w:p>
        </w:tc>
        <w:tc>
          <w:tcPr>
            <w:tcW w:w="467" w:type="pct"/>
            <w:vAlign w:val="bottom"/>
          </w:tcPr>
          <w:p w14:paraId="6963CF3E" w14:textId="77777777" w:rsidR="00E96B29" w:rsidRPr="00027624" w:rsidRDefault="00E96B29" w:rsidP="00E96B29">
            <w:pPr>
              <w:pStyle w:val="TableTextCentered"/>
              <w:rPr>
                <w:szCs w:val="18"/>
              </w:rPr>
            </w:pPr>
            <w:r w:rsidRPr="00027624">
              <w:rPr>
                <w:szCs w:val="18"/>
              </w:rPr>
              <w:t>10.6</w:t>
            </w:r>
          </w:p>
        </w:tc>
        <w:tc>
          <w:tcPr>
            <w:tcW w:w="467" w:type="pct"/>
            <w:vAlign w:val="bottom"/>
          </w:tcPr>
          <w:p w14:paraId="351272DD" w14:textId="77777777" w:rsidR="00E96B29" w:rsidRPr="00027624" w:rsidRDefault="00E96B29" w:rsidP="00E96B29">
            <w:pPr>
              <w:pStyle w:val="TableTextCentered"/>
              <w:rPr>
                <w:szCs w:val="18"/>
              </w:rPr>
            </w:pPr>
            <w:r w:rsidRPr="00027624">
              <w:rPr>
                <w:szCs w:val="18"/>
              </w:rPr>
              <w:t>9.4</w:t>
            </w:r>
          </w:p>
        </w:tc>
        <w:tc>
          <w:tcPr>
            <w:tcW w:w="464" w:type="pct"/>
            <w:vAlign w:val="bottom"/>
          </w:tcPr>
          <w:p w14:paraId="1FCD5876" w14:textId="77777777" w:rsidR="00E96B29" w:rsidRPr="00027624" w:rsidRDefault="00E96B29" w:rsidP="00E96B29">
            <w:pPr>
              <w:pStyle w:val="TableTextCentered"/>
              <w:rPr>
                <w:szCs w:val="18"/>
              </w:rPr>
            </w:pPr>
            <w:r w:rsidRPr="00027624">
              <w:rPr>
                <w:szCs w:val="18"/>
              </w:rPr>
              <w:t>8.1</w:t>
            </w:r>
          </w:p>
        </w:tc>
        <w:tc>
          <w:tcPr>
            <w:tcW w:w="464" w:type="pct"/>
            <w:vAlign w:val="bottom"/>
          </w:tcPr>
          <w:p w14:paraId="23C767FB" w14:textId="77777777" w:rsidR="00E96B29" w:rsidRPr="00027624" w:rsidRDefault="00E96B29" w:rsidP="00E96B29">
            <w:pPr>
              <w:pStyle w:val="TableTextCentered"/>
              <w:rPr>
                <w:szCs w:val="18"/>
              </w:rPr>
            </w:pPr>
            <w:r w:rsidRPr="00027624">
              <w:rPr>
                <w:szCs w:val="18"/>
              </w:rPr>
              <w:t>6.9</w:t>
            </w:r>
          </w:p>
        </w:tc>
        <w:tc>
          <w:tcPr>
            <w:tcW w:w="550" w:type="pct"/>
            <w:vAlign w:val="bottom"/>
          </w:tcPr>
          <w:p w14:paraId="33ECDC1B" w14:textId="77777777" w:rsidR="00E96B29" w:rsidRPr="00027624" w:rsidRDefault="00E96B29" w:rsidP="00E96B29">
            <w:pPr>
              <w:pStyle w:val="TableTextCentered"/>
              <w:rPr>
                <w:szCs w:val="18"/>
              </w:rPr>
            </w:pPr>
            <w:r w:rsidRPr="00027624">
              <w:rPr>
                <w:szCs w:val="18"/>
              </w:rPr>
              <w:t>5.3</w:t>
            </w:r>
          </w:p>
        </w:tc>
      </w:tr>
      <w:tr w:rsidR="00E96B29" w:rsidRPr="00027624" w14:paraId="012B6E58" w14:textId="77777777" w:rsidTr="00E96B29">
        <w:trPr>
          <w:trHeight w:val="270"/>
        </w:trPr>
        <w:tc>
          <w:tcPr>
            <w:tcW w:w="741" w:type="pct"/>
            <w:vAlign w:val="bottom"/>
          </w:tcPr>
          <w:p w14:paraId="366FC439" w14:textId="77777777" w:rsidR="00E96B29" w:rsidRPr="00027624" w:rsidRDefault="00E96B29" w:rsidP="00E96B29">
            <w:pPr>
              <w:pStyle w:val="TableTextLeft"/>
              <w:rPr>
                <w:szCs w:val="18"/>
              </w:rPr>
            </w:pPr>
            <w:r w:rsidRPr="00027624">
              <w:rPr>
                <w:bCs/>
                <w:szCs w:val="18"/>
              </w:rPr>
              <w:t>70</w:t>
            </w:r>
          </w:p>
        </w:tc>
        <w:tc>
          <w:tcPr>
            <w:tcW w:w="446" w:type="pct"/>
            <w:vAlign w:val="bottom"/>
          </w:tcPr>
          <w:p w14:paraId="78C795B2" w14:textId="77777777" w:rsidR="00E96B29" w:rsidRPr="00027624" w:rsidRDefault="00E96B29" w:rsidP="00E96B29">
            <w:pPr>
              <w:pStyle w:val="TableTextCentered"/>
              <w:rPr>
                <w:szCs w:val="18"/>
              </w:rPr>
            </w:pPr>
            <w:r w:rsidRPr="00027624">
              <w:rPr>
                <w:szCs w:val="18"/>
              </w:rPr>
              <w:t>9.0</w:t>
            </w:r>
          </w:p>
        </w:tc>
        <w:tc>
          <w:tcPr>
            <w:tcW w:w="467" w:type="pct"/>
            <w:vAlign w:val="bottom"/>
          </w:tcPr>
          <w:p w14:paraId="1BC6C973" w14:textId="77777777" w:rsidR="00E96B29" w:rsidRPr="00027624" w:rsidRDefault="00E96B29" w:rsidP="00E96B29">
            <w:pPr>
              <w:pStyle w:val="TableTextCentered"/>
              <w:rPr>
                <w:szCs w:val="18"/>
              </w:rPr>
            </w:pPr>
            <w:r w:rsidRPr="00027624">
              <w:rPr>
                <w:szCs w:val="18"/>
              </w:rPr>
              <w:t>9.3</w:t>
            </w:r>
          </w:p>
        </w:tc>
        <w:tc>
          <w:tcPr>
            <w:tcW w:w="467" w:type="pct"/>
            <w:vAlign w:val="bottom"/>
          </w:tcPr>
          <w:p w14:paraId="342AF6F4" w14:textId="77777777" w:rsidR="00E96B29" w:rsidRPr="00027624" w:rsidRDefault="00E96B29" w:rsidP="00E96B29">
            <w:pPr>
              <w:pStyle w:val="TableTextCentered"/>
              <w:rPr>
                <w:szCs w:val="18"/>
              </w:rPr>
            </w:pPr>
            <w:r w:rsidRPr="00027624">
              <w:rPr>
                <w:szCs w:val="18"/>
              </w:rPr>
              <w:t>10.0</w:t>
            </w:r>
          </w:p>
        </w:tc>
        <w:tc>
          <w:tcPr>
            <w:tcW w:w="467" w:type="pct"/>
            <w:vAlign w:val="bottom"/>
          </w:tcPr>
          <w:p w14:paraId="6F50AEA0" w14:textId="77777777" w:rsidR="00E96B29" w:rsidRPr="00027624" w:rsidRDefault="00E96B29" w:rsidP="00E96B29">
            <w:pPr>
              <w:pStyle w:val="TableTextCentered"/>
              <w:rPr>
                <w:szCs w:val="18"/>
              </w:rPr>
            </w:pPr>
            <w:r w:rsidRPr="00027624">
              <w:rPr>
                <w:szCs w:val="18"/>
              </w:rPr>
              <w:t>10.4</w:t>
            </w:r>
          </w:p>
        </w:tc>
        <w:tc>
          <w:tcPr>
            <w:tcW w:w="467" w:type="pct"/>
            <w:vAlign w:val="bottom"/>
          </w:tcPr>
          <w:p w14:paraId="054834FA" w14:textId="77777777" w:rsidR="00E96B29" w:rsidRPr="00027624" w:rsidRDefault="00E96B29" w:rsidP="00E96B29">
            <w:pPr>
              <w:pStyle w:val="TableTextCentered"/>
              <w:rPr>
                <w:szCs w:val="18"/>
              </w:rPr>
            </w:pPr>
            <w:r w:rsidRPr="00027624">
              <w:rPr>
                <w:szCs w:val="18"/>
              </w:rPr>
              <w:t>10.7</w:t>
            </w:r>
          </w:p>
        </w:tc>
        <w:tc>
          <w:tcPr>
            <w:tcW w:w="467" w:type="pct"/>
            <w:vAlign w:val="bottom"/>
          </w:tcPr>
          <w:p w14:paraId="3E25103F" w14:textId="77777777" w:rsidR="00E96B29" w:rsidRPr="00027624" w:rsidRDefault="00E96B29" w:rsidP="00E96B29">
            <w:pPr>
              <w:pStyle w:val="TableTextCentered"/>
              <w:rPr>
                <w:szCs w:val="18"/>
              </w:rPr>
            </w:pPr>
            <w:r w:rsidRPr="00027624">
              <w:rPr>
                <w:szCs w:val="18"/>
              </w:rPr>
              <w:t>10.2</w:t>
            </w:r>
          </w:p>
        </w:tc>
        <w:tc>
          <w:tcPr>
            <w:tcW w:w="464" w:type="pct"/>
            <w:vAlign w:val="bottom"/>
          </w:tcPr>
          <w:p w14:paraId="2EED07EC" w14:textId="77777777" w:rsidR="00E96B29" w:rsidRPr="00027624" w:rsidRDefault="00E96B29" w:rsidP="00E96B29">
            <w:pPr>
              <w:pStyle w:val="TableTextCentered"/>
              <w:rPr>
                <w:szCs w:val="18"/>
              </w:rPr>
            </w:pPr>
            <w:r w:rsidRPr="00027624">
              <w:rPr>
                <w:szCs w:val="18"/>
              </w:rPr>
              <w:t>8.5</w:t>
            </w:r>
          </w:p>
        </w:tc>
        <w:tc>
          <w:tcPr>
            <w:tcW w:w="464" w:type="pct"/>
            <w:vAlign w:val="bottom"/>
          </w:tcPr>
          <w:p w14:paraId="5655A3B4" w14:textId="77777777" w:rsidR="00E96B29" w:rsidRPr="00027624" w:rsidRDefault="00E96B29" w:rsidP="00E96B29">
            <w:pPr>
              <w:pStyle w:val="TableTextCentered"/>
              <w:rPr>
                <w:szCs w:val="18"/>
              </w:rPr>
            </w:pPr>
            <w:r w:rsidRPr="00027624">
              <w:rPr>
                <w:szCs w:val="18"/>
              </w:rPr>
              <w:t>7.2</w:t>
            </w:r>
          </w:p>
        </w:tc>
        <w:tc>
          <w:tcPr>
            <w:tcW w:w="550" w:type="pct"/>
            <w:vAlign w:val="bottom"/>
          </w:tcPr>
          <w:p w14:paraId="2E76085C" w14:textId="77777777" w:rsidR="00E96B29" w:rsidRPr="00027624" w:rsidRDefault="00E96B29" w:rsidP="00E96B29">
            <w:pPr>
              <w:pStyle w:val="TableTextCentered"/>
              <w:rPr>
                <w:szCs w:val="18"/>
              </w:rPr>
            </w:pPr>
            <w:r w:rsidRPr="00027624">
              <w:rPr>
                <w:szCs w:val="18"/>
              </w:rPr>
              <w:t>5.5</w:t>
            </w:r>
          </w:p>
        </w:tc>
      </w:tr>
      <w:tr w:rsidR="00E96B29" w:rsidRPr="00027624" w14:paraId="368E0637" w14:textId="77777777" w:rsidTr="00E96B29">
        <w:trPr>
          <w:trHeight w:val="270"/>
        </w:trPr>
        <w:tc>
          <w:tcPr>
            <w:tcW w:w="741" w:type="pct"/>
            <w:vAlign w:val="bottom"/>
          </w:tcPr>
          <w:p w14:paraId="7A34CCEE" w14:textId="77777777" w:rsidR="00E96B29" w:rsidRPr="00027624" w:rsidRDefault="00E96B29" w:rsidP="00E96B29">
            <w:pPr>
              <w:pStyle w:val="TableTextLeft"/>
              <w:rPr>
                <w:szCs w:val="18"/>
              </w:rPr>
            </w:pPr>
            <w:r w:rsidRPr="00027624">
              <w:rPr>
                <w:bCs/>
                <w:szCs w:val="18"/>
              </w:rPr>
              <w:t>71</w:t>
            </w:r>
          </w:p>
        </w:tc>
        <w:tc>
          <w:tcPr>
            <w:tcW w:w="446" w:type="pct"/>
            <w:vAlign w:val="bottom"/>
          </w:tcPr>
          <w:p w14:paraId="56A6B1AF" w14:textId="77777777" w:rsidR="00E96B29" w:rsidRPr="00027624" w:rsidRDefault="00E96B29" w:rsidP="00E96B29">
            <w:pPr>
              <w:pStyle w:val="TableTextCentered"/>
              <w:rPr>
                <w:szCs w:val="18"/>
              </w:rPr>
            </w:pPr>
            <w:r w:rsidRPr="00027624">
              <w:rPr>
                <w:szCs w:val="18"/>
              </w:rPr>
              <w:t>9.2</w:t>
            </w:r>
          </w:p>
        </w:tc>
        <w:tc>
          <w:tcPr>
            <w:tcW w:w="467" w:type="pct"/>
            <w:vAlign w:val="bottom"/>
          </w:tcPr>
          <w:p w14:paraId="53FB6941" w14:textId="77777777" w:rsidR="00E96B29" w:rsidRPr="00027624" w:rsidRDefault="00E96B29" w:rsidP="00E96B29">
            <w:pPr>
              <w:pStyle w:val="TableTextCentered"/>
              <w:rPr>
                <w:szCs w:val="18"/>
              </w:rPr>
            </w:pPr>
            <w:r w:rsidRPr="00027624">
              <w:rPr>
                <w:szCs w:val="18"/>
              </w:rPr>
              <w:t>9.1</w:t>
            </w:r>
          </w:p>
        </w:tc>
        <w:tc>
          <w:tcPr>
            <w:tcW w:w="467" w:type="pct"/>
            <w:vAlign w:val="bottom"/>
          </w:tcPr>
          <w:p w14:paraId="6F01C4EB" w14:textId="77777777" w:rsidR="00E96B29" w:rsidRPr="00027624" w:rsidRDefault="00E96B29" w:rsidP="00E96B29">
            <w:pPr>
              <w:pStyle w:val="TableTextCentered"/>
              <w:rPr>
                <w:szCs w:val="18"/>
              </w:rPr>
            </w:pPr>
            <w:r w:rsidRPr="00027624">
              <w:rPr>
                <w:szCs w:val="18"/>
              </w:rPr>
              <w:t>10.0</w:t>
            </w:r>
          </w:p>
        </w:tc>
        <w:tc>
          <w:tcPr>
            <w:tcW w:w="467" w:type="pct"/>
            <w:vAlign w:val="bottom"/>
          </w:tcPr>
          <w:p w14:paraId="31EC5133" w14:textId="77777777" w:rsidR="00E96B29" w:rsidRPr="00027624" w:rsidRDefault="00E96B29" w:rsidP="00E96B29">
            <w:pPr>
              <w:pStyle w:val="TableTextCentered"/>
              <w:rPr>
                <w:szCs w:val="18"/>
              </w:rPr>
            </w:pPr>
            <w:r w:rsidRPr="00027624">
              <w:rPr>
                <w:szCs w:val="18"/>
              </w:rPr>
              <w:t>10.5</w:t>
            </w:r>
          </w:p>
        </w:tc>
        <w:tc>
          <w:tcPr>
            <w:tcW w:w="467" w:type="pct"/>
            <w:vAlign w:val="bottom"/>
          </w:tcPr>
          <w:p w14:paraId="51F3E5AC" w14:textId="77777777" w:rsidR="00E96B29" w:rsidRPr="00027624" w:rsidRDefault="00E96B29" w:rsidP="00E96B29">
            <w:pPr>
              <w:pStyle w:val="TableTextCentered"/>
              <w:rPr>
                <w:szCs w:val="18"/>
              </w:rPr>
            </w:pPr>
            <w:r w:rsidRPr="00027624">
              <w:rPr>
                <w:szCs w:val="18"/>
              </w:rPr>
              <w:t>10.8</w:t>
            </w:r>
          </w:p>
        </w:tc>
        <w:tc>
          <w:tcPr>
            <w:tcW w:w="467" w:type="pct"/>
            <w:vAlign w:val="bottom"/>
          </w:tcPr>
          <w:p w14:paraId="14BED0A7" w14:textId="77777777" w:rsidR="00E96B29" w:rsidRPr="00027624" w:rsidRDefault="00E96B29" w:rsidP="00E96B29">
            <w:pPr>
              <w:pStyle w:val="TableTextCentered"/>
              <w:rPr>
                <w:szCs w:val="18"/>
              </w:rPr>
            </w:pPr>
            <w:r w:rsidRPr="00027624">
              <w:rPr>
                <w:szCs w:val="18"/>
              </w:rPr>
              <w:t>11.0</w:t>
            </w:r>
          </w:p>
        </w:tc>
        <w:tc>
          <w:tcPr>
            <w:tcW w:w="464" w:type="pct"/>
            <w:vAlign w:val="bottom"/>
          </w:tcPr>
          <w:p w14:paraId="77574FFC" w14:textId="77777777" w:rsidR="00E96B29" w:rsidRPr="00027624" w:rsidRDefault="00E96B29" w:rsidP="00E96B29">
            <w:pPr>
              <w:pStyle w:val="TableTextCentered"/>
              <w:rPr>
                <w:szCs w:val="18"/>
              </w:rPr>
            </w:pPr>
            <w:r w:rsidRPr="00027624">
              <w:rPr>
                <w:szCs w:val="18"/>
              </w:rPr>
              <w:t>9.1</w:t>
            </w:r>
          </w:p>
        </w:tc>
        <w:tc>
          <w:tcPr>
            <w:tcW w:w="464" w:type="pct"/>
            <w:vAlign w:val="bottom"/>
          </w:tcPr>
          <w:p w14:paraId="6BA47506" w14:textId="77777777" w:rsidR="00E96B29" w:rsidRPr="00027624" w:rsidRDefault="00E96B29" w:rsidP="00E96B29">
            <w:pPr>
              <w:pStyle w:val="TableTextCentered"/>
              <w:rPr>
                <w:szCs w:val="18"/>
              </w:rPr>
            </w:pPr>
            <w:r w:rsidRPr="00027624">
              <w:rPr>
                <w:szCs w:val="18"/>
              </w:rPr>
              <w:t>7.6</w:t>
            </w:r>
          </w:p>
        </w:tc>
        <w:tc>
          <w:tcPr>
            <w:tcW w:w="550" w:type="pct"/>
            <w:vAlign w:val="bottom"/>
          </w:tcPr>
          <w:p w14:paraId="1F2A5866" w14:textId="77777777" w:rsidR="00E96B29" w:rsidRPr="00027624" w:rsidRDefault="00E96B29" w:rsidP="00E96B29">
            <w:pPr>
              <w:pStyle w:val="TableTextCentered"/>
              <w:rPr>
                <w:szCs w:val="18"/>
              </w:rPr>
            </w:pPr>
            <w:r w:rsidRPr="00027624">
              <w:rPr>
                <w:szCs w:val="18"/>
              </w:rPr>
              <w:t>5.7</w:t>
            </w:r>
          </w:p>
        </w:tc>
      </w:tr>
      <w:tr w:rsidR="00E96B29" w:rsidRPr="00027624" w14:paraId="03735607" w14:textId="77777777" w:rsidTr="00E96B29">
        <w:trPr>
          <w:trHeight w:val="270"/>
        </w:trPr>
        <w:tc>
          <w:tcPr>
            <w:tcW w:w="741" w:type="pct"/>
            <w:vAlign w:val="bottom"/>
          </w:tcPr>
          <w:p w14:paraId="01913890" w14:textId="77777777" w:rsidR="00E96B29" w:rsidRPr="00027624" w:rsidRDefault="00E96B29" w:rsidP="00E96B29">
            <w:pPr>
              <w:pStyle w:val="TableTextLeft"/>
              <w:rPr>
                <w:szCs w:val="18"/>
              </w:rPr>
            </w:pPr>
            <w:r w:rsidRPr="00027624">
              <w:rPr>
                <w:bCs/>
                <w:szCs w:val="18"/>
              </w:rPr>
              <w:t>72</w:t>
            </w:r>
          </w:p>
        </w:tc>
        <w:tc>
          <w:tcPr>
            <w:tcW w:w="446" w:type="pct"/>
            <w:vAlign w:val="bottom"/>
          </w:tcPr>
          <w:p w14:paraId="3B3391DA" w14:textId="77777777" w:rsidR="00E96B29" w:rsidRPr="00027624" w:rsidRDefault="00E96B29" w:rsidP="00E96B29">
            <w:pPr>
              <w:pStyle w:val="TableTextCentered"/>
              <w:rPr>
                <w:szCs w:val="18"/>
              </w:rPr>
            </w:pPr>
            <w:r w:rsidRPr="00027624">
              <w:rPr>
                <w:szCs w:val="18"/>
              </w:rPr>
              <w:t>9.5</w:t>
            </w:r>
          </w:p>
        </w:tc>
        <w:tc>
          <w:tcPr>
            <w:tcW w:w="467" w:type="pct"/>
            <w:vAlign w:val="bottom"/>
          </w:tcPr>
          <w:p w14:paraId="446F321C" w14:textId="77777777" w:rsidR="00E96B29" w:rsidRPr="00027624" w:rsidRDefault="00E96B29" w:rsidP="00E96B29">
            <w:pPr>
              <w:pStyle w:val="TableTextCentered"/>
              <w:rPr>
                <w:szCs w:val="18"/>
              </w:rPr>
            </w:pPr>
            <w:r w:rsidRPr="00027624">
              <w:rPr>
                <w:szCs w:val="18"/>
              </w:rPr>
              <w:t>9.0</w:t>
            </w:r>
          </w:p>
        </w:tc>
        <w:tc>
          <w:tcPr>
            <w:tcW w:w="467" w:type="pct"/>
            <w:vAlign w:val="bottom"/>
          </w:tcPr>
          <w:p w14:paraId="78E24046" w14:textId="77777777" w:rsidR="00E96B29" w:rsidRPr="00027624" w:rsidRDefault="00E96B29" w:rsidP="00E96B29">
            <w:pPr>
              <w:pStyle w:val="TableTextCentered"/>
              <w:rPr>
                <w:szCs w:val="18"/>
              </w:rPr>
            </w:pPr>
            <w:r w:rsidRPr="00027624">
              <w:rPr>
                <w:szCs w:val="18"/>
              </w:rPr>
              <w:t>10.0</w:t>
            </w:r>
          </w:p>
        </w:tc>
        <w:tc>
          <w:tcPr>
            <w:tcW w:w="467" w:type="pct"/>
            <w:vAlign w:val="bottom"/>
          </w:tcPr>
          <w:p w14:paraId="1AC8B10C" w14:textId="77777777" w:rsidR="00E96B29" w:rsidRPr="00027624" w:rsidRDefault="00E96B29" w:rsidP="00E96B29">
            <w:pPr>
              <w:pStyle w:val="TableTextCentered"/>
              <w:rPr>
                <w:szCs w:val="18"/>
              </w:rPr>
            </w:pPr>
            <w:r w:rsidRPr="00027624">
              <w:rPr>
                <w:szCs w:val="18"/>
              </w:rPr>
              <w:t>10.5</w:t>
            </w:r>
          </w:p>
        </w:tc>
        <w:tc>
          <w:tcPr>
            <w:tcW w:w="467" w:type="pct"/>
            <w:vAlign w:val="bottom"/>
          </w:tcPr>
          <w:p w14:paraId="203CD754" w14:textId="77777777" w:rsidR="00E96B29" w:rsidRPr="00027624" w:rsidRDefault="00E96B29" w:rsidP="00E96B29">
            <w:pPr>
              <w:pStyle w:val="TableTextCentered"/>
              <w:rPr>
                <w:szCs w:val="18"/>
              </w:rPr>
            </w:pPr>
            <w:r w:rsidRPr="00027624">
              <w:rPr>
                <w:szCs w:val="18"/>
              </w:rPr>
              <w:t>10.9</w:t>
            </w:r>
          </w:p>
        </w:tc>
        <w:tc>
          <w:tcPr>
            <w:tcW w:w="467" w:type="pct"/>
            <w:vAlign w:val="bottom"/>
          </w:tcPr>
          <w:p w14:paraId="591D6D4F" w14:textId="77777777" w:rsidR="00E96B29" w:rsidRPr="00027624" w:rsidRDefault="00E96B29" w:rsidP="00E96B29">
            <w:pPr>
              <w:pStyle w:val="TableTextCentered"/>
              <w:rPr>
                <w:szCs w:val="18"/>
              </w:rPr>
            </w:pPr>
            <w:r w:rsidRPr="00027624">
              <w:rPr>
                <w:szCs w:val="18"/>
              </w:rPr>
              <w:t>11.2</w:t>
            </w:r>
          </w:p>
        </w:tc>
        <w:tc>
          <w:tcPr>
            <w:tcW w:w="464" w:type="pct"/>
            <w:vAlign w:val="bottom"/>
          </w:tcPr>
          <w:p w14:paraId="58F74797" w14:textId="77777777" w:rsidR="00E96B29" w:rsidRPr="00027624" w:rsidRDefault="00E96B29" w:rsidP="00E96B29">
            <w:pPr>
              <w:pStyle w:val="TableTextCentered"/>
              <w:rPr>
                <w:szCs w:val="18"/>
              </w:rPr>
            </w:pPr>
            <w:r w:rsidRPr="00027624">
              <w:rPr>
                <w:szCs w:val="18"/>
              </w:rPr>
              <w:t>9.7</w:t>
            </w:r>
          </w:p>
        </w:tc>
        <w:tc>
          <w:tcPr>
            <w:tcW w:w="464" w:type="pct"/>
            <w:vAlign w:val="bottom"/>
          </w:tcPr>
          <w:p w14:paraId="2182482B" w14:textId="77777777" w:rsidR="00E96B29" w:rsidRPr="00027624" w:rsidRDefault="00E96B29" w:rsidP="00E96B29">
            <w:pPr>
              <w:pStyle w:val="TableTextCentered"/>
              <w:rPr>
                <w:szCs w:val="18"/>
              </w:rPr>
            </w:pPr>
            <w:r w:rsidRPr="00027624">
              <w:rPr>
                <w:szCs w:val="18"/>
              </w:rPr>
              <w:t>8.0</w:t>
            </w:r>
          </w:p>
        </w:tc>
        <w:tc>
          <w:tcPr>
            <w:tcW w:w="550" w:type="pct"/>
            <w:vAlign w:val="bottom"/>
          </w:tcPr>
          <w:p w14:paraId="1E176B12" w14:textId="77777777" w:rsidR="00E96B29" w:rsidRPr="00027624" w:rsidRDefault="00E96B29" w:rsidP="00E96B29">
            <w:pPr>
              <w:pStyle w:val="TableTextCentered"/>
              <w:rPr>
                <w:szCs w:val="18"/>
              </w:rPr>
            </w:pPr>
            <w:r w:rsidRPr="00027624">
              <w:rPr>
                <w:szCs w:val="18"/>
              </w:rPr>
              <w:t>6.0</w:t>
            </w:r>
          </w:p>
        </w:tc>
      </w:tr>
      <w:tr w:rsidR="00E96B29" w:rsidRPr="00027624" w14:paraId="0C5A00E7" w14:textId="77777777" w:rsidTr="00E96B29">
        <w:trPr>
          <w:trHeight w:val="270"/>
        </w:trPr>
        <w:tc>
          <w:tcPr>
            <w:tcW w:w="741" w:type="pct"/>
            <w:vAlign w:val="bottom"/>
          </w:tcPr>
          <w:p w14:paraId="7AB7FEC4" w14:textId="77777777" w:rsidR="00E96B29" w:rsidRPr="00027624" w:rsidRDefault="00E96B29" w:rsidP="00E96B29">
            <w:pPr>
              <w:pStyle w:val="TableTextLeft"/>
              <w:rPr>
                <w:szCs w:val="18"/>
              </w:rPr>
            </w:pPr>
            <w:r w:rsidRPr="00027624">
              <w:rPr>
                <w:bCs/>
                <w:szCs w:val="18"/>
              </w:rPr>
              <w:t>73</w:t>
            </w:r>
          </w:p>
        </w:tc>
        <w:tc>
          <w:tcPr>
            <w:tcW w:w="446" w:type="pct"/>
            <w:vAlign w:val="bottom"/>
          </w:tcPr>
          <w:p w14:paraId="7FB59631" w14:textId="77777777" w:rsidR="00E96B29" w:rsidRPr="00027624" w:rsidRDefault="00E96B29" w:rsidP="00E96B29">
            <w:pPr>
              <w:pStyle w:val="TableTextCentered"/>
              <w:rPr>
                <w:szCs w:val="18"/>
              </w:rPr>
            </w:pPr>
            <w:r w:rsidRPr="00027624">
              <w:rPr>
                <w:szCs w:val="18"/>
              </w:rPr>
              <w:t>9.8</w:t>
            </w:r>
          </w:p>
        </w:tc>
        <w:tc>
          <w:tcPr>
            <w:tcW w:w="467" w:type="pct"/>
            <w:vAlign w:val="bottom"/>
          </w:tcPr>
          <w:p w14:paraId="744FD2B4" w14:textId="77777777" w:rsidR="00E96B29" w:rsidRPr="00027624" w:rsidRDefault="00E96B29" w:rsidP="00E96B29">
            <w:pPr>
              <w:pStyle w:val="TableTextCentered"/>
              <w:rPr>
                <w:szCs w:val="18"/>
              </w:rPr>
            </w:pPr>
            <w:r w:rsidRPr="00027624">
              <w:rPr>
                <w:szCs w:val="18"/>
              </w:rPr>
              <w:t>9.2</w:t>
            </w:r>
          </w:p>
        </w:tc>
        <w:tc>
          <w:tcPr>
            <w:tcW w:w="467" w:type="pct"/>
            <w:vAlign w:val="bottom"/>
          </w:tcPr>
          <w:p w14:paraId="35533BCD" w14:textId="77777777" w:rsidR="00E96B29" w:rsidRPr="00027624" w:rsidRDefault="00E96B29" w:rsidP="00E96B29">
            <w:pPr>
              <w:pStyle w:val="TableTextCentered"/>
              <w:rPr>
                <w:szCs w:val="18"/>
              </w:rPr>
            </w:pPr>
            <w:r w:rsidRPr="00027624">
              <w:rPr>
                <w:szCs w:val="18"/>
              </w:rPr>
              <w:t>9.9</w:t>
            </w:r>
          </w:p>
        </w:tc>
        <w:tc>
          <w:tcPr>
            <w:tcW w:w="467" w:type="pct"/>
            <w:vAlign w:val="bottom"/>
          </w:tcPr>
          <w:p w14:paraId="5529FD6A" w14:textId="77777777" w:rsidR="00E96B29" w:rsidRPr="00027624" w:rsidRDefault="00E96B29" w:rsidP="00E96B29">
            <w:pPr>
              <w:pStyle w:val="TableTextCentered"/>
              <w:rPr>
                <w:szCs w:val="18"/>
              </w:rPr>
            </w:pPr>
            <w:r w:rsidRPr="00027624">
              <w:rPr>
                <w:szCs w:val="18"/>
              </w:rPr>
              <w:t>10.6</w:t>
            </w:r>
          </w:p>
        </w:tc>
        <w:tc>
          <w:tcPr>
            <w:tcW w:w="467" w:type="pct"/>
            <w:vAlign w:val="bottom"/>
          </w:tcPr>
          <w:p w14:paraId="46EBB276" w14:textId="77777777" w:rsidR="00E96B29" w:rsidRPr="00027624" w:rsidRDefault="00E96B29" w:rsidP="00E96B29">
            <w:pPr>
              <w:pStyle w:val="TableTextCentered"/>
              <w:rPr>
                <w:szCs w:val="18"/>
              </w:rPr>
            </w:pPr>
            <w:r w:rsidRPr="00027624">
              <w:rPr>
                <w:szCs w:val="18"/>
              </w:rPr>
              <w:t>11.1</w:t>
            </w:r>
          </w:p>
        </w:tc>
        <w:tc>
          <w:tcPr>
            <w:tcW w:w="467" w:type="pct"/>
            <w:vAlign w:val="bottom"/>
          </w:tcPr>
          <w:p w14:paraId="5B2A225F" w14:textId="77777777" w:rsidR="00E96B29" w:rsidRPr="00027624" w:rsidRDefault="00E96B29" w:rsidP="00E96B29">
            <w:pPr>
              <w:pStyle w:val="TableTextCentered"/>
              <w:rPr>
                <w:szCs w:val="18"/>
              </w:rPr>
            </w:pPr>
            <w:r w:rsidRPr="00027624">
              <w:rPr>
                <w:szCs w:val="18"/>
              </w:rPr>
              <w:t>11.3</w:t>
            </w:r>
          </w:p>
        </w:tc>
        <w:tc>
          <w:tcPr>
            <w:tcW w:w="464" w:type="pct"/>
            <w:vAlign w:val="bottom"/>
          </w:tcPr>
          <w:p w14:paraId="7A75779E" w14:textId="77777777" w:rsidR="00E96B29" w:rsidRPr="00027624" w:rsidRDefault="00E96B29" w:rsidP="00E96B29">
            <w:pPr>
              <w:pStyle w:val="TableTextCentered"/>
              <w:rPr>
                <w:szCs w:val="18"/>
              </w:rPr>
            </w:pPr>
            <w:r w:rsidRPr="00027624">
              <w:rPr>
                <w:szCs w:val="18"/>
              </w:rPr>
              <w:t>10.4</w:t>
            </w:r>
          </w:p>
        </w:tc>
        <w:tc>
          <w:tcPr>
            <w:tcW w:w="464" w:type="pct"/>
            <w:vAlign w:val="bottom"/>
          </w:tcPr>
          <w:p w14:paraId="077AD1D4" w14:textId="77777777" w:rsidR="00E96B29" w:rsidRPr="00027624" w:rsidRDefault="00E96B29" w:rsidP="00E96B29">
            <w:pPr>
              <w:pStyle w:val="TableTextCentered"/>
              <w:rPr>
                <w:szCs w:val="18"/>
              </w:rPr>
            </w:pPr>
            <w:r w:rsidRPr="00027624">
              <w:rPr>
                <w:szCs w:val="18"/>
              </w:rPr>
              <w:t>8.4</w:t>
            </w:r>
          </w:p>
        </w:tc>
        <w:tc>
          <w:tcPr>
            <w:tcW w:w="550" w:type="pct"/>
            <w:vAlign w:val="bottom"/>
          </w:tcPr>
          <w:p w14:paraId="0DD05503" w14:textId="77777777" w:rsidR="00E96B29" w:rsidRPr="00027624" w:rsidRDefault="00E96B29" w:rsidP="00E96B29">
            <w:pPr>
              <w:pStyle w:val="TableTextCentered"/>
              <w:rPr>
                <w:szCs w:val="18"/>
              </w:rPr>
            </w:pPr>
            <w:r w:rsidRPr="00027624">
              <w:rPr>
                <w:szCs w:val="18"/>
              </w:rPr>
              <w:t>6.2</w:t>
            </w:r>
          </w:p>
        </w:tc>
      </w:tr>
      <w:tr w:rsidR="00E96B29" w:rsidRPr="00027624" w14:paraId="5EC55C0D" w14:textId="77777777" w:rsidTr="00E96B29">
        <w:trPr>
          <w:trHeight w:val="270"/>
        </w:trPr>
        <w:tc>
          <w:tcPr>
            <w:tcW w:w="741" w:type="pct"/>
            <w:vAlign w:val="bottom"/>
          </w:tcPr>
          <w:p w14:paraId="73E142DB" w14:textId="77777777" w:rsidR="00E96B29" w:rsidRPr="00027624" w:rsidRDefault="00E96B29" w:rsidP="00E96B29">
            <w:pPr>
              <w:pStyle w:val="TableTextLeft"/>
              <w:rPr>
                <w:szCs w:val="18"/>
              </w:rPr>
            </w:pPr>
            <w:r w:rsidRPr="00027624">
              <w:rPr>
                <w:bCs/>
                <w:szCs w:val="18"/>
              </w:rPr>
              <w:t>74</w:t>
            </w:r>
          </w:p>
        </w:tc>
        <w:tc>
          <w:tcPr>
            <w:tcW w:w="446" w:type="pct"/>
            <w:vAlign w:val="bottom"/>
          </w:tcPr>
          <w:p w14:paraId="23CEBA74" w14:textId="77777777" w:rsidR="00E96B29" w:rsidRPr="00027624" w:rsidRDefault="00E96B29" w:rsidP="00E96B29">
            <w:pPr>
              <w:pStyle w:val="TableTextCentered"/>
              <w:rPr>
                <w:szCs w:val="18"/>
              </w:rPr>
            </w:pPr>
            <w:r w:rsidRPr="00027624">
              <w:rPr>
                <w:szCs w:val="18"/>
              </w:rPr>
              <w:t>10.2</w:t>
            </w:r>
          </w:p>
        </w:tc>
        <w:tc>
          <w:tcPr>
            <w:tcW w:w="467" w:type="pct"/>
            <w:vAlign w:val="bottom"/>
          </w:tcPr>
          <w:p w14:paraId="4CD3C763" w14:textId="77777777" w:rsidR="00E96B29" w:rsidRPr="00027624" w:rsidRDefault="00E96B29" w:rsidP="00E96B29">
            <w:pPr>
              <w:pStyle w:val="TableTextCentered"/>
              <w:rPr>
                <w:szCs w:val="18"/>
              </w:rPr>
            </w:pPr>
            <w:r w:rsidRPr="00027624">
              <w:rPr>
                <w:szCs w:val="18"/>
              </w:rPr>
              <w:t>9.5</w:t>
            </w:r>
          </w:p>
        </w:tc>
        <w:tc>
          <w:tcPr>
            <w:tcW w:w="467" w:type="pct"/>
            <w:vAlign w:val="bottom"/>
          </w:tcPr>
          <w:p w14:paraId="7394F33C" w14:textId="77777777" w:rsidR="00E96B29" w:rsidRPr="00027624" w:rsidRDefault="00E96B29" w:rsidP="00E96B29">
            <w:pPr>
              <w:pStyle w:val="TableTextCentered"/>
              <w:rPr>
                <w:szCs w:val="18"/>
              </w:rPr>
            </w:pPr>
            <w:r w:rsidRPr="00027624">
              <w:rPr>
                <w:szCs w:val="18"/>
              </w:rPr>
              <w:t>9.9</w:t>
            </w:r>
          </w:p>
        </w:tc>
        <w:tc>
          <w:tcPr>
            <w:tcW w:w="467" w:type="pct"/>
            <w:vAlign w:val="bottom"/>
          </w:tcPr>
          <w:p w14:paraId="34442F92" w14:textId="77777777" w:rsidR="00E96B29" w:rsidRPr="00027624" w:rsidRDefault="00E96B29" w:rsidP="00E96B29">
            <w:pPr>
              <w:pStyle w:val="TableTextCentered"/>
              <w:rPr>
                <w:szCs w:val="18"/>
              </w:rPr>
            </w:pPr>
            <w:r w:rsidRPr="00027624">
              <w:rPr>
                <w:szCs w:val="18"/>
              </w:rPr>
              <w:t>10.6</w:t>
            </w:r>
          </w:p>
        </w:tc>
        <w:tc>
          <w:tcPr>
            <w:tcW w:w="467" w:type="pct"/>
            <w:vAlign w:val="bottom"/>
          </w:tcPr>
          <w:p w14:paraId="36E1C7BC" w14:textId="77777777" w:rsidR="00E96B29" w:rsidRPr="00027624" w:rsidRDefault="00E96B29" w:rsidP="00E96B29">
            <w:pPr>
              <w:pStyle w:val="TableTextCentered"/>
              <w:rPr>
                <w:szCs w:val="18"/>
              </w:rPr>
            </w:pPr>
            <w:r w:rsidRPr="00027624">
              <w:rPr>
                <w:szCs w:val="18"/>
              </w:rPr>
              <w:t>11.2</w:t>
            </w:r>
          </w:p>
        </w:tc>
        <w:tc>
          <w:tcPr>
            <w:tcW w:w="467" w:type="pct"/>
            <w:vAlign w:val="bottom"/>
          </w:tcPr>
          <w:p w14:paraId="0EB84D05" w14:textId="77777777" w:rsidR="00E96B29" w:rsidRPr="00027624" w:rsidRDefault="00E96B29" w:rsidP="00E96B29">
            <w:pPr>
              <w:pStyle w:val="TableTextCentered"/>
              <w:rPr>
                <w:szCs w:val="18"/>
              </w:rPr>
            </w:pPr>
            <w:r w:rsidRPr="00027624">
              <w:rPr>
                <w:szCs w:val="18"/>
              </w:rPr>
              <w:t>11.5</w:t>
            </w:r>
          </w:p>
        </w:tc>
        <w:tc>
          <w:tcPr>
            <w:tcW w:w="464" w:type="pct"/>
            <w:vAlign w:val="bottom"/>
          </w:tcPr>
          <w:p w14:paraId="4F6F6480" w14:textId="77777777" w:rsidR="00E96B29" w:rsidRPr="00027624" w:rsidRDefault="00E96B29" w:rsidP="00E96B29">
            <w:pPr>
              <w:pStyle w:val="TableTextCentered"/>
              <w:rPr>
                <w:szCs w:val="18"/>
              </w:rPr>
            </w:pPr>
            <w:r w:rsidRPr="00027624">
              <w:rPr>
                <w:szCs w:val="18"/>
              </w:rPr>
              <w:t>11.3</w:t>
            </w:r>
          </w:p>
        </w:tc>
        <w:tc>
          <w:tcPr>
            <w:tcW w:w="464" w:type="pct"/>
            <w:vAlign w:val="bottom"/>
          </w:tcPr>
          <w:p w14:paraId="7F6F585D" w14:textId="77777777" w:rsidR="00E96B29" w:rsidRPr="00027624" w:rsidRDefault="00E96B29" w:rsidP="00E96B29">
            <w:pPr>
              <w:pStyle w:val="TableTextCentered"/>
              <w:rPr>
                <w:szCs w:val="18"/>
              </w:rPr>
            </w:pPr>
            <w:r w:rsidRPr="00027624">
              <w:rPr>
                <w:szCs w:val="18"/>
              </w:rPr>
              <w:t>9.0</w:t>
            </w:r>
          </w:p>
        </w:tc>
        <w:tc>
          <w:tcPr>
            <w:tcW w:w="550" w:type="pct"/>
            <w:vAlign w:val="bottom"/>
          </w:tcPr>
          <w:p w14:paraId="6D9DEE21" w14:textId="77777777" w:rsidR="00E96B29" w:rsidRPr="00027624" w:rsidRDefault="00E96B29" w:rsidP="00E96B29">
            <w:pPr>
              <w:pStyle w:val="TableTextCentered"/>
              <w:rPr>
                <w:szCs w:val="18"/>
              </w:rPr>
            </w:pPr>
            <w:r w:rsidRPr="00027624">
              <w:rPr>
                <w:szCs w:val="18"/>
              </w:rPr>
              <w:t>6.5</w:t>
            </w:r>
          </w:p>
        </w:tc>
      </w:tr>
      <w:tr w:rsidR="00E96B29" w:rsidRPr="00027624" w14:paraId="1BDA9C42" w14:textId="77777777" w:rsidTr="00E96B29">
        <w:trPr>
          <w:trHeight w:val="270"/>
        </w:trPr>
        <w:tc>
          <w:tcPr>
            <w:tcW w:w="741" w:type="pct"/>
            <w:vAlign w:val="bottom"/>
          </w:tcPr>
          <w:p w14:paraId="5469467F" w14:textId="77777777" w:rsidR="00E96B29" w:rsidRPr="00027624" w:rsidRDefault="00E96B29" w:rsidP="00E96B29">
            <w:pPr>
              <w:pStyle w:val="TableTextLeft"/>
              <w:rPr>
                <w:szCs w:val="18"/>
              </w:rPr>
            </w:pPr>
            <w:r w:rsidRPr="00027624">
              <w:rPr>
                <w:bCs/>
                <w:szCs w:val="18"/>
              </w:rPr>
              <w:t>75</w:t>
            </w:r>
          </w:p>
        </w:tc>
        <w:tc>
          <w:tcPr>
            <w:tcW w:w="446" w:type="pct"/>
            <w:vAlign w:val="bottom"/>
          </w:tcPr>
          <w:p w14:paraId="65C265EE" w14:textId="77777777" w:rsidR="00E96B29" w:rsidRPr="00027624" w:rsidRDefault="00E96B29" w:rsidP="00E96B29">
            <w:pPr>
              <w:pStyle w:val="TableTextCentered"/>
              <w:rPr>
                <w:szCs w:val="18"/>
              </w:rPr>
            </w:pPr>
            <w:r w:rsidRPr="00027624">
              <w:rPr>
                <w:szCs w:val="18"/>
              </w:rPr>
              <w:t>10.6</w:t>
            </w:r>
          </w:p>
        </w:tc>
        <w:tc>
          <w:tcPr>
            <w:tcW w:w="467" w:type="pct"/>
            <w:vAlign w:val="bottom"/>
          </w:tcPr>
          <w:p w14:paraId="6DCD3599" w14:textId="77777777" w:rsidR="00E96B29" w:rsidRPr="00027624" w:rsidRDefault="00E96B29" w:rsidP="00E96B29">
            <w:pPr>
              <w:pStyle w:val="TableTextCentered"/>
              <w:rPr>
                <w:szCs w:val="18"/>
              </w:rPr>
            </w:pPr>
            <w:r w:rsidRPr="00027624">
              <w:rPr>
                <w:szCs w:val="18"/>
              </w:rPr>
              <w:t>9.8</w:t>
            </w:r>
          </w:p>
        </w:tc>
        <w:tc>
          <w:tcPr>
            <w:tcW w:w="467" w:type="pct"/>
            <w:vAlign w:val="bottom"/>
          </w:tcPr>
          <w:p w14:paraId="748E1C20" w14:textId="77777777" w:rsidR="00E96B29" w:rsidRPr="00027624" w:rsidRDefault="00E96B29" w:rsidP="00E96B29">
            <w:pPr>
              <w:pStyle w:val="TableTextCentered"/>
              <w:rPr>
                <w:szCs w:val="18"/>
              </w:rPr>
            </w:pPr>
            <w:r w:rsidRPr="00027624">
              <w:rPr>
                <w:szCs w:val="18"/>
              </w:rPr>
              <w:t>9.8</w:t>
            </w:r>
          </w:p>
        </w:tc>
        <w:tc>
          <w:tcPr>
            <w:tcW w:w="467" w:type="pct"/>
            <w:vAlign w:val="bottom"/>
          </w:tcPr>
          <w:p w14:paraId="0AD9E70C" w14:textId="77777777" w:rsidR="00E96B29" w:rsidRPr="00027624" w:rsidRDefault="00E96B29" w:rsidP="00E96B29">
            <w:pPr>
              <w:pStyle w:val="TableTextCentered"/>
              <w:rPr>
                <w:szCs w:val="18"/>
              </w:rPr>
            </w:pPr>
            <w:r w:rsidRPr="00027624">
              <w:rPr>
                <w:szCs w:val="18"/>
              </w:rPr>
              <w:t>10.6</w:t>
            </w:r>
          </w:p>
        </w:tc>
        <w:tc>
          <w:tcPr>
            <w:tcW w:w="467" w:type="pct"/>
            <w:vAlign w:val="bottom"/>
          </w:tcPr>
          <w:p w14:paraId="64816EBB" w14:textId="77777777" w:rsidR="00E96B29" w:rsidRPr="00027624" w:rsidRDefault="00E96B29" w:rsidP="00E96B29">
            <w:pPr>
              <w:pStyle w:val="TableTextCentered"/>
              <w:rPr>
                <w:szCs w:val="18"/>
              </w:rPr>
            </w:pPr>
            <w:r w:rsidRPr="00027624">
              <w:rPr>
                <w:szCs w:val="18"/>
              </w:rPr>
              <w:t>11.3</w:t>
            </w:r>
          </w:p>
        </w:tc>
        <w:tc>
          <w:tcPr>
            <w:tcW w:w="467" w:type="pct"/>
            <w:vAlign w:val="bottom"/>
          </w:tcPr>
          <w:p w14:paraId="5481DEB0" w14:textId="77777777" w:rsidR="00E96B29" w:rsidRPr="00027624" w:rsidRDefault="00E96B29" w:rsidP="00E96B29">
            <w:pPr>
              <w:pStyle w:val="TableTextCentered"/>
              <w:rPr>
                <w:szCs w:val="18"/>
              </w:rPr>
            </w:pPr>
            <w:r w:rsidRPr="00027624">
              <w:rPr>
                <w:szCs w:val="18"/>
              </w:rPr>
              <w:t>11.7</w:t>
            </w:r>
          </w:p>
        </w:tc>
        <w:tc>
          <w:tcPr>
            <w:tcW w:w="464" w:type="pct"/>
            <w:vAlign w:val="bottom"/>
          </w:tcPr>
          <w:p w14:paraId="1548EF37" w14:textId="77777777" w:rsidR="00E96B29" w:rsidRPr="00027624" w:rsidRDefault="00E96B29" w:rsidP="00E96B29">
            <w:pPr>
              <w:pStyle w:val="TableTextCentered"/>
              <w:rPr>
                <w:szCs w:val="18"/>
              </w:rPr>
            </w:pPr>
            <w:r w:rsidRPr="00027624">
              <w:rPr>
                <w:szCs w:val="18"/>
              </w:rPr>
              <w:t>11.9</w:t>
            </w:r>
          </w:p>
        </w:tc>
        <w:tc>
          <w:tcPr>
            <w:tcW w:w="464" w:type="pct"/>
            <w:vAlign w:val="bottom"/>
          </w:tcPr>
          <w:p w14:paraId="2A0DCC53" w14:textId="77777777" w:rsidR="00E96B29" w:rsidRPr="00027624" w:rsidRDefault="00E96B29" w:rsidP="00E96B29">
            <w:pPr>
              <w:pStyle w:val="TableTextCentered"/>
              <w:rPr>
                <w:szCs w:val="18"/>
              </w:rPr>
            </w:pPr>
            <w:r w:rsidRPr="00027624">
              <w:rPr>
                <w:szCs w:val="18"/>
              </w:rPr>
              <w:t>9.6</w:t>
            </w:r>
          </w:p>
        </w:tc>
        <w:tc>
          <w:tcPr>
            <w:tcW w:w="550" w:type="pct"/>
            <w:vAlign w:val="bottom"/>
          </w:tcPr>
          <w:p w14:paraId="6E646098" w14:textId="77777777" w:rsidR="00E96B29" w:rsidRPr="00027624" w:rsidRDefault="00E96B29" w:rsidP="00E96B29">
            <w:pPr>
              <w:pStyle w:val="TableTextCentered"/>
              <w:rPr>
                <w:szCs w:val="18"/>
              </w:rPr>
            </w:pPr>
            <w:r w:rsidRPr="00027624">
              <w:rPr>
                <w:szCs w:val="18"/>
              </w:rPr>
              <w:t>6.8</w:t>
            </w:r>
          </w:p>
        </w:tc>
      </w:tr>
      <w:tr w:rsidR="00E96B29" w:rsidRPr="00027624" w14:paraId="1A3CB508" w14:textId="77777777" w:rsidTr="00E96B29">
        <w:trPr>
          <w:trHeight w:val="270"/>
        </w:trPr>
        <w:tc>
          <w:tcPr>
            <w:tcW w:w="741" w:type="pct"/>
            <w:vAlign w:val="bottom"/>
          </w:tcPr>
          <w:p w14:paraId="2CA95F54" w14:textId="77777777" w:rsidR="00E96B29" w:rsidRPr="00027624" w:rsidRDefault="00E96B29" w:rsidP="00E96B29">
            <w:pPr>
              <w:pStyle w:val="TableTextLeft"/>
              <w:rPr>
                <w:szCs w:val="18"/>
              </w:rPr>
            </w:pPr>
            <w:r w:rsidRPr="00027624">
              <w:rPr>
                <w:bCs/>
                <w:szCs w:val="18"/>
              </w:rPr>
              <w:t>76</w:t>
            </w:r>
          </w:p>
        </w:tc>
        <w:tc>
          <w:tcPr>
            <w:tcW w:w="446" w:type="pct"/>
            <w:vAlign w:val="bottom"/>
          </w:tcPr>
          <w:p w14:paraId="78BADAB3" w14:textId="77777777" w:rsidR="00E96B29" w:rsidRPr="00027624" w:rsidRDefault="00E96B29" w:rsidP="00E96B29">
            <w:pPr>
              <w:pStyle w:val="TableTextCentered"/>
              <w:rPr>
                <w:szCs w:val="18"/>
              </w:rPr>
            </w:pPr>
            <w:r w:rsidRPr="00027624">
              <w:rPr>
                <w:szCs w:val="18"/>
              </w:rPr>
              <w:t>11.1</w:t>
            </w:r>
          </w:p>
        </w:tc>
        <w:tc>
          <w:tcPr>
            <w:tcW w:w="467" w:type="pct"/>
            <w:vAlign w:val="bottom"/>
          </w:tcPr>
          <w:p w14:paraId="33650648" w14:textId="77777777" w:rsidR="00E96B29" w:rsidRPr="00027624" w:rsidRDefault="00E96B29" w:rsidP="00E96B29">
            <w:pPr>
              <w:pStyle w:val="TableTextCentered"/>
              <w:rPr>
                <w:szCs w:val="18"/>
              </w:rPr>
            </w:pPr>
            <w:r w:rsidRPr="00027624">
              <w:rPr>
                <w:szCs w:val="18"/>
              </w:rPr>
              <w:t>10.2</w:t>
            </w:r>
          </w:p>
        </w:tc>
        <w:tc>
          <w:tcPr>
            <w:tcW w:w="467" w:type="pct"/>
            <w:vAlign w:val="bottom"/>
          </w:tcPr>
          <w:p w14:paraId="45AEB85F" w14:textId="77777777" w:rsidR="00E96B29" w:rsidRPr="00027624" w:rsidRDefault="00E96B29" w:rsidP="00E96B29">
            <w:pPr>
              <w:pStyle w:val="TableTextCentered"/>
              <w:rPr>
                <w:szCs w:val="18"/>
              </w:rPr>
            </w:pPr>
            <w:r w:rsidRPr="00027624">
              <w:rPr>
                <w:szCs w:val="18"/>
              </w:rPr>
              <w:t>10.0</w:t>
            </w:r>
          </w:p>
        </w:tc>
        <w:tc>
          <w:tcPr>
            <w:tcW w:w="467" w:type="pct"/>
            <w:vAlign w:val="bottom"/>
          </w:tcPr>
          <w:p w14:paraId="5AE3E189" w14:textId="77777777" w:rsidR="00E96B29" w:rsidRPr="00027624" w:rsidRDefault="00E96B29" w:rsidP="00E96B29">
            <w:pPr>
              <w:pStyle w:val="TableTextCentered"/>
              <w:rPr>
                <w:szCs w:val="18"/>
              </w:rPr>
            </w:pPr>
            <w:r w:rsidRPr="00027624">
              <w:rPr>
                <w:szCs w:val="18"/>
              </w:rPr>
              <w:t>10.5</w:t>
            </w:r>
          </w:p>
        </w:tc>
        <w:tc>
          <w:tcPr>
            <w:tcW w:w="467" w:type="pct"/>
            <w:vAlign w:val="bottom"/>
          </w:tcPr>
          <w:p w14:paraId="73503A7B" w14:textId="77777777" w:rsidR="00E96B29" w:rsidRPr="00027624" w:rsidRDefault="00E96B29" w:rsidP="00E96B29">
            <w:pPr>
              <w:pStyle w:val="TableTextCentered"/>
              <w:rPr>
                <w:szCs w:val="18"/>
              </w:rPr>
            </w:pPr>
            <w:r w:rsidRPr="00027624">
              <w:rPr>
                <w:szCs w:val="18"/>
              </w:rPr>
              <w:t>11.4</w:t>
            </w:r>
          </w:p>
        </w:tc>
        <w:tc>
          <w:tcPr>
            <w:tcW w:w="467" w:type="pct"/>
            <w:vAlign w:val="bottom"/>
          </w:tcPr>
          <w:p w14:paraId="67E0683B" w14:textId="77777777" w:rsidR="00E96B29" w:rsidRPr="00027624" w:rsidRDefault="00E96B29" w:rsidP="00E96B29">
            <w:pPr>
              <w:pStyle w:val="TableTextCentered"/>
              <w:rPr>
                <w:szCs w:val="18"/>
              </w:rPr>
            </w:pPr>
            <w:r w:rsidRPr="00027624">
              <w:rPr>
                <w:szCs w:val="18"/>
              </w:rPr>
              <w:t>12.0</w:t>
            </w:r>
          </w:p>
        </w:tc>
        <w:tc>
          <w:tcPr>
            <w:tcW w:w="464" w:type="pct"/>
            <w:vAlign w:val="bottom"/>
          </w:tcPr>
          <w:p w14:paraId="270BA0D6" w14:textId="77777777" w:rsidR="00E96B29" w:rsidRPr="00027624" w:rsidRDefault="00E96B29" w:rsidP="00E96B29">
            <w:pPr>
              <w:pStyle w:val="TableTextCentered"/>
              <w:rPr>
                <w:szCs w:val="18"/>
              </w:rPr>
            </w:pPr>
            <w:r w:rsidRPr="00027624">
              <w:rPr>
                <w:szCs w:val="18"/>
              </w:rPr>
              <w:t>12.2</w:t>
            </w:r>
          </w:p>
        </w:tc>
        <w:tc>
          <w:tcPr>
            <w:tcW w:w="464" w:type="pct"/>
            <w:vAlign w:val="bottom"/>
          </w:tcPr>
          <w:p w14:paraId="0425FFD2" w14:textId="77777777" w:rsidR="00E96B29" w:rsidRPr="00027624" w:rsidRDefault="00E96B29" w:rsidP="00E96B29">
            <w:pPr>
              <w:pStyle w:val="TableTextCentered"/>
              <w:rPr>
                <w:szCs w:val="18"/>
              </w:rPr>
            </w:pPr>
            <w:r w:rsidRPr="00027624">
              <w:rPr>
                <w:szCs w:val="18"/>
              </w:rPr>
              <w:t>10.3</w:t>
            </w:r>
          </w:p>
        </w:tc>
        <w:tc>
          <w:tcPr>
            <w:tcW w:w="550" w:type="pct"/>
            <w:vAlign w:val="bottom"/>
          </w:tcPr>
          <w:p w14:paraId="40D3D91B" w14:textId="77777777" w:rsidR="00E96B29" w:rsidRPr="00027624" w:rsidRDefault="00E96B29" w:rsidP="00E96B29">
            <w:pPr>
              <w:pStyle w:val="TableTextCentered"/>
              <w:rPr>
                <w:szCs w:val="18"/>
              </w:rPr>
            </w:pPr>
            <w:r w:rsidRPr="00027624">
              <w:rPr>
                <w:szCs w:val="18"/>
              </w:rPr>
              <w:t>7.2</w:t>
            </w:r>
          </w:p>
        </w:tc>
      </w:tr>
      <w:tr w:rsidR="00E96B29" w:rsidRPr="00027624" w14:paraId="7D18999F" w14:textId="77777777" w:rsidTr="00E96B29">
        <w:trPr>
          <w:trHeight w:val="270"/>
        </w:trPr>
        <w:tc>
          <w:tcPr>
            <w:tcW w:w="741" w:type="pct"/>
            <w:vAlign w:val="bottom"/>
          </w:tcPr>
          <w:p w14:paraId="25F9ADAE" w14:textId="77777777" w:rsidR="00E96B29" w:rsidRPr="00027624" w:rsidRDefault="00E96B29" w:rsidP="00E96B29">
            <w:pPr>
              <w:pStyle w:val="TableTextLeft"/>
              <w:rPr>
                <w:szCs w:val="18"/>
              </w:rPr>
            </w:pPr>
            <w:r w:rsidRPr="00027624">
              <w:rPr>
                <w:bCs/>
                <w:szCs w:val="18"/>
              </w:rPr>
              <w:t>77</w:t>
            </w:r>
          </w:p>
        </w:tc>
        <w:tc>
          <w:tcPr>
            <w:tcW w:w="446" w:type="pct"/>
            <w:vAlign w:val="bottom"/>
          </w:tcPr>
          <w:p w14:paraId="7688A168" w14:textId="77777777" w:rsidR="00E96B29" w:rsidRPr="00027624" w:rsidRDefault="00E96B29" w:rsidP="00E96B29">
            <w:pPr>
              <w:pStyle w:val="TableTextCentered"/>
              <w:rPr>
                <w:szCs w:val="18"/>
              </w:rPr>
            </w:pPr>
            <w:r w:rsidRPr="00027624">
              <w:rPr>
                <w:szCs w:val="18"/>
              </w:rPr>
              <w:t>11.6</w:t>
            </w:r>
          </w:p>
        </w:tc>
        <w:tc>
          <w:tcPr>
            <w:tcW w:w="467" w:type="pct"/>
            <w:vAlign w:val="bottom"/>
          </w:tcPr>
          <w:p w14:paraId="72A511A2" w14:textId="77777777" w:rsidR="00E96B29" w:rsidRPr="00027624" w:rsidRDefault="00E96B29" w:rsidP="00E96B29">
            <w:pPr>
              <w:pStyle w:val="TableTextCentered"/>
              <w:rPr>
                <w:szCs w:val="18"/>
              </w:rPr>
            </w:pPr>
            <w:r w:rsidRPr="00027624">
              <w:rPr>
                <w:szCs w:val="18"/>
              </w:rPr>
              <w:t>10.5</w:t>
            </w:r>
          </w:p>
        </w:tc>
        <w:tc>
          <w:tcPr>
            <w:tcW w:w="467" w:type="pct"/>
            <w:vAlign w:val="bottom"/>
          </w:tcPr>
          <w:p w14:paraId="41A2619F" w14:textId="77777777" w:rsidR="00E96B29" w:rsidRPr="00027624" w:rsidRDefault="00E96B29" w:rsidP="00E96B29">
            <w:pPr>
              <w:pStyle w:val="TableTextCentered"/>
              <w:rPr>
                <w:szCs w:val="18"/>
              </w:rPr>
            </w:pPr>
            <w:r w:rsidRPr="00027624">
              <w:rPr>
                <w:szCs w:val="18"/>
              </w:rPr>
              <w:t>10.3</w:t>
            </w:r>
          </w:p>
        </w:tc>
        <w:tc>
          <w:tcPr>
            <w:tcW w:w="467" w:type="pct"/>
            <w:vAlign w:val="bottom"/>
          </w:tcPr>
          <w:p w14:paraId="0D87EEA6" w14:textId="77777777" w:rsidR="00E96B29" w:rsidRPr="00027624" w:rsidRDefault="00E96B29" w:rsidP="00E96B29">
            <w:pPr>
              <w:pStyle w:val="TableTextCentered"/>
              <w:rPr>
                <w:szCs w:val="18"/>
              </w:rPr>
            </w:pPr>
            <w:r w:rsidRPr="00027624">
              <w:rPr>
                <w:szCs w:val="18"/>
              </w:rPr>
              <w:t>10.5</w:t>
            </w:r>
          </w:p>
        </w:tc>
        <w:tc>
          <w:tcPr>
            <w:tcW w:w="467" w:type="pct"/>
            <w:vAlign w:val="bottom"/>
          </w:tcPr>
          <w:p w14:paraId="32DB20A2" w14:textId="77777777" w:rsidR="00E96B29" w:rsidRPr="00027624" w:rsidRDefault="00E96B29" w:rsidP="00E96B29">
            <w:pPr>
              <w:pStyle w:val="TableTextCentered"/>
              <w:rPr>
                <w:szCs w:val="18"/>
              </w:rPr>
            </w:pPr>
            <w:r w:rsidRPr="00027624">
              <w:rPr>
                <w:szCs w:val="18"/>
              </w:rPr>
              <w:t>11.5</w:t>
            </w:r>
          </w:p>
        </w:tc>
        <w:tc>
          <w:tcPr>
            <w:tcW w:w="467" w:type="pct"/>
            <w:vAlign w:val="bottom"/>
          </w:tcPr>
          <w:p w14:paraId="1B7FC7E3" w14:textId="77777777" w:rsidR="00E96B29" w:rsidRPr="00027624" w:rsidRDefault="00E96B29" w:rsidP="00E96B29">
            <w:pPr>
              <w:pStyle w:val="TableTextCentered"/>
              <w:rPr>
                <w:szCs w:val="18"/>
              </w:rPr>
            </w:pPr>
            <w:r w:rsidRPr="00027624">
              <w:rPr>
                <w:szCs w:val="18"/>
              </w:rPr>
              <w:t>12.2</w:t>
            </w:r>
          </w:p>
        </w:tc>
        <w:tc>
          <w:tcPr>
            <w:tcW w:w="464" w:type="pct"/>
            <w:vAlign w:val="bottom"/>
          </w:tcPr>
          <w:p w14:paraId="10240B90" w14:textId="77777777" w:rsidR="00E96B29" w:rsidRPr="00027624" w:rsidRDefault="00E96B29" w:rsidP="00E96B29">
            <w:pPr>
              <w:pStyle w:val="TableTextCentered"/>
              <w:rPr>
                <w:szCs w:val="18"/>
              </w:rPr>
            </w:pPr>
            <w:r w:rsidRPr="00027624">
              <w:rPr>
                <w:szCs w:val="18"/>
              </w:rPr>
              <w:t>12.6</w:t>
            </w:r>
          </w:p>
        </w:tc>
        <w:tc>
          <w:tcPr>
            <w:tcW w:w="464" w:type="pct"/>
            <w:vAlign w:val="bottom"/>
          </w:tcPr>
          <w:p w14:paraId="51DC3A59" w14:textId="77777777" w:rsidR="00E96B29" w:rsidRPr="00027624" w:rsidRDefault="00E96B29" w:rsidP="00E96B29">
            <w:pPr>
              <w:pStyle w:val="TableTextCentered"/>
              <w:rPr>
                <w:szCs w:val="18"/>
              </w:rPr>
            </w:pPr>
            <w:r w:rsidRPr="00027624">
              <w:rPr>
                <w:szCs w:val="18"/>
              </w:rPr>
              <w:t>11.2</w:t>
            </w:r>
          </w:p>
        </w:tc>
        <w:tc>
          <w:tcPr>
            <w:tcW w:w="550" w:type="pct"/>
            <w:vAlign w:val="bottom"/>
          </w:tcPr>
          <w:p w14:paraId="08B75A87" w14:textId="77777777" w:rsidR="00E96B29" w:rsidRPr="00027624" w:rsidRDefault="00E96B29" w:rsidP="00E96B29">
            <w:pPr>
              <w:pStyle w:val="TableTextCentered"/>
              <w:rPr>
                <w:szCs w:val="18"/>
              </w:rPr>
            </w:pPr>
            <w:r w:rsidRPr="00027624">
              <w:rPr>
                <w:szCs w:val="18"/>
              </w:rPr>
              <w:t>7.6</w:t>
            </w:r>
          </w:p>
        </w:tc>
      </w:tr>
      <w:tr w:rsidR="00E96B29" w:rsidRPr="00027624" w14:paraId="0E017567" w14:textId="77777777" w:rsidTr="00E96B29">
        <w:trPr>
          <w:trHeight w:val="270"/>
        </w:trPr>
        <w:tc>
          <w:tcPr>
            <w:tcW w:w="741" w:type="pct"/>
            <w:vAlign w:val="bottom"/>
          </w:tcPr>
          <w:p w14:paraId="33CA6BE3" w14:textId="77777777" w:rsidR="00E96B29" w:rsidRPr="00027624" w:rsidRDefault="00E96B29" w:rsidP="00E96B29">
            <w:pPr>
              <w:pStyle w:val="TableTextLeft"/>
              <w:rPr>
                <w:szCs w:val="18"/>
              </w:rPr>
            </w:pPr>
            <w:r w:rsidRPr="00027624">
              <w:rPr>
                <w:bCs/>
                <w:szCs w:val="18"/>
              </w:rPr>
              <w:t>78</w:t>
            </w:r>
          </w:p>
        </w:tc>
        <w:tc>
          <w:tcPr>
            <w:tcW w:w="446" w:type="pct"/>
            <w:vAlign w:val="bottom"/>
          </w:tcPr>
          <w:p w14:paraId="7799B881" w14:textId="77777777" w:rsidR="00E96B29" w:rsidRPr="00027624" w:rsidRDefault="00E96B29" w:rsidP="00E96B29">
            <w:pPr>
              <w:pStyle w:val="TableTextCentered"/>
              <w:rPr>
                <w:szCs w:val="18"/>
              </w:rPr>
            </w:pPr>
            <w:r w:rsidRPr="00027624">
              <w:rPr>
                <w:szCs w:val="18"/>
              </w:rPr>
              <w:t>12.2</w:t>
            </w:r>
          </w:p>
        </w:tc>
        <w:tc>
          <w:tcPr>
            <w:tcW w:w="467" w:type="pct"/>
            <w:vAlign w:val="bottom"/>
          </w:tcPr>
          <w:p w14:paraId="5F483348" w14:textId="77777777" w:rsidR="00E96B29" w:rsidRPr="00027624" w:rsidRDefault="00E96B29" w:rsidP="00E96B29">
            <w:pPr>
              <w:pStyle w:val="TableTextCentered"/>
              <w:rPr>
                <w:szCs w:val="18"/>
              </w:rPr>
            </w:pPr>
            <w:r w:rsidRPr="00027624">
              <w:rPr>
                <w:szCs w:val="18"/>
              </w:rPr>
              <w:t>11.0</w:t>
            </w:r>
          </w:p>
        </w:tc>
        <w:tc>
          <w:tcPr>
            <w:tcW w:w="467" w:type="pct"/>
            <w:vAlign w:val="bottom"/>
          </w:tcPr>
          <w:p w14:paraId="6FE44C43" w14:textId="77777777" w:rsidR="00E96B29" w:rsidRPr="00027624" w:rsidRDefault="00E96B29" w:rsidP="00E96B29">
            <w:pPr>
              <w:pStyle w:val="TableTextCentered"/>
              <w:rPr>
                <w:szCs w:val="18"/>
              </w:rPr>
            </w:pPr>
            <w:r w:rsidRPr="00027624">
              <w:rPr>
                <w:szCs w:val="18"/>
              </w:rPr>
              <w:t>10.8</w:t>
            </w:r>
          </w:p>
        </w:tc>
        <w:tc>
          <w:tcPr>
            <w:tcW w:w="467" w:type="pct"/>
            <w:vAlign w:val="bottom"/>
          </w:tcPr>
          <w:p w14:paraId="244E90E4" w14:textId="77777777" w:rsidR="00E96B29" w:rsidRPr="00027624" w:rsidRDefault="00E96B29" w:rsidP="00E96B29">
            <w:pPr>
              <w:pStyle w:val="TableTextCentered"/>
              <w:rPr>
                <w:szCs w:val="18"/>
              </w:rPr>
            </w:pPr>
            <w:r w:rsidRPr="00027624">
              <w:rPr>
                <w:szCs w:val="18"/>
              </w:rPr>
              <w:t>10.6</w:t>
            </w:r>
          </w:p>
        </w:tc>
        <w:tc>
          <w:tcPr>
            <w:tcW w:w="467" w:type="pct"/>
            <w:vAlign w:val="bottom"/>
          </w:tcPr>
          <w:p w14:paraId="751939B1" w14:textId="77777777" w:rsidR="00E96B29" w:rsidRPr="00027624" w:rsidRDefault="00E96B29" w:rsidP="00E96B29">
            <w:pPr>
              <w:pStyle w:val="TableTextCentered"/>
              <w:rPr>
                <w:szCs w:val="18"/>
              </w:rPr>
            </w:pPr>
            <w:r w:rsidRPr="00027624">
              <w:rPr>
                <w:szCs w:val="18"/>
              </w:rPr>
              <w:t>11.6</w:t>
            </w:r>
          </w:p>
        </w:tc>
        <w:tc>
          <w:tcPr>
            <w:tcW w:w="467" w:type="pct"/>
            <w:vAlign w:val="bottom"/>
          </w:tcPr>
          <w:p w14:paraId="63C72459" w14:textId="77777777" w:rsidR="00E96B29" w:rsidRPr="00027624" w:rsidRDefault="00E96B29" w:rsidP="00E96B29">
            <w:pPr>
              <w:pStyle w:val="TableTextCentered"/>
              <w:rPr>
                <w:szCs w:val="18"/>
              </w:rPr>
            </w:pPr>
            <w:r w:rsidRPr="00027624">
              <w:rPr>
                <w:szCs w:val="18"/>
              </w:rPr>
              <w:t>12.4</w:t>
            </w:r>
          </w:p>
        </w:tc>
        <w:tc>
          <w:tcPr>
            <w:tcW w:w="464" w:type="pct"/>
            <w:vAlign w:val="bottom"/>
          </w:tcPr>
          <w:p w14:paraId="69CA5DA5" w14:textId="77777777" w:rsidR="00E96B29" w:rsidRPr="00027624" w:rsidRDefault="00E96B29" w:rsidP="00E96B29">
            <w:pPr>
              <w:pStyle w:val="TableTextCentered"/>
              <w:rPr>
                <w:szCs w:val="18"/>
              </w:rPr>
            </w:pPr>
            <w:r w:rsidRPr="00027624">
              <w:rPr>
                <w:szCs w:val="18"/>
              </w:rPr>
              <w:t>12.9</w:t>
            </w:r>
          </w:p>
        </w:tc>
        <w:tc>
          <w:tcPr>
            <w:tcW w:w="464" w:type="pct"/>
            <w:vAlign w:val="bottom"/>
          </w:tcPr>
          <w:p w14:paraId="137771B0" w14:textId="77777777" w:rsidR="00E96B29" w:rsidRPr="00027624" w:rsidRDefault="00E96B29" w:rsidP="00E96B29">
            <w:pPr>
              <w:pStyle w:val="TableTextCentered"/>
              <w:rPr>
                <w:szCs w:val="18"/>
              </w:rPr>
            </w:pPr>
            <w:r w:rsidRPr="00027624">
              <w:rPr>
                <w:szCs w:val="18"/>
              </w:rPr>
              <w:t>12.3</w:t>
            </w:r>
          </w:p>
        </w:tc>
        <w:tc>
          <w:tcPr>
            <w:tcW w:w="550" w:type="pct"/>
            <w:vAlign w:val="bottom"/>
          </w:tcPr>
          <w:p w14:paraId="6851323E" w14:textId="77777777" w:rsidR="00E96B29" w:rsidRPr="00027624" w:rsidRDefault="00E96B29" w:rsidP="00E96B29">
            <w:pPr>
              <w:pStyle w:val="TableTextCentered"/>
              <w:rPr>
                <w:szCs w:val="18"/>
              </w:rPr>
            </w:pPr>
            <w:r w:rsidRPr="00027624">
              <w:rPr>
                <w:szCs w:val="18"/>
              </w:rPr>
              <w:t>8.1</w:t>
            </w:r>
          </w:p>
        </w:tc>
      </w:tr>
      <w:tr w:rsidR="00E96B29" w:rsidRPr="00027624" w14:paraId="1A64522D" w14:textId="77777777" w:rsidTr="00E96B29">
        <w:trPr>
          <w:trHeight w:val="270"/>
        </w:trPr>
        <w:tc>
          <w:tcPr>
            <w:tcW w:w="741" w:type="pct"/>
            <w:vAlign w:val="bottom"/>
          </w:tcPr>
          <w:p w14:paraId="6901B413" w14:textId="77777777" w:rsidR="00E96B29" w:rsidRPr="00027624" w:rsidRDefault="00E96B29" w:rsidP="00E96B29">
            <w:pPr>
              <w:pStyle w:val="TableTextLeft"/>
              <w:rPr>
                <w:szCs w:val="18"/>
              </w:rPr>
            </w:pPr>
            <w:r w:rsidRPr="00027624">
              <w:rPr>
                <w:bCs/>
                <w:szCs w:val="18"/>
              </w:rPr>
              <w:t>79</w:t>
            </w:r>
          </w:p>
        </w:tc>
        <w:tc>
          <w:tcPr>
            <w:tcW w:w="446" w:type="pct"/>
            <w:vAlign w:val="bottom"/>
          </w:tcPr>
          <w:p w14:paraId="01663DEF" w14:textId="77777777" w:rsidR="00E96B29" w:rsidRPr="00027624" w:rsidRDefault="00E96B29" w:rsidP="00E96B29">
            <w:pPr>
              <w:pStyle w:val="TableTextCentered"/>
              <w:rPr>
                <w:szCs w:val="18"/>
              </w:rPr>
            </w:pPr>
            <w:r w:rsidRPr="00027624">
              <w:rPr>
                <w:szCs w:val="18"/>
              </w:rPr>
              <w:t>12.9</w:t>
            </w:r>
          </w:p>
        </w:tc>
        <w:tc>
          <w:tcPr>
            <w:tcW w:w="467" w:type="pct"/>
            <w:vAlign w:val="bottom"/>
          </w:tcPr>
          <w:p w14:paraId="4A62A50F" w14:textId="77777777" w:rsidR="00E96B29" w:rsidRPr="00027624" w:rsidRDefault="00E96B29" w:rsidP="00E96B29">
            <w:pPr>
              <w:pStyle w:val="TableTextCentered"/>
              <w:rPr>
                <w:szCs w:val="18"/>
              </w:rPr>
            </w:pPr>
            <w:r w:rsidRPr="00027624">
              <w:rPr>
                <w:szCs w:val="18"/>
              </w:rPr>
              <w:t>11.6</w:t>
            </w:r>
          </w:p>
        </w:tc>
        <w:tc>
          <w:tcPr>
            <w:tcW w:w="467" w:type="pct"/>
            <w:vAlign w:val="bottom"/>
          </w:tcPr>
          <w:p w14:paraId="456302DF" w14:textId="77777777" w:rsidR="00E96B29" w:rsidRPr="00027624" w:rsidRDefault="00E96B29" w:rsidP="00E96B29">
            <w:pPr>
              <w:pStyle w:val="TableTextCentered"/>
              <w:rPr>
                <w:szCs w:val="18"/>
              </w:rPr>
            </w:pPr>
            <w:r w:rsidRPr="00027624">
              <w:rPr>
                <w:szCs w:val="18"/>
              </w:rPr>
              <w:t>11.2</w:t>
            </w:r>
          </w:p>
        </w:tc>
        <w:tc>
          <w:tcPr>
            <w:tcW w:w="467" w:type="pct"/>
            <w:vAlign w:val="bottom"/>
          </w:tcPr>
          <w:p w14:paraId="027202D3" w14:textId="77777777" w:rsidR="00E96B29" w:rsidRPr="00027624" w:rsidRDefault="00E96B29" w:rsidP="00E96B29">
            <w:pPr>
              <w:pStyle w:val="TableTextCentered"/>
              <w:rPr>
                <w:szCs w:val="18"/>
              </w:rPr>
            </w:pPr>
            <w:r w:rsidRPr="00027624">
              <w:rPr>
                <w:szCs w:val="18"/>
              </w:rPr>
              <w:t>11.1</w:t>
            </w:r>
          </w:p>
        </w:tc>
        <w:tc>
          <w:tcPr>
            <w:tcW w:w="467" w:type="pct"/>
            <w:vAlign w:val="bottom"/>
          </w:tcPr>
          <w:p w14:paraId="6AE31C03" w14:textId="77777777" w:rsidR="00E96B29" w:rsidRPr="00027624" w:rsidRDefault="00E96B29" w:rsidP="00E96B29">
            <w:pPr>
              <w:pStyle w:val="TableTextCentered"/>
              <w:rPr>
                <w:szCs w:val="18"/>
              </w:rPr>
            </w:pPr>
            <w:r w:rsidRPr="00027624">
              <w:rPr>
                <w:szCs w:val="18"/>
              </w:rPr>
              <w:t>11.7</w:t>
            </w:r>
          </w:p>
        </w:tc>
        <w:tc>
          <w:tcPr>
            <w:tcW w:w="467" w:type="pct"/>
            <w:vAlign w:val="bottom"/>
          </w:tcPr>
          <w:p w14:paraId="25B6843F" w14:textId="77777777" w:rsidR="00E96B29" w:rsidRPr="00027624" w:rsidRDefault="00E96B29" w:rsidP="00E96B29">
            <w:pPr>
              <w:pStyle w:val="TableTextCentered"/>
              <w:rPr>
                <w:szCs w:val="18"/>
              </w:rPr>
            </w:pPr>
            <w:r w:rsidRPr="00027624">
              <w:rPr>
                <w:szCs w:val="18"/>
              </w:rPr>
              <w:t>12.7</w:t>
            </w:r>
          </w:p>
        </w:tc>
        <w:tc>
          <w:tcPr>
            <w:tcW w:w="464" w:type="pct"/>
            <w:vAlign w:val="bottom"/>
          </w:tcPr>
          <w:p w14:paraId="65FC37AE" w14:textId="77777777" w:rsidR="00E96B29" w:rsidRPr="00027624" w:rsidRDefault="00E96B29" w:rsidP="00E96B29">
            <w:pPr>
              <w:pStyle w:val="TableTextCentered"/>
              <w:rPr>
                <w:szCs w:val="18"/>
              </w:rPr>
            </w:pPr>
            <w:r w:rsidRPr="00027624">
              <w:rPr>
                <w:szCs w:val="18"/>
              </w:rPr>
              <w:t>13.3</w:t>
            </w:r>
          </w:p>
        </w:tc>
        <w:tc>
          <w:tcPr>
            <w:tcW w:w="464" w:type="pct"/>
            <w:vAlign w:val="bottom"/>
          </w:tcPr>
          <w:p w14:paraId="17F10367" w14:textId="77777777" w:rsidR="00E96B29" w:rsidRPr="00027624" w:rsidRDefault="00E96B29" w:rsidP="00E96B29">
            <w:pPr>
              <w:pStyle w:val="TableTextCentered"/>
              <w:rPr>
                <w:szCs w:val="18"/>
              </w:rPr>
            </w:pPr>
            <w:r w:rsidRPr="00027624">
              <w:rPr>
                <w:szCs w:val="18"/>
              </w:rPr>
              <w:t>13.4</w:t>
            </w:r>
          </w:p>
        </w:tc>
        <w:tc>
          <w:tcPr>
            <w:tcW w:w="550" w:type="pct"/>
            <w:vAlign w:val="bottom"/>
          </w:tcPr>
          <w:p w14:paraId="141C3D32" w14:textId="77777777" w:rsidR="00E96B29" w:rsidRPr="00027624" w:rsidRDefault="00E96B29" w:rsidP="00E96B29">
            <w:pPr>
              <w:pStyle w:val="TableTextCentered"/>
              <w:rPr>
                <w:szCs w:val="18"/>
              </w:rPr>
            </w:pPr>
            <w:r w:rsidRPr="00027624">
              <w:rPr>
                <w:szCs w:val="18"/>
              </w:rPr>
              <w:t>8.6</w:t>
            </w:r>
          </w:p>
        </w:tc>
      </w:tr>
      <w:tr w:rsidR="00E96B29" w:rsidRPr="00027624" w14:paraId="39D387FC" w14:textId="77777777" w:rsidTr="00E96B29">
        <w:trPr>
          <w:trHeight w:val="270"/>
        </w:trPr>
        <w:tc>
          <w:tcPr>
            <w:tcW w:w="741" w:type="pct"/>
            <w:vAlign w:val="bottom"/>
          </w:tcPr>
          <w:p w14:paraId="15B145DE" w14:textId="77777777" w:rsidR="00E96B29" w:rsidRPr="00027624" w:rsidRDefault="00E96B29" w:rsidP="00E96B29">
            <w:pPr>
              <w:pStyle w:val="TableTextLeft"/>
              <w:rPr>
                <w:szCs w:val="18"/>
              </w:rPr>
            </w:pPr>
            <w:r w:rsidRPr="00027624">
              <w:rPr>
                <w:bCs/>
                <w:szCs w:val="18"/>
              </w:rPr>
              <w:t>80</w:t>
            </w:r>
          </w:p>
        </w:tc>
        <w:tc>
          <w:tcPr>
            <w:tcW w:w="446" w:type="pct"/>
            <w:vAlign w:val="bottom"/>
          </w:tcPr>
          <w:p w14:paraId="4CD20DFE" w14:textId="77777777" w:rsidR="00E96B29" w:rsidRPr="00027624" w:rsidRDefault="00E96B29" w:rsidP="00E96B29">
            <w:pPr>
              <w:pStyle w:val="TableTextCentered"/>
              <w:rPr>
                <w:szCs w:val="18"/>
              </w:rPr>
            </w:pPr>
            <w:r w:rsidRPr="00027624">
              <w:rPr>
                <w:szCs w:val="18"/>
              </w:rPr>
              <w:t>13.6</w:t>
            </w:r>
          </w:p>
        </w:tc>
        <w:tc>
          <w:tcPr>
            <w:tcW w:w="467" w:type="pct"/>
            <w:vAlign w:val="bottom"/>
          </w:tcPr>
          <w:p w14:paraId="316FB9E4" w14:textId="77777777" w:rsidR="00E96B29" w:rsidRPr="00027624" w:rsidRDefault="00E96B29" w:rsidP="00E96B29">
            <w:pPr>
              <w:pStyle w:val="TableTextCentered"/>
              <w:rPr>
                <w:szCs w:val="18"/>
              </w:rPr>
            </w:pPr>
            <w:r w:rsidRPr="00027624">
              <w:rPr>
                <w:szCs w:val="18"/>
              </w:rPr>
              <w:t>12.2</w:t>
            </w:r>
          </w:p>
        </w:tc>
        <w:tc>
          <w:tcPr>
            <w:tcW w:w="467" w:type="pct"/>
            <w:vAlign w:val="bottom"/>
          </w:tcPr>
          <w:p w14:paraId="263B39E5" w14:textId="77777777" w:rsidR="00E96B29" w:rsidRPr="00027624" w:rsidRDefault="00E96B29" w:rsidP="00E96B29">
            <w:pPr>
              <w:pStyle w:val="TableTextCentered"/>
              <w:rPr>
                <w:szCs w:val="18"/>
              </w:rPr>
            </w:pPr>
            <w:r w:rsidRPr="00027624">
              <w:rPr>
                <w:szCs w:val="18"/>
              </w:rPr>
              <w:t>11.8</w:t>
            </w:r>
          </w:p>
        </w:tc>
        <w:tc>
          <w:tcPr>
            <w:tcW w:w="467" w:type="pct"/>
            <w:vAlign w:val="bottom"/>
          </w:tcPr>
          <w:p w14:paraId="4928C668" w14:textId="77777777" w:rsidR="00E96B29" w:rsidRPr="00027624" w:rsidRDefault="00E96B29" w:rsidP="00E96B29">
            <w:pPr>
              <w:pStyle w:val="TableTextCentered"/>
              <w:rPr>
                <w:szCs w:val="18"/>
              </w:rPr>
            </w:pPr>
            <w:r w:rsidRPr="00027624">
              <w:rPr>
                <w:szCs w:val="18"/>
              </w:rPr>
              <w:t>11.6</w:t>
            </w:r>
          </w:p>
        </w:tc>
        <w:tc>
          <w:tcPr>
            <w:tcW w:w="467" w:type="pct"/>
            <w:vAlign w:val="bottom"/>
          </w:tcPr>
          <w:p w14:paraId="3C5050CF" w14:textId="77777777" w:rsidR="00E96B29" w:rsidRPr="00027624" w:rsidRDefault="00E96B29" w:rsidP="00E96B29">
            <w:pPr>
              <w:pStyle w:val="TableTextCentered"/>
              <w:rPr>
                <w:szCs w:val="18"/>
              </w:rPr>
            </w:pPr>
            <w:r w:rsidRPr="00027624">
              <w:rPr>
                <w:szCs w:val="18"/>
              </w:rPr>
              <w:t>11.7</w:t>
            </w:r>
          </w:p>
        </w:tc>
        <w:tc>
          <w:tcPr>
            <w:tcW w:w="467" w:type="pct"/>
            <w:vAlign w:val="bottom"/>
          </w:tcPr>
          <w:p w14:paraId="7038E48C" w14:textId="77777777" w:rsidR="00E96B29" w:rsidRPr="00027624" w:rsidRDefault="00E96B29" w:rsidP="00E96B29">
            <w:pPr>
              <w:pStyle w:val="TableTextCentered"/>
              <w:rPr>
                <w:szCs w:val="18"/>
              </w:rPr>
            </w:pPr>
            <w:r w:rsidRPr="00027624">
              <w:rPr>
                <w:szCs w:val="18"/>
              </w:rPr>
              <w:t>13.0</w:t>
            </w:r>
          </w:p>
        </w:tc>
        <w:tc>
          <w:tcPr>
            <w:tcW w:w="464" w:type="pct"/>
            <w:vAlign w:val="bottom"/>
          </w:tcPr>
          <w:p w14:paraId="51A4B669" w14:textId="77777777" w:rsidR="00E96B29" w:rsidRPr="00027624" w:rsidRDefault="00E96B29" w:rsidP="00E96B29">
            <w:pPr>
              <w:pStyle w:val="TableTextCentered"/>
              <w:rPr>
                <w:szCs w:val="18"/>
              </w:rPr>
            </w:pPr>
            <w:r w:rsidRPr="00027624">
              <w:rPr>
                <w:szCs w:val="18"/>
              </w:rPr>
              <w:t>13.8</w:t>
            </w:r>
          </w:p>
        </w:tc>
        <w:tc>
          <w:tcPr>
            <w:tcW w:w="464" w:type="pct"/>
            <w:vAlign w:val="bottom"/>
          </w:tcPr>
          <w:p w14:paraId="36F6B52F" w14:textId="77777777" w:rsidR="00E96B29" w:rsidRPr="00027624" w:rsidRDefault="00E96B29" w:rsidP="00E96B29">
            <w:pPr>
              <w:pStyle w:val="TableTextCentered"/>
              <w:rPr>
                <w:szCs w:val="18"/>
              </w:rPr>
            </w:pPr>
            <w:r w:rsidRPr="00027624">
              <w:rPr>
                <w:szCs w:val="18"/>
              </w:rPr>
              <w:t>13.9</w:t>
            </w:r>
          </w:p>
        </w:tc>
        <w:tc>
          <w:tcPr>
            <w:tcW w:w="550" w:type="pct"/>
            <w:vAlign w:val="bottom"/>
          </w:tcPr>
          <w:p w14:paraId="31919A27" w14:textId="77777777" w:rsidR="00E96B29" w:rsidRPr="00027624" w:rsidRDefault="00E96B29" w:rsidP="00E96B29">
            <w:pPr>
              <w:pStyle w:val="TableTextCentered"/>
              <w:rPr>
                <w:szCs w:val="18"/>
              </w:rPr>
            </w:pPr>
            <w:r w:rsidRPr="00027624">
              <w:rPr>
                <w:szCs w:val="18"/>
              </w:rPr>
              <w:t>9.2</w:t>
            </w:r>
          </w:p>
        </w:tc>
      </w:tr>
      <w:tr w:rsidR="00E96B29" w:rsidRPr="00027624" w14:paraId="7C88FE86" w14:textId="77777777" w:rsidTr="00E96B29">
        <w:trPr>
          <w:trHeight w:val="270"/>
        </w:trPr>
        <w:tc>
          <w:tcPr>
            <w:tcW w:w="741" w:type="pct"/>
            <w:vAlign w:val="bottom"/>
          </w:tcPr>
          <w:p w14:paraId="0314A2C5" w14:textId="77777777" w:rsidR="00E96B29" w:rsidRPr="00027624" w:rsidRDefault="00E96B29" w:rsidP="00E96B29">
            <w:pPr>
              <w:pStyle w:val="TableTextLeft"/>
              <w:rPr>
                <w:szCs w:val="18"/>
              </w:rPr>
            </w:pPr>
            <w:r w:rsidRPr="00027624">
              <w:rPr>
                <w:bCs/>
                <w:szCs w:val="18"/>
              </w:rPr>
              <w:t>81</w:t>
            </w:r>
          </w:p>
        </w:tc>
        <w:tc>
          <w:tcPr>
            <w:tcW w:w="446" w:type="pct"/>
            <w:vAlign w:val="bottom"/>
          </w:tcPr>
          <w:p w14:paraId="49B51956" w14:textId="77777777" w:rsidR="00E96B29" w:rsidRPr="00027624" w:rsidRDefault="00E96B29" w:rsidP="00E96B29">
            <w:pPr>
              <w:pStyle w:val="TableTextCentered"/>
              <w:rPr>
                <w:szCs w:val="18"/>
              </w:rPr>
            </w:pPr>
            <w:r w:rsidRPr="00027624">
              <w:rPr>
                <w:szCs w:val="18"/>
              </w:rPr>
              <w:t>14.5</w:t>
            </w:r>
          </w:p>
        </w:tc>
        <w:tc>
          <w:tcPr>
            <w:tcW w:w="467" w:type="pct"/>
            <w:vAlign w:val="bottom"/>
          </w:tcPr>
          <w:p w14:paraId="4399D3CF" w14:textId="77777777" w:rsidR="00E96B29" w:rsidRPr="00027624" w:rsidRDefault="00E96B29" w:rsidP="00E96B29">
            <w:pPr>
              <w:pStyle w:val="TableTextCentered"/>
              <w:rPr>
                <w:szCs w:val="18"/>
              </w:rPr>
            </w:pPr>
            <w:r w:rsidRPr="00027624">
              <w:rPr>
                <w:szCs w:val="18"/>
              </w:rPr>
              <w:t>13.0</w:t>
            </w:r>
          </w:p>
        </w:tc>
        <w:tc>
          <w:tcPr>
            <w:tcW w:w="467" w:type="pct"/>
            <w:vAlign w:val="bottom"/>
          </w:tcPr>
          <w:p w14:paraId="7F5F7553" w14:textId="77777777" w:rsidR="00E96B29" w:rsidRPr="00027624" w:rsidRDefault="00E96B29" w:rsidP="00E96B29">
            <w:pPr>
              <w:pStyle w:val="TableTextCentered"/>
              <w:rPr>
                <w:szCs w:val="18"/>
              </w:rPr>
            </w:pPr>
            <w:r w:rsidRPr="00027624">
              <w:rPr>
                <w:szCs w:val="18"/>
              </w:rPr>
              <w:t>12.5</w:t>
            </w:r>
          </w:p>
        </w:tc>
        <w:tc>
          <w:tcPr>
            <w:tcW w:w="467" w:type="pct"/>
            <w:vAlign w:val="bottom"/>
          </w:tcPr>
          <w:p w14:paraId="0C24FC26" w14:textId="77777777" w:rsidR="00E96B29" w:rsidRPr="00027624" w:rsidRDefault="00E96B29" w:rsidP="00E96B29">
            <w:pPr>
              <w:pStyle w:val="TableTextCentered"/>
              <w:rPr>
                <w:szCs w:val="18"/>
              </w:rPr>
            </w:pPr>
            <w:r w:rsidRPr="00027624">
              <w:rPr>
                <w:szCs w:val="18"/>
              </w:rPr>
              <w:t>12.3</w:t>
            </w:r>
          </w:p>
        </w:tc>
        <w:tc>
          <w:tcPr>
            <w:tcW w:w="467" w:type="pct"/>
            <w:vAlign w:val="bottom"/>
          </w:tcPr>
          <w:p w14:paraId="01E9EF30" w14:textId="77777777" w:rsidR="00E96B29" w:rsidRPr="00027624" w:rsidRDefault="00E96B29" w:rsidP="00E96B29">
            <w:pPr>
              <w:pStyle w:val="TableTextCentered"/>
              <w:rPr>
                <w:szCs w:val="18"/>
              </w:rPr>
            </w:pPr>
            <w:r w:rsidRPr="00027624">
              <w:rPr>
                <w:szCs w:val="18"/>
              </w:rPr>
              <w:t>12.3</w:t>
            </w:r>
          </w:p>
        </w:tc>
        <w:tc>
          <w:tcPr>
            <w:tcW w:w="467" w:type="pct"/>
            <w:vAlign w:val="bottom"/>
          </w:tcPr>
          <w:p w14:paraId="0689AC74" w14:textId="77777777" w:rsidR="00E96B29" w:rsidRPr="00027624" w:rsidRDefault="00E96B29" w:rsidP="00E96B29">
            <w:pPr>
              <w:pStyle w:val="TableTextCentered"/>
              <w:rPr>
                <w:szCs w:val="18"/>
              </w:rPr>
            </w:pPr>
            <w:r w:rsidRPr="00027624">
              <w:rPr>
                <w:szCs w:val="18"/>
              </w:rPr>
              <w:t>13.3</w:t>
            </w:r>
          </w:p>
        </w:tc>
        <w:tc>
          <w:tcPr>
            <w:tcW w:w="464" w:type="pct"/>
            <w:vAlign w:val="bottom"/>
          </w:tcPr>
          <w:p w14:paraId="6AA99177" w14:textId="77777777" w:rsidR="00E96B29" w:rsidRPr="00027624" w:rsidRDefault="00E96B29" w:rsidP="00E96B29">
            <w:pPr>
              <w:pStyle w:val="TableTextCentered"/>
              <w:rPr>
                <w:szCs w:val="18"/>
              </w:rPr>
            </w:pPr>
            <w:r w:rsidRPr="00027624">
              <w:rPr>
                <w:szCs w:val="18"/>
              </w:rPr>
              <w:t>14.3</w:t>
            </w:r>
          </w:p>
        </w:tc>
        <w:tc>
          <w:tcPr>
            <w:tcW w:w="464" w:type="pct"/>
            <w:vAlign w:val="bottom"/>
          </w:tcPr>
          <w:p w14:paraId="063E8354" w14:textId="77777777" w:rsidR="00E96B29" w:rsidRPr="00027624" w:rsidRDefault="00E96B29" w:rsidP="00E96B29">
            <w:pPr>
              <w:pStyle w:val="TableTextCentered"/>
              <w:rPr>
                <w:szCs w:val="18"/>
              </w:rPr>
            </w:pPr>
            <w:r w:rsidRPr="00027624">
              <w:rPr>
                <w:szCs w:val="18"/>
              </w:rPr>
              <w:t>14.5</w:t>
            </w:r>
          </w:p>
        </w:tc>
        <w:tc>
          <w:tcPr>
            <w:tcW w:w="550" w:type="pct"/>
            <w:vAlign w:val="bottom"/>
          </w:tcPr>
          <w:p w14:paraId="2740D06F" w14:textId="77777777" w:rsidR="00E96B29" w:rsidRPr="00027624" w:rsidRDefault="00E96B29" w:rsidP="00E96B29">
            <w:pPr>
              <w:pStyle w:val="TableTextCentered"/>
              <w:rPr>
                <w:szCs w:val="18"/>
              </w:rPr>
            </w:pPr>
            <w:r w:rsidRPr="00027624">
              <w:rPr>
                <w:szCs w:val="18"/>
              </w:rPr>
              <w:t>9.9</w:t>
            </w:r>
          </w:p>
        </w:tc>
      </w:tr>
      <w:tr w:rsidR="00E96B29" w:rsidRPr="00027624" w14:paraId="447DD409" w14:textId="77777777" w:rsidTr="00E96B29">
        <w:trPr>
          <w:trHeight w:val="270"/>
        </w:trPr>
        <w:tc>
          <w:tcPr>
            <w:tcW w:w="741" w:type="pct"/>
            <w:vAlign w:val="bottom"/>
          </w:tcPr>
          <w:p w14:paraId="2E995078" w14:textId="77777777" w:rsidR="00E96B29" w:rsidRPr="00027624" w:rsidRDefault="00E96B29" w:rsidP="00E96B29">
            <w:pPr>
              <w:pStyle w:val="TableTextLeft"/>
              <w:rPr>
                <w:szCs w:val="18"/>
              </w:rPr>
            </w:pPr>
            <w:r w:rsidRPr="00027624">
              <w:rPr>
                <w:bCs/>
                <w:szCs w:val="18"/>
              </w:rPr>
              <w:t>82</w:t>
            </w:r>
          </w:p>
        </w:tc>
        <w:tc>
          <w:tcPr>
            <w:tcW w:w="446" w:type="pct"/>
            <w:vAlign w:val="bottom"/>
          </w:tcPr>
          <w:p w14:paraId="4AB0D3C0" w14:textId="77777777" w:rsidR="00E96B29" w:rsidRPr="00027624" w:rsidRDefault="00E96B29" w:rsidP="00E96B29">
            <w:pPr>
              <w:pStyle w:val="TableTextCentered"/>
              <w:rPr>
                <w:szCs w:val="18"/>
              </w:rPr>
            </w:pPr>
            <w:r w:rsidRPr="00027624">
              <w:rPr>
                <w:szCs w:val="18"/>
              </w:rPr>
              <w:t>15.6</w:t>
            </w:r>
          </w:p>
        </w:tc>
        <w:tc>
          <w:tcPr>
            <w:tcW w:w="467" w:type="pct"/>
            <w:vAlign w:val="bottom"/>
          </w:tcPr>
          <w:p w14:paraId="7CB84383" w14:textId="77777777" w:rsidR="00E96B29" w:rsidRPr="00027624" w:rsidRDefault="00E96B29" w:rsidP="00E96B29">
            <w:pPr>
              <w:pStyle w:val="TableTextCentered"/>
              <w:rPr>
                <w:szCs w:val="18"/>
              </w:rPr>
            </w:pPr>
            <w:r w:rsidRPr="00027624">
              <w:rPr>
                <w:szCs w:val="18"/>
              </w:rPr>
              <w:t>14.0</w:t>
            </w:r>
          </w:p>
        </w:tc>
        <w:tc>
          <w:tcPr>
            <w:tcW w:w="467" w:type="pct"/>
            <w:vAlign w:val="bottom"/>
          </w:tcPr>
          <w:p w14:paraId="440305D4" w14:textId="77777777" w:rsidR="00E96B29" w:rsidRPr="00027624" w:rsidRDefault="00E96B29" w:rsidP="00E96B29">
            <w:pPr>
              <w:pStyle w:val="TableTextCentered"/>
              <w:rPr>
                <w:szCs w:val="18"/>
              </w:rPr>
            </w:pPr>
            <w:r w:rsidRPr="00027624">
              <w:rPr>
                <w:szCs w:val="18"/>
              </w:rPr>
              <w:t>13.4</w:t>
            </w:r>
          </w:p>
        </w:tc>
        <w:tc>
          <w:tcPr>
            <w:tcW w:w="467" w:type="pct"/>
            <w:vAlign w:val="bottom"/>
          </w:tcPr>
          <w:p w14:paraId="43037EFE" w14:textId="77777777" w:rsidR="00E96B29" w:rsidRPr="00027624" w:rsidRDefault="00E96B29" w:rsidP="00E96B29">
            <w:pPr>
              <w:pStyle w:val="TableTextCentered"/>
              <w:rPr>
                <w:szCs w:val="18"/>
              </w:rPr>
            </w:pPr>
            <w:r w:rsidRPr="00027624">
              <w:rPr>
                <w:szCs w:val="18"/>
              </w:rPr>
              <w:t>13.0</w:t>
            </w:r>
          </w:p>
        </w:tc>
        <w:tc>
          <w:tcPr>
            <w:tcW w:w="467" w:type="pct"/>
            <w:vAlign w:val="bottom"/>
          </w:tcPr>
          <w:p w14:paraId="782B9C1A" w14:textId="77777777" w:rsidR="00E96B29" w:rsidRPr="00027624" w:rsidRDefault="00E96B29" w:rsidP="00E96B29">
            <w:pPr>
              <w:pStyle w:val="TableTextCentered"/>
              <w:rPr>
                <w:szCs w:val="18"/>
              </w:rPr>
            </w:pPr>
            <w:r w:rsidRPr="00027624">
              <w:rPr>
                <w:szCs w:val="18"/>
              </w:rPr>
              <w:t>13.1</w:t>
            </w:r>
          </w:p>
        </w:tc>
        <w:tc>
          <w:tcPr>
            <w:tcW w:w="467" w:type="pct"/>
            <w:vAlign w:val="bottom"/>
          </w:tcPr>
          <w:p w14:paraId="3C109CBD" w14:textId="77777777" w:rsidR="00E96B29" w:rsidRPr="00027624" w:rsidRDefault="00E96B29" w:rsidP="00E96B29">
            <w:pPr>
              <w:pStyle w:val="TableTextCentered"/>
              <w:rPr>
                <w:szCs w:val="18"/>
              </w:rPr>
            </w:pPr>
            <w:r w:rsidRPr="00027624">
              <w:rPr>
                <w:szCs w:val="18"/>
              </w:rPr>
              <w:t>13.6</w:t>
            </w:r>
          </w:p>
        </w:tc>
        <w:tc>
          <w:tcPr>
            <w:tcW w:w="464" w:type="pct"/>
            <w:vAlign w:val="bottom"/>
          </w:tcPr>
          <w:p w14:paraId="6459CBE9" w14:textId="77777777" w:rsidR="00E96B29" w:rsidRPr="00027624" w:rsidRDefault="00E96B29" w:rsidP="00E96B29">
            <w:pPr>
              <w:pStyle w:val="TableTextCentered"/>
              <w:rPr>
                <w:szCs w:val="18"/>
              </w:rPr>
            </w:pPr>
            <w:r w:rsidRPr="00027624">
              <w:rPr>
                <w:szCs w:val="18"/>
              </w:rPr>
              <w:t>15.0</w:t>
            </w:r>
          </w:p>
        </w:tc>
        <w:tc>
          <w:tcPr>
            <w:tcW w:w="464" w:type="pct"/>
            <w:vAlign w:val="bottom"/>
          </w:tcPr>
          <w:p w14:paraId="63F08DE6" w14:textId="77777777" w:rsidR="00E96B29" w:rsidRPr="00027624" w:rsidRDefault="00E96B29" w:rsidP="00E96B29">
            <w:pPr>
              <w:pStyle w:val="TableTextCentered"/>
              <w:rPr>
                <w:szCs w:val="18"/>
              </w:rPr>
            </w:pPr>
            <w:r w:rsidRPr="00027624">
              <w:rPr>
                <w:szCs w:val="18"/>
              </w:rPr>
              <w:t>15.2</w:t>
            </w:r>
          </w:p>
        </w:tc>
        <w:tc>
          <w:tcPr>
            <w:tcW w:w="550" w:type="pct"/>
            <w:vAlign w:val="bottom"/>
          </w:tcPr>
          <w:p w14:paraId="1E808BBF" w14:textId="77777777" w:rsidR="00E96B29" w:rsidRPr="00027624" w:rsidRDefault="00E96B29" w:rsidP="00E96B29">
            <w:pPr>
              <w:pStyle w:val="TableTextCentered"/>
              <w:rPr>
                <w:szCs w:val="18"/>
              </w:rPr>
            </w:pPr>
            <w:r w:rsidRPr="00027624">
              <w:rPr>
                <w:szCs w:val="18"/>
              </w:rPr>
              <w:t>10.8</w:t>
            </w:r>
          </w:p>
        </w:tc>
      </w:tr>
      <w:tr w:rsidR="00E96B29" w:rsidRPr="00027624" w14:paraId="5DE3357E" w14:textId="77777777" w:rsidTr="00E96B29">
        <w:trPr>
          <w:trHeight w:val="270"/>
        </w:trPr>
        <w:tc>
          <w:tcPr>
            <w:tcW w:w="741" w:type="pct"/>
            <w:vAlign w:val="bottom"/>
          </w:tcPr>
          <w:p w14:paraId="2A3C3935" w14:textId="77777777" w:rsidR="00E96B29" w:rsidRPr="00027624" w:rsidRDefault="00E96B29" w:rsidP="00E96B29">
            <w:pPr>
              <w:pStyle w:val="TableTextLeft"/>
              <w:rPr>
                <w:szCs w:val="18"/>
              </w:rPr>
            </w:pPr>
            <w:r w:rsidRPr="00027624">
              <w:rPr>
                <w:bCs/>
                <w:szCs w:val="18"/>
              </w:rPr>
              <w:t>83</w:t>
            </w:r>
          </w:p>
        </w:tc>
        <w:tc>
          <w:tcPr>
            <w:tcW w:w="446" w:type="pct"/>
            <w:vAlign w:val="bottom"/>
          </w:tcPr>
          <w:p w14:paraId="636B7B39" w14:textId="77777777" w:rsidR="00E96B29" w:rsidRPr="00027624" w:rsidRDefault="00E96B29" w:rsidP="00E96B29">
            <w:pPr>
              <w:pStyle w:val="TableTextCentered"/>
              <w:rPr>
                <w:szCs w:val="18"/>
              </w:rPr>
            </w:pPr>
            <w:r w:rsidRPr="00027624">
              <w:rPr>
                <w:szCs w:val="18"/>
              </w:rPr>
              <w:t>16.8</w:t>
            </w:r>
          </w:p>
        </w:tc>
        <w:tc>
          <w:tcPr>
            <w:tcW w:w="467" w:type="pct"/>
            <w:vAlign w:val="bottom"/>
          </w:tcPr>
          <w:p w14:paraId="2D6312CC" w14:textId="77777777" w:rsidR="00E96B29" w:rsidRPr="00027624" w:rsidRDefault="00E96B29" w:rsidP="00E96B29">
            <w:pPr>
              <w:pStyle w:val="TableTextCentered"/>
              <w:rPr>
                <w:szCs w:val="18"/>
              </w:rPr>
            </w:pPr>
            <w:r w:rsidRPr="00027624">
              <w:rPr>
                <w:szCs w:val="18"/>
              </w:rPr>
              <w:t>15.1</w:t>
            </w:r>
          </w:p>
        </w:tc>
        <w:tc>
          <w:tcPr>
            <w:tcW w:w="467" w:type="pct"/>
            <w:vAlign w:val="bottom"/>
          </w:tcPr>
          <w:p w14:paraId="4CD4F4D3" w14:textId="77777777" w:rsidR="00E96B29" w:rsidRPr="00027624" w:rsidRDefault="00E96B29" w:rsidP="00E96B29">
            <w:pPr>
              <w:pStyle w:val="TableTextCentered"/>
              <w:rPr>
                <w:szCs w:val="18"/>
              </w:rPr>
            </w:pPr>
            <w:r w:rsidRPr="00027624">
              <w:rPr>
                <w:szCs w:val="18"/>
              </w:rPr>
              <w:t>14.6</w:t>
            </w:r>
          </w:p>
        </w:tc>
        <w:tc>
          <w:tcPr>
            <w:tcW w:w="467" w:type="pct"/>
            <w:vAlign w:val="bottom"/>
          </w:tcPr>
          <w:p w14:paraId="20C11EE4" w14:textId="77777777" w:rsidR="00E96B29" w:rsidRPr="00027624" w:rsidRDefault="00E96B29" w:rsidP="00E96B29">
            <w:pPr>
              <w:pStyle w:val="TableTextCentered"/>
              <w:rPr>
                <w:szCs w:val="18"/>
              </w:rPr>
            </w:pPr>
            <w:r w:rsidRPr="00027624">
              <w:rPr>
                <w:szCs w:val="18"/>
              </w:rPr>
              <w:t>14.1</w:t>
            </w:r>
          </w:p>
        </w:tc>
        <w:tc>
          <w:tcPr>
            <w:tcW w:w="467" w:type="pct"/>
            <w:vAlign w:val="bottom"/>
          </w:tcPr>
          <w:p w14:paraId="2BCADB4F" w14:textId="77777777" w:rsidR="00E96B29" w:rsidRPr="00027624" w:rsidRDefault="00E96B29" w:rsidP="00E96B29">
            <w:pPr>
              <w:pStyle w:val="TableTextCentered"/>
              <w:rPr>
                <w:szCs w:val="18"/>
              </w:rPr>
            </w:pPr>
            <w:r w:rsidRPr="00027624">
              <w:rPr>
                <w:szCs w:val="18"/>
              </w:rPr>
              <w:t>14.1</w:t>
            </w:r>
          </w:p>
        </w:tc>
        <w:tc>
          <w:tcPr>
            <w:tcW w:w="467" w:type="pct"/>
            <w:vAlign w:val="bottom"/>
          </w:tcPr>
          <w:p w14:paraId="204C2E4F" w14:textId="77777777" w:rsidR="00E96B29" w:rsidRPr="00027624" w:rsidRDefault="00E96B29" w:rsidP="00E96B29">
            <w:pPr>
              <w:pStyle w:val="TableTextCentered"/>
              <w:rPr>
                <w:szCs w:val="18"/>
              </w:rPr>
            </w:pPr>
            <w:r w:rsidRPr="00027624">
              <w:rPr>
                <w:szCs w:val="18"/>
              </w:rPr>
              <w:t>14.0</w:t>
            </w:r>
          </w:p>
        </w:tc>
        <w:tc>
          <w:tcPr>
            <w:tcW w:w="464" w:type="pct"/>
            <w:vAlign w:val="bottom"/>
          </w:tcPr>
          <w:p w14:paraId="2599408D" w14:textId="77777777" w:rsidR="00E96B29" w:rsidRPr="00027624" w:rsidRDefault="00E96B29" w:rsidP="00E96B29">
            <w:pPr>
              <w:pStyle w:val="TableTextCentered"/>
              <w:rPr>
                <w:szCs w:val="18"/>
              </w:rPr>
            </w:pPr>
            <w:r w:rsidRPr="00027624">
              <w:rPr>
                <w:szCs w:val="18"/>
              </w:rPr>
              <w:t>15.7</w:t>
            </w:r>
          </w:p>
        </w:tc>
        <w:tc>
          <w:tcPr>
            <w:tcW w:w="464" w:type="pct"/>
            <w:vAlign w:val="bottom"/>
          </w:tcPr>
          <w:p w14:paraId="034E2F60" w14:textId="77777777" w:rsidR="00E96B29" w:rsidRPr="00027624" w:rsidRDefault="00E96B29" w:rsidP="00E96B29">
            <w:pPr>
              <w:pStyle w:val="TableTextCentered"/>
              <w:rPr>
                <w:szCs w:val="18"/>
              </w:rPr>
            </w:pPr>
            <w:r w:rsidRPr="00027624">
              <w:rPr>
                <w:szCs w:val="18"/>
              </w:rPr>
              <w:t>16.1</w:t>
            </w:r>
          </w:p>
        </w:tc>
        <w:tc>
          <w:tcPr>
            <w:tcW w:w="550" w:type="pct"/>
            <w:vAlign w:val="bottom"/>
          </w:tcPr>
          <w:p w14:paraId="697C3AA8" w14:textId="77777777" w:rsidR="00E96B29" w:rsidRPr="00027624" w:rsidRDefault="00E96B29" w:rsidP="00E96B29">
            <w:pPr>
              <w:pStyle w:val="TableTextCentered"/>
              <w:rPr>
                <w:szCs w:val="18"/>
              </w:rPr>
            </w:pPr>
            <w:r w:rsidRPr="00027624">
              <w:rPr>
                <w:szCs w:val="18"/>
              </w:rPr>
              <w:t>11.8</w:t>
            </w:r>
          </w:p>
        </w:tc>
      </w:tr>
      <w:tr w:rsidR="00E96B29" w:rsidRPr="00027624" w14:paraId="662C3CA0" w14:textId="77777777" w:rsidTr="00E96B29">
        <w:trPr>
          <w:trHeight w:val="270"/>
        </w:trPr>
        <w:tc>
          <w:tcPr>
            <w:tcW w:w="741" w:type="pct"/>
            <w:vAlign w:val="bottom"/>
          </w:tcPr>
          <w:p w14:paraId="70881A48" w14:textId="77777777" w:rsidR="00E96B29" w:rsidRPr="00027624" w:rsidRDefault="00E96B29" w:rsidP="00E96B29">
            <w:pPr>
              <w:pStyle w:val="TableTextLeft"/>
              <w:rPr>
                <w:szCs w:val="18"/>
              </w:rPr>
            </w:pPr>
            <w:r w:rsidRPr="00027624">
              <w:rPr>
                <w:bCs/>
                <w:szCs w:val="18"/>
              </w:rPr>
              <w:t>84</w:t>
            </w:r>
          </w:p>
        </w:tc>
        <w:tc>
          <w:tcPr>
            <w:tcW w:w="446" w:type="pct"/>
            <w:vAlign w:val="bottom"/>
          </w:tcPr>
          <w:p w14:paraId="3065317F" w14:textId="77777777" w:rsidR="00E96B29" w:rsidRPr="00027624" w:rsidRDefault="00E96B29" w:rsidP="00E96B29">
            <w:pPr>
              <w:pStyle w:val="TableTextCentered"/>
              <w:rPr>
                <w:szCs w:val="18"/>
              </w:rPr>
            </w:pPr>
            <w:r w:rsidRPr="00027624">
              <w:rPr>
                <w:szCs w:val="18"/>
              </w:rPr>
              <w:t>18.3</w:t>
            </w:r>
          </w:p>
        </w:tc>
        <w:tc>
          <w:tcPr>
            <w:tcW w:w="467" w:type="pct"/>
            <w:vAlign w:val="bottom"/>
          </w:tcPr>
          <w:p w14:paraId="352899FF" w14:textId="77777777" w:rsidR="00E96B29" w:rsidRPr="00027624" w:rsidRDefault="00E96B29" w:rsidP="00E96B29">
            <w:pPr>
              <w:pStyle w:val="TableTextCentered"/>
              <w:rPr>
                <w:szCs w:val="18"/>
              </w:rPr>
            </w:pPr>
            <w:r w:rsidRPr="00027624">
              <w:rPr>
                <w:szCs w:val="18"/>
              </w:rPr>
              <w:t>16.5</w:t>
            </w:r>
          </w:p>
        </w:tc>
        <w:tc>
          <w:tcPr>
            <w:tcW w:w="467" w:type="pct"/>
            <w:vAlign w:val="bottom"/>
          </w:tcPr>
          <w:p w14:paraId="71A8A2B3" w14:textId="77777777" w:rsidR="00E96B29" w:rsidRPr="00027624" w:rsidRDefault="00E96B29" w:rsidP="00E96B29">
            <w:pPr>
              <w:pStyle w:val="TableTextCentered"/>
              <w:rPr>
                <w:szCs w:val="18"/>
              </w:rPr>
            </w:pPr>
            <w:r w:rsidRPr="00027624">
              <w:rPr>
                <w:szCs w:val="18"/>
              </w:rPr>
              <w:t>15.9</w:t>
            </w:r>
          </w:p>
        </w:tc>
        <w:tc>
          <w:tcPr>
            <w:tcW w:w="467" w:type="pct"/>
            <w:vAlign w:val="bottom"/>
          </w:tcPr>
          <w:p w14:paraId="6D76AFC6" w14:textId="77777777" w:rsidR="00E96B29" w:rsidRPr="00027624" w:rsidRDefault="00E96B29" w:rsidP="00E96B29">
            <w:pPr>
              <w:pStyle w:val="TableTextCentered"/>
              <w:rPr>
                <w:szCs w:val="18"/>
              </w:rPr>
            </w:pPr>
            <w:r w:rsidRPr="00027624">
              <w:rPr>
                <w:szCs w:val="18"/>
              </w:rPr>
              <w:t>15.5</w:t>
            </w:r>
          </w:p>
        </w:tc>
        <w:tc>
          <w:tcPr>
            <w:tcW w:w="467" w:type="pct"/>
            <w:vAlign w:val="bottom"/>
          </w:tcPr>
          <w:p w14:paraId="7D423DC8" w14:textId="77777777" w:rsidR="00E96B29" w:rsidRPr="00027624" w:rsidRDefault="00E96B29" w:rsidP="00E96B29">
            <w:pPr>
              <w:pStyle w:val="TableTextCentered"/>
              <w:rPr>
                <w:szCs w:val="18"/>
              </w:rPr>
            </w:pPr>
            <w:r w:rsidRPr="00027624">
              <w:rPr>
                <w:szCs w:val="18"/>
              </w:rPr>
              <w:t>15.3</w:t>
            </w:r>
          </w:p>
        </w:tc>
        <w:tc>
          <w:tcPr>
            <w:tcW w:w="467" w:type="pct"/>
            <w:vAlign w:val="bottom"/>
          </w:tcPr>
          <w:p w14:paraId="71490F6C" w14:textId="77777777" w:rsidR="00E96B29" w:rsidRPr="00027624" w:rsidRDefault="00E96B29" w:rsidP="00E96B29">
            <w:pPr>
              <w:pStyle w:val="TableTextCentered"/>
              <w:rPr>
                <w:szCs w:val="18"/>
              </w:rPr>
            </w:pPr>
            <w:r w:rsidRPr="00027624">
              <w:rPr>
                <w:szCs w:val="18"/>
              </w:rPr>
              <w:t>15.3</w:t>
            </w:r>
          </w:p>
        </w:tc>
        <w:tc>
          <w:tcPr>
            <w:tcW w:w="464" w:type="pct"/>
            <w:vAlign w:val="bottom"/>
          </w:tcPr>
          <w:p w14:paraId="1AE1A67C" w14:textId="77777777" w:rsidR="00E96B29" w:rsidRPr="00027624" w:rsidRDefault="00E96B29" w:rsidP="00E96B29">
            <w:pPr>
              <w:pStyle w:val="TableTextCentered"/>
              <w:rPr>
                <w:szCs w:val="18"/>
              </w:rPr>
            </w:pPr>
            <w:r w:rsidRPr="00027624">
              <w:rPr>
                <w:szCs w:val="18"/>
              </w:rPr>
              <w:t>16.5</w:t>
            </w:r>
          </w:p>
        </w:tc>
        <w:tc>
          <w:tcPr>
            <w:tcW w:w="464" w:type="pct"/>
            <w:vAlign w:val="bottom"/>
          </w:tcPr>
          <w:p w14:paraId="5DBCAD73" w14:textId="77777777" w:rsidR="00E96B29" w:rsidRPr="00027624" w:rsidRDefault="00E96B29" w:rsidP="00E96B29">
            <w:pPr>
              <w:pStyle w:val="TableTextCentered"/>
              <w:rPr>
                <w:szCs w:val="18"/>
              </w:rPr>
            </w:pPr>
            <w:r w:rsidRPr="00027624">
              <w:rPr>
                <w:szCs w:val="18"/>
              </w:rPr>
              <w:t>17.1</w:t>
            </w:r>
          </w:p>
        </w:tc>
        <w:tc>
          <w:tcPr>
            <w:tcW w:w="550" w:type="pct"/>
            <w:vAlign w:val="bottom"/>
          </w:tcPr>
          <w:p w14:paraId="2A56FCC8" w14:textId="77777777" w:rsidR="00E96B29" w:rsidRPr="00027624" w:rsidRDefault="00E96B29" w:rsidP="00E96B29">
            <w:pPr>
              <w:pStyle w:val="TableTextCentered"/>
              <w:rPr>
                <w:szCs w:val="18"/>
              </w:rPr>
            </w:pPr>
            <w:r w:rsidRPr="00027624">
              <w:rPr>
                <w:szCs w:val="18"/>
              </w:rPr>
              <w:t>13.1</w:t>
            </w:r>
          </w:p>
        </w:tc>
      </w:tr>
      <w:tr w:rsidR="00E96B29" w:rsidRPr="00027624" w14:paraId="4F48755C" w14:textId="77777777" w:rsidTr="00E96B29">
        <w:trPr>
          <w:trHeight w:val="270"/>
        </w:trPr>
        <w:tc>
          <w:tcPr>
            <w:tcW w:w="741" w:type="pct"/>
            <w:vAlign w:val="bottom"/>
          </w:tcPr>
          <w:p w14:paraId="4A1EBA43" w14:textId="77777777" w:rsidR="00E96B29" w:rsidRPr="00027624" w:rsidRDefault="00E96B29" w:rsidP="00E96B29">
            <w:pPr>
              <w:pStyle w:val="TableTextLeft"/>
              <w:rPr>
                <w:szCs w:val="18"/>
              </w:rPr>
            </w:pPr>
            <w:r w:rsidRPr="00027624">
              <w:rPr>
                <w:bCs/>
                <w:szCs w:val="18"/>
              </w:rPr>
              <w:t>85</w:t>
            </w:r>
          </w:p>
        </w:tc>
        <w:tc>
          <w:tcPr>
            <w:tcW w:w="446" w:type="pct"/>
            <w:vAlign w:val="bottom"/>
          </w:tcPr>
          <w:p w14:paraId="17DC8B03" w14:textId="77777777" w:rsidR="00E96B29" w:rsidRPr="00027624" w:rsidRDefault="00E96B29" w:rsidP="00E96B29">
            <w:pPr>
              <w:pStyle w:val="TableTextCentered"/>
              <w:rPr>
                <w:szCs w:val="18"/>
              </w:rPr>
            </w:pPr>
            <w:r w:rsidRPr="00027624">
              <w:rPr>
                <w:szCs w:val="18"/>
              </w:rPr>
              <w:t>20.2</w:t>
            </w:r>
          </w:p>
        </w:tc>
        <w:tc>
          <w:tcPr>
            <w:tcW w:w="467" w:type="pct"/>
            <w:vAlign w:val="bottom"/>
          </w:tcPr>
          <w:p w14:paraId="02CDB06F" w14:textId="77777777" w:rsidR="00E96B29" w:rsidRPr="00027624" w:rsidRDefault="00E96B29" w:rsidP="00E96B29">
            <w:pPr>
              <w:pStyle w:val="TableTextCentered"/>
              <w:rPr>
                <w:szCs w:val="18"/>
              </w:rPr>
            </w:pPr>
            <w:r w:rsidRPr="00027624">
              <w:rPr>
                <w:szCs w:val="18"/>
              </w:rPr>
              <w:t>18.3</w:t>
            </w:r>
          </w:p>
        </w:tc>
        <w:tc>
          <w:tcPr>
            <w:tcW w:w="467" w:type="pct"/>
            <w:vAlign w:val="bottom"/>
          </w:tcPr>
          <w:p w14:paraId="27F64A99" w14:textId="77777777" w:rsidR="00E96B29" w:rsidRPr="00027624" w:rsidRDefault="00E96B29" w:rsidP="00E96B29">
            <w:pPr>
              <w:pStyle w:val="TableTextCentered"/>
              <w:rPr>
                <w:szCs w:val="18"/>
              </w:rPr>
            </w:pPr>
            <w:r w:rsidRPr="00027624">
              <w:rPr>
                <w:szCs w:val="18"/>
              </w:rPr>
              <w:t>17.7</w:t>
            </w:r>
          </w:p>
        </w:tc>
        <w:tc>
          <w:tcPr>
            <w:tcW w:w="467" w:type="pct"/>
            <w:vAlign w:val="bottom"/>
          </w:tcPr>
          <w:p w14:paraId="2E9892DF" w14:textId="77777777" w:rsidR="00E96B29" w:rsidRPr="00027624" w:rsidRDefault="00E96B29" w:rsidP="00E96B29">
            <w:pPr>
              <w:pStyle w:val="TableTextCentered"/>
              <w:rPr>
                <w:szCs w:val="18"/>
              </w:rPr>
            </w:pPr>
            <w:r w:rsidRPr="00027624">
              <w:rPr>
                <w:szCs w:val="18"/>
              </w:rPr>
              <w:t>17.2</w:t>
            </w:r>
          </w:p>
        </w:tc>
        <w:tc>
          <w:tcPr>
            <w:tcW w:w="467" w:type="pct"/>
            <w:vAlign w:val="bottom"/>
          </w:tcPr>
          <w:p w14:paraId="2E4743D6" w14:textId="77777777" w:rsidR="00E96B29" w:rsidRPr="00027624" w:rsidRDefault="00E96B29" w:rsidP="00E96B29">
            <w:pPr>
              <w:pStyle w:val="TableTextCentered"/>
              <w:rPr>
                <w:szCs w:val="18"/>
              </w:rPr>
            </w:pPr>
            <w:r w:rsidRPr="00027624">
              <w:rPr>
                <w:szCs w:val="18"/>
              </w:rPr>
              <w:t>17.0</w:t>
            </w:r>
          </w:p>
        </w:tc>
        <w:tc>
          <w:tcPr>
            <w:tcW w:w="467" w:type="pct"/>
            <w:vAlign w:val="bottom"/>
          </w:tcPr>
          <w:p w14:paraId="7F0245E0" w14:textId="77777777" w:rsidR="00E96B29" w:rsidRPr="00027624" w:rsidRDefault="00E96B29" w:rsidP="00E96B29">
            <w:pPr>
              <w:pStyle w:val="TableTextCentered"/>
              <w:rPr>
                <w:szCs w:val="18"/>
              </w:rPr>
            </w:pPr>
            <w:r w:rsidRPr="00027624">
              <w:rPr>
                <w:szCs w:val="18"/>
              </w:rPr>
              <w:t>16.9</w:t>
            </w:r>
          </w:p>
        </w:tc>
        <w:tc>
          <w:tcPr>
            <w:tcW w:w="464" w:type="pct"/>
            <w:vAlign w:val="bottom"/>
          </w:tcPr>
          <w:p w14:paraId="153F9A1D" w14:textId="77777777" w:rsidR="00E96B29" w:rsidRPr="00027624" w:rsidRDefault="00E96B29" w:rsidP="00E96B29">
            <w:pPr>
              <w:pStyle w:val="TableTextCentered"/>
              <w:rPr>
                <w:szCs w:val="18"/>
              </w:rPr>
            </w:pPr>
            <w:r w:rsidRPr="00027624">
              <w:rPr>
                <w:szCs w:val="18"/>
              </w:rPr>
              <w:t>17.5</w:t>
            </w:r>
          </w:p>
        </w:tc>
        <w:tc>
          <w:tcPr>
            <w:tcW w:w="464" w:type="pct"/>
            <w:vAlign w:val="bottom"/>
          </w:tcPr>
          <w:p w14:paraId="44080834" w14:textId="77777777" w:rsidR="00E96B29" w:rsidRPr="00027624" w:rsidRDefault="00E96B29" w:rsidP="00E96B29">
            <w:pPr>
              <w:pStyle w:val="TableTextCentered"/>
              <w:rPr>
                <w:szCs w:val="18"/>
              </w:rPr>
            </w:pPr>
            <w:r w:rsidRPr="00027624">
              <w:rPr>
                <w:szCs w:val="18"/>
              </w:rPr>
              <w:t>18.4</w:t>
            </w:r>
          </w:p>
        </w:tc>
        <w:tc>
          <w:tcPr>
            <w:tcW w:w="550" w:type="pct"/>
            <w:vAlign w:val="bottom"/>
          </w:tcPr>
          <w:p w14:paraId="032F792D" w14:textId="77777777" w:rsidR="00E96B29" w:rsidRPr="00027624" w:rsidRDefault="00E96B29" w:rsidP="00E96B29">
            <w:pPr>
              <w:pStyle w:val="TableTextCentered"/>
              <w:rPr>
                <w:szCs w:val="18"/>
              </w:rPr>
            </w:pPr>
            <w:r w:rsidRPr="00027624">
              <w:rPr>
                <w:szCs w:val="18"/>
              </w:rPr>
              <w:t>14.8</w:t>
            </w:r>
          </w:p>
        </w:tc>
      </w:tr>
      <w:tr w:rsidR="00E96B29" w:rsidRPr="00027624" w14:paraId="1102CBAE" w14:textId="77777777" w:rsidTr="00E96B29">
        <w:trPr>
          <w:trHeight w:val="270"/>
        </w:trPr>
        <w:tc>
          <w:tcPr>
            <w:tcW w:w="741" w:type="pct"/>
            <w:vAlign w:val="bottom"/>
          </w:tcPr>
          <w:p w14:paraId="29CB253D" w14:textId="77777777" w:rsidR="00E96B29" w:rsidRPr="00027624" w:rsidRDefault="00E96B29" w:rsidP="00E96B29">
            <w:pPr>
              <w:pStyle w:val="TableTextLeft"/>
              <w:rPr>
                <w:szCs w:val="18"/>
              </w:rPr>
            </w:pPr>
            <w:r w:rsidRPr="00027624">
              <w:rPr>
                <w:bCs/>
                <w:szCs w:val="18"/>
              </w:rPr>
              <w:t>86</w:t>
            </w:r>
          </w:p>
        </w:tc>
        <w:tc>
          <w:tcPr>
            <w:tcW w:w="446" w:type="pct"/>
            <w:vAlign w:val="bottom"/>
          </w:tcPr>
          <w:p w14:paraId="71606555" w14:textId="77777777" w:rsidR="00E96B29" w:rsidRPr="00027624" w:rsidRDefault="00E96B29" w:rsidP="00E96B29">
            <w:pPr>
              <w:pStyle w:val="TableTextCentered"/>
              <w:rPr>
                <w:szCs w:val="18"/>
              </w:rPr>
            </w:pPr>
            <w:r w:rsidRPr="00027624">
              <w:rPr>
                <w:szCs w:val="18"/>
              </w:rPr>
              <w:t>22.7</w:t>
            </w:r>
          </w:p>
        </w:tc>
        <w:tc>
          <w:tcPr>
            <w:tcW w:w="467" w:type="pct"/>
            <w:vAlign w:val="bottom"/>
          </w:tcPr>
          <w:p w14:paraId="1A1C555C" w14:textId="77777777" w:rsidR="00E96B29" w:rsidRPr="00027624" w:rsidRDefault="00E96B29" w:rsidP="00E96B29">
            <w:pPr>
              <w:pStyle w:val="TableTextCentered"/>
              <w:rPr>
                <w:szCs w:val="18"/>
              </w:rPr>
            </w:pPr>
            <w:r w:rsidRPr="00027624">
              <w:rPr>
                <w:szCs w:val="18"/>
              </w:rPr>
              <w:t>20.6</w:t>
            </w:r>
          </w:p>
        </w:tc>
        <w:tc>
          <w:tcPr>
            <w:tcW w:w="467" w:type="pct"/>
            <w:vAlign w:val="bottom"/>
          </w:tcPr>
          <w:p w14:paraId="4C03580E" w14:textId="77777777" w:rsidR="00E96B29" w:rsidRPr="00027624" w:rsidRDefault="00E96B29" w:rsidP="00E96B29">
            <w:pPr>
              <w:pStyle w:val="TableTextCentered"/>
              <w:rPr>
                <w:szCs w:val="18"/>
              </w:rPr>
            </w:pPr>
            <w:r w:rsidRPr="00027624">
              <w:rPr>
                <w:szCs w:val="18"/>
              </w:rPr>
              <w:t>20.0</w:t>
            </w:r>
          </w:p>
        </w:tc>
        <w:tc>
          <w:tcPr>
            <w:tcW w:w="467" w:type="pct"/>
            <w:vAlign w:val="bottom"/>
          </w:tcPr>
          <w:p w14:paraId="3755DC51" w14:textId="77777777" w:rsidR="00E96B29" w:rsidRPr="00027624" w:rsidRDefault="00E96B29" w:rsidP="00E96B29">
            <w:pPr>
              <w:pStyle w:val="TableTextCentered"/>
              <w:rPr>
                <w:szCs w:val="18"/>
              </w:rPr>
            </w:pPr>
            <w:r w:rsidRPr="00027624">
              <w:rPr>
                <w:szCs w:val="18"/>
              </w:rPr>
              <w:t>19.5</w:t>
            </w:r>
          </w:p>
        </w:tc>
        <w:tc>
          <w:tcPr>
            <w:tcW w:w="467" w:type="pct"/>
            <w:vAlign w:val="bottom"/>
          </w:tcPr>
          <w:p w14:paraId="73F1D0FC" w14:textId="77777777" w:rsidR="00E96B29" w:rsidRPr="00027624" w:rsidRDefault="00E96B29" w:rsidP="00E96B29">
            <w:pPr>
              <w:pStyle w:val="TableTextCentered"/>
              <w:rPr>
                <w:szCs w:val="18"/>
              </w:rPr>
            </w:pPr>
            <w:r w:rsidRPr="00027624">
              <w:rPr>
                <w:szCs w:val="18"/>
              </w:rPr>
              <w:t>19.3</w:t>
            </w:r>
          </w:p>
        </w:tc>
        <w:tc>
          <w:tcPr>
            <w:tcW w:w="467" w:type="pct"/>
            <w:vAlign w:val="bottom"/>
          </w:tcPr>
          <w:p w14:paraId="1EEB5147" w14:textId="77777777" w:rsidR="00E96B29" w:rsidRPr="00027624" w:rsidRDefault="00E96B29" w:rsidP="00E96B29">
            <w:pPr>
              <w:pStyle w:val="TableTextCentered"/>
              <w:rPr>
                <w:szCs w:val="18"/>
              </w:rPr>
            </w:pPr>
            <w:r w:rsidRPr="00027624">
              <w:rPr>
                <w:szCs w:val="18"/>
              </w:rPr>
              <w:t>19.1</w:t>
            </w:r>
          </w:p>
        </w:tc>
        <w:tc>
          <w:tcPr>
            <w:tcW w:w="464" w:type="pct"/>
            <w:vAlign w:val="bottom"/>
          </w:tcPr>
          <w:p w14:paraId="4499E2D7" w14:textId="77777777" w:rsidR="00E96B29" w:rsidRPr="00027624" w:rsidRDefault="00E96B29" w:rsidP="00E96B29">
            <w:pPr>
              <w:pStyle w:val="TableTextCentered"/>
              <w:rPr>
                <w:szCs w:val="18"/>
              </w:rPr>
            </w:pPr>
            <w:r w:rsidRPr="00027624">
              <w:rPr>
                <w:szCs w:val="18"/>
              </w:rPr>
              <w:t>19.2</w:t>
            </w:r>
          </w:p>
        </w:tc>
        <w:tc>
          <w:tcPr>
            <w:tcW w:w="464" w:type="pct"/>
            <w:vAlign w:val="bottom"/>
          </w:tcPr>
          <w:p w14:paraId="5EA027F9" w14:textId="77777777" w:rsidR="00E96B29" w:rsidRPr="00027624" w:rsidRDefault="00E96B29" w:rsidP="00E96B29">
            <w:pPr>
              <w:pStyle w:val="TableTextCentered"/>
              <w:rPr>
                <w:szCs w:val="18"/>
              </w:rPr>
            </w:pPr>
            <w:r w:rsidRPr="00027624">
              <w:rPr>
                <w:szCs w:val="18"/>
              </w:rPr>
              <w:t>20.0</w:t>
            </w:r>
          </w:p>
        </w:tc>
        <w:tc>
          <w:tcPr>
            <w:tcW w:w="550" w:type="pct"/>
            <w:vAlign w:val="bottom"/>
          </w:tcPr>
          <w:p w14:paraId="412A5B71" w14:textId="77777777" w:rsidR="00E96B29" w:rsidRPr="00027624" w:rsidRDefault="00E96B29" w:rsidP="00E96B29">
            <w:pPr>
              <w:pStyle w:val="TableTextCentered"/>
              <w:rPr>
                <w:szCs w:val="18"/>
              </w:rPr>
            </w:pPr>
            <w:r w:rsidRPr="00027624">
              <w:rPr>
                <w:szCs w:val="18"/>
              </w:rPr>
              <w:t>16.9</w:t>
            </w:r>
          </w:p>
        </w:tc>
      </w:tr>
      <w:tr w:rsidR="00E96B29" w:rsidRPr="00027624" w14:paraId="50E02C97" w14:textId="77777777" w:rsidTr="00E96B29">
        <w:trPr>
          <w:trHeight w:val="270"/>
        </w:trPr>
        <w:tc>
          <w:tcPr>
            <w:tcW w:w="741" w:type="pct"/>
            <w:vAlign w:val="bottom"/>
          </w:tcPr>
          <w:p w14:paraId="334C8C95" w14:textId="77777777" w:rsidR="00E96B29" w:rsidRPr="00027624" w:rsidRDefault="00E96B29" w:rsidP="00E96B29">
            <w:pPr>
              <w:pStyle w:val="TableTextLeft"/>
              <w:rPr>
                <w:szCs w:val="18"/>
              </w:rPr>
            </w:pPr>
            <w:r w:rsidRPr="00027624">
              <w:rPr>
                <w:bCs/>
                <w:szCs w:val="18"/>
              </w:rPr>
              <w:t>87</w:t>
            </w:r>
          </w:p>
        </w:tc>
        <w:tc>
          <w:tcPr>
            <w:tcW w:w="446" w:type="pct"/>
            <w:vAlign w:val="bottom"/>
          </w:tcPr>
          <w:p w14:paraId="1AB9F6B7" w14:textId="77777777" w:rsidR="00E96B29" w:rsidRPr="00027624" w:rsidRDefault="00E96B29" w:rsidP="00E96B29">
            <w:pPr>
              <w:pStyle w:val="TableTextCentered"/>
              <w:rPr>
                <w:szCs w:val="18"/>
              </w:rPr>
            </w:pPr>
            <w:r w:rsidRPr="00027624">
              <w:rPr>
                <w:szCs w:val="18"/>
              </w:rPr>
              <w:t>26.1</w:t>
            </w:r>
          </w:p>
        </w:tc>
        <w:tc>
          <w:tcPr>
            <w:tcW w:w="467" w:type="pct"/>
            <w:vAlign w:val="bottom"/>
          </w:tcPr>
          <w:p w14:paraId="6B3A8200" w14:textId="77777777" w:rsidR="00E96B29" w:rsidRPr="00027624" w:rsidRDefault="00E96B29" w:rsidP="00E96B29">
            <w:pPr>
              <w:pStyle w:val="TableTextCentered"/>
              <w:rPr>
                <w:szCs w:val="18"/>
              </w:rPr>
            </w:pPr>
            <w:r w:rsidRPr="00027624">
              <w:rPr>
                <w:szCs w:val="18"/>
              </w:rPr>
              <w:t>23.9</w:t>
            </w:r>
          </w:p>
        </w:tc>
        <w:tc>
          <w:tcPr>
            <w:tcW w:w="467" w:type="pct"/>
            <w:vAlign w:val="bottom"/>
          </w:tcPr>
          <w:p w14:paraId="3E9A2AB1" w14:textId="77777777" w:rsidR="00E96B29" w:rsidRPr="00027624" w:rsidRDefault="00E96B29" w:rsidP="00E96B29">
            <w:pPr>
              <w:pStyle w:val="TableTextCentered"/>
              <w:rPr>
                <w:szCs w:val="18"/>
              </w:rPr>
            </w:pPr>
            <w:r w:rsidRPr="00027624">
              <w:rPr>
                <w:szCs w:val="18"/>
              </w:rPr>
              <w:t>23.3</w:t>
            </w:r>
          </w:p>
        </w:tc>
        <w:tc>
          <w:tcPr>
            <w:tcW w:w="467" w:type="pct"/>
            <w:vAlign w:val="bottom"/>
          </w:tcPr>
          <w:p w14:paraId="3B64A955" w14:textId="77777777" w:rsidR="00E96B29" w:rsidRPr="00027624" w:rsidRDefault="00E96B29" w:rsidP="00E96B29">
            <w:pPr>
              <w:pStyle w:val="TableTextCentered"/>
              <w:rPr>
                <w:szCs w:val="18"/>
              </w:rPr>
            </w:pPr>
            <w:r w:rsidRPr="00027624">
              <w:rPr>
                <w:szCs w:val="18"/>
              </w:rPr>
              <w:t>22.7</w:t>
            </w:r>
          </w:p>
        </w:tc>
        <w:tc>
          <w:tcPr>
            <w:tcW w:w="467" w:type="pct"/>
            <w:vAlign w:val="bottom"/>
          </w:tcPr>
          <w:p w14:paraId="1FC10456" w14:textId="77777777" w:rsidR="00E96B29" w:rsidRPr="00027624" w:rsidRDefault="00E96B29" w:rsidP="00E96B29">
            <w:pPr>
              <w:pStyle w:val="TableTextCentered"/>
              <w:rPr>
                <w:szCs w:val="18"/>
              </w:rPr>
            </w:pPr>
            <w:r w:rsidRPr="00027624">
              <w:rPr>
                <w:szCs w:val="18"/>
              </w:rPr>
              <w:t>22.6</w:t>
            </w:r>
          </w:p>
        </w:tc>
        <w:tc>
          <w:tcPr>
            <w:tcW w:w="467" w:type="pct"/>
            <w:vAlign w:val="bottom"/>
          </w:tcPr>
          <w:p w14:paraId="4AD024A5" w14:textId="77777777" w:rsidR="00E96B29" w:rsidRPr="00027624" w:rsidRDefault="00E96B29" w:rsidP="00E96B29">
            <w:pPr>
              <w:pStyle w:val="TableTextCentered"/>
              <w:rPr>
                <w:szCs w:val="18"/>
              </w:rPr>
            </w:pPr>
            <w:r w:rsidRPr="00027624">
              <w:rPr>
                <w:szCs w:val="18"/>
              </w:rPr>
              <w:t>22.3</w:t>
            </w:r>
          </w:p>
        </w:tc>
        <w:tc>
          <w:tcPr>
            <w:tcW w:w="464" w:type="pct"/>
            <w:vAlign w:val="bottom"/>
          </w:tcPr>
          <w:p w14:paraId="2E1A99C5" w14:textId="77777777" w:rsidR="00E96B29" w:rsidRPr="00027624" w:rsidRDefault="00E96B29" w:rsidP="00E96B29">
            <w:pPr>
              <w:pStyle w:val="TableTextCentered"/>
              <w:rPr>
                <w:szCs w:val="18"/>
              </w:rPr>
            </w:pPr>
            <w:r w:rsidRPr="00027624">
              <w:rPr>
                <w:szCs w:val="18"/>
              </w:rPr>
              <w:t>22.4</w:t>
            </w:r>
          </w:p>
        </w:tc>
        <w:tc>
          <w:tcPr>
            <w:tcW w:w="464" w:type="pct"/>
            <w:vAlign w:val="bottom"/>
          </w:tcPr>
          <w:p w14:paraId="4D89ED83" w14:textId="77777777" w:rsidR="00E96B29" w:rsidRPr="00027624" w:rsidRDefault="00E96B29" w:rsidP="00E96B29">
            <w:pPr>
              <w:pStyle w:val="TableTextCentered"/>
              <w:rPr>
                <w:szCs w:val="18"/>
              </w:rPr>
            </w:pPr>
            <w:r w:rsidRPr="00027624">
              <w:rPr>
                <w:szCs w:val="18"/>
              </w:rPr>
              <w:t>22.2</w:t>
            </w:r>
          </w:p>
        </w:tc>
        <w:tc>
          <w:tcPr>
            <w:tcW w:w="550" w:type="pct"/>
            <w:vAlign w:val="bottom"/>
          </w:tcPr>
          <w:p w14:paraId="3F69975A" w14:textId="77777777" w:rsidR="00E96B29" w:rsidRPr="00027624" w:rsidRDefault="00E96B29" w:rsidP="00E96B29">
            <w:pPr>
              <w:pStyle w:val="TableTextCentered"/>
              <w:rPr>
                <w:szCs w:val="18"/>
              </w:rPr>
            </w:pPr>
            <w:r w:rsidRPr="00027624">
              <w:rPr>
                <w:szCs w:val="18"/>
              </w:rPr>
              <w:t>19.9</w:t>
            </w:r>
          </w:p>
        </w:tc>
      </w:tr>
      <w:tr w:rsidR="00E96B29" w:rsidRPr="00027624" w14:paraId="185D6D09" w14:textId="77777777" w:rsidTr="00E96B29">
        <w:trPr>
          <w:trHeight w:val="270"/>
        </w:trPr>
        <w:tc>
          <w:tcPr>
            <w:tcW w:w="741" w:type="pct"/>
            <w:vAlign w:val="bottom"/>
          </w:tcPr>
          <w:p w14:paraId="431B6EFA" w14:textId="77777777" w:rsidR="00E96B29" w:rsidRPr="00027624" w:rsidRDefault="00E96B29" w:rsidP="00E96B29">
            <w:pPr>
              <w:pStyle w:val="TableTextLeft"/>
              <w:rPr>
                <w:szCs w:val="18"/>
              </w:rPr>
            </w:pPr>
            <w:r w:rsidRPr="00027624">
              <w:rPr>
                <w:bCs/>
                <w:szCs w:val="18"/>
              </w:rPr>
              <w:t>88</w:t>
            </w:r>
          </w:p>
        </w:tc>
        <w:tc>
          <w:tcPr>
            <w:tcW w:w="446" w:type="pct"/>
            <w:vAlign w:val="bottom"/>
          </w:tcPr>
          <w:p w14:paraId="0E7D49A9" w14:textId="77777777" w:rsidR="00E96B29" w:rsidRPr="00027624" w:rsidRDefault="00E96B29" w:rsidP="00E96B29">
            <w:pPr>
              <w:pStyle w:val="TableTextCentered"/>
              <w:rPr>
                <w:szCs w:val="18"/>
              </w:rPr>
            </w:pPr>
            <w:r w:rsidRPr="00027624">
              <w:rPr>
                <w:szCs w:val="18"/>
              </w:rPr>
              <w:t>31.0</w:t>
            </w:r>
          </w:p>
        </w:tc>
        <w:tc>
          <w:tcPr>
            <w:tcW w:w="467" w:type="pct"/>
            <w:vAlign w:val="bottom"/>
          </w:tcPr>
          <w:p w14:paraId="777F8DE4" w14:textId="77777777" w:rsidR="00E96B29" w:rsidRPr="00027624" w:rsidRDefault="00E96B29" w:rsidP="00E96B29">
            <w:pPr>
              <w:pStyle w:val="TableTextCentered"/>
              <w:rPr>
                <w:szCs w:val="18"/>
              </w:rPr>
            </w:pPr>
            <w:r w:rsidRPr="00027624">
              <w:rPr>
                <w:szCs w:val="18"/>
              </w:rPr>
              <w:t>28.7</w:t>
            </w:r>
          </w:p>
        </w:tc>
        <w:tc>
          <w:tcPr>
            <w:tcW w:w="467" w:type="pct"/>
            <w:vAlign w:val="bottom"/>
          </w:tcPr>
          <w:p w14:paraId="73735830" w14:textId="77777777" w:rsidR="00E96B29" w:rsidRPr="00027624" w:rsidRDefault="00E96B29" w:rsidP="00E96B29">
            <w:pPr>
              <w:pStyle w:val="TableTextCentered"/>
              <w:rPr>
                <w:szCs w:val="18"/>
              </w:rPr>
            </w:pPr>
            <w:r w:rsidRPr="00027624">
              <w:rPr>
                <w:szCs w:val="18"/>
              </w:rPr>
              <w:t>28.1</w:t>
            </w:r>
          </w:p>
        </w:tc>
        <w:tc>
          <w:tcPr>
            <w:tcW w:w="467" w:type="pct"/>
            <w:vAlign w:val="bottom"/>
          </w:tcPr>
          <w:p w14:paraId="2B0B2D17" w14:textId="77777777" w:rsidR="00E96B29" w:rsidRPr="00027624" w:rsidRDefault="00E96B29" w:rsidP="00E96B29">
            <w:pPr>
              <w:pStyle w:val="TableTextCentered"/>
              <w:rPr>
                <w:szCs w:val="18"/>
              </w:rPr>
            </w:pPr>
            <w:r w:rsidRPr="00027624">
              <w:rPr>
                <w:szCs w:val="18"/>
              </w:rPr>
              <w:t>27.4</w:t>
            </w:r>
          </w:p>
        </w:tc>
        <w:tc>
          <w:tcPr>
            <w:tcW w:w="467" w:type="pct"/>
            <w:vAlign w:val="bottom"/>
          </w:tcPr>
          <w:p w14:paraId="66CD8460" w14:textId="77777777" w:rsidR="00E96B29" w:rsidRPr="00027624" w:rsidRDefault="00E96B29" w:rsidP="00E96B29">
            <w:pPr>
              <w:pStyle w:val="TableTextCentered"/>
              <w:rPr>
                <w:szCs w:val="18"/>
              </w:rPr>
            </w:pPr>
            <w:r w:rsidRPr="00027624">
              <w:rPr>
                <w:szCs w:val="18"/>
              </w:rPr>
              <w:t>27.5</w:t>
            </w:r>
          </w:p>
        </w:tc>
        <w:tc>
          <w:tcPr>
            <w:tcW w:w="467" w:type="pct"/>
            <w:vAlign w:val="bottom"/>
          </w:tcPr>
          <w:p w14:paraId="755C397A" w14:textId="77777777" w:rsidR="00E96B29" w:rsidRPr="00027624" w:rsidRDefault="00E96B29" w:rsidP="00E96B29">
            <w:pPr>
              <w:pStyle w:val="TableTextCentered"/>
              <w:rPr>
                <w:szCs w:val="18"/>
              </w:rPr>
            </w:pPr>
            <w:r w:rsidRPr="00027624">
              <w:rPr>
                <w:szCs w:val="18"/>
              </w:rPr>
              <w:t>27.2</w:t>
            </w:r>
          </w:p>
        </w:tc>
        <w:tc>
          <w:tcPr>
            <w:tcW w:w="464" w:type="pct"/>
            <w:vAlign w:val="bottom"/>
          </w:tcPr>
          <w:p w14:paraId="6E15FF05" w14:textId="77777777" w:rsidR="00E96B29" w:rsidRPr="00027624" w:rsidRDefault="00E96B29" w:rsidP="00E96B29">
            <w:pPr>
              <w:pStyle w:val="TableTextCentered"/>
              <w:rPr>
                <w:szCs w:val="18"/>
              </w:rPr>
            </w:pPr>
            <w:r w:rsidRPr="00027624">
              <w:rPr>
                <w:szCs w:val="18"/>
              </w:rPr>
              <w:t>27.0</w:t>
            </w:r>
          </w:p>
        </w:tc>
        <w:tc>
          <w:tcPr>
            <w:tcW w:w="464" w:type="pct"/>
            <w:vAlign w:val="bottom"/>
          </w:tcPr>
          <w:p w14:paraId="5CE54CD7" w14:textId="77777777" w:rsidR="00E96B29" w:rsidRPr="00027624" w:rsidRDefault="00E96B29" w:rsidP="00E96B29">
            <w:pPr>
              <w:pStyle w:val="TableTextCentered"/>
              <w:rPr>
                <w:szCs w:val="18"/>
              </w:rPr>
            </w:pPr>
            <w:r w:rsidRPr="00027624">
              <w:rPr>
                <w:szCs w:val="18"/>
              </w:rPr>
              <w:t>25.2</w:t>
            </w:r>
          </w:p>
        </w:tc>
        <w:tc>
          <w:tcPr>
            <w:tcW w:w="550" w:type="pct"/>
            <w:vAlign w:val="bottom"/>
          </w:tcPr>
          <w:p w14:paraId="63C1AED7" w14:textId="77777777" w:rsidR="00E96B29" w:rsidRPr="00027624" w:rsidRDefault="00E96B29" w:rsidP="00E96B29">
            <w:pPr>
              <w:pStyle w:val="TableTextCentered"/>
              <w:rPr>
                <w:szCs w:val="18"/>
              </w:rPr>
            </w:pPr>
            <w:r w:rsidRPr="00027624">
              <w:rPr>
                <w:szCs w:val="18"/>
              </w:rPr>
              <w:t>23.2</w:t>
            </w:r>
          </w:p>
        </w:tc>
      </w:tr>
      <w:tr w:rsidR="00E96B29" w:rsidRPr="00027624" w14:paraId="6A8DB84C" w14:textId="77777777" w:rsidTr="00E96B29">
        <w:trPr>
          <w:trHeight w:val="270"/>
        </w:trPr>
        <w:tc>
          <w:tcPr>
            <w:tcW w:w="741" w:type="pct"/>
            <w:vAlign w:val="bottom"/>
          </w:tcPr>
          <w:p w14:paraId="532CC092" w14:textId="77777777" w:rsidR="00E96B29" w:rsidRPr="00027624" w:rsidRDefault="00E96B29" w:rsidP="00E96B29">
            <w:pPr>
              <w:pStyle w:val="TableTextLeft"/>
              <w:rPr>
                <w:szCs w:val="18"/>
              </w:rPr>
            </w:pPr>
            <w:r w:rsidRPr="00027624">
              <w:rPr>
                <w:bCs/>
                <w:szCs w:val="18"/>
              </w:rPr>
              <w:t>89</w:t>
            </w:r>
          </w:p>
        </w:tc>
        <w:tc>
          <w:tcPr>
            <w:tcW w:w="446" w:type="pct"/>
            <w:vAlign w:val="bottom"/>
          </w:tcPr>
          <w:p w14:paraId="76E473C2" w14:textId="77777777" w:rsidR="00E96B29" w:rsidRPr="00027624" w:rsidRDefault="00E96B29" w:rsidP="00E96B29">
            <w:pPr>
              <w:pStyle w:val="TableTextCentered"/>
              <w:rPr>
                <w:szCs w:val="18"/>
              </w:rPr>
            </w:pPr>
            <w:r w:rsidRPr="00027624">
              <w:rPr>
                <w:szCs w:val="18"/>
              </w:rPr>
              <w:t>39.0</w:t>
            </w:r>
          </w:p>
        </w:tc>
        <w:tc>
          <w:tcPr>
            <w:tcW w:w="467" w:type="pct"/>
            <w:vAlign w:val="bottom"/>
          </w:tcPr>
          <w:p w14:paraId="3539C7B2" w14:textId="77777777" w:rsidR="00E96B29" w:rsidRPr="00027624" w:rsidRDefault="00E96B29" w:rsidP="00E96B29">
            <w:pPr>
              <w:pStyle w:val="TableTextCentered"/>
              <w:rPr>
                <w:szCs w:val="18"/>
              </w:rPr>
            </w:pPr>
            <w:r w:rsidRPr="00027624">
              <w:rPr>
                <w:szCs w:val="18"/>
              </w:rPr>
              <w:t>36.7</w:t>
            </w:r>
          </w:p>
        </w:tc>
        <w:tc>
          <w:tcPr>
            <w:tcW w:w="467" w:type="pct"/>
            <w:vAlign w:val="bottom"/>
          </w:tcPr>
          <w:p w14:paraId="04AED900" w14:textId="77777777" w:rsidR="00E96B29" w:rsidRPr="00027624" w:rsidRDefault="00E96B29" w:rsidP="00E96B29">
            <w:pPr>
              <w:pStyle w:val="TableTextCentered"/>
              <w:rPr>
                <w:szCs w:val="18"/>
              </w:rPr>
            </w:pPr>
            <w:r w:rsidRPr="00027624">
              <w:rPr>
                <w:szCs w:val="18"/>
              </w:rPr>
              <w:t>36.1</w:t>
            </w:r>
          </w:p>
        </w:tc>
        <w:tc>
          <w:tcPr>
            <w:tcW w:w="467" w:type="pct"/>
            <w:vAlign w:val="bottom"/>
          </w:tcPr>
          <w:p w14:paraId="42C7869A" w14:textId="77777777" w:rsidR="00E96B29" w:rsidRPr="00027624" w:rsidRDefault="00E96B29" w:rsidP="00E96B29">
            <w:pPr>
              <w:pStyle w:val="TableTextCentered"/>
              <w:rPr>
                <w:szCs w:val="18"/>
              </w:rPr>
            </w:pPr>
            <w:r w:rsidRPr="00027624">
              <w:rPr>
                <w:szCs w:val="18"/>
              </w:rPr>
              <w:t>35.2</w:t>
            </w:r>
          </w:p>
        </w:tc>
        <w:tc>
          <w:tcPr>
            <w:tcW w:w="467" w:type="pct"/>
            <w:vAlign w:val="bottom"/>
          </w:tcPr>
          <w:p w14:paraId="7B83A539" w14:textId="77777777" w:rsidR="00E96B29" w:rsidRPr="00027624" w:rsidRDefault="00E96B29" w:rsidP="00E96B29">
            <w:pPr>
              <w:pStyle w:val="TableTextCentered"/>
              <w:rPr>
                <w:szCs w:val="18"/>
              </w:rPr>
            </w:pPr>
            <w:r w:rsidRPr="00027624">
              <w:rPr>
                <w:szCs w:val="18"/>
              </w:rPr>
              <w:t>35.5</w:t>
            </w:r>
          </w:p>
        </w:tc>
        <w:tc>
          <w:tcPr>
            <w:tcW w:w="467" w:type="pct"/>
            <w:vAlign w:val="bottom"/>
          </w:tcPr>
          <w:p w14:paraId="04666F66" w14:textId="77777777" w:rsidR="00E96B29" w:rsidRPr="00027624" w:rsidRDefault="00E96B29" w:rsidP="00E96B29">
            <w:pPr>
              <w:pStyle w:val="TableTextCentered"/>
              <w:rPr>
                <w:szCs w:val="18"/>
              </w:rPr>
            </w:pPr>
            <w:r w:rsidRPr="00027624">
              <w:rPr>
                <w:szCs w:val="18"/>
              </w:rPr>
              <w:t>35.3</w:t>
            </w:r>
          </w:p>
        </w:tc>
        <w:tc>
          <w:tcPr>
            <w:tcW w:w="464" w:type="pct"/>
            <w:vAlign w:val="bottom"/>
          </w:tcPr>
          <w:p w14:paraId="68CC60E9" w14:textId="77777777" w:rsidR="00E96B29" w:rsidRPr="00027624" w:rsidRDefault="00E96B29" w:rsidP="00E96B29">
            <w:pPr>
              <w:pStyle w:val="TableTextCentered"/>
              <w:rPr>
                <w:szCs w:val="18"/>
              </w:rPr>
            </w:pPr>
            <w:r w:rsidRPr="00027624">
              <w:rPr>
                <w:szCs w:val="18"/>
              </w:rPr>
              <w:t>35.1</w:t>
            </w:r>
          </w:p>
        </w:tc>
        <w:tc>
          <w:tcPr>
            <w:tcW w:w="464" w:type="pct"/>
            <w:vAlign w:val="bottom"/>
          </w:tcPr>
          <w:p w14:paraId="03AEC814" w14:textId="77777777" w:rsidR="00E96B29" w:rsidRPr="00027624" w:rsidRDefault="00E96B29" w:rsidP="00E96B29">
            <w:pPr>
              <w:pStyle w:val="TableTextCentered"/>
              <w:rPr>
                <w:szCs w:val="18"/>
              </w:rPr>
            </w:pPr>
            <w:r w:rsidRPr="00027624">
              <w:rPr>
                <w:szCs w:val="18"/>
              </w:rPr>
              <w:t>29.6</w:t>
            </w:r>
          </w:p>
        </w:tc>
        <w:tc>
          <w:tcPr>
            <w:tcW w:w="550" w:type="pct"/>
            <w:vAlign w:val="bottom"/>
          </w:tcPr>
          <w:p w14:paraId="633E5D49" w14:textId="77777777" w:rsidR="00E96B29" w:rsidRPr="00027624" w:rsidRDefault="00E96B29" w:rsidP="00E96B29">
            <w:pPr>
              <w:pStyle w:val="TableTextCentered"/>
              <w:rPr>
                <w:szCs w:val="18"/>
              </w:rPr>
            </w:pPr>
            <w:r w:rsidRPr="00027624">
              <w:rPr>
                <w:szCs w:val="18"/>
              </w:rPr>
              <w:t>27.0</w:t>
            </w:r>
          </w:p>
        </w:tc>
      </w:tr>
      <w:tr w:rsidR="00E96B29" w:rsidRPr="00027624" w14:paraId="78AB0511" w14:textId="77777777" w:rsidTr="00E96B29">
        <w:trPr>
          <w:trHeight w:val="270"/>
        </w:trPr>
        <w:tc>
          <w:tcPr>
            <w:tcW w:w="741" w:type="pct"/>
            <w:vAlign w:val="bottom"/>
          </w:tcPr>
          <w:p w14:paraId="59E42256" w14:textId="77777777" w:rsidR="00E96B29" w:rsidRPr="00027624" w:rsidRDefault="00E96B29" w:rsidP="00E96B29">
            <w:pPr>
              <w:pStyle w:val="TableTextLeft"/>
              <w:rPr>
                <w:szCs w:val="18"/>
              </w:rPr>
            </w:pPr>
            <w:r w:rsidRPr="00027624">
              <w:rPr>
                <w:bCs/>
                <w:szCs w:val="18"/>
              </w:rPr>
              <w:t>90</w:t>
            </w:r>
          </w:p>
        </w:tc>
        <w:tc>
          <w:tcPr>
            <w:tcW w:w="446" w:type="pct"/>
            <w:vAlign w:val="bottom"/>
          </w:tcPr>
          <w:p w14:paraId="20061835" w14:textId="77777777" w:rsidR="00E96B29" w:rsidRPr="00027624" w:rsidRDefault="00E96B29" w:rsidP="00E96B29">
            <w:pPr>
              <w:pStyle w:val="TableTextCentered"/>
              <w:rPr>
                <w:szCs w:val="18"/>
              </w:rPr>
            </w:pPr>
            <w:r w:rsidRPr="00027624">
              <w:rPr>
                <w:szCs w:val="18"/>
              </w:rPr>
              <w:t>54.5</w:t>
            </w:r>
          </w:p>
        </w:tc>
        <w:tc>
          <w:tcPr>
            <w:tcW w:w="467" w:type="pct"/>
            <w:vAlign w:val="bottom"/>
          </w:tcPr>
          <w:p w14:paraId="24DB705D" w14:textId="77777777" w:rsidR="00E96B29" w:rsidRPr="00027624" w:rsidRDefault="00E96B29" w:rsidP="00E96B29">
            <w:pPr>
              <w:pStyle w:val="TableTextCentered"/>
              <w:rPr>
                <w:szCs w:val="18"/>
              </w:rPr>
            </w:pPr>
            <w:r w:rsidRPr="00027624">
              <w:rPr>
                <w:szCs w:val="18"/>
              </w:rPr>
              <w:t>52.6</w:t>
            </w:r>
          </w:p>
        </w:tc>
        <w:tc>
          <w:tcPr>
            <w:tcW w:w="467" w:type="pct"/>
            <w:vAlign w:val="bottom"/>
          </w:tcPr>
          <w:p w14:paraId="117261BA" w14:textId="77777777" w:rsidR="00E96B29" w:rsidRPr="00027624" w:rsidRDefault="00E96B29" w:rsidP="00E96B29">
            <w:pPr>
              <w:pStyle w:val="TableTextCentered"/>
              <w:rPr>
                <w:szCs w:val="18"/>
              </w:rPr>
            </w:pPr>
            <w:r w:rsidRPr="00027624">
              <w:rPr>
                <w:szCs w:val="18"/>
              </w:rPr>
              <w:t>51.9</w:t>
            </w:r>
          </w:p>
        </w:tc>
        <w:tc>
          <w:tcPr>
            <w:tcW w:w="467" w:type="pct"/>
            <w:vAlign w:val="bottom"/>
          </w:tcPr>
          <w:p w14:paraId="6C1BCA0D" w14:textId="77777777" w:rsidR="00E96B29" w:rsidRPr="00027624" w:rsidRDefault="00E96B29" w:rsidP="00E96B29">
            <w:pPr>
              <w:pStyle w:val="TableTextCentered"/>
              <w:rPr>
                <w:szCs w:val="18"/>
              </w:rPr>
            </w:pPr>
            <w:r w:rsidRPr="00027624">
              <w:rPr>
                <w:szCs w:val="18"/>
              </w:rPr>
              <w:t>50.6</w:t>
            </w:r>
          </w:p>
        </w:tc>
        <w:tc>
          <w:tcPr>
            <w:tcW w:w="467" w:type="pct"/>
            <w:vAlign w:val="bottom"/>
          </w:tcPr>
          <w:p w14:paraId="01233862" w14:textId="77777777" w:rsidR="00E96B29" w:rsidRPr="00027624" w:rsidRDefault="00E96B29" w:rsidP="00E96B29">
            <w:pPr>
              <w:pStyle w:val="TableTextCentered"/>
              <w:rPr>
                <w:szCs w:val="18"/>
              </w:rPr>
            </w:pPr>
            <w:r w:rsidRPr="00027624">
              <w:rPr>
                <w:szCs w:val="18"/>
              </w:rPr>
              <w:t>51.7</w:t>
            </w:r>
          </w:p>
        </w:tc>
        <w:tc>
          <w:tcPr>
            <w:tcW w:w="467" w:type="pct"/>
            <w:vAlign w:val="bottom"/>
          </w:tcPr>
          <w:p w14:paraId="3F36AB31" w14:textId="77777777" w:rsidR="00E96B29" w:rsidRPr="00027624" w:rsidRDefault="00E96B29" w:rsidP="00E96B29">
            <w:pPr>
              <w:pStyle w:val="TableTextCentered"/>
              <w:rPr>
                <w:szCs w:val="18"/>
              </w:rPr>
            </w:pPr>
            <w:r w:rsidRPr="00027624">
              <w:rPr>
                <w:szCs w:val="18"/>
              </w:rPr>
              <w:t>51.5</w:t>
            </w:r>
          </w:p>
        </w:tc>
        <w:tc>
          <w:tcPr>
            <w:tcW w:w="464" w:type="pct"/>
            <w:vAlign w:val="bottom"/>
          </w:tcPr>
          <w:p w14:paraId="2F525B5B" w14:textId="77777777" w:rsidR="00E96B29" w:rsidRPr="00027624" w:rsidRDefault="00E96B29" w:rsidP="00E96B29">
            <w:pPr>
              <w:pStyle w:val="TableTextCentered"/>
              <w:rPr>
                <w:szCs w:val="18"/>
              </w:rPr>
            </w:pPr>
            <w:r w:rsidRPr="00027624">
              <w:rPr>
                <w:szCs w:val="18"/>
              </w:rPr>
              <w:t>51.3</w:t>
            </w:r>
          </w:p>
        </w:tc>
        <w:tc>
          <w:tcPr>
            <w:tcW w:w="464" w:type="pct"/>
            <w:vAlign w:val="bottom"/>
          </w:tcPr>
          <w:p w14:paraId="05878E39" w14:textId="77777777" w:rsidR="00E96B29" w:rsidRPr="00027624" w:rsidRDefault="00E96B29" w:rsidP="00E96B29">
            <w:pPr>
              <w:pStyle w:val="TableTextCentered"/>
              <w:rPr>
                <w:szCs w:val="18"/>
              </w:rPr>
            </w:pPr>
            <w:r w:rsidRPr="00027624">
              <w:rPr>
                <w:szCs w:val="18"/>
              </w:rPr>
              <w:t>39.3</w:t>
            </w:r>
          </w:p>
        </w:tc>
        <w:tc>
          <w:tcPr>
            <w:tcW w:w="550" w:type="pct"/>
            <w:vAlign w:val="bottom"/>
          </w:tcPr>
          <w:p w14:paraId="3C67E438" w14:textId="77777777" w:rsidR="00E96B29" w:rsidRPr="00027624" w:rsidRDefault="00E96B29" w:rsidP="00E96B29">
            <w:pPr>
              <w:pStyle w:val="TableTextCentered"/>
              <w:rPr>
                <w:szCs w:val="18"/>
              </w:rPr>
            </w:pPr>
            <w:r w:rsidRPr="00027624">
              <w:rPr>
                <w:szCs w:val="18"/>
              </w:rPr>
              <w:t>32.9</w:t>
            </w:r>
          </w:p>
        </w:tc>
      </w:tr>
      <w:tr w:rsidR="00E96B29" w:rsidRPr="00027624" w14:paraId="0E9DD0F2" w14:textId="77777777" w:rsidTr="00E96B29">
        <w:trPr>
          <w:trHeight w:val="270"/>
        </w:trPr>
        <w:tc>
          <w:tcPr>
            <w:tcW w:w="741" w:type="pct"/>
            <w:vAlign w:val="bottom"/>
          </w:tcPr>
          <w:p w14:paraId="53EE5D61" w14:textId="77777777" w:rsidR="00E96B29" w:rsidRPr="00027624" w:rsidRDefault="00E96B29" w:rsidP="00E96B29">
            <w:pPr>
              <w:pStyle w:val="TableTextLeft"/>
              <w:rPr>
                <w:szCs w:val="18"/>
              </w:rPr>
            </w:pPr>
            <w:r w:rsidRPr="00027624">
              <w:rPr>
                <w:bCs/>
                <w:szCs w:val="18"/>
              </w:rPr>
              <w:t>91</w:t>
            </w:r>
          </w:p>
        </w:tc>
        <w:tc>
          <w:tcPr>
            <w:tcW w:w="446" w:type="pct"/>
            <w:vAlign w:val="bottom"/>
          </w:tcPr>
          <w:p w14:paraId="7A8123FB"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474E5AE8"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2402408A" w14:textId="77777777" w:rsidR="00E96B29" w:rsidRPr="00027624" w:rsidRDefault="00E96B29" w:rsidP="00E96B29">
            <w:pPr>
              <w:pStyle w:val="TableTextCentered"/>
              <w:rPr>
                <w:szCs w:val="18"/>
              </w:rPr>
            </w:pPr>
            <w:r w:rsidRPr="00027624">
              <w:rPr>
                <w:szCs w:val="18"/>
              </w:rPr>
              <w:t>99.0</w:t>
            </w:r>
          </w:p>
        </w:tc>
        <w:tc>
          <w:tcPr>
            <w:tcW w:w="467" w:type="pct"/>
            <w:vAlign w:val="bottom"/>
          </w:tcPr>
          <w:p w14:paraId="0572A1D6" w14:textId="77777777" w:rsidR="00E96B29" w:rsidRPr="00027624" w:rsidRDefault="00E96B29" w:rsidP="00E96B29">
            <w:pPr>
              <w:pStyle w:val="TableTextCentered"/>
              <w:rPr>
                <w:szCs w:val="18"/>
              </w:rPr>
            </w:pPr>
            <w:r w:rsidRPr="00027624">
              <w:rPr>
                <w:szCs w:val="18"/>
              </w:rPr>
              <w:t>95.1</w:t>
            </w:r>
          </w:p>
        </w:tc>
        <w:tc>
          <w:tcPr>
            <w:tcW w:w="467" w:type="pct"/>
            <w:vAlign w:val="bottom"/>
          </w:tcPr>
          <w:p w14:paraId="19B74EF5"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285CDA08" w14:textId="77777777" w:rsidR="00E96B29" w:rsidRPr="00027624" w:rsidRDefault="00E96B29" w:rsidP="00E96B29">
            <w:pPr>
              <w:pStyle w:val="TableTextCentered"/>
              <w:rPr>
                <w:szCs w:val="18"/>
              </w:rPr>
            </w:pPr>
            <w:r w:rsidRPr="00027624">
              <w:rPr>
                <w:szCs w:val="18"/>
              </w:rPr>
              <w:t>100.0</w:t>
            </w:r>
          </w:p>
        </w:tc>
        <w:tc>
          <w:tcPr>
            <w:tcW w:w="464" w:type="pct"/>
            <w:vAlign w:val="bottom"/>
          </w:tcPr>
          <w:p w14:paraId="0D253442" w14:textId="77777777" w:rsidR="00E96B29" w:rsidRPr="00027624" w:rsidRDefault="00E96B29" w:rsidP="00E96B29">
            <w:pPr>
              <w:pStyle w:val="TableTextCentered"/>
              <w:rPr>
                <w:szCs w:val="18"/>
              </w:rPr>
            </w:pPr>
            <w:r w:rsidRPr="00027624">
              <w:rPr>
                <w:szCs w:val="18"/>
              </w:rPr>
              <w:t>100.0</w:t>
            </w:r>
          </w:p>
        </w:tc>
        <w:tc>
          <w:tcPr>
            <w:tcW w:w="464" w:type="pct"/>
            <w:vAlign w:val="bottom"/>
          </w:tcPr>
          <w:p w14:paraId="67528929" w14:textId="77777777" w:rsidR="00E96B29" w:rsidRPr="00027624" w:rsidRDefault="00E96B29" w:rsidP="00E96B29">
            <w:pPr>
              <w:pStyle w:val="TableTextCentered"/>
              <w:rPr>
                <w:szCs w:val="18"/>
              </w:rPr>
            </w:pPr>
            <w:r w:rsidRPr="00027624">
              <w:rPr>
                <w:szCs w:val="18"/>
              </w:rPr>
              <w:t>60.9</w:t>
            </w:r>
          </w:p>
        </w:tc>
        <w:tc>
          <w:tcPr>
            <w:tcW w:w="550" w:type="pct"/>
            <w:vAlign w:val="bottom"/>
          </w:tcPr>
          <w:p w14:paraId="6464EB25" w14:textId="77777777" w:rsidR="00E96B29" w:rsidRPr="00027624" w:rsidRDefault="00E96B29" w:rsidP="00E96B29">
            <w:pPr>
              <w:pStyle w:val="TableTextCentered"/>
              <w:rPr>
                <w:szCs w:val="18"/>
              </w:rPr>
            </w:pPr>
            <w:r w:rsidRPr="00027624">
              <w:rPr>
                <w:szCs w:val="18"/>
              </w:rPr>
              <w:t>43.5</w:t>
            </w:r>
          </w:p>
        </w:tc>
      </w:tr>
      <w:tr w:rsidR="00E96B29" w:rsidRPr="00027624" w14:paraId="27400F31" w14:textId="77777777" w:rsidTr="00E96B29">
        <w:trPr>
          <w:trHeight w:val="270"/>
        </w:trPr>
        <w:tc>
          <w:tcPr>
            <w:tcW w:w="741" w:type="pct"/>
            <w:vAlign w:val="bottom"/>
          </w:tcPr>
          <w:p w14:paraId="576599F9" w14:textId="77777777" w:rsidR="00E96B29" w:rsidRPr="00027624" w:rsidRDefault="00E96B29" w:rsidP="00E96B29">
            <w:pPr>
              <w:pStyle w:val="TableTextLeft"/>
              <w:rPr>
                <w:szCs w:val="18"/>
              </w:rPr>
            </w:pPr>
            <w:r w:rsidRPr="00027624">
              <w:rPr>
                <w:bCs/>
                <w:szCs w:val="18"/>
              </w:rPr>
              <w:t>92</w:t>
            </w:r>
          </w:p>
        </w:tc>
        <w:tc>
          <w:tcPr>
            <w:tcW w:w="446" w:type="pct"/>
            <w:vAlign w:val="bottom"/>
          </w:tcPr>
          <w:p w14:paraId="6FD0B8ED" w14:textId="77777777" w:rsidR="00E96B29" w:rsidRPr="00027624" w:rsidRDefault="00E96B29" w:rsidP="00E96B29">
            <w:pPr>
              <w:pStyle w:val="TableTextCentered"/>
              <w:rPr>
                <w:szCs w:val="18"/>
              </w:rPr>
            </w:pPr>
          </w:p>
        </w:tc>
        <w:tc>
          <w:tcPr>
            <w:tcW w:w="467" w:type="pct"/>
            <w:vAlign w:val="bottom"/>
          </w:tcPr>
          <w:p w14:paraId="35534346" w14:textId="77777777" w:rsidR="00E96B29" w:rsidRPr="00027624" w:rsidRDefault="00E96B29" w:rsidP="00E96B29">
            <w:pPr>
              <w:pStyle w:val="TableTextCentered"/>
              <w:rPr>
                <w:szCs w:val="18"/>
              </w:rPr>
            </w:pPr>
          </w:p>
        </w:tc>
        <w:tc>
          <w:tcPr>
            <w:tcW w:w="467" w:type="pct"/>
            <w:vAlign w:val="bottom"/>
          </w:tcPr>
          <w:p w14:paraId="5648B2EA"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3E0496B8"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5116F745" w14:textId="77777777" w:rsidR="00E96B29" w:rsidRPr="00027624" w:rsidRDefault="00E96B29" w:rsidP="00E96B29">
            <w:pPr>
              <w:pStyle w:val="TableTextCentered"/>
              <w:rPr>
                <w:szCs w:val="18"/>
              </w:rPr>
            </w:pPr>
          </w:p>
        </w:tc>
        <w:tc>
          <w:tcPr>
            <w:tcW w:w="467" w:type="pct"/>
            <w:vAlign w:val="bottom"/>
          </w:tcPr>
          <w:p w14:paraId="7918F784" w14:textId="77777777" w:rsidR="00E96B29" w:rsidRPr="00027624" w:rsidRDefault="00E96B29" w:rsidP="00E96B29">
            <w:pPr>
              <w:pStyle w:val="TableTextCentered"/>
              <w:rPr>
                <w:szCs w:val="18"/>
              </w:rPr>
            </w:pPr>
          </w:p>
        </w:tc>
        <w:tc>
          <w:tcPr>
            <w:tcW w:w="464" w:type="pct"/>
            <w:vAlign w:val="bottom"/>
          </w:tcPr>
          <w:p w14:paraId="4DDC80E8" w14:textId="77777777" w:rsidR="00E96B29" w:rsidRPr="00027624" w:rsidRDefault="00E96B29" w:rsidP="00E96B29">
            <w:pPr>
              <w:pStyle w:val="TableTextCentered"/>
              <w:rPr>
                <w:szCs w:val="18"/>
              </w:rPr>
            </w:pPr>
          </w:p>
        </w:tc>
        <w:tc>
          <w:tcPr>
            <w:tcW w:w="464" w:type="pct"/>
            <w:vAlign w:val="bottom"/>
          </w:tcPr>
          <w:p w14:paraId="1F4A2B29" w14:textId="77777777" w:rsidR="00E96B29" w:rsidRPr="00027624" w:rsidRDefault="00E96B29" w:rsidP="00E96B29">
            <w:pPr>
              <w:pStyle w:val="TableTextCentered"/>
              <w:rPr>
                <w:szCs w:val="18"/>
              </w:rPr>
            </w:pPr>
            <w:r w:rsidRPr="00027624">
              <w:rPr>
                <w:szCs w:val="18"/>
              </w:rPr>
              <w:t>25.1</w:t>
            </w:r>
          </w:p>
        </w:tc>
        <w:tc>
          <w:tcPr>
            <w:tcW w:w="550" w:type="pct"/>
            <w:vAlign w:val="bottom"/>
          </w:tcPr>
          <w:p w14:paraId="7B66866D" w14:textId="77777777" w:rsidR="00E96B29" w:rsidRPr="00027624" w:rsidRDefault="00E96B29" w:rsidP="00E96B29">
            <w:pPr>
              <w:pStyle w:val="TableTextCentered"/>
              <w:rPr>
                <w:szCs w:val="18"/>
              </w:rPr>
            </w:pPr>
            <w:r w:rsidRPr="00027624">
              <w:rPr>
                <w:szCs w:val="18"/>
              </w:rPr>
              <w:t>18.1</w:t>
            </w:r>
          </w:p>
        </w:tc>
      </w:tr>
      <w:tr w:rsidR="00E96B29" w:rsidRPr="00027624" w14:paraId="5178AB1E" w14:textId="77777777" w:rsidTr="00E96B29">
        <w:trPr>
          <w:trHeight w:val="270"/>
        </w:trPr>
        <w:tc>
          <w:tcPr>
            <w:tcW w:w="741" w:type="pct"/>
            <w:vAlign w:val="bottom"/>
          </w:tcPr>
          <w:p w14:paraId="5F938D8F" w14:textId="77777777" w:rsidR="00E96B29" w:rsidRPr="00027624" w:rsidRDefault="00E96B29" w:rsidP="00E96B29">
            <w:pPr>
              <w:pStyle w:val="TableTextLeft"/>
              <w:rPr>
                <w:szCs w:val="18"/>
              </w:rPr>
            </w:pPr>
            <w:r w:rsidRPr="00027624">
              <w:rPr>
                <w:bCs/>
                <w:szCs w:val="18"/>
              </w:rPr>
              <w:t>93</w:t>
            </w:r>
          </w:p>
        </w:tc>
        <w:tc>
          <w:tcPr>
            <w:tcW w:w="446" w:type="pct"/>
            <w:vAlign w:val="bottom"/>
          </w:tcPr>
          <w:p w14:paraId="3AAAA115" w14:textId="77777777" w:rsidR="00E96B29" w:rsidRPr="00027624" w:rsidRDefault="00E96B29" w:rsidP="00E96B29">
            <w:pPr>
              <w:pStyle w:val="TableTextCentered"/>
              <w:rPr>
                <w:szCs w:val="18"/>
              </w:rPr>
            </w:pPr>
          </w:p>
        </w:tc>
        <w:tc>
          <w:tcPr>
            <w:tcW w:w="467" w:type="pct"/>
            <w:vAlign w:val="bottom"/>
          </w:tcPr>
          <w:p w14:paraId="3EF27F51" w14:textId="77777777" w:rsidR="00E96B29" w:rsidRPr="00027624" w:rsidRDefault="00E96B29" w:rsidP="00E96B29">
            <w:pPr>
              <w:pStyle w:val="TableTextCentered"/>
              <w:rPr>
                <w:szCs w:val="18"/>
              </w:rPr>
            </w:pPr>
          </w:p>
        </w:tc>
        <w:tc>
          <w:tcPr>
            <w:tcW w:w="467" w:type="pct"/>
            <w:vAlign w:val="bottom"/>
          </w:tcPr>
          <w:p w14:paraId="780B1459" w14:textId="77777777" w:rsidR="00E96B29" w:rsidRPr="00027624" w:rsidRDefault="00E96B29" w:rsidP="00E96B29">
            <w:pPr>
              <w:pStyle w:val="TableTextCentered"/>
              <w:rPr>
                <w:szCs w:val="18"/>
              </w:rPr>
            </w:pPr>
          </w:p>
        </w:tc>
        <w:tc>
          <w:tcPr>
            <w:tcW w:w="467" w:type="pct"/>
            <w:vAlign w:val="bottom"/>
          </w:tcPr>
          <w:p w14:paraId="5C1896F0" w14:textId="77777777" w:rsidR="00E96B29" w:rsidRPr="00027624" w:rsidRDefault="00E96B29" w:rsidP="00E96B29">
            <w:pPr>
              <w:pStyle w:val="TableTextCentered"/>
              <w:rPr>
                <w:szCs w:val="18"/>
              </w:rPr>
            </w:pPr>
          </w:p>
        </w:tc>
        <w:tc>
          <w:tcPr>
            <w:tcW w:w="467" w:type="pct"/>
            <w:vAlign w:val="bottom"/>
          </w:tcPr>
          <w:p w14:paraId="366351BA" w14:textId="77777777" w:rsidR="00E96B29" w:rsidRPr="00027624" w:rsidRDefault="00E96B29" w:rsidP="00E96B29">
            <w:pPr>
              <w:pStyle w:val="TableTextCentered"/>
              <w:rPr>
                <w:szCs w:val="18"/>
              </w:rPr>
            </w:pPr>
          </w:p>
        </w:tc>
        <w:tc>
          <w:tcPr>
            <w:tcW w:w="467" w:type="pct"/>
            <w:vAlign w:val="bottom"/>
          </w:tcPr>
          <w:p w14:paraId="1B430C90" w14:textId="77777777" w:rsidR="00E96B29" w:rsidRPr="00027624" w:rsidRDefault="00E96B29" w:rsidP="00E96B29">
            <w:pPr>
              <w:pStyle w:val="TableTextCentered"/>
              <w:rPr>
                <w:szCs w:val="18"/>
              </w:rPr>
            </w:pPr>
          </w:p>
        </w:tc>
        <w:tc>
          <w:tcPr>
            <w:tcW w:w="464" w:type="pct"/>
            <w:vAlign w:val="bottom"/>
          </w:tcPr>
          <w:p w14:paraId="7645A86E" w14:textId="77777777" w:rsidR="00E96B29" w:rsidRPr="00027624" w:rsidRDefault="00E96B29" w:rsidP="00E96B29">
            <w:pPr>
              <w:pStyle w:val="TableTextCentered"/>
              <w:rPr>
                <w:szCs w:val="18"/>
              </w:rPr>
            </w:pPr>
          </w:p>
        </w:tc>
        <w:tc>
          <w:tcPr>
            <w:tcW w:w="464" w:type="pct"/>
            <w:vAlign w:val="bottom"/>
          </w:tcPr>
          <w:p w14:paraId="695B8609" w14:textId="77777777" w:rsidR="00E96B29" w:rsidRPr="00027624" w:rsidRDefault="00E96B29" w:rsidP="00E96B29">
            <w:pPr>
              <w:pStyle w:val="TableTextCentered"/>
              <w:rPr>
                <w:szCs w:val="18"/>
              </w:rPr>
            </w:pPr>
            <w:r w:rsidRPr="00027624">
              <w:rPr>
                <w:szCs w:val="18"/>
              </w:rPr>
              <w:t>28.3</w:t>
            </w:r>
          </w:p>
        </w:tc>
        <w:tc>
          <w:tcPr>
            <w:tcW w:w="550" w:type="pct"/>
            <w:vAlign w:val="bottom"/>
          </w:tcPr>
          <w:p w14:paraId="7731EDB2" w14:textId="77777777" w:rsidR="00E96B29" w:rsidRPr="00027624" w:rsidRDefault="00E96B29" w:rsidP="00E96B29">
            <w:pPr>
              <w:pStyle w:val="TableTextCentered"/>
              <w:rPr>
                <w:szCs w:val="18"/>
              </w:rPr>
            </w:pPr>
            <w:r w:rsidRPr="00027624">
              <w:rPr>
                <w:szCs w:val="18"/>
              </w:rPr>
              <w:t>19.7</w:t>
            </w:r>
          </w:p>
        </w:tc>
      </w:tr>
      <w:tr w:rsidR="00E96B29" w:rsidRPr="00027624" w14:paraId="550F2C75" w14:textId="77777777" w:rsidTr="00E96B29">
        <w:trPr>
          <w:trHeight w:val="270"/>
        </w:trPr>
        <w:tc>
          <w:tcPr>
            <w:tcW w:w="741" w:type="pct"/>
            <w:vAlign w:val="bottom"/>
          </w:tcPr>
          <w:p w14:paraId="1D4975A4" w14:textId="77777777" w:rsidR="00E96B29" w:rsidRPr="00027624" w:rsidRDefault="00E96B29" w:rsidP="00E96B29">
            <w:pPr>
              <w:pStyle w:val="TableTextLeft"/>
              <w:rPr>
                <w:szCs w:val="18"/>
              </w:rPr>
            </w:pPr>
            <w:r w:rsidRPr="00027624">
              <w:rPr>
                <w:bCs/>
                <w:szCs w:val="18"/>
              </w:rPr>
              <w:t>94</w:t>
            </w:r>
          </w:p>
        </w:tc>
        <w:tc>
          <w:tcPr>
            <w:tcW w:w="446" w:type="pct"/>
            <w:vAlign w:val="bottom"/>
          </w:tcPr>
          <w:p w14:paraId="2632E2F4" w14:textId="77777777" w:rsidR="00E96B29" w:rsidRPr="00027624" w:rsidRDefault="00E96B29" w:rsidP="00E96B29">
            <w:pPr>
              <w:pStyle w:val="TableTextCentered"/>
              <w:rPr>
                <w:szCs w:val="18"/>
              </w:rPr>
            </w:pPr>
          </w:p>
        </w:tc>
        <w:tc>
          <w:tcPr>
            <w:tcW w:w="467" w:type="pct"/>
            <w:vAlign w:val="bottom"/>
          </w:tcPr>
          <w:p w14:paraId="09398455" w14:textId="77777777" w:rsidR="00E96B29" w:rsidRPr="00027624" w:rsidRDefault="00E96B29" w:rsidP="00E96B29">
            <w:pPr>
              <w:pStyle w:val="TableTextCentered"/>
              <w:rPr>
                <w:szCs w:val="18"/>
              </w:rPr>
            </w:pPr>
          </w:p>
        </w:tc>
        <w:tc>
          <w:tcPr>
            <w:tcW w:w="467" w:type="pct"/>
            <w:vAlign w:val="bottom"/>
          </w:tcPr>
          <w:p w14:paraId="7E96749C" w14:textId="77777777" w:rsidR="00E96B29" w:rsidRPr="00027624" w:rsidRDefault="00E96B29" w:rsidP="00E96B29">
            <w:pPr>
              <w:pStyle w:val="TableTextCentered"/>
              <w:rPr>
                <w:szCs w:val="18"/>
              </w:rPr>
            </w:pPr>
          </w:p>
        </w:tc>
        <w:tc>
          <w:tcPr>
            <w:tcW w:w="467" w:type="pct"/>
            <w:vAlign w:val="bottom"/>
          </w:tcPr>
          <w:p w14:paraId="6D048CAA" w14:textId="77777777" w:rsidR="00E96B29" w:rsidRPr="00027624" w:rsidRDefault="00E96B29" w:rsidP="00E96B29">
            <w:pPr>
              <w:pStyle w:val="TableTextCentered"/>
              <w:rPr>
                <w:szCs w:val="18"/>
              </w:rPr>
            </w:pPr>
          </w:p>
        </w:tc>
        <w:tc>
          <w:tcPr>
            <w:tcW w:w="467" w:type="pct"/>
            <w:vAlign w:val="bottom"/>
          </w:tcPr>
          <w:p w14:paraId="629549AC" w14:textId="77777777" w:rsidR="00E96B29" w:rsidRPr="00027624" w:rsidRDefault="00E96B29" w:rsidP="00E96B29">
            <w:pPr>
              <w:pStyle w:val="TableTextCentered"/>
              <w:rPr>
                <w:szCs w:val="18"/>
              </w:rPr>
            </w:pPr>
          </w:p>
        </w:tc>
        <w:tc>
          <w:tcPr>
            <w:tcW w:w="467" w:type="pct"/>
            <w:vAlign w:val="bottom"/>
          </w:tcPr>
          <w:p w14:paraId="14382554" w14:textId="77777777" w:rsidR="00E96B29" w:rsidRPr="00027624" w:rsidRDefault="00E96B29" w:rsidP="00E96B29">
            <w:pPr>
              <w:pStyle w:val="TableTextCentered"/>
              <w:rPr>
                <w:szCs w:val="18"/>
              </w:rPr>
            </w:pPr>
          </w:p>
        </w:tc>
        <w:tc>
          <w:tcPr>
            <w:tcW w:w="464" w:type="pct"/>
            <w:vAlign w:val="bottom"/>
          </w:tcPr>
          <w:p w14:paraId="48FCB2D3" w14:textId="77777777" w:rsidR="00E96B29" w:rsidRPr="00027624" w:rsidRDefault="00E96B29" w:rsidP="00E96B29">
            <w:pPr>
              <w:pStyle w:val="TableTextCentered"/>
              <w:rPr>
                <w:szCs w:val="18"/>
              </w:rPr>
            </w:pPr>
          </w:p>
        </w:tc>
        <w:tc>
          <w:tcPr>
            <w:tcW w:w="464" w:type="pct"/>
            <w:vAlign w:val="bottom"/>
          </w:tcPr>
          <w:p w14:paraId="2165220B" w14:textId="77777777" w:rsidR="00E96B29" w:rsidRPr="00027624" w:rsidRDefault="00E96B29" w:rsidP="00E96B29">
            <w:pPr>
              <w:pStyle w:val="TableTextCentered"/>
              <w:rPr>
                <w:szCs w:val="18"/>
              </w:rPr>
            </w:pPr>
            <w:r w:rsidRPr="00027624">
              <w:rPr>
                <w:szCs w:val="18"/>
              </w:rPr>
              <w:t>32.5</w:t>
            </w:r>
          </w:p>
        </w:tc>
        <w:tc>
          <w:tcPr>
            <w:tcW w:w="550" w:type="pct"/>
            <w:vAlign w:val="bottom"/>
          </w:tcPr>
          <w:p w14:paraId="3FD7CE39" w14:textId="77777777" w:rsidR="00E96B29" w:rsidRPr="00027624" w:rsidRDefault="00E96B29" w:rsidP="00E96B29">
            <w:pPr>
              <w:pStyle w:val="TableTextCentered"/>
              <w:rPr>
                <w:szCs w:val="18"/>
              </w:rPr>
            </w:pPr>
            <w:r w:rsidRPr="00027624">
              <w:rPr>
                <w:szCs w:val="18"/>
              </w:rPr>
              <w:t>23.0</w:t>
            </w:r>
          </w:p>
        </w:tc>
      </w:tr>
      <w:tr w:rsidR="00E96B29" w:rsidRPr="00027624" w14:paraId="4CEC5D96" w14:textId="77777777" w:rsidTr="00E96B29">
        <w:trPr>
          <w:trHeight w:val="270"/>
        </w:trPr>
        <w:tc>
          <w:tcPr>
            <w:tcW w:w="741" w:type="pct"/>
            <w:vAlign w:val="bottom"/>
          </w:tcPr>
          <w:p w14:paraId="422976D8" w14:textId="77777777" w:rsidR="00E96B29" w:rsidRPr="00027624" w:rsidRDefault="00E96B29" w:rsidP="00E96B29">
            <w:pPr>
              <w:pStyle w:val="TableTextLeft"/>
              <w:rPr>
                <w:szCs w:val="18"/>
              </w:rPr>
            </w:pPr>
            <w:r w:rsidRPr="00027624">
              <w:rPr>
                <w:bCs/>
                <w:szCs w:val="18"/>
              </w:rPr>
              <w:t>95</w:t>
            </w:r>
          </w:p>
        </w:tc>
        <w:tc>
          <w:tcPr>
            <w:tcW w:w="446" w:type="pct"/>
            <w:vAlign w:val="bottom"/>
          </w:tcPr>
          <w:p w14:paraId="4BC11D5A" w14:textId="77777777" w:rsidR="00E96B29" w:rsidRPr="00027624" w:rsidRDefault="00E96B29" w:rsidP="00E96B29">
            <w:pPr>
              <w:pStyle w:val="TableTextCentered"/>
              <w:rPr>
                <w:szCs w:val="18"/>
              </w:rPr>
            </w:pPr>
          </w:p>
        </w:tc>
        <w:tc>
          <w:tcPr>
            <w:tcW w:w="467" w:type="pct"/>
            <w:vAlign w:val="bottom"/>
          </w:tcPr>
          <w:p w14:paraId="4A8FDA37" w14:textId="77777777" w:rsidR="00E96B29" w:rsidRPr="00027624" w:rsidRDefault="00E96B29" w:rsidP="00E96B29">
            <w:pPr>
              <w:pStyle w:val="TableTextCentered"/>
              <w:rPr>
                <w:szCs w:val="18"/>
              </w:rPr>
            </w:pPr>
          </w:p>
        </w:tc>
        <w:tc>
          <w:tcPr>
            <w:tcW w:w="467" w:type="pct"/>
            <w:vAlign w:val="bottom"/>
          </w:tcPr>
          <w:p w14:paraId="0BB345A1" w14:textId="77777777" w:rsidR="00E96B29" w:rsidRPr="00027624" w:rsidRDefault="00E96B29" w:rsidP="00E96B29">
            <w:pPr>
              <w:pStyle w:val="TableTextCentered"/>
              <w:rPr>
                <w:szCs w:val="18"/>
              </w:rPr>
            </w:pPr>
          </w:p>
        </w:tc>
        <w:tc>
          <w:tcPr>
            <w:tcW w:w="467" w:type="pct"/>
            <w:vAlign w:val="bottom"/>
          </w:tcPr>
          <w:p w14:paraId="7782D633" w14:textId="77777777" w:rsidR="00E96B29" w:rsidRPr="00027624" w:rsidRDefault="00E96B29" w:rsidP="00E96B29">
            <w:pPr>
              <w:pStyle w:val="TableTextCentered"/>
              <w:rPr>
                <w:szCs w:val="18"/>
              </w:rPr>
            </w:pPr>
          </w:p>
        </w:tc>
        <w:tc>
          <w:tcPr>
            <w:tcW w:w="467" w:type="pct"/>
            <w:vAlign w:val="bottom"/>
          </w:tcPr>
          <w:p w14:paraId="716062E0" w14:textId="77777777" w:rsidR="00E96B29" w:rsidRPr="00027624" w:rsidRDefault="00E96B29" w:rsidP="00E96B29">
            <w:pPr>
              <w:pStyle w:val="TableTextCentered"/>
              <w:rPr>
                <w:szCs w:val="18"/>
              </w:rPr>
            </w:pPr>
          </w:p>
        </w:tc>
        <w:tc>
          <w:tcPr>
            <w:tcW w:w="467" w:type="pct"/>
            <w:vAlign w:val="bottom"/>
          </w:tcPr>
          <w:p w14:paraId="19BE316D" w14:textId="77777777" w:rsidR="00E96B29" w:rsidRPr="00027624" w:rsidRDefault="00E96B29" w:rsidP="00E96B29">
            <w:pPr>
              <w:pStyle w:val="TableTextCentered"/>
              <w:rPr>
                <w:szCs w:val="18"/>
              </w:rPr>
            </w:pPr>
          </w:p>
        </w:tc>
        <w:tc>
          <w:tcPr>
            <w:tcW w:w="464" w:type="pct"/>
            <w:vAlign w:val="bottom"/>
          </w:tcPr>
          <w:p w14:paraId="307AD46D" w14:textId="77777777" w:rsidR="00E96B29" w:rsidRPr="00027624" w:rsidRDefault="00E96B29" w:rsidP="00E96B29">
            <w:pPr>
              <w:pStyle w:val="TableTextCentered"/>
              <w:rPr>
                <w:szCs w:val="18"/>
              </w:rPr>
            </w:pPr>
          </w:p>
        </w:tc>
        <w:tc>
          <w:tcPr>
            <w:tcW w:w="464" w:type="pct"/>
            <w:vAlign w:val="bottom"/>
          </w:tcPr>
          <w:p w14:paraId="73342B6B" w14:textId="77777777" w:rsidR="00E96B29" w:rsidRPr="00027624" w:rsidRDefault="00E96B29" w:rsidP="00E96B29">
            <w:pPr>
              <w:pStyle w:val="TableTextCentered"/>
              <w:rPr>
                <w:szCs w:val="18"/>
              </w:rPr>
            </w:pPr>
            <w:r w:rsidRPr="00027624">
              <w:rPr>
                <w:szCs w:val="18"/>
              </w:rPr>
              <w:t>38.4</w:t>
            </w:r>
          </w:p>
        </w:tc>
        <w:tc>
          <w:tcPr>
            <w:tcW w:w="550" w:type="pct"/>
            <w:vAlign w:val="bottom"/>
          </w:tcPr>
          <w:p w14:paraId="33728F33" w14:textId="77777777" w:rsidR="00E96B29" w:rsidRPr="00027624" w:rsidRDefault="00E96B29" w:rsidP="00E96B29">
            <w:pPr>
              <w:pStyle w:val="TableTextCentered"/>
              <w:rPr>
                <w:szCs w:val="18"/>
              </w:rPr>
            </w:pPr>
            <w:r w:rsidRPr="00027624">
              <w:rPr>
                <w:szCs w:val="18"/>
              </w:rPr>
              <w:t>27.8</w:t>
            </w:r>
          </w:p>
        </w:tc>
      </w:tr>
      <w:tr w:rsidR="00E96B29" w:rsidRPr="00027624" w14:paraId="14C5F363" w14:textId="77777777" w:rsidTr="00E96B29">
        <w:trPr>
          <w:trHeight w:val="270"/>
        </w:trPr>
        <w:tc>
          <w:tcPr>
            <w:tcW w:w="741" w:type="pct"/>
            <w:vAlign w:val="bottom"/>
          </w:tcPr>
          <w:p w14:paraId="22CF16F7" w14:textId="77777777" w:rsidR="00E96B29" w:rsidRPr="00027624" w:rsidRDefault="00E96B29" w:rsidP="00E96B29">
            <w:pPr>
              <w:pStyle w:val="TableTextLeft"/>
              <w:rPr>
                <w:szCs w:val="18"/>
              </w:rPr>
            </w:pPr>
            <w:r w:rsidRPr="00027624">
              <w:rPr>
                <w:bCs/>
                <w:szCs w:val="18"/>
              </w:rPr>
              <w:t>96</w:t>
            </w:r>
          </w:p>
        </w:tc>
        <w:tc>
          <w:tcPr>
            <w:tcW w:w="446" w:type="pct"/>
            <w:vAlign w:val="bottom"/>
          </w:tcPr>
          <w:p w14:paraId="7DB0C28A" w14:textId="77777777" w:rsidR="00E96B29" w:rsidRPr="00027624" w:rsidRDefault="00E96B29" w:rsidP="00E96B29">
            <w:pPr>
              <w:pStyle w:val="TableTextCentered"/>
              <w:rPr>
                <w:szCs w:val="18"/>
              </w:rPr>
            </w:pPr>
          </w:p>
        </w:tc>
        <w:tc>
          <w:tcPr>
            <w:tcW w:w="467" w:type="pct"/>
            <w:vAlign w:val="bottom"/>
          </w:tcPr>
          <w:p w14:paraId="01242CE9" w14:textId="77777777" w:rsidR="00E96B29" w:rsidRPr="00027624" w:rsidRDefault="00E96B29" w:rsidP="00E96B29">
            <w:pPr>
              <w:pStyle w:val="TableTextCentered"/>
              <w:rPr>
                <w:szCs w:val="18"/>
              </w:rPr>
            </w:pPr>
          </w:p>
        </w:tc>
        <w:tc>
          <w:tcPr>
            <w:tcW w:w="467" w:type="pct"/>
            <w:vAlign w:val="bottom"/>
          </w:tcPr>
          <w:p w14:paraId="63DB9506" w14:textId="77777777" w:rsidR="00E96B29" w:rsidRPr="00027624" w:rsidRDefault="00E96B29" w:rsidP="00E96B29">
            <w:pPr>
              <w:pStyle w:val="TableTextCentered"/>
              <w:rPr>
                <w:szCs w:val="18"/>
              </w:rPr>
            </w:pPr>
          </w:p>
        </w:tc>
        <w:tc>
          <w:tcPr>
            <w:tcW w:w="467" w:type="pct"/>
            <w:vAlign w:val="bottom"/>
          </w:tcPr>
          <w:p w14:paraId="79F0F1BA" w14:textId="77777777" w:rsidR="00E96B29" w:rsidRPr="00027624" w:rsidRDefault="00E96B29" w:rsidP="00E96B29">
            <w:pPr>
              <w:pStyle w:val="TableTextCentered"/>
              <w:rPr>
                <w:szCs w:val="18"/>
              </w:rPr>
            </w:pPr>
          </w:p>
        </w:tc>
        <w:tc>
          <w:tcPr>
            <w:tcW w:w="467" w:type="pct"/>
            <w:vAlign w:val="bottom"/>
          </w:tcPr>
          <w:p w14:paraId="2B765D1D" w14:textId="77777777" w:rsidR="00E96B29" w:rsidRPr="00027624" w:rsidRDefault="00E96B29" w:rsidP="00E96B29">
            <w:pPr>
              <w:pStyle w:val="TableTextCentered"/>
              <w:rPr>
                <w:szCs w:val="18"/>
              </w:rPr>
            </w:pPr>
          </w:p>
        </w:tc>
        <w:tc>
          <w:tcPr>
            <w:tcW w:w="467" w:type="pct"/>
            <w:vAlign w:val="bottom"/>
          </w:tcPr>
          <w:p w14:paraId="76DEF4C7" w14:textId="77777777" w:rsidR="00E96B29" w:rsidRPr="00027624" w:rsidRDefault="00E96B29" w:rsidP="00E96B29">
            <w:pPr>
              <w:pStyle w:val="TableTextCentered"/>
              <w:rPr>
                <w:szCs w:val="18"/>
              </w:rPr>
            </w:pPr>
          </w:p>
        </w:tc>
        <w:tc>
          <w:tcPr>
            <w:tcW w:w="464" w:type="pct"/>
            <w:vAlign w:val="bottom"/>
          </w:tcPr>
          <w:p w14:paraId="62616EED" w14:textId="77777777" w:rsidR="00E96B29" w:rsidRPr="00027624" w:rsidRDefault="00E96B29" w:rsidP="00E96B29">
            <w:pPr>
              <w:pStyle w:val="TableTextCentered"/>
              <w:rPr>
                <w:szCs w:val="18"/>
              </w:rPr>
            </w:pPr>
          </w:p>
        </w:tc>
        <w:tc>
          <w:tcPr>
            <w:tcW w:w="464" w:type="pct"/>
            <w:vAlign w:val="bottom"/>
          </w:tcPr>
          <w:p w14:paraId="4EE96505" w14:textId="77777777" w:rsidR="00E96B29" w:rsidRPr="00027624" w:rsidRDefault="00E96B29" w:rsidP="00E96B29">
            <w:pPr>
              <w:pStyle w:val="TableTextCentered"/>
              <w:rPr>
                <w:szCs w:val="18"/>
              </w:rPr>
            </w:pPr>
            <w:r w:rsidRPr="00027624">
              <w:rPr>
                <w:szCs w:val="18"/>
              </w:rPr>
              <w:t>47.4</w:t>
            </w:r>
          </w:p>
        </w:tc>
        <w:tc>
          <w:tcPr>
            <w:tcW w:w="550" w:type="pct"/>
            <w:vAlign w:val="bottom"/>
          </w:tcPr>
          <w:p w14:paraId="6AD5525F" w14:textId="77777777" w:rsidR="00E96B29" w:rsidRPr="00027624" w:rsidRDefault="00E96B29" w:rsidP="00E96B29">
            <w:pPr>
              <w:pStyle w:val="TableTextCentered"/>
              <w:rPr>
                <w:szCs w:val="18"/>
              </w:rPr>
            </w:pPr>
            <w:r w:rsidRPr="00027624">
              <w:rPr>
                <w:szCs w:val="18"/>
              </w:rPr>
              <w:t>35.9</w:t>
            </w:r>
          </w:p>
        </w:tc>
      </w:tr>
      <w:tr w:rsidR="00E96B29" w:rsidRPr="00027624" w14:paraId="3FB918EF" w14:textId="77777777" w:rsidTr="00E96B29">
        <w:trPr>
          <w:trHeight w:val="270"/>
        </w:trPr>
        <w:tc>
          <w:tcPr>
            <w:tcW w:w="741" w:type="pct"/>
            <w:vAlign w:val="bottom"/>
          </w:tcPr>
          <w:p w14:paraId="0916CD99" w14:textId="77777777" w:rsidR="00E96B29" w:rsidRPr="00027624" w:rsidRDefault="00E96B29" w:rsidP="00E96B29">
            <w:pPr>
              <w:pStyle w:val="TableTextLeft"/>
              <w:rPr>
                <w:szCs w:val="18"/>
              </w:rPr>
            </w:pPr>
            <w:r w:rsidRPr="00027624">
              <w:rPr>
                <w:bCs/>
                <w:szCs w:val="18"/>
              </w:rPr>
              <w:t>97</w:t>
            </w:r>
          </w:p>
        </w:tc>
        <w:tc>
          <w:tcPr>
            <w:tcW w:w="446" w:type="pct"/>
            <w:vAlign w:val="bottom"/>
          </w:tcPr>
          <w:p w14:paraId="4ADA15A3" w14:textId="77777777" w:rsidR="00E96B29" w:rsidRPr="00027624" w:rsidRDefault="00E96B29" w:rsidP="00E96B29">
            <w:pPr>
              <w:pStyle w:val="TableTextCentered"/>
              <w:rPr>
                <w:szCs w:val="18"/>
              </w:rPr>
            </w:pPr>
          </w:p>
        </w:tc>
        <w:tc>
          <w:tcPr>
            <w:tcW w:w="467" w:type="pct"/>
            <w:vAlign w:val="bottom"/>
          </w:tcPr>
          <w:p w14:paraId="2B7CEAC1" w14:textId="77777777" w:rsidR="00E96B29" w:rsidRPr="00027624" w:rsidRDefault="00E96B29" w:rsidP="00E96B29">
            <w:pPr>
              <w:pStyle w:val="TableTextCentered"/>
              <w:rPr>
                <w:szCs w:val="18"/>
              </w:rPr>
            </w:pPr>
          </w:p>
        </w:tc>
        <w:tc>
          <w:tcPr>
            <w:tcW w:w="467" w:type="pct"/>
            <w:vAlign w:val="bottom"/>
          </w:tcPr>
          <w:p w14:paraId="7246AE19" w14:textId="77777777" w:rsidR="00E96B29" w:rsidRPr="00027624" w:rsidRDefault="00E96B29" w:rsidP="00E96B29">
            <w:pPr>
              <w:pStyle w:val="TableTextCentered"/>
              <w:rPr>
                <w:szCs w:val="18"/>
              </w:rPr>
            </w:pPr>
          </w:p>
        </w:tc>
        <w:tc>
          <w:tcPr>
            <w:tcW w:w="467" w:type="pct"/>
            <w:vAlign w:val="bottom"/>
          </w:tcPr>
          <w:p w14:paraId="1C91F9EF" w14:textId="77777777" w:rsidR="00E96B29" w:rsidRPr="00027624" w:rsidRDefault="00E96B29" w:rsidP="00E96B29">
            <w:pPr>
              <w:pStyle w:val="TableTextCentered"/>
              <w:rPr>
                <w:szCs w:val="18"/>
              </w:rPr>
            </w:pPr>
          </w:p>
        </w:tc>
        <w:tc>
          <w:tcPr>
            <w:tcW w:w="467" w:type="pct"/>
            <w:vAlign w:val="bottom"/>
          </w:tcPr>
          <w:p w14:paraId="272DFB40" w14:textId="77777777" w:rsidR="00E96B29" w:rsidRPr="00027624" w:rsidRDefault="00E96B29" w:rsidP="00E96B29">
            <w:pPr>
              <w:pStyle w:val="TableTextCentered"/>
              <w:rPr>
                <w:szCs w:val="18"/>
              </w:rPr>
            </w:pPr>
          </w:p>
        </w:tc>
        <w:tc>
          <w:tcPr>
            <w:tcW w:w="467" w:type="pct"/>
            <w:vAlign w:val="bottom"/>
          </w:tcPr>
          <w:p w14:paraId="2A0C8D49" w14:textId="77777777" w:rsidR="00E96B29" w:rsidRPr="00027624" w:rsidRDefault="00E96B29" w:rsidP="00E96B29">
            <w:pPr>
              <w:pStyle w:val="TableTextCentered"/>
              <w:rPr>
                <w:szCs w:val="18"/>
              </w:rPr>
            </w:pPr>
          </w:p>
        </w:tc>
        <w:tc>
          <w:tcPr>
            <w:tcW w:w="464" w:type="pct"/>
            <w:vAlign w:val="bottom"/>
          </w:tcPr>
          <w:p w14:paraId="3E94E47D" w14:textId="77777777" w:rsidR="00E96B29" w:rsidRPr="00027624" w:rsidRDefault="00E96B29" w:rsidP="00E96B29">
            <w:pPr>
              <w:pStyle w:val="TableTextCentered"/>
              <w:rPr>
                <w:szCs w:val="18"/>
              </w:rPr>
            </w:pPr>
          </w:p>
        </w:tc>
        <w:tc>
          <w:tcPr>
            <w:tcW w:w="464" w:type="pct"/>
            <w:vAlign w:val="bottom"/>
          </w:tcPr>
          <w:p w14:paraId="710E6760" w14:textId="77777777" w:rsidR="00E96B29" w:rsidRPr="00027624" w:rsidRDefault="00E96B29" w:rsidP="00E96B29">
            <w:pPr>
              <w:pStyle w:val="TableTextCentered"/>
              <w:rPr>
                <w:szCs w:val="18"/>
              </w:rPr>
            </w:pPr>
            <w:r w:rsidRPr="00027624">
              <w:rPr>
                <w:szCs w:val="18"/>
              </w:rPr>
              <w:t>62.9</w:t>
            </w:r>
          </w:p>
        </w:tc>
        <w:tc>
          <w:tcPr>
            <w:tcW w:w="550" w:type="pct"/>
            <w:vAlign w:val="bottom"/>
          </w:tcPr>
          <w:p w14:paraId="50A0B128" w14:textId="77777777" w:rsidR="00E96B29" w:rsidRPr="00027624" w:rsidRDefault="00E96B29" w:rsidP="00E96B29">
            <w:pPr>
              <w:pStyle w:val="TableTextCentered"/>
              <w:rPr>
                <w:szCs w:val="18"/>
              </w:rPr>
            </w:pPr>
            <w:r w:rsidRPr="00027624">
              <w:rPr>
                <w:szCs w:val="18"/>
              </w:rPr>
              <w:t>52.0</w:t>
            </w:r>
          </w:p>
        </w:tc>
      </w:tr>
      <w:tr w:rsidR="00E96B29" w:rsidRPr="00027624" w14:paraId="6D58662C" w14:textId="77777777" w:rsidTr="00E96B29">
        <w:trPr>
          <w:trHeight w:val="270"/>
        </w:trPr>
        <w:tc>
          <w:tcPr>
            <w:tcW w:w="741" w:type="pct"/>
            <w:vAlign w:val="bottom"/>
          </w:tcPr>
          <w:p w14:paraId="3AFE54A7" w14:textId="77777777" w:rsidR="00E96B29" w:rsidRPr="00027624" w:rsidRDefault="00E96B29" w:rsidP="00E96B29">
            <w:pPr>
              <w:pStyle w:val="TableTextLeft"/>
              <w:rPr>
                <w:szCs w:val="18"/>
              </w:rPr>
            </w:pPr>
            <w:r w:rsidRPr="00027624">
              <w:rPr>
                <w:bCs/>
                <w:szCs w:val="18"/>
              </w:rPr>
              <w:t>98</w:t>
            </w:r>
          </w:p>
        </w:tc>
        <w:tc>
          <w:tcPr>
            <w:tcW w:w="446" w:type="pct"/>
            <w:vAlign w:val="bottom"/>
          </w:tcPr>
          <w:p w14:paraId="4A025D9D" w14:textId="77777777" w:rsidR="00E96B29" w:rsidRPr="00027624" w:rsidRDefault="00E96B29" w:rsidP="00E96B29">
            <w:pPr>
              <w:pStyle w:val="TableTextCentered"/>
              <w:rPr>
                <w:szCs w:val="18"/>
              </w:rPr>
            </w:pPr>
          </w:p>
        </w:tc>
        <w:tc>
          <w:tcPr>
            <w:tcW w:w="467" w:type="pct"/>
            <w:vAlign w:val="bottom"/>
          </w:tcPr>
          <w:p w14:paraId="57CE2CCC" w14:textId="77777777" w:rsidR="00E96B29" w:rsidRPr="00027624" w:rsidRDefault="00E96B29" w:rsidP="00E96B29">
            <w:pPr>
              <w:pStyle w:val="TableTextCentered"/>
              <w:rPr>
                <w:szCs w:val="18"/>
              </w:rPr>
            </w:pPr>
          </w:p>
        </w:tc>
        <w:tc>
          <w:tcPr>
            <w:tcW w:w="467" w:type="pct"/>
            <w:vAlign w:val="bottom"/>
          </w:tcPr>
          <w:p w14:paraId="1B996301" w14:textId="77777777" w:rsidR="00E96B29" w:rsidRPr="00027624" w:rsidRDefault="00E96B29" w:rsidP="00E96B29">
            <w:pPr>
              <w:pStyle w:val="TableTextCentered"/>
              <w:rPr>
                <w:szCs w:val="18"/>
              </w:rPr>
            </w:pPr>
          </w:p>
        </w:tc>
        <w:tc>
          <w:tcPr>
            <w:tcW w:w="467" w:type="pct"/>
            <w:vAlign w:val="bottom"/>
          </w:tcPr>
          <w:p w14:paraId="6677EF7C" w14:textId="77777777" w:rsidR="00E96B29" w:rsidRPr="00027624" w:rsidRDefault="00E96B29" w:rsidP="00E96B29">
            <w:pPr>
              <w:pStyle w:val="TableTextCentered"/>
              <w:rPr>
                <w:szCs w:val="18"/>
              </w:rPr>
            </w:pPr>
          </w:p>
        </w:tc>
        <w:tc>
          <w:tcPr>
            <w:tcW w:w="467" w:type="pct"/>
            <w:vAlign w:val="bottom"/>
          </w:tcPr>
          <w:p w14:paraId="222B44E3" w14:textId="77777777" w:rsidR="00E96B29" w:rsidRPr="00027624" w:rsidRDefault="00E96B29" w:rsidP="00E96B29">
            <w:pPr>
              <w:pStyle w:val="TableTextCentered"/>
              <w:rPr>
                <w:szCs w:val="18"/>
              </w:rPr>
            </w:pPr>
          </w:p>
        </w:tc>
        <w:tc>
          <w:tcPr>
            <w:tcW w:w="467" w:type="pct"/>
            <w:vAlign w:val="bottom"/>
          </w:tcPr>
          <w:p w14:paraId="70FE6DF6" w14:textId="77777777" w:rsidR="00E96B29" w:rsidRPr="00027624" w:rsidRDefault="00E96B29" w:rsidP="00E96B29">
            <w:pPr>
              <w:pStyle w:val="TableTextCentered"/>
              <w:rPr>
                <w:szCs w:val="18"/>
              </w:rPr>
            </w:pPr>
          </w:p>
        </w:tc>
        <w:tc>
          <w:tcPr>
            <w:tcW w:w="464" w:type="pct"/>
            <w:vAlign w:val="bottom"/>
          </w:tcPr>
          <w:p w14:paraId="6BCD6ABA" w14:textId="77777777" w:rsidR="00E96B29" w:rsidRPr="00027624" w:rsidRDefault="00E96B29" w:rsidP="00E96B29">
            <w:pPr>
              <w:pStyle w:val="TableTextCentered"/>
              <w:rPr>
                <w:szCs w:val="18"/>
              </w:rPr>
            </w:pPr>
          </w:p>
        </w:tc>
        <w:tc>
          <w:tcPr>
            <w:tcW w:w="464" w:type="pct"/>
            <w:vAlign w:val="bottom"/>
          </w:tcPr>
          <w:p w14:paraId="42846538" w14:textId="77777777" w:rsidR="00E96B29" w:rsidRPr="00027624" w:rsidRDefault="00E96B29" w:rsidP="00E96B29">
            <w:pPr>
              <w:pStyle w:val="TableTextCentered"/>
              <w:rPr>
                <w:szCs w:val="18"/>
              </w:rPr>
            </w:pPr>
            <w:r w:rsidRPr="00027624">
              <w:rPr>
                <w:szCs w:val="18"/>
              </w:rPr>
              <w:t>100.0</w:t>
            </w:r>
          </w:p>
        </w:tc>
        <w:tc>
          <w:tcPr>
            <w:tcW w:w="550" w:type="pct"/>
            <w:vAlign w:val="bottom"/>
          </w:tcPr>
          <w:p w14:paraId="6C2BF4BA" w14:textId="77777777" w:rsidR="00E96B29" w:rsidRPr="00027624" w:rsidRDefault="00E96B29" w:rsidP="00E96B29">
            <w:pPr>
              <w:pStyle w:val="TableTextCentered"/>
              <w:rPr>
                <w:szCs w:val="18"/>
              </w:rPr>
            </w:pPr>
            <w:r w:rsidRPr="00027624">
              <w:rPr>
                <w:szCs w:val="18"/>
              </w:rPr>
              <w:t>100.0</w:t>
            </w:r>
          </w:p>
        </w:tc>
      </w:tr>
    </w:tbl>
    <w:p w14:paraId="7354A7AF" w14:textId="77777777" w:rsidR="00E96B29" w:rsidRPr="00027624" w:rsidRDefault="00E96B29" w:rsidP="00E96B29">
      <w:pPr>
        <w:pStyle w:val="Caption"/>
        <w:spacing w:after="240"/>
        <w:rPr>
          <w:i w:val="0"/>
          <w:color w:val="auto"/>
        </w:rPr>
      </w:pPr>
      <w:r w:rsidRPr="00027624">
        <w:rPr>
          <w:i w:val="0"/>
          <w:color w:val="auto"/>
        </w:rPr>
        <w:t>Note: Drawdown rates by age and income percentile are based on net wealth at retirement. Net wealth is wage deflated and in 2019</w:t>
      </w:r>
      <w:r w:rsidR="00A8443E" w:rsidRPr="00027624">
        <w:rPr>
          <w:i w:val="0"/>
          <w:color w:val="auto"/>
        </w:rPr>
        <w:noBreakHyphen/>
      </w:r>
      <w:r w:rsidRPr="00027624">
        <w:rPr>
          <w:i w:val="0"/>
          <w:color w:val="auto"/>
        </w:rPr>
        <w:t>20 dollars, denominated in thousands and rounded to the nearest $5,000. Rates may fall below minimum drawdown rates by age in early retirement years. The review models the maximum of minimum drawdown rates and efficient drawdown rates by year. Income percentiles 95 and 99 are assumed to draw down at the same rate as the 90</w:t>
      </w:r>
      <w:r w:rsidRPr="00027624">
        <w:rPr>
          <w:i w:val="0"/>
          <w:color w:val="auto"/>
          <w:vertAlign w:val="superscript"/>
        </w:rPr>
        <w:t>th</w:t>
      </w:r>
      <w:r w:rsidRPr="00027624">
        <w:rPr>
          <w:i w:val="0"/>
          <w:color w:val="auto"/>
        </w:rPr>
        <w:t xml:space="preserve"> percentile. Drawdown rates are designed for individuals retiring in 2060 based on current </w:t>
      </w:r>
      <w:r w:rsidRPr="00027624" w:rsidDel="0068007C">
        <w:rPr>
          <w:i w:val="0"/>
          <w:color w:val="auto"/>
        </w:rPr>
        <w:t>Age</w:t>
      </w:r>
      <w:r w:rsidRPr="00027624">
        <w:rPr>
          <w:i w:val="0"/>
          <w:color w:val="auto"/>
        </w:rPr>
        <w:t xml:space="preserve"> Pension rates and thresholds in those years. Age Pension thresholds are indexed to CPI. </w:t>
      </w:r>
      <w:r w:rsidRPr="00027624">
        <w:rPr>
          <w:i w:val="0"/>
          <w:color w:val="auto"/>
          <w:szCs w:val="20"/>
        </w:rPr>
        <w:t>Source: Cameo modelling undertaken for the review.</w:t>
      </w:r>
    </w:p>
    <w:p w14:paraId="11B1CE9A" w14:textId="77777777" w:rsidR="00E96B29" w:rsidRPr="00027624" w:rsidRDefault="00E96B29" w:rsidP="00E96B29">
      <w:pPr>
        <w:pStyle w:val="TableMainHeading"/>
      </w:pPr>
      <w:bookmarkStart w:id="4274" w:name="_Ref39140513"/>
      <w:r w:rsidRPr="00027624">
        <w:t>Couple drawdown rates by income percentile</w:t>
      </w:r>
      <w:bookmarkEnd w:id="4274"/>
    </w:p>
    <w:tbl>
      <w:tblPr>
        <w:tblW w:w="5000" w:type="pct"/>
        <w:tblLook w:val="01E0" w:firstRow="1" w:lastRow="1" w:firstColumn="1" w:lastColumn="1" w:noHBand="0" w:noVBand="0"/>
      </w:tblPr>
      <w:tblGrid>
        <w:gridCol w:w="1388"/>
        <w:gridCol w:w="843"/>
        <w:gridCol w:w="844"/>
        <w:gridCol w:w="844"/>
        <w:gridCol w:w="848"/>
        <w:gridCol w:w="844"/>
        <w:gridCol w:w="844"/>
        <w:gridCol w:w="839"/>
        <w:gridCol w:w="839"/>
        <w:gridCol w:w="937"/>
      </w:tblGrid>
      <w:tr w:rsidR="00E96B29" w:rsidRPr="00027624" w14:paraId="77FD37AC" w14:textId="77777777" w:rsidTr="00E96B29">
        <w:trPr>
          <w:trHeight w:val="270"/>
          <w:tblHeader/>
        </w:trPr>
        <w:tc>
          <w:tcPr>
            <w:tcW w:w="750" w:type="pct"/>
            <w:shd w:val="clear" w:color="auto" w:fill="E5E5E5"/>
          </w:tcPr>
          <w:p w14:paraId="6D4F9E51" w14:textId="77777777" w:rsidR="00E96B29" w:rsidRPr="00027624" w:rsidRDefault="00E96B29" w:rsidP="00E96B29">
            <w:pPr>
              <w:pStyle w:val="TableColumnHeadingLeft"/>
            </w:pPr>
            <w:r w:rsidRPr="00027624">
              <w:t>Percentile</w:t>
            </w:r>
          </w:p>
        </w:tc>
        <w:tc>
          <w:tcPr>
            <w:tcW w:w="467" w:type="pct"/>
            <w:shd w:val="clear" w:color="auto" w:fill="E5E5E5"/>
          </w:tcPr>
          <w:p w14:paraId="2279885B" w14:textId="77777777" w:rsidR="00E96B29" w:rsidRPr="00027624" w:rsidRDefault="00E96B29" w:rsidP="00E96B29">
            <w:pPr>
              <w:pStyle w:val="TableColumnHeadingCentred"/>
            </w:pPr>
            <w:r w:rsidRPr="00027624">
              <w:t>10</w:t>
            </w:r>
            <w:r w:rsidRPr="00027624">
              <w:rPr>
                <w:vertAlign w:val="superscript"/>
              </w:rPr>
              <w:t>th</w:t>
            </w:r>
          </w:p>
        </w:tc>
        <w:tc>
          <w:tcPr>
            <w:tcW w:w="467" w:type="pct"/>
            <w:shd w:val="clear" w:color="auto" w:fill="E5E5E5"/>
          </w:tcPr>
          <w:p w14:paraId="2B70D983" w14:textId="77777777" w:rsidR="00E96B29" w:rsidRPr="00027624" w:rsidRDefault="00E96B29" w:rsidP="00E96B29">
            <w:pPr>
              <w:pStyle w:val="TableColumnHeadingCentred"/>
            </w:pPr>
            <w:r w:rsidRPr="00027624">
              <w:t>20</w:t>
            </w:r>
            <w:r w:rsidRPr="00027624">
              <w:rPr>
                <w:vertAlign w:val="superscript"/>
              </w:rPr>
              <w:t>th</w:t>
            </w:r>
          </w:p>
        </w:tc>
        <w:tc>
          <w:tcPr>
            <w:tcW w:w="467" w:type="pct"/>
            <w:shd w:val="clear" w:color="auto" w:fill="E5E5E5"/>
          </w:tcPr>
          <w:p w14:paraId="235530E3" w14:textId="77777777" w:rsidR="00E96B29" w:rsidRPr="00027624" w:rsidRDefault="00E96B29" w:rsidP="00E96B29">
            <w:pPr>
              <w:pStyle w:val="TableColumnHeadingCentred"/>
            </w:pPr>
            <w:r w:rsidRPr="00027624">
              <w:t>30</w:t>
            </w:r>
            <w:r w:rsidRPr="00027624">
              <w:rPr>
                <w:vertAlign w:val="superscript"/>
              </w:rPr>
              <w:t>th</w:t>
            </w:r>
          </w:p>
        </w:tc>
        <w:tc>
          <w:tcPr>
            <w:tcW w:w="469" w:type="pct"/>
            <w:shd w:val="clear" w:color="auto" w:fill="E5E5E5"/>
          </w:tcPr>
          <w:p w14:paraId="16413415" w14:textId="77777777" w:rsidR="00E96B29" w:rsidRPr="00027624" w:rsidRDefault="00E96B29" w:rsidP="00E96B29">
            <w:pPr>
              <w:pStyle w:val="TableColumnHeadingCentred"/>
            </w:pPr>
            <w:r w:rsidRPr="00027624">
              <w:t>40</w:t>
            </w:r>
            <w:r w:rsidRPr="00027624">
              <w:rPr>
                <w:vertAlign w:val="superscript"/>
              </w:rPr>
              <w:t>th</w:t>
            </w:r>
          </w:p>
        </w:tc>
        <w:tc>
          <w:tcPr>
            <w:tcW w:w="467" w:type="pct"/>
            <w:shd w:val="clear" w:color="auto" w:fill="E5E5E5"/>
          </w:tcPr>
          <w:p w14:paraId="5E77C545" w14:textId="77777777" w:rsidR="00E96B29" w:rsidRPr="00027624" w:rsidRDefault="00E96B29" w:rsidP="00E96B29">
            <w:pPr>
              <w:pStyle w:val="TableColumnHeadingCentred"/>
            </w:pPr>
            <w:r w:rsidRPr="00027624">
              <w:t>50</w:t>
            </w:r>
            <w:r w:rsidRPr="00027624">
              <w:rPr>
                <w:vertAlign w:val="superscript"/>
              </w:rPr>
              <w:t>th</w:t>
            </w:r>
          </w:p>
        </w:tc>
        <w:tc>
          <w:tcPr>
            <w:tcW w:w="467" w:type="pct"/>
            <w:shd w:val="clear" w:color="auto" w:fill="E5E5E5"/>
          </w:tcPr>
          <w:p w14:paraId="33D7D863" w14:textId="77777777" w:rsidR="00E96B29" w:rsidRPr="00027624" w:rsidRDefault="00E96B29" w:rsidP="00E96B29">
            <w:pPr>
              <w:pStyle w:val="TableColumnHeadingCentred"/>
            </w:pPr>
            <w:r w:rsidRPr="00027624">
              <w:t>60</w:t>
            </w:r>
            <w:r w:rsidRPr="00027624">
              <w:rPr>
                <w:vertAlign w:val="superscript"/>
              </w:rPr>
              <w:t>th</w:t>
            </w:r>
          </w:p>
        </w:tc>
        <w:tc>
          <w:tcPr>
            <w:tcW w:w="464" w:type="pct"/>
            <w:shd w:val="clear" w:color="auto" w:fill="E5E5E5"/>
          </w:tcPr>
          <w:p w14:paraId="7A950C27" w14:textId="77777777" w:rsidR="00E96B29" w:rsidRPr="00027624" w:rsidRDefault="00E96B29" w:rsidP="00E96B29">
            <w:pPr>
              <w:pStyle w:val="TableColumnHeadingCentred"/>
            </w:pPr>
            <w:r w:rsidRPr="00027624">
              <w:t>70</w:t>
            </w:r>
            <w:r w:rsidRPr="00027624">
              <w:rPr>
                <w:vertAlign w:val="superscript"/>
              </w:rPr>
              <w:t>th</w:t>
            </w:r>
          </w:p>
        </w:tc>
        <w:tc>
          <w:tcPr>
            <w:tcW w:w="464" w:type="pct"/>
            <w:shd w:val="clear" w:color="auto" w:fill="E5E5E5"/>
          </w:tcPr>
          <w:p w14:paraId="43002B3B" w14:textId="77777777" w:rsidR="00E96B29" w:rsidRPr="00027624" w:rsidRDefault="00E96B29" w:rsidP="00E96B29">
            <w:pPr>
              <w:pStyle w:val="TableColumnHeadingCentred"/>
            </w:pPr>
            <w:r w:rsidRPr="00027624">
              <w:t>80</w:t>
            </w:r>
            <w:r w:rsidRPr="00027624">
              <w:rPr>
                <w:vertAlign w:val="superscript"/>
              </w:rPr>
              <w:t>th</w:t>
            </w:r>
          </w:p>
        </w:tc>
        <w:tc>
          <w:tcPr>
            <w:tcW w:w="518" w:type="pct"/>
            <w:shd w:val="clear" w:color="auto" w:fill="E5E5E5"/>
          </w:tcPr>
          <w:p w14:paraId="78874208" w14:textId="77777777" w:rsidR="00E96B29" w:rsidRPr="00027624" w:rsidRDefault="00E96B29" w:rsidP="00E96B29">
            <w:pPr>
              <w:pStyle w:val="TableColumnHeadingCentred"/>
            </w:pPr>
            <w:r w:rsidRPr="00027624">
              <w:t>90</w:t>
            </w:r>
            <w:r w:rsidRPr="00027624">
              <w:rPr>
                <w:vertAlign w:val="superscript"/>
              </w:rPr>
              <w:t>th</w:t>
            </w:r>
          </w:p>
        </w:tc>
      </w:tr>
      <w:tr w:rsidR="00E96B29" w:rsidRPr="00027624" w14:paraId="7CA905C3" w14:textId="77777777" w:rsidTr="00E96B29">
        <w:trPr>
          <w:trHeight w:val="270"/>
        </w:trPr>
        <w:tc>
          <w:tcPr>
            <w:tcW w:w="2619" w:type="pct"/>
            <w:gridSpan w:val="5"/>
            <w:shd w:val="clear" w:color="auto" w:fill="E5E5E5"/>
            <w:vAlign w:val="bottom"/>
          </w:tcPr>
          <w:p w14:paraId="484DAA9C" w14:textId="77777777" w:rsidR="00E96B29" w:rsidRPr="00027624" w:rsidRDefault="00E96B29" w:rsidP="00E96B29">
            <w:pPr>
              <w:pStyle w:val="TableColumnHeadingLeft"/>
              <w:rPr>
                <w:szCs w:val="18"/>
              </w:rPr>
            </w:pPr>
            <w:r w:rsidRPr="00027624">
              <w:t>Assets at retirement ($</w:t>
            </w:r>
            <w:r w:rsidR="00A8443E" w:rsidRPr="00027624">
              <w:t>’</w:t>
            </w:r>
            <w:r w:rsidRPr="00027624">
              <w:t>000s)</w:t>
            </w:r>
          </w:p>
        </w:tc>
        <w:tc>
          <w:tcPr>
            <w:tcW w:w="467" w:type="pct"/>
            <w:shd w:val="clear" w:color="auto" w:fill="E5E5E5"/>
            <w:vAlign w:val="bottom"/>
          </w:tcPr>
          <w:p w14:paraId="6696F684" w14:textId="77777777" w:rsidR="00E96B29" w:rsidRPr="00027624" w:rsidRDefault="00E96B29" w:rsidP="00E96B29">
            <w:pPr>
              <w:pStyle w:val="TableColumnHeadingCentred"/>
              <w:rPr>
                <w:szCs w:val="18"/>
              </w:rPr>
            </w:pPr>
          </w:p>
        </w:tc>
        <w:tc>
          <w:tcPr>
            <w:tcW w:w="467" w:type="pct"/>
            <w:shd w:val="clear" w:color="auto" w:fill="E5E5E5"/>
            <w:vAlign w:val="bottom"/>
          </w:tcPr>
          <w:p w14:paraId="487C099C" w14:textId="77777777" w:rsidR="00E96B29" w:rsidRPr="00027624" w:rsidRDefault="00E96B29" w:rsidP="00E96B29">
            <w:pPr>
              <w:pStyle w:val="TableColumnHeadingCentred"/>
              <w:rPr>
                <w:szCs w:val="18"/>
              </w:rPr>
            </w:pPr>
          </w:p>
        </w:tc>
        <w:tc>
          <w:tcPr>
            <w:tcW w:w="464" w:type="pct"/>
            <w:shd w:val="clear" w:color="auto" w:fill="E5E5E5"/>
            <w:vAlign w:val="bottom"/>
          </w:tcPr>
          <w:p w14:paraId="59896F7A" w14:textId="77777777" w:rsidR="00E96B29" w:rsidRPr="00027624" w:rsidRDefault="00E96B29" w:rsidP="00E96B29">
            <w:pPr>
              <w:pStyle w:val="TableColumnHeadingCentred"/>
              <w:rPr>
                <w:szCs w:val="18"/>
              </w:rPr>
            </w:pPr>
          </w:p>
        </w:tc>
        <w:tc>
          <w:tcPr>
            <w:tcW w:w="464" w:type="pct"/>
            <w:shd w:val="clear" w:color="auto" w:fill="E5E5E5"/>
            <w:vAlign w:val="bottom"/>
          </w:tcPr>
          <w:p w14:paraId="088671F1" w14:textId="77777777" w:rsidR="00E96B29" w:rsidRPr="00027624" w:rsidRDefault="00E96B29" w:rsidP="00E96B29">
            <w:pPr>
              <w:pStyle w:val="TableColumnHeadingCentred"/>
              <w:rPr>
                <w:szCs w:val="18"/>
              </w:rPr>
            </w:pPr>
          </w:p>
        </w:tc>
        <w:tc>
          <w:tcPr>
            <w:tcW w:w="518" w:type="pct"/>
            <w:shd w:val="clear" w:color="auto" w:fill="E5E5E5"/>
            <w:vAlign w:val="bottom"/>
          </w:tcPr>
          <w:p w14:paraId="28CDDD21" w14:textId="77777777" w:rsidR="00E96B29" w:rsidRPr="00027624" w:rsidRDefault="00E96B29" w:rsidP="00E96B29">
            <w:pPr>
              <w:pStyle w:val="TableColumnHeadingCentred"/>
              <w:rPr>
                <w:szCs w:val="18"/>
              </w:rPr>
            </w:pPr>
          </w:p>
        </w:tc>
      </w:tr>
      <w:tr w:rsidR="00E96B29" w:rsidRPr="00027624" w14:paraId="44D2EB7E" w14:textId="77777777" w:rsidTr="00E96B29">
        <w:trPr>
          <w:trHeight w:val="270"/>
        </w:trPr>
        <w:tc>
          <w:tcPr>
            <w:tcW w:w="750" w:type="pct"/>
            <w:shd w:val="clear" w:color="auto" w:fill="auto"/>
            <w:vAlign w:val="bottom"/>
          </w:tcPr>
          <w:p w14:paraId="7B4F14AE" w14:textId="77777777" w:rsidR="00E96B29" w:rsidRPr="00027624" w:rsidRDefault="00E96B29" w:rsidP="00E96B29">
            <w:pPr>
              <w:pStyle w:val="TableTextLeft"/>
              <w:rPr>
                <w:szCs w:val="18"/>
              </w:rPr>
            </w:pPr>
            <w:r w:rsidRPr="00027624">
              <w:rPr>
                <w:bCs/>
                <w:szCs w:val="18"/>
              </w:rPr>
              <w:t>Superannuation</w:t>
            </w:r>
          </w:p>
        </w:tc>
        <w:tc>
          <w:tcPr>
            <w:tcW w:w="467" w:type="pct"/>
            <w:shd w:val="clear" w:color="auto" w:fill="auto"/>
            <w:vAlign w:val="bottom"/>
          </w:tcPr>
          <w:p w14:paraId="23D94761" w14:textId="77777777" w:rsidR="00E96B29" w:rsidRPr="00027624" w:rsidRDefault="00E96B29" w:rsidP="00E96B29">
            <w:pPr>
              <w:pStyle w:val="TableTextCentered"/>
              <w:rPr>
                <w:b/>
                <w:szCs w:val="18"/>
              </w:rPr>
            </w:pPr>
            <w:r w:rsidRPr="00027624">
              <w:rPr>
                <w:szCs w:val="18"/>
              </w:rPr>
              <w:t>295</w:t>
            </w:r>
          </w:p>
        </w:tc>
        <w:tc>
          <w:tcPr>
            <w:tcW w:w="467" w:type="pct"/>
            <w:shd w:val="clear" w:color="auto" w:fill="auto"/>
            <w:vAlign w:val="bottom"/>
          </w:tcPr>
          <w:p w14:paraId="61942AEE" w14:textId="77777777" w:rsidR="00E96B29" w:rsidRPr="00027624" w:rsidRDefault="00E96B29" w:rsidP="00E96B29">
            <w:pPr>
              <w:pStyle w:val="TableTextCentered"/>
              <w:rPr>
                <w:b/>
                <w:szCs w:val="18"/>
              </w:rPr>
            </w:pPr>
            <w:r w:rsidRPr="00027624">
              <w:rPr>
                <w:szCs w:val="18"/>
              </w:rPr>
              <w:t>500</w:t>
            </w:r>
          </w:p>
        </w:tc>
        <w:tc>
          <w:tcPr>
            <w:tcW w:w="467" w:type="pct"/>
            <w:shd w:val="clear" w:color="auto" w:fill="auto"/>
            <w:vAlign w:val="bottom"/>
          </w:tcPr>
          <w:p w14:paraId="0C3FCC5F" w14:textId="77777777" w:rsidR="00E96B29" w:rsidRPr="00027624" w:rsidRDefault="00E96B29" w:rsidP="00E96B29">
            <w:pPr>
              <w:pStyle w:val="TableTextCentered"/>
              <w:rPr>
                <w:b/>
                <w:szCs w:val="18"/>
              </w:rPr>
            </w:pPr>
            <w:r w:rsidRPr="00027624">
              <w:rPr>
                <w:szCs w:val="18"/>
              </w:rPr>
              <w:t>655</w:t>
            </w:r>
          </w:p>
        </w:tc>
        <w:tc>
          <w:tcPr>
            <w:tcW w:w="469" w:type="pct"/>
            <w:shd w:val="clear" w:color="auto" w:fill="auto"/>
            <w:vAlign w:val="bottom"/>
          </w:tcPr>
          <w:p w14:paraId="06901F2C" w14:textId="77777777" w:rsidR="00E96B29" w:rsidRPr="00027624" w:rsidRDefault="00E96B29" w:rsidP="00E96B29">
            <w:pPr>
              <w:pStyle w:val="TableTextCentered"/>
              <w:rPr>
                <w:b/>
                <w:szCs w:val="18"/>
              </w:rPr>
            </w:pPr>
            <w:r w:rsidRPr="00027624">
              <w:rPr>
                <w:szCs w:val="18"/>
              </w:rPr>
              <w:t>780</w:t>
            </w:r>
          </w:p>
        </w:tc>
        <w:tc>
          <w:tcPr>
            <w:tcW w:w="467" w:type="pct"/>
            <w:shd w:val="clear" w:color="auto" w:fill="auto"/>
            <w:vAlign w:val="bottom"/>
          </w:tcPr>
          <w:p w14:paraId="62089979" w14:textId="77777777" w:rsidR="00E96B29" w:rsidRPr="00027624" w:rsidRDefault="00E96B29" w:rsidP="00E96B29">
            <w:pPr>
              <w:pStyle w:val="TableTextCentered"/>
              <w:rPr>
                <w:b/>
                <w:szCs w:val="18"/>
              </w:rPr>
            </w:pPr>
            <w:r w:rsidRPr="00027624">
              <w:rPr>
                <w:szCs w:val="18"/>
              </w:rPr>
              <w:t>920</w:t>
            </w:r>
          </w:p>
        </w:tc>
        <w:tc>
          <w:tcPr>
            <w:tcW w:w="467" w:type="pct"/>
            <w:shd w:val="clear" w:color="auto" w:fill="auto"/>
            <w:vAlign w:val="bottom"/>
          </w:tcPr>
          <w:p w14:paraId="7EF4A386" w14:textId="77777777" w:rsidR="00E96B29" w:rsidRPr="00027624" w:rsidRDefault="00E96B29" w:rsidP="00E96B29">
            <w:pPr>
              <w:pStyle w:val="TableTextCentered"/>
              <w:rPr>
                <w:b/>
                <w:szCs w:val="18"/>
              </w:rPr>
            </w:pPr>
            <w:r w:rsidRPr="00027624">
              <w:rPr>
                <w:szCs w:val="18"/>
              </w:rPr>
              <w:t>1,075</w:t>
            </w:r>
          </w:p>
        </w:tc>
        <w:tc>
          <w:tcPr>
            <w:tcW w:w="464" w:type="pct"/>
            <w:shd w:val="clear" w:color="auto" w:fill="auto"/>
            <w:vAlign w:val="bottom"/>
          </w:tcPr>
          <w:p w14:paraId="0A325374" w14:textId="77777777" w:rsidR="00E96B29" w:rsidRPr="00027624" w:rsidRDefault="00E96B29" w:rsidP="00E96B29">
            <w:pPr>
              <w:pStyle w:val="TableTextCentered"/>
              <w:rPr>
                <w:b/>
                <w:szCs w:val="18"/>
              </w:rPr>
            </w:pPr>
            <w:r w:rsidRPr="00027624">
              <w:rPr>
                <w:szCs w:val="18"/>
              </w:rPr>
              <w:t>1,250</w:t>
            </w:r>
          </w:p>
        </w:tc>
        <w:tc>
          <w:tcPr>
            <w:tcW w:w="464" w:type="pct"/>
            <w:shd w:val="clear" w:color="auto" w:fill="auto"/>
            <w:vAlign w:val="bottom"/>
          </w:tcPr>
          <w:p w14:paraId="47B841B6" w14:textId="77777777" w:rsidR="00E96B29" w:rsidRPr="00027624" w:rsidRDefault="00E96B29" w:rsidP="00E96B29">
            <w:pPr>
              <w:pStyle w:val="TableTextCentered"/>
              <w:rPr>
                <w:b/>
                <w:szCs w:val="18"/>
              </w:rPr>
            </w:pPr>
            <w:r w:rsidRPr="00027624">
              <w:rPr>
                <w:szCs w:val="18"/>
              </w:rPr>
              <w:t>1,485</w:t>
            </w:r>
          </w:p>
        </w:tc>
        <w:tc>
          <w:tcPr>
            <w:tcW w:w="518" w:type="pct"/>
            <w:shd w:val="clear" w:color="auto" w:fill="auto"/>
            <w:vAlign w:val="bottom"/>
          </w:tcPr>
          <w:p w14:paraId="02BDC248" w14:textId="77777777" w:rsidR="00E96B29" w:rsidRPr="00027624" w:rsidRDefault="00E96B29" w:rsidP="00E96B29">
            <w:pPr>
              <w:pStyle w:val="TableTextCentered"/>
              <w:rPr>
                <w:b/>
                <w:szCs w:val="18"/>
              </w:rPr>
            </w:pPr>
            <w:r w:rsidRPr="00027624">
              <w:rPr>
                <w:szCs w:val="18"/>
              </w:rPr>
              <w:t>1,700</w:t>
            </w:r>
          </w:p>
        </w:tc>
      </w:tr>
      <w:tr w:rsidR="00E96B29" w:rsidRPr="00027624" w14:paraId="61E3C451" w14:textId="77777777" w:rsidTr="00E96B29">
        <w:trPr>
          <w:trHeight w:val="270"/>
        </w:trPr>
        <w:tc>
          <w:tcPr>
            <w:tcW w:w="750" w:type="pct"/>
            <w:shd w:val="clear" w:color="auto" w:fill="auto"/>
            <w:vAlign w:val="bottom"/>
          </w:tcPr>
          <w:p w14:paraId="6AA12879" w14:textId="77777777" w:rsidR="00E96B29" w:rsidRPr="00027624" w:rsidRDefault="00E96B29" w:rsidP="00E96B29">
            <w:pPr>
              <w:pStyle w:val="TableTextLeft"/>
              <w:rPr>
                <w:bCs/>
                <w:szCs w:val="18"/>
              </w:rPr>
            </w:pPr>
            <w:r w:rsidRPr="00027624">
              <w:rPr>
                <w:bCs/>
                <w:szCs w:val="18"/>
              </w:rPr>
              <w:t xml:space="preserve">Other assets </w:t>
            </w:r>
          </w:p>
        </w:tc>
        <w:tc>
          <w:tcPr>
            <w:tcW w:w="467" w:type="pct"/>
            <w:shd w:val="clear" w:color="auto" w:fill="auto"/>
            <w:vAlign w:val="bottom"/>
          </w:tcPr>
          <w:p w14:paraId="439AA9C9" w14:textId="77777777" w:rsidR="00E96B29" w:rsidRPr="00027624" w:rsidRDefault="00E96B29" w:rsidP="00E96B29">
            <w:pPr>
              <w:pStyle w:val="TableTextCentered"/>
              <w:rPr>
                <w:b/>
                <w:szCs w:val="18"/>
              </w:rPr>
            </w:pPr>
            <w:r w:rsidRPr="00027624">
              <w:rPr>
                <w:szCs w:val="18"/>
              </w:rPr>
              <w:t>10</w:t>
            </w:r>
          </w:p>
        </w:tc>
        <w:tc>
          <w:tcPr>
            <w:tcW w:w="467" w:type="pct"/>
            <w:shd w:val="clear" w:color="auto" w:fill="auto"/>
            <w:vAlign w:val="bottom"/>
          </w:tcPr>
          <w:p w14:paraId="1F705937" w14:textId="77777777" w:rsidR="00E96B29" w:rsidRPr="00027624" w:rsidRDefault="00E96B29" w:rsidP="00E96B29">
            <w:pPr>
              <w:pStyle w:val="TableTextCentered"/>
              <w:rPr>
                <w:b/>
                <w:szCs w:val="18"/>
              </w:rPr>
            </w:pPr>
            <w:r w:rsidRPr="00027624">
              <w:rPr>
                <w:szCs w:val="18"/>
              </w:rPr>
              <w:t>15</w:t>
            </w:r>
          </w:p>
        </w:tc>
        <w:tc>
          <w:tcPr>
            <w:tcW w:w="467" w:type="pct"/>
            <w:shd w:val="clear" w:color="auto" w:fill="auto"/>
            <w:vAlign w:val="bottom"/>
          </w:tcPr>
          <w:p w14:paraId="341B5A9D" w14:textId="77777777" w:rsidR="00E96B29" w:rsidRPr="00027624" w:rsidRDefault="00E96B29" w:rsidP="00E96B29">
            <w:pPr>
              <w:pStyle w:val="TableTextCentered"/>
              <w:rPr>
                <w:b/>
                <w:szCs w:val="18"/>
              </w:rPr>
            </w:pPr>
            <w:r w:rsidRPr="00027624">
              <w:rPr>
                <w:szCs w:val="18"/>
              </w:rPr>
              <w:t>30</w:t>
            </w:r>
          </w:p>
        </w:tc>
        <w:tc>
          <w:tcPr>
            <w:tcW w:w="469" w:type="pct"/>
            <w:shd w:val="clear" w:color="auto" w:fill="auto"/>
            <w:vAlign w:val="bottom"/>
          </w:tcPr>
          <w:p w14:paraId="18700564" w14:textId="77777777" w:rsidR="00E96B29" w:rsidRPr="00027624" w:rsidRDefault="00E96B29" w:rsidP="00E96B29">
            <w:pPr>
              <w:pStyle w:val="TableTextCentered"/>
              <w:rPr>
                <w:b/>
                <w:szCs w:val="18"/>
              </w:rPr>
            </w:pPr>
            <w:r w:rsidRPr="00027624">
              <w:rPr>
                <w:szCs w:val="18"/>
              </w:rPr>
              <w:t>30</w:t>
            </w:r>
          </w:p>
        </w:tc>
        <w:tc>
          <w:tcPr>
            <w:tcW w:w="467" w:type="pct"/>
            <w:shd w:val="clear" w:color="auto" w:fill="auto"/>
            <w:vAlign w:val="bottom"/>
          </w:tcPr>
          <w:p w14:paraId="1C8B8454" w14:textId="77777777" w:rsidR="00E96B29" w:rsidRPr="00027624" w:rsidRDefault="00E96B29" w:rsidP="00E96B29">
            <w:pPr>
              <w:pStyle w:val="TableTextCentered"/>
              <w:rPr>
                <w:b/>
                <w:szCs w:val="18"/>
              </w:rPr>
            </w:pPr>
            <w:r w:rsidRPr="00027624">
              <w:rPr>
                <w:szCs w:val="18"/>
              </w:rPr>
              <w:t>80</w:t>
            </w:r>
          </w:p>
        </w:tc>
        <w:tc>
          <w:tcPr>
            <w:tcW w:w="467" w:type="pct"/>
            <w:shd w:val="clear" w:color="auto" w:fill="auto"/>
            <w:vAlign w:val="bottom"/>
          </w:tcPr>
          <w:p w14:paraId="2F604A6E" w14:textId="77777777" w:rsidR="00E96B29" w:rsidRPr="00027624" w:rsidRDefault="00E96B29" w:rsidP="00E96B29">
            <w:pPr>
              <w:pStyle w:val="TableTextCentered"/>
              <w:rPr>
                <w:b/>
                <w:szCs w:val="18"/>
              </w:rPr>
            </w:pPr>
            <w:r w:rsidRPr="00027624">
              <w:rPr>
                <w:szCs w:val="18"/>
              </w:rPr>
              <w:t>120</w:t>
            </w:r>
          </w:p>
        </w:tc>
        <w:tc>
          <w:tcPr>
            <w:tcW w:w="464" w:type="pct"/>
            <w:shd w:val="clear" w:color="auto" w:fill="auto"/>
            <w:vAlign w:val="bottom"/>
          </w:tcPr>
          <w:p w14:paraId="1C14357B" w14:textId="77777777" w:rsidR="00E96B29" w:rsidRPr="00027624" w:rsidRDefault="00E96B29" w:rsidP="00E96B29">
            <w:pPr>
              <w:pStyle w:val="TableTextCentered"/>
              <w:rPr>
                <w:b/>
                <w:szCs w:val="18"/>
              </w:rPr>
            </w:pPr>
            <w:r w:rsidRPr="00027624">
              <w:rPr>
                <w:szCs w:val="18"/>
              </w:rPr>
              <w:t>275</w:t>
            </w:r>
          </w:p>
        </w:tc>
        <w:tc>
          <w:tcPr>
            <w:tcW w:w="464" w:type="pct"/>
            <w:shd w:val="clear" w:color="auto" w:fill="auto"/>
            <w:vAlign w:val="bottom"/>
          </w:tcPr>
          <w:p w14:paraId="4E546927" w14:textId="77777777" w:rsidR="00E96B29" w:rsidRPr="00027624" w:rsidRDefault="00E96B29" w:rsidP="00E96B29">
            <w:pPr>
              <w:pStyle w:val="TableTextCentered"/>
              <w:rPr>
                <w:b/>
                <w:szCs w:val="18"/>
              </w:rPr>
            </w:pPr>
            <w:r w:rsidRPr="00027624">
              <w:rPr>
                <w:szCs w:val="18"/>
              </w:rPr>
              <w:t>445</w:t>
            </w:r>
          </w:p>
        </w:tc>
        <w:tc>
          <w:tcPr>
            <w:tcW w:w="518" w:type="pct"/>
            <w:shd w:val="clear" w:color="auto" w:fill="auto"/>
            <w:vAlign w:val="bottom"/>
          </w:tcPr>
          <w:p w14:paraId="1752E339" w14:textId="77777777" w:rsidR="00E96B29" w:rsidRPr="00027624" w:rsidRDefault="00E96B29" w:rsidP="00E96B29">
            <w:pPr>
              <w:pStyle w:val="TableTextCentered"/>
              <w:rPr>
                <w:b/>
                <w:szCs w:val="18"/>
              </w:rPr>
            </w:pPr>
            <w:r w:rsidRPr="00027624">
              <w:rPr>
                <w:szCs w:val="18"/>
              </w:rPr>
              <w:t>1,170</w:t>
            </w:r>
          </w:p>
        </w:tc>
      </w:tr>
      <w:tr w:rsidR="00E96B29" w:rsidRPr="00027624" w14:paraId="63A34321" w14:textId="77777777" w:rsidTr="00E96B29">
        <w:trPr>
          <w:trHeight w:val="270"/>
        </w:trPr>
        <w:tc>
          <w:tcPr>
            <w:tcW w:w="2619" w:type="pct"/>
            <w:gridSpan w:val="5"/>
            <w:shd w:val="clear" w:color="auto" w:fill="EAEAEA" w:themeFill="accent6" w:themeFillTint="33"/>
            <w:vAlign w:val="bottom"/>
          </w:tcPr>
          <w:p w14:paraId="79EF439E" w14:textId="77777777" w:rsidR="00E96B29" w:rsidRPr="00027624" w:rsidRDefault="00E96B29" w:rsidP="00E96B29">
            <w:pPr>
              <w:pStyle w:val="TableColumnHeadingLeft"/>
              <w:rPr>
                <w:szCs w:val="18"/>
              </w:rPr>
            </w:pPr>
            <w:r w:rsidRPr="00027624">
              <w:t>Drawdown rates by age (per cent)</w:t>
            </w:r>
          </w:p>
        </w:tc>
        <w:tc>
          <w:tcPr>
            <w:tcW w:w="934" w:type="pct"/>
            <w:gridSpan w:val="2"/>
            <w:shd w:val="clear" w:color="auto" w:fill="EAEAEA" w:themeFill="accent6" w:themeFillTint="33"/>
            <w:vAlign w:val="bottom"/>
          </w:tcPr>
          <w:p w14:paraId="6B020FB0" w14:textId="77777777" w:rsidR="00E96B29" w:rsidRPr="00027624" w:rsidRDefault="00E96B29" w:rsidP="00E96B29">
            <w:pPr>
              <w:pStyle w:val="TableColumnHeadingCentred"/>
              <w:rPr>
                <w:szCs w:val="18"/>
              </w:rPr>
            </w:pPr>
          </w:p>
        </w:tc>
        <w:tc>
          <w:tcPr>
            <w:tcW w:w="464" w:type="pct"/>
            <w:shd w:val="clear" w:color="auto" w:fill="EAEAEA" w:themeFill="accent6" w:themeFillTint="33"/>
            <w:vAlign w:val="bottom"/>
          </w:tcPr>
          <w:p w14:paraId="4920C68D" w14:textId="77777777" w:rsidR="00E96B29" w:rsidRPr="00027624" w:rsidRDefault="00E96B29" w:rsidP="00E96B29">
            <w:pPr>
              <w:pStyle w:val="TableTextLeft"/>
              <w:rPr>
                <w:szCs w:val="18"/>
              </w:rPr>
            </w:pPr>
          </w:p>
        </w:tc>
        <w:tc>
          <w:tcPr>
            <w:tcW w:w="464" w:type="pct"/>
            <w:shd w:val="clear" w:color="auto" w:fill="EAEAEA" w:themeFill="accent6" w:themeFillTint="33"/>
            <w:vAlign w:val="bottom"/>
          </w:tcPr>
          <w:p w14:paraId="096DF38E" w14:textId="77777777" w:rsidR="00E96B29" w:rsidRPr="00027624" w:rsidRDefault="00E96B29" w:rsidP="00E96B29">
            <w:pPr>
              <w:pStyle w:val="TableTextLeft"/>
              <w:rPr>
                <w:szCs w:val="18"/>
              </w:rPr>
            </w:pPr>
          </w:p>
        </w:tc>
        <w:tc>
          <w:tcPr>
            <w:tcW w:w="518" w:type="pct"/>
            <w:shd w:val="clear" w:color="auto" w:fill="EAEAEA" w:themeFill="accent6" w:themeFillTint="33"/>
            <w:vAlign w:val="bottom"/>
          </w:tcPr>
          <w:p w14:paraId="5A254A61" w14:textId="77777777" w:rsidR="00E96B29" w:rsidRPr="00027624" w:rsidRDefault="00E96B29" w:rsidP="00E96B29">
            <w:pPr>
              <w:pStyle w:val="TableTextLeft"/>
              <w:rPr>
                <w:szCs w:val="18"/>
              </w:rPr>
            </w:pPr>
          </w:p>
        </w:tc>
      </w:tr>
      <w:tr w:rsidR="00E96B29" w:rsidRPr="00027624" w14:paraId="614A48FE" w14:textId="77777777" w:rsidTr="00E96B29">
        <w:trPr>
          <w:trHeight w:val="270"/>
        </w:trPr>
        <w:tc>
          <w:tcPr>
            <w:tcW w:w="750" w:type="pct"/>
            <w:vAlign w:val="bottom"/>
          </w:tcPr>
          <w:p w14:paraId="0953254E" w14:textId="77777777" w:rsidR="00E96B29" w:rsidRPr="00027624" w:rsidRDefault="00E96B29" w:rsidP="00E96B29">
            <w:pPr>
              <w:pStyle w:val="TableTextLeft"/>
              <w:rPr>
                <w:szCs w:val="18"/>
              </w:rPr>
            </w:pPr>
            <w:r w:rsidRPr="00027624">
              <w:rPr>
                <w:bCs/>
                <w:szCs w:val="18"/>
              </w:rPr>
              <w:t>67</w:t>
            </w:r>
          </w:p>
        </w:tc>
        <w:tc>
          <w:tcPr>
            <w:tcW w:w="467" w:type="pct"/>
            <w:vAlign w:val="bottom"/>
          </w:tcPr>
          <w:p w14:paraId="55CACC6B" w14:textId="77777777" w:rsidR="00E96B29" w:rsidRPr="00027624" w:rsidRDefault="00E96B29" w:rsidP="00E96B29">
            <w:pPr>
              <w:pStyle w:val="TableTextCentered"/>
              <w:rPr>
                <w:szCs w:val="18"/>
              </w:rPr>
            </w:pPr>
            <w:r w:rsidRPr="00027624">
              <w:rPr>
                <w:szCs w:val="18"/>
              </w:rPr>
              <w:t>8.9</w:t>
            </w:r>
          </w:p>
        </w:tc>
        <w:tc>
          <w:tcPr>
            <w:tcW w:w="467" w:type="pct"/>
            <w:vAlign w:val="bottom"/>
          </w:tcPr>
          <w:p w14:paraId="60110FB8" w14:textId="77777777" w:rsidR="00E96B29" w:rsidRPr="00027624" w:rsidRDefault="00E96B29" w:rsidP="00E96B29">
            <w:pPr>
              <w:pStyle w:val="TableTextCentered"/>
              <w:rPr>
                <w:szCs w:val="18"/>
              </w:rPr>
            </w:pPr>
            <w:r w:rsidRPr="00027624">
              <w:rPr>
                <w:szCs w:val="18"/>
              </w:rPr>
              <w:t>9.9</w:t>
            </w:r>
          </w:p>
        </w:tc>
        <w:tc>
          <w:tcPr>
            <w:tcW w:w="467" w:type="pct"/>
            <w:vAlign w:val="bottom"/>
          </w:tcPr>
          <w:p w14:paraId="0994E070" w14:textId="77777777" w:rsidR="00E96B29" w:rsidRPr="00027624" w:rsidRDefault="00E96B29" w:rsidP="00E96B29">
            <w:pPr>
              <w:pStyle w:val="TableTextCentered"/>
              <w:rPr>
                <w:szCs w:val="18"/>
              </w:rPr>
            </w:pPr>
            <w:r w:rsidRPr="00027624">
              <w:rPr>
                <w:szCs w:val="18"/>
              </w:rPr>
              <w:t>10.1</w:t>
            </w:r>
          </w:p>
        </w:tc>
        <w:tc>
          <w:tcPr>
            <w:tcW w:w="469" w:type="pct"/>
            <w:vAlign w:val="bottom"/>
          </w:tcPr>
          <w:p w14:paraId="2F72CCF4" w14:textId="77777777" w:rsidR="00E96B29" w:rsidRPr="00027624" w:rsidRDefault="00E96B29" w:rsidP="00E96B29">
            <w:pPr>
              <w:pStyle w:val="TableTextCentered"/>
              <w:rPr>
                <w:szCs w:val="18"/>
              </w:rPr>
            </w:pPr>
            <w:r w:rsidRPr="00027624">
              <w:rPr>
                <w:szCs w:val="18"/>
              </w:rPr>
              <w:t>8.8</w:t>
            </w:r>
          </w:p>
        </w:tc>
        <w:tc>
          <w:tcPr>
            <w:tcW w:w="467" w:type="pct"/>
            <w:vAlign w:val="bottom"/>
          </w:tcPr>
          <w:p w14:paraId="622D832E" w14:textId="77777777" w:rsidR="00E96B29" w:rsidRPr="00027624" w:rsidRDefault="00E96B29" w:rsidP="00E96B29">
            <w:pPr>
              <w:pStyle w:val="TableTextCentered"/>
              <w:rPr>
                <w:szCs w:val="18"/>
              </w:rPr>
            </w:pPr>
            <w:r w:rsidRPr="00027624">
              <w:rPr>
                <w:szCs w:val="18"/>
              </w:rPr>
              <w:t>8.1</w:t>
            </w:r>
          </w:p>
        </w:tc>
        <w:tc>
          <w:tcPr>
            <w:tcW w:w="467" w:type="pct"/>
            <w:vAlign w:val="bottom"/>
          </w:tcPr>
          <w:p w14:paraId="070E740D" w14:textId="77777777" w:rsidR="00E96B29" w:rsidRPr="00027624" w:rsidRDefault="00E96B29" w:rsidP="00E96B29">
            <w:pPr>
              <w:pStyle w:val="TableTextCentered"/>
              <w:rPr>
                <w:szCs w:val="18"/>
              </w:rPr>
            </w:pPr>
            <w:r w:rsidRPr="00027624">
              <w:rPr>
                <w:szCs w:val="18"/>
              </w:rPr>
              <w:t>6.9</w:t>
            </w:r>
          </w:p>
        </w:tc>
        <w:tc>
          <w:tcPr>
            <w:tcW w:w="464" w:type="pct"/>
            <w:vAlign w:val="bottom"/>
          </w:tcPr>
          <w:p w14:paraId="5086BF42" w14:textId="77777777" w:rsidR="00E96B29" w:rsidRPr="00027624" w:rsidRDefault="00E96B29" w:rsidP="00E96B29">
            <w:pPr>
              <w:pStyle w:val="TableTextCentered"/>
              <w:rPr>
                <w:szCs w:val="18"/>
              </w:rPr>
            </w:pPr>
            <w:r w:rsidRPr="00027624">
              <w:rPr>
                <w:szCs w:val="18"/>
              </w:rPr>
              <w:t>6.1</w:t>
            </w:r>
          </w:p>
        </w:tc>
        <w:tc>
          <w:tcPr>
            <w:tcW w:w="464" w:type="pct"/>
            <w:vAlign w:val="bottom"/>
          </w:tcPr>
          <w:p w14:paraId="5C642B14" w14:textId="77777777" w:rsidR="00E96B29" w:rsidRPr="00027624" w:rsidRDefault="00E96B29" w:rsidP="00E96B29">
            <w:pPr>
              <w:pStyle w:val="TableTextCentered"/>
              <w:rPr>
                <w:szCs w:val="18"/>
              </w:rPr>
            </w:pPr>
            <w:r w:rsidRPr="00027624">
              <w:rPr>
                <w:szCs w:val="18"/>
              </w:rPr>
              <w:t>5.4</w:t>
            </w:r>
          </w:p>
        </w:tc>
        <w:tc>
          <w:tcPr>
            <w:tcW w:w="518" w:type="pct"/>
            <w:vAlign w:val="bottom"/>
          </w:tcPr>
          <w:p w14:paraId="09D591E2" w14:textId="77777777" w:rsidR="00E96B29" w:rsidRPr="00027624" w:rsidRDefault="00E96B29" w:rsidP="00E96B29">
            <w:pPr>
              <w:pStyle w:val="TableTextCentered"/>
              <w:rPr>
                <w:szCs w:val="18"/>
              </w:rPr>
            </w:pPr>
            <w:r w:rsidRPr="00027624">
              <w:rPr>
                <w:szCs w:val="18"/>
              </w:rPr>
              <w:t>4.4</w:t>
            </w:r>
          </w:p>
        </w:tc>
      </w:tr>
      <w:tr w:rsidR="00E96B29" w:rsidRPr="00027624" w14:paraId="14D2B129" w14:textId="77777777" w:rsidTr="00E96B29">
        <w:trPr>
          <w:trHeight w:val="270"/>
        </w:trPr>
        <w:tc>
          <w:tcPr>
            <w:tcW w:w="750" w:type="pct"/>
            <w:vAlign w:val="bottom"/>
          </w:tcPr>
          <w:p w14:paraId="79DF1375" w14:textId="77777777" w:rsidR="00E96B29" w:rsidRPr="00027624" w:rsidRDefault="00E96B29" w:rsidP="00E96B29">
            <w:pPr>
              <w:pStyle w:val="TableTextLeft"/>
              <w:rPr>
                <w:szCs w:val="18"/>
              </w:rPr>
            </w:pPr>
            <w:r w:rsidRPr="00027624">
              <w:rPr>
                <w:bCs/>
                <w:szCs w:val="18"/>
              </w:rPr>
              <w:t>68</w:t>
            </w:r>
          </w:p>
        </w:tc>
        <w:tc>
          <w:tcPr>
            <w:tcW w:w="467" w:type="pct"/>
            <w:vAlign w:val="bottom"/>
          </w:tcPr>
          <w:p w14:paraId="7DFA71E0" w14:textId="77777777" w:rsidR="00E96B29" w:rsidRPr="00027624" w:rsidRDefault="00E96B29" w:rsidP="00E96B29">
            <w:pPr>
              <w:pStyle w:val="TableTextCentered"/>
              <w:rPr>
                <w:szCs w:val="18"/>
              </w:rPr>
            </w:pPr>
            <w:r w:rsidRPr="00027624">
              <w:rPr>
                <w:szCs w:val="18"/>
              </w:rPr>
              <w:t>8.7</w:t>
            </w:r>
          </w:p>
        </w:tc>
        <w:tc>
          <w:tcPr>
            <w:tcW w:w="467" w:type="pct"/>
            <w:vAlign w:val="bottom"/>
          </w:tcPr>
          <w:p w14:paraId="0BEFA0AE" w14:textId="77777777" w:rsidR="00E96B29" w:rsidRPr="00027624" w:rsidRDefault="00E96B29" w:rsidP="00E96B29">
            <w:pPr>
              <w:pStyle w:val="TableTextCentered"/>
              <w:rPr>
                <w:szCs w:val="18"/>
              </w:rPr>
            </w:pPr>
            <w:r w:rsidRPr="00027624">
              <w:rPr>
                <w:szCs w:val="18"/>
              </w:rPr>
              <w:t>10.0</w:t>
            </w:r>
          </w:p>
        </w:tc>
        <w:tc>
          <w:tcPr>
            <w:tcW w:w="467" w:type="pct"/>
            <w:vAlign w:val="bottom"/>
          </w:tcPr>
          <w:p w14:paraId="02F3E1E5" w14:textId="77777777" w:rsidR="00E96B29" w:rsidRPr="00027624" w:rsidRDefault="00E96B29" w:rsidP="00E96B29">
            <w:pPr>
              <w:pStyle w:val="TableTextCentered"/>
              <w:rPr>
                <w:szCs w:val="18"/>
              </w:rPr>
            </w:pPr>
            <w:r w:rsidRPr="00027624">
              <w:rPr>
                <w:szCs w:val="18"/>
              </w:rPr>
              <w:t>10.2</w:t>
            </w:r>
          </w:p>
        </w:tc>
        <w:tc>
          <w:tcPr>
            <w:tcW w:w="469" w:type="pct"/>
            <w:vAlign w:val="bottom"/>
          </w:tcPr>
          <w:p w14:paraId="612DC7E2" w14:textId="77777777" w:rsidR="00E96B29" w:rsidRPr="00027624" w:rsidRDefault="00E96B29" w:rsidP="00E96B29">
            <w:pPr>
              <w:pStyle w:val="TableTextCentered"/>
              <w:rPr>
                <w:szCs w:val="18"/>
              </w:rPr>
            </w:pPr>
            <w:r w:rsidRPr="00027624">
              <w:rPr>
                <w:szCs w:val="18"/>
              </w:rPr>
              <w:t>9.4</w:t>
            </w:r>
          </w:p>
        </w:tc>
        <w:tc>
          <w:tcPr>
            <w:tcW w:w="467" w:type="pct"/>
            <w:vAlign w:val="bottom"/>
          </w:tcPr>
          <w:p w14:paraId="345A2410" w14:textId="77777777" w:rsidR="00E96B29" w:rsidRPr="00027624" w:rsidRDefault="00E96B29" w:rsidP="00E96B29">
            <w:pPr>
              <w:pStyle w:val="TableTextCentered"/>
              <w:rPr>
                <w:szCs w:val="18"/>
              </w:rPr>
            </w:pPr>
            <w:r w:rsidRPr="00027624">
              <w:rPr>
                <w:szCs w:val="18"/>
              </w:rPr>
              <w:t>8.6</w:t>
            </w:r>
          </w:p>
        </w:tc>
        <w:tc>
          <w:tcPr>
            <w:tcW w:w="467" w:type="pct"/>
            <w:vAlign w:val="bottom"/>
          </w:tcPr>
          <w:p w14:paraId="01264711" w14:textId="77777777" w:rsidR="00E96B29" w:rsidRPr="00027624" w:rsidRDefault="00E96B29" w:rsidP="00E96B29">
            <w:pPr>
              <w:pStyle w:val="TableTextCentered"/>
              <w:rPr>
                <w:szCs w:val="18"/>
              </w:rPr>
            </w:pPr>
            <w:r w:rsidRPr="00027624">
              <w:rPr>
                <w:szCs w:val="18"/>
              </w:rPr>
              <w:t>7.3</w:t>
            </w:r>
          </w:p>
        </w:tc>
        <w:tc>
          <w:tcPr>
            <w:tcW w:w="464" w:type="pct"/>
            <w:vAlign w:val="bottom"/>
          </w:tcPr>
          <w:p w14:paraId="34811511" w14:textId="77777777" w:rsidR="00E96B29" w:rsidRPr="00027624" w:rsidRDefault="00E96B29" w:rsidP="00E96B29">
            <w:pPr>
              <w:pStyle w:val="TableTextCentered"/>
              <w:rPr>
                <w:szCs w:val="18"/>
              </w:rPr>
            </w:pPr>
            <w:r w:rsidRPr="00027624">
              <w:rPr>
                <w:szCs w:val="18"/>
              </w:rPr>
              <w:t>6.4</w:t>
            </w:r>
          </w:p>
        </w:tc>
        <w:tc>
          <w:tcPr>
            <w:tcW w:w="464" w:type="pct"/>
            <w:vAlign w:val="bottom"/>
          </w:tcPr>
          <w:p w14:paraId="5712085D" w14:textId="77777777" w:rsidR="00E96B29" w:rsidRPr="00027624" w:rsidRDefault="00E96B29" w:rsidP="00E96B29">
            <w:pPr>
              <w:pStyle w:val="TableTextCentered"/>
              <w:rPr>
                <w:szCs w:val="18"/>
              </w:rPr>
            </w:pPr>
            <w:r w:rsidRPr="00027624">
              <w:rPr>
                <w:szCs w:val="18"/>
              </w:rPr>
              <w:t>5.6</w:t>
            </w:r>
          </w:p>
        </w:tc>
        <w:tc>
          <w:tcPr>
            <w:tcW w:w="518" w:type="pct"/>
            <w:vAlign w:val="bottom"/>
          </w:tcPr>
          <w:p w14:paraId="69D7BF4C" w14:textId="77777777" w:rsidR="00E96B29" w:rsidRPr="00027624" w:rsidRDefault="00E96B29" w:rsidP="00E96B29">
            <w:pPr>
              <w:pStyle w:val="TableTextCentered"/>
              <w:rPr>
                <w:szCs w:val="18"/>
              </w:rPr>
            </w:pPr>
            <w:r w:rsidRPr="00027624">
              <w:rPr>
                <w:szCs w:val="18"/>
              </w:rPr>
              <w:t>4.6</w:t>
            </w:r>
          </w:p>
        </w:tc>
      </w:tr>
      <w:tr w:rsidR="00E96B29" w:rsidRPr="00027624" w14:paraId="40C4F2B9" w14:textId="77777777" w:rsidTr="00E96B29">
        <w:trPr>
          <w:trHeight w:val="270"/>
        </w:trPr>
        <w:tc>
          <w:tcPr>
            <w:tcW w:w="750" w:type="pct"/>
            <w:vAlign w:val="bottom"/>
          </w:tcPr>
          <w:p w14:paraId="71E3309B" w14:textId="77777777" w:rsidR="00E96B29" w:rsidRPr="00027624" w:rsidRDefault="00E96B29" w:rsidP="00E96B29">
            <w:pPr>
              <w:pStyle w:val="TableTextLeft"/>
              <w:rPr>
                <w:szCs w:val="18"/>
              </w:rPr>
            </w:pPr>
            <w:r w:rsidRPr="00027624">
              <w:rPr>
                <w:bCs/>
                <w:szCs w:val="18"/>
              </w:rPr>
              <w:t>69</w:t>
            </w:r>
          </w:p>
        </w:tc>
        <w:tc>
          <w:tcPr>
            <w:tcW w:w="467" w:type="pct"/>
            <w:vAlign w:val="bottom"/>
          </w:tcPr>
          <w:p w14:paraId="33CCABC9" w14:textId="77777777" w:rsidR="00E96B29" w:rsidRPr="00027624" w:rsidRDefault="00E96B29" w:rsidP="00E96B29">
            <w:pPr>
              <w:pStyle w:val="TableTextCentered"/>
              <w:rPr>
                <w:szCs w:val="18"/>
              </w:rPr>
            </w:pPr>
            <w:r w:rsidRPr="00027624">
              <w:rPr>
                <w:szCs w:val="18"/>
              </w:rPr>
              <w:t>8.6</w:t>
            </w:r>
          </w:p>
        </w:tc>
        <w:tc>
          <w:tcPr>
            <w:tcW w:w="467" w:type="pct"/>
            <w:vAlign w:val="bottom"/>
          </w:tcPr>
          <w:p w14:paraId="4DE71310" w14:textId="77777777" w:rsidR="00E96B29" w:rsidRPr="00027624" w:rsidRDefault="00E96B29" w:rsidP="00E96B29">
            <w:pPr>
              <w:pStyle w:val="TableTextCentered"/>
              <w:rPr>
                <w:szCs w:val="18"/>
              </w:rPr>
            </w:pPr>
            <w:r w:rsidRPr="00027624">
              <w:rPr>
                <w:szCs w:val="18"/>
              </w:rPr>
              <w:t>10.0</w:t>
            </w:r>
          </w:p>
        </w:tc>
        <w:tc>
          <w:tcPr>
            <w:tcW w:w="467" w:type="pct"/>
            <w:vAlign w:val="bottom"/>
          </w:tcPr>
          <w:p w14:paraId="34D32CDF" w14:textId="77777777" w:rsidR="00E96B29" w:rsidRPr="00027624" w:rsidRDefault="00E96B29" w:rsidP="00E96B29">
            <w:pPr>
              <w:pStyle w:val="TableTextCentered"/>
              <w:rPr>
                <w:szCs w:val="18"/>
              </w:rPr>
            </w:pPr>
            <w:r w:rsidRPr="00027624">
              <w:rPr>
                <w:szCs w:val="18"/>
              </w:rPr>
              <w:t>10.3</w:t>
            </w:r>
          </w:p>
        </w:tc>
        <w:tc>
          <w:tcPr>
            <w:tcW w:w="469" w:type="pct"/>
            <w:vAlign w:val="bottom"/>
          </w:tcPr>
          <w:p w14:paraId="246D3B9C" w14:textId="77777777" w:rsidR="00E96B29" w:rsidRPr="00027624" w:rsidRDefault="00E96B29" w:rsidP="00E96B29">
            <w:pPr>
              <w:pStyle w:val="TableTextCentered"/>
              <w:rPr>
                <w:szCs w:val="18"/>
              </w:rPr>
            </w:pPr>
            <w:r w:rsidRPr="00027624">
              <w:rPr>
                <w:szCs w:val="18"/>
              </w:rPr>
              <w:t>10.2</w:t>
            </w:r>
          </w:p>
        </w:tc>
        <w:tc>
          <w:tcPr>
            <w:tcW w:w="467" w:type="pct"/>
            <w:vAlign w:val="bottom"/>
          </w:tcPr>
          <w:p w14:paraId="0D9485EC" w14:textId="77777777" w:rsidR="00E96B29" w:rsidRPr="00027624" w:rsidRDefault="00E96B29" w:rsidP="00E96B29">
            <w:pPr>
              <w:pStyle w:val="TableTextCentered"/>
              <w:rPr>
                <w:szCs w:val="18"/>
              </w:rPr>
            </w:pPr>
            <w:r w:rsidRPr="00027624">
              <w:rPr>
                <w:szCs w:val="18"/>
              </w:rPr>
              <w:t>9.1</w:t>
            </w:r>
          </w:p>
        </w:tc>
        <w:tc>
          <w:tcPr>
            <w:tcW w:w="467" w:type="pct"/>
            <w:vAlign w:val="bottom"/>
          </w:tcPr>
          <w:p w14:paraId="15E275B2" w14:textId="77777777" w:rsidR="00E96B29" w:rsidRPr="00027624" w:rsidRDefault="00E96B29" w:rsidP="00E96B29">
            <w:pPr>
              <w:pStyle w:val="TableTextCentered"/>
              <w:rPr>
                <w:szCs w:val="18"/>
              </w:rPr>
            </w:pPr>
            <w:r w:rsidRPr="00027624">
              <w:rPr>
                <w:szCs w:val="18"/>
              </w:rPr>
              <w:t>7.7</w:t>
            </w:r>
          </w:p>
        </w:tc>
        <w:tc>
          <w:tcPr>
            <w:tcW w:w="464" w:type="pct"/>
            <w:vAlign w:val="bottom"/>
          </w:tcPr>
          <w:p w14:paraId="2BC9E1AA" w14:textId="77777777" w:rsidR="00E96B29" w:rsidRPr="00027624" w:rsidRDefault="00E96B29" w:rsidP="00E96B29">
            <w:pPr>
              <w:pStyle w:val="TableTextCentered"/>
              <w:rPr>
                <w:szCs w:val="18"/>
              </w:rPr>
            </w:pPr>
            <w:r w:rsidRPr="00027624">
              <w:rPr>
                <w:szCs w:val="18"/>
              </w:rPr>
              <w:t>6.7</w:t>
            </w:r>
          </w:p>
        </w:tc>
        <w:tc>
          <w:tcPr>
            <w:tcW w:w="464" w:type="pct"/>
            <w:vAlign w:val="bottom"/>
          </w:tcPr>
          <w:p w14:paraId="7AE312D7" w14:textId="77777777" w:rsidR="00E96B29" w:rsidRPr="00027624" w:rsidRDefault="00E96B29" w:rsidP="00E96B29">
            <w:pPr>
              <w:pStyle w:val="TableTextCentered"/>
              <w:rPr>
                <w:szCs w:val="18"/>
              </w:rPr>
            </w:pPr>
            <w:r w:rsidRPr="00027624">
              <w:rPr>
                <w:szCs w:val="18"/>
              </w:rPr>
              <w:t>5.8</w:t>
            </w:r>
          </w:p>
        </w:tc>
        <w:tc>
          <w:tcPr>
            <w:tcW w:w="518" w:type="pct"/>
            <w:vAlign w:val="bottom"/>
          </w:tcPr>
          <w:p w14:paraId="7456CB5F" w14:textId="77777777" w:rsidR="00E96B29" w:rsidRPr="00027624" w:rsidRDefault="00E96B29" w:rsidP="00E96B29">
            <w:pPr>
              <w:pStyle w:val="TableTextCentered"/>
              <w:rPr>
                <w:szCs w:val="18"/>
              </w:rPr>
            </w:pPr>
            <w:r w:rsidRPr="00027624">
              <w:rPr>
                <w:szCs w:val="18"/>
              </w:rPr>
              <w:t>4.8</w:t>
            </w:r>
          </w:p>
        </w:tc>
      </w:tr>
      <w:tr w:rsidR="00E96B29" w:rsidRPr="00027624" w14:paraId="397B94BC" w14:textId="77777777" w:rsidTr="00E96B29">
        <w:trPr>
          <w:trHeight w:val="270"/>
        </w:trPr>
        <w:tc>
          <w:tcPr>
            <w:tcW w:w="750" w:type="pct"/>
            <w:vAlign w:val="bottom"/>
          </w:tcPr>
          <w:p w14:paraId="5EA07CBF" w14:textId="77777777" w:rsidR="00E96B29" w:rsidRPr="00027624" w:rsidRDefault="00E96B29" w:rsidP="00E96B29">
            <w:pPr>
              <w:pStyle w:val="TableTextLeft"/>
              <w:rPr>
                <w:szCs w:val="18"/>
              </w:rPr>
            </w:pPr>
            <w:r w:rsidRPr="00027624">
              <w:rPr>
                <w:bCs/>
                <w:szCs w:val="18"/>
              </w:rPr>
              <w:t>70</w:t>
            </w:r>
          </w:p>
        </w:tc>
        <w:tc>
          <w:tcPr>
            <w:tcW w:w="467" w:type="pct"/>
            <w:vAlign w:val="bottom"/>
          </w:tcPr>
          <w:p w14:paraId="4DDE878C" w14:textId="77777777" w:rsidR="00E96B29" w:rsidRPr="00027624" w:rsidRDefault="00E96B29" w:rsidP="00E96B29">
            <w:pPr>
              <w:pStyle w:val="TableTextCentered"/>
              <w:rPr>
                <w:szCs w:val="18"/>
              </w:rPr>
            </w:pPr>
            <w:r w:rsidRPr="00027624">
              <w:rPr>
                <w:szCs w:val="18"/>
              </w:rPr>
              <w:t>8.4</w:t>
            </w:r>
          </w:p>
        </w:tc>
        <w:tc>
          <w:tcPr>
            <w:tcW w:w="467" w:type="pct"/>
            <w:vAlign w:val="bottom"/>
          </w:tcPr>
          <w:p w14:paraId="6D02EFBB" w14:textId="77777777" w:rsidR="00E96B29" w:rsidRPr="00027624" w:rsidRDefault="00E96B29" w:rsidP="00E96B29">
            <w:pPr>
              <w:pStyle w:val="TableTextCentered"/>
              <w:rPr>
                <w:szCs w:val="18"/>
              </w:rPr>
            </w:pPr>
            <w:r w:rsidRPr="00027624">
              <w:rPr>
                <w:szCs w:val="18"/>
              </w:rPr>
              <w:t>10.1</w:t>
            </w:r>
          </w:p>
        </w:tc>
        <w:tc>
          <w:tcPr>
            <w:tcW w:w="467" w:type="pct"/>
            <w:vAlign w:val="bottom"/>
          </w:tcPr>
          <w:p w14:paraId="24B3CC07" w14:textId="77777777" w:rsidR="00E96B29" w:rsidRPr="00027624" w:rsidRDefault="00E96B29" w:rsidP="00E96B29">
            <w:pPr>
              <w:pStyle w:val="TableTextCentered"/>
              <w:rPr>
                <w:szCs w:val="18"/>
              </w:rPr>
            </w:pPr>
            <w:r w:rsidRPr="00027624">
              <w:rPr>
                <w:szCs w:val="18"/>
              </w:rPr>
              <w:t>10.4</w:t>
            </w:r>
          </w:p>
        </w:tc>
        <w:tc>
          <w:tcPr>
            <w:tcW w:w="469" w:type="pct"/>
            <w:vAlign w:val="bottom"/>
          </w:tcPr>
          <w:p w14:paraId="20A6DC05" w14:textId="77777777" w:rsidR="00E96B29" w:rsidRPr="00027624" w:rsidRDefault="00E96B29" w:rsidP="00E96B29">
            <w:pPr>
              <w:pStyle w:val="TableTextCentered"/>
              <w:rPr>
                <w:szCs w:val="18"/>
              </w:rPr>
            </w:pPr>
            <w:r w:rsidRPr="00027624">
              <w:rPr>
                <w:szCs w:val="18"/>
              </w:rPr>
              <w:t>10.5</w:t>
            </w:r>
          </w:p>
        </w:tc>
        <w:tc>
          <w:tcPr>
            <w:tcW w:w="467" w:type="pct"/>
            <w:vAlign w:val="bottom"/>
          </w:tcPr>
          <w:p w14:paraId="3C537D7D" w14:textId="77777777" w:rsidR="00E96B29" w:rsidRPr="00027624" w:rsidRDefault="00E96B29" w:rsidP="00E96B29">
            <w:pPr>
              <w:pStyle w:val="TableTextCentered"/>
              <w:rPr>
                <w:szCs w:val="18"/>
              </w:rPr>
            </w:pPr>
            <w:r w:rsidRPr="00027624">
              <w:rPr>
                <w:szCs w:val="18"/>
              </w:rPr>
              <w:t>9.7</w:t>
            </w:r>
          </w:p>
        </w:tc>
        <w:tc>
          <w:tcPr>
            <w:tcW w:w="467" w:type="pct"/>
            <w:vAlign w:val="bottom"/>
          </w:tcPr>
          <w:p w14:paraId="6A01FDCC" w14:textId="77777777" w:rsidR="00E96B29" w:rsidRPr="00027624" w:rsidRDefault="00E96B29" w:rsidP="00E96B29">
            <w:pPr>
              <w:pStyle w:val="TableTextCentered"/>
              <w:rPr>
                <w:szCs w:val="18"/>
              </w:rPr>
            </w:pPr>
            <w:r w:rsidRPr="00027624">
              <w:rPr>
                <w:szCs w:val="18"/>
              </w:rPr>
              <w:t>8.1</w:t>
            </w:r>
          </w:p>
        </w:tc>
        <w:tc>
          <w:tcPr>
            <w:tcW w:w="464" w:type="pct"/>
            <w:vAlign w:val="bottom"/>
          </w:tcPr>
          <w:p w14:paraId="69726FB2" w14:textId="77777777" w:rsidR="00E96B29" w:rsidRPr="00027624" w:rsidRDefault="00E96B29" w:rsidP="00E96B29">
            <w:pPr>
              <w:pStyle w:val="TableTextCentered"/>
              <w:rPr>
                <w:szCs w:val="18"/>
              </w:rPr>
            </w:pPr>
            <w:r w:rsidRPr="00027624">
              <w:rPr>
                <w:szCs w:val="18"/>
              </w:rPr>
              <w:t>7.0</w:t>
            </w:r>
          </w:p>
        </w:tc>
        <w:tc>
          <w:tcPr>
            <w:tcW w:w="464" w:type="pct"/>
            <w:vAlign w:val="bottom"/>
          </w:tcPr>
          <w:p w14:paraId="6633F1C7" w14:textId="77777777" w:rsidR="00E96B29" w:rsidRPr="00027624" w:rsidRDefault="00E96B29" w:rsidP="00E96B29">
            <w:pPr>
              <w:pStyle w:val="TableTextCentered"/>
              <w:rPr>
                <w:szCs w:val="18"/>
              </w:rPr>
            </w:pPr>
            <w:r w:rsidRPr="00027624">
              <w:rPr>
                <w:szCs w:val="18"/>
              </w:rPr>
              <w:t>6.0</w:t>
            </w:r>
          </w:p>
        </w:tc>
        <w:tc>
          <w:tcPr>
            <w:tcW w:w="518" w:type="pct"/>
            <w:vAlign w:val="bottom"/>
          </w:tcPr>
          <w:p w14:paraId="71CF51A1" w14:textId="77777777" w:rsidR="00E96B29" w:rsidRPr="00027624" w:rsidRDefault="00E96B29" w:rsidP="00E96B29">
            <w:pPr>
              <w:pStyle w:val="TableTextCentered"/>
              <w:rPr>
                <w:szCs w:val="18"/>
              </w:rPr>
            </w:pPr>
            <w:r w:rsidRPr="00027624">
              <w:rPr>
                <w:szCs w:val="18"/>
              </w:rPr>
              <w:t>5.0</w:t>
            </w:r>
          </w:p>
        </w:tc>
      </w:tr>
      <w:tr w:rsidR="00E96B29" w:rsidRPr="00027624" w14:paraId="692CE98B" w14:textId="77777777" w:rsidTr="00E96B29">
        <w:trPr>
          <w:trHeight w:val="270"/>
        </w:trPr>
        <w:tc>
          <w:tcPr>
            <w:tcW w:w="750" w:type="pct"/>
            <w:vAlign w:val="bottom"/>
          </w:tcPr>
          <w:p w14:paraId="5505C4E4" w14:textId="77777777" w:rsidR="00E96B29" w:rsidRPr="00027624" w:rsidRDefault="00E96B29" w:rsidP="00E96B29">
            <w:pPr>
              <w:pStyle w:val="TableTextLeft"/>
              <w:rPr>
                <w:szCs w:val="18"/>
              </w:rPr>
            </w:pPr>
            <w:r w:rsidRPr="00027624">
              <w:rPr>
                <w:bCs/>
                <w:szCs w:val="18"/>
              </w:rPr>
              <w:t>71</w:t>
            </w:r>
          </w:p>
        </w:tc>
        <w:tc>
          <w:tcPr>
            <w:tcW w:w="467" w:type="pct"/>
            <w:vAlign w:val="bottom"/>
          </w:tcPr>
          <w:p w14:paraId="595F3B70" w14:textId="77777777" w:rsidR="00E96B29" w:rsidRPr="00027624" w:rsidRDefault="00E96B29" w:rsidP="00E96B29">
            <w:pPr>
              <w:pStyle w:val="TableTextCentered"/>
              <w:rPr>
                <w:szCs w:val="18"/>
              </w:rPr>
            </w:pPr>
            <w:r w:rsidRPr="00027624">
              <w:rPr>
                <w:szCs w:val="18"/>
              </w:rPr>
              <w:t>8.6</w:t>
            </w:r>
          </w:p>
        </w:tc>
        <w:tc>
          <w:tcPr>
            <w:tcW w:w="467" w:type="pct"/>
            <w:vAlign w:val="bottom"/>
          </w:tcPr>
          <w:p w14:paraId="35782502" w14:textId="77777777" w:rsidR="00E96B29" w:rsidRPr="00027624" w:rsidRDefault="00E96B29" w:rsidP="00E96B29">
            <w:pPr>
              <w:pStyle w:val="TableTextCentered"/>
              <w:rPr>
                <w:szCs w:val="18"/>
              </w:rPr>
            </w:pPr>
            <w:r w:rsidRPr="00027624">
              <w:rPr>
                <w:szCs w:val="18"/>
              </w:rPr>
              <w:t>10.1</w:t>
            </w:r>
          </w:p>
        </w:tc>
        <w:tc>
          <w:tcPr>
            <w:tcW w:w="467" w:type="pct"/>
            <w:vAlign w:val="bottom"/>
          </w:tcPr>
          <w:p w14:paraId="5D309817" w14:textId="77777777" w:rsidR="00E96B29" w:rsidRPr="00027624" w:rsidRDefault="00E96B29" w:rsidP="00E96B29">
            <w:pPr>
              <w:pStyle w:val="TableTextCentered"/>
              <w:rPr>
                <w:szCs w:val="18"/>
              </w:rPr>
            </w:pPr>
            <w:r w:rsidRPr="00027624">
              <w:rPr>
                <w:szCs w:val="18"/>
              </w:rPr>
              <w:t>10.5</w:t>
            </w:r>
          </w:p>
        </w:tc>
        <w:tc>
          <w:tcPr>
            <w:tcW w:w="469" w:type="pct"/>
            <w:vAlign w:val="bottom"/>
          </w:tcPr>
          <w:p w14:paraId="2C478672" w14:textId="77777777" w:rsidR="00E96B29" w:rsidRPr="00027624" w:rsidRDefault="00E96B29" w:rsidP="00E96B29">
            <w:pPr>
              <w:pStyle w:val="TableTextCentered"/>
              <w:rPr>
                <w:szCs w:val="18"/>
              </w:rPr>
            </w:pPr>
            <w:r w:rsidRPr="00027624">
              <w:rPr>
                <w:szCs w:val="18"/>
              </w:rPr>
              <w:t>10.7</w:t>
            </w:r>
          </w:p>
        </w:tc>
        <w:tc>
          <w:tcPr>
            <w:tcW w:w="467" w:type="pct"/>
            <w:vAlign w:val="bottom"/>
          </w:tcPr>
          <w:p w14:paraId="4EFD7FF5" w14:textId="77777777" w:rsidR="00E96B29" w:rsidRPr="00027624" w:rsidRDefault="00E96B29" w:rsidP="00E96B29">
            <w:pPr>
              <w:pStyle w:val="TableTextCentered"/>
              <w:rPr>
                <w:szCs w:val="18"/>
              </w:rPr>
            </w:pPr>
            <w:r w:rsidRPr="00027624">
              <w:rPr>
                <w:szCs w:val="18"/>
              </w:rPr>
              <w:t>10.5</w:t>
            </w:r>
          </w:p>
        </w:tc>
        <w:tc>
          <w:tcPr>
            <w:tcW w:w="467" w:type="pct"/>
            <w:vAlign w:val="bottom"/>
          </w:tcPr>
          <w:p w14:paraId="6E22AAD9" w14:textId="77777777" w:rsidR="00E96B29" w:rsidRPr="00027624" w:rsidRDefault="00E96B29" w:rsidP="00E96B29">
            <w:pPr>
              <w:pStyle w:val="TableTextCentered"/>
              <w:rPr>
                <w:szCs w:val="18"/>
              </w:rPr>
            </w:pPr>
            <w:r w:rsidRPr="00027624">
              <w:rPr>
                <w:szCs w:val="18"/>
              </w:rPr>
              <w:t>8.6</w:t>
            </w:r>
          </w:p>
        </w:tc>
        <w:tc>
          <w:tcPr>
            <w:tcW w:w="464" w:type="pct"/>
            <w:vAlign w:val="bottom"/>
          </w:tcPr>
          <w:p w14:paraId="430146A9" w14:textId="77777777" w:rsidR="00E96B29" w:rsidRPr="00027624" w:rsidRDefault="00E96B29" w:rsidP="00E96B29">
            <w:pPr>
              <w:pStyle w:val="TableTextCentered"/>
              <w:rPr>
                <w:szCs w:val="18"/>
              </w:rPr>
            </w:pPr>
            <w:r w:rsidRPr="00027624">
              <w:rPr>
                <w:szCs w:val="18"/>
              </w:rPr>
              <w:t>7.4</w:t>
            </w:r>
          </w:p>
        </w:tc>
        <w:tc>
          <w:tcPr>
            <w:tcW w:w="464" w:type="pct"/>
            <w:vAlign w:val="bottom"/>
          </w:tcPr>
          <w:p w14:paraId="230096BD" w14:textId="77777777" w:rsidR="00E96B29" w:rsidRPr="00027624" w:rsidRDefault="00E96B29" w:rsidP="00E96B29">
            <w:pPr>
              <w:pStyle w:val="TableTextCentered"/>
              <w:rPr>
                <w:szCs w:val="18"/>
              </w:rPr>
            </w:pPr>
            <w:r w:rsidRPr="00027624">
              <w:rPr>
                <w:szCs w:val="18"/>
              </w:rPr>
              <w:t>6.3</w:t>
            </w:r>
          </w:p>
        </w:tc>
        <w:tc>
          <w:tcPr>
            <w:tcW w:w="518" w:type="pct"/>
            <w:vAlign w:val="bottom"/>
          </w:tcPr>
          <w:p w14:paraId="68A3A63A" w14:textId="77777777" w:rsidR="00E96B29" w:rsidRPr="00027624" w:rsidRDefault="00E96B29" w:rsidP="00E96B29">
            <w:pPr>
              <w:pStyle w:val="TableTextCentered"/>
              <w:rPr>
                <w:szCs w:val="18"/>
              </w:rPr>
            </w:pPr>
            <w:r w:rsidRPr="00027624">
              <w:rPr>
                <w:szCs w:val="18"/>
              </w:rPr>
              <w:t>5.2</w:t>
            </w:r>
          </w:p>
        </w:tc>
      </w:tr>
      <w:tr w:rsidR="00E96B29" w:rsidRPr="00027624" w14:paraId="08C11141" w14:textId="77777777" w:rsidTr="00E96B29">
        <w:trPr>
          <w:trHeight w:val="270"/>
        </w:trPr>
        <w:tc>
          <w:tcPr>
            <w:tcW w:w="750" w:type="pct"/>
            <w:vAlign w:val="bottom"/>
          </w:tcPr>
          <w:p w14:paraId="7B08579A" w14:textId="77777777" w:rsidR="00E96B29" w:rsidRPr="00027624" w:rsidRDefault="00E96B29" w:rsidP="00E96B29">
            <w:pPr>
              <w:pStyle w:val="TableTextLeft"/>
              <w:rPr>
                <w:szCs w:val="18"/>
              </w:rPr>
            </w:pPr>
            <w:r w:rsidRPr="00027624">
              <w:rPr>
                <w:bCs/>
                <w:szCs w:val="18"/>
              </w:rPr>
              <w:t>72</w:t>
            </w:r>
          </w:p>
        </w:tc>
        <w:tc>
          <w:tcPr>
            <w:tcW w:w="467" w:type="pct"/>
            <w:vAlign w:val="bottom"/>
          </w:tcPr>
          <w:p w14:paraId="0A15B48C" w14:textId="77777777" w:rsidR="00E96B29" w:rsidRPr="00027624" w:rsidRDefault="00E96B29" w:rsidP="00E96B29">
            <w:pPr>
              <w:pStyle w:val="TableTextCentered"/>
              <w:rPr>
                <w:szCs w:val="18"/>
              </w:rPr>
            </w:pPr>
            <w:r w:rsidRPr="00027624">
              <w:rPr>
                <w:szCs w:val="18"/>
              </w:rPr>
              <w:t>8.8</w:t>
            </w:r>
          </w:p>
        </w:tc>
        <w:tc>
          <w:tcPr>
            <w:tcW w:w="467" w:type="pct"/>
            <w:vAlign w:val="bottom"/>
          </w:tcPr>
          <w:p w14:paraId="7DBC0D3D" w14:textId="77777777" w:rsidR="00E96B29" w:rsidRPr="00027624" w:rsidRDefault="00E96B29" w:rsidP="00E96B29">
            <w:pPr>
              <w:pStyle w:val="TableTextCentered"/>
              <w:rPr>
                <w:szCs w:val="18"/>
              </w:rPr>
            </w:pPr>
            <w:r w:rsidRPr="00027624">
              <w:rPr>
                <w:szCs w:val="18"/>
              </w:rPr>
              <w:t>10.1</w:t>
            </w:r>
          </w:p>
        </w:tc>
        <w:tc>
          <w:tcPr>
            <w:tcW w:w="467" w:type="pct"/>
            <w:vAlign w:val="bottom"/>
          </w:tcPr>
          <w:p w14:paraId="3254C7B6" w14:textId="77777777" w:rsidR="00E96B29" w:rsidRPr="00027624" w:rsidRDefault="00E96B29" w:rsidP="00E96B29">
            <w:pPr>
              <w:pStyle w:val="TableTextCentered"/>
              <w:rPr>
                <w:szCs w:val="18"/>
              </w:rPr>
            </w:pPr>
            <w:r w:rsidRPr="00027624">
              <w:rPr>
                <w:szCs w:val="18"/>
              </w:rPr>
              <w:t>10.6</w:t>
            </w:r>
          </w:p>
        </w:tc>
        <w:tc>
          <w:tcPr>
            <w:tcW w:w="469" w:type="pct"/>
            <w:vAlign w:val="bottom"/>
          </w:tcPr>
          <w:p w14:paraId="797E4FFB" w14:textId="77777777" w:rsidR="00E96B29" w:rsidRPr="00027624" w:rsidRDefault="00E96B29" w:rsidP="00E96B29">
            <w:pPr>
              <w:pStyle w:val="TableTextCentered"/>
              <w:rPr>
                <w:szCs w:val="18"/>
              </w:rPr>
            </w:pPr>
            <w:r w:rsidRPr="00027624">
              <w:rPr>
                <w:szCs w:val="18"/>
              </w:rPr>
              <w:t>10.8</w:t>
            </w:r>
          </w:p>
        </w:tc>
        <w:tc>
          <w:tcPr>
            <w:tcW w:w="467" w:type="pct"/>
            <w:vAlign w:val="bottom"/>
          </w:tcPr>
          <w:p w14:paraId="7DCF393B" w14:textId="77777777" w:rsidR="00E96B29" w:rsidRPr="00027624" w:rsidRDefault="00E96B29" w:rsidP="00E96B29">
            <w:pPr>
              <w:pStyle w:val="TableTextCentered"/>
              <w:rPr>
                <w:szCs w:val="18"/>
              </w:rPr>
            </w:pPr>
            <w:r w:rsidRPr="00027624">
              <w:rPr>
                <w:szCs w:val="18"/>
              </w:rPr>
              <w:t>11.0</w:t>
            </w:r>
          </w:p>
        </w:tc>
        <w:tc>
          <w:tcPr>
            <w:tcW w:w="467" w:type="pct"/>
            <w:vAlign w:val="bottom"/>
          </w:tcPr>
          <w:p w14:paraId="11D37FC0" w14:textId="77777777" w:rsidR="00E96B29" w:rsidRPr="00027624" w:rsidRDefault="00E96B29" w:rsidP="00E96B29">
            <w:pPr>
              <w:pStyle w:val="TableTextCentered"/>
              <w:rPr>
                <w:szCs w:val="18"/>
              </w:rPr>
            </w:pPr>
            <w:r w:rsidRPr="00027624">
              <w:rPr>
                <w:szCs w:val="18"/>
              </w:rPr>
              <w:t>9.2</w:t>
            </w:r>
          </w:p>
        </w:tc>
        <w:tc>
          <w:tcPr>
            <w:tcW w:w="464" w:type="pct"/>
            <w:vAlign w:val="bottom"/>
          </w:tcPr>
          <w:p w14:paraId="79D8B134" w14:textId="77777777" w:rsidR="00E96B29" w:rsidRPr="00027624" w:rsidRDefault="00E96B29" w:rsidP="00E96B29">
            <w:pPr>
              <w:pStyle w:val="TableTextCentered"/>
              <w:rPr>
                <w:szCs w:val="18"/>
              </w:rPr>
            </w:pPr>
            <w:r w:rsidRPr="00027624">
              <w:rPr>
                <w:szCs w:val="18"/>
              </w:rPr>
              <w:t>7.8</w:t>
            </w:r>
          </w:p>
        </w:tc>
        <w:tc>
          <w:tcPr>
            <w:tcW w:w="464" w:type="pct"/>
            <w:vAlign w:val="bottom"/>
          </w:tcPr>
          <w:p w14:paraId="09130A89" w14:textId="77777777" w:rsidR="00E96B29" w:rsidRPr="00027624" w:rsidRDefault="00E96B29" w:rsidP="00E96B29">
            <w:pPr>
              <w:pStyle w:val="TableTextCentered"/>
              <w:rPr>
                <w:szCs w:val="18"/>
              </w:rPr>
            </w:pPr>
            <w:r w:rsidRPr="00027624">
              <w:rPr>
                <w:szCs w:val="18"/>
              </w:rPr>
              <w:t>6.6</w:t>
            </w:r>
          </w:p>
        </w:tc>
        <w:tc>
          <w:tcPr>
            <w:tcW w:w="518" w:type="pct"/>
            <w:vAlign w:val="bottom"/>
          </w:tcPr>
          <w:p w14:paraId="3A87D9F3" w14:textId="77777777" w:rsidR="00E96B29" w:rsidRPr="00027624" w:rsidRDefault="00E96B29" w:rsidP="00E96B29">
            <w:pPr>
              <w:pStyle w:val="TableTextCentered"/>
              <w:rPr>
                <w:szCs w:val="18"/>
              </w:rPr>
            </w:pPr>
            <w:r w:rsidRPr="00027624">
              <w:rPr>
                <w:szCs w:val="18"/>
              </w:rPr>
              <w:t>5.4</w:t>
            </w:r>
          </w:p>
        </w:tc>
      </w:tr>
      <w:tr w:rsidR="00E96B29" w:rsidRPr="00027624" w14:paraId="5AAA345F" w14:textId="77777777" w:rsidTr="00E96B29">
        <w:trPr>
          <w:trHeight w:val="270"/>
        </w:trPr>
        <w:tc>
          <w:tcPr>
            <w:tcW w:w="750" w:type="pct"/>
            <w:vAlign w:val="bottom"/>
          </w:tcPr>
          <w:p w14:paraId="71BF9326" w14:textId="77777777" w:rsidR="00E96B29" w:rsidRPr="00027624" w:rsidRDefault="00E96B29" w:rsidP="00E96B29">
            <w:pPr>
              <w:pStyle w:val="TableTextLeft"/>
              <w:rPr>
                <w:szCs w:val="18"/>
              </w:rPr>
            </w:pPr>
            <w:r w:rsidRPr="00027624">
              <w:rPr>
                <w:bCs/>
                <w:szCs w:val="18"/>
              </w:rPr>
              <w:t>73</w:t>
            </w:r>
          </w:p>
        </w:tc>
        <w:tc>
          <w:tcPr>
            <w:tcW w:w="467" w:type="pct"/>
            <w:vAlign w:val="bottom"/>
          </w:tcPr>
          <w:p w14:paraId="5D7CFCE8" w14:textId="77777777" w:rsidR="00E96B29" w:rsidRPr="00027624" w:rsidRDefault="00E96B29" w:rsidP="00E96B29">
            <w:pPr>
              <w:pStyle w:val="TableTextCentered"/>
              <w:rPr>
                <w:szCs w:val="18"/>
              </w:rPr>
            </w:pPr>
            <w:r w:rsidRPr="00027624">
              <w:rPr>
                <w:szCs w:val="18"/>
              </w:rPr>
              <w:t>9.0</w:t>
            </w:r>
          </w:p>
        </w:tc>
        <w:tc>
          <w:tcPr>
            <w:tcW w:w="467" w:type="pct"/>
            <w:vAlign w:val="bottom"/>
          </w:tcPr>
          <w:p w14:paraId="1EFF43E6" w14:textId="77777777" w:rsidR="00E96B29" w:rsidRPr="00027624" w:rsidRDefault="00E96B29" w:rsidP="00E96B29">
            <w:pPr>
              <w:pStyle w:val="TableTextCentered"/>
              <w:rPr>
                <w:szCs w:val="18"/>
              </w:rPr>
            </w:pPr>
            <w:r w:rsidRPr="00027624">
              <w:rPr>
                <w:szCs w:val="18"/>
              </w:rPr>
              <w:t>10.1</w:t>
            </w:r>
          </w:p>
        </w:tc>
        <w:tc>
          <w:tcPr>
            <w:tcW w:w="467" w:type="pct"/>
            <w:vAlign w:val="bottom"/>
          </w:tcPr>
          <w:p w14:paraId="41DC8C72" w14:textId="77777777" w:rsidR="00E96B29" w:rsidRPr="00027624" w:rsidRDefault="00E96B29" w:rsidP="00E96B29">
            <w:pPr>
              <w:pStyle w:val="TableTextCentered"/>
              <w:rPr>
                <w:szCs w:val="18"/>
              </w:rPr>
            </w:pPr>
            <w:r w:rsidRPr="00027624">
              <w:rPr>
                <w:szCs w:val="18"/>
              </w:rPr>
              <w:t>10.7</w:t>
            </w:r>
          </w:p>
        </w:tc>
        <w:tc>
          <w:tcPr>
            <w:tcW w:w="469" w:type="pct"/>
            <w:vAlign w:val="bottom"/>
          </w:tcPr>
          <w:p w14:paraId="4504CC9A" w14:textId="77777777" w:rsidR="00E96B29" w:rsidRPr="00027624" w:rsidRDefault="00E96B29" w:rsidP="00E96B29">
            <w:pPr>
              <w:pStyle w:val="TableTextCentered"/>
              <w:rPr>
                <w:szCs w:val="18"/>
              </w:rPr>
            </w:pPr>
            <w:r w:rsidRPr="00027624">
              <w:rPr>
                <w:szCs w:val="18"/>
              </w:rPr>
              <w:t>10.9</w:t>
            </w:r>
          </w:p>
        </w:tc>
        <w:tc>
          <w:tcPr>
            <w:tcW w:w="467" w:type="pct"/>
            <w:vAlign w:val="bottom"/>
          </w:tcPr>
          <w:p w14:paraId="642A0BF5" w14:textId="77777777" w:rsidR="00E96B29" w:rsidRPr="00027624" w:rsidRDefault="00E96B29" w:rsidP="00E96B29">
            <w:pPr>
              <w:pStyle w:val="TableTextCentered"/>
              <w:rPr>
                <w:szCs w:val="18"/>
              </w:rPr>
            </w:pPr>
            <w:r w:rsidRPr="00027624">
              <w:rPr>
                <w:szCs w:val="18"/>
              </w:rPr>
              <w:t>11.0</w:t>
            </w:r>
          </w:p>
        </w:tc>
        <w:tc>
          <w:tcPr>
            <w:tcW w:w="467" w:type="pct"/>
            <w:vAlign w:val="bottom"/>
          </w:tcPr>
          <w:p w14:paraId="3C1991F1" w14:textId="77777777" w:rsidR="00E96B29" w:rsidRPr="00027624" w:rsidRDefault="00E96B29" w:rsidP="00E96B29">
            <w:pPr>
              <w:pStyle w:val="TableTextCentered"/>
              <w:rPr>
                <w:szCs w:val="18"/>
              </w:rPr>
            </w:pPr>
            <w:r w:rsidRPr="00027624">
              <w:rPr>
                <w:szCs w:val="18"/>
              </w:rPr>
              <w:t>9.9</w:t>
            </w:r>
          </w:p>
        </w:tc>
        <w:tc>
          <w:tcPr>
            <w:tcW w:w="464" w:type="pct"/>
            <w:vAlign w:val="bottom"/>
          </w:tcPr>
          <w:p w14:paraId="3C009F85" w14:textId="77777777" w:rsidR="00E96B29" w:rsidRPr="00027624" w:rsidRDefault="00E96B29" w:rsidP="00E96B29">
            <w:pPr>
              <w:pStyle w:val="TableTextCentered"/>
              <w:rPr>
                <w:szCs w:val="18"/>
              </w:rPr>
            </w:pPr>
            <w:r w:rsidRPr="00027624">
              <w:rPr>
                <w:szCs w:val="18"/>
              </w:rPr>
              <w:t>8.2</w:t>
            </w:r>
          </w:p>
        </w:tc>
        <w:tc>
          <w:tcPr>
            <w:tcW w:w="464" w:type="pct"/>
            <w:vAlign w:val="bottom"/>
          </w:tcPr>
          <w:p w14:paraId="7EF48A67" w14:textId="77777777" w:rsidR="00E96B29" w:rsidRPr="00027624" w:rsidRDefault="00E96B29" w:rsidP="00E96B29">
            <w:pPr>
              <w:pStyle w:val="TableTextCentered"/>
              <w:rPr>
                <w:szCs w:val="18"/>
              </w:rPr>
            </w:pPr>
            <w:r w:rsidRPr="00027624">
              <w:rPr>
                <w:szCs w:val="18"/>
              </w:rPr>
              <w:t>6.9</w:t>
            </w:r>
          </w:p>
        </w:tc>
        <w:tc>
          <w:tcPr>
            <w:tcW w:w="518" w:type="pct"/>
            <w:vAlign w:val="bottom"/>
          </w:tcPr>
          <w:p w14:paraId="066E9080" w14:textId="77777777" w:rsidR="00E96B29" w:rsidRPr="00027624" w:rsidRDefault="00E96B29" w:rsidP="00E96B29">
            <w:pPr>
              <w:pStyle w:val="TableTextCentered"/>
              <w:rPr>
                <w:szCs w:val="18"/>
              </w:rPr>
            </w:pPr>
            <w:r w:rsidRPr="00027624">
              <w:rPr>
                <w:szCs w:val="18"/>
              </w:rPr>
              <w:t>5.6</w:t>
            </w:r>
          </w:p>
        </w:tc>
      </w:tr>
      <w:tr w:rsidR="00E96B29" w:rsidRPr="00027624" w14:paraId="103024A4" w14:textId="77777777" w:rsidTr="00E96B29">
        <w:trPr>
          <w:trHeight w:val="270"/>
        </w:trPr>
        <w:tc>
          <w:tcPr>
            <w:tcW w:w="750" w:type="pct"/>
            <w:vAlign w:val="bottom"/>
          </w:tcPr>
          <w:p w14:paraId="4EA8115A" w14:textId="77777777" w:rsidR="00E96B29" w:rsidRPr="00027624" w:rsidRDefault="00E96B29" w:rsidP="00E96B29">
            <w:pPr>
              <w:pStyle w:val="TableTextLeft"/>
              <w:rPr>
                <w:szCs w:val="18"/>
              </w:rPr>
            </w:pPr>
            <w:r w:rsidRPr="00027624">
              <w:rPr>
                <w:bCs/>
                <w:szCs w:val="18"/>
              </w:rPr>
              <w:t>74</w:t>
            </w:r>
          </w:p>
        </w:tc>
        <w:tc>
          <w:tcPr>
            <w:tcW w:w="467" w:type="pct"/>
            <w:vAlign w:val="bottom"/>
          </w:tcPr>
          <w:p w14:paraId="20AE98AB" w14:textId="77777777" w:rsidR="00E96B29" w:rsidRPr="00027624" w:rsidRDefault="00E96B29" w:rsidP="00E96B29">
            <w:pPr>
              <w:pStyle w:val="TableTextCentered"/>
              <w:rPr>
                <w:szCs w:val="18"/>
              </w:rPr>
            </w:pPr>
            <w:r w:rsidRPr="00027624">
              <w:rPr>
                <w:szCs w:val="18"/>
              </w:rPr>
              <w:t>9.3</w:t>
            </w:r>
          </w:p>
        </w:tc>
        <w:tc>
          <w:tcPr>
            <w:tcW w:w="467" w:type="pct"/>
            <w:vAlign w:val="bottom"/>
          </w:tcPr>
          <w:p w14:paraId="65238BF8" w14:textId="77777777" w:rsidR="00E96B29" w:rsidRPr="00027624" w:rsidRDefault="00E96B29" w:rsidP="00E96B29">
            <w:pPr>
              <w:pStyle w:val="TableTextCentered"/>
              <w:rPr>
                <w:szCs w:val="18"/>
              </w:rPr>
            </w:pPr>
            <w:r w:rsidRPr="00027624">
              <w:rPr>
                <w:szCs w:val="18"/>
              </w:rPr>
              <w:t>10.0</w:t>
            </w:r>
          </w:p>
        </w:tc>
        <w:tc>
          <w:tcPr>
            <w:tcW w:w="467" w:type="pct"/>
            <w:vAlign w:val="bottom"/>
          </w:tcPr>
          <w:p w14:paraId="1FBD9D9C" w14:textId="77777777" w:rsidR="00E96B29" w:rsidRPr="00027624" w:rsidRDefault="00E96B29" w:rsidP="00E96B29">
            <w:pPr>
              <w:pStyle w:val="TableTextCentered"/>
              <w:rPr>
                <w:szCs w:val="18"/>
              </w:rPr>
            </w:pPr>
            <w:r w:rsidRPr="00027624">
              <w:rPr>
                <w:szCs w:val="18"/>
              </w:rPr>
              <w:t>10.8</w:t>
            </w:r>
          </w:p>
        </w:tc>
        <w:tc>
          <w:tcPr>
            <w:tcW w:w="469" w:type="pct"/>
            <w:vAlign w:val="bottom"/>
          </w:tcPr>
          <w:p w14:paraId="48542E75" w14:textId="77777777" w:rsidR="00E96B29" w:rsidRPr="00027624" w:rsidRDefault="00E96B29" w:rsidP="00E96B29">
            <w:pPr>
              <w:pStyle w:val="TableTextCentered"/>
              <w:rPr>
                <w:szCs w:val="18"/>
              </w:rPr>
            </w:pPr>
            <w:r w:rsidRPr="00027624">
              <w:rPr>
                <w:szCs w:val="18"/>
              </w:rPr>
              <w:t>11.1</w:t>
            </w:r>
          </w:p>
        </w:tc>
        <w:tc>
          <w:tcPr>
            <w:tcW w:w="467" w:type="pct"/>
            <w:vAlign w:val="bottom"/>
          </w:tcPr>
          <w:p w14:paraId="60870E9A" w14:textId="77777777" w:rsidR="00E96B29" w:rsidRPr="00027624" w:rsidRDefault="00E96B29" w:rsidP="00E96B29">
            <w:pPr>
              <w:pStyle w:val="TableTextCentered"/>
              <w:rPr>
                <w:szCs w:val="18"/>
              </w:rPr>
            </w:pPr>
            <w:r w:rsidRPr="00027624">
              <w:rPr>
                <w:szCs w:val="18"/>
              </w:rPr>
              <w:t>11.2</w:t>
            </w:r>
          </w:p>
        </w:tc>
        <w:tc>
          <w:tcPr>
            <w:tcW w:w="467" w:type="pct"/>
            <w:vAlign w:val="bottom"/>
          </w:tcPr>
          <w:p w14:paraId="38480A74" w14:textId="77777777" w:rsidR="00E96B29" w:rsidRPr="00027624" w:rsidRDefault="00E96B29" w:rsidP="00E96B29">
            <w:pPr>
              <w:pStyle w:val="TableTextCentered"/>
              <w:rPr>
                <w:szCs w:val="18"/>
              </w:rPr>
            </w:pPr>
            <w:r w:rsidRPr="00027624">
              <w:rPr>
                <w:szCs w:val="18"/>
              </w:rPr>
              <w:t>10.8</w:t>
            </w:r>
          </w:p>
        </w:tc>
        <w:tc>
          <w:tcPr>
            <w:tcW w:w="464" w:type="pct"/>
            <w:vAlign w:val="bottom"/>
          </w:tcPr>
          <w:p w14:paraId="3EC5DC2F" w14:textId="77777777" w:rsidR="00E96B29" w:rsidRPr="00027624" w:rsidRDefault="00E96B29" w:rsidP="00E96B29">
            <w:pPr>
              <w:pStyle w:val="TableTextCentered"/>
              <w:rPr>
                <w:szCs w:val="18"/>
              </w:rPr>
            </w:pPr>
            <w:r w:rsidRPr="00027624">
              <w:rPr>
                <w:szCs w:val="18"/>
              </w:rPr>
              <w:t>8.7</w:t>
            </w:r>
          </w:p>
        </w:tc>
        <w:tc>
          <w:tcPr>
            <w:tcW w:w="464" w:type="pct"/>
            <w:vAlign w:val="bottom"/>
          </w:tcPr>
          <w:p w14:paraId="479CBAF6" w14:textId="77777777" w:rsidR="00E96B29" w:rsidRPr="00027624" w:rsidRDefault="00E96B29" w:rsidP="00E96B29">
            <w:pPr>
              <w:pStyle w:val="TableTextCentered"/>
              <w:rPr>
                <w:szCs w:val="18"/>
              </w:rPr>
            </w:pPr>
            <w:r w:rsidRPr="00027624">
              <w:rPr>
                <w:szCs w:val="18"/>
              </w:rPr>
              <w:t>7.3</w:t>
            </w:r>
          </w:p>
        </w:tc>
        <w:tc>
          <w:tcPr>
            <w:tcW w:w="518" w:type="pct"/>
            <w:vAlign w:val="bottom"/>
          </w:tcPr>
          <w:p w14:paraId="62BD3892" w14:textId="77777777" w:rsidR="00E96B29" w:rsidRPr="00027624" w:rsidRDefault="00E96B29" w:rsidP="00E96B29">
            <w:pPr>
              <w:pStyle w:val="TableTextCentered"/>
              <w:rPr>
                <w:szCs w:val="18"/>
              </w:rPr>
            </w:pPr>
            <w:r w:rsidRPr="00027624">
              <w:rPr>
                <w:szCs w:val="18"/>
              </w:rPr>
              <w:t>5.9</w:t>
            </w:r>
          </w:p>
        </w:tc>
      </w:tr>
      <w:tr w:rsidR="00E96B29" w:rsidRPr="00027624" w14:paraId="2637B911" w14:textId="77777777" w:rsidTr="00E96B29">
        <w:trPr>
          <w:trHeight w:val="270"/>
        </w:trPr>
        <w:tc>
          <w:tcPr>
            <w:tcW w:w="750" w:type="pct"/>
            <w:vAlign w:val="bottom"/>
          </w:tcPr>
          <w:p w14:paraId="21FA54C3" w14:textId="77777777" w:rsidR="00E96B29" w:rsidRPr="00027624" w:rsidRDefault="00E96B29" w:rsidP="00E96B29">
            <w:pPr>
              <w:pStyle w:val="TableTextLeft"/>
              <w:rPr>
                <w:szCs w:val="18"/>
              </w:rPr>
            </w:pPr>
            <w:r w:rsidRPr="00027624">
              <w:rPr>
                <w:bCs/>
                <w:szCs w:val="18"/>
              </w:rPr>
              <w:t>75</w:t>
            </w:r>
          </w:p>
        </w:tc>
        <w:tc>
          <w:tcPr>
            <w:tcW w:w="467" w:type="pct"/>
            <w:vAlign w:val="bottom"/>
          </w:tcPr>
          <w:p w14:paraId="1B9284A0" w14:textId="77777777" w:rsidR="00E96B29" w:rsidRPr="00027624" w:rsidRDefault="00E96B29" w:rsidP="00E96B29">
            <w:pPr>
              <w:pStyle w:val="TableTextCentered"/>
              <w:rPr>
                <w:szCs w:val="18"/>
              </w:rPr>
            </w:pPr>
            <w:r w:rsidRPr="00027624">
              <w:rPr>
                <w:szCs w:val="18"/>
              </w:rPr>
              <w:t>9.7</w:t>
            </w:r>
          </w:p>
        </w:tc>
        <w:tc>
          <w:tcPr>
            <w:tcW w:w="467" w:type="pct"/>
            <w:vAlign w:val="bottom"/>
          </w:tcPr>
          <w:p w14:paraId="5EF6A20C" w14:textId="77777777" w:rsidR="00E96B29" w:rsidRPr="00027624" w:rsidRDefault="00E96B29" w:rsidP="00E96B29">
            <w:pPr>
              <w:pStyle w:val="TableTextCentered"/>
              <w:rPr>
                <w:szCs w:val="18"/>
              </w:rPr>
            </w:pPr>
            <w:r w:rsidRPr="00027624">
              <w:rPr>
                <w:szCs w:val="18"/>
              </w:rPr>
              <w:t>10.0</w:t>
            </w:r>
          </w:p>
        </w:tc>
        <w:tc>
          <w:tcPr>
            <w:tcW w:w="467" w:type="pct"/>
            <w:vAlign w:val="bottom"/>
          </w:tcPr>
          <w:p w14:paraId="36B3A1D8" w14:textId="77777777" w:rsidR="00E96B29" w:rsidRPr="00027624" w:rsidRDefault="00E96B29" w:rsidP="00E96B29">
            <w:pPr>
              <w:pStyle w:val="TableTextCentered"/>
              <w:rPr>
                <w:szCs w:val="18"/>
              </w:rPr>
            </w:pPr>
            <w:r w:rsidRPr="00027624">
              <w:rPr>
                <w:szCs w:val="18"/>
              </w:rPr>
              <w:t>10.9</w:t>
            </w:r>
          </w:p>
        </w:tc>
        <w:tc>
          <w:tcPr>
            <w:tcW w:w="469" w:type="pct"/>
            <w:vAlign w:val="bottom"/>
          </w:tcPr>
          <w:p w14:paraId="24549C22" w14:textId="77777777" w:rsidR="00E96B29" w:rsidRPr="00027624" w:rsidRDefault="00E96B29" w:rsidP="00E96B29">
            <w:pPr>
              <w:pStyle w:val="TableTextCentered"/>
              <w:rPr>
                <w:szCs w:val="18"/>
              </w:rPr>
            </w:pPr>
            <w:r w:rsidRPr="00027624">
              <w:rPr>
                <w:szCs w:val="18"/>
              </w:rPr>
              <w:t>11.3</w:t>
            </w:r>
          </w:p>
        </w:tc>
        <w:tc>
          <w:tcPr>
            <w:tcW w:w="467" w:type="pct"/>
            <w:vAlign w:val="bottom"/>
          </w:tcPr>
          <w:p w14:paraId="5CF694D3" w14:textId="77777777" w:rsidR="00E96B29" w:rsidRPr="00027624" w:rsidRDefault="00E96B29" w:rsidP="00E96B29">
            <w:pPr>
              <w:pStyle w:val="TableTextCentered"/>
              <w:rPr>
                <w:szCs w:val="18"/>
              </w:rPr>
            </w:pPr>
            <w:r w:rsidRPr="00027624">
              <w:rPr>
                <w:szCs w:val="18"/>
              </w:rPr>
              <w:t>11.5</w:t>
            </w:r>
          </w:p>
        </w:tc>
        <w:tc>
          <w:tcPr>
            <w:tcW w:w="467" w:type="pct"/>
            <w:vAlign w:val="bottom"/>
          </w:tcPr>
          <w:p w14:paraId="7AB83FA3" w14:textId="77777777" w:rsidR="00E96B29" w:rsidRPr="00027624" w:rsidRDefault="00E96B29" w:rsidP="00E96B29">
            <w:pPr>
              <w:pStyle w:val="TableTextCentered"/>
              <w:rPr>
                <w:szCs w:val="18"/>
              </w:rPr>
            </w:pPr>
            <w:r w:rsidRPr="00027624">
              <w:rPr>
                <w:szCs w:val="18"/>
              </w:rPr>
              <w:t>11.8</w:t>
            </w:r>
          </w:p>
        </w:tc>
        <w:tc>
          <w:tcPr>
            <w:tcW w:w="464" w:type="pct"/>
            <w:vAlign w:val="bottom"/>
          </w:tcPr>
          <w:p w14:paraId="096E3A04" w14:textId="77777777" w:rsidR="00E96B29" w:rsidRPr="00027624" w:rsidRDefault="00E96B29" w:rsidP="00E96B29">
            <w:pPr>
              <w:pStyle w:val="TableTextCentered"/>
              <w:rPr>
                <w:szCs w:val="18"/>
              </w:rPr>
            </w:pPr>
            <w:r w:rsidRPr="00027624">
              <w:rPr>
                <w:szCs w:val="18"/>
              </w:rPr>
              <w:t>9.4</w:t>
            </w:r>
          </w:p>
        </w:tc>
        <w:tc>
          <w:tcPr>
            <w:tcW w:w="464" w:type="pct"/>
            <w:vAlign w:val="bottom"/>
          </w:tcPr>
          <w:p w14:paraId="64B47136" w14:textId="77777777" w:rsidR="00E96B29" w:rsidRPr="00027624" w:rsidRDefault="00E96B29" w:rsidP="00E96B29">
            <w:pPr>
              <w:pStyle w:val="TableTextCentered"/>
              <w:rPr>
                <w:szCs w:val="18"/>
              </w:rPr>
            </w:pPr>
            <w:r w:rsidRPr="00027624">
              <w:rPr>
                <w:szCs w:val="18"/>
              </w:rPr>
              <w:t>7.7</w:t>
            </w:r>
          </w:p>
        </w:tc>
        <w:tc>
          <w:tcPr>
            <w:tcW w:w="518" w:type="pct"/>
            <w:vAlign w:val="bottom"/>
          </w:tcPr>
          <w:p w14:paraId="79680293" w14:textId="77777777" w:rsidR="00E96B29" w:rsidRPr="00027624" w:rsidRDefault="00E96B29" w:rsidP="00E96B29">
            <w:pPr>
              <w:pStyle w:val="TableTextCentered"/>
              <w:rPr>
                <w:szCs w:val="18"/>
              </w:rPr>
            </w:pPr>
            <w:r w:rsidRPr="00027624">
              <w:rPr>
                <w:szCs w:val="18"/>
              </w:rPr>
              <w:t>6.2</w:t>
            </w:r>
          </w:p>
        </w:tc>
      </w:tr>
      <w:tr w:rsidR="00E96B29" w:rsidRPr="00027624" w14:paraId="5C8871A3" w14:textId="77777777" w:rsidTr="00E96B29">
        <w:trPr>
          <w:trHeight w:val="270"/>
        </w:trPr>
        <w:tc>
          <w:tcPr>
            <w:tcW w:w="750" w:type="pct"/>
            <w:vAlign w:val="bottom"/>
          </w:tcPr>
          <w:p w14:paraId="42C377CC" w14:textId="77777777" w:rsidR="00E96B29" w:rsidRPr="00027624" w:rsidRDefault="00E96B29" w:rsidP="00E96B29">
            <w:pPr>
              <w:pStyle w:val="TableTextLeft"/>
              <w:rPr>
                <w:szCs w:val="18"/>
              </w:rPr>
            </w:pPr>
            <w:r w:rsidRPr="00027624">
              <w:rPr>
                <w:bCs/>
                <w:szCs w:val="18"/>
              </w:rPr>
              <w:t>76</w:t>
            </w:r>
          </w:p>
        </w:tc>
        <w:tc>
          <w:tcPr>
            <w:tcW w:w="467" w:type="pct"/>
            <w:vAlign w:val="bottom"/>
          </w:tcPr>
          <w:p w14:paraId="5FD7B6E8" w14:textId="77777777" w:rsidR="00E96B29" w:rsidRPr="00027624" w:rsidRDefault="00E96B29" w:rsidP="00E96B29">
            <w:pPr>
              <w:pStyle w:val="TableTextCentered"/>
              <w:rPr>
                <w:szCs w:val="18"/>
              </w:rPr>
            </w:pPr>
            <w:r w:rsidRPr="00027624">
              <w:rPr>
                <w:szCs w:val="18"/>
              </w:rPr>
              <w:t>10.1</w:t>
            </w:r>
          </w:p>
        </w:tc>
        <w:tc>
          <w:tcPr>
            <w:tcW w:w="467" w:type="pct"/>
            <w:vAlign w:val="bottom"/>
          </w:tcPr>
          <w:p w14:paraId="7190CE66" w14:textId="77777777" w:rsidR="00E96B29" w:rsidRPr="00027624" w:rsidRDefault="00E96B29" w:rsidP="00E96B29">
            <w:pPr>
              <w:pStyle w:val="TableTextCentered"/>
              <w:rPr>
                <w:szCs w:val="18"/>
              </w:rPr>
            </w:pPr>
            <w:r w:rsidRPr="00027624">
              <w:rPr>
                <w:szCs w:val="18"/>
              </w:rPr>
              <w:t>9.9</w:t>
            </w:r>
          </w:p>
        </w:tc>
        <w:tc>
          <w:tcPr>
            <w:tcW w:w="467" w:type="pct"/>
            <w:vAlign w:val="bottom"/>
          </w:tcPr>
          <w:p w14:paraId="5B4B2360" w14:textId="77777777" w:rsidR="00E96B29" w:rsidRPr="00027624" w:rsidRDefault="00E96B29" w:rsidP="00E96B29">
            <w:pPr>
              <w:pStyle w:val="TableTextCentered"/>
              <w:rPr>
                <w:szCs w:val="18"/>
              </w:rPr>
            </w:pPr>
            <w:r w:rsidRPr="00027624">
              <w:rPr>
                <w:szCs w:val="18"/>
              </w:rPr>
              <w:t>10.9</w:t>
            </w:r>
          </w:p>
        </w:tc>
        <w:tc>
          <w:tcPr>
            <w:tcW w:w="469" w:type="pct"/>
            <w:vAlign w:val="bottom"/>
          </w:tcPr>
          <w:p w14:paraId="6C9911AF" w14:textId="77777777" w:rsidR="00E96B29" w:rsidRPr="00027624" w:rsidRDefault="00E96B29" w:rsidP="00E96B29">
            <w:pPr>
              <w:pStyle w:val="TableTextCentered"/>
              <w:rPr>
                <w:szCs w:val="18"/>
              </w:rPr>
            </w:pPr>
            <w:r w:rsidRPr="00027624">
              <w:rPr>
                <w:szCs w:val="18"/>
              </w:rPr>
              <w:t>11.4</w:t>
            </w:r>
          </w:p>
        </w:tc>
        <w:tc>
          <w:tcPr>
            <w:tcW w:w="467" w:type="pct"/>
            <w:vAlign w:val="bottom"/>
          </w:tcPr>
          <w:p w14:paraId="4748516C" w14:textId="77777777" w:rsidR="00E96B29" w:rsidRPr="00027624" w:rsidRDefault="00E96B29" w:rsidP="00E96B29">
            <w:pPr>
              <w:pStyle w:val="TableTextCentered"/>
              <w:rPr>
                <w:szCs w:val="18"/>
              </w:rPr>
            </w:pPr>
            <w:r w:rsidRPr="00027624">
              <w:rPr>
                <w:szCs w:val="18"/>
              </w:rPr>
              <w:t>11.7</w:t>
            </w:r>
          </w:p>
        </w:tc>
        <w:tc>
          <w:tcPr>
            <w:tcW w:w="467" w:type="pct"/>
            <w:vAlign w:val="bottom"/>
          </w:tcPr>
          <w:p w14:paraId="3C6876F9" w14:textId="77777777" w:rsidR="00E96B29" w:rsidRPr="00027624" w:rsidRDefault="00E96B29" w:rsidP="00E96B29">
            <w:pPr>
              <w:pStyle w:val="TableTextCentered"/>
              <w:rPr>
                <w:szCs w:val="18"/>
              </w:rPr>
            </w:pPr>
            <w:r w:rsidRPr="00027624">
              <w:rPr>
                <w:szCs w:val="18"/>
              </w:rPr>
              <w:t>12.1</w:t>
            </w:r>
          </w:p>
        </w:tc>
        <w:tc>
          <w:tcPr>
            <w:tcW w:w="464" w:type="pct"/>
            <w:vAlign w:val="bottom"/>
          </w:tcPr>
          <w:p w14:paraId="0EA90707" w14:textId="77777777" w:rsidR="00E96B29" w:rsidRPr="00027624" w:rsidRDefault="00E96B29" w:rsidP="00E96B29">
            <w:pPr>
              <w:pStyle w:val="TableTextCentered"/>
              <w:rPr>
                <w:szCs w:val="18"/>
              </w:rPr>
            </w:pPr>
            <w:r w:rsidRPr="00027624">
              <w:rPr>
                <w:szCs w:val="18"/>
              </w:rPr>
              <w:t>10.1</w:t>
            </w:r>
          </w:p>
        </w:tc>
        <w:tc>
          <w:tcPr>
            <w:tcW w:w="464" w:type="pct"/>
            <w:vAlign w:val="bottom"/>
          </w:tcPr>
          <w:p w14:paraId="057F3F7C" w14:textId="77777777" w:rsidR="00E96B29" w:rsidRPr="00027624" w:rsidRDefault="00E96B29" w:rsidP="00E96B29">
            <w:pPr>
              <w:pStyle w:val="TableTextCentered"/>
              <w:rPr>
                <w:szCs w:val="18"/>
              </w:rPr>
            </w:pPr>
            <w:r w:rsidRPr="00027624">
              <w:rPr>
                <w:szCs w:val="18"/>
              </w:rPr>
              <w:t>8.1</w:t>
            </w:r>
          </w:p>
        </w:tc>
        <w:tc>
          <w:tcPr>
            <w:tcW w:w="518" w:type="pct"/>
            <w:vAlign w:val="bottom"/>
          </w:tcPr>
          <w:p w14:paraId="7DB32467" w14:textId="77777777" w:rsidR="00E96B29" w:rsidRPr="00027624" w:rsidRDefault="00E96B29" w:rsidP="00E96B29">
            <w:pPr>
              <w:pStyle w:val="TableTextCentered"/>
              <w:rPr>
                <w:szCs w:val="18"/>
              </w:rPr>
            </w:pPr>
            <w:r w:rsidRPr="00027624">
              <w:rPr>
                <w:szCs w:val="18"/>
              </w:rPr>
              <w:t>6.5</w:t>
            </w:r>
          </w:p>
        </w:tc>
      </w:tr>
      <w:tr w:rsidR="00E96B29" w:rsidRPr="00027624" w14:paraId="22F61716" w14:textId="77777777" w:rsidTr="00E96B29">
        <w:trPr>
          <w:trHeight w:val="270"/>
        </w:trPr>
        <w:tc>
          <w:tcPr>
            <w:tcW w:w="750" w:type="pct"/>
            <w:vAlign w:val="bottom"/>
          </w:tcPr>
          <w:p w14:paraId="797C5B8B" w14:textId="77777777" w:rsidR="00E96B29" w:rsidRPr="00027624" w:rsidRDefault="00E96B29" w:rsidP="00E96B29">
            <w:pPr>
              <w:pStyle w:val="TableTextLeft"/>
              <w:rPr>
                <w:szCs w:val="18"/>
              </w:rPr>
            </w:pPr>
            <w:r w:rsidRPr="00027624">
              <w:rPr>
                <w:bCs/>
                <w:szCs w:val="18"/>
              </w:rPr>
              <w:t>77</w:t>
            </w:r>
          </w:p>
        </w:tc>
        <w:tc>
          <w:tcPr>
            <w:tcW w:w="467" w:type="pct"/>
            <w:vAlign w:val="bottom"/>
          </w:tcPr>
          <w:p w14:paraId="32D0E1D4" w14:textId="77777777" w:rsidR="00E96B29" w:rsidRPr="00027624" w:rsidRDefault="00E96B29" w:rsidP="00E96B29">
            <w:pPr>
              <w:pStyle w:val="TableTextCentered"/>
              <w:rPr>
                <w:szCs w:val="18"/>
              </w:rPr>
            </w:pPr>
            <w:r w:rsidRPr="00027624">
              <w:rPr>
                <w:szCs w:val="18"/>
              </w:rPr>
              <w:t>10.6</w:t>
            </w:r>
          </w:p>
        </w:tc>
        <w:tc>
          <w:tcPr>
            <w:tcW w:w="467" w:type="pct"/>
            <w:vAlign w:val="bottom"/>
          </w:tcPr>
          <w:p w14:paraId="12743F16" w14:textId="77777777" w:rsidR="00E96B29" w:rsidRPr="00027624" w:rsidRDefault="00E96B29" w:rsidP="00E96B29">
            <w:pPr>
              <w:pStyle w:val="TableTextCentered"/>
              <w:rPr>
                <w:szCs w:val="18"/>
              </w:rPr>
            </w:pPr>
            <w:r w:rsidRPr="00027624">
              <w:rPr>
                <w:szCs w:val="18"/>
              </w:rPr>
              <w:t>9.9</w:t>
            </w:r>
          </w:p>
        </w:tc>
        <w:tc>
          <w:tcPr>
            <w:tcW w:w="467" w:type="pct"/>
            <w:vAlign w:val="bottom"/>
          </w:tcPr>
          <w:p w14:paraId="10A4E3E5" w14:textId="77777777" w:rsidR="00E96B29" w:rsidRPr="00027624" w:rsidRDefault="00E96B29" w:rsidP="00E96B29">
            <w:pPr>
              <w:pStyle w:val="TableTextCentered"/>
              <w:rPr>
                <w:szCs w:val="18"/>
              </w:rPr>
            </w:pPr>
            <w:r w:rsidRPr="00027624">
              <w:rPr>
                <w:szCs w:val="18"/>
              </w:rPr>
              <w:t>11.0</w:t>
            </w:r>
          </w:p>
        </w:tc>
        <w:tc>
          <w:tcPr>
            <w:tcW w:w="469" w:type="pct"/>
            <w:vAlign w:val="bottom"/>
          </w:tcPr>
          <w:p w14:paraId="20C784D0" w14:textId="77777777" w:rsidR="00E96B29" w:rsidRPr="00027624" w:rsidRDefault="00E96B29" w:rsidP="00E96B29">
            <w:pPr>
              <w:pStyle w:val="TableTextCentered"/>
              <w:rPr>
                <w:szCs w:val="18"/>
              </w:rPr>
            </w:pPr>
            <w:r w:rsidRPr="00027624">
              <w:rPr>
                <w:szCs w:val="18"/>
              </w:rPr>
              <w:t>11.6</w:t>
            </w:r>
          </w:p>
        </w:tc>
        <w:tc>
          <w:tcPr>
            <w:tcW w:w="467" w:type="pct"/>
            <w:vAlign w:val="bottom"/>
          </w:tcPr>
          <w:p w14:paraId="213ED104" w14:textId="77777777" w:rsidR="00E96B29" w:rsidRPr="00027624" w:rsidRDefault="00E96B29" w:rsidP="00E96B29">
            <w:pPr>
              <w:pStyle w:val="TableTextCentered"/>
              <w:rPr>
                <w:szCs w:val="18"/>
              </w:rPr>
            </w:pPr>
            <w:r w:rsidRPr="00027624">
              <w:rPr>
                <w:szCs w:val="18"/>
              </w:rPr>
              <w:t>12.0</w:t>
            </w:r>
          </w:p>
        </w:tc>
        <w:tc>
          <w:tcPr>
            <w:tcW w:w="467" w:type="pct"/>
            <w:vAlign w:val="bottom"/>
          </w:tcPr>
          <w:p w14:paraId="01E55BCD" w14:textId="77777777" w:rsidR="00E96B29" w:rsidRPr="00027624" w:rsidRDefault="00E96B29" w:rsidP="00E96B29">
            <w:pPr>
              <w:pStyle w:val="TableTextCentered"/>
              <w:rPr>
                <w:szCs w:val="18"/>
              </w:rPr>
            </w:pPr>
            <w:r w:rsidRPr="00027624">
              <w:rPr>
                <w:szCs w:val="18"/>
              </w:rPr>
              <w:t>12.4</w:t>
            </w:r>
          </w:p>
        </w:tc>
        <w:tc>
          <w:tcPr>
            <w:tcW w:w="464" w:type="pct"/>
            <w:vAlign w:val="bottom"/>
          </w:tcPr>
          <w:p w14:paraId="56FF76AD" w14:textId="77777777" w:rsidR="00E96B29" w:rsidRPr="00027624" w:rsidRDefault="00E96B29" w:rsidP="00E96B29">
            <w:pPr>
              <w:pStyle w:val="TableTextCentered"/>
              <w:rPr>
                <w:szCs w:val="18"/>
              </w:rPr>
            </w:pPr>
            <w:r w:rsidRPr="00027624">
              <w:rPr>
                <w:szCs w:val="18"/>
              </w:rPr>
              <w:t>10.9</w:t>
            </w:r>
          </w:p>
        </w:tc>
        <w:tc>
          <w:tcPr>
            <w:tcW w:w="464" w:type="pct"/>
            <w:vAlign w:val="bottom"/>
          </w:tcPr>
          <w:p w14:paraId="2178B553" w14:textId="77777777" w:rsidR="00E96B29" w:rsidRPr="00027624" w:rsidRDefault="00E96B29" w:rsidP="00E96B29">
            <w:pPr>
              <w:pStyle w:val="TableTextCentered"/>
              <w:rPr>
                <w:szCs w:val="18"/>
              </w:rPr>
            </w:pPr>
            <w:r w:rsidRPr="00027624">
              <w:rPr>
                <w:szCs w:val="18"/>
              </w:rPr>
              <w:t>8.6</w:t>
            </w:r>
          </w:p>
        </w:tc>
        <w:tc>
          <w:tcPr>
            <w:tcW w:w="518" w:type="pct"/>
            <w:vAlign w:val="bottom"/>
          </w:tcPr>
          <w:p w14:paraId="2ED0FFE7" w14:textId="77777777" w:rsidR="00E96B29" w:rsidRPr="00027624" w:rsidRDefault="00E96B29" w:rsidP="00E96B29">
            <w:pPr>
              <w:pStyle w:val="TableTextCentered"/>
              <w:rPr>
                <w:szCs w:val="18"/>
              </w:rPr>
            </w:pPr>
            <w:r w:rsidRPr="00027624">
              <w:rPr>
                <w:szCs w:val="18"/>
              </w:rPr>
              <w:t>6.8</w:t>
            </w:r>
          </w:p>
        </w:tc>
      </w:tr>
      <w:tr w:rsidR="00E96B29" w:rsidRPr="00027624" w14:paraId="13247720" w14:textId="77777777" w:rsidTr="00E96B29">
        <w:trPr>
          <w:trHeight w:val="270"/>
        </w:trPr>
        <w:tc>
          <w:tcPr>
            <w:tcW w:w="750" w:type="pct"/>
            <w:vAlign w:val="bottom"/>
          </w:tcPr>
          <w:p w14:paraId="55E07C7C" w14:textId="77777777" w:rsidR="00E96B29" w:rsidRPr="00027624" w:rsidRDefault="00E96B29" w:rsidP="00E96B29">
            <w:pPr>
              <w:pStyle w:val="TableTextLeft"/>
              <w:rPr>
                <w:szCs w:val="18"/>
              </w:rPr>
            </w:pPr>
            <w:r w:rsidRPr="00027624">
              <w:rPr>
                <w:bCs/>
                <w:szCs w:val="18"/>
              </w:rPr>
              <w:t>78</w:t>
            </w:r>
          </w:p>
        </w:tc>
        <w:tc>
          <w:tcPr>
            <w:tcW w:w="467" w:type="pct"/>
            <w:vAlign w:val="bottom"/>
          </w:tcPr>
          <w:p w14:paraId="2014848E" w14:textId="77777777" w:rsidR="00E96B29" w:rsidRPr="00027624" w:rsidRDefault="00E96B29" w:rsidP="00E96B29">
            <w:pPr>
              <w:pStyle w:val="TableTextCentered"/>
              <w:rPr>
                <w:szCs w:val="18"/>
              </w:rPr>
            </w:pPr>
            <w:r w:rsidRPr="00027624">
              <w:rPr>
                <w:szCs w:val="18"/>
              </w:rPr>
              <w:t>11.1</w:t>
            </w:r>
          </w:p>
        </w:tc>
        <w:tc>
          <w:tcPr>
            <w:tcW w:w="467" w:type="pct"/>
            <w:vAlign w:val="bottom"/>
          </w:tcPr>
          <w:p w14:paraId="4E2DF774" w14:textId="77777777" w:rsidR="00E96B29" w:rsidRPr="00027624" w:rsidRDefault="00E96B29" w:rsidP="00E96B29">
            <w:pPr>
              <w:pStyle w:val="TableTextCentered"/>
              <w:rPr>
                <w:szCs w:val="18"/>
              </w:rPr>
            </w:pPr>
            <w:r w:rsidRPr="00027624">
              <w:rPr>
                <w:szCs w:val="18"/>
              </w:rPr>
              <w:t>10.4</w:t>
            </w:r>
          </w:p>
        </w:tc>
        <w:tc>
          <w:tcPr>
            <w:tcW w:w="467" w:type="pct"/>
            <w:vAlign w:val="bottom"/>
          </w:tcPr>
          <w:p w14:paraId="547AFC00" w14:textId="77777777" w:rsidR="00E96B29" w:rsidRPr="00027624" w:rsidRDefault="00E96B29" w:rsidP="00E96B29">
            <w:pPr>
              <w:pStyle w:val="TableTextCentered"/>
              <w:rPr>
                <w:szCs w:val="18"/>
              </w:rPr>
            </w:pPr>
            <w:r w:rsidRPr="00027624">
              <w:rPr>
                <w:szCs w:val="18"/>
              </w:rPr>
              <w:t>11.0</w:t>
            </w:r>
          </w:p>
        </w:tc>
        <w:tc>
          <w:tcPr>
            <w:tcW w:w="469" w:type="pct"/>
            <w:vAlign w:val="bottom"/>
          </w:tcPr>
          <w:p w14:paraId="0D226432" w14:textId="77777777" w:rsidR="00E96B29" w:rsidRPr="00027624" w:rsidRDefault="00E96B29" w:rsidP="00E96B29">
            <w:pPr>
              <w:pStyle w:val="TableTextCentered"/>
              <w:rPr>
                <w:szCs w:val="18"/>
              </w:rPr>
            </w:pPr>
            <w:r w:rsidRPr="00027624">
              <w:rPr>
                <w:szCs w:val="18"/>
              </w:rPr>
              <w:t>11.8</w:t>
            </w:r>
          </w:p>
        </w:tc>
        <w:tc>
          <w:tcPr>
            <w:tcW w:w="467" w:type="pct"/>
            <w:vAlign w:val="bottom"/>
          </w:tcPr>
          <w:p w14:paraId="7B6A7D9F" w14:textId="77777777" w:rsidR="00E96B29" w:rsidRPr="00027624" w:rsidRDefault="00E96B29" w:rsidP="00E96B29">
            <w:pPr>
              <w:pStyle w:val="TableTextCentered"/>
              <w:rPr>
                <w:szCs w:val="18"/>
              </w:rPr>
            </w:pPr>
            <w:r w:rsidRPr="00027624">
              <w:rPr>
                <w:szCs w:val="18"/>
              </w:rPr>
              <w:t>12.2</w:t>
            </w:r>
          </w:p>
        </w:tc>
        <w:tc>
          <w:tcPr>
            <w:tcW w:w="467" w:type="pct"/>
            <w:vAlign w:val="bottom"/>
          </w:tcPr>
          <w:p w14:paraId="3F622417" w14:textId="77777777" w:rsidR="00E96B29" w:rsidRPr="00027624" w:rsidRDefault="00E96B29" w:rsidP="00E96B29">
            <w:pPr>
              <w:pStyle w:val="TableTextCentered"/>
              <w:rPr>
                <w:szCs w:val="18"/>
              </w:rPr>
            </w:pPr>
            <w:r w:rsidRPr="00027624">
              <w:rPr>
                <w:szCs w:val="18"/>
              </w:rPr>
              <w:t>12.7</w:t>
            </w:r>
          </w:p>
        </w:tc>
        <w:tc>
          <w:tcPr>
            <w:tcW w:w="464" w:type="pct"/>
            <w:vAlign w:val="bottom"/>
          </w:tcPr>
          <w:p w14:paraId="330F4C6A" w14:textId="77777777" w:rsidR="00E96B29" w:rsidRPr="00027624" w:rsidRDefault="00E96B29" w:rsidP="00E96B29">
            <w:pPr>
              <w:pStyle w:val="TableTextCentered"/>
              <w:rPr>
                <w:szCs w:val="18"/>
              </w:rPr>
            </w:pPr>
            <w:r w:rsidRPr="00027624">
              <w:rPr>
                <w:szCs w:val="18"/>
              </w:rPr>
              <w:t>12.0</w:t>
            </w:r>
          </w:p>
        </w:tc>
        <w:tc>
          <w:tcPr>
            <w:tcW w:w="464" w:type="pct"/>
            <w:vAlign w:val="bottom"/>
          </w:tcPr>
          <w:p w14:paraId="6CF351FA" w14:textId="77777777" w:rsidR="00E96B29" w:rsidRPr="00027624" w:rsidRDefault="00E96B29" w:rsidP="00E96B29">
            <w:pPr>
              <w:pStyle w:val="TableTextCentered"/>
              <w:rPr>
                <w:szCs w:val="18"/>
              </w:rPr>
            </w:pPr>
            <w:r w:rsidRPr="00027624">
              <w:rPr>
                <w:szCs w:val="18"/>
              </w:rPr>
              <w:t>9.3</w:t>
            </w:r>
          </w:p>
        </w:tc>
        <w:tc>
          <w:tcPr>
            <w:tcW w:w="518" w:type="pct"/>
            <w:vAlign w:val="bottom"/>
          </w:tcPr>
          <w:p w14:paraId="4D9CCAFF" w14:textId="77777777" w:rsidR="00E96B29" w:rsidRPr="00027624" w:rsidRDefault="00E96B29" w:rsidP="00E96B29">
            <w:pPr>
              <w:pStyle w:val="TableTextCentered"/>
              <w:rPr>
                <w:szCs w:val="18"/>
              </w:rPr>
            </w:pPr>
            <w:r w:rsidRPr="00027624">
              <w:rPr>
                <w:szCs w:val="18"/>
              </w:rPr>
              <w:t>7.2</w:t>
            </w:r>
          </w:p>
        </w:tc>
      </w:tr>
      <w:tr w:rsidR="00E96B29" w:rsidRPr="00027624" w14:paraId="6ED32ABB" w14:textId="77777777" w:rsidTr="00E96B29">
        <w:trPr>
          <w:trHeight w:val="270"/>
        </w:trPr>
        <w:tc>
          <w:tcPr>
            <w:tcW w:w="750" w:type="pct"/>
            <w:vAlign w:val="bottom"/>
          </w:tcPr>
          <w:p w14:paraId="78FABBF9" w14:textId="77777777" w:rsidR="00E96B29" w:rsidRPr="00027624" w:rsidRDefault="00E96B29" w:rsidP="00E96B29">
            <w:pPr>
              <w:pStyle w:val="TableTextLeft"/>
              <w:rPr>
                <w:szCs w:val="18"/>
              </w:rPr>
            </w:pPr>
            <w:r w:rsidRPr="00027624">
              <w:rPr>
                <w:bCs/>
                <w:szCs w:val="18"/>
              </w:rPr>
              <w:t>79</w:t>
            </w:r>
          </w:p>
        </w:tc>
        <w:tc>
          <w:tcPr>
            <w:tcW w:w="467" w:type="pct"/>
            <w:vAlign w:val="bottom"/>
          </w:tcPr>
          <w:p w14:paraId="460A25E2" w14:textId="77777777" w:rsidR="00E96B29" w:rsidRPr="00027624" w:rsidRDefault="00E96B29" w:rsidP="00E96B29">
            <w:pPr>
              <w:pStyle w:val="TableTextCentered"/>
              <w:rPr>
                <w:szCs w:val="18"/>
              </w:rPr>
            </w:pPr>
            <w:r w:rsidRPr="00027624">
              <w:rPr>
                <w:szCs w:val="18"/>
              </w:rPr>
              <w:t>11.7</w:t>
            </w:r>
          </w:p>
        </w:tc>
        <w:tc>
          <w:tcPr>
            <w:tcW w:w="467" w:type="pct"/>
            <w:vAlign w:val="bottom"/>
          </w:tcPr>
          <w:p w14:paraId="0E5C34A2" w14:textId="77777777" w:rsidR="00E96B29" w:rsidRPr="00027624" w:rsidRDefault="00E96B29" w:rsidP="00E96B29">
            <w:pPr>
              <w:pStyle w:val="TableTextCentered"/>
              <w:rPr>
                <w:szCs w:val="18"/>
              </w:rPr>
            </w:pPr>
            <w:r w:rsidRPr="00027624">
              <w:rPr>
                <w:szCs w:val="18"/>
              </w:rPr>
              <w:t>10.8</w:t>
            </w:r>
          </w:p>
        </w:tc>
        <w:tc>
          <w:tcPr>
            <w:tcW w:w="467" w:type="pct"/>
            <w:vAlign w:val="bottom"/>
          </w:tcPr>
          <w:p w14:paraId="025BE30D" w14:textId="77777777" w:rsidR="00E96B29" w:rsidRPr="00027624" w:rsidRDefault="00E96B29" w:rsidP="00E96B29">
            <w:pPr>
              <w:pStyle w:val="TableTextCentered"/>
              <w:rPr>
                <w:szCs w:val="18"/>
              </w:rPr>
            </w:pPr>
            <w:r w:rsidRPr="00027624">
              <w:rPr>
                <w:szCs w:val="18"/>
              </w:rPr>
              <w:t>11.1</w:t>
            </w:r>
          </w:p>
        </w:tc>
        <w:tc>
          <w:tcPr>
            <w:tcW w:w="469" w:type="pct"/>
            <w:vAlign w:val="bottom"/>
          </w:tcPr>
          <w:p w14:paraId="1A22260B" w14:textId="77777777" w:rsidR="00E96B29" w:rsidRPr="00027624" w:rsidRDefault="00E96B29" w:rsidP="00E96B29">
            <w:pPr>
              <w:pStyle w:val="TableTextCentered"/>
              <w:rPr>
                <w:szCs w:val="18"/>
              </w:rPr>
            </w:pPr>
            <w:r w:rsidRPr="00027624">
              <w:rPr>
                <w:szCs w:val="18"/>
              </w:rPr>
              <w:t>11.9</w:t>
            </w:r>
          </w:p>
        </w:tc>
        <w:tc>
          <w:tcPr>
            <w:tcW w:w="467" w:type="pct"/>
            <w:vAlign w:val="bottom"/>
          </w:tcPr>
          <w:p w14:paraId="2B1A2FF1" w14:textId="77777777" w:rsidR="00E96B29" w:rsidRPr="00027624" w:rsidRDefault="00E96B29" w:rsidP="00E96B29">
            <w:pPr>
              <w:pStyle w:val="TableTextCentered"/>
              <w:rPr>
                <w:szCs w:val="18"/>
              </w:rPr>
            </w:pPr>
            <w:r w:rsidRPr="00027624">
              <w:rPr>
                <w:szCs w:val="18"/>
              </w:rPr>
              <w:t>12.5</w:t>
            </w:r>
          </w:p>
        </w:tc>
        <w:tc>
          <w:tcPr>
            <w:tcW w:w="467" w:type="pct"/>
            <w:vAlign w:val="bottom"/>
          </w:tcPr>
          <w:p w14:paraId="26AE0705" w14:textId="77777777" w:rsidR="00E96B29" w:rsidRPr="00027624" w:rsidRDefault="00E96B29" w:rsidP="00E96B29">
            <w:pPr>
              <w:pStyle w:val="TableTextCentered"/>
              <w:rPr>
                <w:szCs w:val="18"/>
              </w:rPr>
            </w:pPr>
            <w:r w:rsidRPr="00027624">
              <w:rPr>
                <w:szCs w:val="18"/>
              </w:rPr>
              <w:t>13.1</w:t>
            </w:r>
          </w:p>
        </w:tc>
        <w:tc>
          <w:tcPr>
            <w:tcW w:w="464" w:type="pct"/>
            <w:vAlign w:val="bottom"/>
          </w:tcPr>
          <w:p w14:paraId="7D5015D1" w14:textId="77777777" w:rsidR="00E96B29" w:rsidRPr="00027624" w:rsidRDefault="00E96B29" w:rsidP="00E96B29">
            <w:pPr>
              <w:pStyle w:val="TableTextCentered"/>
              <w:rPr>
                <w:szCs w:val="18"/>
              </w:rPr>
            </w:pPr>
            <w:r w:rsidRPr="00027624">
              <w:rPr>
                <w:szCs w:val="18"/>
              </w:rPr>
              <w:t>13.1</w:t>
            </w:r>
          </w:p>
        </w:tc>
        <w:tc>
          <w:tcPr>
            <w:tcW w:w="464" w:type="pct"/>
            <w:vAlign w:val="bottom"/>
          </w:tcPr>
          <w:p w14:paraId="0461EC50" w14:textId="77777777" w:rsidR="00E96B29" w:rsidRPr="00027624" w:rsidRDefault="00E96B29" w:rsidP="00E96B29">
            <w:pPr>
              <w:pStyle w:val="TableTextCentered"/>
              <w:rPr>
                <w:szCs w:val="18"/>
              </w:rPr>
            </w:pPr>
            <w:r w:rsidRPr="00027624">
              <w:rPr>
                <w:szCs w:val="18"/>
              </w:rPr>
              <w:t>10.0</w:t>
            </w:r>
          </w:p>
        </w:tc>
        <w:tc>
          <w:tcPr>
            <w:tcW w:w="518" w:type="pct"/>
            <w:vAlign w:val="bottom"/>
          </w:tcPr>
          <w:p w14:paraId="3BB3766E" w14:textId="77777777" w:rsidR="00E96B29" w:rsidRPr="00027624" w:rsidRDefault="00E96B29" w:rsidP="00E96B29">
            <w:pPr>
              <w:pStyle w:val="TableTextCentered"/>
              <w:rPr>
                <w:szCs w:val="18"/>
              </w:rPr>
            </w:pPr>
            <w:r w:rsidRPr="00027624">
              <w:rPr>
                <w:szCs w:val="18"/>
              </w:rPr>
              <w:t>7.7</w:t>
            </w:r>
          </w:p>
        </w:tc>
      </w:tr>
      <w:tr w:rsidR="00E96B29" w:rsidRPr="00027624" w14:paraId="001559E2" w14:textId="77777777" w:rsidTr="00E96B29">
        <w:trPr>
          <w:trHeight w:val="270"/>
        </w:trPr>
        <w:tc>
          <w:tcPr>
            <w:tcW w:w="750" w:type="pct"/>
            <w:vAlign w:val="bottom"/>
          </w:tcPr>
          <w:p w14:paraId="361B40CB" w14:textId="77777777" w:rsidR="00E96B29" w:rsidRPr="00027624" w:rsidRDefault="00E96B29" w:rsidP="00E96B29">
            <w:pPr>
              <w:pStyle w:val="TableTextLeft"/>
              <w:rPr>
                <w:szCs w:val="18"/>
              </w:rPr>
            </w:pPr>
            <w:r w:rsidRPr="00027624">
              <w:rPr>
                <w:bCs/>
                <w:szCs w:val="18"/>
              </w:rPr>
              <w:t>80</w:t>
            </w:r>
          </w:p>
        </w:tc>
        <w:tc>
          <w:tcPr>
            <w:tcW w:w="467" w:type="pct"/>
            <w:vAlign w:val="bottom"/>
          </w:tcPr>
          <w:p w14:paraId="4E918523" w14:textId="77777777" w:rsidR="00E96B29" w:rsidRPr="00027624" w:rsidRDefault="00E96B29" w:rsidP="00E96B29">
            <w:pPr>
              <w:pStyle w:val="TableTextCentered"/>
              <w:rPr>
                <w:szCs w:val="18"/>
              </w:rPr>
            </w:pPr>
            <w:r w:rsidRPr="00027624">
              <w:rPr>
                <w:szCs w:val="18"/>
              </w:rPr>
              <w:t>12.4</w:t>
            </w:r>
          </w:p>
        </w:tc>
        <w:tc>
          <w:tcPr>
            <w:tcW w:w="467" w:type="pct"/>
            <w:vAlign w:val="bottom"/>
          </w:tcPr>
          <w:p w14:paraId="3FAD5DF1" w14:textId="77777777" w:rsidR="00E96B29" w:rsidRPr="00027624" w:rsidRDefault="00E96B29" w:rsidP="00E96B29">
            <w:pPr>
              <w:pStyle w:val="TableTextCentered"/>
              <w:rPr>
                <w:szCs w:val="18"/>
              </w:rPr>
            </w:pPr>
            <w:r w:rsidRPr="00027624">
              <w:rPr>
                <w:szCs w:val="18"/>
              </w:rPr>
              <w:t>11.5</w:t>
            </w:r>
          </w:p>
        </w:tc>
        <w:tc>
          <w:tcPr>
            <w:tcW w:w="467" w:type="pct"/>
            <w:vAlign w:val="bottom"/>
          </w:tcPr>
          <w:p w14:paraId="78F9B24D" w14:textId="77777777" w:rsidR="00E96B29" w:rsidRPr="00027624" w:rsidRDefault="00E96B29" w:rsidP="00E96B29">
            <w:pPr>
              <w:pStyle w:val="TableTextCentered"/>
              <w:rPr>
                <w:szCs w:val="18"/>
              </w:rPr>
            </w:pPr>
            <w:r w:rsidRPr="00027624">
              <w:rPr>
                <w:szCs w:val="18"/>
              </w:rPr>
              <w:t>11.3</w:t>
            </w:r>
          </w:p>
        </w:tc>
        <w:tc>
          <w:tcPr>
            <w:tcW w:w="469" w:type="pct"/>
            <w:vAlign w:val="bottom"/>
          </w:tcPr>
          <w:p w14:paraId="1E3A2651" w14:textId="77777777" w:rsidR="00E96B29" w:rsidRPr="00027624" w:rsidRDefault="00E96B29" w:rsidP="00E96B29">
            <w:pPr>
              <w:pStyle w:val="TableTextCentered"/>
              <w:rPr>
                <w:szCs w:val="18"/>
              </w:rPr>
            </w:pPr>
            <w:r w:rsidRPr="00027624">
              <w:rPr>
                <w:szCs w:val="18"/>
              </w:rPr>
              <w:t>12.1</w:t>
            </w:r>
          </w:p>
        </w:tc>
        <w:tc>
          <w:tcPr>
            <w:tcW w:w="467" w:type="pct"/>
            <w:vAlign w:val="bottom"/>
          </w:tcPr>
          <w:p w14:paraId="37DCAC18" w14:textId="77777777" w:rsidR="00E96B29" w:rsidRPr="00027624" w:rsidRDefault="00E96B29" w:rsidP="00E96B29">
            <w:pPr>
              <w:pStyle w:val="TableTextCentered"/>
              <w:rPr>
                <w:szCs w:val="18"/>
              </w:rPr>
            </w:pPr>
            <w:r w:rsidRPr="00027624">
              <w:rPr>
                <w:szCs w:val="18"/>
              </w:rPr>
              <w:t>12.9</w:t>
            </w:r>
          </w:p>
        </w:tc>
        <w:tc>
          <w:tcPr>
            <w:tcW w:w="467" w:type="pct"/>
            <w:vAlign w:val="bottom"/>
          </w:tcPr>
          <w:p w14:paraId="27C2F72D" w14:textId="77777777" w:rsidR="00E96B29" w:rsidRPr="00027624" w:rsidRDefault="00E96B29" w:rsidP="00E96B29">
            <w:pPr>
              <w:pStyle w:val="TableTextCentered"/>
              <w:rPr>
                <w:szCs w:val="18"/>
              </w:rPr>
            </w:pPr>
            <w:r w:rsidRPr="00027624">
              <w:rPr>
                <w:szCs w:val="18"/>
              </w:rPr>
              <w:t>13.6</w:t>
            </w:r>
          </w:p>
        </w:tc>
        <w:tc>
          <w:tcPr>
            <w:tcW w:w="464" w:type="pct"/>
            <w:vAlign w:val="bottom"/>
          </w:tcPr>
          <w:p w14:paraId="7D9146BF" w14:textId="77777777" w:rsidR="00E96B29" w:rsidRPr="00027624" w:rsidRDefault="00E96B29" w:rsidP="00E96B29">
            <w:pPr>
              <w:pStyle w:val="TableTextCentered"/>
              <w:rPr>
                <w:szCs w:val="18"/>
              </w:rPr>
            </w:pPr>
            <w:r w:rsidRPr="00027624">
              <w:rPr>
                <w:szCs w:val="18"/>
              </w:rPr>
              <w:t>13.6</w:t>
            </w:r>
          </w:p>
        </w:tc>
        <w:tc>
          <w:tcPr>
            <w:tcW w:w="464" w:type="pct"/>
            <w:vAlign w:val="bottom"/>
          </w:tcPr>
          <w:p w14:paraId="4953FF94" w14:textId="77777777" w:rsidR="00E96B29" w:rsidRPr="00027624" w:rsidRDefault="00E96B29" w:rsidP="00E96B29">
            <w:pPr>
              <w:pStyle w:val="TableTextCentered"/>
              <w:rPr>
                <w:szCs w:val="18"/>
              </w:rPr>
            </w:pPr>
            <w:r w:rsidRPr="00027624">
              <w:rPr>
                <w:szCs w:val="18"/>
              </w:rPr>
              <w:t>10.8</w:t>
            </w:r>
          </w:p>
        </w:tc>
        <w:tc>
          <w:tcPr>
            <w:tcW w:w="518" w:type="pct"/>
            <w:vAlign w:val="bottom"/>
          </w:tcPr>
          <w:p w14:paraId="3680A3B6" w14:textId="77777777" w:rsidR="00E96B29" w:rsidRPr="00027624" w:rsidRDefault="00E96B29" w:rsidP="00E96B29">
            <w:pPr>
              <w:pStyle w:val="TableTextCentered"/>
              <w:rPr>
                <w:szCs w:val="18"/>
              </w:rPr>
            </w:pPr>
            <w:r w:rsidRPr="00027624">
              <w:rPr>
                <w:szCs w:val="18"/>
              </w:rPr>
              <w:t>8.2</w:t>
            </w:r>
          </w:p>
        </w:tc>
      </w:tr>
      <w:tr w:rsidR="00E96B29" w:rsidRPr="00027624" w14:paraId="4EBBC657" w14:textId="77777777" w:rsidTr="00E96B29">
        <w:trPr>
          <w:trHeight w:val="270"/>
        </w:trPr>
        <w:tc>
          <w:tcPr>
            <w:tcW w:w="750" w:type="pct"/>
            <w:vAlign w:val="bottom"/>
          </w:tcPr>
          <w:p w14:paraId="4E25E1A2" w14:textId="77777777" w:rsidR="00E96B29" w:rsidRPr="00027624" w:rsidRDefault="00E96B29" w:rsidP="00E96B29">
            <w:pPr>
              <w:pStyle w:val="TableTextLeft"/>
              <w:rPr>
                <w:szCs w:val="18"/>
              </w:rPr>
            </w:pPr>
            <w:r w:rsidRPr="00027624">
              <w:rPr>
                <w:bCs/>
                <w:szCs w:val="18"/>
              </w:rPr>
              <w:t>81</w:t>
            </w:r>
          </w:p>
        </w:tc>
        <w:tc>
          <w:tcPr>
            <w:tcW w:w="467" w:type="pct"/>
            <w:vAlign w:val="bottom"/>
          </w:tcPr>
          <w:p w14:paraId="1E4DD5FA" w14:textId="77777777" w:rsidR="00E96B29" w:rsidRPr="00027624" w:rsidRDefault="00E96B29" w:rsidP="00E96B29">
            <w:pPr>
              <w:pStyle w:val="TableTextCentered"/>
              <w:rPr>
                <w:szCs w:val="18"/>
              </w:rPr>
            </w:pPr>
            <w:r w:rsidRPr="00027624">
              <w:rPr>
                <w:szCs w:val="18"/>
              </w:rPr>
              <w:t>13.3</w:t>
            </w:r>
          </w:p>
        </w:tc>
        <w:tc>
          <w:tcPr>
            <w:tcW w:w="467" w:type="pct"/>
            <w:vAlign w:val="bottom"/>
          </w:tcPr>
          <w:p w14:paraId="2B169BEF" w14:textId="77777777" w:rsidR="00E96B29" w:rsidRPr="00027624" w:rsidRDefault="00E96B29" w:rsidP="00E96B29">
            <w:pPr>
              <w:pStyle w:val="TableTextCentered"/>
              <w:rPr>
                <w:szCs w:val="18"/>
              </w:rPr>
            </w:pPr>
            <w:r w:rsidRPr="00027624">
              <w:rPr>
                <w:szCs w:val="18"/>
              </w:rPr>
              <w:t>12.2</w:t>
            </w:r>
          </w:p>
        </w:tc>
        <w:tc>
          <w:tcPr>
            <w:tcW w:w="467" w:type="pct"/>
            <w:vAlign w:val="bottom"/>
          </w:tcPr>
          <w:p w14:paraId="1D68D793" w14:textId="77777777" w:rsidR="00E96B29" w:rsidRPr="00027624" w:rsidRDefault="00E96B29" w:rsidP="00E96B29">
            <w:pPr>
              <w:pStyle w:val="TableTextCentered"/>
              <w:rPr>
                <w:szCs w:val="18"/>
              </w:rPr>
            </w:pPr>
            <w:r w:rsidRPr="00027624">
              <w:rPr>
                <w:szCs w:val="18"/>
              </w:rPr>
              <w:t>12.0</w:t>
            </w:r>
          </w:p>
        </w:tc>
        <w:tc>
          <w:tcPr>
            <w:tcW w:w="469" w:type="pct"/>
            <w:vAlign w:val="bottom"/>
          </w:tcPr>
          <w:p w14:paraId="5A22DB46" w14:textId="77777777" w:rsidR="00E96B29" w:rsidRPr="00027624" w:rsidRDefault="00E96B29" w:rsidP="00E96B29">
            <w:pPr>
              <w:pStyle w:val="TableTextCentered"/>
              <w:rPr>
                <w:szCs w:val="18"/>
              </w:rPr>
            </w:pPr>
            <w:r w:rsidRPr="00027624">
              <w:rPr>
                <w:szCs w:val="18"/>
              </w:rPr>
              <w:t>12.3</w:t>
            </w:r>
          </w:p>
        </w:tc>
        <w:tc>
          <w:tcPr>
            <w:tcW w:w="467" w:type="pct"/>
            <w:vAlign w:val="bottom"/>
          </w:tcPr>
          <w:p w14:paraId="0642E11A" w14:textId="77777777" w:rsidR="00E96B29" w:rsidRPr="00027624" w:rsidRDefault="00E96B29" w:rsidP="00E96B29">
            <w:pPr>
              <w:pStyle w:val="TableTextCentered"/>
              <w:rPr>
                <w:szCs w:val="18"/>
              </w:rPr>
            </w:pPr>
            <w:r w:rsidRPr="00027624">
              <w:rPr>
                <w:szCs w:val="18"/>
              </w:rPr>
              <w:t>13.2</w:t>
            </w:r>
          </w:p>
        </w:tc>
        <w:tc>
          <w:tcPr>
            <w:tcW w:w="467" w:type="pct"/>
            <w:vAlign w:val="bottom"/>
          </w:tcPr>
          <w:p w14:paraId="4EC25FA9" w14:textId="77777777" w:rsidR="00E96B29" w:rsidRPr="00027624" w:rsidRDefault="00E96B29" w:rsidP="00E96B29">
            <w:pPr>
              <w:pStyle w:val="TableTextCentered"/>
              <w:rPr>
                <w:szCs w:val="18"/>
              </w:rPr>
            </w:pPr>
            <w:r w:rsidRPr="00027624">
              <w:rPr>
                <w:szCs w:val="18"/>
              </w:rPr>
              <w:t>14.1</w:t>
            </w:r>
          </w:p>
        </w:tc>
        <w:tc>
          <w:tcPr>
            <w:tcW w:w="464" w:type="pct"/>
            <w:vAlign w:val="bottom"/>
          </w:tcPr>
          <w:p w14:paraId="11DCBF99" w14:textId="77777777" w:rsidR="00E96B29" w:rsidRPr="00027624" w:rsidRDefault="00E96B29" w:rsidP="00E96B29">
            <w:pPr>
              <w:pStyle w:val="TableTextCentered"/>
              <w:rPr>
                <w:szCs w:val="18"/>
              </w:rPr>
            </w:pPr>
            <w:r w:rsidRPr="00027624">
              <w:rPr>
                <w:szCs w:val="18"/>
              </w:rPr>
              <w:t>14.2</w:t>
            </w:r>
          </w:p>
        </w:tc>
        <w:tc>
          <w:tcPr>
            <w:tcW w:w="464" w:type="pct"/>
            <w:vAlign w:val="bottom"/>
          </w:tcPr>
          <w:p w14:paraId="5CAF04F5" w14:textId="77777777" w:rsidR="00E96B29" w:rsidRPr="00027624" w:rsidRDefault="00E96B29" w:rsidP="00E96B29">
            <w:pPr>
              <w:pStyle w:val="TableTextCentered"/>
              <w:rPr>
                <w:szCs w:val="18"/>
              </w:rPr>
            </w:pPr>
            <w:r w:rsidRPr="00027624">
              <w:rPr>
                <w:szCs w:val="18"/>
              </w:rPr>
              <w:t>11.9</w:t>
            </w:r>
          </w:p>
        </w:tc>
        <w:tc>
          <w:tcPr>
            <w:tcW w:w="518" w:type="pct"/>
            <w:vAlign w:val="bottom"/>
          </w:tcPr>
          <w:p w14:paraId="415E0392" w14:textId="77777777" w:rsidR="00E96B29" w:rsidRPr="00027624" w:rsidRDefault="00E96B29" w:rsidP="00E96B29">
            <w:pPr>
              <w:pStyle w:val="TableTextCentered"/>
              <w:rPr>
                <w:szCs w:val="18"/>
              </w:rPr>
            </w:pPr>
            <w:r w:rsidRPr="00027624">
              <w:rPr>
                <w:szCs w:val="18"/>
              </w:rPr>
              <w:t>8.7</w:t>
            </w:r>
          </w:p>
        </w:tc>
      </w:tr>
      <w:tr w:rsidR="00E96B29" w:rsidRPr="00027624" w14:paraId="615DBADB" w14:textId="77777777" w:rsidTr="00E96B29">
        <w:trPr>
          <w:trHeight w:val="270"/>
        </w:trPr>
        <w:tc>
          <w:tcPr>
            <w:tcW w:w="750" w:type="pct"/>
            <w:vAlign w:val="bottom"/>
          </w:tcPr>
          <w:p w14:paraId="14B4CA54" w14:textId="77777777" w:rsidR="00E96B29" w:rsidRPr="00027624" w:rsidRDefault="00E96B29" w:rsidP="00E96B29">
            <w:pPr>
              <w:pStyle w:val="TableTextLeft"/>
              <w:rPr>
                <w:szCs w:val="18"/>
              </w:rPr>
            </w:pPr>
            <w:r w:rsidRPr="00027624">
              <w:rPr>
                <w:bCs/>
                <w:szCs w:val="18"/>
              </w:rPr>
              <w:t>82</w:t>
            </w:r>
          </w:p>
        </w:tc>
        <w:tc>
          <w:tcPr>
            <w:tcW w:w="467" w:type="pct"/>
            <w:vAlign w:val="bottom"/>
          </w:tcPr>
          <w:p w14:paraId="76C2C05E" w14:textId="77777777" w:rsidR="00E96B29" w:rsidRPr="00027624" w:rsidRDefault="00E96B29" w:rsidP="00E96B29">
            <w:pPr>
              <w:pStyle w:val="TableTextCentered"/>
              <w:rPr>
                <w:szCs w:val="18"/>
              </w:rPr>
            </w:pPr>
            <w:r w:rsidRPr="00027624">
              <w:rPr>
                <w:szCs w:val="18"/>
              </w:rPr>
              <w:t>14.2</w:t>
            </w:r>
          </w:p>
        </w:tc>
        <w:tc>
          <w:tcPr>
            <w:tcW w:w="467" w:type="pct"/>
            <w:vAlign w:val="bottom"/>
          </w:tcPr>
          <w:p w14:paraId="285ADDC5" w14:textId="77777777" w:rsidR="00E96B29" w:rsidRPr="00027624" w:rsidRDefault="00E96B29" w:rsidP="00E96B29">
            <w:pPr>
              <w:pStyle w:val="TableTextCentered"/>
              <w:rPr>
                <w:szCs w:val="18"/>
              </w:rPr>
            </w:pPr>
            <w:r w:rsidRPr="00027624">
              <w:rPr>
                <w:szCs w:val="18"/>
              </w:rPr>
              <w:t>13.1</w:t>
            </w:r>
          </w:p>
        </w:tc>
        <w:tc>
          <w:tcPr>
            <w:tcW w:w="467" w:type="pct"/>
            <w:vAlign w:val="bottom"/>
          </w:tcPr>
          <w:p w14:paraId="40FA9FB7" w14:textId="77777777" w:rsidR="00E96B29" w:rsidRPr="00027624" w:rsidRDefault="00E96B29" w:rsidP="00E96B29">
            <w:pPr>
              <w:pStyle w:val="TableTextCentered"/>
              <w:rPr>
                <w:szCs w:val="18"/>
              </w:rPr>
            </w:pPr>
            <w:r w:rsidRPr="00027624">
              <w:rPr>
                <w:szCs w:val="18"/>
              </w:rPr>
              <w:t>12.8</w:t>
            </w:r>
          </w:p>
        </w:tc>
        <w:tc>
          <w:tcPr>
            <w:tcW w:w="469" w:type="pct"/>
            <w:vAlign w:val="bottom"/>
          </w:tcPr>
          <w:p w14:paraId="69CDFE74" w14:textId="77777777" w:rsidR="00E96B29" w:rsidRPr="00027624" w:rsidRDefault="00E96B29" w:rsidP="00E96B29">
            <w:pPr>
              <w:pStyle w:val="TableTextCentered"/>
              <w:rPr>
                <w:szCs w:val="18"/>
              </w:rPr>
            </w:pPr>
            <w:r w:rsidRPr="00027624">
              <w:rPr>
                <w:szCs w:val="18"/>
              </w:rPr>
              <w:t>12.7</w:t>
            </w:r>
          </w:p>
        </w:tc>
        <w:tc>
          <w:tcPr>
            <w:tcW w:w="467" w:type="pct"/>
            <w:vAlign w:val="bottom"/>
          </w:tcPr>
          <w:p w14:paraId="1EA79337" w14:textId="77777777" w:rsidR="00E96B29" w:rsidRPr="00027624" w:rsidRDefault="00E96B29" w:rsidP="00E96B29">
            <w:pPr>
              <w:pStyle w:val="TableTextCentered"/>
              <w:rPr>
                <w:szCs w:val="18"/>
              </w:rPr>
            </w:pPr>
            <w:r w:rsidRPr="00027624">
              <w:rPr>
                <w:szCs w:val="18"/>
              </w:rPr>
              <w:t>13.6</w:t>
            </w:r>
          </w:p>
        </w:tc>
        <w:tc>
          <w:tcPr>
            <w:tcW w:w="467" w:type="pct"/>
            <w:vAlign w:val="bottom"/>
          </w:tcPr>
          <w:p w14:paraId="1DC76E1D" w14:textId="77777777" w:rsidR="00E96B29" w:rsidRPr="00027624" w:rsidRDefault="00E96B29" w:rsidP="00E96B29">
            <w:pPr>
              <w:pStyle w:val="TableTextCentered"/>
              <w:rPr>
                <w:szCs w:val="18"/>
              </w:rPr>
            </w:pPr>
            <w:r w:rsidRPr="00027624">
              <w:rPr>
                <w:szCs w:val="18"/>
              </w:rPr>
              <w:t>14.7</w:t>
            </w:r>
          </w:p>
        </w:tc>
        <w:tc>
          <w:tcPr>
            <w:tcW w:w="464" w:type="pct"/>
            <w:vAlign w:val="bottom"/>
          </w:tcPr>
          <w:p w14:paraId="06D80CCE" w14:textId="77777777" w:rsidR="00E96B29" w:rsidRPr="00027624" w:rsidRDefault="00E96B29" w:rsidP="00E96B29">
            <w:pPr>
              <w:pStyle w:val="TableTextCentered"/>
              <w:rPr>
                <w:szCs w:val="18"/>
              </w:rPr>
            </w:pPr>
            <w:r w:rsidRPr="00027624">
              <w:rPr>
                <w:szCs w:val="18"/>
              </w:rPr>
              <w:t>14.9</w:t>
            </w:r>
          </w:p>
        </w:tc>
        <w:tc>
          <w:tcPr>
            <w:tcW w:w="464" w:type="pct"/>
            <w:vAlign w:val="bottom"/>
          </w:tcPr>
          <w:p w14:paraId="296FEC24" w14:textId="77777777" w:rsidR="00E96B29" w:rsidRPr="00027624" w:rsidRDefault="00E96B29" w:rsidP="00E96B29">
            <w:pPr>
              <w:pStyle w:val="TableTextCentered"/>
              <w:rPr>
                <w:szCs w:val="18"/>
              </w:rPr>
            </w:pPr>
            <w:r w:rsidRPr="00027624">
              <w:rPr>
                <w:szCs w:val="18"/>
              </w:rPr>
              <w:t>13.2</w:t>
            </w:r>
          </w:p>
        </w:tc>
        <w:tc>
          <w:tcPr>
            <w:tcW w:w="518" w:type="pct"/>
            <w:vAlign w:val="bottom"/>
          </w:tcPr>
          <w:p w14:paraId="45C2E87C" w14:textId="77777777" w:rsidR="00E96B29" w:rsidRPr="00027624" w:rsidRDefault="00E96B29" w:rsidP="00E96B29">
            <w:pPr>
              <w:pStyle w:val="TableTextCentered"/>
              <w:rPr>
                <w:szCs w:val="18"/>
              </w:rPr>
            </w:pPr>
            <w:r w:rsidRPr="00027624">
              <w:rPr>
                <w:szCs w:val="18"/>
              </w:rPr>
              <w:t>9.4</w:t>
            </w:r>
          </w:p>
        </w:tc>
      </w:tr>
      <w:tr w:rsidR="00E96B29" w:rsidRPr="00027624" w14:paraId="00E000FB" w14:textId="77777777" w:rsidTr="00E96B29">
        <w:trPr>
          <w:trHeight w:val="270"/>
        </w:trPr>
        <w:tc>
          <w:tcPr>
            <w:tcW w:w="750" w:type="pct"/>
            <w:vAlign w:val="bottom"/>
          </w:tcPr>
          <w:p w14:paraId="63D64D48" w14:textId="77777777" w:rsidR="00E96B29" w:rsidRPr="00027624" w:rsidRDefault="00E96B29" w:rsidP="00E96B29">
            <w:pPr>
              <w:pStyle w:val="TableTextLeft"/>
              <w:rPr>
                <w:szCs w:val="18"/>
              </w:rPr>
            </w:pPr>
            <w:r w:rsidRPr="00027624">
              <w:rPr>
                <w:bCs/>
                <w:szCs w:val="18"/>
              </w:rPr>
              <w:t>83</w:t>
            </w:r>
          </w:p>
        </w:tc>
        <w:tc>
          <w:tcPr>
            <w:tcW w:w="467" w:type="pct"/>
            <w:vAlign w:val="bottom"/>
          </w:tcPr>
          <w:p w14:paraId="2F5FA850" w14:textId="77777777" w:rsidR="00E96B29" w:rsidRPr="00027624" w:rsidRDefault="00E96B29" w:rsidP="00E96B29">
            <w:pPr>
              <w:pStyle w:val="TableTextCentered"/>
              <w:rPr>
                <w:szCs w:val="18"/>
              </w:rPr>
            </w:pPr>
            <w:r w:rsidRPr="00027624">
              <w:rPr>
                <w:szCs w:val="18"/>
              </w:rPr>
              <w:t>15.4</w:t>
            </w:r>
          </w:p>
        </w:tc>
        <w:tc>
          <w:tcPr>
            <w:tcW w:w="467" w:type="pct"/>
            <w:vAlign w:val="bottom"/>
          </w:tcPr>
          <w:p w14:paraId="03C8C0C9" w14:textId="77777777" w:rsidR="00E96B29" w:rsidRPr="00027624" w:rsidRDefault="00E96B29" w:rsidP="00E96B29">
            <w:pPr>
              <w:pStyle w:val="TableTextCentered"/>
              <w:rPr>
                <w:szCs w:val="18"/>
              </w:rPr>
            </w:pPr>
            <w:r w:rsidRPr="00027624">
              <w:rPr>
                <w:szCs w:val="18"/>
              </w:rPr>
              <w:t>14.2</w:t>
            </w:r>
          </w:p>
        </w:tc>
        <w:tc>
          <w:tcPr>
            <w:tcW w:w="467" w:type="pct"/>
            <w:vAlign w:val="bottom"/>
          </w:tcPr>
          <w:p w14:paraId="47988994" w14:textId="77777777" w:rsidR="00E96B29" w:rsidRPr="00027624" w:rsidRDefault="00E96B29" w:rsidP="00E96B29">
            <w:pPr>
              <w:pStyle w:val="TableTextCentered"/>
              <w:rPr>
                <w:szCs w:val="18"/>
              </w:rPr>
            </w:pPr>
            <w:r w:rsidRPr="00027624">
              <w:rPr>
                <w:szCs w:val="18"/>
              </w:rPr>
              <w:t>13.9</w:t>
            </w:r>
          </w:p>
        </w:tc>
        <w:tc>
          <w:tcPr>
            <w:tcW w:w="469" w:type="pct"/>
            <w:vAlign w:val="bottom"/>
          </w:tcPr>
          <w:p w14:paraId="41E2D333" w14:textId="77777777" w:rsidR="00E96B29" w:rsidRPr="00027624" w:rsidRDefault="00E96B29" w:rsidP="00E96B29">
            <w:pPr>
              <w:pStyle w:val="TableTextCentered"/>
              <w:rPr>
                <w:szCs w:val="18"/>
              </w:rPr>
            </w:pPr>
            <w:r w:rsidRPr="00027624">
              <w:rPr>
                <w:szCs w:val="18"/>
              </w:rPr>
              <w:t>13.7</w:t>
            </w:r>
          </w:p>
        </w:tc>
        <w:tc>
          <w:tcPr>
            <w:tcW w:w="467" w:type="pct"/>
            <w:vAlign w:val="bottom"/>
          </w:tcPr>
          <w:p w14:paraId="35CD1C9A" w14:textId="77777777" w:rsidR="00E96B29" w:rsidRPr="00027624" w:rsidRDefault="00E96B29" w:rsidP="00E96B29">
            <w:pPr>
              <w:pStyle w:val="TableTextCentered"/>
              <w:rPr>
                <w:szCs w:val="18"/>
              </w:rPr>
            </w:pPr>
            <w:r w:rsidRPr="00027624">
              <w:rPr>
                <w:szCs w:val="18"/>
              </w:rPr>
              <w:t>14.0</w:t>
            </w:r>
          </w:p>
        </w:tc>
        <w:tc>
          <w:tcPr>
            <w:tcW w:w="467" w:type="pct"/>
            <w:vAlign w:val="bottom"/>
          </w:tcPr>
          <w:p w14:paraId="18CF07F4" w14:textId="77777777" w:rsidR="00E96B29" w:rsidRPr="00027624" w:rsidRDefault="00E96B29" w:rsidP="00E96B29">
            <w:pPr>
              <w:pStyle w:val="TableTextCentered"/>
              <w:rPr>
                <w:szCs w:val="18"/>
              </w:rPr>
            </w:pPr>
            <w:r w:rsidRPr="00027624">
              <w:rPr>
                <w:szCs w:val="18"/>
              </w:rPr>
              <w:t>15.5</w:t>
            </w:r>
          </w:p>
        </w:tc>
        <w:tc>
          <w:tcPr>
            <w:tcW w:w="464" w:type="pct"/>
            <w:vAlign w:val="bottom"/>
          </w:tcPr>
          <w:p w14:paraId="5970E478" w14:textId="77777777" w:rsidR="00E96B29" w:rsidRPr="00027624" w:rsidRDefault="00E96B29" w:rsidP="00E96B29">
            <w:pPr>
              <w:pStyle w:val="TableTextCentered"/>
              <w:rPr>
                <w:szCs w:val="18"/>
              </w:rPr>
            </w:pPr>
            <w:r w:rsidRPr="00027624">
              <w:rPr>
                <w:szCs w:val="18"/>
              </w:rPr>
              <w:t>15.8</w:t>
            </w:r>
          </w:p>
        </w:tc>
        <w:tc>
          <w:tcPr>
            <w:tcW w:w="464" w:type="pct"/>
            <w:vAlign w:val="bottom"/>
          </w:tcPr>
          <w:p w14:paraId="5AF9BEB6" w14:textId="77777777" w:rsidR="00E96B29" w:rsidRPr="00027624" w:rsidRDefault="00E96B29" w:rsidP="00E96B29">
            <w:pPr>
              <w:pStyle w:val="TableTextCentered"/>
              <w:rPr>
                <w:szCs w:val="18"/>
              </w:rPr>
            </w:pPr>
            <w:r w:rsidRPr="00027624">
              <w:rPr>
                <w:szCs w:val="18"/>
              </w:rPr>
              <w:t>14.9</w:t>
            </w:r>
          </w:p>
        </w:tc>
        <w:tc>
          <w:tcPr>
            <w:tcW w:w="518" w:type="pct"/>
            <w:vAlign w:val="bottom"/>
          </w:tcPr>
          <w:p w14:paraId="3A163445" w14:textId="77777777" w:rsidR="00E96B29" w:rsidRPr="00027624" w:rsidRDefault="00E96B29" w:rsidP="00E96B29">
            <w:pPr>
              <w:pStyle w:val="TableTextCentered"/>
              <w:rPr>
                <w:szCs w:val="18"/>
              </w:rPr>
            </w:pPr>
            <w:r w:rsidRPr="00027624">
              <w:rPr>
                <w:szCs w:val="18"/>
              </w:rPr>
              <w:t>10.2</w:t>
            </w:r>
          </w:p>
        </w:tc>
      </w:tr>
      <w:tr w:rsidR="00E96B29" w:rsidRPr="00027624" w14:paraId="6C3ED725" w14:textId="77777777" w:rsidTr="00E96B29">
        <w:trPr>
          <w:trHeight w:val="270"/>
        </w:trPr>
        <w:tc>
          <w:tcPr>
            <w:tcW w:w="750" w:type="pct"/>
            <w:vAlign w:val="bottom"/>
          </w:tcPr>
          <w:p w14:paraId="2C923C5B" w14:textId="77777777" w:rsidR="00E96B29" w:rsidRPr="00027624" w:rsidRDefault="00E96B29" w:rsidP="00E96B29">
            <w:pPr>
              <w:pStyle w:val="TableTextLeft"/>
              <w:rPr>
                <w:szCs w:val="18"/>
              </w:rPr>
            </w:pPr>
            <w:r w:rsidRPr="00027624">
              <w:rPr>
                <w:bCs/>
                <w:szCs w:val="18"/>
              </w:rPr>
              <w:t>84</w:t>
            </w:r>
          </w:p>
        </w:tc>
        <w:tc>
          <w:tcPr>
            <w:tcW w:w="467" w:type="pct"/>
            <w:vAlign w:val="bottom"/>
          </w:tcPr>
          <w:p w14:paraId="0122381E" w14:textId="77777777" w:rsidR="00E96B29" w:rsidRPr="00027624" w:rsidRDefault="00E96B29" w:rsidP="00E96B29">
            <w:pPr>
              <w:pStyle w:val="TableTextCentered"/>
              <w:rPr>
                <w:szCs w:val="18"/>
              </w:rPr>
            </w:pPr>
            <w:r w:rsidRPr="00027624">
              <w:rPr>
                <w:szCs w:val="18"/>
              </w:rPr>
              <w:t>16.8</w:t>
            </w:r>
          </w:p>
        </w:tc>
        <w:tc>
          <w:tcPr>
            <w:tcW w:w="467" w:type="pct"/>
            <w:vAlign w:val="bottom"/>
          </w:tcPr>
          <w:p w14:paraId="18CF99B3" w14:textId="77777777" w:rsidR="00E96B29" w:rsidRPr="00027624" w:rsidRDefault="00E96B29" w:rsidP="00E96B29">
            <w:pPr>
              <w:pStyle w:val="TableTextCentered"/>
              <w:rPr>
                <w:szCs w:val="18"/>
              </w:rPr>
            </w:pPr>
            <w:r w:rsidRPr="00027624">
              <w:rPr>
                <w:szCs w:val="18"/>
              </w:rPr>
              <w:t>15.6</w:t>
            </w:r>
          </w:p>
        </w:tc>
        <w:tc>
          <w:tcPr>
            <w:tcW w:w="467" w:type="pct"/>
            <w:vAlign w:val="bottom"/>
          </w:tcPr>
          <w:p w14:paraId="6F482C19" w14:textId="77777777" w:rsidR="00E96B29" w:rsidRPr="00027624" w:rsidRDefault="00E96B29" w:rsidP="00E96B29">
            <w:pPr>
              <w:pStyle w:val="TableTextCentered"/>
              <w:rPr>
                <w:szCs w:val="18"/>
              </w:rPr>
            </w:pPr>
            <w:r w:rsidRPr="00027624">
              <w:rPr>
                <w:szCs w:val="18"/>
              </w:rPr>
              <w:t>15.3</w:t>
            </w:r>
          </w:p>
        </w:tc>
        <w:tc>
          <w:tcPr>
            <w:tcW w:w="469" w:type="pct"/>
            <w:vAlign w:val="bottom"/>
          </w:tcPr>
          <w:p w14:paraId="3ED0B464" w14:textId="77777777" w:rsidR="00E96B29" w:rsidRPr="00027624" w:rsidRDefault="00E96B29" w:rsidP="00E96B29">
            <w:pPr>
              <w:pStyle w:val="TableTextCentered"/>
              <w:rPr>
                <w:szCs w:val="18"/>
              </w:rPr>
            </w:pPr>
            <w:r w:rsidRPr="00027624">
              <w:rPr>
                <w:szCs w:val="18"/>
              </w:rPr>
              <w:t>15.0</w:t>
            </w:r>
          </w:p>
        </w:tc>
        <w:tc>
          <w:tcPr>
            <w:tcW w:w="467" w:type="pct"/>
            <w:vAlign w:val="bottom"/>
          </w:tcPr>
          <w:p w14:paraId="67A53D2A" w14:textId="77777777" w:rsidR="00E96B29" w:rsidRPr="00027624" w:rsidRDefault="00E96B29" w:rsidP="00E96B29">
            <w:pPr>
              <w:pStyle w:val="TableTextCentered"/>
              <w:rPr>
                <w:szCs w:val="18"/>
              </w:rPr>
            </w:pPr>
            <w:r w:rsidRPr="00027624">
              <w:rPr>
                <w:szCs w:val="18"/>
              </w:rPr>
              <w:t>15.0</w:t>
            </w:r>
          </w:p>
        </w:tc>
        <w:tc>
          <w:tcPr>
            <w:tcW w:w="467" w:type="pct"/>
            <w:vAlign w:val="bottom"/>
          </w:tcPr>
          <w:p w14:paraId="4928501F" w14:textId="77777777" w:rsidR="00E96B29" w:rsidRPr="00027624" w:rsidRDefault="00E96B29" w:rsidP="00E96B29">
            <w:pPr>
              <w:pStyle w:val="TableTextCentered"/>
              <w:rPr>
                <w:szCs w:val="18"/>
              </w:rPr>
            </w:pPr>
            <w:r w:rsidRPr="00027624">
              <w:rPr>
                <w:szCs w:val="18"/>
              </w:rPr>
              <w:t>16.4</w:t>
            </w:r>
          </w:p>
        </w:tc>
        <w:tc>
          <w:tcPr>
            <w:tcW w:w="464" w:type="pct"/>
            <w:vAlign w:val="bottom"/>
          </w:tcPr>
          <w:p w14:paraId="2A968344" w14:textId="77777777" w:rsidR="00E96B29" w:rsidRPr="00027624" w:rsidRDefault="00E96B29" w:rsidP="00E96B29">
            <w:pPr>
              <w:pStyle w:val="TableTextCentered"/>
              <w:rPr>
                <w:szCs w:val="18"/>
              </w:rPr>
            </w:pPr>
            <w:r w:rsidRPr="00027624">
              <w:rPr>
                <w:szCs w:val="18"/>
              </w:rPr>
              <w:t>16.8</w:t>
            </w:r>
          </w:p>
        </w:tc>
        <w:tc>
          <w:tcPr>
            <w:tcW w:w="464" w:type="pct"/>
            <w:vAlign w:val="bottom"/>
          </w:tcPr>
          <w:p w14:paraId="6B367E8C" w14:textId="77777777" w:rsidR="00E96B29" w:rsidRPr="00027624" w:rsidRDefault="00E96B29" w:rsidP="00E96B29">
            <w:pPr>
              <w:pStyle w:val="TableTextCentered"/>
              <w:rPr>
                <w:szCs w:val="18"/>
              </w:rPr>
            </w:pPr>
            <w:r w:rsidRPr="00027624">
              <w:rPr>
                <w:szCs w:val="18"/>
              </w:rPr>
              <w:t>16.1</w:t>
            </w:r>
          </w:p>
        </w:tc>
        <w:tc>
          <w:tcPr>
            <w:tcW w:w="518" w:type="pct"/>
            <w:vAlign w:val="bottom"/>
          </w:tcPr>
          <w:p w14:paraId="24A1BF91" w14:textId="77777777" w:rsidR="00E96B29" w:rsidRPr="00027624" w:rsidRDefault="00E96B29" w:rsidP="00E96B29">
            <w:pPr>
              <w:pStyle w:val="TableTextCentered"/>
              <w:rPr>
                <w:szCs w:val="18"/>
              </w:rPr>
            </w:pPr>
            <w:r w:rsidRPr="00027624">
              <w:rPr>
                <w:szCs w:val="18"/>
              </w:rPr>
              <w:t>11.2</w:t>
            </w:r>
          </w:p>
        </w:tc>
      </w:tr>
      <w:tr w:rsidR="00E96B29" w:rsidRPr="00027624" w14:paraId="41D5B689" w14:textId="77777777" w:rsidTr="00E96B29">
        <w:trPr>
          <w:trHeight w:val="270"/>
        </w:trPr>
        <w:tc>
          <w:tcPr>
            <w:tcW w:w="750" w:type="pct"/>
            <w:vAlign w:val="bottom"/>
          </w:tcPr>
          <w:p w14:paraId="41D08C7E" w14:textId="77777777" w:rsidR="00E96B29" w:rsidRPr="00027624" w:rsidRDefault="00E96B29" w:rsidP="00E96B29">
            <w:pPr>
              <w:pStyle w:val="TableTextLeft"/>
              <w:rPr>
                <w:szCs w:val="18"/>
              </w:rPr>
            </w:pPr>
            <w:r w:rsidRPr="00027624">
              <w:rPr>
                <w:bCs/>
                <w:szCs w:val="18"/>
              </w:rPr>
              <w:t>85</w:t>
            </w:r>
          </w:p>
        </w:tc>
        <w:tc>
          <w:tcPr>
            <w:tcW w:w="467" w:type="pct"/>
            <w:vAlign w:val="bottom"/>
          </w:tcPr>
          <w:p w14:paraId="78AAA6E5" w14:textId="77777777" w:rsidR="00E96B29" w:rsidRPr="00027624" w:rsidRDefault="00E96B29" w:rsidP="00E96B29">
            <w:pPr>
              <w:pStyle w:val="TableTextCentered"/>
              <w:rPr>
                <w:szCs w:val="18"/>
              </w:rPr>
            </w:pPr>
            <w:r w:rsidRPr="00027624">
              <w:rPr>
                <w:szCs w:val="18"/>
              </w:rPr>
              <w:t>18.6</w:t>
            </w:r>
          </w:p>
        </w:tc>
        <w:tc>
          <w:tcPr>
            <w:tcW w:w="467" w:type="pct"/>
            <w:vAlign w:val="bottom"/>
          </w:tcPr>
          <w:p w14:paraId="45D19953" w14:textId="77777777" w:rsidR="00E96B29" w:rsidRPr="00027624" w:rsidRDefault="00E96B29" w:rsidP="00E96B29">
            <w:pPr>
              <w:pStyle w:val="TableTextCentered"/>
              <w:rPr>
                <w:szCs w:val="18"/>
              </w:rPr>
            </w:pPr>
            <w:r w:rsidRPr="00027624">
              <w:rPr>
                <w:szCs w:val="18"/>
              </w:rPr>
              <w:t>17.4</w:t>
            </w:r>
          </w:p>
        </w:tc>
        <w:tc>
          <w:tcPr>
            <w:tcW w:w="467" w:type="pct"/>
            <w:vAlign w:val="bottom"/>
          </w:tcPr>
          <w:p w14:paraId="14F3E1FE" w14:textId="77777777" w:rsidR="00E96B29" w:rsidRPr="00027624" w:rsidRDefault="00E96B29" w:rsidP="00E96B29">
            <w:pPr>
              <w:pStyle w:val="TableTextCentered"/>
              <w:rPr>
                <w:szCs w:val="18"/>
              </w:rPr>
            </w:pPr>
            <w:r w:rsidRPr="00027624">
              <w:rPr>
                <w:szCs w:val="18"/>
              </w:rPr>
              <w:t>17.0</w:t>
            </w:r>
          </w:p>
        </w:tc>
        <w:tc>
          <w:tcPr>
            <w:tcW w:w="469" w:type="pct"/>
            <w:vAlign w:val="bottom"/>
          </w:tcPr>
          <w:p w14:paraId="6B3182C5" w14:textId="77777777" w:rsidR="00E96B29" w:rsidRPr="00027624" w:rsidRDefault="00E96B29" w:rsidP="00E96B29">
            <w:pPr>
              <w:pStyle w:val="TableTextCentered"/>
              <w:rPr>
                <w:szCs w:val="18"/>
              </w:rPr>
            </w:pPr>
            <w:r w:rsidRPr="00027624">
              <w:rPr>
                <w:szCs w:val="18"/>
              </w:rPr>
              <w:t>16.8</w:t>
            </w:r>
          </w:p>
        </w:tc>
        <w:tc>
          <w:tcPr>
            <w:tcW w:w="467" w:type="pct"/>
            <w:vAlign w:val="bottom"/>
          </w:tcPr>
          <w:p w14:paraId="6572B3EE" w14:textId="77777777" w:rsidR="00E96B29" w:rsidRPr="00027624" w:rsidRDefault="00E96B29" w:rsidP="00E96B29">
            <w:pPr>
              <w:pStyle w:val="TableTextCentered"/>
              <w:rPr>
                <w:szCs w:val="18"/>
              </w:rPr>
            </w:pPr>
            <w:r w:rsidRPr="00027624">
              <w:rPr>
                <w:szCs w:val="18"/>
              </w:rPr>
              <w:t>16.6</w:t>
            </w:r>
          </w:p>
        </w:tc>
        <w:tc>
          <w:tcPr>
            <w:tcW w:w="467" w:type="pct"/>
            <w:vAlign w:val="bottom"/>
          </w:tcPr>
          <w:p w14:paraId="7C6D8EBE" w14:textId="77777777" w:rsidR="00E96B29" w:rsidRPr="00027624" w:rsidRDefault="00E96B29" w:rsidP="00E96B29">
            <w:pPr>
              <w:pStyle w:val="TableTextCentered"/>
              <w:rPr>
                <w:szCs w:val="18"/>
              </w:rPr>
            </w:pPr>
            <w:r w:rsidRPr="00027624">
              <w:rPr>
                <w:szCs w:val="18"/>
              </w:rPr>
              <w:t>17.5</w:t>
            </w:r>
          </w:p>
        </w:tc>
        <w:tc>
          <w:tcPr>
            <w:tcW w:w="464" w:type="pct"/>
            <w:vAlign w:val="bottom"/>
          </w:tcPr>
          <w:p w14:paraId="120A14B3" w14:textId="77777777" w:rsidR="00E96B29" w:rsidRPr="00027624" w:rsidRDefault="00E96B29" w:rsidP="00E96B29">
            <w:pPr>
              <w:pStyle w:val="TableTextCentered"/>
              <w:rPr>
                <w:szCs w:val="18"/>
              </w:rPr>
            </w:pPr>
            <w:r w:rsidRPr="00027624">
              <w:rPr>
                <w:szCs w:val="18"/>
              </w:rPr>
              <w:t>18.0</w:t>
            </w:r>
          </w:p>
        </w:tc>
        <w:tc>
          <w:tcPr>
            <w:tcW w:w="464" w:type="pct"/>
            <w:vAlign w:val="bottom"/>
          </w:tcPr>
          <w:p w14:paraId="27C8CC4E" w14:textId="77777777" w:rsidR="00E96B29" w:rsidRPr="00027624" w:rsidRDefault="00E96B29" w:rsidP="00E96B29">
            <w:pPr>
              <w:pStyle w:val="TableTextCentered"/>
              <w:rPr>
                <w:szCs w:val="18"/>
              </w:rPr>
            </w:pPr>
            <w:r w:rsidRPr="00027624">
              <w:rPr>
                <w:szCs w:val="18"/>
              </w:rPr>
              <w:t>17.3</w:t>
            </w:r>
          </w:p>
        </w:tc>
        <w:tc>
          <w:tcPr>
            <w:tcW w:w="518" w:type="pct"/>
            <w:vAlign w:val="bottom"/>
          </w:tcPr>
          <w:p w14:paraId="5D52856E" w14:textId="77777777" w:rsidR="00E96B29" w:rsidRPr="00027624" w:rsidRDefault="00E96B29" w:rsidP="00E96B29">
            <w:pPr>
              <w:pStyle w:val="TableTextCentered"/>
              <w:rPr>
                <w:szCs w:val="18"/>
              </w:rPr>
            </w:pPr>
            <w:r w:rsidRPr="00027624">
              <w:rPr>
                <w:szCs w:val="18"/>
              </w:rPr>
              <w:t>12.4</w:t>
            </w:r>
          </w:p>
        </w:tc>
      </w:tr>
      <w:tr w:rsidR="00E96B29" w:rsidRPr="00027624" w14:paraId="48E1F480" w14:textId="77777777" w:rsidTr="00E96B29">
        <w:trPr>
          <w:trHeight w:val="270"/>
        </w:trPr>
        <w:tc>
          <w:tcPr>
            <w:tcW w:w="750" w:type="pct"/>
            <w:vAlign w:val="bottom"/>
          </w:tcPr>
          <w:p w14:paraId="3EC87CFD" w14:textId="77777777" w:rsidR="00E96B29" w:rsidRPr="00027624" w:rsidRDefault="00E96B29" w:rsidP="00E96B29">
            <w:pPr>
              <w:pStyle w:val="TableTextLeft"/>
              <w:rPr>
                <w:szCs w:val="18"/>
              </w:rPr>
            </w:pPr>
            <w:r w:rsidRPr="00027624">
              <w:rPr>
                <w:bCs/>
                <w:szCs w:val="18"/>
              </w:rPr>
              <w:t>86</w:t>
            </w:r>
          </w:p>
        </w:tc>
        <w:tc>
          <w:tcPr>
            <w:tcW w:w="467" w:type="pct"/>
            <w:vAlign w:val="bottom"/>
          </w:tcPr>
          <w:p w14:paraId="2C6FB9DF" w14:textId="77777777" w:rsidR="00E96B29" w:rsidRPr="00027624" w:rsidRDefault="00E96B29" w:rsidP="00E96B29">
            <w:pPr>
              <w:pStyle w:val="TableTextCentered"/>
              <w:rPr>
                <w:szCs w:val="18"/>
              </w:rPr>
            </w:pPr>
            <w:r w:rsidRPr="00027624">
              <w:rPr>
                <w:szCs w:val="18"/>
              </w:rPr>
              <w:t>21.0</w:t>
            </w:r>
          </w:p>
        </w:tc>
        <w:tc>
          <w:tcPr>
            <w:tcW w:w="467" w:type="pct"/>
            <w:vAlign w:val="bottom"/>
          </w:tcPr>
          <w:p w14:paraId="553A702F" w14:textId="77777777" w:rsidR="00E96B29" w:rsidRPr="00027624" w:rsidRDefault="00E96B29" w:rsidP="00E96B29">
            <w:pPr>
              <w:pStyle w:val="TableTextCentered"/>
              <w:rPr>
                <w:szCs w:val="18"/>
              </w:rPr>
            </w:pPr>
            <w:r w:rsidRPr="00027624">
              <w:rPr>
                <w:szCs w:val="18"/>
              </w:rPr>
              <w:t>19.7</w:t>
            </w:r>
          </w:p>
        </w:tc>
        <w:tc>
          <w:tcPr>
            <w:tcW w:w="467" w:type="pct"/>
            <w:vAlign w:val="bottom"/>
          </w:tcPr>
          <w:p w14:paraId="3DEEA28D" w14:textId="77777777" w:rsidR="00E96B29" w:rsidRPr="00027624" w:rsidRDefault="00E96B29" w:rsidP="00E96B29">
            <w:pPr>
              <w:pStyle w:val="TableTextCentered"/>
              <w:rPr>
                <w:szCs w:val="18"/>
              </w:rPr>
            </w:pPr>
            <w:r w:rsidRPr="00027624">
              <w:rPr>
                <w:szCs w:val="18"/>
              </w:rPr>
              <w:t>19.3</w:t>
            </w:r>
          </w:p>
        </w:tc>
        <w:tc>
          <w:tcPr>
            <w:tcW w:w="469" w:type="pct"/>
            <w:vAlign w:val="bottom"/>
          </w:tcPr>
          <w:p w14:paraId="06DECF25" w14:textId="77777777" w:rsidR="00E96B29" w:rsidRPr="00027624" w:rsidRDefault="00E96B29" w:rsidP="00E96B29">
            <w:pPr>
              <w:pStyle w:val="TableTextCentered"/>
              <w:rPr>
                <w:szCs w:val="18"/>
              </w:rPr>
            </w:pPr>
            <w:r w:rsidRPr="00027624">
              <w:rPr>
                <w:szCs w:val="18"/>
              </w:rPr>
              <w:t>19.1</w:t>
            </w:r>
          </w:p>
        </w:tc>
        <w:tc>
          <w:tcPr>
            <w:tcW w:w="467" w:type="pct"/>
            <w:vAlign w:val="bottom"/>
          </w:tcPr>
          <w:p w14:paraId="2CBD82B4" w14:textId="77777777" w:rsidR="00E96B29" w:rsidRPr="00027624" w:rsidRDefault="00E96B29" w:rsidP="00E96B29">
            <w:pPr>
              <w:pStyle w:val="TableTextCentered"/>
              <w:rPr>
                <w:szCs w:val="18"/>
              </w:rPr>
            </w:pPr>
            <w:r w:rsidRPr="00027624">
              <w:rPr>
                <w:szCs w:val="18"/>
              </w:rPr>
              <w:t>18.9</w:t>
            </w:r>
          </w:p>
        </w:tc>
        <w:tc>
          <w:tcPr>
            <w:tcW w:w="467" w:type="pct"/>
            <w:vAlign w:val="bottom"/>
          </w:tcPr>
          <w:p w14:paraId="7D4BF912" w14:textId="77777777" w:rsidR="00E96B29" w:rsidRPr="00027624" w:rsidRDefault="00E96B29" w:rsidP="00E96B29">
            <w:pPr>
              <w:pStyle w:val="TableTextCentered"/>
              <w:rPr>
                <w:szCs w:val="18"/>
              </w:rPr>
            </w:pPr>
            <w:r w:rsidRPr="00027624">
              <w:rPr>
                <w:szCs w:val="18"/>
              </w:rPr>
              <w:t>18.9</w:t>
            </w:r>
          </w:p>
        </w:tc>
        <w:tc>
          <w:tcPr>
            <w:tcW w:w="464" w:type="pct"/>
            <w:vAlign w:val="bottom"/>
          </w:tcPr>
          <w:p w14:paraId="669F24E4" w14:textId="77777777" w:rsidR="00E96B29" w:rsidRPr="00027624" w:rsidRDefault="00E96B29" w:rsidP="00E96B29">
            <w:pPr>
              <w:pStyle w:val="TableTextCentered"/>
              <w:rPr>
                <w:szCs w:val="18"/>
              </w:rPr>
            </w:pPr>
            <w:r w:rsidRPr="00027624">
              <w:rPr>
                <w:szCs w:val="18"/>
              </w:rPr>
              <w:t>19.6</w:t>
            </w:r>
          </w:p>
        </w:tc>
        <w:tc>
          <w:tcPr>
            <w:tcW w:w="464" w:type="pct"/>
            <w:vAlign w:val="bottom"/>
          </w:tcPr>
          <w:p w14:paraId="02573AB0" w14:textId="77777777" w:rsidR="00E96B29" w:rsidRPr="00027624" w:rsidRDefault="00E96B29" w:rsidP="00E96B29">
            <w:pPr>
              <w:pStyle w:val="TableTextCentered"/>
              <w:rPr>
                <w:szCs w:val="18"/>
              </w:rPr>
            </w:pPr>
            <w:r w:rsidRPr="00027624">
              <w:rPr>
                <w:szCs w:val="18"/>
              </w:rPr>
              <w:t>18.8</w:t>
            </w:r>
          </w:p>
        </w:tc>
        <w:tc>
          <w:tcPr>
            <w:tcW w:w="518" w:type="pct"/>
            <w:vAlign w:val="bottom"/>
          </w:tcPr>
          <w:p w14:paraId="67732F14" w14:textId="77777777" w:rsidR="00E96B29" w:rsidRPr="00027624" w:rsidRDefault="00E96B29" w:rsidP="00E96B29">
            <w:pPr>
              <w:pStyle w:val="TableTextCentered"/>
              <w:rPr>
                <w:szCs w:val="18"/>
              </w:rPr>
            </w:pPr>
            <w:r w:rsidRPr="00027624">
              <w:rPr>
                <w:szCs w:val="18"/>
              </w:rPr>
              <w:t>13.9</w:t>
            </w:r>
          </w:p>
        </w:tc>
      </w:tr>
      <w:tr w:rsidR="00E96B29" w:rsidRPr="00027624" w14:paraId="0695D795" w14:textId="77777777" w:rsidTr="00E96B29">
        <w:trPr>
          <w:trHeight w:val="270"/>
        </w:trPr>
        <w:tc>
          <w:tcPr>
            <w:tcW w:w="750" w:type="pct"/>
            <w:vAlign w:val="bottom"/>
          </w:tcPr>
          <w:p w14:paraId="1F6DA200" w14:textId="77777777" w:rsidR="00E96B29" w:rsidRPr="00027624" w:rsidRDefault="00E96B29" w:rsidP="00E96B29">
            <w:pPr>
              <w:pStyle w:val="TableTextLeft"/>
              <w:rPr>
                <w:szCs w:val="18"/>
              </w:rPr>
            </w:pPr>
            <w:r w:rsidRPr="00027624">
              <w:rPr>
                <w:bCs/>
                <w:szCs w:val="18"/>
              </w:rPr>
              <w:t>87</w:t>
            </w:r>
          </w:p>
        </w:tc>
        <w:tc>
          <w:tcPr>
            <w:tcW w:w="467" w:type="pct"/>
            <w:vAlign w:val="bottom"/>
          </w:tcPr>
          <w:p w14:paraId="4BECA920" w14:textId="77777777" w:rsidR="00E96B29" w:rsidRPr="00027624" w:rsidRDefault="00E96B29" w:rsidP="00E96B29">
            <w:pPr>
              <w:pStyle w:val="TableTextCentered"/>
              <w:rPr>
                <w:szCs w:val="18"/>
              </w:rPr>
            </w:pPr>
            <w:r w:rsidRPr="00027624">
              <w:rPr>
                <w:szCs w:val="18"/>
              </w:rPr>
              <w:t>24.3</w:t>
            </w:r>
          </w:p>
        </w:tc>
        <w:tc>
          <w:tcPr>
            <w:tcW w:w="467" w:type="pct"/>
            <w:vAlign w:val="bottom"/>
          </w:tcPr>
          <w:p w14:paraId="51210345" w14:textId="77777777" w:rsidR="00E96B29" w:rsidRPr="00027624" w:rsidRDefault="00E96B29" w:rsidP="00E96B29">
            <w:pPr>
              <w:pStyle w:val="TableTextCentered"/>
              <w:rPr>
                <w:szCs w:val="18"/>
              </w:rPr>
            </w:pPr>
            <w:r w:rsidRPr="00027624">
              <w:rPr>
                <w:szCs w:val="18"/>
              </w:rPr>
              <w:t>23.0</w:t>
            </w:r>
          </w:p>
        </w:tc>
        <w:tc>
          <w:tcPr>
            <w:tcW w:w="467" w:type="pct"/>
            <w:vAlign w:val="bottom"/>
          </w:tcPr>
          <w:p w14:paraId="7A875550" w14:textId="77777777" w:rsidR="00E96B29" w:rsidRPr="00027624" w:rsidRDefault="00E96B29" w:rsidP="00E96B29">
            <w:pPr>
              <w:pStyle w:val="TableTextCentered"/>
              <w:rPr>
                <w:szCs w:val="18"/>
              </w:rPr>
            </w:pPr>
            <w:r w:rsidRPr="00027624">
              <w:rPr>
                <w:szCs w:val="18"/>
              </w:rPr>
              <w:t>22.6</w:t>
            </w:r>
          </w:p>
        </w:tc>
        <w:tc>
          <w:tcPr>
            <w:tcW w:w="469" w:type="pct"/>
            <w:vAlign w:val="bottom"/>
          </w:tcPr>
          <w:p w14:paraId="34E0E9CE" w14:textId="77777777" w:rsidR="00E96B29" w:rsidRPr="00027624" w:rsidRDefault="00E96B29" w:rsidP="00E96B29">
            <w:pPr>
              <w:pStyle w:val="TableTextCentered"/>
              <w:rPr>
                <w:szCs w:val="18"/>
              </w:rPr>
            </w:pPr>
            <w:r w:rsidRPr="00027624">
              <w:rPr>
                <w:szCs w:val="18"/>
              </w:rPr>
              <w:t>22.4</w:t>
            </w:r>
          </w:p>
        </w:tc>
        <w:tc>
          <w:tcPr>
            <w:tcW w:w="467" w:type="pct"/>
            <w:vAlign w:val="bottom"/>
          </w:tcPr>
          <w:p w14:paraId="33765489" w14:textId="77777777" w:rsidR="00E96B29" w:rsidRPr="00027624" w:rsidRDefault="00E96B29" w:rsidP="00E96B29">
            <w:pPr>
              <w:pStyle w:val="TableTextCentered"/>
              <w:rPr>
                <w:szCs w:val="18"/>
              </w:rPr>
            </w:pPr>
            <w:r w:rsidRPr="00027624">
              <w:rPr>
                <w:szCs w:val="18"/>
              </w:rPr>
              <w:t>22.2</w:t>
            </w:r>
          </w:p>
        </w:tc>
        <w:tc>
          <w:tcPr>
            <w:tcW w:w="467" w:type="pct"/>
            <w:vAlign w:val="bottom"/>
          </w:tcPr>
          <w:p w14:paraId="5D95D74C" w14:textId="77777777" w:rsidR="00E96B29" w:rsidRPr="00027624" w:rsidRDefault="00E96B29" w:rsidP="00E96B29">
            <w:pPr>
              <w:pStyle w:val="TableTextCentered"/>
              <w:rPr>
                <w:szCs w:val="18"/>
              </w:rPr>
            </w:pPr>
            <w:r w:rsidRPr="00027624">
              <w:rPr>
                <w:szCs w:val="18"/>
              </w:rPr>
              <w:t>22.0</w:t>
            </w:r>
          </w:p>
        </w:tc>
        <w:tc>
          <w:tcPr>
            <w:tcW w:w="464" w:type="pct"/>
            <w:vAlign w:val="bottom"/>
          </w:tcPr>
          <w:p w14:paraId="58715C0B" w14:textId="77777777" w:rsidR="00E96B29" w:rsidRPr="00027624" w:rsidRDefault="00E96B29" w:rsidP="00E96B29">
            <w:pPr>
              <w:pStyle w:val="TableTextCentered"/>
              <w:rPr>
                <w:szCs w:val="18"/>
              </w:rPr>
            </w:pPr>
            <w:r w:rsidRPr="00027624">
              <w:rPr>
                <w:szCs w:val="18"/>
              </w:rPr>
              <w:t>21.6</w:t>
            </w:r>
          </w:p>
        </w:tc>
        <w:tc>
          <w:tcPr>
            <w:tcW w:w="464" w:type="pct"/>
            <w:vAlign w:val="bottom"/>
          </w:tcPr>
          <w:p w14:paraId="0FE4FF3F" w14:textId="77777777" w:rsidR="00E96B29" w:rsidRPr="00027624" w:rsidRDefault="00E96B29" w:rsidP="00E96B29">
            <w:pPr>
              <w:pStyle w:val="TableTextCentered"/>
              <w:rPr>
                <w:szCs w:val="18"/>
              </w:rPr>
            </w:pPr>
            <w:r w:rsidRPr="00027624">
              <w:rPr>
                <w:szCs w:val="18"/>
              </w:rPr>
              <w:t>20.7</w:t>
            </w:r>
          </w:p>
        </w:tc>
        <w:tc>
          <w:tcPr>
            <w:tcW w:w="518" w:type="pct"/>
            <w:vAlign w:val="bottom"/>
          </w:tcPr>
          <w:p w14:paraId="5F20C0EB" w14:textId="77777777" w:rsidR="00E96B29" w:rsidRPr="00027624" w:rsidRDefault="00E96B29" w:rsidP="00E96B29">
            <w:pPr>
              <w:pStyle w:val="TableTextCentered"/>
              <w:rPr>
                <w:szCs w:val="18"/>
              </w:rPr>
            </w:pPr>
            <w:r w:rsidRPr="00027624">
              <w:rPr>
                <w:szCs w:val="18"/>
              </w:rPr>
              <w:t>15.9</w:t>
            </w:r>
          </w:p>
        </w:tc>
      </w:tr>
      <w:tr w:rsidR="00E96B29" w:rsidRPr="00027624" w14:paraId="12F4A0DD" w14:textId="77777777" w:rsidTr="00E96B29">
        <w:trPr>
          <w:trHeight w:val="270"/>
        </w:trPr>
        <w:tc>
          <w:tcPr>
            <w:tcW w:w="750" w:type="pct"/>
            <w:vAlign w:val="bottom"/>
          </w:tcPr>
          <w:p w14:paraId="3D7C2B4C" w14:textId="77777777" w:rsidR="00E96B29" w:rsidRPr="00027624" w:rsidRDefault="00E96B29" w:rsidP="00E96B29">
            <w:pPr>
              <w:pStyle w:val="TableTextLeft"/>
              <w:rPr>
                <w:szCs w:val="18"/>
              </w:rPr>
            </w:pPr>
            <w:r w:rsidRPr="00027624">
              <w:rPr>
                <w:bCs/>
                <w:szCs w:val="18"/>
              </w:rPr>
              <w:t>88</w:t>
            </w:r>
          </w:p>
        </w:tc>
        <w:tc>
          <w:tcPr>
            <w:tcW w:w="467" w:type="pct"/>
            <w:vAlign w:val="bottom"/>
          </w:tcPr>
          <w:p w14:paraId="5F95D6FA" w14:textId="77777777" w:rsidR="00E96B29" w:rsidRPr="00027624" w:rsidRDefault="00E96B29" w:rsidP="00E96B29">
            <w:pPr>
              <w:pStyle w:val="TableTextCentered"/>
              <w:rPr>
                <w:szCs w:val="18"/>
              </w:rPr>
            </w:pPr>
            <w:r w:rsidRPr="00027624">
              <w:rPr>
                <w:szCs w:val="18"/>
              </w:rPr>
              <w:t>29.2</w:t>
            </w:r>
          </w:p>
        </w:tc>
        <w:tc>
          <w:tcPr>
            <w:tcW w:w="467" w:type="pct"/>
            <w:vAlign w:val="bottom"/>
          </w:tcPr>
          <w:p w14:paraId="126522E5" w14:textId="77777777" w:rsidR="00E96B29" w:rsidRPr="00027624" w:rsidRDefault="00E96B29" w:rsidP="00E96B29">
            <w:pPr>
              <w:pStyle w:val="TableTextCentered"/>
              <w:rPr>
                <w:szCs w:val="18"/>
              </w:rPr>
            </w:pPr>
            <w:r w:rsidRPr="00027624">
              <w:rPr>
                <w:szCs w:val="18"/>
              </w:rPr>
              <w:t>27.8</w:t>
            </w:r>
          </w:p>
        </w:tc>
        <w:tc>
          <w:tcPr>
            <w:tcW w:w="467" w:type="pct"/>
            <w:vAlign w:val="bottom"/>
          </w:tcPr>
          <w:p w14:paraId="4CF85826" w14:textId="77777777" w:rsidR="00E96B29" w:rsidRPr="00027624" w:rsidRDefault="00E96B29" w:rsidP="00E96B29">
            <w:pPr>
              <w:pStyle w:val="TableTextCentered"/>
              <w:rPr>
                <w:szCs w:val="18"/>
              </w:rPr>
            </w:pPr>
            <w:r w:rsidRPr="00027624">
              <w:rPr>
                <w:szCs w:val="18"/>
              </w:rPr>
              <w:t>27.5</w:t>
            </w:r>
          </w:p>
        </w:tc>
        <w:tc>
          <w:tcPr>
            <w:tcW w:w="469" w:type="pct"/>
            <w:vAlign w:val="bottom"/>
          </w:tcPr>
          <w:p w14:paraId="6E5A830B" w14:textId="77777777" w:rsidR="00E96B29" w:rsidRPr="00027624" w:rsidRDefault="00E96B29" w:rsidP="00E96B29">
            <w:pPr>
              <w:pStyle w:val="TableTextCentered"/>
              <w:rPr>
                <w:szCs w:val="18"/>
              </w:rPr>
            </w:pPr>
            <w:r w:rsidRPr="00027624">
              <w:rPr>
                <w:szCs w:val="18"/>
              </w:rPr>
              <w:t>27.2</w:t>
            </w:r>
          </w:p>
        </w:tc>
        <w:tc>
          <w:tcPr>
            <w:tcW w:w="467" w:type="pct"/>
            <w:vAlign w:val="bottom"/>
          </w:tcPr>
          <w:p w14:paraId="216223A6" w14:textId="77777777" w:rsidR="00E96B29" w:rsidRPr="00027624" w:rsidRDefault="00E96B29" w:rsidP="00E96B29">
            <w:pPr>
              <w:pStyle w:val="TableTextCentered"/>
              <w:rPr>
                <w:szCs w:val="18"/>
              </w:rPr>
            </w:pPr>
            <w:r w:rsidRPr="00027624">
              <w:rPr>
                <w:szCs w:val="18"/>
              </w:rPr>
              <w:t>27.1</w:t>
            </w:r>
          </w:p>
        </w:tc>
        <w:tc>
          <w:tcPr>
            <w:tcW w:w="467" w:type="pct"/>
            <w:vAlign w:val="bottom"/>
          </w:tcPr>
          <w:p w14:paraId="4CFE6B73" w14:textId="77777777" w:rsidR="00E96B29" w:rsidRPr="00027624" w:rsidRDefault="00E96B29" w:rsidP="00E96B29">
            <w:pPr>
              <w:pStyle w:val="TableTextCentered"/>
              <w:rPr>
                <w:szCs w:val="18"/>
              </w:rPr>
            </w:pPr>
            <w:r w:rsidRPr="00027624">
              <w:rPr>
                <w:szCs w:val="18"/>
              </w:rPr>
              <w:t>26.9</w:t>
            </w:r>
          </w:p>
        </w:tc>
        <w:tc>
          <w:tcPr>
            <w:tcW w:w="464" w:type="pct"/>
            <w:vAlign w:val="bottom"/>
          </w:tcPr>
          <w:p w14:paraId="576CF3F1" w14:textId="77777777" w:rsidR="00E96B29" w:rsidRPr="00027624" w:rsidRDefault="00E96B29" w:rsidP="00E96B29">
            <w:pPr>
              <w:pStyle w:val="TableTextCentered"/>
              <w:rPr>
                <w:szCs w:val="18"/>
              </w:rPr>
            </w:pPr>
            <w:r w:rsidRPr="00027624">
              <w:rPr>
                <w:szCs w:val="18"/>
              </w:rPr>
              <w:t>24.5</w:t>
            </w:r>
          </w:p>
        </w:tc>
        <w:tc>
          <w:tcPr>
            <w:tcW w:w="464" w:type="pct"/>
            <w:vAlign w:val="bottom"/>
          </w:tcPr>
          <w:p w14:paraId="09D7443D" w14:textId="77777777" w:rsidR="00E96B29" w:rsidRPr="00027624" w:rsidRDefault="00E96B29" w:rsidP="00E96B29">
            <w:pPr>
              <w:pStyle w:val="TableTextCentered"/>
              <w:rPr>
                <w:szCs w:val="18"/>
              </w:rPr>
            </w:pPr>
            <w:r w:rsidRPr="00027624">
              <w:rPr>
                <w:szCs w:val="18"/>
              </w:rPr>
              <w:t>23.3</w:t>
            </w:r>
          </w:p>
        </w:tc>
        <w:tc>
          <w:tcPr>
            <w:tcW w:w="518" w:type="pct"/>
            <w:vAlign w:val="bottom"/>
          </w:tcPr>
          <w:p w14:paraId="226189EA" w14:textId="77777777" w:rsidR="00E96B29" w:rsidRPr="00027624" w:rsidRDefault="00E96B29" w:rsidP="00E96B29">
            <w:pPr>
              <w:pStyle w:val="TableTextCentered"/>
              <w:rPr>
                <w:szCs w:val="18"/>
              </w:rPr>
            </w:pPr>
            <w:r w:rsidRPr="00027624">
              <w:rPr>
                <w:szCs w:val="18"/>
              </w:rPr>
              <w:t>18.5</w:t>
            </w:r>
          </w:p>
        </w:tc>
      </w:tr>
      <w:tr w:rsidR="00E96B29" w:rsidRPr="00027624" w14:paraId="36F6AB4D" w14:textId="77777777" w:rsidTr="00E96B29">
        <w:trPr>
          <w:trHeight w:val="270"/>
        </w:trPr>
        <w:tc>
          <w:tcPr>
            <w:tcW w:w="750" w:type="pct"/>
            <w:vAlign w:val="bottom"/>
          </w:tcPr>
          <w:p w14:paraId="4DCC035E" w14:textId="77777777" w:rsidR="00E96B29" w:rsidRPr="00027624" w:rsidRDefault="00E96B29" w:rsidP="00E96B29">
            <w:pPr>
              <w:pStyle w:val="TableTextLeft"/>
              <w:rPr>
                <w:szCs w:val="18"/>
              </w:rPr>
            </w:pPr>
            <w:r w:rsidRPr="00027624">
              <w:rPr>
                <w:bCs/>
                <w:szCs w:val="18"/>
              </w:rPr>
              <w:t>89</w:t>
            </w:r>
          </w:p>
        </w:tc>
        <w:tc>
          <w:tcPr>
            <w:tcW w:w="467" w:type="pct"/>
            <w:vAlign w:val="bottom"/>
          </w:tcPr>
          <w:p w14:paraId="26AA191F" w14:textId="77777777" w:rsidR="00E96B29" w:rsidRPr="00027624" w:rsidRDefault="00E96B29" w:rsidP="00E96B29">
            <w:pPr>
              <w:pStyle w:val="TableTextCentered"/>
              <w:rPr>
                <w:szCs w:val="18"/>
              </w:rPr>
            </w:pPr>
            <w:r w:rsidRPr="00027624">
              <w:rPr>
                <w:szCs w:val="18"/>
              </w:rPr>
              <w:t>37.2</w:t>
            </w:r>
          </w:p>
        </w:tc>
        <w:tc>
          <w:tcPr>
            <w:tcW w:w="467" w:type="pct"/>
            <w:vAlign w:val="bottom"/>
          </w:tcPr>
          <w:p w14:paraId="66928A48" w14:textId="77777777" w:rsidR="00E96B29" w:rsidRPr="00027624" w:rsidRDefault="00E96B29" w:rsidP="00E96B29">
            <w:pPr>
              <w:pStyle w:val="TableTextCentered"/>
              <w:rPr>
                <w:szCs w:val="18"/>
              </w:rPr>
            </w:pPr>
            <w:r w:rsidRPr="00027624">
              <w:rPr>
                <w:szCs w:val="18"/>
              </w:rPr>
              <w:t>35.9</w:t>
            </w:r>
          </w:p>
        </w:tc>
        <w:tc>
          <w:tcPr>
            <w:tcW w:w="467" w:type="pct"/>
            <w:vAlign w:val="bottom"/>
          </w:tcPr>
          <w:p w14:paraId="1ECFEC10" w14:textId="77777777" w:rsidR="00E96B29" w:rsidRPr="00027624" w:rsidRDefault="00E96B29" w:rsidP="00E96B29">
            <w:pPr>
              <w:pStyle w:val="TableTextCentered"/>
              <w:rPr>
                <w:szCs w:val="18"/>
              </w:rPr>
            </w:pPr>
            <w:r w:rsidRPr="00027624">
              <w:rPr>
                <w:szCs w:val="18"/>
              </w:rPr>
              <w:t>35.5</w:t>
            </w:r>
          </w:p>
        </w:tc>
        <w:tc>
          <w:tcPr>
            <w:tcW w:w="469" w:type="pct"/>
            <w:vAlign w:val="bottom"/>
          </w:tcPr>
          <w:p w14:paraId="299FD79D" w14:textId="77777777" w:rsidR="00E96B29" w:rsidRPr="00027624" w:rsidRDefault="00E96B29" w:rsidP="00E96B29">
            <w:pPr>
              <w:pStyle w:val="TableTextCentered"/>
              <w:rPr>
                <w:szCs w:val="18"/>
              </w:rPr>
            </w:pPr>
            <w:r w:rsidRPr="00027624">
              <w:rPr>
                <w:szCs w:val="18"/>
              </w:rPr>
              <w:t>35.3</w:t>
            </w:r>
          </w:p>
        </w:tc>
        <w:tc>
          <w:tcPr>
            <w:tcW w:w="467" w:type="pct"/>
            <w:vAlign w:val="bottom"/>
          </w:tcPr>
          <w:p w14:paraId="741F658B" w14:textId="77777777" w:rsidR="00E96B29" w:rsidRPr="00027624" w:rsidRDefault="00E96B29" w:rsidP="00E96B29">
            <w:pPr>
              <w:pStyle w:val="TableTextCentered"/>
              <w:rPr>
                <w:szCs w:val="18"/>
              </w:rPr>
            </w:pPr>
            <w:r w:rsidRPr="00027624">
              <w:rPr>
                <w:szCs w:val="18"/>
              </w:rPr>
              <w:t>35.2</w:t>
            </w:r>
          </w:p>
        </w:tc>
        <w:tc>
          <w:tcPr>
            <w:tcW w:w="467" w:type="pct"/>
            <w:vAlign w:val="bottom"/>
          </w:tcPr>
          <w:p w14:paraId="73877895" w14:textId="77777777" w:rsidR="00E96B29" w:rsidRPr="00027624" w:rsidRDefault="00E96B29" w:rsidP="00E96B29">
            <w:pPr>
              <w:pStyle w:val="TableTextCentered"/>
              <w:rPr>
                <w:szCs w:val="18"/>
              </w:rPr>
            </w:pPr>
            <w:r w:rsidRPr="00027624">
              <w:rPr>
                <w:szCs w:val="18"/>
              </w:rPr>
              <w:t>35.0</w:t>
            </w:r>
          </w:p>
        </w:tc>
        <w:tc>
          <w:tcPr>
            <w:tcW w:w="464" w:type="pct"/>
            <w:vAlign w:val="bottom"/>
          </w:tcPr>
          <w:p w14:paraId="2F29EC55" w14:textId="77777777" w:rsidR="00E96B29" w:rsidRPr="00027624" w:rsidRDefault="00E96B29" w:rsidP="00E96B29">
            <w:pPr>
              <w:pStyle w:val="TableTextCentered"/>
              <w:rPr>
                <w:szCs w:val="18"/>
              </w:rPr>
            </w:pPr>
            <w:r w:rsidRPr="00027624">
              <w:rPr>
                <w:szCs w:val="18"/>
              </w:rPr>
              <w:t>28.6</w:t>
            </w:r>
          </w:p>
        </w:tc>
        <w:tc>
          <w:tcPr>
            <w:tcW w:w="464" w:type="pct"/>
            <w:vAlign w:val="bottom"/>
          </w:tcPr>
          <w:p w14:paraId="765C4A9F" w14:textId="77777777" w:rsidR="00E96B29" w:rsidRPr="00027624" w:rsidRDefault="00E96B29" w:rsidP="00E96B29">
            <w:pPr>
              <w:pStyle w:val="TableTextCentered"/>
              <w:rPr>
                <w:szCs w:val="18"/>
              </w:rPr>
            </w:pPr>
            <w:r w:rsidRPr="00027624">
              <w:rPr>
                <w:szCs w:val="18"/>
              </w:rPr>
              <w:t>27.0</w:t>
            </w:r>
          </w:p>
        </w:tc>
        <w:tc>
          <w:tcPr>
            <w:tcW w:w="518" w:type="pct"/>
            <w:vAlign w:val="bottom"/>
          </w:tcPr>
          <w:p w14:paraId="4DA7BC7B" w14:textId="77777777" w:rsidR="00E96B29" w:rsidRPr="00027624" w:rsidRDefault="00E96B29" w:rsidP="00E96B29">
            <w:pPr>
              <w:pStyle w:val="TableTextCentered"/>
              <w:rPr>
                <w:szCs w:val="18"/>
              </w:rPr>
            </w:pPr>
            <w:r w:rsidRPr="00027624">
              <w:rPr>
                <w:szCs w:val="18"/>
              </w:rPr>
              <w:t>22.3</w:t>
            </w:r>
          </w:p>
        </w:tc>
      </w:tr>
      <w:tr w:rsidR="00E96B29" w:rsidRPr="00027624" w14:paraId="5C899362" w14:textId="77777777" w:rsidTr="00E96B29">
        <w:trPr>
          <w:trHeight w:val="270"/>
        </w:trPr>
        <w:tc>
          <w:tcPr>
            <w:tcW w:w="750" w:type="pct"/>
            <w:vAlign w:val="bottom"/>
          </w:tcPr>
          <w:p w14:paraId="3016830A" w14:textId="77777777" w:rsidR="00E96B29" w:rsidRPr="00027624" w:rsidRDefault="00E96B29" w:rsidP="00E96B29">
            <w:pPr>
              <w:pStyle w:val="TableTextLeft"/>
              <w:rPr>
                <w:szCs w:val="18"/>
              </w:rPr>
            </w:pPr>
            <w:r w:rsidRPr="00027624">
              <w:rPr>
                <w:bCs/>
                <w:szCs w:val="18"/>
              </w:rPr>
              <w:t>90</w:t>
            </w:r>
          </w:p>
        </w:tc>
        <w:tc>
          <w:tcPr>
            <w:tcW w:w="467" w:type="pct"/>
            <w:vAlign w:val="bottom"/>
          </w:tcPr>
          <w:p w14:paraId="6AADD6D8" w14:textId="77777777" w:rsidR="00E96B29" w:rsidRPr="00027624" w:rsidRDefault="00E96B29" w:rsidP="00E96B29">
            <w:pPr>
              <w:pStyle w:val="TableTextCentered"/>
              <w:rPr>
                <w:szCs w:val="18"/>
              </w:rPr>
            </w:pPr>
            <w:r w:rsidRPr="00027624">
              <w:rPr>
                <w:szCs w:val="18"/>
              </w:rPr>
              <w:t>53.0</w:t>
            </w:r>
          </w:p>
        </w:tc>
        <w:tc>
          <w:tcPr>
            <w:tcW w:w="467" w:type="pct"/>
            <w:vAlign w:val="bottom"/>
          </w:tcPr>
          <w:p w14:paraId="2A180FDC" w14:textId="77777777" w:rsidR="00E96B29" w:rsidRPr="00027624" w:rsidRDefault="00E96B29" w:rsidP="00E96B29">
            <w:pPr>
              <w:pStyle w:val="TableTextCentered"/>
              <w:rPr>
                <w:szCs w:val="18"/>
              </w:rPr>
            </w:pPr>
            <w:r w:rsidRPr="00027624">
              <w:rPr>
                <w:szCs w:val="18"/>
              </w:rPr>
              <w:t>51.9</w:t>
            </w:r>
          </w:p>
        </w:tc>
        <w:tc>
          <w:tcPr>
            <w:tcW w:w="467" w:type="pct"/>
            <w:vAlign w:val="bottom"/>
          </w:tcPr>
          <w:p w14:paraId="78253A45" w14:textId="77777777" w:rsidR="00E96B29" w:rsidRPr="00027624" w:rsidRDefault="00E96B29" w:rsidP="00E96B29">
            <w:pPr>
              <w:pStyle w:val="TableTextCentered"/>
              <w:rPr>
                <w:szCs w:val="18"/>
              </w:rPr>
            </w:pPr>
            <w:r w:rsidRPr="00027624">
              <w:rPr>
                <w:szCs w:val="18"/>
              </w:rPr>
              <w:t>51.7</w:t>
            </w:r>
          </w:p>
        </w:tc>
        <w:tc>
          <w:tcPr>
            <w:tcW w:w="469" w:type="pct"/>
            <w:vAlign w:val="bottom"/>
          </w:tcPr>
          <w:p w14:paraId="4739509E" w14:textId="77777777" w:rsidR="00E96B29" w:rsidRPr="00027624" w:rsidRDefault="00E96B29" w:rsidP="00E96B29">
            <w:pPr>
              <w:pStyle w:val="TableTextCentered"/>
              <w:rPr>
                <w:szCs w:val="18"/>
              </w:rPr>
            </w:pPr>
            <w:r w:rsidRPr="00027624">
              <w:rPr>
                <w:szCs w:val="18"/>
              </w:rPr>
              <w:t>51.5</w:t>
            </w:r>
          </w:p>
        </w:tc>
        <w:tc>
          <w:tcPr>
            <w:tcW w:w="467" w:type="pct"/>
            <w:vAlign w:val="bottom"/>
          </w:tcPr>
          <w:p w14:paraId="7CD6986F" w14:textId="77777777" w:rsidR="00E96B29" w:rsidRPr="00027624" w:rsidRDefault="00E96B29" w:rsidP="00E96B29">
            <w:pPr>
              <w:pStyle w:val="TableTextCentered"/>
              <w:rPr>
                <w:szCs w:val="18"/>
              </w:rPr>
            </w:pPr>
            <w:r w:rsidRPr="00027624">
              <w:rPr>
                <w:szCs w:val="18"/>
              </w:rPr>
              <w:t>51.4</w:t>
            </w:r>
          </w:p>
        </w:tc>
        <w:tc>
          <w:tcPr>
            <w:tcW w:w="467" w:type="pct"/>
            <w:vAlign w:val="bottom"/>
          </w:tcPr>
          <w:p w14:paraId="4FA2CEC3" w14:textId="77777777" w:rsidR="00E96B29" w:rsidRPr="00027624" w:rsidRDefault="00E96B29" w:rsidP="00E96B29">
            <w:pPr>
              <w:pStyle w:val="TableTextCentered"/>
              <w:rPr>
                <w:szCs w:val="18"/>
              </w:rPr>
            </w:pPr>
            <w:r w:rsidRPr="00027624">
              <w:rPr>
                <w:szCs w:val="18"/>
              </w:rPr>
              <w:t>51.2</w:t>
            </w:r>
          </w:p>
        </w:tc>
        <w:tc>
          <w:tcPr>
            <w:tcW w:w="464" w:type="pct"/>
            <w:vAlign w:val="bottom"/>
          </w:tcPr>
          <w:p w14:paraId="33E2F32B" w14:textId="77777777" w:rsidR="00E96B29" w:rsidRPr="00027624" w:rsidRDefault="00E96B29" w:rsidP="00E96B29">
            <w:pPr>
              <w:pStyle w:val="TableTextCentered"/>
              <w:rPr>
                <w:szCs w:val="18"/>
              </w:rPr>
            </w:pPr>
            <w:r w:rsidRPr="00027624">
              <w:rPr>
                <w:szCs w:val="18"/>
              </w:rPr>
              <w:t>37.4</w:t>
            </w:r>
          </w:p>
        </w:tc>
        <w:tc>
          <w:tcPr>
            <w:tcW w:w="464" w:type="pct"/>
            <w:vAlign w:val="bottom"/>
          </w:tcPr>
          <w:p w14:paraId="24979AC7" w14:textId="77777777" w:rsidR="00E96B29" w:rsidRPr="00027624" w:rsidRDefault="00E96B29" w:rsidP="00E96B29">
            <w:pPr>
              <w:pStyle w:val="TableTextCentered"/>
              <w:rPr>
                <w:szCs w:val="18"/>
              </w:rPr>
            </w:pPr>
            <w:r w:rsidRPr="00027624">
              <w:rPr>
                <w:szCs w:val="18"/>
              </w:rPr>
              <w:t>32.8</w:t>
            </w:r>
          </w:p>
        </w:tc>
        <w:tc>
          <w:tcPr>
            <w:tcW w:w="518" w:type="pct"/>
            <w:vAlign w:val="bottom"/>
          </w:tcPr>
          <w:p w14:paraId="67199C2F" w14:textId="77777777" w:rsidR="00E96B29" w:rsidRPr="00027624" w:rsidRDefault="00E96B29" w:rsidP="00E96B29">
            <w:pPr>
              <w:pStyle w:val="TableTextCentered"/>
              <w:rPr>
                <w:szCs w:val="18"/>
              </w:rPr>
            </w:pPr>
            <w:r w:rsidRPr="00027624">
              <w:rPr>
                <w:szCs w:val="18"/>
              </w:rPr>
              <w:t>27.2</w:t>
            </w:r>
          </w:p>
        </w:tc>
      </w:tr>
      <w:tr w:rsidR="00E96B29" w:rsidRPr="00027624" w14:paraId="16047FA7" w14:textId="77777777" w:rsidTr="00E96B29">
        <w:trPr>
          <w:trHeight w:val="270"/>
        </w:trPr>
        <w:tc>
          <w:tcPr>
            <w:tcW w:w="750" w:type="pct"/>
            <w:vAlign w:val="bottom"/>
          </w:tcPr>
          <w:p w14:paraId="24E80E6A" w14:textId="77777777" w:rsidR="00E96B29" w:rsidRPr="00027624" w:rsidRDefault="00E96B29" w:rsidP="00E96B29">
            <w:pPr>
              <w:pStyle w:val="TableTextLeft"/>
              <w:rPr>
                <w:szCs w:val="18"/>
              </w:rPr>
            </w:pPr>
            <w:r w:rsidRPr="00027624">
              <w:rPr>
                <w:bCs/>
                <w:szCs w:val="18"/>
              </w:rPr>
              <w:t>91</w:t>
            </w:r>
          </w:p>
        </w:tc>
        <w:tc>
          <w:tcPr>
            <w:tcW w:w="467" w:type="pct"/>
            <w:vAlign w:val="bottom"/>
          </w:tcPr>
          <w:p w14:paraId="757DBCFD"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73C836DC"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62ED86FD" w14:textId="77777777" w:rsidR="00E96B29" w:rsidRPr="00027624" w:rsidRDefault="00E96B29" w:rsidP="00E96B29">
            <w:pPr>
              <w:pStyle w:val="TableTextCentered"/>
              <w:rPr>
                <w:szCs w:val="18"/>
              </w:rPr>
            </w:pPr>
            <w:r w:rsidRPr="00027624">
              <w:rPr>
                <w:szCs w:val="18"/>
              </w:rPr>
              <w:t>100.0</w:t>
            </w:r>
          </w:p>
        </w:tc>
        <w:tc>
          <w:tcPr>
            <w:tcW w:w="469" w:type="pct"/>
            <w:vAlign w:val="bottom"/>
          </w:tcPr>
          <w:p w14:paraId="4D60757F"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08885DF6" w14:textId="77777777" w:rsidR="00E96B29" w:rsidRPr="00027624" w:rsidRDefault="00E96B29" w:rsidP="00E96B29">
            <w:pPr>
              <w:pStyle w:val="TableTextCentered"/>
              <w:rPr>
                <w:szCs w:val="18"/>
              </w:rPr>
            </w:pPr>
            <w:r w:rsidRPr="00027624">
              <w:rPr>
                <w:szCs w:val="18"/>
              </w:rPr>
              <w:t>100.0</w:t>
            </w:r>
          </w:p>
        </w:tc>
        <w:tc>
          <w:tcPr>
            <w:tcW w:w="467" w:type="pct"/>
            <w:vAlign w:val="bottom"/>
          </w:tcPr>
          <w:p w14:paraId="72894B27" w14:textId="77777777" w:rsidR="00E96B29" w:rsidRPr="00027624" w:rsidRDefault="00E96B29" w:rsidP="00E96B29">
            <w:pPr>
              <w:pStyle w:val="TableTextCentered"/>
              <w:rPr>
                <w:szCs w:val="18"/>
              </w:rPr>
            </w:pPr>
            <w:r w:rsidRPr="00027624">
              <w:rPr>
                <w:szCs w:val="18"/>
              </w:rPr>
              <w:t>100.0</w:t>
            </w:r>
          </w:p>
        </w:tc>
        <w:tc>
          <w:tcPr>
            <w:tcW w:w="464" w:type="pct"/>
            <w:vAlign w:val="bottom"/>
          </w:tcPr>
          <w:p w14:paraId="18151E7E" w14:textId="77777777" w:rsidR="00E96B29" w:rsidRPr="00027624" w:rsidRDefault="00E96B29" w:rsidP="00E96B29">
            <w:pPr>
              <w:pStyle w:val="TableTextCentered"/>
              <w:rPr>
                <w:szCs w:val="18"/>
              </w:rPr>
            </w:pPr>
            <w:r w:rsidRPr="00027624">
              <w:rPr>
                <w:szCs w:val="18"/>
              </w:rPr>
              <w:t>57.0</w:t>
            </w:r>
          </w:p>
        </w:tc>
        <w:tc>
          <w:tcPr>
            <w:tcW w:w="464" w:type="pct"/>
            <w:vAlign w:val="bottom"/>
          </w:tcPr>
          <w:p w14:paraId="7D3F7D0B" w14:textId="77777777" w:rsidR="00E96B29" w:rsidRPr="00027624" w:rsidRDefault="00E96B29" w:rsidP="00E96B29">
            <w:pPr>
              <w:pStyle w:val="TableTextCentered"/>
              <w:rPr>
                <w:szCs w:val="18"/>
              </w:rPr>
            </w:pPr>
            <w:r w:rsidRPr="00027624">
              <w:rPr>
                <w:szCs w:val="18"/>
              </w:rPr>
              <w:t>43.2</w:t>
            </w:r>
          </w:p>
        </w:tc>
        <w:tc>
          <w:tcPr>
            <w:tcW w:w="518" w:type="pct"/>
            <w:vAlign w:val="bottom"/>
          </w:tcPr>
          <w:p w14:paraId="07AD14D2" w14:textId="77777777" w:rsidR="00E96B29" w:rsidRPr="00027624" w:rsidRDefault="00E96B29" w:rsidP="00E96B29">
            <w:pPr>
              <w:pStyle w:val="TableTextCentered"/>
              <w:rPr>
                <w:szCs w:val="18"/>
              </w:rPr>
            </w:pPr>
            <w:r w:rsidRPr="00027624">
              <w:rPr>
                <w:szCs w:val="18"/>
              </w:rPr>
              <w:t>33.3</w:t>
            </w:r>
          </w:p>
        </w:tc>
      </w:tr>
      <w:tr w:rsidR="00E96B29" w:rsidRPr="00027624" w14:paraId="5F7907D4" w14:textId="77777777" w:rsidTr="00E96B29">
        <w:trPr>
          <w:trHeight w:val="270"/>
        </w:trPr>
        <w:tc>
          <w:tcPr>
            <w:tcW w:w="750" w:type="pct"/>
            <w:vAlign w:val="bottom"/>
          </w:tcPr>
          <w:p w14:paraId="45A1E875" w14:textId="77777777" w:rsidR="00E96B29" w:rsidRPr="00027624" w:rsidRDefault="00E96B29" w:rsidP="00E96B29">
            <w:pPr>
              <w:pStyle w:val="TableTextLeft"/>
              <w:rPr>
                <w:szCs w:val="18"/>
              </w:rPr>
            </w:pPr>
            <w:r w:rsidRPr="00027624">
              <w:rPr>
                <w:bCs/>
                <w:szCs w:val="18"/>
              </w:rPr>
              <w:t>92</w:t>
            </w:r>
          </w:p>
        </w:tc>
        <w:tc>
          <w:tcPr>
            <w:tcW w:w="467" w:type="pct"/>
            <w:vAlign w:val="bottom"/>
          </w:tcPr>
          <w:p w14:paraId="6F5FB295" w14:textId="77777777" w:rsidR="00E96B29" w:rsidRPr="00027624" w:rsidRDefault="00E96B29" w:rsidP="00E96B29">
            <w:pPr>
              <w:pStyle w:val="TableTextCentered"/>
              <w:rPr>
                <w:szCs w:val="18"/>
              </w:rPr>
            </w:pPr>
          </w:p>
        </w:tc>
        <w:tc>
          <w:tcPr>
            <w:tcW w:w="467" w:type="pct"/>
            <w:vAlign w:val="bottom"/>
          </w:tcPr>
          <w:p w14:paraId="4552F56A" w14:textId="77777777" w:rsidR="00E96B29" w:rsidRPr="00027624" w:rsidRDefault="00E96B29" w:rsidP="00E96B29">
            <w:pPr>
              <w:pStyle w:val="TableTextCentered"/>
              <w:rPr>
                <w:szCs w:val="18"/>
              </w:rPr>
            </w:pPr>
          </w:p>
        </w:tc>
        <w:tc>
          <w:tcPr>
            <w:tcW w:w="467" w:type="pct"/>
            <w:vAlign w:val="bottom"/>
          </w:tcPr>
          <w:p w14:paraId="1A9DC3F1" w14:textId="77777777" w:rsidR="00E96B29" w:rsidRPr="00027624" w:rsidRDefault="00E96B29" w:rsidP="00E96B29">
            <w:pPr>
              <w:pStyle w:val="TableTextCentered"/>
              <w:rPr>
                <w:szCs w:val="18"/>
              </w:rPr>
            </w:pPr>
          </w:p>
        </w:tc>
        <w:tc>
          <w:tcPr>
            <w:tcW w:w="469" w:type="pct"/>
            <w:vAlign w:val="bottom"/>
          </w:tcPr>
          <w:p w14:paraId="3172C5A0" w14:textId="77777777" w:rsidR="00E96B29" w:rsidRPr="00027624" w:rsidRDefault="00E96B29" w:rsidP="00E96B29">
            <w:pPr>
              <w:pStyle w:val="TableTextCentered"/>
              <w:rPr>
                <w:szCs w:val="18"/>
              </w:rPr>
            </w:pPr>
          </w:p>
        </w:tc>
        <w:tc>
          <w:tcPr>
            <w:tcW w:w="467" w:type="pct"/>
            <w:vAlign w:val="bottom"/>
          </w:tcPr>
          <w:p w14:paraId="1B145322" w14:textId="77777777" w:rsidR="00E96B29" w:rsidRPr="00027624" w:rsidRDefault="00E96B29" w:rsidP="00E96B29">
            <w:pPr>
              <w:pStyle w:val="TableTextCentered"/>
              <w:rPr>
                <w:szCs w:val="18"/>
              </w:rPr>
            </w:pPr>
          </w:p>
        </w:tc>
        <w:tc>
          <w:tcPr>
            <w:tcW w:w="467" w:type="pct"/>
            <w:vAlign w:val="bottom"/>
          </w:tcPr>
          <w:p w14:paraId="75C6082E" w14:textId="77777777" w:rsidR="00E96B29" w:rsidRPr="00027624" w:rsidRDefault="00E96B29" w:rsidP="00E96B29">
            <w:pPr>
              <w:pStyle w:val="TableTextCentered"/>
              <w:rPr>
                <w:szCs w:val="18"/>
              </w:rPr>
            </w:pPr>
          </w:p>
        </w:tc>
        <w:tc>
          <w:tcPr>
            <w:tcW w:w="464" w:type="pct"/>
            <w:vAlign w:val="bottom"/>
          </w:tcPr>
          <w:p w14:paraId="4934BBD4" w14:textId="77777777" w:rsidR="00E96B29" w:rsidRPr="00027624" w:rsidRDefault="00E96B29" w:rsidP="00E96B29">
            <w:pPr>
              <w:pStyle w:val="TableTextCentered"/>
              <w:rPr>
                <w:szCs w:val="18"/>
              </w:rPr>
            </w:pPr>
            <w:r w:rsidRPr="00027624">
              <w:rPr>
                <w:szCs w:val="18"/>
              </w:rPr>
              <w:t>23.8</w:t>
            </w:r>
          </w:p>
        </w:tc>
        <w:tc>
          <w:tcPr>
            <w:tcW w:w="464" w:type="pct"/>
            <w:vAlign w:val="bottom"/>
          </w:tcPr>
          <w:p w14:paraId="07169C3F" w14:textId="77777777" w:rsidR="00E96B29" w:rsidRPr="00027624" w:rsidRDefault="00E96B29" w:rsidP="00E96B29">
            <w:pPr>
              <w:pStyle w:val="TableTextCentered"/>
              <w:rPr>
                <w:szCs w:val="18"/>
              </w:rPr>
            </w:pPr>
            <w:r w:rsidRPr="00027624">
              <w:rPr>
                <w:szCs w:val="18"/>
              </w:rPr>
              <w:t>16.6</w:t>
            </w:r>
          </w:p>
        </w:tc>
        <w:tc>
          <w:tcPr>
            <w:tcW w:w="518" w:type="pct"/>
            <w:vAlign w:val="bottom"/>
          </w:tcPr>
          <w:p w14:paraId="0974C367" w14:textId="77777777" w:rsidR="00E96B29" w:rsidRPr="00027624" w:rsidRDefault="00E96B29" w:rsidP="00E96B29">
            <w:pPr>
              <w:pStyle w:val="TableTextCentered"/>
              <w:rPr>
                <w:szCs w:val="18"/>
              </w:rPr>
            </w:pPr>
            <w:r w:rsidRPr="00027624">
              <w:rPr>
                <w:szCs w:val="18"/>
              </w:rPr>
              <w:t>18.0</w:t>
            </w:r>
          </w:p>
        </w:tc>
      </w:tr>
      <w:tr w:rsidR="00E96B29" w:rsidRPr="00027624" w14:paraId="2F1A3576" w14:textId="77777777" w:rsidTr="00E96B29">
        <w:trPr>
          <w:trHeight w:val="270"/>
        </w:trPr>
        <w:tc>
          <w:tcPr>
            <w:tcW w:w="750" w:type="pct"/>
            <w:vAlign w:val="bottom"/>
          </w:tcPr>
          <w:p w14:paraId="412E3FCF" w14:textId="77777777" w:rsidR="00E96B29" w:rsidRPr="00027624" w:rsidRDefault="00E96B29" w:rsidP="00E96B29">
            <w:pPr>
              <w:pStyle w:val="TableTextLeft"/>
              <w:rPr>
                <w:szCs w:val="18"/>
              </w:rPr>
            </w:pPr>
            <w:r w:rsidRPr="00027624">
              <w:rPr>
                <w:bCs/>
                <w:szCs w:val="18"/>
              </w:rPr>
              <w:t>93</w:t>
            </w:r>
          </w:p>
        </w:tc>
        <w:tc>
          <w:tcPr>
            <w:tcW w:w="467" w:type="pct"/>
            <w:vAlign w:val="bottom"/>
          </w:tcPr>
          <w:p w14:paraId="2652C257" w14:textId="77777777" w:rsidR="00E96B29" w:rsidRPr="00027624" w:rsidRDefault="00E96B29" w:rsidP="00E96B29">
            <w:pPr>
              <w:pStyle w:val="TableTextCentered"/>
              <w:rPr>
                <w:szCs w:val="18"/>
              </w:rPr>
            </w:pPr>
          </w:p>
        </w:tc>
        <w:tc>
          <w:tcPr>
            <w:tcW w:w="467" w:type="pct"/>
            <w:vAlign w:val="bottom"/>
          </w:tcPr>
          <w:p w14:paraId="4FF64AC9" w14:textId="77777777" w:rsidR="00E96B29" w:rsidRPr="00027624" w:rsidRDefault="00E96B29" w:rsidP="00E96B29">
            <w:pPr>
              <w:pStyle w:val="TableTextCentered"/>
              <w:rPr>
                <w:szCs w:val="18"/>
              </w:rPr>
            </w:pPr>
          </w:p>
        </w:tc>
        <w:tc>
          <w:tcPr>
            <w:tcW w:w="467" w:type="pct"/>
            <w:vAlign w:val="bottom"/>
          </w:tcPr>
          <w:p w14:paraId="369FF04A" w14:textId="77777777" w:rsidR="00E96B29" w:rsidRPr="00027624" w:rsidRDefault="00E96B29" w:rsidP="00E96B29">
            <w:pPr>
              <w:pStyle w:val="TableTextCentered"/>
              <w:rPr>
                <w:szCs w:val="18"/>
              </w:rPr>
            </w:pPr>
          </w:p>
        </w:tc>
        <w:tc>
          <w:tcPr>
            <w:tcW w:w="469" w:type="pct"/>
            <w:vAlign w:val="bottom"/>
          </w:tcPr>
          <w:p w14:paraId="30D2169C" w14:textId="77777777" w:rsidR="00E96B29" w:rsidRPr="00027624" w:rsidRDefault="00E96B29" w:rsidP="00E96B29">
            <w:pPr>
              <w:pStyle w:val="TableTextCentered"/>
              <w:rPr>
                <w:szCs w:val="18"/>
              </w:rPr>
            </w:pPr>
          </w:p>
        </w:tc>
        <w:tc>
          <w:tcPr>
            <w:tcW w:w="467" w:type="pct"/>
            <w:vAlign w:val="bottom"/>
          </w:tcPr>
          <w:p w14:paraId="06BA1C57" w14:textId="77777777" w:rsidR="00E96B29" w:rsidRPr="00027624" w:rsidRDefault="00E96B29" w:rsidP="00E96B29">
            <w:pPr>
              <w:pStyle w:val="TableTextCentered"/>
              <w:rPr>
                <w:szCs w:val="18"/>
              </w:rPr>
            </w:pPr>
          </w:p>
        </w:tc>
        <w:tc>
          <w:tcPr>
            <w:tcW w:w="467" w:type="pct"/>
            <w:vAlign w:val="bottom"/>
          </w:tcPr>
          <w:p w14:paraId="2CDDFBE4" w14:textId="77777777" w:rsidR="00E96B29" w:rsidRPr="00027624" w:rsidRDefault="00E96B29" w:rsidP="00E96B29">
            <w:pPr>
              <w:pStyle w:val="TableTextCentered"/>
              <w:rPr>
                <w:szCs w:val="18"/>
              </w:rPr>
            </w:pPr>
          </w:p>
        </w:tc>
        <w:tc>
          <w:tcPr>
            <w:tcW w:w="464" w:type="pct"/>
            <w:vAlign w:val="bottom"/>
          </w:tcPr>
          <w:p w14:paraId="5B151BD7" w14:textId="77777777" w:rsidR="00E96B29" w:rsidRPr="00027624" w:rsidRDefault="00E96B29" w:rsidP="00E96B29">
            <w:pPr>
              <w:pStyle w:val="TableTextCentered"/>
              <w:rPr>
                <w:szCs w:val="18"/>
              </w:rPr>
            </w:pPr>
            <w:r w:rsidRPr="00027624">
              <w:rPr>
                <w:szCs w:val="18"/>
              </w:rPr>
              <w:t>26.7</w:t>
            </w:r>
          </w:p>
        </w:tc>
        <w:tc>
          <w:tcPr>
            <w:tcW w:w="464" w:type="pct"/>
            <w:vAlign w:val="bottom"/>
          </w:tcPr>
          <w:p w14:paraId="53D9E1EB" w14:textId="77777777" w:rsidR="00E96B29" w:rsidRPr="00027624" w:rsidRDefault="00E96B29" w:rsidP="00E96B29">
            <w:pPr>
              <w:pStyle w:val="TableTextCentered"/>
              <w:rPr>
                <w:szCs w:val="18"/>
              </w:rPr>
            </w:pPr>
            <w:r w:rsidRPr="00027624">
              <w:rPr>
                <w:szCs w:val="18"/>
              </w:rPr>
              <w:t>18.1</w:t>
            </w:r>
          </w:p>
        </w:tc>
        <w:tc>
          <w:tcPr>
            <w:tcW w:w="518" w:type="pct"/>
            <w:vAlign w:val="bottom"/>
          </w:tcPr>
          <w:p w14:paraId="68BCD3E7" w14:textId="77777777" w:rsidR="00E96B29" w:rsidRPr="00027624" w:rsidRDefault="00E96B29" w:rsidP="00E96B29">
            <w:pPr>
              <w:pStyle w:val="TableTextCentered"/>
              <w:rPr>
                <w:szCs w:val="18"/>
              </w:rPr>
            </w:pPr>
            <w:r w:rsidRPr="00027624">
              <w:rPr>
                <w:szCs w:val="18"/>
              </w:rPr>
              <w:t>19.2</w:t>
            </w:r>
          </w:p>
        </w:tc>
      </w:tr>
      <w:tr w:rsidR="00E96B29" w:rsidRPr="00027624" w14:paraId="7CE6F50C" w14:textId="77777777" w:rsidTr="00E96B29">
        <w:trPr>
          <w:trHeight w:val="270"/>
        </w:trPr>
        <w:tc>
          <w:tcPr>
            <w:tcW w:w="750" w:type="pct"/>
            <w:vAlign w:val="bottom"/>
          </w:tcPr>
          <w:p w14:paraId="1B81C2F7" w14:textId="77777777" w:rsidR="00E96B29" w:rsidRPr="00027624" w:rsidRDefault="00E96B29" w:rsidP="00E96B29">
            <w:pPr>
              <w:pStyle w:val="TableTextLeft"/>
              <w:rPr>
                <w:szCs w:val="18"/>
              </w:rPr>
            </w:pPr>
            <w:r w:rsidRPr="00027624">
              <w:rPr>
                <w:bCs/>
                <w:szCs w:val="18"/>
              </w:rPr>
              <w:t>94</w:t>
            </w:r>
          </w:p>
        </w:tc>
        <w:tc>
          <w:tcPr>
            <w:tcW w:w="467" w:type="pct"/>
            <w:vAlign w:val="bottom"/>
          </w:tcPr>
          <w:p w14:paraId="5C214210" w14:textId="77777777" w:rsidR="00E96B29" w:rsidRPr="00027624" w:rsidRDefault="00E96B29" w:rsidP="00E96B29">
            <w:pPr>
              <w:pStyle w:val="TableTextCentered"/>
              <w:rPr>
                <w:szCs w:val="18"/>
              </w:rPr>
            </w:pPr>
          </w:p>
        </w:tc>
        <w:tc>
          <w:tcPr>
            <w:tcW w:w="467" w:type="pct"/>
            <w:vAlign w:val="bottom"/>
          </w:tcPr>
          <w:p w14:paraId="02F052D5" w14:textId="77777777" w:rsidR="00E96B29" w:rsidRPr="00027624" w:rsidRDefault="00E96B29" w:rsidP="00E96B29">
            <w:pPr>
              <w:pStyle w:val="TableTextCentered"/>
              <w:rPr>
                <w:szCs w:val="18"/>
              </w:rPr>
            </w:pPr>
          </w:p>
        </w:tc>
        <w:tc>
          <w:tcPr>
            <w:tcW w:w="467" w:type="pct"/>
            <w:vAlign w:val="bottom"/>
          </w:tcPr>
          <w:p w14:paraId="58A661E3" w14:textId="77777777" w:rsidR="00E96B29" w:rsidRPr="00027624" w:rsidRDefault="00E96B29" w:rsidP="00E96B29">
            <w:pPr>
              <w:pStyle w:val="TableTextCentered"/>
              <w:rPr>
                <w:szCs w:val="18"/>
              </w:rPr>
            </w:pPr>
          </w:p>
        </w:tc>
        <w:tc>
          <w:tcPr>
            <w:tcW w:w="469" w:type="pct"/>
            <w:vAlign w:val="bottom"/>
          </w:tcPr>
          <w:p w14:paraId="02061744" w14:textId="77777777" w:rsidR="00E96B29" w:rsidRPr="00027624" w:rsidRDefault="00E96B29" w:rsidP="00E96B29">
            <w:pPr>
              <w:pStyle w:val="TableTextCentered"/>
              <w:rPr>
                <w:szCs w:val="18"/>
              </w:rPr>
            </w:pPr>
          </w:p>
        </w:tc>
        <w:tc>
          <w:tcPr>
            <w:tcW w:w="467" w:type="pct"/>
            <w:vAlign w:val="bottom"/>
          </w:tcPr>
          <w:p w14:paraId="3EB72EFF" w14:textId="77777777" w:rsidR="00E96B29" w:rsidRPr="00027624" w:rsidRDefault="00E96B29" w:rsidP="00E96B29">
            <w:pPr>
              <w:pStyle w:val="TableTextCentered"/>
              <w:rPr>
                <w:szCs w:val="18"/>
              </w:rPr>
            </w:pPr>
          </w:p>
        </w:tc>
        <w:tc>
          <w:tcPr>
            <w:tcW w:w="467" w:type="pct"/>
            <w:vAlign w:val="bottom"/>
          </w:tcPr>
          <w:p w14:paraId="1492B553" w14:textId="77777777" w:rsidR="00E96B29" w:rsidRPr="00027624" w:rsidRDefault="00E96B29" w:rsidP="00E96B29">
            <w:pPr>
              <w:pStyle w:val="TableTextCentered"/>
              <w:rPr>
                <w:szCs w:val="18"/>
              </w:rPr>
            </w:pPr>
          </w:p>
        </w:tc>
        <w:tc>
          <w:tcPr>
            <w:tcW w:w="464" w:type="pct"/>
            <w:vAlign w:val="bottom"/>
          </w:tcPr>
          <w:p w14:paraId="5B42DC9C" w14:textId="77777777" w:rsidR="00E96B29" w:rsidRPr="00027624" w:rsidRDefault="00E96B29" w:rsidP="00E96B29">
            <w:pPr>
              <w:pStyle w:val="TableTextCentered"/>
              <w:rPr>
                <w:szCs w:val="18"/>
              </w:rPr>
            </w:pPr>
            <w:r w:rsidRPr="00027624">
              <w:rPr>
                <w:szCs w:val="18"/>
              </w:rPr>
              <w:t>30.7</w:t>
            </w:r>
          </w:p>
        </w:tc>
        <w:tc>
          <w:tcPr>
            <w:tcW w:w="464" w:type="pct"/>
            <w:vAlign w:val="bottom"/>
          </w:tcPr>
          <w:p w14:paraId="2F163400" w14:textId="77777777" w:rsidR="00E96B29" w:rsidRPr="00027624" w:rsidRDefault="00E96B29" w:rsidP="00E96B29">
            <w:pPr>
              <w:pStyle w:val="TableTextCentered"/>
              <w:rPr>
                <w:szCs w:val="18"/>
              </w:rPr>
            </w:pPr>
            <w:r w:rsidRPr="00027624">
              <w:rPr>
                <w:szCs w:val="18"/>
              </w:rPr>
              <w:t>20.0</w:t>
            </w:r>
          </w:p>
        </w:tc>
        <w:tc>
          <w:tcPr>
            <w:tcW w:w="518" w:type="pct"/>
            <w:vAlign w:val="bottom"/>
          </w:tcPr>
          <w:p w14:paraId="01D5A9FD" w14:textId="77777777" w:rsidR="00E96B29" w:rsidRPr="00027624" w:rsidRDefault="00E96B29" w:rsidP="00E96B29">
            <w:pPr>
              <w:pStyle w:val="TableTextCentered"/>
              <w:rPr>
                <w:szCs w:val="18"/>
              </w:rPr>
            </w:pPr>
            <w:r w:rsidRPr="00027624">
              <w:rPr>
                <w:szCs w:val="18"/>
              </w:rPr>
              <w:t>20.7</w:t>
            </w:r>
          </w:p>
        </w:tc>
      </w:tr>
      <w:tr w:rsidR="00E96B29" w:rsidRPr="00027624" w14:paraId="053DA676" w14:textId="77777777" w:rsidTr="00E96B29">
        <w:trPr>
          <w:trHeight w:val="270"/>
        </w:trPr>
        <w:tc>
          <w:tcPr>
            <w:tcW w:w="750" w:type="pct"/>
            <w:vAlign w:val="bottom"/>
          </w:tcPr>
          <w:p w14:paraId="4353B8A9" w14:textId="77777777" w:rsidR="00E96B29" w:rsidRPr="00027624" w:rsidRDefault="00E96B29" w:rsidP="00E96B29">
            <w:pPr>
              <w:pStyle w:val="TableTextLeft"/>
              <w:rPr>
                <w:szCs w:val="18"/>
              </w:rPr>
            </w:pPr>
            <w:r w:rsidRPr="00027624">
              <w:rPr>
                <w:bCs/>
                <w:szCs w:val="18"/>
              </w:rPr>
              <w:t>95</w:t>
            </w:r>
          </w:p>
        </w:tc>
        <w:tc>
          <w:tcPr>
            <w:tcW w:w="467" w:type="pct"/>
            <w:vAlign w:val="bottom"/>
          </w:tcPr>
          <w:p w14:paraId="7DDFFA24" w14:textId="77777777" w:rsidR="00E96B29" w:rsidRPr="00027624" w:rsidRDefault="00E96B29" w:rsidP="00E96B29">
            <w:pPr>
              <w:pStyle w:val="TableTextCentered"/>
              <w:rPr>
                <w:szCs w:val="18"/>
              </w:rPr>
            </w:pPr>
          </w:p>
        </w:tc>
        <w:tc>
          <w:tcPr>
            <w:tcW w:w="467" w:type="pct"/>
            <w:vAlign w:val="bottom"/>
          </w:tcPr>
          <w:p w14:paraId="148C339D" w14:textId="77777777" w:rsidR="00E96B29" w:rsidRPr="00027624" w:rsidRDefault="00E96B29" w:rsidP="00E96B29">
            <w:pPr>
              <w:pStyle w:val="TableTextCentered"/>
              <w:rPr>
                <w:szCs w:val="18"/>
              </w:rPr>
            </w:pPr>
          </w:p>
        </w:tc>
        <w:tc>
          <w:tcPr>
            <w:tcW w:w="467" w:type="pct"/>
            <w:vAlign w:val="bottom"/>
          </w:tcPr>
          <w:p w14:paraId="61A4BD50" w14:textId="77777777" w:rsidR="00E96B29" w:rsidRPr="00027624" w:rsidRDefault="00E96B29" w:rsidP="00E96B29">
            <w:pPr>
              <w:pStyle w:val="TableTextCentered"/>
              <w:rPr>
                <w:szCs w:val="18"/>
              </w:rPr>
            </w:pPr>
          </w:p>
        </w:tc>
        <w:tc>
          <w:tcPr>
            <w:tcW w:w="469" w:type="pct"/>
            <w:vAlign w:val="bottom"/>
          </w:tcPr>
          <w:p w14:paraId="07FF9782" w14:textId="77777777" w:rsidR="00E96B29" w:rsidRPr="00027624" w:rsidRDefault="00E96B29" w:rsidP="00E96B29">
            <w:pPr>
              <w:pStyle w:val="TableTextCentered"/>
              <w:rPr>
                <w:szCs w:val="18"/>
              </w:rPr>
            </w:pPr>
          </w:p>
        </w:tc>
        <w:tc>
          <w:tcPr>
            <w:tcW w:w="467" w:type="pct"/>
            <w:vAlign w:val="bottom"/>
          </w:tcPr>
          <w:p w14:paraId="736409D9" w14:textId="77777777" w:rsidR="00E96B29" w:rsidRPr="00027624" w:rsidRDefault="00E96B29" w:rsidP="00E96B29">
            <w:pPr>
              <w:pStyle w:val="TableTextCentered"/>
              <w:rPr>
                <w:szCs w:val="18"/>
              </w:rPr>
            </w:pPr>
          </w:p>
        </w:tc>
        <w:tc>
          <w:tcPr>
            <w:tcW w:w="467" w:type="pct"/>
            <w:vAlign w:val="bottom"/>
          </w:tcPr>
          <w:p w14:paraId="5FDACFCD" w14:textId="77777777" w:rsidR="00E96B29" w:rsidRPr="00027624" w:rsidRDefault="00E96B29" w:rsidP="00E96B29">
            <w:pPr>
              <w:pStyle w:val="TableTextCentered"/>
              <w:rPr>
                <w:szCs w:val="18"/>
              </w:rPr>
            </w:pPr>
          </w:p>
        </w:tc>
        <w:tc>
          <w:tcPr>
            <w:tcW w:w="464" w:type="pct"/>
            <w:vAlign w:val="bottom"/>
          </w:tcPr>
          <w:p w14:paraId="6862E2FB" w14:textId="77777777" w:rsidR="00E96B29" w:rsidRPr="00027624" w:rsidRDefault="00E96B29" w:rsidP="00E96B29">
            <w:pPr>
              <w:pStyle w:val="TableTextCentered"/>
              <w:rPr>
                <w:szCs w:val="18"/>
              </w:rPr>
            </w:pPr>
            <w:r w:rsidRPr="00027624">
              <w:rPr>
                <w:szCs w:val="18"/>
              </w:rPr>
              <w:t>36.2</w:t>
            </w:r>
          </w:p>
        </w:tc>
        <w:tc>
          <w:tcPr>
            <w:tcW w:w="464" w:type="pct"/>
            <w:vAlign w:val="bottom"/>
          </w:tcPr>
          <w:p w14:paraId="34AAAC86" w14:textId="77777777" w:rsidR="00E96B29" w:rsidRPr="00027624" w:rsidRDefault="00E96B29" w:rsidP="00E96B29">
            <w:pPr>
              <w:pStyle w:val="TableTextCentered"/>
              <w:rPr>
                <w:szCs w:val="18"/>
              </w:rPr>
            </w:pPr>
            <w:r w:rsidRPr="00027624">
              <w:rPr>
                <w:szCs w:val="18"/>
              </w:rPr>
              <w:t>22.5</w:t>
            </w:r>
          </w:p>
        </w:tc>
        <w:tc>
          <w:tcPr>
            <w:tcW w:w="518" w:type="pct"/>
            <w:vAlign w:val="bottom"/>
          </w:tcPr>
          <w:p w14:paraId="12A95564" w14:textId="77777777" w:rsidR="00E96B29" w:rsidRPr="00027624" w:rsidRDefault="00E96B29" w:rsidP="00E96B29">
            <w:pPr>
              <w:pStyle w:val="TableTextCentered"/>
              <w:rPr>
                <w:szCs w:val="18"/>
              </w:rPr>
            </w:pPr>
            <w:r w:rsidRPr="00027624">
              <w:rPr>
                <w:szCs w:val="18"/>
              </w:rPr>
              <w:t>22.7</w:t>
            </w:r>
          </w:p>
        </w:tc>
      </w:tr>
      <w:tr w:rsidR="00E96B29" w:rsidRPr="00027624" w14:paraId="5361CEE7" w14:textId="77777777" w:rsidTr="00E96B29">
        <w:trPr>
          <w:trHeight w:val="270"/>
        </w:trPr>
        <w:tc>
          <w:tcPr>
            <w:tcW w:w="750" w:type="pct"/>
            <w:vAlign w:val="bottom"/>
          </w:tcPr>
          <w:p w14:paraId="2927BB22" w14:textId="77777777" w:rsidR="00E96B29" w:rsidRPr="00027624" w:rsidRDefault="00E96B29" w:rsidP="00E96B29">
            <w:pPr>
              <w:pStyle w:val="TableTextLeft"/>
              <w:rPr>
                <w:szCs w:val="18"/>
              </w:rPr>
            </w:pPr>
            <w:r w:rsidRPr="00027624">
              <w:rPr>
                <w:bCs/>
                <w:szCs w:val="18"/>
              </w:rPr>
              <w:t>96</w:t>
            </w:r>
          </w:p>
        </w:tc>
        <w:tc>
          <w:tcPr>
            <w:tcW w:w="467" w:type="pct"/>
            <w:vAlign w:val="bottom"/>
          </w:tcPr>
          <w:p w14:paraId="7442DF04" w14:textId="77777777" w:rsidR="00E96B29" w:rsidRPr="00027624" w:rsidRDefault="00E96B29" w:rsidP="00E96B29">
            <w:pPr>
              <w:pStyle w:val="TableTextCentered"/>
              <w:rPr>
                <w:szCs w:val="18"/>
              </w:rPr>
            </w:pPr>
          </w:p>
        </w:tc>
        <w:tc>
          <w:tcPr>
            <w:tcW w:w="467" w:type="pct"/>
            <w:vAlign w:val="bottom"/>
          </w:tcPr>
          <w:p w14:paraId="44728A39" w14:textId="77777777" w:rsidR="00E96B29" w:rsidRPr="00027624" w:rsidRDefault="00E96B29" w:rsidP="00E96B29">
            <w:pPr>
              <w:pStyle w:val="TableTextCentered"/>
              <w:rPr>
                <w:szCs w:val="18"/>
              </w:rPr>
            </w:pPr>
          </w:p>
        </w:tc>
        <w:tc>
          <w:tcPr>
            <w:tcW w:w="467" w:type="pct"/>
            <w:vAlign w:val="bottom"/>
          </w:tcPr>
          <w:p w14:paraId="792D8A97" w14:textId="77777777" w:rsidR="00E96B29" w:rsidRPr="00027624" w:rsidRDefault="00E96B29" w:rsidP="00E96B29">
            <w:pPr>
              <w:pStyle w:val="TableTextCentered"/>
              <w:rPr>
                <w:szCs w:val="18"/>
              </w:rPr>
            </w:pPr>
          </w:p>
        </w:tc>
        <w:tc>
          <w:tcPr>
            <w:tcW w:w="469" w:type="pct"/>
            <w:vAlign w:val="bottom"/>
          </w:tcPr>
          <w:p w14:paraId="632AB38C" w14:textId="77777777" w:rsidR="00E96B29" w:rsidRPr="00027624" w:rsidRDefault="00E96B29" w:rsidP="00E96B29">
            <w:pPr>
              <w:pStyle w:val="TableTextCentered"/>
              <w:rPr>
                <w:szCs w:val="18"/>
              </w:rPr>
            </w:pPr>
          </w:p>
        </w:tc>
        <w:tc>
          <w:tcPr>
            <w:tcW w:w="467" w:type="pct"/>
            <w:vAlign w:val="bottom"/>
          </w:tcPr>
          <w:p w14:paraId="7836E2E3" w14:textId="77777777" w:rsidR="00E96B29" w:rsidRPr="00027624" w:rsidRDefault="00E96B29" w:rsidP="00E96B29">
            <w:pPr>
              <w:pStyle w:val="TableTextCentered"/>
              <w:rPr>
                <w:szCs w:val="18"/>
              </w:rPr>
            </w:pPr>
          </w:p>
        </w:tc>
        <w:tc>
          <w:tcPr>
            <w:tcW w:w="467" w:type="pct"/>
            <w:vAlign w:val="bottom"/>
          </w:tcPr>
          <w:p w14:paraId="6CAB2748" w14:textId="77777777" w:rsidR="00E96B29" w:rsidRPr="00027624" w:rsidRDefault="00E96B29" w:rsidP="00E96B29">
            <w:pPr>
              <w:pStyle w:val="TableTextCentered"/>
              <w:rPr>
                <w:szCs w:val="18"/>
              </w:rPr>
            </w:pPr>
          </w:p>
        </w:tc>
        <w:tc>
          <w:tcPr>
            <w:tcW w:w="464" w:type="pct"/>
            <w:vAlign w:val="bottom"/>
          </w:tcPr>
          <w:p w14:paraId="7D0EE911" w14:textId="77777777" w:rsidR="00E96B29" w:rsidRPr="00027624" w:rsidRDefault="00E96B29" w:rsidP="00E96B29">
            <w:pPr>
              <w:pStyle w:val="TableTextCentered"/>
              <w:rPr>
                <w:szCs w:val="18"/>
              </w:rPr>
            </w:pPr>
            <w:r w:rsidRPr="00027624">
              <w:rPr>
                <w:szCs w:val="18"/>
              </w:rPr>
              <w:t>44.7</w:t>
            </w:r>
          </w:p>
        </w:tc>
        <w:tc>
          <w:tcPr>
            <w:tcW w:w="464" w:type="pct"/>
            <w:vAlign w:val="bottom"/>
          </w:tcPr>
          <w:p w14:paraId="40103161" w14:textId="77777777" w:rsidR="00E96B29" w:rsidRPr="00027624" w:rsidRDefault="00E96B29" w:rsidP="00E96B29">
            <w:pPr>
              <w:pStyle w:val="TableTextCentered"/>
              <w:rPr>
                <w:szCs w:val="18"/>
              </w:rPr>
            </w:pPr>
            <w:r w:rsidRPr="00027624">
              <w:rPr>
                <w:szCs w:val="18"/>
              </w:rPr>
              <w:t>25.9</w:t>
            </w:r>
          </w:p>
        </w:tc>
        <w:tc>
          <w:tcPr>
            <w:tcW w:w="518" w:type="pct"/>
            <w:vAlign w:val="bottom"/>
          </w:tcPr>
          <w:p w14:paraId="484327FC" w14:textId="77777777" w:rsidR="00E96B29" w:rsidRPr="00027624" w:rsidRDefault="00E96B29" w:rsidP="00E96B29">
            <w:pPr>
              <w:pStyle w:val="TableTextCentered"/>
              <w:rPr>
                <w:szCs w:val="18"/>
              </w:rPr>
            </w:pPr>
            <w:r w:rsidRPr="00027624">
              <w:rPr>
                <w:szCs w:val="18"/>
              </w:rPr>
              <w:t>25.2</w:t>
            </w:r>
          </w:p>
        </w:tc>
      </w:tr>
      <w:tr w:rsidR="00E96B29" w:rsidRPr="00027624" w14:paraId="64A5290B" w14:textId="77777777" w:rsidTr="00E96B29">
        <w:trPr>
          <w:trHeight w:val="270"/>
        </w:trPr>
        <w:tc>
          <w:tcPr>
            <w:tcW w:w="750" w:type="pct"/>
            <w:vAlign w:val="bottom"/>
          </w:tcPr>
          <w:p w14:paraId="6A4B6462" w14:textId="77777777" w:rsidR="00E96B29" w:rsidRPr="00027624" w:rsidRDefault="00E96B29" w:rsidP="00E96B29">
            <w:pPr>
              <w:pStyle w:val="TableTextLeft"/>
              <w:rPr>
                <w:szCs w:val="18"/>
              </w:rPr>
            </w:pPr>
            <w:r w:rsidRPr="00027624">
              <w:rPr>
                <w:bCs/>
                <w:szCs w:val="18"/>
              </w:rPr>
              <w:t>97</w:t>
            </w:r>
          </w:p>
        </w:tc>
        <w:tc>
          <w:tcPr>
            <w:tcW w:w="467" w:type="pct"/>
            <w:vAlign w:val="bottom"/>
          </w:tcPr>
          <w:p w14:paraId="6956F617" w14:textId="77777777" w:rsidR="00E96B29" w:rsidRPr="00027624" w:rsidRDefault="00E96B29" w:rsidP="00E96B29">
            <w:pPr>
              <w:pStyle w:val="TableTextCentered"/>
              <w:rPr>
                <w:szCs w:val="18"/>
              </w:rPr>
            </w:pPr>
          </w:p>
        </w:tc>
        <w:tc>
          <w:tcPr>
            <w:tcW w:w="467" w:type="pct"/>
            <w:vAlign w:val="bottom"/>
          </w:tcPr>
          <w:p w14:paraId="482BBF2D" w14:textId="77777777" w:rsidR="00E96B29" w:rsidRPr="00027624" w:rsidRDefault="00E96B29" w:rsidP="00E96B29">
            <w:pPr>
              <w:pStyle w:val="TableTextCentered"/>
              <w:rPr>
                <w:szCs w:val="18"/>
              </w:rPr>
            </w:pPr>
          </w:p>
        </w:tc>
        <w:tc>
          <w:tcPr>
            <w:tcW w:w="467" w:type="pct"/>
            <w:vAlign w:val="bottom"/>
          </w:tcPr>
          <w:p w14:paraId="5151EDA0" w14:textId="77777777" w:rsidR="00E96B29" w:rsidRPr="00027624" w:rsidRDefault="00E96B29" w:rsidP="00E96B29">
            <w:pPr>
              <w:pStyle w:val="TableTextCentered"/>
              <w:rPr>
                <w:szCs w:val="18"/>
              </w:rPr>
            </w:pPr>
          </w:p>
        </w:tc>
        <w:tc>
          <w:tcPr>
            <w:tcW w:w="469" w:type="pct"/>
            <w:vAlign w:val="bottom"/>
          </w:tcPr>
          <w:p w14:paraId="4F15E984" w14:textId="77777777" w:rsidR="00E96B29" w:rsidRPr="00027624" w:rsidRDefault="00E96B29" w:rsidP="00E96B29">
            <w:pPr>
              <w:pStyle w:val="TableTextCentered"/>
              <w:rPr>
                <w:szCs w:val="18"/>
              </w:rPr>
            </w:pPr>
          </w:p>
        </w:tc>
        <w:tc>
          <w:tcPr>
            <w:tcW w:w="467" w:type="pct"/>
            <w:vAlign w:val="bottom"/>
          </w:tcPr>
          <w:p w14:paraId="16AC575B" w14:textId="77777777" w:rsidR="00E96B29" w:rsidRPr="00027624" w:rsidRDefault="00E96B29" w:rsidP="00E96B29">
            <w:pPr>
              <w:pStyle w:val="TableTextCentered"/>
              <w:rPr>
                <w:szCs w:val="18"/>
              </w:rPr>
            </w:pPr>
          </w:p>
        </w:tc>
        <w:tc>
          <w:tcPr>
            <w:tcW w:w="467" w:type="pct"/>
            <w:vAlign w:val="bottom"/>
          </w:tcPr>
          <w:p w14:paraId="6C9FEED6" w14:textId="77777777" w:rsidR="00E96B29" w:rsidRPr="00027624" w:rsidRDefault="00E96B29" w:rsidP="00E96B29">
            <w:pPr>
              <w:pStyle w:val="TableTextCentered"/>
              <w:rPr>
                <w:szCs w:val="18"/>
              </w:rPr>
            </w:pPr>
          </w:p>
        </w:tc>
        <w:tc>
          <w:tcPr>
            <w:tcW w:w="464" w:type="pct"/>
            <w:vAlign w:val="bottom"/>
          </w:tcPr>
          <w:p w14:paraId="4E9A6B19" w14:textId="77777777" w:rsidR="00E96B29" w:rsidRPr="00027624" w:rsidRDefault="00E96B29" w:rsidP="00E96B29">
            <w:pPr>
              <w:pStyle w:val="TableTextCentered"/>
              <w:rPr>
                <w:szCs w:val="18"/>
              </w:rPr>
            </w:pPr>
            <w:r w:rsidRPr="00027624">
              <w:rPr>
                <w:szCs w:val="18"/>
              </w:rPr>
              <w:t>59.9</w:t>
            </w:r>
          </w:p>
        </w:tc>
        <w:tc>
          <w:tcPr>
            <w:tcW w:w="464" w:type="pct"/>
            <w:vAlign w:val="bottom"/>
          </w:tcPr>
          <w:p w14:paraId="150B7287" w14:textId="77777777" w:rsidR="00E96B29" w:rsidRPr="00027624" w:rsidRDefault="00E96B29" w:rsidP="00E96B29">
            <w:pPr>
              <w:pStyle w:val="TableTextCentered"/>
              <w:rPr>
                <w:szCs w:val="18"/>
              </w:rPr>
            </w:pPr>
            <w:r w:rsidRPr="00027624">
              <w:rPr>
                <w:szCs w:val="18"/>
              </w:rPr>
              <w:t>30.8</w:t>
            </w:r>
          </w:p>
        </w:tc>
        <w:tc>
          <w:tcPr>
            <w:tcW w:w="518" w:type="pct"/>
            <w:vAlign w:val="bottom"/>
          </w:tcPr>
          <w:p w14:paraId="733573B7" w14:textId="77777777" w:rsidR="00E96B29" w:rsidRPr="00027624" w:rsidRDefault="00E96B29" w:rsidP="00E96B29">
            <w:pPr>
              <w:pStyle w:val="TableTextCentered"/>
              <w:rPr>
                <w:szCs w:val="18"/>
              </w:rPr>
            </w:pPr>
            <w:r w:rsidRPr="00027624">
              <w:rPr>
                <w:szCs w:val="18"/>
              </w:rPr>
              <w:t>28.8</w:t>
            </w:r>
          </w:p>
        </w:tc>
      </w:tr>
      <w:tr w:rsidR="00E96B29" w:rsidRPr="00027624" w14:paraId="48F11699" w14:textId="77777777" w:rsidTr="00E96B29">
        <w:trPr>
          <w:trHeight w:val="270"/>
        </w:trPr>
        <w:tc>
          <w:tcPr>
            <w:tcW w:w="750" w:type="pct"/>
            <w:vAlign w:val="bottom"/>
          </w:tcPr>
          <w:p w14:paraId="2F2464B0" w14:textId="77777777" w:rsidR="00E96B29" w:rsidRPr="00027624" w:rsidRDefault="00E96B29" w:rsidP="00E96B29">
            <w:pPr>
              <w:pStyle w:val="TableTextLeft"/>
              <w:rPr>
                <w:szCs w:val="18"/>
              </w:rPr>
            </w:pPr>
            <w:r w:rsidRPr="00027624">
              <w:rPr>
                <w:bCs/>
                <w:szCs w:val="18"/>
              </w:rPr>
              <w:t>98</w:t>
            </w:r>
          </w:p>
        </w:tc>
        <w:tc>
          <w:tcPr>
            <w:tcW w:w="467" w:type="pct"/>
            <w:vAlign w:val="bottom"/>
          </w:tcPr>
          <w:p w14:paraId="223777AD" w14:textId="77777777" w:rsidR="00E96B29" w:rsidRPr="00027624" w:rsidRDefault="00E96B29" w:rsidP="00E96B29">
            <w:pPr>
              <w:pStyle w:val="TableTextCentered"/>
              <w:rPr>
                <w:szCs w:val="18"/>
              </w:rPr>
            </w:pPr>
          </w:p>
        </w:tc>
        <w:tc>
          <w:tcPr>
            <w:tcW w:w="467" w:type="pct"/>
            <w:vAlign w:val="bottom"/>
          </w:tcPr>
          <w:p w14:paraId="44F6E31E" w14:textId="77777777" w:rsidR="00E96B29" w:rsidRPr="00027624" w:rsidRDefault="00E96B29" w:rsidP="00E96B29">
            <w:pPr>
              <w:pStyle w:val="TableTextCentered"/>
              <w:rPr>
                <w:szCs w:val="18"/>
              </w:rPr>
            </w:pPr>
          </w:p>
        </w:tc>
        <w:tc>
          <w:tcPr>
            <w:tcW w:w="467" w:type="pct"/>
            <w:vAlign w:val="bottom"/>
          </w:tcPr>
          <w:p w14:paraId="4E73C360" w14:textId="77777777" w:rsidR="00E96B29" w:rsidRPr="00027624" w:rsidRDefault="00E96B29" w:rsidP="00E96B29">
            <w:pPr>
              <w:pStyle w:val="TableTextCentered"/>
              <w:rPr>
                <w:szCs w:val="18"/>
              </w:rPr>
            </w:pPr>
          </w:p>
        </w:tc>
        <w:tc>
          <w:tcPr>
            <w:tcW w:w="469" w:type="pct"/>
            <w:vAlign w:val="bottom"/>
          </w:tcPr>
          <w:p w14:paraId="4A1B0CAC" w14:textId="77777777" w:rsidR="00E96B29" w:rsidRPr="00027624" w:rsidRDefault="00E96B29" w:rsidP="00E96B29">
            <w:pPr>
              <w:pStyle w:val="TableTextCentered"/>
              <w:rPr>
                <w:szCs w:val="18"/>
              </w:rPr>
            </w:pPr>
          </w:p>
        </w:tc>
        <w:tc>
          <w:tcPr>
            <w:tcW w:w="467" w:type="pct"/>
            <w:vAlign w:val="bottom"/>
          </w:tcPr>
          <w:p w14:paraId="0AC1F150" w14:textId="77777777" w:rsidR="00E96B29" w:rsidRPr="00027624" w:rsidRDefault="00E96B29" w:rsidP="00E96B29">
            <w:pPr>
              <w:pStyle w:val="TableTextCentered"/>
              <w:rPr>
                <w:szCs w:val="18"/>
              </w:rPr>
            </w:pPr>
          </w:p>
        </w:tc>
        <w:tc>
          <w:tcPr>
            <w:tcW w:w="467" w:type="pct"/>
            <w:vAlign w:val="bottom"/>
          </w:tcPr>
          <w:p w14:paraId="4D5340D6" w14:textId="77777777" w:rsidR="00E96B29" w:rsidRPr="00027624" w:rsidRDefault="00E96B29" w:rsidP="00E96B29">
            <w:pPr>
              <w:pStyle w:val="TableTextCentered"/>
              <w:rPr>
                <w:szCs w:val="18"/>
              </w:rPr>
            </w:pPr>
          </w:p>
        </w:tc>
        <w:tc>
          <w:tcPr>
            <w:tcW w:w="464" w:type="pct"/>
            <w:vAlign w:val="bottom"/>
          </w:tcPr>
          <w:p w14:paraId="0DEB231E" w14:textId="77777777" w:rsidR="00E96B29" w:rsidRPr="00027624" w:rsidRDefault="00E96B29" w:rsidP="00E96B29">
            <w:pPr>
              <w:pStyle w:val="TableTextCentered"/>
              <w:rPr>
                <w:szCs w:val="18"/>
              </w:rPr>
            </w:pPr>
            <w:r w:rsidRPr="00027624">
              <w:rPr>
                <w:szCs w:val="18"/>
              </w:rPr>
              <w:t>100.0</w:t>
            </w:r>
          </w:p>
        </w:tc>
        <w:tc>
          <w:tcPr>
            <w:tcW w:w="464" w:type="pct"/>
            <w:vAlign w:val="bottom"/>
          </w:tcPr>
          <w:p w14:paraId="10AEF36B" w14:textId="77777777" w:rsidR="00E96B29" w:rsidRPr="00027624" w:rsidRDefault="00E96B29" w:rsidP="00E96B29">
            <w:pPr>
              <w:pStyle w:val="TableTextCentered"/>
              <w:rPr>
                <w:szCs w:val="18"/>
              </w:rPr>
            </w:pPr>
            <w:r w:rsidRPr="00027624">
              <w:rPr>
                <w:szCs w:val="18"/>
              </w:rPr>
              <w:t>38.7</w:t>
            </w:r>
          </w:p>
        </w:tc>
        <w:tc>
          <w:tcPr>
            <w:tcW w:w="518" w:type="pct"/>
            <w:vAlign w:val="bottom"/>
          </w:tcPr>
          <w:p w14:paraId="22BD0838" w14:textId="77777777" w:rsidR="00E96B29" w:rsidRPr="00027624" w:rsidRDefault="00E96B29" w:rsidP="00E96B29">
            <w:pPr>
              <w:pStyle w:val="TableTextCentered"/>
              <w:rPr>
                <w:szCs w:val="18"/>
              </w:rPr>
            </w:pPr>
            <w:r w:rsidRPr="00027624">
              <w:rPr>
                <w:szCs w:val="18"/>
              </w:rPr>
              <w:t>35.6</w:t>
            </w:r>
          </w:p>
        </w:tc>
      </w:tr>
      <w:tr w:rsidR="00E96B29" w:rsidRPr="00027624" w14:paraId="307592E5" w14:textId="77777777" w:rsidTr="00E96B29">
        <w:trPr>
          <w:trHeight w:val="270"/>
        </w:trPr>
        <w:tc>
          <w:tcPr>
            <w:tcW w:w="750" w:type="pct"/>
            <w:vAlign w:val="bottom"/>
          </w:tcPr>
          <w:p w14:paraId="63FCC5A5" w14:textId="77777777" w:rsidR="00E96B29" w:rsidRPr="00027624" w:rsidRDefault="00E96B29" w:rsidP="00E96B29">
            <w:pPr>
              <w:pStyle w:val="TableTextLeft"/>
              <w:rPr>
                <w:szCs w:val="18"/>
              </w:rPr>
            </w:pPr>
            <w:r w:rsidRPr="00027624">
              <w:rPr>
                <w:bCs/>
                <w:szCs w:val="18"/>
              </w:rPr>
              <w:t>99</w:t>
            </w:r>
          </w:p>
        </w:tc>
        <w:tc>
          <w:tcPr>
            <w:tcW w:w="467" w:type="pct"/>
            <w:vAlign w:val="bottom"/>
          </w:tcPr>
          <w:p w14:paraId="73373184" w14:textId="77777777" w:rsidR="00E96B29" w:rsidRPr="00027624" w:rsidRDefault="00E96B29" w:rsidP="00E96B29">
            <w:pPr>
              <w:pStyle w:val="TableTextCentered"/>
              <w:rPr>
                <w:szCs w:val="18"/>
              </w:rPr>
            </w:pPr>
          </w:p>
        </w:tc>
        <w:tc>
          <w:tcPr>
            <w:tcW w:w="467" w:type="pct"/>
            <w:vAlign w:val="bottom"/>
          </w:tcPr>
          <w:p w14:paraId="27738858" w14:textId="77777777" w:rsidR="00E96B29" w:rsidRPr="00027624" w:rsidRDefault="00E96B29" w:rsidP="00E96B29">
            <w:pPr>
              <w:pStyle w:val="TableTextCentered"/>
              <w:rPr>
                <w:szCs w:val="18"/>
              </w:rPr>
            </w:pPr>
          </w:p>
        </w:tc>
        <w:tc>
          <w:tcPr>
            <w:tcW w:w="467" w:type="pct"/>
            <w:vAlign w:val="bottom"/>
          </w:tcPr>
          <w:p w14:paraId="16426752" w14:textId="77777777" w:rsidR="00E96B29" w:rsidRPr="00027624" w:rsidRDefault="00E96B29" w:rsidP="00E96B29">
            <w:pPr>
              <w:pStyle w:val="TableTextCentered"/>
              <w:rPr>
                <w:szCs w:val="18"/>
              </w:rPr>
            </w:pPr>
          </w:p>
        </w:tc>
        <w:tc>
          <w:tcPr>
            <w:tcW w:w="469" w:type="pct"/>
            <w:vAlign w:val="bottom"/>
          </w:tcPr>
          <w:p w14:paraId="0C8275FB" w14:textId="77777777" w:rsidR="00E96B29" w:rsidRPr="00027624" w:rsidRDefault="00E96B29" w:rsidP="00E96B29">
            <w:pPr>
              <w:pStyle w:val="TableTextCentered"/>
              <w:rPr>
                <w:szCs w:val="18"/>
              </w:rPr>
            </w:pPr>
          </w:p>
        </w:tc>
        <w:tc>
          <w:tcPr>
            <w:tcW w:w="467" w:type="pct"/>
            <w:vAlign w:val="bottom"/>
          </w:tcPr>
          <w:p w14:paraId="03F4D2B6" w14:textId="77777777" w:rsidR="00E96B29" w:rsidRPr="00027624" w:rsidRDefault="00E96B29" w:rsidP="00E96B29">
            <w:pPr>
              <w:pStyle w:val="TableTextCentered"/>
              <w:rPr>
                <w:szCs w:val="18"/>
              </w:rPr>
            </w:pPr>
          </w:p>
        </w:tc>
        <w:tc>
          <w:tcPr>
            <w:tcW w:w="467" w:type="pct"/>
            <w:vAlign w:val="bottom"/>
          </w:tcPr>
          <w:p w14:paraId="62445041" w14:textId="77777777" w:rsidR="00E96B29" w:rsidRPr="00027624" w:rsidRDefault="00E96B29" w:rsidP="00E96B29">
            <w:pPr>
              <w:pStyle w:val="TableTextCentered"/>
              <w:rPr>
                <w:szCs w:val="18"/>
              </w:rPr>
            </w:pPr>
          </w:p>
        </w:tc>
        <w:tc>
          <w:tcPr>
            <w:tcW w:w="464" w:type="pct"/>
            <w:vAlign w:val="bottom"/>
          </w:tcPr>
          <w:p w14:paraId="71C7BA08" w14:textId="77777777" w:rsidR="00E96B29" w:rsidRPr="00027624" w:rsidRDefault="00E96B29" w:rsidP="00E96B29">
            <w:pPr>
              <w:pStyle w:val="TableTextCentered"/>
              <w:rPr>
                <w:szCs w:val="18"/>
              </w:rPr>
            </w:pPr>
          </w:p>
        </w:tc>
        <w:tc>
          <w:tcPr>
            <w:tcW w:w="464" w:type="pct"/>
            <w:vAlign w:val="bottom"/>
          </w:tcPr>
          <w:p w14:paraId="1638BEBE" w14:textId="77777777" w:rsidR="00E96B29" w:rsidRPr="00027624" w:rsidRDefault="00E96B29" w:rsidP="00E96B29">
            <w:pPr>
              <w:pStyle w:val="TableTextCentered"/>
              <w:rPr>
                <w:szCs w:val="18"/>
              </w:rPr>
            </w:pPr>
            <w:r w:rsidRPr="00027624">
              <w:rPr>
                <w:szCs w:val="18"/>
              </w:rPr>
              <w:t>54.3</w:t>
            </w:r>
          </w:p>
        </w:tc>
        <w:tc>
          <w:tcPr>
            <w:tcW w:w="518" w:type="pct"/>
            <w:vAlign w:val="bottom"/>
          </w:tcPr>
          <w:p w14:paraId="19FA3FFD" w14:textId="77777777" w:rsidR="00E96B29" w:rsidRPr="00027624" w:rsidRDefault="00E96B29" w:rsidP="00E96B29">
            <w:pPr>
              <w:pStyle w:val="TableTextCentered"/>
              <w:rPr>
                <w:szCs w:val="18"/>
              </w:rPr>
            </w:pPr>
            <w:r w:rsidRPr="00027624">
              <w:rPr>
                <w:szCs w:val="18"/>
              </w:rPr>
              <w:t>51.7</w:t>
            </w:r>
          </w:p>
        </w:tc>
      </w:tr>
      <w:tr w:rsidR="00E96B29" w:rsidRPr="00027624" w14:paraId="3194C007" w14:textId="77777777" w:rsidTr="00E96B29">
        <w:trPr>
          <w:trHeight w:val="270"/>
        </w:trPr>
        <w:tc>
          <w:tcPr>
            <w:tcW w:w="750" w:type="pct"/>
            <w:vAlign w:val="bottom"/>
          </w:tcPr>
          <w:p w14:paraId="299127B2" w14:textId="77777777" w:rsidR="00E96B29" w:rsidRPr="00027624" w:rsidRDefault="00E96B29" w:rsidP="00E96B29">
            <w:pPr>
              <w:pStyle w:val="TableTextLeft"/>
              <w:rPr>
                <w:szCs w:val="18"/>
              </w:rPr>
            </w:pPr>
            <w:r w:rsidRPr="00027624">
              <w:rPr>
                <w:bCs/>
                <w:szCs w:val="18"/>
              </w:rPr>
              <w:t>100</w:t>
            </w:r>
          </w:p>
        </w:tc>
        <w:tc>
          <w:tcPr>
            <w:tcW w:w="467" w:type="pct"/>
            <w:vAlign w:val="bottom"/>
          </w:tcPr>
          <w:p w14:paraId="40AC9C99" w14:textId="77777777" w:rsidR="00E96B29" w:rsidRPr="00027624" w:rsidRDefault="00E96B29" w:rsidP="00E96B29">
            <w:pPr>
              <w:pStyle w:val="TableTextCentered"/>
              <w:rPr>
                <w:szCs w:val="18"/>
              </w:rPr>
            </w:pPr>
            <w:r w:rsidRPr="00027624">
              <w:rPr>
                <w:b/>
                <w:szCs w:val="18"/>
              </w:rPr>
              <w:t> </w:t>
            </w:r>
          </w:p>
        </w:tc>
        <w:tc>
          <w:tcPr>
            <w:tcW w:w="467" w:type="pct"/>
            <w:vAlign w:val="bottom"/>
          </w:tcPr>
          <w:p w14:paraId="3900779E" w14:textId="77777777" w:rsidR="00E96B29" w:rsidRPr="00027624" w:rsidRDefault="00E96B29" w:rsidP="00E96B29">
            <w:pPr>
              <w:pStyle w:val="TableTextCentered"/>
              <w:rPr>
                <w:szCs w:val="18"/>
              </w:rPr>
            </w:pPr>
            <w:r w:rsidRPr="00027624">
              <w:rPr>
                <w:b/>
                <w:szCs w:val="18"/>
              </w:rPr>
              <w:t> </w:t>
            </w:r>
          </w:p>
        </w:tc>
        <w:tc>
          <w:tcPr>
            <w:tcW w:w="467" w:type="pct"/>
            <w:vAlign w:val="bottom"/>
          </w:tcPr>
          <w:p w14:paraId="61F9C0AA" w14:textId="77777777" w:rsidR="00E96B29" w:rsidRPr="00027624" w:rsidRDefault="00E96B29" w:rsidP="00E96B29">
            <w:pPr>
              <w:pStyle w:val="TableTextCentered"/>
              <w:rPr>
                <w:szCs w:val="18"/>
              </w:rPr>
            </w:pPr>
            <w:r w:rsidRPr="00027624">
              <w:rPr>
                <w:b/>
                <w:szCs w:val="18"/>
              </w:rPr>
              <w:t> </w:t>
            </w:r>
          </w:p>
        </w:tc>
        <w:tc>
          <w:tcPr>
            <w:tcW w:w="469" w:type="pct"/>
            <w:vAlign w:val="bottom"/>
          </w:tcPr>
          <w:p w14:paraId="4561128C" w14:textId="77777777" w:rsidR="00E96B29" w:rsidRPr="00027624" w:rsidRDefault="00E96B29" w:rsidP="00E96B29">
            <w:pPr>
              <w:pStyle w:val="TableTextCentered"/>
              <w:rPr>
                <w:szCs w:val="18"/>
              </w:rPr>
            </w:pPr>
            <w:r w:rsidRPr="00027624">
              <w:rPr>
                <w:b/>
                <w:szCs w:val="18"/>
              </w:rPr>
              <w:t> </w:t>
            </w:r>
          </w:p>
        </w:tc>
        <w:tc>
          <w:tcPr>
            <w:tcW w:w="467" w:type="pct"/>
            <w:vAlign w:val="bottom"/>
          </w:tcPr>
          <w:p w14:paraId="38116811" w14:textId="77777777" w:rsidR="00E96B29" w:rsidRPr="00027624" w:rsidRDefault="00E96B29" w:rsidP="00E96B29">
            <w:pPr>
              <w:pStyle w:val="TableTextCentered"/>
              <w:rPr>
                <w:szCs w:val="18"/>
              </w:rPr>
            </w:pPr>
            <w:r w:rsidRPr="00027624">
              <w:rPr>
                <w:szCs w:val="18"/>
              </w:rPr>
              <w:t> </w:t>
            </w:r>
          </w:p>
        </w:tc>
        <w:tc>
          <w:tcPr>
            <w:tcW w:w="467" w:type="pct"/>
            <w:vAlign w:val="bottom"/>
          </w:tcPr>
          <w:p w14:paraId="0ED21A89" w14:textId="77777777" w:rsidR="00E96B29" w:rsidRPr="00027624" w:rsidRDefault="00E96B29" w:rsidP="00E96B29">
            <w:pPr>
              <w:pStyle w:val="TableTextCentered"/>
              <w:rPr>
                <w:szCs w:val="18"/>
              </w:rPr>
            </w:pPr>
            <w:r w:rsidRPr="00027624">
              <w:rPr>
                <w:szCs w:val="18"/>
              </w:rPr>
              <w:t> </w:t>
            </w:r>
          </w:p>
        </w:tc>
        <w:tc>
          <w:tcPr>
            <w:tcW w:w="464" w:type="pct"/>
            <w:vAlign w:val="bottom"/>
          </w:tcPr>
          <w:p w14:paraId="2D50C2C0" w14:textId="77777777" w:rsidR="00E96B29" w:rsidRPr="00027624" w:rsidRDefault="00E96B29" w:rsidP="00E96B29">
            <w:pPr>
              <w:pStyle w:val="TableTextCentered"/>
              <w:rPr>
                <w:szCs w:val="18"/>
              </w:rPr>
            </w:pPr>
            <w:r w:rsidRPr="00027624">
              <w:rPr>
                <w:szCs w:val="18"/>
              </w:rPr>
              <w:t> </w:t>
            </w:r>
          </w:p>
        </w:tc>
        <w:tc>
          <w:tcPr>
            <w:tcW w:w="464" w:type="pct"/>
            <w:vAlign w:val="bottom"/>
          </w:tcPr>
          <w:p w14:paraId="0E4C1672" w14:textId="77777777" w:rsidR="00E96B29" w:rsidRPr="00027624" w:rsidRDefault="00E96B29" w:rsidP="00E96B29">
            <w:pPr>
              <w:pStyle w:val="TableTextCentered"/>
              <w:rPr>
                <w:szCs w:val="18"/>
              </w:rPr>
            </w:pPr>
            <w:r w:rsidRPr="00027624">
              <w:rPr>
                <w:szCs w:val="18"/>
              </w:rPr>
              <w:t>100.0</w:t>
            </w:r>
          </w:p>
        </w:tc>
        <w:tc>
          <w:tcPr>
            <w:tcW w:w="518" w:type="pct"/>
            <w:vAlign w:val="bottom"/>
          </w:tcPr>
          <w:p w14:paraId="1805CCF6" w14:textId="77777777" w:rsidR="00E96B29" w:rsidRPr="00027624" w:rsidRDefault="00E96B29" w:rsidP="00E96B29">
            <w:pPr>
              <w:pStyle w:val="TableTextCentered"/>
              <w:rPr>
                <w:szCs w:val="18"/>
              </w:rPr>
            </w:pPr>
            <w:r w:rsidRPr="00027624">
              <w:rPr>
                <w:szCs w:val="18"/>
              </w:rPr>
              <w:t>100.0</w:t>
            </w:r>
          </w:p>
        </w:tc>
      </w:tr>
    </w:tbl>
    <w:p w14:paraId="32978B09" w14:textId="77777777" w:rsidR="00E96B29" w:rsidRPr="00027624" w:rsidRDefault="00E96B29" w:rsidP="00E96B29">
      <w:pPr>
        <w:pStyle w:val="Caption"/>
        <w:spacing w:after="240"/>
        <w:rPr>
          <w:i w:val="0"/>
          <w:color w:val="auto"/>
        </w:rPr>
      </w:pPr>
      <w:r w:rsidRPr="00027624">
        <w:rPr>
          <w:i w:val="0"/>
          <w:color w:val="auto"/>
        </w:rPr>
        <w:t>Note: Drawdown rates by age and income percentile are based on net wealth at retirement. Net wealth is wage deflated and in 2019</w:t>
      </w:r>
      <w:r w:rsidR="00A8443E" w:rsidRPr="00027624">
        <w:rPr>
          <w:i w:val="0"/>
          <w:color w:val="auto"/>
        </w:rPr>
        <w:noBreakHyphen/>
      </w:r>
      <w:r w:rsidRPr="00027624">
        <w:rPr>
          <w:i w:val="0"/>
          <w:color w:val="auto"/>
        </w:rPr>
        <w:t>20 dollars, denominated in thousands and rounded to the nearest $5,000. Rates may fall below minimum drawdown rates by age in early retirement years. The review models the maximum of minimum drawdown rates and efficient drawdown rates by year. Income percentiles 95 and 99 are assumed to draw down at the same rate as the 90</w:t>
      </w:r>
      <w:r w:rsidRPr="00027624">
        <w:rPr>
          <w:i w:val="0"/>
          <w:color w:val="auto"/>
          <w:vertAlign w:val="superscript"/>
        </w:rPr>
        <w:t>th</w:t>
      </w:r>
      <w:r w:rsidRPr="00027624">
        <w:rPr>
          <w:i w:val="0"/>
          <w:color w:val="auto"/>
        </w:rPr>
        <w:t xml:space="preserve"> percentile. Drawdown rates are designed for couples retiring in 2060 based on current </w:t>
      </w:r>
      <w:r w:rsidRPr="00027624" w:rsidDel="0068007C">
        <w:rPr>
          <w:i w:val="0"/>
          <w:color w:val="auto"/>
        </w:rPr>
        <w:t>Age</w:t>
      </w:r>
      <w:r w:rsidRPr="00027624">
        <w:rPr>
          <w:i w:val="0"/>
          <w:color w:val="auto"/>
        </w:rPr>
        <w:t xml:space="preserve"> Pension rates and thresholds in those years. Age Pension thresholds are indexed to CPI. </w:t>
      </w:r>
      <w:r w:rsidRPr="00027624">
        <w:rPr>
          <w:i w:val="0"/>
          <w:color w:val="auto"/>
          <w:szCs w:val="20"/>
        </w:rPr>
        <w:t>Source: Cameo modelling undertaken for the review.</w:t>
      </w:r>
    </w:p>
    <w:p w14:paraId="7ABD9E79" w14:textId="77777777" w:rsidR="00E96B29" w:rsidRPr="00027624" w:rsidRDefault="00E96B29" w:rsidP="00E96B29">
      <w:pPr>
        <w:pStyle w:val="Heading4"/>
      </w:pPr>
      <w:bookmarkStart w:id="4275" w:name="_Ref42618464"/>
      <w:r w:rsidRPr="00027624">
        <w:t>Longevity protection product</w:t>
      </w:r>
      <w:bookmarkEnd w:id="4275"/>
    </w:p>
    <w:p w14:paraId="57758FBA" w14:textId="6EA9FF16" w:rsidR="00E96B29" w:rsidRPr="00027624" w:rsidRDefault="00E96B29" w:rsidP="00E96B29">
      <w:r w:rsidRPr="00027624">
        <w:t>The modelling assumed retirees dedicate a small proportion of their balance at retirement (2060 in the central case) to purchase a longevity protection product. These products are more efficient for managing the risk of retirees outliving their savings than other strategies, like slowly drawing down assets (</w:t>
      </w:r>
      <w:r w:rsidRPr="00027624">
        <w:fldChar w:fldCharType="begin"/>
      </w:r>
      <w:r w:rsidRPr="00027624">
        <w:instrText xml:space="preserve"> REF _Ref39088031 \r \h  \* MERGEFORMAT </w:instrText>
      </w:r>
      <w:r w:rsidRPr="00027624">
        <w:fldChar w:fldCharType="separate"/>
      </w:r>
      <w:r w:rsidR="00891058">
        <w:t>Chart 6A-26</w:t>
      </w:r>
      <w:r w:rsidRPr="00027624">
        <w:fldChar w:fldCharType="end"/>
      </w:r>
      <w:r w:rsidRPr="00027624">
        <w:t>).</w:t>
      </w:r>
    </w:p>
    <w:p w14:paraId="5417B181" w14:textId="77777777" w:rsidR="00E96B29" w:rsidRPr="00027624" w:rsidRDefault="00E96B29" w:rsidP="00E96B29">
      <w:r w:rsidRPr="00027624">
        <w:t>It was assumed that individuals allocate 5 per cent of their superannuation balance at retirement to the purchase of a longevity protection product. The product used in the modelling for the review was a deferred pooled annuity product, such as a deferred group self</w:t>
      </w:r>
      <w:r w:rsidR="00A8443E" w:rsidRPr="00027624">
        <w:noBreakHyphen/>
      </w:r>
      <w:r w:rsidRPr="00027624">
        <w:t>annuity.</w:t>
      </w:r>
    </w:p>
    <w:p w14:paraId="2C018106" w14:textId="77777777" w:rsidR="00E96B29" w:rsidRPr="00027624" w:rsidRDefault="00E96B29" w:rsidP="00E96B29">
      <w:r w:rsidRPr="00027624">
        <w:t>The model did not incorporate more complex features of these products, such as withdrawal options, death benefits or co</w:t>
      </w:r>
      <w:r w:rsidR="00A8443E" w:rsidRPr="00027624">
        <w:noBreakHyphen/>
      </w:r>
      <w:r w:rsidRPr="00027624">
        <w:t>morbidity for couples.</w:t>
      </w:r>
    </w:p>
    <w:p w14:paraId="50BF90E1" w14:textId="77777777" w:rsidR="00E96B29" w:rsidRPr="00027624" w:rsidRDefault="00E96B29" w:rsidP="00E96B29">
      <w:pPr>
        <w:pStyle w:val="Heading5"/>
      </w:pPr>
      <w:r w:rsidRPr="00027624">
        <w:t>Product payments and pricing</w:t>
      </w:r>
    </w:p>
    <w:p w14:paraId="6025EF70" w14:textId="77777777" w:rsidR="00E96B29" w:rsidRPr="00027624" w:rsidRDefault="00E96B29" w:rsidP="00E96B29">
      <w:r w:rsidRPr="00027624">
        <w:t>The longevity product commences CPI</w:t>
      </w:r>
      <w:r w:rsidR="00A8443E" w:rsidRPr="00027624">
        <w:noBreakHyphen/>
      </w:r>
      <w:r w:rsidRPr="00027624">
        <w:t>indexed payments from age 92. The product was assumed to have investment returns of 6.2 per cent before fees and taxes.</w:t>
      </w:r>
    </w:p>
    <w:p w14:paraId="2A5F8484" w14:textId="77777777" w:rsidR="00E96B29" w:rsidRPr="00027624" w:rsidRDefault="00E96B29" w:rsidP="00E96B29">
      <w:r w:rsidRPr="00027624">
        <w:t>Investment fees were assumed to be 2.5 per cent per year, which are significantly higher than the 0.85 per cent variable investment fees assumed for funds invested in a typical superannuation account. Net earnings for the longevity product (3.7 per cent) were conservatively assumed to be lower than money invested in a typical fund (5.35 per cent).</w:t>
      </w:r>
    </w:p>
    <w:p w14:paraId="2D6B73DA" w14:textId="77777777" w:rsidR="00E96B29" w:rsidRPr="00027624" w:rsidRDefault="00E96B29" w:rsidP="00E96B29">
      <w:r w:rsidRPr="00027624">
        <w:t xml:space="preserve">Underlying </w:t>
      </w:r>
      <w:r w:rsidRPr="00027624" w:rsidDel="00A91088">
        <w:t xml:space="preserve">mortality </w:t>
      </w:r>
      <w:r w:rsidRPr="00027624">
        <w:t>rates for retirees in 2060 were calculated by the Australian Government Actuary and accounted for increases in life expectancy.</w:t>
      </w:r>
    </w:p>
    <w:p w14:paraId="0E483902" w14:textId="77777777" w:rsidR="00E96B29" w:rsidRPr="00027624" w:rsidRDefault="00E96B29" w:rsidP="00E96B29">
      <w:r w:rsidRPr="00027624">
        <w:t>Mortality rates for women were used in all models to be conservative compared to gender</w:t>
      </w:r>
      <w:r w:rsidR="00A8443E" w:rsidRPr="00027624">
        <w:noBreakHyphen/>
      </w:r>
      <w:r w:rsidRPr="00027624">
        <w:t>specific mortality rates. Mortality rates for women are lower than for men, and therefore result in lower mortality credits.</w:t>
      </w:r>
    </w:p>
    <w:p w14:paraId="03BFA7CB" w14:textId="77777777" w:rsidR="00E96B29" w:rsidRPr="00027624" w:rsidRDefault="00E96B29" w:rsidP="00E96B29">
      <w:r w:rsidRPr="00027624">
        <w:t xml:space="preserve">The product is subject to </w:t>
      </w:r>
      <w:r w:rsidRPr="00027624" w:rsidDel="0068007C">
        <w:t>Age</w:t>
      </w:r>
      <w:r w:rsidRPr="00027624">
        <w:t> Pension means testing in accordance with current means test rules for lifetime income streams.</w:t>
      </w:r>
    </w:p>
    <w:p w14:paraId="6A94D4B6" w14:textId="77777777" w:rsidR="00E96B29" w:rsidRPr="00027624" w:rsidRDefault="00E96B29" w:rsidP="00E96B29">
      <w:pPr>
        <w:pStyle w:val="ChartMainHeading"/>
      </w:pPr>
      <w:bookmarkStart w:id="4276" w:name="_Ref39088031"/>
      <w:r w:rsidRPr="00027624">
        <w:t xml:space="preserve">Projected disposable income by longevity </w:t>
      </w:r>
      <w:bookmarkEnd w:id="4276"/>
      <w:r w:rsidRPr="00027624">
        <w:t>product, median earner</w:t>
      </w:r>
    </w:p>
    <w:p w14:paraId="6AB12C45" w14:textId="77777777" w:rsidR="00E96B29" w:rsidRPr="00027624" w:rsidRDefault="006A5298" w:rsidP="00DE6C9E">
      <w:pPr>
        <w:pStyle w:val="ChartGraphic"/>
      </w:pPr>
      <w:r>
        <w:rPr>
          <w:noProof/>
        </w:rPr>
        <w:drawing>
          <wp:inline distT="0" distB="0" distL="0" distR="0" wp14:anchorId="362FEFDE" wp14:editId="6811D7EF">
            <wp:extent cx="5577840" cy="2522220"/>
            <wp:effectExtent l="0" t="0" r="3810" b="0"/>
            <wp:docPr id="141855624" name="Picture 141855624" descr="This chart shows income over age for a median earner. &#10;The review’s drawdown strategy with longevity insurance provides a marginally increasing income from retirement to age 102. &#10;In contrast, drawing down superannuation at minimum legislated rates would result in a large drop in income upon retirement, with real income in retirement subsequently peaking around age 94. &#10;The review’s drawdown strategy without longevity insurance would provide relatively constant retirement income up to life expectancy at age 92, from this age retirement income would drop to around the maximum value of the Age Pension. " title="Chart 6A-26 Projected disposable income by longevity product, median e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29FC5152" w14:textId="77777777" w:rsidR="00E96B29" w:rsidRPr="00027624" w:rsidRDefault="00E96B29" w:rsidP="00C11F4E">
      <w:pPr>
        <w:pStyle w:val="ChartorTableNote"/>
        <w:spacing w:after="120"/>
        <w:rPr>
          <w:sz w:val="20"/>
        </w:rPr>
      </w:pPr>
      <w:r w:rsidRPr="00027624">
        <w:t>Note: Values are in 2019</w:t>
      </w:r>
      <w:r w:rsidR="00A8443E" w:rsidRPr="00027624">
        <w:noBreakHyphen/>
      </w:r>
      <w:r w:rsidRPr="00027624">
        <w:t>20 dollars, deflated using the review</w:t>
      </w:r>
      <w:r w:rsidR="00A8443E" w:rsidRPr="00027624">
        <w:t>’</w:t>
      </w:r>
      <w:r w:rsidRPr="00027624">
        <w:t>s mixed deflator. Source: Cameo modelling undertaken for the review.</w:t>
      </w:r>
    </w:p>
    <w:p w14:paraId="4FC8931A" w14:textId="77777777" w:rsidR="00E96B29" w:rsidRPr="00027624" w:rsidRDefault="00E96B29" w:rsidP="00E96B29">
      <w:pPr>
        <w:pStyle w:val="Heading6"/>
      </w:pPr>
      <w:r w:rsidRPr="00027624">
        <w:t>Longevity product sensitivity analysis</w:t>
      </w:r>
    </w:p>
    <w:p w14:paraId="5CC01DE4" w14:textId="77777777" w:rsidR="00E96B29" w:rsidRPr="00027624" w:rsidRDefault="00E96B29" w:rsidP="00E96B29">
      <w:pPr>
        <w:pStyle w:val="Bullet"/>
        <w:numPr>
          <w:ilvl w:val="0"/>
          <w:numId w:val="0"/>
        </w:numPr>
        <w:spacing w:after="160" w:line="259" w:lineRule="auto"/>
      </w:pPr>
      <w:r w:rsidRPr="00027624">
        <w:t>The longevity product type used by the review was a simple hypothetical product to provide longevity protection and facilitate the drawdown of superannuation assets.</w:t>
      </w:r>
    </w:p>
    <w:p w14:paraId="51479EAD" w14:textId="77777777" w:rsidR="00E96B29" w:rsidRPr="00027624" w:rsidRDefault="00E96B29" w:rsidP="00C11F4E">
      <w:pPr>
        <w:pStyle w:val="Bullet"/>
        <w:numPr>
          <w:ilvl w:val="0"/>
          <w:numId w:val="0"/>
        </w:numPr>
      </w:pPr>
      <w:r w:rsidRPr="00027624">
        <w:t>This product is one of many longevity products that could provide retirement income and longevity protection. To ensure its appropriateness, analysis compared this longevity product type to other possible retirement products, including:</w:t>
      </w:r>
    </w:p>
    <w:p w14:paraId="439F2D70" w14:textId="77777777" w:rsidR="00E96B29" w:rsidRPr="00027624" w:rsidRDefault="00E96B29" w:rsidP="00DB3D91">
      <w:pPr>
        <w:pStyle w:val="Bullet"/>
        <w:numPr>
          <w:ilvl w:val="0"/>
          <w:numId w:val="59"/>
        </w:numPr>
        <w:ind w:left="284" w:hanging="284"/>
      </w:pPr>
      <w:r w:rsidRPr="00027624">
        <w:t>A deferred group self</w:t>
      </w:r>
      <w:r w:rsidR="00A8443E" w:rsidRPr="00027624">
        <w:noBreakHyphen/>
      </w:r>
      <w:r w:rsidRPr="00027624">
        <w:t>annuity beginning at age 85, with 5 per cent of superannuation balance at retirement to purchase the product, and 95 per cent allocated to an account</w:t>
      </w:r>
      <w:r w:rsidR="00A8443E" w:rsidRPr="00027624">
        <w:noBreakHyphen/>
      </w:r>
      <w:r w:rsidRPr="00027624">
        <w:t>based pension.</w:t>
      </w:r>
    </w:p>
    <w:p w14:paraId="4C9EEC51" w14:textId="77777777" w:rsidR="00E96B29" w:rsidRPr="00027624" w:rsidRDefault="00E96B29" w:rsidP="00DB3D91">
      <w:pPr>
        <w:pStyle w:val="Bullet"/>
        <w:numPr>
          <w:ilvl w:val="0"/>
          <w:numId w:val="59"/>
        </w:numPr>
        <w:ind w:left="284" w:hanging="284"/>
      </w:pPr>
      <w:r w:rsidRPr="00027624">
        <w:t>A group self</w:t>
      </w:r>
      <w:r w:rsidR="00A8443E" w:rsidRPr="00027624">
        <w:noBreakHyphen/>
      </w:r>
      <w:r w:rsidRPr="00027624">
        <w:t>annuity beginning at 67, with 40 per cent of superannuation balance at retirement to purchase the product, and 60 per cent allocated to an account</w:t>
      </w:r>
      <w:r w:rsidR="00A8443E" w:rsidRPr="00027624">
        <w:noBreakHyphen/>
      </w:r>
      <w:r w:rsidRPr="00027624">
        <w:t>based pension.</w:t>
      </w:r>
    </w:p>
    <w:p w14:paraId="07DCB5F9" w14:textId="77777777" w:rsidR="00E96B29" w:rsidRPr="00027624" w:rsidRDefault="00E96B29" w:rsidP="00DB3D91">
      <w:pPr>
        <w:pStyle w:val="Bullet"/>
        <w:numPr>
          <w:ilvl w:val="0"/>
          <w:numId w:val="59"/>
        </w:numPr>
        <w:ind w:left="284" w:hanging="284"/>
      </w:pPr>
      <w:r w:rsidRPr="00027624">
        <w:t>100 per cent allocation of assets at retirement to a group self</w:t>
      </w:r>
      <w:r w:rsidR="00A8443E" w:rsidRPr="00027624">
        <w:noBreakHyphen/>
      </w:r>
      <w:r w:rsidRPr="00027624">
        <w:t>annuity beginning at 67.</w:t>
      </w:r>
    </w:p>
    <w:p w14:paraId="393DBD11" w14:textId="7C1BFB7F" w:rsidR="00E96B29" w:rsidRPr="00027624" w:rsidRDefault="00E96B29" w:rsidP="00E96B29">
      <w:r w:rsidRPr="00027624">
        <w:t>The review</w:t>
      </w:r>
      <w:r w:rsidR="00A8443E" w:rsidRPr="00027624">
        <w:t>’</w:t>
      </w:r>
      <w:r w:rsidRPr="00027624">
        <w:t>s retirement income portfolio tends to give lower incomes than similar products (</w:t>
      </w:r>
      <w:r w:rsidRPr="00027624">
        <w:fldChar w:fldCharType="begin"/>
      </w:r>
      <w:r w:rsidRPr="00027624">
        <w:instrText xml:space="preserve"> REF _Ref42084846 \r \h  \* MERGEFORMAT </w:instrText>
      </w:r>
      <w:r w:rsidRPr="00027624">
        <w:fldChar w:fldCharType="separate"/>
      </w:r>
      <w:r w:rsidR="00891058">
        <w:t>Table 6A-13</w:t>
      </w:r>
      <w:r w:rsidRPr="00027624">
        <w:fldChar w:fldCharType="end"/>
      </w:r>
      <w:r w:rsidRPr="00027624">
        <w:t>). Non</w:t>
      </w:r>
      <w:r w:rsidR="00A8443E" w:rsidRPr="00027624">
        <w:noBreakHyphen/>
      </w:r>
      <w:r w:rsidRPr="00027624">
        <w:t>deferred products provide slightly higher replacement rates and retirement outcomes, as they pay out mortality credits for longer. However, higher incomes come at the cost of reduced capital flexibility. The review</w:t>
      </w:r>
      <w:r w:rsidR="00A8443E" w:rsidRPr="00027624">
        <w:t>’</w:t>
      </w:r>
      <w:r w:rsidRPr="00027624">
        <w:t>s central case assumption represents one way to balance longevity protection, high retirement incomes and capital flexibility.</w:t>
      </w:r>
    </w:p>
    <w:p w14:paraId="108B0414" w14:textId="77777777" w:rsidR="00E96B29" w:rsidRPr="00027624" w:rsidRDefault="00E96B29" w:rsidP="00E96B29">
      <w:pPr>
        <w:pStyle w:val="TableMainHeading"/>
      </w:pPr>
      <w:bookmarkStart w:id="4277" w:name="_Ref42084846"/>
      <w:r w:rsidRPr="00027624">
        <w:t>Projected median earner retirement outcomes, different annuity products</w:t>
      </w:r>
      <w:bookmarkEnd w:id="4277"/>
    </w:p>
    <w:tbl>
      <w:tblPr>
        <w:tblW w:w="5000" w:type="pct"/>
        <w:tblLayout w:type="fixed"/>
        <w:tblLook w:val="04A0" w:firstRow="1" w:lastRow="0" w:firstColumn="1" w:lastColumn="0" w:noHBand="0" w:noVBand="1"/>
      </w:tblPr>
      <w:tblGrid>
        <w:gridCol w:w="5244"/>
        <w:gridCol w:w="1702"/>
        <w:gridCol w:w="2124"/>
      </w:tblGrid>
      <w:tr w:rsidR="00E96B29" w:rsidRPr="00027624" w14:paraId="0FAB5918" w14:textId="77777777" w:rsidTr="00C11F4E">
        <w:trPr>
          <w:trHeight w:val="70"/>
        </w:trPr>
        <w:tc>
          <w:tcPr>
            <w:tcW w:w="2891" w:type="pct"/>
            <w:shd w:val="clear" w:color="auto" w:fill="F2F2F2" w:themeFill="background1" w:themeFillShade="F2"/>
            <w:noWrap/>
          </w:tcPr>
          <w:p w14:paraId="40283102" w14:textId="77777777" w:rsidR="00E96B29" w:rsidRPr="00027624" w:rsidRDefault="00E96B29" w:rsidP="00E96B29">
            <w:pPr>
              <w:pStyle w:val="TableColumnHeadingCentred"/>
              <w:jc w:val="left"/>
            </w:pPr>
            <w:r w:rsidRPr="00027624">
              <w:t>L</w:t>
            </w:r>
            <w:r w:rsidR="00C11F4E">
              <w:t xml:space="preserve">ongevity product </w:t>
            </w:r>
            <w:r w:rsidR="00C11F4E">
              <w:br/>
              <w:t>(asset split)</w:t>
            </w:r>
          </w:p>
        </w:tc>
        <w:tc>
          <w:tcPr>
            <w:tcW w:w="938" w:type="pct"/>
            <w:shd w:val="clear" w:color="auto" w:fill="F2F2F2" w:themeFill="background1" w:themeFillShade="F2"/>
            <w:noWrap/>
          </w:tcPr>
          <w:p w14:paraId="60ECE6FA" w14:textId="77777777" w:rsidR="00E96B29" w:rsidRPr="00027624" w:rsidRDefault="00E96B29" w:rsidP="00E96B29">
            <w:pPr>
              <w:pStyle w:val="TableColumnHeadingCentred"/>
            </w:pPr>
            <w:r w:rsidRPr="00027624">
              <w:t xml:space="preserve">Replacement rate </w:t>
            </w:r>
            <w:r w:rsidRPr="00027624">
              <w:br/>
              <w:t>(per cent)</w:t>
            </w:r>
          </w:p>
        </w:tc>
        <w:tc>
          <w:tcPr>
            <w:tcW w:w="1171" w:type="pct"/>
            <w:shd w:val="clear" w:color="auto" w:fill="F2F2F2" w:themeFill="background1" w:themeFillShade="F2"/>
            <w:noWrap/>
          </w:tcPr>
          <w:p w14:paraId="7B65E912" w14:textId="77777777" w:rsidR="00E96B29" w:rsidRPr="00027624" w:rsidRDefault="00E96B29" w:rsidP="00E96B29">
            <w:pPr>
              <w:pStyle w:val="TableColumnHeadingCentred"/>
            </w:pPr>
            <w:r w:rsidRPr="00027624">
              <w:t>Average annual retirement income ($)</w:t>
            </w:r>
          </w:p>
        </w:tc>
      </w:tr>
      <w:tr w:rsidR="00E96B29" w:rsidRPr="00027624" w14:paraId="7CDFD7A8" w14:textId="77777777" w:rsidTr="00C11F4E">
        <w:trPr>
          <w:trHeight w:val="70"/>
        </w:trPr>
        <w:tc>
          <w:tcPr>
            <w:tcW w:w="2891" w:type="pct"/>
            <w:shd w:val="clear" w:color="auto" w:fill="auto"/>
            <w:noWrap/>
            <w:vAlign w:val="bottom"/>
            <w:hideMark/>
          </w:tcPr>
          <w:p w14:paraId="3B85A371" w14:textId="77777777" w:rsidR="00E96B29" w:rsidRPr="00027624" w:rsidRDefault="00E96B29" w:rsidP="00E96B29">
            <w:pPr>
              <w:pStyle w:val="TableTextLeft"/>
            </w:pPr>
            <w:r w:rsidRPr="00027624">
              <w:t>Review portfolio</w:t>
            </w:r>
            <w:r w:rsidR="00A8443E" w:rsidRPr="00027624">
              <w:t xml:space="preserve"> — </w:t>
            </w:r>
            <w:r w:rsidRPr="00027624">
              <w:t>account</w:t>
            </w:r>
            <w:r w:rsidR="00A8443E" w:rsidRPr="00027624">
              <w:noBreakHyphen/>
            </w:r>
            <w:r w:rsidRPr="00027624">
              <w:t>based pension and deferred group self</w:t>
            </w:r>
            <w:r w:rsidR="00A8443E" w:rsidRPr="00027624">
              <w:noBreakHyphen/>
            </w:r>
            <w:r w:rsidRPr="00027624">
              <w:t>annuity (DGSA) beginning age 92 (95/5 split)</w:t>
            </w:r>
          </w:p>
        </w:tc>
        <w:tc>
          <w:tcPr>
            <w:tcW w:w="938" w:type="pct"/>
            <w:shd w:val="clear" w:color="auto" w:fill="auto"/>
            <w:noWrap/>
            <w:vAlign w:val="bottom"/>
            <w:hideMark/>
          </w:tcPr>
          <w:p w14:paraId="10DC08F6" w14:textId="77777777" w:rsidR="00E96B29" w:rsidRPr="00027624" w:rsidRDefault="00E96B29" w:rsidP="00E96B29">
            <w:pPr>
              <w:pStyle w:val="TableTextCentered"/>
            </w:pPr>
            <w:r w:rsidRPr="00027624">
              <w:t>87</w:t>
            </w:r>
          </w:p>
        </w:tc>
        <w:tc>
          <w:tcPr>
            <w:tcW w:w="1171" w:type="pct"/>
            <w:shd w:val="clear" w:color="auto" w:fill="auto"/>
            <w:noWrap/>
            <w:vAlign w:val="bottom"/>
            <w:hideMark/>
          </w:tcPr>
          <w:p w14:paraId="64506FDA" w14:textId="77777777" w:rsidR="00E96B29" w:rsidRPr="00027624" w:rsidRDefault="00E96B29" w:rsidP="00E96B29">
            <w:pPr>
              <w:pStyle w:val="TableTextCentered"/>
            </w:pPr>
            <w:r w:rsidRPr="00027624">
              <w:t xml:space="preserve">42,100 </w:t>
            </w:r>
          </w:p>
        </w:tc>
      </w:tr>
      <w:tr w:rsidR="00E96B29" w:rsidRPr="00027624" w14:paraId="4DC18217" w14:textId="77777777" w:rsidTr="00C11F4E">
        <w:tc>
          <w:tcPr>
            <w:tcW w:w="2891" w:type="pct"/>
            <w:shd w:val="clear" w:color="auto" w:fill="auto"/>
            <w:noWrap/>
            <w:vAlign w:val="bottom"/>
            <w:hideMark/>
          </w:tcPr>
          <w:p w14:paraId="32614397" w14:textId="77777777" w:rsidR="00E96B29" w:rsidRPr="00027624" w:rsidRDefault="00E96B29" w:rsidP="00E96B29">
            <w:pPr>
              <w:pStyle w:val="TableTextLeft"/>
            </w:pPr>
            <w:r w:rsidRPr="00027624">
              <w:t>Account</w:t>
            </w:r>
            <w:r w:rsidR="00A8443E" w:rsidRPr="00027624">
              <w:noBreakHyphen/>
            </w:r>
            <w:r w:rsidRPr="00027624">
              <w:t>based pension and DGSA beginning age 85 (95/5 split)</w:t>
            </w:r>
          </w:p>
        </w:tc>
        <w:tc>
          <w:tcPr>
            <w:tcW w:w="938" w:type="pct"/>
            <w:shd w:val="clear" w:color="auto" w:fill="auto"/>
            <w:noWrap/>
            <w:vAlign w:val="bottom"/>
            <w:hideMark/>
          </w:tcPr>
          <w:p w14:paraId="586ABF90" w14:textId="77777777" w:rsidR="00E96B29" w:rsidRPr="00027624" w:rsidRDefault="00E96B29" w:rsidP="00E96B29">
            <w:pPr>
              <w:pStyle w:val="TableTextCentered"/>
            </w:pPr>
            <w:r w:rsidRPr="00027624">
              <w:t>89</w:t>
            </w:r>
          </w:p>
        </w:tc>
        <w:tc>
          <w:tcPr>
            <w:tcW w:w="1171" w:type="pct"/>
            <w:shd w:val="clear" w:color="auto" w:fill="auto"/>
            <w:noWrap/>
            <w:vAlign w:val="bottom"/>
            <w:hideMark/>
          </w:tcPr>
          <w:p w14:paraId="1243CAA3" w14:textId="77777777" w:rsidR="00E96B29" w:rsidRPr="00027624" w:rsidRDefault="00E96B29" w:rsidP="00E96B29">
            <w:pPr>
              <w:pStyle w:val="TableTextCentered"/>
            </w:pPr>
            <w:r w:rsidRPr="00027624">
              <w:t xml:space="preserve">43,100 </w:t>
            </w:r>
          </w:p>
        </w:tc>
      </w:tr>
      <w:tr w:rsidR="00E96B29" w:rsidRPr="00027624" w14:paraId="087E7D41" w14:textId="77777777" w:rsidTr="00C11F4E">
        <w:tc>
          <w:tcPr>
            <w:tcW w:w="2891" w:type="pct"/>
            <w:shd w:val="clear" w:color="auto" w:fill="auto"/>
            <w:noWrap/>
            <w:vAlign w:val="bottom"/>
            <w:hideMark/>
          </w:tcPr>
          <w:p w14:paraId="13A89303" w14:textId="77777777" w:rsidR="00E96B29" w:rsidRPr="00027624" w:rsidRDefault="00E96B29" w:rsidP="00E96B29">
            <w:pPr>
              <w:pStyle w:val="TableTextLeft"/>
            </w:pPr>
            <w:r w:rsidRPr="00027624">
              <w:t>Account</w:t>
            </w:r>
            <w:r w:rsidR="00A8443E" w:rsidRPr="00027624">
              <w:noBreakHyphen/>
            </w:r>
            <w:r w:rsidRPr="00027624">
              <w:t>based pension and group self</w:t>
            </w:r>
            <w:r w:rsidR="00A8443E" w:rsidRPr="00027624">
              <w:noBreakHyphen/>
            </w:r>
            <w:r w:rsidRPr="00027624">
              <w:t>annuity (60/40 split)*</w:t>
            </w:r>
          </w:p>
        </w:tc>
        <w:tc>
          <w:tcPr>
            <w:tcW w:w="938" w:type="pct"/>
            <w:shd w:val="clear" w:color="auto" w:fill="auto"/>
            <w:noWrap/>
            <w:vAlign w:val="bottom"/>
            <w:hideMark/>
          </w:tcPr>
          <w:p w14:paraId="451C87B9" w14:textId="77777777" w:rsidR="00E96B29" w:rsidRPr="00027624" w:rsidRDefault="00E96B29" w:rsidP="00E96B29">
            <w:pPr>
              <w:pStyle w:val="TableTextCentered"/>
            </w:pPr>
            <w:r w:rsidRPr="00027624">
              <w:t>90</w:t>
            </w:r>
          </w:p>
        </w:tc>
        <w:tc>
          <w:tcPr>
            <w:tcW w:w="1171" w:type="pct"/>
            <w:shd w:val="clear" w:color="auto" w:fill="auto"/>
            <w:noWrap/>
            <w:vAlign w:val="bottom"/>
            <w:hideMark/>
          </w:tcPr>
          <w:p w14:paraId="728F8F6F" w14:textId="77777777" w:rsidR="00E96B29" w:rsidRPr="00027624" w:rsidRDefault="00E96B29" w:rsidP="00E96B29">
            <w:pPr>
              <w:pStyle w:val="TableTextCentered"/>
            </w:pPr>
            <w:r w:rsidRPr="00027624">
              <w:t xml:space="preserve">43,600 </w:t>
            </w:r>
          </w:p>
        </w:tc>
      </w:tr>
      <w:tr w:rsidR="00E96B29" w:rsidRPr="00027624" w14:paraId="39F72F4E" w14:textId="77777777" w:rsidTr="00C11F4E">
        <w:trPr>
          <w:trHeight w:val="80"/>
        </w:trPr>
        <w:tc>
          <w:tcPr>
            <w:tcW w:w="2891" w:type="pct"/>
            <w:shd w:val="clear" w:color="auto" w:fill="auto"/>
            <w:noWrap/>
            <w:vAlign w:val="bottom"/>
            <w:hideMark/>
          </w:tcPr>
          <w:p w14:paraId="7797D7B0" w14:textId="77777777" w:rsidR="00E96B29" w:rsidRPr="00027624" w:rsidRDefault="00E96B29" w:rsidP="00E96B29">
            <w:pPr>
              <w:pStyle w:val="TableTextLeft"/>
            </w:pPr>
            <w:r w:rsidRPr="00027624">
              <w:t>Group self</w:t>
            </w:r>
            <w:r w:rsidR="00A8443E" w:rsidRPr="00027624">
              <w:noBreakHyphen/>
            </w:r>
            <w:r w:rsidRPr="00027624">
              <w:t>annuity (0/100 split)*</w:t>
            </w:r>
          </w:p>
        </w:tc>
        <w:tc>
          <w:tcPr>
            <w:tcW w:w="938" w:type="pct"/>
            <w:shd w:val="clear" w:color="auto" w:fill="auto"/>
            <w:noWrap/>
            <w:vAlign w:val="bottom"/>
            <w:hideMark/>
          </w:tcPr>
          <w:p w14:paraId="173A7A2B" w14:textId="77777777" w:rsidR="00E96B29" w:rsidRPr="00027624" w:rsidRDefault="00E96B29" w:rsidP="00E96B29">
            <w:pPr>
              <w:pStyle w:val="TableTextCentered"/>
            </w:pPr>
            <w:r w:rsidRPr="00027624">
              <w:t>91</w:t>
            </w:r>
          </w:p>
        </w:tc>
        <w:tc>
          <w:tcPr>
            <w:tcW w:w="1171" w:type="pct"/>
            <w:shd w:val="clear" w:color="auto" w:fill="auto"/>
            <w:noWrap/>
            <w:vAlign w:val="bottom"/>
            <w:hideMark/>
          </w:tcPr>
          <w:p w14:paraId="396D8795" w14:textId="77777777" w:rsidR="00E96B29" w:rsidRPr="00027624" w:rsidRDefault="00E96B29" w:rsidP="00E96B29">
            <w:pPr>
              <w:pStyle w:val="TableTextCentered"/>
            </w:pPr>
            <w:r w:rsidRPr="00027624">
              <w:t>44,000</w:t>
            </w:r>
          </w:p>
        </w:tc>
      </w:tr>
    </w:tbl>
    <w:p w14:paraId="5ADE8473" w14:textId="77777777" w:rsidR="00E96B29" w:rsidRPr="00027624" w:rsidRDefault="00E96B29" w:rsidP="00C11F4E">
      <w:pPr>
        <w:spacing w:before="60"/>
        <w:rPr>
          <w:sz w:val="18"/>
        </w:rPr>
      </w:pPr>
      <w:r w:rsidRPr="00027624">
        <w:rPr>
          <w:sz w:val="18"/>
        </w:rPr>
        <w:t>Note: Products are hypothetical and used only for the basis of estimating retirement outcome differences. Values are in 2019</w:t>
      </w:r>
      <w:r w:rsidR="00A8443E" w:rsidRPr="00027624">
        <w:rPr>
          <w:sz w:val="18"/>
        </w:rPr>
        <w:noBreakHyphen/>
      </w:r>
      <w:r w:rsidRPr="00027624">
        <w:rPr>
          <w:sz w:val="18"/>
        </w:rPr>
        <w:t>20 dollars, deflated using the review</w:t>
      </w:r>
      <w:r w:rsidR="00A8443E" w:rsidRPr="00027624">
        <w:rPr>
          <w:sz w:val="18"/>
        </w:rPr>
        <w:t>’</w:t>
      </w:r>
      <w:r w:rsidRPr="00027624">
        <w:rPr>
          <w:sz w:val="18"/>
        </w:rPr>
        <w:t>s mixed deflator and rounded to the nearest $100. *Group self</w:t>
      </w:r>
      <w:r w:rsidR="00A8443E" w:rsidRPr="00027624">
        <w:rPr>
          <w:sz w:val="18"/>
        </w:rPr>
        <w:noBreakHyphen/>
      </w:r>
      <w:r w:rsidRPr="00027624">
        <w:rPr>
          <w:sz w:val="18"/>
        </w:rPr>
        <w:t>annuities in these scenarios are not deferred</w:t>
      </w:r>
      <w:r w:rsidRPr="00027624" w:rsidDel="00FC28B4">
        <w:rPr>
          <w:sz w:val="18"/>
        </w:rPr>
        <w:t>,</w:t>
      </w:r>
      <w:r w:rsidRPr="00027624">
        <w:rPr>
          <w:sz w:val="18"/>
        </w:rPr>
        <w:t xml:space="preserve"> and commence at retirement. Non</w:t>
      </w:r>
      <w:r w:rsidR="00A8443E" w:rsidRPr="00027624">
        <w:rPr>
          <w:sz w:val="18"/>
        </w:rPr>
        <w:noBreakHyphen/>
      </w:r>
      <w:r w:rsidRPr="00027624">
        <w:rPr>
          <w:sz w:val="18"/>
        </w:rPr>
        <w:t>deferred products are assumed to have investment fees of 0.85 per cent consistent with review central case retirement phase specifications. Source: Cameo modelling undertaken for the review.</w:t>
      </w:r>
    </w:p>
    <w:tbl>
      <w:tblPr>
        <w:tblStyle w:val="TableGrid"/>
        <w:tblpPr w:leftFromText="180" w:rightFromText="180" w:vertAnchor="text" w:horzAnchor="margin" w:tblpY="109"/>
        <w:tblW w:w="5000" w:type="pct"/>
        <w:shd w:val="clear" w:color="auto" w:fill="FFF8EA"/>
        <w:tblLook w:val="04A0" w:firstRow="1" w:lastRow="0" w:firstColumn="1" w:lastColumn="0" w:noHBand="0" w:noVBand="1"/>
      </w:tblPr>
      <w:tblGrid>
        <w:gridCol w:w="9070"/>
      </w:tblGrid>
      <w:tr w:rsidR="00E96B29" w:rsidRPr="00027624" w14:paraId="6E7B0190" w14:textId="77777777" w:rsidTr="00E96B29">
        <w:tc>
          <w:tcPr>
            <w:tcW w:w="5000" w:type="pct"/>
            <w:shd w:val="clear" w:color="auto" w:fill="FFF8EA"/>
          </w:tcPr>
          <w:p w14:paraId="258C03B3" w14:textId="77777777" w:rsidR="00E96B29" w:rsidRPr="00027624" w:rsidRDefault="00E96B29" w:rsidP="00C11F4E">
            <w:pPr>
              <w:pStyle w:val="BoxHeading"/>
              <w:spacing w:before="120"/>
            </w:pPr>
            <w:r w:rsidRPr="00027624">
              <w:t>Comparing review drawdown assumptions with other retirement modellers</w:t>
            </w:r>
            <w:r w:rsidR="00A8443E" w:rsidRPr="00027624">
              <w:t>’</w:t>
            </w:r>
            <w:r w:rsidRPr="00027624">
              <w:t xml:space="preserve"> approaches</w:t>
            </w:r>
          </w:p>
          <w:p w14:paraId="0776AE4A" w14:textId="17E5E2E7" w:rsidR="00E96B29" w:rsidRPr="00027624" w:rsidRDefault="00E96B29" w:rsidP="00E96B29">
            <w:r w:rsidRPr="00027624">
              <w:t>Consistent with the intent of the retirement income system, most retirement income projections assume superannuation assets are fully or predominantly used to generate retirement income by life expectancy (</w:t>
            </w:r>
            <w:r w:rsidRPr="00027624">
              <w:fldChar w:fldCharType="begin"/>
            </w:r>
            <w:r w:rsidRPr="00027624">
              <w:instrText xml:space="preserve"> REF _Ref40373349 \r \h  \* MERGEFORMAT </w:instrText>
            </w:r>
            <w:r w:rsidRPr="00027624">
              <w:fldChar w:fldCharType="separate"/>
            </w:r>
            <w:r w:rsidR="00891058">
              <w:t>Table 6A-14</w:t>
            </w:r>
            <w:r w:rsidRPr="00027624">
              <w:fldChar w:fldCharType="end"/>
            </w:r>
            <w:r w:rsidRPr="00027624">
              <w:t>). Key differences are the rate at which assets are drawn down and how longevity risk is managed.</w:t>
            </w:r>
          </w:p>
          <w:p w14:paraId="6F091290" w14:textId="77777777" w:rsidR="00E96B29" w:rsidRPr="00027624" w:rsidRDefault="00E96B29" w:rsidP="00E96B29">
            <w:pPr>
              <w:pStyle w:val="TableMainHeading"/>
            </w:pPr>
            <w:bookmarkStart w:id="4278" w:name="_Ref40373349"/>
            <w:bookmarkStart w:id="4279" w:name="_Ref44678575"/>
            <w:r w:rsidRPr="00027624">
              <w:t>Drawdown and longevity product assumptions in superannuation by organisation</w:t>
            </w:r>
            <w:bookmarkEnd w:id="4278"/>
            <w:bookmarkEnd w:id="4279"/>
          </w:p>
          <w:tbl>
            <w:tblPr>
              <w:tblStyle w:val="TableGrid"/>
              <w:tblW w:w="0" w:type="auto"/>
              <w:tblLook w:val="04A0" w:firstRow="1" w:lastRow="0" w:firstColumn="1" w:lastColumn="0" w:noHBand="0" w:noVBand="1"/>
            </w:tblPr>
            <w:tblGrid>
              <w:gridCol w:w="1418"/>
              <w:gridCol w:w="3544"/>
              <w:gridCol w:w="3827"/>
            </w:tblGrid>
            <w:tr w:rsidR="00E96B29" w:rsidRPr="00027624" w14:paraId="7845765C" w14:textId="77777777" w:rsidTr="00E96B29">
              <w:tc>
                <w:tcPr>
                  <w:tcW w:w="1418" w:type="dxa"/>
                  <w:shd w:val="clear" w:color="auto" w:fill="auto"/>
                </w:tcPr>
                <w:p w14:paraId="4A1A1BAB" w14:textId="77777777" w:rsidR="00E96B29" w:rsidRPr="00027624" w:rsidRDefault="00E96B29" w:rsidP="007B222E">
                  <w:pPr>
                    <w:pStyle w:val="TableColumnHeadingCentred"/>
                    <w:framePr w:hSpace="180" w:wrap="around" w:vAnchor="text" w:hAnchor="margin" w:y="109"/>
                    <w:jc w:val="left"/>
                  </w:pPr>
                  <w:r w:rsidRPr="00027624">
                    <w:t>Organisation</w:t>
                  </w:r>
                </w:p>
              </w:tc>
              <w:tc>
                <w:tcPr>
                  <w:tcW w:w="3544" w:type="dxa"/>
                  <w:shd w:val="clear" w:color="auto" w:fill="auto"/>
                </w:tcPr>
                <w:p w14:paraId="66A4449D" w14:textId="77777777" w:rsidR="00E96B29" w:rsidRPr="00027624" w:rsidRDefault="00E96B29" w:rsidP="007B222E">
                  <w:pPr>
                    <w:pStyle w:val="TableColumnHeadingCentred"/>
                    <w:framePr w:hSpace="180" w:wrap="around" w:vAnchor="text" w:hAnchor="margin" w:y="109"/>
                    <w:jc w:val="left"/>
                  </w:pPr>
                  <w:r w:rsidRPr="00027624">
                    <w:t>Drawdown strategy</w:t>
                  </w:r>
                </w:p>
              </w:tc>
              <w:tc>
                <w:tcPr>
                  <w:tcW w:w="3827" w:type="dxa"/>
                  <w:shd w:val="clear" w:color="auto" w:fill="auto"/>
                </w:tcPr>
                <w:p w14:paraId="46E91E8A" w14:textId="77777777" w:rsidR="00E96B29" w:rsidRPr="00027624" w:rsidRDefault="00E96B29" w:rsidP="007B222E">
                  <w:pPr>
                    <w:pStyle w:val="TableColumnHeadingCentred"/>
                    <w:framePr w:hSpace="180" w:wrap="around" w:vAnchor="text" w:hAnchor="margin" w:y="109"/>
                  </w:pPr>
                  <w:r w:rsidRPr="00027624">
                    <w:t xml:space="preserve">Longevity protection on top of </w:t>
                  </w:r>
                  <w:r w:rsidRPr="00027624" w:rsidDel="0068007C">
                    <w:t>Age</w:t>
                  </w:r>
                  <w:r w:rsidRPr="00027624">
                    <w:t> Pension</w:t>
                  </w:r>
                </w:p>
              </w:tc>
            </w:tr>
            <w:tr w:rsidR="00E96B29" w:rsidRPr="00027624" w14:paraId="16CD5318" w14:textId="77777777" w:rsidTr="00E96B29">
              <w:tc>
                <w:tcPr>
                  <w:tcW w:w="1418" w:type="dxa"/>
                  <w:shd w:val="clear" w:color="auto" w:fill="auto"/>
                </w:tcPr>
                <w:p w14:paraId="1BDAACA6" w14:textId="77777777" w:rsidR="00E96B29" w:rsidRPr="00027624" w:rsidRDefault="00E96B29" w:rsidP="007B222E">
                  <w:pPr>
                    <w:pStyle w:val="TableTextLeft"/>
                    <w:framePr w:hSpace="180" w:wrap="around" w:vAnchor="text" w:hAnchor="margin" w:y="109"/>
                  </w:pPr>
                  <w:r w:rsidRPr="00027624">
                    <w:t>Review</w:t>
                  </w:r>
                </w:p>
              </w:tc>
              <w:tc>
                <w:tcPr>
                  <w:tcW w:w="3544" w:type="dxa"/>
                  <w:shd w:val="clear" w:color="auto" w:fill="auto"/>
                </w:tcPr>
                <w:p w14:paraId="2F1E0E49" w14:textId="77777777" w:rsidR="00E96B29" w:rsidRPr="00027624" w:rsidRDefault="00E96B29" w:rsidP="007B222E">
                  <w:pPr>
                    <w:pStyle w:val="TableTextLeft"/>
                    <w:framePr w:hSpace="180" w:wrap="around" w:vAnchor="text" w:hAnchor="margin" w:y="109"/>
                  </w:pPr>
                  <w:r w:rsidRPr="00027624">
                    <w:t xml:space="preserve">Exhaust 95 per cent of superannuation by age 92, drawing at a rate to deliver stable real income (including </w:t>
                  </w:r>
                  <w:r w:rsidRPr="00027624" w:rsidDel="0068007C">
                    <w:t>Age</w:t>
                  </w:r>
                  <w:r w:rsidRPr="00027624">
                    <w:t xml:space="preserve"> Pension). </w:t>
                  </w:r>
                </w:p>
              </w:tc>
              <w:tc>
                <w:tcPr>
                  <w:tcW w:w="3827" w:type="dxa"/>
                  <w:shd w:val="clear" w:color="auto" w:fill="auto"/>
                </w:tcPr>
                <w:p w14:paraId="2F16BFEA" w14:textId="77777777" w:rsidR="00E96B29" w:rsidRPr="00027624" w:rsidRDefault="00E96B29" w:rsidP="007B222E">
                  <w:pPr>
                    <w:pStyle w:val="TableTextLeft"/>
                    <w:framePr w:hSpace="180" w:wrap="around" w:vAnchor="text" w:hAnchor="margin" w:y="109"/>
                  </w:pPr>
                  <w:r w:rsidRPr="00027624">
                    <w:t>Longevity product from age 92 purchased with 5 per cent of balance at retirement.</w:t>
                  </w:r>
                  <w:r w:rsidRPr="00027624" w:rsidDel="00A867B1">
                    <w:t xml:space="preserve"> </w:t>
                  </w:r>
                </w:p>
              </w:tc>
            </w:tr>
            <w:tr w:rsidR="00E96B29" w:rsidRPr="00027624" w14:paraId="27DE0FB1" w14:textId="77777777" w:rsidTr="00E96B29">
              <w:tc>
                <w:tcPr>
                  <w:tcW w:w="1418" w:type="dxa"/>
                  <w:shd w:val="clear" w:color="auto" w:fill="auto"/>
                </w:tcPr>
                <w:p w14:paraId="5DF98673" w14:textId="77777777" w:rsidR="00E96B29" w:rsidRPr="00027624" w:rsidRDefault="00E96B29" w:rsidP="007B222E">
                  <w:pPr>
                    <w:pStyle w:val="TableTextLeft"/>
                    <w:framePr w:hSpace="180" w:wrap="around" w:vAnchor="text" w:hAnchor="margin" w:y="109"/>
                  </w:pPr>
                  <w:r w:rsidRPr="00027624">
                    <w:t>Industry Super Australia</w:t>
                  </w:r>
                </w:p>
              </w:tc>
              <w:tc>
                <w:tcPr>
                  <w:tcW w:w="3544" w:type="dxa"/>
                  <w:shd w:val="clear" w:color="auto" w:fill="auto"/>
                </w:tcPr>
                <w:p w14:paraId="48A7D599" w14:textId="77777777" w:rsidR="00E96B29" w:rsidRPr="00027624" w:rsidRDefault="00E96B29" w:rsidP="007B222E">
                  <w:pPr>
                    <w:pStyle w:val="TableTextLeft"/>
                    <w:framePr w:hSpace="180" w:wrap="around" w:vAnchor="text" w:hAnchor="margin" w:y="109"/>
                  </w:pPr>
                  <w:r w:rsidRPr="00027624">
                    <w:t xml:space="preserve">Draw down at rate of 10 per cent, or minimum drawdown rate once it is higher (from age 90). </w:t>
                  </w:r>
                </w:p>
              </w:tc>
              <w:tc>
                <w:tcPr>
                  <w:tcW w:w="3827" w:type="dxa"/>
                  <w:shd w:val="clear" w:color="auto" w:fill="auto"/>
                </w:tcPr>
                <w:p w14:paraId="69BA3708" w14:textId="77777777" w:rsidR="00E96B29" w:rsidRPr="00027624" w:rsidRDefault="00E96B29" w:rsidP="007B222E">
                  <w:pPr>
                    <w:pStyle w:val="TableTextLeft"/>
                    <w:framePr w:hSpace="180" w:wrap="around" w:vAnchor="text" w:hAnchor="margin" w:y="109"/>
                  </w:pPr>
                  <w:r w:rsidRPr="00027624">
                    <w:t>Remaining superannuation balance (around 15</w:t>
                  </w:r>
                  <w:r w:rsidRPr="00027624" w:rsidDel="0068007C">
                    <w:t> per</w:t>
                  </w:r>
                  <w:r w:rsidRPr="00027624">
                    <w:t xml:space="preserve"> cent in real terms of balance at retirement). </w:t>
                  </w:r>
                </w:p>
              </w:tc>
            </w:tr>
            <w:tr w:rsidR="00E96B29" w:rsidRPr="00027624" w14:paraId="7FAFA7BE" w14:textId="77777777" w:rsidTr="00E96B29">
              <w:trPr>
                <w:trHeight w:val="80"/>
              </w:trPr>
              <w:tc>
                <w:tcPr>
                  <w:tcW w:w="1418" w:type="dxa"/>
                  <w:shd w:val="clear" w:color="auto" w:fill="auto"/>
                </w:tcPr>
                <w:p w14:paraId="0D0CAE5A" w14:textId="77777777" w:rsidR="00E96B29" w:rsidRPr="00027624" w:rsidRDefault="00E96B29" w:rsidP="007B222E">
                  <w:pPr>
                    <w:pStyle w:val="TableTextLeft"/>
                    <w:framePr w:hSpace="180" w:wrap="around" w:vAnchor="text" w:hAnchor="margin" w:y="109"/>
                  </w:pPr>
                  <w:r w:rsidRPr="00027624">
                    <w:t>Grattan Institute</w:t>
                  </w:r>
                </w:p>
              </w:tc>
              <w:tc>
                <w:tcPr>
                  <w:tcW w:w="3544" w:type="dxa"/>
                  <w:shd w:val="clear" w:color="auto" w:fill="auto"/>
                </w:tcPr>
                <w:p w14:paraId="3A897D40" w14:textId="77777777" w:rsidR="00E96B29" w:rsidRPr="00027624" w:rsidRDefault="00E96B29" w:rsidP="007B222E">
                  <w:pPr>
                    <w:pStyle w:val="TableTextLeft"/>
                    <w:framePr w:hSpace="180" w:wrap="around" w:vAnchor="text" w:hAnchor="margin" w:y="109"/>
                  </w:pPr>
                  <w:r w:rsidRPr="00027624">
                    <w:t xml:space="preserve">Exhaust 90 per of superannuation assets by age 92, generating constant real income from superannuation only. Incomes grow in real terms. Spend earnings from other 10 per cent of superannuation. </w:t>
                  </w:r>
                </w:p>
              </w:tc>
              <w:tc>
                <w:tcPr>
                  <w:tcW w:w="3827" w:type="dxa"/>
                  <w:shd w:val="clear" w:color="auto" w:fill="auto"/>
                </w:tcPr>
                <w:p w14:paraId="4796CFD3" w14:textId="77777777" w:rsidR="00E96B29" w:rsidRPr="00027624" w:rsidRDefault="00E96B29" w:rsidP="007B222E">
                  <w:pPr>
                    <w:pStyle w:val="TableTextLeft"/>
                    <w:framePr w:hSpace="180" w:wrap="around" w:vAnchor="text" w:hAnchor="margin" w:y="109"/>
                  </w:pPr>
                  <w:r w:rsidRPr="00027624">
                    <w:t xml:space="preserve">Around 10 per cent of superannuation assets remain at age 92. </w:t>
                  </w:r>
                </w:p>
              </w:tc>
            </w:tr>
            <w:tr w:rsidR="00E96B29" w:rsidRPr="00027624" w14:paraId="4014F21E" w14:textId="77777777" w:rsidTr="00E96B29">
              <w:tc>
                <w:tcPr>
                  <w:tcW w:w="1418" w:type="dxa"/>
                  <w:shd w:val="clear" w:color="auto" w:fill="auto"/>
                </w:tcPr>
                <w:p w14:paraId="10C318EA" w14:textId="77777777" w:rsidR="00E96B29" w:rsidRPr="00027624" w:rsidRDefault="00E96B29" w:rsidP="007B222E">
                  <w:pPr>
                    <w:pStyle w:val="TableTextLeft"/>
                    <w:framePr w:hSpace="180" w:wrap="around" w:vAnchor="text" w:hAnchor="margin" w:y="109"/>
                  </w:pPr>
                  <w:r w:rsidRPr="00027624">
                    <w:t>Rice Warner</w:t>
                  </w:r>
                </w:p>
              </w:tc>
              <w:tc>
                <w:tcPr>
                  <w:tcW w:w="3544" w:type="dxa"/>
                  <w:shd w:val="clear" w:color="auto" w:fill="auto"/>
                </w:tcPr>
                <w:p w14:paraId="279F8A46" w14:textId="77777777" w:rsidR="00E96B29" w:rsidRPr="00027624" w:rsidRDefault="00E96B29" w:rsidP="007B222E">
                  <w:pPr>
                    <w:pStyle w:val="TableTextLeft"/>
                    <w:framePr w:hSpace="180" w:wrap="around" w:vAnchor="text" w:hAnchor="margin" w:y="109"/>
                  </w:pPr>
                  <w:r w:rsidRPr="00027624">
                    <w:t xml:space="preserve">Exhaust all superannuation assets by age 92, drawing down at a rate to deliver stable real income (including </w:t>
                  </w:r>
                  <w:r w:rsidRPr="00027624" w:rsidDel="0068007C">
                    <w:t>Age</w:t>
                  </w:r>
                  <w:r w:rsidRPr="00027624">
                    <w:t> Pension).</w:t>
                  </w:r>
                </w:p>
              </w:tc>
              <w:tc>
                <w:tcPr>
                  <w:tcW w:w="3827" w:type="dxa"/>
                  <w:shd w:val="clear" w:color="auto" w:fill="auto"/>
                </w:tcPr>
                <w:p w14:paraId="2E885AED" w14:textId="77777777" w:rsidR="00E96B29" w:rsidRPr="00027624" w:rsidRDefault="00E96B29" w:rsidP="007B222E">
                  <w:pPr>
                    <w:pStyle w:val="TableTextLeft"/>
                    <w:framePr w:hSpace="180" w:wrap="around" w:vAnchor="text" w:hAnchor="margin" w:y="109"/>
                  </w:pPr>
                  <w:r w:rsidRPr="00027624">
                    <w:t xml:space="preserve">None </w:t>
                  </w:r>
                </w:p>
              </w:tc>
            </w:tr>
          </w:tbl>
          <w:p w14:paraId="7E992F54" w14:textId="77777777" w:rsidR="00E96B29" w:rsidRPr="00027624" w:rsidRDefault="00E96B29" w:rsidP="00E96B29">
            <w:pPr>
              <w:rPr>
                <w:sz w:val="18"/>
              </w:rPr>
            </w:pPr>
            <w:r w:rsidRPr="00027624">
              <w:rPr>
                <w:sz w:val="18"/>
              </w:rPr>
              <w:t xml:space="preserve">Source: </w:t>
            </w:r>
            <w:sdt>
              <w:sdtPr>
                <w:rPr>
                  <w:sz w:val="18"/>
                </w:rPr>
                <w:id w:val="-1830979992"/>
                <w:citation/>
              </w:sdtPr>
              <w:sdtEndPr/>
              <w:sdtContent>
                <w:r w:rsidRPr="00027624">
                  <w:rPr>
                    <w:sz w:val="18"/>
                  </w:rPr>
                  <w:fldChar w:fldCharType="begin"/>
                </w:r>
                <w:r w:rsidRPr="00027624">
                  <w:rPr>
                    <w:sz w:val="18"/>
                  </w:rPr>
                  <w:instrText xml:space="preserve">CITATION Ric19 \l 3081 </w:instrText>
                </w:r>
                <w:r w:rsidRPr="00027624">
                  <w:rPr>
                    <w:sz w:val="18"/>
                  </w:rPr>
                  <w:fldChar w:fldCharType="separate"/>
                </w:r>
                <w:r w:rsidR="00E83F6E" w:rsidRPr="00E83F6E">
                  <w:rPr>
                    <w:noProof/>
                    <w:sz w:val="18"/>
                  </w:rPr>
                  <w:t>(Rice Warner, 2019d)</w:t>
                </w:r>
                <w:r w:rsidRPr="00027624">
                  <w:rPr>
                    <w:sz w:val="18"/>
                  </w:rPr>
                  <w:fldChar w:fldCharType="end"/>
                </w:r>
              </w:sdtContent>
            </w:sdt>
            <w:r w:rsidRPr="00027624">
              <w:rPr>
                <w:sz w:val="18"/>
              </w:rPr>
              <w:t xml:space="preserve"> </w:t>
            </w:r>
            <w:sdt>
              <w:sdtPr>
                <w:rPr>
                  <w:sz w:val="18"/>
                </w:rPr>
                <w:id w:val="1883984635"/>
                <w:citation/>
              </w:sdtPr>
              <w:sdtEndPr/>
              <w:sdtContent>
                <w:r w:rsidRPr="00027624">
                  <w:rPr>
                    <w:sz w:val="18"/>
                  </w:rPr>
                  <w:fldChar w:fldCharType="begin"/>
                </w:r>
                <w:r w:rsidRPr="00027624">
                  <w:rPr>
                    <w:sz w:val="18"/>
                  </w:rPr>
                  <w:instrText xml:space="preserve">CITATION Gra20 \l 3081 </w:instrText>
                </w:r>
                <w:r w:rsidRPr="00027624">
                  <w:rPr>
                    <w:sz w:val="18"/>
                  </w:rPr>
                  <w:fldChar w:fldCharType="separate"/>
                </w:r>
                <w:r w:rsidR="00E83F6E" w:rsidRPr="00E83F6E">
                  <w:rPr>
                    <w:noProof/>
                    <w:sz w:val="18"/>
                  </w:rPr>
                  <w:t>(Grattan Institute, 2020)</w:t>
                </w:r>
                <w:r w:rsidRPr="00027624">
                  <w:rPr>
                    <w:sz w:val="18"/>
                  </w:rPr>
                  <w:fldChar w:fldCharType="end"/>
                </w:r>
              </w:sdtContent>
            </w:sdt>
            <w:r w:rsidRPr="00027624">
              <w:rPr>
                <w:sz w:val="18"/>
              </w:rPr>
              <w:t xml:space="preserve"> </w:t>
            </w:r>
            <w:sdt>
              <w:sdtPr>
                <w:rPr>
                  <w:sz w:val="18"/>
                </w:rPr>
                <w:id w:val="880203657"/>
                <w:citation/>
              </w:sdtPr>
              <w:sdtEndPr/>
              <w:sdtContent>
                <w:r w:rsidRPr="00027624">
                  <w:rPr>
                    <w:sz w:val="18"/>
                  </w:rPr>
                  <w:fldChar w:fldCharType="begin"/>
                </w:r>
                <w:r w:rsidRPr="00027624">
                  <w:rPr>
                    <w:sz w:val="18"/>
                  </w:rPr>
                  <w:instrText xml:space="preserve"> CITATION Ind20 \l 3081 </w:instrText>
                </w:r>
                <w:r w:rsidRPr="00027624">
                  <w:rPr>
                    <w:sz w:val="18"/>
                  </w:rPr>
                  <w:fldChar w:fldCharType="separate"/>
                </w:r>
                <w:r w:rsidR="00E83F6E" w:rsidRPr="00E83F6E">
                  <w:rPr>
                    <w:noProof/>
                    <w:sz w:val="18"/>
                  </w:rPr>
                  <w:t>(Industry Super Australia, 2020)</w:t>
                </w:r>
                <w:r w:rsidRPr="00027624">
                  <w:rPr>
                    <w:sz w:val="18"/>
                  </w:rPr>
                  <w:fldChar w:fldCharType="end"/>
                </w:r>
              </w:sdtContent>
            </w:sdt>
            <w:r w:rsidRPr="00027624">
              <w:rPr>
                <w:sz w:val="18"/>
              </w:rPr>
              <w:t>.</w:t>
            </w:r>
          </w:p>
          <w:p w14:paraId="55B99FD4" w14:textId="1B6B6AB3" w:rsidR="00E96B29" w:rsidRPr="00027624" w:rsidRDefault="00E96B29" w:rsidP="00E96B29">
            <w:r w:rsidRPr="00027624">
              <w:t>Different drawdown approaches by organisation yield different retirement income profiles (</w:t>
            </w:r>
            <w:r w:rsidRPr="00027624">
              <w:fldChar w:fldCharType="begin"/>
            </w:r>
            <w:r w:rsidRPr="00027624">
              <w:instrText xml:space="preserve"> REF _Ref43109346 \r \h  \* MERGEFORMAT </w:instrText>
            </w:r>
            <w:r w:rsidRPr="00027624">
              <w:fldChar w:fldCharType="separate"/>
            </w:r>
            <w:r w:rsidR="00891058">
              <w:t>Chart 6A-27</w:t>
            </w:r>
            <w:r w:rsidRPr="00027624">
              <w:fldChar w:fldCharType="end"/>
            </w:r>
            <w:r w:rsidRPr="00027624">
              <w:t>). Differences from the review approach are as follows.</w:t>
            </w:r>
          </w:p>
          <w:p w14:paraId="4D355AA9" w14:textId="77777777" w:rsidR="00E96B29" w:rsidRPr="00027624" w:rsidRDefault="00E96B29" w:rsidP="00E96B29">
            <w:pPr>
              <w:pStyle w:val="Bullet"/>
            </w:pPr>
            <w:r w:rsidRPr="00027624">
              <w:rPr>
                <w:b/>
              </w:rPr>
              <w:t>Longevity</w:t>
            </w:r>
            <w:r w:rsidRPr="00027624">
              <w:t xml:space="preserve">. Without purchase of a longevity protection product, incomes can dip sharply in later ages (see Rice Warner and Grattan retirement income profiles below). Retirees are assumed to draw down at high rates without having longevity protection </w:t>
            </w:r>
            <w:sdt>
              <w:sdtPr>
                <w:id w:val="512121119"/>
                <w:citation/>
              </w:sdtPr>
              <w:sdtEndPr/>
              <w:sdtContent>
                <w:r w:rsidRPr="00027624">
                  <w:fldChar w:fldCharType="begin"/>
                </w:r>
                <w:r w:rsidRPr="00027624">
                  <w:instrText xml:space="preserve"> CITATION Ric19 \l 3081 </w:instrText>
                </w:r>
                <w:r w:rsidRPr="00027624">
                  <w:fldChar w:fldCharType="separate"/>
                </w:r>
                <w:r w:rsidR="00E83F6E">
                  <w:rPr>
                    <w:noProof/>
                  </w:rPr>
                  <w:t>(Rice Warner, 2019d)</w:t>
                </w:r>
                <w:r w:rsidRPr="00027624">
                  <w:fldChar w:fldCharType="end"/>
                </w:r>
              </w:sdtContent>
            </w:sdt>
            <w:r w:rsidRPr="00027624">
              <w:t xml:space="preserve"> or using a self</w:t>
            </w:r>
            <w:r w:rsidR="00A8443E" w:rsidRPr="00027624">
              <w:noBreakHyphen/>
            </w:r>
            <w:r w:rsidRPr="00027624">
              <w:t xml:space="preserve">insured approach </w:t>
            </w:r>
            <w:sdt>
              <w:sdtPr>
                <w:id w:val="-1640406557"/>
                <w:citation/>
              </w:sdtPr>
              <w:sdtEndPr/>
              <w:sdtContent>
                <w:r w:rsidRPr="00027624">
                  <w:fldChar w:fldCharType="begin"/>
                </w:r>
                <w:r w:rsidRPr="00027624">
                  <w:instrText xml:space="preserve"> CITATION Ind20 \l 3081 </w:instrText>
                </w:r>
                <w:r w:rsidRPr="00027624">
                  <w:fldChar w:fldCharType="separate"/>
                </w:r>
                <w:r w:rsidR="00E83F6E">
                  <w:rPr>
                    <w:noProof/>
                  </w:rPr>
                  <w:t>(Industry Super Australia, 2020)</w:t>
                </w:r>
                <w:r w:rsidRPr="00027624">
                  <w:fldChar w:fldCharType="end"/>
                </w:r>
              </w:sdtContent>
            </w:sdt>
            <w:r w:rsidRPr="00027624">
              <w:t>. Industry Super Australia</w:t>
            </w:r>
            <w:r w:rsidR="00A8443E" w:rsidRPr="00027624">
              <w:t>’</w:t>
            </w:r>
            <w:r w:rsidRPr="00027624">
              <w:t>s approach generates bequests of around 15 per cent of starting balance in real terms.</w:t>
            </w:r>
          </w:p>
          <w:p w14:paraId="12E3ECA6" w14:textId="77777777" w:rsidR="00E96B29" w:rsidRPr="00027624" w:rsidRDefault="00E96B29" w:rsidP="00E96B29">
            <w:pPr>
              <w:pStyle w:val="Bullet"/>
            </w:pPr>
            <w:r w:rsidRPr="00027624">
              <w:rPr>
                <w:b/>
              </w:rPr>
              <w:t>Income stability</w:t>
            </w:r>
            <w:r w:rsidRPr="00027624">
              <w:t>. Grattan</w:t>
            </w:r>
            <w:r w:rsidR="00A8443E" w:rsidRPr="00027624">
              <w:t>’</w:t>
            </w:r>
            <w:r w:rsidRPr="00027624">
              <w:t>s approach means incomes peak in real terms immediately before life expectancy. Up to life expectancy, Rice Warner</w:t>
            </w:r>
            <w:r w:rsidR="00A8443E" w:rsidRPr="00027624">
              <w:t>’</w:t>
            </w:r>
            <w:r w:rsidRPr="00027624">
              <w:t>s income is stable and the highest of all approaches, reflecting the absence of longevity protection. The Industry Super Australia</w:t>
            </w:r>
            <w:r w:rsidR="00A8443E" w:rsidRPr="00027624">
              <w:t>’</w:t>
            </w:r>
            <w:r w:rsidRPr="00027624">
              <w:t xml:space="preserve">s approach generates stable incomes for </w:t>
            </w:r>
            <w:r w:rsidRPr="00027624" w:rsidDel="00A86065">
              <w:t>lower</w:t>
            </w:r>
            <w:r w:rsidR="00A8443E" w:rsidRPr="00027624">
              <w:noBreakHyphen/>
            </w:r>
            <w:r w:rsidRPr="00027624">
              <w:t xml:space="preserve"> and middle</w:t>
            </w:r>
            <w:r w:rsidR="00A8443E" w:rsidRPr="00027624">
              <w:noBreakHyphen/>
            </w:r>
            <w:r w:rsidRPr="00027624">
              <w:t xml:space="preserve">income earners because of the way it interacts with the </w:t>
            </w:r>
            <w:r w:rsidRPr="00027624" w:rsidDel="0068007C">
              <w:t>Age</w:t>
            </w:r>
            <w:r w:rsidRPr="00027624">
              <w:t> Pension. For higher</w:t>
            </w:r>
            <w:r w:rsidR="00A8443E" w:rsidRPr="00027624">
              <w:noBreakHyphen/>
            </w:r>
            <w:r w:rsidRPr="00027624">
              <w:t>income earners, income declines significantly over time in real terms.</w:t>
            </w:r>
          </w:p>
          <w:p w14:paraId="4CFA5B52" w14:textId="77777777" w:rsidR="00E96B29" w:rsidRPr="00027624" w:rsidRDefault="00E96B29" w:rsidP="00E96B29">
            <w:pPr>
              <w:pStyle w:val="ChartMainHeading"/>
            </w:pPr>
            <w:bookmarkStart w:id="4280" w:name="_Ref43109346"/>
            <w:r w:rsidRPr="00027624">
              <w:t>Projected retirement income profiles with drawdown profiles by organisation</w:t>
            </w:r>
            <w:bookmarkEnd w:id="4280"/>
          </w:p>
          <w:tbl>
            <w:tblPr>
              <w:tblStyle w:val="TableGrid"/>
              <w:tblW w:w="0" w:type="auto"/>
              <w:tblLook w:val="04A0" w:firstRow="1" w:lastRow="0" w:firstColumn="1" w:lastColumn="0" w:noHBand="0" w:noVBand="1"/>
            </w:tblPr>
            <w:tblGrid>
              <w:gridCol w:w="4319"/>
              <w:gridCol w:w="4535"/>
            </w:tblGrid>
            <w:tr w:rsidR="00E96B29" w:rsidRPr="00027624" w14:paraId="032549BD" w14:textId="77777777" w:rsidTr="00E96B29">
              <w:tc>
                <w:tcPr>
                  <w:tcW w:w="4320" w:type="dxa"/>
                  <w:shd w:val="clear" w:color="auto" w:fill="auto"/>
                </w:tcPr>
                <w:p w14:paraId="3B8E296A" w14:textId="77777777" w:rsidR="00E96B29" w:rsidRPr="00027624" w:rsidRDefault="00E96B29" w:rsidP="007B222E">
                  <w:pPr>
                    <w:pStyle w:val="ChartSecondHeading"/>
                    <w:framePr w:hSpace="180" w:wrap="around" w:vAnchor="text" w:hAnchor="margin" w:y="109"/>
                    <w:rPr>
                      <w:b w:val="0"/>
                      <w:sz w:val="22"/>
                      <w:szCs w:val="22"/>
                    </w:rPr>
                  </w:pPr>
                  <w:r w:rsidRPr="00027624">
                    <w:rPr>
                      <w:sz w:val="22"/>
                      <w:szCs w:val="22"/>
                    </w:rPr>
                    <w:t>Median</w:t>
                  </w:r>
                </w:p>
              </w:tc>
              <w:tc>
                <w:tcPr>
                  <w:tcW w:w="4536" w:type="dxa"/>
                  <w:shd w:val="clear" w:color="auto" w:fill="auto"/>
                </w:tcPr>
                <w:p w14:paraId="57D78C11" w14:textId="77777777" w:rsidR="00E96B29" w:rsidRPr="00027624" w:rsidRDefault="00E96B29" w:rsidP="007B222E">
                  <w:pPr>
                    <w:pStyle w:val="ChartSecondHeading"/>
                    <w:framePr w:hSpace="180" w:wrap="around" w:vAnchor="text" w:hAnchor="margin" w:y="109"/>
                    <w:rPr>
                      <w:b w:val="0"/>
                      <w:sz w:val="22"/>
                      <w:szCs w:val="22"/>
                    </w:rPr>
                  </w:pPr>
                  <w:r w:rsidRPr="00027624">
                    <w:rPr>
                      <w:sz w:val="22"/>
                      <w:szCs w:val="22"/>
                    </w:rPr>
                    <w:t>80</w:t>
                  </w:r>
                  <w:r w:rsidRPr="00027624">
                    <w:rPr>
                      <w:sz w:val="22"/>
                      <w:szCs w:val="22"/>
                      <w:vertAlign w:val="superscript"/>
                    </w:rPr>
                    <w:t>th</w:t>
                  </w:r>
                  <w:r w:rsidRPr="00027624">
                    <w:rPr>
                      <w:sz w:val="22"/>
                      <w:szCs w:val="22"/>
                    </w:rPr>
                    <w:t xml:space="preserve"> percentile</w:t>
                  </w:r>
                </w:p>
              </w:tc>
            </w:tr>
          </w:tbl>
          <w:p w14:paraId="488A77CE" w14:textId="77777777" w:rsidR="00E96B29" w:rsidRPr="00027624" w:rsidRDefault="006A5298" w:rsidP="00E96B29">
            <w:pPr>
              <w:pStyle w:val="ChartGraphic"/>
              <w:jc w:val="left"/>
              <w:rPr>
                <w:color w:val="auto"/>
                <w:sz w:val="18"/>
              </w:rPr>
            </w:pPr>
            <w:r>
              <w:rPr>
                <w:noProof/>
                <w:color w:val="auto"/>
                <w:sz w:val="18"/>
              </w:rPr>
              <w:drawing>
                <wp:inline distT="0" distB="0" distL="0" distR="0" wp14:anchorId="0F95E62F" wp14:editId="04AC644E">
                  <wp:extent cx="2781300" cy="2849137"/>
                  <wp:effectExtent l="0" t="0" r="0" b="8890"/>
                  <wp:docPr id="141855625" name="Picture 141855625" descr="This chart is for a median earner and shows that the review’s drawdown profile and that of Industry Superannuation Australia produce relatively constant income from retirement age to age 101. The Grattan Institute’s modelling approach produces a decline in retirement income at life expectancy and real rising income. Rice Warner’s approach produces flat retirement income to life expectancy, which then falls. " title="Chart 6A-27 Projected retirement income profiles with drawdown profiles by organisation - Me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781815" cy="2849664"/>
                          </a:xfrm>
                          <a:prstGeom prst="rect">
                            <a:avLst/>
                          </a:prstGeom>
                          <a:noFill/>
                        </pic:spPr>
                      </pic:pic>
                    </a:graphicData>
                  </a:graphic>
                </wp:inline>
              </w:drawing>
            </w:r>
            <w:r>
              <w:rPr>
                <w:noProof/>
                <w:color w:val="auto"/>
                <w:sz w:val="18"/>
              </w:rPr>
              <w:drawing>
                <wp:inline distT="0" distB="0" distL="0" distR="0" wp14:anchorId="6490C5E5" wp14:editId="2104DFEC">
                  <wp:extent cx="2780166" cy="2847975"/>
                  <wp:effectExtent l="0" t="0" r="1270" b="0"/>
                  <wp:docPr id="141855626" name="Picture 141855626" descr="This chart is for earners in the 80th percentile. It shows that the review’s drawdown profile produces a relatively constant income from retirement age until age 101. Industry Superannuation Australia’s approach produces a declining income profile between ages 67-77 before stabilising to age 101 at a lower level. Rice Warner’s approach produces a flat income profile to life expectancy, with a drop from age 92. The Grattan Institute’s drawdown approach results in flat income from retirement to age 82, with income increasing to 92 and then falling sharply to stabilise at a lower level." title="Chart 6A-27 Projected retirement income profiles with drawdown profiles by organisation – 80th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780302" cy="2848114"/>
                          </a:xfrm>
                          <a:prstGeom prst="rect">
                            <a:avLst/>
                          </a:prstGeom>
                          <a:noFill/>
                        </pic:spPr>
                      </pic:pic>
                    </a:graphicData>
                  </a:graphic>
                </wp:inline>
              </w:drawing>
            </w:r>
          </w:p>
          <w:p w14:paraId="0322F0C2" w14:textId="77777777" w:rsidR="00E96B29" w:rsidRPr="00027624" w:rsidRDefault="00E96B29" w:rsidP="00E96B29">
            <w:pPr>
              <w:pStyle w:val="ChartorTableNote"/>
              <w:rPr>
                <w:b/>
              </w:rPr>
            </w:pPr>
            <w:r w:rsidRPr="00027624">
              <w:t>Note: Values are in 2019</w:t>
            </w:r>
            <w:r w:rsidR="00A8443E" w:rsidRPr="00027624">
              <w:noBreakHyphen/>
            </w:r>
            <w:r w:rsidRPr="00027624">
              <w:t>20 dollars deflated using the review</w:t>
            </w:r>
            <w:r w:rsidR="00A8443E" w:rsidRPr="00027624">
              <w:t>’</w:t>
            </w:r>
            <w:r w:rsidRPr="00027624">
              <w:t>s mixed deflator. Profiles have been generated using the review</w:t>
            </w:r>
            <w:r w:rsidR="00A8443E" w:rsidRPr="00027624">
              <w:t>’</w:t>
            </w:r>
            <w:r w:rsidRPr="00027624">
              <w:t>s retirement income cameo model with drawdown strategy and longevity product specifications have been changed to reflect the review</w:t>
            </w:r>
            <w:r w:rsidR="00A8443E" w:rsidRPr="00027624">
              <w:t>’</w:t>
            </w:r>
            <w:r w:rsidRPr="00027624">
              <w:t>s best approximation of organisation assumptions. Grattan Institute retirement income post</w:t>
            </w:r>
            <w:r w:rsidR="00A8443E" w:rsidRPr="00027624">
              <w:noBreakHyphen/>
            </w:r>
            <w:r w:rsidRPr="00027624">
              <w:t xml:space="preserve">age 92 equal to earnings from remaining assets and </w:t>
            </w:r>
            <w:r w:rsidRPr="00027624" w:rsidDel="0068007C">
              <w:t>Age</w:t>
            </w:r>
            <w:r w:rsidRPr="00027624">
              <w:t> Pension as eligible. Other assumptions are the same as used in the review, notably the level of non</w:t>
            </w:r>
            <w:r w:rsidR="00A8443E" w:rsidRPr="00027624">
              <w:noBreakHyphen/>
            </w:r>
            <w:r w:rsidRPr="00027624">
              <w:t>superannuation assets at retirement (excluding Rice Warner who assumes no non</w:t>
            </w:r>
            <w:r w:rsidR="00A8443E" w:rsidRPr="00027624">
              <w:noBreakHyphen/>
            </w:r>
            <w:r w:rsidRPr="00027624">
              <w:t>superannuation assets). Source: Cameo modelling undertaken for the review.</w:t>
            </w:r>
          </w:p>
        </w:tc>
      </w:tr>
    </w:tbl>
    <w:p w14:paraId="7FF7EF44" w14:textId="77777777" w:rsidR="00E96B29" w:rsidRPr="00027624" w:rsidRDefault="00E96B29" w:rsidP="00E96B29">
      <w:pPr>
        <w:pStyle w:val="Heading4"/>
      </w:pPr>
      <w:r w:rsidRPr="00027624">
        <w:t>Non</w:t>
      </w:r>
      <w:r w:rsidR="00A8443E" w:rsidRPr="00027624">
        <w:noBreakHyphen/>
      </w:r>
      <w:r w:rsidRPr="00027624">
        <w:t>superannuation income</w:t>
      </w:r>
    </w:p>
    <w:p w14:paraId="65A30181" w14:textId="45843A28" w:rsidR="00E96B29" w:rsidRPr="00027624" w:rsidRDefault="00E96B29" w:rsidP="00E96B29">
      <w:r w:rsidRPr="00027624">
        <w:t>The modelling assumed that people spend the earnings from their non</w:t>
      </w:r>
      <w:r w:rsidR="00A8443E" w:rsidRPr="00027624">
        <w:noBreakHyphen/>
      </w:r>
      <w:r w:rsidRPr="00027624">
        <w:t>superannuation savings but do not draw down the capital (</w:t>
      </w:r>
      <w:r w:rsidRPr="00027624">
        <w:fldChar w:fldCharType="begin"/>
      </w:r>
      <w:r w:rsidRPr="00027624">
        <w:instrText xml:space="preserve"> REF _Ref38443737 \r \h  \* MERGEFORMAT </w:instrText>
      </w:r>
      <w:r w:rsidRPr="00027624">
        <w:fldChar w:fldCharType="separate"/>
      </w:r>
      <w:r w:rsidR="00891058">
        <w:t>Chart 6A-28</w:t>
      </w:r>
      <w:r w:rsidRPr="00027624">
        <w:fldChar w:fldCharType="end"/>
      </w:r>
      <w:r w:rsidRPr="00027624">
        <w:t>). This is based on two reasons:</w:t>
      </w:r>
    </w:p>
    <w:p w14:paraId="397DB12B" w14:textId="77777777" w:rsidR="00E96B29" w:rsidRPr="00027624" w:rsidRDefault="00E96B29" w:rsidP="00E96B29">
      <w:pPr>
        <w:pStyle w:val="Bullet"/>
      </w:pPr>
      <w:r w:rsidRPr="00027624">
        <w:t>Non</w:t>
      </w:r>
      <w:r w:rsidR="00A8443E" w:rsidRPr="00027624">
        <w:noBreakHyphen/>
      </w:r>
      <w:r w:rsidRPr="00027624">
        <w:t xml:space="preserve">superannuation savings do not receive the same concessional taxation as superannuation and are not explicitly for retirement income. The same arguments underpinning why superannuation should be used for retirement income (see </w:t>
      </w:r>
      <w:r w:rsidRPr="00027624">
        <w:rPr>
          <w:i/>
        </w:rPr>
        <w:t>2C. Maintaining standards of living in retirement</w:t>
      </w:r>
      <w:r w:rsidRPr="00027624">
        <w:t>) do not necessarily apply to retirees</w:t>
      </w:r>
      <w:r w:rsidR="00A8443E" w:rsidRPr="00027624">
        <w:t>’</w:t>
      </w:r>
      <w:r w:rsidRPr="00027624">
        <w:t xml:space="preserve"> assets outside superannuation.</w:t>
      </w:r>
    </w:p>
    <w:p w14:paraId="26028967" w14:textId="77777777" w:rsidR="00E96B29" w:rsidRPr="00027624" w:rsidRDefault="00E96B29" w:rsidP="00E96B29">
      <w:pPr>
        <w:pStyle w:val="Bullet"/>
      </w:pPr>
      <w:r w:rsidRPr="00027624">
        <w:t xml:space="preserve">Many retirees maintain their level of assets over time (see </w:t>
      </w:r>
      <w:r w:rsidRPr="00027624">
        <w:rPr>
          <w:i/>
        </w:rPr>
        <w:t>5A. Cohesion</w:t>
      </w:r>
      <w:r w:rsidRPr="00027624">
        <w:t>).</w:t>
      </w:r>
    </w:p>
    <w:p w14:paraId="4A5DF289" w14:textId="023E65FA" w:rsidR="00E96B29" w:rsidRPr="00027624" w:rsidRDefault="00E96B29" w:rsidP="00E96B29">
      <w:r w:rsidRPr="00027624">
        <w:t>Non</w:t>
      </w:r>
      <w:r w:rsidR="00A8443E" w:rsidRPr="00027624">
        <w:noBreakHyphen/>
      </w:r>
      <w:r w:rsidRPr="00027624">
        <w:t xml:space="preserve">superannuation assets are assumed to have the same investment returns as superannuation (see </w:t>
      </w:r>
      <w:r w:rsidRPr="00027624">
        <w:rPr>
          <w:i/>
        </w:rPr>
        <w:fldChar w:fldCharType="begin"/>
      </w:r>
      <w:r w:rsidRPr="00027624">
        <w:rPr>
          <w:i/>
        </w:rPr>
        <w:instrText xml:space="preserve"> REF _Ref42618877 \h  \* MERGEFORMAT </w:instrText>
      </w:r>
      <w:r w:rsidRPr="00027624">
        <w:rPr>
          <w:i/>
        </w:rPr>
      </w:r>
      <w:r w:rsidRPr="00027624">
        <w:rPr>
          <w:i/>
        </w:rPr>
        <w:fldChar w:fldCharType="separate"/>
      </w:r>
      <w:r w:rsidR="00891058" w:rsidRPr="00891058">
        <w:rPr>
          <w:i/>
        </w:rPr>
        <w:t>Investment returns</w:t>
      </w:r>
      <w:r w:rsidRPr="00027624">
        <w:rPr>
          <w:i/>
        </w:rPr>
        <w:fldChar w:fldCharType="end"/>
      </w:r>
      <w:r w:rsidRPr="00027624">
        <w:rPr>
          <w:i/>
        </w:rPr>
        <w:t xml:space="preserve"> </w:t>
      </w:r>
      <w:r w:rsidRPr="00027624">
        <w:t>above).</w:t>
      </w:r>
    </w:p>
    <w:p w14:paraId="112E3B81" w14:textId="77777777" w:rsidR="00E96B29" w:rsidRPr="00027624" w:rsidRDefault="00E96B29" w:rsidP="00E96B29">
      <w:pPr>
        <w:pStyle w:val="ChartMainHeading"/>
      </w:pPr>
      <w:r w:rsidRPr="00027624">
        <w:t>Projected non</w:t>
      </w:r>
      <w:r w:rsidR="00A8443E" w:rsidRPr="00027624">
        <w:noBreakHyphen/>
      </w:r>
      <w:r w:rsidRPr="00027624">
        <w:t xml:space="preserve">superannuation wealth and income in </w:t>
      </w:r>
      <w:bookmarkStart w:id="4281" w:name="_Ref38443737"/>
      <w:bookmarkEnd w:id="4281"/>
      <w:r w:rsidRPr="00027624">
        <w:t>retirement</w:t>
      </w:r>
    </w:p>
    <w:p w14:paraId="35AD6D26" w14:textId="77777777" w:rsidR="00E96B29" w:rsidRPr="00027624" w:rsidRDefault="00817309" w:rsidP="00E96B29">
      <w:pPr>
        <w:pStyle w:val="ChartGraphic"/>
        <w:spacing w:before="120" w:after="240"/>
        <w:rPr>
          <w:noProof/>
        </w:rPr>
      </w:pPr>
      <w:r>
        <w:rPr>
          <w:noProof/>
        </w:rPr>
        <w:drawing>
          <wp:inline distT="0" distB="0" distL="0" distR="0" wp14:anchorId="530F32A1" wp14:editId="091638C9">
            <wp:extent cx="5577840" cy="2529840"/>
            <wp:effectExtent l="0" t="0" r="3810" b="3810"/>
            <wp:docPr id="141855627" name="Picture 141855627" descr="This chart shows the contribution of non-superannuation wealth to retirement income in the model by working life income percentile. Non-superannuation wealth and the corresponding contribution to retirement income are low for lower income deciles but it increases exponentially as working life income increases." title="Chart 6A-28 Projected non-superannuation wealth and income in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594127DD" w14:textId="77777777" w:rsidR="00E96B29" w:rsidRPr="00027624" w:rsidRDefault="00E96B29" w:rsidP="00E96B29">
      <w:pPr>
        <w:pStyle w:val="ChartGraphic"/>
        <w:spacing w:before="120" w:after="240"/>
        <w:jc w:val="left"/>
        <w:rPr>
          <w:b/>
          <w:color w:val="auto"/>
          <w:sz w:val="18"/>
        </w:rPr>
      </w:pPr>
      <w:r w:rsidRPr="00027624">
        <w:rPr>
          <w:color w:val="auto"/>
          <w:sz w:val="18"/>
        </w:rPr>
        <w:t>Note: Values are in 2019</w:t>
      </w:r>
      <w:r w:rsidR="00A8443E" w:rsidRPr="00027624">
        <w:rPr>
          <w:color w:val="auto"/>
          <w:sz w:val="18"/>
        </w:rPr>
        <w:noBreakHyphen/>
      </w:r>
      <w:r w:rsidRPr="00027624">
        <w:rPr>
          <w:color w:val="auto"/>
          <w:sz w:val="18"/>
        </w:rPr>
        <w:t>20 dollars using the review</w:t>
      </w:r>
      <w:r w:rsidR="00A8443E" w:rsidRPr="00027624">
        <w:rPr>
          <w:color w:val="auto"/>
          <w:sz w:val="18"/>
        </w:rPr>
        <w:t>’</w:t>
      </w:r>
      <w:r w:rsidRPr="00027624">
        <w:rPr>
          <w:color w:val="auto"/>
          <w:sz w:val="18"/>
        </w:rPr>
        <w:t>s mixed deflator. Source: Cameo modelling undertaken for the review.</w:t>
      </w:r>
    </w:p>
    <w:p w14:paraId="33A33A0E" w14:textId="77777777" w:rsidR="00E96B29" w:rsidRPr="00027624" w:rsidRDefault="00E96B29" w:rsidP="00E96B29">
      <w:pPr>
        <w:pStyle w:val="Heading4"/>
      </w:pPr>
      <w:r w:rsidRPr="00027624" w:rsidDel="0068007C">
        <w:t>Age</w:t>
      </w:r>
      <w:r w:rsidRPr="00027624">
        <w:t> Pension</w:t>
      </w:r>
    </w:p>
    <w:p w14:paraId="17F6ECBA" w14:textId="464E77EC" w:rsidR="00E96B29" w:rsidRPr="00027624" w:rsidRDefault="00E96B29" w:rsidP="00E96B29">
      <w:r w:rsidRPr="00027624">
        <w:t xml:space="preserve">People can receive the </w:t>
      </w:r>
      <w:r w:rsidRPr="00027624" w:rsidDel="0068007C">
        <w:t>Age</w:t>
      </w:r>
      <w:r w:rsidRPr="00027624">
        <w:t xml:space="preserve"> Pension according to current policy, including the scheduled increase to the </w:t>
      </w:r>
      <w:r w:rsidRPr="00027624" w:rsidDel="0068007C">
        <w:t>Age</w:t>
      </w:r>
      <w:r w:rsidRPr="00027624">
        <w:t> Pension eligibility age. Future rates and thresholds in the social security system were modelled based on current indexation rules and projections for wages and prices at the 2019</w:t>
      </w:r>
      <w:r w:rsidR="00A8443E" w:rsidRPr="00027624">
        <w:noBreakHyphen/>
      </w:r>
      <w:r w:rsidRPr="00027624">
        <w:t>20 Mid</w:t>
      </w:r>
      <w:r w:rsidR="00A8443E" w:rsidRPr="00027624">
        <w:noBreakHyphen/>
      </w:r>
      <w:r w:rsidRPr="00027624">
        <w:t xml:space="preserve">Year Economic and Fiscal Outlook (see </w:t>
      </w:r>
      <w:r w:rsidRPr="00027624">
        <w:rPr>
          <w:i/>
        </w:rPr>
        <w:fldChar w:fldCharType="begin"/>
      </w:r>
      <w:r w:rsidRPr="00027624">
        <w:rPr>
          <w:i/>
        </w:rPr>
        <w:instrText xml:space="preserve"> REF _Ref42619046 \h  \* MERGEFORMAT </w:instrText>
      </w:r>
      <w:r w:rsidRPr="00027624">
        <w:rPr>
          <w:i/>
        </w:rPr>
      </w:r>
      <w:r w:rsidRPr="00027624">
        <w:rPr>
          <w:i/>
        </w:rPr>
        <w:fldChar w:fldCharType="separate"/>
      </w:r>
      <w:r w:rsidR="00891058" w:rsidRPr="00891058">
        <w:rPr>
          <w:i/>
        </w:rPr>
        <w:t>Economic parameters</w:t>
      </w:r>
      <w:r w:rsidRPr="00027624">
        <w:rPr>
          <w:i/>
        </w:rPr>
        <w:fldChar w:fldCharType="end"/>
      </w:r>
      <w:r w:rsidR="00842A7C" w:rsidRPr="00027624">
        <w:t>,</w:t>
      </w:r>
      <w:r w:rsidRPr="00027624">
        <w:t xml:space="preserve"> below).</w:t>
      </w:r>
    </w:p>
    <w:p w14:paraId="76E4538A" w14:textId="77777777" w:rsidR="00E96B29" w:rsidRPr="00027624" w:rsidRDefault="00E96B29" w:rsidP="00E96B29">
      <w:r w:rsidRPr="00027624">
        <w:t xml:space="preserve">For simplicity, modelling calculated the </w:t>
      </w:r>
      <w:r w:rsidRPr="00027624" w:rsidDel="0068007C">
        <w:t>Age</w:t>
      </w:r>
      <w:r w:rsidRPr="00027624">
        <w:t> Pension per year rather than per fortnight. This assumption does not substantially affect results.</w:t>
      </w:r>
    </w:p>
    <w:p w14:paraId="3065C946" w14:textId="0C6738AD" w:rsidR="00E96B29" w:rsidRPr="00027624" w:rsidRDefault="00E96B29" w:rsidP="00E96B29">
      <w:r w:rsidRPr="00027624">
        <w:t xml:space="preserve">Most people are modelled to receive some </w:t>
      </w:r>
      <w:r w:rsidRPr="00027624" w:rsidDel="0068007C">
        <w:t>Age</w:t>
      </w:r>
      <w:r w:rsidRPr="00027624">
        <w:t> Pension during their retirement. Middle</w:t>
      </w:r>
      <w:r w:rsidR="00A8443E" w:rsidRPr="00027624">
        <w:noBreakHyphen/>
      </w:r>
      <w:r w:rsidRPr="00027624">
        <w:t>income earners (40</w:t>
      </w:r>
      <w:r w:rsidRPr="00027624">
        <w:rPr>
          <w:vertAlign w:val="superscript"/>
        </w:rPr>
        <w:t>th</w:t>
      </w:r>
      <w:r w:rsidR="00A8443E" w:rsidRPr="00027624">
        <w:noBreakHyphen/>
      </w:r>
      <w:r w:rsidRPr="00027624">
        <w:t>70</w:t>
      </w:r>
      <w:r w:rsidRPr="00027624">
        <w:rPr>
          <w:vertAlign w:val="superscript"/>
        </w:rPr>
        <w:t>th</w:t>
      </w:r>
      <w:r w:rsidRPr="00027624">
        <w:t xml:space="preserve"> income percentiles) are projected to receive at least half of the maximum rate for most of their retirement (</w:t>
      </w:r>
      <w:r w:rsidRPr="00027624">
        <w:fldChar w:fldCharType="begin"/>
      </w:r>
      <w:r w:rsidRPr="00027624">
        <w:instrText xml:space="preserve"> REF _Ref39140545 \r \h  \* MERGEFORMAT </w:instrText>
      </w:r>
      <w:r w:rsidRPr="00027624">
        <w:fldChar w:fldCharType="separate"/>
      </w:r>
      <w:r w:rsidR="00891058">
        <w:t>Chart 6A-29</w:t>
      </w:r>
      <w:r w:rsidRPr="00027624">
        <w:fldChar w:fldCharType="end"/>
      </w:r>
      <w:r w:rsidRPr="00027624">
        <w:t>). These outcomes are due to the income, savings and drawdown assumptions incorporated in the review</w:t>
      </w:r>
      <w:r w:rsidR="00A8443E" w:rsidRPr="00027624">
        <w:t>’</w:t>
      </w:r>
      <w:r w:rsidRPr="00027624">
        <w:t>s modelling.</w:t>
      </w:r>
    </w:p>
    <w:p w14:paraId="4BE74AE3" w14:textId="77777777" w:rsidR="00E96B29" w:rsidRPr="00027624" w:rsidRDefault="00E96B29" w:rsidP="00E96B29">
      <w:pPr>
        <w:pStyle w:val="ChartMainHeading"/>
      </w:pPr>
      <w:bookmarkStart w:id="4282" w:name="_Ref39140545"/>
      <w:r w:rsidRPr="00027624">
        <w:t xml:space="preserve">Projected proportion of maximum rate of Age Pension, by </w:t>
      </w:r>
      <w:bookmarkEnd w:id="4282"/>
      <w:r w:rsidRPr="00027624">
        <w:t>age and income</w:t>
      </w:r>
    </w:p>
    <w:p w14:paraId="0330B2BF" w14:textId="77777777" w:rsidR="00E96B29" w:rsidRPr="00027624" w:rsidRDefault="0054761F" w:rsidP="00E96B29">
      <w:pPr>
        <w:pStyle w:val="ChartGraphic"/>
        <w:spacing w:before="120" w:after="240"/>
        <w:rPr>
          <w:color w:val="auto"/>
          <w:sz w:val="18"/>
          <w:szCs w:val="18"/>
        </w:rPr>
      </w:pPr>
      <w:r>
        <w:rPr>
          <w:noProof/>
          <w:color w:val="auto"/>
          <w:sz w:val="18"/>
          <w:szCs w:val="18"/>
        </w:rPr>
        <w:drawing>
          <wp:inline distT="0" distB="0" distL="0" distR="0" wp14:anchorId="348D38E2" wp14:editId="28CC02FB">
            <wp:extent cx="5593080" cy="2522220"/>
            <wp:effectExtent l="0" t="0" r="7620" b="0"/>
            <wp:docPr id="141855616" name="Picture 141855616" descr="This chart shows what proportion of the maximum rate pension the cameo model receives as they get older. A person in 20th percentile for working life income receives a maximum rate Age Pension from age 72. The age people start receiving a maximum rate pension increasing as working life income increases. All income percentiles up to and including the 80th receive a maximum rate Age Pension at some point during their retirement. " title="Chart 6A-29 Projected proportion of maximum rate of Age Pension, by age and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pic:spPr>
                </pic:pic>
              </a:graphicData>
            </a:graphic>
          </wp:inline>
        </w:drawing>
      </w:r>
    </w:p>
    <w:p w14:paraId="7E45F96A" w14:textId="77777777" w:rsidR="00E96B29" w:rsidRPr="00027624" w:rsidRDefault="00E96B29" w:rsidP="00DE6C9E">
      <w:pPr>
        <w:pStyle w:val="ChartorTableNote"/>
      </w:pPr>
      <w:r w:rsidRPr="00027624">
        <w:t>Note: 10</w:t>
      </w:r>
      <w:r w:rsidRPr="00027624">
        <w:rPr>
          <w:vertAlign w:val="superscript"/>
        </w:rPr>
        <w:t>th</w:t>
      </w:r>
      <w:r w:rsidRPr="00027624">
        <w:t xml:space="preserve"> percentile receives 100 per cent of the maximum rate of </w:t>
      </w:r>
      <w:r w:rsidRPr="00027624" w:rsidDel="0068007C">
        <w:t>Age</w:t>
      </w:r>
      <w:r w:rsidRPr="00027624">
        <w:t xml:space="preserve"> Pension over their entire retirement, regardless of drawdown strategy. Income percentiles 95 and 99 do not receive any </w:t>
      </w:r>
      <w:r w:rsidRPr="00027624" w:rsidDel="0068007C">
        <w:t>Age</w:t>
      </w:r>
      <w:r w:rsidRPr="00027624">
        <w:t> Pension due to high amount of non</w:t>
      </w:r>
      <w:r w:rsidR="00A8443E" w:rsidRPr="00027624">
        <w:noBreakHyphen/>
      </w:r>
      <w:r w:rsidRPr="00027624">
        <w:t>superannuation assets. Source: Cameo modelling undertaken for the review.</w:t>
      </w:r>
    </w:p>
    <w:p w14:paraId="5D7E41E8" w14:textId="77777777" w:rsidR="00E96B29" w:rsidRPr="00027624" w:rsidRDefault="00E96B29" w:rsidP="00E96B29">
      <w:pPr>
        <w:pStyle w:val="Heading5"/>
      </w:pPr>
      <w:r w:rsidRPr="00027624">
        <w:t>Population receiving some Age Pension</w:t>
      </w:r>
      <w:r w:rsidR="00A8443E" w:rsidRPr="00027624">
        <w:t xml:space="preserve"> — </w:t>
      </w:r>
      <w:r w:rsidRPr="00027624">
        <w:t>current and future retirees</w:t>
      </w:r>
    </w:p>
    <w:p w14:paraId="4FB34F80" w14:textId="6CD9FE9B" w:rsidR="00E96B29" w:rsidRPr="00027624" w:rsidRDefault="00E96B29" w:rsidP="00E96B29">
      <w:r w:rsidRPr="00027624">
        <w:t>Analysis was undertaken to compare the proportion of current and future retirees</w:t>
      </w:r>
      <w:r w:rsidR="00A8443E" w:rsidRPr="00027624">
        <w:t>’</w:t>
      </w:r>
      <w:r w:rsidRPr="00027624">
        <w:t xml:space="preserve"> </w:t>
      </w:r>
      <w:r w:rsidRPr="00027624" w:rsidDel="0068007C">
        <w:t>Age</w:t>
      </w:r>
      <w:r w:rsidRPr="00027624">
        <w:t> Pension receipt by age (</w:t>
      </w:r>
      <w:r w:rsidRPr="00027624">
        <w:fldChar w:fldCharType="begin"/>
      </w:r>
      <w:r w:rsidRPr="00027624">
        <w:instrText xml:space="preserve"> REF _Ref42099638 \r \h  \* MERGEFORMAT </w:instrText>
      </w:r>
      <w:r w:rsidRPr="00027624">
        <w:fldChar w:fldCharType="separate"/>
      </w:r>
      <w:r w:rsidR="00891058">
        <w:t>Chart 6A-30</w:t>
      </w:r>
      <w:r w:rsidRPr="00027624">
        <w:fldChar w:fldCharType="end"/>
      </w:r>
      <w:r w:rsidRPr="00027624">
        <w:t>):</w:t>
      </w:r>
    </w:p>
    <w:p w14:paraId="2CFDC2C2" w14:textId="77777777" w:rsidR="00E96B29" w:rsidRPr="00027624" w:rsidRDefault="00E96B29" w:rsidP="00DB3D91">
      <w:pPr>
        <w:pStyle w:val="Bullet"/>
        <w:numPr>
          <w:ilvl w:val="0"/>
          <w:numId w:val="59"/>
        </w:numPr>
        <w:spacing w:after="160" w:line="259" w:lineRule="auto"/>
        <w:ind w:left="284" w:hanging="284"/>
      </w:pPr>
      <w:r w:rsidRPr="00027624">
        <w:t xml:space="preserve">Most income levels in review cameo modelling receive some </w:t>
      </w:r>
      <w:r w:rsidRPr="00027624" w:rsidDel="0068007C">
        <w:t>Age</w:t>
      </w:r>
      <w:r w:rsidRPr="00027624">
        <w:t> Pension by age 85 under the review assumptions. In particular, percentiles up to the 90</w:t>
      </w:r>
      <w:r w:rsidRPr="00027624">
        <w:rPr>
          <w:vertAlign w:val="superscript"/>
        </w:rPr>
        <w:t>th</w:t>
      </w:r>
      <w:r w:rsidRPr="00027624">
        <w:t xml:space="preserve"> percentile for singles and 80</w:t>
      </w:r>
      <w:r w:rsidRPr="00027624">
        <w:rPr>
          <w:vertAlign w:val="superscript"/>
        </w:rPr>
        <w:t>th</w:t>
      </w:r>
      <w:r w:rsidRPr="00027624">
        <w:t xml:space="preserve"> percentile for couples.</w:t>
      </w:r>
    </w:p>
    <w:p w14:paraId="1E255D7A" w14:textId="77777777" w:rsidR="00E96B29" w:rsidRPr="00027624" w:rsidRDefault="00E96B29" w:rsidP="00DB3D91">
      <w:pPr>
        <w:pStyle w:val="Bullet"/>
        <w:numPr>
          <w:ilvl w:val="0"/>
          <w:numId w:val="59"/>
        </w:numPr>
        <w:spacing w:after="160" w:line="259" w:lineRule="auto"/>
        <w:ind w:left="284" w:hanging="284"/>
      </w:pPr>
      <w:r w:rsidRPr="00027624">
        <w:t xml:space="preserve">Data from the ABS </w:t>
      </w:r>
      <w:r w:rsidR="00BE51D1" w:rsidRPr="00027624">
        <w:t>Survey of Income and Housing</w:t>
      </w:r>
      <w:r w:rsidRPr="00027624">
        <w:t xml:space="preserve"> 2017</w:t>
      </w:r>
      <w:r w:rsidR="00A8443E" w:rsidRPr="00027624">
        <w:noBreakHyphen/>
      </w:r>
      <w:r w:rsidRPr="00027624">
        <w:t xml:space="preserve">18 shows about 85 per cent of singles and 70 per cent of couples today receive some </w:t>
      </w:r>
      <w:r w:rsidRPr="00027624" w:rsidDel="0068007C">
        <w:t>Age</w:t>
      </w:r>
      <w:r w:rsidRPr="00027624">
        <w:t> Pension at age</w:t>
      </w:r>
      <w:r w:rsidR="005A53FD" w:rsidRPr="00027624">
        <w:t xml:space="preserve"> </w:t>
      </w:r>
      <w:r w:rsidRPr="00027624">
        <w:t>85.</w:t>
      </w:r>
    </w:p>
    <w:p w14:paraId="1A7FD25C" w14:textId="77777777" w:rsidR="00E96B29" w:rsidRPr="00027624" w:rsidRDefault="00E96B29" w:rsidP="00E96B29">
      <w:r w:rsidRPr="00027624">
        <w:t xml:space="preserve">Differences between review results and data on current retirees are due to the maturing of superannuation, which is expected to result in fewer people receiving the </w:t>
      </w:r>
      <w:r w:rsidRPr="00027624" w:rsidDel="0068007C">
        <w:t>Age</w:t>
      </w:r>
      <w:r w:rsidRPr="00027624">
        <w:t> Pension early on in their retirement. However, the review</w:t>
      </w:r>
      <w:r w:rsidR="00A8443E" w:rsidRPr="00027624">
        <w:t>’</w:t>
      </w:r>
      <w:r w:rsidRPr="00027624">
        <w:t xml:space="preserve">s drawdown assumptions mean the proportion of people expected to receive the </w:t>
      </w:r>
      <w:r w:rsidRPr="00027624" w:rsidDel="0068007C">
        <w:t>Age</w:t>
      </w:r>
      <w:r w:rsidRPr="00027624">
        <w:t> Pension in review modelling was 5</w:t>
      </w:r>
      <w:r w:rsidR="00A8443E" w:rsidRPr="00027624">
        <w:noBreakHyphen/>
      </w:r>
      <w:r w:rsidRPr="00027624">
        <w:t>10 percentage points higher than the ABS numbers over age 85.</w:t>
      </w:r>
    </w:p>
    <w:p w14:paraId="34B5E060" w14:textId="77777777" w:rsidR="00E96B29" w:rsidRPr="00027624" w:rsidRDefault="00E96B29" w:rsidP="00E96B29">
      <w:pPr>
        <w:pStyle w:val="ChartMainHeading"/>
        <w:keepLines/>
      </w:pPr>
      <w:bookmarkStart w:id="4283" w:name="_Ref42099638"/>
      <w:r w:rsidRPr="00027624">
        <w:t>Proportion of retirees receiving some Age Pension by age group</w:t>
      </w:r>
      <w:bookmarkEnd w:id="4283"/>
    </w:p>
    <w:tbl>
      <w:tblPr>
        <w:tblStyle w:val="TableGrid"/>
        <w:tblW w:w="0" w:type="auto"/>
        <w:tblLook w:val="04A0" w:firstRow="1" w:lastRow="0" w:firstColumn="1" w:lastColumn="0" w:noHBand="0" w:noVBand="1"/>
      </w:tblPr>
      <w:tblGrid>
        <w:gridCol w:w="4517"/>
        <w:gridCol w:w="4553"/>
      </w:tblGrid>
      <w:tr w:rsidR="00E96B29" w:rsidRPr="00027624" w14:paraId="7A0A5308" w14:textId="77777777" w:rsidTr="00E96B29">
        <w:tc>
          <w:tcPr>
            <w:tcW w:w="4508" w:type="dxa"/>
            <w:shd w:val="clear" w:color="auto" w:fill="auto"/>
          </w:tcPr>
          <w:p w14:paraId="406D8B42" w14:textId="77777777" w:rsidR="00E96B29" w:rsidRPr="00027624" w:rsidRDefault="00E96B29" w:rsidP="00E96B29">
            <w:pPr>
              <w:pStyle w:val="ChartSecondHeading"/>
              <w:rPr>
                <w:b w:val="0"/>
                <w:sz w:val="22"/>
                <w:szCs w:val="22"/>
              </w:rPr>
            </w:pPr>
            <w:r w:rsidRPr="00027624">
              <w:rPr>
                <w:sz w:val="22"/>
                <w:szCs w:val="22"/>
              </w:rPr>
              <w:t>Single</w:t>
            </w:r>
          </w:p>
        </w:tc>
        <w:tc>
          <w:tcPr>
            <w:tcW w:w="4508" w:type="dxa"/>
            <w:shd w:val="clear" w:color="auto" w:fill="auto"/>
          </w:tcPr>
          <w:p w14:paraId="45842849" w14:textId="77777777" w:rsidR="00E96B29" w:rsidRPr="00027624" w:rsidRDefault="00E96B29" w:rsidP="00E96B29">
            <w:pPr>
              <w:pStyle w:val="ChartSecondHeading"/>
              <w:rPr>
                <w:b w:val="0"/>
                <w:sz w:val="22"/>
                <w:szCs w:val="22"/>
              </w:rPr>
            </w:pPr>
            <w:r w:rsidRPr="00027624">
              <w:rPr>
                <w:sz w:val="22"/>
                <w:szCs w:val="22"/>
              </w:rPr>
              <w:t>Couple</w:t>
            </w:r>
          </w:p>
        </w:tc>
      </w:tr>
      <w:tr w:rsidR="00E96B29" w:rsidRPr="00027624" w14:paraId="183E692C" w14:textId="77777777" w:rsidTr="00E96B29">
        <w:tc>
          <w:tcPr>
            <w:tcW w:w="4508" w:type="dxa"/>
            <w:shd w:val="clear" w:color="auto" w:fill="auto"/>
          </w:tcPr>
          <w:p w14:paraId="792043ED" w14:textId="77777777" w:rsidR="00E96B29" w:rsidRPr="00027624" w:rsidRDefault="00E142E7" w:rsidP="00DE6C9E">
            <w:pPr>
              <w:pStyle w:val="ChartGraphic"/>
            </w:pPr>
            <w:r>
              <w:rPr>
                <w:noProof/>
              </w:rPr>
              <w:drawing>
                <wp:inline distT="0" distB="0" distL="0" distR="0" wp14:anchorId="359B1899" wp14:editId="1A0B6F04">
                  <wp:extent cx="2804160" cy="2880360"/>
                  <wp:effectExtent l="0" t="0" r="0" b="0"/>
                  <wp:docPr id="141855628" name="Picture 141855628" descr="These charts compare the observed rate of people receiving the Age Pension currently and that projected by the model in the future. The modelled projects a lower proportion of people will receive the Age Pension except for ages 85 onwards. The left chart is for singles and the right chart is for couples, with results similar for both household types." title="Chart 6A-30 Proportion of retirees receiving some Age Pension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804160" cy="2880360"/>
                          </a:xfrm>
                          <a:prstGeom prst="rect">
                            <a:avLst/>
                          </a:prstGeom>
                          <a:noFill/>
                        </pic:spPr>
                      </pic:pic>
                    </a:graphicData>
                  </a:graphic>
                </wp:inline>
              </w:drawing>
            </w:r>
          </w:p>
        </w:tc>
        <w:tc>
          <w:tcPr>
            <w:tcW w:w="4508" w:type="dxa"/>
            <w:shd w:val="clear" w:color="auto" w:fill="auto"/>
          </w:tcPr>
          <w:p w14:paraId="65DADC32" w14:textId="77777777" w:rsidR="00E96B29" w:rsidRPr="00027624" w:rsidRDefault="003A7CE4" w:rsidP="00DE6C9E">
            <w:pPr>
              <w:pStyle w:val="ChartGraphic"/>
            </w:pPr>
            <w:r>
              <w:rPr>
                <w:noProof/>
              </w:rPr>
              <w:drawing>
                <wp:inline distT="0" distB="0" distL="0" distR="0" wp14:anchorId="43AEA03B" wp14:editId="1D45BE9E">
                  <wp:extent cx="2827020" cy="2887980"/>
                  <wp:effectExtent l="0" t="0" r="0" b="7620"/>
                  <wp:docPr id="141855629" name="Picture 14185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827020" cy="2887980"/>
                          </a:xfrm>
                          <a:prstGeom prst="rect">
                            <a:avLst/>
                          </a:prstGeom>
                          <a:noFill/>
                        </pic:spPr>
                      </pic:pic>
                    </a:graphicData>
                  </a:graphic>
                </wp:inline>
              </w:drawing>
            </w:r>
          </w:p>
        </w:tc>
      </w:tr>
    </w:tbl>
    <w:p w14:paraId="2D556BE4" w14:textId="0FA4F368" w:rsidR="00E96B29" w:rsidRPr="00027624" w:rsidRDefault="00E96B29" w:rsidP="00E96B29">
      <w:pPr>
        <w:pStyle w:val="ChartorTableNote"/>
      </w:pPr>
      <w:r w:rsidRPr="00027624">
        <w:t xml:space="preserve">Note: ABS data estimates the proportion of retirees receiving some </w:t>
      </w:r>
      <w:r w:rsidRPr="00027624" w:rsidDel="0068007C">
        <w:t>Age</w:t>
      </w:r>
      <w:r w:rsidRPr="00027624">
        <w:t xml:space="preserve"> Pension by age group today. Modelled proportions for </w:t>
      </w:r>
      <w:r w:rsidR="00A8443E" w:rsidRPr="00027624">
        <w:t>‘</w:t>
      </w:r>
      <w:r w:rsidRPr="00027624">
        <w:t>single</w:t>
      </w:r>
      <w:r w:rsidR="00A8443E" w:rsidRPr="00027624">
        <w:t>’</w:t>
      </w:r>
      <w:r w:rsidRPr="00027624">
        <w:t xml:space="preserve"> category based on individuals (all</w:t>
      </w:r>
      <w:r w:rsidR="00A8443E" w:rsidRPr="00027624">
        <w:noBreakHyphen/>
      </w:r>
      <w:r w:rsidRPr="00027624">
        <w:t xml:space="preserve">employees model). Modelled proportions project the proportion of individuals within the model expected to receive some </w:t>
      </w:r>
      <w:r w:rsidRPr="00027624" w:rsidDel="0068007C">
        <w:t>Age</w:t>
      </w:r>
      <w:r w:rsidRPr="00027624">
        <w:t xml:space="preserve"> Pension by age and income percentile, based on drawdown strategy. For modelled proportions, reference age is taken from the end of each ABS age group (i.e. at ages 70, 75, 80, 85 and 92) for people retiring in 2060. Modelled data is not a population estimate as it only captures employees. </w:t>
      </w:r>
      <w:r w:rsidRPr="00027624">
        <w:rPr>
          <w:szCs w:val="18"/>
        </w:rPr>
        <w:t xml:space="preserve">For further information see </w:t>
      </w:r>
      <w:r w:rsidRPr="00027624">
        <w:rPr>
          <w:i/>
          <w:szCs w:val="18"/>
        </w:rPr>
        <w:fldChar w:fldCharType="begin"/>
      </w:r>
      <w:r w:rsidRPr="00027624">
        <w:rPr>
          <w:i/>
          <w:szCs w:val="18"/>
        </w:rPr>
        <w:instrText xml:space="preserve"> REF _Ref44680183 \h  \* MERGEFORMAT </w:instrText>
      </w:r>
      <w:r w:rsidRPr="00027624">
        <w:rPr>
          <w:i/>
          <w:szCs w:val="18"/>
        </w:rPr>
      </w:r>
      <w:r w:rsidRPr="00027624">
        <w:rPr>
          <w:i/>
          <w:szCs w:val="18"/>
        </w:rPr>
        <w:fldChar w:fldCharType="separate"/>
      </w:r>
      <w:r w:rsidR="00891058" w:rsidRPr="00891058">
        <w:rPr>
          <w:i/>
          <w:szCs w:val="18"/>
        </w:rPr>
        <w:t>Different versions of the cameo model</w:t>
      </w:r>
      <w:r w:rsidRPr="00027624">
        <w:rPr>
          <w:i/>
          <w:szCs w:val="18"/>
        </w:rPr>
        <w:fldChar w:fldCharType="end"/>
      </w:r>
      <w:r w:rsidRPr="00027624">
        <w:rPr>
          <w:i/>
        </w:rPr>
        <w:t>.</w:t>
      </w:r>
      <w:r w:rsidRPr="00027624">
        <w:t xml:space="preserve"> Observed drawdowns use observed average drawdown rates by superannuation balance percentile, 2010</w:t>
      </w:r>
      <w:r w:rsidR="00A8443E" w:rsidRPr="00027624">
        <w:noBreakHyphen/>
      </w:r>
      <w:r w:rsidRPr="00027624">
        <w:t xml:space="preserve">2014.Source: </w:t>
      </w:r>
      <w:r w:rsidRPr="00027624">
        <w:rPr>
          <w:szCs w:val="18"/>
        </w:rPr>
        <w:t>Cameo modelling undertaken for the review, analysis of</w:t>
      </w:r>
      <w:sdt>
        <w:sdtPr>
          <w:rPr>
            <w:szCs w:val="18"/>
          </w:rPr>
          <w:id w:val="-1775012741"/>
          <w:citation/>
        </w:sdtPr>
        <w:sdtEndPr/>
        <w:sdtContent>
          <w:r w:rsidR="00AD3B83">
            <w:rPr>
              <w:szCs w:val="18"/>
            </w:rPr>
            <w:fldChar w:fldCharType="begin"/>
          </w:r>
          <w:r w:rsidR="00AD3B83">
            <w:instrText xml:space="preserve"> CITATION ABS196 \l 3081 </w:instrText>
          </w:r>
          <w:r w:rsidR="00AD3B83">
            <w:rPr>
              <w:szCs w:val="18"/>
            </w:rPr>
            <w:fldChar w:fldCharType="separate"/>
          </w:r>
          <w:r w:rsidR="00E83F6E">
            <w:rPr>
              <w:noProof/>
            </w:rPr>
            <w:t xml:space="preserve"> (ABS, 2019s)</w:t>
          </w:r>
          <w:r w:rsidR="00AD3B83">
            <w:rPr>
              <w:szCs w:val="18"/>
            </w:rPr>
            <w:fldChar w:fldCharType="end"/>
          </w:r>
        </w:sdtContent>
      </w:sdt>
      <w:r w:rsidRPr="00027624">
        <w:t>.</w:t>
      </w:r>
    </w:p>
    <w:p w14:paraId="4118D86E" w14:textId="77777777" w:rsidR="00E96B29" w:rsidRPr="00027624" w:rsidRDefault="00E96B29" w:rsidP="00E96B29">
      <w:pPr>
        <w:pStyle w:val="Heading3"/>
      </w:pPr>
      <w:bookmarkStart w:id="4284" w:name="_Ref42619046"/>
      <w:r w:rsidRPr="00027624">
        <w:t>Economic parameters</w:t>
      </w:r>
      <w:bookmarkEnd w:id="4284"/>
    </w:p>
    <w:bookmarkEnd w:id="4201"/>
    <w:bookmarkEnd w:id="4202"/>
    <w:bookmarkEnd w:id="4203"/>
    <w:bookmarkEnd w:id="4204"/>
    <w:bookmarkEnd w:id="4205"/>
    <w:bookmarkEnd w:id="4206"/>
    <w:bookmarkEnd w:id="4207"/>
    <w:p w14:paraId="7133BC30" w14:textId="77777777" w:rsidR="00E96B29" w:rsidRPr="00027624" w:rsidRDefault="00E96B29" w:rsidP="00E96B29">
      <w:r w:rsidRPr="00027624">
        <w:t>Economic parameters, including wage, GDP and CPI growth, are based on the forecasts published and projections prepared for the 2019</w:t>
      </w:r>
      <w:r w:rsidR="00A8443E" w:rsidRPr="00027624">
        <w:noBreakHyphen/>
      </w:r>
      <w:r w:rsidRPr="00027624">
        <w:t>20 Mid</w:t>
      </w:r>
      <w:r w:rsidR="00A8443E" w:rsidRPr="00027624">
        <w:noBreakHyphen/>
      </w:r>
      <w:r w:rsidRPr="00027624">
        <w:t>Year Economic and Fiscal Outlook.</w:t>
      </w:r>
    </w:p>
    <w:p w14:paraId="68C78189" w14:textId="77777777" w:rsidR="00E96B29" w:rsidRPr="00027624" w:rsidRDefault="00E96B29" w:rsidP="00E96B29">
      <w:r w:rsidRPr="00027624">
        <w:t>This includes long</w:t>
      </w:r>
      <w:r w:rsidR="00A8443E" w:rsidRPr="00027624">
        <w:noBreakHyphen/>
      </w:r>
      <w:r w:rsidRPr="00027624">
        <w:t>run growth rates for CPI of 2.5 per cent, nominal GDP of 5.25 per cent, and nominal wage growth of around 4 per cent</w:t>
      </w:r>
      <w:sdt>
        <w:sdtPr>
          <w:id w:val="-621694110"/>
          <w:citation/>
        </w:sdtPr>
        <w:sdtEndPr/>
        <w:sdtContent>
          <w:r w:rsidRPr="00027624">
            <w:fldChar w:fldCharType="begin"/>
          </w:r>
          <w:r w:rsidRPr="00027624">
            <w:instrText xml:space="preserve"> CITATION The15 \l 3081 </w:instrText>
          </w:r>
          <w:r w:rsidRPr="00027624">
            <w:fldChar w:fldCharType="separate"/>
          </w:r>
          <w:r w:rsidR="00E83F6E">
            <w:rPr>
              <w:noProof/>
            </w:rPr>
            <w:t xml:space="preserve"> (Commonwealth of Australia, 2015)</w:t>
          </w:r>
          <w:r w:rsidRPr="00027624">
            <w:fldChar w:fldCharType="end"/>
          </w:r>
        </w:sdtContent>
      </w:sdt>
      <w:r w:rsidRPr="00027624">
        <w:t>.</w:t>
      </w:r>
    </w:p>
    <w:p w14:paraId="48C1479A" w14:textId="77777777" w:rsidR="00E96B29" w:rsidRPr="00027624" w:rsidRDefault="00E96B29" w:rsidP="00E96B29">
      <w:r w:rsidRPr="00027624">
        <w:t xml:space="preserve">CPI growth of 2.5 per cent represents the middle of the RBA band for targeting inflation. In the long term, real wage growth is driven by productivity </w:t>
      </w:r>
      <w:sdt>
        <w:sdtPr>
          <w:id w:val="1008102153"/>
          <w:citation/>
        </w:sdtPr>
        <w:sdtEndPr/>
        <w:sdtContent>
          <w:r w:rsidRPr="00027624">
            <w:fldChar w:fldCharType="begin"/>
          </w:r>
          <w:r w:rsidRPr="00027624">
            <w:instrText xml:space="preserve">CITATION The17 \p 16 \l 3081 </w:instrText>
          </w:r>
          <w:r w:rsidRPr="00027624">
            <w:fldChar w:fldCharType="separate"/>
          </w:r>
          <w:r w:rsidR="00E83F6E">
            <w:rPr>
              <w:noProof/>
            </w:rPr>
            <w:t>(The Treasury, 2017a, p. 16)</w:t>
          </w:r>
          <w:r w:rsidRPr="00027624">
            <w:fldChar w:fldCharType="end"/>
          </w:r>
        </w:sdtContent>
      </w:sdt>
      <w:r w:rsidRPr="00027624">
        <w:t>. The 45</w:t>
      </w:r>
      <w:r w:rsidR="00A8443E" w:rsidRPr="00027624">
        <w:noBreakHyphen/>
      </w:r>
      <w:r w:rsidRPr="00027624">
        <w:t xml:space="preserve">year average of productivity growth is 1.5 per cent </w:t>
      </w:r>
      <w:sdt>
        <w:sdtPr>
          <w:id w:val="844288811"/>
          <w:citation/>
        </w:sdtPr>
        <w:sdtEndPr/>
        <w:sdtContent>
          <w:r w:rsidRPr="00027624">
            <w:fldChar w:fldCharType="begin"/>
          </w:r>
          <w:r w:rsidRPr="00027624">
            <w:instrText xml:space="preserve">CITATION Pro20 \p 3 \l 3081 </w:instrText>
          </w:r>
          <w:r w:rsidRPr="00027624">
            <w:fldChar w:fldCharType="separate"/>
          </w:r>
          <w:r w:rsidR="00E83F6E">
            <w:rPr>
              <w:noProof/>
            </w:rPr>
            <w:t>(Productivity Commission, 2020a, p. 3)</w:t>
          </w:r>
          <w:r w:rsidRPr="00027624">
            <w:fldChar w:fldCharType="end"/>
          </w:r>
        </w:sdtContent>
      </w:sdt>
      <w:r w:rsidRPr="00027624">
        <w:t xml:space="preserve">. Over the past 20 years, annual nominal wage growth in average weekly earnings averaged 3.6 per cent </w:t>
      </w:r>
      <w:sdt>
        <w:sdtPr>
          <w:id w:val="-1528256343"/>
          <w:citation/>
        </w:sdtPr>
        <w:sdtEndPr/>
        <w:sdtContent>
          <w:r w:rsidRPr="00027624">
            <w:fldChar w:fldCharType="begin"/>
          </w:r>
          <w:r w:rsidRPr="00027624">
            <w:instrText xml:space="preserve"> CITATION ABS20d \l 3081 </w:instrText>
          </w:r>
          <w:r w:rsidRPr="00027624">
            <w:fldChar w:fldCharType="separate"/>
          </w:r>
          <w:r w:rsidR="00E83F6E">
            <w:rPr>
              <w:noProof/>
            </w:rPr>
            <w:t>(ABS, 2020d)</w:t>
          </w:r>
          <w:r w:rsidRPr="00027624">
            <w:fldChar w:fldCharType="end"/>
          </w:r>
        </w:sdtContent>
      </w:sdt>
      <w:r w:rsidRPr="00027624">
        <w:t>.</w:t>
      </w:r>
    </w:p>
    <w:p w14:paraId="39E4A8D3" w14:textId="77777777" w:rsidR="00E96B29" w:rsidRPr="00027624" w:rsidRDefault="00E96B29" w:rsidP="00E96B29">
      <w:pPr>
        <w:pStyle w:val="Heading3"/>
      </w:pPr>
      <w:bookmarkStart w:id="4285" w:name="_Ref42617074"/>
      <w:r w:rsidRPr="00027624">
        <w:t>Modelling gender</w:t>
      </w:r>
      <w:bookmarkEnd w:id="4285"/>
    </w:p>
    <w:p w14:paraId="142D843E" w14:textId="77777777" w:rsidR="00E96B29" w:rsidRPr="00027624" w:rsidRDefault="00E96B29" w:rsidP="00E96B29">
      <w:r w:rsidRPr="00027624">
        <w:t>This section outlines the two cameo models used by the review to project outcomes by gender:</w:t>
      </w:r>
    </w:p>
    <w:p w14:paraId="3136ECFB" w14:textId="77777777" w:rsidR="00E96B29" w:rsidRPr="00027624" w:rsidRDefault="00E96B29" w:rsidP="00E96B29">
      <w:pPr>
        <w:pStyle w:val="Bullet"/>
      </w:pPr>
      <w:r w:rsidRPr="00027624">
        <w:t>a standard gender cameo model, used to analyse outcomes across the gender distribution</w:t>
      </w:r>
    </w:p>
    <w:p w14:paraId="232E2457" w14:textId="77777777" w:rsidR="00E96B29" w:rsidRPr="00027624" w:rsidRDefault="00E96B29" w:rsidP="00E96B29">
      <w:pPr>
        <w:pStyle w:val="Bullet"/>
      </w:pPr>
      <w:r w:rsidRPr="00027624">
        <w:t>an adjusted gender cameo model, used to analyse the effects of full</w:t>
      </w:r>
      <w:r w:rsidR="00A8443E" w:rsidRPr="00027624">
        <w:noBreakHyphen/>
      </w:r>
      <w:r w:rsidRPr="00027624">
        <w:t>time and part</w:t>
      </w:r>
      <w:r w:rsidR="00A8443E" w:rsidRPr="00027624">
        <w:noBreakHyphen/>
      </w:r>
      <w:r w:rsidRPr="00027624">
        <w:t>time work, and career breaks</w:t>
      </w:r>
    </w:p>
    <w:p w14:paraId="3C34D833" w14:textId="77777777" w:rsidR="00E96B29" w:rsidRPr="00027624" w:rsidRDefault="00E96B29" w:rsidP="00E96B29">
      <w:pPr>
        <w:pStyle w:val="Heading4"/>
      </w:pPr>
      <w:r w:rsidRPr="00027624">
        <w:t>Standard gender cameo model</w:t>
      </w:r>
    </w:p>
    <w:p w14:paraId="5256F804" w14:textId="5D486E43" w:rsidR="00E96B29" w:rsidRPr="00027624" w:rsidRDefault="00E96B29" w:rsidP="00E96B29">
      <w:r w:rsidRPr="00027624">
        <w:t>A gender</w:t>
      </w:r>
      <w:r w:rsidR="00A8443E" w:rsidRPr="00027624">
        <w:noBreakHyphen/>
      </w:r>
      <w:r w:rsidRPr="00027624">
        <w:t>specific cameo model was developed to examine differences in projected retirement outcomes for women and men. This model used the same underlying assumptions as the whole</w:t>
      </w:r>
      <w:r w:rsidR="00A8443E" w:rsidRPr="00027624">
        <w:noBreakHyphen/>
      </w:r>
      <w:r w:rsidRPr="00027624">
        <w:t>of</w:t>
      </w:r>
      <w:r w:rsidR="00A8443E" w:rsidRPr="00027624">
        <w:noBreakHyphen/>
      </w:r>
      <w:r w:rsidRPr="00027624">
        <w:t xml:space="preserve">population model used by the review, with the exception of the characteristics set out in </w:t>
      </w:r>
      <w:r w:rsidRPr="00027624">
        <w:fldChar w:fldCharType="begin"/>
      </w:r>
      <w:r w:rsidRPr="00027624">
        <w:instrText xml:space="preserve"> REF _Ref44479862 \r \h  \* MERGEFORMAT </w:instrText>
      </w:r>
      <w:r w:rsidRPr="00027624">
        <w:fldChar w:fldCharType="separate"/>
      </w:r>
      <w:r w:rsidR="00891058">
        <w:t>Table 6A-15</w:t>
      </w:r>
      <w:r w:rsidRPr="00027624">
        <w:fldChar w:fldCharType="end"/>
      </w:r>
      <w:bookmarkStart w:id="4286" w:name="_Ref43186713"/>
      <w:bookmarkStart w:id="4287" w:name="_Ref43186783"/>
      <w:r w:rsidRPr="00027624">
        <w:t>.</w:t>
      </w:r>
    </w:p>
    <w:p w14:paraId="6D7582F9" w14:textId="77777777" w:rsidR="00E96B29" w:rsidRPr="00027624" w:rsidRDefault="00E96B29" w:rsidP="00E96B29">
      <w:pPr>
        <w:pStyle w:val="TableMainHeading"/>
      </w:pPr>
      <w:bookmarkStart w:id="4288" w:name="_Ref44479862"/>
      <w:r w:rsidRPr="00027624">
        <w:t>Gender model assumption differences to central case assumptions</w:t>
      </w:r>
      <w:bookmarkEnd w:id="4286"/>
      <w:bookmarkEnd w:id="4287"/>
      <w:r w:rsidRPr="00027624">
        <w:t xml:space="preserve"> </w:t>
      </w:r>
      <w:bookmarkEnd w:id="4288"/>
    </w:p>
    <w:tbl>
      <w:tblPr>
        <w:tblW w:w="5000" w:type="pct"/>
        <w:tblLook w:val="01E0" w:firstRow="1" w:lastRow="1" w:firstColumn="1" w:lastColumn="1" w:noHBand="0" w:noVBand="0"/>
      </w:tblPr>
      <w:tblGrid>
        <w:gridCol w:w="2267"/>
        <w:gridCol w:w="2267"/>
        <w:gridCol w:w="2268"/>
        <w:gridCol w:w="2268"/>
      </w:tblGrid>
      <w:tr w:rsidR="00E96B29" w:rsidRPr="00027624" w14:paraId="5C684B06" w14:textId="77777777" w:rsidTr="00E96B29">
        <w:trPr>
          <w:trHeight w:val="270"/>
          <w:tblHeader/>
        </w:trPr>
        <w:tc>
          <w:tcPr>
            <w:tcW w:w="1250" w:type="pct"/>
            <w:shd w:val="clear" w:color="auto" w:fill="E5E5E5"/>
          </w:tcPr>
          <w:p w14:paraId="502E7C46" w14:textId="77777777" w:rsidR="00E96B29" w:rsidRPr="00027624" w:rsidRDefault="00E96B29" w:rsidP="00E96B29">
            <w:pPr>
              <w:pStyle w:val="TableColumnHeadingLeft"/>
            </w:pPr>
            <w:r w:rsidRPr="00027624">
              <w:t>Assumption</w:t>
            </w:r>
          </w:p>
        </w:tc>
        <w:tc>
          <w:tcPr>
            <w:tcW w:w="1250" w:type="pct"/>
            <w:shd w:val="clear" w:color="auto" w:fill="E5E5E5"/>
          </w:tcPr>
          <w:p w14:paraId="22625FF9" w14:textId="77777777" w:rsidR="00E96B29" w:rsidRPr="00027624" w:rsidRDefault="00E96B29" w:rsidP="00E96B29">
            <w:pPr>
              <w:pStyle w:val="TableColumnHeadingLeft"/>
            </w:pPr>
            <w:r w:rsidRPr="00027624">
              <w:t xml:space="preserve">Central case </w:t>
            </w:r>
          </w:p>
        </w:tc>
        <w:tc>
          <w:tcPr>
            <w:tcW w:w="1250" w:type="pct"/>
            <w:shd w:val="clear" w:color="auto" w:fill="E5E5E5"/>
          </w:tcPr>
          <w:p w14:paraId="3308A56E" w14:textId="77777777" w:rsidR="00E96B29" w:rsidRPr="00027624" w:rsidRDefault="00E96B29" w:rsidP="00E96B29">
            <w:pPr>
              <w:pStyle w:val="TableColumnHeadingLeft"/>
            </w:pPr>
            <w:r w:rsidRPr="00027624">
              <w:t>For men</w:t>
            </w:r>
          </w:p>
        </w:tc>
        <w:tc>
          <w:tcPr>
            <w:tcW w:w="1250" w:type="pct"/>
            <w:shd w:val="clear" w:color="auto" w:fill="E5E5E5"/>
          </w:tcPr>
          <w:p w14:paraId="6DBF3BDC" w14:textId="77777777" w:rsidR="00E96B29" w:rsidRPr="00027624" w:rsidRDefault="00E96B29" w:rsidP="00E96B29">
            <w:pPr>
              <w:pStyle w:val="TableColumnHeadingLeft"/>
            </w:pPr>
            <w:r w:rsidRPr="00027624">
              <w:t>For women</w:t>
            </w:r>
          </w:p>
        </w:tc>
      </w:tr>
      <w:tr w:rsidR="00E96B29" w:rsidRPr="00027624" w14:paraId="3FB5CB96" w14:textId="77777777" w:rsidTr="00E96B29">
        <w:trPr>
          <w:trHeight w:val="270"/>
        </w:trPr>
        <w:tc>
          <w:tcPr>
            <w:tcW w:w="1250" w:type="pct"/>
          </w:tcPr>
          <w:p w14:paraId="281318CC" w14:textId="77777777" w:rsidR="00E96B29" w:rsidRPr="00027624" w:rsidRDefault="00E96B29" w:rsidP="00E96B29">
            <w:pPr>
              <w:pStyle w:val="TableTextLeft"/>
            </w:pPr>
            <w:r w:rsidRPr="00027624">
              <w:t>Life expectancy</w:t>
            </w:r>
          </w:p>
        </w:tc>
        <w:tc>
          <w:tcPr>
            <w:tcW w:w="1250" w:type="pct"/>
          </w:tcPr>
          <w:p w14:paraId="7FAB07FF" w14:textId="77777777" w:rsidR="00E96B29" w:rsidRPr="00027624" w:rsidRDefault="00E96B29" w:rsidP="00E96B29">
            <w:pPr>
              <w:pStyle w:val="TableTextLeft"/>
            </w:pPr>
            <w:r w:rsidRPr="00027624">
              <w:t>92 years</w:t>
            </w:r>
          </w:p>
        </w:tc>
        <w:tc>
          <w:tcPr>
            <w:tcW w:w="1250" w:type="pct"/>
          </w:tcPr>
          <w:p w14:paraId="5F5EC330" w14:textId="77777777" w:rsidR="00E96B29" w:rsidRPr="00027624" w:rsidRDefault="00E96B29" w:rsidP="00E96B29">
            <w:pPr>
              <w:pStyle w:val="TableTextLeft"/>
            </w:pPr>
            <w:r w:rsidRPr="00027624">
              <w:t>91 years</w:t>
            </w:r>
          </w:p>
        </w:tc>
        <w:tc>
          <w:tcPr>
            <w:tcW w:w="1250" w:type="pct"/>
          </w:tcPr>
          <w:p w14:paraId="5172E486" w14:textId="77777777" w:rsidR="00E96B29" w:rsidRPr="00027624" w:rsidRDefault="00E96B29" w:rsidP="00E96B29">
            <w:pPr>
              <w:pStyle w:val="TableTextLeft"/>
            </w:pPr>
            <w:r w:rsidRPr="00027624">
              <w:t>93 years</w:t>
            </w:r>
          </w:p>
        </w:tc>
      </w:tr>
      <w:tr w:rsidR="00E96B29" w:rsidRPr="00027624" w14:paraId="073655D1" w14:textId="77777777" w:rsidTr="00E96B29">
        <w:trPr>
          <w:trHeight w:val="270"/>
        </w:trPr>
        <w:tc>
          <w:tcPr>
            <w:tcW w:w="1250" w:type="pct"/>
          </w:tcPr>
          <w:p w14:paraId="3C500A57" w14:textId="77777777" w:rsidR="00E96B29" w:rsidRPr="00027624" w:rsidRDefault="00E96B29" w:rsidP="00E96B29">
            <w:pPr>
              <w:pStyle w:val="TableTextLeft"/>
            </w:pPr>
            <w:r w:rsidRPr="00027624">
              <w:t>Length of working life</w:t>
            </w:r>
          </w:p>
        </w:tc>
        <w:tc>
          <w:tcPr>
            <w:tcW w:w="1250" w:type="pct"/>
          </w:tcPr>
          <w:p w14:paraId="65A98511" w14:textId="77777777" w:rsidR="00E96B29" w:rsidRPr="00027624" w:rsidRDefault="00E96B29" w:rsidP="00E96B29">
            <w:pPr>
              <w:pStyle w:val="TableTextLeft"/>
            </w:pPr>
            <w:r w:rsidRPr="00027624">
              <w:t>40 years</w:t>
            </w:r>
          </w:p>
        </w:tc>
        <w:tc>
          <w:tcPr>
            <w:tcW w:w="1250" w:type="pct"/>
          </w:tcPr>
          <w:p w14:paraId="3362D8BC" w14:textId="77777777" w:rsidR="00E96B29" w:rsidRPr="00027624" w:rsidRDefault="00E96B29" w:rsidP="00E96B29">
            <w:pPr>
              <w:pStyle w:val="TableTextLeft"/>
            </w:pPr>
            <w:r w:rsidRPr="00027624">
              <w:t>42 years</w:t>
            </w:r>
          </w:p>
        </w:tc>
        <w:tc>
          <w:tcPr>
            <w:tcW w:w="1250" w:type="pct"/>
          </w:tcPr>
          <w:p w14:paraId="72216BED" w14:textId="77777777" w:rsidR="00E96B29" w:rsidRPr="00027624" w:rsidRDefault="00E96B29" w:rsidP="00E96B29">
            <w:pPr>
              <w:pStyle w:val="TableTextLeft"/>
            </w:pPr>
            <w:r w:rsidRPr="00027624">
              <w:t>38 years</w:t>
            </w:r>
          </w:p>
        </w:tc>
      </w:tr>
      <w:tr w:rsidR="00E96B29" w:rsidRPr="00027624" w14:paraId="25B23B80" w14:textId="77777777" w:rsidTr="00E96B29">
        <w:trPr>
          <w:trHeight w:val="270"/>
        </w:trPr>
        <w:tc>
          <w:tcPr>
            <w:tcW w:w="1250" w:type="pct"/>
          </w:tcPr>
          <w:p w14:paraId="4A86E9FF" w14:textId="77777777" w:rsidR="00E96B29" w:rsidRPr="00027624" w:rsidRDefault="00E96B29" w:rsidP="00E96B29">
            <w:pPr>
              <w:pStyle w:val="TableTextLeft"/>
            </w:pPr>
            <w:r w:rsidRPr="00027624">
              <w:t>Incomes</w:t>
            </w:r>
          </w:p>
        </w:tc>
        <w:tc>
          <w:tcPr>
            <w:tcW w:w="1250" w:type="pct"/>
          </w:tcPr>
          <w:p w14:paraId="34CBC8E2" w14:textId="77777777" w:rsidR="00E96B29" w:rsidRPr="00027624" w:rsidRDefault="00E96B29" w:rsidP="00E96B29">
            <w:pPr>
              <w:pStyle w:val="TableTextLeft"/>
            </w:pPr>
            <w:r w:rsidRPr="00027624">
              <w:t>Tax return data, by age and income</w:t>
            </w:r>
          </w:p>
        </w:tc>
        <w:tc>
          <w:tcPr>
            <w:tcW w:w="1250" w:type="pct"/>
          </w:tcPr>
          <w:p w14:paraId="08E65980" w14:textId="77777777" w:rsidR="00E96B29" w:rsidRPr="00027624" w:rsidRDefault="00E96B29" w:rsidP="00E96B29">
            <w:pPr>
              <w:pStyle w:val="TableTextLeft"/>
            </w:pPr>
            <w:r w:rsidRPr="00027624">
              <w:t>Tax return data for men, by age and income</w:t>
            </w:r>
          </w:p>
        </w:tc>
        <w:tc>
          <w:tcPr>
            <w:tcW w:w="1250" w:type="pct"/>
          </w:tcPr>
          <w:p w14:paraId="08043D59" w14:textId="77777777" w:rsidR="00E96B29" w:rsidRPr="00027624" w:rsidRDefault="00E96B29" w:rsidP="00E96B29">
            <w:pPr>
              <w:pStyle w:val="TableTextLeft"/>
            </w:pPr>
            <w:r w:rsidRPr="00027624">
              <w:t>Tax return data for women, by age and income</w:t>
            </w:r>
          </w:p>
        </w:tc>
      </w:tr>
      <w:tr w:rsidR="00E96B29" w:rsidRPr="00027624" w14:paraId="06AD53CB" w14:textId="77777777" w:rsidTr="00E96B29">
        <w:trPr>
          <w:trHeight w:val="270"/>
        </w:trPr>
        <w:tc>
          <w:tcPr>
            <w:tcW w:w="1250" w:type="pct"/>
          </w:tcPr>
          <w:p w14:paraId="41A171DF" w14:textId="77777777" w:rsidR="00E96B29" w:rsidRPr="00027624" w:rsidRDefault="00E96B29" w:rsidP="00E96B29">
            <w:pPr>
              <w:pStyle w:val="TableTextLeft"/>
            </w:pPr>
            <w:r w:rsidRPr="00027624">
              <w:t>Voluntary contributions to superannuation</w:t>
            </w:r>
          </w:p>
        </w:tc>
        <w:tc>
          <w:tcPr>
            <w:tcW w:w="1250" w:type="pct"/>
          </w:tcPr>
          <w:p w14:paraId="699A3FB7" w14:textId="77777777" w:rsidR="00E96B29" w:rsidRPr="00027624" w:rsidRDefault="00E96B29" w:rsidP="00E96B29">
            <w:pPr>
              <w:pStyle w:val="TableTextLeft"/>
            </w:pPr>
            <w:r w:rsidRPr="00027624">
              <w:t>Salary sacrifice contributions only</w:t>
            </w:r>
          </w:p>
        </w:tc>
        <w:tc>
          <w:tcPr>
            <w:tcW w:w="1250" w:type="pct"/>
          </w:tcPr>
          <w:p w14:paraId="5D8B492A" w14:textId="77777777" w:rsidR="00E96B29" w:rsidRPr="00027624" w:rsidRDefault="00E96B29" w:rsidP="00E96B29">
            <w:pPr>
              <w:pStyle w:val="TableTextLeft"/>
            </w:pPr>
            <w:r w:rsidRPr="00027624">
              <w:t>Salary sacrifice contributions made by men</w:t>
            </w:r>
          </w:p>
        </w:tc>
        <w:tc>
          <w:tcPr>
            <w:tcW w:w="1250" w:type="pct"/>
          </w:tcPr>
          <w:p w14:paraId="4382A97F" w14:textId="77777777" w:rsidR="00E96B29" w:rsidRPr="00027624" w:rsidRDefault="00E96B29" w:rsidP="00E96B29">
            <w:pPr>
              <w:pStyle w:val="TableTextLeft"/>
            </w:pPr>
            <w:r w:rsidRPr="00027624">
              <w:t>Salary sacrifice contributions made by women</w:t>
            </w:r>
          </w:p>
        </w:tc>
      </w:tr>
      <w:tr w:rsidR="00E96B29" w:rsidRPr="00027624" w14:paraId="6020FEEA" w14:textId="77777777" w:rsidTr="00E96B29">
        <w:trPr>
          <w:trHeight w:val="270"/>
        </w:trPr>
        <w:tc>
          <w:tcPr>
            <w:tcW w:w="1250" w:type="pct"/>
          </w:tcPr>
          <w:p w14:paraId="42744061" w14:textId="77777777" w:rsidR="00E96B29" w:rsidRPr="00027624" w:rsidRDefault="00E96B29" w:rsidP="00E96B29">
            <w:pPr>
              <w:pStyle w:val="TableTextLeft"/>
            </w:pPr>
            <w:r w:rsidRPr="00027624">
              <w:t>Superannuation drawdown strategy</w:t>
            </w:r>
          </w:p>
        </w:tc>
        <w:tc>
          <w:tcPr>
            <w:tcW w:w="1250" w:type="pct"/>
          </w:tcPr>
          <w:p w14:paraId="00D69478" w14:textId="77777777" w:rsidR="00E96B29" w:rsidRPr="00027624" w:rsidRDefault="00E96B29" w:rsidP="00E96B29">
            <w:pPr>
              <w:pStyle w:val="TableTextLeft"/>
            </w:pPr>
            <w:r w:rsidRPr="00027624">
              <w:t>Optimal drawdown to exhaust at life expectancy</w:t>
            </w:r>
          </w:p>
        </w:tc>
        <w:tc>
          <w:tcPr>
            <w:tcW w:w="1250" w:type="pct"/>
          </w:tcPr>
          <w:p w14:paraId="430A8128" w14:textId="77777777" w:rsidR="00E96B29" w:rsidRPr="00027624" w:rsidRDefault="00E96B29" w:rsidP="00E96B29">
            <w:pPr>
              <w:pStyle w:val="TableTextLeft"/>
            </w:pPr>
            <w:r w:rsidRPr="00027624">
              <w:t>Optimal drawdown, adjusted for men</w:t>
            </w:r>
            <w:r w:rsidR="00A8443E" w:rsidRPr="00027624">
              <w:t>’</w:t>
            </w:r>
            <w:r w:rsidRPr="00027624">
              <w:t>s wealth and life expectancy</w:t>
            </w:r>
          </w:p>
        </w:tc>
        <w:tc>
          <w:tcPr>
            <w:tcW w:w="1250" w:type="pct"/>
          </w:tcPr>
          <w:p w14:paraId="0509B2E7" w14:textId="77777777" w:rsidR="00E96B29" w:rsidRPr="00027624" w:rsidRDefault="00E96B29" w:rsidP="00E96B29">
            <w:pPr>
              <w:pStyle w:val="TableTextLeft"/>
            </w:pPr>
            <w:r w:rsidRPr="00027624">
              <w:t>Optimal drawdown, adjusted for women</w:t>
            </w:r>
            <w:r w:rsidR="00A8443E" w:rsidRPr="00027624">
              <w:t>’</w:t>
            </w:r>
            <w:r w:rsidRPr="00027624">
              <w:t>s wealth and life expectancy</w:t>
            </w:r>
          </w:p>
        </w:tc>
      </w:tr>
    </w:tbl>
    <w:p w14:paraId="6CE03D48" w14:textId="77777777" w:rsidR="00E96B29" w:rsidRPr="00027624" w:rsidRDefault="00E96B29" w:rsidP="00E96B29">
      <w:pPr>
        <w:pStyle w:val="Heading5"/>
      </w:pPr>
      <w:r w:rsidRPr="00027624">
        <w:t>Life expectancy</w:t>
      </w:r>
    </w:p>
    <w:p w14:paraId="719BF108" w14:textId="0E249C66" w:rsidR="00E96B29" w:rsidRPr="00027624" w:rsidRDefault="00E96B29" w:rsidP="00E96B29">
      <w:r w:rsidRPr="00027624">
        <w:t>The 2015 Intergenerational Report contained life expectancy projections by gender (</w:t>
      </w:r>
      <w:r w:rsidRPr="00027624">
        <w:fldChar w:fldCharType="begin"/>
      </w:r>
      <w:r w:rsidRPr="00027624">
        <w:instrText xml:space="preserve"> REF _Ref42711384 \r \h  \* MERGEFORMAT </w:instrText>
      </w:r>
      <w:r w:rsidRPr="00027624">
        <w:fldChar w:fldCharType="separate"/>
      </w:r>
      <w:r w:rsidR="00891058">
        <w:t>Table 6A-16</w:t>
      </w:r>
      <w:r w:rsidRPr="00027624">
        <w:fldChar w:fldCharType="end"/>
      </w:r>
      <w:r w:rsidRPr="00027624">
        <w:t>).</w:t>
      </w:r>
    </w:p>
    <w:p w14:paraId="067AC61B" w14:textId="77777777" w:rsidR="00E96B29" w:rsidRPr="00027624" w:rsidRDefault="00E96B29" w:rsidP="00E96B29">
      <w:pPr>
        <w:pStyle w:val="TableMainHeading"/>
      </w:pPr>
      <w:bookmarkStart w:id="4289" w:name="_Ref42711384"/>
      <w:r w:rsidRPr="00027624">
        <w:t>Projected life expectancy, by gender</w:t>
      </w:r>
      <w:bookmarkEnd w:id="4289"/>
    </w:p>
    <w:tbl>
      <w:tblPr>
        <w:tblW w:w="5000" w:type="pct"/>
        <w:tblLook w:val="01E0" w:firstRow="1" w:lastRow="1" w:firstColumn="1" w:lastColumn="1" w:noHBand="0" w:noVBand="0"/>
      </w:tblPr>
      <w:tblGrid>
        <w:gridCol w:w="2694"/>
        <w:gridCol w:w="2833"/>
        <w:gridCol w:w="3543"/>
      </w:tblGrid>
      <w:tr w:rsidR="00E96B29" w:rsidRPr="00027624" w14:paraId="6754DA3E" w14:textId="77777777" w:rsidTr="00E96B29">
        <w:trPr>
          <w:trHeight w:val="270"/>
          <w:tblHeader/>
        </w:trPr>
        <w:tc>
          <w:tcPr>
            <w:tcW w:w="1485" w:type="pct"/>
            <w:shd w:val="clear" w:color="auto" w:fill="E5E5E5"/>
          </w:tcPr>
          <w:p w14:paraId="2F0EB993" w14:textId="77777777" w:rsidR="00E96B29" w:rsidRPr="00027624" w:rsidRDefault="00E96B29" w:rsidP="00E96B29">
            <w:pPr>
              <w:pStyle w:val="TableColumnHeadingCentred"/>
            </w:pPr>
          </w:p>
        </w:tc>
        <w:tc>
          <w:tcPr>
            <w:tcW w:w="1562" w:type="pct"/>
            <w:shd w:val="clear" w:color="auto" w:fill="E5E5E5"/>
          </w:tcPr>
          <w:p w14:paraId="62F205FB" w14:textId="77777777" w:rsidR="00E96B29" w:rsidRPr="00027624" w:rsidRDefault="00E96B29" w:rsidP="00E96B29">
            <w:pPr>
              <w:pStyle w:val="TableColumnHeadingCentred"/>
            </w:pPr>
            <w:r w:rsidRPr="00027624">
              <w:t>Life expectancy at birth (2015)</w:t>
            </w:r>
          </w:p>
          <w:p w14:paraId="79DC5641" w14:textId="77777777" w:rsidR="00E96B29" w:rsidRPr="00027624" w:rsidRDefault="00E96B29" w:rsidP="00E96B29">
            <w:pPr>
              <w:pStyle w:val="TableColumnHeadingCentred"/>
            </w:pPr>
            <w:r w:rsidRPr="00027624">
              <w:t>(years)</w:t>
            </w:r>
          </w:p>
        </w:tc>
        <w:tc>
          <w:tcPr>
            <w:tcW w:w="1953" w:type="pct"/>
            <w:shd w:val="clear" w:color="auto" w:fill="E5E5E5"/>
          </w:tcPr>
          <w:p w14:paraId="14E60748" w14:textId="77777777" w:rsidR="00E96B29" w:rsidRPr="00027624" w:rsidRDefault="00E96B29" w:rsidP="00E96B29">
            <w:pPr>
              <w:pStyle w:val="TableColumnHeadingCentred"/>
            </w:pPr>
            <w:r w:rsidRPr="00027624">
              <w:t>Further life expectancy at age 60 (2055)</w:t>
            </w:r>
          </w:p>
          <w:p w14:paraId="57B21ECF" w14:textId="77777777" w:rsidR="00E96B29" w:rsidRPr="00027624" w:rsidRDefault="00E96B29" w:rsidP="00E96B29">
            <w:pPr>
              <w:pStyle w:val="TableColumnHeadingCentred"/>
            </w:pPr>
            <w:r w:rsidRPr="00027624">
              <w:t>(years)</w:t>
            </w:r>
          </w:p>
        </w:tc>
      </w:tr>
      <w:tr w:rsidR="00E96B29" w:rsidRPr="00027624" w14:paraId="01DE474B" w14:textId="77777777" w:rsidTr="00E96B29">
        <w:trPr>
          <w:trHeight w:val="270"/>
        </w:trPr>
        <w:tc>
          <w:tcPr>
            <w:tcW w:w="1485" w:type="pct"/>
          </w:tcPr>
          <w:p w14:paraId="3D455DB5" w14:textId="77777777" w:rsidR="00E96B29" w:rsidRPr="00027624" w:rsidRDefault="00E96B29" w:rsidP="00E96B29">
            <w:pPr>
              <w:pStyle w:val="TableTextLeft"/>
            </w:pPr>
            <w:r w:rsidRPr="00027624">
              <w:t>Men</w:t>
            </w:r>
          </w:p>
        </w:tc>
        <w:tc>
          <w:tcPr>
            <w:tcW w:w="1562" w:type="pct"/>
          </w:tcPr>
          <w:p w14:paraId="2928B2C9" w14:textId="77777777" w:rsidR="00E96B29" w:rsidRPr="00027624" w:rsidRDefault="00E96B29" w:rsidP="00E96B29">
            <w:pPr>
              <w:pStyle w:val="TableTextCentered"/>
            </w:pPr>
            <w:r w:rsidRPr="00027624">
              <w:t>91.5</w:t>
            </w:r>
          </w:p>
        </w:tc>
        <w:tc>
          <w:tcPr>
            <w:tcW w:w="1953" w:type="pct"/>
          </w:tcPr>
          <w:p w14:paraId="195F8E2E" w14:textId="77777777" w:rsidR="00E96B29" w:rsidRPr="00027624" w:rsidRDefault="00E96B29" w:rsidP="00E96B29">
            <w:pPr>
              <w:pStyle w:val="TableTextCentered"/>
            </w:pPr>
            <w:r w:rsidRPr="00027624">
              <w:t>31.5</w:t>
            </w:r>
          </w:p>
        </w:tc>
      </w:tr>
      <w:tr w:rsidR="00E96B29" w:rsidRPr="00027624" w14:paraId="1939A0CC" w14:textId="77777777" w:rsidTr="00E96B29">
        <w:trPr>
          <w:trHeight w:val="270"/>
        </w:trPr>
        <w:tc>
          <w:tcPr>
            <w:tcW w:w="1485" w:type="pct"/>
          </w:tcPr>
          <w:p w14:paraId="4761ADC9" w14:textId="77777777" w:rsidR="00E96B29" w:rsidRPr="00027624" w:rsidRDefault="00E96B29" w:rsidP="00E96B29">
            <w:pPr>
              <w:pStyle w:val="TableTextLeft"/>
            </w:pPr>
            <w:r w:rsidRPr="00027624">
              <w:t>Women</w:t>
            </w:r>
          </w:p>
        </w:tc>
        <w:tc>
          <w:tcPr>
            <w:tcW w:w="1562" w:type="pct"/>
          </w:tcPr>
          <w:p w14:paraId="0954D1F1" w14:textId="77777777" w:rsidR="00E96B29" w:rsidRPr="00027624" w:rsidRDefault="00E96B29" w:rsidP="00E96B29">
            <w:pPr>
              <w:pStyle w:val="TableTextCentered"/>
            </w:pPr>
            <w:r w:rsidRPr="00027624">
              <w:t>93.6</w:t>
            </w:r>
          </w:p>
        </w:tc>
        <w:tc>
          <w:tcPr>
            <w:tcW w:w="1953" w:type="pct"/>
          </w:tcPr>
          <w:p w14:paraId="1606AD78" w14:textId="77777777" w:rsidR="00E96B29" w:rsidRPr="00027624" w:rsidRDefault="00E96B29" w:rsidP="00E96B29">
            <w:pPr>
              <w:pStyle w:val="TableTextCentered"/>
            </w:pPr>
            <w:r w:rsidRPr="00027624">
              <w:t>33.3</w:t>
            </w:r>
          </w:p>
        </w:tc>
      </w:tr>
    </w:tbl>
    <w:p w14:paraId="52DA8188" w14:textId="77777777" w:rsidR="00E96B29" w:rsidRPr="00027624" w:rsidRDefault="00E96B29" w:rsidP="00E96B29">
      <w:pPr>
        <w:pStyle w:val="ChartorTableNote"/>
      </w:pPr>
      <w:r w:rsidRPr="00027624">
        <w:t xml:space="preserve">Source: </w:t>
      </w:r>
      <w:sdt>
        <w:sdtPr>
          <w:id w:val="1096223055"/>
          <w:citation/>
        </w:sdtPr>
        <w:sdtEndPr/>
        <w:sdtContent>
          <w:r w:rsidRPr="00027624">
            <w:fldChar w:fldCharType="begin"/>
          </w:r>
          <w:r w:rsidRPr="00027624">
            <w:instrText xml:space="preserve"> CITATION The15 \l 3081 </w:instrText>
          </w:r>
          <w:r w:rsidRPr="00027624">
            <w:fldChar w:fldCharType="separate"/>
          </w:r>
          <w:r w:rsidR="00E83F6E">
            <w:rPr>
              <w:noProof/>
            </w:rPr>
            <w:t>(Commonwealth of Australia, 2015)</w:t>
          </w:r>
          <w:r w:rsidRPr="00027624">
            <w:fldChar w:fldCharType="end"/>
          </w:r>
        </w:sdtContent>
      </w:sdt>
      <w:r w:rsidRPr="00027624">
        <w:t>.</w:t>
      </w:r>
    </w:p>
    <w:p w14:paraId="23A82CED" w14:textId="77777777" w:rsidR="00E96B29" w:rsidRPr="00027624" w:rsidRDefault="00E96B29" w:rsidP="00E96B29">
      <w:r w:rsidRPr="00027624">
        <w:t>The gender model used life expectancy of 91 years for men and 93 years for women, to maintain the two</w:t>
      </w:r>
      <w:r w:rsidR="00A8443E" w:rsidRPr="00027624">
        <w:noBreakHyphen/>
      </w:r>
      <w:r w:rsidRPr="00027624">
        <w:t>year difference between men and women projected by the Intergenerational Report.</w:t>
      </w:r>
    </w:p>
    <w:p w14:paraId="05D056DE" w14:textId="77777777" w:rsidR="00E96B29" w:rsidRPr="00027624" w:rsidRDefault="00E96B29" w:rsidP="00E96B29">
      <w:pPr>
        <w:pStyle w:val="Heading5"/>
      </w:pPr>
      <w:r w:rsidRPr="00027624">
        <w:t>Length of working life</w:t>
      </w:r>
    </w:p>
    <w:p w14:paraId="24A1432A" w14:textId="233388D8" w:rsidR="00E96B29" w:rsidRDefault="00E96B29" w:rsidP="00E96B29">
      <w:r w:rsidRPr="00027624">
        <w:t>The average number of years in the workforce for women is currently 38 years, compared to 42 for men (</w:t>
      </w:r>
      <w:r w:rsidRPr="00027624">
        <w:fldChar w:fldCharType="begin"/>
      </w:r>
      <w:r w:rsidRPr="00027624">
        <w:instrText xml:space="preserve"> REF _Ref42711524 \r \h  \* MERGEFORMAT </w:instrText>
      </w:r>
      <w:r w:rsidRPr="00027624">
        <w:fldChar w:fldCharType="separate"/>
      </w:r>
      <w:r w:rsidR="00891058">
        <w:t>Table 6A-17</w:t>
      </w:r>
      <w:r w:rsidRPr="00027624">
        <w:fldChar w:fldCharType="end"/>
      </w:r>
      <w:r w:rsidRPr="00027624">
        <w:t xml:space="preserve">) (see </w:t>
      </w:r>
      <w:r w:rsidRPr="00027624">
        <w:rPr>
          <w:i/>
        </w:rPr>
        <w:t>2C. Maintaining standards of living in retirement</w:t>
      </w:r>
      <w:r w:rsidRPr="00027624">
        <w:t>)</w:t>
      </w:r>
      <w:r w:rsidRPr="00027624">
        <w:rPr>
          <w:iCs/>
        </w:rPr>
        <w:t>.</w:t>
      </w:r>
      <w:r w:rsidRPr="00027624">
        <w:t xml:space="preserve"> This difference was incorporated into the gender model.</w:t>
      </w:r>
    </w:p>
    <w:p w14:paraId="599A64CB" w14:textId="77777777" w:rsidR="00C11F4E" w:rsidRPr="00027624" w:rsidRDefault="00C11F4E" w:rsidP="00E96B29"/>
    <w:p w14:paraId="1319A4FA" w14:textId="77777777" w:rsidR="00E96B29" w:rsidRPr="00027624" w:rsidRDefault="00E96B29" w:rsidP="00E96B29">
      <w:pPr>
        <w:pStyle w:val="TableMainHeading"/>
      </w:pPr>
      <w:bookmarkStart w:id="4290" w:name="_Ref42711524"/>
      <w:r w:rsidRPr="00027624">
        <w:t>Gender model working</w:t>
      </w:r>
      <w:r w:rsidR="00A8443E" w:rsidRPr="00027624">
        <w:noBreakHyphen/>
      </w:r>
      <w:r w:rsidRPr="00027624">
        <w:t>life assumptions, by gender</w:t>
      </w:r>
      <w:bookmarkEnd w:id="4290"/>
    </w:p>
    <w:tbl>
      <w:tblPr>
        <w:tblW w:w="5000" w:type="pct"/>
        <w:tblLook w:val="01E0" w:firstRow="1" w:lastRow="1" w:firstColumn="1" w:lastColumn="1" w:noHBand="0" w:noVBand="0"/>
      </w:tblPr>
      <w:tblGrid>
        <w:gridCol w:w="1814"/>
        <w:gridCol w:w="1814"/>
        <w:gridCol w:w="1814"/>
        <w:gridCol w:w="1814"/>
        <w:gridCol w:w="1814"/>
      </w:tblGrid>
      <w:tr w:rsidR="00E96B29" w:rsidRPr="00027624" w14:paraId="3D5CFF60" w14:textId="77777777" w:rsidTr="00E96B29">
        <w:trPr>
          <w:trHeight w:val="270"/>
          <w:tblHeader/>
        </w:trPr>
        <w:tc>
          <w:tcPr>
            <w:tcW w:w="1000" w:type="pct"/>
            <w:shd w:val="clear" w:color="auto" w:fill="E5E5E5"/>
          </w:tcPr>
          <w:p w14:paraId="59DACD81" w14:textId="77777777" w:rsidR="00E96B29" w:rsidRPr="00027624" w:rsidRDefault="00E96B29" w:rsidP="00E96B29">
            <w:pPr>
              <w:pStyle w:val="TableColumnHeadingLeft"/>
            </w:pPr>
          </w:p>
        </w:tc>
        <w:tc>
          <w:tcPr>
            <w:tcW w:w="1000" w:type="pct"/>
            <w:shd w:val="clear" w:color="auto" w:fill="E5E5E5"/>
          </w:tcPr>
          <w:p w14:paraId="3A0AC107" w14:textId="77777777" w:rsidR="00E96B29" w:rsidRPr="00027624" w:rsidRDefault="00E96B29" w:rsidP="00E96B29">
            <w:pPr>
              <w:pStyle w:val="TableColumnHeadingLeft"/>
              <w:jc w:val="center"/>
            </w:pPr>
            <w:r w:rsidRPr="00027624">
              <w:t>Starting age</w:t>
            </w:r>
          </w:p>
        </w:tc>
        <w:tc>
          <w:tcPr>
            <w:tcW w:w="1000" w:type="pct"/>
            <w:shd w:val="clear" w:color="auto" w:fill="E5E5E5"/>
          </w:tcPr>
          <w:p w14:paraId="499C0A5A" w14:textId="77777777" w:rsidR="00E96B29" w:rsidRPr="00027624" w:rsidRDefault="00E96B29" w:rsidP="00E96B29">
            <w:pPr>
              <w:pStyle w:val="TableColumnHeadingLeft"/>
              <w:jc w:val="center"/>
            </w:pPr>
            <w:r w:rsidRPr="00027624">
              <w:t>Career break</w:t>
            </w:r>
          </w:p>
        </w:tc>
        <w:tc>
          <w:tcPr>
            <w:tcW w:w="1000" w:type="pct"/>
            <w:shd w:val="clear" w:color="auto" w:fill="E5E5E5"/>
          </w:tcPr>
          <w:p w14:paraId="0245EC40" w14:textId="77777777" w:rsidR="00E96B29" w:rsidRPr="00027624" w:rsidRDefault="00E96B29" w:rsidP="00E96B29">
            <w:pPr>
              <w:pStyle w:val="TableColumnHeadingLeft"/>
              <w:jc w:val="center"/>
            </w:pPr>
            <w:r w:rsidRPr="00027624">
              <w:t>Retirement age</w:t>
            </w:r>
          </w:p>
        </w:tc>
        <w:tc>
          <w:tcPr>
            <w:tcW w:w="1000" w:type="pct"/>
            <w:shd w:val="clear" w:color="auto" w:fill="E5E5E5"/>
          </w:tcPr>
          <w:p w14:paraId="4F8506A6" w14:textId="77777777" w:rsidR="00E96B29" w:rsidRPr="00027624" w:rsidRDefault="00E96B29" w:rsidP="00E96B29">
            <w:pPr>
              <w:pStyle w:val="TableColumnHeadingLeft"/>
              <w:jc w:val="center"/>
            </w:pPr>
            <w:r w:rsidRPr="00027624">
              <w:t>Total working life</w:t>
            </w:r>
          </w:p>
        </w:tc>
      </w:tr>
      <w:tr w:rsidR="00E96B29" w:rsidRPr="00027624" w14:paraId="1B7FB005" w14:textId="77777777" w:rsidTr="00E96B29">
        <w:trPr>
          <w:trHeight w:val="270"/>
        </w:trPr>
        <w:tc>
          <w:tcPr>
            <w:tcW w:w="1000" w:type="pct"/>
          </w:tcPr>
          <w:p w14:paraId="33BDD407" w14:textId="77777777" w:rsidR="00E96B29" w:rsidRPr="00027624" w:rsidRDefault="00E96B29" w:rsidP="00E96B29">
            <w:pPr>
              <w:pStyle w:val="TableTextLeft"/>
            </w:pPr>
            <w:r w:rsidRPr="00027624">
              <w:t>Men</w:t>
            </w:r>
          </w:p>
        </w:tc>
        <w:tc>
          <w:tcPr>
            <w:tcW w:w="1000" w:type="pct"/>
          </w:tcPr>
          <w:p w14:paraId="147BD555" w14:textId="77777777" w:rsidR="00E96B29" w:rsidRPr="00027624" w:rsidRDefault="00C20894" w:rsidP="00C20894">
            <w:pPr>
              <w:pStyle w:val="TableTextLeft"/>
              <w:jc w:val="center"/>
            </w:pPr>
            <w:r w:rsidRPr="00027624">
              <w:t>25</w:t>
            </w:r>
          </w:p>
        </w:tc>
        <w:tc>
          <w:tcPr>
            <w:tcW w:w="1000" w:type="pct"/>
          </w:tcPr>
          <w:p w14:paraId="6DB3C79D" w14:textId="77777777" w:rsidR="00E96B29" w:rsidRPr="00027624" w:rsidRDefault="00E96B29" w:rsidP="00E96B29">
            <w:pPr>
              <w:pStyle w:val="TableTextLeft"/>
              <w:jc w:val="center"/>
            </w:pPr>
            <w:r w:rsidRPr="00027624">
              <w:t>n/a</w:t>
            </w:r>
          </w:p>
        </w:tc>
        <w:tc>
          <w:tcPr>
            <w:tcW w:w="1000" w:type="pct"/>
          </w:tcPr>
          <w:p w14:paraId="24FDB28B" w14:textId="77777777" w:rsidR="00E96B29" w:rsidRPr="00027624" w:rsidRDefault="00E96B29" w:rsidP="00E96B29">
            <w:pPr>
              <w:pStyle w:val="TableTextLeft"/>
              <w:jc w:val="center"/>
            </w:pPr>
            <w:r w:rsidRPr="00027624">
              <w:t>67</w:t>
            </w:r>
          </w:p>
        </w:tc>
        <w:tc>
          <w:tcPr>
            <w:tcW w:w="1000" w:type="pct"/>
          </w:tcPr>
          <w:p w14:paraId="33B7568A" w14:textId="77777777" w:rsidR="00E96B29" w:rsidRPr="00027624" w:rsidRDefault="00E96B29" w:rsidP="00E96B29">
            <w:pPr>
              <w:pStyle w:val="TableTextLeft"/>
              <w:jc w:val="center"/>
            </w:pPr>
            <w:r w:rsidRPr="00027624">
              <w:t>42 years</w:t>
            </w:r>
          </w:p>
        </w:tc>
      </w:tr>
      <w:tr w:rsidR="00E96B29" w:rsidRPr="00027624" w14:paraId="13C4C062" w14:textId="77777777" w:rsidTr="00E96B29">
        <w:trPr>
          <w:trHeight w:val="270"/>
        </w:trPr>
        <w:tc>
          <w:tcPr>
            <w:tcW w:w="1000" w:type="pct"/>
          </w:tcPr>
          <w:p w14:paraId="0C907906" w14:textId="77777777" w:rsidR="00E96B29" w:rsidRPr="00027624" w:rsidRDefault="00E96B29" w:rsidP="00E96B29">
            <w:pPr>
              <w:pStyle w:val="TableTextLeft"/>
            </w:pPr>
            <w:r w:rsidRPr="00027624">
              <w:t>Women</w:t>
            </w:r>
          </w:p>
        </w:tc>
        <w:tc>
          <w:tcPr>
            <w:tcW w:w="1000" w:type="pct"/>
          </w:tcPr>
          <w:p w14:paraId="1D7FA06A" w14:textId="77777777" w:rsidR="00E96B29" w:rsidRPr="00027624" w:rsidRDefault="00E96B29" w:rsidP="00E96B29">
            <w:pPr>
              <w:pStyle w:val="TableTextLeft"/>
              <w:jc w:val="center"/>
            </w:pPr>
            <w:r w:rsidRPr="00027624">
              <w:t>27*</w:t>
            </w:r>
          </w:p>
        </w:tc>
        <w:tc>
          <w:tcPr>
            <w:tcW w:w="1000" w:type="pct"/>
          </w:tcPr>
          <w:p w14:paraId="4439D60E" w14:textId="77777777" w:rsidR="00E96B29" w:rsidRPr="00027624" w:rsidRDefault="00E96B29" w:rsidP="00E96B29">
            <w:pPr>
              <w:pStyle w:val="TableTextLeft"/>
              <w:jc w:val="center"/>
            </w:pPr>
            <w:r w:rsidRPr="00027624">
              <w:t>Two years, ages 30</w:t>
            </w:r>
            <w:r w:rsidR="00A8443E" w:rsidRPr="00027624">
              <w:noBreakHyphen/>
            </w:r>
            <w:r w:rsidRPr="00027624">
              <w:t>31</w:t>
            </w:r>
          </w:p>
        </w:tc>
        <w:tc>
          <w:tcPr>
            <w:tcW w:w="1000" w:type="pct"/>
          </w:tcPr>
          <w:p w14:paraId="79D59EDD" w14:textId="77777777" w:rsidR="00E96B29" w:rsidRPr="00027624" w:rsidRDefault="00E96B29" w:rsidP="00E96B29">
            <w:pPr>
              <w:pStyle w:val="TableTextLeft"/>
              <w:jc w:val="center"/>
            </w:pPr>
            <w:r w:rsidRPr="00027624">
              <w:t>67</w:t>
            </w:r>
          </w:p>
        </w:tc>
        <w:tc>
          <w:tcPr>
            <w:tcW w:w="1000" w:type="pct"/>
          </w:tcPr>
          <w:p w14:paraId="133C84F1" w14:textId="77777777" w:rsidR="00E96B29" w:rsidRPr="00027624" w:rsidRDefault="00E96B29" w:rsidP="00E96B29">
            <w:pPr>
              <w:pStyle w:val="TableTextLeft"/>
              <w:jc w:val="center"/>
            </w:pPr>
            <w:r w:rsidRPr="00027624">
              <w:t>38 years</w:t>
            </w:r>
          </w:p>
        </w:tc>
      </w:tr>
    </w:tbl>
    <w:p w14:paraId="7E15373B" w14:textId="77777777" w:rsidR="00E96B29" w:rsidRPr="00027624" w:rsidRDefault="00E96B29" w:rsidP="00E96B29">
      <w:pPr>
        <w:pStyle w:val="ChartorTableNote"/>
        <w:rPr>
          <w:szCs w:val="18"/>
        </w:rPr>
      </w:pPr>
      <w:bookmarkStart w:id="4291" w:name="_Ref42619401"/>
      <w:r w:rsidRPr="00027624">
        <w:t>*</w:t>
      </w:r>
      <w:r w:rsidRPr="00027624">
        <w:rPr>
          <w:szCs w:val="18"/>
        </w:rPr>
        <w:t>To ensure consistency in system parameters, women start work at age 27 in 2021</w:t>
      </w:r>
      <w:r w:rsidR="00A8443E" w:rsidRPr="00027624">
        <w:rPr>
          <w:szCs w:val="18"/>
        </w:rPr>
        <w:noBreakHyphen/>
      </w:r>
      <w:r w:rsidRPr="00027624">
        <w:rPr>
          <w:szCs w:val="18"/>
        </w:rPr>
        <w:t>22, while men start work at age 25 in 2019</w:t>
      </w:r>
      <w:r w:rsidR="00A8443E" w:rsidRPr="00027624">
        <w:rPr>
          <w:szCs w:val="18"/>
        </w:rPr>
        <w:noBreakHyphen/>
      </w:r>
      <w:r w:rsidRPr="00027624">
        <w:rPr>
          <w:szCs w:val="18"/>
        </w:rPr>
        <w:t>20 to both reach retirement age in the same year.</w:t>
      </w:r>
    </w:p>
    <w:p w14:paraId="0EF4C527" w14:textId="77777777" w:rsidR="00E96B29" w:rsidRPr="00027624" w:rsidRDefault="00E96B29" w:rsidP="00E96B29">
      <w:pPr>
        <w:pStyle w:val="Heading5"/>
      </w:pPr>
      <w:r w:rsidRPr="00027624">
        <w:t>Incomes</w:t>
      </w:r>
      <w:bookmarkEnd w:id="4291"/>
    </w:p>
    <w:p w14:paraId="5F3C203D" w14:textId="77777777" w:rsidR="00E96B29" w:rsidRPr="00027624" w:rsidRDefault="00E96B29" w:rsidP="00E96B29">
      <w:r w:rsidRPr="00027624">
        <w:t>In constructing the gender model, incomes are based on 2016</w:t>
      </w:r>
      <w:r w:rsidR="00A8443E" w:rsidRPr="00027624">
        <w:noBreakHyphen/>
      </w:r>
      <w:r w:rsidRPr="00027624">
        <w:t>17 ATO individual tax return data.</w:t>
      </w:r>
    </w:p>
    <w:p w14:paraId="20ADB168" w14:textId="56CAF2D8" w:rsidR="00E96B29" w:rsidRPr="00027624" w:rsidRDefault="00E96B29" w:rsidP="00E96B29">
      <w:r w:rsidRPr="00027624">
        <w:t>Men and women were sorted into percentiles based on total remuneration, age and gender. The amount of income earned at a given percentile differs significantly for men and women, with men earning more at each percentile (</w:t>
      </w:r>
      <w:r w:rsidRPr="00027624">
        <w:fldChar w:fldCharType="begin"/>
      </w:r>
      <w:r w:rsidRPr="00027624">
        <w:instrText xml:space="preserve"> REF _Ref42620887 \r \h  \* MERGEFORMAT </w:instrText>
      </w:r>
      <w:r w:rsidRPr="00027624">
        <w:fldChar w:fldCharType="separate"/>
      </w:r>
      <w:r w:rsidR="00891058">
        <w:t>Chart 6A-31</w:t>
      </w:r>
      <w:r w:rsidRPr="00027624">
        <w:fldChar w:fldCharType="end"/>
      </w:r>
      <w:r w:rsidRPr="00027624">
        <w:t>).</w:t>
      </w:r>
    </w:p>
    <w:p w14:paraId="427BB62D" w14:textId="77777777" w:rsidR="00E96B29" w:rsidRPr="00027624" w:rsidRDefault="00E96B29" w:rsidP="00E96B29">
      <w:pPr>
        <w:pStyle w:val="ChartMainHeading"/>
      </w:pPr>
      <w:bookmarkStart w:id="4292" w:name="_Ref42620887"/>
      <w:r w:rsidRPr="00027624">
        <w:t>Average salary and wages income, by age and gender</w:t>
      </w:r>
      <w:r w:rsidR="00A8443E" w:rsidRPr="00027624">
        <w:noBreakHyphen/>
      </w:r>
      <w:r w:rsidRPr="00027624">
        <w:t>based income percentile</w:t>
      </w:r>
      <w:bookmarkEnd w:id="4292"/>
    </w:p>
    <w:p w14:paraId="1F08BC8F" w14:textId="77777777" w:rsidR="00E96B29" w:rsidRPr="00027624" w:rsidRDefault="00746FAC" w:rsidP="00DE6C9E">
      <w:pPr>
        <w:pStyle w:val="ChartGraphic"/>
      </w:pPr>
      <w:r>
        <w:rPr>
          <w:noProof/>
        </w:rPr>
        <w:drawing>
          <wp:inline distT="0" distB="0" distL="0" distR="0" wp14:anchorId="17AE7C4E" wp14:editId="1BE38C10">
            <wp:extent cx="2857500" cy="2857500"/>
            <wp:effectExtent l="0" t="0" r="0" b="0"/>
            <wp:docPr id="9" name="Picture 9" descr="These charts show the lifetime path of wages by income decile for men and women. Incomes for all percentiles increase by age into their mid-40s then decline towards retirement. The higher income percentiles see a greater peak in wages with age. The same pattern is seen between men and women, however for women the peak in income is lower, with a smaller gap between the lowest and highest income percentiles. " title="Chart 6A-31 Average salary and wages income, by age and gender-based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pic:spPr>
                </pic:pic>
              </a:graphicData>
            </a:graphic>
          </wp:inline>
        </w:drawing>
      </w:r>
      <w:r>
        <w:rPr>
          <w:noProof/>
        </w:rPr>
        <w:drawing>
          <wp:inline distT="0" distB="0" distL="0" distR="0" wp14:anchorId="0380FF7C" wp14:editId="06D5D7F8">
            <wp:extent cx="2840460" cy="2847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848572" cy="2856109"/>
                    </a:xfrm>
                    <a:prstGeom prst="rect">
                      <a:avLst/>
                    </a:prstGeom>
                    <a:noFill/>
                  </pic:spPr>
                </pic:pic>
              </a:graphicData>
            </a:graphic>
          </wp:inline>
        </w:drawing>
      </w:r>
    </w:p>
    <w:p w14:paraId="2D36761E" w14:textId="77777777" w:rsidR="00E96B29" w:rsidRPr="00027624" w:rsidRDefault="00E96B29" w:rsidP="00DE6C9E">
      <w:pPr>
        <w:pStyle w:val="ChartorTableNote"/>
      </w:pPr>
      <w:r w:rsidRPr="00027624">
        <w:t>Note: Data from 2016</w:t>
      </w:r>
      <w:r w:rsidR="00A8443E" w:rsidRPr="00027624">
        <w:noBreakHyphen/>
      </w:r>
      <w:r w:rsidRPr="00027624">
        <w:t>17. Percentiles are based on total remuneration (salary and wages, compulsory superannuation contributions and salary sacrifice contributions) at each age and gender in 2016</w:t>
      </w:r>
      <w:r w:rsidR="00A8443E" w:rsidRPr="00027624">
        <w:noBreakHyphen/>
      </w:r>
      <w:r w:rsidRPr="00027624">
        <w:t>17. Lines show the increase in 10</w:t>
      </w:r>
      <w:r w:rsidR="00A8443E" w:rsidRPr="00027624">
        <w:noBreakHyphen/>
      </w:r>
      <w:r w:rsidRPr="00027624">
        <w:t>percentile increments from the 10</w:t>
      </w:r>
      <w:r w:rsidRPr="00027624">
        <w:rPr>
          <w:vertAlign w:val="superscript"/>
        </w:rPr>
        <w:t>th</w:t>
      </w:r>
      <w:r w:rsidRPr="00027624">
        <w:t xml:space="preserve"> gender</w:t>
      </w:r>
      <w:r w:rsidR="00A8443E" w:rsidRPr="00027624">
        <w:noBreakHyphen/>
      </w:r>
      <w:r w:rsidRPr="00027624">
        <w:t>based percentile (darkest line) to the 90th gender</w:t>
      </w:r>
      <w:r w:rsidR="00A8443E" w:rsidRPr="00027624">
        <w:noBreakHyphen/>
      </w:r>
      <w:r w:rsidRPr="00027624">
        <w:t>based percentile (lightest line). Salary and wages income is net of any salary sacrificed contributions. Source: Analysis of data provided by the ATO for the review.</w:t>
      </w:r>
    </w:p>
    <w:p w14:paraId="1D5E3145" w14:textId="77777777" w:rsidR="00E96B29" w:rsidRPr="00027624" w:rsidRDefault="00E96B29" w:rsidP="00E96B29">
      <w:pPr>
        <w:spacing w:after="160" w:line="259" w:lineRule="auto"/>
      </w:pPr>
      <w:r w:rsidRPr="00027624">
        <w:t>When modelling gender, it was assumed that the gender gap in wages that existed across the population at a given age in 2016</w:t>
      </w:r>
      <w:r w:rsidR="00A8443E" w:rsidRPr="00027624">
        <w:noBreakHyphen/>
      </w:r>
      <w:r w:rsidRPr="00027624">
        <w:t>17 would persist.</w:t>
      </w:r>
    </w:p>
    <w:p w14:paraId="4194EBC6" w14:textId="77777777" w:rsidR="00E96B29" w:rsidRPr="00027624" w:rsidRDefault="00E96B29" w:rsidP="00E96B29">
      <w:pPr>
        <w:pStyle w:val="Heading5"/>
      </w:pPr>
      <w:r w:rsidRPr="00027624">
        <w:t>Voluntary superannuation contributions</w:t>
      </w:r>
    </w:p>
    <w:p w14:paraId="0925DE41" w14:textId="77777777" w:rsidR="00E96B29" w:rsidRPr="00027624" w:rsidRDefault="00E96B29" w:rsidP="00E96B29">
      <w:r w:rsidRPr="00027624">
        <w:t>As with other modelling, the gender model assumed men and women make salary sacrifice contributions to their superannuation. The proportion of salary contributed to superannuation was adjusted by gender using 2016</w:t>
      </w:r>
      <w:r w:rsidR="00A8443E" w:rsidRPr="00027624">
        <w:noBreakHyphen/>
      </w:r>
      <w:r w:rsidRPr="00027624">
        <w:t>17 ATO individual tax return data.</w:t>
      </w:r>
    </w:p>
    <w:p w14:paraId="0CCC167E" w14:textId="3CCEB4B8" w:rsidR="00E96B29" w:rsidRPr="00027624" w:rsidRDefault="00E96B29" w:rsidP="00E96B29">
      <w:pPr>
        <w:spacing w:before="0" w:after="160" w:line="259" w:lineRule="auto"/>
      </w:pPr>
      <w:r w:rsidRPr="00027624">
        <w:t>The proportion of income salary sacrificed at each percentile differs between men and women (</w:t>
      </w:r>
      <w:r w:rsidRPr="00027624">
        <w:fldChar w:fldCharType="begin"/>
      </w:r>
      <w:r w:rsidRPr="00027624">
        <w:instrText xml:space="preserve"> REF _Ref42620727 \r \h  \* MERGEFORMAT </w:instrText>
      </w:r>
      <w:r w:rsidRPr="00027624">
        <w:fldChar w:fldCharType="separate"/>
      </w:r>
      <w:r w:rsidR="00891058">
        <w:t>Chart 6A-32</w:t>
      </w:r>
      <w:r w:rsidRPr="00027624">
        <w:fldChar w:fldCharType="end"/>
      </w:r>
      <w:r w:rsidRPr="00027624">
        <w:t>).</w:t>
      </w:r>
    </w:p>
    <w:p w14:paraId="0C87A011" w14:textId="77777777" w:rsidR="00E96B29" w:rsidRPr="00027624" w:rsidRDefault="00E96B29" w:rsidP="00E96B29">
      <w:pPr>
        <w:pStyle w:val="ChartMainHeading"/>
      </w:pPr>
      <w:bookmarkStart w:id="4293" w:name="_Ref42620727"/>
      <w:r w:rsidRPr="00027624">
        <w:t>Proportion of salary and wage income that is salary sacrificed in 2016</w:t>
      </w:r>
      <w:r w:rsidR="00A8443E" w:rsidRPr="00027624">
        <w:noBreakHyphen/>
      </w:r>
      <w:r w:rsidRPr="00027624">
        <w:t>17, by age and gender</w:t>
      </w:r>
      <w:r w:rsidR="00A8443E" w:rsidRPr="00027624">
        <w:noBreakHyphen/>
      </w:r>
      <w:r w:rsidRPr="00027624">
        <w:t>based income percentile</w:t>
      </w:r>
      <w:bookmarkEnd w:id="4293"/>
    </w:p>
    <w:p w14:paraId="4A1459CF" w14:textId="77777777" w:rsidR="00E96B29" w:rsidRPr="00027624" w:rsidRDefault="00746FAC" w:rsidP="00DE6C9E">
      <w:pPr>
        <w:pStyle w:val="ChartGraphic"/>
      </w:pPr>
      <w:r>
        <w:rPr>
          <w:noProof/>
        </w:rPr>
        <w:drawing>
          <wp:inline distT="0" distB="0" distL="0" distR="0" wp14:anchorId="54CB071B" wp14:editId="0BDC71A0">
            <wp:extent cx="2865060" cy="2857500"/>
            <wp:effectExtent l="0" t="0" r="0" b="0"/>
            <wp:docPr id="21" name="Picture 21" descr="These charts show the pattern of salary sacrifice by age between men and women. Salary sacrifice is low among all income percentiles until it rises from about age 50. Rates are higher by income. Women in the 80th percentile peak at a higher rate of salary sacrifice then men in the same percentile." title="Chart 6A-32 Proportion of salary and wage income that is salary sacrificed in 2016-17, by age and gender based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866085" cy="2858523"/>
                    </a:xfrm>
                    <a:prstGeom prst="rect">
                      <a:avLst/>
                    </a:prstGeom>
                    <a:noFill/>
                  </pic:spPr>
                </pic:pic>
              </a:graphicData>
            </a:graphic>
          </wp:inline>
        </w:drawing>
      </w:r>
      <w:r>
        <w:rPr>
          <w:noProof/>
        </w:rPr>
        <w:drawing>
          <wp:inline distT="0" distB="0" distL="0" distR="0" wp14:anchorId="22FFC04C" wp14:editId="4880EDCA">
            <wp:extent cx="2863044" cy="28479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864020" cy="2848946"/>
                    </a:xfrm>
                    <a:prstGeom prst="rect">
                      <a:avLst/>
                    </a:prstGeom>
                    <a:noFill/>
                  </pic:spPr>
                </pic:pic>
              </a:graphicData>
            </a:graphic>
          </wp:inline>
        </w:drawing>
      </w:r>
    </w:p>
    <w:p w14:paraId="09C6256E" w14:textId="77777777" w:rsidR="00E96B29" w:rsidRPr="00027624" w:rsidRDefault="00E96B29" w:rsidP="00DE6C9E">
      <w:pPr>
        <w:pStyle w:val="ChartorTableNote"/>
      </w:pPr>
      <w:r w:rsidRPr="00027624">
        <w:t>Note: Percentiles are based on total remuneration (salary and wages, compulsory superannuation contributions and salary sacrifice contributions) at each age and gender in 2016</w:t>
      </w:r>
      <w:r w:rsidR="00A8443E" w:rsidRPr="00027624">
        <w:noBreakHyphen/>
      </w:r>
      <w:r w:rsidRPr="00027624">
        <w:t>17. Lines show the increase in 20</w:t>
      </w:r>
      <w:r w:rsidR="00A8443E" w:rsidRPr="00027624">
        <w:noBreakHyphen/>
      </w:r>
      <w:r w:rsidRPr="00027624">
        <w:t>percentile increments from the 10</w:t>
      </w:r>
      <w:r w:rsidRPr="00027624">
        <w:rPr>
          <w:vertAlign w:val="superscript"/>
        </w:rPr>
        <w:t>th </w:t>
      </w:r>
      <w:r w:rsidRPr="00027624">
        <w:t>gender</w:t>
      </w:r>
      <w:r w:rsidR="00A8443E" w:rsidRPr="00027624">
        <w:noBreakHyphen/>
      </w:r>
      <w:r w:rsidRPr="00027624">
        <w:t>based percentile (darkest line) to the 80</w:t>
      </w:r>
      <w:r w:rsidRPr="00027624">
        <w:rPr>
          <w:vertAlign w:val="superscript"/>
        </w:rPr>
        <w:t>th</w:t>
      </w:r>
      <w:r w:rsidRPr="00027624">
        <w:t xml:space="preserve"> gender</w:t>
      </w:r>
      <w:r w:rsidR="00A8443E" w:rsidRPr="00027624">
        <w:noBreakHyphen/>
      </w:r>
      <w:r w:rsidRPr="00027624">
        <w:t>based percentile (lightest line). Source: Analysis of data provided by the ATO for the review.</w:t>
      </w:r>
    </w:p>
    <w:p w14:paraId="1196AE87" w14:textId="77777777" w:rsidR="00E96B29" w:rsidRPr="00027624" w:rsidRDefault="00E96B29" w:rsidP="00E96B29">
      <w:r w:rsidRPr="00027624">
        <w:t>Only voluntary superannuation contributions made through salary sacrifice arrangements were modelled when analysing gender. Women are more likely to make personal deductible voluntary contributions and after</w:t>
      </w:r>
      <w:r w:rsidR="00A8443E" w:rsidRPr="00027624">
        <w:noBreakHyphen/>
      </w:r>
      <w:r w:rsidRPr="00027624">
        <w:t>tax voluntary contributions than men, particularly in the ages approaching retirement. These contributions narrow the gender gap in superannuation balances at older ages. Excluding these types of contributions means the modelling underestimates women</w:t>
      </w:r>
      <w:r w:rsidR="00A8443E" w:rsidRPr="00027624">
        <w:t>’</w:t>
      </w:r>
      <w:r w:rsidRPr="00027624">
        <w:t>s superannuation balances and retirement incomes relative to men</w:t>
      </w:r>
      <w:r w:rsidR="00A8443E" w:rsidRPr="00027624">
        <w:t>’</w:t>
      </w:r>
      <w:r w:rsidRPr="00027624">
        <w:t xml:space="preserve">s (see </w:t>
      </w:r>
      <w:r w:rsidRPr="00027624">
        <w:rPr>
          <w:i/>
        </w:rPr>
        <w:t>3B. Gender and partnered status</w:t>
      </w:r>
      <w:r w:rsidRPr="00027624">
        <w:t>).</w:t>
      </w:r>
    </w:p>
    <w:p w14:paraId="5CB2220B" w14:textId="77777777" w:rsidR="00E96B29" w:rsidRPr="00027624" w:rsidRDefault="00E96B29" w:rsidP="00E96B29">
      <w:pPr>
        <w:pStyle w:val="Heading5"/>
      </w:pPr>
      <w:r w:rsidRPr="00027624">
        <w:t>Superannuation drawdowns</w:t>
      </w:r>
    </w:p>
    <w:p w14:paraId="38D0F842" w14:textId="7DB8FE1D" w:rsidR="00E96B29" w:rsidRPr="00027624" w:rsidRDefault="00E96B29" w:rsidP="00E96B29">
      <w:r w:rsidRPr="00027624">
        <w:t>As men and women were assumed to have different salaries, salary sacrifice contribution rates and working</w:t>
      </w:r>
      <w:r w:rsidR="00A8443E" w:rsidRPr="00027624">
        <w:noBreakHyphen/>
      </w:r>
      <w:r w:rsidRPr="00027624">
        <w:t>life lengths, they were also assumed to have different amounts of superannuation and wealth at retirement. This, combined with different life expectancies, means men and women were assumed to have different optimal drawdown strategies (</w:t>
      </w:r>
      <w:r w:rsidRPr="00027624">
        <w:fldChar w:fldCharType="begin"/>
      </w:r>
      <w:r w:rsidRPr="00027624">
        <w:instrText xml:space="preserve"> REF _Ref42711674 \r \h  \* MERGEFORMAT </w:instrText>
      </w:r>
      <w:r w:rsidRPr="00027624">
        <w:fldChar w:fldCharType="separate"/>
      </w:r>
      <w:r w:rsidR="00891058">
        <w:t>Table 6A-18</w:t>
      </w:r>
      <w:r w:rsidRPr="00027624">
        <w:fldChar w:fldCharType="end"/>
      </w:r>
      <w:r w:rsidRPr="00027624">
        <w:t xml:space="preserve"> and </w:t>
      </w:r>
      <w:r w:rsidRPr="00027624">
        <w:fldChar w:fldCharType="begin"/>
      </w:r>
      <w:r w:rsidRPr="00027624">
        <w:instrText xml:space="preserve"> REF _Ref42711691 \r \h  \* MERGEFORMAT </w:instrText>
      </w:r>
      <w:r w:rsidRPr="00027624">
        <w:fldChar w:fldCharType="separate"/>
      </w:r>
      <w:r w:rsidR="00891058">
        <w:t>Table 6A-19</w:t>
      </w:r>
      <w:r w:rsidRPr="00027624">
        <w:fldChar w:fldCharType="end"/>
      </w:r>
      <w:r w:rsidRPr="00027624">
        <w:t>).</w:t>
      </w:r>
    </w:p>
    <w:p w14:paraId="43D0C3E8" w14:textId="77777777" w:rsidR="00791570" w:rsidRPr="00027624" w:rsidRDefault="00791570" w:rsidP="00E96B29"/>
    <w:p w14:paraId="3AF88382" w14:textId="77777777" w:rsidR="00791570" w:rsidRPr="00027624" w:rsidRDefault="00791570">
      <w:pPr>
        <w:spacing w:before="0" w:after="160" w:line="259" w:lineRule="auto"/>
      </w:pPr>
      <w:r w:rsidRPr="00027624">
        <w:br w:type="page"/>
      </w:r>
    </w:p>
    <w:p w14:paraId="6AD9DF1A" w14:textId="77777777" w:rsidR="00E96B29" w:rsidRPr="00027624" w:rsidRDefault="00E96B29" w:rsidP="00E96B29">
      <w:pPr>
        <w:pStyle w:val="TableMainHeading"/>
        <w:rPr>
          <w:sz w:val="20"/>
          <w:szCs w:val="20"/>
        </w:rPr>
      </w:pPr>
      <w:bookmarkStart w:id="4294" w:name="_Ref42711674"/>
      <w:r w:rsidRPr="00027624">
        <w:t>Men</w:t>
      </w:r>
      <w:r w:rsidR="00A8443E" w:rsidRPr="00027624">
        <w:t>’</w:t>
      </w:r>
      <w:r w:rsidRPr="00027624">
        <w:t>s drawdown rates by income percentile</w:t>
      </w:r>
      <w:bookmarkEnd w:id="4294"/>
    </w:p>
    <w:tbl>
      <w:tblPr>
        <w:tblW w:w="5000" w:type="pct"/>
        <w:tblLook w:val="01E0" w:firstRow="1" w:lastRow="1" w:firstColumn="1" w:lastColumn="1" w:noHBand="0" w:noVBand="0"/>
      </w:tblPr>
      <w:tblGrid>
        <w:gridCol w:w="1388"/>
        <w:gridCol w:w="766"/>
        <w:gridCol w:w="763"/>
        <w:gridCol w:w="763"/>
        <w:gridCol w:w="763"/>
        <w:gridCol w:w="763"/>
        <w:gridCol w:w="763"/>
        <w:gridCol w:w="763"/>
        <w:gridCol w:w="757"/>
        <w:gridCol w:w="758"/>
        <w:gridCol w:w="823"/>
      </w:tblGrid>
      <w:tr w:rsidR="00E96B29" w:rsidRPr="00027624" w14:paraId="795EB0EB" w14:textId="77777777" w:rsidTr="00E96B29">
        <w:trPr>
          <w:trHeight w:val="270"/>
          <w:tblHeader/>
        </w:trPr>
        <w:tc>
          <w:tcPr>
            <w:tcW w:w="701" w:type="pct"/>
            <w:shd w:val="clear" w:color="auto" w:fill="E5E5E5"/>
          </w:tcPr>
          <w:p w14:paraId="4350D039" w14:textId="77777777" w:rsidR="00E96B29" w:rsidRPr="00027624" w:rsidRDefault="00E96B29" w:rsidP="00E96B29">
            <w:pPr>
              <w:pStyle w:val="TableColumnHeadingLeft"/>
            </w:pPr>
            <w:r w:rsidRPr="00027624">
              <w:t>Percentile</w:t>
            </w:r>
          </w:p>
        </w:tc>
        <w:tc>
          <w:tcPr>
            <w:tcW w:w="429" w:type="pct"/>
            <w:shd w:val="clear" w:color="auto" w:fill="E5E5E5"/>
          </w:tcPr>
          <w:p w14:paraId="0E50E437" w14:textId="77777777" w:rsidR="00E96B29" w:rsidRPr="00027624" w:rsidRDefault="00E96B29" w:rsidP="00E96B29">
            <w:pPr>
              <w:pStyle w:val="TableColumnHeadingCentred"/>
            </w:pPr>
          </w:p>
        </w:tc>
        <w:tc>
          <w:tcPr>
            <w:tcW w:w="427" w:type="pct"/>
            <w:shd w:val="clear" w:color="auto" w:fill="E5E5E5"/>
          </w:tcPr>
          <w:p w14:paraId="504FCCB9" w14:textId="77777777" w:rsidR="00E96B29" w:rsidRPr="00027624" w:rsidRDefault="00E96B29" w:rsidP="00E96B29">
            <w:pPr>
              <w:pStyle w:val="TableColumnHeadingCentred"/>
            </w:pPr>
            <w:r w:rsidRPr="00027624">
              <w:t>10</w:t>
            </w:r>
            <w:r w:rsidRPr="00027624">
              <w:rPr>
                <w:vertAlign w:val="superscript"/>
              </w:rPr>
              <w:t>th</w:t>
            </w:r>
          </w:p>
        </w:tc>
        <w:tc>
          <w:tcPr>
            <w:tcW w:w="427" w:type="pct"/>
            <w:shd w:val="clear" w:color="auto" w:fill="E5E5E5"/>
          </w:tcPr>
          <w:p w14:paraId="206DBEA2" w14:textId="77777777" w:rsidR="00E96B29" w:rsidRPr="00027624" w:rsidRDefault="00E96B29" w:rsidP="00E96B29">
            <w:pPr>
              <w:pStyle w:val="TableColumnHeadingCentred"/>
            </w:pPr>
            <w:r w:rsidRPr="00027624">
              <w:t>20</w:t>
            </w:r>
            <w:r w:rsidRPr="00027624">
              <w:rPr>
                <w:vertAlign w:val="superscript"/>
              </w:rPr>
              <w:t>th</w:t>
            </w:r>
          </w:p>
        </w:tc>
        <w:tc>
          <w:tcPr>
            <w:tcW w:w="427" w:type="pct"/>
            <w:shd w:val="clear" w:color="auto" w:fill="E5E5E5"/>
          </w:tcPr>
          <w:p w14:paraId="2D371622" w14:textId="77777777" w:rsidR="00E96B29" w:rsidRPr="00027624" w:rsidRDefault="00E96B29" w:rsidP="00E96B29">
            <w:pPr>
              <w:pStyle w:val="TableColumnHeadingCentred"/>
            </w:pPr>
            <w:r w:rsidRPr="00027624">
              <w:t>30</w:t>
            </w:r>
            <w:r w:rsidRPr="00027624">
              <w:rPr>
                <w:vertAlign w:val="superscript"/>
              </w:rPr>
              <w:t>th</w:t>
            </w:r>
          </w:p>
        </w:tc>
        <w:tc>
          <w:tcPr>
            <w:tcW w:w="427" w:type="pct"/>
            <w:shd w:val="clear" w:color="auto" w:fill="E5E5E5"/>
          </w:tcPr>
          <w:p w14:paraId="3558E28E" w14:textId="77777777" w:rsidR="00E96B29" w:rsidRPr="00027624" w:rsidRDefault="00E96B29" w:rsidP="00E96B29">
            <w:pPr>
              <w:pStyle w:val="TableColumnHeadingCentred"/>
            </w:pPr>
            <w:r w:rsidRPr="00027624">
              <w:t>40</w:t>
            </w:r>
            <w:r w:rsidRPr="00027624">
              <w:rPr>
                <w:vertAlign w:val="superscript"/>
              </w:rPr>
              <w:t>th</w:t>
            </w:r>
          </w:p>
        </w:tc>
        <w:tc>
          <w:tcPr>
            <w:tcW w:w="427" w:type="pct"/>
            <w:shd w:val="clear" w:color="auto" w:fill="E5E5E5"/>
          </w:tcPr>
          <w:p w14:paraId="2DF83103" w14:textId="77777777" w:rsidR="00E96B29" w:rsidRPr="00027624" w:rsidRDefault="00E96B29" w:rsidP="00E96B29">
            <w:pPr>
              <w:pStyle w:val="TableColumnHeadingCentred"/>
            </w:pPr>
            <w:r w:rsidRPr="00027624">
              <w:t>50</w:t>
            </w:r>
            <w:r w:rsidRPr="00027624">
              <w:rPr>
                <w:vertAlign w:val="superscript"/>
              </w:rPr>
              <w:t>th</w:t>
            </w:r>
          </w:p>
        </w:tc>
        <w:tc>
          <w:tcPr>
            <w:tcW w:w="427" w:type="pct"/>
            <w:shd w:val="clear" w:color="auto" w:fill="E5E5E5"/>
          </w:tcPr>
          <w:p w14:paraId="257D083F" w14:textId="77777777" w:rsidR="00E96B29" w:rsidRPr="00027624" w:rsidRDefault="00E96B29" w:rsidP="00E96B29">
            <w:pPr>
              <w:pStyle w:val="TableColumnHeadingCentred"/>
            </w:pPr>
            <w:r w:rsidRPr="00027624">
              <w:t>60</w:t>
            </w:r>
            <w:r w:rsidRPr="00027624">
              <w:rPr>
                <w:vertAlign w:val="superscript"/>
              </w:rPr>
              <w:t>th</w:t>
            </w:r>
          </w:p>
        </w:tc>
        <w:tc>
          <w:tcPr>
            <w:tcW w:w="424" w:type="pct"/>
            <w:shd w:val="clear" w:color="auto" w:fill="E5E5E5"/>
          </w:tcPr>
          <w:p w14:paraId="48B22FA7" w14:textId="77777777" w:rsidR="00E96B29" w:rsidRPr="00027624" w:rsidRDefault="00E96B29" w:rsidP="00E96B29">
            <w:pPr>
              <w:pStyle w:val="TableColumnHeadingCentred"/>
            </w:pPr>
            <w:r w:rsidRPr="00027624">
              <w:t>70</w:t>
            </w:r>
            <w:r w:rsidRPr="00027624">
              <w:rPr>
                <w:vertAlign w:val="superscript"/>
              </w:rPr>
              <w:t>th</w:t>
            </w:r>
          </w:p>
        </w:tc>
        <w:tc>
          <w:tcPr>
            <w:tcW w:w="424" w:type="pct"/>
            <w:shd w:val="clear" w:color="auto" w:fill="E5E5E5"/>
          </w:tcPr>
          <w:p w14:paraId="76DB008B" w14:textId="77777777" w:rsidR="00E96B29" w:rsidRPr="00027624" w:rsidRDefault="00E96B29" w:rsidP="00E96B29">
            <w:pPr>
              <w:pStyle w:val="TableColumnHeadingCentred"/>
            </w:pPr>
            <w:r w:rsidRPr="00027624">
              <w:t>80</w:t>
            </w:r>
            <w:r w:rsidRPr="00027624">
              <w:rPr>
                <w:vertAlign w:val="superscript"/>
              </w:rPr>
              <w:t>th</w:t>
            </w:r>
          </w:p>
        </w:tc>
        <w:tc>
          <w:tcPr>
            <w:tcW w:w="460" w:type="pct"/>
            <w:shd w:val="clear" w:color="auto" w:fill="E5E5E5"/>
          </w:tcPr>
          <w:p w14:paraId="4AB0BD65" w14:textId="77777777" w:rsidR="00E96B29" w:rsidRPr="00027624" w:rsidRDefault="00E96B29" w:rsidP="00E96B29">
            <w:pPr>
              <w:pStyle w:val="TableColumnHeadingCentred"/>
            </w:pPr>
            <w:r w:rsidRPr="00027624">
              <w:t>90</w:t>
            </w:r>
            <w:r w:rsidRPr="00027624">
              <w:rPr>
                <w:vertAlign w:val="superscript"/>
              </w:rPr>
              <w:t>th</w:t>
            </w:r>
          </w:p>
        </w:tc>
      </w:tr>
      <w:tr w:rsidR="00E96B29" w:rsidRPr="00027624" w14:paraId="1321E0D1" w14:textId="77777777" w:rsidTr="00E96B29">
        <w:trPr>
          <w:trHeight w:val="270"/>
        </w:trPr>
        <w:tc>
          <w:tcPr>
            <w:tcW w:w="2411" w:type="pct"/>
            <w:gridSpan w:val="5"/>
            <w:shd w:val="clear" w:color="auto" w:fill="E5E5E5"/>
          </w:tcPr>
          <w:p w14:paraId="40B6106C" w14:textId="77777777" w:rsidR="00E96B29" w:rsidRPr="00027624" w:rsidRDefault="00E96B29" w:rsidP="00E96B29">
            <w:pPr>
              <w:pStyle w:val="TableColumnHeadingCentred"/>
              <w:jc w:val="left"/>
              <w:rPr>
                <w:szCs w:val="18"/>
              </w:rPr>
            </w:pPr>
            <w:r w:rsidRPr="00027624">
              <w:t>Assets at retirement ($</w:t>
            </w:r>
            <w:r w:rsidR="00A8443E" w:rsidRPr="00027624">
              <w:t>’</w:t>
            </w:r>
            <w:r w:rsidRPr="00027624">
              <w:t>000)</w:t>
            </w:r>
          </w:p>
        </w:tc>
        <w:tc>
          <w:tcPr>
            <w:tcW w:w="427" w:type="pct"/>
            <w:shd w:val="clear" w:color="auto" w:fill="E5E5E5"/>
            <w:vAlign w:val="bottom"/>
          </w:tcPr>
          <w:p w14:paraId="23A0CC30" w14:textId="77777777" w:rsidR="00E96B29" w:rsidRPr="00027624" w:rsidRDefault="00E96B29" w:rsidP="00E96B29">
            <w:pPr>
              <w:pStyle w:val="TableColumnHeadingCentred"/>
              <w:rPr>
                <w:szCs w:val="18"/>
              </w:rPr>
            </w:pPr>
          </w:p>
        </w:tc>
        <w:tc>
          <w:tcPr>
            <w:tcW w:w="427" w:type="pct"/>
            <w:shd w:val="clear" w:color="auto" w:fill="E5E5E5"/>
            <w:vAlign w:val="bottom"/>
          </w:tcPr>
          <w:p w14:paraId="6AC615D1" w14:textId="77777777" w:rsidR="00E96B29" w:rsidRPr="00027624" w:rsidRDefault="00E96B29" w:rsidP="00E96B29">
            <w:pPr>
              <w:pStyle w:val="TableColumnHeadingCentred"/>
              <w:rPr>
                <w:szCs w:val="18"/>
              </w:rPr>
            </w:pPr>
          </w:p>
        </w:tc>
        <w:tc>
          <w:tcPr>
            <w:tcW w:w="427" w:type="pct"/>
            <w:shd w:val="clear" w:color="auto" w:fill="E5E5E5"/>
            <w:vAlign w:val="bottom"/>
          </w:tcPr>
          <w:p w14:paraId="4C3FDE99" w14:textId="77777777" w:rsidR="00E96B29" w:rsidRPr="00027624" w:rsidRDefault="00E96B29" w:rsidP="00E96B29">
            <w:pPr>
              <w:pStyle w:val="TableColumnHeadingCentred"/>
              <w:rPr>
                <w:szCs w:val="18"/>
              </w:rPr>
            </w:pPr>
          </w:p>
        </w:tc>
        <w:tc>
          <w:tcPr>
            <w:tcW w:w="424" w:type="pct"/>
            <w:shd w:val="clear" w:color="auto" w:fill="E5E5E5"/>
            <w:vAlign w:val="bottom"/>
          </w:tcPr>
          <w:p w14:paraId="494B6E2C" w14:textId="77777777" w:rsidR="00E96B29" w:rsidRPr="00027624" w:rsidRDefault="00E96B29" w:rsidP="00E96B29">
            <w:pPr>
              <w:pStyle w:val="TableColumnHeadingCentred"/>
              <w:rPr>
                <w:szCs w:val="18"/>
              </w:rPr>
            </w:pPr>
          </w:p>
        </w:tc>
        <w:tc>
          <w:tcPr>
            <w:tcW w:w="424" w:type="pct"/>
            <w:shd w:val="clear" w:color="auto" w:fill="E5E5E5"/>
            <w:vAlign w:val="bottom"/>
          </w:tcPr>
          <w:p w14:paraId="6DCE589C" w14:textId="77777777" w:rsidR="00E96B29" w:rsidRPr="00027624" w:rsidRDefault="00E96B29" w:rsidP="00E96B29">
            <w:pPr>
              <w:pStyle w:val="TableColumnHeadingCentred"/>
              <w:rPr>
                <w:szCs w:val="18"/>
              </w:rPr>
            </w:pPr>
          </w:p>
        </w:tc>
        <w:tc>
          <w:tcPr>
            <w:tcW w:w="460" w:type="pct"/>
            <w:shd w:val="clear" w:color="auto" w:fill="E5E5E5"/>
            <w:vAlign w:val="bottom"/>
          </w:tcPr>
          <w:p w14:paraId="202A5594" w14:textId="77777777" w:rsidR="00E96B29" w:rsidRPr="00027624" w:rsidRDefault="00E96B29" w:rsidP="00E96B29">
            <w:pPr>
              <w:pStyle w:val="TableColumnHeadingCentred"/>
              <w:rPr>
                <w:szCs w:val="18"/>
              </w:rPr>
            </w:pPr>
          </w:p>
        </w:tc>
      </w:tr>
      <w:tr w:rsidR="00E96B29" w:rsidRPr="00027624" w14:paraId="245A9A6D" w14:textId="77777777" w:rsidTr="00E96B29">
        <w:trPr>
          <w:trHeight w:val="270"/>
        </w:trPr>
        <w:tc>
          <w:tcPr>
            <w:tcW w:w="701" w:type="pct"/>
            <w:shd w:val="clear" w:color="auto" w:fill="auto"/>
            <w:vAlign w:val="bottom"/>
          </w:tcPr>
          <w:p w14:paraId="15BA616F" w14:textId="77777777" w:rsidR="00E96B29" w:rsidRPr="00027624" w:rsidRDefault="00E96B29" w:rsidP="00E96B29">
            <w:pPr>
              <w:pStyle w:val="TableTextLeft"/>
            </w:pPr>
            <w:r w:rsidRPr="00027624">
              <w:rPr>
                <w:bCs/>
                <w:szCs w:val="18"/>
              </w:rPr>
              <w:t>Superannuation</w:t>
            </w:r>
          </w:p>
        </w:tc>
        <w:tc>
          <w:tcPr>
            <w:tcW w:w="429" w:type="pct"/>
            <w:shd w:val="clear" w:color="auto" w:fill="auto"/>
          </w:tcPr>
          <w:p w14:paraId="2A3898F2" w14:textId="77777777" w:rsidR="00E96B29" w:rsidRPr="00027624" w:rsidRDefault="00E96B29" w:rsidP="00E96B29">
            <w:pPr>
              <w:pStyle w:val="TableTextLeft"/>
              <w:rPr>
                <w:bCs/>
                <w:szCs w:val="18"/>
              </w:rPr>
            </w:pPr>
          </w:p>
        </w:tc>
        <w:tc>
          <w:tcPr>
            <w:tcW w:w="427" w:type="pct"/>
            <w:shd w:val="clear" w:color="auto" w:fill="auto"/>
            <w:vAlign w:val="bottom"/>
          </w:tcPr>
          <w:p w14:paraId="5850498A" w14:textId="77777777" w:rsidR="00E96B29" w:rsidRPr="00027624" w:rsidRDefault="00E96B29" w:rsidP="00E96B29">
            <w:pPr>
              <w:pStyle w:val="TableTextCentered"/>
            </w:pPr>
            <w:r w:rsidRPr="00027624">
              <w:t>195</w:t>
            </w:r>
          </w:p>
        </w:tc>
        <w:tc>
          <w:tcPr>
            <w:tcW w:w="427" w:type="pct"/>
            <w:shd w:val="clear" w:color="auto" w:fill="auto"/>
            <w:vAlign w:val="bottom"/>
          </w:tcPr>
          <w:p w14:paraId="1B2213DE" w14:textId="77777777" w:rsidR="00E96B29" w:rsidRPr="00027624" w:rsidRDefault="00E96B29" w:rsidP="00E96B29">
            <w:pPr>
              <w:pStyle w:val="TableTextCentered"/>
            </w:pPr>
            <w:r w:rsidRPr="00027624">
              <w:t>320</w:t>
            </w:r>
          </w:p>
        </w:tc>
        <w:tc>
          <w:tcPr>
            <w:tcW w:w="427" w:type="pct"/>
            <w:shd w:val="clear" w:color="auto" w:fill="auto"/>
            <w:vAlign w:val="bottom"/>
          </w:tcPr>
          <w:p w14:paraId="0560F23C" w14:textId="77777777" w:rsidR="00E96B29" w:rsidRPr="00027624" w:rsidRDefault="00E96B29" w:rsidP="00E96B29">
            <w:pPr>
              <w:pStyle w:val="TableTextCentered"/>
            </w:pPr>
            <w:r w:rsidRPr="00027624">
              <w:t>410</w:t>
            </w:r>
          </w:p>
        </w:tc>
        <w:tc>
          <w:tcPr>
            <w:tcW w:w="427" w:type="pct"/>
            <w:shd w:val="clear" w:color="auto" w:fill="auto"/>
            <w:vAlign w:val="bottom"/>
          </w:tcPr>
          <w:p w14:paraId="73399F51" w14:textId="77777777" w:rsidR="00E96B29" w:rsidRPr="00027624" w:rsidRDefault="00E96B29" w:rsidP="00E96B29">
            <w:pPr>
              <w:pStyle w:val="TableTextCentered"/>
            </w:pPr>
            <w:r w:rsidRPr="00027624">
              <w:t>490</w:t>
            </w:r>
          </w:p>
        </w:tc>
        <w:tc>
          <w:tcPr>
            <w:tcW w:w="427" w:type="pct"/>
            <w:shd w:val="clear" w:color="auto" w:fill="auto"/>
            <w:vAlign w:val="bottom"/>
          </w:tcPr>
          <w:p w14:paraId="04A1D71F" w14:textId="77777777" w:rsidR="00E96B29" w:rsidRPr="00027624" w:rsidRDefault="00E96B29" w:rsidP="00E96B29">
            <w:pPr>
              <w:pStyle w:val="TableTextCentered"/>
            </w:pPr>
            <w:r w:rsidRPr="00027624">
              <w:t>580</w:t>
            </w:r>
          </w:p>
        </w:tc>
        <w:tc>
          <w:tcPr>
            <w:tcW w:w="427" w:type="pct"/>
            <w:shd w:val="clear" w:color="auto" w:fill="auto"/>
            <w:vAlign w:val="bottom"/>
          </w:tcPr>
          <w:p w14:paraId="4FC67AEE" w14:textId="77777777" w:rsidR="00E96B29" w:rsidRPr="00027624" w:rsidRDefault="00E96B29" w:rsidP="00E96B29">
            <w:pPr>
              <w:pStyle w:val="TableTextCentered"/>
            </w:pPr>
            <w:r w:rsidRPr="00027624">
              <w:t>695</w:t>
            </w:r>
          </w:p>
        </w:tc>
        <w:tc>
          <w:tcPr>
            <w:tcW w:w="424" w:type="pct"/>
            <w:shd w:val="clear" w:color="auto" w:fill="auto"/>
            <w:vAlign w:val="bottom"/>
          </w:tcPr>
          <w:p w14:paraId="0C66DEEC" w14:textId="77777777" w:rsidR="00E96B29" w:rsidRPr="00027624" w:rsidRDefault="00E96B29" w:rsidP="00E96B29">
            <w:pPr>
              <w:pStyle w:val="TableTextCentered"/>
            </w:pPr>
            <w:r w:rsidRPr="00027624">
              <w:t>810</w:t>
            </w:r>
          </w:p>
        </w:tc>
        <w:tc>
          <w:tcPr>
            <w:tcW w:w="424" w:type="pct"/>
            <w:shd w:val="clear" w:color="auto" w:fill="auto"/>
            <w:vAlign w:val="bottom"/>
          </w:tcPr>
          <w:p w14:paraId="6182AAC5" w14:textId="77777777" w:rsidR="00E96B29" w:rsidRPr="00027624" w:rsidRDefault="00E96B29" w:rsidP="00E96B29">
            <w:pPr>
              <w:pStyle w:val="TableTextCentered"/>
            </w:pPr>
            <w:r w:rsidRPr="00027624">
              <w:t>975</w:t>
            </w:r>
          </w:p>
        </w:tc>
        <w:tc>
          <w:tcPr>
            <w:tcW w:w="460" w:type="pct"/>
            <w:shd w:val="clear" w:color="auto" w:fill="auto"/>
            <w:vAlign w:val="bottom"/>
          </w:tcPr>
          <w:p w14:paraId="6CDE39C1" w14:textId="77777777" w:rsidR="00E96B29" w:rsidRPr="00027624" w:rsidRDefault="00E96B29" w:rsidP="00E96B29">
            <w:pPr>
              <w:pStyle w:val="TableTextCentered"/>
            </w:pPr>
            <w:r w:rsidRPr="00027624">
              <w:t>1,065</w:t>
            </w:r>
          </w:p>
        </w:tc>
      </w:tr>
      <w:tr w:rsidR="00E96B29" w:rsidRPr="00027624" w14:paraId="7B0F0AC9" w14:textId="77777777" w:rsidTr="00E96B29">
        <w:trPr>
          <w:trHeight w:val="270"/>
        </w:trPr>
        <w:tc>
          <w:tcPr>
            <w:tcW w:w="701" w:type="pct"/>
            <w:shd w:val="clear" w:color="auto" w:fill="auto"/>
            <w:vAlign w:val="bottom"/>
          </w:tcPr>
          <w:p w14:paraId="42E2FE12" w14:textId="77777777" w:rsidR="00E96B29" w:rsidRPr="00027624" w:rsidRDefault="00E96B29" w:rsidP="00E96B29">
            <w:pPr>
              <w:pStyle w:val="TableTextLeft"/>
            </w:pPr>
            <w:r w:rsidRPr="00027624">
              <w:t>Other assets</w:t>
            </w:r>
          </w:p>
        </w:tc>
        <w:tc>
          <w:tcPr>
            <w:tcW w:w="429" w:type="pct"/>
            <w:shd w:val="clear" w:color="auto" w:fill="auto"/>
          </w:tcPr>
          <w:p w14:paraId="1939D467" w14:textId="77777777" w:rsidR="00E96B29" w:rsidRPr="00027624" w:rsidRDefault="00E96B29" w:rsidP="00E96B29">
            <w:pPr>
              <w:pStyle w:val="TableTextLeft"/>
              <w:rPr>
                <w:bCs/>
                <w:szCs w:val="18"/>
              </w:rPr>
            </w:pPr>
          </w:p>
        </w:tc>
        <w:tc>
          <w:tcPr>
            <w:tcW w:w="427" w:type="pct"/>
            <w:shd w:val="clear" w:color="auto" w:fill="auto"/>
            <w:vAlign w:val="bottom"/>
          </w:tcPr>
          <w:p w14:paraId="5A96416B" w14:textId="77777777" w:rsidR="00E96B29" w:rsidRPr="00027624" w:rsidRDefault="00E96B29" w:rsidP="00E96B29">
            <w:pPr>
              <w:pStyle w:val="TableTextCentered"/>
            </w:pPr>
            <w:r w:rsidRPr="00027624">
              <w:t>5</w:t>
            </w:r>
          </w:p>
        </w:tc>
        <w:tc>
          <w:tcPr>
            <w:tcW w:w="427" w:type="pct"/>
            <w:shd w:val="clear" w:color="auto" w:fill="auto"/>
            <w:vAlign w:val="bottom"/>
          </w:tcPr>
          <w:p w14:paraId="51588315" w14:textId="77777777" w:rsidR="00E96B29" w:rsidRPr="00027624" w:rsidRDefault="00E96B29" w:rsidP="00E96B29">
            <w:pPr>
              <w:pStyle w:val="TableTextCentered"/>
            </w:pPr>
            <w:r w:rsidRPr="00027624">
              <w:t>5</w:t>
            </w:r>
          </w:p>
        </w:tc>
        <w:tc>
          <w:tcPr>
            <w:tcW w:w="427" w:type="pct"/>
            <w:shd w:val="clear" w:color="auto" w:fill="auto"/>
            <w:vAlign w:val="bottom"/>
          </w:tcPr>
          <w:p w14:paraId="4BA994F8" w14:textId="77777777" w:rsidR="00E96B29" w:rsidRPr="00027624" w:rsidRDefault="00E96B29" w:rsidP="00E96B29">
            <w:pPr>
              <w:pStyle w:val="TableTextCentered"/>
            </w:pPr>
            <w:r w:rsidRPr="00027624">
              <w:t>10</w:t>
            </w:r>
          </w:p>
        </w:tc>
        <w:tc>
          <w:tcPr>
            <w:tcW w:w="427" w:type="pct"/>
            <w:shd w:val="clear" w:color="auto" w:fill="auto"/>
            <w:vAlign w:val="bottom"/>
          </w:tcPr>
          <w:p w14:paraId="43C4CDDA" w14:textId="77777777" w:rsidR="00E96B29" w:rsidRPr="00027624" w:rsidRDefault="00E96B29" w:rsidP="00E96B29">
            <w:pPr>
              <w:pStyle w:val="TableTextCentered"/>
            </w:pPr>
            <w:r w:rsidRPr="00027624">
              <w:t>15</w:t>
            </w:r>
          </w:p>
        </w:tc>
        <w:tc>
          <w:tcPr>
            <w:tcW w:w="427" w:type="pct"/>
            <w:shd w:val="clear" w:color="auto" w:fill="auto"/>
            <w:vAlign w:val="bottom"/>
          </w:tcPr>
          <w:p w14:paraId="701A0347" w14:textId="77777777" w:rsidR="00E96B29" w:rsidRPr="00027624" w:rsidRDefault="00E96B29" w:rsidP="00E96B29">
            <w:pPr>
              <w:pStyle w:val="TableTextCentered"/>
            </w:pPr>
            <w:r w:rsidRPr="00027624">
              <w:t>25</w:t>
            </w:r>
          </w:p>
        </w:tc>
        <w:tc>
          <w:tcPr>
            <w:tcW w:w="427" w:type="pct"/>
            <w:shd w:val="clear" w:color="auto" w:fill="auto"/>
            <w:vAlign w:val="bottom"/>
          </w:tcPr>
          <w:p w14:paraId="30FCA7E4" w14:textId="77777777" w:rsidR="00E96B29" w:rsidRPr="00027624" w:rsidRDefault="00E96B29" w:rsidP="00E96B29">
            <w:pPr>
              <w:pStyle w:val="TableTextCentered"/>
            </w:pPr>
            <w:r w:rsidRPr="00027624">
              <w:t>40</w:t>
            </w:r>
          </w:p>
        </w:tc>
        <w:tc>
          <w:tcPr>
            <w:tcW w:w="424" w:type="pct"/>
            <w:shd w:val="clear" w:color="auto" w:fill="auto"/>
            <w:vAlign w:val="bottom"/>
          </w:tcPr>
          <w:p w14:paraId="67C19B49" w14:textId="77777777" w:rsidR="00E96B29" w:rsidRPr="00027624" w:rsidRDefault="00E96B29" w:rsidP="00E96B29">
            <w:pPr>
              <w:pStyle w:val="TableTextCentered"/>
            </w:pPr>
            <w:r w:rsidRPr="00027624">
              <w:t>75</w:t>
            </w:r>
          </w:p>
        </w:tc>
        <w:tc>
          <w:tcPr>
            <w:tcW w:w="424" w:type="pct"/>
            <w:shd w:val="clear" w:color="auto" w:fill="auto"/>
            <w:vAlign w:val="bottom"/>
          </w:tcPr>
          <w:p w14:paraId="096F27F9" w14:textId="77777777" w:rsidR="00E96B29" w:rsidRPr="00027624" w:rsidRDefault="00E96B29" w:rsidP="00E96B29">
            <w:pPr>
              <w:pStyle w:val="TableTextCentered"/>
            </w:pPr>
            <w:r w:rsidRPr="00027624">
              <w:t>180</w:t>
            </w:r>
          </w:p>
        </w:tc>
        <w:tc>
          <w:tcPr>
            <w:tcW w:w="460" w:type="pct"/>
            <w:shd w:val="clear" w:color="auto" w:fill="auto"/>
            <w:vAlign w:val="bottom"/>
          </w:tcPr>
          <w:p w14:paraId="085D36E1" w14:textId="77777777" w:rsidR="00E96B29" w:rsidRPr="00027624" w:rsidRDefault="00E96B29" w:rsidP="00E96B29">
            <w:pPr>
              <w:pStyle w:val="TableTextCentered"/>
            </w:pPr>
            <w:r w:rsidRPr="00027624">
              <w:t>550</w:t>
            </w:r>
          </w:p>
        </w:tc>
      </w:tr>
      <w:tr w:rsidR="00E96B29" w:rsidRPr="00027624" w14:paraId="5F79C41A" w14:textId="77777777" w:rsidTr="00E96B29">
        <w:trPr>
          <w:trHeight w:val="270"/>
        </w:trPr>
        <w:tc>
          <w:tcPr>
            <w:tcW w:w="2411" w:type="pct"/>
            <w:gridSpan w:val="5"/>
            <w:shd w:val="clear" w:color="auto" w:fill="EAEAEA" w:themeFill="accent6" w:themeFillTint="33"/>
            <w:vAlign w:val="bottom"/>
          </w:tcPr>
          <w:p w14:paraId="0B1DB1F1" w14:textId="77777777" w:rsidR="00E96B29" w:rsidRPr="00027624" w:rsidRDefault="00E96B29" w:rsidP="00E96B29">
            <w:pPr>
              <w:pStyle w:val="TableColumnHeadingLeft"/>
              <w:rPr>
                <w:rFonts w:cs="Calibri"/>
                <w:szCs w:val="18"/>
              </w:rPr>
            </w:pPr>
            <w:r w:rsidRPr="00027624">
              <w:t>Drawdown rate by age (per cent)</w:t>
            </w:r>
          </w:p>
        </w:tc>
        <w:tc>
          <w:tcPr>
            <w:tcW w:w="427" w:type="pct"/>
            <w:shd w:val="clear" w:color="auto" w:fill="EAEAEA" w:themeFill="accent6" w:themeFillTint="33"/>
            <w:vAlign w:val="bottom"/>
          </w:tcPr>
          <w:p w14:paraId="0D4013D7" w14:textId="77777777" w:rsidR="00E96B29" w:rsidRPr="00027624" w:rsidRDefault="00E96B29" w:rsidP="00E96B29">
            <w:pPr>
              <w:pStyle w:val="TableColumnHeadingCentred"/>
            </w:pPr>
          </w:p>
        </w:tc>
        <w:tc>
          <w:tcPr>
            <w:tcW w:w="854" w:type="pct"/>
            <w:gridSpan w:val="2"/>
            <w:shd w:val="clear" w:color="auto" w:fill="EAEAEA" w:themeFill="accent6" w:themeFillTint="33"/>
            <w:vAlign w:val="bottom"/>
          </w:tcPr>
          <w:p w14:paraId="6E45D5CD" w14:textId="77777777" w:rsidR="00E96B29" w:rsidRPr="00027624" w:rsidRDefault="00E96B29" w:rsidP="00E96B29">
            <w:pPr>
              <w:pStyle w:val="TableColumnHeadingCentred"/>
            </w:pPr>
          </w:p>
        </w:tc>
        <w:tc>
          <w:tcPr>
            <w:tcW w:w="424" w:type="pct"/>
            <w:shd w:val="clear" w:color="auto" w:fill="EAEAEA" w:themeFill="accent6" w:themeFillTint="33"/>
            <w:vAlign w:val="bottom"/>
          </w:tcPr>
          <w:p w14:paraId="08280A3E" w14:textId="77777777" w:rsidR="00E96B29" w:rsidRPr="00027624" w:rsidRDefault="00E96B29" w:rsidP="00E96B29">
            <w:pPr>
              <w:pStyle w:val="TableTextLeft"/>
              <w:rPr>
                <w:rFonts w:cs="Calibri"/>
                <w:szCs w:val="18"/>
              </w:rPr>
            </w:pPr>
          </w:p>
        </w:tc>
        <w:tc>
          <w:tcPr>
            <w:tcW w:w="424" w:type="pct"/>
            <w:shd w:val="clear" w:color="auto" w:fill="EAEAEA" w:themeFill="accent6" w:themeFillTint="33"/>
            <w:vAlign w:val="bottom"/>
          </w:tcPr>
          <w:p w14:paraId="031DAE3D" w14:textId="77777777" w:rsidR="00E96B29" w:rsidRPr="00027624" w:rsidRDefault="00E96B29" w:rsidP="00E96B29">
            <w:pPr>
              <w:pStyle w:val="TableTextLeft"/>
              <w:rPr>
                <w:rFonts w:cs="Calibri"/>
                <w:szCs w:val="18"/>
              </w:rPr>
            </w:pPr>
          </w:p>
        </w:tc>
        <w:tc>
          <w:tcPr>
            <w:tcW w:w="460" w:type="pct"/>
            <w:shd w:val="clear" w:color="auto" w:fill="EAEAEA" w:themeFill="accent6" w:themeFillTint="33"/>
            <w:vAlign w:val="bottom"/>
          </w:tcPr>
          <w:p w14:paraId="24B2191A" w14:textId="77777777" w:rsidR="00E96B29" w:rsidRPr="00027624" w:rsidRDefault="00E96B29" w:rsidP="00E96B29">
            <w:pPr>
              <w:pStyle w:val="TableTextLeft"/>
              <w:rPr>
                <w:rFonts w:cs="Calibri"/>
                <w:szCs w:val="18"/>
              </w:rPr>
            </w:pPr>
          </w:p>
        </w:tc>
      </w:tr>
      <w:tr w:rsidR="00E96B29" w:rsidRPr="00027624" w14:paraId="3344DECE" w14:textId="77777777" w:rsidTr="00E96B29">
        <w:trPr>
          <w:trHeight w:val="270"/>
        </w:trPr>
        <w:tc>
          <w:tcPr>
            <w:tcW w:w="701" w:type="pct"/>
            <w:vAlign w:val="bottom"/>
          </w:tcPr>
          <w:p w14:paraId="5D64F921" w14:textId="77777777" w:rsidR="00E96B29" w:rsidRPr="00027624" w:rsidRDefault="00E96B29" w:rsidP="00E96B29">
            <w:pPr>
              <w:pStyle w:val="TableTextLeft"/>
              <w:rPr>
                <w:szCs w:val="18"/>
              </w:rPr>
            </w:pPr>
            <w:r w:rsidRPr="00027624">
              <w:rPr>
                <w:bCs/>
                <w:szCs w:val="18"/>
              </w:rPr>
              <w:t>67</w:t>
            </w:r>
          </w:p>
        </w:tc>
        <w:tc>
          <w:tcPr>
            <w:tcW w:w="429" w:type="pct"/>
            <w:shd w:val="clear" w:color="000000" w:fill="FFFFFF"/>
          </w:tcPr>
          <w:p w14:paraId="05B63F1C"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3B9FB9AA" w14:textId="77777777" w:rsidR="00E96B29" w:rsidRPr="00027624" w:rsidRDefault="00E96B29" w:rsidP="00E96B29">
            <w:pPr>
              <w:pStyle w:val="TableTextCentered"/>
              <w:rPr>
                <w:szCs w:val="18"/>
              </w:rPr>
            </w:pPr>
            <w:r w:rsidRPr="00027624">
              <w:rPr>
                <w:rFonts w:cs="Calibri"/>
                <w:szCs w:val="18"/>
              </w:rPr>
              <w:t>9.1</w:t>
            </w:r>
          </w:p>
        </w:tc>
        <w:tc>
          <w:tcPr>
            <w:tcW w:w="427" w:type="pct"/>
            <w:shd w:val="clear" w:color="000000" w:fill="FFFFFF"/>
            <w:vAlign w:val="bottom"/>
          </w:tcPr>
          <w:p w14:paraId="79A273D7" w14:textId="77777777" w:rsidR="00E96B29" w:rsidRPr="00027624" w:rsidRDefault="00E96B29" w:rsidP="00E96B29">
            <w:pPr>
              <w:pStyle w:val="TableTextCentered"/>
              <w:rPr>
                <w:szCs w:val="18"/>
              </w:rPr>
            </w:pPr>
            <w:r w:rsidRPr="00027624">
              <w:rPr>
                <w:rFonts w:cs="Calibri"/>
                <w:szCs w:val="18"/>
              </w:rPr>
              <w:t>10.1</w:t>
            </w:r>
          </w:p>
        </w:tc>
        <w:tc>
          <w:tcPr>
            <w:tcW w:w="427" w:type="pct"/>
            <w:shd w:val="clear" w:color="000000" w:fill="FFFFFF"/>
            <w:vAlign w:val="bottom"/>
          </w:tcPr>
          <w:p w14:paraId="6842EB13"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6A412E5D" w14:textId="77777777" w:rsidR="00E96B29" w:rsidRPr="00027624" w:rsidRDefault="00E96B29" w:rsidP="00E96B29">
            <w:pPr>
              <w:pStyle w:val="TableTextCentered"/>
              <w:rPr>
                <w:szCs w:val="18"/>
              </w:rPr>
            </w:pPr>
            <w:r w:rsidRPr="00027624">
              <w:rPr>
                <w:rFonts w:cs="Calibri"/>
                <w:szCs w:val="18"/>
              </w:rPr>
              <w:t>9.6</w:t>
            </w:r>
          </w:p>
        </w:tc>
        <w:tc>
          <w:tcPr>
            <w:tcW w:w="427" w:type="pct"/>
            <w:shd w:val="clear" w:color="000000" w:fill="FFFFFF"/>
            <w:vAlign w:val="bottom"/>
          </w:tcPr>
          <w:p w14:paraId="619C864B" w14:textId="77777777" w:rsidR="00E96B29" w:rsidRPr="00027624" w:rsidRDefault="00E96B29" w:rsidP="00E96B29">
            <w:pPr>
              <w:pStyle w:val="TableTextCentered"/>
              <w:rPr>
                <w:szCs w:val="18"/>
              </w:rPr>
            </w:pPr>
            <w:r w:rsidRPr="00027624">
              <w:rPr>
                <w:rFonts w:cs="Calibri"/>
                <w:szCs w:val="18"/>
              </w:rPr>
              <w:t>8.6</w:t>
            </w:r>
          </w:p>
        </w:tc>
        <w:tc>
          <w:tcPr>
            <w:tcW w:w="427" w:type="pct"/>
            <w:shd w:val="clear" w:color="000000" w:fill="FFFFFF"/>
            <w:vAlign w:val="bottom"/>
          </w:tcPr>
          <w:p w14:paraId="4CD8C349" w14:textId="77777777" w:rsidR="00E96B29" w:rsidRPr="00027624" w:rsidRDefault="00E96B29" w:rsidP="00E96B29">
            <w:pPr>
              <w:pStyle w:val="TableTextCentered"/>
              <w:rPr>
                <w:szCs w:val="18"/>
              </w:rPr>
            </w:pPr>
            <w:r w:rsidRPr="00027624">
              <w:rPr>
                <w:rFonts w:cs="Calibri"/>
                <w:szCs w:val="18"/>
              </w:rPr>
              <w:t>7.3</w:t>
            </w:r>
          </w:p>
        </w:tc>
        <w:tc>
          <w:tcPr>
            <w:tcW w:w="424" w:type="pct"/>
            <w:shd w:val="clear" w:color="000000" w:fill="FFFFFF"/>
            <w:vAlign w:val="bottom"/>
          </w:tcPr>
          <w:p w14:paraId="32C8B1C5" w14:textId="77777777" w:rsidR="00E96B29" w:rsidRPr="00027624" w:rsidRDefault="00E96B29" w:rsidP="00E96B29">
            <w:pPr>
              <w:pStyle w:val="TableTextCentered"/>
              <w:rPr>
                <w:szCs w:val="18"/>
              </w:rPr>
            </w:pPr>
            <w:r w:rsidRPr="00027624">
              <w:rPr>
                <w:rFonts w:cs="Calibri"/>
                <w:szCs w:val="18"/>
              </w:rPr>
              <w:t>6.7</w:t>
            </w:r>
          </w:p>
        </w:tc>
        <w:tc>
          <w:tcPr>
            <w:tcW w:w="424" w:type="pct"/>
            <w:shd w:val="clear" w:color="000000" w:fill="FFFFFF"/>
            <w:vAlign w:val="bottom"/>
          </w:tcPr>
          <w:p w14:paraId="58589BC5" w14:textId="77777777" w:rsidR="00E96B29" w:rsidRPr="00027624" w:rsidRDefault="00E96B29" w:rsidP="00E96B29">
            <w:pPr>
              <w:pStyle w:val="TableTextCentered"/>
              <w:rPr>
                <w:szCs w:val="18"/>
              </w:rPr>
            </w:pPr>
            <w:r w:rsidRPr="00027624">
              <w:rPr>
                <w:rFonts w:cs="Calibri"/>
                <w:szCs w:val="18"/>
              </w:rPr>
              <w:t>5.8</w:t>
            </w:r>
          </w:p>
        </w:tc>
        <w:tc>
          <w:tcPr>
            <w:tcW w:w="460" w:type="pct"/>
            <w:shd w:val="clear" w:color="000000" w:fill="FFFFFF"/>
            <w:vAlign w:val="bottom"/>
          </w:tcPr>
          <w:p w14:paraId="5A5CC02A" w14:textId="77777777" w:rsidR="00E96B29" w:rsidRPr="00027624" w:rsidRDefault="00E96B29" w:rsidP="00E96B29">
            <w:pPr>
              <w:pStyle w:val="TableTextCentered"/>
              <w:rPr>
                <w:szCs w:val="18"/>
              </w:rPr>
            </w:pPr>
            <w:r w:rsidRPr="00027624">
              <w:rPr>
                <w:rFonts w:cs="Calibri"/>
                <w:szCs w:val="18"/>
              </w:rPr>
              <w:t>4.6</w:t>
            </w:r>
          </w:p>
        </w:tc>
      </w:tr>
      <w:tr w:rsidR="00E96B29" w:rsidRPr="00027624" w14:paraId="2F68885F" w14:textId="77777777" w:rsidTr="00E96B29">
        <w:trPr>
          <w:trHeight w:val="270"/>
        </w:trPr>
        <w:tc>
          <w:tcPr>
            <w:tcW w:w="701" w:type="pct"/>
            <w:vAlign w:val="bottom"/>
          </w:tcPr>
          <w:p w14:paraId="74244C9D" w14:textId="77777777" w:rsidR="00E96B29" w:rsidRPr="00027624" w:rsidRDefault="00E96B29" w:rsidP="00E96B29">
            <w:pPr>
              <w:pStyle w:val="TableTextLeft"/>
              <w:rPr>
                <w:szCs w:val="18"/>
              </w:rPr>
            </w:pPr>
            <w:r w:rsidRPr="00027624">
              <w:rPr>
                <w:bCs/>
                <w:szCs w:val="18"/>
              </w:rPr>
              <w:t>68</w:t>
            </w:r>
          </w:p>
        </w:tc>
        <w:tc>
          <w:tcPr>
            <w:tcW w:w="429" w:type="pct"/>
            <w:shd w:val="clear" w:color="000000" w:fill="FFFFFF"/>
          </w:tcPr>
          <w:p w14:paraId="2F9C23B0"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1411EC22" w14:textId="77777777" w:rsidR="00E96B29" w:rsidRPr="00027624" w:rsidRDefault="00E96B29" w:rsidP="00E96B29">
            <w:pPr>
              <w:pStyle w:val="TableTextCentered"/>
              <w:rPr>
                <w:szCs w:val="18"/>
              </w:rPr>
            </w:pPr>
            <w:r w:rsidRPr="00027624">
              <w:rPr>
                <w:rFonts w:cs="Calibri"/>
                <w:szCs w:val="18"/>
              </w:rPr>
              <w:t>9.0</w:t>
            </w:r>
          </w:p>
        </w:tc>
        <w:tc>
          <w:tcPr>
            <w:tcW w:w="427" w:type="pct"/>
            <w:shd w:val="clear" w:color="000000" w:fill="FFFFFF"/>
            <w:vAlign w:val="bottom"/>
          </w:tcPr>
          <w:p w14:paraId="0E9C9BFD" w14:textId="77777777" w:rsidR="00E96B29" w:rsidRPr="00027624" w:rsidRDefault="00E96B29" w:rsidP="00E96B29">
            <w:pPr>
              <w:pStyle w:val="TableTextCentered"/>
              <w:rPr>
                <w:szCs w:val="18"/>
              </w:rPr>
            </w:pPr>
            <w:r w:rsidRPr="00027624">
              <w:rPr>
                <w:rFonts w:cs="Calibri"/>
                <w:szCs w:val="18"/>
              </w:rPr>
              <w:t>10.2</w:t>
            </w:r>
          </w:p>
        </w:tc>
        <w:tc>
          <w:tcPr>
            <w:tcW w:w="427" w:type="pct"/>
            <w:shd w:val="clear" w:color="000000" w:fill="FFFFFF"/>
            <w:vAlign w:val="bottom"/>
          </w:tcPr>
          <w:p w14:paraId="2918DEE7" w14:textId="77777777" w:rsidR="00E96B29" w:rsidRPr="00027624" w:rsidRDefault="00E96B29" w:rsidP="00E96B29">
            <w:pPr>
              <w:pStyle w:val="TableTextCentered"/>
              <w:rPr>
                <w:szCs w:val="18"/>
              </w:rPr>
            </w:pPr>
            <w:r w:rsidRPr="00027624">
              <w:rPr>
                <w:rFonts w:cs="Calibri"/>
                <w:szCs w:val="18"/>
              </w:rPr>
              <w:t>10.4</w:t>
            </w:r>
          </w:p>
        </w:tc>
        <w:tc>
          <w:tcPr>
            <w:tcW w:w="427" w:type="pct"/>
            <w:shd w:val="clear" w:color="000000" w:fill="FFFFFF"/>
            <w:vAlign w:val="bottom"/>
          </w:tcPr>
          <w:p w14:paraId="3A2BFAEB"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4445C949" w14:textId="77777777" w:rsidR="00E96B29" w:rsidRPr="00027624" w:rsidRDefault="00E96B29" w:rsidP="00E96B29">
            <w:pPr>
              <w:pStyle w:val="TableTextCentered"/>
              <w:rPr>
                <w:szCs w:val="18"/>
              </w:rPr>
            </w:pPr>
            <w:r w:rsidRPr="00027624">
              <w:rPr>
                <w:rFonts w:cs="Calibri"/>
                <w:szCs w:val="18"/>
              </w:rPr>
              <w:t>9.2</w:t>
            </w:r>
          </w:p>
        </w:tc>
        <w:tc>
          <w:tcPr>
            <w:tcW w:w="427" w:type="pct"/>
            <w:shd w:val="clear" w:color="000000" w:fill="FFFFFF"/>
            <w:vAlign w:val="bottom"/>
          </w:tcPr>
          <w:p w14:paraId="4447CD09" w14:textId="77777777" w:rsidR="00E96B29" w:rsidRPr="00027624" w:rsidRDefault="00E96B29" w:rsidP="00E96B29">
            <w:pPr>
              <w:pStyle w:val="TableTextCentered"/>
              <w:rPr>
                <w:szCs w:val="18"/>
              </w:rPr>
            </w:pPr>
            <w:r w:rsidRPr="00027624">
              <w:rPr>
                <w:rFonts w:cs="Calibri"/>
                <w:szCs w:val="18"/>
              </w:rPr>
              <w:t>7.7</w:t>
            </w:r>
          </w:p>
        </w:tc>
        <w:tc>
          <w:tcPr>
            <w:tcW w:w="424" w:type="pct"/>
            <w:shd w:val="clear" w:color="000000" w:fill="FFFFFF"/>
            <w:vAlign w:val="bottom"/>
          </w:tcPr>
          <w:p w14:paraId="1191B21B" w14:textId="77777777" w:rsidR="00E96B29" w:rsidRPr="00027624" w:rsidRDefault="00E96B29" w:rsidP="00E96B29">
            <w:pPr>
              <w:pStyle w:val="TableTextCentered"/>
              <w:rPr>
                <w:szCs w:val="18"/>
              </w:rPr>
            </w:pPr>
            <w:r w:rsidRPr="00027624">
              <w:rPr>
                <w:rFonts w:cs="Calibri"/>
                <w:szCs w:val="18"/>
              </w:rPr>
              <w:t>7.0</w:t>
            </w:r>
          </w:p>
        </w:tc>
        <w:tc>
          <w:tcPr>
            <w:tcW w:w="424" w:type="pct"/>
            <w:shd w:val="clear" w:color="000000" w:fill="FFFFFF"/>
            <w:vAlign w:val="bottom"/>
          </w:tcPr>
          <w:p w14:paraId="1D6A7580" w14:textId="77777777" w:rsidR="00E96B29" w:rsidRPr="00027624" w:rsidRDefault="00E96B29" w:rsidP="00E96B29">
            <w:pPr>
              <w:pStyle w:val="TableTextCentered"/>
              <w:rPr>
                <w:szCs w:val="18"/>
              </w:rPr>
            </w:pPr>
            <w:r w:rsidRPr="00027624">
              <w:rPr>
                <w:rFonts w:cs="Calibri"/>
                <w:szCs w:val="18"/>
              </w:rPr>
              <w:t>6.0</w:t>
            </w:r>
          </w:p>
        </w:tc>
        <w:tc>
          <w:tcPr>
            <w:tcW w:w="460" w:type="pct"/>
            <w:shd w:val="clear" w:color="000000" w:fill="FFFFFF"/>
            <w:vAlign w:val="bottom"/>
          </w:tcPr>
          <w:p w14:paraId="182A721D" w14:textId="77777777" w:rsidR="00E96B29" w:rsidRPr="00027624" w:rsidRDefault="00E96B29" w:rsidP="00E96B29">
            <w:pPr>
              <w:pStyle w:val="TableTextCentered"/>
              <w:rPr>
                <w:szCs w:val="18"/>
              </w:rPr>
            </w:pPr>
            <w:r w:rsidRPr="00027624">
              <w:rPr>
                <w:rFonts w:cs="Calibri"/>
                <w:szCs w:val="18"/>
              </w:rPr>
              <w:t>4.8</w:t>
            </w:r>
          </w:p>
        </w:tc>
      </w:tr>
      <w:tr w:rsidR="00E96B29" w:rsidRPr="00027624" w14:paraId="3A6B449D" w14:textId="77777777" w:rsidTr="00E96B29">
        <w:trPr>
          <w:trHeight w:val="270"/>
        </w:trPr>
        <w:tc>
          <w:tcPr>
            <w:tcW w:w="701" w:type="pct"/>
            <w:vAlign w:val="bottom"/>
          </w:tcPr>
          <w:p w14:paraId="58446313" w14:textId="77777777" w:rsidR="00E96B29" w:rsidRPr="00027624" w:rsidRDefault="00E96B29" w:rsidP="00E96B29">
            <w:pPr>
              <w:pStyle w:val="TableTextLeft"/>
              <w:rPr>
                <w:szCs w:val="18"/>
              </w:rPr>
            </w:pPr>
            <w:r w:rsidRPr="00027624">
              <w:rPr>
                <w:bCs/>
                <w:szCs w:val="18"/>
              </w:rPr>
              <w:t>69</w:t>
            </w:r>
          </w:p>
        </w:tc>
        <w:tc>
          <w:tcPr>
            <w:tcW w:w="429" w:type="pct"/>
            <w:shd w:val="clear" w:color="000000" w:fill="FFFFFF"/>
          </w:tcPr>
          <w:p w14:paraId="5299C371"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6FEBA355" w14:textId="77777777" w:rsidR="00E96B29" w:rsidRPr="00027624" w:rsidRDefault="00E96B29" w:rsidP="00E96B29">
            <w:pPr>
              <w:pStyle w:val="TableTextCentered"/>
              <w:rPr>
                <w:szCs w:val="18"/>
              </w:rPr>
            </w:pPr>
            <w:r w:rsidRPr="00027624">
              <w:rPr>
                <w:rFonts w:cs="Calibri"/>
                <w:szCs w:val="18"/>
              </w:rPr>
              <w:t>8.8</w:t>
            </w:r>
          </w:p>
        </w:tc>
        <w:tc>
          <w:tcPr>
            <w:tcW w:w="427" w:type="pct"/>
            <w:shd w:val="clear" w:color="000000" w:fill="FFFFFF"/>
            <w:vAlign w:val="bottom"/>
          </w:tcPr>
          <w:p w14:paraId="3DE5F98D" w14:textId="77777777" w:rsidR="00E96B29" w:rsidRPr="00027624" w:rsidRDefault="00E96B29" w:rsidP="00E96B29">
            <w:pPr>
              <w:pStyle w:val="TableTextCentered"/>
              <w:rPr>
                <w:szCs w:val="18"/>
              </w:rPr>
            </w:pPr>
            <w:r w:rsidRPr="00027624">
              <w:rPr>
                <w:rFonts w:cs="Calibri"/>
                <w:szCs w:val="18"/>
              </w:rPr>
              <w:t>10.2</w:t>
            </w:r>
          </w:p>
        </w:tc>
        <w:tc>
          <w:tcPr>
            <w:tcW w:w="427" w:type="pct"/>
            <w:shd w:val="clear" w:color="000000" w:fill="FFFFFF"/>
            <w:vAlign w:val="bottom"/>
          </w:tcPr>
          <w:p w14:paraId="3AA371DC" w14:textId="77777777" w:rsidR="00E96B29" w:rsidRPr="00027624" w:rsidRDefault="00E96B29" w:rsidP="00E96B29">
            <w:pPr>
              <w:pStyle w:val="TableTextCentered"/>
              <w:rPr>
                <w:szCs w:val="18"/>
              </w:rPr>
            </w:pPr>
            <w:r w:rsidRPr="00027624">
              <w:rPr>
                <w:rFonts w:cs="Calibri"/>
                <w:szCs w:val="18"/>
              </w:rPr>
              <w:t>10.4</w:t>
            </w:r>
          </w:p>
        </w:tc>
        <w:tc>
          <w:tcPr>
            <w:tcW w:w="427" w:type="pct"/>
            <w:shd w:val="clear" w:color="000000" w:fill="FFFFFF"/>
            <w:vAlign w:val="bottom"/>
          </w:tcPr>
          <w:p w14:paraId="2B53E462" w14:textId="77777777" w:rsidR="00E96B29" w:rsidRPr="00027624" w:rsidRDefault="00E96B29" w:rsidP="00E96B29">
            <w:pPr>
              <w:pStyle w:val="TableTextCentered"/>
              <w:rPr>
                <w:szCs w:val="18"/>
              </w:rPr>
            </w:pPr>
            <w:r w:rsidRPr="00027624">
              <w:rPr>
                <w:rFonts w:cs="Calibri"/>
                <w:szCs w:val="18"/>
              </w:rPr>
              <w:t>10.7</w:t>
            </w:r>
          </w:p>
        </w:tc>
        <w:tc>
          <w:tcPr>
            <w:tcW w:w="427" w:type="pct"/>
            <w:shd w:val="clear" w:color="000000" w:fill="FFFFFF"/>
            <w:vAlign w:val="bottom"/>
          </w:tcPr>
          <w:p w14:paraId="4C6D46D0" w14:textId="77777777" w:rsidR="00E96B29" w:rsidRPr="00027624" w:rsidRDefault="00E96B29" w:rsidP="00E96B29">
            <w:pPr>
              <w:pStyle w:val="TableTextCentered"/>
              <w:rPr>
                <w:szCs w:val="18"/>
              </w:rPr>
            </w:pPr>
            <w:r w:rsidRPr="00027624">
              <w:rPr>
                <w:rFonts w:cs="Calibri"/>
                <w:szCs w:val="18"/>
              </w:rPr>
              <w:t>9.8</w:t>
            </w:r>
          </w:p>
        </w:tc>
        <w:tc>
          <w:tcPr>
            <w:tcW w:w="427" w:type="pct"/>
            <w:shd w:val="clear" w:color="000000" w:fill="FFFFFF"/>
            <w:vAlign w:val="bottom"/>
          </w:tcPr>
          <w:p w14:paraId="174270C8" w14:textId="77777777" w:rsidR="00E96B29" w:rsidRPr="00027624" w:rsidRDefault="00E96B29" w:rsidP="00E96B29">
            <w:pPr>
              <w:pStyle w:val="TableTextCentered"/>
              <w:rPr>
                <w:szCs w:val="18"/>
              </w:rPr>
            </w:pPr>
            <w:r w:rsidRPr="00027624">
              <w:rPr>
                <w:rFonts w:cs="Calibri"/>
                <w:szCs w:val="18"/>
              </w:rPr>
              <w:t>8.2</w:t>
            </w:r>
          </w:p>
        </w:tc>
        <w:tc>
          <w:tcPr>
            <w:tcW w:w="424" w:type="pct"/>
            <w:shd w:val="clear" w:color="000000" w:fill="FFFFFF"/>
            <w:vAlign w:val="bottom"/>
          </w:tcPr>
          <w:p w14:paraId="6AED6C9D" w14:textId="77777777" w:rsidR="00E96B29" w:rsidRPr="00027624" w:rsidRDefault="00E96B29" w:rsidP="00E96B29">
            <w:pPr>
              <w:pStyle w:val="TableTextCentered"/>
              <w:rPr>
                <w:szCs w:val="18"/>
              </w:rPr>
            </w:pPr>
            <w:r w:rsidRPr="00027624">
              <w:rPr>
                <w:rFonts w:cs="Calibri"/>
                <w:szCs w:val="18"/>
              </w:rPr>
              <w:t>7.3</w:t>
            </w:r>
          </w:p>
        </w:tc>
        <w:tc>
          <w:tcPr>
            <w:tcW w:w="424" w:type="pct"/>
            <w:shd w:val="clear" w:color="000000" w:fill="FFFFFF"/>
            <w:vAlign w:val="bottom"/>
          </w:tcPr>
          <w:p w14:paraId="316CB993" w14:textId="77777777" w:rsidR="00E96B29" w:rsidRPr="00027624" w:rsidRDefault="00E96B29" w:rsidP="00E96B29">
            <w:pPr>
              <w:pStyle w:val="TableTextCentered"/>
              <w:rPr>
                <w:szCs w:val="18"/>
              </w:rPr>
            </w:pPr>
            <w:r w:rsidRPr="00027624">
              <w:rPr>
                <w:rFonts w:cs="Calibri"/>
                <w:szCs w:val="18"/>
              </w:rPr>
              <w:t>6.2</w:t>
            </w:r>
          </w:p>
        </w:tc>
        <w:tc>
          <w:tcPr>
            <w:tcW w:w="460" w:type="pct"/>
            <w:shd w:val="clear" w:color="000000" w:fill="FFFFFF"/>
            <w:vAlign w:val="bottom"/>
          </w:tcPr>
          <w:p w14:paraId="3317FDAA" w14:textId="77777777" w:rsidR="00E96B29" w:rsidRPr="00027624" w:rsidRDefault="00E96B29" w:rsidP="00E96B29">
            <w:pPr>
              <w:pStyle w:val="TableTextCentered"/>
              <w:rPr>
                <w:szCs w:val="18"/>
              </w:rPr>
            </w:pPr>
            <w:r w:rsidRPr="00027624">
              <w:rPr>
                <w:rFonts w:cs="Calibri"/>
                <w:szCs w:val="18"/>
              </w:rPr>
              <w:t>5.0</w:t>
            </w:r>
          </w:p>
        </w:tc>
      </w:tr>
      <w:tr w:rsidR="00E96B29" w:rsidRPr="00027624" w14:paraId="452BF0B2" w14:textId="77777777" w:rsidTr="00E96B29">
        <w:trPr>
          <w:trHeight w:val="270"/>
        </w:trPr>
        <w:tc>
          <w:tcPr>
            <w:tcW w:w="701" w:type="pct"/>
            <w:vAlign w:val="bottom"/>
          </w:tcPr>
          <w:p w14:paraId="40341D6B" w14:textId="77777777" w:rsidR="00E96B29" w:rsidRPr="00027624" w:rsidRDefault="00E96B29" w:rsidP="00E96B29">
            <w:pPr>
              <w:pStyle w:val="TableTextLeft"/>
              <w:rPr>
                <w:szCs w:val="18"/>
              </w:rPr>
            </w:pPr>
            <w:r w:rsidRPr="00027624">
              <w:rPr>
                <w:bCs/>
                <w:szCs w:val="18"/>
              </w:rPr>
              <w:t>70</w:t>
            </w:r>
          </w:p>
        </w:tc>
        <w:tc>
          <w:tcPr>
            <w:tcW w:w="429" w:type="pct"/>
            <w:shd w:val="clear" w:color="000000" w:fill="FFFFFF"/>
          </w:tcPr>
          <w:p w14:paraId="2A59584E"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409D7849" w14:textId="77777777" w:rsidR="00E96B29" w:rsidRPr="00027624" w:rsidRDefault="00E96B29" w:rsidP="00E96B29">
            <w:pPr>
              <w:pStyle w:val="TableTextCentered"/>
              <w:rPr>
                <w:szCs w:val="18"/>
              </w:rPr>
            </w:pPr>
            <w:r w:rsidRPr="00027624">
              <w:rPr>
                <w:rFonts w:cs="Calibri"/>
                <w:szCs w:val="18"/>
              </w:rPr>
              <w:t>8.6</w:t>
            </w:r>
          </w:p>
        </w:tc>
        <w:tc>
          <w:tcPr>
            <w:tcW w:w="427" w:type="pct"/>
            <w:shd w:val="clear" w:color="000000" w:fill="FFFFFF"/>
            <w:vAlign w:val="bottom"/>
          </w:tcPr>
          <w:p w14:paraId="741C5B16"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7EDF61A3" w14:textId="77777777" w:rsidR="00E96B29" w:rsidRPr="00027624" w:rsidRDefault="00E96B29" w:rsidP="00E96B29">
            <w:pPr>
              <w:pStyle w:val="TableTextCentered"/>
              <w:rPr>
                <w:szCs w:val="18"/>
              </w:rPr>
            </w:pPr>
            <w:r w:rsidRPr="00027624">
              <w:rPr>
                <w:rFonts w:cs="Calibri"/>
                <w:szCs w:val="18"/>
              </w:rPr>
              <w:t>10.5</w:t>
            </w:r>
          </w:p>
        </w:tc>
        <w:tc>
          <w:tcPr>
            <w:tcW w:w="427" w:type="pct"/>
            <w:shd w:val="clear" w:color="000000" w:fill="FFFFFF"/>
            <w:vAlign w:val="bottom"/>
          </w:tcPr>
          <w:p w14:paraId="5AB193CA" w14:textId="77777777" w:rsidR="00E96B29" w:rsidRPr="00027624" w:rsidRDefault="00E96B29" w:rsidP="00E96B29">
            <w:pPr>
              <w:pStyle w:val="TableTextCentered"/>
              <w:rPr>
                <w:szCs w:val="18"/>
              </w:rPr>
            </w:pPr>
            <w:r w:rsidRPr="00027624">
              <w:rPr>
                <w:rFonts w:cs="Calibri"/>
                <w:szCs w:val="18"/>
              </w:rPr>
              <w:t>10.7</w:t>
            </w:r>
          </w:p>
        </w:tc>
        <w:tc>
          <w:tcPr>
            <w:tcW w:w="427" w:type="pct"/>
            <w:shd w:val="clear" w:color="000000" w:fill="FFFFFF"/>
            <w:vAlign w:val="bottom"/>
          </w:tcPr>
          <w:p w14:paraId="697F83AC" w14:textId="77777777" w:rsidR="00E96B29" w:rsidRPr="00027624" w:rsidRDefault="00E96B29" w:rsidP="00E96B29">
            <w:pPr>
              <w:pStyle w:val="TableTextCentered"/>
              <w:rPr>
                <w:szCs w:val="18"/>
              </w:rPr>
            </w:pPr>
            <w:r w:rsidRPr="00027624">
              <w:rPr>
                <w:rFonts w:cs="Calibri"/>
                <w:szCs w:val="18"/>
              </w:rPr>
              <w:t>10.5</w:t>
            </w:r>
          </w:p>
        </w:tc>
        <w:tc>
          <w:tcPr>
            <w:tcW w:w="427" w:type="pct"/>
            <w:shd w:val="clear" w:color="000000" w:fill="FFFFFF"/>
            <w:vAlign w:val="bottom"/>
          </w:tcPr>
          <w:p w14:paraId="5BEB4EC6" w14:textId="77777777" w:rsidR="00E96B29" w:rsidRPr="00027624" w:rsidRDefault="00E96B29" w:rsidP="00E96B29">
            <w:pPr>
              <w:pStyle w:val="TableTextCentered"/>
              <w:rPr>
                <w:szCs w:val="18"/>
              </w:rPr>
            </w:pPr>
            <w:r w:rsidRPr="00027624">
              <w:rPr>
                <w:rFonts w:cs="Calibri"/>
                <w:szCs w:val="18"/>
              </w:rPr>
              <w:t>8.7</w:t>
            </w:r>
          </w:p>
        </w:tc>
        <w:tc>
          <w:tcPr>
            <w:tcW w:w="424" w:type="pct"/>
            <w:shd w:val="clear" w:color="000000" w:fill="FFFFFF"/>
            <w:vAlign w:val="bottom"/>
          </w:tcPr>
          <w:p w14:paraId="6D39F458" w14:textId="77777777" w:rsidR="00E96B29" w:rsidRPr="00027624" w:rsidRDefault="00E96B29" w:rsidP="00E96B29">
            <w:pPr>
              <w:pStyle w:val="TableTextCentered"/>
              <w:rPr>
                <w:szCs w:val="18"/>
              </w:rPr>
            </w:pPr>
            <w:r w:rsidRPr="00027624">
              <w:rPr>
                <w:rFonts w:cs="Calibri"/>
                <w:szCs w:val="18"/>
              </w:rPr>
              <w:t>7.7</w:t>
            </w:r>
          </w:p>
        </w:tc>
        <w:tc>
          <w:tcPr>
            <w:tcW w:w="424" w:type="pct"/>
            <w:shd w:val="clear" w:color="000000" w:fill="FFFFFF"/>
            <w:vAlign w:val="bottom"/>
          </w:tcPr>
          <w:p w14:paraId="635FBBD1" w14:textId="77777777" w:rsidR="00E96B29" w:rsidRPr="00027624" w:rsidRDefault="00E96B29" w:rsidP="00E96B29">
            <w:pPr>
              <w:pStyle w:val="TableTextCentered"/>
              <w:rPr>
                <w:szCs w:val="18"/>
              </w:rPr>
            </w:pPr>
            <w:r w:rsidRPr="00027624">
              <w:rPr>
                <w:rFonts w:cs="Calibri"/>
                <w:szCs w:val="18"/>
              </w:rPr>
              <w:t>6.5</w:t>
            </w:r>
          </w:p>
        </w:tc>
        <w:tc>
          <w:tcPr>
            <w:tcW w:w="460" w:type="pct"/>
            <w:shd w:val="clear" w:color="000000" w:fill="FFFFFF"/>
            <w:vAlign w:val="bottom"/>
          </w:tcPr>
          <w:p w14:paraId="6AB537D6" w14:textId="77777777" w:rsidR="00E96B29" w:rsidRPr="00027624" w:rsidRDefault="00E96B29" w:rsidP="00E96B29">
            <w:pPr>
              <w:pStyle w:val="TableTextCentered"/>
              <w:rPr>
                <w:szCs w:val="18"/>
              </w:rPr>
            </w:pPr>
            <w:r w:rsidRPr="00027624">
              <w:rPr>
                <w:rFonts w:cs="Calibri"/>
                <w:szCs w:val="18"/>
              </w:rPr>
              <w:t>5.2</w:t>
            </w:r>
          </w:p>
        </w:tc>
      </w:tr>
      <w:tr w:rsidR="00E96B29" w:rsidRPr="00027624" w14:paraId="557B6733" w14:textId="77777777" w:rsidTr="00E96B29">
        <w:trPr>
          <w:trHeight w:val="270"/>
        </w:trPr>
        <w:tc>
          <w:tcPr>
            <w:tcW w:w="701" w:type="pct"/>
            <w:vAlign w:val="bottom"/>
          </w:tcPr>
          <w:p w14:paraId="41BDC258" w14:textId="77777777" w:rsidR="00E96B29" w:rsidRPr="00027624" w:rsidRDefault="00E96B29" w:rsidP="00E96B29">
            <w:pPr>
              <w:pStyle w:val="TableTextLeft"/>
              <w:rPr>
                <w:szCs w:val="18"/>
              </w:rPr>
            </w:pPr>
            <w:r w:rsidRPr="00027624">
              <w:rPr>
                <w:bCs/>
                <w:szCs w:val="18"/>
              </w:rPr>
              <w:t>71</w:t>
            </w:r>
          </w:p>
        </w:tc>
        <w:tc>
          <w:tcPr>
            <w:tcW w:w="429" w:type="pct"/>
            <w:shd w:val="clear" w:color="000000" w:fill="FFFFFF"/>
          </w:tcPr>
          <w:p w14:paraId="27D5701A"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423A6FE2" w14:textId="77777777" w:rsidR="00E96B29" w:rsidRPr="00027624" w:rsidRDefault="00E96B29" w:rsidP="00E96B29">
            <w:pPr>
              <w:pStyle w:val="TableTextCentered"/>
              <w:rPr>
                <w:szCs w:val="18"/>
              </w:rPr>
            </w:pPr>
            <w:r w:rsidRPr="00027624">
              <w:rPr>
                <w:rFonts w:cs="Calibri"/>
                <w:szCs w:val="18"/>
              </w:rPr>
              <w:t>8.7</w:t>
            </w:r>
          </w:p>
        </w:tc>
        <w:tc>
          <w:tcPr>
            <w:tcW w:w="427" w:type="pct"/>
            <w:shd w:val="clear" w:color="000000" w:fill="FFFFFF"/>
            <w:vAlign w:val="bottom"/>
          </w:tcPr>
          <w:p w14:paraId="56E31428"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60892150" w14:textId="77777777" w:rsidR="00E96B29" w:rsidRPr="00027624" w:rsidRDefault="00E96B29" w:rsidP="00E96B29">
            <w:pPr>
              <w:pStyle w:val="TableTextCentered"/>
              <w:rPr>
                <w:szCs w:val="18"/>
              </w:rPr>
            </w:pPr>
            <w:r w:rsidRPr="00027624">
              <w:rPr>
                <w:rFonts w:cs="Calibri"/>
                <w:szCs w:val="18"/>
              </w:rPr>
              <w:t>10.6</w:t>
            </w:r>
          </w:p>
        </w:tc>
        <w:tc>
          <w:tcPr>
            <w:tcW w:w="427" w:type="pct"/>
            <w:shd w:val="clear" w:color="000000" w:fill="FFFFFF"/>
            <w:vAlign w:val="bottom"/>
          </w:tcPr>
          <w:p w14:paraId="07CFF1A7" w14:textId="77777777" w:rsidR="00E96B29" w:rsidRPr="00027624" w:rsidRDefault="00E96B29" w:rsidP="00E96B29">
            <w:pPr>
              <w:pStyle w:val="TableTextCentered"/>
              <w:rPr>
                <w:szCs w:val="18"/>
              </w:rPr>
            </w:pPr>
            <w:r w:rsidRPr="00027624">
              <w:rPr>
                <w:rFonts w:cs="Calibri"/>
                <w:szCs w:val="18"/>
              </w:rPr>
              <w:t>10.8</w:t>
            </w:r>
          </w:p>
        </w:tc>
        <w:tc>
          <w:tcPr>
            <w:tcW w:w="427" w:type="pct"/>
            <w:shd w:val="clear" w:color="000000" w:fill="FFFFFF"/>
            <w:vAlign w:val="bottom"/>
          </w:tcPr>
          <w:p w14:paraId="4F76433F" w14:textId="77777777" w:rsidR="00E96B29" w:rsidRPr="00027624" w:rsidRDefault="00E96B29" w:rsidP="00E96B29">
            <w:pPr>
              <w:pStyle w:val="TableTextCentered"/>
              <w:rPr>
                <w:szCs w:val="18"/>
              </w:rPr>
            </w:pPr>
            <w:r w:rsidRPr="00027624">
              <w:rPr>
                <w:rFonts w:cs="Calibri"/>
                <w:szCs w:val="18"/>
              </w:rPr>
              <w:t>11.2</w:t>
            </w:r>
          </w:p>
        </w:tc>
        <w:tc>
          <w:tcPr>
            <w:tcW w:w="427" w:type="pct"/>
            <w:shd w:val="clear" w:color="000000" w:fill="FFFFFF"/>
            <w:vAlign w:val="bottom"/>
          </w:tcPr>
          <w:p w14:paraId="06FEAED8" w14:textId="77777777" w:rsidR="00E96B29" w:rsidRPr="00027624" w:rsidRDefault="00E96B29" w:rsidP="00E96B29">
            <w:pPr>
              <w:pStyle w:val="TableTextCentered"/>
              <w:rPr>
                <w:szCs w:val="18"/>
              </w:rPr>
            </w:pPr>
            <w:r w:rsidRPr="00027624">
              <w:rPr>
                <w:rFonts w:cs="Calibri"/>
                <w:szCs w:val="18"/>
              </w:rPr>
              <w:t>9.3</w:t>
            </w:r>
          </w:p>
        </w:tc>
        <w:tc>
          <w:tcPr>
            <w:tcW w:w="424" w:type="pct"/>
            <w:shd w:val="clear" w:color="000000" w:fill="FFFFFF"/>
            <w:vAlign w:val="bottom"/>
          </w:tcPr>
          <w:p w14:paraId="7386379B" w14:textId="77777777" w:rsidR="00E96B29" w:rsidRPr="00027624" w:rsidRDefault="00E96B29" w:rsidP="00E96B29">
            <w:pPr>
              <w:pStyle w:val="TableTextCentered"/>
              <w:rPr>
                <w:szCs w:val="18"/>
              </w:rPr>
            </w:pPr>
            <w:r w:rsidRPr="00027624">
              <w:rPr>
                <w:rFonts w:cs="Calibri"/>
                <w:szCs w:val="18"/>
              </w:rPr>
              <w:t>8.2</w:t>
            </w:r>
          </w:p>
        </w:tc>
        <w:tc>
          <w:tcPr>
            <w:tcW w:w="424" w:type="pct"/>
            <w:shd w:val="clear" w:color="000000" w:fill="FFFFFF"/>
            <w:vAlign w:val="bottom"/>
          </w:tcPr>
          <w:p w14:paraId="7F103CC7" w14:textId="77777777" w:rsidR="00E96B29" w:rsidRPr="00027624" w:rsidRDefault="00E96B29" w:rsidP="00E96B29">
            <w:pPr>
              <w:pStyle w:val="TableTextCentered"/>
              <w:rPr>
                <w:szCs w:val="18"/>
              </w:rPr>
            </w:pPr>
            <w:r w:rsidRPr="00027624">
              <w:rPr>
                <w:rFonts w:cs="Calibri"/>
                <w:szCs w:val="18"/>
              </w:rPr>
              <w:t>6.8</w:t>
            </w:r>
          </w:p>
        </w:tc>
        <w:tc>
          <w:tcPr>
            <w:tcW w:w="460" w:type="pct"/>
            <w:shd w:val="clear" w:color="000000" w:fill="FFFFFF"/>
            <w:vAlign w:val="bottom"/>
          </w:tcPr>
          <w:p w14:paraId="2CF887B8" w14:textId="77777777" w:rsidR="00E96B29" w:rsidRPr="00027624" w:rsidRDefault="00E96B29" w:rsidP="00E96B29">
            <w:pPr>
              <w:pStyle w:val="TableTextCentered"/>
              <w:rPr>
                <w:szCs w:val="18"/>
              </w:rPr>
            </w:pPr>
            <w:r w:rsidRPr="00027624">
              <w:rPr>
                <w:rFonts w:cs="Calibri"/>
                <w:szCs w:val="18"/>
              </w:rPr>
              <w:t>5.4</w:t>
            </w:r>
          </w:p>
        </w:tc>
      </w:tr>
      <w:tr w:rsidR="00E96B29" w:rsidRPr="00027624" w14:paraId="57356779" w14:textId="77777777" w:rsidTr="00E96B29">
        <w:trPr>
          <w:trHeight w:val="270"/>
        </w:trPr>
        <w:tc>
          <w:tcPr>
            <w:tcW w:w="701" w:type="pct"/>
            <w:vAlign w:val="bottom"/>
          </w:tcPr>
          <w:p w14:paraId="7A32E2B2" w14:textId="77777777" w:rsidR="00E96B29" w:rsidRPr="00027624" w:rsidRDefault="00E96B29" w:rsidP="00E96B29">
            <w:pPr>
              <w:pStyle w:val="TableTextLeft"/>
              <w:rPr>
                <w:szCs w:val="18"/>
              </w:rPr>
            </w:pPr>
            <w:r w:rsidRPr="00027624">
              <w:rPr>
                <w:bCs/>
                <w:szCs w:val="18"/>
              </w:rPr>
              <w:t>72</w:t>
            </w:r>
          </w:p>
        </w:tc>
        <w:tc>
          <w:tcPr>
            <w:tcW w:w="429" w:type="pct"/>
            <w:shd w:val="clear" w:color="000000" w:fill="FFFFFF"/>
          </w:tcPr>
          <w:p w14:paraId="0D2FB855"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7ABF5D7B" w14:textId="77777777" w:rsidR="00E96B29" w:rsidRPr="00027624" w:rsidRDefault="00E96B29" w:rsidP="00E96B29">
            <w:pPr>
              <w:pStyle w:val="TableTextCentered"/>
              <w:rPr>
                <w:szCs w:val="18"/>
              </w:rPr>
            </w:pPr>
            <w:r w:rsidRPr="00027624">
              <w:rPr>
                <w:rFonts w:cs="Calibri"/>
                <w:szCs w:val="18"/>
              </w:rPr>
              <w:t>8.9</w:t>
            </w:r>
          </w:p>
        </w:tc>
        <w:tc>
          <w:tcPr>
            <w:tcW w:w="427" w:type="pct"/>
            <w:shd w:val="clear" w:color="000000" w:fill="FFFFFF"/>
            <w:vAlign w:val="bottom"/>
          </w:tcPr>
          <w:p w14:paraId="1A723843"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2AE5307E" w14:textId="77777777" w:rsidR="00E96B29" w:rsidRPr="00027624" w:rsidRDefault="00E96B29" w:rsidP="00E96B29">
            <w:pPr>
              <w:pStyle w:val="TableTextCentered"/>
              <w:rPr>
                <w:szCs w:val="18"/>
              </w:rPr>
            </w:pPr>
            <w:r w:rsidRPr="00027624">
              <w:rPr>
                <w:rFonts w:cs="Calibri"/>
                <w:szCs w:val="18"/>
              </w:rPr>
              <w:t>10.7</w:t>
            </w:r>
          </w:p>
        </w:tc>
        <w:tc>
          <w:tcPr>
            <w:tcW w:w="427" w:type="pct"/>
            <w:shd w:val="clear" w:color="000000" w:fill="FFFFFF"/>
            <w:vAlign w:val="bottom"/>
          </w:tcPr>
          <w:p w14:paraId="3582168F" w14:textId="77777777" w:rsidR="00E96B29" w:rsidRPr="00027624" w:rsidRDefault="00E96B29" w:rsidP="00E96B29">
            <w:pPr>
              <w:pStyle w:val="TableTextCentered"/>
              <w:rPr>
                <w:szCs w:val="18"/>
              </w:rPr>
            </w:pPr>
            <w:r w:rsidRPr="00027624">
              <w:rPr>
                <w:rFonts w:cs="Calibri"/>
                <w:szCs w:val="18"/>
              </w:rPr>
              <w:t>11.0</w:t>
            </w:r>
          </w:p>
        </w:tc>
        <w:tc>
          <w:tcPr>
            <w:tcW w:w="427" w:type="pct"/>
            <w:shd w:val="clear" w:color="000000" w:fill="FFFFFF"/>
            <w:vAlign w:val="bottom"/>
          </w:tcPr>
          <w:p w14:paraId="5AA83C0C" w14:textId="77777777" w:rsidR="00E96B29" w:rsidRPr="00027624" w:rsidRDefault="00E96B29" w:rsidP="00E96B29">
            <w:pPr>
              <w:pStyle w:val="TableTextCentered"/>
              <w:rPr>
                <w:szCs w:val="18"/>
              </w:rPr>
            </w:pPr>
            <w:r w:rsidRPr="00027624">
              <w:rPr>
                <w:rFonts w:cs="Calibri"/>
                <w:szCs w:val="18"/>
              </w:rPr>
              <w:t>11.3</w:t>
            </w:r>
          </w:p>
        </w:tc>
        <w:tc>
          <w:tcPr>
            <w:tcW w:w="427" w:type="pct"/>
            <w:shd w:val="clear" w:color="000000" w:fill="FFFFFF"/>
            <w:vAlign w:val="bottom"/>
          </w:tcPr>
          <w:p w14:paraId="031478DF" w14:textId="77777777" w:rsidR="00E96B29" w:rsidRPr="00027624" w:rsidRDefault="00E96B29" w:rsidP="00E96B29">
            <w:pPr>
              <w:pStyle w:val="TableTextCentered"/>
              <w:rPr>
                <w:szCs w:val="18"/>
              </w:rPr>
            </w:pPr>
            <w:r w:rsidRPr="00027624">
              <w:rPr>
                <w:rFonts w:cs="Calibri"/>
                <w:szCs w:val="18"/>
              </w:rPr>
              <w:t>10.1</w:t>
            </w:r>
          </w:p>
        </w:tc>
        <w:tc>
          <w:tcPr>
            <w:tcW w:w="424" w:type="pct"/>
            <w:shd w:val="clear" w:color="000000" w:fill="FFFFFF"/>
            <w:vAlign w:val="bottom"/>
          </w:tcPr>
          <w:p w14:paraId="436DB4B0" w14:textId="77777777" w:rsidR="00E96B29" w:rsidRPr="00027624" w:rsidRDefault="00E96B29" w:rsidP="00E96B29">
            <w:pPr>
              <w:pStyle w:val="TableTextCentered"/>
              <w:rPr>
                <w:szCs w:val="18"/>
              </w:rPr>
            </w:pPr>
            <w:r w:rsidRPr="00027624">
              <w:rPr>
                <w:rFonts w:cs="Calibri"/>
                <w:szCs w:val="18"/>
              </w:rPr>
              <w:t>8.7</w:t>
            </w:r>
          </w:p>
        </w:tc>
        <w:tc>
          <w:tcPr>
            <w:tcW w:w="424" w:type="pct"/>
            <w:shd w:val="clear" w:color="000000" w:fill="FFFFFF"/>
            <w:vAlign w:val="bottom"/>
          </w:tcPr>
          <w:p w14:paraId="62B9AE30" w14:textId="77777777" w:rsidR="00E96B29" w:rsidRPr="00027624" w:rsidRDefault="00E96B29" w:rsidP="00E96B29">
            <w:pPr>
              <w:pStyle w:val="TableTextCentered"/>
              <w:rPr>
                <w:szCs w:val="18"/>
              </w:rPr>
            </w:pPr>
            <w:r w:rsidRPr="00027624">
              <w:rPr>
                <w:rFonts w:cs="Calibri"/>
                <w:szCs w:val="18"/>
              </w:rPr>
              <w:t>7.1</w:t>
            </w:r>
          </w:p>
        </w:tc>
        <w:tc>
          <w:tcPr>
            <w:tcW w:w="460" w:type="pct"/>
            <w:shd w:val="clear" w:color="000000" w:fill="FFFFFF"/>
            <w:vAlign w:val="bottom"/>
          </w:tcPr>
          <w:p w14:paraId="085C47A6" w14:textId="77777777" w:rsidR="00E96B29" w:rsidRPr="00027624" w:rsidRDefault="00E96B29" w:rsidP="00E96B29">
            <w:pPr>
              <w:pStyle w:val="TableTextCentered"/>
              <w:rPr>
                <w:szCs w:val="18"/>
              </w:rPr>
            </w:pPr>
            <w:r w:rsidRPr="00027624">
              <w:rPr>
                <w:rFonts w:cs="Calibri"/>
                <w:szCs w:val="18"/>
              </w:rPr>
              <w:t>5.6</w:t>
            </w:r>
          </w:p>
        </w:tc>
      </w:tr>
      <w:tr w:rsidR="00E96B29" w:rsidRPr="00027624" w14:paraId="2052A2AD" w14:textId="77777777" w:rsidTr="00E96B29">
        <w:trPr>
          <w:trHeight w:val="270"/>
        </w:trPr>
        <w:tc>
          <w:tcPr>
            <w:tcW w:w="701" w:type="pct"/>
            <w:vAlign w:val="bottom"/>
          </w:tcPr>
          <w:p w14:paraId="36CF6154" w14:textId="77777777" w:rsidR="00E96B29" w:rsidRPr="00027624" w:rsidRDefault="00E96B29" w:rsidP="00E96B29">
            <w:pPr>
              <w:pStyle w:val="TableTextLeft"/>
              <w:rPr>
                <w:szCs w:val="18"/>
              </w:rPr>
            </w:pPr>
            <w:r w:rsidRPr="00027624">
              <w:rPr>
                <w:bCs/>
                <w:szCs w:val="18"/>
              </w:rPr>
              <w:t>73</w:t>
            </w:r>
          </w:p>
        </w:tc>
        <w:tc>
          <w:tcPr>
            <w:tcW w:w="429" w:type="pct"/>
            <w:shd w:val="clear" w:color="000000" w:fill="FFFFFF"/>
          </w:tcPr>
          <w:p w14:paraId="4CD59B39"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39B0AD07" w14:textId="77777777" w:rsidR="00E96B29" w:rsidRPr="00027624" w:rsidRDefault="00E96B29" w:rsidP="00E96B29">
            <w:pPr>
              <w:pStyle w:val="TableTextCentered"/>
              <w:rPr>
                <w:szCs w:val="18"/>
              </w:rPr>
            </w:pPr>
            <w:r w:rsidRPr="00027624">
              <w:rPr>
                <w:rFonts w:cs="Calibri"/>
                <w:szCs w:val="18"/>
              </w:rPr>
              <w:t>9.2</w:t>
            </w:r>
          </w:p>
        </w:tc>
        <w:tc>
          <w:tcPr>
            <w:tcW w:w="427" w:type="pct"/>
            <w:shd w:val="clear" w:color="000000" w:fill="FFFFFF"/>
            <w:vAlign w:val="bottom"/>
          </w:tcPr>
          <w:p w14:paraId="49EABEC8"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4DA5E54F" w14:textId="77777777" w:rsidR="00E96B29" w:rsidRPr="00027624" w:rsidRDefault="00E96B29" w:rsidP="00E96B29">
            <w:pPr>
              <w:pStyle w:val="TableTextCentered"/>
              <w:rPr>
                <w:szCs w:val="18"/>
              </w:rPr>
            </w:pPr>
            <w:r w:rsidRPr="00027624">
              <w:rPr>
                <w:rFonts w:cs="Calibri"/>
                <w:szCs w:val="18"/>
              </w:rPr>
              <w:t>10.8</w:t>
            </w:r>
          </w:p>
        </w:tc>
        <w:tc>
          <w:tcPr>
            <w:tcW w:w="427" w:type="pct"/>
            <w:shd w:val="clear" w:color="000000" w:fill="FFFFFF"/>
            <w:vAlign w:val="bottom"/>
          </w:tcPr>
          <w:p w14:paraId="705ADBB1" w14:textId="77777777" w:rsidR="00E96B29" w:rsidRPr="00027624" w:rsidRDefault="00E96B29" w:rsidP="00E96B29">
            <w:pPr>
              <w:pStyle w:val="TableTextCentered"/>
              <w:rPr>
                <w:szCs w:val="18"/>
              </w:rPr>
            </w:pPr>
            <w:r w:rsidRPr="00027624">
              <w:rPr>
                <w:rFonts w:cs="Calibri"/>
                <w:szCs w:val="18"/>
              </w:rPr>
              <w:t>11.1</w:t>
            </w:r>
          </w:p>
        </w:tc>
        <w:tc>
          <w:tcPr>
            <w:tcW w:w="427" w:type="pct"/>
            <w:shd w:val="clear" w:color="000000" w:fill="FFFFFF"/>
            <w:vAlign w:val="bottom"/>
          </w:tcPr>
          <w:p w14:paraId="68AB06E4" w14:textId="77777777" w:rsidR="00E96B29" w:rsidRPr="00027624" w:rsidRDefault="00E96B29" w:rsidP="00E96B29">
            <w:pPr>
              <w:pStyle w:val="TableTextCentered"/>
              <w:rPr>
                <w:szCs w:val="18"/>
              </w:rPr>
            </w:pPr>
            <w:r w:rsidRPr="00027624">
              <w:rPr>
                <w:rFonts w:cs="Calibri"/>
                <w:szCs w:val="18"/>
              </w:rPr>
              <w:t>11.4</w:t>
            </w:r>
          </w:p>
        </w:tc>
        <w:tc>
          <w:tcPr>
            <w:tcW w:w="427" w:type="pct"/>
            <w:shd w:val="clear" w:color="000000" w:fill="FFFFFF"/>
            <w:vAlign w:val="bottom"/>
          </w:tcPr>
          <w:p w14:paraId="043440C2" w14:textId="77777777" w:rsidR="00E96B29" w:rsidRPr="00027624" w:rsidRDefault="00E96B29" w:rsidP="00E96B29">
            <w:pPr>
              <w:pStyle w:val="TableTextCentered"/>
              <w:rPr>
                <w:szCs w:val="18"/>
              </w:rPr>
            </w:pPr>
            <w:r w:rsidRPr="00027624">
              <w:rPr>
                <w:rFonts w:cs="Calibri"/>
                <w:szCs w:val="18"/>
              </w:rPr>
              <w:t>10.9</w:t>
            </w:r>
          </w:p>
        </w:tc>
        <w:tc>
          <w:tcPr>
            <w:tcW w:w="424" w:type="pct"/>
            <w:shd w:val="clear" w:color="000000" w:fill="FFFFFF"/>
            <w:vAlign w:val="bottom"/>
          </w:tcPr>
          <w:p w14:paraId="63A5037A" w14:textId="77777777" w:rsidR="00E96B29" w:rsidRPr="00027624" w:rsidRDefault="00E96B29" w:rsidP="00E96B29">
            <w:pPr>
              <w:pStyle w:val="TableTextCentered"/>
              <w:rPr>
                <w:szCs w:val="18"/>
              </w:rPr>
            </w:pPr>
            <w:r w:rsidRPr="00027624">
              <w:rPr>
                <w:rFonts w:cs="Calibri"/>
                <w:szCs w:val="18"/>
              </w:rPr>
              <w:t>9.3</w:t>
            </w:r>
          </w:p>
        </w:tc>
        <w:tc>
          <w:tcPr>
            <w:tcW w:w="424" w:type="pct"/>
            <w:shd w:val="clear" w:color="000000" w:fill="FFFFFF"/>
            <w:vAlign w:val="bottom"/>
          </w:tcPr>
          <w:p w14:paraId="4C835794" w14:textId="77777777" w:rsidR="00E96B29" w:rsidRPr="00027624" w:rsidRDefault="00E96B29" w:rsidP="00E96B29">
            <w:pPr>
              <w:pStyle w:val="TableTextCentered"/>
              <w:rPr>
                <w:szCs w:val="18"/>
              </w:rPr>
            </w:pPr>
            <w:r w:rsidRPr="00027624">
              <w:rPr>
                <w:rFonts w:cs="Calibri"/>
                <w:szCs w:val="18"/>
              </w:rPr>
              <w:t>7.5</w:t>
            </w:r>
          </w:p>
        </w:tc>
        <w:tc>
          <w:tcPr>
            <w:tcW w:w="460" w:type="pct"/>
            <w:shd w:val="clear" w:color="000000" w:fill="FFFFFF"/>
            <w:vAlign w:val="bottom"/>
          </w:tcPr>
          <w:p w14:paraId="65C3B70F" w14:textId="77777777" w:rsidR="00E96B29" w:rsidRPr="00027624" w:rsidRDefault="00E96B29" w:rsidP="00E96B29">
            <w:pPr>
              <w:pStyle w:val="TableTextCentered"/>
              <w:rPr>
                <w:szCs w:val="18"/>
              </w:rPr>
            </w:pPr>
            <w:r w:rsidRPr="00027624">
              <w:rPr>
                <w:rFonts w:cs="Calibri"/>
                <w:szCs w:val="18"/>
              </w:rPr>
              <w:t>5.9</w:t>
            </w:r>
          </w:p>
        </w:tc>
      </w:tr>
      <w:tr w:rsidR="00E96B29" w:rsidRPr="00027624" w14:paraId="780EC8C5" w14:textId="77777777" w:rsidTr="00E96B29">
        <w:trPr>
          <w:trHeight w:val="270"/>
        </w:trPr>
        <w:tc>
          <w:tcPr>
            <w:tcW w:w="701" w:type="pct"/>
            <w:vAlign w:val="bottom"/>
          </w:tcPr>
          <w:p w14:paraId="1D3793BA" w14:textId="77777777" w:rsidR="00E96B29" w:rsidRPr="00027624" w:rsidRDefault="00E96B29" w:rsidP="00E96B29">
            <w:pPr>
              <w:pStyle w:val="TableTextLeft"/>
              <w:rPr>
                <w:szCs w:val="18"/>
              </w:rPr>
            </w:pPr>
            <w:r w:rsidRPr="00027624">
              <w:rPr>
                <w:bCs/>
                <w:szCs w:val="18"/>
              </w:rPr>
              <w:t>74</w:t>
            </w:r>
          </w:p>
        </w:tc>
        <w:tc>
          <w:tcPr>
            <w:tcW w:w="429" w:type="pct"/>
            <w:shd w:val="clear" w:color="000000" w:fill="FFFFFF"/>
          </w:tcPr>
          <w:p w14:paraId="782B07FB"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25DE17FB" w14:textId="77777777" w:rsidR="00E96B29" w:rsidRPr="00027624" w:rsidRDefault="00E96B29" w:rsidP="00E96B29">
            <w:pPr>
              <w:pStyle w:val="TableTextCentered"/>
              <w:rPr>
                <w:szCs w:val="18"/>
              </w:rPr>
            </w:pPr>
            <w:r w:rsidRPr="00027624">
              <w:rPr>
                <w:rFonts w:cs="Calibri"/>
                <w:szCs w:val="18"/>
              </w:rPr>
              <w:t>9.6</w:t>
            </w:r>
          </w:p>
        </w:tc>
        <w:tc>
          <w:tcPr>
            <w:tcW w:w="427" w:type="pct"/>
            <w:shd w:val="clear" w:color="000000" w:fill="FFFFFF"/>
            <w:vAlign w:val="bottom"/>
          </w:tcPr>
          <w:p w14:paraId="544AABF5"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4FB3C38C" w14:textId="77777777" w:rsidR="00E96B29" w:rsidRPr="00027624" w:rsidRDefault="00E96B29" w:rsidP="00E96B29">
            <w:pPr>
              <w:pStyle w:val="TableTextCentered"/>
              <w:rPr>
                <w:szCs w:val="18"/>
              </w:rPr>
            </w:pPr>
            <w:r w:rsidRPr="00027624">
              <w:rPr>
                <w:rFonts w:cs="Calibri"/>
                <w:szCs w:val="18"/>
              </w:rPr>
              <w:t>10.9</w:t>
            </w:r>
          </w:p>
        </w:tc>
        <w:tc>
          <w:tcPr>
            <w:tcW w:w="427" w:type="pct"/>
            <w:shd w:val="clear" w:color="000000" w:fill="FFFFFF"/>
            <w:vAlign w:val="bottom"/>
          </w:tcPr>
          <w:p w14:paraId="3E61C121" w14:textId="77777777" w:rsidR="00E96B29" w:rsidRPr="00027624" w:rsidRDefault="00E96B29" w:rsidP="00E96B29">
            <w:pPr>
              <w:pStyle w:val="TableTextCentered"/>
              <w:rPr>
                <w:szCs w:val="18"/>
              </w:rPr>
            </w:pPr>
            <w:r w:rsidRPr="00027624">
              <w:rPr>
                <w:rFonts w:cs="Calibri"/>
                <w:szCs w:val="18"/>
              </w:rPr>
              <w:t>11.3</w:t>
            </w:r>
          </w:p>
        </w:tc>
        <w:tc>
          <w:tcPr>
            <w:tcW w:w="427" w:type="pct"/>
            <w:shd w:val="clear" w:color="000000" w:fill="FFFFFF"/>
            <w:vAlign w:val="bottom"/>
          </w:tcPr>
          <w:p w14:paraId="473ADEB6" w14:textId="77777777" w:rsidR="00E96B29" w:rsidRPr="00027624" w:rsidRDefault="00E96B29" w:rsidP="00E96B29">
            <w:pPr>
              <w:pStyle w:val="TableTextCentered"/>
              <w:rPr>
                <w:szCs w:val="18"/>
              </w:rPr>
            </w:pPr>
            <w:r w:rsidRPr="00027624">
              <w:rPr>
                <w:rFonts w:cs="Calibri"/>
                <w:szCs w:val="18"/>
              </w:rPr>
              <w:t>11.5</w:t>
            </w:r>
          </w:p>
        </w:tc>
        <w:tc>
          <w:tcPr>
            <w:tcW w:w="427" w:type="pct"/>
            <w:shd w:val="clear" w:color="000000" w:fill="FFFFFF"/>
            <w:vAlign w:val="bottom"/>
          </w:tcPr>
          <w:p w14:paraId="387ED026" w14:textId="77777777" w:rsidR="00E96B29" w:rsidRPr="00027624" w:rsidRDefault="00E96B29" w:rsidP="00E96B29">
            <w:pPr>
              <w:pStyle w:val="TableTextCentered"/>
              <w:rPr>
                <w:szCs w:val="18"/>
              </w:rPr>
            </w:pPr>
            <w:r w:rsidRPr="00027624">
              <w:rPr>
                <w:rFonts w:cs="Calibri"/>
                <w:szCs w:val="18"/>
              </w:rPr>
              <w:t>11.9</w:t>
            </w:r>
          </w:p>
        </w:tc>
        <w:tc>
          <w:tcPr>
            <w:tcW w:w="424" w:type="pct"/>
            <w:shd w:val="clear" w:color="000000" w:fill="FFFFFF"/>
            <w:vAlign w:val="bottom"/>
          </w:tcPr>
          <w:p w14:paraId="74040816" w14:textId="77777777" w:rsidR="00E96B29" w:rsidRPr="00027624" w:rsidRDefault="00E96B29" w:rsidP="00E96B29">
            <w:pPr>
              <w:pStyle w:val="TableTextCentered"/>
              <w:rPr>
                <w:szCs w:val="18"/>
              </w:rPr>
            </w:pPr>
            <w:r w:rsidRPr="00027624">
              <w:rPr>
                <w:rFonts w:cs="Calibri"/>
                <w:szCs w:val="18"/>
              </w:rPr>
              <w:t>10.0</w:t>
            </w:r>
          </w:p>
        </w:tc>
        <w:tc>
          <w:tcPr>
            <w:tcW w:w="424" w:type="pct"/>
            <w:shd w:val="clear" w:color="000000" w:fill="FFFFFF"/>
            <w:vAlign w:val="bottom"/>
          </w:tcPr>
          <w:p w14:paraId="59B71C5E" w14:textId="77777777" w:rsidR="00E96B29" w:rsidRPr="00027624" w:rsidRDefault="00E96B29" w:rsidP="00E96B29">
            <w:pPr>
              <w:pStyle w:val="TableTextCentered"/>
              <w:rPr>
                <w:szCs w:val="18"/>
              </w:rPr>
            </w:pPr>
            <w:r w:rsidRPr="00027624">
              <w:rPr>
                <w:rFonts w:cs="Calibri"/>
                <w:szCs w:val="18"/>
              </w:rPr>
              <w:t>7.9</w:t>
            </w:r>
          </w:p>
        </w:tc>
        <w:tc>
          <w:tcPr>
            <w:tcW w:w="460" w:type="pct"/>
            <w:shd w:val="clear" w:color="000000" w:fill="FFFFFF"/>
            <w:vAlign w:val="bottom"/>
          </w:tcPr>
          <w:p w14:paraId="60C81D09" w14:textId="77777777" w:rsidR="00E96B29" w:rsidRPr="00027624" w:rsidRDefault="00E96B29" w:rsidP="00E96B29">
            <w:pPr>
              <w:pStyle w:val="TableTextCentered"/>
              <w:rPr>
                <w:szCs w:val="18"/>
              </w:rPr>
            </w:pPr>
            <w:r w:rsidRPr="00027624">
              <w:rPr>
                <w:rFonts w:cs="Calibri"/>
                <w:szCs w:val="18"/>
              </w:rPr>
              <w:t>6.2</w:t>
            </w:r>
          </w:p>
        </w:tc>
      </w:tr>
      <w:tr w:rsidR="00E96B29" w:rsidRPr="00027624" w14:paraId="38F73D12" w14:textId="77777777" w:rsidTr="00E96B29">
        <w:trPr>
          <w:trHeight w:val="270"/>
        </w:trPr>
        <w:tc>
          <w:tcPr>
            <w:tcW w:w="701" w:type="pct"/>
            <w:vAlign w:val="bottom"/>
          </w:tcPr>
          <w:p w14:paraId="6A3919FC" w14:textId="77777777" w:rsidR="00E96B29" w:rsidRPr="00027624" w:rsidRDefault="00E96B29" w:rsidP="00E96B29">
            <w:pPr>
              <w:pStyle w:val="TableTextLeft"/>
              <w:rPr>
                <w:szCs w:val="18"/>
              </w:rPr>
            </w:pPr>
            <w:r w:rsidRPr="00027624">
              <w:rPr>
                <w:bCs/>
                <w:szCs w:val="18"/>
              </w:rPr>
              <w:t>75</w:t>
            </w:r>
          </w:p>
        </w:tc>
        <w:tc>
          <w:tcPr>
            <w:tcW w:w="429" w:type="pct"/>
            <w:shd w:val="clear" w:color="000000" w:fill="FFFFFF"/>
          </w:tcPr>
          <w:p w14:paraId="2BA6D275"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39E49A49" w14:textId="77777777" w:rsidR="00E96B29" w:rsidRPr="00027624" w:rsidRDefault="00E96B29" w:rsidP="00E96B29">
            <w:pPr>
              <w:pStyle w:val="TableTextCentered"/>
              <w:rPr>
                <w:szCs w:val="18"/>
              </w:rPr>
            </w:pPr>
            <w:r w:rsidRPr="00027624">
              <w:rPr>
                <w:rFonts w:cs="Calibri"/>
                <w:szCs w:val="18"/>
              </w:rPr>
              <w:t>10.0</w:t>
            </w:r>
          </w:p>
        </w:tc>
        <w:tc>
          <w:tcPr>
            <w:tcW w:w="427" w:type="pct"/>
            <w:shd w:val="clear" w:color="000000" w:fill="FFFFFF"/>
            <w:vAlign w:val="bottom"/>
          </w:tcPr>
          <w:p w14:paraId="11FFBCD0"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1AFB2652" w14:textId="77777777" w:rsidR="00E96B29" w:rsidRPr="00027624" w:rsidRDefault="00E96B29" w:rsidP="00E96B29">
            <w:pPr>
              <w:pStyle w:val="TableTextCentered"/>
              <w:rPr>
                <w:szCs w:val="18"/>
              </w:rPr>
            </w:pPr>
            <w:r w:rsidRPr="00027624">
              <w:rPr>
                <w:rFonts w:cs="Calibri"/>
                <w:szCs w:val="18"/>
              </w:rPr>
              <w:t>11.0</w:t>
            </w:r>
          </w:p>
        </w:tc>
        <w:tc>
          <w:tcPr>
            <w:tcW w:w="427" w:type="pct"/>
            <w:shd w:val="clear" w:color="000000" w:fill="FFFFFF"/>
            <w:vAlign w:val="bottom"/>
          </w:tcPr>
          <w:p w14:paraId="2FF9D874" w14:textId="77777777" w:rsidR="00E96B29" w:rsidRPr="00027624" w:rsidRDefault="00E96B29" w:rsidP="00E96B29">
            <w:pPr>
              <w:pStyle w:val="TableTextCentered"/>
              <w:rPr>
                <w:szCs w:val="18"/>
              </w:rPr>
            </w:pPr>
            <w:r w:rsidRPr="00027624">
              <w:rPr>
                <w:rFonts w:cs="Calibri"/>
                <w:szCs w:val="18"/>
              </w:rPr>
              <w:t>11.5</w:t>
            </w:r>
          </w:p>
        </w:tc>
        <w:tc>
          <w:tcPr>
            <w:tcW w:w="427" w:type="pct"/>
            <w:shd w:val="clear" w:color="000000" w:fill="FFFFFF"/>
            <w:vAlign w:val="bottom"/>
          </w:tcPr>
          <w:p w14:paraId="1EF1AA9E" w14:textId="77777777" w:rsidR="00E96B29" w:rsidRPr="00027624" w:rsidRDefault="00E96B29" w:rsidP="00E96B29">
            <w:pPr>
              <w:pStyle w:val="TableTextCentered"/>
              <w:rPr>
                <w:szCs w:val="18"/>
              </w:rPr>
            </w:pPr>
            <w:r w:rsidRPr="00027624">
              <w:rPr>
                <w:rFonts w:cs="Calibri"/>
                <w:szCs w:val="18"/>
              </w:rPr>
              <w:t>11.8</w:t>
            </w:r>
          </w:p>
        </w:tc>
        <w:tc>
          <w:tcPr>
            <w:tcW w:w="427" w:type="pct"/>
            <w:shd w:val="clear" w:color="000000" w:fill="FFFFFF"/>
            <w:vAlign w:val="bottom"/>
          </w:tcPr>
          <w:p w14:paraId="382B2606" w14:textId="77777777" w:rsidR="00E96B29" w:rsidRPr="00027624" w:rsidRDefault="00E96B29" w:rsidP="00E96B29">
            <w:pPr>
              <w:pStyle w:val="TableTextCentered"/>
              <w:rPr>
                <w:szCs w:val="18"/>
              </w:rPr>
            </w:pPr>
            <w:r w:rsidRPr="00027624">
              <w:rPr>
                <w:rFonts w:cs="Calibri"/>
                <w:szCs w:val="18"/>
              </w:rPr>
              <w:t>12.1</w:t>
            </w:r>
          </w:p>
        </w:tc>
        <w:tc>
          <w:tcPr>
            <w:tcW w:w="424" w:type="pct"/>
            <w:shd w:val="clear" w:color="000000" w:fill="FFFFFF"/>
            <w:vAlign w:val="bottom"/>
          </w:tcPr>
          <w:p w14:paraId="6A5E779D" w14:textId="77777777" w:rsidR="00E96B29" w:rsidRPr="00027624" w:rsidRDefault="00E96B29" w:rsidP="00E96B29">
            <w:pPr>
              <w:pStyle w:val="TableTextCentered"/>
              <w:rPr>
                <w:szCs w:val="18"/>
              </w:rPr>
            </w:pPr>
            <w:r w:rsidRPr="00027624">
              <w:rPr>
                <w:rFonts w:cs="Calibri"/>
                <w:szCs w:val="18"/>
              </w:rPr>
              <w:t>10.8</w:t>
            </w:r>
          </w:p>
        </w:tc>
        <w:tc>
          <w:tcPr>
            <w:tcW w:w="424" w:type="pct"/>
            <w:shd w:val="clear" w:color="000000" w:fill="FFFFFF"/>
            <w:vAlign w:val="bottom"/>
          </w:tcPr>
          <w:p w14:paraId="451FAE28" w14:textId="77777777" w:rsidR="00E96B29" w:rsidRPr="00027624" w:rsidRDefault="00E96B29" w:rsidP="00E96B29">
            <w:pPr>
              <w:pStyle w:val="TableTextCentered"/>
              <w:rPr>
                <w:szCs w:val="18"/>
              </w:rPr>
            </w:pPr>
            <w:r w:rsidRPr="00027624">
              <w:rPr>
                <w:rFonts w:cs="Calibri"/>
                <w:szCs w:val="18"/>
              </w:rPr>
              <w:t>8.4</w:t>
            </w:r>
          </w:p>
        </w:tc>
        <w:tc>
          <w:tcPr>
            <w:tcW w:w="460" w:type="pct"/>
            <w:shd w:val="clear" w:color="000000" w:fill="FFFFFF"/>
            <w:vAlign w:val="bottom"/>
          </w:tcPr>
          <w:p w14:paraId="6B69127D" w14:textId="77777777" w:rsidR="00E96B29" w:rsidRPr="00027624" w:rsidRDefault="00E96B29" w:rsidP="00E96B29">
            <w:pPr>
              <w:pStyle w:val="TableTextCentered"/>
              <w:rPr>
                <w:szCs w:val="18"/>
              </w:rPr>
            </w:pPr>
            <w:r w:rsidRPr="00027624">
              <w:rPr>
                <w:rFonts w:cs="Calibri"/>
                <w:szCs w:val="18"/>
              </w:rPr>
              <w:t>6.5</w:t>
            </w:r>
          </w:p>
        </w:tc>
      </w:tr>
      <w:tr w:rsidR="00E96B29" w:rsidRPr="00027624" w14:paraId="48E704B2" w14:textId="77777777" w:rsidTr="00E96B29">
        <w:trPr>
          <w:trHeight w:val="270"/>
        </w:trPr>
        <w:tc>
          <w:tcPr>
            <w:tcW w:w="701" w:type="pct"/>
            <w:vAlign w:val="bottom"/>
          </w:tcPr>
          <w:p w14:paraId="7FEEB886" w14:textId="77777777" w:rsidR="00E96B29" w:rsidRPr="00027624" w:rsidRDefault="00E96B29" w:rsidP="00E96B29">
            <w:pPr>
              <w:pStyle w:val="TableTextLeft"/>
              <w:rPr>
                <w:szCs w:val="18"/>
              </w:rPr>
            </w:pPr>
            <w:r w:rsidRPr="00027624">
              <w:rPr>
                <w:bCs/>
                <w:szCs w:val="18"/>
              </w:rPr>
              <w:t>76</w:t>
            </w:r>
          </w:p>
        </w:tc>
        <w:tc>
          <w:tcPr>
            <w:tcW w:w="429" w:type="pct"/>
            <w:shd w:val="clear" w:color="000000" w:fill="FFFFFF"/>
          </w:tcPr>
          <w:p w14:paraId="0429D67B"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5415F271" w14:textId="77777777" w:rsidR="00E96B29" w:rsidRPr="00027624" w:rsidRDefault="00E96B29" w:rsidP="00E96B29">
            <w:pPr>
              <w:pStyle w:val="TableTextCentered"/>
              <w:rPr>
                <w:szCs w:val="18"/>
              </w:rPr>
            </w:pPr>
            <w:r w:rsidRPr="00027624">
              <w:rPr>
                <w:rFonts w:cs="Calibri"/>
                <w:szCs w:val="18"/>
              </w:rPr>
              <w:t>10.4</w:t>
            </w:r>
          </w:p>
        </w:tc>
        <w:tc>
          <w:tcPr>
            <w:tcW w:w="427" w:type="pct"/>
            <w:shd w:val="clear" w:color="000000" w:fill="FFFFFF"/>
            <w:vAlign w:val="bottom"/>
          </w:tcPr>
          <w:p w14:paraId="6902B702" w14:textId="77777777" w:rsidR="00E96B29" w:rsidRPr="00027624" w:rsidRDefault="00E96B29" w:rsidP="00E96B29">
            <w:pPr>
              <w:pStyle w:val="TableTextCentered"/>
              <w:rPr>
                <w:szCs w:val="18"/>
              </w:rPr>
            </w:pPr>
            <w:r w:rsidRPr="00027624">
              <w:rPr>
                <w:rFonts w:cs="Calibri"/>
                <w:szCs w:val="18"/>
              </w:rPr>
              <w:t>10.2</w:t>
            </w:r>
          </w:p>
        </w:tc>
        <w:tc>
          <w:tcPr>
            <w:tcW w:w="427" w:type="pct"/>
            <w:shd w:val="clear" w:color="000000" w:fill="FFFFFF"/>
            <w:vAlign w:val="bottom"/>
          </w:tcPr>
          <w:p w14:paraId="2833BF64" w14:textId="77777777" w:rsidR="00E96B29" w:rsidRPr="00027624" w:rsidRDefault="00E96B29" w:rsidP="00E96B29">
            <w:pPr>
              <w:pStyle w:val="TableTextCentered"/>
              <w:rPr>
                <w:szCs w:val="18"/>
              </w:rPr>
            </w:pPr>
            <w:r w:rsidRPr="00027624">
              <w:rPr>
                <w:rFonts w:cs="Calibri"/>
                <w:szCs w:val="18"/>
              </w:rPr>
              <w:t>11.1</w:t>
            </w:r>
          </w:p>
        </w:tc>
        <w:tc>
          <w:tcPr>
            <w:tcW w:w="427" w:type="pct"/>
            <w:shd w:val="clear" w:color="000000" w:fill="FFFFFF"/>
            <w:vAlign w:val="bottom"/>
          </w:tcPr>
          <w:p w14:paraId="644215E0" w14:textId="77777777" w:rsidR="00E96B29" w:rsidRPr="00027624" w:rsidRDefault="00E96B29" w:rsidP="00E96B29">
            <w:pPr>
              <w:pStyle w:val="TableTextCentered"/>
              <w:rPr>
                <w:szCs w:val="18"/>
              </w:rPr>
            </w:pPr>
            <w:r w:rsidRPr="00027624">
              <w:rPr>
                <w:rFonts w:cs="Calibri"/>
                <w:szCs w:val="18"/>
              </w:rPr>
              <w:t>11.6</w:t>
            </w:r>
          </w:p>
        </w:tc>
        <w:tc>
          <w:tcPr>
            <w:tcW w:w="427" w:type="pct"/>
            <w:shd w:val="clear" w:color="000000" w:fill="FFFFFF"/>
            <w:vAlign w:val="bottom"/>
          </w:tcPr>
          <w:p w14:paraId="564E1534" w14:textId="77777777" w:rsidR="00E96B29" w:rsidRPr="00027624" w:rsidRDefault="00E96B29" w:rsidP="00E96B29">
            <w:pPr>
              <w:pStyle w:val="TableTextCentered"/>
              <w:rPr>
                <w:szCs w:val="18"/>
              </w:rPr>
            </w:pPr>
            <w:r w:rsidRPr="00027624">
              <w:rPr>
                <w:rFonts w:cs="Calibri"/>
                <w:szCs w:val="18"/>
              </w:rPr>
              <w:t>12.1</w:t>
            </w:r>
          </w:p>
        </w:tc>
        <w:tc>
          <w:tcPr>
            <w:tcW w:w="427" w:type="pct"/>
            <w:shd w:val="clear" w:color="000000" w:fill="FFFFFF"/>
            <w:vAlign w:val="bottom"/>
          </w:tcPr>
          <w:p w14:paraId="0C905C23" w14:textId="77777777" w:rsidR="00E96B29" w:rsidRPr="00027624" w:rsidRDefault="00E96B29" w:rsidP="00E96B29">
            <w:pPr>
              <w:pStyle w:val="TableTextCentered"/>
              <w:rPr>
                <w:szCs w:val="18"/>
              </w:rPr>
            </w:pPr>
            <w:r w:rsidRPr="00027624">
              <w:rPr>
                <w:rFonts w:cs="Calibri"/>
                <w:szCs w:val="18"/>
              </w:rPr>
              <w:t>12.4</w:t>
            </w:r>
          </w:p>
        </w:tc>
        <w:tc>
          <w:tcPr>
            <w:tcW w:w="424" w:type="pct"/>
            <w:shd w:val="clear" w:color="000000" w:fill="FFFFFF"/>
            <w:vAlign w:val="bottom"/>
          </w:tcPr>
          <w:p w14:paraId="192B61F1" w14:textId="77777777" w:rsidR="00E96B29" w:rsidRPr="00027624" w:rsidRDefault="00E96B29" w:rsidP="00E96B29">
            <w:pPr>
              <w:pStyle w:val="TableTextCentered"/>
              <w:rPr>
                <w:szCs w:val="18"/>
              </w:rPr>
            </w:pPr>
            <w:r w:rsidRPr="00027624">
              <w:rPr>
                <w:rFonts w:cs="Calibri"/>
                <w:szCs w:val="18"/>
              </w:rPr>
              <w:t>11.8</w:t>
            </w:r>
          </w:p>
        </w:tc>
        <w:tc>
          <w:tcPr>
            <w:tcW w:w="424" w:type="pct"/>
            <w:shd w:val="clear" w:color="000000" w:fill="FFFFFF"/>
            <w:vAlign w:val="bottom"/>
          </w:tcPr>
          <w:p w14:paraId="30590902" w14:textId="77777777" w:rsidR="00E96B29" w:rsidRPr="00027624" w:rsidRDefault="00E96B29" w:rsidP="00E96B29">
            <w:pPr>
              <w:pStyle w:val="TableTextCentered"/>
              <w:rPr>
                <w:szCs w:val="18"/>
              </w:rPr>
            </w:pPr>
            <w:r w:rsidRPr="00027624">
              <w:rPr>
                <w:rFonts w:cs="Calibri"/>
                <w:szCs w:val="18"/>
              </w:rPr>
              <w:t>8.9</w:t>
            </w:r>
          </w:p>
        </w:tc>
        <w:tc>
          <w:tcPr>
            <w:tcW w:w="460" w:type="pct"/>
            <w:shd w:val="clear" w:color="000000" w:fill="FFFFFF"/>
            <w:vAlign w:val="bottom"/>
          </w:tcPr>
          <w:p w14:paraId="62BB5CE1" w14:textId="77777777" w:rsidR="00E96B29" w:rsidRPr="00027624" w:rsidRDefault="00E96B29" w:rsidP="00E96B29">
            <w:pPr>
              <w:pStyle w:val="TableTextCentered"/>
              <w:rPr>
                <w:szCs w:val="18"/>
              </w:rPr>
            </w:pPr>
            <w:r w:rsidRPr="00027624">
              <w:rPr>
                <w:rFonts w:cs="Calibri"/>
                <w:szCs w:val="18"/>
              </w:rPr>
              <w:t>6.8</w:t>
            </w:r>
          </w:p>
        </w:tc>
      </w:tr>
      <w:tr w:rsidR="00E96B29" w:rsidRPr="00027624" w14:paraId="369AA875" w14:textId="77777777" w:rsidTr="00E96B29">
        <w:trPr>
          <w:trHeight w:val="270"/>
        </w:trPr>
        <w:tc>
          <w:tcPr>
            <w:tcW w:w="701" w:type="pct"/>
            <w:vAlign w:val="bottom"/>
          </w:tcPr>
          <w:p w14:paraId="61ABFC26" w14:textId="77777777" w:rsidR="00E96B29" w:rsidRPr="00027624" w:rsidRDefault="00E96B29" w:rsidP="00E96B29">
            <w:pPr>
              <w:pStyle w:val="TableTextLeft"/>
              <w:rPr>
                <w:szCs w:val="18"/>
              </w:rPr>
            </w:pPr>
            <w:r w:rsidRPr="00027624">
              <w:rPr>
                <w:bCs/>
                <w:szCs w:val="18"/>
              </w:rPr>
              <w:t>77</w:t>
            </w:r>
          </w:p>
        </w:tc>
        <w:tc>
          <w:tcPr>
            <w:tcW w:w="429" w:type="pct"/>
            <w:shd w:val="clear" w:color="000000" w:fill="FFFFFF"/>
          </w:tcPr>
          <w:p w14:paraId="1DF535B1"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631992C0" w14:textId="77777777" w:rsidR="00E96B29" w:rsidRPr="00027624" w:rsidRDefault="00E96B29" w:rsidP="00E96B29">
            <w:pPr>
              <w:pStyle w:val="TableTextCentered"/>
              <w:rPr>
                <w:szCs w:val="18"/>
              </w:rPr>
            </w:pPr>
            <w:r w:rsidRPr="00027624">
              <w:rPr>
                <w:rFonts w:cs="Calibri"/>
                <w:szCs w:val="18"/>
              </w:rPr>
              <w:t>11.0</w:t>
            </w:r>
          </w:p>
        </w:tc>
        <w:tc>
          <w:tcPr>
            <w:tcW w:w="427" w:type="pct"/>
            <w:shd w:val="clear" w:color="000000" w:fill="FFFFFF"/>
            <w:vAlign w:val="bottom"/>
          </w:tcPr>
          <w:p w14:paraId="671FCC94" w14:textId="77777777" w:rsidR="00E96B29" w:rsidRPr="00027624" w:rsidRDefault="00E96B29" w:rsidP="00E96B29">
            <w:pPr>
              <w:pStyle w:val="TableTextCentered"/>
              <w:rPr>
                <w:szCs w:val="18"/>
              </w:rPr>
            </w:pPr>
            <w:r w:rsidRPr="00027624">
              <w:rPr>
                <w:rFonts w:cs="Calibri"/>
                <w:szCs w:val="18"/>
              </w:rPr>
              <w:t>10.3</w:t>
            </w:r>
          </w:p>
        </w:tc>
        <w:tc>
          <w:tcPr>
            <w:tcW w:w="427" w:type="pct"/>
            <w:shd w:val="clear" w:color="000000" w:fill="FFFFFF"/>
            <w:vAlign w:val="bottom"/>
          </w:tcPr>
          <w:p w14:paraId="49F83B22" w14:textId="77777777" w:rsidR="00E96B29" w:rsidRPr="00027624" w:rsidRDefault="00E96B29" w:rsidP="00E96B29">
            <w:pPr>
              <w:pStyle w:val="TableTextCentered"/>
              <w:rPr>
                <w:szCs w:val="18"/>
              </w:rPr>
            </w:pPr>
            <w:r w:rsidRPr="00027624">
              <w:rPr>
                <w:rFonts w:cs="Calibri"/>
                <w:szCs w:val="18"/>
              </w:rPr>
              <w:t>11.1</w:t>
            </w:r>
          </w:p>
        </w:tc>
        <w:tc>
          <w:tcPr>
            <w:tcW w:w="427" w:type="pct"/>
            <w:shd w:val="clear" w:color="000000" w:fill="FFFFFF"/>
            <w:vAlign w:val="bottom"/>
          </w:tcPr>
          <w:p w14:paraId="53015A5F" w14:textId="77777777" w:rsidR="00E96B29" w:rsidRPr="00027624" w:rsidRDefault="00E96B29" w:rsidP="00E96B29">
            <w:pPr>
              <w:pStyle w:val="TableTextCentered"/>
              <w:rPr>
                <w:szCs w:val="18"/>
              </w:rPr>
            </w:pPr>
            <w:r w:rsidRPr="00027624">
              <w:rPr>
                <w:rFonts w:cs="Calibri"/>
                <w:szCs w:val="18"/>
              </w:rPr>
              <w:t>11.8</w:t>
            </w:r>
          </w:p>
        </w:tc>
        <w:tc>
          <w:tcPr>
            <w:tcW w:w="427" w:type="pct"/>
            <w:shd w:val="clear" w:color="000000" w:fill="FFFFFF"/>
            <w:vAlign w:val="bottom"/>
          </w:tcPr>
          <w:p w14:paraId="75F4D23D" w14:textId="77777777" w:rsidR="00E96B29" w:rsidRPr="00027624" w:rsidRDefault="00E96B29" w:rsidP="00E96B29">
            <w:pPr>
              <w:pStyle w:val="TableTextCentered"/>
              <w:rPr>
                <w:szCs w:val="18"/>
              </w:rPr>
            </w:pPr>
            <w:r w:rsidRPr="00027624">
              <w:rPr>
                <w:rFonts w:cs="Calibri"/>
                <w:szCs w:val="18"/>
              </w:rPr>
              <w:t>12.3</w:t>
            </w:r>
          </w:p>
        </w:tc>
        <w:tc>
          <w:tcPr>
            <w:tcW w:w="427" w:type="pct"/>
            <w:shd w:val="clear" w:color="000000" w:fill="FFFFFF"/>
            <w:vAlign w:val="bottom"/>
          </w:tcPr>
          <w:p w14:paraId="4C32654C" w14:textId="77777777" w:rsidR="00E96B29" w:rsidRPr="00027624" w:rsidRDefault="00E96B29" w:rsidP="00E96B29">
            <w:pPr>
              <w:pStyle w:val="TableTextCentered"/>
              <w:rPr>
                <w:szCs w:val="18"/>
              </w:rPr>
            </w:pPr>
            <w:r w:rsidRPr="00027624">
              <w:rPr>
                <w:rFonts w:cs="Calibri"/>
                <w:szCs w:val="18"/>
              </w:rPr>
              <w:t>12.7</w:t>
            </w:r>
          </w:p>
        </w:tc>
        <w:tc>
          <w:tcPr>
            <w:tcW w:w="424" w:type="pct"/>
            <w:shd w:val="clear" w:color="000000" w:fill="FFFFFF"/>
            <w:vAlign w:val="bottom"/>
          </w:tcPr>
          <w:p w14:paraId="4464E741" w14:textId="77777777" w:rsidR="00E96B29" w:rsidRPr="00027624" w:rsidRDefault="00E96B29" w:rsidP="00E96B29">
            <w:pPr>
              <w:pStyle w:val="TableTextCentered"/>
              <w:rPr>
                <w:szCs w:val="18"/>
              </w:rPr>
            </w:pPr>
            <w:r w:rsidRPr="00027624">
              <w:rPr>
                <w:rFonts w:cs="Calibri"/>
                <w:szCs w:val="18"/>
              </w:rPr>
              <w:t>12.7</w:t>
            </w:r>
          </w:p>
        </w:tc>
        <w:tc>
          <w:tcPr>
            <w:tcW w:w="424" w:type="pct"/>
            <w:shd w:val="clear" w:color="000000" w:fill="FFFFFF"/>
            <w:vAlign w:val="bottom"/>
          </w:tcPr>
          <w:p w14:paraId="6E088FDD" w14:textId="77777777" w:rsidR="00E96B29" w:rsidRPr="00027624" w:rsidRDefault="00E96B29" w:rsidP="00E96B29">
            <w:pPr>
              <w:pStyle w:val="TableTextCentered"/>
              <w:rPr>
                <w:szCs w:val="18"/>
              </w:rPr>
            </w:pPr>
            <w:r w:rsidRPr="00027624">
              <w:rPr>
                <w:rFonts w:cs="Calibri"/>
                <w:szCs w:val="18"/>
              </w:rPr>
              <w:t>9.6</w:t>
            </w:r>
          </w:p>
        </w:tc>
        <w:tc>
          <w:tcPr>
            <w:tcW w:w="460" w:type="pct"/>
            <w:shd w:val="clear" w:color="000000" w:fill="FFFFFF"/>
            <w:vAlign w:val="bottom"/>
          </w:tcPr>
          <w:p w14:paraId="5983F6A9" w14:textId="77777777" w:rsidR="00E96B29" w:rsidRPr="00027624" w:rsidRDefault="00E96B29" w:rsidP="00E96B29">
            <w:pPr>
              <w:pStyle w:val="TableTextCentered"/>
              <w:rPr>
                <w:szCs w:val="18"/>
              </w:rPr>
            </w:pPr>
            <w:r w:rsidRPr="00027624">
              <w:rPr>
                <w:rFonts w:cs="Calibri"/>
                <w:szCs w:val="18"/>
              </w:rPr>
              <w:t>7.2</w:t>
            </w:r>
          </w:p>
        </w:tc>
      </w:tr>
      <w:tr w:rsidR="00E96B29" w:rsidRPr="00027624" w14:paraId="367DAE58" w14:textId="77777777" w:rsidTr="00E96B29">
        <w:trPr>
          <w:trHeight w:val="270"/>
        </w:trPr>
        <w:tc>
          <w:tcPr>
            <w:tcW w:w="701" w:type="pct"/>
            <w:vAlign w:val="bottom"/>
          </w:tcPr>
          <w:p w14:paraId="663D5C08" w14:textId="77777777" w:rsidR="00E96B29" w:rsidRPr="00027624" w:rsidRDefault="00E96B29" w:rsidP="00E96B29">
            <w:pPr>
              <w:pStyle w:val="TableTextLeft"/>
              <w:rPr>
                <w:szCs w:val="18"/>
              </w:rPr>
            </w:pPr>
            <w:r w:rsidRPr="00027624">
              <w:rPr>
                <w:bCs/>
                <w:szCs w:val="18"/>
              </w:rPr>
              <w:t>78</w:t>
            </w:r>
          </w:p>
        </w:tc>
        <w:tc>
          <w:tcPr>
            <w:tcW w:w="429" w:type="pct"/>
            <w:shd w:val="clear" w:color="000000" w:fill="FFFFFF"/>
          </w:tcPr>
          <w:p w14:paraId="5B007C57"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3CAF02DA" w14:textId="77777777" w:rsidR="00E96B29" w:rsidRPr="00027624" w:rsidRDefault="00E96B29" w:rsidP="00E96B29">
            <w:pPr>
              <w:pStyle w:val="TableTextCentered"/>
              <w:rPr>
                <w:szCs w:val="18"/>
              </w:rPr>
            </w:pPr>
            <w:r w:rsidRPr="00027624">
              <w:rPr>
                <w:rFonts w:cs="Calibri"/>
                <w:szCs w:val="18"/>
              </w:rPr>
              <w:t>11.6</w:t>
            </w:r>
          </w:p>
        </w:tc>
        <w:tc>
          <w:tcPr>
            <w:tcW w:w="427" w:type="pct"/>
            <w:shd w:val="clear" w:color="000000" w:fill="FFFFFF"/>
            <w:vAlign w:val="bottom"/>
          </w:tcPr>
          <w:p w14:paraId="210D3898" w14:textId="77777777" w:rsidR="00E96B29" w:rsidRPr="00027624" w:rsidRDefault="00E96B29" w:rsidP="00E96B29">
            <w:pPr>
              <w:pStyle w:val="TableTextCentered"/>
              <w:rPr>
                <w:szCs w:val="18"/>
              </w:rPr>
            </w:pPr>
            <w:r w:rsidRPr="00027624">
              <w:rPr>
                <w:rFonts w:cs="Calibri"/>
                <w:szCs w:val="18"/>
              </w:rPr>
              <w:t>10.7</w:t>
            </w:r>
          </w:p>
        </w:tc>
        <w:tc>
          <w:tcPr>
            <w:tcW w:w="427" w:type="pct"/>
            <w:shd w:val="clear" w:color="000000" w:fill="FFFFFF"/>
            <w:vAlign w:val="bottom"/>
          </w:tcPr>
          <w:p w14:paraId="1340D911" w14:textId="77777777" w:rsidR="00E96B29" w:rsidRPr="00027624" w:rsidRDefault="00E96B29" w:rsidP="00E96B29">
            <w:pPr>
              <w:pStyle w:val="TableTextCentered"/>
              <w:rPr>
                <w:szCs w:val="18"/>
              </w:rPr>
            </w:pPr>
            <w:r w:rsidRPr="00027624">
              <w:rPr>
                <w:rFonts w:cs="Calibri"/>
                <w:szCs w:val="18"/>
              </w:rPr>
              <w:t>11.1</w:t>
            </w:r>
          </w:p>
        </w:tc>
        <w:tc>
          <w:tcPr>
            <w:tcW w:w="427" w:type="pct"/>
            <w:shd w:val="clear" w:color="000000" w:fill="FFFFFF"/>
            <w:vAlign w:val="bottom"/>
          </w:tcPr>
          <w:p w14:paraId="39D41D58" w14:textId="77777777" w:rsidR="00E96B29" w:rsidRPr="00027624" w:rsidRDefault="00E96B29" w:rsidP="00E96B29">
            <w:pPr>
              <w:pStyle w:val="TableTextCentered"/>
              <w:rPr>
                <w:szCs w:val="18"/>
              </w:rPr>
            </w:pPr>
            <w:r w:rsidRPr="00027624">
              <w:rPr>
                <w:rFonts w:cs="Calibri"/>
                <w:szCs w:val="18"/>
              </w:rPr>
              <w:t>12.0</w:t>
            </w:r>
          </w:p>
        </w:tc>
        <w:tc>
          <w:tcPr>
            <w:tcW w:w="427" w:type="pct"/>
            <w:shd w:val="clear" w:color="000000" w:fill="FFFFFF"/>
            <w:vAlign w:val="bottom"/>
          </w:tcPr>
          <w:p w14:paraId="19768D57" w14:textId="77777777" w:rsidR="00E96B29" w:rsidRPr="00027624" w:rsidRDefault="00E96B29" w:rsidP="00E96B29">
            <w:pPr>
              <w:pStyle w:val="TableTextCentered"/>
              <w:rPr>
                <w:szCs w:val="18"/>
              </w:rPr>
            </w:pPr>
            <w:r w:rsidRPr="00027624">
              <w:rPr>
                <w:rFonts w:cs="Calibri"/>
                <w:szCs w:val="18"/>
              </w:rPr>
              <w:t>12.6</w:t>
            </w:r>
          </w:p>
        </w:tc>
        <w:tc>
          <w:tcPr>
            <w:tcW w:w="427" w:type="pct"/>
            <w:shd w:val="clear" w:color="000000" w:fill="FFFFFF"/>
            <w:vAlign w:val="bottom"/>
          </w:tcPr>
          <w:p w14:paraId="74190A4F" w14:textId="77777777" w:rsidR="00E96B29" w:rsidRPr="00027624" w:rsidRDefault="00E96B29" w:rsidP="00E96B29">
            <w:pPr>
              <w:pStyle w:val="TableTextCentered"/>
              <w:rPr>
                <w:szCs w:val="18"/>
              </w:rPr>
            </w:pPr>
            <w:r w:rsidRPr="00027624">
              <w:rPr>
                <w:rFonts w:cs="Calibri"/>
                <w:szCs w:val="18"/>
              </w:rPr>
              <w:t>13.1</w:t>
            </w:r>
          </w:p>
        </w:tc>
        <w:tc>
          <w:tcPr>
            <w:tcW w:w="424" w:type="pct"/>
            <w:shd w:val="clear" w:color="000000" w:fill="FFFFFF"/>
            <w:vAlign w:val="bottom"/>
          </w:tcPr>
          <w:p w14:paraId="7FAD7261" w14:textId="77777777" w:rsidR="00E96B29" w:rsidRPr="00027624" w:rsidRDefault="00E96B29" w:rsidP="00E96B29">
            <w:pPr>
              <w:pStyle w:val="TableTextCentered"/>
              <w:rPr>
                <w:szCs w:val="18"/>
              </w:rPr>
            </w:pPr>
            <w:r w:rsidRPr="00027624">
              <w:rPr>
                <w:rFonts w:cs="Calibri"/>
                <w:szCs w:val="18"/>
              </w:rPr>
              <w:t>13.2</w:t>
            </w:r>
          </w:p>
        </w:tc>
        <w:tc>
          <w:tcPr>
            <w:tcW w:w="424" w:type="pct"/>
            <w:shd w:val="clear" w:color="000000" w:fill="FFFFFF"/>
            <w:vAlign w:val="bottom"/>
          </w:tcPr>
          <w:p w14:paraId="3C09F2D7" w14:textId="77777777" w:rsidR="00E96B29" w:rsidRPr="00027624" w:rsidRDefault="00E96B29" w:rsidP="00E96B29">
            <w:pPr>
              <w:pStyle w:val="TableTextCentered"/>
              <w:rPr>
                <w:szCs w:val="18"/>
              </w:rPr>
            </w:pPr>
            <w:r w:rsidRPr="00027624">
              <w:rPr>
                <w:rFonts w:cs="Calibri"/>
                <w:szCs w:val="18"/>
              </w:rPr>
              <w:t>10.4</w:t>
            </w:r>
          </w:p>
        </w:tc>
        <w:tc>
          <w:tcPr>
            <w:tcW w:w="460" w:type="pct"/>
            <w:shd w:val="clear" w:color="000000" w:fill="FFFFFF"/>
            <w:vAlign w:val="bottom"/>
          </w:tcPr>
          <w:p w14:paraId="64B608D5" w14:textId="77777777" w:rsidR="00E96B29" w:rsidRPr="00027624" w:rsidRDefault="00E96B29" w:rsidP="00E96B29">
            <w:pPr>
              <w:pStyle w:val="TableTextCentered"/>
              <w:rPr>
                <w:szCs w:val="18"/>
              </w:rPr>
            </w:pPr>
            <w:r w:rsidRPr="00027624">
              <w:rPr>
                <w:rFonts w:cs="Calibri"/>
                <w:szCs w:val="18"/>
              </w:rPr>
              <w:t>7.7</w:t>
            </w:r>
          </w:p>
        </w:tc>
      </w:tr>
      <w:tr w:rsidR="00E96B29" w:rsidRPr="00027624" w14:paraId="0C206753" w14:textId="77777777" w:rsidTr="00E96B29">
        <w:trPr>
          <w:trHeight w:val="270"/>
        </w:trPr>
        <w:tc>
          <w:tcPr>
            <w:tcW w:w="701" w:type="pct"/>
            <w:vAlign w:val="bottom"/>
          </w:tcPr>
          <w:p w14:paraId="0E962D14" w14:textId="77777777" w:rsidR="00E96B29" w:rsidRPr="00027624" w:rsidRDefault="00E96B29" w:rsidP="00E96B29">
            <w:pPr>
              <w:pStyle w:val="TableTextLeft"/>
              <w:rPr>
                <w:szCs w:val="18"/>
              </w:rPr>
            </w:pPr>
            <w:r w:rsidRPr="00027624">
              <w:rPr>
                <w:bCs/>
                <w:szCs w:val="18"/>
              </w:rPr>
              <w:t>79</w:t>
            </w:r>
          </w:p>
        </w:tc>
        <w:tc>
          <w:tcPr>
            <w:tcW w:w="429" w:type="pct"/>
            <w:shd w:val="clear" w:color="000000" w:fill="FFFFFF"/>
          </w:tcPr>
          <w:p w14:paraId="324C1A34"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2C9610BD" w14:textId="77777777" w:rsidR="00E96B29" w:rsidRPr="00027624" w:rsidRDefault="00E96B29" w:rsidP="00E96B29">
            <w:pPr>
              <w:pStyle w:val="TableTextCentered"/>
              <w:rPr>
                <w:szCs w:val="18"/>
              </w:rPr>
            </w:pPr>
            <w:r w:rsidRPr="00027624">
              <w:rPr>
                <w:rFonts w:cs="Calibri"/>
                <w:szCs w:val="18"/>
              </w:rPr>
              <w:t>12.3</w:t>
            </w:r>
          </w:p>
        </w:tc>
        <w:tc>
          <w:tcPr>
            <w:tcW w:w="427" w:type="pct"/>
            <w:shd w:val="clear" w:color="000000" w:fill="FFFFFF"/>
            <w:vAlign w:val="bottom"/>
          </w:tcPr>
          <w:p w14:paraId="140CDFF4" w14:textId="77777777" w:rsidR="00E96B29" w:rsidRPr="00027624" w:rsidRDefault="00E96B29" w:rsidP="00E96B29">
            <w:pPr>
              <w:pStyle w:val="TableTextCentered"/>
              <w:rPr>
                <w:szCs w:val="18"/>
              </w:rPr>
            </w:pPr>
            <w:r w:rsidRPr="00027624">
              <w:rPr>
                <w:rFonts w:cs="Calibri"/>
                <w:szCs w:val="18"/>
              </w:rPr>
              <w:t>11.4</w:t>
            </w:r>
          </w:p>
        </w:tc>
        <w:tc>
          <w:tcPr>
            <w:tcW w:w="427" w:type="pct"/>
            <w:shd w:val="clear" w:color="000000" w:fill="FFFFFF"/>
            <w:vAlign w:val="bottom"/>
          </w:tcPr>
          <w:p w14:paraId="4CF85D72" w14:textId="77777777" w:rsidR="00E96B29" w:rsidRPr="00027624" w:rsidRDefault="00E96B29" w:rsidP="00E96B29">
            <w:pPr>
              <w:pStyle w:val="TableTextCentered"/>
              <w:rPr>
                <w:szCs w:val="18"/>
              </w:rPr>
            </w:pPr>
            <w:r w:rsidRPr="00027624">
              <w:rPr>
                <w:rFonts w:cs="Calibri"/>
                <w:szCs w:val="18"/>
              </w:rPr>
              <w:t>11.2</w:t>
            </w:r>
          </w:p>
        </w:tc>
        <w:tc>
          <w:tcPr>
            <w:tcW w:w="427" w:type="pct"/>
            <w:shd w:val="clear" w:color="000000" w:fill="FFFFFF"/>
            <w:vAlign w:val="bottom"/>
          </w:tcPr>
          <w:p w14:paraId="6F25B507" w14:textId="77777777" w:rsidR="00E96B29" w:rsidRPr="00027624" w:rsidRDefault="00E96B29" w:rsidP="00E96B29">
            <w:pPr>
              <w:pStyle w:val="TableTextCentered"/>
              <w:rPr>
                <w:szCs w:val="18"/>
              </w:rPr>
            </w:pPr>
            <w:r w:rsidRPr="00027624">
              <w:rPr>
                <w:rFonts w:cs="Calibri"/>
                <w:szCs w:val="18"/>
              </w:rPr>
              <w:t>12.2</w:t>
            </w:r>
          </w:p>
        </w:tc>
        <w:tc>
          <w:tcPr>
            <w:tcW w:w="427" w:type="pct"/>
            <w:shd w:val="clear" w:color="000000" w:fill="FFFFFF"/>
            <w:vAlign w:val="bottom"/>
          </w:tcPr>
          <w:p w14:paraId="149ECCD9" w14:textId="77777777" w:rsidR="00E96B29" w:rsidRPr="00027624" w:rsidRDefault="00E96B29" w:rsidP="00E96B29">
            <w:pPr>
              <w:pStyle w:val="TableTextCentered"/>
              <w:rPr>
                <w:szCs w:val="18"/>
              </w:rPr>
            </w:pPr>
            <w:r w:rsidRPr="00027624">
              <w:rPr>
                <w:rFonts w:cs="Calibri"/>
                <w:szCs w:val="18"/>
              </w:rPr>
              <w:t>13.0</w:t>
            </w:r>
          </w:p>
        </w:tc>
        <w:tc>
          <w:tcPr>
            <w:tcW w:w="427" w:type="pct"/>
            <w:shd w:val="clear" w:color="000000" w:fill="FFFFFF"/>
            <w:vAlign w:val="bottom"/>
          </w:tcPr>
          <w:p w14:paraId="2B256BB0" w14:textId="77777777" w:rsidR="00E96B29" w:rsidRPr="00027624" w:rsidRDefault="00E96B29" w:rsidP="00E96B29">
            <w:pPr>
              <w:pStyle w:val="TableTextCentered"/>
              <w:rPr>
                <w:szCs w:val="18"/>
              </w:rPr>
            </w:pPr>
            <w:r w:rsidRPr="00027624">
              <w:rPr>
                <w:rFonts w:cs="Calibri"/>
                <w:szCs w:val="18"/>
              </w:rPr>
              <w:t>13.5</w:t>
            </w:r>
          </w:p>
        </w:tc>
        <w:tc>
          <w:tcPr>
            <w:tcW w:w="424" w:type="pct"/>
            <w:shd w:val="clear" w:color="000000" w:fill="FFFFFF"/>
            <w:vAlign w:val="bottom"/>
          </w:tcPr>
          <w:p w14:paraId="55A10405" w14:textId="77777777" w:rsidR="00E96B29" w:rsidRPr="00027624" w:rsidRDefault="00E96B29" w:rsidP="00E96B29">
            <w:pPr>
              <w:pStyle w:val="TableTextCentered"/>
              <w:rPr>
                <w:szCs w:val="18"/>
              </w:rPr>
            </w:pPr>
            <w:r w:rsidRPr="00027624">
              <w:rPr>
                <w:rFonts w:cs="Calibri"/>
                <w:szCs w:val="18"/>
              </w:rPr>
              <w:t>13.7</w:t>
            </w:r>
          </w:p>
        </w:tc>
        <w:tc>
          <w:tcPr>
            <w:tcW w:w="424" w:type="pct"/>
            <w:shd w:val="clear" w:color="000000" w:fill="FFFFFF"/>
            <w:vAlign w:val="bottom"/>
          </w:tcPr>
          <w:p w14:paraId="1D241FCA" w14:textId="77777777" w:rsidR="00E96B29" w:rsidRPr="00027624" w:rsidRDefault="00E96B29" w:rsidP="00E96B29">
            <w:pPr>
              <w:pStyle w:val="TableTextCentered"/>
              <w:rPr>
                <w:szCs w:val="18"/>
              </w:rPr>
            </w:pPr>
            <w:r w:rsidRPr="00027624">
              <w:rPr>
                <w:rFonts w:cs="Calibri"/>
                <w:szCs w:val="18"/>
              </w:rPr>
              <w:t>11.3</w:t>
            </w:r>
          </w:p>
        </w:tc>
        <w:tc>
          <w:tcPr>
            <w:tcW w:w="460" w:type="pct"/>
            <w:shd w:val="clear" w:color="000000" w:fill="FFFFFF"/>
            <w:vAlign w:val="bottom"/>
          </w:tcPr>
          <w:p w14:paraId="0DE45869" w14:textId="77777777" w:rsidR="00E96B29" w:rsidRPr="00027624" w:rsidRDefault="00E96B29" w:rsidP="00E96B29">
            <w:pPr>
              <w:pStyle w:val="TableTextCentered"/>
              <w:rPr>
                <w:szCs w:val="18"/>
              </w:rPr>
            </w:pPr>
            <w:r w:rsidRPr="00027624">
              <w:rPr>
                <w:rFonts w:cs="Calibri"/>
                <w:szCs w:val="18"/>
              </w:rPr>
              <w:t>8.2</w:t>
            </w:r>
          </w:p>
        </w:tc>
      </w:tr>
      <w:tr w:rsidR="00E96B29" w:rsidRPr="00027624" w14:paraId="6D163CA8" w14:textId="77777777" w:rsidTr="00E96B29">
        <w:trPr>
          <w:trHeight w:val="270"/>
        </w:trPr>
        <w:tc>
          <w:tcPr>
            <w:tcW w:w="701" w:type="pct"/>
            <w:vAlign w:val="bottom"/>
          </w:tcPr>
          <w:p w14:paraId="522890F3" w14:textId="77777777" w:rsidR="00E96B29" w:rsidRPr="00027624" w:rsidRDefault="00E96B29" w:rsidP="00E96B29">
            <w:pPr>
              <w:pStyle w:val="TableTextLeft"/>
              <w:rPr>
                <w:szCs w:val="18"/>
              </w:rPr>
            </w:pPr>
            <w:r w:rsidRPr="00027624">
              <w:rPr>
                <w:bCs/>
                <w:szCs w:val="18"/>
              </w:rPr>
              <w:t>80</w:t>
            </w:r>
          </w:p>
        </w:tc>
        <w:tc>
          <w:tcPr>
            <w:tcW w:w="429" w:type="pct"/>
            <w:shd w:val="clear" w:color="000000" w:fill="FFFFFF"/>
          </w:tcPr>
          <w:p w14:paraId="794DA426"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329F38E5" w14:textId="77777777" w:rsidR="00E96B29" w:rsidRPr="00027624" w:rsidRDefault="00E96B29" w:rsidP="00E96B29">
            <w:pPr>
              <w:pStyle w:val="TableTextCentered"/>
              <w:rPr>
                <w:szCs w:val="18"/>
              </w:rPr>
            </w:pPr>
            <w:r w:rsidRPr="00027624">
              <w:rPr>
                <w:rFonts w:cs="Calibri"/>
                <w:szCs w:val="18"/>
              </w:rPr>
              <w:t>13.1</w:t>
            </w:r>
          </w:p>
        </w:tc>
        <w:tc>
          <w:tcPr>
            <w:tcW w:w="427" w:type="pct"/>
            <w:shd w:val="clear" w:color="000000" w:fill="FFFFFF"/>
            <w:vAlign w:val="bottom"/>
          </w:tcPr>
          <w:p w14:paraId="21568308" w14:textId="77777777" w:rsidR="00E96B29" w:rsidRPr="00027624" w:rsidRDefault="00E96B29" w:rsidP="00E96B29">
            <w:pPr>
              <w:pStyle w:val="TableTextCentered"/>
              <w:rPr>
                <w:szCs w:val="18"/>
              </w:rPr>
            </w:pPr>
            <w:r w:rsidRPr="00027624">
              <w:rPr>
                <w:rFonts w:cs="Calibri"/>
                <w:szCs w:val="18"/>
              </w:rPr>
              <w:t>12.1</w:t>
            </w:r>
          </w:p>
        </w:tc>
        <w:tc>
          <w:tcPr>
            <w:tcW w:w="427" w:type="pct"/>
            <w:shd w:val="clear" w:color="000000" w:fill="FFFFFF"/>
            <w:vAlign w:val="bottom"/>
          </w:tcPr>
          <w:p w14:paraId="0EED9B95" w14:textId="77777777" w:rsidR="00E96B29" w:rsidRPr="00027624" w:rsidRDefault="00E96B29" w:rsidP="00E96B29">
            <w:pPr>
              <w:pStyle w:val="TableTextCentered"/>
              <w:rPr>
                <w:szCs w:val="18"/>
              </w:rPr>
            </w:pPr>
            <w:r w:rsidRPr="00027624">
              <w:rPr>
                <w:rFonts w:cs="Calibri"/>
                <w:szCs w:val="18"/>
              </w:rPr>
              <w:t>11.9</w:t>
            </w:r>
          </w:p>
        </w:tc>
        <w:tc>
          <w:tcPr>
            <w:tcW w:w="427" w:type="pct"/>
            <w:shd w:val="clear" w:color="000000" w:fill="FFFFFF"/>
            <w:vAlign w:val="bottom"/>
          </w:tcPr>
          <w:p w14:paraId="4C765628" w14:textId="77777777" w:rsidR="00E96B29" w:rsidRPr="00027624" w:rsidRDefault="00E96B29" w:rsidP="00E96B29">
            <w:pPr>
              <w:pStyle w:val="TableTextCentered"/>
              <w:rPr>
                <w:szCs w:val="18"/>
              </w:rPr>
            </w:pPr>
            <w:r w:rsidRPr="00027624">
              <w:rPr>
                <w:rFonts w:cs="Calibri"/>
                <w:szCs w:val="18"/>
              </w:rPr>
              <w:t>12.3</w:t>
            </w:r>
          </w:p>
        </w:tc>
        <w:tc>
          <w:tcPr>
            <w:tcW w:w="427" w:type="pct"/>
            <w:shd w:val="clear" w:color="000000" w:fill="FFFFFF"/>
            <w:vAlign w:val="bottom"/>
          </w:tcPr>
          <w:p w14:paraId="72D40AC1" w14:textId="77777777" w:rsidR="00E96B29" w:rsidRPr="00027624" w:rsidRDefault="00E96B29" w:rsidP="00E96B29">
            <w:pPr>
              <w:pStyle w:val="TableTextCentered"/>
              <w:rPr>
                <w:szCs w:val="18"/>
              </w:rPr>
            </w:pPr>
            <w:r w:rsidRPr="00027624">
              <w:rPr>
                <w:rFonts w:cs="Calibri"/>
                <w:szCs w:val="18"/>
              </w:rPr>
              <w:t>13.3</w:t>
            </w:r>
          </w:p>
        </w:tc>
        <w:tc>
          <w:tcPr>
            <w:tcW w:w="427" w:type="pct"/>
            <w:shd w:val="clear" w:color="000000" w:fill="FFFFFF"/>
            <w:vAlign w:val="bottom"/>
          </w:tcPr>
          <w:p w14:paraId="4BAD803B" w14:textId="77777777" w:rsidR="00E96B29" w:rsidRPr="00027624" w:rsidRDefault="00E96B29" w:rsidP="00E96B29">
            <w:pPr>
              <w:pStyle w:val="TableTextCentered"/>
              <w:rPr>
                <w:szCs w:val="18"/>
              </w:rPr>
            </w:pPr>
            <w:r w:rsidRPr="00027624">
              <w:rPr>
                <w:rFonts w:cs="Calibri"/>
                <w:szCs w:val="18"/>
              </w:rPr>
              <w:t>14.0</w:t>
            </w:r>
          </w:p>
        </w:tc>
        <w:tc>
          <w:tcPr>
            <w:tcW w:w="424" w:type="pct"/>
            <w:shd w:val="clear" w:color="000000" w:fill="FFFFFF"/>
            <w:vAlign w:val="bottom"/>
          </w:tcPr>
          <w:p w14:paraId="5A1D237C" w14:textId="77777777" w:rsidR="00E96B29" w:rsidRPr="00027624" w:rsidRDefault="00E96B29" w:rsidP="00E96B29">
            <w:pPr>
              <w:pStyle w:val="TableTextCentered"/>
              <w:rPr>
                <w:szCs w:val="18"/>
              </w:rPr>
            </w:pPr>
            <w:r w:rsidRPr="00027624">
              <w:rPr>
                <w:rFonts w:cs="Calibri"/>
                <w:szCs w:val="18"/>
              </w:rPr>
              <w:t>14.3</w:t>
            </w:r>
          </w:p>
        </w:tc>
        <w:tc>
          <w:tcPr>
            <w:tcW w:w="424" w:type="pct"/>
            <w:shd w:val="clear" w:color="000000" w:fill="FFFFFF"/>
            <w:vAlign w:val="bottom"/>
          </w:tcPr>
          <w:p w14:paraId="2AE733E6" w14:textId="77777777" w:rsidR="00E96B29" w:rsidRPr="00027624" w:rsidRDefault="00E96B29" w:rsidP="00E96B29">
            <w:pPr>
              <w:pStyle w:val="TableTextCentered"/>
              <w:rPr>
                <w:szCs w:val="18"/>
              </w:rPr>
            </w:pPr>
            <w:r w:rsidRPr="00027624">
              <w:rPr>
                <w:rFonts w:cs="Calibri"/>
                <w:szCs w:val="18"/>
              </w:rPr>
              <w:t>12.4</w:t>
            </w:r>
          </w:p>
        </w:tc>
        <w:tc>
          <w:tcPr>
            <w:tcW w:w="460" w:type="pct"/>
            <w:shd w:val="clear" w:color="000000" w:fill="FFFFFF"/>
            <w:vAlign w:val="bottom"/>
          </w:tcPr>
          <w:p w14:paraId="02BECEF5" w14:textId="77777777" w:rsidR="00E96B29" w:rsidRPr="00027624" w:rsidRDefault="00E96B29" w:rsidP="00E96B29">
            <w:pPr>
              <w:pStyle w:val="TableTextCentered"/>
              <w:rPr>
                <w:szCs w:val="18"/>
              </w:rPr>
            </w:pPr>
            <w:r w:rsidRPr="00027624">
              <w:rPr>
                <w:rFonts w:cs="Calibri"/>
                <w:szCs w:val="18"/>
              </w:rPr>
              <w:t>8.8</w:t>
            </w:r>
          </w:p>
        </w:tc>
      </w:tr>
      <w:tr w:rsidR="00E96B29" w:rsidRPr="00027624" w14:paraId="6DB918B2" w14:textId="77777777" w:rsidTr="00E96B29">
        <w:trPr>
          <w:trHeight w:val="270"/>
        </w:trPr>
        <w:tc>
          <w:tcPr>
            <w:tcW w:w="701" w:type="pct"/>
            <w:vAlign w:val="bottom"/>
          </w:tcPr>
          <w:p w14:paraId="0921E6F5" w14:textId="77777777" w:rsidR="00E96B29" w:rsidRPr="00027624" w:rsidRDefault="00E96B29" w:rsidP="00E96B29">
            <w:pPr>
              <w:pStyle w:val="TableTextLeft"/>
              <w:rPr>
                <w:szCs w:val="18"/>
              </w:rPr>
            </w:pPr>
            <w:r w:rsidRPr="00027624">
              <w:rPr>
                <w:bCs/>
                <w:szCs w:val="18"/>
              </w:rPr>
              <w:t>81</w:t>
            </w:r>
          </w:p>
        </w:tc>
        <w:tc>
          <w:tcPr>
            <w:tcW w:w="429" w:type="pct"/>
            <w:shd w:val="clear" w:color="000000" w:fill="FFFFFF"/>
          </w:tcPr>
          <w:p w14:paraId="74A5FB06"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1E9C13F6" w14:textId="77777777" w:rsidR="00E96B29" w:rsidRPr="00027624" w:rsidRDefault="00E96B29" w:rsidP="00E96B29">
            <w:pPr>
              <w:pStyle w:val="TableTextCentered"/>
              <w:rPr>
                <w:szCs w:val="18"/>
              </w:rPr>
            </w:pPr>
            <w:r w:rsidRPr="00027624">
              <w:rPr>
                <w:rFonts w:cs="Calibri"/>
                <w:szCs w:val="18"/>
              </w:rPr>
              <w:t>14.0</w:t>
            </w:r>
          </w:p>
        </w:tc>
        <w:tc>
          <w:tcPr>
            <w:tcW w:w="427" w:type="pct"/>
            <w:shd w:val="clear" w:color="000000" w:fill="FFFFFF"/>
            <w:vAlign w:val="bottom"/>
          </w:tcPr>
          <w:p w14:paraId="64B684BB" w14:textId="77777777" w:rsidR="00E96B29" w:rsidRPr="00027624" w:rsidRDefault="00E96B29" w:rsidP="00E96B29">
            <w:pPr>
              <w:pStyle w:val="TableTextCentered"/>
              <w:rPr>
                <w:szCs w:val="18"/>
              </w:rPr>
            </w:pPr>
            <w:r w:rsidRPr="00027624">
              <w:rPr>
                <w:rFonts w:cs="Calibri"/>
                <w:szCs w:val="18"/>
              </w:rPr>
              <w:t>13.0</w:t>
            </w:r>
          </w:p>
        </w:tc>
        <w:tc>
          <w:tcPr>
            <w:tcW w:w="427" w:type="pct"/>
            <w:shd w:val="clear" w:color="000000" w:fill="FFFFFF"/>
            <w:vAlign w:val="bottom"/>
          </w:tcPr>
          <w:p w14:paraId="490ED4E5" w14:textId="77777777" w:rsidR="00E96B29" w:rsidRPr="00027624" w:rsidRDefault="00E96B29" w:rsidP="00E96B29">
            <w:pPr>
              <w:pStyle w:val="TableTextCentered"/>
              <w:rPr>
                <w:szCs w:val="18"/>
              </w:rPr>
            </w:pPr>
            <w:r w:rsidRPr="00027624">
              <w:rPr>
                <w:rFonts w:cs="Calibri"/>
                <w:szCs w:val="18"/>
              </w:rPr>
              <w:t>12.8</w:t>
            </w:r>
          </w:p>
        </w:tc>
        <w:tc>
          <w:tcPr>
            <w:tcW w:w="427" w:type="pct"/>
            <w:shd w:val="clear" w:color="000000" w:fill="FFFFFF"/>
            <w:vAlign w:val="bottom"/>
          </w:tcPr>
          <w:p w14:paraId="590A42A9" w14:textId="77777777" w:rsidR="00E96B29" w:rsidRPr="00027624" w:rsidRDefault="00E96B29" w:rsidP="00E96B29">
            <w:pPr>
              <w:pStyle w:val="TableTextCentered"/>
              <w:rPr>
                <w:szCs w:val="18"/>
              </w:rPr>
            </w:pPr>
            <w:r w:rsidRPr="00027624">
              <w:rPr>
                <w:rFonts w:cs="Calibri"/>
                <w:szCs w:val="18"/>
              </w:rPr>
              <w:t>12.7</w:t>
            </w:r>
          </w:p>
        </w:tc>
        <w:tc>
          <w:tcPr>
            <w:tcW w:w="427" w:type="pct"/>
            <w:shd w:val="clear" w:color="000000" w:fill="FFFFFF"/>
            <w:vAlign w:val="bottom"/>
          </w:tcPr>
          <w:p w14:paraId="79AC35B1" w14:textId="77777777" w:rsidR="00E96B29" w:rsidRPr="00027624" w:rsidRDefault="00E96B29" w:rsidP="00E96B29">
            <w:pPr>
              <w:pStyle w:val="TableTextCentered"/>
              <w:rPr>
                <w:szCs w:val="18"/>
              </w:rPr>
            </w:pPr>
            <w:r w:rsidRPr="00027624">
              <w:rPr>
                <w:rFonts w:cs="Calibri"/>
                <w:szCs w:val="18"/>
              </w:rPr>
              <w:t>13.7</w:t>
            </w:r>
          </w:p>
        </w:tc>
        <w:tc>
          <w:tcPr>
            <w:tcW w:w="427" w:type="pct"/>
            <w:shd w:val="clear" w:color="000000" w:fill="FFFFFF"/>
            <w:vAlign w:val="bottom"/>
          </w:tcPr>
          <w:p w14:paraId="5E94C182" w14:textId="77777777" w:rsidR="00E96B29" w:rsidRPr="00027624" w:rsidRDefault="00E96B29" w:rsidP="00E96B29">
            <w:pPr>
              <w:pStyle w:val="TableTextCentered"/>
              <w:rPr>
                <w:szCs w:val="18"/>
              </w:rPr>
            </w:pPr>
            <w:r w:rsidRPr="00027624">
              <w:rPr>
                <w:rFonts w:cs="Calibri"/>
                <w:szCs w:val="18"/>
              </w:rPr>
              <w:t>14.6</w:t>
            </w:r>
          </w:p>
        </w:tc>
        <w:tc>
          <w:tcPr>
            <w:tcW w:w="424" w:type="pct"/>
            <w:shd w:val="clear" w:color="000000" w:fill="FFFFFF"/>
            <w:vAlign w:val="bottom"/>
          </w:tcPr>
          <w:p w14:paraId="0BD07BF6" w14:textId="77777777" w:rsidR="00E96B29" w:rsidRPr="00027624" w:rsidRDefault="00E96B29" w:rsidP="00E96B29">
            <w:pPr>
              <w:pStyle w:val="TableTextCentered"/>
              <w:rPr>
                <w:szCs w:val="18"/>
              </w:rPr>
            </w:pPr>
            <w:r w:rsidRPr="00027624">
              <w:rPr>
                <w:rFonts w:cs="Calibri"/>
                <w:szCs w:val="18"/>
              </w:rPr>
              <w:t>15.0</w:t>
            </w:r>
          </w:p>
        </w:tc>
        <w:tc>
          <w:tcPr>
            <w:tcW w:w="424" w:type="pct"/>
            <w:shd w:val="clear" w:color="000000" w:fill="FFFFFF"/>
            <w:vAlign w:val="bottom"/>
          </w:tcPr>
          <w:p w14:paraId="583036C7" w14:textId="77777777" w:rsidR="00E96B29" w:rsidRPr="00027624" w:rsidRDefault="00E96B29" w:rsidP="00E96B29">
            <w:pPr>
              <w:pStyle w:val="TableTextCentered"/>
              <w:rPr>
                <w:szCs w:val="18"/>
              </w:rPr>
            </w:pPr>
            <w:r w:rsidRPr="00027624">
              <w:rPr>
                <w:rFonts w:cs="Calibri"/>
                <w:szCs w:val="18"/>
              </w:rPr>
              <w:t>13.9</w:t>
            </w:r>
          </w:p>
        </w:tc>
        <w:tc>
          <w:tcPr>
            <w:tcW w:w="460" w:type="pct"/>
            <w:shd w:val="clear" w:color="000000" w:fill="FFFFFF"/>
            <w:vAlign w:val="bottom"/>
          </w:tcPr>
          <w:p w14:paraId="4CB242CA" w14:textId="77777777" w:rsidR="00E96B29" w:rsidRPr="00027624" w:rsidRDefault="00E96B29" w:rsidP="00E96B29">
            <w:pPr>
              <w:pStyle w:val="TableTextCentered"/>
              <w:rPr>
                <w:szCs w:val="18"/>
              </w:rPr>
            </w:pPr>
            <w:r w:rsidRPr="00027624">
              <w:rPr>
                <w:rFonts w:cs="Calibri"/>
                <w:szCs w:val="18"/>
              </w:rPr>
              <w:t>9.5</w:t>
            </w:r>
          </w:p>
        </w:tc>
      </w:tr>
      <w:tr w:rsidR="00E96B29" w:rsidRPr="00027624" w14:paraId="4B741743" w14:textId="77777777" w:rsidTr="00E96B29">
        <w:trPr>
          <w:trHeight w:val="270"/>
        </w:trPr>
        <w:tc>
          <w:tcPr>
            <w:tcW w:w="701" w:type="pct"/>
            <w:vAlign w:val="bottom"/>
          </w:tcPr>
          <w:p w14:paraId="70F55248" w14:textId="77777777" w:rsidR="00E96B29" w:rsidRPr="00027624" w:rsidRDefault="00E96B29" w:rsidP="00E96B29">
            <w:pPr>
              <w:pStyle w:val="TableTextLeft"/>
              <w:rPr>
                <w:szCs w:val="18"/>
              </w:rPr>
            </w:pPr>
            <w:r w:rsidRPr="00027624">
              <w:rPr>
                <w:bCs/>
                <w:szCs w:val="18"/>
              </w:rPr>
              <w:t>82</w:t>
            </w:r>
          </w:p>
        </w:tc>
        <w:tc>
          <w:tcPr>
            <w:tcW w:w="429" w:type="pct"/>
            <w:shd w:val="clear" w:color="000000" w:fill="FFFFFF"/>
          </w:tcPr>
          <w:p w14:paraId="0E628A79"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7566F03D" w14:textId="77777777" w:rsidR="00E96B29" w:rsidRPr="00027624" w:rsidRDefault="00E96B29" w:rsidP="00E96B29">
            <w:pPr>
              <w:pStyle w:val="TableTextCentered"/>
              <w:rPr>
                <w:szCs w:val="18"/>
              </w:rPr>
            </w:pPr>
            <w:r w:rsidRPr="00027624">
              <w:rPr>
                <w:rFonts w:cs="Calibri"/>
                <w:szCs w:val="18"/>
              </w:rPr>
              <w:t>15.2</w:t>
            </w:r>
          </w:p>
        </w:tc>
        <w:tc>
          <w:tcPr>
            <w:tcW w:w="427" w:type="pct"/>
            <w:shd w:val="clear" w:color="000000" w:fill="FFFFFF"/>
            <w:vAlign w:val="bottom"/>
          </w:tcPr>
          <w:p w14:paraId="091B3B6A" w14:textId="77777777" w:rsidR="00E96B29" w:rsidRPr="00027624" w:rsidRDefault="00E96B29" w:rsidP="00E96B29">
            <w:pPr>
              <w:pStyle w:val="TableTextCentered"/>
              <w:rPr>
                <w:szCs w:val="18"/>
              </w:rPr>
            </w:pPr>
            <w:r w:rsidRPr="00027624">
              <w:rPr>
                <w:rFonts w:cs="Calibri"/>
                <w:szCs w:val="18"/>
              </w:rPr>
              <w:t>14.1</w:t>
            </w:r>
          </w:p>
        </w:tc>
        <w:tc>
          <w:tcPr>
            <w:tcW w:w="427" w:type="pct"/>
            <w:shd w:val="clear" w:color="000000" w:fill="FFFFFF"/>
            <w:vAlign w:val="bottom"/>
          </w:tcPr>
          <w:p w14:paraId="74C310AB" w14:textId="77777777" w:rsidR="00E96B29" w:rsidRPr="00027624" w:rsidRDefault="00E96B29" w:rsidP="00E96B29">
            <w:pPr>
              <w:pStyle w:val="TableTextCentered"/>
              <w:rPr>
                <w:szCs w:val="18"/>
              </w:rPr>
            </w:pPr>
            <w:r w:rsidRPr="00027624">
              <w:rPr>
                <w:rFonts w:cs="Calibri"/>
                <w:szCs w:val="18"/>
              </w:rPr>
              <w:t>13.9</w:t>
            </w:r>
          </w:p>
        </w:tc>
        <w:tc>
          <w:tcPr>
            <w:tcW w:w="427" w:type="pct"/>
            <w:shd w:val="clear" w:color="000000" w:fill="FFFFFF"/>
            <w:vAlign w:val="bottom"/>
          </w:tcPr>
          <w:p w14:paraId="7A63750A" w14:textId="77777777" w:rsidR="00E96B29" w:rsidRPr="00027624" w:rsidRDefault="00E96B29" w:rsidP="00E96B29">
            <w:pPr>
              <w:pStyle w:val="TableTextCentered"/>
              <w:rPr>
                <w:szCs w:val="18"/>
              </w:rPr>
            </w:pPr>
            <w:r w:rsidRPr="00027624">
              <w:rPr>
                <w:rFonts w:cs="Calibri"/>
                <w:szCs w:val="18"/>
              </w:rPr>
              <w:t>13.7</w:t>
            </w:r>
          </w:p>
        </w:tc>
        <w:tc>
          <w:tcPr>
            <w:tcW w:w="427" w:type="pct"/>
            <w:shd w:val="clear" w:color="000000" w:fill="FFFFFF"/>
            <w:vAlign w:val="bottom"/>
          </w:tcPr>
          <w:p w14:paraId="548E09D3" w14:textId="77777777" w:rsidR="00E96B29" w:rsidRPr="00027624" w:rsidRDefault="00E96B29" w:rsidP="00E96B29">
            <w:pPr>
              <w:pStyle w:val="TableTextCentered"/>
              <w:rPr>
                <w:szCs w:val="18"/>
              </w:rPr>
            </w:pPr>
            <w:r w:rsidRPr="00027624">
              <w:rPr>
                <w:rFonts w:cs="Calibri"/>
                <w:szCs w:val="18"/>
              </w:rPr>
              <w:t>14.2</w:t>
            </w:r>
          </w:p>
        </w:tc>
        <w:tc>
          <w:tcPr>
            <w:tcW w:w="427" w:type="pct"/>
            <w:shd w:val="clear" w:color="000000" w:fill="FFFFFF"/>
            <w:vAlign w:val="bottom"/>
          </w:tcPr>
          <w:p w14:paraId="681BD3F8" w14:textId="77777777" w:rsidR="00E96B29" w:rsidRPr="00027624" w:rsidRDefault="00E96B29" w:rsidP="00E96B29">
            <w:pPr>
              <w:pStyle w:val="TableTextCentered"/>
              <w:rPr>
                <w:szCs w:val="18"/>
              </w:rPr>
            </w:pPr>
            <w:r w:rsidRPr="00027624">
              <w:rPr>
                <w:rFonts w:cs="Calibri"/>
                <w:szCs w:val="18"/>
              </w:rPr>
              <w:t>15.3</w:t>
            </w:r>
          </w:p>
        </w:tc>
        <w:tc>
          <w:tcPr>
            <w:tcW w:w="424" w:type="pct"/>
            <w:shd w:val="clear" w:color="000000" w:fill="FFFFFF"/>
            <w:vAlign w:val="bottom"/>
          </w:tcPr>
          <w:p w14:paraId="0E9FB5A7" w14:textId="77777777" w:rsidR="00E96B29" w:rsidRPr="00027624" w:rsidRDefault="00E96B29" w:rsidP="00E96B29">
            <w:pPr>
              <w:pStyle w:val="TableTextCentered"/>
              <w:rPr>
                <w:szCs w:val="18"/>
              </w:rPr>
            </w:pPr>
            <w:r w:rsidRPr="00027624">
              <w:rPr>
                <w:rFonts w:cs="Calibri"/>
                <w:szCs w:val="18"/>
              </w:rPr>
              <w:t>15.8</w:t>
            </w:r>
          </w:p>
        </w:tc>
        <w:tc>
          <w:tcPr>
            <w:tcW w:w="424" w:type="pct"/>
            <w:shd w:val="clear" w:color="000000" w:fill="FFFFFF"/>
            <w:vAlign w:val="bottom"/>
          </w:tcPr>
          <w:p w14:paraId="20087201" w14:textId="77777777" w:rsidR="00E96B29" w:rsidRPr="00027624" w:rsidRDefault="00E96B29" w:rsidP="00E96B29">
            <w:pPr>
              <w:pStyle w:val="TableTextCentered"/>
              <w:rPr>
                <w:szCs w:val="18"/>
              </w:rPr>
            </w:pPr>
            <w:r w:rsidRPr="00027624">
              <w:rPr>
                <w:rFonts w:cs="Calibri"/>
                <w:szCs w:val="18"/>
              </w:rPr>
              <w:t>15.5</w:t>
            </w:r>
          </w:p>
        </w:tc>
        <w:tc>
          <w:tcPr>
            <w:tcW w:w="460" w:type="pct"/>
            <w:shd w:val="clear" w:color="000000" w:fill="FFFFFF"/>
            <w:vAlign w:val="bottom"/>
          </w:tcPr>
          <w:p w14:paraId="7F0A5BE3" w14:textId="77777777" w:rsidR="00E96B29" w:rsidRPr="00027624" w:rsidRDefault="00E96B29" w:rsidP="00E96B29">
            <w:pPr>
              <w:pStyle w:val="TableTextCentered"/>
              <w:rPr>
                <w:szCs w:val="18"/>
              </w:rPr>
            </w:pPr>
            <w:r w:rsidRPr="00027624">
              <w:rPr>
                <w:rFonts w:cs="Calibri"/>
                <w:szCs w:val="18"/>
              </w:rPr>
              <w:t>10.3</w:t>
            </w:r>
          </w:p>
        </w:tc>
      </w:tr>
      <w:tr w:rsidR="00E96B29" w:rsidRPr="00027624" w14:paraId="394AF74E" w14:textId="77777777" w:rsidTr="00E96B29">
        <w:trPr>
          <w:trHeight w:val="270"/>
        </w:trPr>
        <w:tc>
          <w:tcPr>
            <w:tcW w:w="701" w:type="pct"/>
            <w:vAlign w:val="bottom"/>
          </w:tcPr>
          <w:p w14:paraId="3FAD52A9" w14:textId="77777777" w:rsidR="00E96B29" w:rsidRPr="00027624" w:rsidRDefault="00E96B29" w:rsidP="00E96B29">
            <w:pPr>
              <w:pStyle w:val="TableTextLeft"/>
              <w:rPr>
                <w:szCs w:val="18"/>
              </w:rPr>
            </w:pPr>
            <w:r w:rsidRPr="00027624">
              <w:rPr>
                <w:bCs/>
                <w:szCs w:val="18"/>
              </w:rPr>
              <w:t>83</w:t>
            </w:r>
          </w:p>
        </w:tc>
        <w:tc>
          <w:tcPr>
            <w:tcW w:w="429" w:type="pct"/>
            <w:shd w:val="clear" w:color="000000" w:fill="FFFFFF"/>
          </w:tcPr>
          <w:p w14:paraId="7748F7C1"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4555A990" w14:textId="77777777" w:rsidR="00E96B29" w:rsidRPr="00027624" w:rsidRDefault="00E96B29" w:rsidP="00E96B29">
            <w:pPr>
              <w:pStyle w:val="TableTextCentered"/>
              <w:rPr>
                <w:szCs w:val="18"/>
              </w:rPr>
            </w:pPr>
            <w:r w:rsidRPr="00027624">
              <w:rPr>
                <w:rFonts w:cs="Calibri"/>
                <w:szCs w:val="18"/>
              </w:rPr>
              <w:t>16.6</w:t>
            </w:r>
          </w:p>
        </w:tc>
        <w:tc>
          <w:tcPr>
            <w:tcW w:w="427" w:type="pct"/>
            <w:shd w:val="clear" w:color="000000" w:fill="FFFFFF"/>
            <w:vAlign w:val="bottom"/>
          </w:tcPr>
          <w:p w14:paraId="0256DC4C" w14:textId="77777777" w:rsidR="00E96B29" w:rsidRPr="00027624" w:rsidRDefault="00E96B29" w:rsidP="00E96B29">
            <w:pPr>
              <w:pStyle w:val="TableTextCentered"/>
              <w:rPr>
                <w:szCs w:val="18"/>
              </w:rPr>
            </w:pPr>
            <w:r w:rsidRPr="00027624">
              <w:rPr>
                <w:rFonts w:cs="Calibri"/>
                <w:szCs w:val="18"/>
              </w:rPr>
              <w:t>15.5</w:t>
            </w:r>
          </w:p>
        </w:tc>
        <w:tc>
          <w:tcPr>
            <w:tcW w:w="427" w:type="pct"/>
            <w:shd w:val="clear" w:color="000000" w:fill="FFFFFF"/>
            <w:vAlign w:val="bottom"/>
          </w:tcPr>
          <w:p w14:paraId="594E0110" w14:textId="77777777" w:rsidR="00E96B29" w:rsidRPr="00027624" w:rsidRDefault="00E96B29" w:rsidP="00E96B29">
            <w:pPr>
              <w:pStyle w:val="TableTextCentered"/>
              <w:rPr>
                <w:szCs w:val="18"/>
              </w:rPr>
            </w:pPr>
            <w:r w:rsidRPr="00027624">
              <w:rPr>
                <w:rFonts w:cs="Calibri"/>
                <w:szCs w:val="18"/>
              </w:rPr>
              <w:t>15.2</w:t>
            </w:r>
          </w:p>
        </w:tc>
        <w:tc>
          <w:tcPr>
            <w:tcW w:w="427" w:type="pct"/>
            <w:shd w:val="clear" w:color="000000" w:fill="FFFFFF"/>
            <w:vAlign w:val="bottom"/>
          </w:tcPr>
          <w:p w14:paraId="208B9829" w14:textId="77777777" w:rsidR="00E96B29" w:rsidRPr="00027624" w:rsidRDefault="00E96B29" w:rsidP="00E96B29">
            <w:pPr>
              <w:pStyle w:val="TableTextCentered"/>
              <w:rPr>
                <w:szCs w:val="18"/>
              </w:rPr>
            </w:pPr>
            <w:r w:rsidRPr="00027624">
              <w:rPr>
                <w:rFonts w:cs="Calibri"/>
                <w:szCs w:val="18"/>
              </w:rPr>
              <w:t>15.0</w:t>
            </w:r>
          </w:p>
        </w:tc>
        <w:tc>
          <w:tcPr>
            <w:tcW w:w="427" w:type="pct"/>
            <w:shd w:val="clear" w:color="000000" w:fill="FFFFFF"/>
            <w:vAlign w:val="bottom"/>
          </w:tcPr>
          <w:p w14:paraId="2659231B" w14:textId="77777777" w:rsidR="00E96B29" w:rsidRPr="00027624" w:rsidRDefault="00E96B29" w:rsidP="00E96B29">
            <w:pPr>
              <w:pStyle w:val="TableTextCentered"/>
              <w:rPr>
                <w:szCs w:val="18"/>
              </w:rPr>
            </w:pPr>
            <w:r w:rsidRPr="00027624">
              <w:rPr>
                <w:rFonts w:cs="Calibri"/>
                <w:szCs w:val="18"/>
              </w:rPr>
              <w:t>15.0</w:t>
            </w:r>
          </w:p>
        </w:tc>
        <w:tc>
          <w:tcPr>
            <w:tcW w:w="427" w:type="pct"/>
            <w:shd w:val="clear" w:color="000000" w:fill="FFFFFF"/>
            <w:vAlign w:val="bottom"/>
          </w:tcPr>
          <w:p w14:paraId="44A47DDA" w14:textId="77777777" w:rsidR="00E96B29" w:rsidRPr="00027624" w:rsidRDefault="00E96B29" w:rsidP="00E96B29">
            <w:pPr>
              <w:pStyle w:val="TableTextCentered"/>
              <w:rPr>
                <w:szCs w:val="18"/>
              </w:rPr>
            </w:pPr>
            <w:r w:rsidRPr="00027624">
              <w:rPr>
                <w:rFonts w:cs="Calibri"/>
                <w:szCs w:val="18"/>
              </w:rPr>
              <w:t>16.1</w:t>
            </w:r>
          </w:p>
        </w:tc>
        <w:tc>
          <w:tcPr>
            <w:tcW w:w="424" w:type="pct"/>
            <w:shd w:val="clear" w:color="000000" w:fill="FFFFFF"/>
            <w:vAlign w:val="bottom"/>
          </w:tcPr>
          <w:p w14:paraId="757CF320" w14:textId="77777777" w:rsidR="00E96B29" w:rsidRPr="00027624" w:rsidRDefault="00E96B29" w:rsidP="00E96B29">
            <w:pPr>
              <w:pStyle w:val="TableTextCentered"/>
              <w:rPr>
                <w:szCs w:val="18"/>
              </w:rPr>
            </w:pPr>
            <w:r w:rsidRPr="00027624">
              <w:rPr>
                <w:rFonts w:cs="Calibri"/>
                <w:szCs w:val="18"/>
              </w:rPr>
              <w:t>16.8</w:t>
            </w:r>
          </w:p>
        </w:tc>
        <w:tc>
          <w:tcPr>
            <w:tcW w:w="424" w:type="pct"/>
            <w:shd w:val="clear" w:color="000000" w:fill="FFFFFF"/>
            <w:vAlign w:val="bottom"/>
          </w:tcPr>
          <w:p w14:paraId="55881825" w14:textId="77777777" w:rsidR="00E96B29" w:rsidRPr="00027624" w:rsidRDefault="00E96B29" w:rsidP="00E96B29">
            <w:pPr>
              <w:pStyle w:val="TableTextCentered"/>
              <w:rPr>
                <w:szCs w:val="18"/>
              </w:rPr>
            </w:pPr>
            <w:r w:rsidRPr="00027624">
              <w:rPr>
                <w:rFonts w:cs="Calibri"/>
                <w:szCs w:val="18"/>
              </w:rPr>
              <w:t>16.5</w:t>
            </w:r>
          </w:p>
        </w:tc>
        <w:tc>
          <w:tcPr>
            <w:tcW w:w="460" w:type="pct"/>
            <w:shd w:val="clear" w:color="000000" w:fill="FFFFFF"/>
            <w:vAlign w:val="bottom"/>
          </w:tcPr>
          <w:p w14:paraId="611337A7" w14:textId="77777777" w:rsidR="00E96B29" w:rsidRPr="00027624" w:rsidRDefault="00E96B29" w:rsidP="00E96B29">
            <w:pPr>
              <w:pStyle w:val="TableTextCentered"/>
              <w:rPr>
                <w:szCs w:val="18"/>
              </w:rPr>
            </w:pPr>
            <w:r w:rsidRPr="00027624">
              <w:rPr>
                <w:rFonts w:cs="Calibri"/>
                <w:szCs w:val="18"/>
              </w:rPr>
              <w:t>11.3</w:t>
            </w:r>
          </w:p>
        </w:tc>
      </w:tr>
      <w:tr w:rsidR="00E96B29" w:rsidRPr="00027624" w14:paraId="67273085" w14:textId="77777777" w:rsidTr="00E96B29">
        <w:trPr>
          <w:trHeight w:val="270"/>
        </w:trPr>
        <w:tc>
          <w:tcPr>
            <w:tcW w:w="701" w:type="pct"/>
            <w:vAlign w:val="bottom"/>
          </w:tcPr>
          <w:p w14:paraId="0BFE4BEC" w14:textId="77777777" w:rsidR="00E96B29" w:rsidRPr="00027624" w:rsidRDefault="00E96B29" w:rsidP="00E96B29">
            <w:pPr>
              <w:pStyle w:val="TableTextLeft"/>
              <w:rPr>
                <w:szCs w:val="18"/>
              </w:rPr>
            </w:pPr>
            <w:r w:rsidRPr="00027624">
              <w:rPr>
                <w:bCs/>
                <w:szCs w:val="18"/>
              </w:rPr>
              <w:t>84</w:t>
            </w:r>
          </w:p>
        </w:tc>
        <w:tc>
          <w:tcPr>
            <w:tcW w:w="429" w:type="pct"/>
            <w:shd w:val="clear" w:color="000000" w:fill="FFFFFF"/>
          </w:tcPr>
          <w:p w14:paraId="35B35562"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3BDF505E" w14:textId="77777777" w:rsidR="00E96B29" w:rsidRPr="00027624" w:rsidRDefault="00E96B29" w:rsidP="00E96B29">
            <w:pPr>
              <w:pStyle w:val="TableTextCentered"/>
              <w:rPr>
                <w:szCs w:val="18"/>
              </w:rPr>
            </w:pPr>
            <w:r w:rsidRPr="00027624">
              <w:rPr>
                <w:rFonts w:cs="Calibri"/>
                <w:szCs w:val="18"/>
              </w:rPr>
              <w:t>18.4</w:t>
            </w:r>
          </w:p>
        </w:tc>
        <w:tc>
          <w:tcPr>
            <w:tcW w:w="427" w:type="pct"/>
            <w:shd w:val="clear" w:color="000000" w:fill="FFFFFF"/>
            <w:vAlign w:val="bottom"/>
          </w:tcPr>
          <w:p w14:paraId="011AEFBB" w14:textId="77777777" w:rsidR="00E96B29" w:rsidRPr="00027624" w:rsidRDefault="00E96B29" w:rsidP="00E96B29">
            <w:pPr>
              <w:pStyle w:val="TableTextCentered"/>
              <w:rPr>
                <w:szCs w:val="18"/>
              </w:rPr>
            </w:pPr>
            <w:r w:rsidRPr="00027624">
              <w:rPr>
                <w:rFonts w:cs="Calibri"/>
                <w:szCs w:val="18"/>
              </w:rPr>
              <w:t>17.3</w:t>
            </w:r>
          </w:p>
        </w:tc>
        <w:tc>
          <w:tcPr>
            <w:tcW w:w="427" w:type="pct"/>
            <w:shd w:val="clear" w:color="000000" w:fill="FFFFFF"/>
            <w:vAlign w:val="bottom"/>
          </w:tcPr>
          <w:p w14:paraId="016B9AA6" w14:textId="77777777" w:rsidR="00E96B29" w:rsidRPr="00027624" w:rsidRDefault="00E96B29" w:rsidP="00E96B29">
            <w:pPr>
              <w:pStyle w:val="TableTextCentered"/>
              <w:rPr>
                <w:szCs w:val="18"/>
              </w:rPr>
            </w:pPr>
            <w:r w:rsidRPr="00027624">
              <w:rPr>
                <w:rFonts w:cs="Calibri"/>
                <w:szCs w:val="18"/>
              </w:rPr>
              <w:t>17.0</w:t>
            </w:r>
          </w:p>
        </w:tc>
        <w:tc>
          <w:tcPr>
            <w:tcW w:w="427" w:type="pct"/>
            <w:shd w:val="clear" w:color="000000" w:fill="FFFFFF"/>
            <w:vAlign w:val="bottom"/>
          </w:tcPr>
          <w:p w14:paraId="18189140" w14:textId="77777777" w:rsidR="00E96B29" w:rsidRPr="00027624" w:rsidRDefault="00E96B29" w:rsidP="00E96B29">
            <w:pPr>
              <w:pStyle w:val="TableTextCentered"/>
              <w:rPr>
                <w:szCs w:val="18"/>
              </w:rPr>
            </w:pPr>
            <w:r w:rsidRPr="00027624">
              <w:rPr>
                <w:rFonts w:cs="Calibri"/>
                <w:szCs w:val="18"/>
              </w:rPr>
              <w:t>16.8</w:t>
            </w:r>
          </w:p>
        </w:tc>
        <w:tc>
          <w:tcPr>
            <w:tcW w:w="427" w:type="pct"/>
            <w:shd w:val="clear" w:color="000000" w:fill="FFFFFF"/>
            <w:vAlign w:val="bottom"/>
          </w:tcPr>
          <w:p w14:paraId="0188F30B" w14:textId="77777777" w:rsidR="00E96B29" w:rsidRPr="00027624" w:rsidRDefault="00E96B29" w:rsidP="00E96B29">
            <w:pPr>
              <w:pStyle w:val="TableTextCentered"/>
              <w:rPr>
                <w:szCs w:val="18"/>
              </w:rPr>
            </w:pPr>
            <w:r w:rsidRPr="00027624">
              <w:rPr>
                <w:rFonts w:cs="Calibri"/>
                <w:szCs w:val="18"/>
              </w:rPr>
              <w:t>16.6</w:t>
            </w:r>
          </w:p>
        </w:tc>
        <w:tc>
          <w:tcPr>
            <w:tcW w:w="427" w:type="pct"/>
            <w:shd w:val="clear" w:color="000000" w:fill="FFFFFF"/>
            <w:vAlign w:val="bottom"/>
          </w:tcPr>
          <w:p w14:paraId="7DE0AD52" w14:textId="77777777" w:rsidR="00E96B29" w:rsidRPr="00027624" w:rsidRDefault="00E96B29" w:rsidP="00E96B29">
            <w:pPr>
              <w:pStyle w:val="TableTextCentered"/>
              <w:rPr>
                <w:szCs w:val="18"/>
              </w:rPr>
            </w:pPr>
            <w:r w:rsidRPr="00027624">
              <w:rPr>
                <w:rFonts w:cs="Calibri"/>
                <w:szCs w:val="18"/>
              </w:rPr>
              <w:t>17.1</w:t>
            </w:r>
          </w:p>
        </w:tc>
        <w:tc>
          <w:tcPr>
            <w:tcW w:w="424" w:type="pct"/>
            <w:shd w:val="clear" w:color="000000" w:fill="FFFFFF"/>
            <w:vAlign w:val="bottom"/>
          </w:tcPr>
          <w:p w14:paraId="2F660D74" w14:textId="77777777" w:rsidR="00E96B29" w:rsidRPr="00027624" w:rsidRDefault="00E96B29" w:rsidP="00E96B29">
            <w:pPr>
              <w:pStyle w:val="TableTextCentered"/>
              <w:rPr>
                <w:szCs w:val="18"/>
              </w:rPr>
            </w:pPr>
            <w:r w:rsidRPr="00027624">
              <w:rPr>
                <w:rFonts w:cs="Calibri"/>
                <w:szCs w:val="18"/>
              </w:rPr>
              <w:t>18.0</w:t>
            </w:r>
          </w:p>
        </w:tc>
        <w:tc>
          <w:tcPr>
            <w:tcW w:w="424" w:type="pct"/>
            <w:shd w:val="clear" w:color="000000" w:fill="FFFFFF"/>
            <w:vAlign w:val="bottom"/>
          </w:tcPr>
          <w:p w14:paraId="791EDCB3" w14:textId="77777777" w:rsidR="00E96B29" w:rsidRPr="00027624" w:rsidRDefault="00E96B29" w:rsidP="00E96B29">
            <w:pPr>
              <w:pStyle w:val="TableTextCentered"/>
              <w:rPr>
                <w:szCs w:val="18"/>
              </w:rPr>
            </w:pPr>
            <w:r w:rsidRPr="00027624">
              <w:rPr>
                <w:rFonts w:cs="Calibri"/>
                <w:szCs w:val="18"/>
              </w:rPr>
              <w:t>17.8</w:t>
            </w:r>
          </w:p>
        </w:tc>
        <w:tc>
          <w:tcPr>
            <w:tcW w:w="460" w:type="pct"/>
            <w:shd w:val="clear" w:color="000000" w:fill="FFFFFF"/>
            <w:vAlign w:val="bottom"/>
          </w:tcPr>
          <w:p w14:paraId="3005BCC2" w14:textId="77777777" w:rsidR="00E96B29" w:rsidRPr="00027624" w:rsidRDefault="00E96B29" w:rsidP="00E96B29">
            <w:pPr>
              <w:pStyle w:val="TableTextCentered"/>
              <w:rPr>
                <w:szCs w:val="18"/>
              </w:rPr>
            </w:pPr>
            <w:r w:rsidRPr="00027624">
              <w:rPr>
                <w:rFonts w:cs="Calibri"/>
                <w:szCs w:val="18"/>
              </w:rPr>
              <w:t>12.5</w:t>
            </w:r>
          </w:p>
        </w:tc>
      </w:tr>
      <w:tr w:rsidR="00E96B29" w:rsidRPr="00027624" w14:paraId="1F52D5A2" w14:textId="77777777" w:rsidTr="00E96B29">
        <w:trPr>
          <w:trHeight w:val="270"/>
        </w:trPr>
        <w:tc>
          <w:tcPr>
            <w:tcW w:w="701" w:type="pct"/>
            <w:vAlign w:val="bottom"/>
          </w:tcPr>
          <w:p w14:paraId="657D5A8C" w14:textId="77777777" w:rsidR="00E96B29" w:rsidRPr="00027624" w:rsidRDefault="00E96B29" w:rsidP="00E96B29">
            <w:pPr>
              <w:pStyle w:val="TableTextLeft"/>
              <w:rPr>
                <w:szCs w:val="18"/>
              </w:rPr>
            </w:pPr>
            <w:r w:rsidRPr="00027624">
              <w:rPr>
                <w:bCs/>
                <w:szCs w:val="18"/>
              </w:rPr>
              <w:t>85</w:t>
            </w:r>
          </w:p>
        </w:tc>
        <w:tc>
          <w:tcPr>
            <w:tcW w:w="429" w:type="pct"/>
            <w:shd w:val="clear" w:color="000000" w:fill="FFFFFF"/>
          </w:tcPr>
          <w:p w14:paraId="15078CD8"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5DB30818" w14:textId="77777777" w:rsidR="00E96B29" w:rsidRPr="00027624" w:rsidRDefault="00E96B29" w:rsidP="00E96B29">
            <w:pPr>
              <w:pStyle w:val="TableTextCentered"/>
              <w:rPr>
                <w:szCs w:val="18"/>
              </w:rPr>
            </w:pPr>
            <w:r w:rsidRPr="00027624">
              <w:rPr>
                <w:rFonts w:cs="Calibri"/>
                <w:szCs w:val="18"/>
              </w:rPr>
              <w:t>20.8</w:t>
            </w:r>
          </w:p>
        </w:tc>
        <w:tc>
          <w:tcPr>
            <w:tcW w:w="427" w:type="pct"/>
            <w:shd w:val="clear" w:color="000000" w:fill="FFFFFF"/>
            <w:vAlign w:val="bottom"/>
          </w:tcPr>
          <w:p w14:paraId="384A6174" w14:textId="77777777" w:rsidR="00E96B29" w:rsidRPr="00027624" w:rsidRDefault="00E96B29" w:rsidP="00E96B29">
            <w:pPr>
              <w:pStyle w:val="TableTextCentered"/>
              <w:rPr>
                <w:szCs w:val="18"/>
              </w:rPr>
            </w:pPr>
            <w:r w:rsidRPr="00027624">
              <w:rPr>
                <w:rFonts w:cs="Calibri"/>
                <w:szCs w:val="18"/>
              </w:rPr>
              <w:t>19.6</w:t>
            </w:r>
          </w:p>
        </w:tc>
        <w:tc>
          <w:tcPr>
            <w:tcW w:w="427" w:type="pct"/>
            <w:shd w:val="clear" w:color="000000" w:fill="FFFFFF"/>
            <w:vAlign w:val="bottom"/>
          </w:tcPr>
          <w:p w14:paraId="188965BA" w14:textId="77777777" w:rsidR="00E96B29" w:rsidRPr="00027624" w:rsidRDefault="00E96B29" w:rsidP="00E96B29">
            <w:pPr>
              <w:pStyle w:val="TableTextCentered"/>
              <w:rPr>
                <w:szCs w:val="18"/>
              </w:rPr>
            </w:pPr>
            <w:r w:rsidRPr="00027624">
              <w:rPr>
                <w:rFonts w:cs="Calibri"/>
                <w:szCs w:val="18"/>
              </w:rPr>
              <w:t>19.3</w:t>
            </w:r>
          </w:p>
        </w:tc>
        <w:tc>
          <w:tcPr>
            <w:tcW w:w="427" w:type="pct"/>
            <w:shd w:val="clear" w:color="000000" w:fill="FFFFFF"/>
            <w:vAlign w:val="bottom"/>
          </w:tcPr>
          <w:p w14:paraId="6A104817" w14:textId="77777777" w:rsidR="00E96B29" w:rsidRPr="00027624" w:rsidRDefault="00E96B29" w:rsidP="00E96B29">
            <w:pPr>
              <w:pStyle w:val="TableTextCentered"/>
              <w:rPr>
                <w:szCs w:val="18"/>
              </w:rPr>
            </w:pPr>
            <w:r w:rsidRPr="00027624">
              <w:rPr>
                <w:rFonts w:cs="Calibri"/>
                <w:szCs w:val="18"/>
              </w:rPr>
              <w:t>19.1</w:t>
            </w:r>
          </w:p>
        </w:tc>
        <w:tc>
          <w:tcPr>
            <w:tcW w:w="427" w:type="pct"/>
            <w:shd w:val="clear" w:color="000000" w:fill="FFFFFF"/>
            <w:vAlign w:val="bottom"/>
          </w:tcPr>
          <w:p w14:paraId="0DAA8B0D" w14:textId="77777777" w:rsidR="00E96B29" w:rsidRPr="00027624" w:rsidRDefault="00E96B29" w:rsidP="00E96B29">
            <w:pPr>
              <w:pStyle w:val="TableTextCentered"/>
              <w:rPr>
                <w:szCs w:val="18"/>
              </w:rPr>
            </w:pPr>
            <w:r w:rsidRPr="00027624">
              <w:rPr>
                <w:rFonts w:cs="Calibri"/>
                <w:szCs w:val="18"/>
              </w:rPr>
              <w:t>18.9</w:t>
            </w:r>
          </w:p>
        </w:tc>
        <w:tc>
          <w:tcPr>
            <w:tcW w:w="427" w:type="pct"/>
            <w:shd w:val="clear" w:color="000000" w:fill="FFFFFF"/>
            <w:vAlign w:val="bottom"/>
          </w:tcPr>
          <w:p w14:paraId="62A52C64" w14:textId="77777777" w:rsidR="00E96B29" w:rsidRPr="00027624" w:rsidRDefault="00E96B29" w:rsidP="00E96B29">
            <w:pPr>
              <w:pStyle w:val="TableTextCentered"/>
              <w:rPr>
                <w:szCs w:val="18"/>
              </w:rPr>
            </w:pPr>
            <w:r w:rsidRPr="00027624">
              <w:rPr>
                <w:rFonts w:cs="Calibri"/>
                <w:szCs w:val="18"/>
              </w:rPr>
              <w:t>18.7</w:t>
            </w:r>
          </w:p>
        </w:tc>
        <w:tc>
          <w:tcPr>
            <w:tcW w:w="424" w:type="pct"/>
            <w:shd w:val="clear" w:color="000000" w:fill="FFFFFF"/>
            <w:vAlign w:val="bottom"/>
          </w:tcPr>
          <w:p w14:paraId="75A4DAC8" w14:textId="77777777" w:rsidR="00E96B29" w:rsidRPr="00027624" w:rsidRDefault="00E96B29" w:rsidP="00E96B29">
            <w:pPr>
              <w:pStyle w:val="TableTextCentered"/>
              <w:rPr>
                <w:szCs w:val="18"/>
              </w:rPr>
            </w:pPr>
            <w:r w:rsidRPr="00027624">
              <w:rPr>
                <w:rFonts w:cs="Calibri"/>
                <w:szCs w:val="18"/>
              </w:rPr>
              <w:t>19.6</w:t>
            </w:r>
          </w:p>
        </w:tc>
        <w:tc>
          <w:tcPr>
            <w:tcW w:w="424" w:type="pct"/>
            <w:shd w:val="clear" w:color="000000" w:fill="FFFFFF"/>
            <w:vAlign w:val="bottom"/>
          </w:tcPr>
          <w:p w14:paraId="506A1E6B" w14:textId="77777777" w:rsidR="00E96B29" w:rsidRPr="00027624" w:rsidRDefault="00E96B29" w:rsidP="00E96B29">
            <w:pPr>
              <w:pStyle w:val="TableTextCentered"/>
              <w:rPr>
                <w:szCs w:val="18"/>
              </w:rPr>
            </w:pPr>
            <w:r w:rsidRPr="00027624">
              <w:rPr>
                <w:rFonts w:cs="Calibri"/>
                <w:szCs w:val="18"/>
              </w:rPr>
              <w:t>19.4</w:t>
            </w:r>
          </w:p>
        </w:tc>
        <w:tc>
          <w:tcPr>
            <w:tcW w:w="460" w:type="pct"/>
            <w:shd w:val="clear" w:color="000000" w:fill="FFFFFF"/>
            <w:vAlign w:val="bottom"/>
          </w:tcPr>
          <w:p w14:paraId="121DE124" w14:textId="77777777" w:rsidR="00E96B29" w:rsidRPr="00027624" w:rsidRDefault="00E96B29" w:rsidP="00E96B29">
            <w:pPr>
              <w:pStyle w:val="TableTextCentered"/>
              <w:rPr>
                <w:szCs w:val="18"/>
              </w:rPr>
            </w:pPr>
            <w:r w:rsidRPr="00027624">
              <w:rPr>
                <w:rFonts w:cs="Calibri"/>
                <w:szCs w:val="18"/>
              </w:rPr>
              <w:t>14.0</w:t>
            </w:r>
          </w:p>
        </w:tc>
      </w:tr>
      <w:tr w:rsidR="00E96B29" w:rsidRPr="00027624" w14:paraId="1BAAED6B" w14:textId="77777777" w:rsidTr="00E96B29">
        <w:trPr>
          <w:trHeight w:val="270"/>
        </w:trPr>
        <w:tc>
          <w:tcPr>
            <w:tcW w:w="701" w:type="pct"/>
            <w:vAlign w:val="bottom"/>
          </w:tcPr>
          <w:p w14:paraId="47DA5A21" w14:textId="77777777" w:rsidR="00E96B29" w:rsidRPr="00027624" w:rsidRDefault="00E96B29" w:rsidP="00E96B29">
            <w:pPr>
              <w:pStyle w:val="TableTextLeft"/>
              <w:rPr>
                <w:szCs w:val="18"/>
              </w:rPr>
            </w:pPr>
            <w:r w:rsidRPr="00027624">
              <w:rPr>
                <w:bCs/>
                <w:szCs w:val="18"/>
              </w:rPr>
              <w:t>86</w:t>
            </w:r>
          </w:p>
        </w:tc>
        <w:tc>
          <w:tcPr>
            <w:tcW w:w="429" w:type="pct"/>
            <w:shd w:val="clear" w:color="000000" w:fill="FFFFFF"/>
          </w:tcPr>
          <w:p w14:paraId="1EC07942"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58F8A793" w14:textId="77777777" w:rsidR="00E96B29" w:rsidRPr="00027624" w:rsidRDefault="00E96B29" w:rsidP="00E96B29">
            <w:pPr>
              <w:pStyle w:val="TableTextCentered"/>
              <w:rPr>
                <w:szCs w:val="18"/>
              </w:rPr>
            </w:pPr>
            <w:r w:rsidRPr="00027624">
              <w:rPr>
                <w:rFonts w:cs="Calibri"/>
                <w:szCs w:val="18"/>
              </w:rPr>
              <w:t>24.1</w:t>
            </w:r>
          </w:p>
        </w:tc>
        <w:tc>
          <w:tcPr>
            <w:tcW w:w="427" w:type="pct"/>
            <w:shd w:val="clear" w:color="000000" w:fill="FFFFFF"/>
            <w:vAlign w:val="bottom"/>
          </w:tcPr>
          <w:p w14:paraId="5641A0FF" w14:textId="77777777" w:rsidR="00E96B29" w:rsidRPr="00027624" w:rsidRDefault="00E96B29" w:rsidP="00E96B29">
            <w:pPr>
              <w:pStyle w:val="TableTextCentered"/>
              <w:rPr>
                <w:szCs w:val="18"/>
              </w:rPr>
            </w:pPr>
            <w:r w:rsidRPr="00027624">
              <w:rPr>
                <w:rFonts w:cs="Calibri"/>
                <w:szCs w:val="18"/>
              </w:rPr>
              <w:t>22.9</w:t>
            </w:r>
          </w:p>
        </w:tc>
        <w:tc>
          <w:tcPr>
            <w:tcW w:w="427" w:type="pct"/>
            <w:shd w:val="clear" w:color="000000" w:fill="FFFFFF"/>
            <w:vAlign w:val="bottom"/>
          </w:tcPr>
          <w:p w14:paraId="2ECA3460" w14:textId="77777777" w:rsidR="00E96B29" w:rsidRPr="00027624" w:rsidRDefault="00E96B29" w:rsidP="00E96B29">
            <w:pPr>
              <w:pStyle w:val="TableTextCentered"/>
              <w:rPr>
                <w:szCs w:val="18"/>
              </w:rPr>
            </w:pPr>
            <w:r w:rsidRPr="00027624">
              <w:rPr>
                <w:rFonts w:cs="Calibri"/>
                <w:szCs w:val="18"/>
              </w:rPr>
              <w:t>22.6</w:t>
            </w:r>
          </w:p>
        </w:tc>
        <w:tc>
          <w:tcPr>
            <w:tcW w:w="427" w:type="pct"/>
            <w:shd w:val="clear" w:color="000000" w:fill="FFFFFF"/>
            <w:vAlign w:val="bottom"/>
          </w:tcPr>
          <w:p w14:paraId="1E480345" w14:textId="77777777" w:rsidR="00E96B29" w:rsidRPr="00027624" w:rsidRDefault="00E96B29" w:rsidP="00E96B29">
            <w:pPr>
              <w:pStyle w:val="TableTextCentered"/>
              <w:rPr>
                <w:szCs w:val="18"/>
              </w:rPr>
            </w:pPr>
            <w:r w:rsidRPr="00027624">
              <w:rPr>
                <w:rFonts w:cs="Calibri"/>
                <w:szCs w:val="18"/>
              </w:rPr>
              <w:t>22.4</w:t>
            </w:r>
          </w:p>
        </w:tc>
        <w:tc>
          <w:tcPr>
            <w:tcW w:w="427" w:type="pct"/>
            <w:shd w:val="clear" w:color="000000" w:fill="FFFFFF"/>
            <w:vAlign w:val="bottom"/>
          </w:tcPr>
          <w:p w14:paraId="4BB230FA" w14:textId="77777777" w:rsidR="00E96B29" w:rsidRPr="00027624" w:rsidRDefault="00E96B29" w:rsidP="00E96B29">
            <w:pPr>
              <w:pStyle w:val="TableTextCentered"/>
              <w:rPr>
                <w:szCs w:val="18"/>
              </w:rPr>
            </w:pPr>
            <w:r w:rsidRPr="00027624">
              <w:rPr>
                <w:rFonts w:cs="Calibri"/>
                <w:szCs w:val="18"/>
              </w:rPr>
              <w:t>22.2</w:t>
            </w:r>
          </w:p>
        </w:tc>
        <w:tc>
          <w:tcPr>
            <w:tcW w:w="427" w:type="pct"/>
            <w:shd w:val="clear" w:color="000000" w:fill="FFFFFF"/>
            <w:vAlign w:val="bottom"/>
          </w:tcPr>
          <w:p w14:paraId="0E0DC888" w14:textId="77777777" w:rsidR="00E96B29" w:rsidRPr="00027624" w:rsidRDefault="00E96B29" w:rsidP="00E96B29">
            <w:pPr>
              <w:pStyle w:val="TableTextCentered"/>
              <w:rPr>
                <w:szCs w:val="18"/>
              </w:rPr>
            </w:pPr>
            <w:r w:rsidRPr="00027624">
              <w:rPr>
                <w:rFonts w:cs="Calibri"/>
                <w:szCs w:val="18"/>
              </w:rPr>
              <w:t>22.0</w:t>
            </w:r>
          </w:p>
        </w:tc>
        <w:tc>
          <w:tcPr>
            <w:tcW w:w="424" w:type="pct"/>
            <w:shd w:val="clear" w:color="000000" w:fill="FFFFFF"/>
            <w:vAlign w:val="bottom"/>
          </w:tcPr>
          <w:p w14:paraId="41D2B77D" w14:textId="77777777" w:rsidR="00E96B29" w:rsidRPr="00027624" w:rsidRDefault="00E96B29" w:rsidP="00E96B29">
            <w:pPr>
              <w:pStyle w:val="TableTextCentered"/>
              <w:rPr>
                <w:szCs w:val="18"/>
              </w:rPr>
            </w:pPr>
            <w:r w:rsidRPr="00027624">
              <w:rPr>
                <w:rFonts w:cs="Calibri"/>
                <w:szCs w:val="18"/>
              </w:rPr>
              <w:t>21.7</w:t>
            </w:r>
          </w:p>
        </w:tc>
        <w:tc>
          <w:tcPr>
            <w:tcW w:w="424" w:type="pct"/>
            <w:shd w:val="clear" w:color="000000" w:fill="FFFFFF"/>
            <w:vAlign w:val="bottom"/>
          </w:tcPr>
          <w:p w14:paraId="4BD60516" w14:textId="77777777" w:rsidR="00E96B29" w:rsidRPr="00027624" w:rsidRDefault="00E96B29" w:rsidP="00E96B29">
            <w:pPr>
              <w:pStyle w:val="TableTextCentered"/>
              <w:rPr>
                <w:szCs w:val="18"/>
              </w:rPr>
            </w:pPr>
            <w:r w:rsidRPr="00027624">
              <w:rPr>
                <w:rFonts w:cs="Calibri"/>
                <w:szCs w:val="18"/>
              </w:rPr>
              <w:t>21.5</w:t>
            </w:r>
          </w:p>
        </w:tc>
        <w:tc>
          <w:tcPr>
            <w:tcW w:w="460" w:type="pct"/>
            <w:shd w:val="clear" w:color="000000" w:fill="FFFFFF"/>
            <w:vAlign w:val="bottom"/>
          </w:tcPr>
          <w:p w14:paraId="6C8DEC30" w14:textId="77777777" w:rsidR="00E96B29" w:rsidRPr="00027624" w:rsidRDefault="00E96B29" w:rsidP="00E96B29">
            <w:pPr>
              <w:pStyle w:val="TableTextCentered"/>
              <w:rPr>
                <w:szCs w:val="18"/>
              </w:rPr>
            </w:pPr>
            <w:r w:rsidRPr="00027624">
              <w:rPr>
                <w:rFonts w:cs="Calibri"/>
                <w:szCs w:val="18"/>
              </w:rPr>
              <w:t>16.0</w:t>
            </w:r>
          </w:p>
        </w:tc>
      </w:tr>
      <w:tr w:rsidR="00E96B29" w:rsidRPr="00027624" w14:paraId="65E4AA46" w14:textId="77777777" w:rsidTr="00E96B29">
        <w:trPr>
          <w:trHeight w:val="270"/>
        </w:trPr>
        <w:tc>
          <w:tcPr>
            <w:tcW w:w="701" w:type="pct"/>
            <w:vAlign w:val="bottom"/>
          </w:tcPr>
          <w:p w14:paraId="0762DEA4" w14:textId="77777777" w:rsidR="00E96B29" w:rsidRPr="00027624" w:rsidRDefault="00E96B29" w:rsidP="00E96B29">
            <w:pPr>
              <w:pStyle w:val="TableTextLeft"/>
              <w:rPr>
                <w:szCs w:val="18"/>
              </w:rPr>
            </w:pPr>
            <w:r w:rsidRPr="00027624">
              <w:rPr>
                <w:bCs/>
                <w:szCs w:val="18"/>
              </w:rPr>
              <w:t>87</w:t>
            </w:r>
          </w:p>
        </w:tc>
        <w:tc>
          <w:tcPr>
            <w:tcW w:w="429" w:type="pct"/>
            <w:shd w:val="clear" w:color="000000" w:fill="FFFFFF"/>
          </w:tcPr>
          <w:p w14:paraId="7703F8F7"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6E730F31" w14:textId="77777777" w:rsidR="00E96B29" w:rsidRPr="00027624" w:rsidRDefault="00E96B29" w:rsidP="00E96B29">
            <w:pPr>
              <w:pStyle w:val="TableTextCentered"/>
              <w:rPr>
                <w:szCs w:val="18"/>
              </w:rPr>
            </w:pPr>
            <w:r w:rsidRPr="00027624">
              <w:rPr>
                <w:rFonts w:cs="Calibri"/>
                <w:szCs w:val="18"/>
              </w:rPr>
              <w:t>28.9</w:t>
            </w:r>
          </w:p>
        </w:tc>
        <w:tc>
          <w:tcPr>
            <w:tcW w:w="427" w:type="pct"/>
            <w:shd w:val="clear" w:color="000000" w:fill="FFFFFF"/>
            <w:vAlign w:val="bottom"/>
          </w:tcPr>
          <w:p w14:paraId="4F1AC78E" w14:textId="77777777" w:rsidR="00E96B29" w:rsidRPr="00027624" w:rsidRDefault="00E96B29" w:rsidP="00E96B29">
            <w:pPr>
              <w:pStyle w:val="TableTextCentered"/>
              <w:rPr>
                <w:szCs w:val="18"/>
              </w:rPr>
            </w:pPr>
            <w:r w:rsidRPr="00027624">
              <w:rPr>
                <w:rFonts w:cs="Calibri"/>
                <w:szCs w:val="18"/>
              </w:rPr>
              <w:t>27.7</w:t>
            </w:r>
          </w:p>
        </w:tc>
        <w:tc>
          <w:tcPr>
            <w:tcW w:w="427" w:type="pct"/>
            <w:shd w:val="clear" w:color="000000" w:fill="FFFFFF"/>
            <w:vAlign w:val="bottom"/>
          </w:tcPr>
          <w:p w14:paraId="51667D0F" w14:textId="77777777" w:rsidR="00E96B29" w:rsidRPr="00027624" w:rsidRDefault="00E96B29" w:rsidP="00E96B29">
            <w:pPr>
              <w:pStyle w:val="TableTextCentered"/>
              <w:rPr>
                <w:szCs w:val="18"/>
              </w:rPr>
            </w:pPr>
            <w:r w:rsidRPr="00027624">
              <w:rPr>
                <w:rFonts w:cs="Calibri"/>
                <w:szCs w:val="18"/>
              </w:rPr>
              <w:t>27.4</w:t>
            </w:r>
          </w:p>
        </w:tc>
        <w:tc>
          <w:tcPr>
            <w:tcW w:w="427" w:type="pct"/>
            <w:shd w:val="clear" w:color="000000" w:fill="FFFFFF"/>
            <w:vAlign w:val="bottom"/>
          </w:tcPr>
          <w:p w14:paraId="63D8868F" w14:textId="77777777" w:rsidR="00E96B29" w:rsidRPr="00027624" w:rsidRDefault="00E96B29" w:rsidP="00E96B29">
            <w:pPr>
              <w:pStyle w:val="TableTextCentered"/>
              <w:rPr>
                <w:szCs w:val="18"/>
              </w:rPr>
            </w:pPr>
            <w:r w:rsidRPr="00027624">
              <w:rPr>
                <w:rFonts w:cs="Calibri"/>
                <w:szCs w:val="18"/>
              </w:rPr>
              <w:t>27.2</w:t>
            </w:r>
          </w:p>
        </w:tc>
        <w:tc>
          <w:tcPr>
            <w:tcW w:w="427" w:type="pct"/>
            <w:shd w:val="clear" w:color="000000" w:fill="FFFFFF"/>
            <w:vAlign w:val="bottom"/>
          </w:tcPr>
          <w:p w14:paraId="04AEFB30" w14:textId="77777777" w:rsidR="00E96B29" w:rsidRPr="00027624" w:rsidRDefault="00E96B29" w:rsidP="00E96B29">
            <w:pPr>
              <w:pStyle w:val="TableTextCentered"/>
              <w:rPr>
                <w:szCs w:val="18"/>
              </w:rPr>
            </w:pPr>
            <w:r w:rsidRPr="00027624">
              <w:rPr>
                <w:rFonts w:cs="Calibri"/>
                <w:szCs w:val="18"/>
              </w:rPr>
              <w:t>27.0</w:t>
            </w:r>
          </w:p>
        </w:tc>
        <w:tc>
          <w:tcPr>
            <w:tcW w:w="427" w:type="pct"/>
            <w:shd w:val="clear" w:color="000000" w:fill="FFFFFF"/>
            <w:vAlign w:val="bottom"/>
          </w:tcPr>
          <w:p w14:paraId="47E70EBE" w14:textId="77777777" w:rsidR="00E96B29" w:rsidRPr="00027624" w:rsidRDefault="00E96B29" w:rsidP="00E96B29">
            <w:pPr>
              <w:pStyle w:val="TableTextCentered"/>
              <w:rPr>
                <w:szCs w:val="18"/>
              </w:rPr>
            </w:pPr>
            <w:r w:rsidRPr="00027624">
              <w:rPr>
                <w:rFonts w:cs="Calibri"/>
                <w:szCs w:val="18"/>
              </w:rPr>
              <w:t>26.8</w:t>
            </w:r>
          </w:p>
        </w:tc>
        <w:tc>
          <w:tcPr>
            <w:tcW w:w="424" w:type="pct"/>
            <w:shd w:val="clear" w:color="000000" w:fill="FFFFFF"/>
            <w:vAlign w:val="bottom"/>
          </w:tcPr>
          <w:p w14:paraId="062D729B" w14:textId="77777777" w:rsidR="00E96B29" w:rsidRPr="00027624" w:rsidRDefault="00E96B29" w:rsidP="00E96B29">
            <w:pPr>
              <w:pStyle w:val="TableTextCentered"/>
              <w:rPr>
                <w:szCs w:val="18"/>
              </w:rPr>
            </w:pPr>
            <w:r w:rsidRPr="00027624">
              <w:rPr>
                <w:rFonts w:cs="Calibri"/>
                <w:szCs w:val="18"/>
              </w:rPr>
              <w:t>24.7</w:t>
            </w:r>
          </w:p>
        </w:tc>
        <w:tc>
          <w:tcPr>
            <w:tcW w:w="424" w:type="pct"/>
            <w:shd w:val="clear" w:color="000000" w:fill="FFFFFF"/>
            <w:vAlign w:val="bottom"/>
          </w:tcPr>
          <w:p w14:paraId="18926726" w14:textId="77777777" w:rsidR="00E96B29" w:rsidRPr="00027624" w:rsidRDefault="00E96B29" w:rsidP="00E96B29">
            <w:pPr>
              <w:pStyle w:val="TableTextCentered"/>
              <w:rPr>
                <w:szCs w:val="18"/>
              </w:rPr>
            </w:pPr>
            <w:r w:rsidRPr="00027624">
              <w:rPr>
                <w:rFonts w:cs="Calibri"/>
                <w:szCs w:val="18"/>
              </w:rPr>
              <w:t>24.5</w:t>
            </w:r>
          </w:p>
        </w:tc>
        <w:tc>
          <w:tcPr>
            <w:tcW w:w="460" w:type="pct"/>
            <w:shd w:val="clear" w:color="000000" w:fill="FFFFFF"/>
            <w:vAlign w:val="bottom"/>
          </w:tcPr>
          <w:p w14:paraId="438BD12E" w14:textId="77777777" w:rsidR="00E96B29" w:rsidRPr="00027624" w:rsidRDefault="00E96B29" w:rsidP="00E96B29">
            <w:pPr>
              <w:pStyle w:val="TableTextCentered"/>
              <w:rPr>
                <w:szCs w:val="18"/>
              </w:rPr>
            </w:pPr>
            <w:r w:rsidRPr="00027624">
              <w:rPr>
                <w:rFonts w:cs="Calibri"/>
                <w:szCs w:val="18"/>
              </w:rPr>
              <w:t>18.8</w:t>
            </w:r>
          </w:p>
        </w:tc>
      </w:tr>
      <w:tr w:rsidR="00E96B29" w:rsidRPr="00027624" w14:paraId="7B3680E7" w14:textId="77777777" w:rsidTr="00E96B29">
        <w:trPr>
          <w:trHeight w:val="270"/>
        </w:trPr>
        <w:tc>
          <w:tcPr>
            <w:tcW w:w="701" w:type="pct"/>
            <w:vAlign w:val="bottom"/>
          </w:tcPr>
          <w:p w14:paraId="10653419" w14:textId="77777777" w:rsidR="00E96B29" w:rsidRPr="00027624" w:rsidRDefault="00E96B29" w:rsidP="00E96B29">
            <w:pPr>
              <w:pStyle w:val="TableTextLeft"/>
              <w:rPr>
                <w:szCs w:val="18"/>
              </w:rPr>
            </w:pPr>
            <w:r w:rsidRPr="00027624">
              <w:rPr>
                <w:bCs/>
                <w:szCs w:val="18"/>
              </w:rPr>
              <w:t>88</w:t>
            </w:r>
          </w:p>
        </w:tc>
        <w:tc>
          <w:tcPr>
            <w:tcW w:w="429" w:type="pct"/>
            <w:shd w:val="clear" w:color="000000" w:fill="FFFFFF"/>
          </w:tcPr>
          <w:p w14:paraId="158C4F71"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42D069E8" w14:textId="77777777" w:rsidR="00E96B29" w:rsidRPr="00027624" w:rsidRDefault="00E96B29" w:rsidP="00E96B29">
            <w:pPr>
              <w:pStyle w:val="TableTextCentered"/>
              <w:rPr>
                <w:szCs w:val="18"/>
              </w:rPr>
            </w:pPr>
            <w:r w:rsidRPr="00027624">
              <w:rPr>
                <w:rFonts w:cs="Calibri"/>
                <w:szCs w:val="18"/>
              </w:rPr>
              <w:t>36.9</w:t>
            </w:r>
          </w:p>
        </w:tc>
        <w:tc>
          <w:tcPr>
            <w:tcW w:w="427" w:type="pct"/>
            <w:shd w:val="clear" w:color="000000" w:fill="FFFFFF"/>
            <w:vAlign w:val="bottom"/>
          </w:tcPr>
          <w:p w14:paraId="507BCA8A" w14:textId="77777777" w:rsidR="00E96B29" w:rsidRPr="00027624" w:rsidRDefault="00E96B29" w:rsidP="00E96B29">
            <w:pPr>
              <w:pStyle w:val="TableTextCentered"/>
              <w:rPr>
                <w:szCs w:val="18"/>
              </w:rPr>
            </w:pPr>
            <w:r w:rsidRPr="00027624">
              <w:rPr>
                <w:rFonts w:cs="Calibri"/>
                <w:szCs w:val="18"/>
              </w:rPr>
              <w:t>35.8</w:t>
            </w:r>
          </w:p>
        </w:tc>
        <w:tc>
          <w:tcPr>
            <w:tcW w:w="427" w:type="pct"/>
            <w:shd w:val="clear" w:color="000000" w:fill="FFFFFF"/>
            <w:vAlign w:val="bottom"/>
          </w:tcPr>
          <w:p w14:paraId="3815E122" w14:textId="77777777" w:rsidR="00E96B29" w:rsidRPr="00027624" w:rsidRDefault="00E96B29" w:rsidP="00E96B29">
            <w:pPr>
              <w:pStyle w:val="TableTextCentered"/>
              <w:rPr>
                <w:szCs w:val="18"/>
              </w:rPr>
            </w:pPr>
            <w:r w:rsidRPr="00027624">
              <w:rPr>
                <w:rFonts w:cs="Calibri"/>
                <w:szCs w:val="18"/>
              </w:rPr>
              <w:t>35.5</w:t>
            </w:r>
          </w:p>
        </w:tc>
        <w:tc>
          <w:tcPr>
            <w:tcW w:w="427" w:type="pct"/>
            <w:shd w:val="clear" w:color="000000" w:fill="FFFFFF"/>
            <w:vAlign w:val="bottom"/>
          </w:tcPr>
          <w:p w14:paraId="3A6A9664" w14:textId="77777777" w:rsidR="00E96B29" w:rsidRPr="00027624" w:rsidRDefault="00E96B29" w:rsidP="00E96B29">
            <w:pPr>
              <w:pStyle w:val="TableTextCentered"/>
              <w:rPr>
                <w:szCs w:val="18"/>
              </w:rPr>
            </w:pPr>
            <w:r w:rsidRPr="00027624">
              <w:rPr>
                <w:rFonts w:cs="Calibri"/>
                <w:szCs w:val="18"/>
              </w:rPr>
              <w:t>35.3</w:t>
            </w:r>
          </w:p>
        </w:tc>
        <w:tc>
          <w:tcPr>
            <w:tcW w:w="427" w:type="pct"/>
            <w:shd w:val="clear" w:color="000000" w:fill="FFFFFF"/>
            <w:vAlign w:val="bottom"/>
          </w:tcPr>
          <w:p w14:paraId="26184748" w14:textId="77777777" w:rsidR="00E96B29" w:rsidRPr="00027624" w:rsidRDefault="00E96B29" w:rsidP="00E96B29">
            <w:pPr>
              <w:pStyle w:val="TableTextCentered"/>
              <w:rPr>
                <w:szCs w:val="18"/>
              </w:rPr>
            </w:pPr>
            <w:r w:rsidRPr="00027624">
              <w:rPr>
                <w:rFonts w:cs="Calibri"/>
                <w:szCs w:val="18"/>
              </w:rPr>
              <w:t>35.1</w:t>
            </w:r>
          </w:p>
        </w:tc>
        <w:tc>
          <w:tcPr>
            <w:tcW w:w="427" w:type="pct"/>
            <w:shd w:val="clear" w:color="000000" w:fill="FFFFFF"/>
            <w:vAlign w:val="bottom"/>
          </w:tcPr>
          <w:p w14:paraId="0C735D8A" w14:textId="77777777" w:rsidR="00E96B29" w:rsidRPr="00027624" w:rsidRDefault="00E96B29" w:rsidP="00E96B29">
            <w:pPr>
              <w:pStyle w:val="TableTextCentered"/>
              <w:rPr>
                <w:szCs w:val="18"/>
              </w:rPr>
            </w:pPr>
            <w:r w:rsidRPr="00027624">
              <w:rPr>
                <w:rFonts w:cs="Calibri"/>
                <w:szCs w:val="18"/>
              </w:rPr>
              <w:t>35.0</w:t>
            </w:r>
          </w:p>
        </w:tc>
        <w:tc>
          <w:tcPr>
            <w:tcW w:w="424" w:type="pct"/>
            <w:shd w:val="clear" w:color="000000" w:fill="FFFFFF"/>
            <w:vAlign w:val="bottom"/>
          </w:tcPr>
          <w:p w14:paraId="40D83C71" w14:textId="77777777" w:rsidR="00E96B29" w:rsidRPr="00027624" w:rsidRDefault="00E96B29" w:rsidP="00E96B29">
            <w:pPr>
              <w:pStyle w:val="TableTextCentered"/>
              <w:rPr>
                <w:szCs w:val="18"/>
              </w:rPr>
            </w:pPr>
            <w:r w:rsidRPr="00027624">
              <w:rPr>
                <w:rFonts w:cs="Calibri"/>
                <w:szCs w:val="18"/>
              </w:rPr>
              <w:t>31.2</w:t>
            </w:r>
          </w:p>
        </w:tc>
        <w:tc>
          <w:tcPr>
            <w:tcW w:w="424" w:type="pct"/>
            <w:shd w:val="clear" w:color="000000" w:fill="FFFFFF"/>
            <w:vAlign w:val="bottom"/>
          </w:tcPr>
          <w:p w14:paraId="42939590" w14:textId="77777777" w:rsidR="00E96B29" w:rsidRPr="00027624" w:rsidRDefault="00E96B29" w:rsidP="00E96B29">
            <w:pPr>
              <w:pStyle w:val="TableTextCentered"/>
              <w:rPr>
                <w:szCs w:val="18"/>
              </w:rPr>
            </w:pPr>
            <w:r w:rsidRPr="00027624">
              <w:rPr>
                <w:rFonts w:cs="Calibri"/>
                <w:szCs w:val="18"/>
              </w:rPr>
              <w:t>28.8</w:t>
            </w:r>
          </w:p>
        </w:tc>
        <w:tc>
          <w:tcPr>
            <w:tcW w:w="460" w:type="pct"/>
            <w:shd w:val="clear" w:color="000000" w:fill="FFFFFF"/>
            <w:vAlign w:val="bottom"/>
          </w:tcPr>
          <w:p w14:paraId="32DD9F56" w14:textId="77777777" w:rsidR="00E96B29" w:rsidRPr="00027624" w:rsidRDefault="00E96B29" w:rsidP="00E96B29">
            <w:pPr>
              <w:pStyle w:val="TableTextCentered"/>
              <w:rPr>
                <w:szCs w:val="18"/>
              </w:rPr>
            </w:pPr>
            <w:r w:rsidRPr="00027624">
              <w:rPr>
                <w:rFonts w:cs="Calibri"/>
                <w:szCs w:val="18"/>
              </w:rPr>
              <w:t>22.7</w:t>
            </w:r>
          </w:p>
        </w:tc>
      </w:tr>
      <w:tr w:rsidR="00E96B29" w:rsidRPr="00027624" w14:paraId="0BAE3F6B" w14:textId="77777777" w:rsidTr="00E96B29">
        <w:trPr>
          <w:trHeight w:val="270"/>
        </w:trPr>
        <w:tc>
          <w:tcPr>
            <w:tcW w:w="701" w:type="pct"/>
            <w:vAlign w:val="bottom"/>
          </w:tcPr>
          <w:p w14:paraId="74FC15E0" w14:textId="77777777" w:rsidR="00E96B29" w:rsidRPr="00027624" w:rsidRDefault="00E96B29" w:rsidP="00E96B29">
            <w:pPr>
              <w:pStyle w:val="TableTextLeft"/>
              <w:rPr>
                <w:szCs w:val="18"/>
              </w:rPr>
            </w:pPr>
            <w:r w:rsidRPr="00027624">
              <w:rPr>
                <w:bCs/>
                <w:szCs w:val="18"/>
              </w:rPr>
              <w:t>89</w:t>
            </w:r>
          </w:p>
        </w:tc>
        <w:tc>
          <w:tcPr>
            <w:tcW w:w="429" w:type="pct"/>
            <w:shd w:val="clear" w:color="000000" w:fill="FFFFFF"/>
          </w:tcPr>
          <w:p w14:paraId="05E02B3D"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03E77631" w14:textId="77777777" w:rsidR="00E96B29" w:rsidRPr="00027624" w:rsidRDefault="00E96B29" w:rsidP="00E96B29">
            <w:pPr>
              <w:pStyle w:val="TableTextCentered"/>
              <w:rPr>
                <w:szCs w:val="18"/>
              </w:rPr>
            </w:pPr>
            <w:r w:rsidRPr="00027624">
              <w:rPr>
                <w:rFonts w:cs="Calibri"/>
                <w:szCs w:val="18"/>
              </w:rPr>
              <w:t>52.8</w:t>
            </w:r>
          </w:p>
        </w:tc>
        <w:tc>
          <w:tcPr>
            <w:tcW w:w="427" w:type="pct"/>
            <w:shd w:val="clear" w:color="000000" w:fill="FFFFFF"/>
            <w:vAlign w:val="bottom"/>
          </w:tcPr>
          <w:p w14:paraId="61ADDDA9" w14:textId="77777777" w:rsidR="00E96B29" w:rsidRPr="00027624" w:rsidRDefault="00E96B29" w:rsidP="00E96B29">
            <w:pPr>
              <w:pStyle w:val="TableTextCentered"/>
              <w:rPr>
                <w:szCs w:val="18"/>
              </w:rPr>
            </w:pPr>
            <w:r w:rsidRPr="00027624">
              <w:rPr>
                <w:rFonts w:cs="Calibri"/>
                <w:szCs w:val="18"/>
              </w:rPr>
              <w:t>51.9</w:t>
            </w:r>
          </w:p>
        </w:tc>
        <w:tc>
          <w:tcPr>
            <w:tcW w:w="427" w:type="pct"/>
            <w:shd w:val="clear" w:color="000000" w:fill="FFFFFF"/>
            <w:vAlign w:val="bottom"/>
          </w:tcPr>
          <w:p w14:paraId="661D8E82" w14:textId="77777777" w:rsidR="00E96B29" w:rsidRPr="00027624" w:rsidRDefault="00E96B29" w:rsidP="00E96B29">
            <w:pPr>
              <w:pStyle w:val="TableTextCentered"/>
              <w:rPr>
                <w:szCs w:val="18"/>
              </w:rPr>
            </w:pPr>
            <w:r w:rsidRPr="00027624">
              <w:rPr>
                <w:rFonts w:cs="Calibri"/>
                <w:szCs w:val="18"/>
              </w:rPr>
              <w:t>51.7</w:t>
            </w:r>
          </w:p>
        </w:tc>
        <w:tc>
          <w:tcPr>
            <w:tcW w:w="427" w:type="pct"/>
            <w:shd w:val="clear" w:color="000000" w:fill="FFFFFF"/>
            <w:vAlign w:val="bottom"/>
          </w:tcPr>
          <w:p w14:paraId="16F10392" w14:textId="77777777" w:rsidR="00E96B29" w:rsidRPr="00027624" w:rsidRDefault="00E96B29" w:rsidP="00E96B29">
            <w:pPr>
              <w:pStyle w:val="TableTextCentered"/>
              <w:rPr>
                <w:szCs w:val="18"/>
              </w:rPr>
            </w:pPr>
            <w:r w:rsidRPr="00027624">
              <w:rPr>
                <w:rFonts w:cs="Calibri"/>
                <w:szCs w:val="18"/>
              </w:rPr>
              <w:t>51.5</w:t>
            </w:r>
          </w:p>
        </w:tc>
        <w:tc>
          <w:tcPr>
            <w:tcW w:w="427" w:type="pct"/>
            <w:shd w:val="clear" w:color="000000" w:fill="FFFFFF"/>
            <w:vAlign w:val="bottom"/>
          </w:tcPr>
          <w:p w14:paraId="3722B28F" w14:textId="77777777" w:rsidR="00E96B29" w:rsidRPr="00027624" w:rsidRDefault="00E96B29" w:rsidP="00E96B29">
            <w:pPr>
              <w:pStyle w:val="TableTextCentered"/>
              <w:rPr>
                <w:szCs w:val="18"/>
              </w:rPr>
            </w:pPr>
            <w:r w:rsidRPr="00027624">
              <w:rPr>
                <w:rFonts w:cs="Calibri"/>
                <w:szCs w:val="18"/>
              </w:rPr>
              <w:t>51.4</w:t>
            </w:r>
          </w:p>
        </w:tc>
        <w:tc>
          <w:tcPr>
            <w:tcW w:w="427" w:type="pct"/>
            <w:shd w:val="clear" w:color="000000" w:fill="FFFFFF"/>
            <w:vAlign w:val="bottom"/>
          </w:tcPr>
          <w:p w14:paraId="4928EC78" w14:textId="77777777" w:rsidR="00E96B29" w:rsidRPr="00027624" w:rsidRDefault="00E96B29" w:rsidP="00E96B29">
            <w:pPr>
              <w:pStyle w:val="TableTextCentered"/>
              <w:rPr>
                <w:szCs w:val="18"/>
              </w:rPr>
            </w:pPr>
            <w:r w:rsidRPr="00027624">
              <w:rPr>
                <w:rFonts w:cs="Calibri"/>
                <w:szCs w:val="18"/>
              </w:rPr>
              <w:t>51.2</w:t>
            </w:r>
          </w:p>
        </w:tc>
        <w:tc>
          <w:tcPr>
            <w:tcW w:w="424" w:type="pct"/>
            <w:shd w:val="clear" w:color="000000" w:fill="FFFFFF"/>
            <w:vAlign w:val="bottom"/>
          </w:tcPr>
          <w:p w14:paraId="42048D3D" w14:textId="77777777" w:rsidR="00E96B29" w:rsidRPr="00027624" w:rsidRDefault="00E96B29" w:rsidP="00E96B29">
            <w:pPr>
              <w:pStyle w:val="TableTextCentered"/>
              <w:rPr>
                <w:szCs w:val="18"/>
              </w:rPr>
            </w:pPr>
            <w:r w:rsidRPr="00027624">
              <w:rPr>
                <w:rFonts w:cs="Calibri"/>
                <w:szCs w:val="18"/>
              </w:rPr>
              <w:t>43.3</w:t>
            </w:r>
          </w:p>
        </w:tc>
        <w:tc>
          <w:tcPr>
            <w:tcW w:w="424" w:type="pct"/>
            <w:shd w:val="clear" w:color="000000" w:fill="FFFFFF"/>
            <w:vAlign w:val="bottom"/>
          </w:tcPr>
          <w:p w14:paraId="43AB283D" w14:textId="77777777" w:rsidR="00E96B29" w:rsidRPr="00027624" w:rsidRDefault="00E96B29" w:rsidP="00E96B29">
            <w:pPr>
              <w:pStyle w:val="TableTextCentered"/>
              <w:rPr>
                <w:szCs w:val="18"/>
              </w:rPr>
            </w:pPr>
            <w:r w:rsidRPr="00027624">
              <w:rPr>
                <w:rFonts w:cs="Calibri"/>
                <w:szCs w:val="18"/>
              </w:rPr>
              <w:t>36.0</w:t>
            </w:r>
          </w:p>
        </w:tc>
        <w:tc>
          <w:tcPr>
            <w:tcW w:w="460" w:type="pct"/>
            <w:shd w:val="clear" w:color="000000" w:fill="FFFFFF"/>
            <w:vAlign w:val="bottom"/>
          </w:tcPr>
          <w:p w14:paraId="18338627" w14:textId="77777777" w:rsidR="00E96B29" w:rsidRPr="00027624" w:rsidRDefault="00E96B29" w:rsidP="00E96B29">
            <w:pPr>
              <w:pStyle w:val="TableTextCentered"/>
              <w:rPr>
                <w:szCs w:val="18"/>
              </w:rPr>
            </w:pPr>
            <w:r w:rsidRPr="00027624">
              <w:rPr>
                <w:rFonts w:cs="Calibri"/>
                <w:szCs w:val="18"/>
              </w:rPr>
              <w:t>28.6</w:t>
            </w:r>
          </w:p>
        </w:tc>
      </w:tr>
      <w:tr w:rsidR="00E96B29" w:rsidRPr="00027624" w14:paraId="72E79339" w14:textId="77777777" w:rsidTr="00E96B29">
        <w:trPr>
          <w:trHeight w:val="270"/>
        </w:trPr>
        <w:tc>
          <w:tcPr>
            <w:tcW w:w="701" w:type="pct"/>
            <w:vAlign w:val="bottom"/>
          </w:tcPr>
          <w:p w14:paraId="36C396A8" w14:textId="77777777" w:rsidR="00E96B29" w:rsidRPr="00027624" w:rsidRDefault="00E96B29" w:rsidP="00E96B29">
            <w:pPr>
              <w:pStyle w:val="TableTextLeft"/>
              <w:rPr>
                <w:szCs w:val="18"/>
              </w:rPr>
            </w:pPr>
            <w:r w:rsidRPr="00027624">
              <w:rPr>
                <w:bCs/>
                <w:szCs w:val="18"/>
              </w:rPr>
              <w:t>90</w:t>
            </w:r>
          </w:p>
        </w:tc>
        <w:tc>
          <w:tcPr>
            <w:tcW w:w="429" w:type="pct"/>
            <w:shd w:val="clear" w:color="000000" w:fill="FFFFFF"/>
          </w:tcPr>
          <w:p w14:paraId="08777A02" w14:textId="77777777" w:rsidR="00E96B29" w:rsidRPr="00027624" w:rsidRDefault="00E96B29" w:rsidP="00E96B29">
            <w:pPr>
              <w:pStyle w:val="TableTextLeft"/>
              <w:rPr>
                <w:rFonts w:cs="Calibri"/>
                <w:szCs w:val="18"/>
              </w:rPr>
            </w:pPr>
          </w:p>
        </w:tc>
        <w:tc>
          <w:tcPr>
            <w:tcW w:w="427" w:type="pct"/>
            <w:shd w:val="clear" w:color="000000" w:fill="FFFFFF"/>
            <w:vAlign w:val="bottom"/>
          </w:tcPr>
          <w:p w14:paraId="6A90636F" w14:textId="77777777" w:rsidR="00E96B29" w:rsidRPr="00027624" w:rsidRDefault="00E96B29" w:rsidP="00E96B29">
            <w:pPr>
              <w:pStyle w:val="TableTextCentered"/>
              <w:rPr>
                <w:szCs w:val="18"/>
              </w:rPr>
            </w:pPr>
            <w:r w:rsidRPr="00027624">
              <w:rPr>
                <w:rFonts w:cs="Calibri"/>
                <w:szCs w:val="18"/>
              </w:rPr>
              <w:t>100</w:t>
            </w:r>
          </w:p>
        </w:tc>
        <w:tc>
          <w:tcPr>
            <w:tcW w:w="427" w:type="pct"/>
            <w:shd w:val="clear" w:color="000000" w:fill="FFFFFF"/>
            <w:vAlign w:val="bottom"/>
          </w:tcPr>
          <w:p w14:paraId="404388D1" w14:textId="77777777" w:rsidR="00E96B29" w:rsidRPr="00027624" w:rsidRDefault="00E96B29" w:rsidP="00E96B29">
            <w:pPr>
              <w:pStyle w:val="TableTextCentered"/>
              <w:rPr>
                <w:szCs w:val="18"/>
              </w:rPr>
            </w:pPr>
            <w:r w:rsidRPr="00027624">
              <w:rPr>
                <w:rFonts w:cs="Calibri"/>
                <w:szCs w:val="18"/>
              </w:rPr>
              <w:t>100</w:t>
            </w:r>
          </w:p>
        </w:tc>
        <w:tc>
          <w:tcPr>
            <w:tcW w:w="427" w:type="pct"/>
            <w:shd w:val="clear" w:color="000000" w:fill="FFFFFF"/>
            <w:vAlign w:val="bottom"/>
          </w:tcPr>
          <w:p w14:paraId="79E49E8D" w14:textId="77777777" w:rsidR="00E96B29" w:rsidRPr="00027624" w:rsidRDefault="00E96B29" w:rsidP="00E96B29">
            <w:pPr>
              <w:pStyle w:val="TableTextCentered"/>
              <w:rPr>
                <w:szCs w:val="18"/>
              </w:rPr>
            </w:pPr>
            <w:r w:rsidRPr="00027624">
              <w:rPr>
                <w:rFonts w:cs="Calibri"/>
                <w:szCs w:val="18"/>
              </w:rPr>
              <w:t>100</w:t>
            </w:r>
          </w:p>
        </w:tc>
        <w:tc>
          <w:tcPr>
            <w:tcW w:w="427" w:type="pct"/>
            <w:shd w:val="clear" w:color="000000" w:fill="FFFFFF"/>
            <w:vAlign w:val="bottom"/>
          </w:tcPr>
          <w:p w14:paraId="52A38540" w14:textId="77777777" w:rsidR="00E96B29" w:rsidRPr="00027624" w:rsidRDefault="00E96B29" w:rsidP="00E96B29">
            <w:pPr>
              <w:pStyle w:val="TableTextCentered"/>
              <w:rPr>
                <w:szCs w:val="18"/>
              </w:rPr>
            </w:pPr>
            <w:r w:rsidRPr="00027624">
              <w:rPr>
                <w:rFonts w:cs="Calibri"/>
                <w:szCs w:val="18"/>
              </w:rPr>
              <w:t>100</w:t>
            </w:r>
          </w:p>
        </w:tc>
        <w:tc>
          <w:tcPr>
            <w:tcW w:w="427" w:type="pct"/>
            <w:shd w:val="clear" w:color="000000" w:fill="FFFFFF"/>
            <w:vAlign w:val="bottom"/>
          </w:tcPr>
          <w:p w14:paraId="663BD62B" w14:textId="77777777" w:rsidR="00E96B29" w:rsidRPr="00027624" w:rsidRDefault="00E96B29" w:rsidP="00E96B29">
            <w:pPr>
              <w:pStyle w:val="TableTextCentered"/>
              <w:rPr>
                <w:szCs w:val="18"/>
              </w:rPr>
            </w:pPr>
            <w:r w:rsidRPr="00027624">
              <w:rPr>
                <w:rFonts w:cs="Calibri"/>
                <w:szCs w:val="18"/>
              </w:rPr>
              <w:t>100</w:t>
            </w:r>
          </w:p>
        </w:tc>
        <w:tc>
          <w:tcPr>
            <w:tcW w:w="427" w:type="pct"/>
            <w:shd w:val="clear" w:color="000000" w:fill="FFFFFF"/>
            <w:vAlign w:val="bottom"/>
          </w:tcPr>
          <w:p w14:paraId="20941B5F" w14:textId="77777777" w:rsidR="00E96B29" w:rsidRPr="00027624" w:rsidRDefault="00E96B29" w:rsidP="00E96B29">
            <w:pPr>
              <w:pStyle w:val="TableTextCentered"/>
              <w:rPr>
                <w:szCs w:val="18"/>
              </w:rPr>
            </w:pPr>
            <w:r w:rsidRPr="00027624">
              <w:rPr>
                <w:rFonts w:cs="Calibri"/>
                <w:szCs w:val="18"/>
              </w:rPr>
              <w:t>100</w:t>
            </w:r>
          </w:p>
        </w:tc>
        <w:tc>
          <w:tcPr>
            <w:tcW w:w="424" w:type="pct"/>
            <w:shd w:val="clear" w:color="000000" w:fill="FFFFFF"/>
            <w:vAlign w:val="bottom"/>
          </w:tcPr>
          <w:p w14:paraId="6CEAC6A1" w14:textId="77777777" w:rsidR="00E96B29" w:rsidRPr="00027624" w:rsidRDefault="00E96B29" w:rsidP="00E96B29">
            <w:pPr>
              <w:pStyle w:val="TableTextCentered"/>
              <w:rPr>
                <w:szCs w:val="18"/>
              </w:rPr>
            </w:pPr>
            <w:r w:rsidRPr="00027624">
              <w:rPr>
                <w:rFonts w:cs="Calibri"/>
                <w:szCs w:val="18"/>
              </w:rPr>
              <w:t>73.1</w:t>
            </w:r>
          </w:p>
        </w:tc>
        <w:tc>
          <w:tcPr>
            <w:tcW w:w="424" w:type="pct"/>
            <w:shd w:val="clear" w:color="000000" w:fill="FFFFFF"/>
            <w:vAlign w:val="bottom"/>
          </w:tcPr>
          <w:p w14:paraId="05D2F465" w14:textId="77777777" w:rsidR="00E96B29" w:rsidRPr="00027624" w:rsidRDefault="00E96B29" w:rsidP="00E96B29">
            <w:pPr>
              <w:pStyle w:val="TableTextCentered"/>
              <w:rPr>
                <w:szCs w:val="18"/>
              </w:rPr>
            </w:pPr>
            <w:r w:rsidRPr="00027624">
              <w:rPr>
                <w:rFonts w:cs="Calibri"/>
                <w:szCs w:val="18"/>
              </w:rPr>
              <w:t>48.6</w:t>
            </w:r>
          </w:p>
        </w:tc>
        <w:tc>
          <w:tcPr>
            <w:tcW w:w="460" w:type="pct"/>
            <w:shd w:val="clear" w:color="000000" w:fill="FFFFFF"/>
            <w:vAlign w:val="bottom"/>
          </w:tcPr>
          <w:p w14:paraId="08F67B5F" w14:textId="77777777" w:rsidR="00E96B29" w:rsidRPr="00027624" w:rsidRDefault="00E96B29" w:rsidP="00E96B29">
            <w:pPr>
              <w:pStyle w:val="TableTextCentered"/>
              <w:rPr>
                <w:szCs w:val="18"/>
              </w:rPr>
            </w:pPr>
            <w:r w:rsidRPr="00027624">
              <w:rPr>
                <w:rFonts w:cs="Calibri"/>
                <w:szCs w:val="18"/>
              </w:rPr>
              <w:t>35.3</w:t>
            </w:r>
          </w:p>
        </w:tc>
      </w:tr>
      <w:tr w:rsidR="00E96B29" w:rsidRPr="00027624" w14:paraId="5AF9915F" w14:textId="77777777" w:rsidTr="00E96B29">
        <w:trPr>
          <w:trHeight w:val="270"/>
        </w:trPr>
        <w:tc>
          <w:tcPr>
            <w:tcW w:w="701" w:type="pct"/>
            <w:vAlign w:val="bottom"/>
          </w:tcPr>
          <w:p w14:paraId="3907D5E3" w14:textId="77777777" w:rsidR="00E96B29" w:rsidRPr="00027624" w:rsidRDefault="00E96B29" w:rsidP="00E96B29">
            <w:pPr>
              <w:pStyle w:val="TableTextLeft"/>
              <w:rPr>
                <w:szCs w:val="18"/>
              </w:rPr>
            </w:pPr>
            <w:r w:rsidRPr="00027624">
              <w:rPr>
                <w:bCs/>
                <w:szCs w:val="18"/>
              </w:rPr>
              <w:t>91</w:t>
            </w:r>
          </w:p>
        </w:tc>
        <w:tc>
          <w:tcPr>
            <w:tcW w:w="429" w:type="pct"/>
            <w:shd w:val="clear" w:color="000000" w:fill="FFFFFF"/>
          </w:tcPr>
          <w:p w14:paraId="7CA539C1" w14:textId="77777777" w:rsidR="00E96B29" w:rsidRPr="00027624" w:rsidRDefault="00E96B29" w:rsidP="00E96B29">
            <w:pPr>
              <w:pStyle w:val="TableTextLeft"/>
              <w:rPr>
                <w:szCs w:val="18"/>
              </w:rPr>
            </w:pPr>
          </w:p>
        </w:tc>
        <w:tc>
          <w:tcPr>
            <w:tcW w:w="427" w:type="pct"/>
            <w:shd w:val="clear" w:color="000000" w:fill="FFFFFF"/>
            <w:vAlign w:val="bottom"/>
          </w:tcPr>
          <w:p w14:paraId="69A5AE93"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14273B36"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4017391F"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55F71E12"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04498125"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12EC0B70"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047F7480" w14:textId="77777777" w:rsidR="00E96B29" w:rsidRPr="00027624" w:rsidRDefault="00E96B29" w:rsidP="00E96B29">
            <w:pPr>
              <w:pStyle w:val="TableTextCentered"/>
              <w:rPr>
                <w:szCs w:val="18"/>
              </w:rPr>
            </w:pPr>
            <w:r w:rsidRPr="00027624">
              <w:rPr>
                <w:rFonts w:cs="Calibri"/>
                <w:szCs w:val="18"/>
              </w:rPr>
              <w:t>32.2</w:t>
            </w:r>
          </w:p>
        </w:tc>
        <w:tc>
          <w:tcPr>
            <w:tcW w:w="424" w:type="pct"/>
            <w:shd w:val="clear" w:color="000000" w:fill="FFFFFF"/>
            <w:vAlign w:val="bottom"/>
          </w:tcPr>
          <w:p w14:paraId="28A4F771" w14:textId="77777777" w:rsidR="00E96B29" w:rsidRPr="00027624" w:rsidRDefault="00E96B29" w:rsidP="00E96B29">
            <w:pPr>
              <w:pStyle w:val="TableTextCentered"/>
              <w:rPr>
                <w:szCs w:val="18"/>
              </w:rPr>
            </w:pPr>
            <w:r w:rsidRPr="00027624">
              <w:rPr>
                <w:rFonts w:cs="Calibri"/>
                <w:szCs w:val="18"/>
              </w:rPr>
              <w:t>17.3</w:t>
            </w:r>
          </w:p>
        </w:tc>
        <w:tc>
          <w:tcPr>
            <w:tcW w:w="460" w:type="pct"/>
            <w:shd w:val="clear" w:color="000000" w:fill="FFFFFF"/>
            <w:vAlign w:val="bottom"/>
          </w:tcPr>
          <w:p w14:paraId="5BB57294" w14:textId="77777777" w:rsidR="00E96B29" w:rsidRPr="00027624" w:rsidRDefault="00E96B29" w:rsidP="00E96B29">
            <w:pPr>
              <w:pStyle w:val="TableTextCentered"/>
              <w:rPr>
                <w:szCs w:val="18"/>
              </w:rPr>
            </w:pPr>
            <w:r w:rsidRPr="00027624">
              <w:rPr>
                <w:rFonts w:cs="Calibri"/>
                <w:szCs w:val="18"/>
              </w:rPr>
              <w:t>17.3</w:t>
            </w:r>
          </w:p>
        </w:tc>
      </w:tr>
      <w:tr w:rsidR="00E96B29" w:rsidRPr="00027624" w14:paraId="11DF6AC2" w14:textId="77777777" w:rsidTr="00E96B29">
        <w:trPr>
          <w:trHeight w:val="270"/>
        </w:trPr>
        <w:tc>
          <w:tcPr>
            <w:tcW w:w="701" w:type="pct"/>
            <w:vAlign w:val="bottom"/>
          </w:tcPr>
          <w:p w14:paraId="334AE226" w14:textId="77777777" w:rsidR="00E96B29" w:rsidRPr="00027624" w:rsidRDefault="00E96B29" w:rsidP="00E96B29">
            <w:pPr>
              <w:pStyle w:val="TableTextLeft"/>
              <w:rPr>
                <w:szCs w:val="18"/>
              </w:rPr>
            </w:pPr>
            <w:r w:rsidRPr="00027624">
              <w:rPr>
                <w:bCs/>
                <w:szCs w:val="18"/>
              </w:rPr>
              <w:t>92</w:t>
            </w:r>
          </w:p>
        </w:tc>
        <w:tc>
          <w:tcPr>
            <w:tcW w:w="429" w:type="pct"/>
            <w:shd w:val="clear" w:color="000000" w:fill="FFFFFF"/>
          </w:tcPr>
          <w:p w14:paraId="5AD29037" w14:textId="77777777" w:rsidR="00E96B29" w:rsidRPr="00027624" w:rsidRDefault="00E96B29" w:rsidP="00E96B29">
            <w:pPr>
              <w:pStyle w:val="TableTextLeft"/>
              <w:rPr>
                <w:b/>
              </w:rPr>
            </w:pPr>
          </w:p>
        </w:tc>
        <w:tc>
          <w:tcPr>
            <w:tcW w:w="427" w:type="pct"/>
            <w:shd w:val="clear" w:color="000000" w:fill="FFFFFF"/>
            <w:vAlign w:val="bottom"/>
          </w:tcPr>
          <w:p w14:paraId="5AF36199"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45F41FB2"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4170C5D5"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1E6251E0"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3CEBBB84"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3A85992F"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32527EEF" w14:textId="77777777" w:rsidR="00E96B29" w:rsidRPr="00027624" w:rsidRDefault="00E96B29" w:rsidP="00E96B29">
            <w:pPr>
              <w:pStyle w:val="TableTextCentered"/>
              <w:rPr>
                <w:szCs w:val="18"/>
              </w:rPr>
            </w:pPr>
            <w:r w:rsidRPr="00027624">
              <w:rPr>
                <w:rFonts w:cs="Calibri"/>
                <w:szCs w:val="18"/>
              </w:rPr>
              <w:t>38.1</w:t>
            </w:r>
          </w:p>
        </w:tc>
        <w:tc>
          <w:tcPr>
            <w:tcW w:w="424" w:type="pct"/>
            <w:shd w:val="clear" w:color="000000" w:fill="FFFFFF"/>
            <w:vAlign w:val="bottom"/>
          </w:tcPr>
          <w:p w14:paraId="21DC6F04" w14:textId="77777777" w:rsidR="00E96B29" w:rsidRPr="00027624" w:rsidRDefault="00E96B29" w:rsidP="00E96B29">
            <w:pPr>
              <w:pStyle w:val="TableTextCentered"/>
              <w:rPr>
                <w:szCs w:val="18"/>
              </w:rPr>
            </w:pPr>
            <w:r w:rsidRPr="00027624">
              <w:rPr>
                <w:rFonts w:cs="Calibri"/>
                <w:szCs w:val="18"/>
              </w:rPr>
              <w:t>18.8</w:t>
            </w:r>
          </w:p>
        </w:tc>
        <w:tc>
          <w:tcPr>
            <w:tcW w:w="460" w:type="pct"/>
            <w:shd w:val="clear" w:color="000000" w:fill="FFFFFF"/>
            <w:vAlign w:val="bottom"/>
          </w:tcPr>
          <w:p w14:paraId="209BBE47" w14:textId="77777777" w:rsidR="00E96B29" w:rsidRPr="00027624" w:rsidRDefault="00E96B29" w:rsidP="00E96B29">
            <w:pPr>
              <w:pStyle w:val="TableTextCentered"/>
              <w:rPr>
                <w:szCs w:val="18"/>
              </w:rPr>
            </w:pPr>
            <w:r w:rsidRPr="00027624">
              <w:rPr>
                <w:rFonts w:cs="Calibri"/>
                <w:szCs w:val="18"/>
              </w:rPr>
              <w:t>18.3</w:t>
            </w:r>
          </w:p>
        </w:tc>
      </w:tr>
      <w:tr w:rsidR="00E96B29" w:rsidRPr="00027624" w14:paraId="0A998756" w14:textId="77777777" w:rsidTr="00E96B29">
        <w:trPr>
          <w:trHeight w:val="270"/>
        </w:trPr>
        <w:tc>
          <w:tcPr>
            <w:tcW w:w="701" w:type="pct"/>
            <w:vAlign w:val="bottom"/>
          </w:tcPr>
          <w:p w14:paraId="430F5A76" w14:textId="77777777" w:rsidR="00E96B29" w:rsidRPr="00027624" w:rsidRDefault="00E96B29" w:rsidP="00E96B29">
            <w:pPr>
              <w:pStyle w:val="TableTextLeft"/>
              <w:rPr>
                <w:szCs w:val="18"/>
              </w:rPr>
            </w:pPr>
            <w:r w:rsidRPr="00027624">
              <w:rPr>
                <w:bCs/>
                <w:szCs w:val="18"/>
              </w:rPr>
              <w:t>93</w:t>
            </w:r>
          </w:p>
        </w:tc>
        <w:tc>
          <w:tcPr>
            <w:tcW w:w="429" w:type="pct"/>
            <w:shd w:val="clear" w:color="000000" w:fill="FFFFFF"/>
          </w:tcPr>
          <w:p w14:paraId="3F0E2D5F" w14:textId="77777777" w:rsidR="00E96B29" w:rsidRPr="00027624" w:rsidRDefault="00E96B29" w:rsidP="00E96B29">
            <w:pPr>
              <w:pStyle w:val="TableTextLeft"/>
              <w:rPr>
                <w:b/>
              </w:rPr>
            </w:pPr>
          </w:p>
        </w:tc>
        <w:tc>
          <w:tcPr>
            <w:tcW w:w="427" w:type="pct"/>
            <w:shd w:val="clear" w:color="000000" w:fill="FFFFFF"/>
            <w:vAlign w:val="bottom"/>
          </w:tcPr>
          <w:p w14:paraId="1DEF5A73"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026DA574"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4371050B" w14:textId="77777777" w:rsidR="00E96B29" w:rsidRPr="00027624" w:rsidRDefault="00E96B29" w:rsidP="00E96B29">
            <w:pPr>
              <w:pStyle w:val="TableTextCentered"/>
              <w:rPr>
                <w:szCs w:val="18"/>
              </w:rPr>
            </w:pPr>
            <w:r w:rsidRPr="00027624">
              <w:t> </w:t>
            </w:r>
          </w:p>
        </w:tc>
        <w:tc>
          <w:tcPr>
            <w:tcW w:w="427" w:type="pct"/>
            <w:shd w:val="clear" w:color="000000" w:fill="FFFFFF"/>
            <w:vAlign w:val="bottom"/>
          </w:tcPr>
          <w:p w14:paraId="61DB4FC9"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3590CC3B"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0EF7B0BA"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4F439960" w14:textId="77777777" w:rsidR="00E96B29" w:rsidRPr="00027624" w:rsidRDefault="00E96B29" w:rsidP="00E96B29">
            <w:pPr>
              <w:pStyle w:val="TableTextCentered"/>
              <w:rPr>
                <w:szCs w:val="18"/>
              </w:rPr>
            </w:pPr>
            <w:r w:rsidRPr="00027624">
              <w:rPr>
                <w:rFonts w:cs="Calibri"/>
                <w:szCs w:val="18"/>
              </w:rPr>
              <w:t>46.9</w:t>
            </w:r>
          </w:p>
        </w:tc>
        <w:tc>
          <w:tcPr>
            <w:tcW w:w="424" w:type="pct"/>
            <w:shd w:val="clear" w:color="000000" w:fill="FFFFFF"/>
            <w:vAlign w:val="bottom"/>
          </w:tcPr>
          <w:p w14:paraId="6F5FCE7D" w14:textId="77777777" w:rsidR="00E96B29" w:rsidRPr="00027624" w:rsidRDefault="00E96B29" w:rsidP="00E96B29">
            <w:pPr>
              <w:pStyle w:val="TableTextCentered"/>
              <w:rPr>
                <w:szCs w:val="18"/>
              </w:rPr>
            </w:pPr>
            <w:r w:rsidRPr="00027624">
              <w:rPr>
                <w:rFonts w:cs="Calibri"/>
                <w:szCs w:val="18"/>
              </w:rPr>
              <w:t>20.5</w:t>
            </w:r>
          </w:p>
        </w:tc>
        <w:tc>
          <w:tcPr>
            <w:tcW w:w="460" w:type="pct"/>
            <w:shd w:val="clear" w:color="000000" w:fill="FFFFFF"/>
            <w:vAlign w:val="bottom"/>
          </w:tcPr>
          <w:p w14:paraId="498190B7" w14:textId="77777777" w:rsidR="00E96B29" w:rsidRPr="00027624" w:rsidRDefault="00E96B29" w:rsidP="00E96B29">
            <w:pPr>
              <w:pStyle w:val="TableTextCentered"/>
              <w:rPr>
                <w:szCs w:val="18"/>
              </w:rPr>
            </w:pPr>
            <w:r w:rsidRPr="00027624">
              <w:rPr>
                <w:rFonts w:cs="Calibri"/>
                <w:szCs w:val="18"/>
              </w:rPr>
              <w:t>19.4</w:t>
            </w:r>
          </w:p>
        </w:tc>
      </w:tr>
      <w:tr w:rsidR="00E96B29" w:rsidRPr="00027624" w14:paraId="557BA05F" w14:textId="77777777" w:rsidTr="00E96B29">
        <w:trPr>
          <w:trHeight w:val="270"/>
        </w:trPr>
        <w:tc>
          <w:tcPr>
            <w:tcW w:w="701" w:type="pct"/>
            <w:vAlign w:val="bottom"/>
          </w:tcPr>
          <w:p w14:paraId="3EE9B354" w14:textId="77777777" w:rsidR="00E96B29" w:rsidRPr="00027624" w:rsidRDefault="00E96B29" w:rsidP="00E96B29">
            <w:pPr>
              <w:pStyle w:val="TableTextLeft"/>
              <w:rPr>
                <w:szCs w:val="18"/>
              </w:rPr>
            </w:pPr>
            <w:r w:rsidRPr="00027624">
              <w:rPr>
                <w:bCs/>
                <w:szCs w:val="18"/>
              </w:rPr>
              <w:t>94</w:t>
            </w:r>
          </w:p>
        </w:tc>
        <w:tc>
          <w:tcPr>
            <w:tcW w:w="429" w:type="pct"/>
            <w:shd w:val="clear" w:color="000000" w:fill="FFFFFF"/>
          </w:tcPr>
          <w:p w14:paraId="26916320" w14:textId="77777777" w:rsidR="00E96B29" w:rsidRPr="00027624" w:rsidRDefault="00E96B29" w:rsidP="00E96B29">
            <w:pPr>
              <w:pStyle w:val="TableTextLeft"/>
              <w:rPr>
                <w:b/>
              </w:rPr>
            </w:pPr>
          </w:p>
        </w:tc>
        <w:tc>
          <w:tcPr>
            <w:tcW w:w="427" w:type="pct"/>
            <w:shd w:val="clear" w:color="000000" w:fill="FFFFFF"/>
            <w:vAlign w:val="bottom"/>
          </w:tcPr>
          <w:p w14:paraId="329492A6"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08CAC3D9"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65C811A1" w14:textId="77777777" w:rsidR="00E96B29" w:rsidRPr="00027624" w:rsidRDefault="00E96B29" w:rsidP="00E96B29">
            <w:pPr>
              <w:pStyle w:val="TableTextCentered"/>
              <w:rPr>
                <w:szCs w:val="18"/>
              </w:rPr>
            </w:pPr>
            <w:r w:rsidRPr="00027624">
              <w:t> </w:t>
            </w:r>
          </w:p>
        </w:tc>
        <w:tc>
          <w:tcPr>
            <w:tcW w:w="427" w:type="pct"/>
            <w:shd w:val="clear" w:color="000000" w:fill="FFFFFF"/>
            <w:vAlign w:val="bottom"/>
          </w:tcPr>
          <w:p w14:paraId="4759375D"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44ADB783"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5765F66E"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7DABABA1" w14:textId="77777777" w:rsidR="00E96B29" w:rsidRPr="00027624" w:rsidRDefault="00E96B29" w:rsidP="00E96B29">
            <w:pPr>
              <w:pStyle w:val="TableTextCentered"/>
              <w:rPr>
                <w:szCs w:val="18"/>
              </w:rPr>
            </w:pPr>
            <w:r w:rsidRPr="00027624">
              <w:rPr>
                <w:rFonts w:cs="Calibri"/>
                <w:szCs w:val="18"/>
              </w:rPr>
              <w:t>62.4</w:t>
            </w:r>
          </w:p>
        </w:tc>
        <w:tc>
          <w:tcPr>
            <w:tcW w:w="424" w:type="pct"/>
            <w:shd w:val="clear" w:color="000000" w:fill="FFFFFF"/>
            <w:vAlign w:val="bottom"/>
          </w:tcPr>
          <w:p w14:paraId="3DE43F3E" w14:textId="77777777" w:rsidR="00E96B29" w:rsidRPr="00027624" w:rsidRDefault="00E96B29" w:rsidP="00E96B29">
            <w:pPr>
              <w:pStyle w:val="TableTextCentered"/>
              <w:rPr>
                <w:szCs w:val="18"/>
              </w:rPr>
            </w:pPr>
            <w:r w:rsidRPr="00027624">
              <w:rPr>
                <w:rFonts w:cs="Calibri"/>
                <w:szCs w:val="18"/>
              </w:rPr>
              <w:t>22.7</w:t>
            </w:r>
          </w:p>
        </w:tc>
        <w:tc>
          <w:tcPr>
            <w:tcW w:w="460" w:type="pct"/>
            <w:shd w:val="clear" w:color="000000" w:fill="FFFFFF"/>
            <w:vAlign w:val="bottom"/>
          </w:tcPr>
          <w:p w14:paraId="785AFBD2" w14:textId="77777777" w:rsidR="00E96B29" w:rsidRPr="00027624" w:rsidRDefault="00E96B29" w:rsidP="00E96B29">
            <w:pPr>
              <w:pStyle w:val="TableTextCentered"/>
              <w:rPr>
                <w:szCs w:val="18"/>
              </w:rPr>
            </w:pPr>
            <w:r w:rsidRPr="00027624">
              <w:rPr>
                <w:rFonts w:cs="Calibri"/>
                <w:szCs w:val="18"/>
              </w:rPr>
              <w:t>20.8</w:t>
            </w:r>
          </w:p>
        </w:tc>
      </w:tr>
      <w:tr w:rsidR="00E96B29" w:rsidRPr="00027624" w14:paraId="186C8A5F" w14:textId="77777777" w:rsidTr="00E96B29">
        <w:trPr>
          <w:trHeight w:val="270"/>
        </w:trPr>
        <w:tc>
          <w:tcPr>
            <w:tcW w:w="701" w:type="pct"/>
            <w:vAlign w:val="bottom"/>
          </w:tcPr>
          <w:p w14:paraId="02C44ABC" w14:textId="77777777" w:rsidR="00E96B29" w:rsidRPr="00027624" w:rsidRDefault="00E96B29" w:rsidP="00E96B29">
            <w:pPr>
              <w:pStyle w:val="TableTextLeft"/>
              <w:rPr>
                <w:szCs w:val="18"/>
              </w:rPr>
            </w:pPr>
            <w:r w:rsidRPr="00027624">
              <w:rPr>
                <w:bCs/>
                <w:szCs w:val="18"/>
              </w:rPr>
              <w:t>95</w:t>
            </w:r>
          </w:p>
        </w:tc>
        <w:tc>
          <w:tcPr>
            <w:tcW w:w="429" w:type="pct"/>
            <w:shd w:val="clear" w:color="000000" w:fill="FFFFFF"/>
          </w:tcPr>
          <w:p w14:paraId="3F73C931" w14:textId="77777777" w:rsidR="00E96B29" w:rsidRPr="00027624" w:rsidRDefault="00E96B29" w:rsidP="00E96B29">
            <w:pPr>
              <w:pStyle w:val="TableTextLeft"/>
              <w:rPr>
                <w:b/>
              </w:rPr>
            </w:pPr>
          </w:p>
        </w:tc>
        <w:tc>
          <w:tcPr>
            <w:tcW w:w="427" w:type="pct"/>
            <w:shd w:val="clear" w:color="000000" w:fill="FFFFFF"/>
            <w:vAlign w:val="bottom"/>
          </w:tcPr>
          <w:p w14:paraId="57FA2DCD"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33BBE984" w14:textId="77777777" w:rsidR="00E96B29" w:rsidRPr="00027624" w:rsidRDefault="00E96B29" w:rsidP="00E96B29">
            <w:pPr>
              <w:pStyle w:val="TableTextCentered"/>
              <w:rPr>
                <w:szCs w:val="18"/>
              </w:rPr>
            </w:pPr>
            <w:r w:rsidRPr="00027624">
              <w:t> </w:t>
            </w:r>
          </w:p>
        </w:tc>
        <w:tc>
          <w:tcPr>
            <w:tcW w:w="427" w:type="pct"/>
            <w:shd w:val="clear" w:color="000000" w:fill="FFFFFF"/>
            <w:vAlign w:val="bottom"/>
          </w:tcPr>
          <w:p w14:paraId="4AFA30D6" w14:textId="77777777" w:rsidR="00E96B29" w:rsidRPr="00027624" w:rsidRDefault="00E96B29" w:rsidP="00E96B29">
            <w:pPr>
              <w:pStyle w:val="TableTextCentered"/>
              <w:rPr>
                <w:szCs w:val="18"/>
              </w:rPr>
            </w:pPr>
            <w:r w:rsidRPr="00027624">
              <w:rPr>
                <w:rFonts w:cs="Calibri"/>
                <w:b/>
                <w:szCs w:val="18"/>
              </w:rPr>
              <w:t> </w:t>
            </w:r>
          </w:p>
        </w:tc>
        <w:tc>
          <w:tcPr>
            <w:tcW w:w="427" w:type="pct"/>
            <w:shd w:val="clear" w:color="000000" w:fill="FFFFFF"/>
            <w:vAlign w:val="bottom"/>
          </w:tcPr>
          <w:p w14:paraId="7B30714F"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0C77CF4D"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6B586A27"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39ED4850" w14:textId="77777777" w:rsidR="00E96B29" w:rsidRPr="00027624" w:rsidRDefault="00E96B29" w:rsidP="00E96B29">
            <w:pPr>
              <w:pStyle w:val="TableTextCentered"/>
              <w:rPr>
                <w:szCs w:val="18"/>
              </w:rPr>
            </w:pPr>
            <w:r w:rsidRPr="00027624">
              <w:rPr>
                <w:rFonts w:cs="Calibri"/>
                <w:szCs w:val="18"/>
              </w:rPr>
              <w:t>100</w:t>
            </w:r>
          </w:p>
        </w:tc>
        <w:tc>
          <w:tcPr>
            <w:tcW w:w="424" w:type="pct"/>
            <w:shd w:val="clear" w:color="000000" w:fill="FFFFFF"/>
            <w:vAlign w:val="bottom"/>
          </w:tcPr>
          <w:p w14:paraId="5EFBFF80" w14:textId="77777777" w:rsidR="00E96B29" w:rsidRPr="00027624" w:rsidRDefault="00E96B29" w:rsidP="00E96B29">
            <w:pPr>
              <w:pStyle w:val="TableTextCentered"/>
              <w:rPr>
                <w:szCs w:val="18"/>
              </w:rPr>
            </w:pPr>
            <w:r w:rsidRPr="00027624">
              <w:rPr>
                <w:rFonts w:cs="Calibri"/>
                <w:szCs w:val="18"/>
              </w:rPr>
              <w:t>25.5</w:t>
            </w:r>
          </w:p>
        </w:tc>
        <w:tc>
          <w:tcPr>
            <w:tcW w:w="460" w:type="pct"/>
            <w:shd w:val="clear" w:color="000000" w:fill="FFFFFF"/>
            <w:vAlign w:val="bottom"/>
          </w:tcPr>
          <w:p w14:paraId="0485B48F" w14:textId="77777777" w:rsidR="00E96B29" w:rsidRPr="00027624" w:rsidRDefault="00E96B29" w:rsidP="00E96B29">
            <w:pPr>
              <w:pStyle w:val="TableTextCentered"/>
              <w:rPr>
                <w:szCs w:val="18"/>
              </w:rPr>
            </w:pPr>
            <w:r w:rsidRPr="00027624">
              <w:rPr>
                <w:rFonts w:cs="Calibri"/>
                <w:szCs w:val="18"/>
              </w:rPr>
              <w:t>22.6</w:t>
            </w:r>
          </w:p>
        </w:tc>
      </w:tr>
      <w:tr w:rsidR="00E96B29" w:rsidRPr="00027624" w14:paraId="35F0BEE0" w14:textId="77777777" w:rsidTr="00E96B29">
        <w:trPr>
          <w:trHeight w:val="270"/>
        </w:trPr>
        <w:tc>
          <w:tcPr>
            <w:tcW w:w="701" w:type="pct"/>
            <w:vAlign w:val="bottom"/>
          </w:tcPr>
          <w:p w14:paraId="17052FBD" w14:textId="77777777" w:rsidR="00E96B29" w:rsidRPr="00027624" w:rsidRDefault="00E96B29" w:rsidP="00E96B29">
            <w:pPr>
              <w:pStyle w:val="TableTextLeft"/>
              <w:rPr>
                <w:szCs w:val="18"/>
              </w:rPr>
            </w:pPr>
            <w:r w:rsidRPr="00027624">
              <w:rPr>
                <w:bCs/>
                <w:szCs w:val="18"/>
              </w:rPr>
              <w:t>96</w:t>
            </w:r>
          </w:p>
        </w:tc>
        <w:tc>
          <w:tcPr>
            <w:tcW w:w="429" w:type="pct"/>
            <w:shd w:val="clear" w:color="000000" w:fill="FFFFFF"/>
          </w:tcPr>
          <w:p w14:paraId="3D05153D" w14:textId="77777777" w:rsidR="00E96B29" w:rsidRPr="00027624" w:rsidRDefault="00E96B29" w:rsidP="00E96B29">
            <w:pPr>
              <w:pStyle w:val="TableTextLeft"/>
              <w:rPr>
                <w:b/>
              </w:rPr>
            </w:pPr>
          </w:p>
        </w:tc>
        <w:tc>
          <w:tcPr>
            <w:tcW w:w="427" w:type="pct"/>
            <w:shd w:val="clear" w:color="000000" w:fill="FFFFFF"/>
            <w:vAlign w:val="bottom"/>
          </w:tcPr>
          <w:p w14:paraId="070CAC1E"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0C339E0B" w14:textId="77777777" w:rsidR="00E96B29" w:rsidRPr="00027624" w:rsidRDefault="00E96B29" w:rsidP="00E96B29">
            <w:pPr>
              <w:pStyle w:val="TableTextCentered"/>
              <w:rPr>
                <w:szCs w:val="18"/>
              </w:rPr>
            </w:pPr>
            <w:r w:rsidRPr="00027624">
              <w:t> </w:t>
            </w:r>
          </w:p>
        </w:tc>
        <w:tc>
          <w:tcPr>
            <w:tcW w:w="427" w:type="pct"/>
            <w:shd w:val="clear" w:color="000000" w:fill="FFFFFF"/>
            <w:vAlign w:val="bottom"/>
          </w:tcPr>
          <w:p w14:paraId="3342C6BE" w14:textId="77777777" w:rsidR="00E96B29" w:rsidRPr="00027624" w:rsidRDefault="00E96B29" w:rsidP="00E96B29">
            <w:pPr>
              <w:pStyle w:val="TableTextCentered"/>
              <w:rPr>
                <w:szCs w:val="18"/>
              </w:rPr>
            </w:pPr>
            <w:r w:rsidRPr="00027624">
              <w:rPr>
                <w:rFonts w:cs="Calibri"/>
                <w:b/>
                <w:szCs w:val="18"/>
              </w:rPr>
              <w:t> </w:t>
            </w:r>
          </w:p>
        </w:tc>
        <w:tc>
          <w:tcPr>
            <w:tcW w:w="427" w:type="pct"/>
            <w:shd w:val="clear" w:color="000000" w:fill="FFFFFF"/>
            <w:vAlign w:val="bottom"/>
          </w:tcPr>
          <w:p w14:paraId="23CF2A16"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5D8E5745"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38B6E4A2" w14:textId="77777777" w:rsidR="00E96B29" w:rsidRPr="00027624" w:rsidRDefault="00E96B29" w:rsidP="00E96B29">
            <w:pPr>
              <w:pStyle w:val="TableTextCentered"/>
              <w:rPr>
                <w:szCs w:val="18"/>
              </w:rPr>
            </w:pPr>
            <w:r w:rsidRPr="00027624">
              <w:rPr>
                <w:rFonts w:cs="Calibri"/>
                <w:szCs w:val="18"/>
              </w:rPr>
              <w:t> </w:t>
            </w:r>
          </w:p>
        </w:tc>
        <w:tc>
          <w:tcPr>
            <w:tcW w:w="424" w:type="pct"/>
            <w:shd w:val="clear" w:color="000000" w:fill="FFFFFF"/>
            <w:vAlign w:val="bottom"/>
          </w:tcPr>
          <w:p w14:paraId="5B6DEA46"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22C16DF3" w14:textId="77777777" w:rsidR="00E96B29" w:rsidRPr="00027624" w:rsidRDefault="00E96B29" w:rsidP="00E96B29">
            <w:pPr>
              <w:pStyle w:val="TableTextCentered"/>
              <w:rPr>
                <w:szCs w:val="18"/>
              </w:rPr>
            </w:pPr>
            <w:r w:rsidRPr="00027624">
              <w:rPr>
                <w:rFonts w:cs="Calibri"/>
                <w:szCs w:val="18"/>
              </w:rPr>
              <w:t>29.2</w:t>
            </w:r>
          </w:p>
        </w:tc>
        <w:tc>
          <w:tcPr>
            <w:tcW w:w="460" w:type="pct"/>
            <w:shd w:val="clear" w:color="000000" w:fill="FFFFFF"/>
            <w:vAlign w:val="bottom"/>
          </w:tcPr>
          <w:p w14:paraId="71A3DA0B" w14:textId="77777777" w:rsidR="00E96B29" w:rsidRPr="00027624" w:rsidRDefault="00E96B29" w:rsidP="00E96B29">
            <w:pPr>
              <w:pStyle w:val="TableTextCentered"/>
              <w:rPr>
                <w:szCs w:val="18"/>
              </w:rPr>
            </w:pPr>
            <w:r w:rsidRPr="00027624">
              <w:rPr>
                <w:rFonts w:cs="Calibri"/>
                <w:szCs w:val="18"/>
              </w:rPr>
              <w:t>24.7</w:t>
            </w:r>
          </w:p>
        </w:tc>
      </w:tr>
      <w:tr w:rsidR="00E96B29" w:rsidRPr="00027624" w14:paraId="54029467" w14:textId="77777777" w:rsidTr="00E96B29">
        <w:trPr>
          <w:trHeight w:val="270"/>
        </w:trPr>
        <w:tc>
          <w:tcPr>
            <w:tcW w:w="701" w:type="pct"/>
            <w:vAlign w:val="bottom"/>
          </w:tcPr>
          <w:p w14:paraId="6FD759FC" w14:textId="77777777" w:rsidR="00E96B29" w:rsidRPr="00027624" w:rsidRDefault="00E96B29" w:rsidP="00E96B29">
            <w:pPr>
              <w:pStyle w:val="TableTextLeft"/>
              <w:rPr>
                <w:szCs w:val="18"/>
              </w:rPr>
            </w:pPr>
            <w:r w:rsidRPr="00027624">
              <w:rPr>
                <w:bCs/>
                <w:szCs w:val="18"/>
              </w:rPr>
              <w:t>97</w:t>
            </w:r>
          </w:p>
        </w:tc>
        <w:tc>
          <w:tcPr>
            <w:tcW w:w="429" w:type="pct"/>
            <w:shd w:val="clear" w:color="000000" w:fill="FFFFFF"/>
          </w:tcPr>
          <w:p w14:paraId="33A404BF" w14:textId="77777777" w:rsidR="00E96B29" w:rsidRPr="00027624" w:rsidRDefault="00E96B29" w:rsidP="00E96B29">
            <w:pPr>
              <w:pStyle w:val="TableTextLeft"/>
              <w:rPr>
                <w:b/>
              </w:rPr>
            </w:pPr>
          </w:p>
        </w:tc>
        <w:tc>
          <w:tcPr>
            <w:tcW w:w="427" w:type="pct"/>
            <w:shd w:val="clear" w:color="000000" w:fill="FFFFFF"/>
            <w:vAlign w:val="bottom"/>
          </w:tcPr>
          <w:p w14:paraId="3656D1F4"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3BC14AD1" w14:textId="77777777" w:rsidR="00E96B29" w:rsidRPr="00027624" w:rsidRDefault="00E96B29" w:rsidP="00E96B29">
            <w:pPr>
              <w:pStyle w:val="TableTextCentered"/>
              <w:rPr>
                <w:szCs w:val="18"/>
              </w:rPr>
            </w:pPr>
            <w:r w:rsidRPr="00027624">
              <w:t> </w:t>
            </w:r>
          </w:p>
        </w:tc>
        <w:tc>
          <w:tcPr>
            <w:tcW w:w="427" w:type="pct"/>
            <w:shd w:val="clear" w:color="000000" w:fill="FFFFFF"/>
            <w:vAlign w:val="bottom"/>
          </w:tcPr>
          <w:p w14:paraId="01601137" w14:textId="77777777" w:rsidR="00E96B29" w:rsidRPr="00027624" w:rsidRDefault="00E96B29" w:rsidP="00E96B29">
            <w:pPr>
              <w:pStyle w:val="TableTextCentered"/>
              <w:rPr>
                <w:szCs w:val="18"/>
              </w:rPr>
            </w:pPr>
            <w:r w:rsidRPr="00027624">
              <w:rPr>
                <w:rFonts w:cs="Calibri"/>
                <w:b/>
                <w:szCs w:val="18"/>
              </w:rPr>
              <w:t> </w:t>
            </w:r>
          </w:p>
        </w:tc>
        <w:tc>
          <w:tcPr>
            <w:tcW w:w="427" w:type="pct"/>
            <w:shd w:val="clear" w:color="000000" w:fill="FFFFFF"/>
            <w:vAlign w:val="bottom"/>
          </w:tcPr>
          <w:p w14:paraId="5D8123ED"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3E4C16BD"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08111539" w14:textId="77777777" w:rsidR="00E96B29" w:rsidRPr="00027624" w:rsidRDefault="00E96B29" w:rsidP="00E96B29">
            <w:pPr>
              <w:pStyle w:val="TableTextCentered"/>
              <w:rPr>
                <w:szCs w:val="18"/>
              </w:rPr>
            </w:pPr>
            <w:r w:rsidRPr="00027624">
              <w:rPr>
                <w:rFonts w:cs="Calibri"/>
                <w:szCs w:val="18"/>
              </w:rPr>
              <w:t> </w:t>
            </w:r>
          </w:p>
        </w:tc>
        <w:tc>
          <w:tcPr>
            <w:tcW w:w="424" w:type="pct"/>
            <w:shd w:val="clear" w:color="000000" w:fill="FFFFFF"/>
            <w:vAlign w:val="bottom"/>
          </w:tcPr>
          <w:p w14:paraId="1267E6E7"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3711F26D" w14:textId="77777777" w:rsidR="00E96B29" w:rsidRPr="00027624" w:rsidRDefault="00E96B29" w:rsidP="00E96B29">
            <w:pPr>
              <w:pStyle w:val="TableTextCentered"/>
              <w:rPr>
                <w:szCs w:val="18"/>
              </w:rPr>
            </w:pPr>
            <w:r w:rsidRPr="00027624">
              <w:rPr>
                <w:rFonts w:cs="Calibri"/>
                <w:szCs w:val="18"/>
              </w:rPr>
              <w:t>34.5</w:t>
            </w:r>
          </w:p>
        </w:tc>
        <w:tc>
          <w:tcPr>
            <w:tcW w:w="460" w:type="pct"/>
            <w:shd w:val="clear" w:color="000000" w:fill="FFFFFF"/>
            <w:vAlign w:val="bottom"/>
          </w:tcPr>
          <w:p w14:paraId="468E1684" w14:textId="77777777" w:rsidR="00E96B29" w:rsidRPr="00027624" w:rsidRDefault="00E96B29" w:rsidP="00E96B29">
            <w:pPr>
              <w:pStyle w:val="TableTextCentered"/>
              <w:rPr>
                <w:szCs w:val="18"/>
              </w:rPr>
            </w:pPr>
            <w:r w:rsidRPr="00027624">
              <w:rPr>
                <w:rFonts w:cs="Calibri"/>
                <w:szCs w:val="18"/>
              </w:rPr>
              <w:t>27.7</w:t>
            </w:r>
          </w:p>
        </w:tc>
      </w:tr>
      <w:tr w:rsidR="00E96B29" w:rsidRPr="00027624" w14:paraId="2CA6855D" w14:textId="77777777" w:rsidTr="00E96B29">
        <w:trPr>
          <w:trHeight w:val="270"/>
        </w:trPr>
        <w:tc>
          <w:tcPr>
            <w:tcW w:w="701" w:type="pct"/>
            <w:vAlign w:val="bottom"/>
          </w:tcPr>
          <w:p w14:paraId="02041414" w14:textId="77777777" w:rsidR="00E96B29" w:rsidRPr="00027624" w:rsidRDefault="00E96B29" w:rsidP="00E96B29">
            <w:pPr>
              <w:pStyle w:val="TableTextLeft"/>
              <w:rPr>
                <w:szCs w:val="18"/>
              </w:rPr>
            </w:pPr>
            <w:r w:rsidRPr="00027624">
              <w:rPr>
                <w:bCs/>
                <w:szCs w:val="18"/>
              </w:rPr>
              <w:t>98</w:t>
            </w:r>
          </w:p>
        </w:tc>
        <w:tc>
          <w:tcPr>
            <w:tcW w:w="429" w:type="pct"/>
            <w:shd w:val="clear" w:color="000000" w:fill="FFFFFF"/>
          </w:tcPr>
          <w:p w14:paraId="718302E1" w14:textId="77777777" w:rsidR="00E96B29" w:rsidRPr="00027624" w:rsidRDefault="00E96B29" w:rsidP="00E96B29">
            <w:pPr>
              <w:pStyle w:val="TableTextLeft"/>
              <w:rPr>
                <w:b/>
              </w:rPr>
            </w:pPr>
          </w:p>
        </w:tc>
        <w:tc>
          <w:tcPr>
            <w:tcW w:w="427" w:type="pct"/>
            <w:shd w:val="clear" w:color="000000" w:fill="FFFFFF"/>
            <w:vAlign w:val="bottom"/>
          </w:tcPr>
          <w:p w14:paraId="4A1253BF"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3C23A76B" w14:textId="77777777" w:rsidR="00E96B29" w:rsidRPr="00027624" w:rsidRDefault="00E96B29" w:rsidP="00E96B29">
            <w:pPr>
              <w:pStyle w:val="TableTextCentered"/>
              <w:rPr>
                <w:szCs w:val="18"/>
              </w:rPr>
            </w:pPr>
            <w:r w:rsidRPr="00027624">
              <w:t> </w:t>
            </w:r>
          </w:p>
        </w:tc>
        <w:tc>
          <w:tcPr>
            <w:tcW w:w="427" w:type="pct"/>
            <w:shd w:val="clear" w:color="000000" w:fill="FFFFFF"/>
            <w:vAlign w:val="bottom"/>
          </w:tcPr>
          <w:p w14:paraId="3EDA9654" w14:textId="77777777" w:rsidR="00E96B29" w:rsidRPr="00027624" w:rsidRDefault="00E96B29" w:rsidP="00E96B29">
            <w:pPr>
              <w:pStyle w:val="TableTextCentered"/>
              <w:rPr>
                <w:szCs w:val="18"/>
              </w:rPr>
            </w:pPr>
            <w:r w:rsidRPr="00027624">
              <w:rPr>
                <w:rFonts w:cs="Calibri"/>
                <w:b/>
                <w:szCs w:val="18"/>
              </w:rPr>
              <w:t> </w:t>
            </w:r>
          </w:p>
        </w:tc>
        <w:tc>
          <w:tcPr>
            <w:tcW w:w="427" w:type="pct"/>
            <w:shd w:val="clear" w:color="000000" w:fill="FFFFFF"/>
            <w:vAlign w:val="bottom"/>
          </w:tcPr>
          <w:p w14:paraId="62C5E1EA"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5C78C032"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1F72377A" w14:textId="77777777" w:rsidR="00E96B29" w:rsidRPr="00027624" w:rsidRDefault="00E96B29" w:rsidP="00E96B29">
            <w:pPr>
              <w:pStyle w:val="TableTextCentered"/>
              <w:rPr>
                <w:szCs w:val="18"/>
              </w:rPr>
            </w:pPr>
            <w:r w:rsidRPr="00027624">
              <w:rPr>
                <w:rFonts w:cs="Calibri"/>
                <w:szCs w:val="18"/>
              </w:rPr>
              <w:t> </w:t>
            </w:r>
          </w:p>
        </w:tc>
        <w:tc>
          <w:tcPr>
            <w:tcW w:w="424" w:type="pct"/>
            <w:shd w:val="clear" w:color="000000" w:fill="FFFFFF"/>
            <w:vAlign w:val="bottom"/>
          </w:tcPr>
          <w:p w14:paraId="7BC6F9B7"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1B66DCBD" w14:textId="77777777" w:rsidR="00E96B29" w:rsidRPr="00027624" w:rsidRDefault="00E96B29" w:rsidP="00E96B29">
            <w:pPr>
              <w:pStyle w:val="TableTextCentered"/>
              <w:rPr>
                <w:szCs w:val="18"/>
              </w:rPr>
            </w:pPr>
            <w:r w:rsidRPr="00027624">
              <w:rPr>
                <w:rFonts w:cs="Calibri"/>
                <w:szCs w:val="18"/>
              </w:rPr>
              <w:t>42.8</w:t>
            </w:r>
          </w:p>
        </w:tc>
        <w:tc>
          <w:tcPr>
            <w:tcW w:w="460" w:type="pct"/>
            <w:shd w:val="clear" w:color="000000" w:fill="FFFFFF"/>
            <w:vAlign w:val="bottom"/>
          </w:tcPr>
          <w:p w14:paraId="542F10DB" w14:textId="77777777" w:rsidR="00E96B29" w:rsidRPr="00027624" w:rsidRDefault="00E96B29" w:rsidP="00E96B29">
            <w:pPr>
              <w:pStyle w:val="TableTextCentered"/>
              <w:rPr>
                <w:szCs w:val="18"/>
              </w:rPr>
            </w:pPr>
            <w:r w:rsidRPr="00027624">
              <w:rPr>
                <w:rFonts w:cs="Calibri"/>
                <w:szCs w:val="18"/>
              </w:rPr>
              <w:t>35.6</w:t>
            </w:r>
          </w:p>
        </w:tc>
      </w:tr>
      <w:tr w:rsidR="00E96B29" w:rsidRPr="00027624" w14:paraId="4365A798" w14:textId="77777777" w:rsidTr="00E96B29">
        <w:trPr>
          <w:trHeight w:val="270"/>
        </w:trPr>
        <w:tc>
          <w:tcPr>
            <w:tcW w:w="701" w:type="pct"/>
            <w:vAlign w:val="bottom"/>
          </w:tcPr>
          <w:p w14:paraId="0B571888" w14:textId="77777777" w:rsidR="00E96B29" w:rsidRPr="00027624" w:rsidRDefault="00E96B29" w:rsidP="00E96B29">
            <w:pPr>
              <w:pStyle w:val="TableTextLeft"/>
              <w:rPr>
                <w:bCs/>
                <w:szCs w:val="18"/>
              </w:rPr>
            </w:pPr>
            <w:r w:rsidRPr="00027624">
              <w:rPr>
                <w:bCs/>
                <w:szCs w:val="18"/>
              </w:rPr>
              <w:t>99</w:t>
            </w:r>
          </w:p>
        </w:tc>
        <w:tc>
          <w:tcPr>
            <w:tcW w:w="429" w:type="pct"/>
            <w:shd w:val="clear" w:color="000000" w:fill="FFFFFF"/>
          </w:tcPr>
          <w:p w14:paraId="2754C16B" w14:textId="77777777" w:rsidR="00E96B29" w:rsidRPr="00027624" w:rsidRDefault="00E96B29" w:rsidP="00E96B29">
            <w:pPr>
              <w:pStyle w:val="TableTextLeft"/>
              <w:rPr>
                <w:b/>
              </w:rPr>
            </w:pPr>
          </w:p>
        </w:tc>
        <w:tc>
          <w:tcPr>
            <w:tcW w:w="427" w:type="pct"/>
            <w:shd w:val="clear" w:color="000000" w:fill="FFFFFF"/>
            <w:vAlign w:val="bottom"/>
          </w:tcPr>
          <w:p w14:paraId="798CFF8F" w14:textId="77777777" w:rsidR="00E96B29" w:rsidRPr="00027624" w:rsidRDefault="00E96B29" w:rsidP="00E96B29">
            <w:pPr>
              <w:pStyle w:val="TableTextCentered"/>
              <w:rPr>
                <w:szCs w:val="18"/>
              </w:rPr>
            </w:pPr>
            <w:r w:rsidRPr="00027624">
              <w:rPr>
                <w:rFonts w:cs="Calibri"/>
                <w:b/>
                <w:szCs w:val="18"/>
              </w:rPr>
              <w:t> </w:t>
            </w:r>
          </w:p>
        </w:tc>
        <w:tc>
          <w:tcPr>
            <w:tcW w:w="427" w:type="pct"/>
            <w:shd w:val="clear" w:color="000000" w:fill="FFFFFF"/>
            <w:vAlign w:val="bottom"/>
          </w:tcPr>
          <w:p w14:paraId="3134FB0D" w14:textId="77777777" w:rsidR="00E96B29" w:rsidRPr="00027624" w:rsidRDefault="00E96B29" w:rsidP="00E96B29">
            <w:pPr>
              <w:pStyle w:val="TableTextCentered"/>
              <w:rPr>
                <w:szCs w:val="18"/>
              </w:rPr>
            </w:pPr>
            <w:r w:rsidRPr="00027624">
              <w:rPr>
                <w:rFonts w:cs="Calibri"/>
                <w:b/>
                <w:szCs w:val="18"/>
              </w:rPr>
              <w:t> </w:t>
            </w:r>
          </w:p>
        </w:tc>
        <w:tc>
          <w:tcPr>
            <w:tcW w:w="427" w:type="pct"/>
            <w:shd w:val="clear" w:color="000000" w:fill="FFFFFF"/>
            <w:vAlign w:val="bottom"/>
          </w:tcPr>
          <w:p w14:paraId="588FDCFD" w14:textId="77777777" w:rsidR="00E96B29" w:rsidRPr="00027624" w:rsidRDefault="00E96B29" w:rsidP="00E96B29">
            <w:pPr>
              <w:pStyle w:val="TableTextCentered"/>
              <w:rPr>
                <w:szCs w:val="18"/>
              </w:rPr>
            </w:pPr>
            <w:r w:rsidRPr="00027624">
              <w:rPr>
                <w:rFonts w:cs="Calibri"/>
                <w:b/>
                <w:szCs w:val="18"/>
              </w:rPr>
              <w:t> </w:t>
            </w:r>
          </w:p>
        </w:tc>
        <w:tc>
          <w:tcPr>
            <w:tcW w:w="427" w:type="pct"/>
            <w:shd w:val="clear" w:color="000000" w:fill="FFFFFF"/>
            <w:vAlign w:val="bottom"/>
          </w:tcPr>
          <w:p w14:paraId="221DC9C0" w14:textId="77777777" w:rsidR="00E96B29" w:rsidRPr="00027624" w:rsidRDefault="00E96B29" w:rsidP="00E96B29">
            <w:pPr>
              <w:pStyle w:val="TableTextCentered"/>
              <w:rPr>
                <w:szCs w:val="18"/>
              </w:rPr>
            </w:pPr>
            <w:r w:rsidRPr="00027624">
              <w:rPr>
                <w:b/>
              </w:rPr>
              <w:t> </w:t>
            </w:r>
          </w:p>
        </w:tc>
        <w:tc>
          <w:tcPr>
            <w:tcW w:w="427" w:type="pct"/>
            <w:shd w:val="clear" w:color="000000" w:fill="FFFFFF"/>
            <w:vAlign w:val="bottom"/>
          </w:tcPr>
          <w:p w14:paraId="6BD19D8B" w14:textId="77777777" w:rsidR="00E96B29" w:rsidRPr="00027624" w:rsidRDefault="00E96B29" w:rsidP="00E96B29">
            <w:pPr>
              <w:pStyle w:val="TableTextCentered"/>
              <w:rPr>
                <w:szCs w:val="18"/>
              </w:rPr>
            </w:pPr>
            <w:r w:rsidRPr="00027624">
              <w:rPr>
                <w:rFonts w:cs="Calibri"/>
                <w:szCs w:val="18"/>
              </w:rPr>
              <w:t> </w:t>
            </w:r>
          </w:p>
        </w:tc>
        <w:tc>
          <w:tcPr>
            <w:tcW w:w="427" w:type="pct"/>
            <w:shd w:val="clear" w:color="000000" w:fill="FFFFFF"/>
            <w:vAlign w:val="bottom"/>
          </w:tcPr>
          <w:p w14:paraId="6395D2AF" w14:textId="77777777" w:rsidR="00E96B29" w:rsidRPr="00027624" w:rsidRDefault="00E96B29" w:rsidP="00E96B29">
            <w:pPr>
              <w:pStyle w:val="TableTextCentered"/>
              <w:rPr>
                <w:szCs w:val="18"/>
              </w:rPr>
            </w:pPr>
            <w:r w:rsidRPr="00027624">
              <w:rPr>
                <w:rFonts w:cs="Calibri"/>
                <w:szCs w:val="18"/>
              </w:rPr>
              <w:t> </w:t>
            </w:r>
          </w:p>
        </w:tc>
        <w:tc>
          <w:tcPr>
            <w:tcW w:w="424" w:type="pct"/>
            <w:shd w:val="clear" w:color="000000" w:fill="FFFFFF"/>
            <w:vAlign w:val="bottom"/>
          </w:tcPr>
          <w:p w14:paraId="05C060B7" w14:textId="77777777" w:rsidR="00E96B29" w:rsidRPr="00027624" w:rsidRDefault="00E96B29" w:rsidP="00E96B29">
            <w:pPr>
              <w:pStyle w:val="TableTextCentered"/>
              <w:rPr>
                <w:rFonts w:cs="Calibri"/>
                <w:szCs w:val="18"/>
              </w:rPr>
            </w:pPr>
            <w:r w:rsidRPr="00027624">
              <w:rPr>
                <w:rFonts w:cs="Calibri"/>
                <w:szCs w:val="18"/>
              </w:rPr>
              <w:t> </w:t>
            </w:r>
          </w:p>
        </w:tc>
        <w:tc>
          <w:tcPr>
            <w:tcW w:w="424" w:type="pct"/>
            <w:shd w:val="clear" w:color="000000" w:fill="FFFFFF"/>
            <w:vAlign w:val="bottom"/>
          </w:tcPr>
          <w:p w14:paraId="404AF77D" w14:textId="77777777" w:rsidR="00E96B29" w:rsidRPr="00027624" w:rsidRDefault="00E96B29" w:rsidP="00E96B29">
            <w:pPr>
              <w:pStyle w:val="TableTextCentered"/>
              <w:rPr>
                <w:szCs w:val="18"/>
              </w:rPr>
            </w:pPr>
            <w:r w:rsidRPr="00027624">
              <w:rPr>
                <w:rFonts w:cs="Calibri"/>
                <w:szCs w:val="18"/>
              </w:rPr>
              <w:t>58.0</w:t>
            </w:r>
          </w:p>
        </w:tc>
        <w:tc>
          <w:tcPr>
            <w:tcW w:w="460" w:type="pct"/>
            <w:shd w:val="clear" w:color="000000" w:fill="FFFFFF"/>
            <w:vAlign w:val="bottom"/>
          </w:tcPr>
          <w:p w14:paraId="17055A4B" w14:textId="77777777" w:rsidR="00E96B29" w:rsidRPr="00027624" w:rsidRDefault="00E96B29" w:rsidP="00E96B29">
            <w:pPr>
              <w:pStyle w:val="TableTextCentered"/>
              <w:rPr>
                <w:szCs w:val="18"/>
              </w:rPr>
            </w:pPr>
            <w:r w:rsidRPr="00027624">
              <w:rPr>
                <w:rFonts w:cs="Calibri"/>
                <w:szCs w:val="18"/>
              </w:rPr>
              <w:t>51.7</w:t>
            </w:r>
          </w:p>
        </w:tc>
      </w:tr>
      <w:tr w:rsidR="00E96B29" w:rsidRPr="00027624" w14:paraId="1A78EC88" w14:textId="77777777" w:rsidTr="00E96B29">
        <w:trPr>
          <w:trHeight w:val="270"/>
        </w:trPr>
        <w:tc>
          <w:tcPr>
            <w:tcW w:w="701" w:type="pct"/>
            <w:vAlign w:val="bottom"/>
          </w:tcPr>
          <w:p w14:paraId="2DDB3C79" w14:textId="77777777" w:rsidR="00E96B29" w:rsidRPr="00027624" w:rsidRDefault="00E96B29" w:rsidP="00E96B29">
            <w:pPr>
              <w:pStyle w:val="ChartorTableNote"/>
            </w:pPr>
            <w:r w:rsidRPr="00027624">
              <w:t>100</w:t>
            </w:r>
          </w:p>
        </w:tc>
        <w:tc>
          <w:tcPr>
            <w:tcW w:w="429" w:type="pct"/>
            <w:shd w:val="clear" w:color="000000" w:fill="FFFFFF"/>
          </w:tcPr>
          <w:p w14:paraId="4EABC805" w14:textId="77777777" w:rsidR="00E96B29" w:rsidRPr="00027624" w:rsidRDefault="00E96B29" w:rsidP="00E96B29">
            <w:pPr>
              <w:pStyle w:val="ChartorTableNote"/>
              <w:rPr>
                <w:b/>
              </w:rPr>
            </w:pPr>
          </w:p>
        </w:tc>
        <w:tc>
          <w:tcPr>
            <w:tcW w:w="427" w:type="pct"/>
            <w:shd w:val="clear" w:color="000000" w:fill="FFFFFF"/>
            <w:vAlign w:val="bottom"/>
          </w:tcPr>
          <w:p w14:paraId="2F254E65" w14:textId="77777777" w:rsidR="00E96B29" w:rsidRPr="00027624" w:rsidRDefault="00E96B29" w:rsidP="00E96B29">
            <w:pPr>
              <w:pStyle w:val="TableTextCentered"/>
            </w:pPr>
            <w:r w:rsidRPr="00027624">
              <w:rPr>
                <w:rFonts w:cs="Calibri"/>
                <w:b/>
              </w:rPr>
              <w:t> </w:t>
            </w:r>
          </w:p>
        </w:tc>
        <w:tc>
          <w:tcPr>
            <w:tcW w:w="427" w:type="pct"/>
            <w:shd w:val="clear" w:color="000000" w:fill="FFFFFF"/>
            <w:vAlign w:val="bottom"/>
          </w:tcPr>
          <w:p w14:paraId="453D45B8" w14:textId="77777777" w:rsidR="00E96B29" w:rsidRPr="00027624" w:rsidRDefault="00E96B29" w:rsidP="00E96B29">
            <w:pPr>
              <w:pStyle w:val="TableTextCentered"/>
            </w:pPr>
            <w:r w:rsidRPr="00027624">
              <w:rPr>
                <w:rFonts w:cs="Calibri"/>
                <w:b/>
              </w:rPr>
              <w:t> </w:t>
            </w:r>
          </w:p>
        </w:tc>
        <w:tc>
          <w:tcPr>
            <w:tcW w:w="427" w:type="pct"/>
            <w:shd w:val="clear" w:color="000000" w:fill="FFFFFF"/>
            <w:vAlign w:val="bottom"/>
          </w:tcPr>
          <w:p w14:paraId="5AA87331" w14:textId="77777777" w:rsidR="00E96B29" w:rsidRPr="00027624" w:rsidRDefault="00E96B29" w:rsidP="00E96B29">
            <w:pPr>
              <w:pStyle w:val="TableTextCentered"/>
            </w:pPr>
            <w:r w:rsidRPr="00027624">
              <w:rPr>
                <w:rFonts w:cs="Calibri"/>
                <w:b/>
              </w:rPr>
              <w:t> </w:t>
            </w:r>
          </w:p>
        </w:tc>
        <w:tc>
          <w:tcPr>
            <w:tcW w:w="427" w:type="pct"/>
            <w:shd w:val="clear" w:color="000000" w:fill="FFFFFF"/>
            <w:vAlign w:val="bottom"/>
          </w:tcPr>
          <w:p w14:paraId="0B58065B" w14:textId="77777777" w:rsidR="00E96B29" w:rsidRPr="00027624" w:rsidRDefault="00E96B29" w:rsidP="00E96B29">
            <w:pPr>
              <w:pStyle w:val="TableTextCentered"/>
            </w:pPr>
            <w:r w:rsidRPr="00027624">
              <w:rPr>
                <w:b/>
              </w:rPr>
              <w:t> </w:t>
            </w:r>
          </w:p>
        </w:tc>
        <w:tc>
          <w:tcPr>
            <w:tcW w:w="427" w:type="pct"/>
            <w:shd w:val="clear" w:color="000000" w:fill="FFFFFF"/>
            <w:vAlign w:val="bottom"/>
          </w:tcPr>
          <w:p w14:paraId="4AF88595" w14:textId="77777777" w:rsidR="00E96B29" w:rsidRPr="00027624" w:rsidRDefault="00E96B29" w:rsidP="00E96B29">
            <w:pPr>
              <w:pStyle w:val="TableTextCentered"/>
            </w:pPr>
            <w:r w:rsidRPr="00027624">
              <w:rPr>
                <w:rFonts w:cs="Calibri"/>
              </w:rPr>
              <w:t> </w:t>
            </w:r>
          </w:p>
        </w:tc>
        <w:tc>
          <w:tcPr>
            <w:tcW w:w="427" w:type="pct"/>
            <w:shd w:val="clear" w:color="000000" w:fill="FFFFFF"/>
            <w:vAlign w:val="bottom"/>
          </w:tcPr>
          <w:p w14:paraId="3B298BA2" w14:textId="77777777" w:rsidR="00E96B29" w:rsidRPr="00027624" w:rsidRDefault="00E96B29" w:rsidP="00E96B29">
            <w:pPr>
              <w:pStyle w:val="TableTextCentered"/>
            </w:pPr>
            <w:r w:rsidRPr="00027624">
              <w:rPr>
                <w:rFonts w:cs="Calibri"/>
              </w:rPr>
              <w:t> </w:t>
            </w:r>
          </w:p>
        </w:tc>
        <w:tc>
          <w:tcPr>
            <w:tcW w:w="424" w:type="pct"/>
            <w:shd w:val="clear" w:color="000000" w:fill="FFFFFF"/>
            <w:vAlign w:val="bottom"/>
          </w:tcPr>
          <w:p w14:paraId="43DE8BE9" w14:textId="77777777" w:rsidR="00E96B29" w:rsidRPr="00027624" w:rsidRDefault="00E96B29" w:rsidP="00E96B29">
            <w:pPr>
              <w:pStyle w:val="TableTextCentered"/>
              <w:rPr>
                <w:rFonts w:cs="Calibri"/>
              </w:rPr>
            </w:pPr>
            <w:r w:rsidRPr="00027624">
              <w:rPr>
                <w:rFonts w:cs="Calibri"/>
              </w:rPr>
              <w:t> </w:t>
            </w:r>
          </w:p>
        </w:tc>
        <w:tc>
          <w:tcPr>
            <w:tcW w:w="424" w:type="pct"/>
            <w:shd w:val="clear" w:color="000000" w:fill="FFFFFF"/>
            <w:vAlign w:val="bottom"/>
          </w:tcPr>
          <w:p w14:paraId="4BAA3D1D" w14:textId="77777777" w:rsidR="00E96B29" w:rsidRPr="00027624" w:rsidRDefault="00E96B29" w:rsidP="00E96B29">
            <w:pPr>
              <w:pStyle w:val="TableTextCentered"/>
            </w:pPr>
            <w:r w:rsidRPr="00027624">
              <w:rPr>
                <w:rFonts w:cs="Calibri"/>
              </w:rPr>
              <w:t>100</w:t>
            </w:r>
          </w:p>
        </w:tc>
        <w:tc>
          <w:tcPr>
            <w:tcW w:w="460" w:type="pct"/>
            <w:shd w:val="clear" w:color="000000" w:fill="FFFFFF"/>
            <w:vAlign w:val="bottom"/>
          </w:tcPr>
          <w:p w14:paraId="5CF768B6" w14:textId="77777777" w:rsidR="00E96B29" w:rsidRPr="00027624" w:rsidRDefault="00E96B29" w:rsidP="00E96B29">
            <w:pPr>
              <w:pStyle w:val="TableTextCentered"/>
            </w:pPr>
            <w:r w:rsidRPr="00027624">
              <w:rPr>
                <w:rFonts w:cs="Calibri"/>
              </w:rPr>
              <w:t>100</w:t>
            </w:r>
          </w:p>
        </w:tc>
      </w:tr>
    </w:tbl>
    <w:p w14:paraId="2C16CBCA" w14:textId="77777777" w:rsidR="00E96B29" w:rsidRPr="00027624" w:rsidRDefault="00E96B29" w:rsidP="00E96B29">
      <w:pPr>
        <w:pStyle w:val="ChartorTableNote"/>
        <w:rPr>
          <w:color w:val="auto"/>
        </w:rPr>
      </w:pPr>
      <w:r w:rsidRPr="00027624">
        <w:rPr>
          <w:color w:val="auto"/>
        </w:rPr>
        <w:t>Note: Values are in 2019</w:t>
      </w:r>
      <w:r w:rsidR="00A8443E" w:rsidRPr="00027624">
        <w:rPr>
          <w:color w:val="auto"/>
        </w:rPr>
        <w:noBreakHyphen/>
      </w:r>
      <w:r w:rsidRPr="00027624">
        <w:rPr>
          <w:color w:val="auto"/>
        </w:rPr>
        <w:t xml:space="preserve">20 dollars, deflated by average weekly earnings. Figures are denominated in thousands and rounded to the nearest $5,000. Drawdown rates by age and income percentile are based on net wealth at retirement. Rates may fall below minimum drawdown rates by age in early retirement years. The review models the maximum of minimum drawdown rates and efficient drawdown rates by year. Drawdown rates are designed for people retiring in 2060 based on </w:t>
      </w:r>
      <w:r w:rsidRPr="00027624" w:rsidDel="0068007C">
        <w:rPr>
          <w:color w:val="auto"/>
        </w:rPr>
        <w:t>Age</w:t>
      </w:r>
      <w:r w:rsidRPr="00027624">
        <w:rPr>
          <w:color w:val="auto"/>
        </w:rPr>
        <w:t> Pension rates and thresholds in those years.</w:t>
      </w:r>
    </w:p>
    <w:p w14:paraId="0194C892" w14:textId="77777777" w:rsidR="00E96B29" w:rsidRPr="00027624" w:rsidRDefault="00E96B29" w:rsidP="00E96B29">
      <w:pPr>
        <w:pStyle w:val="TableMainHeading"/>
      </w:pPr>
      <w:bookmarkStart w:id="4295" w:name="_Ref42711691"/>
      <w:r w:rsidRPr="00027624">
        <w:t>Women</w:t>
      </w:r>
      <w:r w:rsidR="00A8443E" w:rsidRPr="00027624">
        <w:t>’</w:t>
      </w:r>
      <w:r w:rsidRPr="00027624">
        <w:t>s drawdown rates by income percentile</w:t>
      </w:r>
      <w:bookmarkEnd w:id="4295"/>
    </w:p>
    <w:tbl>
      <w:tblPr>
        <w:tblW w:w="5000" w:type="pct"/>
        <w:tblLook w:val="01E0" w:firstRow="1" w:lastRow="1" w:firstColumn="1" w:lastColumn="1" w:noHBand="0" w:noVBand="0"/>
      </w:tblPr>
      <w:tblGrid>
        <w:gridCol w:w="1388"/>
        <w:gridCol w:w="844"/>
        <w:gridCol w:w="844"/>
        <w:gridCol w:w="844"/>
        <w:gridCol w:w="844"/>
        <w:gridCol w:w="844"/>
        <w:gridCol w:w="844"/>
        <w:gridCol w:w="839"/>
        <w:gridCol w:w="839"/>
        <w:gridCol w:w="940"/>
      </w:tblGrid>
      <w:tr w:rsidR="00E96B29" w:rsidRPr="00027624" w14:paraId="6BA5A6B5" w14:textId="77777777" w:rsidTr="00E96B29">
        <w:trPr>
          <w:trHeight w:val="270"/>
          <w:tblHeader/>
        </w:trPr>
        <w:tc>
          <w:tcPr>
            <w:tcW w:w="750" w:type="pct"/>
            <w:shd w:val="clear" w:color="auto" w:fill="E5E5E5"/>
          </w:tcPr>
          <w:p w14:paraId="43DF47C1" w14:textId="77777777" w:rsidR="00E96B29" w:rsidRPr="00027624" w:rsidRDefault="00E96B29" w:rsidP="00E96B29">
            <w:pPr>
              <w:pStyle w:val="TableColumnHeadingLeft"/>
            </w:pPr>
            <w:r w:rsidRPr="00027624">
              <w:t>Percentile</w:t>
            </w:r>
          </w:p>
        </w:tc>
        <w:tc>
          <w:tcPr>
            <w:tcW w:w="467" w:type="pct"/>
            <w:shd w:val="clear" w:color="auto" w:fill="E5E5E5"/>
          </w:tcPr>
          <w:p w14:paraId="67D0923A" w14:textId="77777777" w:rsidR="00E96B29" w:rsidRPr="00027624" w:rsidRDefault="00E96B29" w:rsidP="00E96B29">
            <w:pPr>
              <w:pStyle w:val="TableColumnHeadingCentred"/>
            </w:pPr>
            <w:r w:rsidRPr="00027624">
              <w:t>10</w:t>
            </w:r>
            <w:r w:rsidRPr="00027624">
              <w:rPr>
                <w:vertAlign w:val="superscript"/>
              </w:rPr>
              <w:t>th</w:t>
            </w:r>
          </w:p>
        </w:tc>
        <w:tc>
          <w:tcPr>
            <w:tcW w:w="467" w:type="pct"/>
            <w:shd w:val="clear" w:color="auto" w:fill="E5E5E5"/>
          </w:tcPr>
          <w:p w14:paraId="47869B94" w14:textId="77777777" w:rsidR="00E96B29" w:rsidRPr="00027624" w:rsidRDefault="00E96B29" w:rsidP="00E96B29">
            <w:pPr>
              <w:pStyle w:val="TableColumnHeadingCentred"/>
            </w:pPr>
            <w:r w:rsidRPr="00027624">
              <w:t>20</w:t>
            </w:r>
            <w:r w:rsidRPr="00027624">
              <w:rPr>
                <w:vertAlign w:val="superscript"/>
              </w:rPr>
              <w:t>th</w:t>
            </w:r>
          </w:p>
        </w:tc>
        <w:tc>
          <w:tcPr>
            <w:tcW w:w="467" w:type="pct"/>
            <w:shd w:val="clear" w:color="auto" w:fill="E5E5E5"/>
          </w:tcPr>
          <w:p w14:paraId="120B54CF" w14:textId="77777777" w:rsidR="00E96B29" w:rsidRPr="00027624" w:rsidRDefault="00E96B29" w:rsidP="00E96B29">
            <w:pPr>
              <w:pStyle w:val="TableColumnHeadingCentred"/>
            </w:pPr>
            <w:r w:rsidRPr="00027624">
              <w:t>30</w:t>
            </w:r>
            <w:r w:rsidRPr="00027624">
              <w:rPr>
                <w:vertAlign w:val="superscript"/>
              </w:rPr>
              <w:t>th</w:t>
            </w:r>
          </w:p>
        </w:tc>
        <w:tc>
          <w:tcPr>
            <w:tcW w:w="467" w:type="pct"/>
            <w:shd w:val="clear" w:color="auto" w:fill="E5E5E5"/>
          </w:tcPr>
          <w:p w14:paraId="57C14D15" w14:textId="77777777" w:rsidR="00E96B29" w:rsidRPr="00027624" w:rsidRDefault="00E96B29" w:rsidP="00E96B29">
            <w:pPr>
              <w:pStyle w:val="TableColumnHeadingCentred"/>
            </w:pPr>
            <w:r w:rsidRPr="00027624">
              <w:t>40</w:t>
            </w:r>
            <w:r w:rsidRPr="00027624">
              <w:rPr>
                <w:vertAlign w:val="superscript"/>
              </w:rPr>
              <w:t>th</w:t>
            </w:r>
          </w:p>
        </w:tc>
        <w:tc>
          <w:tcPr>
            <w:tcW w:w="467" w:type="pct"/>
            <w:shd w:val="clear" w:color="auto" w:fill="E5E5E5"/>
          </w:tcPr>
          <w:p w14:paraId="2DB70E33" w14:textId="77777777" w:rsidR="00E96B29" w:rsidRPr="00027624" w:rsidRDefault="00E96B29" w:rsidP="00E96B29">
            <w:pPr>
              <w:pStyle w:val="TableColumnHeadingCentred"/>
            </w:pPr>
            <w:r w:rsidRPr="00027624">
              <w:t>50</w:t>
            </w:r>
            <w:r w:rsidRPr="00027624">
              <w:rPr>
                <w:vertAlign w:val="superscript"/>
              </w:rPr>
              <w:t>th</w:t>
            </w:r>
          </w:p>
        </w:tc>
        <w:tc>
          <w:tcPr>
            <w:tcW w:w="467" w:type="pct"/>
            <w:shd w:val="clear" w:color="auto" w:fill="E5E5E5"/>
          </w:tcPr>
          <w:p w14:paraId="62A87FC2" w14:textId="77777777" w:rsidR="00E96B29" w:rsidRPr="00027624" w:rsidRDefault="00E96B29" w:rsidP="00E96B29">
            <w:pPr>
              <w:pStyle w:val="TableColumnHeadingCentred"/>
            </w:pPr>
            <w:r w:rsidRPr="00027624">
              <w:t>60</w:t>
            </w:r>
            <w:r w:rsidRPr="00027624">
              <w:rPr>
                <w:vertAlign w:val="superscript"/>
              </w:rPr>
              <w:t>th</w:t>
            </w:r>
          </w:p>
        </w:tc>
        <w:tc>
          <w:tcPr>
            <w:tcW w:w="464" w:type="pct"/>
            <w:shd w:val="clear" w:color="auto" w:fill="E5E5E5"/>
          </w:tcPr>
          <w:p w14:paraId="753A2F62" w14:textId="77777777" w:rsidR="00E96B29" w:rsidRPr="00027624" w:rsidRDefault="00E96B29" w:rsidP="00E96B29">
            <w:pPr>
              <w:pStyle w:val="TableColumnHeadingCentred"/>
            </w:pPr>
            <w:r w:rsidRPr="00027624">
              <w:t>70</w:t>
            </w:r>
            <w:r w:rsidRPr="00027624">
              <w:rPr>
                <w:vertAlign w:val="superscript"/>
              </w:rPr>
              <w:t>th</w:t>
            </w:r>
          </w:p>
        </w:tc>
        <w:tc>
          <w:tcPr>
            <w:tcW w:w="464" w:type="pct"/>
            <w:shd w:val="clear" w:color="auto" w:fill="E5E5E5"/>
          </w:tcPr>
          <w:p w14:paraId="5438B0BF" w14:textId="77777777" w:rsidR="00E96B29" w:rsidRPr="00027624" w:rsidRDefault="00E96B29" w:rsidP="00E96B29">
            <w:pPr>
              <w:pStyle w:val="TableColumnHeadingCentred"/>
            </w:pPr>
            <w:r w:rsidRPr="00027624">
              <w:t>80</w:t>
            </w:r>
            <w:r w:rsidRPr="00027624">
              <w:rPr>
                <w:vertAlign w:val="superscript"/>
              </w:rPr>
              <w:t>th</w:t>
            </w:r>
          </w:p>
        </w:tc>
        <w:tc>
          <w:tcPr>
            <w:tcW w:w="520" w:type="pct"/>
            <w:shd w:val="clear" w:color="auto" w:fill="E5E5E5"/>
          </w:tcPr>
          <w:p w14:paraId="1DE169D4" w14:textId="77777777" w:rsidR="00E96B29" w:rsidRPr="00027624" w:rsidRDefault="00E96B29" w:rsidP="00E96B29">
            <w:pPr>
              <w:pStyle w:val="TableColumnHeadingCentred"/>
            </w:pPr>
            <w:r w:rsidRPr="00027624">
              <w:t>90</w:t>
            </w:r>
            <w:r w:rsidRPr="00027624">
              <w:rPr>
                <w:vertAlign w:val="superscript"/>
              </w:rPr>
              <w:t>th</w:t>
            </w:r>
          </w:p>
        </w:tc>
      </w:tr>
      <w:tr w:rsidR="00E96B29" w:rsidRPr="00027624" w14:paraId="4EB613A6" w14:textId="77777777" w:rsidTr="00E96B29">
        <w:trPr>
          <w:trHeight w:val="270"/>
        </w:trPr>
        <w:tc>
          <w:tcPr>
            <w:tcW w:w="1683" w:type="pct"/>
            <w:gridSpan w:val="3"/>
            <w:shd w:val="clear" w:color="auto" w:fill="E5E5E5"/>
            <w:vAlign w:val="bottom"/>
          </w:tcPr>
          <w:p w14:paraId="4CF94C8A" w14:textId="77777777" w:rsidR="00E96B29" w:rsidRPr="00027624" w:rsidRDefault="00E96B29" w:rsidP="00E96B29">
            <w:pPr>
              <w:pStyle w:val="TableColumnHeadingLeft"/>
            </w:pPr>
            <w:r w:rsidRPr="00027624">
              <w:t>Assets at retirement ($</w:t>
            </w:r>
            <w:r w:rsidR="00A8443E" w:rsidRPr="00027624">
              <w:t>’</w:t>
            </w:r>
            <w:r w:rsidRPr="00027624">
              <w:t>000)</w:t>
            </w:r>
          </w:p>
        </w:tc>
        <w:tc>
          <w:tcPr>
            <w:tcW w:w="467" w:type="pct"/>
            <w:shd w:val="clear" w:color="auto" w:fill="E5E5E5"/>
            <w:vAlign w:val="bottom"/>
          </w:tcPr>
          <w:p w14:paraId="12FA1B6F" w14:textId="77777777" w:rsidR="00E96B29" w:rsidRPr="00027624" w:rsidRDefault="00E96B29" w:rsidP="00E96B29">
            <w:pPr>
              <w:pStyle w:val="TableColumnHeadingLeft"/>
            </w:pPr>
          </w:p>
        </w:tc>
        <w:tc>
          <w:tcPr>
            <w:tcW w:w="467" w:type="pct"/>
            <w:shd w:val="clear" w:color="auto" w:fill="E5E5E5"/>
            <w:vAlign w:val="bottom"/>
          </w:tcPr>
          <w:p w14:paraId="1FFB27E0" w14:textId="77777777" w:rsidR="00E96B29" w:rsidRPr="00027624" w:rsidRDefault="00E96B29" w:rsidP="00E96B29">
            <w:pPr>
              <w:pStyle w:val="TableColumnHeadingLeft"/>
            </w:pPr>
          </w:p>
        </w:tc>
        <w:tc>
          <w:tcPr>
            <w:tcW w:w="467" w:type="pct"/>
            <w:shd w:val="clear" w:color="auto" w:fill="E5E5E5"/>
            <w:vAlign w:val="bottom"/>
          </w:tcPr>
          <w:p w14:paraId="013578D9" w14:textId="77777777" w:rsidR="00E96B29" w:rsidRPr="00027624" w:rsidRDefault="00E96B29" w:rsidP="00E96B29">
            <w:pPr>
              <w:pStyle w:val="TableColumnHeadingLeft"/>
            </w:pPr>
          </w:p>
        </w:tc>
        <w:tc>
          <w:tcPr>
            <w:tcW w:w="467" w:type="pct"/>
            <w:shd w:val="clear" w:color="auto" w:fill="E5E5E5"/>
            <w:vAlign w:val="bottom"/>
          </w:tcPr>
          <w:p w14:paraId="7B69C058" w14:textId="77777777" w:rsidR="00E96B29" w:rsidRPr="00027624" w:rsidRDefault="00E96B29" w:rsidP="00E96B29">
            <w:pPr>
              <w:pStyle w:val="TableColumnHeadingLeft"/>
            </w:pPr>
          </w:p>
        </w:tc>
        <w:tc>
          <w:tcPr>
            <w:tcW w:w="464" w:type="pct"/>
            <w:shd w:val="clear" w:color="auto" w:fill="E5E5E5"/>
            <w:vAlign w:val="bottom"/>
          </w:tcPr>
          <w:p w14:paraId="2304F3EC" w14:textId="77777777" w:rsidR="00E96B29" w:rsidRPr="00027624" w:rsidRDefault="00E96B29" w:rsidP="00E96B29">
            <w:pPr>
              <w:pStyle w:val="TableColumnHeadingLeft"/>
            </w:pPr>
          </w:p>
        </w:tc>
        <w:tc>
          <w:tcPr>
            <w:tcW w:w="464" w:type="pct"/>
            <w:shd w:val="clear" w:color="auto" w:fill="E5E5E5"/>
            <w:vAlign w:val="bottom"/>
          </w:tcPr>
          <w:p w14:paraId="100E5ECF" w14:textId="77777777" w:rsidR="00E96B29" w:rsidRPr="00027624" w:rsidRDefault="00E96B29" w:rsidP="00E96B29">
            <w:pPr>
              <w:pStyle w:val="TableColumnHeadingLeft"/>
            </w:pPr>
          </w:p>
        </w:tc>
        <w:tc>
          <w:tcPr>
            <w:tcW w:w="520" w:type="pct"/>
            <w:shd w:val="clear" w:color="auto" w:fill="E5E5E5"/>
            <w:vAlign w:val="bottom"/>
          </w:tcPr>
          <w:p w14:paraId="1257D5E9" w14:textId="77777777" w:rsidR="00E96B29" w:rsidRPr="00027624" w:rsidRDefault="00E96B29" w:rsidP="00E96B29">
            <w:pPr>
              <w:pStyle w:val="TableColumnHeadingLeft"/>
            </w:pPr>
          </w:p>
        </w:tc>
      </w:tr>
      <w:tr w:rsidR="00E96B29" w:rsidRPr="00027624" w14:paraId="3A98F29C" w14:textId="77777777" w:rsidTr="00E96B29">
        <w:trPr>
          <w:trHeight w:val="270"/>
        </w:trPr>
        <w:tc>
          <w:tcPr>
            <w:tcW w:w="750" w:type="pct"/>
            <w:shd w:val="clear" w:color="auto" w:fill="auto"/>
            <w:vAlign w:val="bottom"/>
          </w:tcPr>
          <w:p w14:paraId="3A1CB680" w14:textId="77777777" w:rsidR="00E96B29" w:rsidRPr="00027624" w:rsidRDefault="00E96B29" w:rsidP="00E96B29">
            <w:pPr>
              <w:pStyle w:val="TableTextLeft"/>
              <w:rPr>
                <w:szCs w:val="18"/>
              </w:rPr>
            </w:pPr>
            <w:r w:rsidRPr="00027624">
              <w:rPr>
                <w:bCs/>
                <w:szCs w:val="18"/>
              </w:rPr>
              <w:t>Superannuation</w:t>
            </w:r>
          </w:p>
        </w:tc>
        <w:tc>
          <w:tcPr>
            <w:tcW w:w="467" w:type="pct"/>
            <w:shd w:val="clear" w:color="auto" w:fill="auto"/>
            <w:vAlign w:val="bottom"/>
          </w:tcPr>
          <w:p w14:paraId="7A921541" w14:textId="77777777" w:rsidR="00E96B29" w:rsidRPr="00027624" w:rsidRDefault="00E96B29" w:rsidP="00E96B29">
            <w:pPr>
              <w:pStyle w:val="TableTextCentered"/>
            </w:pPr>
            <w:r w:rsidRPr="00027624">
              <w:t>110</w:t>
            </w:r>
          </w:p>
        </w:tc>
        <w:tc>
          <w:tcPr>
            <w:tcW w:w="467" w:type="pct"/>
            <w:shd w:val="clear" w:color="auto" w:fill="auto"/>
            <w:vAlign w:val="bottom"/>
          </w:tcPr>
          <w:p w14:paraId="514646C3" w14:textId="77777777" w:rsidR="00E96B29" w:rsidRPr="00027624" w:rsidRDefault="00E96B29" w:rsidP="00E96B29">
            <w:pPr>
              <w:pStyle w:val="TableTextCentered"/>
            </w:pPr>
            <w:r w:rsidRPr="00027624">
              <w:t>165</w:t>
            </w:r>
          </w:p>
        </w:tc>
        <w:tc>
          <w:tcPr>
            <w:tcW w:w="467" w:type="pct"/>
            <w:shd w:val="clear" w:color="auto" w:fill="auto"/>
            <w:vAlign w:val="bottom"/>
          </w:tcPr>
          <w:p w14:paraId="10159344" w14:textId="77777777" w:rsidR="00E96B29" w:rsidRPr="00027624" w:rsidRDefault="00E96B29" w:rsidP="00E96B29">
            <w:pPr>
              <w:pStyle w:val="TableTextCentered"/>
            </w:pPr>
            <w:r w:rsidRPr="00027624">
              <w:t>220</w:t>
            </w:r>
          </w:p>
        </w:tc>
        <w:tc>
          <w:tcPr>
            <w:tcW w:w="467" w:type="pct"/>
            <w:shd w:val="clear" w:color="auto" w:fill="auto"/>
            <w:vAlign w:val="bottom"/>
          </w:tcPr>
          <w:p w14:paraId="26BF44D0" w14:textId="77777777" w:rsidR="00E96B29" w:rsidRPr="00027624" w:rsidRDefault="00E96B29" w:rsidP="00E96B29">
            <w:pPr>
              <w:pStyle w:val="TableTextCentered"/>
            </w:pPr>
            <w:r w:rsidRPr="00027624">
              <w:t>280</w:t>
            </w:r>
          </w:p>
        </w:tc>
        <w:tc>
          <w:tcPr>
            <w:tcW w:w="467" w:type="pct"/>
            <w:shd w:val="clear" w:color="auto" w:fill="auto"/>
            <w:vAlign w:val="bottom"/>
          </w:tcPr>
          <w:p w14:paraId="12BFA061" w14:textId="77777777" w:rsidR="00E96B29" w:rsidRPr="00027624" w:rsidRDefault="00E96B29" w:rsidP="00E96B29">
            <w:pPr>
              <w:pStyle w:val="TableTextCentered"/>
            </w:pPr>
            <w:r w:rsidRPr="00027624">
              <w:t>340</w:t>
            </w:r>
          </w:p>
        </w:tc>
        <w:tc>
          <w:tcPr>
            <w:tcW w:w="467" w:type="pct"/>
            <w:shd w:val="clear" w:color="auto" w:fill="auto"/>
            <w:vAlign w:val="bottom"/>
          </w:tcPr>
          <w:p w14:paraId="5C786149" w14:textId="77777777" w:rsidR="00E96B29" w:rsidRPr="00027624" w:rsidRDefault="00E96B29" w:rsidP="00E96B29">
            <w:pPr>
              <w:pStyle w:val="TableTextCentered"/>
            </w:pPr>
            <w:r w:rsidRPr="00027624">
              <w:t>410</w:t>
            </w:r>
          </w:p>
        </w:tc>
        <w:tc>
          <w:tcPr>
            <w:tcW w:w="464" w:type="pct"/>
            <w:shd w:val="clear" w:color="auto" w:fill="auto"/>
            <w:vAlign w:val="bottom"/>
          </w:tcPr>
          <w:p w14:paraId="11390244" w14:textId="77777777" w:rsidR="00E96B29" w:rsidRPr="00027624" w:rsidRDefault="00E96B29" w:rsidP="00E96B29">
            <w:pPr>
              <w:pStyle w:val="TableTextCentered"/>
            </w:pPr>
            <w:r w:rsidRPr="00027624">
              <w:t>500</w:t>
            </w:r>
          </w:p>
        </w:tc>
        <w:tc>
          <w:tcPr>
            <w:tcW w:w="464" w:type="pct"/>
            <w:shd w:val="clear" w:color="auto" w:fill="auto"/>
            <w:vAlign w:val="bottom"/>
          </w:tcPr>
          <w:p w14:paraId="5318AEE3" w14:textId="77777777" w:rsidR="00E96B29" w:rsidRPr="00027624" w:rsidRDefault="00E96B29" w:rsidP="00E96B29">
            <w:pPr>
              <w:pStyle w:val="TableTextCentered"/>
            </w:pPr>
            <w:r w:rsidRPr="00027624">
              <w:t>620</w:t>
            </w:r>
          </w:p>
        </w:tc>
        <w:tc>
          <w:tcPr>
            <w:tcW w:w="520" w:type="pct"/>
            <w:shd w:val="clear" w:color="auto" w:fill="auto"/>
            <w:vAlign w:val="bottom"/>
          </w:tcPr>
          <w:p w14:paraId="74FA1F8A" w14:textId="77777777" w:rsidR="00E96B29" w:rsidRPr="00027624" w:rsidRDefault="00E96B29" w:rsidP="00E96B29">
            <w:pPr>
              <w:pStyle w:val="TableTextCentered"/>
            </w:pPr>
            <w:r w:rsidRPr="00027624">
              <w:t>775</w:t>
            </w:r>
          </w:p>
        </w:tc>
      </w:tr>
      <w:tr w:rsidR="00E96B29" w:rsidRPr="00027624" w14:paraId="7EEC5D2C" w14:textId="77777777" w:rsidTr="00E96B29">
        <w:trPr>
          <w:trHeight w:val="270"/>
        </w:trPr>
        <w:tc>
          <w:tcPr>
            <w:tcW w:w="750" w:type="pct"/>
            <w:shd w:val="clear" w:color="auto" w:fill="auto"/>
            <w:vAlign w:val="bottom"/>
          </w:tcPr>
          <w:p w14:paraId="18A01FB8" w14:textId="77777777" w:rsidR="00E96B29" w:rsidRPr="00027624" w:rsidRDefault="00E96B29" w:rsidP="00E96B29">
            <w:pPr>
              <w:pStyle w:val="TableTextLeft"/>
              <w:rPr>
                <w:bCs/>
                <w:szCs w:val="18"/>
              </w:rPr>
            </w:pPr>
            <w:r w:rsidRPr="00027624">
              <w:rPr>
                <w:bCs/>
                <w:szCs w:val="18"/>
              </w:rPr>
              <w:t xml:space="preserve">Other assets </w:t>
            </w:r>
          </w:p>
        </w:tc>
        <w:tc>
          <w:tcPr>
            <w:tcW w:w="467" w:type="pct"/>
            <w:shd w:val="clear" w:color="auto" w:fill="auto"/>
            <w:vAlign w:val="bottom"/>
          </w:tcPr>
          <w:p w14:paraId="51ED8F8A" w14:textId="77777777" w:rsidR="00E96B29" w:rsidRPr="00027624" w:rsidRDefault="00E96B29" w:rsidP="00E96B29">
            <w:pPr>
              <w:pStyle w:val="TableTextCentered"/>
            </w:pPr>
            <w:r w:rsidRPr="00027624">
              <w:t>5</w:t>
            </w:r>
          </w:p>
        </w:tc>
        <w:tc>
          <w:tcPr>
            <w:tcW w:w="467" w:type="pct"/>
            <w:shd w:val="clear" w:color="auto" w:fill="auto"/>
            <w:vAlign w:val="bottom"/>
          </w:tcPr>
          <w:p w14:paraId="21A875BB" w14:textId="77777777" w:rsidR="00E96B29" w:rsidRPr="00027624" w:rsidRDefault="00E96B29" w:rsidP="00E96B29">
            <w:pPr>
              <w:pStyle w:val="TableTextCentered"/>
            </w:pPr>
            <w:r w:rsidRPr="00027624">
              <w:t>5</w:t>
            </w:r>
          </w:p>
        </w:tc>
        <w:tc>
          <w:tcPr>
            <w:tcW w:w="467" w:type="pct"/>
            <w:shd w:val="clear" w:color="auto" w:fill="auto"/>
            <w:vAlign w:val="bottom"/>
          </w:tcPr>
          <w:p w14:paraId="56B93D2E" w14:textId="77777777" w:rsidR="00E96B29" w:rsidRPr="00027624" w:rsidRDefault="00E96B29" w:rsidP="00E96B29">
            <w:pPr>
              <w:pStyle w:val="TableTextCentered"/>
            </w:pPr>
            <w:r w:rsidRPr="00027624">
              <w:t>10</w:t>
            </w:r>
          </w:p>
        </w:tc>
        <w:tc>
          <w:tcPr>
            <w:tcW w:w="467" w:type="pct"/>
            <w:shd w:val="clear" w:color="auto" w:fill="auto"/>
            <w:vAlign w:val="bottom"/>
          </w:tcPr>
          <w:p w14:paraId="1B6CFB09" w14:textId="77777777" w:rsidR="00E96B29" w:rsidRPr="00027624" w:rsidRDefault="00E96B29" w:rsidP="00E96B29">
            <w:pPr>
              <w:pStyle w:val="TableTextCentered"/>
            </w:pPr>
            <w:r w:rsidRPr="00027624">
              <w:t>15</w:t>
            </w:r>
          </w:p>
        </w:tc>
        <w:tc>
          <w:tcPr>
            <w:tcW w:w="467" w:type="pct"/>
            <w:shd w:val="clear" w:color="auto" w:fill="auto"/>
            <w:vAlign w:val="bottom"/>
          </w:tcPr>
          <w:p w14:paraId="3EE73C45" w14:textId="77777777" w:rsidR="00E96B29" w:rsidRPr="00027624" w:rsidRDefault="00E96B29" w:rsidP="00E96B29">
            <w:pPr>
              <w:pStyle w:val="TableTextCentered"/>
            </w:pPr>
            <w:r w:rsidRPr="00027624">
              <w:t>25</w:t>
            </w:r>
          </w:p>
        </w:tc>
        <w:tc>
          <w:tcPr>
            <w:tcW w:w="467" w:type="pct"/>
            <w:shd w:val="clear" w:color="auto" w:fill="auto"/>
            <w:vAlign w:val="bottom"/>
          </w:tcPr>
          <w:p w14:paraId="47FFFF27" w14:textId="77777777" w:rsidR="00E96B29" w:rsidRPr="00027624" w:rsidRDefault="00E96B29" w:rsidP="00E96B29">
            <w:pPr>
              <w:pStyle w:val="TableTextCentered"/>
            </w:pPr>
            <w:r w:rsidRPr="00027624">
              <w:t>40</w:t>
            </w:r>
          </w:p>
        </w:tc>
        <w:tc>
          <w:tcPr>
            <w:tcW w:w="464" w:type="pct"/>
            <w:shd w:val="clear" w:color="auto" w:fill="auto"/>
            <w:vAlign w:val="bottom"/>
          </w:tcPr>
          <w:p w14:paraId="42EC5E13" w14:textId="77777777" w:rsidR="00E96B29" w:rsidRPr="00027624" w:rsidRDefault="00E96B29" w:rsidP="00E96B29">
            <w:pPr>
              <w:pStyle w:val="TableTextCentered"/>
            </w:pPr>
            <w:r w:rsidRPr="00027624">
              <w:t>75</w:t>
            </w:r>
          </w:p>
        </w:tc>
        <w:tc>
          <w:tcPr>
            <w:tcW w:w="464" w:type="pct"/>
            <w:shd w:val="clear" w:color="auto" w:fill="auto"/>
            <w:vAlign w:val="bottom"/>
          </w:tcPr>
          <w:p w14:paraId="00E1CFC1" w14:textId="77777777" w:rsidR="00E96B29" w:rsidRPr="00027624" w:rsidRDefault="00E96B29" w:rsidP="00E96B29">
            <w:pPr>
              <w:pStyle w:val="TableTextCentered"/>
            </w:pPr>
            <w:r w:rsidRPr="00027624">
              <w:t>150</w:t>
            </w:r>
          </w:p>
        </w:tc>
        <w:tc>
          <w:tcPr>
            <w:tcW w:w="520" w:type="pct"/>
            <w:shd w:val="clear" w:color="auto" w:fill="auto"/>
            <w:vAlign w:val="bottom"/>
          </w:tcPr>
          <w:p w14:paraId="71EBD236" w14:textId="77777777" w:rsidR="00E96B29" w:rsidRPr="00027624" w:rsidRDefault="00E96B29" w:rsidP="00E96B29">
            <w:pPr>
              <w:pStyle w:val="TableTextCentered"/>
            </w:pPr>
            <w:r w:rsidRPr="00027624">
              <w:t>435</w:t>
            </w:r>
          </w:p>
        </w:tc>
      </w:tr>
      <w:tr w:rsidR="00E96B29" w:rsidRPr="00027624" w14:paraId="4EF5309A" w14:textId="77777777" w:rsidTr="00E96B29">
        <w:trPr>
          <w:trHeight w:val="270"/>
        </w:trPr>
        <w:tc>
          <w:tcPr>
            <w:tcW w:w="2150" w:type="pct"/>
            <w:gridSpan w:val="4"/>
            <w:shd w:val="clear" w:color="auto" w:fill="EAEAEA" w:themeFill="accent6" w:themeFillTint="33"/>
            <w:vAlign w:val="bottom"/>
          </w:tcPr>
          <w:p w14:paraId="4CBF5A98" w14:textId="77777777" w:rsidR="00E96B29" w:rsidRPr="00027624" w:rsidRDefault="00E96B29" w:rsidP="00E96B29">
            <w:pPr>
              <w:pStyle w:val="TableColumnHeadingLeft"/>
              <w:rPr>
                <w:rFonts w:cs="Calibri"/>
                <w:szCs w:val="18"/>
              </w:rPr>
            </w:pPr>
            <w:r w:rsidRPr="00027624">
              <w:t>Drawdown rates by age</w:t>
            </w:r>
          </w:p>
        </w:tc>
        <w:tc>
          <w:tcPr>
            <w:tcW w:w="467" w:type="pct"/>
            <w:shd w:val="clear" w:color="auto" w:fill="EAEAEA" w:themeFill="accent6" w:themeFillTint="33"/>
            <w:vAlign w:val="bottom"/>
          </w:tcPr>
          <w:p w14:paraId="64034B90" w14:textId="77777777" w:rsidR="00E96B29" w:rsidRPr="00027624" w:rsidRDefault="00E96B29" w:rsidP="00E96B29">
            <w:pPr>
              <w:pStyle w:val="TableTextLeft"/>
              <w:rPr>
                <w:rFonts w:cs="Calibri"/>
                <w:szCs w:val="18"/>
              </w:rPr>
            </w:pPr>
          </w:p>
        </w:tc>
        <w:tc>
          <w:tcPr>
            <w:tcW w:w="934" w:type="pct"/>
            <w:gridSpan w:val="2"/>
            <w:shd w:val="clear" w:color="auto" w:fill="EAEAEA" w:themeFill="accent6" w:themeFillTint="33"/>
            <w:vAlign w:val="bottom"/>
          </w:tcPr>
          <w:p w14:paraId="6D76C50D" w14:textId="77777777" w:rsidR="00E96B29" w:rsidRPr="00027624" w:rsidRDefault="00E96B29" w:rsidP="00E96B29">
            <w:pPr>
              <w:pStyle w:val="TableColumnHeadingCentred"/>
              <w:rPr>
                <w:rFonts w:cs="Calibri"/>
                <w:szCs w:val="18"/>
              </w:rPr>
            </w:pPr>
            <w:r w:rsidRPr="00027624">
              <w:t>(per cent)</w:t>
            </w:r>
          </w:p>
        </w:tc>
        <w:tc>
          <w:tcPr>
            <w:tcW w:w="464" w:type="pct"/>
            <w:shd w:val="clear" w:color="auto" w:fill="EAEAEA" w:themeFill="accent6" w:themeFillTint="33"/>
            <w:vAlign w:val="bottom"/>
          </w:tcPr>
          <w:p w14:paraId="00727997" w14:textId="77777777" w:rsidR="00E96B29" w:rsidRPr="00027624" w:rsidRDefault="00E96B29" w:rsidP="00E96B29">
            <w:pPr>
              <w:pStyle w:val="TableTextLeft"/>
              <w:rPr>
                <w:rFonts w:cs="Calibri"/>
                <w:szCs w:val="18"/>
              </w:rPr>
            </w:pPr>
          </w:p>
        </w:tc>
        <w:tc>
          <w:tcPr>
            <w:tcW w:w="464" w:type="pct"/>
            <w:shd w:val="clear" w:color="auto" w:fill="EAEAEA" w:themeFill="accent6" w:themeFillTint="33"/>
            <w:vAlign w:val="bottom"/>
          </w:tcPr>
          <w:p w14:paraId="42AF3EB1" w14:textId="77777777" w:rsidR="00E96B29" w:rsidRPr="00027624" w:rsidRDefault="00E96B29" w:rsidP="00E96B29">
            <w:pPr>
              <w:pStyle w:val="TableTextLeft"/>
              <w:rPr>
                <w:rFonts w:cs="Calibri"/>
                <w:szCs w:val="18"/>
              </w:rPr>
            </w:pPr>
          </w:p>
        </w:tc>
        <w:tc>
          <w:tcPr>
            <w:tcW w:w="520" w:type="pct"/>
            <w:shd w:val="clear" w:color="auto" w:fill="EAEAEA" w:themeFill="accent6" w:themeFillTint="33"/>
            <w:vAlign w:val="bottom"/>
          </w:tcPr>
          <w:p w14:paraId="5804E5EA" w14:textId="77777777" w:rsidR="00E96B29" w:rsidRPr="00027624" w:rsidRDefault="00E96B29" w:rsidP="00E96B29">
            <w:pPr>
              <w:pStyle w:val="TableTextLeft"/>
              <w:rPr>
                <w:rFonts w:cs="Calibri"/>
                <w:szCs w:val="18"/>
              </w:rPr>
            </w:pPr>
          </w:p>
        </w:tc>
      </w:tr>
      <w:tr w:rsidR="00E96B29" w:rsidRPr="00027624" w14:paraId="16DBA1C0" w14:textId="77777777" w:rsidTr="00E96B29">
        <w:trPr>
          <w:trHeight w:val="270"/>
        </w:trPr>
        <w:tc>
          <w:tcPr>
            <w:tcW w:w="750" w:type="pct"/>
            <w:vAlign w:val="bottom"/>
          </w:tcPr>
          <w:p w14:paraId="2F5661AF" w14:textId="77777777" w:rsidR="00E96B29" w:rsidRPr="00027624" w:rsidRDefault="00E96B29" w:rsidP="00E96B29">
            <w:pPr>
              <w:pStyle w:val="TableTextLeft"/>
              <w:rPr>
                <w:szCs w:val="18"/>
              </w:rPr>
            </w:pPr>
            <w:r w:rsidRPr="00027624">
              <w:rPr>
                <w:bCs/>
                <w:szCs w:val="18"/>
              </w:rPr>
              <w:t>67</w:t>
            </w:r>
          </w:p>
        </w:tc>
        <w:tc>
          <w:tcPr>
            <w:tcW w:w="467" w:type="pct"/>
            <w:vAlign w:val="bottom"/>
          </w:tcPr>
          <w:p w14:paraId="1FEE32F8" w14:textId="77777777" w:rsidR="00E96B29" w:rsidRPr="00027624" w:rsidRDefault="00E96B29" w:rsidP="00E96B29">
            <w:pPr>
              <w:pStyle w:val="TableTextCentered"/>
              <w:rPr>
                <w:szCs w:val="18"/>
              </w:rPr>
            </w:pPr>
            <w:r w:rsidRPr="00027624">
              <w:rPr>
                <w:rFonts w:cs="Calibri"/>
                <w:szCs w:val="18"/>
              </w:rPr>
              <w:t>9.2</w:t>
            </w:r>
          </w:p>
        </w:tc>
        <w:tc>
          <w:tcPr>
            <w:tcW w:w="467" w:type="pct"/>
            <w:vAlign w:val="bottom"/>
          </w:tcPr>
          <w:p w14:paraId="10261702" w14:textId="77777777" w:rsidR="00E96B29" w:rsidRPr="00027624" w:rsidRDefault="00E96B29" w:rsidP="00E96B29">
            <w:pPr>
              <w:pStyle w:val="TableTextCentered"/>
              <w:rPr>
                <w:szCs w:val="18"/>
              </w:rPr>
            </w:pPr>
            <w:r w:rsidRPr="00027624">
              <w:rPr>
                <w:rFonts w:cs="Calibri"/>
                <w:szCs w:val="18"/>
              </w:rPr>
              <w:t>8.6</w:t>
            </w:r>
          </w:p>
        </w:tc>
        <w:tc>
          <w:tcPr>
            <w:tcW w:w="467" w:type="pct"/>
            <w:vAlign w:val="bottom"/>
          </w:tcPr>
          <w:p w14:paraId="204D6312" w14:textId="77777777" w:rsidR="00E96B29" w:rsidRPr="00027624" w:rsidRDefault="00E96B29" w:rsidP="00E96B29">
            <w:pPr>
              <w:pStyle w:val="TableTextCentered"/>
              <w:rPr>
                <w:szCs w:val="18"/>
              </w:rPr>
            </w:pPr>
            <w:r w:rsidRPr="00027624">
              <w:rPr>
                <w:rFonts w:cs="Calibri"/>
                <w:szCs w:val="18"/>
              </w:rPr>
              <w:t>9.4</w:t>
            </w:r>
          </w:p>
        </w:tc>
        <w:tc>
          <w:tcPr>
            <w:tcW w:w="467" w:type="pct"/>
            <w:vAlign w:val="bottom"/>
          </w:tcPr>
          <w:p w14:paraId="53DE7DFB"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1993FB39" w14:textId="77777777" w:rsidR="00E96B29" w:rsidRPr="00027624" w:rsidRDefault="00E96B29" w:rsidP="00E96B29">
            <w:pPr>
              <w:pStyle w:val="TableTextCentered"/>
              <w:rPr>
                <w:szCs w:val="18"/>
              </w:rPr>
            </w:pPr>
            <w:r w:rsidRPr="00027624">
              <w:rPr>
                <w:rFonts w:cs="Calibri"/>
                <w:szCs w:val="18"/>
              </w:rPr>
              <w:t>10.1</w:t>
            </w:r>
          </w:p>
        </w:tc>
        <w:tc>
          <w:tcPr>
            <w:tcW w:w="467" w:type="pct"/>
            <w:vAlign w:val="bottom"/>
          </w:tcPr>
          <w:p w14:paraId="5D1988E8" w14:textId="77777777" w:rsidR="00E96B29" w:rsidRPr="00027624" w:rsidRDefault="00E96B29" w:rsidP="00E96B29">
            <w:pPr>
              <w:pStyle w:val="TableTextCentered"/>
              <w:rPr>
                <w:szCs w:val="18"/>
              </w:rPr>
            </w:pPr>
            <w:r w:rsidRPr="00027624">
              <w:rPr>
                <w:rFonts w:cs="Calibri"/>
                <w:szCs w:val="18"/>
              </w:rPr>
              <w:t>10.3</w:t>
            </w:r>
          </w:p>
        </w:tc>
        <w:tc>
          <w:tcPr>
            <w:tcW w:w="464" w:type="pct"/>
            <w:vAlign w:val="bottom"/>
          </w:tcPr>
          <w:p w14:paraId="37A605E5" w14:textId="77777777" w:rsidR="00E96B29" w:rsidRPr="00027624" w:rsidRDefault="00E96B29" w:rsidP="00E96B29">
            <w:pPr>
              <w:pStyle w:val="TableTextCentered"/>
              <w:rPr>
                <w:szCs w:val="18"/>
              </w:rPr>
            </w:pPr>
            <w:r w:rsidRPr="00027624">
              <w:rPr>
                <w:rFonts w:cs="Calibri"/>
                <w:szCs w:val="18"/>
              </w:rPr>
              <w:t>8.6</w:t>
            </w:r>
          </w:p>
        </w:tc>
        <w:tc>
          <w:tcPr>
            <w:tcW w:w="464" w:type="pct"/>
            <w:vAlign w:val="bottom"/>
          </w:tcPr>
          <w:p w14:paraId="773D0552" w14:textId="77777777" w:rsidR="00E96B29" w:rsidRPr="00027624" w:rsidRDefault="00E96B29" w:rsidP="00E96B29">
            <w:pPr>
              <w:pStyle w:val="TableTextCentered"/>
              <w:rPr>
                <w:szCs w:val="18"/>
              </w:rPr>
            </w:pPr>
            <w:r w:rsidRPr="00027624">
              <w:rPr>
                <w:rFonts w:cs="Calibri"/>
                <w:szCs w:val="18"/>
              </w:rPr>
              <w:t>6.9</w:t>
            </w:r>
          </w:p>
        </w:tc>
        <w:tc>
          <w:tcPr>
            <w:tcW w:w="520" w:type="pct"/>
            <w:vAlign w:val="bottom"/>
          </w:tcPr>
          <w:p w14:paraId="7B02008A" w14:textId="77777777" w:rsidR="00E96B29" w:rsidRPr="00027624" w:rsidRDefault="00E96B29" w:rsidP="00E96B29">
            <w:pPr>
              <w:pStyle w:val="TableTextCentered"/>
              <w:rPr>
                <w:szCs w:val="18"/>
              </w:rPr>
            </w:pPr>
            <w:r w:rsidRPr="00027624">
              <w:rPr>
                <w:rFonts w:cs="Calibri"/>
                <w:szCs w:val="18"/>
              </w:rPr>
              <w:t>4.8</w:t>
            </w:r>
          </w:p>
        </w:tc>
      </w:tr>
      <w:tr w:rsidR="00E96B29" w:rsidRPr="00027624" w14:paraId="15B0229F" w14:textId="77777777" w:rsidTr="00E96B29">
        <w:trPr>
          <w:trHeight w:val="270"/>
        </w:trPr>
        <w:tc>
          <w:tcPr>
            <w:tcW w:w="750" w:type="pct"/>
            <w:vAlign w:val="bottom"/>
          </w:tcPr>
          <w:p w14:paraId="02D900B8" w14:textId="77777777" w:rsidR="00E96B29" w:rsidRPr="00027624" w:rsidRDefault="00E96B29" w:rsidP="00E96B29">
            <w:pPr>
              <w:pStyle w:val="TableTextLeft"/>
              <w:rPr>
                <w:szCs w:val="18"/>
              </w:rPr>
            </w:pPr>
            <w:r w:rsidRPr="00027624">
              <w:rPr>
                <w:bCs/>
                <w:szCs w:val="18"/>
              </w:rPr>
              <w:t>68</w:t>
            </w:r>
          </w:p>
        </w:tc>
        <w:tc>
          <w:tcPr>
            <w:tcW w:w="467" w:type="pct"/>
            <w:vAlign w:val="bottom"/>
          </w:tcPr>
          <w:p w14:paraId="59FD4EA3" w14:textId="77777777" w:rsidR="00E96B29" w:rsidRPr="00027624" w:rsidRDefault="00E96B29" w:rsidP="00E96B29">
            <w:pPr>
              <w:pStyle w:val="TableTextCentered"/>
              <w:rPr>
                <w:szCs w:val="18"/>
              </w:rPr>
            </w:pPr>
            <w:r w:rsidRPr="00027624">
              <w:rPr>
                <w:rFonts w:cs="Calibri"/>
                <w:szCs w:val="18"/>
              </w:rPr>
              <w:t>9.5</w:t>
            </w:r>
          </w:p>
        </w:tc>
        <w:tc>
          <w:tcPr>
            <w:tcW w:w="467" w:type="pct"/>
            <w:vAlign w:val="bottom"/>
          </w:tcPr>
          <w:p w14:paraId="65BE9B1B" w14:textId="77777777" w:rsidR="00E96B29" w:rsidRPr="00027624" w:rsidRDefault="00E96B29" w:rsidP="00E96B29">
            <w:pPr>
              <w:pStyle w:val="TableTextCentered"/>
              <w:rPr>
                <w:szCs w:val="18"/>
              </w:rPr>
            </w:pPr>
            <w:r w:rsidRPr="00027624">
              <w:rPr>
                <w:rFonts w:cs="Calibri"/>
                <w:szCs w:val="18"/>
              </w:rPr>
              <w:t>8.4</w:t>
            </w:r>
          </w:p>
        </w:tc>
        <w:tc>
          <w:tcPr>
            <w:tcW w:w="467" w:type="pct"/>
            <w:vAlign w:val="bottom"/>
          </w:tcPr>
          <w:p w14:paraId="5C514E1F" w14:textId="77777777" w:rsidR="00E96B29" w:rsidRPr="00027624" w:rsidRDefault="00E96B29" w:rsidP="00E96B29">
            <w:pPr>
              <w:pStyle w:val="TableTextCentered"/>
              <w:rPr>
                <w:szCs w:val="18"/>
              </w:rPr>
            </w:pPr>
            <w:r w:rsidRPr="00027624">
              <w:rPr>
                <w:rFonts w:cs="Calibri"/>
                <w:szCs w:val="18"/>
              </w:rPr>
              <w:t>9.4</w:t>
            </w:r>
          </w:p>
        </w:tc>
        <w:tc>
          <w:tcPr>
            <w:tcW w:w="467" w:type="pct"/>
            <w:vAlign w:val="bottom"/>
          </w:tcPr>
          <w:p w14:paraId="362EEA02"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40D41409" w14:textId="77777777" w:rsidR="00E96B29" w:rsidRPr="00027624" w:rsidRDefault="00E96B29" w:rsidP="00E96B29">
            <w:pPr>
              <w:pStyle w:val="TableTextCentered"/>
              <w:rPr>
                <w:szCs w:val="18"/>
              </w:rPr>
            </w:pPr>
            <w:r w:rsidRPr="00027624">
              <w:rPr>
                <w:rFonts w:cs="Calibri"/>
                <w:szCs w:val="18"/>
              </w:rPr>
              <w:t>10.2</w:t>
            </w:r>
          </w:p>
        </w:tc>
        <w:tc>
          <w:tcPr>
            <w:tcW w:w="467" w:type="pct"/>
            <w:vAlign w:val="bottom"/>
          </w:tcPr>
          <w:p w14:paraId="231177C9" w14:textId="77777777" w:rsidR="00E96B29" w:rsidRPr="00027624" w:rsidRDefault="00E96B29" w:rsidP="00E96B29">
            <w:pPr>
              <w:pStyle w:val="TableTextCentered"/>
              <w:rPr>
                <w:szCs w:val="18"/>
              </w:rPr>
            </w:pPr>
            <w:r w:rsidRPr="00027624">
              <w:rPr>
                <w:rFonts w:cs="Calibri"/>
                <w:szCs w:val="18"/>
              </w:rPr>
              <w:t>10.4</w:t>
            </w:r>
          </w:p>
        </w:tc>
        <w:tc>
          <w:tcPr>
            <w:tcW w:w="464" w:type="pct"/>
            <w:vAlign w:val="bottom"/>
          </w:tcPr>
          <w:p w14:paraId="702D1DAD" w14:textId="77777777" w:rsidR="00E96B29" w:rsidRPr="00027624" w:rsidRDefault="00E96B29" w:rsidP="00E96B29">
            <w:pPr>
              <w:pStyle w:val="TableTextCentered"/>
              <w:rPr>
                <w:szCs w:val="18"/>
              </w:rPr>
            </w:pPr>
            <w:r w:rsidRPr="00027624">
              <w:rPr>
                <w:rFonts w:cs="Calibri"/>
                <w:szCs w:val="18"/>
              </w:rPr>
              <w:t>9.2</w:t>
            </w:r>
          </w:p>
        </w:tc>
        <w:tc>
          <w:tcPr>
            <w:tcW w:w="464" w:type="pct"/>
            <w:vAlign w:val="bottom"/>
          </w:tcPr>
          <w:p w14:paraId="0DD876E1" w14:textId="77777777" w:rsidR="00E96B29" w:rsidRPr="00027624" w:rsidRDefault="00E96B29" w:rsidP="00E96B29">
            <w:pPr>
              <w:pStyle w:val="TableTextCentered"/>
              <w:rPr>
                <w:szCs w:val="18"/>
              </w:rPr>
            </w:pPr>
            <w:r w:rsidRPr="00027624">
              <w:rPr>
                <w:rFonts w:cs="Calibri"/>
                <w:szCs w:val="18"/>
              </w:rPr>
              <w:t>7.2</w:t>
            </w:r>
          </w:p>
        </w:tc>
        <w:tc>
          <w:tcPr>
            <w:tcW w:w="520" w:type="pct"/>
            <w:vAlign w:val="bottom"/>
          </w:tcPr>
          <w:p w14:paraId="4455411F" w14:textId="77777777" w:rsidR="00E96B29" w:rsidRPr="00027624" w:rsidRDefault="00E96B29" w:rsidP="00E96B29">
            <w:pPr>
              <w:pStyle w:val="TableTextCentered"/>
              <w:rPr>
                <w:szCs w:val="18"/>
              </w:rPr>
            </w:pPr>
            <w:r w:rsidRPr="00027624">
              <w:rPr>
                <w:rFonts w:cs="Calibri"/>
                <w:szCs w:val="18"/>
              </w:rPr>
              <w:t>5.0</w:t>
            </w:r>
          </w:p>
        </w:tc>
      </w:tr>
      <w:tr w:rsidR="00E96B29" w:rsidRPr="00027624" w14:paraId="7009D69D" w14:textId="77777777" w:rsidTr="00E96B29">
        <w:trPr>
          <w:trHeight w:val="270"/>
        </w:trPr>
        <w:tc>
          <w:tcPr>
            <w:tcW w:w="750" w:type="pct"/>
            <w:vAlign w:val="bottom"/>
          </w:tcPr>
          <w:p w14:paraId="212CF7DE" w14:textId="77777777" w:rsidR="00E96B29" w:rsidRPr="00027624" w:rsidRDefault="00E96B29" w:rsidP="00E96B29">
            <w:pPr>
              <w:pStyle w:val="TableTextLeft"/>
              <w:rPr>
                <w:szCs w:val="18"/>
              </w:rPr>
            </w:pPr>
            <w:r w:rsidRPr="00027624">
              <w:rPr>
                <w:bCs/>
                <w:szCs w:val="18"/>
              </w:rPr>
              <w:t>69</w:t>
            </w:r>
          </w:p>
        </w:tc>
        <w:tc>
          <w:tcPr>
            <w:tcW w:w="467" w:type="pct"/>
            <w:vAlign w:val="bottom"/>
          </w:tcPr>
          <w:p w14:paraId="552DCBC6"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58EF59BF" w14:textId="77777777" w:rsidR="00E96B29" w:rsidRPr="00027624" w:rsidRDefault="00E96B29" w:rsidP="00E96B29">
            <w:pPr>
              <w:pStyle w:val="TableTextCentered"/>
              <w:rPr>
                <w:szCs w:val="18"/>
              </w:rPr>
            </w:pPr>
            <w:r w:rsidRPr="00027624">
              <w:rPr>
                <w:rFonts w:cs="Calibri"/>
                <w:szCs w:val="18"/>
              </w:rPr>
              <w:t>8.5</w:t>
            </w:r>
          </w:p>
        </w:tc>
        <w:tc>
          <w:tcPr>
            <w:tcW w:w="467" w:type="pct"/>
            <w:vAlign w:val="bottom"/>
          </w:tcPr>
          <w:p w14:paraId="7152E706" w14:textId="77777777" w:rsidR="00E96B29" w:rsidRPr="00027624" w:rsidRDefault="00E96B29" w:rsidP="00E96B29">
            <w:pPr>
              <w:pStyle w:val="TableTextCentered"/>
              <w:rPr>
                <w:szCs w:val="18"/>
              </w:rPr>
            </w:pPr>
            <w:r w:rsidRPr="00027624">
              <w:rPr>
                <w:rFonts w:cs="Calibri"/>
                <w:szCs w:val="18"/>
              </w:rPr>
              <w:t>9.3</w:t>
            </w:r>
          </w:p>
        </w:tc>
        <w:tc>
          <w:tcPr>
            <w:tcW w:w="467" w:type="pct"/>
            <w:vAlign w:val="bottom"/>
          </w:tcPr>
          <w:p w14:paraId="1475CDF0"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066A344D" w14:textId="77777777" w:rsidR="00E96B29" w:rsidRPr="00027624" w:rsidRDefault="00E96B29" w:rsidP="00E96B29">
            <w:pPr>
              <w:pStyle w:val="TableTextCentered"/>
              <w:rPr>
                <w:szCs w:val="18"/>
              </w:rPr>
            </w:pPr>
            <w:r w:rsidRPr="00027624">
              <w:rPr>
                <w:rFonts w:cs="Calibri"/>
                <w:szCs w:val="18"/>
              </w:rPr>
              <w:t>10.2</w:t>
            </w:r>
          </w:p>
        </w:tc>
        <w:tc>
          <w:tcPr>
            <w:tcW w:w="467" w:type="pct"/>
            <w:vAlign w:val="bottom"/>
          </w:tcPr>
          <w:p w14:paraId="336525B8" w14:textId="77777777" w:rsidR="00E96B29" w:rsidRPr="00027624" w:rsidRDefault="00E96B29" w:rsidP="00E96B29">
            <w:pPr>
              <w:pStyle w:val="TableTextCentered"/>
              <w:rPr>
                <w:szCs w:val="18"/>
              </w:rPr>
            </w:pPr>
            <w:r w:rsidRPr="00027624">
              <w:rPr>
                <w:rFonts w:cs="Calibri"/>
                <w:szCs w:val="18"/>
              </w:rPr>
              <w:t>10.5</w:t>
            </w:r>
          </w:p>
        </w:tc>
        <w:tc>
          <w:tcPr>
            <w:tcW w:w="464" w:type="pct"/>
            <w:vAlign w:val="bottom"/>
          </w:tcPr>
          <w:p w14:paraId="4A64E314" w14:textId="77777777" w:rsidR="00E96B29" w:rsidRPr="00027624" w:rsidRDefault="00E96B29" w:rsidP="00E96B29">
            <w:pPr>
              <w:pStyle w:val="TableTextCentered"/>
              <w:rPr>
                <w:szCs w:val="18"/>
              </w:rPr>
            </w:pPr>
            <w:r w:rsidRPr="00027624">
              <w:rPr>
                <w:rFonts w:cs="Calibri"/>
                <w:szCs w:val="18"/>
              </w:rPr>
              <w:t>9.9</w:t>
            </w:r>
          </w:p>
        </w:tc>
        <w:tc>
          <w:tcPr>
            <w:tcW w:w="464" w:type="pct"/>
            <w:vAlign w:val="bottom"/>
          </w:tcPr>
          <w:p w14:paraId="1B684AF0" w14:textId="77777777" w:rsidR="00E96B29" w:rsidRPr="00027624" w:rsidRDefault="00E96B29" w:rsidP="00E96B29">
            <w:pPr>
              <w:pStyle w:val="TableTextCentered"/>
              <w:rPr>
                <w:szCs w:val="18"/>
              </w:rPr>
            </w:pPr>
            <w:r w:rsidRPr="00027624">
              <w:rPr>
                <w:rFonts w:cs="Calibri"/>
                <w:szCs w:val="18"/>
              </w:rPr>
              <w:t>7.6</w:t>
            </w:r>
          </w:p>
        </w:tc>
        <w:tc>
          <w:tcPr>
            <w:tcW w:w="520" w:type="pct"/>
            <w:vAlign w:val="bottom"/>
          </w:tcPr>
          <w:p w14:paraId="0B0F9668" w14:textId="77777777" w:rsidR="00E96B29" w:rsidRPr="00027624" w:rsidRDefault="00E96B29" w:rsidP="00E96B29">
            <w:pPr>
              <w:pStyle w:val="TableTextCentered"/>
              <w:rPr>
                <w:szCs w:val="18"/>
              </w:rPr>
            </w:pPr>
            <w:r w:rsidRPr="00027624">
              <w:rPr>
                <w:rFonts w:cs="Calibri"/>
                <w:szCs w:val="18"/>
              </w:rPr>
              <w:t>5.3</w:t>
            </w:r>
          </w:p>
        </w:tc>
      </w:tr>
      <w:tr w:rsidR="00E96B29" w:rsidRPr="00027624" w14:paraId="2E0867C7" w14:textId="77777777" w:rsidTr="00E96B29">
        <w:trPr>
          <w:trHeight w:val="270"/>
        </w:trPr>
        <w:tc>
          <w:tcPr>
            <w:tcW w:w="750" w:type="pct"/>
            <w:vAlign w:val="bottom"/>
          </w:tcPr>
          <w:p w14:paraId="447B4623" w14:textId="77777777" w:rsidR="00E96B29" w:rsidRPr="00027624" w:rsidRDefault="00E96B29" w:rsidP="00E96B29">
            <w:pPr>
              <w:pStyle w:val="TableTextLeft"/>
              <w:rPr>
                <w:szCs w:val="18"/>
              </w:rPr>
            </w:pPr>
            <w:r w:rsidRPr="00027624">
              <w:rPr>
                <w:bCs/>
                <w:szCs w:val="18"/>
              </w:rPr>
              <w:t>70</w:t>
            </w:r>
          </w:p>
        </w:tc>
        <w:tc>
          <w:tcPr>
            <w:tcW w:w="467" w:type="pct"/>
            <w:vAlign w:val="bottom"/>
          </w:tcPr>
          <w:p w14:paraId="483E855B" w14:textId="77777777" w:rsidR="00E96B29" w:rsidRPr="00027624" w:rsidRDefault="00E96B29" w:rsidP="00E96B29">
            <w:pPr>
              <w:pStyle w:val="TableTextCentered"/>
              <w:rPr>
                <w:szCs w:val="18"/>
              </w:rPr>
            </w:pPr>
            <w:r w:rsidRPr="00027624">
              <w:rPr>
                <w:rFonts w:cs="Calibri"/>
                <w:szCs w:val="18"/>
              </w:rPr>
              <w:t>10.3</w:t>
            </w:r>
          </w:p>
        </w:tc>
        <w:tc>
          <w:tcPr>
            <w:tcW w:w="467" w:type="pct"/>
            <w:vAlign w:val="bottom"/>
          </w:tcPr>
          <w:p w14:paraId="218EC954" w14:textId="77777777" w:rsidR="00E96B29" w:rsidRPr="00027624" w:rsidRDefault="00E96B29" w:rsidP="00E96B29">
            <w:pPr>
              <w:pStyle w:val="TableTextCentered"/>
              <w:rPr>
                <w:szCs w:val="18"/>
              </w:rPr>
            </w:pPr>
            <w:r w:rsidRPr="00027624">
              <w:rPr>
                <w:rFonts w:cs="Calibri"/>
                <w:szCs w:val="18"/>
              </w:rPr>
              <w:t>8.7</w:t>
            </w:r>
          </w:p>
        </w:tc>
        <w:tc>
          <w:tcPr>
            <w:tcW w:w="467" w:type="pct"/>
            <w:vAlign w:val="bottom"/>
          </w:tcPr>
          <w:p w14:paraId="7DCE6A1D" w14:textId="77777777" w:rsidR="00E96B29" w:rsidRPr="00027624" w:rsidRDefault="00E96B29" w:rsidP="00E96B29">
            <w:pPr>
              <w:pStyle w:val="TableTextCentered"/>
              <w:rPr>
                <w:szCs w:val="18"/>
              </w:rPr>
            </w:pPr>
            <w:r w:rsidRPr="00027624">
              <w:rPr>
                <w:rFonts w:cs="Calibri"/>
                <w:szCs w:val="18"/>
              </w:rPr>
              <w:t>9.2</w:t>
            </w:r>
          </w:p>
        </w:tc>
        <w:tc>
          <w:tcPr>
            <w:tcW w:w="467" w:type="pct"/>
            <w:vAlign w:val="bottom"/>
          </w:tcPr>
          <w:p w14:paraId="72C9C920"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4235D4B9" w14:textId="77777777" w:rsidR="00E96B29" w:rsidRPr="00027624" w:rsidRDefault="00E96B29" w:rsidP="00E96B29">
            <w:pPr>
              <w:pStyle w:val="TableTextCentered"/>
              <w:rPr>
                <w:szCs w:val="18"/>
              </w:rPr>
            </w:pPr>
            <w:r w:rsidRPr="00027624">
              <w:rPr>
                <w:rFonts w:cs="Calibri"/>
                <w:szCs w:val="18"/>
              </w:rPr>
              <w:t>10.3</w:t>
            </w:r>
          </w:p>
        </w:tc>
        <w:tc>
          <w:tcPr>
            <w:tcW w:w="467" w:type="pct"/>
            <w:vAlign w:val="bottom"/>
          </w:tcPr>
          <w:p w14:paraId="262EA00A" w14:textId="77777777" w:rsidR="00E96B29" w:rsidRPr="00027624" w:rsidRDefault="00E96B29" w:rsidP="00E96B29">
            <w:pPr>
              <w:pStyle w:val="TableTextCentered"/>
              <w:rPr>
                <w:szCs w:val="18"/>
              </w:rPr>
            </w:pPr>
            <w:r w:rsidRPr="00027624">
              <w:rPr>
                <w:rFonts w:cs="Calibri"/>
                <w:szCs w:val="18"/>
              </w:rPr>
              <w:t>10.6</w:t>
            </w:r>
          </w:p>
        </w:tc>
        <w:tc>
          <w:tcPr>
            <w:tcW w:w="464" w:type="pct"/>
            <w:vAlign w:val="bottom"/>
          </w:tcPr>
          <w:p w14:paraId="65BE6983" w14:textId="77777777" w:rsidR="00E96B29" w:rsidRPr="00027624" w:rsidRDefault="00E96B29" w:rsidP="00E96B29">
            <w:pPr>
              <w:pStyle w:val="TableTextCentered"/>
              <w:rPr>
                <w:szCs w:val="18"/>
              </w:rPr>
            </w:pPr>
            <w:r w:rsidRPr="00027624">
              <w:rPr>
                <w:rFonts w:cs="Calibri"/>
                <w:szCs w:val="18"/>
              </w:rPr>
              <w:t>10.7</w:t>
            </w:r>
          </w:p>
        </w:tc>
        <w:tc>
          <w:tcPr>
            <w:tcW w:w="464" w:type="pct"/>
            <w:vAlign w:val="bottom"/>
          </w:tcPr>
          <w:p w14:paraId="54E2A42D" w14:textId="77777777" w:rsidR="00E96B29" w:rsidRPr="00027624" w:rsidRDefault="00E96B29" w:rsidP="00E96B29">
            <w:pPr>
              <w:pStyle w:val="TableTextCentered"/>
              <w:rPr>
                <w:szCs w:val="18"/>
              </w:rPr>
            </w:pPr>
            <w:r w:rsidRPr="00027624">
              <w:rPr>
                <w:rFonts w:cs="Calibri"/>
                <w:szCs w:val="18"/>
              </w:rPr>
              <w:t>8.1</w:t>
            </w:r>
          </w:p>
        </w:tc>
        <w:tc>
          <w:tcPr>
            <w:tcW w:w="520" w:type="pct"/>
            <w:vAlign w:val="bottom"/>
          </w:tcPr>
          <w:p w14:paraId="15C1272B" w14:textId="77777777" w:rsidR="00E96B29" w:rsidRPr="00027624" w:rsidRDefault="00E96B29" w:rsidP="00E96B29">
            <w:pPr>
              <w:pStyle w:val="TableTextCentered"/>
              <w:rPr>
                <w:szCs w:val="18"/>
              </w:rPr>
            </w:pPr>
            <w:r w:rsidRPr="00027624">
              <w:rPr>
                <w:rFonts w:cs="Calibri"/>
                <w:szCs w:val="18"/>
              </w:rPr>
              <w:t>5.5</w:t>
            </w:r>
          </w:p>
        </w:tc>
      </w:tr>
      <w:tr w:rsidR="00E96B29" w:rsidRPr="00027624" w14:paraId="0394D287" w14:textId="77777777" w:rsidTr="00E96B29">
        <w:trPr>
          <w:trHeight w:val="270"/>
        </w:trPr>
        <w:tc>
          <w:tcPr>
            <w:tcW w:w="750" w:type="pct"/>
            <w:vAlign w:val="bottom"/>
          </w:tcPr>
          <w:p w14:paraId="1381F7E4" w14:textId="77777777" w:rsidR="00E96B29" w:rsidRPr="00027624" w:rsidRDefault="00E96B29" w:rsidP="00E96B29">
            <w:pPr>
              <w:pStyle w:val="TableTextLeft"/>
              <w:rPr>
                <w:szCs w:val="18"/>
              </w:rPr>
            </w:pPr>
            <w:r w:rsidRPr="00027624">
              <w:rPr>
                <w:bCs/>
                <w:szCs w:val="18"/>
              </w:rPr>
              <w:t>71</w:t>
            </w:r>
          </w:p>
        </w:tc>
        <w:tc>
          <w:tcPr>
            <w:tcW w:w="467" w:type="pct"/>
            <w:vAlign w:val="bottom"/>
          </w:tcPr>
          <w:p w14:paraId="7C0F9AF3" w14:textId="77777777" w:rsidR="00E96B29" w:rsidRPr="00027624" w:rsidRDefault="00E96B29" w:rsidP="00E96B29">
            <w:pPr>
              <w:pStyle w:val="TableTextCentered"/>
              <w:rPr>
                <w:szCs w:val="18"/>
              </w:rPr>
            </w:pPr>
            <w:r w:rsidRPr="00027624">
              <w:rPr>
                <w:rFonts w:cs="Calibri"/>
                <w:szCs w:val="18"/>
              </w:rPr>
              <w:t>10.7</w:t>
            </w:r>
          </w:p>
        </w:tc>
        <w:tc>
          <w:tcPr>
            <w:tcW w:w="467" w:type="pct"/>
            <w:vAlign w:val="bottom"/>
          </w:tcPr>
          <w:p w14:paraId="7DB85429" w14:textId="77777777" w:rsidR="00E96B29" w:rsidRPr="00027624" w:rsidRDefault="00E96B29" w:rsidP="00E96B29">
            <w:pPr>
              <w:pStyle w:val="TableTextCentered"/>
              <w:rPr>
                <w:szCs w:val="18"/>
              </w:rPr>
            </w:pPr>
            <w:r w:rsidRPr="00027624">
              <w:rPr>
                <w:rFonts w:cs="Calibri"/>
                <w:szCs w:val="18"/>
              </w:rPr>
              <w:t>8.9</w:t>
            </w:r>
          </w:p>
        </w:tc>
        <w:tc>
          <w:tcPr>
            <w:tcW w:w="467" w:type="pct"/>
            <w:vAlign w:val="bottom"/>
          </w:tcPr>
          <w:p w14:paraId="23819AB6" w14:textId="77777777" w:rsidR="00E96B29" w:rsidRPr="00027624" w:rsidRDefault="00E96B29" w:rsidP="00E96B29">
            <w:pPr>
              <w:pStyle w:val="TableTextCentered"/>
              <w:rPr>
                <w:szCs w:val="18"/>
              </w:rPr>
            </w:pPr>
            <w:r w:rsidRPr="00027624">
              <w:rPr>
                <w:rFonts w:cs="Calibri"/>
                <w:szCs w:val="18"/>
              </w:rPr>
              <w:t>9.0</w:t>
            </w:r>
          </w:p>
        </w:tc>
        <w:tc>
          <w:tcPr>
            <w:tcW w:w="467" w:type="pct"/>
            <w:vAlign w:val="bottom"/>
          </w:tcPr>
          <w:p w14:paraId="3E190EA9"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62543B5D" w14:textId="77777777" w:rsidR="00E96B29" w:rsidRPr="00027624" w:rsidRDefault="00E96B29" w:rsidP="00E96B29">
            <w:pPr>
              <w:pStyle w:val="TableTextCentered"/>
              <w:rPr>
                <w:szCs w:val="18"/>
              </w:rPr>
            </w:pPr>
            <w:r w:rsidRPr="00027624">
              <w:rPr>
                <w:rFonts w:cs="Calibri"/>
                <w:szCs w:val="18"/>
              </w:rPr>
              <w:t>10.3</w:t>
            </w:r>
          </w:p>
        </w:tc>
        <w:tc>
          <w:tcPr>
            <w:tcW w:w="467" w:type="pct"/>
            <w:vAlign w:val="bottom"/>
          </w:tcPr>
          <w:p w14:paraId="5476540C" w14:textId="77777777" w:rsidR="00E96B29" w:rsidRPr="00027624" w:rsidRDefault="00E96B29" w:rsidP="00E96B29">
            <w:pPr>
              <w:pStyle w:val="TableTextCentered"/>
              <w:rPr>
                <w:szCs w:val="18"/>
              </w:rPr>
            </w:pPr>
            <w:r w:rsidRPr="00027624">
              <w:rPr>
                <w:rFonts w:cs="Calibri"/>
                <w:szCs w:val="18"/>
              </w:rPr>
              <w:t>10.7</w:t>
            </w:r>
          </w:p>
        </w:tc>
        <w:tc>
          <w:tcPr>
            <w:tcW w:w="464" w:type="pct"/>
            <w:vAlign w:val="bottom"/>
          </w:tcPr>
          <w:p w14:paraId="5A833476" w14:textId="77777777" w:rsidR="00E96B29" w:rsidRPr="00027624" w:rsidRDefault="00E96B29" w:rsidP="00E96B29">
            <w:pPr>
              <w:pStyle w:val="TableTextCentered"/>
              <w:rPr>
                <w:szCs w:val="18"/>
              </w:rPr>
            </w:pPr>
            <w:r w:rsidRPr="00027624">
              <w:rPr>
                <w:rFonts w:cs="Calibri"/>
                <w:szCs w:val="18"/>
              </w:rPr>
              <w:t>11.0</w:t>
            </w:r>
          </w:p>
        </w:tc>
        <w:tc>
          <w:tcPr>
            <w:tcW w:w="464" w:type="pct"/>
            <w:vAlign w:val="bottom"/>
          </w:tcPr>
          <w:p w14:paraId="7680867B" w14:textId="77777777" w:rsidR="00E96B29" w:rsidRPr="00027624" w:rsidRDefault="00E96B29" w:rsidP="00E96B29">
            <w:pPr>
              <w:pStyle w:val="TableTextCentered"/>
              <w:rPr>
                <w:szCs w:val="18"/>
              </w:rPr>
            </w:pPr>
            <w:r w:rsidRPr="00027624">
              <w:rPr>
                <w:rFonts w:cs="Calibri"/>
                <w:szCs w:val="18"/>
              </w:rPr>
              <w:t>8.6</w:t>
            </w:r>
          </w:p>
        </w:tc>
        <w:tc>
          <w:tcPr>
            <w:tcW w:w="520" w:type="pct"/>
            <w:vAlign w:val="bottom"/>
          </w:tcPr>
          <w:p w14:paraId="3BB400F0" w14:textId="77777777" w:rsidR="00E96B29" w:rsidRPr="00027624" w:rsidRDefault="00E96B29" w:rsidP="00E96B29">
            <w:pPr>
              <w:pStyle w:val="TableTextCentered"/>
              <w:rPr>
                <w:szCs w:val="18"/>
              </w:rPr>
            </w:pPr>
            <w:r w:rsidRPr="00027624">
              <w:rPr>
                <w:rFonts w:cs="Calibri"/>
                <w:szCs w:val="18"/>
              </w:rPr>
              <w:t>5.7</w:t>
            </w:r>
          </w:p>
        </w:tc>
      </w:tr>
      <w:tr w:rsidR="00E96B29" w:rsidRPr="00027624" w14:paraId="3CFD3E60" w14:textId="77777777" w:rsidTr="00E96B29">
        <w:trPr>
          <w:trHeight w:val="270"/>
        </w:trPr>
        <w:tc>
          <w:tcPr>
            <w:tcW w:w="750" w:type="pct"/>
            <w:vAlign w:val="bottom"/>
          </w:tcPr>
          <w:p w14:paraId="7F5D48A0" w14:textId="77777777" w:rsidR="00E96B29" w:rsidRPr="00027624" w:rsidRDefault="00E96B29" w:rsidP="00E96B29">
            <w:pPr>
              <w:pStyle w:val="TableTextLeft"/>
              <w:rPr>
                <w:szCs w:val="18"/>
              </w:rPr>
            </w:pPr>
            <w:r w:rsidRPr="00027624">
              <w:rPr>
                <w:bCs/>
                <w:szCs w:val="18"/>
              </w:rPr>
              <w:t>72</w:t>
            </w:r>
          </w:p>
        </w:tc>
        <w:tc>
          <w:tcPr>
            <w:tcW w:w="467" w:type="pct"/>
            <w:vAlign w:val="bottom"/>
          </w:tcPr>
          <w:p w14:paraId="38B81C2F" w14:textId="77777777" w:rsidR="00E96B29" w:rsidRPr="00027624" w:rsidRDefault="00E96B29" w:rsidP="00E96B29">
            <w:pPr>
              <w:pStyle w:val="TableTextCentered"/>
              <w:rPr>
                <w:szCs w:val="18"/>
              </w:rPr>
            </w:pPr>
            <w:r w:rsidRPr="00027624">
              <w:rPr>
                <w:rFonts w:cs="Calibri"/>
                <w:szCs w:val="18"/>
              </w:rPr>
              <w:t>11.2</w:t>
            </w:r>
          </w:p>
        </w:tc>
        <w:tc>
          <w:tcPr>
            <w:tcW w:w="467" w:type="pct"/>
            <w:vAlign w:val="bottom"/>
          </w:tcPr>
          <w:p w14:paraId="0A1E0CDF" w14:textId="77777777" w:rsidR="00E96B29" w:rsidRPr="00027624" w:rsidRDefault="00E96B29" w:rsidP="00E96B29">
            <w:pPr>
              <w:pStyle w:val="TableTextCentered"/>
              <w:rPr>
                <w:szCs w:val="18"/>
              </w:rPr>
            </w:pPr>
            <w:r w:rsidRPr="00027624">
              <w:rPr>
                <w:rFonts w:cs="Calibri"/>
                <w:szCs w:val="18"/>
              </w:rPr>
              <w:t>9.2</w:t>
            </w:r>
          </w:p>
        </w:tc>
        <w:tc>
          <w:tcPr>
            <w:tcW w:w="467" w:type="pct"/>
            <w:vAlign w:val="bottom"/>
          </w:tcPr>
          <w:p w14:paraId="3DE079AA" w14:textId="77777777" w:rsidR="00E96B29" w:rsidRPr="00027624" w:rsidRDefault="00E96B29" w:rsidP="00E96B29">
            <w:pPr>
              <w:pStyle w:val="TableTextCentered"/>
              <w:rPr>
                <w:szCs w:val="18"/>
              </w:rPr>
            </w:pPr>
            <w:r w:rsidRPr="00027624">
              <w:rPr>
                <w:rFonts w:cs="Calibri"/>
                <w:szCs w:val="18"/>
              </w:rPr>
              <w:t>8.9</w:t>
            </w:r>
          </w:p>
        </w:tc>
        <w:tc>
          <w:tcPr>
            <w:tcW w:w="467" w:type="pct"/>
            <w:vAlign w:val="bottom"/>
          </w:tcPr>
          <w:p w14:paraId="67A84081" w14:textId="77777777" w:rsidR="00E96B29" w:rsidRPr="00027624" w:rsidRDefault="00E96B29" w:rsidP="00E96B29">
            <w:pPr>
              <w:pStyle w:val="TableTextCentered"/>
              <w:rPr>
                <w:szCs w:val="18"/>
              </w:rPr>
            </w:pPr>
            <w:r w:rsidRPr="00027624">
              <w:rPr>
                <w:rFonts w:cs="Calibri"/>
                <w:szCs w:val="18"/>
              </w:rPr>
              <w:t>9.8</w:t>
            </w:r>
          </w:p>
        </w:tc>
        <w:tc>
          <w:tcPr>
            <w:tcW w:w="467" w:type="pct"/>
            <w:vAlign w:val="bottom"/>
          </w:tcPr>
          <w:p w14:paraId="3CBF7539" w14:textId="77777777" w:rsidR="00E96B29" w:rsidRPr="00027624" w:rsidRDefault="00E96B29" w:rsidP="00E96B29">
            <w:pPr>
              <w:pStyle w:val="TableTextCentered"/>
              <w:rPr>
                <w:szCs w:val="18"/>
              </w:rPr>
            </w:pPr>
            <w:r w:rsidRPr="00027624">
              <w:rPr>
                <w:rFonts w:cs="Calibri"/>
                <w:szCs w:val="18"/>
              </w:rPr>
              <w:t>10.4</w:t>
            </w:r>
          </w:p>
        </w:tc>
        <w:tc>
          <w:tcPr>
            <w:tcW w:w="467" w:type="pct"/>
            <w:vAlign w:val="bottom"/>
          </w:tcPr>
          <w:p w14:paraId="1800D5D0" w14:textId="77777777" w:rsidR="00E96B29" w:rsidRPr="00027624" w:rsidRDefault="00E96B29" w:rsidP="00E96B29">
            <w:pPr>
              <w:pStyle w:val="TableTextCentered"/>
              <w:rPr>
                <w:szCs w:val="18"/>
              </w:rPr>
            </w:pPr>
            <w:r w:rsidRPr="00027624">
              <w:rPr>
                <w:rFonts w:cs="Calibri"/>
                <w:szCs w:val="18"/>
              </w:rPr>
              <w:t>10.8</w:t>
            </w:r>
          </w:p>
        </w:tc>
        <w:tc>
          <w:tcPr>
            <w:tcW w:w="464" w:type="pct"/>
            <w:vAlign w:val="bottom"/>
          </w:tcPr>
          <w:p w14:paraId="731758B0" w14:textId="77777777" w:rsidR="00E96B29" w:rsidRPr="00027624" w:rsidRDefault="00E96B29" w:rsidP="00E96B29">
            <w:pPr>
              <w:pStyle w:val="TableTextCentered"/>
              <w:rPr>
                <w:szCs w:val="18"/>
              </w:rPr>
            </w:pPr>
            <w:r w:rsidRPr="00027624">
              <w:rPr>
                <w:rFonts w:cs="Calibri"/>
                <w:szCs w:val="18"/>
              </w:rPr>
              <w:t>11.1</w:t>
            </w:r>
          </w:p>
        </w:tc>
        <w:tc>
          <w:tcPr>
            <w:tcW w:w="464" w:type="pct"/>
            <w:vAlign w:val="bottom"/>
          </w:tcPr>
          <w:p w14:paraId="61B246C1" w14:textId="77777777" w:rsidR="00E96B29" w:rsidRPr="00027624" w:rsidRDefault="00E96B29" w:rsidP="00E96B29">
            <w:pPr>
              <w:pStyle w:val="TableTextCentered"/>
              <w:rPr>
                <w:szCs w:val="18"/>
              </w:rPr>
            </w:pPr>
            <w:r w:rsidRPr="00027624">
              <w:rPr>
                <w:rFonts w:cs="Calibri"/>
                <w:szCs w:val="18"/>
              </w:rPr>
              <w:t>9.2</w:t>
            </w:r>
          </w:p>
        </w:tc>
        <w:tc>
          <w:tcPr>
            <w:tcW w:w="520" w:type="pct"/>
            <w:vAlign w:val="bottom"/>
          </w:tcPr>
          <w:p w14:paraId="0F514CD5" w14:textId="77777777" w:rsidR="00E96B29" w:rsidRPr="00027624" w:rsidRDefault="00E96B29" w:rsidP="00E96B29">
            <w:pPr>
              <w:pStyle w:val="TableTextCentered"/>
              <w:rPr>
                <w:szCs w:val="18"/>
              </w:rPr>
            </w:pPr>
            <w:r w:rsidRPr="00027624">
              <w:rPr>
                <w:rFonts w:cs="Calibri"/>
                <w:szCs w:val="18"/>
              </w:rPr>
              <w:t>6.0</w:t>
            </w:r>
          </w:p>
        </w:tc>
      </w:tr>
      <w:tr w:rsidR="00E96B29" w:rsidRPr="00027624" w14:paraId="02B893EB" w14:textId="77777777" w:rsidTr="00E96B29">
        <w:trPr>
          <w:trHeight w:val="270"/>
        </w:trPr>
        <w:tc>
          <w:tcPr>
            <w:tcW w:w="750" w:type="pct"/>
            <w:vAlign w:val="bottom"/>
          </w:tcPr>
          <w:p w14:paraId="5A4ECF27" w14:textId="77777777" w:rsidR="00E96B29" w:rsidRPr="00027624" w:rsidRDefault="00E96B29" w:rsidP="00E96B29">
            <w:pPr>
              <w:pStyle w:val="TableTextLeft"/>
              <w:rPr>
                <w:szCs w:val="18"/>
              </w:rPr>
            </w:pPr>
            <w:r w:rsidRPr="00027624">
              <w:rPr>
                <w:bCs/>
                <w:szCs w:val="18"/>
              </w:rPr>
              <w:t>73</w:t>
            </w:r>
          </w:p>
        </w:tc>
        <w:tc>
          <w:tcPr>
            <w:tcW w:w="467" w:type="pct"/>
            <w:vAlign w:val="bottom"/>
          </w:tcPr>
          <w:p w14:paraId="1C6DE2B0" w14:textId="77777777" w:rsidR="00E96B29" w:rsidRPr="00027624" w:rsidRDefault="00E96B29" w:rsidP="00E96B29">
            <w:pPr>
              <w:pStyle w:val="TableTextCentered"/>
              <w:rPr>
                <w:szCs w:val="18"/>
              </w:rPr>
            </w:pPr>
            <w:r w:rsidRPr="00027624">
              <w:rPr>
                <w:rFonts w:cs="Calibri"/>
                <w:szCs w:val="18"/>
              </w:rPr>
              <w:t>11.7</w:t>
            </w:r>
          </w:p>
        </w:tc>
        <w:tc>
          <w:tcPr>
            <w:tcW w:w="467" w:type="pct"/>
            <w:vAlign w:val="bottom"/>
          </w:tcPr>
          <w:p w14:paraId="3E9E3368" w14:textId="77777777" w:rsidR="00E96B29" w:rsidRPr="00027624" w:rsidRDefault="00E96B29" w:rsidP="00E96B29">
            <w:pPr>
              <w:pStyle w:val="TableTextCentered"/>
              <w:rPr>
                <w:szCs w:val="18"/>
              </w:rPr>
            </w:pPr>
            <w:r w:rsidRPr="00027624">
              <w:rPr>
                <w:rFonts w:cs="Calibri"/>
                <w:szCs w:val="18"/>
              </w:rPr>
              <w:t>9.5</w:t>
            </w:r>
          </w:p>
        </w:tc>
        <w:tc>
          <w:tcPr>
            <w:tcW w:w="467" w:type="pct"/>
            <w:vAlign w:val="bottom"/>
          </w:tcPr>
          <w:p w14:paraId="562702D5" w14:textId="77777777" w:rsidR="00E96B29" w:rsidRPr="00027624" w:rsidRDefault="00E96B29" w:rsidP="00E96B29">
            <w:pPr>
              <w:pStyle w:val="TableTextCentered"/>
              <w:rPr>
                <w:szCs w:val="18"/>
              </w:rPr>
            </w:pPr>
            <w:r w:rsidRPr="00027624">
              <w:rPr>
                <w:rFonts w:cs="Calibri"/>
                <w:szCs w:val="18"/>
              </w:rPr>
              <w:t>9.0</w:t>
            </w:r>
          </w:p>
        </w:tc>
        <w:tc>
          <w:tcPr>
            <w:tcW w:w="467" w:type="pct"/>
            <w:vAlign w:val="bottom"/>
          </w:tcPr>
          <w:p w14:paraId="31A48E5B" w14:textId="77777777" w:rsidR="00E96B29" w:rsidRPr="00027624" w:rsidRDefault="00E96B29" w:rsidP="00E96B29">
            <w:pPr>
              <w:pStyle w:val="TableTextCentered"/>
              <w:rPr>
                <w:szCs w:val="18"/>
              </w:rPr>
            </w:pPr>
            <w:r w:rsidRPr="00027624">
              <w:rPr>
                <w:rFonts w:cs="Calibri"/>
                <w:szCs w:val="18"/>
              </w:rPr>
              <w:t>9.8</w:t>
            </w:r>
          </w:p>
        </w:tc>
        <w:tc>
          <w:tcPr>
            <w:tcW w:w="467" w:type="pct"/>
            <w:vAlign w:val="bottom"/>
          </w:tcPr>
          <w:p w14:paraId="10F5FEE5" w14:textId="77777777" w:rsidR="00E96B29" w:rsidRPr="00027624" w:rsidRDefault="00E96B29" w:rsidP="00E96B29">
            <w:pPr>
              <w:pStyle w:val="TableTextCentered"/>
              <w:rPr>
                <w:szCs w:val="18"/>
              </w:rPr>
            </w:pPr>
            <w:r w:rsidRPr="00027624">
              <w:rPr>
                <w:rFonts w:cs="Calibri"/>
                <w:szCs w:val="18"/>
              </w:rPr>
              <w:t>10.4</w:t>
            </w:r>
          </w:p>
        </w:tc>
        <w:tc>
          <w:tcPr>
            <w:tcW w:w="467" w:type="pct"/>
            <w:vAlign w:val="bottom"/>
          </w:tcPr>
          <w:p w14:paraId="484055C2" w14:textId="77777777" w:rsidR="00E96B29" w:rsidRPr="00027624" w:rsidRDefault="00E96B29" w:rsidP="00E96B29">
            <w:pPr>
              <w:pStyle w:val="TableTextCentered"/>
              <w:rPr>
                <w:szCs w:val="18"/>
              </w:rPr>
            </w:pPr>
            <w:r w:rsidRPr="00027624">
              <w:rPr>
                <w:rFonts w:cs="Calibri"/>
                <w:szCs w:val="18"/>
              </w:rPr>
              <w:t>10.9</w:t>
            </w:r>
          </w:p>
        </w:tc>
        <w:tc>
          <w:tcPr>
            <w:tcW w:w="464" w:type="pct"/>
            <w:vAlign w:val="bottom"/>
          </w:tcPr>
          <w:p w14:paraId="6726C0A7" w14:textId="77777777" w:rsidR="00E96B29" w:rsidRPr="00027624" w:rsidRDefault="00E96B29" w:rsidP="00E96B29">
            <w:pPr>
              <w:pStyle w:val="TableTextCentered"/>
              <w:rPr>
                <w:szCs w:val="18"/>
              </w:rPr>
            </w:pPr>
            <w:r w:rsidRPr="00027624">
              <w:rPr>
                <w:rFonts w:cs="Calibri"/>
                <w:szCs w:val="18"/>
              </w:rPr>
              <w:t>11.3</w:t>
            </w:r>
          </w:p>
        </w:tc>
        <w:tc>
          <w:tcPr>
            <w:tcW w:w="464" w:type="pct"/>
            <w:vAlign w:val="bottom"/>
          </w:tcPr>
          <w:p w14:paraId="54B9A3F4" w14:textId="77777777" w:rsidR="00E96B29" w:rsidRPr="00027624" w:rsidRDefault="00E96B29" w:rsidP="00E96B29">
            <w:pPr>
              <w:pStyle w:val="TableTextCentered"/>
              <w:rPr>
                <w:szCs w:val="18"/>
              </w:rPr>
            </w:pPr>
            <w:r w:rsidRPr="00027624">
              <w:rPr>
                <w:rFonts w:cs="Calibri"/>
                <w:szCs w:val="18"/>
              </w:rPr>
              <w:t>9.9</w:t>
            </w:r>
          </w:p>
        </w:tc>
        <w:tc>
          <w:tcPr>
            <w:tcW w:w="520" w:type="pct"/>
            <w:vAlign w:val="bottom"/>
          </w:tcPr>
          <w:p w14:paraId="70D3A6F2" w14:textId="77777777" w:rsidR="00E96B29" w:rsidRPr="00027624" w:rsidRDefault="00E96B29" w:rsidP="00E96B29">
            <w:pPr>
              <w:pStyle w:val="TableTextCentered"/>
              <w:rPr>
                <w:szCs w:val="18"/>
              </w:rPr>
            </w:pPr>
            <w:r w:rsidRPr="00027624">
              <w:rPr>
                <w:rFonts w:cs="Calibri"/>
                <w:szCs w:val="18"/>
              </w:rPr>
              <w:t>6.3</w:t>
            </w:r>
          </w:p>
        </w:tc>
      </w:tr>
      <w:tr w:rsidR="00E96B29" w:rsidRPr="00027624" w14:paraId="04EE7A38" w14:textId="77777777" w:rsidTr="00E96B29">
        <w:trPr>
          <w:trHeight w:val="270"/>
        </w:trPr>
        <w:tc>
          <w:tcPr>
            <w:tcW w:w="750" w:type="pct"/>
            <w:vAlign w:val="bottom"/>
          </w:tcPr>
          <w:p w14:paraId="7E0F578A" w14:textId="77777777" w:rsidR="00E96B29" w:rsidRPr="00027624" w:rsidRDefault="00E96B29" w:rsidP="00E96B29">
            <w:pPr>
              <w:pStyle w:val="TableTextLeft"/>
              <w:rPr>
                <w:szCs w:val="18"/>
              </w:rPr>
            </w:pPr>
            <w:r w:rsidRPr="00027624">
              <w:rPr>
                <w:bCs/>
                <w:szCs w:val="18"/>
              </w:rPr>
              <w:t>74</w:t>
            </w:r>
          </w:p>
        </w:tc>
        <w:tc>
          <w:tcPr>
            <w:tcW w:w="467" w:type="pct"/>
            <w:vAlign w:val="bottom"/>
          </w:tcPr>
          <w:p w14:paraId="2D9E39AE" w14:textId="77777777" w:rsidR="00E96B29" w:rsidRPr="00027624" w:rsidRDefault="00E96B29" w:rsidP="00E96B29">
            <w:pPr>
              <w:pStyle w:val="TableTextCentered"/>
              <w:rPr>
                <w:szCs w:val="18"/>
              </w:rPr>
            </w:pPr>
            <w:r w:rsidRPr="00027624">
              <w:rPr>
                <w:rFonts w:cs="Calibri"/>
                <w:szCs w:val="18"/>
              </w:rPr>
              <w:t>12.2</w:t>
            </w:r>
          </w:p>
        </w:tc>
        <w:tc>
          <w:tcPr>
            <w:tcW w:w="467" w:type="pct"/>
            <w:vAlign w:val="bottom"/>
          </w:tcPr>
          <w:p w14:paraId="2A178C06"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6463846A" w14:textId="77777777" w:rsidR="00E96B29" w:rsidRPr="00027624" w:rsidRDefault="00E96B29" w:rsidP="00E96B29">
            <w:pPr>
              <w:pStyle w:val="TableTextCentered"/>
              <w:rPr>
                <w:szCs w:val="18"/>
              </w:rPr>
            </w:pPr>
            <w:r w:rsidRPr="00027624">
              <w:rPr>
                <w:rFonts w:cs="Calibri"/>
                <w:szCs w:val="18"/>
              </w:rPr>
              <w:t>9.2</w:t>
            </w:r>
          </w:p>
        </w:tc>
        <w:tc>
          <w:tcPr>
            <w:tcW w:w="467" w:type="pct"/>
            <w:vAlign w:val="bottom"/>
          </w:tcPr>
          <w:p w14:paraId="58DBC63A" w14:textId="77777777" w:rsidR="00E96B29" w:rsidRPr="00027624" w:rsidRDefault="00E96B29" w:rsidP="00E96B29">
            <w:pPr>
              <w:pStyle w:val="TableTextCentered"/>
              <w:rPr>
                <w:szCs w:val="18"/>
              </w:rPr>
            </w:pPr>
            <w:r w:rsidRPr="00027624">
              <w:rPr>
                <w:rFonts w:cs="Calibri"/>
                <w:szCs w:val="18"/>
              </w:rPr>
              <w:t>9.7</w:t>
            </w:r>
          </w:p>
        </w:tc>
        <w:tc>
          <w:tcPr>
            <w:tcW w:w="467" w:type="pct"/>
            <w:vAlign w:val="bottom"/>
          </w:tcPr>
          <w:p w14:paraId="0250723F" w14:textId="77777777" w:rsidR="00E96B29" w:rsidRPr="00027624" w:rsidRDefault="00E96B29" w:rsidP="00E96B29">
            <w:pPr>
              <w:pStyle w:val="TableTextCentered"/>
              <w:rPr>
                <w:szCs w:val="18"/>
              </w:rPr>
            </w:pPr>
            <w:r w:rsidRPr="00027624">
              <w:rPr>
                <w:rFonts w:cs="Calibri"/>
                <w:szCs w:val="18"/>
              </w:rPr>
              <w:t>10.4</w:t>
            </w:r>
          </w:p>
        </w:tc>
        <w:tc>
          <w:tcPr>
            <w:tcW w:w="467" w:type="pct"/>
            <w:vAlign w:val="bottom"/>
          </w:tcPr>
          <w:p w14:paraId="633B7FD3" w14:textId="77777777" w:rsidR="00E96B29" w:rsidRPr="00027624" w:rsidRDefault="00E96B29" w:rsidP="00E96B29">
            <w:pPr>
              <w:pStyle w:val="TableTextCentered"/>
              <w:rPr>
                <w:szCs w:val="18"/>
              </w:rPr>
            </w:pPr>
            <w:r w:rsidRPr="00027624">
              <w:rPr>
                <w:rFonts w:cs="Calibri"/>
                <w:szCs w:val="18"/>
              </w:rPr>
              <w:t>11.0</w:t>
            </w:r>
          </w:p>
        </w:tc>
        <w:tc>
          <w:tcPr>
            <w:tcW w:w="464" w:type="pct"/>
            <w:vAlign w:val="bottom"/>
          </w:tcPr>
          <w:p w14:paraId="7CA3B08C" w14:textId="77777777" w:rsidR="00E96B29" w:rsidRPr="00027624" w:rsidRDefault="00E96B29" w:rsidP="00E96B29">
            <w:pPr>
              <w:pStyle w:val="TableTextCentered"/>
              <w:rPr>
                <w:szCs w:val="18"/>
              </w:rPr>
            </w:pPr>
            <w:r w:rsidRPr="00027624">
              <w:rPr>
                <w:rFonts w:cs="Calibri"/>
                <w:szCs w:val="18"/>
              </w:rPr>
              <w:t>11.5</w:t>
            </w:r>
          </w:p>
        </w:tc>
        <w:tc>
          <w:tcPr>
            <w:tcW w:w="464" w:type="pct"/>
            <w:vAlign w:val="bottom"/>
          </w:tcPr>
          <w:p w14:paraId="2EB8D51C" w14:textId="77777777" w:rsidR="00E96B29" w:rsidRPr="00027624" w:rsidRDefault="00E96B29" w:rsidP="00E96B29">
            <w:pPr>
              <w:pStyle w:val="TableTextCentered"/>
              <w:rPr>
                <w:szCs w:val="18"/>
              </w:rPr>
            </w:pPr>
            <w:r w:rsidRPr="00027624">
              <w:rPr>
                <w:rFonts w:cs="Calibri"/>
                <w:szCs w:val="18"/>
              </w:rPr>
              <w:t>10.7</w:t>
            </w:r>
          </w:p>
        </w:tc>
        <w:tc>
          <w:tcPr>
            <w:tcW w:w="520" w:type="pct"/>
            <w:vAlign w:val="bottom"/>
          </w:tcPr>
          <w:p w14:paraId="03D45C88" w14:textId="77777777" w:rsidR="00E96B29" w:rsidRPr="00027624" w:rsidRDefault="00E96B29" w:rsidP="00E96B29">
            <w:pPr>
              <w:pStyle w:val="TableTextCentered"/>
              <w:rPr>
                <w:szCs w:val="18"/>
              </w:rPr>
            </w:pPr>
            <w:r w:rsidRPr="00027624">
              <w:rPr>
                <w:rFonts w:cs="Calibri"/>
                <w:szCs w:val="18"/>
              </w:rPr>
              <w:t>6.7</w:t>
            </w:r>
          </w:p>
        </w:tc>
      </w:tr>
      <w:tr w:rsidR="00E96B29" w:rsidRPr="00027624" w14:paraId="57BEF4F5" w14:textId="77777777" w:rsidTr="00E96B29">
        <w:trPr>
          <w:trHeight w:val="270"/>
        </w:trPr>
        <w:tc>
          <w:tcPr>
            <w:tcW w:w="750" w:type="pct"/>
            <w:vAlign w:val="bottom"/>
          </w:tcPr>
          <w:p w14:paraId="4BD35B48" w14:textId="77777777" w:rsidR="00E96B29" w:rsidRPr="00027624" w:rsidRDefault="00E96B29" w:rsidP="00E96B29">
            <w:pPr>
              <w:pStyle w:val="TableTextLeft"/>
              <w:rPr>
                <w:szCs w:val="18"/>
              </w:rPr>
            </w:pPr>
            <w:r w:rsidRPr="00027624">
              <w:rPr>
                <w:bCs/>
                <w:szCs w:val="18"/>
              </w:rPr>
              <w:t>75</w:t>
            </w:r>
          </w:p>
        </w:tc>
        <w:tc>
          <w:tcPr>
            <w:tcW w:w="467" w:type="pct"/>
            <w:vAlign w:val="bottom"/>
          </w:tcPr>
          <w:p w14:paraId="0661C80E" w14:textId="77777777" w:rsidR="00E96B29" w:rsidRPr="00027624" w:rsidRDefault="00E96B29" w:rsidP="00E96B29">
            <w:pPr>
              <w:pStyle w:val="TableTextCentered"/>
              <w:rPr>
                <w:szCs w:val="18"/>
              </w:rPr>
            </w:pPr>
            <w:r w:rsidRPr="00027624">
              <w:rPr>
                <w:rFonts w:cs="Calibri"/>
                <w:szCs w:val="18"/>
              </w:rPr>
              <w:t>12.9</w:t>
            </w:r>
          </w:p>
        </w:tc>
        <w:tc>
          <w:tcPr>
            <w:tcW w:w="467" w:type="pct"/>
            <w:vAlign w:val="bottom"/>
          </w:tcPr>
          <w:p w14:paraId="70446DF7" w14:textId="77777777" w:rsidR="00E96B29" w:rsidRPr="00027624" w:rsidRDefault="00E96B29" w:rsidP="00E96B29">
            <w:pPr>
              <w:pStyle w:val="TableTextCentered"/>
              <w:rPr>
                <w:szCs w:val="18"/>
              </w:rPr>
            </w:pPr>
            <w:r w:rsidRPr="00027624">
              <w:rPr>
                <w:rFonts w:cs="Calibri"/>
                <w:szCs w:val="18"/>
              </w:rPr>
              <w:t>10.3</w:t>
            </w:r>
          </w:p>
        </w:tc>
        <w:tc>
          <w:tcPr>
            <w:tcW w:w="467" w:type="pct"/>
            <w:vAlign w:val="bottom"/>
          </w:tcPr>
          <w:p w14:paraId="0C3B955E" w14:textId="77777777" w:rsidR="00E96B29" w:rsidRPr="00027624" w:rsidRDefault="00E96B29" w:rsidP="00E96B29">
            <w:pPr>
              <w:pStyle w:val="TableTextCentered"/>
              <w:rPr>
                <w:szCs w:val="18"/>
              </w:rPr>
            </w:pPr>
            <w:r w:rsidRPr="00027624">
              <w:rPr>
                <w:rFonts w:cs="Calibri"/>
                <w:szCs w:val="18"/>
              </w:rPr>
              <w:t>9.5</w:t>
            </w:r>
          </w:p>
        </w:tc>
        <w:tc>
          <w:tcPr>
            <w:tcW w:w="467" w:type="pct"/>
            <w:vAlign w:val="bottom"/>
          </w:tcPr>
          <w:p w14:paraId="64DDFBB5" w14:textId="77777777" w:rsidR="00E96B29" w:rsidRPr="00027624" w:rsidRDefault="00E96B29" w:rsidP="00E96B29">
            <w:pPr>
              <w:pStyle w:val="TableTextCentered"/>
              <w:rPr>
                <w:szCs w:val="18"/>
              </w:rPr>
            </w:pPr>
            <w:r w:rsidRPr="00027624">
              <w:rPr>
                <w:rFonts w:cs="Calibri"/>
                <w:szCs w:val="18"/>
              </w:rPr>
              <w:t>9.6</w:t>
            </w:r>
          </w:p>
        </w:tc>
        <w:tc>
          <w:tcPr>
            <w:tcW w:w="467" w:type="pct"/>
            <w:vAlign w:val="bottom"/>
          </w:tcPr>
          <w:p w14:paraId="330E3050" w14:textId="77777777" w:rsidR="00E96B29" w:rsidRPr="00027624" w:rsidRDefault="00E96B29" w:rsidP="00E96B29">
            <w:pPr>
              <w:pStyle w:val="TableTextCentered"/>
              <w:rPr>
                <w:szCs w:val="18"/>
              </w:rPr>
            </w:pPr>
            <w:r w:rsidRPr="00027624">
              <w:rPr>
                <w:rFonts w:cs="Calibri"/>
                <w:szCs w:val="18"/>
              </w:rPr>
              <w:t>10.4</w:t>
            </w:r>
          </w:p>
        </w:tc>
        <w:tc>
          <w:tcPr>
            <w:tcW w:w="467" w:type="pct"/>
            <w:vAlign w:val="bottom"/>
          </w:tcPr>
          <w:p w14:paraId="42603392" w14:textId="77777777" w:rsidR="00E96B29" w:rsidRPr="00027624" w:rsidRDefault="00E96B29" w:rsidP="00E96B29">
            <w:pPr>
              <w:pStyle w:val="TableTextCentered"/>
              <w:rPr>
                <w:szCs w:val="18"/>
              </w:rPr>
            </w:pPr>
            <w:r w:rsidRPr="00027624">
              <w:rPr>
                <w:rFonts w:cs="Calibri"/>
                <w:szCs w:val="18"/>
              </w:rPr>
              <w:t>11.1</w:t>
            </w:r>
          </w:p>
        </w:tc>
        <w:tc>
          <w:tcPr>
            <w:tcW w:w="464" w:type="pct"/>
            <w:vAlign w:val="bottom"/>
          </w:tcPr>
          <w:p w14:paraId="7FA73EF4" w14:textId="77777777" w:rsidR="00E96B29" w:rsidRPr="00027624" w:rsidRDefault="00E96B29" w:rsidP="00E96B29">
            <w:pPr>
              <w:pStyle w:val="TableTextCentered"/>
              <w:rPr>
                <w:szCs w:val="18"/>
              </w:rPr>
            </w:pPr>
            <w:r w:rsidRPr="00027624">
              <w:rPr>
                <w:rFonts w:cs="Calibri"/>
                <w:szCs w:val="18"/>
              </w:rPr>
              <w:t>11.7</w:t>
            </w:r>
          </w:p>
        </w:tc>
        <w:tc>
          <w:tcPr>
            <w:tcW w:w="464" w:type="pct"/>
            <w:vAlign w:val="bottom"/>
          </w:tcPr>
          <w:p w14:paraId="4E270B74" w14:textId="77777777" w:rsidR="00E96B29" w:rsidRPr="00027624" w:rsidRDefault="00E96B29" w:rsidP="00E96B29">
            <w:pPr>
              <w:pStyle w:val="TableTextCentered"/>
              <w:rPr>
                <w:szCs w:val="18"/>
              </w:rPr>
            </w:pPr>
            <w:r w:rsidRPr="00027624">
              <w:rPr>
                <w:rFonts w:cs="Calibri"/>
                <w:szCs w:val="18"/>
              </w:rPr>
              <w:t>11.7</w:t>
            </w:r>
          </w:p>
        </w:tc>
        <w:tc>
          <w:tcPr>
            <w:tcW w:w="520" w:type="pct"/>
            <w:vAlign w:val="bottom"/>
          </w:tcPr>
          <w:p w14:paraId="4AEF41DF" w14:textId="77777777" w:rsidR="00E96B29" w:rsidRPr="00027624" w:rsidRDefault="00E96B29" w:rsidP="00E96B29">
            <w:pPr>
              <w:pStyle w:val="TableTextCentered"/>
              <w:rPr>
                <w:szCs w:val="18"/>
              </w:rPr>
            </w:pPr>
            <w:r w:rsidRPr="00027624">
              <w:rPr>
                <w:rFonts w:cs="Calibri"/>
                <w:szCs w:val="18"/>
              </w:rPr>
              <w:t>7.1</w:t>
            </w:r>
          </w:p>
        </w:tc>
      </w:tr>
      <w:tr w:rsidR="00E96B29" w:rsidRPr="00027624" w14:paraId="544B15F7" w14:textId="77777777" w:rsidTr="00E96B29">
        <w:trPr>
          <w:trHeight w:val="270"/>
        </w:trPr>
        <w:tc>
          <w:tcPr>
            <w:tcW w:w="750" w:type="pct"/>
            <w:vAlign w:val="bottom"/>
          </w:tcPr>
          <w:p w14:paraId="53C838E3" w14:textId="77777777" w:rsidR="00E96B29" w:rsidRPr="00027624" w:rsidRDefault="00E96B29" w:rsidP="00E96B29">
            <w:pPr>
              <w:pStyle w:val="TableTextLeft"/>
              <w:rPr>
                <w:szCs w:val="18"/>
              </w:rPr>
            </w:pPr>
            <w:r w:rsidRPr="00027624">
              <w:rPr>
                <w:bCs/>
                <w:szCs w:val="18"/>
              </w:rPr>
              <w:t>76</w:t>
            </w:r>
          </w:p>
        </w:tc>
        <w:tc>
          <w:tcPr>
            <w:tcW w:w="467" w:type="pct"/>
            <w:vAlign w:val="bottom"/>
          </w:tcPr>
          <w:p w14:paraId="433B4D28" w14:textId="77777777" w:rsidR="00E96B29" w:rsidRPr="00027624" w:rsidRDefault="00E96B29" w:rsidP="00E96B29">
            <w:pPr>
              <w:pStyle w:val="TableTextCentered"/>
              <w:rPr>
                <w:szCs w:val="18"/>
              </w:rPr>
            </w:pPr>
            <w:r w:rsidRPr="00027624">
              <w:rPr>
                <w:rFonts w:cs="Calibri"/>
                <w:szCs w:val="18"/>
              </w:rPr>
              <w:t>13.6</w:t>
            </w:r>
          </w:p>
        </w:tc>
        <w:tc>
          <w:tcPr>
            <w:tcW w:w="467" w:type="pct"/>
            <w:vAlign w:val="bottom"/>
          </w:tcPr>
          <w:p w14:paraId="550BD890" w14:textId="77777777" w:rsidR="00E96B29" w:rsidRPr="00027624" w:rsidRDefault="00E96B29" w:rsidP="00E96B29">
            <w:pPr>
              <w:pStyle w:val="TableTextCentered"/>
              <w:rPr>
                <w:szCs w:val="18"/>
              </w:rPr>
            </w:pPr>
            <w:r w:rsidRPr="00027624">
              <w:rPr>
                <w:rFonts w:cs="Calibri"/>
                <w:szCs w:val="18"/>
              </w:rPr>
              <w:t>10.7</w:t>
            </w:r>
          </w:p>
        </w:tc>
        <w:tc>
          <w:tcPr>
            <w:tcW w:w="467" w:type="pct"/>
            <w:vAlign w:val="bottom"/>
          </w:tcPr>
          <w:p w14:paraId="427FEEC5"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40F7C8F8" w14:textId="77777777" w:rsidR="00E96B29" w:rsidRPr="00027624" w:rsidRDefault="00E96B29" w:rsidP="00E96B29">
            <w:pPr>
              <w:pStyle w:val="TableTextCentered"/>
              <w:rPr>
                <w:szCs w:val="18"/>
              </w:rPr>
            </w:pPr>
            <w:r w:rsidRPr="00027624">
              <w:rPr>
                <w:rFonts w:cs="Calibri"/>
                <w:szCs w:val="18"/>
              </w:rPr>
              <w:t>9.5</w:t>
            </w:r>
          </w:p>
        </w:tc>
        <w:tc>
          <w:tcPr>
            <w:tcW w:w="467" w:type="pct"/>
            <w:vAlign w:val="bottom"/>
          </w:tcPr>
          <w:p w14:paraId="7CE59DEB" w14:textId="77777777" w:rsidR="00E96B29" w:rsidRPr="00027624" w:rsidRDefault="00E96B29" w:rsidP="00E96B29">
            <w:pPr>
              <w:pStyle w:val="TableTextCentered"/>
              <w:rPr>
                <w:szCs w:val="18"/>
              </w:rPr>
            </w:pPr>
            <w:r w:rsidRPr="00027624">
              <w:rPr>
                <w:rFonts w:cs="Calibri"/>
                <w:szCs w:val="18"/>
              </w:rPr>
              <w:t>10.4</w:t>
            </w:r>
          </w:p>
        </w:tc>
        <w:tc>
          <w:tcPr>
            <w:tcW w:w="467" w:type="pct"/>
            <w:vAlign w:val="bottom"/>
          </w:tcPr>
          <w:p w14:paraId="0FE839AF" w14:textId="77777777" w:rsidR="00E96B29" w:rsidRPr="00027624" w:rsidRDefault="00E96B29" w:rsidP="00E96B29">
            <w:pPr>
              <w:pStyle w:val="TableTextCentered"/>
              <w:rPr>
                <w:szCs w:val="18"/>
              </w:rPr>
            </w:pPr>
            <w:r w:rsidRPr="00027624">
              <w:rPr>
                <w:rFonts w:cs="Calibri"/>
                <w:szCs w:val="18"/>
              </w:rPr>
              <w:t>11.2</w:t>
            </w:r>
          </w:p>
        </w:tc>
        <w:tc>
          <w:tcPr>
            <w:tcW w:w="464" w:type="pct"/>
            <w:vAlign w:val="bottom"/>
          </w:tcPr>
          <w:p w14:paraId="5AF9A50C" w14:textId="77777777" w:rsidR="00E96B29" w:rsidRPr="00027624" w:rsidRDefault="00E96B29" w:rsidP="00E96B29">
            <w:pPr>
              <w:pStyle w:val="TableTextCentered"/>
              <w:rPr>
                <w:szCs w:val="18"/>
              </w:rPr>
            </w:pPr>
            <w:r w:rsidRPr="00027624">
              <w:rPr>
                <w:rFonts w:cs="Calibri"/>
                <w:szCs w:val="18"/>
              </w:rPr>
              <w:t>11.9</w:t>
            </w:r>
          </w:p>
        </w:tc>
        <w:tc>
          <w:tcPr>
            <w:tcW w:w="464" w:type="pct"/>
            <w:vAlign w:val="bottom"/>
          </w:tcPr>
          <w:p w14:paraId="363D9939" w14:textId="77777777" w:rsidR="00E96B29" w:rsidRPr="00027624" w:rsidRDefault="00E96B29" w:rsidP="00E96B29">
            <w:pPr>
              <w:pStyle w:val="TableTextCentered"/>
              <w:rPr>
                <w:szCs w:val="18"/>
              </w:rPr>
            </w:pPr>
            <w:r w:rsidRPr="00027624">
              <w:rPr>
                <w:rFonts w:cs="Calibri"/>
                <w:szCs w:val="18"/>
              </w:rPr>
              <w:t>12.3</w:t>
            </w:r>
          </w:p>
        </w:tc>
        <w:tc>
          <w:tcPr>
            <w:tcW w:w="520" w:type="pct"/>
            <w:vAlign w:val="bottom"/>
          </w:tcPr>
          <w:p w14:paraId="742BEDB4" w14:textId="77777777" w:rsidR="00E96B29" w:rsidRPr="00027624" w:rsidRDefault="00E96B29" w:rsidP="00E96B29">
            <w:pPr>
              <w:pStyle w:val="TableTextCentered"/>
              <w:rPr>
                <w:szCs w:val="18"/>
              </w:rPr>
            </w:pPr>
            <w:r w:rsidRPr="00027624">
              <w:rPr>
                <w:rFonts w:cs="Calibri"/>
                <w:szCs w:val="18"/>
              </w:rPr>
              <w:t>7.5</w:t>
            </w:r>
          </w:p>
        </w:tc>
      </w:tr>
      <w:tr w:rsidR="00E96B29" w:rsidRPr="00027624" w14:paraId="6D736534" w14:textId="77777777" w:rsidTr="00E96B29">
        <w:trPr>
          <w:trHeight w:val="270"/>
        </w:trPr>
        <w:tc>
          <w:tcPr>
            <w:tcW w:w="750" w:type="pct"/>
            <w:vAlign w:val="bottom"/>
          </w:tcPr>
          <w:p w14:paraId="5F967D12" w14:textId="77777777" w:rsidR="00E96B29" w:rsidRPr="00027624" w:rsidRDefault="00E96B29" w:rsidP="00E96B29">
            <w:pPr>
              <w:pStyle w:val="TableTextLeft"/>
              <w:rPr>
                <w:szCs w:val="18"/>
              </w:rPr>
            </w:pPr>
            <w:r w:rsidRPr="00027624">
              <w:rPr>
                <w:bCs/>
                <w:szCs w:val="18"/>
              </w:rPr>
              <w:t>77</w:t>
            </w:r>
          </w:p>
        </w:tc>
        <w:tc>
          <w:tcPr>
            <w:tcW w:w="467" w:type="pct"/>
            <w:vAlign w:val="bottom"/>
          </w:tcPr>
          <w:p w14:paraId="2B48FB4D" w14:textId="77777777" w:rsidR="00E96B29" w:rsidRPr="00027624" w:rsidRDefault="00E96B29" w:rsidP="00E96B29">
            <w:pPr>
              <w:pStyle w:val="TableTextCentered"/>
              <w:rPr>
                <w:szCs w:val="18"/>
              </w:rPr>
            </w:pPr>
            <w:r w:rsidRPr="00027624">
              <w:rPr>
                <w:rFonts w:cs="Calibri"/>
                <w:szCs w:val="18"/>
              </w:rPr>
              <w:t>14.4</w:t>
            </w:r>
          </w:p>
        </w:tc>
        <w:tc>
          <w:tcPr>
            <w:tcW w:w="467" w:type="pct"/>
            <w:vAlign w:val="bottom"/>
          </w:tcPr>
          <w:p w14:paraId="29DD71B2" w14:textId="77777777" w:rsidR="00E96B29" w:rsidRPr="00027624" w:rsidRDefault="00E96B29" w:rsidP="00E96B29">
            <w:pPr>
              <w:pStyle w:val="TableTextCentered"/>
              <w:rPr>
                <w:szCs w:val="18"/>
              </w:rPr>
            </w:pPr>
            <w:r w:rsidRPr="00027624">
              <w:rPr>
                <w:rFonts w:cs="Calibri"/>
                <w:szCs w:val="18"/>
              </w:rPr>
              <w:t>11.2</w:t>
            </w:r>
          </w:p>
        </w:tc>
        <w:tc>
          <w:tcPr>
            <w:tcW w:w="467" w:type="pct"/>
            <w:vAlign w:val="bottom"/>
          </w:tcPr>
          <w:p w14:paraId="2F5F8066" w14:textId="77777777" w:rsidR="00E96B29" w:rsidRPr="00027624" w:rsidRDefault="00E96B29" w:rsidP="00E96B29">
            <w:pPr>
              <w:pStyle w:val="TableTextCentered"/>
              <w:rPr>
                <w:szCs w:val="18"/>
              </w:rPr>
            </w:pPr>
            <w:r w:rsidRPr="00027624">
              <w:rPr>
                <w:rFonts w:cs="Calibri"/>
                <w:szCs w:val="18"/>
              </w:rPr>
              <w:t>10.3</w:t>
            </w:r>
          </w:p>
        </w:tc>
        <w:tc>
          <w:tcPr>
            <w:tcW w:w="467" w:type="pct"/>
            <w:vAlign w:val="bottom"/>
          </w:tcPr>
          <w:p w14:paraId="7DCD8E83" w14:textId="77777777" w:rsidR="00E96B29" w:rsidRPr="00027624" w:rsidRDefault="00E96B29" w:rsidP="00E96B29">
            <w:pPr>
              <w:pStyle w:val="TableTextCentered"/>
              <w:rPr>
                <w:szCs w:val="18"/>
              </w:rPr>
            </w:pPr>
            <w:r w:rsidRPr="00027624">
              <w:rPr>
                <w:rFonts w:cs="Calibri"/>
                <w:szCs w:val="18"/>
              </w:rPr>
              <w:t>9.9</w:t>
            </w:r>
          </w:p>
        </w:tc>
        <w:tc>
          <w:tcPr>
            <w:tcW w:w="467" w:type="pct"/>
            <w:vAlign w:val="bottom"/>
          </w:tcPr>
          <w:p w14:paraId="51E1200A" w14:textId="77777777" w:rsidR="00E96B29" w:rsidRPr="00027624" w:rsidRDefault="00E96B29" w:rsidP="00E96B29">
            <w:pPr>
              <w:pStyle w:val="TableTextCentered"/>
              <w:rPr>
                <w:szCs w:val="18"/>
              </w:rPr>
            </w:pPr>
            <w:r w:rsidRPr="00027624">
              <w:rPr>
                <w:rFonts w:cs="Calibri"/>
                <w:szCs w:val="18"/>
              </w:rPr>
              <w:t>10.3</w:t>
            </w:r>
          </w:p>
        </w:tc>
        <w:tc>
          <w:tcPr>
            <w:tcW w:w="467" w:type="pct"/>
            <w:vAlign w:val="bottom"/>
          </w:tcPr>
          <w:p w14:paraId="44970190" w14:textId="77777777" w:rsidR="00E96B29" w:rsidRPr="00027624" w:rsidRDefault="00E96B29" w:rsidP="00E96B29">
            <w:pPr>
              <w:pStyle w:val="TableTextCentered"/>
              <w:rPr>
                <w:szCs w:val="18"/>
              </w:rPr>
            </w:pPr>
            <w:r w:rsidRPr="00027624">
              <w:rPr>
                <w:rFonts w:cs="Calibri"/>
                <w:szCs w:val="18"/>
              </w:rPr>
              <w:t>11.3</w:t>
            </w:r>
          </w:p>
        </w:tc>
        <w:tc>
          <w:tcPr>
            <w:tcW w:w="464" w:type="pct"/>
            <w:vAlign w:val="bottom"/>
          </w:tcPr>
          <w:p w14:paraId="7023DAA9" w14:textId="77777777" w:rsidR="00E96B29" w:rsidRPr="00027624" w:rsidRDefault="00E96B29" w:rsidP="00E96B29">
            <w:pPr>
              <w:pStyle w:val="TableTextCentered"/>
              <w:rPr>
                <w:szCs w:val="18"/>
              </w:rPr>
            </w:pPr>
            <w:r w:rsidRPr="00027624">
              <w:rPr>
                <w:rFonts w:cs="Calibri"/>
                <w:szCs w:val="18"/>
              </w:rPr>
              <w:t>12.1</w:t>
            </w:r>
          </w:p>
        </w:tc>
        <w:tc>
          <w:tcPr>
            <w:tcW w:w="464" w:type="pct"/>
            <w:vAlign w:val="bottom"/>
          </w:tcPr>
          <w:p w14:paraId="2A886E12" w14:textId="77777777" w:rsidR="00E96B29" w:rsidRPr="00027624" w:rsidRDefault="00E96B29" w:rsidP="00E96B29">
            <w:pPr>
              <w:pStyle w:val="TableTextCentered"/>
              <w:rPr>
                <w:szCs w:val="18"/>
              </w:rPr>
            </w:pPr>
            <w:r w:rsidRPr="00027624">
              <w:rPr>
                <w:rFonts w:cs="Calibri"/>
                <w:szCs w:val="18"/>
              </w:rPr>
              <w:t>12.7</w:t>
            </w:r>
          </w:p>
        </w:tc>
        <w:tc>
          <w:tcPr>
            <w:tcW w:w="520" w:type="pct"/>
            <w:vAlign w:val="bottom"/>
          </w:tcPr>
          <w:p w14:paraId="4EF378F0" w14:textId="77777777" w:rsidR="00E96B29" w:rsidRPr="00027624" w:rsidRDefault="00E96B29" w:rsidP="00E96B29">
            <w:pPr>
              <w:pStyle w:val="TableTextCentered"/>
              <w:rPr>
                <w:szCs w:val="18"/>
              </w:rPr>
            </w:pPr>
            <w:r w:rsidRPr="00027624">
              <w:rPr>
                <w:rFonts w:cs="Calibri"/>
                <w:szCs w:val="18"/>
              </w:rPr>
              <w:t>8.0</w:t>
            </w:r>
          </w:p>
        </w:tc>
      </w:tr>
      <w:tr w:rsidR="00E96B29" w:rsidRPr="00027624" w14:paraId="47BDAD16" w14:textId="77777777" w:rsidTr="00E96B29">
        <w:trPr>
          <w:trHeight w:val="270"/>
        </w:trPr>
        <w:tc>
          <w:tcPr>
            <w:tcW w:w="750" w:type="pct"/>
            <w:vAlign w:val="bottom"/>
          </w:tcPr>
          <w:p w14:paraId="7EFE69CF" w14:textId="77777777" w:rsidR="00E96B29" w:rsidRPr="00027624" w:rsidRDefault="00E96B29" w:rsidP="00E96B29">
            <w:pPr>
              <w:pStyle w:val="TableTextLeft"/>
              <w:rPr>
                <w:szCs w:val="18"/>
              </w:rPr>
            </w:pPr>
            <w:r w:rsidRPr="00027624">
              <w:rPr>
                <w:bCs/>
                <w:szCs w:val="18"/>
              </w:rPr>
              <w:t>78</w:t>
            </w:r>
          </w:p>
        </w:tc>
        <w:tc>
          <w:tcPr>
            <w:tcW w:w="467" w:type="pct"/>
            <w:vAlign w:val="bottom"/>
          </w:tcPr>
          <w:p w14:paraId="012E1606" w14:textId="77777777" w:rsidR="00E96B29" w:rsidRPr="00027624" w:rsidRDefault="00E96B29" w:rsidP="00E96B29">
            <w:pPr>
              <w:pStyle w:val="TableTextCentered"/>
              <w:rPr>
                <w:szCs w:val="18"/>
              </w:rPr>
            </w:pPr>
            <w:r w:rsidRPr="00027624">
              <w:rPr>
                <w:rFonts w:cs="Calibri"/>
                <w:szCs w:val="18"/>
              </w:rPr>
              <w:t>15.3</w:t>
            </w:r>
          </w:p>
        </w:tc>
        <w:tc>
          <w:tcPr>
            <w:tcW w:w="467" w:type="pct"/>
            <w:vAlign w:val="bottom"/>
          </w:tcPr>
          <w:p w14:paraId="600FA657" w14:textId="77777777" w:rsidR="00E96B29" w:rsidRPr="00027624" w:rsidRDefault="00E96B29" w:rsidP="00E96B29">
            <w:pPr>
              <w:pStyle w:val="TableTextCentered"/>
              <w:rPr>
                <w:szCs w:val="18"/>
              </w:rPr>
            </w:pPr>
            <w:r w:rsidRPr="00027624">
              <w:rPr>
                <w:rFonts w:cs="Calibri"/>
                <w:szCs w:val="18"/>
              </w:rPr>
              <w:t>11.8</w:t>
            </w:r>
          </w:p>
        </w:tc>
        <w:tc>
          <w:tcPr>
            <w:tcW w:w="467" w:type="pct"/>
            <w:vAlign w:val="bottom"/>
          </w:tcPr>
          <w:p w14:paraId="536D405B" w14:textId="77777777" w:rsidR="00E96B29" w:rsidRPr="00027624" w:rsidRDefault="00E96B29" w:rsidP="00E96B29">
            <w:pPr>
              <w:pStyle w:val="TableTextCentered"/>
              <w:rPr>
                <w:szCs w:val="18"/>
              </w:rPr>
            </w:pPr>
            <w:r w:rsidRPr="00027624">
              <w:rPr>
                <w:rFonts w:cs="Calibri"/>
                <w:szCs w:val="18"/>
              </w:rPr>
              <w:t>10.8</w:t>
            </w:r>
          </w:p>
        </w:tc>
        <w:tc>
          <w:tcPr>
            <w:tcW w:w="467" w:type="pct"/>
            <w:vAlign w:val="bottom"/>
          </w:tcPr>
          <w:p w14:paraId="214AC5D1" w14:textId="77777777" w:rsidR="00E96B29" w:rsidRPr="00027624" w:rsidRDefault="00E96B29" w:rsidP="00E96B29">
            <w:pPr>
              <w:pStyle w:val="TableTextCentered"/>
              <w:rPr>
                <w:szCs w:val="18"/>
              </w:rPr>
            </w:pPr>
            <w:r w:rsidRPr="00027624">
              <w:rPr>
                <w:rFonts w:cs="Calibri"/>
                <w:szCs w:val="18"/>
              </w:rPr>
              <w:t>10.3</w:t>
            </w:r>
          </w:p>
        </w:tc>
        <w:tc>
          <w:tcPr>
            <w:tcW w:w="467" w:type="pct"/>
            <w:vAlign w:val="bottom"/>
          </w:tcPr>
          <w:p w14:paraId="4C93A5D6" w14:textId="77777777" w:rsidR="00E96B29" w:rsidRPr="00027624" w:rsidRDefault="00E96B29" w:rsidP="00E96B29">
            <w:pPr>
              <w:pStyle w:val="TableTextCentered"/>
              <w:rPr>
                <w:szCs w:val="18"/>
              </w:rPr>
            </w:pPr>
            <w:r w:rsidRPr="00027624">
              <w:rPr>
                <w:rFonts w:cs="Calibri"/>
                <w:szCs w:val="18"/>
              </w:rPr>
              <w:t>10.2</w:t>
            </w:r>
          </w:p>
        </w:tc>
        <w:tc>
          <w:tcPr>
            <w:tcW w:w="467" w:type="pct"/>
            <w:vAlign w:val="bottom"/>
          </w:tcPr>
          <w:p w14:paraId="574DE473" w14:textId="77777777" w:rsidR="00E96B29" w:rsidRPr="00027624" w:rsidRDefault="00E96B29" w:rsidP="00E96B29">
            <w:pPr>
              <w:pStyle w:val="TableTextCentered"/>
              <w:rPr>
                <w:szCs w:val="18"/>
              </w:rPr>
            </w:pPr>
            <w:r w:rsidRPr="00027624">
              <w:rPr>
                <w:rFonts w:cs="Calibri"/>
                <w:szCs w:val="18"/>
              </w:rPr>
              <w:t>11.3</w:t>
            </w:r>
          </w:p>
        </w:tc>
        <w:tc>
          <w:tcPr>
            <w:tcW w:w="464" w:type="pct"/>
            <w:vAlign w:val="bottom"/>
          </w:tcPr>
          <w:p w14:paraId="6241E438" w14:textId="77777777" w:rsidR="00E96B29" w:rsidRPr="00027624" w:rsidRDefault="00E96B29" w:rsidP="00E96B29">
            <w:pPr>
              <w:pStyle w:val="TableTextCentered"/>
              <w:rPr>
                <w:szCs w:val="18"/>
              </w:rPr>
            </w:pPr>
            <w:r w:rsidRPr="00027624">
              <w:rPr>
                <w:rFonts w:cs="Calibri"/>
                <w:szCs w:val="18"/>
              </w:rPr>
              <w:t>12.4</w:t>
            </w:r>
          </w:p>
        </w:tc>
        <w:tc>
          <w:tcPr>
            <w:tcW w:w="464" w:type="pct"/>
            <w:vAlign w:val="bottom"/>
          </w:tcPr>
          <w:p w14:paraId="14DD2D62" w14:textId="77777777" w:rsidR="00E96B29" w:rsidRPr="00027624" w:rsidRDefault="00E96B29" w:rsidP="00E96B29">
            <w:pPr>
              <w:pStyle w:val="TableTextCentered"/>
              <w:rPr>
                <w:szCs w:val="18"/>
              </w:rPr>
            </w:pPr>
            <w:r w:rsidRPr="00027624">
              <w:rPr>
                <w:rFonts w:cs="Calibri"/>
                <w:szCs w:val="18"/>
              </w:rPr>
              <w:t>13.1</w:t>
            </w:r>
          </w:p>
        </w:tc>
        <w:tc>
          <w:tcPr>
            <w:tcW w:w="520" w:type="pct"/>
            <w:vAlign w:val="bottom"/>
          </w:tcPr>
          <w:p w14:paraId="0422D7CE" w14:textId="77777777" w:rsidR="00E96B29" w:rsidRPr="00027624" w:rsidRDefault="00E96B29" w:rsidP="00E96B29">
            <w:pPr>
              <w:pStyle w:val="TableTextCentered"/>
              <w:rPr>
                <w:szCs w:val="18"/>
              </w:rPr>
            </w:pPr>
            <w:r w:rsidRPr="00027624">
              <w:rPr>
                <w:rFonts w:cs="Calibri"/>
                <w:szCs w:val="18"/>
              </w:rPr>
              <w:t>8.5</w:t>
            </w:r>
          </w:p>
        </w:tc>
      </w:tr>
      <w:tr w:rsidR="00E96B29" w:rsidRPr="00027624" w14:paraId="61F41BF6" w14:textId="77777777" w:rsidTr="00E96B29">
        <w:trPr>
          <w:trHeight w:val="270"/>
        </w:trPr>
        <w:tc>
          <w:tcPr>
            <w:tcW w:w="750" w:type="pct"/>
            <w:vAlign w:val="bottom"/>
          </w:tcPr>
          <w:p w14:paraId="52A6081F" w14:textId="77777777" w:rsidR="00E96B29" w:rsidRPr="00027624" w:rsidRDefault="00E96B29" w:rsidP="00E96B29">
            <w:pPr>
              <w:pStyle w:val="TableTextLeft"/>
              <w:rPr>
                <w:szCs w:val="18"/>
              </w:rPr>
            </w:pPr>
            <w:r w:rsidRPr="00027624">
              <w:rPr>
                <w:bCs/>
                <w:szCs w:val="18"/>
              </w:rPr>
              <w:t>79</w:t>
            </w:r>
          </w:p>
        </w:tc>
        <w:tc>
          <w:tcPr>
            <w:tcW w:w="467" w:type="pct"/>
            <w:vAlign w:val="bottom"/>
          </w:tcPr>
          <w:p w14:paraId="46927304" w14:textId="77777777" w:rsidR="00E96B29" w:rsidRPr="00027624" w:rsidRDefault="00E96B29" w:rsidP="00E96B29">
            <w:pPr>
              <w:pStyle w:val="TableTextCentered"/>
              <w:rPr>
                <w:szCs w:val="18"/>
              </w:rPr>
            </w:pPr>
            <w:r w:rsidRPr="00027624">
              <w:rPr>
                <w:rFonts w:cs="Calibri"/>
                <w:szCs w:val="18"/>
              </w:rPr>
              <w:t>16.4</w:t>
            </w:r>
          </w:p>
        </w:tc>
        <w:tc>
          <w:tcPr>
            <w:tcW w:w="467" w:type="pct"/>
            <w:vAlign w:val="bottom"/>
          </w:tcPr>
          <w:p w14:paraId="7B532D8D" w14:textId="77777777" w:rsidR="00E96B29" w:rsidRPr="00027624" w:rsidRDefault="00E96B29" w:rsidP="00E96B29">
            <w:pPr>
              <w:pStyle w:val="TableTextCentered"/>
              <w:rPr>
                <w:szCs w:val="18"/>
              </w:rPr>
            </w:pPr>
            <w:r w:rsidRPr="00027624">
              <w:rPr>
                <w:rFonts w:cs="Calibri"/>
                <w:szCs w:val="18"/>
              </w:rPr>
              <w:t>12.4</w:t>
            </w:r>
          </w:p>
        </w:tc>
        <w:tc>
          <w:tcPr>
            <w:tcW w:w="467" w:type="pct"/>
            <w:vAlign w:val="bottom"/>
          </w:tcPr>
          <w:p w14:paraId="410776E7" w14:textId="77777777" w:rsidR="00E96B29" w:rsidRPr="00027624" w:rsidRDefault="00E96B29" w:rsidP="00E96B29">
            <w:pPr>
              <w:pStyle w:val="TableTextCentered"/>
              <w:rPr>
                <w:szCs w:val="18"/>
              </w:rPr>
            </w:pPr>
            <w:r w:rsidRPr="00027624">
              <w:rPr>
                <w:rFonts w:cs="Calibri"/>
                <w:szCs w:val="18"/>
              </w:rPr>
              <w:t>11.4</w:t>
            </w:r>
          </w:p>
        </w:tc>
        <w:tc>
          <w:tcPr>
            <w:tcW w:w="467" w:type="pct"/>
            <w:vAlign w:val="bottom"/>
          </w:tcPr>
          <w:p w14:paraId="56695F59" w14:textId="77777777" w:rsidR="00E96B29" w:rsidRPr="00027624" w:rsidRDefault="00E96B29" w:rsidP="00E96B29">
            <w:pPr>
              <w:pStyle w:val="TableTextCentered"/>
              <w:rPr>
                <w:szCs w:val="18"/>
              </w:rPr>
            </w:pPr>
            <w:r w:rsidRPr="00027624">
              <w:rPr>
                <w:rFonts w:cs="Calibri"/>
                <w:szCs w:val="18"/>
              </w:rPr>
              <w:t>10.8</w:t>
            </w:r>
          </w:p>
        </w:tc>
        <w:tc>
          <w:tcPr>
            <w:tcW w:w="467" w:type="pct"/>
            <w:vAlign w:val="bottom"/>
          </w:tcPr>
          <w:p w14:paraId="237BB499" w14:textId="77777777" w:rsidR="00E96B29" w:rsidRPr="00027624" w:rsidRDefault="00E96B29" w:rsidP="00E96B29">
            <w:pPr>
              <w:pStyle w:val="TableTextCentered"/>
              <w:rPr>
                <w:szCs w:val="18"/>
              </w:rPr>
            </w:pPr>
            <w:r w:rsidRPr="00027624">
              <w:rPr>
                <w:rFonts w:cs="Calibri"/>
                <w:szCs w:val="18"/>
              </w:rPr>
              <w:t>10.6</w:t>
            </w:r>
          </w:p>
        </w:tc>
        <w:tc>
          <w:tcPr>
            <w:tcW w:w="467" w:type="pct"/>
            <w:vAlign w:val="bottom"/>
          </w:tcPr>
          <w:p w14:paraId="5BCC0E33" w14:textId="77777777" w:rsidR="00E96B29" w:rsidRPr="00027624" w:rsidRDefault="00E96B29" w:rsidP="00E96B29">
            <w:pPr>
              <w:pStyle w:val="TableTextCentered"/>
              <w:rPr>
                <w:szCs w:val="18"/>
              </w:rPr>
            </w:pPr>
            <w:r w:rsidRPr="00027624">
              <w:rPr>
                <w:rFonts w:cs="Calibri"/>
                <w:szCs w:val="18"/>
              </w:rPr>
              <w:t>11.4</w:t>
            </w:r>
          </w:p>
        </w:tc>
        <w:tc>
          <w:tcPr>
            <w:tcW w:w="464" w:type="pct"/>
            <w:vAlign w:val="bottom"/>
          </w:tcPr>
          <w:p w14:paraId="3E499258" w14:textId="77777777" w:rsidR="00E96B29" w:rsidRPr="00027624" w:rsidRDefault="00E96B29" w:rsidP="00E96B29">
            <w:pPr>
              <w:pStyle w:val="TableTextCentered"/>
              <w:rPr>
                <w:szCs w:val="18"/>
              </w:rPr>
            </w:pPr>
            <w:r w:rsidRPr="00027624">
              <w:rPr>
                <w:rFonts w:cs="Calibri"/>
                <w:szCs w:val="18"/>
              </w:rPr>
              <w:t>12.6</w:t>
            </w:r>
          </w:p>
        </w:tc>
        <w:tc>
          <w:tcPr>
            <w:tcW w:w="464" w:type="pct"/>
            <w:vAlign w:val="bottom"/>
          </w:tcPr>
          <w:p w14:paraId="27800F50" w14:textId="77777777" w:rsidR="00E96B29" w:rsidRPr="00027624" w:rsidRDefault="00E96B29" w:rsidP="00E96B29">
            <w:pPr>
              <w:pStyle w:val="TableTextCentered"/>
              <w:rPr>
                <w:szCs w:val="18"/>
              </w:rPr>
            </w:pPr>
            <w:r w:rsidRPr="00027624">
              <w:rPr>
                <w:rFonts w:cs="Calibri"/>
                <w:szCs w:val="18"/>
              </w:rPr>
              <w:t>13.5</w:t>
            </w:r>
          </w:p>
        </w:tc>
        <w:tc>
          <w:tcPr>
            <w:tcW w:w="520" w:type="pct"/>
            <w:vAlign w:val="bottom"/>
          </w:tcPr>
          <w:p w14:paraId="76D845A1" w14:textId="77777777" w:rsidR="00E96B29" w:rsidRPr="00027624" w:rsidRDefault="00E96B29" w:rsidP="00E96B29">
            <w:pPr>
              <w:pStyle w:val="TableTextCentered"/>
              <w:rPr>
                <w:szCs w:val="18"/>
              </w:rPr>
            </w:pPr>
            <w:r w:rsidRPr="00027624">
              <w:rPr>
                <w:rFonts w:cs="Calibri"/>
                <w:szCs w:val="18"/>
              </w:rPr>
              <w:t>9.2</w:t>
            </w:r>
          </w:p>
        </w:tc>
      </w:tr>
      <w:tr w:rsidR="00E96B29" w:rsidRPr="00027624" w14:paraId="7A6CEE14" w14:textId="77777777" w:rsidTr="00E96B29">
        <w:trPr>
          <w:trHeight w:val="270"/>
        </w:trPr>
        <w:tc>
          <w:tcPr>
            <w:tcW w:w="750" w:type="pct"/>
            <w:vAlign w:val="bottom"/>
          </w:tcPr>
          <w:p w14:paraId="6CE18A8D" w14:textId="77777777" w:rsidR="00E96B29" w:rsidRPr="00027624" w:rsidRDefault="00E96B29" w:rsidP="00E96B29">
            <w:pPr>
              <w:pStyle w:val="TableTextLeft"/>
              <w:rPr>
                <w:szCs w:val="18"/>
              </w:rPr>
            </w:pPr>
            <w:r w:rsidRPr="00027624">
              <w:rPr>
                <w:bCs/>
                <w:szCs w:val="18"/>
              </w:rPr>
              <w:t>80</w:t>
            </w:r>
          </w:p>
        </w:tc>
        <w:tc>
          <w:tcPr>
            <w:tcW w:w="467" w:type="pct"/>
            <w:vAlign w:val="bottom"/>
          </w:tcPr>
          <w:p w14:paraId="238D296D" w14:textId="77777777" w:rsidR="00E96B29" w:rsidRPr="00027624" w:rsidRDefault="00E96B29" w:rsidP="00E96B29">
            <w:pPr>
              <w:pStyle w:val="TableTextCentered"/>
              <w:rPr>
                <w:szCs w:val="18"/>
              </w:rPr>
            </w:pPr>
            <w:r w:rsidRPr="00027624">
              <w:rPr>
                <w:rFonts w:cs="Calibri"/>
                <w:szCs w:val="18"/>
              </w:rPr>
              <w:t>17.6</w:t>
            </w:r>
          </w:p>
        </w:tc>
        <w:tc>
          <w:tcPr>
            <w:tcW w:w="467" w:type="pct"/>
            <w:vAlign w:val="bottom"/>
          </w:tcPr>
          <w:p w14:paraId="797B0B24" w14:textId="77777777" w:rsidR="00E96B29" w:rsidRPr="00027624" w:rsidRDefault="00E96B29" w:rsidP="00E96B29">
            <w:pPr>
              <w:pStyle w:val="TableTextCentered"/>
              <w:rPr>
                <w:szCs w:val="18"/>
              </w:rPr>
            </w:pPr>
            <w:r w:rsidRPr="00027624">
              <w:rPr>
                <w:rFonts w:cs="Calibri"/>
                <w:szCs w:val="18"/>
              </w:rPr>
              <w:t>13.1</w:t>
            </w:r>
          </w:p>
        </w:tc>
        <w:tc>
          <w:tcPr>
            <w:tcW w:w="467" w:type="pct"/>
            <w:vAlign w:val="bottom"/>
          </w:tcPr>
          <w:p w14:paraId="00676E66" w14:textId="77777777" w:rsidR="00E96B29" w:rsidRPr="00027624" w:rsidRDefault="00E96B29" w:rsidP="00E96B29">
            <w:pPr>
              <w:pStyle w:val="TableTextCentered"/>
              <w:rPr>
                <w:szCs w:val="18"/>
              </w:rPr>
            </w:pPr>
            <w:r w:rsidRPr="00027624">
              <w:rPr>
                <w:rFonts w:cs="Calibri"/>
                <w:szCs w:val="18"/>
              </w:rPr>
              <w:t>12.0</w:t>
            </w:r>
          </w:p>
        </w:tc>
        <w:tc>
          <w:tcPr>
            <w:tcW w:w="467" w:type="pct"/>
            <w:vAlign w:val="bottom"/>
          </w:tcPr>
          <w:p w14:paraId="1B02FE86" w14:textId="77777777" w:rsidR="00E96B29" w:rsidRPr="00027624" w:rsidRDefault="00E96B29" w:rsidP="00E96B29">
            <w:pPr>
              <w:pStyle w:val="TableTextCentered"/>
              <w:rPr>
                <w:szCs w:val="18"/>
              </w:rPr>
            </w:pPr>
            <w:r w:rsidRPr="00027624">
              <w:rPr>
                <w:rFonts w:cs="Calibri"/>
                <w:szCs w:val="18"/>
              </w:rPr>
              <w:t>11.4</w:t>
            </w:r>
          </w:p>
        </w:tc>
        <w:tc>
          <w:tcPr>
            <w:tcW w:w="467" w:type="pct"/>
            <w:vAlign w:val="bottom"/>
          </w:tcPr>
          <w:p w14:paraId="5CEB0863" w14:textId="77777777" w:rsidR="00E96B29" w:rsidRPr="00027624" w:rsidRDefault="00E96B29" w:rsidP="00E96B29">
            <w:pPr>
              <w:pStyle w:val="TableTextCentered"/>
              <w:rPr>
                <w:szCs w:val="18"/>
              </w:rPr>
            </w:pPr>
            <w:r w:rsidRPr="00027624">
              <w:rPr>
                <w:rFonts w:cs="Calibri"/>
                <w:szCs w:val="18"/>
              </w:rPr>
              <w:t>11.1</w:t>
            </w:r>
          </w:p>
        </w:tc>
        <w:tc>
          <w:tcPr>
            <w:tcW w:w="467" w:type="pct"/>
            <w:vAlign w:val="bottom"/>
          </w:tcPr>
          <w:p w14:paraId="3FAD9E8C" w14:textId="77777777" w:rsidR="00E96B29" w:rsidRPr="00027624" w:rsidRDefault="00E96B29" w:rsidP="00E96B29">
            <w:pPr>
              <w:pStyle w:val="TableTextCentered"/>
              <w:rPr>
                <w:szCs w:val="18"/>
              </w:rPr>
            </w:pPr>
            <w:r w:rsidRPr="00027624">
              <w:rPr>
                <w:rFonts w:cs="Calibri"/>
                <w:szCs w:val="18"/>
              </w:rPr>
              <w:t>11.4</w:t>
            </w:r>
          </w:p>
        </w:tc>
        <w:tc>
          <w:tcPr>
            <w:tcW w:w="464" w:type="pct"/>
            <w:vAlign w:val="bottom"/>
          </w:tcPr>
          <w:p w14:paraId="02A83FDF" w14:textId="77777777" w:rsidR="00E96B29" w:rsidRPr="00027624" w:rsidRDefault="00E96B29" w:rsidP="00E96B29">
            <w:pPr>
              <w:pStyle w:val="TableTextCentered"/>
              <w:rPr>
                <w:szCs w:val="18"/>
              </w:rPr>
            </w:pPr>
            <w:r w:rsidRPr="00027624">
              <w:rPr>
                <w:rFonts w:cs="Calibri"/>
                <w:szCs w:val="18"/>
              </w:rPr>
              <w:t>12.8</w:t>
            </w:r>
          </w:p>
        </w:tc>
        <w:tc>
          <w:tcPr>
            <w:tcW w:w="464" w:type="pct"/>
            <w:vAlign w:val="bottom"/>
          </w:tcPr>
          <w:p w14:paraId="0BA70DC7" w14:textId="77777777" w:rsidR="00E96B29" w:rsidRPr="00027624" w:rsidRDefault="00E96B29" w:rsidP="00E96B29">
            <w:pPr>
              <w:pStyle w:val="TableTextCentered"/>
              <w:rPr>
                <w:szCs w:val="18"/>
              </w:rPr>
            </w:pPr>
            <w:r w:rsidRPr="00027624">
              <w:rPr>
                <w:rFonts w:cs="Calibri"/>
                <w:szCs w:val="18"/>
              </w:rPr>
              <w:t>14.0</w:t>
            </w:r>
          </w:p>
        </w:tc>
        <w:tc>
          <w:tcPr>
            <w:tcW w:w="520" w:type="pct"/>
            <w:vAlign w:val="bottom"/>
          </w:tcPr>
          <w:p w14:paraId="22C854E1" w14:textId="77777777" w:rsidR="00E96B29" w:rsidRPr="00027624" w:rsidRDefault="00E96B29" w:rsidP="00E96B29">
            <w:pPr>
              <w:pStyle w:val="TableTextCentered"/>
              <w:rPr>
                <w:szCs w:val="18"/>
              </w:rPr>
            </w:pPr>
            <w:r w:rsidRPr="00027624">
              <w:rPr>
                <w:rFonts w:cs="Calibri"/>
                <w:szCs w:val="18"/>
              </w:rPr>
              <w:t>10.0</w:t>
            </w:r>
          </w:p>
        </w:tc>
      </w:tr>
      <w:tr w:rsidR="00E96B29" w:rsidRPr="00027624" w14:paraId="28DACA66" w14:textId="77777777" w:rsidTr="00E96B29">
        <w:trPr>
          <w:trHeight w:val="270"/>
        </w:trPr>
        <w:tc>
          <w:tcPr>
            <w:tcW w:w="750" w:type="pct"/>
            <w:vAlign w:val="bottom"/>
          </w:tcPr>
          <w:p w14:paraId="3FF6689E" w14:textId="77777777" w:rsidR="00E96B29" w:rsidRPr="00027624" w:rsidRDefault="00E96B29" w:rsidP="00E96B29">
            <w:pPr>
              <w:pStyle w:val="TableTextLeft"/>
              <w:rPr>
                <w:szCs w:val="18"/>
              </w:rPr>
            </w:pPr>
            <w:r w:rsidRPr="00027624">
              <w:rPr>
                <w:bCs/>
                <w:szCs w:val="18"/>
              </w:rPr>
              <w:t>81</w:t>
            </w:r>
          </w:p>
        </w:tc>
        <w:tc>
          <w:tcPr>
            <w:tcW w:w="467" w:type="pct"/>
            <w:vAlign w:val="bottom"/>
          </w:tcPr>
          <w:p w14:paraId="6B18547B" w14:textId="77777777" w:rsidR="00E96B29" w:rsidRPr="00027624" w:rsidRDefault="00E96B29" w:rsidP="00E96B29">
            <w:pPr>
              <w:pStyle w:val="TableTextCentered"/>
              <w:rPr>
                <w:szCs w:val="18"/>
              </w:rPr>
            </w:pPr>
            <w:r w:rsidRPr="00027624">
              <w:rPr>
                <w:rFonts w:cs="Calibri"/>
                <w:szCs w:val="18"/>
              </w:rPr>
              <w:t>19.1</w:t>
            </w:r>
          </w:p>
        </w:tc>
        <w:tc>
          <w:tcPr>
            <w:tcW w:w="467" w:type="pct"/>
            <w:vAlign w:val="bottom"/>
          </w:tcPr>
          <w:p w14:paraId="1F6DDFC8" w14:textId="77777777" w:rsidR="00E96B29" w:rsidRPr="00027624" w:rsidRDefault="00E96B29" w:rsidP="00E96B29">
            <w:pPr>
              <w:pStyle w:val="TableTextCentered"/>
              <w:rPr>
                <w:szCs w:val="18"/>
              </w:rPr>
            </w:pPr>
            <w:r w:rsidRPr="00027624">
              <w:rPr>
                <w:rFonts w:cs="Calibri"/>
                <w:szCs w:val="18"/>
              </w:rPr>
              <w:t>13.9</w:t>
            </w:r>
          </w:p>
        </w:tc>
        <w:tc>
          <w:tcPr>
            <w:tcW w:w="467" w:type="pct"/>
            <w:vAlign w:val="bottom"/>
          </w:tcPr>
          <w:p w14:paraId="552EC11D" w14:textId="77777777" w:rsidR="00E96B29" w:rsidRPr="00027624" w:rsidRDefault="00E96B29" w:rsidP="00E96B29">
            <w:pPr>
              <w:pStyle w:val="TableTextCentered"/>
              <w:rPr>
                <w:szCs w:val="18"/>
              </w:rPr>
            </w:pPr>
            <w:r w:rsidRPr="00027624">
              <w:rPr>
                <w:rFonts w:cs="Calibri"/>
                <w:szCs w:val="18"/>
              </w:rPr>
              <w:t>12.7</w:t>
            </w:r>
          </w:p>
        </w:tc>
        <w:tc>
          <w:tcPr>
            <w:tcW w:w="467" w:type="pct"/>
            <w:vAlign w:val="bottom"/>
          </w:tcPr>
          <w:p w14:paraId="7DB35DFB" w14:textId="77777777" w:rsidR="00E96B29" w:rsidRPr="00027624" w:rsidRDefault="00E96B29" w:rsidP="00E96B29">
            <w:pPr>
              <w:pStyle w:val="TableTextCentered"/>
              <w:rPr>
                <w:szCs w:val="18"/>
              </w:rPr>
            </w:pPr>
            <w:r w:rsidRPr="00027624">
              <w:rPr>
                <w:rFonts w:cs="Calibri"/>
                <w:szCs w:val="18"/>
              </w:rPr>
              <w:t>12.1</w:t>
            </w:r>
          </w:p>
        </w:tc>
        <w:tc>
          <w:tcPr>
            <w:tcW w:w="467" w:type="pct"/>
            <w:vAlign w:val="bottom"/>
          </w:tcPr>
          <w:p w14:paraId="65296E54" w14:textId="77777777" w:rsidR="00E96B29" w:rsidRPr="00027624" w:rsidRDefault="00E96B29" w:rsidP="00E96B29">
            <w:pPr>
              <w:pStyle w:val="TableTextCentered"/>
              <w:rPr>
                <w:szCs w:val="18"/>
              </w:rPr>
            </w:pPr>
            <w:r w:rsidRPr="00027624">
              <w:rPr>
                <w:rFonts w:cs="Calibri"/>
                <w:szCs w:val="18"/>
              </w:rPr>
              <w:t>11.7</w:t>
            </w:r>
          </w:p>
        </w:tc>
        <w:tc>
          <w:tcPr>
            <w:tcW w:w="467" w:type="pct"/>
            <w:vAlign w:val="bottom"/>
          </w:tcPr>
          <w:p w14:paraId="017A6802" w14:textId="77777777" w:rsidR="00E96B29" w:rsidRPr="00027624" w:rsidRDefault="00E96B29" w:rsidP="00E96B29">
            <w:pPr>
              <w:pStyle w:val="TableTextCentered"/>
              <w:rPr>
                <w:szCs w:val="18"/>
              </w:rPr>
            </w:pPr>
            <w:r w:rsidRPr="00027624">
              <w:rPr>
                <w:rFonts w:cs="Calibri"/>
                <w:szCs w:val="18"/>
              </w:rPr>
              <w:t>11.5</w:t>
            </w:r>
          </w:p>
        </w:tc>
        <w:tc>
          <w:tcPr>
            <w:tcW w:w="464" w:type="pct"/>
            <w:vAlign w:val="bottom"/>
          </w:tcPr>
          <w:p w14:paraId="4FF4BFE2" w14:textId="77777777" w:rsidR="00E96B29" w:rsidRPr="00027624" w:rsidRDefault="00E96B29" w:rsidP="00E96B29">
            <w:pPr>
              <w:pStyle w:val="TableTextCentered"/>
              <w:rPr>
                <w:szCs w:val="18"/>
              </w:rPr>
            </w:pPr>
            <w:r w:rsidRPr="00027624">
              <w:rPr>
                <w:rFonts w:cs="Calibri"/>
                <w:szCs w:val="18"/>
              </w:rPr>
              <w:t>13.1</w:t>
            </w:r>
          </w:p>
        </w:tc>
        <w:tc>
          <w:tcPr>
            <w:tcW w:w="464" w:type="pct"/>
            <w:vAlign w:val="bottom"/>
          </w:tcPr>
          <w:p w14:paraId="7B7232EA" w14:textId="77777777" w:rsidR="00E96B29" w:rsidRPr="00027624" w:rsidRDefault="00E96B29" w:rsidP="00E96B29">
            <w:pPr>
              <w:pStyle w:val="TableTextCentered"/>
              <w:rPr>
                <w:szCs w:val="18"/>
              </w:rPr>
            </w:pPr>
            <w:r w:rsidRPr="00027624">
              <w:rPr>
                <w:rFonts w:cs="Calibri"/>
                <w:szCs w:val="18"/>
              </w:rPr>
              <w:t>14.6</w:t>
            </w:r>
          </w:p>
        </w:tc>
        <w:tc>
          <w:tcPr>
            <w:tcW w:w="520" w:type="pct"/>
            <w:vAlign w:val="bottom"/>
          </w:tcPr>
          <w:p w14:paraId="6718434D" w14:textId="77777777" w:rsidR="00E96B29" w:rsidRPr="00027624" w:rsidRDefault="00E96B29" w:rsidP="00E96B29">
            <w:pPr>
              <w:pStyle w:val="TableTextCentered"/>
              <w:rPr>
                <w:szCs w:val="18"/>
              </w:rPr>
            </w:pPr>
            <w:r w:rsidRPr="00027624">
              <w:rPr>
                <w:rFonts w:cs="Calibri"/>
                <w:szCs w:val="18"/>
              </w:rPr>
              <w:t>10.9</w:t>
            </w:r>
          </w:p>
        </w:tc>
      </w:tr>
      <w:tr w:rsidR="00E96B29" w:rsidRPr="00027624" w14:paraId="0E728828" w14:textId="77777777" w:rsidTr="00E96B29">
        <w:trPr>
          <w:trHeight w:val="270"/>
        </w:trPr>
        <w:tc>
          <w:tcPr>
            <w:tcW w:w="750" w:type="pct"/>
            <w:vAlign w:val="bottom"/>
          </w:tcPr>
          <w:p w14:paraId="6C937455" w14:textId="77777777" w:rsidR="00E96B29" w:rsidRPr="00027624" w:rsidRDefault="00E96B29" w:rsidP="00E96B29">
            <w:pPr>
              <w:pStyle w:val="TableTextLeft"/>
              <w:rPr>
                <w:szCs w:val="18"/>
              </w:rPr>
            </w:pPr>
            <w:r w:rsidRPr="00027624">
              <w:rPr>
                <w:bCs/>
                <w:szCs w:val="18"/>
              </w:rPr>
              <w:t>82</w:t>
            </w:r>
          </w:p>
        </w:tc>
        <w:tc>
          <w:tcPr>
            <w:tcW w:w="467" w:type="pct"/>
            <w:vAlign w:val="bottom"/>
          </w:tcPr>
          <w:p w14:paraId="6FE2D371" w14:textId="77777777" w:rsidR="00E96B29" w:rsidRPr="00027624" w:rsidRDefault="00E96B29" w:rsidP="00E96B29">
            <w:pPr>
              <w:pStyle w:val="TableTextCentered"/>
              <w:rPr>
                <w:szCs w:val="18"/>
              </w:rPr>
            </w:pPr>
            <w:r w:rsidRPr="00027624">
              <w:rPr>
                <w:rFonts w:cs="Calibri"/>
                <w:szCs w:val="18"/>
              </w:rPr>
              <w:t>20.8</w:t>
            </w:r>
          </w:p>
        </w:tc>
        <w:tc>
          <w:tcPr>
            <w:tcW w:w="467" w:type="pct"/>
            <w:vAlign w:val="bottom"/>
          </w:tcPr>
          <w:p w14:paraId="6BD68BE9" w14:textId="77777777" w:rsidR="00E96B29" w:rsidRPr="00027624" w:rsidRDefault="00E96B29" w:rsidP="00E96B29">
            <w:pPr>
              <w:pStyle w:val="TableTextCentered"/>
              <w:rPr>
                <w:szCs w:val="18"/>
              </w:rPr>
            </w:pPr>
            <w:r w:rsidRPr="00027624">
              <w:rPr>
                <w:rFonts w:cs="Calibri"/>
                <w:szCs w:val="18"/>
              </w:rPr>
              <w:t>14.8</w:t>
            </w:r>
          </w:p>
        </w:tc>
        <w:tc>
          <w:tcPr>
            <w:tcW w:w="467" w:type="pct"/>
            <w:vAlign w:val="bottom"/>
          </w:tcPr>
          <w:p w14:paraId="20C25F36" w14:textId="77777777" w:rsidR="00E96B29" w:rsidRPr="00027624" w:rsidRDefault="00E96B29" w:rsidP="00E96B29">
            <w:pPr>
              <w:pStyle w:val="TableTextCentered"/>
              <w:rPr>
                <w:szCs w:val="18"/>
              </w:rPr>
            </w:pPr>
            <w:r w:rsidRPr="00027624">
              <w:rPr>
                <w:rFonts w:cs="Calibri"/>
                <w:szCs w:val="18"/>
              </w:rPr>
              <w:t>13.5</w:t>
            </w:r>
          </w:p>
        </w:tc>
        <w:tc>
          <w:tcPr>
            <w:tcW w:w="467" w:type="pct"/>
            <w:vAlign w:val="bottom"/>
          </w:tcPr>
          <w:p w14:paraId="5BCB4DF1" w14:textId="77777777" w:rsidR="00E96B29" w:rsidRPr="00027624" w:rsidRDefault="00E96B29" w:rsidP="00E96B29">
            <w:pPr>
              <w:pStyle w:val="TableTextCentered"/>
              <w:rPr>
                <w:szCs w:val="18"/>
              </w:rPr>
            </w:pPr>
            <w:r w:rsidRPr="00027624">
              <w:rPr>
                <w:rFonts w:cs="Calibri"/>
                <w:szCs w:val="18"/>
              </w:rPr>
              <w:t>12.9</w:t>
            </w:r>
          </w:p>
        </w:tc>
        <w:tc>
          <w:tcPr>
            <w:tcW w:w="467" w:type="pct"/>
            <w:vAlign w:val="bottom"/>
          </w:tcPr>
          <w:p w14:paraId="217A00A7" w14:textId="77777777" w:rsidR="00E96B29" w:rsidRPr="00027624" w:rsidRDefault="00E96B29" w:rsidP="00E96B29">
            <w:pPr>
              <w:pStyle w:val="TableTextCentered"/>
              <w:rPr>
                <w:szCs w:val="18"/>
              </w:rPr>
            </w:pPr>
            <w:r w:rsidRPr="00027624">
              <w:rPr>
                <w:rFonts w:cs="Calibri"/>
                <w:szCs w:val="18"/>
              </w:rPr>
              <w:t>12.5</w:t>
            </w:r>
          </w:p>
        </w:tc>
        <w:tc>
          <w:tcPr>
            <w:tcW w:w="467" w:type="pct"/>
            <w:vAlign w:val="bottom"/>
          </w:tcPr>
          <w:p w14:paraId="6077C1EF" w14:textId="77777777" w:rsidR="00E96B29" w:rsidRPr="00027624" w:rsidRDefault="00E96B29" w:rsidP="00E96B29">
            <w:pPr>
              <w:pStyle w:val="TableTextCentered"/>
              <w:rPr>
                <w:szCs w:val="18"/>
              </w:rPr>
            </w:pPr>
            <w:r w:rsidRPr="00027624">
              <w:rPr>
                <w:rFonts w:cs="Calibri"/>
                <w:szCs w:val="18"/>
              </w:rPr>
              <w:t>12.2</w:t>
            </w:r>
          </w:p>
        </w:tc>
        <w:tc>
          <w:tcPr>
            <w:tcW w:w="464" w:type="pct"/>
            <w:vAlign w:val="bottom"/>
          </w:tcPr>
          <w:p w14:paraId="6D57E1A9" w14:textId="77777777" w:rsidR="00E96B29" w:rsidRPr="00027624" w:rsidRDefault="00E96B29" w:rsidP="00E96B29">
            <w:pPr>
              <w:pStyle w:val="TableTextCentered"/>
              <w:rPr>
                <w:szCs w:val="18"/>
              </w:rPr>
            </w:pPr>
            <w:r w:rsidRPr="00027624">
              <w:rPr>
                <w:rFonts w:cs="Calibri"/>
                <w:szCs w:val="18"/>
              </w:rPr>
              <w:t>13.3</w:t>
            </w:r>
          </w:p>
        </w:tc>
        <w:tc>
          <w:tcPr>
            <w:tcW w:w="464" w:type="pct"/>
            <w:vAlign w:val="bottom"/>
          </w:tcPr>
          <w:p w14:paraId="5F79098D" w14:textId="77777777" w:rsidR="00E96B29" w:rsidRPr="00027624" w:rsidRDefault="00E96B29" w:rsidP="00E96B29">
            <w:pPr>
              <w:pStyle w:val="TableTextCentered"/>
              <w:rPr>
                <w:szCs w:val="18"/>
              </w:rPr>
            </w:pPr>
            <w:r w:rsidRPr="00027624">
              <w:rPr>
                <w:rFonts w:cs="Calibri"/>
                <w:szCs w:val="18"/>
              </w:rPr>
              <w:t>15.2</w:t>
            </w:r>
          </w:p>
        </w:tc>
        <w:tc>
          <w:tcPr>
            <w:tcW w:w="520" w:type="pct"/>
            <w:vAlign w:val="bottom"/>
          </w:tcPr>
          <w:p w14:paraId="41705B7C" w14:textId="77777777" w:rsidR="00E96B29" w:rsidRPr="00027624" w:rsidRDefault="00E96B29" w:rsidP="00E96B29">
            <w:pPr>
              <w:pStyle w:val="TableTextCentered"/>
              <w:rPr>
                <w:szCs w:val="18"/>
              </w:rPr>
            </w:pPr>
            <w:r w:rsidRPr="00027624">
              <w:rPr>
                <w:rFonts w:cs="Calibri"/>
                <w:szCs w:val="18"/>
              </w:rPr>
              <w:t>12.1</w:t>
            </w:r>
          </w:p>
        </w:tc>
      </w:tr>
      <w:tr w:rsidR="00E96B29" w:rsidRPr="00027624" w14:paraId="624FB588" w14:textId="77777777" w:rsidTr="00E96B29">
        <w:trPr>
          <w:trHeight w:val="270"/>
        </w:trPr>
        <w:tc>
          <w:tcPr>
            <w:tcW w:w="750" w:type="pct"/>
            <w:vAlign w:val="bottom"/>
          </w:tcPr>
          <w:p w14:paraId="5ADE0D6B" w14:textId="77777777" w:rsidR="00E96B29" w:rsidRPr="00027624" w:rsidRDefault="00E96B29" w:rsidP="00E96B29">
            <w:pPr>
              <w:pStyle w:val="TableTextLeft"/>
              <w:rPr>
                <w:szCs w:val="18"/>
              </w:rPr>
            </w:pPr>
            <w:r w:rsidRPr="00027624">
              <w:rPr>
                <w:bCs/>
                <w:szCs w:val="18"/>
              </w:rPr>
              <w:t>83</w:t>
            </w:r>
          </w:p>
        </w:tc>
        <w:tc>
          <w:tcPr>
            <w:tcW w:w="467" w:type="pct"/>
            <w:vAlign w:val="bottom"/>
          </w:tcPr>
          <w:p w14:paraId="13B5A621" w14:textId="77777777" w:rsidR="00E96B29" w:rsidRPr="00027624" w:rsidRDefault="00E96B29" w:rsidP="00E96B29">
            <w:pPr>
              <w:pStyle w:val="TableTextCentered"/>
              <w:rPr>
                <w:szCs w:val="18"/>
              </w:rPr>
            </w:pPr>
            <w:r w:rsidRPr="00027624">
              <w:rPr>
                <w:rFonts w:cs="Calibri"/>
                <w:szCs w:val="18"/>
              </w:rPr>
              <w:t>23.0</w:t>
            </w:r>
          </w:p>
        </w:tc>
        <w:tc>
          <w:tcPr>
            <w:tcW w:w="467" w:type="pct"/>
            <w:vAlign w:val="bottom"/>
          </w:tcPr>
          <w:p w14:paraId="3AB2F4D0" w14:textId="77777777" w:rsidR="00E96B29" w:rsidRPr="00027624" w:rsidRDefault="00E96B29" w:rsidP="00E96B29">
            <w:pPr>
              <w:pStyle w:val="TableTextCentered"/>
              <w:rPr>
                <w:szCs w:val="18"/>
              </w:rPr>
            </w:pPr>
            <w:r w:rsidRPr="00027624">
              <w:rPr>
                <w:rFonts w:cs="Calibri"/>
                <w:szCs w:val="18"/>
              </w:rPr>
              <w:t>15.9</w:t>
            </w:r>
          </w:p>
        </w:tc>
        <w:tc>
          <w:tcPr>
            <w:tcW w:w="467" w:type="pct"/>
            <w:vAlign w:val="bottom"/>
          </w:tcPr>
          <w:p w14:paraId="7E66AB92" w14:textId="77777777" w:rsidR="00E96B29" w:rsidRPr="00027624" w:rsidRDefault="00E96B29" w:rsidP="00E96B29">
            <w:pPr>
              <w:pStyle w:val="TableTextCentered"/>
              <w:rPr>
                <w:szCs w:val="18"/>
              </w:rPr>
            </w:pPr>
            <w:r w:rsidRPr="00027624">
              <w:rPr>
                <w:rFonts w:cs="Calibri"/>
                <w:szCs w:val="18"/>
              </w:rPr>
              <w:t>14.5</w:t>
            </w:r>
          </w:p>
        </w:tc>
        <w:tc>
          <w:tcPr>
            <w:tcW w:w="467" w:type="pct"/>
            <w:vAlign w:val="bottom"/>
          </w:tcPr>
          <w:p w14:paraId="43D10257" w14:textId="77777777" w:rsidR="00E96B29" w:rsidRPr="00027624" w:rsidRDefault="00E96B29" w:rsidP="00E96B29">
            <w:pPr>
              <w:pStyle w:val="TableTextCentered"/>
              <w:rPr>
                <w:szCs w:val="18"/>
              </w:rPr>
            </w:pPr>
            <w:r w:rsidRPr="00027624">
              <w:rPr>
                <w:rFonts w:cs="Calibri"/>
                <w:szCs w:val="18"/>
              </w:rPr>
              <w:t>13.8</w:t>
            </w:r>
          </w:p>
        </w:tc>
        <w:tc>
          <w:tcPr>
            <w:tcW w:w="467" w:type="pct"/>
            <w:vAlign w:val="bottom"/>
          </w:tcPr>
          <w:p w14:paraId="445398A6" w14:textId="77777777" w:rsidR="00E96B29" w:rsidRPr="00027624" w:rsidRDefault="00E96B29" w:rsidP="00E96B29">
            <w:pPr>
              <w:pStyle w:val="TableTextCentered"/>
              <w:rPr>
                <w:szCs w:val="18"/>
              </w:rPr>
            </w:pPr>
            <w:r w:rsidRPr="00027624">
              <w:rPr>
                <w:rFonts w:cs="Calibri"/>
                <w:szCs w:val="18"/>
              </w:rPr>
              <w:t>13.5</w:t>
            </w:r>
          </w:p>
        </w:tc>
        <w:tc>
          <w:tcPr>
            <w:tcW w:w="467" w:type="pct"/>
            <w:vAlign w:val="bottom"/>
          </w:tcPr>
          <w:p w14:paraId="5613F85D" w14:textId="77777777" w:rsidR="00E96B29" w:rsidRPr="00027624" w:rsidRDefault="00E96B29" w:rsidP="00E96B29">
            <w:pPr>
              <w:pStyle w:val="TableTextCentered"/>
              <w:rPr>
                <w:szCs w:val="18"/>
              </w:rPr>
            </w:pPr>
            <w:r w:rsidRPr="00027624">
              <w:rPr>
                <w:rFonts w:cs="Calibri"/>
                <w:szCs w:val="18"/>
              </w:rPr>
              <w:t>13.1</w:t>
            </w:r>
          </w:p>
        </w:tc>
        <w:tc>
          <w:tcPr>
            <w:tcW w:w="464" w:type="pct"/>
            <w:vAlign w:val="bottom"/>
          </w:tcPr>
          <w:p w14:paraId="572BDC61" w14:textId="77777777" w:rsidR="00E96B29" w:rsidRPr="00027624" w:rsidRDefault="00E96B29" w:rsidP="00E96B29">
            <w:pPr>
              <w:pStyle w:val="TableTextCentered"/>
              <w:rPr>
                <w:szCs w:val="18"/>
              </w:rPr>
            </w:pPr>
            <w:r w:rsidRPr="00027624">
              <w:rPr>
                <w:rFonts w:cs="Calibri"/>
                <w:szCs w:val="18"/>
              </w:rPr>
              <w:t>13.6</w:t>
            </w:r>
          </w:p>
        </w:tc>
        <w:tc>
          <w:tcPr>
            <w:tcW w:w="464" w:type="pct"/>
            <w:vAlign w:val="bottom"/>
          </w:tcPr>
          <w:p w14:paraId="48B251D9" w14:textId="77777777" w:rsidR="00E96B29" w:rsidRPr="00027624" w:rsidRDefault="00E96B29" w:rsidP="00E96B29">
            <w:pPr>
              <w:pStyle w:val="TableTextCentered"/>
              <w:rPr>
                <w:szCs w:val="18"/>
              </w:rPr>
            </w:pPr>
            <w:r w:rsidRPr="00027624">
              <w:rPr>
                <w:rFonts w:cs="Calibri"/>
                <w:szCs w:val="18"/>
              </w:rPr>
              <w:t>15.9</w:t>
            </w:r>
          </w:p>
        </w:tc>
        <w:tc>
          <w:tcPr>
            <w:tcW w:w="520" w:type="pct"/>
            <w:vAlign w:val="bottom"/>
          </w:tcPr>
          <w:p w14:paraId="7BFADF26" w14:textId="77777777" w:rsidR="00E96B29" w:rsidRPr="00027624" w:rsidRDefault="00E96B29" w:rsidP="00E96B29">
            <w:pPr>
              <w:pStyle w:val="TableTextCentered"/>
              <w:rPr>
                <w:szCs w:val="18"/>
              </w:rPr>
            </w:pPr>
            <w:r w:rsidRPr="00027624">
              <w:rPr>
                <w:rFonts w:cs="Calibri"/>
                <w:szCs w:val="18"/>
              </w:rPr>
              <w:t>13.5</w:t>
            </w:r>
          </w:p>
        </w:tc>
      </w:tr>
      <w:tr w:rsidR="00E96B29" w:rsidRPr="00027624" w14:paraId="75AC1208" w14:textId="77777777" w:rsidTr="00E96B29">
        <w:trPr>
          <w:trHeight w:val="270"/>
        </w:trPr>
        <w:tc>
          <w:tcPr>
            <w:tcW w:w="750" w:type="pct"/>
            <w:vAlign w:val="bottom"/>
          </w:tcPr>
          <w:p w14:paraId="26F3FEA5" w14:textId="77777777" w:rsidR="00E96B29" w:rsidRPr="00027624" w:rsidRDefault="00E96B29" w:rsidP="00E96B29">
            <w:pPr>
              <w:pStyle w:val="TableTextLeft"/>
              <w:rPr>
                <w:szCs w:val="18"/>
              </w:rPr>
            </w:pPr>
            <w:r w:rsidRPr="00027624">
              <w:rPr>
                <w:bCs/>
                <w:szCs w:val="18"/>
              </w:rPr>
              <w:t>84</w:t>
            </w:r>
          </w:p>
        </w:tc>
        <w:tc>
          <w:tcPr>
            <w:tcW w:w="467" w:type="pct"/>
            <w:vAlign w:val="bottom"/>
          </w:tcPr>
          <w:p w14:paraId="797CCA6B" w14:textId="77777777" w:rsidR="00E96B29" w:rsidRPr="00027624" w:rsidRDefault="00E96B29" w:rsidP="00E96B29">
            <w:pPr>
              <w:pStyle w:val="TableTextCentered"/>
              <w:rPr>
                <w:szCs w:val="18"/>
              </w:rPr>
            </w:pPr>
            <w:r w:rsidRPr="00027624">
              <w:rPr>
                <w:rFonts w:cs="Calibri"/>
                <w:szCs w:val="18"/>
              </w:rPr>
              <w:t>25.6</w:t>
            </w:r>
          </w:p>
        </w:tc>
        <w:tc>
          <w:tcPr>
            <w:tcW w:w="467" w:type="pct"/>
            <w:vAlign w:val="bottom"/>
          </w:tcPr>
          <w:p w14:paraId="436E59D7" w14:textId="77777777" w:rsidR="00E96B29" w:rsidRPr="00027624" w:rsidRDefault="00E96B29" w:rsidP="00E96B29">
            <w:pPr>
              <w:pStyle w:val="TableTextCentered"/>
              <w:rPr>
                <w:szCs w:val="18"/>
              </w:rPr>
            </w:pPr>
            <w:r w:rsidRPr="00027624">
              <w:rPr>
                <w:rFonts w:cs="Calibri"/>
                <w:szCs w:val="18"/>
              </w:rPr>
              <w:t>17.2</w:t>
            </w:r>
          </w:p>
        </w:tc>
        <w:tc>
          <w:tcPr>
            <w:tcW w:w="467" w:type="pct"/>
            <w:vAlign w:val="bottom"/>
          </w:tcPr>
          <w:p w14:paraId="7B796764" w14:textId="77777777" w:rsidR="00E96B29" w:rsidRPr="00027624" w:rsidRDefault="00E96B29" w:rsidP="00E96B29">
            <w:pPr>
              <w:pStyle w:val="TableTextCentered"/>
              <w:rPr>
                <w:szCs w:val="18"/>
              </w:rPr>
            </w:pPr>
            <w:r w:rsidRPr="00027624">
              <w:rPr>
                <w:rFonts w:cs="Calibri"/>
                <w:szCs w:val="18"/>
              </w:rPr>
              <w:t>15.7</w:t>
            </w:r>
          </w:p>
        </w:tc>
        <w:tc>
          <w:tcPr>
            <w:tcW w:w="467" w:type="pct"/>
            <w:vAlign w:val="bottom"/>
          </w:tcPr>
          <w:p w14:paraId="7B8062CE" w14:textId="77777777" w:rsidR="00E96B29" w:rsidRPr="00027624" w:rsidRDefault="00E96B29" w:rsidP="00E96B29">
            <w:pPr>
              <w:pStyle w:val="TableTextCentered"/>
              <w:rPr>
                <w:szCs w:val="18"/>
              </w:rPr>
            </w:pPr>
            <w:r w:rsidRPr="00027624">
              <w:rPr>
                <w:rFonts w:cs="Calibri"/>
                <w:szCs w:val="18"/>
              </w:rPr>
              <w:t>14.9</w:t>
            </w:r>
          </w:p>
        </w:tc>
        <w:tc>
          <w:tcPr>
            <w:tcW w:w="467" w:type="pct"/>
            <w:vAlign w:val="bottom"/>
          </w:tcPr>
          <w:p w14:paraId="075B863B" w14:textId="77777777" w:rsidR="00E96B29" w:rsidRPr="00027624" w:rsidRDefault="00E96B29" w:rsidP="00E96B29">
            <w:pPr>
              <w:pStyle w:val="TableTextCentered"/>
              <w:rPr>
                <w:szCs w:val="18"/>
              </w:rPr>
            </w:pPr>
            <w:r w:rsidRPr="00027624">
              <w:rPr>
                <w:rFonts w:cs="Calibri"/>
                <w:szCs w:val="18"/>
              </w:rPr>
              <w:t>14.6</w:t>
            </w:r>
          </w:p>
        </w:tc>
        <w:tc>
          <w:tcPr>
            <w:tcW w:w="467" w:type="pct"/>
            <w:vAlign w:val="bottom"/>
          </w:tcPr>
          <w:p w14:paraId="5D392F9E" w14:textId="77777777" w:rsidR="00E96B29" w:rsidRPr="00027624" w:rsidRDefault="00E96B29" w:rsidP="00E96B29">
            <w:pPr>
              <w:pStyle w:val="TableTextCentered"/>
              <w:rPr>
                <w:szCs w:val="18"/>
              </w:rPr>
            </w:pPr>
            <w:r w:rsidRPr="00027624">
              <w:rPr>
                <w:rFonts w:cs="Calibri"/>
                <w:szCs w:val="18"/>
              </w:rPr>
              <w:t>14.2</w:t>
            </w:r>
          </w:p>
        </w:tc>
        <w:tc>
          <w:tcPr>
            <w:tcW w:w="464" w:type="pct"/>
            <w:vAlign w:val="bottom"/>
          </w:tcPr>
          <w:p w14:paraId="75E4A45A" w14:textId="77777777" w:rsidR="00E96B29" w:rsidRPr="00027624" w:rsidRDefault="00E96B29" w:rsidP="00E96B29">
            <w:pPr>
              <w:pStyle w:val="TableTextCentered"/>
              <w:rPr>
                <w:szCs w:val="18"/>
              </w:rPr>
            </w:pPr>
            <w:r w:rsidRPr="00027624">
              <w:rPr>
                <w:rFonts w:cs="Calibri"/>
                <w:szCs w:val="18"/>
              </w:rPr>
              <w:t>14.0</w:t>
            </w:r>
          </w:p>
        </w:tc>
        <w:tc>
          <w:tcPr>
            <w:tcW w:w="464" w:type="pct"/>
            <w:vAlign w:val="bottom"/>
          </w:tcPr>
          <w:p w14:paraId="5F81F65F" w14:textId="77777777" w:rsidR="00E96B29" w:rsidRPr="00027624" w:rsidRDefault="00E96B29" w:rsidP="00E96B29">
            <w:pPr>
              <w:pStyle w:val="TableTextCentered"/>
              <w:rPr>
                <w:szCs w:val="18"/>
              </w:rPr>
            </w:pPr>
            <w:r w:rsidRPr="00027624">
              <w:rPr>
                <w:rFonts w:cs="Calibri"/>
                <w:szCs w:val="18"/>
              </w:rPr>
              <w:t>16.8</w:t>
            </w:r>
          </w:p>
        </w:tc>
        <w:tc>
          <w:tcPr>
            <w:tcW w:w="520" w:type="pct"/>
            <w:vAlign w:val="bottom"/>
          </w:tcPr>
          <w:p w14:paraId="17D58716" w14:textId="77777777" w:rsidR="00E96B29" w:rsidRPr="00027624" w:rsidRDefault="00E96B29" w:rsidP="00E96B29">
            <w:pPr>
              <w:pStyle w:val="TableTextCentered"/>
              <w:rPr>
                <w:szCs w:val="18"/>
              </w:rPr>
            </w:pPr>
            <w:r w:rsidRPr="00027624">
              <w:rPr>
                <w:rFonts w:cs="Calibri"/>
                <w:szCs w:val="18"/>
              </w:rPr>
              <w:t>15.3</w:t>
            </w:r>
          </w:p>
        </w:tc>
      </w:tr>
      <w:tr w:rsidR="00E96B29" w:rsidRPr="00027624" w14:paraId="52744A1B" w14:textId="77777777" w:rsidTr="00E96B29">
        <w:trPr>
          <w:trHeight w:val="270"/>
        </w:trPr>
        <w:tc>
          <w:tcPr>
            <w:tcW w:w="750" w:type="pct"/>
            <w:vAlign w:val="bottom"/>
          </w:tcPr>
          <w:p w14:paraId="653CC234" w14:textId="77777777" w:rsidR="00E96B29" w:rsidRPr="00027624" w:rsidRDefault="00E96B29" w:rsidP="00E96B29">
            <w:pPr>
              <w:pStyle w:val="TableTextLeft"/>
              <w:rPr>
                <w:szCs w:val="18"/>
              </w:rPr>
            </w:pPr>
            <w:r w:rsidRPr="00027624">
              <w:rPr>
                <w:bCs/>
                <w:szCs w:val="18"/>
              </w:rPr>
              <w:t>85</w:t>
            </w:r>
          </w:p>
        </w:tc>
        <w:tc>
          <w:tcPr>
            <w:tcW w:w="467" w:type="pct"/>
            <w:vAlign w:val="bottom"/>
          </w:tcPr>
          <w:p w14:paraId="66F3241F" w14:textId="77777777" w:rsidR="00E96B29" w:rsidRPr="00027624" w:rsidRDefault="00E96B29" w:rsidP="00E96B29">
            <w:pPr>
              <w:pStyle w:val="TableTextCentered"/>
              <w:rPr>
                <w:szCs w:val="18"/>
              </w:rPr>
            </w:pPr>
            <w:r w:rsidRPr="00027624">
              <w:rPr>
                <w:rFonts w:cs="Calibri"/>
                <w:szCs w:val="18"/>
              </w:rPr>
              <w:t>29.0</w:t>
            </w:r>
          </w:p>
        </w:tc>
        <w:tc>
          <w:tcPr>
            <w:tcW w:w="467" w:type="pct"/>
            <w:vAlign w:val="bottom"/>
          </w:tcPr>
          <w:p w14:paraId="18BDB44C" w14:textId="77777777" w:rsidR="00E96B29" w:rsidRPr="00027624" w:rsidRDefault="00E96B29" w:rsidP="00E96B29">
            <w:pPr>
              <w:pStyle w:val="TableTextCentered"/>
              <w:rPr>
                <w:szCs w:val="18"/>
              </w:rPr>
            </w:pPr>
            <w:r w:rsidRPr="00027624">
              <w:rPr>
                <w:rFonts w:cs="Calibri"/>
                <w:szCs w:val="18"/>
              </w:rPr>
              <w:t>18.8</w:t>
            </w:r>
          </w:p>
        </w:tc>
        <w:tc>
          <w:tcPr>
            <w:tcW w:w="467" w:type="pct"/>
            <w:vAlign w:val="bottom"/>
          </w:tcPr>
          <w:p w14:paraId="40BA84D3" w14:textId="77777777" w:rsidR="00E96B29" w:rsidRPr="00027624" w:rsidRDefault="00E96B29" w:rsidP="00E96B29">
            <w:pPr>
              <w:pStyle w:val="TableTextCentered"/>
              <w:rPr>
                <w:szCs w:val="18"/>
              </w:rPr>
            </w:pPr>
            <w:r w:rsidRPr="00027624">
              <w:rPr>
                <w:rFonts w:cs="Calibri"/>
                <w:szCs w:val="18"/>
              </w:rPr>
              <w:t>17.1</w:t>
            </w:r>
          </w:p>
        </w:tc>
        <w:tc>
          <w:tcPr>
            <w:tcW w:w="467" w:type="pct"/>
            <w:vAlign w:val="bottom"/>
          </w:tcPr>
          <w:p w14:paraId="4E867BDA" w14:textId="77777777" w:rsidR="00E96B29" w:rsidRPr="00027624" w:rsidRDefault="00E96B29" w:rsidP="00E96B29">
            <w:pPr>
              <w:pStyle w:val="TableTextCentered"/>
              <w:rPr>
                <w:szCs w:val="18"/>
              </w:rPr>
            </w:pPr>
            <w:r w:rsidRPr="00027624">
              <w:rPr>
                <w:rFonts w:cs="Calibri"/>
                <w:szCs w:val="18"/>
              </w:rPr>
              <w:t>16.3</w:t>
            </w:r>
          </w:p>
        </w:tc>
        <w:tc>
          <w:tcPr>
            <w:tcW w:w="467" w:type="pct"/>
            <w:vAlign w:val="bottom"/>
          </w:tcPr>
          <w:p w14:paraId="184A34F0" w14:textId="77777777" w:rsidR="00E96B29" w:rsidRPr="00027624" w:rsidRDefault="00E96B29" w:rsidP="00E96B29">
            <w:pPr>
              <w:pStyle w:val="TableTextCentered"/>
              <w:rPr>
                <w:szCs w:val="18"/>
              </w:rPr>
            </w:pPr>
            <w:r w:rsidRPr="00027624">
              <w:rPr>
                <w:rFonts w:cs="Calibri"/>
                <w:szCs w:val="18"/>
              </w:rPr>
              <w:t>16.0</w:t>
            </w:r>
          </w:p>
        </w:tc>
        <w:tc>
          <w:tcPr>
            <w:tcW w:w="467" w:type="pct"/>
            <w:vAlign w:val="bottom"/>
          </w:tcPr>
          <w:p w14:paraId="71DD8D63" w14:textId="77777777" w:rsidR="00E96B29" w:rsidRPr="00027624" w:rsidRDefault="00E96B29" w:rsidP="00E96B29">
            <w:pPr>
              <w:pStyle w:val="TableTextCentered"/>
              <w:rPr>
                <w:szCs w:val="18"/>
              </w:rPr>
            </w:pPr>
            <w:r w:rsidRPr="00027624">
              <w:rPr>
                <w:rFonts w:cs="Calibri"/>
                <w:szCs w:val="18"/>
              </w:rPr>
              <w:t>15.6</w:t>
            </w:r>
          </w:p>
        </w:tc>
        <w:tc>
          <w:tcPr>
            <w:tcW w:w="464" w:type="pct"/>
            <w:vAlign w:val="bottom"/>
          </w:tcPr>
          <w:p w14:paraId="5B8603A0" w14:textId="77777777" w:rsidR="00E96B29" w:rsidRPr="00027624" w:rsidRDefault="00E96B29" w:rsidP="00E96B29">
            <w:pPr>
              <w:pStyle w:val="TableTextCentered"/>
              <w:rPr>
                <w:szCs w:val="18"/>
              </w:rPr>
            </w:pPr>
            <w:r w:rsidRPr="00027624">
              <w:rPr>
                <w:rFonts w:cs="Calibri"/>
                <w:szCs w:val="18"/>
              </w:rPr>
              <w:t>15.3</w:t>
            </w:r>
          </w:p>
        </w:tc>
        <w:tc>
          <w:tcPr>
            <w:tcW w:w="464" w:type="pct"/>
            <w:vAlign w:val="bottom"/>
          </w:tcPr>
          <w:p w14:paraId="3F460A49" w14:textId="77777777" w:rsidR="00E96B29" w:rsidRPr="00027624" w:rsidRDefault="00E96B29" w:rsidP="00E96B29">
            <w:pPr>
              <w:pStyle w:val="TableTextCentered"/>
              <w:rPr>
                <w:szCs w:val="18"/>
              </w:rPr>
            </w:pPr>
            <w:r w:rsidRPr="00027624">
              <w:rPr>
                <w:rFonts w:cs="Calibri"/>
                <w:szCs w:val="18"/>
              </w:rPr>
              <w:t>17.9</w:t>
            </w:r>
          </w:p>
        </w:tc>
        <w:tc>
          <w:tcPr>
            <w:tcW w:w="520" w:type="pct"/>
            <w:vAlign w:val="bottom"/>
          </w:tcPr>
          <w:p w14:paraId="7D056157" w14:textId="77777777" w:rsidR="00E96B29" w:rsidRPr="00027624" w:rsidRDefault="00E96B29" w:rsidP="00E96B29">
            <w:pPr>
              <w:pStyle w:val="TableTextCentered"/>
              <w:rPr>
                <w:szCs w:val="18"/>
              </w:rPr>
            </w:pPr>
            <w:r w:rsidRPr="00027624">
              <w:rPr>
                <w:rFonts w:cs="Calibri"/>
                <w:szCs w:val="18"/>
              </w:rPr>
              <w:t>17.8</w:t>
            </w:r>
          </w:p>
        </w:tc>
      </w:tr>
      <w:tr w:rsidR="00E96B29" w:rsidRPr="00027624" w14:paraId="1A53CF63" w14:textId="77777777" w:rsidTr="00E96B29">
        <w:trPr>
          <w:trHeight w:val="270"/>
        </w:trPr>
        <w:tc>
          <w:tcPr>
            <w:tcW w:w="750" w:type="pct"/>
            <w:vAlign w:val="bottom"/>
          </w:tcPr>
          <w:p w14:paraId="524BBF41" w14:textId="77777777" w:rsidR="00E96B29" w:rsidRPr="00027624" w:rsidRDefault="00E96B29" w:rsidP="00E96B29">
            <w:pPr>
              <w:pStyle w:val="TableTextLeft"/>
              <w:rPr>
                <w:szCs w:val="18"/>
              </w:rPr>
            </w:pPr>
            <w:r w:rsidRPr="00027624">
              <w:rPr>
                <w:bCs/>
                <w:szCs w:val="18"/>
              </w:rPr>
              <w:t>86</w:t>
            </w:r>
          </w:p>
        </w:tc>
        <w:tc>
          <w:tcPr>
            <w:tcW w:w="467" w:type="pct"/>
            <w:vAlign w:val="bottom"/>
          </w:tcPr>
          <w:p w14:paraId="3EF50B76" w14:textId="77777777" w:rsidR="00E96B29" w:rsidRPr="00027624" w:rsidRDefault="00E96B29" w:rsidP="00E96B29">
            <w:pPr>
              <w:pStyle w:val="TableTextCentered"/>
              <w:rPr>
                <w:szCs w:val="18"/>
              </w:rPr>
            </w:pPr>
            <w:r w:rsidRPr="00027624">
              <w:rPr>
                <w:rFonts w:cs="Calibri"/>
                <w:szCs w:val="18"/>
              </w:rPr>
              <w:t>33.5</w:t>
            </w:r>
          </w:p>
        </w:tc>
        <w:tc>
          <w:tcPr>
            <w:tcW w:w="467" w:type="pct"/>
            <w:vAlign w:val="bottom"/>
          </w:tcPr>
          <w:p w14:paraId="59C58874" w14:textId="77777777" w:rsidR="00E96B29" w:rsidRPr="00027624" w:rsidRDefault="00E96B29" w:rsidP="00E96B29">
            <w:pPr>
              <w:pStyle w:val="TableTextCentered"/>
              <w:rPr>
                <w:szCs w:val="18"/>
              </w:rPr>
            </w:pPr>
            <w:r w:rsidRPr="00027624">
              <w:rPr>
                <w:rFonts w:cs="Calibri"/>
                <w:szCs w:val="18"/>
              </w:rPr>
              <w:t>20.7</w:t>
            </w:r>
          </w:p>
        </w:tc>
        <w:tc>
          <w:tcPr>
            <w:tcW w:w="467" w:type="pct"/>
            <w:vAlign w:val="bottom"/>
          </w:tcPr>
          <w:p w14:paraId="0A10BB23" w14:textId="77777777" w:rsidR="00E96B29" w:rsidRPr="00027624" w:rsidRDefault="00E96B29" w:rsidP="00E96B29">
            <w:pPr>
              <w:pStyle w:val="TableTextCentered"/>
              <w:rPr>
                <w:szCs w:val="18"/>
              </w:rPr>
            </w:pPr>
            <w:r w:rsidRPr="00027624">
              <w:rPr>
                <w:rFonts w:cs="Calibri"/>
                <w:szCs w:val="18"/>
              </w:rPr>
              <w:t>19.0</w:t>
            </w:r>
          </w:p>
        </w:tc>
        <w:tc>
          <w:tcPr>
            <w:tcW w:w="467" w:type="pct"/>
            <w:vAlign w:val="bottom"/>
          </w:tcPr>
          <w:p w14:paraId="3EE7DDE5" w14:textId="77777777" w:rsidR="00E96B29" w:rsidRPr="00027624" w:rsidRDefault="00E96B29" w:rsidP="00E96B29">
            <w:pPr>
              <w:pStyle w:val="TableTextCentered"/>
              <w:rPr>
                <w:szCs w:val="18"/>
              </w:rPr>
            </w:pPr>
            <w:r w:rsidRPr="00027624">
              <w:rPr>
                <w:rFonts w:cs="Calibri"/>
                <w:szCs w:val="18"/>
              </w:rPr>
              <w:t>18.1</w:t>
            </w:r>
          </w:p>
        </w:tc>
        <w:tc>
          <w:tcPr>
            <w:tcW w:w="467" w:type="pct"/>
            <w:vAlign w:val="bottom"/>
          </w:tcPr>
          <w:p w14:paraId="60386C29" w14:textId="77777777" w:rsidR="00E96B29" w:rsidRPr="00027624" w:rsidRDefault="00E96B29" w:rsidP="00E96B29">
            <w:pPr>
              <w:pStyle w:val="TableTextCentered"/>
              <w:rPr>
                <w:szCs w:val="18"/>
              </w:rPr>
            </w:pPr>
            <w:r w:rsidRPr="00027624">
              <w:rPr>
                <w:rFonts w:cs="Calibri"/>
                <w:szCs w:val="18"/>
              </w:rPr>
              <w:t>17.7</w:t>
            </w:r>
          </w:p>
        </w:tc>
        <w:tc>
          <w:tcPr>
            <w:tcW w:w="467" w:type="pct"/>
            <w:vAlign w:val="bottom"/>
          </w:tcPr>
          <w:p w14:paraId="6F9A5628" w14:textId="77777777" w:rsidR="00E96B29" w:rsidRPr="00027624" w:rsidRDefault="00E96B29" w:rsidP="00E96B29">
            <w:pPr>
              <w:pStyle w:val="TableTextCentered"/>
              <w:rPr>
                <w:szCs w:val="18"/>
              </w:rPr>
            </w:pPr>
            <w:r w:rsidRPr="00027624">
              <w:rPr>
                <w:rFonts w:cs="Calibri"/>
                <w:szCs w:val="18"/>
              </w:rPr>
              <w:t>17.4</w:t>
            </w:r>
          </w:p>
        </w:tc>
        <w:tc>
          <w:tcPr>
            <w:tcW w:w="464" w:type="pct"/>
            <w:vAlign w:val="bottom"/>
          </w:tcPr>
          <w:p w14:paraId="0EE820A4" w14:textId="77777777" w:rsidR="00E96B29" w:rsidRPr="00027624" w:rsidRDefault="00E96B29" w:rsidP="00E96B29">
            <w:pPr>
              <w:pStyle w:val="TableTextCentered"/>
              <w:rPr>
                <w:szCs w:val="18"/>
              </w:rPr>
            </w:pPr>
            <w:r w:rsidRPr="00027624">
              <w:rPr>
                <w:rFonts w:cs="Calibri"/>
                <w:szCs w:val="18"/>
              </w:rPr>
              <w:t>17.0</w:t>
            </w:r>
          </w:p>
        </w:tc>
        <w:tc>
          <w:tcPr>
            <w:tcW w:w="464" w:type="pct"/>
            <w:vAlign w:val="bottom"/>
          </w:tcPr>
          <w:p w14:paraId="7A38DA76" w14:textId="77777777" w:rsidR="00E96B29" w:rsidRPr="00027624" w:rsidRDefault="00E96B29" w:rsidP="00E96B29">
            <w:pPr>
              <w:pStyle w:val="TableTextCentered"/>
              <w:rPr>
                <w:szCs w:val="18"/>
              </w:rPr>
            </w:pPr>
            <w:r w:rsidRPr="00027624">
              <w:rPr>
                <w:rFonts w:cs="Calibri"/>
                <w:szCs w:val="18"/>
              </w:rPr>
              <w:t>19.2</w:t>
            </w:r>
          </w:p>
        </w:tc>
        <w:tc>
          <w:tcPr>
            <w:tcW w:w="520" w:type="pct"/>
            <w:vAlign w:val="bottom"/>
          </w:tcPr>
          <w:p w14:paraId="7221EB7B" w14:textId="77777777" w:rsidR="00E96B29" w:rsidRPr="00027624" w:rsidRDefault="00E96B29" w:rsidP="00E96B29">
            <w:pPr>
              <w:pStyle w:val="TableTextCentered"/>
              <w:rPr>
                <w:szCs w:val="18"/>
              </w:rPr>
            </w:pPr>
            <w:r w:rsidRPr="00027624">
              <w:rPr>
                <w:rFonts w:cs="Calibri"/>
                <w:szCs w:val="18"/>
              </w:rPr>
              <w:t>19.9</w:t>
            </w:r>
          </w:p>
        </w:tc>
      </w:tr>
      <w:tr w:rsidR="00E96B29" w:rsidRPr="00027624" w14:paraId="4B5CD175" w14:textId="77777777" w:rsidTr="00E96B29">
        <w:trPr>
          <w:trHeight w:val="270"/>
        </w:trPr>
        <w:tc>
          <w:tcPr>
            <w:tcW w:w="750" w:type="pct"/>
            <w:vAlign w:val="bottom"/>
          </w:tcPr>
          <w:p w14:paraId="1C47CCA1" w14:textId="77777777" w:rsidR="00E96B29" w:rsidRPr="00027624" w:rsidRDefault="00E96B29" w:rsidP="00E96B29">
            <w:pPr>
              <w:pStyle w:val="TableTextLeft"/>
              <w:rPr>
                <w:szCs w:val="18"/>
              </w:rPr>
            </w:pPr>
            <w:r w:rsidRPr="00027624">
              <w:rPr>
                <w:bCs/>
                <w:szCs w:val="18"/>
              </w:rPr>
              <w:t>87</w:t>
            </w:r>
          </w:p>
        </w:tc>
        <w:tc>
          <w:tcPr>
            <w:tcW w:w="467" w:type="pct"/>
            <w:vAlign w:val="bottom"/>
          </w:tcPr>
          <w:p w14:paraId="0981F0CB" w14:textId="77777777" w:rsidR="00E96B29" w:rsidRPr="00027624" w:rsidRDefault="00E96B29" w:rsidP="00E96B29">
            <w:pPr>
              <w:pStyle w:val="TableTextCentered"/>
              <w:rPr>
                <w:szCs w:val="18"/>
              </w:rPr>
            </w:pPr>
            <w:r w:rsidRPr="00027624">
              <w:rPr>
                <w:rFonts w:cs="Calibri"/>
                <w:szCs w:val="18"/>
              </w:rPr>
              <w:t>39.8</w:t>
            </w:r>
          </w:p>
        </w:tc>
        <w:tc>
          <w:tcPr>
            <w:tcW w:w="467" w:type="pct"/>
            <w:vAlign w:val="bottom"/>
          </w:tcPr>
          <w:p w14:paraId="58FF46FB" w14:textId="77777777" w:rsidR="00E96B29" w:rsidRPr="00027624" w:rsidRDefault="00E96B29" w:rsidP="00E96B29">
            <w:pPr>
              <w:pStyle w:val="TableTextCentered"/>
              <w:rPr>
                <w:szCs w:val="18"/>
              </w:rPr>
            </w:pPr>
            <w:r w:rsidRPr="00027624">
              <w:rPr>
                <w:rFonts w:cs="Calibri"/>
                <w:szCs w:val="18"/>
              </w:rPr>
              <w:t>23.3</w:t>
            </w:r>
          </w:p>
        </w:tc>
        <w:tc>
          <w:tcPr>
            <w:tcW w:w="467" w:type="pct"/>
            <w:vAlign w:val="bottom"/>
          </w:tcPr>
          <w:p w14:paraId="5452DD9B" w14:textId="77777777" w:rsidR="00E96B29" w:rsidRPr="00027624" w:rsidRDefault="00E96B29" w:rsidP="00E96B29">
            <w:pPr>
              <w:pStyle w:val="TableTextCentered"/>
              <w:rPr>
                <w:szCs w:val="18"/>
              </w:rPr>
            </w:pPr>
            <w:r w:rsidRPr="00027624">
              <w:rPr>
                <w:rFonts w:cs="Calibri"/>
                <w:szCs w:val="18"/>
              </w:rPr>
              <w:t>21.4</w:t>
            </w:r>
          </w:p>
        </w:tc>
        <w:tc>
          <w:tcPr>
            <w:tcW w:w="467" w:type="pct"/>
            <w:vAlign w:val="bottom"/>
          </w:tcPr>
          <w:p w14:paraId="0A0C55A9" w14:textId="77777777" w:rsidR="00E96B29" w:rsidRPr="00027624" w:rsidRDefault="00E96B29" w:rsidP="00E96B29">
            <w:pPr>
              <w:pStyle w:val="TableTextCentered"/>
              <w:rPr>
                <w:szCs w:val="18"/>
              </w:rPr>
            </w:pPr>
            <w:r w:rsidRPr="00027624">
              <w:rPr>
                <w:rFonts w:cs="Calibri"/>
                <w:szCs w:val="18"/>
              </w:rPr>
              <w:t>20.5</w:t>
            </w:r>
          </w:p>
        </w:tc>
        <w:tc>
          <w:tcPr>
            <w:tcW w:w="467" w:type="pct"/>
            <w:vAlign w:val="bottom"/>
          </w:tcPr>
          <w:p w14:paraId="163ED969" w14:textId="77777777" w:rsidR="00E96B29" w:rsidRPr="00027624" w:rsidRDefault="00E96B29" w:rsidP="00E96B29">
            <w:pPr>
              <w:pStyle w:val="TableTextCentered"/>
              <w:rPr>
                <w:szCs w:val="18"/>
              </w:rPr>
            </w:pPr>
            <w:r w:rsidRPr="00027624">
              <w:rPr>
                <w:rFonts w:cs="Calibri"/>
                <w:szCs w:val="18"/>
              </w:rPr>
              <w:t>20.1</w:t>
            </w:r>
          </w:p>
        </w:tc>
        <w:tc>
          <w:tcPr>
            <w:tcW w:w="467" w:type="pct"/>
            <w:vAlign w:val="bottom"/>
          </w:tcPr>
          <w:p w14:paraId="042760A6" w14:textId="77777777" w:rsidR="00E96B29" w:rsidRPr="00027624" w:rsidRDefault="00E96B29" w:rsidP="00E96B29">
            <w:pPr>
              <w:pStyle w:val="TableTextCentered"/>
              <w:rPr>
                <w:szCs w:val="18"/>
              </w:rPr>
            </w:pPr>
            <w:r w:rsidRPr="00027624">
              <w:rPr>
                <w:rFonts w:cs="Calibri"/>
                <w:szCs w:val="18"/>
              </w:rPr>
              <w:t>19.7</w:t>
            </w:r>
          </w:p>
        </w:tc>
        <w:tc>
          <w:tcPr>
            <w:tcW w:w="464" w:type="pct"/>
            <w:vAlign w:val="bottom"/>
          </w:tcPr>
          <w:p w14:paraId="75B36910" w14:textId="77777777" w:rsidR="00E96B29" w:rsidRPr="00027624" w:rsidRDefault="00E96B29" w:rsidP="00E96B29">
            <w:pPr>
              <w:pStyle w:val="TableTextCentered"/>
              <w:rPr>
                <w:szCs w:val="18"/>
              </w:rPr>
            </w:pPr>
            <w:r w:rsidRPr="00027624">
              <w:rPr>
                <w:rFonts w:cs="Calibri"/>
                <w:szCs w:val="18"/>
              </w:rPr>
              <w:t>19.4</w:t>
            </w:r>
          </w:p>
        </w:tc>
        <w:tc>
          <w:tcPr>
            <w:tcW w:w="464" w:type="pct"/>
            <w:vAlign w:val="bottom"/>
          </w:tcPr>
          <w:p w14:paraId="7ED283D1" w14:textId="77777777" w:rsidR="00E96B29" w:rsidRPr="00027624" w:rsidRDefault="00E96B29" w:rsidP="00E96B29">
            <w:pPr>
              <w:pStyle w:val="TableTextCentered"/>
              <w:rPr>
                <w:szCs w:val="18"/>
              </w:rPr>
            </w:pPr>
            <w:r w:rsidRPr="00027624">
              <w:rPr>
                <w:rFonts w:cs="Calibri"/>
                <w:szCs w:val="18"/>
              </w:rPr>
              <w:t>20.9</w:t>
            </w:r>
          </w:p>
        </w:tc>
        <w:tc>
          <w:tcPr>
            <w:tcW w:w="520" w:type="pct"/>
            <w:vAlign w:val="bottom"/>
          </w:tcPr>
          <w:p w14:paraId="6D17F69D" w14:textId="77777777" w:rsidR="00E96B29" w:rsidRPr="00027624" w:rsidRDefault="00E96B29" w:rsidP="00E96B29">
            <w:pPr>
              <w:pStyle w:val="TableTextCentered"/>
              <w:rPr>
                <w:szCs w:val="18"/>
              </w:rPr>
            </w:pPr>
            <w:r w:rsidRPr="00027624">
              <w:rPr>
                <w:rFonts w:cs="Calibri"/>
                <w:szCs w:val="18"/>
              </w:rPr>
              <w:t>22.2</w:t>
            </w:r>
          </w:p>
        </w:tc>
      </w:tr>
      <w:tr w:rsidR="00E96B29" w:rsidRPr="00027624" w14:paraId="0FBA094A" w14:textId="77777777" w:rsidTr="00E96B29">
        <w:trPr>
          <w:trHeight w:val="270"/>
        </w:trPr>
        <w:tc>
          <w:tcPr>
            <w:tcW w:w="750" w:type="pct"/>
            <w:vAlign w:val="bottom"/>
          </w:tcPr>
          <w:p w14:paraId="42DC490D" w14:textId="77777777" w:rsidR="00E96B29" w:rsidRPr="00027624" w:rsidRDefault="00E96B29" w:rsidP="00E96B29">
            <w:pPr>
              <w:pStyle w:val="TableTextLeft"/>
              <w:rPr>
                <w:szCs w:val="18"/>
              </w:rPr>
            </w:pPr>
            <w:r w:rsidRPr="00027624">
              <w:rPr>
                <w:bCs/>
                <w:szCs w:val="18"/>
              </w:rPr>
              <w:t>88</w:t>
            </w:r>
          </w:p>
        </w:tc>
        <w:tc>
          <w:tcPr>
            <w:tcW w:w="467" w:type="pct"/>
            <w:vAlign w:val="bottom"/>
          </w:tcPr>
          <w:p w14:paraId="17EB3F82" w14:textId="77777777" w:rsidR="00E96B29" w:rsidRPr="00027624" w:rsidRDefault="00E96B29" w:rsidP="00E96B29">
            <w:pPr>
              <w:pStyle w:val="TableTextCentered"/>
              <w:rPr>
                <w:szCs w:val="18"/>
              </w:rPr>
            </w:pPr>
            <w:r w:rsidRPr="00027624">
              <w:rPr>
                <w:rFonts w:cs="Calibri"/>
                <w:szCs w:val="18"/>
              </w:rPr>
              <w:t>49.0</w:t>
            </w:r>
          </w:p>
        </w:tc>
        <w:tc>
          <w:tcPr>
            <w:tcW w:w="467" w:type="pct"/>
            <w:vAlign w:val="bottom"/>
          </w:tcPr>
          <w:p w14:paraId="36F01227" w14:textId="77777777" w:rsidR="00E96B29" w:rsidRPr="00027624" w:rsidRDefault="00E96B29" w:rsidP="00E96B29">
            <w:pPr>
              <w:pStyle w:val="TableTextCentered"/>
              <w:rPr>
                <w:szCs w:val="18"/>
              </w:rPr>
            </w:pPr>
            <w:r w:rsidRPr="00027624">
              <w:rPr>
                <w:rFonts w:cs="Calibri"/>
                <w:szCs w:val="18"/>
              </w:rPr>
              <w:t>26.7</w:t>
            </w:r>
          </w:p>
        </w:tc>
        <w:tc>
          <w:tcPr>
            <w:tcW w:w="467" w:type="pct"/>
            <w:vAlign w:val="bottom"/>
          </w:tcPr>
          <w:p w14:paraId="32F5374A" w14:textId="77777777" w:rsidR="00E96B29" w:rsidRPr="00027624" w:rsidRDefault="00E96B29" w:rsidP="00E96B29">
            <w:pPr>
              <w:pStyle w:val="TableTextCentered"/>
              <w:rPr>
                <w:szCs w:val="18"/>
              </w:rPr>
            </w:pPr>
            <w:r w:rsidRPr="00027624">
              <w:rPr>
                <w:rFonts w:cs="Calibri"/>
                <w:szCs w:val="18"/>
              </w:rPr>
              <w:t>24.7</w:t>
            </w:r>
          </w:p>
        </w:tc>
        <w:tc>
          <w:tcPr>
            <w:tcW w:w="467" w:type="pct"/>
            <w:vAlign w:val="bottom"/>
          </w:tcPr>
          <w:p w14:paraId="0456D28D" w14:textId="77777777" w:rsidR="00E96B29" w:rsidRPr="00027624" w:rsidRDefault="00E96B29" w:rsidP="00E96B29">
            <w:pPr>
              <w:pStyle w:val="TableTextCentered"/>
              <w:rPr>
                <w:szCs w:val="18"/>
              </w:rPr>
            </w:pPr>
            <w:r w:rsidRPr="00027624">
              <w:rPr>
                <w:rFonts w:cs="Calibri"/>
                <w:szCs w:val="18"/>
              </w:rPr>
              <w:t>23.8</w:t>
            </w:r>
          </w:p>
        </w:tc>
        <w:tc>
          <w:tcPr>
            <w:tcW w:w="467" w:type="pct"/>
            <w:vAlign w:val="bottom"/>
          </w:tcPr>
          <w:p w14:paraId="11D81556" w14:textId="77777777" w:rsidR="00E96B29" w:rsidRPr="00027624" w:rsidRDefault="00E96B29" w:rsidP="00E96B29">
            <w:pPr>
              <w:pStyle w:val="TableTextCentered"/>
              <w:rPr>
                <w:szCs w:val="18"/>
              </w:rPr>
            </w:pPr>
            <w:r w:rsidRPr="00027624">
              <w:rPr>
                <w:rFonts w:cs="Calibri"/>
                <w:szCs w:val="18"/>
              </w:rPr>
              <w:t>23.3</w:t>
            </w:r>
          </w:p>
        </w:tc>
        <w:tc>
          <w:tcPr>
            <w:tcW w:w="467" w:type="pct"/>
            <w:vAlign w:val="bottom"/>
          </w:tcPr>
          <w:p w14:paraId="29B73ADE" w14:textId="77777777" w:rsidR="00E96B29" w:rsidRPr="00027624" w:rsidRDefault="00E96B29" w:rsidP="00E96B29">
            <w:pPr>
              <w:pStyle w:val="TableTextCentered"/>
              <w:rPr>
                <w:szCs w:val="18"/>
              </w:rPr>
            </w:pPr>
            <w:r w:rsidRPr="00027624">
              <w:rPr>
                <w:rFonts w:cs="Calibri"/>
                <w:szCs w:val="18"/>
              </w:rPr>
              <w:t>22.9</w:t>
            </w:r>
          </w:p>
        </w:tc>
        <w:tc>
          <w:tcPr>
            <w:tcW w:w="464" w:type="pct"/>
            <w:vAlign w:val="bottom"/>
          </w:tcPr>
          <w:p w14:paraId="755A1A15" w14:textId="77777777" w:rsidR="00E96B29" w:rsidRPr="00027624" w:rsidRDefault="00E96B29" w:rsidP="00E96B29">
            <w:pPr>
              <w:pStyle w:val="TableTextCentered"/>
              <w:rPr>
                <w:szCs w:val="18"/>
              </w:rPr>
            </w:pPr>
            <w:r w:rsidRPr="00027624">
              <w:rPr>
                <w:rFonts w:cs="Calibri"/>
                <w:szCs w:val="18"/>
              </w:rPr>
              <w:t>22.6</w:t>
            </w:r>
          </w:p>
        </w:tc>
        <w:tc>
          <w:tcPr>
            <w:tcW w:w="464" w:type="pct"/>
            <w:vAlign w:val="bottom"/>
          </w:tcPr>
          <w:p w14:paraId="1CA783C1" w14:textId="77777777" w:rsidR="00E96B29" w:rsidRPr="00027624" w:rsidRDefault="00E96B29" w:rsidP="00E96B29">
            <w:pPr>
              <w:pStyle w:val="TableTextCentered"/>
              <w:rPr>
                <w:szCs w:val="18"/>
              </w:rPr>
            </w:pPr>
            <w:r w:rsidRPr="00027624">
              <w:rPr>
                <w:rFonts w:cs="Calibri"/>
                <w:szCs w:val="18"/>
              </w:rPr>
              <w:t>23.0</w:t>
            </w:r>
          </w:p>
        </w:tc>
        <w:tc>
          <w:tcPr>
            <w:tcW w:w="520" w:type="pct"/>
            <w:vAlign w:val="bottom"/>
          </w:tcPr>
          <w:p w14:paraId="61763AC9" w14:textId="77777777" w:rsidR="00E96B29" w:rsidRPr="00027624" w:rsidRDefault="00E96B29" w:rsidP="00E96B29">
            <w:pPr>
              <w:pStyle w:val="TableTextCentered"/>
              <w:rPr>
                <w:szCs w:val="18"/>
              </w:rPr>
            </w:pPr>
            <w:r w:rsidRPr="00027624">
              <w:rPr>
                <w:rFonts w:cs="Calibri"/>
                <w:szCs w:val="18"/>
              </w:rPr>
              <w:t>25.4</w:t>
            </w:r>
          </w:p>
        </w:tc>
      </w:tr>
      <w:tr w:rsidR="00E96B29" w:rsidRPr="00027624" w14:paraId="00738DCC" w14:textId="77777777" w:rsidTr="00E96B29">
        <w:trPr>
          <w:trHeight w:val="270"/>
        </w:trPr>
        <w:tc>
          <w:tcPr>
            <w:tcW w:w="750" w:type="pct"/>
            <w:vAlign w:val="bottom"/>
          </w:tcPr>
          <w:p w14:paraId="6F030E4F" w14:textId="77777777" w:rsidR="00E96B29" w:rsidRPr="00027624" w:rsidRDefault="00E96B29" w:rsidP="00E96B29">
            <w:pPr>
              <w:pStyle w:val="TableTextLeft"/>
              <w:rPr>
                <w:szCs w:val="18"/>
              </w:rPr>
            </w:pPr>
            <w:r w:rsidRPr="00027624">
              <w:rPr>
                <w:bCs/>
                <w:szCs w:val="18"/>
              </w:rPr>
              <w:t>89</w:t>
            </w:r>
          </w:p>
        </w:tc>
        <w:tc>
          <w:tcPr>
            <w:tcW w:w="467" w:type="pct"/>
            <w:vAlign w:val="bottom"/>
          </w:tcPr>
          <w:p w14:paraId="6348CFE7" w14:textId="77777777" w:rsidR="00E96B29" w:rsidRPr="00027624" w:rsidRDefault="00E96B29" w:rsidP="00E96B29">
            <w:pPr>
              <w:pStyle w:val="TableTextCentered"/>
              <w:rPr>
                <w:szCs w:val="18"/>
              </w:rPr>
            </w:pPr>
            <w:r w:rsidRPr="00027624">
              <w:rPr>
                <w:rFonts w:cs="Calibri"/>
                <w:szCs w:val="18"/>
              </w:rPr>
              <w:t>64.0</w:t>
            </w:r>
          </w:p>
        </w:tc>
        <w:tc>
          <w:tcPr>
            <w:tcW w:w="467" w:type="pct"/>
            <w:vAlign w:val="bottom"/>
          </w:tcPr>
          <w:p w14:paraId="7B5CBDA3" w14:textId="77777777" w:rsidR="00E96B29" w:rsidRPr="00027624" w:rsidRDefault="00E96B29" w:rsidP="00E96B29">
            <w:pPr>
              <w:pStyle w:val="TableTextCentered"/>
              <w:rPr>
                <w:szCs w:val="18"/>
              </w:rPr>
            </w:pPr>
            <w:r w:rsidRPr="00027624">
              <w:rPr>
                <w:rFonts w:cs="Calibri"/>
                <w:szCs w:val="18"/>
              </w:rPr>
              <w:t>31.7</w:t>
            </w:r>
          </w:p>
        </w:tc>
        <w:tc>
          <w:tcPr>
            <w:tcW w:w="467" w:type="pct"/>
            <w:vAlign w:val="bottom"/>
          </w:tcPr>
          <w:p w14:paraId="2FE4058F" w14:textId="77777777" w:rsidR="00E96B29" w:rsidRPr="00027624" w:rsidRDefault="00E96B29" w:rsidP="00E96B29">
            <w:pPr>
              <w:pStyle w:val="TableTextCentered"/>
              <w:rPr>
                <w:szCs w:val="18"/>
              </w:rPr>
            </w:pPr>
            <w:r w:rsidRPr="00027624">
              <w:rPr>
                <w:rFonts w:cs="Calibri"/>
                <w:szCs w:val="18"/>
              </w:rPr>
              <w:t>29.5</w:t>
            </w:r>
          </w:p>
        </w:tc>
        <w:tc>
          <w:tcPr>
            <w:tcW w:w="467" w:type="pct"/>
            <w:vAlign w:val="bottom"/>
          </w:tcPr>
          <w:p w14:paraId="59B615CA" w14:textId="77777777" w:rsidR="00E96B29" w:rsidRPr="00027624" w:rsidRDefault="00E96B29" w:rsidP="00E96B29">
            <w:pPr>
              <w:pStyle w:val="TableTextCentered"/>
              <w:rPr>
                <w:szCs w:val="18"/>
              </w:rPr>
            </w:pPr>
            <w:r w:rsidRPr="00027624">
              <w:rPr>
                <w:rFonts w:cs="Calibri"/>
                <w:szCs w:val="18"/>
              </w:rPr>
              <w:t>28.6</w:t>
            </w:r>
          </w:p>
        </w:tc>
        <w:tc>
          <w:tcPr>
            <w:tcW w:w="467" w:type="pct"/>
            <w:vAlign w:val="bottom"/>
          </w:tcPr>
          <w:p w14:paraId="396ED43A" w14:textId="77777777" w:rsidR="00E96B29" w:rsidRPr="00027624" w:rsidRDefault="00E96B29" w:rsidP="00E96B29">
            <w:pPr>
              <w:pStyle w:val="TableTextCentered"/>
              <w:rPr>
                <w:szCs w:val="18"/>
              </w:rPr>
            </w:pPr>
            <w:r w:rsidRPr="00027624">
              <w:rPr>
                <w:rFonts w:cs="Calibri"/>
                <w:szCs w:val="18"/>
              </w:rPr>
              <w:t>28.2</w:t>
            </w:r>
          </w:p>
        </w:tc>
        <w:tc>
          <w:tcPr>
            <w:tcW w:w="467" w:type="pct"/>
            <w:vAlign w:val="bottom"/>
          </w:tcPr>
          <w:p w14:paraId="6BD099D9" w14:textId="77777777" w:rsidR="00E96B29" w:rsidRPr="00027624" w:rsidRDefault="00E96B29" w:rsidP="00E96B29">
            <w:pPr>
              <w:pStyle w:val="TableTextCentered"/>
              <w:rPr>
                <w:szCs w:val="18"/>
              </w:rPr>
            </w:pPr>
            <w:r w:rsidRPr="00027624">
              <w:rPr>
                <w:rFonts w:cs="Calibri"/>
                <w:szCs w:val="18"/>
              </w:rPr>
              <w:t>27.8</w:t>
            </w:r>
          </w:p>
        </w:tc>
        <w:tc>
          <w:tcPr>
            <w:tcW w:w="464" w:type="pct"/>
            <w:vAlign w:val="bottom"/>
          </w:tcPr>
          <w:p w14:paraId="3CAAFF6F" w14:textId="77777777" w:rsidR="00E96B29" w:rsidRPr="00027624" w:rsidRDefault="00E96B29" w:rsidP="00E96B29">
            <w:pPr>
              <w:pStyle w:val="TableTextCentered"/>
              <w:rPr>
                <w:szCs w:val="18"/>
              </w:rPr>
            </w:pPr>
            <w:r w:rsidRPr="00027624">
              <w:rPr>
                <w:rFonts w:cs="Calibri"/>
                <w:szCs w:val="18"/>
              </w:rPr>
              <w:t>27.5</w:t>
            </w:r>
          </w:p>
        </w:tc>
        <w:tc>
          <w:tcPr>
            <w:tcW w:w="464" w:type="pct"/>
            <w:vAlign w:val="bottom"/>
          </w:tcPr>
          <w:p w14:paraId="07162ADB" w14:textId="77777777" w:rsidR="00E96B29" w:rsidRPr="00027624" w:rsidRDefault="00E96B29" w:rsidP="00E96B29">
            <w:pPr>
              <w:pStyle w:val="TableTextCentered"/>
              <w:rPr>
                <w:szCs w:val="18"/>
              </w:rPr>
            </w:pPr>
            <w:r w:rsidRPr="00027624">
              <w:rPr>
                <w:rFonts w:cs="Calibri"/>
                <w:szCs w:val="18"/>
              </w:rPr>
              <w:t>27.2</w:t>
            </w:r>
          </w:p>
        </w:tc>
        <w:tc>
          <w:tcPr>
            <w:tcW w:w="520" w:type="pct"/>
            <w:vAlign w:val="bottom"/>
          </w:tcPr>
          <w:p w14:paraId="7876CBC0" w14:textId="77777777" w:rsidR="00E96B29" w:rsidRPr="00027624" w:rsidRDefault="00E96B29" w:rsidP="00E96B29">
            <w:pPr>
              <w:pStyle w:val="TableTextCentered"/>
              <w:rPr>
                <w:szCs w:val="18"/>
              </w:rPr>
            </w:pPr>
            <w:r w:rsidRPr="00027624">
              <w:rPr>
                <w:rFonts w:cs="Calibri"/>
                <w:szCs w:val="18"/>
              </w:rPr>
              <w:t>30.2</w:t>
            </w:r>
          </w:p>
        </w:tc>
      </w:tr>
      <w:tr w:rsidR="00E96B29" w:rsidRPr="00027624" w14:paraId="319A77ED" w14:textId="77777777" w:rsidTr="00E96B29">
        <w:trPr>
          <w:trHeight w:val="270"/>
        </w:trPr>
        <w:tc>
          <w:tcPr>
            <w:tcW w:w="750" w:type="pct"/>
            <w:vAlign w:val="bottom"/>
          </w:tcPr>
          <w:p w14:paraId="6C138720" w14:textId="77777777" w:rsidR="00E96B29" w:rsidRPr="00027624" w:rsidRDefault="00E96B29" w:rsidP="00E96B29">
            <w:pPr>
              <w:pStyle w:val="TableTextLeft"/>
              <w:rPr>
                <w:szCs w:val="18"/>
              </w:rPr>
            </w:pPr>
            <w:r w:rsidRPr="00027624">
              <w:rPr>
                <w:bCs/>
                <w:szCs w:val="18"/>
              </w:rPr>
              <w:t>90</w:t>
            </w:r>
          </w:p>
        </w:tc>
        <w:tc>
          <w:tcPr>
            <w:tcW w:w="467" w:type="pct"/>
            <w:vAlign w:val="bottom"/>
          </w:tcPr>
          <w:p w14:paraId="4433C36C" w14:textId="77777777" w:rsidR="00E96B29" w:rsidRPr="00027624" w:rsidRDefault="00E96B29" w:rsidP="00E96B29">
            <w:pPr>
              <w:pStyle w:val="TableTextCentered"/>
              <w:rPr>
                <w:szCs w:val="18"/>
              </w:rPr>
            </w:pPr>
            <w:r w:rsidRPr="00027624">
              <w:rPr>
                <w:rFonts w:cs="Calibri"/>
                <w:szCs w:val="18"/>
              </w:rPr>
              <w:t>91.9</w:t>
            </w:r>
          </w:p>
        </w:tc>
        <w:tc>
          <w:tcPr>
            <w:tcW w:w="467" w:type="pct"/>
            <w:vAlign w:val="bottom"/>
          </w:tcPr>
          <w:p w14:paraId="10DCE1BA" w14:textId="77777777" w:rsidR="00E96B29" w:rsidRPr="00027624" w:rsidRDefault="00E96B29" w:rsidP="00E96B29">
            <w:pPr>
              <w:pStyle w:val="TableTextCentered"/>
              <w:rPr>
                <w:szCs w:val="18"/>
              </w:rPr>
            </w:pPr>
            <w:r w:rsidRPr="00027624">
              <w:rPr>
                <w:rFonts w:cs="Calibri"/>
                <w:szCs w:val="18"/>
              </w:rPr>
              <w:t>39.7</w:t>
            </w:r>
          </w:p>
        </w:tc>
        <w:tc>
          <w:tcPr>
            <w:tcW w:w="467" w:type="pct"/>
            <w:vAlign w:val="bottom"/>
          </w:tcPr>
          <w:p w14:paraId="04CC47BC" w14:textId="77777777" w:rsidR="00E96B29" w:rsidRPr="00027624" w:rsidRDefault="00E96B29" w:rsidP="00E96B29">
            <w:pPr>
              <w:pStyle w:val="TableTextCentered"/>
              <w:rPr>
                <w:szCs w:val="18"/>
              </w:rPr>
            </w:pPr>
            <w:r w:rsidRPr="00027624">
              <w:rPr>
                <w:rFonts w:cs="Calibri"/>
                <w:szCs w:val="18"/>
              </w:rPr>
              <w:t>37.5</w:t>
            </w:r>
          </w:p>
        </w:tc>
        <w:tc>
          <w:tcPr>
            <w:tcW w:w="467" w:type="pct"/>
            <w:vAlign w:val="bottom"/>
          </w:tcPr>
          <w:p w14:paraId="2BE89C63" w14:textId="77777777" w:rsidR="00E96B29" w:rsidRPr="00027624" w:rsidRDefault="00E96B29" w:rsidP="00E96B29">
            <w:pPr>
              <w:pStyle w:val="TableTextCentered"/>
              <w:rPr>
                <w:szCs w:val="18"/>
              </w:rPr>
            </w:pPr>
            <w:r w:rsidRPr="00027624">
              <w:rPr>
                <w:rFonts w:cs="Calibri"/>
                <w:szCs w:val="18"/>
              </w:rPr>
              <w:t>36.6</w:t>
            </w:r>
          </w:p>
        </w:tc>
        <w:tc>
          <w:tcPr>
            <w:tcW w:w="467" w:type="pct"/>
            <w:vAlign w:val="bottom"/>
          </w:tcPr>
          <w:p w14:paraId="15C4586F" w14:textId="77777777" w:rsidR="00E96B29" w:rsidRPr="00027624" w:rsidRDefault="00E96B29" w:rsidP="00E96B29">
            <w:pPr>
              <w:pStyle w:val="TableTextCentered"/>
              <w:rPr>
                <w:szCs w:val="18"/>
              </w:rPr>
            </w:pPr>
            <w:r w:rsidRPr="00027624">
              <w:rPr>
                <w:rFonts w:cs="Calibri"/>
                <w:szCs w:val="18"/>
              </w:rPr>
              <w:t>36.2</w:t>
            </w:r>
          </w:p>
        </w:tc>
        <w:tc>
          <w:tcPr>
            <w:tcW w:w="467" w:type="pct"/>
            <w:vAlign w:val="bottom"/>
          </w:tcPr>
          <w:p w14:paraId="28816554" w14:textId="77777777" w:rsidR="00E96B29" w:rsidRPr="00027624" w:rsidRDefault="00E96B29" w:rsidP="00E96B29">
            <w:pPr>
              <w:pStyle w:val="TableTextCentered"/>
              <w:rPr>
                <w:szCs w:val="18"/>
              </w:rPr>
            </w:pPr>
            <w:r w:rsidRPr="00027624">
              <w:rPr>
                <w:rFonts w:cs="Calibri"/>
                <w:szCs w:val="18"/>
              </w:rPr>
              <w:t>35.9</w:t>
            </w:r>
          </w:p>
        </w:tc>
        <w:tc>
          <w:tcPr>
            <w:tcW w:w="464" w:type="pct"/>
            <w:vAlign w:val="bottom"/>
          </w:tcPr>
          <w:p w14:paraId="07191A8A" w14:textId="77777777" w:rsidR="00E96B29" w:rsidRPr="00027624" w:rsidRDefault="00E96B29" w:rsidP="00E96B29">
            <w:pPr>
              <w:pStyle w:val="TableTextCentered"/>
              <w:rPr>
                <w:szCs w:val="18"/>
              </w:rPr>
            </w:pPr>
            <w:r w:rsidRPr="00027624">
              <w:rPr>
                <w:rFonts w:cs="Calibri"/>
                <w:szCs w:val="18"/>
              </w:rPr>
              <w:t>35.6</w:t>
            </w:r>
          </w:p>
        </w:tc>
        <w:tc>
          <w:tcPr>
            <w:tcW w:w="464" w:type="pct"/>
            <w:vAlign w:val="bottom"/>
          </w:tcPr>
          <w:p w14:paraId="691BDD7F" w14:textId="77777777" w:rsidR="00E96B29" w:rsidRPr="00027624" w:rsidRDefault="00E96B29" w:rsidP="00E96B29">
            <w:pPr>
              <w:pStyle w:val="TableTextCentered"/>
              <w:rPr>
                <w:szCs w:val="18"/>
              </w:rPr>
            </w:pPr>
            <w:r w:rsidRPr="00027624">
              <w:rPr>
                <w:rFonts w:cs="Calibri"/>
                <w:szCs w:val="18"/>
              </w:rPr>
              <w:t>35.2</w:t>
            </w:r>
          </w:p>
        </w:tc>
        <w:tc>
          <w:tcPr>
            <w:tcW w:w="520" w:type="pct"/>
            <w:vAlign w:val="bottom"/>
          </w:tcPr>
          <w:p w14:paraId="6D0D4845" w14:textId="77777777" w:rsidR="00E96B29" w:rsidRPr="00027624" w:rsidRDefault="00E96B29" w:rsidP="00E96B29">
            <w:pPr>
              <w:pStyle w:val="TableTextCentered"/>
              <w:rPr>
                <w:szCs w:val="18"/>
              </w:rPr>
            </w:pPr>
            <w:r w:rsidRPr="00027624">
              <w:rPr>
                <w:rFonts w:cs="Calibri"/>
                <w:szCs w:val="18"/>
              </w:rPr>
              <w:t>37.7</w:t>
            </w:r>
          </w:p>
        </w:tc>
      </w:tr>
      <w:tr w:rsidR="00E96B29" w:rsidRPr="00027624" w14:paraId="5BB86C29" w14:textId="77777777" w:rsidTr="00E96B29">
        <w:trPr>
          <w:trHeight w:val="270"/>
        </w:trPr>
        <w:tc>
          <w:tcPr>
            <w:tcW w:w="750" w:type="pct"/>
            <w:vAlign w:val="bottom"/>
          </w:tcPr>
          <w:p w14:paraId="0DF7987E" w14:textId="77777777" w:rsidR="00E96B29" w:rsidRPr="00027624" w:rsidRDefault="00E96B29" w:rsidP="00E96B29">
            <w:pPr>
              <w:pStyle w:val="TableTextLeft"/>
              <w:rPr>
                <w:szCs w:val="18"/>
              </w:rPr>
            </w:pPr>
            <w:r w:rsidRPr="00027624">
              <w:rPr>
                <w:bCs/>
                <w:szCs w:val="18"/>
              </w:rPr>
              <w:t>91</w:t>
            </w:r>
          </w:p>
        </w:tc>
        <w:tc>
          <w:tcPr>
            <w:tcW w:w="467" w:type="pct"/>
            <w:vAlign w:val="bottom"/>
          </w:tcPr>
          <w:p w14:paraId="6EA1C1A2" w14:textId="77777777" w:rsidR="00E96B29" w:rsidRPr="00027624" w:rsidRDefault="00E96B29" w:rsidP="00E96B29">
            <w:pPr>
              <w:pStyle w:val="TableTextCentered"/>
              <w:rPr>
                <w:szCs w:val="18"/>
              </w:rPr>
            </w:pPr>
            <w:r w:rsidRPr="00027624">
              <w:rPr>
                <w:rFonts w:cs="Calibri"/>
                <w:szCs w:val="18"/>
              </w:rPr>
              <w:t>100</w:t>
            </w:r>
          </w:p>
        </w:tc>
        <w:tc>
          <w:tcPr>
            <w:tcW w:w="467" w:type="pct"/>
            <w:vAlign w:val="bottom"/>
          </w:tcPr>
          <w:p w14:paraId="4E8E55F7" w14:textId="77777777" w:rsidR="00E96B29" w:rsidRPr="00027624" w:rsidRDefault="00E96B29" w:rsidP="00E96B29">
            <w:pPr>
              <w:pStyle w:val="TableTextCentered"/>
              <w:rPr>
                <w:szCs w:val="18"/>
              </w:rPr>
            </w:pPr>
            <w:r w:rsidRPr="00027624">
              <w:rPr>
                <w:rFonts w:cs="Calibri"/>
                <w:szCs w:val="18"/>
              </w:rPr>
              <w:t>55.1</w:t>
            </w:r>
          </w:p>
        </w:tc>
        <w:tc>
          <w:tcPr>
            <w:tcW w:w="467" w:type="pct"/>
            <w:vAlign w:val="bottom"/>
          </w:tcPr>
          <w:p w14:paraId="4584D725" w14:textId="77777777" w:rsidR="00E96B29" w:rsidRPr="00027624" w:rsidRDefault="00E96B29" w:rsidP="00E96B29">
            <w:pPr>
              <w:pStyle w:val="TableTextCentered"/>
              <w:rPr>
                <w:szCs w:val="18"/>
              </w:rPr>
            </w:pPr>
            <w:r w:rsidRPr="00027624">
              <w:rPr>
                <w:rFonts w:cs="Calibri"/>
                <w:szCs w:val="18"/>
              </w:rPr>
              <w:t>53.3</w:t>
            </w:r>
          </w:p>
        </w:tc>
        <w:tc>
          <w:tcPr>
            <w:tcW w:w="467" w:type="pct"/>
            <w:vAlign w:val="bottom"/>
          </w:tcPr>
          <w:p w14:paraId="143E8E4C" w14:textId="77777777" w:rsidR="00E96B29" w:rsidRPr="00027624" w:rsidRDefault="00E96B29" w:rsidP="00E96B29">
            <w:pPr>
              <w:pStyle w:val="TableTextCentered"/>
              <w:rPr>
                <w:szCs w:val="18"/>
              </w:rPr>
            </w:pPr>
            <w:r w:rsidRPr="00027624">
              <w:rPr>
                <w:rFonts w:cs="Calibri"/>
                <w:szCs w:val="18"/>
              </w:rPr>
              <w:t>52.5</w:t>
            </w:r>
          </w:p>
        </w:tc>
        <w:tc>
          <w:tcPr>
            <w:tcW w:w="467" w:type="pct"/>
            <w:vAlign w:val="bottom"/>
          </w:tcPr>
          <w:p w14:paraId="3EE5A3A5" w14:textId="77777777" w:rsidR="00E96B29" w:rsidRPr="00027624" w:rsidRDefault="00E96B29" w:rsidP="00E96B29">
            <w:pPr>
              <w:pStyle w:val="TableTextCentered"/>
              <w:rPr>
                <w:szCs w:val="18"/>
              </w:rPr>
            </w:pPr>
            <w:r w:rsidRPr="00027624">
              <w:rPr>
                <w:rFonts w:cs="Calibri"/>
                <w:szCs w:val="18"/>
              </w:rPr>
              <w:t>52.2</w:t>
            </w:r>
          </w:p>
        </w:tc>
        <w:tc>
          <w:tcPr>
            <w:tcW w:w="467" w:type="pct"/>
            <w:vAlign w:val="bottom"/>
          </w:tcPr>
          <w:p w14:paraId="0AC3C6F6" w14:textId="77777777" w:rsidR="00E96B29" w:rsidRPr="00027624" w:rsidRDefault="00E96B29" w:rsidP="00E96B29">
            <w:pPr>
              <w:pStyle w:val="TableTextCentered"/>
              <w:rPr>
                <w:szCs w:val="18"/>
              </w:rPr>
            </w:pPr>
            <w:r w:rsidRPr="00027624">
              <w:rPr>
                <w:rFonts w:cs="Calibri"/>
                <w:szCs w:val="18"/>
              </w:rPr>
              <w:t>51.9</w:t>
            </w:r>
          </w:p>
        </w:tc>
        <w:tc>
          <w:tcPr>
            <w:tcW w:w="464" w:type="pct"/>
            <w:vAlign w:val="bottom"/>
          </w:tcPr>
          <w:p w14:paraId="13B492ED" w14:textId="77777777" w:rsidR="00E96B29" w:rsidRPr="00027624" w:rsidRDefault="00E96B29" w:rsidP="00E96B29">
            <w:pPr>
              <w:pStyle w:val="TableTextCentered"/>
              <w:rPr>
                <w:szCs w:val="18"/>
              </w:rPr>
            </w:pPr>
            <w:r w:rsidRPr="00027624">
              <w:rPr>
                <w:rFonts w:cs="Calibri"/>
                <w:szCs w:val="18"/>
              </w:rPr>
              <w:t>51.7</w:t>
            </w:r>
          </w:p>
        </w:tc>
        <w:tc>
          <w:tcPr>
            <w:tcW w:w="464" w:type="pct"/>
            <w:vAlign w:val="bottom"/>
          </w:tcPr>
          <w:p w14:paraId="1175537C" w14:textId="77777777" w:rsidR="00E96B29" w:rsidRPr="00027624" w:rsidRDefault="00E96B29" w:rsidP="00E96B29">
            <w:pPr>
              <w:pStyle w:val="TableTextCentered"/>
              <w:rPr>
                <w:szCs w:val="18"/>
              </w:rPr>
            </w:pPr>
            <w:r w:rsidRPr="00027624">
              <w:rPr>
                <w:rFonts w:cs="Calibri"/>
                <w:szCs w:val="18"/>
              </w:rPr>
              <w:t>51.4</w:t>
            </w:r>
          </w:p>
        </w:tc>
        <w:tc>
          <w:tcPr>
            <w:tcW w:w="520" w:type="pct"/>
            <w:vAlign w:val="bottom"/>
          </w:tcPr>
          <w:p w14:paraId="5D10772A" w14:textId="77777777" w:rsidR="00E96B29" w:rsidRPr="00027624" w:rsidRDefault="00E96B29" w:rsidP="00E96B29">
            <w:pPr>
              <w:pStyle w:val="TableTextCentered"/>
              <w:rPr>
                <w:szCs w:val="18"/>
              </w:rPr>
            </w:pPr>
            <w:r w:rsidRPr="00027624">
              <w:rPr>
                <w:rFonts w:cs="Calibri"/>
                <w:szCs w:val="18"/>
              </w:rPr>
              <w:t>53.2</w:t>
            </w:r>
          </w:p>
        </w:tc>
      </w:tr>
      <w:tr w:rsidR="00E96B29" w:rsidRPr="00027624" w14:paraId="32DDD577" w14:textId="77777777" w:rsidTr="00E96B29">
        <w:trPr>
          <w:trHeight w:val="270"/>
        </w:trPr>
        <w:tc>
          <w:tcPr>
            <w:tcW w:w="750" w:type="pct"/>
            <w:vAlign w:val="bottom"/>
          </w:tcPr>
          <w:p w14:paraId="4D1A3BEF" w14:textId="77777777" w:rsidR="00E96B29" w:rsidRPr="00027624" w:rsidRDefault="00E96B29" w:rsidP="00E96B29">
            <w:pPr>
              <w:pStyle w:val="TableTextLeft"/>
              <w:rPr>
                <w:szCs w:val="18"/>
              </w:rPr>
            </w:pPr>
            <w:r w:rsidRPr="00027624">
              <w:rPr>
                <w:bCs/>
                <w:szCs w:val="18"/>
              </w:rPr>
              <w:t>92</w:t>
            </w:r>
          </w:p>
        </w:tc>
        <w:tc>
          <w:tcPr>
            <w:tcW w:w="467" w:type="pct"/>
            <w:vAlign w:val="bottom"/>
          </w:tcPr>
          <w:p w14:paraId="027A0DE7" w14:textId="77777777" w:rsidR="00E96B29" w:rsidRPr="00027624" w:rsidRDefault="00E96B29" w:rsidP="00E96B29">
            <w:pPr>
              <w:pStyle w:val="TableTextCentered"/>
              <w:rPr>
                <w:szCs w:val="18"/>
              </w:rPr>
            </w:pPr>
            <w:r w:rsidRPr="00027624">
              <w:rPr>
                <w:rFonts w:cs="Calibri"/>
                <w:b/>
                <w:szCs w:val="18"/>
              </w:rPr>
              <w:t> </w:t>
            </w:r>
          </w:p>
        </w:tc>
        <w:tc>
          <w:tcPr>
            <w:tcW w:w="467" w:type="pct"/>
            <w:vAlign w:val="bottom"/>
          </w:tcPr>
          <w:p w14:paraId="1F7414BC" w14:textId="77777777" w:rsidR="00E96B29" w:rsidRPr="00027624" w:rsidRDefault="00E96B29" w:rsidP="00E96B29">
            <w:pPr>
              <w:pStyle w:val="TableTextCentered"/>
              <w:rPr>
                <w:szCs w:val="18"/>
              </w:rPr>
            </w:pPr>
            <w:r w:rsidRPr="00027624">
              <w:rPr>
                <w:rFonts w:cs="Calibri"/>
                <w:szCs w:val="18"/>
              </w:rPr>
              <w:t>100%</w:t>
            </w:r>
          </w:p>
        </w:tc>
        <w:tc>
          <w:tcPr>
            <w:tcW w:w="467" w:type="pct"/>
            <w:vAlign w:val="bottom"/>
          </w:tcPr>
          <w:p w14:paraId="434C4485" w14:textId="77777777" w:rsidR="00E96B29" w:rsidRPr="00027624" w:rsidRDefault="00E96B29" w:rsidP="00E96B29">
            <w:pPr>
              <w:pStyle w:val="TableTextCentered"/>
              <w:rPr>
                <w:szCs w:val="18"/>
              </w:rPr>
            </w:pPr>
            <w:r w:rsidRPr="00027624">
              <w:rPr>
                <w:rFonts w:cs="Calibri"/>
                <w:szCs w:val="18"/>
              </w:rPr>
              <w:t>100</w:t>
            </w:r>
          </w:p>
        </w:tc>
        <w:tc>
          <w:tcPr>
            <w:tcW w:w="467" w:type="pct"/>
            <w:vAlign w:val="bottom"/>
          </w:tcPr>
          <w:p w14:paraId="5FED7316" w14:textId="77777777" w:rsidR="00E96B29" w:rsidRPr="00027624" w:rsidRDefault="00E96B29" w:rsidP="00E96B29">
            <w:pPr>
              <w:pStyle w:val="TableTextCentered"/>
              <w:rPr>
                <w:szCs w:val="18"/>
              </w:rPr>
            </w:pPr>
            <w:r w:rsidRPr="00027624">
              <w:rPr>
                <w:rFonts w:cs="Calibri"/>
                <w:szCs w:val="18"/>
              </w:rPr>
              <w:t>100</w:t>
            </w:r>
          </w:p>
        </w:tc>
        <w:tc>
          <w:tcPr>
            <w:tcW w:w="467" w:type="pct"/>
            <w:vAlign w:val="bottom"/>
          </w:tcPr>
          <w:p w14:paraId="33650BDA" w14:textId="77777777" w:rsidR="00E96B29" w:rsidRPr="00027624" w:rsidRDefault="00E96B29" w:rsidP="00E96B29">
            <w:pPr>
              <w:pStyle w:val="TableTextCentered"/>
              <w:rPr>
                <w:szCs w:val="18"/>
              </w:rPr>
            </w:pPr>
            <w:r w:rsidRPr="00027624">
              <w:rPr>
                <w:rFonts w:cs="Calibri"/>
                <w:szCs w:val="18"/>
              </w:rPr>
              <w:t>100</w:t>
            </w:r>
          </w:p>
        </w:tc>
        <w:tc>
          <w:tcPr>
            <w:tcW w:w="467" w:type="pct"/>
            <w:vAlign w:val="bottom"/>
          </w:tcPr>
          <w:p w14:paraId="46848382" w14:textId="77777777" w:rsidR="00E96B29" w:rsidRPr="00027624" w:rsidRDefault="00E96B29" w:rsidP="00E96B29">
            <w:pPr>
              <w:pStyle w:val="TableTextCentered"/>
              <w:rPr>
                <w:szCs w:val="18"/>
              </w:rPr>
            </w:pPr>
            <w:r w:rsidRPr="00027624">
              <w:rPr>
                <w:rFonts w:cs="Calibri"/>
                <w:szCs w:val="18"/>
              </w:rPr>
              <w:t>100</w:t>
            </w:r>
          </w:p>
        </w:tc>
        <w:tc>
          <w:tcPr>
            <w:tcW w:w="464" w:type="pct"/>
            <w:vAlign w:val="bottom"/>
          </w:tcPr>
          <w:p w14:paraId="64B5FFD8" w14:textId="77777777" w:rsidR="00E96B29" w:rsidRPr="00027624" w:rsidRDefault="00E96B29" w:rsidP="00E96B29">
            <w:pPr>
              <w:pStyle w:val="TableTextCentered"/>
              <w:rPr>
                <w:szCs w:val="18"/>
              </w:rPr>
            </w:pPr>
            <w:r w:rsidRPr="00027624">
              <w:rPr>
                <w:rFonts w:cs="Calibri"/>
                <w:szCs w:val="18"/>
              </w:rPr>
              <w:t>100</w:t>
            </w:r>
          </w:p>
        </w:tc>
        <w:tc>
          <w:tcPr>
            <w:tcW w:w="464" w:type="pct"/>
            <w:vAlign w:val="bottom"/>
          </w:tcPr>
          <w:p w14:paraId="3524F7B5" w14:textId="77777777" w:rsidR="00E96B29" w:rsidRPr="00027624" w:rsidRDefault="00E96B29" w:rsidP="00E96B29">
            <w:pPr>
              <w:pStyle w:val="TableTextCentered"/>
              <w:rPr>
                <w:szCs w:val="18"/>
              </w:rPr>
            </w:pPr>
            <w:r w:rsidRPr="00027624">
              <w:rPr>
                <w:rFonts w:cs="Calibri"/>
                <w:szCs w:val="18"/>
              </w:rPr>
              <w:t>100</w:t>
            </w:r>
          </w:p>
        </w:tc>
        <w:tc>
          <w:tcPr>
            <w:tcW w:w="520" w:type="pct"/>
            <w:vAlign w:val="bottom"/>
          </w:tcPr>
          <w:p w14:paraId="663FA65B" w14:textId="77777777" w:rsidR="00E96B29" w:rsidRPr="00027624" w:rsidRDefault="00E96B29" w:rsidP="00E96B29">
            <w:pPr>
              <w:pStyle w:val="TableTextCentered"/>
              <w:rPr>
                <w:szCs w:val="18"/>
              </w:rPr>
            </w:pPr>
            <w:r w:rsidRPr="00027624">
              <w:rPr>
                <w:rFonts w:cs="Calibri"/>
                <w:szCs w:val="18"/>
              </w:rPr>
              <w:t>100</w:t>
            </w:r>
          </w:p>
        </w:tc>
      </w:tr>
    </w:tbl>
    <w:p w14:paraId="0352F8FF" w14:textId="77777777" w:rsidR="00E96B29" w:rsidRPr="00027624" w:rsidRDefault="00E96B29" w:rsidP="00E96B29">
      <w:pPr>
        <w:pStyle w:val="ChartorTableNote"/>
      </w:pPr>
      <w:r w:rsidRPr="00027624">
        <w:t>Note: Values are in 2019</w:t>
      </w:r>
      <w:r w:rsidR="00A8443E" w:rsidRPr="00027624">
        <w:noBreakHyphen/>
      </w:r>
      <w:r w:rsidRPr="00027624">
        <w:t xml:space="preserve">20 dollars, deflated by average weekly earnings. Figures are denominated in thousands and rounded to the nearest $5,000. Drawdown rates by age and income percentile are based on net wealth at retirement. Rates may fall below minimum drawdown rates by age in early retirement years. The review models the maximum of minimum drawdown rates and efficient drawdown rates by year. Drawdown rates are designed for people retiring in 2060 based on </w:t>
      </w:r>
      <w:r w:rsidRPr="00027624" w:rsidDel="0068007C">
        <w:t>Age Pension</w:t>
      </w:r>
      <w:r w:rsidRPr="00027624">
        <w:t xml:space="preserve"> rates and thresholds in those years.</w:t>
      </w:r>
    </w:p>
    <w:p w14:paraId="2126FC0C" w14:textId="77777777" w:rsidR="00E96B29" w:rsidRPr="00027624" w:rsidRDefault="00E96B29" w:rsidP="00E96B29">
      <w:pPr>
        <w:pStyle w:val="Heading4"/>
      </w:pPr>
      <w:r w:rsidRPr="00027624">
        <w:t>Adjustment of gender model to isolate effects of full</w:t>
      </w:r>
      <w:r w:rsidR="00A8443E" w:rsidRPr="00027624">
        <w:noBreakHyphen/>
      </w:r>
      <w:r w:rsidRPr="00027624">
        <w:t xml:space="preserve"> and part</w:t>
      </w:r>
      <w:r w:rsidR="00A8443E" w:rsidRPr="00027624">
        <w:noBreakHyphen/>
      </w:r>
      <w:r w:rsidRPr="00027624">
        <w:t>time work and career breaks</w:t>
      </w:r>
    </w:p>
    <w:p w14:paraId="6FA00EAF" w14:textId="77777777" w:rsidR="00E96B29" w:rsidRPr="00027624" w:rsidRDefault="00E96B29" w:rsidP="00E96B29">
      <w:r w:rsidRPr="00027624">
        <w:t>The review</w:t>
      </w:r>
      <w:r w:rsidR="00A8443E" w:rsidRPr="00027624">
        <w:t>’</w:t>
      </w:r>
      <w:r w:rsidRPr="00027624">
        <w:t>s standard gender model made no distinction between those working full</w:t>
      </w:r>
      <w:r w:rsidR="00A8443E" w:rsidRPr="00027624">
        <w:noBreakHyphen/>
      </w:r>
      <w:r w:rsidRPr="00027624">
        <w:t>time and part</w:t>
      </w:r>
      <w:r w:rsidR="00A8443E" w:rsidRPr="00027624">
        <w:noBreakHyphen/>
      </w:r>
      <w:r w:rsidRPr="00027624">
        <w:t>time and, as discussed above, applied a uniform career break for women at ages 30</w:t>
      </w:r>
      <w:r w:rsidR="00A8443E" w:rsidRPr="00027624">
        <w:noBreakHyphen/>
      </w:r>
      <w:r w:rsidRPr="00027624">
        <w:t>31.</w:t>
      </w:r>
    </w:p>
    <w:p w14:paraId="6A603480" w14:textId="4BF5D0E4" w:rsidR="00E96B29" w:rsidRPr="00027624" w:rsidRDefault="00E96B29" w:rsidP="00E96B29">
      <w:r w:rsidRPr="00027624">
        <w:t>A modified version of the gender model was used to analyse the effect of gender pay gaps and career breaks (</w:t>
      </w:r>
      <w:r w:rsidRPr="00027624">
        <w:fldChar w:fldCharType="begin"/>
      </w:r>
      <w:r w:rsidRPr="00027624">
        <w:instrText xml:space="preserve"> REF _Ref42711759 \r \h  \* MERGEFORMAT </w:instrText>
      </w:r>
      <w:r w:rsidRPr="00027624">
        <w:fldChar w:fldCharType="separate"/>
      </w:r>
      <w:r w:rsidR="00891058">
        <w:t>Table 6A-20</w:t>
      </w:r>
      <w:r w:rsidRPr="00027624">
        <w:fldChar w:fldCharType="end"/>
      </w:r>
      <w:r w:rsidRPr="00027624">
        <w:t>). All other assumptions were held constant with the standard gender model, outlined above.</w:t>
      </w:r>
    </w:p>
    <w:p w14:paraId="07CB061E" w14:textId="77777777" w:rsidR="00E96B29" w:rsidRPr="00027624" w:rsidRDefault="00E96B29" w:rsidP="00E96B29">
      <w:pPr>
        <w:pStyle w:val="TableMainHeading"/>
      </w:pPr>
      <w:bookmarkStart w:id="4296" w:name="_Ref42711759"/>
      <w:r w:rsidRPr="00027624">
        <w:t>Variation of standard gender model assumptions for analysis of full</w:t>
      </w:r>
      <w:r w:rsidR="00A8443E" w:rsidRPr="00027624">
        <w:noBreakHyphen/>
      </w:r>
      <w:r w:rsidRPr="00027624">
        <w:t xml:space="preserve"> and part</w:t>
      </w:r>
      <w:r w:rsidR="00A8443E" w:rsidRPr="00027624">
        <w:noBreakHyphen/>
      </w:r>
      <w:r w:rsidRPr="00027624">
        <w:t>time work and career breaks</w:t>
      </w:r>
      <w:bookmarkEnd w:id="4296"/>
    </w:p>
    <w:tbl>
      <w:tblPr>
        <w:tblW w:w="5000" w:type="pct"/>
        <w:tblLook w:val="01E0" w:firstRow="1" w:lastRow="1" w:firstColumn="1" w:lastColumn="1" w:noHBand="0" w:noVBand="0"/>
      </w:tblPr>
      <w:tblGrid>
        <w:gridCol w:w="2267"/>
        <w:gridCol w:w="2267"/>
        <w:gridCol w:w="2268"/>
        <w:gridCol w:w="2268"/>
      </w:tblGrid>
      <w:tr w:rsidR="00E96B29" w:rsidRPr="00027624" w14:paraId="1D548D5E" w14:textId="77777777" w:rsidTr="00E96B29">
        <w:trPr>
          <w:trHeight w:val="270"/>
          <w:tblHeader/>
        </w:trPr>
        <w:tc>
          <w:tcPr>
            <w:tcW w:w="1250" w:type="pct"/>
            <w:shd w:val="clear" w:color="auto" w:fill="E5E5E5"/>
          </w:tcPr>
          <w:p w14:paraId="12B66ACB" w14:textId="77777777" w:rsidR="00E96B29" w:rsidRPr="00027624" w:rsidRDefault="00E96B29" w:rsidP="00E96B29">
            <w:pPr>
              <w:pStyle w:val="TableColumnHeadingLeft"/>
              <w:jc w:val="center"/>
            </w:pPr>
            <w:r w:rsidRPr="00027624">
              <w:t>Assumption</w:t>
            </w:r>
          </w:p>
        </w:tc>
        <w:tc>
          <w:tcPr>
            <w:tcW w:w="1250" w:type="pct"/>
            <w:shd w:val="clear" w:color="auto" w:fill="E5E5E5"/>
          </w:tcPr>
          <w:p w14:paraId="7B2BA291" w14:textId="77777777" w:rsidR="00E96B29" w:rsidRPr="00027624" w:rsidRDefault="00E96B29" w:rsidP="00E96B29">
            <w:pPr>
              <w:pStyle w:val="TableColumnHeadingLeft"/>
              <w:jc w:val="center"/>
            </w:pPr>
            <w:r w:rsidRPr="00027624">
              <w:t>Population central case assumption</w:t>
            </w:r>
          </w:p>
        </w:tc>
        <w:tc>
          <w:tcPr>
            <w:tcW w:w="1250" w:type="pct"/>
            <w:shd w:val="clear" w:color="auto" w:fill="E5E5E5"/>
          </w:tcPr>
          <w:p w14:paraId="5408970D" w14:textId="77777777" w:rsidR="00E96B29" w:rsidRPr="00027624" w:rsidRDefault="00E96B29" w:rsidP="00E96B29">
            <w:pPr>
              <w:pStyle w:val="TableColumnHeadingLeft"/>
              <w:jc w:val="center"/>
            </w:pPr>
            <w:r w:rsidRPr="00027624">
              <w:t>Male assumption</w:t>
            </w:r>
          </w:p>
        </w:tc>
        <w:tc>
          <w:tcPr>
            <w:tcW w:w="1250" w:type="pct"/>
            <w:shd w:val="clear" w:color="auto" w:fill="E5E5E5"/>
          </w:tcPr>
          <w:p w14:paraId="6897A9A8" w14:textId="77777777" w:rsidR="00E96B29" w:rsidRPr="00027624" w:rsidRDefault="00E96B29" w:rsidP="00E96B29">
            <w:pPr>
              <w:pStyle w:val="TableColumnHeadingLeft"/>
              <w:jc w:val="center"/>
            </w:pPr>
            <w:r w:rsidRPr="00027624">
              <w:t>Female assumption</w:t>
            </w:r>
          </w:p>
        </w:tc>
      </w:tr>
      <w:tr w:rsidR="00E96B29" w:rsidRPr="00027624" w14:paraId="5EDC69C8" w14:textId="77777777" w:rsidTr="00E96B29">
        <w:trPr>
          <w:trHeight w:val="270"/>
        </w:trPr>
        <w:tc>
          <w:tcPr>
            <w:tcW w:w="1250" w:type="pct"/>
          </w:tcPr>
          <w:p w14:paraId="4FC001E0" w14:textId="77777777" w:rsidR="00E96B29" w:rsidRPr="00027624" w:rsidRDefault="00E96B29" w:rsidP="00E96B29">
            <w:pPr>
              <w:pStyle w:val="TableTextLeft"/>
            </w:pPr>
            <w:r w:rsidRPr="00027624">
              <w:t>Start age</w:t>
            </w:r>
          </w:p>
        </w:tc>
        <w:tc>
          <w:tcPr>
            <w:tcW w:w="1250" w:type="pct"/>
          </w:tcPr>
          <w:p w14:paraId="1414C718" w14:textId="77777777" w:rsidR="00E96B29" w:rsidRPr="00027624" w:rsidRDefault="00E96B29" w:rsidP="00E96B29">
            <w:pPr>
              <w:pStyle w:val="TableTextLeft"/>
              <w:jc w:val="center"/>
            </w:pPr>
            <w:r w:rsidRPr="00027624">
              <w:t>27</w:t>
            </w:r>
          </w:p>
        </w:tc>
        <w:tc>
          <w:tcPr>
            <w:tcW w:w="1250" w:type="pct"/>
          </w:tcPr>
          <w:p w14:paraId="7C269997" w14:textId="77777777" w:rsidR="00E96B29" w:rsidRPr="00027624" w:rsidRDefault="00E96B29" w:rsidP="00E96B29">
            <w:pPr>
              <w:pStyle w:val="TableTextLeft"/>
              <w:jc w:val="center"/>
            </w:pPr>
            <w:r w:rsidRPr="00027624">
              <w:t>27</w:t>
            </w:r>
          </w:p>
        </w:tc>
        <w:tc>
          <w:tcPr>
            <w:tcW w:w="1250" w:type="pct"/>
          </w:tcPr>
          <w:p w14:paraId="6FDF26B2" w14:textId="77777777" w:rsidR="00E96B29" w:rsidRPr="00027624" w:rsidRDefault="00E96B29" w:rsidP="00E96B29">
            <w:pPr>
              <w:pStyle w:val="TableTextLeft"/>
              <w:jc w:val="center"/>
            </w:pPr>
            <w:r w:rsidRPr="00027624">
              <w:t>27</w:t>
            </w:r>
          </w:p>
        </w:tc>
      </w:tr>
      <w:tr w:rsidR="00E96B29" w:rsidRPr="00027624" w14:paraId="0625FD3C" w14:textId="77777777" w:rsidTr="00E96B29">
        <w:trPr>
          <w:trHeight w:val="270"/>
        </w:trPr>
        <w:tc>
          <w:tcPr>
            <w:tcW w:w="1250" w:type="pct"/>
          </w:tcPr>
          <w:p w14:paraId="48D305E2" w14:textId="77777777" w:rsidR="00E96B29" w:rsidRPr="00027624" w:rsidRDefault="00E96B29" w:rsidP="00E96B29">
            <w:pPr>
              <w:pStyle w:val="TableTextLeft"/>
            </w:pPr>
            <w:r w:rsidRPr="00027624">
              <w:t>Life expectancy</w:t>
            </w:r>
          </w:p>
        </w:tc>
        <w:tc>
          <w:tcPr>
            <w:tcW w:w="1250" w:type="pct"/>
          </w:tcPr>
          <w:p w14:paraId="62957BFA" w14:textId="77777777" w:rsidR="00E96B29" w:rsidRPr="00027624" w:rsidRDefault="00E96B29" w:rsidP="00E96B29">
            <w:pPr>
              <w:pStyle w:val="TableTextLeft"/>
              <w:jc w:val="center"/>
            </w:pPr>
            <w:r w:rsidRPr="00027624">
              <w:t>92 years</w:t>
            </w:r>
          </w:p>
        </w:tc>
        <w:tc>
          <w:tcPr>
            <w:tcW w:w="1250" w:type="pct"/>
          </w:tcPr>
          <w:p w14:paraId="1BC20D99" w14:textId="77777777" w:rsidR="00E96B29" w:rsidRPr="00027624" w:rsidRDefault="00E96B29" w:rsidP="00E96B29">
            <w:pPr>
              <w:pStyle w:val="TableTextLeft"/>
              <w:jc w:val="center"/>
            </w:pPr>
            <w:r w:rsidRPr="00027624">
              <w:t>91 years</w:t>
            </w:r>
          </w:p>
        </w:tc>
        <w:tc>
          <w:tcPr>
            <w:tcW w:w="1250" w:type="pct"/>
          </w:tcPr>
          <w:p w14:paraId="7E907002" w14:textId="77777777" w:rsidR="00E96B29" w:rsidRPr="00027624" w:rsidRDefault="00E96B29" w:rsidP="00E96B29">
            <w:pPr>
              <w:pStyle w:val="TableTextLeft"/>
              <w:jc w:val="center"/>
            </w:pPr>
            <w:r w:rsidRPr="00027624">
              <w:t>93 years</w:t>
            </w:r>
          </w:p>
        </w:tc>
      </w:tr>
      <w:tr w:rsidR="00E96B29" w:rsidRPr="00027624" w14:paraId="50D09C1E" w14:textId="77777777" w:rsidTr="00E96B29">
        <w:trPr>
          <w:trHeight w:val="270"/>
        </w:trPr>
        <w:tc>
          <w:tcPr>
            <w:tcW w:w="1250" w:type="pct"/>
          </w:tcPr>
          <w:p w14:paraId="7A7087B0" w14:textId="77777777" w:rsidR="00E96B29" w:rsidRPr="00027624" w:rsidRDefault="00E96B29" w:rsidP="00E96B29">
            <w:pPr>
              <w:pStyle w:val="TableTextLeft"/>
            </w:pPr>
            <w:r w:rsidRPr="00027624">
              <w:t>Incomes</w:t>
            </w:r>
          </w:p>
        </w:tc>
        <w:tc>
          <w:tcPr>
            <w:tcW w:w="1250" w:type="pct"/>
          </w:tcPr>
          <w:p w14:paraId="4A12612D" w14:textId="77777777" w:rsidR="00E96B29" w:rsidRPr="00027624" w:rsidRDefault="00E96B29" w:rsidP="00E96B29">
            <w:pPr>
              <w:pStyle w:val="TableTextLeft"/>
              <w:jc w:val="center"/>
            </w:pPr>
            <w:r w:rsidRPr="00027624">
              <w:t>Tax return data, by age and income</w:t>
            </w:r>
          </w:p>
        </w:tc>
        <w:tc>
          <w:tcPr>
            <w:tcW w:w="1250" w:type="pct"/>
          </w:tcPr>
          <w:p w14:paraId="3E26C71A" w14:textId="77777777" w:rsidR="00E96B29" w:rsidRPr="00027624" w:rsidRDefault="00E96B29" w:rsidP="00E96B29">
            <w:pPr>
              <w:pStyle w:val="TableTextLeft"/>
              <w:jc w:val="center"/>
            </w:pPr>
            <w:r w:rsidRPr="00027624">
              <w:t>Constant real income, ABS data on men</w:t>
            </w:r>
            <w:r w:rsidR="00A8443E" w:rsidRPr="00027624">
              <w:t>’</w:t>
            </w:r>
            <w:r w:rsidRPr="00027624">
              <w:t>s total average weekly earnings</w:t>
            </w:r>
          </w:p>
        </w:tc>
        <w:tc>
          <w:tcPr>
            <w:tcW w:w="1250" w:type="pct"/>
          </w:tcPr>
          <w:p w14:paraId="70B0FC6C" w14:textId="77777777" w:rsidR="00E96B29" w:rsidRPr="00027624" w:rsidRDefault="00E96B29" w:rsidP="00E96B29">
            <w:pPr>
              <w:pStyle w:val="TableTextLeft"/>
              <w:jc w:val="center"/>
            </w:pPr>
            <w:r w:rsidRPr="00027624">
              <w:t>Constant real income, ABS data on women</w:t>
            </w:r>
            <w:r w:rsidR="00A8443E" w:rsidRPr="00027624">
              <w:t>’</w:t>
            </w:r>
            <w:r w:rsidRPr="00027624">
              <w:t>s total average weekly earnings</w:t>
            </w:r>
          </w:p>
        </w:tc>
      </w:tr>
      <w:tr w:rsidR="00E96B29" w:rsidRPr="00027624" w14:paraId="1E07542C" w14:textId="77777777" w:rsidTr="00E96B29">
        <w:trPr>
          <w:trHeight w:val="270"/>
        </w:trPr>
        <w:tc>
          <w:tcPr>
            <w:tcW w:w="1250" w:type="pct"/>
          </w:tcPr>
          <w:p w14:paraId="6E01FF7D" w14:textId="77777777" w:rsidR="00E96B29" w:rsidRPr="00027624" w:rsidRDefault="00E96B29" w:rsidP="00E96B29">
            <w:pPr>
              <w:pStyle w:val="TableTextLeft"/>
            </w:pPr>
            <w:r w:rsidRPr="00027624">
              <w:t>Length of working life</w:t>
            </w:r>
          </w:p>
        </w:tc>
        <w:tc>
          <w:tcPr>
            <w:tcW w:w="1250" w:type="pct"/>
          </w:tcPr>
          <w:p w14:paraId="5DB36162" w14:textId="77777777" w:rsidR="00E96B29" w:rsidRPr="00027624" w:rsidRDefault="00E96B29" w:rsidP="00E96B29">
            <w:pPr>
              <w:pStyle w:val="TableTextLeft"/>
              <w:jc w:val="center"/>
            </w:pPr>
            <w:r w:rsidRPr="00027624">
              <w:t>40 years</w:t>
            </w:r>
          </w:p>
        </w:tc>
        <w:tc>
          <w:tcPr>
            <w:tcW w:w="1250" w:type="pct"/>
          </w:tcPr>
          <w:p w14:paraId="45ABD9EC" w14:textId="77777777" w:rsidR="00E96B29" w:rsidRPr="00027624" w:rsidRDefault="00E96B29" w:rsidP="00E96B29">
            <w:pPr>
              <w:pStyle w:val="TableTextLeft"/>
              <w:jc w:val="center"/>
            </w:pPr>
            <w:r w:rsidRPr="00027624">
              <w:t>40 years</w:t>
            </w:r>
          </w:p>
        </w:tc>
        <w:tc>
          <w:tcPr>
            <w:tcW w:w="1250" w:type="pct"/>
          </w:tcPr>
          <w:p w14:paraId="6CD40D18" w14:textId="77777777" w:rsidR="00E96B29" w:rsidRPr="00027624" w:rsidRDefault="00E96B29" w:rsidP="00E96B29">
            <w:pPr>
              <w:pStyle w:val="TableTextLeft"/>
              <w:jc w:val="center"/>
            </w:pPr>
            <w:r w:rsidRPr="00027624">
              <w:t>40 years</w:t>
            </w:r>
            <w:r w:rsidRPr="00027624" w:rsidDel="001F43FD">
              <w:t>,</w:t>
            </w:r>
            <w:r w:rsidRPr="00027624">
              <w:t xml:space="preserve"> minus </w:t>
            </w:r>
            <w:r w:rsidRPr="00027624" w:rsidDel="001F43FD">
              <w:t>career breaks</w:t>
            </w:r>
            <w:r w:rsidRPr="00027624">
              <w:t xml:space="preserve"> as per scenario</w:t>
            </w:r>
          </w:p>
        </w:tc>
      </w:tr>
      <w:tr w:rsidR="00E96B29" w:rsidRPr="00027624" w14:paraId="2753AAEC" w14:textId="77777777" w:rsidTr="00E96B29">
        <w:trPr>
          <w:trHeight w:val="270"/>
        </w:trPr>
        <w:tc>
          <w:tcPr>
            <w:tcW w:w="1250" w:type="pct"/>
          </w:tcPr>
          <w:p w14:paraId="1A34D89B" w14:textId="77777777" w:rsidR="00E96B29" w:rsidRPr="00027624" w:rsidRDefault="00E96B29" w:rsidP="00E96B29">
            <w:pPr>
              <w:pStyle w:val="TableTextLeft"/>
            </w:pPr>
            <w:r w:rsidRPr="00027624">
              <w:t>Superannuation drawdowns</w:t>
            </w:r>
          </w:p>
        </w:tc>
        <w:tc>
          <w:tcPr>
            <w:tcW w:w="1250" w:type="pct"/>
          </w:tcPr>
          <w:p w14:paraId="786663C2" w14:textId="77777777" w:rsidR="00E96B29" w:rsidRPr="00027624" w:rsidRDefault="00E96B29" w:rsidP="00E96B29">
            <w:pPr>
              <w:pStyle w:val="TableTextLeft"/>
              <w:jc w:val="center"/>
            </w:pPr>
            <w:r w:rsidRPr="00027624">
              <w:t>Optimal drawdown to exhaust at life expectancy</w:t>
            </w:r>
          </w:p>
        </w:tc>
        <w:tc>
          <w:tcPr>
            <w:tcW w:w="1250" w:type="pct"/>
          </w:tcPr>
          <w:p w14:paraId="0B0E0530" w14:textId="77777777" w:rsidR="00E96B29" w:rsidRPr="00027624" w:rsidRDefault="00E96B29" w:rsidP="00E96B29">
            <w:pPr>
              <w:pStyle w:val="TableTextLeft"/>
              <w:jc w:val="center"/>
            </w:pPr>
            <w:r w:rsidRPr="00027624">
              <w:t xml:space="preserve">Optimal drawdown to exhaust at male life expectancy matched to ABS average wage </w:t>
            </w:r>
          </w:p>
        </w:tc>
        <w:tc>
          <w:tcPr>
            <w:tcW w:w="1250" w:type="pct"/>
          </w:tcPr>
          <w:p w14:paraId="33E9B1B8" w14:textId="77777777" w:rsidR="00E96B29" w:rsidRPr="00027624" w:rsidRDefault="00E96B29" w:rsidP="00E96B29">
            <w:pPr>
              <w:pStyle w:val="TableTextLeft"/>
              <w:jc w:val="center"/>
            </w:pPr>
            <w:r w:rsidRPr="00027624">
              <w:t>Optimal drawdown to exhaust at female life expectancy matched to ABS average wage</w:t>
            </w:r>
          </w:p>
        </w:tc>
      </w:tr>
      <w:tr w:rsidR="00E96B29" w:rsidRPr="00027624" w14:paraId="2F7BE373" w14:textId="77777777" w:rsidTr="00E96B29">
        <w:trPr>
          <w:trHeight w:val="270"/>
        </w:trPr>
        <w:tc>
          <w:tcPr>
            <w:tcW w:w="1250" w:type="pct"/>
          </w:tcPr>
          <w:p w14:paraId="4FD0F9B9" w14:textId="77777777" w:rsidR="00E96B29" w:rsidRPr="00027624" w:rsidRDefault="00E96B29" w:rsidP="00E96B29">
            <w:pPr>
              <w:pStyle w:val="TableTextLeft"/>
            </w:pPr>
            <w:r w:rsidRPr="00027624">
              <w:t>Voluntary savings</w:t>
            </w:r>
          </w:p>
        </w:tc>
        <w:tc>
          <w:tcPr>
            <w:tcW w:w="1250" w:type="pct"/>
          </w:tcPr>
          <w:p w14:paraId="1F090DD1" w14:textId="77777777" w:rsidR="00E96B29" w:rsidRPr="00027624" w:rsidRDefault="00E96B29" w:rsidP="00E96B29">
            <w:pPr>
              <w:pStyle w:val="TableTextLeft"/>
              <w:jc w:val="center"/>
            </w:pPr>
            <w:r w:rsidRPr="00027624">
              <w:t>Salary sacrifice contributions and non</w:t>
            </w:r>
            <w:r w:rsidR="00A8443E" w:rsidRPr="00027624">
              <w:noBreakHyphen/>
            </w:r>
            <w:r w:rsidRPr="00027624">
              <w:t xml:space="preserve">superannuation wealth </w:t>
            </w:r>
          </w:p>
        </w:tc>
        <w:tc>
          <w:tcPr>
            <w:tcW w:w="1250" w:type="pct"/>
          </w:tcPr>
          <w:p w14:paraId="3963DC13" w14:textId="77777777" w:rsidR="00E96B29" w:rsidRPr="00027624" w:rsidRDefault="00E96B29" w:rsidP="00E96B29">
            <w:pPr>
              <w:pStyle w:val="TableTextLeft"/>
              <w:jc w:val="center"/>
            </w:pPr>
            <w:r w:rsidRPr="00027624">
              <w:t>No voluntary contributions to superannuation or non</w:t>
            </w:r>
            <w:r w:rsidR="00A8443E" w:rsidRPr="00027624">
              <w:noBreakHyphen/>
            </w:r>
            <w:r w:rsidRPr="00027624">
              <w:t>superannuation wealth</w:t>
            </w:r>
          </w:p>
        </w:tc>
        <w:tc>
          <w:tcPr>
            <w:tcW w:w="1250" w:type="pct"/>
          </w:tcPr>
          <w:p w14:paraId="46FE93E0" w14:textId="77777777" w:rsidR="00E96B29" w:rsidRPr="00027624" w:rsidRDefault="00E96B29" w:rsidP="00E96B29">
            <w:pPr>
              <w:pStyle w:val="TableTextLeft"/>
              <w:jc w:val="center"/>
            </w:pPr>
            <w:r w:rsidRPr="00027624">
              <w:t>No voluntary contributions to superannuation or non</w:t>
            </w:r>
            <w:r w:rsidR="00A8443E" w:rsidRPr="00027624">
              <w:noBreakHyphen/>
            </w:r>
            <w:r w:rsidRPr="00027624">
              <w:t>superannuation wealth</w:t>
            </w:r>
          </w:p>
        </w:tc>
      </w:tr>
    </w:tbl>
    <w:p w14:paraId="3ED17BE8" w14:textId="45DBC4DA" w:rsidR="00E96B29" w:rsidRPr="00027624" w:rsidRDefault="00E96B29" w:rsidP="00E96B29">
      <w:pPr>
        <w:rPr>
          <w:sz w:val="18"/>
          <w:szCs w:val="18"/>
        </w:rPr>
      </w:pPr>
      <w:r w:rsidRPr="00027624">
        <w:rPr>
          <w:sz w:val="18"/>
          <w:szCs w:val="18"/>
        </w:rPr>
        <w:t>Note: Working</w:t>
      </w:r>
      <w:r w:rsidR="00A8443E" w:rsidRPr="00027624">
        <w:rPr>
          <w:sz w:val="18"/>
          <w:szCs w:val="18"/>
        </w:rPr>
        <w:noBreakHyphen/>
      </w:r>
      <w:r w:rsidRPr="00027624">
        <w:rPr>
          <w:sz w:val="18"/>
          <w:szCs w:val="18"/>
        </w:rPr>
        <w:t xml:space="preserve">life length for women is dependent on the number of career breaks assumed. See </w:t>
      </w:r>
      <w:r w:rsidRPr="00027624">
        <w:rPr>
          <w:color w:val="000000"/>
          <w:sz w:val="18"/>
          <w:szCs w:val="18"/>
        </w:rPr>
        <w:fldChar w:fldCharType="begin"/>
      </w:r>
      <w:r w:rsidRPr="00027624">
        <w:rPr>
          <w:sz w:val="18"/>
          <w:szCs w:val="18"/>
        </w:rPr>
        <w:instrText xml:space="preserve"> REF _Ref43187041 \r \h </w:instrText>
      </w:r>
      <w:r w:rsidRPr="00027624">
        <w:rPr>
          <w:color w:val="000000"/>
          <w:sz w:val="18"/>
          <w:szCs w:val="18"/>
        </w:rPr>
        <w:instrText xml:space="preserve"> \* MERGEFORMAT </w:instrText>
      </w:r>
      <w:r w:rsidRPr="00027624">
        <w:rPr>
          <w:color w:val="000000"/>
          <w:sz w:val="18"/>
          <w:szCs w:val="18"/>
        </w:rPr>
      </w:r>
      <w:r w:rsidRPr="00027624">
        <w:rPr>
          <w:color w:val="000000"/>
          <w:sz w:val="18"/>
          <w:szCs w:val="18"/>
        </w:rPr>
        <w:fldChar w:fldCharType="separate"/>
      </w:r>
      <w:r w:rsidR="00891058">
        <w:rPr>
          <w:sz w:val="18"/>
          <w:szCs w:val="18"/>
        </w:rPr>
        <w:t>Box 6A-3</w:t>
      </w:r>
      <w:r w:rsidRPr="00027624">
        <w:rPr>
          <w:color w:val="000000"/>
          <w:sz w:val="18"/>
          <w:szCs w:val="18"/>
        </w:rPr>
        <w:fldChar w:fldCharType="end"/>
      </w:r>
      <w:r w:rsidRPr="00027624">
        <w:rPr>
          <w:sz w:val="18"/>
          <w:szCs w:val="18"/>
        </w:rPr>
        <w:t>.</w:t>
      </w:r>
    </w:p>
    <w:p w14:paraId="058B57EA" w14:textId="77777777" w:rsidR="00E96B29" w:rsidRPr="00027624" w:rsidRDefault="00E96B29" w:rsidP="00E96B29">
      <w:pPr>
        <w:pStyle w:val="Heading5"/>
      </w:pPr>
      <w:r w:rsidRPr="00027624">
        <w:t>Incomes</w:t>
      </w:r>
    </w:p>
    <w:p w14:paraId="4DB85D4F" w14:textId="111AC581" w:rsidR="00E96B29" w:rsidRPr="00027624" w:rsidRDefault="00E96B29" w:rsidP="00E96B29">
      <w:r w:rsidRPr="00027624">
        <w:t>For analysis of gender pay gaps in full</w:t>
      </w:r>
      <w:r w:rsidR="00A8443E" w:rsidRPr="00027624">
        <w:noBreakHyphen/>
      </w:r>
      <w:r w:rsidRPr="00027624">
        <w:t xml:space="preserve"> and part</w:t>
      </w:r>
      <w:r w:rsidR="00A8443E" w:rsidRPr="00027624">
        <w:noBreakHyphen/>
      </w:r>
      <w:r w:rsidRPr="00027624">
        <w:t>time work, it was assumed that men and women earn the current average total weekly earnings, in real terms, for their entire working lives. (</w:t>
      </w:r>
      <w:r w:rsidRPr="00027624">
        <w:fldChar w:fldCharType="begin"/>
      </w:r>
      <w:r w:rsidRPr="00027624">
        <w:instrText xml:space="preserve"> REF _Ref44668200 \r \h  \* MERGEFORMAT </w:instrText>
      </w:r>
      <w:r w:rsidRPr="00027624">
        <w:fldChar w:fldCharType="separate"/>
      </w:r>
      <w:r w:rsidR="00891058">
        <w:t>Table 6A-21</w:t>
      </w:r>
      <w:r w:rsidRPr="00027624">
        <w:fldChar w:fldCharType="end"/>
      </w:r>
      <w:r w:rsidRPr="00027624">
        <w:t>).</w:t>
      </w:r>
    </w:p>
    <w:p w14:paraId="34E08D78" w14:textId="66E0680E" w:rsidR="00E96B29" w:rsidRPr="00027624" w:rsidRDefault="00E96B29" w:rsidP="00E96B29">
      <w:r w:rsidRPr="00027624">
        <w:t>This is a simple assumption, and presents a different distribution of income across the life cycle than the standard gender model (</w:t>
      </w:r>
      <w:r w:rsidRPr="00027624">
        <w:fldChar w:fldCharType="begin"/>
      </w:r>
      <w:r w:rsidRPr="00027624">
        <w:instrText xml:space="preserve"> REF _Ref44668403 \r \h  \* MERGEFORMAT </w:instrText>
      </w:r>
      <w:r w:rsidRPr="00027624">
        <w:fldChar w:fldCharType="separate"/>
      </w:r>
      <w:r w:rsidR="00891058">
        <w:t>Chart 6A-33</w:t>
      </w:r>
      <w:r w:rsidRPr="00027624">
        <w:fldChar w:fldCharType="end"/>
      </w:r>
      <w:r w:rsidRPr="00027624">
        <w:t xml:space="preserve">). Results using this model are therefore less reliable in determining, in </w:t>
      </w:r>
      <w:r w:rsidRPr="00027624">
        <w:rPr>
          <w:i/>
        </w:rPr>
        <w:t>absolute</w:t>
      </w:r>
      <w:r w:rsidRPr="00027624">
        <w:t xml:space="preserve"> dollar terms, the outcomes of men and women at retirement. However, the adjusted model is suitable for comparing the </w:t>
      </w:r>
      <w:r w:rsidRPr="00027624">
        <w:rPr>
          <w:i/>
        </w:rPr>
        <w:t>relative</w:t>
      </w:r>
      <w:r w:rsidRPr="00027624">
        <w:t xml:space="preserve"> outcomes between men and women.</w:t>
      </w:r>
    </w:p>
    <w:p w14:paraId="25A01268" w14:textId="77777777" w:rsidR="00E96B29" w:rsidRPr="00027624" w:rsidRDefault="00E96B29" w:rsidP="00E96B29">
      <w:pPr>
        <w:pStyle w:val="TableMainHeading"/>
      </w:pPr>
      <w:bookmarkStart w:id="4297" w:name="_Ref44668200"/>
      <w:r w:rsidRPr="00027624">
        <w:t>Average total weekly earnings</w:t>
      </w:r>
      <w:bookmarkEnd w:id="4297"/>
    </w:p>
    <w:tbl>
      <w:tblPr>
        <w:tblW w:w="5000" w:type="pct"/>
        <w:tblLook w:val="01E0" w:firstRow="1" w:lastRow="1" w:firstColumn="1" w:lastColumn="1" w:noHBand="0" w:noVBand="0"/>
      </w:tblPr>
      <w:tblGrid>
        <w:gridCol w:w="2096"/>
        <w:gridCol w:w="3487"/>
        <w:gridCol w:w="3487"/>
      </w:tblGrid>
      <w:tr w:rsidR="00E96B29" w:rsidRPr="00027624" w14:paraId="0A7B56E1" w14:textId="77777777" w:rsidTr="00E96B29">
        <w:trPr>
          <w:trHeight w:val="270"/>
          <w:tblHeader/>
        </w:trPr>
        <w:tc>
          <w:tcPr>
            <w:tcW w:w="1155" w:type="pct"/>
            <w:shd w:val="clear" w:color="auto" w:fill="E5E5E5"/>
          </w:tcPr>
          <w:p w14:paraId="08EEE325" w14:textId="77777777" w:rsidR="00E96B29" w:rsidRPr="00027624" w:rsidRDefault="00E96B29" w:rsidP="00E96B29">
            <w:pPr>
              <w:pStyle w:val="TableColumnHeadingLeft"/>
            </w:pPr>
          </w:p>
        </w:tc>
        <w:tc>
          <w:tcPr>
            <w:tcW w:w="1922" w:type="pct"/>
            <w:shd w:val="clear" w:color="auto" w:fill="E5E5E5"/>
          </w:tcPr>
          <w:p w14:paraId="4F8CC13B" w14:textId="77777777" w:rsidR="00E96B29" w:rsidRPr="00027624" w:rsidRDefault="00E96B29" w:rsidP="00E96B29">
            <w:pPr>
              <w:pStyle w:val="TableColumnHeadingCentred"/>
            </w:pPr>
            <w:r w:rsidRPr="00027624">
              <w:t>Full</w:t>
            </w:r>
            <w:r w:rsidR="00A8443E" w:rsidRPr="00027624">
              <w:noBreakHyphen/>
            </w:r>
            <w:r w:rsidRPr="00027624">
              <w:t>time employees ($)</w:t>
            </w:r>
          </w:p>
        </w:tc>
        <w:tc>
          <w:tcPr>
            <w:tcW w:w="1922" w:type="pct"/>
            <w:shd w:val="clear" w:color="auto" w:fill="E5E5E5"/>
          </w:tcPr>
          <w:p w14:paraId="65DDD683" w14:textId="77777777" w:rsidR="00E96B29" w:rsidRPr="00027624" w:rsidRDefault="00E96B29" w:rsidP="00E96B29">
            <w:pPr>
              <w:pStyle w:val="TableColumnHeadingCentred"/>
            </w:pPr>
            <w:r w:rsidRPr="00027624">
              <w:t>All employees (including part</w:t>
            </w:r>
            <w:r w:rsidR="00A8443E" w:rsidRPr="00027624">
              <w:noBreakHyphen/>
            </w:r>
            <w:r w:rsidRPr="00027624">
              <w:t>time) ($)</w:t>
            </w:r>
          </w:p>
        </w:tc>
      </w:tr>
      <w:tr w:rsidR="00E96B29" w:rsidRPr="00027624" w14:paraId="24B41385" w14:textId="77777777" w:rsidTr="00E96B29">
        <w:trPr>
          <w:trHeight w:val="270"/>
        </w:trPr>
        <w:tc>
          <w:tcPr>
            <w:tcW w:w="1155" w:type="pct"/>
          </w:tcPr>
          <w:p w14:paraId="38C0AFCF" w14:textId="77777777" w:rsidR="00E96B29" w:rsidRPr="00027624" w:rsidRDefault="00E96B29" w:rsidP="00E96B29">
            <w:pPr>
              <w:pStyle w:val="TableTextLeft"/>
            </w:pPr>
            <w:r w:rsidRPr="00027624">
              <w:t xml:space="preserve">Men </w:t>
            </w:r>
          </w:p>
        </w:tc>
        <w:tc>
          <w:tcPr>
            <w:tcW w:w="1922" w:type="pct"/>
          </w:tcPr>
          <w:p w14:paraId="53256945" w14:textId="77777777" w:rsidR="00E96B29" w:rsidRPr="00027624" w:rsidRDefault="00E96B29" w:rsidP="00E96B29">
            <w:pPr>
              <w:pStyle w:val="TableTextLeft"/>
              <w:jc w:val="center"/>
            </w:pPr>
            <w:r w:rsidRPr="00027624">
              <w:t>1,839.00</w:t>
            </w:r>
          </w:p>
        </w:tc>
        <w:tc>
          <w:tcPr>
            <w:tcW w:w="1922" w:type="pct"/>
          </w:tcPr>
          <w:p w14:paraId="5D446A6F" w14:textId="77777777" w:rsidR="00E96B29" w:rsidRPr="00027624" w:rsidRDefault="00E96B29" w:rsidP="00E96B29">
            <w:pPr>
              <w:pStyle w:val="TableTextLeft"/>
              <w:jc w:val="center"/>
            </w:pPr>
            <w:r w:rsidRPr="00027624">
              <w:t>1,498.20</w:t>
            </w:r>
          </w:p>
        </w:tc>
      </w:tr>
      <w:tr w:rsidR="00E96B29" w:rsidRPr="00027624" w14:paraId="2DD97927" w14:textId="77777777" w:rsidTr="00E96B29">
        <w:trPr>
          <w:trHeight w:val="270"/>
        </w:trPr>
        <w:tc>
          <w:tcPr>
            <w:tcW w:w="1155" w:type="pct"/>
          </w:tcPr>
          <w:p w14:paraId="2B5D9E13" w14:textId="77777777" w:rsidR="00E96B29" w:rsidRPr="00027624" w:rsidRDefault="00E96B29" w:rsidP="00E96B29">
            <w:pPr>
              <w:pStyle w:val="TableTextLeft"/>
            </w:pPr>
            <w:r w:rsidRPr="00027624">
              <w:t xml:space="preserve">Women </w:t>
            </w:r>
          </w:p>
        </w:tc>
        <w:tc>
          <w:tcPr>
            <w:tcW w:w="1922" w:type="pct"/>
          </w:tcPr>
          <w:p w14:paraId="418600B1" w14:textId="77777777" w:rsidR="00E96B29" w:rsidRPr="00027624" w:rsidRDefault="00E96B29" w:rsidP="00E96B29">
            <w:pPr>
              <w:pStyle w:val="TableTextLeft"/>
              <w:jc w:val="center"/>
            </w:pPr>
            <w:r w:rsidRPr="00027624">
              <w:t>1,528.50</w:t>
            </w:r>
          </w:p>
        </w:tc>
        <w:tc>
          <w:tcPr>
            <w:tcW w:w="1922" w:type="pct"/>
          </w:tcPr>
          <w:p w14:paraId="4CD54C35" w14:textId="77777777" w:rsidR="00E96B29" w:rsidRPr="00027624" w:rsidRDefault="00E96B29" w:rsidP="00E96B29">
            <w:pPr>
              <w:pStyle w:val="TableTextLeft"/>
              <w:jc w:val="center"/>
            </w:pPr>
            <w:r w:rsidRPr="00027624">
              <w:t>1,028.10</w:t>
            </w:r>
          </w:p>
        </w:tc>
      </w:tr>
    </w:tbl>
    <w:p w14:paraId="0B09963A" w14:textId="77777777" w:rsidR="00E96B29" w:rsidRPr="00027624" w:rsidRDefault="00E96B29" w:rsidP="00E96B29">
      <w:pPr>
        <w:pStyle w:val="ChartorTableNote"/>
      </w:pPr>
      <w:r w:rsidRPr="00027624">
        <w:t xml:space="preserve">Note: Data from November 2019 using seasonally adjusted figures. Source: </w:t>
      </w:r>
      <w:sdt>
        <w:sdtPr>
          <w:rPr>
            <w:szCs w:val="18"/>
          </w:rPr>
          <w:id w:val="-558640744"/>
          <w:citation/>
        </w:sdtPr>
        <w:sdtEndPr/>
        <w:sdtContent>
          <w:r w:rsidRPr="00027624">
            <w:rPr>
              <w:szCs w:val="18"/>
            </w:rPr>
            <w:fldChar w:fldCharType="begin"/>
          </w:r>
          <w:r w:rsidRPr="00027624">
            <w:rPr>
              <w:szCs w:val="18"/>
            </w:rPr>
            <w:instrText xml:space="preserve"> CITATION ABS20d \l 3081 </w:instrText>
          </w:r>
          <w:r w:rsidRPr="00027624">
            <w:rPr>
              <w:szCs w:val="18"/>
            </w:rPr>
            <w:fldChar w:fldCharType="separate"/>
          </w:r>
          <w:r w:rsidR="00E83F6E" w:rsidRPr="00E83F6E">
            <w:rPr>
              <w:noProof/>
              <w:szCs w:val="18"/>
            </w:rPr>
            <w:t>(ABS, 2020d)</w:t>
          </w:r>
          <w:r w:rsidRPr="00027624">
            <w:rPr>
              <w:szCs w:val="18"/>
            </w:rPr>
            <w:fldChar w:fldCharType="end"/>
          </w:r>
        </w:sdtContent>
      </w:sdt>
    </w:p>
    <w:p w14:paraId="09D4E65F" w14:textId="77777777" w:rsidR="00E96B29" w:rsidRPr="00027624" w:rsidRDefault="00E96B29" w:rsidP="00E96B29">
      <w:pPr>
        <w:pStyle w:val="ChartMainHeading"/>
      </w:pPr>
      <w:bookmarkStart w:id="4298" w:name="_Ref44668403"/>
      <w:r w:rsidRPr="00027624">
        <w:t>Comparison of average total weekly earnings (annualised) with average salary and wages income, by age and gender</w:t>
      </w:r>
      <w:r w:rsidR="00A8443E" w:rsidRPr="00027624">
        <w:noBreakHyphen/>
      </w:r>
      <w:r w:rsidRPr="00027624">
        <w:t>based income percentile</w:t>
      </w:r>
      <w:bookmarkEnd w:id="4298"/>
    </w:p>
    <w:p w14:paraId="47967FEF" w14:textId="77777777" w:rsidR="00E96B29" w:rsidRPr="00027624" w:rsidRDefault="00D62932" w:rsidP="00DE6C9E">
      <w:pPr>
        <w:pStyle w:val="ChartGraphic"/>
      </w:pPr>
      <w:r>
        <w:rPr>
          <w:noProof/>
        </w:rPr>
        <w:drawing>
          <wp:inline distT="0" distB="0" distL="0" distR="0" wp14:anchorId="152F317B" wp14:editId="4E8A0005">
            <wp:extent cx="2872740" cy="2880360"/>
            <wp:effectExtent l="0" t="0" r="3810" b="0"/>
            <wp:docPr id="2002235502" name="Picture 2002235502" descr="These charts show that in comparison to the pattern of changing wage over the working life in Chart 6A-32. For the purposes of analysing the gender gap, men and women are assumed to have a constant rate of income across the working life." title="Chart 6A-33 Comparison of average total weekly earnings (annualised) with average salary and wages income, by age and gender-based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r>
        <w:rPr>
          <w:noProof/>
        </w:rPr>
        <w:drawing>
          <wp:inline distT="0" distB="0" distL="0" distR="0" wp14:anchorId="1F2F8C78" wp14:editId="7E2CAA76">
            <wp:extent cx="2872740" cy="2880360"/>
            <wp:effectExtent l="0" t="0" r="3810" b="0"/>
            <wp:docPr id="2002235504" name="Picture 200223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73B6E137" w14:textId="7B2E1673" w:rsidR="00E96B29" w:rsidRPr="00027624" w:rsidRDefault="00E96B29" w:rsidP="00DE6C9E">
      <w:pPr>
        <w:pStyle w:val="ChartorTableNote"/>
      </w:pPr>
      <w:r w:rsidRPr="00027624">
        <w:t>Note: Data from 2016</w:t>
      </w:r>
      <w:r w:rsidR="00A8443E" w:rsidRPr="00027624">
        <w:noBreakHyphen/>
      </w:r>
      <w:r w:rsidRPr="00027624">
        <w:t xml:space="preserve">17. Percentiles are as per </w:t>
      </w:r>
      <w:r w:rsidRPr="00027624">
        <w:fldChar w:fldCharType="begin"/>
      </w:r>
      <w:r w:rsidRPr="00027624">
        <w:instrText xml:space="preserve"> REF _Ref42620887 \r \h  \* MERGEFORMAT </w:instrText>
      </w:r>
      <w:r w:rsidRPr="00027624">
        <w:fldChar w:fldCharType="separate"/>
      </w:r>
      <w:r w:rsidR="00891058">
        <w:t>Chart 6A-31</w:t>
      </w:r>
      <w:r w:rsidRPr="00027624">
        <w:fldChar w:fldCharType="end"/>
      </w:r>
      <w:r w:rsidRPr="00027624">
        <w:t xml:space="preserve">. See note in </w:t>
      </w:r>
      <w:r w:rsidRPr="00027624">
        <w:fldChar w:fldCharType="begin"/>
      </w:r>
      <w:r w:rsidRPr="00027624">
        <w:instrText xml:space="preserve"> REF _Ref42620887 \r \h  \* MERGEFORMAT </w:instrText>
      </w:r>
      <w:r w:rsidRPr="00027624">
        <w:fldChar w:fldCharType="separate"/>
      </w:r>
      <w:r w:rsidR="00891058">
        <w:t>Chart 6A-31</w:t>
      </w:r>
      <w:r w:rsidRPr="00027624">
        <w:fldChar w:fldCharType="end"/>
      </w:r>
      <w:r w:rsidRPr="00027624">
        <w:t xml:space="preserve"> for further explanation. Annualised incomes for full</w:t>
      </w:r>
      <w:r w:rsidR="00A8443E" w:rsidRPr="00027624">
        <w:noBreakHyphen/>
      </w:r>
      <w:r w:rsidRPr="00027624">
        <w:t>time and all workers have been extrapolated from average weekly earnings from May 2017, to show the comparison with 2016</w:t>
      </w:r>
      <w:r w:rsidR="00A8443E" w:rsidRPr="00027624">
        <w:noBreakHyphen/>
      </w:r>
      <w:r w:rsidRPr="00027624">
        <w:t>17 ATO data. They are different to the figures from November 2019 used in the gender version of EMORI. Annualised average total weekly earnings is inclusive of salary sacrifice contributions while average salary and wages income in 2016</w:t>
      </w:r>
      <w:r w:rsidR="00A8443E" w:rsidRPr="00027624">
        <w:noBreakHyphen/>
      </w:r>
      <w:r w:rsidRPr="00027624">
        <w:t xml:space="preserve">17 is net of salary sacrifice contributions. Source: Data provided by the ATO for the review; analysis of </w:t>
      </w:r>
      <w:sdt>
        <w:sdtPr>
          <w:id w:val="-1753802834"/>
          <w:citation/>
        </w:sdtPr>
        <w:sdtEndPr/>
        <w:sdtContent>
          <w:r w:rsidRPr="00027624">
            <w:fldChar w:fldCharType="begin"/>
          </w:r>
          <w:r w:rsidRPr="00027624">
            <w:instrText xml:space="preserve"> CITATION ABS20d \l 3081 </w:instrText>
          </w:r>
          <w:r w:rsidRPr="00027624">
            <w:fldChar w:fldCharType="separate"/>
          </w:r>
          <w:r w:rsidR="00E83F6E">
            <w:rPr>
              <w:noProof/>
            </w:rPr>
            <w:t>(ABS, 2020d)</w:t>
          </w:r>
          <w:r w:rsidRPr="00027624">
            <w:fldChar w:fldCharType="end"/>
          </w:r>
        </w:sdtContent>
      </w:sdt>
      <w:r w:rsidRPr="00027624">
        <w:t>.</w:t>
      </w:r>
    </w:p>
    <w:p w14:paraId="49EB02AD" w14:textId="77777777" w:rsidR="00E96B29" w:rsidRPr="00027624" w:rsidRDefault="00E96B29" w:rsidP="00E96B29">
      <w:pPr>
        <w:pStyle w:val="Heading5"/>
      </w:pPr>
      <w:r w:rsidRPr="00027624">
        <w:t>Length of working life</w:t>
      </w:r>
    </w:p>
    <w:p w14:paraId="57D27EE3" w14:textId="77777777" w:rsidR="00E96B29" w:rsidRPr="00027624" w:rsidRDefault="00E96B29" w:rsidP="00E96B29">
      <w:r w:rsidRPr="00027624">
        <w:t>In this adjusted model, the default working life for men and women was 40 years. This allowed for a more direct comparison of the effect of pay gaps on retirement outcomes, without the related effect of different lengths of working life.</w:t>
      </w:r>
    </w:p>
    <w:p w14:paraId="415AB4B7" w14:textId="15BF8D94" w:rsidR="00E96B29" w:rsidRPr="00027624" w:rsidRDefault="00E96B29" w:rsidP="00E96B29">
      <w:r w:rsidRPr="00027624">
        <w:t xml:space="preserve">A number of career break scenarios were tested using this adjusted model. The assumptions underpinning these scenarios are in </w:t>
      </w:r>
      <w:r w:rsidRPr="00027624">
        <w:fldChar w:fldCharType="begin"/>
      </w:r>
      <w:r w:rsidRPr="00027624">
        <w:instrText xml:space="preserve"> REF _Ref43187041 \r \h  \* MERGEFORMAT </w:instrText>
      </w:r>
      <w:r w:rsidRPr="00027624">
        <w:fldChar w:fldCharType="separate"/>
      </w:r>
      <w:r w:rsidR="00891058">
        <w:t>Box 6A-3</w:t>
      </w:r>
      <w:r w:rsidRPr="00027624">
        <w:fldChar w:fldCharType="end"/>
      </w:r>
      <w:r w:rsidRPr="00027624">
        <w:t>. Outside of the career break adjustments, women were assumed to be working full</w:t>
      </w:r>
      <w:r w:rsidR="00A8443E" w:rsidRPr="00027624">
        <w:noBreakHyphen/>
      </w:r>
      <w:r w:rsidRPr="00027624">
        <w:t xml:space="preserve">time (see </w:t>
      </w:r>
      <w:r w:rsidRPr="00027624">
        <w:rPr>
          <w:i/>
        </w:rPr>
        <w:t>Incomes</w:t>
      </w:r>
      <w:r w:rsidRPr="00027624">
        <w:t xml:space="preserve">, </w:t>
      </w:r>
      <w:r w:rsidR="0002589F">
        <w:t>above</w:t>
      </w:r>
      <w:r w:rsidRPr="00027624">
        <w:t>).</w:t>
      </w:r>
    </w:p>
    <w:tbl>
      <w:tblPr>
        <w:tblStyle w:val="TableGrid"/>
        <w:tblpPr w:leftFromText="180" w:rightFromText="180" w:vertAnchor="text" w:tblpY="1"/>
        <w:tblOverlap w:val="never"/>
        <w:tblW w:w="5000" w:type="pct"/>
        <w:shd w:val="clear" w:color="auto" w:fill="FFF8EA"/>
        <w:tblLook w:val="04A0" w:firstRow="1" w:lastRow="0" w:firstColumn="1" w:lastColumn="0" w:noHBand="0" w:noVBand="1"/>
      </w:tblPr>
      <w:tblGrid>
        <w:gridCol w:w="9070"/>
      </w:tblGrid>
      <w:tr w:rsidR="00E96B29" w:rsidRPr="00027624" w14:paraId="224B3923" w14:textId="77777777" w:rsidTr="00E96B29">
        <w:tc>
          <w:tcPr>
            <w:tcW w:w="5000" w:type="pct"/>
            <w:shd w:val="clear" w:color="auto" w:fill="FFF8EA"/>
          </w:tcPr>
          <w:p w14:paraId="4FD399AF" w14:textId="77777777" w:rsidR="00E96B29" w:rsidRPr="00027624" w:rsidRDefault="00E96B29" w:rsidP="00E96B29">
            <w:pPr>
              <w:pStyle w:val="BoxHeading"/>
            </w:pPr>
            <w:bookmarkStart w:id="4299" w:name="_Ref43187041"/>
            <w:r w:rsidRPr="00027624">
              <w:t>Modelling career breaks</w:t>
            </w:r>
            <w:bookmarkEnd w:id="4299"/>
          </w:p>
          <w:p w14:paraId="03BBBA2D" w14:textId="77777777" w:rsidR="00E96B29" w:rsidRPr="00027624" w:rsidRDefault="00E96B29" w:rsidP="00E96B29">
            <w:pPr>
              <w:pStyle w:val="BoxText"/>
            </w:pPr>
            <w:r w:rsidRPr="00027624">
              <w:t>There is no one</w:t>
            </w:r>
            <w:r w:rsidR="00A8443E" w:rsidRPr="00027624">
              <w:noBreakHyphen/>
            </w:r>
            <w:r w:rsidRPr="00027624">
              <w:t>size</w:t>
            </w:r>
            <w:r w:rsidR="00A8443E" w:rsidRPr="00027624">
              <w:noBreakHyphen/>
            </w:r>
            <w:r w:rsidRPr="00027624">
              <w:t>fits</w:t>
            </w:r>
            <w:r w:rsidR="00A8443E" w:rsidRPr="00027624">
              <w:noBreakHyphen/>
            </w:r>
            <w:r w:rsidRPr="00027624">
              <w:t>all approach when modelling career breaks as people</w:t>
            </w:r>
            <w:r w:rsidR="00A8443E" w:rsidRPr="00027624">
              <w:t>’</w:t>
            </w:r>
            <w:r w:rsidRPr="00027624">
              <w:t xml:space="preserve">s lived experiences vary significantly. On average, women are more likely to take career breaks, take longer career breaks, take career breaks for caring reasons, and take them earlier than men </w:t>
            </w:r>
            <w:sdt>
              <w:sdtPr>
                <w:id w:val="1054048749"/>
                <w:citation/>
              </w:sdtPr>
              <w:sdtEndPr/>
              <w:sdtContent>
                <w:r w:rsidRPr="00027624">
                  <w:fldChar w:fldCharType="begin"/>
                </w:r>
                <w:r w:rsidRPr="00027624">
                  <w:instrText xml:space="preserve"> CITATION REST17 \l 3081 </w:instrText>
                </w:r>
                <w:r w:rsidRPr="00027624">
                  <w:fldChar w:fldCharType="separate"/>
                </w:r>
                <w:r w:rsidR="00E83F6E">
                  <w:rPr>
                    <w:noProof/>
                  </w:rPr>
                  <w:t>(REST Super, 2017)</w:t>
                </w:r>
                <w:r w:rsidRPr="00027624">
                  <w:fldChar w:fldCharType="end"/>
                </w:r>
              </w:sdtContent>
            </w:sdt>
            <w:r w:rsidRPr="00027624">
              <w:t>.</w:t>
            </w:r>
          </w:p>
          <w:p w14:paraId="53E1FD87" w14:textId="77777777" w:rsidR="00E96B29" w:rsidRPr="00027624" w:rsidRDefault="00E96B29" w:rsidP="00E96B29">
            <w:pPr>
              <w:pStyle w:val="Heading6"/>
              <w:jc w:val="left"/>
              <w:outlineLvl w:val="5"/>
            </w:pPr>
            <w:bookmarkStart w:id="4300" w:name="_Ref44089830"/>
            <w:r w:rsidRPr="00027624">
              <w:t>When do career breaks occur?</w:t>
            </w:r>
            <w:bookmarkEnd w:id="4300"/>
          </w:p>
          <w:p w14:paraId="1FC81231" w14:textId="77777777" w:rsidR="00E96B29" w:rsidRPr="00027624" w:rsidRDefault="00E96B29" w:rsidP="00E96B29">
            <w:pPr>
              <w:pStyle w:val="BoxText"/>
            </w:pPr>
            <w:r w:rsidRPr="00027624">
              <w:t xml:space="preserve">The career break modelling has </w:t>
            </w:r>
            <w:r w:rsidRPr="00027624">
              <w:rPr>
                <w:b/>
              </w:rPr>
              <w:t>assumed mothers have either one child at age 30, or two children at ages 30 and 33.</w:t>
            </w:r>
            <w:r w:rsidRPr="00027624">
              <w:t xml:space="preserve"> This reflects population statistics that suggest, on average, women have 1.8 children and the median age of mothers giving birth is 31.4 </w:t>
            </w:r>
            <w:sdt>
              <w:sdtPr>
                <w:id w:val="-2143872867"/>
                <w:citation/>
              </w:sdtPr>
              <w:sdtEndPr/>
              <w:sdtContent>
                <w:r w:rsidRPr="00027624">
                  <w:fldChar w:fldCharType="begin"/>
                </w:r>
                <w:r w:rsidRPr="00027624">
                  <w:instrText xml:space="preserve"> CITATION ABS208 \l 3081 </w:instrText>
                </w:r>
                <w:r w:rsidRPr="00027624">
                  <w:fldChar w:fldCharType="separate"/>
                </w:r>
                <w:r w:rsidR="00E83F6E">
                  <w:rPr>
                    <w:noProof/>
                  </w:rPr>
                  <w:t>(ABS, 2019e)</w:t>
                </w:r>
                <w:r w:rsidRPr="00027624">
                  <w:fldChar w:fldCharType="end"/>
                </w:r>
              </w:sdtContent>
            </w:sdt>
            <w:r w:rsidRPr="00027624">
              <w:t xml:space="preserve">. This approach broadly aligns with career break cameos presented in submissions by two superannuation funds with large female memberships </w:t>
            </w:r>
            <w:sdt>
              <w:sdtPr>
                <w:id w:val="722489173"/>
                <w:citation/>
              </w:sdtPr>
              <w:sdtEndPr/>
              <w:sdtContent>
                <w:r w:rsidRPr="00027624">
                  <w:fldChar w:fldCharType="begin"/>
                </w:r>
                <w:r w:rsidRPr="00027624">
                  <w:instrText xml:space="preserve">CITATION HES20 \p 29 \l 3081 </w:instrText>
                </w:r>
                <w:r w:rsidRPr="00027624">
                  <w:fldChar w:fldCharType="separate"/>
                </w:r>
                <w:r w:rsidR="00E83F6E">
                  <w:rPr>
                    <w:noProof/>
                  </w:rPr>
                  <w:t>(HESTA, 2020, p. 29)</w:t>
                </w:r>
                <w:r w:rsidRPr="00027624">
                  <w:fldChar w:fldCharType="end"/>
                </w:r>
              </w:sdtContent>
            </w:sdt>
            <w:r w:rsidR="00A47F8F" w:rsidRPr="00027624">
              <w:t xml:space="preserve"> </w:t>
            </w:r>
            <w:sdt>
              <w:sdtPr>
                <w:id w:val="1833407897"/>
                <w:citation/>
              </w:sdtPr>
              <w:sdtEndPr/>
              <w:sdtContent>
                <w:r w:rsidR="00A47F8F" w:rsidRPr="00027624">
                  <w:fldChar w:fldCharType="begin"/>
                </w:r>
                <w:r w:rsidR="00A47F8F">
                  <w:instrText xml:space="preserve">CITATION Fir20Sub \p 40 \l 3081 </w:instrText>
                </w:r>
                <w:r w:rsidR="00A47F8F" w:rsidRPr="00027624">
                  <w:fldChar w:fldCharType="separate"/>
                </w:r>
                <w:r w:rsidR="00E83F6E">
                  <w:rPr>
                    <w:noProof/>
                  </w:rPr>
                  <w:t>(First State Super, 2020b, p. 40)</w:t>
                </w:r>
                <w:r w:rsidR="00A47F8F" w:rsidRPr="00027624">
                  <w:fldChar w:fldCharType="end"/>
                </w:r>
              </w:sdtContent>
            </w:sdt>
            <w:r w:rsidRPr="00027624">
              <w:t>.</w:t>
            </w:r>
          </w:p>
          <w:p w14:paraId="596E95BA" w14:textId="77777777" w:rsidR="00E96B29" w:rsidRPr="00027624" w:rsidRDefault="00E96B29" w:rsidP="00E96B29">
            <w:pPr>
              <w:pStyle w:val="BoxText"/>
            </w:pPr>
            <w:r w:rsidRPr="00027624">
              <w:t>A career break for a woman who cares for a parent from age 55 was also modelled. One submission suggested that 25 per cent of women in their 50s care for a spouse or a parent</w:t>
            </w:r>
            <w:r w:rsidR="00C2586A" w:rsidRPr="00027624">
              <w:t xml:space="preserve"> </w:t>
            </w:r>
            <w:sdt>
              <w:sdtPr>
                <w:id w:val="1930851174"/>
                <w:citation/>
              </w:sdtPr>
              <w:sdtEndPr/>
              <w:sdtContent>
                <w:r w:rsidR="00C2586A" w:rsidRPr="00027624">
                  <w:fldChar w:fldCharType="begin"/>
                </w:r>
                <w:r w:rsidR="00C2586A">
                  <w:instrText xml:space="preserve">CITATION Car20 \p 5 \l 3081 </w:instrText>
                </w:r>
                <w:r w:rsidR="00C2586A" w:rsidRPr="00027624">
                  <w:fldChar w:fldCharType="separate"/>
                </w:r>
                <w:r w:rsidR="00E83F6E">
                  <w:rPr>
                    <w:noProof/>
                  </w:rPr>
                  <w:t>(Carers NSW, 2020, p. 5)</w:t>
                </w:r>
                <w:r w:rsidR="00C2586A" w:rsidRPr="00027624">
                  <w:fldChar w:fldCharType="end"/>
                </w:r>
              </w:sdtContent>
            </w:sdt>
            <w:r w:rsidRPr="00027624">
              <w:t>.</w:t>
            </w:r>
          </w:p>
          <w:p w14:paraId="0272D5B1" w14:textId="77777777" w:rsidR="00E96B29" w:rsidRPr="00027624" w:rsidRDefault="00E96B29" w:rsidP="00E96B29">
            <w:pPr>
              <w:pStyle w:val="Heading6"/>
              <w:jc w:val="left"/>
              <w:outlineLvl w:val="5"/>
            </w:pPr>
            <w:r w:rsidRPr="00027624">
              <w:t>How long are career breaks?</w:t>
            </w:r>
          </w:p>
          <w:p w14:paraId="0A7CA7F8" w14:textId="5444FE1A" w:rsidR="00E96B29" w:rsidRPr="00027624" w:rsidRDefault="00E96B29" w:rsidP="00E96B29">
            <w:pPr>
              <w:pStyle w:val="BoxText"/>
              <w:jc w:val="left"/>
            </w:pPr>
            <w:r w:rsidRPr="00027624">
              <w:rPr>
                <w:b/>
              </w:rPr>
              <w:t>The</w:t>
            </w:r>
            <w:r w:rsidRPr="00027624" w:rsidDel="00476FD9">
              <w:rPr>
                <w:b/>
              </w:rPr>
              <w:t xml:space="preserve"> </w:t>
            </w:r>
            <w:r w:rsidRPr="00027624">
              <w:rPr>
                <w:b/>
              </w:rPr>
              <w:t>modelling in the review has assumed women take two years off work to care for a child.</w:t>
            </w:r>
            <w:r w:rsidRPr="00027624">
              <w:t xml:space="preserve"> Survey research by REST Super found, on average, women take 22.5 months off work for each </w:t>
            </w:r>
            <w:r w:rsidR="00A8443E" w:rsidRPr="00027624">
              <w:t>‘</w:t>
            </w:r>
            <w:r w:rsidRPr="00027624">
              <w:t>caring</w:t>
            </w:r>
            <w:r w:rsidR="00A8443E" w:rsidRPr="00027624">
              <w:t>’</w:t>
            </w:r>
            <w:r w:rsidRPr="00027624">
              <w:t xml:space="preserve"> career break </w:t>
            </w:r>
            <w:sdt>
              <w:sdtPr>
                <w:id w:val="-969283063"/>
                <w:citation/>
              </w:sdtPr>
              <w:sdtEndPr/>
              <w:sdtContent>
                <w:r w:rsidRPr="00027624">
                  <w:fldChar w:fldCharType="begin"/>
                </w:r>
                <w:r w:rsidRPr="00027624">
                  <w:instrText xml:space="preserve"> CITATION REST17 \l 3081 </w:instrText>
                </w:r>
                <w:r w:rsidRPr="00027624">
                  <w:fldChar w:fldCharType="separate"/>
                </w:r>
                <w:r w:rsidR="00E83F6E">
                  <w:rPr>
                    <w:noProof/>
                  </w:rPr>
                  <w:t>(REST Super, 2017)</w:t>
                </w:r>
                <w:r w:rsidRPr="00027624">
                  <w:fldChar w:fldCharType="end"/>
                </w:r>
              </w:sdtContent>
            </w:sdt>
            <w:r w:rsidRPr="00027624">
              <w:t>. In addition, research by Wilkins found significant variability in the length of caring breaks (</w:t>
            </w:r>
            <w:r w:rsidRPr="00027624">
              <w:fldChar w:fldCharType="begin"/>
            </w:r>
            <w:r w:rsidRPr="00027624">
              <w:instrText xml:space="preserve"> REF _Ref42711810 \r \h  \* MERGEFORMAT </w:instrText>
            </w:r>
            <w:r w:rsidRPr="00027624">
              <w:fldChar w:fldCharType="separate"/>
            </w:r>
            <w:r w:rsidR="00891058">
              <w:t>Table 6A-22</w:t>
            </w:r>
            <w:r w:rsidRPr="00027624">
              <w:fldChar w:fldCharType="end"/>
            </w:r>
            <w:r w:rsidRPr="00027624">
              <w:t>).</w:t>
            </w:r>
          </w:p>
          <w:p w14:paraId="6B447F34" w14:textId="77777777" w:rsidR="00E96B29" w:rsidRPr="00027624" w:rsidRDefault="00E96B29" w:rsidP="00E96B29">
            <w:pPr>
              <w:pStyle w:val="TableMainHeading"/>
            </w:pPr>
            <w:bookmarkStart w:id="4301" w:name="_Ref42711810"/>
            <w:r w:rsidRPr="00027624">
              <w:t>Length of career breaks for caring</w:t>
            </w:r>
            <w:bookmarkEnd w:id="4301"/>
          </w:p>
          <w:tbl>
            <w:tblPr>
              <w:tblW w:w="5000" w:type="pct"/>
              <w:tblLook w:val="01E0" w:firstRow="1" w:lastRow="1" w:firstColumn="1" w:lastColumn="1" w:noHBand="0" w:noVBand="0"/>
            </w:tblPr>
            <w:tblGrid>
              <w:gridCol w:w="4427"/>
              <w:gridCol w:w="4427"/>
            </w:tblGrid>
            <w:tr w:rsidR="00E96B29" w:rsidRPr="00027624" w14:paraId="75F5A817" w14:textId="77777777" w:rsidTr="00E96B29">
              <w:trPr>
                <w:cantSplit/>
                <w:tblHeader/>
              </w:trPr>
              <w:tc>
                <w:tcPr>
                  <w:tcW w:w="2500" w:type="pct"/>
                  <w:shd w:val="clear" w:color="auto" w:fill="E5E5E5"/>
                </w:tcPr>
                <w:p w14:paraId="3DD0E1DF" w14:textId="77777777" w:rsidR="00E96B29" w:rsidRPr="00027624" w:rsidRDefault="00E96B29" w:rsidP="007B222E">
                  <w:pPr>
                    <w:pStyle w:val="TableColumnHeadingLeft"/>
                    <w:framePr w:hSpace="180" w:wrap="around" w:vAnchor="text" w:hAnchor="text" w:y="1"/>
                    <w:suppressOverlap/>
                  </w:pPr>
                  <w:r w:rsidRPr="00027624">
                    <w:br w:type="page"/>
                    <w:t>Timing of return to paid employment after birth</w:t>
                  </w:r>
                </w:p>
              </w:tc>
              <w:tc>
                <w:tcPr>
                  <w:tcW w:w="2500" w:type="pct"/>
                  <w:shd w:val="clear" w:color="auto" w:fill="E5E5E5"/>
                </w:tcPr>
                <w:p w14:paraId="1175F99D" w14:textId="77777777" w:rsidR="00E96B29" w:rsidRPr="00027624" w:rsidRDefault="00E96B29" w:rsidP="007B222E">
                  <w:pPr>
                    <w:pStyle w:val="TableColumnHeadingCentred"/>
                    <w:framePr w:hSpace="180" w:wrap="around" w:vAnchor="text" w:hAnchor="text" w:y="1"/>
                    <w:suppressOverlap/>
                  </w:pPr>
                  <w:r w:rsidRPr="00027624">
                    <w:t>Proportion of mothers (per cent)</w:t>
                  </w:r>
                </w:p>
              </w:tc>
            </w:tr>
            <w:tr w:rsidR="00E96B29" w:rsidRPr="00027624" w14:paraId="1B90DD08" w14:textId="77777777" w:rsidTr="00E96B29">
              <w:trPr>
                <w:cantSplit/>
              </w:trPr>
              <w:tc>
                <w:tcPr>
                  <w:tcW w:w="2500" w:type="pct"/>
                </w:tcPr>
                <w:p w14:paraId="6C3E7310" w14:textId="77777777" w:rsidR="00E96B29" w:rsidRPr="00027624" w:rsidRDefault="00E96B29" w:rsidP="007B222E">
                  <w:pPr>
                    <w:pStyle w:val="TableTextLeft"/>
                    <w:framePr w:hSpace="180" w:wrap="around" w:vAnchor="text" w:hAnchor="text" w:y="1"/>
                    <w:suppressOverlap/>
                  </w:pPr>
                  <w:r w:rsidRPr="00027624">
                    <w:t>Less than 6 months</w:t>
                  </w:r>
                </w:p>
              </w:tc>
              <w:tc>
                <w:tcPr>
                  <w:tcW w:w="2500" w:type="pct"/>
                </w:tcPr>
                <w:p w14:paraId="32D11EA1" w14:textId="77777777" w:rsidR="00E96B29" w:rsidRPr="00027624" w:rsidRDefault="00E96B29" w:rsidP="007B222E">
                  <w:pPr>
                    <w:pStyle w:val="TableTextCentered"/>
                    <w:framePr w:hSpace="180" w:wrap="around" w:vAnchor="text" w:hAnchor="text" w:y="1"/>
                    <w:suppressOverlap/>
                  </w:pPr>
                  <w:r w:rsidRPr="00027624">
                    <w:t>16.7</w:t>
                  </w:r>
                </w:p>
              </w:tc>
            </w:tr>
            <w:tr w:rsidR="00E96B29" w:rsidRPr="00027624" w14:paraId="53617451" w14:textId="77777777" w:rsidTr="00E96B29">
              <w:trPr>
                <w:cantSplit/>
              </w:trPr>
              <w:tc>
                <w:tcPr>
                  <w:tcW w:w="2500" w:type="pct"/>
                </w:tcPr>
                <w:p w14:paraId="1F7C4DE1" w14:textId="77777777" w:rsidR="00E96B29" w:rsidRPr="00027624" w:rsidRDefault="00E96B29" w:rsidP="007B222E">
                  <w:pPr>
                    <w:pStyle w:val="TableTextLeft"/>
                    <w:framePr w:hSpace="180" w:wrap="around" w:vAnchor="text" w:hAnchor="text" w:y="1"/>
                    <w:suppressOverlap/>
                  </w:pPr>
                  <w:r w:rsidRPr="00027624">
                    <w:t>Between 6 and 12 months</w:t>
                  </w:r>
                </w:p>
              </w:tc>
              <w:tc>
                <w:tcPr>
                  <w:tcW w:w="2500" w:type="pct"/>
                </w:tcPr>
                <w:p w14:paraId="7EC47FA2" w14:textId="77777777" w:rsidR="00E96B29" w:rsidRPr="00027624" w:rsidRDefault="00E96B29" w:rsidP="007B222E">
                  <w:pPr>
                    <w:pStyle w:val="TableTextCentered"/>
                    <w:framePr w:hSpace="180" w:wrap="around" w:vAnchor="text" w:hAnchor="text" w:y="1"/>
                    <w:suppressOverlap/>
                  </w:pPr>
                  <w:r w:rsidRPr="00027624">
                    <w:t>20.9</w:t>
                  </w:r>
                </w:p>
              </w:tc>
            </w:tr>
            <w:tr w:rsidR="00E96B29" w:rsidRPr="00027624" w14:paraId="675029A7" w14:textId="77777777" w:rsidTr="00E96B29">
              <w:trPr>
                <w:cantSplit/>
              </w:trPr>
              <w:tc>
                <w:tcPr>
                  <w:tcW w:w="2500" w:type="pct"/>
                </w:tcPr>
                <w:p w14:paraId="5CB83B0A" w14:textId="77777777" w:rsidR="00E96B29" w:rsidRPr="00027624" w:rsidRDefault="00E96B29" w:rsidP="007B222E">
                  <w:pPr>
                    <w:pStyle w:val="TableTextLeft"/>
                    <w:framePr w:hSpace="180" w:wrap="around" w:vAnchor="text" w:hAnchor="text" w:y="1"/>
                    <w:suppressOverlap/>
                  </w:pPr>
                  <w:r w:rsidRPr="00027624">
                    <w:t>Between 12 and 24 months</w:t>
                  </w:r>
                </w:p>
              </w:tc>
              <w:tc>
                <w:tcPr>
                  <w:tcW w:w="2500" w:type="pct"/>
                </w:tcPr>
                <w:p w14:paraId="22BDD2E4" w14:textId="77777777" w:rsidR="00E96B29" w:rsidRPr="00027624" w:rsidRDefault="00E96B29" w:rsidP="007B222E">
                  <w:pPr>
                    <w:pStyle w:val="TableTextCentered"/>
                    <w:framePr w:hSpace="180" w:wrap="around" w:vAnchor="text" w:hAnchor="text" w:y="1"/>
                    <w:suppressOverlap/>
                  </w:pPr>
                  <w:r w:rsidRPr="00027624">
                    <w:t>18.3</w:t>
                  </w:r>
                </w:p>
              </w:tc>
            </w:tr>
            <w:tr w:rsidR="00E96B29" w:rsidRPr="00027624" w14:paraId="15E298C7" w14:textId="77777777" w:rsidTr="00E96B29">
              <w:trPr>
                <w:cantSplit/>
              </w:trPr>
              <w:tc>
                <w:tcPr>
                  <w:tcW w:w="2500" w:type="pct"/>
                </w:tcPr>
                <w:p w14:paraId="095AC7AF" w14:textId="77777777" w:rsidR="00E96B29" w:rsidRPr="00027624" w:rsidRDefault="00E96B29" w:rsidP="007B222E">
                  <w:pPr>
                    <w:pStyle w:val="TableTextLeft"/>
                    <w:framePr w:hSpace="180" w:wrap="around" w:vAnchor="text" w:hAnchor="text" w:y="1"/>
                    <w:suppressOverlap/>
                  </w:pPr>
                  <w:r w:rsidRPr="00027624">
                    <w:t>24 months or more</w:t>
                  </w:r>
                </w:p>
              </w:tc>
              <w:tc>
                <w:tcPr>
                  <w:tcW w:w="2500" w:type="pct"/>
                </w:tcPr>
                <w:p w14:paraId="7AAB3A25" w14:textId="77777777" w:rsidR="00E96B29" w:rsidRPr="00027624" w:rsidRDefault="00E96B29" w:rsidP="007B222E">
                  <w:pPr>
                    <w:pStyle w:val="TableTextCentered"/>
                    <w:framePr w:hSpace="180" w:wrap="around" w:vAnchor="text" w:hAnchor="text" w:y="1"/>
                    <w:suppressOverlap/>
                  </w:pPr>
                  <w:r w:rsidRPr="00027624">
                    <w:t>44.1</w:t>
                  </w:r>
                </w:p>
              </w:tc>
            </w:tr>
          </w:tbl>
          <w:p w14:paraId="310BBD2C" w14:textId="77777777" w:rsidR="00E96B29" w:rsidRPr="00027624" w:rsidRDefault="00E96B29" w:rsidP="00E96B29">
            <w:pPr>
              <w:pStyle w:val="ChartorTableNote"/>
            </w:pPr>
            <w:r w:rsidRPr="00027624">
              <w:t xml:space="preserve">Note: Limited to women aged under 45 whose youngest child was between ages two and five at the time of the survey. Timing of return to paid employment was for most recent birth. Includes mothers who had never worked before birth, or had not returned to paid employment. Source: </w:t>
            </w:r>
            <w:sdt>
              <w:sdtPr>
                <w:id w:val="1852844493"/>
                <w:citation/>
              </w:sdtPr>
              <w:sdtEndPr/>
              <w:sdtContent>
                <w:r w:rsidRPr="00027624">
                  <w:fldChar w:fldCharType="begin"/>
                </w:r>
                <w:r w:rsidRPr="00027624">
                  <w:instrText xml:space="preserve">CITATION Wil17 \p 51-57 \t  \l 3081 </w:instrText>
                </w:r>
                <w:r w:rsidRPr="00027624">
                  <w:fldChar w:fldCharType="separate"/>
                </w:r>
                <w:r w:rsidR="00E83F6E">
                  <w:rPr>
                    <w:noProof/>
                  </w:rPr>
                  <w:t>(Wilkins, 2017, pp. 51-57)</w:t>
                </w:r>
                <w:r w:rsidRPr="00027624">
                  <w:fldChar w:fldCharType="end"/>
                </w:r>
              </w:sdtContent>
            </w:sdt>
            <w:r w:rsidRPr="00027624">
              <w:t>.</w:t>
            </w:r>
          </w:p>
          <w:p w14:paraId="2A650146" w14:textId="77777777" w:rsidR="00E96B29" w:rsidRPr="00027624" w:rsidRDefault="00E96B29" w:rsidP="00E96B29">
            <w:pPr>
              <w:pStyle w:val="Heading6"/>
              <w:spacing w:before="240"/>
              <w:jc w:val="left"/>
              <w:outlineLvl w:val="5"/>
            </w:pPr>
            <w:r w:rsidRPr="00027624">
              <w:t>What effect do career breaks have on earnings?</w:t>
            </w:r>
          </w:p>
          <w:p w14:paraId="7FEEAE6C" w14:textId="77777777" w:rsidR="00E96B29" w:rsidRPr="00027624" w:rsidRDefault="00E96B29" w:rsidP="00E96B29">
            <w:pPr>
              <w:pStyle w:val="BoxText"/>
              <w:jc w:val="left"/>
            </w:pPr>
            <w:r w:rsidRPr="00027624">
              <w:t>The modelling in the review has assumed:</w:t>
            </w:r>
          </w:p>
          <w:p w14:paraId="02A656D4" w14:textId="77777777" w:rsidR="00E96B29" w:rsidRPr="00027624" w:rsidRDefault="00E96B29" w:rsidP="0098788B">
            <w:pPr>
              <w:pStyle w:val="BoxBullet"/>
            </w:pPr>
            <w:r w:rsidRPr="00027624">
              <w:rPr>
                <w:b/>
                <w:bCs/>
              </w:rPr>
              <w:t>Women miss out on promotions and salary increases while on leave</w:t>
            </w:r>
            <w:r w:rsidRPr="00027624">
              <w:t xml:space="preserve">, in line with evidence presented in submissions and other reports (e.g. </w:t>
            </w:r>
            <w:sdt>
              <w:sdtPr>
                <w:id w:val="-1262210794"/>
                <w:citation/>
              </w:sdtPr>
              <w:sdtEndPr/>
              <w:sdtContent>
                <w:r w:rsidRPr="00027624">
                  <w:fldChar w:fldCharType="begin"/>
                </w:r>
                <w:r w:rsidRPr="00027624">
                  <w:instrText xml:space="preserve">CITATION Aus183 \p 17 \l 3081 </w:instrText>
                </w:r>
                <w:r w:rsidRPr="00027624">
                  <w:fldChar w:fldCharType="separate"/>
                </w:r>
                <w:r w:rsidR="00E83F6E">
                  <w:rPr>
                    <w:noProof/>
                  </w:rPr>
                  <w:t>(AustralianSuper, 2018, p. 17)</w:t>
                </w:r>
                <w:r w:rsidRPr="00027624">
                  <w:fldChar w:fldCharType="end"/>
                </w:r>
              </w:sdtContent>
            </w:sdt>
            <w:r w:rsidRPr="00027624">
              <w:t>). A 2004 study found high</w:t>
            </w:r>
            <w:r w:rsidR="00A8443E" w:rsidRPr="00027624">
              <w:noBreakHyphen/>
            </w:r>
            <w:r w:rsidRPr="00027624">
              <w:t>school</w:t>
            </w:r>
            <w:r w:rsidR="00A8443E" w:rsidRPr="00027624">
              <w:noBreakHyphen/>
            </w:r>
            <w:r w:rsidRPr="00027624">
              <w:t xml:space="preserve">educated women forgo around 31 per cent of their lifetime earnings when they have a child and an additional 13 per cent when they have a second child </w:t>
            </w:r>
            <w:sdt>
              <w:sdtPr>
                <w:id w:val="2059509402"/>
                <w:citation/>
              </w:sdtPr>
              <w:sdtEndPr/>
              <w:sdtContent>
                <w:r w:rsidRPr="00027624">
                  <w:fldChar w:fldCharType="begin"/>
                </w:r>
                <w:r w:rsidRPr="00027624">
                  <w:instrText xml:space="preserve"> CITATION Bre04 \l 3081 </w:instrText>
                </w:r>
                <w:r w:rsidRPr="00027624">
                  <w:fldChar w:fldCharType="separate"/>
                </w:r>
                <w:r w:rsidR="00E83F6E">
                  <w:rPr>
                    <w:noProof/>
                  </w:rPr>
                  <w:t>(Breusch &amp; Gray, 2004)</w:t>
                </w:r>
                <w:r w:rsidRPr="00027624">
                  <w:fldChar w:fldCharType="end"/>
                </w:r>
              </w:sdtContent>
            </w:sdt>
            <w:r w:rsidRPr="00027624">
              <w:t>. Women are assumed not to benefit from promotions and salary increases during years on leave</w:t>
            </w:r>
            <w:r w:rsidR="00A8443E" w:rsidRPr="00027624">
              <w:t xml:space="preserve"> — </w:t>
            </w:r>
            <w:r w:rsidRPr="00027624">
              <w:t>earnings in the year after a career break are the same in nominal terms as the year prior to the career break, implying a wage decrease in real terms. Wages remain constant in real terms post</w:t>
            </w:r>
            <w:r w:rsidR="00A8443E" w:rsidRPr="00027624">
              <w:noBreakHyphen/>
            </w:r>
            <w:r w:rsidRPr="00027624">
              <w:t>career break and do not return to pre</w:t>
            </w:r>
            <w:r w:rsidR="00A8443E" w:rsidRPr="00027624">
              <w:noBreakHyphen/>
            </w:r>
            <w:r w:rsidRPr="00027624">
              <w:t>career break levels.</w:t>
            </w:r>
          </w:p>
          <w:p w14:paraId="425DC494" w14:textId="77777777" w:rsidR="00E96B29" w:rsidRPr="00027624" w:rsidRDefault="00E96B29" w:rsidP="00E96B29">
            <w:pPr>
              <w:pStyle w:val="Bullet"/>
              <w:jc w:val="left"/>
            </w:pPr>
            <w:r w:rsidRPr="00027624">
              <w:rPr>
                <w:b/>
                <w:bCs/>
              </w:rPr>
              <w:t>Where women work part</w:t>
            </w:r>
            <w:r w:rsidR="00A8443E" w:rsidRPr="00027624">
              <w:rPr>
                <w:b/>
                <w:bCs/>
              </w:rPr>
              <w:noBreakHyphen/>
            </w:r>
            <w:r w:rsidRPr="00027624">
              <w:rPr>
                <w:b/>
                <w:bCs/>
              </w:rPr>
              <w:t>time to care for children, they do so until their youngest child is five years old, at 60 per cent of what their wage would otherwise have been</w:t>
            </w:r>
            <w:r w:rsidRPr="00027624">
              <w:t xml:space="preserve"> if they were working full</w:t>
            </w:r>
            <w:r w:rsidR="00A8443E" w:rsidRPr="00027624">
              <w:noBreakHyphen/>
            </w:r>
            <w:r w:rsidRPr="00027624">
              <w:t>time. Wilkins found women were most likely to be working two years after the birth of a child and working part</w:t>
            </w:r>
            <w:r w:rsidR="00A8443E" w:rsidRPr="00027624">
              <w:noBreakHyphen/>
            </w:r>
            <w:r w:rsidRPr="00027624">
              <w:t>time. Two years after the birth of a child, a mother</w:t>
            </w:r>
            <w:r w:rsidR="00A8443E" w:rsidRPr="00027624">
              <w:t>’</w:t>
            </w:r>
            <w:r w:rsidRPr="00027624">
              <w:t>s weekly earnings were around 55 per cent of her pre</w:t>
            </w:r>
            <w:r w:rsidR="00A8443E" w:rsidRPr="00027624">
              <w:noBreakHyphen/>
            </w:r>
            <w:r w:rsidRPr="00027624">
              <w:t>child earnings. Part</w:t>
            </w:r>
            <w:r w:rsidR="00A8443E" w:rsidRPr="00027624">
              <w:noBreakHyphen/>
            </w:r>
            <w:r w:rsidRPr="00027624">
              <w:t xml:space="preserve">time work is also far more common for women before and after their second child </w:t>
            </w:r>
            <w:sdt>
              <w:sdtPr>
                <w:id w:val="-949151976"/>
                <w:citation/>
              </w:sdtPr>
              <w:sdtEndPr/>
              <w:sdtContent>
                <w:r w:rsidRPr="00027624">
                  <w:fldChar w:fldCharType="begin"/>
                </w:r>
                <w:r w:rsidRPr="00027624">
                  <w:instrText xml:space="preserve">CITATION Wil17 \p 51-57 \t  \l 3081 </w:instrText>
                </w:r>
                <w:r w:rsidRPr="00027624">
                  <w:fldChar w:fldCharType="separate"/>
                </w:r>
                <w:r w:rsidR="00E83F6E">
                  <w:rPr>
                    <w:noProof/>
                  </w:rPr>
                  <w:t>(Wilkins, 2017, pp. 51-57)</w:t>
                </w:r>
                <w:r w:rsidRPr="00027624">
                  <w:fldChar w:fldCharType="end"/>
                </w:r>
              </w:sdtContent>
            </w:sdt>
            <w:r w:rsidRPr="00027624">
              <w:t>.</w:t>
            </w:r>
          </w:p>
        </w:tc>
      </w:tr>
    </w:tbl>
    <w:p w14:paraId="3ADBB640" w14:textId="77777777" w:rsidR="00E96B29" w:rsidRPr="00027624" w:rsidRDefault="00E96B29" w:rsidP="00E96B29">
      <w:pPr>
        <w:pStyle w:val="Heading5"/>
      </w:pPr>
      <w:r w:rsidRPr="00027624">
        <w:t>Retirement income</w:t>
      </w:r>
    </w:p>
    <w:p w14:paraId="19EB9A7B" w14:textId="74354442" w:rsidR="00E96B29" w:rsidRPr="00027624" w:rsidRDefault="00E96B29" w:rsidP="00E96B29">
      <w:pPr>
        <w:rPr>
          <w:sz w:val="18"/>
          <w:szCs w:val="18"/>
        </w:rPr>
      </w:pPr>
      <w:r w:rsidRPr="00027624">
        <w:t xml:space="preserve">Retirement income incorporated </w:t>
      </w:r>
      <w:r w:rsidRPr="00027624" w:rsidDel="0068007C">
        <w:t>Age</w:t>
      </w:r>
      <w:r w:rsidRPr="00027624">
        <w:t> Pension (as eligible), superannuation and non</w:t>
      </w:r>
      <w:r w:rsidR="00A8443E" w:rsidRPr="00027624">
        <w:noBreakHyphen/>
      </w:r>
      <w:r w:rsidRPr="00027624">
        <w:t xml:space="preserve">superannuation draw downs. </w:t>
      </w:r>
      <w:r w:rsidRPr="00027624">
        <w:rPr>
          <w:szCs w:val="22"/>
        </w:rPr>
        <w:t xml:space="preserve">Superannuation drawdowns by gender were based on the standard gender cameo model drawdown strategy as per </w:t>
      </w:r>
      <w:r w:rsidRPr="00027624">
        <w:rPr>
          <w:szCs w:val="22"/>
        </w:rPr>
        <w:fldChar w:fldCharType="begin"/>
      </w:r>
      <w:r w:rsidRPr="00027624">
        <w:rPr>
          <w:szCs w:val="22"/>
        </w:rPr>
        <w:instrText xml:space="preserve"> REF _Ref42711674 \r \h  \* MERGEFORMAT </w:instrText>
      </w:r>
      <w:r w:rsidRPr="00027624">
        <w:rPr>
          <w:szCs w:val="22"/>
        </w:rPr>
      </w:r>
      <w:r w:rsidRPr="00027624">
        <w:rPr>
          <w:szCs w:val="22"/>
        </w:rPr>
        <w:fldChar w:fldCharType="separate"/>
      </w:r>
      <w:r w:rsidR="00891058">
        <w:rPr>
          <w:szCs w:val="22"/>
        </w:rPr>
        <w:t>Table 6A-18</w:t>
      </w:r>
      <w:r w:rsidRPr="00027624">
        <w:rPr>
          <w:szCs w:val="22"/>
        </w:rPr>
        <w:fldChar w:fldCharType="end"/>
      </w:r>
      <w:r w:rsidRPr="00027624">
        <w:rPr>
          <w:szCs w:val="22"/>
        </w:rPr>
        <w:t xml:space="preserve"> and </w:t>
      </w:r>
      <w:r w:rsidRPr="00027624">
        <w:rPr>
          <w:szCs w:val="22"/>
        </w:rPr>
        <w:fldChar w:fldCharType="begin"/>
      </w:r>
      <w:r w:rsidRPr="00027624">
        <w:rPr>
          <w:szCs w:val="22"/>
        </w:rPr>
        <w:instrText xml:space="preserve"> REF _Ref42711691 \r \h  \* MERGEFORMAT </w:instrText>
      </w:r>
      <w:r w:rsidRPr="00027624">
        <w:rPr>
          <w:szCs w:val="22"/>
        </w:rPr>
      </w:r>
      <w:r w:rsidRPr="00027624">
        <w:rPr>
          <w:szCs w:val="22"/>
        </w:rPr>
        <w:fldChar w:fldCharType="separate"/>
      </w:r>
      <w:r w:rsidR="00891058">
        <w:rPr>
          <w:szCs w:val="22"/>
        </w:rPr>
        <w:t>Table 6A-19</w:t>
      </w:r>
      <w:r w:rsidRPr="00027624">
        <w:rPr>
          <w:szCs w:val="22"/>
        </w:rPr>
        <w:fldChar w:fldCharType="end"/>
      </w:r>
      <w:r w:rsidRPr="00027624">
        <w:rPr>
          <w:szCs w:val="22"/>
        </w:rPr>
        <w:t xml:space="preserve"> for the income percentile with the closest average working</w:t>
      </w:r>
      <w:r w:rsidR="00A8443E" w:rsidRPr="00027624">
        <w:rPr>
          <w:szCs w:val="22"/>
        </w:rPr>
        <w:noBreakHyphen/>
      </w:r>
      <w:r w:rsidRPr="00027624">
        <w:rPr>
          <w:szCs w:val="22"/>
        </w:rPr>
        <w:t xml:space="preserve">life wage to annualised ABS average weekly earnings as in </w:t>
      </w:r>
      <w:r w:rsidRPr="00027624">
        <w:fldChar w:fldCharType="begin"/>
      </w:r>
      <w:r w:rsidRPr="00027624">
        <w:instrText xml:space="preserve"> REF _Ref42711810 \r \h  \* MERGEFORMAT </w:instrText>
      </w:r>
      <w:r w:rsidRPr="00027624">
        <w:fldChar w:fldCharType="separate"/>
      </w:r>
      <w:r w:rsidR="00891058">
        <w:t>Table 6A-22</w:t>
      </w:r>
      <w:r w:rsidRPr="00027624">
        <w:fldChar w:fldCharType="end"/>
      </w:r>
      <w:r w:rsidRPr="00027624">
        <w:rPr>
          <w:szCs w:val="22"/>
        </w:rPr>
        <w:t>. Non</w:t>
      </w:r>
      <w:r w:rsidR="00A8443E" w:rsidRPr="00027624">
        <w:rPr>
          <w:szCs w:val="22"/>
        </w:rPr>
        <w:noBreakHyphen/>
      </w:r>
      <w:r w:rsidRPr="00027624">
        <w:rPr>
          <w:szCs w:val="22"/>
        </w:rPr>
        <w:t>superannuation assets were also matched using this methodology.</w:t>
      </w:r>
    </w:p>
    <w:p w14:paraId="7E92235E" w14:textId="77777777" w:rsidR="00E96B29" w:rsidRPr="00027624" w:rsidRDefault="00E96B29" w:rsidP="00E96B29">
      <w:pPr>
        <w:pStyle w:val="Heading5"/>
      </w:pPr>
      <w:r w:rsidRPr="00027624">
        <w:t>Voluntary savings</w:t>
      </w:r>
    </w:p>
    <w:p w14:paraId="4763C050" w14:textId="77777777" w:rsidR="00E96B29" w:rsidRPr="00027624" w:rsidRDefault="00E96B29" w:rsidP="00E96B29">
      <w:r w:rsidRPr="00027624">
        <w:t>To show the isolated effect of the gender pay gap and career breaks, voluntary contributions to superannuation and non</w:t>
      </w:r>
      <w:r w:rsidR="00A8443E" w:rsidRPr="00027624">
        <w:noBreakHyphen/>
      </w:r>
      <w:r w:rsidRPr="00027624">
        <w:t>superannuation savings were not included in the adjusted version of the gender model.</w:t>
      </w:r>
    </w:p>
    <w:p w14:paraId="58D59DF2" w14:textId="77777777" w:rsidR="00E96B29" w:rsidRPr="00027624" w:rsidRDefault="00E96B29" w:rsidP="00E96B29">
      <w:pPr>
        <w:pStyle w:val="Heading2"/>
      </w:pPr>
      <w:bookmarkStart w:id="4302" w:name="_Toc45520566"/>
      <w:bookmarkStart w:id="4303" w:name="_Toc46133678"/>
      <w:r w:rsidRPr="00027624">
        <w:t>Benchmarking the review</w:t>
      </w:r>
      <w:r w:rsidR="00A8443E" w:rsidRPr="00027624">
        <w:t>’</w:t>
      </w:r>
      <w:r w:rsidRPr="00027624">
        <w:t>s cameo model</w:t>
      </w:r>
      <w:bookmarkEnd w:id="4302"/>
      <w:bookmarkEnd w:id="4303"/>
    </w:p>
    <w:p w14:paraId="16192170" w14:textId="77777777" w:rsidR="00E96B29" w:rsidRPr="00027624" w:rsidRDefault="00E96B29" w:rsidP="00E96B29">
      <w:r w:rsidRPr="00027624">
        <w:t>To project outcomes many decades into the future, simplifications are necessary. This makes it important to test models to see how they compare to people</w:t>
      </w:r>
      <w:r w:rsidR="00A8443E" w:rsidRPr="00027624">
        <w:t>’</w:t>
      </w:r>
      <w:r w:rsidRPr="00027624">
        <w:t>s current superannuation balances and other modelling.</w:t>
      </w:r>
    </w:p>
    <w:p w14:paraId="5D2474F7" w14:textId="77777777" w:rsidR="00E96B29" w:rsidRPr="00027624" w:rsidRDefault="00E96B29" w:rsidP="00E96B29">
      <w:r w:rsidRPr="00027624">
        <w:t>Testing focused on the modelled population, which included people who have:</w:t>
      </w:r>
    </w:p>
    <w:p w14:paraId="5AA8192C" w14:textId="77777777" w:rsidR="00E96B29" w:rsidRPr="00027624" w:rsidRDefault="00E96B29" w:rsidP="00E96B29">
      <w:pPr>
        <w:pStyle w:val="Bullet"/>
      </w:pPr>
      <w:r w:rsidRPr="00027624">
        <w:t>Wage income and are covered by the SG.</w:t>
      </w:r>
    </w:p>
    <w:p w14:paraId="7DDA86F8" w14:textId="77777777" w:rsidR="00E96B29" w:rsidRPr="00027624" w:rsidRDefault="00E96B29" w:rsidP="00E96B29">
      <w:pPr>
        <w:pStyle w:val="Bullet"/>
      </w:pPr>
      <w:r w:rsidRPr="00027624">
        <w:t>A reasonably long attachment to the workforce.</w:t>
      </w:r>
    </w:p>
    <w:p w14:paraId="4378DE11" w14:textId="77777777" w:rsidR="00E96B29" w:rsidRPr="00027624" w:rsidRDefault="00E96B29" w:rsidP="00E96B29">
      <w:pPr>
        <w:pStyle w:val="Dash"/>
      </w:pPr>
      <w:r w:rsidRPr="00027624">
        <w:t>The review</w:t>
      </w:r>
      <w:r w:rsidR="00A8443E" w:rsidRPr="00027624">
        <w:t>’</w:t>
      </w:r>
      <w:r w:rsidRPr="00027624">
        <w:t xml:space="preserve">s cameo model did not capture the population with minimal workforce participation. The 2018 Priority Investment Approach model projects that about 10 per cent of people will have no employment income while receiving income support for 15 years or more before </w:t>
      </w:r>
      <w:r w:rsidRPr="00027624" w:rsidDel="0068007C">
        <w:t>Age</w:t>
      </w:r>
      <w:r w:rsidRPr="00027624">
        <w:t> Pension eligibility age in 2058. Assessment of adequacy outcomes against the minimum standard is more appropriate for this group.</w:t>
      </w:r>
    </w:p>
    <w:p w14:paraId="0EEC0354" w14:textId="77777777" w:rsidR="00E96B29" w:rsidRPr="00027624" w:rsidRDefault="00E96B29" w:rsidP="00791570">
      <w:r w:rsidRPr="00027624">
        <w:t>Testing shows that the model is a good fit for the balances achieved by Australians working today and produces similar results to other long</w:t>
      </w:r>
      <w:r w:rsidR="00A8443E" w:rsidRPr="00027624">
        <w:noBreakHyphen/>
      </w:r>
      <w:r w:rsidRPr="00027624">
        <w:t>term modelling.</w:t>
      </w:r>
    </w:p>
    <w:p w14:paraId="0F485621" w14:textId="77777777" w:rsidR="00E96B29" w:rsidRPr="00027624" w:rsidRDefault="00E96B29" w:rsidP="00E96B29">
      <w:pPr>
        <w:pStyle w:val="Bullet"/>
      </w:pPr>
      <w:r w:rsidRPr="00027624">
        <w:rPr>
          <w:b/>
        </w:rPr>
        <w:t xml:space="preserve">Projected superannuation balances are similar to what working Australians have in their </w:t>
      </w:r>
      <w:r w:rsidRPr="00027624">
        <w:rPr>
          <w:b/>
          <w:bCs/>
        </w:rPr>
        <w:t>superannuation</w:t>
      </w:r>
      <w:r w:rsidRPr="00027624">
        <w:rPr>
          <w:b/>
        </w:rPr>
        <w:t xml:space="preserve"> today</w:t>
      </w:r>
      <w:r w:rsidRPr="00027624">
        <w:t xml:space="preserve"> after adjusting for historical rates of the SG.</w:t>
      </w:r>
    </w:p>
    <w:p w14:paraId="651CF4B2" w14:textId="77777777" w:rsidR="00E96B29" w:rsidRPr="00027624" w:rsidRDefault="00E96B29" w:rsidP="00E96B29">
      <w:pPr>
        <w:pStyle w:val="Bullet"/>
      </w:pPr>
      <w:r w:rsidRPr="00027624">
        <w:rPr>
          <w:b/>
        </w:rPr>
        <w:t>Projections of balances at retirement generally align with the comparable cohort in other long</w:t>
      </w:r>
      <w:r w:rsidR="00A8443E" w:rsidRPr="00027624">
        <w:rPr>
          <w:b/>
          <w:bCs/>
        </w:rPr>
        <w:noBreakHyphen/>
      </w:r>
      <w:r w:rsidRPr="00027624">
        <w:rPr>
          <w:b/>
        </w:rPr>
        <w:t>term models</w:t>
      </w:r>
      <w:r w:rsidRPr="00027624">
        <w:t xml:space="preserve"> by Treasury (MARIA) using the 2019</w:t>
      </w:r>
      <w:r w:rsidR="00A8443E" w:rsidRPr="00027624">
        <w:noBreakHyphen/>
      </w:r>
      <w:r w:rsidRPr="00027624">
        <w:t>20 MYEFO economic parameters and Rice Warner. These similarities are despite key differences in methodology, input data and age of retirement.</w:t>
      </w:r>
    </w:p>
    <w:p w14:paraId="22E44029" w14:textId="77777777" w:rsidR="00E96B29" w:rsidRPr="00027624" w:rsidRDefault="00E96B29" w:rsidP="00E96B29">
      <w:pPr>
        <w:pStyle w:val="Bullet"/>
      </w:pPr>
      <w:r w:rsidRPr="00027624">
        <w:rPr>
          <w:b/>
        </w:rPr>
        <w:t>Voluntary contributions are conservative compared to what people do</w:t>
      </w:r>
      <w:r w:rsidRPr="00027624">
        <w:t>, mainly due to excluding non</w:t>
      </w:r>
      <w:r w:rsidR="00A8443E" w:rsidRPr="00027624">
        <w:noBreakHyphen/>
      </w:r>
      <w:r w:rsidRPr="00027624">
        <w:t>concessional contributions, which made up more than 40 per cent of total superannuation contributions in 2016</w:t>
      </w:r>
      <w:r w:rsidR="00A8443E" w:rsidRPr="00027624">
        <w:noBreakHyphen/>
      </w:r>
      <w:r w:rsidRPr="00027624">
        <w:t>17 at $54 billion.</w:t>
      </w:r>
    </w:p>
    <w:p w14:paraId="297E2329" w14:textId="77777777" w:rsidR="00E96B29" w:rsidRPr="00027624" w:rsidRDefault="00E96B29" w:rsidP="00E96B29">
      <w:pPr>
        <w:pStyle w:val="Heading3"/>
      </w:pPr>
      <w:r w:rsidRPr="00027624">
        <w:t>Superannuation balances at retirement</w:t>
      </w:r>
    </w:p>
    <w:p w14:paraId="6717B38F" w14:textId="77777777" w:rsidR="00E96B29" w:rsidRPr="00027624" w:rsidRDefault="00E96B29">
      <w:r w:rsidRPr="00027624">
        <w:t>The review compared the superannuation balances at retirement in its modelling to other long</w:t>
      </w:r>
      <w:r w:rsidR="00A8443E" w:rsidRPr="00027624">
        <w:noBreakHyphen/>
      </w:r>
      <w:r w:rsidRPr="00027624">
        <w:t>term models by Treasury and Rice Warner. Each model uses different methodologies and data for its projections. Comparing different models is useful for testing the robustness of their results.</w:t>
      </w:r>
    </w:p>
    <w:p w14:paraId="135062B9" w14:textId="77777777" w:rsidR="00E96B29" w:rsidRPr="00027624" w:rsidRDefault="00E96B29">
      <w:r w:rsidRPr="00027624">
        <w:t>Review modelling assumed a 40</w:t>
      </w:r>
      <w:r w:rsidR="00A8443E" w:rsidRPr="00027624">
        <w:noBreakHyphen/>
      </w:r>
      <w:r w:rsidRPr="00027624">
        <w:t>year career starting at age 27 and retiring at age 67. Evidence shows that a 40</w:t>
      </w:r>
      <w:r w:rsidR="00A8443E" w:rsidRPr="00027624">
        <w:noBreakHyphen/>
      </w:r>
      <w:r w:rsidRPr="00027624">
        <w:t>year career is typical for a person starting work today (</w:t>
      </w:r>
      <w:r w:rsidRPr="00027624">
        <w:rPr>
          <w:i/>
        </w:rPr>
        <w:t>2C. Maintaining standards of living in retirement</w:t>
      </w:r>
      <w:r w:rsidRPr="00027624">
        <w:t>). While not everyone works to age 67, many people start in the workforce before age 27, so those retiring earlier may still work at least 40 years.</w:t>
      </w:r>
    </w:p>
    <w:p w14:paraId="0DE80AA8" w14:textId="4EC36A7D" w:rsidR="00E96B29" w:rsidRPr="00027624" w:rsidRDefault="00E96B29">
      <w:r w:rsidRPr="00027624">
        <w:t>Treasury</w:t>
      </w:r>
      <w:r w:rsidR="00A8443E" w:rsidRPr="00027624">
        <w:t>’</w:t>
      </w:r>
      <w:r w:rsidRPr="00027624">
        <w:t>s long</w:t>
      </w:r>
      <w:r w:rsidR="00A8443E" w:rsidRPr="00027624">
        <w:noBreakHyphen/>
      </w:r>
      <w:r w:rsidRPr="00027624">
        <w:t xml:space="preserve">term population model, MARIA, dynamically models the accumulation of superannuation for the Australian population over 25 years as they move into and out of the workforce (see </w:t>
      </w:r>
      <w:r w:rsidRPr="00027624">
        <w:rPr>
          <w:i/>
        </w:rPr>
        <w:fldChar w:fldCharType="begin"/>
      </w:r>
      <w:r w:rsidRPr="00027624">
        <w:rPr>
          <w:i/>
        </w:rPr>
        <w:instrText xml:space="preserve"> REF _Ref42619593 \h  \* MERGEFORMAT </w:instrText>
      </w:r>
      <w:r w:rsidRPr="00027624">
        <w:rPr>
          <w:i/>
        </w:rPr>
      </w:r>
      <w:r w:rsidRPr="00027624">
        <w:rPr>
          <w:i/>
        </w:rPr>
        <w:fldChar w:fldCharType="separate"/>
      </w:r>
      <w:r w:rsidR="00891058" w:rsidRPr="00891058">
        <w:rPr>
          <w:i/>
        </w:rPr>
        <w:t>Model of Australian Retirement Incomes and Assets</w:t>
      </w:r>
      <w:r w:rsidRPr="00027624">
        <w:rPr>
          <w:i/>
        </w:rPr>
        <w:fldChar w:fldCharType="end"/>
      </w:r>
      <w:r w:rsidRPr="00027624">
        <w:t>, below).</w:t>
      </w:r>
    </w:p>
    <w:p w14:paraId="19ED9265" w14:textId="77777777" w:rsidR="00E96B29" w:rsidRPr="00027624" w:rsidRDefault="00E96B29" w:rsidP="00E96B29">
      <w:pPr>
        <w:spacing w:before="0" w:after="0"/>
        <w:rPr>
          <w:rFonts w:asciiTheme="minorHAnsi" w:eastAsiaTheme="minorHAnsi" w:hAnsiTheme="minorHAnsi"/>
        </w:rPr>
      </w:pPr>
      <w:r w:rsidRPr="00027624">
        <w:t>MARIA was compared to the cameo model by selecting a cohort who retire in around 40 years</w:t>
      </w:r>
      <w:r w:rsidR="00A8443E" w:rsidRPr="00027624">
        <w:t>’</w:t>
      </w:r>
      <w:r w:rsidRPr="00027624">
        <w:t xml:space="preserve"> time and have some workforce participation. For this reason, the bottom 10 per cent of balances are excluded when comparing to the relevant cohort of people retiring in MARIA. This proportion is based on analysis from the 2018 Priority Investment Approach actuarial model and Department of Social Services data showing the proportion of people projected to have no employment income while receiving income support for 15 years or more before </w:t>
      </w:r>
      <w:r w:rsidRPr="00027624" w:rsidDel="0068007C">
        <w:t>Age</w:t>
      </w:r>
      <w:r w:rsidRPr="00027624">
        <w:t> Pension eligibility age.</w:t>
      </w:r>
    </w:p>
    <w:p w14:paraId="4A15EB7B" w14:textId="1A598DD3" w:rsidR="00E96B29" w:rsidRPr="00027624" w:rsidRDefault="00E96B29">
      <w:r w:rsidRPr="00027624">
        <w:t>The review</w:t>
      </w:r>
      <w:r w:rsidR="00A8443E" w:rsidRPr="00027624">
        <w:t>’</w:t>
      </w:r>
      <w:r w:rsidRPr="00027624">
        <w:t>s cameo model produces results similar to models with more sophisticated projections of careers and population</w:t>
      </w:r>
      <w:r w:rsidR="00A8443E" w:rsidRPr="00027624">
        <w:noBreakHyphen/>
      </w:r>
      <w:r w:rsidRPr="00027624">
        <w:t>level outcomes (</w:t>
      </w:r>
      <w:r w:rsidRPr="00027624">
        <w:fldChar w:fldCharType="begin"/>
      </w:r>
      <w:r w:rsidRPr="00027624">
        <w:instrText xml:space="preserve"> REF _Ref42527426 \r \h  \* MERGEFORMAT </w:instrText>
      </w:r>
      <w:r w:rsidRPr="00027624">
        <w:fldChar w:fldCharType="separate"/>
      </w:r>
      <w:r w:rsidR="00891058">
        <w:t>Chart 6A-34</w:t>
      </w:r>
      <w:r w:rsidRPr="00027624">
        <w:fldChar w:fldCharType="end"/>
      </w:r>
      <w:r w:rsidRPr="00027624">
        <w:t xml:space="preserve"> and </w:t>
      </w:r>
      <w:r w:rsidRPr="00027624">
        <w:fldChar w:fldCharType="begin"/>
      </w:r>
      <w:r w:rsidRPr="00027624">
        <w:instrText xml:space="preserve"> REF _Ref42527428 \r \h  \* MERGEFORMAT </w:instrText>
      </w:r>
      <w:r w:rsidRPr="00027624">
        <w:fldChar w:fldCharType="separate"/>
      </w:r>
      <w:r w:rsidR="00891058">
        <w:t>Chart 6A-35</w:t>
      </w:r>
      <w:r w:rsidRPr="00027624">
        <w:fldChar w:fldCharType="end"/>
      </w:r>
      <w:r w:rsidRPr="00027624">
        <w:t>).</w:t>
      </w:r>
    </w:p>
    <w:p w14:paraId="45F7AFC4" w14:textId="77777777" w:rsidR="00E96B29" w:rsidRPr="00027624" w:rsidRDefault="00E96B29" w:rsidP="00E96B29">
      <w:pPr>
        <w:pStyle w:val="ChartMainHeading"/>
      </w:pPr>
      <w:bookmarkStart w:id="4304" w:name="_Ref42527426"/>
      <w:r w:rsidRPr="00027624">
        <w:t>Comparison of superannuation balances at retirement</w:t>
      </w:r>
      <w:bookmarkEnd w:id="4304"/>
      <w:r w:rsidRPr="00027624">
        <w:t>, median income and below</w:t>
      </w:r>
    </w:p>
    <w:p w14:paraId="4A1EC320" w14:textId="77777777" w:rsidR="00E96B29" w:rsidRPr="00027624" w:rsidRDefault="006236FD" w:rsidP="00DE6C9E">
      <w:pPr>
        <w:pStyle w:val="ChartGraphic"/>
      </w:pPr>
      <w:r>
        <w:rPr>
          <w:noProof/>
        </w:rPr>
        <w:drawing>
          <wp:inline distT="0" distB="0" distL="0" distR="0" wp14:anchorId="12946D07" wp14:editId="63275845">
            <wp:extent cx="5615940" cy="2522220"/>
            <wp:effectExtent l="0" t="0" r="3810" b="0"/>
            <wp:docPr id="2002235488" name="Picture 2002235488" descr="This chart shows the superannuation balances at retirement for the review’s cameo model, MARIA and MARIA excluding the bottom ten per cent for median earners and below. Each model produces similar balances with MARIA being the lowest and MARIA excluding the bottom 10 per cent the highest." title="Chart 6A-34 Comparison of superannuation balances at retirement, median income an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615940" cy="2522220"/>
                    </a:xfrm>
                    <a:prstGeom prst="rect">
                      <a:avLst/>
                    </a:prstGeom>
                    <a:noFill/>
                  </pic:spPr>
                </pic:pic>
              </a:graphicData>
            </a:graphic>
          </wp:inline>
        </w:drawing>
      </w:r>
    </w:p>
    <w:p w14:paraId="1930830F" w14:textId="77777777" w:rsidR="00E96B29" w:rsidRPr="00027624" w:rsidRDefault="00E96B29" w:rsidP="00DE6C9E">
      <w:pPr>
        <w:pStyle w:val="ChartorTableNote"/>
      </w:pPr>
      <w:r w:rsidRPr="00027624">
        <w:t>Note: Values are in 2019</w:t>
      </w:r>
      <w:r w:rsidR="00A8443E" w:rsidRPr="00027624">
        <w:noBreakHyphen/>
      </w:r>
      <w:r w:rsidRPr="00027624">
        <w:t>20 dollars, deflated by average weekly earnings. Balances at 2058</w:t>
      </w:r>
      <w:r w:rsidR="00A8443E" w:rsidRPr="00027624">
        <w:noBreakHyphen/>
      </w:r>
      <w:r w:rsidRPr="00027624">
        <w:t>59 for review, and 2057</w:t>
      </w:r>
      <w:r w:rsidR="00A8443E" w:rsidRPr="00027624">
        <w:noBreakHyphen/>
      </w:r>
      <w:r w:rsidRPr="00027624">
        <w:t>58 to 2059</w:t>
      </w:r>
      <w:r w:rsidR="00A8443E" w:rsidRPr="00027624">
        <w:noBreakHyphen/>
      </w:r>
      <w:r w:rsidRPr="00027624">
        <w:t>60 for MARIA. Source: Treasury estimates for the review using MARIA, cameo modelling undertaken for the review.</w:t>
      </w:r>
    </w:p>
    <w:p w14:paraId="7520A785" w14:textId="77777777" w:rsidR="00E96B29" w:rsidRPr="00027624" w:rsidRDefault="00E96B29" w:rsidP="00E96B29">
      <w:pPr>
        <w:pStyle w:val="ChartMainHeading"/>
      </w:pPr>
      <w:bookmarkStart w:id="4305" w:name="_Ref42527428"/>
      <w:r w:rsidRPr="00027624">
        <w:t>Comparison of superannuation balances at retirement</w:t>
      </w:r>
      <w:bookmarkEnd w:id="4305"/>
      <w:r w:rsidRPr="00027624">
        <w:t>, above median income</w:t>
      </w:r>
    </w:p>
    <w:p w14:paraId="00C787B1" w14:textId="77777777" w:rsidR="00E96B29" w:rsidRPr="00027624" w:rsidRDefault="006236FD" w:rsidP="00DE6C9E">
      <w:pPr>
        <w:pStyle w:val="ChartGraphic"/>
        <w:rPr>
          <w:noProof/>
        </w:rPr>
      </w:pPr>
      <w:r>
        <w:rPr>
          <w:noProof/>
        </w:rPr>
        <w:drawing>
          <wp:inline distT="0" distB="0" distL="0" distR="0" wp14:anchorId="777227C7" wp14:editId="716CFFE4">
            <wp:extent cx="5623560" cy="2522220"/>
            <wp:effectExtent l="0" t="0" r="0" b="0"/>
            <wp:docPr id="141855630" name="Picture 141855630" descr="This chart shows the superannuation balances at retirement for the review’s cameo model, MARIA and MARIA excluding the bottom ten per cent for the top half of the income distribution. Balances between models are similar except for the 90th percentile where both MARIA balances are higher than review modelling" title="Chart 6A-35 Comparison of superannuation balances at retirement, above median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623560" cy="2522220"/>
                    </a:xfrm>
                    <a:prstGeom prst="rect">
                      <a:avLst/>
                    </a:prstGeom>
                    <a:noFill/>
                  </pic:spPr>
                </pic:pic>
              </a:graphicData>
            </a:graphic>
          </wp:inline>
        </w:drawing>
      </w:r>
    </w:p>
    <w:p w14:paraId="01AD33D9" w14:textId="77777777" w:rsidR="00E96B29" w:rsidRPr="00027624" w:rsidRDefault="00E96B29" w:rsidP="00DE6C9E">
      <w:pPr>
        <w:pStyle w:val="ChartorTableNote"/>
      </w:pPr>
      <w:r w:rsidRPr="00027624">
        <w:t>Note: Values are in 2019</w:t>
      </w:r>
      <w:r w:rsidR="00A8443E" w:rsidRPr="00027624">
        <w:noBreakHyphen/>
      </w:r>
      <w:r w:rsidRPr="00027624">
        <w:t>20 dollars, deflated by average weekly earnings</w:t>
      </w:r>
      <w:r w:rsidRPr="00027624" w:rsidDel="00335A52">
        <w:t xml:space="preserve">. </w:t>
      </w:r>
      <w:r w:rsidRPr="00027624">
        <w:t>Balances at 2058</w:t>
      </w:r>
      <w:r w:rsidR="00A8443E" w:rsidRPr="00027624">
        <w:noBreakHyphen/>
      </w:r>
      <w:r w:rsidRPr="00027624">
        <w:t>59 for review and 2057</w:t>
      </w:r>
      <w:r w:rsidR="00A8443E" w:rsidRPr="00027624">
        <w:noBreakHyphen/>
      </w:r>
      <w:r w:rsidRPr="00027624">
        <w:t>58 to 2059</w:t>
      </w:r>
      <w:r w:rsidR="00A8443E" w:rsidRPr="00027624">
        <w:noBreakHyphen/>
      </w:r>
      <w:r w:rsidRPr="00027624">
        <w:t>60 for MARIA. Source: Treasury estimates for the review using MARIA, cameo modelling undertaken for the review.</w:t>
      </w:r>
    </w:p>
    <w:p w14:paraId="6CAAB531" w14:textId="77777777" w:rsidR="00E96B29" w:rsidRPr="00027624" w:rsidRDefault="00E96B29" w:rsidP="00E96B29">
      <w:r w:rsidRPr="00027624">
        <w:t>Rice Warner</w:t>
      </w:r>
      <w:r w:rsidR="00A8443E" w:rsidRPr="00027624">
        <w:t>’</w:t>
      </w:r>
      <w:r w:rsidRPr="00027624">
        <w:t>s long</w:t>
      </w:r>
      <w:r w:rsidR="00A8443E" w:rsidRPr="00027624">
        <w:noBreakHyphen/>
      </w:r>
      <w:r w:rsidRPr="00027624">
        <w:t>term model SPROUT, like MARIA, is a population</w:t>
      </w:r>
      <w:r w:rsidR="00A8443E" w:rsidRPr="00027624">
        <w:noBreakHyphen/>
      </w:r>
      <w:r w:rsidRPr="00027624">
        <w:t>based projection. Due to differences in modelling populations, analysis compares the total assets at retirement including superannuation and non</w:t>
      </w:r>
      <w:r w:rsidR="00A8443E" w:rsidRPr="00027624">
        <w:noBreakHyphen/>
      </w:r>
      <w:r w:rsidRPr="00027624">
        <w:t xml:space="preserve">superannuation. SPROUT bases its population on the ABS </w:t>
      </w:r>
      <w:r w:rsidR="00BE51D1" w:rsidRPr="00027624">
        <w:t>Survey of Income and Housing</w:t>
      </w:r>
      <w:r w:rsidRPr="00027624">
        <w:t xml:space="preserve"> (see </w:t>
      </w:r>
      <w:r w:rsidR="0002589F">
        <w:rPr>
          <w:i/>
        </w:rPr>
        <w:t>Superannuation, Pension and other Retirement OUTcomes</w:t>
      </w:r>
      <w:r w:rsidR="00842A7C" w:rsidRPr="00027624">
        <w:t>,</w:t>
      </w:r>
      <w:r w:rsidRPr="00027624">
        <w:t xml:space="preserve"> below) while the review cameo modelling focuses on employees eligible for the SG.</w:t>
      </w:r>
    </w:p>
    <w:p w14:paraId="6BF60854" w14:textId="11EADE32" w:rsidR="00E96B29" w:rsidRPr="00027624" w:rsidRDefault="00E96B29" w:rsidP="00E96B29">
      <w:r w:rsidRPr="00027624">
        <w:t>Comparisons to Rice Warner results show that the total assets balances at retirement in review modelling are broadly comparable across most percentiles, although lower in</w:t>
      </w:r>
      <w:r w:rsidRPr="00027624" w:rsidDel="006D2200">
        <w:t xml:space="preserve"> </w:t>
      </w:r>
      <w:r w:rsidRPr="00027624">
        <w:t>the bottom 20 per cent, and higher for the top 10 per cent (</w:t>
      </w:r>
      <w:r w:rsidRPr="00027624">
        <w:fldChar w:fldCharType="begin"/>
      </w:r>
      <w:r w:rsidRPr="00027624">
        <w:instrText xml:space="preserve"> REF _Ref44687079 \w \h  \* MERGEFORMAT </w:instrText>
      </w:r>
      <w:r w:rsidRPr="00027624">
        <w:fldChar w:fldCharType="separate"/>
      </w:r>
      <w:r w:rsidR="00891058">
        <w:t>Chart 6A-36</w:t>
      </w:r>
      <w:r w:rsidRPr="00027624">
        <w:fldChar w:fldCharType="end"/>
      </w:r>
      <w:r w:rsidRPr="00027624">
        <w:t>).</w:t>
      </w:r>
    </w:p>
    <w:p w14:paraId="58AA62D8" w14:textId="77777777" w:rsidR="00E96B29" w:rsidRPr="00027624" w:rsidRDefault="00E96B29" w:rsidP="00E96B29">
      <w:pPr>
        <w:pStyle w:val="ChartMainHeading"/>
      </w:pPr>
      <w:bookmarkStart w:id="4306" w:name="_Ref44687079"/>
      <w:r w:rsidRPr="00027624">
        <w:t>Comparison of total assets at retirement</w:t>
      </w:r>
      <w:bookmarkEnd w:id="4306"/>
    </w:p>
    <w:p w14:paraId="1B9EDAB4" w14:textId="77777777" w:rsidR="00E96B29" w:rsidRPr="00027624" w:rsidRDefault="006236FD" w:rsidP="00DE6C9E">
      <w:pPr>
        <w:pStyle w:val="ChartGraphic"/>
      </w:pPr>
      <w:r>
        <w:rPr>
          <w:noProof/>
        </w:rPr>
        <w:drawing>
          <wp:inline distT="0" distB="0" distL="0" distR="0" wp14:anchorId="7DA1BEBE" wp14:editId="411F7509">
            <wp:extent cx="5600700" cy="2522220"/>
            <wp:effectExtent l="0" t="0" r="0" b="0"/>
            <wp:docPr id="141855631" name="Picture 141855631" descr="This chart compares total asset balances by income for the Review and Rice Warner modelling. The Review produces lower assets balances than Rice Warner for the 10th, 20th and 30th percentile, but higher for the 80th and 90th. For the median, 60th and 70th percentiles, the results are similar. " title="Chart 6A-36 Comparison of total assets at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600700" cy="2522220"/>
                    </a:xfrm>
                    <a:prstGeom prst="rect">
                      <a:avLst/>
                    </a:prstGeom>
                    <a:noFill/>
                  </pic:spPr>
                </pic:pic>
              </a:graphicData>
            </a:graphic>
          </wp:inline>
        </w:drawing>
      </w:r>
    </w:p>
    <w:p w14:paraId="3838E3E3" w14:textId="77777777" w:rsidR="00E96B29" w:rsidRPr="00027624" w:rsidRDefault="00E96B29" w:rsidP="002D653B">
      <w:pPr>
        <w:pStyle w:val="ChartorTableNote"/>
      </w:pPr>
      <w:r w:rsidRPr="00027624">
        <w:t>Note: Values are in 2019</w:t>
      </w:r>
      <w:r w:rsidR="00A8443E" w:rsidRPr="00027624">
        <w:noBreakHyphen/>
      </w:r>
      <w:r w:rsidRPr="00027624">
        <w:t>20 dollars, deflated by average weekly earnings. Total assets at retirement for review and Rice Warner are for an individual aged 67 and between 65</w:t>
      </w:r>
      <w:r w:rsidR="00A8443E" w:rsidRPr="00027624">
        <w:noBreakHyphen/>
      </w:r>
      <w:r w:rsidRPr="00027624">
        <w:t>69, respectively. Balances are for people retiring in 2058</w:t>
      </w:r>
      <w:r w:rsidR="00A8443E" w:rsidRPr="00027624">
        <w:noBreakHyphen/>
      </w:r>
      <w:r w:rsidRPr="00027624">
        <w:t>59. Source: Analysis of Rice Warner estimates for the review and cameo modelling undertaken for the review.</w:t>
      </w:r>
    </w:p>
    <w:p w14:paraId="798B53A7" w14:textId="77777777" w:rsidR="00E96B29" w:rsidRPr="00027624" w:rsidRDefault="00E96B29" w:rsidP="00E96B29">
      <w:pPr>
        <w:pStyle w:val="Heading3"/>
      </w:pPr>
      <w:r w:rsidRPr="00027624">
        <w:t>Accumulation of superannuation balances</w:t>
      </w:r>
    </w:p>
    <w:p w14:paraId="711525DA" w14:textId="77777777" w:rsidR="00E96B29" w:rsidRPr="00027624" w:rsidRDefault="00E96B29" w:rsidP="00E96B29">
      <w:r w:rsidRPr="00027624">
        <w:t>Following is a comparison of the results over different ages in the review</w:t>
      </w:r>
      <w:r w:rsidR="00A8443E" w:rsidRPr="00027624">
        <w:t>’</w:t>
      </w:r>
      <w:r w:rsidRPr="00027624">
        <w:t>s retirement income model of people</w:t>
      </w:r>
      <w:r w:rsidR="00A8443E" w:rsidRPr="00027624">
        <w:t>’</w:t>
      </w:r>
      <w:r w:rsidRPr="00027624">
        <w:t>s current superannuation balances. It compares:</w:t>
      </w:r>
    </w:p>
    <w:p w14:paraId="535A0385" w14:textId="77777777" w:rsidR="00E96B29" w:rsidRPr="00027624" w:rsidRDefault="00E96B29" w:rsidP="00E96B29">
      <w:pPr>
        <w:pStyle w:val="Bullet"/>
      </w:pPr>
      <w:r w:rsidRPr="00027624">
        <w:t>The superannuation balance by income percentile from the model and deflated by wages to 2016</w:t>
      </w:r>
      <w:r w:rsidR="00A8443E" w:rsidRPr="00027624">
        <w:noBreakHyphen/>
      </w:r>
      <w:r w:rsidRPr="00027624">
        <w:t>17 dollars. Projections use historical SG rates, but otherwise use review assumptions.</w:t>
      </w:r>
    </w:p>
    <w:p w14:paraId="3F45F1BD" w14:textId="77777777" w:rsidR="00E96B29" w:rsidRPr="00027624" w:rsidRDefault="00E96B29" w:rsidP="00E96B29">
      <w:pPr>
        <w:pStyle w:val="Bullet"/>
      </w:pPr>
      <w:r w:rsidRPr="00027624">
        <w:t>Superannuation balances by income percentile and age from ATO data for people with wage income above $5,400 (the annual value of the $450</w:t>
      </w:r>
      <w:r w:rsidR="00A8443E" w:rsidRPr="00027624">
        <w:noBreakHyphen/>
      </w:r>
      <w:r w:rsidRPr="00027624">
        <w:t>a</w:t>
      </w:r>
      <w:r w:rsidR="00A8443E" w:rsidRPr="00027624">
        <w:noBreakHyphen/>
      </w:r>
      <w:r w:rsidRPr="00027624">
        <w:t>month threshold) and positive superannuation balances.</w:t>
      </w:r>
    </w:p>
    <w:p w14:paraId="7957B321" w14:textId="77777777" w:rsidR="00E96B29" w:rsidRPr="00027624" w:rsidRDefault="00E96B29" w:rsidP="00E96B29">
      <w:r w:rsidRPr="00027624">
        <w:t>It is not appropriate to compare model results to the superannuation balances of the entire population. This approach does not account for the share of the population that the model is designed to work for, because:</w:t>
      </w:r>
    </w:p>
    <w:p w14:paraId="347FE02A" w14:textId="77777777" w:rsidR="00E96B29" w:rsidRPr="00027624" w:rsidRDefault="00E96B29" w:rsidP="00E96B29">
      <w:pPr>
        <w:pStyle w:val="Bullet"/>
      </w:pPr>
      <w:r w:rsidRPr="00027624">
        <w:t>Historical rates of the SG were lower.</w:t>
      </w:r>
    </w:p>
    <w:p w14:paraId="28C789BE" w14:textId="77777777" w:rsidR="00E96B29" w:rsidRPr="00027624" w:rsidRDefault="00E96B29" w:rsidP="00E96B29">
      <w:pPr>
        <w:pStyle w:val="Bullet"/>
      </w:pPr>
      <w:r w:rsidRPr="00027624">
        <w:t>Comparing balances in later ages, such as age 60, ignores that some people may have withdrawn superannuation after preservation age. People with low balances often make large lump</w:t>
      </w:r>
      <w:r w:rsidR="00A8443E" w:rsidRPr="00027624">
        <w:noBreakHyphen/>
      </w:r>
      <w:r w:rsidRPr="00027624">
        <w:t>sum withdrawals, making analysis of lower</w:t>
      </w:r>
      <w:r w:rsidR="00A8443E" w:rsidRPr="00027624">
        <w:noBreakHyphen/>
      </w:r>
      <w:r w:rsidRPr="00027624">
        <w:t>income earners particularly fraught.</w:t>
      </w:r>
    </w:p>
    <w:p w14:paraId="09FC19BD" w14:textId="77777777" w:rsidR="00E96B29" w:rsidRPr="00027624" w:rsidRDefault="00E96B29" w:rsidP="00E96B29">
      <w:pPr>
        <w:pStyle w:val="Bullet"/>
      </w:pPr>
      <w:r w:rsidRPr="00027624">
        <w:t>Self</w:t>
      </w:r>
      <w:r w:rsidR="00A8443E" w:rsidRPr="00027624">
        <w:noBreakHyphen/>
      </w:r>
      <w:r w:rsidRPr="00027624">
        <w:t>employed people have significantly different savings patterns to workers.</w:t>
      </w:r>
    </w:p>
    <w:p w14:paraId="277427BA" w14:textId="77777777" w:rsidR="00E96B29" w:rsidRPr="00027624" w:rsidRDefault="00E96B29" w:rsidP="00E96B29">
      <w:pPr>
        <w:pStyle w:val="Bullet"/>
      </w:pPr>
      <w:r w:rsidRPr="00027624">
        <w:t>Some people have little or no attachment to the workforce.</w:t>
      </w:r>
    </w:p>
    <w:p w14:paraId="2E24C9A9" w14:textId="084F146E" w:rsidR="00E96B29" w:rsidRPr="00027624" w:rsidRDefault="00E96B29" w:rsidP="00E96B29">
      <w:r w:rsidRPr="00027624">
        <w:t>Overall, results show that the review</w:t>
      </w:r>
      <w:r w:rsidR="00A8443E" w:rsidRPr="00027624">
        <w:t>’</w:t>
      </w:r>
      <w:r w:rsidRPr="00027624">
        <w:t>s cameo model produces similar results to the superannuation balances of people today (</w:t>
      </w:r>
      <w:r w:rsidRPr="00027624">
        <w:fldChar w:fldCharType="begin"/>
      </w:r>
      <w:r w:rsidRPr="00027624">
        <w:instrText xml:space="preserve"> REF _Ref39265222 \r \h  \* MERGEFORMAT </w:instrText>
      </w:r>
      <w:r w:rsidRPr="00027624">
        <w:fldChar w:fldCharType="separate"/>
      </w:r>
      <w:r w:rsidR="00891058">
        <w:t>Chart 6A-37</w:t>
      </w:r>
      <w:r w:rsidRPr="00027624">
        <w:fldChar w:fldCharType="end"/>
      </w:r>
      <w:r w:rsidRPr="00027624">
        <w:t>).</w:t>
      </w:r>
    </w:p>
    <w:p w14:paraId="54592FFC" w14:textId="77777777" w:rsidR="00E96B29" w:rsidRPr="00027624" w:rsidRDefault="00E96B29" w:rsidP="00E96B29">
      <w:r w:rsidRPr="00027624">
        <w:t>The late starting age assumption means that the review</w:t>
      </w:r>
      <w:r w:rsidR="00A8443E" w:rsidRPr="00027624">
        <w:t>’</w:t>
      </w:r>
      <w:r w:rsidRPr="00027624">
        <w:t>s cameo model projects lower superannuation balances than those seen in the ATO data for people in their early 30s. However, this gap closes by the late 30s, when many people take career breaks, such as for raising children.</w:t>
      </w:r>
    </w:p>
    <w:p w14:paraId="7C92BD58" w14:textId="77777777" w:rsidR="00E96B29" w:rsidRPr="00027624" w:rsidRDefault="00E96B29" w:rsidP="00E96B29">
      <w:r w:rsidRPr="00027624">
        <w:t xml:space="preserve">Differences in the model and data are largest for older ages at higher incomes. Recent policy changes may explain a large part of this gap. Older, richer workers were able to benefit from the much higher concessional </w:t>
      </w:r>
      <w:r w:rsidR="00404B9D" w:rsidRPr="00027624">
        <w:t>contributions cap</w:t>
      </w:r>
      <w:r w:rsidRPr="00027624">
        <w:t xml:space="preserve">s before changes in the 2010s and other historical policy, such as large contributions before 2007 (see </w:t>
      </w:r>
      <w:r w:rsidRPr="00027624">
        <w:rPr>
          <w:i/>
        </w:rPr>
        <w:t>1B. Design of Australia</w:t>
      </w:r>
      <w:r w:rsidR="00A8443E" w:rsidRPr="00027624">
        <w:rPr>
          <w:i/>
        </w:rPr>
        <w:t>’</w:t>
      </w:r>
      <w:r w:rsidRPr="00027624">
        <w:rPr>
          <w:i/>
        </w:rPr>
        <w:t>s retirement income system</w:t>
      </w:r>
      <w:r w:rsidRPr="00027624">
        <w:t>).</w:t>
      </w:r>
    </w:p>
    <w:tbl>
      <w:tblPr>
        <w:tblStyle w:val="TableGrid"/>
        <w:tblW w:w="0" w:type="auto"/>
        <w:tblLook w:val="04A0" w:firstRow="1" w:lastRow="0" w:firstColumn="1" w:lastColumn="0" w:noHBand="0" w:noVBand="1"/>
      </w:tblPr>
      <w:tblGrid>
        <w:gridCol w:w="4535"/>
        <w:gridCol w:w="4535"/>
      </w:tblGrid>
      <w:tr w:rsidR="00E96B29" w:rsidRPr="00027624" w14:paraId="7FACB0C3" w14:textId="77777777" w:rsidTr="00E96B29">
        <w:tc>
          <w:tcPr>
            <w:tcW w:w="9062" w:type="dxa"/>
            <w:gridSpan w:val="2"/>
            <w:shd w:val="clear" w:color="auto" w:fill="auto"/>
          </w:tcPr>
          <w:p w14:paraId="2476E144" w14:textId="77777777" w:rsidR="00E96B29" w:rsidRPr="00027624" w:rsidRDefault="00E96B29" w:rsidP="00E96B29">
            <w:pPr>
              <w:pStyle w:val="ChartMainHeading"/>
            </w:pPr>
            <w:bookmarkStart w:id="4307" w:name="_Ref39265222"/>
            <w:r w:rsidRPr="00027624">
              <w:t xml:space="preserve">Projected and current superannuation balances, by age and income percentile </w:t>
            </w:r>
          </w:p>
        </w:tc>
      </w:tr>
      <w:tr w:rsidR="00E96B29" w:rsidRPr="00027624" w14:paraId="61693B6A" w14:textId="77777777" w:rsidTr="00E96B29">
        <w:tc>
          <w:tcPr>
            <w:tcW w:w="4531" w:type="dxa"/>
            <w:shd w:val="clear" w:color="auto" w:fill="auto"/>
          </w:tcPr>
          <w:p w14:paraId="1F06187C" w14:textId="77777777" w:rsidR="00E96B29" w:rsidRPr="00027624" w:rsidRDefault="006236FD" w:rsidP="00DE6C9E">
            <w:pPr>
              <w:pStyle w:val="ChartGraphic"/>
            </w:pPr>
            <w:r>
              <w:rPr>
                <w:noProof/>
              </w:rPr>
              <w:drawing>
                <wp:inline distT="0" distB="0" distL="0" distR="0" wp14:anchorId="6ED9B767" wp14:editId="315DE228">
                  <wp:extent cx="2743200" cy="2522220"/>
                  <wp:effectExtent l="0" t="0" r="0" b="0"/>
                  <wp:docPr id="141855632" name="Picture 141855632" descr="These charts show that the review projected superannuation balances by age compared to the current balances for people of that age group. At almost all ages the projection and actual are similar across income percentiles. Actual balances are higher for people currently aged 32 compared to review outcomes. The review model balances are lower for people in the 95th percentile for ages 52 and 57." title="Chart 6A-37 Projected and current superannuation balances, by age and income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743200" cy="2522220"/>
                          </a:xfrm>
                          <a:prstGeom prst="rect">
                            <a:avLst/>
                          </a:prstGeom>
                          <a:noFill/>
                        </pic:spPr>
                      </pic:pic>
                    </a:graphicData>
                  </a:graphic>
                </wp:inline>
              </w:drawing>
            </w:r>
          </w:p>
        </w:tc>
        <w:tc>
          <w:tcPr>
            <w:tcW w:w="4531" w:type="dxa"/>
            <w:shd w:val="clear" w:color="auto" w:fill="auto"/>
          </w:tcPr>
          <w:p w14:paraId="47E61966" w14:textId="77777777" w:rsidR="00E96B29" w:rsidRPr="00027624" w:rsidRDefault="006236FD" w:rsidP="00DE6C9E">
            <w:pPr>
              <w:pStyle w:val="ChartGraphic"/>
            </w:pPr>
            <w:r>
              <w:rPr>
                <w:noProof/>
              </w:rPr>
              <w:drawing>
                <wp:inline distT="0" distB="0" distL="0" distR="0" wp14:anchorId="79B9D632" wp14:editId="695B28CF">
                  <wp:extent cx="2743200" cy="2522220"/>
                  <wp:effectExtent l="0" t="0" r="0" b="0"/>
                  <wp:docPr id="141855633" name="Picture 14185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743200" cy="2522220"/>
                          </a:xfrm>
                          <a:prstGeom prst="rect">
                            <a:avLst/>
                          </a:prstGeom>
                          <a:noFill/>
                        </pic:spPr>
                      </pic:pic>
                    </a:graphicData>
                  </a:graphic>
                </wp:inline>
              </w:drawing>
            </w:r>
          </w:p>
        </w:tc>
      </w:tr>
      <w:tr w:rsidR="00E96B29" w:rsidRPr="00027624" w14:paraId="59A7F49A" w14:textId="77777777" w:rsidTr="00E96B29">
        <w:tc>
          <w:tcPr>
            <w:tcW w:w="4531" w:type="dxa"/>
            <w:shd w:val="clear" w:color="auto" w:fill="auto"/>
          </w:tcPr>
          <w:p w14:paraId="1D1937CA" w14:textId="77777777" w:rsidR="00E96B29" w:rsidRPr="00027624" w:rsidRDefault="006236FD" w:rsidP="001730B3">
            <w:pPr>
              <w:pStyle w:val="ChartGraphic"/>
            </w:pPr>
            <w:r>
              <w:rPr>
                <w:noProof/>
              </w:rPr>
              <w:drawing>
                <wp:inline distT="0" distB="0" distL="0" distR="0" wp14:anchorId="693975B9" wp14:editId="5C6622F5">
                  <wp:extent cx="2743200" cy="2522220"/>
                  <wp:effectExtent l="0" t="0" r="0" b="0"/>
                  <wp:docPr id="141855634" name="Picture 1418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743200" cy="2522220"/>
                          </a:xfrm>
                          <a:prstGeom prst="rect">
                            <a:avLst/>
                          </a:prstGeom>
                          <a:noFill/>
                        </pic:spPr>
                      </pic:pic>
                    </a:graphicData>
                  </a:graphic>
                </wp:inline>
              </w:drawing>
            </w:r>
          </w:p>
        </w:tc>
        <w:tc>
          <w:tcPr>
            <w:tcW w:w="4531" w:type="dxa"/>
            <w:shd w:val="clear" w:color="auto" w:fill="auto"/>
          </w:tcPr>
          <w:p w14:paraId="6B7DF189" w14:textId="77777777" w:rsidR="00E96B29" w:rsidRPr="00027624" w:rsidRDefault="006236FD" w:rsidP="001730B3">
            <w:pPr>
              <w:pStyle w:val="ChartGraphic"/>
            </w:pPr>
            <w:r>
              <w:rPr>
                <w:noProof/>
              </w:rPr>
              <w:drawing>
                <wp:inline distT="0" distB="0" distL="0" distR="0" wp14:anchorId="5557E84B" wp14:editId="2877768A">
                  <wp:extent cx="2743200" cy="2522220"/>
                  <wp:effectExtent l="0" t="0" r="0" b="0"/>
                  <wp:docPr id="141855636" name="Picture 14185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743200" cy="2522220"/>
                          </a:xfrm>
                          <a:prstGeom prst="rect">
                            <a:avLst/>
                          </a:prstGeom>
                          <a:noFill/>
                        </pic:spPr>
                      </pic:pic>
                    </a:graphicData>
                  </a:graphic>
                </wp:inline>
              </w:drawing>
            </w:r>
          </w:p>
        </w:tc>
      </w:tr>
      <w:tr w:rsidR="00E96B29" w:rsidRPr="00027624" w14:paraId="39923EC2" w14:textId="77777777" w:rsidTr="00E96B29">
        <w:tc>
          <w:tcPr>
            <w:tcW w:w="4531" w:type="dxa"/>
            <w:shd w:val="clear" w:color="auto" w:fill="auto"/>
          </w:tcPr>
          <w:p w14:paraId="1B5F9E13" w14:textId="77777777" w:rsidR="00E96B29" w:rsidRPr="00027624" w:rsidRDefault="00FE5B63" w:rsidP="001730B3">
            <w:pPr>
              <w:pStyle w:val="ChartGraphic"/>
            </w:pPr>
            <w:r>
              <w:rPr>
                <w:noProof/>
              </w:rPr>
              <w:drawing>
                <wp:inline distT="0" distB="0" distL="0" distR="0" wp14:anchorId="0A0B5830" wp14:editId="7042EAEC">
                  <wp:extent cx="2735580" cy="2522220"/>
                  <wp:effectExtent l="0" t="0" r="7620" b="0"/>
                  <wp:docPr id="141855646" name="Picture 14185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735580" cy="2522220"/>
                          </a:xfrm>
                          <a:prstGeom prst="rect">
                            <a:avLst/>
                          </a:prstGeom>
                          <a:noFill/>
                        </pic:spPr>
                      </pic:pic>
                    </a:graphicData>
                  </a:graphic>
                </wp:inline>
              </w:drawing>
            </w:r>
          </w:p>
        </w:tc>
        <w:tc>
          <w:tcPr>
            <w:tcW w:w="4531" w:type="dxa"/>
            <w:shd w:val="clear" w:color="auto" w:fill="auto"/>
          </w:tcPr>
          <w:p w14:paraId="3E40087B" w14:textId="77777777" w:rsidR="00E96B29" w:rsidRPr="00027624" w:rsidRDefault="00FE5B63" w:rsidP="001730B3">
            <w:pPr>
              <w:pStyle w:val="ChartGraphic"/>
            </w:pPr>
            <w:r>
              <w:rPr>
                <w:noProof/>
              </w:rPr>
              <w:drawing>
                <wp:inline distT="0" distB="0" distL="0" distR="0" wp14:anchorId="523B567F" wp14:editId="49721C3B">
                  <wp:extent cx="2743200" cy="2522220"/>
                  <wp:effectExtent l="0" t="0" r="0" b="0"/>
                  <wp:docPr id="141855647" name="Picture 14185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743200" cy="2522220"/>
                          </a:xfrm>
                          <a:prstGeom prst="rect">
                            <a:avLst/>
                          </a:prstGeom>
                          <a:noFill/>
                        </pic:spPr>
                      </pic:pic>
                    </a:graphicData>
                  </a:graphic>
                </wp:inline>
              </w:drawing>
            </w:r>
          </w:p>
        </w:tc>
      </w:tr>
      <w:tr w:rsidR="00E96B29" w:rsidRPr="00027624" w14:paraId="21AC2B50" w14:textId="77777777" w:rsidTr="00E96B29">
        <w:trPr>
          <w:trHeight w:val="186"/>
        </w:trPr>
        <w:tc>
          <w:tcPr>
            <w:tcW w:w="9062" w:type="dxa"/>
            <w:gridSpan w:val="2"/>
            <w:shd w:val="clear" w:color="auto" w:fill="auto"/>
          </w:tcPr>
          <w:p w14:paraId="3A7E7DC8" w14:textId="77777777" w:rsidR="00E96B29" w:rsidRPr="00027624" w:rsidRDefault="00E96B29" w:rsidP="001730B3">
            <w:pPr>
              <w:pStyle w:val="ChartorTableNote"/>
              <w:rPr>
                <w:noProof/>
              </w:rPr>
            </w:pPr>
            <w:r w:rsidRPr="00027624">
              <w:t>Note: Values are in 2016</w:t>
            </w:r>
            <w:r w:rsidR="00A8443E" w:rsidRPr="00027624">
              <w:noBreakHyphen/>
            </w:r>
            <w:r w:rsidRPr="00027624">
              <w:t>17 dollars. Modelled values deflated by average weekly earnings. Current balances calculate average superannuation balance based on five</w:t>
            </w:r>
            <w:r w:rsidR="00A8443E" w:rsidRPr="00027624">
              <w:noBreakHyphen/>
            </w:r>
            <w:r w:rsidRPr="00027624">
              <w:t xml:space="preserve">year age ranges by income percentile. Source: </w:t>
            </w:r>
            <w:r w:rsidRPr="00027624">
              <w:rPr>
                <w:szCs w:val="18"/>
              </w:rPr>
              <w:t>Analysis of ATO individual income tax returns and member contributions statements, 2 per cent sample, 2016</w:t>
            </w:r>
            <w:r w:rsidR="00A8443E" w:rsidRPr="00027624">
              <w:rPr>
                <w:szCs w:val="18"/>
              </w:rPr>
              <w:noBreakHyphen/>
            </w:r>
            <w:r w:rsidRPr="00027624">
              <w:rPr>
                <w:szCs w:val="18"/>
              </w:rPr>
              <w:t>17</w:t>
            </w:r>
            <w:r w:rsidRPr="00027624">
              <w:t>; c</w:t>
            </w:r>
            <w:r w:rsidRPr="00027624">
              <w:rPr>
                <w:szCs w:val="18"/>
              </w:rPr>
              <w:t>ameo modelling undertaken for the review</w:t>
            </w:r>
            <w:r w:rsidRPr="00027624">
              <w:t xml:space="preserve"> based on historical rates of the SG received by each cohort.</w:t>
            </w:r>
          </w:p>
        </w:tc>
      </w:tr>
    </w:tbl>
    <w:bookmarkEnd w:id="4307"/>
    <w:p w14:paraId="650664BE" w14:textId="77777777" w:rsidR="00E96B29" w:rsidRPr="00027624" w:rsidRDefault="00E96B29" w:rsidP="00E96B29">
      <w:pPr>
        <w:pStyle w:val="Heading3"/>
      </w:pPr>
      <w:r w:rsidRPr="00027624">
        <w:t>Voluntary contributions</w:t>
      </w:r>
    </w:p>
    <w:p w14:paraId="4153AE35" w14:textId="1C1C71EA" w:rsidR="00E96B29" w:rsidRPr="00027624" w:rsidRDefault="00E96B29" w:rsidP="00E96B29">
      <w:r w:rsidRPr="00027624">
        <w:t>To benchmark assumptions regarding voluntary contributions, the review compared its assumptions with longitudinal data from the ATO</w:t>
      </w:r>
      <w:r w:rsidR="00A8443E" w:rsidRPr="00027624">
        <w:t>’</w:t>
      </w:r>
      <w:r w:rsidRPr="00027624">
        <w:t>s ALife dataset. Average voluntary contributions in ALife over an eight</w:t>
      </w:r>
      <w:r w:rsidR="00A8443E" w:rsidRPr="00027624">
        <w:noBreakHyphen/>
      </w:r>
      <w:r w:rsidRPr="00027624">
        <w:t>year period for the cohort aged 55 in 2010 are significantly higher than those in the review</w:t>
      </w:r>
      <w:r w:rsidR="00A8443E" w:rsidRPr="00027624">
        <w:t>’</w:t>
      </w:r>
      <w:r w:rsidRPr="00027624">
        <w:t>s model (</w:t>
      </w:r>
      <w:r w:rsidRPr="00027624">
        <w:fldChar w:fldCharType="begin"/>
      </w:r>
      <w:r w:rsidRPr="00027624">
        <w:instrText xml:space="preserve"> REF _Ref43121008 \r \h  \* MERGEFORMAT </w:instrText>
      </w:r>
      <w:r w:rsidRPr="00027624">
        <w:fldChar w:fldCharType="separate"/>
      </w:r>
      <w:r w:rsidR="00891058">
        <w:t>Chart 6A-38</w:t>
      </w:r>
      <w:r w:rsidRPr="00027624">
        <w:fldChar w:fldCharType="end"/>
      </w:r>
      <w:r w:rsidRPr="00027624">
        <w:t>).</w:t>
      </w:r>
    </w:p>
    <w:p w14:paraId="424EF149" w14:textId="77777777" w:rsidR="00E96B29" w:rsidRPr="00027624" w:rsidRDefault="00E96B29" w:rsidP="00E96B29">
      <w:r w:rsidRPr="00027624">
        <w:t>Review modelling only includes salary sacrifice contributions based on the latest year of tax data. ALife analysis that follows individuals over time shows salary sacrifice contributions are broadly similar between the two datasets despite different populations of analysis (ALife analysis includes everyone with incomes while the review cameo model is for employees only).</w:t>
      </w:r>
    </w:p>
    <w:p w14:paraId="698B42AD" w14:textId="77777777" w:rsidR="00E96B29" w:rsidRPr="00027624" w:rsidRDefault="00E96B29" w:rsidP="00E96B29">
      <w:r w:rsidRPr="00027624">
        <w:t>Voluntary contributions in review modelling are significantly lower than actual contributions people make, on average, because of the exclusion of personal deductible and of non</w:t>
      </w:r>
      <w:r w:rsidR="00A8443E" w:rsidRPr="00027624">
        <w:noBreakHyphen/>
      </w:r>
      <w:r w:rsidRPr="00027624">
        <w:t>concessional contributions. These contributions are significant at about 40 per cent of all contributions to superannuation in 2016</w:t>
      </w:r>
      <w:r w:rsidR="00A8443E" w:rsidRPr="00027624">
        <w:noBreakHyphen/>
      </w:r>
      <w:r w:rsidRPr="00027624">
        <w:t xml:space="preserve">17 (see </w:t>
      </w:r>
      <w:r w:rsidRPr="00027624">
        <w:rPr>
          <w:i/>
        </w:rPr>
        <w:t>Non</w:t>
      </w:r>
      <w:r w:rsidR="00A8443E" w:rsidRPr="00027624">
        <w:rPr>
          <w:i/>
        </w:rPr>
        <w:noBreakHyphen/>
      </w:r>
      <w:r w:rsidRPr="00027624">
        <w:rPr>
          <w:i/>
        </w:rPr>
        <w:t xml:space="preserve">concessional contributions </w:t>
      </w:r>
      <w:r w:rsidRPr="00027624">
        <w:t>above).</w:t>
      </w:r>
    </w:p>
    <w:p w14:paraId="1E89D9CA" w14:textId="77777777" w:rsidR="00E96B29" w:rsidRPr="00027624" w:rsidRDefault="00E96B29" w:rsidP="00E96B29">
      <w:pPr>
        <w:pStyle w:val="ChartMainHeading"/>
      </w:pPr>
      <w:bookmarkStart w:id="4308" w:name="_Ref42712008"/>
      <w:bookmarkStart w:id="4309" w:name="_Ref43121008"/>
      <w:r w:rsidRPr="00027624">
        <w:t>Value of annual voluntary contributions by superannuation balance deciles</w:t>
      </w:r>
      <w:bookmarkEnd w:id="4308"/>
      <w:bookmarkEnd w:id="4309"/>
    </w:p>
    <w:p w14:paraId="2974E649" w14:textId="77777777" w:rsidR="00E96B29" w:rsidRPr="00027624" w:rsidRDefault="00FE5B63" w:rsidP="00E96B29">
      <w:pPr>
        <w:pStyle w:val="ChartGraphic"/>
      </w:pPr>
      <w:r>
        <w:rPr>
          <w:noProof/>
        </w:rPr>
        <w:drawing>
          <wp:inline distT="0" distB="0" distL="0" distR="0" wp14:anchorId="39B1D1F6" wp14:editId="75D08BA0">
            <wp:extent cx="5554980" cy="2613660"/>
            <wp:effectExtent l="0" t="0" r="7620" b="0"/>
            <wp:docPr id="69809825" name="Picture 69809825" descr="This chart shows the annual value of salary sacrifice and other voluntary contributions by superannuation balance decile. Voluntary contributions in the review modelling are lower than salary sacrifice and other voluntary contributions from ALife." title="Chart 6A-38 Value of annual voluntary contributions by superannuation balance de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554980" cy="2613660"/>
                    </a:xfrm>
                    <a:prstGeom prst="rect">
                      <a:avLst/>
                    </a:prstGeom>
                    <a:noFill/>
                  </pic:spPr>
                </pic:pic>
              </a:graphicData>
            </a:graphic>
          </wp:inline>
        </w:drawing>
      </w:r>
    </w:p>
    <w:p w14:paraId="04B35870" w14:textId="77777777" w:rsidR="00E96B29" w:rsidRPr="00027624" w:rsidRDefault="00E96B29" w:rsidP="002D653B">
      <w:pPr>
        <w:pStyle w:val="ChartorTableNote"/>
      </w:pPr>
      <w:r w:rsidRPr="00027624">
        <w:t>Note: Values are in 2019</w:t>
      </w:r>
      <w:r w:rsidR="00A8443E" w:rsidRPr="00027624">
        <w:noBreakHyphen/>
      </w:r>
      <w:r w:rsidRPr="00027624">
        <w:t>20 dollars, deflated by average weekly earnings. ALife data follows cohort aged 55 in 2010 over an eight</w:t>
      </w:r>
      <w:r w:rsidR="00A8443E" w:rsidRPr="00027624">
        <w:noBreakHyphen/>
      </w:r>
      <w:r w:rsidRPr="00027624">
        <w:t>year period. Average includes men and women. Voluntary contributions include salary sacrifice, personal deductible and non</w:t>
      </w:r>
      <w:r w:rsidR="00A8443E" w:rsidRPr="00027624">
        <w:noBreakHyphen/>
      </w:r>
      <w:r w:rsidRPr="00027624">
        <w:t>concessional contributions. Deciles for ALife are created based on superannuation balance as at 2010. Percentiles for review model are by income. Review average annual voluntary contributions calculate average amount salary sacrificed over an eight</w:t>
      </w:r>
      <w:r w:rsidR="00A8443E" w:rsidRPr="00027624">
        <w:noBreakHyphen/>
      </w:r>
      <w:r w:rsidRPr="00027624">
        <w:t>year period commencing in 2047</w:t>
      </w:r>
      <w:r w:rsidR="00A8443E" w:rsidRPr="00027624">
        <w:noBreakHyphen/>
      </w:r>
      <w:r w:rsidRPr="00027624">
        <w:t xml:space="preserve">48 for </w:t>
      </w:r>
      <w:r w:rsidR="00885DFE" w:rsidRPr="00027624">
        <w:t>people</w:t>
      </w:r>
      <w:r w:rsidRPr="00027624">
        <w:t xml:space="preserve"> aged 55. Source: Analysis of ATO </w:t>
      </w:r>
      <w:r w:rsidR="007A1F0B" w:rsidRPr="00027624">
        <w:t>Longitudinal Information Files</w:t>
      </w:r>
      <w:r w:rsidRPr="00027624">
        <w:t xml:space="preserve"> (ALife), cameo modelling undertaken for the review.</w:t>
      </w:r>
    </w:p>
    <w:p w14:paraId="6F5472F6" w14:textId="77777777" w:rsidR="00E96B29" w:rsidRPr="00027624" w:rsidRDefault="00E96B29" w:rsidP="00E96B29">
      <w:pPr>
        <w:pStyle w:val="Heading2"/>
      </w:pPr>
      <w:bookmarkStart w:id="4310" w:name="_Ref42619593"/>
      <w:bookmarkStart w:id="4311" w:name="_Toc45520567"/>
      <w:bookmarkStart w:id="4312" w:name="_Toc46133679"/>
      <w:r w:rsidRPr="00027624">
        <w:t>Model of Australian Retirement Incomes and Assets</w:t>
      </w:r>
      <w:bookmarkEnd w:id="4310"/>
      <w:bookmarkEnd w:id="4311"/>
      <w:bookmarkEnd w:id="4312"/>
    </w:p>
    <w:p w14:paraId="15CB4300" w14:textId="77777777" w:rsidR="00E96B29" w:rsidRPr="00027624" w:rsidRDefault="00E96B29" w:rsidP="00E96B29">
      <w:r w:rsidRPr="00027624">
        <w:t xml:space="preserve">The </w:t>
      </w:r>
      <w:bookmarkStart w:id="4313" w:name="_Hlk42799319"/>
      <w:r w:rsidRPr="00027624">
        <w:t>Model of Australian Retirement Incomes and Assets</w:t>
      </w:r>
      <w:bookmarkEnd w:id="4313"/>
      <w:r w:rsidRPr="00027624">
        <w:t xml:space="preserve"> (MARIA) is Treasury</w:t>
      </w:r>
      <w:r w:rsidR="00A8443E" w:rsidRPr="00027624">
        <w:t>’</w:t>
      </w:r>
      <w:r w:rsidRPr="00027624">
        <w:t>s long</w:t>
      </w:r>
      <w:r w:rsidR="00A8443E" w:rsidRPr="00027624">
        <w:noBreakHyphen/>
      </w:r>
      <w:r w:rsidRPr="00027624">
        <w:t>term, population</w:t>
      </w:r>
      <w:r w:rsidR="00A8443E" w:rsidRPr="00027624">
        <w:noBreakHyphen/>
      </w:r>
      <w:r w:rsidRPr="00027624">
        <w:t>level, dynamic microsimulation model of Australia</w:t>
      </w:r>
      <w:r w:rsidR="00A8443E" w:rsidRPr="00027624">
        <w:t>’</w:t>
      </w:r>
      <w:r w:rsidRPr="00027624">
        <w:t>s retirement income system.</w:t>
      </w:r>
    </w:p>
    <w:p w14:paraId="31D625C0" w14:textId="77777777" w:rsidR="00E96B29" w:rsidRPr="00027624" w:rsidRDefault="00E96B29" w:rsidP="00E96B29">
      <w:r w:rsidRPr="00027624">
        <w:t>MARIA begins with 2015</w:t>
      </w:r>
      <w:r w:rsidR="00A8443E" w:rsidRPr="00027624">
        <w:noBreakHyphen/>
      </w:r>
      <w:r w:rsidRPr="00027624">
        <w:t>16 base data, which captures the Australian population aged 25 and over at that point in time. The base data is sourced from administrative data collected by the ATO, the Department of Social Services and the Department of Veterans</w:t>
      </w:r>
      <w:r w:rsidR="00A8443E" w:rsidRPr="00027624">
        <w:t>’</w:t>
      </w:r>
      <w:r w:rsidRPr="00027624">
        <w:t xml:space="preserve"> Affairs. It is supplemented with survey data from the HILDA Survey and the ABS </w:t>
      </w:r>
      <w:r w:rsidR="00BE51D1" w:rsidRPr="00027624">
        <w:t>Survey of Income and Housing</w:t>
      </w:r>
      <w:r w:rsidRPr="00027624">
        <w:t>. The model is run from 2015</w:t>
      </w:r>
      <w:r w:rsidR="00A8443E" w:rsidRPr="00027624">
        <w:noBreakHyphen/>
      </w:r>
      <w:r w:rsidRPr="00027624">
        <w:t>16 to 2059</w:t>
      </w:r>
      <w:r w:rsidR="00A8443E" w:rsidRPr="00027624">
        <w:noBreakHyphen/>
      </w:r>
      <w:r w:rsidRPr="00027624">
        <w:t xml:space="preserve">60 on a representative sample of this complete dataset. Each year, new records are randomly taken from the base data to represent new </w:t>
      </w:r>
      <w:r w:rsidRPr="00027624" w:rsidDel="00335A52">
        <w:t>25</w:t>
      </w:r>
      <w:r w:rsidR="00A8443E" w:rsidRPr="00027624">
        <w:noBreakHyphen/>
      </w:r>
      <w:r w:rsidRPr="00027624">
        <w:t>year</w:t>
      </w:r>
      <w:r w:rsidR="00A8443E" w:rsidRPr="00027624">
        <w:noBreakHyphen/>
      </w:r>
      <w:r w:rsidRPr="00027624">
        <w:t>olds and migrants entering the population.</w:t>
      </w:r>
    </w:p>
    <w:p w14:paraId="7F730CEA" w14:textId="77777777" w:rsidR="00E96B29" w:rsidRPr="00027624" w:rsidRDefault="00E96B29" w:rsidP="00E96B29">
      <w:r w:rsidRPr="00027624">
        <w:t>MARIA uses Treasury analysis to develop input parameters that simulate the characteristics of each individual for every year of the model run, based on their characteristics in the previous year. These characteristics include:</w:t>
      </w:r>
    </w:p>
    <w:p w14:paraId="7BC368DC" w14:textId="77777777" w:rsidR="00E96B29" w:rsidRPr="00027624" w:rsidRDefault="00E96B29" w:rsidP="00E96B29">
      <w:pPr>
        <w:pStyle w:val="Bullet"/>
      </w:pPr>
      <w:r w:rsidRPr="00027624">
        <w:t>Household composition</w:t>
      </w:r>
    </w:p>
    <w:p w14:paraId="129AC9DE" w14:textId="77777777" w:rsidR="00E96B29" w:rsidRPr="00027624" w:rsidRDefault="00E96B29" w:rsidP="00E96B29">
      <w:pPr>
        <w:pStyle w:val="Bullet"/>
      </w:pPr>
      <w:r w:rsidRPr="00027624">
        <w:t>Labour force participation</w:t>
      </w:r>
    </w:p>
    <w:p w14:paraId="573F0C8F" w14:textId="77777777" w:rsidR="00E96B29" w:rsidRPr="00027624" w:rsidRDefault="00E96B29" w:rsidP="00E96B29">
      <w:pPr>
        <w:pStyle w:val="Bullet"/>
      </w:pPr>
      <w:r w:rsidRPr="00027624">
        <w:t>Income</w:t>
      </w:r>
    </w:p>
    <w:p w14:paraId="28D1ABA8" w14:textId="77777777" w:rsidR="00E96B29" w:rsidRPr="00027624" w:rsidRDefault="00E96B29" w:rsidP="00E96B29">
      <w:pPr>
        <w:pStyle w:val="Bullet"/>
      </w:pPr>
      <w:r w:rsidRPr="00027624">
        <w:t>Compulsory and voluntary superannuation contributions</w:t>
      </w:r>
    </w:p>
    <w:p w14:paraId="0EB3207B" w14:textId="77777777" w:rsidR="00E96B29" w:rsidRPr="00027624" w:rsidRDefault="00E96B29" w:rsidP="00E96B29">
      <w:r w:rsidRPr="00027624">
        <w:t>Some characteristics are not modelled dynamically year</w:t>
      </w:r>
      <w:r w:rsidR="00A8443E" w:rsidRPr="00027624">
        <w:noBreakHyphen/>
      </w:r>
      <w:r w:rsidRPr="00027624">
        <w:t>on</w:t>
      </w:r>
      <w:r w:rsidR="00A8443E" w:rsidRPr="00027624">
        <w:noBreakHyphen/>
      </w:r>
      <w:r w:rsidRPr="00027624">
        <w:t>year, but rather imputed at the point of retirement. These characteristics include home</w:t>
      </w:r>
      <w:r w:rsidR="00A8443E" w:rsidRPr="00027624">
        <w:noBreakHyphen/>
      </w:r>
      <w:r w:rsidRPr="00027624">
        <w:t>ownership status and non</w:t>
      </w:r>
      <w:r w:rsidR="00A8443E" w:rsidRPr="00027624">
        <w:noBreakHyphen/>
      </w:r>
      <w:r w:rsidRPr="00027624">
        <w:t>superannuation savings (discussed further below). The imputation is based on factors such as age, education level, work experience and superannuation balance.</w:t>
      </w:r>
    </w:p>
    <w:p w14:paraId="08F1B700" w14:textId="77777777" w:rsidR="00E96B29" w:rsidRPr="00027624" w:rsidRDefault="00E96B29" w:rsidP="00E96B29">
      <w:pPr>
        <w:pStyle w:val="Heading3"/>
      </w:pPr>
      <w:r w:rsidRPr="00027624">
        <w:t>Key output</w:t>
      </w:r>
    </w:p>
    <w:p w14:paraId="3C0623D6" w14:textId="77777777" w:rsidR="00E96B29" w:rsidRPr="00027624" w:rsidRDefault="00E96B29" w:rsidP="00E96B29">
      <w:r w:rsidRPr="00027624">
        <w:t>MARIA</w:t>
      </w:r>
      <w:r w:rsidR="00A8443E" w:rsidRPr="00027624">
        <w:t>’</w:t>
      </w:r>
      <w:r w:rsidRPr="00027624">
        <w:t>s key output is defined contribution superannuation amounts held by individuals, both accumulation throughout working life and drawdown in retirement. MARIA can therefore also project the aggregate defined contribution funds under management in the superannuation system. MARIA does not model superannuation funds themselves, or any assets held by funds to support defined benefits or for regulatory capital purposes. MARIA also does not model multiple account holdings.</w:t>
      </w:r>
    </w:p>
    <w:p w14:paraId="5299A25B" w14:textId="77777777" w:rsidR="00E96B29" w:rsidRPr="00027624" w:rsidRDefault="00E96B29" w:rsidP="00E96B29">
      <w:r w:rsidRPr="00027624">
        <w:t xml:space="preserve">MARIA projects </w:t>
      </w:r>
      <w:r w:rsidRPr="00027624" w:rsidDel="0068007C">
        <w:t>Age</w:t>
      </w:r>
      <w:r w:rsidRPr="00027624">
        <w:t> Pension expenditure and coverage based on the simulated superannuation assets, imputed non</w:t>
      </w:r>
      <w:r w:rsidR="00A8443E" w:rsidRPr="00027624">
        <w:noBreakHyphen/>
      </w:r>
      <w:r w:rsidRPr="00027624">
        <w:t>superannuation assets and deemed income of individuals and their partners.</w:t>
      </w:r>
    </w:p>
    <w:p w14:paraId="6AF66030" w14:textId="77777777" w:rsidR="00E96B29" w:rsidRPr="00027624" w:rsidRDefault="00E96B29" w:rsidP="00E96B29">
      <w:r w:rsidRPr="00027624">
        <w:t>Some modifications have been made to MARIA to support the review which include:</w:t>
      </w:r>
    </w:p>
    <w:p w14:paraId="08D4F732" w14:textId="77777777" w:rsidR="00E96B29" w:rsidRPr="00027624" w:rsidRDefault="00E96B29" w:rsidP="00E96B29">
      <w:pPr>
        <w:pStyle w:val="Bullet"/>
      </w:pPr>
      <w:r w:rsidRPr="00027624">
        <w:t>Developing long</w:t>
      </w:r>
      <w:r w:rsidR="00A8443E" w:rsidRPr="00027624">
        <w:noBreakHyphen/>
      </w:r>
      <w:r w:rsidRPr="00027624">
        <w:t>run estimates of the value of superannuation tax concessions (benchmark variations)</w:t>
      </w:r>
    </w:p>
    <w:p w14:paraId="6D1BE00D" w14:textId="77777777" w:rsidR="00E96B29" w:rsidRPr="00027624" w:rsidRDefault="00E96B29" w:rsidP="00E96B29">
      <w:pPr>
        <w:pStyle w:val="Bullet"/>
      </w:pPr>
      <w:r w:rsidRPr="00027624">
        <w:t>Improvements to the imputation of assets outside superannuation at retirement</w:t>
      </w:r>
    </w:p>
    <w:p w14:paraId="616F36FA" w14:textId="77777777" w:rsidR="00E96B29" w:rsidRPr="00027624" w:rsidRDefault="00E96B29" w:rsidP="00E96B29">
      <w:pPr>
        <w:pStyle w:val="Bullet"/>
      </w:pPr>
      <w:r w:rsidRPr="00027624">
        <w:t>Adjusting the superannuation earnings assumption to align with assumptions used in the review</w:t>
      </w:r>
      <w:r w:rsidR="00A8443E" w:rsidRPr="00027624">
        <w:t>’</w:t>
      </w:r>
      <w:r w:rsidRPr="00027624">
        <w:t>s cameo modelling</w:t>
      </w:r>
    </w:p>
    <w:p w14:paraId="029CF029" w14:textId="77777777" w:rsidR="00E96B29" w:rsidRPr="00027624" w:rsidRDefault="00E96B29" w:rsidP="00E96B29">
      <w:pPr>
        <w:pStyle w:val="Heading4"/>
      </w:pPr>
      <w:r w:rsidRPr="00027624">
        <w:t>Long</w:t>
      </w:r>
      <w:r w:rsidR="00A8443E" w:rsidRPr="00027624">
        <w:noBreakHyphen/>
      </w:r>
      <w:r w:rsidRPr="00027624">
        <w:t>run estimates of Superannuation tax concessions</w:t>
      </w:r>
    </w:p>
    <w:p w14:paraId="59B6187B" w14:textId="77777777" w:rsidR="00E96B29" w:rsidRPr="00027624" w:rsidRDefault="00E96B29" w:rsidP="00E96B29">
      <w:r w:rsidRPr="00027624">
        <w:t>Long</w:t>
      </w:r>
      <w:r w:rsidR="00A8443E" w:rsidRPr="00027624">
        <w:noBreakHyphen/>
      </w:r>
      <w:r w:rsidRPr="00027624">
        <w:t>run estimates of the value of superannuation tax concessions (benchmark variations) are estimated using MARIA on a revenue forgone basis. These estimates broadly replicate the methodology and benchmark used in the Tax Benchmarks and Variations Statement</w:t>
      </w:r>
      <w:sdt>
        <w:sdtPr>
          <w:id w:val="-279727917"/>
          <w:citation/>
        </w:sdtPr>
        <w:sdtEndPr/>
        <w:sdtContent>
          <w:r w:rsidRPr="00027624">
            <w:fldChar w:fldCharType="begin"/>
          </w:r>
          <w:r w:rsidRPr="00027624">
            <w:instrText xml:space="preserve"> CITATION TreB201 \l 3081 </w:instrText>
          </w:r>
          <w:r w:rsidRPr="00027624">
            <w:fldChar w:fldCharType="separate"/>
          </w:r>
          <w:r w:rsidR="00E83F6E">
            <w:rPr>
              <w:noProof/>
            </w:rPr>
            <w:t xml:space="preserve"> (The Treasury, 2020)</w:t>
          </w:r>
          <w:r w:rsidRPr="00027624">
            <w:fldChar w:fldCharType="end"/>
          </w:r>
        </w:sdtContent>
      </w:sdt>
      <w:r w:rsidRPr="00027624">
        <w:t>. The estimates include:</w:t>
      </w:r>
    </w:p>
    <w:p w14:paraId="39D5FA62" w14:textId="77777777" w:rsidR="00E96B29" w:rsidRPr="00027624" w:rsidRDefault="00E96B29" w:rsidP="00E96B29">
      <w:pPr>
        <w:pStyle w:val="Bullet"/>
      </w:pPr>
      <w:r w:rsidRPr="00027624">
        <w:t>Combined estimates of capital gains and earnings tax concessions provided to superannuation funds (reflecting a combined C1 and C4 estimate from the Tax Benchmarks and Variations Statement)</w:t>
      </w:r>
    </w:p>
    <w:p w14:paraId="60F347F5" w14:textId="77777777" w:rsidR="00E96B29" w:rsidRPr="00027624" w:rsidRDefault="00E96B29" w:rsidP="00E96B29">
      <w:pPr>
        <w:pStyle w:val="Bullet"/>
      </w:pPr>
      <w:r w:rsidRPr="00027624">
        <w:t>Contributions tax concession estimates (reflecting a combined C2 and C3 estimate from the Tax Benchmarks and Variations Statement)</w:t>
      </w:r>
    </w:p>
    <w:p w14:paraId="701C7158" w14:textId="77777777" w:rsidR="00E96B29" w:rsidRPr="00027624" w:rsidRDefault="00E96B29" w:rsidP="00E96B29">
      <w:r w:rsidRPr="00027624">
        <w:t>Unlike the Tax Benchmarks and Variations Statement, the long</w:t>
      </w:r>
      <w:r w:rsidR="00A8443E" w:rsidRPr="00027624">
        <w:noBreakHyphen/>
      </w:r>
      <w:r w:rsidRPr="00027624">
        <w:t>run estimates in MARIA have been constructed on an additive basis to facilitate analysis of trends. The value of superannuation tax concessions is estimated by adding contributions and earnings to taxable income in two stages and applying the progressive income tax rates at each stage. The value of the earnings tax concession is the difference between the total value of concessions and value of contributions tax concessions. Beyond the medium term, several personal income tax thresholds and offsets that comprise the benchmark are assumed to be indexed to wage growth.</w:t>
      </w:r>
    </w:p>
    <w:p w14:paraId="0E353A07" w14:textId="77777777" w:rsidR="00E96B29" w:rsidRPr="00027624" w:rsidRDefault="00E96B29" w:rsidP="00E96B29">
      <w:pPr>
        <w:pStyle w:val="Heading4"/>
      </w:pPr>
      <w:r w:rsidRPr="00027624">
        <w:t>Modelling of savings outside superannuation at retirement</w:t>
      </w:r>
    </w:p>
    <w:p w14:paraId="2AFFD82A" w14:textId="77777777" w:rsidR="00E96B29" w:rsidRPr="00027624" w:rsidRDefault="00E96B29" w:rsidP="00E96B29">
      <w:r w:rsidRPr="00027624">
        <w:t>MARIA models the accumulation of superannuation on a dynamic basis over an individual</w:t>
      </w:r>
      <w:r w:rsidR="00A8443E" w:rsidRPr="00027624">
        <w:t>’</w:t>
      </w:r>
      <w:r w:rsidRPr="00027624">
        <w:t>s working life. However, savings held outside superannuation are not projected using a dynamic model, but instead imputed at retirement using survey data. These imputed values are then used to project pension entitlements. MARIA adjusts imputed values to reflect that an increase in saving in superannuation is likely to reduce savings outside superannuation over the coming decades.</w:t>
      </w:r>
    </w:p>
    <w:p w14:paraId="341490E2" w14:textId="77777777" w:rsidR="00E96B29" w:rsidRPr="00027624" w:rsidRDefault="00E96B29" w:rsidP="00E96B29">
      <w:r w:rsidRPr="00027624">
        <w:t>The method of imputing these assets was improved as part of the analysis provided to the review. Nominal growth in the value of financial assets outside superannuation was changed to increase in line with wages growth (rather than CPI). The factor used to reduce growth in aggregate financial savings outside superannuation as the superannuation system matures was also lowered. This change reduced the projected proportion of the eligible population receiving a pension and therefore reduced projected pension expenditure.</w:t>
      </w:r>
    </w:p>
    <w:p w14:paraId="14070ED6" w14:textId="77777777" w:rsidR="00E96B29" w:rsidRPr="00027624" w:rsidRDefault="00E96B29" w:rsidP="00E96B29">
      <w:pPr>
        <w:rPr>
          <w:rFonts w:cs="Arial"/>
          <w:b/>
          <w:color w:val="144E60" w:themeColor="accent1"/>
          <w:kern w:val="32"/>
          <w:sz w:val="26"/>
          <w:szCs w:val="26"/>
        </w:rPr>
      </w:pPr>
      <w:r w:rsidRPr="00027624">
        <w:rPr>
          <w:rFonts w:cs="Arial"/>
          <w:b/>
          <w:color w:val="144E60" w:themeColor="accent1"/>
          <w:kern w:val="32"/>
          <w:sz w:val="26"/>
          <w:szCs w:val="26"/>
        </w:rPr>
        <w:t>Adequacy analysis</w:t>
      </w:r>
    </w:p>
    <w:p w14:paraId="6DD0EE52" w14:textId="77777777" w:rsidR="00E96B29" w:rsidRPr="00027624" w:rsidRDefault="00E96B29" w:rsidP="00E96B29">
      <w:r w:rsidRPr="00027624">
        <w:t>MARIA is designed to model long</w:t>
      </w:r>
      <w:r w:rsidR="00A8443E" w:rsidRPr="00027624">
        <w:noBreakHyphen/>
      </w:r>
      <w:r w:rsidRPr="00027624">
        <w:t>term trends in superannuation accumulation and the fiscal impacts of retirement income policy settings. MARIA is not suitable for analysis of replacement rates. In this review, replacement rate analysis has been undertaken using a hypothetical lifetime cameo model, as detailed above.</w:t>
      </w:r>
    </w:p>
    <w:p w14:paraId="0353C40B" w14:textId="77777777" w:rsidR="00E96B29" w:rsidRPr="00027624" w:rsidRDefault="00E96B29" w:rsidP="00E96B29">
      <w:pPr>
        <w:pStyle w:val="Heading3"/>
      </w:pPr>
      <w:r w:rsidRPr="00027624">
        <w:t>Baseline assumptions</w:t>
      </w:r>
    </w:p>
    <w:p w14:paraId="3F947E09" w14:textId="77777777" w:rsidR="00E96B29" w:rsidRPr="00027624" w:rsidRDefault="00E96B29" w:rsidP="00E96B29">
      <w:r w:rsidRPr="00027624">
        <w:t>Demographic and economic growth rates in MARIA have been calibrated to the assumptions prepared for the 2019</w:t>
      </w:r>
      <w:r w:rsidR="00A8443E" w:rsidRPr="00027624">
        <w:noBreakHyphen/>
      </w:r>
      <w:r w:rsidRPr="00027624">
        <w:t>20 MYEFO. Key parameters include population growth (which is projected to gradually decline over the long</w:t>
      </w:r>
      <w:r w:rsidR="00A8443E" w:rsidRPr="00027624">
        <w:noBreakHyphen/>
      </w:r>
      <w:r w:rsidRPr="00027624">
        <w:t>term to 2060), nominal GDP growth (also projected to gradually decline over the long</w:t>
      </w:r>
      <w:r w:rsidR="00A8443E" w:rsidRPr="00027624">
        <w:noBreakHyphen/>
      </w:r>
      <w:r w:rsidRPr="00027624">
        <w:t>term to 2060), participation rates (which vary by age and gender), wages (assumed to grow at around 4 per cent) and prices (assumed to grow at around 2.5 per cent).</w:t>
      </w:r>
    </w:p>
    <w:p w14:paraId="3EB40746" w14:textId="77777777" w:rsidR="00E96B29" w:rsidRPr="00027624" w:rsidRDefault="00E96B29" w:rsidP="00E96B29">
      <w:r w:rsidRPr="00027624">
        <w:t>Near</w:t>
      </w:r>
      <w:r w:rsidR="00A8443E" w:rsidRPr="00027624">
        <w:noBreakHyphen/>
      </w:r>
      <w:r w:rsidRPr="00027624">
        <w:t xml:space="preserve">term increases in the SG are assumed to pass through to </w:t>
      </w:r>
      <w:r w:rsidR="00885DFE" w:rsidRPr="00027624">
        <w:t>people</w:t>
      </w:r>
      <w:r w:rsidRPr="00027624">
        <w:t xml:space="preserve"> via reduced salary sacrifice contributions and wage growth. It is assumed employees who make voluntary contributions (including salary sacrifice and personal deductible contributions) will adjust these contributions in response to changes in the SG rate.</w:t>
      </w:r>
    </w:p>
    <w:p w14:paraId="1B87D768" w14:textId="77777777" w:rsidR="00E96B29" w:rsidRPr="00027624" w:rsidRDefault="00E96B29" w:rsidP="00E96B29">
      <w:r w:rsidRPr="00027624">
        <w:t>MARIA modelling for this review uses the same investment returns assumptions as the adequacy modelling,</w:t>
      </w:r>
      <w:r w:rsidR="005A53FD" w:rsidRPr="00027624">
        <w:t xml:space="preserve"> which were developed by the Australian Government Actuary</w:t>
      </w:r>
      <w:r w:rsidRPr="00027624">
        <w:t>. These assumptions are investment returns before fees of 7.5 per cent in the pre</w:t>
      </w:r>
      <w:r w:rsidR="00A8443E" w:rsidRPr="00027624">
        <w:noBreakHyphen/>
      </w:r>
      <w:r w:rsidRPr="00027624">
        <w:t>retirement phase and 6.2 per cent in the retirement phase.</w:t>
      </w:r>
    </w:p>
    <w:p w14:paraId="455F757E" w14:textId="77777777" w:rsidR="00E96B29" w:rsidRPr="00027624" w:rsidRDefault="00E96B29" w:rsidP="00E96B29">
      <w:r w:rsidRPr="00027624">
        <w:t>Fees, insurance and drawdown assumptions are based on historical data.</w:t>
      </w:r>
    </w:p>
    <w:p w14:paraId="7A2B2BE6" w14:textId="77777777" w:rsidR="00E96B29" w:rsidRPr="00027624" w:rsidRDefault="00E96B29" w:rsidP="00E96B29">
      <w:r w:rsidRPr="00027624">
        <w:t>Modelling in MARIA is undertaken in nominal dollars. The choice of most useful deflator to present modelling results depends on the context of use.</w:t>
      </w:r>
    </w:p>
    <w:p w14:paraId="6540218B" w14:textId="77777777" w:rsidR="00791570" w:rsidRPr="00027624" w:rsidRDefault="00791570" w:rsidP="00E96B29"/>
    <w:p w14:paraId="6853CF99" w14:textId="77777777" w:rsidR="00791570" w:rsidRPr="00027624" w:rsidRDefault="00791570">
      <w:pPr>
        <w:spacing w:before="0" w:after="160" w:line="259" w:lineRule="auto"/>
      </w:pPr>
      <w:r w:rsidRPr="00027624">
        <w:br w:type="page"/>
      </w:r>
    </w:p>
    <w:p w14:paraId="72501551" w14:textId="77777777" w:rsidR="00E96B29" w:rsidRPr="00027624" w:rsidRDefault="00E96B29" w:rsidP="00E96B29">
      <w:pPr>
        <w:pStyle w:val="TableMainHeading"/>
      </w:pPr>
      <w:r w:rsidRPr="00027624">
        <w:t>MARIA assumptions</w:t>
      </w:r>
    </w:p>
    <w:tbl>
      <w:tblPr>
        <w:tblW w:w="5000" w:type="pct"/>
        <w:tblLook w:val="01E0" w:firstRow="1" w:lastRow="1" w:firstColumn="1" w:lastColumn="1" w:noHBand="0" w:noVBand="0"/>
      </w:tblPr>
      <w:tblGrid>
        <w:gridCol w:w="3020"/>
        <w:gridCol w:w="3026"/>
        <w:gridCol w:w="3024"/>
      </w:tblGrid>
      <w:tr w:rsidR="00E96B29" w:rsidRPr="00027624" w14:paraId="7EB5A43A" w14:textId="77777777" w:rsidTr="00E96B29">
        <w:trPr>
          <w:trHeight w:val="270"/>
          <w:tblHeader/>
        </w:trPr>
        <w:tc>
          <w:tcPr>
            <w:tcW w:w="1665" w:type="pct"/>
            <w:shd w:val="clear" w:color="auto" w:fill="E5E5E5"/>
          </w:tcPr>
          <w:p w14:paraId="054EC47B" w14:textId="77777777" w:rsidR="00E96B29" w:rsidRPr="00027624" w:rsidRDefault="00E96B29" w:rsidP="00E96B29">
            <w:pPr>
              <w:pStyle w:val="TableColumnHeadingCentred"/>
              <w:jc w:val="both"/>
              <w:rPr>
                <w:b w:val="0"/>
              </w:rPr>
            </w:pPr>
            <w:r w:rsidRPr="00027624">
              <w:t xml:space="preserve">Assumption </w:t>
            </w:r>
          </w:p>
        </w:tc>
        <w:tc>
          <w:tcPr>
            <w:tcW w:w="1668" w:type="pct"/>
            <w:shd w:val="clear" w:color="auto" w:fill="E5E5E5"/>
          </w:tcPr>
          <w:p w14:paraId="39D4667F" w14:textId="77777777" w:rsidR="00E96B29" w:rsidRPr="00027624" w:rsidRDefault="00E96B29" w:rsidP="00E96B29">
            <w:pPr>
              <w:pStyle w:val="TableColumnHeadingCentred"/>
              <w:jc w:val="left"/>
              <w:rPr>
                <w:b w:val="0"/>
              </w:rPr>
            </w:pPr>
            <w:r w:rsidRPr="00027624">
              <w:t>Long</w:t>
            </w:r>
            <w:r w:rsidR="00A8443E" w:rsidRPr="00027624">
              <w:noBreakHyphen/>
            </w:r>
            <w:r w:rsidRPr="00027624">
              <w:t>term assumption</w:t>
            </w:r>
          </w:p>
        </w:tc>
        <w:tc>
          <w:tcPr>
            <w:tcW w:w="1667" w:type="pct"/>
            <w:shd w:val="clear" w:color="auto" w:fill="E5E5E5"/>
          </w:tcPr>
          <w:p w14:paraId="246CD860" w14:textId="77777777" w:rsidR="00E96B29" w:rsidRPr="00027624" w:rsidRDefault="00E96B29" w:rsidP="00E96B29">
            <w:pPr>
              <w:pStyle w:val="TableColumnHeadingCentred"/>
              <w:jc w:val="left"/>
              <w:rPr>
                <w:b w:val="0"/>
              </w:rPr>
            </w:pPr>
            <w:r w:rsidRPr="00027624">
              <w:t>Basis</w:t>
            </w:r>
          </w:p>
        </w:tc>
      </w:tr>
      <w:tr w:rsidR="00E96B29" w:rsidRPr="00027624" w14:paraId="731637B3" w14:textId="77777777" w:rsidTr="00E96B29">
        <w:trPr>
          <w:trHeight w:val="270"/>
        </w:trPr>
        <w:tc>
          <w:tcPr>
            <w:tcW w:w="1665" w:type="pct"/>
          </w:tcPr>
          <w:p w14:paraId="196A3E9B" w14:textId="77777777" w:rsidR="00E96B29" w:rsidRPr="00027624" w:rsidRDefault="00E96B29" w:rsidP="00E96B29">
            <w:pPr>
              <w:pStyle w:val="TableTextLeft"/>
            </w:pPr>
            <w:r w:rsidRPr="00027624">
              <w:t>Population growth</w:t>
            </w:r>
          </w:p>
        </w:tc>
        <w:tc>
          <w:tcPr>
            <w:tcW w:w="1668" w:type="pct"/>
          </w:tcPr>
          <w:p w14:paraId="1BF08BC4" w14:textId="77777777" w:rsidR="00E96B29" w:rsidRPr="00027624" w:rsidRDefault="00E96B29" w:rsidP="00E96B29">
            <w:pPr>
              <w:pStyle w:val="TableTextLeft"/>
            </w:pPr>
            <w:r w:rsidRPr="00027624">
              <w:t>Compound average annual growth rate of ~ 1 ¼ per cent, trending down</w:t>
            </w:r>
          </w:p>
        </w:tc>
        <w:tc>
          <w:tcPr>
            <w:tcW w:w="1667" w:type="pct"/>
          </w:tcPr>
          <w:p w14:paraId="762E8E4E" w14:textId="77777777" w:rsidR="00E96B29" w:rsidRPr="00027624" w:rsidRDefault="00E96B29" w:rsidP="00E96B29">
            <w:pPr>
              <w:pStyle w:val="TableTextLeft"/>
            </w:pPr>
            <w:r w:rsidRPr="00027624">
              <w:t>2019</w:t>
            </w:r>
            <w:r w:rsidR="00A8443E" w:rsidRPr="00027624">
              <w:noBreakHyphen/>
            </w:r>
            <w:r w:rsidRPr="00027624">
              <w:t>20 MYEFO, historical data</w:t>
            </w:r>
          </w:p>
        </w:tc>
      </w:tr>
      <w:tr w:rsidR="00E96B29" w:rsidRPr="00027624" w14:paraId="63519264" w14:textId="77777777" w:rsidTr="00E96B29">
        <w:trPr>
          <w:trHeight w:val="270"/>
        </w:trPr>
        <w:tc>
          <w:tcPr>
            <w:tcW w:w="1665" w:type="pct"/>
          </w:tcPr>
          <w:p w14:paraId="3663C77D" w14:textId="77777777" w:rsidR="00E96B29" w:rsidRPr="00027624" w:rsidRDefault="00E96B29" w:rsidP="00E96B29">
            <w:pPr>
              <w:pStyle w:val="TableTextLeft"/>
            </w:pPr>
            <w:r w:rsidRPr="00027624">
              <w:t xml:space="preserve">Nominal GDP </w:t>
            </w:r>
          </w:p>
        </w:tc>
        <w:tc>
          <w:tcPr>
            <w:tcW w:w="1668" w:type="pct"/>
          </w:tcPr>
          <w:p w14:paraId="2CE8CAD2" w14:textId="77777777" w:rsidR="00E96B29" w:rsidRPr="00027624" w:rsidRDefault="00E96B29" w:rsidP="00E96B29">
            <w:pPr>
              <w:pStyle w:val="TableTextLeft"/>
            </w:pPr>
            <w:r w:rsidRPr="00027624">
              <w:t>Compound average annual growth of ~ 5 ¼ per cent, trending down</w:t>
            </w:r>
          </w:p>
        </w:tc>
        <w:tc>
          <w:tcPr>
            <w:tcW w:w="1667" w:type="pct"/>
          </w:tcPr>
          <w:p w14:paraId="79B9ADE8" w14:textId="77777777" w:rsidR="00E96B29" w:rsidRPr="00027624" w:rsidRDefault="00E96B29" w:rsidP="00E96B29">
            <w:pPr>
              <w:pStyle w:val="TableTextLeft"/>
            </w:pPr>
            <w:r w:rsidRPr="00027624">
              <w:t>2019</w:t>
            </w:r>
            <w:r w:rsidR="00A8443E" w:rsidRPr="00027624">
              <w:noBreakHyphen/>
            </w:r>
            <w:r w:rsidRPr="00027624">
              <w:t>20 MYEFO, historical data</w:t>
            </w:r>
          </w:p>
        </w:tc>
      </w:tr>
      <w:tr w:rsidR="00E96B29" w:rsidRPr="00027624" w14:paraId="48229286" w14:textId="77777777" w:rsidTr="00E96B29">
        <w:trPr>
          <w:trHeight w:val="270"/>
        </w:trPr>
        <w:tc>
          <w:tcPr>
            <w:tcW w:w="1665" w:type="pct"/>
          </w:tcPr>
          <w:p w14:paraId="4B6A02EF" w14:textId="77777777" w:rsidR="00E96B29" w:rsidRPr="00027624" w:rsidRDefault="00E96B29" w:rsidP="00E96B29">
            <w:pPr>
              <w:pStyle w:val="TableTextLeft"/>
            </w:pPr>
            <w:r w:rsidRPr="00027624">
              <w:t>Nominal wages</w:t>
            </w:r>
          </w:p>
        </w:tc>
        <w:tc>
          <w:tcPr>
            <w:tcW w:w="1668" w:type="pct"/>
          </w:tcPr>
          <w:p w14:paraId="3CFF6749" w14:textId="77777777" w:rsidR="00E96B29" w:rsidRPr="00027624" w:rsidRDefault="00E96B29" w:rsidP="00E96B29">
            <w:pPr>
              <w:pStyle w:val="TableTextLeft"/>
            </w:pPr>
            <w:r w:rsidRPr="00027624">
              <w:t>Compound average annual growth of ~ 4 per cent</w:t>
            </w:r>
          </w:p>
        </w:tc>
        <w:tc>
          <w:tcPr>
            <w:tcW w:w="1667" w:type="pct"/>
          </w:tcPr>
          <w:p w14:paraId="2D2A3AE8" w14:textId="77777777" w:rsidR="00E96B29" w:rsidRPr="00027624" w:rsidRDefault="00E96B29" w:rsidP="00E96B29">
            <w:pPr>
              <w:pStyle w:val="TableTextLeft"/>
            </w:pPr>
            <w:r w:rsidRPr="00027624">
              <w:t>2019</w:t>
            </w:r>
            <w:r w:rsidR="00A8443E" w:rsidRPr="00027624">
              <w:noBreakHyphen/>
            </w:r>
            <w:r w:rsidRPr="00027624">
              <w:t>20 MYEFO, historical data</w:t>
            </w:r>
          </w:p>
        </w:tc>
      </w:tr>
      <w:tr w:rsidR="00E96B29" w:rsidRPr="00027624" w14:paraId="3ABC0212" w14:textId="77777777" w:rsidTr="00E96B29">
        <w:trPr>
          <w:trHeight w:val="270"/>
        </w:trPr>
        <w:tc>
          <w:tcPr>
            <w:tcW w:w="1665" w:type="pct"/>
          </w:tcPr>
          <w:p w14:paraId="715BFA04" w14:textId="77777777" w:rsidR="00E96B29" w:rsidRPr="00027624" w:rsidRDefault="00E96B29" w:rsidP="00E96B29">
            <w:pPr>
              <w:pStyle w:val="TableTextLeft"/>
            </w:pPr>
            <w:r w:rsidRPr="00027624">
              <w:t>Inflation</w:t>
            </w:r>
          </w:p>
        </w:tc>
        <w:tc>
          <w:tcPr>
            <w:tcW w:w="1668" w:type="pct"/>
          </w:tcPr>
          <w:p w14:paraId="70935566" w14:textId="77777777" w:rsidR="00E96B29" w:rsidRPr="00027624" w:rsidRDefault="00E96B29" w:rsidP="00E96B29">
            <w:pPr>
              <w:pStyle w:val="TableTextLeft"/>
            </w:pPr>
            <w:r w:rsidRPr="00027624">
              <w:t>Compound average annual growth of ~ 2 ½ per cent</w:t>
            </w:r>
          </w:p>
        </w:tc>
        <w:tc>
          <w:tcPr>
            <w:tcW w:w="1667" w:type="pct"/>
          </w:tcPr>
          <w:p w14:paraId="5F402443" w14:textId="77777777" w:rsidR="00E96B29" w:rsidRPr="00027624" w:rsidRDefault="00E96B29" w:rsidP="00E96B29">
            <w:pPr>
              <w:pStyle w:val="TableTextLeft"/>
            </w:pPr>
            <w:r w:rsidRPr="00027624">
              <w:t>2019</w:t>
            </w:r>
            <w:r w:rsidR="00A8443E" w:rsidRPr="00027624">
              <w:noBreakHyphen/>
            </w:r>
            <w:r w:rsidRPr="00027624">
              <w:t>20 MYEFO, historical data</w:t>
            </w:r>
          </w:p>
        </w:tc>
      </w:tr>
      <w:tr w:rsidR="00E96B29" w:rsidRPr="00027624" w14:paraId="79A0FF3D" w14:textId="77777777" w:rsidTr="00E96B29">
        <w:trPr>
          <w:trHeight w:val="270"/>
        </w:trPr>
        <w:tc>
          <w:tcPr>
            <w:tcW w:w="1665" w:type="pct"/>
          </w:tcPr>
          <w:p w14:paraId="59A83D4F" w14:textId="77777777" w:rsidR="00E96B29" w:rsidRPr="00027624" w:rsidRDefault="00E96B29" w:rsidP="00E96B29">
            <w:pPr>
              <w:pStyle w:val="TableTextLeft"/>
            </w:pPr>
            <w:r w:rsidRPr="00027624">
              <w:t>Investment earnings</w:t>
            </w:r>
          </w:p>
        </w:tc>
        <w:tc>
          <w:tcPr>
            <w:tcW w:w="1668" w:type="pct"/>
          </w:tcPr>
          <w:p w14:paraId="2644F88F" w14:textId="77777777" w:rsidR="00E96B29" w:rsidRPr="00027624" w:rsidRDefault="00E96B29" w:rsidP="00E96B29">
            <w:pPr>
              <w:pStyle w:val="TableTextLeft"/>
            </w:pPr>
            <w:r w:rsidRPr="00027624">
              <w:t>7.5 per cent pre</w:t>
            </w:r>
            <w:r w:rsidR="00A8443E" w:rsidRPr="00027624">
              <w:noBreakHyphen/>
            </w:r>
            <w:r w:rsidRPr="00027624">
              <w:t>retirement phase</w:t>
            </w:r>
          </w:p>
          <w:p w14:paraId="3F005F44" w14:textId="77777777" w:rsidR="00E96B29" w:rsidRPr="00027624" w:rsidRDefault="00E96B29" w:rsidP="00E96B29">
            <w:pPr>
              <w:pStyle w:val="TableTextLeft"/>
            </w:pPr>
            <w:r w:rsidRPr="00027624">
              <w:t xml:space="preserve">6.2 per cent retirement phase </w:t>
            </w:r>
          </w:p>
        </w:tc>
        <w:tc>
          <w:tcPr>
            <w:tcW w:w="1667" w:type="pct"/>
          </w:tcPr>
          <w:p w14:paraId="0C537AF7" w14:textId="77777777" w:rsidR="00E96B29" w:rsidRPr="00027624" w:rsidRDefault="00E96B29" w:rsidP="00E96B29">
            <w:pPr>
              <w:pStyle w:val="TableTextLeft"/>
            </w:pPr>
            <w:r w:rsidRPr="00027624">
              <w:t>Advice from the Australian Government Actuary</w:t>
            </w:r>
          </w:p>
        </w:tc>
      </w:tr>
      <w:tr w:rsidR="00E96B29" w:rsidRPr="00027624" w14:paraId="6D57ABC7" w14:textId="77777777" w:rsidTr="00E96B29">
        <w:trPr>
          <w:trHeight w:val="270"/>
        </w:trPr>
        <w:tc>
          <w:tcPr>
            <w:tcW w:w="1665" w:type="pct"/>
          </w:tcPr>
          <w:p w14:paraId="306CB921" w14:textId="77777777" w:rsidR="00E96B29" w:rsidRPr="00027624" w:rsidRDefault="00E96B29" w:rsidP="00E96B29">
            <w:pPr>
              <w:pStyle w:val="TableTextLeft"/>
            </w:pPr>
            <w:r w:rsidRPr="00027624">
              <w:t>Investment earnings tax</w:t>
            </w:r>
          </w:p>
        </w:tc>
        <w:tc>
          <w:tcPr>
            <w:tcW w:w="1668" w:type="pct"/>
          </w:tcPr>
          <w:p w14:paraId="5606E51A" w14:textId="77777777" w:rsidR="00E96B29" w:rsidRPr="00027624" w:rsidRDefault="00E96B29" w:rsidP="00E96B29">
            <w:pPr>
              <w:pStyle w:val="TableTextLeft"/>
            </w:pPr>
            <w:r w:rsidRPr="00027624">
              <w:t>15 per cent (accumulation only)</w:t>
            </w:r>
          </w:p>
        </w:tc>
        <w:tc>
          <w:tcPr>
            <w:tcW w:w="1667" w:type="pct"/>
          </w:tcPr>
          <w:p w14:paraId="61900689" w14:textId="77777777" w:rsidR="00E96B29" w:rsidRPr="00027624" w:rsidRDefault="00E96B29" w:rsidP="00E96B29">
            <w:pPr>
              <w:pStyle w:val="TableTextLeft"/>
            </w:pPr>
            <w:r w:rsidRPr="00027624">
              <w:t>Legislation</w:t>
            </w:r>
          </w:p>
        </w:tc>
      </w:tr>
      <w:tr w:rsidR="00E96B29" w:rsidRPr="00027624" w14:paraId="19E177BC" w14:textId="77777777" w:rsidTr="00E96B29">
        <w:trPr>
          <w:trHeight w:val="270"/>
        </w:trPr>
        <w:tc>
          <w:tcPr>
            <w:tcW w:w="1665" w:type="pct"/>
          </w:tcPr>
          <w:p w14:paraId="5765F4B7" w14:textId="77777777" w:rsidR="00E96B29" w:rsidRPr="00027624" w:rsidRDefault="00E96B29" w:rsidP="00E96B29">
            <w:pPr>
              <w:pStyle w:val="TableTextLeft"/>
            </w:pPr>
            <w:r w:rsidRPr="00027624">
              <w:t>Effective</w:t>
            </w:r>
            <w:r w:rsidRPr="00027624">
              <w:rPr>
                <w:i/>
              </w:rPr>
              <w:t xml:space="preserve"> </w:t>
            </w:r>
            <w:r w:rsidRPr="00027624">
              <w:t>investment earnings tax</w:t>
            </w:r>
          </w:p>
        </w:tc>
        <w:tc>
          <w:tcPr>
            <w:tcW w:w="1668" w:type="pct"/>
          </w:tcPr>
          <w:p w14:paraId="7D6A0165" w14:textId="77777777" w:rsidR="00E96B29" w:rsidRPr="00027624" w:rsidRDefault="00E96B29" w:rsidP="00E96B29">
            <w:pPr>
              <w:pStyle w:val="TableTextLeft"/>
            </w:pPr>
            <w:r w:rsidRPr="00027624">
              <w:t>Variable</w:t>
            </w:r>
            <w:r w:rsidRPr="00027624">
              <w:rPr>
                <w:rStyle w:val="FootnoteReference"/>
              </w:rPr>
              <w:footnoteReference w:id="337"/>
            </w:r>
          </w:p>
        </w:tc>
        <w:tc>
          <w:tcPr>
            <w:tcW w:w="1667" w:type="pct"/>
          </w:tcPr>
          <w:p w14:paraId="66C475A0" w14:textId="77777777" w:rsidR="00E96B29" w:rsidRPr="00027624" w:rsidRDefault="00E96B29" w:rsidP="00E96B29">
            <w:pPr>
              <w:pStyle w:val="TableTextLeft"/>
            </w:pPr>
            <w:r w:rsidRPr="00027624">
              <w:t>Calculated within model</w:t>
            </w:r>
          </w:p>
        </w:tc>
      </w:tr>
      <w:tr w:rsidR="00E96B29" w:rsidRPr="00027624" w14:paraId="30634870" w14:textId="77777777" w:rsidTr="00E96B29">
        <w:trPr>
          <w:trHeight w:val="270"/>
        </w:trPr>
        <w:tc>
          <w:tcPr>
            <w:tcW w:w="1665" w:type="pct"/>
          </w:tcPr>
          <w:p w14:paraId="79BB1D64" w14:textId="77777777" w:rsidR="00E96B29" w:rsidRPr="00027624" w:rsidRDefault="00E96B29" w:rsidP="00E96B29">
            <w:pPr>
              <w:pStyle w:val="TableTextLeft"/>
            </w:pPr>
            <w:r w:rsidRPr="00027624">
              <w:t xml:space="preserve">Fees </w:t>
            </w:r>
          </w:p>
        </w:tc>
        <w:tc>
          <w:tcPr>
            <w:tcW w:w="1668" w:type="pct"/>
          </w:tcPr>
          <w:p w14:paraId="1A638B14" w14:textId="77777777" w:rsidR="00E96B29" w:rsidRPr="00027624" w:rsidRDefault="00E96B29" w:rsidP="00E96B29">
            <w:pPr>
              <w:pStyle w:val="TableTextLeft"/>
            </w:pPr>
            <w:r w:rsidRPr="00027624">
              <w:t>Annual fees are calculated as $74 (indexed to average weekly earnings) plus 0.85 per cent of the account balance</w:t>
            </w:r>
          </w:p>
        </w:tc>
        <w:tc>
          <w:tcPr>
            <w:tcW w:w="1667" w:type="pct"/>
          </w:tcPr>
          <w:p w14:paraId="77DB3A94" w14:textId="77777777" w:rsidR="00E96B29" w:rsidRPr="00027624" w:rsidRDefault="00E96B29" w:rsidP="00E96B29">
            <w:pPr>
              <w:pStyle w:val="TableTextLeft"/>
            </w:pPr>
            <w:r w:rsidRPr="00027624">
              <w:t xml:space="preserve">Historical data </w:t>
            </w:r>
          </w:p>
        </w:tc>
      </w:tr>
      <w:tr w:rsidR="00E96B29" w:rsidRPr="00027624" w14:paraId="381D209B" w14:textId="77777777" w:rsidTr="00E96B29">
        <w:trPr>
          <w:trHeight w:val="270"/>
        </w:trPr>
        <w:tc>
          <w:tcPr>
            <w:tcW w:w="1665" w:type="pct"/>
          </w:tcPr>
          <w:p w14:paraId="6BDEB026" w14:textId="77777777" w:rsidR="00E96B29" w:rsidRPr="00027624" w:rsidRDefault="00E96B29" w:rsidP="00E96B29">
            <w:pPr>
              <w:pStyle w:val="TableTextLeft"/>
            </w:pPr>
            <w:r w:rsidRPr="00027624">
              <w:t xml:space="preserve">Insurance premiums </w:t>
            </w:r>
          </w:p>
        </w:tc>
        <w:tc>
          <w:tcPr>
            <w:tcW w:w="1668" w:type="pct"/>
          </w:tcPr>
          <w:p w14:paraId="59189C3C" w14:textId="77777777" w:rsidR="00E96B29" w:rsidRPr="00027624" w:rsidRDefault="00E96B29" w:rsidP="00E96B29">
            <w:pPr>
              <w:pStyle w:val="TableTextLeft"/>
            </w:pPr>
            <w:r w:rsidRPr="00027624">
              <w:t>$214 (indexed to average weekly earnings)</w:t>
            </w:r>
          </w:p>
        </w:tc>
        <w:tc>
          <w:tcPr>
            <w:tcW w:w="1667" w:type="pct"/>
          </w:tcPr>
          <w:p w14:paraId="202EA282" w14:textId="77777777" w:rsidR="00E96B29" w:rsidRPr="00027624" w:rsidRDefault="00E96B29" w:rsidP="00E96B29">
            <w:pPr>
              <w:pStyle w:val="TableTextLeft"/>
            </w:pPr>
            <w:r w:rsidRPr="00027624">
              <w:t xml:space="preserve">Historical data </w:t>
            </w:r>
          </w:p>
        </w:tc>
      </w:tr>
      <w:tr w:rsidR="00E96B29" w:rsidRPr="00027624" w14:paraId="3175345D" w14:textId="77777777" w:rsidTr="00E96B29">
        <w:trPr>
          <w:trHeight w:val="270"/>
        </w:trPr>
        <w:tc>
          <w:tcPr>
            <w:tcW w:w="1665" w:type="pct"/>
          </w:tcPr>
          <w:p w14:paraId="5078A9CF" w14:textId="77777777" w:rsidR="00E96B29" w:rsidRPr="00027624" w:rsidRDefault="00E96B29" w:rsidP="00E96B29">
            <w:pPr>
              <w:pStyle w:val="TableTextLeft"/>
            </w:pPr>
            <w:r w:rsidRPr="00027624">
              <w:t xml:space="preserve">Superannuation drawdown rate </w:t>
            </w:r>
          </w:p>
        </w:tc>
        <w:tc>
          <w:tcPr>
            <w:tcW w:w="1668" w:type="pct"/>
          </w:tcPr>
          <w:p w14:paraId="40173953" w14:textId="77777777" w:rsidR="00E96B29" w:rsidRPr="00027624" w:rsidRDefault="00E96B29" w:rsidP="00E96B29">
            <w:pPr>
              <w:pStyle w:val="TableTextLeft"/>
            </w:pPr>
            <w:r w:rsidRPr="00027624">
              <w:t>Observed drawdown rates</w:t>
            </w:r>
          </w:p>
        </w:tc>
        <w:tc>
          <w:tcPr>
            <w:tcW w:w="1667" w:type="pct"/>
          </w:tcPr>
          <w:p w14:paraId="55FEF7CC" w14:textId="77777777" w:rsidR="00E96B29" w:rsidRPr="00027624" w:rsidRDefault="00E96B29" w:rsidP="00E96B29">
            <w:pPr>
              <w:pStyle w:val="TableTextLeft"/>
            </w:pPr>
            <w:r w:rsidRPr="00027624">
              <w:t>Historical administrative data from pension recipients and SMSFs.</w:t>
            </w:r>
          </w:p>
        </w:tc>
      </w:tr>
      <w:tr w:rsidR="00E96B29" w:rsidRPr="00027624" w14:paraId="65FB7722" w14:textId="77777777" w:rsidTr="00E96B29">
        <w:trPr>
          <w:trHeight w:val="270"/>
        </w:trPr>
        <w:tc>
          <w:tcPr>
            <w:tcW w:w="1665" w:type="pct"/>
          </w:tcPr>
          <w:p w14:paraId="786692CC" w14:textId="77777777" w:rsidR="00E96B29" w:rsidRPr="00027624" w:rsidRDefault="00E96B29" w:rsidP="00E96B29">
            <w:pPr>
              <w:pStyle w:val="TableTextLeft"/>
            </w:pPr>
            <w:r w:rsidRPr="00027624">
              <w:t>Wage pass</w:t>
            </w:r>
            <w:r w:rsidR="00A8443E" w:rsidRPr="00027624">
              <w:noBreakHyphen/>
            </w:r>
            <w:r w:rsidRPr="00027624">
              <w:t>through</w:t>
            </w:r>
          </w:p>
        </w:tc>
        <w:tc>
          <w:tcPr>
            <w:tcW w:w="1668" w:type="pct"/>
          </w:tcPr>
          <w:p w14:paraId="121A9319" w14:textId="77777777" w:rsidR="00E96B29" w:rsidRPr="00027624" w:rsidRDefault="00E96B29" w:rsidP="00E96B29">
            <w:pPr>
              <w:pStyle w:val="TableTextLeft"/>
            </w:pPr>
            <w:r w:rsidRPr="00027624">
              <w:t>SG increases pass</w:t>
            </w:r>
            <w:r w:rsidR="00A8443E" w:rsidRPr="00027624">
              <w:noBreakHyphen/>
            </w:r>
            <w:r w:rsidRPr="00027624">
              <w:t>through 100 per cent to individuals via reduced salary sacrifice contributions and wage growth</w:t>
            </w:r>
          </w:p>
        </w:tc>
        <w:tc>
          <w:tcPr>
            <w:tcW w:w="1667" w:type="pct"/>
          </w:tcPr>
          <w:p w14:paraId="2089EAA5" w14:textId="77777777" w:rsidR="00E96B29" w:rsidRPr="00027624" w:rsidRDefault="00E96B29" w:rsidP="00E96B29">
            <w:pPr>
              <w:pStyle w:val="TableTextLeft"/>
            </w:pPr>
            <w:r w:rsidRPr="00027624">
              <w:t>Evidence base detailed above</w:t>
            </w:r>
          </w:p>
        </w:tc>
      </w:tr>
    </w:tbl>
    <w:p w14:paraId="7B164038" w14:textId="77777777" w:rsidR="00E96B29" w:rsidRPr="00027624" w:rsidRDefault="00E96B29" w:rsidP="00E96B29">
      <w:pPr>
        <w:pStyle w:val="Heading3"/>
      </w:pPr>
      <w:r w:rsidRPr="00027624">
        <w:t>Scenario assumptions</w:t>
      </w:r>
    </w:p>
    <w:p w14:paraId="1FAAA1A0" w14:textId="77777777" w:rsidR="00E96B29" w:rsidRPr="00027624" w:rsidRDefault="00E96B29" w:rsidP="00E96B29">
      <w:r w:rsidRPr="00027624">
        <w:t>Three scenarios were completed to support the review:</w:t>
      </w:r>
    </w:p>
    <w:p w14:paraId="70074593" w14:textId="77777777" w:rsidR="00E96B29" w:rsidRPr="00027624" w:rsidRDefault="00E96B29" w:rsidP="00E96B29">
      <w:pPr>
        <w:pStyle w:val="Bullet"/>
      </w:pPr>
      <w:r w:rsidRPr="00027624">
        <w:t>A scenario in which the SG rate stays constant at 9.5 per cent (rather than rising gradually to 12</w:t>
      </w:r>
      <w:r w:rsidRPr="00027624" w:rsidDel="0068007C">
        <w:t> per</w:t>
      </w:r>
      <w:r w:rsidRPr="00027624">
        <w:t> cent in the near future).</w:t>
      </w:r>
    </w:p>
    <w:p w14:paraId="6204F90F" w14:textId="77777777" w:rsidR="00E96B29" w:rsidRPr="00027624" w:rsidRDefault="00E96B29" w:rsidP="00E96B29">
      <w:pPr>
        <w:pStyle w:val="Bullet"/>
      </w:pPr>
      <w:r w:rsidRPr="00027624">
        <w:t>A scenario in which superannuation drawdown is based on CPI</w:t>
      </w:r>
      <w:r w:rsidR="00A8443E" w:rsidRPr="00027624">
        <w:noBreakHyphen/>
      </w:r>
      <w:r w:rsidRPr="00027624">
        <w:t xml:space="preserve">indexed annuitised income stream, such that </w:t>
      </w:r>
      <w:r w:rsidR="00885DFE" w:rsidRPr="00027624">
        <w:t>people</w:t>
      </w:r>
      <w:r w:rsidRPr="00027624">
        <w:t xml:space="preserve"> target the exhaustion of their superannuation assets at age 92.</w:t>
      </w:r>
    </w:p>
    <w:p w14:paraId="73D39A93" w14:textId="77777777" w:rsidR="00E96B29" w:rsidRPr="00027624" w:rsidRDefault="00E96B29" w:rsidP="00E96B29">
      <w:pPr>
        <w:pStyle w:val="Bullet"/>
      </w:pPr>
      <w:r w:rsidRPr="00027624">
        <w:t>A scenario in which the long</w:t>
      </w:r>
      <w:r w:rsidR="00A8443E" w:rsidRPr="00027624">
        <w:noBreakHyphen/>
      </w:r>
      <w:r w:rsidRPr="00027624">
        <w:t>run impact of a large short</w:t>
      </w:r>
      <w:r w:rsidR="00A8443E" w:rsidRPr="00027624">
        <w:noBreakHyphen/>
      </w:r>
      <w:r w:rsidRPr="00027624">
        <w:t>run shock to the retirement income system is modelled. This scenario is covered in detail in Box 4</w:t>
      </w:r>
      <w:r w:rsidR="0002589F">
        <w:t>A-4</w:t>
      </w:r>
      <w:r w:rsidRPr="00027624">
        <w:t xml:space="preserve"> of </w:t>
      </w:r>
      <w:r w:rsidRPr="00027624">
        <w:rPr>
          <w:i/>
        </w:rPr>
        <w:t>4. Sustainability.</w:t>
      </w:r>
    </w:p>
    <w:p w14:paraId="17DDE959" w14:textId="77777777" w:rsidR="00E96B29" w:rsidRPr="00027624" w:rsidRDefault="00E96B29" w:rsidP="00E96B29">
      <w:pPr>
        <w:pStyle w:val="Heading4"/>
      </w:pPr>
      <w:r w:rsidRPr="00027624">
        <w:t>Constant Superannuation Guarantee</w:t>
      </w:r>
    </w:p>
    <w:p w14:paraId="374DBD32" w14:textId="77777777" w:rsidR="00E96B29" w:rsidRPr="00027624" w:rsidRDefault="00E96B29" w:rsidP="00E96B29">
      <w:r w:rsidRPr="00027624">
        <w:t xml:space="preserve">The SG policy scenario examined the fiscal impact of maintaining the SG rate at 9.5 per cent compared with proceeding with the legislated increase in the SG rate to 12 per cent. MARIA was used to estimate the change in </w:t>
      </w:r>
      <w:r w:rsidRPr="00027624" w:rsidDel="0068007C">
        <w:t>Age</w:t>
      </w:r>
      <w:r w:rsidRPr="00027624">
        <w:t> Pension expenditure, superannuation taxes and income taxes on wages and salaries. The fiscal modelling assumed there would be full pass</w:t>
      </w:r>
      <w:r w:rsidR="00A8443E" w:rsidRPr="00027624">
        <w:noBreakHyphen/>
      </w:r>
      <w:r w:rsidRPr="00027624">
        <w:t>through of the changes in the SG rate to employees through wages growth and reduced salary sacrifice.</w:t>
      </w:r>
    </w:p>
    <w:p w14:paraId="3C5FF40B" w14:textId="77777777" w:rsidR="00E96B29" w:rsidRPr="00027624" w:rsidRDefault="00E96B29" w:rsidP="00E96B29">
      <w:r w:rsidRPr="00027624">
        <w:t>Costs associated with an increase in SG can be borne by wages, company profits, employment or prices. For modelling purposes, the average tax rate paid on company profits is more similar to the average tax rate paid by workers, compared to assuming the remaining 20 per cent has no tax implications. Not assuming full pass</w:t>
      </w:r>
      <w:r w:rsidR="00A8443E" w:rsidRPr="00027624">
        <w:noBreakHyphen/>
      </w:r>
      <w:r w:rsidRPr="00027624">
        <w:t>through in the context of the model is unrealistic as it would mean that 20 per cent of the impact is not passed through to any part of the economy and would not be taxed in any form. Modelling of budget effects therefore assumes 100</w:t>
      </w:r>
      <w:r w:rsidRPr="00027624" w:rsidDel="0068007C">
        <w:t> per cent</w:t>
      </w:r>
      <w:r w:rsidRPr="00027624">
        <w:t xml:space="preserve"> pass</w:t>
      </w:r>
      <w:r w:rsidR="00A8443E" w:rsidRPr="00027624">
        <w:noBreakHyphen/>
      </w:r>
      <w:r w:rsidRPr="00027624">
        <w:t>through (see 2D. Policy scenario: Implications of maintaining the SG rate).</w:t>
      </w:r>
    </w:p>
    <w:p w14:paraId="48220B69" w14:textId="77777777" w:rsidR="00E96B29" w:rsidRPr="00027624" w:rsidRDefault="00E96B29" w:rsidP="00E96B29">
      <w:r w:rsidRPr="00027624">
        <w:t>MARIA is not designed to model the impact of the SG policy scenario on the broader economy. In particular, MARIA is not suitable for modelling of the impact of maintaining the SG rate at 9.5 per cent on the economy</w:t>
      </w:r>
      <w:r w:rsidR="00A8443E" w:rsidRPr="00027624">
        <w:noBreakHyphen/>
      </w:r>
      <w:r w:rsidRPr="00027624">
        <w:t xml:space="preserve">wide measures of wage growth used to index the </w:t>
      </w:r>
      <w:r w:rsidRPr="00027624" w:rsidDel="0068007C">
        <w:t>Age</w:t>
      </w:r>
      <w:r w:rsidRPr="00027624">
        <w:t> Pension</w:t>
      </w:r>
      <w:r w:rsidRPr="00027624" w:rsidDel="00BF4A76">
        <w:t xml:space="preserve"> </w:t>
      </w:r>
      <w:r w:rsidRPr="00027624">
        <w:t xml:space="preserve">payment rate. </w:t>
      </w:r>
      <w:r w:rsidRPr="00027624" w:rsidDel="0068007C">
        <w:t>Age</w:t>
      </w:r>
      <w:r w:rsidRPr="00027624">
        <w:t xml:space="preserve"> Pension expenditure projections from MARIA do not incorporate the impact of higher wage growth on the indexation of </w:t>
      </w:r>
      <w:r w:rsidRPr="00027624" w:rsidDel="0068007C">
        <w:t>Age</w:t>
      </w:r>
      <w:r w:rsidRPr="00027624">
        <w:t> Pension amounts.</w:t>
      </w:r>
    </w:p>
    <w:p w14:paraId="5D1C8493" w14:textId="77777777" w:rsidR="00E96B29" w:rsidRPr="00027624" w:rsidRDefault="00E96B29" w:rsidP="00E96B29">
      <w:r w:rsidRPr="00027624">
        <w:t>Differences between MARIA and the review</w:t>
      </w:r>
      <w:r w:rsidR="00A8443E" w:rsidRPr="00027624">
        <w:t>’</w:t>
      </w:r>
      <w:r w:rsidRPr="00027624">
        <w:t xml:space="preserve">s modelling framework for savings outside superannuation meant </w:t>
      </w:r>
      <w:r w:rsidRPr="00027624" w:rsidDel="0068007C">
        <w:t>Age</w:t>
      </w:r>
      <w:r w:rsidRPr="00027624">
        <w:t> Pension expenditure projections do not capture the impact of higher savings outside of superannuation on means testing. Effects are expected to be small because the extra savings are likely to be predominantly made by high</w:t>
      </w:r>
      <w:r w:rsidR="00A8443E" w:rsidRPr="00027624">
        <w:noBreakHyphen/>
      </w:r>
      <w:r w:rsidRPr="00027624">
        <w:t>income earners.</w:t>
      </w:r>
    </w:p>
    <w:p w14:paraId="2A16D58B" w14:textId="77777777" w:rsidR="00E96B29" w:rsidRPr="00027624" w:rsidRDefault="00E96B29" w:rsidP="00E96B29">
      <w:pPr>
        <w:pStyle w:val="Heading4"/>
      </w:pPr>
      <w:r w:rsidRPr="00027624">
        <w:t>Annuitised drawdown</w:t>
      </w:r>
    </w:p>
    <w:p w14:paraId="490AFCAE" w14:textId="77777777" w:rsidR="00E96B29" w:rsidRPr="00027624" w:rsidRDefault="00E96B29" w:rsidP="00E96B29">
      <w:pPr>
        <w:spacing w:before="0" w:after="160" w:line="259" w:lineRule="auto"/>
      </w:pPr>
      <w:r w:rsidRPr="00027624">
        <w:t xml:space="preserve">Under the baseline, retired </w:t>
      </w:r>
      <w:r w:rsidR="00885DFE" w:rsidRPr="00027624">
        <w:t>people</w:t>
      </w:r>
      <w:r w:rsidRPr="00027624">
        <w:t xml:space="preserve"> modelled in MARIA draw down superannuation from </w:t>
      </w:r>
      <w:r w:rsidRPr="00027624" w:rsidDel="00335A52">
        <w:t>account</w:t>
      </w:r>
      <w:r w:rsidR="00A8443E" w:rsidRPr="00027624">
        <w:noBreakHyphen/>
      </w:r>
      <w:r w:rsidRPr="00027624">
        <w:t>based pensions at rates based on observed drawdown rates. In this scenario, all retirees are assumed to draw down using CPI</w:t>
      </w:r>
      <w:r w:rsidR="00A8443E" w:rsidRPr="00027624">
        <w:noBreakHyphen/>
      </w:r>
      <w:r w:rsidRPr="00027624">
        <w:t xml:space="preserve">indexed, annuitised income streams to age 92. </w:t>
      </w:r>
      <w:r w:rsidRPr="00027624" w:rsidDel="00316D6D">
        <w:t>An</w:t>
      </w:r>
      <w:r w:rsidRPr="00027624">
        <w:t xml:space="preserve"> annuitised drawdown </w:t>
      </w:r>
      <w:r w:rsidRPr="00027624" w:rsidDel="00316D6D">
        <w:t>assumption better matches that employed by</w:t>
      </w:r>
      <w:r w:rsidRPr="00027624">
        <w:t xml:space="preserve"> the review</w:t>
      </w:r>
      <w:r w:rsidR="00A8443E" w:rsidRPr="00027624">
        <w:t>’</w:t>
      </w:r>
      <w:r w:rsidRPr="00027624">
        <w:t>s cameo model (detailed above).</w:t>
      </w:r>
    </w:p>
    <w:p w14:paraId="458C681E" w14:textId="7791E2D5" w:rsidR="00E96B29" w:rsidRPr="00027624" w:rsidRDefault="00E96B29" w:rsidP="00E96B29">
      <w:pPr>
        <w:spacing w:before="0" w:after="160" w:line="259" w:lineRule="auto"/>
      </w:pPr>
      <w:r w:rsidRPr="00027624">
        <w:t xml:space="preserve">This scenario leads to retiree assets being depleted quicker, increasing </w:t>
      </w:r>
      <w:r w:rsidRPr="00027624" w:rsidDel="0068007C">
        <w:t>Age</w:t>
      </w:r>
      <w:r w:rsidRPr="00027624">
        <w:t> Pension entitlements and therefore the share of the retiree population receiving a pension (</w:t>
      </w:r>
      <w:r w:rsidRPr="00027624">
        <w:fldChar w:fldCharType="begin"/>
      </w:r>
      <w:r w:rsidRPr="00027624">
        <w:instrText xml:space="preserve"> REF _Ref44779050 \r \h  \* MERGEFORMAT </w:instrText>
      </w:r>
      <w:r w:rsidRPr="00027624">
        <w:fldChar w:fldCharType="separate"/>
      </w:r>
      <w:r w:rsidR="00891058">
        <w:t>Chart 6A-39</w:t>
      </w:r>
      <w:r w:rsidRPr="00027624">
        <w:fldChar w:fldCharType="end"/>
      </w:r>
      <w:r w:rsidRPr="00027624">
        <w:t>).</w:t>
      </w:r>
    </w:p>
    <w:p w14:paraId="3683169F" w14:textId="77777777" w:rsidR="00E96B29" w:rsidRPr="00027624" w:rsidRDefault="00E96B29" w:rsidP="00E96B29">
      <w:pPr>
        <w:pStyle w:val="ChartMainHeading"/>
      </w:pPr>
      <w:bookmarkStart w:id="4314" w:name="_Ref42703012"/>
      <w:bookmarkStart w:id="4315" w:name="_Ref44779050"/>
      <w:r w:rsidRPr="00027624">
        <w:t>Projected Age Pension population</w:t>
      </w:r>
      <w:bookmarkEnd w:id="4314"/>
      <w:bookmarkEnd w:id="4315"/>
      <w:r w:rsidR="00A8443E" w:rsidRPr="00027624">
        <w:t xml:space="preserve"> — </w:t>
      </w:r>
      <w:r w:rsidRPr="00027624">
        <w:t>baseline (solid) and annuitised drawdown scenario (dashed)</w:t>
      </w:r>
    </w:p>
    <w:p w14:paraId="5E07B5CA" w14:textId="77777777" w:rsidR="00E96B29" w:rsidRPr="00027624" w:rsidRDefault="0069215F" w:rsidP="00E96B29">
      <w:pPr>
        <w:pStyle w:val="ChartGraphic"/>
      </w:pPr>
      <w:r>
        <w:rPr>
          <w:noProof/>
        </w:rPr>
        <w:drawing>
          <wp:inline distT="0" distB="0" distL="0" distR="0" wp14:anchorId="5C898158" wp14:editId="2233EF80">
            <wp:extent cx="5585460" cy="2613660"/>
            <wp:effectExtent l="0" t="0" r="0" b="0"/>
            <wp:docPr id="69809827" name="Picture 69809827" descr="This chart shows that under an annuitised drawdown scenario compared to the baseline, there is a greater number of age pensioners due to an increase in max-rate pensioners." title="Chart 6A-39 Projected Age Pension population – baseline (solid) and annuitised drawdown scenario (da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585460" cy="2613660"/>
                    </a:xfrm>
                    <a:prstGeom prst="rect">
                      <a:avLst/>
                    </a:prstGeom>
                    <a:noFill/>
                  </pic:spPr>
                </pic:pic>
              </a:graphicData>
            </a:graphic>
          </wp:inline>
        </w:drawing>
      </w:r>
    </w:p>
    <w:p w14:paraId="68D5F307" w14:textId="77777777" w:rsidR="00E96B29" w:rsidRPr="00027624" w:rsidRDefault="00E96B29">
      <w:pPr>
        <w:pStyle w:val="ChartorTableNote"/>
      </w:pPr>
      <w:r w:rsidRPr="00027624">
        <w:t>Note:</w:t>
      </w:r>
      <w:r w:rsidRPr="00027624" w:rsidDel="00A94AB8">
        <w:t xml:space="preserve"> </w:t>
      </w:r>
      <w:r w:rsidRPr="00027624" w:rsidDel="0068007C">
        <w:t>Age</w:t>
      </w:r>
      <w:r w:rsidRPr="00027624">
        <w:t> Pension population includes those eligible for age, carer, disability support and service pensions. Source: Treasury estimates for the review using MARIA.</w:t>
      </w:r>
    </w:p>
    <w:p w14:paraId="72D93BEA" w14:textId="552E9FBE" w:rsidR="00E96B29" w:rsidRPr="00027624" w:rsidRDefault="00E96B29" w:rsidP="00E96B29">
      <w:pPr>
        <w:spacing w:before="0" w:after="160" w:line="259" w:lineRule="auto"/>
      </w:pPr>
      <w:r w:rsidRPr="00027624">
        <w:t>More age pension</w:t>
      </w:r>
      <w:r w:rsidRPr="00027624" w:rsidDel="005C12BC">
        <w:t xml:space="preserve">ers </w:t>
      </w:r>
      <w:r w:rsidRPr="00027624">
        <w:t xml:space="preserve">means slightly higher </w:t>
      </w:r>
      <w:r w:rsidRPr="00027624" w:rsidDel="0068007C">
        <w:t>Age</w:t>
      </w:r>
      <w:r w:rsidRPr="00027624">
        <w:t> Pension spending as a percentage of GDP (</w:t>
      </w:r>
      <w:r w:rsidRPr="00027624">
        <w:fldChar w:fldCharType="begin"/>
      </w:r>
      <w:r w:rsidRPr="00027624">
        <w:instrText xml:space="preserve"> REF _Ref42703022 \r \h  \* MERGEFORMAT </w:instrText>
      </w:r>
      <w:r w:rsidRPr="00027624">
        <w:fldChar w:fldCharType="separate"/>
      </w:r>
      <w:r w:rsidR="00891058">
        <w:t>Chart 6A-40</w:t>
      </w:r>
      <w:r w:rsidRPr="00027624">
        <w:fldChar w:fldCharType="end"/>
      </w:r>
      <w:r w:rsidRPr="00027624">
        <w:t>). Total tax concessions are projected to be slightly lower, although the magnitude is negligible. A higher rate of drawdown reduces the stock of retiree assets producing tax</w:t>
      </w:r>
      <w:r w:rsidR="00A8443E" w:rsidRPr="00027624">
        <w:noBreakHyphen/>
      </w:r>
      <w:r w:rsidRPr="00027624">
        <w:t>exempt earnings, which reduces earnings tax concessions.</w:t>
      </w:r>
    </w:p>
    <w:p w14:paraId="12DC8130" w14:textId="77777777" w:rsidR="00E96B29" w:rsidRPr="00027624" w:rsidRDefault="00E96B29" w:rsidP="00E96B29">
      <w:pPr>
        <w:pStyle w:val="ChartMainHeading"/>
      </w:pPr>
      <w:bookmarkStart w:id="4316" w:name="_Ref42703022"/>
      <w:r w:rsidRPr="00027624">
        <w:t>Annuitised drawdown scenario</w:t>
      </w:r>
      <w:r w:rsidR="00A8443E" w:rsidRPr="00027624">
        <w:t xml:space="preserve"> — </w:t>
      </w:r>
      <w:r w:rsidRPr="00027624">
        <w:t>key aggregates</w:t>
      </w:r>
      <w:bookmarkEnd w:id="4316"/>
    </w:p>
    <w:tbl>
      <w:tblPr>
        <w:tblStyle w:val="TableGrid"/>
        <w:tblW w:w="0" w:type="auto"/>
        <w:tblLook w:val="04A0" w:firstRow="1" w:lastRow="0" w:firstColumn="1" w:lastColumn="0" w:noHBand="0" w:noVBand="1"/>
      </w:tblPr>
      <w:tblGrid>
        <w:gridCol w:w="4535"/>
        <w:gridCol w:w="4535"/>
      </w:tblGrid>
      <w:tr w:rsidR="00E96B29" w:rsidRPr="00027624" w14:paraId="5807FF4A" w14:textId="77777777" w:rsidTr="00E96B29">
        <w:tc>
          <w:tcPr>
            <w:tcW w:w="4536" w:type="dxa"/>
            <w:shd w:val="clear" w:color="auto" w:fill="auto"/>
          </w:tcPr>
          <w:p w14:paraId="3054C79C" w14:textId="77777777" w:rsidR="00E96B29" w:rsidRPr="00027624" w:rsidRDefault="00E96B29" w:rsidP="00E96B29">
            <w:pPr>
              <w:pStyle w:val="ChartGraphic"/>
              <w:rPr>
                <w:b/>
                <w:sz w:val="22"/>
                <w:szCs w:val="22"/>
              </w:rPr>
            </w:pPr>
            <w:r w:rsidRPr="00027624">
              <w:rPr>
                <w:b/>
                <w:sz w:val="22"/>
                <w:szCs w:val="22"/>
              </w:rPr>
              <w:t>Age Pension expenditure</w:t>
            </w:r>
          </w:p>
        </w:tc>
        <w:tc>
          <w:tcPr>
            <w:tcW w:w="4536" w:type="dxa"/>
            <w:shd w:val="clear" w:color="auto" w:fill="auto"/>
          </w:tcPr>
          <w:p w14:paraId="3F7A75DA" w14:textId="77777777" w:rsidR="00E96B29" w:rsidRPr="00027624" w:rsidRDefault="00E96B29" w:rsidP="00E96B29">
            <w:pPr>
              <w:pStyle w:val="ChartGraphic"/>
              <w:rPr>
                <w:b/>
                <w:sz w:val="22"/>
                <w:szCs w:val="22"/>
              </w:rPr>
            </w:pPr>
            <w:r w:rsidRPr="00027624">
              <w:rPr>
                <w:b/>
                <w:sz w:val="22"/>
                <w:szCs w:val="22"/>
              </w:rPr>
              <w:t>Total tax concessions</w:t>
            </w:r>
          </w:p>
        </w:tc>
      </w:tr>
    </w:tbl>
    <w:p w14:paraId="45D9A495" w14:textId="77777777" w:rsidR="00E96B29" w:rsidRPr="00027624" w:rsidRDefault="00FC727E" w:rsidP="00E96B29">
      <w:pPr>
        <w:pStyle w:val="ChartGraphic"/>
      </w:pPr>
      <w:r>
        <w:rPr>
          <w:noProof/>
        </w:rPr>
        <w:drawing>
          <wp:inline distT="0" distB="0" distL="0" distR="0" wp14:anchorId="3D77D5DF" wp14:editId="395493B8">
            <wp:extent cx="2836389" cy="2828925"/>
            <wp:effectExtent l="0" t="0" r="2540" b="0"/>
            <wp:docPr id="69809831" name="Picture 69809831" descr="This chart shows that under an annuitised drawdown scenario compared to the baseline, Age Pension expenditure is higher, by around 0.1 percentage points of GDP. " title="Chart 6A-40 Annuitised drawdown scenario – key aggregates - Age Pension expend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838521" cy="2831052"/>
                    </a:xfrm>
                    <a:prstGeom prst="rect">
                      <a:avLst/>
                    </a:prstGeom>
                    <a:noFill/>
                  </pic:spPr>
                </pic:pic>
              </a:graphicData>
            </a:graphic>
          </wp:inline>
        </w:drawing>
      </w:r>
      <w:r>
        <w:rPr>
          <w:noProof/>
        </w:rPr>
        <w:drawing>
          <wp:inline distT="0" distB="0" distL="0" distR="0" wp14:anchorId="7CB3CD29" wp14:editId="18D29D80">
            <wp:extent cx="2853468" cy="2838450"/>
            <wp:effectExtent l="0" t="0" r="4445" b="0"/>
            <wp:docPr id="69809833" name="Picture 69809833" descr="This chart shows that under an annuitised drawdown scenario compared to the baseline, total superannuation tax concessions are marginally lower." title="Chart 6A-40 Annuitised drawdown scenario – key aggregates – Total tax con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54641" cy="2839617"/>
                    </a:xfrm>
                    <a:prstGeom prst="rect">
                      <a:avLst/>
                    </a:prstGeom>
                    <a:noFill/>
                  </pic:spPr>
                </pic:pic>
              </a:graphicData>
            </a:graphic>
          </wp:inline>
        </w:drawing>
      </w:r>
    </w:p>
    <w:p w14:paraId="498BB4C8" w14:textId="77777777" w:rsidR="00E96B29" w:rsidRPr="00027624" w:rsidRDefault="00E96B29" w:rsidP="002D653B">
      <w:pPr>
        <w:pStyle w:val="ChartorTableNote"/>
      </w:pPr>
      <w:r w:rsidRPr="00027624">
        <w:t xml:space="preserve">Note: </w:t>
      </w:r>
      <w:r w:rsidRPr="00027624" w:rsidDel="0068007C">
        <w:t>Age</w:t>
      </w:r>
      <w:r w:rsidRPr="00027624">
        <w:t> Pension expenditure includes service pensions. Source: Treasury estimates for the review using MARIA.</w:t>
      </w:r>
    </w:p>
    <w:p w14:paraId="0FA32F88" w14:textId="77777777" w:rsidR="00E96B29" w:rsidRPr="00027624" w:rsidRDefault="00E96B29" w:rsidP="00E96B29">
      <w:pPr>
        <w:spacing w:before="0" w:after="160" w:line="259" w:lineRule="auto"/>
      </w:pPr>
      <w:r w:rsidRPr="00027624">
        <w:t>The modelled income streams in this scenario do not reflect all aspects of an annuity. Rather, these income streams should be interpreted as account</w:t>
      </w:r>
      <w:r w:rsidR="00A8443E" w:rsidRPr="00027624">
        <w:noBreakHyphen/>
      </w:r>
      <w:r w:rsidRPr="00027624">
        <w:t>based pensions that are drawn down at rates approximating an annuity.</w:t>
      </w:r>
    </w:p>
    <w:p w14:paraId="026323D7" w14:textId="77777777" w:rsidR="00E96B29" w:rsidRPr="00027624" w:rsidRDefault="00E96B29">
      <w:r w:rsidRPr="00027624">
        <w:t>The preferential means testing and different prices of annuities are not modelled in the scenario. This means Age Pension expenditure projections for the drawdown scenario may be lower than for an annuity product.</w:t>
      </w:r>
    </w:p>
    <w:p w14:paraId="3062A1C2" w14:textId="77777777" w:rsidR="00E96B29" w:rsidRPr="00027624" w:rsidRDefault="00E96B29">
      <w:r w:rsidRPr="00027624">
        <w:t xml:space="preserve">Further, most </w:t>
      </w:r>
      <w:r w:rsidR="00885DFE" w:rsidRPr="00027624">
        <w:t>people</w:t>
      </w:r>
      <w:r w:rsidRPr="00027624">
        <w:t xml:space="preserve"> in the model do not live to age 92 (when they target the exhaustion of their superannuation) because they are in a cohort that is expected to have lower life expectancy than this. These </w:t>
      </w:r>
      <w:r w:rsidR="00885DFE" w:rsidRPr="00027624">
        <w:t>people</w:t>
      </w:r>
      <w:r w:rsidRPr="00027624">
        <w:t xml:space="preserve"> have superannuation assets that would be left in a bequest rather than fully </w:t>
      </w:r>
      <w:r w:rsidRPr="00027624" w:rsidDel="00335A52">
        <w:t>drawn</w:t>
      </w:r>
      <w:r w:rsidRPr="00027624">
        <w:t xml:space="preserve"> down.</w:t>
      </w:r>
    </w:p>
    <w:p w14:paraId="52E4613A" w14:textId="77777777" w:rsidR="00404B9D" w:rsidRPr="00027624" w:rsidRDefault="00404B9D" w:rsidP="00404B9D">
      <w:pPr>
        <w:pStyle w:val="Heading2"/>
      </w:pPr>
      <w:bookmarkStart w:id="4317" w:name="_Toc46133680"/>
      <w:r w:rsidRPr="00027624">
        <w:t>Superannuation, Pension and other Retirement OUTcomes</w:t>
      </w:r>
      <w:bookmarkEnd w:id="4317"/>
      <w:r w:rsidRPr="00027624">
        <w:t xml:space="preserve"> </w:t>
      </w:r>
    </w:p>
    <w:p w14:paraId="1E72BF12" w14:textId="77777777" w:rsidR="00E96B29" w:rsidRPr="00027624" w:rsidRDefault="00E96B29" w:rsidP="00E96B29">
      <w:r w:rsidRPr="00027624">
        <w:t>Superannuation, Pension and other Retirement OUTcomes</w:t>
      </w:r>
      <w:r w:rsidR="00404B9D" w:rsidRPr="00027624">
        <w:t xml:space="preserve"> (SPROUT</w:t>
      </w:r>
      <w:r w:rsidRPr="00027624">
        <w:t>) is a long</w:t>
      </w:r>
      <w:r w:rsidR="00A8443E" w:rsidRPr="00027624">
        <w:noBreakHyphen/>
      </w:r>
      <w:r w:rsidRPr="00027624">
        <w:t>term, group</w:t>
      </w:r>
      <w:r w:rsidR="00A8443E" w:rsidRPr="00027624">
        <w:noBreakHyphen/>
      </w:r>
      <w:r w:rsidRPr="00027624">
        <w:t>based, population</w:t>
      </w:r>
      <w:r w:rsidR="00A8443E" w:rsidRPr="00027624">
        <w:noBreakHyphen/>
      </w:r>
      <w:r w:rsidRPr="00027624">
        <w:t>level microsimulation model jointly owned by Rice Warner and Industry Super Australia. SPROUT projects output for groupings of the population based on gender, quinquennial age groups (20</w:t>
      </w:r>
      <w:r w:rsidR="00A8443E" w:rsidRPr="00027624">
        <w:noBreakHyphen/>
      </w:r>
      <w:r w:rsidRPr="00027624">
        <w:t>24, 25</w:t>
      </w:r>
      <w:r w:rsidR="00A8443E" w:rsidRPr="00027624">
        <w:noBreakHyphen/>
      </w:r>
      <w:r w:rsidRPr="00027624">
        <w:t>29 and so on), singles and couples, and point</w:t>
      </w:r>
      <w:r w:rsidR="00A8443E" w:rsidRPr="00027624">
        <w:noBreakHyphen/>
      </w:r>
      <w:r w:rsidRPr="00027624">
        <w:t>in</w:t>
      </w:r>
      <w:r w:rsidR="00A8443E" w:rsidRPr="00027624">
        <w:noBreakHyphen/>
      </w:r>
      <w:r w:rsidRPr="00027624">
        <w:t>time income and wealth percentiles (10, 20, 30, 40, 50, 60, 70, 80, 90, 99 and 100).</w:t>
      </w:r>
      <w:r w:rsidRPr="00027624">
        <w:rPr>
          <w:rStyle w:val="FootnoteReference"/>
        </w:rPr>
        <w:footnoteReference w:id="338"/>
      </w:r>
      <w:r w:rsidRPr="00027624">
        <w:t xml:space="preserve"> Modelling at the group level, SPROUT differs from MARIA, which models at the individual level.</w:t>
      </w:r>
    </w:p>
    <w:p w14:paraId="3318D694" w14:textId="77777777" w:rsidR="00E96B29" w:rsidRPr="00027624" w:rsidRDefault="00E96B29" w:rsidP="00E96B29">
      <w:r w:rsidRPr="00027624">
        <w:t>SPROUT starts with base data from the 2017</w:t>
      </w:r>
      <w:r w:rsidR="00A8443E" w:rsidRPr="00027624">
        <w:noBreakHyphen/>
      </w:r>
      <w:r w:rsidRPr="00027624">
        <w:t xml:space="preserve">18 ABS </w:t>
      </w:r>
      <w:r w:rsidR="00BE51D1" w:rsidRPr="00027624">
        <w:t>Survey of Income and Housing</w:t>
      </w:r>
      <w:r w:rsidRPr="00027624">
        <w:t xml:space="preserve"> and comprises four sub</w:t>
      </w:r>
      <w:r w:rsidR="00A8443E" w:rsidRPr="00027624">
        <w:noBreakHyphen/>
      </w:r>
      <w:r w:rsidRPr="00027624">
        <w:t>models: the population model, the membership model, the asset model, and the parameter and assumption model.</w:t>
      </w:r>
    </w:p>
    <w:p w14:paraId="5AECB8B7" w14:textId="77777777" w:rsidR="00E96B29" w:rsidRPr="00027624" w:rsidRDefault="00E96B29" w:rsidP="00E96B29">
      <w:pPr>
        <w:pStyle w:val="Bullet"/>
      </w:pPr>
      <w:r w:rsidRPr="00027624">
        <w:t xml:space="preserve">The </w:t>
      </w:r>
      <w:r w:rsidRPr="00027624">
        <w:rPr>
          <w:b/>
        </w:rPr>
        <w:t>population model</w:t>
      </w:r>
      <w:r w:rsidRPr="00027624">
        <w:t xml:space="preserve"> takes account of population growth (including migration), workforce entry and exit, and death.</w:t>
      </w:r>
    </w:p>
    <w:p w14:paraId="46773339" w14:textId="77777777" w:rsidR="00E96B29" w:rsidRPr="00027624" w:rsidRDefault="00E96B29" w:rsidP="00E96B29">
      <w:pPr>
        <w:pStyle w:val="Bullet"/>
        <w:rPr>
          <w:rFonts w:eastAsiaTheme="minorHAnsi" w:cs="Calibri"/>
          <w:szCs w:val="22"/>
          <w:lang w:eastAsia="en-US"/>
        </w:rPr>
      </w:pPr>
      <w:r w:rsidRPr="00027624">
        <w:t xml:space="preserve">The </w:t>
      </w:r>
      <w:r w:rsidRPr="00027624">
        <w:rPr>
          <w:b/>
        </w:rPr>
        <w:t>membership model</w:t>
      </w:r>
      <w:r w:rsidRPr="00027624">
        <w:t xml:space="preserve"> uses the population model to </w:t>
      </w:r>
      <w:r w:rsidRPr="00027624">
        <w:rPr>
          <w:rFonts w:eastAsiaTheme="minorHAnsi" w:cs="Calibri"/>
          <w:szCs w:val="22"/>
          <w:lang w:eastAsia="en-US"/>
        </w:rPr>
        <w:t>project the number of superannuation accounts by industry sector, age, gender, account function (primary, secondary and unneeded), membership status (active, inactive and retired) and wealth quantiles.</w:t>
      </w:r>
    </w:p>
    <w:p w14:paraId="65F4FD61" w14:textId="77777777" w:rsidR="00E96B29" w:rsidRPr="00027624" w:rsidRDefault="00E96B29" w:rsidP="00E96B29">
      <w:pPr>
        <w:pStyle w:val="Bullet"/>
        <w:rPr>
          <w:rFonts w:eastAsiaTheme="minorHAnsi" w:cs="Calibri"/>
          <w:szCs w:val="22"/>
          <w:lang w:eastAsia="en-US"/>
        </w:rPr>
      </w:pPr>
      <w:r w:rsidRPr="00027624">
        <w:rPr>
          <w:rFonts w:eastAsiaTheme="minorHAnsi" w:cs="Calibri"/>
          <w:szCs w:val="22"/>
          <w:lang w:eastAsia="en-US"/>
        </w:rPr>
        <w:t xml:space="preserve">The </w:t>
      </w:r>
      <w:r w:rsidRPr="00027624">
        <w:rPr>
          <w:rFonts w:eastAsiaTheme="minorHAnsi" w:cs="Calibri"/>
          <w:b/>
          <w:szCs w:val="22"/>
          <w:lang w:eastAsia="en-US"/>
        </w:rPr>
        <w:t>asset model</w:t>
      </w:r>
      <w:r w:rsidRPr="00027624">
        <w:rPr>
          <w:rFonts w:eastAsiaTheme="minorHAnsi" w:cs="Calibri"/>
          <w:szCs w:val="22"/>
          <w:lang w:eastAsia="en-US"/>
        </w:rPr>
        <w:t xml:space="preserve"> projects the asset values of each account produced by the membership model.</w:t>
      </w:r>
    </w:p>
    <w:p w14:paraId="02A94CC1" w14:textId="77777777" w:rsidR="00E96B29" w:rsidRPr="00027624" w:rsidRDefault="00E96B29" w:rsidP="00E96B29">
      <w:pPr>
        <w:pStyle w:val="Bullet"/>
        <w:rPr>
          <w:rFonts w:eastAsiaTheme="minorHAnsi" w:cs="Calibri"/>
          <w:szCs w:val="22"/>
          <w:lang w:eastAsia="en-US"/>
        </w:rPr>
      </w:pPr>
      <w:r w:rsidRPr="00027624">
        <w:rPr>
          <w:rFonts w:eastAsiaTheme="minorHAnsi" w:cs="Calibri"/>
          <w:szCs w:val="22"/>
          <w:lang w:eastAsia="en-US"/>
        </w:rPr>
        <w:t xml:space="preserve">The </w:t>
      </w:r>
      <w:r w:rsidRPr="00027624">
        <w:rPr>
          <w:rFonts w:eastAsiaTheme="minorHAnsi" w:cs="Calibri"/>
          <w:b/>
          <w:szCs w:val="22"/>
          <w:lang w:eastAsia="en-US"/>
        </w:rPr>
        <w:t>parameter and assumption model</w:t>
      </w:r>
      <w:r w:rsidRPr="00027624">
        <w:rPr>
          <w:rFonts w:eastAsiaTheme="minorHAnsi" w:cs="Calibri"/>
          <w:szCs w:val="22"/>
          <w:lang w:eastAsia="en-US"/>
        </w:rPr>
        <w:t xml:space="preserve"> drives all the above models with underlying economic and demographic assumptions.</w:t>
      </w:r>
    </w:p>
    <w:p w14:paraId="33F24BC6" w14:textId="77777777" w:rsidR="00E96B29" w:rsidRPr="00027624" w:rsidRDefault="00E96B29" w:rsidP="00E96B29">
      <w:pPr>
        <w:pStyle w:val="Heading3"/>
      </w:pPr>
      <w:r w:rsidRPr="00027624">
        <w:t>Key output</w:t>
      </w:r>
    </w:p>
    <w:p w14:paraId="7151C598" w14:textId="77777777" w:rsidR="00E96B29" w:rsidRPr="00027624" w:rsidRDefault="00E96B29" w:rsidP="00E96B29">
      <w:r w:rsidRPr="00027624">
        <w:t>SPROUT produces output on the following variables for each financial year:</w:t>
      </w:r>
    </w:p>
    <w:p w14:paraId="691640D1" w14:textId="77777777" w:rsidR="00E96B29" w:rsidRPr="00027624" w:rsidRDefault="00E96B29" w:rsidP="00E96B29">
      <w:pPr>
        <w:pStyle w:val="Bullet"/>
      </w:pPr>
      <w:r w:rsidRPr="00027624">
        <w:t>Total superannuation assets under management, including by accumulation and pension phase</w:t>
      </w:r>
    </w:p>
    <w:p w14:paraId="15C181A6" w14:textId="77777777" w:rsidR="00E96B29" w:rsidRPr="00027624" w:rsidRDefault="00E96B29" w:rsidP="00E96B29">
      <w:pPr>
        <w:pStyle w:val="Bullet"/>
      </w:pPr>
      <w:r w:rsidRPr="00027624">
        <w:t>Annual contributions, fees and gross earnings</w:t>
      </w:r>
    </w:p>
    <w:p w14:paraId="3B976A1D" w14:textId="77777777" w:rsidR="00E96B29" w:rsidRPr="00027624" w:rsidRDefault="00E96B29" w:rsidP="00E96B29">
      <w:pPr>
        <w:pStyle w:val="Bullet"/>
      </w:pPr>
      <w:r w:rsidRPr="00027624">
        <w:t xml:space="preserve">Total </w:t>
      </w:r>
      <w:r w:rsidRPr="00027624" w:rsidDel="0068007C">
        <w:t>Age</w:t>
      </w:r>
      <w:r w:rsidRPr="00027624">
        <w:t> Pension expenditure</w:t>
      </w:r>
    </w:p>
    <w:p w14:paraId="3ACEA5D7" w14:textId="77777777" w:rsidR="00E96B29" w:rsidRPr="00027624" w:rsidRDefault="00E96B29" w:rsidP="00E96B29">
      <w:pPr>
        <w:pStyle w:val="Bullet"/>
      </w:pPr>
      <w:r w:rsidRPr="00027624">
        <w:t>Annual withdrawals (lump sums or as income payments), and total and average death benefits</w:t>
      </w:r>
    </w:p>
    <w:p w14:paraId="24BCF1A3" w14:textId="77777777" w:rsidR="00E96B29" w:rsidRPr="00027624" w:rsidRDefault="00E96B29" w:rsidP="00E96B29">
      <w:pPr>
        <w:pStyle w:val="Bullet"/>
      </w:pPr>
      <w:r w:rsidRPr="00027624">
        <w:t>Average superannuation balances and average assets outside superannuation</w:t>
      </w:r>
    </w:p>
    <w:p w14:paraId="7F8ECD75" w14:textId="77777777" w:rsidR="00E96B29" w:rsidRPr="00027624" w:rsidRDefault="00E96B29" w:rsidP="00E96B29">
      <w:pPr>
        <w:pStyle w:val="Bullet"/>
      </w:pPr>
      <w:r w:rsidRPr="00027624">
        <w:t>Tax concessions on contributions and earnings</w:t>
      </w:r>
    </w:p>
    <w:p w14:paraId="246CFA24" w14:textId="77777777" w:rsidR="00E96B29" w:rsidRPr="00027624" w:rsidRDefault="00E96B29" w:rsidP="00E96B29">
      <w:pPr>
        <w:pStyle w:val="Bullet"/>
      </w:pPr>
      <w:r w:rsidRPr="00027624">
        <w:t xml:space="preserve">Total retiree population, and the total population of </w:t>
      </w:r>
      <w:r w:rsidRPr="00027624" w:rsidDel="0068007C">
        <w:t>Age</w:t>
      </w:r>
      <w:r w:rsidRPr="00027624">
        <w:t> Pension age (including full/part</w:t>
      </w:r>
      <w:r w:rsidR="00A8443E" w:rsidRPr="00027624">
        <w:noBreakHyphen/>
      </w:r>
      <w:r w:rsidRPr="00027624">
        <w:t xml:space="preserve">rate proportions, and home </w:t>
      </w:r>
      <w:r w:rsidRPr="00027624" w:rsidDel="00A9214A">
        <w:t>owner</w:t>
      </w:r>
      <w:r w:rsidRPr="00027624">
        <w:t>/renter proportions)</w:t>
      </w:r>
    </w:p>
    <w:p w14:paraId="03C4FBA4" w14:textId="77777777" w:rsidR="00E96B29" w:rsidRPr="00027624" w:rsidRDefault="00E96B29" w:rsidP="00E96B29">
      <w:pPr>
        <w:pStyle w:val="Bullet"/>
      </w:pPr>
      <w:r w:rsidRPr="00027624">
        <w:t>Number of people who retire and the estimated average superannuation balance at retirement</w:t>
      </w:r>
    </w:p>
    <w:p w14:paraId="36F67DC6" w14:textId="77777777" w:rsidR="00E96B29" w:rsidRPr="00027624" w:rsidRDefault="00E96B29" w:rsidP="00E96B29">
      <w:pPr>
        <w:pStyle w:val="Bullet"/>
      </w:pPr>
      <w:r w:rsidRPr="00027624">
        <w:t>Average drawdown in retirement (per cent and dollars), and average total retirement income</w:t>
      </w:r>
    </w:p>
    <w:p w14:paraId="2943DB70" w14:textId="77777777" w:rsidR="00E96B29" w:rsidRPr="00027624" w:rsidRDefault="00E96B29" w:rsidP="00E96B29">
      <w:pPr>
        <w:pStyle w:val="Heading3"/>
      </w:pPr>
      <w:r w:rsidRPr="00027624">
        <w:t>Baseline assumptions</w:t>
      </w:r>
    </w:p>
    <w:p w14:paraId="2B462E9B" w14:textId="77777777" w:rsidR="00E96B29" w:rsidRPr="00027624" w:rsidRDefault="00E96B29" w:rsidP="00E96B29">
      <w:pPr>
        <w:pStyle w:val="Heading4"/>
      </w:pPr>
      <w:r w:rsidRPr="00027624">
        <w:t>Demographic and membership assumptions</w:t>
      </w:r>
    </w:p>
    <w:p w14:paraId="3E76BEC2" w14:textId="77777777" w:rsidR="00E96B29" w:rsidRPr="00027624" w:rsidRDefault="00E96B29" w:rsidP="00E96B29">
      <w:r w:rsidRPr="00027624">
        <w:t>The population aged 15 and over is projected to grow at an average annual rate of 1.2 per cent per year, with the growth rate decreasing over the projection period, consistent with ABS projections</w:t>
      </w:r>
      <w:r w:rsidRPr="00027624">
        <w:rPr>
          <w:noProof/>
        </w:rPr>
        <w:t xml:space="preserve"> </w:t>
      </w:r>
      <w:sdt>
        <w:sdtPr>
          <w:rPr>
            <w:noProof/>
          </w:rPr>
          <w:id w:val="1331178468"/>
          <w:citation/>
        </w:sdtPr>
        <w:sdtEndPr/>
        <w:sdtContent>
          <w:r w:rsidRPr="00027624">
            <w:rPr>
              <w:noProof/>
            </w:rPr>
            <w:fldChar w:fldCharType="begin"/>
          </w:r>
          <w:r w:rsidRPr="00027624">
            <w:rPr>
              <w:noProof/>
            </w:rPr>
            <w:instrText xml:space="preserve"> CITATION Placeholder1 \l 3081 </w:instrText>
          </w:r>
          <w:r w:rsidRPr="00027624">
            <w:rPr>
              <w:noProof/>
            </w:rPr>
            <w:fldChar w:fldCharType="separate"/>
          </w:r>
          <w:r w:rsidR="00E83F6E">
            <w:rPr>
              <w:noProof/>
            </w:rPr>
            <w:t>(ABS, 2018g)</w:t>
          </w:r>
          <w:r w:rsidRPr="00027624">
            <w:rPr>
              <w:noProof/>
            </w:rPr>
            <w:fldChar w:fldCharType="end"/>
          </w:r>
        </w:sdtContent>
      </w:sdt>
      <w:r w:rsidRPr="00027624">
        <w:t xml:space="preserve">. New entrants into the superannuation system and retirements are derived by applying participation rates from labour force projections published by the Productivity Commission </w:t>
      </w:r>
      <w:r w:rsidR="00027624" w:rsidRPr="00027624">
        <w:t>(2005).</w:t>
      </w:r>
    </w:p>
    <w:p w14:paraId="6C80F922" w14:textId="77777777" w:rsidR="00E96B29" w:rsidRPr="00027624" w:rsidRDefault="00E96B29" w:rsidP="00E96B29">
      <w:r w:rsidRPr="00027624">
        <w:t xml:space="preserve">Labour force turnover is assumed to be 8.5 per cent per year, derived from the ABS </w:t>
      </w:r>
      <w:sdt>
        <w:sdtPr>
          <w:id w:val="1455292852"/>
          <w:citation/>
        </w:sdtPr>
        <w:sdtEndPr/>
        <w:sdtContent>
          <w:r w:rsidRPr="00027624">
            <w:fldChar w:fldCharType="begin"/>
          </w:r>
          <w:r w:rsidRPr="00027624">
            <w:instrText xml:space="preserve">CITATION ABS19b \n  \t  \l 3081 </w:instrText>
          </w:r>
          <w:r w:rsidRPr="00027624">
            <w:fldChar w:fldCharType="separate"/>
          </w:r>
          <w:r w:rsidR="00E83F6E">
            <w:rPr>
              <w:noProof/>
            </w:rPr>
            <w:t>(2019r)</w:t>
          </w:r>
          <w:r w:rsidRPr="00027624">
            <w:fldChar w:fldCharType="end"/>
          </w:r>
        </w:sdtContent>
      </w:sdt>
      <w:r w:rsidRPr="00027624">
        <w:t>. Sixty</w:t>
      </w:r>
      <w:r w:rsidRPr="00027624" w:rsidDel="0068007C">
        <w:t> per cent</w:t>
      </w:r>
      <w:r w:rsidRPr="00027624">
        <w:t xml:space="preserve"> of those who change employment are assumed to keep their current fund. Of those who change employment and change funds, 20 per cent are assumed to not consolidate their accounts. This assumption gradually falls to 10 per cent over the projection period.</w:t>
      </w:r>
    </w:p>
    <w:p w14:paraId="2AE27355" w14:textId="77777777" w:rsidR="00E96B29" w:rsidRPr="00027624" w:rsidRDefault="00E96B29" w:rsidP="00E96B29">
      <w:r w:rsidRPr="00027624">
        <w:t>Retirement benefit</w:t>
      </w:r>
      <w:r w:rsidR="00A8443E" w:rsidRPr="00027624">
        <w:noBreakHyphen/>
      </w:r>
      <w:r w:rsidRPr="00027624">
        <w:t>type assumptions (e.g. lump sum, pension within the fund, Commercial Pension Product, Industry Pension Product, self</w:t>
      </w:r>
      <w:r w:rsidR="00A8443E" w:rsidRPr="00027624">
        <w:noBreakHyphen/>
      </w:r>
      <w:r w:rsidRPr="00027624">
        <w:t>managed superannuation funds) vary by industry segment and stem from Rice Warner</w:t>
      </w:r>
      <w:r w:rsidR="00A8443E" w:rsidRPr="00027624">
        <w:t>’</w:t>
      </w:r>
      <w:r w:rsidRPr="00027624">
        <w:t>s</w:t>
      </w:r>
      <w:r w:rsidRPr="00027624">
        <w:rPr>
          <w:i/>
        </w:rPr>
        <w:t xml:space="preserve"> Super</w:t>
      </w:r>
      <w:r w:rsidRPr="00027624">
        <w:t xml:space="preserve"> </w:t>
      </w:r>
      <w:r w:rsidRPr="00027624">
        <w:rPr>
          <w:i/>
        </w:rPr>
        <w:t xml:space="preserve">Insights </w:t>
      </w:r>
      <w:r w:rsidRPr="00027624">
        <w:t>database.</w:t>
      </w:r>
    </w:p>
    <w:p w14:paraId="4C6F3F99" w14:textId="77777777" w:rsidR="00E96B29" w:rsidRPr="00027624" w:rsidRDefault="00E96B29" w:rsidP="00E96B29">
      <w:r w:rsidRPr="00027624">
        <w:t xml:space="preserve">Mortality assumptions are derived from the ABS </w:t>
      </w:r>
      <w:sdt>
        <w:sdtPr>
          <w:id w:val="1933231747"/>
          <w:citation/>
        </w:sdtPr>
        <w:sdtEndPr/>
        <w:sdtContent>
          <w:r w:rsidRPr="00027624">
            <w:fldChar w:fldCharType="begin"/>
          </w:r>
          <w:r w:rsidRPr="00027624">
            <w:instrText xml:space="preserve">CITATION Placeholder1 \n  \t  \l 3081 </w:instrText>
          </w:r>
          <w:r w:rsidRPr="00027624">
            <w:fldChar w:fldCharType="separate"/>
          </w:r>
          <w:r w:rsidR="00E83F6E">
            <w:rPr>
              <w:noProof/>
            </w:rPr>
            <w:t>(2018g)</w:t>
          </w:r>
          <w:r w:rsidRPr="00027624">
            <w:fldChar w:fldCharType="end"/>
          </w:r>
        </w:sdtContent>
      </w:sdt>
      <w:r w:rsidRPr="00027624">
        <w:t>, which assumes a degree of improvement in mortality over time. Rates of permanent disablement are also assumed.</w:t>
      </w:r>
    </w:p>
    <w:p w14:paraId="62E7A181" w14:textId="77777777" w:rsidR="00E96B29" w:rsidRPr="00027624" w:rsidRDefault="00E96B29" w:rsidP="00E96B29">
      <w:pPr>
        <w:pStyle w:val="Heading4"/>
      </w:pPr>
      <w:r w:rsidRPr="00027624">
        <w:t>Superannuation assumptions</w:t>
      </w:r>
    </w:p>
    <w:p w14:paraId="6B2BB24B" w14:textId="0A042955" w:rsidR="00E96B29" w:rsidRPr="00027624" w:rsidRDefault="00E96B29" w:rsidP="00E96B29">
      <w:pPr>
        <w:rPr>
          <w:rFonts w:eastAsiaTheme="minorHAnsi" w:cs="Calibri"/>
          <w:szCs w:val="22"/>
          <w:lang w:eastAsia="en-US"/>
        </w:rPr>
      </w:pPr>
      <w:r w:rsidRPr="00027624">
        <w:t>Investment earnings and tax assumptions are made at the asset</w:t>
      </w:r>
      <w:r w:rsidR="00A8443E" w:rsidRPr="00027624">
        <w:noBreakHyphen/>
      </w:r>
      <w:r w:rsidRPr="00027624">
        <w:t>class level (</w:t>
      </w:r>
      <w:r w:rsidRPr="00027624">
        <w:fldChar w:fldCharType="begin"/>
      </w:r>
      <w:r w:rsidRPr="00027624">
        <w:instrText xml:space="preserve"> REF _Ref42775162 \r \h  \* MERGEFORMAT </w:instrText>
      </w:r>
      <w:r w:rsidRPr="00027624">
        <w:fldChar w:fldCharType="separate"/>
      </w:r>
      <w:r w:rsidR="00891058">
        <w:t>Table 6A-24</w:t>
      </w:r>
      <w:r w:rsidRPr="00027624">
        <w:fldChar w:fldCharType="end"/>
      </w:r>
      <w:r w:rsidRPr="00027624">
        <w:t xml:space="preserve">). Investment earnings assumptions are developed by </w:t>
      </w:r>
      <w:r w:rsidRPr="00027624">
        <w:rPr>
          <w:rFonts w:eastAsiaTheme="minorHAnsi" w:cs="Calibri"/>
          <w:szCs w:val="22"/>
          <w:lang w:eastAsia="en-US"/>
        </w:rPr>
        <w:t>considering the assumptions used by Treasury, asset consultants, superannuation funds and various other institutions. Given the current low interest rate environment, it is assumed that after 10 years, fixed interest rates will rise by 2 percentage points and the cash rate will rise by 1 percentage point. These assumptions aggregate to produce a compound annual average system</w:t>
      </w:r>
      <w:r w:rsidR="00A8443E" w:rsidRPr="00027624">
        <w:rPr>
          <w:rFonts w:eastAsiaTheme="minorHAnsi" w:cs="Calibri"/>
          <w:szCs w:val="22"/>
          <w:lang w:eastAsia="en-US"/>
        </w:rPr>
        <w:noBreakHyphen/>
      </w:r>
      <w:r w:rsidRPr="00027624">
        <w:rPr>
          <w:rFonts w:eastAsiaTheme="minorHAnsi" w:cs="Calibri"/>
          <w:szCs w:val="22"/>
          <w:lang w:eastAsia="en-US"/>
        </w:rPr>
        <w:t>level gross return (before fees and taxes) of 6.7 per cent in 2059.</w:t>
      </w:r>
    </w:p>
    <w:p w14:paraId="0663DEB0" w14:textId="77777777" w:rsidR="00E96B29" w:rsidRPr="00027624" w:rsidRDefault="00E96B29" w:rsidP="00E96B29">
      <w:pPr>
        <w:rPr>
          <w:rFonts w:eastAsiaTheme="minorHAnsi" w:cs="Calibri"/>
          <w:szCs w:val="22"/>
          <w:lang w:eastAsia="en-US"/>
        </w:rPr>
      </w:pPr>
      <w:r w:rsidRPr="00027624">
        <w:rPr>
          <w:rFonts w:eastAsiaTheme="minorHAnsi" w:cs="Calibri"/>
          <w:szCs w:val="22"/>
          <w:lang w:eastAsia="en-US"/>
        </w:rPr>
        <w:t>The headline tax rate on pre</w:t>
      </w:r>
      <w:r w:rsidR="00A8443E" w:rsidRPr="00027624">
        <w:rPr>
          <w:rFonts w:eastAsiaTheme="minorHAnsi" w:cs="Calibri"/>
          <w:szCs w:val="22"/>
          <w:lang w:eastAsia="en-US"/>
        </w:rPr>
        <w:noBreakHyphen/>
      </w:r>
      <w:r w:rsidRPr="00027624">
        <w:rPr>
          <w:rFonts w:eastAsiaTheme="minorHAnsi" w:cs="Calibri"/>
          <w:szCs w:val="22"/>
          <w:lang w:eastAsia="en-US"/>
        </w:rPr>
        <w:t>retirement phase investment earnings is 15 per cent (retirement earnings are tax</w:t>
      </w:r>
      <w:r w:rsidR="00A8443E" w:rsidRPr="00027624">
        <w:rPr>
          <w:rFonts w:eastAsiaTheme="minorHAnsi" w:cs="Calibri"/>
          <w:szCs w:val="22"/>
          <w:lang w:eastAsia="en-US"/>
        </w:rPr>
        <w:noBreakHyphen/>
      </w:r>
      <w:r w:rsidRPr="00027624">
        <w:rPr>
          <w:rFonts w:eastAsiaTheme="minorHAnsi" w:cs="Calibri"/>
          <w:szCs w:val="22"/>
          <w:lang w:eastAsia="en-US"/>
        </w:rPr>
        <w:t>free), but adjustments are made at the asset</w:t>
      </w:r>
      <w:r w:rsidR="00A8443E" w:rsidRPr="00027624">
        <w:rPr>
          <w:rFonts w:eastAsiaTheme="minorHAnsi" w:cs="Calibri"/>
          <w:szCs w:val="22"/>
          <w:lang w:eastAsia="en-US"/>
        </w:rPr>
        <w:noBreakHyphen/>
      </w:r>
      <w:r w:rsidRPr="00027624">
        <w:rPr>
          <w:rFonts w:eastAsiaTheme="minorHAnsi" w:cs="Calibri"/>
          <w:szCs w:val="22"/>
          <w:lang w:eastAsia="en-US"/>
        </w:rPr>
        <w:t>class level for capital gains discounts and imputation credits.</w:t>
      </w:r>
    </w:p>
    <w:p w14:paraId="4062A7BB" w14:textId="77777777" w:rsidR="00E96B29" w:rsidRPr="00027624" w:rsidRDefault="00E96B29" w:rsidP="00E96B29">
      <w:pPr>
        <w:pStyle w:val="TableMainHeading"/>
      </w:pPr>
      <w:bookmarkStart w:id="4318" w:name="_Ref42775162"/>
      <w:r w:rsidRPr="00027624">
        <w:t>SPROUT investment earnings and tax assumptions</w:t>
      </w:r>
      <w:bookmarkEnd w:id="4318"/>
    </w:p>
    <w:tbl>
      <w:tblPr>
        <w:tblW w:w="5000" w:type="pct"/>
        <w:tblLook w:val="01E0" w:firstRow="1" w:lastRow="1" w:firstColumn="1" w:lastColumn="1" w:noHBand="0" w:noVBand="0"/>
      </w:tblPr>
      <w:tblGrid>
        <w:gridCol w:w="3024"/>
        <w:gridCol w:w="3024"/>
        <w:gridCol w:w="3022"/>
      </w:tblGrid>
      <w:tr w:rsidR="00E96B29" w:rsidRPr="00027624" w14:paraId="2AB1C64B" w14:textId="77777777" w:rsidTr="00E96B29">
        <w:trPr>
          <w:trHeight w:val="315"/>
          <w:tblHeader/>
        </w:trPr>
        <w:tc>
          <w:tcPr>
            <w:tcW w:w="1667" w:type="pct"/>
            <w:shd w:val="clear" w:color="auto" w:fill="E5E5E5"/>
          </w:tcPr>
          <w:p w14:paraId="23C987B4" w14:textId="77777777" w:rsidR="00E96B29" w:rsidRPr="00027624" w:rsidRDefault="00E96B29" w:rsidP="00E96B29">
            <w:pPr>
              <w:pStyle w:val="TableColumnHeadingCentred"/>
              <w:jc w:val="left"/>
            </w:pPr>
            <w:r w:rsidRPr="00027624">
              <w:t>Asset class</w:t>
            </w:r>
          </w:p>
        </w:tc>
        <w:tc>
          <w:tcPr>
            <w:tcW w:w="1667" w:type="pct"/>
            <w:shd w:val="clear" w:color="auto" w:fill="E5E5E5"/>
          </w:tcPr>
          <w:p w14:paraId="0567C4E8" w14:textId="77777777" w:rsidR="00E96B29" w:rsidRPr="00027624" w:rsidRDefault="00E96B29" w:rsidP="00E96B29">
            <w:pPr>
              <w:pStyle w:val="TableColumnHeadingCentred"/>
            </w:pPr>
            <w:r w:rsidRPr="00027624">
              <w:rPr>
                <w:rFonts w:cs="Calibri"/>
                <w:bCs/>
                <w:szCs w:val="22"/>
              </w:rPr>
              <w:t>Annual</w:t>
            </w:r>
            <w:r w:rsidRPr="00027624">
              <w:t xml:space="preserve"> gross investment return (per cent)</w:t>
            </w:r>
          </w:p>
        </w:tc>
        <w:tc>
          <w:tcPr>
            <w:tcW w:w="1666" w:type="pct"/>
            <w:shd w:val="clear" w:color="auto" w:fill="E5E5E5"/>
          </w:tcPr>
          <w:p w14:paraId="78F9BAD0" w14:textId="77777777" w:rsidR="00E96B29" w:rsidRPr="00027624" w:rsidRDefault="00E96B29" w:rsidP="00E96B29">
            <w:pPr>
              <w:pStyle w:val="TableColumnHeadingCentred"/>
              <w:rPr>
                <w:rFonts w:cs="Calibri"/>
                <w:bCs/>
                <w:szCs w:val="22"/>
              </w:rPr>
            </w:pPr>
            <w:r w:rsidRPr="00027624">
              <w:rPr>
                <w:rFonts w:cs="Calibri"/>
                <w:bCs/>
                <w:szCs w:val="22"/>
              </w:rPr>
              <w:t>Annual earnings tax rate</w:t>
            </w:r>
          </w:p>
          <w:p w14:paraId="1F80C928" w14:textId="77777777" w:rsidR="00E96B29" w:rsidRPr="00027624" w:rsidRDefault="00E96B29" w:rsidP="00E96B29">
            <w:pPr>
              <w:pStyle w:val="TableColumnHeadingCentred"/>
              <w:rPr>
                <w:rFonts w:cs="Calibri"/>
                <w:bCs/>
                <w:szCs w:val="22"/>
              </w:rPr>
            </w:pPr>
            <w:r w:rsidRPr="00027624">
              <w:rPr>
                <w:rFonts w:cs="Calibri"/>
                <w:bCs/>
                <w:szCs w:val="22"/>
              </w:rPr>
              <w:t>(per cent)</w:t>
            </w:r>
          </w:p>
        </w:tc>
      </w:tr>
      <w:tr w:rsidR="00E96B29" w:rsidRPr="00027624" w14:paraId="5578301A" w14:textId="77777777" w:rsidTr="00E96B29">
        <w:trPr>
          <w:trHeight w:val="336"/>
        </w:trPr>
        <w:tc>
          <w:tcPr>
            <w:tcW w:w="1667" w:type="pct"/>
          </w:tcPr>
          <w:p w14:paraId="0110FF05" w14:textId="77777777" w:rsidR="00E96B29" w:rsidRPr="00027624" w:rsidRDefault="00E96B29" w:rsidP="00E96B29">
            <w:pPr>
              <w:pStyle w:val="TableTextLeft"/>
            </w:pPr>
            <w:r w:rsidRPr="00027624">
              <w:t>Australian equities (gross of imputation credits)</w:t>
            </w:r>
          </w:p>
        </w:tc>
        <w:tc>
          <w:tcPr>
            <w:tcW w:w="1667" w:type="pct"/>
          </w:tcPr>
          <w:p w14:paraId="04141925" w14:textId="77777777" w:rsidR="00E96B29" w:rsidRPr="00027624" w:rsidRDefault="00E96B29" w:rsidP="00E96B29">
            <w:pPr>
              <w:pStyle w:val="TableTextCentered"/>
            </w:pPr>
            <w:r w:rsidRPr="00027624">
              <w:t>7.9</w:t>
            </w:r>
          </w:p>
        </w:tc>
        <w:tc>
          <w:tcPr>
            <w:tcW w:w="1666" w:type="pct"/>
          </w:tcPr>
          <w:p w14:paraId="12154802" w14:textId="77777777" w:rsidR="00E96B29" w:rsidRPr="00027624" w:rsidRDefault="00A8443E" w:rsidP="00E96B29">
            <w:pPr>
              <w:pStyle w:val="TableTextCentered"/>
            </w:pPr>
            <w:r w:rsidRPr="00027624">
              <w:noBreakHyphen/>
            </w:r>
            <w:r w:rsidR="00E96B29" w:rsidRPr="00027624">
              <w:t>3.6</w:t>
            </w:r>
          </w:p>
        </w:tc>
      </w:tr>
      <w:tr w:rsidR="00E96B29" w:rsidRPr="00027624" w14:paraId="4EBF209B" w14:textId="77777777" w:rsidTr="00E96B29">
        <w:trPr>
          <w:trHeight w:val="347"/>
        </w:trPr>
        <w:tc>
          <w:tcPr>
            <w:tcW w:w="1667" w:type="pct"/>
          </w:tcPr>
          <w:p w14:paraId="7EDA38EE" w14:textId="77777777" w:rsidR="00E96B29" w:rsidRPr="00027624" w:rsidRDefault="00E96B29" w:rsidP="00E96B29">
            <w:pPr>
              <w:pStyle w:val="TableTextLeft"/>
            </w:pPr>
            <w:r w:rsidRPr="00027624">
              <w:t>International equities</w:t>
            </w:r>
          </w:p>
        </w:tc>
        <w:tc>
          <w:tcPr>
            <w:tcW w:w="1667" w:type="pct"/>
          </w:tcPr>
          <w:p w14:paraId="14C6EC90" w14:textId="77777777" w:rsidR="00E96B29" w:rsidRPr="00027624" w:rsidRDefault="00E96B29" w:rsidP="00E96B29">
            <w:pPr>
              <w:pStyle w:val="TableTextCentered"/>
            </w:pPr>
            <w:r w:rsidRPr="00027624">
              <w:t>7.5</w:t>
            </w:r>
          </w:p>
        </w:tc>
        <w:tc>
          <w:tcPr>
            <w:tcW w:w="1666" w:type="pct"/>
          </w:tcPr>
          <w:p w14:paraId="2E6E0B95" w14:textId="77777777" w:rsidR="00E96B29" w:rsidRPr="00027624" w:rsidRDefault="00E96B29" w:rsidP="00E96B29">
            <w:pPr>
              <w:pStyle w:val="TableTextCentered"/>
            </w:pPr>
            <w:r w:rsidRPr="00027624">
              <w:t>13.4</w:t>
            </w:r>
          </w:p>
        </w:tc>
      </w:tr>
      <w:tr w:rsidR="00E96B29" w:rsidRPr="00027624" w14:paraId="6AD4FD48" w14:textId="77777777" w:rsidTr="00E96B29">
        <w:trPr>
          <w:trHeight w:val="336"/>
        </w:trPr>
        <w:tc>
          <w:tcPr>
            <w:tcW w:w="1667" w:type="pct"/>
          </w:tcPr>
          <w:p w14:paraId="1552AD1B" w14:textId="77777777" w:rsidR="00E96B29" w:rsidRPr="00027624" w:rsidRDefault="00E96B29" w:rsidP="00E96B29">
            <w:pPr>
              <w:pStyle w:val="TableTextLeft"/>
            </w:pPr>
            <w:r w:rsidRPr="00027624">
              <w:t>Unlisted equities</w:t>
            </w:r>
          </w:p>
        </w:tc>
        <w:tc>
          <w:tcPr>
            <w:tcW w:w="1667" w:type="pct"/>
          </w:tcPr>
          <w:p w14:paraId="1FC7B3A3" w14:textId="77777777" w:rsidR="00E96B29" w:rsidRPr="00027624" w:rsidRDefault="00E96B29" w:rsidP="00E96B29">
            <w:pPr>
              <w:pStyle w:val="TableTextCentered"/>
            </w:pPr>
            <w:r w:rsidRPr="00027624">
              <w:t>10.1</w:t>
            </w:r>
          </w:p>
        </w:tc>
        <w:tc>
          <w:tcPr>
            <w:tcW w:w="1666" w:type="pct"/>
          </w:tcPr>
          <w:p w14:paraId="4B432AFD" w14:textId="77777777" w:rsidR="00E96B29" w:rsidRPr="00027624" w:rsidRDefault="00E96B29" w:rsidP="00E96B29">
            <w:pPr>
              <w:pStyle w:val="TableTextCentered"/>
            </w:pPr>
            <w:r w:rsidRPr="00027624">
              <w:t>13.0</w:t>
            </w:r>
          </w:p>
        </w:tc>
      </w:tr>
      <w:tr w:rsidR="00E96B29" w:rsidRPr="00027624" w14:paraId="26D599A5" w14:textId="77777777" w:rsidTr="00E96B29">
        <w:trPr>
          <w:trHeight w:val="347"/>
        </w:trPr>
        <w:tc>
          <w:tcPr>
            <w:tcW w:w="1667" w:type="pct"/>
          </w:tcPr>
          <w:p w14:paraId="0805970A" w14:textId="77777777" w:rsidR="00E96B29" w:rsidRPr="00027624" w:rsidRDefault="00E96B29" w:rsidP="00E96B29">
            <w:pPr>
              <w:pStyle w:val="TableTextLeft"/>
            </w:pPr>
            <w:r w:rsidRPr="00027624">
              <w:t>Listed property</w:t>
            </w:r>
          </w:p>
        </w:tc>
        <w:tc>
          <w:tcPr>
            <w:tcW w:w="1667" w:type="pct"/>
          </w:tcPr>
          <w:p w14:paraId="5980130D" w14:textId="77777777" w:rsidR="00E96B29" w:rsidRPr="00027624" w:rsidRDefault="00E96B29" w:rsidP="00E96B29">
            <w:pPr>
              <w:pStyle w:val="TableTextCentered"/>
            </w:pPr>
            <w:r w:rsidRPr="00027624">
              <w:t>7.0</w:t>
            </w:r>
          </w:p>
        </w:tc>
        <w:tc>
          <w:tcPr>
            <w:tcW w:w="1666" w:type="pct"/>
          </w:tcPr>
          <w:p w14:paraId="2167D14F" w14:textId="77777777" w:rsidR="00E96B29" w:rsidRPr="00027624" w:rsidRDefault="00E96B29" w:rsidP="00E96B29">
            <w:pPr>
              <w:pStyle w:val="TableTextCentered"/>
            </w:pPr>
            <w:r w:rsidRPr="00027624">
              <w:t>14.3</w:t>
            </w:r>
          </w:p>
        </w:tc>
      </w:tr>
      <w:tr w:rsidR="00E96B29" w:rsidRPr="00027624" w14:paraId="54B3930B" w14:textId="77777777" w:rsidTr="00E96B29">
        <w:trPr>
          <w:trHeight w:val="336"/>
        </w:trPr>
        <w:tc>
          <w:tcPr>
            <w:tcW w:w="1667" w:type="pct"/>
          </w:tcPr>
          <w:p w14:paraId="6B740F87" w14:textId="77777777" w:rsidR="00E96B29" w:rsidRPr="00027624" w:rsidRDefault="00E96B29" w:rsidP="00E96B29">
            <w:pPr>
              <w:pStyle w:val="TableTextLeft"/>
            </w:pPr>
            <w:r w:rsidRPr="00027624">
              <w:t>Direct property</w:t>
            </w:r>
          </w:p>
        </w:tc>
        <w:tc>
          <w:tcPr>
            <w:tcW w:w="1667" w:type="pct"/>
          </w:tcPr>
          <w:p w14:paraId="5E849DE9" w14:textId="77777777" w:rsidR="00E96B29" w:rsidRPr="00027624" w:rsidRDefault="00E96B29" w:rsidP="00E96B29">
            <w:pPr>
              <w:pStyle w:val="TableTextCentered"/>
            </w:pPr>
            <w:r w:rsidRPr="00027624">
              <w:t>7.0</w:t>
            </w:r>
          </w:p>
        </w:tc>
        <w:tc>
          <w:tcPr>
            <w:tcW w:w="1666" w:type="pct"/>
          </w:tcPr>
          <w:p w14:paraId="20AAD4D4" w14:textId="77777777" w:rsidR="00E96B29" w:rsidRPr="00027624" w:rsidRDefault="00E96B29" w:rsidP="00E96B29">
            <w:pPr>
              <w:pStyle w:val="TableTextCentered"/>
            </w:pPr>
            <w:r w:rsidRPr="00027624">
              <w:t>14.1</w:t>
            </w:r>
          </w:p>
        </w:tc>
      </w:tr>
      <w:tr w:rsidR="00E96B29" w:rsidRPr="00027624" w14:paraId="67D0DDA1" w14:textId="77777777" w:rsidTr="00E96B29">
        <w:trPr>
          <w:trHeight w:val="336"/>
        </w:trPr>
        <w:tc>
          <w:tcPr>
            <w:tcW w:w="1667" w:type="pct"/>
          </w:tcPr>
          <w:p w14:paraId="081CF886" w14:textId="77777777" w:rsidR="00E96B29" w:rsidRPr="00027624" w:rsidRDefault="00E96B29" w:rsidP="00E96B29">
            <w:pPr>
              <w:pStyle w:val="TableTextLeft"/>
            </w:pPr>
            <w:r w:rsidRPr="00027624">
              <w:t>Infrastructure</w:t>
            </w:r>
          </w:p>
        </w:tc>
        <w:tc>
          <w:tcPr>
            <w:tcW w:w="1667" w:type="pct"/>
          </w:tcPr>
          <w:p w14:paraId="5A76D2E4" w14:textId="77777777" w:rsidR="00E96B29" w:rsidRPr="00027624" w:rsidRDefault="00E96B29" w:rsidP="00E96B29">
            <w:pPr>
              <w:pStyle w:val="TableTextCentered"/>
            </w:pPr>
            <w:r w:rsidRPr="00027624">
              <w:t>7.8</w:t>
            </w:r>
          </w:p>
        </w:tc>
        <w:tc>
          <w:tcPr>
            <w:tcW w:w="1666" w:type="pct"/>
          </w:tcPr>
          <w:p w14:paraId="1B856719" w14:textId="77777777" w:rsidR="00E96B29" w:rsidRPr="00027624" w:rsidRDefault="00E96B29" w:rsidP="00E96B29">
            <w:pPr>
              <w:pStyle w:val="TableTextCentered"/>
            </w:pPr>
            <w:r w:rsidRPr="00027624">
              <w:t>14.0</w:t>
            </w:r>
          </w:p>
        </w:tc>
      </w:tr>
      <w:tr w:rsidR="00E96B29" w:rsidRPr="00027624" w14:paraId="52FE90D0" w14:textId="77777777" w:rsidTr="00E96B29">
        <w:trPr>
          <w:trHeight w:val="347"/>
        </w:trPr>
        <w:tc>
          <w:tcPr>
            <w:tcW w:w="1667" w:type="pct"/>
          </w:tcPr>
          <w:p w14:paraId="52D3687E" w14:textId="77777777" w:rsidR="00E96B29" w:rsidRPr="00027624" w:rsidRDefault="00E96B29" w:rsidP="00E96B29">
            <w:pPr>
              <w:pStyle w:val="TableTextLeft"/>
            </w:pPr>
            <w:r w:rsidRPr="00027624">
              <w:t>Australian fixed interest</w:t>
            </w:r>
          </w:p>
        </w:tc>
        <w:tc>
          <w:tcPr>
            <w:tcW w:w="1667" w:type="pct"/>
          </w:tcPr>
          <w:p w14:paraId="135C7F0B" w14:textId="77777777" w:rsidR="00E96B29" w:rsidRPr="00027624" w:rsidRDefault="00E96B29" w:rsidP="00E96B29">
            <w:pPr>
              <w:pStyle w:val="TableTextCentered"/>
            </w:pPr>
            <w:r w:rsidRPr="00027624">
              <w:t>3.5</w:t>
            </w:r>
          </w:p>
        </w:tc>
        <w:tc>
          <w:tcPr>
            <w:tcW w:w="1666" w:type="pct"/>
          </w:tcPr>
          <w:p w14:paraId="5E829798" w14:textId="77777777" w:rsidR="00E96B29" w:rsidRPr="00027624" w:rsidRDefault="00E96B29" w:rsidP="00E96B29">
            <w:pPr>
              <w:pStyle w:val="TableTextCentered"/>
            </w:pPr>
            <w:r w:rsidRPr="00027624">
              <w:t>15.0</w:t>
            </w:r>
          </w:p>
        </w:tc>
      </w:tr>
      <w:tr w:rsidR="00E96B29" w:rsidRPr="00027624" w14:paraId="636AA927" w14:textId="77777777" w:rsidTr="00E96B29">
        <w:trPr>
          <w:trHeight w:val="336"/>
        </w:trPr>
        <w:tc>
          <w:tcPr>
            <w:tcW w:w="1667" w:type="pct"/>
          </w:tcPr>
          <w:p w14:paraId="0B06594D" w14:textId="77777777" w:rsidR="00E96B29" w:rsidRPr="00027624" w:rsidRDefault="00E96B29" w:rsidP="00E96B29">
            <w:pPr>
              <w:pStyle w:val="TableTextLeft"/>
            </w:pPr>
            <w:r w:rsidRPr="00027624">
              <w:t>International fixed interest</w:t>
            </w:r>
          </w:p>
        </w:tc>
        <w:tc>
          <w:tcPr>
            <w:tcW w:w="1667" w:type="pct"/>
          </w:tcPr>
          <w:p w14:paraId="0D9C9B5E" w14:textId="77777777" w:rsidR="00E96B29" w:rsidRPr="00027624" w:rsidRDefault="00E96B29" w:rsidP="00E96B29">
            <w:pPr>
              <w:pStyle w:val="TableTextCentered"/>
            </w:pPr>
            <w:r w:rsidRPr="00027624">
              <w:t>2.7</w:t>
            </w:r>
          </w:p>
        </w:tc>
        <w:tc>
          <w:tcPr>
            <w:tcW w:w="1666" w:type="pct"/>
          </w:tcPr>
          <w:p w14:paraId="4C01280F" w14:textId="77777777" w:rsidR="00E96B29" w:rsidRPr="00027624" w:rsidRDefault="00E96B29" w:rsidP="00E96B29">
            <w:pPr>
              <w:pStyle w:val="TableTextCentered"/>
            </w:pPr>
            <w:r w:rsidRPr="00027624">
              <w:t>15.0</w:t>
            </w:r>
          </w:p>
        </w:tc>
      </w:tr>
      <w:tr w:rsidR="00E96B29" w:rsidRPr="00027624" w14:paraId="277F17DC" w14:textId="77777777" w:rsidTr="00E96B29">
        <w:trPr>
          <w:trHeight w:val="347"/>
        </w:trPr>
        <w:tc>
          <w:tcPr>
            <w:tcW w:w="1667" w:type="pct"/>
          </w:tcPr>
          <w:p w14:paraId="0DE837FB" w14:textId="77777777" w:rsidR="00E96B29" w:rsidRPr="00027624" w:rsidRDefault="00E96B29" w:rsidP="00E96B29">
            <w:pPr>
              <w:pStyle w:val="TableTextLeft"/>
            </w:pPr>
            <w:r w:rsidRPr="00027624">
              <w:t>Cash</w:t>
            </w:r>
          </w:p>
        </w:tc>
        <w:tc>
          <w:tcPr>
            <w:tcW w:w="1667" w:type="pct"/>
          </w:tcPr>
          <w:p w14:paraId="20B8407F" w14:textId="77777777" w:rsidR="00E96B29" w:rsidRPr="00027624" w:rsidRDefault="00E96B29" w:rsidP="00E96B29">
            <w:pPr>
              <w:pStyle w:val="TableTextCentered"/>
            </w:pPr>
            <w:r w:rsidRPr="00027624">
              <w:t>3.0</w:t>
            </w:r>
          </w:p>
        </w:tc>
        <w:tc>
          <w:tcPr>
            <w:tcW w:w="1666" w:type="pct"/>
          </w:tcPr>
          <w:p w14:paraId="578F1756" w14:textId="77777777" w:rsidR="00E96B29" w:rsidRPr="00027624" w:rsidRDefault="00E96B29" w:rsidP="00E96B29">
            <w:pPr>
              <w:pStyle w:val="TableTextCentered"/>
            </w:pPr>
            <w:r w:rsidRPr="00027624">
              <w:t>15.0</w:t>
            </w:r>
          </w:p>
        </w:tc>
      </w:tr>
    </w:tbl>
    <w:p w14:paraId="51C30FB0" w14:textId="77777777" w:rsidR="00E96B29" w:rsidRPr="00027624" w:rsidRDefault="00E96B29" w:rsidP="00E96B29">
      <w:pPr>
        <w:pStyle w:val="ChartorTableNote"/>
      </w:pPr>
      <w:r w:rsidRPr="00027624">
        <w:t>Note: Fixed interest and cash asset class investment return figures do not include upward adjustments applied after 10 years. Gross investment returns before fees and taxes. Source: Rice Warner.</w:t>
      </w:r>
    </w:p>
    <w:p w14:paraId="433DB8B1" w14:textId="77777777" w:rsidR="00E96B29" w:rsidRPr="00027624" w:rsidRDefault="00E96B29" w:rsidP="00E96B29">
      <w:r w:rsidRPr="00027624">
        <w:t>Asset allocations are assumed at the industry</w:t>
      </w:r>
      <w:r w:rsidR="00A8443E" w:rsidRPr="00027624">
        <w:noBreakHyphen/>
      </w:r>
      <w:r w:rsidRPr="00027624">
        <w:t>segment level using allocations published by APRA </w:t>
      </w:r>
      <w:sdt>
        <w:sdtPr>
          <w:id w:val="-485471726"/>
          <w:citation/>
        </w:sdtPr>
        <w:sdtEndPr/>
        <w:sdtContent>
          <w:r w:rsidRPr="00027624">
            <w:fldChar w:fldCharType="begin"/>
          </w:r>
          <w:r w:rsidRPr="00027624">
            <w:instrText xml:space="preserve">CITATION Aus19 \n  \t  \l 3081 </w:instrText>
          </w:r>
          <w:r w:rsidRPr="00027624">
            <w:fldChar w:fldCharType="separate"/>
          </w:r>
          <w:r w:rsidR="00E83F6E">
            <w:rPr>
              <w:noProof/>
            </w:rPr>
            <w:t>(2020b)</w:t>
          </w:r>
          <w:r w:rsidRPr="00027624">
            <w:fldChar w:fldCharType="end"/>
          </w:r>
        </w:sdtContent>
      </w:sdt>
      <w:r w:rsidRPr="00027624">
        <w:t xml:space="preserve"> and the ATO </w:t>
      </w:r>
      <w:sdt>
        <w:sdtPr>
          <w:id w:val="-1993473809"/>
          <w:citation/>
        </w:sdtPr>
        <w:sdtEndPr/>
        <w:sdtContent>
          <w:r w:rsidRPr="00027624">
            <w:fldChar w:fldCharType="begin"/>
          </w:r>
          <w:r w:rsidRPr="00027624">
            <w:instrText xml:space="preserve">CITATION Aus191 \n  \t  \l 3081 </w:instrText>
          </w:r>
          <w:r w:rsidRPr="00027624">
            <w:fldChar w:fldCharType="separate"/>
          </w:r>
          <w:r w:rsidR="00E83F6E">
            <w:rPr>
              <w:noProof/>
            </w:rPr>
            <w:t>(2019d)</w:t>
          </w:r>
          <w:r w:rsidRPr="00027624">
            <w:fldChar w:fldCharType="end"/>
          </w:r>
        </w:sdtContent>
      </w:sdt>
      <w:r w:rsidRPr="00027624">
        <w:t>. Drawdown rates are based on observed historical data.</w:t>
      </w:r>
    </w:p>
    <w:p w14:paraId="31E32B67" w14:textId="3E81ACC0" w:rsidR="00E96B29" w:rsidRPr="00027624" w:rsidRDefault="00E96B29" w:rsidP="00E96B29">
      <w:r w:rsidRPr="00027624">
        <w:t>Fee assumptions are derived from an analysis of Rice Warner</w:t>
      </w:r>
      <w:r w:rsidR="00A8443E" w:rsidRPr="00027624">
        <w:t>’</w:t>
      </w:r>
      <w:r w:rsidRPr="00027624">
        <w:t>s database. Dollar</w:t>
      </w:r>
      <w:r w:rsidR="00A8443E" w:rsidRPr="00027624">
        <w:noBreakHyphen/>
      </w:r>
      <w:r w:rsidRPr="00027624">
        <w:t>based fees increase with inflation and asset</w:t>
      </w:r>
      <w:r w:rsidR="00A8443E" w:rsidRPr="00027624">
        <w:noBreakHyphen/>
      </w:r>
      <w:r w:rsidRPr="00027624">
        <w:t>based fees for industry funds are projected to fall to 50 basis points over the first 10 years of the projection, and stay constant thereafter. The asset</w:t>
      </w:r>
      <w:r w:rsidR="00A8443E" w:rsidRPr="00027624">
        <w:noBreakHyphen/>
      </w:r>
      <w:r w:rsidRPr="00027624">
        <w:t>based fees for other industry segments (except retirement savings accounts, eligible rollover funds and self</w:t>
      </w:r>
      <w:r w:rsidR="00A8443E" w:rsidRPr="00027624">
        <w:noBreakHyphen/>
      </w:r>
      <w:r w:rsidRPr="00027624">
        <w:t>managed superannuation funds) fall such that the gap to industry funds is held constant over time (</w:t>
      </w:r>
      <w:r w:rsidRPr="00027624">
        <w:fldChar w:fldCharType="begin"/>
      </w:r>
      <w:r w:rsidRPr="00027624">
        <w:instrText xml:space="preserve"> REF _Ref42787138 \r \h  \* MERGEFORMAT </w:instrText>
      </w:r>
      <w:r w:rsidRPr="00027624">
        <w:fldChar w:fldCharType="separate"/>
      </w:r>
      <w:r w:rsidR="00891058">
        <w:t>Table 6A-25</w:t>
      </w:r>
      <w:r w:rsidRPr="00027624">
        <w:fldChar w:fldCharType="end"/>
      </w:r>
      <w:r w:rsidRPr="00027624">
        <w:t>). These assumed reductions are due to expected economics of scale (including consolidation of funds), consolidation of accounts and general technological improvements.</w:t>
      </w:r>
    </w:p>
    <w:p w14:paraId="7304E4BC" w14:textId="77777777" w:rsidR="00E96B29" w:rsidRPr="00027624" w:rsidRDefault="00E96B29" w:rsidP="00E96B29">
      <w:pPr>
        <w:pStyle w:val="TableMainHeading"/>
      </w:pPr>
      <w:bookmarkStart w:id="4319" w:name="_Ref42787138"/>
      <w:r w:rsidRPr="00027624">
        <w:t>SPROUT fees assumptions</w:t>
      </w:r>
      <w:bookmarkEnd w:id="4319"/>
    </w:p>
    <w:tbl>
      <w:tblPr>
        <w:tblW w:w="5000" w:type="pct"/>
        <w:tblLook w:val="01E0" w:firstRow="1" w:lastRow="1" w:firstColumn="1" w:lastColumn="1" w:noHBand="0" w:noVBand="0"/>
      </w:tblPr>
      <w:tblGrid>
        <w:gridCol w:w="2126"/>
        <w:gridCol w:w="1843"/>
        <w:gridCol w:w="2625"/>
        <w:gridCol w:w="2476"/>
      </w:tblGrid>
      <w:tr w:rsidR="00E96B29" w:rsidRPr="00027624" w14:paraId="4AD979B5" w14:textId="77777777" w:rsidTr="00E96B29">
        <w:trPr>
          <w:trHeight w:val="315"/>
          <w:tblHeader/>
        </w:trPr>
        <w:tc>
          <w:tcPr>
            <w:tcW w:w="1172" w:type="pct"/>
            <w:shd w:val="clear" w:color="auto" w:fill="E5E5E5"/>
          </w:tcPr>
          <w:p w14:paraId="1DC7E3BB" w14:textId="77777777" w:rsidR="00E96B29" w:rsidRPr="00027624" w:rsidRDefault="00E96B29" w:rsidP="00E96B29">
            <w:pPr>
              <w:pStyle w:val="ChartSecondHeading"/>
              <w:jc w:val="left"/>
            </w:pPr>
            <w:r w:rsidRPr="00027624">
              <w:t>Segment</w:t>
            </w:r>
          </w:p>
        </w:tc>
        <w:tc>
          <w:tcPr>
            <w:tcW w:w="1016" w:type="pct"/>
            <w:shd w:val="clear" w:color="auto" w:fill="E5E5E5"/>
          </w:tcPr>
          <w:p w14:paraId="187831E9" w14:textId="77777777" w:rsidR="00E96B29" w:rsidRPr="00027624" w:rsidRDefault="00E96B29" w:rsidP="00E96B29">
            <w:pPr>
              <w:pStyle w:val="ChartSecondHeading"/>
            </w:pPr>
            <w:r w:rsidRPr="00027624">
              <w:t>Starting fixed fee ($)</w:t>
            </w:r>
          </w:p>
        </w:tc>
        <w:tc>
          <w:tcPr>
            <w:tcW w:w="1447" w:type="pct"/>
            <w:shd w:val="clear" w:color="auto" w:fill="E5E5E5"/>
          </w:tcPr>
          <w:p w14:paraId="561F7B3B" w14:textId="77777777" w:rsidR="00E96B29" w:rsidRPr="00027624" w:rsidRDefault="00E96B29" w:rsidP="00E96B29">
            <w:pPr>
              <w:pStyle w:val="ChartSecondHeading"/>
            </w:pPr>
            <w:r w:rsidRPr="00027624">
              <w:t>Short</w:t>
            </w:r>
            <w:r w:rsidR="00A8443E" w:rsidRPr="00027624">
              <w:noBreakHyphen/>
            </w:r>
            <w:r w:rsidRPr="00027624">
              <w:t>term percentage fee (per cent)</w:t>
            </w:r>
          </w:p>
        </w:tc>
        <w:tc>
          <w:tcPr>
            <w:tcW w:w="1365" w:type="pct"/>
            <w:shd w:val="clear" w:color="auto" w:fill="E5E5E5"/>
          </w:tcPr>
          <w:p w14:paraId="10C75A22" w14:textId="77777777" w:rsidR="00E96B29" w:rsidRPr="00027624" w:rsidRDefault="00E96B29" w:rsidP="00E96B29">
            <w:pPr>
              <w:pStyle w:val="ChartSecondHeading"/>
            </w:pPr>
            <w:r w:rsidRPr="00027624">
              <w:t>Long</w:t>
            </w:r>
            <w:r w:rsidR="00A8443E" w:rsidRPr="00027624">
              <w:noBreakHyphen/>
            </w:r>
            <w:r w:rsidRPr="00027624">
              <w:t>term percentage fee (per cent)</w:t>
            </w:r>
          </w:p>
        </w:tc>
      </w:tr>
      <w:tr w:rsidR="00E96B29" w:rsidRPr="00027624" w14:paraId="2D3CCDEB" w14:textId="77777777" w:rsidTr="00E96B29">
        <w:trPr>
          <w:trHeight w:val="336"/>
        </w:trPr>
        <w:tc>
          <w:tcPr>
            <w:tcW w:w="1172" w:type="pct"/>
          </w:tcPr>
          <w:p w14:paraId="141EE6CE" w14:textId="77777777" w:rsidR="00E96B29" w:rsidRPr="00027624" w:rsidRDefault="00E96B29" w:rsidP="00E96B29">
            <w:pPr>
              <w:pStyle w:val="TableTextLeft"/>
            </w:pPr>
            <w:r w:rsidRPr="00027624">
              <w:t>Corporate</w:t>
            </w:r>
          </w:p>
        </w:tc>
        <w:tc>
          <w:tcPr>
            <w:tcW w:w="1016" w:type="pct"/>
          </w:tcPr>
          <w:p w14:paraId="00891C58" w14:textId="77777777" w:rsidR="00E96B29" w:rsidRPr="00027624" w:rsidRDefault="00E96B29" w:rsidP="00E96B29">
            <w:pPr>
              <w:pStyle w:val="TableTextCentered"/>
            </w:pPr>
            <w:r w:rsidRPr="00027624">
              <w:t>71</w:t>
            </w:r>
          </w:p>
        </w:tc>
        <w:tc>
          <w:tcPr>
            <w:tcW w:w="1447" w:type="pct"/>
          </w:tcPr>
          <w:p w14:paraId="27111597" w14:textId="77777777" w:rsidR="00E96B29" w:rsidRPr="00027624" w:rsidRDefault="00E96B29" w:rsidP="00E96B29">
            <w:pPr>
              <w:pStyle w:val="TableTextCentered"/>
            </w:pPr>
            <w:r w:rsidRPr="00027624">
              <w:t>0.76</w:t>
            </w:r>
          </w:p>
        </w:tc>
        <w:tc>
          <w:tcPr>
            <w:tcW w:w="1365" w:type="pct"/>
          </w:tcPr>
          <w:p w14:paraId="55760F7B" w14:textId="77777777" w:rsidR="00E96B29" w:rsidRPr="00027624" w:rsidRDefault="00E96B29" w:rsidP="00E96B29">
            <w:pPr>
              <w:pStyle w:val="TableTextCentered"/>
            </w:pPr>
            <w:r w:rsidRPr="00027624">
              <w:t xml:space="preserve">0.47 </w:t>
            </w:r>
          </w:p>
        </w:tc>
      </w:tr>
      <w:tr w:rsidR="00E96B29" w:rsidRPr="00027624" w14:paraId="44C18D46" w14:textId="77777777" w:rsidTr="00E96B29">
        <w:trPr>
          <w:trHeight w:val="347"/>
        </w:trPr>
        <w:tc>
          <w:tcPr>
            <w:tcW w:w="1172" w:type="pct"/>
          </w:tcPr>
          <w:p w14:paraId="10B485A5" w14:textId="77777777" w:rsidR="00E96B29" w:rsidRPr="00027624" w:rsidRDefault="00E96B29" w:rsidP="00E96B29">
            <w:pPr>
              <w:pStyle w:val="TableTextLeft"/>
            </w:pPr>
            <w:r w:rsidRPr="00027624">
              <w:t>Employer master trusts</w:t>
            </w:r>
          </w:p>
        </w:tc>
        <w:tc>
          <w:tcPr>
            <w:tcW w:w="1016" w:type="pct"/>
          </w:tcPr>
          <w:p w14:paraId="7877B32D" w14:textId="77777777" w:rsidR="00E96B29" w:rsidRPr="00027624" w:rsidRDefault="00E96B29" w:rsidP="00E96B29">
            <w:pPr>
              <w:pStyle w:val="TableTextCentered"/>
            </w:pPr>
            <w:r w:rsidRPr="00027624">
              <w:t>64</w:t>
            </w:r>
          </w:p>
        </w:tc>
        <w:tc>
          <w:tcPr>
            <w:tcW w:w="1447" w:type="pct"/>
          </w:tcPr>
          <w:p w14:paraId="2321B3F2" w14:textId="77777777" w:rsidR="00E96B29" w:rsidRPr="00027624" w:rsidRDefault="00E96B29" w:rsidP="00E96B29">
            <w:pPr>
              <w:pStyle w:val="TableTextCentered"/>
            </w:pPr>
            <w:r w:rsidRPr="00027624">
              <w:t xml:space="preserve">0.86 </w:t>
            </w:r>
          </w:p>
        </w:tc>
        <w:tc>
          <w:tcPr>
            <w:tcW w:w="1365" w:type="pct"/>
          </w:tcPr>
          <w:p w14:paraId="5F010249" w14:textId="77777777" w:rsidR="00E96B29" w:rsidRPr="00027624" w:rsidRDefault="00E96B29" w:rsidP="00E96B29">
            <w:pPr>
              <w:pStyle w:val="TableTextCentered"/>
            </w:pPr>
            <w:r w:rsidRPr="00027624">
              <w:t xml:space="preserve">0.58 </w:t>
            </w:r>
          </w:p>
        </w:tc>
      </w:tr>
      <w:tr w:rsidR="00E96B29" w:rsidRPr="00027624" w14:paraId="1BCB07EB" w14:textId="77777777" w:rsidTr="00E96B29">
        <w:trPr>
          <w:trHeight w:val="336"/>
        </w:trPr>
        <w:tc>
          <w:tcPr>
            <w:tcW w:w="1172" w:type="pct"/>
          </w:tcPr>
          <w:p w14:paraId="50559FB4" w14:textId="77777777" w:rsidR="00E96B29" w:rsidRPr="00027624" w:rsidRDefault="00E96B29" w:rsidP="00E96B29">
            <w:pPr>
              <w:pStyle w:val="TableTextLeft"/>
            </w:pPr>
            <w:r w:rsidRPr="00027624">
              <w:t>Industry</w:t>
            </w:r>
          </w:p>
        </w:tc>
        <w:tc>
          <w:tcPr>
            <w:tcW w:w="1016" w:type="pct"/>
          </w:tcPr>
          <w:p w14:paraId="7FDC9E18" w14:textId="77777777" w:rsidR="00E96B29" w:rsidRPr="00027624" w:rsidRDefault="00E96B29" w:rsidP="00E96B29">
            <w:pPr>
              <w:pStyle w:val="TableTextCentered"/>
            </w:pPr>
            <w:r w:rsidRPr="00027624">
              <w:t>88</w:t>
            </w:r>
          </w:p>
        </w:tc>
        <w:tc>
          <w:tcPr>
            <w:tcW w:w="1447" w:type="pct"/>
          </w:tcPr>
          <w:p w14:paraId="4DA9F987" w14:textId="77777777" w:rsidR="00E96B29" w:rsidRPr="00027624" w:rsidRDefault="00E96B29" w:rsidP="00E96B29">
            <w:pPr>
              <w:pStyle w:val="TableTextCentered"/>
            </w:pPr>
            <w:r w:rsidRPr="00027624">
              <w:t xml:space="preserve">0.79 </w:t>
            </w:r>
          </w:p>
        </w:tc>
        <w:tc>
          <w:tcPr>
            <w:tcW w:w="1365" w:type="pct"/>
          </w:tcPr>
          <w:p w14:paraId="0CD67ECC" w14:textId="77777777" w:rsidR="00E96B29" w:rsidRPr="00027624" w:rsidRDefault="00E96B29" w:rsidP="00E96B29">
            <w:pPr>
              <w:pStyle w:val="TableTextCentered"/>
            </w:pPr>
            <w:r w:rsidRPr="00027624">
              <w:t xml:space="preserve">0.50 </w:t>
            </w:r>
          </w:p>
        </w:tc>
      </w:tr>
      <w:tr w:rsidR="00E96B29" w:rsidRPr="00027624" w14:paraId="4F39089B" w14:textId="77777777" w:rsidTr="00E96B29">
        <w:trPr>
          <w:trHeight w:val="347"/>
        </w:trPr>
        <w:tc>
          <w:tcPr>
            <w:tcW w:w="1172" w:type="pct"/>
          </w:tcPr>
          <w:p w14:paraId="56FB7180" w14:textId="77777777" w:rsidR="00E96B29" w:rsidRPr="00027624" w:rsidRDefault="00E96B29" w:rsidP="00E96B29">
            <w:pPr>
              <w:pStyle w:val="TableTextLeft"/>
            </w:pPr>
            <w:r w:rsidRPr="00027624">
              <w:t>Public sector</w:t>
            </w:r>
          </w:p>
        </w:tc>
        <w:tc>
          <w:tcPr>
            <w:tcW w:w="1016" w:type="pct"/>
          </w:tcPr>
          <w:p w14:paraId="073E1F02" w14:textId="77777777" w:rsidR="00E96B29" w:rsidRPr="00027624" w:rsidRDefault="00E96B29" w:rsidP="00E96B29">
            <w:pPr>
              <w:pStyle w:val="TableTextCentered"/>
            </w:pPr>
            <w:r w:rsidRPr="00027624">
              <w:t>32</w:t>
            </w:r>
          </w:p>
        </w:tc>
        <w:tc>
          <w:tcPr>
            <w:tcW w:w="1447" w:type="pct"/>
          </w:tcPr>
          <w:p w14:paraId="75384B97" w14:textId="77777777" w:rsidR="00E96B29" w:rsidRPr="00027624" w:rsidRDefault="00E96B29" w:rsidP="00E96B29">
            <w:pPr>
              <w:pStyle w:val="TableTextCentered"/>
            </w:pPr>
            <w:r w:rsidRPr="00027624">
              <w:t xml:space="preserve">0.68 </w:t>
            </w:r>
          </w:p>
        </w:tc>
        <w:tc>
          <w:tcPr>
            <w:tcW w:w="1365" w:type="pct"/>
          </w:tcPr>
          <w:p w14:paraId="0BB8E515" w14:textId="77777777" w:rsidR="00E96B29" w:rsidRPr="00027624" w:rsidRDefault="00E96B29" w:rsidP="00E96B29">
            <w:pPr>
              <w:pStyle w:val="TableTextCentered"/>
            </w:pPr>
            <w:r w:rsidRPr="00027624">
              <w:t xml:space="preserve">0.39 </w:t>
            </w:r>
          </w:p>
        </w:tc>
      </w:tr>
      <w:tr w:rsidR="00E96B29" w:rsidRPr="00027624" w14:paraId="29F2E9E0" w14:textId="77777777" w:rsidTr="00E96B29">
        <w:trPr>
          <w:trHeight w:val="336"/>
        </w:trPr>
        <w:tc>
          <w:tcPr>
            <w:tcW w:w="1172" w:type="pct"/>
          </w:tcPr>
          <w:p w14:paraId="5A0C0211" w14:textId="77777777" w:rsidR="00E96B29" w:rsidRPr="00027624" w:rsidRDefault="00E96B29" w:rsidP="00E96B29">
            <w:pPr>
              <w:pStyle w:val="TableTextLeft"/>
            </w:pPr>
            <w:r w:rsidRPr="00027624">
              <w:t>Personal master trust</w:t>
            </w:r>
          </w:p>
        </w:tc>
        <w:tc>
          <w:tcPr>
            <w:tcW w:w="1016" w:type="pct"/>
          </w:tcPr>
          <w:p w14:paraId="19B82543" w14:textId="77777777" w:rsidR="00E96B29" w:rsidRPr="00027624" w:rsidRDefault="00E96B29" w:rsidP="00E96B29">
            <w:pPr>
              <w:pStyle w:val="TableTextCentered"/>
            </w:pPr>
            <w:r w:rsidRPr="00027624">
              <w:t>63</w:t>
            </w:r>
          </w:p>
        </w:tc>
        <w:tc>
          <w:tcPr>
            <w:tcW w:w="1447" w:type="pct"/>
          </w:tcPr>
          <w:p w14:paraId="487A4212" w14:textId="77777777" w:rsidR="00E96B29" w:rsidRPr="00027624" w:rsidRDefault="00E96B29" w:rsidP="00E96B29">
            <w:pPr>
              <w:pStyle w:val="TableTextCentered"/>
            </w:pPr>
            <w:r w:rsidRPr="00027624">
              <w:t>1.33</w:t>
            </w:r>
          </w:p>
        </w:tc>
        <w:tc>
          <w:tcPr>
            <w:tcW w:w="1365" w:type="pct"/>
          </w:tcPr>
          <w:p w14:paraId="1545985D" w14:textId="77777777" w:rsidR="00E96B29" w:rsidRPr="00027624" w:rsidRDefault="00E96B29" w:rsidP="00E96B29">
            <w:pPr>
              <w:pStyle w:val="TableTextCentered"/>
            </w:pPr>
            <w:r w:rsidRPr="00027624">
              <w:t>1.04</w:t>
            </w:r>
          </w:p>
        </w:tc>
      </w:tr>
      <w:tr w:rsidR="00E96B29" w:rsidRPr="00027624" w14:paraId="3CA7FCA9" w14:textId="77777777" w:rsidTr="00E96B29">
        <w:trPr>
          <w:trHeight w:val="336"/>
        </w:trPr>
        <w:tc>
          <w:tcPr>
            <w:tcW w:w="1172" w:type="pct"/>
          </w:tcPr>
          <w:p w14:paraId="6702F1CB" w14:textId="77777777" w:rsidR="00E96B29" w:rsidRPr="00027624" w:rsidRDefault="00E96B29" w:rsidP="00E96B29">
            <w:pPr>
              <w:pStyle w:val="TableTextLeft"/>
            </w:pPr>
            <w:r w:rsidRPr="00027624">
              <w:t>Post</w:t>
            </w:r>
            <w:r w:rsidR="00A8443E" w:rsidRPr="00027624">
              <w:noBreakHyphen/>
            </w:r>
            <w:r w:rsidRPr="00027624">
              <w:t>retirement products</w:t>
            </w:r>
          </w:p>
        </w:tc>
        <w:tc>
          <w:tcPr>
            <w:tcW w:w="1016" w:type="pct"/>
          </w:tcPr>
          <w:p w14:paraId="7702D428" w14:textId="77777777" w:rsidR="00E96B29" w:rsidRPr="00027624" w:rsidRDefault="00E96B29" w:rsidP="00E96B29">
            <w:pPr>
              <w:pStyle w:val="TableTextCentered"/>
            </w:pPr>
            <w:r w:rsidRPr="00027624">
              <w:t>38</w:t>
            </w:r>
          </w:p>
        </w:tc>
        <w:tc>
          <w:tcPr>
            <w:tcW w:w="1447" w:type="pct"/>
          </w:tcPr>
          <w:p w14:paraId="4291F373" w14:textId="77777777" w:rsidR="00E96B29" w:rsidRPr="00027624" w:rsidRDefault="00E96B29" w:rsidP="00E96B29">
            <w:pPr>
              <w:pStyle w:val="TableTextCentered"/>
            </w:pPr>
            <w:r w:rsidRPr="00027624">
              <w:t xml:space="preserve">1.23 </w:t>
            </w:r>
          </w:p>
        </w:tc>
        <w:tc>
          <w:tcPr>
            <w:tcW w:w="1365" w:type="pct"/>
          </w:tcPr>
          <w:p w14:paraId="7435526C" w14:textId="77777777" w:rsidR="00E96B29" w:rsidRPr="00027624" w:rsidRDefault="00E96B29" w:rsidP="00E96B29">
            <w:pPr>
              <w:pStyle w:val="TableTextCentered"/>
            </w:pPr>
            <w:r w:rsidRPr="00027624">
              <w:t xml:space="preserve">0.94 </w:t>
            </w:r>
          </w:p>
        </w:tc>
      </w:tr>
      <w:tr w:rsidR="00E96B29" w:rsidRPr="00027624" w14:paraId="109B0D6A" w14:textId="77777777" w:rsidTr="00E96B29">
        <w:trPr>
          <w:trHeight w:val="347"/>
        </w:trPr>
        <w:tc>
          <w:tcPr>
            <w:tcW w:w="1172" w:type="pct"/>
          </w:tcPr>
          <w:p w14:paraId="1394A9F4" w14:textId="77777777" w:rsidR="00E96B29" w:rsidRPr="00027624" w:rsidRDefault="00E96B29" w:rsidP="00E96B29">
            <w:pPr>
              <w:pStyle w:val="TableTextLeft"/>
            </w:pPr>
            <w:r w:rsidRPr="00027624">
              <w:t>Retirement savings accounts</w:t>
            </w:r>
          </w:p>
        </w:tc>
        <w:tc>
          <w:tcPr>
            <w:tcW w:w="1016" w:type="pct"/>
          </w:tcPr>
          <w:p w14:paraId="49489EDA" w14:textId="77777777" w:rsidR="00E96B29" w:rsidRPr="00027624" w:rsidRDefault="00E96B29" w:rsidP="00E96B29">
            <w:pPr>
              <w:pStyle w:val="TableTextCentered"/>
            </w:pPr>
            <w:r w:rsidRPr="00027624">
              <w:t>0</w:t>
            </w:r>
          </w:p>
        </w:tc>
        <w:tc>
          <w:tcPr>
            <w:tcW w:w="1447" w:type="pct"/>
          </w:tcPr>
          <w:p w14:paraId="0202E74B" w14:textId="77777777" w:rsidR="00E96B29" w:rsidRPr="00027624" w:rsidRDefault="00E96B29" w:rsidP="00E96B29">
            <w:pPr>
              <w:pStyle w:val="TableTextCentered"/>
            </w:pPr>
            <w:r w:rsidRPr="00027624">
              <w:t xml:space="preserve">0.88 </w:t>
            </w:r>
          </w:p>
        </w:tc>
        <w:tc>
          <w:tcPr>
            <w:tcW w:w="1365" w:type="pct"/>
          </w:tcPr>
          <w:p w14:paraId="446FD068" w14:textId="77777777" w:rsidR="00E96B29" w:rsidRPr="00027624" w:rsidRDefault="00E96B29" w:rsidP="00E96B29">
            <w:pPr>
              <w:pStyle w:val="TableTextCentered"/>
            </w:pPr>
            <w:r w:rsidRPr="00027624">
              <w:t xml:space="preserve">0.59 </w:t>
            </w:r>
          </w:p>
        </w:tc>
      </w:tr>
      <w:tr w:rsidR="00E96B29" w:rsidRPr="00027624" w14:paraId="2A07BC46" w14:textId="77777777" w:rsidTr="00E96B29">
        <w:trPr>
          <w:trHeight w:val="336"/>
        </w:trPr>
        <w:tc>
          <w:tcPr>
            <w:tcW w:w="1172" w:type="pct"/>
          </w:tcPr>
          <w:p w14:paraId="275E47A4" w14:textId="77777777" w:rsidR="00E96B29" w:rsidRPr="00027624" w:rsidRDefault="00E96B29" w:rsidP="00E96B29">
            <w:pPr>
              <w:pStyle w:val="TableTextLeft"/>
            </w:pPr>
            <w:r w:rsidRPr="00027624">
              <w:t>Eligible rollover funds</w:t>
            </w:r>
          </w:p>
        </w:tc>
        <w:tc>
          <w:tcPr>
            <w:tcW w:w="1016" w:type="pct"/>
          </w:tcPr>
          <w:p w14:paraId="66EF37E4" w14:textId="77777777" w:rsidR="00E96B29" w:rsidRPr="00027624" w:rsidRDefault="00E96B29" w:rsidP="00E96B29">
            <w:pPr>
              <w:pStyle w:val="TableTextCentered"/>
            </w:pPr>
            <w:r w:rsidRPr="00027624">
              <w:t>0</w:t>
            </w:r>
          </w:p>
        </w:tc>
        <w:tc>
          <w:tcPr>
            <w:tcW w:w="1447" w:type="pct"/>
          </w:tcPr>
          <w:p w14:paraId="02401374" w14:textId="77777777" w:rsidR="00E96B29" w:rsidRPr="00027624" w:rsidRDefault="00E96B29" w:rsidP="00E96B29">
            <w:pPr>
              <w:pStyle w:val="TableTextCentered"/>
            </w:pPr>
            <w:r w:rsidRPr="00027624">
              <w:t xml:space="preserve">1.95 </w:t>
            </w:r>
          </w:p>
        </w:tc>
        <w:tc>
          <w:tcPr>
            <w:tcW w:w="1365" w:type="pct"/>
          </w:tcPr>
          <w:p w14:paraId="6F36F2A6" w14:textId="77777777" w:rsidR="00E96B29" w:rsidRPr="00027624" w:rsidRDefault="00E96B29" w:rsidP="00E96B29">
            <w:pPr>
              <w:pStyle w:val="TableTextCentered"/>
            </w:pPr>
            <w:r w:rsidRPr="00027624">
              <w:t xml:space="preserve">3.69 </w:t>
            </w:r>
          </w:p>
        </w:tc>
      </w:tr>
      <w:tr w:rsidR="00E96B29" w:rsidRPr="00027624" w14:paraId="5CA2856A" w14:textId="77777777" w:rsidTr="00E96B29">
        <w:trPr>
          <w:trHeight w:val="347"/>
        </w:trPr>
        <w:tc>
          <w:tcPr>
            <w:tcW w:w="1172" w:type="pct"/>
          </w:tcPr>
          <w:p w14:paraId="05CE9E7A" w14:textId="77777777" w:rsidR="00E96B29" w:rsidRPr="00027624" w:rsidRDefault="00E96B29" w:rsidP="00E96B29">
            <w:pPr>
              <w:pStyle w:val="TableTextLeft"/>
            </w:pPr>
            <w:r w:rsidRPr="00027624">
              <w:t>Self</w:t>
            </w:r>
            <w:r w:rsidR="00A8443E" w:rsidRPr="00027624">
              <w:noBreakHyphen/>
            </w:r>
            <w:r w:rsidRPr="00027624">
              <w:t>managed superannuation funds</w:t>
            </w:r>
          </w:p>
        </w:tc>
        <w:tc>
          <w:tcPr>
            <w:tcW w:w="1016" w:type="pct"/>
          </w:tcPr>
          <w:p w14:paraId="62A26803" w14:textId="77777777" w:rsidR="00E96B29" w:rsidRPr="00027624" w:rsidRDefault="00E96B29" w:rsidP="00E96B29">
            <w:pPr>
              <w:pStyle w:val="TableTextCentered"/>
            </w:pPr>
            <w:r w:rsidRPr="00027624">
              <w:t>1,800</w:t>
            </w:r>
          </w:p>
        </w:tc>
        <w:tc>
          <w:tcPr>
            <w:tcW w:w="1447" w:type="pct"/>
          </w:tcPr>
          <w:p w14:paraId="0B7D360D" w14:textId="77777777" w:rsidR="00E96B29" w:rsidRPr="00027624" w:rsidRDefault="00E96B29" w:rsidP="00E96B29">
            <w:pPr>
              <w:pStyle w:val="TableTextCentered"/>
            </w:pPr>
            <w:r w:rsidRPr="00027624">
              <w:t xml:space="preserve">0.62 </w:t>
            </w:r>
          </w:p>
        </w:tc>
        <w:tc>
          <w:tcPr>
            <w:tcW w:w="1365" w:type="pct"/>
          </w:tcPr>
          <w:p w14:paraId="5D8F46F8" w14:textId="77777777" w:rsidR="00E96B29" w:rsidRPr="00027624" w:rsidRDefault="00E96B29" w:rsidP="00E96B29">
            <w:pPr>
              <w:pStyle w:val="TableTextCentered"/>
            </w:pPr>
            <w:r w:rsidRPr="00027624">
              <w:t xml:space="preserve">0.33 </w:t>
            </w:r>
          </w:p>
        </w:tc>
      </w:tr>
    </w:tbl>
    <w:p w14:paraId="61E50DDF" w14:textId="77777777" w:rsidR="00E96B29" w:rsidRPr="00027624" w:rsidRDefault="00E96B29" w:rsidP="00E96B29">
      <w:pPr>
        <w:pStyle w:val="ChartorTableNote"/>
      </w:pPr>
      <w:r w:rsidRPr="00027624">
        <w:t>Source: Rice Warner.</w:t>
      </w:r>
    </w:p>
    <w:p w14:paraId="2B52001A" w14:textId="77777777" w:rsidR="00E96B29" w:rsidRPr="00027624" w:rsidRDefault="00E96B29" w:rsidP="00E96B29">
      <w:r w:rsidRPr="00027624">
        <w:t>The model accounts for the legislated increase in the SG to 12 per cent by 1 July 2025. However, it is assumed that the cumulative increase of 2.5 percentage points will result in an increase of only 2.2</w:t>
      </w:r>
      <w:r w:rsidRPr="00027624" w:rsidDel="0068007C">
        <w:t> per</w:t>
      </w:r>
      <w:r w:rsidRPr="00027624">
        <w:t xml:space="preserve"> cent in total employer contributions. This is due to the potential for the SG increase to be absorbed by reduced salary sacrifice contributions. Increases in the SG are </w:t>
      </w:r>
      <w:r w:rsidRPr="00027624">
        <w:rPr>
          <w:i/>
        </w:rPr>
        <w:t xml:space="preserve">not </w:t>
      </w:r>
      <w:r w:rsidRPr="00027624">
        <w:t xml:space="preserve">assumed to compress wage growth. Contributions are taxed at 15 per cent, with allowances made for </w:t>
      </w:r>
      <w:r w:rsidR="00814818" w:rsidRPr="00027624">
        <w:t>Division 293 tax</w:t>
      </w:r>
      <w:r w:rsidRPr="00027624">
        <w:t xml:space="preserve"> and the low income superannuation tax offset.</w:t>
      </w:r>
    </w:p>
    <w:p w14:paraId="03DAA1FE" w14:textId="77777777" w:rsidR="00E96B29" w:rsidRPr="00027624" w:rsidRDefault="00E96B29" w:rsidP="00E96B29">
      <w:pPr>
        <w:pStyle w:val="Heading4"/>
      </w:pPr>
      <w:r w:rsidRPr="00027624">
        <w:t>Economic assumptions</w:t>
      </w:r>
    </w:p>
    <w:p w14:paraId="758537C1" w14:textId="4B493A49" w:rsidR="00E96B29" w:rsidRPr="00027624" w:rsidRDefault="00E96B29" w:rsidP="00E96B29">
      <w:r w:rsidRPr="00027624">
        <w:t>Nominal GDP growth assumptions vary year</w:t>
      </w:r>
      <w:r w:rsidR="00A8443E" w:rsidRPr="00027624">
        <w:noBreakHyphen/>
      </w:r>
      <w:r w:rsidRPr="00027624">
        <w:t>to</w:t>
      </w:r>
      <w:r w:rsidR="00A8443E" w:rsidRPr="00027624">
        <w:noBreakHyphen/>
      </w:r>
      <w:r w:rsidRPr="00027624">
        <w:t>year, with the rate of growth slowing over time (consistent with slowing population growth). Inflation and wage growth assumptions are constant over time (</w:t>
      </w:r>
      <w:r w:rsidRPr="00027624">
        <w:fldChar w:fldCharType="begin"/>
      </w:r>
      <w:r w:rsidRPr="00027624">
        <w:instrText xml:space="preserve"> REF _Ref42864133 \r \h  \* MERGEFORMAT </w:instrText>
      </w:r>
      <w:r w:rsidRPr="00027624">
        <w:fldChar w:fldCharType="separate"/>
      </w:r>
      <w:r w:rsidR="00891058">
        <w:t>Table 6A-26</w:t>
      </w:r>
      <w:r w:rsidRPr="00027624">
        <w:fldChar w:fldCharType="end"/>
      </w:r>
      <w:r w:rsidRPr="00027624">
        <w:t>).</w:t>
      </w:r>
    </w:p>
    <w:p w14:paraId="12B8E6F2" w14:textId="77777777" w:rsidR="00E96B29" w:rsidRPr="00027624" w:rsidRDefault="00E96B29" w:rsidP="00E96B29">
      <w:pPr>
        <w:pStyle w:val="TableMainHeading"/>
      </w:pPr>
      <w:bookmarkStart w:id="4320" w:name="_Ref42864133"/>
      <w:r w:rsidRPr="00027624">
        <w:t>SPROUT economic assumptions</w:t>
      </w:r>
      <w:bookmarkEnd w:id="4320"/>
    </w:p>
    <w:tbl>
      <w:tblPr>
        <w:tblW w:w="5000" w:type="pct"/>
        <w:tblLook w:val="01E0" w:firstRow="1" w:lastRow="1" w:firstColumn="1" w:lastColumn="1" w:noHBand="0" w:noVBand="0"/>
      </w:tblPr>
      <w:tblGrid>
        <w:gridCol w:w="3020"/>
        <w:gridCol w:w="6050"/>
      </w:tblGrid>
      <w:tr w:rsidR="00E96B29" w:rsidRPr="00027624" w14:paraId="68534AF3" w14:textId="77777777" w:rsidTr="00E96B29">
        <w:trPr>
          <w:trHeight w:val="270"/>
          <w:tblHeader/>
        </w:trPr>
        <w:tc>
          <w:tcPr>
            <w:tcW w:w="1665" w:type="pct"/>
            <w:shd w:val="clear" w:color="auto" w:fill="E5E5E5"/>
          </w:tcPr>
          <w:p w14:paraId="5A8080E5" w14:textId="77777777" w:rsidR="00E96B29" w:rsidRPr="00027624" w:rsidRDefault="00E96B29" w:rsidP="00E96B29">
            <w:pPr>
              <w:pStyle w:val="TableColumnHeadingCentred"/>
              <w:jc w:val="left"/>
              <w:rPr>
                <w:b w:val="0"/>
              </w:rPr>
            </w:pPr>
            <w:r w:rsidRPr="00027624">
              <w:t>Assumption</w:t>
            </w:r>
          </w:p>
        </w:tc>
        <w:tc>
          <w:tcPr>
            <w:tcW w:w="3335" w:type="pct"/>
            <w:shd w:val="clear" w:color="auto" w:fill="E5E5E5"/>
          </w:tcPr>
          <w:p w14:paraId="0EDDA6C3" w14:textId="77777777" w:rsidR="00E96B29" w:rsidRPr="00027624" w:rsidRDefault="00E96B29" w:rsidP="00E96B29">
            <w:pPr>
              <w:pStyle w:val="TableColumnHeadingCentred"/>
              <w:rPr>
                <w:b w:val="0"/>
              </w:rPr>
            </w:pPr>
            <w:r w:rsidRPr="00027624">
              <w:t>Parameter</w:t>
            </w:r>
          </w:p>
        </w:tc>
      </w:tr>
      <w:tr w:rsidR="00E96B29" w:rsidRPr="00027624" w14:paraId="1E4D3433" w14:textId="77777777" w:rsidTr="00E96B29">
        <w:trPr>
          <w:trHeight w:val="270"/>
        </w:trPr>
        <w:tc>
          <w:tcPr>
            <w:tcW w:w="1665" w:type="pct"/>
          </w:tcPr>
          <w:p w14:paraId="5E6F2A63" w14:textId="77777777" w:rsidR="00E96B29" w:rsidRPr="00027624" w:rsidRDefault="00E96B29" w:rsidP="00E96B29">
            <w:pPr>
              <w:pStyle w:val="TableTextLeft"/>
            </w:pPr>
            <w:r w:rsidRPr="00027624">
              <w:t>Nominal GDP</w:t>
            </w:r>
          </w:p>
        </w:tc>
        <w:tc>
          <w:tcPr>
            <w:tcW w:w="3335" w:type="pct"/>
          </w:tcPr>
          <w:p w14:paraId="69B9F732" w14:textId="77777777" w:rsidR="00E96B29" w:rsidRPr="00027624" w:rsidRDefault="00E96B29" w:rsidP="00E96B29">
            <w:pPr>
              <w:pStyle w:val="TableTextLeft"/>
            </w:pPr>
            <w:r w:rsidRPr="00027624">
              <w:t>Compound annual average growth of ~ 5.2 per cent per year, trending down.</w:t>
            </w:r>
          </w:p>
        </w:tc>
      </w:tr>
      <w:tr w:rsidR="00E96B29" w:rsidRPr="00027624" w14:paraId="0F692C73" w14:textId="77777777" w:rsidTr="00E96B29">
        <w:trPr>
          <w:trHeight w:val="270"/>
        </w:trPr>
        <w:tc>
          <w:tcPr>
            <w:tcW w:w="1665" w:type="pct"/>
          </w:tcPr>
          <w:p w14:paraId="12D845BF" w14:textId="77777777" w:rsidR="00E96B29" w:rsidRPr="00027624" w:rsidRDefault="00E96B29" w:rsidP="00E96B29">
            <w:pPr>
              <w:pStyle w:val="TableTextLeft"/>
            </w:pPr>
            <w:r w:rsidRPr="00027624">
              <w:t>Inflation</w:t>
            </w:r>
          </w:p>
        </w:tc>
        <w:tc>
          <w:tcPr>
            <w:tcW w:w="3335" w:type="pct"/>
          </w:tcPr>
          <w:p w14:paraId="0DF8733A" w14:textId="77777777" w:rsidR="00E96B29" w:rsidRPr="00027624" w:rsidRDefault="00E96B29" w:rsidP="00E96B29">
            <w:pPr>
              <w:pStyle w:val="TableTextLeft"/>
            </w:pPr>
            <w:r w:rsidRPr="00027624">
              <w:t>2.5 per cent, per year</w:t>
            </w:r>
          </w:p>
        </w:tc>
      </w:tr>
      <w:tr w:rsidR="00E96B29" w:rsidRPr="00027624" w14:paraId="693837C4" w14:textId="77777777" w:rsidTr="00E96B29">
        <w:trPr>
          <w:trHeight w:val="270"/>
        </w:trPr>
        <w:tc>
          <w:tcPr>
            <w:tcW w:w="1665" w:type="pct"/>
          </w:tcPr>
          <w:p w14:paraId="50DAE9FB" w14:textId="77777777" w:rsidR="00E96B29" w:rsidRPr="00027624" w:rsidRDefault="00E96B29" w:rsidP="00E96B29">
            <w:pPr>
              <w:pStyle w:val="TableTextLeft"/>
            </w:pPr>
            <w:r w:rsidRPr="00027624">
              <w:t>Wage growth</w:t>
            </w:r>
          </w:p>
        </w:tc>
        <w:tc>
          <w:tcPr>
            <w:tcW w:w="3335" w:type="pct"/>
          </w:tcPr>
          <w:p w14:paraId="794F107B" w14:textId="77777777" w:rsidR="00E96B29" w:rsidRPr="00027624" w:rsidRDefault="00E96B29" w:rsidP="00E96B29">
            <w:pPr>
              <w:pStyle w:val="TableTextLeft"/>
            </w:pPr>
            <w:r w:rsidRPr="00027624">
              <w:t>3.5 per cent, per year</w:t>
            </w:r>
          </w:p>
        </w:tc>
      </w:tr>
    </w:tbl>
    <w:p w14:paraId="2CC0486D" w14:textId="77777777" w:rsidR="00E96B29" w:rsidRPr="00027624" w:rsidRDefault="00E96B29" w:rsidP="00E96B29">
      <w:pPr>
        <w:pStyle w:val="ChartorTableNote"/>
      </w:pPr>
      <w:r w:rsidRPr="00027624">
        <w:t>Source: Rice Warner.</w:t>
      </w:r>
    </w:p>
    <w:p w14:paraId="67A7387D" w14:textId="77777777" w:rsidR="00E96B29" w:rsidRPr="00027624" w:rsidRDefault="00E96B29" w:rsidP="00E96B29">
      <w:pPr>
        <w:pStyle w:val="Heading3"/>
      </w:pPr>
      <w:r w:rsidRPr="00027624">
        <w:t>Scenario assumptions</w:t>
      </w:r>
    </w:p>
    <w:p w14:paraId="152F0AC6" w14:textId="77777777" w:rsidR="00E96B29" w:rsidRPr="00027624" w:rsidRDefault="00E96B29" w:rsidP="00E96B29">
      <w:r w:rsidRPr="00027624">
        <w:t>SPROUT was used to run a range of scenarios where assumptions differed to those used in the baseline.</w:t>
      </w:r>
    </w:p>
    <w:p w14:paraId="48BD0EF8" w14:textId="6CE348E7" w:rsidR="00E96B29" w:rsidRPr="00027624" w:rsidRDefault="00E96B29" w:rsidP="00E96B29">
      <w:pPr>
        <w:pStyle w:val="Bullet"/>
      </w:pPr>
      <w:r w:rsidRPr="00027624">
        <w:t xml:space="preserve">The </w:t>
      </w:r>
      <w:r w:rsidRPr="00027624">
        <w:rPr>
          <w:b/>
        </w:rPr>
        <w:t xml:space="preserve">lower earnings </w:t>
      </w:r>
      <w:r w:rsidRPr="00027624">
        <w:t xml:space="preserve">scenario saw earnings rates on all asset classes reduced by 1 percentage point from the baseline presented in </w:t>
      </w:r>
      <w:r w:rsidRPr="00027624">
        <w:fldChar w:fldCharType="begin"/>
      </w:r>
      <w:r w:rsidRPr="00027624">
        <w:instrText xml:space="preserve"> REF _Ref42775162 \r \h  \* MERGEFORMAT </w:instrText>
      </w:r>
      <w:r w:rsidRPr="00027624">
        <w:fldChar w:fldCharType="separate"/>
      </w:r>
      <w:r w:rsidR="00891058">
        <w:t>Table 6A-24</w:t>
      </w:r>
      <w:r w:rsidRPr="00027624">
        <w:fldChar w:fldCharType="end"/>
      </w:r>
      <w:r w:rsidRPr="00027624">
        <w:t>.</w:t>
      </w:r>
    </w:p>
    <w:p w14:paraId="17F40D0C" w14:textId="77777777" w:rsidR="00E96B29" w:rsidRPr="00027624" w:rsidRDefault="00E96B29" w:rsidP="00E96B29">
      <w:pPr>
        <w:pStyle w:val="Bullet"/>
      </w:pPr>
      <w:r w:rsidRPr="00027624">
        <w:t xml:space="preserve">The </w:t>
      </w:r>
      <w:r w:rsidRPr="00027624">
        <w:rPr>
          <w:b/>
        </w:rPr>
        <w:t xml:space="preserve">lower wages </w:t>
      </w:r>
      <w:r w:rsidRPr="00027624">
        <w:t>scenario saw the wage growth assumption reduced by 1 percentage point to 2.5</w:t>
      </w:r>
      <w:r w:rsidRPr="00027624" w:rsidDel="0068007C">
        <w:t> per</w:t>
      </w:r>
      <w:r w:rsidRPr="00027624">
        <w:t> cent per year.</w:t>
      </w:r>
    </w:p>
    <w:p w14:paraId="08A54DBE" w14:textId="77777777" w:rsidR="00E96B29" w:rsidRPr="00027624" w:rsidRDefault="00E96B29" w:rsidP="00E96B29">
      <w:pPr>
        <w:pStyle w:val="Bullet"/>
      </w:pPr>
      <w:r w:rsidRPr="00027624">
        <w:t xml:space="preserve">The </w:t>
      </w:r>
      <w:r w:rsidRPr="00027624">
        <w:rPr>
          <w:b/>
        </w:rPr>
        <w:t xml:space="preserve">constant SG </w:t>
      </w:r>
      <w:r w:rsidRPr="00027624">
        <w:t>scenario saw the SG held constant at 9.5 per cent, instead of increasing to 12</w:t>
      </w:r>
      <w:r w:rsidRPr="00027624" w:rsidDel="0068007C">
        <w:t> per</w:t>
      </w:r>
      <w:r w:rsidRPr="00027624">
        <w:t> cent by 1 July 2025.</w:t>
      </w:r>
    </w:p>
    <w:p w14:paraId="48A43755" w14:textId="77777777" w:rsidR="00E96B29" w:rsidRPr="00027624" w:rsidRDefault="00E96B29" w:rsidP="00E96B29">
      <w:pPr>
        <w:pStyle w:val="Bullet"/>
      </w:pPr>
      <w:r w:rsidRPr="00027624">
        <w:t xml:space="preserve">The </w:t>
      </w:r>
      <w:r w:rsidRPr="00027624">
        <w:rPr>
          <w:b/>
        </w:rPr>
        <w:t xml:space="preserve">changes to the </w:t>
      </w:r>
      <w:r w:rsidRPr="00027624" w:rsidDel="0068007C">
        <w:rPr>
          <w:b/>
        </w:rPr>
        <w:t>Age</w:t>
      </w:r>
      <w:r w:rsidRPr="00027624">
        <w:rPr>
          <w:b/>
        </w:rPr>
        <w:t xml:space="preserve"> Pension </w:t>
      </w:r>
      <w:r w:rsidR="00E627E2" w:rsidRPr="00027624">
        <w:rPr>
          <w:b/>
        </w:rPr>
        <w:t>assets test</w:t>
      </w:r>
      <w:r w:rsidRPr="00027624">
        <w:rPr>
          <w:b/>
        </w:rPr>
        <w:t xml:space="preserve"> taper rate scenario </w:t>
      </w:r>
      <w:r w:rsidRPr="00027624">
        <w:t xml:space="preserve">saw the </w:t>
      </w:r>
      <w:r w:rsidR="00E627E2" w:rsidRPr="00027624">
        <w:t>assets test</w:t>
      </w:r>
      <w:r w:rsidRPr="00027624">
        <w:t xml:space="preserve"> taper rate lowered from $3 per fortnight for every $1,000 in assets, to $2.25 per fortnight for every $1,000 in assets.</w:t>
      </w:r>
    </w:p>
    <w:p w14:paraId="5EEB9264" w14:textId="0C8206A3" w:rsidR="00E96B29" w:rsidRPr="00027624" w:rsidRDefault="00E96B29" w:rsidP="00E96B29">
      <w:r w:rsidRPr="00027624">
        <w:t xml:space="preserve">The </w:t>
      </w:r>
      <w:r w:rsidRPr="00027624">
        <w:rPr>
          <w:b/>
        </w:rPr>
        <w:t xml:space="preserve">lower fees </w:t>
      </w:r>
      <w:r w:rsidRPr="00027624">
        <w:t>scenario was more involved (</w:t>
      </w:r>
      <w:r w:rsidRPr="00027624">
        <w:fldChar w:fldCharType="begin"/>
      </w:r>
      <w:r w:rsidRPr="00027624">
        <w:instrText xml:space="preserve"> REF _Ref44843338 \r \h  \* MERGEFORMAT </w:instrText>
      </w:r>
      <w:r w:rsidRPr="00027624">
        <w:fldChar w:fldCharType="separate"/>
      </w:r>
      <w:r w:rsidR="00891058">
        <w:t>Table 6A-27</w:t>
      </w:r>
      <w:r w:rsidRPr="00027624">
        <w:fldChar w:fldCharType="end"/>
      </w:r>
      <w:r w:rsidRPr="00027624">
        <w:t>). As is the case in the baseline, fixed fees are indexed to inflation, and percentage fees for industry funds are projected to fall to 0.5 per cent over the first 10 years of the projection, and stay constant thereafter. However, unlike the baseline in which a constant gap is maintained between the percentage fees of industry funds and other segments, the fees scenario sees:</w:t>
      </w:r>
    </w:p>
    <w:p w14:paraId="0E5BF05B" w14:textId="77777777" w:rsidR="00E96B29" w:rsidRPr="00027624" w:rsidRDefault="00E96B29" w:rsidP="00E96B29">
      <w:pPr>
        <w:pStyle w:val="Bullet"/>
      </w:pPr>
      <w:r w:rsidRPr="00027624">
        <w:t>The industry, employer Master Trust and corporate segments match the percentage fee of the public sector funds over the short term</w:t>
      </w:r>
    </w:p>
    <w:p w14:paraId="7820875B" w14:textId="457B4761" w:rsidR="00E96B29" w:rsidRPr="00027624" w:rsidRDefault="00E96B29" w:rsidP="00E96B29">
      <w:pPr>
        <w:pStyle w:val="Bullet"/>
      </w:pPr>
      <w:r w:rsidRPr="00027624">
        <w:t>The public sector, employer and personal Master Trust, corporate and post</w:t>
      </w:r>
      <w:r w:rsidR="00A8443E" w:rsidRPr="00027624">
        <w:noBreakHyphen/>
      </w:r>
      <w:r w:rsidRPr="00027624">
        <w:t>retirement product segments match the industry segments fall to 0.5 per cent (</w:t>
      </w:r>
      <w:r w:rsidRPr="00027624">
        <w:fldChar w:fldCharType="begin"/>
      </w:r>
      <w:r w:rsidRPr="00027624">
        <w:instrText xml:space="preserve"> REF _Ref42787403 \r \h  \* MERGEFORMAT </w:instrText>
      </w:r>
      <w:r w:rsidRPr="00027624">
        <w:fldChar w:fldCharType="separate"/>
      </w:r>
      <w:r w:rsidR="00891058">
        <w:t>Table 6A-27</w:t>
      </w:r>
      <w:r w:rsidRPr="00027624">
        <w:fldChar w:fldCharType="end"/>
      </w:r>
      <w:r w:rsidRPr="00027624">
        <w:t>)</w:t>
      </w:r>
    </w:p>
    <w:p w14:paraId="12F5A606" w14:textId="77777777" w:rsidR="00E96B29" w:rsidRPr="00027624" w:rsidRDefault="00E96B29" w:rsidP="00E96B29">
      <w:r w:rsidRPr="00027624">
        <w:t>Overall, this scenario sees aggregate fees in the superannuation system fall to around 0.52 per cent of assets by 2059 from 0.86 per cent in 2019, instead of 0.64 per cent from 0.96 per cent as in the baseline.</w:t>
      </w:r>
    </w:p>
    <w:p w14:paraId="74EEE04F" w14:textId="77777777" w:rsidR="00E96B29" w:rsidRPr="00027624" w:rsidRDefault="00E96B29" w:rsidP="00E96B29">
      <w:pPr>
        <w:pStyle w:val="TableMainHeading"/>
      </w:pPr>
      <w:bookmarkStart w:id="4321" w:name="_Ref42787403"/>
      <w:bookmarkStart w:id="4322" w:name="_Ref44843338"/>
      <w:r w:rsidRPr="00027624">
        <w:t>SPROUT lower</w:t>
      </w:r>
      <w:r w:rsidR="00A8443E" w:rsidRPr="00027624">
        <w:noBreakHyphen/>
      </w:r>
      <w:r w:rsidRPr="00027624">
        <w:t>fees scenario assumptions</w:t>
      </w:r>
      <w:bookmarkEnd w:id="4321"/>
      <w:bookmarkEnd w:id="4322"/>
    </w:p>
    <w:tbl>
      <w:tblPr>
        <w:tblW w:w="5000" w:type="pct"/>
        <w:tblLook w:val="01E0" w:firstRow="1" w:lastRow="1" w:firstColumn="1" w:lastColumn="1" w:noHBand="0" w:noVBand="0"/>
      </w:tblPr>
      <w:tblGrid>
        <w:gridCol w:w="1385"/>
        <w:gridCol w:w="1282"/>
        <w:gridCol w:w="1280"/>
        <w:gridCol w:w="1280"/>
        <w:gridCol w:w="1281"/>
        <w:gridCol w:w="1281"/>
        <w:gridCol w:w="1281"/>
      </w:tblGrid>
      <w:tr w:rsidR="00E96B29" w:rsidRPr="00027624" w14:paraId="26DCCB81" w14:textId="77777777" w:rsidTr="00E96B29">
        <w:trPr>
          <w:trHeight w:val="315"/>
          <w:tblHeader/>
        </w:trPr>
        <w:tc>
          <w:tcPr>
            <w:tcW w:w="715" w:type="pct"/>
            <w:shd w:val="clear" w:color="auto" w:fill="E5E5E5"/>
          </w:tcPr>
          <w:p w14:paraId="0B203661" w14:textId="77777777" w:rsidR="00E96B29" w:rsidRPr="00027624" w:rsidRDefault="00E96B29" w:rsidP="00E96B29">
            <w:pPr>
              <w:pStyle w:val="TableColumnHeadingCentred"/>
              <w:jc w:val="left"/>
            </w:pPr>
            <w:r w:rsidRPr="00027624">
              <w:t>Segment</w:t>
            </w:r>
          </w:p>
        </w:tc>
        <w:tc>
          <w:tcPr>
            <w:tcW w:w="715" w:type="pct"/>
            <w:shd w:val="clear" w:color="auto" w:fill="E5E5E5"/>
          </w:tcPr>
          <w:p w14:paraId="6DD2EE7E" w14:textId="77777777" w:rsidR="00E96B29" w:rsidRPr="00027624" w:rsidRDefault="00E96B29" w:rsidP="00E96B29">
            <w:pPr>
              <w:pStyle w:val="TableColumnHeadingCentred"/>
            </w:pPr>
            <w:r w:rsidRPr="00027624">
              <w:t>Starting fixed fee ($)</w:t>
            </w:r>
          </w:p>
        </w:tc>
        <w:tc>
          <w:tcPr>
            <w:tcW w:w="714" w:type="pct"/>
            <w:shd w:val="clear" w:color="auto" w:fill="E5E5E5"/>
          </w:tcPr>
          <w:p w14:paraId="50144E02" w14:textId="77777777" w:rsidR="00E96B29" w:rsidRPr="00027624" w:rsidRDefault="00E96B29" w:rsidP="00E96B29">
            <w:pPr>
              <w:pStyle w:val="TableColumnHeadingCentred"/>
            </w:pPr>
            <w:r w:rsidRPr="00027624">
              <w:t>Modified starting fixed fee ($)</w:t>
            </w:r>
          </w:p>
        </w:tc>
        <w:tc>
          <w:tcPr>
            <w:tcW w:w="714" w:type="pct"/>
            <w:shd w:val="clear" w:color="auto" w:fill="E5E5E5"/>
          </w:tcPr>
          <w:p w14:paraId="360194D8" w14:textId="77777777" w:rsidR="00E96B29" w:rsidRPr="00027624" w:rsidRDefault="00E96B29" w:rsidP="00E96B29">
            <w:pPr>
              <w:pStyle w:val="TableColumnHeadingCentred"/>
            </w:pPr>
            <w:r w:rsidRPr="00027624">
              <w:t>Short</w:t>
            </w:r>
            <w:r w:rsidR="00A8443E" w:rsidRPr="00027624">
              <w:noBreakHyphen/>
            </w:r>
            <w:r w:rsidRPr="00027624">
              <w:t>term percentage fee (per cent)</w:t>
            </w:r>
          </w:p>
        </w:tc>
        <w:tc>
          <w:tcPr>
            <w:tcW w:w="714" w:type="pct"/>
            <w:shd w:val="clear" w:color="auto" w:fill="E5E5E5"/>
          </w:tcPr>
          <w:p w14:paraId="75B7EE71" w14:textId="77777777" w:rsidR="00E96B29" w:rsidRPr="00027624" w:rsidRDefault="00E96B29" w:rsidP="00E96B29">
            <w:pPr>
              <w:pStyle w:val="TableColumnHeadingCentred"/>
            </w:pPr>
            <w:r w:rsidRPr="00027624">
              <w:t>Modified short</w:t>
            </w:r>
            <w:r w:rsidR="00A8443E" w:rsidRPr="00027624">
              <w:noBreakHyphen/>
            </w:r>
            <w:r w:rsidRPr="00027624">
              <w:t>term percentage fee (per cent)</w:t>
            </w:r>
          </w:p>
        </w:tc>
        <w:tc>
          <w:tcPr>
            <w:tcW w:w="714" w:type="pct"/>
            <w:shd w:val="clear" w:color="auto" w:fill="E5E5E5"/>
          </w:tcPr>
          <w:p w14:paraId="2C436C4C" w14:textId="77777777" w:rsidR="00E96B29" w:rsidRPr="00027624" w:rsidRDefault="00E96B29" w:rsidP="00E96B29">
            <w:pPr>
              <w:pStyle w:val="TableColumnHeadingCentred"/>
            </w:pPr>
            <w:r w:rsidRPr="00027624">
              <w:t>Long</w:t>
            </w:r>
            <w:r w:rsidR="00A8443E" w:rsidRPr="00027624">
              <w:noBreakHyphen/>
            </w:r>
            <w:r w:rsidRPr="00027624">
              <w:t>term percentage fee (per cent)</w:t>
            </w:r>
          </w:p>
        </w:tc>
        <w:tc>
          <w:tcPr>
            <w:tcW w:w="714" w:type="pct"/>
            <w:shd w:val="clear" w:color="auto" w:fill="E5E5E5"/>
          </w:tcPr>
          <w:p w14:paraId="319E7434" w14:textId="77777777" w:rsidR="00E96B29" w:rsidRPr="00027624" w:rsidRDefault="00E96B29" w:rsidP="00E96B29">
            <w:pPr>
              <w:pStyle w:val="TableColumnHeadingCentred"/>
            </w:pPr>
            <w:r w:rsidRPr="00027624">
              <w:t>Modified long</w:t>
            </w:r>
            <w:r w:rsidR="00A8443E" w:rsidRPr="00027624">
              <w:noBreakHyphen/>
            </w:r>
            <w:r w:rsidRPr="00027624">
              <w:t>term percentage fee (per cent)</w:t>
            </w:r>
          </w:p>
        </w:tc>
      </w:tr>
      <w:tr w:rsidR="00E96B29" w:rsidRPr="00027624" w14:paraId="2C7F8670" w14:textId="77777777" w:rsidTr="00E96B29">
        <w:trPr>
          <w:trHeight w:val="336"/>
        </w:trPr>
        <w:tc>
          <w:tcPr>
            <w:tcW w:w="715" w:type="pct"/>
          </w:tcPr>
          <w:p w14:paraId="7F77DAD1" w14:textId="77777777" w:rsidR="00E96B29" w:rsidRPr="00027624" w:rsidRDefault="00E96B29" w:rsidP="00E96B29">
            <w:pPr>
              <w:pStyle w:val="TableTextLeft"/>
            </w:pPr>
            <w:r w:rsidRPr="00027624">
              <w:t>Corporate</w:t>
            </w:r>
          </w:p>
        </w:tc>
        <w:tc>
          <w:tcPr>
            <w:tcW w:w="715" w:type="pct"/>
          </w:tcPr>
          <w:p w14:paraId="341284A7" w14:textId="77777777" w:rsidR="00E96B29" w:rsidRPr="00027624" w:rsidRDefault="00E96B29" w:rsidP="00E96B29">
            <w:pPr>
              <w:pStyle w:val="TableTextLeft"/>
              <w:jc w:val="center"/>
            </w:pPr>
            <w:r w:rsidRPr="00027624">
              <w:t>71</w:t>
            </w:r>
          </w:p>
        </w:tc>
        <w:tc>
          <w:tcPr>
            <w:tcW w:w="714" w:type="pct"/>
          </w:tcPr>
          <w:p w14:paraId="4577D6E8" w14:textId="77777777" w:rsidR="00E96B29" w:rsidRPr="00027624" w:rsidRDefault="00E96B29" w:rsidP="00E96B29">
            <w:pPr>
              <w:pStyle w:val="TableTextLeft"/>
              <w:jc w:val="center"/>
            </w:pPr>
            <w:r w:rsidRPr="00027624">
              <w:t>32</w:t>
            </w:r>
          </w:p>
        </w:tc>
        <w:tc>
          <w:tcPr>
            <w:tcW w:w="714" w:type="pct"/>
          </w:tcPr>
          <w:p w14:paraId="217C4CC3" w14:textId="77777777" w:rsidR="00E96B29" w:rsidRPr="00027624" w:rsidRDefault="00E96B29" w:rsidP="00E96B29">
            <w:pPr>
              <w:pStyle w:val="TableTextLeft"/>
              <w:jc w:val="center"/>
            </w:pPr>
            <w:r w:rsidRPr="00027624">
              <w:t>0.76</w:t>
            </w:r>
          </w:p>
        </w:tc>
        <w:tc>
          <w:tcPr>
            <w:tcW w:w="714" w:type="pct"/>
          </w:tcPr>
          <w:p w14:paraId="38999D72" w14:textId="77777777" w:rsidR="00E96B29" w:rsidRPr="00027624" w:rsidRDefault="00E96B29" w:rsidP="00E96B29">
            <w:pPr>
              <w:pStyle w:val="TableTextLeft"/>
              <w:jc w:val="center"/>
            </w:pPr>
            <w:r w:rsidRPr="00027624">
              <w:t>0.68</w:t>
            </w:r>
          </w:p>
        </w:tc>
        <w:tc>
          <w:tcPr>
            <w:tcW w:w="714" w:type="pct"/>
          </w:tcPr>
          <w:p w14:paraId="7839F8A0" w14:textId="77777777" w:rsidR="00E96B29" w:rsidRPr="00027624" w:rsidRDefault="00E96B29" w:rsidP="00E96B29">
            <w:pPr>
              <w:pStyle w:val="TableTextLeft"/>
              <w:jc w:val="center"/>
            </w:pPr>
            <w:r w:rsidRPr="00027624">
              <w:t>0.47</w:t>
            </w:r>
          </w:p>
        </w:tc>
        <w:tc>
          <w:tcPr>
            <w:tcW w:w="714" w:type="pct"/>
          </w:tcPr>
          <w:p w14:paraId="630406A3" w14:textId="77777777" w:rsidR="00E96B29" w:rsidRPr="00027624" w:rsidRDefault="00E96B29" w:rsidP="00E96B29">
            <w:pPr>
              <w:pStyle w:val="TableTextLeft"/>
              <w:jc w:val="center"/>
            </w:pPr>
            <w:r w:rsidRPr="00027624">
              <w:t>0.50</w:t>
            </w:r>
          </w:p>
        </w:tc>
      </w:tr>
      <w:tr w:rsidR="00E96B29" w:rsidRPr="00027624" w14:paraId="6D057353" w14:textId="77777777" w:rsidTr="00E96B29">
        <w:trPr>
          <w:trHeight w:val="347"/>
        </w:trPr>
        <w:tc>
          <w:tcPr>
            <w:tcW w:w="715" w:type="pct"/>
          </w:tcPr>
          <w:p w14:paraId="33554DC1" w14:textId="77777777" w:rsidR="00E96B29" w:rsidRPr="00027624" w:rsidRDefault="00E96B29" w:rsidP="00E96B29">
            <w:pPr>
              <w:pStyle w:val="TableTextLeft"/>
            </w:pPr>
            <w:r w:rsidRPr="00027624">
              <w:t>Employer master trusts</w:t>
            </w:r>
          </w:p>
        </w:tc>
        <w:tc>
          <w:tcPr>
            <w:tcW w:w="715" w:type="pct"/>
          </w:tcPr>
          <w:p w14:paraId="6A94C17F" w14:textId="77777777" w:rsidR="00E96B29" w:rsidRPr="00027624" w:rsidRDefault="00E96B29" w:rsidP="00E96B29">
            <w:pPr>
              <w:pStyle w:val="TableTextLeft"/>
              <w:jc w:val="center"/>
            </w:pPr>
            <w:r w:rsidRPr="00027624">
              <w:t>64</w:t>
            </w:r>
          </w:p>
        </w:tc>
        <w:tc>
          <w:tcPr>
            <w:tcW w:w="714" w:type="pct"/>
          </w:tcPr>
          <w:p w14:paraId="67D023EA" w14:textId="77777777" w:rsidR="00E96B29" w:rsidRPr="00027624" w:rsidRDefault="00E96B29" w:rsidP="00E96B29">
            <w:pPr>
              <w:pStyle w:val="TableTextLeft"/>
              <w:jc w:val="center"/>
            </w:pPr>
            <w:r w:rsidRPr="00027624">
              <w:t>32</w:t>
            </w:r>
          </w:p>
        </w:tc>
        <w:tc>
          <w:tcPr>
            <w:tcW w:w="714" w:type="pct"/>
          </w:tcPr>
          <w:p w14:paraId="36FEAEBC" w14:textId="77777777" w:rsidR="00E96B29" w:rsidRPr="00027624" w:rsidRDefault="00E96B29" w:rsidP="00E96B29">
            <w:pPr>
              <w:pStyle w:val="TableTextLeft"/>
              <w:jc w:val="center"/>
            </w:pPr>
            <w:r w:rsidRPr="00027624">
              <w:t>0.86</w:t>
            </w:r>
          </w:p>
        </w:tc>
        <w:tc>
          <w:tcPr>
            <w:tcW w:w="714" w:type="pct"/>
          </w:tcPr>
          <w:p w14:paraId="63823D42" w14:textId="77777777" w:rsidR="00E96B29" w:rsidRPr="00027624" w:rsidRDefault="00E96B29" w:rsidP="00E96B29">
            <w:pPr>
              <w:pStyle w:val="TableTextLeft"/>
              <w:jc w:val="center"/>
            </w:pPr>
            <w:r w:rsidRPr="00027624">
              <w:t>0.68</w:t>
            </w:r>
          </w:p>
        </w:tc>
        <w:tc>
          <w:tcPr>
            <w:tcW w:w="714" w:type="pct"/>
          </w:tcPr>
          <w:p w14:paraId="1674FA73" w14:textId="77777777" w:rsidR="00E96B29" w:rsidRPr="00027624" w:rsidRDefault="00E96B29" w:rsidP="00E96B29">
            <w:pPr>
              <w:pStyle w:val="TableTextLeft"/>
              <w:jc w:val="center"/>
            </w:pPr>
            <w:r w:rsidRPr="00027624">
              <w:t>0.58</w:t>
            </w:r>
          </w:p>
        </w:tc>
        <w:tc>
          <w:tcPr>
            <w:tcW w:w="714" w:type="pct"/>
          </w:tcPr>
          <w:p w14:paraId="20B8CFB7" w14:textId="77777777" w:rsidR="00E96B29" w:rsidRPr="00027624" w:rsidRDefault="00E96B29" w:rsidP="00E96B29">
            <w:pPr>
              <w:pStyle w:val="TableTextLeft"/>
              <w:jc w:val="center"/>
            </w:pPr>
            <w:r w:rsidRPr="00027624">
              <w:t>0.50</w:t>
            </w:r>
          </w:p>
        </w:tc>
      </w:tr>
      <w:tr w:rsidR="00E96B29" w:rsidRPr="00027624" w14:paraId="117FD15A" w14:textId="77777777" w:rsidTr="00E96B29">
        <w:trPr>
          <w:trHeight w:val="336"/>
        </w:trPr>
        <w:tc>
          <w:tcPr>
            <w:tcW w:w="715" w:type="pct"/>
          </w:tcPr>
          <w:p w14:paraId="05261AD0" w14:textId="77777777" w:rsidR="00E96B29" w:rsidRPr="00027624" w:rsidRDefault="00E96B29" w:rsidP="00E96B29">
            <w:pPr>
              <w:pStyle w:val="TableTextLeft"/>
            </w:pPr>
            <w:r w:rsidRPr="00027624">
              <w:t>Industry</w:t>
            </w:r>
          </w:p>
        </w:tc>
        <w:tc>
          <w:tcPr>
            <w:tcW w:w="715" w:type="pct"/>
          </w:tcPr>
          <w:p w14:paraId="21DF4128" w14:textId="77777777" w:rsidR="00E96B29" w:rsidRPr="00027624" w:rsidRDefault="00E96B29" w:rsidP="00E96B29">
            <w:pPr>
              <w:pStyle w:val="TableTextLeft"/>
              <w:jc w:val="center"/>
            </w:pPr>
            <w:r w:rsidRPr="00027624">
              <w:t>88</w:t>
            </w:r>
          </w:p>
        </w:tc>
        <w:tc>
          <w:tcPr>
            <w:tcW w:w="714" w:type="pct"/>
          </w:tcPr>
          <w:p w14:paraId="0CD359BA" w14:textId="77777777" w:rsidR="00E96B29" w:rsidRPr="00027624" w:rsidRDefault="00E96B29" w:rsidP="00E96B29">
            <w:pPr>
              <w:pStyle w:val="TableTextLeft"/>
              <w:jc w:val="center"/>
            </w:pPr>
            <w:r w:rsidRPr="00027624">
              <w:t>32</w:t>
            </w:r>
          </w:p>
        </w:tc>
        <w:tc>
          <w:tcPr>
            <w:tcW w:w="714" w:type="pct"/>
          </w:tcPr>
          <w:p w14:paraId="2325DEE8" w14:textId="77777777" w:rsidR="00E96B29" w:rsidRPr="00027624" w:rsidRDefault="00E96B29" w:rsidP="00E96B29">
            <w:pPr>
              <w:pStyle w:val="TableTextLeft"/>
              <w:jc w:val="center"/>
            </w:pPr>
            <w:r w:rsidRPr="00027624">
              <w:t>0.79</w:t>
            </w:r>
          </w:p>
        </w:tc>
        <w:tc>
          <w:tcPr>
            <w:tcW w:w="714" w:type="pct"/>
          </w:tcPr>
          <w:p w14:paraId="7EE535CE" w14:textId="77777777" w:rsidR="00E96B29" w:rsidRPr="00027624" w:rsidRDefault="00E96B29" w:rsidP="00E96B29">
            <w:pPr>
              <w:pStyle w:val="TableTextLeft"/>
              <w:jc w:val="center"/>
            </w:pPr>
            <w:r w:rsidRPr="00027624">
              <w:t>0.68</w:t>
            </w:r>
          </w:p>
        </w:tc>
        <w:tc>
          <w:tcPr>
            <w:tcW w:w="714" w:type="pct"/>
          </w:tcPr>
          <w:p w14:paraId="3A4E23A3" w14:textId="77777777" w:rsidR="00E96B29" w:rsidRPr="00027624" w:rsidRDefault="00E96B29" w:rsidP="00E96B29">
            <w:pPr>
              <w:pStyle w:val="TableTextLeft"/>
              <w:jc w:val="center"/>
            </w:pPr>
            <w:r w:rsidRPr="00027624">
              <w:t>0.50</w:t>
            </w:r>
          </w:p>
        </w:tc>
        <w:tc>
          <w:tcPr>
            <w:tcW w:w="714" w:type="pct"/>
          </w:tcPr>
          <w:p w14:paraId="62B9EB2C" w14:textId="77777777" w:rsidR="00E96B29" w:rsidRPr="00027624" w:rsidRDefault="00E96B29" w:rsidP="00E96B29">
            <w:pPr>
              <w:pStyle w:val="TableTextLeft"/>
              <w:jc w:val="center"/>
            </w:pPr>
            <w:r w:rsidRPr="00027624">
              <w:t>0.50</w:t>
            </w:r>
          </w:p>
        </w:tc>
      </w:tr>
      <w:tr w:rsidR="00E96B29" w:rsidRPr="00027624" w14:paraId="188469B6" w14:textId="77777777" w:rsidTr="00E96B29">
        <w:trPr>
          <w:trHeight w:val="347"/>
        </w:trPr>
        <w:tc>
          <w:tcPr>
            <w:tcW w:w="715" w:type="pct"/>
          </w:tcPr>
          <w:p w14:paraId="6F8F1F6B" w14:textId="77777777" w:rsidR="00E96B29" w:rsidRPr="00027624" w:rsidRDefault="00E96B29" w:rsidP="00E96B29">
            <w:pPr>
              <w:pStyle w:val="TableTextLeft"/>
            </w:pPr>
            <w:r w:rsidRPr="00027624">
              <w:t>Public sector</w:t>
            </w:r>
          </w:p>
        </w:tc>
        <w:tc>
          <w:tcPr>
            <w:tcW w:w="715" w:type="pct"/>
          </w:tcPr>
          <w:p w14:paraId="60B52EC6" w14:textId="77777777" w:rsidR="00E96B29" w:rsidRPr="00027624" w:rsidRDefault="00E96B29" w:rsidP="00E96B29">
            <w:pPr>
              <w:pStyle w:val="TableTextLeft"/>
              <w:jc w:val="center"/>
            </w:pPr>
            <w:r w:rsidRPr="00027624">
              <w:t>32</w:t>
            </w:r>
          </w:p>
        </w:tc>
        <w:tc>
          <w:tcPr>
            <w:tcW w:w="714" w:type="pct"/>
          </w:tcPr>
          <w:p w14:paraId="21D05925" w14:textId="77777777" w:rsidR="00E96B29" w:rsidRPr="00027624" w:rsidRDefault="00E96B29" w:rsidP="00E96B29">
            <w:pPr>
              <w:pStyle w:val="TableTextLeft"/>
              <w:jc w:val="center"/>
            </w:pPr>
            <w:r w:rsidRPr="00027624">
              <w:t>32</w:t>
            </w:r>
          </w:p>
        </w:tc>
        <w:tc>
          <w:tcPr>
            <w:tcW w:w="714" w:type="pct"/>
          </w:tcPr>
          <w:p w14:paraId="50F8938B" w14:textId="77777777" w:rsidR="00E96B29" w:rsidRPr="00027624" w:rsidRDefault="00E96B29" w:rsidP="00E96B29">
            <w:pPr>
              <w:pStyle w:val="TableTextLeft"/>
              <w:jc w:val="center"/>
            </w:pPr>
            <w:r w:rsidRPr="00027624">
              <w:t>0.68</w:t>
            </w:r>
          </w:p>
        </w:tc>
        <w:tc>
          <w:tcPr>
            <w:tcW w:w="714" w:type="pct"/>
          </w:tcPr>
          <w:p w14:paraId="6B4110B0" w14:textId="77777777" w:rsidR="00E96B29" w:rsidRPr="00027624" w:rsidRDefault="00E96B29" w:rsidP="00E96B29">
            <w:pPr>
              <w:pStyle w:val="TableTextLeft"/>
              <w:jc w:val="center"/>
            </w:pPr>
            <w:r w:rsidRPr="00027624">
              <w:t>0.68</w:t>
            </w:r>
          </w:p>
        </w:tc>
        <w:tc>
          <w:tcPr>
            <w:tcW w:w="714" w:type="pct"/>
          </w:tcPr>
          <w:p w14:paraId="3A2A1DEF" w14:textId="77777777" w:rsidR="00E96B29" w:rsidRPr="00027624" w:rsidRDefault="00E96B29" w:rsidP="00E96B29">
            <w:pPr>
              <w:pStyle w:val="TableTextLeft"/>
              <w:jc w:val="center"/>
            </w:pPr>
            <w:r w:rsidRPr="00027624">
              <w:t>0.39</w:t>
            </w:r>
          </w:p>
        </w:tc>
        <w:tc>
          <w:tcPr>
            <w:tcW w:w="714" w:type="pct"/>
          </w:tcPr>
          <w:p w14:paraId="7CCB262C" w14:textId="77777777" w:rsidR="00E96B29" w:rsidRPr="00027624" w:rsidRDefault="00E96B29" w:rsidP="00E96B29">
            <w:pPr>
              <w:pStyle w:val="TableTextLeft"/>
              <w:jc w:val="center"/>
            </w:pPr>
            <w:r w:rsidRPr="00027624">
              <w:t>0.50</w:t>
            </w:r>
          </w:p>
        </w:tc>
      </w:tr>
      <w:tr w:rsidR="00E96B29" w:rsidRPr="00027624" w14:paraId="756512F4" w14:textId="77777777" w:rsidTr="00E96B29">
        <w:trPr>
          <w:trHeight w:val="336"/>
        </w:trPr>
        <w:tc>
          <w:tcPr>
            <w:tcW w:w="715" w:type="pct"/>
          </w:tcPr>
          <w:p w14:paraId="2AD82B2F" w14:textId="77777777" w:rsidR="00E96B29" w:rsidRPr="00027624" w:rsidRDefault="00E96B29" w:rsidP="00E96B29">
            <w:pPr>
              <w:pStyle w:val="TableTextLeft"/>
            </w:pPr>
            <w:r w:rsidRPr="00027624">
              <w:t>Personal master trust</w:t>
            </w:r>
          </w:p>
        </w:tc>
        <w:tc>
          <w:tcPr>
            <w:tcW w:w="715" w:type="pct"/>
          </w:tcPr>
          <w:p w14:paraId="41FD692A" w14:textId="77777777" w:rsidR="00E96B29" w:rsidRPr="00027624" w:rsidRDefault="00E96B29" w:rsidP="00E96B29">
            <w:pPr>
              <w:pStyle w:val="TableTextLeft"/>
              <w:jc w:val="center"/>
            </w:pPr>
            <w:r w:rsidRPr="00027624">
              <w:t>63</w:t>
            </w:r>
          </w:p>
        </w:tc>
        <w:tc>
          <w:tcPr>
            <w:tcW w:w="714" w:type="pct"/>
          </w:tcPr>
          <w:p w14:paraId="31B847DA" w14:textId="77777777" w:rsidR="00E96B29" w:rsidRPr="00027624" w:rsidRDefault="00E96B29" w:rsidP="00E96B29">
            <w:pPr>
              <w:pStyle w:val="TableTextLeft"/>
              <w:jc w:val="center"/>
            </w:pPr>
            <w:r w:rsidRPr="00027624">
              <w:t>38</w:t>
            </w:r>
          </w:p>
        </w:tc>
        <w:tc>
          <w:tcPr>
            <w:tcW w:w="714" w:type="pct"/>
          </w:tcPr>
          <w:p w14:paraId="05A936A3" w14:textId="77777777" w:rsidR="00E96B29" w:rsidRPr="00027624" w:rsidRDefault="00E96B29" w:rsidP="00E96B29">
            <w:pPr>
              <w:pStyle w:val="TableTextLeft"/>
              <w:jc w:val="center"/>
            </w:pPr>
            <w:r w:rsidRPr="00027624">
              <w:t>1.33</w:t>
            </w:r>
          </w:p>
        </w:tc>
        <w:tc>
          <w:tcPr>
            <w:tcW w:w="714" w:type="pct"/>
          </w:tcPr>
          <w:p w14:paraId="47A1C6C8" w14:textId="77777777" w:rsidR="00E96B29" w:rsidRPr="00027624" w:rsidRDefault="00E96B29" w:rsidP="00E96B29">
            <w:pPr>
              <w:pStyle w:val="TableTextLeft"/>
              <w:jc w:val="center"/>
            </w:pPr>
            <w:r w:rsidRPr="00027624">
              <w:t>1.23</w:t>
            </w:r>
          </w:p>
        </w:tc>
        <w:tc>
          <w:tcPr>
            <w:tcW w:w="714" w:type="pct"/>
          </w:tcPr>
          <w:p w14:paraId="2453D002" w14:textId="77777777" w:rsidR="00E96B29" w:rsidRPr="00027624" w:rsidRDefault="00E96B29" w:rsidP="00E96B29">
            <w:pPr>
              <w:pStyle w:val="TableTextLeft"/>
              <w:jc w:val="center"/>
            </w:pPr>
            <w:r w:rsidRPr="00027624">
              <w:t>1.04</w:t>
            </w:r>
          </w:p>
        </w:tc>
        <w:tc>
          <w:tcPr>
            <w:tcW w:w="714" w:type="pct"/>
          </w:tcPr>
          <w:p w14:paraId="3E5F9F0A" w14:textId="77777777" w:rsidR="00E96B29" w:rsidRPr="00027624" w:rsidRDefault="00E96B29" w:rsidP="00E96B29">
            <w:pPr>
              <w:pStyle w:val="TableTextLeft"/>
              <w:jc w:val="center"/>
            </w:pPr>
            <w:r w:rsidRPr="00027624">
              <w:t>0.50</w:t>
            </w:r>
          </w:p>
        </w:tc>
      </w:tr>
      <w:tr w:rsidR="00E96B29" w:rsidRPr="00027624" w14:paraId="04BA644D" w14:textId="77777777" w:rsidTr="00E96B29">
        <w:trPr>
          <w:trHeight w:val="336"/>
        </w:trPr>
        <w:tc>
          <w:tcPr>
            <w:tcW w:w="715" w:type="pct"/>
          </w:tcPr>
          <w:p w14:paraId="4195100E" w14:textId="77777777" w:rsidR="00E96B29" w:rsidRPr="00027624" w:rsidRDefault="00E96B29" w:rsidP="00E96B29">
            <w:pPr>
              <w:pStyle w:val="TableTextLeft"/>
            </w:pPr>
            <w:r w:rsidRPr="00027624">
              <w:t>Post</w:t>
            </w:r>
            <w:r w:rsidR="00A8443E" w:rsidRPr="00027624">
              <w:noBreakHyphen/>
            </w:r>
            <w:r w:rsidRPr="00027624">
              <w:t>retirement products</w:t>
            </w:r>
          </w:p>
        </w:tc>
        <w:tc>
          <w:tcPr>
            <w:tcW w:w="715" w:type="pct"/>
          </w:tcPr>
          <w:p w14:paraId="0E95B4D7" w14:textId="77777777" w:rsidR="00E96B29" w:rsidRPr="00027624" w:rsidRDefault="00E96B29" w:rsidP="00E96B29">
            <w:pPr>
              <w:pStyle w:val="TableTextLeft"/>
              <w:jc w:val="center"/>
            </w:pPr>
            <w:r w:rsidRPr="00027624">
              <w:t>38</w:t>
            </w:r>
          </w:p>
        </w:tc>
        <w:tc>
          <w:tcPr>
            <w:tcW w:w="714" w:type="pct"/>
          </w:tcPr>
          <w:p w14:paraId="20476816" w14:textId="77777777" w:rsidR="00E96B29" w:rsidRPr="00027624" w:rsidRDefault="00E96B29" w:rsidP="00E96B29">
            <w:pPr>
              <w:pStyle w:val="TableTextLeft"/>
              <w:jc w:val="center"/>
            </w:pPr>
            <w:r w:rsidRPr="00027624">
              <w:t>38</w:t>
            </w:r>
          </w:p>
        </w:tc>
        <w:tc>
          <w:tcPr>
            <w:tcW w:w="714" w:type="pct"/>
          </w:tcPr>
          <w:p w14:paraId="6E70CE82" w14:textId="77777777" w:rsidR="00E96B29" w:rsidRPr="00027624" w:rsidRDefault="00E96B29" w:rsidP="00E96B29">
            <w:pPr>
              <w:pStyle w:val="TableTextLeft"/>
              <w:jc w:val="center"/>
            </w:pPr>
            <w:r w:rsidRPr="00027624">
              <w:t>1.23</w:t>
            </w:r>
          </w:p>
        </w:tc>
        <w:tc>
          <w:tcPr>
            <w:tcW w:w="714" w:type="pct"/>
          </w:tcPr>
          <w:p w14:paraId="78AF4C1B" w14:textId="77777777" w:rsidR="00E96B29" w:rsidRPr="00027624" w:rsidRDefault="00E96B29" w:rsidP="00E96B29">
            <w:pPr>
              <w:pStyle w:val="TableTextLeft"/>
              <w:jc w:val="center"/>
            </w:pPr>
            <w:r w:rsidRPr="00027624">
              <w:t>1.23</w:t>
            </w:r>
          </w:p>
        </w:tc>
        <w:tc>
          <w:tcPr>
            <w:tcW w:w="714" w:type="pct"/>
          </w:tcPr>
          <w:p w14:paraId="7807A3D0" w14:textId="77777777" w:rsidR="00E96B29" w:rsidRPr="00027624" w:rsidRDefault="00E96B29" w:rsidP="00E96B29">
            <w:pPr>
              <w:pStyle w:val="TableTextLeft"/>
              <w:jc w:val="center"/>
            </w:pPr>
            <w:r w:rsidRPr="00027624">
              <w:t>0.94</w:t>
            </w:r>
          </w:p>
        </w:tc>
        <w:tc>
          <w:tcPr>
            <w:tcW w:w="714" w:type="pct"/>
          </w:tcPr>
          <w:p w14:paraId="58245414" w14:textId="77777777" w:rsidR="00E96B29" w:rsidRPr="00027624" w:rsidRDefault="00E96B29" w:rsidP="00E96B29">
            <w:pPr>
              <w:pStyle w:val="TableTextLeft"/>
              <w:jc w:val="center"/>
            </w:pPr>
            <w:r w:rsidRPr="00027624">
              <w:t>0.50</w:t>
            </w:r>
          </w:p>
        </w:tc>
      </w:tr>
      <w:tr w:rsidR="00E96B29" w:rsidRPr="00027624" w14:paraId="3B0E6146" w14:textId="77777777" w:rsidTr="00E96B29">
        <w:trPr>
          <w:trHeight w:val="347"/>
        </w:trPr>
        <w:tc>
          <w:tcPr>
            <w:tcW w:w="715" w:type="pct"/>
          </w:tcPr>
          <w:p w14:paraId="7DA69A10" w14:textId="77777777" w:rsidR="00E96B29" w:rsidRPr="00027624" w:rsidRDefault="00E96B29" w:rsidP="00E96B29">
            <w:pPr>
              <w:pStyle w:val="TableTextLeft"/>
            </w:pPr>
            <w:r w:rsidRPr="00027624">
              <w:t>Retirement savings accounts</w:t>
            </w:r>
          </w:p>
        </w:tc>
        <w:tc>
          <w:tcPr>
            <w:tcW w:w="715" w:type="pct"/>
          </w:tcPr>
          <w:p w14:paraId="7B714B93" w14:textId="77777777" w:rsidR="00E96B29" w:rsidRPr="00027624" w:rsidRDefault="00E96B29" w:rsidP="00E96B29">
            <w:pPr>
              <w:pStyle w:val="TableTextLeft"/>
              <w:jc w:val="center"/>
            </w:pPr>
            <w:r w:rsidRPr="00027624">
              <w:t>0</w:t>
            </w:r>
          </w:p>
        </w:tc>
        <w:tc>
          <w:tcPr>
            <w:tcW w:w="714" w:type="pct"/>
          </w:tcPr>
          <w:p w14:paraId="446D38AB" w14:textId="77777777" w:rsidR="00E96B29" w:rsidRPr="00027624" w:rsidRDefault="00E96B29" w:rsidP="00E96B29">
            <w:pPr>
              <w:pStyle w:val="TableTextLeft"/>
              <w:jc w:val="center"/>
            </w:pPr>
            <w:r w:rsidRPr="00027624">
              <w:t>0</w:t>
            </w:r>
          </w:p>
        </w:tc>
        <w:tc>
          <w:tcPr>
            <w:tcW w:w="714" w:type="pct"/>
          </w:tcPr>
          <w:p w14:paraId="2D23D21D" w14:textId="77777777" w:rsidR="00E96B29" w:rsidRPr="00027624" w:rsidRDefault="00E96B29" w:rsidP="00E96B29">
            <w:pPr>
              <w:pStyle w:val="TableTextLeft"/>
              <w:jc w:val="center"/>
            </w:pPr>
            <w:r w:rsidRPr="00027624">
              <w:t>0.88</w:t>
            </w:r>
          </w:p>
        </w:tc>
        <w:tc>
          <w:tcPr>
            <w:tcW w:w="714" w:type="pct"/>
          </w:tcPr>
          <w:p w14:paraId="52405BC8" w14:textId="77777777" w:rsidR="00E96B29" w:rsidRPr="00027624" w:rsidRDefault="00E96B29" w:rsidP="00E96B29">
            <w:pPr>
              <w:pStyle w:val="TableTextLeft"/>
              <w:jc w:val="center"/>
            </w:pPr>
            <w:r w:rsidRPr="00027624">
              <w:t>0.88</w:t>
            </w:r>
          </w:p>
        </w:tc>
        <w:tc>
          <w:tcPr>
            <w:tcW w:w="714" w:type="pct"/>
          </w:tcPr>
          <w:p w14:paraId="0A0DD8CF" w14:textId="77777777" w:rsidR="00E96B29" w:rsidRPr="00027624" w:rsidRDefault="00E96B29" w:rsidP="00E96B29">
            <w:pPr>
              <w:pStyle w:val="TableTextLeft"/>
              <w:jc w:val="center"/>
            </w:pPr>
            <w:r w:rsidRPr="00027624">
              <w:t>0.59</w:t>
            </w:r>
          </w:p>
        </w:tc>
        <w:tc>
          <w:tcPr>
            <w:tcW w:w="714" w:type="pct"/>
          </w:tcPr>
          <w:p w14:paraId="504325CF" w14:textId="77777777" w:rsidR="00E96B29" w:rsidRPr="00027624" w:rsidRDefault="00E96B29" w:rsidP="00E96B29">
            <w:pPr>
              <w:pStyle w:val="TableTextLeft"/>
              <w:jc w:val="center"/>
            </w:pPr>
            <w:r w:rsidRPr="00027624">
              <w:t>0.59</w:t>
            </w:r>
          </w:p>
        </w:tc>
      </w:tr>
      <w:tr w:rsidR="00E96B29" w:rsidRPr="00027624" w14:paraId="12840038" w14:textId="77777777" w:rsidTr="00E96B29">
        <w:trPr>
          <w:trHeight w:val="336"/>
        </w:trPr>
        <w:tc>
          <w:tcPr>
            <w:tcW w:w="715" w:type="pct"/>
          </w:tcPr>
          <w:p w14:paraId="31B68390" w14:textId="77777777" w:rsidR="00E96B29" w:rsidRPr="00027624" w:rsidRDefault="00E96B29" w:rsidP="00E96B29">
            <w:pPr>
              <w:pStyle w:val="TableTextLeft"/>
            </w:pPr>
            <w:r w:rsidRPr="00027624">
              <w:t>Eligible rollover funds</w:t>
            </w:r>
          </w:p>
        </w:tc>
        <w:tc>
          <w:tcPr>
            <w:tcW w:w="715" w:type="pct"/>
          </w:tcPr>
          <w:p w14:paraId="41E1E994" w14:textId="77777777" w:rsidR="00E96B29" w:rsidRPr="00027624" w:rsidRDefault="00E96B29" w:rsidP="00E96B29">
            <w:pPr>
              <w:pStyle w:val="TableTextLeft"/>
              <w:jc w:val="center"/>
            </w:pPr>
            <w:r w:rsidRPr="00027624">
              <w:t>0</w:t>
            </w:r>
          </w:p>
        </w:tc>
        <w:tc>
          <w:tcPr>
            <w:tcW w:w="714" w:type="pct"/>
          </w:tcPr>
          <w:p w14:paraId="12CAAA6F" w14:textId="77777777" w:rsidR="00E96B29" w:rsidRPr="00027624" w:rsidRDefault="00E96B29" w:rsidP="00E96B29">
            <w:pPr>
              <w:pStyle w:val="TableTextLeft"/>
              <w:jc w:val="center"/>
            </w:pPr>
            <w:r w:rsidRPr="00027624">
              <w:t>0</w:t>
            </w:r>
          </w:p>
        </w:tc>
        <w:tc>
          <w:tcPr>
            <w:tcW w:w="714" w:type="pct"/>
          </w:tcPr>
          <w:p w14:paraId="03F92BBC" w14:textId="77777777" w:rsidR="00E96B29" w:rsidRPr="00027624" w:rsidRDefault="00E96B29" w:rsidP="00E96B29">
            <w:pPr>
              <w:pStyle w:val="TableTextLeft"/>
              <w:jc w:val="center"/>
            </w:pPr>
            <w:r w:rsidRPr="00027624">
              <w:t>1.95</w:t>
            </w:r>
          </w:p>
        </w:tc>
        <w:tc>
          <w:tcPr>
            <w:tcW w:w="714" w:type="pct"/>
          </w:tcPr>
          <w:p w14:paraId="090F82BF" w14:textId="77777777" w:rsidR="00E96B29" w:rsidRPr="00027624" w:rsidRDefault="00E96B29" w:rsidP="00E96B29">
            <w:pPr>
              <w:pStyle w:val="TableTextLeft"/>
              <w:jc w:val="center"/>
            </w:pPr>
            <w:r w:rsidRPr="00027624">
              <w:t>1.95</w:t>
            </w:r>
          </w:p>
        </w:tc>
        <w:tc>
          <w:tcPr>
            <w:tcW w:w="714" w:type="pct"/>
          </w:tcPr>
          <w:p w14:paraId="33179CC0" w14:textId="77777777" w:rsidR="00E96B29" w:rsidRPr="00027624" w:rsidRDefault="00E96B29" w:rsidP="00E96B29">
            <w:pPr>
              <w:pStyle w:val="TableTextLeft"/>
              <w:jc w:val="center"/>
            </w:pPr>
            <w:r w:rsidRPr="00027624">
              <w:t>3.69</w:t>
            </w:r>
          </w:p>
        </w:tc>
        <w:tc>
          <w:tcPr>
            <w:tcW w:w="714" w:type="pct"/>
          </w:tcPr>
          <w:p w14:paraId="2BE5308B" w14:textId="77777777" w:rsidR="00E96B29" w:rsidRPr="00027624" w:rsidRDefault="00E96B29" w:rsidP="00E96B29">
            <w:pPr>
              <w:pStyle w:val="TableTextLeft"/>
              <w:jc w:val="center"/>
            </w:pPr>
            <w:r w:rsidRPr="00027624">
              <w:t>3.69</w:t>
            </w:r>
          </w:p>
        </w:tc>
      </w:tr>
      <w:tr w:rsidR="00E96B29" w:rsidRPr="00027624" w14:paraId="0925D0B1" w14:textId="77777777" w:rsidTr="00E96B29">
        <w:trPr>
          <w:trHeight w:val="347"/>
        </w:trPr>
        <w:tc>
          <w:tcPr>
            <w:tcW w:w="715" w:type="pct"/>
          </w:tcPr>
          <w:p w14:paraId="6D090EE7" w14:textId="77777777" w:rsidR="00E96B29" w:rsidRPr="00027624" w:rsidRDefault="00E96B29" w:rsidP="00E96B29">
            <w:pPr>
              <w:pStyle w:val="TableTextLeft"/>
            </w:pPr>
            <w:r w:rsidRPr="00027624">
              <w:t>Self</w:t>
            </w:r>
            <w:r w:rsidR="00A8443E" w:rsidRPr="00027624">
              <w:noBreakHyphen/>
            </w:r>
            <w:r w:rsidRPr="00027624">
              <w:t>managed superannuation funds</w:t>
            </w:r>
          </w:p>
        </w:tc>
        <w:tc>
          <w:tcPr>
            <w:tcW w:w="715" w:type="pct"/>
          </w:tcPr>
          <w:p w14:paraId="0F8D945B" w14:textId="77777777" w:rsidR="00E96B29" w:rsidRPr="00027624" w:rsidRDefault="00E96B29" w:rsidP="00E96B29">
            <w:pPr>
              <w:pStyle w:val="TableTextLeft"/>
              <w:jc w:val="center"/>
            </w:pPr>
            <w:r w:rsidRPr="00027624">
              <w:t>1800</w:t>
            </w:r>
          </w:p>
        </w:tc>
        <w:tc>
          <w:tcPr>
            <w:tcW w:w="714" w:type="pct"/>
          </w:tcPr>
          <w:p w14:paraId="458111D8" w14:textId="77777777" w:rsidR="00E96B29" w:rsidRPr="00027624" w:rsidRDefault="00E96B29" w:rsidP="00E96B29">
            <w:pPr>
              <w:pStyle w:val="TableTextLeft"/>
              <w:jc w:val="center"/>
            </w:pPr>
            <w:r w:rsidRPr="00027624">
              <w:t>1800</w:t>
            </w:r>
          </w:p>
        </w:tc>
        <w:tc>
          <w:tcPr>
            <w:tcW w:w="714" w:type="pct"/>
          </w:tcPr>
          <w:p w14:paraId="03965A72" w14:textId="77777777" w:rsidR="00E96B29" w:rsidRPr="00027624" w:rsidRDefault="00E96B29" w:rsidP="00E96B29">
            <w:pPr>
              <w:pStyle w:val="TableTextLeft"/>
              <w:jc w:val="center"/>
            </w:pPr>
            <w:r w:rsidRPr="00027624">
              <w:t>0.62</w:t>
            </w:r>
          </w:p>
        </w:tc>
        <w:tc>
          <w:tcPr>
            <w:tcW w:w="714" w:type="pct"/>
          </w:tcPr>
          <w:p w14:paraId="3A188C20" w14:textId="77777777" w:rsidR="00E96B29" w:rsidRPr="00027624" w:rsidRDefault="00E96B29" w:rsidP="00E96B29">
            <w:pPr>
              <w:pStyle w:val="TableTextLeft"/>
              <w:jc w:val="center"/>
            </w:pPr>
            <w:r w:rsidRPr="00027624">
              <w:t>0.62</w:t>
            </w:r>
          </w:p>
        </w:tc>
        <w:tc>
          <w:tcPr>
            <w:tcW w:w="714" w:type="pct"/>
          </w:tcPr>
          <w:p w14:paraId="5AC470C1" w14:textId="77777777" w:rsidR="00E96B29" w:rsidRPr="00027624" w:rsidRDefault="00E96B29" w:rsidP="00E96B29">
            <w:pPr>
              <w:pStyle w:val="TableTextLeft"/>
              <w:jc w:val="center"/>
            </w:pPr>
            <w:r w:rsidRPr="00027624">
              <w:t>0.33</w:t>
            </w:r>
          </w:p>
        </w:tc>
        <w:tc>
          <w:tcPr>
            <w:tcW w:w="714" w:type="pct"/>
          </w:tcPr>
          <w:p w14:paraId="3D2680BE" w14:textId="77777777" w:rsidR="00E96B29" w:rsidRPr="00027624" w:rsidRDefault="00E96B29" w:rsidP="00E96B29">
            <w:pPr>
              <w:pStyle w:val="TableTextLeft"/>
              <w:jc w:val="center"/>
            </w:pPr>
            <w:r w:rsidRPr="00027624">
              <w:t>0.33</w:t>
            </w:r>
          </w:p>
        </w:tc>
      </w:tr>
    </w:tbl>
    <w:p w14:paraId="0AC3DDB6" w14:textId="77777777" w:rsidR="00E96B29" w:rsidRPr="00027624" w:rsidRDefault="00E96B29" w:rsidP="00E96B29">
      <w:pPr>
        <w:pStyle w:val="ChartorTableNote"/>
      </w:pPr>
      <w:r w:rsidRPr="00027624">
        <w:t>Source: Rice Warner.</w:t>
      </w:r>
    </w:p>
    <w:p w14:paraId="171D4691" w14:textId="77777777" w:rsidR="00E96B29" w:rsidRPr="00027624" w:rsidRDefault="00E96B29" w:rsidP="00E96B29">
      <w:pPr>
        <w:pStyle w:val="Heading3"/>
      </w:pPr>
      <w:r w:rsidRPr="00027624">
        <w:t>Modified baseline scenario</w:t>
      </w:r>
    </w:p>
    <w:p w14:paraId="5928EC09" w14:textId="77777777" w:rsidR="00E96B29" w:rsidRPr="00027624" w:rsidRDefault="00E96B29" w:rsidP="00E96B29">
      <w:r w:rsidRPr="00027624">
        <w:t>A simulation of SPROUT was also run that incorporated some of the parameter inputs from MARIA. The adjustments included:</w:t>
      </w:r>
    </w:p>
    <w:p w14:paraId="11F3FA6D" w14:textId="77777777" w:rsidR="00E96B29" w:rsidRPr="00027624" w:rsidRDefault="00E96B29" w:rsidP="00E96B29">
      <w:pPr>
        <w:pStyle w:val="Bullet"/>
      </w:pPr>
      <w:r w:rsidRPr="00027624">
        <w:t>A change in the wage growth assumption to 4 per cent from 3.5 per cent</w:t>
      </w:r>
    </w:p>
    <w:p w14:paraId="57DAE350" w14:textId="77777777" w:rsidR="00E96B29" w:rsidRPr="00027624" w:rsidRDefault="00E96B29">
      <w:pPr>
        <w:pStyle w:val="Bullet"/>
      </w:pPr>
      <w:r w:rsidRPr="00027624">
        <w:t>The same population assumptions as used in MARIA</w:t>
      </w:r>
    </w:p>
    <w:p w14:paraId="034F6B5A" w14:textId="0C1BE746" w:rsidR="00E96B29" w:rsidRPr="00027624" w:rsidRDefault="00E96B29" w:rsidP="00E96B29">
      <w:r w:rsidRPr="00027624">
        <w:t>The modified baseline sees SPROUT</w:t>
      </w:r>
      <w:r w:rsidR="00A8443E" w:rsidRPr="00027624">
        <w:t>’</w:t>
      </w:r>
      <w:r w:rsidRPr="00027624">
        <w:t>s superannuation assets as a percentage of GDP</w:t>
      </w:r>
      <w:r w:rsidRPr="00027624">
        <w:rPr>
          <w:rStyle w:val="FootnoteReference"/>
        </w:rPr>
        <w:footnoteReference w:id="339"/>
      </w:r>
      <w:r w:rsidRPr="00027624">
        <w:t xml:space="preserve"> higher than SPROUT</w:t>
      </w:r>
      <w:r w:rsidR="00A8443E" w:rsidRPr="00027624">
        <w:t>’</w:t>
      </w:r>
      <w:r w:rsidRPr="00027624">
        <w:t>s baseline, but still much lower than MARIA (</w:t>
      </w:r>
      <w:r w:rsidRPr="00027624">
        <w:fldChar w:fldCharType="begin"/>
      </w:r>
      <w:r w:rsidRPr="00027624">
        <w:instrText xml:space="preserve"> REF _Ref45290812 \r \h </w:instrText>
      </w:r>
      <w:r w:rsidR="00027624">
        <w:instrText xml:space="preserve"> \* MERGEFORMAT </w:instrText>
      </w:r>
      <w:r w:rsidRPr="00027624">
        <w:fldChar w:fldCharType="separate"/>
      </w:r>
      <w:r w:rsidR="00891058">
        <w:t>Table 6A-28</w:t>
      </w:r>
      <w:r w:rsidRPr="00027624">
        <w:fldChar w:fldCharType="end"/>
      </w:r>
      <w:r w:rsidRPr="00027624">
        <w:t>).</w:t>
      </w:r>
    </w:p>
    <w:p w14:paraId="18D615C4" w14:textId="77777777" w:rsidR="00E96B29" w:rsidRPr="00027624" w:rsidRDefault="00E96B29" w:rsidP="00E96B29">
      <w:r w:rsidRPr="00027624">
        <w:t>The higher wages growth assumption in the modified baseline leads to much higher contributions, almost matching MARIA</w:t>
      </w:r>
      <w:r w:rsidR="00A8443E" w:rsidRPr="00027624">
        <w:t>’</w:t>
      </w:r>
      <w:r w:rsidRPr="00027624">
        <w:t>s contributions. However, while the modified baseline lifts total earnings (as the asset base is lifted), the more conservative net earnings assumptions in SPROUT still constrain growth in superannuation assets relative to MARIA.</w:t>
      </w:r>
    </w:p>
    <w:p w14:paraId="680DD147" w14:textId="77777777" w:rsidR="00E96B29" w:rsidRPr="00027624" w:rsidRDefault="00E96B29" w:rsidP="00E96B29">
      <w:r w:rsidRPr="00027624">
        <w:t>MARIA has higher superannuation system growth, but also higher pension expenditure as a percentage of GDP compared to SPROUT. Fundamental differences in the way non</w:t>
      </w:r>
      <w:r w:rsidR="00A8443E" w:rsidRPr="00027624">
        <w:noBreakHyphen/>
      </w:r>
      <w:r w:rsidRPr="00027624">
        <w:t>superannuation assets are modelled partly explain these differences in results. SPROUT projects non</w:t>
      </w:r>
      <w:r w:rsidR="00A8443E" w:rsidRPr="00027624">
        <w:noBreakHyphen/>
      </w:r>
      <w:r w:rsidRPr="00027624">
        <w:t xml:space="preserve">superannuation assets to grow much more quickly than MARIA, which acts to reduce </w:t>
      </w:r>
      <w:r w:rsidRPr="00027624" w:rsidDel="0068007C">
        <w:t>Age</w:t>
      </w:r>
      <w:r w:rsidRPr="00027624">
        <w:t> Pension expenditure as a percentage of GDP more than the equivalent modelling in MARIA, in both the baseline and the modified baseline.</w:t>
      </w:r>
    </w:p>
    <w:p w14:paraId="75226FCD" w14:textId="77777777" w:rsidR="00E96B29" w:rsidRPr="00027624" w:rsidRDefault="00E96B29" w:rsidP="00E96B29">
      <w:r w:rsidRPr="00027624">
        <w:t>Other contributing factors may include the fact that MARIA includes service pensioners, and differences in participation rates.</w:t>
      </w:r>
    </w:p>
    <w:p w14:paraId="4527F19A" w14:textId="77777777" w:rsidR="00E96B29" w:rsidRPr="00027624" w:rsidRDefault="00E96B29" w:rsidP="00E96B29">
      <w:pPr>
        <w:pStyle w:val="TableMainHeading"/>
      </w:pPr>
      <w:bookmarkStart w:id="4323" w:name="_Ref45290812"/>
      <w:r w:rsidRPr="00027624">
        <w:t>SPROUT</w:t>
      </w:r>
      <w:r w:rsidR="00A8443E" w:rsidRPr="00027624">
        <w:t xml:space="preserve"> — </w:t>
      </w:r>
      <w:r w:rsidRPr="00027624">
        <w:t>modified baseline</w:t>
      </w:r>
      <w:bookmarkEnd w:id="4323"/>
    </w:p>
    <w:tbl>
      <w:tblPr>
        <w:tblW w:w="5000" w:type="pct"/>
        <w:tblLook w:val="01E0" w:firstRow="1" w:lastRow="1" w:firstColumn="1" w:lastColumn="1" w:noHBand="0" w:noVBand="0"/>
      </w:tblPr>
      <w:tblGrid>
        <w:gridCol w:w="3399"/>
        <w:gridCol w:w="1490"/>
        <w:gridCol w:w="1489"/>
        <w:gridCol w:w="2692"/>
      </w:tblGrid>
      <w:tr w:rsidR="00E96B29" w:rsidRPr="00027624" w14:paraId="4435B418" w14:textId="77777777" w:rsidTr="00E96B29">
        <w:trPr>
          <w:trHeight w:val="270"/>
          <w:tblHeader/>
        </w:trPr>
        <w:tc>
          <w:tcPr>
            <w:tcW w:w="1873" w:type="pct"/>
            <w:shd w:val="clear" w:color="auto" w:fill="E5E5E5"/>
          </w:tcPr>
          <w:p w14:paraId="286C6A9A" w14:textId="77777777" w:rsidR="00E96B29" w:rsidRPr="00027624" w:rsidRDefault="00E96B29" w:rsidP="00E96B29">
            <w:pPr>
              <w:pStyle w:val="TableColumnHeadingCentred"/>
              <w:jc w:val="left"/>
            </w:pPr>
            <w:r w:rsidRPr="00027624">
              <w:t>Output in 2059</w:t>
            </w:r>
          </w:p>
        </w:tc>
        <w:tc>
          <w:tcPr>
            <w:tcW w:w="821" w:type="pct"/>
            <w:shd w:val="clear" w:color="auto" w:fill="E5E5E5"/>
          </w:tcPr>
          <w:p w14:paraId="62425EA0" w14:textId="77777777" w:rsidR="00E96B29" w:rsidRPr="00027624" w:rsidRDefault="00E96B29" w:rsidP="00E96B29">
            <w:pPr>
              <w:pStyle w:val="TableColumnHeadingCentred"/>
            </w:pPr>
            <w:r w:rsidRPr="00027624">
              <w:t>MARIA</w:t>
            </w:r>
          </w:p>
        </w:tc>
        <w:tc>
          <w:tcPr>
            <w:tcW w:w="821" w:type="pct"/>
            <w:shd w:val="clear" w:color="auto" w:fill="E5E5E5"/>
          </w:tcPr>
          <w:p w14:paraId="2735014F" w14:textId="77777777" w:rsidR="00E96B29" w:rsidRPr="00027624" w:rsidRDefault="00E96B29" w:rsidP="00E96B29">
            <w:pPr>
              <w:pStyle w:val="TableColumnHeadingCentred"/>
            </w:pPr>
            <w:r w:rsidRPr="00027624">
              <w:t>SPROUT</w:t>
            </w:r>
          </w:p>
        </w:tc>
        <w:tc>
          <w:tcPr>
            <w:tcW w:w="1484" w:type="pct"/>
            <w:shd w:val="clear" w:color="auto" w:fill="E5E5E5"/>
          </w:tcPr>
          <w:p w14:paraId="377FFDBB" w14:textId="77777777" w:rsidR="00E96B29" w:rsidRPr="00027624" w:rsidRDefault="00E96B29" w:rsidP="00E96B29">
            <w:pPr>
              <w:pStyle w:val="TableColumnHeadingCentred"/>
            </w:pPr>
            <w:r w:rsidRPr="00027624">
              <w:t>SPROUT</w:t>
            </w:r>
            <w:r w:rsidR="00A8443E" w:rsidRPr="00027624">
              <w:t xml:space="preserve"> — </w:t>
            </w:r>
            <w:r w:rsidRPr="00027624">
              <w:t>modified baseline</w:t>
            </w:r>
          </w:p>
        </w:tc>
      </w:tr>
      <w:tr w:rsidR="00E96B29" w:rsidRPr="00027624" w14:paraId="30EC1A22" w14:textId="77777777" w:rsidTr="00E96B29">
        <w:trPr>
          <w:trHeight w:val="270"/>
        </w:trPr>
        <w:tc>
          <w:tcPr>
            <w:tcW w:w="1873" w:type="pct"/>
          </w:tcPr>
          <w:p w14:paraId="5B4AC94B" w14:textId="77777777" w:rsidR="00E96B29" w:rsidRPr="00027624" w:rsidRDefault="00E96B29" w:rsidP="00E96B29">
            <w:pPr>
              <w:pStyle w:val="TableTextLeft"/>
            </w:pPr>
            <w:r w:rsidRPr="00027624">
              <w:t>Superannuation assets (per cent of GDP)</w:t>
            </w:r>
          </w:p>
        </w:tc>
        <w:tc>
          <w:tcPr>
            <w:tcW w:w="821" w:type="pct"/>
          </w:tcPr>
          <w:p w14:paraId="5F193483" w14:textId="77777777" w:rsidR="00E96B29" w:rsidRPr="00027624" w:rsidRDefault="00E96B29" w:rsidP="00E96B29">
            <w:pPr>
              <w:pStyle w:val="TableTextCentered"/>
            </w:pPr>
            <w:r w:rsidRPr="00027624">
              <w:t>245.7</w:t>
            </w:r>
          </w:p>
        </w:tc>
        <w:tc>
          <w:tcPr>
            <w:tcW w:w="821" w:type="pct"/>
          </w:tcPr>
          <w:p w14:paraId="65005F80" w14:textId="77777777" w:rsidR="00E96B29" w:rsidRPr="00027624" w:rsidRDefault="00E96B29" w:rsidP="00E96B29">
            <w:pPr>
              <w:pStyle w:val="TableTextCentered"/>
            </w:pPr>
            <w:r w:rsidRPr="00027624" w:rsidDel="00BB5D40">
              <w:t>169.0</w:t>
            </w:r>
          </w:p>
        </w:tc>
        <w:tc>
          <w:tcPr>
            <w:tcW w:w="1484" w:type="pct"/>
          </w:tcPr>
          <w:p w14:paraId="5A5CB081" w14:textId="77777777" w:rsidR="00E96B29" w:rsidRPr="00027624" w:rsidRDefault="00E96B29" w:rsidP="00E96B29">
            <w:pPr>
              <w:pStyle w:val="TableTextCentered"/>
            </w:pPr>
            <w:r w:rsidRPr="00027624" w:rsidDel="00610A28">
              <w:t>187.6</w:t>
            </w:r>
          </w:p>
        </w:tc>
      </w:tr>
      <w:tr w:rsidR="00E96B29" w:rsidRPr="00027624" w14:paraId="607AA05A" w14:textId="77777777" w:rsidTr="00E96B29">
        <w:trPr>
          <w:trHeight w:val="270"/>
        </w:trPr>
        <w:tc>
          <w:tcPr>
            <w:tcW w:w="1873" w:type="pct"/>
          </w:tcPr>
          <w:p w14:paraId="6CB358F3" w14:textId="77777777" w:rsidR="00E96B29" w:rsidRPr="00027624" w:rsidRDefault="00E96B29" w:rsidP="00E96B29">
            <w:pPr>
              <w:pStyle w:val="TableTextLeft"/>
            </w:pPr>
            <w:r w:rsidRPr="00027624">
              <w:t>Contributions (per cent of GDP)</w:t>
            </w:r>
          </w:p>
        </w:tc>
        <w:tc>
          <w:tcPr>
            <w:tcW w:w="821" w:type="pct"/>
          </w:tcPr>
          <w:p w14:paraId="376850DF" w14:textId="77777777" w:rsidR="00E96B29" w:rsidRPr="00027624" w:rsidRDefault="00E96B29" w:rsidP="00E96B29">
            <w:pPr>
              <w:pStyle w:val="TableTextCentered"/>
            </w:pPr>
            <w:r w:rsidRPr="00027624">
              <w:t>7.6</w:t>
            </w:r>
          </w:p>
        </w:tc>
        <w:tc>
          <w:tcPr>
            <w:tcW w:w="821" w:type="pct"/>
          </w:tcPr>
          <w:p w14:paraId="37F358BF" w14:textId="77777777" w:rsidR="00E96B29" w:rsidRPr="00027624" w:rsidRDefault="00E96B29" w:rsidP="00E96B29">
            <w:pPr>
              <w:pStyle w:val="TableTextCentered"/>
            </w:pPr>
            <w:r w:rsidRPr="00027624" w:rsidDel="00BB5D40">
              <w:t>6.2</w:t>
            </w:r>
          </w:p>
        </w:tc>
        <w:tc>
          <w:tcPr>
            <w:tcW w:w="1484" w:type="pct"/>
          </w:tcPr>
          <w:p w14:paraId="0DA07A25" w14:textId="77777777" w:rsidR="00E96B29" w:rsidRPr="00027624" w:rsidRDefault="00E96B29" w:rsidP="00E96B29">
            <w:pPr>
              <w:pStyle w:val="TableTextCentered"/>
            </w:pPr>
            <w:r w:rsidRPr="00027624" w:rsidDel="00610A28">
              <w:t>7.5</w:t>
            </w:r>
          </w:p>
        </w:tc>
      </w:tr>
      <w:tr w:rsidR="00E96B29" w:rsidRPr="00027624" w14:paraId="1E44894B" w14:textId="77777777" w:rsidTr="00E96B29">
        <w:trPr>
          <w:trHeight w:val="270"/>
        </w:trPr>
        <w:tc>
          <w:tcPr>
            <w:tcW w:w="1873" w:type="pct"/>
          </w:tcPr>
          <w:p w14:paraId="5B667E67" w14:textId="77777777" w:rsidR="00E96B29" w:rsidRPr="00027624" w:rsidRDefault="00E96B29" w:rsidP="00E96B29">
            <w:pPr>
              <w:pStyle w:val="TableTextLeft"/>
            </w:pPr>
            <w:r w:rsidRPr="00027624">
              <w:t>Net earnings (per cent of GDP)</w:t>
            </w:r>
          </w:p>
        </w:tc>
        <w:tc>
          <w:tcPr>
            <w:tcW w:w="821" w:type="pct"/>
          </w:tcPr>
          <w:p w14:paraId="060C09DE" w14:textId="77777777" w:rsidR="00E96B29" w:rsidRPr="00027624" w:rsidRDefault="00E96B29" w:rsidP="00E96B29">
            <w:pPr>
              <w:pStyle w:val="TableTextCentered"/>
            </w:pPr>
            <w:r w:rsidRPr="00027624">
              <w:t>13.5</w:t>
            </w:r>
          </w:p>
        </w:tc>
        <w:tc>
          <w:tcPr>
            <w:tcW w:w="821" w:type="pct"/>
          </w:tcPr>
          <w:p w14:paraId="16E331F6" w14:textId="77777777" w:rsidR="00E96B29" w:rsidRPr="00027624" w:rsidRDefault="00E96B29" w:rsidP="00E96B29">
            <w:pPr>
              <w:pStyle w:val="TableTextCentered"/>
            </w:pPr>
            <w:r w:rsidRPr="00027624">
              <w:t>10.0</w:t>
            </w:r>
          </w:p>
        </w:tc>
        <w:tc>
          <w:tcPr>
            <w:tcW w:w="1484" w:type="pct"/>
          </w:tcPr>
          <w:p w14:paraId="25007992" w14:textId="77777777" w:rsidR="00E96B29" w:rsidRPr="00027624" w:rsidRDefault="00E96B29" w:rsidP="00E96B29">
            <w:pPr>
              <w:pStyle w:val="TableTextCentered"/>
            </w:pPr>
            <w:r w:rsidRPr="00027624">
              <w:t>11.2</w:t>
            </w:r>
          </w:p>
        </w:tc>
      </w:tr>
      <w:tr w:rsidR="00E96B29" w:rsidRPr="00027624" w14:paraId="5A516B7D" w14:textId="77777777" w:rsidTr="00E96B29">
        <w:trPr>
          <w:trHeight w:val="270"/>
        </w:trPr>
        <w:tc>
          <w:tcPr>
            <w:tcW w:w="1873" w:type="pct"/>
          </w:tcPr>
          <w:p w14:paraId="4653BF03" w14:textId="77777777" w:rsidR="00E96B29" w:rsidRPr="00027624" w:rsidRDefault="00E96B29" w:rsidP="00E96B29">
            <w:pPr>
              <w:pStyle w:val="TableTextLeft"/>
            </w:pPr>
            <w:r w:rsidRPr="00027624" w:rsidDel="0068007C">
              <w:t>Age</w:t>
            </w:r>
            <w:r w:rsidRPr="00027624">
              <w:t> Pension expenditure (per cent of GDP)</w:t>
            </w:r>
          </w:p>
        </w:tc>
        <w:tc>
          <w:tcPr>
            <w:tcW w:w="821" w:type="pct"/>
          </w:tcPr>
          <w:p w14:paraId="15D3BBD8" w14:textId="77777777" w:rsidR="00E96B29" w:rsidRPr="00027624" w:rsidRDefault="00E96B29" w:rsidP="00E96B29">
            <w:pPr>
              <w:pStyle w:val="TableTextCentered"/>
            </w:pPr>
            <w:r w:rsidRPr="00027624" w:rsidDel="00C71C5F">
              <w:t>2.3</w:t>
            </w:r>
          </w:p>
        </w:tc>
        <w:tc>
          <w:tcPr>
            <w:tcW w:w="821" w:type="pct"/>
          </w:tcPr>
          <w:p w14:paraId="76DA1A91" w14:textId="77777777" w:rsidR="00E96B29" w:rsidRPr="00027624" w:rsidRDefault="00E96B29" w:rsidP="00E96B29">
            <w:pPr>
              <w:pStyle w:val="TableTextCentered"/>
            </w:pPr>
            <w:r w:rsidRPr="00027624" w:rsidDel="00BB5D40">
              <w:t>1.9</w:t>
            </w:r>
          </w:p>
        </w:tc>
        <w:tc>
          <w:tcPr>
            <w:tcW w:w="1484" w:type="pct"/>
          </w:tcPr>
          <w:p w14:paraId="283A295C" w14:textId="77777777" w:rsidR="00E96B29" w:rsidRPr="00027624" w:rsidRDefault="00E96B29" w:rsidP="00E96B29">
            <w:pPr>
              <w:pStyle w:val="TableTextCentered"/>
            </w:pPr>
            <w:r w:rsidRPr="00027624" w:rsidDel="00610A28">
              <w:t>2.0</w:t>
            </w:r>
          </w:p>
        </w:tc>
      </w:tr>
    </w:tbl>
    <w:p w14:paraId="009575AD" w14:textId="77777777" w:rsidR="00E96B29" w:rsidRPr="00027624" w:rsidRDefault="00E96B29" w:rsidP="00E96B29">
      <w:pPr>
        <w:pStyle w:val="ChartorTableNote"/>
      </w:pPr>
      <w:r w:rsidRPr="00027624">
        <w:t xml:space="preserve">Note: MARIA </w:t>
      </w:r>
      <w:r w:rsidRPr="00027624" w:rsidDel="0068007C">
        <w:t>Age</w:t>
      </w:r>
      <w:r w:rsidRPr="00027624">
        <w:t> Pension expenditure estimates includes service pensions. Source: Treasury estimates for the review using MARIA, analysis of Rice Warner estimates for the review.</w:t>
      </w:r>
    </w:p>
    <w:p w14:paraId="00D02A78" w14:textId="77777777" w:rsidR="00E96B29" w:rsidRPr="00027624" w:rsidRDefault="00E96B29" w:rsidP="00C11F4E">
      <w:pPr>
        <w:pStyle w:val="Heading2"/>
        <w:spacing w:before="240"/>
      </w:pPr>
      <w:bookmarkStart w:id="4324" w:name="_Toc45520569"/>
      <w:bookmarkStart w:id="4325" w:name="_Toc46133681"/>
      <w:r w:rsidRPr="00027624">
        <w:t>Modelling financial stress</w:t>
      </w:r>
      <w:bookmarkEnd w:id="4324"/>
      <w:bookmarkEnd w:id="4325"/>
    </w:p>
    <w:p w14:paraId="4CF9EF0C" w14:textId="77777777" w:rsidR="00E96B29" w:rsidRPr="00027624" w:rsidRDefault="002F4219" w:rsidP="00E96B29">
      <w:r>
        <w:rPr>
          <w:i/>
        </w:rPr>
        <w:t>2B. Policy scenario: Implications of increasing Commonwealt</w:t>
      </w:r>
      <w:r w:rsidR="0002589F">
        <w:rPr>
          <w:i/>
        </w:rPr>
        <w:t>h</w:t>
      </w:r>
      <w:r>
        <w:rPr>
          <w:i/>
        </w:rPr>
        <w:t xml:space="preserve"> Rent Assi</w:t>
      </w:r>
      <w:r w:rsidR="0002589F">
        <w:rPr>
          <w:i/>
        </w:rPr>
        <w:t>s</w:t>
      </w:r>
      <w:r>
        <w:rPr>
          <w:i/>
        </w:rPr>
        <w:t>tance</w:t>
      </w:r>
      <w:r w:rsidR="00E96B29" w:rsidRPr="00027624">
        <w:rPr>
          <w:i/>
        </w:rPr>
        <w:t xml:space="preserve"> </w:t>
      </w:r>
      <w:r w:rsidR="00E96B29" w:rsidRPr="00027624">
        <w:t>models the impact of certain changes to the design of Commonwealth Rent Assistance on the financial stress of retired renters. Since financial stress is self</w:t>
      </w:r>
      <w:r w:rsidR="00A8443E" w:rsidRPr="00027624">
        <w:noBreakHyphen/>
      </w:r>
      <w:r w:rsidR="00E96B29" w:rsidRPr="00027624">
        <w:t xml:space="preserve">reported, and measured using answers to questions about financial hardship and </w:t>
      </w:r>
      <w:r w:rsidR="00A8443E" w:rsidRPr="00027624">
        <w:t>‘</w:t>
      </w:r>
      <w:r w:rsidR="00E96B29" w:rsidRPr="00027624">
        <w:t>missing out</w:t>
      </w:r>
      <w:r w:rsidR="00A8443E" w:rsidRPr="00027624">
        <w:t>’</w:t>
      </w:r>
      <w:r w:rsidR="00E96B29" w:rsidRPr="00027624">
        <w:t xml:space="preserve"> experiences, the effect of changes to Commonwealth Rent Assistance on financial stress must be estimated from historical data.</w:t>
      </w:r>
    </w:p>
    <w:p w14:paraId="2B548034" w14:textId="77777777" w:rsidR="00E96B29" w:rsidRPr="00027624" w:rsidRDefault="00E96B29" w:rsidP="00E96B29">
      <w:r w:rsidRPr="00027624">
        <w:t>The review used a statistical model to estimate the relationship between financial stress and income to predict how financial stress rates might change if Commonwealth Rent Assistance was increased. To account for other drivers of financial stress, the model includes key financial and demographic variables that also influence financial stress rates. The model is unable to control for unobserved differences across households that may affect financial stress. The limitations of this are discussed below.</w:t>
      </w:r>
    </w:p>
    <w:p w14:paraId="63C71824" w14:textId="77777777" w:rsidR="00E96B29" w:rsidRPr="00027624" w:rsidRDefault="00E96B29" w:rsidP="00E96B29">
      <w:pPr>
        <w:pStyle w:val="Heading3"/>
      </w:pPr>
      <w:r w:rsidRPr="00027624">
        <w:t>Effect of higher Commonwealth Rent Assistance</w:t>
      </w:r>
    </w:p>
    <w:p w14:paraId="67F60154" w14:textId="77777777" w:rsidR="00E96B29" w:rsidRPr="00027624" w:rsidRDefault="009B7712" w:rsidP="00E96B29">
      <w:pPr>
        <w:rPr>
          <w:sz w:val="18"/>
        </w:rPr>
      </w:pPr>
      <w:r w:rsidRPr="00027624">
        <w:t xml:space="preserve">Following is an outline of </w:t>
      </w:r>
      <w:r w:rsidR="00E96B29" w:rsidRPr="00027624">
        <w:t>how the effect of a 40 per cent increase in the maximum rate of Commonwealth Rent Assistance on financial stress for households was estimated.</w:t>
      </w:r>
    </w:p>
    <w:p w14:paraId="639DF511" w14:textId="77777777" w:rsidR="00E96B29" w:rsidRPr="00027624" w:rsidRDefault="00E96B29" w:rsidP="00C11F4E">
      <w:pPr>
        <w:pStyle w:val="Heading4"/>
        <w:spacing w:before="120"/>
      </w:pPr>
      <w:r w:rsidRPr="00027624">
        <w:t>Data</w:t>
      </w:r>
    </w:p>
    <w:p w14:paraId="3DCF6930" w14:textId="77777777" w:rsidR="00E96B29" w:rsidRPr="00027624" w:rsidRDefault="00E96B29" w:rsidP="00E96B29">
      <w:r w:rsidRPr="00027624">
        <w:t>Data is from the 2015</w:t>
      </w:r>
      <w:r w:rsidR="00A8443E" w:rsidRPr="00027624">
        <w:noBreakHyphen/>
      </w:r>
      <w:r w:rsidRPr="00027624">
        <w:t xml:space="preserve">16 release of the ABS Household Expenditure Survey. Retired households are defined as those with the reference person 65 years or older without any earners. Financial stress is defined in the same way as the ABS: those who report four or more financial stress or </w:t>
      </w:r>
      <w:r w:rsidR="00A8443E" w:rsidRPr="00027624">
        <w:t>‘</w:t>
      </w:r>
      <w:r w:rsidRPr="00027624">
        <w:t>missing out</w:t>
      </w:r>
      <w:r w:rsidR="00A8443E" w:rsidRPr="00027624">
        <w:t>’</w:t>
      </w:r>
      <w:r w:rsidRPr="00027624">
        <w:t xml:space="preserve"> experiences. All households with positive income are included in the regression.</w:t>
      </w:r>
    </w:p>
    <w:p w14:paraId="59033260" w14:textId="77777777" w:rsidR="00E96B29" w:rsidRPr="00027624" w:rsidRDefault="00E96B29" w:rsidP="00C11F4E">
      <w:pPr>
        <w:pStyle w:val="Heading4"/>
        <w:spacing w:before="120"/>
      </w:pPr>
      <w:r w:rsidRPr="00027624">
        <w:t>Methodology</w:t>
      </w:r>
    </w:p>
    <w:p w14:paraId="6AB061D7" w14:textId="77777777" w:rsidR="00E96B29" w:rsidRPr="00027624" w:rsidRDefault="00E96B29" w:rsidP="00E96B29">
      <w:r w:rsidRPr="00027624">
        <w:t>A cross</w:t>
      </w:r>
      <w:r w:rsidR="00A8443E" w:rsidRPr="00027624">
        <w:noBreakHyphen/>
      </w:r>
      <w:r w:rsidRPr="00027624">
        <w:t xml:space="preserve">section multinomial probit model is estimated using observations for each household </w:t>
      </w:r>
      <m:oMath>
        <m:r>
          <w:rPr>
            <w:rFonts w:ascii="Cambria Math" w:hAnsi="Cambria Math"/>
          </w:rPr>
          <m:t>i</m:t>
        </m:r>
      </m:oMath>
      <w:r w:rsidRPr="00027624">
        <w:t>:</w:t>
      </w:r>
    </w:p>
    <w:p w14:paraId="0BA67490" w14:textId="77777777" w:rsidR="00E96B29" w:rsidRPr="00027624" w:rsidRDefault="00E96B29" w:rsidP="00E96B29">
      <w:pPr>
        <w:rPr>
          <w:rFonts w:ascii="Cambria Math" w:hAnsi="Cambria Math"/>
          <w:oMath/>
        </w:rPr>
      </w:pPr>
      <m:oMathPara>
        <m:oMath>
          <m:r>
            <w:rPr>
              <w:rFonts w:ascii="Cambria Math" w:hAnsi="Cambria Math"/>
            </w:rPr>
            <m:t>Financial stres</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 </m:t>
          </m:r>
          <m:r>
            <m:rPr>
              <m:sty m:val="p"/>
            </m:rPr>
            <w:rPr>
              <w:rFonts w:ascii="Cambria Math" w:hAnsi="Cambria Math"/>
            </w:rPr>
            <m:t>Φ</m:t>
          </m:r>
          <m:r>
            <w:rPr>
              <w:rFonts w:ascii="Cambria Math" w:hAnsi="Cambria Math"/>
            </w:rPr>
            <m:t>(α+ϑRetired renter incom</m:t>
          </m:r>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+X</m:t>
          </m:r>
          <m:sSub>
            <m:sSubPr>
              <m:ctrlPr>
                <w:rPr>
                  <w:rFonts w:ascii="Cambria Math" w:hAnsi="Cambria Math"/>
                  <w:i/>
                </w:rPr>
              </m:ctrlPr>
            </m:sSubPr>
            <m:e>
              <m:r>
                <w:rPr>
                  <w:rFonts w:ascii="Cambria Math" w:hAnsi="Cambria Math"/>
                </w:rPr>
                <m:t>β</m:t>
              </m:r>
            </m:e>
            <m:sub>
              <m:r>
                <w:rPr>
                  <w:rFonts w:ascii="Cambria Math" w:hAnsi="Cambria Math"/>
                </w:rPr>
                <m:t>i</m:t>
              </m:r>
            </m:sub>
          </m:sSub>
          <m:r>
            <w:rPr>
              <w:rFonts w:ascii="Cambria Math" w:hAnsi="Cambria Math"/>
            </w:rPr>
            <m:t>+ε)</m:t>
          </m:r>
        </m:oMath>
      </m:oMathPara>
    </w:p>
    <w:p w14:paraId="0BD26AAB" w14:textId="77777777" w:rsidR="00E96B29" w:rsidRPr="00027624" w:rsidRDefault="00E96B29" w:rsidP="00E96B29">
      <w:r w:rsidRPr="00027624">
        <w:t>where:</w:t>
      </w:r>
    </w:p>
    <w:p w14:paraId="2252D7FF" w14:textId="77777777" w:rsidR="00E96B29" w:rsidRPr="00027624" w:rsidRDefault="00E96B29">
      <w:pPr>
        <w:pStyle w:val="Bullet"/>
      </w:pPr>
      <m:oMath>
        <m:r>
          <w:rPr>
            <w:rFonts w:ascii="Cambria Math" w:hAnsi="Cambria Math"/>
          </w:rPr>
          <m:t>Financial stres</m:t>
        </m:r>
        <m:sSub>
          <m:sSubPr>
            <m:ctrlPr>
              <w:rPr>
                <w:rFonts w:ascii="Cambria Math" w:hAnsi="Cambria Math"/>
                <w:i/>
              </w:rPr>
            </m:ctrlPr>
          </m:sSubPr>
          <m:e>
            <m:r>
              <w:rPr>
                <w:rFonts w:ascii="Cambria Math" w:hAnsi="Cambria Math"/>
              </w:rPr>
              <m:t>s</m:t>
            </m:r>
          </m:e>
          <m:sub>
            <m:r>
              <w:rPr>
                <w:rFonts w:ascii="Cambria Math" w:hAnsi="Cambria Math"/>
              </w:rPr>
              <m:t>i</m:t>
            </m:r>
          </m:sub>
        </m:sSub>
      </m:oMath>
      <w:r w:rsidRPr="00027624">
        <w:t xml:space="preserve"> is a binary variable if a household reported financial stress, as defined as four or more financial stress or </w:t>
      </w:r>
      <w:r w:rsidR="00A8443E" w:rsidRPr="00027624">
        <w:t>‘</w:t>
      </w:r>
      <w:r w:rsidRPr="00027624">
        <w:t>missing out</w:t>
      </w:r>
      <w:r w:rsidR="00A8443E" w:rsidRPr="00027624">
        <w:t>’</w:t>
      </w:r>
      <w:r w:rsidRPr="00027624">
        <w:t xml:space="preserve"> experiences.</w:t>
      </w:r>
    </w:p>
    <w:p w14:paraId="5F351C1D" w14:textId="77777777" w:rsidR="00E96B29" w:rsidRPr="00027624" w:rsidRDefault="00E96B29">
      <w:pPr>
        <w:pStyle w:val="Bullet"/>
      </w:pPr>
      <m:oMath>
        <m:r>
          <w:rPr>
            <w:rFonts w:ascii="Cambria Math" w:hAnsi="Cambria Math"/>
          </w:rPr>
          <m:t>Retired renter incom</m:t>
        </m:r>
        <m:sSub>
          <m:sSubPr>
            <m:ctrlPr>
              <w:rPr>
                <w:rFonts w:ascii="Cambria Math" w:hAnsi="Cambria Math"/>
                <w:i/>
              </w:rPr>
            </m:ctrlPr>
          </m:sSubPr>
          <m:e>
            <m:r>
              <w:rPr>
                <w:rFonts w:ascii="Cambria Math" w:hAnsi="Cambria Math"/>
              </w:rPr>
              <m:t>e</m:t>
            </m:r>
          </m:e>
          <m:sub>
            <m:r>
              <w:rPr>
                <w:rFonts w:ascii="Cambria Math" w:hAnsi="Cambria Math"/>
              </w:rPr>
              <m:t>i</m:t>
            </m:r>
          </m:sub>
        </m:sSub>
      </m:oMath>
      <w:r w:rsidRPr="00027624">
        <w:t xml:space="preserve"> is the weekly disposable income in dollars if the household rents and is classified as retired.</w:t>
      </w:r>
    </w:p>
    <w:p w14:paraId="13847382" w14:textId="77777777" w:rsidR="00E96B29" w:rsidRPr="00027624" w:rsidRDefault="00E96B29">
      <w:pPr>
        <w:pStyle w:val="Bullet"/>
      </w:pPr>
      <m:oMath>
        <m:r>
          <w:rPr>
            <w:rFonts w:ascii="Cambria Math" w:hAnsi="Cambria Math"/>
          </w:rPr>
          <m:t>X</m:t>
        </m:r>
        <m:sSub>
          <m:sSubPr>
            <m:ctrlPr>
              <w:rPr>
                <w:rFonts w:ascii="Cambria Math" w:hAnsi="Cambria Math"/>
                <w:i/>
              </w:rPr>
            </m:ctrlPr>
          </m:sSubPr>
          <m:e>
            <m:r>
              <w:rPr>
                <w:rFonts w:ascii="Cambria Math" w:hAnsi="Cambria Math"/>
              </w:rPr>
              <m:t>β</m:t>
            </m:r>
          </m:e>
          <m:sub>
            <m:r>
              <w:rPr>
                <w:rFonts w:ascii="Cambria Math" w:hAnsi="Cambria Math"/>
              </w:rPr>
              <m:t>i</m:t>
            </m:r>
          </m:sub>
        </m:sSub>
      </m:oMath>
      <w:r w:rsidRPr="00027624">
        <w:t xml:space="preserve"> is a vector of control variables, which includes the weekly disposable income of other households in dollars, binary variables for household and tenure type (if the household is a single renter or a couple renter), binary variables if the household has a mortgage, depend</w:t>
      </w:r>
      <w:r w:rsidR="005A53FD" w:rsidRPr="00027624">
        <w:t>a</w:t>
      </w:r>
      <w:r w:rsidRPr="00027624">
        <w:t>nts or anyone with a disability. Also included is household wealth in dollars, interacted with a vector of binary variables for the household wealth quintile of each household.</w:t>
      </w:r>
    </w:p>
    <w:p w14:paraId="5B4FF613" w14:textId="77777777" w:rsidR="00E96B29" w:rsidRPr="00027624" w:rsidRDefault="00E96B29" w:rsidP="00E96B29">
      <w:r w:rsidRPr="00027624">
        <w:t xml:space="preserve">The coefficient of interest is </w:t>
      </w:r>
      <m:oMath>
        <m:r>
          <w:rPr>
            <w:rFonts w:ascii="Cambria Math" w:hAnsi="Cambria Math"/>
          </w:rPr>
          <m:t>ϑ</m:t>
        </m:r>
      </m:oMath>
      <w:r w:rsidRPr="00027624">
        <w:t>, the conditional correlation of financial stress to changes in the income of retired renters. The regression is weighted using population weights.</w:t>
      </w:r>
    </w:p>
    <w:p w14:paraId="25A02B6B" w14:textId="77777777" w:rsidR="00E96B29" w:rsidRPr="00027624" w:rsidRDefault="00E96B29" w:rsidP="00E96B29">
      <w:pPr>
        <w:pStyle w:val="Heading4"/>
      </w:pPr>
      <w:r w:rsidRPr="00027624">
        <w:t>Results</w:t>
      </w:r>
    </w:p>
    <w:p w14:paraId="0CAE6CA9" w14:textId="57496F4C" w:rsidR="00E96B29" w:rsidRPr="00027624" w:rsidRDefault="00E96B29" w:rsidP="00E96B29">
      <w:r w:rsidRPr="00027624">
        <w:t>The coefficients all have the expected effect. Higher incomes and wealth lead to lower financial stress, while having depend</w:t>
      </w:r>
      <w:r w:rsidR="005A53FD" w:rsidRPr="00027624">
        <w:t>a</w:t>
      </w:r>
      <w:r w:rsidRPr="00027624">
        <w:t xml:space="preserve">nts, a mortgage, or a household member with a disability are correlated with higher rates of financial stress </w:t>
      </w:r>
      <w:r w:rsidRPr="00027624">
        <w:fldChar w:fldCharType="begin"/>
      </w:r>
      <w:r w:rsidRPr="00027624">
        <w:instrText xml:space="preserve"> REF _Ref43187579 \r \h  \* MERGEFORMAT </w:instrText>
      </w:r>
      <w:r w:rsidRPr="00027624">
        <w:fldChar w:fldCharType="separate"/>
      </w:r>
      <w:r w:rsidR="00891058">
        <w:t>Table 6A-29</w:t>
      </w:r>
      <w:r w:rsidRPr="00027624">
        <w:fldChar w:fldCharType="end"/>
      </w:r>
      <w:r w:rsidRPr="00027624">
        <w:t>.</w:t>
      </w:r>
    </w:p>
    <w:p w14:paraId="1A8B3922" w14:textId="77777777" w:rsidR="00E96B29" w:rsidRPr="00027624" w:rsidRDefault="00E96B29" w:rsidP="00E96B29">
      <w:pPr>
        <w:pStyle w:val="TableMainHeading"/>
      </w:pPr>
      <w:bookmarkStart w:id="4326" w:name="_Ref43187579"/>
      <w:r w:rsidRPr="00027624">
        <w:t>Renter retiree income and financial stress</w:t>
      </w:r>
      <w:bookmarkEnd w:id="4326"/>
    </w:p>
    <w:tbl>
      <w:tblPr>
        <w:tblStyle w:val="TableGrid"/>
        <w:tblW w:w="5000" w:type="pct"/>
        <w:tblLook w:val="04A0" w:firstRow="1" w:lastRow="0" w:firstColumn="1" w:lastColumn="0" w:noHBand="0" w:noVBand="1"/>
      </w:tblPr>
      <w:tblGrid>
        <w:gridCol w:w="3163"/>
        <w:gridCol w:w="1969"/>
        <w:gridCol w:w="1969"/>
        <w:gridCol w:w="1969"/>
      </w:tblGrid>
      <w:tr w:rsidR="00E96B29" w:rsidRPr="00027624" w14:paraId="0408A79F" w14:textId="77777777" w:rsidTr="00F50C51">
        <w:tc>
          <w:tcPr>
            <w:tcW w:w="2818" w:type="dxa"/>
          </w:tcPr>
          <w:p w14:paraId="6A1B877E" w14:textId="77777777" w:rsidR="00E96B29" w:rsidRPr="00027624" w:rsidRDefault="00E96B29" w:rsidP="00E96B29">
            <w:pPr>
              <w:pStyle w:val="TableColumnHeadingCentred"/>
              <w:jc w:val="left"/>
              <w:rPr>
                <w:b w:val="0"/>
                <w:bCs/>
                <w:color w:val="auto"/>
                <w:sz w:val="18"/>
                <w:szCs w:val="18"/>
              </w:rPr>
            </w:pPr>
            <w:r w:rsidRPr="00027624">
              <w:t>Variable</w:t>
            </w:r>
          </w:p>
        </w:tc>
        <w:tc>
          <w:tcPr>
            <w:tcW w:w="1754" w:type="dxa"/>
          </w:tcPr>
          <w:p w14:paraId="3D29EB2E" w14:textId="77777777" w:rsidR="00E96B29" w:rsidRPr="00027624" w:rsidRDefault="00E96B29" w:rsidP="00E96B29">
            <w:pPr>
              <w:pStyle w:val="TableColumnHeadingCentred"/>
              <w:rPr>
                <w:b w:val="0"/>
                <w:bCs/>
                <w:color w:val="auto"/>
                <w:sz w:val="18"/>
                <w:szCs w:val="18"/>
              </w:rPr>
            </w:pPr>
            <w:r w:rsidRPr="00027624">
              <w:t>Coefficient</w:t>
            </w:r>
          </w:p>
        </w:tc>
        <w:tc>
          <w:tcPr>
            <w:tcW w:w="1754" w:type="dxa"/>
          </w:tcPr>
          <w:p w14:paraId="0C300799" w14:textId="77777777" w:rsidR="00E96B29" w:rsidRPr="00027624" w:rsidRDefault="00E96B29" w:rsidP="00E96B29">
            <w:pPr>
              <w:pStyle w:val="TableColumnHeadingCentred"/>
              <w:rPr>
                <w:b w:val="0"/>
                <w:bCs/>
                <w:color w:val="auto"/>
                <w:sz w:val="18"/>
                <w:szCs w:val="18"/>
              </w:rPr>
            </w:pPr>
            <w:r w:rsidRPr="00027624">
              <w:t>Standard error</w:t>
            </w:r>
          </w:p>
        </w:tc>
        <w:tc>
          <w:tcPr>
            <w:tcW w:w="1754" w:type="dxa"/>
          </w:tcPr>
          <w:p w14:paraId="29A041CA" w14:textId="77777777" w:rsidR="00E96B29" w:rsidRPr="00027624" w:rsidRDefault="00E96B29" w:rsidP="00E96B29">
            <w:pPr>
              <w:pStyle w:val="TableColumnHeadingCentred"/>
              <w:rPr>
                <w:b w:val="0"/>
                <w:bCs/>
                <w:color w:val="auto"/>
                <w:sz w:val="18"/>
                <w:szCs w:val="18"/>
              </w:rPr>
            </w:pPr>
            <w:r w:rsidRPr="00027624">
              <w:t>p. value</w:t>
            </w:r>
          </w:p>
        </w:tc>
      </w:tr>
      <w:tr w:rsidR="00E96B29" w:rsidRPr="00027624" w14:paraId="25903282" w14:textId="77777777" w:rsidTr="00F50C51">
        <w:tc>
          <w:tcPr>
            <w:tcW w:w="2818" w:type="dxa"/>
            <w:shd w:val="clear" w:color="auto" w:fill="auto"/>
          </w:tcPr>
          <w:p w14:paraId="5B132BF1" w14:textId="77777777" w:rsidR="00E96B29" w:rsidRPr="00027624" w:rsidRDefault="00E96B29" w:rsidP="00E96B29">
            <w:pPr>
              <w:pStyle w:val="TableGraphic"/>
              <w:rPr>
                <w:color w:val="auto"/>
                <w:sz w:val="18"/>
                <w:szCs w:val="18"/>
              </w:rPr>
            </w:pPr>
            <w:r w:rsidRPr="00027624">
              <w:rPr>
                <w:color w:val="auto"/>
                <w:sz w:val="18"/>
                <w:szCs w:val="18"/>
              </w:rPr>
              <w:t xml:space="preserve">Intercept </w:t>
            </w:r>
          </w:p>
        </w:tc>
        <w:tc>
          <w:tcPr>
            <w:tcW w:w="1754" w:type="dxa"/>
            <w:shd w:val="clear" w:color="auto" w:fill="auto"/>
            <w:vAlign w:val="bottom"/>
          </w:tcPr>
          <w:p w14:paraId="0989AAB3" w14:textId="77777777" w:rsidR="00E96B29" w:rsidRPr="00027624" w:rsidRDefault="00E96B29" w:rsidP="00E96B29">
            <w:pPr>
              <w:pStyle w:val="TableGraphic"/>
              <w:rPr>
                <w:color w:val="auto"/>
                <w:sz w:val="18"/>
                <w:szCs w:val="18"/>
              </w:rPr>
            </w:pPr>
            <w:r w:rsidRPr="00027624">
              <w:rPr>
                <w:color w:val="auto"/>
                <w:sz w:val="18"/>
                <w:szCs w:val="18"/>
              </w:rPr>
              <w:t xml:space="preserve"> </w:t>
            </w:r>
            <w:r w:rsidR="00A8443E" w:rsidRPr="00027624">
              <w:rPr>
                <w:color w:val="auto"/>
                <w:sz w:val="18"/>
                <w:szCs w:val="18"/>
              </w:rPr>
              <w:noBreakHyphen/>
            </w:r>
            <w:r w:rsidRPr="00027624">
              <w:rPr>
                <w:color w:val="auto"/>
                <w:sz w:val="18"/>
                <w:szCs w:val="18"/>
              </w:rPr>
              <w:t xml:space="preserve">0.376 </w:t>
            </w:r>
          </w:p>
        </w:tc>
        <w:tc>
          <w:tcPr>
            <w:tcW w:w="1754" w:type="dxa"/>
            <w:shd w:val="clear" w:color="auto" w:fill="auto"/>
          </w:tcPr>
          <w:p w14:paraId="016648F5" w14:textId="77777777" w:rsidR="00E96B29" w:rsidRPr="00027624" w:rsidRDefault="00E96B29" w:rsidP="00E96B29">
            <w:pPr>
              <w:pStyle w:val="TableGraphic"/>
              <w:rPr>
                <w:color w:val="auto"/>
                <w:sz w:val="18"/>
                <w:szCs w:val="18"/>
              </w:rPr>
            </w:pPr>
            <w:r w:rsidRPr="00027624">
              <w:rPr>
                <w:color w:val="auto"/>
                <w:sz w:val="18"/>
                <w:szCs w:val="18"/>
              </w:rPr>
              <w:t xml:space="preserve"> 0.108 </w:t>
            </w:r>
          </w:p>
        </w:tc>
        <w:tc>
          <w:tcPr>
            <w:tcW w:w="1754" w:type="dxa"/>
            <w:shd w:val="clear" w:color="auto" w:fill="auto"/>
          </w:tcPr>
          <w:p w14:paraId="4C098DC2" w14:textId="77777777" w:rsidR="00E96B29" w:rsidRPr="00027624" w:rsidRDefault="00E96B29" w:rsidP="00E96B29">
            <w:pPr>
              <w:pStyle w:val="TableGraphic"/>
              <w:rPr>
                <w:color w:val="auto"/>
                <w:sz w:val="18"/>
                <w:szCs w:val="18"/>
              </w:rPr>
            </w:pPr>
            <w:r w:rsidRPr="00027624">
              <w:rPr>
                <w:color w:val="auto"/>
                <w:sz w:val="18"/>
                <w:szCs w:val="18"/>
              </w:rPr>
              <w:t xml:space="preserve">0.000*** </w:t>
            </w:r>
          </w:p>
        </w:tc>
      </w:tr>
      <w:tr w:rsidR="00E96B29" w:rsidRPr="00027624" w14:paraId="29B593DB" w14:textId="77777777" w:rsidTr="00F50C51">
        <w:tc>
          <w:tcPr>
            <w:tcW w:w="2818" w:type="dxa"/>
            <w:shd w:val="clear" w:color="auto" w:fill="auto"/>
          </w:tcPr>
          <w:p w14:paraId="27EE5ACD" w14:textId="77777777" w:rsidR="00E96B29" w:rsidRPr="00027624" w:rsidRDefault="00E96B29" w:rsidP="00E96B29">
            <w:pPr>
              <w:pStyle w:val="TableGraphic"/>
              <w:rPr>
                <w:color w:val="auto"/>
                <w:sz w:val="18"/>
                <w:szCs w:val="18"/>
              </w:rPr>
            </w:pPr>
            <w:r w:rsidRPr="00027624">
              <w:rPr>
                <w:color w:val="auto"/>
                <w:sz w:val="18"/>
                <w:szCs w:val="18"/>
              </w:rPr>
              <w:t xml:space="preserve">Retired renter income </w:t>
            </w:r>
          </w:p>
        </w:tc>
        <w:tc>
          <w:tcPr>
            <w:tcW w:w="1754" w:type="dxa"/>
            <w:shd w:val="clear" w:color="auto" w:fill="auto"/>
            <w:vAlign w:val="bottom"/>
          </w:tcPr>
          <w:p w14:paraId="7E1E3F70" w14:textId="77777777" w:rsidR="00E96B29" w:rsidRPr="00027624" w:rsidRDefault="00E96B29" w:rsidP="00E96B29">
            <w:pPr>
              <w:pStyle w:val="TableGraphic"/>
              <w:rPr>
                <w:color w:val="auto"/>
                <w:sz w:val="18"/>
                <w:szCs w:val="18"/>
              </w:rPr>
            </w:pPr>
            <w:r w:rsidRPr="00027624">
              <w:rPr>
                <w:color w:val="auto"/>
                <w:sz w:val="18"/>
                <w:szCs w:val="18"/>
              </w:rPr>
              <w:t xml:space="preserve"> </w:t>
            </w:r>
            <w:r w:rsidR="00A8443E" w:rsidRPr="00027624">
              <w:rPr>
                <w:color w:val="auto"/>
                <w:sz w:val="18"/>
                <w:szCs w:val="18"/>
              </w:rPr>
              <w:noBreakHyphen/>
            </w:r>
            <w:r w:rsidRPr="00027624">
              <w:rPr>
                <w:color w:val="auto"/>
                <w:sz w:val="18"/>
                <w:szCs w:val="18"/>
              </w:rPr>
              <w:t xml:space="preserve">0.00116 </w:t>
            </w:r>
          </w:p>
        </w:tc>
        <w:tc>
          <w:tcPr>
            <w:tcW w:w="1754" w:type="dxa"/>
            <w:shd w:val="clear" w:color="auto" w:fill="auto"/>
          </w:tcPr>
          <w:p w14:paraId="6974AB23" w14:textId="77777777" w:rsidR="00E96B29" w:rsidRPr="00027624" w:rsidRDefault="00E96B29" w:rsidP="00E96B29">
            <w:pPr>
              <w:pStyle w:val="TableGraphic"/>
              <w:rPr>
                <w:color w:val="auto"/>
                <w:sz w:val="18"/>
                <w:szCs w:val="18"/>
              </w:rPr>
            </w:pPr>
            <w:r w:rsidRPr="00027624">
              <w:rPr>
                <w:color w:val="auto"/>
                <w:sz w:val="18"/>
                <w:szCs w:val="18"/>
              </w:rPr>
              <w:t xml:space="preserve"> 0.000240 </w:t>
            </w:r>
          </w:p>
        </w:tc>
        <w:tc>
          <w:tcPr>
            <w:tcW w:w="1754" w:type="dxa"/>
            <w:shd w:val="clear" w:color="auto" w:fill="auto"/>
          </w:tcPr>
          <w:p w14:paraId="3BD65CDE" w14:textId="77777777" w:rsidR="00E96B29" w:rsidRPr="00027624" w:rsidRDefault="00E96B29" w:rsidP="00E96B29">
            <w:pPr>
              <w:pStyle w:val="TableGraphic"/>
              <w:rPr>
                <w:color w:val="auto"/>
                <w:sz w:val="18"/>
                <w:szCs w:val="18"/>
              </w:rPr>
            </w:pPr>
            <w:r w:rsidRPr="00027624">
              <w:rPr>
                <w:color w:val="auto"/>
                <w:sz w:val="18"/>
                <w:szCs w:val="18"/>
              </w:rPr>
              <w:t>0.000***</w:t>
            </w:r>
          </w:p>
        </w:tc>
      </w:tr>
      <w:tr w:rsidR="00E96B29" w:rsidRPr="00027624" w14:paraId="0405A209" w14:textId="77777777" w:rsidTr="00F50C51">
        <w:tc>
          <w:tcPr>
            <w:tcW w:w="2818" w:type="dxa"/>
            <w:shd w:val="clear" w:color="auto" w:fill="auto"/>
          </w:tcPr>
          <w:p w14:paraId="35F5FEEB" w14:textId="77777777" w:rsidR="00E96B29" w:rsidRPr="00027624" w:rsidRDefault="00E96B29" w:rsidP="00E96B29">
            <w:pPr>
              <w:pStyle w:val="TableGraphic"/>
              <w:rPr>
                <w:color w:val="auto"/>
                <w:sz w:val="18"/>
                <w:szCs w:val="18"/>
              </w:rPr>
            </w:pPr>
            <w:r w:rsidRPr="00027624">
              <w:rPr>
                <w:color w:val="auto"/>
                <w:sz w:val="18"/>
                <w:szCs w:val="18"/>
              </w:rPr>
              <w:t>Other household income</w:t>
            </w:r>
          </w:p>
        </w:tc>
        <w:tc>
          <w:tcPr>
            <w:tcW w:w="1754" w:type="dxa"/>
            <w:shd w:val="clear" w:color="auto" w:fill="auto"/>
            <w:vAlign w:val="bottom"/>
          </w:tcPr>
          <w:p w14:paraId="3941465A" w14:textId="77777777" w:rsidR="00E96B29" w:rsidRPr="00027624" w:rsidRDefault="00E96B29" w:rsidP="00E96B29">
            <w:pPr>
              <w:pStyle w:val="TableGraphic"/>
              <w:rPr>
                <w:color w:val="auto"/>
                <w:sz w:val="18"/>
                <w:szCs w:val="18"/>
              </w:rPr>
            </w:pPr>
            <w:r w:rsidRPr="00027624">
              <w:rPr>
                <w:color w:val="auto"/>
                <w:sz w:val="18"/>
                <w:szCs w:val="18"/>
              </w:rPr>
              <w:t xml:space="preserve"> </w:t>
            </w:r>
            <w:r w:rsidR="00A8443E" w:rsidRPr="00027624">
              <w:rPr>
                <w:color w:val="auto"/>
                <w:sz w:val="18"/>
                <w:szCs w:val="18"/>
              </w:rPr>
              <w:noBreakHyphen/>
            </w:r>
            <w:r w:rsidRPr="00027624">
              <w:rPr>
                <w:color w:val="auto"/>
                <w:sz w:val="18"/>
                <w:szCs w:val="18"/>
              </w:rPr>
              <w:t xml:space="preserve">0.000353 </w:t>
            </w:r>
          </w:p>
        </w:tc>
        <w:tc>
          <w:tcPr>
            <w:tcW w:w="1754" w:type="dxa"/>
            <w:shd w:val="clear" w:color="auto" w:fill="auto"/>
          </w:tcPr>
          <w:p w14:paraId="1834C164" w14:textId="77777777" w:rsidR="00E96B29" w:rsidRPr="00027624" w:rsidRDefault="00E96B29" w:rsidP="00E96B29">
            <w:pPr>
              <w:pStyle w:val="TableGraphic"/>
              <w:rPr>
                <w:color w:val="auto"/>
                <w:sz w:val="18"/>
                <w:szCs w:val="18"/>
              </w:rPr>
            </w:pPr>
            <w:r w:rsidRPr="00027624">
              <w:rPr>
                <w:color w:val="auto"/>
                <w:sz w:val="18"/>
                <w:szCs w:val="18"/>
              </w:rPr>
              <w:t xml:space="preserve"> 0.0000511 </w:t>
            </w:r>
          </w:p>
        </w:tc>
        <w:tc>
          <w:tcPr>
            <w:tcW w:w="1754" w:type="dxa"/>
            <w:shd w:val="clear" w:color="auto" w:fill="auto"/>
          </w:tcPr>
          <w:p w14:paraId="3AEBD2E0" w14:textId="77777777" w:rsidR="00E96B29" w:rsidRPr="00027624" w:rsidRDefault="00E96B29" w:rsidP="00E96B29">
            <w:pPr>
              <w:pStyle w:val="TableGraphic"/>
              <w:rPr>
                <w:color w:val="auto"/>
                <w:sz w:val="18"/>
                <w:szCs w:val="18"/>
              </w:rPr>
            </w:pPr>
            <w:r w:rsidRPr="00027624">
              <w:rPr>
                <w:color w:val="auto"/>
                <w:sz w:val="18"/>
                <w:szCs w:val="18"/>
              </w:rPr>
              <w:t xml:space="preserve">0.000*** </w:t>
            </w:r>
          </w:p>
        </w:tc>
      </w:tr>
      <w:tr w:rsidR="00E96B29" w:rsidRPr="00027624" w14:paraId="03D834E1" w14:textId="77777777" w:rsidTr="00F50C51">
        <w:tc>
          <w:tcPr>
            <w:tcW w:w="2818" w:type="dxa"/>
            <w:shd w:val="clear" w:color="auto" w:fill="auto"/>
          </w:tcPr>
          <w:p w14:paraId="6725F1C2" w14:textId="77777777" w:rsidR="00E96B29" w:rsidRPr="00027624" w:rsidRDefault="00E96B29" w:rsidP="00E96B29">
            <w:pPr>
              <w:pStyle w:val="TableGraphic"/>
              <w:rPr>
                <w:color w:val="auto"/>
                <w:sz w:val="18"/>
                <w:szCs w:val="18"/>
              </w:rPr>
            </w:pPr>
            <w:r w:rsidRPr="00027624">
              <w:rPr>
                <w:color w:val="auto"/>
                <w:sz w:val="18"/>
                <w:szCs w:val="18"/>
              </w:rPr>
              <w:t xml:space="preserve">Single renter </w:t>
            </w:r>
          </w:p>
        </w:tc>
        <w:tc>
          <w:tcPr>
            <w:tcW w:w="1754" w:type="dxa"/>
            <w:shd w:val="clear" w:color="auto" w:fill="auto"/>
            <w:vAlign w:val="bottom"/>
          </w:tcPr>
          <w:p w14:paraId="35B88C0C" w14:textId="77777777" w:rsidR="00E96B29" w:rsidRPr="00027624" w:rsidRDefault="00E96B29" w:rsidP="00E96B29">
            <w:pPr>
              <w:pStyle w:val="TableGraphic"/>
              <w:rPr>
                <w:color w:val="auto"/>
                <w:sz w:val="18"/>
                <w:szCs w:val="18"/>
              </w:rPr>
            </w:pPr>
            <w:r w:rsidRPr="00027624">
              <w:rPr>
                <w:color w:val="auto"/>
                <w:sz w:val="18"/>
                <w:szCs w:val="18"/>
              </w:rPr>
              <w:t xml:space="preserve"> </w:t>
            </w:r>
            <w:r w:rsidR="00A8443E" w:rsidRPr="00027624">
              <w:rPr>
                <w:color w:val="auto"/>
                <w:sz w:val="18"/>
                <w:szCs w:val="18"/>
              </w:rPr>
              <w:noBreakHyphen/>
            </w:r>
            <w:r w:rsidRPr="00027624">
              <w:rPr>
                <w:color w:val="auto"/>
                <w:sz w:val="18"/>
                <w:szCs w:val="18"/>
              </w:rPr>
              <w:t xml:space="preserve">0.0859 </w:t>
            </w:r>
          </w:p>
        </w:tc>
        <w:tc>
          <w:tcPr>
            <w:tcW w:w="1754" w:type="dxa"/>
            <w:shd w:val="clear" w:color="auto" w:fill="auto"/>
          </w:tcPr>
          <w:p w14:paraId="03E189C5" w14:textId="77777777" w:rsidR="00E96B29" w:rsidRPr="00027624" w:rsidRDefault="00E96B29" w:rsidP="00E96B29">
            <w:pPr>
              <w:pStyle w:val="TableGraphic"/>
              <w:rPr>
                <w:color w:val="auto"/>
                <w:sz w:val="18"/>
                <w:szCs w:val="18"/>
              </w:rPr>
            </w:pPr>
            <w:r w:rsidRPr="00027624">
              <w:rPr>
                <w:color w:val="auto"/>
                <w:sz w:val="18"/>
                <w:szCs w:val="18"/>
              </w:rPr>
              <w:t xml:space="preserve"> 0.0967 </w:t>
            </w:r>
          </w:p>
        </w:tc>
        <w:tc>
          <w:tcPr>
            <w:tcW w:w="1754" w:type="dxa"/>
            <w:shd w:val="clear" w:color="auto" w:fill="auto"/>
          </w:tcPr>
          <w:p w14:paraId="7E6F0322" w14:textId="77777777" w:rsidR="00E96B29" w:rsidRPr="00027624" w:rsidRDefault="00E96B29" w:rsidP="00E96B29">
            <w:pPr>
              <w:pStyle w:val="TableGraphic"/>
              <w:rPr>
                <w:color w:val="auto"/>
                <w:sz w:val="18"/>
                <w:szCs w:val="18"/>
              </w:rPr>
            </w:pPr>
            <w:r w:rsidRPr="00027624">
              <w:rPr>
                <w:color w:val="auto"/>
                <w:sz w:val="18"/>
                <w:szCs w:val="18"/>
              </w:rPr>
              <w:t>0.375</w:t>
            </w:r>
          </w:p>
        </w:tc>
      </w:tr>
      <w:tr w:rsidR="00E96B29" w:rsidRPr="00027624" w14:paraId="318E8090" w14:textId="77777777" w:rsidTr="00F50C51">
        <w:tc>
          <w:tcPr>
            <w:tcW w:w="2818" w:type="dxa"/>
            <w:shd w:val="clear" w:color="auto" w:fill="auto"/>
          </w:tcPr>
          <w:p w14:paraId="1871433A" w14:textId="77777777" w:rsidR="00E96B29" w:rsidRPr="00027624" w:rsidRDefault="00E96B29" w:rsidP="00E96B29">
            <w:pPr>
              <w:pStyle w:val="TableGraphic"/>
              <w:rPr>
                <w:color w:val="auto"/>
                <w:sz w:val="18"/>
                <w:szCs w:val="18"/>
              </w:rPr>
            </w:pPr>
            <w:r w:rsidRPr="00027624">
              <w:rPr>
                <w:color w:val="auto"/>
                <w:sz w:val="18"/>
                <w:szCs w:val="18"/>
              </w:rPr>
              <w:t xml:space="preserve">Couple renter </w:t>
            </w:r>
          </w:p>
        </w:tc>
        <w:tc>
          <w:tcPr>
            <w:tcW w:w="1754" w:type="dxa"/>
            <w:shd w:val="clear" w:color="auto" w:fill="auto"/>
            <w:vAlign w:val="bottom"/>
          </w:tcPr>
          <w:p w14:paraId="4C2CD758" w14:textId="77777777" w:rsidR="00E96B29" w:rsidRPr="00027624" w:rsidRDefault="00E96B29" w:rsidP="00E96B29">
            <w:pPr>
              <w:pStyle w:val="TableGraphic"/>
              <w:rPr>
                <w:color w:val="auto"/>
                <w:sz w:val="18"/>
                <w:szCs w:val="18"/>
              </w:rPr>
            </w:pPr>
            <w:r w:rsidRPr="00027624">
              <w:rPr>
                <w:color w:val="auto"/>
                <w:sz w:val="18"/>
                <w:szCs w:val="18"/>
              </w:rPr>
              <w:t xml:space="preserve"> 0.270 </w:t>
            </w:r>
          </w:p>
        </w:tc>
        <w:tc>
          <w:tcPr>
            <w:tcW w:w="1754" w:type="dxa"/>
            <w:shd w:val="clear" w:color="auto" w:fill="auto"/>
          </w:tcPr>
          <w:p w14:paraId="6F4E2B8C" w14:textId="77777777" w:rsidR="00E96B29" w:rsidRPr="00027624" w:rsidRDefault="00E96B29" w:rsidP="00E96B29">
            <w:pPr>
              <w:pStyle w:val="TableGraphic"/>
              <w:rPr>
                <w:color w:val="auto"/>
                <w:sz w:val="18"/>
                <w:szCs w:val="18"/>
              </w:rPr>
            </w:pPr>
            <w:r w:rsidRPr="00027624">
              <w:rPr>
                <w:color w:val="auto"/>
                <w:sz w:val="18"/>
                <w:szCs w:val="18"/>
              </w:rPr>
              <w:t xml:space="preserve"> 0.0925 </w:t>
            </w:r>
          </w:p>
        </w:tc>
        <w:tc>
          <w:tcPr>
            <w:tcW w:w="1754" w:type="dxa"/>
            <w:shd w:val="clear" w:color="auto" w:fill="auto"/>
          </w:tcPr>
          <w:p w14:paraId="24E99F3C" w14:textId="77777777" w:rsidR="00E96B29" w:rsidRPr="00027624" w:rsidRDefault="00E96B29" w:rsidP="00E96B29">
            <w:pPr>
              <w:pStyle w:val="TableGraphic"/>
              <w:rPr>
                <w:color w:val="auto"/>
                <w:sz w:val="18"/>
                <w:szCs w:val="18"/>
              </w:rPr>
            </w:pPr>
            <w:r w:rsidRPr="00027624">
              <w:rPr>
                <w:color w:val="auto"/>
                <w:sz w:val="18"/>
                <w:szCs w:val="18"/>
              </w:rPr>
              <w:t>0.004***</w:t>
            </w:r>
          </w:p>
        </w:tc>
      </w:tr>
      <w:tr w:rsidR="00E96B29" w:rsidRPr="00027624" w14:paraId="0AB7DE78" w14:textId="77777777" w:rsidTr="00F50C51">
        <w:tc>
          <w:tcPr>
            <w:tcW w:w="2818" w:type="dxa"/>
            <w:shd w:val="clear" w:color="auto" w:fill="auto"/>
          </w:tcPr>
          <w:p w14:paraId="42E6DDE4" w14:textId="77777777" w:rsidR="00E96B29" w:rsidRPr="00027624" w:rsidRDefault="00E96B29" w:rsidP="00E96B29">
            <w:pPr>
              <w:pStyle w:val="TableGraphic"/>
              <w:rPr>
                <w:color w:val="auto"/>
                <w:sz w:val="18"/>
                <w:szCs w:val="18"/>
              </w:rPr>
            </w:pPr>
            <w:r w:rsidRPr="00027624">
              <w:rPr>
                <w:color w:val="auto"/>
                <w:sz w:val="18"/>
                <w:szCs w:val="18"/>
              </w:rPr>
              <w:t xml:space="preserve">Dependants </w:t>
            </w:r>
          </w:p>
        </w:tc>
        <w:tc>
          <w:tcPr>
            <w:tcW w:w="1754" w:type="dxa"/>
            <w:shd w:val="clear" w:color="auto" w:fill="auto"/>
            <w:vAlign w:val="bottom"/>
          </w:tcPr>
          <w:p w14:paraId="2DDB5BE8" w14:textId="77777777" w:rsidR="00E96B29" w:rsidRPr="00027624" w:rsidRDefault="00E96B29" w:rsidP="00E96B29">
            <w:pPr>
              <w:pStyle w:val="TableGraphic"/>
              <w:rPr>
                <w:color w:val="auto"/>
                <w:sz w:val="18"/>
                <w:szCs w:val="18"/>
              </w:rPr>
            </w:pPr>
            <w:r w:rsidRPr="00027624">
              <w:rPr>
                <w:color w:val="auto"/>
                <w:sz w:val="18"/>
                <w:szCs w:val="18"/>
              </w:rPr>
              <w:t xml:space="preserve"> 0.127 </w:t>
            </w:r>
          </w:p>
        </w:tc>
        <w:tc>
          <w:tcPr>
            <w:tcW w:w="1754" w:type="dxa"/>
            <w:shd w:val="clear" w:color="auto" w:fill="auto"/>
          </w:tcPr>
          <w:p w14:paraId="53619238" w14:textId="77777777" w:rsidR="00E96B29" w:rsidRPr="00027624" w:rsidRDefault="00E96B29" w:rsidP="00E96B29">
            <w:pPr>
              <w:pStyle w:val="TableGraphic"/>
              <w:rPr>
                <w:color w:val="auto"/>
                <w:sz w:val="18"/>
                <w:szCs w:val="18"/>
              </w:rPr>
            </w:pPr>
            <w:r w:rsidRPr="00027624">
              <w:rPr>
                <w:color w:val="auto"/>
                <w:sz w:val="18"/>
                <w:szCs w:val="18"/>
              </w:rPr>
              <w:t xml:space="preserve"> 0.0635 </w:t>
            </w:r>
          </w:p>
        </w:tc>
        <w:tc>
          <w:tcPr>
            <w:tcW w:w="1754" w:type="dxa"/>
            <w:shd w:val="clear" w:color="auto" w:fill="auto"/>
          </w:tcPr>
          <w:p w14:paraId="61335E5C" w14:textId="77777777" w:rsidR="00E96B29" w:rsidRPr="00027624" w:rsidRDefault="00E96B29" w:rsidP="00E96B29">
            <w:pPr>
              <w:pStyle w:val="TableGraphic"/>
              <w:rPr>
                <w:color w:val="auto"/>
                <w:sz w:val="18"/>
                <w:szCs w:val="18"/>
              </w:rPr>
            </w:pPr>
            <w:r w:rsidRPr="00027624">
              <w:rPr>
                <w:color w:val="auto"/>
                <w:sz w:val="18"/>
                <w:szCs w:val="18"/>
              </w:rPr>
              <w:t>0.046**</w:t>
            </w:r>
          </w:p>
        </w:tc>
      </w:tr>
      <w:tr w:rsidR="00E96B29" w:rsidRPr="00027624" w14:paraId="18E4728F" w14:textId="77777777" w:rsidTr="00F50C51">
        <w:tc>
          <w:tcPr>
            <w:tcW w:w="2818" w:type="dxa"/>
            <w:shd w:val="clear" w:color="auto" w:fill="auto"/>
          </w:tcPr>
          <w:p w14:paraId="4ADE5C6A" w14:textId="77777777" w:rsidR="00E96B29" w:rsidRPr="00027624" w:rsidRDefault="00E96B29" w:rsidP="00E96B29">
            <w:pPr>
              <w:pStyle w:val="TableGraphic"/>
              <w:rPr>
                <w:color w:val="auto"/>
                <w:sz w:val="18"/>
                <w:szCs w:val="18"/>
              </w:rPr>
            </w:pPr>
            <w:r w:rsidRPr="00027624">
              <w:rPr>
                <w:color w:val="auto"/>
                <w:sz w:val="18"/>
                <w:szCs w:val="18"/>
              </w:rPr>
              <w:t xml:space="preserve">Mortgage </w:t>
            </w:r>
          </w:p>
        </w:tc>
        <w:tc>
          <w:tcPr>
            <w:tcW w:w="1754" w:type="dxa"/>
            <w:shd w:val="clear" w:color="auto" w:fill="auto"/>
            <w:vAlign w:val="bottom"/>
          </w:tcPr>
          <w:p w14:paraId="4F8C1889" w14:textId="77777777" w:rsidR="00E96B29" w:rsidRPr="00027624" w:rsidRDefault="00E96B29" w:rsidP="00E96B29">
            <w:pPr>
              <w:pStyle w:val="TableGraphic"/>
              <w:rPr>
                <w:color w:val="auto"/>
                <w:sz w:val="18"/>
                <w:szCs w:val="18"/>
              </w:rPr>
            </w:pPr>
            <w:r w:rsidRPr="00027624">
              <w:rPr>
                <w:color w:val="auto"/>
                <w:sz w:val="18"/>
                <w:szCs w:val="18"/>
              </w:rPr>
              <w:t xml:space="preserve"> 0.345 </w:t>
            </w:r>
          </w:p>
        </w:tc>
        <w:tc>
          <w:tcPr>
            <w:tcW w:w="1754" w:type="dxa"/>
            <w:shd w:val="clear" w:color="auto" w:fill="auto"/>
          </w:tcPr>
          <w:p w14:paraId="4C962B4B" w14:textId="77777777" w:rsidR="00E96B29" w:rsidRPr="00027624" w:rsidRDefault="00E96B29" w:rsidP="00E96B29">
            <w:pPr>
              <w:pStyle w:val="TableGraphic"/>
              <w:rPr>
                <w:color w:val="auto"/>
                <w:sz w:val="18"/>
                <w:szCs w:val="18"/>
              </w:rPr>
            </w:pPr>
            <w:r w:rsidRPr="00027624">
              <w:rPr>
                <w:color w:val="auto"/>
                <w:sz w:val="18"/>
                <w:szCs w:val="18"/>
              </w:rPr>
              <w:t xml:space="preserve"> 0.0745 </w:t>
            </w:r>
          </w:p>
        </w:tc>
        <w:tc>
          <w:tcPr>
            <w:tcW w:w="1754" w:type="dxa"/>
            <w:shd w:val="clear" w:color="auto" w:fill="auto"/>
          </w:tcPr>
          <w:p w14:paraId="3807A8D3" w14:textId="77777777" w:rsidR="00E96B29" w:rsidRPr="00027624" w:rsidRDefault="00E96B29" w:rsidP="00E96B29">
            <w:pPr>
              <w:pStyle w:val="TableGraphic"/>
              <w:rPr>
                <w:color w:val="auto"/>
                <w:sz w:val="18"/>
                <w:szCs w:val="18"/>
              </w:rPr>
            </w:pPr>
            <w:r w:rsidRPr="00027624">
              <w:rPr>
                <w:color w:val="auto"/>
                <w:sz w:val="18"/>
                <w:szCs w:val="18"/>
              </w:rPr>
              <w:t xml:space="preserve">0.000*** </w:t>
            </w:r>
          </w:p>
        </w:tc>
      </w:tr>
      <w:tr w:rsidR="00E96B29" w:rsidRPr="00027624" w14:paraId="709AD50D" w14:textId="77777777" w:rsidTr="00F50C51">
        <w:tc>
          <w:tcPr>
            <w:tcW w:w="2818" w:type="dxa"/>
            <w:shd w:val="clear" w:color="auto" w:fill="auto"/>
          </w:tcPr>
          <w:p w14:paraId="0F0B8B81" w14:textId="77777777" w:rsidR="00E96B29" w:rsidRPr="00027624" w:rsidRDefault="00E96B29" w:rsidP="00E96B29">
            <w:pPr>
              <w:pStyle w:val="TableGraphic"/>
              <w:rPr>
                <w:color w:val="auto"/>
                <w:sz w:val="18"/>
                <w:szCs w:val="18"/>
              </w:rPr>
            </w:pPr>
            <w:r w:rsidRPr="00027624">
              <w:rPr>
                <w:color w:val="auto"/>
                <w:sz w:val="18"/>
                <w:szCs w:val="18"/>
              </w:rPr>
              <w:t xml:space="preserve">Disability </w:t>
            </w:r>
          </w:p>
        </w:tc>
        <w:tc>
          <w:tcPr>
            <w:tcW w:w="1754" w:type="dxa"/>
            <w:shd w:val="clear" w:color="auto" w:fill="auto"/>
            <w:vAlign w:val="bottom"/>
          </w:tcPr>
          <w:p w14:paraId="48F38624" w14:textId="77777777" w:rsidR="00E96B29" w:rsidRPr="00027624" w:rsidRDefault="00E96B29" w:rsidP="00E96B29">
            <w:pPr>
              <w:pStyle w:val="TableGraphic"/>
              <w:rPr>
                <w:color w:val="auto"/>
                <w:sz w:val="18"/>
                <w:szCs w:val="18"/>
              </w:rPr>
            </w:pPr>
            <w:r w:rsidRPr="00027624">
              <w:rPr>
                <w:color w:val="auto"/>
                <w:sz w:val="18"/>
                <w:szCs w:val="18"/>
              </w:rPr>
              <w:t xml:space="preserve"> 0.575 </w:t>
            </w:r>
          </w:p>
        </w:tc>
        <w:tc>
          <w:tcPr>
            <w:tcW w:w="1754" w:type="dxa"/>
            <w:shd w:val="clear" w:color="auto" w:fill="auto"/>
          </w:tcPr>
          <w:p w14:paraId="416DE859" w14:textId="77777777" w:rsidR="00E96B29" w:rsidRPr="00027624" w:rsidRDefault="00E96B29" w:rsidP="00E96B29">
            <w:pPr>
              <w:pStyle w:val="TableGraphic"/>
              <w:rPr>
                <w:color w:val="auto"/>
                <w:sz w:val="18"/>
                <w:szCs w:val="18"/>
              </w:rPr>
            </w:pPr>
            <w:r w:rsidRPr="00027624">
              <w:rPr>
                <w:color w:val="auto"/>
                <w:sz w:val="18"/>
                <w:szCs w:val="18"/>
              </w:rPr>
              <w:t xml:space="preserve"> 0.0507 </w:t>
            </w:r>
          </w:p>
        </w:tc>
        <w:tc>
          <w:tcPr>
            <w:tcW w:w="1754" w:type="dxa"/>
            <w:shd w:val="clear" w:color="auto" w:fill="auto"/>
          </w:tcPr>
          <w:p w14:paraId="30776CEF" w14:textId="77777777" w:rsidR="00E96B29" w:rsidRPr="00027624" w:rsidRDefault="00E96B29" w:rsidP="00E96B29">
            <w:pPr>
              <w:pStyle w:val="TableGraphic"/>
              <w:rPr>
                <w:color w:val="auto"/>
                <w:sz w:val="18"/>
                <w:szCs w:val="18"/>
              </w:rPr>
            </w:pPr>
            <w:r w:rsidRPr="00027624">
              <w:rPr>
                <w:color w:val="auto"/>
                <w:sz w:val="18"/>
                <w:szCs w:val="18"/>
              </w:rPr>
              <w:t xml:space="preserve">0.000*** </w:t>
            </w:r>
          </w:p>
        </w:tc>
      </w:tr>
      <w:tr w:rsidR="00E96B29" w:rsidRPr="00027624" w14:paraId="4B67A778" w14:textId="77777777" w:rsidTr="00F50C51">
        <w:tc>
          <w:tcPr>
            <w:tcW w:w="2818" w:type="dxa"/>
            <w:shd w:val="clear" w:color="auto" w:fill="auto"/>
          </w:tcPr>
          <w:p w14:paraId="7EEC57D1" w14:textId="77777777" w:rsidR="00E96B29" w:rsidRPr="00027624" w:rsidRDefault="00E96B29" w:rsidP="00E96B29">
            <w:pPr>
              <w:pStyle w:val="TableGraphic"/>
              <w:rPr>
                <w:color w:val="auto"/>
                <w:sz w:val="18"/>
                <w:szCs w:val="18"/>
              </w:rPr>
            </w:pPr>
            <w:r w:rsidRPr="00027624">
              <w:rPr>
                <w:color w:val="auto"/>
                <w:sz w:val="18"/>
                <w:szCs w:val="18"/>
              </w:rPr>
              <w:t xml:space="preserve">Wealth quintile 1 </w:t>
            </w:r>
          </w:p>
        </w:tc>
        <w:tc>
          <w:tcPr>
            <w:tcW w:w="1754" w:type="dxa"/>
            <w:shd w:val="clear" w:color="auto" w:fill="auto"/>
            <w:vAlign w:val="bottom"/>
          </w:tcPr>
          <w:p w14:paraId="4BF1F61E" w14:textId="77777777" w:rsidR="00E96B29" w:rsidRPr="00027624" w:rsidRDefault="00E96B29" w:rsidP="00E96B29">
            <w:pPr>
              <w:pStyle w:val="TableGraphic"/>
              <w:rPr>
                <w:color w:val="auto"/>
                <w:sz w:val="18"/>
                <w:szCs w:val="18"/>
              </w:rPr>
            </w:pPr>
            <w:r w:rsidRPr="00027624">
              <w:rPr>
                <w:color w:val="auto"/>
                <w:sz w:val="18"/>
                <w:szCs w:val="18"/>
              </w:rPr>
              <w:t xml:space="preserve"> </w:t>
            </w:r>
            <w:r w:rsidR="00A8443E" w:rsidRPr="00027624">
              <w:rPr>
                <w:color w:val="auto"/>
                <w:sz w:val="18"/>
                <w:szCs w:val="18"/>
              </w:rPr>
              <w:noBreakHyphen/>
            </w:r>
            <w:r w:rsidRPr="00027624">
              <w:rPr>
                <w:color w:val="auto"/>
                <w:sz w:val="18"/>
                <w:szCs w:val="18"/>
              </w:rPr>
              <w:t xml:space="preserve">0.00000202 </w:t>
            </w:r>
          </w:p>
        </w:tc>
        <w:tc>
          <w:tcPr>
            <w:tcW w:w="1754" w:type="dxa"/>
            <w:shd w:val="clear" w:color="auto" w:fill="auto"/>
          </w:tcPr>
          <w:p w14:paraId="1C7BCD38" w14:textId="77777777" w:rsidR="00E96B29" w:rsidRPr="00027624" w:rsidRDefault="00E96B29" w:rsidP="00E96B29">
            <w:pPr>
              <w:pStyle w:val="TableGraphic"/>
              <w:rPr>
                <w:color w:val="auto"/>
                <w:sz w:val="18"/>
                <w:szCs w:val="18"/>
              </w:rPr>
            </w:pPr>
            <w:r w:rsidRPr="00027624">
              <w:rPr>
                <w:color w:val="auto"/>
                <w:sz w:val="18"/>
                <w:szCs w:val="18"/>
              </w:rPr>
              <w:t xml:space="preserve"> 0.00000208 </w:t>
            </w:r>
          </w:p>
        </w:tc>
        <w:tc>
          <w:tcPr>
            <w:tcW w:w="1754" w:type="dxa"/>
            <w:shd w:val="clear" w:color="auto" w:fill="auto"/>
          </w:tcPr>
          <w:p w14:paraId="547C9B89" w14:textId="77777777" w:rsidR="00E96B29" w:rsidRPr="00027624" w:rsidRDefault="00E96B29" w:rsidP="00E96B29">
            <w:pPr>
              <w:pStyle w:val="TableGraphic"/>
              <w:rPr>
                <w:color w:val="auto"/>
                <w:sz w:val="18"/>
                <w:szCs w:val="18"/>
              </w:rPr>
            </w:pPr>
            <w:r w:rsidRPr="00027624">
              <w:rPr>
                <w:color w:val="auto"/>
                <w:sz w:val="18"/>
                <w:szCs w:val="18"/>
              </w:rPr>
              <w:t>0.332</w:t>
            </w:r>
          </w:p>
        </w:tc>
      </w:tr>
      <w:tr w:rsidR="00E96B29" w:rsidRPr="00027624" w14:paraId="775922D6" w14:textId="77777777" w:rsidTr="00F50C51">
        <w:tc>
          <w:tcPr>
            <w:tcW w:w="2818" w:type="dxa"/>
            <w:shd w:val="clear" w:color="auto" w:fill="auto"/>
          </w:tcPr>
          <w:p w14:paraId="6290721F" w14:textId="77777777" w:rsidR="00E96B29" w:rsidRPr="00027624" w:rsidRDefault="00E96B29" w:rsidP="00E96B29">
            <w:pPr>
              <w:pStyle w:val="TableGraphic"/>
              <w:rPr>
                <w:color w:val="auto"/>
                <w:sz w:val="18"/>
                <w:szCs w:val="18"/>
              </w:rPr>
            </w:pPr>
            <w:r w:rsidRPr="00027624">
              <w:rPr>
                <w:color w:val="auto"/>
                <w:sz w:val="18"/>
                <w:szCs w:val="18"/>
              </w:rPr>
              <w:t xml:space="preserve">Wealth quintile 2 </w:t>
            </w:r>
          </w:p>
        </w:tc>
        <w:tc>
          <w:tcPr>
            <w:tcW w:w="1754" w:type="dxa"/>
            <w:shd w:val="clear" w:color="auto" w:fill="auto"/>
            <w:vAlign w:val="bottom"/>
          </w:tcPr>
          <w:p w14:paraId="5A76ECB2" w14:textId="77777777" w:rsidR="00E96B29" w:rsidRPr="00027624" w:rsidRDefault="00A8443E" w:rsidP="00E96B29">
            <w:pPr>
              <w:pStyle w:val="TableGraphic"/>
              <w:rPr>
                <w:color w:val="auto"/>
                <w:sz w:val="18"/>
                <w:szCs w:val="18"/>
              </w:rPr>
            </w:pPr>
            <w:r w:rsidRPr="00027624">
              <w:rPr>
                <w:color w:val="auto"/>
                <w:sz w:val="18"/>
                <w:szCs w:val="18"/>
              </w:rPr>
              <w:noBreakHyphen/>
            </w:r>
            <w:r w:rsidR="00E96B29" w:rsidRPr="00027624">
              <w:rPr>
                <w:color w:val="auto"/>
                <w:sz w:val="18"/>
                <w:szCs w:val="18"/>
              </w:rPr>
              <w:t xml:space="preserve">0.00000258 </w:t>
            </w:r>
          </w:p>
        </w:tc>
        <w:tc>
          <w:tcPr>
            <w:tcW w:w="1754" w:type="dxa"/>
            <w:shd w:val="clear" w:color="auto" w:fill="auto"/>
          </w:tcPr>
          <w:p w14:paraId="1F6355E9" w14:textId="77777777" w:rsidR="00E96B29" w:rsidRPr="00027624" w:rsidRDefault="00E96B29" w:rsidP="00E96B29">
            <w:pPr>
              <w:pStyle w:val="TableGraphic"/>
              <w:rPr>
                <w:color w:val="auto"/>
                <w:sz w:val="18"/>
                <w:szCs w:val="18"/>
              </w:rPr>
            </w:pPr>
            <w:r w:rsidRPr="00027624">
              <w:rPr>
                <w:color w:val="auto"/>
                <w:sz w:val="18"/>
                <w:szCs w:val="18"/>
              </w:rPr>
              <w:t>0.000000414</w:t>
            </w:r>
          </w:p>
        </w:tc>
        <w:tc>
          <w:tcPr>
            <w:tcW w:w="1754" w:type="dxa"/>
            <w:shd w:val="clear" w:color="auto" w:fill="auto"/>
          </w:tcPr>
          <w:p w14:paraId="40E39F0A" w14:textId="77777777" w:rsidR="00E96B29" w:rsidRPr="00027624" w:rsidRDefault="00E96B29" w:rsidP="00E96B29">
            <w:pPr>
              <w:pStyle w:val="TableGraphic"/>
              <w:rPr>
                <w:color w:val="auto"/>
                <w:sz w:val="18"/>
                <w:szCs w:val="18"/>
              </w:rPr>
            </w:pPr>
            <w:r w:rsidRPr="00027624">
              <w:rPr>
                <w:color w:val="auto"/>
                <w:sz w:val="18"/>
                <w:szCs w:val="18"/>
              </w:rPr>
              <w:t>0.000***</w:t>
            </w:r>
          </w:p>
        </w:tc>
      </w:tr>
      <w:tr w:rsidR="00E96B29" w:rsidRPr="00027624" w14:paraId="6C42B446" w14:textId="77777777" w:rsidTr="00F50C51">
        <w:tc>
          <w:tcPr>
            <w:tcW w:w="2818" w:type="dxa"/>
            <w:shd w:val="clear" w:color="auto" w:fill="auto"/>
          </w:tcPr>
          <w:p w14:paraId="319A74A3" w14:textId="77777777" w:rsidR="00E96B29" w:rsidRPr="00027624" w:rsidRDefault="00E96B29" w:rsidP="00E96B29">
            <w:pPr>
              <w:pStyle w:val="TableGraphic"/>
              <w:rPr>
                <w:color w:val="auto"/>
                <w:sz w:val="18"/>
                <w:szCs w:val="18"/>
              </w:rPr>
            </w:pPr>
            <w:r w:rsidRPr="00027624">
              <w:rPr>
                <w:color w:val="auto"/>
                <w:sz w:val="18"/>
                <w:szCs w:val="18"/>
              </w:rPr>
              <w:t xml:space="preserve">Wealth quintile 3 </w:t>
            </w:r>
          </w:p>
        </w:tc>
        <w:tc>
          <w:tcPr>
            <w:tcW w:w="1754" w:type="dxa"/>
            <w:shd w:val="clear" w:color="auto" w:fill="auto"/>
            <w:vAlign w:val="bottom"/>
          </w:tcPr>
          <w:p w14:paraId="0D7965AA" w14:textId="77777777" w:rsidR="00E96B29" w:rsidRPr="00027624" w:rsidRDefault="00A8443E" w:rsidP="00E96B29">
            <w:pPr>
              <w:pStyle w:val="TableGraphic"/>
              <w:rPr>
                <w:color w:val="auto"/>
                <w:sz w:val="18"/>
                <w:szCs w:val="18"/>
              </w:rPr>
            </w:pPr>
            <w:r w:rsidRPr="00027624">
              <w:rPr>
                <w:color w:val="auto"/>
                <w:sz w:val="18"/>
                <w:szCs w:val="18"/>
              </w:rPr>
              <w:noBreakHyphen/>
            </w:r>
            <w:r w:rsidR="00E96B29" w:rsidRPr="00027624">
              <w:rPr>
                <w:color w:val="auto"/>
                <w:sz w:val="18"/>
                <w:szCs w:val="18"/>
              </w:rPr>
              <w:t xml:space="preserve">0.00000169 </w:t>
            </w:r>
          </w:p>
        </w:tc>
        <w:tc>
          <w:tcPr>
            <w:tcW w:w="1754" w:type="dxa"/>
            <w:shd w:val="clear" w:color="auto" w:fill="auto"/>
          </w:tcPr>
          <w:p w14:paraId="053DD313" w14:textId="77777777" w:rsidR="00E96B29" w:rsidRPr="00027624" w:rsidRDefault="00E96B29" w:rsidP="00E96B29">
            <w:pPr>
              <w:pStyle w:val="TableGraphic"/>
              <w:rPr>
                <w:color w:val="auto"/>
                <w:sz w:val="18"/>
                <w:szCs w:val="18"/>
              </w:rPr>
            </w:pPr>
            <w:r w:rsidRPr="00027624">
              <w:rPr>
                <w:color w:val="auto"/>
                <w:sz w:val="18"/>
                <w:szCs w:val="18"/>
              </w:rPr>
              <w:t>0.000000211</w:t>
            </w:r>
          </w:p>
        </w:tc>
        <w:tc>
          <w:tcPr>
            <w:tcW w:w="1754" w:type="dxa"/>
            <w:shd w:val="clear" w:color="auto" w:fill="auto"/>
          </w:tcPr>
          <w:p w14:paraId="2FD728BD" w14:textId="77777777" w:rsidR="00E96B29" w:rsidRPr="00027624" w:rsidRDefault="00E96B29" w:rsidP="00E96B29">
            <w:pPr>
              <w:pStyle w:val="TableGraphic"/>
              <w:rPr>
                <w:color w:val="auto"/>
                <w:sz w:val="18"/>
                <w:szCs w:val="18"/>
              </w:rPr>
            </w:pPr>
            <w:r w:rsidRPr="00027624">
              <w:rPr>
                <w:color w:val="auto"/>
                <w:sz w:val="18"/>
                <w:szCs w:val="18"/>
              </w:rPr>
              <w:t>0.000***</w:t>
            </w:r>
          </w:p>
        </w:tc>
      </w:tr>
      <w:tr w:rsidR="00E96B29" w:rsidRPr="00027624" w14:paraId="6CCA56BA" w14:textId="77777777" w:rsidTr="00F50C51">
        <w:tc>
          <w:tcPr>
            <w:tcW w:w="2818" w:type="dxa"/>
            <w:shd w:val="clear" w:color="auto" w:fill="auto"/>
          </w:tcPr>
          <w:p w14:paraId="560AC48F" w14:textId="77777777" w:rsidR="00E96B29" w:rsidRPr="00027624" w:rsidRDefault="00E96B29" w:rsidP="00E96B29">
            <w:pPr>
              <w:pStyle w:val="TableGraphic"/>
              <w:rPr>
                <w:color w:val="auto"/>
                <w:sz w:val="18"/>
                <w:szCs w:val="18"/>
              </w:rPr>
            </w:pPr>
            <w:r w:rsidRPr="00027624">
              <w:rPr>
                <w:color w:val="auto"/>
                <w:sz w:val="18"/>
                <w:szCs w:val="18"/>
              </w:rPr>
              <w:t xml:space="preserve">Wealth quintile 4 </w:t>
            </w:r>
          </w:p>
        </w:tc>
        <w:tc>
          <w:tcPr>
            <w:tcW w:w="1754" w:type="dxa"/>
            <w:shd w:val="clear" w:color="auto" w:fill="auto"/>
            <w:vAlign w:val="bottom"/>
          </w:tcPr>
          <w:p w14:paraId="762387C6" w14:textId="77777777" w:rsidR="00E96B29" w:rsidRPr="00027624" w:rsidRDefault="00A8443E" w:rsidP="00E96B29">
            <w:pPr>
              <w:pStyle w:val="TableGraphic"/>
              <w:rPr>
                <w:color w:val="auto"/>
                <w:sz w:val="18"/>
                <w:szCs w:val="18"/>
              </w:rPr>
            </w:pPr>
            <w:r w:rsidRPr="00027624">
              <w:rPr>
                <w:color w:val="auto"/>
                <w:sz w:val="18"/>
                <w:szCs w:val="18"/>
              </w:rPr>
              <w:noBreakHyphen/>
            </w:r>
            <w:r w:rsidR="00E96B29" w:rsidRPr="00027624">
              <w:rPr>
                <w:color w:val="auto"/>
                <w:sz w:val="18"/>
                <w:szCs w:val="18"/>
              </w:rPr>
              <w:t xml:space="preserve">0.00000130 </w:t>
            </w:r>
          </w:p>
        </w:tc>
        <w:tc>
          <w:tcPr>
            <w:tcW w:w="1754" w:type="dxa"/>
            <w:shd w:val="clear" w:color="auto" w:fill="auto"/>
          </w:tcPr>
          <w:p w14:paraId="4C1CB15D" w14:textId="77777777" w:rsidR="00E96B29" w:rsidRPr="00027624" w:rsidRDefault="00E96B29" w:rsidP="00E96B29">
            <w:pPr>
              <w:pStyle w:val="TableGraphic"/>
              <w:rPr>
                <w:color w:val="auto"/>
                <w:sz w:val="18"/>
                <w:szCs w:val="18"/>
              </w:rPr>
            </w:pPr>
            <w:r w:rsidRPr="00027624">
              <w:rPr>
                <w:color w:val="auto"/>
                <w:sz w:val="18"/>
                <w:szCs w:val="18"/>
              </w:rPr>
              <w:t>0.000000140</w:t>
            </w:r>
          </w:p>
        </w:tc>
        <w:tc>
          <w:tcPr>
            <w:tcW w:w="1754" w:type="dxa"/>
            <w:shd w:val="clear" w:color="auto" w:fill="auto"/>
          </w:tcPr>
          <w:p w14:paraId="03CD0F23" w14:textId="77777777" w:rsidR="00E96B29" w:rsidRPr="00027624" w:rsidRDefault="00E96B29" w:rsidP="00E96B29">
            <w:pPr>
              <w:pStyle w:val="TableGraphic"/>
              <w:rPr>
                <w:color w:val="auto"/>
                <w:sz w:val="18"/>
                <w:szCs w:val="18"/>
              </w:rPr>
            </w:pPr>
            <w:r w:rsidRPr="00027624">
              <w:rPr>
                <w:color w:val="auto"/>
                <w:sz w:val="18"/>
                <w:szCs w:val="18"/>
              </w:rPr>
              <w:t>0.000***</w:t>
            </w:r>
          </w:p>
        </w:tc>
      </w:tr>
      <w:tr w:rsidR="00E96B29" w:rsidRPr="00027624" w14:paraId="5D8D7EA0" w14:textId="77777777" w:rsidTr="00F50C51">
        <w:tc>
          <w:tcPr>
            <w:tcW w:w="2818" w:type="dxa"/>
            <w:shd w:val="clear" w:color="auto" w:fill="auto"/>
          </w:tcPr>
          <w:p w14:paraId="296E136F" w14:textId="77777777" w:rsidR="00E96B29" w:rsidRPr="00027624" w:rsidRDefault="00E96B29" w:rsidP="00E96B29">
            <w:pPr>
              <w:pStyle w:val="TableGraphic"/>
              <w:rPr>
                <w:color w:val="auto"/>
                <w:sz w:val="18"/>
                <w:szCs w:val="18"/>
              </w:rPr>
            </w:pPr>
            <w:r w:rsidRPr="00027624">
              <w:rPr>
                <w:color w:val="auto"/>
                <w:sz w:val="18"/>
                <w:szCs w:val="18"/>
              </w:rPr>
              <w:t xml:space="preserve">Wealth quintile 5 </w:t>
            </w:r>
          </w:p>
        </w:tc>
        <w:tc>
          <w:tcPr>
            <w:tcW w:w="1754" w:type="dxa"/>
            <w:shd w:val="clear" w:color="auto" w:fill="auto"/>
            <w:vAlign w:val="bottom"/>
          </w:tcPr>
          <w:p w14:paraId="7EEC5885" w14:textId="77777777" w:rsidR="00E96B29" w:rsidRPr="00027624" w:rsidRDefault="00A8443E" w:rsidP="00E96B29">
            <w:pPr>
              <w:pStyle w:val="TableGraphic"/>
              <w:rPr>
                <w:color w:val="auto"/>
                <w:sz w:val="18"/>
                <w:szCs w:val="18"/>
              </w:rPr>
            </w:pPr>
            <w:r w:rsidRPr="00027624">
              <w:rPr>
                <w:color w:val="auto"/>
                <w:sz w:val="18"/>
                <w:szCs w:val="18"/>
              </w:rPr>
              <w:noBreakHyphen/>
            </w:r>
            <w:r w:rsidR="00E96B29" w:rsidRPr="00027624">
              <w:rPr>
                <w:color w:val="auto"/>
                <w:sz w:val="18"/>
                <w:szCs w:val="18"/>
              </w:rPr>
              <w:t>0.000000851</w:t>
            </w:r>
          </w:p>
        </w:tc>
        <w:tc>
          <w:tcPr>
            <w:tcW w:w="1754" w:type="dxa"/>
            <w:shd w:val="clear" w:color="auto" w:fill="auto"/>
          </w:tcPr>
          <w:p w14:paraId="4C0CE64B" w14:textId="77777777" w:rsidR="00E96B29" w:rsidRPr="00027624" w:rsidRDefault="00E96B29" w:rsidP="00E96B29">
            <w:pPr>
              <w:pStyle w:val="TableGraphic"/>
              <w:rPr>
                <w:color w:val="auto"/>
                <w:sz w:val="18"/>
                <w:szCs w:val="18"/>
              </w:rPr>
            </w:pPr>
            <w:r w:rsidRPr="00027624">
              <w:rPr>
                <w:color w:val="auto"/>
                <w:sz w:val="18"/>
                <w:szCs w:val="18"/>
              </w:rPr>
              <w:t>0.000000103</w:t>
            </w:r>
          </w:p>
        </w:tc>
        <w:tc>
          <w:tcPr>
            <w:tcW w:w="1754" w:type="dxa"/>
            <w:shd w:val="clear" w:color="auto" w:fill="auto"/>
          </w:tcPr>
          <w:p w14:paraId="25EBAE61" w14:textId="77777777" w:rsidR="00E96B29" w:rsidRPr="00027624" w:rsidRDefault="00E96B29" w:rsidP="00E96B29">
            <w:pPr>
              <w:pStyle w:val="TableGraphic"/>
              <w:rPr>
                <w:color w:val="auto"/>
                <w:sz w:val="18"/>
                <w:szCs w:val="18"/>
              </w:rPr>
            </w:pPr>
            <w:r w:rsidRPr="00027624">
              <w:rPr>
                <w:color w:val="auto"/>
                <w:sz w:val="18"/>
                <w:szCs w:val="18"/>
              </w:rPr>
              <w:t>0.000***</w:t>
            </w:r>
          </w:p>
        </w:tc>
      </w:tr>
      <w:tr w:rsidR="00E96B29" w:rsidRPr="00027624" w14:paraId="40731A8C" w14:textId="77777777" w:rsidTr="00F50C51">
        <w:tc>
          <w:tcPr>
            <w:tcW w:w="2818" w:type="dxa"/>
            <w:shd w:val="clear" w:color="auto" w:fill="auto"/>
          </w:tcPr>
          <w:p w14:paraId="183FB398" w14:textId="77777777" w:rsidR="00E96B29" w:rsidRPr="00027624" w:rsidRDefault="00E96B29" w:rsidP="00E96B29">
            <w:pPr>
              <w:pStyle w:val="TableGraphic"/>
              <w:rPr>
                <w:color w:val="auto"/>
                <w:sz w:val="18"/>
                <w:szCs w:val="18"/>
              </w:rPr>
            </w:pPr>
          </w:p>
        </w:tc>
        <w:tc>
          <w:tcPr>
            <w:tcW w:w="1754" w:type="dxa"/>
            <w:shd w:val="clear" w:color="auto" w:fill="auto"/>
            <w:vAlign w:val="bottom"/>
          </w:tcPr>
          <w:p w14:paraId="5ED97E2C" w14:textId="77777777" w:rsidR="00E96B29" w:rsidRPr="00027624" w:rsidRDefault="00E96B29" w:rsidP="00E96B29">
            <w:pPr>
              <w:pStyle w:val="TableGraphic"/>
              <w:rPr>
                <w:color w:val="auto"/>
                <w:sz w:val="18"/>
                <w:szCs w:val="18"/>
              </w:rPr>
            </w:pPr>
          </w:p>
        </w:tc>
        <w:tc>
          <w:tcPr>
            <w:tcW w:w="1754" w:type="dxa"/>
            <w:shd w:val="clear" w:color="auto" w:fill="auto"/>
          </w:tcPr>
          <w:p w14:paraId="58CA416A" w14:textId="77777777" w:rsidR="00E96B29" w:rsidRPr="00027624" w:rsidRDefault="00E96B29" w:rsidP="00E96B29">
            <w:pPr>
              <w:pStyle w:val="TableGraphic"/>
              <w:rPr>
                <w:color w:val="auto"/>
                <w:sz w:val="18"/>
                <w:szCs w:val="18"/>
              </w:rPr>
            </w:pPr>
          </w:p>
        </w:tc>
        <w:tc>
          <w:tcPr>
            <w:tcW w:w="1754" w:type="dxa"/>
            <w:shd w:val="clear" w:color="auto" w:fill="auto"/>
          </w:tcPr>
          <w:p w14:paraId="623C5AC5" w14:textId="77777777" w:rsidR="00E96B29" w:rsidRPr="00027624" w:rsidRDefault="00E96B29" w:rsidP="00E96B29">
            <w:pPr>
              <w:pStyle w:val="TableGraphic"/>
              <w:rPr>
                <w:color w:val="auto"/>
                <w:sz w:val="18"/>
                <w:szCs w:val="18"/>
              </w:rPr>
            </w:pPr>
          </w:p>
        </w:tc>
      </w:tr>
      <w:tr w:rsidR="00E96B29" w:rsidRPr="00027624" w14:paraId="461D149D" w14:textId="77777777" w:rsidTr="00F50C51">
        <w:tc>
          <w:tcPr>
            <w:tcW w:w="2818" w:type="dxa"/>
            <w:shd w:val="clear" w:color="auto" w:fill="auto"/>
          </w:tcPr>
          <w:p w14:paraId="1ACE44AE" w14:textId="77777777" w:rsidR="00E96B29" w:rsidRPr="00027624" w:rsidRDefault="00E96B29" w:rsidP="00E96B29">
            <w:pPr>
              <w:pStyle w:val="TableGraphic"/>
              <w:rPr>
                <w:color w:val="auto"/>
                <w:sz w:val="18"/>
                <w:szCs w:val="18"/>
              </w:rPr>
            </w:pPr>
            <w:r w:rsidRPr="00027624">
              <w:rPr>
                <w:color w:val="auto"/>
                <w:sz w:val="18"/>
                <w:szCs w:val="18"/>
              </w:rPr>
              <w:t>N</w:t>
            </w:r>
          </w:p>
        </w:tc>
        <w:tc>
          <w:tcPr>
            <w:tcW w:w="1754" w:type="dxa"/>
            <w:shd w:val="clear" w:color="auto" w:fill="auto"/>
            <w:vAlign w:val="bottom"/>
          </w:tcPr>
          <w:p w14:paraId="762D7630" w14:textId="77777777" w:rsidR="00E96B29" w:rsidRPr="00027624" w:rsidRDefault="00E96B29" w:rsidP="00E96B29">
            <w:pPr>
              <w:pStyle w:val="TableGraphic"/>
              <w:rPr>
                <w:color w:val="auto"/>
                <w:sz w:val="18"/>
                <w:szCs w:val="18"/>
              </w:rPr>
            </w:pPr>
            <w:r w:rsidRPr="00027624">
              <w:rPr>
                <w:color w:val="auto"/>
                <w:sz w:val="18"/>
                <w:szCs w:val="18"/>
              </w:rPr>
              <w:t>10,019</w:t>
            </w:r>
          </w:p>
        </w:tc>
        <w:tc>
          <w:tcPr>
            <w:tcW w:w="1754" w:type="dxa"/>
            <w:shd w:val="clear" w:color="auto" w:fill="auto"/>
          </w:tcPr>
          <w:p w14:paraId="491C0B5E" w14:textId="77777777" w:rsidR="00E96B29" w:rsidRPr="00027624" w:rsidRDefault="00E96B29" w:rsidP="00E96B29">
            <w:pPr>
              <w:pStyle w:val="TableGraphic"/>
              <w:rPr>
                <w:color w:val="auto"/>
                <w:sz w:val="18"/>
                <w:szCs w:val="18"/>
              </w:rPr>
            </w:pPr>
          </w:p>
        </w:tc>
        <w:tc>
          <w:tcPr>
            <w:tcW w:w="1754" w:type="dxa"/>
            <w:shd w:val="clear" w:color="auto" w:fill="auto"/>
          </w:tcPr>
          <w:p w14:paraId="53ECFFC5" w14:textId="77777777" w:rsidR="00E96B29" w:rsidRPr="00027624" w:rsidRDefault="00E96B29" w:rsidP="00E96B29">
            <w:pPr>
              <w:pStyle w:val="TableGraphic"/>
              <w:rPr>
                <w:color w:val="auto"/>
                <w:sz w:val="18"/>
                <w:szCs w:val="18"/>
              </w:rPr>
            </w:pPr>
          </w:p>
        </w:tc>
      </w:tr>
      <w:tr w:rsidR="00E96B29" w:rsidRPr="00027624" w14:paraId="57BD118D" w14:textId="77777777" w:rsidTr="00F50C51">
        <w:tc>
          <w:tcPr>
            <w:tcW w:w="2818" w:type="dxa"/>
            <w:shd w:val="clear" w:color="auto" w:fill="auto"/>
          </w:tcPr>
          <w:p w14:paraId="64ACA206" w14:textId="77777777" w:rsidR="00E96B29" w:rsidRPr="00027624" w:rsidRDefault="00E96B29" w:rsidP="00E96B29">
            <w:pPr>
              <w:pStyle w:val="TableGraphic"/>
              <w:rPr>
                <w:color w:val="auto"/>
                <w:sz w:val="18"/>
                <w:szCs w:val="18"/>
              </w:rPr>
            </w:pPr>
            <w:r w:rsidRPr="00027624">
              <w:rPr>
                <w:color w:val="auto"/>
                <w:sz w:val="18"/>
                <w:szCs w:val="18"/>
              </w:rPr>
              <w:t>Nagelkerke Pseudo R</w:t>
            </w:r>
            <w:r w:rsidRPr="00027624">
              <w:rPr>
                <w:color w:val="auto"/>
                <w:sz w:val="18"/>
                <w:szCs w:val="18"/>
                <w:vertAlign w:val="superscript"/>
              </w:rPr>
              <w:t>2</w:t>
            </w:r>
          </w:p>
        </w:tc>
        <w:tc>
          <w:tcPr>
            <w:tcW w:w="1754" w:type="dxa"/>
            <w:shd w:val="clear" w:color="auto" w:fill="auto"/>
            <w:vAlign w:val="bottom"/>
          </w:tcPr>
          <w:p w14:paraId="4DD0BBF6" w14:textId="77777777" w:rsidR="00E96B29" w:rsidRPr="00027624" w:rsidRDefault="00E96B29" w:rsidP="00E96B29">
            <w:pPr>
              <w:pStyle w:val="TableGraphic"/>
              <w:rPr>
                <w:color w:val="auto"/>
                <w:sz w:val="18"/>
                <w:szCs w:val="18"/>
              </w:rPr>
            </w:pPr>
            <w:r w:rsidRPr="00027624">
              <w:rPr>
                <w:color w:val="auto"/>
                <w:sz w:val="18"/>
                <w:szCs w:val="18"/>
              </w:rPr>
              <w:t>0.280</w:t>
            </w:r>
          </w:p>
        </w:tc>
        <w:tc>
          <w:tcPr>
            <w:tcW w:w="1754" w:type="dxa"/>
            <w:shd w:val="clear" w:color="auto" w:fill="auto"/>
          </w:tcPr>
          <w:p w14:paraId="5BC7A8E7" w14:textId="77777777" w:rsidR="00E96B29" w:rsidRPr="00027624" w:rsidRDefault="00E96B29" w:rsidP="00E96B29">
            <w:pPr>
              <w:pStyle w:val="TableGraphic"/>
              <w:rPr>
                <w:color w:val="auto"/>
                <w:sz w:val="18"/>
                <w:szCs w:val="18"/>
              </w:rPr>
            </w:pPr>
          </w:p>
        </w:tc>
        <w:tc>
          <w:tcPr>
            <w:tcW w:w="1754" w:type="dxa"/>
            <w:shd w:val="clear" w:color="auto" w:fill="auto"/>
          </w:tcPr>
          <w:p w14:paraId="15A78C46" w14:textId="77777777" w:rsidR="00E96B29" w:rsidRPr="00027624" w:rsidRDefault="00E96B29" w:rsidP="00E96B29">
            <w:pPr>
              <w:pStyle w:val="TableGraphic"/>
              <w:rPr>
                <w:color w:val="auto"/>
                <w:sz w:val="18"/>
                <w:szCs w:val="18"/>
              </w:rPr>
            </w:pPr>
          </w:p>
        </w:tc>
      </w:tr>
    </w:tbl>
    <w:p w14:paraId="0B5729F0" w14:textId="77777777" w:rsidR="00E96B29" w:rsidRPr="00027624" w:rsidRDefault="00E96B29" w:rsidP="00E96B29">
      <w:pPr>
        <w:pStyle w:val="Heading4"/>
        <w:spacing w:before="120" w:after="240"/>
        <w:rPr>
          <w:rFonts w:cs="Times New Roman"/>
          <w:b w:val="0"/>
          <w:color w:val="auto"/>
          <w:kern w:val="0"/>
          <w:sz w:val="18"/>
          <w:szCs w:val="20"/>
        </w:rPr>
      </w:pPr>
      <w:r w:rsidRPr="00027624">
        <w:rPr>
          <w:rFonts w:cs="Times New Roman"/>
          <w:b w:val="0"/>
          <w:color w:val="auto"/>
          <w:kern w:val="0"/>
          <w:sz w:val="18"/>
          <w:szCs w:val="20"/>
        </w:rPr>
        <w:t>Note: Regression population weighted; ***, **, * denote statistical significance at the 1, 5 and 10 per cent levels, respectively. Source: Review estimate based on ABS Household Expenditure Survey 2016</w:t>
      </w:r>
      <w:r w:rsidR="00A8443E" w:rsidRPr="00027624">
        <w:rPr>
          <w:rFonts w:cs="Times New Roman"/>
          <w:b w:val="0"/>
          <w:color w:val="auto"/>
          <w:kern w:val="0"/>
          <w:sz w:val="18"/>
          <w:szCs w:val="20"/>
        </w:rPr>
        <w:noBreakHyphen/>
      </w:r>
      <w:r w:rsidRPr="00027624">
        <w:rPr>
          <w:rFonts w:cs="Times New Roman"/>
          <w:b w:val="0"/>
          <w:color w:val="auto"/>
          <w:kern w:val="0"/>
          <w:sz w:val="18"/>
          <w:szCs w:val="20"/>
        </w:rPr>
        <w:t>17.</w:t>
      </w:r>
    </w:p>
    <w:p w14:paraId="29F09C41" w14:textId="77777777" w:rsidR="00E96B29" w:rsidRPr="00027624" w:rsidRDefault="00E96B29" w:rsidP="00E96B29">
      <w:r w:rsidRPr="00027624">
        <w:t>To assess the average effect of a 40 per cent increase in the maximum rate of Commonwealth Rent Assistance, the marginal effect of retired renter income on financial stress was multiplied by the additional income provided. For the scenario tested, the marginal effect was calculated using 2015</w:t>
      </w:r>
      <w:r w:rsidR="00A8443E" w:rsidRPr="00027624">
        <w:noBreakHyphen/>
      </w:r>
      <w:r w:rsidRPr="00027624">
        <w:t>16 data by the additional income in 2020 of $27.92 per week (rounded to $28 for reporting in the rest of the review).</w:t>
      </w:r>
    </w:p>
    <w:p w14:paraId="0EA728B5" w14:textId="1FEDF6EA" w:rsidR="00E96B29" w:rsidRPr="00027624" w:rsidRDefault="00E96B29" w:rsidP="00E96B29">
      <w:r w:rsidRPr="00027624">
        <w:t>As probit models are not linear, marginal effects must be estimated at specific values of the other explanatory variables. Marginal effects of changes to retired renter income as a result of the Commonwealth Rent Assistance increase were estimated separately for single renters and couple renters using the median values of the other explanatory variables (</w:t>
      </w:r>
      <w:r w:rsidRPr="00027624">
        <w:fldChar w:fldCharType="begin"/>
      </w:r>
      <w:r w:rsidRPr="00027624">
        <w:instrText xml:space="preserve"> REF _Ref40438838 \r \h  \* MERGEFORMAT </w:instrText>
      </w:r>
      <w:r w:rsidRPr="00027624">
        <w:fldChar w:fldCharType="separate"/>
      </w:r>
      <w:r w:rsidR="00891058">
        <w:t>Table 6A-30</w:t>
      </w:r>
      <w:r w:rsidRPr="00027624">
        <w:fldChar w:fldCharType="end"/>
      </w:r>
      <w:r w:rsidRPr="00027624">
        <w:t>).</w:t>
      </w:r>
    </w:p>
    <w:p w14:paraId="3DD158FB" w14:textId="77777777" w:rsidR="00E96B29" w:rsidRPr="00027624" w:rsidRDefault="00E96B29" w:rsidP="00E96B29">
      <w:pPr>
        <w:pStyle w:val="TableMainHeading"/>
      </w:pPr>
      <w:bookmarkStart w:id="4327" w:name="_Ref40438838"/>
      <w:r w:rsidRPr="00027624">
        <w:t xml:space="preserve">Effects of changes to Commonwealth Rent Assistance </w:t>
      </w:r>
      <w:bookmarkEnd w:id="4327"/>
      <w:r w:rsidRPr="00027624">
        <w:t>on financial stress</w:t>
      </w:r>
    </w:p>
    <w:tbl>
      <w:tblPr>
        <w:tblStyle w:val="TableGrid"/>
        <w:tblW w:w="5000" w:type="pct"/>
        <w:tblLook w:val="04A0" w:firstRow="1" w:lastRow="0" w:firstColumn="1" w:lastColumn="0" w:noHBand="0" w:noVBand="1"/>
      </w:tblPr>
      <w:tblGrid>
        <w:gridCol w:w="2957"/>
        <w:gridCol w:w="3143"/>
        <w:gridCol w:w="2970"/>
      </w:tblGrid>
      <w:tr w:rsidR="00E96B29" w:rsidRPr="00027624" w14:paraId="19FB49CC" w14:textId="77777777" w:rsidTr="00F50C51">
        <w:tc>
          <w:tcPr>
            <w:tcW w:w="2326" w:type="dxa"/>
          </w:tcPr>
          <w:p w14:paraId="234F7BFD" w14:textId="77777777" w:rsidR="00E96B29" w:rsidRPr="00027624" w:rsidRDefault="00E96B29" w:rsidP="00E96B29">
            <w:pPr>
              <w:pStyle w:val="TableColumnHeadingCentred"/>
              <w:jc w:val="left"/>
              <w:rPr>
                <w:b w:val="0"/>
                <w:bCs/>
                <w:color w:val="auto"/>
                <w:sz w:val="18"/>
                <w:szCs w:val="18"/>
              </w:rPr>
            </w:pPr>
            <w:r w:rsidRPr="00027624">
              <w:t>Retiree type</w:t>
            </w:r>
          </w:p>
        </w:tc>
        <w:tc>
          <w:tcPr>
            <w:tcW w:w="2472" w:type="dxa"/>
          </w:tcPr>
          <w:p w14:paraId="3B54547B" w14:textId="77777777" w:rsidR="00E96B29" w:rsidRPr="00027624" w:rsidRDefault="00E96B29" w:rsidP="00E96B29">
            <w:pPr>
              <w:pStyle w:val="TableColumnHeadingCentred"/>
              <w:rPr>
                <w:b w:val="0"/>
                <w:bCs/>
                <w:color w:val="auto"/>
                <w:sz w:val="18"/>
                <w:szCs w:val="18"/>
              </w:rPr>
            </w:pPr>
            <w:r w:rsidRPr="00027624">
              <w:t>Marginal effect</w:t>
            </w:r>
          </w:p>
        </w:tc>
        <w:tc>
          <w:tcPr>
            <w:tcW w:w="2336" w:type="dxa"/>
          </w:tcPr>
          <w:p w14:paraId="2D39B5AC" w14:textId="77777777" w:rsidR="00E96B29" w:rsidRPr="00027624" w:rsidRDefault="00E96B29" w:rsidP="00E96B29">
            <w:pPr>
              <w:pStyle w:val="TableColumnHeadingCentred"/>
              <w:rPr>
                <w:b w:val="0"/>
                <w:bCs/>
                <w:color w:val="auto"/>
                <w:sz w:val="18"/>
                <w:szCs w:val="18"/>
              </w:rPr>
            </w:pPr>
            <w:r w:rsidRPr="00027624">
              <w:t>Effect of a $28 increase</w:t>
            </w:r>
          </w:p>
        </w:tc>
      </w:tr>
      <w:tr w:rsidR="00E96B29" w:rsidRPr="00027624" w14:paraId="754EFE98" w14:textId="77777777" w:rsidTr="00F50C51">
        <w:tc>
          <w:tcPr>
            <w:tcW w:w="2326" w:type="dxa"/>
            <w:shd w:val="clear" w:color="auto" w:fill="auto"/>
          </w:tcPr>
          <w:p w14:paraId="584AE76E" w14:textId="77777777" w:rsidR="00E96B29" w:rsidRPr="00027624" w:rsidRDefault="00E96B29" w:rsidP="00E96B29">
            <w:pPr>
              <w:pStyle w:val="TableGraphic"/>
              <w:rPr>
                <w:color w:val="auto"/>
                <w:sz w:val="18"/>
                <w:szCs w:val="18"/>
              </w:rPr>
            </w:pPr>
            <w:r w:rsidRPr="00027624">
              <w:rPr>
                <w:color w:val="auto"/>
                <w:sz w:val="18"/>
                <w:szCs w:val="18"/>
              </w:rPr>
              <w:t>Single renter</w:t>
            </w:r>
          </w:p>
        </w:tc>
        <w:tc>
          <w:tcPr>
            <w:tcW w:w="2472" w:type="dxa"/>
            <w:shd w:val="clear" w:color="auto" w:fill="auto"/>
          </w:tcPr>
          <w:p w14:paraId="4C9D5C60" w14:textId="77777777" w:rsidR="00E96B29" w:rsidRPr="00027624" w:rsidRDefault="00A8443E" w:rsidP="00E96B29">
            <w:pPr>
              <w:pStyle w:val="TableGraphic"/>
              <w:jc w:val="center"/>
              <w:rPr>
                <w:color w:val="auto"/>
                <w:sz w:val="18"/>
                <w:szCs w:val="18"/>
              </w:rPr>
            </w:pPr>
            <w:r w:rsidRPr="00027624">
              <w:rPr>
                <w:color w:val="auto"/>
                <w:sz w:val="18"/>
                <w:szCs w:val="18"/>
              </w:rPr>
              <w:noBreakHyphen/>
            </w:r>
            <w:r w:rsidR="00E96B29" w:rsidRPr="00027624">
              <w:rPr>
                <w:color w:val="auto"/>
                <w:sz w:val="18"/>
                <w:szCs w:val="18"/>
              </w:rPr>
              <w:t>0.0003975</w:t>
            </w:r>
          </w:p>
        </w:tc>
        <w:tc>
          <w:tcPr>
            <w:tcW w:w="2336" w:type="dxa"/>
            <w:shd w:val="clear" w:color="auto" w:fill="auto"/>
          </w:tcPr>
          <w:p w14:paraId="4BED9A8D" w14:textId="77777777" w:rsidR="00E96B29" w:rsidRPr="00027624" w:rsidRDefault="00A8443E" w:rsidP="00E96B29">
            <w:pPr>
              <w:pStyle w:val="TableGraphic"/>
              <w:jc w:val="center"/>
              <w:rPr>
                <w:color w:val="auto"/>
                <w:sz w:val="18"/>
                <w:szCs w:val="18"/>
              </w:rPr>
            </w:pPr>
            <w:r w:rsidRPr="00027624">
              <w:rPr>
                <w:color w:val="auto"/>
                <w:sz w:val="18"/>
                <w:szCs w:val="18"/>
              </w:rPr>
              <w:noBreakHyphen/>
            </w:r>
            <w:r w:rsidR="00E96B29" w:rsidRPr="00027624">
              <w:rPr>
                <w:color w:val="auto"/>
                <w:sz w:val="18"/>
                <w:szCs w:val="18"/>
              </w:rPr>
              <w:t>0.0110982</w:t>
            </w:r>
          </w:p>
        </w:tc>
      </w:tr>
      <w:tr w:rsidR="00E96B29" w:rsidRPr="00027624" w14:paraId="602D04F9" w14:textId="77777777" w:rsidTr="00F50C51">
        <w:tc>
          <w:tcPr>
            <w:tcW w:w="2326" w:type="dxa"/>
            <w:shd w:val="clear" w:color="auto" w:fill="auto"/>
          </w:tcPr>
          <w:p w14:paraId="7289F238" w14:textId="77777777" w:rsidR="00E96B29" w:rsidRPr="00027624" w:rsidRDefault="00E96B29" w:rsidP="00E96B29">
            <w:pPr>
              <w:pStyle w:val="TableGraphic"/>
              <w:rPr>
                <w:color w:val="auto"/>
                <w:sz w:val="18"/>
                <w:szCs w:val="18"/>
              </w:rPr>
            </w:pPr>
            <w:r w:rsidRPr="00027624">
              <w:rPr>
                <w:color w:val="auto"/>
                <w:sz w:val="18"/>
                <w:szCs w:val="18"/>
              </w:rPr>
              <w:t>Couple renter</w:t>
            </w:r>
          </w:p>
        </w:tc>
        <w:tc>
          <w:tcPr>
            <w:tcW w:w="2472" w:type="dxa"/>
            <w:shd w:val="clear" w:color="auto" w:fill="auto"/>
          </w:tcPr>
          <w:p w14:paraId="311E48DA" w14:textId="77777777" w:rsidR="00E96B29" w:rsidRPr="00027624" w:rsidRDefault="00A8443E" w:rsidP="00E96B29">
            <w:pPr>
              <w:pStyle w:val="TableGraphic"/>
              <w:jc w:val="center"/>
              <w:rPr>
                <w:color w:val="auto"/>
                <w:sz w:val="18"/>
                <w:szCs w:val="18"/>
              </w:rPr>
            </w:pPr>
            <w:r w:rsidRPr="00027624">
              <w:rPr>
                <w:color w:val="auto"/>
                <w:sz w:val="18"/>
                <w:szCs w:val="18"/>
              </w:rPr>
              <w:noBreakHyphen/>
            </w:r>
            <w:r w:rsidR="00E96B29" w:rsidRPr="00027624">
              <w:rPr>
                <w:color w:val="auto"/>
                <w:sz w:val="18"/>
                <w:szCs w:val="18"/>
              </w:rPr>
              <w:t>0.000421</w:t>
            </w:r>
          </w:p>
        </w:tc>
        <w:tc>
          <w:tcPr>
            <w:tcW w:w="2336" w:type="dxa"/>
            <w:shd w:val="clear" w:color="auto" w:fill="auto"/>
          </w:tcPr>
          <w:p w14:paraId="71DDAC6F" w14:textId="77777777" w:rsidR="00E96B29" w:rsidRPr="00027624" w:rsidRDefault="00A8443E" w:rsidP="00E96B29">
            <w:pPr>
              <w:pStyle w:val="TableGraphic"/>
              <w:jc w:val="center"/>
              <w:rPr>
                <w:color w:val="auto"/>
                <w:sz w:val="18"/>
                <w:szCs w:val="18"/>
              </w:rPr>
            </w:pPr>
            <w:r w:rsidRPr="00027624">
              <w:rPr>
                <w:color w:val="auto"/>
                <w:sz w:val="18"/>
                <w:szCs w:val="18"/>
              </w:rPr>
              <w:noBreakHyphen/>
            </w:r>
            <w:r w:rsidR="00E96B29" w:rsidRPr="00027624">
              <w:rPr>
                <w:color w:val="auto"/>
                <w:sz w:val="18"/>
                <w:szCs w:val="18"/>
              </w:rPr>
              <w:t>0.0117543</w:t>
            </w:r>
          </w:p>
        </w:tc>
      </w:tr>
    </w:tbl>
    <w:p w14:paraId="3A24BEF7" w14:textId="77777777" w:rsidR="00E96B29" w:rsidRPr="00027624" w:rsidRDefault="00E96B29" w:rsidP="00A8443E">
      <w:r w:rsidRPr="00027624">
        <w:rPr>
          <w:sz w:val="18"/>
        </w:rPr>
        <w:t>Note: Effect estimated using marginal effect multiplied by 2020 change in maximum rate of Commonwealth Rent Assistance of $27.92. Source: Review estimate based on ABS Household Expenditure Survey 2016</w:t>
      </w:r>
      <w:r w:rsidR="00A8443E" w:rsidRPr="00027624">
        <w:rPr>
          <w:sz w:val="18"/>
        </w:rPr>
        <w:noBreakHyphen/>
      </w:r>
      <w:r w:rsidRPr="00027624">
        <w:rPr>
          <w:sz w:val="18"/>
        </w:rPr>
        <w:t>17.</w:t>
      </w:r>
    </w:p>
    <w:p w14:paraId="2EBEE2E6" w14:textId="5CE34245" w:rsidR="00E96B29" w:rsidRPr="00027624" w:rsidRDefault="00E96B29" w:rsidP="00E96B29">
      <w:r w:rsidRPr="00027624">
        <w:t>These results suggest that the effect of $28 more weekly income from higher Commonwealth Rent Assistance payments would reduce the conditional likelihood of financial stress for both groups of renters by about 1.1 percentage points (</w:t>
      </w:r>
      <w:r w:rsidRPr="00027624">
        <w:fldChar w:fldCharType="begin"/>
      </w:r>
      <w:r w:rsidRPr="00027624">
        <w:instrText xml:space="preserve"> REF _Ref40438760 \r \h  \* MERGEFORMAT </w:instrText>
      </w:r>
      <w:r w:rsidRPr="00027624">
        <w:fldChar w:fldCharType="separate"/>
      </w:r>
      <w:r w:rsidR="00891058">
        <w:t>Chart 6A-41</w:t>
      </w:r>
      <w:r w:rsidRPr="00027624">
        <w:fldChar w:fldCharType="end"/>
      </w:r>
      <w:r w:rsidRPr="00027624">
        <w:t>). Effects for renters in aggregate were calculated using the weighted average of these two effects.</w:t>
      </w:r>
    </w:p>
    <w:p w14:paraId="6C134ADF" w14:textId="77777777" w:rsidR="002D653B" w:rsidRPr="00027624" w:rsidRDefault="00E96B29" w:rsidP="002D653B">
      <w:pPr>
        <w:pStyle w:val="ChartMainHeading"/>
      </w:pPr>
      <w:bookmarkStart w:id="4328" w:name="_Ref40438760"/>
      <w:r w:rsidRPr="00027624">
        <w:t>Financial stress rates of home owners and renters in retirement</w:t>
      </w:r>
      <w:bookmarkEnd w:id="4328"/>
    </w:p>
    <w:p w14:paraId="3B2C4B7E" w14:textId="77777777" w:rsidR="00E96B29" w:rsidRPr="00027624" w:rsidRDefault="00752703" w:rsidP="002D653B">
      <w:pPr>
        <w:pStyle w:val="ChartGraphic"/>
      </w:pPr>
      <w:r>
        <w:rPr>
          <w:noProof/>
        </w:rPr>
        <w:drawing>
          <wp:inline distT="0" distB="0" distL="0" distR="0" wp14:anchorId="62F0F7DD" wp14:editId="5161B43F">
            <wp:extent cx="5585460" cy="2522220"/>
            <wp:effectExtent l="0" t="0" r="0" b="0"/>
            <wp:docPr id="69809835" name="Picture 69809835" descr="This chart shows that single and couple renters have lower stress levels under the scenario rather than the baseline, although the falls are modest. There is no perceptible change for home owners" title="Chart 6A-41 Financial stress rates of home owners and renters in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85460" cy="2522220"/>
                    </a:xfrm>
                    <a:prstGeom prst="rect">
                      <a:avLst/>
                    </a:prstGeom>
                    <a:noFill/>
                  </pic:spPr>
                </pic:pic>
              </a:graphicData>
            </a:graphic>
          </wp:inline>
        </w:drawing>
      </w:r>
    </w:p>
    <w:p w14:paraId="2D58EBA1" w14:textId="77777777" w:rsidR="00E96B29" w:rsidRPr="00027624" w:rsidRDefault="00E96B29" w:rsidP="002D653B">
      <w:pPr>
        <w:pStyle w:val="ChartorTableNote"/>
      </w:pPr>
      <w:r w:rsidRPr="00027624">
        <w:t>Note: This analysis uses a multinomial probit model to explain household financial stress. Marginal effects were estimated using the income of renters in 2015</w:t>
      </w:r>
      <w:r w:rsidR="00A8443E" w:rsidRPr="00027624">
        <w:noBreakHyphen/>
      </w:r>
      <w:r w:rsidRPr="00027624">
        <w:t>16 by family type, and then applied to data in 2019</w:t>
      </w:r>
      <w:r w:rsidR="00A8443E" w:rsidRPr="00027624">
        <w:noBreakHyphen/>
      </w:r>
      <w:r w:rsidRPr="00027624">
        <w:t xml:space="preserve">20 to calculate the effect of the </w:t>
      </w:r>
      <w:r w:rsidRPr="00027624" w:rsidDel="00BB79A3">
        <w:t>Commonwealth Rent Assistance</w:t>
      </w:r>
      <w:r w:rsidRPr="00027624">
        <w:t xml:space="preserve"> rate increase. Control variables include wealth, disability status, household and tenure type. Home owners are unaffected. Source: Analysis of ABS Household Expenditure Survey Confidentialised Unit Record File, 2015</w:t>
      </w:r>
      <w:r w:rsidR="00A8443E" w:rsidRPr="00027624">
        <w:noBreakHyphen/>
      </w:r>
      <w:r w:rsidRPr="00027624">
        <w:t>16.</w:t>
      </w:r>
    </w:p>
    <w:p w14:paraId="47544492" w14:textId="77777777" w:rsidR="00E96B29" w:rsidRPr="00027624" w:rsidRDefault="00E96B29" w:rsidP="00E96B29">
      <w:pPr>
        <w:spacing w:before="240"/>
        <w:rPr>
          <w:sz w:val="18"/>
        </w:rPr>
      </w:pPr>
      <w:r w:rsidRPr="00027624">
        <w:t>These estimates are unable to account for unobserved differences across households that may affect financial stress. To the extent that these, or any other omitted variables, are correlated with income, this will bias the results. Further modelling with longitudinal data sources, such as the HILDA Survey, may allow for these factors to be controlled for.</w:t>
      </w:r>
    </w:p>
    <w:p w14:paraId="06D78104" w14:textId="77777777" w:rsidR="0088764D" w:rsidRPr="00027624" w:rsidRDefault="0088764D">
      <w:pPr>
        <w:spacing w:before="0" w:after="160" w:line="259" w:lineRule="auto"/>
        <w:sectPr w:rsidR="0088764D" w:rsidRPr="00027624" w:rsidSect="001B6C0B">
          <w:type w:val="oddPage"/>
          <w:pgSz w:w="11906" w:h="16838" w:code="9"/>
          <w:pgMar w:top="1418" w:right="1418" w:bottom="1418" w:left="1418" w:header="709" w:footer="709" w:gutter="0"/>
          <w:cols w:space="708"/>
          <w:titlePg/>
          <w:docGrid w:linePitch="360"/>
        </w:sectPr>
      </w:pPr>
    </w:p>
    <w:p w14:paraId="147D201E" w14:textId="77777777" w:rsidR="00E96B29" w:rsidRPr="00027624" w:rsidRDefault="00E96B29" w:rsidP="00FC7361">
      <w:pPr>
        <w:pStyle w:val="Heading1"/>
        <w:numPr>
          <w:ilvl w:val="1"/>
          <w:numId w:val="58"/>
        </w:numPr>
        <w:rPr>
          <w:rFonts w:eastAsia="Calibri"/>
        </w:rPr>
      </w:pPr>
      <w:bookmarkStart w:id="4329" w:name="_Toc45520570"/>
      <w:bookmarkStart w:id="4330" w:name="_Toc46133682"/>
      <w:r w:rsidRPr="00027624">
        <w:rPr>
          <w:rFonts w:eastAsia="Calibri"/>
        </w:rPr>
        <w:t>An example to illustrate the trade</w:t>
      </w:r>
      <w:r w:rsidR="00A8443E" w:rsidRPr="00027624">
        <w:rPr>
          <w:rFonts w:eastAsia="Calibri"/>
        </w:rPr>
        <w:noBreakHyphen/>
      </w:r>
      <w:r w:rsidRPr="00027624">
        <w:rPr>
          <w:rFonts w:eastAsia="Calibri"/>
        </w:rPr>
        <w:t>offs of merging the income and assets tests</w:t>
      </w:r>
      <w:bookmarkEnd w:id="4329"/>
      <w:bookmarkEnd w:id="4330"/>
    </w:p>
    <w:p w14:paraId="1F45D214" w14:textId="597D0596" w:rsidR="00E96B29" w:rsidRPr="00027624" w:rsidRDefault="00E96B29" w:rsidP="00DB3D91">
      <w:pPr>
        <w:spacing w:before="0"/>
      </w:pPr>
      <w:r w:rsidRPr="00027624">
        <w:t>This appendix details an example of a merged means test, which involves removing the current assets test and replacing it with an aged</w:t>
      </w:r>
      <w:r w:rsidR="00A8443E" w:rsidRPr="00027624">
        <w:noBreakHyphen/>
      </w:r>
      <w:r w:rsidRPr="00027624">
        <w:t xml:space="preserve">based capital consumption component in the income test. This is similar to a proposal </w:t>
      </w:r>
      <w:r w:rsidRPr="00027624">
        <w:rPr>
          <w:rFonts w:eastAsia="Calibri"/>
        </w:rPr>
        <w:t xml:space="preserve">suggested by the Centre for Law, Markets and Regulation </w:t>
      </w:r>
      <w:sdt>
        <w:sdtPr>
          <w:id w:val="-1260056034"/>
          <w:citation/>
        </w:sdtPr>
        <w:sdtEndPr/>
        <w:sdtContent>
          <w:r w:rsidRPr="00027624">
            <w:fldChar w:fldCharType="begin"/>
          </w:r>
          <w:r w:rsidRPr="00027624">
            <w:instrText xml:space="preserve">CITATION Cen20 \n  \t  \l 3081 </w:instrText>
          </w:r>
          <w:r w:rsidRPr="00027624">
            <w:fldChar w:fldCharType="separate"/>
          </w:r>
          <w:r w:rsidR="00E83F6E">
            <w:rPr>
              <w:noProof/>
            </w:rPr>
            <w:t>(2020)</w:t>
          </w:r>
          <w:r w:rsidRPr="00027624">
            <w:fldChar w:fldCharType="end"/>
          </w:r>
        </w:sdtContent>
      </w:sdt>
      <w:r w:rsidRPr="00027624">
        <w:rPr>
          <w:rFonts w:eastAsia="Calibri"/>
        </w:rPr>
        <w:t>.</w:t>
      </w:r>
      <w:r w:rsidRPr="00027624">
        <w:t>The example includes the following parameters to illustrate some of the trade</w:t>
      </w:r>
      <w:r w:rsidR="00A8443E" w:rsidRPr="00027624">
        <w:noBreakHyphen/>
      </w:r>
      <w:r w:rsidRPr="00027624">
        <w:t xml:space="preserve">offs involved in merging the income and assets tests (see </w:t>
      </w:r>
      <w:r w:rsidRPr="00027624">
        <w:fldChar w:fldCharType="begin"/>
      </w:r>
      <w:r w:rsidRPr="00027624">
        <w:instrText xml:space="preserve"> REF _Ref43191136 \r \h </w:instrText>
      </w:r>
      <w:r w:rsidR="00027624">
        <w:instrText xml:space="preserve"> \* MERGEFORMAT </w:instrText>
      </w:r>
      <w:r w:rsidRPr="00027624">
        <w:fldChar w:fldCharType="separate"/>
      </w:r>
      <w:r w:rsidR="00891058">
        <w:t>Box 6B-1</w:t>
      </w:r>
      <w:r w:rsidRPr="00027624">
        <w:fldChar w:fldCharType="end"/>
      </w:r>
      <w:r w:rsidRPr="00027624">
        <w:t xml:space="preserve"> for more detail):</w:t>
      </w:r>
    </w:p>
    <w:p w14:paraId="5498FF10" w14:textId="77777777" w:rsidR="00E96B29" w:rsidRPr="00027624" w:rsidRDefault="00E96B29">
      <w:pPr>
        <w:pStyle w:val="Bullet"/>
      </w:pPr>
      <w:r w:rsidRPr="00027624">
        <w:t>Calculates</w:t>
      </w:r>
      <w:r w:rsidRPr="00027624" w:rsidDel="00452515">
        <w:t xml:space="preserve"> deemed</w:t>
      </w:r>
      <w:r w:rsidRPr="00027624">
        <w:t xml:space="preserve"> capital consumption as a person</w:t>
      </w:r>
      <w:r w:rsidR="00A8443E" w:rsidRPr="00027624">
        <w:t>’</w:t>
      </w:r>
      <w:r w:rsidRPr="00027624">
        <w:t>s assessable assets divided by their life expectancy.</w:t>
      </w:r>
    </w:p>
    <w:p w14:paraId="0C7DF2B1" w14:textId="77777777" w:rsidR="00E96B29" w:rsidRPr="00027624" w:rsidRDefault="00E96B29">
      <w:pPr>
        <w:pStyle w:val="Bullet"/>
      </w:pPr>
      <w:r w:rsidRPr="00027624">
        <w:t xml:space="preserve">Doubles the current income test free area to create the </w:t>
      </w:r>
      <w:r w:rsidR="00A8443E" w:rsidRPr="00027624">
        <w:t>‘</w:t>
      </w:r>
      <w:r w:rsidRPr="00027624">
        <w:t>means free area</w:t>
      </w:r>
      <w:r w:rsidR="00A8443E" w:rsidRPr="00027624">
        <w:t>’</w:t>
      </w:r>
      <w:r w:rsidRPr="00027624">
        <w:t xml:space="preserve"> and exempts some personal use assets.</w:t>
      </w:r>
    </w:p>
    <w:p w14:paraId="56D416AA" w14:textId="77777777" w:rsidR="00E96B29" w:rsidRPr="00027624" w:rsidRDefault="00E96B29">
      <w:pPr>
        <w:pStyle w:val="Bullet"/>
      </w:pPr>
      <w:r w:rsidRPr="00027624">
        <w:t>Retains all other rules within the current means testing arrangements.</w:t>
      </w:r>
    </w:p>
    <w:p w14:paraId="21765199" w14:textId="77777777" w:rsidR="00E96B29" w:rsidRPr="00027624" w:rsidRDefault="00E96B29" w:rsidP="00E96B29">
      <w:pPr>
        <w:spacing w:before="0" w:after="240"/>
      </w:pPr>
      <w:r w:rsidRPr="00027624">
        <w:t>Adequacy and sustainability trade</w:t>
      </w:r>
      <w:r w:rsidR="00A8443E" w:rsidRPr="00027624">
        <w:noBreakHyphen/>
      </w:r>
      <w:r w:rsidRPr="00027624">
        <w:t xml:space="preserve">offs emerge when setting parameters for the merged means test. This scenario is estimated to lead to a fiscal saving. However, it would also reduce the adequacy of retirement incomes for many people, especially those </w:t>
      </w:r>
      <w:r w:rsidRPr="00027624">
        <w:rPr>
          <w:color w:val="000000" w:themeColor="text1"/>
        </w:rPr>
        <w:t>with assessable assets at middle</w:t>
      </w:r>
      <w:r w:rsidR="00DD4B21" w:rsidRPr="00027624">
        <w:rPr>
          <w:color w:val="000000" w:themeColor="text1"/>
        </w:rPr>
        <w:t>-</w:t>
      </w:r>
      <w:r w:rsidRPr="00027624">
        <w:rPr>
          <w:color w:val="000000" w:themeColor="text1"/>
        </w:rPr>
        <w:t xml:space="preserve"> and higher</w:t>
      </w:r>
      <w:r w:rsidR="00DD4B21" w:rsidRPr="00027624">
        <w:rPr>
          <w:color w:val="000000" w:themeColor="text1"/>
        </w:rPr>
        <w:noBreakHyphen/>
      </w:r>
      <w:r w:rsidRPr="00027624">
        <w:rPr>
          <w:color w:val="000000" w:themeColor="text1"/>
        </w:rPr>
        <w:t>wealth deciles</w:t>
      </w:r>
      <w:r w:rsidRPr="00027624">
        <w:t xml:space="preserve">. A different design would have different impacts, including on the number of people qualifying for and the cost of the </w:t>
      </w:r>
      <w:r w:rsidRPr="00027624" w:rsidDel="0068007C">
        <w:t>Age</w:t>
      </w:r>
      <w:r w:rsidRPr="00027624">
        <w:t> Pension, as well as incentives to work and save.</w:t>
      </w:r>
      <w:bookmarkStart w:id="4331" w:name="_Ref41645587"/>
    </w:p>
    <w:tbl>
      <w:tblPr>
        <w:tblpPr w:leftFromText="180" w:rightFromText="180" w:vertAnchor="text" w:tblpY="1"/>
        <w:tblOverlap w:val="never"/>
        <w:tblW w:w="5000" w:type="pct"/>
        <w:shd w:val="clear" w:color="auto" w:fill="FFF8EA"/>
        <w:tblLook w:val="01E0" w:firstRow="1" w:lastRow="1" w:firstColumn="1" w:lastColumn="1" w:noHBand="0" w:noVBand="0"/>
      </w:tblPr>
      <w:tblGrid>
        <w:gridCol w:w="9070"/>
      </w:tblGrid>
      <w:tr w:rsidR="00E96B29" w:rsidRPr="00027624" w14:paraId="266ACF6E" w14:textId="77777777" w:rsidTr="00E96B29">
        <w:tc>
          <w:tcPr>
            <w:tcW w:w="5000" w:type="pct"/>
            <w:shd w:val="clear" w:color="auto" w:fill="FFF8EA"/>
          </w:tcPr>
          <w:p w14:paraId="53252C41" w14:textId="77777777" w:rsidR="00E96B29" w:rsidRPr="00027624" w:rsidRDefault="00E96B29" w:rsidP="00E96B29">
            <w:pPr>
              <w:pStyle w:val="BoxHeading"/>
            </w:pPr>
            <w:bookmarkStart w:id="4332" w:name="_Ref43191136"/>
            <w:r w:rsidRPr="00027624">
              <w:t>Example of a merged means test with an age</w:t>
            </w:r>
            <w:r w:rsidR="00A8443E" w:rsidRPr="00027624">
              <w:noBreakHyphen/>
            </w:r>
            <w:r w:rsidRPr="00027624">
              <w:t>based capital consumption</w:t>
            </w:r>
            <w:bookmarkEnd w:id="4331"/>
            <w:r w:rsidRPr="00027624">
              <w:t xml:space="preserve"> component</w:t>
            </w:r>
            <w:bookmarkEnd w:id="4332"/>
          </w:p>
          <w:p w14:paraId="541F9300" w14:textId="77777777" w:rsidR="00E96B29" w:rsidRPr="00027624" w:rsidRDefault="00E96B29" w:rsidP="00E96B29">
            <w:pPr>
              <w:pStyle w:val="BoxText"/>
            </w:pPr>
            <w:r w:rsidRPr="00027624">
              <w:t>This example removes the current assets test and replaces it with an aged</w:t>
            </w:r>
            <w:r w:rsidR="00A8443E" w:rsidRPr="00027624">
              <w:noBreakHyphen/>
            </w:r>
            <w:r w:rsidRPr="00027624">
              <w:t>based capital consumption component in the income test. It assumes the following parameters:</w:t>
            </w:r>
          </w:p>
          <w:p w14:paraId="5A575B96" w14:textId="77777777" w:rsidR="00E96B29" w:rsidRPr="00027624" w:rsidRDefault="00E96B29" w:rsidP="00E96B29">
            <w:pPr>
              <w:pStyle w:val="Heading6"/>
            </w:pPr>
            <w:r w:rsidRPr="00027624">
              <w:t>Deemed income and capital consumption</w:t>
            </w:r>
          </w:p>
          <w:p w14:paraId="64617B9B" w14:textId="77777777" w:rsidR="00E96B29" w:rsidRPr="00027624" w:rsidRDefault="00E96B29" w:rsidP="00E96B29">
            <w:pPr>
              <w:pStyle w:val="BoxText"/>
            </w:pPr>
            <w:r w:rsidRPr="00027624">
              <w:t>A component of deemed capital consumption was added to income from all assessable assets to determine a retiree</w:t>
            </w:r>
            <w:r w:rsidR="00A8443E" w:rsidRPr="00027624">
              <w:t>’</w:t>
            </w:r>
            <w:r w:rsidRPr="00027624">
              <w:t>s means for a given period. This</w:t>
            </w:r>
            <w:r w:rsidRPr="00027624" w:rsidDel="00452515">
              <w:t xml:space="preserve"> </w:t>
            </w:r>
            <w:r w:rsidRPr="00027624">
              <w:t>example retains the existing rules for assessing income (including deeming rates) under the current income test.</w:t>
            </w:r>
          </w:p>
          <w:p w14:paraId="0ACFDBA7" w14:textId="77777777" w:rsidR="00E96B29" w:rsidRPr="00027624" w:rsidRDefault="00E96B29" w:rsidP="00E96B29">
            <w:pPr>
              <w:pStyle w:val="BoxText"/>
            </w:pPr>
            <w:r w:rsidRPr="00027624">
              <w:t>Deemed capital consumption can remain constant for all ages or vary by age. This example used</w:t>
            </w:r>
            <w:r w:rsidRPr="00027624" w:rsidDel="003303B7">
              <w:t xml:space="preserve"> </w:t>
            </w:r>
            <w:r w:rsidRPr="00027624">
              <w:t>an age</w:t>
            </w:r>
            <w:r w:rsidR="00A8443E" w:rsidRPr="00027624">
              <w:noBreakHyphen/>
            </w:r>
            <w:r w:rsidRPr="00027624">
              <w:t>based approach to ensure a retiree</w:t>
            </w:r>
            <w:r w:rsidR="00A8443E" w:rsidRPr="00027624">
              <w:t>’</w:t>
            </w:r>
            <w:r w:rsidRPr="00027624">
              <w:t>s assets are assessed on the basis of the period over which they are expected to be used for self</w:t>
            </w:r>
            <w:r w:rsidR="00A8443E" w:rsidRPr="00027624">
              <w:noBreakHyphen/>
            </w:r>
            <w:r w:rsidRPr="00027624">
              <w:t>support. This is expected to change the profile of some retirees</w:t>
            </w:r>
            <w:r w:rsidR="00A8443E" w:rsidRPr="00027624">
              <w:t>’</w:t>
            </w:r>
            <w:r w:rsidRPr="00027624">
              <w:t xml:space="preserve"> </w:t>
            </w:r>
            <w:r w:rsidRPr="00027624" w:rsidDel="0068007C">
              <w:t>Age</w:t>
            </w:r>
            <w:r w:rsidRPr="00027624">
              <w:t> Pension payments in retirement, as well as the complexity of the means testing arrangements</w:t>
            </w:r>
            <w:r w:rsidRPr="00027624" w:rsidDel="003303B7">
              <w:t>.</w:t>
            </w:r>
          </w:p>
          <w:p w14:paraId="632A502F" w14:textId="77777777" w:rsidR="00E96B29" w:rsidRPr="00027624" w:rsidRDefault="00E96B29" w:rsidP="00E96B29">
            <w:pPr>
              <w:pStyle w:val="BoxText"/>
            </w:pPr>
            <w:r w:rsidRPr="00027624">
              <w:t>Specifically, deemed capital consumption is equal to a retiree</w:t>
            </w:r>
            <w:r w:rsidR="00A8443E" w:rsidRPr="00027624">
              <w:t>’</w:t>
            </w:r>
            <w:r w:rsidRPr="00027624">
              <w:t xml:space="preserve">s assessable assets divided by their life expectancy. A minimum life expectancy of five years is imposed to ensure retirees do not face overly punitive </w:t>
            </w:r>
            <w:r w:rsidRPr="00027624" w:rsidDel="0068007C">
              <w:t>Age</w:t>
            </w:r>
            <w:r w:rsidRPr="00027624">
              <w:t> Pension withdrawal rates at older ages. The example has abstracted away from other factors, such as health issues, which can reduce life expectancy and lead to high withdrawal rates in the early years of retirement.</w:t>
            </w:r>
          </w:p>
          <w:p w14:paraId="695315F4" w14:textId="0479CEEE" w:rsidR="00E96B29" w:rsidRPr="00027624" w:rsidRDefault="00E96B29" w:rsidP="00E96B29">
            <w:pPr>
              <w:pStyle w:val="BoxText"/>
            </w:pPr>
            <w:r w:rsidRPr="00027624">
              <w:t>In practice, this approach means a 67</w:t>
            </w:r>
            <w:r w:rsidR="00A8443E" w:rsidRPr="00027624">
              <w:noBreakHyphen/>
            </w:r>
            <w:r w:rsidRPr="00027624">
              <w:t>year</w:t>
            </w:r>
            <w:r w:rsidR="00A8443E" w:rsidRPr="00027624">
              <w:noBreakHyphen/>
            </w:r>
            <w:r w:rsidRPr="00027624">
              <w:t>old woman with $500,000 of assessable assets and a life expectancy of 21 years would have a deemed capital consumption of around $24,000 or just under 5 per cent of her assessable assets (</w:t>
            </w:r>
            <w:r w:rsidRPr="00027624">
              <w:fldChar w:fldCharType="begin"/>
            </w:r>
            <w:r w:rsidRPr="00027624">
              <w:instrText xml:space="preserve"> REF _Ref42786659 \r \h  \* MERGEFORMAT </w:instrText>
            </w:r>
            <w:r w:rsidRPr="00027624">
              <w:fldChar w:fldCharType="separate"/>
            </w:r>
            <w:r w:rsidR="00891058">
              <w:t>Chart 6B-1</w:t>
            </w:r>
            <w:r w:rsidRPr="00027624">
              <w:fldChar w:fldCharType="end"/>
            </w:r>
            <w:r w:rsidRPr="00027624">
              <w:t xml:space="preserve">). In contrast, an </w:t>
            </w:r>
            <w:r w:rsidRPr="00027624" w:rsidDel="00335A52">
              <w:t>87</w:t>
            </w:r>
            <w:r w:rsidR="00A8443E" w:rsidRPr="00027624">
              <w:noBreakHyphen/>
            </w:r>
            <w:r w:rsidRPr="00027624">
              <w:t>year</w:t>
            </w:r>
            <w:r w:rsidR="00A8443E" w:rsidRPr="00027624">
              <w:noBreakHyphen/>
            </w:r>
            <w:r w:rsidRPr="00027624">
              <w:t>old woman with the same level of assessable assets would have a deemed capital consumption of around $80,000 or 17 per cent of her assessable assets. As men have lower life expectancies than women, they would have a higher deemed capital consumption at all ages.</w:t>
            </w:r>
          </w:p>
          <w:p w14:paraId="337E2DA6" w14:textId="77777777" w:rsidR="00E96B29" w:rsidRPr="00027624" w:rsidRDefault="00E96B29" w:rsidP="00FC7361">
            <w:pPr>
              <w:pStyle w:val="ChartMainHeading"/>
              <w:numPr>
                <w:ilvl w:val="2"/>
                <w:numId w:val="56"/>
              </w:numPr>
              <w:spacing w:before="240"/>
            </w:pPr>
            <w:bookmarkStart w:id="4333" w:name="_Ref42786659"/>
            <w:bookmarkStart w:id="4334" w:name="_Ref44660526"/>
            <w:r w:rsidRPr="00027624">
              <w:t>Deemed capital consumption for $500,000 of assessable assets, by age and gender</w:t>
            </w:r>
            <w:bookmarkEnd w:id="4333"/>
            <w:bookmarkEnd w:id="4334"/>
          </w:p>
          <w:p w14:paraId="0AAA0463" w14:textId="77777777" w:rsidR="00E96B29" w:rsidRPr="00027624" w:rsidRDefault="0019264C" w:rsidP="00E96B29">
            <w:pPr>
              <w:pStyle w:val="ChartGraphic"/>
            </w:pPr>
            <w:r>
              <w:rPr>
                <w:noProof/>
              </w:rPr>
              <w:drawing>
                <wp:inline distT="0" distB="0" distL="0" distR="0" wp14:anchorId="2C4CC25C" wp14:editId="17C9055D">
                  <wp:extent cx="5311140" cy="2659380"/>
                  <wp:effectExtent l="0" t="0" r="3810" b="7620"/>
                  <wp:docPr id="1888992938" name="Picture 1888992938" descr="This chart shows the deemed path of consumption of assets by a retiree. The path increasing from about 30 per cent at age 67 to near 100 per cent at age 88 for a man. The path for a woman is lower at all ages accounting for longer life expectancy." title="Chart 6B-1 Deemed capital consumption for $500,000 of assessable assets,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311140" cy="2659380"/>
                          </a:xfrm>
                          <a:prstGeom prst="rect">
                            <a:avLst/>
                          </a:prstGeom>
                          <a:noFill/>
                        </pic:spPr>
                      </pic:pic>
                    </a:graphicData>
                  </a:graphic>
                </wp:inline>
              </w:drawing>
            </w:r>
          </w:p>
          <w:p w14:paraId="3776FD97" w14:textId="77777777" w:rsidR="00E96B29" w:rsidRPr="00027624" w:rsidRDefault="00E96B29" w:rsidP="002D653B">
            <w:pPr>
              <w:pStyle w:val="ChartorTableNote"/>
            </w:pPr>
            <w:r w:rsidRPr="00027624">
              <w:t>Note: Assumes the person is single. Source: Calculations using assumptions for the example of a merged means test. The life expectancy used to calculate the deemed capital consumption is sourced from the Australian Life Tables 2015</w:t>
            </w:r>
            <w:r w:rsidR="00A8443E" w:rsidRPr="00027624">
              <w:noBreakHyphen/>
            </w:r>
            <w:r w:rsidRPr="00027624">
              <w:t xml:space="preserve">17 </w:t>
            </w:r>
            <w:sdt>
              <w:sdtPr>
                <w:id w:val="1734042672"/>
                <w:citation/>
              </w:sdtPr>
              <w:sdtEndPr/>
              <w:sdtContent>
                <w:r w:rsidRPr="00027624">
                  <w:fldChar w:fldCharType="begin"/>
                </w:r>
                <w:r w:rsidRPr="00027624">
                  <w:instrText xml:space="preserve"> CITATION AGA19 \l 3081 </w:instrText>
                </w:r>
                <w:r w:rsidRPr="00027624">
                  <w:fldChar w:fldCharType="separate"/>
                </w:r>
                <w:r w:rsidR="00E83F6E">
                  <w:rPr>
                    <w:noProof/>
                  </w:rPr>
                  <w:t>(Australian Government Actuary, 2019)</w:t>
                </w:r>
                <w:r w:rsidRPr="00027624">
                  <w:fldChar w:fldCharType="end"/>
                </w:r>
              </w:sdtContent>
            </w:sdt>
            <w:r w:rsidRPr="00027624">
              <w:t>.</w:t>
            </w:r>
          </w:p>
          <w:p w14:paraId="6AEB6976" w14:textId="77777777" w:rsidR="00E96B29" w:rsidRPr="00027624" w:rsidRDefault="00E96B29" w:rsidP="00E96B29">
            <w:pPr>
              <w:pStyle w:val="Heading6"/>
            </w:pPr>
            <w:r w:rsidRPr="00027624">
              <w:t>Merged means test free area</w:t>
            </w:r>
          </w:p>
          <w:p w14:paraId="6439CB60" w14:textId="77777777" w:rsidR="00E96B29" w:rsidRPr="00027624" w:rsidRDefault="00E96B29" w:rsidP="00E96B29">
            <w:pPr>
              <w:pStyle w:val="BoxText"/>
            </w:pPr>
            <w:r w:rsidRPr="00027624">
              <w:t xml:space="preserve">Abolishing the assets test means that retirees no longer have access to the </w:t>
            </w:r>
            <w:r w:rsidR="00A8443E" w:rsidRPr="00027624">
              <w:t>‘</w:t>
            </w:r>
            <w:r w:rsidRPr="00027624">
              <w:t>assets test free area</w:t>
            </w:r>
            <w:r w:rsidR="00A8443E" w:rsidRPr="00027624">
              <w:t>’</w:t>
            </w:r>
            <w:r w:rsidRPr="00027624">
              <w:t>. This example increases the income test free area to ensure retirees with a relatively modest amount of assessable assets are not disadvantaged compared with the current arrangements.</w:t>
            </w:r>
          </w:p>
          <w:p w14:paraId="183C174A" w14:textId="77777777" w:rsidR="00E96B29" w:rsidRPr="00027624" w:rsidRDefault="00E96B29" w:rsidP="00E96B29">
            <w:pPr>
              <w:pStyle w:val="BoxText"/>
            </w:pPr>
            <w:r w:rsidRPr="00027624">
              <w:t>The merged means test free area modelled is $9,048 per year for singles and $16,016 per year for couples, combined. This is equal to double the current income test free areas.</w:t>
            </w:r>
          </w:p>
          <w:p w14:paraId="54563D8F" w14:textId="77777777" w:rsidR="00E96B29" w:rsidRPr="00027624" w:rsidRDefault="00E96B29" w:rsidP="00E96B29">
            <w:pPr>
              <w:pStyle w:val="BoxText"/>
            </w:pPr>
            <w:r w:rsidRPr="00027624">
              <w:t>With the designed allowance for deemed capital consumption, the merged means test free areas imply assets free areas of around $140,000 for single retirees at age 67 and around $250,000 for coupled retirees at age 67, who are currently assets tested and have little income.</w:t>
            </w:r>
          </w:p>
          <w:p w14:paraId="0B848253" w14:textId="77777777" w:rsidR="00E96B29" w:rsidRPr="00027624" w:rsidRDefault="00E96B29" w:rsidP="00E96B29">
            <w:pPr>
              <w:pStyle w:val="Heading6"/>
            </w:pPr>
            <w:r w:rsidRPr="00027624">
              <w:t>Scope of assessable assets</w:t>
            </w:r>
          </w:p>
          <w:p w14:paraId="758868CA" w14:textId="77777777" w:rsidR="00E96B29" w:rsidRPr="00027624" w:rsidRDefault="00E96B29" w:rsidP="00E96B29">
            <w:pPr>
              <w:pStyle w:val="BoxText"/>
            </w:pPr>
            <w:r w:rsidRPr="00027624">
              <w:t>The scope of assessable assets will affect the number of people subject to the merged means test, as well as the extent to which retirees with similar levels of retirement savings receive similar outcomes.</w:t>
            </w:r>
          </w:p>
          <w:p w14:paraId="0D2907E5" w14:textId="77777777" w:rsidR="00E96B29" w:rsidRPr="00027624" w:rsidRDefault="00E96B29" w:rsidP="00E96B29">
            <w:pPr>
              <w:pStyle w:val="BoxText"/>
            </w:pPr>
            <w:r w:rsidRPr="00027624">
              <w:t>This</w:t>
            </w:r>
            <w:r w:rsidRPr="00027624" w:rsidDel="00F1714D">
              <w:t xml:space="preserve"> </w:t>
            </w:r>
            <w:r w:rsidRPr="00027624">
              <w:t>example continues to exempt the family home from the means test (see</w:t>
            </w:r>
            <w:r w:rsidRPr="00027624">
              <w:rPr>
                <w:rFonts w:eastAsia="Calibri" w:cs="Calibri"/>
                <w:i/>
                <w:iCs/>
              </w:rPr>
              <w:t xml:space="preserve"> </w:t>
            </w:r>
            <w:r w:rsidRPr="00027624">
              <w:rPr>
                <w:i/>
              </w:rPr>
              <w:t>3C. Home</w:t>
            </w:r>
            <w:r w:rsidRPr="00027624" w:rsidDel="008D1130">
              <w:rPr>
                <w:i/>
              </w:rPr>
              <w:t xml:space="preserve"> </w:t>
            </w:r>
            <w:r w:rsidRPr="00027624">
              <w:rPr>
                <w:i/>
              </w:rPr>
              <w:t>ownership status</w:t>
            </w:r>
            <w:r w:rsidRPr="00027624">
              <w:t xml:space="preserve">). Each single person would also have up to $30,000 of personal use assets (e.g. cars, household furniture and other personal items) exempt from the means test. The corresponding threshold for couples </w:t>
            </w:r>
            <w:r w:rsidRPr="00027624" w:rsidDel="00625E1E">
              <w:t xml:space="preserve">combined </w:t>
            </w:r>
            <w:r w:rsidRPr="00027624">
              <w:t>is $50,000. This recognises that people should not be expected to draw down on personal use assets, such as household goods, to meet their retirement income needs. While such personal use assets could be reflected in an increased free area, this approach would provide a more targeted exemption.</w:t>
            </w:r>
          </w:p>
          <w:p w14:paraId="7A208F11" w14:textId="77777777" w:rsidR="00E96B29" w:rsidRPr="00027624" w:rsidRDefault="00E96B29" w:rsidP="00E96B29">
            <w:pPr>
              <w:pStyle w:val="Heading6"/>
            </w:pPr>
            <w:r w:rsidRPr="00027624">
              <w:t>Merged means test taper rate</w:t>
            </w:r>
          </w:p>
          <w:p w14:paraId="4E1D65D4" w14:textId="49F92A80" w:rsidR="00E96B29" w:rsidRPr="00027624" w:rsidRDefault="00E96B29" w:rsidP="00E96B29">
            <w:pPr>
              <w:pStyle w:val="BoxText"/>
            </w:pPr>
            <w:r w:rsidRPr="00027624">
              <w:t>The taper rate determines the effective marginal tax rate of income earned and assets held over the merged means test free area. For consistency with the current income test taper rate, this example would reduce a recipient</w:t>
            </w:r>
            <w:r w:rsidR="00A8443E" w:rsidRPr="00027624">
              <w:t>’</w:t>
            </w:r>
            <w:r w:rsidRPr="00027624">
              <w:t xml:space="preserve">s </w:t>
            </w:r>
            <w:r w:rsidRPr="00027624" w:rsidDel="0068007C">
              <w:t>Age</w:t>
            </w:r>
            <w:r w:rsidRPr="00027624">
              <w:t> Pension payment by $0.50 per fortnight for every $1 of total means over the merged means test free area. As a result, the merged means test jointly determines a retiree</w:t>
            </w:r>
            <w:r w:rsidR="00A8443E" w:rsidRPr="00027624">
              <w:t>’</w:t>
            </w:r>
            <w:r w:rsidRPr="00027624">
              <w:t>s effective marginal means test taper rate on assets above the free area by the rate of deemed capital consumption, deemed investment and other earnings, and $0.50 test taper rate. As deemed capital consumption is based on life expectancy, the effective marginal taper rate on assets over the free area would increase with age. Despite this, the effective marginal taper rate on assets over the free area would be lower than the current arrangements prior to age 84 for women and age 82 for men (</w:t>
            </w:r>
            <w:r w:rsidRPr="00027624">
              <w:fldChar w:fldCharType="begin"/>
            </w:r>
            <w:r w:rsidRPr="00027624">
              <w:instrText xml:space="preserve"> REF _Ref42787494 \r \h  \* MERGEFORMAT </w:instrText>
            </w:r>
            <w:r w:rsidRPr="00027624">
              <w:fldChar w:fldCharType="separate"/>
            </w:r>
            <w:r w:rsidR="00891058">
              <w:t>Chart 6B-2</w:t>
            </w:r>
            <w:r w:rsidRPr="00027624">
              <w:fldChar w:fldCharType="end"/>
            </w:r>
            <w:r w:rsidRPr="00027624">
              <w:t>).</w:t>
            </w:r>
          </w:p>
          <w:p w14:paraId="58D84A29" w14:textId="77777777" w:rsidR="00E96B29" w:rsidRPr="00027624" w:rsidRDefault="00E96B29" w:rsidP="00E96B29">
            <w:pPr>
              <w:pStyle w:val="BoxText"/>
            </w:pPr>
            <w:r w:rsidRPr="00027624">
              <w:t xml:space="preserve">For example, a woman aged 67 would have a deemed capital consumption of around 5 per cent and a deemed investment earnings of 3 per cent per year under the merged means test. With the $0.50 means test taper rate, her </w:t>
            </w:r>
            <w:r w:rsidRPr="00027624" w:rsidDel="0068007C">
              <w:t>Age</w:t>
            </w:r>
            <w:r w:rsidRPr="00027624">
              <w:t xml:space="preserve"> Pension payment would be reduced by 3.9 cents for every $1 of assets over the free area. In contrast, the same woman aged 87 would have a 16 per cent rate of deemed capital consumption and, their </w:t>
            </w:r>
            <w:r w:rsidRPr="00027624" w:rsidDel="0068007C">
              <w:t>Age</w:t>
            </w:r>
            <w:r w:rsidRPr="00027624">
              <w:t> Pension payment would be reduced by 9.4 cents for every $1 of assets over the free area. However, in this example, the life expectancy weighted effective marginal taper rate on assets as at age 67 would be lower than the current assets test taper rate of 7.8 per cent.</w:t>
            </w:r>
          </w:p>
          <w:p w14:paraId="7CA1E00E" w14:textId="77777777" w:rsidR="00E96B29" w:rsidRPr="00027624" w:rsidRDefault="00E96B29" w:rsidP="00E96B29">
            <w:pPr>
              <w:pStyle w:val="ChartMainHeading"/>
            </w:pPr>
            <w:bookmarkStart w:id="4335" w:name="_Ref42787494"/>
            <w:r w:rsidRPr="00027624">
              <w:t>Effective marginal taper rate for assets over the merged means test free area, by age and gender</w:t>
            </w:r>
            <w:bookmarkEnd w:id="4335"/>
          </w:p>
          <w:p w14:paraId="691D7F21" w14:textId="77777777" w:rsidR="00E96B29" w:rsidRPr="00027624" w:rsidRDefault="0019264C" w:rsidP="00E96B29">
            <w:pPr>
              <w:pStyle w:val="ChartGraphic"/>
            </w:pPr>
            <w:r>
              <w:rPr>
                <w:noProof/>
              </w:rPr>
              <w:drawing>
                <wp:inline distT="0" distB="0" distL="0" distR="0" wp14:anchorId="15DF6E45" wp14:editId="37960A5C">
                  <wp:extent cx="5334000" cy="2659380"/>
                  <wp:effectExtent l="0" t="0" r="0" b="7620"/>
                  <wp:docPr id="1888992939" name="Picture 1888992939" descr="This chart shows the effective taper of the merged means test which increases steadily by age (with a gender gap where women have a lower taper rate). This is in contrast to the current arrangements which have flat taper and are not connected to age of the recipient." title="Chart 6B-2 Effective marginal taper rate for assets over the merged means test free area,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334000" cy="2659380"/>
                          </a:xfrm>
                          <a:prstGeom prst="rect">
                            <a:avLst/>
                          </a:prstGeom>
                          <a:noFill/>
                        </pic:spPr>
                      </pic:pic>
                    </a:graphicData>
                  </a:graphic>
                </wp:inline>
              </w:drawing>
            </w:r>
          </w:p>
          <w:p w14:paraId="2BA3138B" w14:textId="77777777" w:rsidR="00E96B29" w:rsidRPr="00027624" w:rsidRDefault="00E96B29" w:rsidP="002D653B">
            <w:pPr>
              <w:pStyle w:val="ChartorTableNote"/>
              <w:rPr>
                <w:b/>
                <w:szCs w:val="18"/>
              </w:rPr>
            </w:pPr>
            <w:r w:rsidRPr="00027624">
              <w:t xml:space="preserve">Note: Assumes a </w:t>
            </w:r>
            <w:r w:rsidRPr="00027624">
              <w:rPr>
                <w:rFonts w:cs="Calibri"/>
              </w:rPr>
              <w:t>deeming rate of 3 </w:t>
            </w:r>
            <w:r w:rsidRPr="00027624" w:rsidDel="0068007C">
              <w:rPr>
                <w:rFonts w:cs="Calibri"/>
              </w:rPr>
              <w:t>per</w:t>
            </w:r>
            <w:r w:rsidRPr="00027624">
              <w:rPr>
                <w:rFonts w:cs="Calibri"/>
              </w:rPr>
              <w:t> </w:t>
            </w:r>
            <w:r w:rsidRPr="00027624" w:rsidDel="0068007C">
              <w:rPr>
                <w:rFonts w:cs="Calibri"/>
              </w:rPr>
              <w:t>cent</w:t>
            </w:r>
            <w:r w:rsidRPr="00027624">
              <w:rPr>
                <w:rFonts w:cs="Calibri"/>
              </w:rPr>
              <w:t xml:space="preserve">. </w:t>
            </w:r>
            <w:r w:rsidRPr="00027624">
              <w:t xml:space="preserve">Source: Calculations based on </w:t>
            </w:r>
            <w:r w:rsidRPr="00027624" w:rsidDel="0068007C">
              <w:t>Age</w:t>
            </w:r>
            <w:r w:rsidRPr="00027624">
              <w:t xml:space="preserve"> Pension rates and thresholds as at 1 May 2020 and assumptions for the example of a merged means test. </w:t>
            </w:r>
            <w:r w:rsidRPr="00027624">
              <w:rPr>
                <w:szCs w:val="18"/>
              </w:rPr>
              <w:t>The life expectancy used to calculate the deemed capital consumption is sourced from the Australian Life Tables 2015</w:t>
            </w:r>
            <w:r w:rsidR="00A8443E" w:rsidRPr="00027624">
              <w:rPr>
                <w:szCs w:val="18"/>
              </w:rPr>
              <w:noBreakHyphen/>
            </w:r>
            <w:r w:rsidRPr="00027624">
              <w:rPr>
                <w:szCs w:val="18"/>
              </w:rPr>
              <w:t>17</w:t>
            </w:r>
            <w:sdt>
              <w:sdtPr>
                <w:rPr>
                  <w:b/>
                  <w:szCs w:val="18"/>
                </w:rPr>
                <w:id w:val="-874930669"/>
                <w:citation/>
              </w:sdtPr>
              <w:sdtEndPr/>
              <w:sdtContent>
                <w:r w:rsidRPr="00027624">
                  <w:rPr>
                    <w:b/>
                    <w:szCs w:val="18"/>
                  </w:rPr>
                  <w:fldChar w:fldCharType="begin"/>
                </w:r>
                <w:r w:rsidRPr="00027624">
                  <w:rPr>
                    <w:szCs w:val="18"/>
                  </w:rPr>
                  <w:instrText xml:space="preserve"> CITATION AGA19 \l 3081 </w:instrText>
                </w:r>
                <w:r w:rsidRPr="00027624">
                  <w:rPr>
                    <w:b/>
                    <w:szCs w:val="18"/>
                  </w:rPr>
                  <w:fldChar w:fldCharType="separate"/>
                </w:r>
                <w:r w:rsidR="00E83F6E">
                  <w:rPr>
                    <w:noProof/>
                    <w:szCs w:val="18"/>
                  </w:rPr>
                  <w:t xml:space="preserve"> </w:t>
                </w:r>
                <w:r w:rsidR="00E83F6E" w:rsidRPr="00E83F6E">
                  <w:rPr>
                    <w:noProof/>
                    <w:szCs w:val="18"/>
                  </w:rPr>
                  <w:t>(Australian Government Actuary, 2019)</w:t>
                </w:r>
                <w:r w:rsidRPr="00027624">
                  <w:rPr>
                    <w:b/>
                    <w:szCs w:val="18"/>
                  </w:rPr>
                  <w:fldChar w:fldCharType="end"/>
                </w:r>
              </w:sdtContent>
            </w:sdt>
            <w:r w:rsidRPr="00027624">
              <w:rPr>
                <w:szCs w:val="18"/>
              </w:rPr>
              <w:t>.</w:t>
            </w:r>
          </w:p>
          <w:p w14:paraId="2A318D52" w14:textId="77777777" w:rsidR="00E96B29" w:rsidRPr="00027624" w:rsidRDefault="00E96B29" w:rsidP="00E96B29">
            <w:pPr>
              <w:pStyle w:val="Heading6"/>
            </w:pPr>
            <w:r w:rsidRPr="00027624">
              <w:t>Who the example applies to</w:t>
            </w:r>
          </w:p>
          <w:p w14:paraId="4A0743C0" w14:textId="77777777" w:rsidR="00E96B29" w:rsidRPr="00027624" w:rsidRDefault="00E96B29" w:rsidP="00E96B29">
            <w:pPr>
              <w:pStyle w:val="BoxText"/>
            </w:pPr>
            <w:r w:rsidRPr="00027624">
              <w:t xml:space="preserve">The merged means test was modelled to apply to all pensions received by people over </w:t>
            </w:r>
            <w:r w:rsidRPr="00027624" w:rsidDel="0068007C">
              <w:t>Age</w:t>
            </w:r>
            <w:r w:rsidRPr="00027624">
              <w:t> Pension eligibility age. This is consistent with how the current dual means test is applied. As such, the merged means test has flow</w:t>
            </w:r>
            <w:r w:rsidR="00A8443E" w:rsidRPr="00027624">
              <w:noBreakHyphen/>
            </w:r>
            <w:r w:rsidRPr="00027624">
              <w:t>on effects to other pension payments.</w:t>
            </w:r>
          </w:p>
          <w:p w14:paraId="13BF0919" w14:textId="77777777" w:rsidR="00E96B29" w:rsidRPr="00027624" w:rsidRDefault="00E96B29" w:rsidP="00E96B29">
            <w:pPr>
              <w:pStyle w:val="Heading6"/>
            </w:pPr>
            <w:r w:rsidRPr="00027624">
              <w:t>Key differences from the current dual means test</w:t>
            </w:r>
          </w:p>
          <w:p w14:paraId="22CCD096" w14:textId="77777777" w:rsidR="00E96B29" w:rsidRPr="00027624" w:rsidRDefault="00E96B29" w:rsidP="00E96B29">
            <w:pPr>
              <w:spacing w:before="0" w:after="240"/>
              <w:rPr>
                <w:sz w:val="20"/>
              </w:rPr>
            </w:pPr>
            <w:r w:rsidRPr="00027624">
              <w:rPr>
                <w:sz w:val="20"/>
              </w:rPr>
              <w:t xml:space="preserve">Given the design of deemed capital consumption and merged means test taper rate, </w:t>
            </w:r>
            <w:r w:rsidRPr="00027624">
              <w:rPr>
                <w:b/>
                <w:sz w:val="20"/>
              </w:rPr>
              <w:t xml:space="preserve">this </w:t>
            </w:r>
            <w:r w:rsidRPr="00027624">
              <w:rPr>
                <w:b/>
                <w:bCs/>
                <w:sz w:val="20"/>
              </w:rPr>
              <w:t>example</w:t>
            </w:r>
            <w:r w:rsidRPr="00027624">
              <w:rPr>
                <w:b/>
                <w:sz w:val="20"/>
              </w:rPr>
              <w:t xml:space="preserve"> represents a combination of reducing the implied assets test free areas and making the effective</w:t>
            </w:r>
            <w:r w:rsidRPr="00027624">
              <w:rPr>
                <w:b/>
                <w:bCs/>
                <w:sz w:val="20"/>
              </w:rPr>
              <w:t xml:space="preserve"> marginal</w:t>
            </w:r>
            <w:r w:rsidRPr="00027624">
              <w:rPr>
                <w:b/>
                <w:sz w:val="20"/>
              </w:rPr>
              <w:t xml:space="preserve"> assets test taper rate age</w:t>
            </w:r>
            <w:r w:rsidR="00A8443E" w:rsidRPr="00027624">
              <w:rPr>
                <w:b/>
                <w:sz w:val="20"/>
              </w:rPr>
              <w:noBreakHyphen/>
            </w:r>
            <w:r w:rsidRPr="00027624">
              <w:rPr>
                <w:b/>
                <w:sz w:val="20"/>
              </w:rPr>
              <w:t>dependent and lower for a significant number of retirees</w:t>
            </w:r>
            <w:r w:rsidRPr="00027624">
              <w:rPr>
                <w:sz w:val="20"/>
              </w:rPr>
              <w:t xml:space="preserve">, as compared with the current dual means test. As a result, retirees would receive different </w:t>
            </w:r>
            <w:r w:rsidRPr="00027624" w:rsidDel="0068007C">
              <w:rPr>
                <w:sz w:val="20"/>
              </w:rPr>
              <w:t>Age Pension</w:t>
            </w:r>
            <w:r w:rsidRPr="00027624">
              <w:rPr>
                <w:sz w:val="20"/>
              </w:rPr>
              <w:t xml:space="preserve"> payments, depending on the amount of assessable assets they hold and their life expectancies. </w:t>
            </w:r>
          </w:p>
        </w:tc>
      </w:tr>
    </w:tbl>
    <w:p w14:paraId="6AA466A1" w14:textId="77777777" w:rsidR="00E96B29" w:rsidRPr="00027624" w:rsidRDefault="00E96B29" w:rsidP="00E96B29">
      <w:pPr>
        <w:pStyle w:val="Heading2"/>
      </w:pPr>
      <w:bookmarkStart w:id="4336" w:name="_Toc45520571"/>
      <w:bookmarkStart w:id="4337" w:name="_Toc46133683"/>
      <w:r w:rsidRPr="00027624">
        <w:t>Impact of the merged means test example</w:t>
      </w:r>
      <w:bookmarkEnd w:id="4336"/>
      <w:bookmarkEnd w:id="4337"/>
    </w:p>
    <w:p w14:paraId="40022D1E" w14:textId="77777777" w:rsidR="00E96B29" w:rsidRPr="00027624" w:rsidRDefault="00E96B29" w:rsidP="00E96B29">
      <w:pPr>
        <w:pStyle w:val="Heading3"/>
      </w:pPr>
      <w:r w:rsidRPr="00027624">
        <w:t>Age Pension payment for retirees of different means and age</w:t>
      </w:r>
    </w:p>
    <w:p w14:paraId="2E89B0B1" w14:textId="163D3585" w:rsidR="00E96B29" w:rsidRPr="00027624" w:rsidRDefault="00E96B29" w:rsidP="00E96B29">
      <w:pPr>
        <w:rPr>
          <w:sz w:val="18"/>
          <w:szCs w:val="18"/>
        </w:rPr>
      </w:pPr>
      <w:r w:rsidRPr="00027624">
        <w:t>The merged means test would consistently determine a retiree</w:t>
      </w:r>
      <w:r w:rsidR="00A8443E" w:rsidRPr="00027624">
        <w:t>’</w:t>
      </w:r>
      <w:r w:rsidRPr="00027624">
        <w:t xml:space="preserve">s </w:t>
      </w:r>
      <w:r w:rsidRPr="00027624" w:rsidDel="0068007C">
        <w:t>Age</w:t>
      </w:r>
      <w:r w:rsidRPr="00027624">
        <w:t xml:space="preserve"> Pension payment on the totality of their means. This would ensure a retiree with a higher combined means receives less </w:t>
      </w:r>
      <w:r w:rsidRPr="00027624" w:rsidDel="0068007C">
        <w:t>Age Pension</w:t>
      </w:r>
      <w:r w:rsidRPr="00027624">
        <w:t xml:space="preserve"> than another person with a lower combined means (</w:t>
      </w:r>
      <w:r w:rsidRPr="00027624">
        <w:fldChar w:fldCharType="begin"/>
      </w:r>
      <w:r w:rsidRPr="00027624">
        <w:instrText xml:space="preserve"> REF _Ref41659319 \r \h  \* MERGEFORMAT </w:instrText>
      </w:r>
      <w:r w:rsidRPr="00027624">
        <w:fldChar w:fldCharType="separate"/>
      </w:r>
      <w:r w:rsidR="00891058">
        <w:t>Table 6B-1</w:t>
      </w:r>
      <w:r w:rsidRPr="00027624">
        <w:fldChar w:fldCharType="end"/>
      </w:r>
      <w:r w:rsidRPr="00027624">
        <w:t>).</w:t>
      </w:r>
    </w:p>
    <w:p w14:paraId="734C3324" w14:textId="77777777" w:rsidR="00E96B29" w:rsidRPr="00027624" w:rsidRDefault="00E96B29" w:rsidP="00FC7361">
      <w:pPr>
        <w:pStyle w:val="TableMainHeading"/>
        <w:numPr>
          <w:ilvl w:val="3"/>
          <w:numId w:val="108"/>
        </w:numPr>
      </w:pPr>
      <w:bookmarkStart w:id="4338" w:name="_Ref41659319"/>
      <w:bookmarkStart w:id="4339" w:name="_Ref40798085"/>
      <w:r w:rsidRPr="00027624">
        <w:t>Cameo: Annual Age Pension payment for two people with different means</w:t>
      </w:r>
      <w:bookmarkEnd w:id="4338"/>
      <w:bookmarkEnd w:id="4339"/>
    </w:p>
    <w:tbl>
      <w:tblPr>
        <w:tblW w:w="5000" w:type="pct"/>
        <w:jc w:val="center"/>
        <w:tblLook w:val="01E0" w:firstRow="1" w:lastRow="1" w:firstColumn="1" w:lastColumn="1" w:noHBand="0" w:noVBand="0"/>
      </w:tblPr>
      <w:tblGrid>
        <w:gridCol w:w="3022"/>
        <w:gridCol w:w="3024"/>
        <w:gridCol w:w="3024"/>
      </w:tblGrid>
      <w:tr w:rsidR="00E96B29" w:rsidRPr="00027624" w14:paraId="55810E54" w14:textId="77777777" w:rsidTr="00E96B29">
        <w:trPr>
          <w:trHeight w:val="270"/>
          <w:tblHeader/>
          <w:jc w:val="center"/>
        </w:trPr>
        <w:tc>
          <w:tcPr>
            <w:tcW w:w="1666" w:type="pct"/>
            <w:shd w:val="clear" w:color="auto" w:fill="E5E5E5"/>
          </w:tcPr>
          <w:p w14:paraId="4D52D8CC" w14:textId="77777777" w:rsidR="00E96B29" w:rsidRPr="00027624" w:rsidRDefault="00E96B29" w:rsidP="00E96B29">
            <w:pPr>
              <w:pStyle w:val="TableTextLeft"/>
              <w:keepNext/>
              <w:spacing w:line="256" w:lineRule="auto"/>
              <w:rPr>
                <w:b/>
                <w:color w:val="144E60" w:themeColor="accent1"/>
                <w:sz w:val="20"/>
              </w:rPr>
            </w:pPr>
          </w:p>
        </w:tc>
        <w:tc>
          <w:tcPr>
            <w:tcW w:w="1667" w:type="pct"/>
            <w:shd w:val="clear" w:color="auto" w:fill="E5E5E5"/>
            <w:hideMark/>
          </w:tcPr>
          <w:p w14:paraId="7E53F986" w14:textId="77777777" w:rsidR="00E96B29" w:rsidRPr="00027624" w:rsidRDefault="00E96B29" w:rsidP="00E96B29">
            <w:pPr>
              <w:pStyle w:val="TableTextLeft"/>
              <w:keepNext/>
              <w:spacing w:line="256" w:lineRule="auto"/>
              <w:jc w:val="center"/>
              <w:rPr>
                <w:b/>
                <w:color w:val="144E60" w:themeColor="accent1"/>
                <w:sz w:val="20"/>
              </w:rPr>
            </w:pPr>
            <w:r w:rsidRPr="00027624">
              <w:rPr>
                <w:b/>
                <w:color w:val="144E60" w:themeColor="accent1"/>
                <w:sz w:val="20"/>
              </w:rPr>
              <w:t>Person 1</w:t>
            </w:r>
          </w:p>
        </w:tc>
        <w:tc>
          <w:tcPr>
            <w:tcW w:w="1667" w:type="pct"/>
            <w:shd w:val="clear" w:color="auto" w:fill="E5E5E5"/>
            <w:hideMark/>
          </w:tcPr>
          <w:p w14:paraId="76988DB3" w14:textId="77777777" w:rsidR="00E96B29" w:rsidRPr="00027624" w:rsidRDefault="00E96B29" w:rsidP="00E96B29">
            <w:pPr>
              <w:pStyle w:val="TableTextLeft"/>
              <w:keepNext/>
              <w:spacing w:line="256" w:lineRule="auto"/>
              <w:jc w:val="center"/>
              <w:rPr>
                <w:b/>
                <w:color w:val="144E60" w:themeColor="accent1"/>
                <w:sz w:val="20"/>
              </w:rPr>
            </w:pPr>
            <w:r w:rsidRPr="00027624">
              <w:rPr>
                <w:b/>
                <w:color w:val="144E60" w:themeColor="accent1"/>
                <w:sz w:val="20"/>
              </w:rPr>
              <w:t>Person 2</w:t>
            </w:r>
          </w:p>
        </w:tc>
      </w:tr>
      <w:tr w:rsidR="00E96B29" w:rsidRPr="00027624" w14:paraId="445EE667" w14:textId="77777777" w:rsidTr="00E96B29">
        <w:trPr>
          <w:trHeight w:val="270"/>
          <w:jc w:val="center"/>
        </w:trPr>
        <w:tc>
          <w:tcPr>
            <w:tcW w:w="1666" w:type="pct"/>
            <w:hideMark/>
          </w:tcPr>
          <w:p w14:paraId="530F818F" w14:textId="77777777" w:rsidR="00E96B29" w:rsidRPr="00027624" w:rsidRDefault="00E96B29" w:rsidP="00E96B29">
            <w:pPr>
              <w:pStyle w:val="TableTextLeft"/>
              <w:keepNext/>
              <w:spacing w:line="256" w:lineRule="auto"/>
            </w:pPr>
            <w:r w:rsidRPr="00027624">
              <w:t>Age</w:t>
            </w:r>
          </w:p>
        </w:tc>
        <w:tc>
          <w:tcPr>
            <w:tcW w:w="1667" w:type="pct"/>
            <w:hideMark/>
          </w:tcPr>
          <w:p w14:paraId="14EA2B03" w14:textId="77777777" w:rsidR="00E96B29" w:rsidRPr="00027624" w:rsidRDefault="00E96B29" w:rsidP="00E96B29">
            <w:pPr>
              <w:pStyle w:val="TableTextLeft"/>
              <w:keepNext/>
              <w:spacing w:line="256" w:lineRule="auto"/>
              <w:jc w:val="center"/>
            </w:pPr>
            <w:r w:rsidRPr="00027624">
              <w:t>67</w:t>
            </w:r>
          </w:p>
        </w:tc>
        <w:tc>
          <w:tcPr>
            <w:tcW w:w="1667" w:type="pct"/>
            <w:hideMark/>
          </w:tcPr>
          <w:p w14:paraId="7680C051" w14:textId="77777777" w:rsidR="00E96B29" w:rsidRPr="00027624" w:rsidRDefault="00E96B29" w:rsidP="00E96B29">
            <w:pPr>
              <w:pStyle w:val="TableTextLeft"/>
              <w:keepNext/>
              <w:spacing w:line="256" w:lineRule="auto"/>
              <w:jc w:val="center"/>
            </w:pPr>
            <w:r w:rsidRPr="00027624">
              <w:t>67</w:t>
            </w:r>
          </w:p>
        </w:tc>
      </w:tr>
      <w:tr w:rsidR="00E96B29" w:rsidRPr="00027624" w14:paraId="71410CDD" w14:textId="77777777" w:rsidTr="00E96B29">
        <w:trPr>
          <w:trHeight w:val="270"/>
          <w:jc w:val="center"/>
        </w:trPr>
        <w:tc>
          <w:tcPr>
            <w:tcW w:w="1666" w:type="pct"/>
            <w:hideMark/>
          </w:tcPr>
          <w:p w14:paraId="07B9C461" w14:textId="77777777" w:rsidR="00E96B29" w:rsidRPr="00027624" w:rsidRDefault="00E96B29" w:rsidP="00E96B29">
            <w:pPr>
              <w:pStyle w:val="TableTextLeft"/>
              <w:keepNext/>
              <w:spacing w:line="256" w:lineRule="auto"/>
            </w:pPr>
            <w:r w:rsidRPr="00027624">
              <w:t>Life expectancy (years)</w:t>
            </w:r>
          </w:p>
        </w:tc>
        <w:tc>
          <w:tcPr>
            <w:tcW w:w="1667" w:type="pct"/>
            <w:hideMark/>
          </w:tcPr>
          <w:p w14:paraId="7CAF713C" w14:textId="77777777" w:rsidR="00E96B29" w:rsidRPr="00027624" w:rsidRDefault="00E96B29" w:rsidP="00E96B29">
            <w:pPr>
              <w:pStyle w:val="TableTextLeft"/>
              <w:keepNext/>
              <w:spacing w:line="256" w:lineRule="auto"/>
              <w:jc w:val="center"/>
            </w:pPr>
            <w:r w:rsidRPr="00027624">
              <w:t>20.7</w:t>
            </w:r>
          </w:p>
        </w:tc>
        <w:tc>
          <w:tcPr>
            <w:tcW w:w="1667" w:type="pct"/>
            <w:hideMark/>
          </w:tcPr>
          <w:p w14:paraId="71980D3F" w14:textId="77777777" w:rsidR="00E96B29" w:rsidRPr="00027624" w:rsidRDefault="00E96B29" w:rsidP="00E96B29">
            <w:pPr>
              <w:pStyle w:val="TableTextLeft"/>
              <w:keepNext/>
              <w:spacing w:line="256" w:lineRule="auto"/>
              <w:jc w:val="center"/>
            </w:pPr>
            <w:r w:rsidRPr="00027624">
              <w:t>20.7</w:t>
            </w:r>
          </w:p>
        </w:tc>
      </w:tr>
      <w:tr w:rsidR="00E96B29" w:rsidRPr="00027624" w14:paraId="38F82285" w14:textId="77777777" w:rsidTr="00E96B29">
        <w:trPr>
          <w:trHeight w:val="270"/>
          <w:jc w:val="center"/>
        </w:trPr>
        <w:tc>
          <w:tcPr>
            <w:tcW w:w="5000" w:type="pct"/>
            <w:gridSpan w:val="3"/>
            <w:hideMark/>
          </w:tcPr>
          <w:p w14:paraId="6797788A" w14:textId="77777777" w:rsidR="00E96B29" w:rsidRPr="00027624" w:rsidRDefault="00E96B29" w:rsidP="00E96B29">
            <w:pPr>
              <w:pStyle w:val="TableTextLeft"/>
              <w:keepNext/>
              <w:spacing w:line="256" w:lineRule="auto"/>
              <w:rPr>
                <w:b/>
                <w:i/>
              </w:rPr>
            </w:pPr>
            <w:r w:rsidRPr="00027624">
              <w:rPr>
                <w:b/>
                <w:i/>
              </w:rPr>
              <w:t>Under current arrangements</w:t>
            </w:r>
          </w:p>
        </w:tc>
      </w:tr>
      <w:tr w:rsidR="00E96B29" w:rsidRPr="00027624" w14:paraId="2CC03288" w14:textId="77777777" w:rsidTr="00E96B29">
        <w:trPr>
          <w:trHeight w:val="270"/>
          <w:jc w:val="center"/>
        </w:trPr>
        <w:tc>
          <w:tcPr>
            <w:tcW w:w="1666" w:type="pct"/>
            <w:hideMark/>
          </w:tcPr>
          <w:p w14:paraId="225120BC" w14:textId="77777777" w:rsidR="00E96B29" w:rsidRPr="00027624" w:rsidRDefault="00E96B29" w:rsidP="00E96B29">
            <w:pPr>
              <w:pStyle w:val="TableTextLeft"/>
              <w:keepNext/>
              <w:spacing w:line="256" w:lineRule="auto"/>
            </w:pPr>
            <w:r w:rsidRPr="00027624">
              <w:t>Employment income ($)</w:t>
            </w:r>
          </w:p>
        </w:tc>
        <w:tc>
          <w:tcPr>
            <w:tcW w:w="1667" w:type="pct"/>
            <w:hideMark/>
          </w:tcPr>
          <w:p w14:paraId="1D618CAA" w14:textId="77777777" w:rsidR="00E96B29" w:rsidRPr="00027624" w:rsidRDefault="00E96B29" w:rsidP="00E96B29">
            <w:pPr>
              <w:pStyle w:val="TableTextLeft"/>
              <w:keepNext/>
              <w:spacing w:line="256" w:lineRule="auto"/>
              <w:jc w:val="center"/>
            </w:pPr>
            <w:r w:rsidRPr="00027624">
              <w:t>0</w:t>
            </w:r>
          </w:p>
        </w:tc>
        <w:tc>
          <w:tcPr>
            <w:tcW w:w="1667" w:type="pct"/>
            <w:hideMark/>
          </w:tcPr>
          <w:p w14:paraId="425E0A5C" w14:textId="77777777" w:rsidR="00E96B29" w:rsidRPr="00027624" w:rsidRDefault="00E96B29" w:rsidP="00E96B29">
            <w:pPr>
              <w:pStyle w:val="TableTextLeft"/>
              <w:keepNext/>
              <w:spacing w:line="256" w:lineRule="auto"/>
              <w:jc w:val="center"/>
            </w:pPr>
            <w:r w:rsidRPr="00027624">
              <w:t>20,000</w:t>
            </w:r>
          </w:p>
        </w:tc>
      </w:tr>
      <w:tr w:rsidR="00E96B29" w:rsidRPr="00027624" w14:paraId="1DF87D27" w14:textId="77777777" w:rsidTr="00E96B29">
        <w:trPr>
          <w:trHeight w:val="270"/>
          <w:jc w:val="center"/>
        </w:trPr>
        <w:tc>
          <w:tcPr>
            <w:tcW w:w="1666" w:type="pct"/>
            <w:hideMark/>
          </w:tcPr>
          <w:p w14:paraId="645F4D57" w14:textId="77777777" w:rsidR="00E96B29" w:rsidRPr="00027624" w:rsidRDefault="00E96B29">
            <w:pPr>
              <w:pStyle w:val="TableTextLeft"/>
              <w:spacing w:line="256" w:lineRule="auto"/>
            </w:pPr>
            <w:r w:rsidRPr="00027624">
              <w:t>Assessable assets ($)</w:t>
            </w:r>
          </w:p>
        </w:tc>
        <w:tc>
          <w:tcPr>
            <w:tcW w:w="1667" w:type="pct"/>
            <w:hideMark/>
          </w:tcPr>
          <w:p w14:paraId="3726FCD0" w14:textId="77777777" w:rsidR="00E96B29" w:rsidRPr="00027624" w:rsidRDefault="00E96B29" w:rsidP="00E96B29">
            <w:pPr>
              <w:pStyle w:val="TableTextLeft"/>
              <w:spacing w:line="256" w:lineRule="auto"/>
              <w:jc w:val="center"/>
            </w:pPr>
            <w:r w:rsidRPr="00027624">
              <w:t>500,000</w:t>
            </w:r>
          </w:p>
        </w:tc>
        <w:tc>
          <w:tcPr>
            <w:tcW w:w="1667" w:type="pct"/>
            <w:hideMark/>
          </w:tcPr>
          <w:p w14:paraId="6DBD9B37" w14:textId="77777777" w:rsidR="00E96B29" w:rsidRPr="00027624" w:rsidRDefault="00E96B29" w:rsidP="00E96B29">
            <w:pPr>
              <w:pStyle w:val="TableTextLeft"/>
              <w:spacing w:line="256" w:lineRule="auto"/>
              <w:jc w:val="center"/>
            </w:pPr>
            <w:r w:rsidRPr="00027624">
              <w:t>500,000</w:t>
            </w:r>
          </w:p>
        </w:tc>
      </w:tr>
      <w:tr w:rsidR="00E96B29" w:rsidRPr="00027624" w14:paraId="3745C262" w14:textId="77777777" w:rsidTr="00E96B29">
        <w:trPr>
          <w:trHeight w:val="270"/>
          <w:jc w:val="center"/>
        </w:trPr>
        <w:tc>
          <w:tcPr>
            <w:tcW w:w="1666" w:type="pct"/>
            <w:hideMark/>
          </w:tcPr>
          <w:p w14:paraId="60E5F17F" w14:textId="77777777" w:rsidR="00E96B29" w:rsidRPr="00027624" w:rsidRDefault="00E96B29">
            <w:pPr>
              <w:pStyle w:val="TableTextLeft"/>
              <w:spacing w:line="256" w:lineRule="auto"/>
            </w:pPr>
            <w:r w:rsidRPr="00027624" w:rsidDel="0068007C">
              <w:t>Age</w:t>
            </w:r>
            <w:r w:rsidRPr="00027624">
              <w:t> Pension payment ($)</w:t>
            </w:r>
          </w:p>
        </w:tc>
        <w:tc>
          <w:tcPr>
            <w:tcW w:w="1667" w:type="pct"/>
            <w:hideMark/>
          </w:tcPr>
          <w:p w14:paraId="706E750B" w14:textId="77777777" w:rsidR="00E96B29" w:rsidRPr="00027624" w:rsidRDefault="00E96B29" w:rsidP="00E96B29">
            <w:pPr>
              <w:pStyle w:val="TableTextLeft"/>
              <w:spacing w:line="256" w:lineRule="auto"/>
              <w:jc w:val="center"/>
            </w:pPr>
            <w:r w:rsidRPr="00027624">
              <w:t>6,085</w:t>
            </w:r>
          </w:p>
        </w:tc>
        <w:tc>
          <w:tcPr>
            <w:tcW w:w="1667" w:type="pct"/>
            <w:hideMark/>
          </w:tcPr>
          <w:p w14:paraId="588D1404" w14:textId="77777777" w:rsidR="00E96B29" w:rsidRPr="00027624" w:rsidRDefault="00E96B29" w:rsidP="00E96B29">
            <w:pPr>
              <w:pStyle w:val="TableTextLeft"/>
              <w:keepNext/>
              <w:spacing w:line="256" w:lineRule="auto"/>
              <w:jc w:val="center"/>
            </w:pPr>
            <w:r w:rsidRPr="00027624">
              <w:t>6,085</w:t>
            </w:r>
          </w:p>
        </w:tc>
      </w:tr>
      <w:tr w:rsidR="00E96B29" w:rsidRPr="00027624" w14:paraId="2C8E0D95" w14:textId="77777777" w:rsidTr="00E96B29">
        <w:trPr>
          <w:trHeight w:val="270"/>
          <w:jc w:val="center"/>
        </w:trPr>
        <w:tc>
          <w:tcPr>
            <w:tcW w:w="5000" w:type="pct"/>
            <w:gridSpan w:val="3"/>
            <w:hideMark/>
          </w:tcPr>
          <w:p w14:paraId="0A3EF6C8" w14:textId="77777777" w:rsidR="00E96B29" w:rsidRPr="00027624" w:rsidRDefault="00E96B29" w:rsidP="00E96B29">
            <w:pPr>
              <w:pStyle w:val="TableTextLeft"/>
              <w:spacing w:line="256" w:lineRule="auto"/>
              <w:rPr>
                <w:b/>
                <w:i/>
              </w:rPr>
            </w:pPr>
            <w:r w:rsidRPr="00027624">
              <w:rPr>
                <w:b/>
                <w:i/>
              </w:rPr>
              <w:t>Under a merged means test with age</w:t>
            </w:r>
            <w:r w:rsidR="00A8443E" w:rsidRPr="00027624">
              <w:rPr>
                <w:b/>
                <w:i/>
              </w:rPr>
              <w:noBreakHyphen/>
            </w:r>
            <w:r w:rsidRPr="00027624">
              <w:rPr>
                <w:b/>
                <w:i/>
              </w:rPr>
              <w:t>based capital consumption</w:t>
            </w:r>
          </w:p>
        </w:tc>
      </w:tr>
      <w:tr w:rsidR="00E96B29" w:rsidRPr="00027624" w14:paraId="5C84F56E" w14:textId="77777777" w:rsidTr="00E96B29">
        <w:trPr>
          <w:trHeight w:val="270"/>
          <w:jc w:val="center"/>
        </w:trPr>
        <w:tc>
          <w:tcPr>
            <w:tcW w:w="1666" w:type="pct"/>
            <w:hideMark/>
          </w:tcPr>
          <w:p w14:paraId="60ABC613" w14:textId="77777777" w:rsidR="00E96B29" w:rsidRPr="00027624" w:rsidRDefault="00E96B29">
            <w:pPr>
              <w:pStyle w:val="TableTextLeft"/>
              <w:spacing w:line="256" w:lineRule="auto"/>
            </w:pPr>
            <w:r w:rsidRPr="00027624">
              <w:t>Assessable assets after deduction of personal use assets ($)</w:t>
            </w:r>
          </w:p>
        </w:tc>
        <w:tc>
          <w:tcPr>
            <w:tcW w:w="1667" w:type="pct"/>
            <w:hideMark/>
          </w:tcPr>
          <w:p w14:paraId="38DAA28A" w14:textId="77777777" w:rsidR="00E96B29" w:rsidRPr="00027624" w:rsidRDefault="00E96B29" w:rsidP="00E96B29">
            <w:pPr>
              <w:pStyle w:val="TableTextLeft"/>
              <w:spacing w:line="256" w:lineRule="auto"/>
              <w:jc w:val="center"/>
            </w:pPr>
            <w:r w:rsidRPr="00027624">
              <w:t>470,000</w:t>
            </w:r>
          </w:p>
        </w:tc>
        <w:tc>
          <w:tcPr>
            <w:tcW w:w="1667" w:type="pct"/>
            <w:hideMark/>
          </w:tcPr>
          <w:p w14:paraId="369A6798" w14:textId="77777777" w:rsidR="00E96B29" w:rsidRPr="00027624" w:rsidRDefault="00E96B29" w:rsidP="00E96B29">
            <w:pPr>
              <w:pStyle w:val="TableTextLeft"/>
              <w:keepNext/>
              <w:spacing w:line="256" w:lineRule="auto"/>
              <w:jc w:val="center"/>
            </w:pPr>
            <w:r w:rsidRPr="00027624">
              <w:t>470,000</w:t>
            </w:r>
          </w:p>
        </w:tc>
      </w:tr>
      <w:tr w:rsidR="00E96B29" w:rsidRPr="00027624" w14:paraId="5071FE61" w14:textId="77777777" w:rsidTr="00E96B29">
        <w:trPr>
          <w:trHeight w:val="270"/>
          <w:jc w:val="center"/>
        </w:trPr>
        <w:tc>
          <w:tcPr>
            <w:tcW w:w="1666" w:type="pct"/>
            <w:hideMark/>
          </w:tcPr>
          <w:p w14:paraId="73C8542D" w14:textId="77777777" w:rsidR="00E96B29" w:rsidRPr="00027624" w:rsidRDefault="00E96B29">
            <w:pPr>
              <w:pStyle w:val="TableTextLeft"/>
              <w:spacing w:line="256" w:lineRule="auto"/>
            </w:pPr>
            <w:r w:rsidRPr="00027624">
              <w:t>Deemed income ($)</w:t>
            </w:r>
          </w:p>
        </w:tc>
        <w:tc>
          <w:tcPr>
            <w:tcW w:w="1667" w:type="pct"/>
            <w:hideMark/>
          </w:tcPr>
          <w:p w14:paraId="67522CAB" w14:textId="77777777" w:rsidR="00E96B29" w:rsidRPr="00027624" w:rsidRDefault="00E96B29" w:rsidP="00E96B29">
            <w:pPr>
              <w:pStyle w:val="TableTextLeft"/>
              <w:spacing w:line="256" w:lineRule="auto"/>
              <w:jc w:val="center"/>
            </w:pPr>
            <w:r w:rsidRPr="00027624">
              <w:t>9,539</w:t>
            </w:r>
          </w:p>
        </w:tc>
        <w:tc>
          <w:tcPr>
            <w:tcW w:w="1667" w:type="pct"/>
            <w:hideMark/>
          </w:tcPr>
          <w:p w14:paraId="568892BB" w14:textId="77777777" w:rsidR="00E96B29" w:rsidRPr="00027624" w:rsidRDefault="00E96B29" w:rsidP="00E96B29">
            <w:pPr>
              <w:pStyle w:val="TableTextLeft"/>
              <w:keepNext/>
              <w:spacing w:line="256" w:lineRule="auto"/>
              <w:jc w:val="center"/>
            </w:pPr>
            <w:r w:rsidRPr="00027624">
              <w:t>9,539</w:t>
            </w:r>
          </w:p>
        </w:tc>
      </w:tr>
      <w:tr w:rsidR="00E96B29" w:rsidRPr="00027624" w14:paraId="6CEA2DD1" w14:textId="77777777" w:rsidTr="00E96B29">
        <w:trPr>
          <w:trHeight w:val="270"/>
          <w:jc w:val="center"/>
        </w:trPr>
        <w:tc>
          <w:tcPr>
            <w:tcW w:w="1666" w:type="pct"/>
            <w:hideMark/>
          </w:tcPr>
          <w:p w14:paraId="40389F0A" w14:textId="77777777" w:rsidR="00E96B29" w:rsidRPr="00027624" w:rsidRDefault="00E96B29">
            <w:pPr>
              <w:pStyle w:val="TableTextLeft"/>
              <w:spacing w:line="256" w:lineRule="auto"/>
            </w:pPr>
            <w:r w:rsidRPr="00027624">
              <w:t>Deemed capital consumption ($)</w:t>
            </w:r>
          </w:p>
        </w:tc>
        <w:tc>
          <w:tcPr>
            <w:tcW w:w="1667" w:type="pct"/>
            <w:hideMark/>
          </w:tcPr>
          <w:p w14:paraId="573A0744" w14:textId="77777777" w:rsidR="00E96B29" w:rsidRPr="00027624" w:rsidRDefault="00E96B29" w:rsidP="00E96B29">
            <w:pPr>
              <w:pStyle w:val="TableTextLeft"/>
              <w:spacing w:line="256" w:lineRule="auto"/>
              <w:jc w:val="center"/>
            </w:pPr>
            <w:r w:rsidRPr="00027624">
              <w:t>22,705</w:t>
            </w:r>
          </w:p>
        </w:tc>
        <w:tc>
          <w:tcPr>
            <w:tcW w:w="1667" w:type="pct"/>
            <w:hideMark/>
          </w:tcPr>
          <w:p w14:paraId="6835A43A" w14:textId="77777777" w:rsidR="00E96B29" w:rsidRPr="00027624" w:rsidRDefault="00E96B29" w:rsidP="00E96B29">
            <w:pPr>
              <w:pStyle w:val="TableTextLeft"/>
              <w:keepNext/>
              <w:spacing w:line="256" w:lineRule="auto"/>
              <w:jc w:val="center"/>
            </w:pPr>
            <w:r w:rsidRPr="00027624">
              <w:t>22,705</w:t>
            </w:r>
          </w:p>
        </w:tc>
      </w:tr>
      <w:tr w:rsidR="00E96B29" w:rsidRPr="00027624" w14:paraId="7CD7FE1C" w14:textId="77777777" w:rsidTr="00E96B29">
        <w:trPr>
          <w:trHeight w:val="270"/>
          <w:jc w:val="center"/>
        </w:trPr>
        <w:tc>
          <w:tcPr>
            <w:tcW w:w="1666" w:type="pct"/>
            <w:hideMark/>
          </w:tcPr>
          <w:p w14:paraId="6EECA894" w14:textId="77777777" w:rsidR="00E96B29" w:rsidRPr="00027624" w:rsidRDefault="00E96B29">
            <w:pPr>
              <w:pStyle w:val="TableTextLeft"/>
              <w:spacing w:line="256" w:lineRule="auto"/>
            </w:pPr>
            <w:r w:rsidRPr="00027624">
              <w:t>Employment income ($)</w:t>
            </w:r>
          </w:p>
        </w:tc>
        <w:tc>
          <w:tcPr>
            <w:tcW w:w="1667" w:type="pct"/>
            <w:hideMark/>
          </w:tcPr>
          <w:p w14:paraId="080C2723" w14:textId="77777777" w:rsidR="00E96B29" w:rsidRPr="00027624" w:rsidRDefault="00E96B29" w:rsidP="00E96B29">
            <w:pPr>
              <w:pStyle w:val="TableTextLeft"/>
              <w:spacing w:line="256" w:lineRule="auto"/>
              <w:jc w:val="center"/>
            </w:pPr>
            <w:r w:rsidRPr="00027624">
              <w:t>Nil</w:t>
            </w:r>
          </w:p>
        </w:tc>
        <w:tc>
          <w:tcPr>
            <w:tcW w:w="1667" w:type="pct"/>
            <w:hideMark/>
          </w:tcPr>
          <w:p w14:paraId="55461672" w14:textId="77777777" w:rsidR="00E96B29" w:rsidRPr="00027624" w:rsidRDefault="00E96B29" w:rsidP="00E96B29">
            <w:pPr>
              <w:pStyle w:val="TableTextLeft"/>
              <w:keepNext/>
              <w:spacing w:line="256" w:lineRule="auto"/>
              <w:jc w:val="center"/>
            </w:pPr>
            <w:r w:rsidRPr="00027624">
              <w:t>20,000</w:t>
            </w:r>
          </w:p>
        </w:tc>
      </w:tr>
      <w:tr w:rsidR="00E96B29" w:rsidRPr="00027624" w14:paraId="0F55DBD5" w14:textId="77777777" w:rsidTr="00E96B29">
        <w:trPr>
          <w:trHeight w:val="270"/>
          <w:jc w:val="center"/>
        </w:trPr>
        <w:tc>
          <w:tcPr>
            <w:tcW w:w="1666" w:type="pct"/>
            <w:hideMark/>
          </w:tcPr>
          <w:p w14:paraId="053C6B31" w14:textId="77777777" w:rsidR="00E96B29" w:rsidRPr="00027624" w:rsidRDefault="00E96B29">
            <w:pPr>
              <w:pStyle w:val="TableTextLeft"/>
              <w:spacing w:line="256" w:lineRule="auto"/>
            </w:pPr>
            <w:r w:rsidRPr="00027624">
              <w:t>Less Work Bonus ($)</w:t>
            </w:r>
          </w:p>
        </w:tc>
        <w:tc>
          <w:tcPr>
            <w:tcW w:w="1667" w:type="pct"/>
            <w:hideMark/>
          </w:tcPr>
          <w:p w14:paraId="79E8E361" w14:textId="77777777" w:rsidR="00E96B29" w:rsidRPr="00027624" w:rsidRDefault="00E96B29" w:rsidP="00E96B29">
            <w:pPr>
              <w:pStyle w:val="TableTextLeft"/>
              <w:spacing w:line="256" w:lineRule="auto"/>
              <w:jc w:val="center"/>
            </w:pPr>
            <w:r w:rsidRPr="00027624">
              <w:t>N/A</w:t>
            </w:r>
          </w:p>
        </w:tc>
        <w:tc>
          <w:tcPr>
            <w:tcW w:w="1667" w:type="pct"/>
            <w:hideMark/>
          </w:tcPr>
          <w:p w14:paraId="7668035C" w14:textId="77777777" w:rsidR="00E96B29" w:rsidRPr="00027624" w:rsidRDefault="00E96B29" w:rsidP="00E96B29">
            <w:pPr>
              <w:pStyle w:val="TableTextLeft"/>
              <w:keepNext/>
              <w:spacing w:line="256" w:lineRule="auto"/>
              <w:jc w:val="center"/>
            </w:pPr>
            <w:r w:rsidRPr="00027624">
              <w:t>7,800</w:t>
            </w:r>
          </w:p>
        </w:tc>
      </w:tr>
      <w:tr w:rsidR="00E96B29" w:rsidRPr="00027624" w14:paraId="71ED49B9" w14:textId="77777777" w:rsidTr="00E96B29">
        <w:trPr>
          <w:trHeight w:val="270"/>
          <w:jc w:val="center"/>
        </w:trPr>
        <w:tc>
          <w:tcPr>
            <w:tcW w:w="1666" w:type="pct"/>
            <w:hideMark/>
          </w:tcPr>
          <w:p w14:paraId="6BDF3425" w14:textId="77777777" w:rsidR="00E96B29" w:rsidRPr="00027624" w:rsidRDefault="00E96B29">
            <w:pPr>
              <w:pStyle w:val="TableTextLeft"/>
              <w:spacing w:line="256" w:lineRule="auto"/>
            </w:pPr>
            <w:r w:rsidRPr="00027624">
              <w:t>Total means ($)</w:t>
            </w:r>
          </w:p>
        </w:tc>
        <w:tc>
          <w:tcPr>
            <w:tcW w:w="1667" w:type="pct"/>
            <w:hideMark/>
          </w:tcPr>
          <w:p w14:paraId="6CE0715D" w14:textId="77777777" w:rsidR="00E96B29" w:rsidRPr="00027624" w:rsidRDefault="00E96B29" w:rsidP="00E96B29">
            <w:pPr>
              <w:pStyle w:val="TableTextLeft"/>
              <w:spacing w:line="256" w:lineRule="auto"/>
              <w:jc w:val="center"/>
            </w:pPr>
            <w:r w:rsidRPr="00027624">
              <w:t>32,244</w:t>
            </w:r>
          </w:p>
        </w:tc>
        <w:tc>
          <w:tcPr>
            <w:tcW w:w="1667" w:type="pct"/>
            <w:hideMark/>
          </w:tcPr>
          <w:p w14:paraId="7969FBC9" w14:textId="77777777" w:rsidR="00E96B29" w:rsidRPr="00027624" w:rsidRDefault="00E96B29" w:rsidP="00E96B29">
            <w:pPr>
              <w:pStyle w:val="TableTextLeft"/>
              <w:keepNext/>
              <w:spacing w:line="256" w:lineRule="auto"/>
              <w:jc w:val="center"/>
            </w:pPr>
            <w:r w:rsidRPr="00027624">
              <w:t>44,444</w:t>
            </w:r>
          </w:p>
        </w:tc>
      </w:tr>
      <w:tr w:rsidR="00E96B29" w:rsidRPr="00027624" w14:paraId="3D0A5A30" w14:textId="77777777" w:rsidTr="00E96B29">
        <w:trPr>
          <w:trHeight w:val="270"/>
          <w:jc w:val="center"/>
        </w:trPr>
        <w:tc>
          <w:tcPr>
            <w:tcW w:w="1666" w:type="pct"/>
            <w:hideMark/>
          </w:tcPr>
          <w:p w14:paraId="37323A37" w14:textId="77777777" w:rsidR="00E96B29" w:rsidRPr="00027624" w:rsidRDefault="00E96B29">
            <w:pPr>
              <w:pStyle w:val="TableTextLeft"/>
              <w:spacing w:line="256" w:lineRule="auto"/>
            </w:pPr>
            <w:r w:rsidRPr="00027624">
              <w:t>Less free area ($)</w:t>
            </w:r>
          </w:p>
        </w:tc>
        <w:tc>
          <w:tcPr>
            <w:tcW w:w="1667" w:type="pct"/>
            <w:hideMark/>
          </w:tcPr>
          <w:p w14:paraId="1CF01B23" w14:textId="77777777" w:rsidR="00E96B29" w:rsidRPr="00027624" w:rsidRDefault="00E96B29" w:rsidP="00E96B29">
            <w:pPr>
              <w:pStyle w:val="TableTextLeft"/>
              <w:spacing w:line="256" w:lineRule="auto"/>
              <w:jc w:val="center"/>
            </w:pPr>
            <w:r w:rsidRPr="00027624">
              <w:t>9,048</w:t>
            </w:r>
          </w:p>
        </w:tc>
        <w:tc>
          <w:tcPr>
            <w:tcW w:w="1667" w:type="pct"/>
            <w:hideMark/>
          </w:tcPr>
          <w:p w14:paraId="424DC84F" w14:textId="77777777" w:rsidR="00E96B29" w:rsidRPr="00027624" w:rsidRDefault="00E96B29" w:rsidP="00E96B29">
            <w:pPr>
              <w:pStyle w:val="TableTextLeft"/>
              <w:keepNext/>
              <w:spacing w:line="256" w:lineRule="auto"/>
              <w:jc w:val="center"/>
            </w:pPr>
            <w:r w:rsidRPr="00027624">
              <w:t>9,048</w:t>
            </w:r>
          </w:p>
        </w:tc>
      </w:tr>
      <w:tr w:rsidR="00E96B29" w:rsidRPr="00027624" w14:paraId="77789F7A" w14:textId="77777777" w:rsidTr="00E96B29">
        <w:trPr>
          <w:trHeight w:val="270"/>
          <w:jc w:val="center"/>
        </w:trPr>
        <w:tc>
          <w:tcPr>
            <w:tcW w:w="1666" w:type="pct"/>
            <w:hideMark/>
          </w:tcPr>
          <w:p w14:paraId="5132B4F5" w14:textId="77777777" w:rsidR="00E96B29" w:rsidRPr="00027624" w:rsidRDefault="00E96B29">
            <w:pPr>
              <w:pStyle w:val="TableTextLeft"/>
              <w:spacing w:line="256" w:lineRule="auto"/>
            </w:pPr>
            <w:r w:rsidRPr="00027624">
              <w:t>Assessable means ($)</w:t>
            </w:r>
          </w:p>
        </w:tc>
        <w:tc>
          <w:tcPr>
            <w:tcW w:w="1667" w:type="pct"/>
            <w:hideMark/>
          </w:tcPr>
          <w:p w14:paraId="21550CD2" w14:textId="77777777" w:rsidR="00E96B29" w:rsidRPr="00027624" w:rsidRDefault="00E96B29" w:rsidP="00E96B29">
            <w:pPr>
              <w:pStyle w:val="TableTextLeft"/>
              <w:spacing w:line="256" w:lineRule="auto"/>
              <w:jc w:val="center"/>
            </w:pPr>
            <w:r w:rsidRPr="00027624">
              <w:t>23,196</w:t>
            </w:r>
          </w:p>
        </w:tc>
        <w:tc>
          <w:tcPr>
            <w:tcW w:w="1667" w:type="pct"/>
            <w:hideMark/>
          </w:tcPr>
          <w:p w14:paraId="56D9AAC1" w14:textId="77777777" w:rsidR="00E96B29" w:rsidRPr="00027624" w:rsidRDefault="00E96B29" w:rsidP="00E96B29">
            <w:pPr>
              <w:pStyle w:val="TableTextLeft"/>
              <w:keepNext/>
              <w:spacing w:line="256" w:lineRule="auto"/>
              <w:jc w:val="center"/>
            </w:pPr>
            <w:r w:rsidRPr="00027624">
              <w:t>35,396</w:t>
            </w:r>
          </w:p>
        </w:tc>
      </w:tr>
      <w:tr w:rsidR="00E96B29" w:rsidRPr="00027624" w14:paraId="2236A2C5" w14:textId="77777777" w:rsidTr="00E96B29">
        <w:trPr>
          <w:trHeight w:val="270"/>
          <w:jc w:val="center"/>
        </w:trPr>
        <w:tc>
          <w:tcPr>
            <w:tcW w:w="1666" w:type="pct"/>
            <w:hideMark/>
          </w:tcPr>
          <w:p w14:paraId="698B04B4" w14:textId="77777777" w:rsidR="00E96B29" w:rsidRPr="00027624" w:rsidRDefault="00E96B29">
            <w:pPr>
              <w:pStyle w:val="TableTextLeft"/>
              <w:spacing w:line="256" w:lineRule="auto"/>
            </w:pPr>
            <w:r w:rsidRPr="00027624" w:rsidDel="0068007C">
              <w:t>Age</w:t>
            </w:r>
            <w:r w:rsidRPr="00027624">
              <w:t> Pension payment ($)</w:t>
            </w:r>
          </w:p>
        </w:tc>
        <w:tc>
          <w:tcPr>
            <w:tcW w:w="1667" w:type="pct"/>
            <w:hideMark/>
          </w:tcPr>
          <w:p w14:paraId="15405120" w14:textId="77777777" w:rsidR="00E96B29" w:rsidRPr="00027624" w:rsidRDefault="00E96B29" w:rsidP="00E96B29">
            <w:pPr>
              <w:pStyle w:val="TableTextLeft"/>
              <w:spacing w:line="256" w:lineRule="auto"/>
              <w:jc w:val="center"/>
            </w:pPr>
            <w:r w:rsidRPr="00027624">
              <w:t>12,954</w:t>
            </w:r>
          </w:p>
        </w:tc>
        <w:tc>
          <w:tcPr>
            <w:tcW w:w="1667" w:type="pct"/>
            <w:hideMark/>
          </w:tcPr>
          <w:p w14:paraId="5F74E308" w14:textId="77777777" w:rsidR="00E96B29" w:rsidRPr="00027624" w:rsidRDefault="00E96B29" w:rsidP="00E96B29">
            <w:pPr>
              <w:pStyle w:val="TableTextLeft"/>
              <w:keepNext/>
              <w:spacing w:line="256" w:lineRule="auto"/>
              <w:jc w:val="center"/>
            </w:pPr>
            <w:r w:rsidRPr="00027624">
              <w:t>6,854</w:t>
            </w:r>
          </w:p>
        </w:tc>
      </w:tr>
    </w:tbl>
    <w:p w14:paraId="250F1285" w14:textId="77777777" w:rsidR="00E96B29" w:rsidRPr="00027624" w:rsidRDefault="00E96B29" w:rsidP="00E96B29">
      <w:pPr>
        <w:spacing w:after="240"/>
        <w:rPr>
          <w:sz w:val="18"/>
          <w:szCs w:val="18"/>
        </w:rPr>
      </w:pPr>
      <w:r w:rsidRPr="00027624">
        <w:rPr>
          <w:sz w:val="18"/>
          <w:szCs w:val="18"/>
        </w:rPr>
        <w:t>Note: Values are in 2019</w:t>
      </w:r>
      <w:r w:rsidR="00A8443E" w:rsidRPr="00027624">
        <w:rPr>
          <w:sz w:val="18"/>
          <w:szCs w:val="18"/>
        </w:rPr>
        <w:noBreakHyphen/>
      </w:r>
      <w:r w:rsidRPr="00027624">
        <w:rPr>
          <w:sz w:val="18"/>
          <w:szCs w:val="18"/>
        </w:rPr>
        <w:t xml:space="preserve">20 dollars. Assumes the people are single home owners who each have $30,000 of personal use assets, have no other income other than employment income, and deemed income from financial assets. Source: </w:t>
      </w:r>
      <w:r w:rsidRPr="00027624">
        <w:rPr>
          <w:sz w:val="18"/>
        </w:rPr>
        <w:t xml:space="preserve">Calculations based on </w:t>
      </w:r>
      <w:r w:rsidRPr="00027624" w:rsidDel="0068007C">
        <w:rPr>
          <w:sz w:val="18"/>
        </w:rPr>
        <w:t>Age</w:t>
      </w:r>
      <w:r w:rsidRPr="00027624">
        <w:rPr>
          <w:sz w:val="18"/>
        </w:rPr>
        <w:t> Pension rates and thresholds as at 1 May 2020</w:t>
      </w:r>
      <w:r w:rsidRPr="00027624">
        <w:rPr>
          <w:sz w:val="18"/>
          <w:szCs w:val="18"/>
        </w:rPr>
        <w:t xml:space="preserve"> and assumptions for the example of a merged means test. The life expectancy used to calculate the deemed capital consumption is sourced from the Australian Life Tables 2015</w:t>
      </w:r>
      <w:r w:rsidR="00A8443E" w:rsidRPr="00027624">
        <w:rPr>
          <w:sz w:val="18"/>
          <w:szCs w:val="18"/>
        </w:rPr>
        <w:noBreakHyphen/>
      </w:r>
      <w:r w:rsidRPr="00027624">
        <w:rPr>
          <w:sz w:val="18"/>
          <w:szCs w:val="18"/>
        </w:rPr>
        <w:t xml:space="preserve">17 </w:t>
      </w:r>
      <w:sdt>
        <w:sdtPr>
          <w:rPr>
            <w:sz w:val="18"/>
            <w:szCs w:val="18"/>
          </w:rPr>
          <w:id w:val="271749244"/>
          <w:citation/>
        </w:sdtPr>
        <w:sdtEndPr/>
        <w:sdtContent>
          <w:r w:rsidRPr="00027624">
            <w:rPr>
              <w:sz w:val="18"/>
              <w:szCs w:val="18"/>
            </w:rPr>
            <w:fldChar w:fldCharType="begin"/>
          </w:r>
          <w:r w:rsidRPr="00027624">
            <w:rPr>
              <w:sz w:val="18"/>
              <w:szCs w:val="18"/>
            </w:rPr>
            <w:instrText xml:space="preserve"> CITATION AGA19 \l 3081 </w:instrText>
          </w:r>
          <w:r w:rsidRPr="00027624">
            <w:rPr>
              <w:sz w:val="18"/>
              <w:szCs w:val="18"/>
            </w:rPr>
            <w:fldChar w:fldCharType="separate"/>
          </w:r>
          <w:r w:rsidR="00E83F6E" w:rsidRPr="00E83F6E">
            <w:rPr>
              <w:noProof/>
              <w:sz w:val="18"/>
              <w:szCs w:val="18"/>
            </w:rPr>
            <w:t>(Australian Government Actuary, 2019)</w:t>
          </w:r>
          <w:r w:rsidRPr="00027624">
            <w:rPr>
              <w:sz w:val="18"/>
              <w:szCs w:val="18"/>
            </w:rPr>
            <w:fldChar w:fldCharType="end"/>
          </w:r>
        </w:sdtContent>
      </w:sdt>
      <w:r w:rsidRPr="00027624">
        <w:rPr>
          <w:sz w:val="18"/>
          <w:szCs w:val="18"/>
        </w:rPr>
        <w:t>.</w:t>
      </w:r>
    </w:p>
    <w:p w14:paraId="4E463F93" w14:textId="02403336" w:rsidR="00E96B29" w:rsidRPr="00027624" w:rsidRDefault="00E96B29" w:rsidP="00E96B29">
      <w:pPr>
        <w:spacing w:before="0"/>
      </w:pPr>
      <w:r w:rsidRPr="00027624">
        <w:t>The merged means test looks beyond the current status of the retirees</w:t>
      </w:r>
      <w:r w:rsidR="00A8443E" w:rsidRPr="00027624">
        <w:t>’</w:t>
      </w:r>
      <w:r w:rsidRPr="00027624">
        <w:t xml:space="preserve"> assessable assets to consider their capacity for self</w:t>
      </w:r>
      <w:r w:rsidR="00A8443E" w:rsidRPr="00027624">
        <w:noBreakHyphen/>
      </w:r>
      <w:r w:rsidRPr="00027624">
        <w:t>support based on their life expectancies. For two retirees with the same level of assessable assets, it would ensure the older one, with a lower life expectancy and greater capacity for self</w:t>
      </w:r>
      <w:r w:rsidR="00A8443E" w:rsidRPr="00027624">
        <w:noBreakHyphen/>
      </w:r>
      <w:r w:rsidRPr="00027624">
        <w:t xml:space="preserve">support, receives less </w:t>
      </w:r>
      <w:r w:rsidRPr="00027624" w:rsidDel="0068007C">
        <w:t>Age</w:t>
      </w:r>
      <w:r w:rsidRPr="00027624">
        <w:t> Pension than the younger one with a higher life expectancy and smaller capacity for self</w:t>
      </w:r>
      <w:r w:rsidR="00A8443E" w:rsidRPr="00027624">
        <w:noBreakHyphen/>
      </w:r>
      <w:r w:rsidRPr="00027624">
        <w:t>support (</w:t>
      </w:r>
      <w:r w:rsidRPr="00027624">
        <w:fldChar w:fldCharType="begin"/>
      </w:r>
      <w:r w:rsidRPr="00027624">
        <w:instrText xml:space="preserve"> REF _Ref41659320 \r \h  \* MERGEFORMAT </w:instrText>
      </w:r>
      <w:r w:rsidRPr="00027624">
        <w:fldChar w:fldCharType="separate"/>
      </w:r>
      <w:r w:rsidR="00891058">
        <w:t>Table 6B-2</w:t>
      </w:r>
      <w:r w:rsidRPr="00027624">
        <w:fldChar w:fldCharType="end"/>
      </w:r>
      <w:r w:rsidRPr="00027624">
        <w:t>).</w:t>
      </w:r>
    </w:p>
    <w:p w14:paraId="7801BA46" w14:textId="77777777" w:rsidR="00E96B29" w:rsidRPr="00027624" w:rsidRDefault="00E96B29" w:rsidP="00E96B29">
      <w:pPr>
        <w:pStyle w:val="TableMainHeading"/>
      </w:pPr>
      <w:bookmarkStart w:id="4340" w:name="_Ref40798103"/>
      <w:bookmarkStart w:id="4341" w:name="_Ref41659320"/>
      <w:r w:rsidRPr="00027624">
        <w:t>Annual Age Pension payments for two people, one aged 67 and the other aged 87</w:t>
      </w:r>
      <w:bookmarkEnd w:id="4340"/>
      <w:bookmarkEnd w:id="4341"/>
    </w:p>
    <w:tbl>
      <w:tblPr>
        <w:tblW w:w="5000" w:type="pct"/>
        <w:jc w:val="center"/>
        <w:tblLook w:val="01E0" w:firstRow="1" w:lastRow="1" w:firstColumn="1" w:lastColumn="1" w:noHBand="0" w:noVBand="0"/>
      </w:tblPr>
      <w:tblGrid>
        <w:gridCol w:w="3022"/>
        <w:gridCol w:w="3024"/>
        <w:gridCol w:w="3024"/>
      </w:tblGrid>
      <w:tr w:rsidR="00E96B29" w:rsidRPr="00027624" w14:paraId="4333DD00" w14:textId="77777777" w:rsidTr="00E96B29">
        <w:trPr>
          <w:trHeight w:val="270"/>
          <w:tblHeader/>
          <w:jc w:val="center"/>
        </w:trPr>
        <w:tc>
          <w:tcPr>
            <w:tcW w:w="1666" w:type="pct"/>
            <w:shd w:val="clear" w:color="auto" w:fill="E5E5E5"/>
          </w:tcPr>
          <w:p w14:paraId="75540165" w14:textId="77777777" w:rsidR="00E96B29" w:rsidRPr="00027624" w:rsidRDefault="00E96B29" w:rsidP="00E96B29">
            <w:pPr>
              <w:pStyle w:val="TableTextLeft"/>
              <w:keepNext/>
              <w:keepLines/>
              <w:spacing w:line="256" w:lineRule="auto"/>
              <w:rPr>
                <w:b/>
                <w:color w:val="144E60" w:themeColor="accent1"/>
                <w:sz w:val="20"/>
              </w:rPr>
            </w:pPr>
          </w:p>
        </w:tc>
        <w:tc>
          <w:tcPr>
            <w:tcW w:w="1667" w:type="pct"/>
            <w:shd w:val="clear" w:color="auto" w:fill="E5E5E5"/>
            <w:hideMark/>
          </w:tcPr>
          <w:p w14:paraId="32C6642C" w14:textId="77777777" w:rsidR="00E96B29" w:rsidRPr="00027624" w:rsidRDefault="00E96B29" w:rsidP="00E96B29">
            <w:pPr>
              <w:pStyle w:val="TableTextLeft"/>
              <w:keepNext/>
              <w:keepLines/>
              <w:spacing w:line="256" w:lineRule="auto"/>
              <w:jc w:val="center"/>
              <w:rPr>
                <w:b/>
                <w:color w:val="144E60" w:themeColor="accent1"/>
                <w:sz w:val="20"/>
              </w:rPr>
            </w:pPr>
            <w:r w:rsidRPr="00027624">
              <w:rPr>
                <w:b/>
                <w:color w:val="144E60" w:themeColor="accent1"/>
                <w:sz w:val="20"/>
              </w:rPr>
              <w:t>Person 1</w:t>
            </w:r>
          </w:p>
        </w:tc>
        <w:tc>
          <w:tcPr>
            <w:tcW w:w="1667" w:type="pct"/>
            <w:shd w:val="clear" w:color="auto" w:fill="E5E5E5"/>
            <w:hideMark/>
          </w:tcPr>
          <w:p w14:paraId="7FFDB5C9" w14:textId="77777777" w:rsidR="00E96B29" w:rsidRPr="00027624" w:rsidRDefault="00E96B29" w:rsidP="00E96B29">
            <w:pPr>
              <w:pStyle w:val="TableTextLeft"/>
              <w:keepNext/>
              <w:keepLines/>
              <w:spacing w:line="256" w:lineRule="auto"/>
              <w:jc w:val="center"/>
              <w:rPr>
                <w:b/>
                <w:color w:val="144E60" w:themeColor="accent1"/>
                <w:sz w:val="20"/>
              </w:rPr>
            </w:pPr>
            <w:r w:rsidRPr="00027624">
              <w:rPr>
                <w:b/>
                <w:color w:val="144E60" w:themeColor="accent1"/>
                <w:sz w:val="20"/>
              </w:rPr>
              <w:t>Person 2</w:t>
            </w:r>
          </w:p>
        </w:tc>
      </w:tr>
      <w:tr w:rsidR="00E96B29" w:rsidRPr="00027624" w14:paraId="3B811F5E" w14:textId="77777777" w:rsidTr="00E96B29">
        <w:trPr>
          <w:trHeight w:val="270"/>
          <w:jc w:val="center"/>
        </w:trPr>
        <w:tc>
          <w:tcPr>
            <w:tcW w:w="1666" w:type="pct"/>
            <w:hideMark/>
          </w:tcPr>
          <w:p w14:paraId="37B221F1" w14:textId="77777777" w:rsidR="00E96B29" w:rsidRPr="00027624" w:rsidRDefault="00E96B29" w:rsidP="00E96B29">
            <w:pPr>
              <w:pStyle w:val="TableTextLeft"/>
              <w:keepNext/>
              <w:keepLines/>
              <w:spacing w:line="256" w:lineRule="auto"/>
            </w:pPr>
            <w:r w:rsidRPr="00027624">
              <w:t>Age</w:t>
            </w:r>
          </w:p>
        </w:tc>
        <w:tc>
          <w:tcPr>
            <w:tcW w:w="1667" w:type="pct"/>
            <w:hideMark/>
          </w:tcPr>
          <w:p w14:paraId="47CCE554" w14:textId="77777777" w:rsidR="00E96B29" w:rsidRPr="00027624" w:rsidRDefault="00E96B29" w:rsidP="00E96B29">
            <w:pPr>
              <w:pStyle w:val="TableTextLeft"/>
              <w:keepNext/>
              <w:keepLines/>
              <w:spacing w:line="256" w:lineRule="auto"/>
              <w:jc w:val="center"/>
            </w:pPr>
            <w:r w:rsidRPr="00027624">
              <w:t>67</w:t>
            </w:r>
          </w:p>
        </w:tc>
        <w:tc>
          <w:tcPr>
            <w:tcW w:w="1667" w:type="pct"/>
            <w:hideMark/>
          </w:tcPr>
          <w:p w14:paraId="1A86ABFF" w14:textId="77777777" w:rsidR="00E96B29" w:rsidRPr="00027624" w:rsidRDefault="00E96B29" w:rsidP="00E96B29">
            <w:pPr>
              <w:pStyle w:val="TableTextLeft"/>
              <w:keepNext/>
              <w:keepLines/>
              <w:spacing w:line="256" w:lineRule="auto"/>
              <w:jc w:val="center"/>
            </w:pPr>
            <w:r w:rsidRPr="00027624">
              <w:t>87</w:t>
            </w:r>
          </w:p>
        </w:tc>
      </w:tr>
      <w:tr w:rsidR="00E96B29" w:rsidRPr="00027624" w14:paraId="3A1146F7" w14:textId="77777777" w:rsidTr="00E96B29">
        <w:trPr>
          <w:trHeight w:val="270"/>
          <w:jc w:val="center"/>
        </w:trPr>
        <w:tc>
          <w:tcPr>
            <w:tcW w:w="1666" w:type="pct"/>
            <w:hideMark/>
          </w:tcPr>
          <w:p w14:paraId="639D28CC" w14:textId="77777777" w:rsidR="00E96B29" w:rsidRPr="00027624" w:rsidRDefault="00E96B29" w:rsidP="00E96B29">
            <w:pPr>
              <w:pStyle w:val="TableTextLeft"/>
              <w:keepNext/>
              <w:keepLines/>
              <w:spacing w:line="256" w:lineRule="auto"/>
            </w:pPr>
            <w:r w:rsidRPr="00027624">
              <w:t>Life expectancy</w:t>
            </w:r>
          </w:p>
        </w:tc>
        <w:tc>
          <w:tcPr>
            <w:tcW w:w="1667" w:type="pct"/>
            <w:hideMark/>
          </w:tcPr>
          <w:p w14:paraId="1F32F72C" w14:textId="77777777" w:rsidR="00E96B29" w:rsidRPr="00027624" w:rsidRDefault="00E96B29" w:rsidP="00E96B29">
            <w:pPr>
              <w:pStyle w:val="TableTextLeft"/>
              <w:keepNext/>
              <w:keepLines/>
              <w:spacing w:line="256" w:lineRule="auto"/>
              <w:jc w:val="center"/>
            </w:pPr>
            <w:r w:rsidRPr="00027624">
              <w:t>20.7 years</w:t>
            </w:r>
          </w:p>
        </w:tc>
        <w:tc>
          <w:tcPr>
            <w:tcW w:w="1667" w:type="pct"/>
            <w:hideMark/>
          </w:tcPr>
          <w:p w14:paraId="01411D64" w14:textId="77777777" w:rsidR="00E96B29" w:rsidRPr="00027624" w:rsidRDefault="00E96B29" w:rsidP="00E96B29">
            <w:pPr>
              <w:pStyle w:val="TableTextLeft"/>
              <w:keepNext/>
              <w:keepLines/>
              <w:spacing w:line="256" w:lineRule="auto"/>
              <w:jc w:val="center"/>
            </w:pPr>
            <w:r w:rsidRPr="00027624">
              <w:t>6.3 years</w:t>
            </w:r>
          </w:p>
        </w:tc>
      </w:tr>
      <w:tr w:rsidR="00E96B29" w:rsidRPr="00027624" w14:paraId="75F8756A" w14:textId="77777777" w:rsidTr="00E96B29">
        <w:trPr>
          <w:trHeight w:val="270"/>
          <w:jc w:val="center"/>
        </w:trPr>
        <w:tc>
          <w:tcPr>
            <w:tcW w:w="5000" w:type="pct"/>
            <w:gridSpan w:val="3"/>
            <w:hideMark/>
          </w:tcPr>
          <w:p w14:paraId="43DC5011" w14:textId="77777777" w:rsidR="00E96B29" w:rsidRPr="00027624" w:rsidRDefault="00E96B29" w:rsidP="00E96B29">
            <w:pPr>
              <w:pStyle w:val="TableTextLeft"/>
              <w:keepNext/>
              <w:keepLines/>
              <w:spacing w:line="256" w:lineRule="auto"/>
              <w:rPr>
                <w:b/>
                <w:i/>
              </w:rPr>
            </w:pPr>
            <w:r w:rsidRPr="00027624">
              <w:rPr>
                <w:b/>
                <w:i/>
              </w:rPr>
              <w:t>Under current arrangements</w:t>
            </w:r>
          </w:p>
        </w:tc>
      </w:tr>
      <w:tr w:rsidR="00E96B29" w:rsidRPr="00027624" w14:paraId="31AE5CCB" w14:textId="77777777" w:rsidTr="00E96B29">
        <w:trPr>
          <w:trHeight w:val="270"/>
          <w:jc w:val="center"/>
        </w:trPr>
        <w:tc>
          <w:tcPr>
            <w:tcW w:w="1666" w:type="pct"/>
            <w:hideMark/>
          </w:tcPr>
          <w:p w14:paraId="57BD4A29" w14:textId="77777777" w:rsidR="00E96B29" w:rsidRPr="00027624" w:rsidRDefault="00E96B29" w:rsidP="00E96B29">
            <w:pPr>
              <w:pStyle w:val="TableTextLeft"/>
              <w:keepNext/>
              <w:keepLines/>
              <w:spacing w:line="256" w:lineRule="auto"/>
            </w:pPr>
            <w:r w:rsidRPr="00027624">
              <w:t>Assessable assets ($)</w:t>
            </w:r>
          </w:p>
        </w:tc>
        <w:tc>
          <w:tcPr>
            <w:tcW w:w="1667" w:type="pct"/>
            <w:hideMark/>
          </w:tcPr>
          <w:p w14:paraId="13D2DB0B" w14:textId="77777777" w:rsidR="00E96B29" w:rsidRPr="00027624" w:rsidRDefault="00E96B29" w:rsidP="00E96B29">
            <w:pPr>
              <w:pStyle w:val="TableTextLeft"/>
              <w:keepNext/>
              <w:keepLines/>
              <w:spacing w:line="256" w:lineRule="auto"/>
              <w:jc w:val="center"/>
            </w:pPr>
            <w:r w:rsidRPr="00027624">
              <w:t>500,000</w:t>
            </w:r>
          </w:p>
        </w:tc>
        <w:tc>
          <w:tcPr>
            <w:tcW w:w="1667" w:type="pct"/>
            <w:hideMark/>
          </w:tcPr>
          <w:p w14:paraId="1B29E7CD" w14:textId="77777777" w:rsidR="00E96B29" w:rsidRPr="00027624" w:rsidRDefault="00E96B29" w:rsidP="00E96B29">
            <w:pPr>
              <w:pStyle w:val="TableTextLeft"/>
              <w:keepNext/>
              <w:keepLines/>
              <w:spacing w:line="256" w:lineRule="auto"/>
              <w:jc w:val="center"/>
            </w:pPr>
            <w:r w:rsidRPr="00027624">
              <w:t>500,000</w:t>
            </w:r>
          </w:p>
        </w:tc>
      </w:tr>
      <w:tr w:rsidR="00E96B29" w:rsidRPr="00027624" w14:paraId="7986AEDD" w14:textId="77777777" w:rsidTr="00E96B29">
        <w:trPr>
          <w:trHeight w:val="270"/>
          <w:jc w:val="center"/>
        </w:trPr>
        <w:tc>
          <w:tcPr>
            <w:tcW w:w="1666" w:type="pct"/>
            <w:hideMark/>
          </w:tcPr>
          <w:p w14:paraId="092AAFDE" w14:textId="77777777" w:rsidR="00E96B29" w:rsidRPr="00027624" w:rsidRDefault="00E96B29" w:rsidP="00E96B29">
            <w:pPr>
              <w:pStyle w:val="TableTextLeft"/>
              <w:keepNext/>
              <w:keepLines/>
              <w:spacing w:line="256" w:lineRule="auto"/>
            </w:pPr>
            <w:r w:rsidRPr="00027624" w:rsidDel="0068007C">
              <w:t>Age</w:t>
            </w:r>
            <w:r w:rsidRPr="00027624">
              <w:t> Pension payment ($)</w:t>
            </w:r>
          </w:p>
        </w:tc>
        <w:tc>
          <w:tcPr>
            <w:tcW w:w="1667" w:type="pct"/>
            <w:hideMark/>
          </w:tcPr>
          <w:p w14:paraId="45A97C23" w14:textId="77777777" w:rsidR="00E96B29" w:rsidRPr="00027624" w:rsidRDefault="00E96B29" w:rsidP="00E96B29">
            <w:pPr>
              <w:pStyle w:val="TableTextLeft"/>
              <w:keepNext/>
              <w:keepLines/>
              <w:spacing w:line="256" w:lineRule="auto"/>
              <w:jc w:val="center"/>
            </w:pPr>
            <w:r w:rsidRPr="00027624">
              <w:t>6,085</w:t>
            </w:r>
          </w:p>
        </w:tc>
        <w:tc>
          <w:tcPr>
            <w:tcW w:w="1667" w:type="pct"/>
            <w:hideMark/>
          </w:tcPr>
          <w:p w14:paraId="120C362A" w14:textId="77777777" w:rsidR="00E96B29" w:rsidRPr="00027624" w:rsidRDefault="00E96B29" w:rsidP="00E96B29">
            <w:pPr>
              <w:pStyle w:val="TableTextLeft"/>
              <w:keepNext/>
              <w:keepLines/>
              <w:spacing w:line="256" w:lineRule="auto"/>
              <w:jc w:val="center"/>
            </w:pPr>
            <w:r w:rsidRPr="00027624">
              <w:t>6,085</w:t>
            </w:r>
          </w:p>
        </w:tc>
      </w:tr>
      <w:tr w:rsidR="00E96B29" w:rsidRPr="00027624" w14:paraId="7D108205" w14:textId="77777777" w:rsidTr="00E96B29">
        <w:trPr>
          <w:trHeight w:val="270"/>
          <w:jc w:val="center"/>
        </w:trPr>
        <w:tc>
          <w:tcPr>
            <w:tcW w:w="5000" w:type="pct"/>
            <w:gridSpan w:val="3"/>
            <w:hideMark/>
          </w:tcPr>
          <w:p w14:paraId="3EEF4AAC" w14:textId="77777777" w:rsidR="00E96B29" w:rsidRPr="00027624" w:rsidRDefault="00E96B29" w:rsidP="00E96B29">
            <w:pPr>
              <w:pStyle w:val="TableTextLeft"/>
              <w:keepNext/>
              <w:keepLines/>
              <w:spacing w:line="256" w:lineRule="auto"/>
              <w:rPr>
                <w:b/>
                <w:i/>
              </w:rPr>
            </w:pPr>
            <w:r w:rsidRPr="00027624">
              <w:rPr>
                <w:b/>
                <w:i/>
              </w:rPr>
              <w:t>Under a merged means test with age</w:t>
            </w:r>
            <w:r w:rsidR="00A8443E" w:rsidRPr="00027624">
              <w:rPr>
                <w:b/>
                <w:i/>
              </w:rPr>
              <w:noBreakHyphen/>
            </w:r>
            <w:r w:rsidRPr="00027624">
              <w:rPr>
                <w:b/>
                <w:i/>
              </w:rPr>
              <w:t>based capital consumption</w:t>
            </w:r>
          </w:p>
        </w:tc>
      </w:tr>
      <w:tr w:rsidR="00E96B29" w:rsidRPr="00027624" w14:paraId="5D2A6FA2" w14:textId="77777777" w:rsidTr="00E96B29">
        <w:trPr>
          <w:trHeight w:val="270"/>
          <w:jc w:val="center"/>
        </w:trPr>
        <w:tc>
          <w:tcPr>
            <w:tcW w:w="1666" w:type="pct"/>
            <w:hideMark/>
          </w:tcPr>
          <w:p w14:paraId="7D58FC57" w14:textId="77777777" w:rsidR="00E96B29" w:rsidRPr="00027624" w:rsidRDefault="00E96B29" w:rsidP="00E96B29">
            <w:pPr>
              <w:pStyle w:val="TableTextLeft"/>
              <w:keepNext/>
              <w:keepLines/>
              <w:spacing w:line="256" w:lineRule="auto"/>
            </w:pPr>
            <w:r w:rsidRPr="00027624">
              <w:t>Assessable assets after deduction of personal use assets ($)</w:t>
            </w:r>
          </w:p>
        </w:tc>
        <w:tc>
          <w:tcPr>
            <w:tcW w:w="1667" w:type="pct"/>
            <w:hideMark/>
          </w:tcPr>
          <w:p w14:paraId="59D57FA1" w14:textId="77777777" w:rsidR="00E96B29" w:rsidRPr="00027624" w:rsidRDefault="00E96B29" w:rsidP="00E96B29">
            <w:pPr>
              <w:pStyle w:val="TableTextLeft"/>
              <w:keepNext/>
              <w:keepLines/>
              <w:spacing w:line="256" w:lineRule="auto"/>
              <w:jc w:val="center"/>
            </w:pPr>
            <w:r w:rsidRPr="00027624">
              <w:t>470,000</w:t>
            </w:r>
          </w:p>
        </w:tc>
        <w:tc>
          <w:tcPr>
            <w:tcW w:w="1667" w:type="pct"/>
            <w:hideMark/>
          </w:tcPr>
          <w:p w14:paraId="6E8E1E39" w14:textId="77777777" w:rsidR="00E96B29" w:rsidRPr="00027624" w:rsidRDefault="00E96B29" w:rsidP="00E96B29">
            <w:pPr>
              <w:pStyle w:val="TableTextLeft"/>
              <w:keepNext/>
              <w:keepLines/>
              <w:spacing w:line="256" w:lineRule="auto"/>
              <w:jc w:val="center"/>
            </w:pPr>
            <w:r w:rsidRPr="00027624">
              <w:t>470,000</w:t>
            </w:r>
          </w:p>
        </w:tc>
      </w:tr>
      <w:tr w:rsidR="00E96B29" w:rsidRPr="00027624" w14:paraId="42F28F0E" w14:textId="77777777" w:rsidTr="00E96B29">
        <w:trPr>
          <w:trHeight w:val="270"/>
          <w:jc w:val="center"/>
        </w:trPr>
        <w:tc>
          <w:tcPr>
            <w:tcW w:w="1666" w:type="pct"/>
            <w:hideMark/>
          </w:tcPr>
          <w:p w14:paraId="40098EAA" w14:textId="77777777" w:rsidR="00E96B29" w:rsidRPr="00027624" w:rsidRDefault="00E96B29" w:rsidP="00E96B29">
            <w:pPr>
              <w:pStyle w:val="TableTextLeft"/>
              <w:keepNext/>
              <w:keepLines/>
              <w:spacing w:line="256" w:lineRule="auto"/>
            </w:pPr>
            <w:r w:rsidRPr="00027624">
              <w:t>Deemed income ($)</w:t>
            </w:r>
          </w:p>
        </w:tc>
        <w:tc>
          <w:tcPr>
            <w:tcW w:w="1667" w:type="pct"/>
            <w:hideMark/>
          </w:tcPr>
          <w:p w14:paraId="49B2F06A" w14:textId="77777777" w:rsidR="00E96B29" w:rsidRPr="00027624" w:rsidRDefault="00E96B29" w:rsidP="00E96B29">
            <w:pPr>
              <w:pStyle w:val="TableTextLeft"/>
              <w:keepNext/>
              <w:keepLines/>
              <w:spacing w:line="256" w:lineRule="auto"/>
              <w:jc w:val="center"/>
            </w:pPr>
            <w:r w:rsidRPr="00027624">
              <w:t>9,539</w:t>
            </w:r>
          </w:p>
        </w:tc>
        <w:tc>
          <w:tcPr>
            <w:tcW w:w="1667" w:type="pct"/>
            <w:hideMark/>
          </w:tcPr>
          <w:p w14:paraId="70BDF87C" w14:textId="77777777" w:rsidR="00E96B29" w:rsidRPr="00027624" w:rsidRDefault="00E96B29" w:rsidP="00E96B29">
            <w:pPr>
              <w:pStyle w:val="TableTextLeft"/>
              <w:keepNext/>
              <w:keepLines/>
              <w:spacing w:line="256" w:lineRule="auto"/>
              <w:jc w:val="center"/>
            </w:pPr>
            <w:r w:rsidRPr="00027624">
              <w:t>9,539</w:t>
            </w:r>
          </w:p>
        </w:tc>
      </w:tr>
      <w:tr w:rsidR="00E96B29" w:rsidRPr="00027624" w14:paraId="44FB360F" w14:textId="77777777" w:rsidTr="00E96B29">
        <w:trPr>
          <w:trHeight w:val="270"/>
          <w:jc w:val="center"/>
        </w:trPr>
        <w:tc>
          <w:tcPr>
            <w:tcW w:w="1666" w:type="pct"/>
            <w:hideMark/>
          </w:tcPr>
          <w:p w14:paraId="6E66D60A" w14:textId="77777777" w:rsidR="00E96B29" w:rsidRPr="00027624" w:rsidRDefault="00E96B29" w:rsidP="00E96B29">
            <w:pPr>
              <w:pStyle w:val="TableTextLeft"/>
              <w:keepNext/>
              <w:keepLines/>
              <w:spacing w:line="256" w:lineRule="auto"/>
            </w:pPr>
            <w:r w:rsidRPr="00027624">
              <w:t>Deemed capital consumption ($)</w:t>
            </w:r>
          </w:p>
        </w:tc>
        <w:tc>
          <w:tcPr>
            <w:tcW w:w="1667" w:type="pct"/>
            <w:hideMark/>
          </w:tcPr>
          <w:p w14:paraId="7A2E222F" w14:textId="77777777" w:rsidR="00E96B29" w:rsidRPr="00027624" w:rsidRDefault="00E96B29" w:rsidP="00E96B29">
            <w:pPr>
              <w:pStyle w:val="TableTextLeft"/>
              <w:keepNext/>
              <w:keepLines/>
              <w:spacing w:line="256" w:lineRule="auto"/>
              <w:jc w:val="center"/>
            </w:pPr>
            <w:r w:rsidRPr="00027624">
              <w:t>22,705</w:t>
            </w:r>
          </w:p>
        </w:tc>
        <w:tc>
          <w:tcPr>
            <w:tcW w:w="1667" w:type="pct"/>
            <w:hideMark/>
          </w:tcPr>
          <w:p w14:paraId="56E25C49" w14:textId="77777777" w:rsidR="00E96B29" w:rsidRPr="00027624" w:rsidRDefault="00E96B29" w:rsidP="00E96B29">
            <w:pPr>
              <w:pStyle w:val="TableTextLeft"/>
              <w:keepNext/>
              <w:keepLines/>
              <w:spacing w:line="256" w:lineRule="auto"/>
              <w:jc w:val="center"/>
            </w:pPr>
            <w:r w:rsidRPr="00027624">
              <w:t>74,603</w:t>
            </w:r>
          </w:p>
        </w:tc>
      </w:tr>
      <w:tr w:rsidR="00E96B29" w:rsidRPr="00027624" w14:paraId="034A3635" w14:textId="77777777" w:rsidTr="00E96B29">
        <w:trPr>
          <w:trHeight w:val="270"/>
          <w:jc w:val="center"/>
        </w:trPr>
        <w:tc>
          <w:tcPr>
            <w:tcW w:w="1666" w:type="pct"/>
            <w:hideMark/>
          </w:tcPr>
          <w:p w14:paraId="7455B99C" w14:textId="77777777" w:rsidR="00E96B29" w:rsidRPr="00027624" w:rsidRDefault="00E96B29" w:rsidP="00E96B29">
            <w:pPr>
              <w:pStyle w:val="TableTextLeft"/>
              <w:keepNext/>
              <w:keepLines/>
              <w:spacing w:line="256" w:lineRule="auto"/>
            </w:pPr>
            <w:r w:rsidRPr="00027624">
              <w:t>Total means ($)</w:t>
            </w:r>
          </w:p>
        </w:tc>
        <w:tc>
          <w:tcPr>
            <w:tcW w:w="1667" w:type="pct"/>
            <w:hideMark/>
          </w:tcPr>
          <w:p w14:paraId="17BE7F8C" w14:textId="77777777" w:rsidR="00E96B29" w:rsidRPr="00027624" w:rsidRDefault="00E96B29" w:rsidP="00E96B29">
            <w:pPr>
              <w:pStyle w:val="TableTextLeft"/>
              <w:keepNext/>
              <w:keepLines/>
              <w:spacing w:line="256" w:lineRule="auto"/>
              <w:jc w:val="center"/>
            </w:pPr>
            <w:r w:rsidRPr="00027624">
              <w:t>32,244</w:t>
            </w:r>
          </w:p>
        </w:tc>
        <w:tc>
          <w:tcPr>
            <w:tcW w:w="1667" w:type="pct"/>
            <w:hideMark/>
          </w:tcPr>
          <w:p w14:paraId="022FEAAA" w14:textId="77777777" w:rsidR="00E96B29" w:rsidRPr="00027624" w:rsidRDefault="00E96B29" w:rsidP="00E96B29">
            <w:pPr>
              <w:pStyle w:val="TableTextLeft"/>
              <w:keepNext/>
              <w:keepLines/>
              <w:spacing w:line="256" w:lineRule="auto"/>
              <w:jc w:val="center"/>
            </w:pPr>
            <w:r w:rsidRPr="00027624">
              <w:t>84,142</w:t>
            </w:r>
          </w:p>
        </w:tc>
      </w:tr>
      <w:tr w:rsidR="00E96B29" w:rsidRPr="00027624" w14:paraId="6E604BD6" w14:textId="77777777" w:rsidTr="00E96B29">
        <w:trPr>
          <w:trHeight w:val="270"/>
          <w:jc w:val="center"/>
        </w:trPr>
        <w:tc>
          <w:tcPr>
            <w:tcW w:w="1666" w:type="pct"/>
            <w:hideMark/>
          </w:tcPr>
          <w:p w14:paraId="510E3671" w14:textId="77777777" w:rsidR="00E96B29" w:rsidRPr="00027624" w:rsidRDefault="00E96B29" w:rsidP="00E96B29">
            <w:pPr>
              <w:pStyle w:val="TableTextLeft"/>
              <w:keepNext/>
              <w:keepLines/>
              <w:spacing w:line="256" w:lineRule="auto"/>
            </w:pPr>
            <w:r w:rsidRPr="00027624">
              <w:t>Less free area ($)</w:t>
            </w:r>
          </w:p>
        </w:tc>
        <w:tc>
          <w:tcPr>
            <w:tcW w:w="1667" w:type="pct"/>
            <w:hideMark/>
          </w:tcPr>
          <w:p w14:paraId="294B7DD1" w14:textId="77777777" w:rsidR="00E96B29" w:rsidRPr="00027624" w:rsidRDefault="00E96B29" w:rsidP="00E96B29">
            <w:pPr>
              <w:pStyle w:val="TableTextLeft"/>
              <w:keepNext/>
              <w:keepLines/>
              <w:spacing w:line="256" w:lineRule="auto"/>
              <w:jc w:val="center"/>
            </w:pPr>
            <w:r w:rsidRPr="00027624">
              <w:t>9,048</w:t>
            </w:r>
          </w:p>
        </w:tc>
        <w:tc>
          <w:tcPr>
            <w:tcW w:w="1667" w:type="pct"/>
            <w:hideMark/>
          </w:tcPr>
          <w:p w14:paraId="502674EB" w14:textId="77777777" w:rsidR="00E96B29" w:rsidRPr="00027624" w:rsidRDefault="00E96B29" w:rsidP="00E96B29">
            <w:pPr>
              <w:pStyle w:val="TableTextLeft"/>
              <w:keepNext/>
              <w:keepLines/>
              <w:spacing w:line="256" w:lineRule="auto"/>
              <w:jc w:val="center"/>
            </w:pPr>
            <w:r w:rsidRPr="00027624">
              <w:t>9,048</w:t>
            </w:r>
          </w:p>
        </w:tc>
      </w:tr>
      <w:tr w:rsidR="00E96B29" w:rsidRPr="00027624" w14:paraId="15C96B18" w14:textId="77777777" w:rsidTr="00E96B29">
        <w:trPr>
          <w:trHeight w:val="270"/>
          <w:jc w:val="center"/>
        </w:trPr>
        <w:tc>
          <w:tcPr>
            <w:tcW w:w="1666" w:type="pct"/>
            <w:hideMark/>
          </w:tcPr>
          <w:p w14:paraId="7F4A433B" w14:textId="77777777" w:rsidR="00E96B29" w:rsidRPr="00027624" w:rsidRDefault="00E96B29" w:rsidP="00E96B29">
            <w:pPr>
              <w:pStyle w:val="TableTextLeft"/>
              <w:keepNext/>
              <w:keepLines/>
              <w:spacing w:line="256" w:lineRule="auto"/>
            </w:pPr>
            <w:r w:rsidRPr="00027624">
              <w:t>Assessable means ($)</w:t>
            </w:r>
          </w:p>
        </w:tc>
        <w:tc>
          <w:tcPr>
            <w:tcW w:w="1667" w:type="pct"/>
            <w:hideMark/>
          </w:tcPr>
          <w:p w14:paraId="5F021D40" w14:textId="77777777" w:rsidR="00E96B29" w:rsidRPr="00027624" w:rsidRDefault="00E96B29" w:rsidP="00E96B29">
            <w:pPr>
              <w:pStyle w:val="TableTextLeft"/>
              <w:keepNext/>
              <w:keepLines/>
              <w:spacing w:line="256" w:lineRule="auto"/>
              <w:jc w:val="center"/>
            </w:pPr>
            <w:r w:rsidRPr="00027624">
              <w:t>23,196</w:t>
            </w:r>
          </w:p>
        </w:tc>
        <w:tc>
          <w:tcPr>
            <w:tcW w:w="1667" w:type="pct"/>
            <w:hideMark/>
          </w:tcPr>
          <w:p w14:paraId="6F2912F6" w14:textId="77777777" w:rsidR="00E96B29" w:rsidRPr="00027624" w:rsidRDefault="00E96B29" w:rsidP="00E96B29">
            <w:pPr>
              <w:pStyle w:val="TableTextLeft"/>
              <w:keepNext/>
              <w:keepLines/>
              <w:spacing w:line="256" w:lineRule="auto"/>
              <w:jc w:val="center"/>
            </w:pPr>
            <w:r w:rsidRPr="00027624">
              <w:t>75,094</w:t>
            </w:r>
          </w:p>
        </w:tc>
      </w:tr>
      <w:tr w:rsidR="00E96B29" w:rsidRPr="00027624" w14:paraId="1BD38563" w14:textId="77777777" w:rsidTr="00E96B29">
        <w:trPr>
          <w:trHeight w:val="270"/>
          <w:jc w:val="center"/>
        </w:trPr>
        <w:tc>
          <w:tcPr>
            <w:tcW w:w="1666" w:type="pct"/>
            <w:hideMark/>
          </w:tcPr>
          <w:p w14:paraId="6B1E37C8" w14:textId="77777777" w:rsidR="00E96B29" w:rsidRPr="00027624" w:rsidRDefault="00E96B29" w:rsidP="00E96B29">
            <w:pPr>
              <w:pStyle w:val="TableTextLeft"/>
              <w:keepNext/>
              <w:keepLines/>
              <w:spacing w:line="256" w:lineRule="auto"/>
            </w:pPr>
            <w:r w:rsidRPr="00027624" w:rsidDel="0068007C">
              <w:t>Age</w:t>
            </w:r>
            <w:r w:rsidRPr="00027624">
              <w:t> Pension payment ($)</w:t>
            </w:r>
          </w:p>
        </w:tc>
        <w:tc>
          <w:tcPr>
            <w:tcW w:w="1667" w:type="pct"/>
            <w:hideMark/>
          </w:tcPr>
          <w:p w14:paraId="014ED91D" w14:textId="77777777" w:rsidR="00E96B29" w:rsidRPr="00027624" w:rsidRDefault="00E96B29" w:rsidP="00E96B29">
            <w:pPr>
              <w:pStyle w:val="TableTextLeft"/>
              <w:keepNext/>
              <w:keepLines/>
              <w:spacing w:line="256" w:lineRule="auto"/>
              <w:jc w:val="center"/>
            </w:pPr>
            <w:r w:rsidRPr="00027624">
              <w:t>12,954</w:t>
            </w:r>
          </w:p>
        </w:tc>
        <w:tc>
          <w:tcPr>
            <w:tcW w:w="1667" w:type="pct"/>
            <w:hideMark/>
          </w:tcPr>
          <w:p w14:paraId="48EBDEEA" w14:textId="77777777" w:rsidR="00E96B29" w:rsidRPr="00027624" w:rsidRDefault="00E96B29" w:rsidP="00E96B29">
            <w:pPr>
              <w:pStyle w:val="TableTextLeft"/>
              <w:keepNext/>
              <w:keepLines/>
              <w:spacing w:line="256" w:lineRule="auto"/>
              <w:jc w:val="center"/>
            </w:pPr>
            <w:r w:rsidRPr="00027624">
              <w:t>Nil</w:t>
            </w:r>
          </w:p>
        </w:tc>
      </w:tr>
    </w:tbl>
    <w:p w14:paraId="1CB0E5C2" w14:textId="77777777" w:rsidR="00E96B29" w:rsidRPr="00027624" w:rsidRDefault="00E96B29" w:rsidP="00E96B29">
      <w:pPr>
        <w:spacing w:after="240"/>
        <w:rPr>
          <w:sz w:val="18"/>
          <w:szCs w:val="18"/>
        </w:rPr>
      </w:pPr>
      <w:r w:rsidRPr="00027624">
        <w:rPr>
          <w:sz w:val="18"/>
          <w:szCs w:val="18"/>
        </w:rPr>
        <w:t>Note: Values are in 2019</w:t>
      </w:r>
      <w:r w:rsidR="00A8443E" w:rsidRPr="00027624">
        <w:rPr>
          <w:sz w:val="18"/>
          <w:szCs w:val="18"/>
        </w:rPr>
        <w:noBreakHyphen/>
      </w:r>
      <w:r w:rsidRPr="00027624">
        <w:rPr>
          <w:sz w:val="18"/>
          <w:szCs w:val="18"/>
        </w:rPr>
        <w:t xml:space="preserve">20 dollars. Assumes the people are single home owners who each have $30,000 of personal use assets, have no other income other than employment income, and deemed income from financial assets. Source: </w:t>
      </w:r>
      <w:r w:rsidRPr="00027624">
        <w:rPr>
          <w:sz w:val="18"/>
        </w:rPr>
        <w:t xml:space="preserve">Calculations based on </w:t>
      </w:r>
      <w:r w:rsidRPr="00027624" w:rsidDel="0068007C">
        <w:rPr>
          <w:sz w:val="18"/>
        </w:rPr>
        <w:t>Age</w:t>
      </w:r>
      <w:r w:rsidRPr="00027624">
        <w:rPr>
          <w:sz w:val="18"/>
        </w:rPr>
        <w:t> Pension rates and thresholds as at 1 May 2020</w:t>
      </w:r>
      <w:r w:rsidRPr="00027624">
        <w:rPr>
          <w:sz w:val="18"/>
          <w:szCs w:val="18"/>
        </w:rPr>
        <w:t xml:space="preserve"> and assumptions for the example of a merged means test. The life expectancy used to calculate the deemed capital consumption is sourced from the Australian Life Tables 2015</w:t>
      </w:r>
      <w:r w:rsidR="00A8443E" w:rsidRPr="00027624">
        <w:rPr>
          <w:sz w:val="18"/>
          <w:szCs w:val="18"/>
        </w:rPr>
        <w:noBreakHyphen/>
      </w:r>
      <w:r w:rsidRPr="00027624">
        <w:rPr>
          <w:sz w:val="18"/>
          <w:szCs w:val="18"/>
        </w:rPr>
        <w:t xml:space="preserve">17 </w:t>
      </w:r>
      <w:sdt>
        <w:sdtPr>
          <w:rPr>
            <w:sz w:val="18"/>
            <w:szCs w:val="18"/>
          </w:rPr>
          <w:id w:val="-1500423963"/>
          <w:citation/>
        </w:sdtPr>
        <w:sdtEndPr/>
        <w:sdtContent>
          <w:r w:rsidRPr="00027624">
            <w:rPr>
              <w:sz w:val="18"/>
              <w:szCs w:val="18"/>
            </w:rPr>
            <w:fldChar w:fldCharType="begin"/>
          </w:r>
          <w:r w:rsidRPr="00027624">
            <w:rPr>
              <w:sz w:val="18"/>
              <w:szCs w:val="18"/>
            </w:rPr>
            <w:instrText xml:space="preserve"> CITATION AGA19 \l 3081 </w:instrText>
          </w:r>
          <w:r w:rsidRPr="00027624">
            <w:rPr>
              <w:sz w:val="18"/>
              <w:szCs w:val="18"/>
            </w:rPr>
            <w:fldChar w:fldCharType="separate"/>
          </w:r>
          <w:r w:rsidR="00E83F6E" w:rsidRPr="00E83F6E">
            <w:rPr>
              <w:noProof/>
              <w:sz w:val="18"/>
              <w:szCs w:val="18"/>
            </w:rPr>
            <w:t>(Australian Government Actuary, 2019)</w:t>
          </w:r>
          <w:r w:rsidRPr="00027624">
            <w:rPr>
              <w:sz w:val="18"/>
              <w:szCs w:val="18"/>
            </w:rPr>
            <w:fldChar w:fldCharType="end"/>
          </w:r>
        </w:sdtContent>
      </w:sdt>
      <w:r w:rsidRPr="00027624">
        <w:rPr>
          <w:sz w:val="18"/>
          <w:szCs w:val="18"/>
        </w:rPr>
        <w:t>.</w:t>
      </w:r>
    </w:p>
    <w:p w14:paraId="496AFF32" w14:textId="77777777" w:rsidR="00E96B29" w:rsidRPr="00027624" w:rsidRDefault="00E96B29" w:rsidP="00E96B29">
      <w:pPr>
        <w:pStyle w:val="Heading3"/>
      </w:pPr>
      <w:r w:rsidRPr="00027624">
        <w:t>Consistency of Age Pension income</w:t>
      </w:r>
    </w:p>
    <w:p w14:paraId="28CCF217" w14:textId="17B584E9" w:rsidR="00E96B29" w:rsidRPr="00027624" w:rsidRDefault="00E96B29" w:rsidP="00E96B29">
      <w:pPr>
        <w:pStyle w:val="Bullet"/>
        <w:numPr>
          <w:ilvl w:val="0"/>
          <w:numId w:val="0"/>
        </w:numPr>
        <w:rPr>
          <w:rFonts w:asciiTheme="minorHAnsi" w:eastAsiaTheme="minorEastAsia" w:hAnsiTheme="minorHAnsi" w:cstheme="minorBidi"/>
        </w:rPr>
      </w:pPr>
      <w:r w:rsidRPr="00027624">
        <w:rPr>
          <w:rFonts w:eastAsia="Calibri" w:cs="Calibri"/>
        </w:rPr>
        <w:t>The merged means test would assist some retirees to achieve a more consistent profile of total income</w:t>
      </w:r>
      <w:r w:rsidRPr="00027624">
        <w:rPr>
          <w:rFonts w:eastAsia="Calibri"/>
        </w:rPr>
        <w:t xml:space="preserve"> earlier in retirement. This is because deemed capital consumption increases as the retiree ages and their life expectancy decreases (</w:t>
      </w:r>
      <w:r w:rsidRPr="00027624">
        <w:rPr>
          <w:rFonts w:eastAsia="Calibri"/>
        </w:rPr>
        <w:fldChar w:fldCharType="begin"/>
      </w:r>
      <w:r w:rsidRPr="00027624">
        <w:rPr>
          <w:rFonts w:eastAsia="Calibri"/>
        </w:rPr>
        <w:instrText xml:space="preserve"> REF _Ref44660526 \r \h  \* MERGEFORMAT </w:instrText>
      </w:r>
      <w:r w:rsidRPr="00027624">
        <w:rPr>
          <w:rFonts w:eastAsia="Calibri"/>
        </w:rPr>
      </w:r>
      <w:r w:rsidRPr="00027624">
        <w:rPr>
          <w:rFonts w:eastAsia="Calibri"/>
        </w:rPr>
        <w:fldChar w:fldCharType="separate"/>
      </w:r>
      <w:r w:rsidR="00891058">
        <w:rPr>
          <w:rFonts w:eastAsia="Calibri"/>
        </w:rPr>
        <w:t>Chart 6B-1</w:t>
      </w:r>
      <w:r w:rsidRPr="00027624">
        <w:rPr>
          <w:rFonts w:eastAsia="Calibri"/>
        </w:rPr>
        <w:fldChar w:fldCharType="end"/>
      </w:r>
      <w:r w:rsidRPr="00027624">
        <w:rPr>
          <w:rFonts w:eastAsia="Calibri"/>
        </w:rPr>
        <w:t>). In particular, a retiree who draws down at rates using an account</w:t>
      </w:r>
      <w:r w:rsidR="00A8443E" w:rsidRPr="00027624">
        <w:rPr>
          <w:rFonts w:eastAsia="Calibri"/>
        </w:rPr>
        <w:noBreakHyphen/>
      </w:r>
      <w:r w:rsidRPr="00027624">
        <w:rPr>
          <w:rFonts w:eastAsia="Calibri"/>
        </w:rPr>
        <w:t>based pension to have constant nominal private income would experience a more consistent/flatter profile of total income in retirement (</w:t>
      </w:r>
      <w:r w:rsidRPr="00027624">
        <w:rPr>
          <w:rFonts w:eastAsia="Calibri"/>
          <w:shd w:val="clear" w:color="auto" w:fill="FFFF00"/>
        </w:rPr>
        <w:fldChar w:fldCharType="begin"/>
      </w:r>
      <w:r w:rsidRPr="00027624">
        <w:rPr>
          <w:rFonts w:eastAsia="Calibri"/>
        </w:rPr>
        <w:instrText xml:space="preserve"> REF _Ref42786686 \r \h </w:instrText>
      </w:r>
      <w:r w:rsidRPr="00027624">
        <w:rPr>
          <w:rFonts w:eastAsia="Calibri"/>
          <w:shd w:val="clear" w:color="auto" w:fill="FFFF00"/>
        </w:rPr>
        <w:instrText xml:space="preserve"> \* MERGEFORMAT </w:instrText>
      </w:r>
      <w:r w:rsidRPr="00027624">
        <w:rPr>
          <w:rFonts w:eastAsia="Calibri"/>
          <w:shd w:val="clear" w:color="auto" w:fill="FFFF00"/>
        </w:rPr>
      </w:r>
      <w:r w:rsidRPr="00027624">
        <w:rPr>
          <w:rFonts w:eastAsia="Calibri"/>
          <w:shd w:val="clear" w:color="auto" w:fill="FFFF00"/>
        </w:rPr>
        <w:fldChar w:fldCharType="separate"/>
      </w:r>
      <w:r w:rsidR="00891058">
        <w:rPr>
          <w:rFonts w:eastAsia="Calibri"/>
        </w:rPr>
        <w:t>Chart 6B-3</w:t>
      </w:r>
      <w:r w:rsidRPr="00027624">
        <w:rPr>
          <w:rFonts w:eastAsia="Calibri"/>
          <w:shd w:val="clear" w:color="auto" w:fill="FFFF00"/>
        </w:rPr>
        <w:fldChar w:fldCharType="end"/>
      </w:r>
      <w:r w:rsidRPr="00027624">
        <w:rPr>
          <w:rFonts w:eastAsia="Calibri"/>
        </w:rPr>
        <w:t>). Whereas, a retiree who draws down at rates using an account</w:t>
      </w:r>
      <w:r w:rsidR="00A8443E" w:rsidRPr="00027624">
        <w:rPr>
          <w:rFonts w:eastAsia="Calibri"/>
        </w:rPr>
        <w:noBreakHyphen/>
      </w:r>
      <w:r w:rsidRPr="00027624">
        <w:rPr>
          <w:rFonts w:eastAsia="Calibri"/>
        </w:rPr>
        <w:t>based pension to have constant real private income would still have an increasing profile of total income in retirement. This suggests a retiree</w:t>
      </w:r>
      <w:r w:rsidR="00A8443E" w:rsidRPr="00027624">
        <w:rPr>
          <w:rFonts w:eastAsia="Calibri"/>
        </w:rPr>
        <w:t>’</w:t>
      </w:r>
      <w:r w:rsidRPr="00027624">
        <w:rPr>
          <w:rFonts w:eastAsia="Calibri"/>
        </w:rPr>
        <w:t>s drawdown strategy would be an important factor influencing the effect of a merged means test.</w:t>
      </w:r>
    </w:p>
    <w:p w14:paraId="5970166C" w14:textId="77777777" w:rsidR="00E96B29" w:rsidRPr="00027624" w:rsidRDefault="00E96B29" w:rsidP="00E96B29">
      <w:pPr>
        <w:pStyle w:val="ChartMainHeading"/>
      </w:pPr>
      <w:bookmarkStart w:id="4342" w:name="_Ref40866747"/>
      <w:bookmarkStart w:id="4343" w:name="_Ref42786686"/>
      <w:r w:rsidRPr="00027624">
        <w:t>Age Pension and private income in retirement for $500,000 of assessable assets, by age</w:t>
      </w:r>
      <w:bookmarkEnd w:id="4342"/>
      <w:bookmarkEnd w:id="4343"/>
    </w:p>
    <w:p w14:paraId="3C1924AC" w14:textId="77777777" w:rsidR="00E96B29" w:rsidRPr="00027624" w:rsidRDefault="00E96B29" w:rsidP="00E96B29">
      <w:pPr>
        <w:pStyle w:val="ChartSecondHeading"/>
      </w:pPr>
      <w:r w:rsidRPr="00027624">
        <w:t xml:space="preserve">Constant </w:t>
      </w:r>
      <w:r w:rsidRPr="00027624">
        <w:rPr>
          <w:i/>
        </w:rPr>
        <w:t>nominal</w:t>
      </w:r>
      <w:r w:rsidRPr="00027624">
        <w:t xml:space="preserve"> private income</w:t>
      </w:r>
    </w:p>
    <w:tbl>
      <w:tblPr>
        <w:tblW w:w="5000" w:type="pct"/>
        <w:tblCellMar>
          <w:left w:w="0" w:type="dxa"/>
          <w:right w:w="0" w:type="dxa"/>
        </w:tblCellMar>
        <w:tblLook w:val="01E0" w:firstRow="1" w:lastRow="1" w:firstColumn="1" w:lastColumn="1" w:noHBand="0" w:noVBand="0"/>
      </w:tblPr>
      <w:tblGrid>
        <w:gridCol w:w="4559"/>
        <w:gridCol w:w="4511"/>
      </w:tblGrid>
      <w:tr w:rsidR="00E96B29" w:rsidRPr="00027624" w14:paraId="5F99F710" w14:textId="77777777" w:rsidTr="00E96B29">
        <w:trPr>
          <w:cantSplit/>
          <w:trHeight w:val="4536"/>
        </w:trPr>
        <w:tc>
          <w:tcPr>
            <w:tcW w:w="4536" w:type="dxa"/>
          </w:tcPr>
          <w:p w14:paraId="2BA0A27E" w14:textId="77777777" w:rsidR="00E96B29" w:rsidRPr="00027624" w:rsidRDefault="00E96B29" w:rsidP="00E96B29">
            <w:pPr>
              <w:pStyle w:val="ChartGraphic"/>
            </w:pPr>
            <w:r w:rsidRPr="00027624">
              <w:br w:type="page"/>
            </w:r>
            <w:r w:rsidR="0019264C">
              <w:rPr>
                <w:noProof/>
              </w:rPr>
              <w:drawing>
                <wp:inline distT="0" distB="0" distL="0" distR="0" wp14:anchorId="1218353B" wp14:editId="45BEC8B0">
                  <wp:extent cx="2887980" cy="2880360"/>
                  <wp:effectExtent l="0" t="0" r="7620" b="0"/>
                  <wp:docPr id="1888992942" name="Picture 1888992942" descr="These charts show that a person with a fixed nominal income from an account based pension would receive a flatter real income in retirement under a merged means test. However, similar to current arrangements, a person with a fixed real income from their account based pension would see an increasing income as they aged under a merged means test." title="Chart 6B-3 Age Pension and private income in retirement for $500,000 of assessable assets, by 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887980" cy="2880360"/>
                          </a:xfrm>
                          <a:prstGeom prst="rect">
                            <a:avLst/>
                          </a:prstGeom>
                          <a:noFill/>
                        </pic:spPr>
                      </pic:pic>
                    </a:graphicData>
                  </a:graphic>
                </wp:inline>
              </w:drawing>
            </w:r>
          </w:p>
        </w:tc>
        <w:tc>
          <w:tcPr>
            <w:tcW w:w="4536" w:type="dxa"/>
          </w:tcPr>
          <w:p w14:paraId="4C86849A" w14:textId="77777777" w:rsidR="00E96B29" w:rsidRPr="00027624" w:rsidRDefault="0019264C" w:rsidP="00E96B29">
            <w:pPr>
              <w:pStyle w:val="ChartGraphic"/>
            </w:pPr>
            <w:r>
              <w:rPr>
                <w:noProof/>
              </w:rPr>
              <w:drawing>
                <wp:inline distT="0" distB="0" distL="0" distR="0" wp14:anchorId="4325E0E1" wp14:editId="1F30E285">
                  <wp:extent cx="2865120" cy="2880360"/>
                  <wp:effectExtent l="0" t="0" r="0" b="0"/>
                  <wp:docPr id="1888992944" name="Picture 188899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865120" cy="2880360"/>
                          </a:xfrm>
                          <a:prstGeom prst="rect">
                            <a:avLst/>
                          </a:prstGeom>
                          <a:noFill/>
                        </pic:spPr>
                      </pic:pic>
                    </a:graphicData>
                  </a:graphic>
                </wp:inline>
              </w:drawing>
            </w:r>
          </w:p>
        </w:tc>
      </w:tr>
    </w:tbl>
    <w:p w14:paraId="30A808F7" w14:textId="77777777" w:rsidR="00E96B29" w:rsidRPr="00027624" w:rsidRDefault="00E96B29" w:rsidP="00E96B29">
      <w:pPr>
        <w:pStyle w:val="ChartSecondHeading"/>
      </w:pPr>
      <w:r w:rsidRPr="00027624">
        <w:t>Constant real private income</w:t>
      </w:r>
    </w:p>
    <w:tbl>
      <w:tblPr>
        <w:tblW w:w="5000" w:type="pct"/>
        <w:tblCellMar>
          <w:left w:w="0" w:type="dxa"/>
          <w:right w:w="0" w:type="dxa"/>
        </w:tblCellMar>
        <w:tblLook w:val="01E0" w:firstRow="1" w:lastRow="1" w:firstColumn="1" w:lastColumn="1" w:noHBand="0" w:noVBand="0"/>
      </w:tblPr>
      <w:tblGrid>
        <w:gridCol w:w="4517"/>
        <w:gridCol w:w="6"/>
        <w:gridCol w:w="4547"/>
      </w:tblGrid>
      <w:tr w:rsidR="00E96B29" w:rsidRPr="00027624" w14:paraId="31B1D184" w14:textId="77777777" w:rsidTr="00E96B29">
        <w:trPr>
          <w:cantSplit/>
          <w:trHeight w:val="4536"/>
        </w:trPr>
        <w:tc>
          <w:tcPr>
            <w:tcW w:w="4533" w:type="dxa"/>
          </w:tcPr>
          <w:p w14:paraId="396CB1A4" w14:textId="77777777" w:rsidR="00E96B29" w:rsidRPr="00027624" w:rsidRDefault="00E96B29" w:rsidP="002D653B">
            <w:pPr>
              <w:pStyle w:val="ChartGraphic"/>
            </w:pPr>
            <w:r w:rsidRPr="00027624">
              <w:br w:type="page"/>
            </w:r>
            <w:r w:rsidR="0019264C">
              <w:rPr>
                <w:noProof/>
              </w:rPr>
              <w:drawing>
                <wp:inline distT="0" distB="0" distL="0" distR="0" wp14:anchorId="316EC66F" wp14:editId="01BF5A0F">
                  <wp:extent cx="2872740" cy="2880360"/>
                  <wp:effectExtent l="0" t="0" r="3810" b="0"/>
                  <wp:docPr id="1888992940" name="Picture 188899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tc>
        <w:tc>
          <w:tcPr>
            <w:tcW w:w="6" w:type="dxa"/>
          </w:tcPr>
          <w:p w14:paraId="19E7A61D" w14:textId="77777777" w:rsidR="00E96B29" w:rsidRPr="00027624" w:rsidRDefault="00E96B29" w:rsidP="002D653B">
            <w:pPr>
              <w:pStyle w:val="ChartGraphic"/>
            </w:pPr>
          </w:p>
        </w:tc>
        <w:tc>
          <w:tcPr>
            <w:tcW w:w="4533" w:type="dxa"/>
          </w:tcPr>
          <w:p w14:paraId="66DC6F97" w14:textId="77777777" w:rsidR="00E96B29" w:rsidRPr="00027624" w:rsidRDefault="0019264C" w:rsidP="002D653B">
            <w:pPr>
              <w:pStyle w:val="ChartGraphic"/>
            </w:pPr>
            <w:r>
              <w:rPr>
                <w:noProof/>
              </w:rPr>
              <w:drawing>
                <wp:inline distT="0" distB="0" distL="0" distR="0" wp14:anchorId="24EE9ABD" wp14:editId="70B2FB5C">
                  <wp:extent cx="2895600" cy="2887980"/>
                  <wp:effectExtent l="0" t="0" r="0" b="7620"/>
                  <wp:docPr id="1888992941" name="Picture 188899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95600" cy="2887980"/>
                          </a:xfrm>
                          <a:prstGeom prst="rect">
                            <a:avLst/>
                          </a:prstGeom>
                          <a:noFill/>
                        </pic:spPr>
                      </pic:pic>
                    </a:graphicData>
                  </a:graphic>
                </wp:inline>
              </w:drawing>
            </w:r>
          </w:p>
        </w:tc>
      </w:tr>
    </w:tbl>
    <w:p w14:paraId="0DBF90BE" w14:textId="77777777" w:rsidR="00E96B29" w:rsidRPr="00027624" w:rsidRDefault="00E96B29" w:rsidP="002D653B">
      <w:pPr>
        <w:pStyle w:val="ChartorTableNote"/>
      </w:pPr>
      <w:r w:rsidRPr="00027624">
        <w:t>Note: Values are in 2019</w:t>
      </w:r>
      <w:r w:rsidR="00A8443E" w:rsidRPr="00027624">
        <w:noBreakHyphen/>
      </w:r>
      <w:r w:rsidRPr="00027624">
        <w:t xml:space="preserve">20 dollars, deflated by CPI. Assumes the person is a single home owner who begins retirement on 1 July 2019. Constant nominal private income means the person consumes $43,000 of their assessable assets each year. Constant real private income means the person consumes $35,000 of their assessable assets at age 67, with the amount consumed increasing by 2.5 per cent (i.e. inflation) each year. The person has around $10,000 of assessable assets remaining at age 88 under both drawdown strategies. Source: Calculations based on </w:t>
      </w:r>
      <w:r w:rsidRPr="00027624" w:rsidDel="0068007C">
        <w:t>Age</w:t>
      </w:r>
      <w:r w:rsidRPr="00027624">
        <w:t> Pension rates and thresholds as at 1 May 2020 and assumptions for the example of a merged means test. The life expectancy used to calculate the deemed capital consumption is sourced from the Australian Life Tables 2015</w:t>
      </w:r>
      <w:r w:rsidR="00A8443E" w:rsidRPr="00027624">
        <w:noBreakHyphen/>
      </w:r>
      <w:r w:rsidRPr="00027624">
        <w:t>17</w:t>
      </w:r>
      <w:sdt>
        <w:sdtPr>
          <w:id w:val="-1883238409"/>
          <w:citation/>
        </w:sdtPr>
        <w:sdtEndPr/>
        <w:sdtContent>
          <w:r w:rsidRPr="00027624">
            <w:fldChar w:fldCharType="begin"/>
          </w:r>
          <w:r w:rsidRPr="00027624">
            <w:instrText xml:space="preserve"> CITATION AGA19 \l 3081 </w:instrText>
          </w:r>
          <w:r w:rsidRPr="00027624">
            <w:fldChar w:fldCharType="separate"/>
          </w:r>
          <w:r w:rsidR="00E83F6E">
            <w:rPr>
              <w:noProof/>
            </w:rPr>
            <w:t xml:space="preserve"> (Australian Government Actuary, 2019)</w:t>
          </w:r>
          <w:r w:rsidRPr="00027624">
            <w:fldChar w:fldCharType="end"/>
          </w:r>
        </w:sdtContent>
      </w:sdt>
      <w:r w:rsidRPr="00027624">
        <w:t>.</w:t>
      </w:r>
    </w:p>
    <w:p w14:paraId="0920900F" w14:textId="77777777" w:rsidR="00E96B29" w:rsidRPr="00027624" w:rsidRDefault="00E96B29" w:rsidP="00E96B29">
      <w:pPr>
        <w:pStyle w:val="Heading3"/>
        <w:rPr>
          <w:rStyle w:val="Heading5Char"/>
          <w:b/>
        </w:rPr>
      </w:pPr>
      <w:r w:rsidRPr="00027624">
        <w:t>People with different levels of assessable assets</w:t>
      </w:r>
    </w:p>
    <w:p w14:paraId="41434A6B" w14:textId="2D370DFB" w:rsidR="00E96B29" w:rsidRPr="00027624" w:rsidRDefault="00E96B29" w:rsidP="00E96B29">
      <w:pPr>
        <w:spacing w:after="0"/>
      </w:pPr>
      <w:r w:rsidRPr="00027624">
        <w:rPr>
          <w:color w:val="000000" w:themeColor="text1"/>
        </w:rPr>
        <w:t xml:space="preserve">Under the modelled approach, retirees with assessable assets at the middle and higher deciles would receive less </w:t>
      </w:r>
      <w:r w:rsidRPr="00027624" w:rsidDel="0068007C">
        <w:rPr>
          <w:color w:val="000000" w:themeColor="text1"/>
        </w:rPr>
        <w:t>Age</w:t>
      </w:r>
      <w:r w:rsidRPr="00027624">
        <w:rPr>
          <w:color w:val="000000" w:themeColor="text1"/>
        </w:rPr>
        <w:t> Pension income over their retirement (</w:t>
      </w:r>
      <w:r w:rsidRPr="00027624">
        <w:rPr>
          <w:color w:val="000000" w:themeColor="text1"/>
        </w:rPr>
        <w:fldChar w:fldCharType="begin"/>
      </w:r>
      <w:r w:rsidRPr="00027624">
        <w:rPr>
          <w:color w:val="000000" w:themeColor="text1"/>
        </w:rPr>
        <w:instrText xml:space="preserve"> REF _Ref40418871 \r \h  \* MERGEFORMAT </w:instrText>
      </w:r>
      <w:r w:rsidRPr="00027624">
        <w:rPr>
          <w:color w:val="000000" w:themeColor="text1"/>
        </w:rPr>
      </w:r>
      <w:r w:rsidRPr="00027624">
        <w:rPr>
          <w:color w:val="000000" w:themeColor="text1"/>
        </w:rPr>
        <w:fldChar w:fldCharType="separate"/>
      </w:r>
      <w:r w:rsidR="00891058">
        <w:rPr>
          <w:color w:val="000000" w:themeColor="text1"/>
        </w:rPr>
        <w:t>Chart 6B-4</w:t>
      </w:r>
      <w:r w:rsidRPr="00027624">
        <w:rPr>
          <w:color w:val="000000" w:themeColor="text1"/>
        </w:rPr>
        <w:fldChar w:fldCharType="end"/>
      </w:r>
      <w:r w:rsidRPr="00027624">
        <w:rPr>
          <w:color w:val="000000" w:themeColor="text1"/>
        </w:rPr>
        <w:t xml:space="preserve">). </w:t>
      </w:r>
      <w:r w:rsidRPr="00027624">
        <w:t>Under this example, the age</w:t>
      </w:r>
      <w:r w:rsidR="00A8443E" w:rsidRPr="00027624">
        <w:noBreakHyphen/>
      </w:r>
      <w:r w:rsidRPr="00027624">
        <w:t>based deemed capital consumption and the reduced assets test free area have the greatest impact on people with more assessable assets.</w:t>
      </w:r>
    </w:p>
    <w:p w14:paraId="4D8AC2D6" w14:textId="77777777" w:rsidR="00E96B29" w:rsidRPr="00027624" w:rsidRDefault="00E96B29" w:rsidP="00E96B29">
      <w:pPr>
        <w:spacing w:after="0"/>
        <w:rPr>
          <w:color w:val="000000" w:themeColor="text1"/>
        </w:rPr>
      </w:pPr>
      <w:r w:rsidRPr="00027624">
        <w:t>Design parameters determine t</w:t>
      </w:r>
      <w:r w:rsidRPr="00027624">
        <w:rPr>
          <w:color w:val="000000" w:themeColor="text1"/>
        </w:rPr>
        <w:t>he number of and extent to which people</w:t>
      </w:r>
      <w:r w:rsidR="00A8443E" w:rsidRPr="00027624">
        <w:rPr>
          <w:color w:val="000000" w:themeColor="text1"/>
        </w:rPr>
        <w:t>’</w:t>
      </w:r>
      <w:r w:rsidRPr="00027624">
        <w:rPr>
          <w:color w:val="000000" w:themeColor="text1"/>
        </w:rPr>
        <w:t xml:space="preserve">s </w:t>
      </w:r>
      <w:r w:rsidRPr="00027624" w:rsidDel="0068007C">
        <w:rPr>
          <w:color w:val="000000" w:themeColor="text1"/>
        </w:rPr>
        <w:t>Age</w:t>
      </w:r>
      <w:r w:rsidRPr="00027624">
        <w:rPr>
          <w:color w:val="000000" w:themeColor="text1"/>
        </w:rPr>
        <w:t> Pension payments are affected by introducing a merged means test. Alternative design parameters, which use a higher free area or lower</w:t>
      </w:r>
      <w:r w:rsidRPr="00027624" w:rsidDel="00D155DD">
        <w:rPr>
          <w:color w:val="000000" w:themeColor="text1"/>
        </w:rPr>
        <w:t xml:space="preserve"> </w:t>
      </w:r>
      <w:r w:rsidRPr="00027624">
        <w:rPr>
          <w:color w:val="000000" w:themeColor="text1"/>
        </w:rPr>
        <w:t xml:space="preserve">income test taper rate than the example outlined, could reduce the number of people who receive fewer total </w:t>
      </w:r>
      <w:r w:rsidRPr="00027624" w:rsidDel="0068007C">
        <w:rPr>
          <w:color w:val="000000" w:themeColor="text1"/>
        </w:rPr>
        <w:t>Age</w:t>
      </w:r>
      <w:r w:rsidRPr="00027624">
        <w:rPr>
          <w:color w:val="000000" w:themeColor="text1"/>
        </w:rPr>
        <w:t> Pension payments due to a merged means test.</w:t>
      </w:r>
    </w:p>
    <w:p w14:paraId="5F616F05" w14:textId="77777777" w:rsidR="00E96B29" w:rsidRPr="00027624" w:rsidRDefault="00E96B29" w:rsidP="00E96B29">
      <w:pPr>
        <w:pStyle w:val="ChartMainHeading"/>
      </w:pPr>
      <w:bookmarkStart w:id="4344" w:name="_Ref40181415"/>
      <w:bookmarkStart w:id="4345" w:name="_Ref40418871"/>
      <w:r w:rsidRPr="00027624">
        <w:t>Total Age Pension payments over 22 years</w:t>
      </w:r>
      <w:bookmarkEnd w:id="4344"/>
      <w:r w:rsidRPr="00027624">
        <w:t xml:space="preserve"> with constant real private income, by assessable assets decile at retirement</w:t>
      </w:r>
      <w:bookmarkEnd w:id="4345"/>
    </w:p>
    <w:p w14:paraId="37ED0682" w14:textId="77777777" w:rsidR="00E96B29" w:rsidRPr="00027624" w:rsidRDefault="0019264C" w:rsidP="002D653B">
      <w:pPr>
        <w:pStyle w:val="ChartGraphic"/>
        <w:rPr>
          <w:color w:val="000000"/>
          <w:sz w:val="18"/>
          <w:szCs w:val="18"/>
        </w:rPr>
      </w:pPr>
      <w:r>
        <w:rPr>
          <w:noProof/>
          <w:color w:val="000000"/>
          <w:sz w:val="18"/>
          <w:szCs w:val="18"/>
        </w:rPr>
        <w:drawing>
          <wp:inline distT="0" distB="0" distL="0" distR="0" wp14:anchorId="1D61D9D5" wp14:editId="4DEE78F3">
            <wp:extent cx="5356860" cy="2606040"/>
            <wp:effectExtent l="0" t="0" r="0" b="3810"/>
            <wp:docPr id="1888992945" name="Picture 1888992945" descr="This chart illustrates that for those with lower assets at retirement would see no difference in Age Pension in their retirement under a merged means tests. Those in the 5th decile of assets and above would see lower Age Pension payments." title="Chart 6B-4 Total Age Pension payments over 22 years with constant real private income, by assessable assets decile at ret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356860" cy="2606040"/>
                    </a:xfrm>
                    <a:prstGeom prst="rect">
                      <a:avLst/>
                    </a:prstGeom>
                    <a:noFill/>
                  </pic:spPr>
                </pic:pic>
              </a:graphicData>
            </a:graphic>
          </wp:inline>
        </w:drawing>
      </w:r>
    </w:p>
    <w:p w14:paraId="1B1F6E17" w14:textId="4FF0BE18" w:rsidR="00E96B29" w:rsidRPr="00027624" w:rsidRDefault="00E96B29" w:rsidP="002D653B">
      <w:pPr>
        <w:pStyle w:val="ChartorTableNote"/>
        <w:rPr>
          <w:rFonts w:ascii="Times New Roman" w:eastAsiaTheme="minorHAnsi" w:hAnsi="Times New Roman"/>
          <w:sz w:val="24"/>
          <w:szCs w:val="24"/>
          <w:lang w:eastAsia="zh-CN"/>
        </w:rPr>
      </w:pPr>
      <w:r w:rsidRPr="00027624">
        <w:t xml:space="preserve">Note: Same as </w:t>
      </w:r>
      <w:r w:rsidRPr="00027624">
        <w:fldChar w:fldCharType="begin"/>
      </w:r>
      <w:r w:rsidRPr="00027624">
        <w:instrText xml:space="preserve"> REF _Ref42786686 \r \h  \* MERGEFORMAT </w:instrText>
      </w:r>
      <w:r w:rsidRPr="00027624">
        <w:fldChar w:fldCharType="separate"/>
      </w:r>
      <w:r w:rsidR="00891058">
        <w:t>Chart 6B-3</w:t>
      </w:r>
      <w:r w:rsidRPr="00027624">
        <w:fldChar w:fldCharType="end"/>
      </w:r>
      <w:r w:rsidRPr="00027624">
        <w:t>. Assumes assessable assets is equal to net wealth excluding the family home and $30,000 of personal use assets. Deciles calculated using assessable assets of people aged 60 to 67 in 2017</w:t>
      </w:r>
      <w:r w:rsidR="00A8443E" w:rsidRPr="00027624">
        <w:noBreakHyphen/>
      </w:r>
      <w:r w:rsidRPr="00027624">
        <w:t xml:space="preserve">18 </w:t>
      </w:r>
      <w:sdt>
        <w:sdtPr>
          <w:id w:val="833041819"/>
          <w:citation/>
        </w:sdtPr>
        <w:sdtEndPr/>
        <w:sdtContent>
          <w:r w:rsidRPr="00027624">
            <w:fldChar w:fldCharType="begin"/>
          </w:r>
          <w:r w:rsidRPr="00027624">
            <w:instrText xml:space="preserve"> CITATION ABS196 \l 3081 </w:instrText>
          </w:r>
          <w:r w:rsidRPr="00027624">
            <w:fldChar w:fldCharType="separate"/>
          </w:r>
          <w:r w:rsidR="00E83F6E">
            <w:rPr>
              <w:noProof/>
            </w:rPr>
            <w:t>(ABS, 2019s)</w:t>
          </w:r>
          <w:r w:rsidRPr="00027624">
            <w:fldChar w:fldCharType="end"/>
          </w:r>
        </w:sdtContent>
      </w:sdt>
      <w:r w:rsidRPr="00027624">
        <w:t xml:space="preserve">. Assessable assets of each decile is equal to the average net wealth of the persons with the lowest and highest net wealth in the decile. Period of retirement is 22 years, which is roughly equal to the life expectancy of a woman aged 67 </w:t>
      </w:r>
      <w:sdt>
        <w:sdtPr>
          <w:id w:val="-2095078587"/>
          <w:citation/>
        </w:sdtPr>
        <w:sdtEndPr/>
        <w:sdtContent>
          <w:r w:rsidRPr="00027624">
            <w:fldChar w:fldCharType="begin"/>
          </w:r>
          <w:r w:rsidRPr="00027624">
            <w:instrText xml:space="preserve"> CITATION AGA19 \l 3081 </w:instrText>
          </w:r>
          <w:r w:rsidRPr="00027624">
            <w:fldChar w:fldCharType="separate"/>
          </w:r>
          <w:r w:rsidR="00E83F6E">
            <w:rPr>
              <w:noProof/>
            </w:rPr>
            <w:t>(Australian Government Actuary, 2019)</w:t>
          </w:r>
          <w:r w:rsidRPr="00027624">
            <w:fldChar w:fldCharType="end"/>
          </w:r>
        </w:sdtContent>
      </w:sdt>
      <w:r w:rsidRPr="00027624">
        <w:t xml:space="preserve">. Source: Calculations based on </w:t>
      </w:r>
      <w:r w:rsidRPr="00027624" w:rsidDel="0068007C">
        <w:t>Age</w:t>
      </w:r>
      <w:r w:rsidRPr="00027624">
        <w:t> Pension rates and thresholds as at 1 May 2020,</w:t>
      </w:r>
      <w:sdt>
        <w:sdtPr>
          <w:id w:val="-253591789"/>
          <w:citation/>
        </w:sdtPr>
        <w:sdtEndPr/>
        <w:sdtContent>
          <w:r w:rsidRPr="00027624">
            <w:fldChar w:fldCharType="begin"/>
          </w:r>
          <w:r w:rsidRPr="00027624">
            <w:instrText xml:space="preserve"> CITATION ABS196 \l 3081 </w:instrText>
          </w:r>
          <w:r w:rsidRPr="00027624">
            <w:fldChar w:fldCharType="separate"/>
          </w:r>
          <w:r w:rsidR="00E83F6E">
            <w:rPr>
              <w:noProof/>
            </w:rPr>
            <w:t xml:space="preserve"> (ABS, 2019s)</w:t>
          </w:r>
          <w:r w:rsidRPr="00027624">
            <w:fldChar w:fldCharType="end"/>
          </w:r>
        </w:sdtContent>
      </w:sdt>
      <w:r w:rsidRPr="00027624">
        <w:t xml:space="preserve"> and assumptions for the example of a merged means test. The life expectancy used to calculate the deemed capital consumption is sourced from the Australian Life Tables 2015</w:t>
      </w:r>
      <w:r w:rsidR="00A8443E" w:rsidRPr="00027624">
        <w:noBreakHyphen/>
      </w:r>
      <w:r w:rsidRPr="00027624">
        <w:t>17</w:t>
      </w:r>
      <w:sdt>
        <w:sdtPr>
          <w:id w:val="546582075"/>
          <w:citation/>
        </w:sdtPr>
        <w:sdtEndPr/>
        <w:sdtContent>
          <w:r w:rsidRPr="00027624">
            <w:fldChar w:fldCharType="begin"/>
          </w:r>
          <w:r w:rsidRPr="00027624">
            <w:instrText xml:space="preserve"> CITATION AGA19 \l 3081 </w:instrText>
          </w:r>
          <w:r w:rsidRPr="00027624">
            <w:fldChar w:fldCharType="separate"/>
          </w:r>
          <w:r w:rsidR="00E83F6E">
            <w:rPr>
              <w:noProof/>
            </w:rPr>
            <w:t xml:space="preserve"> (Australian Government Actuary, 2019)</w:t>
          </w:r>
          <w:r w:rsidRPr="00027624">
            <w:fldChar w:fldCharType="end"/>
          </w:r>
        </w:sdtContent>
      </w:sdt>
      <w:r w:rsidRPr="00027624">
        <w:t>.</w:t>
      </w:r>
    </w:p>
    <w:p w14:paraId="1FCF1910" w14:textId="25FEF8D8" w:rsidR="00E96B29" w:rsidRPr="00027624" w:rsidRDefault="00E96B29" w:rsidP="00E96B29">
      <w:pPr>
        <w:spacing w:before="0"/>
      </w:pPr>
      <w:r w:rsidRPr="00027624">
        <w:rPr>
          <w:color w:val="000000" w:themeColor="text1"/>
        </w:rPr>
        <w:t>If a merged means test was introduced, existing retirees would face the merged means test for only part of their retirement. The effect of the merged means test on these people would depend on their level of assessable assets and age (</w:t>
      </w:r>
      <w:r w:rsidRPr="00027624">
        <w:rPr>
          <w:color w:val="000000" w:themeColor="text1"/>
        </w:rPr>
        <w:fldChar w:fldCharType="begin"/>
      </w:r>
      <w:r w:rsidRPr="00027624">
        <w:rPr>
          <w:color w:val="000000" w:themeColor="text1"/>
        </w:rPr>
        <w:instrText xml:space="preserve"> REF _Ref42786896 \r \h  \* MERGEFORMAT </w:instrText>
      </w:r>
      <w:r w:rsidRPr="00027624">
        <w:rPr>
          <w:color w:val="000000" w:themeColor="text1"/>
        </w:rPr>
      </w:r>
      <w:r w:rsidRPr="00027624">
        <w:rPr>
          <w:color w:val="000000" w:themeColor="text1"/>
        </w:rPr>
        <w:fldChar w:fldCharType="separate"/>
      </w:r>
      <w:r w:rsidR="00891058">
        <w:rPr>
          <w:color w:val="000000" w:themeColor="text1"/>
        </w:rPr>
        <w:t>Chart 6B-5</w:t>
      </w:r>
      <w:r w:rsidRPr="00027624">
        <w:rPr>
          <w:color w:val="000000" w:themeColor="text1"/>
        </w:rPr>
        <w:fldChar w:fldCharType="end"/>
      </w:r>
      <w:r w:rsidRPr="00027624">
        <w:rPr>
          <w:color w:val="000000" w:themeColor="text1"/>
        </w:rPr>
        <w:t xml:space="preserve">). </w:t>
      </w:r>
      <w:r w:rsidRPr="00027624">
        <w:t>Those adversely affected under this model would largely be older retirees. This is because deemed capital consumption increases with age, resulting in an older person having a greater assessable means than a younger, but otherwise equivalent, person.</w:t>
      </w:r>
    </w:p>
    <w:p w14:paraId="670130D5" w14:textId="77777777" w:rsidR="00E96B29" w:rsidRPr="00027624" w:rsidRDefault="00E96B29" w:rsidP="00E96B29">
      <w:pPr>
        <w:spacing w:before="0"/>
      </w:pPr>
      <w:r w:rsidRPr="00027624">
        <w:t xml:space="preserve">Other people adversely affected under this model would be younger retirees currently captured by the means test (who effectively have some of their income or assets disregarded under the current dual means test). In contrast, younger retirees who currently just missed out on the </w:t>
      </w:r>
      <w:r w:rsidRPr="00027624" w:rsidDel="0068007C">
        <w:t>Age Pension</w:t>
      </w:r>
      <w:r w:rsidRPr="00027624">
        <w:t xml:space="preserve"> under the assets test may benefit from the lower effective marginal taper rate on assets. They may become eligible to receive a part</w:t>
      </w:r>
      <w:r w:rsidR="00A8443E" w:rsidRPr="00027624">
        <w:noBreakHyphen/>
      </w:r>
      <w:r w:rsidRPr="00027624">
        <w:t xml:space="preserve">rate </w:t>
      </w:r>
      <w:r w:rsidRPr="00027624" w:rsidDel="0068007C">
        <w:t>Age</w:t>
      </w:r>
      <w:r w:rsidRPr="00027624">
        <w:t> Pension in the earlier years of retirement.</w:t>
      </w:r>
    </w:p>
    <w:p w14:paraId="33BB5A29" w14:textId="77777777" w:rsidR="00E96B29" w:rsidRPr="00027624" w:rsidRDefault="00E96B29" w:rsidP="00E96B29">
      <w:pPr>
        <w:pStyle w:val="ChartMainHeading"/>
      </w:pPr>
      <w:bookmarkStart w:id="4346" w:name="_Ref40890092"/>
      <w:bookmarkStart w:id="4347" w:name="_Ref42786896"/>
      <w:r w:rsidRPr="00027624">
        <w:t>Annual Age Pension payment in 2019</w:t>
      </w:r>
      <w:r w:rsidR="00A8443E" w:rsidRPr="00027624">
        <w:noBreakHyphen/>
      </w:r>
      <w:r w:rsidRPr="00027624">
        <w:t>20, by assessable assets and age</w:t>
      </w:r>
      <w:bookmarkEnd w:id="4346"/>
      <w:r w:rsidRPr="00027624">
        <w:t xml:space="preserve"> group</w:t>
      </w:r>
      <w:bookmarkEnd w:id="4347"/>
    </w:p>
    <w:tbl>
      <w:tblPr>
        <w:tblpPr w:leftFromText="180" w:rightFromText="180" w:vertAnchor="text" w:horzAnchor="margin" w:tblpY="46"/>
        <w:tblW w:w="5000" w:type="pct"/>
        <w:tblCellMar>
          <w:left w:w="0" w:type="dxa"/>
          <w:right w:w="0" w:type="dxa"/>
        </w:tblCellMar>
        <w:tblLook w:val="01E0" w:firstRow="1" w:lastRow="1" w:firstColumn="1" w:lastColumn="1" w:noHBand="0" w:noVBand="0"/>
      </w:tblPr>
      <w:tblGrid>
        <w:gridCol w:w="4532"/>
        <w:gridCol w:w="4532"/>
        <w:gridCol w:w="6"/>
      </w:tblGrid>
      <w:tr w:rsidR="0086615C" w:rsidRPr="00027624" w14:paraId="2166C6F0" w14:textId="77777777" w:rsidTr="0086615C">
        <w:trPr>
          <w:cantSplit/>
          <w:trHeight w:val="4536"/>
        </w:trPr>
        <w:tc>
          <w:tcPr>
            <w:tcW w:w="2539" w:type="pct"/>
          </w:tcPr>
          <w:p w14:paraId="357E9742" w14:textId="77777777" w:rsidR="0086615C" w:rsidRPr="00027624" w:rsidRDefault="0086615C" w:rsidP="0086615C">
            <w:pPr>
              <w:pStyle w:val="ChartSecondHeading"/>
            </w:pPr>
            <w:r w:rsidRPr="00027624">
              <w:br w:type="page"/>
            </w:r>
            <w:r>
              <w:t>Assessable assets of $85,000</w:t>
            </w:r>
          </w:p>
          <w:p w14:paraId="547D99F0" w14:textId="77777777" w:rsidR="0086615C" w:rsidRPr="00027624" w:rsidRDefault="0086615C" w:rsidP="0086615C">
            <w:pPr>
              <w:pStyle w:val="ChartGraphic"/>
            </w:pPr>
            <w:r>
              <w:rPr>
                <w:noProof/>
              </w:rPr>
              <w:drawing>
                <wp:inline distT="0" distB="0" distL="0" distR="0" wp14:anchorId="50A2E170" wp14:editId="13AF5364">
                  <wp:extent cx="2880360" cy="2880360"/>
                  <wp:effectExtent l="0" t="0" r="0" b="0"/>
                  <wp:docPr id="1888992952" name="Picture 1888992952" descr="These charts show cameos of those with different assessable assets and their payment under current arrangements and a merged means test. For those with $85,000 would see essentially no difference. As assets increase the reduction in payments is greater under a merged means test. The decrease in payment is also greater for older ages." title="Chart 6B-5 Annual Age Pension payment in 2019-20, by assessable assets and age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2458" w:type="pct"/>
          </w:tcPr>
          <w:p w14:paraId="718779A8" w14:textId="77777777" w:rsidR="0086615C" w:rsidRPr="00027624" w:rsidRDefault="0086615C" w:rsidP="0086615C">
            <w:pPr>
              <w:pStyle w:val="ChartSecondHeading"/>
              <w:rPr>
                <w:noProof/>
              </w:rPr>
            </w:pPr>
            <w:r>
              <w:t>Assessable assets of $250,000</w:t>
            </w:r>
          </w:p>
          <w:p w14:paraId="75530A54" w14:textId="77777777" w:rsidR="0086615C" w:rsidRPr="00027624" w:rsidRDefault="0086615C" w:rsidP="0086615C">
            <w:pPr>
              <w:pStyle w:val="ChartGraphic"/>
            </w:pPr>
            <w:r>
              <w:rPr>
                <w:noProof/>
              </w:rPr>
              <w:drawing>
                <wp:inline distT="0" distB="0" distL="0" distR="0" wp14:anchorId="481EE4AA" wp14:editId="64373695">
                  <wp:extent cx="2880360" cy="2880360"/>
                  <wp:effectExtent l="0" t="0" r="0" b="0"/>
                  <wp:docPr id="1888992953" name="Picture 188899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3" w:type="pct"/>
          </w:tcPr>
          <w:p w14:paraId="0DC032BA" w14:textId="77777777" w:rsidR="0086615C" w:rsidRDefault="0086615C" w:rsidP="002D653B">
            <w:pPr>
              <w:pStyle w:val="ChartGraphic"/>
              <w:rPr>
                <w:noProof/>
              </w:rPr>
            </w:pPr>
          </w:p>
        </w:tc>
      </w:tr>
      <w:tr w:rsidR="0086615C" w:rsidRPr="00027624" w14:paraId="29B0A316" w14:textId="77777777" w:rsidTr="0086615C">
        <w:trPr>
          <w:cantSplit/>
          <w:trHeight w:val="4536"/>
        </w:trPr>
        <w:tc>
          <w:tcPr>
            <w:tcW w:w="2539" w:type="pct"/>
          </w:tcPr>
          <w:p w14:paraId="7EEAB5F5" w14:textId="77777777" w:rsidR="0086615C" w:rsidRDefault="0086615C" w:rsidP="0086615C">
            <w:pPr>
              <w:pStyle w:val="ChartSecondHeading"/>
            </w:pPr>
            <w:r>
              <w:t>Assessable assets of $400,000</w:t>
            </w:r>
          </w:p>
          <w:p w14:paraId="0D5370DE" w14:textId="77777777" w:rsidR="0086615C" w:rsidRPr="0086615C" w:rsidRDefault="0086615C" w:rsidP="0086615C">
            <w:pPr>
              <w:pStyle w:val="ChartGraphic"/>
            </w:pPr>
            <w:r>
              <w:rPr>
                <w:noProof/>
              </w:rPr>
              <w:drawing>
                <wp:inline distT="0" distB="0" distL="0" distR="0" wp14:anchorId="3535D064" wp14:editId="6C885322">
                  <wp:extent cx="2880360" cy="2880360"/>
                  <wp:effectExtent l="0" t="0" r="0" b="0"/>
                  <wp:docPr id="1888992950" name="Picture 188899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2458" w:type="pct"/>
          </w:tcPr>
          <w:p w14:paraId="551DA7AC" w14:textId="77777777" w:rsidR="0086615C" w:rsidRDefault="0086615C" w:rsidP="0086615C">
            <w:pPr>
              <w:pStyle w:val="ChartSecondHeading"/>
            </w:pPr>
            <w:r>
              <w:t>Assessable assets of $500,000</w:t>
            </w:r>
          </w:p>
          <w:p w14:paraId="6DB66612" w14:textId="77777777" w:rsidR="0086615C" w:rsidRPr="0086615C" w:rsidRDefault="0086615C" w:rsidP="0086615C">
            <w:pPr>
              <w:pStyle w:val="ChartGraphic"/>
            </w:pPr>
            <w:r>
              <w:rPr>
                <w:noProof/>
              </w:rPr>
              <w:drawing>
                <wp:inline distT="0" distB="0" distL="0" distR="0" wp14:anchorId="44EA3224" wp14:editId="67927368">
                  <wp:extent cx="2880360" cy="2880360"/>
                  <wp:effectExtent l="0" t="0" r="0" b="0"/>
                  <wp:docPr id="1888992954" name="Picture 188899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p>
        </w:tc>
        <w:tc>
          <w:tcPr>
            <w:tcW w:w="3" w:type="pct"/>
          </w:tcPr>
          <w:p w14:paraId="0976B2A9" w14:textId="77777777" w:rsidR="0086615C" w:rsidRDefault="0086615C" w:rsidP="002D653B">
            <w:pPr>
              <w:pStyle w:val="ChartGraphic"/>
              <w:rPr>
                <w:noProof/>
              </w:rPr>
            </w:pPr>
          </w:p>
        </w:tc>
      </w:tr>
    </w:tbl>
    <w:p w14:paraId="786D447A" w14:textId="47CBDEA7" w:rsidR="00E96B29" w:rsidRPr="00027624" w:rsidRDefault="00E96B29" w:rsidP="002D653B">
      <w:pPr>
        <w:pStyle w:val="ChartorTableNote"/>
      </w:pPr>
      <w:r w:rsidRPr="00027624">
        <w:t xml:space="preserve">Note: Same as </w:t>
      </w:r>
      <w:r w:rsidRPr="00027624">
        <w:fldChar w:fldCharType="begin"/>
      </w:r>
      <w:r w:rsidRPr="00027624">
        <w:instrText xml:space="preserve"> REF _Ref42786686 \r \h  \* MERGEFORMAT </w:instrText>
      </w:r>
      <w:r w:rsidRPr="00027624">
        <w:fldChar w:fldCharType="separate"/>
      </w:r>
      <w:r w:rsidR="00891058">
        <w:t>Chart 6B-3</w:t>
      </w:r>
      <w:r w:rsidRPr="00027624">
        <w:fldChar w:fldCharType="end"/>
      </w:r>
      <w:r w:rsidRPr="00027624">
        <w:t>. For each chart, assessable assets are the same for each age group. $85,000 and $250,000 are in the 3</w:t>
      </w:r>
      <w:r w:rsidRPr="00027624">
        <w:rPr>
          <w:vertAlign w:val="superscript"/>
        </w:rPr>
        <w:t>rd</w:t>
      </w:r>
      <w:r w:rsidRPr="00027624">
        <w:t xml:space="preserve"> and the 5</w:t>
      </w:r>
      <w:r w:rsidRPr="00027624">
        <w:rPr>
          <w:vertAlign w:val="superscript"/>
        </w:rPr>
        <w:t>th</w:t>
      </w:r>
      <w:r w:rsidRPr="00027624">
        <w:t xml:space="preserve"> deciles, while $400,000 and $500,000 are close to the lower and upper ends of the 7</w:t>
      </w:r>
      <w:r w:rsidRPr="00027624">
        <w:rPr>
          <w:vertAlign w:val="superscript"/>
        </w:rPr>
        <w:t>th</w:t>
      </w:r>
      <w:r w:rsidRPr="00027624">
        <w:t xml:space="preserve"> decile, in the distribution of assessable assets for people aged 60 to 67 in 2017</w:t>
      </w:r>
      <w:r w:rsidR="00A8443E" w:rsidRPr="00027624">
        <w:noBreakHyphen/>
      </w:r>
      <w:r w:rsidRPr="00027624">
        <w:t xml:space="preserve">18 </w:t>
      </w:r>
      <w:sdt>
        <w:sdtPr>
          <w:id w:val="-380399698"/>
          <w:citation/>
        </w:sdtPr>
        <w:sdtEndPr/>
        <w:sdtContent>
          <w:r w:rsidRPr="00027624">
            <w:fldChar w:fldCharType="begin"/>
          </w:r>
          <w:r w:rsidRPr="00027624">
            <w:instrText xml:space="preserve"> CITATION ABS196 \l 3081 </w:instrText>
          </w:r>
          <w:r w:rsidRPr="00027624">
            <w:fldChar w:fldCharType="separate"/>
          </w:r>
          <w:r w:rsidR="00E83F6E">
            <w:rPr>
              <w:noProof/>
            </w:rPr>
            <w:t>(ABS, 2019s)</w:t>
          </w:r>
          <w:r w:rsidRPr="00027624">
            <w:fldChar w:fldCharType="end"/>
          </w:r>
        </w:sdtContent>
      </w:sdt>
      <w:r w:rsidRPr="00027624">
        <w:t>. Retirees with assessable assets above the 7</w:t>
      </w:r>
      <w:r w:rsidRPr="00027624">
        <w:rPr>
          <w:vertAlign w:val="superscript"/>
        </w:rPr>
        <w:t>th</w:t>
      </w:r>
      <w:r w:rsidRPr="00027624">
        <w:t xml:space="preserve"> decile currently receive little to no </w:t>
      </w:r>
      <w:r w:rsidRPr="00027624" w:rsidDel="0068007C">
        <w:t>Age</w:t>
      </w:r>
      <w:r w:rsidRPr="00027624">
        <w:t xml:space="preserve"> Pension payment, and are therefore not considered in the analysis. Source: Calculations based on </w:t>
      </w:r>
      <w:r w:rsidRPr="00027624" w:rsidDel="0068007C">
        <w:t>Age</w:t>
      </w:r>
      <w:r w:rsidRPr="00027624">
        <w:t> Pension rates and thresholds as at 1 May 2020 and assumptions for the example of a merged means test. The life expectancy used to calculate the deemed capital consumption is sourced from the Australian Life Tables 2015</w:t>
      </w:r>
      <w:r w:rsidR="00A8443E" w:rsidRPr="00027624">
        <w:noBreakHyphen/>
      </w:r>
      <w:r w:rsidRPr="00027624">
        <w:t>17</w:t>
      </w:r>
      <w:sdt>
        <w:sdtPr>
          <w:id w:val="-1537421689"/>
          <w:citation/>
        </w:sdtPr>
        <w:sdtEndPr/>
        <w:sdtContent>
          <w:r w:rsidRPr="00027624">
            <w:fldChar w:fldCharType="begin"/>
          </w:r>
          <w:r w:rsidRPr="00027624">
            <w:instrText xml:space="preserve"> CITATION AGA19 \l 3081 </w:instrText>
          </w:r>
          <w:r w:rsidRPr="00027624">
            <w:fldChar w:fldCharType="separate"/>
          </w:r>
          <w:r w:rsidR="00E83F6E">
            <w:rPr>
              <w:noProof/>
            </w:rPr>
            <w:t xml:space="preserve"> (Australian Government Actuary, 2019)</w:t>
          </w:r>
          <w:r w:rsidRPr="00027624">
            <w:fldChar w:fldCharType="end"/>
          </w:r>
        </w:sdtContent>
      </w:sdt>
      <w:r w:rsidRPr="00027624">
        <w:t>.</w:t>
      </w:r>
    </w:p>
    <w:p w14:paraId="12E8F316" w14:textId="77777777" w:rsidR="000700B0" w:rsidRDefault="000700B0" w:rsidP="000700B0">
      <w:pPr>
        <w:pStyle w:val="Heading4"/>
      </w:pPr>
      <w:r>
        <w:t>Sustainability of the retirement income system</w:t>
      </w:r>
    </w:p>
    <w:p w14:paraId="0DC242BA" w14:textId="19DDC920" w:rsidR="00E96B29" w:rsidRPr="00027624" w:rsidRDefault="00E96B29" w:rsidP="00E96B29">
      <w:pPr>
        <w:spacing w:after="240"/>
      </w:pPr>
      <w:r w:rsidRPr="00027624">
        <w:t xml:space="preserve">This merged means test example would reduce the fiscal cost of the </w:t>
      </w:r>
      <w:r w:rsidRPr="00027624" w:rsidDel="0068007C">
        <w:t>Age</w:t>
      </w:r>
      <w:r w:rsidRPr="00027624">
        <w:t> Pension by around $8.2 billion between 2019</w:t>
      </w:r>
      <w:r w:rsidR="00A8443E" w:rsidRPr="00027624">
        <w:noBreakHyphen/>
      </w:r>
      <w:r w:rsidRPr="00027624">
        <w:t>20 and 2022</w:t>
      </w:r>
      <w:r w:rsidR="00A8443E" w:rsidRPr="00027624">
        <w:noBreakHyphen/>
      </w:r>
      <w:r w:rsidRPr="00027624">
        <w:t>23; around $2 billion per year (</w:t>
      </w:r>
      <w:r w:rsidRPr="00027624">
        <w:fldChar w:fldCharType="begin"/>
      </w:r>
      <w:r w:rsidRPr="00027624">
        <w:instrText xml:space="preserve"> REF _Ref42787830 \r \h  \* MERGEFORMAT </w:instrText>
      </w:r>
      <w:r w:rsidRPr="00027624">
        <w:fldChar w:fldCharType="separate"/>
      </w:r>
      <w:r w:rsidR="00891058">
        <w:t>Table 6B-3</w:t>
      </w:r>
      <w:r w:rsidRPr="00027624">
        <w:fldChar w:fldCharType="end"/>
      </w:r>
      <w:r w:rsidRPr="00027624">
        <w:t xml:space="preserve">). This fiscal saving is largely due to reduced </w:t>
      </w:r>
      <w:r w:rsidRPr="00027624" w:rsidDel="0068007C">
        <w:t>Age</w:t>
      </w:r>
      <w:r w:rsidRPr="00027624">
        <w:t> Pension expenditure to older people or people with substantial assessable assets. In future, as the average level of assessable assets at retirement increases due to the maturing superannuation system, the annual fiscal saving would increase. The fiscal saving would also reflect the flow</w:t>
      </w:r>
      <w:r w:rsidR="00A8443E" w:rsidRPr="00027624">
        <w:noBreakHyphen/>
      </w:r>
      <w:r w:rsidRPr="00027624">
        <w:t>on effect to other payments that retirees receive from the Government.</w:t>
      </w:r>
    </w:p>
    <w:p w14:paraId="708681BB" w14:textId="77777777" w:rsidR="00E96B29" w:rsidRPr="00027624" w:rsidRDefault="00E96B29" w:rsidP="00E96B29">
      <w:pPr>
        <w:pStyle w:val="TableMainHeading"/>
      </w:pPr>
      <w:bookmarkStart w:id="4348" w:name="_Ref39836246"/>
      <w:bookmarkStart w:id="4349" w:name="_Ref42787830"/>
      <w:r w:rsidRPr="00027624">
        <w:t xml:space="preserve">Change in fiscal cost due to </w:t>
      </w:r>
      <w:bookmarkEnd w:id="4348"/>
      <w:bookmarkEnd w:id="4349"/>
      <w:r w:rsidRPr="00027624">
        <w:t>merging the Age Pension income and assets tests</w:t>
      </w:r>
    </w:p>
    <w:tbl>
      <w:tblPr>
        <w:tblW w:w="5000" w:type="pct"/>
        <w:jc w:val="center"/>
        <w:tblLook w:val="01E0" w:firstRow="1" w:lastRow="1" w:firstColumn="1" w:lastColumn="1" w:noHBand="0" w:noVBand="0"/>
      </w:tblPr>
      <w:tblGrid>
        <w:gridCol w:w="1814"/>
        <w:gridCol w:w="1816"/>
        <w:gridCol w:w="1814"/>
        <w:gridCol w:w="1814"/>
        <w:gridCol w:w="1812"/>
      </w:tblGrid>
      <w:tr w:rsidR="00E96B29" w:rsidRPr="00027624" w14:paraId="31C2C8B5" w14:textId="77777777" w:rsidTr="00E96B29">
        <w:trPr>
          <w:trHeight w:val="270"/>
          <w:tblHeader/>
          <w:jc w:val="center"/>
        </w:trPr>
        <w:tc>
          <w:tcPr>
            <w:tcW w:w="1000" w:type="pct"/>
            <w:shd w:val="clear" w:color="auto" w:fill="E5E5E5"/>
          </w:tcPr>
          <w:p w14:paraId="732BCA8E" w14:textId="77777777" w:rsidR="00E96B29" w:rsidRPr="00027624" w:rsidRDefault="00E96B29" w:rsidP="00E96B29">
            <w:pPr>
              <w:pStyle w:val="TableTextLeft"/>
              <w:jc w:val="center"/>
              <w:rPr>
                <w:b/>
                <w:color w:val="144E60" w:themeColor="accent1"/>
                <w:sz w:val="20"/>
              </w:rPr>
            </w:pPr>
          </w:p>
        </w:tc>
        <w:tc>
          <w:tcPr>
            <w:tcW w:w="1001" w:type="pct"/>
            <w:shd w:val="clear" w:color="auto" w:fill="E5E5E5"/>
          </w:tcPr>
          <w:p w14:paraId="7206B1E1" w14:textId="77777777" w:rsidR="00E96B29" w:rsidRPr="00027624" w:rsidRDefault="00E96B29" w:rsidP="00E96B29">
            <w:pPr>
              <w:pStyle w:val="TableColumnHeadingCentred"/>
            </w:pPr>
            <w:r w:rsidRPr="00027624">
              <w:t>2019</w:t>
            </w:r>
            <w:r w:rsidR="00A8443E" w:rsidRPr="00027624">
              <w:noBreakHyphen/>
            </w:r>
            <w:r w:rsidRPr="00027624">
              <w:t>20</w:t>
            </w:r>
          </w:p>
        </w:tc>
        <w:tc>
          <w:tcPr>
            <w:tcW w:w="1000" w:type="pct"/>
            <w:shd w:val="clear" w:color="auto" w:fill="E5E5E5"/>
          </w:tcPr>
          <w:p w14:paraId="05E2EE2B" w14:textId="77777777" w:rsidR="00E96B29" w:rsidRPr="00027624" w:rsidRDefault="00E96B29" w:rsidP="00E96B29">
            <w:pPr>
              <w:pStyle w:val="TableColumnHeadingCentred"/>
            </w:pPr>
            <w:r w:rsidRPr="00027624">
              <w:t>2020</w:t>
            </w:r>
            <w:r w:rsidR="00A8443E" w:rsidRPr="00027624">
              <w:noBreakHyphen/>
            </w:r>
            <w:r w:rsidRPr="00027624">
              <w:t>21</w:t>
            </w:r>
          </w:p>
        </w:tc>
        <w:tc>
          <w:tcPr>
            <w:tcW w:w="1000" w:type="pct"/>
            <w:shd w:val="clear" w:color="auto" w:fill="E5E5E5"/>
          </w:tcPr>
          <w:p w14:paraId="6DD78A9C" w14:textId="77777777" w:rsidR="00E96B29" w:rsidRPr="00027624" w:rsidRDefault="00E96B29" w:rsidP="00E96B29">
            <w:pPr>
              <w:pStyle w:val="TableColumnHeadingCentred"/>
            </w:pPr>
            <w:r w:rsidRPr="00027624">
              <w:t>2021</w:t>
            </w:r>
            <w:r w:rsidR="00A8443E" w:rsidRPr="00027624">
              <w:noBreakHyphen/>
            </w:r>
            <w:r w:rsidRPr="00027624">
              <w:t>22</w:t>
            </w:r>
          </w:p>
        </w:tc>
        <w:tc>
          <w:tcPr>
            <w:tcW w:w="999" w:type="pct"/>
            <w:shd w:val="clear" w:color="auto" w:fill="E5E5E5"/>
          </w:tcPr>
          <w:p w14:paraId="00ED7C36" w14:textId="77777777" w:rsidR="00E96B29" w:rsidRPr="00027624" w:rsidRDefault="00E96B29" w:rsidP="00E96B29">
            <w:pPr>
              <w:pStyle w:val="TableColumnHeadingCentred"/>
            </w:pPr>
            <w:r w:rsidRPr="00027624">
              <w:t>2022</w:t>
            </w:r>
            <w:r w:rsidR="00A8443E" w:rsidRPr="00027624">
              <w:noBreakHyphen/>
            </w:r>
            <w:r w:rsidRPr="00027624">
              <w:t>23</w:t>
            </w:r>
          </w:p>
        </w:tc>
      </w:tr>
      <w:tr w:rsidR="00E96B29" w:rsidRPr="00027624" w14:paraId="171CA3F8" w14:textId="77777777" w:rsidTr="00E96B29">
        <w:trPr>
          <w:trHeight w:val="270"/>
          <w:jc w:val="center"/>
        </w:trPr>
        <w:tc>
          <w:tcPr>
            <w:tcW w:w="1000" w:type="pct"/>
          </w:tcPr>
          <w:p w14:paraId="189A9E3A" w14:textId="77777777" w:rsidR="00E96B29" w:rsidRPr="00027624" w:rsidRDefault="00E96B29" w:rsidP="00E96B29">
            <w:pPr>
              <w:pStyle w:val="TableTextLeft"/>
            </w:pPr>
            <w:r w:rsidRPr="00027624">
              <w:t>Fiscal cost due to current population ($ billion)</w:t>
            </w:r>
          </w:p>
        </w:tc>
        <w:tc>
          <w:tcPr>
            <w:tcW w:w="1001" w:type="pct"/>
          </w:tcPr>
          <w:p w14:paraId="7EB4C735" w14:textId="77777777" w:rsidR="00E96B29" w:rsidRPr="00027624" w:rsidRDefault="00A8443E" w:rsidP="00E96B29">
            <w:pPr>
              <w:pStyle w:val="TableTextLeft"/>
              <w:jc w:val="center"/>
            </w:pPr>
            <w:r w:rsidRPr="00027624">
              <w:noBreakHyphen/>
            </w:r>
            <w:r w:rsidR="00E96B29" w:rsidRPr="00027624">
              <w:t>3.9</w:t>
            </w:r>
          </w:p>
        </w:tc>
        <w:tc>
          <w:tcPr>
            <w:tcW w:w="1000" w:type="pct"/>
          </w:tcPr>
          <w:p w14:paraId="784B4448" w14:textId="77777777" w:rsidR="00E96B29" w:rsidRPr="00027624" w:rsidRDefault="00A8443E" w:rsidP="00E96B29">
            <w:pPr>
              <w:pStyle w:val="TableTextLeft"/>
              <w:jc w:val="center"/>
            </w:pPr>
            <w:r w:rsidRPr="00027624">
              <w:noBreakHyphen/>
            </w:r>
            <w:r w:rsidR="00E96B29" w:rsidRPr="00027624">
              <w:t>4.1</w:t>
            </w:r>
          </w:p>
        </w:tc>
        <w:tc>
          <w:tcPr>
            <w:tcW w:w="1000" w:type="pct"/>
          </w:tcPr>
          <w:p w14:paraId="7A8788B2" w14:textId="77777777" w:rsidR="00E96B29" w:rsidRPr="00027624" w:rsidRDefault="00A8443E" w:rsidP="00E96B29">
            <w:pPr>
              <w:pStyle w:val="TableTextLeft"/>
              <w:jc w:val="center"/>
            </w:pPr>
            <w:r w:rsidRPr="00027624">
              <w:noBreakHyphen/>
            </w:r>
            <w:r w:rsidR="00E96B29" w:rsidRPr="00027624">
              <w:t>4.4</w:t>
            </w:r>
          </w:p>
        </w:tc>
        <w:tc>
          <w:tcPr>
            <w:tcW w:w="999" w:type="pct"/>
          </w:tcPr>
          <w:p w14:paraId="3C940F52" w14:textId="77777777" w:rsidR="00E96B29" w:rsidRPr="00027624" w:rsidRDefault="00A8443E" w:rsidP="00E96B29">
            <w:pPr>
              <w:pStyle w:val="TableTextLeft"/>
              <w:jc w:val="center"/>
            </w:pPr>
            <w:r w:rsidRPr="00027624">
              <w:noBreakHyphen/>
            </w:r>
            <w:r w:rsidR="00E96B29" w:rsidRPr="00027624">
              <w:t>4.7</w:t>
            </w:r>
          </w:p>
        </w:tc>
      </w:tr>
      <w:tr w:rsidR="00E96B29" w:rsidRPr="00027624" w14:paraId="4A132976" w14:textId="77777777" w:rsidTr="00E96B29">
        <w:trPr>
          <w:trHeight w:val="270"/>
          <w:jc w:val="center"/>
        </w:trPr>
        <w:tc>
          <w:tcPr>
            <w:tcW w:w="1000" w:type="pct"/>
          </w:tcPr>
          <w:p w14:paraId="40CB1924" w14:textId="77777777" w:rsidR="00E96B29" w:rsidRPr="00027624" w:rsidRDefault="00E96B29" w:rsidP="00E96B29">
            <w:pPr>
              <w:pStyle w:val="TableTextLeft"/>
            </w:pPr>
            <w:r w:rsidRPr="00027624">
              <w:t>Fiscal cost due to new grants ($ billion)</w:t>
            </w:r>
          </w:p>
        </w:tc>
        <w:tc>
          <w:tcPr>
            <w:tcW w:w="1001" w:type="pct"/>
          </w:tcPr>
          <w:p w14:paraId="4A904ED2" w14:textId="77777777" w:rsidR="00E96B29" w:rsidRPr="00027624" w:rsidRDefault="00E96B29" w:rsidP="00E96B29">
            <w:pPr>
              <w:pStyle w:val="TableTextLeft"/>
              <w:jc w:val="center"/>
            </w:pPr>
            <w:r w:rsidRPr="00027624">
              <w:t>2.1</w:t>
            </w:r>
          </w:p>
        </w:tc>
        <w:tc>
          <w:tcPr>
            <w:tcW w:w="1000" w:type="pct"/>
          </w:tcPr>
          <w:p w14:paraId="1D2CB8D7" w14:textId="77777777" w:rsidR="00E96B29" w:rsidRPr="00027624" w:rsidRDefault="00E96B29" w:rsidP="00E96B29">
            <w:pPr>
              <w:pStyle w:val="TableTextLeft"/>
              <w:jc w:val="center"/>
            </w:pPr>
            <w:r w:rsidRPr="00027624">
              <w:t>2.2</w:t>
            </w:r>
          </w:p>
        </w:tc>
        <w:tc>
          <w:tcPr>
            <w:tcW w:w="1000" w:type="pct"/>
          </w:tcPr>
          <w:p w14:paraId="57BBCED2" w14:textId="77777777" w:rsidR="00E96B29" w:rsidRPr="00027624" w:rsidRDefault="00E96B29" w:rsidP="00E96B29">
            <w:pPr>
              <w:pStyle w:val="TableTextLeft"/>
              <w:jc w:val="center"/>
            </w:pPr>
            <w:r w:rsidRPr="00027624">
              <w:t>2.3</w:t>
            </w:r>
          </w:p>
        </w:tc>
        <w:tc>
          <w:tcPr>
            <w:tcW w:w="999" w:type="pct"/>
          </w:tcPr>
          <w:p w14:paraId="5AFA2967" w14:textId="77777777" w:rsidR="00E96B29" w:rsidRPr="00027624" w:rsidRDefault="00E96B29" w:rsidP="00E96B29">
            <w:pPr>
              <w:pStyle w:val="TableTextLeft"/>
              <w:jc w:val="center"/>
            </w:pPr>
            <w:r w:rsidRPr="00027624">
              <w:t>2.4</w:t>
            </w:r>
          </w:p>
        </w:tc>
      </w:tr>
      <w:tr w:rsidR="00E96B29" w:rsidRPr="00027624" w14:paraId="586222CE" w14:textId="77777777" w:rsidTr="00E96B29">
        <w:trPr>
          <w:trHeight w:val="270"/>
          <w:jc w:val="center"/>
        </w:trPr>
        <w:tc>
          <w:tcPr>
            <w:tcW w:w="1000" w:type="pct"/>
          </w:tcPr>
          <w:p w14:paraId="5C2A73ED" w14:textId="77777777" w:rsidR="00E96B29" w:rsidRPr="00027624" w:rsidRDefault="00E96B29" w:rsidP="00E96B29">
            <w:pPr>
              <w:pStyle w:val="TableTextLeft"/>
              <w:rPr>
                <w:b/>
              </w:rPr>
            </w:pPr>
            <w:r w:rsidRPr="00027624">
              <w:rPr>
                <w:b/>
              </w:rPr>
              <w:t>Total cost ($ billion)</w:t>
            </w:r>
          </w:p>
        </w:tc>
        <w:tc>
          <w:tcPr>
            <w:tcW w:w="1001" w:type="pct"/>
          </w:tcPr>
          <w:p w14:paraId="63AE1FB1" w14:textId="77777777" w:rsidR="00E96B29" w:rsidRPr="00027624" w:rsidRDefault="00A8443E" w:rsidP="00E96B29">
            <w:pPr>
              <w:pStyle w:val="TableTextLeft"/>
              <w:jc w:val="center"/>
              <w:rPr>
                <w:b/>
              </w:rPr>
            </w:pPr>
            <w:r w:rsidRPr="00027624">
              <w:rPr>
                <w:b/>
              </w:rPr>
              <w:noBreakHyphen/>
            </w:r>
            <w:r w:rsidR="00E96B29" w:rsidRPr="00027624">
              <w:rPr>
                <w:b/>
              </w:rPr>
              <w:t>1.9</w:t>
            </w:r>
          </w:p>
        </w:tc>
        <w:tc>
          <w:tcPr>
            <w:tcW w:w="1000" w:type="pct"/>
          </w:tcPr>
          <w:p w14:paraId="2A02A5EA" w14:textId="77777777" w:rsidR="00E96B29" w:rsidRPr="00027624" w:rsidRDefault="00A8443E" w:rsidP="00E96B29">
            <w:pPr>
              <w:pStyle w:val="TableTextLeft"/>
              <w:jc w:val="center"/>
              <w:rPr>
                <w:b/>
              </w:rPr>
            </w:pPr>
            <w:r w:rsidRPr="00027624">
              <w:rPr>
                <w:b/>
              </w:rPr>
              <w:noBreakHyphen/>
            </w:r>
            <w:r w:rsidR="00E96B29" w:rsidRPr="00027624">
              <w:rPr>
                <w:b/>
              </w:rPr>
              <w:t>2.0</w:t>
            </w:r>
          </w:p>
        </w:tc>
        <w:tc>
          <w:tcPr>
            <w:tcW w:w="1000" w:type="pct"/>
          </w:tcPr>
          <w:p w14:paraId="42A3C8F7" w14:textId="77777777" w:rsidR="00E96B29" w:rsidRPr="00027624" w:rsidRDefault="00A8443E" w:rsidP="00E96B29">
            <w:pPr>
              <w:pStyle w:val="TableTextLeft"/>
              <w:jc w:val="center"/>
              <w:rPr>
                <w:b/>
              </w:rPr>
            </w:pPr>
            <w:r w:rsidRPr="00027624">
              <w:rPr>
                <w:b/>
              </w:rPr>
              <w:noBreakHyphen/>
            </w:r>
            <w:r w:rsidR="00E96B29" w:rsidRPr="00027624">
              <w:rPr>
                <w:b/>
              </w:rPr>
              <w:t>2.1</w:t>
            </w:r>
          </w:p>
        </w:tc>
        <w:tc>
          <w:tcPr>
            <w:tcW w:w="999" w:type="pct"/>
          </w:tcPr>
          <w:p w14:paraId="20618619" w14:textId="77777777" w:rsidR="00E96B29" w:rsidRPr="00027624" w:rsidRDefault="00A8443E" w:rsidP="00E96B29">
            <w:pPr>
              <w:pStyle w:val="TableTextLeft"/>
              <w:jc w:val="center"/>
              <w:rPr>
                <w:b/>
              </w:rPr>
            </w:pPr>
            <w:r w:rsidRPr="00027624">
              <w:rPr>
                <w:b/>
              </w:rPr>
              <w:noBreakHyphen/>
            </w:r>
            <w:r w:rsidR="00E96B29" w:rsidRPr="00027624">
              <w:rPr>
                <w:b/>
              </w:rPr>
              <w:t>2.2</w:t>
            </w:r>
          </w:p>
        </w:tc>
      </w:tr>
    </w:tbl>
    <w:p w14:paraId="47DE1BBE" w14:textId="77777777" w:rsidR="00E96B29" w:rsidRPr="00027624" w:rsidRDefault="00E96B29" w:rsidP="00E96B29">
      <w:pPr>
        <w:spacing w:after="240"/>
        <w:rPr>
          <w:sz w:val="18"/>
        </w:rPr>
      </w:pPr>
      <w:r w:rsidRPr="00027624">
        <w:rPr>
          <w:sz w:val="18"/>
        </w:rPr>
        <w:t xml:space="preserve">Note: </w:t>
      </w:r>
      <w:r w:rsidRPr="00027624">
        <w:rPr>
          <w:rFonts w:eastAsia="Calibri" w:cs="Calibri"/>
          <w:sz w:val="18"/>
          <w:szCs w:val="18"/>
        </w:rPr>
        <w:t>This is a counter</w:t>
      </w:r>
      <w:r w:rsidR="00A8443E" w:rsidRPr="00027624">
        <w:rPr>
          <w:rFonts w:eastAsia="Calibri" w:cs="Calibri"/>
          <w:sz w:val="18"/>
          <w:szCs w:val="18"/>
        </w:rPr>
        <w:noBreakHyphen/>
      </w:r>
      <w:r w:rsidRPr="00027624">
        <w:rPr>
          <w:rFonts w:eastAsia="Calibri" w:cs="Calibri"/>
          <w:sz w:val="18"/>
          <w:szCs w:val="18"/>
        </w:rPr>
        <w:t xml:space="preserve">factual analysis as if the </w:t>
      </w:r>
      <w:r w:rsidRPr="00027624" w:rsidDel="0068007C">
        <w:rPr>
          <w:rFonts w:eastAsia="Calibri" w:cs="Calibri"/>
          <w:sz w:val="18"/>
          <w:szCs w:val="18"/>
        </w:rPr>
        <w:t>Age</w:t>
      </w:r>
      <w:r w:rsidRPr="00027624">
        <w:rPr>
          <w:rFonts w:eastAsia="Calibri" w:cs="Calibri"/>
          <w:sz w:val="18"/>
          <w:szCs w:val="18"/>
        </w:rPr>
        <w:t xml:space="preserve"> Pension income and assets tests were merged from 1 July 2019. </w:t>
      </w:r>
      <w:r w:rsidRPr="00027624">
        <w:rPr>
          <w:sz w:val="18"/>
        </w:rPr>
        <w:t>Forward estimates are in nominal terms. Source: Department of Social Services (DSS) modelling for the review.</w:t>
      </w:r>
    </w:p>
    <w:p w14:paraId="2EDB18DF" w14:textId="77777777" w:rsidR="00E96B29" w:rsidRPr="00027624" w:rsidRDefault="00E96B29" w:rsidP="00E96B29">
      <w:pPr>
        <w:pStyle w:val="Heading3"/>
        <w:rPr>
          <w:rFonts w:eastAsia="Calibri"/>
        </w:rPr>
      </w:pPr>
      <w:r w:rsidRPr="00027624">
        <w:rPr>
          <w:rFonts w:eastAsia="Calibri"/>
        </w:rPr>
        <w:t>Incentives and simplicity</w:t>
      </w:r>
    </w:p>
    <w:p w14:paraId="2655FC7A" w14:textId="116DF5D7" w:rsidR="00E96B29" w:rsidRPr="00027624" w:rsidRDefault="00E96B29" w:rsidP="00E96B29">
      <w:pPr>
        <w:spacing w:before="0" w:after="240"/>
      </w:pPr>
      <w:r w:rsidRPr="00027624">
        <w:rPr>
          <w:rFonts w:eastAsia="Calibri" w:cs="Calibri"/>
        </w:rPr>
        <w:t>The merged means test would alter the taper rate on assets. The effective marginal taper rate on assets over the free area would be lower</w:t>
      </w:r>
      <w:r w:rsidR="00DD4B21" w:rsidRPr="00027624">
        <w:rPr>
          <w:rFonts w:eastAsia="Calibri" w:cs="Calibri"/>
        </w:rPr>
        <w:t xml:space="preserve"> </w:t>
      </w:r>
      <w:r w:rsidR="00DD4B21" w:rsidRPr="00027624">
        <w:t>than the current effective marginal assets</w:t>
      </w:r>
      <w:r w:rsidR="00DD4B21" w:rsidRPr="00027624">
        <w:rPr>
          <w:rFonts w:eastAsia="Calibri"/>
        </w:rPr>
        <w:t xml:space="preserve"> taper rate </w:t>
      </w:r>
      <w:r w:rsidR="00DD4B21" w:rsidRPr="00027624">
        <w:t>of 7.8 per cent</w:t>
      </w:r>
      <w:r w:rsidRPr="00027624">
        <w:rPr>
          <w:rFonts w:eastAsia="Calibri" w:cs="Calibri"/>
        </w:rPr>
        <w:t xml:space="preserve"> for men before age 82 and for women before age 84</w:t>
      </w:r>
      <w:r w:rsidRPr="00027624">
        <w:t xml:space="preserve"> (</w:t>
      </w:r>
      <w:r w:rsidRPr="00027624">
        <w:fldChar w:fldCharType="begin"/>
      </w:r>
      <w:r w:rsidRPr="00027624">
        <w:instrText xml:space="preserve"> REF _Ref42787494 \r \h  \* MERGEFORMAT </w:instrText>
      </w:r>
      <w:r w:rsidRPr="00027624">
        <w:fldChar w:fldCharType="separate"/>
      </w:r>
      <w:r w:rsidR="00891058">
        <w:t>Chart 6B-2</w:t>
      </w:r>
      <w:r w:rsidRPr="00027624">
        <w:fldChar w:fldCharType="end"/>
      </w:r>
      <w:r w:rsidRPr="00027624">
        <w:t>). This would reduce the effective marginal tax rate and increase the incentive to save for retirement.</w:t>
      </w:r>
    </w:p>
    <w:p w14:paraId="4BC3A983" w14:textId="77777777" w:rsidR="00E96B29" w:rsidRPr="00027624" w:rsidRDefault="00E96B29" w:rsidP="00E96B29">
      <w:pPr>
        <w:spacing w:line="257" w:lineRule="auto"/>
        <w:rPr>
          <w:rFonts w:eastAsia="Calibri" w:cs="Calibri"/>
        </w:rPr>
      </w:pPr>
      <w:r w:rsidRPr="00027624">
        <w:rPr>
          <w:rFonts w:eastAsia="Calibri" w:cs="Calibri"/>
        </w:rPr>
        <w:t>The merged means test</w:t>
      </w:r>
      <w:r w:rsidR="00A8443E" w:rsidRPr="00027624">
        <w:rPr>
          <w:rFonts w:eastAsia="Calibri" w:cs="Calibri"/>
        </w:rPr>
        <w:t>’</w:t>
      </w:r>
      <w:r w:rsidRPr="00027624">
        <w:rPr>
          <w:rFonts w:eastAsia="Calibri" w:cs="Calibri"/>
        </w:rPr>
        <w:t>s taper rate may encourage greater asset drawdowns in the later years of retirement by:</w:t>
      </w:r>
    </w:p>
    <w:p w14:paraId="2C4AF496" w14:textId="77777777" w:rsidR="00E96B29" w:rsidRPr="00027624" w:rsidRDefault="00E96B29" w:rsidP="00FC7361">
      <w:pPr>
        <w:pStyle w:val="Bullet"/>
        <w:numPr>
          <w:ilvl w:val="0"/>
          <w:numId w:val="57"/>
        </w:numPr>
        <w:rPr>
          <w:rFonts w:eastAsia="Calibri"/>
        </w:rPr>
      </w:pPr>
      <w:r w:rsidRPr="00027624">
        <w:rPr>
          <w:rFonts w:eastAsia="Calibri"/>
        </w:rPr>
        <w:t>Nudging people to recognise the decreasing amount of time they have to consume their remaining savings</w:t>
      </w:r>
    </w:p>
    <w:p w14:paraId="5295EAD8" w14:textId="77777777" w:rsidR="00E96B29" w:rsidRPr="00027624" w:rsidRDefault="00E96B29" w:rsidP="00FC7361">
      <w:pPr>
        <w:pStyle w:val="Bullet"/>
        <w:numPr>
          <w:ilvl w:val="0"/>
          <w:numId w:val="57"/>
        </w:numPr>
        <w:rPr>
          <w:rFonts w:eastAsia="Calibri"/>
        </w:rPr>
      </w:pPr>
      <w:r w:rsidRPr="00027624">
        <w:rPr>
          <w:rFonts w:eastAsia="Calibri"/>
        </w:rPr>
        <w:t xml:space="preserve">Affecting </w:t>
      </w:r>
      <w:r w:rsidRPr="00027624" w:rsidDel="0068007C">
        <w:rPr>
          <w:rFonts w:eastAsia="Calibri"/>
        </w:rPr>
        <w:t>Age</w:t>
      </w:r>
      <w:r w:rsidRPr="00027624">
        <w:rPr>
          <w:rFonts w:eastAsia="Calibri"/>
        </w:rPr>
        <w:t> Pension payments such</w:t>
      </w:r>
      <w:r w:rsidRPr="00027624" w:rsidDel="007F5F43">
        <w:rPr>
          <w:rFonts w:eastAsia="Calibri"/>
        </w:rPr>
        <w:t xml:space="preserve"> that</w:t>
      </w:r>
      <w:r w:rsidRPr="00027624">
        <w:rPr>
          <w:rFonts w:eastAsia="Calibri"/>
        </w:rPr>
        <w:t xml:space="preserve"> people respond to this incentive</w:t>
      </w:r>
    </w:p>
    <w:p w14:paraId="5C5F3DD4" w14:textId="77777777" w:rsidR="00E96B29" w:rsidRPr="00027624" w:rsidRDefault="00E96B29" w:rsidP="00E96B29">
      <w:r w:rsidRPr="00027624">
        <w:t xml:space="preserve">A merged means test could simplify some aspects of the current dual means test. But, as the deemed capital consumption varies with age, many retirees would likely continue to find the means test complex. </w:t>
      </w:r>
      <w:r w:rsidRPr="00027624" w:rsidDel="001D02BD">
        <w:t xml:space="preserve">Another issue contributing to </w:t>
      </w:r>
      <w:r w:rsidRPr="00027624" w:rsidDel="007F5F43">
        <w:t xml:space="preserve">the </w:t>
      </w:r>
      <w:r w:rsidRPr="00027624">
        <w:t xml:space="preserve">complexity </w:t>
      </w:r>
      <w:r w:rsidRPr="00027624" w:rsidDel="001D02BD">
        <w:t>of the system is that</w:t>
      </w:r>
      <w:r w:rsidRPr="00027624">
        <w:t xml:space="preserve"> there would</w:t>
      </w:r>
      <w:r w:rsidRPr="00027624" w:rsidDel="00B7576E">
        <w:t xml:space="preserve"> also</w:t>
      </w:r>
      <w:r w:rsidRPr="00027624">
        <w:t xml:space="preserve"> continue to be significant differences between this merged means test example and the means test for aged care.</w:t>
      </w:r>
    </w:p>
    <w:p w14:paraId="4CD3D44B" w14:textId="4C05F363" w:rsidR="00E96B29" w:rsidRPr="00027624" w:rsidRDefault="00E96B29" w:rsidP="00E96B29">
      <w:r w:rsidRPr="00027624">
        <w:t>Moving to a new merged means test would significantly alter arrangements for some current retirees. The impacts could be very substantial for some retirees (</w:t>
      </w:r>
      <w:r w:rsidRPr="00027624">
        <w:fldChar w:fldCharType="begin"/>
      </w:r>
      <w:r w:rsidRPr="00027624">
        <w:instrText xml:space="preserve"> REF _Ref42786896 \r \h  \* MERGEFORMAT </w:instrText>
      </w:r>
      <w:r w:rsidRPr="00027624">
        <w:fldChar w:fldCharType="separate"/>
      </w:r>
      <w:r w:rsidR="00891058">
        <w:t>Chart 6B-5</w:t>
      </w:r>
      <w:r w:rsidRPr="00027624">
        <w:fldChar w:fldCharType="end"/>
      </w:r>
      <w:r w:rsidRPr="00027624">
        <w:t xml:space="preserve">). It may be unfair to reduce </w:t>
      </w:r>
      <w:r w:rsidRPr="00027624" w:rsidDel="0068007C">
        <w:t>Age</w:t>
      </w:r>
      <w:r w:rsidRPr="00027624">
        <w:t> Pension payments for people who did not have the opportunity to plan for such a change. As such, transitional arrangements would likely be required. Transitional arrangements would add complexity and likely come at a fiscal cost.</w:t>
      </w:r>
    </w:p>
    <w:p w14:paraId="758418C2" w14:textId="77777777" w:rsidR="0088764D" w:rsidRPr="00027624" w:rsidRDefault="0088764D" w:rsidP="00E96B29">
      <w:pPr>
        <w:sectPr w:rsidR="0088764D" w:rsidRPr="00027624" w:rsidSect="001B6C0B">
          <w:type w:val="oddPage"/>
          <w:pgSz w:w="11906" w:h="16838" w:code="9"/>
          <w:pgMar w:top="1418" w:right="1418" w:bottom="1418" w:left="1418" w:header="709" w:footer="709" w:gutter="0"/>
          <w:cols w:space="708"/>
          <w:titlePg/>
          <w:docGrid w:linePitch="360"/>
        </w:sectPr>
      </w:pPr>
    </w:p>
    <w:p w14:paraId="67B6D0AC" w14:textId="77777777" w:rsidR="00E96B29" w:rsidRPr="00027624" w:rsidRDefault="00E96B29" w:rsidP="00FC7361">
      <w:pPr>
        <w:pStyle w:val="Heading1"/>
        <w:numPr>
          <w:ilvl w:val="1"/>
          <w:numId w:val="55"/>
        </w:numPr>
      </w:pPr>
      <w:bookmarkStart w:id="4350" w:name="_Toc45520572"/>
      <w:bookmarkStart w:id="4351" w:name="_Toc46133684"/>
      <w:bookmarkStart w:id="4352" w:name="_Toc42703209"/>
      <w:bookmarkStart w:id="4353" w:name="_Toc42857770"/>
      <w:r w:rsidRPr="00027624">
        <w:t>Outcomes of research</w:t>
      </w:r>
      <w:bookmarkEnd w:id="4350"/>
      <w:bookmarkEnd w:id="4351"/>
    </w:p>
    <w:p w14:paraId="6B703C9C" w14:textId="77777777" w:rsidR="00E96B29" w:rsidRPr="00027624" w:rsidRDefault="00E96B29" w:rsidP="00E96B29">
      <w:r w:rsidRPr="00027624">
        <w:t>The review commissioned five research projects on the retirement income system. These projects covered four research questions, and were conducted by three research institutes:</w:t>
      </w:r>
    </w:p>
    <w:p w14:paraId="4BD21C9D" w14:textId="77777777" w:rsidR="00E96B29" w:rsidRPr="00027624" w:rsidRDefault="00E96B29" w:rsidP="00DB3D91">
      <w:pPr>
        <w:ind w:left="720"/>
      </w:pPr>
      <w:r w:rsidRPr="00027624">
        <w:t>Question 1: What is the relationship between wages growth and changes to the Superannuation Guarantee?</w:t>
      </w:r>
      <w:r w:rsidR="00A8443E" w:rsidRPr="00027624">
        <w:t xml:space="preserve"> — </w:t>
      </w:r>
      <w:r w:rsidRPr="00027624">
        <w:t>conducted by the ANU Tax and Transfer Policy Institute.</w:t>
      </w:r>
    </w:p>
    <w:p w14:paraId="56A09B42" w14:textId="77777777" w:rsidR="00E96B29" w:rsidRPr="00027624" w:rsidRDefault="00E96B29" w:rsidP="00E96B29">
      <w:pPr>
        <w:ind w:left="720"/>
      </w:pPr>
      <w:r w:rsidRPr="00027624">
        <w:t>Question 2: What is the relationship between voluntary savings and changes to the Superannuation Guarantee?</w:t>
      </w:r>
      <w:r w:rsidR="00A8443E" w:rsidRPr="00027624">
        <w:t xml:space="preserve"> — </w:t>
      </w:r>
      <w:r w:rsidRPr="00027624">
        <w:t>conducted by Monash Centre for Financial Studies.</w:t>
      </w:r>
    </w:p>
    <w:p w14:paraId="6A712637" w14:textId="77777777" w:rsidR="00E96B29" w:rsidRPr="00027624" w:rsidRDefault="00E96B29" w:rsidP="00E96B29">
      <w:pPr>
        <w:ind w:left="720"/>
      </w:pPr>
      <w:r w:rsidRPr="00027624">
        <w:t>Question 3: How effective are superannuation tax concessions in encouraging additional savings?</w:t>
      </w:r>
      <w:r w:rsidR="00A8443E" w:rsidRPr="00027624">
        <w:t xml:space="preserve"> — </w:t>
      </w:r>
      <w:r w:rsidRPr="00027624">
        <w:t>conducted by Monash Centre for Financial Studies and the ANU Tax and Transfer Policy Institute.</w:t>
      </w:r>
    </w:p>
    <w:p w14:paraId="11D3F3C2" w14:textId="77777777" w:rsidR="00E96B29" w:rsidRPr="00027624" w:rsidRDefault="00E96B29" w:rsidP="00E96B29">
      <w:pPr>
        <w:ind w:left="720"/>
      </w:pPr>
      <w:r w:rsidRPr="00027624">
        <w:t xml:space="preserve">Question 4: What is the impact of the </w:t>
      </w:r>
      <w:r w:rsidRPr="00027624" w:rsidDel="0068007C">
        <w:t>Age</w:t>
      </w:r>
      <w:r w:rsidRPr="00027624">
        <w:t> Pension assets test on savings behaviour pre</w:t>
      </w:r>
      <w:r w:rsidR="00A8443E" w:rsidRPr="00027624">
        <w:noBreakHyphen/>
      </w:r>
      <w:r w:rsidRPr="00027624">
        <w:t>retirement?</w:t>
      </w:r>
      <w:r w:rsidR="00A8443E" w:rsidRPr="00027624">
        <w:t xml:space="preserve"> — </w:t>
      </w:r>
      <w:r w:rsidRPr="00027624">
        <w:t>conducted by Bankwest Curtin Economic Centre.</w:t>
      </w:r>
    </w:p>
    <w:p w14:paraId="0B3B22E9" w14:textId="77777777" w:rsidR="00E96B29" w:rsidRPr="00027624" w:rsidRDefault="00E96B29" w:rsidP="00E96B29">
      <w:r w:rsidRPr="00027624">
        <w:t>The research papers are available on the review</w:t>
      </w:r>
      <w:r w:rsidR="00A8443E" w:rsidRPr="00027624">
        <w:t>’</w:t>
      </w:r>
      <w:r w:rsidRPr="00027624">
        <w:t>s website. Following is a brief summary of the research outcomes prepared by the authors of the papers.</w:t>
      </w:r>
    </w:p>
    <w:tbl>
      <w:tblPr>
        <w:tblW w:w="5000" w:type="pct"/>
        <w:shd w:val="clear" w:color="auto" w:fill="DFD7E7" w:themeFill="accent3" w:themeFillTint="33"/>
        <w:tblCellMar>
          <w:top w:w="113" w:type="dxa"/>
          <w:bottom w:w="113" w:type="dxa"/>
        </w:tblCellMar>
        <w:tblLook w:val="01E0" w:firstRow="1" w:lastRow="1" w:firstColumn="1" w:lastColumn="1" w:noHBand="0" w:noVBand="0"/>
      </w:tblPr>
      <w:tblGrid>
        <w:gridCol w:w="9070"/>
      </w:tblGrid>
      <w:tr w:rsidR="00E96B29" w:rsidRPr="00027624" w14:paraId="15EB8691" w14:textId="77777777" w:rsidTr="00791570">
        <w:tc>
          <w:tcPr>
            <w:tcW w:w="5000" w:type="pct"/>
            <w:shd w:val="clear" w:color="auto" w:fill="DFD7E7" w:themeFill="accent3" w:themeFillTint="33"/>
          </w:tcPr>
          <w:p w14:paraId="76B6F86B" w14:textId="77777777" w:rsidR="00E96B29" w:rsidRPr="00027624" w:rsidRDefault="00E96B29" w:rsidP="00E96B29">
            <w:pPr>
              <w:pStyle w:val="BoxHeading"/>
            </w:pPr>
            <w:r w:rsidRPr="00027624">
              <w:t>What is the relationship between wages growth and changes to the Superannuation Guarantee?</w:t>
            </w:r>
          </w:p>
          <w:p w14:paraId="64650E6A" w14:textId="77777777" w:rsidR="00E96B29" w:rsidRPr="00027624" w:rsidRDefault="00E96B29" w:rsidP="00DF66DA">
            <w:pPr>
              <w:pStyle w:val="BoxText"/>
              <w:rPr>
                <w:b/>
              </w:rPr>
            </w:pPr>
            <w:r w:rsidRPr="00027624">
              <w:rPr>
                <w:b/>
              </w:rPr>
              <w:t>Robert Breunig and Kristen Sobeck, Crawford School of Public Policy, Australian National University.</w:t>
            </w:r>
          </w:p>
          <w:p w14:paraId="13E6E7EE" w14:textId="77777777" w:rsidR="00E96B29" w:rsidRPr="00027624" w:rsidRDefault="00E96B29" w:rsidP="00DF66DA">
            <w:pPr>
              <w:pStyle w:val="BoxText"/>
            </w:pPr>
            <w:r w:rsidRPr="00027624">
              <w:t xml:space="preserve">The </w:t>
            </w:r>
            <w:r w:rsidR="00C74810">
              <w:t>S</w:t>
            </w:r>
            <w:r w:rsidRPr="00027624">
              <w:t>G was introduced to boost people</w:t>
            </w:r>
            <w:r w:rsidR="00A8443E" w:rsidRPr="00027624">
              <w:t>’</w:t>
            </w:r>
            <w:r w:rsidRPr="00027624">
              <w:t>s private retirement savings. Since its introduction, the SG rate has increased over time and currently sits at 9.5</w:t>
            </w:r>
            <w:r w:rsidRPr="00027624" w:rsidDel="0068007C">
              <w:t> per cent</w:t>
            </w:r>
            <w:r w:rsidRPr="00027624">
              <w:t xml:space="preserve"> of wages. The SG is legislated to rise to 10</w:t>
            </w:r>
            <w:r w:rsidRPr="00027624" w:rsidDel="0068007C">
              <w:t> per cent</w:t>
            </w:r>
            <w:r w:rsidRPr="00027624">
              <w:t xml:space="preserve"> in 2021 and then increase, in steps, to 12</w:t>
            </w:r>
            <w:r w:rsidRPr="00027624" w:rsidDel="0068007C">
              <w:t> per cent</w:t>
            </w:r>
            <w:r w:rsidRPr="00027624">
              <w:t xml:space="preserve"> by mid</w:t>
            </w:r>
            <w:r w:rsidR="00A8443E" w:rsidRPr="00027624">
              <w:noBreakHyphen/>
            </w:r>
            <w:r w:rsidRPr="00027624">
              <w:t>2025. Pausing these increases is under active debate. In particular, current debates centre around the economic incidence of an increase in the SG. Do employers bear the cost of legislated increases to the SG rate by increasing their labour costs? Alternatively, is the disposable income (take</w:t>
            </w:r>
            <w:r w:rsidR="00A8443E" w:rsidRPr="00027624">
              <w:noBreakHyphen/>
            </w:r>
            <w:r w:rsidRPr="00027624">
              <w:t>home pay) of employees reduced to account for the increased cost to employers of the increase in the SG? This research aims to contribute to a better understanding of these questions.</w:t>
            </w:r>
          </w:p>
          <w:p w14:paraId="1C5C4CC3" w14:textId="77777777" w:rsidR="00E96B29" w:rsidRPr="00027624" w:rsidRDefault="00E96B29" w:rsidP="00DF66DA">
            <w:pPr>
              <w:pStyle w:val="BoxText"/>
            </w:pPr>
            <w:r w:rsidRPr="00027624">
              <w:t>While employers are legally bound to pay the SG rate, some employers, like the public service and academia, choose to pay a higher rate. This research uses administrative tax data to exploit the differences in wages paid to employees who receive different amounts of superannuation in order to estimate where the burden (the economic incidence) of the SG lies. One approach will be to compare wage growth during periods where the SG does not change. If employers bear the burden of SG, then wage growth should be the same for the two groups: those paid at SG and those paid above the SG.</w:t>
            </w:r>
          </w:p>
          <w:p w14:paraId="1BF98A44" w14:textId="77777777" w:rsidR="00E96B29" w:rsidRPr="00027624" w:rsidRDefault="00E96B29" w:rsidP="00DF66DA">
            <w:pPr>
              <w:pStyle w:val="BoxText"/>
            </w:pPr>
            <w:r w:rsidRPr="00027624">
              <w:t>We also exploit changes in the SG to estimate the incidence of SG. In particular, employees who already receive more than the SG from their employers are unaffected by legislated increases to the SG (</w:t>
            </w:r>
            <w:r w:rsidR="00A8443E" w:rsidRPr="00027624">
              <w:t>‘</w:t>
            </w:r>
            <w:r w:rsidRPr="00027624">
              <w:t>above SG group</w:t>
            </w:r>
            <w:r w:rsidR="00A8443E" w:rsidRPr="00027624">
              <w:t>’</w:t>
            </w:r>
            <w:r w:rsidRPr="00027624">
              <w:t>). As a result, their wage growth should not change when the SG changes. By contrast, workers employed by firms that only pay the SG are affected by increases (</w:t>
            </w:r>
            <w:r w:rsidR="00A8443E" w:rsidRPr="00027624">
              <w:t>‘</w:t>
            </w:r>
            <w:r w:rsidRPr="00027624">
              <w:t>at SG group</w:t>
            </w:r>
            <w:r w:rsidR="00A8443E" w:rsidRPr="00027624">
              <w:t>’</w:t>
            </w:r>
            <w:r w:rsidRPr="00027624">
              <w:t xml:space="preserve">). If workers bear the burden of the increase, then wage growth should slow down for the </w:t>
            </w:r>
            <w:r w:rsidR="00A8443E" w:rsidRPr="00027624">
              <w:t>‘</w:t>
            </w:r>
            <w:r w:rsidRPr="00027624">
              <w:t>at SG group</w:t>
            </w:r>
            <w:r w:rsidR="00A8443E" w:rsidRPr="00027624">
              <w:t>’</w:t>
            </w:r>
            <w:r w:rsidRPr="00027624">
              <w:t xml:space="preserve"> when the SG increases, relative to the </w:t>
            </w:r>
            <w:r w:rsidR="00A8443E" w:rsidRPr="00027624">
              <w:t>‘</w:t>
            </w:r>
            <w:r w:rsidRPr="00027624">
              <w:t>above SG group</w:t>
            </w:r>
            <w:r w:rsidR="00A8443E" w:rsidRPr="00027624">
              <w:t>’</w:t>
            </w:r>
            <w:r w:rsidRPr="00027624">
              <w:t>. We thus estimate the economic incidence of increases in the SG by comparing differences in wage growth between the two groups in: (1) periods where the SG is constant to (2) when the SG is increased.</w:t>
            </w:r>
          </w:p>
          <w:p w14:paraId="4F3A19BC" w14:textId="77777777" w:rsidR="00E96B29" w:rsidRPr="00027624" w:rsidRDefault="00E96B29" w:rsidP="00DF66DA">
            <w:pPr>
              <w:pStyle w:val="BoxText"/>
            </w:pPr>
            <w:r w:rsidRPr="00027624">
              <w:t>Formally, estimation of the economic incidence is achieved by applying a difference</w:t>
            </w:r>
            <w:r w:rsidR="00A8443E" w:rsidRPr="00027624">
              <w:noBreakHyphen/>
            </w:r>
            <w:r w:rsidRPr="00027624">
              <w:t>in</w:t>
            </w:r>
            <w:r w:rsidR="00A8443E" w:rsidRPr="00027624">
              <w:noBreakHyphen/>
            </w:r>
            <w:r w:rsidRPr="00027624">
              <w:t xml:space="preserve">difference approach. The results show that in periods when the SG was constant, wage growth in the </w:t>
            </w:r>
            <w:r w:rsidR="00A8443E" w:rsidRPr="00027624">
              <w:t>‘</w:t>
            </w:r>
            <w:r w:rsidRPr="00027624">
              <w:t>above SG group</w:t>
            </w:r>
            <w:r w:rsidR="00A8443E" w:rsidRPr="00027624">
              <w:t>’</w:t>
            </w:r>
            <w:r w:rsidRPr="00027624">
              <w:t xml:space="preserve"> is consistently lower than wage growth in </w:t>
            </w:r>
            <w:r w:rsidR="00A8443E" w:rsidRPr="00027624">
              <w:t>‘</w:t>
            </w:r>
            <w:r w:rsidRPr="00027624">
              <w:t>at SG group</w:t>
            </w:r>
            <w:r w:rsidR="00A8443E" w:rsidRPr="00027624">
              <w:t>’</w:t>
            </w:r>
            <w:r w:rsidRPr="00027624">
              <w:t xml:space="preserve">. In periods when the SG is increased, wage growth for the </w:t>
            </w:r>
            <w:r w:rsidR="00A8443E" w:rsidRPr="00027624">
              <w:t>‘</w:t>
            </w:r>
            <w:r w:rsidRPr="00027624">
              <w:t>at SG group</w:t>
            </w:r>
            <w:r w:rsidR="00A8443E" w:rsidRPr="00027624">
              <w:t>’</w:t>
            </w:r>
            <w:r w:rsidRPr="00027624">
              <w:t xml:space="preserve"> slows down, consistent with the idea that workers bear (at least part of) the economic incidence of increases to the SG. Further calculations show that </w:t>
            </w:r>
            <w:r w:rsidRPr="00027624">
              <w:rPr>
                <w:b/>
              </w:rPr>
              <w:t>workers bear between 71</w:t>
            </w:r>
            <w:r w:rsidRPr="00027624" w:rsidDel="0068007C">
              <w:rPr>
                <w:b/>
              </w:rPr>
              <w:t> per cent</w:t>
            </w:r>
            <w:r w:rsidRPr="00027624">
              <w:rPr>
                <w:b/>
              </w:rPr>
              <w:t xml:space="preserve"> to more than 100</w:t>
            </w:r>
            <w:r w:rsidRPr="00027624" w:rsidDel="0068007C">
              <w:rPr>
                <w:b/>
              </w:rPr>
              <w:t> per cent</w:t>
            </w:r>
            <w:r w:rsidRPr="00027624">
              <w:rPr>
                <w:b/>
              </w:rPr>
              <w:t xml:space="preserve"> of the cost of increases to the SG through lower wage growth, depending on the time period considered.</w:t>
            </w:r>
          </w:p>
          <w:p w14:paraId="02FA22A2" w14:textId="77777777" w:rsidR="00E96B29" w:rsidRPr="00027624" w:rsidRDefault="00E96B29" w:rsidP="00DF66DA">
            <w:pPr>
              <w:pStyle w:val="BoxText"/>
            </w:pPr>
            <w:r w:rsidRPr="00027624">
              <w:t xml:space="preserve">Our research findings align with one </w:t>
            </w:r>
            <w:sdt>
              <w:sdtPr>
                <w:id w:val="-1783956292"/>
                <w:citation/>
              </w:sdtPr>
              <w:sdtEndPr/>
              <w:sdtContent>
                <w:r w:rsidRPr="00027624">
                  <w:fldChar w:fldCharType="begin"/>
                </w:r>
                <w:r w:rsidRPr="00027624">
                  <w:instrText xml:space="preserve">CITATION Coa20 \l 3081 </w:instrText>
                </w:r>
                <w:r w:rsidRPr="00027624">
                  <w:fldChar w:fldCharType="separate"/>
                </w:r>
                <w:r w:rsidR="00E83F6E">
                  <w:rPr>
                    <w:noProof/>
                  </w:rPr>
                  <w:t>(Coates, et al., 2020)</w:t>
                </w:r>
                <w:r w:rsidRPr="00027624">
                  <w:fldChar w:fldCharType="end"/>
                </w:r>
              </w:sdtContent>
            </w:sdt>
            <w:r w:rsidRPr="00027624">
              <w:t xml:space="preserve"> of the three existing Australian studies which measure the economic incidence of increases in superannuation. The two other studies, by Stanford </w:t>
            </w:r>
            <w:sdt>
              <w:sdtPr>
                <w:id w:val="138006520"/>
                <w:citation/>
              </w:sdtPr>
              <w:sdtEndPr/>
              <w:sdtContent>
                <w:r w:rsidRPr="00027624">
                  <w:fldChar w:fldCharType="begin"/>
                </w:r>
                <w:r w:rsidRPr="00027624">
                  <w:instrText xml:space="preserve">CITATION Sta19 \n  \t  \l 3081 </w:instrText>
                </w:r>
                <w:r w:rsidRPr="00027624">
                  <w:fldChar w:fldCharType="separate"/>
                </w:r>
                <w:r w:rsidR="00E83F6E">
                  <w:rPr>
                    <w:noProof/>
                  </w:rPr>
                  <w:t>(2019)</w:t>
                </w:r>
                <w:r w:rsidRPr="00027624">
                  <w:fldChar w:fldCharType="end"/>
                </w:r>
              </w:sdtContent>
            </w:sdt>
            <w:r w:rsidRPr="00027624">
              <w:t xml:space="preserve"> and Taylor </w:t>
            </w:r>
            <w:sdt>
              <w:sdtPr>
                <w:id w:val="510656926"/>
                <w:citation/>
              </w:sdtPr>
              <w:sdtEndPr/>
              <w:sdtContent>
                <w:r w:rsidRPr="00027624">
                  <w:fldChar w:fldCharType="begin"/>
                </w:r>
                <w:r w:rsidRPr="00027624">
                  <w:instrText xml:space="preserve">CITATION Kyl19 \n  \t  \l 3081 </w:instrText>
                </w:r>
                <w:r w:rsidRPr="00027624">
                  <w:fldChar w:fldCharType="separate"/>
                </w:r>
                <w:r w:rsidR="00E83F6E">
                  <w:rPr>
                    <w:noProof/>
                  </w:rPr>
                  <w:t>(2019)</w:t>
                </w:r>
                <w:r w:rsidRPr="00027624">
                  <w:fldChar w:fldCharType="end"/>
                </w:r>
              </w:sdtContent>
            </w:sdt>
            <w:r w:rsidRPr="00027624">
              <w:t xml:space="preserve"> do not find that a trade</w:t>
            </w:r>
            <w:r w:rsidR="00A8443E" w:rsidRPr="00027624">
              <w:noBreakHyphen/>
            </w:r>
            <w:r w:rsidRPr="00027624">
              <w:t>off exists between higher superannuation and lower wages and in some instances present the case for a positive relationship between higher superannuation and wages. They rely on time series data to establish correlation between wage growth and changes in the SG rate. As we have seen with the current debates about pausing increases to the SG, it tends to be politically easy to raise the SG rate when wage growth is robust, and convenient to pause changes to the SG rate when wage growth is slow. The correlations established in the macroeconomic studies may well be picking up the political economy of when SG increases are politically feasible and when they are not, rather than a causal relationship of SG increases on wage growth.</w:t>
            </w:r>
          </w:p>
          <w:p w14:paraId="510F5274" w14:textId="77777777" w:rsidR="00E96B29" w:rsidRPr="00027624" w:rsidRDefault="00E96B29" w:rsidP="00DF66DA">
            <w:pPr>
              <w:pStyle w:val="BoxText"/>
            </w:pPr>
            <w:r w:rsidRPr="00027624">
              <w:t>We argue that our approach, using microdata at the individual level, is better suited to analysing the economic incidence of increases to superannuation because focusing on changes across groups of individuals (or firms), reduces the impact of confounding macroeconomic effects (because all individuals experience the same macroeconomic conditions at the same time). Our results are also consistent with economic theory and the international, empirical economic literature.</w:t>
            </w:r>
          </w:p>
          <w:p w14:paraId="53DB0F6C" w14:textId="77777777" w:rsidR="00E96B29" w:rsidRPr="00027624" w:rsidRDefault="00E96B29" w:rsidP="00DF66DA">
            <w:pPr>
              <w:pStyle w:val="BoxText"/>
            </w:pPr>
            <w:r w:rsidRPr="00027624">
              <w:t xml:space="preserve">In conclusion, policymakers will need to balance their goal of boosting superannuation balances, through an increase in the SG rate, with the costs and benefits of doing so. The current settings of the </w:t>
            </w:r>
            <w:r w:rsidRPr="00027624" w:rsidDel="0068007C">
              <w:t>Age Pension</w:t>
            </w:r>
            <w:r w:rsidRPr="00027624">
              <w:t xml:space="preserve"> are such that an increased superannuation balance is not directly correlated with an increase in retirement living standards. An increase in the SG rate may, however, reduce future </w:t>
            </w:r>
            <w:r w:rsidRPr="00027624" w:rsidDel="0068007C">
              <w:t>Age Pension</w:t>
            </w:r>
            <w:r w:rsidRPr="00027624">
              <w:t xml:space="preserve"> expenditure. At the same time, as our results suggest, workers bear the cost of increases in the SG rate through lower wage growth. Subsequently, the Government will forgo the tax revenue from labour income taxed at people</w:t>
            </w:r>
            <w:r w:rsidR="00A8443E" w:rsidRPr="00027624">
              <w:t>’</w:t>
            </w:r>
            <w:r w:rsidRPr="00027624">
              <w:t>s marginal personal income tax rates, for greater superannuation contributions that are taxed concessionally. Lower wage growth also implies less disposable income available to workers and their families to consume today, or to save through alternative means.</w:t>
            </w:r>
          </w:p>
        </w:tc>
      </w:tr>
    </w:tbl>
    <w:p w14:paraId="07962479" w14:textId="77777777" w:rsidR="00E96B29" w:rsidRPr="00027624" w:rsidRDefault="00E96B29" w:rsidP="00E96B29"/>
    <w:tbl>
      <w:tblPr>
        <w:tblW w:w="5000" w:type="pct"/>
        <w:shd w:val="clear" w:color="auto" w:fill="DFD7E7" w:themeFill="accent3" w:themeFillTint="33"/>
        <w:tblCellMar>
          <w:top w:w="113" w:type="dxa"/>
          <w:bottom w:w="113" w:type="dxa"/>
        </w:tblCellMar>
        <w:tblLook w:val="01E0" w:firstRow="1" w:lastRow="1" w:firstColumn="1" w:lastColumn="1" w:noHBand="0" w:noVBand="0"/>
      </w:tblPr>
      <w:tblGrid>
        <w:gridCol w:w="9070"/>
      </w:tblGrid>
      <w:tr w:rsidR="00E96B29" w:rsidRPr="00027624" w14:paraId="6B7EDC5E" w14:textId="77777777" w:rsidTr="00791570">
        <w:tc>
          <w:tcPr>
            <w:tcW w:w="5000" w:type="pct"/>
            <w:shd w:val="clear" w:color="auto" w:fill="DFD7E7" w:themeFill="accent3" w:themeFillTint="33"/>
          </w:tcPr>
          <w:p w14:paraId="2601E77D" w14:textId="77777777" w:rsidR="00E96B29" w:rsidRPr="00027624" w:rsidRDefault="00E96B29" w:rsidP="00E96B29">
            <w:pPr>
              <w:pStyle w:val="BoxHeading"/>
            </w:pPr>
            <w:r w:rsidRPr="00027624">
              <w:t>What is the relationship between voluntary savings and changes to the SG?</w:t>
            </w:r>
          </w:p>
          <w:p w14:paraId="321A5C5C" w14:textId="77777777" w:rsidR="00E96B29" w:rsidRPr="00027624" w:rsidRDefault="00E96B29" w:rsidP="00E96B29">
            <w:pPr>
              <w:pStyle w:val="BoxHeading"/>
              <w:numPr>
                <w:ilvl w:val="0"/>
                <w:numId w:val="0"/>
              </w:numPr>
              <w:rPr>
                <w:color w:val="auto"/>
                <w:sz w:val="20"/>
                <w:szCs w:val="20"/>
              </w:rPr>
            </w:pPr>
            <w:r w:rsidRPr="00027624">
              <w:rPr>
                <w:color w:val="auto"/>
                <w:sz w:val="20"/>
                <w:szCs w:val="20"/>
              </w:rPr>
              <w:t>Ummul Ruthbah and Nga Pham, Monash Centre for Financial Studies, Monash University.</w:t>
            </w:r>
          </w:p>
          <w:p w14:paraId="385606DF" w14:textId="77777777" w:rsidR="00E96B29" w:rsidRPr="00027624" w:rsidRDefault="00E96B29" w:rsidP="00E96B29">
            <w:pPr>
              <w:pStyle w:val="BoxText"/>
              <w:rPr>
                <w:rFonts w:eastAsia="Calibri"/>
                <w:lang w:eastAsia="en-US"/>
              </w:rPr>
            </w:pPr>
            <w:r w:rsidRPr="00027624">
              <w:rPr>
                <w:rFonts w:eastAsia="Calibri"/>
                <w:lang w:eastAsia="en-US"/>
              </w:rPr>
              <w:t>The purpose of this study is to examine how the compulsory employer superannuation system interacts with voluntary savings. The study focuses in particular on the extent to which the existence of compulsory superannuation</w:t>
            </w:r>
            <w:r w:rsidR="00A8443E" w:rsidRPr="00027624">
              <w:rPr>
                <w:rFonts w:eastAsia="Calibri"/>
                <w:lang w:eastAsia="en-US"/>
              </w:rPr>
              <w:t xml:space="preserve"> — </w:t>
            </w:r>
            <w:r w:rsidRPr="00027624">
              <w:rPr>
                <w:rFonts w:eastAsia="Calibri"/>
                <w:lang w:eastAsia="en-US"/>
              </w:rPr>
              <w:t>and increases in the compulsory superannuation rate</w:t>
            </w:r>
            <w:r w:rsidR="00A8443E" w:rsidRPr="00027624">
              <w:rPr>
                <w:rFonts w:eastAsia="Calibri"/>
                <w:lang w:eastAsia="en-US"/>
              </w:rPr>
              <w:t xml:space="preserve"> — </w:t>
            </w:r>
            <w:r w:rsidRPr="00027624">
              <w:rPr>
                <w:rFonts w:eastAsia="Calibri"/>
                <w:lang w:eastAsia="en-US"/>
              </w:rPr>
              <w:t>might affect voluntary savings.</w:t>
            </w:r>
          </w:p>
          <w:p w14:paraId="57525D7F" w14:textId="77777777" w:rsidR="00E96B29" w:rsidRPr="00027624" w:rsidRDefault="00E96B29" w:rsidP="00E96B29">
            <w:pPr>
              <w:pStyle w:val="BoxText"/>
              <w:rPr>
                <w:rFonts w:eastAsia="Calibri"/>
                <w:lang w:eastAsia="en-US"/>
              </w:rPr>
            </w:pPr>
            <w:r w:rsidRPr="00027624">
              <w:rPr>
                <w:rFonts w:eastAsia="Calibri"/>
                <w:lang w:eastAsia="en-US"/>
              </w:rPr>
              <w:t>Our study, like others before it, finds evidence of substitution between compulsory and private household saving in Australia; in other words, increases in compulsory saving are associated with decreases in private household saving. However, the substitution effect is significantly less than one</w:t>
            </w:r>
            <w:r w:rsidR="00A8443E" w:rsidRPr="00027624">
              <w:rPr>
                <w:rFonts w:eastAsia="Calibri"/>
                <w:lang w:eastAsia="en-US"/>
              </w:rPr>
              <w:t xml:space="preserve"> — </w:t>
            </w:r>
            <w:r w:rsidRPr="00027624">
              <w:rPr>
                <w:rFonts w:eastAsia="Calibri"/>
                <w:lang w:eastAsia="en-US"/>
              </w:rPr>
              <w:t>hence, for every dollar increase in compulsory superannuation, the associated decrease in private saving is less than one dollar. This suggests that the compulsory superannuation system in Australia generates a net overall saving increase. By contrast, international evidence on whether savings in pension accounts create positive net saving is mixed.</w:t>
            </w:r>
          </w:p>
          <w:p w14:paraId="0DD9ABBA" w14:textId="77777777" w:rsidR="00E96B29" w:rsidRPr="00027624" w:rsidRDefault="00E96B29" w:rsidP="00E96B29">
            <w:pPr>
              <w:pStyle w:val="BoxText"/>
              <w:rPr>
                <w:rFonts w:eastAsia="Calibri"/>
                <w:lang w:eastAsia="en-US"/>
              </w:rPr>
            </w:pPr>
            <w:r w:rsidRPr="00027624">
              <w:rPr>
                <w:rFonts w:eastAsia="Calibri"/>
                <w:lang w:eastAsia="en-US"/>
              </w:rPr>
              <w:t>In this report, we examine the impacts of the SG on private household saving(s) using three different measures of SG for comparative analysis:</w:t>
            </w:r>
          </w:p>
          <w:p w14:paraId="729DC932" w14:textId="77777777" w:rsidR="00E96B29" w:rsidRPr="00027624" w:rsidRDefault="00E96B29" w:rsidP="00E96B29">
            <w:pPr>
              <w:pStyle w:val="BoxBullet"/>
              <w:rPr>
                <w:rFonts w:eastAsia="Calibri"/>
                <w:lang w:eastAsia="en-US"/>
              </w:rPr>
            </w:pPr>
            <w:r w:rsidRPr="00027624">
              <w:rPr>
                <w:rFonts w:eastAsia="Calibri"/>
                <w:lang w:eastAsia="en-US"/>
              </w:rPr>
              <w:t>An SG dummy variable, taking the value of one if any member of the household received a compulsory superannuation contribution from employers.</w:t>
            </w:r>
          </w:p>
          <w:p w14:paraId="2A3C8012" w14:textId="77777777" w:rsidR="00E96B29" w:rsidRPr="00027624" w:rsidRDefault="00E96B29" w:rsidP="00E96B29">
            <w:pPr>
              <w:pStyle w:val="BoxBullet"/>
              <w:rPr>
                <w:rFonts w:eastAsia="Calibri"/>
                <w:lang w:eastAsia="en-US"/>
              </w:rPr>
            </w:pPr>
            <w:r w:rsidRPr="00027624">
              <w:rPr>
                <w:rFonts w:eastAsia="Calibri"/>
                <w:lang w:eastAsia="en-US"/>
              </w:rPr>
              <w:t>The SG policy rate in percentage terms.</w:t>
            </w:r>
          </w:p>
          <w:p w14:paraId="6E0A0495" w14:textId="77777777" w:rsidR="00E96B29" w:rsidRPr="00027624" w:rsidRDefault="00E96B29" w:rsidP="00E96B29">
            <w:pPr>
              <w:pStyle w:val="BoxBullet"/>
              <w:rPr>
                <w:rFonts w:eastAsia="Calibri"/>
                <w:lang w:eastAsia="en-US"/>
              </w:rPr>
            </w:pPr>
            <w:r w:rsidRPr="00027624">
              <w:rPr>
                <w:rFonts w:eastAsia="Calibri"/>
                <w:lang w:eastAsia="en-US"/>
              </w:rPr>
              <w:t>The compulsory employer contribution in dollar terms.</w:t>
            </w:r>
          </w:p>
          <w:p w14:paraId="115EC45D" w14:textId="77777777" w:rsidR="00E96B29" w:rsidRPr="00027624" w:rsidRDefault="00E96B29" w:rsidP="00E96B29">
            <w:pPr>
              <w:pStyle w:val="BoxText"/>
              <w:rPr>
                <w:rFonts w:eastAsia="Calibri"/>
                <w:lang w:eastAsia="en-US"/>
              </w:rPr>
            </w:pPr>
            <w:r w:rsidRPr="00027624">
              <w:rPr>
                <w:rFonts w:eastAsia="Calibri"/>
                <w:lang w:eastAsia="en-US"/>
              </w:rPr>
              <w:t xml:space="preserve">We use two measures of saving(s). The first is a flow concept, where </w:t>
            </w:r>
            <w:r w:rsidRPr="00027624">
              <w:rPr>
                <w:rFonts w:eastAsia="Calibri"/>
                <w:i/>
                <w:lang w:eastAsia="en-US"/>
              </w:rPr>
              <w:t>saving</w:t>
            </w:r>
            <w:r w:rsidRPr="00027624">
              <w:rPr>
                <w:rFonts w:eastAsia="Calibri"/>
                <w:lang w:eastAsia="en-US"/>
              </w:rPr>
              <w:t xml:space="preserve"> is defined as the difference between household disposable income and final household consumption (including rental payments and mortgage repayments). The second measure uses the household</w:t>
            </w:r>
            <w:r w:rsidR="00A8443E" w:rsidRPr="00027624">
              <w:rPr>
                <w:rFonts w:eastAsia="Calibri"/>
                <w:lang w:eastAsia="en-US"/>
              </w:rPr>
              <w:t>’</w:t>
            </w:r>
            <w:r w:rsidRPr="00027624">
              <w:rPr>
                <w:rFonts w:eastAsia="Calibri"/>
                <w:lang w:eastAsia="en-US"/>
              </w:rPr>
              <w:t>s wealth as a proxy for accumulated savings, or the stock of savings. Both are measured in terms of dollars.</w:t>
            </w:r>
          </w:p>
          <w:p w14:paraId="7B9FDD8D" w14:textId="77777777" w:rsidR="00E96B29" w:rsidRPr="00027624" w:rsidRDefault="00E96B29" w:rsidP="00E96B29">
            <w:pPr>
              <w:pStyle w:val="BoxText"/>
              <w:rPr>
                <w:rFonts w:eastAsia="Calibri"/>
                <w:lang w:eastAsia="en-US"/>
              </w:rPr>
            </w:pPr>
            <w:r w:rsidRPr="00027624">
              <w:rPr>
                <w:rFonts w:eastAsia="Calibri"/>
                <w:lang w:eastAsia="en-US"/>
              </w:rPr>
              <w:t>Data for the study was sourced from the HILDA Survey, Restricted Release 18, which collects information about households</w:t>
            </w:r>
            <w:r w:rsidR="00A8443E" w:rsidRPr="00027624">
              <w:rPr>
                <w:rFonts w:eastAsia="Calibri"/>
                <w:lang w:eastAsia="en-US"/>
              </w:rPr>
              <w:t>’</w:t>
            </w:r>
            <w:r w:rsidRPr="00027624">
              <w:rPr>
                <w:rFonts w:eastAsia="Calibri"/>
                <w:lang w:eastAsia="en-US"/>
              </w:rPr>
              <w:t xml:space="preserve"> disposable income and expenditure annually, and household wealth</w:t>
            </w:r>
            <w:r w:rsidR="00A8443E" w:rsidRPr="00027624">
              <w:rPr>
                <w:rFonts w:eastAsia="Calibri"/>
                <w:lang w:eastAsia="en-US"/>
              </w:rPr>
              <w:noBreakHyphen/>
            </w:r>
            <w:r w:rsidRPr="00027624">
              <w:rPr>
                <w:rFonts w:eastAsia="Calibri"/>
                <w:lang w:eastAsia="en-US"/>
              </w:rPr>
              <w:t>related data at four</w:t>
            </w:r>
            <w:r w:rsidR="00A8443E" w:rsidRPr="00027624">
              <w:rPr>
                <w:rFonts w:eastAsia="Calibri"/>
                <w:lang w:eastAsia="en-US"/>
              </w:rPr>
              <w:noBreakHyphen/>
            </w:r>
            <w:r w:rsidRPr="00027624">
              <w:rPr>
                <w:rFonts w:eastAsia="Calibri"/>
                <w:lang w:eastAsia="en-US"/>
              </w:rPr>
              <w:t>year intervals. Due to data availability of expenditure, our analysis period is from 2005 to 2018.</w:t>
            </w:r>
          </w:p>
          <w:p w14:paraId="3F036C26" w14:textId="77777777" w:rsidR="00E96B29" w:rsidRPr="00027624" w:rsidRDefault="00E96B29" w:rsidP="00E96B29">
            <w:pPr>
              <w:pStyle w:val="BoxText"/>
              <w:rPr>
                <w:rFonts w:eastAsia="Calibri"/>
                <w:lang w:eastAsia="en-US"/>
              </w:rPr>
            </w:pPr>
            <w:r w:rsidRPr="00027624">
              <w:rPr>
                <w:rFonts w:eastAsia="Calibri" w:cs="Calibri"/>
                <w:lang w:eastAsia="en-US"/>
              </w:rPr>
              <w:t xml:space="preserve">Our models </w:t>
            </w:r>
            <w:r w:rsidRPr="00027624">
              <w:rPr>
                <w:rFonts w:cs="Calibri"/>
                <w:lang w:eastAsia="en-US"/>
              </w:rPr>
              <w:t>control for households</w:t>
            </w:r>
            <w:r w:rsidR="00A8443E" w:rsidRPr="00027624">
              <w:rPr>
                <w:rFonts w:cs="Calibri"/>
                <w:lang w:eastAsia="en-US"/>
              </w:rPr>
              <w:t>’</w:t>
            </w:r>
            <w:r w:rsidRPr="00027624">
              <w:rPr>
                <w:rFonts w:cs="Calibri"/>
                <w:lang w:eastAsia="en-US"/>
              </w:rPr>
              <w:t xml:space="preserve"> various </w:t>
            </w:r>
            <w:r w:rsidRPr="00027624">
              <w:rPr>
                <w:rFonts w:eastAsia="Calibri" w:cs="Calibri"/>
                <w:lang w:eastAsia="en-US"/>
              </w:rPr>
              <w:t>socio</w:t>
            </w:r>
            <w:r w:rsidR="00A8443E" w:rsidRPr="00027624">
              <w:rPr>
                <w:rFonts w:eastAsia="Calibri" w:cs="Calibri"/>
                <w:lang w:eastAsia="en-US"/>
              </w:rPr>
              <w:noBreakHyphen/>
            </w:r>
            <w:r w:rsidRPr="00027624">
              <w:rPr>
                <w:rFonts w:eastAsia="Calibri" w:cs="Calibri"/>
                <w:lang w:eastAsia="en-US"/>
              </w:rPr>
              <w:t>demographic</w:t>
            </w:r>
            <w:r w:rsidR="00A8443E" w:rsidRPr="00027624">
              <w:rPr>
                <w:rFonts w:eastAsia="Calibri" w:cs="Calibri"/>
                <w:lang w:eastAsia="en-US"/>
              </w:rPr>
              <w:noBreakHyphen/>
            </w:r>
            <w:r w:rsidRPr="00027624">
              <w:rPr>
                <w:rFonts w:eastAsia="Calibri" w:cs="Calibri"/>
                <w:lang w:eastAsia="en-US"/>
              </w:rPr>
              <w:t>economic characteristics, and consider</w:t>
            </w:r>
            <w:r w:rsidRPr="00027624">
              <w:rPr>
                <w:rFonts w:cs="Calibri"/>
                <w:lang w:eastAsia="en-US"/>
              </w:rPr>
              <w:t xml:space="preserve"> the possible non</w:t>
            </w:r>
            <w:r w:rsidR="00A8443E" w:rsidRPr="00027624">
              <w:rPr>
                <w:rFonts w:cs="Calibri"/>
                <w:lang w:eastAsia="en-US"/>
              </w:rPr>
              <w:noBreakHyphen/>
            </w:r>
            <w:r w:rsidRPr="00027624">
              <w:rPr>
                <w:rFonts w:cs="Calibri"/>
                <w:lang w:eastAsia="en-US"/>
              </w:rPr>
              <w:t xml:space="preserve">linearity between household saving and household income, size and age, as reflected in prior studies. </w:t>
            </w:r>
            <w:r w:rsidRPr="00027624">
              <w:rPr>
                <w:rFonts w:eastAsia="Calibri"/>
                <w:lang w:eastAsia="en-US"/>
              </w:rPr>
              <w:t>The Government</w:t>
            </w:r>
            <w:r w:rsidR="00A8443E" w:rsidRPr="00027624">
              <w:rPr>
                <w:rFonts w:eastAsia="Calibri"/>
                <w:lang w:eastAsia="en-US"/>
              </w:rPr>
              <w:t>’</w:t>
            </w:r>
            <w:r w:rsidRPr="00027624">
              <w:rPr>
                <w:rFonts w:eastAsia="Calibri"/>
                <w:lang w:eastAsia="en-US"/>
              </w:rPr>
              <w:t xml:space="preserve">s 2007 </w:t>
            </w:r>
            <w:r w:rsidR="00A8443E" w:rsidRPr="00027624">
              <w:rPr>
                <w:rFonts w:eastAsia="Calibri"/>
                <w:lang w:eastAsia="en-US"/>
              </w:rPr>
              <w:t>‘</w:t>
            </w:r>
            <w:r w:rsidRPr="00027624">
              <w:rPr>
                <w:rFonts w:eastAsia="Calibri"/>
                <w:lang w:eastAsia="en-US"/>
              </w:rPr>
              <w:t>Simpler Super</w:t>
            </w:r>
            <w:r w:rsidR="00A8443E" w:rsidRPr="00027624">
              <w:rPr>
                <w:rFonts w:eastAsia="Calibri"/>
                <w:lang w:eastAsia="en-US"/>
              </w:rPr>
              <w:t>’</w:t>
            </w:r>
            <w:r w:rsidRPr="00027624">
              <w:rPr>
                <w:rFonts w:eastAsia="Calibri"/>
                <w:lang w:eastAsia="en-US"/>
              </w:rPr>
              <w:t xml:space="preserve"> reform is included in our model as a dummy variable.</w:t>
            </w:r>
          </w:p>
          <w:p w14:paraId="0158C673" w14:textId="77777777" w:rsidR="00E96B29" w:rsidRPr="00027624" w:rsidRDefault="00E96B29" w:rsidP="00E96B29">
            <w:pPr>
              <w:pStyle w:val="BoxText"/>
              <w:rPr>
                <w:rFonts w:eastAsia="Calibri"/>
                <w:lang w:eastAsia="en-US"/>
              </w:rPr>
            </w:pPr>
            <w:r w:rsidRPr="00027624">
              <w:rPr>
                <w:rFonts w:eastAsia="Calibri"/>
                <w:lang w:eastAsia="en-US"/>
              </w:rPr>
              <w:t xml:space="preserve">We find that </w:t>
            </w:r>
            <w:r w:rsidRPr="00027624">
              <w:rPr>
                <w:rFonts w:eastAsia="Calibri"/>
                <w:b/>
                <w:lang w:eastAsia="en-US"/>
              </w:rPr>
              <w:t>the voluntary private saving of households receiving SG are not significantly lower than the voluntary private saving of households without SG.</w:t>
            </w:r>
            <w:r w:rsidRPr="00027624">
              <w:rPr>
                <w:rFonts w:eastAsia="Calibri"/>
                <w:lang w:eastAsia="en-US"/>
              </w:rPr>
              <w:t xml:space="preserve"> However, increasing the SG rate reduces voluntary private household saving. </w:t>
            </w:r>
            <w:bookmarkStart w:id="4354" w:name="_Hlk36070483"/>
            <w:r w:rsidRPr="00027624">
              <w:rPr>
                <w:rFonts w:eastAsia="Calibri"/>
                <w:lang w:eastAsia="en-US"/>
              </w:rPr>
              <w:t xml:space="preserve">The findings </w:t>
            </w:r>
            <w:bookmarkEnd w:id="4354"/>
            <w:r w:rsidRPr="00027624">
              <w:rPr>
                <w:rFonts w:eastAsia="Calibri"/>
                <w:lang w:eastAsia="en-US"/>
              </w:rPr>
              <w:t>are consistent with behavioural models, which suggest that</w:t>
            </w:r>
            <w:bookmarkStart w:id="4355" w:name="_Hlk36070512"/>
            <w:r w:rsidRPr="00027624">
              <w:rPr>
                <w:rFonts w:eastAsia="Calibri"/>
                <w:lang w:eastAsia="en-US"/>
              </w:rPr>
              <w:t xml:space="preserve"> when the SG rate increases, people have less incentive to save by themselves because they know employers are saving more on their behalf.</w:t>
            </w:r>
            <w:bookmarkEnd w:id="4355"/>
            <w:r w:rsidRPr="00027624">
              <w:rPr>
                <w:rFonts w:eastAsia="Calibri"/>
                <w:lang w:eastAsia="en-US"/>
              </w:rPr>
              <w:t xml:space="preserve"> We also find that changing the rate of SG has no significant effect on the saving behaviour of households that receive </w:t>
            </w:r>
            <w:bookmarkStart w:id="4356" w:name="_Hlk36070565"/>
            <w:r w:rsidRPr="00027624">
              <w:rPr>
                <w:rFonts w:eastAsia="Calibri"/>
                <w:lang w:eastAsia="en-US"/>
              </w:rPr>
              <w:t xml:space="preserve">additional employer superannuation contributions over the prescribed SG rate as </w:t>
            </w:r>
            <w:bookmarkEnd w:id="4356"/>
            <w:r w:rsidRPr="00027624">
              <w:rPr>
                <w:rFonts w:eastAsia="Calibri"/>
                <w:lang w:eastAsia="en-US"/>
              </w:rPr>
              <w:t>non</w:t>
            </w:r>
            <w:r w:rsidR="00A8443E" w:rsidRPr="00027624">
              <w:rPr>
                <w:rFonts w:eastAsia="Calibri"/>
                <w:lang w:eastAsia="en-US"/>
              </w:rPr>
              <w:noBreakHyphen/>
            </w:r>
            <w:r w:rsidRPr="00027624">
              <w:rPr>
                <w:rFonts w:eastAsia="Calibri"/>
                <w:lang w:eastAsia="en-US"/>
              </w:rPr>
              <w:t>cash benefits. The signs of all other control variables are in line with the conventional saving models.</w:t>
            </w:r>
          </w:p>
          <w:p w14:paraId="45C1D8AF" w14:textId="77777777" w:rsidR="00E96B29" w:rsidRPr="00C74810" w:rsidRDefault="00E96B29" w:rsidP="00E96B29">
            <w:pPr>
              <w:pStyle w:val="BoxText"/>
              <w:rPr>
                <w:rFonts w:eastAsia="Calibri"/>
              </w:rPr>
            </w:pPr>
            <w:r w:rsidRPr="00027624">
              <w:rPr>
                <w:rFonts w:eastAsia="Calibri"/>
                <w:lang w:eastAsia="en-US"/>
              </w:rPr>
              <w:t xml:space="preserve">We find that </w:t>
            </w:r>
            <w:r w:rsidRPr="00027624">
              <w:rPr>
                <w:rFonts w:eastAsia="Calibri"/>
                <w:b/>
                <w:lang w:eastAsia="en-US"/>
              </w:rPr>
              <w:t>increasing the SG rate from 9</w:t>
            </w:r>
            <w:r w:rsidRPr="00027624" w:rsidDel="0068007C">
              <w:rPr>
                <w:rFonts w:eastAsia="Calibri"/>
                <w:b/>
                <w:lang w:eastAsia="en-US"/>
              </w:rPr>
              <w:t> per cent</w:t>
            </w:r>
            <w:r w:rsidRPr="00027624">
              <w:rPr>
                <w:rFonts w:eastAsia="Calibri"/>
                <w:b/>
                <w:lang w:eastAsia="en-US"/>
              </w:rPr>
              <w:t xml:space="preserve"> to 9.25</w:t>
            </w:r>
            <w:r w:rsidRPr="00027624" w:rsidDel="0068007C">
              <w:rPr>
                <w:rFonts w:eastAsia="Calibri"/>
                <w:b/>
                <w:lang w:eastAsia="en-US"/>
              </w:rPr>
              <w:t> per cent</w:t>
            </w:r>
            <w:r w:rsidRPr="00027624">
              <w:rPr>
                <w:rFonts w:eastAsia="Calibri"/>
                <w:b/>
                <w:lang w:eastAsia="en-US"/>
              </w:rPr>
              <w:t xml:space="preserve"> increases household wealth by 17.5</w:t>
            </w:r>
            <w:r w:rsidRPr="00027624" w:rsidDel="0068007C">
              <w:rPr>
                <w:rFonts w:eastAsia="Calibri"/>
                <w:b/>
                <w:lang w:eastAsia="en-US"/>
              </w:rPr>
              <w:t> per cent</w:t>
            </w:r>
            <w:r w:rsidRPr="00027624">
              <w:rPr>
                <w:rFonts w:eastAsia="Calibri"/>
                <w:b/>
                <w:lang w:eastAsia="en-US"/>
              </w:rPr>
              <w:t>, and from 9</w:t>
            </w:r>
            <w:r w:rsidRPr="00027624" w:rsidDel="0068007C">
              <w:rPr>
                <w:rFonts w:eastAsia="Calibri"/>
                <w:b/>
                <w:lang w:eastAsia="en-US"/>
              </w:rPr>
              <w:t> per cent</w:t>
            </w:r>
            <w:r w:rsidRPr="00027624">
              <w:rPr>
                <w:rFonts w:eastAsia="Calibri"/>
                <w:b/>
                <w:lang w:eastAsia="en-US"/>
              </w:rPr>
              <w:t xml:space="preserve"> to 9.5</w:t>
            </w:r>
            <w:r w:rsidRPr="00027624" w:rsidDel="0068007C">
              <w:rPr>
                <w:rFonts w:eastAsia="Calibri"/>
                <w:b/>
                <w:lang w:eastAsia="en-US"/>
              </w:rPr>
              <w:t> per cent</w:t>
            </w:r>
            <w:r w:rsidRPr="00027624">
              <w:rPr>
                <w:rFonts w:eastAsia="Calibri"/>
                <w:b/>
                <w:lang w:eastAsia="en-US"/>
              </w:rPr>
              <w:t xml:space="preserve"> increases net household wealth by 53.7</w:t>
            </w:r>
            <w:r w:rsidRPr="00027624" w:rsidDel="0068007C">
              <w:rPr>
                <w:rFonts w:eastAsia="Calibri"/>
                <w:b/>
                <w:lang w:eastAsia="en-US"/>
              </w:rPr>
              <w:t> per cent</w:t>
            </w:r>
            <w:r w:rsidRPr="00027624">
              <w:rPr>
                <w:rFonts w:eastAsia="Calibri"/>
                <w:b/>
                <w:lang w:eastAsia="en-US"/>
              </w:rPr>
              <w:t xml:space="preserve"> during 2006</w:t>
            </w:r>
            <w:r w:rsidR="00A8443E" w:rsidRPr="00027624">
              <w:rPr>
                <w:rFonts w:eastAsia="Calibri"/>
                <w:b/>
                <w:lang w:eastAsia="en-US"/>
              </w:rPr>
              <w:noBreakHyphen/>
            </w:r>
            <w:r w:rsidRPr="00027624">
              <w:rPr>
                <w:rFonts w:eastAsia="Calibri"/>
                <w:b/>
                <w:lang w:eastAsia="en-US"/>
              </w:rPr>
              <w:t>18.</w:t>
            </w:r>
            <w:r w:rsidRPr="00027624">
              <w:rPr>
                <w:rFonts w:eastAsia="Calibri"/>
                <w:lang w:eastAsia="en-US"/>
              </w:rPr>
              <w:t xml:space="preserve"> These effects are larger for households where at least one member is receiving SG.</w:t>
            </w:r>
          </w:p>
          <w:p w14:paraId="38A2802D" w14:textId="77777777" w:rsidR="00E96B29" w:rsidRPr="00027624" w:rsidRDefault="00E96B29" w:rsidP="00E96B29">
            <w:pPr>
              <w:pStyle w:val="BoxText"/>
              <w:rPr>
                <w:rFonts w:eastAsia="Calibri"/>
                <w:lang w:eastAsia="en-US"/>
              </w:rPr>
            </w:pPr>
            <w:r w:rsidRPr="00027624">
              <w:rPr>
                <w:rFonts w:eastAsia="Calibri"/>
                <w:lang w:eastAsia="en-US"/>
              </w:rPr>
              <w:t xml:space="preserve">We find that </w:t>
            </w:r>
            <w:r w:rsidRPr="00027624">
              <w:rPr>
                <w:rFonts w:eastAsia="Calibri"/>
                <w:b/>
                <w:lang w:eastAsia="en-US"/>
              </w:rPr>
              <w:t>each dollar of compulsory employer contributions reduces private household saving by 43 cents.</w:t>
            </w:r>
            <w:r w:rsidRPr="00027624">
              <w:rPr>
                <w:rFonts w:eastAsia="Calibri"/>
                <w:lang w:eastAsia="en-US"/>
              </w:rPr>
              <w:t xml:space="preserve"> This compares with the findings of Connolly </w:t>
            </w:r>
            <w:sdt>
              <w:sdtPr>
                <w:rPr>
                  <w:rFonts w:eastAsia="Calibri"/>
                  <w:lang w:eastAsia="en-US"/>
                </w:rPr>
                <w:id w:val="1536624174"/>
                <w:citation/>
              </w:sdtPr>
              <w:sdtEndPr/>
              <w:sdtContent>
                <w:r w:rsidRPr="00027624">
                  <w:rPr>
                    <w:rFonts w:eastAsia="Calibri"/>
                    <w:lang w:eastAsia="en-US"/>
                  </w:rPr>
                  <w:fldChar w:fldCharType="begin"/>
                </w:r>
                <w:r w:rsidRPr="00027624">
                  <w:rPr>
                    <w:rFonts w:eastAsia="Calibri"/>
                    <w:lang w:eastAsia="en-US"/>
                  </w:rPr>
                  <w:instrText xml:space="preserve">CITATION Con07 \n  \t  \l 3081 </w:instrText>
                </w:r>
                <w:r w:rsidRPr="00027624">
                  <w:rPr>
                    <w:rFonts w:eastAsia="Calibri"/>
                    <w:lang w:eastAsia="en-US"/>
                  </w:rPr>
                  <w:fldChar w:fldCharType="separate"/>
                </w:r>
                <w:r w:rsidR="00E83F6E" w:rsidRPr="00E83F6E">
                  <w:rPr>
                    <w:rFonts w:eastAsia="Calibri"/>
                    <w:noProof/>
                    <w:lang w:eastAsia="en-US"/>
                  </w:rPr>
                  <w:t>(2007)</w:t>
                </w:r>
                <w:r w:rsidRPr="00027624">
                  <w:rPr>
                    <w:rFonts w:eastAsia="Calibri"/>
                    <w:lang w:eastAsia="en-US"/>
                  </w:rPr>
                  <w:fldChar w:fldCharType="end"/>
                </w:r>
              </w:sdtContent>
            </w:sdt>
            <w:r w:rsidRPr="00027624">
              <w:rPr>
                <w:rFonts w:eastAsia="Calibri"/>
                <w:lang w:eastAsia="en-US"/>
              </w:rPr>
              <w:t xml:space="preserve"> of a 38</w:t>
            </w:r>
            <w:r w:rsidR="00A8443E" w:rsidRPr="00027624">
              <w:rPr>
                <w:rFonts w:eastAsia="Calibri"/>
                <w:lang w:eastAsia="en-US"/>
              </w:rPr>
              <w:noBreakHyphen/>
            </w:r>
            <w:r w:rsidRPr="00027624">
              <w:rPr>
                <w:rFonts w:eastAsia="Calibri"/>
                <w:lang w:eastAsia="en-US"/>
              </w:rPr>
              <w:t xml:space="preserve">cent reduction. The difference may be explained by our contrasting methodologies and timeframes. Depending on the period under consideration, our estimated </w:t>
            </w:r>
            <w:r w:rsidR="00A8443E" w:rsidRPr="00027624">
              <w:rPr>
                <w:rFonts w:eastAsia="Calibri"/>
                <w:i/>
                <w:lang w:eastAsia="en-US"/>
              </w:rPr>
              <w:t>‘</w:t>
            </w:r>
            <w:r w:rsidRPr="00027624">
              <w:rPr>
                <w:rFonts w:eastAsia="Calibri"/>
                <w:i/>
                <w:lang w:eastAsia="en-US"/>
              </w:rPr>
              <w:t>crowding</w:t>
            </w:r>
            <w:r w:rsidR="00A8443E" w:rsidRPr="00027624">
              <w:rPr>
                <w:rFonts w:eastAsia="Calibri"/>
                <w:i/>
                <w:lang w:eastAsia="en-US"/>
              </w:rPr>
              <w:noBreakHyphen/>
            </w:r>
            <w:r w:rsidRPr="00027624">
              <w:rPr>
                <w:rFonts w:eastAsia="Calibri"/>
                <w:i/>
                <w:lang w:eastAsia="en-US"/>
              </w:rPr>
              <w:t>out</w:t>
            </w:r>
            <w:r w:rsidR="00A8443E" w:rsidRPr="00027624">
              <w:rPr>
                <w:rFonts w:eastAsia="Calibri"/>
                <w:i/>
                <w:lang w:eastAsia="en-US"/>
              </w:rPr>
              <w:t>’</w:t>
            </w:r>
            <w:r w:rsidRPr="00027624">
              <w:rPr>
                <w:rFonts w:eastAsia="Calibri"/>
                <w:lang w:eastAsia="en-US"/>
              </w:rPr>
              <w:t xml:space="preserve"> effect gets smaller when measured within shorter and later time windows. The substitution rate is less than one, which means SG overall increases wealth for households.</w:t>
            </w:r>
          </w:p>
          <w:p w14:paraId="4D1C120B" w14:textId="75B6A6EE" w:rsidR="00E96B29" w:rsidRPr="00027624" w:rsidRDefault="00E96B29" w:rsidP="00E96B29">
            <w:pPr>
              <w:pStyle w:val="BoxText"/>
              <w:rPr>
                <w:rFonts w:eastAsia="Calibri"/>
                <w:lang w:eastAsia="en-US"/>
              </w:rPr>
            </w:pPr>
            <w:r w:rsidRPr="00027624">
              <w:rPr>
                <w:rFonts w:eastAsia="Calibri"/>
                <w:lang w:eastAsia="en-US"/>
              </w:rPr>
              <w:t>A large part of the decline in net household saving is accounted for by increased mortgage repayments</w:t>
            </w:r>
            <w:r w:rsidR="00A8443E" w:rsidRPr="00027624">
              <w:rPr>
                <w:rFonts w:eastAsia="Calibri"/>
                <w:lang w:eastAsia="en-US"/>
              </w:rPr>
              <w:t xml:space="preserve"> — </w:t>
            </w:r>
            <w:r w:rsidRPr="00027624">
              <w:rPr>
                <w:rFonts w:eastAsia="Calibri"/>
                <w:lang w:eastAsia="en-US"/>
              </w:rPr>
              <w:t xml:space="preserve">which for most people means increased savings in housing assets. </w:t>
            </w:r>
            <w:r w:rsidRPr="00027624">
              <w:rPr>
                <w:rFonts w:eastAsia="Calibri"/>
                <w:b/>
                <w:lang w:eastAsia="en-US"/>
              </w:rPr>
              <w:t>Mortgage repayments increase by 24 cents in response to each additional dollar of compulsory employer contribution (</w:t>
            </w:r>
            <w:r w:rsidRPr="00027624">
              <w:rPr>
                <w:rFonts w:eastAsia="Calibri"/>
                <w:b/>
                <w:lang w:eastAsia="en-US"/>
              </w:rPr>
              <w:fldChar w:fldCharType="begin"/>
            </w:r>
            <w:r w:rsidRPr="00027624">
              <w:rPr>
                <w:rFonts w:eastAsia="Calibri"/>
                <w:b/>
                <w:lang w:eastAsia="en-US"/>
              </w:rPr>
              <w:instrText xml:space="preserve"> REF _Ref43369541 \r \h </w:instrText>
            </w:r>
            <w:r w:rsidR="00027624">
              <w:rPr>
                <w:rFonts w:eastAsia="Calibri"/>
                <w:b/>
                <w:lang w:eastAsia="en-US"/>
              </w:rPr>
              <w:instrText xml:space="preserve"> \* MERGEFORMAT </w:instrText>
            </w:r>
            <w:r w:rsidRPr="00027624">
              <w:rPr>
                <w:rFonts w:eastAsia="Calibri"/>
                <w:b/>
                <w:lang w:eastAsia="en-US"/>
              </w:rPr>
            </w:r>
            <w:r w:rsidRPr="00027624">
              <w:rPr>
                <w:rFonts w:eastAsia="Calibri"/>
                <w:b/>
                <w:lang w:eastAsia="en-US"/>
              </w:rPr>
              <w:fldChar w:fldCharType="separate"/>
            </w:r>
            <w:r w:rsidR="00891058">
              <w:rPr>
                <w:rFonts w:eastAsia="Calibri"/>
                <w:b/>
                <w:lang w:eastAsia="en-US"/>
              </w:rPr>
              <w:t>Figure 6C-1</w:t>
            </w:r>
            <w:r w:rsidRPr="00027624">
              <w:rPr>
                <w:rFonts w:eastAsia="Calibri"/>
                <w:b/>
                <w:lang w:eastAsia="en-US"/>
              </w:rPr>
              <w:fldChar w:fldCharType="end"/>
            </w:r>
            <w:r w:rsidRPr="00027624">
              <w:rPr>
                <w:rFonts w:eastAsia="Calibri"/>
                <w:b/>
                <w:lang w:eastAsia="en-US"/>
              </w:rPr>
              <w:t>).</w:t>
            </w:r>
          </w:p>
          <w:p w14:paraId="48ED05B7" w14:textId="77777777" w:rsidR="00E96B29" w:rsidRPr="00027624" w:rsidRDefault="00E96B29" w:rsidP="00E96B29">
            <w:pPr>
              <w:pStyle w:val="BoxText"/>
              <w:rPr>
                <w:rFonts w:eastAsia="Calibri" w:cs="Calibri"/>
                <w:lang w:eastAsia="en-US"/>
              </w:rPr>
            </w:pPr>
            <w:r w:rsidRPr="00027624">
              <w:rPr>
                <w:rFonts w:eastAsia="Calibri" w:cs="Calibri"/>
                <w:lang w:eastAsia="en-US"/>
              </w:rPr>
              <w:t xml:space="preserve">We find that </w:t>
            </w:r>
            <w:r w:rsidRPr="00027624">
              <w:rPr>
                <w:rFonts w:eastAsia="Calibri" w:cs="Calibri"/>
                <w:b/>
                <w:lang w:eastAsia="en-US"/>
              </w:rPr>
              <w:t>a</w:t>
            </w:r>
            <w:r w:rsidRPr="00027624">
              <w:rPr>
                <w:rFonts w:eastAsia="Calibri"/>
                <w:b/>
                <w:lang w:eastAsia="en-US"/>
              </w:rPr>
              <w:t xml:space="preserve"> $1 rise in compulsory employer contributions increases net household wealth by $2.21, over a four</w:t>
            </w:r>
            <w:r w:rsidR="00A8443E" w:rsidRPr="00027624">
              <w:rPr>
                <w:rFonts w:eastAsia="Calibri"/>
                <w:b/>
                <w:lang w:eastAsia="en-US"/>
              </w:rPr>
              <w:noBreakHyphen/>
            </w:r>
            <w:r w:rsidRPr="00027624">
              <w:rPr>
                <w:rFonts w:eastAsia="Calibri"/>
                <w:b/>
                <w:lang w:eastAsia="en-US"/>
              </w:rPr>
              <w:t>year period</w:t>
            </w:r>
            <w:r w:rsidRPr="00027624">
              <w:rPr>
                <w:rFonts w:eastAsia="Calibri"/>
                <w:lang w:eastAsia="en-US"/>
              </w:rPr>
              <w:t xml:space="preserve">. </w:t>
            </w:r>
            <w:r w:rsidRPr="00027624">
              <w:rPr>
                <w:rFonts w:eastAsia="Calibri" w:cs="Calibri"/>
                <w:lang w:eastAsia="en-US"/>
              </w:rPr>
              <w:t>Household wealth includes superannuation balance, property (net of debt), and non</w:t>
            </w:r>
            <w:r w:rsidR="00A8443E" w:rsidRPr="00027624">
              <w:rPr>
                <w:rFonts w:eastAsia="Calibri" w:cs="Calibri"/>
                <w:lang w:eastAsia="en-US"/>
              </w:rPr>
              <w:noBreakHyphen/>
            </w:r>
            <w:r w:rsidRPr="00027624">
              <w:rPr>
                <w:rFonts w:eastAsia="Calibri" w:cs="Calibri"/>
                <w:lang w:eastAsia="en-US"/>
              </w:rPr>
              <w:t>superannuation and non</w:t>
            </w:r>
            <w:r w:rsidR="00A8443E" w:rsidRPr="00027624">
              <w:rPr>
                <w:rFonts w:eastAsia="Calibri" w:cs="Calibri"/>
                <w:lang w:eastAsia="en-US"/>
              </w:rPr>
              <w:noBreakHyphen/>
            </w:r>
            <w:r w:rsidRPr="00027624">
              <w:rPr>
                <w:rFonts w:eastAsia="Calibri" w:cs="Calibri"/>
                <w:lang w:eastAsia="en-US"/>
              </w:rPr>
              <w:t>property wealth.</w:t>
            </w:r>
          </w:p>
          <w:p w14:paraId="48010F87" w14:textId="77777777" w:rsidR="00E96B29" w:rsidRPr="00027624" w:rsidRDefault="00E96B29" w:rsidP="00E96B29">
            <w:pPr>
              <w:pStyle w:val="BoxText"/>
              <w:rPr>
                <w:rFonts w:eastAsia="Calibri"/>
                <w:lang w:eastAsia="en-US"/>
              </w:rPr>
            </w:pPr>
            <w:r w:rsidRPr="00027624">
              <w:rPr>
                <w:rFonts w:eastAsia="Calibri"/>
                <w:lang w:eastAsia="en-US"/>
              </w:rPr>
              <w:t xml:space="preserve">Most of the increase in wealth associated with an increase in compulsory employer contributions occurs in superannuation and property (housing). We find that </w:t>
            </w:r>
            <w:r w:rsidRPr="00027624">
              <w:rPr>
                <w:rFonts w:eastAsia="Calibri"/>
                <w:b/>
                <w:lang w:eastAsia="en-US"/>
              </w:rPr>
              <w:t>a $1 increase in compulsory employer contributions boosts the superannuation account balance by $1.51, and housing wealth by $1.21</w:t>
            </w:r>
            <w:r w:rsidRPr="00027624">
              <w:rPr>
                <w:rFonts w:eastAsia="Calibri"/>
                <w:lang w:eastAsia="en-US"/>
              </w:rPr>
              <w:t xml:space="preserve"> (due to higher mortgage repayments). In contrast, there was a decline of approximately $0.51 in non</w:t>
            </w:r>
            <w:r w:rsidR="00A8443E" w:rsidRPr="00027624">
              <w:rPr>
                <w:rFonts w:eastAsia="Calibri"/>
                <w:lang w:eastAsia="en-US"/>
              </w:rPr>
              <w:noBreakHyphen/>
            </w:r>
            <w:r w:rsidRPr="00027624">
              <w:rPr>
                <w:rFonts w:eastAsia="Calibri"/>
                <w:lang w:eastAsia="en-US"/>
              </w:rPr>
              <w:t>superannuation and non</w:t>
            </w:r>
            <w:r w:rsidR="00A8443E" w:rsidRPr="00027624">
              <w:rPr>
                <w:rFonts w:eastAsia="Calibri"/>
                <w:lang w:eastAsia="en-US"/>
              </w:rPr>
              <w:noBreakHyphen/>
            </w:r>
            <w:r w:rsidRPr="00027624">
              <w:rPr>
                <w:rFonts w:eastAsia="Calibri"/>
                <w:lang w:eastAsia="en-US"/>
              </w:rPr>
              <w:t>housing wealth.</w:t>
            </w:r>
          </w:p>
          <w:p w14:paraId="6BBD83E9" w14:textId="77777777" w:rsidR="00E96B29" w:rsidRPr="00027624" w:rsidRDefault="00E96B29" w:rsidP="00E96B29">
            <w:pPr>
              <w:pStyle w:val="BoxText"/>
              <w:rPr>
                <w:rFonts w:eastAsia="Calibri"/>
                <w:lang w:eastAsia="en-US"/>
              </w:rPr>
            </w:pPr>
            <w:r w:rsidRPr="00027624">
              <w:rPr>
                <w:rFonts w:eastAsia="Calibri"/>
                <w:lang w:eastAsia="en-US"/>
              </w:rPr>
              <w:t>Our analysis of the impact of compulsory employer contributions on households</w:t>
            </w:r>
            <w:r w:rsidR="00A8443E" w:rsidRPr="00027624">
              <w:rPr>
                <w:rFonts w:eastAsia="Calibri"/>
                <w:lang w:eastAsia="en-US"/>
              </w:rPr>
              <w:t>’</w:t>
            </w:r>
            <w:r w:rsidRPr="00027624">
              <w:rPr>
                <w:rFonts w:eastAsia="Calibri"/>
                <w:lang w:eastAsia="en-US"/>
              </w:rPr>
              <w:t xml:space="preserve"> investment in property assets supports the existence of a </w:t>
            </w:r>
            <w:r w:rsidR="00A8443E" w:rsidRPr="00027624">
              <w:rPr>
                <w:rFonts w:eastAsia="Calibri"/>
                <w:lang w:eastAsia="en-US"/>
              </w:rPr>
              <w:t>‘</w:t>
            </w:r>
            <w:r w:rsidRPr="00027624">
              <w:rPr>
                <w:rFonts w:eastAsia="Calibri"/>
                <w:lang w:eastAsia="en-US"/>
              </w:rPr>
              <w:t>signalling effect</w:t>
            </w:r>
            <w:r w:rsidR="00A8443E" w:rsidRPr="00027624">
              <w:rPr>
                <w:rFonts w:eastAsia="Calibri"/>
                <w:lang w:eastAsia="en-US"/>
              </w:rPr>
              <w:t xml:space="preserve">’ — </w:t>
            </w:r>
            <w:r w:rsidRPr="00027624">
              <w:rPr>
                <w:rFonts w:eastAsia="Calibri"/>
                <w:lang w:eastAsia="en-US"/>
              </w:rPr>
              <w:t xml:space="preserve">which suggests compulsory superannuation provides a degree of confidence for households to increase debt to invest in property, resulting in lower net household saving. This occurs with the knowledge that they can access superannuation savings to extinguish debt in the future and that the residential home is not counted in the </w:t>
            </w:r>
            <w:r w:rsidRPr="00027624" w:rsidDel="0068007C">
              <w:rPr>
                <w:rFonts w:eastAsia="Calibri"/>
                <w:lang w:eastAsia="en-US"/>
              </w:rPr>
              <w:t>Age Pension</w:t>
            </w:r>
            <w:r w:rsidRPr="00027624">
              <w:rPr>
                <w:rFonts w:eastAsia="Calibri"/>
                <w:lang w:eastAsia="en-US"/>
              </w:rPr>
              <w:t xml:space="preserve"> assets test under current rules.</w:t>
            </w:r>
          </w:p>
          <w:p w14:paraId="607A61A0" w14:textId="77777777" w:rsidR="00E96B29" w:rsidRPr="00027624" w:rsidRDefault="00E96B29" w:rsidP="00E96B29">
            <w:pPr>
              <w:pStyle w:val="BoxText"/>
              <w:rPr>
                <w:rFonts w:eastAsia="Calibri"/>
                <w:lang w:eastAsia="en-US"/>
              </w:rPr>
            </w:pPr>
            <w:r w:rsidRPr="00027624">
              <w:rPr>
                <w:rFonts w:eastAsia="Calibri"/>
                <w:lang w:eastAsia="en-US"/>
              </w:rPr>
              <w:t xml:space="preserve">Our report also shows how the saving behaviour of households varies across different demographic and economic groups. </w:t>
            </w:r>
            <w:bookmarkStart w:id="4357" w:name="_Hlk39598051"/>
            <w:r w:rsidRPr="00027624">
              <w:rPr>
                <w:rFonts w:eastAsia="Calibri"/>
                <w:lang w:eastAsia="en-US"/>
              </w:rPr>
              <w:t>We find that home owners save 26 cents less for each dollar increase in compulsory employer contributions compared to non</w:t>
            </w:r>
            <w:r w:rsidR="00A8443E" w:rsidRPr="00027624">
              <w:rPr>
                <w:rFonts w:eastAsia="Calibri"/>
                <w:lang w:eastAsia="en-US"/>
              </w:rPr>
              <w:noBreakHyphen/>
            </w:r>
            <w:r w:rsidRPr="00027624">
              <w:rPr>
                <w:rFonts w:eastAsia="Calibri"/>
                <w:lang w:eastAsia="en-US"/>
              </w:rPr>
              <w:t>home owners</w:t>
            </w:r>
            <w:bookmarkEnd w:id="4357"/>
            <w:r w:rsidRPr="00027624">
              <w:rPr>
                <w:rFonts w:eastAsia="Calibri"/>
                <w:lang w:eastAsia="en-US"/>
              </w:rPr>
              <w:t>.</w:t>
            </w:r>
          </w:p>
          <w:p w14:paraId="52002B30" w14:textId="77777777" w:rsidR="00E96B29" w:rsidRPr="00027624" w:rsidRDefault="00E96B29" w:rsidP="00E96B29">
            <w:pPr>
              <w:pStyle w:val="BoxText"/>
              <w:rPr>
                <w:rFonts w:eastAsia="Calibri"/>
                <w:lang w:eastAsia="en-US"/>
              </w:rPr>
            </w:pPr>
            <w:r w:rsidRPr="00027624">
              <w:rPr>
                <w:rFonts w:eastAsia="Calibri"/>
                <w:lang w:eastAsia="en-US"/>
              </w:rPr>
              <w:t>We employed the Heckman sample selection model to test our findings. The results were consistent, although with slightly different magnitudes. Overall, the results suggest that households with saving(s) behave differently to those without saving(s) in response to changes in eligibility for compulsory employer contributions or changes in SG rates.</w:t>
            </w:r>
          </w:p>
          <w:p w14:paraId="6B85B823" w14:textId="77777777" w:rsidR="00E96B29" w:rsidRPr="00027624" w:rsidRDefault="00E96B29" w:rsidP="00E96B29">
            <w:pPr>
              <w:pStyle w:val="BoxText"/>
              <w:rPr>
                <w:rFonts w:eastAsia="Calibri"/>
                <w:lang w:eastAsia="en-US"/>
              </w:rPr>
            </w:pPr>
            <w:r w:rsidRPr="00027624">
              <w:rPr>
                <w:rFonts w:eastAsia="Calibri"/>
                <w:lang w:eastAsia="en-US"/>
              </w:rPr>
              <w:t>In conclusion, the study has two main findings. First, we demonstrate that compulsory superannuation, while associated with a significant reduction in private household saving, leads to net additional household wealth. Second, we find that compulsory superannuation encourages and leads to the reallocation of household wealth into property from other forms of investment.</w:t>
            </w:r>
          </w:p>
          <w:p w14:paraId="03F5FF8B" w14:textId="77777777" w:rsidR="00E96B29" w:rsidRPr="00C63F48" w:rsidRDefault="00E96B29" w:rsidP="00FC7361">
            <w:pPr>
              <w:pStyle w:val="FigureHeading"/>
              <w:numPr>
                <w:ilvl w:val="4"/>
                <w:numId w:val="109"/>
              </w:numPr>
              <w:rPr>
                <w:rFonts w:eastAsia="Calibri"/>
              </w:rPr>
            </w:pPr>
            <w:bookmarkStart w:id="4358" w:name="_Ref43369541"/>
            <w:r w:rsidRPr="00027624">
              <w:t>The relationships between compulsory employer contributions, household saving and wealth</w:t>
            </w:r>
            <w:bookmarkEnd w:id="4358"/>
          </w:p>
          <w:p w14:paraId="0F592F79" w14:textId="77777777" w:rsidR="00E96B29" w:rsidRPr="00027624" w:rsidRDefault="00E96B29" w:rsidP="00E96B29">
            <w:pPr>
              <w:pStyle w:val="ChartGraphic"/>
            </w:pPr>
            <w:r w:rsidRPr="00027624">
              <w:rPr>
                <w:noProof/>
              </w:rPr>
              <w:drawing>
                <wp:inline distT="0" distB="0" distL="0" distR="0" wp14:anchorId="78623EEF" wp14:editId="6C155513">
                  <wp:extent cx="5382186" cy="2098675"/>
                  <wp:effectExtent l="0" t="0" r="9525" b="0"/>
                  <wp:docPr id="6799746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45">
                            <a:extLst>
                              <a:ext uri="{28A0092B-C50C-407E-A947-70E740481C1C}">
                                <a14:useLocalDpi xmlns:a14="http://schemas.microsoft.com/office/drawing/2010/main" val="0"/>
                              </a:ext>
                            </a:extLst>
                          </a:blip>
                          <a:stretch>
                            <a:fillRect/>
                          </a:stretch>
                        </pic:blipFill>
                        <pic:spPr>
                          <a:xfrm>
                            <a:off x="0" y="0"/>
                            <a:ext cx="5382186" cy="2098675"/>
                          </a:xfrm>
                          <a:prstGeom prst="rect">
                            <a:avLst/>
                          </a:prstGeom>
                        </pic:spPr>
                      </pic:pic>
                    </a:graphicData>
                  </a:graphic>
                </wp:inline>
              </w:drawing>
            </w:r>
          </w:p>
        </w:tc>
      </w:tr>
    </w:tbl>
    <w:p w14:paraId="7CD8F0D0" w14:textId="77777777" w:rsidR="00E96B29" w:rsidRPr="00027624" w:rsidRDefault="00E96B29" w:rsidP="00E96B29"/>
    <w:tbl>
      <w:tblPr>
        <w:tblW w:w="5000" w:type="pct"/>
        <w:shd w:val="clear" w:color="auto" w:fill="DFD7E7" w:themeFill="accent3" w:themeFillTint="33"/>
        <w:tblCellMar>
          <w:top w:w="113" w:type="dxa"/>
          <w:bottom w:w="113" w:type="dxa"/>
        </w:tblCellMar>
        <w:tblLook w:val="01E0" w:firstRow="1" w:lastRow="1" w:firstColumn="1" w:lastColumn="1" w:noHBand="0" w:noVBand="0"/>
      </w:tblPr>
      <w:tblGrid>
        <w:gridCol w:w="9070"/>
      </w:tblGrid>
      <w:tr w:rsidR="00E96B29" w:rsidRPr="00027624" w14:paraId="45058F69" w14:textId="77777777" w:rsidTr="00C71981">
        <w:tc>
          <w:tcPr>
            <w:tcW w:w="5000" w:type="pct"/>
            <w:shd w:val="clear" w:color="auto" w:fill="DFD7E7" w:themeFill="accent3" w:themeFillTint="33"/>
          </w:tcPr>
          <w:p w14:paraId="299B66B5" w14:textId="77777777" w:rsidR="00E96B29" w:rsidRPr="00027624" w:rsidRDefault="00E96B29" w:rsidP="00E96B29">
            <w:pPr>
              <w:pStyle w:val="BoxHeading"/>
              <w:rPr>
                <w:rFonts w:eastAsia="Calibri"/>
                <w:lang w:eastAsia="en-US"/>
              </w:rPr>
            </w:pPr>
            <w:r w:rsidRPr="00027624">
              <w:rPr>
                <w:rFonts w:eastAsia="Calibri"/>
                <w:lang w:eastAsia="en-US"/>
              </w:rPr>
              <w:t>How effective are superannuation tax concessions in encouraging additional savings?</w:t>
            </w:r>
          </w:p>
          <w:p w14:paraId="49BFED11" w14:textId="77777777" w:rsidR="00E96B29" w:rsidRPr="00027624" w:rsidRDefault="00E96B29" w:rsidP="00DF66DA">
            <w:pPr>
              <w:pStyle w:val="BoxText"/>
              <w:rPr>
                <w:b/>
              </w:rPr>
            </w:pPr>
            <w:r w:rsidRPr="00027624">
              <w:rPr>
                <w:b/>
              </w:rPr>
              <w:t>Kristen Sobeck and Robert Breunig, Crawford School of Public Policy, Australian National University.</w:t>
            </w:r>
          </w:p>
          <w:p w14:paraId="62F691AC" w14:textId="77777777" w:rsidR="00E96B29" w:rsidRPr="00027624" w:rsidRDefault="00E96B29" w:rsidP="00DF66DA">
            <w:pPr>
              <w:pStyle w:val="BoxText"/>
            </w:pPr>
            <w:r w:rsidRPr="00027624">
              <w:t>Superannuation tax concessions for voluntary savings are designed to boost people</w:t>
            </w:r>
            <w:r w:rsidR="00A8443E" w:rsidRPr="00027624">
              <w:t>’</w:t>
            </w:r>
            <w:r w:rsidRPr="00027624">
              <w:t>s superannuation balances. Are these policies effective at encouraging people to make larger contributions to their superannuation accounts? If so, do the larger contributions represent new savings (and reduced consumption) or a reallocation of existing savings towards more tax preferred savings instruments? This research evaluates one such policy, the Australian Government</w:t>
            </w:r>
            <w:r w:rsidR="00A8443E" w:rsidRPr="00027624">
              <w:t>’</w:t>
            </w:r>
            <w:r w:rsidRPr="00027624">
              <w:t>s co</w:t>
            </w:r>
            <w:r w:rsidR="00A8443E" w:rsidRPr="00027624">
              <w:noBreakHyphen/>
            </w:r>
            <w:r w:rsidRPr="00027624">
              <w:t>contribution policy, to contribute to a better understanding of these questions.</w:t>
            </w:r>
          </w:p>
          <w:p w14:paraId="283F4DED" w14:textId="77777777" w:rsidR="00E96B29" w:rsidRPr="00027624" w:rsidRDefault="00E96B29" w:rsidP="00DF66DA">
            <w:pPr>
              <w:pStyle w:val="BoxText"/>
            </w:pPr>
            <w:r w:rsidRPr="00027624">
              <w:t>The Government co</w:t>
            </w:r>
            <w:r w:rsidR="00A8443E" w:rsidRPr="00027624">
              <w:noBreakHyphen/>
            </w:r>
            <w:r w:rsidRPr="00027624">
              <w:t>contribution was introduced in the 2003</w:t>
            </w:r>
            <w:r w:rsidR="00A8443E" w:rsidRPr="00027624">
              <w:noBreakHyphen/>
            </w:r>
            <w:r w:rsidRPr="00027624">
              <w:t>04 financial year and matches the post</w:t>
            </w:r>
            <w:r w:rsidR="00A8443E" w:rsidRPr="00027624">
              <w:noBreakHyphen/>
            </w:r>
            <w:r w:rsidRPr="00027624">
              <w:t>tax personal superannuation contributions made by low</w:t>
            </w:r>
            <w:r w:rsidR="00A8443E" w:rsidRPr="00027624">
              <w:noBreakHyphen/>
            </w:r>
            <w:r w:rsidRPr="00027624">
              <w:t xml:space="preserve"> and middle</w:t>
            </w:r>
            <w:r w:rsidR="00A8443E" w:rsidRPr="00027624">
              <w:noBreakHyphen/>
            </w:r>
            <w:r w:rsidRPr="00027624">
              <w:t>income earners, dollar for dollar. The income eligibility criteria for the policy have changed significantly since its introduction. In particular, in the 2012</w:t>
            </w:r>
            <w:r w:rsidR="00A8443E" w:rsidRPr="00027624">
              <w:noBreakHyphen/>
            </w:r>
            <w:r w:rsidRPr="00027624">
              <w:t>13 financial year, the income eligibility threshold was decreased from $61,920 to $46,920. As a result, there were some people who were eligible for the policy in the 2011</w:t>
            </w:r>
            <w:r w:rsidR="00A8443E" w:rsidRPr="00027624">
              <w:noBreakHyphen/>
            </w:r>
            <w:r w:rsidRPr="00027624">
              <w:t>12 financial year, but who no longer qualified in 2012</w:t>
            </w:r>
            <w:r w:rsidR="00A8443E" w:rsidRPr="00027624">
              <w:noBreakHyphen/>
            </w:r>
            <w:r w:rsidRPr="00027624">
              <w:t>13 when the threshold changed. This research compares the savings behaviour of these people</w:t>
            </w:r>
            <w:r w:rsidR="00A8443E" w:rsidRPr="00027624">
              <w:t xml:space="preserve"> — </w:t>
            </w:r>
            <w:r w:rsidRPr="00027624">
              <w:t>who were initially eligible and then ineligible (the treatment group)</w:t>
            </w:r>
            <w:r w:rsidR="00A8443E" w:rsidRPr="00027624">
              <w:t xml:space="preserve"> — </w:t>
            </w:r>
            <w:r w:rsidRPr="00027624">
              <w:t>to the savings behaviour of similar people who earned slightly more, between $61,921 and $76,920, and were never eligible for the policy (the control group), in order to evaluate the policy</w:t>
            </w:r>
            <w:r w:rsidR="00A8443E" w:rsidRPr="00027624">
              <w:t>’</w:t>
            </w:r>
            <w:r w:rsidRPr="00027624">
              <w:t>s effectiveness.</w:t>
            </w:r>
          </w:p>
          <w:p w14:paraId="1F9D39CB" w14:textId="77777777" w:rsidR="00E96B29" w:rsidRPr="00027624" w:rsidRDefault="00E96B29" w:rsidP="00DF66DA">
            <w:pPr>
              <w:pStyle w:val="BoxText"/>
            </w:pPr>
            <w:r w:rsidRPr="00027624">
              <w:t>Formally, the comparison of the two groups</w:t>
            </w:r>
            <w:r w:rsidR="00A8443E" w:rsidRPr="00027624">
              <w:t>’</w:t>
            </w:r>
            <w:r w:rsidRPr="00027624">
              <w:t xml:space="preserve"> savings behaviour was evaluated using a difference</w:t>
            </w:r>
            <w:r w:rsidR="00A8443E" w:rsidRPr="00027624">
              <w:noBreakHyphen/>
            </w:r>
            <w:r w:rsidRPr="00027624">
              <w:t>in</w:t>
            </w:r>
            <w:r w:rsidR="00A8443E" w:rsidRPr="00027624">
              <w:noBreakHyphen/>
            </w:r>
            <w:r w:rsidRPr="00027624">
              <w:t>difference design which considered three savings outcomes. First, the research considered the impact of reducing the eligibility threshold on the likelihood that a</w:t>
            </w:r>
            <w:r w:rsidRPr="00027624" w:rsidDel="008702F8">
              <w:t xml:space="preserve"> </w:t>
            </w:r>
            <w:r w:rsidRPr="00027624">
              <w:t>person would stop making contributions. The results show that decreasing the eligibility threshold reduced the percentage of people who made a contribution by 0.9 percentage points. Second, the research evaluated the impact of the change in the policy on the value of superannuation contributions made. The estimates show that the value of retirement contributions decreased by 6.2</w:t>
            </w:r>
            <w:r w:rsidRPr="00027624" w:rsidDel="0068007C">
              <w:t> per cent</w:t>
            </w:r>
            <w:r w:rsidRPr="00027624">
              <w:t xml:space="preserve"> when the eligibility thresholds for the matching program were reduced. Finally, among people who made a post</w:t>
            </w:r>
            <w:r w:rsidR="00A8443E" w:rsidRPr="00027624">
              <w:noBreakHyphen/>
            </w:r>
            <w:r w:rsidRPr="00027624">
              <w:t>tax superannuation contribution, the research considered whether the reduction in superannuation contributions resulted in lower savings levels or a reallocation of savings to other forms of savings. The results conclude that when people cease to be eligible for the matching policy, they increase other forms of personal savings by about 11</w:t>
            </w:r>
            <w:r w:rsidRPr="00027624" w:rsidDel="0068007C">
              <w:t> per cent</w:t>
            </w:r>
            <w:r w:rsidRPr="00027624">
              <w:t>. The drop in post</w:t>
            </w:r>
            <w:r w:rsidR="00A8443E" w:rsidRPr="00027624">
              <w:noBreakHyphen/>
            </w:r>
            <w:r w:rsidRPr="00027624">
              <w:t>tax superannuation savings combined with the increase in personal savings points to a reallocation effect. However, the effect is not one</w:t>
            </w:r>
            <w:r w:rsidR="00A8443E" w:rsidRPr="00027624">
              <w:noBreakHyphen/>
            </w:r>
            <w:r w:rsidRPr="00027624">
              <w:t>to</w:t>
            </w:r>
            <w:r w:rsidR="00A8443E" w:rsidRPr="00027624">
              <w:noBreakHyphen/>
            </w:r>
            <w:r w:rsidRPr="00027624">
              <w:t xml:space="preserve">one and there is a drop in overall savings. The results show that </w:t>
            </w:r>
            <w:r w:rsidRPr="00027624">
              <w:rPr>
                <w:b/>
              </w:rPr>
              <w:t>a $1 increase in post</w:t>
            </w:r>
            <w:r w:rsidR="00A8443E" w:rsidRPr="00027624">
              <w:rPr>
                <w:b/>
              </w:rPr>
              <w:noBreakHyphen/>
            </w:r>
            <w:r w:rsidRPr="00027624">
              <w:rPr>
                <w:b/>
              </w:rPr>
              <w:t>tax superannuation contributions leads to a $0.77 reduction in personal savings.</w:t>
            </w:r>
          </w:p>
          <w:p w14:paraId="6DBED92A" w14:textId="77777777" w:rsidR="00E96B29" w:rsidRPr="00027624" w:rsidRDefault="00E96B29" w:rsidP="00DF66DA">
            <w:pPr>
              <w:pStyle w:val="BoxText"/>
            </w:pPr>
            <w:r w:rsidRPr="00027624">
              <w:t>These results are consistent with the international literature and limited Australian literature available. While the literature tends to diverge with respect to the effectiveness of the matching rate for matching policies, with a few exceptions, most studies find a positive (negative) effect of the existence (elimination) of matching programs on people</w:t>
            </w:r>
            <w:r w:rsidR="00A8443E" w:rsidRPr="00027624">
              <w:t>’</w:t>
            </w:r>
            <w:r w:rsidRPr="00027624">
              <w:t>s participation (consistent with the findings of this research). While the international evidence regarding the new savings versus reallocation of savings is not entirely conclusive, there is a much stronger consensus that asset reallocation in response to tax incentives occurs, particularly for voluntary (as opposed to compulsory) savings incentives</w:t>
            </w:r>
            <w:sdt>
              <w:sdtPr>
                <w:id w:val="-1609881003"/>
                <w:citation/>
              </w:sdtPr>
              <w:sdtEndPr/>
              <w:sdtContent>
                <w:r w:rsidRPr="00027624">
                  <w:fldChar w:fldCharType="begin"/>
                </w:r>
                <w:r w:rsidRPr="00027624">
                  <w:instrText xml:space="preserve"> CITATION OECtax \l 3081 </w:instrText>
                </w:r>
                <w:r w:rsidRPr="00027624">
                  <w:fldChar w:fldCharType="separate"/>
                </w:r>
                <w:r w:rsidR="00E83F6E">
                  <w:rPr>
                    <w:noProof/>
                  </w:rPr>
                  <w:t xml:space="preserve"> (OECD, 2018b)</w:t>
                </w:r>
                <w:r w:rsidRPr="00027624">
                  <w:fldChar w:fldCharType="end"/>
                </w:r>
              </w:sdtContent>
            </w:sdt>
            <w:r w:rsidRPr="00027624">
              <w:t>; this also aligns with the conclusions of this research.</w:t>
            </w:r>
          </w:p>
          <w:p w14:paraId="4D9E17D8" w14:textId="77777777" w:rsidR="00E96B29" w:rsidRPr="00027624" w:rsidRDefault="00E96B29" w:rsidP="00DF66DA">
            <w:pPr>
              <w:pStyle w:val="BoxText"/>
            </w:pPr>
            <w:r w:rsidRPr="00027624">
              <w:t>In conclusion, the Government</w:t>
            </w:r>
            <w:r w:rsidR="00A8443E" w:rsidRPr="00027624">
              <w:t>’</w:t>
            </w:r>
            <w:r w:rsidRPr="00027624">
              <w:t>s co</w:t>
            </w:r>
            <w:r w:rsidR="00A8443E" w:rsidRPr="00027624">
              <w:noBreakHyphen/>
            </w:r>
            <w:r w:rsidRPr="00027624">
              <w:t>contribution policy has impacted the savings behaviour of a modest percentage of low</w:t>
            </w:r>
            <w:r w:rsidR="00A8443E" w:rsidRPr="00027624">
              <w:noBreakHyphen/>
            </w:r>
            <w:r w:rsidRPr="00027624">
              <w:t xml:space="preserve"> and middle</w:t>
            </w:r>
            <w:r w:rsidR="00A8443E" w:rsidRPr="00027624">
              <w:noBreakHyphen/>
            </w:r>
            <w:r w:rsidRPr="00027624">
              <w:t>income people. While the matching program certainly increased the superannuation balances of this small minority, the majority of low</w:t>
            </w:r>
            <w:r w:rsidR="00A8443E" w:rsidRPr="00027624">
              <w:noBreakHyphen/>
            </w:r>
            <w:r w:rsidRPr="00027624">
              <w:t xml:space="preserve"> and middle</w:t>
            </w:r>
            <w:r w:rsidR="00A8443E" w:rsidRPr="00027624">
              <w:noBreakHyphen/>
            </w:r>
            <w:r w:rsidRPr="00027624">
              <w:t>income people remained unaffected. If boosting superannuation balances is an explicit policy goal, recent international literature suggests that compulsory savings policies tend to be more effective than tax subsidies for retirement savings. While the Australian literature in this area is limited</w:t>
            </w:r>
            <w:r w:rsidR="00A8443E" w:rsidRPr="00027624">
              <w:t xml:space="preserve"> — </w:t>
            </w:r>
            <w:r w:rsidRPr="00027624">
              <w:t>and more is required</w:t>
            </w:r>
            <w:r w:rsidR="00A8443E" w:rsidRPr="00027624">
              <w:t xml:space="preserve"> — </w:t>
            </w:r>
            <w:r w:rsidRPr="00027624">
              <w:t>this research provides some evidence in support of this hypothesis and of its relevance in Australia.</w:t>
            </w:r>
          </w:p>
        </w:tc>
      </w:tr>
    </w:tbl>
    <w:p w14:paraId="015B961A" w14:textId="77777777" w:rsidR="00E96B29" w:rsidRPr="00027624" w:rsidRDefault="00E96B29" w:rsidP="00E96B29"/>
    <w:tbl>
      <w:tblPr>
        <w:tblW w:w="5000" w:type="pct"/>
        <w:shd w:val="clear" w:color="auto" w:fill="DFD7E7" w:themeFill="accent3" w:themeFillTint="33"/>
        <w:tblCellMar>
          <w:top w:w="113" w:type="dxa"/>
          <w:bottom w:w="113" w:type="dxa"/>
        </w:tblCellMar>
        <w:tblLook w:val="01E0" w:firstRow="1" w:lastRow="1" w:firstColumn="1" w:lastColumn="1" w:noHBand="0" w:noVBand="0"/>
      </w:tblPr>
      <w:tblGrid>
        <w:gridCol w:w="9070"/>
      </w:tblGrid>
      <w:tr w:rsidR="00E96B29" w:rsidRPr="00027624" w14:paraId="521E6B86" w14:textId="77777777" w:rsidTr="00C71981">
        <w:tc>
          <w:tcPr>
            <w:tcW w:w="5000" w:type="pct"/>
            <w:shd w:val="clear" w:color="auto" w:fill="DFD7E7" w:themeFill="accent3" w:themeFillTint="33"/>
          </w:tcPr>
          <w:p w14:paraId="319A0697" w14:textId="77777777" w:rsidR="00E96B29" w:rsidRPr="00027624" w:rsidRDefault="00E96B29" w:rsidP="00E96B29">
            <w:pPr>
              <w:pStyle w:val="BoxHeading"/>
              <w:rPr>
                <w:rFonts w:eastAsia="Calibri"/>
                <w:lang w:eastAsia="en-US"/>
              </w:rPr>
            </w:pPr>
            <w:r w:rsidRPr="00027624">
              <w:rPr>
                <w:rFonts w:eastAsia="Calibri"/>
                <w:lang w:eastAsia="en-US"/>
              </w:rPr>
              <w:t>How effective are superannuation tax concessions in encouraging additional savings?</w:t>
            </w:r>
          </w:p>
          <w:p w14:paraId="7CFB8999" w14:textId="77777777" w:rsidR="00E96B29" w:rsidRPr="00027624" w:rsidRDefault="00E96B29" w:rsidP="00E96B29">
            <w:pPr>
              <w:pStyle w:val="BoxHeading"/>
              <w:numPr>
                <w:ilvl w:val="0"/>
                <w:numId w:val="0"/>
              </w:numPr>
              <w:rPr>
                <w:rFonts w:eastAsia="Calibri"/>
                <w:color w:val="auto"/>
                <w:sz w:val="20"/>
                <w:szCs w:val="20"/>
                <w:lang w:eastAsia="en-US"/>
              </w:rPr>
            </w:pPr>
            <w:r w:rsidRPr="00027624">
              <w:rPr>
                <w:rFonts w:eastAsia="Calibri"/>
                <w:color w:val="auto"/>
                <w:sz w:val="20"/>
                <w:szCs w:val="20"/>
                <w:lang w:eastAsia="en-US"/>
              </w:rPr>
              <w:t>Ummul Ruthbah and Nga Pham, Monash Centre for Financial Studies, Monash University.</w:t>
            </w:r>
          </w:p>
          <w:p w14:paraId="58DAA782"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This report examines empirical evidence on the impact of the superannuation tax concessions on voluntary private savings in Australia. Do superannuation tax concessions lead to reductions in other forms of savings? And what are the net outcomes?</w:t>
            </w:r>
          </w:p>
          <w:p w14:paraId="5758FE44"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We have investigated the impacts of three aspects of Australia</w:t>
            </w:r>
            <w:r w:rsidR="00A8443E" w:rsidRPr="00027624">
              <w:rPr>
                <w:rFonts w:eastAsia="Calibri"/>
                <w:lang w:eastAsia="en-US"/>
              </w:rPr>
              <w:t>’</w:t>
            </w:r>
            <w:r w:rsidRPr="00027624">
              <w:rPr>
                <w:rFonts w:eastAsia="Calibri"/>
                <w:lang w:eastAsia="en-US"/>
              </w:rPr>
              <w:t>s policies on household saving(s).</w:t>
            </w:r>
          </w:p>
          <w:p w14:paraId="0C1F60F4" w14:textId="77777777" w:rsidR="00E96B29" w:rsidRPr="00027624" w:rsidRDefault="00E96B29" w:rsidP="00E96B29">
            <w:pPr>
              <w:pStyle w:val="BoxBullet"/>
              <w:rPr>
                <w:rFonts w:eastAsia="Calibri"/>
                <w:lang w:eastAsia="en-US"/>
              </w:rPr>
            </w:pPr>
            <w:r w:rsidRPr="00027624">
              <w:rPr>
                <w:rFonts w:eastAsia="Calibri"/>
                <w:lang w:eastAsia="en-US"/>
              </w:rPr>
              <w:t>Government co</w:t>
            </w:r>
            <w:r w:rsidR="00A8443E" w:rsidRPr="00027624">
              <w:rPr>
                <w:rFonts w:eastAsia="Calibri"/>
                <w:lang w:eastAsia="en-US"/>
              </w:rPr>
              <w:noBreakHyphen/>
            </w:r>
            <w:r w:rsidRPr="00027624">
              <w:rPr>
                <w:rFonts w:eastAsia="Calibri"/>
                <w:lang w:eastAsia="en-US"/>
              </w:rPr>
              <w:t>contributions to superannuation for low</w:t>
            </w:r>
            <w:r w:rsidR="00A8443E" w:rsidRPr="00027624">
              <w:rPr>
                <w:rFonts w:eastAsia="Calibri"/>
                <w:lang w:eastAsia="en-US"/>
              </w:rPr>
              <w:noBreakHyphen/>
            </w:r>
            <w:r w:rsidRPr="00027624">
              <w:rPr>
                <w:rFonts w:eastAsia="Calibri"/>
                <w:lang w:eastAsia="en-US"/>
              </w:rPr>
              <w:t xml:space="preserve">income earners, </w:t>
            </w:r>
            <w:bookmarkStart w:id="4359" w:name="_Hlk41503670"/>
            <w:r w:rsidRPr="00027624">
              <w:rPr>
                <w:rFonts w:eastAsia="Calibri"/>
                <w:lang w:eastAsia="en-US"/>
              </w:rPr>
              <w:t>in terms of both the co</w:t>
            </w:r>
            <w:r w:rsidR="00A8443E" w:rsidRPr="00027624">
              <w:rPr>
                <w:rFonts w:eastAsia="Calibri"/>
                <w:lang w:eastAsia="en-US"/>
              </w:rPr>
              <w:noBreakHyphen/>
            </w:r>
            <w:r w:rsidRPr="00027624">
              <w:rPr>
                <w:rFonts w:eastAsia="Calibri"/>
                <w:lang w:eastAsia="en-US"/>
              </w:rPr>
              <w:t>contribution rate and the dollar cap for the maximum co</w:t>
            </w:r>
            <w:r w:rsidR="00A8443E" w:rsidRPr="00027624">
              <w:rPr>
                <w:rFonts w:eastAsia="Calibri"/>
                <w:lang w:eastAsia="en-US"/>
              </w:rPr>
              <w:noBreakHyphen/>
            </w:r>
            <w:r w:rsidRPr="00027624">
              <w:rPr>
                <w:rFonts w:eastAsia="Calibri"/>
                <w:lang w:eastAsia="en-US"/>
              </w:rPr>
              <w:t>contribution paid by the Government.</w:t>
            </w:r>
            <w:bookmarkEnd w:id="4359"/>
          </w:p>
          <w:p w14:paraId="2AD739D9" w14:textId="77777777" w:rsidR="00E96B29" w:rsidRPr="00027624" w:rsidRDefault="00E96B29" w:rsidP="00E96B29">
            <w:pPr>
              <w:pStyle w:val="BoxBullet"/>
              <w:rPr>
                <w:rFonts w:eastAsia="Calibri"/>
                <w:lang w:eastAsia="en-US"/>
              </w:rPr>
            </w:pPr>
            <w:r w:rsidRPr="00027624">
              <w:rPr>
                <w:rFonts w:eastAsia="Calibri"/>
                <w:lang w:eastAsia="en-US"/>
              </w:rPr>
              <w:t>The concessional contributions cap, which places a ceiling on the amount contributed to a person</w:t>
            </w:r>
            <w:r w:rsidR="00A8443E" w:rsidRPr="00027624">
              <w:rPr>
                <w:rFonts w:eastAsia="Calibri"/>
                <w:lang w:eastAsia="en-US"/>
              </w:rPr>
              <w:t>’</w:t>
            </w:r>
            <w:r w:rsidRPr="00027624">
              <w:rPr>
                <w:rFonts w:eastAsia="Calibri"/>
                <w:lang w:eastAsia="en-US"/>
              </w:rPr>
              <w:t>s superannuation account at a concessional tax rate.</w:t>
            </w:r>
          </w:p>
          <w:p w14:paraId="1DD2FF11" w14:textId="77777777" w:rsidR="00E96B29" w:rsidRPr="00027624" w:rsidRDefault="00E96B29" w:rsidP="00E96B29">
            <w:pPr>
              <w:pStyle w:val="BoxBullet"/>
              <w:rPr>
                <w:rFonts w:eastAsia="Calibri"/>
                <w:lang w:eastAsia="en-US"/>
              </w:rPr>
            </w:pPr>
            <w:r w:rsidRPr="00027624">
              <w:rPr>
                <w:rFonts w:eastAsia="Calibri"/>
                <w:lang w:eastAsia="en-US"/>
              </w:rPr>
              <w:t>Division 293 tax policy, which introduces an additional tax charged at 15</w:t>
            </w:r>
            <w:r w:rsidRPr="00027624" w:rsidDel="0068007C">
              <w:rPr>
                <w:rFonts w:eastAsia="Calibri"/>
                <w:lang w:eastAsia="en-US"/>
              </w:rPr>
              <w:t> per cent</w:t>
            </w:r>
            <w:r w:rsidRPr="00027624">
              <w:rPr>
                <w:rFonts w:eastAsia="Calibri"/>
                <w:lang w:eastAsia="en-US"/>
              </w:rPr>
              <w:t xml:space="preserve"> of a</w:t>
            </w:r>
            <w:r w:rsidRPr="00027624" w:rsidDel="00DA6450">
              <w:rPr>
                <w:rFonts w:eastAsia="Calibri"/>
                <w:lang w:eastAsia="en-US"/>
              </w:rPr>
              <w:t xml:space="preserve"> </w:t>
            </w:r>
            <w:r w:rsidRPr="00027624">
              <w:rPr>
                <w:rFonts w:eastAsia="Calibri"/>
                <w:lang w:eastAsia="en-US"/>
              </w:rPr>
              <w:t>person</w:t>
            </w:r>
            <w:r w:rsidR="00A8443E" w:rsidRPr="00027624">
              <w:rPr>
                <w:rFonts w:eastAsia="Calibri"/>
                <w:lang w:eastAsia="en-US"/>
              </w:rPr>
              <w:t>’</w:t>
            </w:r>
            <w:r w:rsidRPr="00027624">
              <w:rPr>
                <w:rFonts w:eastAsia="Calibri"/>
                <w:lang w:eastAsia="en-US"/>
              </w:rPr>
              <w:t xml:space="preserve">s taxable contributions for people whose earnings (including contributions) are greater than the </w:t>
            </w:r>
            <w:r w:rsidR="00814818" w:rsidRPr="00027624">
              <w:rPr>
                <w:rFonts w:eastAsia="Calibri"/>
                <w:lang w:eastAsia="en-US"/>
              </w:rPr>
              <w:t>Division 293 tax</w:t>
            </w:r>
            <w:r w:rsidRPr="00027624">
              <w:rPr>
                <w:rFonts w:eastAsia="Calibri"/>
                <w:lang w:eastAsia="en-US"/>
              </w:rPr>
              <w:t xml:space="preserve"> threshold.</w:t>
            </w:r>
          </w:p>
          <w:p w14:paraId="429002B9"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We also examined whether these policies had heterogeneous effects across different groups</w:t>
            </w:r>
            <w:r w:rsidR="00A8443E" w:rsidRPr="00027624">
              <w:rPr>
                <w:rFonts w:eastAsia="Calibri"/>
                <w:lang w:eastAsia="en-US"/>
              </w:rPr>
              <w:t xml:space="preserve"> — </w:t>
            </w:r>
            <w:r w:rsidRPr="00027624">
              <w:rPr>
                <w:rFonts w:eastAsia="Calibri"/>
                <w:lang w:eastAsia="en-US"/>
              </w:rPr>
              <w:t>by age, gender, education, employment status and age group of the household head and location of the household.</w:t>
            </w:r>
          </w:p>
          <w:p w14:paraId="29C53AFD"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The report draws on data from the HILDA Survey, Restricted Release 18. We estimate a panel fixed effect model and a Heckman sample selection model, using data from 2005</w:t>
            </w:r>
            <w:r w:rsidR="00A8443E" w:rsidRPr="00027624">
              <w:rPr>
                <w:rFonts w:eastAsia="Calibri"/>
                <w:lang w:eastAsia="en-US"/>
              </w:rPr>
              <w:noBreakHyphen/>
            </w:r>
            <w:r w:rsidRPr="00027624">
              <w:rPr>
                <w:rFonts w:eastAsia="Calibri"/>
                <w:lang w:eastAsia="en-US"/>
              </w:rPr>
              <w:t>2018. In all our models, the unit of analysis is the household as defined by the Australian Bureau of Statistics (ABS).</w:t>
            </w:r>
          </w:p>
          <w:p w14:paraId="0E74D634"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We use two different measures of saving(s). The first defines saving (a flow variable) as the difference between household disposable income and household final consumption expenditure, available annually in the HILDA Survey. The second measure uses household wealth as a proxy for savings (as a stock variable), collected every four years by the HILDA Survey. Both are in terms of dollars.</w:t>
            </w:r>
          </w:p>
          <w:p w14:paraId="334A37A6"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We find:</w:t>
            </w:r>
          </w:p>
          <w:p w14:paraId="41459BF8" w14:textId="77777777" w:rsidR="00E96B29" w:rsidRPr="00027624" w:rsidRDefault="00E96B29" w:rsidP="00E96B29">
            <w:pPr>
              <w:pStyle w:val="BoxBullet"/>
              <w:rPr>
                <w:rFonts w:eastAsia="Calibri"/>
                <w:lang w:eastAsia="en-US"/>
              </w:rPr>
            </w:pPr>
            <w:r w:rsidRPr="00027624">
              <w:rPr>
                <w:rFonts w:eastAsia="Calibri"/>
                <w:b/>
                <w:lang w:eastAsia="en-US"/>
              </w:rPr>
              <w:t>The Government co</w:t>
            </w:r>
            <w:r w:rsidR="00A8443E" w:rsidRPr="00027624">
              <w:rPr>
                <w:rFonts w:eastAsia="Calibri"/>
                <w:b/>
                <w:lang w:eastAsia="en-US"/>
              </w:rPr>
              <w:noBreakHyphen/>
            </w:r>
            <w:r w:rsidRPr="00027624">
              <w:rPr>
                <w:rFonts w:eastAsia="Calibri"/>
                <w:b/>
                <w:lang w:eastAsia="en-US"/>
              </w:rPr>
              <w:t>contribution to superannuation for low</w:t>
            </w:r>
            <w:r w:rsidR="00A8443E" w:rsidRPr="00027624">
              <w:rPr>
                <w:rFonts w:eastAsia="Calibri"/>
                <w:b/>
                <w:lang w:eastAsia="en-US"/>
              </w:rPr>
              <w:noBreakHyphen/>
            </w:r>
            <w:r w:rsidRPr="00027624">
              <w:rPr>
                <w:rFonts w:eastAsia="Calibri"/>
                <w:b/>
                <w:lang w:eastAsia="en-US"/>
              </w:rPr>
              <w:t xml:space="preserve"> and middle</w:t>
            </w:r>
            <w:r w:rsidR="00A8443E" w:rsidRPr="00027624">
              <w:rPr>
                <w:rFonts w:eastAsia="Calibri"/>
                <w:b/>
                <w:lang w:eastAsia="en-US"/>
              </w:rPr>
              <w:noBreakHyphen/>
            </w:r>
            <w:r w:rsidRPr="00027624">
              <w:rPr>
                <w:rFonts w:eastAsia="Calibri"/>
                <w:b/>
                <w:lang w:eastAsia="en-US"/>
              </w:rPr>
              <w:t>income earners has an insignificant impact on private household saving.</w:t>
            </w:r>
            <w:r w:rsidRPr="00027624">
              <w:rPr>
                <w:rFonts w:eastAsia="Calibri"/>
                <w:lang w:eastAsia="en-US"/>
              </w:rPr>
              <w:t xml:space="preserve"> Increases in the Government co</w:t>
            </w:r>
            <w:r w:rsidR="00A8443E" w:rsidRPr="00027624">
              <w:rPr>
                <w:rFonts w:eastAsia="Calibri"/>
                <w:lang w:eastAsia="en-US"/>
              </w:rPr>
              <w:noBreakHyphen/>
            </w:r>
            <w:r w:rsidRPr="00027624">
              <w:rPr>
                <w:rFonts w:eastAsia="Calibri"/>
                <w:lang w:eastAsia="en-US"/>
              </w:rPr>
              <w:t xml:space="preserve">contribution rate and dollar cap have led to a marginal rise in the superannuation balance of households, without reducing other savings. </w:t>
            </w:r>
            <w:bookmarkStart w:id="4360" w:name="_Hlk41503741"/>
            <w:r w:rsidRPr="00027624">
              <w:rPr>
                <w:rFonts w:eastAsia="Calibri"/>
                <w:lang w:eastAsia="en-US"/>
              </w:rPr>
              <w:t>However, the effects are small. As a result, there is no significant impact on household wealth.</w:t>
            </w:r>
            <w:bookmarkEnd w:id="4360"/>
          </w:p>
          <w:p w14:paraId="267D4992" w14:textId="77777777" w:rsidR="00E96B29" w:rsidRPr="00027624" w:rsidRDefault="00E96B29" w:rsidP="00E96B29">
            <w:pPr>
              <w:pStyle w:val="BoxBullet"/>
              <w:rPr>
                <w:rFonts w:eastAsia="Calibri"/>
                <w:lang w:eastAsia="en-US"/>
              </w:rPr>
            </w:pPr>
            <w:r w:rsidRPr="00027624">
              <w:rPr>
                <w:rFonts w:eastAsia="Calibri"/>
                <w:b/>
                <w:lang w:eastAsia="en-US"/>
              </w:rPr>
              <w:t>The concessional contributions cap has marginal impacts on household saving and wealth.</w:t>
            </w:r>
            <w:r w:rsidRPr="00027624">
              <w:rPr>
                <w:rFonts w:eastAsia="Calibri"/>
                <w:lang w:eastAsia="en-US"/>
              </w:rPr>
              <w:t xml:space="preserve"> Although a $1 increase in this cap reduces private saving by a small amount, it does not reduce overall household wealth. Increases in the concessional contributions cap improve household superannuation balances, though there is some delay in the response.</w:t>
            </w:r>
          </w:p>
          <w:p w14:paraId="2F7C1CAA" w14:textId="77777777" w:rsidR="00E96B29" w:rsidRPr="00027624" w:rsidRDefault="00E96B29" w:rsidP="00E96B29">
            <w:pPr>
              <w:pStyle w:val="BoxBullet"/>
              <w:rPr>
                <w:rFonts w:eastAsia="Calibri"/>
                <w:lang w:eastAsia="en-US"/>
              </w:rPr>
            </w:pPr>
            <w:r w:rsidRPr="00027624">
              <w:rPr>
                <w:rFonts w:eastAsia="Calibri"/>
                <w:b/>
                <w:lang w:eastAsia="en-US"/>
              </w:rPr>
              <w:t>While the Division 293 tax reduces private saving by 12.7</w:t>
            </w:r>
            <w:r w:rsidRPr="00027624" w:rsidDel="0068007C">
              <w:rPr>
                <w:rFonts w:eastAsia="Calibri"/>
                <w:b/>
                <w:lang w:eastAsia="en-US"/>
              </w:rPr>
              <w:t> per cent</w:t>
            </w:r>
            <w:r w:rsidRPr="00027624">
              <w:rPr>
                <w:rFonts w:eastAsia="Calibri"/>
                <w:b/>
                <w:lang w:eastAsia="en-US"/>
              </w:rPr>
              <w:t xml:space="preserve"> for households that are paying the tax, it does not significantly affect the accumulated wealth of these households.</w:t>
            </w:r>
            <w:r w:rsidRPr="00027624">
              <w:rPr>
                <w:rFonts w:eastAsia="Calibri"/>
                <w:lang w:eastAsia="en-US"/>
              </w:rPr>
              <w:t xml:space="preserve"> These households have significantly higher superannuation balances than others because an additional 15</w:t>
            </w:r>
            <w:r w:rsidRPr="00027624" w:rsidDel="0068007C">
              <w:rPr>
                <w:rFonts w:eastAsia="Calibri"/>
                <w:lang w:eastAsia="en-US"/>
              </w:rPr>
              <w:t> per cent</w:t>
            </w:r>
            <w:r w:rsidRPr="00027624">
              <w:rPr>
                <w:rFonts w:eastAsia="Calibri"/>
                <w:lang w:eastAsia="en-US"/>
              </w:rPr>
              <w:t xml:space="preserve"> tax on individual taxable contributions is still less than what these households would have</w:t>
            </w:r>
            <w:r w:rsidRPr="00027624" w:rsidDel="003577B2">
              <w:rPr>
                <w:rFonts w:eastAsia="Calibri"/>
                <w:lang w:eastAsia="en-US"/>
              </w:rPr>
              <w:t xml:space="preserve"> </w:t>
            </w:r>
            <w:r w:rsidRPr="00027624">
              <w:rPr>
                <w:rFonts w:eastAsia="Calibri"/>
                <w:lang w:eastAsia="en-US"/>
              </w:rPr>
              <w:t>paid had they saved that amount outside the superannuation account.</w:t>
            </w:r>
          </w:p>
          <w:p w14:paraId="47646931" w14:textId="77777777" w:rsidR="00E96B29" w:rsidRPr="00027624" w:rsidRDefault="00E96B29" w:rsidP="00E96B29">
            <w:pPr>
              <w:pStyle w:val="BoxBullet"/>
              <w:rPr>
                <w:rFonts w:eastAsia="Calibri"/>
                <w:b/>
                <w:lang w:eastAsia="en-US"/>
              </w:rPr>
            </w:pPr>
            <w:r w:rsidRPr="00027624">
              <w:rPr>
                <w:rFonts w:eastAsia="Calibri"/>
                <w:b/>
                <w:lang w:eastAsia="en-US"/>
              </w:rPr>
              <w:t>Households that pay the Division 293 tax have 12.7</w:t>
            </w:r>
            <w:r w:rsidRPr="00027624" w:rsidDel="0068007C">
              <w:rPr>
                <w:rFonts w:eastAsia="Calibri"/>
                <w:b/>
                <w:lang w:eastAsia="en-US"/>
              </w:rPr>
              <w:t> per cent</w:t>
            </w:r>
            <w:r w:rsidRPr="00027624">
              <w:rPr>
                <w:rFonts w:eastAsia="Calibri"/>
                <w:b/>
                <w:lang w:eastAsia="en-US"/>
              </w:rPr>
              <w:t xml:space="preserve"> less private savings than those who are not liable for paying the tax.</w:t>
            </w:r>
            <w:r w:rsidRPr="00027624">
              <w:rPr>
                <w:rFonts w:eastAsia="Calibri"/>
                <w:lang w:eastAsia="en-US"/>
              </w:rPr>
              <w:t xml:space="preserve"> But households</w:t>
            </w:r>
            <w:r w:rsidRPr="00027624" w:rsidDel="00176F98">
              <w:rPr>
                <w:rFonts w:eastAsia="Calibri"/>
                <w:lang w:eastAsia="en-US"/>
              </w:rPr>
              <w:t xml:space="preserve"> </w:t>
            </w:r>
            <w:r w:rsidRPr="00027624">
              <w:rPr>
                <w:rFonts w:eastAsia="Calibri"/>
                <w:lang w:eastAsia="en-US"/>
              </w:rPr>
              <w:t>that pay the Division 293 tax have significantly higher superannuation balances than others because these are the wealthier households and an additional 15</w:t>
            </w:r>
            <w:r w:rsidRPr="00027624" w:rsidDel="0068007C">
              <w:rPr>
                <w:rFonts w:eastAsia="Calibri"/>
                <w:lang w:eastAsia="en-US"/>
              </w:rPr>
              <w:t> per cent</w:t>
            </w:r>
            <w:r w:rsidRPr="00027624">
              <w:rPr>
                <w:rFonts w:eastAsia="Calibri"/>
                <w:lang w:eastAsia="en-US"/>
              </w:rPr>
              <w:t xml:space="preserve"> tax on individual taxable contributions is still less than what these households would have paid had they saved that amount outside the superannuation account. </w:t>
            </w:r>
            <w:r w:rsidRPr="00027624">
              <w:rPr>
                <w:rFonts w:eastAsia="Calibri"/>
                <w:b/>
                <w:bCs/>
                <w:lang w:eastAsia="en-US"/>
              </w:rPr>
              <w:t xml:space="preserve">When compared to households with individual income marginally below the </w:t>
            </w:r>
            <w:r w:rsidR="00814818" w:rsidRPr="00027624">
              <w:rPr>
                <w:rFonts w:eastAsia="Calibri"/>
                <w:b/>
                <w:bCs/>
                <w:lang w:eastAsia="en-US"/>
              </w:rPr>
              <w:t>Division 293 tax</w:t>
            </w:r>
            <w:r w:rsidRPr="00027624">
              <w:rPr>
                <w:rFonts w:eastAsia="Calibri"/>
                <w:b/>
                <w:bCs/>
                <w:lang w:eastAsia="en-US"/>
              </w:rPr>
              <w:t xml:space="preserve"> threshold, we do not find any significant effect of this tax on the wealth or superannuation balances of households who pay the Division 293 tax.</w:t>
            </w:r>
          </w:p>
          <w:p w14:paraId="722468EB"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We also find that the effects of the Government co</w:t>
            </w:r>
            <w:r w:rsidR="00A8443E" w:rsidRPr="00027624">
              <w:rPr>
                <w:rFonts w:eastAsia="Calibri"/>
                <w:lang w:eastAsia="en-US"/>
              </w:rPr>
              <w:noBreakHyphen/>
            </w:r>
            <w:r w:rsidRPr="00027624">
              <w:rPr>
                <w:rFonts w:eastAsia="Calibri"/>
                <w:lang w:eastAsia="en-US"/>
              </w:rPr>
              <w:t>contribution and concessional contributions cap on household saving vary by the household head</w:t>
            </w:r>
            <w:r w:rsidR="00A8443E" w:rsidRPr="00027624">
              <w:rPr>
                <w:rFonts w:eastAsia="Calibri"/>
                <w:lang w:eastAsia="en-US"/>
              </w:rPr>
              <w:t>’</w:t>
            </w:r>
            <w:r w:rsidRPr="00027624">
              <w:rPr>
                <w:rFonts w:eastAsia="Calibri"/>
                <w:lang w:eastAsia="en-US"/>
              </w:rPr>
              <w:t>s education, marital status, labour force participation status, age and income quantile. Among the findings:</w:t>
            </w:r>
          </w:p>
          <w:p w14:paraId="79DA03B1" w14:textId="77777777" w:rsidR="00E96B29" w:rsidRPr="00027624" w:rsidRDefault="00E96B29" w:rsidP="00E96B29">
            <w:pPr>
              <w:pStyle w:val="BoxBullet"/>
              <w:rPr>
                <w:rFonts w:eastAsia="Calibri"/>
                <w:lang w:eastAsia="en-US"/>
              </w:rPr>
            </w:pPr>
            <w:r w:rsidRPr="00027624">
              <w:rPr>
                <w:rFonts w:eastAsia="Calibri"/>
                <w:lang w:eastAsia="en-US"/>
              </w:rPr>
              <w:t>Households with married heads save less than households with unmarried heads.</w:t>
            </w:r>
          </w:p>
          <w:p w14:paraId="3BCC951D" w14:textId="77777777" w:rsidR="00E96B29" w:rsidRPr="00027624" w:rsidRDefault="00E96B29" w:rsidP="00E96B29">
            <w:pPr>
              <w:pStyle w:val="BoxBullet"/>
              <w:rPr>
                <w:rFonts w:eastAsia="Calibri"/>
                <w:lang w:eastAsia="en-US"/>
              </w:rPr>
            </w:pPr>
            <w:r w:rsidRPr="00027624">
              <w:rPr>
                <w:rFonts w:eastAsia="Calibri"/>
                <w:lang w:eastAsia="en-US"/>
              </w:rPr>
              <w:t>Households whose heads have at least a diploma save more than households with less</w:t>
            </w:r>
            <w:r w:rsidR="00A8443E" w:rsidRPr="00027624">
              <w:rPr>
                <w:rFonts w:eastAsia="Calibri"/>
                <w:lang w:eastAsia="en-US"/>
              </w:rPr>
              <w:noBreakHyphen/>
            </w:r>
            <w:r w:rsidRPr="00027624">
              <w:rPr>
                <w:rFonts w:eastAsia="Calibri"/>
                <w:lang w:eastAsia="en-US"/>
              </w:rPr>
              <w:t>educated heads when they are eligible for superannuation co</w:t>
            </w:r>
            <w:r w:rsidR="00A8443E" w:rsidRPr="00027624">
              <w:rPr>
                <w:rFonts w:eastAsia="Calibri"/>
                <w:lang w:eastAsia="en-US"/>
              </w:rPr>
              <w:noBreakHyphen/>
            </w:r>
            <w:r w:rsidRPr="00027624">
              <w:rPr>
                <w:rFonts w:eastAsia="Calibri"/>
                <w:lang w:eastAsia="en-US"/>
              </w:rPr>
              <w:t>contributions and concessions.</w:t>
            </w:r>
          </w:p>
          <w:p w14:paraId="32813E18" w14:textId="77777777" w:rsidR="00E96B29" w:rsidRPr="00027624" w:rsidRDefault="00E96B29" w:rsidP="00E96B29">
            <w:pPr>
              <w:pStyle w:val="BoxBullet"/>
              <w:rPr>
                <w:rFonts w:eastAsia="Calibri"/>
                <w:lang w:eastAsia="en-US"/>
              </w:rPr>
            </w:pPr>
            <w:r w:rsidRPr="00027624">
              <w:rPr>
                <w:rFonts w:eastAsia="Calibri"/>
                <w:lang w:eastAsia="en-US"/>
              </w:rPr>
              <w:t>Households in the 3rd and 4th quantiles save more than those in the 1st quantile if they have a member eligible for the Government co</w:t>
            </w:r>
            <w:r w:rsidR="00A8443E" w:rsidRPr="00027624">
              <w:rPr>
                <w:rFonts w:eastAsia="Calibri"/>
                <w:lang w:eastAsia="en-US"/>
              </w:rPr>
              <w:noBreakHyphen/>
            </w:r>
            <w:r w:rsidRPr="00027624">
              <w:rPr>
                <w:rFonts w:eastAsia="Calibri"/>
                <w:lang w:eastAsia="en-US"/>
              </w:rPr>
              <w:t>contribution. Nevertheless, these differences are not statistically significant at 5</w:t>
            </w:r>
            <w:r w:rsidRPr="00027624" w:rsidDel="0068007C">
              <w:rPr>
                <w:rFonts w:eastAsia="Calibri"/>
                <w:lang w:eastAsia="en-US"/>
              </w:rPr>
              <w:t> per cent</w:t>
            </w:r>
            <w:r w:rsidRPr="00027624">
              <w:rPr>
                <w:rFonts w:eastAsia="Calibri"/>
                <w:lang w:eastAsia="en-US"/>
              </w:rPr>
              <w:t>.</w:t>
            </w:r>
          </w:p>
          <w:p w14:paraId="23380047"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br w:type="column"/>
              <w:t>Numerous studies in the literature have examined how savings in superannuation accounts affect other forms of savings. Still, few have measured the effects of concessional tax policies on household saving(s), particularly in Australia.</w:t>
            </w:r>
          </w:p>
          <w:p w14:paraId="366F6A4D"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Evidence of whether superannuation tax concessions generate new private savings</w:t>
            </w:r>
            <w:r w:rsidR="00A8443E" w:rsidRPr="00027624">
              <w:rPr>
                <w:rFonts w:eastAsia="Calibri"/>
                <w:lang w:eastAsia="en-US"/>
              </w:rPr>
              <w:t xml:space="preserve"> — </w:t>
            </w:r>
            <w:r w:rsidRPr="00027624">
              <w:rPr>
                <w:rFonts w:eastAsia="Calibri"/>
                <w:lang w:eastAsia="en-US"/>
              </w:rPr>
              <w:t>both from Australia and overseas</w:t>
            </w:r>
            <w:r w:rsidR="00A8443E" w:rsidRPr="00027624">
              <w:rPr>
                <w:rFonts w:eastAsia="Calibri"/>
                <w:lang w:eastAsia="en-US"/>
              </w:rPr>
              <w:t xml:space="preserve"> — </w:t>
            </w:r>
            <w:r w:rsidRPr="00027624">
              <w:rPr>
                <w:rFonts w:eastAsia="Calibri"/>
                <w:lang w:eastAsia="en-US"/>
              </w:rPr>
              <w:t>is mixed. There is evidence that some people reallocate some savings from other sources to pension saving accounts in response to tax incentives provided for pension savings. However, as the reported offset rate between pension savings and other forms of savings varies, the extent of new savings generated by pension tax concessions is unclear.</w:t>
            </w:r>
          </w:p>
          <w:p w14:paraId="6B4DE2E3" w14:textId="77777777" w:rsidR="00E96B29" w:rsidRPr="00027624" w:rsidRDefault="00E96B29" w:rsidP="00E96B29">
            <w:pPr>
              <w:pStyle w:val="BoxText"/>
              <w:spacing w:line="256" w:lineRule="auto"/>
              <w:rPr>
                <w:rFonts w:eastAsia="Calibri"/>
                <w:lang w:eastAsia="en-US"/>
              </w:rPr>
            </w:pPr>
            <w:r w:rsidRPr="00027624">
              <w:rPr>
                <w:rFonts w:eastAsia="Calibri"/>
                <w:lang w:eastAsia="en-US"/>
              </w:rPr>
              <w:t>In the United States, studies in the 1990s were inconclusive on whether Individual Retirement Accounts (IRAs) and 401(k) pension accounts generated additional savings. However, later research seems to confirm evidence of new savings.</w:t>
            </w:r>
          </w:p>
          <w:p w14:paraId="26061348" w14:textId="77777777" w:rsidR="00E96B29" w:rsidRPr="00027624" w:rsidRDefault="00E96B29" w:rsidP="00E96B29">
            <w:pPr>
              <w:pStyle w:val="BoxText"/>
              <w:rPr>
                <w:rFonts w:eastAsia="Calibri"/>
                <w:lang w:eastAsia="en-US"/>
              </w:rPr>
            </w:pPr>
            <w:r w:rsidRPr="00027624">
              <w:rPr>
                <w:rFonts w:eastAsia="Calibri"/>
                <w:lang w:eastAsia="en-US"/>
              </w:rPr>
              <w:t>Our results show that superannuation</w:t>
            </w:r>
            <w:r w:rsidRPr="00027624" w:rsidDel="00922949">
              <w:rPr>
                <w:rFonts w:eastAsia="Calibri"/>
                <w:lang w:eastAsia="en-US"/>
              </w:rPr>
              <w:t xml:space="preserve"> </w:t>
            </w:r>
            <w:r w:rsidRPr="00027624">
              <w:rPr>
                <w:rFonts w:eastAsia="Calibri"/>
                <w:lang w:eastAsia="en-US"/>
              </w:rPr>
              <w:t>policies do not have any significantly effect on household savings in Australia. As a whole, the tax concessions seem to improve household superannuation balances to some extent, and not at the expense of other non</w:t>
            </w:r>
            <w:r w:rsidR="00A8443E" w:rsidRPr="00027624">
              <w:rPr>
                <w:rFonts w:eastAsia="Calibri"/>
                <w:lang w:eastAsia="en-US"/>
              </w:rPr>
              <w:noBreakHyphen/>
            </w:r>
            <w:r w:rsidRPr="00027624">
              <w:rPr>
                <w:rFonts w:eastAsia="Calibri"/>
                <w:lang w:eastAsia="en-US"/>
              </w:rPr>
              <w:t>super wealth. Hence, new wealth is generated. However, the impact on wealth is marginal. These findings are consistent with behavioural theories that argue most savers are passive. Holistically, tax incentives may work better when coupled with non</w:t>
            </w:r>
            <w:r w:rsidR="00A8443E" w:rsidRPr="00027624">
              <w:rPr>
                <w:rFonts w:eastAsia="Calibri"/>
                <w:lang w:eastAsia="en-US"/>
              </w:rPr>
              <w:noBreakHyphen/>
            </w:r>
            <w:r w:rsidRPr="00027624">
              <w:rPr>
                <w:rFonts w:eastAsia="Calibri"/>
                <w:lang w:eastAsia="en-US"/>
              </w:rPr>
              <w:t>tax based behavioural incentives.</w:t>
            </w:r>
          </w:p>
        </w:tc>
      </w:tr>
    </w:tbl>
    <w:p w14:paraId="740FE09F" w14:textId="77777777" w:rsidR="00E96B29" w:rsidRPr="00027624" w:rsidRDefault="00E96B29" w:rsidP="00E96B29">
      <w:pPr>
        <w:rPr>
          <w:rFonts w:eastAsia="Calibri"/>
          <w:sz w:val="20"/>
          <w:lang w:eastAsia="en-US"/>
        </w:rPr>
      </w:pPr>
    </w:p>
    <w:tbl>
      <w:tblPr>
        <w:tblW w:w="5000" w:type="pct"/>
        <w:shd w:val="clear" w:color="auto" w:fill="DFD7E7" w:themeFill="accent3" w:themeFillTint="33"/>
        <w:tblCellMar>
          <w:top w:w="113" w:type="dxa"/>
          <w:bottom w:w="113" w:type="dxa"/>
        </w:tblCellMar>
        <w:tblLook w:val="01E0" w:firstRow="1" w:lastRow="1" w:firstColumn="1" w:lastColumn="1" w:noHBand="0" w:noVBand="0"/>
      </w:tblPr>
      <w:tblGrid>
        <w:gridCol w:w="9070"/>
      </w:tblGrid>
      <w:tr w:rsidR="00E96B29" w:rsidRPr="00027624" w14:paraId="71507B9E" w14:textId="77777777" w:rsidTr="00791570">
        <w:tc>
          <w:tcPr>
            <w:tcW w:w="5000" w:type="pct"/>
            <w:shd w:val="clear" w:color="auto" w:fill="DFD7E7" w:themeFill="accent3" w:themeFillTint="33"/>
          </w:tcPr>
          <w:p w14:paraId="20293803" w14:textId="77777777" w:rsidR="00E96B29" w:rsidRPr="00027624" w:rsidRDefault="00E96B29" w:rsidP="00E96B29">
            <w:pPr>
              <w:pStyle w:val="BoxHeading"/>
            </w:pPr>
            <w:r w:rsidRPr="00027624">
              <w:t>What is the impact of the Age Pension assets test on savings behaviour pre</w:t>
            </w:r>
            <w:r w:rsidR="00A8443E" w:rsidRPr="00027624">
              <w:noBreakHyphen/>
            </w:r>
            <w:r w:rsidRPr="00027624">
              <w:t>retirement?</w:t>
            </w:r>
          </w:p>
          <w:p w14:paraId="6856957E" w14:textId="77777777" w:rsidR="00E96B29" w:rsidRPr="00027624" w:rsidRDefault="00E96B29" w:rsidP="00E96B29">
            <w:pPr>
              <w:pStyle w:val="BoxText"/>
              <w:rPr>
                <w:b/>
              </w:rPr>
            </w:pPr>
            <w:r w:rsidRPr="00027624">
              <w:rPr>
                <w:b/>
              </w:rPr>
              <w:t>Rebecca Cassells, Alan Duncan Silvia Salazar and Richard Seymour, Bankwest Curtin Economics Centre, Curtin University.</w:t>
            </w:r>
          </w:p>
          <w:p w14:paraId="5CB1EAC6" w14:textId="77777777" w:rsidR="00E96B29" w:rsidRPr="00027624" w:rsidRDefault="00E96B29" w:rsidP="00E96B29">
            <w:pPr>
              <w:pStyle w:val="BoxText"/>
            </w:pPr>
            <w:r w:rsidRPr="00027624">
              <w:t xml:space="preserve">The purpose of this report is to provide insights into the impact that the </w:t>
            </w:r>
            <w:r w:rsidRPr="00027624" w:rsidDel="0068007C">
              <w:t>Age Pension</w:t>
            </w:r>
            <w:r w:rsidRPr="00027624">
              <w:t xml:space="preserve"> assets test has on savings behaviour pre</w:t>
            </w:r>
            <w:r w:rsidR="00A8443E" w:rsidRPr="00027624">
              <w:noBreakHyphen/>
            </w:r>
            <w:r w:rsidRPr="00027624">
              <w:t xml:space="preserve">retirement. Our approach explores the 2007 and 2017 changes in the </w:t>
            </w:r>
            <w:r w:rsidRPr="00027624" w:rsidDel="0068007C">
              <w:t>Age Pension</w:t>
            </w:r>
            <w:r w:rsidRPr="00027624">
              <w:t xml:space="preserve"> assets test to examine whether, and to what extent, these changes impacted asset portfolio allocation and labour supply behaviour of households approaching retirement.</w:t>
            </w:r>
          </w:p>
          <w:p w14:paraId="30888C44" w14:textId="77777777" w:rsidR="00E96B29" w:rsidRPr="00027624" w:rsidRDefault="00E96B29" w:rsidP="00E96B29">
            <w:pPr>
              <w:pStyle w:val="BoxText"/>
            </w:pPr>
            <w:r w:rsidRPr="00027624">
              <w:t xml:space="preserve">Using the HILDA Survey, we compare the savings, asset allocation and labour supply behaviour of households that were directly affected by the reform, compared to similar households that remained unaffected. We apply econometric techniques to control for factors other than the introduction of the </w:t>
            </w:r>
            <w:r w:rsidRPr="00027624" w:rsidDel="0068007C">
              <w:t>Age Pension</w:t>
            </w:r>
            <w:r w:rsidRPr="00027624">
              <w:t xml:space="preserve"> assets test taper reforms that may coincidentally be driving behavioural changes.</w:t>
            </w:r>
          </w:p>
          <w:p w14:paraId="0179DA7C" w14:textId="77777777" w:rsidR="00E96B29" w:rsidRPr="00027624" w:rsidRDefault="00E96B29" w:rsidP="00E96B29">
            <w:pPr>
              <w:pStyle w:val="BoxText"/>
            </w:pPr>
            <w:r w:rsidRPr="00027624">
              <w:t>Our primary evaluation approach uses a difference</w:t>
            </w:r>
            <w:r w:rsidR="00A8443E" w:rsidRPr="00027624">
              <w:noBreakHyphen/>
            </w:r>
            <w:r w:rsidRPr="00027624">
              <w:t>in</w:t>
            </w:r>
            <w:r w:rsidR="00A8443E" w:rsidRPr="00027624">
              <w:noBreakHyphen/>
            </w:r>
            <w:r w:rsidRPr="00027624">
              <w:t>differences method to examine the impact of the assets test reforms on behaviour around both the lower assets test threshold (which differentiates full from part</w:t>
            </w:r>
            <w:r w:rsidR="00A8443E" w:rsidRPr="00027624">
              <w:noBreakHyphen/>
            </w:r>
            <w:r w:rsidRPr="00027624">
              <w:t xml:space="preserve">entitlement to </w:t>
            </w:r>
            <w:r w:rsidRPr="00027624" w:rsidDel="0068007C">
              <w:t>Age Pension</w:t>
            </w:r>
            <w:r w:rsidRPr="00027624">
              <w:t>) and the upper threshold (which separates part</w:t>
            </w:r>
            <w:r w:rsidR="00A8443E" w:rsidRPr="00027624">
              <w:noBreakHyphen/>
            </w:r>
            <w:r w:rsidRPr="00027624">
              <w:t>entitlement from zero entitlement). For validation, we apply a second approach using regression discontinuity to examine the degree to which asset accumulation and labour supply behaviours are affected by the lower and upper assets test taper thresholds.</w:t>
            </w:r>
          </w:p>
          <w:p w14:paraId="3ABF68FD" w14:textId="77777777" w:rsidR="00E96B29" w:rsidRPr="00027624" w:rsidRDefault="00E96B29" w:rsidP="00E96B29">
            <w:pPr>
              <w:pStyle w:val="BoxText"/>
            </w:pPr>
            <w:r w:rsidRPr="00027624">
              <w:t xml:space="preserve">To assess changes in wealth we apply a </w:t>
            </w:r>
            <w:r w:rsidR="00A8443E" w:rsidRPr="00027624">
              <w:t>‘</w:t>
            </w:r>
            <w:r w:rsidRPr="00027624">
              <w:t>flow</w:t>
            </w:r>
            <w:r w:rsidR="00A8443E" w:rsidRPr="00027624">
              <w:t>’</w:t>
            </w:r>
            <w:r w:rsidRPr="00027624">
              <w:t xml:space="preserve"> measure of savings, which examines changes in net wealth before and after the reforms. This measure incorporates four separate data points. We also apply a </w:t>
            </w:r>
            <w:r w:rsidR="00A8443E" w:rsidRPr="00027624">
              <w:t>‘</w:t>
            </w:r>
            <w:r w:rsidRPr="00027624">
              <w:t>stock</w:t>
            </w:r>
            <w:r w:rsidR="00A8443E" w:rsidRPr="00027624">
              <w:t>’</w:t>
            </w:r>
            <w:r w:rsidRPr="00027624">
              <w:t xml:space="preserve"> measure of changes in the value of assets between two data points.</w:t>
            </w:r>
          </w:p>
          <w:p w14:paraId="5C2B969D" w14:textId="77777777" w:rsidR="00E96B29" w:rsidRPr="00027624" w:rsidRDefault="00E96B29" w:rsidP="00E96B29">
            <w:pPr>
              <w:pStyle w:val="BoxText"/>
            </w:pPr>
            <w:r w:rsidRPr="00027624">
              <w:t xml:space="preserve">Overall we find that reforms to the </w:t>
            </w:r>
            <w:r w:rsidRPr="00027624" w:rsidDel="0068007C">
              <w:t>Age Pension</w:t>
            </w:r>
            <w:r w:rsidRPr="00027624">
              <w:t xml:space="preserve"> assets test was positively correlated with changes in household asset allocation behaviour prior to retirement for households that were very close to the upper threshold of the </w:t>
            </w:r>
            <w:r w:rsidRPr="00027624" w:rsidDel="0068007C">
              <w:t>Age Pension</w:t>
            </w:r>
            <w:r w:rsidRPr="00027624">
              <w:t xml:space="preserve"> assets test. The upper threshold is the point at which having additional assets in excess of this value would lead to zero entitlement of the </w:t>
            </w:r>
            <w:r w:rsidRPr="00027624" w:rsidDel="0068007C">
              <w:t>Age Pension</w:t>
            </w:r>
            <w:r w:rsidRPr="00027624">
              <w:t>.</w:t>
            </w:r>
          </w:p>
          <w:p w14:paraId="0F3DEF23" w14:textId="77777777" w:rsidR="00E96B29" w:rsidRPr="00027624" w:rsidRDefault="00E96B29" w:rsidP="00E96B29">
            <w:pPr>
              <w:pStyle w:val="BoxText"/>
              <w:rPr>
                <w:b/>
              </w:rPr>
            </w:pPr>
            <w:r w:rsidRPr="00027624">
              <w:rPr>
                <w:b/>
              </w:rPr>
              <w:t>Savings and wealth accumulation</w:t>
            </w:r>
            <w:r w:rsidR="00A8443E" w:rsidRPr="00027624">
              <w:rPr>
                <w:b/>
              </w:rPr>
              <w:t xml:space="preserve"> — </w:t>
            </w:r>
            <w:r w:rsidRPr="00027624">
              <w:rPr>
                <w:b/>
              </w:rPr>
              <w:t xml:space="preserve">2007 </w:t>
            </w:r>
            <w:r w:rsidRPr="00027624" w:rsidDel="0068007C">
              <w:rPr>
                <w:b/>
              </w:rPr>
              <w:t>Age</w:t>
            </w:r>
            <w:r w:rsidRPr="00027624">
              <w:rPr>
                <w:b/>
              </w:rPr>
              <w:t> Pension reforms</w:t>
            </w:r>
          </w:p>
          <w:p w14:paraId="560BCCFB" w14:textId="77777777" w:rsidR="00E96B29" w:rsidRPr="00027624" w:rsidRDefault="00E96B29" w:rsidP="00E96B29">
            <w:pPr>
              <w:pStyle w:val="BoxBullet"/>
              <w:tabs>
                <w:tab w:val="clear" w:pos="283"/>
                <w:tab w:val="num" w:pos="2977"/>
              </w:tabs>
            </w:pPr>
            <w:r w:rsidRPr="00027624">
              <w:t>In contextualising the impacts of the 2007 reforms it is important to note that the period of assessment coincided with the GFC. This period saw households accumulate lower net savings (change in net wealth) in the post</w:t>
            </w:r>
            <w:r w:rsidR="00A8443E" w:rsidRPr="00027624">
              <w:noBreakHyphen/>
            </w:r>
            <w:r w:rsidRPr="00027624">
              <w:t>GFC period than they did in the pre</w:t>
            </w:r>
            <w:r w:rsidR="00A8443E" w:rsidRPr="00027624">
              <w:noBreakHyphen/>
            </w:r>
            <w:r w:rsidRPr="00027624">
              <w:t>GFC period.</w:t>
            </w:r>
          </w:p>
          <w:p w14:paraId="1DC3AD06" w14:textId="77777777" w:rsidR="00E96B29" w:rsidRPr="00027624" w:rsidRDefault="00E96B29" w:rsidP="00E96B29">
            <w:pPr>
              <w:pStyle w:val="BoxBullet"/>
              <w:tabs>
                <w:tab w:val="clear" w:pos="283"/>
                <w:tab w:val="num" w:pos="2977"/>
              </w:tabs>
            </w:pPr>
            <w:r w:rsidRPr="00027624">
              <w:t>There is no statistical difference in the pre</w:t>
            </w:r>
            <w:r w:rsidR="00A8443E" w:rsidRPr="00027624">
              <w:noBreakHyphen/>
            </w:r>
            <w:r w:rsidRPr="00027624">
              <w:t>retirement savings of households that were eligible for part</w:t>
            </w:r>
            <w:r w:rsidR="00A8443E" w:rsidRPr="00027624">
              <w:noBreakHyphen/>
            </w:r>
            <w:r w:rsidRPr="00027624">
              <w:t xml:space="preserve">rate </w:t>
            </w:r>
            <w:r w:rsidRPr="00027624" w:rsidDel="0068007C">
              <w:t>Age</w:t>
            </w:r>
            <w:r w:rsidRPr="00027624">
              <w:t> Pension before the taper rate change as compared to those who were expected to be full</w:t>
            </w:r>
            <w:r w:rsidR="00A8443E" w:rsidRPr="00027624">
              <w:noBreakHyphen/>
            </w:r>
            <w:r w:rsidRPr="00027624">
              <w:t>rate age pensioners.</w:t>
            </w:r>
          </w:p>
          <w:p w14:paraId="76D191F9" w14:textId="77777777" w:rsidR="00E96B29" w:rsidRPr="00027624" w:rsidRDefault="00E96B29" w:rsidP="00E96B29">
            <w:pPr>
              <w:pStyle w:val="BoxBullet"/>
              <w:tabs>
                <w:tab w:val="clear" w:pos="283"/>
                <w:tab w:val="num" w:pos="2977"/>
              </w:tabs>
            </w:pPr>
            <w:r w:rsidRPr="00027624">
              <w:t xml:space="preserve">Households that became eligible as a result of changes to the </w:t>
            </w:r>
            <w:r w:rsidRPr="00027624" w:rsidDel="0068007C">
              <w:t>Age Pension</w:t>
            </w:r>
            <w:r w:rsidRPr="00027624">
              <w:t xml:space="preserve"> taper rate in 2007 saw their net savings fall by $219,200 less between 2006 and 2010 compared to those that remained ineligible for the </w:t>
            </w:r>
            <w:r w:rsidRPr="00027624" w:rsidDel="0068007C">
              <w:t>Age Pension</w:t>
            </w:r>
            <w:r w:rsidRPr="00027624">
              <w:t>. This suggests an annual effect of $54,800 over the period.</w:t>
            </w:r>
          </w:p>
          <w:p w14:paraId="60D9F2A5" w14:textId="77777777" w:rsidR="00E96B29" w:rsidRPr="00027624" w:rsidRDefault="00E96B29" w:rsidP="00E96B29">
            <w:pPr>
              <w:pStyle w:val="BoxBullet"/>
              <w:tabs>
                <w:tab w:val="clear" w:pos="283"/>
                <w:tab w:val="num" w:pos="2977"/>
              </w:tabs>
            </w:pPr>
            <w:r w:rsidRPr="00027624">
              <w:t>Net assessable assets increased by $154,400 more for new part</w:t>
            </w:r>
            <w:r w:rsidR="00A8443E" w:rsidRPr="00027624">
              <w:noBreakHyphen/>
            </w:r>
            <w:r w:rsidRPr="00027624">
              <w:t xml:space="preserve">pension holders between 2006 and 2010, compared to those that remained ineligible for the </w:t>
            </w:r>
            <w:r w:rsidRPr="00027624" w:rsidDel="0068007C">
              <w:t>Age</w:t>
            </w:r>
            <w:r w:rsidRPr="00027624">
              <w:t> Pension.</w:t>
            </w:r>
          </w:p>
          <w:p w14:paraId="243E8114" w14:textId="77777777" w:rsidR="00E96B29" w:rsidRPr="00027624" w:rsidRDefault="00E96B29" w:rsidP="00E96B29">
            <w:pPr>
              <w:pStyle w:val="BoxBullet"/>
              <w:numPr>
                <w:ilvl w:val="0"/>
                <w:numId w:val="0"/>
              </w:numPr>
              <w:ind w:left="284"/>
            </w:pPr>
            <w:r w:rsidRPr="00027624">
              <w:t xml:space="preserve">These findings suggest that households that became eligible to receive the </w:t>
            </w:r>
            <w:r w:rsidRPr="00027624" w:rsidDel="0068007C">
              <w:t>Age Pension</w:t>
            </w:r>
            <w:r w:rsidRPr="00027624">
              <w:t xml:space="preserve"> were more likely to hold higher levels of assessable assets under the </w:t>
            </w:r>
            <w:r w:rsidRPr="00027624" w:rsidDel="0068007C">
              <w:t>Age Pension</w:t>
            </w:r>
            <w:r w:rsidRPr="00027624">
              <w:t xml:space="preserve"> assets test. </w:t>
            </w:r>
            <w:r w:rsidRPr="00027624">
              <w:rPr>
                <w:b/>
              </w:rPr>
              <w:t>Overall, their savings in the form of assessable assets were 4.0</w:t>
            </w:r>
            <w:r w:rsidRPr="00027624" w:rsidDel="0068007C">
              <w:rPr>
                <w:b/>
              </w:rPr>
              <w:t> per cent</w:t>
            </w:r>
            <w:r w:rsidRPr="00027624">
              <w:rPr>
                <w:b/>
              </w:rPr>
              <w:t xml:space="preserve"> higher per year between 2007 and 2010.</w:t>
            </w:r>
          </w:p>
          <w:p w14:paraId="0CEAADA4" w14:textId="77777777" w:rsidR="00E96B29" w:rsidRPr="00027624" w:rsidRDefault="00E96B29" w:rsidP="00E96B29">
            <w:pPr>
              <w:pStyle w:val="BoxBullet"/>
              <w:tabs>
                <w:tab w:val="clear" w:pos="283"/>
                <w:tab w:val="num" w:pos="2977"/>
              </w:tabs>
            </w:pPr>
            <w:r w:rsidRPr="00027624">
              <w:t>There is no strong evidence of a change in employment propensities among pre</w:t>
            </w:r>
            <w:r w:rsidR="00A8443E" w:rsidRPr="00027624">
              <w:noBreakHyphen/>
            </w:r>
            <w:r w:rsidRPr="00027624">
              <w:t>retirement households who fall affected by the assets test compared to those that do not.</w:t>
            </w:r>
          </w:p>
          <w:p w14:paraId="22142A19" w14:textId="77777777" w:rsidR="00E96B29" w:rsidRPr="00027624" w:rsidRDefault="00E96B29" w:rsidP="00E96B29">
            <w:pPr>
              <w:pStyle w:val="BoxBullet"/>
              <w:tabs>
                <w:tab w:val="clear" w:pos="283"/>
                <w:tab w:val="num" w:pos="2977"/>
              </w:tabs>
            </w:pPr>
            <w:r w:rsidRPr="00027624">
              <w:t>Average hours worked among pre</w:t>
            </w:r>
            <w:r w:rsidR="00A8443E" w:rsidRPr="00027624">
              <w:noBreakHyphen/>
            </w:r>
            <w:r w:rsidRPr="00027624">
              <w:t>retirement households were also not significantly affected by changes in the assets test taper.</w:t>
            </w:r>
          </w:p>
          <w:p w14:paraId="7A9FB96D" w14:textId="77777777" w:rsidR="00E96B29" w:rsidRPr="00027624" w:rsidRDefault="00E96B29" w:rsidP="00E96B29">
            <w:pPr>
              <w:pStyle w:val="BoxText"/>
            </w:pPr>
            <w:r w:rsidRPr="00027624">
              <w:rPr>
                <w:b/>
              </w:rPr>
              <w:t>Initial indications are that the 2017 assets test reforms, which scaled back the generosity of the 2007 reforms by tightening the assets test, show a reverse pattern of reduced savings and asset accumulation, however, these results are not statistically significant.</w:t>
            </w:r>
            <w:r w:rsidRPr="00027624">
              <w:t xml:space="preserve"> This is due to the timing of the 2017 </w:t>
            </w:r>
            <w:r w:rsidRPr="00027624" w:rsidDel="0068007C">
              <w:t>Age Pension</w:t>
            </w:r>
            <w:r w:rsidRPr="00027624">
              <w:t xml:space="preserve"> assets reform relative to the dates of collection of the HILDA Survey wealth modules, which provides limited information on post</w:t>
            </w:r>
            <w:r w:rsidR="00A8443E" w:rsidRPr="00027624">
              <w:noBreakHyphen/>
            </w:r>
            <w:r w:rsidRPr="00027624">
              <w:t>reform behaviour.</w:t>
            </w:r>
          </w:p>
          <w:p w14:paraId="5C997B37" w14:textId="77777777" w:rsidR="00E96B29" w:rsidRPr="00027624" w:rsidRDefault="00E96B29" w:rsidP="00E96B29">
            <w:pPr>
              <w:pStyle w:val="BoxText"/>
            </w:pPr>
            <w:r w:rsidRPr="00027624">
              <w:t>The regression discontinuity estimations provide confirmation of these impacts. Specifically, the reduction in the upper assets test threshold, as a result of the higher assets test taper rate, is associated with an average reduction in household savings over the five waves of savings and wealth data between 2002 and 2018. The regression discontinuity incorporates both the 2007 and 2017 changes to the assets test.</w:t>
            </w:r>
          </w:p>
          <w:p w14:paraId="0718C71F" w14:textId="77777777" w:rsidR="00E96B29" w:rsidRPr="00027624" w:rsidRDefault="00E96B29" w:rsidP="00E96B29">
            <w:pPr>
              <w:pStyle w:val="BoxText"/>
            </w:pPr>
            <w:r w:rsidRPr="00027624">
              <w:t>The separation of two distinct treatment groups is a significant improvement over previous studies.</w:t>
            </w:r>
          </w:p>
          <w:p w14:paraId="5C9BB771" w14:textId="77777777" w:rsidR="00E96B29" w:rsidRPr="00027624" w:rsidRDefault="00E96B29" w:rsidP="00E96B29">
            <w:pPr>
              <w:pStyle w:val="BoxText"/>
            </w:pPr>
            <w:r w:rsidRPr="00027624">
              <w:t xml:space="preserve">By applying tighter restrictions to the treatment and control groups, the overall treatment effects associated with the </w:t>
            </w:r>
            <w:r w:rsidRPr="00027624" w:rsidDel="0068007C">
              <w:t>Age Pension</w:t>
            </w:r>
            <w:r w:rsidRPr="00027624">
              <w:t xml:space="preserve"> assets test reform in our study are found to be significantly smaller than other studies. The classifications of treatment and control groups in both the Whelan et al. </w:t>
            </w:r>
            <w:sdt>
              <w:sdtPr>
                <w:id w:val="922217616"/>
                <w:citation/>
              </w:sdtPr>
              <w:sdtEndPr/>
              <w:sdtContent>
                <w:r w:rsidRPr="00027624">
                  <w:fldChar w:fldCharType="begin"/>
                </w:r>
                <w:r w:rsidRPr="00027624">
                  <w:instrText xml:space="preserve">CITATION Whe18 \n  \t  \l 3081 </w:instrText>
                </w:r>
                <w:r w:rsidRPr="00027624">
                  <w:fldChar w:fldCharType="separate"/>
                </w:r>
                <w:r w:rsidR="00E83F6E">
                  <w:rPr>
                    <w:noProof/>
                  </w:rPr>
                  <w:t>(2018)</w:t>
                </w:r>
                <w:r w:rsidRPr="00027624">
                  <w:fldChar w:fldCharType="end"/>
                </w:r>
              </w:sdtContent>
            </w:sdt>
            <w:r w:rsidRPr="00027624">
              <w:t xml:space="preserve"> and Cho and Sane </w:t>
            </w:r>
            <w:sdt>
              <w:sdtPr>
                <w:id w:val="-1298215933"/>
                <w:citation/>
              </w:sdtPr>
              <w:sdtEndPr/>
              <w:sdtContent>
                <w:r w:rsidRPr="00027624">
                  <w:fldChar w:fldCharType="begin"/>
                </w:r>
                <w:r w:rsidRPr="00027624">
                  <w:instrText xml:space="preserve">CITATION Cho14 \n  \t  \l 3081 </w:instrText>
                </w:r>
                <w:r w:rsidRPr="00027624">
                  <w:fldChar w:fldCharType="separate"/>
                </w:r>
                <w:r w:rsidR="00E83F6E">
                  <w:rPr>
                    <w:noProof/>
                  </w:rPr>
                  <w:t>(2014)</w:t>
                </w:r>
                <w:r w:rsidRPr="00027624">
                  <w:fldChar w:fldCharType="end"/>
                </w:r>
              </w:sdtContent>
            </w:sdt>
            <w:r w:rsidRPr="00027624">
              <w:t xml:space="preserve"> studies are broader and more heterogeneous, with open</w:t>
            </w:r>
            <w:r w:rsidR="00A8443E" w:rsidRPr="00027624">
              <w:noBreakHyphen/>
            </w:r>
            <w:r w:rsidRPr="00027624">
              <w:t xml:space="preserve">ended classification of the control groups. As a result, these studies are unable to pinpoint the effects of the </w:t>
            </w:r>
            <w:r w:rsidRPr="00027624" w:rsidDel="0068007C">
              <w:t>Age Pension</w:t>
            </w:r>
            <w:r w:rsidRPr="00027624">
              <w:t xml:space="preserve"> assets test reforms. Instead, their models compare the savings and asset accumulation behaviour of households with wealth and savings portfolios that are very different in both size and composition. As such, their empirical findings are likely to overestimate the effects of the </w:t>
            </w:r>
            <w:r w:rsidRPr="00027624" w:rsidDel="0068007C">
              <w:t>Age Pension</w:t>
            </w:r>
            <w:r w:rsidRPr="00027624">
              <w:t xml:space="preserve"> assets test reforms.</w:t>
            </w:r>
          </w:p>
          <w:p w14:paraId="5CD95951" w14:textId="77777777" w:rsidR="00E96B29" w:rsidRPr="00027624" w:rsidRDefault="00E96B29" w:rsidP="00E96B29">
            <w:pPr>
              <w:pStyle w:val="BoxText"/>
            </w:pPr>
            <w:r w:rsidRPr="00027624">
              <w:t>The separation of two distinct treatment groups also allows us to test the empirical outcomes from the difference</w:t>
            </w:r>
            <w:r w:rsidR="00A8443E" w:rsidRPr="00027624">
              <w:noBreakHyphen/>
            </w:r>
            <w:r w:rsidRPr="00027624">
              <w:t>in</w:t>
            </w:r>
            <w:r w:rsidR="00A8443E" w:rsidRPr="00027624">
              <w:noBreakHyphen/>
            </w:r>
            <w:r w:rsidRPr="00027624">
              <w:t>difference analysis more accurately against the predictions of a simplistic two</w:t>
            </w:r>
            <w:r w:rsidR="00A8443E" w:rsidRPr="00027624">
              <w:noBreakHyphen/>
            </w:r>
            <w:r w:rsidRPr="00027624">
              <w:t xml:space="preserve">period savings model, such as used in Whelan et al. </w:t>
            </w:r>
            <w:sdt>
              <w:sdtPr>
                <w:id w:val="969873029"/>
                <w:citation/>
              </w:sdtPr>
              <w:sdtEndPr/>
              <w:sdtContent>
                <w:r w:rsidRPr="00027624">
                  <w:fldChar w:fldCharType="begin"/>
                </w:r>
                <w:r w:rsidRPr="00027624">
                  <w:instrText xml:space="preserve">CITATION Whe18 \n  \t  \l 3081 </w:instrText>
                </w:r>
                <w:r w:rsidRPr="00027624">
                  <w:fldChar w:fldCharType="separate"/>
                </w:r>
                <w:r w:rsidR="00E83F6E">
                  <w:rPr>
                    <w:noProof/>
                  </w:rPr>
                  <w:t>(2018)</w:t>
                </w:r>
                <w:r w:rsidRPr="00027624">
                  <w:fldChar w:fldCharType="end"/>
                </w:r>
              </w:sdtContent>
            </w:sdt>
            <w:r w:rsidRPr="00027624">
              <w:t xml:space="preserve">. For example, the model would predict savings to be disincentivised among people expected to become eligible for the </w:t>
            </w:r>
            <w:r w:rsidRPr="00027624" w:rsidDel="0068007C">
              <w:t>Age</w:t>
            </w:r>
            <w:r w:rsidRPr="00027624">
              <w:t xml:space="preserve"> Pension through the taper rate reduction in 2007, as their assets became subject to the taper (substitution effect) and because of increased pension payments (income effect). This report shows that the impact of changes to the </w:t>
            </w:r>
            <w:r w:rsidRPr="00027624" w:rsidDel="0068007C">
              <w:t>Age</w:t>
            </w:r>
            <w:r w:rsidRPr="00027624">
              <w:t> Pension taper rate on pre</w:t>
            </w:r>
            <w:r w:rsidR="00A8443E" w:rsidRPr="00027624">
              <w:noBreakHyphen/>
            </w:r>
            <w:r w:rsidRPr="00027624">
              <w:t>retirement savings behaviour cannot be explained by this model.</w:t>
            </w:r>
          </w:p>
          <w:p w14:paraId="19446E84" w14:textId="77777777" w:rsidR="00E96B29" w:rsidRPr="00027624" w:rsidRDefault="00E96B29" w:rsidP="00E96B29">
            <w:pPr>
              <w:pStyle w:val="BoxText"/>
            </w:pPr>
            <w:r w:rsidRPr="00027624">
              <w:t>To rationalise the empirical findings requires the underlying theoretical framework to be expanded to accommodate other explanations of savings behaviour. This includes the role of compulsory superannuation as opposed to voluntary savings; the degree to which people have uncertainty or misperception regarding their future pension entitlement, and the drivers of asset portfolio allocation between assessable and non</w:t>
            </w:r>
            <w:r w:rsidR="00A8443E" w:rsidRPr="00027624">
              <w:noBreakHyphen/>
            </w:r>
            <w:r w:rsidRPr="00027624">
              <w:t>assessable assets. As such, it warrants further investigation to understand how the change in the assets test taper affects pre</w:t>
            </w:r>
            <w:r w:rsidR="00A8443E" w:rsidRPr="00027624">
              <w:noBreakHyphen/>
            </w:r>
            <w:r w:rsidRPr="00027624">
              <w:t>retirement savings.</w:t>
            </w:r>
          </w:p>
        </w:tc>
      </w:tr>
    </w:tbl>
    <w:p w14:paraId="37A3490C" w14:textId="77777777" w:rsidR="0088764D" w:rsidRPr="00027624" w:rsidRDefault="0088764D" w:rsidP="00E96B29">
      <w:pPr>
        <w:tabs>
          <w:tab w:val="left" w:pos="3200"/>
        </w:tabs>
        <w:sectPr w:rsidR="0088764D" w:rsidRPr="00027624" w:rsidSect="001B6C0B">
          <w:type w:val="oddPage"/>
          <w:pgSz w:w="11906" w:h="16838" w:code="9"/>
          <w:pgMar w:top="1418" w:right="1418" w:bottom="1418" w:left="1418" w:header="709" w:footer="709" w:gutter="0"/>
          <w:cols w:space="708"/>
          <w:titlePg/>
          <w:docGrid w:linePitch="360"/>
        </w:sectPr>
      </w:pPr>
    </w:p>
    <w:p w14:paraId="0E361386" w14:textId="77777777" w:rsidR="00E96B29" w:rsidRPr="00027624" w:rsidRDefault="00E96B29" w:rsidP="00E96B29">
      <w:pPr>
        <w:pStyle w:val="Heading1"/>
      </w:pPr>
      <w:bookmarkStart w:id="4361" w:name="_Toc45520573"/>
      <w:bookmarkStart w:id="4362" w:name="_Toc46133685"/>
      <w:r w:rsidRPr="00027624">
        <w:t>Supplementary equity charts</w:t>
      </w:r>
      <w:bookmarkEnd w:id="4352"/>
      <w:bookmarkEnd w:id="4353"/>
      <w:bookmarkEnd w:id="4361"/>
      <w:bookmarkEnd w:id="4362"/>
    </w:p>
    <w:p w14:paraId="4B97BE11" w14:textId="77777777" w:rsidR="00E96B29" w:rsidRPr="00027624" w:rsidRDefault="00E96B29" w:rsidP="00E96B29">
      <w:pPr>
        <w:pStyle w:val="Heading2"/>
      </w:pPr>
      <w:bookmarkStart w:id="4363" w:name="_Toc42703212"/>
      <w:bookmarkStart w:id="4364" w:name="_Toc42857773"/>
      <w:bookmarkStart w:id="4365" w:name="_Toc45520574"/>
      <w:bookmarkStart w:id="4366" w:name="_Toc46133686"/>
      <w:bookmarkStart w:id="4367" w:name="_Toc34906262"/>
      <w:r w:rsidRPr="00027624">
        <w:t>Income and wealth distribution</w:t>
      </w:r>
      <w:bookmarkEnd w:id="4363"/>
      <w:bookmarkEnd w:id="4364"/>
      <w:bookmarkEnd w:id="4365"/>
      <w:bookmarkEnd w:id="4366"/>
    </w:p>
    <w:p w14:paraId="17636978" w14:textId="77777777" w:rsidR="00E96B29" w:rsidRPr="00027624" w:rsidRDefault="00E96B29" w:rsidP="00E96B29">
      <w:pPr>
        <w:pStyle w:val="ChartMainHeading"/>
      </w:pPr>
      <w:bookmarkStart w:id="4368" w:name="_Ref45826413"/>
      <w:r w:rsidRPr="00027624">
        <w:t>Average weekly social transfers in kind per household, by state and territory</w:t>
      </w:r>
      <w:bookmarkEnd w:id="4368"/>
    </w:p>
    <w:p w14:paraId="5BD1EB85" w14:textId="77777777" w:rsidR="00E96B29" w:rsidRPr="00027624" w:rsidRDefault="00D33912" w:rsidP="002D653B">
      <w:pPr>
        <w:pStyle w:val="ChartGraphic"/>
      </w:pPr>
      <w:r>
        <w:rPr>
          <w:noProof/>
        </w:rPr>
        <w:drawing>
          <wp:inline distT="0" distB="0" distL="0" distR="0" wp14:anchorId="096DBCA8" wp14:editId="51EB2B28">
            <wp:extent cx="5577840" cy="2529840"/>
            <wp:effectExtent l="0" t="0" r="3810" b="3810"/>
            <wp:docPr id="232" name="Picture 232" descr="This chart shows that average weekly social transfers in kind, per household, differ by state and territory. For example, Victoria has the lowest social transfers in kind, under $250 per week on average, whereas the Northern Territory has the highest of all jurisdictions, at around $400 per week on average. The other states and territories have average weekly social transfers in kind per household of around $250-$300." title="Chart 6D-1  Average weekly social transfers in kind per household, by state and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577840" cy="2529840"/>
                    </a:xfrm>
                    <a:prstGeom prst="rect">
                      <a:avLst/>
                    </a:prstGeom>
                    <a:noFill/>
                  </pic:spPr>
                </pic:pic>
              </a:graphicData>
            </a:graphic>
          </wp:inline>
        </w:drawing>
      </w:r>
    </w:p>
    <w:p w14:paraId="1F453FBC" w14:textId="77777777" w:rsidR="00E96B29" w:rsidRPr="00027624" w:rsidRDefault="00E96B29" w:rsidP="002D653B">
      <w:pPr>
        <w:pStyle w:val="ChartorTableNote"/>
        <w:rPr>
          <w:rFonts w:eastAsiaTheme="minorHAnsi"/>
          <w:lang w:eastAsia="en-US"/>
        </w:rPr>
      </w:pPr>
      <w:r w:rsidRPr="00027624">
        <w:t>Note: Uses 2015</w:t>
      </w:r>
      <w:r w:rsidR="00A8443E" w:rsidRPr="00027624">
        <w:noBreakHyphen/>
      </w:r>
      <w:r w:rsidRPr="00027624">
        <w:t xml:space="preserve">16 data. Uses </w:t>
      </w:r>
      <w:r w:rsidR="00A8443E" w:rsidRPr="00027624">
        <w:t>‘</w:t>
      </w:r>
      <w:r w:rsidRPr="00027624">
        <w:t>equivalised</w:t>
      </w:r>
      <w:r w:rsidR="00A8443E" w:rsidRPr="00027624">
        <w:t>’</w:t>
      </w:r>
      <w:r w:rsidRPr="00027624">
        <w:t xml:space="preserve"> social transfers in kind so results are not biased due to differences in the size of households. Source: </w:t>
      </w:r>
      <w:sdt>
        <w:sdtPr>
          <w:rPr>
            <w:rFonts w:eastAsiaTheme="minorHAnsi"/>
            <w:lang w:eastAsia="en-US"/>
          </w:rPr>
          <w:id w:val="-733855021"/>
          <w:citation/>
        </w:sdtPr>
        <w:sdtEndPr/>
        <w:sdtContent>
          <w:r w:rsidRPr="00027624">
            <w:rPr>
              <w:rFonts w:eastAsiaTheme="minorHAnsi"/>
              <w:lang w:eastAsia="en-US"/>
            </w:rPr>
            <w:fldChar w:fldCharType="begin"/>
          </w:r>
          <w:r w:rsidRPr="00027624">
            <w:rPr>
              <w:rFonts w:eastAsiaTheme="minorHAnsi"/>
              <w:lang w:eastAsia="en-US"/>
            </w:rPr>
            <w:instrText xml:space="preserve"> CITATION ABS18 \l 3081 </w:instrText>
          </w:r>
          <w:r w:rsidRPr="00027624">
            <w:rPr>
              <w:rFonts w:eastAsiaTheme="minorHAnsi"/>
              <w:lang w:eastAsia="en-US"/>
            </w:rPr>
            <w:fldChar w:fldCharType="separate"/>
          </w:r>
          <w:r w:rsidR="00E83F6E" w:rsidRPr="00E83F6E">
            <w:rPr>
              <w:rFonts w:eastAsiaTheme="minorHAnsi"/>
              <w:noProof/>
              <w:lang w:eastAsia="en-US"/>
            </w:rPr>
            <w:t>(ABS, 2018c)</w:t>
          </w:r>
          <w:r w:rsidRPr="00027624">
            <w:rPr>
              <w:rFonts w:eastAsiaTheme="minorHAnsi"/>
              <w:lang w:eastAsia="en-US"/>
            </w:rPr>
            <w:fldChar w:fldCharType="end"/>
          </w:r>
        </w:sdtContent>
      </w:sdt>
      <w:r w:rsidRPr="00027624">
        <w:rPr>
          <w:rFonts w:eastAsiaTheme="minorHAnsi"/>
          <w:lang w:eastAsia="en-US"/>
        </w:rPr>
        <w:t>.</w:t>
      </w:r>
    </w:p>
    <w:p w14:paraId="3EAAD0C9" w14:textId="77777777" w:rsidR="00E96B29" w:rsidRPr="00027624" w:rsidRDefault="00E96B29" w:rsidP="00E96B29">
      <w:pPr>
        <w:pStyle w:val="Heading2"/>
        <w:keepNext w:val="0"/>
      </w:pPr>
      <w:bookmarkStart w:id="4369" w:name="_Toc31720352"/>
      <w:bookmarkStart w:id="4370" w:name="_Toc42703213"/>
      <w:bookmarkStart w:id="4371" w:name="_Toc42857774"/>
      <w:bookmarkStart w:id="4372" w:name="_Toc45520575"/>
      <w:bookmarkStart w:id="4373" w:name="_Toc46133687"/>
      <w:r w:rsidRPr="00027624">
        <w:rPr>
          <w:rStyle w:val="Heading3Char"/>
          <w:b/>
          <w:color w:val="604878" w:themeColor="accent3"/>
          <w:sz w:val="36"/>
          <w:szCs w:val="28"/>
        </w:rPr>
        <w:t>Gender and partnered status</w:t>
      </w:r>
      <w:bookmarkEnd w:id="4369"/>
      <w:bookmarkEnd w:id="4370"/>
      <w:bookmarkEnd w:id="4371"/>
      <w:bookmarkEnd w:id="4372"/>
      <w:bookmarkEnd w:id="4373"/>
    </w:p>
    <w:p w14:paraId="3A187F6B" w14:textId="77777777" w:rsidR="00E96B29" w:rsidRPr="00027624" w:rsidRDefault="00E96B29" w:rsidP="00E96B29">
      <w:pPr>
        <w:pStyle w:val="Heading3"/>
        <w:keepNext w:val="0"/>
      </w:pPr>
      <w:r w:rsidRPr="00027624">
        <w:t>Cameo modelling of factors in working life that drive gender gaps</w:t>
      </w:r>
    </w:p>
    <w:p w14:paraId="58DD01E3" w14:textId="77777777" w:rsidR="00E96B29" w:rsidRPr="00027624" w:rsidRDefault="00E96B29" w:rsidP="00E96B29">
      <w:pPr>
        <w:pStyle w:val="ChartMainHeading"/>
        <w:keepNext w:val="0"/>
      </w:pPr>
      <w:bookmarkStart w:id="4374" w:name="_Ref45888402"/>
      <w:r w:rsidRPr="00027624">
        <w:t>Factors affecting how the gender earnings gap translates into a gender gap in superannuation balances at retirement</w:t>
      </w:r>
      <w:bookmarkEnd w:id="4374"/>
    </w:p>
    <w:p w14:paraId="319E4F63" w14:textId="77777777" w:rsidR="00E96B29" w:rsidRPr="00027624" w:rsidRDefault="00E96B29" w:rsidP="00E96B29">
      <w:pPr>
        <w:pStyle w:val="ChartSecondHeading"/>
        <w:keepNext w:val="0"/>
      </w:pPr>
      <w:r w:rsidRPr="00027624">
        <w:t>10</w:t>
      </w:r>
      <w:r w:rsidRPr="00027624">
        <w:rPr>
          <w:vertAlign w:val="superscript"/>
        </w:rPr>
        <w:t>th</w:t>
      </w:r>
      <w:r w:rsidRPr="00027624">
        <w:t xml:space="preserve"> income percentile</w:t>
      </w:r>
    </w:p>
    <w:p w14:paraId="21584E5A" w14:textId="77777777" w:rsidR="00E96B29" w:rsidRPr="00027624" w:rsidRDefault="00D33912" w:rsidP="00E96B29">
      <w:pPr>
        <w:pStyle w:val="ChartGraphic"/>
        <w:keepNext w:val="0"/>
      </w:pPr>
      <w:r>
        <w:rPr>
          <w:noProof/>
        </w:rPr>
        <w:drawing>
          <wp:inline distT="0" distB="0" distL="0" distR="0" wp14:anchorId="45E38B3A" wp14:editId="456106EA">
            <wp:extent cx="5600700" cy="2522220"/>
            <wp:effectExtent l="0" t="0" r="0" b="0"/>
            <wp:docPr id="233" name="Picture 233" descr="These charts show how the gender earnings gap translates into a gender gap in superannuation balances at retirement for the 10th, 30th, 50th, 70th and 90th income percentiles. Factors that decrease the gap include the low income superannuation tax offset for lower-income earners and the Division 293 tax for higher-income earners. Other factors that have a bearing on the gap include salary sacrifice, compounding, fees and insurance, and the interaction between the factors.&#10;Collectively, these factors work to reduce the gap in superannuation balances at retirement at the 10th, 30th and 90th income percentiles, but increase the gap at the 50th and 70th income percentiles.&#10;" title="Chart 6D-2 Factors affecting how the gender earnings gap translates into a gender gap in superannuation balances at retir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00700" cy="2522220"/>
                    </a:xfrm>
                    <a:prstGeom prst="rect">
                      <a:avLst/>
                    </a:prstGeom>
                    <a:noFill/>
                  </pic:spPr>
                </pic:pic>
              </a:graphicData>
            </a:graphic>
          </wp:inline>
        </w:drawing>
      </w:r>
    </w:p>
    <w:p w14:paraId="53C28DD0" w14:textId="77777777" w:rsidR="00E96B29" w:rsidRPr="00027624" w:rsidRDefault="00E96B29" w:rsidP="00E96B29">
      <w:pPr>
        <w:pStyle w:val="ChartSecondHeading"/>
      </w:pPr>
      <w:r w:rsidRPr="00027624">
        <w:t>30</w:t>
      </w:r>
      <w:r w:rsidRPr="00027624">
        <w:rPr>
          <w:vertAlign w:val="superscript"/>
        </w:rPr>
        <w:t>th</w:t>
      </w:r>
      <w:r w:rsidRPr="00027624">
        <w:t xml:space="preserve"> income percentile</w:t>
      </w:r>
    </w:p>
    <w:p w14:paraId="69C74A76" w14:textId="77777777" w:rsidR="00E96B29" w:rsidRPr="00027624" w:rsidRDefault="00D33912" w:rsidP="00E96B29">
      <w:pPr>
        <w:pStyle w:val="ChartGraphic"/>
      </w:pPr>
      <w:r>
        <w:rPr>
          <w:noProof/>
        </w:rPr>
        <w:drawing>
          <wp:inline distT="0" distB="0" distL="0" distR="0" wp14:anchorId="3653067E" wp14:editId="2A2CCE31">
            <wp:extent cx="5600700" cy="252222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600700" cy="2522220"/>
                    </a:xfrm>
                    <a:prstGeom prst="rect">
                      <a:avLst/>
                    </a:prstGeom>
                    <a:noFill/>
                  </pic:spPr>
                </pic:pic>
              </a:graphicData>
            </a:graphic>
          </wp:inline>
        </w:drawing>
      </w:r>
    </w:p>
    <w:p w14:paraId="1D809245" w14:textId="77777777" w:rsidR="00E96B29" w:rsidRPr="00027624" w:rsidRDefault="00E96B29" w:rsidP="00E96B29">
      <w:pPr>
        <w:pStyle w:val="ChartSecondHeading"/>
      </w:pPr>
      <w:r w:rsidRPr="00027624">
        <w:t>50</w:t>
      </w:r>
      <w:r w:rsidRPr="00027624">
        <w:rPr>
          <w:vertAlign w:val="superscript"/>
        </w:rPr>
        <w:t>th</w:t>
      </w:r>
      <w:r w:rsidRPr="00027624">
        <w:t xml:space="preserve"> income percentile</w:t>
      </w:r>
    </w:p>
    <w:p w14:paraId="68782F24" w14:textId="77777777" w:rsidR="00E96B29" w:rsidRPr="00027624" w:rsidRDefault="00D33912" w:rsidP="00E96B29">
      <w:pPr>
        <w:pStyle w:val="ChartGraphic"/>
      </w:pPr>
      <w:r>
        <w:rPr>
          <w:noProof/>
        </w:rPr>
        <w:drawing>
          <wp:inline distT="0" distB="0" distL="0" distR="0" wp14:anchorId="13EEED0B" wp14:editId="50087E29">
            <wp:extent cx="5600700" cy="252222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00700" cy="2522220"/>
                    </a:xfrm>
                    <a:prstGeom prst="rect">
                      <a:avLst/>
                    </a:prstGeom>
                    <a:noFill/>
                  </pic:spPr>
                </pic:pic>
              </a:graphicData>
            </a:graphic>
          </wp:inline>
        </w:drawing>
      </w:r>
    </w:p>
    <w:p w14:paraId="65B55C41" w14:textId="77777777" w:rsidR="00E96B29" w:rsidRPr="00027624" w:rsidRDefault="00E96B29" w:rsidP="00E96B29">
      <w:pPr>
        <w:pStyle w:val="ChartSecondHeading"/>
      </w:pPr>
      <w:r w:rsidRPr="00027624">
        <w:t>70</w:t>
      </w:r>
      <w:r w:rsidRPr="00027624">
        <w:rPr>
          <w:vertAlign w:val="superscript"/>
        </w:rPr>
        <w:t>th</w:t>
      </w:r>
      <w:r w:rsidRPr="00027624">
        <w:t xml:space="preserve"> income percentile</w:t>
      </w:r>
    </w:p>
    <w:p w14:paraId="79A12431" w14:textId="77777777" w:rsidR="00E96B29" w:rsidRDefault="00D33912" w:rsidP="00834694">
      <w:pPr>
        <w:pStyle w:val="ChartGraphic"/>
      </w:pPr>
      <w:r>
        <w:rPr>
          <w:noProof/>
        </w:rPr>
        <w:drawing>
          <wp:inline distT="0" distB="0" distL="0" distR="0" wp14:anchorId="70DCC974" wp14:editId="612949D2">
            <wp:extent cx="5600700" cy="252222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00700" cy="2522220"/>
                    </a:xfrm>
                    <a:prstGeom prst="rect">
                      <a:avLst/>
                    </a:prstGeom>
                    <a:noFill/>
                  </pic:spPr>
                </pic:pic>
              </a:graphicData>
            </a:graphic>
          </wp:inline>
        </w:drawing>
      </w:r>
    </w:p>
    <w:p w14:paraId="35F6724C" w14:textId="77777777" w:rsidR="002C64CC" w:rsidRPr="002C64CC" w:rsidRDefault="002C64CC" w:rsidP="00834694"/>
    <w:p w14:paraId="4A8BA93F" w14:textId="77777777" w:rsidR="00E96B29" w:rsidRPr="00027624" w:rsidRDefault="00E96B29" w:rsidP="002C64CC">
      <w:pPr>
        <w:pStyle w:val="ChartSecondHeading"/>
      </w:pPr>
      <w:r w:rsidRPr="00027624">
        <w:t>90</w:t>
      </w:r>
      <w:r w:rsidRPr="00027624">
        <w:rPr>
          <w:vertAlign w:val="superscript"/>
        </w:rPr>
        <w:t>th</w:t>
      </w:r>
      <w:r w:rsidRPr="00027624">
        <w:t xml:space="preserve"> </w:t>
      </w:r>
      <w:r w:rsidRPr="002C64CC">
        <w:t>income</w:t>
      </w:r>
      <w:r w:rsidRPr="00027624">
        <w:t xml:space="preserve"> percentile</w:t>
      </w:r>
    </w:p>
    <w:p w14:paraId="6AE8B558" w14:textId="77777777" w:rsidR="00E96B29" w:rsidRPr="00027624" w:rsidRDefault="00D33912" w:rsidP="002C64CC">
      <w:pPr>
        <w:pStyle w:val="ChartGraphic"/>
      </w:pPr>
      <w:r>
        <w:rPr>
          <w:noProof/>
        </w:rPr>
        <w:drawing>
          <wp:inline distT="0" distB="0" distL="0" distR="0" wp14:anchorId="0801DFAC" wp14:editId="4AEE8FEB">
            <wp:extent cx="5600700" cy="252222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600700" cy="2522220"/>
                    </a:xfrm>
                    <a:prstGeom prst="rect">
                      <a:avLst/>
                    </a:prstGeom>
                    <a:noFill/>
                  </pic:spPr>
                </pic:pic>
              </a:graphicData>
            </a:graphic>
          </wp:inline>
        </w:drawing>
      </w:r>
    </w:p>
    <w:p w14:paraId="7C81DA8A" w14:textId="77777777" w:rsidR="00E96B29" w:rsidRPr="00027624" w:rsidRDefault="00E96B29" w:rsidP="00834694">
      <w:pPr>
        <w:pStyle w:val="ChartorTableNote"/>
        <w:spacing w:before="60" w:after="120"/>
      </w:pPr>
      <w:r w:rsidRPr="00027624">
        <w:t xml:space="preserve">Note: Charts show the impact of removing individual factors on the gender gap in superannuation balances at retirement (e.g. comparing a world where the fees and insurance costs do not exist to standard gender cameo model specifications). </w:t>
      </w:r>
      <w:r w:rsidR="00A8443E" w:rsidRPr="00027624">
        <w:t>‘</w:t>
      </w:r>
      <w:r w:rsidRPr="00027624">
        <w:t>LISTO</w:t>
      </w:r>
      <w:r w:rsidR="00A8443E" w:rsidRPr="00027624">
        <w:t>’</w:t>
      </w:r>
      <w:r w:rsidRPr="00027624">
        <w:t xml:space="preserve"> is the low income superannuation tax offset. Removing all</w:t>
      </w:r>
      <w:r w:rsidRPr="00027624" w:rsidDel="00FA0ED6">
        <w:t xml:space="preserve"> </w:t>
      </w:r>
      <w:r w:rsidRPr="00027624">
        <w:t>the factors listed results in a gender gap in superannuation balances at retirement equal to the gender gap in working</w:t>
      </w:r>
      <w:r w:rsidR="00A8443E" w:rsidRPr="00027624">
        <w:noBreakHyphen/>
      </w:r>
      <w:r w:rsidRPr="00027624">
        <w:t xml:space="preserve">life earnings. </w:t>
      </w:r>
      <w:r w:rsidR="00A8443E" w:rsidRPr="00027624">
        <w:t>‘</w:t>
      </w:r>
      <w:r w:rsidRPr="00027624">
        <w:t>Compounding</w:t>
      </w:r>
      <w:r w:rsidR="00A8443E" w:rsidRPr="00027624">
        <w:t>’</w:t>
      </w:r>
      <w:r w:rsidRPr="00027624">
        <w:t xml:space="preserve"> isolates the impact of real investment returns on superannuation balance accumulation during working life. The </w:t>
      </w:r>
      <w:r w:rsidR="00A8443E" w:rsidRPr="00027624">
        <w:t>‘</w:t>
      </w:r>
      <w:r w:rsidRPr="00027624">
        <w:t>interaction</w:t>
      </w:r>
      <w:r w:rsidR="00A8443E" w:rsidRPr="00027624">
        <w:t>’</w:t>
      </w:r>
      <w:r w:rsidRPr="00027624">
        <w:t xml:space="preserve"> field indicates the impact of the interaction between elements (e.g. the interaction between removing fees and compounding returns, which is not captured in removing only fees or only compounding returns). This analysis does not include voluntary contributions other than salary sacrifice. Including these contributions would likely reduce the gender gap in superannuation balances at retirement. Calculations are based on values deflated using the review</w:t>
      </w:r>
      <w:r w:rsidR="00A8443E" w:rsidRPr="00027624">
        <w:t>’</w:t>
      </w:r>
      <w:r w:rsidRPr="00027624">
        <w:t>s mixed deflator. Source: Cameo modelling undertaken for the review.</w:t>
      </w:r>
    </w:p>
    <w:p w14:paraId="1CA9DDCA" w14:textId="77777777" w:rsidR="00E96B29" w:rsidRPr="00027624" w:rsidRDefault="00E96B29" w:rsidP="00834694">
      <w:pPr>
        <w:pStyle w:val="Heading3"/>
        <w:keepNext w:val="0"/>
        <w:spacing w:before="120"/>
      </w:pPr>
      <w:r w:rsidRPr="00027624">
        <w:t>Cameo modelling of factors in retirement that drive gender gaps</w:t>
      </w:r>
    </w:p>
    <w:p w14:paraId="3BAE5963" w14:textId="77777777" w:rsidR="00E96B29" w:rsidRPr="00027624" w:rsidRDefault="00E96B29" w:rsidP="00834694">
      <w:pPr>
        <w:pStyle w:val="ChartMainHeading"/>
      </w:pPr>
      <w:r w:rsidRPr="00027624">
        <w:t xml:space="preserve">Factors that affect how </w:t>
      </w:r>
      <w:r w:rsidRPr="00834694">
        <w:t>the</w:t>
      </w:r>
      <w:r w:rsidRPr="00027624">
        <w:t xml:space="preserve"> gender gap in superannuation balances at retirement translates into the gender gap in retirement incomes</w:t>
      </w:r>
    </w:p>
    <w:p w14:paraId="2AA7FDFD" w14:textId="77777777" w:rsidR="00E96B29" w:rsidRPr="00027624" w:rsidRDefault="00E96B29" w:rsidP="00834694">
      <w:pPr>
        <w:pStyle w:val="ChartSecondHeading"/>
      </w:pPr>
      <w:r w:rsidRPr="00027624">
        <w:t>10</w:t>
      </w:r>
      <w:r w:rsidRPr="00027624">
        <w:rPr>
          <w:vertAlign w:val="superscript"/>
        </w:rPr>
        <w:t>th</w:t>
      </w:r>
      <w:r w:rsidRPr="00027624">
        <w:t xml:space="preserve"> income percentile</w:t>
      </w:r>
    </w:p>
    <w:p w14:paraId="09C79048" w14:textId="77777777" w:rsidR="00E96B29" w:rsidRPr="00027624" w:rsidRDefault="00D33912" w:rsidP="00C11F4E">
      <w:pPr>
        <w:pStyle w:val="ChartGraphic"/>
      </w:pPr>
      <w:r>
        <w:rPr>
          <w:noProof/>
        </w:rPr>
        <w:drawing>
          <wp:inline distT="0" distB="0" distL="0" distR="0" wp14:anchorId="3D13FA52" wp14:editId="4276EE5C">
            <wp:extent cx="5608320" cy="2522220"/>
            <wp:effectExtent l="0" t="0" r="0" b="0"/>
            <wp:docPr id="250" name="Picture 250" descr="These charts show how the gender gap in superannuation balances at retirement translates into a gender gap in retirement incomes for the 10th, 30th, 50th, 70th and 90th income percentiles. Factors that decrease the gap include Age Pension and fees, and for the 90th percentile the transfer balance cap. Factors that increase the gap are life expectancy and compounding. Factors that have mixed effects depending on the income percentile are private savings and the interaction between the factors. Collectively, these factors work to reduce the gender gap in retirement incomes for each of these income percentiles." title="Chart 6D-3 Factors that affect how the gender gap in superannuation balances at retirement translates into the gender gap in retirement in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608320" cy="2522220"/>
                    </a:xfrm>
                    <a:prstGeom prst="rect">
                      <a:avLst/>
                    </a:prstGeom>
                    <a:noFill/>
                  </pic:spPr>
                </pic:pic>
              </a:graphicData>
            </a:graphic>
          </wp:inline>
        </w:drawing>
      </w:r>
    </w:p>
    <w:p w14:paraId="47F6C491" w14:textId="77777777" w:rsidR="00E96B29" w:rsidRPr="00027624" w:rsidRDefault="00E96B29" w:rsidP="00834694"/>
    <w:p w14:paraId="60DFC12C" w14:textId="77777777" w:rsidR="00E96B29" w:rsidRPr="00027624" w:rsidRDefault="00E96B29" w:rsidP="00E96B29">
      <w:pPr>
        <w:pStyle w:val="ChartSecondHeading"/>
      </w:pPr>
      <w:r w:rsidRPr="00027624">
        <w:t>30</w:t>
      </w:r>
      <w:r w:rsidRPr="00027624">
        <w:rPr>
          <w:vertAlign w:val="superscript"/>
        </w:rPr>
        <w:t>th</w:t>
      </w:r>
      <w:r w:rsidRPr="00027624">
        <w:t xml:space="preserve"> income percentile</w:t>
      </w:r>
    </w:p>
    <w:p w14:paraId="03028E4E" w14:textId="77777777" w:rsidR="00E96B29" w:rsidRPr="00027624" w:rsidRDefault="00D33912" w:rsidP="002D653B">
      <w:pPr>
        <w:pStyle w:val="ChartGraphic"/>
      </w:pPr>
      <w:r>
        <w:rPr>
          <w:noProof/>
        </w:rPr>
        <w:drawing>
          <wp:inline distT="0" distB="0" distL="0" distR="0" wp14:anchorId="67A31FB4" wp14:editId="780425E3">
            <wp:extent cx="5608320" cy="25222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608320" cy="2522220"/>
                    </a:xfrm>
                    <a:prstGeom prst="rect">
                      <a:avLst/>
                    </a:prstGeom>
                    <a:noFill/>
                  </pic:spPr>
                </pic:pic>
              </a:graphicData>
            </a:graphic>
          </wp:inline>
        </w:drawing>
      </w:r>
    </w:p>
    <w:p w14:paraId="1419E73C" w14:textId="77777777" w:rsidR="00E96B29" w:rsidRPr="00027624" w:rsidRDefault="00E96B29" w:rsidP="00E96B29">
      <w:pPr>
        <w:pStyle w:val="ChartSecondHeading"/>
      </w:pPr>
      <w:r w:rsidRPr="00027624">
        <w:t>50</w:t>
      </w:r>
      <w:r w:rsidRPr="00027624">
        <w:rPr>
          <w:vertAlign w:val="superscript"/>
        </w:rPr>
        <w:t>th</w:t>
      </w:r>
      <w:r w:rsidRPr="00027624">
        <w:t xml:space="preserve"> income percentile</w:t>
      </w:r>
    </w:p>
    <w:p w14:paraId="40C8924F" w14:textId="77777777" w:rsidR="00E96B29" w:rsidRPr="00027624" w:rsidRDefault="00D33912" w:rsidP="002D653B">
      <w:pPr>
        <w:pStyle w:val="ChartGraphic"/>
      </w:pPr>
      <w:r>
        <w:rPr>
          <w:noProof/>
        </w:rPr>
        <w:drawing>
          <wp:inline distT="0" distB="0" distL="0" distR="0" wp14:anchorId="522E6C13" wp14:editId="59F5036C">
            <wp:extent cx="5608320" cy="252222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08320" cy="2522220"/>
                    </a:xfrm>
                    <a:prstGeom prst="rect">
                      <a:avLst/>
                    </a:prstGeom>
                    <a:noFill/>
                  </pic:spPr>
                </pic:pic>
              </a:graphicData>
            </a:graphic>
          </wp:inline>
        </w:drawing>
      </w:r>
    </w:p>
    <w:p w14:paraId="69A1C34D" w14:textId="77777777" w:rsidR="00E96B29" w:rsidRPr="00027624" w:rsidRDefault="00E96B29" w:rsidP="008A4290">
      <w:pPr>
        <w:pStyle w:val="ChartSecondHeading"/>
      </w:pPr>
      <w:r w:rsidRPr="00027624">
        <w:t>70</w:t>
      </w:r>
      <w:r w:rsidRPr="00027624">
        <w:rPr>
          <w:vertAlign w:val="superscript"/>
        </w:rPr>
        <w:t>th</w:t>
      </w:r>
      <w:r w:rsidRPr="00027624">
        <w:t xml:space="preserve"> income percentile</w:t>
      </w:r>
    </w:p>
    <w:p w14:paraId="7DCE62AC" w14:textId="77777777" w:rsidR="00E96B29" w:rsidRPr="00027624" w:rsidRDefault="00D33912" w:rsidP="002D653B">
      <w:pPr>
        <w:pStyle w:val="ChartGraphic"/>
      </w:pPr>
      <w:r>
        <w:rPr>
          <w:noProof/>
        </w:rPr>
        <w:drawing>
          <wp:inline distT="0" distB="0" distL="0" distR="0" wp14:anchorId="27911D01" wp14:editId="05126FE1">
            <wp:extent cx="5608320" cy="252222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608320" cy="2522220"/>
                    </a:xfrm>
                    <a:prstGeom prst="rect">
                      <a:avLst/>
                    </a:prstGeom>
                    <a:noFill/>
                  </pic:spPr>
                </pic:pic>
              </a:graphicData>
            </a:graphic>
          </wp:inline>
        </w:drawing>
      </w:r>
    </w:p>
    <w:p w14:paraId="71AC4A6E" w14:textId="77777777" w:rsidR="00E96B29" w:rsidRPr="00027624" w:rsidRDefault="00E96B29" w:rsidP="00834694"/>
    <w:p w14:paraId="79B0582A" w14:textId="77777777" w:rsidR="00E96B29" w:rsidRPr="00027624" w:rsidRDefault="00E96B29" w:rsidP="008A4290">
      <w:pPr>
        <w:pStyle w:val="ChartSecondHeading"/>
      </w:pPr>
      <w:r w:rsidRPr="00027624">
        <w:t>90</w:t>
      </w:r>
      <w:r w:rsidRPr="00027624">
        <w:rPr>
          <w:vertAlign w:val="superscript"/>
        </w:rPr>
        <w:t>th</w:t>
      </w:r>
      <w:r w:rsidRPr="00027624">
        <w:t xml:space="preserve"> income percentile</w:t>
      </w:r>
    </w:p>
    <w:p w14:paraId="7D334D59" w14:textId="77777777" w:rsidR="00E96B29" w:rsidRPr="00027624" w:rsidRDefault="00D33912" w:rsidP="008A4290">
      <w:pPr>
        <w:pStyle w:val="ChartGraphic"/>
      </w:pPr>
      <w:r>
        <w:rPr>
          <w:noProof/>
        </w:rPr>
        <w:drawing>
          <wp:inline distT="0" distB="0" distL="0" distR="0" wp14:anchorId="2F5ACD47" wp14:editId="4981DBA8">
            <wp:extent cx="5608320" cy="252222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08320" cy="2522220"/>
                    </a:xfrm>
                    <a:prstGeom prst="rect">
                      <a:avLst/>
                    </a:prstGeom>
                    <a:noFill/>
                  </pic:spPr>
                </pic:pic>
              </a:graphicData>
            </a:graphic>
          </wp:inline>
        </w:drawing>
      </w:r>
    </w:p>
    <w:p w14:paraId="342B468B" w14:textId="5B12EBFF" w:rsidR="00E96B29" w:rsidRPr="00027624" w:rsidRDefault="00E96B29" w:rsidP="00834694">
      <w:pPr>
        <w:pStyle w:val="ChartorTableNote"/>
        <w:spacing w:after="120"/>
      </w:pPr>
      <w:r w:rsidRPr="00027624">
        <w:t xml:space="preserve">Note: Charts show the impact of removing individual factors on the gender gap in retirement incomes (e.g. comparing a world where the fees in retirement do not exist to standard gender cameo model specifications). </w:t>
      </w:r>
      <w:r w:rsidR="00A8443E" w:rsidRPr="00027624">
        <w:t>‘</w:t>
      </w:r>
      <w:r w:rsidRPr="00027624">
        <w:t>TBC</w:t>
      </w:r>
      <w:r w:rsidR="00A8443E" w:rsidRPr="00027624">
        <w:t>’</w:t>
      </w:r>
      <w:r w:rsidRPr="00027624">
        <w:t xml:space="preserve"> is the </w:t>
      </w:r>
      <w:r w:rsidR="00026BF2" w:rsidRPr="00027624">
        <w:t>transfer balance cap</w:t>
      </w:r>
      <w:r w:rsidRPr="00027624">
        <w:t>. Removing all</w:t>
      </w:r>
      <w:r w:rsidRPr="00027624" w:rsidDel="00FA0ED6">
        <w:t xml:space="preserve"> </w:t>
      </w:r>
      <w:r w:rsidRPr="00027624">
        <w:t xml:space="preserve">the factors listed results in a gender gap in retirement incomes equal to the gender gap in superannuation balances at retirement. </w:t>
      </w:r>
      <w:r w:rsidR="00A8443E" w:rsidRPr="00027624">
        <w:t>‘</w:t>
      </w:r>
      <w:r w:rsidRPr="00027624">
        <w:t>Compounding</w:t>
      </w:r>
      <w:r w:rsidR="00A8443E" w:rsidRPr="00027624">
        <w:t>’</w:t>
      </w:r>
      <w:r w:rsidRPr="00027624">
        <w:t xml:space="preserve"> isolates the impact of real investment returns on superannuation balance during retirement. </w:t>
      </w:r>
      <w:r w:rsidR="00A8443E" w:rsidRPr="00027624">
        <w:t>‘</w:t>
      </w:r>
      <w:r w:rsidRPr="00027624">
        <w:t>Life expectancy</w:t>
      </w:r>
      <w:r w:rsidR="00A8443E" w:rsidRPr="00027624">
        <w:t>’</w:t>
      </w:r>
      <w:r w:rsidRPr="00027624">
        <w:t xml:space="preserve"> isolates the effect of different life expectancies for men and women on retirement income by assuming both genders have the same life expectancy of 92. </w:t>
      </w:r>
      <w:r w:rsidR="00A8443E" w:rsidRPr="00027624">
        <w:t>‘</w:t>
      </w:r>
      <w:r w:rsidRPr="00027624">
        <w:t>Private savings</w:t>
      </w:r>
      <w:r w:rsidR="00A8443E" w:rsidRPr="00027624">
        <w:t>’</w:t>
      </w:r>
      <w:r w:rsidRPr="00027624">
        <w:t xml:space="preserve"> refers to non</w:t>
      </w:r>
      <w:r w:rsidR="00A8443E" w:rsidRPr="00027624">
        <w:noBreakHyphen/>
      </w:r>
      <w:r w:rsidRPr="00027624">
        <w:t xml:space="preserve">superannuation wealth. The </w:t>
      </w:r>
      <w:r w:rsidR="00A8443E" w:rsidRPr="00027624">
        <w:t>‘</w:t>
      </w:r>
      <w:r w:rsidRPr="00027624">
        <w:t>interaction</w:t>
      </w:r>
      <w:r w:rsidR="00A8443E" w:rsidRPr="00027624">
        <w:t>’</w:t>
      </w:r>
      <w:r w:rsidRPr="00027624">
        <w:t xml:space="preserve"> field indicates the impact of the interaction between elements (e.g. the interaction between removing fees and compounding returns, which is not captured in removing only fees or only compounding returns). The interaction field is larger in these charts than in </w:t>
      </w:r>
      <w:r w:rsidR="00C63F48">
        <w:fldChar w:fldCharType="begin"/>
      </w:r>
      <w:r w:rsidR="00C63F48">
        <w:instrText xml:space="preserve"> REF _Ref45888402 \r \h </w:instrText>
      </w:r>
      <w:r w:rsidR="00C63F48">
        <w:fldChar w:fldCharType="separate"/>
      </w:r>
      <w:r w:rsidR="00891058">
        <w:t>Chart 6D-2</w:t>
      </w:r>
      <w:r w:rsidR="00C63F48">
        <w:fldChar w:fldCharType="end"/>
      </w:r>
      <w:r w:rsidRPr="00027624">
        <w:t xml:space="preserve">, given the significant interaction each factor has with </w:t>
      </w:r>
      <w:r w:rsidRPr="00027624" w:rsidDel="0068007C">
        <w:t>Age</w:t>
      </w:r>
      <w:r w:rsidRPr="00027624">
        <w:t> Pension receipt. This analysis does not include voluntary contributions other than salary sacrifice. Including these contributions would likely reduce the gender gap in superannuation balances at retirement. Calculations are based on values deflated using the review</w:t>
      </w:r>
      <w:r w:rsidR="00A8443E" w:rsidRPr="00027624">
        <w:t>’</w:t>
      </w:r>
      <w:r w:rsidRPr="00027624">
        <w:t>s mixed deflator. Source: Cameo modelling undertaken for the review.</w:t>
      </w:r>
    </w:p>
    <w:p w14:paraId="7B3E1C08" w14:textId="77777777" w:rsidR="00E96B29" w:rsidRPr="00027624" w:rsidRDefault="00E96B29" w:rsidP="00834694">
      <w:pPr>
        <w:pStyle w:val="Heading3"/>
        <w:spacing w:before="120"/>
      </w:pPr>
      <w:r w:rsidRPr="00027624">
        <w:t>Gender gap in superannuation balances</w:t>
      </w:r>
    </w:p>
    <w:p w14:paraId="18C6616F" w14:textId="77777777" w:rsidR="00E96B29" w:rsidRPr="00027624" w:rsidRDefault="00E96B29" w:rsidP="00E96B29">
      <w:pPr>
        <w:pStyle w:val="ChartMainHeading"/>
      </w:pPr>
      <w:r w:rsidRPr="00027624">
        <w:t>Gender gap in average superannuation balances, by balance decile and age, 2012</w:t>
      </w:r>
      <w:r w:rsidR="00A8443E" w:rsidRPr="00027624">
        <w:noBreakHyphen/>
      </w:r>
      <w:r w:rsidRPr="00027624">
        <w:t>13 to 2016</w:t>
      </w:r>
      <w:r w:rsidR="00A8443E" w:rsidRPr="00027624">
        <w:noBreakHyphen/>
      </w:r>
      <w:r w:rsidRPr="00027624">
        <w:t>17</w:t>
      </w:r>
    </w:p>
    <w:p w14:paraId="0D94A2FD" w14:textId="77777777" w:rsidR="00E96B29" w:rsidRPr="00027624" w:rsidRDefault="009D307A" w:rsidP="008A4290">
      <w:pPr>
        <w:pStyle w:val="ChartGraphic"/>
      </w:pPr>
      <w:r>
        <w:rPr>
          <w:noProof/>
        </w:rPr>
        <w:drawing>
          <wp:inline distT="0" distB="0" distL="0" distR="0" wp14:anchorId="15D4A515" wp14:editId="19CDE36F">
            <wp:extent cx="5526000" cy="2498400"/>
            <wp:effectExtent l="0" t="0" r="0" b="0"/>
            <wp:docPr id="2050622944" name="Picture 2050622944" descr="This chart shows the results of tracking cohorts at different ages (between 40 and 69) and superannuation balance deciles from 2012-13 to 2016-17. It shows the gender gap in superannuation balances tended to decline. The decline in the gender gap in average superannuation balances over the five year period was greater for those in lower balance deciles and at older ages. A negative gap, where women’s balances were higher than men’s, is seen for those in decile 3, in their mid-to-late 60s." title="Chart 6D-4 Gender gap in average superannuation balances, by balance decile and age, 2012 13 to 2016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526000" cy="2498400"/>
                    </a:xfrm>
                    <a:prstGeom prst="rect">
                      <a:avLst/>
                    </a:prstGeom>
                    <a:noFill/>
                  </pic:spPr>
                </pic:pic>
              </a:graphicData>
            </a:graphic>
          </wp:inline>
        </w:drawing>
      </w:r>
    </w:p>
    <w:p w14:paraId="1A3D7836" w14:textId="77777777" w:rsidR="00E96B29" w:rsidRPr="00027624" w:rsidRDefault="00E96B29" w:rsidP="008A4290">
      <w:pPr>
        <w:pStyle w:val="ChartorTableNote"/>
      </w:pPr>
      <w:r w:rsidRPr="00027624">
        <w:t>Note: Men and women aged 40, 45, 50, 55, 60, and 65 at 30 June 2013 were sorted into gender</w:t>
      </w:r>
      <w:r w:rsidR="00A8443E" w:rsidRPr="00027624">
        <w:noBreakHyphen/>
      </w:r>
      <w:r w:rsidRPr="00027624">
        <w:t>based deciles based on their superannuation balance and age (those with zero balances were excluded). Their balances were then tracked over the following four years to 2016</w:t>
      </w:r>
      <w:r w:rsidR="00A8443E" w:rsidRPr="00027624">
        <w:noBreakHyphen/>
      </w:r>
      <w:r w:rsidRPr="00027624">
        <w:t xml:space="preserve">17. The chart compares the average balance for each male decile with the average balance for each female decile in each year (e.g. comparing men aged 40 in the third balance decile for men, with women aged 40 in the third balance decile for women). Those whose balances reduced to zero in later years are included in the average calculation. A </w:t>
      </w:r>
      <w:r w:rsidR="00A8443E" w:rsidRPr="00027624">
        <w:t>‘</w:t>
      </w:r>
      <w:r w:rsidRPr="00027624">
        <w:t>negative gap</w:t>
      </w:r>
      <w:r w:rsidR="00A8443E" w:rsidRPr="00027624">
        <w:t>’</w:t>
      </w:r>
      <w:r w:rsidRPr="00027624">
        <w:t xml:space="preserve"> means that women have higher average superannuation balances than men for that cohort at that age. Calculations of gender gaps are based on nominal superannuation balances from 2012</w:t>
      </w:r>
      <w:r w:rsidR="00A8443E" w:rsidRPr="00027624">
        <w:noBreakHyphen/>
      </w:r>
      <w:r w:rsidRPr="00027624">
        <w:t>13 to 2016</w:t>
      </w:r>
      <w:r w:rsidR="00A8443E" w:rsidRPr="00027624">
        <w:noBreakHyphen/>
      </w:r>
      <w:r w:rsidRPr="00027624">
        <w:t>17. Source: Data provided by the ATO for the review.</w:t>
      </w:r>
    </w:p>
    <w:p w14:paraId="43398137" w14:textId="77777777" w:rsidR="00E96B29" w:rsidRPr="00027624" w:rsidRDefault="00E96B29" w:rsidP="00E96B29">
      <w:pPr>
        <w:pStyle w:val="ChartMainHeading"/>
      </w:pPr>
      <w:r w:rsidRPr="00027624">
        <w:t>Gender gap in average superannuation balances, by balance decile, age, partnered status, and partner</w:t>
      </w:r>
      <w:r w:rsidR="00A8443E" w:rsidRPr="00027624">
        <w:t>’</w:t>
      </w:r>
      <w:r w:rsidRPr="00027624">
        <w:t>s balance decile, 2012</w:t>
      </w:r>
      <w:r w:rsidR="00A8443E" w:rsidRPr="00027624">
        <w:noBreakHyphen/>
      </w:r>
      <w:r w:rsidRPr="00027624">
        <w:t>13 to 2016</w:t>
      </w:r>
      <w:r w:rsidR="00A8443E" w:rsidRPr="00027624">
        <w:noBreakHyphen/>
      </w:r>
      <w:r w:rsidRPr="00027624">
        <w:t>17</w:t>
      </w:r>
    </w:p>
    <w:tbl>
      <w:tblPr>
        <w:tblStyle w:val="TableGrid"/>
        <w:tblW w:w="0" w:type="auto"/>
        <w:tblLook w:val="04A0" w:firstRow="1" w:lastRow="0" w:firstColumn="1" w:lastColumn="0" w:noHBand="0" w:noVBand="1"/>
      </w:tblPr>
      <w:tblGrid>
        <w:gridCol w:w="4535"/>
        <w:gridCol w:w="4535"/>
      </w:tblGrid>
      <w:tr w:rsidR="00E96B29" w:rsidRPr="00027624" w14:paraId="7654DC94" w14:textId="77777777" w:rsidTr="00E96B29">
        <w:tc>
          <w:tcPr>
            <w:tcW w:w="4536" w:type="dxa"/>
            <w:shd w:val="clear" w:color="auto" w:fill="auto"/>
          </w:tcPr>
          <w:p w14:paraId="101EED68" w14:textId="77777777" w:rsidR="00E96B29" w:rsidRPr="00027624" w:rsidRDefault="00E96B29" w:rsidP="00E96B29">
            <w:pPr>
              <w:pStyle w:val="ChartSecondHeading"/>
            </w:pPr>
            <w:r w:rsidRPr="00027624">
              <w:t>Decile 3</w:t>
            </w:r>
          </w:p>
        </w:tc>
        <w:tc>
          <w:tcPr>
            <w:tcW w:w="4536" w:type="dxa"/>
            <w:shd w:val="clear" w:color="auto" w:fill="auto"/>
          </w:tcPr>
          <w:p w14:paraId="0D865AC4" w14:textId="77777777" w:rsidR="00E96B29" w:rsidRPr="00027624" w:rsidRDefault="00E96B29" w:rsidP="008A4290">
            <w:pPr>
              <w:pStyle w:val="ChartSecondHeading"/>
            </w:pPr>
            <w:r w:rsidRPr="00027624">
              <w:t>Decile 5</w:t>
            </w:r>
          </w:p>
        </w:tc>
      </w:tr>
    </w:tbl>
    <w:p w14:paraId="309F0FA1" w14:textId="77777777" w:rsidR="00E96B29" w:rsidRPr="00027624" w:rsidRDefault="009D307A" w:rsidP="008A4290">
      <w:pPr>
        <w:pStyle w:val="ChartGraphic"/>
      </w:pPr>
      <w:r>
        <w:rPr>
          <w:noProof/>
        </w:rPr>
        <w:drawing>
          <wp:inline distT="0" distB="0" distL="0" distR="0" wp14:anchorId="0A9AD3C6" wp14:editId="70BAFA1D">
            <wp:extent cx="2872740" cy="2880360"/>
            <wp:effectExtent l="0" t="0" r="3810" b="0"/>
            <wp:docPr id="2050622953" name="Picture 2050622953" descr="These chart show the results of tracking cohorts at different ages (between 40 and 69) and superannuation balance deciles from 2012-13 to 2016-17, and separates the results by single, partnered to deciles 1-5 and partnered to deciles 6-10. It shows a decline in the gender gap when tracking people over the five year period. The decline in the gender gap was generally more significant for those who are partnered to someone with a higher superannuation balance (deciles 6-10), particularly at later ages. At older ages, a negative gap, where women’s balances were higher than men’s, is seen at lower deciles, particularly decile 3." title="Chart 6D-5 Gender gap in average superannuation balances, by balance decile, age, partnered status, and partner’s balance decil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r>
        <w:rPr>
          <w:noProof/>
        </w:rPr>
        <w:drawing>
          <wp:inline distT="0" distB="0" distL="0" distR="0" wp14:anchorId="501A2AA9" wp14:editId="16E3869D">
            <wp:extent cx="2872740" cy="2880360"/>
            <wp:effectExtent l="0" t="0" r="3810" b="0"/>
            <wp:docPr id="2050622954" name="Picture 205062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4535"/>
        <w:gridCol w:w="4535"/>
      </w:tblGrid>
      <w:tr w:rsidR="00E96B29" w:rsidRPr="00027624" w14:paraId="441DAB5A" w14:textId="77777777" w:rsidTr="00E96B29">
        <w:tc>
          <w:tcPr>
            <w:tcW w:w="4536" w:type="dxa"/>
            <w:shd w:val="clear" w:color="auto" w:fill="auto"/>
          </w:tcPr>
          <w:p w14:paraId="612762B0" w14:textId="77777777" w:rsidR="00E96B29" w:rsidRPr="00027624" w:rsidRDefault="00E96B29" w:rsidP="00E96B29">
            <w:pPr>
              <w:pStyle w:val="ChartSecondHeading"/>
              <w:tabs>
                <w:tab w:val="left" w:pos="1780"/>
                <w:tab w:val="center" w:pos="2160"/>
              </w:tabs>
              <w:jc w:val="left"/>
            </w:pPr>
            <w:r w:rsidRPr="00027624">
              <w:tab/>
            </w:r>
            <w:r w:rsidRPr="00027624">
              <w:tab/>
              <w:t>Decile 7</w:t>
            </w:r>
          </w:p>
        </w:tc>
        <w:tc>
          <w:tcPr>
            <w:tcW w:w="4536" w:type="dxa"/>
            <w:shd w:val="clear" w:color="auto" w:fill="auto"/>
          </w:tcPr>
          <w:p w14:paraId="3F01D38D" w14:textId="77777777" w:rsidR="00E96B29" w:rsidRPr="00027624" w:rsidRDefault="00E96B29" w:rsidP="00E96B29">
            <w:pPr>
              <w:pStyle w:val="ChartSecondHeading"/>
            </w:pPr>
            <w:r w:rsidRPr="00027624">
              <w:t>Decile 9</w:t>
            </w:r>
          </w:p>
        </w:tc>
      </w:tr>
    </w:tbl>
    <w:p w14:paraId="41438173" w14:textId="77777777" w:rsidR="00E96B29" w:rsidRPr="00027624" w:rsidRDefault="009D307A" w:rsidP="00E96B29">
      <w:pPr>
        <w:pStyle w:val="ChartGraphic"/>
      </w:pPr>
      <w:r>
        <w:rPr>
          <w:noProof/>
        </w:rPr>
        <w:drawing>
          <wp:inline distT="0" distB="0" distL="0" distR="0" wp14:anchorId="31AFFA1F" wp14:editId="471B3CDF">
            <wp:extent cx="2872740" cy="2880360"/>
            <wp:effectExtent l="0" t="0" r="3810" b="0"/>
            <wp:docPr id="2050622955" name="Picture 205062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r>
        <w:rPr>
          <w:noProof/>
        </w:rPr>
        <w:drawing>
          <wp:inline distT="0" distB="0" distL="0" distR="0" wp14:anchorId="7AFB0708" wp14:editId="0B49BDD0">
            <wp:extent cx="2872740" cy="2880360"/>
            <wp:effectExtent l="0" t="0" r="3810" b="0"/>
            <wp:docPr id="2050622956" name="Picture 205062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55C9E5E1" w14:textId="77777777" w:rsidR="00E96B29" w:rsidRPr="00027624" w:rsidRDefault="00E96B29" w:rsidP="00E96B29">
      <w:pPr>
        <w:pStyle w:val="ChartorTableNote"/>
        <w:rPr>
          <w:color w:val="auto"/>
        </w:rPr>
      </w:pPr>
      <w:r w:rsidRPr="00027624">
        <w:rPr>
          <w:color w:val="auto"/>
        </w:rPr>
        <w:t>Note: Men and women aged 40, 45, 50, 55, 60, and 65 at 30 June 2013 were sorted into gender</w:t>
      </w:r>
      <w:r w:rsidR="00A8443E" w:rsidRPr="00027624">
        <w:rPr>
          <w:color w:val="auto"/>
        </w:rPr>
        <w:noBreakHyphen/>
      </w:r>
      <w:r w:rsidRPr="00027624">
        <w:rPr>
          <w:color w:val="auto"/>
        </w:rPr>
        <w:t>based deciles based on their superannuation balance and age (those with zero balances were excluded). People were then further sorted into whether they were single, partnered to a person of gender</w:t>
      </w:r>
      <w:r w:rsidR="00A8443E" w:rsidRPr="00027624">
        <w:rPr>
          <w:color w:val="auto"/>
        </w:rPr>
        <w:noBreakHyphen/>
      </w:r>
      <w:r w:rsidRPr="00027624">
        <w:rPr>
          <w:color w:val="auto"/>
        </w:rPr>
        <w:t>based balance decile 1 to 5, or partnered to a person of gender</w:t>
      </w:r>
      <w:r w:rsidR="00A8443E" w:rsidRPr="00027624">
        <w:rPr>
          <w:color w:val="auto"/>
        </w:rPr>
        <w:noBreakHyphen/>
      </w:r>
      <w:r w:rsidRPr="00027624">
        <w:rPr>
          <w:color w:val="auto"/>
        </w:rPr>
        <w:t>based balance decile 6 to 10. Persons partnered to a person with zero superannuation were excluded. Their balances were then tracked over the following four years to 2016</w:t>
      </w:r>
      <w:r w:rsidR="00A8443E" w:rsidRPr="00027624">
        <w:rPr>
          <w:color w:val="auto"/>
        </w:rPr>
        <w:noBreakHyphen/>
      </w:r>
      <w:r w:rsidRPr="00027624">
        <w:rPr>
          <w:color w:val="auto"/>
        </w:rPr>
        <w:t xml:space="preserve">17. The chart compares the average balance for each male decile with the average balance for each female decile in each year (e.g. comparing single men aged 40 in the third balance decile for men, with single women aged 40 in the third balance decile for women). Those whose balances reduced to zero in later years are included in the average calculation. A </w:t>
      </w:r>
      <w:r w:rsidR="00A8443E" w:rsidRPr="00027624">
        <w:rPr>
          <w:color w:val="auto"/>
        </w:rPr>
        <w:t>‘</w:t>
      </w:r>
      <w:r w:rsidRPr="00027624">
        <w:rPr>
          <w:color w:val="auto"/>
        </w:rPr>
        <w:t>negative gap</w:t>
      </w:r>
      <w:r w:rsidR="00A8443E" w:rsidRPr="00027624">
        <w:rPr>
          <w:color w:val="auto"/>
        </w:rPr>
        <w:t>’</w:t>
      </w:r>
      <w:r w:rsidRPr="00027624">
        <w:rPr>
          <w:color w:val="auto"/>
        </w:rPr>
        <w:t xml:space="preserve"> means that women have higher average superannuation balances than men for that cohort at that age. Calculations of gender gaps are based off nominal superannuation balances from </w:t>
      </w:r>
      <w:r w:rsidRPr="00027624">
        <w:t>2012</w:t>
      </w:r>
      <w:r w:rsidR="00A8443E" w:rsidRPr="00027624">
        <w:noBreakHyphen/>
      </w:r>
      <w:r w:rsidRPr="00027624">
        <w:t>13 to 2016</w:t>
      </w:r>
      <w:r w:rsidR="00A8443E" w:rsidRPr="00027624">
        <w:noBreakHyphen/>
      </w:r>
      <w:r w:rsidRPr="00027624">
        <w:t>17</w:t>
      </w:r>
      <w:r w:rsidRPr="00027624">
        <w:rPr>
          <w:color w:val="auto"/>
        </w:rPr>
        <w:t>. Source: Data provided by the ATO for the review.</w:t>
      </w:r>
    </w:p>
    <w:p w14:paraId="3D84BF0E" w14:textId="77777777" w:rsidR="00E96B29" w:rsidRPr="00027624" w:rsidRDefault="00E96B29" w:rsidP="00E96B29">
      <w:pPr>
        <w:pStyle w:val="ChartorTableNote"/>
        <w:rPr>
          <w:color w:val="auto"/>
        </w:rPr>
      </w:pPr>
    </w:p>
    <w:p w14:paraId="28A25F84" w14:textId="77777777" w:rsidR="00E96B29" w:rsidRPr="00027624" w:rsidRDefault="00E96B29" w:rsidP="00E96B29">
      <w:pPr>
        <w:pStyle w:val="Heading3"/>
      </w:pPr>
      <w:r w:rsidRPr="00027624">
        <w:t>Superannuation contributions by gender</w:t>
      </w:r>
    </w:p>
    <w:p w14:paraId="78372636" w14:textId="77777777" w:rsidR="00E96B29" w:rsidRPr="00027624" w:rsidRDefault="00E96B29" w:rsidP="00E96B29">
      <w:pPr>
        <w:pStyle w:val="ChartMainHeading"/>
      </w:pPr>
      <w:bookmarkStart w:id="4375" w:name="_Ref43124885"/>
      <w:r w:rsidRPr="00027624">
        <w:t>Employer superannuation contributions (excluding salary sacrifice), by gender</w:t>
      </w:r>
      <w:r w:rsidR="00A8443E" w:rsidRPr="00027624">
        <w:noBreakHyphen/>
      </w:r>
      <w:r w:rsidRPr="00027624">
        <w:t>based balance decile and age, 2012</w:t>
      </w:r>
      <w:r w:rsidR="00A8443E" w:rsidRPr="00027624">
        <w:noBreakHyphen/>
      </w:r>
      <w:r w:rsidRPr="00027624">
        <w:t>13 to 2016</w:t>
      </w:r>
      <w:r w:rsidR="00A8443E" w:rsidRPr="00027624">
        <w:noBreakHyphen/>
      </w:r>
      <w:r w:rsidRPr="00027624">
        <w:t>17</w:t>
      </w:r>
      <w:bookmarkEnd w:id="4375"/>
    </w:p>
    <w:tbl>
      <w:tblPr>
        <w:tblStyle w:val="TableGrid"/>
        <w:tblW w:w="0" w:type="auto"/>
        <w:tblLook w:val="04A0" w:firstRow="1" w:lastRow="0" w:firstColumn="1" w:lastColumn="0" w:noHBand="0" w:noVBand="1"/>
      </w:tblPr>
      <w:tblGrid>
        <w:gridCol w:w="4535"/>
        <w:gridCol w:w="4535"/>
      </w:tblGrid>
      <w:tr w:rsidR="00E96B29" w:rsidRPr="00027624" w14:paraId="59FD5F5D" w14:textId="77777777" w:rsidTr="008A4290">
        <w:tc>
          <w:tcPr>
            <w:tcW w:w="4535" w:type="dxa"/>
            <w:shd w:val="clear" w:color="auto" w:fill="auto"/>
          </w:tcPr>
          <w:p w14:paraId="76C1EEF5" w14:textId="77777777" w:rsidR="00E96B29" w:rsidRPr="00027624" w:rsidRDefault="00E96B29" w:rsidP="00E96B29">
            <w:pPr>
              <w:pStyle w:val="ChartSecondHeading"/>
            </w:pPr>
            <w:r w:rsidRPr="00027624">
              <w:t>Decile 3</w:t>
            </w:r>
          </w:p>
        </w:tc>
        <w:tc>
          <w:tcPr>
            <w:tcW w:w="4535" w:type="dxa"/>
            <w:shd w:val="clear" w:color="auto" w:fill="auto"/>
          </w:tcPr>
          <w:p w14:paraId="08F92B43" w14:textId="77777777" w:rsidR="00E96B29" w:rsidRPr="00027624" w:rsidRDefault="00E96B29" w:rsidP="00E96B29">
            <w:pPr>
              <w:pStyle w:val="ChartSecondHeading"/>
            </w:pPr>
            <w:r w:rsidRPr="00027624">
              <w:t>Decile 5</w:t>
            </w:r>
          </w:p>
        </w:tc>
      </w:tr>
    </w:tbl>
    <w:p w14:paraId="68404B33" w14:textId="77777777" w:rsidR="00E96B29" w:rsidRPr="00027624" w:rsidRDefault="007445E2" w:rsidP="00E96B29">
      <w:pPr>
        <w:pStyle w:val="ChartGraphic"/>
        <w:rPr>
          <w:noProof/>
        </w:rPr>
      </w:pPr>
      <w:r>
        <w:rPr>
          <w:noProof/>
        </w:rPr>
        <w:drawing>
          <wp:inline distT="0" distB="0" distL="0" distR="0" wp14:anchorId="27038A70" wp14:editId="4DE2B52A">
            <wp:extent cx="2880360" cy="2880360"/>
            <wp:effectExtent l="0" t="0" r="0" b="0"/>
            <wp:docPr id="1929377076" name="Picture 1929377076" descr="These charts show a comparison of employer superannuation contributions, excluding salary sacrifice, between men and women, based on their superannuation balance decile and age, between 2012-13 and 2016-17. Contributions generally peaked for men aged in their 40s, and for women in their 40s to early 50s. The gender gap in employer superannuation contributions was greater at higher balances deciles, particularly decile 9, and was lowest for those in decile 3." title="Chart 6D-6 Employer superannuation contributions (excluding salary sacrifice), by gender-based balance decile and ag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r>
        <w:rPr>
          <w:noProof/>
        </w:rPr>
        <w:drawing>
          <wp:inline distT="0" distB="0" distL="0" distR="0" wp14:anchorId="0D4CFB3B" wp14:editId="5D4EBA48">
            <wp:extent cx="2872740" cy="2880360"/>
            <wp:effectExtent l="0" t="0" r="3810" b="0"/>
            <wp:docPr id="1929377077" name="Picture 192937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4535"/>
        <w:gridCol w:w="4535"/>
      </w:tblGrid>
      <w:tr w:rsidR="00E96B29" w:rsidRPr="00027624" w14:paraId="0481C6E0" w14:textId="77777777" w:rsidTr="00E96B29">
        <w:tc>
          <w:tcPr>
            <w:tcW w:w="4536" w:type="dxa"/>
            <w:shd w:val="clear" w:color="auto" w:fill="auto"/>
          </w:tcPr>
          <w:p w14:paraId="0591CA42" w14:textId="77777777" w:rsidR="00E96B29" w:rsidRPr="00027624" w:rsidRDefault="00E96B29" w:rsidP="00E96B29">
            <w:pPr>
              <w:pStyle w:val="ChartSecondHeading"/>
            </w:pPr>
            <w:r w:rsidRPr="00027624">
              <w:t>Decile 7</w:t>
            </w:r>
          </w:p>
        </w:tc>
        <w:tc>
          <w:tcPr>
            <w:tcW w:w="4536" w:type="dxa"/>
            <w:shd w:val="clear" w:color="auto" w:fill="auto"/>
          </w:tcPr>
          <w:p w14:paraId="4508FA94" w14:textId="77777777" w:rsidR="00E96B29" w:rsidRPr="00027624" w:rsidRDefault="00E96B29" w:rsidP="00E96B29">
            <w:pPr>
              <w:pStyle w:val="ChartSecondHeading"/>
            </w:pPr>
            <w:r w:rsidRPr="00027624">
              <w:t>Decile 9</w:t>
            </w:r>
          </w:p>
        </w:tc>
      </w:tr>
    </w:tbl>
    <w:p w14:paraId="01B74151" w14:textId="77777777" w:rsidR="00E96B29" w:rsidRPr="00027624" w:rsidRDefault="007445E2" w:rsidP="00E96B29">
      <w:pPr>
        <w:pStyle w:val="ChartGraphic"/>
        <w:rPr>
          <w:noProof/>
        </w:rPr>
      </w:pPr>
      <w:r>
        <w:rPr>
          <w:noProof/>
        </w:rPr>
        <w:drawing>
          <wp:inline distT="0" distB="0" distL="0" distR="0" wp14:anchorId="304D50AC" wp14:editId="211C9B45">
            <wp:extent cx="2872740" cy="2880360"/>
            <wp:effectExtent l="0" t="0" r="3810" b="0"/>
            <wp:docPr id="1929377078" name="Picture 192937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r>
        <w:rPr>
          <w:noProof/>
        </w:rPr>
        <w:drawing>
          <wp:inline distT="0" distB="0" distL="0" distR="0" wp14:anchorId="617D762A" wp14:editId="252B09C4">
            <wp:extent cx="2872740" cy="2880360"/>
            <wp:effectExtent l="0" t="0" r="3810" b="0"/>
            <wp:docPr id="1929377079" name="Picture 192937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6E516DE8" w14:textId="7B58016E" w:rsidR="00E96B29" w:rsidRPr="00027624" w:rsidRDefault="00E96B29" w:rsidP="00E96B29">
      <w:pPr>
        <w:pStyle w:val="ChartorTableNote"/>
        <w:rPr>
          <w:color w:val="auto"/>
        </w:rPr>
      </w:pPr>
      <w:r w:rsidRPr="00027624">
        <w:rPr>
          <w:color w:val="auto"/>
        </w:rPr>
        <w:t xml:space="preserve">Note for </w:t>
      </w:r>
      <w:r w:rsidRPr="00027624">
        <w:rPr>
          <w:color w:val="auto"/>
        </w:rPr>
        <w:fldChar w:fldCharType="begin"/>
      </w:r>
      <w:r w:rsidRPr="00027624">
        <w:rPr>
          <w:color w:val="auto"/>
        </w:rPr>
        <w:instrText xml:space="preserve"> REF _Ref43124885 \r \h  \* MERGEFORMAT </w:instrText>
      </w:r>
      <w:r w:rsidRPr="00027624">
        <w:rPr>
          <w:color w:val="auto"/>
        </w:rPr>
      </w:r>
      <w:r w:rsidRPr="00027624">
        <w:rPr>
          <w:color w:val="auto"/>
        </w:rPr>
        <w:fldChar w:fldCharType="separate"/>
      </w:r>
      <w:r w:rsidR="00891058">
        <w:rPr>
          <w:color w:val="auto"/>
        </w:rPr>
        <w:t>Chart 6D-6</w:t>
      </w:r>
      <w:r w:rsidRPr="00027624">
        <w:rPr>
          <w:color w:val="auto"/>
        </w:rPr>
        <w:fldChar w:fldCharType="end"/>
      </w:r>
      <w:r w:rsidRPr="00027624">
        <w:rPr>
          <w:color w:val="auto"/>
        </w:rPr>
        <w:t xml:space="preserve">, </w:t>
      </w:r>
      <w:r w:rsidRPr="00027624">
        <w:rPr>
          <w:color w:val="auto"/>
        </w:rPr>
        <w:fldChar w:fldCharType="begin"/>
      </w:r>
      <w:r w:rsidRPr="00027624">
        <w:rPr>
          <w:color w:val="auto"/>
        </w:rPr>
        <w:instrText xml:space="preserve"> REF _Ref43124886 \r \h  \* MERGEFORMAT </w:instrText>
      </w:r>
      <w:r w:rsidRPr="00027624">
        <w:rPr>
          <w:color w:val="auto"/>
        </w:rPr>
      </w:r>
      <w:r w:rsidRPr="00027624">
        <w:rPr>
          <w:color w:val="auto"/>
        </w:rPr>
        <w:fldChar w:fldCharType="separate"/>
      </w:r>
      <w:r w:rsidR="00891058">
        <w:rPr>
          <w:color w:val="auto"/>
        </w:rPr>
        <w:t>Chart 6D-7</w:t>
      </w:r>
      <w:r w:rsidRPr="00027624">
        <w:rPr>
          <w:color w:val="auto"/>
        </w:rPr>
        <w:fldChar w:fldCharType="end"/>
      </w:r>
      <w:r w:rsidRPr="00027624">
        <w:rPr>
          <w:color w:val="auto"/>
        </w:rPr>
        <w:t xml:space="preserve">, </w:t>
      </w:r>
      <w:r w:rsidRPr="00027624">
        <w:rPr>
          <w:color w:val="auto"/>
        </w:rPr>
        <w:fldChar w:fldCharType="begin"/>
      </w:r>
      <w:r w:rsidRPr="00027624">
        <w:rPr>
          <w:color w:val="auto"/>
        </w:rPr>
        <w:instrText xml:space="preserve"> REF _Ref43124888 \r \h  \* MERGEFORMAT </w:instrText>
      </w:r>
      <w:r w:rsidRPr="00027624">
        <w:rPr>
          <w:color w:val="auto"/>
        </w:rPr>
      </w:r>
      <w:r w:rsidRPr="00027624">
        <w:rPr>
          <w:color w:val="auto"/>
        </w:rPr>
        <w:fldChar w:fldCharType="separate"/>
      </w:r>
      <w:r w:rsidR="00891058">
        <w:rPr>
          <w:color w:val="auto"/>
        </w:rPr>
        <w:t>Chart 6D-8</w:t>
      </w:r>
      <w:r w:rsidRPr="00027624">
        <w:rPr>
          <w:color w:val="auto"/>
        </w:rPr>
        <w:fldChar w:fldCharType="end"/>
      </w:r>
      <w:r w:rsidRPr="00027624">
        <w:rPr>
          <w:color w:val="auto"/>
        </w:rPr>
        <w:t xml:space="preserve">, </w:t>
      </w:r>
      <w:r w:rsidRPr="00027624">
        <w:rPr>
          <w:color w:val="auto"/>
        </w:rPr>
        <w:fldChar w:fldCharType="begin"/>
      </w:r>
      <w:r w:rsidRPr="00027624">
        <w:rPr>
          <w:color w:val="auto"/>
        </w:rPr>
        <w:instrText xml:space="preserve"> REF _Ref43124889 \r \h  \* MERGEFORMAT </w:instrText>
      </w:r>
      <w:r w:rsidRPr="00027624">
        <w:rPr>
          <w:color w:val="auto"/>
        </w:rPr>
      </w:r>
      <w:r w:rsidRPr="00027624">
        <w:rPr>
          <w:color w:val="auto"/>
        </w:rPr>
        <w:fldChar w:fldCharType="separate"/>
      </w:r>
      <w:r w:rsidR="00891058">
        <w:rPr>
          <w:color w:val="auto"/>
        </w:rPr>
        <w:t>Chart 6D-9</w:t>
      </w:r>
      <w:r w:rsidRPr="00027624">
        <w:rPr>
          <w:color w:val="auto"/>
        </w:rPr>
        <w:fldChar w:fldCharType="end"/>
      </w:r>
      <w:r w:rsidRPr="00027624">
        <w:rPr>
          <w:color w:val="auto"/>
        </w:rPr>
        <w:t xml:space="preserve"> and </w:t>
      </w:r>
      <w:r w:rsidRPr="00027624">
        <w:rPr>
          <w:color w:val="auto"/>
        </w:rPr>
        <w:fldChar w:fldCharType="begin"/>
      </w:r>
      <w:r w:rsidRPr="00027624">
        <w:rPr>
          <w:color w:val="auto"/>
        </w:rPr>
        <w:instrText xml:space="preserve"> REF _Ref43124890 \r \h  \* MERGEFORMAT </w:instrText>
      </w:r>
      <w:r w:rsidRPr="00027624">
        <w:rPr>
          <w:color w:val="auto"/>
        </w:rPr>
      </w:r>
      <w:r w:rsidRPr="00027624">
        <w:rPr>
          <w:color w:val="auto"/>
        </w:rPr>
        <w:fldChar w:fldCharType="separate"/>
      </w:r>
      <w:r w:rsidR="00891058">
        <w:rPr>
          <w:color w:val="auto"/>
        </w:rPr>
        <w:t>Chart 6D-10</w:t>
      </w:r>
      <w:r w:rsidRPr="00027624">
        <w:rPr>
          <w:color w:val="auto"/>
        </w:rPr>
        <w:fldChar w:fldCharType="end"/>
      </w:r>
      <w:r w:rsidRPr="00027624">
        <w:rPr>
          <w:color w:val="auto"/>
        </w:rPr>
        <w:t>: Men and women aged 40, 45, 50, 55, 60, and 65 at 30 June 2013 were sorted into gender</w:t>
      </w:r>
      <w:r w:rsidR="00A8443E" w:rsidRPr="00027624">
        <w:rPr>
          <w:color w:val="auto"/>
        </w:rPr>
        <w:noBreakHyphen/>
      </w:r>
      <w:r w:rsidRPr="00027624">
        <w:rPr>
          <w:color w:val="auto"/>
        </w:rPr>
        <w:t>based deciles based on their superannuation balance and age (those with zero balances were excluded). Their annual superannuation contributions were then tracked over the following four years to 2016</w:t>
      </w:r>
      <w:r w:rsidR="00A8443E" w:rsidRPr="00027624">
        <w:rPr>
          <w:color w:val="auto"/>
        </w:rPr>
        <w:noBreakHyphen/>
      </w:r>
      <w:r w:rsidRPr="00027624">
        <w:rPr>
          <w:color w:val="auto"/>
        </w:rPr>
        <w:t xml:space="preserve">17. The charts compare the relevant type of superannuation contribution in each year for each male and female superannuation balance decile (e.g. comparing employer contributions made by men aged 40 in the third balance decile for men, with employer contributions made by women aged 40 in the third balance decile for women). Those with zero contributions of the relevant type in any given year are included in the calculation of the average contribution amount. Data collection period coincides with changes to superannuation </w:t>
      </w:r>
      <w:r w:rsidR="00404B9D" w:rsidRPr="00027624">
        <w:rPr>
          <w:color w:val="auto"/>
        </w:rPr>
        <w:t>contributions cap</w:t>
      </w:r>
      <w:r w:rsidRPr="00027624">
        <w:rPr>
          <w:color w:val="auto"/>
        </w:rPr>
        <w:t>s during the 2012</w:t>
      </w:r>
      <w:r w:rsidR="00A8443E" w:rsidRPr="00027624">
        <w:rPr>
          <w:color w:val="auto"/>
        </w:rPr>
        <w:noBreakHyphen/>
      </w:r>
      <w:r w:rsidRPr="00027624">
        <w:rPr>
          <w:color w:val="auto"/>
        </w:rPr>
        <w:t>13 to 2016</w:t>
      </w:r>
      <w:r w:rsidR="00A8443E" w:rsidRPr="00027624">
        <w:rPr>
          <w:color w:val="auto"/>
        </w:rPr>
        <w:noBreakHyphen/>
      </w:r>
      <w:r w:rsidRPr="00027624">
        <w:rPr>
          <w:color w:val="auto"/>
        </w:rPr>
        <w:t xml:space="preserve">17 period. The </w:t>
      </w:r>
      <w:r w:rsidR="00A8443E" w:rsidRPr="00027624">
        <w:rPr>
          <w:color w:val="auto"/>
        </w:rPr>
        <w:t>‘</w:t>
      </w:r>
      <w:r w:rsidRPr="00027624">
        <w:rPr>
          <w:color w:val="auto"/>
        </w:rPr>
        <w:t>10 per cent rule</w:t>
      </w:r>
      <w:r w:rsidR="00A8443E" w:rsidRPr="00027624">
        <w:rPr>
          <w:color w:val="auto"/>
        </w:rPr>
        <w:t>’</w:t>
      </w:r>
      <w:r w:rsidRPr="00027624">
        <w:rPr>
          <w:color w:val="auto"/>
        </w:rPr>
        <w:t xml:space="preserve"> for deductible personal superannuation contributions prior to 1 July 2017 also applied across this period (see </w:t>
      </w:r>
      <w:r w:rsidRPr="00027624">
        <w:rPr>
          <w:i/>
          <w:color w:val="auto"/>
        </w:rPr>
        <w:t>1B. Design of Australia</w:t>
      </w:r>
      <w:r w:rsidR="00A8443E" w:rsidRPr="00027624">
        <w:rPr>
          <w:i/>
          <w:color w:val="auto"/>
        </w:rPr>
        <w:t>’</w:t>
      </w:r>
      <w:r w:rsidRPr="00027624">
        <w:rPr>
          <w:i/>
          <w:color w:val="auto"/>
        </w:rPr>
        <w:t>s retirement income system</w:t>
      </w:r>
      <w:r w:rsidRPr="00027624">
        <w:rPr>
          <w:color w:val="auto"/>
        </w:rPr>
        <w:t xml:space="preserve">). This may influence the results presented. Contribution amounts are in nominal dollars, from </w:t>
      </w:r>
      <w:r w:rsidRPr="00027624">
        <w:t>2012</w:t>
      </w:r>
      <w:r w:rsidR="00A8443E" w:rsidRPr="00027624">
        <w:noBreakHyphen/>
      </w:r>
      <w:r w:rsidRPr="00027624">
        <w:t>13 to 2016</w:t>
      </w:r>
      <w:r w:rsidR="00A8443E" w:rsidRPr="00027624">
        <w:noBreakHyphen/>
      </w:r>
      <w:r w:rsidRPr="00027624">
        <w:t>17</w:t>
      </w:r>
      <w:r w:rsidRPr="00027624">
        <w:rPr>
          <w:color w:val="auto"/>
        </w:rPr>
        <w:t>. Source: Data provided by the ATO for the review.</w:t>
      </w:r>
    </w:p>
    <w:p w14:paraId="44F240F0" w14:textId="77777777" w:rsidR="00E96B29" w:rsidRPr="00027624" w:rsidRDefault="00E96B29" w:rsidP="00E96B29">
      <w:pPr>
        <w:pStyle w:val="ChartMainHeading"/>
      </w:pPr>
      <w:bookmarkStart w:id="4376" w:name="_Ref43124886"/>
      <w:r w:rsidRPr="00027624">
        <w:t>Total voluntary superannuation contributions, by gender</w:t>
      </w:r>
      <w:r w:rsidR="00A8443E" w:rsidRPr="00027624">
        <w:noBreakHyphen/>
      </w:r>
      <w:r w:rsidRPr="00027624">
        <w:t>based balance decile and age, 2012</w:t>
      </w:r>
      <w:r w:rsidR="00A8443E" w:rsidRPr="00027624">
        <w:noBreakHyphen/>
      </w:r>
      <w:r w:rsidRPr="00027624">
        <w:t>13 to 2016</w:t>
      </w:r>
      <w:r w:rsidR="00A8443E" w:rsidRPr="00027624">
        <w:noBreakHyphen/>
      </w:r>
      <w:r w:rsidRPr="00027624">
        <w:t>17</w:t>
      </w:r>
      <w:bookmarkEnd w:id="4376"/>
    </w:p>
    <w:tbl>
      <w:tblPr>
        <w:tblStyle w:val="TableGrid"/>
        <w:tblW w:w="0" w:type="auto"/>
        <w:tblLook w:val="04A0" w:firstRow="1" w:lastRow="0" w:firstColumn="1" w:lastColumn="0" w:noHBand="0" w:noVBand="1"/>
      </w:tblPr>
      <w:tblGrid>
        <w:gridCol w:w="4535"/>
        <w:gridCol w:w="4535"/>
      </w:tblGrid>
      <w:tr w:rsidR="00E96B29" w:rsidRPr="00027624" w14:paraId="2949F818" w14:textId="77777777" w:rsidTr="00E96B29">
        <w:tc>
          <w:tcPr>
            <w:tcW w:w="4536" w:type="dxa"/>
            <w:shd w:val="clear" w:color="auto" w:fill="auto"/>
          </w:tcPr>
          <w:p w14:paraId="1CB21812" w14:textId="77777777" w:rsidR="00E96B29" w:rsidRPr="00027624" w:rsidRDefault="00E96B29" w:rsidP="00E96B29">
            <w:pPr>
              <w:pStyle w:val="ChartSecondHeading"/>
            </w:pPr>
            <w:r w:rsidRPr="00027624">
              <w:t>Decile 3</w:t>
            </w:r>
          </w:p>
        </w:tc>
        <w:tc>
          <w:tcPr>
            <w:tcW w:w="4536" w:type="dxa"/>
            <w:shd w:val="clear" w:color="auto" w:fill="auto"/>
          </w:tcPr>
          <w:p w14:paraId="77523F0E" w14:textId="77777777" w:rsidR="00E96B29" w:rsidRPr="00027624" w:rsidRDefault="00E96B29" w:rsidP="00E96B29">
            <w:pPr>
              <w:pStyle w:val="ChartSecondHeading"/>
            </w:pPr>
            <w:r w:rsidRPr="00027624">
              <w:t>Decile 5</w:t>
            </w:r>
          </w:p>
        </w:tc>
      </w:tr>
    </w:tbl>
    <w:p w14:paraId="15BF7BE0" w14:textId="77777777" w:rsidR="00E96B29" w:rsidRPr="00027624" w:rsidRDefault="007445E2" w:rsidP="00E96B29">
      <w:pPr>
        <w:pStyle w:val="ChartGraphic"/>
        <w:rPr>
          <w:noProof/>
        </w:rPr>
      </w:pPr>
      <w:r>
        <w:rPr>
          <w:noProof/>
        </w:rPr>
        <w:drawing>
          <wp:inline distT="0" distB="0" distL="0" distR="0" wp14:anchorId="7F227C3E" wp14:editId="690540C5">
            <wp:extent cx="2880360" cy="2880360"/>
            <wp:effectExtent l="0" t="0" r="0" b="0"/>
            <wp:docPr id="1929377080" name="Picture 1929377080" descr="These charts show the pattern of voluntary superannuation contributions between 2012-13 and 2016-17, for different ages and balance deciles. At all balance deciles, voluntary contributions were generally low for those in their 40s but began to increase in their 50s and peak in their early-to-mid-60s. At all deciles, women in their 60s made higher average voluntary contributions then men." title="Chart 6D-7 Total voluntary superannuation contributions, by gender-based balance decile and ag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r>
        <w:rPr>
          <w:noProof/>
        </w:rPr>
        <w:drawing>
          <wp:inline distT="0" distB="0" distL="0" distR="0" wp14:anchorId="0992B54A" wp14:editId="5C4184B0">
            <wp:extent cx="2857500" cy="2880360"/>
            <wp:effectExtent l="0" t="0" r="0" b="0"/>
            <wp:docPr id="1929377081" name="Picture 192937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857500" cy="288036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4535"/>
        <w:gridCol w:w="4535"/>
      </w:tblGrid>
      <w:tr w:rsidR="00E96B29" w:rsidRPr="00027624" w14:paraId="489A40BA" w14:textId="77777777" w:rsidTr="00E96B29">
        <w:tc>
          <w:tcPr>
            <w:tcW w:w="4536" w:type="dxa"/>
            <w:shd w:val="clear" w:color="auto" w:fill="auto"/>
          </w:tcPr>
          <w:p w14:paraId="6DFFFAF7" w14:textId="77777777" w:rsidR="00E96B29" w:rsidRPr="00027624" w:rsidRDefault="00E96B29" w:rsidP="00E96B29">
            <w:pPr>
              <w:pStyle w:val="ChartSecondHeading"/>
            </w:pPr>
            <w:r w:rsidRPr="00027624">
              <w:t>Decile 7</w:t>
            </w:r>
          </w:p>
        </w:tc>
        <w:tc>
          <w:tcPr>
            <w:tcW w:w="4536" w:type="dxa"/>
            <w:shd w:val="clear" w:color="auto" w:fill="auto"/>
          </w:tcPr>
          <w:p w14:paraId="104BD796" w14:textId="77777777" w:rsidR="00E96B29" w:rsidRPr="00027624" w:rsidRDefault="00E96B29" w:rsidP="00E96B29">
            <w:pPr>
              <w:pStyle w:val="ChartSecondHeading"/>
            </w:pPr>
            <w:r w:rsidRPr="00027624">
              <w:t>Decile 9</w:t>
            </w:r>
          </w:p>
        </w:tc>
      </w:tr>
    </w:tbl>
    <w:p w14:paraId="60B1F1FD" w14:textId="77777777" w:rsidR="00E96B29" w:rsidRPr="00027624" w:rsidRDefault="007445E2" w:rsidP="00E96B29">
      <w:pPr>
        <w:pStyle w:val="ChartGraphic"/>
        <w:rPr>
          <w:noProof/>
        </w:rPr>
      </w:pPr>
      <w:r>
        <w:rPr>
          <w:noProof/>
        </w:rPr>
        <w:drawing>
          <wp:inline distT="0" distB="0" distL="0" distR="0" wp14:anchorId="588C459A" wp14:editId="185713D8">
            <wp:extent cx="2857500" cy="2880360"/>
            <wp:effectExtent l="0" t="0" r="0" b="0"/>
            <wp:docPr id="1929377082" name="Picture 192937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857500" cy="2880360"/>
                    </a:xfrm>
                    <a:prstGeom prst="rect">
                      <a:avLst/>
                    </a:prstGeom>
                    <a:noFill/>
                  </pic:spPr>
                </pic:pic>
              </a:graphicData>
            </a:graphic>
          </wp:inline>
        </w:drawing>
      </w:r>
      <w:r>
        <w:rPr>
          <w:noProof/>
        </w:rPr>
        <w:drawing>
          <wp:inline distT="0" distB="0" distL="0" distR="0" wp14:anchorId="5FA0F259" wp14:editId="3C7E38F8">
            <wp:extent cx="2857500" cy="2880360"/>
            <wp:effectExtent l="0" t="0" r="0" b="0"/>
            <wp:docPr id="1929377083" name="Picture 1929377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857500" cy="2880360"/>
                    </a:xfrm>
                    <a:prstGeom prst="rect">
                      <a:avLst/>
                    </a:prstGeom>
                    <a:noFill/>
                  </pic:spPr>
                </pic:pic>
              </a:graphicData>
            </a:graphic>
          </wp:inline>
        </w:drawing>
      </w:r>
    </w:p>
    <w:p w14:paraId="259D6F9F" w14:textId="6227131C" w:rsidR="00E96B29" w:rsidRPr="00027624" w:rsidRDefault="00E96B29" w:rsidP="00E96B29">
      <w:pPr>
        <w:pStyle w:val="ChartorTableNote"/>
        <w:rPr>
          <w:color w:val="auto"/>
        </w:rPr>
      </w:pPr>
      <w:r w:rsidRPr="00027624">
        <w:rPr>
          <w:color w:val="auto"/>
        </w:rPr>
        <w:t xml:space="preserve">Note: See </w:t>
      </w:r>
      <w:r w:rsidRPr="00027624">
        <w:fldChar w:fldCharType="begin"/>
      </w:r>
      <w:r w:rsidRPr="00027624">
        <w:rPr>
          <w:color w:val="auto"/>
        </w:rPr>
        <w:instrText xml:space="preserve"> REF _Ref43124885 \r \h  \* MERGEFORMAT </w:instrText>
      </w:r>
      <w:r w:rsidRPr="00027624">
        <w:fldChar w:fldCharType="separate"/>
      </w:r>
      <w:r w:rsidR="00891058">
        <w:rPr>
          <w:color w:val="auto"/>
        </w:rPr>
        <w:t>Chart 6D-6</w:t>
      </w:r>
      <w:r w:rsidRPr="00027624">
        <w:fldChar w:fldCharType="end"/>
      </w:r>
      <w:r w:rsidRPr="00027624">
        <w:rPr>
          <w:color w:val="auto"/>
        </w:rPr>
        <w:t>. Source: Data provided by the ATO for the review.</w:t>
      </w:r>
    </w:p>
    <w:p w14:paraId="23CFF224" w14:textId="77777777" w:rsidR="00E96B29" w:rsidRPr="00027624" w:rsidRDefault="00E96B29" w:rsidP="00E96B29">
      <w:pPr>
        <w:spacing w:before="0" w:after="160" w:line="259" w:lineRule="auto"/>
      </w:pPr>
      <w:r w:rsidRPr="00027624">
        <w:t xml:space="preserve"> </w:t>
      </w:r>
      <w:r w:rsidRPr="00027624">
        <w:br w:type="page"/>
      </w:r>
    </w:p>
    <w:p w14:paraId="7B891E93" w14:textId="77777777" w:rsidR="00E96B29" w:rsidRPr="00027624" w:rsidRDefault="00E96B29" w:rsidP="00E96B29">
      <w:pPr>
        <w:pStyle w:val="ChartMainHeading"/>
      </w:pPr>
      <w:bookmarkStart w:id="4377" w:name="_Ref43124888"/>
      <w:r w:rsidRPr="00027624">
        <w:t>Salary sacrifice superannuation contributions, by gender</w:t>
      </w:r>
      <w:r w:rsidR="00A8443E" w:rsidRPr="00027624">
        <w:noBreakHyphen/>
      </w:r>
      <w:r w:rsidRPr="00027624">
        <w:t>based balance decile and age, 2012</w:t>
      </w:r>
      <w:r w:rsidR="00A8443E" w:rsidRPr="00027624">
        <w:noBreakHyphen/>
      </w:r>
      <w:r w:rsidRPr="00027624">
        <w:t>13 to 2016</w:t>
      </w:r>
      <w:r w:rsidR="00A8443E" w:rsidRPr="00027624">
        <w:noBreakHyphen/>
      </w:r>
      <w:r w:rsidRPr="00027624">
        <w:t>17</w:t>
      </w:r>
      <w:bookmarkEnd w:id="4377"/>
    </w:p>
    <w:tbl>
      <w:tblPr>
        <w:tblStyle w:val="TableGrid"/>
        <w:tblW w:w="0" w:type="auto"/>
        <w:tblLook w:val="04A0" w:firstRow="1" w:lastRow="0" w:firstColumn="1" w:lastColumn="0" w:noHBand="0" w:noVBand="1"/>
      </w:tblPr>
      <w:tblGrid>
        <w:gridCol w:w="4535"/>
        <w:gridCol w:w="4535"/>
      </w:tblGrid>
      <w:tr w:rsidR="00E96B29" w:rsidRPr="00027624" w14:paraId="5E606435" w14:textId="77777777" w:rsidTr="00E96B29">
        <w:tc>
          <w:tcPr>
            <w:tcW w:w="4536" w:type="dxa"/>
            <w:shd w:val="clear" w:color="auto" w:fill="auto"/>
          </w:tcPr>
          <w:p w14:paraId="5666E2E4" w14:textId="77777777" w:rsidR="00E96B29" w:rsidRPr="00027624" w:rsidRDefault="00E96B29" w:rsidP="00E96B29">
            <w:pPr>
              <w:pStyle w:val="ChartSecondHeading"/>
            </w:pPr>
            <w:r w:rsidRPr="00027624">
              <w:t>Decile 3</w:t>
            </w:r>
          </w:p>
        </w:tc>
        <w:tc>
          <w:tcPr>
            <w:tcW w:w="4536" w:type="dxa"/>
            <w:shd w:val="clear" w:color="auto" w:fill="auto"/>
          </w:tcPr>
          <w:p w14:paraId="441B1779" w14:textId="77777777" w:rsidR="00E96B29" w:rsidRPr="00027624" w:rsidRDefault="00E96B29" w:rsidP="00E96B29">
            <w:pPr>
              <w:pStyle w:val="ChartSecondHeading"/>
            </w:pPr>
            <w:r w:rsidRPr="00027624">
              <w:t>Decile 5</w:t>
            </w:r>
          </w:p>
        </w:tc>
      </w:tr>
    </w:tbl>
    <w:p w14:paraId="32F12AA2" w14:textId="77777777" w:rsidR="00E96B29" w:rsidRPr="00027624" w:rsidRDefault="007445E2" w:rsidP="00E96B29">
      <w:pPr>
        <w:pStyle w:val="ChartGraphic"/>
        <w:rPr>
          <w:noProof/>
        </w:rPr>
      </w:pPr>
      <w:r>
        <w:rPr>
          <w:noProof/>
        </w:rPr>
        <w:drawing>
          <wp:inline distT="0" distB="0" distL="0" distR="0" wp14:anchorId="515C4681" wp14:editId="5C09967B">
            <wp:extent cx="2876400" cy="2880000"/>
            <wp:effectExtent l="0" t="0" r="635" b="0"/>
            <wp:docPr id="1929377084" name="Picture 1929377084" descr="These charts show that, between 2012-13 and 2016-17,  for both men and women, salary sacrifice superannuation contributions increased with age and superannuation balance decile. Men tended to make more salary sacrifice contributions than women at all deciles. " title="Chart 6D-8 Salary sacrifice superannuation contributions, by gender-based balance decile and age, 2012  13 to 2016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876400" cy="2880000"/>
                    </a:xfrm>
                    <a:prstGeom prst="rect">
                      <a:avLst/>
                    </a:prstGeom>
                    <a:noFill/>
                  </pic:spPr>
                </pic:pic>
              </a:graphicData>
            </a:graphic>
          </wp:inline>
        </w:drawing>
      </w:r>
      <w:r>
        <w:rPr>
          <w:noProof/>
        </w:rPr>
        <w:drawing>
          <wp:inline distT="0" distB="0" distL="0" distR="0" wp14:anchorId="76DEE1CB" wp14:editId="5F892546">
            <wp:extent cx="2876400" cy="2876400"/>
            <wp:effectExtent l="0" t="0" r="635" b="635"/>
            <wp:docPr id="1929377085" name="Picture 1929377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4535"/>
        <w:gridCol w:w="4535"/>
      </w:tblGrid>
      <w:tr w:rsidR="00E96B29" w:rsidRPr="00027624" w14:paraId="71DDD64B" w14:textId="77777777" w:rsidTr="00E96B29">
        <w:tc>
          <w:tcPr>
            <w:tcW w:w="4536" w:type="dxa"/>
            <w:shd w:val="clear" w:color="auto" w:fill="auto"/>
          </w:tcPr>
          <w:p w14:paraId="68FD5979" w14:textId="77777777" w:rsidR="00E96B29" w:rsidRPr="00027624" w:rsidRDefault="00E96B29" w:rsidP="00E96B29">
            <w:pPr>
              <w:pStyle w:val="ChartSecondHeading"/>
            </w:pPr>
            <w:r w:rsidRPr="00027624">
              <w:t>Decile 7</w:t>
            </w:r>
          </w:p>
        </w:tc>
        <w:tc>
          <w:tcPr>
            <w:tcW w:w="4536" w:type="dxa"/>
            <w:shd w:val="clear" w:color="auto" w:fill="auto"/>
          </w:tcPr>
          <w:p w14:paraId="5A5E61E1" w14:textId="77777777" w:rsidR="00E96B29" w:rsidRPr="00027624" w:rsidRDefault="00E96B29" w:rsidP="00E96B29">
            <w:pPr>
              <w:pStyle w:val="ChartSecondHeading"/>
            </w:pPr>
            <w:r w:rsidRPr="00027624">
              <w:t>Decile 9</w:t>
            </w:r>
          </w:p>
        </w:tc>
      </w:tr>
    </w:tbl>
    <w:p w14:paraId="6672E81D" w14:textId="77777777" w:rsidR="00E96B29" w:rsidRPr="00027624" w:rsidRDefault="007445E2" w:rsidP="00E96B29">
      <w:pPr>
        <w:pStyle w:val="ChartGraphic"/>
        <w:rPr>
          <w:noProof/>
        </w:rPr>
      </w:pPr>
      <w:r>
        <w:rPr>
          <w:noProof/>
        </w:rPr>
        <w:drawing>
          <wp:inline distT="0" distB="0" distL="0" distR="0" wp14:anchorId="2B67EA70" wp14:editId="4C9995C4">
            <wp:extent cx="2876400" cy="2876400"/>
            <wp:effectExtent l="0" t="0" r="635" b="635"/>
            <wp:docPr id="1929377086" name="Picture 1929377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3B135A31" wp14:editId="7077E968">
            <wp:extent cx="2876400" cy="2876400"/>
            <wp:effectExtent l="0" t="0" r="635" b="635"/>
            <wp:docPr id="1929377087" name="Picture 192937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p w14:paraId="613F9DE3" w14:textId="12985F47" w:rsidR="00E96B29" w:rsidRPr="00027624" w:rsidRDefault="00E96B29" w:rsidP="00E96B29">
      <w:pPr>
        <w:pStyle w:val="ChartorTableNote"/>
        <w:rPr>
          <w:color w:val="auto"/>
        </w:rPr>
      </w:pPr>
      <w:r w:rsidRPr="00027624">
        <w:rPr>
          <w:color w:val="auto"/>
        </w:rPr>
        <w:t xml:space="preserve">Note: See </w:t>
      </w:r>
      <w:r w:rsidRPr="00027624">
        <w:rPr>
          <w:color w:val="auto"/>
        </w:rPr>
        <w:fldChar w:fldCharType="begin"/>
      </w:r>
      <w:r w:rsidRPr="00027624">
        <w:rPr>
          <w:color w:val="auto"/>
        </w:rPr>
        <w:instrText xml:space="preserve"> REF _Ref43124885 \r \h  \* MERGEFORMAT </w:instrText>
      </w:r>
      <w:r w:rsidRPr="00027624">
        <w:rPr>
          <w:color w:val="auto"/>
        </w:rPr>
      </w:r>
      <w:r w:rsidRPr="00027624">
        <w:rPr>
          <w:color w:val="auto"/>
        </w:rPr>
        <w:fldChar w:fldCharType="separate"/>
      </w:r>
      <w:r w:rsidR="00891058">
        <w:rPr>
          <w:color w:val="auto"/>
        </w:rPr>
        <w:t>Chart 6D-6</w:t>
      </w:r>
      <w:r w:rsidRPr="00027624">
        <w:rPr>
          <w:color w:val="auto"/>
        </w:rPr>
        <w:fldChar w:fldCharType="end"/>
      </w:r>
      <w:r w:rsidRPr="00027624">
        <w:rPr>
          <w:color w:val="auto"/>
        </w:rPr>
        <w:t>. Source: Data provided by the ATO for the review.</w:t>
      </w:r>
    </w:p>
    <w:p w14:paraId="6099093F" w14:textId="77777777" w:rsidR="00E96B29" w:rsidRPr="00027624" w:rsidRDefault="00E96B29" w:rsidP="00E96B29">
      <w:pPr>
        <w:pStyle w:val="ChartMainHeading"/>
      </w:pPr>
      <w:bookmarkStart w:id="4378" w:name="_Ref43124889"/>
      <w:r w:rsidRPr="00027624">
        <w:t>Deductible personal superannuation contributions, by gender</w:t>
      </w:r>
      <w:r w:rsidR="00A8443E" w:rsidRPr="00027624">
        <w:noBreakHyphen/>
      </w:r>
      <w:r w:rsidRPr="00027624">
        <w:t>based balance decile and age, 2012</w:t>
      </w:r>
      <w:r w:rsidR="00A8443E" w:rsidRPr="00027624">
        <w:noBreakHyphen/>
      </w:r>
      <w:r w:rsidRPr="00027624">
        <w:t>13 to 2016</w:t>
      </w:r>
      <w:r w:rsidR="00A8443E" w:rsidRPr="00027624">
        <w:noBreakHyphen/>
      </w:r>
      <w:r w:rsidRPr="00027624">
        <w:t>17</w:t>
      </w:r>
      <w:bookmarkEnd w:id="4378"/>
    </w:p>
    <w:tbl>
      <w:tblPr>
        <w:tblStyle w:val="TableGrid"/>
        <w:tblW w:w="0" w:type="auto"/>
        <w:tblLook w:val="04A0" w:firstRow="1" w:lastRow="0" w:firstColumn="1" w:lastColumn="0" w:noHBand="0" w:noVBand="1"/>
      </w:tblPr>
      <w:tblGrid>
        <w:gridCol w:w="4535"/>
        <w:gridCol w:w="4535"/>
      </w:tblGrid>
      <w:tr w:rsidR="00E96B29" w:rsidRPr="00027624" w14:paraId="51329BFA" w14:textId="77777777" w:rsidTr="00E96B29">
        <w:tc>
          <w:tcPr>
            <w:tcW w:w="4536" w:type="dxa"/>
            <w:shd w:val="clear" w:color="auto" w:fill="auto"/>
          </w:tcPr>
          <w:p w14:paraId="6A04926C" w14:textId="77777777" w:rsidR="00E96B29" w:rsidRPr="00027624" w:rsidRDefault="00E96B29" w:rsidP="00E96B29">
            <w:pPr>
              <w:pStyle w:val="ChartSecondHeading"/>
            </w:pPr>
            <w:r w:rsidRPr="00027624">
              <w:t>Decile 3</w:t>
            </w:r>
          </w:p>
        </w:tc>
        <w:tc>
          <w:tcPr>
            <w:tcW w:w="4536" w:type="dxa"/>
            <w:shd w:val="clear" w:color="auto" w:fill="auto"/>
          </w:tcPr>
          <w:p w14:paraId="4C721F96" w14:textId="77777777" w:rsidR="00E96B29" w:rsidRPr="00027624" w:rsidRDefault="00E96B29" w:rsidP="00E96B29">
            <w:pPr>
              <w:pStyle w:val="ChartSecondHeading"/>
            </w:pPr>
            <w:r w:rsidRPr="00027624">
              <w:t>Decile 5</w:t>
            </w:r>
          </w:p>
        </w:tc>
      </w:tr>
    </w:tbl>
    <w:p w14:paraId="1D96A189" w14:textId="77777777" w:rsidR="00E96B29" w:rsidRPr="00027624" w:rsidRDefault="007445E2" w:rsidP="00E96B29">
      <w:pPr>
        <w:pStyle w:val="ChartGraphic"/>
        <w:rPr>
          <w:noProof/>
        </w:rPr>
      </w:pPr>
      <w:r>
        <w:rPr>
          <w:noProof/>
        </w:rPr>
        <w:drawing>
          <wp:inline distT="0" distB="0" distL="0" distR="0" wp14:anchorId="4342324B" wp14:editId="5D90364B">
            <wp:extent cx="2880360" cy="2880360"/>
            <wp:effectExtent l="0" t="0" r="0" b="0"/>
            <wp:docPr id="679974592" name="Picture 679974592" descr="These charts show that, between 2012-13 and 2016-17, for both men and women, deductible personal superannuation contributions increased with age and superannuation balance decile. Men tended to make more deductible personal superannuation contributions than women at all balance deciles and ages." title="Chart 6D-9 Deductible personal superannuation contributions, by gender-based balance decile and ag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r>
        <w:rPr>
          <w:noProof/>
        </w:rPr>
        <w:drawing>
          <wp:inline distT="0" distB="0" distL="0" distR="0" wp14:anchorId="007FCD4B" wp14:editId="41F354E4">
            <wp:extent cx="2872740" cy="2880360"/>
            <wp:effectExtent l="0" t="0" r="3810" b="0"/>
            <wp:docPr id="679974593" name="Picture 67997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4535"/>
        <w:gridCol w:w="4535"/>
      </w:tblGrid>
      <w:tr w:rsidR="00E96B29" w:rsidRPr="00027624" w14:paraId="6D9936F8" w14:textId="77777777" w:rsidTr="00E96B29">
        <w:tc>
          <w:tcPr>
            <w:tcW w:w="4536" w:type="dxa"/>
            <w:shd w:val="clear" w:color="auto" w:fill="auto"/>
          </w:tcPr>
          <w:p w14:paraId="36BFC4D6" w14:textId="77777777" w:rsidR="00E96B29" w:rsidRPr="00027624" w:rsidRDefault="00E96B29" w:rsidP="00E96B29">
            <w:pPr>
              <w:pStyle w:val="ChartSecondHeading"/>
            </w:pPr>
            <w:r w:rsidRPr="00027624">
              <w:t>Decile 7</w:t>
            </w:r>
          </w:p>
        </w:tc>
        <w:tc>
          <w:tcPr>
            <w:tcW w:w="4536" w:type="dxa"/>
            <w:shd w:val="clear" w:color="auto" w:fill="auto"/>
          </w:tcPr>
          <w:p w14:paraId="75EF04D4" w14:textId="77777777" w:rsidR="00E96B29" w:rsidRPr="00027624" w:rsidRDefault="00E96B29" w:rsidP="00E96B29">
            <w:pPr>
              <w:pStyle w:val="ChartSecondHeading"/>
            </w:pPr>
            <w:r w:rsidRPr="00027624">
              <w:t>Decile 9</w:t>
            </w:r>
          </w:p>
        </w:tc>
      </w:tr>
    </w:tbl>
    <w:p w14:paraId="29DEAEF9" w14:textId="77777777" w:rsidR="00E96B29" w:rsidRPr="00027624" w:rsidRDefault="007445E2" w:rsidP="00E96B29">
      <w:pPr>
        <w:pStyle w:val="ChartGraphic"/>
        <w:rPr>
          <w:noProof/>
        </w:rPr>
      </w:pPr>
      <w:r>
        <w:rPr>
          <w:noProof/>
        </w:rPr>
        <w:drawing>
          <wp:inline distT="0" distB="0" distL="0" distR="0" wp14:anchorId="2F0C93D6" wp14:editId="109031FE">
            <wp:extent cx="2872740" cy="2880360"/>
            <wp:effectExtent l="0" t="0" r="3810" b="0"/>
            <wp:docPr id="679974594" name="Picture 67997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r>
        <w:rPr>
          <w:noProof/>
        </w:rPr>
        <w:drawing>
          <wp:inline distT="0" distB="0" distL="0" distR="0" wp14:anchorId="06DA8810" wp14:editId="08A2766D">
            <wp:extent cx="2857500" cy="2880360"/>
            <wp:effectExtent l="0" t="0" r="0" b="0"/>
            <wp:docPr id="679974595" name="Picture 67997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857500" cy="2880360"/>
                    </a:xfrm>
                    <a:prstGeom prst="rect">
                      <a:avLst/>
                    </a:prstGeom>
                    <a:noFill/>
                  </pic:spPr>
                </pic:pic>
              </a:graphicData>
            </a:graphic>
          </wp:inline>
        </w:drawing>
      </w:r>
    </w:p>
    <w:p w14:paraId="5EEB4911" w14:textId="62751869" w:rsidR="00E96B29" w:rsidRPr="00027624" w:rsidRDefault="00E96B29" w:rsidP="00E96B29">
      <w:pPr>
        <w:pStyle w:val="ChartorTableNote"/>
        <w:rPr>
          <w:color w:val="auto"/>
        </w:rPr>
      </w:pPr>
      <w:r w:rsidRPr="00027624">
        <w:rPr>
          <w:color w:val="auto"/>
        </w:rPr>
        <w:t xml:space="preserve">Note: See </w:t>
      </w:r>
      <w:r w:rsidRPr="00027624">
        <w:rPr>
          <w:color w:val="auto"/>
        </w:rPr>
        <w:fldChar w:fldCharType="begin"/>
      </w:r>
      <w:r w:rsidRPr="00027624">
        <w:rPr>
          <w:color w:val="auto"/>
        </w:rPr>
        <w:instrText xml:space="preserve"> REF _Ref43124885 \r \h  \* MERGEFORMAT </w:instrText>
      </w:r>
      <w:r w:rsidRPr="00027624">
        <w:rPr>
          <w:color w:val="auto"/>
        </w:rPr>
      </w:r>
      <w:r w:rsidRPr="00027624">
        <w:rPr>
          <w:color w:val="auto"/>
        </w:rPr>
        <w:fldChar w:fldCharType="separate"/>
      </w:r>
      <w:r w:rsidR="00891058">
        <w:rPr>
          <w:color w:val="auto"/>
        </w:rPr>
        <w:t>Chart 6D-6</w:t>
      </w:r>
      <w:r w:rsidRPr="00027624">
        <w:rPr>
          <w:color w:val="auto"/>
        </w:rPr>
        <w:fldChar w:fldCharType="end"/>
      </w:r>
      <w:r w:rsidRPr="00027624">
        <w:rPr>
          <w:color w:val="auto"/>
        </w:rPr>
        <w:t>. Source: Data provided by the ATO for the review.</w:t>
      </w:r>
    </w:p>
    <w:p w14:paraId="035EFD60" w14:textId="77777777" w:rsidR="00E96B29" w:rsidRPr="00027624" w:rsidRDefault="00E96B29" w:rsidP="00E96B29">
      <w:pPr>
        <w:pStyle w:val="ChartMainHeading"/>
      </w:pPr>
      <w:bookmarkStart w:id="4379" w:name="_Ref43124890"/>
      <w:r w:rsidRPr="00027624">
        <w:t>After</w:t>
      </w:r>
      <w:r w:rsidR="00A8443E" w:rsidRPr="00027624">
        <w:noBreakHyphen/>
      </w:r>
      <w:r w:rsidRPr="00027624">
        <w:t>tax personal superannuation contributions, by gender</w:t>
      </w:r>
      <w:r w:rsidR="00A8443E" w:rsidRPr="00027624">
        <w:noBreakHyphen/>
      </w:r>
      <w:r w:rsidRPr="00027624">
        <w:t>based balance decile and age, 2012</w:t>
      </w:r>
      <w:r w:rsidR="00A8443E" w:rsidRPr="00027624">
        <w:noBreakHyphen/>
      </w:r>
      <w:r w:rsidRPr="00027624">
        <w:t>13 to 2016</w:t>
      </w:r>
      <w:r w:rsidR="00A8443E" w:rsidRPr="00027624">
        <w:noBreakHyphen/>
      </w:r>
      <w:r w:rsidRPr="00027624">
        <w:t>17</w:t>
      </w:r>
      <w:bookmarkEnd w:id="4379"/>
    </w:p>
    <w:tbl>
      <w:tblPr>
        <w:tblStyle w:val="TableGrid"/>
        <w:tblW w:w="0" w:type="auto"/>
        <w:tblLook w:val="04A0" w:firstRow="1" w:lastRow="0" w:firstColumn="1" w:lastColumn="0" w:noHBand="0" w:noVBand="1"/>
      </w:tblPr>
      <w:tblGrid>
        <w:gridCol w:w="4535"/>
        <w:gridCol w:w="4535"/>
      </w:tblGrid>
      <w:tr w:rsidR="00E96B29" w:rsidRPr="00027624" w14:paraId="1AF7B482" w14:textId="77777777" w:rsidTr="00E96B29">
        <w:tc>
          <w:tcPr>
            <w:tcW w:w="4536" w:type="dxa"/>
            <w:shd w:val="clear" w:color="auto" w:fill="auto"/>
          </w:tcPr>
          <w:p w14:paraId="6E2B0A70" w14:textId="77777777" w:rsidR="00E96B29" w:rsidRPr="00027624" w:rsidRDefault="00E96B29" w:rsidP="00E96B29">
            <w:pPr>
              <w:pStyle w:val="ChartSecondHeading"/>
            </w:pPr>
            <w:r w:rsidRPr="00027624">
              <w:t>Decile 3</w:t>
            </w:r>
          </w:p>
        </w:tc>
        <w:tc>
          <w:tcPr>
            <w:tcW w:w="4536" w:type="dxa"/>
            <w:shd w:val="clear" w:color="auto" w:fill="auto"/>
          </w:tcPr>
          <w:p w14:paraId="043C5E3B" w14:textId="77777777" w:rsidR="00E96B29" w:rsidRPr="00027624" w:rsidRDefault="00E96B29" w:rsidP="00E96B29">
            <w:pPr>
              <w:pStyle w:val="ChartSecondHeading"/>
            </w:pPr>
            <w:r w:rsidRPr="00027624">
              <w:t>Decile 5</w:t>
            </w:r>
          </w:p>
        </w:tc>
      </w:tr>
    </w:tbl>
    <w:p w14:paraId="2BD4A61C" w14:textId="77777777" w:rsidR="00E96B29" w:rsidRPr="00027624" w:rsidRDefault="00926CB7" w:rsidP="00E96B29">
      <w:pPr>
        <w:pStyle w:val="ChartGraphic"/>
        <w:rPr>
          <w:noProof/>
        </w:rPr>
      </w:pPr>
      <w:r>
        <w:rPr>
          <w:noProof/>
        </w:rPr>
        <w:drawing>
          <wp:inline distT="0" distB="0" distL="0" distR="0" wp14:anchorId="5BA5F84E" wp14:editId="0933B7D5">
            <wp:extent cx="2876400" cy="2876400"/>
            <wp:effectExtent l="0" t="0" r="635" b="635"/>
            <wp:docPr id="679974596" name="Picture 679974596" descr="These charts show that, between 2012-13 and 2016-17, there was an increase in after-tax personal superannuation contributions with age and superannuation balance decile. Women generally made more after-tax contributions then men, particularly later in age. The contribution amount increased with superannuation balance decile." title="Chart 6D-10 After-tax personal superannuation contributions, by gender-based balance decile and ag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202024A6" wp14:editId="0C2AA59C">
            <wp:extent cx="2876400" cy="2876400"/>
            <wp:effectExtent l="0" t="0" r="635" b="635"/>
            <wp:docPr id="679974597" name="Picture 67997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4535"/>
        <w:gridCol w:w="4535"/>
      </w:tblGrid>
      <w:tr w:rsidR="00E96B29" w:rsidRPr="00027624" w14:paraId="7481DDA1" w14:textId="77777777" w:rsidTr="00E96B29">
        <w:tc>
          <w:tcPr>
            <w:tcW w:w="4536" w:type="dxa"/>
            <w:shd w:val="clear" w:color="auto" w:fill="auto"/>
          </w:tcPr>
          <w:p w14:paraId="17F55392" w14:textId="77777777" w:rsidR="00E96B29" w:rsidRPr="00027624" w:rsidRDefault="00E96B29" w:rsidP="00E96B29">
            <w:pPr>
              <w:pStyle w:val="ChartSecondHeading"/>
            </w:pPr>
            <w:r w:rsidRPr="00027624">
              <w:t>Decile 7</w:t>
            </w:r>
          </w:p>
        </w:tc>
        <w:tc>
          <w:tcPr>
            <w:tcW w:w="4536" w:type="dxa"/>
            <w:shd w:val="clear" w:color="auto" w:fill="auto"/>
          </w:tcPr>
          <w:p w14:paraId="3993C1E2" w14:textId="77777777" w:rsidR="00E96B29" w:rsidRPr="00027624" w:rsidRDefault="00E96B29" w:rsidP="00E96B29">
            <w:pPr>
              <w:pStyle w:val="ChartSecondHeading"/>
            </w:pPr>
            <w:r w:rsidRPr="00027624">
              <w:t>Decile 9</w:t>
            </w:r>
          </w:p>
        </w:tc>
      </w:tr>
    </w:tbl>
    <w:p w14:paraId="35206439" w14:textId="77777777" w:rsidR="00E96B29" w:rsidRPr="00027624" w:rsidRDefault="00926CB7" w:rsidP="00E96B29">
      <w:pPr>
        <w:pStyle w:val="ChartGraphic"/>
        <w:rPr>
          <w:noProof/>
        </w:rPr>
      </w:pPr>
      <w:r>
        <w:rPr>
          <w:noProof/>
        </w:rPr>
        <w:drawing>
          <wp:inline distT="0" distB="0" distL="0" distR="0" wp14:anchorId="5B201914" wp14:editId="796EF213">
            <wp:extent cx="2876400" cy="2876400"/>
            <wp:effectExtent l="0" t="0" r="635" b="635"/>
            <wp:docPr id="679974598" name="Picture 67997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3049ACA1" wp14:editId="15705B5B">
            <wp:extent cx="2876400" cy="2876400"/>
            <wp:effectExtent l="0" t="0" r="635" b="635"/>
            <wp:docPr id="679974599" name="Picture 67997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p w14:paraId="36B1A690" w14:textId="5BAB0A99" w:rsidR="00E96B29" w:rsidRPr="00027624" w:rsidRDefault="00E96B29" w:rsidP="00E96B29">
      <w:pPr>
        <w:pStyle w:val="ChartorTableNote"/>
        <w:rPr>
          <w:color w:val="auto"/>
        </w:rPr>
      </w:pPr>
      <w:r w:rsidRPr="00027624">
        <w:rPr>
          <w:color w:val="auto"/>
        </w:rPr>
        <w:t xml:space="preserve">Note: See </w:t>
      </w:r>
      <w:r w:rsidRPr="00027624">
        <w:rPr>
          <w:color w:val="auto"/>
        </w:rPr>
        <w:fldChar w:fldCharType="begin"/>
      </w:r>
      <w:r w:rsidRPr="00027624">
        <w:rPr>
          <w:color w:val="auto"/>
        </w:rPr>
        <w:instrText xml:space="preserve"> REF _Ref43124885 \r \h  \* MERGEFORMAT </w:instrText>
      </w:r>
      <w:r w:rsidRPr="00027624">
        <w:rPr>
          <w:color w:val="auto"/>
        </w:rPr>
      </w:r>
      <w:r w:rsidRPr="00027624">
        <w:rPr>
          <w:color w:val="auto"/>
        </w:rPr>
        <w:fldChar w:fldCharType="separate"/>
      </w:r>
      <w:r w:rsidR="00891058">
        <w:rPr>
          <w:color w:val="auto"/>
        </w:rPr>
        <w:t>Chart 6D-6</w:t>
      </w:r>
      <w:r w:rsidRPr="00027624">
        <w:rPr>
          <w:color w:val="auto"/>
        </w:rPr>
        <w:fldChar w:fldCharType="end"/>
      </w:r>
      <w:r w:rsidRPr="00027624">
        <w:rPr>
          <w:color w:val="auto"/>
        </w:rPr>
        <w:t>. Source: Data provided by the ATO for the review.</w:t>
      </w:r>
    </w:p>
    <w:p w14:paraId="584FC391" w14:textId="77777777" w:rsidR="00E96B29" w:rsidRPr="00027624" w:rsidRDefault="00E96B29" w:rsidP="00E96B29">
      <w:pPr>
        <w:pStyle w:val="ChartMainHeading"/>
      </w:pPr>
      <w:bookmarkStart w:id="4380" w:name="_Ref43124749"/>
      <w:r w:rsidRPr="00027624">
        <w:t>Voluntary superannuation contributions for those in superannuation balance decile 3, by gender, partnered status, and partner</w:t>
      </w:r>
      <w:r w:rsidR="00A8443E" w:rsidRPr="00027624">
        <w:t>’</w:t>
      </w:r>
      <w:r w:rsidRPr="00027624">
        <w:t>s superannuation balance decile, 2012</w:t>
      </w:r>
      <w:r w:rsidR="00A8443E" w:rsidRPr="00027624">
        <w:noBreakHyphen/>
      </w:r>
      <w:r w:rsidRPr="00027624">
        <w:t>13 to 2016</w:t>
      </w:r>
      <w:r w:rsidR="00A8443E" w:rsidRPr="00027624">
        <w:noBreakHyphen/>
      </w:r>
      <w:r w:rsidRPr="00027624">
        <w:t>17</w:t>
      </w:r>
      <w:bookmarkEnd w:id="4380"/>
    </w:p>
    <w:p w14:paraId="070E890A" w14:textId="77777777" w:rsidR="00E96B29" w:rsidRPr="00027624" w:rsidRDefault="00E96B29" w:rsidP="00E96B29">
      <w:pPr>
        <w:pStyle w:val="ChartSecondHeading"/>
      </w:pPr>
      <w:r w:rsidRPr="00027624">
        <w:t>Average total voluntary contributions</w:t>
      </w:r>
    </w:p>
    <w:tbl>
      <w:tblPr>
        <w:tblStyle w:val="TableGrid"/>
        <w:tblW w:w="0" w:type="auto"/>
        <w:tblLook w:val="04A0" w:firstRow="1" w:lastRow="0" w:firstColumn="1" w:lastColumn="0" w:noHBand="0" w:noVBand="1"/>
      </w:tblPr>
      <w:tblGrid>
        <w:gridCol w:w="4535"/>
        <w:gridCol w:w="4535"/>
      </w:tblGrid>
      <w:tr w:rsidR="00E96B29" w:rsidRPr="00027624" w14:paraId="1EB3E512" w14:textId="77777777" w:rsidTr="00E96B29">
        <w:tc>
          <w:tcPr>
            <w:tcW w:w="4536" w:type="dxa"/>
            <w:shd w:val="clear" w:color="auto" w:fill="auto"/>
          </w:tcPr>
          <w:p w14:paraId="53AC05AB" w14:textId="77777777" w:rsidR="00E96B29" w:rsidRPr="00027624" w:rsidRDefault="00E96B29" w:rsidP="00E96B29">
            <w:pPr>
              <w:pStyle w:val="ChartSecondHeading"/>
            </w:pPr>
            <w:r w:rsidRPr="00027624">
              <w:t>Women</w:t>
            </w:r>
          </w:p>
        </w:tc>
        <w:tc>
          <w:tcPr>
            <w:tcW w:w="4536" w:type="dxa"/>
            <w:shd w:val="clear" w:color="auto" w:fill="auto"/>
          </w:tcPr>
          <w:p w14:paraId="09626470" w14:textId="77777777" w:rsidR="00E96B29" w:rsidRPr="00027624" w:rsidRDefault="00E96B29" w:rsidP="00E96B29">
            <w:pPr>
              <w:pStyle w:val="ChartSecondHeading"/>
            </w:pPr>
            <w:r w:rsidRPr="00027624">
              <w:t>Men</w:t>
            </w:r>
          </w:p>
        </w:tc>
      </w:tr>
    </w:tbl>
    <w:p w14:paraId="7667A8D8" w14:textId="77777777" w:rsidR="00E96B29" w:rsidRPr="00027624" w:rsidRDefault="00907420" w:rsidP="00E96B29">
      <w:pPr>
        <w:pStyle w:val="ChartGraphic"/>
        <w:rPr>
          <w:noProof/>
        </w:rPr>
      </w:pPr>
      <w:r>
        <w:rPr>
          <w:noProof/>
        </w:rPr>
        <w:drawing>
          <wp:inline distT="0" distB="0" distL="0" distR="0" wp14:anchorId="126D74BF" wp14:editId="0C249031">
            <wp:extent cx="2876400" cy="2876400"/>
            <wp:effectExtent l="0" t="0" r="635" b="635"/>
            <wp:docPr id="2062294274" name="Picture 2062294274" descr="These charts show that, between 2012-13 and 2016-17, for both men and women at balance decile 3, voluntary superannuation contributions were higher for those partnered, particularly those partnered to someone with a larger superannuation balance (deciles 6-10). The value and proportion of people making voluntary contributions generally increased with age, with some declines in the late 60s." title="Chart 6D-11 Voluntary superannuation contributions for those in superannuation balance decile 3, by gender, partnered status, and partner’s superannuation balance decil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71BC623E" wp14:editId="6311D870">
            <wp:extent cx="2876400" cy="2876400"/>
            <wp:effectExtent l="0" t="0" r="635" b="635"/>
            <wp:docPr id="1929377061" name="Picture 192937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p w14:paraId="01C56759" w14:textId="77777777" w:rsidR="00E96B29" w:rsidRPr="00027624" w:rsidRDefault="00E96B29" w:rsidP="00E96B29">
      <w:pPr>
        <w:pStyle w:val="ChartSecondHeading"/>
      </w:pPr>
      <w:r w:rsidRPr="00027624">
        <w:t>Proportion making voluntary contributions</w:t>
      </w:r>
    </w:p>
    <w:tbl>
      <w:tblPr>
        <w:tblStyle w:val="TableGrid"/>
        <w:tblW w:w="0" w:type="auto"/>
        <w:tblLook w:val="04A0" w:firstRow="1" w:lastRow="0" w:firstColumn="1" w:lastColumn="0" w:noHBand="0" w:noVBand="1"/>
      </w:tblPr>
      <w:tblGrid>
        <w:gridCol w:w="4535"/>
        <w:gridCol w:w="4535"/>
      </w:tblGrid>
      <w:tr w:rsidR="00E96B29" w:rsidRPr="00027624" w14:paraId="64B185C7" w14:textId="77777777" w:rsidTr="00E96B29">
        <w:tc>
          <w:tcPr>
            <w:tcW w:w="4536" w:type="dxa"/>
            <w:shd w:val="clear" w:color="auto" w:fill="auto"/>
          </w:tcPr>
          <w:p w14:paraId="0D1A84FF" w14:textId="77777777" w:rsidR="00E96B29" w:rsidRPr="00027624" w:rsidRDefault="00E96B29" w:rsidP="00E96B29">
            <w:pPr>
              <w:pStyle w:val="ChartSecondHeading"/>
            </w:pPr>
            <w:r w:rsidRPr="00027624">
              <w:t>Women</w:t>
            </w:r>
          </w:p>
        </w:tc>
        <w:tc>
          <w:tcPr>
            <w:tcW w:w="4536" w:type="dxa"/>
            <w:shd w:val="clear" w:color="auto" w:fill="auto"/>
          </w:tcPr>
          <w:p w14:paraId="4D6CDEF0" w14:textId="77777777" w:rsidR="00E96B29" w:rsidRPr="00027624" w:rsidRDefault="00E96B29" w:rsidP="00E96B29">
            <w:pPr>
              <w:pStyle w:val="ChartSecondHeading"/>
            </w:pPr>
            <w:r w:rsidRPr="00027624">
              <w:t>Men</w:t>
            </w:r>
          </w:p>
        </w:tc>
      </w:tr>
    </w:tbl>
    <w:p w14:paraId="096603BB" w14:textId="77777777" w:rsidR="00E96B29" w:rsidRPr="00027624" w:rsidRDefault="00907420" w:rsidP="00E96B29">
      <w:pPr>
        <w:pStyle w:val="ChartGraphic"/>
        <w:rPr>
          <w:noProof/>
        </w:rPr>
      </w:pPr>
      <w:r>
        <w:rPr>
          <w:noProof/>
        </w:rPr>
        <w:drawing>
          <wp:inline distT="0" distB="0" distL="0" distR="0" wp14:anchorId="3EA91A87" wp14:editId="786B7EB6">
            <wp:extent cx="2880360" cy="2880360"/>
            <wp:effectExtent l="0" t="0" r="0" b="0"/>
            <wp:docPr id="1929377062" name="Picture 1929377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r>
        <w:rPr>
          <w:noProof/>
        </w:rPr>
        <w:drawing>
          <wp:inline distT="0" distB="0" distL="0" distR="0" wp14:anchorId="4EE90BDF" wp14:editId="5D79384F">
            <wp:extent cx="2872740" cy="2880360"/>
            <wp:effectExtent l="0" t="0" r="3810" b="0"/>
            <wp:docPr id="1929377063" name="Picture 1929377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29A9C7A5" w14:textId="29721D5A" w:rsidR="00E96B29" w:rsidRPr="00027624" w:rsidRDefault="00E96B29" w:rsidP="00E96B29">
      <w:pPr>
        <w:pStyle w:val="ChartorTableNote"/>
        <w:rPr>
          <w:color w:val="auto"/>
        </w:rPr>
      </w:pPr>
      <w:r w:rsidRPr="00027624">
        <w:rPr>
          <w:color w:val="auto"/>
        </w:rPr>
        <w:t xml:space="preserve">Note for </w:t>
      </w:r>
      <w:r w:rsidRPr="00027624">
        <w:rPr>
          <w:color w:val="auto"/>
        </w:rPr>
        <w:fldChar w:fldCharType="begin"/>
      </w:r>
      <w:r w:rsidRPr="00027624">
        <w:rPr>
          <w:color w:val="auto"/>
        </w:rPr>
        <w:instrText xml:space="preserve"> REF _Ref43124749 \r \h  \* MERGEFORMAT </w:instrText>
      </w:r>
      <w:r w:rsidRPr="00027624">
        <w:rPr>
          <w:color w:val="auto"/>
        </w:rPr>
      </w:r>
      <w:r w:rsidRPr="00027624">
        <w:rPr>
          <w:color w:val="auto"/>
        </w:rPr>
        <w:fldChar w:fldCharType="separate"/>
      </w:r>
      <w:r w:rsidR="00891058">
        <w:rPr>
          <w:color w:val="auto"/>
        </w:rPr>
        <w:t>Chart 6D-11</w:t>
      </w:r>
      <w:r w:rsidRPr="00027624">
        <w:rPr>
          <w:color w:val="auto"/>
        </w:rPr>
        <w:fldChar w:fldCharType="end"/>
      </w:r>
      <w:r w:rsidRPr="00027624">
        <w:rPr>
          <w:color w:val="auto"/>
        </w:rPr>
        <w:t xml:space="preserve">, </w:t>
      </w:r>
      <w:r w:rsidRPr="00027624">
        <w:rPr>
          <w:color w:val="auto"/>
        </w:rPr>
        <w:fldChar w:fldCharType="begin"/>
      </w:r>
      <w:r w:rsidRPr="00027624">
        <w:rPr>
          <w:color w:val="auto"/>
        </w:rPr>
        <w:instrText xml:space="preserve"> REF _Ref43124760 \r \h  \* MERGEFORMAT </w:instrText>
      </w:r>
      <w:r w:rsidRPr="00027624">
        <w:rPr>
          <w:color w:val="auto"/>
        </w:rPr>
      </w:r>
      <w:r w:rsidRPr="00027624">
        <w:rPr>
          <w:color w:val="auto"/>
        </w:rPr>
        <w:fldChar w:fldCharType="separate"/>
      </w:r>
      <w:r w:rsidR="00891058">
        <w:rPr>
          <w:color w:val="auto"/>
        </w:rPr>
        <w:t>Chart 6D-12</w:t>
      </w:r>
      <w:r w:rsidRPr="00027624">
        <w:rPr>
          <w:color w:val="auto"/>
        </w:rPr>
        <w:fldChar w:fldCharType="end"/>
      </w:r>
      <w:r w:rsidRPr="00027624">
        <w:rPr>
          <w:color w:val="auto"/>
        </w:rPr>
        <w:t xml:space="preserve">, </w:t>
      </w:r>
      <w:r w:rsidRPr="00027624">
        <w:rPr>
          <w:color w:val="auto"/>
        </w:rPr>
        <w:fldChar w:fldCharType="begin"/>
      </w:r>
      <w:r w:rsidRPr="00027624">
        <w:rPr>
          <w:color w:val="auto"/>
        </w:rPr>
        <w:instrText xml:space="preserve"> REF _Ref43124762 \r \h  \* MERGEFORMAT </w:instrText>
      </w:r>
      <w:r w:rsidRPr="00027624">
        <w:rPr>
          <w:color w:val="auto"/>
        </w:rPr>
      </w:r>
      <w:r w:rsidRPr="00027624">
        <w:rPr>
          <w:color w:val="auto"/>
        </w:rPr>
        <w:fldChar w:fldCharType="separate"/>
      </w:r>
      <w:r w:rsidR="00891058">
        <w:rPr>
          <w:color w:val="auto"/>
        </w:rPr>
        <w:t>Chart 6D-13</w:t>
      </w:r>
      <w:r w:rsidRPr="00027624">
        <w:rPr>
          <w:color w:val="auto"/>
        </w:rPr>
        <w:fldChar w:fldCharType="end"/>
      </w:r>
      <w:r w:rsidRPr="00027624">
        <w:rPr>
          <w:color w:val="auto"/>
        </w:rPr>
        <w:t xml:space="preserve"> and </w:t>
      </w:r>
      <w:r w:rsidRPr="00027624">
        <w:rPr>
          <w:color w:val="auto"/>
        </w:rPr>
        <w:fldChar w:fldCharType="begin"/>
      </w:r>
      <w:r w:rsidRPr="00027624">
        <w:rPr>
          <w:color w:val="auto"/>
        </w:rPr>
        <w:instrText xml:space="preserve"> REF _Ref43124765 \r \h  \* MERGEFORMAT </w:instrText>
      </w:r>
      <w:r w:rsidRPr="00027624">
        <w:rPr>
          <w:color w:val="auto"/>
        </w:rPr>
      </w:r>
      <w:r w:rsidRPr="00027624">
        <w:rPr>
          <w:color w:val="auto"/>
        </w:rPr>
        <w:fldChar w:fldCharType="separate"/>
      </w:r>
      <w:r w:rsidR="00891058">
        <w:rPr>
          <w:color w:val="auto"/>
        </w:rPr>
        <w:t>Chart 6D-14</w:t>
      </w:r>
      <w:r w:rsidRPr="00027624">
        <w:rPr>
          <w:color w:val="auto"/>
        </w:rPr>
        <w:fldChar w:fldCharType="end"/>
      </w:r>
      <w:r w:rsidRPr="00027624">
        <w:rPr>
          <w:color w:val="auto"/>
        </w:rPr>
        <w:t>: Men and women aged 40, 45, 50, 55, 60, and 65 at 30 June 2013 were sorted into gender</w:t>
      </w:r>
      <w:r w:rsidR="00A8443E" w:rsidRPr="00027624">
        <w:rPr>
          <w:color w:val="auto"/>
        </w:rPr>
        <w:noBreakHyphen/>
      </w:r>
      <w:r w:rsidRPr="00027624">
        <w:rPr>
          <w:color w:val="auto"/>
        </w:rPr>
        <w:t>based deciles based on their superannuation balance and age (those with zero balances were excluded). People were then further sorted into whether they were single, partnered to a person of gender</w:t>
      </w:r>
      <w:r w:rsidR="00A8443E" w:rsidRPr="00027624">
        <w:rPr>
          <w:color w:val="auto"/>
        </w:rPr>
        <w:noBreakHyphen/>
      </w:r>
      <w:r w:rsidRPr="00027624">
        <w:rPr>
          <w:color w:val="auto"/>
        </w:rPr>
        <w:t>wise balance decile 1 to 5, or partnered to a person of gender</w:t>
      </w:r>
      <w:r w:rsidR="00A8443E" w:rsidRPr="00027624">
        <w:rPr>
          <w:color w:val="auto"/>
        </w:rPr>
        <w:noBreakHyphen/>
      </w:r>
      <w:r w:rsidRPr="00027624">
        <w:rPr>
          <w:color w:val="auto"/>
        </w:rPr>
        <w:t>wise balance decile 6 to 10. Those partnered to a person with zero superannuation were excluded. Balances were then tracked over the following four years to 2016</w:t>
      </w:r>
      <w:r w:rsidR="00A8443E" w:rsidRPr="00027624">
        <w:rPr>
          <w:color w:val="auto"/>
        </w:rPr>
        <w:noBreakHyphen/>
      </w:r>
      <w:r w:rsidRPr="00027624">
        <w:rPr>
          <w:color w:val="auto"/>
        </w:rPr>
        <w:t>17. The first set of charts compare the average total voluntary contributions for men and women at the relevant gender</w:t>
      </w:r>
      <w:r w:rsidR="00A8443E" w:rsidRPr="00027624">
        <w:rPr>
          <w:color w:val="auto"/>
        </w:rPr>
        <w:noBreakHyphen/>
      </w:r>
      <w:r w:rsidRPr="00027624">
        <w:rPr>
          <w:color w:val="auto"/>
        </w:rPr>
        <w:t>based decile of superannuation balances across singles, those partnered to a person of gender</w:t>
      </w:r>
      <w:r w:rsidR="00A8443E" w:rsidRPr="00027624">
        <w:rPr>
          <w:color w:val="auto"/>
        </w:rPr>
        <w:noBreakHyphen/>
      </w:r>
      <w:r w:rsidRPr="00027624">
        <w:rPr>
          <w:color w:val="auto"/>
        </w:rPr>
        <w:t>wise balance decile 1 to 5, and those partnered to a person of gender</w:t>
      </w:r>
      <w:r w:rsidR="00A8443E" w:rsidRPr="00027624">
        <w:rPr>
          <w:color w:val="auto"/>
        </w:rPr>
        <w:noBreakHyphen/>
      </w:r>
      <w:r w:rsidRPr="00027624">
        <w:rPr>
          <w:color w:val="auto"/>
        </w:rPr>
        <w:t xml:space="preserve">wise balance decile 6 to 10. The second set of charts compare the proportion making any voluntary contributions at the relevant decile of superannuation balances across those same categories. Data collection period coincides with changes to superannuation </w:t>
      </w:r>
      <w:r w:rsidR="00404B9D" w:rsidRPr="00027624">
        <w:rPr>
          <w:color w:val="auto"/>
        </w:rPr>
        <w:t>contributions cap</w:t>
      </w:r>
      <w:r w:rsidRPr="00027624">
        <w:rPr>
          <w:color w:val="auto"/>
        </w:rPr>
        <w:t>s across the 2012</w:t>
      </w:r>
      <w:r w:rsidR="00A8443E" w:rsidRPr="00027624">
        <w:rPr>
          <w:color w:val="auto"/>
        </w:rPr>
        <w:noBreakHyphen/>
      </w:r>
      <w:r w:rsidRPr="00027624">
        <w:rPr>
          <w:color w:val="auto"/>
        </w:rPr>
        <w:t>13 to 2016</w:t>
      </w:r>
      <w:r w:rsidR="00A8443E" w:rsidRPr="00027624">
        <w:rPr>
          <w:color w:val="auto"/>
        </w:rPr>
        <w:noBreakHyphen/>
      </w:r>
      <w:r w:rsidRPr="00027624">
        <w:rPr>
          <w:color w:val="auto"/>
        </w:rPr>
        <w:t xml:space="preserve">17 period. The </w:t>
      </w:r>
      <w:r w:rsidR="00A8443E" w:rsidRPr="00027624">
        <w:rPr>
          <w:color w:val="auto"/>
        </w:rPr>
        <w:t>‘</w:t>
      </w:r>
      <w:r w:rsidRPr="00027624">
        <w:rPr>
          <w:color w:val="auto"/>
        </w:rPr>
        <w:t>10 per cent rule</w:t>
      </w:r>
      <w:r w:rsidR="00A8443E" w:rsidRPr="00027624">
        <w:rPr>
          <w:color w:val="auto"/>
        </w:rPr>
        <w:t>’</w:t>
      </w:r>
      <w:r w:rsidRPr="00027624">
        <w:rPr>
          <w:color w:val="auto"/>
        </w:rPr>
        <w:t xml:space="preserve"> for deductible personal superannuation contributions prior to 1 July 2017 also applied across this period (see </w:t>
      </w:r>
      <w:r w:rsidRPr="00027624">
        <w:rPr>
          <w:i/>
          <w:color w:val="auto"/>
        </w:rPr>
        <w:t>1B. Design of Australia</w:t>
      </w:r>
      <w:r w:rsidR="00A8443E" w:rsidRPr="00027624">
        <w:rPr>
          <w:i/>
          <w:color w:val="auto"/>
        </w:rPr>
        <w:t>’</w:t>
      </w:r>
      <w:r w:rsidRPr="00027624">
        <w:rPr>
          <w:i/>
          <w:color w:val="auto"/>
        </w:rPr>
        <w:t>s retirement income system</w:t>
      </w:r>
      <w:r w:rsidRPr="00027624">
        <w:rPr>
          <w:color w:val="auto"/>
        </w:rPr>
        <w:t xml:space="preserve">). This may influence the results presented. Contribution amounts are in nominal dollars, from </w:t>
      </w:r>
      <w:r w:rsidRPr="00027624">
        <w:t>2012</w:t>
      </w:r>
      <w:r w:rsidR="00A8443E" w:rsidRPr="00027624">
        <w:noBreakHyphen/>
      </w:r>
      <w:r w:rsidRPr="00027624">
        <w:t>13 to 2016</w:t>
      </w:r>
      <w:r w:rsidR="00A8443E" w:rsidRPr="00027624">
        <w:noBreakHyphen/>
      </w:r>
      <w:r w:rsidRPr="00027624">
        <w:t>17</w:t>
      </w:r>
      <w:r w:rsidRPr="00027624">
        <w:rPr>
          <w:color w:val="auto"/>
        </w:rPr>
        <w:t>. Source: Data provided by the ATO for the review.</w:t>
      </w:r>
    </w:p>
    <w:p w14:paraId="715CCCF2" w14:textId="77777777" w:rsidR="00E96B29" w:rsidRPr="00027624" w:rsidRDefault="00E96B29" w:rsidP="00E96B29">
      <w:pPr>
        <w:pStyle w:val="ChartMainHeading"/>
      </w:pPr>
      <w:bookmarkStart w:id="4381" w:name="_Ref43124760"/>
      <w:r w:rsidRPr="00027624">
        <w:t>Voluntary superannuation contributions for those in superannuation balance decile 5, by gender, partnered status, and partner</w:t>
      </w:r>
      <w:r w:rsidR="00A8443E" w:rsidRPr="00027624">
        <w:t>’</w:t>
      </w:r>
      <w:r w:rsidRPr="00027624">
        <w:t>s superannuation balance decile, 2012</w:t>
      </w:r>
      <w:r w:rsidR="00A8443E" w:rsidRPr="00027624">
        <w:noBreakHyphen/>
      </w:r>
      <w:r w:rsidRPr="00027624">
        <w:t>13 to 2016</w:t>
      </w:r>
      <w:r w:rsidR="00A8443E" w:rsidRPr="00027624">
        <w:noBreakHyphen/>
      </w:r>
      <w:r w:rsidRPr="00027624">
        <w:t>17</w:t>
      </w:r>
      <w:bookmarkEnd w:id="4381"/>
    </w:p>
    <w:p w14:paraId="102F4F1C" w14:textId="77777777" w:rsidR="00E96B29" w:rsidRPr="00027624" w:rsidRDefault="00E96B29" w:rsidP="00E96B29">
      <w:pPr>
        <w:pStyle w:val="ChartSecondHeading"/>
      </w:pPr>
      <w:r w:rsidRPr="00027624">
        <w:t>Average total voluntary contributions</w:t>
      </w:r>
    </w:p>
    <w:tbl>
      <w:tblPr>
        <w:tblStyle w:val="TableGrid"/>
        <w:tblW w:w="0" w:type="auto"/>
        <w:tblLook w:val="04A0" w:firstRow="1" w:lastRow="0" w:firstColumn="1" w:lastColumn="0" w:noHBand="0" w:noVBand="1"/>
      </w:tblPr>
      <w:tblGrid>
        <w:gridCol w:w="4535"/>
        <w:gridCol w:w="4535"/>
      </w:tblGrid>
      <w:tr w:rsidR="00E96B29" w:rsidRPr="00027624" w14:paraId="5E406E29" w14:textId="77777777" w:rsidTr="00E96B29">
        <w:tc>
          <w:tcPr>
            <w:tcW w:w="4536" w:type="dxa"/>
            <w:shd w:val="clear" w:color="auto" w:fill="auto"/>
          </w:tcPr>
          <w:p w14:paraId="01FAADEE" w14:textId="77777777" w:rsidR="00E96B29" w:rsidRPr="00027624" w:rsidRDefault="00E96B29" w:rsidP="00E96B29">
            <w:pPr>
              <w:pStyle w:val="ChartSecondHeading"/>
            </w:pPr>
            <w:r w:rsidRPr="00027624">
              <w:t>Women</w:t>
            </w:r>
          </w:p>
        </w:tc>
        <w:tc>
          <w:tcPr>
            <w:tcW w:w="4536" w:type="dxa"/>
            <w:shd w:val="clear" w:color="auto" w:fill="auto"/>
          </w:tcPr>
          <w:p w14:paraId="08EF4540" w14:textId="77777777" w:rsidR="00E96B29" w:rsidRPr="00027624" w:rsidRDefault="00E96B29" w:rsidP="00E96B29">
            <w:pPr>
              <w:pStyle w:val="ChartSecondHeading"/>
            </w:pPr>
            <w:r w:rsidRPr="00027624">
              <w:t>Men</w:t>
            </w:r>
          </w:p>
        </w:tc>
      </w:tr>
    </w:tbl>
    <w:p w14:paraId="68CEF76B" w14:textId="77777777" w:rsidR="00E96B29" w:rsidRPr="00027624" w:rsidRDefault="00907420" w:rsidP="00E96B29">
      <w:pPr>
        <w:pStyle w:val="ChartGraphic"/>
      </w:pPr>
      <w:r>
        <w:rPr>
          <w:noProof/>
        </w:rPr>
        <w:drawing>
          <wp:inline distT="0" distB="0" distL="0" distR="0" wp14:anchorId="0E7227C9" wp14:editId="4C6D11E0">
            <wp:extent cx="2876400" cy="2876400"/>
            <wp:effectExtent l="0" t="0" r="635" b="635"/>
            <wp:docPr id="1929377064" name="Picture 1929377064" descr="These charts show that, between 2012-13 and 2016-17, for both men and women at balance decile 5, voluntary superannuation contributions were higher for those partnered, particularly those partnered to someone with a larger balance (deciles 6-10). The value and proportion of people making voluntary contributions generally increased with age, with some declines in the late 60s." title="Chart 6D-12 Voluntary superannuation contributions for those in superannuation balance decile 5, by gender, partnered status, and partner’s superannuation balance decil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0F539FA3" wp14:editId="161FDADA">
            <wp:extent cx="2876400" cy="2876400"/>
            <wp:effectExtent l="0" t="0" r="635" b="635"/>
            <wp:docPr id="1929377065" name="Picture 1929377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p w14:paraId="66F6C14D" w14:textId="77777777" w:rsidR="00E96B29" w:rsidRPr="00027624" w:rsidRDefault="00E96B29" w:rsidP="00E96B29">
      <w:pPr>
        <w:pStyle w:val="ChartSecondHeading"/>
      </w:pPr>
      <w:r w:rsidRPr="00027624">
        <w:t>Proportion making voluntary contributions</w:t>
      </w:r>
    </w:p>
    <w:tbl>
      <w:tblPr>
        <w:tblStyle w:val="TableGrid"/>
        <w:tblW w:w="0" w:type="auto"/>
        <w:tblLook w:val="04A0" w:firstRow="1" w:lastRow="0" w:firstColumn="1" w:lastColumn="0" w:noHBand="0" w:noVBand="1"/>
      </w:tblPr>
      <w:tblGrid>
        <w:gridCol w:w="4535"/>
        <w:gridCol w:w="4535"/>
      </w:tblGrid>
      <w:tr w:rsidR="00E96B29" w:rsidRPr="00027624" w14:paraId="27CF5078" w14:textId="77777777" w:rsidTr="00E96B29">
        <w:tc>
          <w:tcPr>
            <w:tcW w:w="4536" w:type="dxa"/>
            <w:shd w:val="clear" w:color="auto" w:fill="auto"/>
          </w:tcPr>
          <w:p w14:paraId="2362835C" w14:textId="77777777" w:rsidR="00E96B29" w:rsidRPr="00027624" w:rsidRDefault="00E96B29" w:rsidP="00E96B29">
            <w:pPr>
              <w:pStyle w:val="ChartSecondHeading"/>
            </w:pPr>
            <w:r w:rsidRPr="00027624">
              <w:t>Women</w:t>
            </w:r>
          </w:p>
        </w:tc>
        <w:tc>
          <w:tcPr>
            <w:tcW w:w="4536" w:type="dxa"/>
            <w:shd w:val="clear" w:color="auto" w:fill="auto"/>
          </w:tcPr>
          <w:p w14:paraId="155638D7" w14:textId="77777777" w:rsidR="00E96B29" w:rsidRPr="00027624" w:rsidRDefault="00E96B29" w:rsidP="00E96B29">
            <w:pPr>
              <w:pStyle w:val="ChartSecondHeading"/>
            </w:pPr>
            <w:r w:rsidRPr="00027624">
              <w:t>Men</w:t>
            </w:r>
          </w:p>
        </w:tc>
      </w:tr>
    </w:tbl>
    <w:p w14:paraId="574EE68E" w14:textId="77777777" w:rsidR="00E96B29" w:rsidRPr="00027624" w:rsidRDefault="00907420" w:rsidP="00E96B29">
      <w:pPr>
        <w:pStyle w:val="ChartGraphic"/>
        <w:rPr>
          <w:noProof/>
        </w:rPr>
      </w:pPr>
      <w:r>
        <w:rPr>
          <w:noProof/>
        </w:rPr>
        <w:drawing>
          <wp:inline distT="0" distB="0" distL="0" distR="0" wp14:anchorId="5F1B9E3B" wp14:editId="419230C0">
            <wp:extent cx="2880360" cy="2880360"/>
            <wp:effectExtent l="0" t="0" r="0" b="0"/>
            <wp:docPr id="1929377066" name="Picture 1929377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r>
        <w:rPr>
          <w:noProof/>
        </w:rPr>
        <w:drawing>
          <wp:inline distT="0" distB="0" distL="0" distR="0" wp14:anchorId="2064FE22" wp14:editId="5D7623A9">
            <wp:extent cx="2872740" cy="2880360"/>
            <wp:effectExtent l="0" t="0" r="3810" b="0"/>
            <wp:docPr id="1929377067" name="Picture 192937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08EFC30F" w14:textId="45596BE7" w:rsidR="00E96B29" w:rsidRPr="00027624" w:rsidRDefault="00E96B29" w:rsidP="00E96B29">
      <w:pPr>
        <w:pStyle w:val="ChartorTableNote"/>
      </w:pPr>
      <w:r w:rsidRPr="00027624">
        <w:rPr>
          <w:color w:val="auto"/>
        </w:rPr>
        <w:t xml:space="preserve">Note: See </w:t>
      </w:r>
      <w:r w:rsidRPr="00027624">
        <w:rPr>
          <w:color w:val="auto"/>
        </w:rPr>
        <w:fldChar w:fldCharType="begin"/>
      </w:r>
      <w:r w:rsidRPr="00027624">
        <w:rPr>
          <w:color w:val="auto"/>
        </w:rPr>
        <w:instrText xml:space="preserve"> REF _Ref43124749 \r \h  \* MERGEFORMAT </w:instrText>
      </w:r>
      <w:r w:rsidRPr="00027624">
        <w:rPr>
          <w:color w:val="auto"/>
        </w:rPr>
      </w:r>
      <w:r w:rsidRPr="00027624">
        <w:rPr>
          <w:color w:val="auto"/>
        </w:rPr>
        <w:fldChar w:fldCharType="separate"/>
      </w:r>
      <w:r w:rsidR="00891058">
        <w:rPr>
          <w:color w:val="auto"/>
        </w:rPr>
        <w:t>Chart 6D-11</w:t>
      </w:r>
      <w:r w:rsidRPr="00027624">
        <w:rPr>
          <w:color w:val="auto"/>
        </w:rPr>
        <w:fldChar w:fldCharType="end"/>
      </w:r>
      <w:r w:rsidRPr="00027624">
        <w:rPr>
          <w:color w:val="auto"/>
        </w:rPr>
        <w:t>. Source: Data provided by the ATO for the review.</w:t>
      </w:r>
    </w:p>
    <w:p w14:paraId="711AD862" w14:textId="77777777" w:rsidR="00E96B29" w:rsidRPr="00027624" w:rsidRDefault="00E96B29" w:rsidP="00E96B29">
      <w:pPr>
        <w:pStyle w:val="ChartMainHeading"/>
      </w:pPr>
      <w:bookmarkStart w:id="4382" w:name="_Ref43124762"/>
      <w:r w:rsidRPr="00027624">
        <w:t>Voluntary superannuation contributions for those in superannuation balance decile 7, by gender, partnered status, and partner</w:t>
      </w:r>
      <w:r w:rsidR="00A8443E" w:rsidRPr="00027624">
        <w:t>’</w:t>
      </w:r>
      <w:r w:rsidRPr="00027624">
        <w:t>s superannuation balance decile, 2012</w:t>
      </w:r>
      <w:r w:rsidR="00A8443E" w:rsidRPr="00027624">
        <w:noBreakHyphen/>
      </w:r>
      <w:r w:rsidRPr="00027624">
        <w:t>13 to 2016</w:t>
      </w:r>
      <w:r w:rsidR="00A8443E" w:rsidRPr="00027624">
        <w:noBreakHyphen/>
      </w:r>
      <w:r w:rsidRPr="00027624">
        <w:t>17</w:t>
      </w:r>
      <w:bookmarkEnd w:id="4382"/>
    </w:p>
    <w:p w14:paraId="2DEC21D0" w14:textId="77777777" w:rsidR="00E96B29" w:rsidRPr="00027624" w:rsidRDefault="00E96B29" w:rsidP="00E96B29">
      <w:pPr>
        <w:pStyle w:val="ChartSecondHeading"/>
      </w:pPr>
      <w:r w:rsidRPr="00027624">
        <w:t>Average total voluntary contributions</w:t>
      </w:r>
    </w:p>
    <w:tbl>
      <w:tblPr>
        <w:tblStyle w:val="TableGrid"/>
        <w:tblW w:w="0" w:type="auto"/>
        <w:tblLook w:val="04A0" w:firstRow="1" w:lastRow="0" w:firstColumn="1" w:lastColumn="0" w:noHBand="0" w:noVBand="1"/>
      </w:tblPr>
      <w:tblGrid>
        <w:gridCol w:w="4535"/>
        <w:gridCol w:w="4535"/>
      </w:tblGrid>
      <w:tr w:rsidR="00E96B29" w:rsidRPr="00027624" w14:paraId="181A4C4C" w14:textId="77777777" w:rsidTr="00E96B29">
        <w:tc>
          <w:tcPr>
            <w:tcW w:w="4536" w:type="dxa"/>
            <w:shd w:val="clear" w:color="auto" w:fill="auto"/>
          </w:tcPr>
          <w:p w14:paraId="56D9E5ED" w14:textId="77777777" w:rsidR="00E96B29" w:rsidRPr="00027624" w:rsidRDefault="00E96B29" w:rsidP="00E96B29">
            <w:pPr>
              <w:pStyle w:val="ChartSecondHeading"/>
            </w:pPr>
            <w:r w:rsidRPr="00027624">
              <w:t>Women</w:t>
            </w:r>
          </w:p>
        </w:tc>
        <w:tc>
          <w:tcPr>
            <w:tcW w:w="4536" w:type="dxa"/>
            <w:shd w:val="clear" w:color="auto" w:fill="auto"/>
          </w:tcPr>
          <w:p w14:paraId="0056AC3D" w14:textId="77777777" w:rsidR="00E96B29" w:rsidRPr="00027624" w:rsidRDefault="00E96B29" w:rsidP="00E96B29">
            <w:pPr>
              <w:pStyle w:val="ChartSecondHeading"/>
            </w:pPr>
            <w:r w:rsidRPr="00027624">
              <w:t>Men</w:t>
            </w:r>
          </w:p>
        </w:tc>
      </w:tr>
    </w:tbl>
    <w:p w14:paraId="43EDB290" w14:textId="77777777" w:rsidR="00E96B29" w:rsidRPr="00027624" w:rsidRDefault="00907420" w:rsidP="00E96B29">
      <w:pPr>
        <w:pStyle w:val="ChartGraphic"/>
      </w:pPr>
      <w:r>
        <w:rPr>
          <w:noProof/>
        </w:rPr>
        <w:drawing>
          <wp:inline distT="0" distB="0" distL="0" distR="0" wp14:anchorId="1842E4E9" wp14:editId="5954824E">
            <wp:extent cx="2876400" cy="2876400"/>
            <wp:effectExtent l="0" t="0" r="635" b="635"/>
            <wp:docPr id="1929377068" name="Picture 1929377068" descr="These charts show that, between 2012-13 and 2016-17, for both men and women at balance decile 7, voluntary superannuation contributions were higher for those partnered to someone with a larger balance (deciles 6 10). The value and proportion of people making voluntary contributions generally increased with age before declining in the late 60s." title="Chart 6D-13 Voluntary superannuation contributions for those in superannuation balance decile 7, by gender, partnered status, and partner’s superannuation balance decil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1A17C500" wp14:editId="1CED6299">
            <wp:extent cx="2876400" cy="2876400"/>
            <wp:effectExtent l="0" t="0" r="635" b="635"/>
            <wp:docPr id="1929377069" name="Picture 1929377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p w14:paraId="10E813F1" w14:textId="77777777" w:rsidR="00E96B29" w:rsidRPr="00027624" w:rsidRDefault="00E96B29" w:rsidP="00E96B29">
      <w:pPr>
        <w:pStyle w:val="ChartSecondHeading"/>
      </w:pPr>
      <w:r w:rsidRPr="00027624">
        <w:t>Proportion making voluntary contributions</w:t>
      </w:r>
    </w:p>
    <w:tbl>
      <w:tblPr>
        <w:tblStyle w:val="TableGrid"/>
        <w:tblW w:w="0" w:type="auto"/>
        <w:tblLook w:val="04A0" w:firstRow="1" w:lastRow="0" w:firstColumn="1" w:lastColumn="0" w:noHBand="0" w:noVBand="1"/>
      </w:tblPr>
      <w:tblGrid>
        <w:gridCol w:w="4535"/>
        <w:gridCol w:w="4535"/>
      </w:tblGrid>
      <w:tr w:rsidR="00E96B29" w:rsidRPr="00027624" w14:paraId="7BC6276D" w14:textId="77777777" w:rsidTr="00E96B29">
        <w:tc>
          <w:tcPr>
            <w:tcW w:w="4536" w:type="dxa"/>
            <w:shd w:val="clear" w:color="auto" w:fill="auto"/>
          </w:tcPr>
          <w:p w14:paraId="3251B122" w14:textId="77777777" w:rsidR="00E96B29" w:rsidRPr="00027624" w:rsidRDefault="00E96B29" w:rsidP="00E96B29">
            <w:pPr>
              <w:pStyle w:val="ChartSecondHeading"/>
            </w:pPr>
            <w:r w:rsidRPr="00027624">
              <w:t>Women</w:t>
            </w:r>
          </w:p>
        </w:tc>
        <w:tc>
          <w:tcPr>
            <w:tcW w:w="4536" w:type="dxa"/>
            <w:shd w:val="clear" w:color="auto" w:fill="auto"/>
          </w:tcPr>
          <w:p w14:paraId="0305421E" w14:textId="77777777" w:rsidR="00E96B29" w:rsidRPr="00027624" w:rsidRDefault="00E96B29" w:rsidP="00E96B29">
            <w:pPr>
              <w:pStyle w:val="ChartSecondHeading"/>
            </w:pPr>
            <w:r w:rsidRPr="00027624">
              <w:t>Men</w:t>
            </w:r>
          </w:p>
        </w:tc>
      </w:tr>
    </w:tbl>
    <w:p w14:paraId="7BE37915" w14:textId="77777777" w:rsidR="00E96B29" w:rsidRPr="00027624" w:rsidRDefault="00907420" w:rsidP="00E96B29">
      <w:pPr>
        <w:pStyle w:val="ChartGraphic"/>
        <w:rPr>
          <w:noProof/>
        </w:rPr>
      </w:pPr>
      <w:r>
        <w:rPr>
          <w:noProof/>
        </w:rPr>
        <w:drawing>
          <wp:inline distT="0" distB="0" distL="0" distR="0" wp14:anchorId="59EC5A00" wp14:editId="5B45AAB5">
            <wp:extent cx="2880360" cy="2880360"/>
            <wp:effectExtent l="0" t="0" r="0" b="0"/>
            <wp:docPr id="1929377070" name="Picture 1929377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r>
        <w:rPr>
          <w:noProof/>
        </w:rPr>
        <w:drawing>
          <wp:inline distT="0" distB="0" distL="0" distR="0" wp14:anchorId="1AB2D37F" wp14:editId="59687EA2">
            <wp:extent cx="2872740" cy="2880360"/>
            <wp:effectExtent l="0" t="0" r="3810" b="0"/>
            <wp:docPr id="1929377071" name="Picture 192937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60A90E8B" w14:textId="55A4A6DC" w:rsidR="00E96B29" w:rsidRPr="00027624" w:rsidRDefault="00E96B29" w:rsidP="00E96B29">
      <w:pPr>
        <w:pStyle w:val="ChartorTableNote"/>
        <w:rPr>
          <w:rStyle w:val="Heading3Char"/>
          <w:rFonts w:cs="Times New Roman"/>
          <w:color w:val="auto"/>
          <w:kern w:val="0"/>
          <w:sz w:val="18"/>
          <w:szCs w:val="20"/>
        </w:rPr>
      </w:pPr>
      <w:r w:rsidRPr="00027624">
        <w:rPr>
          <w:color w:val="auto"/>
        </w:rPr>
        <w:t xml:space="preserve">Note: See </w:t>
      </w:r>
      <w:r w:rsidRPr="00027624">
        <w:rPr>
          <w:color w:val="auto"/>
        </w:rPr>
        <w:fldChar w:fldCharType="begin"/>
      </w:r>
      <w:r w:rsidRPr="00027624">
        <w:rPr>
          <w:color w:val="auto"/>
        </w:rPr>
        <w:instrText xml:space="preserve"> REF _Ref43124749 \r \h  \* MERGEFORMAT </w:instrText>
      </w:r>
      <w:r w:rsidRPr="00027624">
        <w:rPr>
          <w:color w:val="auto"/>
        </w:rPr>
      </w:r>
      <w:r w:rsidRPr="00027624">
        <w:rPr>
          <w:color w:val="auto"/>
        </w:rPr>
        <w:fldChar w:fldCharType="separate"/>
      </w:r>
      <w:r w:rsidR="00891058">
        <w:rPr>
          <w:color w:val="auto"/>
        </w:rPr>
        <w:t>Chart 6D-11</w:t>
      </w:r>
      <w:r w:rsidRPr="00027624">
        <w:rPr>
          <w:color w:val="auto"/>
        </w:rPr>
        <w:fldChar w:fldCharType="end"/>
      </w:r>
      <w:r w:rsidRPr="00027624">
        <w:rPr>
          <w:color w:val="auto"/>
        </w:rPr>
        <w:t>. Source: Data provided by the ATO for the review.</w:t>
      </w:r>
    </w:p>
    <w:p w14:paraId="509FC456" w14:textId="77777777" w:rsidR="00E96B29" w:rsidRPr="00027624" w:rsidRDefault="00E96B29" w:rsidP="00E96B29">
      <w:pPr>
        <w:pStyle w:val="ChartMainHeading"/>
      </w:pPr>
      <w:bookmarkStart w:id="4383" w:name="_Ref43124765"/>
      <w:r w:rsidRPr="00027624">
        <w:t>Voluntary superannuation contributions for those in superannuation balance decile 9, by gender, partnered status, and partner</w:t>
      </w:r>
      <w:r w:rsidR="00A8443E" w:rsidRPr="00027624">
        <w:t>’</w:t>
      </w:r>
      <w:r w:rsidRPr="00027624">
        <w:t>s superannuation balance decile, 2012</w:t>
      </w:r>
      <w:r w:rsidR="00A8443E" w:rsidRPr="00027624">
        <w:noBreakHyphen/>
      </w:r>
      <w:r w:rsidRPr="00027624">
        <w:t>13 to 2016</w:t>
      </w:r>
      <w:r w:rsidR="00A8443E" w:rsidRPr="00027624">
        <w:noBreakHyphen/>
      </w:r>
      <w:r w:rsidRPr="00027624">
        <w:t>17</w:t>
      </w:r>
      <w:bookmarkEnd w:id="4383"/>
    </w:p>
    <w:p w14:paraId="1C3BE8EB" w14:textId="77777777" w:rsidR="00E96B29" w:rsidRPr="00027624" w:rsidRDefault="00E96B29" w:rsidP="00E96B29">
      <w:pPr>
        <w:pStyle w:val="ChartSecondHeading"/>
      </w:pPr>
      <w:r w:rsidRPr="00027624">
        <w:t>Average total voluntary contributions</w:t>
      </w:r>
    </w:p>
    <w:tbl>
      <w:tblPr>
        <w:tblStyle w:val="TableGrid"/>
        <w:tblW w:w="0" w:type="auto"/>
        <w:tblLook w:val="04A0" w:firstRow="1" w:lastRow="0" w:firstColumn="1" w:lastColumn="0" w:noHBand="0" w:noVBand="1"/>
      </w:tblPr>
      <w:tblGrid>
        <w:gridCol w:w="4535"/>
        <w:gridCol w:w="4535"/>
      </w:tblGrid>
      <w:tr w:rsidR="00E96B29" w:rsidRPr="00027624" w14:paraId="008232EA" w14:textId="77777777" w:rsidTr="00E96B29">
        <w:tc>
          <w:tcPr>
            <w:tcW w:w="4536" w:type="dxa"/>
            <w:shd w:val="clear" w:color="auto" w:fill="auto"/>
          </w:tcPr>
          <w:p w14:paraId="41633266" w14:textId="77777777" w:rsidR="00E96B29" w:rsidRPr="00027624" w:rsidRDefault="00E96B29" w:rsidP="00E96B29">
            <w:pPr>
              <w:pStyle w:val="ChartSecondHeading"/>
            </w:pPr>
            <w:r w:rsidRPr="00027624">
              <w:t>Women</w:t>
            </w:r>
          </w:p>
        </w:tc>
        <w:tc>
          <w:tcPr>
            <w:tcW w:w="4536" w:type="dxa"/>
            <w:shd w:val="clear" w:color="auto" w:fill="auto"/>
          </w:tcPr>
          <w:p w14:paraId="15914148" w14:textId="77777777" w:rsidR="00E96B29" w:rsidRPr="00027624" w:rsidRDefault="00E96B29" w:rsidP="00E96B29">
            <w:pPr>
              <w:pStyle w:val="ChartSecondHeading"/>
            </w:pPr>
            <w:r w:rsidRPr="00027624">
              <w:t>Men</w:t>
            </w:r>
          </w:p>
        </w:tc>
      </w:tr>
    </w:tbl>
    <w:p w14:paraId="1DE7E0A0" w14:textId="77777777" w:rsidR="00E96B29" w:rsidRPr="00027624" w:rsidRDefault="00907420" w:rsidP="00E96B29">
      <w:pPr>
        <w:pStyle w:val="ChartGraphic"/>
      </w:pPr>
      <w:r>
        <w:rPr>
          <w:noProof/>
        </w:rPr>
        <w:drawing>
          <wp:inline distT="0" distB="0" distL="0" distR="0" wp14:anchorId="18CF0258" wp14:editId="58999640">
            <wp:extent cx="2876400" cy="2876400"/>
            <wp:effectExtent l="0" t="0" r="635" b="635"/>
            <wp:docPr id="1929377072" name="Picture 1929377072" descr="These charts show that, between 2012-13 and 2016-17, for both men and women at balance decile 9, voluntary superannuation contributions were higher for those partnered to someone with a larger balance (deciles 6 10). The value and proportion of people making voluntary contributions generally increased with age before declining in the late 60s." title="Chart 6D-14 Voluntary superannuation contributions for those in superannuation balance decile 9, by gender, partnered status, and partner’s superannuation balance decile, 2012 13 to 2016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r>
        <w:rPr>
          <w:noProof/>
        </w:rPr>
        <w:drawing>
          <wp:inline distT="0" distB="0" distL="0" distR="0" wp14:anchorId="1725FC81" wp14:editId="27549FE1">
            <wp:extent cx="2876400" cy="2876400"/>
            <wp:effectExtent l="0" t="0" r="635" b="635"/>
            <wp:docPr id="1929377073" name="Picture 192937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876400" cy="2876400"/>
                    </a:xfrm>
                    <a:prstGeom prst="rect">
                      <a:avLst/>
                    </a:prstGeom>
                    <a:noFill/>
                  </pic:spPr>
                </pic:pic>
              </a:graphicData>
            </a:graphic>
          </wp:inline>
        </w:drawing>
      </w:r>
    </w:p>
    <w:p w14:paraId="63A114A5" w14:textId="77777777" w:rsidR="00E96B29" w:rsidRPr="00027624" w:rsidRDefault="00E96B29" w:rsidP="00E96B29">
      <w:pPr>
        <w:pStyle w:val="ChartSecondHeading"/>
      </w:pPr>
      <w:r w:rsidRPr="00027624">
        <w:t>Proportion making voluntary contributions</w:t>
      </w:r>
    </w:p>
    <w:tbl>
      <w:tblPr>
        <w:tblStyle w:val="TableGrid"/>
        <w:tblW w:w="0" w:type="auto"/>
        <w:tblLook w:val="04A0" w:firstRow="1" w:lastRow="0" w:firstColumn="1" w:lastColumn="0" w:noHBand="0" w:noVBand="1"/>
      </w:tblPr>
      <w:tblGrid>
        <w:gridCol w:w="4535"/>
        <w:gridCol w:w="4535"/>
      </w:tblGrid>
      <w:tr w:rsidR="00E96B29" w:rsidRPr="00027624" w14:paraId="5E1D50F3" w14:textId="77777777" w:rsidTr="00E96B29">
        <w:tc>
          <w:tcPr>
            <w:tcW w:w="4536" w:type="dxa"/>
            <w:shd w:val="clear" w:color="auto" w:fill="auto"/>
          </w:tcPr>
          <w:p w14:paraId="35A1DDF7" w14:textId="77777777" w:rsidR="00E96B29" w:rsidRPr="00027624" w:rsidRDefault="00E96B29" w:rsidP="00E96B29">
            <w:pPr>
              <w:pStyle w:val="ChartSecondHeading"/>
            </w:pPr>
            <w:r w:rsidRPr="00027624">
              <w:t>Women</w:t>
            </w:r>
          </w:p>
        </w:tc>
        <w:tc>
          <w:tcPr>
            <w:tcW w:w="4536" w:type="dxa"/>
            <w:shd w:val="clear" w:color="auto" w:fill="auto"/>
          </w:tcPr>
          <w:p w14:paraId="1DCD0AA0" w14:textId="77777777" w:rsidR="00E96B29" w:rsidRPr="00027624" w:rsidRDefault="00E96B29" w:rsidP="00E96B29">
            <w:pPr>
              <w:pStyle w:val="ChartSecondHeading"/>
            </w:pPr>
            <w:r w:rsidRPr="00027624">
              <w:t>Men</w:t>
            </w:r>
          </w:p>
        </w:tc>
      </w:tr>
    </w:tbl>
    <w:p w14:paraId="25B7564B" w14:textId="77777777" w:rsidR="00E96B29" w:rsidRPr="00027624" w:rsidRDefault="00907420" w:rsidP="00E96B29">
      <w:pPr>
        <w:pStyle w:val="ChartGraphic"/>
        <w:rPr>
          <w:noProof/>
        </w:rPr>
      </w:pPr>
      <w:r>
        <w:rPr>
          <w:noProof/>
        </w:rPr>
        <w:drawing>
          <wp:inline distT="0" distB="0" distL="0" distR="0" wp14:anchorId="74864B5C" wp14:editId="5F05F358">
            <wp:extent cx="2880360" cy="2880360"/>
            <wp:effectExtent l="0" t="0" r="0" b="0"/>
            <wp:docPr id="1929377074" name="Picture 1929377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pic:spPr>
                </pic:pic>
              </a:graphicData>
            </a:graphic>
          </wp:inline>
        </w:drawing>
      </w:r>
      <w:r>
        <w:rPr>
          <w:noProof/>
        </w:rPr>
        <w:drawing>
          <wp:inline distT="0" distB="0" distL="0" distR="0" wp14:anchorId="0255589B" wp14:editId="1F34D96C">
            <wp:extent cx="2872740" cy="2880360"/>
            <wp:effectExtent l="0" t="0" r="3810" b="0"/>
            <wp:docPr id="1929377075" name="Picture 192937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872740" cy="2880360"/>
                    </a:xfrm>
                    <a:prstGeom prst="rect">
                      <a:avLst/>
                    </a:prstGeom>
                    <a:noFill/>
                  </pic:spPr>
                </pic:pic>
              </a:graphicData>
            </a:graphic>
          </wp:inline>
        </w:drawing>
      </w:r>
    </w:p>
    <w:p w14:paraId="057630D3" w14:textId="7083982C" w:rsidR="00E96B29" w:rsidRPr="00027624" w:rsidRDefault="00E96B29" w:rsidP="00E96B29">
      <w:pPr>
        <w:pStyle w:val="ChartorTableNote"/>
        <w:rPr>
          <w:color w:val="auto"/>
        </w:rPr>
      </w:pPr>
      <w:r w:rsidRPr="00027624">
        <w:rPr>
          <w:color w:val="auto"/>
        </w:rPr>
        <w:t xml:space="preserve">Note: See </w:t>
      </w:r>
      <w:r w:rsidRPr="00027624">
        <w:rPr>
          <w:color w:val="auto"/>
        </w:rPr>
        <w:fldChar w:fldCharType="begin"/>
      </w:r>
      <w:r w:rsidRPr="00027624">
        <w:rPr>
          <w:color w:val="auto"/>
        </w:rPr>
        <w:instrText xml:space="preserve"> REF _Ref43124749 \r \h  \* MERGEFORMAT </w:instrText>
      </w:r>
      <w:r w:rsidRPr="00027624">
        <w:rPr>
          <w:color w:val="auto"/>
        </w:rPr>
      </w:r>
      <w:r w:rsidRPr="00027624">
        <w:rPr>
          <w:color w:val="auto"/>
        </w:rPr>
        <w:fldChar w:fldCharType="separate"/>
      </w:r>
      <w:r w:rsidR="00891058">
        <w:rPr>
          <w:color w:val="auto"/>
        </w:rPr>
        <w:t>Chart 6D-11</w:t>
      </w:r>
      <w:r w:rsidRPr="00027624">
        <w:rPr>
          <w:color w:val="auto"/>
        </w:rPr>
        <w:fldChar w:fldCharType="end"/>
      </w:r>
      <w:r w:rsidRPr="00027624">
        <w:rPr>
          <w:color w:val="auto"/>
        </w:rPr>
        <w:t>. Source: Data provided by the ATO for the review.</w:t>
      </w:r>
    </w:p>
    <w:p w14:paraId="223BBD43" w14:textId="77777777" w:rsidR="00E96B29" w:rsidRPr="00027624" w:rsidRDefault="00E96B29" w:rsidP="00E96B29">
      <w:r w:rsidRPr="00027624">
        <w:rPr>
          <w:rStyle w:val="Heading3Char"/>
        </w:rPr>
        <w:br w:type="page"/>
      </w:r>
    </w:p>
    <w:p w14:paraId="68D86610" w14:textId="77777777" w:rsidR="00E96B29" w:rsidRPr="00027624" w:rsidRDefault="00E96B29" w:rsidP="00E96B29">
      <w:pPr>
        <w:pStyle w:val="Heading2"/>
      </w:pPr>
      <w:bookmarkStart w:id="4384" w:name="_Toc42703214"/>
      <w:bookmarkStart w:id="4385" w:name="_Toc42857775"/>
      <w:bookmarkStart w:id="4386" w:name="_Toc45520576"/>
      <w:bookmarkStart w:id="4387" w:name="_Toc46133688"/>
      <w:r w:rsidRPr="00027624">
        <w:rPr>
          <w:rStyle w:val="Heading3Char"/>
          <w:b/>
          <w:color w:val="604878" w:themeColor="accent3"/>
          <w:sz w:val="36"/>
          <w:szCs w:val="28"/>
        </w:rPr>
        <w:t>Age of retirement</w:t>
      </w:r>
      <w:bookmarkEnd w:id="4384"/>
      <w:bookmarkEnd w:id="4385"/>
      <w:bookmarkEnd w:id="4386"/>
      <w:bookmarkEnd w:id="4387"/>
    </w:p>
    <w:p w14:paraId="50D072E4" w14:textId="77777777" w:rsidR="00E96B29" w:rsidRPr="00027624" w:rsidRDefault="00E96B29" w:rsidP="00E96B29">
      <w:pPr>
        <w:pStyle w:val="ChartMainHeading"/>
      </w:pPr>
      <w:bookmarkStart w:id="4388" w:name="_Ref44765771"/>
      <w:r w:rsidRPr="00027624">
        <w:t>Per cent of people retiring, by level of highest educational attainment and age</w:t>
      </w:r>
      <w:bookmarkEnd w:id="4388"/>
    </w:p>
    <w:p w14:paraId="67D47110" w14:textId="77777777" w:rsidR="00E96B29" w:rsidRPr="00027624" w:rsidRDefault="00926CB7" w:rsidP="00E96B29">
      <w:pPr>
        <w:jc w:val="center"/>
      </w:pPr>
      <w:r>
        <w:rPr>
          <w:noProof/>
        </w:rPr>
        <w:drawing>
          <wp:inline distT="0" distB="0" distL="0" distR="0" wp14:anchorId="4985D708" wp14:editId="2E9733BC">
            <wp:extent cx="5577840" cy="2522220"/>
            <wp:effectExtent l="0" t="0" r="3810" b="0"/>
            <wp:docPr id="679974601" name="Picture 679974601" descr="This chart shows that more people with a degree (over 50 per cent) tend to retire from age 65 onwards, compared to those with non-degree post-school qualifications (over 40 per cent) and those with no post school qualifications (around 40 per cent). Those with a degree are relatively less likely to retire before age 55." title="Chart 6D-15 Proportion of people retiring, by level of highest educational attainment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5C0263A7" w14:textId="77777777" w:rsidR="00E96B29" w:rsidRPr="00027624" w:rsidRDefault="00E96B29" w:rsidP="0094088B">
      <w:pPr>
        <w:pStyle w:val="ChartorTableNote"/>
      </w:pPr>
      <w:r w:rsidRPr="00027624">
        <w:t>Note: Includes people who retired between July 2013 and June 2019. Degree includes postgraduate degree, graduate diploma and graduate certificate and bachelor degree. Non</w:t>
      </w:r>
      <w:r w:rsidR="00A8443E" w:rsidRPr="00027624">
        <w:noBreakHyphen/>
      </w:r>
      <w:r w:rsidRPr="00027624">
        <w:t>degree post</w:t>
      </w:r>
      <w:r w:rsidR="00A8443E" w:rsidRPr="00027624">
        <w:noBreakHyphen/>
      </w:r>
      <w:r w:rsidRPr="00027624">
        <w:t>school qualification includes advanced diploma and diploma and certificate 3 and 4. No post</w:t>
      </w:r>
      <w:r w:rsidR="00A8443E" w:rsidRPr="00027624">
        <w:noBreakHyphen/>
      </w:r>
      <w:r w:rsidRPr="00027624">
        <w:t xml:space="preserve">school qualification includes year 12 or equivalent, year 11, year 10, certificate 1 and 2, and year 9 and below. </w:t>
      </w:r>
      <w:r w:rsidRPr="00027624">
        <w:rPr>
          <w:szCs w:val="18"/>
        </w:rPr>
        <w:t>While the chart uses a relatively small sample size and therefore some categories have high relative standard errors, the differences between the three categories of educational attainment are consistent with earlier surveys.</w:t>
      </w:r>
      <w:r w:rsidRPr="00027624">
        <w:t xml:space="preserve"> Source: Analysis of</w:t>
      </w:r>
      <w:sdt>
        <w:sdtPr>
          <w:id w:val="1072318323"/>
          <w:citation/>
        </w:sdtPr>
        <w:sdtEndPr/>
        <w:sdtContent>
          <w:r w:rsidR="00F9343A">
            <w:fldChar w:fldCharType="begin"/>
          </w:r>
          <w:r w:rsidR="00F9343A">
            <w:instrText xml:space="preserve"> CITATION ABSR20 \l 3081 </w:instrText>
          </w:r>
          <w:r w:rsidR="00F9343A">
            <w:fldChar w:fldCharType="separate"/>
          </w:r>
          <w:r w:rsidR="00E83F6E">
            <w:rPr>
              <w:noProof/>
            </w:rPr>
            <w:t xml:space="preserve"> (ABS, 2020p)</w:t>
          </w:r>
          <w:r w:rsidR="00F9343A">
            <w:fldChar w:fldCharType="end"/>
          </w:r>
        </w:sdtContent>
      </w:sdt>
      <w:r w:rsidRPr="00027624">
        <w:t>.</w:t>
      </w:r>
    </w:p>
    <w:p w14:paraId="62B5ECA3" w14:textId="77777777" w:rsidR="00E96B29" w:rsidRPr="00027624" w:rsidRDefault="00E96B29" w:rsidP="00E96B29">
      <w:pPr>
        <w:pStyle w:val="ChartMainHeading"/>
      </w:pPr>
      <w:r w:rsidRPr="00027624">
        <w:t>Proportion of employed people working part</w:t>
      </w:r>
      <w:r w:rsidR="00A8443E" w:rsidRPr="00027624">
        <w:noBreakHyphen/>
      </w:r>
      <w:r w:rsidRPr="00027624">
        <w:t>time, by level of highest educational attainment and age</w:t>
      </w:r>
    </w:p>
    <w:p w14:paraId="7844036D" w14:textId="77777777" w:rsidR="00E96B29" w:rsidRPr="00027624" w:rsidRDefault="00926CB7" w:rsidP="00E96B29">
      <w:pPr>
        <w:pStyle w:val="ChartGraphic"/>
      </w:pPr>
      <w:r>
        <w:rPr>
          <w:noProof/>
        </w:rPr>
        <w:drawing>
          <wp:inline distT="0" distB="0" distL="0" distR="0" wp14:anchorId="79A8875D" wp14:editId="515DF358">
            <wp:extent cx="5577840" cy="2522220"/>
            <wp:effectExtent l="0" t="0" r="3810" b="0"/>
            <wp:docPr id="679974602" name="Picture 679974602" descr="This chart shows that, at ages 55-59, those with no post school qualification are more likely to be working part-time than those with post-school qualifications. From around ages 65-69, those with a degree are more likely to be working part-time if they are working. " title="Chart 6D-16 Proportion of employed people working part-time, by level of highest educational attainment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6444611C" w14:textId="77777777" w:rsidR="00E96B29" w:rsidRPr="00027624" w:rsidRDefault="00E96B29" w:rsidP="00E96B29">
      <w:pPr>
        <w:pStyle w:val="ChartorTableNote"/>
      </w:pPr>
      <w:r w:rsidRPr="00027624">
        <w:t>Note: Uses 2016 data. Degree includes postgraduate degree, graduate diploma and graduate certificate and bachelor degree. Non</w:t>
      </w:r>
      <w:r w:rsidR="00A8443E" w:rsidRPr="00027624">
        <w:noBreakHyphen/>
      </w:r>
      <w:r w:rsidRPr="00027624">
        <w:t>degree post</w:t>
      </w:r>
      <w:r w:rsidR="00A8443E" w:rsidRPr="00027624">
        <w:noBreakHyphen/>
      </w:r>
      <w:r w:rsidRPr="00027624">
        <w:t>school qualification includes advanced diploma and certificate 3 and 4. No post</w:t>
      </w:r>
      <w:r w:rsidR="00A8443E" w:rsidRPr="00027624">
        <w:noBreakHyphen/>
      </w:r>
      <w:r w:rsidRPr="00027624">
        <w:t>school qualification includes year 12 or equivalent, secondary education</w:t>
      </w:r>
      <w:r w:rsidR="00A8443E" w:rsidRPr="00027624">
        <w:t xml:space="preserve"> — </w:t>
      </w:r>
      <w:r w:rsidRPr="00027624">
        <w:t>years 10 and above, secondary education</w:t>
      </w:r>
      <w:r w:rsidR="00A8443E" w:rsidRPr="00027624">
        <w:t xml:space="preserve"> — </w:t>
      </w:r>
      <w:r w:rsidRPr="00027624">
        <w:t xml:space="preserve">years 9 and below, and certificate 1 and 2. Source: Analysis of </w:t>
      </w:r>
      <w:sdt>
        <w:sdtPr>
          <w:id w:val="1498609380"/>
          <w:citation/>
        </w:sdtPr>
        <w:sdtEndPr/>
        <w:sdtContent>
          <w:r w:rsidRPr="00027624">
            <w:fldChar w:fldCharType="begin"/>
          </w:r>
          <w:r w:rsidRPr="00027624">
            <w:instrText xml:space="preserve"> CITATION ABS3 \l 3081 </w:instrText>
          </w:r>
          <w:r w:rsidRPr="00027624">
            <w:fldChar w:fldCharType="separate"/>
          </w:r>
          <w:r w:rsidR="00E83F6E">
            <w:rPr>
              <w:noProof/>
            </w:rPr>
            <w:t>(ABS, 2016a)</w:t>
          </w:r>
          <w:r w:rsidRPr="00027624">
            <w:fldChar w:fldCharType="end"/>
          </w:r>
        </w:sdtContent>
      </w:sdt>
      <w:r w:rsidRPr="00027624">
        <w:t>.</w:t>
      </w:r>
    </w:p>
    <w:p w14:paraId="2E4E5A65" w14:textId="77777777" w:rsidR="00E96B29" w:rsidRPr="00027624" w:rsidRDefault="00E96B29" w:rsidP="00E96B29">
      <w:pPr>
        <w:pStyle w:val="ChartMainHeading"/>
      </w:pPr>
      <w:r w:rsidRPr="00027624">
        <w:t>Average underemployment rate, by age</w:t>
      </w:r>
    </w:p>
    <w:p w14:paraId="0EEEABC3" w14:textId="77777777" w:rsidR="00E96B29" w:rsidRPr="00027624" w:rsidRDefault="00926CB7" w:rsidP="00E96B29">
      <w:pPr>
        <w:jc w:val="center"/>
      </w:pPr>
      <w:r>
        <w:rPr>
          <w:noProof/>
        </w:rPr>
        <w:drawing>
          <wp:inline distT="0" distB="0" distL="0" distR="0" wp14:anchorId="1C4D5ADA" wp14:editId="5EA3158A">
            <wp:extent cx="5585460" cy="2529840"/>
            <wp:effectExtent l="0" t="0" r="0" b="3810"/>
            <wp:docPr id="679974603" name="Picture 679974603" descr="This chart shows that the average underemployment rate was much higher for those aged 15-24, relatively similar for those aged 25-64, and slightly lower among those aged 65 and over, in the 1990s, 2000s and 2010s. The average underemployment rate was higher in the 2010s compared to the previous two decades." title="Chart 6D-17 Average underemployment rate,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585460" cy="2529840"/>
                    </a:xfrm>
                    <a:prstGeom prst="rect">
                      <a:avLst/>
                    </a:prstGeom>
                    <a:noFill/>
                  </pic:spPr>
                </pic:pic>
              </a:graphicData>
            </a:graphic>
          </wp:inline>
        </w:drawing>
      </w:r>
    </w:p>
    <w:p w14:paraId="75400DDC" w14:textId="77777777" w:rsidR="00E96B29" w:rsidRPr="00027624" w:rsidRDefault="00E96B29" w:rsidP="00E96B29">
      <w:pPr>
        <w:pStyle w:val="ChartorTableNote"/>
      </w:pPr>
      <w:r w:rsidRPr="00027624">
        <w:t xml:space="preserve">Note: Underemployment rate is calculated as the number of underemployed people divided by the number of people in the labour force. </w:t>
      </w:r>
      <w:r w:rsidRPr="00027624">
        <w:rPr>
          <w:szCs w:val="18"/>
        </w:rPr>
        <w:t>Uses the average of all monthly underemployment rates in the relevant decade.</w:t>
      </w:r>
      <w:r w:rsidRPr="00027624">
        <w:t xml:space="preserve"> Source: Analysis of</w:t>
      </w:r>
      <w:sdt>
        <w:sdtPr>
          <w:id w:val="897628574"/>
          <w:citation/>
        </w:sdtPr>
        <w:sdtEndPr/>
        <w:sdtContent>
          <w:r w:rsidR="00F9343A" w:rsidRPr="00027624">
            <w:fldChar w:fldCharType="begin"/>
          </w:r>
          <w:r w:rsidR="00F9343A" w:rsidRPr="00027624">
            <w:instrText xml:space="preserve"> CITATION ABS202 \l 3081 </w:instrText>
          </w:r>
          <w:r w:rsidR="00F9343A" w:rsidRPr="00027624">
            <w:fldChar w:fldCharType="separate"/>
          </w:r>
          <w:r w:rsidR="00E83F6E">
            <w:rPr>
              <w:noProof/>
            </w:rPr>
            <w:t xml:space="preserve"> (ABS, 2020q)</w:t>
          </w:r>
          <w:r w:rsidR="00F9343A" w:rsidRPr="00027624">
            <w:fldChar w:fldCharType="end"/>
          </w:r>
        </w:sdtContent>
      </w:sdt>
      <w:r w:rsidRPr="00027624">
        <w:t>.</w:t>
      </w:r>
    </w:p>
    <w:p w14:paraId="3560AFB4" w14:textId="77777777" w:rsidR="00791570" w:rsidRPr="00027624" w:rsidRDefault="00791570" w:rsidP="00791570">
      <w:r w:rsidRPr="00027624">
        <w:br w:type="page"/>
      </w:r>
    </w:p>
    <w:p w14:paraId="59414CC1" w14:textId="77777777" w:rsidR="00E96B29" w:rsidRPr="00027624" w:rsidRDefault="00E96B29" w:rsidP="00E96B29">
      <w:pPr>
        <w:pStyle w:val="TableMainHeading"/>
      </w:pPr>
      <w:bookmarkStart w:id="4389" w:name="_Ref35864524"/>
      <w:bookmarkStart w:id="4390" w:name="_Ref36475448"/>
      <w:bookmarkStart w:id="4391" w:name="_Ref43388180"/>
      <w:r w:rsidRPr="00027624">
        <w:t>Projected outcomes of retiring at ages 57 and 62 compared to age 67 for a lower</w:t>
      </w:r>
      <w:r w:rsidR="00A8443E" w:rsidRPr="00027624">
        <w:noBreakHyphen/>
      </w:r>
      <w:r w:rsidRPr="00027624">
        <w:t>income earner (20</w:t>
      </w:r>
      <w:r w:rsidRPr="00027624">
        <w:rPr>
          <w:vertAlign w:val="superscript"/>
        </w:rPr>
        <w:t>th</w:t>
      </w:r>
      <w:r w:rsidRPr="00027624">
        <w:t xml:space="preserve"> percentile)</w:t>
      </w:r>
      <w:bookmarkEnd w:id="4389"/>
      <w:bookmarkEnd w:id="4390"/>
      <w:bookmarkEnd w:id="4391"/>
    </w:p>
    <w:tbl>
      <w:tblPr>
        <w:tblpPr w:leftFromText="180" w:rightFromText="180" w:vertAnchor="text" w:tblpY="1"/>
        <w:tblOverlap w:val="never"/>
        <w:tblW w:w="4844" w:type="pct"/>
        <w:tblLook w:val="01E0" w:firstRow="1" w:lastRow="1" w:firstColumn="1" w:lastColumn="1" w:noHBand="0" w:noVBand="0"/>
      </w:tblPr>
      <w:tblGrid>
        <w:gridCol w:w="1315"/>
        <w:gridCol w:w="1121"/>
        <w:gridCol w:w="1309"/>
        <w:gridCol w:w="1550"/>
        <w:gridCol w:w="1190"/>
        <w:gridCol w:w="1190"/>
        <w:gridCol w:w="1112"/>
      </w:tblGrid>
      <w:tr w:rsidR="00E96B29" w:rsidRPr="00027624" w14:paraId="6931A8DB" w14:textId="77777777" w:rsidTr="00DD4B21">
        <w:trPr>
          <w:trHeight w:val="270"/>
          <w:tblHeader/>
        </w:trPr>
        <w:tc>
          <w:tcPr>
            <w:tcW w:w="748" w:type="pct"/>
            <w:shd w:val="clear" w:color="auto" w:fill="E5E5E5"/>
          </w:tcPr>
          <w:p w14:paraId="392A6314" w14:textId="77777777" w:rsidR="00E96B29" w:rsidRPr="00027624" w:rsidRDefault="00E96B29" w:rsidP="00E96B29">
            <w:pPr>
              <w:pStyle w:val="TableTextLeft"/>
              <w:rPr>
                <w:b/>
                <w:color w:val="004A7F"/>
                <w:sz w:val="20"/>
              </w:rPr>
            </w:pPr>
            <w:r w:rsidRPr="00027624">
              <w:rPr>
                <w:b/>
                <w:color w:val="004A7F"/>
                <w:sz w:val="20"/>
              </w:rPr>
              <w:t>Retirement age and reason for retirement</w:t>
            </w:r>
          </w:p>
        </w:tc>
        <w:tc>
          <w:tcPr>
            <w:tcW w:w="638" w:type="pct"/>
            <w:shd w:val="clear" w:color="auto" w:fill="E5E5E5"/>
          </w:tcPr>
          <w:p w14:paraId="2A27BD60" w14:textId="77777777" w:rsidR="00E96B29" w:rsidRPr="00027624" w:rsidRDefault="00E96B29" w:rsidP="00E96B29">
            <w:pPr>
              <w:pStyle w:val="TableTextLeft"/>
              <w:jc w:val="center"/>
              <w:rPr>
                <w:b/>
                <w:color w:val="004A7F"/>
                <w:sz w:val="20"/>
              </w:rPr>
            </w:pPr>
            <w:r w:rsidRPr="00027624" w:rsidDel="009455A4">
              <w:rPr>
                <w:b/>
                <w:color w:val="004A7F"/>
                <w:sz w:val="20"/>
              </w:rPr>
              <w:t>Income support payment received before age 67</w:t>
            </w:r>
          </w:p>
        </w:tc>
        <w:tc>
          <w:tcPr>
            <w:tcW w:w="745" w:type="pct"/>
            <w:shd w:val="clear" w:color="auto" w:fill="E5E5E5"/>
          </w:tcPr>
          <w:p w14:paraId="5198CDD0" w14:textId="77777777" w:rsidR="00E96B29" w:rsidRPr="00027624" w:rsidRDefault="00E96B29" w:rsidP="00E96B29">
            <w:pPr>
              <w:pStyle w:val="TableTextLeft"/>
              <w:jc w:val="center"/>
              <w:rPr>
                <w:b/>
                <w:color w:val="004A7F"/>
                <w:sz w:val="20"/>
              </w:rPr>
            </w:pPr>
            <w:r w:rsidRPr="00027624">
              <w:rPr>
                <w:b/>
                <w:color w:val="004A7F"/>
                <w:sz w:val="20"/>
              </w:rPr>
              <w:t>Replacement rate from age of retirement</w:t>
            </w:r>
          </w:p>
          <w:p w14:paraId="6E1C7868" w14:textId="77777777" w:rsidR="00E96B29" w:rsidRPr="00027624" w:rsidRDefault="00E96B29" w:rsidP="00E96B29">
            <w:pPr>
              <w:pStyle w:val="TableTextLeft"/>
              <w:jc w:val="center"/>
              <w:rPr>
                <w:b/>
                <w:color w:val="004A7F"/>
                <w:sz w:val="20"/>
              </w:rPr>
            </w:pPr>
            <w:r w:rsidRPr="00027624">
              <w:rPr>
                <w:b/>
                <w:color w:val="004A7F"/>
                <w:sz w:val="20"/>
              </w:rPr>
              <w:t>(per cent)</w:t>
            </w:r>
          </w:p>
        </w:tc>
        <w:tc>
          <w:tcPr>
            <w:tcW w:w="882" w:type="pct"/>
            <w:shd w:val="clear" w:color="auto" w:fill="E5E5E5"/>
          </w:tcPr>
          <w:p w14:paraId="5544116F" w14:textId="77777777" w:rsidR="00E96B29" w:rsidRPr="00027624" w:rsidRDefault="00E96B29" w:rsidP="00E96B29">
            <w:pPr>
              <w:pStyle w:val="TableTextLeft"/>
              <w:jc w:val="center"/>
              <w:rPr>
                <w:b/>
                <w:color w:val="004A7F"/>
                <w:sz w:val="20"/>
              </w:rPr>
            </w:pPr>
            <w:r w:rsidRPr="00027624">
              <w:rPr>
                <w:b/>
                <w:color w:val="004A7F"/>
                <w:sz w:val="20"/>
              </w:rPr>
              <w:t>Superannuation balance at retirement</w:t>
            </w:r>
          </w:p>
          <w:p w14:paraId="2F5DBFA5" w14:textId="77777777" w:rsidR="00E96B29" w:rsidRPr="00027624" w:rsidRDefault="00E96B29" w:rsidP="00E96B29">
            <w:pPr>
              <w:pStyle w:val="TableTextLeft"/>
              <w:jc w:val="center"/>
              <w:rPr>
                <w:b/>
                <w:color w:val="004A7F"/>
                <w:sz w:val="20"/>
              </w:rPr>
            </w:pPr>
            <w:r w:rsidRPr="00027624">
              <w:rPr>
                <w:b/>
                <w:color w:val="004A7F"/>
                <w:sz w:val="20"/>
              </w:rPr>
              <w:t>($)</w:t>
            </w:r>
          </w:p>
        </w:tc>
        <w:tc>
          <w:tcPr>
            <w:tcW w:w="677" w:type="pct"/>
            <w:shd w:val="clear" w:color="auto" w:fill="E5E5E5"/>
          </w:tcPr>
          <w:p w14:paraId="3A8DDB22" w14:textId="77777777" w:rsidR="00E96B29" w:rsidRPr="00027624" w:rsidRDefault="00E96B29" w:rsidP="00E96B29">
            <w:pPr>
              <w:pStyle w:val="TableTextLeft"/>
              <w:jc w:val="center"/>
              <w:rPr>
                <w:b/>
                <w:i/>
                <w:color w:val="004A7F"/>
                <w:sz w:val="20"/>
                <w:u w:val="single"/>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all years of retirement</w:t>
            </w:r>
          </w:p>
          <w:p w14:paraId="6F1C780C" w14:textId="77777777" w:rsidR="00E96B29" w:rsidRPr="00027624" w:rsidRDefault="00E96B29" w:rsidP="00E96B29">
            <w:pPr>
              <w:pStyle w:val="TableTextLeft"/>
              <w:jc w:val="center"/>
              <w:rPr>
                <w:b/>
                <w:color w:val="004A7F"/>
                <w:sz w:val="20"/>
              </w:rPr>
            </w:pPr>
            <w:r w:rsidRPr="00027624">
              <w:rPr>
                <w:b/>
                <w:color w:val="004A7F"/>
                <w:sz w:val="20"/>
                <w:u w:val="single"/>
              </w:rPr>
              <w:t>($)</w:t>
            </w:r>
          </w:p>
        </w:tc>
        <w:tc>
          <w:tcPr>
            <w:tcW w:w="677" w:type="pct"/>
            <w:shd w:val="clear" w:color="auto" w:fill="E5E5E5"/>
          </w:tcPr>
          <w:p w14:paraId="32365640" w14:textId="77777777" w:rsidR="00E96B29" w:rsidRPr="00027624" w:rsidRDefault="00E96B29" w:rsidP="00E96B29">
            <w:pPr>
              <w:pStyle w:val="TableTextLeft"/>
              <w:jc w:val="center"/>
              <w:rPr>
                <w:b/>
                <w:i/>
                <w:color w:val="004A7F"/>
                <w:sz w:val="20"/>
                <w:u w:val="single"/>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retirement to age 60</w:t>
            </w:r>
          </w:p>
          <w:p w14:paraId="6997B2AF" w14:textId="77777777" w:rsidR="00E96B29" w:rsidRPr="00027624" w:rsidRDefault="00E96B29" w:rsidP="00E96B29">
            <w:pPr>
              <w:pStyle w:val="TableTextLeft"/>
              <w:jc w:val="center"/>
              <w:rPr>
                <w:b/>
                <w:color w:val="004A7F"/>
                <w:sz w:val="20"/>
              </w:rPr>
            </w:pPr>
            <w:r w:rsidRPr="00027624">
              <w:rPr>
                <w:b/>
                <w:color w:val="004A7F"/>
                <w:sz w:val="20"/>
                <w:u w:val="single"/>
              </w:rPr>
              <w:t>($)</w:t>
            </w:r>
          </w:p>
        </w:tc>
        <w:tc>
          <w:tcPr>
            <w:tcW w:w="633" w:type="pct"/>
            <w:shd w:val="clear" w:color="auto" w:fill="E5E5E5"/>
          </w:tcPr>
          <w:p w14:paraId="7BAED0D1" w14:textId="77777777" w:rsidR="00E96B29" w:rsidRPr="00027624" w:rsidRDefault="00E96B29" w:rsidP="00E96B29">
            <w:pPr>
              <w:pStyle w:val="TableTextLeft"/>
              <w:jc w:val="center"/>
              <w:rPr>
                <w:b/>
                <w:i/>
                <w:color w:val="004A7F"/>
                <w:sz w:val="20"/>
                <w:u w:val="single"/>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age 60 and over</w:t>
            </w:r>
          </w:p>
          <w:p w14:paraId="7C8DDBAE" w14:textId="77777777" w:rsidR="00E96B29" w:rsidRPr="00027624" w:rsidRDefault="00E96B29" w:rsidP="00E96B29">
            <w:pPr>
              <w:pStyle w:val="TableTextLeft"/>
              <w:jc w:val="center"/>
              <w:rPr>
                <w:b/>
                <w:color w:val="004A7F"/>
                <w:sz w:val="20"/>
              </w:rPr>
            </w:pPr>
            <w:r w:rsidRPr="00027624">
              <w:rPr>
                <w:b/>
                <w:color w:val="004A7F"/>
                <w:sz w:val="20"/>
                <w:u w:val="single"/>
              </w:rPr>
              <w:t>($)</w:t>
            </w:r>
          </w:p>
        </w:tc>
      </w:tr>
      <w:tr w:rsidR="00E96B29" w:rsidRPr="00027624" w14:paraId="3E6A38A0" w14:textId="77777777" w:rsidTr="00DD4B21">
        <w:trPr>
          <w:trHeight w:val="270"/>
        </w:trPr>
        <w:tc>
          <w:tcPr>
            <w:tcW w:w="748" w:type="pct"/>
          </w:tcPr>
          <w:p w14:paraId="3127C322" w14:textId="77777777" w:rsidR="00E96B29" w:rsidRPr="00027624" w:rsidRDefault="00E96B29" w:rsidP="00E96B29">
            <w:pPr>
              <w:pStyle w:val="TableTextLeft"/>
              <w:rPr>
                <w:b/>
              </w:rPr>
            </w:pPr>
            <w:r w:rsidRPr="00027624">
              <w:rPr>
                <w:b/>
              </w:rPr>
              <w:t>Retire at 67</w:t>
            </w:r>
          </w:p>
        </w:tc>
        <w:tc>
          <w:tcPr>
            <w:tcW w:w="638" w:type="pct"/>
          </w:tcPr>
          <w:p w14:paraId="5D75C691" w14:textId="77777777" w:rsidR="00E96B29" w:rsidRPr="00027624" w:rsidRDefault="00E96B29" w:rsidP="00DD4B21">
            <w:pPr>
              <w:pStyle w:val="TableTextCentered"/>
            </w:pPr>
          </w:p>
        </w:tc>
        <w:tc>
          <w:tcPr>
            <w:tcW w:w="745" w:type="pct"/>
          </w:tcPr>
          <w:p w14:paraId="0A4F9301" w14:textId="77777777" w:rsidR="00E96B29" w:rsidRPr="00027624" w:rsidRDefault="00E96B29" w:rsidP="00DD4B21">
            <w:pPr>
              <w:pStyle w:val="TableTextCentered"/>
            </w:pPr>
          </w:p>
        </w:tc>
        <w:tc>
          <w:tcPr>
            <w:tcW w:w="882" w:type="pct"/>
          </w:tcPr>
          <w:p w14:paraId="29C7372D" w14:textId="77777777" w:rsidR="00E96B29" w:rsidRPr="00027624" w:rsidRDefault="00E96B29" w:rsidP="00DD4B21">
            <w:pPr>
              <w:pStyle w:val="TableTextCentered"/>
            </w:pPr>
          </w:p>
        </w:tc>
        <w:tc>
          <w:tcPr>
            <w:tcW w:w="677" w:type="pct"/>
          </w:tcPr>
          <w:p w14:paraId="5A9C7A76" w14:textId="77777777" w:rsidR="00E96B29" w:rsidRPr="00027624" w:rsidRDefault="00E96B29" w:rsidP="00DD4B21">
            <w:pPr>
              <w:pStyle w:val="TableTextCentered"/>
            </w:pPr>
          </w:p>
        </w:tc>
        <w:tc>
          <w:tcPr>
            <w:tcW w:w="677" w:type="pct"/>
          </w:tcPr>
          <w:p w14:paraId="4012D4CA" w14:textId="77777777" w:rsidR="00E96B29" w:rsidRPr="00027624" w:rsidRDefault="00E96B29" w:rsidP="00DD4B21">
            <w:pPr>
              <w:pStyle w:val="TableTextCentered"/>
            </w:pPr>
          </w:p>
        </w:tc>
        <w:tc>
          <w:tcPr>
            <w:tcW w:w="633" w:type="pct"/>
          </w:tcPr>
          <w:p w14:paraId="2D7A0DA5" w14:textId="77777777" w:rsidR="00E96B29" w:rsidRPr="00027624" w:rsidRDefault="00E96B29" w:rsidP="00DD4B21">
            <w:pPr>
              <w:pStyle w:val="TableTextCentered"/>
            </w:pPr>
          </w:p>
        </w:tc>
      </w:tr>
      <w:tr w:rsidR="00E96B29" w:rsidRPr="00027624" w14:paraId="2F985697" w14:textId="77777777" w:rsidTr="00DD4B21">
        <w:trPr>
          <w:trHeight w:val="270"/>
        </w:trPr>
        <w:tc>
          <w:tcPr>
            <w:tcW w:w="748" w:type="pct"/>
          </w:tcPr>
          <w:p w14:paraId="0C0B291F" w14:textId="77777777" w:rsidR="00E96B29" w:rsidRPr="00027624" w:rsidRDefault="00E96B29" w:rsidP="00E96B29">
            <w:pPr>
              <w:pStyle w:val="TableTextLeft"/>
            </w:pPr>
            <w:r w:rsidRPr="00027624">
              <w:t xml:space="preserve">Age Pension </w:t>
            </w:r>
            <w:r w:rsidR="00DD4B21" w:rsidRPr="00027624">
              <w:t xml:space="preserve">eligibility </w:t>
            </w:r>
            <w:r w:rsidRPr="00027624">
              <w:t>age</w:t>
            </w:r>
          </w:p>
        </w:tc>
        <w:tc>
          <w:tcPr>
            <w:tcW w:w="638" w:type="pct"/>
          </w:tcPr>
          <w:p w14:paraId="23353952" w14:textId="77777777" w:rsidR="00E96B29" w:rsidRPr="00027624" w:rsidRDefault="00E96B29" w:rsidP="00DD4B21">
            <w:pPr>
              <w:pStyle w:val="TableTextCentered"/>
            </w:pPr>
            <w:r w:rsidRPr="00027624" w:rsidDel="009455A4">
              <w:t>N/A</w:t>
            </w:r>
          </w:p>
        </w:tc>
        <w:tc>
          <w:tcPr>
            <w:tcW w:w="745" w:type="pct"/>
          </w:tcPr>
          <w:p w14:paraId="4BE4B4F6" w14:textId="77777777" w:rsidR="00E96B29" w:rsidRPr="00027624" w:rsidRDefault="00E96B29" w:rsidP="00DD4B21">
            <w:pPr>
              <w:pStyle w:val="TableTextCentered"/>
              <w:rPr>
                <w:szCs w:val="18"/>
              </w:rPr>
            </w:pPr>
            <w:r w:rsidRPr="00027624">
              <w:rPr>
                <w:szCs w:val="18"/>
              </w:rPr>
              <w:t>129</w:t>
            </w:r>
          </w:p>
        </w:tc>
        <w:tc>
          <w:tcPr>
            <w:tcW w:w="882" w:type="pct"/>
          </w:tcPr>
          <w:p w14:paraId="1FFF27B9" w14:textId="77777777" w:rsidR="00E96B29" w:rsidRPr="00027624" w:rsidRDefault="00E96B29" w:rsidP="00DD4B21">
            <w:pPr>
              <w:pStyle w:val="TableTextCentered"/>
              <w:rPr>
                <w:szCs w:val="18"/>
              </w:rPr>
            </w:pPr>
            <w:r w:rsidRPr="00027624">
              <w:rPr>
                <w:szCs w:val="18"/>
              </w:rPr>
              <w:t>222,300</w:t>
            </w:r>
          </w:p>
        </w:tc>
        <w:tc>
          <w:tcPr>
            <w:tcW w:w="677" w:type="pct"/>
          </w:tcPr>
          <w:p w14:paraId="1AA39C55" w14:textId="77777777" w:rsidR="00E96B29" w:rsidRPr="00027624" w:rsidRDefault="00E96B29" w:rsidP="00DD4B21">
            <w:pPr>
              <w:pStyle w:val="TableTextCentered"/>
              <w:rPr>
                <w:szCs w:val="18"/>
              </w:rPr>
            </w:pPr>
            <w:r w:rsidRPr="00027624">
              <w:rPr>
                <w:szCs w:val="18"/>
              </w:rPr>
              <w:t>36,400</w:t>
            </w:r>
          </w:p>
        </w:tc>
        <w:tc>
          <w:tcPr>
            <w:tcW w:w="677" w:type="pct"/>
          </w:tcPr>
          <w:p w14:paraId="11B11E3B" w14:textId="77777777" w:rsidR="00E96B29" w:rsidRPr="00027624" w:rsidRDefault="00E96B29" w:rsidP="00DD4B21">
            <w:pPr>
              <w:pStyle w:val="TableTextCentered"/>
              <w:rPr>
                <w:szCs w:val="18"/>
              </w:rPr>
            </w:pPr>
            <w:r w:rsidRPr="00027624">
              <w:rPr>
                <w:szCs w:val="18"/>
              </w:rPr>
              <w:t>N/A</w:t>
            </w:r>
          </w:p>
        </w:tc>
        <w:tc>
          <w:tcPr>
            <w:tcW w:w="633" w:type="pct"/>
          </w:tcPr>
          <w:p w14:paraId="52E17D7F" w14:textId="77777777" w:rsidR="00E96B29" w:rsidRPr="00027624" w:rsidRDefault="00E96B29" w:rsidP="00DD4B21">
            <w:pPr>
              <w:pStyle w:val="TableTextCentered"/>
              <w:rPr>
                <w:szCs w:val="18"/>
              </w:rPr>
            </w:pPr>
            <w:r w:rsidRPr="00027624">
              <w:rPr>
                <w:szCs w:val="18"/>
              </w:rPr>
              <w:t>36,400</w:t>
            </w:r>
          </w:p>
        </w:tc>
      </w:tr>
      <w:tr w:rsidR="00DD4B21" w:rsidRPr="00027624" w14:paraId="662044BE" w14:textId="77777777" w:rsidTr="00DD4B21">
        <w:trPr>
          <w:trHeight w:val="270"/>
        </w:trPr>
        <w:tc>
          <w:tcPr>
            <w:tcW w:w="748" w:type="pct"/>
          </w:tcPr>
          <w:p w14:paraId="023EB673" w14:textId="77777777" w:rsidR="00DD4B21" w:rsidRPr="00027624" w:rsidRDefault="00DD4B21" w:rsidP="00E96B29">
            <w:pPr>
              <w:pStyle w:val="TableTextLeft"/>
            </w:pPr>
            <w:r w:rsidRPr="00027624">
              <w:rPr>
                <w:b/>
              </w:rPr>
              <w:t>Retire at 62</w:t>
            </w:r>
          </w:p>
        </w:tc>
        <w:tc>
          <w:tcPr>
            <w:tcW w:w="638" w:type="pct"/>
          </w:tcPr>
          <w:p w14:paraId="3AEA1A37" w14:textId="77777777" w:rsidR="00DD4B21" w:rsidRPr="00027624" w:rsidRDefault="00DD4B21" w:rsidP="00DD4B21">
            <w:pPr>
              <w:pStyle w:val="TableTextCentered"/>
            </w:pPr>
          </w:p>
        </w:tc>
        <w:tc>
          <w:tcPr>
            <w:tcW w:w="745" w:type="pct"/>
            <w:vAlign w:val="bottom"/>
          </w:tcPr>
          <w:p w14:paraId="41FC91EA" w14:textId="77777777" w:rsidR="00DD4B21" w:rsidRPr="00027624" w:rsidRDefault="00DD4B21" w:rsidP="00DD4B21">
            <w:pPr>
              <w:pStyle w:val="TableTextCentered"/>
              <w:rPr>
                <w:szCs w:val="18"/>
              </w:rPr>
            </w:pPr>
          </w:p>
        </w:tc>
        <w:tc>
          <w:tcPr>
            <w:tcW w:w="882" w:type="pct"/>
            <w:vAlign w:val="bottom"/>
          </w:tcPr>
          <w:p w14:paraId="11769800" w14:textId="77777777" w:rsidR="00DD4B21" w:rsidRPr="00027624" w:rsidRDefault="00DD4B21" w:rsidP="00DD4B21">
            <w:pPr>
              <w:pStyle w:val="TableTextCentered"/>
              <w:rPr>
                <w:szCs w:val="18"/>
              </w:rPr>
            </w:pPr>
          </w:p>
        </w:tc>
        <w:tc>
          <w:tcPr>
            <w:tcW w:w="677" w:type="pct"/>
            <w:vAlign w:val="bottom"/>
          </w:tcPr>
          <w:p w14:paraId="0DB1F140" w14:textId="77777777" w:rsidR="00DD4B21" w:rsidRPr="00027624" w:rsidRDefault="00DD4B21" w:rsidP="00DD4B21">
            <w:pPr>
              <w:pStyle w:val="TableTextCentered"/>
              <w:rPr>
                <w:szCs w:val="18"/>
              </w:rPr>
            </w:pPr>
          </w:p>
        </w:tc>
        <w:tc>
          <w:tcPr>
            <w:tcW w:w="677" w:type="pct"/>
            <w:vAlign w:val="bottom"/>
          </w:tcPr>
          <w:p w14:paraId="7E80CF08" w14:textId="77777777" w:rsidR="00DD4B21" w:rsidRPr="00027624" w:rsidRDefault="00DD4B21" w:rsidP="00DD4B21">
            <w:pPr>
              <w:pStyle w:val="TableTextCentered"/>
              <w:rPr>
                <w:szCs w:val="18"/>
              </w:rPr>
            </w:pPr>
          </w:p>
        </w:tc>
        <w:tc>
          <w:tcPr>
            <w:tcW w:w="633" w:type="pct"/>
            <w:vAlign w:val="bottom"/>
          </w:tcPr>
          <w:p w14:paraId="2E935B3F" w14:textId="77777777" w:rsidR="00DD4B21" w:rsidRPr="00027624" w:rsidRDefault="00DD4B21" w:rsidP="00DD4B21">
            <w:pPr>
              <w:pStyle w:val="TableTextCentered"/>
              <w:rPr>
                <w:szCs w:val="18"/>
              </w:rPr>
            </w:pPr>
          </w:p>
        </w:tc>
      </w:tr>
      <w:tr w:rsidR="00E96B29" w:rsidRPr="00027624" w14:paraId="4E8D0DEA" w14:textId="77777777" w:rsidTr="00DD4B21">
        <w:trPr>
          <w:trHeight w:val="270"/>
        </w:trPr>
        <w:tc>
          <w:tcPr>
            <w:tcW w:w="748" w:type="pct"/>
          </w:tcPr>
          <w:p w14:paraId="7EFA2A73" w14:textId="77777777" w:rsidR="00E96B29" w:rsidRPr="00027624" w:rsidRDefault="00E96B29" w:rsidP="00E96B29">
            <w:pPr>
              <w:pStyle w:val="TableTextLeft"/>
            </w:pPr>
            <w:r w:rsidRPr="00027624">
              <w:t>Job</w:t>
            </w:r>
            <w:r w:rsidR="00A8443E" w:rsidRPr="00027624">
              <w:noBreakHyphen/>
            </w:r>
            <w:r w:rsidRPr="00027624">
              <w:t>related</w:t>
            </w:r>
          </w:p>
        </w:tc>
        <w:tc>
          <w:tcPr>
            <w:tcW w:w="638" w:type="pct"/>
          </w:tcPr>
          <w:p w14:paraId="5E3B8087" w14:textId="77777777" w:rsidR="00E96B29" w:rsidRPr="00027624" w:rsidRDefault="00E96B29" w:rsidP="00DD4B21">
            <w:pPr>
              <w:pStyle w:val="TableTextCentered"/>
            </w:pPr>
            <w:r w:rsidRPr="00027624" w:rsidDel="009455A4">
              <w:t xml:space="preserve">JobSeeker Payment </w:t>
            </w:r>
            <w:r w:rsidRPr="00027624">
              <w:t>between ages 64</w:t>
            </w:r>
            <w:r w:rsidR="00A8443E" w:rsidRPr="00027624">
              <w:noBreakHyphen/>
            </w:r>
            <w:r w:rsidRPr="00027624">
              <w:t>66</w:t>
            </w:r>
          </w:p>
        </w:tc>
        <w:tc>
          <w:tcPr>
            <w:tcW w:w="745" w:type="pct"/>
          </w:tcPr>
          <w:p w14:paraId="2BBE9389" w14:textId="77777777" w:rsidR="00E96B29" w:rsidRPr="00027624" w:rsidRDefault="00E96B29" w:rsidP="00DD4B21">
            <w:pPr>
              <w:pStyle w:val="TableTextCentered"/>
              <w:rPr>
                <w:szCs w:val="18"/>
              </w:rPr>
            </w:pPr>
            <w:r w:rsidRPr="00027624">
              <w:rPr>
                <w:szCs w:val="18"/>
              </w:rPr>
              <w:t>114</w:t>
            </w:r>
          </w:p>
        </w:tc>
        <w:tc>
          <w:tcPr>
            <w:tcW w:w="882" w:type="pct"/>
          </w:tcPr>
          <w:p w14:paraId="492EB61A" w14:textId="77777777" w:rsidR="00E96B29" w:rsidRPr="00027624" w:rsidRDefault="00E96B29" w:rsidP="00DD4B21">
            <w:pPr>
              <w:pStyle w:val="TableTextCentered"/>
              <w:rPr>
                <w:szCs w:val="18"/>
              </w:rPr>
            </w:pPr>
            <w:r w:rsidRPr="00027624">
              <w:rPr>
                <w:szCs w:val="18"/>
              </w:rPr>
              <w:t>185,700</w:t>
            </w:r>
          </w:p>
        </w:tc>
        <w:tc>
          <w:tcPr>
            <w:tcW w:w="677" w:type="pct"/>
          </w:tcPr>
          <w:p w14:paraId="200CDA4A" w14:textId="77777777" w:rsidR="00E96B29" w:rsidRPr="00027624" w:rsidRDefault="00E96B29" w:rsidP="00DD4B21">
            <w:pPr>
              <w:pStyle w:val="TableTextCentered"/>
              <w:rPr>
                <w:szCs w:val="18"/>
              </w:rPr>
            </w:pPr>
            <w:r w:rsidRPr="00027624">
              <w:rPr>
                <w:szCs w:val="18"/>
              </w:rPr>
              <w:t>32,100</w:t>
            </w:r>
          </w:p>
        </w:tc>
        <w:tc>
          <w:tcPr>
            <w:tcW w:w="677" w:type="pct"/>
          </w:tcPr>
          <w:p w14:paraId="281F105E" w14:textId="77777777" w:rsidR="00E96B29" w:rsidRPr="00027624" w:rsidRDefault="00E96B29" w:rsidP="00DD4B21">
            <w:pPr>
              <w:pStyle w:val="TableTextCentered"/>
              <w:rPr>
                <w:szCs w:val="18"/>
              </w:rPr>
            </w:pPr>
            <w:r w:rsidRPr="00027624">
              <w:rPr>
                <w:szCs w:val="18"/>
              </w:rPr>
              <w:t>N/A</w:t>
            </w:r>
          </w:p>
        </w:tc>
        <w:tc>
          <w:tcPr>
            <w:tcW w:w="633" w:type="pct"/>
          </w:tcPr>
          <w:p w14:paraId="4AC3A490" w14:textId="77777777" w:rsidR="00E96B29" w:rsidRPr="00027624" w:rsidRDefault="00E96B29" w:rsidP="00DD4B21">
            <w:pPr>
              <w:pStyle w:val="TableTextCentered"/>
              <w:rPr>
                <w:szCs w:val="18"/>
              </w:rPr>
            </w:pPr>
            <w:r w:rsidRPr="00027624">
              <w:rPr>
                <w:szCs w:val="18"/>
              </w:rPr>
              <w:t>32,100</w:t>
            </w:r>
          </w:p>
        </w:tc>
      </w:tr>
      <w:tr w:rsidR="00E96B29" w:rsidRPr="00027624" w14:paraId="3811F536" w14:textId="77777777" w:rsidTr="00DD4B21">
        <w:trPr>
          <w:trHeight w:val="270"/>
        </w:trPr>
        <w:tc>
          <w:tcPr>
            <w:tcW w:w="748" w:type="pct"/>
          </w:tcPr>
          <w:p w14:paraId="145BAF8A" w14:textId="77777777" w:rsidR="00E96B29" w:rsidRPr="00027624" w:rsidRDefault="00E96B29" w:rsidP="00E96B29">
            <w:pPr>
              <w:pStyle w:val="TableTextLeft"/>
            </w:pPr>
            <w:r w:rsidRPr="00027624">
              <w:t xml:space="preserve">Own ill health </w:t>
            </w:r>
          </w:p>
        </w:tc>
        <w:tc>
          <w:tcPr>
            <w:tcW w:w="638" w:type="pct"/>
          </w:tcPr>
          <w:p w14:paraId="1C69F955" w14:textId="77777777" w:rsidR="00E96B29" w:rsidRPr="00027624" w:rsidRDefault="00E96B29" w:rsidP="00DD4B21">
            <w:pPr>
              <w:pStyle w:val="TableTextCentered"/>
            </w:pPr>
            <w:r w:rsidRPr="00027624" w:rsidDel="009455A4">
              <w:t>DSP u</w:t>
            </w:r>
            <w:r w:rsidRPr="00027624">
              <w:t>ntil age 67</w:t>
            </w:r>
          </w:p>
        </w:tc>
        <w:tc>
          <w:tcPr>
            <w:tcW w:w="745" w:type="pct"/>
          </w:tcPr>
          <w:p w14:paraId="288EEE33" w14:textId="77777777" w:rsidR="00E96B29" w:rsidRPr="00027624" w:rsidRDefault="00E96B29" w:rsidP="00DD4B21">
            <w:pPr>
              <w:pStyle w:val="TableTextCentered"/>
              <w:rPr>
                <w:szCs w:val="18"/>
              </w:rPr>
            </w:pPr>
            <w:r w:rsidRPr="00027624">
              <w:rPr>
                <w:szCs w:val="18"/>
              </w:rPr>
              <w:t>126</w:t>
            </w:r>
          </w:p>
        </w:tc>
        <w:tc>
          <w:tcPr>
            <w:tcW w:w="882" w:type="pct"/>
          </w:tcPr>
          <w:p w14:paraId="0E54D679" w14:textId="77777777" w:rsidR="00E96B29" w:rsidRPr="00027624" w:rsidRDefault="00E96B29" w:rsidP="00DD4B21">
            <w:pPr>
              <w:pStyle w:val="TableTextCentered"/>
              <w:rPr>
                <w:szCs w:val="18"/>
              </w:rPr>
            </w:pPr>
            <w:r w:rsidRPr="00027624">
              <w:rPr>
                <w:szCs w:val="18"/>
              </w:rPr>
              <w:t>185,700</w:t>
            </w:r>
          </w:p>
        </w:tc>
        <w:tc>
          <w:tcPr>
            <w:tcW w:w="677" w:type="pct"/>
          </w:tcPr>
          <w:p w14:paraId="67B49F6B" w14:textId="77777777" w:rsidR="00E96B29" w:rsidRPr="00027624" w:rsidRDefault="00E96B29" w:rsidP="00DD4B21">
            <w:pPr>
              <w:pStyle w:val="TableTextCentered"/>
              <w:rPr>
                <w:szCs w:val="18"/>
              </w:rPr>
            </w:pPr>
            <w:r w:rsidRPr="00027624">
              <w:rPr>
                <w:szCs w:val="18"/>
              </w:rPr>
              <w:t>35,400</w:t>
            </w:r>
          </w:p>
        </w:tc>
        <w:tc>
          <w:tcPr>
            <w:tcW w:w="677" w:type="pct"/>
          </w:tcPr>
          <w:p w14:paraId="1754C64F" w14:textId="77777777" w:rsidR="00E96B29" w:rsidRPr="00027624" w:rsidRDefault="00E96B29" w:rsidP="00DD4B21">
            <w:pPr>
              <w:pStyle w:val="TableTextCentered"/>
              <w:rPr>
                <w:szCs w:val="18"/>
              </w:rPr>
            </w:pPr>
            <w:r w:rsidRPr="00027624">
              <w:rPr>
                <w:szCs w:val="18"/>
              </w:rPr>
              <w:t>N/A</w:t>
            </w:r>
          </w:p>
        </w:tc>
        <w:tc>
          <w:tcPr>
            <w:tcW w:w="633" w:type="pct"/>
          </w:tcPr>
          <w:p w14:paraId="2A487089" w14:textId="77777777" w:rsidR="00E96B29" w:rsidRPr="00027624" w:rsidRDefault="00E96B29" w:rsidP="00DD4B21">
            <w:pPr>
              <w:pStyle w:val="TableTextCentered"/>
              <w:rPr>
                <w:szCs w:val="18"/>
              </w:rPr>
            </w:pPr>
            <w:r w:rsidRPr="00027624">
              <w:rPr>
                <w:szCs w:val="18"/>
              </w:rPr>
              <w:t>35,400</w:t>
            </w:r>
          </w:p>
        </w:tc>
      </w:tr>
      <w:tr w:rsidR="00E96B29" w:rsidRPr="00027624" w14:paraId="50408BEB" w14:textId="77777777" w:rsidTr="00DD4B21">
        <w:trPr>
          <w:trHeight w:val="270"/>
        </w:trPr>
        <w:tc>
          <w:tcPr>
            <w:tcW w:w="748" w:type="pct"/>
          </w:tcPr>
          <w:p w14:paraId="23F8F05C" w14:textId="77777777" w:rsidR="00E96B29" w:rsidRPr="00027624" w:rsidRDefault="00E96B29" w:rsidP="00E96B29">
            <w:pPr>
              <w:pStyle w:val="TableTextLeft"/>
            </w:pPr>
            <w:r w:rsidRPr="00027624">
              <w:t>Caring responsibilities</w:t>
            </w:r>
          </w:p>
        </w:tc>
        <w:tc>
          <w:tcPr>
            <w:tcW w:w="638" w:type="pct"/>
          </w:tcPr>
          <w:p w14:paraId="2029C7CD" w14:textId="77777777" w:rsidR="00E96B29" w:rsidRPr="00027624" w:rsidRDefault="00E96B29" w:rsidP="00DD4B21">
            <w:pPr>
              <w:pStyle w:val="TableTextCentered"/>
            </w:pPr>
            <w:r w:rsidRPr="00027624" w:rsidDel="009455A4">
              <w:t xml:space="preserve">Carer Payment </w:t>
            </w:r>
            <w:r w:rsidRPr="00027624">
              <w:t>until age 67</w:t>
            </w:r>
          </w:p>
        </w:tc>
        <w:tc>
          <w:tcPr>
            <w:tcW w:w="745" w:type="pct"/>
          </w:tcPr>
          <w:p w14:paraId="7DE2B6CC" w14:textId="77777777" w:rsidR="00E96B29" w:rsidRPr="00027624" w:rsidRDefault="00E96B29" w:rsidP="00DD4B21">
            <w:pPr>
              <w:pStyle w:val="TableTextCentered"/>
              <w:rPr>
                <w:szCs w:val="18"/>
              </w:rPr>
            </w:pPr>
            <w:r w:rsidRPr="00027624">
              <w:rPr>
                <w:szCs w:val="18"/>
              </w:rPr>
              <w:t>127</w:t>
            </w:r>
          </w:p>
        </w:tc>
        <w:tc>
          <w:tcPr>
            <w:tcW w:w="882" w:type="pct"/>
          </w:tcPr>
          <w:p w14:paraId="7D8B9A34" w14:textId="77777777" w:rsidR="00E96B29" w:rsidRPr="00027624" w:rsidRDefault="00E96B29" w:rsidP="00DD4B21">
            <w:pPr>
              <w:pStyle w:val="TableTextCentered"/>
              <w:rPr>
                <w:szCs w:val="18"/>
              </w:rPr>
            </w:pPr>
            <w:r w:rsidRPr="00027624">
              <w:rPr>
                <w:szCs w:val="18"/>
              </w:rPr>
              <w:t>185,700</w:t>
            </w:r>
          </w:p>
        </w:tc>
        <w:tc>
          <w:tcPr>
            <w:tcW w:w="677" w:type="pct"/>
          </w:tcPr>
          <w:p w14:paraId="6FA7C4E2" w14:textId="77777777" w:rsidR="00E96B29" w:rsidRPr="00027624" w:rsidRDefault="00E96B29" w:rsidP="00DD4B21">
            <w:pPr>
              <w:pStyle w:val="TableTextCentered"/>
              <w:rPr>
                <w:szCs w:val="18"/>
              </w:rPr>
            </w:pPr>
            <w:r w:rsidRPr="00027624">
              <w:rPr>
                <w:szCs w:val="18"/>
              </w:rPr>
              <w:t>35,700</w:t>
            </w:r>
          </w:p>
        </w:tc>
        <w:tc>
          <w:tcPr>
            <w:tcW w:w="677" w:type="pct"/>
          </w:tcPr>
          <w:p w14:paraId="12390605" w14:textId="77777777" w:rsidR="00E96B29" w:rsidRPr="00027624" w:rsidRDefault="00E96B29" w:rsidP="00DD4B21">
            <w:pPr>
              <w:pStyle w:val="TableTextCentered"/>
              <w:rPr>
                <w:szCs w:val="18"/>
              </w:rPr>
            </w:pPr>
            <w:r w:rsidRPr="00027624">
              <w:rPr>
                <w:szCs w:val="18"/>
              </w:rPr>
              <w:t>N/A</w:t>
            </w:r>
          </w:p>
        </w:tc>
        <w:tc>
          <w:tcPr>
            <w:tcW w:w="633" w:type="pct"/>
          </w:tcPr>
          <w:p w14:paraId="30A8A14B" w14:textId="77777777" w:rsidR="00E96B29" w:rsidRPr="00027624" w:rsidRDefault="00E96B29" w:rsidP="00DD4B21">
            <w:pPr>
              <w:pStyle w:val="TableTextCentered"/>
              <w:rPr>
                <w:szCs w:val="18"/>
              </w:rPr>
            </w:pPr>
            <w:r w:rsidRPr="00027624">
              <w:rPr>
                <w:szCs w:val="18"/>
              </w:rPr>
              <w:t>35,700</w:t>
            </w:r>
          </w:p>
        </w:tc>
      </w:tr>
      <w:tr w:rsidR="00E96B29" w:rsidRPr="00027624" w14:paraId="0CE32965" w14:textId="77777777" w:rsidTr="00DD4B21">
        <w:trPr>
          <w:trHeight w:val="270"/>
        </w:trPr>
        <w:tc>
          <w:tcPr>
            <w:tcW w:w="748" w:type="pct"/>
          </w:tcPr>
          <w:p w14:paraId="57448FC2" w14:textId="77777777" w:rsidR="00E96B29" w:rsidRPr="00027624" w:rsidRDefault="00E96B29" w:rsidP="00E96B29">
            <w:pPr>
              <w:pStyle w:val="TableTextLeft"/>
              <w:rPr>
                <w:b/>
              </w:rPr>
            </w:pPr>
            <w:r w:rsidRPr="00027624">
              <w:rPr>
                <w:b/>
              </w:rPr>
              <w:t>Retire at 57</w:t>
            </w:r>
          </w:p>
        </w:tc>
        <w:tc>
          <w:tcPr>
            <w:tcW w:w="638" w:type="pct"/>
          </w:tcPr>
          <w:p w14:paraId="7C4BFA10" w14:textId="77777777" w:rsidR="00E96B29" w:rsidRPr="00027624" w:rsidRDefault="00E96B29" w:rsidP="00DD4B21">
            <w:pPr>
              <w:pStyle w:val="TableTextCentered"/>
            </w:pPr>
          </w:p>
        </w:tc>
        <w:tc>
          <w:tcPr>
            <w:tcW w:w="745" w:type="pct"/>
            <w:vAlign w:val="bottom"/>
          </w:tcPr>
          <w:p w14:paraId="09C529EF" w14:textId="77777777" w:rsidR="00E96B29" w:rsidRPr="00027624" w:rsidRDefault="00E96B29" w:rsidP="00DD4B21">
            <w:pPr>
              <w:pStyle w:val="TableTextCentered"/>
              <w:rPr>
                <w:szCs w:val="18"/>
              </w:rPr>
            </w:pPr>
          </w:p>
        </w:tc>
        <w:tc>
          <w:tcPr>
            <w:tcW w:w="882" w:type="pct"/>
            <w:vAlign w:val="bottom"/>
          </w:tcPr>
          <w:p w14:paraId="6BE65B83" w14:textId="77777777" w:rsidR="00E96B29" w:rsidRPr="00027624" w:rsidRDefault="00E96B29" w:rsidP="00DD4B21">
            <w:pPr>
              <w:pStyle w:val="TableTextCentered"/>
              <w:rPr>
                <w:szCs w:val="18"/>
              </w:rPr>
            </w:pPr>
          </w:p>
        </w:tc>
        <w:tc>
          <w:tcPr>
            <w:tcW w:w="677" w:type="pct"/>
            <w:vAlign w:val="bottom"/>
          </w:tcPr>
          <w:p w14:paraId="7F519870" w14:textId="77777777" w:rsidR="00E96B29" w:rsidRPr="00027624" w:rsidRDefault="00E96B29" w:rsidP="00DD4B21">
            <w:pPr>
              <w:pStyle w:val="TableTextCentered"/>
              <w:rPr>
                <w:szCs w:val="18"/>
              </w:rPr>
            </w:pPr>
          </w:p>
        </w:tc>
        <w:tc>
          <w:tcPr>
            <w:tcW w:w="677" w:type="pct"/>
            <w:vAlign w:val="bottom"/>
          </w:tcPr>
          <w:p w14:paraId="7851F798" w14:textId="77777777" w:rsidR="00E96B29" w:rsidRPr="00027624" w:rsidRDefault="00E96B29" w:rsidP="00DD4B21">
            <w:pPr>
              <w:pStyle w:val="TableTextCentered"/>
              <w:rPr>
                <w:szCs w:val="18"/>
              </w:rPr>
            </w:pPr>
          </w:p>
        </w:tc>
        <w:tc>
          <w:tcPr>
            <w:tcW w:w="633" w:type="pct"/>
            <w:vAlign w:val="bottom"/>
          </w:tcPr>
          <w:p w14:paraId="7B948C9C" w14:textId="77777777" w:rsidR="00E96B29" w:rsidRPr="00027624" w:rsidRDefault="00E96B29" w:rsidP="00DD4B21">
            <w:pPr>
              <w:pStyle w:val="TableTextCentered"/>
              <w:rPr>
                <w:szCs w:val="18"/>
              </w:rPr>
            </w:pPr>
          </w:p>
        </w:tc>
      </w:tr>
      <w:tr w:rsidR="00E96B29" w:rsidRPr="00027624" w14:paraId="3BBBC3F1" w14:textId="77777777" w:rsidTr="00E02029">
        <w:trPr>
          <w:trHeight w:val="270"/>
        </w:trPr>
        <w:tc>
          <w:tcPr>
            <w:tcW w:w="748" w:type="pct"/>
          </w:tcPr>
          <w:p w14:paraId="01B7D0C0" w14:textId="77777777" w:rsidR="00E96B29" w:rsidRPr="00027624" w:rsidRDefault="00E96B29" w:rsidP="00E96B29">
            <w:pPr>
              <w:pStyle w:val="TableTextLeft"/>
            </w:pPr>
            <w:r w:rsidRPr="00027624">
              <w:t>Job</w:t>
            </w:r>
            <w:r w:rsidR="00A8443E" w:rsidRPr="00027624">
              <w:noBreakHyphen/>
            </w:r>
            <w:r w:rsidRPr="00027624">
              <w:t>related</w:t>
            </w:r>
          </w:p>
        </w:tc>
        <w:tc>
          <w:tcPr>
            <w:tcW w:w="638" w:type="pct"/>
          </w:tcPr>
          <w:p w14:paraId="03D00D0D" w14:textId="77777777" w:rsidR="00E96B29" w:rsidRPr="00027624" w:rsidRDefault="00E96B29" w:rsidP="00DD4B21">
            <w:pPr>
              <w:pStyle w:val="TableTextCentered"/>
            </w:pPr>
            <w:r w:rsidRPr="00027624" w:rsidDel="009455A4">
              <w:t>JobSeeker Payment until age 67</w:t>
            </w:r>
          </w:p>
        </w:tc>
        <w:tc>
          <w:tcPr>
            <w:tcW w:w="745" w:type="pct"/>
          </w:tcPr>
          <w:p w14:paraId="5F916126" w14:textId="77777777" w:rsidR="00E96B29" w:rsidRPr="00027624" w:rsidRDefault="00E96B29" w:rsidP="00E02029">
            <w:pPr>
              <w:pStyle w:val="TableTextCentered"/>
              <w:rPr>
                <w:szCs w:val="18"/>
              </w:rPr>
            </w:pPr>
            <w:r w:rsidRPr="00027624">
              <w:rPr>
                <w:szCs w:val="18"/>
              </w:rPr>
              <w:t>110</w:t>
            </w:r>
          </w:p>
        </w:tc>
        <w:tc>
          <w:tcPr>
            <w:tcW w:w="882" w:type="pct"/>
          </w:tcPr>
          <w:p w14:paraId="6748CCD4" w14:textId="77777777" w:rsidR="00E96B29" w:rsidRPr="00027624" w:rsidRDefault="00E96B29" w:rsidP="00E02029">
            <w:pPr>
              <w:pStyle w:val="TableTextCentered"/>
              <w:rPr>
                <w:szCs w:val="18"/>
              </w:rPr>
            </w:pPr>
            <w:r w:rsidRPr="00027624">
              <w:rPr>
                <w:szCs w:val="18"/>
              </w:rPr>
              <w:t>149,500</w:t>
            </w:r>
          </w:p>
        </w:tc>
        <w:tc>
          <w:tcPr>
            <w:tcW w:w="677" w:type="pct"/>
          </w:tcPr>
          <w:p w14:paraId="6EE6D05B" w14:textId="77777777" w:rsidR="00E96B29" w:rsidRPr="00027624" w:rsidRDefault="00E96B29" w:rsidP="00E02029">
            <w:pPr>
              <w:pStyle w:val="TableTextCentered"/>
              <w:rPr>
                <w:szCs w:val="18"/>
              </w:rPr>
            </w:pPr>
            <w:r w:rsidRPr="00027624">
              <w:rPr>
                <w:szCs w:val="18"/>
              </w:rPr>
              <w:t>30,800</w:t>
            </w:r>
          </w:p>
        </w:tc>
        <w:tc>
          <w:tcPr>
            <w:tcW w:w="677" w:type="pct"/>
          </w:tcPr>
          <w:p w14:paraId="27D4301E" w14:textId="77777777" w:rsidR="00E96B29" w:rsidRPr="00027624" w:rsidRDefault="00E96B29" w:rsidP="00E02029">
            <w:pPr>
              <w:pStyle w:val="TableTextCentered"/>
              <w:rPr>
                <w:szCs w:val="18"/>
              </w:rPr>
            </w:pPr>
            <w:r w:rsidRPr="00027624">
              <w:rPr>
                <w:szCs w:val="18"/>
              </w:rPr>
              <w:t>10,100</w:t>
            </w:r>
          </w:p>
        </w:tc>
        <w:tc>
          <w:tcPr>
            <w:tcW w:w="633" w:type="pct"/>
          </w:tcPr>
          <w:p w14:paraId="1246A885" w14:textId="77777777" w:rsidR="00E96B29" w:rsidRPr="00027624" w:rsidRDefault="00E96B29" w:rsidP="00E02029">
            <w:pPr>
              <w:pStyle w:val="TableTextCentered"/>
              <w:rPr>
                <w:szCs w:val="18"/>
              </w:rPr>
            </w:pPr>
            <w:r w:rsidRPr="00027624">
              <w:rPr>
                <w:szCs w:val="18"/>
              </w:rPr>
              <w:t>32,800</w:t>
            </w:r>
          </w:p>
        </w:tc>
      </w:tr>
      <w:tr w:rsidR="00E96B29" w:rsidRPr="00027624" w14:paraId="298C1C89" w14:textId="77777777" w:rsidTr="00E02029">
        <w:trPr>
          <w:trHeight w:val="270"/>
        </w:trPr>
        <w:tc>
          <w:tcPr>
            <w:tcW w:w="748" w:type="pct"/>
          </w:tcPr>
          <w:p w14:paraId="2D58D549" w14:textId="77777777" w:rsidR="00E96B29" w:rsidRPr="00027624" w:rsidRDefault="00E96B29" w:rsidP="00E96B29">
            <w:pPr>
              <w:pStyle w:val="TableTextLeft"/>
            </w:pPr>
            <w:r w:rsidRPr="00027624">
              <w:t>Own ill health</w:t>
            </w:r>
          </w:p>
        </w:tc>
        <w:tc>
          <w:tcPr>
            <w:tcW w:w="638" w:type="pct"/>
          </w:tcPr>
          <w:p w14:paraId="43FB181A" w14:textId="77777777" w:rsidR="00E96B29" w:rsidRPr="00027624" w:rsidRDefault="00E96B29" w:rsidP="00DD4B21">
            <w:pPr>
              <w:pStyle w:val="TableTextCentered"/>
            </w:pPr>
            <w:r w:rsidRPr="00027624" w:rsidDel="009455A4">
              <w:t>DSP until age 67</w:t>
            </w:r>
          </w:p>
        </w:tc>
        <w:tc>
          <w:tcPr>
            <w:tcW w:w="745" w:type="pct"/>
          </w:tcPr>
          <w:p w14:paraId="12D87B55" w14:textId="77777777" w:rsidR="00E96B29" w:rsidRPr="00027624" w:rsidRDefault="00E96B29" w:rsidP="00E02029">
            <w:pPr>
              <w:pStyle w:val="TableTextCentered"/>
              <w:rPr>
                <w:szCs w:val="18"/>
              </w:rPr>
            </w:pPr>
            <w:r w:rsidRPr="00027624">
              <w:rPr>
                <w:szCs w:val="18"/>
              </w:rPr>
              <w:t>125</w:t>
            </w:r>
          </w:p>
        </w:tc>
        <w:tc>
          <w:tcPr>
            <w:tcW w:w="882" w:type="pct"/>
          </w:tcPr>
          <w:p w14:paraId="16003636" w14:textId="77777777" w:rsidR="00E96B29" w:rsidRPr="00027624" w:rsidRDefault="00E96B29" w:rsidP="00E02029">
            <w:pPr>
              <w:pStyle w:val="TableTextCentered"/>
              <w:rPr>
                <w:szCs w:val="18"/>
              </w:rPr>
            </w:pPr>
            <w:r w:rsidRPr="00027624">
              <w:rPr>
                <w:szCs w:val="18"/>
              </w:rPr>
              <w:t>149,500</w:t>
            </w:r>
          </w:p>
        </w:tc>
        <w:tc>
          <w:tcPr>
            <w:tcW w:w="677" w:type="pct"/>
          </w:tcPr>
          <w:p w14:paraId="212C704A" w14:textId="77777777" w:rsidR="00E96B29" w:rsidRPr="00027624" w:rsidRDefault="00E96B29" w:rsidP="00E02029">
            <w:pPr>
              <w:pStyle w:val="TableTextCentered"/>
              <w:rPr>
                <w:szCs w:val="18"/>
              </w:rPr>
            </w:pPr>
            <w:r w:rsidRPr="00027624">
              <w:rPr>
                <w:szCs w:val="18"/>
              </w:rPr>
              <w:t>35,300</w:t>
            </w:r>
          </w:p>
        </w:tc>
        <w:tc>
          <w:tcPr>
            <w:tcW w:w="677" w:type="pct"/>
          </w:tcPr>
          <w:p w14:paraId="40DC82FA" w14:textId="77777777" w:rsidR="00E96B29" w:rsidRPr="00027624" w:rsidRDefault="00E96B29" w:rsidP="00E02029">
            <w:pPr>
              <w:pStyle w:val="TableTextCentered"/>
              <w:rPr>
                <w:szCs w:val="18"/>
              </w:rPr>
            </w:pPr>
            <w:r w:rsidRPr="00027624">
              <w:rPr>
                <w:szCs w:val="18"/>
              </w:rPr>
              <w:t>23,000</w:t>
            </w:r>
          </w:p>
        </w:tc>
        <w:tc>
          <w:tcPr>
            <w:tcW w:w="633" w:type="pct"/>
          </w:tcPr>
          <w:p w14:paraId="66997E38" w14:textId="77777777" w:rsidR="00E96B29" w:rsidRPr="00027624" w:rsidRDefault="00E96B29" w:rsidP="00E02029">
            <w:pPr>
              <w:pStyle w:val="TableTextCentered"/>
              <w:rPr>
                <w:szCs w:val="18"/>
              </w:rPr>
            </w:pPr>
            <w:r w:rsidRPr="00027624">
              <w:rPr>
                <w:szCs w:val="18"/>
              </w:rPr>
              <w:t>36,400</w:t>
            </w:r>
          </w:p>
        </w:tc>
      </w:tr>
      <w:tr w:rsidR="00E96B29" w:rsidRPr="00027624" w14:paraId="56B45017" w14:textId="77777777" w:rsidTr="00E02029">
        <w:trPr>
          <w:trHeight w:val="270"/>
        </w:trPr>
        <w:tc>
          <w:tcPr>
            <w:tcW w:w="748" w:type="pct"/>
          </w:tcPr>
          <w:p w14:paraId="7F2F86B6" w14:textId="77777777" w:rsidR="00E96B29" w:rsidRPr="00027624" w:rsidRDefault="00E96B29" w:rsidP="00E96B29">
            <w:pPr>
              <w:pStyle w:val="TableTextLeft"/>
            </w:pPr>
            <w:r w:rsidRPr="00027624">
              <w:t>Caring responsibilities</w:t>
            </w:r>
          </w:p>
        </w:tc>
        <w:tc>
          <w:tcPr>
            <w:tcW w:w="638" w:type="pct"/>
          </w:tcPr>
          <w:p w14:paraId="5D4FF73E" w14:textId="77777777" w:rsidR="00E96B29" w:rsidRPr="00027624" w:rsidRDefault="00E96B29" w:rsidP="00DD4B21">
            <w:pPr>
              <w:pStyle w:val="TableTextCentered"/>
            </w:pPr>
            <w:r w:rsidRPr="00027624" w:rsidDel="009455A4">
              <w:t>Carer Payment until age 67</w:t>
            </w:r>
          </w:p>
        </w:tc>
        <w:tc>
          <w:tcPr>
            <w:tcW w:w="745" w:type="pct"/>
          </w:tcPr>
          <w:p w14:paraId="5FCCDA91" w14:textId="77777777" w:rsidR="00E96B29" w:rsidRPr="00027624" w:rsidRDefault="00E96B29" w:rsidP="00E02029">
            <w:pPr>
              <w:pStyle w:val="TableTextCentered"/>
              <w:rPr>
                <w:szCs w:val="18"/>
              </w:rPr>
            </w:pPr>
            <w:r w:rsidRPr="00027624">
              <w:rPr>
                <w:szCs w:val="18"/>
              </w:rPr>
              <w:t>128</w:t>
            </w:r>
          </w:p>
        </w:tc>
        <w:tc>
          <w:tcPr>
            <w:tcW w:w="882" w:type="pct"/>
          </w:tcPr>
          <w:p w14:paraId="50E9CCBC" w14:textId="77777777" w:rsidR="00E96B29" w:rsidRPr="00027624" w:rsidRDefault="00E96B29" w:rsidP="00E02029">
            <w:pPr>
              <w:pStyle w:val="TableTextCentered"/>
              <w:rPr>
                <w:szCs w:val="18"/>
              </w:rPr>
            </w:pPr>
            <w:r w:rsidRPr="00027624">
              <w:rPr>
                <w:szCs w:val="18"/>
              </w:rPr>
              <w:t>149,500</w:t>
            </w:r>
          </w:p>
        </w:tc>
        <w:tc>
          <w:tcPr>
            <w:tcW w:w="677" w:type="pct"/>
          </w:tcPr>
          <w:p w14:paraId="34601CE4" w14:textId="77777777" w:rsidR="00E96B29" w:rsidRPr="00027624" w:rsidRDefault="00E96B29" w:rsidP="00E02029">
            <w:pPr>
              <w:pStyle w:val="TableTextCentered"/>
              <w:rPr>
                <w:szCs w:val="18"/>
              </w:rPr>
            </w:pPr>
            <w:r w:rsidRPr="00027624">
              <w:rPr>
                <w:szCs w:val="18"/>
              </w:rPr>
              <w:t>35,900</w:t>
            </w:r>
          </w:p>
        </w:tc>
        <w:tc>
          <w:tcPr>
            <w:tcW w:w="677" w:type="pct"/>
          </w:tcPr>
          <w:p w14:paraId="66413370" w14:textId="77777777" w:rsidR="00E96B29" w:rsidRPr="00027624" w:rsidRDefault="00E96B29" w:rsidP="00E02029">
            <w:pPr>
              <w:pStyle w:val="TableTextCentered"/>
              <w:rPr>
                <w:szCs w:val="18"/>
              </w:rPr>
            </w:pPr>
            <w:r w:rsidRPr="00027624">
              <w:rPr>
                <w:szCs w:val="18"/>
              </w:rPr>
              <w:t>25,400</w:t>
            </w:r>
          </w:p>
        </w:tc>
        <w:tc>
          <w:tcPr>
            <w:tcW w:w="633" w:type="pct"/>
          </w:tcPr>
          <w:p w14:paraId="6E5F3D01" w14:textId="77777777" w:rsidR="00E96B29" w:rsidRPr="00027624" w:rsidRDefault="00E96B29" w:rsidP="00E02029">
            <w:pPr>
              <w:pStyle w:val="TableTextCentered"/>
              <w:rPr>
                <w:szCs w:val="18"/>
              </w:rPr>
            </w:pPr>
            <w:r w:rsidRPr="00027624">
              <w:rPr>
                <w:szCs w:val="18"/>
              </w:rPr>
              <w:t>36,900</w:t>
            </w:r>
          </w:p>
        </w:tc>
      </w:tr>
    </w:tbl>
    <w:p w14:paraId="5E715E97" w14:textId="41E8F853" w:rsidR="00E96B29" w:rsidRPr="00027624" w:rsidRDefault="00E96B29" w:rsidP="00E96B29">
      <w:pPr>
        <w:pStyle w:val="ChartorTableNote"/>
      </w:pPr>
      <w:bookmarkStart w:id="4392" w:name="_Ref35864522"/>
      <w:r w:rsidRPr="00027624">
        <w:t xml:space="preserve">Note for </w:t>
      </w:r>
      <w:r w:rsidRPr="00027624">
        <w:fldChar w:fldCharType="begin"/>
      </w:r>
      <w:r w:rsidRPr="00027624">
        <w:instrText xml:space="preserve"> REF _Ref35864524 \r \h  \* MERGEFORMAT </w:instrText>
      </w:r>
      <w:r w:rsidRPr="00027624">
        <w:fldChar w:fldCharType="separate"/>
      </w:r>
      <w:r w:rsidR="00891058">
        <w:t>Table 6D-1</w:t>
      </w:r>
      <w:r w:rsidRPr="00027624">
        <w:fldChar w:fldCharType="end"/>
      </w:r>
      <w:r w:rsidRPr="00027624">
        <w:t xml:space="preserve">, </w:t>
      </w:r>
      <w:r w:rsidRPr="00027624">
        <w:fldChar w:fldCharType="begin"/>
      </w:r>
      <w:r w:rsidRPr="00027624">
        <w:instrText xml:space="preserve"> REF _Ref41650540 \r \h  \* MERGEFORMAT </w:instrText>
      </w:r>
      <w:r w:rsidRPr="00027624">
        <w:fldChar w:fldCharType="separate"/>
      </w:r>
      <w:r w:rsidR="00891058">
        <w:t>Table 6D-2</w:t>
      </w:r>
      <w:r w:rsidRPr="00027624">
        <w:fldChar w:fldCharType="end"/>
      </w:r>
      <w:r w:rsidRPr="00027624">
        <w:t xml:space="preserve"> and </w:t>
      </w:r>
      <w:r w:rsidRPr="00027624">
        <w:fldChar w:fldCharType="begin"/>
      </w:r>
      <w:r w:rsidRPr="00027624">
        <w:instrText xml:space="preserve"> REF _Ref43997751 \r \h  \* MERGEFORMAT </w:instrText>
      </w:r>
      <w:r w:rsidRPr="00027624">
        <w:fldChar w:fldCharType="separate"/>
      </w:r>
      <w:r w:rsidR="00891058">
        <w:t>Table 6D-3</w:t>
      </w:r>
      <w:r w:rsidRPr="00027624">
        <w:fldChar w:fldCharType="end"/>
      </w:r>
      <w:r w:rsidRPr="00027624">
        <w:t>: Values are in 2019</w:t>
      </w:r>
      <w:r w:rsidR="00A8443E" w:rsidRPr="00027624">
        <w:noBreakHyphen/>
      </w:r>
      <w:r w:rsidRPr="00027624">
        <w:t>20 dollars and rounded to the nearest $100. Superannuation balance at retirement is deflated by average weekly earnings. Retirement income is deflated using the review</w:t>
      </w:r>
      <w:r w:rsidR="00A8443E" w:rsidRPr="00027624">
        <w:t>’</w:t>
      </w:r>
      <w:r w:rsidRPr="00027624">
        <w:t xml:space="preserve">s mixed deflator. </w:t>
      </w:r>
      <w:r w:rsidRPr="00027624">
        <w:rPr>
          <w:szCs w:val="18"/>
        </w:rPr>
        <w:t xml:space="preserve">Replacement rate uses average income of the last 10 years of working life and average lifetime retirement income. For consistency, the working life of the person who retires at age 67 is used as the replacement rate denominator for all retirement ages. </w:t>
      </w:r>
      <w:r w:rsidR="00A8443E" w:rsidRPr="00027624">
        <w:rPr>
          <w:szCs w:val="18"/>
        </w:rPr>
        <w:t>‘</w:t>
      </w:r>
      <w:r w:rsidRPr="00027624">
        <w:rPr>
          <w:szCs w:val="18"/>
        </w:rPr>
        <w:t>Average annual income –age 60 and over</w:t>
      </w:r>
      <w:r w:rsidR="00A8443E" w:rsidRPr="00027624">
        <w:rPr>
          <w:szCs w:val="18"/>
        </w:rPr>
        <w:t>’</w:t>
      </w:r>
      <w:r w:rsidRPr="00027624">
        <w:rPr>
          <w:szCs w:val="18"/>
        </w:rPr>
        <w:t xml:space="preserve"> averages retirement income at ages 60 and over provided an individual is retired in those years. </w:t>
      </w:r>
      <w:r w:rsidR="00A8443E" w:rsidRPr="00027624">
        <w:rPr>
          <w:szCs w:val="18"/>
        </w:rPr>
        <w:t>‘</w:t>
      </w:r>
      <w:r w:rsidRPr="00027624">
        <w:rPr>
          <w:szCs w:val="18"/>
        </w:rPr>
        <w:t>Average annual income</w:t>
      </w:r>
      <w:r w:rsidR="00A8443E" w:rsidRPr="00027624">
        <w:rPr>
          <w:szCs w:val="18"/>
        </w:rPr>
        <w:t xml:space="preserve"> — </w:t>
      </w:r>
      <w:r w:rsidRPr="00027624">
        <w:rPr>
          <w:szCs w:val="18"/>
        </w:rPr>
        <w:t>retirement age to age 60</w:t>
      </w:r>
      <w:r w:rsidR="00A8443E" w:rsidRPr="00027624">
        <w:rPr>
          <w:szCs w:val="18"/>
        </w:rPr>
        <w:t>’</w:t>
      </w:r>
      <w:r w:rsidRPr="00027624">
        <w:rPr>
          <w:szCs w:val="18"/>
        </w:rPr>
        <w:t xml:space="preserve"> averages retirement income at ages 57</w:t>
      </w:r>
      <w:r w:rsidR="00A8443E" w:rsidRPr="00027624">
        <w:rPr>
          <w:szCs w:val="18"/>
        </w:rPr>
        <w:noBreakHyphen/>
      </w:r>
      <w:r w:rsidRPr="00027624">
        <w:rPr>
          <w:szCs w:val="18"/>
        </w:rPr>
        <w:t xml:space="preserve">59 provided an individual is retired in those years. </w:t>
      </w:r>
      <w:r w:rsidRPr="00027624">
        <w:t xml:space="preserve">The cameo assumes that before age 60 (superannuation preservation age), people do not take actions to boost their income until they reach preservation age (such as using early release of superannuation). People who retire before age 67 draw down at the higher of the maximum </w:t>
      </w:r>
      <w:r w:rsidRPr="00027624" w:rsidDel="0068007C">
        <w:t>Age</w:t>
      </w:r>
      <w:r w:rsidRPr="00027624">
        <w:t> Pension less any JobSeeker Payment, Disability Support Pension (</w:t>
      </w:r>
      <w:r w:rsidR="00A8443E" w:rsidRPr="00027624">
        <w:t>‘</w:t>
      </w:r>
      <w:r w:rsidRPr="00027624">
        <w:t>DSP</w:t>
      </w:r>
      <w:r w:rsidR="00A8443E" w:rsidRPr="00027624">
        <w:t>’</w:t>
      </w:r>
      <w:r w:rsidRPr="00027624">
        <w:t xml:space="preserve"> on chart) or Carer Payment, plus supplements, they receive, or minimum legislated rates between preservation age and age 67. </w:t>
      </w:r>
      <w:r w:rsidRPr="00027624">
        <w:rPr>
          <w:szCs w:val="18"/>
        </w:rPr>
        <w:t xml:space="preserve">Superannuation is not assessable in the social security means test </w:t>
      </w:r>
      <w:r w:rsidRPr="00027624" w:rsidDel="004A4B1E">
        <w:rPr>
          <w:szCs w:val="18"/>
        </w:rPr>
        <w:t xml:space="preserve">prior to </w:t>
      </w:r>
      <w:r w:rsidRPr="00027624" w:rsidDel="0068007C">
        <w:rPr>
          <w:szCs w:val="18"/>
        </w:rPr>
        <w:t>Age</w:t>
      </w:r>
      <w:r w:rsidRPr="00027624">
        <w:rPr>
          <w:szCs w:val="18"/>
        </w:rPr>
        <w:t> Pension</w:t>
      </w:r>
      <w:r w:rsidRPr="00027624" w:rsidDel="004A4B1E">
        <w:rPr>
          <w:szCs w:val="18"/>
        </w:rPr>
        <w:t xml:space="preserve"> </w:t>
      </w:r>
      <w:r w:rsidRPr="00027624">
        <w:rPr>
          <w:szCs w:val="18"/>
        </w:rPr>
        <w:t>eligibility age until it is converted into an income stream. This modelling assumes this occurs at age 60 for people who retire before age 60. This results in the middle</w:t>
      </w:r>
      <w:r w:rsidR="00A8443E" w:rsidRPr="00027624">
        <w:rPr>
          <w:szCs w:val="18"/>
        </w:rPr>
        <w:noBreakHyphen/>
      </w:r>
      <w:r w:rsidRPr="00027624">
        <w:rPr>
          <w:szCs w:val="18"/>
        </w:rPr>
        <w:t xml:space="preserve"> and higher</w:t>
      </w:r>
      <w:r w:rsidR="00A8443E" w:rsidRPr="00027624">
        <w:rPr>
          <w:szCs w:val="18"/>
        </w:rPr>
        <w:noBreakHyphen/>
      </w:r>
      <w:r w:rsidRPr="00027624">
        <w:rPr>
          <w:szCs w:val="18"/>
        </w:rPr>
        <w:t xml:space="preserve">income earner who retires at age 57 not receiving the JobSeeker Payment after age 60. The higher thresholds for the income and assets tests for </w:t>
      </w:r>
      <w:r w:rsidRPr="00027624">
        <w:t>Disability Support Pension</w:t>
      </w:r>
      <w:r w:rsidRPr="00027624">
        <w:rPr>
          <w:szCs w:val="18"/>
        </w:rPr>
        <w:t xml:space="preserve"> and Carer Payment mean most early retirees continue to receive </w:t>
      </w:r>
      <w:r w:rsidRPr="00027624">
        <w:t>Disability Support Pension</w:t>
      </w:r>
      <w:r w:rsidRPr="00027624">
        <w:rPr>
          <w:szCs w:val="18"/>
        </w:rPr>
        <w:t xml:space="preserve"> and Carer Payment after age 60. </w:t>
      </w:r>
      <w:r w:rsidRPr="00027624">
        <w:t>Source: Cameo modelling undertaken for the review.</w:t>
      </w:r>
    </w:p>
    <w:p w14:paraId="3E46B7B3" w14:textId="77777777" w:rsidR="00E96B29" w:rsidRPr="00027624" w:rsidRDefault="00E96B29" w:rsidP="00E96B29">
      <w:pPr>
        <w:pStyle w:val="TableMainHeading"/>
      </w:pPr>
      <w:bookmarkStart w:id="4393" w:name="_Ref41650540"/>
      <w:r w:rsidRPr="00027624">
        <w:t>Projected outcomes of retiring at ages 57 and 62 compared to age 67 for a middle</w:t>
      </w:r>
      <w:r w:rsidR="00A8443E" w:rsidRPr="00027624">
        <w:noBreakHyphen/>
      </w:r>
      <w:r w:rsidRPr="00027624">
        <w:t>income earner (50</w:t>
      </w:r>
      <w:r w:rsidRPr="00027624">
        <w:rPr>
          <w:vertAlign w:val="superscript"/>
        </w:rPr>
        <w:t>th</w:t>
      </w:r>
      <w:r w:rsidRPr="00027624">
        <w:t xml:space="preserve"> percentile)</w:t>
      </w:r>
      <w:bookmarkEnd w:id="4392"/>
      <w:bookmarkEnd w:id="4393"/>
    </w:p>
    <w:tbl>
      <w:tblPr>
        <w:tblpPr w:leftFromText="180" w:rightFromText="180" w:vertAnchor="text" w:tblpY="1"/>
        <w:tblOverlap w:val="never"/>
        <w:tblW w:w="4953" w:type="pct"/>
        <w:tblLook w:val="01E0" w:firstRow="1" w:lastRow="1" w:firstColumn="1" w:lastColumn="1" w:noHBand="0" w:noVBand="0"/>
      </w:tblPr>
      <w:tblGrid>
        <w:gridCol w:w="1315"/>
        <w:gridCol w:w="1120"/>
        <w:gridCol w:w="1309"/>
        <w:gridCol w:w="1551"/>
        <w:gridCol w:w="1191"/>
        <w:gridCol w:w="1191"/>
        <w:gridCol w:w="1308"/>
      </w:tblGrid>
      <w:tr w:rsidR="00E96B29" w:rsidRPr="00027624" w14:paraId="1150A315" w14:textId="77777777" w:rsidTr="00E02029">
        <w:trPr>
          <w:trHeight w:val="278"/>
          <w:tblHeader/>
        </w:trPr>
        <w:tc>
          <w:tcPr>
            <w:tcW w:w="732" w:type="pct"/>
            <w:shd w:val="clear" w:color="auto" w:fill="E5E5E5"/>
          </w:tcPr>
          <w:p w14:paraId="3A0216A2" w14:textId="77777777" w:rsidR="00E96B29" w:rsidRPr="00027624" w:rsidRDefault="00E96B29" w:rsidP="00E96B29">
            <w:pPr>
              <w:pStyle w:val="TableTextLeft"/>
              <w:rPr>
                <w:b/>
                <w:color w:val="0D3038" w:themeColor="text2"/>
              </w:rPr>
            </w:pPr>
            <w:r w:rsidRPr="00027624">
              <w:rPr>
                <w:b/>
                <w:color w:val="004A7F"/>
                <w:sz w:val="20"/>
              </w:rPr>
              <w:t>Retirement age and reason for retirement</w:t>
            </w:r>
          </w:p>
        </w:tc>
        <w:tc>
          <w:tcPr>
            <w:tcW w:w="623" w:type="pct"/>
            <w:shd w:val="clear" w:color="auto" w:fill="E5E5E5"/>
          </w:tcPr>
          <w:p w14:paraId="7D2B1F10" w14:textId="77777777" w:rsidR="00E96B29" w:rsidRPr="00027624" w:rsidRDefault="00E96B29" w:rsidP="00E96B29">
            <w:pPr>
              <w:pStyle w:val="TableTextLeft"/>
              <w:jc w:val="center"/>
              <w:rPr>
                <w:b/>
                <w:color w:val="004A7F"/>
                <w:sz w:val="20"/>
              </w:rPr>
            </w:pPr>
            <w:r w:rsidRPr="00027624" w:rsidDel="009455A4">
              <w:rPr>
                <w:b/>
                <w:color w:val="004A7F"/>
                <w:sz w:val="20"/>
              </w:rPr>
              <w:t>Income support payment received before age 67</w:t>
            </w:r>
          </w:p>
        </w:tc>
        <w:tc>
          <w:tcPr>
            <w:tcW w:w="728" w:type="pct"/>
            <w:shd w:val="clear" w:color="auto" w:fill="E5E5E5"/>
          </w:tcPr>
          <w:p w14:paraId="7A539D53" w14:textId="77777777" w:rsidR="00E96B29" w:rsidRPr="00027624" w:rsidRDefault="00E96B29" w:rsidP="00E96B29">
            <w:pPr>
              <w:pStyle w:val="TableTextLeft"/>
              <w:jc w:val="center"/>
              <w:rPr>
                <w:b/>
                <w:color w:val="004A7F"/>
                <w:sz w:val="20"/>
              </w:rPr>
            </w:pPr>
            <w:r w:rsidRPr="00027624">
              <w:rPr>
                <w:b/>
                <w:color w:val="004A7F"/>
                <w:sz w:val="20"/>
              </w:rPr>
              <w:t>Replacement rate from average of retirement</w:t>
            </w:r>
          </w:p>
          <w:p w14:paraId="74C7645F" w14:textId="77777777" w:rsidR="00E96B29" w:rsidRPr="00027624" w:rsidRDefault="00E96B29" w:rsidP="00E96B29">
            <w:pPr>
              <w:pStyle w:val="TableTextLeft"/>
              <w:jc w:val="center"/>
              <w:rPr>
                <w:b/>
                <w:color w:val="004A7F"/>
                <w:sz w:val="20"/>
              </w:rPr>
            </w:pPr>
            <w:r w:rsidRPr="00027624">
              <w:rPr>
                <w:b/>
                <w:color w:val="004A7F"/>
                <w:sz w:val="20"/>
              </w:rPr>
              <w:t>(per cent)</w:t>
            </w:r>
          </w:p>
        </w:tc>
        <w:tc>
          <w:tcPr>
            <w:tcW w:w="863" w:type="pct"/>
            <w:shd w:val="clear" w:color="auto" w:fill="E5E5E5"/>
          </w:tcPr>
          <w:p w14:paraId="20628E05" w14:textId="77777777" w:rsidR="00E96B29" w:rsidRPr="00027624" w:rsidRDefault="00E96B29" w:rsidP="00E96B29">
            <w:pPr>
              <w:pStyle w:val="TableTextLeft"/>
              <w:jc w:val="center"/>
              <w:rPr>
                <w:b/>
                <w:color w:val="004A7F"/>
                <w:sz w:val="20"/>
              </w:rPr>
            </w:pPr>
            <w:r w:rsidRPr="00027624">
              <w:rPr>
                <w:b/>
                <w:color w:val="004A7F"/>
                <w:sz w:val="20"/>
              </w:rPr>
              <w:t>Superannuation balance at retirement</w:t>
            </w:r>
          </w:p>
          <w:p w14:paraId="7FEF12E1" w14:textId="77777777" w:rsidR="00E96B29" w:rsidRPr="00027624" w:rsidRDefault="00E96B29" w:rsidP="00E96B29">
            <w:pPr>
              <w:pStyle w:val="TableTextLeft"/>
              <w:jc w:val="center"/>
              <w:rPr>
                <w:b/>
                <w:color w:val="004A7F"/>
                <w:sz w:val="20"/>
              </w:rPr>
            </w:pPr>
            <w:r w:rsidRPr="00027624">
              <w:rPr>
                <w:b/>
                <w:color w:val="004A7F"/>
                <w:sz w:val="20"/>
              </w:rPr>
              <w:t>($)</w:t>
            </w:r>
          </w:p>
        </w:tc>
        <w:tc>
          <w:tcPr>
            <w:tcW w:w="663" w:type="pct"/>
            <w:shd w:val="clear" w:color="auto" w:fill="E5E5E5"/>
          </w:tcPr>
          <w:p w14:paraId="11B4435E" w14:textId="77777777" w:rsidR="00E96B29" w:rsidRPr="00027624" w:rsidRDefault="00E96B29" w:rsidP="00E96B29">
            <w:pPr>
              <w:pStyle w:val="TableTextLeft"/>
              <w:jc w:val="center"/>
              <w:rPr>
                <w:b/>
                <w:color w:val="004A7F"/>
                <w:sz w:val="20"/>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all years of retirement</w:t>
            </w:r>
            <w:r w:rsidRPr="00027624">
              <w:rPr>
                <w:b/>
                <w:color w:val="004A7F"/>
                <w:sz w:val="20"/>
              </w:rPr>
              <w:t xml:space="preserve"> ($)</w:t>
            </w:r>
          </w:p>
        </w:tc>
        <w:tc>
          <w:tcPr>
            <w:tcW w:w="663" w:type="pct"/>
            <w:shd w:val="clear" w:color="auto" w:fill="E5E5E5"/>
          </w:tcPr>
          <w:p w14:paraId="4B8929EA" w14:textId="77777777" w:rsidR="00E96B29" w:rsidRPr="00027624" w:rsidRDefault="00E96B29" w:rsidP="00E96B29">
            <w:pPr>
              <w:pStyle w:val="TableTextLeft"/>
              <w:jc w:val="center"/>
              <w:rPr>
                <w:b/>
                <w:color w:val="004A7F"/>
                <w:sz w:val="20"/>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retirement to age</w:t>
            </w:r>
            <w:r w:rsidRPr="00027624" w:rsidDel="00D8357A">
              <w:rPr>
                <w:b/>
                <w:i/>
                <w:color w:val="004A7F"/>
                <w:sz w:val="20"/>
                <w:u w:val="single"/>
              </w:rPr>
              <w:t xml:space="preserve"> </w:t>
            </w:r>
            <w:r w:rsidRPr="00027624">
              <w:rPr>
                <w:b/>
                <w:i/>
                <w:color w:val="004A7F"/>
                <w:sz w:val="20"/>
                <w:u w:val="single"/>
              </w:rPr>
              <w:t>60</w:t>
            </w:r>
          </w:p>
          <w:p w14:paraId="6819DBC2" w14:textId="77777777" w:rsidR="00E96B29" w:rsidRPr="00027624" w:rsidRDefault="00E96B29" w:rsidP="00E96B29">
            <w:pPr>
              <w:pStyle w:val="TableTextLeft"/>
              <w:jc w:val="center"/>
              <w:rPr>
                <w:b/>
                <w:color w:val="004A7F"/>
                <w:sz w:val="20"/>
              </w:rPr>
            </w:pPr>
            <w:r w:rsidRPr="00027624">
              <w:rPr>
                <w:b/>
                <w:color w:val="004A7F"/>
                <w:sz w:val="20"/>
              </w:rPr>
              <w:t>($)</w:t>
            </w:r>
          </w:p>
        </w:tc>
        <w:tc>
          <w:tcPr>
            <w:tcW w:w="728" w:type="pct"/>
            <w:shd w:val="clear" w:color="auto" w:fill="E5E5E5"/>
          </w:tcPr>
          <w:p w14:paraId="431094F1" w14:textId="77777777" w:rsidR="00E96B29" w:rsidRPr="00027624" w:rsidRDefault="00E96B29" w:rsidP="00E96B29">
            <w:pPr>
              <w:pStyle w:val="TableTextLeft"/>
              <w:jc w:val="center"/>
              <w:rPr>
                <w:b/>
                <w:color w:val="004A7F"/>
                <w:sz w:val="20"/>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age 60 and over age</w:t>
            </w:r>
          </w:p>
          <w:p w14:paraId="6E2EB7DE" w14:textId="77777777" w:rsidR="00E96B29" w:rsidRPr="00027624" w:rsidRDefault="00E96B29" w:rsidP="00E96B29">
            <w:pPr>
              <w:pStyle w:val="TableTextLeft"/>
              <w:jc w:val="center"/>
              <w:rPr>
                <w:b/>
                <w:color w:val="004A7F"/>
                <w:sz w:val="20"/>
              </w:rPr>
            </w:pPr>
            <w:r w:rsidRPr="00027624">
              <w:rPr>
                <w:b/>
                <w:color w:val="004A7F"/>
                <w:sz w:val="20"/>
              </w:rPr>
              <w:t>($)</w:t>
            </w:r>
          </w:p>
        </w:tc>
      </w:tr>
      <w:tr w:rsidR="00E96B29" w:rsidRPr="00027624" w14:paraId="4C345715" w14:textId="77777777" w:rsidTr="00E02029">
        <w:trPr>
          <w:trHeight w:val="278"/>
        </w:trPr>
        <w:tc>
          <w:tcPr>
            <w:tcW w:w="732" w:type="pct"/>
          </w:tcPr>
          <w:p w14:paraId="5D8D119A" w14:textId="77777777" w:rsidR="00E96B29" w:rsidRPr="00027624" w:rsidRDefault="00E96B29" w:rsidP="00E96B29">
            <w:pPr>
              <w:pStyle w:val="TableTextLeft"/>
              <w:rPr>
                <w:b/>
              </w:rPr>
            </w:pPr>
            <w:r w:rsidRPr="00027624">
              <w:rPr>
                <w:b/>
              </w:rPr>
              <w:t>Retire at 67</w:t>
            </w:r>
          </w:p>
        </w:tc>
        <w:tc>
          <w:tcPr>
            <w:tcW w:w="623" w:type="pct"/>
          </w:tcPr>
          <w:p w14:paraId="07E92AE6" w14:textId="77777777" w:rsidR="00E96B29" w:rsidRPr="00027624" w:rsidRDefault="00E96B29" w:rsidP="00E02029">
            <w:pPr>
              <w:pStyle w:val="TableTextCentered"/>
            </w:pPr>
          </w:p>
        </w:tc>
        <w:tc>
          <w:tcPr>
            <w:tcW w:w="728" w:type="pct"/>
          </w:tcPr>
          <w:p w14:paraId="171F66E4" w14:textId="77777777" w:rsidR="00E96B29" w:rsidRPr="00027624" w:rsidRDefault="00E96B29" w:rsidP="00E02029">
            <w:pPr>
              <w:pStyle w:val="TableTextCentered"/>
            </w:pPr>
          </w:p>
        </w:tc>
        <w:tc>
          <w:tcPr>
            <w:tcW w:w="863" w:type="pct"/>
          </w:tcPr>
          <w:p w14:paraId="2ABAE82F" w14:textId="77777777" w:rsidR="00E96B29" w:rsidRPr="00027624" w:rsidRDefault="00E96B29" w:rsidP="00E02029">
            <w:pPr>
              <w:pStyle w:val="TableTextCentered"/>
            </w:pPr>
          </w:p>
        </w:tc>
        <w:tc>
          <w:tcPr>
            <w:tcW w:w="663" w:type="pct"/>
          </w:tcPr>
          <w:p w14:paraId="5F6A251E" w14:textId="77777777" w:rsidR="00E96B29" w:rsidRPr="00027624" w:rsidRDefault="00E96B29" w:rsidP="00E02029">
            <w:pPr>
              <w:pStyle w:val="TableTextCentered"/>
            </w:pPr>
          </w:p>
        </w:tc>
        <w:tc>
          <w:tcPr>
            <w:tcW w:w="663" w:type="pct"/>
          </w:tcPr>
          <w:p w14:paraId="061EEC22" w14:textId="77777777" w:rsidR="00E96B29" w:rsidRPr="00027624" w:rsidRDefault="00E96B29" w:rsidP="00E02029">
            <w:pPr>
              <w:pStyle w:val="TableTextCentered"/>
            </w:pPr>
          </w:p>
        </w:tc>
        <w:tc>
          <w:tcPr>
            <w:tcW w:w="728" w:type="pct"/>
          </w:tcPr>
          <w:p w14:paraId="6B558DF8" w14:textId="77777777" w:rsidR="00E96B29" w:rsidRPr="00027624" w:rsidRDefault="00E96B29" w:rsidP="00E02029">
            <w:pPr>
              <w:pStyle w:val="TableTextCentered"/>
            </w:pPr>
          </w:p>
        </w:tc>
      </w:tr>
      <w:tr w:rsidR="00E96B29" w:rsidRPr="00027624" w14:paraId="450B0640" w14:textId="77777777" w:rsidTr="00E02029">
        <w:trPr>
          <w:trHeight w:val="278"/>
        </w:trPr>
        <w:tc>
          <w:tcPr>
            <w:tcW w:w="732" w:type="pct"/>
          </w:tcPr>
          <w:p w14:paraId="0EFDA15D" w14:textId="77777777" w:rsidR="00E96B29" w:rsidRPr="00027624" w:rsidRDefault="00E96B29" w:rsidP="00E96B29">
            <w:pPr>
              <w:pStyle w:val="TableTextLeft"/>
              <w:rPr>
                <w:b/>
              </w:rPr>
            </w:pPr>
            <w:r w:rsidRPr="00027624">
              <w:t xml:space="preserve">Age Pension </w:t>
            </w:r>
            <w:r w:rsidR="00E02029" w:rsidRPr="00027624">
              <w:t xml:space="preserve">eligibility </w:t>
            </w:r>
            <w:r w:rsidRPr="00027624">
              <w:t>age</w:t>
            </w:r>
          </w:p>
        </w:tc>
        <w:tc>
          <w:tcPr>
            <w:tcW w:w="623" w:type="pct"/>
          </w:tcPr>
          <w:p w14:paraId="3324335E" w14:textId="77777777" w:rsidR="00E96B29" w:rsidRPr="00027624" w:rsidRDefault="00E96B29" w:rsidP="00E02029">
            <w:pPr>
              <w:pStyle w:val="TableTextCentered"/>
            </w:pPr>
            <w:r w:rsidRPr="00027624" w:rsidDel="009455A4">
              <w:t>N/A</w:t>
            </w:r>
          </w:p>
        </w:tc>
        <w:tc>
          <w:tcPr>
            <w:tcW w:w="728" w:type="pct"/>
          </w:tcPr>
          <w:p w14:paraId="0ED37B09" w14:textId="77777777" w:rsidR="00E96B29" w:rsidRPr="00027624" w:rsidRDefault="00E96B29" w:rsidP="00E02029">
            <w:pPr>
              <w:pStyle w:val="TableTextCentered"/>
              <w:rPr>
                <w:szCs w:val="18"/>
              </w:rPr>
            </w:pPr>
            <w:r w:rsidRPr="00027624">
              <w:rPr>
                <w:szCs w:val="18"/>
              </w:rPr>
              <w:t>87</w:t>
            </w:r>
          </w:p>
        </w:tc>
        <w:tc>
          <w:tcPr>
            <w:tcW w:w="863" w:type="pct"/>
          </w:tcPr>
          <w:p w14:paraId="6223D299" w14:textId="77777777" w:rsidR="00E96B29" w:rsidRPr="00027624" w:rsidRDefault="00E96B29" w:rsidP="00E02029">
            <w:pPr>
              <w:pStyle w:val="TableTextCentered"/>
              <w:rPr>
                <w:szCs w:val="18"/>
              </w:rPr>
            </w:pPr>
            <w:r w:rsidRPr="00027624">
              <w:rPr>
                <w:szCs w:val="18"/>
              </w:rPr>
              <w:t>452,000</w:t>
            </w:r>
          </w:p>
        </w:tc>
        <w:tc>
          <w:tcPr>
            <w:tcW w:w="663" w:type="pct"/>
          </w:tcPr>
          <w:p w14:paraId="1353189E" w14:textId="77777777" w:rsidR="00E96B29" w:rsidRPr="00027624" w:rsidRDefault="00E96B29" w:rsidP="00E02029">
            <w:pPr>
              <w:pStyle w:val="TableTextCentered"/>
              <w:rPr>
                <w:szCs w:val="18"/>
              </w:rPr>
            </w:pPr>
            <w:r w:rsidRPr="00027624">
              <w:rPr>
                <w:szCs w:val="18"/>
              </w:rPr>
              <w:t>42,100</w:t>
            </w:r>
          </w:p>
        </w:tc>
        <w:tc>
          <w:tcPr>
            <w:tcW w:w="663" w:type="pct"/>
          </w:tcPr>
          <w:p w14:paraId="75E4217D" w14:textId="77777777" w:rsidR="00E96B29" w:rsidRPr="00027624" w:rsidRDefault="00E96B29" w:rsidP="00E02029">
            <w:pPr>
              <w:pStyle w:val="TableTextCentered"/>
              <w:rPr>
                <w:szCs w:val="18"/>
              </w:rPr>
            </w:pPr>
            <w:r w:rsidRPr="00027624">
              <w:rPr>
                <w:szCs w:val="18"/>
              </w:rPr>
              <w:t>N/A</w:t>
            </w:r>
          </w:p>
        </w:tc>
        <w:tc>
          <w:tcPr>
            <w:tcW w:w="728" w:type="pct"/>
          </w:tcPr>
          <w:p w14:paraId="4BE5AC2D" w14:textId="77777777" w:rsidR="00E96B29" w:rsidRPr="00027624" w:rsidRDefault="00E96B29" w:rsidP="00E02029">
            <w:pPr>
              <w:pStyle w:val="TableTextCentered"/>
              <w:rPr>
                <w:szCs w:val="18"/>
              </w:rPr>
            </w:pPr>
            <w:r w:rsidRPr="00027624">
              <w:rPr>
                <w:szCs w:val="18"/>
              </w:rPr>
              <w:t>42,100</w:t>
            </w:r>
          </w:p>
        </w:tc>
      </w:tr>
      <w:tr w:rsidR="00E02029" w:rsidRPr="00027624" w14:paraId="543C0037" w14:textId="77777777" w:rsidTr="00E02029">
        <w:trPr>
          <w:trHeight w:val="278"/>
        </w:trPr>
        <w:tc>
          <w:tcPr>
            <w:tcW w:w="732" w:type="pct"/>
          </w:tcPr>
          <w:p w14:paraId="52FB9F2A" w14:textId="77777777" w:rsidR="00E02029" w:rsidRPr="00027624" w:rsidRDefault="00E02029" w:rsidP="00E96B29">
            <w:pPr>
              <w:pStyle w:val="TableTextLeft"/>
            </w:pPr>
            <w:r w:rsidRPr="00027624">
              <w:rPr>
                <w:b/>
              </w:rPr>
              <w:t>Retire at 62</w:t>
            </w:r>
          </w:p>
        </w:tc>
        <w:tc>
          <w:tcPr>
            <w:tcW w:w="623" w:type="pct"/>
          </w:tcPr>
          <w:p w14:paraId="1A15E6E7" w14:textId="77777777" w:rsidR="00E02029" w:rsidRPr="00027624" w:rsidRDefault="00E02029" w:rsidP="00E02029">
            <w:pPr>
              <w:pStyle w:val="TableTextCentered"/>
            </w:pPr>
          </w:p>
        </w:tc>
        <w:tc>
          <w:tcPr>
            <w:tcW w:w="728" w:type="pct"/>
            <w:vAlign w:val="bottom"/>
          </w:tcPr>
          <w:p w14:paraId="5547DAD2" w14:textId="77777777" w:rsidR="00E02029" w:rsidRPr="00027624" w:rsidRDefault="00E02029" w:rsidP="00E02029">
            <w:pPr>
              <w:pStyle w:val="TableTextCentered"/>
              <w:rPr>
                <w:szCs w:val="18"/>
              </w:rPr>
            </w:pPr>
          </w:p>
        </w:tc>
        <w:tc>
          <w:tcPr>
            <w:tcW w:w="863" w:type="pct"/>
            <w:vAlign w:val="bottom"/>
          </w:tcPr>
          <w:p w14:paraId="40A29F41" w14:textId="77777777" w:rsidR="00E02029" w:rsidRPr="00027624" w:rsidRDefault="00E02029" w:rsidP="00E02029">
            <w:pPr>
              <w:pStyle w:val="TableTextCentered"/>
              <w:rPr>
                <w:szCs w:val="18"/>
              </w:rPr>
            </w:pPr>
          </w:p>
        </w:tc>
        <w:tc>
          <w:tcPr>
            <w:tcW w:w="663" w:type="pct"/>
            <w:vAlign w:val="bottom"/>
          </w:tcPr>
          <w:p w14:paraId="39C448D8" w14:textId="77777777" w:rsidR="00E02029" w:rsidRPr="00027624" w:rsidRDefault="00E02029" w:rsidP="00E02029">
            <w:pPr>
              <w:pStyle w:val="TableTextCentered"/>
              <w:rPr>
                <w:szCs w:val="18"/>
              </w:rPr>
            </w:pPr>
          </w:p>
        </w:tc>
        <w:tc>
          <w:tcPr>
            <w:tcW w:w="663" w:type="pct"/>
            <w:vAlign w:val="bottom"/>
          </w:tcPr>
          <w:p w14:paraId="3A2B6434" w14:textId="77777777" w:rsidR="00E02029" w:rsidRPr="00027624" w:rsidRDefault="00E02029" w:rsidP="00E02029">
            <w:pPr>
              <w:pStyle w:val="TableTextCentered"/>
              <w:rPr>
                <w:szCs w:val="18"/>
              </w:rPr>
            </w:pPr>
          </w:p>
        </w:tc>
        <w:tc>
          <w:tcPr>
            <w:tcW w:w="728" w:type="pct"/>
            <w:vAlign w:val="bottom"/>
          </w:tcPr>
          <w:p w14:paraId="2DB001A6" w14:textId="77777777" w:rsidR="00E02029" w:rsidRPr="00027624" w:rsidRDefault="00E02029" w:rsidP="00E02029">
            <w:pPr>
              <w:pStyle w:val="TableTextCentered"/>
              <w:rPr>
                <w:szCs w:val="18"/>
              </w:rPr>
            </w:pPr>
          </w:p>
        </w:tc>
      </w:tr>
      <w:tr w:rsidR="00E96B29" w:rsidRPr="00027624" w14:paraId="032EDC90" w14:textId="77777777" w:rsidTr="00E02029">
        <w:trPr>
          <w:trHeight w:val="278"/>
        </w:trPr>
        <w:tc>
          <w:tcPr>
            <w:tcW w:w="732" w:type="pct"/>
          </w:tcPr>
          <w:p w14:paraId="1CE11FB0" w14:textId="77777777" w:rsidR="00E96B29" w:rsidRPr="00027624" w:rsidRDefault="00E96B29" w:rsidP="00E96B29">
            <w:pPr>
              <w:pStyle w:val="TableTextLeft"/>
            </w:pPr>
            <w:r w:rsidRPr="00027624">
              <w:t>Job</w:t>
            </w:r>
            <w:r w:rsidR="00A8443E" w:rsidRPr="00027624">
              <w:noBreakHyphen/>
            </w:r>
            <w:r w:rsidRPr="00027624">
              <w:t>related</w:t>
            </w:r>
          </w:p>
        </w:tc>
        <w:tc>
          <w:tcPr>
            <w:tcW w:w="623" w:type="pct"/>
          </w:tcPr>
          <w:p w14:paraId="03897763" w14:textId="77777777" w:rsidR="00E96B29" w:rsidRPr="00027624" w:rsidRDefault="00E96B29" w:rsidP="00E02029">
            <w:pPr>
              <w:pStyle w:val="TableTextCentered"/>
            </w:pPr>
            <w:r w:rsidRPr="00027624" w:rsidDel="009455A4">
              <w:t>None</w:t>
            </w:r>
          </w:p>
        </w:tc>
        <w:tc>
          <w:tcPr>
            <w:tcW w:w="728" w:type="pct"/>
          </w:tcPr>
          <w:p w14:paraId="4BB5B947" w14:textId="77777777" w:rsidR="00E96B29" w:rsidRPr="00027624" w:rsidRDefault="00E96B29" w:rsidP="00E02029">
            <w:pPr>
              <w:pStyle w:val="TableTextCentered"/>
              <w:rPr>
                <w:szCs w:val="18"/>
              </w:rPr>
            </w:pPr>
            <w:r w:rsidRPr="00027624">
              <w:rPr>
                <w:szCs w:val="18"/>
              </w:rPr>
              <w:t>78</w:t>
            </w:r>
          </w:p>
        </w:tc>
        <w:tc>
          <w:tcPr>
            <w:tcW w:w="863" w:type="pct"/>
          </w:tcPr>
          <w:p w14:paraId="1591A7FF" w14:textId="77777777" w:rsidR="00E96B29" w:rsidRPr="00027624" w:rsidRDefault="00E96B29" w:rsidP="00E02029">
            <w:pPr>
              <w:pStyle w:val="TableTextCentered"/>
              <w:rPr>
                <w:szCs w:val="18"/>
              </w:rPr>
            </w:pPr>
            <w:r w:rsidRPr="00027624">
              <w:rPr>
                <w:szCs w:val="18"/>
              </w:rPr>
              <w:t>367,700</w:t>
            </w:r>
          </w:p>
        </w:tc>
        <w:tc>
          <w:tcPr>
            <w:tcW w:w="663" w:type="pct"/>
          </w:tcPr>
          <w:p w14:paraId="0FE694E4" w14:textId="77777777" w:rsidR="00E96B29" w:rsidRPr="00027624" w:rsidRDefault="00E96B29" w:rsidP="00E02029">
            <w:pPr>
              <w:pStyle w:val="TableTextCentered"/>
              <w:rPr>
                <w:szCs w:val="18"/>
              </w:rPr>
            </w:pPr>
            <w:r w:rsidRPr="00027624">
              <w:rPr>
                <w:szCs w:val="18"/>
              </w:rPr>
              <w:t>38,000</w:t>
            </w:r>
          </w:p>
        </w:tc>
        <w:tc>
          <w:tcPr>
            <w:tcW w:w="663" w:type="pct"/>
          </w:tcPr>
          <w:p w14:paraId="1BEAAB99" w14:textId="77777777" w:rsidR="00E96B29" w:rsidRPr="00027624" w:rsidRDefault="00E96B29" w:rsidP="00E02029">
            <w:pPr>
              <w:pStyle w:val="TableTextCentered"/>
              <w:rPr>
                <w:szCs w:val="18"/>
              </w:rPr>
            </w:pPr>
            <w:r w:rsidRPr="00027624">
              <w:rPr>
                <w:szCs w:val="18"/>
              </w:rPr>
              <w:t>N/A</w:t>
            </w:r>
          </w:p>
        </w:tc>
        <w:tc>
          <w:tcPr>
            <w:tcW w:w="728" w:type="pct"/>
          </w:tcPr>
          <w:p w14:paraId="14C5CBF9" w14:textId="77777777" w:rsidR="00E96B29" w:rsidRPr="00027624" w:rsidRDefault="00E96B29" w:rsidP="00E02029">
            <w:pPr>
              <w:pStyle w:val="TableTextCentered"/>
              <w:rPr>
                <w:szCs w:val="18"/>
              </w:rPr>
            </w:pPr>
            <w:r w:rsidRPr="00027624">
              <w:rPr>
                <w:szCs w:val="18"/>
              </w:rPr>
              <w:t>38,000</w:t>
            </w:r>
          </w:p>
        </w:tc>
      </w:tr>
      <w:tr w:rsidR="00E96B29" w:rsidRPr="00027624" w14:paraId="77C13FDD" w14:textId="77777777" w:rsidTr="00E02029">
        <w:trPr>
          <w:trHeight w:val="278"/>
        </w:trPr>
        <w:tc>
          <w:tcPr>
            <w:tcW w:w="732" w:type="pct"/>
          </w:tcPr>
          <w:p w14:paraId="37D03044" w14:textId="77777777" w:rsidR="00E96B29" w:rsidRPr="00027624" w:rsidRDefault="00E96B29" w:rsidP="00E96B29">
            <w:pPr>
              <w:pStyle w:val="TableTextLeft"/>
            </w:pPr>
            <w:r w:rsidRPr="00027624">
              <w:t xml:space="preserve">Own ill health </w:t>
            </w:r>
          </w:p>
        </w:tc>
        <w:tc>
          <w:tcPr>
            <w:tcW w:w="623" w:type="pct"/>
          </w:tcPr>
          <w:p w14:paraId="48D88423" w14:textId="77777777" w:rsidR="00E96B29" w:rsidRPr="00027624" w:rsidRDefault="00E96B29" w:rsidP="00E02029">
            <w:pPr>
              <w:pStyle w:val="TableTextCentered"/>
            </w:pPr>
            <w:r w:rsidRPr="00027624" w:rsidDel="009455A4">
              <w:t>DSP until age 67</w:t>
            </w:r>
          </w:p>
        </w:tc>
        <w:tc>
          <w:tcPr>
            <w:tcW w:w="728" w:type="pct"/>
          </w:tcPr>
          <w:p w14:paraId="3551FE9E" w14:textId="77777777" w:rsidR="00E96B29" w:rsidRPr="00027624" w:rsidRDefault="00E96B29" w:rsidP="00E02029">
            <w:pPr>
              <w:pStyle w:val="TableTextCentered"/>
              <w:rPr>
                <w:szCs w:val="18"/>
              </w:rPr>
            </w:pPr>
            <w:r w:rsidRPr="00027624">
              <w:rPr>
                <w:szCs w:val="18"/>
              </w:rPr>
              <w:t>80</w:t>
            </w:r>
          </w:p>
        </w:tc>
        <w:tc>
          <w:tcPr>
            <w:tcW w:w="863" w:type="pct"/>
          </w:tcPr>
          <w:p w14:paraId="25A1CD50" w14:textId="77777777" w:rsidR="00E96B29" w:rsidRPr="00027624" w:rsidRDefault="00E96B29" w:rsidP="00E02029">
            <w:pPr>
              <w:pStyle w:val="TableTextCentered"/>
              <w:rPr>
                <w:szCs w:val="18"/>
              </w:rPr>
            </w:pPr>
            <w:r w:rsidRPr="00027624">
              <w:rPr>
                <w:szCs w:val="18"/>
              </w:rPr>
              <w:t>367,700</w:t>
            </w:r>
          </w:p>
        </w:tc>
        <w:tc>
          <w:tcPr>
            <w:tcW w:w="663" w:type="pct"/>
          </w:tcPr>
          <w:p w14:paraId="4B4E4EB4" w14:textId="77777777" w:rsidR="00E96B29" w:rsidRPr="00027624" w:rsidRDefault="00E96B29" w:rsidP="00E02029">
            <w:pPr>
              <w:pStyle w:val="TableTextCentered"/>
              <w:rPr>
                <w:szCs w:val="18"/>
              </w:rPr>
            </w:pPr>
            <w:r w:rsidRPr="00027624">
              <w:rPr>
                <w:szCs w:val="18"/>
              </w:rPr>
              <w:t>38,900</w:t>
            </w:r>
          </w:p>
        </w:tc>
        <w:tc>
          <w:tcPr>
            <w:tcW w:w="663" w:type="pct"/>
          </w:tcPr>
          <w:p w14:paraId="162E24A9" w14:textId="77777777" w:rsidR="00E96B29" w:rsidRPr="00027624" w:rsidRDefault="00E96B29" w:rsidP="00E02029">
            <w:pPr>
              <w:pStyle w:val="TableTextCentered"/>
              <w:rPr>
                <w:szCs w:val="18"/>
              </w:rPr>
            </w:pPr>
            <w:r w:rsidRPr="00027624">
              <w:rPr>
                <w:szCs w:val="18"/>
              </w:rPr>
              <w:t>N/A</w:t>
            </w:r>
          </w:p>
        </w:tc>
        <w:tc>
          <w:tcPr>
            <w:tcW w:w="728" w:type="pct"/>
          </w:tcPr>
          <w:p w14:paraId="03413600" w14:textId="77777777" w:rsidR="00E96B29" w:rsidRPr="00027624" w:rsidRDefault="00E96B29" w:rsidP="00E02029">
            <w:pPr>
              <w:pStyle w:val="TableTextCentered"/>
              <w:rPr>
                <w:szCs w:val="18"/>
              </w:rPr>
            </w:pPr>
            <w:r w:rsidRPr="00027624">
              <w:rPr>
                <w:szCs w:val="18"/>
              </w:rPr>
              <w:t>38,900</w:t>
            </w:r>
          </w:p>
        </w:tc>
      </w:tr>
      <w:tr w:rsidR="00E96B29" w:rsidRPr="00027624" w14:paraId="31636F15" w14:textId="77777777" w:rsidTr="00E02029">
        <w:trPr>
          <w:trHeight w:val="278"/>
        </w:trPr>
        <w:tc>
          <w:tcPr>
            <w:tcW w:w="732" w:type="pct"/>
          </w:tcPr>
          <w:p w14:paraId="4BBC0563" w14:textId="77777777" w:rsidR="00E96B29" w:rsidRPr="00027624" w:rsidRDefault="00E96B29" w:rsidP="00E96B29">
            <w:pPr>
              <w:pStyle w:val="TableTextLeft"/>
            </w:pPr>
            <w:r w:rsidRPr="00027624">
              <w:t>Caring responsibilities</w:t>
            </w:r>
          </w:p>
        </w:tc>
        <w:tc>
          <w:tcPr>
            <w:tcW w:w="623" w:type="pct"/>
          </w:tcPr>
          <w:p w14:paraId="07277A5D" w14:textId="77777777" w:rsidR="00E96B29" w:rsidRPr="00027624" w:rsidRDefault="00E96B29" w:rsidP="00E02029">
            <w:pPr>
              <w:pStyle w:val="TableTextCentered"/>
            </w:pPr>
            <w:r w:rsidRPr="00027624" w:rsidDel="009455A4">
              <w:t>Carer Payment until age 67</w:t>
            </w:r>
          </w:p>
        </w:tc>
        <w:tc>
          <w:tcPr>
            <w:tcW w:w="728" w:type="pct"/>
          </w:tcPr>
          <w:p w14:paraId="108DFBA2" w14:textId="77777777" w:rsidR="00E96B29" w:rsidRPr="00027624" w:rsidRDefault="00E96B29" w:rsidP="00E02029">
            <w:pPr>
              <w:pStyle w:val="TableTextCentered"/>
              <w:rPr>
                <w:szCs w:val="18"/>
              </w:rPr>
            </w:pPr>
            <w:r w:rsidRPr="00027624">
              <w:rPr>
                <w:szCs w:val="18"/>
              </w:rPr>
              <w:t>81</w:t>
            </w:r>
          </w:p>
        </w:tc>
        <w:tc>
          <w:tcPr>
            <w:tcW w:w="863" w:type="pct"/>
          </w:tcPr>
          <w:p w14:paraId="31FB3205" w14:textId="77777777" w:rsidR="00E96B29" w:rsidRPr="00027624" w:rsidRDefault="00E96B29" w:rsidP="00E02029">
            <w:pPr>
              <w:pStyle w:val="TableTextCentered"/>
              <w:rPr>
                <w:szCs w:val="18"/>
              </w:rPr>
            </w:pPr>
            <w:r w:rsidRPr="00027624">
              <w:rPr>
                <w:szCs w:val="18"/>
              </w:rPr>
              <w:t>367,700</w:t>
            </w:r>
          </w:p>
        </w:tc>
        <w:tc>
          <w:tcPr>
            <w:tcW w:w="663" w:type="pct"/>
          </w:tcPr>
          <w:p w14:paraId="0CBABE30" w14:textId="77777777" w:rsidR="00E96B29" w:rsidRPr="00027624" w:rsidRDefault="00E96B29" w:rsidP="00E02029">
            <w:pPr>
              <w:pStyle w:val="TableTextCentered"/>
              <w:rPr>
                <w:szCs w:val="18"/>
              </w:rPr>
            </w:pPr>
            <w:r w:rsidRPr="00027624">
              <w:rPr>
                <w:szCs w:val="18"/>
              </w:rPr>
              <w:t>39,100</w:t>
            </w:r>
          </w:p>
        </w:tc>
        <w:tc>
          <w:tcPr>
            <w:tcW w:w="663" w:type="pct"/>
          </w:tcPr>
          <w:p w14:paraId="731EFF24" w14:textId="77777777" w:rsidR="00E96B29" w:rsidRPr="00027624" w:rsidRDefault="00E96B29" w:rsidP="00E02029">
            <w:pPr>
              <w:pStyle w:val="TableTextCentered"/>
              <w:rPr>
                <w:szCs w:val="18"/>
              </w:rPr>
            </w:pPr>
            <w:r w:rsidRPr="00027624">
              <w:rPr>
                <w:szCs w:val="18"/>
              </w:rPr>
              <w:t>N/A</w:t>
            </w:r>
          </w:p>
        </w:tc>
        <w:tc>
          <w:tcPr>
            <w:tcW w:w="728" w:type="pct"/>
          </w:tcPr>
          <w:p w14:paraId="072F01C4" w14:textId="77777777" w:rsidR="00E96B29" w:rsidRPr="00027624" w:rsidRDefault="00E96B29" w:rsidP="00E02029">
            <w:pPr>
              <w:pStyle w:val="TableTextCentered"/>
              <w:rPr>
                <w:szCs w:val="18"/>
              </w:rPr>
            </w:pPr>
            <w:r w:rsidRPr="00027624">
              <w:rPr>
                <w:szCs w:val="18"/>
              </w:rPr>
              <w:t>39,100</w:t>
            </w:r>
          </w:p>
        </w:tc>
      </w:tr>
      <w:tr w:rsidR="00E96B29" w:rsidRPr="00027624" w14:paraId="06688259" w14:textId="77777777" w:rsidTr="00E02029">
        <w:trPr>
          <w:trHeight w:val="278"/>
        </w:trPr>
        <w:tc>
          <w:tcPr>
            <w:tcW w:w="732" w:type="pct"/>
          </w:tcPr>
          <w:p w14:paraId="4EA938EB" w14:textId="77777777" w:rsidR="00E96B29" w:rsidRPr="00027624" w:rsidRDefault="00E96B29" w:rsidP="00E96B29">
            <w:pPr>
              <w:pStyle w:val="TableTextLeft"/>
              <w:rPr>
                <w:b/>
              </w:rPr>
            </w:pPr>
            <w:r w:rsidRPr="00027624">
              <w:rPr>
                <w:b/>
              </w:rPr>
              <w:t>Retire at 57</w:t>
            </w:r>
          </w:p>
        </w:tc>
        <w:tc>
          <w:tcPr>
            <w:tcW w:w="623" w:type="pct"/>
          </w:tcPr>
          <w:p w14:paraId="4CF9635E" w14:textId="77777777" w:rsidR="00E96B29" w:rsidRPr="00027624" w:rsidRDefault="00E96B29" w:rsidP="00E02029">
            <w:pPr>
              <w:pStyle w:val="TableTextCentered"/>
            </w:pPr>
          </w:p>
        </w:tc>
        <w:tc>
          <w:tcPr>
            <w:tcW w:w="728" w:type="pct"/>
            <w:vAlign w:val="bottom"/>
          </w:tcPr>
          <w:p w14:paraId="1665D861" w14:textId="77777777" w:rsidR="00E96B29" w:rsidRPr="00027624" w:rsidRDefault="00E96B29" w:rsidP="00E02029">
            <w:pPr>
              <w:pStyle w:val="TableTextCentered"/>
              <w:rPr>
                <w:szCs w:val="18"/>
              </w:rPr>
            </w:pPr>
          </w:p>
        </w:tc>
        <w:tc>
          <w:tcPr>
            <w:tcW w:w="863" w:type="pct"/>
            <w:vAlign w:val="bottom"/>
          </w:tcPr>
          <w:p w14:paraId="5C2AC2CD" w14:textId="77777777" w:rsidR="00E96B29" w:rsidRPr="00027624" w:rsidRDefault="00E96B29" w:rsidP="00E02029">
            <w:pPr>
              <w:pStyle w:val="TableTextCentered"/>
              <w:rPr>
                <w:szCs w:val="18"/>
              </w:rPr>
            </w:pPr>
          </w:p>
        </w:tc>
        <w:tc>
          <w:tcPr>
            <w:tcW w:w="663" w:type="pct"/>
            <w:vAlign w:val="bottom"/>
          </w:tcPr>
          <w:p w14:paraId="6F8009D6" w14:textId="77777777" w:rsidR="00E96B29" w:rsidRPr="00027624" w:rsidRDefault="00E96B29" w:rsidP="00E02029">
            <w:pPr>
              <w:pStyle w:val="TableTextCentered"/>
              <w:rPr>
                <w:szCs w:val="18"/>
              </w:rPr>
            </w:pPr>
          </w:p>
        </w:tc>
        <w:tc>
          <w:tcPr>
            <w:tcW w:w="663" w:type="pct"/>
            <w:vAlign w:val="bottom"/>
          </w:tcPr>
          <w:p w14:paraId="1E064F01" w14:textId="77777777" w:rsidR="00E96B29" w:rsidRPr="00027624" w:rsidRDefault="00E96B29" w:rsidP="00E02029">
            <w:pPr>
              <w:pStyle w:val="TableTextCentered"/>
              <w:rPr>
                <w:szCs w:val="18"/>
              </w:rPr>
            </w:pPr>
          </w:p>
        </w:tc>
        <w:tc>
          <w:tcPr>
            <w:tcW w:w="728" w:type="pct"/>
            <w:vAlign w:val="bottom"/>
          </w:tcPr>
          <w:p w14:paraId="7311A15E" w14:textId="77777777" w:rsidR="00E96B29" w:rsidRPr="00027624" w:rsidRDefault="00E96B29" w:rsidP="00E02029">
            <w:pPr>
              <w:pStyle w:val="TableTextCentered"/>
              <w:rPr>
                <w:szCs w:val="18"/>
              </w:rPr>
            </w:pPr>
          </w:p>
        </w:tc>
      </w:tr>
      <w:tr w:rsidR="00E96B29" w:rsidRPr="00027624" w14:paraId="4F7AF91A" w14:textId="77777777" w:rsidTr="00E02029">
        <w:trPr>
          <w:trHeight w:val="278"/>
        </w:trPr>
        <w:tc>
          <w:tcPr>
            <w:tcW w:w="732" w:type="pct"/>
          </w:tcPr>
          <w:p w14:paraId="725D32B9" w14:textId="77777777" w:rsidR="00E96B29" w:rsidRPr="00027624" w:rsidRDefault="00E96B29" w:rsidP="00E96B29">
            <w:pPr>
              <w:pStyle w:val="TableTextLeft"/>
            </w:pPr>
            <w:r w:rsidRPr="00027624">
              <w:t>Job</w:t>
            </w:r>
            <w:r w:rsidR="00A8443E" w:rsidRPr="00027624">
              <w:noBreakHyphen/>
            </w:r>
            <w:r w:rsidRPr="00027624">
              <w:t>related</w:t>
            </w:r>
          </w:p>
        </w:tc>
        <w:tc>
          <w:tcPr>
            <w:tcW w:w="623" w:type="pct"/>
          </w:tcPr>
          <w:p w14:paraId="7C6FCB5B" w14:textId="77777777" w:rsidR="00E96B29" w:rsidRPr="00027624" w:rsidRDefault="00E96B29" w:rsidP="00E02029">
            <w:pPr>
              <w:pStyle w:val="TableTextCentered"/>
            </w:pPr>
            <w:r w:rsidRPr="00027624" w:rsidDel="009455A4">
              <w:t>JobSeeker Payment until age 60</w:t>
            </w:r>
          </w:p>
        </w:tc>
        <w:tc>
          <w:tcPr>
            <w:tcW w:w="728" w:type="pct"/>
          </w:tcPr>
          <w:p w14:paraId="67D94E7A" w14:textId="77777777" w:rsidR="00E96B29" w:rsidRPr="00027624" w:rsidRDefault="00E96B29" w:rsidP="00E02029">
            <w:pPr>
              <w:pStyle w:val="TableTextCentered"/>
              <w:rPr>
                <w:szCs w:val="18"/>
              </w:rPr>
            </w:pPr>
            <w:r w:rsidRPr="00027624">
              <w:rPr>
                <w:szCs w:val="18"/>
              </w:rPr>
              <w:t>72</w:t>
            </w:r>
          </w:p>
        </w:tc>
        <w:tc>
          <w:tcPr>
            <w:tcW w:w="863" w:type="pct"/>
          </w:tcPr>
          <w:p w14:paraId="16A4983B" w14:textId="77777777" w:rsidR="00E96B29" w:rsidRPr="00027624" w:rsidRDefault="00E96B29" w:rsidP="00E02029">
            <w:pPr>
              <w:pStyle w:val="TableTextCentered"/>
              <w:rPr>
                <w:szCs w:val="18"/>
              </w:rPr>
            </w:pPr>
            <w:r w:rsidRPr="00027624">
              <w:rPr>
                <w:szCs w:val="18"/>
              </w:rPr>
              <w:t>292,400</w:t>
            </w:r>
          </w:p>
        </w:tc>
        <w:tc>
          <w:tcPr>
            <w:tcW w:w="663" w:type="pct"/>
          </w:tcPr>
          <w:p w14:paraId="4370D737" w14:textId="77777777" w:rsidR="00E96B29" w:rsidRPr="00027624" w:rsidRDefault="00E96B29" w:rsidP="00E02029">
            <w:pPr>
              <w:pStyle w:val="TableTextCentered"/>
              <w:rPr>
                <w:szCs w:val="18"/>
              </w:rPr>
            </w:pPr>
            <w:r w:rsidRPr="00027624">
              <w:rPr>
                <w:szCs w:val="18"/>
              </w:rPr>
              <w:t>35,000</w:t>
            </w:r>
          </w:p>
        </w:tc>
        <w:tc>
          <w:tcPr>
            <w:tcW w:w="663" w:type="pct"/>
          </w:tcPr>
          <w:p w14:paraId="5AFD3345" w14:textId="77777777" w:rsidR="00E96B29" w:rsidRPr="00027624" w:rsidRDefault="00E96B29" w:rsidP="00E02029">
            <w:pPr>
              <w:pStyle w:val="TableTextCentered"/>
              <w:rPr>
                <w:szCs w:val="18"/>
              </w:rPr>
            </w:pPr>
            <w:r w:rsidRPr="00027624">
              <w:rPr>
                <w:szCs w:val="18"/>
              </w:rPr>
              <w:t>11,200</w:t>
            </w:r>
          </w:p>
        </w:tc>
        <w:tc>
          <w:tcPr>
            <w:tcW w:w="728" w:type="pct"/>
          </w:tcPr>
          <w:p w14:paraId="3EA4B32F" w14:textId="77777777" w:rsidR="00E96B29" w:rsidRPr="00027624" w:rsidRDefault="00E96B29" w:rsidP="00E02029">
            <w:pPr>
              <w:pStyle w:val="TableTextCentered"/>
              <w:rPr>
                <w:szCs w:val="18"/>
              </w:rPr>
            </w:pPr>
            <w:r w:rsidRPr="00027624">
              <w:rPr>
                <w:szCs w:val="18"/>
              </w:rPr>
              <w:t>37,200</w:t>
            </w:r>
          </w:p>
        </w:tc>
      </w:tr>
      <w:tr w:rsidR="00E96B29" w:rsidRPr="00027624" w14:paraId="3B9E8F02" w14:textId="77777777" w:rsidTr="00E02029">
        <w:trPr>
          <w:trHeight w:val="278"/>
        </w:trPr>
        <w:tc>
          <w:tcPr>
            <w:tcW w:w="732" w:type="pct"/>
          </w:tcPr>
          <w:p w14:paraId="3BB32AEB" w14:textId="77777777" w:rsidR="00E96B29" w:rsidRPr="00027624" w:rsidRDefault="00E96B29" w:rsidP="00E96B29">
            <w:pPr>
              <w:pStyle w:val="TableTextLeft"/>
            </w:pPr>
            <w:r w:rsidRPr="00027624">
              <w:t xml:space="preserve">Own ill health </w:t>
            </w:r>
          </w:p>
        </w:tc>
        <w:tc>
          <w:tcPr>
            <w:tcW w:w="623" w:type="pct"/>
          </w:tcPr>
          <w:p w14:paraId="6382565B" w14:textId="77777777" w:rsidR="00E96B29" w:rsidRPr="00027624" w:rsidRDefault="00E96B29" w:rsidP="00E02029">
            <w:pPr>
              <w:pStyle w:val="TableTextCentered"/>
            </w:pPr>
            <w:r w:rsidRPr="00027624" w:rsidDel="009455A4">
              <w:t>DSP until age 67</w:t>
            </w:r>
          </w:p>
        </w:tc>
        <w:tc>
          <w:tcPr>
            <w:tcW w:w="728" w:type="pct"/>
          </w:tcPr>
          <w:p w14:paraId="1A37CADC" w14:textId="77777777" w:rsidR="00E96B29" w:rsidRPr="00027624" w:rsidRDefault="00E96B29" w:rsidP="00E02029">
            <w:pPr>
              <w:pStyle w:val="TableTextCentered"/>
              <w:rPr>
                <w:szCs w:val="18"/>
              </w:rPr>
            </w:pPr>
            <w:r w:rsidRPr="00027624">
              <w:rPr>
                <w:szCs w:val="18"/>
              </w:rPr>
              <w:t>79</w:t>
            </w:r>
          </w:p>
        </w:tc>
        <w:tc>
          <w:tcPr>
            <w:tcW w:w="863" w:type="pct"/>
          </w:tcPr>
          <w:p w14:paraId="696E1FAE" w14:textId="77777777" w:rsidR="00E96B29" w:rsidRPr="00027624" w:rsidRDefault="00E96B29" w:rsidP="00E02029">
            <w:pPr>
              <w:pStyle w:val="TableTextCentered"/>
              <w:rPr>
                <w:szCs w:val="18"/>
              </w:rPr>
            </w:pPr>
            <w:r w:rsidRPr="00027624">
              <w:rPr>
                <w:szCs w:val="18"/>
              </w:rPr>
              <w:t>292,400</w:t>
            </w:r>
          </w:p>
        </w:tc>
        <w:tc>
          <w:tcPr>
            <w:tcW w:w="663" w:type="pct"/>
          </w:tcPr>
          <w:p w14:paraId="40C2342C" w14:textId="77777777" w:rsidR="00E96B29" w:rsidRPr="00027624" w:rsidRDefault="00E96B29" w:rsidP="00E02029">
            <w:pPr>
              <w:pStyle w:val="TableTextCentered"/>
              <w:rPr>
                <w:szCs w:val="18"/>
              </w:rPr>
            </w:pPr>
            <w:r w:rsidRPr="00027624">
              <w:rPr>
                <w:szCs w:val="18"/>
              </w:rPr>
              <w:t>38,300</w:t>
            </w:r>
          </w:p>
        </w:tc>
        <w:tc>
          <w:tcPr>
            <w:tcW w:w="663" w:type="pct"/>
          </w:tcPr>
          <w:p w14:paraId="75584D47" w14:textId="77777777" w:rsidR="00E96B29" w:rsidRPr="00027624" w:rsidRDefault="00E96B29" w:rsidP="00E02029">
            <w:pPr>
              <w:pStyle w:val="TableTextCentered"/>
              <w:rPr>
                <w:szCs w:val="18"/>
              </w:rPr>
            </w:pPr>
            <w:r w:rsidRPr="00027624">
              <w:rPr>
                <w:szCs w:val="18"/>
              </w:rPr>
              <w:t>24,100</w:t>
            </w:r>
          </w:p>
        </w:tc>
        <w:tc>
          <w:tcPr>
            <w:tcW w:w="728" w:type="pct"/>
          </w:tcPr>
          <w:p w14:paraId="5799A011" w14:textId="77777777" w:rsidR="00E96B29" w:rsidRPr="00027624" w:rsidRDefault="00E96B29" w:rsidP="00E02029">
            <w:pPr>
              <w:pStyle w:val="TableTextCentered"/>
              <w:rPr>
                <w:szCs w:val="18"/>
              </w:rPr>
            </w:pPr>
            <w:r w:rsidRPr="00027624">
              <w:rPr>
                <w:szCs w:val="18"/>
              </w:rPr>
              <w:t>39,700</w:t>
            </w:r>
          </w:p>
        </w:tc>
      </w:tr>
      <w:tr w:rsidR="00E96B29" w:rsidRPr="00027624" w14:paraId="2CC024AE" w14:textId="77777777" w:rsidTr="00E02029">
        <w:trPr>
          <w:trHeight w:val="278"/>
        </w:trPr>
        <w:tc>
          <w:tcPr>
            <w:tcW w:w="732" w:type="pct"/>
          </w:tcPr>
          <w:p w14:paraId="4CE1099B" w14:textId="77777777" w:rsidR="00E96B29" w:rsidRPr="00027624" w:rsidRDefault="00E96B29" w:rsidP="00E96B29">
            <w:pPr>
              <w:pStyle w:val="TableTextLeft"/>
            </w:pPr>
            <w:r w:rsidRPr="00027624">
              <w:t>Caring responsibilities</w:t>
            </w:r>
          </w:p>
        </w:tc>
        <w:tc>
          <w:tcPr>
            <w:tcW w:w="623" w:type="pct"/>
          </w:tcPr>
          <w:p w14:paraId="703A5CE4" w14:textId="77777777" w:rsidR="00E96B29" w:rsidRPr="00027624" w:rsidRDefault="00E96B29" w:rsidP="00E02029">
            <w:pPr>
              <w:pStyle w:val="TableTextCentered"/>
            </w:pPr>
            <w:r w:rsidRPr="00027624" w:rsidDel="009455A4">
              <w:t>Carer Payment until age 67</w:t>
            </w:r>
          </w:p>
        </w:tc>
        <w:tc>
          <w:tcPr>
            <w:tcW w:w="728" w:type="pct"/>
          </w:tcPr>
          <w:p w14:paraId="0A0A9204" w14:textId="77777777" w:rsidR="00E96B29" w:rsidRPr="00027624" w:rsidRDefault="00E96B29" w:rsidP="00E02029">
            <w:pPr>
              <w:pStyle w:val="TableTextCentered"/>
              <w:rPr>
                <w:szCs w:val="18"/>
              </w:rPr>
            </w:pPr>
            <w:r w:rsidRPr="00027624">
              <w:rPr>
                <w:szCs w:val="18"/>
              </w:rPr>
              <w:t>80</w:t>
            </w:r>
          </w:p>
        </w:tc>
        <w:tc>
          <w:tcPr>
            <w:tcW w:w="863" w:type="pct"/>
          </w:tcPr>
          <w:p w14:paraId="5290483E" w14:textId="77777777" w:rsidR="00E96B29" w:rsidRPr="00027624" w:rsidRDefault="00E96B29" w:rsidP="00E02029">
            <w:pPr>
              <w:pStyle w:val="TableTextCentered"/>
              <w:rPr>
                <w:szCs w:val="18"/>
              </w:rPr>
            </w:pPr>
            <w:r w:rsidRPr="00027624">
              <w:rPr>
                <w:szCs w:val="18"/>
              </w:rPr>
              <w:t>292,400</w:t>
            </w:r>
          </w:p>
        </w:tc>
        <w:tc>
          <w:tcPr>
            <w:tcW w:w="663" w:type="pct"/>
          </w:tcPr>
          <w:p w14:paraId="0430537C" w14:textId="77777777" w:rsidR="00E96B29" w:rsidRPr="00027624" w:rsidRDefault="00E96B29" w:rsidP="00E02029">
            <w:pPr>
              <w:pStyle w:val="TableTextCentered"/>
              <w:rPr>
                <w:szCs w:val="18"/>
              </w:rPr>
            </w:pPr>
            <w:r w:rsidRPr="00027624">
              <w:rPr>
                <w:szCs w:val="18"/>
              </w:rPr>
              <w:t>38,900</w:t>
            </w:r>
          </w:p>
        </w:tc>
        <w:tc>
          <w:tcPr>
            <w:tcW w:w="663" w:type="pct"/>
          </w:tcPr>
          <w:p w14:paraId="4CFF712C" w14:textId="77777777" w:rsidR="00E96B29" w:rsidRPr="00027624" w:rsidRDefault="00E96B29" w:rsidP="00E02029">
            <w:pPr>
              <w:pStyle w:val="TableTextCentered"/>
              <w:rPr>
                <w:szCs w:val="18"/>
              </w:rPr>
            </w:pPr>
            <w:r w:rsidRPr="00027624">
              <w:rPr>
                <w:szCs w:val="18"/>
              </w:rPr>
              <w:t>26,500</w:t>
            </w:r>
          </w:p>
        </w:tc>
        <w:tc>
          <w:tcPr>
            <w:tcW w:w="728" w:type="pct"/>
          </w:tcPr>
          <w:p w14:paraId="7EA57681" w14:textId="77777777" w:rsidR="00E96B29" w:rsidRPr="00027624" w:rsidRDefault="00E96B29" w:rsidP="00E02029">
            <w:pPr>
              <w:pStyle w:val="TableTextCentered"/>
              <w:rPr>
                <w:szCs w:val="18"/>
              </w:rPr>
            </w:pPr>
            <w:r w:rsidRPr="00027624">
              <w:rPr>
                <w:szCs w:val="18"/>
              </w:rPr>
              <w:t>40,100</w:t>
            </w:r>
          </w:p>
        </w:tc>
      </w:tr>
    </w:tbl>
    <w:p w14:paraId="624BFDC0" w14:textId="78E539D8" w:rsidR="00E96B29" w:rsidRPr="00027624" w:rsidRDefault="00E96B29" w:rsidP="00E96B29">
      <w:pPr>
        <w:pStyle w:val="ChartorTableNote"/>
      </w:pPr>
      <w:bookmarkStart w:id="4394" w:name="_Ref36475464"/>
      <w:r w:rsidRPr="00027624">
        <w:t xml:space="preserve">Note: See </w:t>
      </w:r>
      <w:r w:rsidRPr="00027624">
        <w:fldChar w:fldCharType="begin"/>
      </w:r>
      <w:r w:rsidRPr="00027624">
        <w:instrText xml:space="preserve"> REF _Ref43388180 \r \h  \* MERGEFORMAT </w:instrText>
      </w:r>
      <w:r w:rsidRPr="00027624">
        <w:fldChar w:fldCharType="separate"/>
      </w:r>
      <w:r w:rsidR="00891058">
        <w:t>Table 6D-1</w:t>
      </w:r>
      <w:r w:rsidRPr="00027624">
        <w:fldChar w:fldCharType="end"/>
      </w:r>
      <w:r w:rsidRPr="00027624">
        <w:t>. Source: Cameo modelling undertaken for the review.</w:t>
      </w:r>
    </w:p>
    <w:p w14:paraId="1852A716" w14:textId="77777777" w:rsidR="00791570" w:rsidRPr="00027624" w:rsidRDefault="00791570" w:rsidP="00791570">
      <w:r w:rsidRPr="00027624">
        <w:br w:type="page"/>
      </w:r>
    </w:p>
    <w:p w14:paraId="35E0C5E5" w14:textId="77777777" w:rsidR="00E96B29" w:rsidRPr="00027624" w:rsidRDefault="00E96B29" w:rsidP="00E96B29">
      <w:pPr>
        <w:pStyle w:val="TableMainHeading"/>
      </w:pPr>
      <w:bookmarkStart w:id="4395" w:name="_Ref43997751"/>
      <w:r w:rsidRPr="00027624">
        <w:t>Projected outcomes of retiring at ages 57 and 62 compared to age 67 for a higher</w:t>
      </w:r>
      <w:r w:rsidR="00A8443E" w:rsidRPr="00027624">
        <w:noBreakHyphen/>
      </w:r>
      <w:r w:rsidRPr="00027624">
        <w:t>income earner (80</w:t>
      </w:r>
      <w:r w:rsidRPr="00027624">
        <w:rPr>
          <w:vertAlign w:val="superscript"/>
        </w:rPr>
        <w:t>th</w:t>
      </w:r>
      <w:r w:rsidRPr="00027624">
        <w:t xml:space="preserve"> percentile)</w:t>
      </w:r>
      <w:bookmarkEnd w:id="4394"/>
      <w:r w:rsidRPr="00027624">
        <w:t xml:space="preserve"> </w:t>
      </w:r>
      <w:bookmarkEnd w:id="4395"/>
    </w:p>
    <w:tbl>
      <w:tblPr>
        <w:tblW w:w="4889" w:type="pct"/>
        <w:tblLook w:val="01E0" w:firstRow="1" w:lastRow="1" w:firstColumn="1" w:lastColumn="1" w:noHBand="0" w:noVBand="0"/>
      </w:tblPr>
      <w:tblGrid>
        <w:gridCol w:w="1317"/>
        <w:gridCol w:w="1120"/>
        <w:gridCol w:w="1312"/>
        <w:gridCol w:w="1550"/>
        <w:gridCol w:w="1190"/>
        <w:gridCol w:w="1190"/>
        <w:gridCol w:w="1190"/>
      </w:tblGrid>
      <w:tr w:rsidR="00E96B29" w:rsidRPr="00027624" w14:paraId="3E6776A5" w14:textId="77777777" w:rsidTr="00E02029">
        <w:trPr>
          <w:trHeight w:val="267"/>
          <w:tblHeader/>
        </w:trPr>
        <w:tc>
          <w:tcPr>
            <w:tcW w:w="742" w:type="pct"/>
            <w:shd w:val="clear" w:color="auto" w:fill="E5E5E5"/>
          </w:tcPr>
          <w:p w14:paraId="0B149FF0" w14:textId="77777777" w:rsidR="00E96B29" w:rsidRPr="00027624" w:rsidRDefault="00E96B29" w:rsidP="00E96B29">
            <w:pPr>
              <w:pStyle w:val="TableTextLeft"/>
              <w:rPr>
                <w:b/>
                <w:color w:val="004A7F"/>
                <w:sz w:val="20"/>
              </w:rPr>
            </w:pPr>
            <w:r w:rsidRPr="00027624">
              <w:rPr>
                <w:b/>
                <w:color w:val="004A7F"/>
                <w:sz w:val="20"/>
              </w:rPr>
              <w:t>Retirement age and reason for retirement</w:t>
            </w:r>
          </w:p>
        </w:tc>
        <w:tc>
          <w:tcPr>
            <w:tcW w:w="631" w:type="pct"/>
            <w:shd w:val="clear" w:color="auto" w:fill="E5E5E5"/>
          </w:tcPr>
          <w:p w14:paraId="31486114" w14:textId="77777777" w:rsidR="00E96B29" w:rsidRPr="00027624" w:rsidRDefault="00E96B29" w:rsidP="00E96B29">
            <w:pPr>
              <w:pStyle w:val="TableTextLeft"/>
              <w:jc w:val="center"/>
              <w:rPr>
                <w:b/>
                <w:color w:val="004A7F"/>
                <w:sz w:val="20"/>
              </w:rPr>
            </w:pPr>
            <w:r w:rsidRPr="00027624" w:rsidDel="00E270FB">
              <w:rPr>
                <w:b/>
                <w:color w:val="004A7F"/>
                <w:sz w:val="20"/>
              </w:rPr>
              <w:t>Income support payment received before age 67</w:t>
            </w:r>
          </w:p>
        </w:tc>
        <w:tc>
          <w:tcPr>
            <w:tcW w:w="739" w:type="pct"/>
            <w:shd w:val="clear" w:color="auto" w:fill="E5E5E5"/>
          </w:tcPr>
          <w:p w14:paraId="40C0FA28" w14:textId="77777777" w:rsidR="00E96B29" w:rsidRPr="00027624" w:rsidRDefault="00E96B29" w:rsidP="00E96B29">
            <w:pPr>
              <w:pStyle w:val="TableTextLeft"/>
              <w:jc w:val="center"/>
              <w:rPr>
                <w:b/>
                <w:color w:val="004A7F"/>
                <w:sz w:val="20"/>
              </w:rPr>
            </w:pPr>
            <w:r w:rsidRPr="00027624">
              <w:rPr>
                <w:b/>
                <w:color w:val="004A7F"/>
                <w:sz w:val="20"/>
              </w:rPr>
              <w:t>Replacement rate from age of retirement (per cent)</w:t>
            </w:r>
          </w:p>
        </w:tc>
        <w:tc>
          <w:tcPr>
            <w:tcW w:w="874" w:type="pct"/>
            <w:shd w:val="clear" w:color="auto" w:fill="E5E5E5"/>
          </w:tcPr>
          <w:p w14:paraId="4649ABB8" w14:textId="77777777" w:rsidR="00E96B29" w:rsidRPr="00027624" w:rsidRDefault="00E96B29" w:rsidP="00E96B29">
            <w:pPr>
              <w:pStyle w:val="TableTextLeft"/>
              <w:jc w:val="center"/>
              <w:rPr>
                <w:b/>
                <w:color w:val="004A7F"/>
                <w:sz w:val="20"/>
              </w:rPr>
            </w:pPr>
            <w:r w:rsidRPr="00027624">
              <w:rPr>
                <w:b/>
                <w:color w:val="004A7F"/>
                <w:sz w:val="20"/>
              </w:rPr>
              <w:t>Superannuation balance at retirement</w:t>
            </w:r>
          </w:p>
          <w:p w14:paraId="134D8DDC" w14:textId="77777777" w:rsidR="00E96B29" w:rsidRPr="00027624" w:rsidRDefault="00E96B29" w:rsidP="00E96B29">
            <w:pPr>
              <w:pStyle w:val="TableTextLeft"/>
              <w:jc w:val="center"/>
              <w:rPr>
                <w:b/>
                <w:color w:val="004A7F"/>
                <w:sz w:val="20"/>
              </w:rPr>
            </w:pPr>
            <w:r w:rsidRPr="00027624">
              <w:rPr>
                <w:b/>
                <w:color w:val="004A7F"/>
                <w:sz w:val="20"/>
              </w:rPr>
              <w:t>($)</w:t>
            </w:r>
          </w:p>
        </w:tc>
        <w:tc>
          <w:tcPr>
            <w:tcW w:w="671" w:type="pct"/>
            <w:shd w:val="clear" w:color="auto" w:fill="E5E5E5"/>
          </w:tcPr>
          <w:p w14:paraId="2147E67F" w14:textId="77777777" w:rsidR="00E96B29" w:rsidRPr="00027624" w:rsidRDefault="00E96B29" w:rsidP="00E96B29">
            <w:pPr>
              <w:pStyle w:val="TableTextLeft"/>
              <w:jc w:val="center"/>
              <w:rPr>
                <w:b/>
                <w:color w:val="004A7F"/>
                <w:sz w:val="20"/>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all years of retirement</w:t>
            </w:r>
          </w:p>
          <w:p w14:paraId="5E626B1B" w14:textId="77777777" w:rsidR="00E96B29" w:rsidRPr="00027624" w:rsidRDefault="00E96B29" w:rsidP="00E96B29">
            <w:pPr>
              <w:pStyle w:val="TableTextLeft"/>
              <w:jc w:val="center"/>
              <w:rPr>
                <w:b/>
                <w:color w:val="004A7F"/>
                <w:sz w:val="20"/>
              </w:rPr>
            </w:pPr>
            <w:r w:rsidRPr="00027624">
              <w:rPr>
                <w:b/>
                <w:color w:val="004A7F"/>
                <w:sz w:val="20"/>
              </w:rPr>
              <w:t>($)</w:t>
            </w:r>
          </w:p>
        </w:tc>
        <w:tc>
          <w:tcPr>
            <w:tcW w:w="671" w:type="pct"/>
            <w:shd w:val="clear" w:color="auto" w:fill="E5E5E5"/>
          </w:tcPr>
          <w:p w14:paraId="00B3C3E7" w14:textId="77777777" w:rsidR="00E96B29" w:rsidRPr="00027624" w:rsidRDefault="00E96B29" w:rsidP="00E96B29">
            <w:pPr>
              <w:pStyle w:val="TableTextLeft"/>
              <w:jc w:val="center"/>
              <w:rPr>
                <w:b/>
                <w:color w:val="004A7F"/>
                <w:sz w:val="20"/>
              </w:rPr>
            </w:pPr>
            <w:r w:rsidRPr="00027624">
              <w:rPr>
                <w:b/>
                <w:color w:val="004A7F"/>
                <w:sz w:val="20"/>
              </w:rPr>
              <w:t>Average annual income –</w:t>
            </w:r>
            <w:r w:rsidRPr="00027624">
              <w:rPr>
                <w:b/>
                <w:i/>
                <w:color w:val="004A7F"/>
                <w:sz w:val="20"/>
                <w:u w:val="single"/>
              </w:rPr>
              <w:t>retirement to age</w:t>
            </w:r>
            <w:r w:rsidRPr="00027624" w:rsidDel="001A0301">
              <w:rPr>
                <w:b/>
                <w:i/>
                <w:color w:val="004A7F"/>
                <w:sz w:val="20"/>
                <w:u w:val="single"/>
              </w:rPr>
              <w:t xml:space="preserve"> </w:t>
            </w:r>
            <w:r w:rsidRPr="00027624">
              <w:rPr>
                <w:b/>
                <w:i/>
                <w:color w:val="004A7F"/>
                <w:sz w:val="20"/>
                <w:u w:val="single"/>
              </w:rPr>
              <w:t>60</w:t>
            </w:r>
          </w:p>
          <w:p w14:paraId="0B6F2746" w14:textId="77777777" w:rsidR="00E96B29" w:rsidRPr="00027624" w:rsidRDefault="00E96B29" w:rsidP="00E96B29">
            <w:pPr>
              <w:pStyle w:val="TableTextLeft"/>
              <w:jc w:val="center"/>
              <w:rPr>
                <w:b/>
                <w:color w:val="004A7F"/>
                <w:sz w:val="20"/>
              </w:rPr>
            </w:pPr>
            <w:r w:rsidRPr="00027624">
              <w:rPr>
                <w:b/>
                <w:color w:val="004A7F"/>
                <w:sz w:val="20"/>
              </w:rPr>
              <w:t>($)</w:t>
            </w:r>
          </w:p>
        </w:tc>
        <w:tc>
          <w:tcPr>
            <w:tcW w:w="671" w:type="pct"/>
            <w:shd w:val="clear" w:color="auto" w:fill="E5E5E5"/>
          </w:tcPr>
          <w:p w14:paraId="42425E4E" w14:textId="77777777" w:rsidR="00E96B29" w:rsidRPr="00027624" w:rsidRDefault="00E96B29" w:rsidP="00E96B29">
            <w:pPr>
              <w:pStyle w:val="TableTextLeft"/>
              <w:jc w:val="center"/>
              <w:rPr>
                <w:b/>
                <w:color w:val="004A7F"/>
                <w:sz w:val="20"/>
              </w:rPr>
            </w:pPr>
            <w:r w:rsidRPr="00027624">
              <w:rPr>
                <w:b/>
                <w:color w:val="004A7F"/>
                <w:sz w:val="20"/>
              </w:rPr>
              <w:t>Average annual income</w:t>
            </w:r>
            <w:r w:rsidR="00A8443E" w:rsidRPr="00027624">
              <w:rPr>
                <w:b/>
                <w:color w:val="004A7F"/>
                <w:sz w:val="20"/>
              </w:rPr>
              <w:t xml:space="preserve"> — </w:t>
            </w:r>
            <w:r w:rsidRPr="00027624">
              <w:rPr>
                <w:b/>
                <w:i/>
                <w:color w:val="004A7F"/>
                <w:sz w:val="20"/>
                <w:u w:val="single"/>
              </w:rPr>
              <w:t>age 60 and over</w:t>
            </w:r>
          </w:p>
          <w:p w14:paraId="0728AC52" w14:textId="77777777" w:rsidR="00E96B29" w:rsidRPr="00027624" w:rsidRDefault="00E96B29" w:rsidP="00E96B29">
            <w:pPr>
              <w:pStyle w:val="TableTextLeft"/>
              <w:jc w:val="center"/>
              <w:rPr>
                <w:b/>
                <w:color w:val="004A7F"/>
                <w:sz w:val="20"/>
              </w:rPr>
            </w:pPr>
            <w:r w:rsidRPr="00027624">
              <w:rPr>
                <w:b/>
                <w:color w:val="004A7F"/>
                <w:sz w:val="20"/>
                <w:u w:val="single"/>
              </w:rPr>
              <w:t>($)</w:t>
            </w:r>
          </w:p>
        </w:tc>
      </w:tr>
      <w:tr w:rsidR="00E96B29" w:rsidRPr="00027624" w14:paraId="1200D4A3" w14:textId="77777777" w:rsidTr="00E02029">
        <w:trPr>
          <w:trHeight w:val="267"/>
        </w:trPr>
        <w:tc>
          <w:tcPr>
            <w:tcW w:w="742" w:type="pct"/>
          </w:tcPr>
          <w:p w14:paraId="223F5BE7" w14:textId="77777777" w:rsidR="00E96B29" w:rsidRPr="00027624" w:rsidRDefault="00E96B29" w:rsidP="00E96B29">
            <w:pPr>
              <w:pStyle w:val="TableTextLeft"/>
              <w:rPr>
                <w:b/>
              </w:rPr>
            </w:pPr>
            <w:r w:rsidRPr="00027624">
              <w:rPr>
                <w:b/>
              </w:rPr>
              <w:t>Retire at 67</w:t>
            </w:r>
          </w:p>
        </w:tc>
        <w:tc>
          <w:tcPr>
            <w:tcW w:w="631" w:type="pct"/>
          </w:tcPr>
          <w:p w14:paraId="73B57D17" w14:textId="77777777" w:rsidR="00E96B29" w:rsidRPr="00027624" w:rsidRDefault="00E96B29" w:rsidP="00E96B29">
            <w:pPr>
              <w:pStyle w:val="TableTextLeft"/>
            </w:pPr>
          </w:p>
        </w:tc>
        <w:tc>
          <w:tcPr>
            <w:tcW w:w="739" w:type="pct"/>
          </w:tcPr>
          <w:p w14:paraId="148CC2D6" w14:textId="77777777" w:rsidR="00E96B29" w:rsidRPr="00027624" w:rsidRDefault="00E96B29" w:rsidP="00E96B29">
            <w:pPr>
              <w:pStyle w:val="TableTextLeft"/>
            </w:pPr>
          </w:p>
        </w:tc>
        <w:tc>
          <w:tcPr>
            <w:tcW w:w="874" w:type="pct"/>
          </w:tcPr>
          <w:p w14:paraId="771B395F" w14:textId="77777777" w:rsidR="00E96B29" w:rsidRPr="00027624" w:rsidRDefault="00E96B29" w:rsidP="00E96B29">
            <w:pPr>
              <w:pStyle w:val="TableTextLeft"/>
            </w:pPr>
          </w:p>
        </w:tc>
        <w:tc>
          <w:tcPr>
            <w:tcW w:w="671" w:type="pct"/>
          </w:tcPr>
          <w:p w14:paraId="6A74E31A" w14:textId="77777777" w:rsidR="00E96B29" w:rsidRPr="00027624" w:rsidRDefault="00E96B29" w:rsidP="00E96B29">
            <w:pPr>
              <w:pStyle w:val="TableTextLeft"/>
            </w:pPr>
          </w:p>
        </w:tc>
        <w:tc>
          <w:tcPr>
            <w:tcW w:w="671" w:type="pct"/>
          </w:tcPr>
          <w:p w14:paraId="21394460" w14:textId="77777777" w:rsidR="00E96B29" w:rsidRPr="00027624" w:rsidRDefault="00E96B29" w:rsidP="00E96B29">
            <w:pPr>
              <w:pStyle w:val="TableTextLeft"/>
            </w:pPr>
          </w:p>
        </w:tc>
        <w:tc>
          <w:tcPr>
            <w:tcW w:w="671" w:type="pct"/>
          </w:tcPr>
          <w:p w14:paraId="2D00C7E1" w14:textId="77777777" w:rsidR="00E96B29" w:rsidRPr="00027624" w:rsidRDefault="00E96B29" w:rsidP="00E96B29">
            <w:pPr>
              <w:pStyle w:val="TableTextLeft"/>
            </w:pPr>
          </w:p>
        </w:tc>
      </w:tr>
      <w:tr w:rsidR="00E96B29" w:rsidRPr="00027624" w14:paraId="7FAF36EE" w14:textId="77777777" w:rsidTr="00E02029">
        <w:trPr>
          <w:trHeight w:val="267"/>
        </w:trPr>
        <w:tc>
          <w:tcPr>
            <w:tcW w:w="742" w:type="pct"/>
          </w:tcPr>
          <w:p w14:paraId="44EA3925" w14:textId="77777777" w:rsidR="00E96B29" w:rsidRPr="00027624" w:rsidRDefault="00E96B29" w:rsidP="00E96B29">
            <w:pPr>
              <w:pStyle w:val="TableTextLeft"/>
            </w:pPr>
            <w:r w:rsidRPr="00027624">
              <w:t>Age Pension</w:t>
            </w:r>
            <w:r w:rsidR="00E02029" w:rsidRPr="00027624">
              <w:t xml:space="preserve"> eligibility</w:t>
            </w:r>
            <w:r w:rsidRPr="00027624">
              <w:t xml:space="preserve"> age</w:t>
            </w:r>
          </w:p>
        </w:tc>
        <w:tc>
          <w:tcPr>
            <w:tcW w:w="631" w:type="pct"/>
          </w:tcPr>
          <w:p w14:paraId="689F28AA" w14:textId="77777777" w:rsidR="00E96B29" w:rsidRPr="00027624" w:rsidRDefault="00E96B29" w:rsidP="00E96B29">
            <w:pPr>
              <w:pStyle w:val="TableTextLeft"/>
              <w:jc w:val="center"/>
            </w:pPr>
            <w:r w:rsidRPr="00027624" w:rsidDel="00E270FB">
              <w:t>N/A</w:t>
            </w:r>
          </w:p>
        </w:tc>
        <w:tc>
          <w:tcPr>
            <w:tcW w:w="739" w:type="pct"/>
          </w:tcPr>
          <w:p w14:paraId="3CE7F4FF" w14:textId="77777777" w:rsidR="00E96B29" w:rsidRPr="00027624" w:rsidRDefault="00E96B29" w:rsidP="00E02029">
            <w:pPr>
              <w:pStyle w:val="TableTextCentered"/>
            </w:pPr>
            <w:r w:rsidRPr="00027624">
              <w:t>69</w:t>
            </w:r>
          </w:p>
        </w:tc>
        <w:tc>
          <w:tcPr>
            <w:tcW w:w="874" w:type="pct"/>
          </w:tcPr>
          <w:p w14:paraId="29AEC26A" w14:textId="77777777" w:rsidR="00E96B29" w:rsidRPr="00027624" w:rsidRDefault="00E96B29" w:rsidP="00E02029">
            <w:pPr>
              <w:pStyle w:val="TableTextCentered"/>
            </w:pPr>
            <w:r w:rsidRPr="00027624">
              <w:t>804,700</w:t>
            </w:r>
          </w:p>
        </w:tc>
        <w:tc>
          <w:tcPr>
            <w:tcW w:w="671" w:type="pct"/>
          </w:tcPr>
          <w:p w14:paraId="306525F0" w14:textId="77777777" w:rsidR="00E96B29" w:rsidRPr="00027624" w:rsidRDefault="00E96B29" w:rsidP="00E02029">
            <w:pPr>
              <w:pStyle w:val="TableTextCentered"/>
            </w:pPr>
            <w:r w:rsidRPr="00027624">
              <w:t>53,700</w:t>
            </w:r>
          </w:p>
        </w:tc>
        <w:tc>
          <w:tcPr>
            <w:tcW w:w="671" w:type="pct"/>
          </w:tcPr>
          <w:p w14:paraId="336D4254" w14:textId="77777777" w:rsidR="00E96B29" w:rsidRPr="00027624" w:rsidRDefault="00E96B29" w:rsidP="00E02029">
            <w:pPr>
              <w:pStyle w:val="TableTextCentered"/>
            </w:pPr>
            <w:r w:rsidRPr="00027624">
              <w:t>N/A</w:t>
            </w:r>
          </w:p>
        </w:tc>
        <w:tc>
          <w:tcPr>
            <w:tcW w:w="671" w:type="pct"/>
          </w:tcPr>
          <w:p w14:paraId="019657B4" w14:textId="77777777" w:rsidR="00E96B29" w:rsidRPr="00027624" w:rsidRDefault="00E96B29" w:rsidP="00E02029">
            <w:pPr>
              <w:pStyle w:val="TableTextCentered"/>
            </w:pPr>
            <w:r w:rsidRPr="00027624">
              <w:t>53,700</w:t>
            </w:r>
          </w:p>
        </w:tc>
      </w:tr>
      <w:tr w:rsidR="00E02029" w:rsidRPr="00027624" w14:paraId="6E2FD8A4" w14:textId="77777777" w:rsidTr="00E02029">
        <w:trPr>
          <w:trHeight w:val="319"/>
        </w:trPr>
        <w:tc>
          <w:tcPr>
            <w:tcW w:w="742" w:type="pct"/>
          </w:tcPr>
          <w:p w14:paraId="7FDB3E8C" w14:textId="77777777" w:rsidR="00E02029" w:rsidRPr="00027624" w:rsidRDefault="00E02029" w:rsidP="00E02029">
            <w:pPr>
              <w:pStyle w:val="TableTextLeft"/>
            </w:pPr>
            <w:r w:rsidRPr="00027624">
              <w:rPr>
                <w:b/>
              </w:rPr>
              <w:t>Retire at 62</w:t>
            </w:r>
          </w:p>
        </w:tc>
        <w:tc>
          <w:tcPr>
            <w:tcW w:w="631" w:type="pct"/>
          </w:tcPr>
          <w:p w14:paraId="18FB706E" w14:textId="77777777" w:rsidR="00E02029" w:rsidRPr="00027624" w:rsidRDefault="00E02029" w:rsidP="00E02029">
            <w:pPr>
              <w:pStyle w:val="TableTextLeft"/>
              <w:jc w:val="center"/>
            </w:pPr>
          </w:p>
        </w:tc>
        <w:tc>
          <w:tcPr>
            <w:tcW w:w="739" w:type="pct"/>
          </w:tcPr>
          <w:p w14:paraId="0114F146" w14:textId="77777777" w:rsidR="00E02029" w:rsidRPr="00027624" w:rsidRDefault="00E02029" w:rsidP="00E02029">
            <w:pPr>
              <w:pStyle w:val="TableTextCentered"/>
            </w:pPr>
          </w:p>
        </w:tc>
        <w:tc>
          <w:tcPr>
            <w:tcW w:w="874" w:type="pct"/>
          </w:tcPr>
          <w:p w14:paraId="1B78BE95" w14:textId="77777777" w:rsidR="00E02029" w:rsidRPr="00027624" w:rsidRDefault="00E02029" w:rsidP="00E02029">
            <w:pPr>
              <w:pStyle w:val="TableTextCentered"/>
            </w:pPr>
          </w:p>
        </w:tc>
        <w:tc>
          <w:tcPr>
            <w:tcW w:w="671" w:type="pct"/>
          </w:tcPr>
          <w:p w14:paraId="02341DCB" w14:textId="77777777" w:rsidR="00E02029" w:rsidRPr="00027624" w:rsidRDefault="00E02029" w:rsidP="00E02029">
            <w:pPr>
              <w:pStyle w:val="TableTextCentered"/>
            </w:pPr>
          </w:p>
        </w:tc>
        <w:tc>
          <w:tcPr>
            <w:tcW w:w="671" w:type="pct"/>
          </w:tcPr>
          <w:p w14:paraId="2467B48D" w14:textId="77777777" w:rsidR="00E02029" w:rsidRPr="00027624" w:rsidRDefault="00E02029" w:rsidP="00E02029">
            <w:pPr>
              <w:pStyle w:val="TableTextCentered"/>
            </w:pPr>
          </w:p>
        </w:tc>
        <w:tc>
          <w:tcPr>
            <w:tcW w:w="671" w:type="pct"/>
          </w:tcPr>
          <w:p w14:paraId="39863F1C" w14:textId="77777777" w:rsidR="00E02029" w:rsidRPr="00027624" w:rsidRDefault="00E02029" w:rsidP="00E02029">
            <w:pPr>
              <w:pStyle w:val="TableTextCentered"/>
            </w:pPr>
          </w:p>
        </w:tc>
      </w:tr>
      <w:tr w:rsidR="00E02029" w:rsidRPr="00027624" w14:paraId="1445016F" w14:textId="77777777" w:rsidTr="00E02029">
        <w:trPr>
          <w:trHeight w:val="267"/>
        </w:trPr>
        <w:tc>
          <w:tcPr>
            <w:tcW w:w="742" w:type="pct"/>
          </w:tcPr>
          <w:p w14:paraId="3C970E67" w14:textId="77777777" w:rsidR="00E02029" w:rsidRPr="00027624" w:rsidRDefault="00E02029" w:rsidP="00E02029">
            <w:pPr>
              <w:pStyle w:val="TableTextLeft"/>
            </w:pPr>
            <w:r w:rsidRPr="00027624">
              <w:t>Job</w:t>
            </w:r>
            <w:r w:rsidRPr="00027624">
              <w:noBreakHyphen/>
              <w:t>related</w:t>
            </w:r>
          </w:p>
        </w:tc>
        <w:tc>
          <w:tcPr>
            <w:tcW w:w="631" w:type="pct"/>
          </w:tcPr>
          <w:p w14:paraId="0A1064F5" w14:textId="77777777" w:rsidR="00E02029" w:rsidRPr="00027624" w:rsidRDefault="00E02029" w:rsidP="00E02029">
            <w:pPr>
              <w:pStyle w:val="TableTextLeft"/>
              <w:jc w:val="center"/>
            </w:pPr>
            <w:r w:rsidRPr="00027624" w:rsidDel="00E270FB">
              <w:t>None</w:t>
            </w:r>
          </w:p>
        </w:tc>
        <w:tc>
          <w:tcPr>
            <w:tcW w:w="739" w:type="pct"/>
          </w:tcPr>
          <w:p w14:paraId="31FDAED2" w14:textId="77777777" w:rsidR="00E02029" w:rsidRPr="00027624" w:rsidRDefault="00E02029" w:rsidP="00E02029">
            <w:pPr>
              <w:pStyle w:val="TableTextCentered"/>
            </w:pPr>
            <w:r w:rsidRPr="00027624">
              <w:t>58</w:t>
            </w:r>
          </w:p>
        </w:tc>
        <w:tc>
          <w:tcPr>
            <w:tcW w:w="874" w:type="pct"/>
          </w:tcPr>
          <w:p w14:paraId="6C288162" w14:textId="77777777" w:rsidR="00E02029" w:rsidRPr="00027624" w:rsidRDefault="00E02029" w:rsidP="00E02029">
            <w:pPr>
              <w:pStyle w:val="TableTextCentered"/>
            </w:pPr>
            <w:r w:rsidRPr="00027624">
              <w:t>646,900</w:t>
            </w:r>
          </w:p>
        </w:tc>
        <w:tc>
          <w:tcPr>
            <w:tcW w:w="671" w:type="pct"/>
          </w:tcPr>
          <w:p w14:paraId="68F8774C" w14:textId="77777777" w:rsidR="00E02029" w:rsidRPr="00027624" w:rsidRDefault="00E02029" w:rsidP="00E02029">
            <w:pPr>
              <w:pStyle w:val="TableTextCentered"/>
            </w:pPr>
            <w:r w:rsidRPr="00027624">
              <w:t>45,000</w:t>
            </w:r>
          </w:p>
        </w:tc>
        <w:tc>
          <w:tcPr>
            <w:tcW w:w="671" w:type="pct"/>
          </w:tcPr>
          <w:p w14:paraId="1F0591A0" w14:textId="77777777" w:rsidR="00E02029" w:rsidRPr="00027624" w:rsidRDefault="00E02029" w:rsidP="00E02029">
            <w:pPr>
              <w:pStyle w:val="TableTextCentered"/>
            </w:pPr>
            <w:r w:rsidRPr="00027624">
              <w:t>N/A</w:t>
            </w:r>
          </w:p>
        </w:tc>
        <w:tc>
          <w:tcPr>
            <w:tcW w:w="671" w:type="pct"/>
          </w:tcPr>
          <w:p w14:paraId="33B079FF" w14:textId="77777777" w:rsidR="00E02029" w:rsidRPr="00027624" w:rsidRDefault="00E02029" w:rsidP="00E02029">
            <w:pPr>
              <w:pStyle w:val="TableTextCentered"/>
            </w:pPr>
            <w:r w:rsidRPr="00027624">
              <w:t>45,000</w:t>
            </w:r>
          </w:p>
        </w:tc>
      </w:tr>
      <w:tr w:rsidR="00E02029" w:rsidRPr="00027624" w14:paraId="73E3AD11" w14:textId="77777777" w:rsidTr="00E02029">
        <w:trPr>
          <w:trHeight w:val="74"/>
        </w:trPr>
        <w:tc>
          <w:tcPr>
            <w:tcW w:w="742" w:type="pct"/>
          </w:tcPr>
          <w:p w14:paraId="3654B1FA" w14:textId="77777777" w:rsidR="00E02029" w:rsidRPr="00027624" w:rsidRDefault="00E02029" w:rsidP="00E02029">
            <w:pPr>
              <w:pStyle w:val="TableTextLeft"/>
            </w:pPr>
            <w:r w:rsidRPr="00027624">
              <w:t xml:space="preserve">Own ill health </w:t>
            </w:r>
          </w:p>
        </w:tc>
        <w:tc>
          <w:tcPr>
            <w:tcW w:w="631" w:type="pct"/>
          </w:tcPr>
          <w:p w14:paraId="6A3C9591" w14:textId="77777777" w:rsidR="00E02029" w:rsidRPr="00027624" w:rsidRDefault="00E02029" w:rsidP="00E02029">
            <w:pPr>
              <w:pStyle w:val="TableTextLeft"/>
              <w:jc w:val="center"/>
            </w:pPr>
            <w:r w:rsidRPr="00027624">
              <w:t>None</w:t>
            </w:r>
          </w:p>
        </w:tc>
        <w:tc>
          <w:tcPr>
            <w:tcW w:w="739" w:type="pct"/>
          </w:tcPr>
          <w:p w14:paraId="3142BC09" w14:textId="77777777" w:rsidR="00E02029" w:rsidRPr="00027624" w:rsidRDefault="00E02029" w:rsidP="00E02029">
            <w:pPr>
              <w:pStyle w:val="TableTextCentered"/>
            </w:pPr>
            <w:r w:rsidRPr="00027624">
              <w:t>58</w:t>
            </w:r>
          </w:p>
        </w:tc>
        <w:tc>
          <w:tcPr>
            <w:tcW w:w="874" w:type="pct"/>
          </w:tcPr>
          <w:p w14:paraId="68346F5F" w14:textId="77777777" w:rsidR="00E02029" w:rsidRPr="00027624" w:rsidRDefault="00E02029" w:rsidP="00E02029">
            <w:pPr>
              <w:pStyle w:val="TableTextCentered"/>
            </w:pPr>
            <w:r w:rsidRPr="00027624">
              <w:t>646,900</w:t>
            </w:r>
          </w:p>
        </w:tc>
        <w:tc>
          <w:tcPr>
            <w:tcW w:w="671" w:type="pct"/>
          </w:tcPr>
          <w:p w14:paraId="3EA18201" w14:textId="77777777" w:rsidR="00E02029" w:rsidRPr="00027624" w:rsidRDefault="00E02029" w:rsidP="00E02029">
            <w:pPr>
              <w:pStyle w:val="TableTextCentered"/>
            </w:pPr>
            <w:r w:rsidRPr="00027624">
              <w:t>45,000</w:t>
            </w:r>
          </w:p>
        </w:tc>
        <w:tc>
          <w:tcPr>
            <w:tcW w:w="671" w:type="pct"/>
          </w:tcPr>
          <w:p w14:paraId="550528D1" w14:textId="77777777" w:rsidR="00E02029" w:rsidRPr="00027624" w:rsidRDefault="00E02029" w:rsidP="00E02029">
            <w:pPr>
              <w:pStyle w:val="TableTextCentered"/>
            </w:pPr>
            <w:r w:rsidRPr="00027624">
              <w:t>N/A</w:t>
            </w:r>
          </w:p>
        </w:tc>
        <w:tc>
          <w:tcPr>
            <w:tcW w:w="671" w:type="pct"/>
          </w:tcPr>
          <w:p w14:paraId="41FBCC91" w14:textId="77777777" w:rsidR="00E02029" w:rsidRPr="00027624" w:rsidRDefault="00E02029" w:rsidP="00E02029">
            <w:pPr>
              <w:pStyle w:val="TableTextCentered"/>
            </w:pPr>
            <w:r w:rsidRPr="00027624">
              <w:t>45,000</w:t>
            </w:r>
          </w:p>
        </w:tc>
      </w:tr>
      <w:tr w:rsidR="00E02029" w:rsidRPr="00027624" w14:paraId="5C7F9432" w14:textId="77777777" w:rsidTr="00E02029">
        <w:trPr>
          <w:trHeight w:val="267"/>
        </w:trPr>
        <w:tc>
          <w:tcPr>
            <w:tcW w:w="742" w:type="pct"/>
          </w:tcPr>
          <w:p w14:paraId="00734F94" w14:textId="77777777" w:rsidR="00E02029" w:rsidRPr="00027624" w:rsidRDefault="00E02029" w:rsidP="00E02029">
            <w:pPr>
              <w:pStyle w:val="TableTextLeft"/>
            </w:pPr>
            <w:r w:rsidRPr="00027624">
              <w:t>Caring responsibilities</w:t>
            </w:r>
          </w:p>
        </w:tc>
        <w:tc>
          <w:tcPr>
            <w:tcW w:w="631" w:type="pct"/>
          </w:tcPr>
          <w:p w14:paraId="62C0918B" w14:textId="77777777" w:rsidR="00E02029" w:rsidRPr="00027624" w:rsidRDefault="00E02029" w:rsidP="00E02029">
            <w:pPr>
              <w:pStyle w:val="TableTextLeft"/>
              <w:jc w:val="center"/>
            </w:pPr>
            <w:r w:rsidRPr="00027624" w:rsidDel="00E270FB">
              <w:t>Carer Payment until age 67</w:t>
            </w:r>
          </w:p>
        </w:tc>
        <w:tc>
          <w:tcPr>
            <w:tcW w:w="739" w:type="pct"/>
          </w:tcPr>
          <w:p w14:paraId="109C64DB" w14:textId="77777777" w:rsidR="00E02029" w:rsidRPr="00027624" w:rsidRDefault="00E02029" w:rsidP="00E02029">
            <w:pPr>
              <w:pStyle w:val="TableTextCentered"/>
            </w:pPr>
            <w:r w:rsidRPr="00027624">
              <w:t>58</w:t>
            </w:r>
          </w:p>
        </w:tc>
        <w:tc>
          <w:tcPr>
            <w:tcW w:w="874" w:type="pct"/>
          </w:tcPr>
          <w:p w14:paraId="5AD5DEF4" w14:textId="77777777" w:rsidR="00E02029" w:rsidRPr="00027624" w:rsidRDefault="00E02029" w:rsidP="00E02029">
            <w:pPr>
              <w:pStyle w:val="TableTextCentered"/>
            </w:pPr>
            <w:r w:rsidRPr="00027624">
              <w:t>646,900</w:t>
            </w:r>
          </w:p>
        </w:tc>
        <w:tc>
          <w:tcPr>
            <w:tcW w:w="671" w:type="pct"/>
          </w:tcPr>
          <w:p w14:paraId="59D715B9" w14:textId="77777777" w:rsidR="00E02029" w:rsidRPr="00027624" w:rsidRDefault="00E02029" w:rsidP="00E02029">
            <w:pPr>
              <w:pStyle w:val="TableTextCentered"/>
            </w:pPr>
            <w:r w:rsidRPr="00027624">
              <w:t>45,400</w:t>
            </w:r>
          </w:p>
        </w:tc>
        <w:tc>
          <w:tcPr>
            <w:tcW w:w="671" w:type="pct"/>
          </w:tcPr>
          <w:p w14:paraId="2B69474E" w14:textId="77777777" w:rsidR="00E02029" w:rsidRPr="00027624" w:rsidRDefault="00E02029" w:rsidP="00E02029">
            <w:pPr>
              <w:pStyle w:val="TableTextCentered"/>
            </w:pPr>
            <w:r w:rsidRPr="00027624">
              <w:t>N/A</w:t>
            </w:r>
          </w:p>
        </w:tc>
        <w:tc>
          <w:tcPr>
            <w:tcW w:w="671" w:type="pct"/>
          </w:tcPr>
          <w:p w14:paraId="00E140CC" w14:textId="77777777" w:rsidR="00E02029" w:rsidRPr="00027624" w:rsidRDefault="00E02029" w:rsidP="00E02029">
            <w:pPr>
              <w:pStyle w:val="TableTextCentered"/>
            </w:pPr>
            <w:r w:rsidRPr="00027624">
              <w:t>45,400</w:t>
            </w:r>
          </w:p>
        </w:tc>
      </w:tr>
      <w:tr w:rsidR="00E02029" w:rsidRPr="00027624" w14:paraId="5DD6F436" w14:textId="77777777" w:rsidTr="00E02029">
        <w:trPr>
          <w:trHeight w:val="267"/>
        </w:trPr>
        <w:tc>
          <w:tcPr>
            <w:tcW w:w="742" w:type="pct"/>
          </w:tcPr>
          <w:p w14:paraId="256523F3" w14:textId="77777777" w:rsidR="00E02029" w:rsidRPr="00027624" w:rsidRDefault="00E02029" w:rsidP="00E02029">
            <w:pPr>
              <w:pStyle w:val="TableTextLeft"/>
              <w:rPr>
                <w:b/>
              </w:rPr>
            </w:pPr>
            <w:r w:rsidRPr="00027624">
              <w:rPr>
                <w:b/>
              </w:rPr>
              <w:t>Retire at 57</w:t>
            </w:r>
          </w:p>
        </w:tc>
        <w:tc>
          <w:tcPr>
            <w:tcW w:w="631" w:type="pct"/>
          </w:tcPr>
          <w:p w14:paraId="3420E1CB" w14:textId="77777777" w:rsidR="00E02029" w:rsidRPr="00027624" w:rsidRDefault="00E02029" w:rsidP="00E02029">
            <w:pPr>
              <w:pStyle w:val="TableTextLeft"/>
              <w:jc w:val="center"/>
            </w:pPr>
          </w:p>
        </w:tc>
        <w:tc>
          <w:tcPr>
            <w:tcW w:w="739" w:type="pct"/>
          </w:tcPr>
          <w:p w14:paraId="6C82EB48" w14:textId="77777777" w:rsidR="00E02029" w:rsidRPr="00027624" w:rsidRDefault="00E02029" w:rsidP="00E02029">
            <w:pPr>
              <w:pStyle w:val="TableTextCentered"/>
            </w:pPr>
          </w:p>
        </w:tc>
        <w:tc>
          <w:tcPr>
            <w:tcW w:w="874" w:type="pct"/>
          </w:tcPr>
          <w:p w14:paraId="75890E62" w14:textId="77777777" w:rsidR="00E02029" w:rsidRPr="00027624" w:rsidRDefault="00E02029" w:rsidP="00E02029">
            <w:pPr>
              <w:pStyle w:val="TableTextCentered"/>
            </w:pPr>
          </w:p>
        </w:tc>
        <w:tc>
          <w:tcPr>
            <w:tcW w:w="671" w:type="pct"/>
          </w:tcPr>
          <w:p w14:paraId="25F9AEBA" w14:textId="77777777" w:rsidR="00E02029" w:rsidRPr="00027624" w:rsidRDefault="00E02029" w:rsidP="00E02029">
            <w:pPr>
              <w:pStyle w:val="TableTextCentered"/>
            </w:pPr>
          </w:p>
        </w:tc>
        <w:tc>
          <w:tcPr>
            <w:tcW w:w="671" w:type="pct"/>
          </w:tcPr>
          <w:p w14:paraId="76B0E969" w14:textId="77777777" w:rsidR="00E02029" w:rsidRPr="00027624" w:rsidRDefault="00E02029" w:rsidP="00E02029">
            <w:pPr>
              <w:pStyle w:val="TableTextCentered"/>
            </w:pPr>
          </w:p>
        </w:tc>
        <w:tc>
          <w:tcPr>
            <w:tcW w:w="671" w:type="pct"/>
          </w:tcPr>
          <w:p w14:paraId="7BF76B29" w14:textId="77777777" w:rsidR="00E02029" w:rsidRPr="00027624" w:rsidRDefault="00E02029" w:rsidP="00E02029">
            <w:pPr>
              <w:pStyle w:val="TableTextCentered"/>
            </w:pPr>
          </w:p>
        </w:tc>
      </w:tr>
      <w:tr w:rsidR="00E02029" w:rsidRPr="00027624" w14:paraId="762CA74C" w14:textId="77777777" w:rsidTr="00E02029">
        <w:trPr>
          <w:trHeight w:val="267"/>
        </w:trPr>
        <w:tc>
          <w:tcPr>
            <w:tcW w:w="742" w:type="pct"/>
          </w:tcPr>
          <w:p w14:paraId="1A63A040" w14:textId="77777777" w:rsidR="00E02029" w:rsidRPr="00027624" w:rsidRDefault="00E02029" w:rsidP="00E02029">
            <w:pPr>
              <w:pStyle w:val="TableTextLeft"/>
            </w:pPr>
            <w:r w:rsidRPr="00027624">
              <w:t>Job</w:t>
            </w:r>
            <w:r w:rsidRPr="00027624">
              <w:noBreakHyphen/>
              <w:t>related</w:t>
            </w:r>
          </w:p>
        </w:tc>
        <w:tc>
          <w:tcPr>
            <w:tcW w:w="631" w:type="pct"/>
          </w:tcPr>
          <w:p w14:paraId="7B07688D" w14:textId="77777777" w:rsidR="00E02029" w:rsidRPr="00027624" w:rsidRDefault="00E02029" w:rsidP="00E02029">
            <w:pPr>
              <w:pStyle w:val="TableTextLeft"/>
              <w:jc w:val="center"/>
            </w:pPr>
            <w:r w:rsidRPr="00027624" w:rsidDel="00E270FB">
              <w:t>JobSeeker Payment until age 60</w:t>
            </w:r>
          </w:p>
        </w:tc>
        <w:tc>
          <w:tcPr>
            <w:tcW w:w="739" w:type="pct"/>
          </w:tcPr>
          <w:p w14:paraId="6642D6FE" w14:textId="77777777" w:rsidR="00E02029" w:rsidRPr="00027624" w:rsidRDefault="00E02029" w:rsidP="00E02029">
            <w:pPr>
              <w:pStyle w:val="TableTextCentered"/>
            </w:pPr>
            <w:r w:rsidRPr="00027624">
              <w:t>53</w:t>
            </w:r>
          </w:p>
        </w:tc>
        <w:tc>
          <w:tcPr>
            <w:tcW w:w="874" w:type="pct"/>
          </w:tcPr>
          <w:p w14:paraId="2D3EAC29" w14:textId="77777777" w:rsidR="00E02029" w:rsidRPr="00027624" w:rsidRDefault="00E02029" w:rsidP="00E02029">
            <w:pPr>
              <w:pStyle w:val="TableTextCentered"/>
            </w:pPr>
            <w:r w:rsidRPr="00027624">
              <w:t>506,600</w:t>
            </w:r>
          </w:p>
        </w:tc>
        <w:tc>
          <w:tcPr>
            <w:tcW w:w="671" w:type="pct"/>
          </w:tcPr>
          <w:p w14:paraId="585F6B39" w14:textId="77777777" w:rsidR="00E02029" w:rsidRPr="00027624" w:rsidRDefault="00E02029" w:rsidP="00E02029">
            <w:pPr>
              <w:pStyle w:val="TableTextCentered"/>
            </w:pPr>
            <w:r w:rsidRPr="00027624">
              <w:t>41,000</w:t>
            </w:r>
          </w:p>
        </w:tc>
        <w:tc>
          <w:tcPr>
            <w:tcW w:w="671" w:type="pct"/>
          </w:tcPr>
          <w:p w14:paraId="5FA14ABD" w14:textId="77777777" w:rsidR="00E02029" w:rsidRPr="00027624" w:rsidRDefault="00E02029" w:rsidP="00E02029">
            <w:pPr>
              <w:pStyle w:val="TableTextCentered"/>
            </w:pPr>
            <w:r w:rsidRPr="00027624">
              <w:t>16,800</w:t>
            </w:r>
          </w:p>
        </w:tc>
        <w:tc>
          <w:tcPr>
            <w:tcW w:w="671" w:type="pct"/>
          </w:tcPr>
          <w:p w14:paraId="49BD171E" w14:textId="77777777" w:rsidR="00E02029" w:rsidRPr="00027624" w:rsidRDefault="00E02029" w:rsidP="00E02029">
            <w:pPr>
              <w:pStyle w:val="TableTextCentered"/>
            </w:pPr>
            <w:r w:rsidRPr="00027624">
              <w:t>43,200</w:t>
            </w:r>
          </w:p>
        </w:tc>
      </w:tr>
      <w:tr w:rsidR="00E02029" w:rsidRPr="00027624" w14:paraId="0E93940E" w14:textId="77777777" w:rsidTr="00E02029">
        <w:trPr>
          <w:trHeight w:val="267"/>
        </w:trPr>
        <w:tc>
          <w:tcPr>
            <w:tcW w:w="742" w:type="pct"/>
          </w:tcPr>
          <w:p w14:paraId="2A1B00CD" w14:textId="77777777" w:rsidR="00E02029" w:rsidRPr="00027624" w:rsidRDefault="00E02029" w:rsidP="00E02029">
            <w:pPr>
              <w:pStyle w:val="TableTextLeft"/>
            </w:pPr>
            <w:r w:rsidRPr="00027624">
              <w:t xml:space="preserve">Own ill health </w:t>
            </w:r>
          </w:p>
        </w:tc>
        <w:tc>
          <w:tcPr>
            <w:tcW w:w="631" w:type="pct"/>
          </w:tcPr>
          <w:p w14:paraId="68FA8B6B" w14:textId="77777777" w:rsidR="00E02029" w:rsidRPr="00027624" w:rsidRDefault="00E02029" w:rsidP="00E02029">
            <w:pPr>
              <w:pStyle w:val="TableTextLeft"/>
              <w:jc w:val="center"/>
            </w:pPr>
            <w:r w:rsidRPr="00027624" w:rsidDel="00E270FB">
              <w:t xml:space="preserve">DSP until age </w:t>
            </w:r>
            <w:r w:rsidRPr="00027624">
              <w:t>60</w:t>
            </w:r>
          </w:p>
        </w:tc>
        <w:tc>
          <w:tcPr>
            <w:tcW w:w="739" w:type="pct"/>
          </w:tcPr>
          <w:p w14:paraId="6EC364A1" w14:textId="77777777" w:rsidR="00E02029" w:rsidRPr="00027624" w:rsidRDefault="00E02029" w:rsidP="00E02029">
            <w:pPr>
              <w:pStyle w:val="TableTextCentered"/>
            </w:pPr>
            <w:r w:rsidRPr="00027624">
              <w:t>54</w:t>
            </w:r>
          </w:p>
        </w:tc>
        <w:tc>
          <w:tcPr>
            <w:tcW w:w="874" w:type="pct"/>
          </w:tcPr>
          <w:p w14:paraId="58F86FBE" w14:textId="77777777" w:rsidR="00E02029" w:rsidRPr="00027624" w:rsidRDefault="00E02029" w:rsidP="00E02029">
            <w:pPr>
              <w:pStyle w:val="TableTextCentered"/>
            </w:pPr>
            <w:r w:rsidRPr="00027624">
              <w:t>506,600</w:t>
            </w:r>
          </w:p>
        </w:tc>
        <w:tc>
          <w:tcPr>
            <w:tcW w:w="671" w:type="pct"/>
          </w:tcPr>
          <w:p w14:paraId="4DE3C495" w14:textId="77777777" w:rsidR="00E02029" w:rsidRPr="00027624" w:rsidRDefault="00E02029" w:rsidP="00E02029">
            <w:pPr>
              <w:pStyle w:val="TableTextCentered"/>
            </w:pPr>
            <w:r w:rsidRPr="00027624">
              <w:t>42,100</w:t>
            </w:r>
          </w:p>
        </w:tc>
        <w:tc>
          <w:tcPr>
            <w:tcW w:w="671" w:type="pct"/>
          </w:tcPr>
          <w:p w14:paraId="35F96BEF" w14:textId="77777777" w:rsidR="00E02029" w:rsidRPr="00027624" w:rsidRDefault="00E02029" w:rsidP="00E02029">
            <w:pPr>
              <w:pStyle w:val="TableTextCentered"/>
            </w:pPr>
            <w:r w:rsidRPr="00027624">
              <w:t>30,000</w:t>
            </w:r>
          </w:p>
        </w:tc>
        <w:tc>
          <w:tcPr>
            <w:tcW w:w="671" w:type="pct"/>
          </w:tcPr>
          <w:p w14:paraId="3CAE8791" w14:textId="77777777" w:rsidR="00E02029" w:rsidRPr="00027624" w:rsidRDefault="00E02029" w:rsidP="00E02029">
            <w:pPr>
              <w:pStyle w:val="TableTextCentered"/>
            </w:pPr>
            <w:r w:rsidRPr="00027624">
              <w:t>43,300</w:t>
            </w:r>
          </w:p>
        </w:tc>
      </w:tr>
      <w:tr w:rsidR="00E02029" w:rsidRPr="00027624" w14:paraId="0F7BD6B1" w14:textId="77777777" w:rsidTr="00E02029">
        <w:trPr>
          <w:trHeight w:val="267"/>
        </w:trPr>
        <w:tc>
          <w:tcPr>
            <w:tcW w:w="742" w:type="pct"/>
          </w:tcPr>
          <w:p w14:paraId="4EA39069" w14:textId="77777777" w:rsidR="00E02029" w:rsidRPr="00027624" w:rsidRDefault="00E02029" w:rsidP="00E02029">
            <w:pPr>
              <w:pStyle w:val="TableTextLeft"/>
            </w:pPr>
            <w:r w:rsidRPr="00027624">
              <w:t>Caring responsibilities</w:t>
            </w:r>
          </w:p>
        </w:tc>
        <w:tc>
          <w:tcPr>
            <w:tcW w:w="631" w:type="pct"/>
          </w:tcPr>
          <w:p w14:paraId="73E7F63D" w14:textId="77777777" w:rsidR="00E02029" w:rsidRPr="00027624" w:rsidRDefault="00E02029" w:rsidP="00E02029">
            <w:pPr>
              <w:pStyle w:val="TableTextLeft"/>
              <w:jc w:val="center"/>
            </w:pPr>
            <w:r w:rsidRPr="00027624" w:rsidDel="00E270FB">
              <w:t>Carer Payment until age 67</w:t>
            </w:r>
          </w:p>
        </w:tc>
        <w:tc>
          <w:tcPr>
            <w:tcW w:w="739" w:type="pct"/>
          </w:tcPr>
          <w:p w14:paraId="24DE8A28" w14:textId="77777777" w:rsidR="00E02029" w:rsidRPr="00027624" w:rsidRDefault="00E02029" w:rsidP="00E02029">
            <w:pPr>
              <w:pStyle w:val="TableTextCentered"/>
            </w:pPr>
            <w:r w:rsidRPr="00027624">
              <w:t>55</w:t>
            </w:r>
          </w:p>
        </w:tc>
        <w:tc>
          <w:tcPr>
            <w:tcW w:w="874" w:type="pct"/>
          </w:tcPr>
          <w:p w14:paraId="0866EE16" w14:textId="77777777" w:rsidR="00E02029" w:rsidRPr="00027624" w:rsidRDefault="00E02029" w:rsidP="00E02029">
            <w:pPr>
              <w:pStyle w:val="TableTextCentered"/>
            </w:pPr>
            <w:r w:rsidRPr="00027624">
              <w:t>506,600</w:t>
            </w:r>
          </w:p>
        </w:tc>
        <w:tc>
          <w:tcPr>
            <w:tcW w:w="671" w:type="pct"/>
          </w:tcPr>
          <w:p w14:paraId="6FC87564" w14:textId="77777777" w:rsidR="00E02029" w:rsidRPr="00027624" w:rsidRDefault="00E02029" w:rsidP="00E02029">
            <w:pPr>
              <w:pStyle w:val="TableTextCentered"/>
            </w:pPr>
            <w:r w:rsidRPr="00027624">
              <w:t>42,800</w:t>
            </w:r>
          </w:p>
        </w:tc>
        <w:tc>
          <w:tcPr>
            <w:tcW w:w="671" w:type="pct"/>
          </w:tcPr>
          <w:p w14:paraId="784C6E64" w14:textId="77777777" w:rsidR="00E02029" w:rsidRPr="00027624" w:rsidRDefault="00E02029" w:rsidP="00E02029">
            <w:pPr>
              <w:pStyle w:val="TableTextCentered"/>
            </w:pPr>
            <w:r w:rsidRPr="00027624">
              <w:t>32,500</w:t>
            </w:r>
          </w:p>
        </w:tc>
        <w:tc>
          <w:tcPr>
            <w:tcW w:w="671" w:type="pct"/>
          </w:tcPr>
          <w:p w14:paraId="2733F647" w14:textId="77777777" w:rsidR="00E02029" w:rsidRPr="00027624" w:rsidRDefault="00E02029" w:rsidP="00E02029">
            <w:pPr>
              <w:pStyle w:val="TableTextCentered"/>
            </w:pPr>
            <w:r w:rsidRPr="00027624">
              <w:t>43,800</w:t>
            </w:r>
          </w:p>
        </w:tc>
      </w:tr>
    </w:tbl>
    <w:p w14:paraId="1CE7F010" w14:textId="60CD6B75" w:rsidR="00E96B29" w:rsidRPr="00027624" w:rsidRDefault="00E96B29" w:rsidP="00E96B29">
      <w:pPr>
        <w:pStyle w:val="ChartorTableNote"/>
      </w:pPr>
      <w:bookmarkStart w:id="4396" w:name="_Ref41650938"/>
      <w:r w:rsidRPr="00027624">
        <w:t xml:space="preserve">Note: See </w:t>
      </w:r>
      <w:r w:rsidRPr="00027624">
        <w:fldChar w:fldCharType="begin"/>
      </w:r>
      <w:r w:rsidRPr="00027624">
        <w:instrText xml:space="preserve"> REF _Ref43388180 \r \h  \* MERGEFORMAT </w:instrText>
      </w:r>
      <w:r w:rsidRPr="00027624">
        <w:fldChar w:fldCharType="separate"/>
      </w:r>
      <w:r w:rsidR="00891058">
        <w:t>Table 6D-1</w:t>
      </w:r>
      <w:r w:rsidRPr="00027624">
        <w:fldChar w:fldCharType="end"/>
      </w:r>
      <w:r w:rsidRPr="00027624">
        <w:t>. Source: Cameo modelling undertaken for the review.</w:t>
      </w:r>
    </w:p>
    <w:p w14:paraId="08F14C4A" w14:textId="77777777" w:rsidR="00E96B29" w:rsidRPr="00027624" w:rsidRDefault="00E96B29" w:rsidP="00E96B29">
      <w:pPr>
        <w:pStyle w:val="TableMainHeading"/>
      </w:pPr>
      <w:bookmarkStart w:id="4397" w:name="_Ref43389075"/>
      <w:r w:rsidRPr="00027624">
        <w:t>Projected outcomes of retiring at age 70 compared to age 67 for a lower</w:t>
      </w:r>
      <w:r w:rsidR="00A8443E" w:rsidRPr="00027624">
        <w:noBreakHyphen/>
      </w:r>
      <w:r w:rsidRPr="00027624">
        <w:t>income earner (20</w:t>
      </w:r>
      <w:r w:rsidRPr="00027624">
        <w:rPr>
          <w:vertAlign w:val="superscript"/>
        </w:rPr>
        <w:t>th</w:t>
      </w:r>
      <w:r w:rsidRPr="00027624">
        <w:t xml:space="preserve"> percentile)</w:t>
      </w:r>
      <w:bookmarkEnd w:id="4396"/>
      <w:bookmarkEnd w:id="4397"/>
    </w:p>
    <w:tbl>
      <w:tblPr>
        <w:tblW w:w="5000" w:type="pct"/>
        <w:tblLook w:val="01E0" w:firstRow="1" w:lastRow="1" w:firstColumn="1" w:lastColumn="1" w:noHBand="0" w:noVBand="0"/>
      </w:tblPr>
      <w:tblGrid>
        <w:gridCol w:w="1814"/>
        <w:gridCol w:w="1814"/>
        <w:gridCol w:w="1814"/>
        <w:gridCol w:w="1814"/>
        <w:gridCol w:w="1814"/>
      </w:tblGrid>
      <w:tr w:rsidR="00E96B29" w:rsidRPr="00027624" w14:paraId="62DE33E0" w14:textId="77777777" w:rsidTr="00E96B29">
        <w:trPr>
          <w:trHeight w:val="270"/>
          <w:tblHeader/>
        </w:trPr>
        <w:tc>
          <w:tcPr>
            <w:tcW w:w="1000" w:type="pct"/>
            <w:shd w:val="clear" w:color="auto" w:fill="E5E5E5"/>
          </w:tcPr>
          <w:p w14:paraId="2C086862" w14:textId="77777777" w:rsidR="00E96B29" w:rsidRPr="00027624" w:rsidRDefault="00E96B29" w:rsidP="00E96B29">
            <w:pPr>
              <w:pStyle w:val="TableTextLeft"/>
              <w:rPr>
                <w:b/>
                <w:color w:val="004A7F"/>
                <w:sz w:val="20"/>
              </w:rPr>
            </w:pPr>
            <w:r w:rsidRPr="00027624">
              <w:rPr>
                <w:b/>
                <w:color w:val="004A7F"/>
                <w:sz w:val="20"/>
              </w:rPr>
              <w:t>Retirement age</w:t>
            </w:r>
          </w:p>
        </w:tc>
        <w:tc>
          <w:tcPr>
            <w:tcW w:w="1000" w:type="pct"/>
            <w:shd w:val="clear" w:color="auto" w:fill="E5E5E5"/>
          </w:tcPr>
          <w:p w14:paraId="5999459A" w14:textId="77777777" w:rsidR="00E96B29" w:rsidRPr="00027624" w:rsidRDefault="00E96B29" w:rsidP="00E96B29">
            <w:pPr>
              <w:pStyle w:val="TableTextLeft"/>
              <w:jc w:val="center"/>
              <w:rPr>
                <w:b/>
                <w:color w:val="004A7F"/>
                <w:sz w:val="20"/>
              </w:rPr>
            </w:pPr>
            <w:r w:rsidRPr="00027624">
              <w:rPr>
                <w:b/>
                <w:color w:val="004A7F"/>
                <w:sz w:val="20"/>
              </w:rPr>
              <w:t>Employment status from ages 67 to 70</w:t>
            </w:r>
          </w:p>
        </w:tc>
        <w:tc>
          <w:tcPr>
            <w:tcW w:w="1000" w:type="pct"/>
            <w:shd w:val="clear" w:color="auto" w:fill="E5E5E5"/>
          </w:tcPr>
          <w:p w14:paraId="68100227" w14:textId="77777777" w:rsidR="00E96B29" w:rsidRPr="00027624" w:rsidRDefault="00E96B29" w:rsidP="00E96B29">
            <w:pPr>
              <w:pStyle w:val="TableTextLeft"/>
              <w:jc w:val="center"/>
              <w:rPr>
                <w:b/>
                <w:color w:val="004A7F"/>
                <w:sz w:val="20"/>
              </w:rPr>
            </w:pPr>
            <w:r w:rsidRPr="00027624">
              <w:rPr>
                <w:b/>
                <w:color w:val="004A7F"/>
                <w:sz w:val="20"/>
              </w:rPr>
              <w:t>Replacement rate from age of retirement (per cent)</w:t>
            </w:r>
          </w:p>
        </w:tc>
        <w:tc>
          <w:tcPr>
            <w:tcW w:w="1000" w:type="pct"/>
            <w:shd w:val="clear" w:color="auto" w:fill="E5E5E5"/>
          </w:tcPr>
          <w:p w14:paraId="492F90DF" w14:textId="77777777" w:rsidR="00E96B29" w:rsidRPr="00027624" w:rsidRDefault="00E96B29" w:rsidP="00E96B29">
            <w:pPr>
              <w:pStyle w:val="TableTextLeft"/>
              <w:jc w:val="center"/>
              <w:rPr>
                <w:b/>
                <w:color w:val="004A7F"/>
                <w:sz w:val="20"/>
              </w:rPr>
            </w:pPr>
            <w:r w:rsidRPr="00027624">
              <w:rPr>
                <w:b/>
                <w:color w:val="004A7F"/>
                <w:sz w:val="20"/>
              </w:rPr>
              <w:t>Superannuation balance at retirement</w:t>
            </w:r>
          </w:p>
          <w:p w14:paraId="40D59AC5" w14:textId="77777777" w:rsidR="00E96B29" w:rsidRPr="00027624" w:rsidRDefault="00E96B29" w:rsidP="00E96B29">
            <w:pPr>
              <w:pStyle w:val="TableTextLeft"/>
              <w:jc w:val="center"/>
              <w:rPr>
                <w:b/>
                <w:color w:val="004A7F"/>
                <w:sz w:val="20"/>
              </w:rPr>
            </w:pPr>
            <w:r w:rsidRPr="00027624">
              <w:rPr>
                <w:b/>
                <w:color w:val="004A7F"/>
                <w:sz w:val="20"/>
              </w:rPr>
              <w:t>($)</w:t>
            </w:r>
          </w:p>
        </w:tc>
        <w:tc>
          <w:tcPr>
            <w:tcW w:w="1000" w:type="pct"/>
            <w:shd w:val="clear" w:color="auto" w:fill="E5E5E5"/>
          </w:tcPr>
          <w:p w14:paraId="5D9F56A6" w14:textId="77777777" w:rsidR="00E96B29" w:rsidRPr="00027624" w:rsidRDefault="00E96B29" w:rsidP="00E96B29">
            <w:pPr>
              <w:pStyle w:val="TableTextLeft"/>
              <w:jc w:val="center"/>
              <w:rPr>
                <w:b/>
                <w:color w:val="004A7F"/>
                <w:sz w:val="20"/>
              </w:rPr>
            </w:pPr>
            <w:r w:rsidRPr="00027624">
              <w:rPr>
                <w:b/>
                <w:color w:val="004A7F"/>
                <w:sz w:val="20"/>
              </w:rPr>
              <w:t>Average annual retirement income</w:t>
            </w:r>
          </w:p>
          <w:p w14:paraId="44CC0B66" w14:textId="77777777" w:rsidR="00E96B29" w:rsidRPr="00027624" w:rsidRDefault="00E96B29" w:rsidP="00E96B29">
            <w:pPr>
              <w:pStyle w:val="TableTextLeft"/>
              <w:jc w:val="center"/>
              <w:rPr>
                <w:b/>
                <w:color w:val="004A7F"/>
                <w:sz w:val="20"/>
              </w:rPr>
            </w:pPr>
            <w:r w:rsidRPr="00027624">
              <w:rPr>
                <w:b/>
                <w:color w:val="004A7F"/>
                <w:sz w:val="20"/>
              </w:rPr>
              <w:t>($)</w:t>
            </w:r>
          </w:p>
        </w:tc>
      </w:tr>
      <w:tr w:rsidR="00E96B29" w:rsidRPr="00027624" w14:paraId="69B40AE5" w14:textId="77777777" w:rsidTr="00E96B29">
        <w:trPr>
          <w:trHeight w:val="270"/>
        </w:trPr>
        <w:tc>
          <w:tcPr>
            <w:tcW w:w="1000" w:type="pct"/>
          </w:tcPr>
          <w:p w14:paraId="017900D4" w14:textId="77777777" w:rsidR="00E96B29" w:rsidRPr="00027624" w:rsidRDefault="00E96B29" w:rsidP="00E96B29">
            <w:pPr>
              <w:pStyle w:val="TableTextLeft"/>
            </w:pPr>
            <w:r w:rsidRPr="00027624">
              <w:t>67</w:t>
            </w:r>
          </w:p>
        </w:tc>
        <w:tc>
          <w:tcPr>
            <w:tcW w:w="1000" w:type="pct"/>
          </w:tcPr>
          <w:p w14:paraId="1A218070" w14:textId="77777777" w:rsidR="00E96B29" w:rsidRPr="00027624" w:rsidRDefault="00E96B29" w:rsidP="00E96B29">
            <w:pPr>
              <w:pStyle w:val="TableTextLeft"/>
              <w:jc w:val="center"/>
            </w:pPr>
            <w:r w:rsidRPr="00027624">
              <w:t>Retired</w:t>
            </w:r>
          </w:p>
        </w:tc>
        <w:tc>
          <w:tcPr>
            <w:tcW w:w="1000" w:type="pct"/>
            <w:vAlign w:val="bottom"/>
          </w:tcPr>
          <w:p w14:paraId="1248FDBE" w14:textId="77777777" w:rsidR="00E96B29" w:rsidRPr="00027624" w:rsidRDefault="00E96B29" w:rsidP="00E96B29">
            <w:pPr>
              <w:pStyle w:val="TableTextLeft"/>
              <w:jc w:val="center"/>
              <w:rPr>
                <w:szCs w:val="18"/>
              </w:rPr>
            </w:pPr>
            <w:r w:rsidRPr="00027624">
              <w:rPr>
                <w:szCs w:val="18"/>
              </w:rPr>
              <w:t>129</w:t>
            </w:r>
          </w:p>
        </w:tc>
        <w:tc>
          <w:tcPr>
            <w:tcW w:w="1000" w:type="pct"/>
            <w:vAlign w:val="bottom"/>
          </w:tcPr>
          <w:p w14:paraId="153B11B8" w14:textId="77777777" w:rsidR="00E96B29" w:rsidRPr="00027624" w:rsidRDefault="00E96B29" w:rsidP="00E96B29">
            <w:pPr>
              <w:pStyle w:val="TableTextLeft"/>
              <w:jc w:val="center"/>
              <w:rPr>
                <w:szCs w:val="18"/>
              </w:rPr>
            </w:pPr>
            <w:r w:rsidRPr="00027624">
              <w:rPr>
                <w:szCs w:val="18"/>
              </w:rPr>
              <w:t>222,300</w:t>
            </w:r>
          </w:p>
        </w:tc>
        <w:tc>
          <w:tcPr>
            <w:tcW w:w="1000" w:type="pct"/>
            <w:vAlign w:val="bottom"/>
          </w:tcPr>
          <w:p w14:paraId="162377B5" w14:textId="77777777" w:rsidR="00E96B29" w:rsidRPr="00027624" w:rsidRDefault="00E96B29" w:rsidP="00E96B29">
            <w:pPr>
              <w:pStyle w:val="TableTextLeft"/>
              <w:jc w:val="center"/>
              <w:rPr>
                <w:szCs w:val="18"/>
              </w:rPr>
            </w:pPr>
            <w:r w:rsidRPr="00027624">
              <w:rPr>
                <w:szCs w:val="18"/>
              </w:rPr>
              <w:t>36,400</w:t>
            </w:r>
          </w:p>
        </w:tc>
      </w:tr>
      <w:tr w:rsidR="00E96B29" w:rsidRPr="00027624" w14:paraId="4A338986" w14:textId="77777777" w:rsidTr="00E96B29">
        <w:trPr>
          <w:trHeight w:val="270"/>
        </w:trPr>
        <w:tc>
          <w:tcPr>
            <w:tcW w:w="1000" w:type="pct"/>
          </w:tcPr>
          <w:p w14:paraId="3B12D4DC" w14:textId="77777777" w:rsidR="00E96B29" w:rsidRPr="00027624" w:rsidRDefault="00E96B29" w:rsidP="00E96B29">
            <w:pPr>
              <w:pStyle w:val="TableTextLeft"/>
            </w:pPr>
            <w:r w:rsidRPr="00027624">
              <w:t>70</w:t>
            </w:r>
          </w:p>
        </w:tc>
        <w:tc>
          <w:tcPr>
            <w:tcW w:w="1000" w:type="pct"/>
          </w:tcPr>
          <w:p w14:paraId="5C7CE006" w14:textId="77777777" w:rsidR="00E96B29" w:rsidRPr="00027624" w:rsidRDefault="00E96B29" w:rsidP="00E96B29">
            <w:pPr>
              <w:pStyle w:val="TableTextLeft"/>
              <w:jc w:val="center"/>
            </w:pPr>
            <w:r w:rsidRPr="00027624">
              <w:t>Receive three</w:t>
            </w:r>
            <w:r w:rsidR="00A8443E" w:rsidRPr="00027624">
              <w:noBreakHyphen/>
            </w:r>
            <w:r w:rsidRPr="00027624">
              <w:t>quarters of normal wage</w:t>
            </w:r>
          </w:p>
        </w:tc>
        <w:tc>
          <w:tcPr>
            <w:tcW w:w="1000" w:type="pct"/>
            <w:vAlign w:val="bottom"/>
          </w:tcPr>
          <w:p w14:paraId="3DAB39CB" w14:textId="77777777" w:rsidR="00E96B29" w:rsidRPr="00027624" w:rsidRDefault="00E96B29" w:rsidP="00E96B29">
            <w:pPr>
              <w:pStyle w:val="TableTextLeft"/>
              <w:jc w:val="center"/>
              <w:rPr>
                <w:szCs w:val="18"/>
              </w:rPr>
            </w:pPr>
            <w:r w:rsidRPr="00027624">
              <w:rPr>
                <w:szCs w:val="18"/>
              </w:rPr>
              <w:t>132</w:t>
            </w:r>
          </w:p>
        </w:tc>
        <w:tc>
          <w:tcPr>
            <w:tcW w:w="1000" w:type="pct"/>
            <w:vAlign w:val="bottom"/>
          </w:tcPr>
          <w:p w14:paraId="6CD504FF" w14:textId="77777777" w:rsidR="00E96B29" w:rsidRPr="00027624" w:rsidRDefault="00E96B29" w:rsidP="00E96B29">
            <w:pPr>
              <w:pStyle w:val="TableTextLeft"/>
              <w:jc w:val="center"/>
              <w:rPr>
                <w:szCs w:val="18"/>
              </w:rPr>
            </w:pPr>
            <w:r w:rsidRPr="00027624">
              <w:rPr>
                <w:szCs w:val="18"/>
              </w:rPr>
              <w:t>242,100</w:t>
            </w:r>
          </w:p>
        </w:tc>
        <w:tc>
          <w:tcPr>
            <w:tcW w:w="1000" w:type="pct"/>
            <w:vAlign w:val="bottom"/>
          </w:tcPr>
          <w:p w14:paraId="432DAC30" w14:textId="77777777" w:rsidR="00E96B29" w:rsidRPr="00027624" w:rsidRDefault="00E96B29" w:rsidP="00E96B29">
            <w:pPr>
              <w:pStyle w:val="TableTextLeft"/>
              <w:jc w:val="center"/>
              <w:rPr>
                <w:szCs w:val="18"/>
              </w:rPr>
            </w:pPr>
            <w:r w:rsidRPr="00027624">
              <w:rPr>
                <w:szCs w:val="18"/>
              </w:rPr>
              <w:t>37,200</w:t>
            </w:r>
          </w:p>
        </w:tc>
      </w:tr>
      <w:tr w:rsidR="00E96B29" w:rsidRPr="00027624" w14:paraId="111672D1" w14:textId="77777777" w:rsidTr="00E96B29">
        <w:trPr>
          <w:trHeight w:val="77"/>
        </w:trPr>
        <w:tc>
          <w:tcPr>
            <w:tcW w:w="1000" w:type="pct"/>
          </w:tcPr>
          <w:p w14:paraId="362FBC96" w14:textId="77777777" w:rsidR="00E96B29" w:rsidRPr="00027624" w:rsidRDefault="00E96B29" w:rsidP="00E96B29">
            <w:pPr>
              <w:pStyle w:val="TableTextLeft"/>
            </w:pPr>
            <w:r w:rsidRPr="00027624">
              <w:t>70</w:t>
            </w:r>
          </w:p>
        </w:tc>
        <w:tc>
          <w:tcPr>
            <w:tcW w:w="1000" w:type="pct"/>
          </w:tcPr>
          <w:p w14:paraId="60629757" w14:textId="77777777" w:rsidR="00E96B29" w:rsidRPr="00027624" w:rsidRDefault="00E96B29" w:rsidP="00E96B29">
            <w:pPr>
              <w:pStyle w:val="TableTextLeft"/>
              <w:jc w:val="center"/>
            </w:pPr>
            <w:r w:rsidRPr="00027624">
              <w:t>Receive normal wage</w:t>
            </w:r>
          </w:p>
        </w:tc>
        <w:tc>
          <w:tcPr>
            <w:tcW w:w="1000" w:type="pct"/>
            <w:vAlign w:val="bottom"/>
          </w:tcPr>
          <w:p w14:paraId="4154BE12" w14:textId="77777777" w:rsidR="00E96B29" w:rsidRPr="00027624" w:rsidRDefault="00E96B29" w:rsidP="00E96B29">
            <w:pPr>
              <w:pStyle w:val="TableTextLeft"/>
              <w:jc w:val="center"/>
              <w:rPr>
                <w:szCs w:val="18"/>
              </w:rPr>
            </w:pPr>
            <w:r w:rsidRPr="00027624">
              <w:rPr>
                <w:szCs w:val="18"/>
              </w:rPr>
              <w:t>132</w:t>
            </w:r>
          </w:p>
        </w:tc>
        <w:tc>
          <w:tcPr>
            <w:tcW w:w="1000" w:type="pct"/>
            <w:vAlign w:val="bottom"/>
          </w:tcPr>
          <w:p w14:paraId="6B0C8DBB" w14:textId="77777777" w:rsidR="00E96B29" w:rsidRPr="00027624" w:rsidRDefault="00E96B29" w:rsidP="00E96B29">
            <w:pPr>
              <w:pStyle w:val="TableTextLeft"/>
              <w:jc w:val="center"/>
              <w:rPr>
                <w:szCs w:val="18"/>
              </w:rPr>
            </w:pPr>
            <w:r w:rsidRPr="00027624">
              <w:rPr>
                <w:szCs w:val="18"/>
              </w:rPr>
              <w:t>244,600</w:t>
            </w:r>
          </w:p>
        </w:tc>
        <w:tc>
          <w:tcPr>
            <w:tcW w:w="1000" w:type="pct"/>
            <w:vAlign w:val="bottom"/>
          </w:tcPr>
          <w:p w14:paraId="5BA62CED" w14:textId="77777777" w:rsidR="00E96B29" w:rsidRPr="00027624" w:rsidRDefault="00E96B29" w:rsidP="00E96B29">
            <w:pPr>
              <w:pStyle w:val="TableTextLeft"/>
              <w:keepNext/>
              <w:jc w:val="center"/>
              <w:rPr>
                <w:szCs w:val="18"/>
              </w:rPr>
            </w:pPr>
            <w:r w:rsidRPr="00027624">
              <w:rPr>
                <w:szCs w:val="18"/>
              </w:rPr>
              <w:t>37,200</w:t>
            </w:r>
          </w:p>
        </w:tc>
      </w:tr>
    </w:tbl>
    <w:p w14:paraId="253F72ED" w14:textId="48D16EC0" w:rsidR="00E96B29" w:rsidRPr="00027624" w:rsidRDefault="00E96B29">
      <w:pPr>
        <w:pStyle w:val="ChartorTableNote"/>
      </w:pPr>
      <w:bookmarkStart w:id="4398" w:name="_Ref36129059"/>
      <w:r w:rsidRPr="00027624">
        <w:t xml:space="preserve">Note for </w:t>
      </w:r>
      <w:r w:rsidRPr="00027624">
        <w:fldChar w:fldCharType="begin"/>
      </w:r>
      <w:r w:rsidRPr="00027624">
        <w:instrText xml:space="preserve"> REF _Ref43389075 \r \h  \* MERGEFORMAT </w:instrText>
      </w:r>
      <w:r w:rsidRPr="00027624">
        <w:fldChar w:fldCharType="separate"/>
      </w:r>
      <w:r w:rsidR="00891058">
        <w:t>Table 6D-4</w:t>
      </w:r>
      <w:r w:rsidRPr="00027624">
        <w:fldChar w:fldCharType="end"/>
      </w:r>
      <w:r w:rsidRPr="00027624">
        <w:t xml:space="preserve">, </w:t>
      </w:r>
      <w:r w:rsidRPr="00027624">
        <w:fldChar w:fldCharType="begin"/>
      </w:r>
      <w:r w:rsidRPr="00027624">
        <w:instrText xml:space="preserve"> REF _Ref41650940 \r \h  \* MERGEFORMAT </w:instrText>
      </w:r>
      <w:r w:rsidRPr="00027624">
        <w:fldChar w:fldCharType="separate"/>
      </w:r>
      <w:r w:rsidR="00891058">
        <w:t>Table 6D-5</w:t>
      </w:r>
      <w:r w:rsidRPr="00027624">
        <w:fldChar w:fldCharType="end"/>
      </w:r>
      <w:r w:rsidRPr="00027624">
        <w:t xml:space="preserve"> and </w:t>
      </w:r>
      <w:r w:rsidRPr="00027624">
        <w:fldChar w:fldCharType="begin"/>
      </w:r>
      <w:r w:rsidRPr="00027624">
        <w:instrText xml:space="preserve"> REF _Ref43997816 \r \h  \* MERGEFORMAT </w:instrText>
      </w:r>
      <w:r w:rsidRPr="00027624">
        <w:fldChar w:fldCharType="separate"/>
      </w:r>
      <w:r w:rsidR="00891058">
        <w:t>Table 6D-6</w:t>
      </w:r>
      <w:r w:rsidRPr="00027624">
        <w:fldChar w:fldCharType="end"/>
      </w:r>
      <w:r w:rsidRPr="00027624">
        <w:t>: Values are in 2019</w:t>
      </w:r>
      <w:r w:rsidR="00A8443E" w:rsidRPr="00027624">
        <w:noBreakHyphen/>
      </w:r>
      <w:r w:rsidRPr="00027624">
        <w:t>20 dollars, rounded to the nearest $100. Superannuation balance at retirement is deflated by average weekly earnings. Retirement income is deflated using the review</w:t>
      </w:r>
      <w:r w:rsidR="00A8443E" w:rsidRPr="00027624">
        <w:t>’</w:t>
      </w:r>
      <w:r w:rsidRPr="00027624">
        <w:t xml:space="preserve">s mixed deflator. Assumes for people who retire at age 70, they do not access superannuation and other savings until age 70 but they receive the </w:t>
      </w:r>
      <w:r w:rsidRPr="00027624" w:rsidDel="0068007C">
        <w:t>Age</w:t>
      </w:r>
      <w:r w:rsidRPr="00027624">
        <w:t> Pension from age 67 if they are eligible. Most people who continue to work between ages 67</w:t>
      </w:r>
      <w:r w:rsidR="00A8443E" w:rsidRPr="00027624">
        <w:noBreakHyphen/>
      </w:r>
      <w:r w:rsidRPr="00027624">
        <w:t xml:space="preserve">70 will not qualify for the </w:t>
      </w:r>
      <w:r w:rsidRPr="00027624" w:rsidDel="0068007C">
        <w:t>Age</w:t>
      </w:r>
      <w:r w:rsidRPr="00027624">
        <w:t> Pension at these ages due to the income test. Three</w:t>
      </w:r>
      <w:r w:rsidR="00A8443E" w:rsidRPr="00027624">
        <w:noBreakHyphen/>
      </w:r>
      <w:r w:rsidRPr="00027624">
        <w:t>quarters of normal wage assumes an individual earns 75 per cent of the average wage for their age and income percentile between the ages of 67</w:t>
      </w:r>
      <w:r w:rsidR="00A8443E" w:rsidRPr="00027624">
        <w:noBreakHyphen/>
      </w:r>
      <w:r w:rsidRPr="00027624">
        <w:t xml:space="preserve">70. Normal wage uses average wages according central case specifications. </w:t>
      </w:r>
      <w:r w:rsidRPr="00027624">
        <w:rPr>
          <w:i/>
        </w:rPr>
        <w:t>Appendix 6A. Detailed modelling methods and assumptions</w:t>
      </w:r>
      <w:r w:rsidRPr="00027624">
        <w:t xml:space="preserve"> includes a detailed explanation of the wage data using this methodology. For consistency, the working life of the person who retires at age 67 is used as the replacement rate denominator for all retirement ages. Source: Cameo modelling undertaken for the review.</w:t>
      </w:r>
    </w:p>
    <w:p w14:paraId="0E28AE04" w14:textId="77777777" w:rsidR="00E96B29" w:rsidRPr="00027624" w:rsidRDefault="00E96B29" w:rsidP="00E96B29">
      <w:pPr>
        <w:pStyle w:val="TableMainHeading"/>
      </w:pPr>
      <w:bookmarkStart w:id="4399" w:name="_Ref41650940"/>
      <w:r w:rsidRPr="00027624">
        <w:t>Projected outcomes of retiring at age 70 compared to age 67 for a middle</w:t>
      </w:r>
      <w:r w:rsidR="00A8443E" w:rsidRPr="00027624">
        <w:noBreakHyphen/>
      </w:r>
      <w:r w:rsidRPr="00027624">
        <w:t>income earner (50</w:t>
      </w:r>
      <w:r w:rsidRPr="00027624">
        <w:rPr>
          <w:vertAlign w:val="superscript"/>
        </w:rPr>
        <w:t>th</w:t>
      </w:r>
      <w:r w:rsidRPr="00027624">
        <w:t xml:space="preserve"> percentile)</w:t>
      </w:r>
      <w:bookmarkEnd w:id="4398"/>
      <w:bookmarkEnd w:id="4399"/>
    </w:p>
    <w:tbl>
      <w:tblPr>
        <w:tblW w:w="5000" w:type="pct"/>
        <w:tblLook w:val="01E0" w:firstRow="1" w:lastRow="1" w:firstColumn="1" w:lastColumn="1" w:noHBand="0" w:noVBand="0"/>
      </w:tblPr>
      <w:tblGrid>
        <w:gridCol w:w="1814"/>
        <w:gridCol w:w="1814"/>
        <w:gridCol w:w="1814"/>
        <w:gridCol w:w="1814"/>
        <w:gridCol w:w="1814"/>
      </w:tblGrid>
      <w:tr w:rsidR="00E96B29" w:rsidRPr="00027624" w14:paraId="0DCBECB4" w14:textId="77777777" w:rsidTr="00E96B29">
        <w:trPr>
          <w:trHeight w:val="270"/>
          <w:tblHeader/>
        </w:trPr>
        <w:tc>
          <w:tcPr>
            <w:tcW w:w="1000" w:type="pct"/>
            <w:shd w:val="clear" w:color="auto" w:fill="E5E5E5"/>
          </w:tcPr>
          <w:p w14:paraId="49A8809B" w14:textId="77777777" w:rsidR="00E96B29" w:rsidRPr="00027624" w:rsidRDefault="00E96B29" w:rsidP="00E96B29">
            <w:pPr>
              <w:pStyle w:val="TableTextLeft"/>
              <w:keepNext/>
              <w:keepLines/>
              <w:rPr>
                <w:b/>
                <w:color w:val="004A7F"/>
                <w:sz w:val="20"/>
              </w:rPr>
            </w:pPr>
            <w:r w:rsidRPr="00027624">
              <w:rPr>
                <w:b/>
                <w:color w:val="004A7F"/>
                <w:sz w:val="20"/>
              </w:rPr>
              <w:t>Retirement age</w:t>
            </w:r>
          </w:p>
        </w:tc>
        <w:tc>
          <w:tcPr>
            <w:tcW w:w="1000" w:type="pct"/>
            <w:shd w:val="clear" w:color="auto" w:fill="E5E5E5"/>
          </w:tcPr>
          <w:p w14:paraId="605A9A24" w14:textId="77777777" w:rsidR="00E96B29" w:rsidRPr="00027624" w:rsidRDefault="00E96B29" w:rsidP="00E96B29">
            <w:pPr>
              <w:pStyle w:val="TableTextLeft"/>
              <w:keepNext/>
              <w:keepLines/>
              <w:jc w:val="center"/>
              <w:rPr>
                <w:b/>
                <w:color w:val="004A7F"/>
                <w:sz w:val="20"/>
              </w:rPr>
            </w:pPr>
            <w:r w:rsidRPr="00027624">
              <w:rPr>
                <w:b/>
                <w:color w:val="004A7F"/>
                <w:sz w:val="20"/>
              </w:rPr>
              <w:t>Employment status from ages 67 to 70</w:t>
            </w:r>
          </w:p>
        </w:tc>
        <w:tc>
          <w:tcPr>
            <w:tcW w:w="1000" w:type="pct"/>
            <w:shd w:val="clear" w:color="auto" w:fill="E5E5E5"/>
          </w:tcPr>
          <w:p w14:paraId="0ED83D22" w14:textId="77777777" w:rsidR="00E96B29" w:rsidRPr="00027624" w:rsidRDefault="00E96B29" w:rsidP="00E96B29">
            <w:pPr>
              <w:pStyle w:val="TableTextLeft"/>
              <w:keepNext/>
              <w:keepLines/>
              <w:jc w:val="center"/>
              <w:rPr>
                <w:b/>
                <w:color w:val="004A7F"/>
                <w:sz w:val="20"/>
              </w:rPr>
            </w:pPr>
            <w:r w:rsidRPr="00027624">
              <w:rPr>
                <w:b/>
                <w:color w:val="004A7F"/>
                <w:sz w:val="20"/>
              </w:rPr>
              <w:t>Replacement rate from age of retirement (per cent)</w:t>
            </w:r>
          </w:p>
        </w:tc>
        <w:tc>
          <w:tcPr>
            <w:tcW w:w="1000" w:type="pct"/>
            <w:shd w:val="clear" w:color="auto" w:fill="E5E5E5"/>
          </w:tcPr>
          <w:p w14:paraId="18AE03F7" w14:textId="77777777" w:rsidR="00E96B29" w:rsidRPr="00027624" w:rsidRDefault="00E96B29" w:rsidP="00E96B29">
            <w:pPr>
              <w:pStyle w:val="TableTextLeft"/>
              <w:keepNext/>
              <w:keepLines/>
              <w:jc w:val="center"/>
              <w:rPr>
                <w:b/>
                <w:color w:val="004A7F"/>
                <w:sz w:val="20"/>
              </w:rPr>
            </w:pPr>
            <w:r w:rsidRPr="00027624">
              <w:rPr>
                <w:b/>
                <w:color w:val="004A7F"/>
                <w:sz w:val="20"/>
              </w:rPr>
              <w:t>Superannuation balance at retirement</w:t>
            </w:r>
          </w:p>
          <w:p w14:paraId="66DAE090" w14:textId="77777777" w:rsidR="00E96B29" w:rsidRPr="00027624" w:rsidRDefault="00E96B29" w:rsidP="00E96B29">
            <w:pPr>
              <w:pStyle w:val="TableTextLeft"/>
              <w:keepNext/>
              <w:keepLines/>
              <w:jc w:val="center"/>
              <w:rPr>
                <w:b/>
                <w:color w:val="004A7F"/>
                <w:sz w:val="20"/>
              </w:rPr>
            </w:pPr>
            <w:r w:rsidRPr="00027624">
              <w:rPr>
                <w:b/>
                <w:color w:val="004A7F"/>
                <w:sz w:val="20"/>
              </w:rPr>
              <w:t>($)</w:t>
            </w:r>
          </w:p>
        </w:tc>
        <w:tc>
          <w:tcPr>
            <w:tcW w:w="1000" w:type="pct"/>
            <w:shd w:val="clear" w:color="auto" w:fill="E5E5E5"/>
          </w:tcPr>
          <w:p w14:paraId="75E5D93D" w14:textId="77777777" w:rsidR="00E96B29" w:rsidRPr="00027624" w:rsidRDefault="00E96B29" w:rsidP="00E96B29">
            <w:pPr>
              <w:pStyle w:val="TableTextLeft"/>
              <w:keepNext/>
              <w:keepLines/>
              <w:jc w:val="center"/>
              <w:rPr>
                <w:b/>
                <w:color w:val="004A7F"/>
                <w:sz w:val="20"/>
              </w:rPr>
            </w:pPr>
            <w:r w:rsidRPr="00027624">
              <w:rPr>
                <w:b/>
                <w:color w:val="004A7F"/>
                <w:sz w:val="20"/>
              </w:rPr>
              <w:t>Average annual retirement income ($)</w:t>
            </w:r>
          </w:p>
        </w:tc>
      </w:tr>
      <w:tr w:rsidR="00E96B29" w:rsidRPr="00027624" w14:paraId="38C49E0A" w14:textId="77777777" w:rsidTr="00E96B29">
        <w:trPr>
          <w:trHeight w:val="270"/>
        </w:trPr>
        <w:tc>
          <w:tcPr>
            <w:tcW w:w="1000" w:type="pct"/>
          </w:tcPr>
          <w:p w14:paraId="63446C76" w14:textId="77777777" w:rsidR="00E96B29" w:rsidRPr="00027624" w:rsidRDefault="00E96B29" w:rsidP="00E96B29">
            <w:pPr>
              <w:pStyle w:val="TableTextLeft"/>
              <w:keepNext/>
              <w:keepLines/>
            </w:pPr>
            <w:r w:rsidRPr="00027624">
              <w:t>67</w:t>
            </w:r>
          </w:p>
        </w:tc>
        <w:tc>
          <w:tcPr>
            <w:tcW w:w="1000" w:type="pct"/>
          </w:tcPr>
          <w:p w14:paraId="5301D81D" w14:textId="77777777" w:rsidR="00E96B29" w:rsidRPr="00027624" w:rsidRDefault="00E96B29" w:rsidP="00E96B29">
            <w:pPr>
              <w:pStyle w:val="TableTextLeft"/>
              <w:keepNext/>
              <w:keepLines/>
              <w:jc w:val="center"/>
            </w:pPr>
            <w:r w:rsidRPr="00027624">
              <w:t>Retired</w:t>
            </w:r>
          </w:p>
        </w:tc>
        <w:tc>
          <w:tcPr>
            <w:tcW w:w="1000" w:type="pct"/>
            <w:vAlign w:val="bottom"/>
          </w:tcPr>
          <w:p w14:paraId="08CCA3EF" w14:textId="77777777" w:rsidR="00E96B29" w:rsidRPr="00027624" w:rsidRDefault="00E96B29" w:rsidP="00E96B29">
            <w:pPr>
              <w:pStyle w:val="TableTextLeft"/>
              <w:keepNext/>
              <w:keepLines/>
              <w:jc w:val="center"/>
              <w:rPr>
                <w:szCs w:val="18"/>
              </w:rPr>
            </w:pPr>
            <w:r w:rsidRPr="00027624">
              <w:rPr>
                <w:szCs w:val="18"/>
              </w:rPr>
              <w:t>87</w:t>
            </w:r>
          </w:p>
        </w:tc>
        <w:tc>
          <w:tcPr>
            <w:tcW w:w="1000" w:type="pct"/>
            <w:vAlign w:val="bottom"/>
          </w:tcPr>
          <w:p w14:paraId="2DB9C1AC" w14:textId="77777777" w:rsidR="00E96B29" w:rsidRPr="00027624" w:rsidRDefault="00E96B29" w:rsidP="00E96B29">
            <w:pPr>
              <w:pStyle w:val="TableTextLeft"/>
              <w:keepNext/>
              <w:keepLines/>
              <w:jc w:val="center"/>
              <w:rPr>
                <w:szCs w:val="18"/>
              </w:rPr>
            </w:pPr>
            <w:r w:rsidRPr="00027624">
              <w:rPr>
                <w:szCs w:val="18"/>
              </w:rPr>
              <w:t>452,000</w:t>
            </w:r>
          </w:p>
        </w:tc>
        <w:tc>
          <w:tcPr>
            <w:tcW w:w="1000" w:type="pct"/>
            <w:vAlign w:val="bottom"/>
          </w:tcPr>
          <w:p w14:paraId="4A479FA7" w14:textId="77777777" w:rsidR="00E96B29" w:rsidRPr="00027624" w:rsidRDefault="00E96B29" w:rsidP="00E96B29">
            <w:pPr>
              <w:pStyle w:val="TableTextLeft"/>
              <w:keepNext/>
              <w:keepLines/>
              <w:jc w:val="center"/>
              <w:rPr>
                <w:szCs w:val="18"/>
              </w:rPr>
            </w:pPr>
            <w:r w:rsidRPr="00027624">
              <w:rPr>
                <w:szCs w:val="18"/>
              </w:rPr>
              <w:t>42,100</w:t>
            </w:r>
          </w:p>
        </w:tc>
      </w:tr>
      <w:tr w:rsidR="00E96B29" w:rsidRPr="00027624" w14:paraId="6D859468" w14:textId="77777777" w:rsidTr="00E96B29">
        <w:trPr>
          <w:trHeight w:val="270"/>
        </w:trPr>
        <w:tc>
          <w:tcPr>
            <w:tcW w:w="1000" w:type="pct"/>
          </w:tcPr>
          <w:p w14:paraId="69EFAD56" w14:textId="77777777" w:rsidR="00E96B29" w:rsidRPr="00027624" w:rsidRDefault="00E96B29" w:rsidP="00E96B29">
            <w:pPr>
              <w:pStyle w:val="TableTextLeft"/>
              <w:keepNext/>
              <w:keepLines/>
            </w:pPr>
            <w:r w:rsidRPr="00027624">
              <w:t>70</w:t>
            </w:r>
          </w:p>
        </w:tc>
        <w:tc>
          <w:tcPr>
            <w:tcW w:w="1000" w:type="pct"/>
          </w:tcPr>
          <w:p w14:paraId="2AD9B5ED" w14:textId="77777777" w:rsidR="00E96B29" w:rsidRPr="00027624" w:rsidRDefault="00E96B29" w:rsidP="00E96B29">
            <w:pPr>
              <w:pStyle w:val="TableTextLeft"/>
              <w:keepNext/>
              <w:keepLines/>
              <w:jc w:val="center"/>
            </w:pPr>
            <w:r w:rsidRPr="00027624">
              <w:t>Receive three</w:t>
            </w:r>
            <w:r w:rsidR="00A8443E" w:rsidRPr="00027624">
              <w:noBreakHyphen/>
            </w:r>
            <w:r w:rsidRPr="00027624">
              <w:t>quarters of normal wage</w:t>
            </w:r>
          </w:p>
        </w:tc>
        <w:tc>
          <w:tcPr>
            <w:tcW w:w="1000" w:type="pct"/>
            <w:vAlign w:val="bottom"/>
          </w:tcPr>
          <w:p w14:paraId="7D251E55" w14:textId="77777777" w:rsidR="00E96B29" w:rsidRPr="00027624" w:rsidRDefault="00E96B29" w:rsidP="00E96B29">
            <w:pPr>
              <w:pStyle w:val="TableTextLeft"/>
              <w:keepNext/>
              <w:keepLines/>
              <w:jc w:val="center"/>
              <w:rPr>
                <w:szCs w:val="18"/>
              </w:rPr>
            </w:pPr>
            <w:r w:rsidRPr="00027624">
              <w:rPr>
                <w:szCs w:val="18"/>
              </w:rPr>
              <w:t>92</w:t>
            </w:r>
          </w:p>
        </w:tc>
        <w:tc>
          <w:tcPr>
            <w:tcW w:w="1000" w:type="pct"/>
            <w:vAlign w:val="bottom"/>
          </w:tcPr>
          <w:p w14:paraId="1409AFE6" w14:textId="77777777" w:rsidR="00E96B29" w:rsidRPr="00027624" w:rsidRDefault="00E96B29" w:rsidP="00E96B29">
            <w:pPr>
              <w:pStyle w:val="TableTextLeft"/>
              <w:keepNext/>
              <w:keepLines/>
              <w:jc w:val="center"/>
              <w:rPr>
                <w:szCs w:val="18"/>
              </w:rPr>
            </w:pPr>
            <w:r w:rsidRPr="00027624">
              <w:rPr>
                <w:szCs w:val="18"/>
              </w:rPr>
              <w:t>499,100</w:t>
            </w:r>
          </w:p>
        </w:tc>
        <w:tc>
          <w:tcPr>
            <w:tcW w:w="1000" w:type="pct"/>
            <w:vAlign w:val="bottom"/>
          </w:tcPr>
          <w:p w14:paraId="52ADB856" w14:textId="77777777" w:rsidR="00E96B29" w:rsidRPr="00027624" w:rsidRDefault="00E96B29" w:rsidP="00E96B29">
            <w:pPr>
              <w:pStyle w:val="TableTextLeft"/>
              <w:keepNext/>
              <w:keepLines/>
              <w:jc w:val="center"/>
              <w:rPr>
                <w:szCs w:val="18"/>
              </w:rPr>
            </w:pPr>
            <w:r w:rsidRPr="00027624">
              <w:rPr>
                <w:szCs w:val="18"/>
              </w:rPr>
              <w:t>44,600</w:t>
            </w:r>
          </w:p>
        </w:tc>
      </w:tr>
      <w:tr w:rsidR="00E96B29" w:rsidRPr="00027624" w14:paraId="49CEBD46" w14:textId="77777777" w:rsidTr="00E96B29">
        <w:trPr>
          <w:trHeight w:val="270"/>
        </w:trPr>
        <w:tc>
          <w:tcPr>
            <w:tcW w:w="1000" w:type="pct"/>
          </w:tcPr>
          <w:p w14:paraId="389B3977" w14:textId="77777777" w:rsidR="00E96B29" w:rsidRPr="00027624" w:rsidRDefault="00E96B29" w:rsidP="00E96B29">
            <w:pPr>
              <w:pStyle w:val="TableTextLeft"/>
              <w:keepNext/>
              <w:keepLines/>
            </w:pPr>
            <w:r w:rsidRPr="00027624">
              <w:t>70</w:t>
            </w:r>
          </w:p>
        </w:tc>
        <w:tc>
          <w:tcPr>
            <w:tcW w:w="1000" w:type="pct"/>
          </w:tcPr>
          <w:p w14:paraId="35F8626C" w14:textId="77777777" w:rsidR="00E96B29" w:rsidRPr="00027624" w:rsidRDefault="00E96B29" w:rsidP="00E96B29">
            <w:pPr>
              <w:pStyle w:val="TableTextLeft"/>
              <w:keepNext/>
              <w:keepLines/>
              <w:jc w:val="center"/>
            </w:pPr>
            <w:r w:rsidRPr="00027624">
              <w:t>Receive normal wage</w:t>
            </w:r>
          </w:p>
        </w:tc>
        <w:tc>
          <w:tcPr>
            <w:tcW w:w="1000" w:type="pct"/>
            <w:vAlign w:val="bottom"/>
          </w:tcPr>
          <w:p w14:paraId="14E49B0F" w14:textId="77777777" w:rsidR="00E96B29" w:rsidRPr="00027624" w:rsidRDefault="00E96B29" w:rsidP="00E96B29">
            <w:pPr>
              <w:pStyle w:val="TableTextLeft"/>
              <w:keepNext/>
              <w:keepLines/>
              <w:jc w:val="center"/>
              <w:rPr>
                <w:szCs w:val="18"/>
              </w:rPr>
            </w:pPr>
            <w:r w:rsidRPr="00027624">
              <w:rPr>
                <w:szCs w:val="18"/>
              </w:rPr>
              <w:t>92</w:t>
            </w:r>
          </w:p>
        </w:tc>
        <w:tc>
          <w:tcPr>
            <w:tcW w:w="1000" w:type="pct"/>
            <w:vAlign w:val="bottom"/>
          </w:tcPr>
          <w:p w14:paraId="211D4F6A" w14:textId="77777777" w:rsidR="00E96B29" w:rsidRPr="00027624" w:rsidRDefault="00E96B29" w:rsidP="00E96B29">
            <w:pPr>
              <w:pStyle w:val="TableTextLeft"/>
              <w:keepNext/>
              <w:keepLines/>
              <w:jc w:val="center"/>
              <w:rPr>
                <w:szCs w:val="18"/>
              </w:rPr>
            </w:pPr>
            <w:r w:rsidRPr="00027624">
              <w:rPr>
                <w:szCs w:val="18"/>
              </w:rPr>
              <w:t>506,000</w:t>
            </w:r>
          </w:p>
        </w:tc>
        <w:tc>
          <w:tcPr>
            <w:tcW w:w="1000" w:type="pct"/>
            <w:vAlign w:val="bottom"/>
          </w:tcPr>
          <w:p w14:paraId="7C7C5B7D" w14:textId="77777777" w:rsidR="00E96B29" w:rsidRPr="00027624" w:rsidRDefault="00E96B29" w:rsidP="00E96B29">
            <w:pPr>
              <w:pStyle w:val="TableTextLeft"/>
              <w:keepNext/>
              <w:keepLines/>
              <w:jc w:val="center"/>
              <w:rPr>
                <w:szCs w:val="18"/>
              </w:rPr>
            </w:pPr>
            <w:r w:rsidRPr="00027624">
              <w:rPr>
                <w:szCs w:val="18"/>
              </w:rPr>
              <w:t>44,800</w:t>
            </w:r>
          </w:p>
        </w:tc>
      </w:tr>
    </w:tbl>
    <w:p w14:paraId="1B4011CE" w14:textId="02FD597B" w:rsidR="00E96B29" w:rsidRPr="00027624" w:rsidRDefault="00E96B29" w:rsidP="00E96B29">
      <w:pPr>
        <w:pStyle w:val="ChartorTableNote"/>
      </w:pPr>
      <w:bookmarkStart w:id="4400" w:name="_Ref41650941"/>
      <w:r w:rsidRPr="00027624">
        <w:t xml:space="preserve">Note: See </w:t>
      </w:r>
      <w:r w:rsidRPr="00027624">
        <w:fldChar w:fldCharType="begin"/>
      </w:r>
      <w:r w:rsidRPr="00027624">
        <w:instrText xml:space="preserve"> REF _Ref43389075 \r \h  \* MERGEFORMAT </w:instrText>
      </w:r>
      <w:r w:rsidRPr="00027624">
        <w:fldChar w:fldCharType="separate"/>
      </w:r>
      <w:r w:rsidR="00891058">
        <w:t>Table 6D-4</w:t>
      </w:r>
      <w:r w:rsidRPr="00027624">
        <w:fldChar w:fldCharType="end"/>
      </w:r>
      <w:r w:rsidRPr="00027624">
        <w:t>. Source: Cameo modelling undertaken for the review.</w:t>
      </w:r>
    </w:p>
    <w:p w14:paraId="03F7CA7B" w14:textId="77777777" w:rsidR="00E96B29" w:rsidRPr="00027624" w:rsidRDefault="00E96B29" w:rsidP="00E96B29">
      <w:pPr>
        <w:pStyle w:val="TableMainHeading"/>
      </w:pPr>
      <w:bookmarkStart w:id="4401" w:name="_Ref43997816"/>
      <w:r w:rsidRPr="00027624">
        <w:rPr>
          <w:iCs/>
        </w:rPr>
        <w:t>Projected</w:t>
      </w:r>
      <w:r w:rsidRPr="00027624">
        <w:t xml:space="preserve"> outcomes of retiring at age 70 compared to age 67 for a higher</w:t>
      </w:r>
      <w:r w:rsidR="00A8443E" w:rsidRPr="00027624">
        <w:noBreakHyphen/>
      </w:r>
      <w:r w:rsidRPr="00027624">
        <w:t>income earner (80</w:t>
      </w:r>
      <w:r w:rsidRPr="00027624">
        <w:rPr>
          <w:vertAlign w:val="superscript"/>
        </w:rPr>
        <w:t>th</w:t>
      </w:r>
      <w:r w:rsidRPr="00027624">
        <w:t xml:space="preserve"> percentile)</w:t>
      </w:r>
      <w:bookmarkEnd w:id="4400"/>
      <w:bookmarkEnd w:id="4401"/>
    </w:p>
    <w:tbl>
      <w:tblPr>
        <w:tblW w:w="4983" w:type="pct"/>
        <w:tblLook w:val="01E0" w:firstRow="1" w:lastRow="1" w:firstColumn="1" w:lastColumn="1" w:noHBand="0" w:noVBand="0"/>
      </w:tblPr>
      <w:tblGrid>
        <w:gridCol w:w="1805"/>
        <w:gridCol w:w="1804"/>
        <w:gridCol w:w="1804"/>
        <w:gridCol w:w="1815"/>
        <w:gridCol w:w="1811"/>
      </w:tblGrid>
      <w:tr w:rsidR="00E96B29" w:rsidRPr="00027624" w14:paraId="45709F60" w14:textId="77777777" w:rsidTr="00E96B29">
        <w:trPr>
          <w:trHeight w:val="220"/>
          <w:tblHeader/>
        </w:trPr>
        <w:tc>
          <w:tcPr>
            <w:tcW w:w="998" w:type="pct"/>
            <w:shd w:val="clear" w:color="auto" w:fill="E5E5E5"/>
          </w:tcPr>
          <w:p w14:paraId="541F7E77" w14:textId="77777777" w:rsidR="00E96B29" w:rsidRPr="00027624" w:rsidRDefault="00E96B29" w:rsidP="00E96B29">
            <w:pPr>
              <w:pStyle w:val="TableTextLeft"/>
              <w:rPr>
                <w:b/>
                <w:color w:val="004A7F"/>
                <w:sz w:val="20"/>
              </w:rPr>
            </w:pPr>
            <w:r w:rsidRPr="00027624">
              <w:rPr>
                <w:b/>
                <w:color w:val="004A7F"/>
                <w:sz w:val="20"/>
              </w:rPr>
              <w:t>Retirement age</w:t>
            </w:r>
          </w:p>
        </w:tc>
        <w:tc>
          <w:tcPr>
            <w:tcW w:w="998" w:type="pct"/>
            <w:shd w:val="clear" w:color="auto" w:fill="E5E5E5"/>
          </w:tcPr>
          <w:p w14:paraId="57437465" w14:textId="77777777" w:rsidR="00E96B29" w:rsidRPr="00027624" w:rsidRDefault="00E96B29" w:rsidP="00E96B29">
            <w:pPr>
              <w:pStyle w:val="TableTextLeft"/>
              <w:jc w:val="center"/>
              <w:rPr>
                <w:b/>
                <w:color w:val="004A7F"/>
                <w:sz w:val="20"/>
              </w:rPr>
            </w:pPr>
            <w:r w:rsidRPr="00027624">
              <w:rPr>
                <w:b/>
                <w:color w:val="004A7F"/>
                <w:sz w:val="20"/>
              </w:rPr>
              <w:t>Employment status from ages 67 to 70</w:t>
            </w:r>
          </w:p>
        </w:tc>
        <w:tc>
          <w:tcPr>
            <w:tcW w:w="998" w:type="pct"/>
            <w:shd w:val="clear" w:color="auto" w:fill="E5E5E5"/>
          </w:tcPr>
          <w:p w14:paraId="51D52660" w14:textId="77777777" w:rsidR="00E96B29" w:rsidRPr="00027624" w:rsidRDefault="00E96B29" w:rsidP="00E96B29">
            <w:pPr>
              <w:pStyle w:val="TableTextLeft"/>
              <w:jc w:val="center"/>
              <w:rPr>
                <w:b/>
                <w:color w:val="004A7F"/>
                <w:sz w:val="20"/>
              </w:rPr>
            </w:pPr>
            <w:r w:rsidRPr="00027624">
              <w:rPr>
                <w:b/>
                <w:color w:val="004A7F"/>
                <w:sz w:val="20"/>
              </w:rPr>
              <w:t>Replacement rate from age of retirement (per cent)</w:t>
            </w:r>
          </w:p>
        </w:tc>
        <w:tc>
          <w:tcPr>
            <w:tcW w:w="1004" w:type="pct"/>
            <w:shd w:val="clear" w:color="auto" w:fill="E5E5E5"/>
          </w:tcPr>
          <w:p w14:paraId="792E08FD" w14:textId="77777777" w:rsidR="00E96B29" w:rsidRPr="00027624" w:rsidRDefault="00E96B29" w:rsidP="00E96B29">
            <w:pPr>
              <w:pStyle w:val="TableTextLeft"/>
              <w:jc w:val="center"/>
              <w:rPr>
                <w:b/>
                <w:color w:val="004A7F"/>
                <w:sz w:val="20"/>
              </w:rPr>
            </w:pPr>
            <w:r w:rsidRPr="00027624">
              <w:rPr>
                <w:b/>
                <w:color w:val="004A7F"/>
                <w:sz w:val="20"/>
              </w:rPr>
              <w:t>Superannuation balance at retirement</w:t>
            </w:r>
          </w:p>
          <w:p w14:paraId="761BC320" w14:textId="77777777" w:rsidR="00E96B29" w:rsidRPr="00027624" w:rsidRDefault="00E96B29" w:rsidP="00E96B29">
            <w:pPr>
              <w:pStyle w:val="TableTextLeft"/>
              <w:jc w:val="center"/>
              <w:rPr>
                <w:b/>
                <w:color w:val="004A7F"/>
                <w:sz w:val="20"/>
              </w:rPr>
            </w:pPr>
            <w:r w:rsidRPr="00027624">
              <w:rPr>
                <w:b/>
                <w:color w:val="004A7F"/>
                <w:sz w:val="20"/>
              </w:rPr>
              <w:t>($)</w:t>
            </w:r>
          </w:p>
        </w:tc>
        <w:tc>
          <w:tcPr>
            <w:tcW w:w="1002" w:type="pct"/>
            <w:shd w:val="clear" w:color="auto" w:fill="E5E5E5"/>
          </w:tcPr>
          <w:p w14:paraId="22198E26" w14:textId="77777777" w:rsidR="00E96B29" w:rsidRPr="00027624" w:rsidRDefault="00E96B29" w:rsidP="00E96B29">
            <w:pPr>
              <w:pStyle w:val="TableTextLeft"/>
              <w:jc w:val="center"/>
              <w:rPr>
                <w:b/>
                <w:color w:val="004A7F"/>
                <w:sz w:val="20"/>
              </w:rPr>
            </w:pPr>
            <w:r w:rsidRPr="00027624">
              <w:rPr>
                <w:b/>
                <w:color w:val="004A7F"/>
                <w:sz w:val="20"/>
              </w:rPr>
              <w:t>Average annual retirement income</w:t>
            </w:r>
          </w:p>
          <w:p w14:paraId="496F1475" w14:textId="77777777" w:rsidR="00E96B29" w:rsidRPr="00027624" w:rsidRDefault="00E96B29" w:rsidP="00E96B29">
            <w:pPr>
              <w:pStyle w:val="TableTextLeft"/>
              <w:jc w:val="center"/>
              <w:rPr>
                <w:b/>
                <w:color w:val="004A7F"/>
                <w:sz w:val="20"/>
              </w:rPr>
            </w:pPr>
            <w:r w:rsidRPr="00027624">
              <w:rPr>
                <w:b/>
                <w:color w:val="004A7F"/>
                <w:sz w:val="20"/>
              </w:rPr>
              <w:t>($)</w:t>
            </w:r>
          </w:p>
        </w:tc>
      </w:tr>
      <w:tr w:rsidR="00E96B29" w:rsidRPr="00027624" w14:paraId="5028F88D" w14:textId="77777777" w:rsidTr="00E96B29">
        <w:trPr>
          <w:trHeight w:val="220"/>
        </w:trPr>
        <w:tc>
          <w:tcPr>
            <w:tcW w:w="998" w:type="pct"/>
          </w:tcPr>
          <w:p w14:paraId="0C9EFBAC" w14:textId="77777777" w:rsidR="00E96B29" w:rsidRPr="00027624" w:rsidRDefault="00E96B29" w:rsidP="00E96B29">
            <w:pPr>
              <w:pStyle w:val="TableTextLeft"/>
            </w:pPr>
            <w:r w:rsidRPr="00027624">
              <w:t>67</w:t>
            </w:r>
          </w:p>
        </w:tc>
        <w:tc>
          <w:tcPr>
            <w:tcW w:w="998" w:type="pct"/>
          </w:tcPr>
          <w:p w14:paraId="4A29A823" w14:textId="77777777" w:rsidR="00E96B29" w:rsidRPr="00027624" w:rsidRDefault="00E96B29" w:rsidP="00E96B29">
            <w:pPr>
              <w:pStyle w:val="TableTextLeft"/>
              <w:jc w:val="center"/>
            </w:pPr>
            <w:r w:rsidRPr="00027624">
              <w:t>Retired</w:t>
            </w:r>
          </w:p>
        </w:tc>
        <w:tc>
          <w:tcPr>
            <w:tcW w:w="998" w:type="pct"/>
            <w:vAlign w:val="bottom"/>
          </w:tcPr>
          <w:p w14:paraId="3B241876" w14:textId="77777777" w:rsidR="00E96B29" w:rsidRPr="00027624" w:rsidRDefault="00E96B29" w:rsidP="00E96B29">
            <w:pPr>
              <w:pStyle w:val="TableTextLeft"/>
              <w:jc w:val="center"/>
              <w:rPr>
                <w:szCs w:val="18"/>
              </w:rPr>
            </w:pPr>
            <w:r w:rsidRPr="00027624">
              <w:rPr>
                <w:szCs w:val="18"/>
              </w:rPr>
              <w:t>69</w:t>
            </w:r>
          </w:p>
        </w:tc>
        <w:tc>
          <w:tcPr>
            <w:tcW w:w="1004" w:type="pct"/>
            <w:vAlign w:val="bottom"/>
          </w:tcPr>
          <w:p w14:paraId="72CB4739" w14:textId="77777777" w:rsidR="00E96B29" w:rsidRPr="00027624" w:rsidRDefault="00E96B29" w:rsidP="00E96B29">
            <w:pPr>
              <w:pStyle w:val="TableTextLeft"/>
              <w:jc w:val="center"/>
              <w:rPr>
                <w:szCs w:val="18"/>
              </w:rPr>
            </w:pPr>
            <w:r w:rsidRPr="00027624">
              <w:rPr>
                <w:szCs w:val="18"/>
              </w:rPr>
              <w:t>804,700</w:t>
            </w:r>
          </w:p>
        </w:tc>
        <w:tc>
          <w:tcPr>
            <w:tcW w:w="1002" w:type="pct"/>
            <w:vAlign w:val="bottom"/>
          </w:tcPr>
          <w:p w14:paraId="7B78462C" w14:textId="77777777" w:rsidR="00E96B29" w:rsidRPr="00027624" w:rsidRDefault="00E96B29" w:rsidP="00E96B29">
            <w:pPr>
              <w:pStyle w:val="TableTextLeft"/>
              <w:jc w:val="center"/>
              <w:rPr>
                <w:szCs w:val="18"/>
              </w:rPr>
            </w:pPr>
            <w:r w:rsidRPr="00027624">
              <w:rPr>
                <w:szCs w:val="18"/>
              </w:rPr>
              <w:t>53,700</w:t>
            </w:r>
          </w:p>
        </w:tc>
      </w:tr>
      <w:tr w:rsidR="00E96B29" w:rsidRPr="00027624" w14:paraId="137149BB" w14:textId="77777777" w:rsidTr="00E96B29">
        <w:trPr>
          <w:trHeight w:val="220"/>
        </w:trPr>
        <w:tc>
          <w:tcPr>
            <w:tcW w:w="998" w:type="pct"/>
          </w:tcPr>
          <w:p w14:paraId="4ED408B9" w14:textId="77777777" w:rsidR="00E96B29" w:rsidRPr="00027624" w:rsidRDefault="00E96B29" w:rsidP="00E96B29">
            <w:pPr>
              <w:pStyle w:val="TableTextLeft"/>
            </w:pPr>
            <w:r w:rsidRPr="00027624">
              <w:t>70</w:t>
            </w:r>
          </w:p>
        </w:tc>
        <w:tc>
          <w:tcPr>
            <w:tcW w:w="998" w:type="pct"/>
          </w:tcPr>
          <w:p w14:paraId="375F7055" w14:textId="77777777" w:rsidR="00E96B29" w:rsidRPr="00027624" w:rsidRDefault="00E96B29" w:rsidP="00E96B29">
            <w:pPr>
              <w:pStyle w:val="TableTextLeft"/>
              <w:jc w:val="center"/>
            </w:pPr>
            <w:r w:rsidRPr="00027624">
              <w:t>Receive three</w:t>
            </w:r>
            <w:r w:rsidR="00A8443E" w:rsidRPr="00027624">
              <w:noBreakHyphen/>
            </w:r>
            <w:r w:rsidRPr="00027624">
              <w:t>quarters of normal wage</w:t>
            </w:r>
          </w:p>
        </w:tc>
        <w:tc>
          <w:tcPr>
            <w:tcW w:w="998" w:type="pct"/>
            <w:vAlign w:val="bottom"/>
          </w:tcPr>
          <w:p w14:paraId="63653F86" w14:textId="77777777" w:rsidR="00E96B29" w:rsidRPr="00027624" w:rsidRDefault="00E96B29" w:rsidP="00E96B29">
            <w:pPr>
              <w:pStyle w:val="TableTextLeft"/>
              <w:jc w:val="center"/>
              <w:rPr>
                <w:szCs w:val="18"/>
              </w:rPr>
            </w:pPr>
            <w:r w:rsidRPr="00027624">
              <w:rPr>
                <w:szCs w:val="18"/>
              </w:rPr>
              <w:t>78</w:t>
            </w:r>
          </w:p>
        </w:tc>
        <w:tc>
          <w:tcPr>
            <w:tcW w:w="1004" w:type="pct"/>
            <w:vAlign w:val="bottom"/>
          </w:tcPr>
          <w:p w14:paraId="3E42DEEE" w14:textId="77777777" w:rsidR="00E96B29" w:rsidRPr="00027624" w:rsidRDefault="00E96B29" w:rsidP="00E96B29">
            <w:pPr>
              <w:pStyle w:val="TableTextLeft"/>
              <w:jc w:val="center"/>
              <w:rPr>
                <w:szCs w:val="18"/>
              </w:rPr>
            </w:pPr>
            <w:r w:rsidRPr="00027624">
              <w:rPr>
                <w:szCs w:val="18"/>
              </w:rPr>
              <w:t>891,500</w:t>
            </w:r>
          </w:p>
        </w:tc>
        <w:tc>
          <w:tcPr>
            <w:tcW w:w="1002" w:type="pct"/>
            <w:vAlign w:val="bottom"/>
          </w:tcPr>
          <w:p w14:paraId="266F35D7" w14:textId="77777777" w:rsidR="00E96B29" w:rsidRPr="00027624" w:rsidRDefault="00E96B29" w:rsidP="00E96B29">
            <w:pPr>
              <w:pStyle w:val="TableTextLeft"/>
              <w:jc w:val="center"/>
              <w:rPr>
                <w:szCs w:val="18"/>
              </w:rPr>
            </w:pPr>
            <w:r w:rsidRPr="00027624">
              <w:rPr>
                <w:szCs w:val="18"/>
              </w:rPr>
              <w:t>60,600</w:t>
            </w:r>
          </w:p>
        </w:tc>
      </w:tr>
      <w:tr w:rsidR="00E96B29" w:rsidRPr="00027624" w14:paraId="78A30F5C" w14:textId="77777777" w:rsidTr="00E96B29">
        <w:trPr>
          <w:trHeight w:val="220"/>
        </w:trPr>
        <w:tc>
          <w:tcPr>
            <w:tcW w:w="998" w:type="pct"/>
          </w:tcPr>
          <w:p w14:paraId="7C264F7D" w14:textId="77777777" w:rsidR="00E96B29" w:rsidRPr="00027624" w:rsidRDefault="00E96B29" w:rsidP="00E96B29">
            <w:pPr>
              <w:pStyle w:val="TableTextLeft"/>
            </w:pPr>
            <w:r w:rsidRPr="00027624">
              <w:t>70</w:t>
            </w:r>
          </w:p>
        </w:tc>
        <w:tc>
          <w:tcPr>
            <w:tcW w:w="998" w:type="pct"/>
          </w:tcPr>
          <w:p w14:paraId="64C47654" w14:textId="77777777" w:rsidR="00E96B29" w:rsidRPr="00027624" w:rsidRDefault="00E96B29" w:rsidP="00E96B29">
            <w:pPr>
              <w:pStyle w:val="TableTextLeft"/>
              <w:jc w:val="center"/>
            </w:pPr>
            <w:r w:rsidRPr="00027624">
              <w:t>Receive normal wage</w:t>
            </w:r>
          </w:p>
        </w:tc>
        <w:tc>
          <w:tcPr>
            <w:tcW w:w="998" w:type="pct"/>
            <w:vAlign w:val="bottom"/>
          </w:tcPr>
          <w:p w14:paraId="5FFC6189" w14:textId="77777777" w:rsidR="00E96B29" w:rsidRPr="00027624" w:rsidRDefault="00E96B29" w:rsidP="00E96B29">
            <w:pPr>
              <w:pStyle w:val="TableTextLeft"/>
              <w:jc w:val="center"/>
              <w:rPr>
                <w:szCs w:val="18"/>
              </w:rPr>
            </w:pPr>
            <w:r w:rsidRPr="00027624">
              <w:rPr>
                <w:szCs w:val="18"/>
              </w:rPr>
              <w:t>79</w:t>
            </w:r>
          </w:p>
        </w:tc>
        <w:tc>
          <w:tcPr>
            <w:tcW w:w="1004" w:type="pct"/>
            <w:vAlign w:val="bottom"/>
          </w:tcPr>
          <w:p w14:paraId="7036A99F" w14:textId="77777777" w:rsidR="00E96B29" w:rsidRPr="00027624" w:rsidRDefault="00E96B29" w:rsidP="00E96B29">
            <w:pPr>
              <w:pStyle w:val="TableTextLeft"/>
              <w:jc w:val="center"/>
              <w:rPr>
                <w:szCs w:val="18"/>
              </w:rPr>
            </w:pPr>
            <w:r w:rsidRPr="00027624">
              <w:rPr>
                <w:szCs w:val="18"/>
              </w:rPr>
              <w:t>904,400</w:t>
            </w:r>
          </w:p>
        </w:tc>
        <w:tc>
          <w:tcPr>
            <w:tcW w:w="1002" w:type="pct"/>
            <w:vAlign w:val="bottom"/>
          </w:tcPr>
          <w:p w14:paraId="7C162554" w14:textId="77777777" w:rsidR="00E96B29" w:rsidRPr="00027624" w:rsidRDefault="00E96B29" w:rsidP="00E96B29">
            <w:pPr>
              <w:pStyle w:val="TableTextLeft"/>
              <w:keepNext/>
              <w:jc w:val="center"/>
              <w:rPr>
                <w:szCs w:val="18"/>
              </w:rPr>
            </w:pPr>
            <w:r w:rsidRPr="00027624">
              <w:rPr>
                <w:szCs w:val="18"/>
              </w:rPr>
              <w:t>61,200</w:t>
            </w:r>
          </w:p>
        </w:tc>
      </w:tr>
    </w:tbl>
    <w:p w14:paraId="22912267" w14:textId="5EA6B639" w:rsidR="00E96B29" w:rsidRPr="00027624" w:rsidRDefault="00E96B29" w:rsidP="00E96B29">
      <w:pPr>
        <w:pStyle w:val="ChartorTableNote"/>
      </w:pPr>
      <w:bookmarkStart w:id="4402" w:name="_Toc42703215"/>
      <w:r w:rsidRPr="00027624">
        <w:t xml:space="preserve">Note: See </w:t>
      </w:r>
      <w:r w:rsidRPr="00027624">
        <w:fldChar w:fldCharType="begin"/>
      </w:r>
      <w:r w:rsidRPr="00027624">
        <w:instrText xml:space="preserve"> REF _Ref43389075 \r \h  \* MERGEFORMAT </w:instrText>
      </w:r>
      <w:r w:rsidRPr="00027624">
        <w:fldChar w:fldCharType="separate"/>
      </w:r>
      <w:r w:rsidR="00891058">
        <w:t>Table 6D-4</w:t>
      </w:r>
      <w:r w:rsidRPr="00027624">
        <w:fldChar w:fldCharType="end"/>
      </w:r>
      <w:r w:rsidRPr="00027624">
        <w:t>. Source: Cameo modelling undertaken for the review.</w:t>
      </w:r>
    </w:p>
    <w:p w14:paraId="34E18523" w14:textId="77777777" w:rsidR="00E96B29" w:rsidRPr="00027624" w:rsidRDefault="00E96B29" w:rsidP="00791570">
      <w:pPr>
        <w:pStyle w:val="Heading2"/>
        <w:spacing w:before="240"/>
        <w:rPr>
          <w:rStyle w:val="Heading3Char"/>
          <w:b/>
          <w:color w:val="604878" w:themeColor="accent3"/>
          <w:sz w:val="36"/>
          <w:szCs w:val="28"/>
        </w:rPr>
      </w:pPr>
      <w:bookmarkStart w:id="4403" w:name="_Toc42703216"/>
      <w:bookmarkStart w:id="4404" w:name="_Toc42857777"/>
      <w:bookmarkStart w:id="4405" w:name="_Toc45520577"/>
      <w:bookmarkStart w:id="4406" w:name="_Toc46133689"/>
      <w:bookmarkEnd w:id="4402"/>
      <w:r w:rsidRPr="00027624">
        <w:rPr>
          <w:rStyle w:val="Heading3Char"/>
          <w:b/>
          <w:color w:val="604878" w:themeColor="accent3"/>
          <w:sz w:val="36"/>
          <w:szCs w:val="28"/>
        </w:rPr>
        <w:t>Intergenerational equity</w:t>
      </w:r>
      <w:bookmarkEnd w:id="4403"/>
      <w:bookmarkEnd w:id="4404"/>
      <w:bookmarkEnd w:id="4405"/>
      <w:bookmarkEnd w:id="4406"/>
    </w:p>
    <w:p w14:paraId="4ABD60A3" w14:textId="77777777" w:rsidR="00E96B29" w:rsidRPr="00027624" w:rsidRDefault="00E96B29" w:rsidP="00E96B29">
      <w:pPr>
        <w:pStyle w:val="ChartMainHeading"/>
        <w:rPr>
          <w:rFonts w:eastAsiaTheme="minorHAnsi"/>
        </w:rPr>
      </w:pPr>
      <w:r w:rsidRPr="00027624">
        <w:rPr>
          <w:rFonts w:eastAsiaTheme="minorHAnsi"/>
        </w:rPr>
        <w:t>Past and projected generational transfer cost as a proportion of wages</w:t>
      </w:r>
    </w:p>
    <w:p w14:paraId="5E312DA5" w14:textId="77777777" w:rsidR="00E96B29" w:rsidRPr="00027624" w:rsidRDefault="00A85430" w:rsidP="0094088B">
      <w:pPr>
        <w:pStyle w:val="ChartGraphic"/>
      </w:pPr>
      <w:r>
        <w:rPr>
          <w:noProof/>
        </w:rPr>
        <w:drawing>
          <wp:inline distT="0" distB="0" distL="0" distR="0" wp14:anchorId="317E3FC0" wp14:editId="536082D0">
            <wp:extent cx="5585460" cy="2552700"/>
            <wp:effectExtent l="0" t="0" r="0" b="0"/>
            <wp:docPr id="679974606" name="Picture 679974606" descr="This chart illustrates the historical and projected ‘generational transfer cost’ (of the Age Pension and superannuation earnings concessions retirees receive) as a proportion of wages. The cost was broadly similar at around 3 per cent in 1979-80, 1999-2000 and 2019.  There are four scenarios projected for 2059. In a ‘1 per cent wage growth’ or ‘lower superannuation fees’ scenario, the cost is projected to be broadly similar to 2019. In a scenario of ‘lower investment returns’ or ‘no real wage growth’ the cost is projected to increase, to around 4.5 per cent and 5.5 per cent respectively." title="Chart 6D-18 Past and projected generational transfer cost as a proportion of w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585460" cy="2552700"/>
                    </a:xfrm>
                    <a:prstGeom prst="rect">
                      <a:avLst/>
                    </a:prstGeom>
                    <a:noFill/>
                  </pic:spPr>
                </pic:pic>
              </a:graphicData>
            </a:graphic>
          </wp:inline>
        </w:drawing>
      </w:r>
    </w:p>
    <w:p w14:paraId="1FB10A61" w14:textId="77777777" w:rsidR="00E95B71" w:rsidRDefault="00E96B29" w:rsidP="0094088B">
      <w:pPr>
        <w:pStyle w:val="ChartorTableNote"/>
        <w:rPr>
          <w:rFonts w:eastAsiaTheme="minorHAnsi"/>
          <w:lang w:eastAsia="en-US"/>
        </w:rPr>
        <w:sectPr w:rsidR="00E95B71" w:rsidSect="00E87653">
          <w:headerReference w:type="even" r:id="rId500"/>
          <w:footerReference w:type="even" r:id="rId501"/>
          <w:pgSz w:w="11906" w:h="16838" w:code="9"/>
          <w:pgMar w:top="1418" w:right="1418" w:bottom="1418" w:left="1418" w:header="709" w:footer="709" w:gutter="0"/>
          <w:cols w:space="708"/>
          <w:titlePg/>
          <w:docGrid w:linePitch="360"/>
        </w:sectPr>
      </w:pPr>
      <w:r w:rsidRPr="00027624">
        <w:rPr>
          <w:rFonts w:eastAsiaTheme="minorHAnsi"/>
          <w:lang w:eastAsia="en-US"/>
        </w:rPr>
        <w:t xml:space="preserve">Note: Generational transfer cost is </w:t>
      </w:r>
      <w:r w:rsidRPr="00027624">
        <w:t>the annual cost per working</w:t>
      </w:r>
      <w:r w:rsidR="00A8443E" w:rsidRPr="00027624">
        <w:noBreakHyphen/>
      </w:r>
      <w:r w:rsidRPr="00027624">
        <w:t xml:space="preserve">age person of the </w:t>
      </w:r>
      <w:r w:rsidRPr="00027624" w:rsidDel="0068007C">
        <w:t>Age</w:t>
      </w:r>
      <w:r w:rsidRPr="00027624">
        <w:t> Pension and superannuation earnings tax concessions retirees receive.</w:t>
      </w:r>
      <w:r w:rsidRPr="00027624">
        <w:rPr>
          <w:rFonts w:eastAsiaTheme="minorHAnsi"/>
          <w:lang w:eastAsia="en-US"/>
        </w:rPr>
        <w:t xml:space="preserve"> Assumes CPI growth is 2.5</w:t>
      </w:r>
      <w:r w:rsidRPr="00027624" w:rsidDel="0068007C">
        <w:rPr>
          <w:rFonts w:eastAsiaTheme="minorHAnsi"/>
          <w:lang w:eastAsia="en-US"/>
        </w:rPr>
        <w:t> per cent</w:t>
      </w:r>
      <w:r w:rsidRPr="00027624">
        <w:rPr>
          <w:rFonts w:eastAsiaTheme="minorHAnsi"/>
          <w:lang w:eastAsia="en-US"/>
        </w:rPr>
        <w:t xml:space="preserve"> per year. Wages in 1979</w:t>
      </w:r>
      <w:r w:rsidR="00A8443E" w:rsidRPr="00027624">
        <w:rPr>
          <w:rFonts w:eastAsiaTheme="minorHAnsi"/>
          <w:lang w:eastAsia="en-US"/>
        </w:rPr>
        <w:noBreakHyphen/>
      </w:r>
      <w:r w:rsidRPr="00027624">
        <w:rPr>
          <w:rFonts w:eastAsiaTheme="minorHAnsi"/>
          <w:lang w:eastAsia="en-US"/>
        </w:rPr>
        <w:t xml:space="preserve">80 refers to </w:t>
      </w:r>
      <w:r w:rsidR="00A8443E" w:rsidRPr="00027624">
        <w:rPr>
          <w:rFonts w:eastAsiaTheme="minorHAnsi"/>
          <w:lang w:eastAsia="en-US"/>
        </w:rPr>
        <w:t>‘</w:t>
      </w:r>
      <w:r w:rsidRPr="00027624">
        <w:rPr>
          <w:rFonts w:eastAsiaTheme="minorHAnsi"/>
          <w:lang w:eastAsia="en-US"/>
        </w:rPr>
        <w:t>average weekly earnings per employed male unit</w:t>
      </w:r>
      <w:r w:rsidR="00A8443E" w:rsidRPr="00027624">
        <w:rPr>
          <w:rFonts w:eastAsiaTheme="minorHAnsi"/>
          <w:lang w:eastAsia="en-US"/>
        </w:rPr>
        <w:t>’</w:t>
      </w:r>
      <w:r w:rsidRPr="00027624">
        <w:rPr>
          <w:rFonts w:eastAsiaTheme="minorHAnsi"/>
          <w:lang w:eastAsia="en-US"/>
        </w:rPr>
        <w:t xml:space="preserve"> in September 1979; in 1999</w:t>
      </w:r>
      <w:r w:rsidR="00A8443E" w:rsidRPr="00027624">
        <w:rPr>
          <w:rFonts w:eastAsiaTheme="minorHAnsi"/>
          <w:lang w:eastAsia="en-US"/>
        </w:rPr>
        <w:noBreakHyphen/>
      </w:r>
      <w:r w:rsidRPr="00027624">
        <w:rPr>
          <w:rFonts w:eastAsiaTheme="minorHAnsi"/>
          <w:lang w:eastAsia="en-US"/>
        </w:rPr>
        <w:t xml:space="preserve">2000 and 2019 it refers to </w:t>
      </w:r>
      <w:r w:rsidR="00A8443E" w:rsidRPr="00027624">
        <w:rPr>
          <w:rFonts w:eastAsiaTheme="minorHAnsi"/>
          <w:lang w:eastAsia="en-US"/>
        </w:rPr>
        <w:t>‘</w:t>
      </w:r>
      <w:r w:rsidRPr="00027624">
        <w:rPr>
          <w:rFonts w:eastAsiaTheme="minorHAnsi"/>
          <w:lang w:eastAsia="en-US"/>
        </w:rPr>
        <w:t>Earnings; Persons; Full</w:t>
      </w:r>
      <w:r w:rsidR="00A8443E" w:rsidRPr="00027624">
        <w:rPr>
          <w:rFonts w:eastAsiaTheme="minorHAnsi"/>
          <w:lang w:eastAsia="en-US"/>
        </w:rPr>
        <w:noBreakHyphen/>
      </w:r>
      <w:r w:rsidRPr="00027624">
        <w:rPr>
          <w:rFonts w:eastAsiaTheme="minorHAnsi"/>
          <w:lang w:eastAsia="en-US"/>
        </w:rPr>
        <w:t>Time; Adult; Total earnings</w:t>
      </w:r>
      <w:r w:rsidR="00A8443E" w:rsidRPr="00027624">
        <w:rPr>
          <w:rFonts w:eastAsiaTheme="minorHAnsi"/>
          <w:lang w:eastAsia="en-US"/>
        </w:rPr>
        <w:t>’</w:t>
      </w:r>
      <w:r w:rsidRPr="00027624">
        <w:rPr>
          <w:rFonts w:eastAsiaTheme="minorHAnsi"/>
          <w:lang w:eastAsia="en-US"/>
        </w:rPr>
        <w:t xml:space="preserve"> in November 1999 and November 2019, respectively. Earnings tax concessions are not included before 2019 due to data limitations. Data points vary between financial and calendar years to align with the time period of the underlying data. </w:t>
      </w:r>
      <w:r w:rsidRPr="00027624">
        <w:t xml:space="preserve">See </w:t>
      </w:r>
      <w:r w:rsidRPr="00027624">
        <w:rPr>
          <w:i/>
        </w:rPr>
        <w:t>Appendix 6A. Detailed modelling methods and assumptions</w:t>
      </w:r>
      <w:r w:rsidRPr="00027624">
        <w:t xml:space="preserve"> for additional assumptions used in the lower investment returns and lower fees scenarios.</w:t>
      </w:r>
      <w:r w:rsidRPr="00027624">
        <w:rPr>
          <w:rFonts w:eastAsiaTheme="minorHAnsi"/>
          <w:lang w:eastAsia="en-US"/>
        </w:rPr>
        <w:t xml:space="preserve"> </w:t>
      </w:r>
      <w:r w:rsidRPr="00027624">
        <w:t xml:space="preserve">Source: Year Book 1981 and 2001 </w:t>
      </w:r>
      <w:sdt>
        <w:sdtPr>
          <w:rPr>
            <w:rFonts w:eastAsiaTheme="minorHAnsi"/>
            <w:lang w:eastAsia="en-US"/>
          </w:rPr>
          <w:id w:val="-586305305"/>
          <w:citation/>
        </w:sdtPr>
        <w:sdtEndPr/>
        <w:sdtContent>
          <w:r w:rsidRPr="00027624">
            <w:rPr>
              <w:rFonts w:eastAsiaTheme="minorHAnsi"/>
              <w:lang w:eastAsia="en-US"/>
            </w:rPr>
            <w:fldChar w:fldCharType="begin"/>
          </w:r>
          <w:r w:rsidRPr="00027624">
            <w:rPr>
              <w:rFonts w:eastAsiaTheme="minorHAnsi"/>
              <w:lang w:eastAsia="en-US"/>
            </w:rPr>
            <w:instrText xml:space="preserve">CITATION Placeholder1 \l 3081 </w:instrText>
          </w:r>
          <w:r w:rsidRPr="00027624">
            <w:rPr>
              <w:rFonts w:eastAsiaTheme="minorHAnsi"/>
              <w:lang w:eastAsia="en-US"/>
            </w:rPr>
            <w:fldChar w:fldCharType="separate"/>
          </w:r>
          <w:r w:rsidR="00E83F6E" w:rsidRPr="00E83F6E">
            <w:rPr>
              <w:rFonts w:eastAsiaTheme="minorHAnsi"/>
              <w:noProof/>
              <w:lang w:eastAsia="en-US"/>
            </w:rPr>
            <w:t>(ABS, 2018g)</w:t>
          </w:r>
          <w:r w:rsidRPr="00027624">
            <w:rPr>
              <w:rFonts w:eastAsiaTheme="minorHAnsi"/>
              <w:lang w:eastAsia="en-US"/>
            </w:rPr>
            <w:fldChar w:fldCharType="end"/>
          </w:r>
        </w:sdtContent>
      </w:sdt>
      <w:sdt>
        <w:sdtPr>
          <w:rPr>
            <w:rFonts w:eastAsiaTheme="minorHAnsi"/>
            <w:lang w:eastAsia="en-US"/>
          </w:rPr>
          <w:id w:val="-366065555"/>
          <w:citation/>
        </w:sdtPr>
        <w:sdtEndPr/>
        <w:sdtContent>
          <w:r w:rsidRPr="00027624">
            <w:rPr>
              <w:rFonts w:eastAsiaTheme="minorHAnsi"/>
              <w:lang w:eastAsia="en-US"/>
            </w:rPr>
            <w:fldChar w:fldCharType="begin"/>
          </w:r>
          <w:r w:rsidRPr="00027624">
            <w:rPr>
              <w:rFonts w:eastAsiaTheme="minorHAnsi"/>
              <w:lang w:eastAsia="en-US"/>
            </w:rPr>
            <w:instrText xml:space="preserve"> CITATION ABS197 \l 3081 </w:instrText>
          </w:r>
          <w:r w:rsidRPr="00027624">
            <w:rPr>
              <w:rFonts w:eastAsiaTheme="minorHAnsi"/>
              <w:lang w:eastAsia="en-US"/>
            </w:rPr>
            <w:fldChar w:fldCharType="separate"/>
          </w:r>
          <w:r w:rsidR="00E83F6E">
            <w:rPr>
              <w:rFonts w:eastAsiaTheme="minorHAnsi"/>
              <w:noProof/>
              <w:lang w:eastAsia="en-US"/>
            </w:rPr>
            <w:t xml:space="preserve"> </w:t>
          </w:r>
          <w:r w:rsidR="00E83F6E" w:rsidRPr="00E83F6E">
            <w:rPr>
              <w:rFonts w:eastAsiaTheme="minorHAnsi"/>
              <w:noProof/>
              <w:lang w:eastAsia="en-US"/>
            </w:rPr>
            <w:t>(ABS, 2019b)</w:t>
          </w:r>
          <w:r w:rsidRPr="00027624">
            <w:rPr>
              <w:rFonts w:eastAsiaTheme="minorHAnsi"/>
              <w:lang w:eastAsia="en-US"/>
            </w:rPr>
            <w:fldChar w:fldCharType="end"/>
          </w:r>
        </w:sdtContent>
      </w:sdt>
      <w:r w:rsidR="0000551B">
        <w:rPr>
          <w:rFonts w:eastAsiaTheme="minorHAnsi"/>
          <w:lang w:eastAsia="en-US"/>
        </w:rPr>
        <w:t>,</w:t>
      </w:r>
      <w:sdt>
        <w:sdtPr>
          <w:id w:val="-1715259280"/>
          <w:citation/>
        </w:sdtPr>
        <w:sdtEndPr/>
        <w:sdtContent>
          <w:r w:rsidR="00AE2BB3" w:rsidRPr="00027624">
            <w:fldChar w:fldCharType="begin"/>
          </w:r>
          <w:r w:rsidR="00AE2BB3" w:rsidRPr="00027624">
            <w:instrText xml:space="preserve"> CITATION ABS20d \l 3081 </w:instrText>
          </w:r>
          <w:r w:rsidR="00AE2BB3" w:rsidRPr="00027624">
            <w:fldChar w:fldCharType="separate"/>
          </w:r>
          <w:r w:rsidR="00E83F6E">
            <w:rPr>
              <w:noProof/>
            </w:rPr>
            <w:t xml:space="preserve"> (ABS, 2020d)</w:t>
          </w:r>
          <w:r w:rsidR="00AE2BB3" w:rsidRPr="00027624">
            <w:fldChar w:fldCharType="end"/>
          </w:r>
        </w:sdtContent>
      </w:sdt>
      <w:r w:rsidRPr="00027624">
        <w:rPr>
          <w:rFonts w:eastAsiaTheme="minorHAnsi"/>
          <w:lang w:eastAsia="en-US"/>
        </w:rPr>
        <w:t>; Analysis of Rice Warner estimates for the review.</w:t>
      </w:r>
      <w:bookmarkEnd w:id="4367"/>
    </w:p>
    <w:p w14:paraId="65E7F33E" w14:textId="77777777" w:rsidR="00E96B29" w:rsidRPr="00027624" w:rsidRDefault="00E96B29" w:rsidP="00E96B29">
      <w:pPr>
        <w:pStyle w:val="Heading1"/>
      </w:pPr>
      <w:bookmarkStart w:id="4407" w:name="_Toc31209606"/>
      <w:bookmarkStart w:id="4408" w:name="_Toc31270972"/>
      <w:bookmarkStart w:id="4409" w:name="_Toc31274416"/>
      <w:bookmarkStart w:id="4410" w:name="_Toc31276248"/>
      <w:bookmarkStart w:id="4411" w:name="_Toc31352255"/>
      <w:bookmarkStart w:id="4412" w:name="_Toc31720398"/>
      <w:bookmarkStart w:id="4413" w:name="_Toc34645463"/>
      <w:bookmarkStart w:id="4414" w:name="_Toc45520578"/>
      <w:bookmarkStart w:id="4415" w:name="_Toc46133690"/>
      <w:r w:rsidRPr="00027624">
        <w:t>Consultation process</w:t>
      </w:r>
      <w:bookmarkEnd w:id="4407"/>
      <w:bookmarkEnd w:id="4408"/>
      <w:bookmarkEnd w:id="4409"/>
      <w:bookmarkEnd w:id="4410"/>
      <w:bookmarkEnd w:id="4411"/>
      <w:bookmarkEnd w:id="4412"/>
      <w:bookmarkEnd w:id="4413"/>
      <w:bookmarkEnd w:id="4414"/>
      <w:bookmarkEnd w:id="4415"/>
    </w:p>
    <w:p w14:paraId="0E6B80B8" w14:textId="77777777" w:rsidR="00E96B29" w:rsidRPr="00027624" w:rsidRDefault="00E96B29" w:rsidP="00F6748F">
      <w:pPr>
        <w:pStyle w:val="Heading2"/>
        <w:spacing w:before="200"/>
      </w:pPr>
      <w:bookmarkStart w:id="4416" w:name="_Toc45520579"/>
      <w:bookmarkStart w:id="4417" w:name="_Toc46133691"/>
      <w:r w:rsidRPr="00027624">
        <w:t>Approach to the review</w:t>
      </w:r>
      <w:bookmarkEnd w:id="4416"/>
      <w:bookmarkEnd w:id="4417"/>
    </w:p>
    <w:p w14:paraId="4D35DB99" w14:textId="77777777" w:rsidR="00E96B29" w:rsidRPr="00027624" w:rsidRDefault="00E96B29" w:rsidP="00E96B29">
      <w:r w:rsidRPr="00027624">
        <w:t>The panel has taken a consultative approach to the Retirement Income Review (the review).</w:t>
      </w:r>
    </w:p>
    <w:p w14:paraId="263664BC" w14:textId="77777777" w:rsidR="00E96B29" w:rsidRPr="00027624" w:rsidRDefault="00E96B29" w:rsidP="00E96B29">
      <w:r w:rsidRPr="00027624">
        <w:t>A consultation paper was released on 22 November 2019, with the panel inviting public submissions until 3 February 2020. The review received over 430 submissions in response to the consultation paper.</w:t>
      </w:r>
    </w:p>
    <w:p w14:paraId="0FC34635" w14:textId="77777777" w:rsidR="00E96B29" w:rsidRPr="00027624" w:rsidRDefault="00E96B29" w:rsidP="00E96B29">
      <w:r w:rsidRPr="00027624">
        <w:t xml:space="preserve">In addition to formal submissions, the panel held two information sessions early in the consultation process. Panel members conducted numerous meetings with key stakeholders and held a technical </w:t>
      </w:r>
      <w:r w:rsidRPr="00027624" w:rsidDel="00403EBB">
        <w:t>r</w:t>
      </w:r>
      <w:r w:rsidRPr="00027624">
        <w:t>oundtable to consider the results of scenario modelling.</w:t>
      </w:r>
    </w:p>
    <w:p w14:paraId="516924C9" w14:textId="77777777" w:rsidR="00E96B29" w:rsidRPr="00027624" w:rsidRDefault="00E96B29" w:rsidP="00F6748F">
      <w:pPr>
        <w:pStyle w:val="Heading2"/>
        <w:spacing w:before="200"/>
      </w:pPr>
      <w:bookmarkStart w:id="4418" w:name="_Toc45520580"/>
      <w:bookmarkStart w:id="4419" w:name="_Toc46133692"/>
      <w:r w:rsidRPr="00027624">
        <w:t>Consultation</w:t>
      </w:r>
      <w:bookmarkEnd w:id="4418"/>
      <w:bookmarkEnd w:id="4419"/>
    </w:p>
    <w:p w14:paraId="49B52270" w14:textId="77777777" w:rsidR="00E96B29" w:rsidRPr="00027624" w:rsidRDefault="00E96B29" w:rsidP="00F6748F">
      <w:pPr>
        <w:pStyle w:val="Heading3"/>
        <w:spacing w:before="200"/>
      </w:pPr>
      <w:r w:rsidRPr="00027624">
        <w:t>Panel and secretariat meetings</w:t>
      </w:r>
    </w:p>
    <w:p w14:paraId="44F70059" w14:textId="77777777" w:rsidR="00E96B29" w:rsidRPr="00027624" w:rsidRDefault="00E96B29" w:rsidP="00E96B29">
      <w:r w:rsidRPr="00027624">
        <w:t>The panel met with the secretariat on over 40 occasions, with meetings being held both face</w:t>
      </w:r>
      <w:r w:rsidR="00A8443E" w:rsidRPr="00027624">
        <w:noBreakHyphen/>
      </w:r>
      <w:r w:rsidRPr="00027624">
        <w:t>to</w:t>
      </w:r>
      <w:r w:rsidR="00A8443E" w:rsidRPr="00027624">
        <w:noBreakHyphen/>
      </w:r>
      <w:r w:rsidRPr="00027624">
        <w:t>face and via video conference.</w:t>
      </w:r>
    </w:p>
    <w:p w14:paraId="52D5321E" w14:textId="77777777" w:rsidR="00E96B29" w:rsidRPr="00027624" w:rsidRDefault="00E96B29" w:rsidP="00F6748F">
      <w:pPr>
        <w:pStyle w:val="Heading3"/>
        <w:spacing w:before="200"/>
      </w:pPr>
      <w:r w:rsidRPr="00027624">
        <w:t>Stakeholder meetings</w:t>
      </w:r>
    </w:p>
    <w:p w14:paraId="57F0964B" w14:textId="2DFE4CFE" w:rsidR="00E96B29" w:rsidRPr="00027624" w:rsidRDefault="00E96B29" w:rsidP="00E96B29">
      <w:r w:rsidRPr="00027624">
        <w:t>After releasing the consultation paper on 22 November 2019, the panel hosted two information sessions attended by representative bodies, academics and policy and research entities as well as representatives from the financial services industry (</w:t>
      </w:r>
      <w:r w:rsidRPr="00027624">
        <w:fldChar w:fldCharType="begin"/>
      </w:r>
      <w:r w:rsidRPr="00027624">
        <w:instrText xml:space="preserve"> REF _Ref43378949 \r \h  \* MERGEFORMAT </w:instrText>
      </w:r>
      <w:r w:rsidRPr="00027624">
        <w:fldChar w:fldCharType="separate"/>
      </w:r>
      <w:r w:rsidR="00891058">
        <w:t>Table 6E-1</w:t>
      </w:r>
      <w:r w:rsidRPr="00027624">
        <w:fldChar w:fldCharType="end"/>
      </w:r>
      <w:r w:rsidRPr="00027624">
        <w:t>).</w:t>
      </w:r>
    </w:p>
    <w:p w14:paraId="43C29C94" w14:textId="77777777" w:rsidR="00E96B29" w:rsidRPr="00027624" w:rsidRDefault="00E96B29" w:rsidP="00E96B29">
      <w:pPr>
        <w:pStyle w:val="TableMainHeading"/>
      </w:pPr>
      <w:bookmarkStart w:id="4420" w:name="_Ref43378949"/>
      <w:r w:rsidRPr="00027624">
        <w:t>Information session attendees</w:t>
      </w:r>
      <w:bookmarkEnd w:id="4420"/>
    </w:p>
    <w:tbl>
      <w:tblPr>
        <w:tblW w:w="5010" w:type="pct"/>
        <w:tblInd w:w="-5" w:type="dxa"/>
        <w:tblLook w:val="01E0" w:firstRow="1" w:lastRow="1" w:firstColumn="1" w:lastColumn="1" w:noHBand="0" w:noVBand="0"/>
      </w:tblPr>
      <w:tblGrid>
        <w:gridCol w:w="2910"/>
        <w:gridCol w:w="3175"/>
        <w:gridCol w:w="2979"/>
        <w:gridCol w:w="24"/>
      </w:tblGrid>
      <w:tr w:rsidR="00E96B29" w:rsidRPr="00027624" w14:paraId="30E24504" w14:textId="77777777" w:rsidTr="00325A8D">
        <w:trPr>
          <w:gridAfter w:val="1"/>
          <w:wAfter w:w="13" w:type="pct"/>
          <w:trHeight w:val="599"/>
          <w:tblHeader/>
        </w:trPr>
        <w:tc>
          <w:tcPr>
            <w:tcW w:w="1601" w:type="pct"/>
            <w:shd w:val="clear" w:color="auto" w:fill="E5E5E5"/>
          </w:tcPr>
          <w:p w14:paraId="1BFDB1BC" w14:textId="77777777" w:rsidR="00E96B29" w:rsidRPr="00027624" w:rsidRDefault="00E96B29" w:rsidP="00E96B29">
            <w:pPr>
              <w:pStyle w:val="TableColumnHeadingLeft"/>
              <w:jc w:val="center"/>
            </w:pPr>
            <w:r w:rsidRPr="00027624">
              <w:br w:type="page"/>
              <w:t>Melbourne information session</w:t>
            </w:r>
          </w:p>
          <w:p w14:paraId="6E983636" w14:textId="77777777" w:rsidR="00E96B29" w:rsidRPr="00027624" w:rsidRDefault="00E96B29" w:rsidP="00E96B29">
            <w:pPr>
              <w:pStyle w:val="TableColumnHeadingLeft"/>
              <w:jc w:val="center"/>
            </w:pPr>
            <w:r w:rsidRPr="00027624">
              <w:t>9 December 2019</w:t>
            </w:r>
          </w:p>
        </w:tc>
        <w:tc>
          <w:tcPr>
            <w:tcW w:w="3386" w:type="pct"/>
            <w:gridSpan w:val="2"/>
            <w:shd w:val="clear" w:color="auto" w:fill="E5E5E5"/>
          </w:tcPr>
          <w:p w14:paraId="6064A94E" w14:textId="77777777" w:rsidR="00E96B29" w:rsidRPr="00027624" w:rsidRDefault="00E96B29" w:rsidP="00E96B29">
            <w:pPr>
              <w:pStyle w:val="TableColumnHeadingLeft"/>
              <w:jc w:val="center"/>
            </w:pPr>
            <w:r w:rsidRPr="00027624">
              <w:t>Sydney information session</w:t>
            </w:r>
          </w:p>
          <w:p w14:paraId="10C00090" w14:textId="77777777" w:rsidR="00E96B29" w:rsidRPr="00027624" w:rsidRDefault="00E96B29" w:rsidP="00E96B29">
            <w:pPr>
              <w:pStyle w:val="TableColumnHeadingLeft"/>
              <w:jc w:val="center"/>
            </w:pPr>
            <w:r w:rsidRPr="00027624">
              <w:t>10 December 2019</w:t>
            </w:r>
          </w:p>
        </w:tc>
      </w:tr>
      <w:tr w:rsidR="00325A8D" w:rsidRPr="00027624" w14:paraId="6CF40FF5" w14:textId="77777777" w:rsidTr="00325A8D">
        <w:trPr>
          <w:trHeight w:val="293"/>
        </w:trPr>
        <w:tc>
          <w:tcPr>
            <w:tcW w:w="1601" w:type="pct"/>
          </w:tcPr>
          <w:p w14:paraId="737E86D6" w14:textId="77777777" w:rsidR="00E96B29" w:rsidRPr="00027624" w:rsidRDefault="00E96B29" w:rsidP="00F6748F">
            <w:pPr>
              <w:pStyle w:val="TableTextLeft"/>
              <w:spacing w:before="100" w:beforeAutospacing="1"/>
            </w:pPr>
            <w:r w:rsidRPr="00027624">
              <w:t>ASIC</w:t>
            </w:r>
          </w:p>
        </w:tc>
        <w:tc>
          <w:tcPr>
            <w:tcW w:w="1747" w:type="pct"/>
          </w:tcPr>
          <w:p w14:paraId="5807BE85" w14:textId="77777777" w:rsidR="00E96B29" w:rsidRPr="00027624" w:rsidRDefault="00E96B29" w:rsidP="00F6748F">
            <w:pPr>
              <w:pStyle w:val="TableTextLeft"/>
              <w:spacing w:before="100" w:beforeAutospacing="1"/>
            </w:pPr>
            <w:r w:rsidRPr="00027624">
              <w:t>Aberdeen Standard Investments</w:t>
            </w:r>
          </w:p>
        </w:tc>
        <w:tc>
          <w:tcPr>
            <w:tcW w:w="1652" w:type="pct"/>
            <w:gridSpan w:val="2"/>
          </w:tcPr>
          <w:p w14:paraId="3C24DB0B" w14:textId="77777777" w:rsidR="00E96B29" w:rsidRPr="00027624" w:rsidRDefault="00E96B29" w:rsidP="00F6748F">
            <w:pPr>
              <w:pStyle w:val="TableTextLeft"/>
              <w:spacing w:before="100" w:beforeAutospacing="1"/>
            </w:pPr>
            <w:r w:rsidRPr="00027624">
              <w:t>QSuper</w:t>
            </w:r>
          </w:p>
        </w:tc>
      </w:tr>
      <w:tr w:rsidR="00325A8D" w:rsidRPr="00027624" w14:paraId="6CFF8DD5" w14:textId="77777777" w:rsidTr="00325A8D">
        <w:trPr>
          <w:trHeight w:val="293"/>
        </w:trPr>
        <w:tc>
          <w:tcPr>
            <w:tcW w:w="1601" w:type="pct"/>
          </w:tcPr>
          <w:p w14:paraId="6A151779" w14:textId="77777777" w:rsidR="00E96B29" w:rsidRPr="00027624" w:rsidRDefault="00E96B29" w:rsidP="00F6748F">
            <w:pPr>
              <w:pStyle w:val="TableTextLeft"/>
              <w:spacing w:before="100" w:beforeAutospacing="1"/>
            </w:pPr>
            <w:r w:rsidRPr="00027624">
              <w:t>Australian Institute of Superannuation Trustees (AIST)</w:t>
            </w:r>
          </w:p>
        </w:tc>
        <w:tc>
          <w:tcPr>
            <w:tcW w:w="1747" w:type="pct"/>
          </w:tcPr>
          <w:p w14:paraId="46326555" w14:textId="77777777" w:rsidR="00E96B29" w:rsidRPr="00027624" w:rsidRDefault="00E96B29" w:rsidP="00F6748F">
            <w:pPr>
              <w:pStyle w:val="TableTextLeft"/>
              <w:spacing w:before="100" w:beforeAutospacing="1"/>
            </w:pPr>
            <w:r w:rsidRPr="00027624">
              <w:t>Australian Council of Trade Unions (ACTU)</w:t>
            </w:r>
          </w:p>
        </w:tc>
        <w:tc>
          <w:tcPr>
            <w:tcW w:w="1652" w:type="pct"/>
            <w:gridSpan w:val="2"/>
          </w:tcPr>
          <w:p w14:paraId="166648B2" w14:textId="77777777" w:rsidR="00E96B29" w:rsidRPr="00027624" w:rsidRDefault="00E96B29" w:rsidP="00F6748F">
            <w:pPr>
              <w:pStyle w:val="TableTextLeft"/>
              <w:spacing w:before="100" w:beforeAutospacing="1"/>
            </w:pPr>
            <w:r w:rsidRPr="00027624">
              <w:t xml:space="preserve">Rest </w:t>
            </w:r>
          </w:p>
        </w:tc>
      </w:tr>
      <w:tr w:rsidR="00325A8D" w:rsidRPr="00027624" w14:paraId="3785B3EA" w14:textId="77777777" w:rsidTr="00325A8D">
        <w:trPr>
          <w:trHeight w:val="293"/>
        </w:trPr>
        <w:tc>
          <w:tcPr>
            <w:tcW w:w="1601" w:type="pct"/>
          </w:tcPr>
          <w:p w14:paraId="22F114EC" w14:textId="77777777" w:rsidR="00E96B29" w:rsidRPr="00027624" w:rsidRDefault="00E96B29" w:rsidP="00F6748F">
            <w:pPr>
              <w:pStyle w:val="TableTextLeft"/>
              <w:spacing w:before="100" w:beforeAutospacing="1"/>
            </w:pPr>
            <w:r w:rsidRPr="00027624">
              <w:t>Cbus</w:t>
            </w:r>
          </w:p>
        </w:tc>
        <w:tc>
          <w:tcPr>
            <w:tcW w:w="1747" w:type="pct"/>
          </w:tcPr>
          <w:p w14:paraId="15BC74FC" w14:textId="77777777" w:rsidR="00E96B29" w:rsidRPr="00027624" w:rsidRDefault="00E96B29" w:rsidP="00F6748F">
            <w:pPr>
              <w:pStyle w:val="TableTextLeft"/>
              <w:spacing w:before="100" w:beforeAutospacing="1"/>
            </w:pPr>
            <w:r w:rsidRPr="00027624">
              <w:t>Actuaries Institute</w:t>
            </w:r>
          </w:p>
        </w:tc>
        <w:tc>
          <w:tcPr>
            <w:tcW w:w="1652" w:type="pct"/>
            <w:gridSpan w:val="2"/>
          </w:tcPr>
          <w:p w14:paraId="79E09374" w14:textId="77777777" w:rsidR="00E96B29" w:rsidRPr="00027624" w:rsidRDefault="00E96B29" w:rsidP="00F6748F">
            <w:pPr>
              <w:pStyle w:val="TableTextLeft"/>
              <w:spacing w:before="100" w:beforeAutospacing="1"/>
            </w:pPr>
            <w:r w:rsidRPr="00027624">
              <w:t>Rice Warner</w:t>
            </w:r>
          </w:p>
        </w:tc>
      </w:tr>
      <w:tr w:rsidR="00325A8D" w:rsidRPr="00027624" w14:paraId="7B2BCC49" w14:textId="77777777" w:rsidTr="00325A8D">
        <w:trPr>
          <w:trHeight w:val="293"/>
        </w:trPr>
        <w:tc>
          <w:tcPr>
            <w:tcW w:w="1601" w:type="pct"/>
          </w:tcPr>
          <w:p w14:paraId="1F53EBB4" w14:textId="77777777" w:rsidR="00E96B29" w:rsidRPr="00027624" w:rsidRDefault="00E96B29" w:rsidP="00F6748F">
            <w:pPr>
              <w:pStyle w:val="TableTextLeft"/>
              <w:spacing w:before="100" w:beforeAutospacing="1"/>
            </w:pPr>
            <w:r w:rsidRPr="00027624">
              <w:t>COTA</w:t>
            </w:r>
          </w:p>
        </w:tc>
        <w:tc>
          <w:tcPr>
            <w:tcW w:w="1747" w:type="pct"/>
          </w:tcPr>
          <w:p w14:paraId="71862E1B" w14:textId="77777777" w:rsidR="00E96B29" w:rsidRPr="00027624" w:rsidRDefault="00E96B29" w:rsidP="00F6748F">
            <w:pPr>
              <w:pStyle w:val="TableTextLeft"/>
              <w:spacing w:before="100" w:beforeAutospacing="1"/>
            </w:pPr>
            <w:r w:rsidRPr="00027624">
              <w:t>AI Group</w:t>
            </w:r>
          </w:p>
        </w:tc>
        <w:tc>
          <w:tcPr>
            <w:tcW w:w="1652" w:type="pct"/>
            <w:gridSpan w:val="2"/>
          </w:tcPr>
          <w:p w14:paraId="43A3BA38" w14:textId="77777777" w:rsidR="00E96B29" w:rsidRPr="00027624" w:rsidRDefault="00C20894" w:rsidP="00F6748F">
            <w:pPr>
              <w:pStyle w:val="TableTextLeft"/>
              <w:spacing w:before="100" w:beforeAutospacing="1"/>
            </w:pPr>
            <w:r w:rsidRPr="00027624">
              <w:t>Self Managed Super Fund</w:t>
            </w:r>
            <w:r w:rsidR="00E96B29" w:rsidRPr="00027624">
              <w:t xml:space="preserve"> Association</w:t>
            </w:r>
          </w:p>
        </w:tc>
      </w:tr>
      <w:tr w:rsidR="00325A8D" w:rsidRPr="00027624" w14:paraId="591D42A9" w14:textId="77777777" w:rsidTr="00325A8D">
        <w:trPr>
          <w:trHeight w:val="293"/>
        </w:trPr>
        <w:tc>
          <w:tcPr>
            <w:tcW w:w="1601" w:type="pct"/>
          </w:tcPr>
          <w:p w14:paraId="5A48F378" w14:textId="77777777" w:rsidR="00E96B29" w:rsidRPr="00027624" w:rsidRDefault="00E96B29" w:rsidP="00F6748F">
            <w:pPr>
              <w:pStyle w:val="TableTextLeft"/>
              <w:spacing w:before="100" w:beforeAutospacing="1"/>
            </w:pPr>
            <w:r w:rsidRPr="00027624">
              <w:t>EY</w:t>
            </w:r>
          </w:p>
        </w:tc>
        <w:tc>
          <w:tcPr>
            <w:tcW w:w="1747" w:type="pct"/>
          </w:tcPr>
          <w:p w14:paraId="3BB1329D" w14:textId="77777777" w:rsidR="00E96B29" w:rsidRPr="00027624" w:rsidRDefault="00E96B29" w:rsidP="00F6748F">
            <w:pPr>
              <w:pStyle w:val="TableTextLeft"/>
              <w:spacing w:before="100" w:beforeAutospacing="1"/>
            </w:pPr>
            <w:r w:rsidRPr="00027624">
              <w:t>AMP</w:t>
            </w:r>
          </w:p>
        </w:tc>
        <w:tc>
          <w:tcPr>
            <w:tcW w:w="1652" w:type="pct"/>
            <w:gridSpan w:val="2"/>
          </w:tcPr>
          <w:p w14:paraId="17EF79B8" w14:textId="77777777" w:rsidR="00E96B29" w:rsidRPr="00027624" w:rsidRDefault="00E96B29" w:rsidP="00F6748F">
            <w:pPr>
              <w:pStyle w:val="TableTextLeft"/>
              <w:spacing w:before="100" w:beforeAutospacing="1"/>
            </w:pPr>
            <w:r w:rsidRPr="00027624">
              <w:t>SunSuper</w:t>
            </w:r>
          </w:p>
        </w:tc>
      </w:tr>
      <w:tr w:rsidR="00325A8D" w:rsidRPr="00027624" w14:paraId="70E22CF4" w14:textId="77777777" w:rsidTr="00325A8D">
        <w:trPr>
          <w:trHeight w:val="293"/>
        </w:trPr>
        <w:tc>
          <w:tcPr>
            <w:tcW w:w="1601" w:type="pct"/>
          </w:tcPr>
          <w:p w14:paraId="52933DC9" w14:textId="77777777" w:rsidR="00E96B29" w:rsidRPr="00027624" w:rsidRDefault="00E96B29" w:rsidP="00F6748F">
            <w:pPr>
              <w:pStyle w:val="TableTextLeft"/>
              <w:spacing w:before="100" w:beforeAutospacing="1"/>
            </w:pPr>
            <w:r w:rsidRPr="00027624">
              <w:t>First State Super</w:t>
            </w:r>
          </w:p>
        </w:tc>
        <w:tc>
          <w:tcPr>
            <w:tcW w:w="1747" w:type="pct"/>
          </w:tcPr>
          <w:p w14:paraId="75B6338A" w14:textId="77777777" w:rsidR="00E96B29" w:rsidRPr="00027624" w:rsidRDefault="00E96B29" w:rsidP="00F6748F">
            <w:pPr>
              <w:spacing w:before="100" w:beforeAutospacing="1"/>
            </w:pPr>
            <w:r w:rsidRPr="00027624">
              <w:rPr>
                <w:color w:val="000000"/>
                <w:sz w:val="18"/>
              </w:rPr>
              <w:t>ARC Centre of Excellence in Population Ageing Research (CEPAR)</w:t>
            </w:r>
            <w:r w:rsidRPr="00027624" w:rsidDel="00067897">
              <w:rPr>
                <w:color w:val="000000"/>
                <w:sz w:val="18"/>
              </w:rPr>
              <w:t xml:space="preserve"> </w:t>
            </w:r>
          </w:p>
        </w:tc>
        <w:tc>
          <w:tcPr>
            <w:tcW w:w="1652" w:type="pct"/>
            <w:gridSpan w:val="2"/>
          </w:tcPr>
          <w:p w14:paraId="69E42812" w14:textId="77777777" w:rsidR="00E96B29" w:rsidRPr="00027624" w:rsidRDefault="00E96B29" w:rsidP="00F6748F">
            <w:pPr>
              <w:pStyle w:val="TableTextLeft"/>
              <w:spacing w:before="100" w:beforeAutospacing="1"/>
            </w:pPr>
            <w:r w:rsidRPr="00027624">
              <w:t>Super Consumers Australia</w:t>
            </w:r>
          </w:p>
        </w:tc>
      </w:tr>
      <w:tr w:rsidR="00325A8D" w:rsidRPr="00027624" w14:paraId="6E5ABDB3" w14:textId="77777777" w:rsidTr="00325A8D">
        <w:trPr>
          <w:trHeight w:val="293"/>
        </w:trPr>
        <w:tc>
          <w:tcPr>
            <w:tcW w:w="1601" w:type="pct"/>
          </w:tcPr>
          <w:p w14:paraId="2FE3747E" w14:textId="77777777" w:rsidR="00E96B29" w:rsidRPr="00027624" w:rsidRDefault="00E96B29" w:rsidP="00F6748F">
            <w:pPr>
              <w:pStyle w:val="TableTextLeft"/>
              <w:spacing w:before="100" w:beforeAutospacing="1"/>
            </w:pPr>
            <w:r w:rsidRPr="00027624">
              <w:t>Grattan Institute</w:t>
            </w:r>
          </w:p>
        </w:tc>
        <w:tc>
          <w:tcPr>
            <w:tcW w:w="1747" w:type="pct"/>
          </w:tcPr>
          <w:p w14:paraId="43F8D652" w14:textId="77777777" w:rsidR="00E96B29" w:rsidRPr="00027624" w:rsidRDefault="00E96B29" w:rsidP="00F6748F">
            <w:pPr>
              <w:pStyle w:val="TableTextLeft"/>
              <w:spacing w:before="100" w:beforeAutospacing="1"/>
            </w:pPr>
            <w:r w:rsidRPr="00027624">
              <w:t>Association of Independent Retirees</w:t>
            </w:r>
          </w:p>
        </w:tc>
        <w:tc>
          <w:tcPr>
            <w:tcW w:w="1652" w:type="pct"/>
            <w:gridSpan w:val="2"/>
          </w:tcPr>
          <w:p w14:paraId="3C42EBBE" w14:textId="77777777" w:rsidR="00E96B29" w:rsidRPr="00027624" w:rsidRDefault="00E96B29" w:rsidP="00F6748F">
            <w:pPr>
              <w:pStyle w:val="TableTextLeft"/>
              <w:spacing w:before="100" w:beforeAutospacing="1"/>
            </w:pPr>
            <w:r w:rsidRPr="00027624">
              <w:t>UNSW Business School</w:t>
            </w:r>
          </w:p>
        </w:tc>
      </w:tr>
      <w:tr w:rsidR="00325A8D" w:rsidRPr="00027624" w14:paraId="2F545B6D" w14:textId="77777777" w:rsidTr="00325A8D">
        <w:trPr>
          <w:trHeight w:val="293"/>
        </w:trPr>
        <w:tc>
          <w:tcPr>
            <w:tcW w:w="1601" w:type="pct"/>
          </w:tcPr>
          <w:p w14:paraId="2A2C6886" w14:textId="77777777" w:rsidR="00E96B29" w:rsidRPr="00027624" w:rsidRDefault="00E96B29" w:rsidP="00F6748F">
            <w:pPr>
              <w:pStyle w:val="TableTextLeft"/>
              <w:spacing w:before="100" w:beforeAutospacing="1"/>
            </w:pPr>
            <w:r w:rsidRPr="00027624">
              <w:t>HESTA</w:t>
            </w:r>
          </w:p>
        </w:tc>
        <w:tc>
          <w:tcPr>
            <w:tcW w:w="1747" w:type="pct"/>
          </w:tcPr>
          <w:p w14:paraId="04B2B71F" w14:textId="77777777" w:rsidR="00E96B29" w:rsidRPr="00027624" w:rsidRDefault="00E96B29" w:rsidP="00F6748F">
            <w:pPr>
              <w:pStyle w:val="TableTextLeft"/>
              <w:spacing w:before="100" w:beforeAutospacing="1"/>
            </w:pPr>
            <w:r w:rsidRPr="00027624">
              <w:t>Business Council of Australia</w:t>
            </w:r>
          </w:p>
        </w:tc>
        <w:tc>
          <w:tcPr>
            <w:tcW w:w="1652" w:type="pct"/>
            <w:gridSpan w:val="2"/>
          </w:tcPr>
          <w:p w14:paraId="5727DCF4" w14:textId="77777777" w:rsidR="00E96B29" w:rsidRPr="00027624" w:rsidRDefault="00E96B29" w:rsidP="00F6748F">
            <w:pPr>
              <w:pStyle w:val="TableTextLeft"/>
              <w:spacing w:before="100" w:beforeAutospacing="1"/>
            </w:pPr>
          </w:p>
        </w:tc>
      </w:tr>
      <w:tr w:rsidR="00325A8D" w:rsidRPr="00027624" w14:paraId="7D51EC77" w14:textId="77777777" w:rsidTr="00325A8D">
        <w:trPr>
          <w:trHeight w:val="293"/>
        </w:trPr>
        <w:tc>
          <w:tcPr>
            <w:tcW w:w="1601" w:type="pct"/>
          </w:tcPr>
          <w:p w14:paraId="524435D2" w14:textId="77777777" w:rsidR="00E96B29" w:rsidRPr="00027624" w:rsidRDefault="00E96B29" w:rsidP="00F6748F">
            <w:pPr>
              <w:pStyle w:val="TableTextLeft"/>
              <w:spacing w:before="100" w:beforeAutospacing="1"/>
            </w:pPr>
            <w:r w:rsidRPr="00027624">
              <w:t>Hostplus</w:t>
            </w:r>
          </w:p>
        </w:tc>
        <w:tc>
          <w:tcPr>
            <w:tcW w:w="1747" w:type="pct"/>
          </w:tcPr>
          <w:p w14:paraId="1DD18F3C" w14:textId="77777777" w:rsidR="00E96B29" w:rsidRPr="00027624" w:rsidRDefault="00E96B29" w:rsidP="00F6748F">
            <w:pPr>
              <w:pStyle w:val="TableTextLeft"/>
              <w:spacing w:before="100" w:beforeAutospacing="1"/>
            </w:pPr>
            <w:r w:rsidRPr="00027624">
              <w:t xml:space="preserve">Challenger </w:t>
            </w:r>
          </w:p>
        </w:tc>
        <w:tc>
          <w:tcPr>
            <w:tcW w:w="1652" w:type="pct"/>
            <w:gridSpan w:val="2"/>
          </w:tcPr>
          <w:p w14:paraId="0B70B163" w14:textId="77777777" w:rsidR="00E96B29" w:rsidRPr="00027624" w:rsidRDefault="00E96B29" w:rsidP="00F6748F">
            <w:pPr>
              <w:pStyle w:val="TableTextLeft"/>
              <w:spacing w:before="100" w:beforeAutospacing="1"/>
            </w:pPr>
          </w:p>
        </w:tc>
      </w:tr>
      <w:tr w:rsidR="00E02029" w:rsidRPr="00027624" w14:paraId="0D15CF6D" w14:textId="77777777" w:rsidTr="003E0865">
        <w:trPr>
          <w:trHeight w:val="293"/>
        </w:trPr>
        <w:tc>
          <w:tcPr>
            <w:tcW w:w="1601" w:type="pct"/>
          </w:tcPr>
          <w:p w14:paraId="4AE998B3" w14:textId="77777777" w:rsidR="00E02029" w:rsidRPr="00027624" w:rsidRDefault="00E02029" w:rsidP="00F6748F">
            <w:pPr>
              <w:pStyle w:val="TableTextLeft"/>
              <w:spacing w:before="100" w:beforeAutospacing="1"/>
            </w:pPr>
            <w:r w:rsidRPr="00027624">
              <w:t>Industry Super Australia</w:t>
            </w:r>
          </w:p>
        </w:tc>
        <w:tc>
          <w:tcPr>
            <w:tcW w:w="1" w:type="pct"/>
            <w:gridSpan w:val="3"/>
          </w:tcPr>
          <w:p w14:paraId="7E93F473" w14:textId="77777777" w:rsidR="00E02029" w:rsidRPr="00027624" w:rsidRDefault="00E02029" w:rsidP="00F6748F">
            <w:pPr>
              <w:pStyle w:val="TableTextLeft"/>
              <w:spacing w:before="100" w:beforeAutospacing="1"/>
            </w:pPr>
            <w:r w:rsidRPr="00027624">
              <w:t>Chartered Accountants Australia &amp; New Zealand (CAANZ)</w:t>
            </w:r>
          </w:p>
        </w:tc>
      </w:tr>
      <w:tr w:rsidR="00E02029" w:rsidRPr="00027624" w14:paraId="12234A7A" w14:textId="77777777" w:rsidTr="003E0865">
        <w:trPr>
          <w:trHeight w:val="293"/>
        </w:trPr>
        <w:tc>
          <w:tcPr>
            <w:tcW w:w="1601" w:type="pct"/>
          </w:tcPr>
          <w:p w14:paraId="18C32E97" w14:textId="77777777" w:rsidR="00E02029" w:rsidRPr="00027624" w:rsidRDefault="00E02029" w:rsidP="00F6748F">
            <w:pPr>
              <w:pStyle w:val="TableTextLeft"/>
              <w:spacing w:before="100" w:beforeAutospacing="1"/>
            </w:pPr>
            <w:r w:rsidRPr="00027624">
              <w:t>Mercer</w:t>
            </w:r>
          </w:p>
        </w:tc>
        <w:tc>
          <w:tcPr>
            <w:tcW w:w="1" w:type="pct"/>
            <w:gridSpan w:val="3"/>
          </w:tcPr>
          <w:p w14:paraId="12DF0DDB" w14:textId="77777777" w:rsidR="00E02029" w:rsidRPr="00027624" w:rsidRDefault="00E02029" w:rsidP="00F6748F">
            <w:pPr>
              <w:pStyle w:val="TableTextLeft"/>
              <w:spacing w:before="100" w:beforeAutospacing="1"/>
            </w:pPr>
            <w:r w:rsidRPr="00027624">
              <w:t>Commonwealth Superannuation Corporation</w:t>
            </w:r>
          </w:p>
        </w:tc>
      </w:tr>
      <w:tr w:rsidR="00325A8D" w:rsidRPr="00027624" w14:paraId="06FE1A2C" w14:textId="77777777" w:rsidTr="00325A8D">
        <w:trPr>
          <w:trHeight w:val="306"/>
        </w:trPr>
        <w:tc>
          <w:tcPr>
            <w:tcW w:w="1601" w:type="pct"/>
          </w:tcPr>
          <w:p w14:paraId="6EECDB79" w14:textId="77777777" w:rsidR="00E96B29" w:rsidRPr="00027624" w:rsidRDefault="00E96B29" w:rsidP="00F6748F">
            <w:pPr>
              <w:pStyle w:val="TableTextLeft"/>
              <w:spacing w:before="100" w:beforeAutospacing="1"/>
            </w:pPr>
            <w:r w:rsidRPr="00027624">
              <w:t>Milliman</w:t>
            </w:r>
          </w:p>
        </w:tc>
        <w:tc>
          <w:tcPr>
            <w:tcW w:w="1747" w:type="pct"/>
          </w:tcPr>
          <w:p w14:paraId="0FAC90CB" w14:textId="77777777" w:rsidR="00E96B29" w:rsidRPr="00027624" w:rsidRDefault="00E96B29" w:rsidP="00F6748F">
            <w:pPr>
              <w:pStyle w:val="TableTextLeft"/>
              <w:spacing w:before="100" w:beforeAutospacing="1"/>
            </w:pPr>
            <w:r w:rsidRPr="00027624">
              <w:t>Conexus Institute</w:t>
            </w:r>
          </w:p>
        </w:tc>
        <w:tc>
          <w:tcPr>
            <w:tcW w:w="1652" w:type="pct"/>
            <w:gridSpan w:val="2"/>
          </w:tcPr>
          <w:p w14:paraId="6A3B7B82" w14:textId="77777777" w:rsidR="00E96B29" w:rsidRPr="00027624" w:rsidRDefault="00E96B29" w:rsidP="00F6748F">
            <w:pPr>
              <w:pStyle w:val="TableTextLeft"/>
              <w:spacing w:before="100" w:beforeAutospacing="1"/>
            </w:pPr>
          </w:p>
        </w:tc>
      </w:tr>
      <w:tr w:rsidR="00325A8D" w:rsidRPr="00027624" w14:paraId="4F50A56E" w14:textId="77777777" w:rsidTr="00325A8D">
        <w:trPr>
          <w:trHeight w:val="293"/>
        </w:trPr>
        <w:tc>
          <w:tcPr>
            <w:tcW w:w="1601" w:type="pct"/>
          </w:tcPr>
          <w:p w14:paraId="5D3ECBB2" w14:textId="77777777" w:rsidR="00E96B29" w:rsidRPr="00027624" w:rsidRDefault="00E96B29" w:rsidP="00F6748F">
            <w:pPr>
              <w:pStyle w:val="TableTextLeft"/>
              <w:spacing w:before="100" w:beforeAutospacing="1"/>
            </w:pPr>
            <w:r w:rsidRPr="00027624">
              <w:t>National Seniors Australia</w:t>
            </w:r>
          </w:p>
        </w:tc>
        <w:tc>
          <w:tcPr>
            <w:tcW w:w="1747" w:type="pct"/>
          </w:tcPr>
          <w:p w14:paraId="4D1950F7" w14:textId="77777777" w:rsidR="00E96B29" w:rsidRPr="00027624" w:rsidRDefault="00E96B29" w:rsidP="00F6748F">
            <w:pPr>
              <w:pStyle w:val="TableTextLeft"/>
              <w:spacing w:before="100" w:beforeAutospacing="1"/>
            </w:pPr>
            <w:r w:rsidRPr="00027624">
              <w:t>COTA</w:t>
            </w:r>
          </w:p>
        </w:tc>
        <w:tc>
          <w:tcPr>
            <w:tcW w:w="1652" w:type="pct"/>
            <w:gridSpan w:val="2"/>
          </w:tcPr>
          <w:p w14:paraId="5F4403BF" w14:textId="77777777" w:rsidR="00E96B29" w:rsidRPr="00027624" w:rsidRDefault="00E96B29" w:rsidP="00F6748F">
            <w:pPr>
              <w:pStyle w:val="TableTextLeft"/>
              <w:spacing w:before="100" w:beforeAutospacing="1"/>
            </w:pPr>
          </w:p>
        </w:tc>
      </w:tr>
      <w:tr w:rsidR="00325A8D" w:rsidRPr="00027624" w14:paraId="332F797A" w14:textId="77777777" w:rsidTr="00325A8D">
        <w:trPr>
          <w:trHeight w:val="293"/>
        </w:trPr>
        <w:tc>
          <w:tcPr>
            <w:tcW w:w="1601" w:type="pct"/>
          </w:tcPr>
          <w:p w14:paraId="63E74E24" w14:textId="77777777" w:rsidR="00E96B29" w:rsidRPr="00027624" w:rsidRDefault="00E96B29" w:rsidP="00F6748F">
            <w:pPr>
              <w:pStyle w:val="TableTextLeft"/>
              <w:spacing w:before="100" w:beforeAutospacing="1"/>
            </w:pPr>
            <w:r w:rsidRPr="00027624">
              <w:t>SunSuper</w:t>
            </w:r>
          </w:p>
        </w:tc>
        <w:tc>
          <w:tcPr>
            <w:tcW w:w="1747" w:type="pct"/>
          </w:tcPr>
          <w:p w14:paraId="3BADAB79" w14:textId="77777777" w:rsidR="00E96B29" w:rsidRPr="00027624" w:rsidRDefault="00E96B29" w:rsidP="00F6748F">
            <w:pPr>
              <w:pStyle w:val="TableTextLeft"/>
              <w:spacing w:before="100" w:beforeAutospacing="1"/>
            </w:pPr>
            <w:r w:rsidRPr="00027624">
              <w:t>Financial Planning Association</w:t>
            </w:r>
          </w:p>
        </w:tc>
        <w:tc>
          <w:tcPr>
            <w:tcW w:w="1652" w:type="pct"/>
            <w:gridSpan w:val="2"/>
          </w:tcPr>
          <w:p w14:paraId="1098061E" w14:textId="77777777" w:rsidR="00E96B29" w:rsidRPr="00027624" w:rsidRDefault="00E96B29" w:rsidP="00F6748F">
            <w:pPr>
              <w:pStyle w:val="TableTextLeft"/>
              <w:spacing w:before="100" w:beforeAutospacing="1"/>
            </w:pPr>
          </w:p>
        </w:tc>
      </w:tr>
      <w:tr w:rsidR="00325A8D" w:rsidRPr="00027624" w14:paraId="624271AF" w14:textId="77777777" w:rsidTr="00325A8D">
        <w:trPr>
          <w:trHeight w:val="293"/>
        </w:trPr>
        <w:tc>
          <w:tcPr>
            <w:tcW w:w="1601" w:type="pct"/>
          </w:tcPr>
          <w:p w14:paraId="3F540939" w14:textId="77777777" w:rsidR="00E96B29" w:rsidRPr="00027624" w:rsidRDefault="00E96B29" w:rsidP="00F6748F">
            <w:pPr>
              <w:pStyle w:val="TableTextLeft"/>
              <w:spacing w:before="100" w:beforeAutospacing="1"/>
            </w:pPr>
            <w:r w:rsidRPr="00027624">
              <w:t>Togethr Trustees</w:t>
            </w:r>
          </w:p>
        </w:tc>
        <w:tc>
          <w:tcPr>
            <w:tcW w:w="1747" w:type="pct"/>
          </w:tcPr>
          <w:p w14:paraId="15F2A9A0" w14:textId="77777777" w:rsidR="00E96B29" w:rsidRPr="00027624" w:rsidRDefault="00E96B29" w:rsidP="00F6748F">
            <w:pPr>
              <w:pStyle w:val="TableTextLeft"/>
              <w:spacing w:before="100" w:beforeAutospacing="1"/>
            </w:pPr>
            <w:r w:rsidRPr="00027624">
              <w:t>Financial Services Council</w:t>
            </w:r>
          </w:p>
        </w:tc>
        <w:tc>
          <w:tcPr>
            <w:tcW w:w="1652" w:type="pct"/>
            <w:gridSpan w:val="2"/>
          </w:tcPr>
          <w:p w14:paraId="19621168" w14:textId="77777777" w:rsidR="00E96B29" w:rsidRPr="00027624" w:rsidRDefault="00E96B29" w:rsidP="00F6748F">
            <w:pPr>
              <w:pStyle w:val="TableTextLeft"/>
              <w:spacing w:before="100" w:beforeAutospacing="1"/>
            </w:pPr>
          </w:p>
        </w:tc>
      </w:tr>
      <w:tr w:rsidR="00325A8D" w:rsidRPr="00027624" w14:paraId="1B181713" w14:textId="77777777" w:rsidTr="00325A8D">
        <w:trPr>
          <w:trHeight w:val="293"/>
        </w:trPr>
        <w:tc>
          <w:tcPr>
            <w:tcW w:w="1601" w:type="pct"/>
          </w:tcPr>
          <w:p w14:paraId="2A103B8A" w14:textId="77777777" w:rsidR="00E96B29" w:rsidRPr="00027624" w:rsidRDefault="00E96B29" w:rsidP="00F6748F">
            <w:pPr>
              <w:pStyle w:val="TableTextLeft"/>
              <w:spacing w:before="100" w:beforeAutospacing="1"/>
            </w:pPr>
            <w:r w:rsidRPr="00027624">
              <w:t>Vanguard</w:t>
            </w:r>
          </w:p>
        </w:tc>
        <w:tc>
          <w:tcPr>
            <w:tcW w:w="1747" w:type="pct"/>
          </w:tcPr>
          <w:p w14:paraId="4BC8E55D" w14:textId="77777777" w:rsidR="00E96B29" w:rsidRPr="00027624" w:rsidRDefault="00E96B29" w:rsidP="00F6748F">
            <w:pPr>
              <w:pStyle w:val="TableTextLeft"/>
              <w:spacing w:before="100" w:beforeAutospacing="1"/>
            </w:pPr>
            <w:r w:rsidRPr="00027624">
              <w:t>First State Super</w:t>
            </w:r>
          </w:p>
        </w:tc>
        <w:tc>
          <w:tcPr>
            <w:tcW w:w="1652" w:type="pct"/>
            <w:gridSpan w:val="2"/>
          </w:tcPr>
          <w:p w14:paraId="7513FE84" w14:textId="77777777" w:rsidR="00E96B29" w:rsidRPr="00027624" w:rsidRDefault="00E96B29" w:rsidP="00F6748F">
            <w:pPr>
              <w:pStyle w:val="TableTextLeft"/>
              <w:spacing w:before="100" w:beforeAutospacing="1"/>
            </w:pPr>
          </w:p>
        </w:tc>
      </w:tr>
      <w:tr w:rsidR="00325A8D" w:rsidRPr="00027624" w14:paraId="2106B2BF" w14:textId="77777777" w:rsidTr="00325A8D">
        <w:trPr>
          <w:trHeight w:val="293"/>
        </w:trPr>
        <w:tc>
          <w:tcPr>
            <w:tcW w:w="1601" w:type="pct"/>
          </w:tcPr>
          <w:p w14:paraId="0639F6F8" w14:textId="77777777" w:rsidR="00E96B29" w:rsidRPr="00027624" w:rsidRDefault="00E96B29" w:rsidP="00F6748F">
            <w:pPr>
              <w:pStyle w:val="TableTextLeft"/>
              <w:spacing w:before="100" w:beforeAutospacing="1"/>
            </w:pPr>
            <w:r w:rsidRPr="00027624">
              <w:t>VicSuper</w:t>
            </w:r>
          </w:p>
        </w:tc>
        <w:tc>
          <w:tcPr>
            <w:tcW w:w="1747" w:type="pct"/>
          </w:tcPr>
          <w:p w14:paraId="78C42B02" w14:textId="77777777" w:rsidR="00E96B29" w:rsidRPr="00027624" w:rsidRDefault="00E96B29" w:rsidP="00F6748F">
            <w:pPr>
              <w:pStyle w:val="TableTextLeft"/>
              <w:spacing w:before="100" w:beforeAutospacing="1"/>
            </w:pPr>
            <w:r w:rsidRPr="00027624">
              <w:t>Milliman</w:t>
            </w:r>
          </w:p>
        </w:tc>
        <w:tc>
          <w:tcPr>
            <w:tcW w:w="1652" w:type="pct"/>
            <w:gridSpan w:val="2"/>
          </w:tcPr>
          <w:p w14:paraId="18B2DE4B" w14:textId="77777777" w:rsidR="00E96B29" w:rsidRPr="00027624" w:rsidRDefault="00E96B29" w:rsidP="00F6748F">
            <w:pPr>
              <w:pStyle w:val="TableTextLeft"/>
              <w:spacing w:before="100" w:beforeAutospacing="1"/>
            </w:pPr>
          </w:p>
        </w:tc>
      </w:tr>
      <w:tr w:rsidR="00325A8D" w:rsidRPr="00027624" w14:paraId="77F46EBC" w14:textId="77777777" w:rsidTr="00325A8D">
        <w:trPr>
          <w:trHeight w:val="293"/>
        </w:trPr>
        <w:tc>
          <w:tcPr>
            <w:tcW w:w="1601" w:type="pct"/>
          </w:tcPr>
          <w:p w14:paraId="19041884" w14:textId="77777777" w:rsidR="00E96B29" w:rsidRPr="00027624" w:rsidRDefault="00E96B29" w:rsidP="00F6748F">
            <w:pPr>
              <w:pStyle w:val="TableTextLeft"/>
              <w:spacing w:before="100" w:beforeAutospacing="1"/>
            </w:pPr>
            <w:r w:rsidRPr="00027624">
              <w:t>Women in Super</w:t>
            </w:r>
          </w:p>
        </w:tc>
        <w:tc>
          <w:tcPr>
            <w:tcW w:w="1747" w:type="pct"/>
          </w:tcPr>
          <w:p w14:paraId="4D2D2C3C" w14:textId="77777777" w:rsidR="00E96B29" w:rsidRPr="00027624" w:rsidRDefault="00E96B29" w:rsidP="00F6748F">
            <w:pPr>
              <w:pStyle w:val="TableTextLeft"/>
              <w:spacing w:before="100" w:beforeAutospacing="1"/>
            </w:pPr>
            <w:r w:rsidRPr="00027624">
              <w:t>MLC Wealth</w:t>
            </w:r>
          </w:p>
        </w:tc>
        <w:tc>
          <w:tcPr>
            <w:tcW w:w="1652" w:type="pct"/>
            <w:gridSpan w:val="2"/>
          </w:tcPr>
          <w:p w14:paraId="5906E10C" w14:textId="77777777" w:rsidR="00E96B29" w:rsidRPr="00027624" w:rsidRDefault="00E96B29" w:rsidP="00F6748F">
            <w:pPr>
              <w:pStyle w:val="TableTextLeft"/>
              <w:spacing w:before="100" w:beforeAutospacing="1"/>
            </w:pPr>
          </w:p>
        </w:tc>
      </w:tr>
    </w:tbl>
    <w:p w14:paraId="77491948" w14:textId="1909641C" w:rsidR="00E96B29" w:rsidRPr="00027624" w:rsidRDefault="00E96B29" w:rsidP="00E96B29">
      <w:r w:rsidRPr="00027624">
        <w:t>More than 140 meetings were held over the life of the review. Around 100 of these were external meetings (</w:t>
      </w:r>
      <w:r w:rsidRPr="00027624">
        <w:fldChar w:fldCharType="begin"/>
      </w:r>
      <w:r w:rsidRPr="00027624">
        <w:instrText xml:space="preserve"> REF _Ref39038067 \r \h  \* MERGEFORMAT </w:instrText>
      </w:r>
      <w:r w:rsidRPr="00027624">
        <w:fldChar w:fldCharType="separate"/>
      </w:r>
      <w:r w:rsidR="00891058">
        <w:t>Chart 6E-1</w:t>
      </w:r>
      <w:r w:rsidRPr="00027624">
        <w:fldChar w:fldCharType="end"/>
      </w:r>
      <w:r w:rsidRPr="00027624">
        <w:t>), conducted by either the panel or secretariat with stakeholders.</w:t>
      </w:r>
    </w:p>
    <w:p w14:paraId="4A5BCA14" w14:textId="77777777" w:rsidR="00E96B29" w:rsidRPr="00027624" w:rsidRDefault="00E96B29" w:rsidP="00FC7361">
      <w:pPr>
        <w:pStyle w:val="ChartMainHeading"/>
        <w:numPr>
          <w:ilvl w:val="2"/>
          <w:numId w:val="110"/>
        </w:numPr>
      </w:pPr>
      <w:bookmarkStart w:id="4421" w:name="_Ref39038067"/>
      <w:r w:rsidRPr="00027624">
        <w:t>External meetings by stakeholder type</w:t>
      </w:r>
      <w:bookmarkEnd w:id="4421"/>
    </w:p>
    <w:p w14:paraId="3E6442E6" w14:textId="77777777" w:rsidR="00E96B29" w:rsidRPr="00027624" w:rsidRDefault="00A85430" w:rsidP="0094088B">
      <w:pPr>
        <w:pStyle w:val="ChartGraphic"/>
        <w:rPr>
          <w:noProof/>
        </w:rPr>
      </w:pPr>
      <w:r>
        <w:rPr>
          <w:noProof/>
        </w:rPr>
        <w:drawing>
          <wp:inline distT="0" distB="0" distL="0" distR="0" wp14:anchorId="38874C24" wp14:editId="3980CE1B">
            <wp:extent cx="5585460" cy="2613660"/>
            <wp:effectExtent l="0" t="0" r="0" b="0"/>
            <wp:docPr id="679974607" name="Picture 679974607" descr="This chart shows that the majority of stakeholder meetings were with academics and representative bodies." title="Chart 6E-1 External meetings by stakeholder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585460" cy="2613660"/>
                    </a:xfrm>
                    <a:prstGeom prst="rect">
                      <a:avLst/>
                    </a:prstGeom>
                    <a:noFill/>
                  </pic:spPr>
                </pic:pic>
              </a:graphicData>
            </a:graphic>
          </wp:inline>
        </w:drawing>
      </w:r>
    </w:p>
    <w:p w14:paraId="27673F08" w14:textId="77777777" w:rsidR="00E96B29" w:rsidRPr="00027624" w:rsidRDefault="00E96B29" w:rsidP="00E96B29">
      <w:pPr>
        <w:pStyle w:val="ChartorTableNote"/>
      </w:pPr>
      <w:r w:rsidRPr="00027624">
        <w:t>Note: Meetings included those conducted by either the panel or secretariat where they met with an external stakeholder/s on each occasion they met. Source: Data collected by the review.</w:t>
      </w:r>
    </w:p>
    <w:p w14:paraId="3EE9E8B4" w14:textId="24BCAF84" w:rsidR="00E96B29" w:rsidRPr="00027624" w:rsidRDefault="00E96B29" w:rsidP="00E96B29">
      <w:r w:rsidRPr="00027624">
        <w:t>During the consultation period, the panel conducted more than 40 meetings directly with stakeholders (</w:t>
      </w:r>
      <w:r w:rsidRPr="00027624">
        <w:fldChar w:fldCharType="begin"/>
      </w:r>
      <w:r w:rsidRPr="00027624">
        <w:instrText xml:space="preserve"> REF _Ref43379199 \r \h  \* MERGEFORMAT </w:instrText>
      </w:r>
      <w:r w:rsidRPr="00027624">
        <w:fldChar w:fldCharType="separate"/>
      </w:r>
      <w:r w:rsidR="00891058">
        <w:t>Table 6E-2</w:t>
      </w:r>
      <w:r w:rsidRPr="00027624">
        <w:fldChar w:fldCharType="end"/>
      </w:r>
      <w:r w:rsidRPr="00027624">
        <w:t>).</w:t>
      </w:r>
    </w:p>
    <w:p w14:paraId="2E911037" w14:textId="77777777" w:rsidR="00E96B29" w:rsidRPr="00027624" w:rsidRDefault="00E96B29" w:rsidP="00E96B29">
      <w:pPr>
        <w:pStyle w:val="TableMainHeading"/>
      </w:pPr>
      <w:bookmarkStart w:id="4422" w:name="_Ref38458689"/>
      <w:bookmarkStart w:id="4423" w:name="_Ref43379199"/>
      <w:r w:rsidRPr="00027624">
        <w:t>Panel meetings with stakeholders</w:t>
      </w:r>
      <w:bookmarkEnd w:id="4422"/>
      <w:bookmarkEnd w:id="4423"/>
    </w:p>
    <w:tbl>
      <w:tblPr>
        <w:tblW w:w="5000" w:type="pct"/>
        <w:tblLook w:val="01E0" w:firstRow="1" w:lastRow="1" w:firstColumn="1" w:lastColumn="1" w:noHBand="0" w:noVBand="0"/>
      </w:tblPr>
      <w:tblGrid>
        <w:gridCol w:w="4535"/>
        <w:gridCol w:w="4535"/>
      </w:tblGrid>
      <w:tr w:rsidR="00E96B29" w:rsidRPr="00027624" w14:paraId="6D17CDF2" w14:textId="77777777" w:rsidTr="00791570">
        <w:trPr>
          <w:trHeight w:val="289"/>
          <w:tblHeader/>
        </w:trPr>
        <w:tc>
          <w:tcPr>
            <w:tcW w:w="2500" w:type="pct"/>
            <w:shd w:val="clear" w:color="auto" w:fill="E5E5E5"/>
          </w:tcPr>
          <w:p w14:paraId="0E27EB1F" w14:textId="77777777" w:rsidR="00E96B29" w:rsidRPr="00027624" w:rsidRDefault="00E96B29" w:rsidP="00E96B29">
            <w:pPr>
              <w:pStyle w:val="TableColumnHeadingLeft"/>
            </w:pPr>
            <w:r w:rsidRPr="00027624">
              <w:t>Stakeholder category</w:t>
            </w:r>
          </w:p>
        </w:tc>
        <w:tc>
          <w:tcPr>
            <w:tcW w:w="2500" w:type="pct"/>
            <w:shd w:val="clear" w:color="auto" w:fill="E5E5E5"/>
          </w:tcPr>
          <w:p w14:paraId="2C73AF46" w14:textId="77777777" w:rsidR="00E96B29" w:rsidRPr="00027624" w:rsidRDefault="00E96B29" w:rsidP="00E96B29">
            <w:pPr>
              <w:pStyle w:val="TableColumnHeadingLeft"/>
              <w:jc w:val="center"/>
            </w:pPr>
            <w:r w:rsidRPr="00027624">
              <w:br w:type="page"/>
              <w:t>Number</w:t>
            </w:r>
          </w:p>
        </w:tc>
      </w:tr>
      <w:tr w:rsidR="00E96B29" w:rsidRPr="00027624" w14:paraId="1ADB4A4E" w14:textId="77777777" w:rsidTr="00791570">
        <w:trPr>
          <w:trHeight w:val="265"/>
        </w:trPr>
        <w:tc>
          <w:tcPr>
            <w:tcW w:w="2500" w:type="pct"/>
          </w:tcPr>
          <w:p w14:paraId="45449BA0" w14:textId="77777777" w:rsidR="00E96B29" w:rsidRPr="00027624" w:rsidRDefault="00E96B29" w:rsidP="00F6748F">
            <w:pPr>
              <w:pStyle w:val="TableTextLeft"/>
              <w:spacing w:before="100" w:beforeAutospacing="1"/>
            </w:pPr>
            <w:r w:rsidRPr="00027624">
              <w:t>Representative bodies</w:t>
            </w:r>
          </w:p>
        </w:tc>
        <w:tc>
          <w:tcPr>
            <w:tcW w:w="2500" w:type="pct"/>
          </w:tcPr>
          <w:p w14:paraId="74131360" w14:textId="77777777" w:rsidR="00E96B29" w:rsidRPr="00027624" w:rsidRDefault="00E96B29" w:rsidP="00557D05">
            <w:pPr>
              <w:pStyle w:val="TableTextLeft"/>
              <w:spacing w:before="100" w:beforeAutospacing="1"/>
              <w:jc w:val="center"/>
            </w:pPr>
            <w:r w:rsidRPr="00027624">
              <w:t>14</w:t>
            </w:r>
          </w:p>
        </w:tc>
      </w:tr>
      <w:tr w:rsidR="00E96B29" w:rsidRPr="00027624" w14:paraId="13431262" w14:textId="77777777" w:rsidTr="00791570">
        <w:trPr>
          <w:trHeight w:val="265"/>
        </w:trPr>
        <w:tc>
          <w:tcPr>
            <w:tcW w:w="2500" w:type="pct"/>
          </w:tcPr>
          <w:p w14:paraId="69BE52B2" w14:textId="77777777" w:rsidR="00E96B29" w:rsidRPr="00027624" w:rsidRDefault="00E96B29" w:rsidP="00F6748F">
            <w:pPr>
              <w:pStyle w:val="TableTextLeft"/>
              <w:spacing w:before="100" w:beforeAutospacing="1"/>
            </w:pPr>
            <w:r w:rsidRPr="00027624">
              <w:t>Academics or policy research groups</w:t>
            </w:r>
          </w:p>
        </w:tc>
        <w:tc>
          <w:tcPr>
            <w:tcW w:w="2500" w:type="pct"/>
          </w:tcPr>
          <w:p w14:paraId="457777FE" w14:textId="77777777" w:rsidR="00E96B29" w:rsidRPr="00027624" w:rsidRDefault="00E96B29" w:rsidP="00557D05">
            <w:pPr>
              <w:pStyle w:val="TableTextLeft"/>
              <w:spacing w:before="100" w:beforeAutospacing="1"/>
              <w:jc w:val="center"/>
            </w:pPr>
            <w:r w:rsidRPr="00027624">
              <w:t>5</w:t>
            </w:r>
          </w:p>
        </w:tc>
      </w:tr>
      <w:tr w:rsidR="00E96B29" w:rsidRPr="00027624" w14:paraId="65DC4A79" w14:textId="77777777" w:rsidTr="00791570">
        <w:trPr>
          <w:trHeight w:val="265"/>
        </w:trPr>
        <w:tc>
          <w:tcPr>
            <w:tcW w:w="2500" w:type="pct"/>
          </w:tcPr>
          <w:p w14:paraId="0F24FB8B" w14:textId="77777777" w:rsidR="00E96B29" w:rsidRPr="00027624" w:rsidRDefault="00E96B29" w:rsidP="00F6748F">
            <w:pPr>
              <w:pStyle w:val="TableTextLeft"/>
              <w:spacing w:before="100" w:beforeAutospacing="1"/>
            </w:pPr>
            <w:r w:rsidRPr="00027624">
              <w:t>Finance industry entities</w:t>
            </w:r>
          </w:p>
        </w:tc>
        <w:tc>
          <w:tcPr>
            <w:tcW w:w="2500" w:type="pct"/>
          </w:tcPr>
          <w:p w14:paraId="18D2B0FB" w14:textId="77777777" w:rsidR="00E96B29" w:rsidRPr="00027624" w:rsidRDefault="00E96B29" w:rsidP="00557D05">
            <w:pPr>
              <w:pStyle w:val="TableTextLeft"/>
              <w:spacing w:before="100" w:beforeAutospacing="1"/>
              <w:jc w:val="center"/>
            </w:pPr>
            <w:r w:rsidRPr="00027624">
              <w:t>8</w:t>
            </w:r>
          </w:p>
        </w:tc>
      </w:tr>
      <w:tr w:rsidR="00E96B29" w:rsidRPr="00027624" w14:paraId="4D569176" w14:textId="77777777" w:rsidTr="00791570">
        <w:trPr>
          <w:trHeight w:val="265"/>
        </w:trPr>
        <w:tc>
          <w:tcPr>
            <w:tcW w:w="2500" w:type="pct"/>
          </w:tcPr>
          <w:p w14:paraId="4F21F420" w14:textId="77777777" w:rsidR="00E96B29" w:rsidRPr="00027624" w:rsidRDefault="00E96B29" w:rsidP="00F6748F">
            <w:pPr>
              <w:pStyle w:val="TableTextLeft"/>
              <w:spacing w:before="100" w:beforeAutospacing="1"/>
            </w:pPr>
            <w:r w:rsidRPr="00027624">
              <w:t>Regulators or government entities</w:t>
            </w:r>
          </w:p>
        </w:tc>
        <w:tc>
          <w:tcPr>
            <w:tcW w:w="2500" w:type="pct"/>
          </w:tcPr>
          <w:p w14:paraId="649F463D" w14:textId="77777777" w:rsidR="00E96B29" w:rsidRPr="00027624" w:rsidRDefault="00E96B29" w:rsidP="00557D05">
            <w:pPr>
              <w:pStyle w:val="TableTextLeft"/>
              <w:spacing w:before="100" w:beforeAutospacing="1"/>
              <w:jc w:val="center"/>
            </w:pPr>
            <w:r w:rsidRPr="00027624">
              <w:t>4</w:t>
            </w:r>
          </w:p>
        </w:tc>
      </w:tr>
      <w:tr w:rsidR="00E96B29" w:rsidRPr="00027624" w14:paraId="5249FCFC" w14:textId="77777777" w:rsidTr="00791570">
        <w:trPr>
          <w:trHeight w:val="265"/>
        </w:trPr>
        <w:tc>
          <w:tcPr>
            <w:tcW w:w="2500" w:type="pct"/>
          </w:tcPr>
          <w:p w14:paraId="0D174D03" w14:textId="77777777" w:rsidR="00E96B29" w:rsidRPr="00027624" w:rsidRDefault="00E96B29" w:rsidP="00F6748F">
            <w:pPr>
              <w:pStyle w:val="TableTextLeft"/>
              <w:spacing w:before="100" w:beforeAutospacing="1"/>
            </w:pPr>
            <w:r w:rsidRPr="00027624">
              <w:t>Individuals</w:t>
            </w:r>
          </w:p>
        </w:tc>
        <w:tc>
          <w:tcPr>
            <w:tcW w:w="2500" w:type="pct"/>
          </w:tcPr>
          <w:p w14:paraId="51F22A34" w14:textId="77777777" w:rsidR="00E96B29" w:rsidRPr="00027624" w:rsidRDefault="00E96B29" w:rsidP="00557D05">
            <w:pPr>
              <w:pStyle w:val="TableTextLeft"/>
              <w:spacing w:before="100" w:beforeAutospacing="1"/>
              <w:jc w:val="center"/>
            </w:pPr>
            <w:r w:rsidRPr="00027624">
              <w:t>10</w:t>
            </w:r>
          </w:p>
        </w:tc>
      </w:tr>
      <w:tr w:rsidR="00E96B29" w:rsidRPr="00027624" w14:paraId="718AE19F" w14:textId="77777777" w:rsidTr="00791570">
        <w:trPr>
          <w:trHeight w:val="265"/>
        </w:trPr>
        <w:tc>
          <w:tcPr>
            <w:tcW w:w="2500" w:type="pct"/>
          </w:tcPr>
          <w:p w14:paraId="7B7B1F31" w14:textId="77777777" w:rsidR="00E96B29" w:rsidRPr="00027624" w:rsidRDefault="00E96B29" w:rsidP="00E96B29">
            <w:pPr>
              <w:pStyle w:val="TableTextLeft"/>
              <w:rPr>
                <w:b/>
              </w:rPr>
            </w:pPr>
            <w:r w:rsidRPr="00027624">
              <w:rPr>
                <w:b/>
              </w:rPr>
              <w:t>TOTAL</w:t>
            </w:r>
          </w:p>
        </w:tc>
        <w:tc>
          <w:tcPr>
            <w:tcW w:w="2500" w:type="pct"/>
          </w:tcPr>
          <w:p w14:paraId="3D689E3A" w14:textId="77777777" w:rsidR="00E96B29" w:rsidRPr="00027624" w:rsidRDefault="00E96B29" w:rsidP="00E96B29">
            <w:pPr>
              <w:pStyle w:val="TableTextLeft"/>
              <w:jc w:val="center"/>
              <w:rPr>
                <w:b/>
              </w:rPr>
            </w:pPr>
            <w:r w:rsidRPr="00027624">
              <w:rPr>
                <w:b/>
              </w:rPr>
              <w:t>41</w:t>
            </w:r>
          </w:p>
        </w:tc>
      </w:tr>
    </w:tbl>
    <w:p w14:paraId="77FE86B2" w14:textId="7EF75E75" w:rsidR="00E96B29" w:rsidRPr="00027624" w:rsidRDefault="00E96B29" w:rsidP="00E96B29">
      <w:r w:rsidRPr="00027624">
        <w:t>In addition to consultation meetings conducted by the panel, the secretariat formally met separately with over 50 stakeholders (</w:t>
      </w:r>
      <w:r w:rsidRPr="00027624">
        <w:fldChar w:fldCharType="begin"/>
      </w:r>
      <w:r w:rsidRPr="00027624">
        <w:instrText xml:space="preserve"> REF _Ref43378986 \r \h  \* MERGEFORMAT </w:instrText>
      </w:r>
      <w:r w:rsidRPr="00027624">
        <w:fldChar w:fldCharType="separate"/>
      </w:r>
      <w:r w:rsidR="00891058">
        <w:t>Table 6E-3</w:t>
      </w:r>
      <w:r w:rsidRPr="00027624">
        <w:fldChar w:fldCharType="end"/>
      </w:r>
      <w:r w:rsidRPr="00027624">
        <w:t>).</w:t>
      </w:r>
    </w:p>
    <w:p w14:paraId="7A825744" w14:textId="77777777" w:rsidR="00E96B29" w:rsidRPr="00027624" w:rsidRDefault="00E96B29" w:rsidP="00E96B29">
      <w:pPr>
        <w:pStyle w:val="TableMainHeading"/>
      </w:pPr>
      <w:bookmarkStart w:id="4424" w:name="_Ref43378986"/>
      <w:r w:rsidRPr="00027624">
        <w:t>Secretariat meetings with stakeholders</w:t>
      </w:r>
      <w:bookmarkEnd w:id="4424"/>
    </w:p>
    <w:tbl>
      <w:tblPr>
        <w:tblW w:w="5000" w:type="pct"/>
        <w:tblLook w:val="01E0" w:firstRow="1" w:lastRow="1" w:firstColumn="1" w:lastColumn="1" w:noHBand="0" w:noVBand="0"/>
      </w:tblPr>
      <w:tblGrid>
        <w:gridCol w:w="4535"/>
        <w:gridCol w:w="4535"/>
      </w:tblGrid>
      <w:tr w:rsidR="00E96B29" w:rsidRPr="00027624" w14:paraId="2EAAB20A" w14:textId="77777777" w:rsidTr="00791570">
        <w:trPr>
          <w:trHeight w:val="271"/>
          <w:tblHeader/>
        </w:trPr>
        <w:tc>
          <w:tcPr>
            <w:tcW w:w="2500" w:type="pct"/>
            <w:shd w:val="clear" w:color="auto" w:fill="E5E5E5"/>
          </w:tcPr>
          <w:p w14:paraId="755ACE9A" w14:textId="77777777" w:rsidR="00E96B29" w:rsidRPr="00027624" w:rsidRDefault="00E96B29" w:rsidP="00E96B29">
            <w:pPr>
              <w:pStyle w:val="TableColumnHeadingLeft"/>
            </w:pPr>
            <w:r w:rsidRPr="00027624">
              <w:t>Stakeholder category</w:t>
            </w:r>
          </w:p>
        </w:tc>
        <w:tc>
          <w:tcPr>
            <w:tcW w:w="2500" w:type="pct"/>
            <w:shd w:val="clear" w:color="auto" w:fill="E5E5E5"/>
          </w:tcPr>
          <w:p w14:paraId="37B4D060" w14:textId="77777777" w:rsidR="00E96B29" w:rsidRPr="00027624" w:rsidRDefault="00E96B29" w:rsidP="00E96B29">
            <w:pPr>
              <w:pStyle w:val="TableColumnHeadingLeft"/>
              <w:jc w:val="center"/>
            </w:pPr>
            <w:r w:rsidRPr="00027624">
              <w:br w:type="page"/>
              <w:t>Number</w:t>
            </w:r>
          </w:p>
        </w:tc>
      </w:tr>
      <w:tr w:rsidR="00E96B29" w:rsidRPr="00027624" w14:paraId="6827AAFD" w14:textId="77777777" w:rsidTr="00791570">
        <w:trPr>
          <w:trHeight w:val="271"/>
        </w:trPr>
        <w:tc>
          <w:tcPr>
            <w:tcW w:w="2500" w:type="pct"/>
          </w:tcPr>
          <w:p w14:paraId="657D0831" w14:textId="77777777" w:rsidR="00E96B29" w:rsidRPr="00027624" w:rsidRDefault="00E96B29" w:rsidP="00F6748F">
            <w:pPr>
              <w:pStyle w:val="TableTextLeft"/>
              <w:spacing w:before="100" w:beforeAutospacing="1"/>
            </w:pPr>
            <w:r w:rsidRPr="00027624">
              <w:t>Representative bodies</w:t>
            </w:r>
          </w:p>
        </w:tc>
        <w:tc>
          <w:tcPr>
            <w:tcW w:w="2500" w:type="pct"/>
          </w:tcPr>
          <w:p w14:paraId="08B0227C" w14:textId="77777777" w:rsidR="00E96B29" w:rsidRPr="00027624" w:rsidRDefault="00E96B29" w:rsidP="00557D05">
            <w:pPr>
              <w:pStyle w:val="TableTextLeft"/>
              <w:spacing w:before="100" w:beforeAutospacing="1"/>
              <w:jc w:val="center"/>
            </w:pPr>
            <w:r w:rsidRPr="00027624">
              <w:t>9</w:t>
            </w:r>
          </w:p>
        </w:tc>
      </w:tr>
      <w:tr w:rsidR="00E96B29" w:rsidRPr="00027624" w14:paraId="070D7F22" w14:textId="77777777" w:rsidTr="00791570">
        <w:trPr>
          <w:trHeight w:val="271"/>
        </w:trPr>
        <w:tc>
          <w:tcPr>
            <w:tcW w:w="2500" w:type="pct"/>
          </w:tcPr>
          <w:p w14:paraId="54D791BD" w14:textId="77777777" w:rsidR="00E96B29" w:rsidRPr="00027624" w:rsidRDefault="00E96B29" w:rsidP="00F6748F">
            <w:pPr>
              <w:pStyle w:val="TableTextLeft"/>
              <w:spacing w:before="100" w:beforeAutospacing="1"/>
            </w:pPr>
            <w:r w:rsidRPr="00027624">
              <w:t>Academics or policy research groups</w:t>
            </w:r>
          </w:p>
        </w:tc>
        <w:tc>
          <w:tcPr>
            <w:tcW w:w="2500" w:type="pct"/>
          </w:tcPr>
          <w:p w14:paraId="6CFED3BA" w14:textId="77777777" w:rsidR="00E96B29" w:rsidRPr="00027624" w:rsidRDefault="00E96B29" w:rsidP="00557D05">
            <w:pPr>
              <w:pStyle w:val="TableTextLeft"/>
              <w:spacing w:before="100" w:beforeAutospacing="1"/>
              <w:jc w:val="center"/>
            </w:pPr>
            <w:r w:rsidRPr="00027624">
              <w:t>31</w:t>
            </w:r>
          </w:p>
        </w:tc>
      </w:tr>
      <w:tr w:rsidR="00E96B29" w:rsidRPr="00027624" w14:paraId="05CC02AE" w14:textId="77777777" w:rsidTr="00791570">
        <w:trPr>
          <w:trHeight w:val="271"/>
        </w:trPr>
        <w:tc>
          <w:tcPr>
            <w:tcW w:w="2500" w:type="pct"/>
          </w:tcPr>
          <w:p w14:paraId="2BD2F8DF" w14:textId="77777777" w:rsidR="00E96B29" w:rsidRPr="00027624" w:rsidRDefault="00E96B29" w:rsidP="00F6748F">
            <w:pPr>
              <w:pStyle w:val="TableTextLeft"/>
              <w:spacing w:before="100" w:beforeAutospacing="1"/>
            </w:pPr>
            <w:r w:rsidRPr="00027624">
              <w:t>Finance industry entities</w:t>
            </w:r>
          </w:p>
        </w:tc>
        <w:tc>
          <w:tcPr>
            <w:tcW w:w="2500" w:type="pct"/>
          </w:tcPr>
          <w:p w14:paraId="57A23B5B" w14:textId="77777777" w:rsidR="00E96B29" w:rsidRPr="00027624" w:rsidRDefault="00E96B29" w:rsidP="00557D05">
            <w:pPr>
              <w:pStyle w:val="TableTextLeft"/>
              <w:spacing w:before="100" w:beforeAutospacing="1"/>
              <w:jc w:val="center"/>
            </w:pPr>
            <w:r w:rsidRPr="00027624">
              <w:t>1</w:t>
            </w:r>
          </w:p>
        </w:tc>
      </w:tr>
      <w:tr w:rsidR="00E96B29" w:rsidRPr="00027624" w14:paraId="64A5C4CE" w14:textId="77777777" w:rsidTr="00791570">
        <w:trPr>
          <w:trHeight w:val="271"/>
        </w:trPr>
        <w:tc>
          <w:tcPr>
            <w:tcW w:w="2500" w:type="pct"/>
          </w:tcPr>
          <w:p w14:paraId="7E8F80E8" w14:textId="77777777" w:rsidR="00E96B29" w:rsidRPr="00027624" w:rsidRDefault="00E96B29" w:rsidP="00F6748F">
            <w:pPr>
              <w:pStyle w:val="TableTextLeft"/>
              <w:spacing w:before="100" w:beforeAutospacing="1"/>
            </w:pPr>
            <w:r w:rsidRPr="00027624">
              <w:t>Regulator or government entities</w:t>
            </w:r>
          </w:p>
        </w:tc>
        <w:tc>
          <w:tcPr>
            <w:tcW w:w="2500" w:type="pct"/>
          </w:tcPr>
          <w:p w14:paraId="62515138" w14:textId="77777777" w:rsidR="00E96B29" w:rsidRPr="00027624" w:rsidRDefault="00E96B29" w:rsidP="00557D05">
            <w:pPr>
              <w:pStyle w:val="TableTextLeft"/>
              <w:spacing w:before="100" w:beforeAutospacing="1"/>
              <w:jc w:val="center"/>
            </w:pPr>
            <w:r w:rsidRPr="00027624">
              <w:t>9</w:t>
            </w:r>
          </w:p>
        </w:tc>
      </w:tr>
      <w:tr w:rsidR="00E96B29" w:rsidRPr="00027624" w14:paraId="6ED670DD" w14:textId="77777777" w:rsidTr="00791570">
        <w:trPr>
          <w:trHeight w:val="271"/>
        </w:trPr>
        <w:tc>
          <w:tcPr>
            <w:tcW w:w="2500" w:type="pct"/>
          </w:tcPr>
          <w:p w14:paraId="467C0F84" w14:textId="77777777" w:rsidR="00E96B29" w:rsidRPr="00027624" w:rsidRDefault="00E96B29" w:rsidP="00F6748F">
            <w:pPr>
              <w:pStyle w:val="TableTextLeft"/>
              <w:spacing w:before="100" w:beforeAutospacing="1"/>
            </w:pPr>
            <w:r w:rsidRPr="00027624">
              <w:t>Individuals</w:t>
            </w:r>
          </w:p>
        </w:tc>
        <w:tc>
          <w:tcPr>
            <w:tcW w:w="2500" w:type="pct"/>
          </w:tcPr>
          <w:p w14:paraId="206C1E63" w14:textId="77777777" w:rsidR="00E96B29" w:rsidRPr="00027624" w:rsidRDefault="00E96B29" w:rsidP="00557D05">
            <w:pPr>
              <w:pStyle w:val="TableTextLeft"/>
              <w:spacing w:before="100" w:beforeAutospacing="1"/>
              <w:jc w:val="center"/>
            </w:pPr>
            <w:r w:rsidRPr="00027624">
              <w:t>1</w:t>
            </w:r>
          </w:p>
        </w:tc>
      </w:tr>
      <w:tr w:rsidR="00E96B29" w:rsidRPr="00027624" w14:paraId="6C3D8487" w14:textId="77777777" w:rsidTr="00791570">
        <w:trPr>
          <w:trHeight w:val="271"/>
        </w:trPr>
        <w:tc>
          <w:tcPr>
            <w:tcW w:w="2500" w:type="pct"/>
          </w:tcPr>
          <w:p w14:paraId="33B4B144" w14:textId="77777777" w:rsidR="00E96B29" w:rsidRPr="00027624" w:rsidRDefault="00E96B29" w:rsidP="00F6748F">
            <w:pPr>
              <w:pStyle w:val="TableTextLeft"/>
              <w:spacing w:before="100" w:beforeAutospacing="1"/>
            </w:pPr>
            <w:r w:rsidRPr="00027624">
              <w:t>International organisation</w:t>
            </w:r>
          </w:p>
        </w:tc>
        <w:tc>
          <w:tcPr>
            <w:tcW w:w="2500" w:type="pct"/>
          </w:tcPr>
          <w:p w14:paraId="36015598" w14:textId="77777777" w:rsidR="00E96B29" w:rsidRPr="00027624" w:rsidRDefault="00E96B29" w:rsidP="00557D05">
            <w:pPr>
              <w:pStyle w:val="TableTextLeft"/>
              <w:spacing w:before="100" w:beforeAutospacing="1"/>
              <w:jc w:val="center"/>
            </w:pPr>
            <w:r w:rsidRPr="00027624">
              <w:t>1</w:t>
            </w:r>
          </w:p>
        </w:tc>
      </w:tr>
      <w:tr w:rsidR="00E96B29" w:rsidRPr="00027624" w14:paraId="5432B474" w14:textId="77777777" w:rsidTr="00791570">
        <w:trPr>
          <w:trHeight w:val="271"/>
        </w:trPr>
        <w:tc>
          <w:tcPr>
            <w:tcW w:w="2500" w:type="pct"/>
          </w:tcPr>
          <w:p w14:paraId="0F1226DB" w14:textId="77777777" w:rsidR="00E96B29" w:rsidRPr="00027624" w:rsidRDefault="00E96B29" w:rsidP="00E96B29">
            <w:pPr>
              <w:pStyle w:val="TableTextLeft"/>
              <w:rPr>
                <w:b/>
              </w:rPr>
            </w:pPr>
            <w:r w:rsidRPr="00027624">
              <w:rPr>
                <w:b/>
              </w:rPr>
              <w:t>TOTAL</w:t>
            </w:r>
          </w:p>
        </w:tc>
        <w:tc>
          <w:tcPr>
            <w:tcW w:w="2500" w:type="pct"/>
          </w:tcPr>
          <w:p w14:paraId="4669641E" w14:textId="77777777" w:rsidR="00E96B29" w:rsidRPr="00027624" w:rsidRDefault="00E96B29" w:rsidP="00E96B29">
            <w:pPr>
              <w:pStyle w:val="TableTextLeft"/>
              <w:jc w:val="center"/>
              <w:rPr>
                <w:b/>
              </w:rPr>
            </w:pPr>
            <w:r w:rsidRPr="00027624">
              <w:rPr>
                <w:b/>
              </w:rPr>
              <w:t>52</w:t>
            </w:r>
          </w:p>
        </w:tc>
      </w:tr>
    </w:tbl>
    <w:p w14:paraId="3841B303" w14:textId="77777777" w:rsidR="00E96B29" w:rsidRPr="00027624" w:rsidRDefault="00E96B29" w:rsidP="00E96B29">
      <w:pPr>
        <w:pStyle w:val="Heading4"/>
      </w:pPr>
      <w:r w:rsidRPr="00027624">
        <w:t xml:space="preserve">Technical </w:t>
      </w:r>
      <w:r w:rsidR="00873DE4" w:rsidRPr="00027624">
        <w:t>r</w:t>
      </w:r>
      <w:r w:rsidRPr="00027624">
        <w:t>oundtable</w:t>
      </w:r>
    </w:p>
    <w:p w14:paraId="4B7D5102" w14:textId="6E4DBBAC" w:rsidR="00E96B29" w:rsidRPr="00027624" w:rsidRDefault="00E96B29" w:rsidP="00E96B29">
      <w:pPr>
        <w:pStyle w:val="Bullet"/>
        <w:keepLines/>
        <w:numPr>
          <w:ilvl w:val="0"/>
          <w:numId w:val="0"/>
        </w:numPr>
        <w:spacing w:after="240"/>
        <w:contextualSpacing/>
      </w:pPr>
      <w:r w:rsidRPr="00027624">
        <w:t>On 13 March 2020, the panel conducted a technical roundtable with a number of experts in modelling of the retirement income system (</w:t>
      </w:r>
      <w:r w:rsidRPr="00027624">
        <w:fldChar w:fldCharType="begin"/>
      </w:r>
      <w:r w:rsidRPr="00027624">
        <w:instrText xml:space="preserve"> REF _Ref43379570 \r \h  \* MERGEFORMAT </w:instrText>
      </w:r>
      <w:r w:rsidRPr="00027624">
        <w:fldChar w:fldCharType="separate"/>
      </w:r>
      <w:r w:rsidR="00891058">
        <w:t>Table 6E-4</w:t>
      </w:r>
      <w:r w:rsidRPr="00027624">
        <w:fldChar w:fldCharType="end"/>
      </w:r>
      <w:r w:rsidRPr="00027624">
        <w:t>).</w:t>
      </w:r>
    </w:p>
    <w:p w14:paraId="2199882E" w14:textId="77777777" w:rsidR="00E96B29" w:rsidRPr="00027624" w:rsidRDefault="00E96B29" w:rsidP="00E96B29">
      <w:pPr>
        <w:pStyle w:val="TableMainHeading"/>
      </w:pPr>
      <w:bookmarkStart w:id="4425" w:name="_Ref43379570"/>
      <w:r w:rsidRPr="00027624">
        <w:t>Roundtable attendees</w:t>
      </w:r>
      <w:bookmarkEnd w:id="4425"/>
      <w:r w:rsidRPr="00027624">
        <w:t xml:space="preserve"> </w:t>
      </w:r>
    </w:p>
    <w:tbl>
      <w:tblPr>
        <w:tblW w:w="5000" w:type="pct"/>
        <w:tblLook w:val="01E0" w:firstRow="1" w:lastRow="1" w:firstColumn="1" w:lastColumn="1" w:noHBand="0" w:noVBand="0"/>
      </w:tblPr>
      <w:tblGrid>
        <w:gridCol w:w="4535"/>
        <w:gridCol w:w="4535"/>
      </w:tblGrid>
      <w:tr w:rsidR="00E96B29" w:rsidRPr="00027624" w14:paraId="70A9C69C" w14:textId="77777777" w:rsidTr="00791570">
        <w:trPr>
          <w:trHeight w:val="323"/>
          <w:tblHeader/>
        </w:trPr>
        <w:tc>
          <w:tcPr>
            <w:tcW w:w="2500" w:type="pct"/>
            <w:shd w:val="clear" w:color="auto" w:fill="E5E5E5"/>
          </w:tcPr>
          <w:p w14:paraId="1A0A0702" w14:textId="77777777" w:rsidR="00E96B29" w:rsidRPr="00027624" w:rsidRDefault="00E96B29" w:rsidP="00E96B29">
            <w:pPr>
              <w:pStyle w:val="TableColumnHeadingLeft"/>
            </w:pPr>
            <w:r w:rsidRPr="00027624">
              <w:br w:type="page"/>
              <w:t>Name</w:t>
            </w:r>
          </w:p>
        </w:tc>
        <w:tc>
          <w:tcPr>
            <w:tcW w:w="2500" w:type="pct"/>
            <w:shd w:val="clear" w:color="auto" w:fill="E5E5E5"/>
          </w:tcPr>
          <w:p w14:paraId="0DBB9758" w14:textId="77777777" w:rsidR="00E96B29" w:rsidRPr="00027624" w:rsidRDefault="00E96B29" w:rsidP="00E96B29">
            <w:pPr>
              <w:pStyle w:val="TableColumnHeadingLeft"/>
            </w:pPr>
            <w:r w:rsidRPr="00027624">
              <w:t>Organisation</w:t>
            </w:r>
          </w:p>
        </w:tc>
      </w:tr>
      <w:tr w:rsidR="00E96B29" w:rsidRPr="00027624" w14:paraId="5DBE09CC" w14:textId="77777777" w:rsidTr="00791570">
        <w:trPr>
          <w:trHeight w:val="296"/>
        </w:trPr>
        <w:tc>
          <w:tcPr>
            <w:tcW w:w="2500" w:type="pct"/>
          </w:tcPr>
          <w:p w14:paraId="3C353EFD" w14:textId="77777777" w:rsidR="00E96B29" w:rsidRPr="00027624" w:rsidRDefault="00E96B29" w:rsidP="00F6748F">
            <w:pPr>
              <w:pStyle w:val="TableTextLeft"/>
              <w:spacing w:before="100" w:beforeAutospacing="1"/>
            </w:pPr>
            <w:r w:rsidRPr="00027624">
              <w:t>Hazel Bateman</w:t>
            </w:r>
          </w:p>
        </w:tc>
        <w:tc>
          <w:tcPr>
            <w:tcW w:w="2500" w:type="pct"/>
          </w:tcPr>
          <w:p w14:paraId="61BE548A" w14:textId="77777777" w:rsidR="00E96B29" w:rsidRPr="00027624" w:rsidRDefault="00E96B29" w:rsidP="00F6748F">
            <w:pPr>
              <w:pStyle w:val="TableTextLeft"/>
              <w:spacing w:before="100" w:beforeAutospacing="1"/>
            </w:pPr>
            <w:r w:rsidRPr="00027624">
              <w:t>CEPAR</w:t>
            </w:r>
          </w:p>
        </w:tc>
      </w:tr>
      <w:tr w:rsidR="00E96B29" w:rsidRPr="00027624" w14:paraId="4ED3E995" w14:textId="77777777" w:rsidTr="00791570">
        <w:trPr>
          <w:trHeight w:val="296"/>
        </w:trPr>
        <w:tc>
          <w:tcPr>
            <w:tcW w:w="2500" w:type="pct"/>
          </w:tcPr>
          <w:p w14:paraId="5E8AC4E1" w14:textId="77777777" w:rsidR="00E96B29" w:rsidRPr="00027624" w:rsidRDefault="00E96B29" w:rsidP="00F6748F">
            <w:pPr>
              <w:pStyle w:val="TableTextLeft"/>
              <w:spacing w:before="100" w:beforeAutospacing="1"/>
            </w:pPr>
            <w:r w:rsidRPr="00027624">
              <w:t>Nathan Bonarius</w:t>
            </w:r>
          </w:p>
        </w:tc>
        <w:tc>
          <w:tcPr>
            <w:tcW w:w="2500" w:type="pct"/>
          </w:tcPr>
          <w:p w14:paraId="0CAFC98D" w14:textId="77777777" w:rsidR="00E96B29" w:rsidRPr="00027624" w:rsidRDefault="00E96B29" w:rsidP="00F6748F">
            <w:pPr>
              <w:pStyle w:val="TableTextLeft"/>
              <w:spacing w:before="100" w:beforeAutospacing="1"/>
            </w:pPr>
            <w:r w:rsidRPr="00027624">
              <w:t>PwC</w:t>
            </w:r>
          </w:p>
        </w:tc>
      </w:tr>
      <w:tr w:rsidR="00E96B29" w:rsidRPr="00027624" w14:paraId="701FBF15" w14:textId="77777777" w:rsidTr="00791570">
        <w:trPr>
          <w:trHeight w:val="296"/>
        </w:trPr>
        <w:tc>
          <w:tcPr>
            <w:tcW w:w="2500" w:type="pct"/>
          </w:tcPr>
          <w:p w14:paraId="32B4DE49" w14:textId="77777777" w:rsidR="00E96B29" w:rsidRPr="00027624" w:rsidRDefault="00E96B29" w:rsidP="00F6748F">
            <w:pPr>
              <w:pStyle w:val="TableTextLeft"/>
              <w:spacing w:before="100" w:beforeAutospacing="1"/>
            </w:pPr>
            <w:r w:rsidRPr="00027624">
              <w:t>Ross Clare</w:t>
            </w:r>
          </w:p>
        </w:tc>
        <w:tc>
          <w:tcPr>
            <w:tcW w:w="2500" w:type="pct"/>
          </w:tcPr>
          <w:p w14:paraId="5FC0523C" w14:textId="77777777" w:rsidR="00E96B29" w:rsidRPr="00027624" w:rsidRDefault="00E96B29" w:rsidP="00F6748F">
            <w:pPr>
              <w:pStyle w:val="TableTextLeft"/>
              <w:spacing w:before="100" w:beforeAutospacing="1"/>
            </w:pPr>
            <w:r w:rsidRPr="00027624">
              <w:t>ASFA</w:t>
            </w:r>
          </w:p>
        </w:tc>
      </w:tr>
      <w:tr w:rsidR="00E96B29" w:rsidRPr="00027624" w14:paraId="2A95BB58" w14:textId="77777777" w:rsidTr="00791570">
        <w:trPr>
          <w:trHeight w:val="296"/>
        </w:trPr>
        <w:tc>
          <w:tcPr>
            <w:tcW w:w="2500" w:type="pct"/>
          </w:tcPr>
          <w:p w14:paraId="0CF26911" w14:textId="77777777" w:rsidR="00E96B29" w:rsidRPr="00027624" w:rsidRDefault="00E96B29" w:rsidP="00F6748F">
            <w:pPr>
              <w:pStyle w:val="TableTextLeft"/>
              <w:spacing w:before="100" w:beforeAutospacing="1"/>
            </w:pPr>
            <w:r w:rsidRPr="00027624">
              <w:t>Brendan Coates</w:t>
            </w:r>
          </w:p>
        </w:tc>
        <w:tc>
          <w:tcPr>
            <w:tcW w:w="2500" w:type="pct"/>
          </w:tcPr>
          <w:p w14:paraId="4AB55BF6" w14:textId="77777777" w:rsidR="00E96B29" w:rsidRPr="00027624" w:rsidRDefault="00E96B29" w:rsidP="00F6748F">
            <w:pPr>
              <w:pStyle w:val="TableTextLeft"/>
              <w:spacing w:before="100" w:beforeAutospacing="1"/>
            </w:pPr>
            <w:r w:rsidRPr="00027624">
              <w:t>Grattan Institute</w:t>
            </w:r>
          </w:p>
        </w:tc>
      </w:tr>
      <w:tr w:rsidR="00E96B29" w:rsidRPr="00027624" w14:paraId="2969153C" w14:textId="77777777" w:rsidTr="00791570">
        <w:trPr>
          <w:trHeight w:val="296"/>
        </w:trPr>
        <w:tc>
          <w:tcPr>
            <w:tcW w:w="2500" w:type="pct"/>
          </w:tcPr>
          <w:p w14:paraId="4D40E3AD" w14:textId="77777777" w:rsidR="00E96B29" w:rsidRPr="00027624" w:rsidRDefault="00E96B29" w:rsidP="00F6748F">
            <w:pPr>
              <w:pStyle w:val="TableTextLeft"/>
              <w:spacing w:before="100" w:beforeAutospacing="1"/>
            </w:pPr>
            <w:r w:rsidRPr="00027624">
              <w:t>Jacki Ellis</w:t>
            </w:r>
          </w:p>
        </w:tc>
        <w:tc>
          <w:tcPr>
            <w:tcW w:w="2500" w:type="pct"/>
          </w:tcPr>
          <w:p w14:paraId="4D6B5357" w14:textId="77777777" w:rsidR="00E96B29" w:rsidRPr="00027624" w:rsidRDefault="00E96B29" w:rsidP="00F6748F">
            <w:pPr>
              <w:pStyle w:val="TableTextLeft"/>
              <w:spacing w:before="100" w:beforeAutospacing="1"/>
            </w:pPr>
            <w:r w:rsidRPr="00027624">
              <w:t>First State Super</w:t>
            </w:r>
          </w:p>
        </w:tc>
      </w:tr>
      <w:tr w:rsidR="00E96B29" w:rsidRPr="00027624" w14:paraId="04469D07" w14:textId="77777777" w:rsidTr="00791570">
        <w:trPr>
          <w:trHeight w:val="296"/>
        </w:trPr>
        <w:tc>
          <w:tcPr>
            <w:tcW w:w="2500" w:type="pct"/>
          </w:tcPr>
          <w:p w14:paraId="3F607677" w14:textId="77777777" w:rsidR="00E96B29" w:rsidRPr="00027624" w:rsidRDefault="00E96B29" w:rsidP="00F6748F">
            <w:pPr>
              <w:pStyle w:val="TableTextLeft"/>
              <w:spacing w:before="100" w:beforeAutospacing="1"/>
            </w:pPr>
            <w:r w:rsidRPr="00027624">
              <w:t>Phil Gallagher, PSM</w:t>
            </w:r>
          </w:p>
        </w:tc>
        <w:tc>
          <w:tcPr>
            <w:tcW w:w="2500" w:type="pct"/>
          </w:tcPr>
          <w:p w14:paraId="72AD7AA2" w14:textId="77777777" w:rsidR="00E96B29" w:rsidRPr="00027624" w:rsidRDefault="00E96B29" w:rsidP="00F6748F">
            <w:pPr>
              <w:pStyle w:val="TableTextLeft"/>
              <w:spacing w:before="100" w:beforeAutospacing="1"/>
            </w:pPr>
            <w:r w:rsidRPr="00027624">
              <w:t>ISA</w:t>
            </w:r>
          </w:p>
        </w:tc>
      </w:tr>
      <w:tr w:rsidR="00E96B29" w:rsidRPr="00027624" w14:paraId="1077C3A0" w14:textId="77777777" w:rsidTr="00791570">
        <w:trPr>
          <w:trHeight w:val="296"/>
        </w:trPr>
        <w:tc>
          <w:tcPr>
            <w:tcW w:w="2500" w:type="pct"/>
          </w:tcPr>
          <w:p w14:paraId="2402D8E8" w14:textId="77777777" w:rsidR="00E96B29" w:rsidRPr="00027624" w:rsidRDefault="00E96B29" w:rsidP="00F6748F">
            <w:pPr>
              <w:pStyle w:val="TableTextLeft"/>
              <w:spacing w:before="100" w:beforeAutospacing="1"/>
            </w:pPr>
            <w:r w:rsidRPr="00027624">
              <w:t>Dr David Knox</w:t>
            </w:r>
          </w:p>
        </w:tc>
        <w:tc>
          <w:tcPr>
            <w:tcW w:w="2500" w:type="pct"/>
          </w:tcPr>
          <w:p w14:paraId="1C47FB13" w14:textId="77777777" w:rsidR="00E96B29" w:rsidRPr="00027624" w:rsidRDefault="00E96B29" w:rsidP="00F6748F">
            <w:pPr>
              <w:pStyle w:val="TableTextLeft"/>
              <w:spacing w:before="100" w:beforeAutospacing="1"/>
            </w:pPr>
            <w:r w:rsidRPr="00027624">
              <w:t>Mercer</w:t>
            </w:r>
          </w:p>
        </w:tc>
      </w:tr>
      <w:tr w:rsidR="00E96B29" w:rsidRPr="00027624" w14:paraId="1AA522CD" w14:textId="77777777" w:rsidTr="00791570">
        <w:trPr>
          <w:trHeight w:val="296"/>
        </w:trPr>
        <w:tc>
          <w:tcPr>
            <w:tcW w:w="2500" w:type="pct"/>
          </w:tcPr>
          <w:p w14:paraId="5D987BAF" w14:textId="77777777" w:rsidR="00E96B29" w:rsidRPr="00027624" w:rsidRDefault="00E96B29" w:rsidP="00F6748F">
            <w:pPr>
              <w:pStyle w:val="TableTextLeft"/>
              <w:spacing w:before="100" w:beforeAutospacing="1"/>
            </w:pPr>
            <w:r w:rsidRPr="00027624">
              <w:t>Matthias Oldham</w:t>
            </w:r>
          </w:p>
        </w:tc>
        <w:tc>
          <w:tcPr>
            <w:tcW w:w="2500" w:type="pct"/>
          </w:tcPr>
          <w:p w14:paraId="3DCDC902" w14:textId="77777777" w:rsidR="00E96B29" w:rsidRPr="00027624" w:rsidRDefault="00E96B29" w:rsidP="00F6748F">
            <w:pPr>
              <w:pStyle w:val="TableTextLeft"/>
              <w:spacing w:before="100" w:beforeAutospacing="1"/>
            </w:pPr>
            <w:r w:rsidRPr="00027624">
              <w:t>Super Consumers Australia</w:t>
            </w:r>
          </w:p>
        </w:tc>
      </w:tr>
      <w:tr w:rsidR="00E96B29" w:rsidRPr="00027624" w14:paraId="1812B5B6" w14:textId="77777777" w:rsidTr="00791570">
        <w:trPr>
          <w:trHeight w:val="296"/>
        </w:trPr>
        <w:tc>
          <w:tcPr>
            <w:tcW w:w="2500" w:type="pct"/>
          </w:tcPr>
          <w:p w14:paraId="4C34DA7A" w14:textId="77777777" w:rsidR="00E96B29" w:rsidRPr="00027624" w:rsidRDefault="00E96B29" w:rsidP="00F6748F">
            <w:pPr>
              <w:pStyle w:val="TableTextLeft"/>
              <w:spacing w:before="100" w:beforeAutospacing="1"/>
            </w:pPr>
            <w:r w:rsidRPr="00027624">
              <w:t>Michael Rice</w:t>
            </w:r>
          </w:p>
        </w:tc>
        <w:tc>
          <w:tcPr>
            <w:tcW w:w="2500" w:type="pct"/>
          </w:tcPr>
          <w:p w14:paraId="22AE6984" w14:textId="77777777" w:rsidR="00E96B29" w:rsidRPr="00027624" w:rsidRDefault="00E96B29" w:rsidP="00F6748F">
            <w:pPr>
              <w:pStyle w:val="TableTextLeft"/>
              <w:spacing w:before="100" w:beforeAutospacing="1"/>
            </w:pPr>
            <w:r w:rsidRPr="00027624">
              <w:t>Rice Warner</w:t>
            </w:r>
          </w:p>
        </w:tc>
      </w:tr>
      <w:tr w:rsidR="00E96B29" w:rsidRPr="00027624" w14:paraId="67334755" w14:textId="77777777" w:rsidTr="00791570">
        <w:trPr>
          <w:trHeight w:val="296"/>
        </w:trPr>
        <w:tc>
          <w:tcPr>
            <w:tcW w:w="2500" w:type="pct"/>
          </w:tcPr>
          <w:p w14:paraId="20D1C8E8" w14:textId="77777777" w:rsidR="00E96B29" w:rsidRPr="00027624" w:rsidRDefault="00E96B29" w:rsidP="00F6748F">
            <w:pPr>
              <w:pStyle w:val="TableTextLeft"/>
              <w:spacing w:before="100" w:beforeAutospacing="1"/>
            </w:pPr>
            <w:r w:rsidRPr="00027624">
              <w:t>Geoff Warren</w:t>
            </w:r>
          </w:p>
        </w:tc>
        <w:tc>
          <w:tcPr>
            <w:tcW w:w="2500" w:type="pct"/>
          </w:tcPr>
          <w:p w14:paraId="2B153231" w14:textId="77777777" w:rsidR="00E96B29" w:rsidRPr="00027624" w:rsidRDefault="00E96B29" w:rsidP="00F6748F">
            <w:pPr>
              <w:pStyle w:val="TableTextLeft"/>
              <w:spacing w:before="100" w:beforeAutospacing="1"/>
            </w:pPr>
            <w:r w:rsidRPr="00027624">
              <w:t>ANU</w:t>
            </w:r>
          </w:p>
        </w:tc>
      </w:tr>
    </w:tbl>
    <w:p w14:paraId="3544774C" w14:textId="77777777" w:rsidR="00E96B29" w:rsidRPr="00027624" w:rsidRDefault="00E96B29" w:rsidP="005E63E7">
      <w:pPr>
        <w:pStyle w:val="Heading2"/>
        <w:spacing w:before="200"/>
      </w:pPr>
      <w:bookmarkStart w:id="4426" w:name="_Toc45520581"/>
      <w:bookmarkStart w:id="4427" w:name="_Toc46133693"/>
      <w:r w:rsidRPr="00027624">
        <w:t>Submissions</w:t>
      </w:r>
      <w:bookmarkEnd w:id="4426"/>
      <w:bookmarkEnd w:id="4427"/>
    </w:p>
    <w:p w14:paraId="1EA17C46" w14:textId="57766AA1" w:rsidR="00E96B29" w:rsidRPr="00027624" w:rsidRDefault="00E96B29" w:rsidP="00E96B29">
      <w:r w:rsidRPr="00027624">
        <w:t>Over 430 submissions made to the review, covering a number of key topics (</w:t>
      </w:r>
      <w:r w:rsidRPr="00027624">
        <w:fldChar w:fldCharType="begin"/>
      </w:r>
      <w:r w:rsidRPr="00027624">
        <w:instrText xml:space="preserve"> REF _Ref44752252 \r \h  \* MERGEFORMAT </w:instrText>
      </w:r>
      <w:r w:rsidRPr="00027624">
        <w:fldChar w:fldCharType="separate"/>
      </w:r>
      <w:r w:rsidR="00891058">
        <w:t>Chart 6E-3</w:t>
      </w:r>
      <w:r w:rsidRPr="00027624">
        <w:fldChar w:fldCharType="end"/>
      </w:r>
      <w:r w:rsidRPr="00027624">
        <w:t>)</w:t>
      </w:r>
      <w:r w:rsidR="00873DE4" w:rsidRPr="00027624">
        <w:t>,</w:t>
      </w:r>
      <w:r w:rsidRPr="00027624">
        <w:t xml:space="preserve"> came from both individuals and various organisations (</w:t>
      </w:r>
      <w:r w:rsidRPr="00027624">
        <w:fldChar w:fldCharType="begin"/>
      </w:r>
      <w:r w:rsidRPr="00027624">
        <w:instrText xml:space="preserve"> REF _Ref39564934 \n \h  \* MERGEFORMAT </w:instrText>
      </w:r>
      <w:r w:rsidRPr="00027624">
        <w:fldChar w:fldCharType="separate"/>
      </w:r>
      <w:r w:rsidR="00891058">
        <w:t>Chart 6E-3</w:t>
      </w:r>
      <w:r w:rsidRPr="00027624">
        <w:fldChar w:fldCharType="end"/>
      </w:r>
      <w:r w:rsidRPr="00027624">
        <w:t>).</w:t>
      </w:r>
      <w:bookmarkStart w:id="4428" w:name="_Ref38017498"/>
    </w:p>
    <w:p w14:paraId="34293EDB" w14:textId="77777777" w:rsidR="00E96B29" w:rsidRPr="00027624" w:rsidRDefault="00E96B29" w:rsidP="00E96B29">
      <w:pPr>
        <w:pStyle w:val="ChartMainHeading"/>
      </w:pPr>
      <w:bookmarkStart w:id="4429" w:name="_Ref44752283"/>
      <w:r w:rsidRPr="00027624">
        <w:t>Submissions, by topic category</w:t>
      </w:r>
      <w:bookmarkEnd w:id="4428"/>
      <w:bookmarkEnd w:id="4429"/>
    </w:p>
    <w:p w14:paraId="2D5D1E98" w14:textId="77777777" w:rsidR="00E96B29" w:rsidRPr="00027624" w:rsidRDefault="003058C1" w:rsidP="0094088B">
      <w:pPr>
        <w:pStyle w:val="ChartGraphic"/>
      </w:pPr>
      <w:r>
        <w:rPr>
          <w:noProof/>
        </w:rPr>
        <w:drawing>
          <wp:inline distT="0" distB="0" distL="0" distR="0" wp14:anchorId="1D6FB129" wp14:editId="60EC3315">
            <wp:extent cx="5577840" cy="3962400"/>
            <wp:effectExtent l="0" t="0" r="3810" b="0"/>
            <wp:docPr id="679974608" name="Picture 679974608" descr="This chart shows that the most popular categories for submissions were the Age Pension and means testing, adequacy, equity, housing/home ownership, and superannuation and tax concessions." title="Chart 6E-2 Submissions, by topic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577840" cy="3962400"/>
                    </a:xfrm>
                    <a:prstGeom prst="rect">
                      <a:avLst/>
                    </a:prstGeom>
                    <a:noFill/>
                  </pic:spPr>
                </pic:pic>
              </a:graphicData>
            </a:graphic>
          </wp:inline>
        </w:drawing>
      </w:r>
    </w:p>
    <w:p w14:paraId="686B682F" w14:textId="77777777" w:rsidR="00E96B29" w:rsidRPr="00027624" w:rsidRDefault="00E96B29" w:rsidP="00E96B29">
      <w:pPr>
        <w:pStyle w:val="ChartorTableNote"/>
      </w:pPr>
      <w:r w:rsidRPr="00027624">
        <w:t>Source: Data collected by the review.</w:t>
      </w:r>
    </w:p>
    <w:p w14:paraId="7B88D166" w14:textId="77777777" w:rsidR="00E96B29" w:rsidRPr="00027624" w:rsidRDefault="00E96B29" w:rsidP="00E96B29">
      <w:pPr>
        <w:pStyle w:val="ChartMainHeading"/>
      </w:pPr>
      <w:bookmarkStart w:id="4430" w:name="_Ref39564934"/>
      <w:bookmarkStart w:id="4431" w:name="_Ref44752252"/>
      <w:r w:rsidRPr="00027624">
        <w:t>Submissions by stakeholder category</w:t>
      </w:r>
      <w:bookmarkEnd w:id="4430"/>
      <w:bookmarkEnd w:id="4431"/>
    </w:p>
    <w:p w14:paraId="4AD63FB3" w14:textId="18FB7599" w:rsidR="00E96B29" w:rsidRPr="00027624" w:rsidRDefault="00C34F49" w:rsidP="0094088B">
      <w:pPr>
        <w:pStyle w:val="ChartGraphic"/>
      </w:pPr>
      <w:r>
        <w:rPr>
          <w:noProof/>
        </w:rPr>
        <w:drawing>
          <wp:inline distT="0" distB="0" distL="0" distR="0" wp14:anchorId="34DB038C" wp14:editId="096EF495">
            <wp:extent cx="5577840" cy="2522220"/>
            <wp:effectExtent l="0" t="0" r="3810" b="0"/>
            <wp:docPr id="17" name="Picture 17" descr="This chart shows that the majority of submissions were from individuals (around 65 per cent). This was followed by representative bodies at around 15 per cent. The other types of stakeholders – academic or policy groups, industry organisations, business entities, and regulator or government entities – made up under 10 per cent of submissions each." title="Chart 6E-3 Submissions by stakeholder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577840" cy="2522220"/>
                    </a:xfrm>
                    <a:prstGeom prst="rect">
                      <a:avLst/>
                    </a:prstGeom>
                    <a:noFill/>
                  </pic:spPr>
                </pic:pic>
              </a:graphicData>
            </a:graphic>
          </wp:inline>
        </w:drawing>
      </w:r>
    </w:p>
    <w:p w14:paraId="1856836E" w14:textId="77777777" w:rsidR="00E96B29" w:rsidRPr="00027624" w:rsidRDefault="00E96B29" w:rsidP="00E96B29">
      <w:pPr>
        <w:pStyle w:val="ChartorTableNote"/>
      </w:pPr>
      <w:r w:rsidRPr="00027624">
        <w:t>Note: The above chart shows the entities that have made a submission rather than the number of submissions received. In some instances, the one entity provided more than one submission.</w:t>
      </w:r>
    </w:p>
    <w:p w14:paraId="49FCDECA" w14:textId="2294B78D" w:rsidR="00E96B29" w:rsidRPr="00027624" w:rsidRDefault="00E96B29" w:rsidP="00E96B29">
      <w:r w:rsidRPr="00027624">
        <w:t>Of all submissions received, 143 were made in a confidential capacity and were not published. All non</w:t>
      </w:r>
      <w:r w:rsidR="00A8443E" w:rsidRPr="00027624">
        <w:noBreakHyphen/>
      </w:r>
      <w:r w:rsidRPr="00027624">
        <w:t>confidential submissions were published on the Treasury website (</w:t>
      </w:r>
      <w:r w:rsidRPr="00027624">
        <w:fldChar w:fldCharType="begin"/>
      </w:r>
      <w:r w:rsidRPr="00027624">
        <w:instrText xml:space="preserve"> REF _Ref38459439 \r \h  \* MERGEFORMAT </w:instrText>
      </w:r>
      <w:r w:rsidRPr="00027624">
        <w:fldChar w:fldCharType="separate"/>
      </w:r>
      <w:r w:rsidR="00891058">
        <w:t>Table 6E-5</w:t>
      </w:r>
      <w:r w:rsidRPr="00027624">
        <w:fldChar w:fldCharType="end"/>
      </w:r>
      <w:r w:rsidRPr="00027624">
        <w:t>) including 13 submissions that requested anonymous publication.</w:t>
      </w:r>
      <w:r w:rsidRPr="00027624">
        <w:rPr>
          <w:rStyle w:val="FootnoteReference"/>
        </w:rPr>
        <w:footnoteReference w:id="340"/>
      </w:r>
    </w:p>
    <w:p w14:paraId="04FBBE55" w14:textId="77777777" w:rsidR="00E96B29" w:rsidRPr="00027624" w:rsidRDefault="00E96B29" w:rsidP="00E96B29">
      <w:pPr>
        <w:pStyle w:val="TableMainHeading"/>
      </w:pPr>
      <w:bookmarkStart w:id="4432" w:name="_Ref38459439"/>
      <w:r w:rsidRPr="00027624">
        <w:t>Non</w:t>
      </w:r>
      <w:r w:rsidR="00A8443E" w:rsidRPr="00027624">
        <w:noBreakHyphen/>
      </w:r>
      <w:r w:rsidRPr="00027624">
        <w:t>confidential published submissions</w:t>
      </w:r>
      <w:bookmarkEnd w:id="4432"/>
    </w:p>
    <w:tbl>
      <w:tblPr>
        <w:tblW w:w="5000" w:type="pct"/>
        <w:tblLook w:val="01E0" w:firstRow="1" w:lastRow="1" w:firstColumn="1" w:lastColumn="1" w:noHBand="0" w:noVBand="0"/>
      </w:tblPr>
      <w:tblGrid>
        <w:gridCol w:w="4535"/>
        <w:gridCol w:w="4535"/>
      </w:tblGrid>
      <w:tr w:rsidR="00E96B29" w:rsidRPr="00027624" w14:paraId="2BBACB0F" w14:textId="77777777" w:rsidTr="00E96B29">
        <w:trPr>
          <w:tblHeader/>
        </w:trPr>
        <w:tc>
          <w:tcPr>
            <w:tcW w:w="2500" w:type="pct"/>
            <w:shd w:val="clear" w:color="auto" w:fill="E5E5E5"/>
          </w:tcPr>
          <w:p w14:paraId="48C17947" w14:textId="77777777" w:rsidR="00E96B29" w:rsidRPr="00027624" w:rsidRDefault="00E96B29" w:rsidP="00AE42B0">
            <w:pPr>
              <w:pStyle w:val="TableColumnHeadingLeft"/>
            </w:pPr>
            <w:r w:rsidRPr="00027624">
              <w:br w:type="page"/>
              <w:t>Submitters</w:t>
            </w:r>
          </w:p>
        </w:tc>
        <w:tc>
          <w:tcPr>
            <w:tcW w:w="2500" w:type="pct"/>
            <w:shd w:val="clear" w:color="auto" w:fill="E5E5E5"/>
          </w:tcPr>
          <w:p w14:paraId="41566DB0" w14:textId="77777777" w:rsidR="00E96B29" w:rsidRPr="00027624" w:rsidRDefault="00E96B29" w:rsidP="00AE42B0">
            <w:pPr>
              <w:pStyle w:val="TableColumnHeadingLeft"/>
            </w:pPr>
            <w:r w:rsidRPr="00027624">
              <w:t>Submitters</w:t>
            </w:r>
          </w:p>
        </w:tc>
      </w:tr>
      <w:tr w:rsidR="00E96B29" w:rsidRPr="00027624" w14:paraId="5FCF8C9A" w14:textId="77777777" w:rsidTr="00E96B29">
        <w:tc>
          <w:tcPr>
            <w:tcW w:w="2500" w:type="pct"/>
          </w:tcPr>
          <w:p w14:paraId="380CDB49" w14:textId="77777777" w:rsidR="00E96B29" w:rsidRPr="00027624" w:rsidRDefault="00E96B29" w:rsidP="00E96B29">
            <w:pPr>
              <w:pStyle w:val="TableTextLeft"/>
            </w:pPr>
            <w:r w:rsidRPr="00027624">
              <w:t>Actuaries Institute</w:t>
            </w:r>
          </w:p>
        </w:tc>
        <w:tc>
          <w:tcPr>
            <w:tcW w:w="2500" w:type="pct"/>
          </w:tcPr>
          <w:p w14:paraId="60455B61" w14:textId="77777777" w:rsidR="00E96B29" w:rsidRPr="00027624" w:rsidRDefault="00E96B29" w:rsidP="00E96B29">
            <w:pPr>
              <w:pStyle w:val="TableTextLeft"/>
            </w:pPr>
            <w:r w:rsidRPr="00027624">
              <w:t>Australian Unity</w:t>
            </w:r>
          </w:p>
        </w:tc>
      </w:tr>
      <w:tr w:rsidR="00E96B29" w:rsidRPr="00027624" w14:paraId="4C5CFDC5" w14:textId="77777777" w:rsidTr="00E96B29">
        <w:tc>
          <w:tcPr>
            <w:tcW w:w="2500" w:type="pct"/>
          </w:tcPr>
          <w:p w14:paraId="3851CD28" w14:textId="77777777" w:rsidR="00E96B29" w:rsidRPr="00027624" w:rsidRDefault="00E96B29" w:rsidP="00E96B29">
            <w:pPr>
              <w:pStyle w:val="TableTextLeft"/>
            </w:pPr>
            <w:r w:rsidRPr="00027624">
              <w:t>AIA Australia</w:t>
            </w:r>
          </w:p>
        </w:tc>
        <w:tc>
          <w:tcPr>
            <w:tcW w:w="2500" w:type="pct"/>
          </w:tcPr>
          <w:p w14:paraId="35384FDF" w14:textId="77777777" w:rsidR="00E96B29" w:rsidRPr="00027624" w:rsidRDefault="00E96B29" w:rsidP="00E96B29">
            <w:pPr>
              <w:pStyle w:val="TableTextLeft"/>
            </w:pPr>
            <w:r w:rsidRPr="00027624">
              <w:t>Australian Women Against Violence Alliance</w:t>
            </w:r>
          </w:p>
        </w:tc>
      </w:tr>
      <w:tr w:rsidR="00E96B29" w:rsidRPr="00027624" w14:paraId="7ADB22E0" w14:textId="77777777" w:rsidTr="00E96B29">
        <w:tc>
          <w:tcPr>
            <w:tcW w:w="2500" w:type="pct"/>
          </w:tcPr>
          <w:p w14:paraId="26804DA7" w14:textId="77777777" w:rsidR="00E96B29" w:rsidRPr="00027624" w:rsidRDefault="00E96B29" w:rsidP="00E96B29">
            <w:pPr>
              <w:pStyle w:val="TableTextLeft"/>
            </w:pPr>
            <w:r w:rsidRPr="00027624">
              <w:t>Amabile, Peter</w:t>
            </w:r>
          </w:p>
        </w:tc>
        <w:tc>
          <w:tcPr>
            <w:tcW w:w="2500" w:type="pct"/>
          </w:tcPr>
          <w:p w14:paraId="232FC667" w14:textId="77777777" w:rsidR="00E96B29" w:rsidRPr="00027624" w:rsidRDefault="00E96B29" w:rsidP="00E96B29">
            <w:pPr>
              <w:pStyle w:val="TableTextLeft"/>
            </w:pPr>
            <w:r w:rsidRPr="00027624">
              <w:t>Ballantyne, John</w:t>
            </w:r>
          </w:p>
        </w:tc>
      </w:tr>
      <w:tr w:rsidR="00E96B29" w:rsidRPr="00027624" w14:paraId="21F7687B" w14:textId="77777777" w:rsidTr="00E96B29">
        <w:tc>
          <w:tcPr>
            <w:tcW w:w="2500" w:type="pct"/>
          </w:tcPr>
          <w:p w14:paraId="43D5D3D3" w14:textId="77777777" w:rsidR="00E96B29" w:rsidRPr="00027624" w:rsidRDefault="00E96B29" w:rsidP="00E96B29">
            <w:pPr>
              <w:pStyle w:val="TableTextLeft"/>
            </w:pPr>
            <w:r w:rsidRPr="00027624">
              <w:t>AMP Services Ltd</w:t>
            </w:r>
          </w:p>
        </w:tc>
        <w:tc>
          <w:tcPr>
            <w:tcW w:w="2500" w:type="pct"/>
          </w:tcPr>
          <w:p w14:paraId="7D2C2795" w14:textId="77777777" w:rsidR="00E96B29" w:rsidRPr="00027624" w:rsidRDefault="00E96B29" w:rsidP="00E96B29">
            <w:pPr>
              <w:pStyle w:val="TableTextLeft"/>
            </w:pPr>
            <w:r w:rsidRPr="00027624">
              <w:t>Bartus, Zoltan</w:t>
            </w:r>
          </w:p>
        </w:tc>
      </w:tr>
      <w:tr w:rsidR="00E96B29" w:rsidRPr="00027624" w14:paraId="392D6633" w14:textId="77777777" w:rsidTr="00E96B29">
        <w:tc>
          <w:tcPr>
            <w:tcW w:w="2500" w:type="pct"/>
          </w:tcPr>
          <w:p w14:paraId="2B6FF926" w14:textId="77777777" w:rsidR="00E96B29" w:rsidRPr="00027624" w:rsidRDefault="00E96B29" w:rsidP="00E96B29">
            <w:pPr>
              <w:pStyle w:val="TableTextLeft"/>
            </w:pPr>
            <w:r w:rsidRPr="00027624">
              <w:t>Association of Independent Retirees</w:t>
            </w:r>
          </w:p>
        </w:tc>
        <w:tc>
          <w:tcPr>
            <w:tcW w:w="2500" w:type="pct"/>
          </w:tcPr>
          <w:p w14:paraId="01B5DEB5" w14:textId="77777777" w:rsidR="00E96B29" w:rsidRPr="00027624" w:rsidRDefault="00E96B29" w:rsidP="00E96B29">
            <w:pPr>
              <w:pStyle w:val="TableTextLeft"/>
            </w:pPr>
            <w:r w:rsidRPr="00027624">
              <w:t>Bell, Charlie</w:t>
            </w:r>
          </w:p>
        </w:tc>
      </w:tr>
      <w:tr w:rsidR="00E96B29" w:rsidRPr="00027624" w14:paraId="6822968B" w14:textId="77777777" w:rsidTr="00E96B29">
        <w:tc>
          <w:tcPr>
            <w:tcW w:w="2500" w:type="pct"/>
          </w:tcPr>
          <w:p w14:paraId="1DB67EF5" w14:textId="77777777" w:rsidR="00E96B29" w:rsidRPr="00027624" w:rsidRDefault="00E96B29" w:rsidP="00E96B29">
            <w:pPr>
              <w:pStyle w:val="TableTextLeft"/>
            </w:pPr>
            <w:r w:rsidRPr="00027624">
              <w:t>Association of Independent Retirees</w:t>
            </w:r>
            <w:r w:rsidR="00A8443E" w:rsidRPr="00027624">
              <w:t xml:space="preserve"> — </w:t>
            </w:r>
            <w:r w:rsidRPr="00027624">
              <w:t>Bunbury Branch</w:t>
            </w:r>
          </w:p>
        </w:tc>
        <w:tc>
          <w:tcPr>
            <w:tcW w:w="2500" w:type="pct"/>
          </w:tcPr>
          <w:p w14:paraId="7D3151F8" w14:textId="77777777" w:rsidR="00E96B29" w:rsidRPr="00027624" w:rsidRDefault="00E96B29" w:rsidP="00E96B29">
            <w:pPr>
              <w:pStyle w:val="TableTextLeft"/>
            </w:pPr>
            <w:r w:rsidRPr="00027624">
              <w:t>Benson, Graeme</w:t>
            </w:r>
          </w:p>
        </w:tc>
      </w:tr>
      <w:tr w:rsidR="00E96B29" w:rsidRPr="00027624" w14:paraId="75FCD7F2" w14:textId="77777777" w:rsidTr="00E96B29">
        <w:tc>
          <w:tcPr>
            <w:tcW w:w="2500" w:type="pct"/>
          </w:tcPr>
          <w:p w14:paraId="11F651A7" w14:textId="77777777" w:rsidR="00E96B29" w:rsidRPr="00027624" w:rsidRDefault="00E96B29" w:rsidP="00E96B29">
            <w:pPr>
              <w:pStyle w:val="TableTextLeft"/>
            </w:pPr>
            <w:r w:rsidRPr="00027624">
              <w:t>Association of Independent Retirees</w:t>
            </w:r>
            <w:r w:rsidR="00A8443E" w:rsidRPr="00027624">
              <w:t xml:space="preserve"> — </w:t>
            </w:r>
            <w:r w:rsidRPr="00027624">
              <w:t>Noosa Branch</w:t>
            </w:r>
          </w:p>
        </w:tc>
        <w:tc>
          <w:tcPr>
            <w:tcW w:w="2500" w:type="pct"/>
          </w:tcPr>
          <w:p w14:paraId="31A73083" w14:textId="77777777" w:rsidR="00E96B29" w:rsidRPr="00027624" w:rsidRDefault="00E96B29" w:rsidP="00E96B29">
            <w:pPr>
              <w:pStyle w:val="TableTextLeft"/>
            </w:pPr>
            <w:r w:rsidRPr="00027624">
              <w:t>Berrill and Watson Lawyers</w:t>
            </w:r>
          </w:p>
        </w:tc>
      </w:tr>
      <w:tr w:rsidR="00E96B29" w:rsidRPr="00027624" w14:paraId="163A0FD9" w14:textId="77777777" w:rsidTr="00E96B29">
        <w:tc>
          <w:tcPr>
            <w:tcW w:w="2500" w:type="pct"/>
          </w:tcPr>
          <w:p w14:paraId="7FF54E41" w14:textId="77777777" w:rsidR="00E96B29" w:rsidRPr="00027624" w:rsidRDefault="00E96B29" w:rsidP="00E96B29">
            <w:pPr>
              <w:pStyle w:val="TableTextLeft"/>
            </w:pPr>
            <w:r w:rsidRPr="00027624">
              <w:t>Association of Independent Retirees</w:t>
            </w:r>
            <w:r w:rsidR="00A8443E" w:rsidRPr="00027624">
              <w:t xml:space="preserve"> — </w:t>
            </w:r>
            <w:r w:rsidRPr="00027624">
              <w:t>Sydney Hills District Branch</w:t>
            </w:r>
          </w:p>
        </w:tc>
        <w:tc>
          <w:tcPr>
            <w:tcW w:w="2500" w:type="pct"/>
          </w:tcPr>
          <w:p w14:paraId="00C810D3" w14:textId="77777777" w:rsidR="00E96B29" w:rsidRPr="00027624" w:rsidRDefault="00E96B29" w:rsidP="00E96B29">
            <w:pPr>
              <w:pStyle w:val="TableTextLeft"/>
            </w:pPr>
            <w:r w:rsidRPr="00027624">
              <w:t>Berry, Denise</w:t>
            </w:r>
          </w:p>
        </w:tc>
      </w:tr>
      <w:tr w:rsidR="00E96B29" w:rsidRPr="00027624" w14:paraId="3A2978F5" w14:textId="77777777" w:rsidTr="00E96B29">
        <w:tc>
          <w:tcPr>
            <w:tcW w:w="2500" w:type="pct"/>
          </w:tcPr>
          <w:p w14:paraId="4C7EBD37" w14:textId="77777777" w:rsidR="00E96B29" w:rsidRPr="00027624" w:rsidRDefault="00E96B29" w:rsidP="00E96B29">
            <w:pPr>
              <w:pStyle w:val="TableTextLeft"/>
            </w:pPr>
            <w:r w:rsidRPr="00027624">
              <w:t>Australian Council of Public Sector Retiree Organisations</w:t>
            </w:r>
          </w:p>
        </w:tc>
        <w:tc>
          <w:tcPr>
            <w:tcW w:w="2500" w:type="pct"/>
          </w:tcPr>
          <w:p w14:paraId="352DD3F7" w14:textId="77777777" w:rsidR="00E96B29" w:rsidRPr="00027624" w:rsidRDefault="00E96B29" w:rsidP="00E96B29">
            <w:pPr>
              <w:pStyle w:val="TableTextLeft"/>
            </w:pPr>
            <w:r w:rsidRPr="00027624">
              <w:t>BetaShares Capital Ltd</w:t>
            </w:r>
          </w:p>
        </w:tc>
      </w:tr>
      <w:tr w:rsidR="00E96B29" w:rsidRPr="00027624" w14:paraId="05B05307" w14:textId="77777777" w:rsidTr="00E96B29">
        <w:tc>
          <w:tcPr>
            <w:tcW w:w="2500" w:type="pct"/>
          </w:tcPr>
          <w:p w14:paraId="64121AC1" w14:textId="77777777" w:rsidR="00E96B29" w:rsidRPr="00027624" w:rsidRDefault="00E96B29" w:rsidP="00E96B29">
            <w:pPr>
              <w:pStyle w:val="TableTextLeft"/>
            </w:pPr>
            <w:r w:rsidRPr="00027624">
              <w:t>Australian Council of Social Service (ACOSS)</w:t>
            </w:r>
          </w:p>
        </w:tc>
        <w:tc>
          <w:tcPr>
            <w:tcW w:w="2500" w:type="pct"/>
          </w:tcPr>
          <w:p w14:paraId="25995075" w14:textId="77777777" w:rsidR="00E96B29" w:rsidRPr="00027624" w:rsidRDefault="00E96B29" w:rsidP="00E96B29">
            <w:pPr>
              <w:pStyle w:val="TableTextLeft"/>
            </w:pPr>
            <w:r w:rsidRPr="00027624">
              <w:t>Birch, Denver</w:t>
            </w:r>
          </w:p>
        </w:tc>
      </w:tr>
      <w:tr w:rsidR="00E96B29" w:rsidRPr="00027624" w14:paraId="47E14290" w14:textId="77777777" w:rsidTr="00E96B29">
        <w:tc>
          <w:tcPr>
            <w:tcW w:w="2500" w:type="pct"/>
          </w:tcPr>
          <w:p w14:paraId="586DE1B3" w14:textId="77777777" w:rsidR="00E96B29" w:rsidRPr="00027624" w:rsidRDefault="00E96B29" w:rsidP="00E96B29">
            <w:pPr>
              <w:pStyle w:val="TableTextLeft"/>
            </w:pPr>
            <w:r w:rsidRPr="00027624">
              <w:t>Australian Council of Trade Unions</w:t>
            </w:r>
          </w:p>
        </w:tc>
        <w:tc>
          <w:tcPr>
            <w:tcW w:w="2500" w:type="pct"/>
          </w:tcPr>
          <w:p w14:paraId="0A7865AD" w14:textId="77777777" w:rsidR="00E96B29" w:rsidRPr="00027624" w:rsidRDefault="00E96B29" w:rsidP="00E96B29">
            <w:pPr>
              <w:pStyle w:val="TableTextLeft"/>
            </w:pPr>
            <w:r w:rsidRPr="00027624">
              <w:t>Brander, Jim</w:t>
            </w:r>
          </w:p>
        </w:tc>
      </w:tr>
      <w:tr w:rsidR="00E96B29" w:rsidRPr="00027624" w14:paraId="26CBF247" w14:textId="77777777" w:rsidTr="00E96B29">
        <w:tc>
          <w:tcPr>
            <w:tcW w:w="2500" w:type="pct"/>
          </w:tcPr>
          <w:p w14:paraId="27C3684E" w14:textId="77777777" w:rsidR="00E96B29" w:rsidRPr="00027624" w:rsidRDefault="00E96B29" w:rsidP="00E96B29">
            <w:pPr>
              <w:pStyle w:val="TableTextLeft"/>
            </w:pPr>
            <w:r w:rsidRPr="00027624">
              <w:t>Australian Housing and Urban Research Institute</w:t>
            </w:r>
          </w:p>
        </w:tc>
        <w:tc>
          <w:tcPr>
            <w:tcW w:w="2500" w:type="pct"/>
          </w:tcPr>
          <w:p w14:paraId="0E853196" w14:textId="77777777" w:rsidR="00E96B29" w:rsidRPr="00027624" w:rsidRDefault="00E96B29" w:rsidP="00E96B29">
            <w:pPr>
              <w:pStyle w:val="TableTextLeft"/>
            </w:pPr>
            <w:r w:rsidRPr="00027624">
              <w:t>Brotherhood of St Laurence</w:t>
            </w:r>
          </w:p>
        </w:tc>
      </w:tr>
      <w:tr w:rsidR="00E96B29" w:rsidRPr="00027624" w14:paraId="700E8AFF" w14:textId="77777777" w:rsidTr="00E96B29">
        <w:tc>
          <w:tcPr>
            <w:tcW w:w="2500" w:type="pct"/>
          </w:tcPr>
          <w:p w14:paraId="791A5CC4" w14:textId="77777777" w:rsidR="00E96B29" w:rsidRPr="00027624" w:rsidRDefault="00E96B29" w:rsidP="00E96B29">
            <w:pPr>
              <w:pStyle w:val="TableTextLeft"/>
            </w:pPr>
            <w:r w:rsidRPr="00027624">
              <w:t>Australian Human Rights Commission</w:t>
            </w:r>
          </w:p>
        </w:tc>
        <w:tc>
          <w:tcPr>
            <w:tcW w:w="2500" w:type="pct"/>
          </w:tcPr>
          <w:p w14:paraId="0365B648" w14:textId="77777777" w:rsidR="00E96B29" w:rsidRPr="00027624" w:rsidRDefault="00E96B29" w:rsidP="00E96B29">
            <w:pPr>
              <w:pStyle w:val="TableTextLeft"/>
            </w:pPr>
            <w:r w:rsidRPr="00027624">
              <w:t>Buchanan, James</w:t>
            </w:r>
          </w:p>
        </w:tc>
      </w:tr>
      <w:tr w:rsidR="00E96B29" w:rsidRPr="00027624" w14:paraId="726548D2" w14:textId="77777777" w:rsidTr="00E96B29">
        <w:tc>
          <w:tcPr>
            <w:tcW w:w="2500" w:type="pct"/>
          </w:tcPr>
          <w:p w14:paraId="78F7443B" w14:textId="77777777" w:rsidR="00E96B29" w:rsidRPr="00027624" w:rsidRDefault="00E96B29" w:rsidP="00E96B29">
            <w:pPr>
              <w:pStyle w:val="TableTextLeft"/>
            </w:pPr>
            <w:r w:rsidRPr="00027624">
              <w:t>Australian Institute of Superannuation Trustees</w:t>
            </w:r>
          </w:p>
        </w:tc>
        <w:tc>
          <w:tcPr>
            <w:tcW w:w="2500" w:type="pct"/>
          </w:tcPr>
          <w:p w14:paraId="41018558" w14:textId="77777777" w:rsidR="00E96B29" w:rsidRPr="00027624" w:rsidRDefault="00E96B29" w:rsidP="00E96B29">
            <w:pPr>
              <w:pStyle w:val="TableTextLeft"/>
            </w:pPr>
            <w:r w:rsidRPr="00027624">
              <w:t>Burt, Dan</w:t>
            </w:r>
          </w:p>
        </w:tc>
      </w:tr>
      <w:tr w:rsidR="00E96B29" w:rsidRPr="00027624" w14:paraId="363148B9" w14:textId="77777777" w:rsidTr="00E96B29">
        <w:tc>
          <w:tcPr>
            <w:tcW w:w="2500" w:type="pct"/>
          </w:tcPr>
          <w:p w14:paraId="32A7A7E9" w14:textId="77777777" w:rsidR="00E96B29" w:rsidRPr="00027624" w:rsidRDefault="00E96B29" w:rsidP="00E96B29">
            <w:pPr>
              <w:pStyle w:val="TableTextLeft"/>
            </w:pPr>
            <w:r w:rsidRPr="00027624">
              <w:t>Australian Investment Council</w:t>
            </w:r>
          </w:p>
        </w:tc>
        <w:tc>
          <w:tcPr>
            <w:tcW w:w="2500" w:type="pct"/>
          </w:tcPr>
          <w:p w14:paraId="64E166CA" w14:textId="77777777" w:rsidR="00E96B29" w:rsidRPr="00027624" w:rsidRDefault="00E96B29" w:rsidP="00E96B29">
            <w:pPr>
              <w:pStyle w:val="TableTextLeft"/>
            </w:pPr>
            <w:r w:rsidRPr="00027624">
              <w:t>Business Council of Australia</w:t>
            </w:r>
          </w:p>
        </w:tc>
      </w:tr>
      <w:tr w:rsidR="00E96B29" w:rsidRPr="00027624" w14:paraId="7CD9A020" w14:textId="77777777" w:rsidTr="00E96B29">
        <w:tc>
          <w:tcPr>
            <w:tcW w:w="2500" w:type="pct"/>
          </w:tcPr>
          <w:p w14:paraId="1BBFA5EB" w14:textId="77777777" w:rsidR="00E96B29" w:rsidRPr="00027624" w:rsidRDefault="00E96B29" w:rsidP="00E96B29">
            <w:pPr>
              <w:pStyle w:val="TableTextLeft"/>
            </w:pPr>
            <w:r w:rsidRPr="00027624">
              <w:t>Australian Manufacturing Workers</w:t>
            </w:r>
            <w:r w:rsidR="00A8443E" w:rsidRPr="00027624">
              <w:t>’</w:t>
            </w:r>
            <w:r w:rsidRPr="00027624">
              <w:t xml:space="preserve"> Union</w:t>
            </w:r>
          </w:p>
        </w:tc>
        <w:tc>
          <w:tcPr>
            <w:tcW w:w="2500" w:type="pct"/>
          </w:tcPr>
          <w:p w14:paraId="224CF181" w14:textId="77777777" w:rsidR="00E96B29" w:rsidRPr="00027624" w:rsidRDefault="00E96B29" w:rsidP="00E96B29">
            <w:pPr>
              <w:pStyle w:val="TableTextLeft"/>
            </w:pPr>
            <w:r w:rsidRPr="00027624">
              <w:t>Cain, David</w:t>
            </w:r>
          </w:p>
        </w:tc>
      </w:tr>
      <w:tr w:rsidR="00E96B29" w:rsidRPr="00027624" w14:paraId="48C0FB3D" w14:textId="77777777" w:rsidTr="00E96B29">
        <w:tc>
          <w:tcPr>
            <w:tcW w:w="2500" w:type="pct"/>
          </w:tcPr>
          <w:p w14:paraId="43E0E9A8" w14:textId="77777777" w:rsidR="00E96B29" w:rsidRPr="00027624" w:rsidRDefault="00E96B29" w:rsidP="00E96B29">
            <w:pPr>
              <w:pStyle w:val="TableTextLeft"/>
            </w:pPr>
            <w:r w:rsidRPr="00027624">
              <w:t>Australian Nursing and Midwifery Federation</w:t>
            </w:r>
          </w:p>
        </w:tc>
        <w:tc>
          <w:tcPr>
            <w:tcW w:w="2500" w:type="pct"/>
          </w:tcPr>
          <w:p w14:paraId="26709997" w14:textId="77777777" w:rsidR="00E96B29" w:rsidRPr="00027624" w:rsidRDefault="00E96B29" w:rsidP="00E96B29">
            <w:pPr>
              <w:pStyle w:val="TableTextLeft"/>
            </w:pPr>
            <w:r w:rsidRPr="00027624">
              <w:t>Carers NSW</w:t>
            </w:r>
          </w:p>
        </w:tc>
      </w:tr>
      <w:tr w:rsidR="00E96B29" w:rsidRPr="00027624" w14:paraId="598A12B8" w14:textId="77777777" w:rsidTr="00E96B29">
        <w:tc>
          <w:tcPr>
            <w:tcW w:w="2500" w:type="pct"/>
          </w:tcPr>
          <w:p w14:paraId="2E7334A5" w14:textId="77777777" w:rsidR="00E96B29" w:rsidRPr="00027624" w:rsidRDefault="00E96B29" w:rsidP="00E96B29">
            <w:pPr>
              <w:pStyle w:val="TableTextLeft"/>
            </w:pPr>
            <w:r w:rsidRPr="00027624">
              <w:t>Australian Pensioners</w:t>
            </w:r>
            <w:r w:rsidR="00A8443E" w:rsidRPr="00027624">
              <w:t>’</w:t>
            </w:r>
            <w:r w:rsidRPr="00027624">
              <w:t xml:space="preserve"> Voice</w:t>
            </w:r>
          </w:p>
        </w:tc>
        <w:tc>
          <w:tcPr>
            <w:tcW w:w="2500" w:type="pct"/>
          </w:tcPr>
          <w:p w14:paraId="14B75D7C" w14:textId="77777777" w:rsidR="00E96B29" w:rsidRPr="00027624" w:rsidRDefault="00E96B29" w:rsidP="00E96B29">
            <w:pPr>
              <w:pStyle w:val="TableTextLeft"/>
            </w:pPr>
            <w:r w:rsidRPr="00027624">
              <w:t>Carroll, Linda</w:t>
            </w:r>
          </w:p>
        </w:tc>
      </w:tr>
      <w:tr w:rsidR="00E96B29" w:rsidRPr="00027624" w14:paraId="61C74676" w14:textId="77777777" w:rsidTr="00E96B29">
        <w:tc>
          <w:tcPr>
            <w:tcW w:w="2500" w:type="pct"/>
          </w:tcPr>
          <w:p w14:paraId="20FD1149" w14:textId="77777777" w:rsidR="00E96B29" w:rsidRPr="00027624" w:rsidRDefault="00E96B29" w:rsidP="00E96B29">
            <w:pPr>
              <w:pStyle w:val="TableTextLeft"/>
            </w:pPr>
            <w:r w:rsidRPr="00027624">
              <w:t>Australian Services Union</w:t>
            </w:r>
          </w:p>
        </w:tc>
        <w:tc>
          <w:tcPr>
            <w:tcW w:w="2500" w:type="pct"/>
          </w:tcPr>
          <w:p w14:paraId="278CDB56" w14:textId="77777777" w:rsidR="00E96B29" w:rsidRPr="00027624" w:rsidRDefault="00E96B29" w:rsidP="00E96B29">
            <w:pPr>
              <w:pStyle w:val="TableTextLeft"/>
            </w:pPr>
            <w:r w:rsidRPr="00027624">
              <w:t>Cbus</w:t>
            </w:r>
          </w:p>
        </w:tc>
      </w:tr>
      <w:tr w:rsidR="00E96B29" w:rsidRPr="00027624" w14:paraId="2C75A0CE" w14:textId="77777777" w:rsidTr="00E96B29">
        <w:tc>
          <w:tcPr>
            <w:tcW w:w="2500" w:type="pct"/>
          </w:tcPr>
          <w:p w14:paraId="34E6FD00" w14:textId="77777777" w:rsidR="00E96B29" w:rsidRPr="00027624" w:rsidRDefault="00E96B29" w:rsidP="00E96B29">
            <w:pPr>
              <w:pStyle w:val="TableTextLeft"/>
            </w:pPr>
            <w:r w:rsidRPr="00027624">
              <w:t>Australian Shareholders</w:t>
            </w:r>
            <w:r w:rsidR="00A8443E" w:rsidRPr="00027624">
              <w:t>’</w:t>
            </w:r>
            <w:r w:rsidRPr="00027624">
              <w:t xml:space="preserve"> Association</w:t>
            </w:r>
          </w:p>
        </w:tc>
        <w:tc>
          <w:tcPr>
            <w:tcW w:w="2500" w:type="pct"/>
          </w:tcPr>
          <w:p w14:paraId="1C84C491" w14:textId="77777777" w:rsidR="00E96B29" w:rsidRPr="00027624" w:rsidRDefault="00E96B29" w:rsidP="00E96B29">
            <w:pPr>
              <w:pStyle w:val="TableTextLeft"/>
            </w:pPr>
            <w:r w:rsidRPr="00027624">
              <w:t>CDI Consulting Pty Ltd</w:t>
            </w:r>
          </w:p>
        </w:tc>
      </w:tr>
      <w:tr w:rsidR="00E96B29" w:rsidRPr="00027624" w14:paraId="59EF3AB6" w14:textId="77777777" w:rsidTr="00E96B29">
        <w:tc>
          <w:tcPr>
            <w:tcW w:w="2500" w:type="pct"/>
          </w:tcPr>
          <w:p w14:paraId="37A6C62B" w14:textId="77777777" w:rsidR="00E96B29" w:rsidRPr="00027624" w:rsidRDefault="00E96B29" w:rsidP="00E96B29">
            <w:pPr>
              <w:pStyle w:val="TableTextLeft"/>
            </w:pPr>
            <w:r w:rsidRPr="00027624">
              <w:t>Australian Super</w:t>
            </w:r>
          </w:p>
        </w:tc>
        <w:tc>
          <w:tcPr>
            <w:tcW w:w="2500" w:type="pct"/>
          </w:tcPr>
          <w:p w14:paraId="140D3677" w14:textId="77777777" w:rsidR="00E96B29" w:rsidRPr="00027624" w:rsidRDefault="00E96B29" w:rsidP="00E96B29">
            <w:pPr>
              <w:pStyle w:val="TableTextLeft"/>
            </w:pPr>
            <w:r w:rsidRPr="00027624">
              <w:t>Centre for Future Work (Australian Institute)</w:t>
            </w:r>
          </w:p>
        </w:tc>
      </w:tr>
      <w:tr w:rsidR="00E96B29" w:rsidRPr="00027624" w14:paraId="41DD0B46" w14:textId="77777777" w:rsidTr="00E96B29">
        <w:tc>
          <w:tcPr>
            <w:tcW w:w="2500" w:type="pct"/>
          </w:tcPr>
          <w:p w14:paraId="49AC3CE5" w14:textId="77777777" w:rsidR="00E96B29" w:rsidRPr="00027624" w:rsidRDefault="00E96B29" w:rsidP="00E96B29">
            <w:pPr>
              <w:pStyle w:val="TableTextLeft"/>
            </w:pPr>
            <w:r w:rsidRPr="00027624">
              <w:t>Australian Taxpayers</w:t>
            </w:r>
            <w:r w:rsidR="00A8443E" w:rsidRPr="00027624">
              <w:t>’</w:t>
            </w:r>
            <w:r w:rsidRPr="00027624">
              <w:t xml:space="preserve"> Alliance</w:t>
            </w:r>
          </w:p>
        </w:tc>
        <w:tc>
          <w:tcPr>
            <w:tcW w:w="2500" w:type="pct"/>
          </w:tcPr>
          <w:p w14:paraId="6FA902CB" w14:textId="77777777" w:rsidR="00E96B29" w:rsidRPr="00027624" w:rsidRDefault="00E96B29" w:rsidP="00E96B29">
            <w:pPr>
              <w:pStyle w:val="TableTextLeft"/>
            </w:pPr>
            <w:r w:rsidRPr="00027624">
              <w:t>Centre for Law, Markets and Regulation (UNSW)</w:t>
            </w:r>
          </w:p>
        </w:tc>
      </w:tr>
      <w:tr w:rsidR="00E96B29" w:rsidRPr="00027624" w14:paraId="6894B30D" w14:textId="77777777" w:rsidTr="00E96B29">
        <w:trPr>
          <w:trHeight w:val="55"/>
        </w:trPr>
        <w:tc>
          <w:tcPr>
            <w:tcW w:w="2500" w:type="pct"/>
          </w:tcPr>
          <w:p w14:paraId="58065B10" w14:textId="77777777" w:rsidR="00E96B29" w:rsidRPr="00027624" w:rsidRDefault="00E96B29" w:rsidP="00E96B29">
            <w:pPr>
              <w:pStyle w:val="TableTextLeft"/>
            </w:pPr>
            <w:r w:rsidRPr="00027624">
              <w:t>Centre for Excellence in Population Ageing Branch</w:t>
            </w:r>
          </w:p>
        </w:tc>
        <w:tc>
          <w:tcPr>
            <w:tcW w:w="2500" w:type="pct"/>
          </w:tcPr>
          <w:p w14:paraId="06E05E77" w14:textId="77777777" w:rsidR="00E96B29" w:rsidRPr="00027624" w:rsidRDefault="00E96B29" w:rsidP="00E96B29">
            <w:pPr>
              <w:pStyle w:val="TableTextLeft"/>
            </w:pPr>
            <w:r w:rsidRPr="00027624">
              <w:t>Financial Equity Alliance</w:t>
            </w:r>
          </w:p>
        </w:tc>
      </w:tr>
      <w:tr w:rsidR="00E96B29" w:rsidRPr="00027624" w14:paraId="440B38E5" w14:textId="77777777" w:rsidTr="00E96B29">
        <w:tc>
          <w:tcPr>
            <w:tcW w:w="2500" w:type="pct"/>
          </w:tcPr>
          <w:p w14:paraId="2BA5DFED" w14:textId="77777777" w:rsidR="00E96B29" w:rsidRPr="00027624" w:rsidRDefault="00E96B29" w:rsidP="00E96B29">
            <w:pPr>
              <w:pStyle w:val="TableTextLeft"/>
            </w:pPr>
            <w:r w:rsidRPr="00027624">
              <w:t>Challenger Limited</w:t>
            </w:r>
          </w:p>
        </w:tc>
        <w:tc>
          <w:tcPr>
            <w:tcW w:w="2500" w:type="pct"/>
          </w:tcPr>
          <w:p w14:paraId="158C57A6" w14:textId="77777777" w:rsidR="00E96B29" w:rsidRPr="00027624" w:rsidRDefault="00E96B29" w:rsidP="00E96B29">
            <w:pPr>
              <w:pStyle w:val="TableTextLeft"/>
            </w:pPr>
            <w:r w:rsidRPr="00027624">
              <w:t>Financial Planning Association of Australia</w:t>
            </w:r>
          </w:p>
        </w:tc>
      </w:tr>
      <w:tr w:rsidR="00E96B29" w:rsidRPr="00027624" w14:paraId="1307B0E2" w14:textId="77777777" w:rsidTr="00E96B29">
        <w:tc>
          <w:tcPr>
            <w:tcW w:w="2500" w:type="pct"/>
          </w:tcPr>
          <w:p w14:paraId="7D928EDE" w14:textId="77777777" w:rsidR="00E96B29" w:rsidRPr="00027624" w:rsidRDefault="00E96B29" w:rsidP="00E96B29">
            <w:pPr>
              <w:pStyle w:val="TableTextLeft"/>
            </w:pPr>
            <w:r w:rsidRPr="00027624">
              <w:t xml:space="preserve">Chartered Accountants Australia and New Zealand </w:t>
            </w:r>
          </w:p>
        </w:tc>
        <w:tc>
          <w:tcPr>
            <w:tcW w:w="2500" w:type="pct"/>
          </w:tcPr>
          <w:p w14:paraId="7A7FC724" w14:textId="77777777" w:rsidR="00E96B29" w:rsidRPr="00027624" w:rsidRDefault="00E96B29" w:rsidP="00E96B29">
            <w:pPr>
              <w:pStyle w:val="TableTextLeft"/>
            </w:pPr>
            <w:r w:rsidRPr="00027624">
              <w:t>Financial Services Council</w:t>
            </w:r>
          </w:p>
        </w:tc>
      </w:tr>
      <w:tr w:rsidR="00E96B29" w:rsidRPr="00027624" w14:paraId="6B0CD884" w14:textId="77777777" w:rsidTr="00E96B29">
        <w:tc>
          <w:tcPr>
            <w:tcW w:w="2500" w:type="pct"/>
          </w:tcPr>
          <w:p w14:paraId="29198ADF" w14:textId="77777777" w:rsidR="00E96B29" w:rsidRPr="00027624" w:rsidRDefault="00E96B29" w:rsidP="00E96B29">
            <w:pPr>
              <w:pStyle w:val="TableTextLeft"/>
            </w:pPr>
            <w:r w:rsidRPr="00027624">
              <w:t>Cherian, George</w:t>
            </w:r>
          </w:p>
        </w:tc>
        <w:tc>
          <w:tcPr>
            <w:tcW w:w="2500" w:type="pct"/>
          </w:tcPr>
          <w:p w14:paraId="53F14C66" w14:textId="77777777" w:rsidR="00E96B29" w:rsidRPr="00027624" w:rsidRDefault="00E96B29" w:rsidP="00E96B29">
            <w:pPr>
              <w:pStyle w:val="TableTextLeft"/>
            </w:pPr>
            <w:r w:rsidRPr="00027624">
              <w:t>First State Super</w:t>
            </w:r>
          </w:p>
        </w:tc>
      </w:tr>
      <w:tr w:rsidR="00E96B29" w:rsidRPr="00027624" w14:paraId="5D42036B" w14:textId="77777777" w:rsidTr="00E96B29">
        <w:tc>
          <w:tcPr>
            <w:tcW w:w="2500" w:type="pct"/>
          </w:tcPr>
          <w:p w14:paraId="66DB3CA2" w14:textId="77777777" w:rsidR="00E96B29" w:rsidRPr="00027624" w:rsidRDefault="00E96B29" w:rsidP="00E96B29">
            <w:pPr>
              <w:pStyle w:val="TableTextLeft"/>
            </w:pPr>
            <w:r w:rsidRPr="00027624">
              <w:t>Chief Executive Women</w:t>
            </w:r>
          </w:p>
        </w:tc>
        <w:tc>
          <w:tcPr>
            <w:tcW w:w="2500" w:type="pct"/>
          </w:tcPr>
          <w:p w14:paraId="03B1F649" w14:textId="77777777" w:rsidR="00E96B29" w:rsidRPr="00027624" w:rsidRDefault="00E96B29" w:rsidP="00E96B29">
            <w:pPr>
              <w:pStyle w:val="TableTextLeft"/>
            </w:pPr>
            <w:r w:rsidRPr="00027624">
              <w:t>Fix Pension Poverty Campaign</w:t>
            </w:r>
          </w:p>
        </w:tc>
      </w:tr>
      <w:tr w:rsidR="00E96B29" w:rsidRPr="00027624" w14:paraId="11DD7170" w14:textId="77777777" w:rsidTr="00E96B29">
        <w:tc>
          <w:tcPr>
            <w:tcW w:w="2500" w:type="pct"/>
          </w:tcPr>
          <w:p w14:paraId="488A02DA" w14:textId="77777777" w:rsidR="00E96B29" w:rsidRPr="00027624" w:rsidRDefault="00E96B29" w:rsidP="00E96B29">
            <w:pPr>
              <w:pStyle w:val="TableTextLeft"/>
            </w:pPr>
            <w:r w:rsidRPr="00027624">
              <w:t>Codron FIAA, Richard</w:t>
            </w:r>
          </w:p>
        </w:tc>
        <w:tc>
          <w:tcPr>
            <w:tcW w:w="2500" w:type="pct"/>
          </w:tcPr>
          <w:p w14:paraId="719C3D02" w14:textId="77777777" w:rsidR="00E96B29" w:rsidRPr="00027624" w:rsidRDefault="00E96B29" w:rsidP="00E96B29">
            <w:pPr>
              <w:pStyle w:val="TableTextLeft"/>
            </w:pPr>
            <w:r w:rsidRPr="00027624">
              <w:t>Ford, Christine</w:t>
            </w:r>
          </w:p>
        </w:tc>
      </w:tr>
      <w:tr w:rsidR="00E96B29" w:rsidRPr="00027624" w14:paraId="37301720" w14:textId="77777777" w:rsidTr="00E96B29">
        <w:tc>
          <w:tcPr>
            <w:tcW w:w="2500" w:type="pct"/>
          </w:tcPr>
          <w:p w14:paraId="775584F7" w14:textId="77777777" w:rsidR="00E96B29" w:rsidRPr="00027624" w:rsidRDefault="00E96B29" w:rsidP="00E96B29">
            <w:pPr>
              <w:pStyle w:val="TableTextLeft"/>
            </w:pPr>
            <w:r w:rsidRPr="00027624">
              <w:t>Colonial First State</w:t>
            </w:r>
          </w:p>
        </w:tc>
        <w:tc>
          <w:tcPr>
            <w:tcW w:w="2500" w:type="pct"/>
          </w:tcPr>
          <w:p w14:paraId="26DAE92C" w14:textId="77777777" w:rsidR="00E96B29" w:rsidRPr="00027624" w:rsidRDefault="00E96B29" w:rsidP="00E96B29">
            <w:pPr>
              <w:pStyle w:val="TableTextLeft"/>
            </w:pPr>
            <w:r w:rsidRPr="00027624">
              <w:t>Ford, Frank</w:t>
            </w:r>
          </w:p>
        </w:tc>
      </w:tr>
      <w:tr w:rsidR="00E96B29" w:rsidRPr="00027624" w14:paraId="3D0CC688" w14:textId="77777777" w:rsidTr="00E96B29">
        <w:tc>
          <w:tcPr>
            <w:tcW w:w="2500" w:type="pct"/>
          </w:tcPr>
          <w:p w14:paraId="4AF3EDCE" w14:textId="77777777" w:rsidR="00E96B29" w:rsidRPr="00027624" w:rsidRDefault="00E96B29" w:rsidP="00E96B29">
            <w:pPr>
              <w:pStyle w:val="TableTextLeft"/>
            </w:pPr>
            <w:r w:rsidRPr="00027624">
              <w:t>Combined Pensioners and Superannuants Australia</w:t>
            </w:r>
          </w:p>
        </w:tc>
        <w:tc>
          <w:tcPr>
            <w:tcW w:w="2500" w:type="pct"/>
          </w:tcPr>
          <w:p w14:paraId="0AF6E71C" w14:textId="77777777" w:rsidR="00E96B29" w:rsidRPr="00027624" w:rsidRDefault="00E96B29" w:rsidP="00E96B29">
            <w:pPr>
              <w:pStyle w:val="TableTextLeft"/>
            </w:pPr>
            <w:r w:rsidRPr="00027624">
              <w:t>Franklin, Simon</w:t>
            </w:r>
          </w:p>
        </w:tc>
      </w:tr>
      <w:tr w:rsidR="00E96B29" w:rsidRPr="00027624" w14:paraId="0E02B379" w14:textId="77777777" w:rsidTr="00E96B29">
        <w:tc>
          <w:tcPr>
            <w:tcW w:w="2500" w:type="pct"/>
          </w:tcPr>
          <w:p w14:paraId="2E293370" w14:textId="77777777" w:rsidR="00E96B29" w:rsidRPr="00027624" w:rsidRDefault="00E96B29" w:rsidP="00E96B29">
            <w:pPr>
              <w:pStyle w:val="TableTextLeft"/>
            </w:pPr>
            <w:r w:rsidRPr="00027624">
              <w:t>Committee for Sustainable Retirement Incomes</w:t>
            </w:r>
          </w:p>
        </w:tc>
        <w:tc>
          <w:tcPr>
            <w:tcW w:w="2500" w:type="pct"/>
          </w:tcPr>
          <w:p w14:paraId="7DA715F8" w14:textId="77777777" w:rsidR="00E96B29" w:rsidRPr="00027624" w:rsidRDefault="00E96B29" w:rsidP="00E96B29">
            <w:pPr>
              <w:pStyle w:val="TableTextLeft"/>
            </w:pPr>
            <w:r w:rsidRPr="00027624">
              <w:t>Freeman FACS, Andrew</w:t>
            </w:r>
          </w:p>
        </w:tc>
      </w:tr>
      <w:tr w:rsidR="00E96B29" w:rsidRPr="00027624" w14:paraId="402D5D7F" w14:textId="77777777" w:rsidTr="00E96B29">
        <w:tc>
          <w:tcPr>
            <w:tcW w:w="2500" w:type="pct"/>
          </w:tcPr>
          <w:p w14:paraId="18ABDD7C" w14:textId="77777777" w:rsidR="00E96B29" w:rsidRPr="00027624" w:rsidRDefault="00E96B29" w:rsidP="00E96B29">
            <w:pPr>
              <w:pStyle w:val="TableTextLeft"/>
            </w:pPr>
            <w:r w:rsidRPr="00027624">
              <w:t>Connecting Every Dot Pty Ltd</w:t>
            </w:r>
          </w:p>
        </w:tc>
        <w:tc>
          <w:tcPr>
            <w:tcW w:w="2500" w:type="pct"/>
          </w:tcPr>
          <w:p w14:paraId="145C9E30" w14:textId="77777777" w:rsidR="00E96B29" w:rsidRPr="00027624" w:rsidRDefault="00E96B29" w:rsidP="00E96B29">
            <w:pPr>
              <w:pStyle w:val="TableTextLeft"/>
            </w:pPr>
            <w:r w:rsidRPr="00027624">
              <w:t>Fridman, Boris</w:t>
            </w:r>
          </w:p>
        </w:tc>
      </w:tr>
      <w:tr w:rsidR="00E96B29" w:rsidRPr="00027624" w14:paraId="62623474" w14:textId="77777777" w:rsidTr="00E96B29">
        <w:tc>
          <w:tcPr>
            <w:tcW w:w="2500" w:type="pct"/>
          </w:tcPr>
          <w:p w14:paraId="2768A49C" w14:textId="77777777" w:rsidR="00E96B29" w:rsidRPr="00027624" w:rsidRDefault="00E96B29" w:rsidP="00E96B29">
            <w:pPr>
              <w:pStyle w:val="TableTextLeft"/>
            </w:pPr>
            <w:r w:rsidRPr="00027624">
              <w:t>Considine, Vera</w:t>
            </w:r>
          </w:p>
        </w:tc>
        <w:tc>
          <w:tcPr>
            <w:tcW w:w="2500" w:type="pct"/>
          </w:tcPr>
          <w:p w14:paraId="747FB57B" w14:textId="77777777" w:rsidR="00E96B29" w:rsidRPr="00027624" w:rsidRDefault="00E96B29" w:rsidP="00E96B29">
            <w:pPr>
              <w:pStyle w:val="TableTextLeft"/>
            </w:pPr>
            <w:r w:rsidRPr="00027624">
              <w:t>Fitzpatrick, Sean</w:t>
            </w:r>
          </w:p>
        </w:tc>
      </w:tr>
      <w:tr w:rsidR="00E96B29" w:rsidRPr="00027624" w14:paraId="5CC99F8D" w14:textId="77777777" w:rsidTr="00E96B29">
        <w:tc>
          <w:tcPr>
            <w:tcW w:w="2500" w:type="pct"/>
          </w:tcPr>
          <w:p w14:paraId="6C83413F" w14:textId="77777777" w:rsidR="00E96B29" w:rsidRPr="00027624" w:rsidRDefault="00E96B29" w:rsidP="00E96B29">
            <w:pPr>
              <w:pStyle w:val="TableTextLeft"/>
            </w:pPr>
            <w:r w:rsidRPr="00027624">
              <w:t>Constantinou, Georgia</w:t>
            </w:r>
          </w:p>
        </w:tc>
        <w:tc>
          <w:tcPr>
            <w:tcW w:w="2500" w:type="pct"/>
          </w:tcPr>
          <w:p w14:paraId="026AF870" w14:textId="77777777" w:rsidR="00E96B29" w:rsidRPr="00027624" w:rsidRDefault="00E96B29" w:rsidP="00E96B29">
            <w:pPr>
              <w:pStyle w:val="TableTextLeft"/>
            </w:pPr>
            <w:r w:rsidRPr="00027624">
              <w:t>GA Cossar and Co Pty Ltd</w:t>
            </w:r>
          </w:p>
        </w:tc>
      </w:tr>
      <w:tr w:rsidR="00E96B29" w:rsidRPr="00027624" w14:paraId="313E078A" w14:textId="77777777" w:rsidTr="00E96B29">
        <w:tc>
          <w:tcPr>
            <w:tcW w:w="2500" w:type="pct"/>
          </w:tcPr>
          <w:p w14:paraId="3DFACD46" w14:textId="77777777" w:rsidR="00E96B29" w:rsidRPr="00027624" w:rsidRDefault="00E96B29" w:rsidP="00E96B29">
            <w:pPr>
              <w:pStyle w:val="TableTextLeft"/>
            </w:pPr>
            <w:r w:rsidRPr="00027624">
              <w:t>Cook, Chris</w:t>
            </w:r>
          </w:p>
        </w:tc>
        <w:tc>
          <w:tcPr>
            <w:tcW w:w="2500" w:type="pct"/>
          </w:tcPr>
          <w:p w14:paraId="59A1DA3C" w14:textId="77777777" w:rsidR="00E96B29" w:rsidRPr="00027624" w:rsidRDefault="00E96B29" w:rsidP="00E96B29">
            <w:pPr>
              <w:pStyle w:val="TableTextLeft"/>
            </w:pPr>
            <w:r w:rsidRPr="00027624">
              <w:t>Gilligan, Dr Mike and Craig, Dr Stuart</w:t>
            </w:r>
          </w:p>
        </w:tc>
      </w:tr>
      <w:tr w:rsidR="00E96B29" w:rsidRPr="00027624" w14:paraId="7CEAFE1A" w14:textId="77777777" w:rsidTr="00E96B29">
        <w:tc>
          <w:tcPr>
            <w:tcW w:w="2500" w:type="pct"/>
          </w:tcPr>
          <w:p w14:paraId="33B40782" w14:textId="77777777" w:rsidR="00E96B29" w:rsidRPr="00027624" w:rsidRDefault="00E96B29" w:rsidP="00E96B29">
            <w:pPr>
              <w:pStyle w:val="TableTextLeft"/>
            </w:pPr>
            <w:r w:rsidRPr="00027624">
              <w:t>Cook, Chris</w:t>
            </w:r>
          </w:p>
        </w:tc>
        <w:tc>
          <w:tcPr>
            <w:tcW w:w="2500" w:type="pct"/>
          </w:tcPr>
          <w:p w14:paraId="1C90DFEB" w14:textId="77777777" w:rsidR="00E96B29" w:rsidRPr="00027624" w:rsidRDefault="00E96B29" w:rsidP="00E96B29">
            <w:pPr>
              <w:pStyle w:val="TableTextLeft"/>
            </w:pPr>
            <w:r w:rsidRPr="00027624">
              <w:t>Goodrick, Sue</w:t>
            </w:r>
          </w:p>
        </w:tc>
      </w:tr>
      <w:tr w:rsidR="00E96B29" w:rsidRPr="00027624" w14:paraId="522344B5" w14:textId="77777777" w:rsidTr="00E96B29">
        <w:tc>
          <w:tcPr>
            <w:tcW w:w="2500" w:type="pct"/>
          </w:tcPr>
          <w:p w14:paraId="5E233370" w14:textId="77777777" w:rsidR="00E96B29" w:rsidRPr="00027624" w:rsidRDefault="00E96B29" w:rsidP="00E96B29">
            <w:pPr>
              <w:pStyle w:val="TableTextLeft"/>
            </w:pPr>
            <w:r w:rsidRPr="00027624">
              <w:t>COTA Australia</w:t>
            </w:r>
          </w:p>
        </w:tc>
        <w:tc>
          <w:tcPr>
            <w:tcW w:w="2500" w:type="pct"/>
          </w:tcPr>
          <w:p w14:paraId="0779439B" w14:textId="77777777" w:rsidR="00E96B29" w:rsidRPr="00027624" w:rsidRDefault="00E96B29" w:rsidP="00E96B29">
            <w:pPr>
              <w:pStyle w:val="TableTextLeft"/>
            </w:pPr>
            <w:r w:rsidRPr="00027624">
              <w:t>Gorecki, Piotr</w:t>
            </w:r>
          </w:p>
        </w:tc>
      </w:tr>
      <w:tr w:rsidR="00E96B29" w:rsidRPr="00027624" w14:paraId="18F94B53" w14:textId="77777777" w:rsidTr="00E96B29">
        <w:tc>
          <w:tcPr>
            <w:tcW w:w="2500" w:type="pct"/>
          </w:tcPr>
          <w:p w14:paraId="2E0FC4D2" w14:textId="77777777" w:rsidR="00E96B29" w:rsidRPr="00027624" w:rsidRDefault="00E96B29" w:rsidP="00E96B29">
            <w:pPr>
              <w:pStyle w:val="TableTextLeft"/>
            </w:pPr>
            <w:r w:rsidRPr="00027624">
              <w:t>Cottrell, Rob</w:t>
            </w:r>
          </w:p>
        </w:tc>
        <w:tc>
          <w:tcPr>
            <w:tcW w:w="2500" w:type="pct"/>
          </w:tcPr>
          <w:p w14:paraId="2DFE89CD" w14:textId="77777777" w:rsidR="00E96B29" w:rsidRPr="00027624" w:rsidRDefault="00E96B29" w:rsidP="00E96B29">
            <w:pPr>
              <w:pStyle w:val="TableTextLeft"/>
            </w:pPr>
            <w:r w:rsidRPr="00027624">
              <w:t>Graham, Lorraine</w:t>
            </w:r>
          </w:p>
        </w:tc>
      </w:tr>
      <w:tr w:rsidR="00E96B29" w:rsidRPr="00027624" w14:paraId="46804FB8" w14:textId="77777777" w:rsidTr="00E96B29">
        <w:tc>
          <w:tcPr>
            <w:tcW w:w="2500" w:type="pct"/>
          </w:tcPr>
          <w:p w14:paraId="2ECB7E6E" w14:textId="77777777" w:rsidR="00E96B29" w:rsidRPr="00027624" w:rsidRDefault="00E96B29" w:rsidP="00E96B29">
            <w:pPr>
              <w:pStyle w:val="TableTextLeft"/>
            </w:pPr>
            <w:r w:rsidRPr="00027624">
              <w:t>Country Press Australia</w:t>
            </w:r>
          </w:p>
        </w:tc>
        <w:tc>
          <w:tcPr>
            <w:tcW w:w="2500" w:type="pct"/>
          </w:tcPr>
          <w:p w14:paraId="4FBDFC2E" w14:textId="77777777" w:rsidR="00E96B29" w:rsidRPr="00027624" w:rsidRDefault="00E96B29" w:rsidP="00E96B29">
            <w:pPr>
              <w:pStyle w:val="TableTextLeft"/>
            </w:pPr>
            <w:r w:rsidRPr="00027624">
              <w:t>Grant, Dr Will J</w:t>
            </w:r>
          </w:p>
        </w:tc>
      </w:tr>
      <w:tr w:rsidR="00E96B29" w:rsidRPr="00027624" w14:paraId="62B57658" w14:textId="77777777" w:rsidTr="00E96B29">
        <w:tc>
          <w:tcPr>
            <w:tcW w:w="2500" w:type="pct"/>
          </w:tcPr>
          <w:p w14:paraId="437F2BF9" w14:textId="77777777" w:rsidR="00E96B29" w:rsidRPr="00027624" w:rsidRDefault="00E96B29" w:rsidP="00E96B29">
            <w:pPr>
              <w:pStyle w:val="TableTextLeft"/>
            </w:pPr>
            <w:r w:rsidRPr="00027624">
              <w:t>Cox, Andy</w:t>
            </w:r>
          </w:p>
        </w:tc>
        <w:tc>
          <w:tcPr>
            <w:tcW w:w="2500" w:type="pct"/>
          </w:tcPr>
          <w:p w14:paraId="00C6B90A" w14:textId="77777777" w:rsidR="00E96B29" w:rsidRPr="00027624" w:rsidRDefault="00E96B29" w:rsidP="00E96B29">
            <w:pPr>
              <w:pStyle w:val="TableTextLeft"/>
            </w:pPr>
            <w:r w:rsidRPr="00027624">
              <w:t>Grattan Institute</w:t>
            </w:r>
          </w:p>
        </w:tc>
      </w:tr>
      <w:tr w:rsidR="00E96B29" w:rsidRPr="00027624" w14:paraId="107D76E4" w14:textId="77777777" w:rsidTr="00E96B29">
        <w:tc>
          <w:tcPr>
            <w:tcW w:w="2500" w:type="pct"/>
          </w:tcPr>
          <w:p w14:paraId="6689F345" w14:textId="77777777" w:rsidR="00E96B29" w:rsidRPr="00027624" w:rsidRDefault="00E96B29" w:rsidP="00E96B29">
            <w:pPr>
              <w:pStyle w:val="TableTextLeft"/>
            </w:pPr>
            <w:r w:rsidRPr="00027624">
              <w:t>Cox, David</w:t>
            </w:r>
          </w:p>
        </w:tc>
        <w:tc>
          <w:tcPr>
            <w:tcW w:w="2500" w:type="pct"/>
          </w:tcPr>
          <w:p w14:paraId="5546998C" w14:textId="77777777" w:rsidR="00E96B29" w:rsidRPr="00027624" w:rsidRDefault="00E96B29" w:rsidP="00E96B29">
            <w:pPr>
              <w:pStyle w:val="TableTextLeft"/>
            </w:pPr>
            <w:r w:rsidRPr="00027624">
              <w:t>Grieves, Daniel</w:t>
            </w:r>
          </w:p>
        </w:tc>
      </w:tr>
      <w:tr w:rsidR="00E96B29" w:rsidRPr="00027624" w14:paraId="6A3447C8" w14:textId="77777777" w:rsidTr="00E96B29">
        <w:tc>
          <w:tcPr>
            <w:tcW w:w="2500" w:type="pct"/>
          </w:tcPr>
          <w:p w14:paraId="3846B2F0" w14:textId="77777777" w:rsidR="00E96B29" w:rsidRPr="00027624" w:rsidRDefault="00E96B29" w:rsidP="00E96B29">
            <w:pPr>
              <w:pStyle w:val="TableTextLeft"/>
            </w:pPr>
            <w:r w:rsidRPr="00027624">
              <w:t>CPA Australia</w:t>
            </w:r>
          </w:p>
        </w:tc>
        <w:tc>
          <w:tcPr>
            <w:tcW w:w="2500" w:type="pct"/>
          </w:tcPr>
          <w:p w14:paraId="0B4B7E2D" w14:textId="77777777" w:rsidR="00E96B29" w:rsidRPr="00027624" w:rsidRDefault="00E96B29" w:rsidP="00E96B29">
            <w:pPr>
              <w:pStyle w:val="TableTextLeft"/>
            </w:pPr>
            <w:r w:rsidRPr="00027624">
              <w:t>Griffith Centre for Personal Finance and Superannuation (Griffith University)</w:t>
            </w:r>
          </w:p>
        </w:tc>
      </w:tr>
      <w:tr w:rsidR="00E96B29" w:rsidRPr="00027624" w14:paraId="5A36E60F" w14:textId="77777777" w:rsidTr="00E96B29">
        <w:tc>
          <w:tcPr>
            <w:tcW w:w="2500" w:type="pct"/>
          </w:tcPr>
          <w:p w14:paraId="72B2AFC6" w14:textId="77777777" w:rsidR="00E96B29" w:rsidRPr="00027624" w:rsidRDefault="00E96B29" w:rsidP="00E96B29">
            <w:pPr>
              <w:pStyle w:val="TableTextLeft"/>
            </w:pPr>
            <w:r w:rsidRPr="00027624">
              <w:t>Cranford, Alex</w:t>
            </w:r>
          </w:p>
        </w:tc>
        <w:tc>
          <w:tcPr>
            <w:tcW w:w="2500" w:type="pct"/>
          </w:tcPr>
          <w:p w14:paraId="4C0E4341" w14:textId="77777777" w:rsidR="00E96B29" w:rsidRPr="00027624" w:rsidRDefault="00E96B29" w:rsidP="00E96B29">
            <w:pPr>
              <w:pStyle w:val="TableTextLeft"/>
            </w:pPr>
            <w:r w:rsidRPr="00027624">
              <w:t>Gryostat Capital Management</w:t>
            </w:r>
          </w:p>
        </w:tc>
      </w:tr>
      <w:tr w:rsidR="00E96B29" w:rsidRPr="00027624" w14:paraId="0BC36D29" w14:textId="77777777" w:rsidTr="00E96B29">
        <w:tc>
          <w:tcPr>
            <w:tcW w:w="2500" w:type="pct"/>
          </w:tcPr>
          <w:p w14:paraId="0724B84D" w14:textId="77777777" w:rsidR="00E96B29" w:rsidRPr="00027624" w:rsidRDefault="00E96B29" w:rsidP="00E96B29">
            <w:pPr>
              <w:pStyle w:val="TableTextLeft"/>
            </w:pPr>
            <w:r w:rsidRPr="00027624">
              <w:t>Daniel, Hugh</w:t>
            </w:r>
          </w:p>
        </w:tc>
        <w:tc>
          <w:tcPr>
            <w:tcW w:w="2500" w:type="pct"/>
          </w:tcPr>
          <w:p w14:paraId="26BF1633" w14:textId="77777777" w:rsidR="00E96B29" w:rsidRPr="00027624" w:rsidRDefault="00E96B29" w:rsidP="00E96B29">
            <w:pPr>
              <w:pStyle w:val="TableTextLeft"/>
            </w:pPr>
            <w:r w:rsidRPr="00027624">
              <w:t>Hackett</w:t>
            </w:r>
            <w:r w:rsidR="00A8443E" w:rsidRPr="00027624">
              <w:noBreakHyphen/>
            </w:r>
            <w:r w:rsidRPr="00027624">
              <w:t>Jones, Richard</w:t>
            </w:r>
          </w:p>
        </w:tc>
      </w:tr>
      <w:tr w:rsidR="00E96B29" w:rsidRPr="00027624" w14:paraId="161E8047" w14:textId="77777777" w:rsidTr="00E96B29">
        <w:tc>
          <w:tcPr>
            <w:tcW w:w="2500" w:type="pct"/>
          </w:tcPr>
          <w:p w14:paraId="633F6E12" w14:textId="77777777" w:rsidR="00E96B29" w:rsidRPr="00027624" w:rsidRDefault="00E96B29" w:rsidP="00E96B29">
            <w:pPr>
              <w:pStyle w:val="TableTextLeft"/>
            </w:pPr>
            <w:r w:rsidRPr="00027624">
              <w:t>Dapre, Robert</w:t>
            </w:r>
          </w:p>
        </w:tc>
        <w:tc>
          <w:tcPr>
            <w:tcW w:w="2500" w:type="pct"/>
          </w:tcPr>
          <w:p w14:paraId="136EA0E0" w14:textId="77777777" w:rsidR="00E96B29" w:rsidRPr="00027624" w:rsidRDefault="00E96B29" w:rsidP="00E96B29">
            <w:pPr>
              <w:pStyle w:val="TableTextLeft"/>
            </w:pPr>
            <w:r w:rsidRPr="00027624">
              <w:t>Harrison, Ian</w:t>
            </w:r>
          </w:p>
        </w:tc>
      </w:tr>
      <w:tr w:rsidR="00E96B29" w:rsidRPr="00027624" w14:paraId="12582E13" w14:textId="77777777" w:rsidTr="00E96B29">
        <w:tc>
          <w:tcPr>
            <w:tcW w:w="2500" w:type="pct"/>
          </w:tcPr>
          <w:p w14:paraId="2B2BE189" w14:textId="77777777" w:rsidR="00E96B29" w:rsidRPr="00027624" w:rsidRDefault="00E96B29" w:rsidP="00E96B29">
            <w:pPr>
              <w:pStyle w:val="TableTextLeft"/>
            </w:pPr>
            <w:r w:rsidRPr="00027624">
              <w:t>Davis AM, Kevin</w:t>
            </w:r>
          </w:p>
        </w:tc>
        <w:tc>
          <w:tcPr>
            <w:tcW w:w="2500" w:type="pct"/>
          </w:tcPr>
          <w:p w14:paraId="4D781205" w14:textId="77777777" w:rsidR="00E96B29" w:rsidRPr="00027624" w:rsidRDefault="00E96B29" w:rsidP="00E96B29">
            <w:pPr>
              <w:pStyle w:val="TableTextLeft"/>
            </w:pPr>
            <w:r w:rsidRPr="00027624">
              <w:t>Hart, Michael</w:t>
            </w:r>
          </w:p>
        </w:tc>
      </w:tr>
      <w:tr w:rsidR="00E96B29" w:rsidRPr="00027624" w14:paraId="1BA8BA12" w14:textId="77777777" w:rsidTr="00E96B29">
        <w:tc>
          <w:tcPr>
            <w:tcW w:w="2500" w:type="pct"/>
          </w:tcPr>
          <w:p w14:paraId="5BEC43BA" w14:textId="77777777" w:rsidR="00E96B29" w:rsidRPr="00027624" w:rsidRDefault="00E96B29" w:rsidP="00E96B29">
            <w:pPr>
              <w:pStyle w:val="TableTextLeft"/>
            </w:pPr>
            <w:r w:rsidRPr="00027624">
              <w:t>Davis, David</w:t>
            </w:r>
          </w:p>
        </w:tc>
        <w:tc>
          <w:tcPr>
            <w:tcW w:w="2500" w:type="pct"/>
          </w:tcPr>
          <w:p w14:paraId="11EF1296" w14:textId="77777777" w:rsidR="00E96B29" w:rsidRPr="00027624" w:rsidRDefault="00E96B29" w:rsidP="00E96B29">
            <w:pPr>
              <w:pStyle w:val="TableTextLeft"/>
            </w:pPr>
            <w:r w:rsidRPr="00027624">
              <w:t>Hawkins, Dr John</w:t>
            </w:r>
          </w:p>
        </w:tc>
      </w:tr>
      <w:tr w:rsidR="00E96B29" w:rsidRPr="00027624" w14:paraId="4DF3591F" w14:textId="77777777" w:rsidTr="00E96B29">
        <w:tc>
          <w:tcPr>
            <w:tcW w:w="2500" w:type="pct"/>
          </w:tcPr>
          <w:p w14:paraId="32F6F325" w14:textId="77777777" w:rsidR="00E96B29" w:rsidRPr="00027624" w:rsidRDefault="00E96B29" w:rsidP="00E96B29">
            <w:pPr>
              <w:pStyle w:val="TableTextLeft"/>
            </w:pPr>
            <w:r w:rsidRPr="00027624">
              <w:t>de Jong, Piet</w:t>
            </w:r>
          </w:p>
        </w:tc>
        <w:tc>
          <w:tcPr>
            <w:tcW w:w="2500" w:type="pct"/>
          </w:tcPr>
          <w:p w14:paraId="46DAAB88" w14:textId="77777777" w:rsidR="00E96B29" w:rsidRPr="00027624" w:rsidRDefault="00E96B29" w:rsidP="00E96B29">
            <w:pPr>
              <w:pStyle w:val="TableTextLeft"/>
            </w:pPr>
            <w:r w:rsidRPr="00027624">
              <w:t>Health Services Union</w:t>
            </w:r>
          </w:p>
        </w:tc>
      </w:tr>
      <w:tr w:rsidR="00E96B29" w:rsidRPr="00027624" w14:paraId="1EE383CB" w14:textId="77777777" w:rsidTr="00E96B29">
        <w:tc>
          <w:tcPr>
            <w:tcW w:w="2500" w:type="pct"/>
          </w:tcPr>
          <w:p w14:paraId="0BAED681" w14:textId="77777777" w:rsidR="00E96B29" w:rsidRPr="00027624" w:rsidRDefault="00E96B29" w:rsidP="00E96B29">
            <w:pPr>
              <w:pStyle w:val="TableTextLeft"/>
            </w:pPr>
            <w:r w:rsidRPr="00027624">
              <w:t>Devitt, Neil</w:t>
            </w:r>
          </w:p>
        </w:tc>
        <w:tc>
          <w:tcPr>
            <w:tcW w:w="2500" w:type="pct"/>
          </w:tcPr>
          <w:p w14:paraId="4D67B6FA" w14:textId="77777777" w:rsidR="00E96B29" w:rsidRPr="00027624" w:rsidRDefault="00E96B29" w:rsidP="00E96B29">
            <w:pPr>
              <w:pStyle w:val="TableTextLeft"/>
            </w:pPr>
            <w:r w:rsidRPr="00027624">
              <w:t>Hebden, Mark</w:t>
            </w:r>
          </w:p>
        </w:tc>
      </w:tr>
      <w:tr w:rsidR="00E96B29" w:rsidRPr="00027624" w14:paraId="626DC614" w14:textId="77777777" w:rsidTr="00E96B29">
        <w:tc>
          <w:tcPr>
            <w:tcW w:w="2500" w:type="pct"/>
          </w:tcPr>
          <w:p w14:paraId="1943B699" w14:textId="77777777" w:rsidR="00E96B29" w:rsidRPr="00027624" w:rsidRDefault="00E96B29" w:rsidP="00E96B29">
            <w:pPr>
              <w:pStyle w:val="TableTextLeft"/>
            </w:pPr>
            <w:r w:rsidRPr="00027624">
              <w:t>Dines, John</w:t>
            </w:r>
          </w:p>
        </w:tc>
        <w:tc>
          <w:tcPr>
            <w:tcW w:w="2500" w:type="pct"/>
          </w:tcPr>
          <w:p w14:paraId="55C0D9BB" w14:textId="77777777" w:rsidR="00E96B29" w:rsidRPr="00027624" w:rsidRDefault="00E96B29" w:rsidP="00E96B29">
            <w:pPr>
              <w:pStyle w:val="TableTextLeft"/>
            </w:pPr>
            <w:r w:rsidRPr="00027624">
              <w:t>Heffron SMSF Solutions</w:t>
            </w:r>
          </w:p>
        </w:tc>
      </w:tr>
      <w:tr w:rsidR="00E96B29" w:rsidRPr="00027624" w14:paraId="389AD24F" w14:textId="77777777" w:rsidTr="00E96B29">
        <w:tc>
          <w:tcPr>
            <w:tcW w:w="2500" w:type="pct"/>
          </w:tcPr>
          <w:p w14:paraId="2854E3BB" w14:textId="77777777" w:rsidR="00E96B29" w:rsidRPr="00027624" w:rsidRDefault="00E96B29" w:rsidP="00E96B29">
            <w:pPr>
              <w:pStyle w:val="TableTextLeft"/>
            </w:pPr>
            <w:r w:rsidRPr="00027624">
              <w:t>Diversa Trustees Limited (Sargon)</w:t>
            </w:r>
          </w:p>
        </w:tc>
        <w:tc>
          <w:tcPr>
            <w:tcW w:w="2500" w:type="pct"/>
          </w:tcPr>
          <w:p w14:paraId="5BB13714" w14:textId="77777777" w:rsidR="00E96B29" w:rsidRPr="00027624" w:rsidRDefault="00E96B29" w:rsidP="00E96B29">
            <w:pPr>
              <w:pStyle w:val="TableTextLeft"/>
            </w:pPr>
            <w:r w:rsidRPr="00027624">
              <w:t>HESTA Super fund</w:t>
            </w:r>
          </w:p>
        </w:tc>
      </w:tr>
      <w:tr w:rsidR="00E96B29" w:rsidRPr="00027624" w14:paraId="2E01F343" w14:textId="77777777" w:rsidTr="00E96B29">
        <w:tc>
          <w:tcPr>
            <w:tcW w:w="2500" w:type="pct"/>
          </w:tcPr>
          <w:p w14:paraId="2682E496" w14:textId="77777777" w:rsidR="00E96B29" w:rsidRPr="00027624" w:rsidRDefault="00E96B29" w:rsidP="00E96B29">
            <w:pPr>
              <w:pStyle w:val="TableTextLeft"/>
            </w:pPr>
            <w:r w:rsidRPr="00027624">
              <w:t>Dockery, Prof Michael (Bankwest Curtin Economics Centre)</w:t>
            </w:r>
          </w:p>
        </w:tc>
        <w:tc>
          <w:tcPr>
            <w:tcW w:w="2500" w:type="pct"/>
          </w:tcPr>
          <w:p w14:paraId="068817B3" w14:textId="77777777" w:rsidR="00E96B29" w:rsidRPr="00027624" w:rsidRDefault="00E96B29" w:rsidP="00E96B29">
            <w:pPr>
              <w:pStyle w:val="TableTextLeft"/>
            </w:pPr>
            <w:r w:rsidRPr="00027624">
              <w:t>Hewitson, Gillian</w:t>
            </w:r>
          </w:p>
        </w:tc>
      </w:tr>
      <w:tr w:rsidR="00E96B29" w:rsidRPr="00027624" w14:paraId="2B5CAB2D" w14:textId="77777777" w:rsidTr="00E96B29">
        <w:tc>
          <w:tcPr>
            <w:tcW w:w="2500" w:type="pct"/>
          </w:tcPr>
          <w:p w14:paraId="1BDE24E3" w14:textId="77777777" w:rsidR="00E96B29" w:rsidRPr="00027624" w:rsidRDefault="00E96B29" w:rsidP="00E96B29">
            <w:pPr>
              <w:pStyle w:val="TableTextLeft"/>
            </w:pPr>
            <w:r w:rsidRPr="00027624">
              <w:t>DomaCom</w:t>
            </w:r>
          </w:p>
        </w:tc>
        <w:tc>
          <w:tcPr>
            <w:tcW w:w="2500" w:type="pct"/>
          </w:tcPr>
          <w:p w14:paraId="3439E03F" w14:textId="77777777" w:rsidR="00E96B29" w:rsidRPr="00027624" w:rsidRDefault="00E96B29" w:rsidP="00E96B29">
            <w:pPr>
              <w:pStyle w:val="TableTextLeft"/>
            </w:pPr>
            <w:r w:rsidRPr="00027624">
              <w:t>Hodgkinson, Norman</w:t>
            </w:r>
          </w:p>
        </w:tc>
      </w:tr>
      <w:tr w:rsidR="00E96B29" w:rsidRPr="00027624" w14:paraId="1775C274" w14:textId="77777777" w:rsidTr="00E96B29">
        <w:tc>
          <w:tcPr>
            <w:tcW w:w="2500" w:type="pct"/>
          </w:tcPr>
          <w:p w14:paraId="1D1FB278" w14:textId="77777777" w:rsidR="00E96B29" w:rsidRPr="00027624" w:rsidRDefault="00E96B29" w:rsidP="00E96B29">
            <w:pPr>
              <w:pStyle w:val="TableTextLeft"/>
            </w:pPr>
            <w:r w:rsidRPr="00027624">
              <w:t>Echter, Michael</w:t>
            </w:r>
          </w:p>
        </w:tc>
        <w:tc>
          <w:tcPr>
            <w:tcW w:w="2500" w:type="pct"/>
          </w:tcPr>
          <w:p w14:paraId="640E6641" w14:textId="77777777" w:rsidR="00E96B29" w:rsidRPr="00027624" w:rsidRDefault="00E96B29" w:rsidP="00E96B29">
            <w:pPr>
              <w:pStyle w:val="TableTextLeft"/>
            </w:pPr>
            <w:r w:rsidRPr="00027624">
              <w:t>Holding, Anne</w:t>
            </w:r>
          </w:p>
        </w:tc>
      </w:tr>
      <w:tr w:rsidR="00E96B29" w:rsidRPr="00027624" w14:paraId="7FB55555" w14:textId="77777777" w:rsidTr="00E96B29">
        <w:tc>
          <w:tcPr>
            <w:tcW w:w="2500" w:type="pct"/>
          </w:tcPr>
          <w:p w14:paraId="1BB192C4" w14:textId="77777777" w:rsidR="00E96B29" w:rsidRPr="00027624" w:rsidRDefault="00E96B29" w:rsidP="00E96B29">
            <w:pPr>
              <w:pStyle w:val="TableTextLeft"/>
            </w:pPr>
            <w:r w:rsidRPr="00027624">
              <w:t>economic Security4Women</w:t>
            </w:r>
          </w:p>
        </w:tc>
        <w:tc>
          <w:tcPr>
            <w:tcW w:w="2500" w:type="pct"/>
          </w:tcPr>
          <w:p w14:paraId="06582CA4" w14:textId="77777777" w:rsidR="00E96B29" w:rsidRPr="00027624" w:rsidRDefault="00E96B29" w:rsidP="00E96B29">
            <w:pPr>
              <w:pStyle w:val="TableTextLeft"/>
            </w:pPr>
            <w:r w:rsidRPr="00027624">
              <w:t>Horan, David</w:t>
            </w:r>
          </w:p>
        </w:tc>
      </w:tr>
      <w:tr w:rsidR="00E96B29" w:rsidRPr="00027624" w14:paraId="0266AC18" w14:textId="77777777" w:rsidTr="00E96B29">
        <w:tc>
          <w:tcPr>
            <w:tcW w:w="2500" w:type="pct"/>
          </w:tcPr>
          <w:p w14:paraId="6A97A233" w14:textId="77777777" w:rsidR="00E96B29" w:rsidRPr="00027624" w:rsidRDefault="00E96B29" w:rsidP="00E96B29">
            <w:pPr>
              <w:pStyle w:val="TableTextLeft"/>
            </w:pPr>
            <w:r w:rsidRPr="00027624">
              <w:t>Edmonds, David</w:t>
            </w:r>
          </w:p>
        </w:tc>
        <w:tc>
          <w:tcPr>
            <w:tcW w:w="2500" w:type="pct"/>
          </w:tcPr>
          <w:p w14:paraId="56367656" w14:textId="77777777" w:rsidR="00E96B29" w:rsidRPr="00027624" w:rsidRDefault="00E96B29" w:rsidP="00E96B29">
            <w:pPr>
              <w:pStyle w:val="TableTextLeft"/>
            </w:pPr>
            <w:r w:rsidRPr="00027624">
              <w:t>Household Capital</w:t>
            </w:r>
          </w:p>
        </w:tc>
      </w:tr>
      <w:tr w:rsidR="00E96B29" w:rsidRPr="00027624" w14:paraId="4650E00B" w14:textId="77777777" w:rsidTr="00E96B29">
        <w:tc>
          <w:tcPr>
            <w:tcW w:w="2500" w:type="pct"/>
          </w:tcPr>
          <w:p w14:paraId="37E4C8F2" w14:textId="77777777" w:rsidR="00E96B29" w:rsidRPr="00027624" w:rsidRDefault="00E96B29" w:rsidP="00E96B29">
            <w:pPr>
              <w:pStyle w:val="TableTextLeft"/>
            </w:pPr>
            <w:r w:rsidRPr="00027624">
              <w:t>Edsall, Jem</w:t>
            </w:r>
          </w:p>
        </w:tc>
        <w:tc>
          <w:tcPr>
            <w:tcW w:w="2500" w:type="pct"/>
          </w:tcPr>
          <w:p w14:paraId="5EFDB68B" w14:textId="77777777" w:rsidR="00E96B29" w:rsidRPr="00027624" w:rsidRDefault="00E96B29" w:rsidP="00E96B29">
            <w:pPr>
              <w:pStyle w:val="TableTextLeft"/>
            </w:pPr>
            <w:r w:rsidRPr="00027624">
              <w:t>Housing Industry Association</w:t>
            </w:r>
          </w:p>
        </w:tc>
      </w:tr>
      <w:tr w:rsidR="00E96B29" w:rsidRPr="00027624" w14:paraId="2BACCE9C" w14:textId="77777777" w:rsidTr="00E96B29">
        <w:tc>
          <w:tcPr>
            <w:tcW w:w="2500" w:type="pct"/>
          </w:tcPr>
          <w:p w14:paraId="27AFCEE7" w14:textId="77777777" w:rsidR="00E96B29" w:rsidRPr="00027624" w:rsidRDefault="00E96B29" w:rsidP="00E96B29">
            <w:pPr>
              <w:pStyle w:val="TableTextLeft"/>
            </w:pPr>
            <w:r w:rsidRPr="00027624">
              <w:t>EveryAGE Counts</w:t>
            </w:r>
          </w:p>
        </w:tc>
        <w:tc>
          <w:tcPr>
            <w:tcW w:w="2500" w:type="pct"/>
          </w:tcPr>
          <w:p w14:paraId="1EA143A5" w14:textId="77777777" w:rsidR="00E96B29" w:rsidRPr="00027624" w:rsidRDefault="00E96B29" w:rsidP="00E96B29">
            <w:pPr>
              <w:pStyle w:val="TableTextLeft"/>
            </w:pPr>
            <w:r w:rsidRPr="00027624">
              <w:t>Howe PhD, Anna</w:t>
            </w:r>
          </w:p>
        </w:tc>
      </w:tr>
      <w:tr w:rsidR="00E96B29" w:rsidRPr="00027624" w14:paraId="52BC4544" w14:textId="77777777" w:rsidTr="00E96B29">
        <w:tc>
          <w:tcPr>
            <w:tcW w:w="2500" w:type="pct"/>
          </w:tcPr>
          <w:p w14:paraId="1F7EFCF5" w14:textId="77777777" w:rsidR="00E96B29" w:rsidRPr="00027624" w:rsidRDefault="00E96B29" w:rsidP="00E96B29">
            <w:pPr>
              <w:pStyle w:val="TableTextLeft"/>
            </w:pPr>
            <w:r w:rsidRPr="00027624">
              <w:t xml:space="preserve">EY </w:t>
            </w:r>
          </w:p>
        </w:tc>
        <w:tc>
          <w:tcPr>
            <w:tcW w:w="2500" w:type="pct"/>
          </w:tcPr>
          <w:p w14:paraId="65BB0504" w14:textId="77777777" w:rsidR="00E96B29" w:rsidRPr="00027624" w:rsidRDefault="00E96B29" w:rsidP="00E96B29">
            <w:pPr>
              <w:pStyle w:val="TableTextLeft"/>
            </w:pPr>
            <w:r w:rsidRPr="00027624">
              <w:t>Hristoforidis, Ian</w:t>
            </w:r>
          </w:p>
        </w:tc>
      </w:tr>
      <w:tr w:rsidR="00E96B29" w:rsidRPr="00027624" w14:paraId="01E63BB4" w14:textId="77777777" w:rsidTr="00E96B29">
        <w:tc>
          <w:tcPr>
            <w:tcW w:w="2500" w:type="pct"/>
          </w:tcPr>
          <w:p w14:paraId="1BBA213D" w14:textId="77777777" w:rsidR="00E96B29" w:rsidRPr="00027624" w:rsidRDefault="00E96B29" w:rsidP="00E96B29">
            <w:pPr>
              <w:pStyle w:val="TableTextLeft"/>
            </w:pPr>
            <w:r w:rsidRPr="00027624">
              <w:t>Fair Go For Pensioners</w:t>
            </w:r>
            <w:r w:rsidR="00A8443E" w:rsidRPr="00027624">
              <w:t xml:space="preserve"> — </w:t>
            </w:r>
            <w:r w:rsidRPr="00027624">
              <w:t>Coalition Victoria</w:t>
            </w:r>
          </w:p>
        </w:tc>
        <w:tc>
          <w:tcPr>
            <w:tcW w:w="2500" w:type="pct"/>
          </w:tcPr>
          <w:p w14:paraId="4E99EB57" w14:textId="77777777" w:rsidR="00E96B29" w:rsidRPr="00027624" w:rsidRDefault="00E96B29" w:rsidP="00E96B29">
            <w:pPr>
              <w:pStyle w:val="TableTextLeft"/>
            </w:pPr>
            <w:r w:rsidRPr="00027624">
              <w:t>Hull, Crispin</w:t>
            </w:r>
          </w:p>
        </w:tc>
      </w:tr>
      <w:tr w:rsidR="00E96B29" w:rsidRPr="00027624" w14:paraId="36B77C95" w14:textId="77777777" w:rsidTr="00E96B29">
        <w:tc>
          <w:tcPr>
            <w:tcW w:w="2500" w:type="pct"/>
          </w:tcPr>
          <w:p w14:paraId="788D2CB9" w14:textId="77777777" w:rsidR="00E96B29" w:rsidRPr="00027624" w:rsidRDefault="00E96B29" w:rsidP="00E96B29">
            <w:pPr>
              <w:pStyle w:val="TableTextLeft"/>
            </w:pPr>
            <w:r w:rsidRPr="00027624">
              <w:t>Fair Go For Pensioners</w:t>
            </w:r>
            <w:r w:rsidR="00A8443E" w:rsidRPr="00027624">
              <w:t xml:space="preserve"> — </w:t>
            </w:r>
            <w:r w:rsidRPr="00027624">
              <w:t>Newcastle Branch</w:t>
            </w:r>
          </w:p>
        </w:tc>
        <w:tc>
          <w:tcPr>
            <w:tcW w:w="2500" w:type="pct"/>
          </w:tcPr>
          <w:p w14:paraId="5AF9A839" w14:textId="77777777" w:rsidR="00E96B29" w:rsidRPr="00027624" w:rsidRDefault="00E96B29" w:rsidP="00E96B29">
            <w:pPr>
              <w:pStyle w:val="TableTextLeft"/>
            </w:pPr>
            <w:r w:rsidRPr="00027624">
              <w:t>Hunter, Andrew</w:t>
            </w:r>
          </w:p>
        </w:tc>
      </w:tr>
      <w:tr w:rsidR="00E96B29" w:rsidRPr="00027624" w14:paraId="7DBEC5B9" w14:textId="77777777" w:rsidTr="00E96B29">
        <w:tc>
          <w:tcPr>
            <w:tcW w:w="2500" w:type="pct"/>
          </w:tcPr>
          <w:p w14:paraId="38332CDB" w14:textId="77777777" w:rsidR="00E96B29" w:rsidRPr="00027624" w:rsidRDefault="00E96B29" w:rsidP="00E96B29">
            <w:pPr>
              <w:pStyle w:val="TableTextLeft"/>
            </w:pPr>
            <w:r w:rsidRPr="00027624">
              <w:t>Fair Go For Pensioners Queensland</w:t>
            </w:r>
          </w:p>
        </w:tc>
        <w:tc>
          <w:tcPr>
            <w:tcW w:w="2500" w:type="pct"/>
          </w:tcPr>
          <w:p w14:paraId="1E4CA766" w14:textId="77777777" w:rsidR="00E96B29" w:rsidRPr="00027624" w:rsidRDefault="00E96B29" w:rsidP="00E96B29">
            <w:pPr>
              <w:pStyle w:val="TableTextLeft"/>
            </w:pPr>
            <w:r w:rsidRPr="00027624">
              <w:t>Industrial Relations Victoria (VIC State Government)</w:t>
            </w:r>
          </w:p>
        </w:tc>
      </w:tr>
      <w:tr w:rsidR="00E96B29" w:rsidRPr="00027624" w14:paraId="6405E2D7" w14:textId="77777777" w:rsidTr="00E96B29">
        <w:tc>
          <w:tcPr>
            <w:tcW w:w="2500" w:type="pct"/>
          </w:tcPr>
          <w:p w14:paraId="1AB449F6" w14:textId="77777777" w:rsidR="00E96B29" w:rsidRPr="00027624" w:rsidRDefault="00E96B29" w:rsidP="00E96B29">
            <w:pPr>
              <w:pStyle w:val="TableTextLeft"/>
            </w:pPr>
            <w:r w:rsidRPr="00027624">
              <w:t>Fairweather, John and Shirley</w:t>
            </w:r>
          </w:p>
        </w:tc>
        <w:tc>
          <w:tcPr>
            <w:tcW w:w="2500" w:type="pct"/>
          </w:tcPr>
          <w:p w14:paraId="118630AC" w14:textId="77777777" w:rsidR="00E96B29" w:rsidRPr="00027624" w:rsidRDefault="00E96B29" w:rsidP="00E96B29">
            <w:pPr>
              <w:pStyle w:val="TableTextLeft"/>
            </w:pPr>
            <w:r w:rsidRPr="00027624">
              <w:t>Industry Super Australia</w:t>
            </w:r>
          </w:p>
        </w:tc>
      </w:tr>
      <w:tr w:rsidR="00E96B29" w:rsidRPr="00027624" w14:paraId="0D833A25" w14:textId="77777777" w:rsidTr="00E96B29">
        <w:tc>
          <w:tcPr>
            <w:tcW w:w="2500" w:type="pct"/>
          </w:tcPr>
          <w:p w14:paraId="50DC4053" w14:textId="77777777" w:rsidR="00E96B29" w:rsidRPr="00027624" w:rsidRDefault="00E96B29" w:rsidP="00E96B29">
            <w:pPr>
              <w:pStyle w:val="TableTextLeft"/>
            </w:pPr>
            <w:r w:rsidRPr="00027624">
              <w:t xml:space="preserve">Financial Services Council </w:t>
            </w:r>
          </w:p>
        </w:tc>
        <w:tc>
          <w:tcPr>
            <w:tcW w:w="2500" w:type="pct"/>
          </w:tcPr>
          <w:p w14:paraId="2C9C9169" w14:textId="77777777" w:rsidR="00E96B29" w:rsidRPr="00027624" w:rsidRDefault="00E96B29" w:rsidP="00E96B29">
            <w:pPr>
              <w:pStyle w:val="TableTextLeft"/>
            </w:pPr>
            <w:r w:rsidRPr="00027624">
              <w:t>IOOF Holdings Ltd</w:t>
            </w:r>
          </w:p>
        </w:tc>
      </w:tr>
      <w:tr w:rsidR="00E96B29" w:rsidRPr="00027624" w14:paraId="269972AC" w14:textId="77777777" w:rsidTr="00E96B29">
        <w:tc>
          <w:tcPr>
            <w:tcW w:w="2500" w:type="pct"/>
          </w:tcPr>
          <w:p w14:paraId="7E5A5E7A" w14:textId="77777777" w:rsidR="00E96B29" w:rsidRPr="00027624" w:rsidRDefault="00E96B29" w:rsidP="00E96B29">
            <w:pPr>
              <w:pStyle w:val="TableTextLeft"/>
            </w:pPr>
            <w:r w:rsidRPr="00027624">
              <w:t>Finance Sector Union</w:t>
            </w:r>
          </w:p>
        </w:tc>
        <w:tc>
          <w:tcPr>
            <w:tcW w:w="2500" w:type="pct"/>
          </w:tcPr>
          <w:p w14:paraId="6BE761A2" w14:textId="77777777" w:rsidR="00E96B29" w:rsidRPr="00027624" w:rsidRDefault="00E96B29" w:rsidP="00E96B29">
            <w:pPr>
              <w:pStyle w:val="TableTextLeft"/>
            </w:pPr>
            <w:r w:rsidRPr="00027624">
              <w:t>Johnson, Rob</w:t>
            </w:r>
          </w:p>
        </w:tc>
      </w:tr>
    </w:tbl>
    <w:p w14:paraId="67D0FCD6" w14:textId="77777777" w:rsidR="00E96B29" w:rsidRPr="00027624" w:rsidRDefault="00E96B29" w:rsidP="00E96B29">
      <w:pPr>
        <w:rPr>
          <w:bCs/>
        </w:rPr>
      </w:pPr>
    </w:p>
    <w:tbl>
      <w:tblPr>
        <w:tblW w:w="5000" w:type="pct"/>
        <w:tblLook w:val="01E0" w:firstRow="1" w:lastRow="1" w:firstColumn="1" w:lastColumn="1" w:noHBand="0" w:noVBand="0"/>
      </w:tblPr>
      <w:tblGrid>
        <w:gridCol w:w="4535"/>
        <w:gridCol w:w="4535"/>
      </w:tblGrid>
      <w:tr w:rsidR="00E96B29" w:rsidRPr="00027624" w14:paraId="4213E2B9" w14:textId="77777777" w:rsidTr="00E96B29">
        <w:trPr>
          <w:tblHeader/>
        </w:trPr>
        <w:tc>
          <w:tcPr>
            <w:tcW w:w="2500" w:type="pct"/>
            <w:shd w:val="clear" w:color="auto" w:fill="E5E5E5"/>
          </w:tcPr>
          <w:p w14:paraId="57807B1A" w14:textId="77777777" w:rsidR="00E96B29" w:rsidRPr="00027624" w:rsidRDefault="00E96B29" w:rsidP="00AE42B0">
            <w:pPr>
              <w:pStyle w:val="TableColumnHeadingLeft"/>
            </w:pPr>
            <w:r w:rsidRPr="00027624">
              <w:t>Submitters</w:t>
            </w:r>
            <w:r w:rsidRPr="00027624">
              <w:br w:type="page"/>
            </w:r>
          </w:p>
        </w:tc>
        <w:tc>
          <w:tcPr>
            <w:tcW w:w="2500" w:type="pct"/>
            <w:shd w:val="clear" w:color="auto" w:fill="E5E5E5"/>
          </w:tcPr>
          <w:p w14:paraId="76FF7AB8" w14:textId="77777777" w:rsidR="00E96B29" w:rsidRPr="00027624" w:rsidRDefault="00E96B29" w:rsidP="00AE42B0">
            <w:pPr>
              <w:pStyle w:val="TableColumnHeadingLeft"/>
            </w:pPr>
            <w:r w:rsidRPr="00027624">
              <w:t>Submitters</w:t>
            </w:r>
          </w:p>
        </w:tc>
      </w:tr>
      <w:tr w:rsidR="00E96B29" w:rsidRPr="00027624" w14:paraId="1E285E8D" w14:textId="77777777" w:rsidTr="00E96B29">
        <w:tc>
          <w:tcPr>
            <w:tcW w:w="2500" w:type="pct"/>
          </w:tcPr>
          <w:p w14:paraId="0FEDB30B" w14:textId="77777777" w:rsidR="00E96B29" w:rsidRPr="00027624" w:rsidRDefault="00E96B29" w:rsidP="00E96B29">
            <w:pPr>
              <w:pStyle w:val="TableTextLeft"/>
            </w:pPr>
            <w:r w:rsidRPr="00027624">
              <w:t>Johnston, Kerry</w:t>
            </w:r>
          </w:p>
        </w:tc>
        <w:tc>
          <w:tcPr>
            <w:tcW w:w="2500" w:type="pct"/>
          </w:tcPr>
          <w:p w14:paraId="2CFA6CB0" w14:textId="77777777" w:rsidR="00E96B29" w:rsidRPr="00027624" w:rsidRDefault="00E96B29" w:rsidP="00E96B29">
            <w:pPr>
              <w:pStyle w:val="TableTextLeft"/>
            </w:pPr>
            <w:r w:rsidRPr="00027624">
              <w:t>Paton, Rob</w:t>
            </w:r>
          </w:p>
        </w:tc>
      </w:tr>
      <w:tr w:rsidR="00E96B29" w:rsidRPr="00027624" w14:paraId="7196E1A0" w14:textId="77777777" w:rsidTr="00E96B29">
        <w:tc>
          <w:tcPr>
            <w:tcW w:w="2500" w:type="pct"/>
          </w:tcPr>
          <w:p w14:paraId="0DC00D0F" w14:textId="77777777" w:rsidR="00E96B29" w:rsidRPr="00027624" w:rsidRDefault="00E96B29" w:rsidP="00E96B29">
            <w:pPr>
              <w:pStyle w:val="TableTextLeft"/>
            </w:pPr>
            <w:r w:rsidRPr="00027624">
              <w:t>Kahmann, Ron</w:t>
            </w:r>
          </w:p>
        </w:tc>
        <w:tc>
          <w:tcPr>
            <w:tcW w:w="2500" w:type="pct"/>
          </w:tcPr>
          <w:p w14:paraId="1BC1B704" w14:textId="77777777" w:rsidR="00E96B29" w:rsidRPr="00027624" w:rsidRDefault="00E96B29" w:rsidP="00E96B29">
            <w:pPr>
              <w:pStyle w:val="TableTextLeft"/>
            </w:pPr>
            <w:r w:rsidRPr="00027624">
              <w:t>Pauley, John</w:t>
            </w:r>
          </w:p>
        </w:tc>
      </w:tr>
      <w:tr w:rsidR="00E96B29" w:rsidRPr="00027624" w14:paraId="36BD68AB" w14:textId="77777777" w:rsidTr="00E96B29">
        <w:tc>
          <w:tcPr>
            <w:tcW w:w="2500" w:type="pct"/>
          </w:tcPr>
          <w:p w14:paraId="445ABAC6" w14:textId="77777777" w:rsidR="00E96B29" w:rsidRPr="00027624" w:rsidRDefault="00E96B29" w:rsidP="00E96B29">
            <w:pPr>
              <w:pStyle w:val="TableTextLeft"/>
            </w:pPr>
            <w:r w:rsidRPr="00027624">
              <w:t>Kalkman, Hendrikus J</w:t>
            </w:r>
          </w:p>
        </w:tc>
        <w:tc>
          <w:tcPr>
            <w:tcW w:w="2500" w:type="pct"/>
          </w:tcPr>
          <w:p w14:paraId="67BC1D50" w14:textId="77777777" w:rsidR="00E96B29" w:rsidRPr="00027624" w:rsidRDefault="00E96B29" w:rsidP="00E96B29">
            <w:pPr>
              <w:pStyle w:val="TableTextLeft"/>
            </w:pPr>
            <w:r w:rsidRPr="00027624">
              <w:t>Plain English Economics Pty Ltd</w:t>
            </w:r>
          </w:p>
        </w:tc>
      </w:tr>
      <w:tr w:rsidR="00E96B29" w:rsidRPr="00027624" w14:paraId="3C123AD6" w14:textId="77777777" w:rsidTr="00E96B29">
        <w:tc>
          <w:tcPr>
            <w:tcW w:w="2500" w:type="pct"/>
          </w:tcPr>
          <w:p w14:paraId="1B654376" w14:textId="77777777" w:rsidR="00E96B29" w:rsidRPr="00027624" w:rsidRDefault="00E96B29" w:rsidP="00E96B29">
            <w:pPr>
              <w:pStyle w:val="TableTextLeft"/>
            </w:pPr>
            <w:r w:rsidRPr="00027624">
              <w:t>Kent, John</w:t>
            </w:r>
          </w:p>
        </w:tc>
        <w:tc>
          <w:tcPr>
            <w:tcW w:w="2500" w:type="pct"/>
          </w:tcPr>
          <w:p w14:paraId="16D9C975" w14:textId="77777777" w:rsidR="00E96B29" w:rsidRPr="00027624" w:rsidRDefault="00E96B29" w:rsidP="00E96B29">
            <w:pPr>
              <w:pStyle w:val="TableTextLeft"/>
            </w:pPr>
            <w:r w:rsidRPr="00027624">
              <w:t>Plato Investment Management</w:t>
            </w:r>
          </w:p>
        </w:tc>
      </w:tr>
      <w:tr w:rsidR="00E96B29" w:rsidRPr="00027624" w14:paraId="09BBE7E1" w14:textId="77777777" w:rsidTr="00E96B29">
        <w:tc>
          <w:tcPr>
            <w:tcW w:w="2500" w:type="pct"/>
          </w:tcPr>
          <w:p w14:paraId="2267F976" w14:textId="77777777" w:rsidR="00E96B29" w:rsidRPr="00027624" w:rsidRDefault="00E96B29" w:rsidP="00E96B29">
            <w:pPr>
              <w:pStyle w:val="TableTextLeft"/>
            </w:pPr>
            <w:r w:rsidRPr="00027624">
              <w:t>Khemka, Dr Gaurav, and Warren, Associate professor Geoff, ANU</w:t>
            </w:r>
          </w:p>
        </w:tc>
        <w:tc>
          <w:tcPr>
            <w:tcW w:w="2500" w:type="pct"/>
          </w:tcPr>
          <w:p w14:paraId="09D9F5EB" w14:textId="77777777" w:rsidR="00E96B29" w:rsidRPr="00027624" w:rsidRDefault="00E96B29" w:rsidP="00E96B29">
            <w:pPr>
              <w:pStyle w:val="TableTextLeft"/>
            </w:pPr>
            <w:r w:rsidRPr="00027624">
              <w:t>Police Federation of Australia</w:t>
            </w:r>
          </w:p>
        </w:tc>
      </w:tr>
      <w:tr w:rsidR="00E96B29" w:rsidRPr="00027624" w14:paraId="3828C418" w14:textId="77777777" w:rsidTr="00E96B29">
        <w:tc>
          <w:tcPr>
            <w:tcW w:w="2500" w:type="pct"/>
          </w:tcPr>
          <w:p w14:paraId="08BB5C5D" w14:textId="77777777" w:rsidR="00E96B29" w:rsidRPr="00027624" w:rsidRDefault="00E96B29" w:rsidP="00E96B29">
            <w:pPr>
              <w:pStyle w:val="TableTextLeft"/>
            </w:pPr>
            <w:r w:rsidRPr="00027624">
              <w:t>KPMG Australia</w:t>
            </w:r>
          </w:p>
        </w:tc>
        <w:tc>
          <w:tcPr>
            <w:tcW w:w="2500" w:type="pct"/>
          </w:tcPr>
          <w:p w14:paraId="16D3030D" w14:textId="77777777" w:rsidR="00E96B29" w:rsidRPr="00027624" w:rsidRDefault="00E96B29" w:rsidP="00E96B29">
            <w:pPr>
              <w:pStyle w:val="TableTextLeft"/>
            </w:pPr>
            <w:r w:rsidRPr="00027624">
              <w:t>Positive Life NSW</w:t>
            </w:r>
          </w:p>
        </w:tc>
      </w:tr>
      <w:tr w:rsidR="00E96B29" w:rsidRPr="00027624" w14:paraId="473E9840" w14:textId="77777777" w:rsidTr="00E96B29">
        <w:tc>
          <w:tcPr>
            <w:tcW w:w="2500" w:type="pct"/>
          </w:tcPr>
          <w:p w14:paraId="0EF7934E" w14:textId="77777777" w:rsidR="00E96B29" w:rsidRPr="00027624" w:rsidRDefault="00E96B29" w:rsidP="00E96B29">
            <w:pPr>
              <w:pStyle w:val="TableTextLeft"/>
            </w:pPr>
            <w:r w:rsidRPr="00027624">
              <w:t>Lacey, Jan</w:t>
            </w:r>
          </w:p>
        </w:tc>
        <w:tc>
          <w:tcPr>
            <w:tcW w:w="2500" w:type="pct"/>
          </w:tcPr>
          <w:p w14:paraId="4ADACEDC" w14:textId="77777777" w:rsidR="00E96B29" w:rsidRPr="00027624" w:rsidRDefault="00E96B29" w:rsidP="00E96B29">
            <w:pPr>
              <w:pStyle w:val="TableTextLeft"/>
            </w:pPr>
            <w:r w:rsidRPr="00027624">
              <w:t>Preston, Professor Alison (University of Western Australia)</w:t>
            </w:r>
          </w:p>
        </w:tc>
      </w:tr>
      <w:tr w:rsidR="00E96B29" w:rsidRPr="00027624" w14:paraId="6C7B006F" w14:textId="77777777" w:rsidTr="00E96B29">
        <w:tc>
          <w:tcPr>
            <w:tcW w:w="2500" w:type="pct"/>
          </w:tcPr>
          <w:p w14:paraId="4763B048" w14:textId="77777777" w:rsidR="00E96B29" w:rsidRPr="00027624" w:rsidRDefault="00E96B29" w:rsidP="00E96B29">
            <w:pPr>
              <w:pStyle w:val="TableTextLeft"/>
            </w:pPr>
            <w:r w:rsidRPr="00027624">
              <w:t>Langsam, David</w:t>
            </w:r>
          </w:p>
        </w:tc>
        <w:tc>
          <w:tcPr>
            <w:tcW w:w="2500" w:type="pct"/>
          </w:tcPr>
          <w:p w14:paraId="566E9C9C" w14:textId="77777777" w:rsidR="00E96B29" w:rsidRPr="00027624" w:rsidRDefault="00E96B29" w:rsidP="00E96B29">
            <w:pPr>
              <w:pStyle w:val="TableTextLeft"/>
            </w:pPr>
            <w:r w:rsidRPr="00027624">
              <w:t>PricewaterhouseCoopers</w:t>
            </w:r>
          </w:p>
        </w:tc>
      </w:tr>
      <w:tr w:rsidR="00E96B29" w:rsidRPr="00027624" w14:paraId="0FC77A52" w14:textId="77777777" w:rsidTr="00E96B29">
        <w:tc>
          <w:tcPr>
            <w:tcW w:w="2500" w:type="pct"/>
          </w:tcPr>
          <w:p w14:paraId="45CC9484" w14:textId="77777777" w:rsidR="00E96B29" w:rsidRPr="00027624" w:rsidRDefault="00E96B29" w:rsidP="00E96B29">
            <w:pPr>
              <w:pStyle w:val="TableTextLeft"/>
            </w:pPr>
            <w:r w:rsidRPr="00027624">
              <w:t>Layt, Mick</w:t>
            </w:r>
          </w:p>
        </w:tc>
        <w:tc>
          <w:tcPr>
            <w:tcW w:w="2500" w:type="pct"/>
          </w:tcPr>
          <w:p w14:paraId="546A5EE6" w14:textId="77777777" w:rsidR="00E96B29" w:rsidRPr="00027624" w:rsidRDefault="00E96B29" w:rsidP="00E96B29">
            <w:pPr>
              <w:pStyle w:val="TableTextLeft"/>
            </w:pPr>
            <w:r w:rsidRPr="00027624">
              <w:t>Prime Super</w:t>
            </w:r>
          </w:p>
        </w:tc>
      </w:tr>
      <w:tr w:rsidR="00E96B29" w:rsidRPr="00027624" w14:paraId="1F38B07C" w14:textId="77777777" w:rsidTr="00E96B29">
        <w:tc>
          <w:tcPr>
            <w:tcW w:w="2500" w:type="pct"/>
          </w:tcPr>
          <w:p w14:paraId="72AC4A51" w14:textId="77777777" w:rsidR="00E96B29" w:rsidRPr="00027624" w:rsidRDefault="00E96B29" w:rsidP="00E96B29">
            <w:pPr>
              <w:pStyle w:val="TableTextLeft"/>
            </w:pPr>
            <w:r w:rsidRPr="00027624">
              <w:t>Leite, Natalie</w:t>
            </w:r>
          </w:p>
        </w:tc>
        <w:tc>
          <w:tcPr>
            <w:tcW w:w="2500" w:type="pct"/>
          </w:tcPr>
          <w:p w14:paraId="56ABFDE9" w14:textId="77777777" w:rsidR="00E96B29" w:rsidRPr="00027624" w:rsidRDefault="00E96B29" w:rsidP="00E96B29">
            <w:pPr>
              <w:pStyle w:val="TableTextLeft"/>
            </w:pPr>
            <w:r w:rsidRPr="00027624">
              <w:t>Property Council of Australia</w:t>
            </w:r>
          </w:p>
        </w:tc>
      </w:tr>
      <w:tr w:rsidR="00E96B29" w:rsidRPr="00027624" w14:paraId="0AF20723" w14:textId="77777777" w:rsidTr="00E96B29">
        <w:tc>
          <w:tcPr>
            <w:tcW w:w="2500" w:type="pct"/>
          </w:tcPr>
          <w:p w14:paraId="5CD73A8B" w14:textId="77777777" w:rsidR="00E96B29" w:rsidRPr="00027624" w:rsidRDefault="00E96B29" w:rsidP="00E96B29">
            <w:pPr>
              <w:pStyle w:val="TableTextLeft"/>
            </w:pPr>
            <w:r w:rsidRPr="00027624">
              <w:t>Lewington, Geoff</w:t>
            </w:r>
          </w:p>
        </w:tc>
        <w:tc>
          <w:tcPr>
            <w:tcW w:w="2500" w:type="pct"/>
          </w:tcPr>
          <w:p w14:paraId="47EDDADC" w14:textId="77777777" w:rsidR="00E96B29" w:rsidRPr="00027624" w:rsidRDefault="00E96B29" w:rsidP="00E96B29">
            <w:pPr>
              <w:pStyle w:val="TableTextLeft"/>
            </w:pPr>
            <w:r w:rsidRPr="00027624">
              <w:t>Queensland Nurses and Midwives</w:t>
            </w:r>
            <w:r w:rsidR="00A8443E" w:rsidRPr="00027624">
              <w:t>’</w:t>
            </w:r>
            <w:r w:rsidRPr="00027624">
              <w:t xml:space="preserve"> Unions</w:t>
            </w:r>
          </w:p>
        </w:tc>
      </w:tr>
      <w:tr w:rsidR="00E96B29" w:rsidRPr="00027624" w14:paraId="71FABF88" w14:textId="77777777" w:rsidTr="00E96B29">
        <w:tc>
          <w:tcPr>
            <w:tcW w:w="2500" w:type="pct"/>
          </w:tcPr>
          <w:p w14:paraId="02087BB2" w14:textId="77777777" w:rsidR="00E96B29" w:rsidRPr="00027624" w:rsidRDefault="00E96B29" w:rsidP="00E96B29">
            <w:pPr>
              <w:pStyle w:val="TableTextLeft"/>
            </w:pPr>
            <w:r w:rsidRPr="00027624">
              <w:t>Lewis, Evan</w:t>
            </w:r>
          </w:p>
        </w:tc>
        <w:tc>
          <w:tcPr>
            <w:tcW w:w="2500" w:type="pct"/>
          </w:tcPr>
          <w:p w14:paraId="1A7E1510" w14:textId="77777777" w:rsidR="00E96B29" w:rsidRPr="00027624" w:rsidRDefault="00E96B29" w:rsidP="00E96B29">
            <w:pPr>
              <w:pStyle w:val="TableTextLeft"/>
            </w:pPr>
            <w:r w:rsidRPr="00027624">
              <w:t>Rasmussen, Lisbeth</w:t>
            </w:r>
          </w:p>
        </w:tc>
      </w:tr>
      <w:tr w:rsidR="00E96B29" w:rsidRPr="00027624" w14:paraId="19EC798C" w14:textId="77777777" w:rsidTr="00E96B29">
        <w:tc>
          <w:tcPr>
            <w:tcW w:w="2500" w:type="pct"/>
          </w:tcPr>
          <w:p w14:paraId="3B92C881" w14:textId="77777777" w:rsidR="00E96B29" w:rsidRPr="00027624" w:rsidRDefault="00E96B29" w:rsidP="00E96B29">
            <w:pPr>
              <w:pStyle w:val="TableTextLeft"/>
            </w:pPr>
            <w:r w:rsidRPr="00027624">
              <w:t>Leys, David</w:t>
            </w:r>
          </w:p>
        </w:tc>
        <w:tc>
          <w:tcPr>
            <w:tcW w:w="2500" w:type="pct"/>
          </w:tcPr>
          <w:p w14:paraId="0922DFB3" w14:textId="77777777" w:rsidR="00E96B29" w:rsidRPr="00027624" w:rsidRDefault="00E96B29" w:rsidP="00E96B29">
            <w:pPr>
              <w:pStyle w:val="TableTextLeft"/>
            </w:pPr>
            <w:r w:rsidRPr="00027624">
              <w:t>Rea, David</w:t>
            </w:r>
          </w:p>
        </w:tc>
      </w:tr>
      <w:tr w:rsidR="00E96B29" w:rsidRPr="00027624" w14:paraId="460CF7EE" w14:textId="77777777" w:rsidTr="00E96B29">
        <w:tc>
          <w:tcPr>
            <w:tcW w:w="2500" w:type="pct"/>
          </w:tcPr>
          <w:p w14:paraId="1FFFA715" w14:textId="77777777" w:rsidR="00E96B29" w:rsidRPr="00027624" w:rsidRDefault="00E96B29" w:rsidP="00E96B29">
            <w:pPr>
              <w:pStyle w:val="TableTextLeft"/>
            </w:pPr>
            <w:r w:rsidRPr="00027624">
              <w:t>Maurice Blackburn Lawyers</w:t>
            </w:r>
          </w:p>
        </w:tc>
        <w:tc>
          <w:tcPr>
            <w:tcW w:w="2500" w:type="pct"/>
          </w:tcPr>
          <w:p w14:paraId="2DB9A573" w14:textId="77777777" w:rsidR="00E96B29" w:rsidRPr="00027624" w:rsidRDefault="00E96B29" w:rsidP="00E96B29">
            <w:pPr>
              <w:pStyle w:val="TableTextLeft"/>
            </w:pPr>
            <w:r w:rsidRPr="00027624">
              <w:t>Reason, Jenny</w:t>
            </w:r>
          </w:p>
        </w:tc>
      </w:tr>
      <w:tr w:rsidR="00E96B29" w:rsidRPr="00027624" w14:paraId="37666505" w14:textId="77777777" w:rsidTr="00E96B29">
        <w:tc>
          <w:tcPr>
            <w:tcW w:w="2500" w:type="pct"/>
          </w:tcPr>
          <w:p w14:paraId="7A90466A" w14:textId="77777777" w:rsidR="00E96B29" w:rsidRPr="00027624" w:rsidRDefault="00E96B29" w:rsidP="00E96B29">
            <w:pPr>
              <w:pStyle w:val="TableTextLeft"/>
            </w:pPr>
            <w:r w:rsidRPr="00027624">
              <w:t>Mayo, Wayne</w:t>
            </w:r>
          </w:p>
        </w:tc>
        <w:tc>
          <w:tcPr>
            <w:tcW w:w="2500" w:type="pct"/>
          </w:tcPr>
          <w:p w14:paraId="0BEA525D" w14:textId="77777777" w:rsidR="00E96B29" w:rsidRPr="00027624" w:rsidRDefault="00E96B29" w:rsidP="00E96B29">
            <w:pPr>
              <w:pStyle w:val="TableTextLeft"/>
            </w:pPr>
            <w:r w:rsidRPr="00027624">
              <w:t>Reid, Robert</w:t>
            </w:r>
          </w:p>
        </w:tc>
      </w:tr>
      <w:tr w:rsidR="00E96B29" w:rsidRPr="00027624" w14:paraId="37F83FAE" w14:textId="77777777" w:rsidTr="00E96B29">
        <w:tc>
          <w:tcPr>
            <w:tcW w:w="2500" w:type="pct"/>
          </w:tcPr>
          <w:p w14:paraId="6E3E433C" w14:textId="77777777" w:rsidR="00E96B29" w:rsidRPr="00027624" w:rsidRDefault="00E96B29" w:rsidP="00E96B29">
            <w:pPr>
              <w:pStyle w:val="TableTextLeft"/>
            </w:pPr>
            <w:r w:rsidRPr="00027624">
              <w:t>McCall, Grant</w:t>
            </w:r>
          </w:p>
        </w:tc>
        <w:tc>
          <w:tcPr>
            <w:tcW w:w="2500" w:type="pct"/>
          </w:tcPr>
          <w:p w14:paraId="65A64D81" w14:textId="77777777" w:rsidR="00E96B29" w:rsidRPr="00027624" w:rsidRDefault="00E96B29" w:rsidP="00E96B29">
            <w:pPr>
              <w:pStyle w:val="TableTextLeft"/>
            </w:pPr>
            <w:r w:rsidRPr="00027624">
              <w:t>Rest</w:t>
            </w:r>
          </w:p>
        </w:tc>
      </w:tr>
      <w:tr w:rsidR="00E96B29" w:rsidRPr="00027624" w14:paraId="15CAE301" w14:textId="77777777" w:rsidTr="00E96B29">
        <w:tc>
          <w:tcPr>
            <w:tcW w:w="2500" w:type="pct"/>
          </w:tcPr>
          <w:p w14:paraId="49AFCCAE" w14:textId="77777777" w:rsidR="00E96B29" w:rsidRPr="00027624" w:rsidRDefault="00E96B29" w:rsidP="00E96B29">
            <w:pPr>
              <w:pStyle w:val="TableTextLeft"/>
            </w:pPr>
            <w:r w:rsidRPr="00027624">
              <w:t>McGarrity, Ian</w:t>
            </w:r>
          </w:p>
        </w:tc>
        <w:tc>
          <w:tcPr>
            <w:tcW w:w="2500" w:type="pct"/>
          </w:tcPr>
          <w:p w14:paraId="784BFA36" w14:textId="77777777" w:rsidR="00E96B29" w:rsidRPr="00027624" w:rsidRDefault="00E96B29" w:rsidP="00E96B29">
            <w:pPr>
              <w:pStyle w:val="TableTextLeft"/>
            </w:pPr>
            <w:r w:rsidRPr="00027624">
              <w:t>Reynolds Peter</w:t>
            </w:r>
          </w:p>
        </w:tc>
      </w:tr>
      <w:tr w:rsidR="00E96B29" w:rsidRPr="00027624" w14:paraId="2DC55A40" w14:textId="77777777" w:rsidTr="00E96B29">
        <w:tc>
          <w:tcPr>
            <w:tcW w:w="2500" w:type="pct"/>
          </w:tcPr>
          <w:p w14:paraId="23735ABB" w14:textId="77777777" w:rsidR="00E96B29" w:rsidRPr="00027624" w:rsidRDefault="00E96B29" w:rsidP="00E96B29">
            <w:pPr>
              <w:pStyle w:val="TableTextLeft"/>
            </w:pPr>
            <w:r w:rsidRPr="00027624">
              <w:t>McIntosh, John</w:t>
            </w:r>
          </w:p>
        </w:tc>
        <w:tc>
          <w:tcPr>
            <w:tcW w:w="2500" w:type="pct"/>
          </w:tcPr>
          <w:p w14:paraId="1B6C88B5" w14:textId="77777777" w:rsidR="00E96B29" w:rsidRPr="00027624" w:rsidRDefault="00E96B29" w:rsidP="00E96B29">
            <w:pPr>
              <w:pStyle w:val="TableTextLeft"/>
            </w:pPr>
            <w:r w:rsidRPr="00027624">
              <w:t>Rhodes, Julie</w:t>
            </w:r>
          </w:p>
        </w:tc>
      </w:tr>
      <w:tr w:rsidR="00E96B29" w:rsidRPr="00027624" w14:paraId="3C582FB3" w14:textId="77777777" w:rsidTr="00E96B29">
        <w:tc>
          <w:tcPr>
            <w:tcW w:w="2500" w:type="pct"/>
          </w:tcPr>
          <w:p w14:paraId="07242291" w14:textId="77777777" w:rsidR="00E96B29" w:rsidRPr="00027624" w:rsidRDefault="00E96B29" w:rsidP="00E96B29">
            <w:pPr>
              <w:pStyle w:val="TableTextLeft"/>
            </w:pPr>
            <w:r w:rsidRPr="00027624">
              <w:t>Mercer</w:t>
            </w:r>
          </w:p>
        </w:tc>
        <w:tc>
          <w:tcPr>
            <w:tcW w:w="2500" w:type="pct"/>
          </w:tcPr>
          <w:p w14:paraId="104EDBF0" w14:textId="77777777" w:rsidR="00E96B29" w:rsidRPr="00027624" w:rsidRDefault="00E96B29" w:rsidP="00E96B29">
            <w:pPr>
              <w:pStyle w:val="TableTextLeft"/>
            </w:pPr>
            <w:r w:rsidRPr="00027624">
              <w:t>Rice Warner</w:t>
            </w:r>
          </w:p>
        </w:tc>
      </w:tr>
      <w:tr w:rsidR="00E96B29" w:rsidRPr="00027624" w14:paraId="396B80F4" w14:textId="77777777" w:rsidTr="00E96B29">
        <w:tc>
          <w:tcPr>
            <w:tcW w:w="2500" w:type="pct"/>
          </w:tcPr>
          <w:p w14:paraId="1E2AB1A2" w14:textId="77777777" w:rsidR="00E96B29" w:rsidRPr="00027624" w:rsidRDefault="00E96B29" w:rsidP="00E96B29">
            <w:pPr>
              <w:pStyle w:val="TableTextLeft"/>
            </w:pPr>
            <w:r w:rsidRPr="00027624">
              <w:t>Mission Australia</w:t>
            </w:r>
          </w:p>
        </w:tc>
        <w:tc>
          <w:tcPr>
            <w:tcW w:w="2500" w:type="pct"/>
          </w:tcPr>
          <w:p w14:paraId="66ED51E4" w14:textId="77777777" w:rsidR="00E96B29" w:rsidRPr="00027624" w:rsidRDefault="00E96B29" w:rsidP="00E96B29">
            <w:pPr>
              <w:pStyle w:val="TableTextLeft"/>
            </w:pPr>
            <w:r w:rsidRPr="00027624">
              <w:t>Richards, Barnard M</w:t>
            </w:r>
          </w:p>
        </w:tc>
      </w:tr>
      <w:tr w:rsidR="00E96B29" w:rsidRPr="00027624" w14:paraId="3AD4F561" w14:textId="77777777" w:rsidTr="00E96B29">
        <w:tc>
          <w:tcPr>
            <w:tcW w:w="2500" w:type="pct"/>
          </w:tcPr>
          <w:p w14:paraId="6C3EE468" w14:textId="77777777" w:rsidR="00E96B29" w:rsidRPr="00027624" w:rsidRDefault="00E96B29" w:rsidP="00E96B29">
            <w:pPr>
              <w:pStyle w:val="TableTextLeft"/>
            </w:pPr>
            <w:r w:rsidRPr="00027624">
              <w:t>MLC Wealth</w:t>
            </w:r>
          </w:p>
        </w:tc>
        <w:tc>
          <w:tcPr>
            <w:tcW w:w="2500" w:type="pct"/>
          </w:tcPr>
          <w:p w14:paraId="43CD6CD5" w14:textId="77777777" w:rsidR="00E96B29" w:rsidRPr="00027624" w:rsidRDefault="00E96B29" w:rsidP="00E96B29">
            <w:pPr>
              <w:pStyle w:val="TableTextLeft"/>
            </w:pPr>
            <w:r w:rsidRPr="00027624">
              <w:t>Ritchens, Denise (Northeast Health Wangaratta)</w:t>
            </w:r>
          </w:p>
        </w:tc>
      </w:tr>
      <w:tr w:rsidR="00E96B29" w:rsidRPr="00027624" w14:paraId="7D5881A7" w14:textId="77777777" w:rsidTr="00E96B29">
        <w:tc>
          <w:tcPr>
            <w:tcW w:w="2500" w:type="pct"/>
          </w:tcPr>
          <w:p w14:paraId="16D66774" w14:textId="77777777" w:rsidR="00E96B29" w:rsidRPr="00027624" w:rsidRDefault="00E96B29" w:rsidP="00E96B29">
            <w:pPr>
              <w:pStyle w:val="TableTextLeft"/>
            </w:pPr>
            <w:r w:rsidRPr="00027624">
              <w:t>Monash Centre for Financial Studies (Monash University)</w:t>
            </w:r>
          </w:p>
        </w:tc>
        <w:tc>
          <w:tcPr>
            <w:tcW w:w="2500" w:type="pct"/>
          </w:tcPr>
          <w:p w14:paraId="3A4B7F1E" w14:textId="77777777" w:rsidR="00E96B29" w:rsidRPr="00027624" w:rsidRDefault="00E96B29" w:rsidP="00E96B29">
            <w:pPr>
              <w:pStyle w:val="TableTextLeft"/>
            </w:pPr>
            <w:r w:rsidRPr="00027624">
              <w:t>Rohan, Geoff</w:t>
            </w:r>
          </w:p>
        </w:tc>
      </w:tr>
      <w:tr w:rsidR="00E96B29" w:rsidRPr="00027624" w14:paraId="46E9EE2E" w14:textId="77777777" w:rsidTr="00E96B29">
        <w:tc>
          <w:tcPr>
            <w:tcW w:w="2500" w:type="pct"/>
          </w:tcPr>
          <w:p w14:paraId="4772E91D" w14:textId="77777777" w:rsidR="00E96B29" w:rsidRPr="00027624" w:rsidRDefault="00E96B29" w:rsidP="00E96B29">
            <w:pPr>
              <w:pStyle w:val="TableTextLeft"/>
            </w:pPr>
            <w:r w:rsidRPr="00027624">
              <w:t>Money Farms Pty Ltd</w:t>
            </w:r>
          </w:p>
        </w:tc>
        <w:tc>
          <w:tcPr>
            <w:tcW w:w="2500" w:type="pct"/>
          </w:tcPr>
          <w:p w14:paraId="1E65EAB5" w14:textId="77777777" w:rsidR="00E96B29" w:rsidRPr="00027624" w:rsidRDefault="00E96B29" w:rsidP="00E96B29">
            <w:pPr>
              <w:pStyle w:val="TableTextLeft"/>
            </w:pPr>
            <w:r w:rsidRPr="00027624">
              <w:t>Rossiter, Janis</w:t>
            </w:r>
          </w:p>
        </w:tc>
      </w:tr>
      <w:tr w:rsidR="00E96B29" w:rsidRPr="00027624" w14:paraId="3539D146" w14:textId="77777777" w:rsidTr="00E96B29">
        <w:tc>
          <w:tcPr>
            <w:tcW w:w="2500" w:type="pct"/>
          </w:tcPr>
          <w:p w14:paraId="17633F0B" w14:textId="77777777" w:rsidR="00E96B29" w:rsidRPr="00027624" w:rsidRDefault="00E96B29" w:rsidP="00E96B29">
            <w:pPr>
              <w:pStyle w:val="TableTextLeft"/>
            </w:pPr>
            <w:r w:rsidRPr="00027624">
              <w:t>Moore, Chris</w:t>
            </w:r>
          </w:p>
        </w:tc>
        <w:tc>
          <w:tcPr>
            <w:tcW w:w="2500" w:type="pct"/>
          </w:tcPr>
          <w:p w14:paraId="557644CA" w14:textId="77777777" w:rsidR="00E96B29" w:rsidRPr="00027624" w:rsidRDefault="00E96B29" w:rsidP="00E96B29">
            <w:pPr>
              <w:pStyle w:val="TableTextLeft"/>
            </w:pPr>
            <w:r w:rsidRPr="00027624">
              <w:t>Rush FIAA, David</w:t>
            </w:r>
          </w:p>
        </w:tc>
      </w:tr>
      <w:tr w:rsidR="00E96B29" w:rsidRPr="00027624" w14:paraId="7B8DBE70" w14:textId="77777777" w:rsidTr="00E96B29">
        <w:tc>
          <w:tcPr>
            <w:tcW w:w="2500" w:type="pct"/>
          </w:tcPr>
          <w:p w14:paraId="061E46BF" w14:textId="77777777" w:rsidR="00E96B29" w:rsidRPr="00027624" w:rsidRDefault="00E96B29" w:rsidP="00E96B29">
            <w:pPr>
              <w:pStyle w:val="TableTextLeft"/>
            </w:pPr>
            <w:r w:rsidRPr="00027624">
              <w:t>Murray, Dr Cameron K</w:t>
            </w:r>
          </w:p>
        </w:tc>
        <w:tc>
          <w:tcPr>
            <w:tcW w:w="2500" w:type="pct"/>
          </w:tcPr>
          <w:p w14:paraId="528CB878" w14:textId="77777777" w:rsidR="00E96B29" w:rsidRPr="00027624" w:rsidRDefault="00E96B29" w:rsidP="00E96B29">
            <w:pPr>
              <w:pStyle w:val="TableTextLeft"/>
            </w:pPr>
            <w:r w:rsidRPr="00027624">
              <w:t>SA Superannuants</w:t>
            </w:r>
          </w:p>
        </w:tc>
      </w:tr>
      <w:tr w:rsidR="00E96B29" w:rsidRPr="00027624" w14:paraId="029B54AC" w14:textId="77777777" w:rsidTr="00E96B29">
        <w:tc>
          <w:tcPr>
            <w:tcW w:w="2500" w:type="pct"/>
          </w:tcPr>
          <w:p w14:paraId="07CFCFA5" w14:textId="77777777" w:rsidR="00E96B29" w:rsidRPr="00027624" w:rsidRDefault="00E96B29" w:rsidP="00E96B29">
            <w:pPr>
              <w:pStyle w:val="TableTextLeft"/>
            </w:pPr>
            <w:r w:rsidRPr="00027624">
              <w:t>Mutual Pensions Pty Ltd</w:t>
            </w:r>
          </w:p>
        </w:tc>
        <w:tc>
          <w:tcPr>
            <w:tcW w:w="2500" w:type="pct"/>
          </w:tcPr>
          <w:p w14:paraId="4A5D9148" w14:textId="77777777" w:rsidR="00E96B29" w:rsidRPr="00027624" w:rsidRDefault="00E96B29" w:rsidP="00E96B29">
            <w:pPr>
              <w:pStyle w:val="TableTextLeft"/>
            </w:pPr>
            <w:r w:rsidRPr="00027624">
              <w:t>Sanders, Anthony</w:t>
            </w:r>
          </w:p>
        </w:tc>
      </w:tr>
      <w:tr w:rsidR="00E96B29" w:rsidRPr="00027624" w14:paraId="12457986" w14:textId="77777777" w:rsidTr="00E96B29">
        <w:tc>
          <w:tcPr>
            <w:tcW w:w="2500" w:type="pct"/>
          </w:tcPr>
          <w:p w14:paraId="1C0BF1F9" w14:textId="77777777" w:rsidR="00E96B29" w:rsidRPr="00027624" w:rsidRDefault="00E96B29" w:rsidP="00E96B29">
            <w:pPr>
              <w:pStyle w:val="TableTextLeft"/>
            </w:pPr>
            <w:r w:rsidRPr="00027624">
              <w:t>National Council of Women Australia</w:t>
            </w:r>
          </w:p>
        </w:tc>
        <w:tc>
          <w:tcPr>
            <w:tcW w:w="2500" w:type="pct"/>
          </w:tcPr>
          <w:p w14:paraId="114EACBD" w14:textId="77777777" w:rsidR="00E96B29" w:rsidRPr="00027624" w:rsidRDefault="00E96B29" w:rsidP="00E96B29">
            <w:pPr>
              <w:pStyle w:val="TableTextLeft"/>
            </w:pPr>
            <w:r w:rsidRPr="00027624">
              <w:t>Save Our Super</w:t>
            </w:r>
          </w:p>
        </w:tc>
      </w:tr>
      <w:tr w:rsidR="00E96B29" w:rsidRPr="00027624" w14:paraId="6AC516F7" w14:textId="77777777" w:rsidTr="00E96B29">
        <w:tc>
          <w:tcPr>
            <w:tcW w:w="2500" w:type="pct"/>
          </w:tcPr>
          <w:p w14:paraId="0E53B943" w14:textId="77777777" w:rsidR="00E96B29" w:rsidRPr="00027624" w:rsidRDefault="00E96B29" w:rsidP="00E96B29">
            <w:pPr>
              <w:pStyle w:val="TableTextLeft"/>
            </w:pPr>
            <w:r w:rsidRPr="00027624">
              <w:t>National Foundation for Australian Women</w:t>
            </w:r>
          </w:p>
        </w:tc>
        <w:tc>
          <w:tcPr>
            <w:tcW w:w="2500" w:type="pct"/>
          </w:tcPr>
          <w:p w14:paraId="3CF6FFEE" w14:textId="77777777" w:rsidR="00E96B29" w:rsidRPr="00027624" w:rsidRDefault="00E96B29" w:rsidP="00E96B29">
            <w:pPr>
              <w:pStyle w:val="TableTextLeft"/>
            </w:pPr>
            <w:r w:rsidRPr="00027624">
              <w:t>Scheiwe, Dan</w:t>
            </w:r>
          </w:p>
        </w:tc>
      </w:tr>
      <w:tr w:rsidR="00E96B29" w:rsidRPr="00027624" w14:paraId="2435DBE7" w14:textId="77777777" w:rsidTr="00E96B29">
        <w:tc>
          <w:tcPr>
            <w:tcW w:w="2500" w:type="pct"/>
          </w:tcPr>
          <w:p w14:paraId="260EE2D7" w14:textId="77777777" w:rsidR="00E96B29" w:rsidRPr="00027624" w:rsidRDefault="00E96B29" w:rsidP="00E96B29">
            <w:pPr>
              <w:pStyle w:val="TableTextLeft"/>
            </w:pPr>
            <w:r w:rsidRPr="00027624">
              <w:t>National Council of Women Australia</w:t>
            </w:r>
          </w:p>
        </w:tc>
        <w:tc>
          <w:tcPr>
            <w:tcW w:w="2500" w:type="pct"/>
          </w:tcPr>
          <w:p w14:paraId="2421152B" w14:textId="77777777" w:rsidR="00E96B29" w:rsidRPr="00027624" w:rsidRDefault="00E96B29" w:rsidP="00E96B29">
            <w:pPr>
              <w:pStyle w:val="TableTextLeft"/>
            </w:pPr>
            <w:r w:rsidRPr="00027624">
              <w:t>Seccombe, John</w:t>
            </w:r>
          </w:p>
        </w:tc>
      </w:tr>
      <w:tr w:rsidR="00E96B29" w:rsidRPr="00027624" w14:paraId="4057CD18" w14:textId="77777777" w:rsidTr="00E96B29">
        <w:tc>
          <w:tcPr>
            <w:tcW w:w="2500" w:type="pct"/>
          </w:tcPr>
          <w:p w14:paraId="4141F91F" w14:textId="77777777" w:rsidR="00E96B29" w:rsidRPr="00027624" w:rsidRDefault="00E96B29" w:rsidP="00E96B29">
            <w:pPr>
              <w:pStyle w:val="TableTextLeft"/>
            </w:pPr>
            <w:r w:rsidRPr="00027624">
              <w:t>National Foundation for Australian Women</w:t>
            </w:r>
          </w:p>
        </w:tc>
        <w:tc>
          <w:tcPr>
            <w:tcW w:w="2500" w:type="pct"/>
          </w:tcPr>
          <w:p w14:paraId="1AFEE9B0" w14:textId="77777777" w:rsidR="00E96B29" w:rsidRPr="00027624" w:rsidRDefault="00E96B29" w:rsidP="00E96B29">
            <w:pPr>
              <w:pStyle w:val="TableTextLeft"/>
            </w:pPr>
            <w:r w:rsidRPr="00027624">
              <w:t>Self</w:t>
            </w:r>
            <w:r w:rsidR="00A8443E" w:rsidRPr="00027624">
              <w:noBreakHyphen/>
            </w:r>
            <w:r w:rsidRPr="00027624">
              <w:t>managed Independent Superannuation Funds Association (SISFA)</w:t>
            </w:r>
          </w:p>
        </w:tc>
      </w:tr>
      <w:tr w:rsidR="00E96B29" w:rsidRPr="00027624" w14:paraId="259B1DA3" w14:textId="77777777" w:rsidTr="00E96B29">
        <w:tc>
          <w:tcPr>
            <w:tcW w:w="2500" w:type="pct"/>
          </w:tcPr>
          <w:p w14:paraId="0363E87D" w14:textId="77777777" w:rsidR="00E96B29" w:rsidRPr="00027624" w:rsidRDefault="00E96B29" w:rsidP="00E96B29">
            <w:pPr>
              <w:pStyle w:val="TableTextLeft"/>
            </w:pPr>
            <w:r w:rsidRPr="00027624">
              <w:t>National Seniors Australia</w:t>
            </w:r>
          </w:p>
        </w:tc>
        <w:tc>
          <w:tcPr>
            <w:tcW w:w="2500" w:type="pct"/>
          </w:tcPr>
          <w:p w14:paraId="2ADAC3ED" w14:textId="77777777" w:rsidR="00E96B29" w:rsidRPr="00027624" w:rsidRDefault="00E96B29" w:rsidP="00E96B29">
            <w:pPr>
              <w:pStyle w:val="TableTextLeft"/>
            </w:pPr>
            <w:r w:rsidRPr="00027624">
              <w:t>Selwood, Annie</w:t>
            </w:r>
          </w:p>
        </w:tc>
      </w:tr>
      <w:tr w:rsidR="00E96B29" w:rsidRPr="00027624" w14:paraId="33AB553A" w14:textId="77777777" w:rsidTr="00E96B29">
        <w:tc>
          <w:tcPr>
            <w:tcW w:w="2500" w:type="pct"/>
          </w:tcPr>
          <w:p w14:paraId="4ACCB514" w14:textId="77777777" w:rsidR="00E96B29" w:rsidRPr="00027624" w:rsidRDefault="00E96B29" w:rsidP="00E96B29">
            <w:pPr>
              <w:pStyle w:val="TableTextLeft"/>
            </w:pPr>
            <w:r w:rsidRPr="00027624">
              <w:t>Norton, Lachlan</w:t>
            </w:r>
          </w:p>
        </w:tc>
        <w:tc>
          <w:tcPr>
            <w:tcW w:w="2500" w:type="pct"/>
          </w:tcPr>
          <w:p w14:paraId="2A4BA951" w14:textId="77777777" w:rsidR="00E96B29" w:rsidRPr="00027624" w:rsidRDefault="00E96B29" w:rsidP="00E96B29">
            <w:pPr>
              <w:pStyle w:val="TableTextLeft"/>
            </w:pPr>
            <w:r w:rsidRPr="00027624">
              <w:t>Shop, Distributive and Allied Employees</w:t>
            </w:r>
            <w:r w:rsidR="00A8443E" w:rsidRPr="00027624">
              <w:t>’</w:t>
            </w:r>
            <w:r w:rsidRPr="00027624">
              <w:t xml:space="preserve"> Association (SDA National)</w:t>
            </w:r>
          </w:p>
        </w:tc>
      </w:tr>
      <w:tr w:rsidR="00E96B29" w:rsidRPr="00027624" w14:paraId="2D78C3A6" w14:textId="77777777" w:rsidTr="00E96B29">
        <w:tc>
          <w:tcPr>
            <w:tcW w:w="2500" w:type="pct"/>
          </w:tcPr>
          <w:p w14:paraId="4EF172E1" w14:textId="77777777" w:rsidR="00E96B29" w:rsidRPr="00027624" w:rsidRDefault="00E96B29" w:rsidP="00E96B29">
            <w:pPr>
              <w:pStyle w:val="TableTextLeft"/>
            </w:pPr>
            <w:r w:rsidRPr="00027624">
              <w:t>Nurses Professional Association of Queensland</w:t>
            </w:r>
          </w:p>
        </w:tc>
        <w:tc>
          <w:tcPr>
            <w:tcW w:w="2500" w:type="pct"/>
          </w:tcPr>
          <w:p w14:paraId="1FD0EF4B" w14:textId="77777777" w:rsidR="00E96B29" w:rsidRPr="00027624" w:rsidRDefault="00E96B29" w:rsidP="00E96B29">
            <w:pPr>
              <w:pStyle w:val="TableTextLeft"/>
            </w:pPr>
            <w:r w:rsidRPr="00027624">
              <w:t>Simpson, Dave</w:t>
            </w:r>
          </w:p>
        </w:tc>
      </w:tr>
      <w:tr w:rsidR="00E96B29" w:rsidRPr="00027624" w14:paraId="0CA04604" w14:textId="77777777" w:rsidTr="00E96B29">
        <w:tc>
          <w:tcPr>
            <w:tcW w:w="2500" w:type="pct"/>
          </w:tcPr>
          <w:p w14:paraId="0CF68203" w14:textId="77777777" w:rsidR="00E96B29" w:rsidRPr="00027624" w:rsidRDefault="00E96B29" w:rsidP="00E96B29">
            <w:pPr>
              <w:pStyle w:val="TableTextLeft"/>
            </w:pPr>
            <w:r w:rsidRPr="00027624">
              <w:t>O</w:t>
            </w:r>
            <w:r w:rsidR="00A8443E" w:rsidRPr="00027624">
              <w:t>’</w:t>
            </w:r>
            <w:r w:rsidRPr="00027624">
              <w:t>Connell, Justin</w:t>
            </w:r>
          </w:p>
        </w:tc>
        <w:tc>
          <w:tcPr>
            <w:tcW w:w="2500" w:type="pct"/>
          </w:tcPr>
          <w:p w14:paraId="67E6643C" w14:textId="77777777" w:rsidR="00E96B29" w:rsidRPr="00027624" w:rsidRDefault="00E96B29" w:rsidP="00E96B29">
            <w:pPr>
              <w:pStyle w:val="TableTextLeft"/>
            </w:pPr>
            <w:r w:rsidRPr="00027624">
              <w:t>Skelton, Johnathan</w:t>
            </w:r>
          </w:p>
        </w:tc>
      </w:tr>
      <w:tr w:rsidR="00E96B29" w:rsidRPr="00027624" w14:paraId="5BACB53B" w14:textId="77777777" w:rsidTr="00E96B29">
        <w:tc>
          <w:tcPr>
            <w:tcW w:w="2500" w:type="pct"/>
          </w:tcPr>
          <w:p w14:paraId="7BAAB05C" w14:textId="77777777" w:rsidR="00E96B29" w:rsidRPr="00027624" w:rsidRDefault="00E96B29" w:rsidP="00E96B29">
            <w:pPr>
              <w:pStyle w:val="TableTextLeft"/>
            </w:pPr>
            <w:r w:rsidRPr="00027624">
              <w:t>Olenich, Sergio</w:t>
            </w:r>
          </w:p>
        </w:tc>
        <w:tc>
          <w:tcPr>
            <w:tcW w:w="2500" w:type="pct"/>
          </w:tcPr>
          <w:p w14:paraId="5E3CC05E" w14:textId="77777777" w:rsidR="00E96B29" w:rsidRPr="00027624" w:rsidRDefault="00E96B29" w:rsidP="00E96B29">
            <w:pPr>
              <w:pStyle w:val="TableTextLeft"/>
            </w:pPr>
            <w:r w:rsidRPr="00027624">
              <w:t>Skepper, Flynis</w:t>
            </w:r>
          </w:p>
        </w:tc>
      </w:tr>
      <w:tr w:rsidR="00E96B29" w:rsidRPr="00027624" w14:paraId="5A6F41BC" w14:textId="77777777" w:rsidTr="00E96B29">
        <w:tc>
          <w:tcPr>
            <w:tcW w:w="2500" w:type="pct"/>
          </w:tcPr>
          <w:p w14:paraId="0BB18588" w14:textId="77777777" w:rsidR="00E96B29" w:rsidRPr="00027624" w:rsidRDefault="00E96B29" w:rsidP="00E96B29">
            <w:pPr>
              <w:pStyle w:val="TableTextLeft"/>
            </w:pPr>
            <w:r w:rsidRPr="00027624">
              <w:t>O</w:t>
            </w:r>
            <w:r w:rsidR="00A8443E" w:rsidRPr="00027624">
              <w:t>’</w:t>
            </w:r>
            <w:r w:rsidRPr="00027624">
              <w:t>Neill, Christopher</w:t>
            </w:r>
          </w:p>
        </w:tc>
        <w:tc>
          <w:tcPr>
            <w:tcW w:w="2500" w:type="pct"/>
          </w:tcPr>
          <w:p w14:paraId="345C77DE" w14:textId="77777777" w:rsidR="00E96B29" w:rsidRPr="00027624" w:rsidRDefault="00E96B29" w:rsidP="00E96B29">
            <w:pPr>
              <w:pStyle w:val="TableTextLeft"/>
            </w:pPr>
            <w:r w:rsidRPr="00027624">
              <w:t>SMSF Association</w:t>
            </w:r>
          </w:p>
        </w:tc>
      </w:tr>
      <w:tr w:rsidR="00E96B29" w:rsidRPr="00027624" w14:paraId="20CB52C4" w14:textId="77777777" w:rsidTr="00E96B29">
        <w:tc>
          <w:tcPr>
            <w:tcW w:w="2500" w:type="pct"/>
          </w:tcPr>
          <w:p w14:paraId="7939AB13" w14:textId="77777777" w:rsidR="00E96B29" w:rsidRPr="00027624" w:rsidRDefault="00E96B29" w:rsidP="00E96B29">
            <w:pPr>
              <w:pStyle w:val="TableTextLeft"/>
            </w:pPr>
            <w:r w:rsidRPr="00027624">
              <w:t>Ong ViforJ, Rachel</w:t>
            </w:r>
          </w:p>
        </w:tc>
        <w:tc>
          <w:tcPr>
            <w:tcW w:w="2500" w:type="pct"/>
          </w:tcPr>
          <w:p w14:paraId="3464F9AE" w14:textId="77777777" w:rsidR="00E96B29" w:rsidRPr="00027624" w:rsidRDefault="00E96B29" w:rsidP="00E96B29">
            <w:pPr>
              <w:pStyle w:val="TableTextLeft"/>
            </w:pPr>
            <w:r w:rsidRPr="00027624">
              <w:t>Social Ventures Australia</w:t>
            </w:r>
          </w:p>
        </w:tc>
      </w:tr>
      <w:tr w:rsidR="00E96B29" w:rsidRPr="00027624" w14:paraId="2AA7647E" w14:textId="77777777" w:rsidTr="00E96B29">
        <w:tc>
          <w:tcPr>
            <w:tcW w:w="2500" w:type="pct"/>
          </w:tcPr>
          <w:p w14:paraId="3332F8C7" w14:textId="77777777" w:rsidR="00E96B29" w:rsidRPr="00027624" w:rsidRDefault="00E96B29" w:rsidP="00E96B29">
            <w:pPr>
              <w:pStyle w:val="TableTextLeft"/>
            </w:pPr>
            <w:r w:rsidRPr="00027624">
              <w:t>Optimum Pensions Pty Ltd</w:t>
            </w:r>
          </w:p>
        </w:tc>
        <w:tc>
          <w:tcPr>
            <w:tcW w:w="2500" w:type="pct"/>
          </w:tcPr>
          <w:p w14:paraId="457EC063" w14:textId="77777777" w:rsidR="00E96B29" w:rsidRPr="00027624" w:rsidRDefault="00E96B29" w:rsidP="00E96B29">
            <w:pPr>
              <w:pStyle w:val="TableTextLeft"/>
            </w:pPr>
            <w:r w:rsidRPr="00027624">
              <w:t>Southam, Paul</w:t>
            </w:r>
          </w:p>
        </w:tc>
      </w:tr>
      <w:tr w:rsidR="00E96B29" w:rsidRPr="00027624" w14:paraId="57920C28" w14:textId="77777777" w:rsidTr="00E96B29">
        <w:tc>
          <w:tcPr>
            <w:tcW w:w="2500" w:type="pct"/>
          </w:tcPr>
          <w:p w14:paraId="72C6F709" w14:textId="77777777" w:rsidR="00E96B29" w:rsidRPr="00027624" w:rsidRDefault="00E96B29" w:rsidP="00E96B29">
            <w:pPr>
              <w:pStyle w:val="TableTextLeft"/>
            </w:pPr>
            <w:r w:rsidRPr="00027624">
              <w:t>Spivey, Richard, and Goodman, Russlyn</w:t>
            </w:r>
          </w:p>
        </w:tc>
        <w:tc>
          <w:tcPr>
            <w:tcW w:w="2500" w:type="pct"/>
          </w:tcPr>
          <w:p w14:paraId="55FFF620" w14:textId="77777777" w:rsidR="00E96B29" w:rsidRPr="00027624" w:rsidRDefault="00E96B29" w:rsidP="00E96B29">
            <w:pPr>
              <w:pStyle w:val="TableTextLeft"/>
            </w:pPr>
            <w:r w:rsidRPr="00027624">
              <w:t>Superannuated Commonwealth Officers</w:t>
            </w:r>
            <w:r w:rsidR="00A8443E" w:rsidRPr="00027624">
              <w:t>’</w:t>
            </w:r>
            <w:r w:rsidRPr="00027624">
              <w:t xml:space="preserve"> Assn (WA) Inc</w:t>
            </w:r>
          </w:p>
        </w:tc>
      </w:tr>
      <w:tr w:rsidR="00E96B29" w:rsidRPr="00027624" w14:paraId="0C659C73" w14:textId="77777777" w:rsidTr="00E96B29">
        <w:tc>
          <w:tcPr>
            <w:tcW w:w="2500" w:type="pct"/>
          </w:tcPr>
          <w:p w14:paraId="18E92EE7" w14:textId="77777777" w:rsidR="00E96B29" w:rsidRPr="00027624" w:rsidRDefault="00E96B29" w:rsidP="00E96B29">
            <w:pPr>
              <w:pStyle w:val="TableTextLeft"/>
            </w:pPr>
            <w:r w:rsidRPr="00027624">
              <w:t>Stafford, John</w:t>
            </w:r>
          </w:p>
        </w:tc>
        <w:tc>
          <w:tcPr>
            <w:tcW w:w="2500" w:type="pct"/>
          </w:tcPr>
          <w:p w14:paraId="44B91BA0" w14:textId="77777777" w:rsidR="00E96B29" w:rsidRPr="00027624" w:rsidRDefault="00E96B29" w:rsidP="00E96B29">
            <w:pPr>
              <w:pStyle w:val="TableTextLeft"/>
            </w:pPr>
            <w:r w:rsidRPr="00027624">
              <w:t>SuperEd</w:t>
            </w:r>
          </w:p>
        </w:tc>
      </w:tr>
      <w:tr w:rsidR="00E96B29" w:rsidRPr="00027624" w14:paraId="422020C9" w14:textId="77777777" w:rsidTr="00E96B29">
        <w:tc>
          <w:tcPr>
            <w:tcW w:w="2500" w:type="pct"/>
          </w:tcPr>
          <w:p w14:paraId="312F9AA8" w14:textId="77777777" w:rsidR="00E96B29" w:rsidRPr="00027624" w:rsidRDefault="00E96B29" w:rsidP="00E96B29">
            <w:pPr>
              <w:pStyle w:val="TableTextLeft"/>
            </w:pPr>
            <w:r w:rsidRPr="00027624">
              <w:t>Stockbrokers and Financial Advisers Association</w:t>
            </w:r>
          </w:p>
        </w:tc>
        <w:tc>
          <w:tcPr>
            <w:tcW w:w="2500" w:type="pct"/>
          </w:tcPr>
          <w:p w14:paraId="0A4CDF53" w14:textId="77777777" w:rsidR="00E96B29" w:rsidRPr="00027624" w:rsidRDefault="00E96B29" w:rsidP="00E96B29">
            <w:pPr>
              <w:pStyle w:val="TableTextLeft"/>
            </w:pPr>
            <w:r w:rsidRPr="00027624">
              <w:t>Sustainable Australia Party</w:t>
            </w:r>
          </w:p>
        </w:tc>
      </w:tr>
      <w:tr w:rsidR="00E96B29" w:rsidRPr="00027624" w14:paraId="206E54EE" w14:textId="77777777" w:rsidTr="00E96B29">
        <w:tc>
          <w:tcPr>
            <w:tcW w:w="2500" w:type="pct"/>
          </w:tcPr>
          <w:p w14:paraId="65968A3F" w14:textId="77777777" w:rsidR="00E96B29" w:rsidRPr="00027624" w:rsidRDefault="00E96B29" w:rsidP="00E96B29">
            <w:pPr>
              <w:pStyle w:val="TableTextLeft"/>
            </w:pPr>
            <w:r w:rsidRPr="00027624">
              <w:t>Pantlin, Tony</w:t>
            </w:r>
          </w:p>
        </w:tc>
        <w:tc>
          <w:tcPr>
            <w:tcW w:w="2500" w:type="pct"/>
          </w:tcPr>
          <w:p w14:paraId="5B427AD0" w14:textId="77777777" w:rsidR="00E96B29" w:rsidRPr="00027624" w:rsidRDefault="00E96B29" w:rsidP="00E96B29">
            <w:pPr>
              <w:pStyle w:val="TableTextLeft"/>
            </w:pPr>
            <w:r w:rsidRPr="00027624">
              <w:t>Super Consumers Australia</w:t>
            </w:r>
          </w:p>
        </w:tc>
      </w:tr>
      <w:tr w:rsidR="00E96B29" w:rsidRPr="00027624" w14:paraId="1DAC11EC" w14:textId="77777777" w:rsidTr="00E96B29">
        <w:tc>
          <w:tcPr>
            <w:tcW w:w="2500" w:type="pct"/>
          </w:tcPr>
          <w:p w14:paraId="43BD005C" w14:textId="77777777" w:rsidR="00E96B29" w:rsidRPr="00027624" w:rsidRDefault="00E96B29" w:rsidP="00E96B29">
            <w:pPr>
              <w:pStyle w:val="TableTextLeft"/>
            </w:pPr>
            <w:r w:rsidRPr="00027624">
              <w:t>Parker, Roger</w:t>
            </w:r>
          </w:p>
        </w:tc>
        <w:tc>
          <w:tcPr>
            <w:tcW w:w="2500" w:type="pct"/>
          </w:tcPr>
          <w:p w14:paraId="44C3915A" w14:textId="77777777" w:rsidR="00E96B29" w:rsidRPr="00027624" w:rsidRDefault="00E96B29" w:rsidP="00E96B29">
            <w:pPr>
              <w:pStyle w:val="TableTextLeft"/>
            </w:pPr>
            <w:r w:rsidRPr="00027624">
              <w:t>Swanson, Bruce</w:t>
            </w:r>
          </w:p>
        </w:tc>
      </w:tr>
      <w:tr w:rsidR="00E96B29" w:rsidRPr="00027624" w14:paraId="1C737C49" w14:textId="77777777" w:rsidTr="00E96B29">
        <w:tc>
          <w:tcPr>
            <w:tcW w:w="2500" w:type="pct"/>
          </w:tcPr>
          <w:p w14:paraId="6D38579C" w14:textId="77777777" w:rsidR="00E96B29" w:rsidRPr="00027624" w:rsidRDefault="00E96B29" w:rsidP="00E96B29">
            <w:pPr>
              <w:pStyle w:val="TableTextLeft"/>
            </w:pPr>
            <w:r w:rsidRPr="00027624">
              <w:t>Swincer, David</w:t>
            </w:r>
          </w:p>
        </w:tc>
        <w:tc>
          <w:tcPr>
            <w:tcW w:w="2500" w:type="pct"/>
          </w:tcPr>
          <w:p w14:paraId="2585E373" w14:textId="77777777" w:rsidR="00E96B29" w:rsidRPr="00027624" w:rsidRDefault="00E96B29" w:rsidP="00E96B29">
            <w:pPr>
              <w:pStyle w:val="TableTextLeft"/>
            </w:pPr>
            <w:r w:rsidRPr="00027624">
              <w:t>Wareing, Graham</w:t>
            </w:r>
          </w:p>
        </w:tc>
      </w:tr>
      <w:tr w:rsidR="00E96B29" w:rsidRPr="00027624" w14:paraId="29881E7C" w14:textId="77777777" w:rsidTr="00E96B29">
        <w:tc>
          <w:tcPr>
            <w:tcW w:w="2500" w:type="pct"/>
          </w:tcPr>
          <w:p w14:paraId="1573B744" w14:textId="77777777" w:rsidR="00E96B29" w:rsidRPr="00027624" w:rsidRDefault="00E96B29" w:rsidP="00E96B29">
            <w:pPr>
              <w:pStyle w:val="TableTextLeft"/>
            </w:pPr>
            <w:r w:rsidRPr="00027624">
              <w:t>Tailored Superannuation Solutions Pty Ltd</w:t>
            </w:r>
          </w:p>
        </w:tc>
        <w:tc>
          <w:tcPr>
            <w:tcW w:w="2500" w:type="pct"/>
          </w:tcPr>
          <w:p w14:paraId="134A6EC4" w14:textId="77777777" w:rsidR="00E96B29" w:rsidRPr="00027624" w:rsidRDefault="00E96B29" w:rsidP="00E96B29">
            <w:pPr>
              <w:pStyle w:val="TableTextLeft"/>
            </w:pPr>
            <w:r w:rsidRPr="00027624">
              <w:t>Watts, Charlene</w:t>
            </w:r>
          </w:p>
        </w:tc>
      </w:tr>
      <w:tr w:rsidR="00E96B29" w:rsidRPr="00027624" w14:paraId="7BC68200" w14:textId="77777777" w:rsidTr="00E96B29">
        <w:tc>
          <w:tcPr>
            <w:tcW w:w="2500" w:type="pct"/>
          </w:tcPr>
          <w:p w14:paraId="6606473F" w14:textId="77777777" w:rsidR="00E96B29" w:rsidRPr="00027624" w:rsidRDefault="00E96B29" w:rsidP="00E96B29">
            <w:pPr>
              <w:pStyle w:val="TableTextLeft"/>
            </w:pPr>
            <w:r w:rsidRPr="00027624">
              <w:t>TAL Life Limited</w:t>
            </w:r>
          </w:p>
        </w:tc>
        <w:tc>
          <w:tcPr>
            <w:tcW w:w="2500" w:type="pct"/>
          </w:tcPr>
          <w:p w14:paraId="19E831AD" w14:textId="77777777" w:rsidR="00E96B29" w:rsidRPr="00027624" w:rsidRDefault="00E96B29" w:rsidP="00E96B29">
            <w:pPr>
              <w:pStyle w:val="TableTextLeft"/>
            </w:pPr>
            <w:r w:rsidRPr="00027624">
              <w:t>Waugh, Madonna</w:t>
            </w:r>
          </w:p>
        </w:tc>
      </w:tr>
      <w:tr w:rsidR="00E96B29" w:rsidRPr="00027624" w14:paraId="542B6DED" w14:textId="77777777" w:rsidTr="00E96B29">
        <w:tc>
          <w:tcPr>
            <w:tcW w:w="2500" w:type="pct"/>
          </w:tcPr>
          <w:p w14:paraId="09763722" w14:textId="77777777" w:rsidR="00E96B29" w:rsidRPr="00027624" w:rsidRDefault="00E96B29" w:rsidP="00E96B29">
            <w:pPr>
              <w:pStyle w:val="TableTextLeft"/>
            </w:pPr>
            <w:r w:rsidRPr="00027624">
              <w:t>Tasmanian Association of State Superannuants Inc</w:t>
            </w:r>
          </w:p>
        </w:tc>
        <w:tc>
          <w:tcPr>
            <w:tcW w:w="2500" w:type="pct"/>
          </w:tcPr>
          <w:p w14:paraId="172DD404" w14:textId="77777777" w:rsidR="00E96B29" w:rsidRPr="00027624" w:rsidRDefault="00E96B29" w:rsidP="00E96B29">
            <w:pPr>
              <w:pStyle w:val="TableTextLeft"/>
            </w:pPr>
            <w:r w:rsidRPr="00027624">
              <w:t>Weir, Pat</w:t>
            </w:r>
          </w:p>
        </w:tc>
      </w:tr>
      <w:tr w:rsidR="00E96B29" w:rsidRPr="00027624" w14:paraId="2AC6FEB9" w14:textId="77777777" w:rsidTr="00E96B29">
        <w:tc>
          <w:tcPr>
            <w:tcW w:w="2500" w:type="pct"/>
          </w:tcPr>
          <w:p w14:paraId="2124FA16" w14:textId="77777777" w:rsidR="00E96B29" w:rsidRPr="00027624" w:rsidRDefault="00E96B29" w:rsidP="00E96B29">
            <w:pPr>
              <w:pStyle w:val="TableTextLeft"/>
            </w:pPr>
            <w:r w:rsidRPr="00027624">
              <w:t>TelstraSuper</w:t>
            </w:r>
          </w:p>
        </w:tc>
        <w:tc>
          <w:tcPr>
            <w:tcW w:w="2500" w:type="pct"/>
          </w:tcPr>
          <w:p w14:paraId="229AE16E" w14:textId="77777777" w:rsidR="00E96B29" w:rsidRPr="00027624" w:rsidRDefault="00E96B29" w:rsidP="00E96B29">
            <w:pPr>
              <w:pStyle w:val="TableTextLeft"/>
            </w:pPr>
            <w:r w:rsidRPr="00027624">
              <w:t>Western Australia Self Funded Retirees Inc</w:t>
            </w:r>
          </w:p>
        </w:tc>
      </w:tr>
      <w:tr w:rsidR="00E96B29" w:rsidRPr="00027624" w14:paraId="59D3CB43" w14:textId="77777777" w:rsidTr="00E96B29">
        <w:tc>
          <w:tcPr>
            <w:tcW w:w="2500" w:type="pct"/>
          </w:tcPr>
          <w:p w14:paraId="2F26B6CE" w14:textId="77777777" w:rsidR="00E96B29" w:rsidRPr="00027624" w:rsidRDefault="00E96B29" w:rsidP="00E96B29">
            <w:pPr>
              <w:pStyle w:val="TableTextLeft"/>
            </w:pPr>
            <w:r w:rsidRPr="00027624">
              <w:t>The Alliance for a Fairer Retirement System</w:t>
            </w:r>
          </w:p>
        </w:tc>
        <w:tc>
          <w:tcPr>
            <w:tcW w:w="2500" w:type="pct"/>
          </w:tcPr>
          <w:p w14:paraId="7B3FCE21" w14:textId="77777777" w:rsidR="00E96B29" w:rsidRPr="00027624" w:rsidRDefault="00E96B29" w:rsidP="00E96B29">
            <w:pPr>
              <w:pStyle w:val="TableTextLeft"/>
            </w:pPr>
            <w:r w:rsidRPr="00027624">
              <w:t>Western Australian Government</w:t>
            </w:r>
          </w:p>
        </w:tc>
      </w:tr>
      <w:tr w:rsidR="00E96B29" w:rsidRPr="00027624" w14:paraId="5F5244DE" w14:textId="77777777" w:rsidTr="00E96B29">
        <w:tc>
          <w:tcPr>
            <w:tcW w:w="2500" w:type="pct"/>
          </w:tcPr>
          <w:p w14:paraId="2D29AC2C" w14:textId="77777777" w:rsidR="00E96B29" w:rsidRPr="00027624" w:rsidRDefault="00E96B29" w:rsidP="00E96B29">
            <w:pPr>
              <w:pStyle w:val="TableTextLeft"/>
            </w:pPr>
            <w:r w:rsidRPr="00027624">
              <w:t>The Association of Superannuation Funds of Australia Limited</w:t>
            </w:r>
          </w:p>
        </w:tc>
        <w:tc>
          <w:tcPr>
            <w:tcW w:w="2500" w:type="pct"/>
          </w:tcPr>
          <w:p w14:paraId="32BEDDDD" w14:textId="77777777" w:rsidR="00E96B29" w:rsidRPr="00027624" w:rsidRDefault="00E96B29" w:rsidP="00E96B29">
            <w:pPr>
              <w:pStyle w:val="TableTextLeft"/>
            </w:pPr>
            <w:r w:rsidRPr="00027624">
              <w:t>White, Alan</w:t>
            </w:r>
          </w:p>
        </w:tc>
      </w:tr>
      <w:tr w:rsidR="00E96B29" w:rsidRPr="00027624" w14:paraId="47F12B70" w14:textId="77777777" w:rsidTr="00E96B29">
        <w:tc>
          <w:tcPr>
            <w:tcW w:w="2500" w:type="pct"/>
          </w:tcPr>
          <w:p w14:paraId="7228F3D4" w14:textId="77777777" w:rsidR="00E96B29" w:rsidRPr="00027624" w:rsidRDefault="00E96B29" w:rsidP="00E96B29">
            <w:pPr>
              <w:pStyle w:val="TableTextLeft"/>
            </w:pPr>
            <w:r w:rsidRPr="00027624">
              <w:t>The Centre for Independent Studies</w:t>
            </w:r>
          </w:p>
        </w:tc>
        <w:tc>
          <w:tcPr>
            <w:tcW w:w="2500" w:type="pct"/>
          </w:tcPr>
          <w:p w14:paraId="281EFD89" w14:textId="77777777" w:rsidR="00E96B29" w:rsidRPr="00027624" w:rsidRDefault="00E96B29" w:rsidP="00E96B29">
            <w:pPr>
              <w:pStyle w:val="TableTextLeft"/>
            </w:pPr>
            <w:r w:rsidRPr="00027624">
              <w:t>White, Eugene</w:t>
            </w:r>
          </w:p>
        </w:tc>
      </w:tr>
      <w:tr w:rsidR="00E96B29" w:rsidRPr="00027624" w14:paraId="32BF3C4C" w14:textId="77777777" w:rsidTr="00E96B29">
        <w:trPr>
          <w:trHeight w:val="55"/>
        </w:trPr>
        <w:tc>
          <w:tcPr>
            <w:tcW w:w="2500" w:type="pct"/>
          </w:tcPr>
          <w:p w14:paraId="0A1C4A26" w14:textId="77777777" w:rsidR="00E96B29" w:rsidRPr="00027624" w:rsidRDefault="00E96B29" w:rsidP="00E96B29">
            <w:pPr>
              <w:pStyle w:val="TableTextLeft"/>
            </w:pPr>
            <w:r w:rsidRPr="00027624">
              <w:t>The Conexus Institute</w:t>
            </w:r>
          </w:p>
        </w:tc>
        <w:tc>
          <w:tcPr>
            <w:tcW w:w="2500" w:type="pct"/>
          </w:tcPr>
          <w:p w14:paraId="7A553AD7" w14:textId="77777777" w:rsidR="00E96B29" w:rsidRPr="00027624" w:rsidRDefault="00E96B29" w:rsidP="00E96B29">
            <w:pPr>
              <w:pStyle w:val="TableTextLeft"/>
            </w:pPr>
            <w:r w:rsidRPr="00027624">
              <w:t>White, Greg</w:t>
            </w:r>
          </w:p>
        </w:tc>
      </w:tr>
      <w:tr w:rsidR="00E96B29" w:rsidRPr="00027624" w14:paraId="5055D160" w14:textId="77777777" w:rsidTr="00E96B29">
        <w:tc>
          <w:tcPr>
            <w:tcW w:w="2500" w:type="pct"/>
          </w:tcPr>
          <w:p w14:paraId="6D79028D" w14:textId="77777777" w:rsidR="00E96B29" w:rsidRPr="00027624" w:rsidRDefault="00E96B29" w:rsidP="00E96B29">
            <w:pPr>
              <w:pStyle w:val="TableTextLeft"/>
            </w:pPr>
            <w:r w:rsidRPr="00027624">
              <w:t>The Housewives of Western Sydney</w:t>
            </w:r>
          </w:p>
        </w:tc>
        <w:tc>
          <w:tcPr>
            <w:tcW w:w="2500" w:type="pct"/>
          </w:tcPr>
          <w:p w14:paraId="5663DE59" w14:textId="77777777" w:rsidR="00E96B29" w:rsidRPr="00027624" w:rsidRDefault="00E96B29" w:rsidP="00E96B29">
            <w:pPr>
              <w:pStyle w:val="TableTextLeft"/>
            </w:pPr>
            <w:r w:rsidRPr="00027624">
              <w:t>Whitely, Zac</w:t>
            </w:r>
          </w:p>
        </w:tc>
      </w:tr>
      <w:tr w:rsidR="00E96B29" w:rsidRPr="00027624" w14:paraId="3A5CBD7C" w14:textId="77777777" w:rsidTr="00E96B29">
        <w:tc>
          <w:tcPr>
            <w:tcW w:w="2500" w:type="pct"/>
          </w:tcPr>
          <w:p w14:paraId="074E2FF0" w14:textId="77777777" w:rsidR="00E96B29" w:rsidRPr="00027624" w:rsidRDefault="00E96B29" w:rsidP="00E96B29">
            <w:pPr>
              <w:pStyle w:val="TableTextLeft"/>
            </w:pPr>
            <w:r w:rsidRPr="00027624">
              <w:t>The McKell Institute Victoria</w:t>
            </w:r>
          </w:p>
        </w:tc>
        <w:tc>
          <w:tcPr>
            <w:tcW w:w="2500" w:type="pct"/>
          </w:tcPr>
          <w:p w14:paraId="5D91B86B" w14:textId="77777777" w:rsidR="00E96B29" w:rsidRPr="00027624" w:rsidRDefault="00E96B29" w:rsidP="00E96B29">
            <w:pPr>
              <w:pStyle w:val="TableTextLeft"/>
            </w:pPr>
            <w:r w:rsidRPr="00027624">
              <w:t>Wilkinson, Mrs J</w:t>
            </w:r>
          </w:p>
        </w:tc>
      </w:tr>
      <w:tr w:rsidR="00E96B29" w:rsidRPr="00027624" w14:paraId="51E4A8A8" w14:textId="77777777" w:rsidTr="00E96B29">
        <w:tc>
          <w:tcPr>
            <w:tcW w:w="2500" w:type="pct"/>
          </w:tcPr>
          <w:p w14:paraId="12DE0502" w14:textId="77777777" w:rsidR="00E96B29" w:rsidRPr="00027624" w:rsidRDefault="00E96B29" w:rsidP="00E96B29">
            <w:pPr>
              <w:pStyle w:val="TableTextLeft"/>
            </w:pPr>
            <w:r w:rsidRPr="00027624">
              <w:t>Thomas, Ian</w:t>
            </w:r>
          </w:p>
        </w:tc>
        <w:tc>
          <w:tcPr>
            <w:tcW w:w="2500" w:type="pct"/>
          </w:tcPr>
          <w:p w14:paraId="6A72D1B9" w14:textId="77777777" w:rsidR="00E96B29" w:rsidRPr="00027624" w:rsidRDefault="00E96B29" w:rsidP="00E96B29">
            <w:pPr>
              <w:pStyle w:val="TableTextLeft"/>
            </w:pPr>
            <w:r w:rsidRPr="00027624">
              <w:t>Williams, Graham</w:t>
            </w:r>
          </w:p>
        </w:tc>
      </w:tr>
      <w:tr w:rsidR="00E96B29" w:rsidRPr="00027624" w14:paraId="0922E9BD" w14:textId="77777777" w:rsidTr="00E96B29">
        <w:tc>
          <w:tcPr>
            <w:tcW w:w="2500" w:type="pct"/>
          </w:tcPr>
          <w:p w14:paraId="4C2717F0" w14:textId="77777777" w:rsidR="00E96B29" w:rsidRPr="00027624" w:rsidRDefault="00E96B29" w:rsidP="00E96B29">
            <w:pPr>
              <w:pStyle w:val="TableTextLeft"/>
            </w:pPr>
            <w:r w:rsidRPr="00027624">
              <w:t>Thompson, Mark</w:t>
            </w:r>
          </w:p>
        </w:tc>
        <w:tc>
          <w:tcPr>
            <w:tcW w:w="2500" w:type="pct"/>
          </w:tcPr>
          <w:p w14:paraId="12CE230A" w14:textId="77777777" w:rsidR="00E96B29" w:rsidRPr="00027624" w:rsidRDefault="00E96B29" w:rsidP="00E96B29">
            <w:pPr>
              <w:pStyle w:val="TableTextLeft"/>
            </w:pPr>
            <w:r w:rsidRPr="00027624">
              <w:t>Winterson, Joshua</w:t>
            </w:r>
          </w:p>
        </w:tc>
      </w:tr>
      <w:tr w:rsidR="00E96B29" w:rsidRPr="00027624" w14:paraId="7F581D21" w14:textId="77777777" w:rsidTr="00E96B29">
        <w:tc>
          <w:tcPr>
            <w:tcW w:w="2500" w:type="pct"/>
          </w:tcPr>
          <w:p w14:paraId="1B6DA67E" w14:textId="77777777" w:rsidR="00E96B29" w:rsidRPr="00027624" w:rsidRDefault="00E96B29" w:rsidP="00E96B29">
            <w:pPr>
              <w:pStyle w:val="TableTextLeft"/>
            </w:pPr>
            <w:r w:rsidRPr="00027624">
              <w:t>Thorp, Dr David</w:t>
            </w:r>
          </w:p>
        </w:tc>
        <w:tc>
          <w:tcPr>
            <w:tcW w:w="2500" w:type="pct"/>
          </w:tcPr>
          <w:p w14:paraId="5898F767" w14:textId="77777777" w:rsidR="00E96B29" w:rsidRPr="00027624" w:rsidRDefault="00E96B29" w:rsidP="00E96B29">
            <w:pPr>
              <w:pStyle w:val="TableTextLeft"/>
            </w:pPr>
            <w:r w:rsidRPr="00027624">
              <w:t>Women in Social and Economic Research</w:t>
            </w:r>
          </w:p>
        </w:tc>
      </w:tr>
      <w:tr w:rsidR="00E96B29" w:rsidRPr="00027624" w14:paraId="779CA405" w14:textId="77777777" w:rsidTr="00E96B29">
        <w:tc>
          <w:tcPr>
            <w:tcW w:w="2500" w:type="pct"/>
          </w:tcPr>
          <w:p w14:paraId="72627EB6" w14:textId="77777777" w:rsidR="00E96B29" w:rsidRPr="00027624" w:rsidRDefault="00E96B29" w:rsidP="00E96B29">
            <w:pPr>
              <w:pStyle w:val="TableTextLeft"/>
            </w:pPr>
            <w:r w:rsidRPr="00027624">
              <w:t>Tietze, Karl</w:t>
            </w:r>
          </w:p>
        </w:tc>
        <w:tc>
          <w:tcPr>
            <w:tcW w:w="2500" w:type="pct"/>
          </w:tcPr>
          <w:p w14:paraId="47A3F28B" w14:textId="77777777" w:rsidR="00E96B29" w:rsidRPr="00027624" w:rsidRDefault="00E96B29" w:rsidP="00E96B29">
            <w:pPr>
              <w:pStyle w:val="TableTextLeft"/>
            </w:pPr>
            <w:r w:rsidRPr="00027624">
              <w:t>Women in Super</w:t>
            </w:r>
          </w:p>
        </w:tc>
      </w:tr>
      <w:tr w:rsidR="00E96B29" w:rsidRPr="00027624" w14:paraId="1CA804A8" w14:textId="77777777" w:rsidTr="00E96B29">
        <w:tc>
          <w:tcPr>
            <w:tcW w:w="2500" w:type="pct"/>
          </w:tcPr>
          <w:p w14:paraId="4F4D58BD" w14:textId="77777777" w:rsidR="00E96B29" w:rsidRPr="00027624" w:rsidRDefault="00E96B29" w:rsidP="00E96B29">
            <w:pPr>
              <w:pStyle w:val="TableTextLeft"/>
            </w:pPr>
            <w:r w:rsidRPr="00027624">
              <w:t>Tindale, Roger</w:t>
            </w:r>
          </w:p>
        </w:tc>
        <w:tc>
          <w:tcPr>
            <w:tcW w:w="2500" w:type="pct"/>
          </w:tcPr>
          <w:p w14:paraId="65522D7D" w14:textId="77777777" w:rsidR="00E96B29" w:rsidRPr="00027624" w:rsidRDefault="00E96B29" w:rsidP="00E96B29">
            <w:pPr>
              <w:pStyle w:val="TableTextLeft"/>
            </w:pPr>
            <w:r w:rsidRPr="00027624">
              <w:t>Work and Family Policy Roundtable</w:t>
            </w:r>
          </w:p>
        </w:tc>
      </w:tr>
      <w:tr w:rsidR="00E96B29" w:rsidRPr="00027624" w14:paraId="50788F7A" w14:textId="77777777" w:rsidTr="00E96B29">
        <w:tc>
          <w:tcPr>
            <w:tcW w:w="2500" w:type="pct"/>
          </w:tcPr>
          <w:p w14:paraId="74C75840" w14:textId="77777777" w:rsidR="00E96B29" w:rsidRPr="00027624" w:rsidRDefault="00E96B29" w:rsidP="00E96B29">
            <w:pPr>
              <w:pStyle w:val="TableTextLeft"/>
            </w:pPr>
            <w:r w:rsidRPr="00027624">
              <w:t>Turner</w:t>
            </w:r>
          </w:p>
        </w:tc>
        <w:tc>
          <w:tcPr>
            <w:tcW w:w="2500" w:type="pct"/>
          </w:tcPr>
          <w:p w14:paraId="1E918A6F" w14:textId="77777777" w:rsidR="00E96B29" w:rsidRPr="00027624" w:rsidRDefault="00E96B29" w:rsidP="00E96B29">
            <w:pPr>
              <w:pStyle w:val="TableTextLeft"/>
            </w:pPr>
            <w:r w:rsidRPr="00027624">
              <w:t>Workplace Gender Equality Agency</w:t>
            </w:r>
          </w:p>
        </w:tc>
      </w:tr>
      <w:tr w:rsidR="00E96B29" w:rsidRPr="00027624" w14:paraId="7249BAAD" w14:textId="77777777" w:rsidTr="00E96B29">
        <w:tc>
          <w:tcPr>
            <w:tcW w:w="2500" w:type="pct"/>
          </w:tcPr>
          <w:p w14:paraId="3C251C47" w14:textId="77777777" w:rsidR="00E96B29" w:rsidRPr="00027624" w:rsidRDefault="00E96B29" w:rsidP="00E96B29">
            <w:pPr>
              <w:pStyle w:val="TableTextLeft"/>
            </w:pPr>
            <w:r w:rsidRPr="00027624">
              <w:t>UniSuper</w:t>
            </w:r>
          </w:p>
        </w:tc>
        <w:tc>
          <w:tcPr>
            <w:tcW w:w="2500" w:type="pct"/>
          </w:tcPr>
          <w:p w14:paraId="76BAAB47" w14:textId="77777777" w:rsidR="00E96B29" w:rsidRPr="00027624" w:rsidRDefault="00E96B29" w:rsidP="00E96B29">
            <w:pPr>
              <w:pStyle w:val="TableTextLeft"/>
            </w:pPr>
            <w:r w:rsidRPr="00027624">
              <w:t>Yasmineh, John</w:t>
            </w:r>
          </w:p>
        </w:tc>
      </w:tr>
      <w:tr w:rsidR="00E96B29" w:rsidRPr="00027624" w14:paraId="700E5BF1" w14:textId="77777777" w:rsidTr="00E96B29">
        <w:tc>
          <w:tcPr>
            <w:tcW w:w="2500" w:type="pct"/>
          </w:tcPr>
          <w:p w14:paraId="118B70AB" w14:textId="77777777" w:rsidR="00E96B29" w:rsidRPr="00027624" w:rsidRDefault="00E96B29" w:rsidP="00E96B29">
            <w:pPr>
              <w:pStyle w:val="TableTextLeft"/>
            </w:pPr>
            <w:r w:rsidRPr="00027624">
              <w:t>van Dyk, Leonota</w:t>
            </w:r>
          </w:p>
        </w:tc>
        <w:tc>
          <w:tcPr>
            <w:tcW w:w="2500" w:type="pct"/>
          </w:tcPr>
          <w:p w14:paraId="2D6E004D" w14:textId="77777777" w:rsidR="00E96B29" w:rsidRPr="00027624" w:rsidRDefault="00E96B29" w:rsidP="00E96B29">
            <w:pPr>
              <w:pStyle w:val="TableTextLeft"/>
            </w:pPr>
            <w:r w:rsidRPr="00027624">
              <w:t>Yazdani</w:t>
            </w:r>
          </w:p>
        </w:tc>
      </w:tr>
      <w:tr w:rsidR="00E96B29" w:rsidRPr="00027624" w14:paraId="6E95A951" w14:textId="77777777" w:rsidTr="00E96B29">
        <w:tc>
          <w:tcPr>
            <w:tcW w:w="2500" w:type="pct"/>
          </w:tcPr>
          <w:p w14:paraId="71EA21D0" w14:textId="77777777" w:rsidR="00E96B29" w:rsidRPr="00027624" w:rsidRDefault="00E96B29" w:rsidP="00E96B29">
            <w:pPr>
              <w:pStyle w:val="TableTextLeft"/>
            </w:pPr>
            <w:r w:rsidRPr="00027624">
              <w:t>Van Wyk, Brnic</w:t>
            </w:r>
          </w:p>
        </w:tc>
        <w:tc>
          <w:tcPr>
            <w:tcW w:w="2500" w:type="pct"/>
          </w:tcPr>
          <w:p w14:paraId="3E200CBE" w14:textId="77777777" w:rsidR="00E96B29" w:rsidRPr="00027624" w:rsidRDefault="00E96B29" w:rsidP="00E96B29">
            <w:pPr>
              <w:pStyle w:val="TableTextLeft"/>
            </w:pPr>
            <w:r w:rsidRPr="00027624">
              <w:t>Young, Donald</w:t>
            </w:r>
          </w:p>
        </w:tc>
      </w:tr>
      <w:tr w:rsidR="00E96B29" w:rsidRPr="00027624" w14:paraId="77CE1EFC" w14:textId="77777777" w:rsidTr="00E96B29">
        <w:tc>
          <w:tcPr>
            <w:tcW w:w="2500" w:type="pct"/>
          </w:tcPr>
          <w:p w14:paraId="7E8D6F86" w14:textId="77777777" w:rsidR="00E96B29" w:rsidRPr="00027624" w:rsidRDefault="00E96B29" w:rsidP="00E96B29">
            <w:pPr>
              <w:pStyle w:val="TableTextLeft"/>
            </w:pPr>
            <w:r w:rsidRPr="00027624">
              <w:t>Vanguard Investments Australia Ltd</w:t>
            </w:r>
          </w:p>
        </w:tc>
        <w:tc>
          <w:tcPr>
            <w:tcW w:w="2500" w:type="pct"/>
          </w:tcPr>
          <w:p w14:paraId="12FC657D" w14:textId="77777777" w:rsidR="00E96B29" w:rsidRPr="00027624" w:rsidRDefault="00E96B29" w:rsidP="00E96B29">
            <w:pPr>
              <w:pStyle w:val="TableTextLeft"/>
            </w:pPr>
            <w:r w:rsidRPr="00027624">
              <w:t>YourLifeChoices</w:t>
            </w:r>
          </w:p>
        </w:tc>
      </w:tr>
      <w:tr w:rsidR="00E96B29" w:rsidRPr="00027624" w14:paraId="7AA83057" w14:textId="77777777" w:rsidTr="00E96B29">
        <w:tc>
          <w:tcPr>
            <w:tcW w:w="2500" w:type="pct"/>
          </w:tcPr>
          <w:p w14:paraId="39879AB0" w14:textId="77777777" w:rsidR="00E96B29" w:rsidRPr="00027624" w:rsidRDefault="00E96B29" w:rsidP="00E96B29">
            <w:pPr>
              <w:pStyle w:val="TableTextLeft"/>
            </w:pPr>
            <w:r w:rsidRPr="00027624">
              <w:t>Walta, Ed</w:t>
            </w:r>
          </w:p>
        </w:tc>
        <w:tc>
          <w:tcPr>
            <w:tcW w:w="2500" w:type="pct"/>
          </w:tcPr>
          <w:p w14:paraId="22463691" w14:textId="77777777" w:rsidR="00E96B29" w:rsidRPr="00027624" w:rsidRDefault="00E96B29" w:rsidP="00E96B29">
            <w:pPr>
              <w:pStyle w:val="TableTextLeft"/>
            </w:pPr>
            <w:r w:rsidRPr="00027624">
              <w:t>Women</w:t>
            </w:r>
            <w:r w:rsidR="00A8443E" w:rsidRPr="00027624">
              <w:t>’</w:t>
            </w:r>
            <w:r w:rsidRPr="00027624">
              <w:t>s Electoral Lobby</w:t>
            </w:r>
          </w:p>
        </w:tc>
      </w:tr>
      <w:tr w:rsidR="00E96B29" w:rsidRPr="00027624" w14:paraId="1617222C" w14:textId="77777777" w:rsidTr="00E96B29">
        <w:tc>
          <w:tcPr>
            <w:tcW w:w="2500" w:type="pct"/>
          </w:tcPr>
          <w:p w14:paraId="21536761" w14:textId="77777777" w:rsidR="00E96B29" w:rsidRPr="00027624" w:rsidRDefault="00E96B29" w:rsidP="00E96B29">
            <w:pPr>
              <w:pStyle w:val="TableTextLeft"/>
            </w:pPr>
            <w:r w:rsidRPr="00027624">
              <w:t>Walters, Arthur</w:t>
            </w:r>
          </w:p>
        </w:tc>
        <w:tc>
          <w:tcPr>
            <w:tcW w:w="2500" w:type="pct"/>
          </w:tcPr>
          <w:p w14:paraId="17B1ABC3" w14:textId="77777777" w:rsidR="00E96B29" w:rsidRPr="00027624" w:rsidRDefault="00E96B29" w:rsidP="00E96B29">
            <w:pPr>
              <w:pStyle w:val="TableTextLeft"/>
            </w:pPr>
            <w:r w:rsidRPr="00027624">
              <w:t>Woodhead, Maggie</w:t>
            </w:r>
          </w:p>
        </w:tc>
      </w:tr>
      <w:tr w:rsidR="00E96B29" w:rsidRPr="00027624" w14:paraId="53264A06" w14:textId="77777777" w:rsidTr="00E96B29">
        <w:tc>
          <w:tcPr>
            <w:tcW w:w="2500" w:type="pct"/>
          </w:tcPr>
          <w:p w14:paraId="1086ACA8" w14:textId="77777777" w:rsidR="00E96B29" w:rsidRPr="00027624" w:rsidRDefault="00E96B29" w:rsidP="00E96B29">
            <w:pPr>
              <w:pStyle w:val="TableTextLeft"/>
            </w:pPr>
            <w:r w:rsidRPr="00027624">
              <w:t>Wanders, Wayne (The Wealth Navigator)</w:t>
            </w:r>
          </w:p>
        </w:tc>
        <w:tc>
          <w:tcPr>
            <w:tcW w:w="2500" w:type="pct"/>
          </w:tcPr>
          <w:p w14:paraId="199A6520" w14:textId="77777777" w:rsidR="00E96B29" w:rsidRPr="00027624" w:rsidRDefault="00E96B29" w:rsidP="00E96B29">
            <w:pPr>
              <w:pStyle w:val="TableTextLeft"/>
            </w:pPr>
            <w:r w:rsidRPr="00027624">
              <w:t>Woodruff, John</w:t>
            </w:r>
          </w:p>
        </w:tc>
      </w:tr>
    </w:tbl>
    <w:p w14:paraId="7EF2BA5E" w14:textId="77777777" w:rsidR="0088764D" w:rsidRPr="00027624" w:rsidRDefault="0088764D" w:rsidP="00E96B29">
      <w:pPr>
        <w:rPr>
          <w:bCs/>
        </w:rPr>
        <w:sectPr w:rsidR="0088764D" w:rsidRPr="00027624" w:rsidSect="00E95B71">
          <w:type w:val="oddPage"/>
          <w:pgSz w:w="11906" w:h="16838" w:code="9"/>
          <w:pgMar w:top="1418" w:right="1418" w:bottom="1418" w:left="1418" w:header="709" w:footer="709" w:gutter="0"/>
          <w:cols w:space="708"/>
          <w:titlePg/>
          <w:docGrid w:linePitch="360"/>
        </w:sectPr>
      </w:pPr>
    </w:p>
    <w:bookmarkStart w:id="4433" w:name="_Toc46133694" w:displacedByCustomXml="next"/>
    <w:sdt>
      <w:sdtPr>
        <w:rPr>
          <w:rFonts w:cs="Times New Roman"/>
          <w:color w:val="auto"/>
          <w:kern w:val="0"/>
          <w:sz w:val="22"/>
          <w:szCs w:val="20"/>
        </w:rPr>
        <w:id w:val="-12540640"/>
        <w:docPartObj>
          <w:docPartGallery w:val="Bibliographies"/>
          <w:docPartUnique/>
        </w:docPartObj>
      </w:sdtPr>
      <w:sdtEndPr/>
      <w:sdtContent>
        <w:p w14:paraId="40E4A175" w14:textId="77777777" w:rsidR="00B8577A" w:rsidRPr="00027624" w:rsidRDefault="00B8577A" w:rsidP="00F07377">
          <w:pPr>
            <w:pStyle w:val="Heading1notnumbered"/>
          </w:pPr>
          <w:r w:rsidRPr="00027624">
            <w:t>References</w:t>
          </w:r>
          <w:bookmarkEnd w:id="4433"/>
        </w:p>
        <w:sdt>
          <w:sdtPr>
            <w:id w:val="-1812555545"/>
            <w:bibliography/>
          </w:sdtPr>
          <w:sdtEndPr/>
          <w:sdtContent>
            <w:p w14:paraId="1E12E258" w14:textId="77777777" w:rsidR="00E83F6E" w:rsidRDefault="00B8577A" w:rsidP="00E83F6E">
              <w:pPr>
                <w:pStyle w:val="Bibliography"/>
                <w:rPr>
                  <w:noProof/>
                  <w:sz w:val="24"/>
                  <w:szCs w:val="24"/>
                </w:rPr>
              </w:pPr>
              <w:r w:rsidRPr="00027624">
                <w:fldChar w:fldCharType="begin"/>
              </w:r>
              <w:r w:rsidRPr="00027624">
                <w:instrText xml:space="preserve"> BIBLIOGRAPHY </w:instrText>
              </w:r>
              <w:r w:rsidRPr="00027624">
                <w:fldChar w:fldCharType="separate"/>
              </w:r>
              <w:r w:rsidR="00E83F6E">
                <w:rPr>
                  <w:noProof/>
                </w:rPr>
                <w:t xml:space="preserve">ABS, 1983. </w:t>
              </w:r>
              <w:r w:rsidR="00E83F6E">
                <w:rPr>
                  <w:i/>
                  <w:iCs/>
                  <w:noProof/>
                </w:rPr>
                <w:t xml:space="preserve">Census of Population and Housing, 1981, cat. no. 2103.0. </w:t>
              </w:r>
              <w:r w:rsidR="00E83F6E">
                <w:rPr>
                  <w:noProof/>
                </w:rPr>
                <w:t xml:space="preserve">[Online] </w:t>
              </w:r>
              <w:r w:rsidR="00E83F6E">
                <w:rPr>
                  <w:noProof/>
                </w:rPr>
                <w:br/>
                <w:t xml:space="preserve">Available at: </w:t>
              </w:r>
              <w:r w:rsidR="00E83F6E">
                <w:rPr>
                  <w:noProof/>
                  <w:u w:val="single"/>
                </w:rPr>
                <w:t>https://www.abs.gov.au/AUSSTATS/abs@.nsf/Lookup/2103.0Main+Features11981?OpenDocument</w:t>
              </w:r>
              <w:r w:rsidR="00E83F6E">
                <w:rPr>
                  <w:noProof/>
                </w:rPr>
                <w:br/>
                <w:t>[Accessed 27 April 2020].</w:t>
              </w:r>
            </w:p>
            <w:p w14:paraId="5581FF77" w14:textId="77777777" w:rsidR="00E83F6E" w:rsidRDefault="00E83F6E" w:rsidP="00E83F6E">
              <w:pPr>
                <w:pStyle w:val="Bibliography"/>
                <w:rPr>
                  <w:noProof/>
                </w:rPr>
              </w:pPr>
              <w:r>
                <w:rPr>
                  <w:noProof/>
                </w:rPr>
                <w:t xml:space="preserve">ABS, 1992b. </w:t>
              </w:r>
              <w:r>
                <w:rPr>
                  <w:i/>
                  <w:iCs/>
                  <w:noProof/>
                </w:rPr>
                <w:t xml:space="preserve">Household Expenditure Survey, Australia: the Effects of Government Benefits and Taxes on Household Income, 1988-89, cat. no. 6537.0. </w:t>
              </w:r>
              <w:r>
                <w:rPr>
                  <w:noProof/>
                </w:rPr>
                <w:t xml:space="preserve">[Online] </w:t>
              </w:r>
              <w:r>
                <w:rPr>
                  <w:noProof/>
                </w:rPr>
                <w:br/>
                <w:t xml:space="preserve">Available at: </w:t>
              </w:r>
              <w:r>
                <w:rPr>
                  <w:noProof/>
                  <w:u w:val="single"/>
                </w:rPr>
                <w:t>https://www.abs.gov.au/AUSSTATS/abs@.nsf/DetailsPage/6537.01988-89?OpenDocument</w:t>
              </w:r>
              <w:r>
                <w:rPr>
                  <w:noProof/>
                </w:rPr>
                <w:br/>
                <w:t>[Accessed 18 November 2019].</w:t>
              </w:r>
            </w:p>
            <w:p w14:paraId="77326C97" w14:textId="77777777" w:rsidR="00E83F6E" w:rsidRDefault="00E83F6E" w:rsidP="00E83F6E">
              <w:pPr>
                <w:pStyle w:val="Bibliography"/>
                <w:rPr>
                  <w:noProof/>
                </w:rPr>
              </w:pPr>
              <w:r>
                <w:rPr>
                  <w:noProof/>
                </w:rPr>
                <w:t xml:space="preserve">ABS, 1993. </w:t>
              </w:r>
              <w:r>
                <w:rPr>
                  <w:i/>
                  <w:iCs/>
                  <w:noProof/>
                </w:rPr>
                <w:t xml:space="preserve">Census of Population and Housing, 1991, cat. no. 2101.0. </w:t>
              </w:r>
              <w:r>
                <w:rPr>
                  <w:noProof/>
                </w:rPr>
                <w:t xml:space="preserve">[Online] </w:t>
              </w:r>
              <w:r>
                <w:rPr>
                  <w:noProof/>
                </w:rPr>
                <w:br/>
                <w:t xml:space="preserve">Available at: </w:t>
              </w:r>
              <w:r>
                <w:rPr>
                  <w:noProof/>
                  <w:u w:val="single"/>
                </w:rPr>
                <w:t>https://www.ausstats.abs.gov.au/ausstats/free.nsf/0/792BBD9457634FFECA2574BE00826627/$File/27100_1991_20_Census_Characteristics_of_Australia.pdf</w:t>
              </w:r>
              <w:r>
                <w:rPr>
                  <w:noProof/>
                </w:rPr>
                <w:br/>
                <w:t>[Accessed 17 March 2020].</w:t>
              </w:r>
            </w:p>
            <w:p w14:paraId="647CE06D" w14:textId="77777777" w:rsidR="00E83F6E" w:rsidRDefault="00E83F6E" w:rsidP="00E83F6E">
              <w:pPr>
                <w:pStyle w:val="Bibliography"/>
                <w:rPr>
                  <w:noProof/>
                </w:rPr>
              </w:pPr>
              <w:r>
                <w:rPr>
                  <w:noProof/>
                </w:rPr>
                <w:t xml:space="preserve">ABS, 1994. </w:t>
              </w:r>
              <w:r>
                <w:rPr>
                  <w:i/>
                  <w:iCs/>
                  <w:noProof/>
                </w:rPr>
                <w:t xml:space="preserve">Superannuation, Australia, Nov 1993, cat. no. 6319.0. </w:t>
              </w:r>
              <w:r>
                <w:rPr>
                  <w:noProof/>
                </w:rPr>
                <w:t xml:space="preserve">[Online] </w:t>
              </w:r>
              <w:r>
                <w:rPr>
                  <w:noProof/>
                </w:rPr>
                <w:br/>
                <w:t xml:space="preserve">Available at: </w:t>
              </w:r>
              <w:r>
                <w:rPr>
                  <w:noProof/>
                  <w:u w:val="single"/>
                </w:rPr>
                <w:t>https://www.abs.gov.au/AUSSTATS/abs@.nsf/Lookup/6319.0Main+Features1Nov%201993?OpenDocument</w:t>
              </w:r>
              <w:r>
                <w:rPr>
                  <w:noProof/>
                </w:rPr>
                <w:br/>
                <w:t>[Accessed 3 March 2020].</w:t>
              </w:r>
            </w:p>
            <w:p w14:paraId="25BAB44E" w14:textId="77777777" w:rsidR="00E83F6E" w:rsidRDefault="00E83F6E" w:rsidP="00E83F6E">
              <w:pPr>
                <w:pStyle w:val="Bibliography"/>
                <w:rPr>
                  <w:noProof/>
                </w:rPr>
              </w:pPr>
              <w:r>
                <w:rPr>
                  <w:noProof/>
                </w:rPr>
                <w:t xml:space="preserve">ABS, 1997. </w:t>
              </w:r>
              <w:r>
                <w:rPr>
                  <w:i/>
                  <w:iCs/>
                  <w:noProof/>
                </w:rPr>
                <w:t xml:space="preserve">Marriages and Divorces, Australia, 1996, cat. no. 3310.0. </w:t>
              </w:r>
              <w:r>
                <w:rPr>
                  <w:noProof/>
                </w:rPr>
                <w:t xml:space="preserve">[Online] </w:t>
              </w:r>
              <w:r>
                <w:rPr>
                  <w:noProof/>
                </w:rPr>
                <w:br/>
                <w:t xml:space="preserve">Available at: </w:t>
              </w:r>
              <w:r>
                <w:rPr>
                  <w:noProof/>
                  <w:u w:val="single"/>
                </w:rPr>
                <w:t>https://www.abs.gov.au/AUSSTATS/abs@.nsf/allprimarymainfeatures/1DE879602B6C1BB1CA25722E001A3A09?opendocument</w:t>
              </w:r>
              <w:r>
                <w:rPr>
                  <w:noProof/>
                </w:rPr>
                <w:br/>
                <w:t>[Accessed 10 February 2020].</w:t>
              </w:r>
            </w:p>
            <w:p w14:paraId="06A3CDBC" w14:textId="77777777" w:rsidR="00E83F6E" w:rsidRDefault="00E83F6E" w:rsidP="00E83F6E">
              <w:pPr>
                <w:pStyle w:val="Bibliography"/>
                <w:rPr>
                  <w:noProof/>
                </w:rPr>
              </w:pPr>
              <w:r>
                <w:rPr>
                  <w:noProof/>
                </w:rPr>
                <w:t xml:space="preserve">ABS, 1998. </w:t>
              </w:r>
              <w:r>
                <w:rPr>
                  <w:i/>
                  <w:iCs/>
                  <w:noProof/>
                </w:rPr>
                <w:t xml:space="preserve">Year Book Australia, 1988, cat. no. 1310.0. </w:t>
              </w:r>
              <w:r>
                <w:rPr>
                  <w:noProof/>
                </w:rPr>
                <w:t xml:space="preserve">[Online] </w:t>
              </w:r>
              <w:r>
                <w:rPr>
                  <w:noProof/>
                </w:rPr>
                <w:br/>
                <w:t xml:space="preserve">Available at: </w:t>
              </w:r>
              <w:r>
                <w:rPr>
                  <w:noProof/>
                  <w:u w:val="single"/>
                </w:rPr>
                <w:t>https://www.abs.gov.au/ausstats/abs@.nsf/94713ad445ff1425ca25682000192af2/8e72c4526a94aaedca2569de00296978!opendocument</w:t>
              </w:r>
              <w:r>
                <w:rPr>
                  <w:noProof/>
                </w:rPr>
                <w:br/>
                <w:t>[Accessed 20 May 2020].</w:t>
              </w:r>
            </w:p>
            <w:p w14:paraId="55185E04" w14:textId="77777777" w:rsidR="00E83F6E" w:rsidRDefault="00E83F6E" w:rsidP="00E83F6E">
              <w:pPr>
                <w:pStyle w:val="Bibliography"/>
                <w:rPr>
                  <w:noProof/>
                </w:rPr>
              </w:pPr>
              <w:r>
                <w:rPr>
                  <w:noProof/>
                </w:rPr>
                <w:t xml:space="preserve">ABS, 2001. </w:t>
              </w:r>
              <w:r>
                <w:rPr>
                  <w:i/>
                  <w:iCs/>
                  <w:noProof/>
                </w:rPr>
                <w:t xml:space="preserve">Year Book Australia, 2001, cat. no. 1301.0. </w:t>
              </w:r>
              <w:r>
                <w:rPr>
                  <w:noProof/>
                </w:rPr>
                <w:t xml:space="preserve">[Online] </w:t>
              </w:r>
              <w:r>
                <w:rPr>
                  <w:noProof/>
                </w:rPr>
                <w:br/>
                <w:t xml:space="preserve">Available at: </w:t>
              </w:r>
              <w:r>
                <w:rPr>
                  <w:noProof/>
                  <w:u w:val="single"/>
                </w:rPr>
                <w:t>https://www.abs.gov.au/AUSSTATS/abs@.nsf/allprimarymainfeatures/E31D22BD8EC6BC16CA2570B000368E96?opendocument</w:t>
              </w:r>
              <w:r>
                <w:rPr>
                  <w:noProof/>
                </w:rPr>
                <w:br/>
                <w:t>[Accessed 17 March 2020].</w:t>
              </w:r>
            </w:p>
            <w:p w14:paraId="22DBAC8D" w14:textId="77777777" w:rsidR="00E83F6E" w:rsidRDefault="00E83F6E" w:rsidP="00E83F6E">
              <w:pPr>
                <w:pStyle w:val="Bibliography"/>
                <w:rPr>
                  <w:noProof/>
                </w:rPr>
              </w:pPr>
              <w:r>
                <w:rPr>
                  <w:noProof/>
                </w:rPr>
                <w:t xml:space="preserve">ABS, 2003. </w:t>
              </w:r>
              <w:r>
                <w:rPr>
                  <w:i/>
                  <w:iCs/>
                  <w:noProof/>
                </w:rPr>
                <w:t xml:space="preserve">Employee Earnings, Benefits and Trade Union Membership, Australia, Aug 2002, cat. no. 6310.0. </w:t>
              </w:r>
              <w:r>
                <w:rPr>
                  <w:noProof/>
                </w:rPr>
                <w:t xml:space="preserve">[Online] </w:t>
              </w:r>
              <w:r>
                <w:rPr>
                  <w:noProof/>
                </w:rPr>
                <w:br/>
                <w:t xml:space="preserve">Available at: </w:t>
              </w:r>
              <w:r>
                <w:rPr>
                  <w:noProof/>
                  <w:u w:val="single"/>
                </w:rPr>
                <w:t>https://www.abs.gov.au/AUSSTATS/abs@.nsf/second+level+view?ReadForm&amp;prodno=6310.0&amp;viewtitle=Weekly%20Earnings%20of%20Employees%20(Distribution),%20Australia~Aug%201997~Previous~10/01/1998&amp;&amp;tabname=Past%20Future%20Issues&amp;prodno=6310.0&amp;issue=Aug%201997&amp;num=</w:t>
              </w:r>
              <w:r>
                <w:rPr>
                  <w:noProof/>
                </w:rPr>
                <w:br/>
                <w:t>[Accessed 3 March 2020].</w:t>
              </w:r>
            </w:p>
            <w:p w14:paraId="607762AE" w14:textId="77777777" w:rsidR="00E83F6E" w:rsidRDefault="00E83F6E" w:rsidP="00E83F6E">
              <w:pPr>
                <w:pStyle w:val="Bibliography"/>
                <w:rPr>
                  <w:noProof/>
                </w:rPr>
              </w:pPr>
              <w:r>
                <w:rPr>
                  <w:noProof/>
                </w:rPr>
                <w:t xml:space="preserve">ABS, 2006a. </w:t>
              </w:r>
              <w:r>
                <w:rPr>
                  <w:i/>
                  <w:iCs/>
                  <w:noProof/>
                </w:rPr>
                <w:t xml:space="preserve">2006 Census of Population and Housing, </w:t>
              </w:r>
              <w:r>
                <w:rPr>
                  <w:noProof/>
                </w:rPr>
                <w:t>s.l.: TableBuilder. Findings based on use of ABS TableBuilder data.</w:t>
              </w:r>
            </w:p>
            <w:p w14:paraId="5F1195A9" w14:textId="77777777" w:rsidR="00E83F6E" w:rsidRDefault="00E83F6E" w:rsidP="00E83F6E">
              <w:pPr>
                <w:pStyle w:val="Bibliography"/>
                <w:rPr>
                  <w:noProof/>
                </w:rPr>
              </w:pPr>
              <w:r>
                <w:rPr>
                  <w:noProof/>
                </w:rPr>
                <w:t xml:space="preserve">ABS, 2006b. </w:t>
              </w:r>
              <w:r>
                <w:rPr>
                  <w:i/>
                  <w:iCs/>
                  <w:noProof/>
                </w:rPr>
                <w:t xml:space="preserve">Retirement and Retirement Intentions, Australia, Aug 2004 to Jun 2005, cat. no. 6238.0. </w:t>
              </w:r>
              <w:r>
                <w:rPr>
                  <w:noProof/>
                </w:rPr>
                <w:t xml:space="preserve">[Online] </w:t>
              </w:r>
              <w:r>
                <w:rPr>
                  <w:noProof/>
                </w:rPr>
                <w:br/>
                <w:t xml:space="preserve">Available at: </w:t>
              </w:r>
              <w:r>
                <w:rPr>
                  <w:noProof/>
                  <w:u w:val="single"/>
                </w:rPr>
                <w:t>https://www.abs.gov.au/AUSSTATS/abs@.nsf/allprimarymainfeatures/93714AE404FA1484CA2573D7001786B1?opendocument</w:t>
              </w:r>
              <w:r>
                <w:rPr>
                  <w:noProof/>
                </w:rPr>
                <w:br/>
                <w:t>[Accessed 15 February 2020].</w:t>
              </w:r>
            </w:p>
            <w:p w14:paraId="40A7562D" w14:textId="77777777" w:rsidR="00E83F6E" w:rsidRDefault="00E83F6E" w:rsidP="00E83F6E">
              <w:pPr>
                <w:pStyle w:val="Bibliography"/>
                <w:rPr>
                  <w:noProof/>
                </w:rPr>
              </w:pPr>
              <w:r>
                <w:rPr>
                  <w:noProof/>
                </w:rPr>
                <w:t xml:space="preserve">ABS, 2007. </w:t>
              </w:r>
              <w:r>
                <w:rPr>
                  <w:i/>
                  <w:iCs/>
                  <w:noProof/>
                </w:rPr>
                <w:t xml:space="preserve">Housing occupancy and costs, 2005-06, cat. no. 4130.0.55.001. </w:t>
              </w:r>
              <w:r>
                <w:rPr>
                  <w:noProof/>
                </w:rPr>
                <w:t xml:space="preserve">[Online] </w:t>
              </w:r>
              <w:r>
                <w:rPr>
                  <w:noProof/>
                </w:rPr>
                <w:br/>
                <w:t xml:space="preserve">Available at: </w:t>
              </w:r>
              <w:r>
                <w:rPr>
                  <w:noProof/>
                  <w:u w:val="single"/>
                </w:rPr>
                <w:t>https://www.abs.gov.au/AUSSTATS/abs@.nsf/DetailsPage/4130.0.55.0012005-06?OpenDocument</w:t>
              </w:r>
              <w:r>
                <w:rPr>
                  <w:noProof/>
                </w:rPr>
                <w:br/>
                <w:t>[Accessed 24 April 2020].</w:t>
              </w:r>
            </w:p>
            <w:p w14:paraId="6EA1D7C2" w14:textId="77777777" w:rsidR="00E83F6E" w:rsidRDefault="00E83F6E" w:rsidP="00E83F6E">
              <w:pPr>
                <w:pStyle w:val="Bibliography"/>
                <w:rPr>
                  <w:noProof/>
                </w:rPr>
              </w:pPr>
              <w:r>
                <w:rPr>
                  <w:noProof/>
                </w:rPr>
                <w:t xml:space="preserve">ABS, 2009a. </w:t>
              </w:r>
              <w:r>
                <w:rPr>
                  <w:i/>
                  <w:iCs/>
                  <w:noProof/>
                </w:rPr>
                <w:t xml:space="preserve">Australian Social Trends, March 2009, cat. no. 4102.0. </w:t>
              </w:r>
              <w:r>
                <w:rPr>
                  <w:noProof/>
                </w:rPr>
                <w:t xml:space="preserve">[Online] </w:t>
              </w:r>
              <w:r>
                <w:rPr>
                  <w:noProof/>
                </w:rPr>
                <w:br/>
                <w:t xml:space="preserve">Available at: </w:t>
              </w:r>
              <w:r>
                <w:rPr>
                  <w:noProof/>
                  <w:u w:val="single"/>
                </w:rPr>
                <w:t>https://www.abs.gov.au/AUSSTATS/abs@.nsf/Lookup/4102.0Main+Features70March%202009</w:t>
              </w:r>
              <w:r>
                <w:rPr>
                  <w:noProof/>
                </w:rPr>
                <w:br/>
                <w:t>[Accessed 5 March 2020].</w:t>
              </w:r>
            </w:p>
            <w:p w14:paraId="51DF1E65" w14:textId="77777777" w:rsidR="00E83F6E" w:rsidRDefault="00E83F6E" w:rsidP="00E83F6E">
              <w:pPr>
                <w:pStyle w:val="Bibliography"/>
                <w:rPr>
                  <w:noProof/>
                </w:rPr>
              </w:pPr>
              <w:r>
                <w:rPr>
                  <w:noProof/>
                </w:rPr>
                <w:t xml:space="preserve">ABS, 2011a. </w:t>
              </w:r>
              <w:r>
                <w:rPr>
                  <w:i/>
                  <w:iCs/>
                  <w:noProof/>
                </w:rPr>
                <w:t xml:space="preserve">2011 Census of Population and Housing, </w:t>
              </w:r>
              <w:r>
                <w:rPr>
                  <w:noProof/>
                </w:rPr>
                <w:t>s.l.: TableBuilder. Findings based on use of ABS TableBuilder data.</w:t>
              </w:r>
            </w:p>
            <w:p w14:paraId="779DD856" w14:textId="77777777" w:rsidR="00E83F6E" w:rsidRDefault="00E83F6E" w:rsidP="00E83F6E">
              <w:pPr>
                <w:pStyle w:val="Bibliography"/>
                <w:rPr>
                  <w:noProof/>
                </w:rPr>
              </w:pPr>
              <w:r>
                <w:rPr>
                  <w:noProof/>
                </w:rPr>
                <w:t xml:space="preserve">ABS, 2011b. </w:t>
              </w:r>
              <w:r>
                <w:rPr>
                  <w:i/>
                  <w:iCs/>
                  <w:noProof/>
                </w:rPr>
                <w:t xml:space="preserve">Australian Labour Market Statistics, Oct 2011, cat. no. 6105.0. </w:t>
              </w:r>
              <w:r>
                <w:rPr>
                  <w:noProof/>
                </w:rPr>
                <w:t xml:space="preserve">[Online] </w:t>
              </w:r>
              <w:r>
                <w:rPr>
                  <w:noProof/>
                </w:rPr>
                <w:br/>
                <w:t xml:space="preserve">Available at: </w:t>
              </w:r>
              <w:r>
                <w:rPr>
                  <w:noProof/>
                  <w:u w:val="single"/>
                </w:rPr>
                <w:t>https://www.abs.gov.au/ausstats/abs@.nsf/Latestproducts/DB1BFFF6CB753F05CA257922000E2865?opendocument</w:t>
              </w:r>
              <w:r>
                <w:rPr>
                  <w:noProof/>
                </w:rPr>
                <w:br/>
                <w:t>[Accessed 10 January 2020].</w:t>
              </w:r>
            </w:p>
            <w:p w14:paraId="7D815EAA" w14:textId="77777777" w:rsidR="00E83F6E" w:rsidRDefault="00E83F6E" w:rsidP="00E83F6E">
              <w:pPr>
                <w:pStyle w:val="Bibliography"/>
                <w:rPr>
                  <w:noProof/>
                </w:rPr>
              </w:pPr>
              <w:r>
                <w:rPr>
                  <w:noProof/>
                </w:rPr>
                <w:t xml:space="preserve">ABS, 2011c. </w:t>
              </w:r>
              <w:r>
                <w:rPr>
                  <w:i/>
                  <w:iCs/>
                  <w:noProof/>
                </w:rPr>
                <w:t xml:space="preserve">Australian Social Trends, Dec 2011, cat. no. 4102.0. </w:t>
              </w:r>
              <w:r>
                <w:rPr>
                  <w:noProof/>
                </w:rPr>
                <w:t xml:space="preserve">[Online] </w:t>
              </w:r>
              <w:r>
                <w:rPr>
                  <w:noProof/>
                </w:rPr>
                <w:br/>
                <w:t xml:space="preserve">Available at: </w:t>
              </w:r>
              <w:r>
                <w:rPr>
                  <w:noProof/>
                  <w:u w:val="single"/>
                </w:rPr>
                <w:t>https://www.abs.gov.au/AUSSTATS/abs@.nsf/Lookup/4102.0Main+Features30Dec+2011</w:t>
              </w:r>
              <w:r>
                <w:rPr>
                  <w:noProof/>
                </w:rPr>
                <w:br/>
                <w:t>[Accessed 10 January 2020].</w:t>
              </w:r>
            </w:p>
            <w:p w14:paraId="671990AC" w14:textId="77777777" w:rsidR="00E83F6E" w:rsidRDefault="00E83F6E" w:rsidP="00E83F6E">
              <w:pPr>
                <w:pStyle w:val="Bibliography"/>
                <w:rPr>
                  <w:noProof/>
                </w:rPr>
              </w:pPr>
              <w:r>
                <w:rPr>
                  <w:noProof/>
                </w:rPr>
                <w:t xml:space="preserve">ABS, 2014. </w:t>
              </w:r>
              <w:r>
                <w:rPr>
                  <w:i/>
                  <w:iCs/>
                  <w:noProof/>
                </w:rPr>
                <w:t xml:space="preserve">Employee Earnings, Benefits and Trade Union Membership, Australia, August 2013, 6310.0. </w:t>
              </w:r>
              <w:r>
                <w:rPr>
                  <w:noProof/>
                </w:rPr>
                <w:t xml:space="preserve">[Online] </w:t>
              </w:r>
              <w:r>
                <w:rPr>
                  <w:noProof/>
                </w:rPr>
                <w:br/>
                <w:t xml:space="preserve">Available at: </w:t>
              </w:r>
              <w:r>
                <w:rPr>
                  <w:noProof/>
                  <w:u w:val="single"/>
                </w:rPr>
                <w:t>https://www.abs.gov.au/AUSSTATS/abs@.nsf/DetailsPage/6310.0August%202013?OpenDocument</w:t>
              </w:r>
              <w:r>
                <w:rPr>
                  <w:noProof/>
                </w:rPr>
                <w:br/>
                <w:t>[Accessed 20 February 2020].</w:t>
              </w:r>
            </w:p>
            <w:p w14:paraId="5AD00C7F" w14:textId="77777777" w:rsidR="00E83F6E" w:rsidRDefault="00E83F6E" w:rsidP="00E83F6E">
              <w:pPr>
                <w:pStyle w:val="Bibliography"/>
                <w:rPr>
                  <w:noProof/>
                </w:rPr>
              </w:pPr>
              <w:r>
                <w:rPr>
                  <w:noProof/>
                </w:rPr>
                <w:t xml:space="preserve">ABS, 2015a. </w:t>
              </w:r>
              <w:r>
                <w:rPr>
                  <w:i/>
                  <w:iCs/>
                  <w:noProof/>
                </w:rPr>
                <w:t xml:space="preserve">General Social Survey: Summary Results, Australia, 2014, cat. no. 4159.0. </w:t>
              </w:r>
              <w:r>
                <w:rPr>
                  <w:noProof/>
                </w:rPr>
                <w:t xml:space="preserve">[Online] </w:t>
              </w:r>
              <w:r>
                <w:rPr>
                  <w:noProof/>
                </w:rPr>
                <w:br/>
                <w:t xml:space="preserve">Available at: </w:t>
              </w:r>
              <w:r>
                <w:rPr>
                  <w:noProof/>
                  <w:u w:val="single"/>
                </w:rPr>
                <w:t>https://www.abs.gov.au/ausstats/abs@.nsf/mf/4159.0</w:t>
              </w:r>
              <w:r>
                <w:rPr>
                  <w:noProof/>
                </w:rPr>
                <w:br/>
                <w:t>[Accessed 21 February 2020].</w:t>
              </w:r>
            </w:p>
            <w:p w14:paraId="7A7C4132" w14:textId="77777777" w:rsidR="00E83F6E" w:rsidRDefault="00E83F6E" w:rsidP="00E83F6E">
              <w:pPr>
                <w:pStyle w:val="Bibliography"/>
                <w:rPr>
                  <w:noProof/>
                </w:rPr>
              </w:pPr>
              <w:r>
                <w:rPr>
                  <w:noProof/>
                </w:rPr>
                <w:t xml:space="preserve">ABS, 2016a. </w:t>
              </w:r>
              <w:r>
                <w:rPr>
                  <w:i/>
                  <w:iCs/>
                  <w:noProof/>
                </w:rPr>
                <w:t xml:space="preserve">2016 Census of Population and Housing, </w:t>
              </w:r>
              <w:r>
                <w:rPr>
                  <w:noProof/>
                </w:rPr>
                <w:t>s.l.: TableBuilder. Findings based on use of ABS TableBuilder data.</w:t>
              </w:r>
            </w:p>
            <w:p w14:paraId="0BDE0BEF" w14:textId="77777777" w:rsidR="00E83F6E" w:rsidRDefault="00E83F6E" w:rsidP="00E83F6E">
              <w:pPr>
                <w:pStyle w:val="Bibliography"/>
                <w:rPr>
                  <w:noProof/>
                </w:rPr>
              </w:pPr>
              <w:r>
                <w:rPr>
                  <w:noProof/>
                </w:rPr>
                <w:t xml:space="preserve">ABS, 2016b. </w:t>
              </w:r>
              <w:r>
                <w:rPr>
                  <w:i/>
                  <w:iCs/>
                  <w:noProof/>
                </w:rPr>
                <w:t xml:space="preserve">National Aboriginal and Torres Strait Islander Social Survey, 2014-15, cat. no. 4714.0. </w:t>
              </w:r>
              <w:r>
                <w:rPr>
                  <w:noProof/>
                </w:rPr>
                <w:t xml:space="preserve">[Online] </w:t>
              </w:r>
              <w:r>
                <w:rPr>
                  <w:noProof/>
                </w:rPr>
                <w:br/>
                <w:t xml:space="preserve">Available at: </w:t>
              </w:r>
              <w:r>
                <w:rPr>
                  <w:noProof/>
                  <w:u w:val="single"/>
                </w:rPr>
                <w:t>https://www.abs.gov.au/ausstats/abs@.nsf/mf/4714.0</w:t>
              </w:r>
              <w:r>
                <w:rPr>
                  <w:noProof/>
                </w:rPr>
                <w:br/>
                <w:t>[Accessed 21 February 2020].</w:t>
              </w:r>
            </w:p>
            <w:p w14:paraId="607C9189" w14:textId="77777777" w:rsidR="00E83F6E" w:rsidRDefault="00E83F6E" w:rsidP="00E83F6E">
              <w:pPr>
                <w:pStyle w:val="Bibliography"/>
                <w:rPr>
                  <w:noProof/>
                </w:rPr>
              </w:pPr>
              <w:r>
                <w:rPr>
                  <w:noProof/>
                </w:rPr>
                <w:t xml:space="preserve">ABS, 2017a. </w:t>
              </w:r>
              <w:r>
                <w:rPr>
                  <w:i/>
                  <w:iCs/>
                  <w:noProof/>
                </w:rPr>
                <w:t xml:space="preserve">Australians pursuing higher education in record numbers. </w:t>
              </w:r>
              <w:r>
                <w:rPr>
                  <w:noProof/>
                </w:rPr>
                <w:t xml:space="preserve">[Online] </w:t>
              </w:r>
              <w:r>
                <w:rPr>
                  <w:noProof/>
                </w:rPr>
                <w:br/>
                <w:t xml:space="preserve">Available at: </w:t>
              </w:r>
              <w:r>
                <w:rPr>
                  <w:noProof/>
                  <w:u w:val="single"/>
                </w:rPr>
                <w:t>https://www.abs.gov.au/AUSSTATS/abs@.nsf/mediareleasesbyReleaseDate/1533FE5A8541D66CCA2581BF00362D1D</w:t>
              </w:r>
              <w:r>
                <w:rPr>
                  <w:noProof/>
                </w:rPr>
                <w:br/>
                <w:t>[Accessed 28 May 2020].</w:t>
              </w:r>
            </w:p>
            <w:p w14:paraId="25E81A13" w14:textId="77777777" w:rsidR="00E83F6E" w:rsidRDefault="00E83F6E" w:rsidP="00E83F6E">
              <w:pPr>
                <w:pStyle w:val="Bibliography"/>
                <w:rPr>
                  <w:noProof/>
                </w:rPr>
              </w:pPr>
              <w:r>
                <w:rPr>
                  <w:noProof/>
                </w:rPr>
                <w:t xml:space="preserve">ABS, 2017b. </w:t>
              </w:r>
              <w:r>
                <w:rPr>
                  <w:i/>
                  <w:iCs/>
                  <w:noProof/>
                </w:rPr>
                <w:t xml:space="preserve">Barriers and Incentives to Labour Force Participation, Australia, July 2016 to June 2017, cat. no. 6239.0. </w:t>
              </w:r>
              <w:r>
                <w:rPr>
                  <w:noProof/>
                </w:rPr>
                <w:t xml:space="preserve">[Online] </w:t>
              </w:r>
              <w:r>
                <w:rPr>
                  <w:noProof/>
                </w:rPr>
                <w:br/>
                <w:t xml:space="preserve">Available at: </w:t>
              </w:r>
              <w:r>
                <w:rPr>
                  <w:noProof/>
                  <w:u w:val="single"/>
                </w:rPr>
                <w:t>https://www.abs.gov.au/ausstats/abs@.nsf/mf/6239.0</w:t>
              </w:r>
              <w:r>
                <w:rPr>
                  <w:noProof/>
                </w:rPr>
                <w:br/>
                <w:t>[Accessed 19 November 2019].</w:t>
              </w:r>
            </w:p>
            <w:p w14:paraId="543D148E" w14:textId="77777777" w:rsidR="00E83F6E" w:rsidRDefault="00E83F6E" w:rsidP="00E83F6E">
              <w:pPr>
                <w:pStyle w:val="Bibliography"/>
                <w:rPr>
                  <w:noProof/>
                </w:rPr>
              </w:pPr>
              <w:r>
                <w:rPr>
                  <w:noProof/>
                </w:rPr>
                <w:t xml:space="preserve">ABS, 2017d. </w:t>
              </w:r>
              <w:r>
                <w:rPr>
                  <w:i/>
                  <w:iCs/>
                  <w:noProof/>
                </w:rPr>
                <w:t xml:space="preserve">Financial stress and spending. </w:t>
              </w:r>
              <w:r>
                <w:rPr>
                  <w:noProof/>
                </w:rPr>
                <w:t xml:space="preserve">[Online] </w:t>
              </w:r>
              <w:r>
                <w:rPr>
                  <w:noProof/>
                </w:rPr>
                <w:br/>
                <w:t xml:space="preserve">Available at: </w:t>
              </w:r>
              <w:r>
                <w:rPr>
                  <w:noProof/>
                  <w:u w:val="single"/>
                </w:rPr>
                <w:t>https://www.abs.gov.au/ausstats/abs@.nsf/Latestproducts/6530.0Main%20Features72015-16?opendocument&amp;ta</w:t>
              </w:r>
              <w:r>
                <w:rPr>
                  <w:noProof/>
                </w:rPr>
                <w:br/>
                <w:t>[Accessed 13 January 2020].</w:t>
              </w:r>
            </w:p>
            <w:p w14:paraId="464A7AA1" w14:textId="77777777" w:rsidR="00E83F6E" w:rsidRDefault="00E83F6E" w:rsidP="00E83F6E">
              <w:pPr>
                <w:pStyle w:val="Bibliography"/>
                <w:rPr>
                  <w:noProof/>
                </w:rPr>
              </w:pPr>
              <w:r>
                <w:rPr>
                  <w:noProof/>
                </w:rPr>
                <w:t xml:space="preserve">ABS, 2017e. </w:t>
              </w:r>
              <w:r>
                <w:rPr>
                  <w:i/>
                  <w:iCs/>
                  <w:noProof/>
                </w:rPr>
                <w:t xml:space="preserve">Household Expenditure Survey, Australia, 2015-16, cat. no. 6530.0. </w:t>
              </w:r>
              <w:r>
                <w:rPr>
                  <w:noProof/>
                </w:rPr>
                <w:t xml:space="preserve">[Online] </w:t>
              </w:r>
              <w:r>
                <w:rPr>
                  <w:noProof/>
                </w:rPr>
                <w:br/>
                <w:t xml:space="preserve">Available at: </w:t>
              </w:r>
              <w:r>
                <w:rPr>
                  <w:noProof/>
                  <w:u w:val="single"/>
                </w:rPr>
                <w:t>https://www.abs.gov.au/AUSSTATS/abs@.nsf/Lookup/6530.0Main+Features12015-16?OpenDocument</w:t>
              </w:r>
              <w:r>
                <w:rPr>
                  <w:noProof/>
                </w:rPr>
                <w:br/>
                <w:t>[Accessed 12 February 2020].</w:t>
              </w:r>
            </w:p>
            <w:p w14:paraId="324F53AC" w14:textId="77777777" w:rsidR="00E83F6E" w:rsidRDefault="00E83F6E" w:rsidP="00E83F6E">
              <w:pPr>
                <w:pStyle w:val="Bibliography"/>
                <w:rPr>
                  <w:noProof/>
                </w:rPr>
              </w:pPr>
              <w:r>
                <w:rPr>
                  <w:noProof/>
                </w:rPr>
                <w:t xml:space="preserve">ABS, 2017f. </w:t>
              </w:r>
              <w:r>
                <w:rPr>
                  <w:i/>
                  <w:iCs/>
                  <w:noProof/>
                </w:rPr>
                <w:t xml:space="preserve">Selected Living Cost Indexes: 17th Series Weighting Pattern, Sep 2017, cat. no. 6474.0. </w:t>
              </w:r>
              <w:r>
                <w:rPr>
                  <w:noProof/>
                </w:rPr>
                <w:t xml:space="preserve">[Online] </w:t>
              </w:r>
              <w:r>
                <w:rPr>
                  <w:noProof/>
                </w:rPr>
                <w:br/>
                <w:t xml:space="preserve">Available at: </w:t>
              </w:r>
              <w:r>
                <w:rPr>
                  <w:noProof/>
                  <w:u w:val="single"/>
                </w:rPr>
                <w:t>https://www.abs.gov.au/AUSSTATS/abs@.nsf/Lookup/6474.0Main+Features1Sep%202017?OpenDocument</w:t>
              </w:r>
              <w:r>
                <w:rPr>
                  <w:noProof/>
                </w:rPr>
                <w:br/>
                <w:t>[Accessed 10 January 2020].</w:t>
              </w:r>
            </w:p>
            <w:p w14:paraId="2849B784" w14:textId="77777777" w:rsidR="00E83F6E" w:rsidRDefault="00E83F6E" w:rsidP="00E83F6E">
              <w:pPr>
                <w:pStyle w:val="Bibliography"/>
                <w:rPr>
                  <w:noProof/>
                </w:rPr>
              </w:pPr>
              <w:r>
                <w:rPr>
                  <w:noProof/>
                </w:rPr>
                <w:t xml:space="preserve">ABS, 2018a. </w:t>
              </w:r>
              <w:r>
                <w:rPr>
                  <w:i/>
                  <w:iCs/>
                  <w:noProof/>
                </w:rPr>
                <w:t xml:space="preserve">Census of Population and Housing: Characteristics of Aboriginal and Torres Strait Islander Australians, 2016, cat. no. 2076.0. </w:t>
              </w:r>
              <w:r>
                <w:rPr>
                  <w:noProof/>
                </w:rPr>
                <w:t xml:space="preserve">[Online] </w:t>
              </w:r>
              <w:r>
                <w:rPr>
                  <w:noProof/>
                </w:rPr>
                <w:br/>
                <w:t xml:space="preserve">Available at: </w:t>
              </w:r>
              <w:r>
                <w:rPr>
                  <w:noProof/>
                  <w:u w:val="single"/>
                </w:rPr>
                <w:t>https://www.abs.gov.au/AUSSTATS/abs@.nsf/Latestproducts/2076.0Main%20Features512016?opendocument&amp;tabname=Summary&amp;prodno=2076.0&amp;issue=2016&amp;num=&amp;view=</w:t>
              </w:r>
              <w:r>
                <w:rPr>
                  <w:noProof/>
                </w:rPr>
                <w:br/>
                <w:t>[Accessed 21 February 2020].</w:t>
              </w:r>
            </w:p>
            <w:p w14:paraId="2F12081D" w14:textId="77777777" w:rsidR="00E83F6E" w:rsidRDefault="00E83F6E" w:rsidP="00E83F6E">
              <w:pPr>
                <w:pStyle w:val="Bibliography"/>
                <w:rPr>
                  <w:noProof/>
                </w:rPr>
              </w:pPr>
              <w:r>
                <w:rPr>
                  <w:noProof/>
                </w:rPr>
                <w:t xml:space="preserve">ABS, 2018b. </w:t>
              </w:r>
              <w:r>
                <w:rPr>
                  <w:i/>
                  <w:iCs/>
                  <w:noProof/>
                </w:rPr>
                <w:t xml:space="preserve">Census of Population and Housing: Estimating homelessness, 2016, cat. no. 2049.0. </w:t>
              </w:r>
              <w:r>
                <w:rPr>
                  <w:noProof/>
                </w:rPr>
                <w:t xml:space="preserve">[Online] </w:t>
              </w:r>
              <w:r>
                <w:rPr>
                  <w:noProof/>
                </w:rPr>
                <w:br/>
                <w:t xml:space="preserve">Available at: </w:t>
              </w:r>
              <w:r>
                <w:rPr>
                  <w:noProof/>
                  <w:u w:val="single"/>
                </w:rPr>
                <w:t>https://www.abs.gov.au/AUSSTATS/abs@.nsf/Lookup/2049.0Main+Features12016?OpenDocument</w:t>
              </w:r>
              <w:r>
                <w:rPr>
                  <w:noProof/>
                </w:rPr>
                <w:br/>
                <w:t>[Accessed 13 May 2020].</w:t>
              </w:r>
            </w:p>
            <w:p w14:paraId="61CE0D1C" w14:textId="77777777" w:rsidR="00E83F6E" w:rsidRDefault="00E83F6E" w:rsidP="00E83F6E">
              <w:pPr>
                <w:pStyle w:val="Bibliography"/>
                <w:rPr>
                  <w:noProof/>
                </w:rPr>
              </w:pPr>
              <w:r>
                <w:rPr>
                  <w:noProof/>
                </w:rPr>
                <w:t xml:space="preserve">ABS, 2018c. </w:t>
              </w:r>
              <w:r>
                <w:rPr>
                  <w:i/>
                  <w:iCs/>
                  <w:noProof/>
                </w:rPr>
                <w:t xml:space="preserve">Government Benefits, Taxes and Household Income, Australia, 2015-16, cat. no. 6537.0. </w:t>
              </w:r>
              <w:r>
                <w:rPr>
                  <w:noProof/>
                </w:rPr>
                <w:t xml:space="preserve">[Online] </w:t>
              </w:r>
              <w:r>
                <w:rPr>
                  <w:noProof/>
                </w:rPr>
                <w:br/>
                <w:t xml:space="preserve">Available at: </w:t>
              </w:r>
              <w:r>
                <w:rPr>
                  <w:noProof/>
                  <w:u w:val="single"/>
                </w:rPr>
                <w:t>https://www.abs.gov.au/ausstats/abs@.nsf/mf/6537.0/</w:t>
              </w:r>
              <w:r>
                <w:rPr>
                  <w:noProof/>
                </w:rPr>
                <w:br/>
                <w:t>[Accessed 18 November 2019].</w:t>
              </w:r>
            </w:p>
            <w:p w14:paraId="38D9DD70" w14:textId="77777777" w:rsidR="00E83F6E" w:rsidRDefault="00E83F6E" w:rsidP="00E83F6E">
              <w:pPr>
                <w:pStyle w:val="Bibliography"/>
                <w:rPr>
                  <w:noProof/>
                </w:rPr>
              </w:pPr>
              <w:r>
                <w:rPr>
                  <w:noProof/>
                </w:rPr>
                <w:t xml:space="preserve">ABS, 2018d. </w:t>
              </w:r>
              <w:r>
                <w:rPr>
                  <w:i/>
                  <w:iCs/>
                  <w:noProof/>
                </w:rPr>
                <w:t xml:space="preserve">Life Tables for Aboriginal and Torres Strait Islander Australians, 2015-17, cat. no. 3302.0.55.003. </w:t>
              </w:r>
              <w:r>
                <w:rPr>
                  <w:noProof/>
                </w:rPr>
                <w:t xml:space="preserve">[Online] </w:t>
              </w:r>
              <w:r>
                <w:rPr>
                  <w:noProof/>
                </w:rPr>
                <w:br/>
                <w:t xml:space="preserve">Available at: </w:t>
              </w:r>
              <w:r>
                <w:rPr>
                  <w:noProof/>
                  <w:u w:val="single"/>
                </w:rPr>
                <w:t>https://www.abs.gov.au/ausstats/abs@.nsf/Lookup/by%20Subject/3302.0.55.003~2015-2017~Media%20Release~Life%20expectancy%20lowest%20in%20remote%20and%20very%20remote%20areas%20(Media%20Release)~15</w:t>
              </w:r>
              <w:r>
                <w:rPr>
                  <w:noProof/>
                </w:rPr>
                <w:br/>
                <w:t>[Accessed 21 February 2020].</w:t>
              </w:r>
            </w:p>
            <w:p w14:paraId="1910EB9B" w14:textId="77777777" w:rsidR="00E83F6E" w:rsidRDefault="00E83F6E" w:rsidP="00E83F6E">
              <w:pPr>
                <w:pStyle w:val="Bibliography"/>
                <w:rPr>
                  <w:noProof/>
                </w:rPr>
              </w:pPr>
              <w:r>
                <w:rPr>
                  <w:noProof/>
                </w:rPr>
                <w:t xml:space="preserve">ABS, 2018e. </w:t>
              </w:r>
              <w:r>
                <w:rPr>
                  <w:i/>
                  <w:iCs/>
                  <w:noProof/>
                </w:rPr>
                <w:t xml:space="preserve">Life Tables, States, Territories and Australia, 2015-2017, cat. no. 3302.0.55.001. </w:t>
              </w:r>
              <w:r>
                <w:rPr>
                  <w:noProof/>
                </w:rPr>
                <w:t xml:space="preserve">[Online] </w:t>
              </w:r>
              <w:r>
                <w:rPr>
                  <w:noProof/>
                </w:rPr>
                <w:br/>
                <w:t xml:space="preserve">Available at: </w:t>
              </w:r>
              <w:r>
                <w:rPr>
                  <w:noProof/>
                  <w:u w:val="single"/>
                </w:rPr>
                <w:t>https://www.abs.gov.au/AUSSTATS/abs@.nsf/allprimarymainfeatures/123B67D527F36A63CA2584A20012C43C?opendocument</w:t>
              </w:r>
              <w:r>
                <w:rPr>
                  <w:noProof/>
                </w:rPr>
                <w:br/>
                <w:t>[Accessed 21 February 2020].</w:t>
              </w:r>
            </w:p>
            <w:p w14:paraId="392B4B96" w14:textId="77777777" w:rsidR="00E83F6E" w:rsidRDefault="00E83F6E" w:rsidP="00E83F6E">
              <w:pPr>
                <w:pStyle w:val="Bibliography"/>
                <w:rPr>
                  <w:noProof/>
                </w:rPr>
              </w:pPr>
              <w:r>
                <w:rPr>
                  <w:noProof/>
                </w:rPr>
                <w:t xml:space="preserve">ABS, 2018f. </w:t>
              </w:r>
              <w:r>
                <w:rPr>
                  <w:i/>
                  <w:iCs/>
                  <w:noProof/>
                </w:rPr>
                <w:t xml:space="preserve">Microdata: Household Expenditure, Income and Housing, 2015-16, cat. no. 6540.0. </w:t>
              </w:r>
              <w:r>
                <w:rPr>
                  <w:noProof/>
                </w:rPr>
                <w:t xml:space="preserve">[Online] </w:t>
              </w:r>
              <w:r>
                <w:rPr>
                  <w:noProof/>
                </w:rPr>
                <w:br/>
                <w:t xml:space="preserve">Available at: </w:t>
              </w:r>
              <w:r>
                <w:rPr>
                  <w:noProof/>
                  <w:u w:val="single"/>
                </w:rPr>
                <w:t>https://www.abs.gov.au/AUSSTATS/abs@.nsf/Lookup/6540.0Main+Features32015-16?OpenDocument</w:t>
              </w:r>
              <w:r>
                <w:rPr>
                  <w:noProof/>
                </w:rPr>
                <w:br/>
                <w:t>[Accessed 3 July 2020].</w:t>
              </w:r>
            </w:p>
            <w:p w14:paraId="4CFF8EC3" w14:textId="77777777" w:rsidR="00E83F6E" w:rsidRDefault="00E83F6E" w:rsidP="00E83F6E">
              <w:pPr>
                <w:pStyle w:val="Bibliography"/>
                <w:rPr>
                  <w:noProof/>
                </w:rPr>
              </w:pPr>
              <w:r>
                <w:rPr>
                  <w:noProof/>
                </w:rPr>
                <w:t xml:space="preserve">ABS, 2018g. </w:t>
              </w:r>
              <w:r>
                <w:rPr>
                  <w:i/>
                  <w:iCs/>
                  <w:noProof/>
                </w:rPr>
                <w:t xml:space="preserve">Population Projections, Australia, 2017 (base) - 2066, cat. no. 3222.0. </w:t>
              </w:r>
              <w:r>
                <w:rPr>
                  <w:noProof/>
                </w:rPr>
                <w:t xml:space="preserve">[Online] </w:t>
              </w:r>
              <w:r>
                <w:rPr>
                  <w:noProof/>
                </w:rPr>
                <w:br/>
                <w:t xml:space="preserve">Available at: </w:t>
              </w:r>
              <w:r>
                <w:rPr>
                  <w:noProof/>
                  <w:u w:val="single"/>
                </w:rPr>
                <w:t>https://www.abs.gov.au/AUSSTATS/abs@.nsf/DetailsPage/3222.02017%20(base)%20-%202066?OpenDocument</w:t>
              </w:r>
              <w:r>
                <w:rPr>
                  <w:noProof/>
                </w:rPr>
                <w:br/>
                <w:t>[Accessed 10 February 2020].</w:t>
              </w:r>
            </w:p>
            <w:p w14:paraId="03149D72" w14:textId="77777777" w:rsidR="00E83F6E" w:rsidRDefault="00E83F6E" w:rsidP="00E83F6E">
              <w:pPr>
                <w:pStyle w:val="Bibliography"/>
                <w:rPr>
                  <w:noProof/>
                </w:rPr>
              </w:pPr>
              <w:r>
                <w:rPr>
                  <w:noProof/>
                </w:rPr>
                <w:t xml:space="preserve">ABS, 2019a. </w:t>
              </w:r>
              <w:r>
                <w:rPr>
                  <w:i/>
                  <w:iCs/>
                  <w:noProof/>
                </w:rPr>
                <w:t xml:space="preserve">ANZSCO - Australian and New Zealand Standard Classification of Occupations, 2013, Version 1.3, cat. no. 1220.0. </w:t>
              </w:r>
              <w:r>
                <w:rPr>
                  <w:noProof/>
                </w:rPr>
                <w:t xml:space="preserve">[Online] </w:t>
              </w:r>
              <w:r>
                <w:rPr>
                  <w:noProof/>
                </w:rPr>
                <w:br/>
                <w:t xml:space="preserve">Available at: </w:t>
              </w:r>
              <w:r>
                <w:rPr>
                  <w:noProof/>
                  <w:u w:val="single"/>
                </w:rPr>
                <w:t>https://www.abs.gov.au/AUSSTATS/abs@.nsf/DetailsPage/1220.02013,%20Version%201.3?OpenDocument</w:t>
              </w:r>
              <w:r>
                <w:rPr>
                  <w:noProof/>
                </w:rPr>
                <w:br/>
                <w:t>[Accessed 10 April 2020].</w:t>
              </w:r>
            </w:p>
            <w:p w14:paraId="48E8C048" w14:textId="77777777" w:rsidR="00E83F6E" w:rsidRDefault="00E83F6E" w:rsidP="00E83F6E">
              <w:pPr>
                <w:pStyle w:val="Bibliography"/>
                <w:rPr>
                  <w:noProof/>
                </w:rPr>
              </w:pPr>
              <w:r>
                <w:rPr>
                  <w:noProof/>
                </w:rPr>
                <w:t xml:space="preserve">ABS, 2019b. </w:t>
              </w:r>
              <w:r>
                <w:rPr>
                  <w:i/>
                  <w:iCs/>
                  <w:noProof/>
                </w:rPr>
                <w:t xml:space="preserve">Australian Demographic Statistics, Jun 2019, cat. no. 3101.0. </w:t>
              </w:r>
              <w:r>
                <w:rPr>
                  <w:noProof/>
                </w:rPr>
                <w:t xml:space="preserve">[Online] </w:t>
              </w:r>
              <w:r>
                <w:rPr>
                  <w:noProof/>
                </w:rPr>
                <w:br/>
                <w:t xml:space="preserve">Available at: </w:t>
              </w:r>
              <w:r>
                <w:rPr>
                  <w:noProof/>
                  <w:u w:val="single"/>
                </w:rPr>
                <w:t>https://www.abs.gov.au/AUSSTATS/abs@.nsf/Lookup/3101.0Main+Features1Jun%202019?OpenDocument</w:t>
              </w:r>
              <w:r>
                <w:rPr>
                  <w:noProof/>
                </w:rPr>
                <w:br/>
                <w:t>[Accessed 4 February 2020].</w:t>
              </w:r>
            </w:p>
            <w:p w14:paraId="242567E5" w14:textId="77777777" w:rsidR="00E83F6E" w:rsidRDefault="00E83F6E" w:rsidP="00E83F6E">
              <w:pPr>
                <w:pStyle w:val="Bibliography"/>
                <w:rPr>
                  <w:noProof/>
                </w:rPr>
              </w:pPr>
              <w:r>
                <w:rPr>
                  <w:noProof/>
                </w:rPr>
                <w:t xml:space="preserve">ABS, 2019c. </w:t>
              </w:r>
              <w:r>
                <w:rPr>
                  <w:i/>
                  <w:iCs/>
                  <w:noProof/>
                </w:rPr>
                <w:t xml:space="preserve">Australian Historical Population Statistics, 2016, cat. no. 3105.0.65.001. </w:t>
              </w:r>
              <w:r>
                <w:rPr>
                  <w:noProof/>
                </w:rPr>
                <w:t xml:space="preserve">[Online] </w:t>
              </w:r>
              <w:r>
                <w:rPr>
                  <w:noProof/>
                </w:rPr>
                <w:br/>
                <w:t xml:space="preserve">Available at: </w:t>
              </w:r>
              <w:r>
                <w:rPr>
                  <w:noProof/>
                  <w:u w:val="single"/>
                </w:rPr>
                <w:t>https://www.abs.gov.au/AUSSTATS/abs@.nsf/mf/3105.0.65.001</w:t>
              </w:r>
              <w:r>
                <w:rPr>
                  <w:noProof/>
                </w:rPr>
                <w:br/>
                <w:t>[Accessed 10 February 2020].</w:t>
              </w:r>
            </w:p>
            <w:p w14:paraId="4A0F8F96" w14:textId="77777777" w:rsidR="00E83F6E" w:rsidRDefault="00E83F6E" w:rsidP="00E83F6E">
              <w:pPr>
                <w:pStyle w:val="Bibliography"/>
                <w:rPr>
                  <w:noProof/>
                </w:rPr>
              </w:pPr>
              <w:r>
                <w:rPr>
                  <w:noProof/>
                </w:rPr>
                <w:t xml:space="preserve">ABS, 2019d. </w:t>
              </w:r>
              <w:r>
                <w:rPr>
                  <w:i/>
                  <w:iCs/>
                  <w:noProof/>
                </w:rPr>
                <w:t xml:space="preserve">Australian National Accounts: National Income, Expenditure and Product, Sep 2019, cat. no. 5206.0. </w:t>
              </w:r>
              <w:r>
                <w:rPr>
                  <w:noProof/>
                </w:rPr>
                <w:t xml:space="preserve">[Online] </w:t>
              </w:r>
              <w:r>
                <w:rPr>
                  <w:noProof/>
                </w:rPr>
                <w:br/>
                <w:t xml:space="preserve">Available at: </w:t>
              </w:r>
              <w:r>
                <w:rPr>
                  <w:noProof/>
                  <w:u w:val="single"/>
                </w:rPr>
                <w:t>https://www.abs.gov.au/AUSSTATS/abs@.nsf/allprimarymainfeatures/A8B6127A1F11485ACA258520000C23B9?opendocument</w:t>
              </w:r>
              <w:r>
                <w:rPr>
                  <w:noProof/>
                </w:rPr>
                <w:br/>
                <w:t>[Accessed 18 March 2020].</w:t>
              </w:r>
            </w:p>
            <w:p w14:paraId="52044DB3" w14:textId="77777777" w:rsidR="00E83F6E" w:rsidRDefault="00E83F6E" w:rsidP="00E83F6E">
              <w:pPr>
                <w:pStyle w:val="Bibliography"/>
                <w:rPr>
                  <w:noProof/>
                </w:rPr>
              </w:pPr>
              <w:r>
                <w:rPr>
                  <w:noProof/>
                </w:rPr>
                <w:t xml:space="preserve">ABS, 2019e. </w:t>
              </w:r>
              <w:r>
                <w:rPr>
                  <w:i/>
                  <w:iCs/>
                  <w:noProof/>
                </w:rPr>
                <w:t xml:space="preserve">Births, 2018, cat. no. 3301.0. </w:t>
              </w:r>
              <w:r>
                <w:rPr>
                  <w:noProof/>
                </w:rPr>
                <w:t xml:space="preserve">[Online] </w:t>
              </w:r>
              <w:r>
                <w:rPr>
                  <w:noProof/>
                </w:rPr>
                <w:br/>
                <w:t xml:space="preserve">Available at: </w:t>
              </w:r>
              <w:r>
                <w:rPr>
                  <w:noProof/>
                  <w:u w:val="single"/>
                </w:rPr>
                <w:t>https://www.abs.gov.au/ausstats/abs@.nsf/PrimaryMainFeatures/3301.0?OpenDocument</w:t>
              </w:r>
              <w:r>
                <w:rPr>
                  <w:noProof/>
                </w:rPr>
                <w:br/>
                <w:t>[Accessed 24 April 2020].</w:t>
              </w:r>
            </w:p>
            <w:p w14:paraId="0A25AE90" w14:textId="77777777" w:rsidR="00E83F6E" w:rsidRDefault="00E83F6E" w:rsidP="00E83F6E">
              <w:pPr>
                <w:pStyle w:val="Bibliography"/>
                <w:rPr>
                  <w:noProof/>
                </w:rPr>
              </w:pPr>
              <w:r>
                <w:rPr>
                  <w:noProof/>
                </w:rPr>
                <w:t xml:space="preserve">ABS, 2019f. </w:t>
              </w:r>
              <w:r>
                <w:rPr>
                  <w:i/>
                  <w:iCs/>
                  <w:noProof/>
                </w:rPr>
                <w:t xml:space="preserve">Characteristics of Employment, Australia, August 2019, cat. no. 6333.0. </w:t>
              </w:r>
              <w:r>
                <w:rPr>
                  <w:noProof/>
                </w:rPr>
                <w:t xml:space="preserve">[Online] </w:t>
              </w:r>
              <w:r>
                <w:rPr>
                  <w:noProof/>
                </w:rPr>
                <w:br/>
                <w:t xml:space="preserve">Available at: </w:t>
              </w:r>
              <w:r>
                <w:rPr>
                  <w:noProof/>
                  <w:u w:val="single"/>
                </w:rPr>
                <w:t>https://www.abs.gov.au/AUSSTATS/abs@.nsf/DetailsPage/6333.0August%202019?OpenDocument</w:t>
              </w:r>
              <w:r>
                <w:rPr>
                  <w:noProof/>
                </w:rPr>
                <w:br/>
                <w:t>[Accessed 10 February 2020].</w:t>
              </w:r>
            </w:p>
            <w:p w14:paraId="62A67851" w14:textId="77777777" w:rsidR="00E83F6E" w:rsidRDefault="00E83F6E" w:rsidP="00E83F6E">
              <w:pPr>
                <w:pStyle w:val="Bibliography"/>
                <w:rPr>
                  <w:noProof/>
                </w:rPr>
              </w:pPr>
              <w:r>
                <w:rPr>
                  <w:noProof/>
                </w:rPr>
                <w:t xml:space="preserve">ABS, 2019g. </w:t>
              </w:r>
              <w:r>
                <w:rPr>
                  <w:i/>
                  <w:iCs/>
                  <w:noProof/>
                </w:rPr>
                <w:t xml:space="preserve">Disability, Ageing and Carers, Australia, 2018, cat. no 4430.0. </w:t>
              </w:r>
              <w:r>
                <w:rPr>
                  <w:noProof/>
                </w:rPr>
                <w:t xml:space="preserve">[Online] </w:t>
              </w:r>
              <w:r>
                <w:rPr>
                  <w:noProof/>
                </w:rPr>
                <w:br/>
                <w:t xml:space="preserve">Available at: </w:t>
              </w:r>
              <w:r>
                <w:rPr>
                  <w:noProof/>
                  <w:u w:val="single"/>
                </w:rPr>
                <w:t>https://www.abs.gov.au/ausstats/abs@.nsf/mf/4430.0</w:t>
              </w:r>
              <w:r>
                <w:rPr>
                  <w:noProof/>
                </w:rPr>
                <w:br/>
                <w:t>[Accessed 10 December 2019].</w:t>
              </w:r>
            </w:p>
            <w:p w14:paraId="2762A97F" w14:textId="77777777" w:rsidR="00E83F6E" w:rsidRDefault="00E83F6E" w:rsidP="00E83F6E">
              <w:pPr>
                <w:pStyle w:val="Bibliography"/>
                <w:rPr>
                  <w:noProof/>
                </w:rPr>
              </w:pPr>
              <w:r>
                <w:rPr>
                  <w:noProof/>
                </w:rPr>
                <w:t xml:space="preserve">ABS, 2019h. </w:t>
              </w:r>
              <w:r>
                <w:rPr>
                  <w:i/>
                  <w:iCs/>
                  <w:noProof/>
                </w:rPr>
                <w:t xml:space="preserve">Employee Earnings and Hours, Australia, May 2018, cat. no. 6306.0. </w:t>
              </w:r>
              <w:r>
                <w:rPr>
                  <w:noProof/>
                </w:rPr>
                <w:t xml:space="preserve">[Online] </w:t>
              </w:r>
              <w:r>
                <w:rPr>
                  <w:noProof/>
                </w:rPr>
                <w:br/>
                <w:t xml:space="preserve">Available at: </w:t>
              </w:r>
              <w:r>
                <w:rPr>
                  <w:noProof/>
                  <w:u w:val="single"/>
                </w:rPr>
                <w:t>https://www.abs.gov.au/AUSSTATS/abs@.nsf/second+level+view?ReadForm&amp;prodno=6306.0&amp;viewtitle=Employee%20Earnings%20and%20Hours,%20Australia~May%202018~Latest~22/01/2019&amp;&amp;tabname=Past%20Future%20Issues&amp;prodno=6306.0&amp;issue=May%202018&amp;num=&amp;view=&amp;</w:t>
              </w:r>
              <w:r>
                <w:rPr>
                  <w:noProof/>
                </w:rPr>
                <w:br/>
                <w:t>[Accessed 11 February 2020].</w:t>
              </w:r>
            </w:p>
            <w:p w14:paraId="0F0D4076" w14:textId="77777777" w:rsidR="00E83F6E" w:rsidRDefault="00E83F6E" w:rsidP="00E83F6E">
              <w:pPr>
                <w:pStyle w:val="Bibliography"/>
                <w:rPr>
                  <w:noProof/>
                </w:rPr>
              </w:pPr>
              <w:r>
                <w:rPr>
                  <w:noProof/>
                </w:rPr>
                <w:t xml:space="preserve">ABS, 2019i. </w:t>
              </w:r>
              <w:r>
                <w:rPr>
                  <w:i/>
                  <w:iCs/>
                  <w:noProof/>
                </w:rPr>
                <w:t xml:space="preserve">Estimates of Aboriginal and Torres Strait Islander Australians, June 2016 cat. no. 3238.0.55.001. </w:t>
              </w:r>
              <w:r>
                <w:rPr>
                  <w:noProof/>
                </w:rPr>
                <w:t xml:space="preserve">[Online] </w:t>
              </w:r>
              <w:r>
                <w:rPr>
                  <w:noProof/>
                </w:rPr>
                <w:br/>
                <w:t xml:space="preserve">Available at: </w:t>
              </w:r>
              <w:r>
                <w:rPr>
                  <w:noProof/>
                  <w:u w:val="single"/>
                </w:rPr>
                <w:t>https://www.abs.gov.au/AUSSTATS/abs@.nsf/DetailsPage/3238.0.55.001June%202016?OpenDocument</w:t>
              </w:r>
              <w:r>
                <w:rPr>
                  <w:noProof/>
                </w:rPr>
                <w:br/>
                <w:t>[Accessed 29 June 2020].</w:t>
              </w:r>
            </w:p>
            <w:p w14:paraId="0A6EA1BF" w14:textId="77777777" w:rsidR="00E83F6E" w:rsidRDefault="00E83F6E" w:rsidP="00E83F6E">
              <w:pPr>
                <w:pStyle w:val="Bibliography"/>
                <w:rPr>
                  <w:noProof/>
                </w:rPr>
              </w:pPr>
              <w:r>
                <w:rPr>
                  <w:noProof/>
                </w:rPr>
                <w:t xml:space="preserve">ABS, 2019j. </w:t>
              </w:r>
              <w:r>
                <w:rPr>
                  <w:i/>
                  <w:iCs/>
                  <w:noProof/>
                </w:rPr>
                <w:t xml:space="preserve">Gender Indicators, Australia, Nov 2019, cat. no. 4125.0. </w:t>
              </w:r>
              <w:r>
                <w:rPr>
                  <w:noProof/>
                </w:rPr>
                <w:t xml:space="preserve">[Online] </w:t>
              </w:r>
              <w:r>
                <w:rPr>
                  <w:noProof/>
                </w:rPr>
                <w:br/>
                <w:t xml:space="preserve">Available at: </w:t>
              </w:r>
              <w:r>
                <w:rPr>
                  <w:noProof/>
                  <w:u w:val="single"/>
                </w:rPr>
                <w:t>https://www.abs.gov.au/AUSSTATS/abs@.nsf/DetailsPage/4125.0Nov%202019?OpenDocument</w:t>
              </w:r>
              <w:r>
                <w:rPr>
                  <w:noProof/>
                </w:rPr>
                <w:br/>
                <w:t>[Accessed 16 December 2019].</w:t>
              </w:r>
            </w:p>
            <w:p w14:paraId="513FDCAD" w14:textId="77777777" w:rsidR="00E83F6E" w:rsidRDefault="00E83F6E" w:rsidP="00E83F6E">
              <w:pPr>
                <w:pStyle w:val="Bibliography"/>
                <w:rPr>
                  <w:noProof/>
                </w:rPr>
              </w:pPr>
              <w:r>
                <w:rPr>
                  <w:noProof/>
                </w:rPr>
                <w:t xml:space="preserve">ABS, 2019k. </w:t>
              </w:r>
              <w:r>
                <w:rPr>
                  <w:i/>
                  <w:iCs/>
                  <w:noProof/>
                </w:rPr>
                <w:t xml:space="preserve">Household Income and Wealth, Australia, 2017-18, cat. no. 6523.0. </w:t>
              </w:r>
              <w:r>
                <w:rPr>
                  <w:noProof/>
                </w:rPr>
                <w:t xml:space="preserve">[Online] </w:t>
              </w:r>
              <w:r>
                <w:rPr>
                  <w:noProof/>
                </w:rPr>
                <w:br/>
                <w:t xml:space="preserve">Available at: </w:t>
              </w:r>
              <w:r>
                <w:rPr>
                  <w:noProof/>
                  <w:u w:val="single"/>
                </w:rPr>
                <w:t>https://www.abs.gov.au/ausstats/abs@.nsf/Lookup/by%20Subject/6523.0~2017-18~Main%20Features~Key%20Findings~1</w:t>
              </w:r>
              <w:r>
                <w:rPr>
                  <w:noProof/>
                </w:rPr>
                <w:br/>
                <w:t>[Accessed 13 December 2019].</w:t>
              </w:r>
            </w:p>
            <w:p w14:paraId="1A01ACD8" w14:textId="77777777" w:rsidR="00E83F6E" w:rsidRDefault="00E83F6E" w:rsidP="00E83F6E">
              <w:pPr>
                <w:pStyle w:val="Bibliography"/>
                <w:rPr>
                  <w:noProof/>
                </w:rPr>
              </w:pPr>
              <w:r>
                <w:rPr>
                  <w:noProof/>
                </w:rPr>
                <w:t xml:space="preserve">ABS, 2019n. </w:t>
              </w:r>
              <w:r>
                <w:rPr>
                  <w:i/>
                  <w:iCs/>
                  <w:noProof/>
                </w:rPr>
                <w:t xml:space="preserve">Housing Occupancy and Costs, 2017-18, cat. no. 4130.0. </w:t>
              </w:r>
              <w:r>
                <w:rPr>
                  <w:noProof/>
                </w:rPr>
                <w:t xml:space="preserve">[Online] </w:t>
              </w:r>
              <w:r>
                <w:rPr>
                  <w:noProof/>
                </w:rPr>
                <w:br/>
                <w:t xml:space="preserve">Available at: </w:t>
              </w:r>
              <w:r>
                <w:rPr>
                  <w:noProof/>
                  <w:u w:val="single"/>
                </w:rPr>
                <w:t>https://www.abs.gov.au/AUSSTATS/abs@.nsf/Lookup/4130.0Explanatory%20Notes12017-18?OpenDocument</w:t>
              </w:r>
              <w:r>
                <w:rPr>
                  <w:noProof/>
                </w:rPr>
                <w:br/>
                <w:t>[Accessed 18 May 2020].</w:t>
              </w:r>
            </w:p>
            <w:p w14:paraId="4D50A5B2" w14:textId="77777777" w:rsidR="00E83F6E" w:rsidRDefault="00E83F6E" w:rsidP="00E83F6E">
              <w:pPr>
                <w:pStyle w:val="Bibliography"/>
                <w:rPr>
                  <w:noProof/>
                </w:rPr>
              </w:pPr>
              <w:r>
                <w:rPr>
                  <w:noProof/>
                </w:rPr>
                <w:t xml:space="preserve">ABS, 2019q. </w:t>
              </w:r>
              <w:r>
                <w:rPr>
                  <w:i/>
                  <w:iCs/>
                  <w:noProof/>
                </w:rPr>
                <w:t xml:space="preserve">Marriages and Divorces, Australia, 2018, cat. no. 3310.0. </w:t>
              </w:r>
              <w:r>
                <w:rPr>
                  <w:noProof/>
                </w:rPr>
                <w:t xml:space="preserve">[Online] </w:t>
              </w:r>
              <w:r>
                <w:rPr>
                  <w:noProof/>
                </w:rPr>
                <w:br/>
                <w:t xml:space="preserve">Available at: </w:t>
              </w:r>
              <w:r>
                <w:rPr>
                  <w:noProof/>
                  <w:u w:val="single"/>
                </w:rPr>
                <w:t>https://www.abs.gov.au/AUSSTATS/abs@.nsf/DetailsPage/3310.02018?OpenDocument</w:t>
              </w:r>
              <w:r>
                <w:rPr>
                  <w:noProof/>
                </w:rPr>
                <w:br/>
                <w:t>[Accessed 10 February 2020].</w:t>
              </w:r>
            </w:p>
            <w:p w14:paraId="29F18597" w14:textId="77777777" w:rsidR="00E83F6E" w:rsidRDefault="00E83F6E" w:rsidP="00E83F6E">
              <w:pPr>
                <w:pStyle w:val="Bibliography"/>
                <w:rPr>
                  <w:noProof/>
                </w:rPr>
              </w:pPr>
              <w:r>
                <w:rPr>
                  <w:noProof/>
                </w:rPr>
                <w:t xml:space="preserve">ABS, 2019r. </w:t>
              </w:r>
              <w:r>
                <w:rPr>
                  <w:i/>
                  <w:iCs/>
                  <w:noProof/>
                </w:rPr>
                <w:t xml:space="preserve">Participation, Job Search and Mobility, Australia, Feb 2019, cat. no. 6226.0. </w:t>
              </w:r>
              <w:r>
                <w:rPr>
                  <w:noProof/>
                </w:rPr>
                <w:t xml:space="preserve">[Online] </w:t>
              </w:r>
              <w:r>
                <w:rPr>
                  <w:noProof/>
                </w:rPr>
                <w:br/>
                <w:t xml:space="preserve">Available at: </w:t>
              </w:r>
              <w:r>
                <w:rPr>
                  <w:noProof/>
                  <w:u w:val="single"/>
                </w:rPr>
                <w:t>https://www.abs.gov.au/Ausstats/abs@.nsf/0/6A38AB9379F0EFF9CA257FD8001293DE?OpenDocument</w:t>
              </w:r>
              <w:r>
                <w:rPr>
                  <w:noProof/>
                </w:rPr>
                <w:br/>
                <w:t>[Accessed 18 March 2020].</w:t>
              </w:r>
            </w:p>
            <w:p w14:paraId="319EC939" w14:textId="77777777" w:rsidR="00E83F6E" w:rsidRDefault="00E83F6E" w:rsidP="00E83F6E">
              <w:pPr>
                <w:pStyle w:val="Bibliography"/>
                <w:rPr>
                  <w:noProof/>
                </w:rPr>
              </w:pPr>
              <w:r>
                <w:rPr>
                  <w:noProof/>
                </w:rPr>
                <w:t xml:space="preserve">ABS, 2019s. </w:t>
              </w:r>
              <w:r>
                <w:rPr>
                  <w:i/>
                  <w:iCs/>
                  <w:noProof/>
                </w:rPr>
                <w:t xml:space="preserve">Survey of Income and Housing, Australia, 2017-18, cat. no. 6553.0. </w:t>
              </w:r>
              <w:r>
                <w:rPr>
                  <w:noProof/>
                </w:rPr>
                <w:t xml:space="preserve">[Online] </w:t>
              </w:r>
              <w:r>
                <w:rPr>
                  <w:noProof/>
                </w:rPr>
                <w:br/>
                <w:t xml:space="preserve">Available at: </w:t>
              </w:r>
              <w:r>
                <w:rPr>
                  <w:noProof/>
                  <w:u w:val="single"/>
                </w:rPr>
                <w:t>https://www.abs.gov.au/ausstats/abs@.nsf/mf/6553.0</w:t>
              </w:r>
              <w:r>
                <w:rPr>
                  <w:noProof/>
                </w:rPr>
                <w:br/>
                <w:t>[Accessed 18 November 2019].</w:t>
              </w:r>
            </w:p>
            <w:p w14:paraId="339A619B" w14:textId="77777777" w:rsidR="00E83F6E" w:rsidRDefault="00E83F6E" w:rsidP="00E83F6E">
              <w:pPr>
                <w:pStyle w:val="Bibliography"/>
                <w:rPr>
                  <w:noProof/>
                </w:rPr>
              </w:pPr>
              <w:r>
                <w:rPr>
                  <w:noProof/>
                </w:rPr>
                <w:t xml:space="preserve">ABS, 2020a. </w:t>
              </w:r>
              <w:r>
                <w:rPr>
                  <w:i/>
                  <w:iCs/>
                  <w:noProof/>
                </w:rPr>
                <w:t xml:space="preserve">Australian National Accounts: Finance and Wealth, Mar 2020, cat. no. 5232.0. </w:t>
              </w:r>
              <w:r>
                <w:rPr>
                  <w:noProof/>
                </w:rPr>
                <w:t xml:space="preserve">[Online] </w:t>
              </w:r>
              <w:r>
                <w:rPr>
                  <w:noProof/>
                </w:rPr>
                <w:br/>
                <w:t xml:space="preserve">Available at: </w:t>
              </w:r>
              <w:r>
                <w:rPr>
                  <w:noProof/>
                  <w:u w:val="single"/>
                </w:rPr>
                <w:t>https://www.abs.gov.au/AUSSTATS/abs@.nsf/allprimarymainfeatures/F667A926CE831C21CA257695001CB7E3?opendocument</w:t>
              </w:r>
              <w:r>
                <w:rPr>
                  <w:noProof/>
                </w:rPr>
                <w:br/>
                <w:t>[Accessed 3 July 2020].</w:t>
              </w:r>
            </w:p>
            <w:p w14:paraId="449F3F3D" w14:textId="77777777" w:rsidR="00E83F6E" w:rsidRDefault="00E83F6E" w:rsidP="00E83F6E">
              <w:pPr>
                <w:pStyle w:val="Bibliography"/>
                <w:rPr>
                  <w:noProof/>
                </w:rPr>
              </w:pPr>
              <w:r>
                <w:rPr>
                  <w:noProof/>
                </w:rPr>
                <w:t xml:space="preserve">ABS, 2020b. </w:t>
              </w:r>
              <w:r>
                <w:rPr>
                  <w:i/>
                  <w:iCs/>
                  <w:noProof/>
                </w:rPr>
                <w:t xml:space="preserve">Australian National Accounts: National Income, Expenditure and Product, Mar 2020, cat. no. 5206.0. </w:t>
              </w:r>
              <w:r>
                <w:rPr>
                  <w:noProof/>
                </w:rPr>
                <w:t xml:space="preserve">[Online] </w:t>
              </w:r>
              <w:r>
                <w:rPr>
                  <w:noProof/>
                </w:rPr>
                <w:br/>
                <w:t xml:space="preserve">Available at: </w:t>
              </w:r>
              <w:r>
                <w:rPr>
                  <w:noProof/>
                  <w:u w:val="single"/>
                </w:rPr>
                <w:t>https://www.abs.gov.au/AUSSTATS/abs@.nsf/DetailsPage/5206.0Mar%202020?OpenDocument</w:t>
              </w:r>
              <w:r>
                <w:rPr>
                  <w:noProof/>
                </w:rPr>
                <w:br/>
                <w:t>[Accessed 3 July 2020].</w:t>
              </w:r>
            </w:p>
            <w:p w14:paraId="2C49EF63" w14:textId="77777777" w:rsidR="00E83F6E" w:rsidRDefault="00E83F6E" w:rsidP="00E83F6E">
              <w:pPr>
                <w:pStyle w:val="Bibliography"/>
                <w:rPr>
                  <w:noProof/>
                </w:rPr>
              </w:pPr>
              <w:r>
                <w:rPr>
                  <w:noProof/>
                </w:rPr>
                <w:t xml:space="preserve">ABS, 2020c. </w:t>
              </w:r>
              <w:r>
                <w:rPr>
                  <w:i/>
                  <w:iCs/>
                  <w:noProof/>
                </w:rPr>
                <w:t xml:space="preserve">Australian National Accounts: National Income, Expenditure and Product, Dec 2019, cat. no. 5206.0. </w:t>
              </w:r>
              <w:r>
                <w:rPr>
                  <w:noProof/>
                </w:rPr>
                <w:t xml:space="preserve">[Online] </w:t>
              </w:r>
              <w:r>
                <w:rPr>
                  <w:noProof/>
                </w:rPr>
                <w:br/>
                <w:t xml:space="preserve">Available at: </w:t>
              </w:r>
              <w:r>
                <w:rPr>
                  <w:noProof/>
                  <w:u w:val="single"/>
                </w:rPr>
                <w:t>https://www.abs.gov.au/ausstats/abs%40.nsf/mediareleasesbyCatalogue/C9973AC780DDFD3FCA257F690011045C?OpenDocument</w:t>
              </w:r>
              <w:r>
                <w:rPr>
                  <w:noProof/>
                </w:rPr>
                <w:br/>
                <w:t>[Accessed 22 April 2020].</w:t>
              </w:r>
            </w:p>
            <w:p w14:paraId="2B7175D8" w14:textId="77777777" w:rsidR="00E83F6E" w:rsidRDefault="00E83F6E" w:rsidP="00E83F6E">
              <w:pPr>
                <w:pStyle w:val="Bibliography"/>
                <w:rPr>
                  <w:noProof/>
                </w:rPr>
              </w:pPr>
              <w:r>
                <w:rPr>
                  <w:noProof/>
                </w:rPr>
                <w:t xml:space="preserve">ABS, 2020d. </w:t>
              </w:r>
              <w:r>
                <w:rPr>
                  <w:i/>
                  <w:iCs/>
                  <w:noProof/>
                </w:rPr>
                <w:t xml:space="preserve">Average Weekly Earnings, Australia, Nov 2019, cat. no. 6302.0. </w:t>
              </w:r>
              <w:r>
                <w:rPr>
                  <w:noProof/>
                </w:rPr>
                <w:t xml:space="preserve">[Online] </w:t>
              </w:r>
              <w:r>
                <w:rPr>
                  <w:noProof/>
                </w:rPr>
                <w:br/>
                <w:t xml:space="preserve">Available at: </w:t>
              </w:r>
              <w:r>
                <w:rPr>
                  <w:noProof/>
                  <w:u w:val="single"/>
                </w:rPr>
                <w:t>https://www.abs.gov.au/ausstats/abs@.nsf/lookup/6302.0Media%20Release0Nov%202019</w:t>
              </w:r>
              <w:r>
                <w:rPr>
                  <w:noProof/>
                </w:rPr>
                <w:br/>
                <w:t>[Accessed 20 February 2020].</w:t>
              </w:r>
            </w:p>
            <w:p w14:paraId="3AC2A0E2" w14:textId="77777777" w:rsidR="00E83F6E" w:rsidRDefault="00E83F6E" w:rsidP="00E83F6E">
              <w:pPr>
                <w:pStyle w:val="Bibliography"/>
                <w:rPr>
                  <w:noProof/>
                </w:rPr>
              </w:pPr>
              <w:r>
                <w:rPr>
                  <w:noProof/>
                </w:rPr>
                <w:t xml:space="preserve">ABS, 2020e. </w:t>
              </w:r>
              <w:r>
                <w:rPr>
                  <w:i/>
                  <w:iCs/>
                  <w:noProof/>
                </w:rPr>
                <w:t xml:space="preserve">Consumer Price Index, Australia, Dec 2019, cat. no. 6401.0. </w:t>
              </w:r>
              <w:r>
                <w:rPr>
                  <w:noProof/>
                </w:rPr>
                <w:t xml:space="preserve">[Online] </w:t>
              </w:r>
              <w:r>
                <w:rPr>
                  <w:noProof/>
                </w:rPr>
                <w:br/>
                <w:t xml:space="preserve">Available at: </w:t>
              </w:r>
              <w:r>
                <w:rPr>
                  <w:noProof/>
                  <w:u w:val="single"/>
                </w:rPr>
                <w:t>https://www.abs.gov.au/ausstats/abs@.nsf/lookup/6401.0Media%20Release1Dec%202019</w:t>
              </w:r>
              <w:r>
                <w:rPr>
                  <w:noProof/>
                </w:rPr>
                <w:br/>
                <w:t>[Accessed 20 February 2020].</w:t>
              </w:r>
            </w:p>
            <w:p w14:paraId="57A2C788" w14:textId="77777777" w:rsidR="00E83F6E" w:rsidRDefault="00E83F6E" w:rsidP="00E83F6E">
              <w:pPr>
                <w:pStyle w:val="Bibliography"/>
                <w:rPr>
                  <w:noProof/>
                </w:rPr>
              </w:pPr>
              <w:r>
                <w:rPr>
                  <w:noProof/>
                </w:rPr>
                <w:t xml:space="preserve">ABS, 2020f. </w:t>
              </w:r>
              <w:r>
                <w:rPr>
                  <w:i/>
                  <w:iCs/>
                  <w:noProof/>
                </w:rPr>
                <w:t xml:space="preserve">Labour Account Australia, Quarterly Experimental Estimates, December 2019, cat. no. 6150.0.55.003. </w:t>
              </w:r>
              <w:r>
                <w:rPr>
                  <w:noProof/>
                </w:rPr>
                <w:t xml:space="preserve">[Online] </w:t>
              </w:r>
              <w:r>
                <w:rPr>
                  <w:noProof/>
                </w:rPr>
                <w:br/>
                <w:t xml:space="preserve">Available at: </w:t>
              </w:r>
              <w:r>
                <w:rPr>
                  <w:noProof/>
                  <w:u w:val="single"/>
                </w:rPr>
                <w:t>https://www.abs.gov.au/AUSSTATS/abs@.nsf/Lookup/6150.0.55.003Explanatory%20Notes1December%202018?OpenDocument</w:t>
              </w:r>
              <w:r>
                <w:rPr>
                  <w:noProof/>
                </w:rPr>
                <w:br/>
                <w:t>[Accessed 20 March 2020].</w:t>
              </w:r>
            </w:p>
            <w:p w14:paraId="1ACD868C" w14:textId="77777777" w:rsidR="00E83F6E" w:rsidRDefault="00E83F6E" w:rsidP="00E83F6E">
              <w:pPr>
                <w:pStyle w:val="Bibliography"/>
                <w:rPr>
                  <w:noProof/>
                </w:rPr>
              </w:pPr>
              <w:r>
                <w:rPr>
                  <w:noProof/>
                </w:rPr>
                <w:t xml:space="preserve">ABS, 2020g. </w:t>
              </w:r>
              <w:r>
                <w:rPr>
                  <w:i/>
                  <w:iCs/>
                  <w:noProof/>
                </w:rPr>
                <w:t xml:space="preserve">Labour Force, Australia, Detailed - Electronic Delivery, Jan 2020, cat. no. 6291.0.55.001. </w:t>
              </w:r>
              <w:r>
                <w:rPr>
                  <w:noProof/>
                </w:rPr>
                <w:t xml:space="preserve">[Online] </w:t>
              </w:r>
              <w:r>
                <w:rPr>
                  <w:noProof/>
                </w:rPr>
                <w:br/>
                <w:t xml:space="preserve">Available at: </w:t>
              </w:r>
              <w:r>
                <w:rPr>
                  <w:noProof/>
                  <w:u w:val="single"/>
                </w:rPr>
                <w:t>https://www.abs.gov.au/AUSSTATS/abs@.nsf/allprimarymainfeatures/78973101C025B7C3CA2585360017E12E?opendocument</w:t>
              </w:r>
              <w:r>
                <w:rPr>
                  <w:noProof/>
                </w:rPr>
                <w:br/>
                <w:t>[Accessed 20 March 2020].</w:t>
              </w:r>
            </w:p>
            <w:p w14:paraId="59AF700A" w14:textId="77777777" w:rsidR="00E83F6E" w:rsidRDefault="00E83F6E" w:rsidP="00E83F6E">
              <w:pPr>
                <w:pStyle w:val="Bibliography"/>
                <w:rPr>
                  <w:noProof/>
                </w:rPr>
              </w:pPr>
              <w:r>
                <w:rPr>
                  <w:noProof/>
                </w:rPr>
                <w:t xml:space="preserve">ABS, 2020h. </w:t>
              </w:r>
              <w:r>
                <w:rPr>
                  <w:i/>
                  <w:iCs/>
                  <w:noProof/>
                </w:rPr>
                <w:t xml:space="preserve">Labour Force, Australia, Jan 2020, cat. no. 6202.0. </w:t>
              </w:r>
              <w:r>
                <w:rPr>
                  <w:noProof/>
                </w:rPr>
                <w:t xml:space="preserve">[Online] </w:t>
              </w:r>
              <w:r>
                <w:rPr>
                  <w:noProof/>
                </w:rPr>
                <w:br/>
                <w:t xml:space="preserve">Available at: </w:t>
              </w:r>
              <w:r>
                <w:rPr>
                  <w:noProof/>
                  <w:u w:val="single"/>
                </w:rPr>
                <w:t>https://www.abs.gov.au/AUSSTATS/abs@.nsf/allprimarymainfeatures/3FA36ACAA0D90D66CA25852F001E10C4?opendocument</w:t>
              </w:r>
              <w:r>
                <w:rPr>
                  <w:noProof/>
                </w:rPr>
                <w:br/>
                <w:t>[Accessed 2 March 2020].</w:t>
              </w:r>
            </w:p>
            <w:p w14:paraId="3A6A1EE7" w14:textId="77777777" w:rsidR="00E83F6E" w:rsidRDefault="00E83F6E" w:rsidP="00E83F6E">
              <w:pPr>
                <w:pStyle w:val="Bibliography"/>
                <w:rPr>
                  <w:noProof/>
                </w:rPr>
              </w:pPr>
              <w:r>
                <w:rPr>
                  <w:noProof/>
                </w:rPr>
                <w:t xml:space="preserve">ABS, 2020i. </w:t>
              </w:r>
              <w:r>
                <w:rPr>
                  <w:i/>
                  <w:iCs/>
                  <w:noProof/>
                </w:rPr>
                <w:t xml:space="preserve">Labour Force, Australia, Apr 2020, cat. no. 6202.0. </w:t>
              </w:r>
              <w:r>
                <w:rPr>
                  <w:noProof/>
                </w:rPr>
                <w:t xml:space="preserve">[Online] </w:t>
              </w:r>
              <w:r>
                <w:rPr>
                  <w:noProof/>
                </w:rPr>
                <w:br/>
                <w:t xml:space="preserve">Available at: </w:t>
              </w:r>
              <w:r>
                <w:rPr>
                  <w:noProof/>
                  <w:u w:val="single"/>
                </w:rPr>
                <w:t>https://www.abs.gov.au/AUSSTATS/abs@.nsf/DetailsPage/6202.0Apr%202020?OpenDocument</w:t>
              </w:r>
              <w:r>
                <w:rPr>
                  <w:noProof/>
                </w:rPr>
                <w:br/>
                <w:t>[Accessed 14 May 2020].</w:t>
              </w:r>
            </w:p>
            <w:p w14:paraId="143053A5" w14:textId="77777777" w:rsidR="00E83F6E" w:rsidRDefault="00E83F6E" w:rsidP="00E83F6E">
              <w:pPr>
                <w:pStyle w:val="Bibliography"/>
                <w:rPr>
                  <w:noProof/>
                </w:rPr>
              </w:pPr>
              <w:r>
                <w:rPr>
                  <w:noProof/>
                </w:rPr>
                <w:t xml:space="preserve">ABS, 2020j. </w:t>
              </w:r>
              <w:r>
                <w:rPr>
                  <w:i/>
                  <w:iCs/>
                  <w:noProof/>
                </w:rPr>
                <w:t xml:space="preserve">Labour Force, Australia, Detailed - Electronic Delivery, Apr 2020, cat. no. 6291.0.55.001. </w:t>
              </w:r>
              <w:r>
                <w:rPr>
                  <w:noProof/>
                </w:rPr>
                <w:t xml:space="preserve">[Online] </w:t>
              </w:r>
              <w:r>
                <w:rPr>
                  <w:noProof/>
                </w:rPr>
                <w:br/>
                <w:t xml:space="preserve">Available at: </w:t>
              </w:r>
              <w:r>
                <w:rPr>
                  <w:noProof/>
                  <w:u w:val="single"/>
                </w:rPr>
                <w:t>https://www.abs.gov.au/AUSSTATS/abs@.nsf/DetailsPage/6291.0.55.001Apr%202020?OpenDocument</w:t>
              </w:r>
              <w:r>
                <w:rPr>
                  <w:noProof/>
                </w:rPr>
                <w:br/>
                <w:t>[Accessed 25 May 2020].</w:t>
              </w:r>
            </w:p>
            <w:p w14:paraId="1D059E9C" w14:textId="77777777" w:rsidR="00E83F6E" w:rsidRDefault="00E83F6E" w:rsidP="00E83F6E">
              <w:pPr>
                <w:pStyle w:val="Bibliography"/>
                <w:rPr>
                  <w:noProof/>
                </w:rPr>
              </w:pPr>
              <w:r>
                <w:rPr>
                  <w:noProof/>
                </w:rPr>
                <w:t xml:space="preserve">ABS, 2020k. </w:t>
              </w:r>
              <w:r>
                <w:rPr>
                  <w:i/>
                  <w:iCs/>
                  <w:noProof/>
                </w:rPr>
                <w:t xml:space="preserve">Labour Force, Australia, May 2020, cat. no, 6202.0. </w:t>
              </w:r>
              <w:r>
                <w:rPr>
                  <w:noProof/>
                </w:rPr>
                <w:t xml:space="preserve">[Online] </w:t>
              </w:r>
              <w:r>
                <w:rPr>
                  <w:noProof/>
                </w:rPr>
                <w:br/>
                <w:t xml:space="preserve">Available at: </w:t>
              </w:r>
              <w:r>
                <w:rPr>
                  <w:noProof/>
                  <w:u w:val="single"/>
                </w:rPr>
                <w:t>https://www.abs.gov.au/AUSSTATS/abs@.nsf/Lookup/6202.0Main+Features1May%202020?OpenDocument</w:t>
              </w:r>
              <w:r>
                <w:rPr>
                  <w:noProof/>
                </w:rPr>
                <w:br/>
                <w:t>[Accessed 3 July 2020].</w:t>
              </w:r>
            </w:p>
            <w:p w14:paraId="7BA28CF4" w14:textId="77777777" w:rsidR="00E83F6E" w:rsidRDefault="00E83F6E" w:rsidP="00E83F6E">
              <w:pPr>
                <w:pStyle w:val="Bibliography"/>
                <w:rPr>
                  <w:noProof/>
                </w:rPr>
              </w:pPr>
              <w:r>
                <w:rPr>
                  <w:noProof/>
                </w:rPr>
                <w:t xml:space="preserve">ABS, 2020m. </w:t>
              </w:r>
              <w:r>
                <w:rPr>
                  <w:i/>
                  <w:iCs/>
                  <w:noProof/>
                </w:rPr>
                <w:t xml:space="preserve">Migration, Australia, 2018-19, cat. no. 3412.0. </w:t>
              </w:r>
              <w:r>
                <w:rPr>
                  <w:noProof/>
                </w:rPr>
                <w:t xml:space="preserve">[Online] </w:t>
              </w:r>
              <w:r>
                <w:rPr>
                  <w:noProof/>
                </w:rPr>
                <w:br/>
                <w:t xml:space="preserve">Available at: </w:t>
              </w:r>
              <w:r>
                <w:rPr>
                  <w:noProof/>
                  <w:u w:val="single"/>
                </w:rPr>
                <w:t>https://www.abs.gov.au/AUSSTATS/abs@.nsf/Latestproducts/3412.0Main%20Features52018-19?opendocument&amp;tabname=Summary&amp;prodno=3412.0&amp;issue=2018-19&amp;num=&amp;view=</w:t>
              </w:r>
              <w:r>
                <w:rPr>
                  <w:noProof/>
                </w:rPr>
                <w:br/>
                <w:t>[Accessed 8 May 2020].</w:t>
              </w:r>
            </w:p>
            <w:p w14:paraId="26065505" w14:textId="77777777" w:rsidR="00E83F6E" w:rsidRDefault="00E83F6E" w:rsidP="00E83F6E">
              <w:pPr>
                <w:pStyle w:val="Bibliography"/>
                <w:rPr>
                  <w:noProof/>
                </w:rPr>
              </w:pPr>
              <w:r>
                <w:rPr>
                  <w:noProof/>
                </w:rPr>
                <w:t xml:space="preserve">ABS, 2020n. </w:t>
              </w:r>
              <w:r>
                <w:rPr>
                  <w:i/>
                  <w:iCs/>
                  <w:noProof/>
                </w:rPr>
                <w:t xml:space="preserve">Retirement and Retirement Intentions, Australia, 2018-19, cat. no. 6238.0. </w:t>
              </w:r>
              <w:r>
                <w:rPr>
                  <w:noProof/>
                </w:rPr>
                <w:t xml:space="preserve">[Online] </w:t>
              </w:r>
              <w:r>
                <w:rPr>
                  <w:noProof/>
                </w:rPr>
                <w:br/>
                <w:t xml:space="preserve">Available at: </w:t>
              </w:r>
              <w:r>
                <w:rPr>
                  <w:noProof/>
                  <w:u w:val="single"/>
                </w:rPr>
                <w:t>https://www.abs.gov.au/AUSSTATS/abs@.nsf/Lookup/6238.0Main+Features12018-19?OpenDocument</w:t>
              </w:r>
              <w:r>
                <w:rPr>
                  <w:noProof/>
                </w:rPr>
                <w:br/>
                <w:t>[Accessed 25 May 2020].</w:t>
              </w:r>
            </w:p>
            <w:p w14:paraId="5BF85557" w14:textId="77777777" w:rsidR="00E83F6E" w:rsidRDefault="00E83F6E" w:rsidP="00E83F6E">
              <w:pPr>
                <w:pStyle w:val="Bibliography"/>
                <w:rPr>
                  <w:noProof/>
                </w:rPr>
              </w:pPr>
              <w:r>
                <w:rPr>
                  <w:noProof/>
                </w:rPr>
                <w:t xml:space="preserve">ABS, 2020p. </w:t>
              </w:r>
              <w:r>
                <w:rPr>
                  <w:i/>
                  <w:iCs/>
                  <w:noProof/>
                </w:rPr>
                <w:t xml:space="preserve">Retirement and Retirement Intentions, Australia, 2018-19, cat. no. 6238.0, </w:t>
              </w:r>
              <w:r>
                <w:rPr>
                  <w:noProof/>
                </w:rPr>
                <w:t>s.l.: TableBuilder. Findings based on use of ABS TableBuilder data.</w:t>
              </w:r>
            </w:p>
            <w:p w14:paraId="60EED11B" w14:textId="77777777" w:rsidR="00E83F6E" w:rsidRDefault="00E83F6E" w:rsidP="00E83F6E">
              <w:pPr>
                <w:pStyle w:val="Bibliography"/>
                <w:rPr>
                  <w:noProof/>
                </w:rPr>
              </w:pPr>
              <w:r>
                <w:rPr>
                  <w:noProof/>
                </w:rPr>
                <w:t xml:space="preserve">ABS, 2020q. </w:t>
              </w:r>
              <w:r>
                <w:rPr>
                  <w:i/>
                  <w:iCs/>
                  <w:noProof/>
                </w:rPr>
                <w:t xml:space="preserve">Selected Living Cost Indexes, Australia, Dec 2019, cat. no. 6467.0. </w:t>
              </w:r>
              <w:r>
                <w:rPr>
                  <w:noProof/>
                </w:rPr>
                <w:t xml:space="preserve">[Online] </w:t>
              </w:r>
              <w:r>
                <w:rPr>
                  <w:noProof/>
                </w:rPr>
                <w:br/>
                <w:t xml:space="preserve">Available at: </w:t>
              </w:r>
              <w:r>
                <w:rPr>
                  <w:noProof/>
                  <w:u w:val="single"/>
                </w:rPr>
                <w:t>https://www.abs.gov.au/AUSSTATS/abs@.nsf/allprimarymainfeatures/8A87AA80C7CE5445CA25855F00211B90?opendocument</w:t>
              </w:r>
              <w:r>
                <w:rPr>
                  <w:noProof/>
                </w:rPr>
                <w:br/>
                <w:t>[Accessed 18 March 2020].</w:t>
              </w:r>
            </w:p>
            <w:p w14:paraId="44D8E53B" w14:textId="77777777" w:rsidR="00E83F6E" w:rsidRDefault="00E83F6E" w:rsidP="00E83F6E">
              <w:pPr>
                <w:pStyle w:val="Bibliography"/>
                <w:rPr>
                  <w:noProof/>
                </w:rPr>
              </w:pPr>
              <w:r>
                <w:rPr>
                  <w:noProof/>
                </w:rPr>
                <w:t xml:space="preserve">Actuaries Institute, 2018. </w:t>
              </w:r>
              <w:r>
                <w:rPr>
                  <w:i/>
                  <w:iCs/>
                  <w:noProof/>
                </w:rPr>
                <w:t xml:space="preserve">Practice Guideline 499.02 Projected Retirement Benefit Illustrations. </w:t>
              </w:r>
              <w:r>
                <w:rPr>
                  <w:noProof/>
                </w:rPr>
                <w:t xml:space="preserve">[Online] </w:t>
              </w:r>
              <w:r>
                <w:rPr>
                  <w:noProof/>
                </w:rPr>
                <w:br/>
                <w:t xml:space="preserve">Available at: </w:t>
              </w:r>
              <w:r>
                <w:rPr>
                  <w:noProof/>
                  <w:u w:val="single"/>
                </w:rPr>
                <w:t>https://www.actuaries.asn.au/Library/Standards/SuperannuationEmployeeBenefits/2017/PG49902Jan18.pdf</w:t>
              </w:r>
              <w:r>
                <w:rPr>
                  <w:noProof/>
                </w:rPr>
                <w:br/>
                <w:t>[Accessed 8 June 2020].</w:t>
              </w:r>
            </w:p>
            <w:p w14:paraId="4FDEDBE7" w14:textId="77777777" w:rsidR="00E83F6E" w:rsidRDefault="00E83F6E" w:rsidP="00E83F6E">
              <w:pPr>
                <w:pStyle w:val="Bibliography"/>
                <w:rPr>
                  <w:noProof/>
                </w:rPr>
              </w:pPr>
              <w:r>
                <w:rPr>
                  <w:noProof/>
                </w:rPr>
                <w:t xml:space="preserve">Actuaries Institute, 2019. </w:t>
              </w:r>
              <w:r>
                <w:rPr>
                  <w:i/>
                  <w:iCs/>
                  <w:noProof/>
                </w:rPr>
                <w:t xml:space="preserve">Options for an Improved and Integrated System of Retirement, Green Paper. </w:t>
              </w:r>
              <w:r>
                <w:rPr>
                  <w:noProof/>
                </w:rPr>
                <w:t xml:space="preserve">[Online] </w:t>
              </w:r>
              <w:r>
                <w:rPr>
                  <w:noProof/>
                </w:rPr>
                <w:br/>
                <w:t xml:space="preserve">Available at: </w:t>
              </w:r>
              <w:r>
                <w:rPr>
                  <w:noProof/>
                  <w:u w:val="single"/>
                </w:rPr>
                <w:t>https://actuaries.asn.au/Library/Opinion/2019/RETIREMENTINCOMESGREENPAPERFINALWEB.pdf</w:t>
              </w:r>
              <w:r>
                <w:rPr>
                  <w:noProof/>
                </w:rPr>
                <w:br/>
                <w:t>[Accessed 18 March 2020].</w:t>
              </w:r>
            </w:p>
            <w:p w14:paraId="33A71418" w14:textId="77777777" w:rsidR="00E83F6E" w:rsidRDefault="00E83F6E" w:rsidP="00E83F6E">
              <w:pPr>
                <w:pStyle w:val="Bibliography"/>
                <w:rPr>
                  <w:noProof/>
                </w:rPr>
              </w:pPr>
              <w:r>
                <w:rPr>
                  <w:noProof/>
                </w:rPr>
                <w:t xml:space="preserve">Actuaries Institute,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2BBABB21" w14:textId="77777777" w:rsidR="00E83F6E" w:rsidRDefault="00E83F6E" w:rsidP="00E83F6E">
              <w:pPr>
                <w:pStyle w:val="Bibliography"/>
                <w:rPr>
                  <w:noProof/>
                </w:rPr>
              </w:pPr>
              <w:r>
                <w:rPr>
                  <w:noProof/>
                </w:rPr>
                <w:t xml:space="preserve">Adkins, L., Cooper, M. &amp; Konings, M., 2019. Class in the 21st Century: Asset inflation and the new logic of inequality. </w:t>
              </w:r>
              <w:r>
                <w:rPr>
                  <w:i/>
                  <w:iCs/>
                  <w:noProof/>
                </w:rPr>
                <w:t>Environment and planning A: economy and space.</w:t>
              </w:r>
            </w:p>
            <w:p w14:paraId="35A9B5BC" w14:textId="77777777" w:rsidR="00E83F6E" w:rsidRDefault="00E83F6E" w:rsidP="00E83F6E">
              <w:pPr>
                <w:pStyle w:val="Bibliography"/>
                <w:rPr>
                  <w:noProof/>
                </w:rPr>
              </w:pPr>
              <w:r>
                <w:rPr>
                  <w:noProof/>
                </w:rPr>
                <w:t xml:space="preserve">Adviser Ratings, 2019. </w:t>
              </w:r>
              <w:r>
                <w:rPr>
                  <w:i/>
                  <w:iCs/>
                  <w:noProof/>
                </w:rPr>
                <w:t xml:space="preserve">2019 Australian Financial Advice Landscape, </w:t>
              </w:r>
              <w:r>
                <w:rPr>
                  <w:noProof/>
                </w:rPr>
                <w:t>Sydney: Adviser Ratings.</w:t>
              </w:r>
            </w:p>
            <w:p w14:paraId="4AADB17B" w14:textId="77777777" w:rsidR="00E83F6E" w:rsidRDefault="00E83F6E" w:rsidP="00E83F6E">
              <w:pPr>
                <w:pStyle w:val="Bibliography"/>
                <w:rPr>
                  <w:noProof/>
                </w:rPr>
              </w:pPr>
              <w:r>
                <w:rPr>
                  <w:noProof/>
                </w:rPr>
                <w:t xml:space="preserve">Aged Care Financing Authority, 2018. </w:t>
              </w:r>
              <w:r>
                <w:rPr>
                  <w:i/>
                  <w:iCs/>
                  <w:noProof/>
                </w:rPr>
                <w:t xml:space="preserve">How Consumers Plan and Finance Aged Care, </w:t>
              </w:r>
              <w:r>
                <w:rPr>
                  <w:noProof/>
                </w:rPr>
                <w:t>Canberra: Aged Care Financing Authority.</w:t>
              </w:r>
            </w:p>
            <w:p w14:paraId="047EA0C4" w14:textId="77777777" w:rsidR="00E83F6E" w:rsidRDefault="00E83F6E" w:rsidP="00E83F6E">
              <w:pPr>
                <w:pStyle w:val="Bibliography"/>
                <w:rPr>
                  <w:noProof/>
                </w:rPr>
              </w:pPr>
              <w:r>
                <w:rPr>
                  <w:noProof/>
                </w:rPr>
                <w:t xml:space="preserve">Aged Care Financing Authority, 2019. </w:t>
              </w:r>
              <w:r>
                <w:rPr>
                  <w:i/>
                  <w:iCs/>
                  <w:noProof/>
                </w:rPr>
                <w:t xml:space="preserve">Seventh Report on the Funding and Financing of the Aged Care Industry, </w:t>
              </w:r>
              <w:r>
                <w:rPr>
                  <w:noProof/>
                </w:rPr>
                <w:t>Canberra: Aged Care Financing Authority.</w:t>
              </w:r>
            </w:p>
            <w:p w14:paraId="08EA33F5" w14:textId="77777777" w:rsidR="00E83F6E" w:rsidRDefault="00E83F6E" w:rsidP="00E83F6E">
              <w:pPr>
                <w:pStyle w:val="Bibliography"/>
                <w:rPr>
                  <w:noProof/>
                </w:rPr>
              </w:pPr>
              <w:r>
                <w:rPr>
                  <w:noProof/>
                </w:rPr>
                <w:t xml:space="preserve">Agnew, J., 2013. Australia's Retirement System: Strengths, Weaknesses, and Reforms. </w:t>
              </w:r>
              <w:r>
                <w:rPr>
                  <w:i/>
                  <w:iCs/>
                  <w:noProof/>
                </w:rPr>
                <w:t xml:space="preserve">Centre for Retirement Research, </w:t>
              </w:r>
              <w:r>
                <w:rPr>
                  <w:noProof/>
                </w:rPr>
                <w:t>Issue 13-5.</w:t>
              </w:r>
            </w:p>
            <w:p w14:paraId="1BD7ECB0" w14:textId="77777777" w:rsidR="00E83F6E" w:rsidRDefault="00E83F6E" w:rsidP="00E83F6E">
              <w:pPr>
                <w:pStyle w:val="Bibliography"/>
                <w:rPr>
                  <w:noProof/>
                </w:rPr>
              </w:pPr>
              <w:r>
                <w:rPr>
                  <w:noProof/>
                </w:rPr>
                <w:t xml:space="preserve">Aguiar, M. &amp; Hurst, E., 2005. Consumption versus Expenditure. </w:t>
              </w:r>
              <w:r>
                <w:rPr>
                  <w:i/>
                  <w:iCs/>
                  <w:noProof/>
                </w:rPr>
                <w:t xml:space="preserve">Journal of Political Economy, </w:t>
              </w:r>
              <w:r>
                <w:rPr>
                  <w:noProof/>
                </w:rPr>
                <w:t>113(5), pp. 919-948.</w:t>
              </w:r>
            </w:p>
            <w:p w14:paraId="459FD5A2" w14:textId="77777777" w:rsidR="00E83F6E" w:rsidRDefault="00E83F6E" w:rsidP="00E83F6E">
              <w:pPr>
                <w:pStyle w:val="Bibliography"/>
                <w:rPr>
                  <w:noProof/>
                </w:rPr>
              </w:pPr>
              <w:r>
                <w:rPr>
                  <w:noProof/>
                </w:rPr>
                <w:t xml:space="preserve">AIA Australia,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1FD37C73" w14:textId="77777777" w:rsidR="00E83F6E" w:rsidRDefault="00E83F6E" w:rsidP="00E83F6E">
              <w:pPr>
                <w:pStyle w:val="Bibliography"/>
                <w:rPr>
                  <w:noProof/>
                </w:rPr>
              </w:pPr>
              <w:r>
                <w:rPr>
                  <w:noProof/>
                </w:rPr>
                <w:t xml:space="preserve">Alliance for a Fairer Retirement System,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F59FE07" w14:textId="77777777" w:rsidR="00E83F6E" w:rsidRDefault="00E83F6E" w:rsidP="00E83F6E">
              <w:pPr>
                <w:pStyle w:val="Bibliography"/>
                <w:rPr>
                  <w:noProof/>
                </w:rPr>
              </w:pPr>
              <w:r>
                <w:rPr>
                  <w:noProof/>
                </w:rPr>
                <w:t xml:space="preserve">Allport, W., Pagilaro, C., Sandbrook, W. &amp; Blakstad, M., 2019. </w:t>
              </w:r>
              <w:r>
                <w:rPr>
                  <w:i/>
                  <w:iCs/>
                  <w:noProof/>
                </w:rPr>
                <w:t xml:space="preserve">How the UK Saves: Effects of Gender on retirement savings behaviour. </w:t>
              </w:r>
              <w:r>
                <w:rPr>
                  <w:noProof/>
                </w:rPr>
                <w:t xml:space="preserve">[Online] </w:t>
              </w:r>
              <w:r>
                <w:rPr>
                  <w:noProof/>
                </w:rPr>
                <w:br/>
                <w:t xml:space="preserve">Available at: </w:t>
              </w:r>
              <w:r>
                <w:rPr>
                  <w:noProof/>
                  <w:u w:val="single"/>
                </w:rPr>
                <w:t>https://www.nestinsight.org.uk/wp-content/uploads/2019/11/How-the-UK-Saves-effects-of-gender-on-retirement-savings-behaviour.pdf</w:t>
              </w:r>
              <w:r>
                <w:rPr>
                  <w:noProof/>
                </w:rPr>
                <w:br/>
                <w:t>[Accessed 21 February 2020].</w:t>
              </w:r>
            </w:p>
            <w:p w14:paraId="0A731981" w14:textId="77777777" w:rsidR="00E83F6E" w:rsidRDefault="00E83F6E" w:rsidP="00E83F6E">
              <w:pPr>
                <w:pStyle w:val="Bibliography"/>
                <w:rPr>
                  <w:noProof/>
                </w:rPr>
              </w:pPr>
              <w:r>
                <w:rPr>
                  <w:noProof/>
                </w:rPr>
                <w:t xml:space="preserve">Alonso-Garcia, J., Bateman, H., Bonekamp, J. &amp; Stevens, R., 2017. </w:t>
              </w:r>
              <w:r>
                <w:rPr>
                  <w:i/>
                  <w:iCs/>
                  <w:noProof/>
                </w:rPr>
                <w:t xml:space="preserve">Retirement drawdown defaults: the role of implied endorsement, </w:t>
              </w:r>
              <w:r>
                <w:rPr>
                  <w:noProof/>
                </w:rPr>
                <w:t>s.l.: Working Paper 2017/20, ARC Centre of Excellence in Population Ageing.</w:t>
              </w:r>
            </w:p>
            <w:p w14:paraId="7CA61DDC" w14:textId="77777777" w:rsidR="00E83F6E" w:rsidRDefault="00E83F6E" w:rsidP="00E83F6E">
              <w:pPr>
                <w:pStyle w:val="Bibliography"/>
                <w:rPr>
                  <w:noProof/>
                </w:rPr>
              </w:pPr>
              <w:r>
                <w:rPr>
                  <w:noProof/>
                </w:rPr>
                <w:t xml:space="preserve">Alonso-Garcia, J. et al., Forthcoming. </w:t>
              </w:r>
              <w:r>
                <w:rPr>
                  <w:i/>
                  <w:iCs/>
                  <w:noProof/>
                </w:rPr>
                <w:t xml:space="preserve">Saving Preferences After Retirement, </w:t>
              </w:r>
              <w:r>
                <w:rPr>
                  <w:noProof/>
                </w:rPr>
                <w:t>s.l.: s.n.</w:t>
              </w:r>
            </w:p>
            <w:p w14:paraId="0BD48360" w14:textId="77777777" w:rsidR="00E83F6E" w:rsidRDefault="00E83F6E" w:rsidP="00E83F6E">
              <w:pPr>
                <w:pStyle w:val="Bibliography"/>
                <w:rPr>
                  <w:noProof/>
                </w:rPr>
              </w:pPr>
              <w:r>
                <w:rPr>
                  <w:noProof/>
                </w:rPr>
                <w:t xml:space="preserve">AMP,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72C0B67D" w14:textId="77777777" w:rsidR="00E83F6E" w:rsidRDefault="00E83F6E" w:rsidP="00E83F6E">
              <w:pPr>
                <w:pStyle w:val="Bibliography"/>
                <w:rPr>
                  <w:noProof/>
                </w:rPr>
              </w:pPr>
              <w:r>
                <w:rPr>
                  <w:noProof/>
                </w:rPr>
                <w:t xml:space="preserve">Andrews, D., Deutscher, N., Hambur, J. &amp; Hansell, D., 2019. </w:t>
              </w:r>
              <w:r>
                <w:rPr>
                  <w:i/>
                  <w:iCs/>
                  <w:noProof/>
                </w:rPr>
                <w:t xml:space="preserve">Wage Growth in Australia: Lessons from Longitudinal Microdata, </w:t>
              </w:r>
              <w:r>
                <w:rPr>
                  <w:noProof/>
                </w:rPr>
                <w:t>Canberra: Department of the Treasury, Commonwealth of Australia.</w:t>
              </w:r>
            </w:p>
            <w:p w14:paraId="6625D796" w14:textId="77777777" w:rsidR="00E83F6E" w:rsidRDefault="00E83F6E" w:rsidP="00E83F6E">
              <w:pPr>
                <w:pStyle w:val="Bibliography"/>
                <w:rPr>
                  <w:noProof/>
                </w:rPr>
              </w:pPr>
              <w:r>
                <w:rPr>
                  <w:noProof/>
                </w:rPr>
                <w:t xml:space="preserve">Antolin, P., 2009. Private Pensions and the Financial Crisis: How to Ensure Adequate Retirement Income from DC Pension Plans. </w:t>
              </w:r>
              <w:r>
                <w:rPr>
                  <w:i/>
                  <w:iCs/>
                  <w:noProof/>
                </w:rPr>
                <w:t xml:space="preserve">OECD Journal: Financial Market Trends, </w:t>
              </w:r>
              <w:r>
                <w:rPr>
                  <w:noProof/>
                </w:rPr>
                <w:t>Issue 2.</w:t>
              </w:r>
            </w:p>
            <w:p w14:paraId="54CC9133" w14:textId="77777777" w:rsidR="00E83F6E" w:rsidRDefault="00E83F6E" w:rsidP="00E83F6E">
              <w:pPr>
                <w:pStyle w:val="Bibliography"/>
                <w:rPr>
                  <w:noProof/>
                </w:rPr>
              </w:pPr>
              <w:r>
                <w:rPr>
                  <w:noProof/>
                </w:rPr>
                <w:t xml:space="preserve">ANZ, 2015. </w:t>
              </w:r>
              <w:r>
                <w:rPr>
                  <w:i/>
                  <w:iCs/>
                  <w:noProof/>
                </w:rPr>
                <w:t xml:space="preserve">ANZ Survey of Adult Financial Literacy in Australia. </w:t>
              </w:r>
              <w:r>
                <w:rPr>
                  <w:noProof/>
                </w:rPr>
                <w:t xml:space="preserve">[Online] </w:t>
              </w:r>
              <w:r>
                <w:rPr>
                  <w:noProof/>
                </w:rPr>
                <w:br/>
                <w:t xml:space="preserve">Available at: </w:t>
              </w:r>
              <w:r>
                <w:rPr>
                  <w:noProof/>
                  <w:u w:val="single"/>
                </w:rPr>
                <w:t>https://www.anz.com/resources/3/1/31cbc1fd-9491-4a22-91dc-4c803e4c34ab/adult-financial-literacy-survey-full-results.pdf</w:t>
              </w:r>
              <w:r>
                <w:rPr>
                  <w:noProof/>
                </w:rPr>
                <w:br/>
                <w:t>[Accessed 21 February 2020].</w:t>
              </w:r>
            </w:p>
            <w:p w14:paraId="46EB2718" w14:textId="77777777" w:rsidR="00E83F6E" w:rsidRDefault="00E83F6E" w:rsidP="00E83F6E">
              <w:pPr>
                <w:pStyle w:val="Bibliography"/>
                <w:rPr>
                  <w:noProof/>
                </w:rPr>
              </w:pPr>
              <w:r>
                <w:rPr>
                  <w:noProof/>
                </w:rPr>
                <w:t xml:space="preserve">ASFA, 2009. </w:t>
              </w:r>
              <w:r>
                <w:rPr>
                  <w:i/>
                  <w:iCs/>
                  <w:noProof/>
                </w:rPr>
                <w:t xml:space="preserve">Updating and extending indicative budget standards for older Australians in 2009, </w:t>
              </w:r>
              <w:r>
                <w:rPr>
                  <w:noProof/>
                </w:rPr>
                <w:t>Sydney: ASFA.</w:t>
              </w:r>
            </w:p>
            <w:p w14:paraId="4647AE31" w14:textId="77777777" w:rsidR="00E83F6E" w:rsidRDefault="00E83F6E" w:rsidP="00E83F6E">
              <w:pPr>
                <w:pStyle w:val="Bibliography"/>
                <w:rPr>
                  <w:noProof/>
                </w:rPr>
              </w:pPr>
              <w:r>
                <w:rPr>
                  <w:noProof/>
                </w:rPr>
                <w:t xml:space="preserve">ASFA, 2010. </w:t>
              </w:r>
              <w:r>
                <w:rPr>
                  <w:i/>
                  <w:iCs/>
                  <w:noProof/>
                </w:rPr>
                <w:t xml:space="preserve">Community attitudes to superannuation, retirement income adequacy and government policies on superannuation, </w:t>
              </w:r>
              <w:r>
                <w:rPr>
                  <w:noProof/>
                </w:rPr>
                <w:t>Sydney: ASFA.</w:t>
              </w:r>
            </w:p>
            <w:p w14:paraId="46F26BE9" w14:textId="77777777" w:rsidR="00E83F6E" w:rsidRDefault="00E83F6E" w:rsidP="00E83F6E">
              <w:pPr>
                <w:pStyle w:val="Bibliography"/>
                <w:rPr>
                  <w:noProof/>
                </w:rPr>
              </w:pPr>
              <w:r>
                <w:rPr>
                  <w:noProof/>
                </w:rPr>
                <w:t xml:space="preserve">ASFA, 2018a. </w:t>
              </w:r>
              <w:r>
                <w:rPr>
                  <w:i/>
                  <w:iCs/>
                  <w:noProof/>
                </w:rPr>
                <w:t xml:space="preserve">ASFA Retirement Standard, </w:t>
              </w:r>
              <w:r>
                <w:rPr>
                  <w:noProof/>
                </w:rPr>
                <w:t>Sydney: ASFA.</w:t>
              </w:r>
            </w:p>
            <w:p w14:paraId="5D22A8E0" w14:textId="77777777" w:rsidR="00E83F6E" w:rsidRDefault="00E83F6E" w:rsidP="00E83F6E">
              <w:pPr>
                <w:pStyle w:val="Bibliography"/>
                <w:rPr>
                  <w:noProof/>
                </w:rPr>
              </w:pPr>
              <w:r>
                <w:rPr>
                  <w:noProof/>
                </w:rPr>
                <w:t xml:space="preserve">ASFA, 2018b. </w:t>
              </w:r>
              <w:r>
                <w:rPr>
                  <w:i/>
                  <w:iCs/>
                  <w:noProof/>
                </w:rPr>
                <w:t xml:space="preserve">Superannuation balances of the self-employed, </w:t>
              </w:r>
              <w:r>
                <w:rPr>
                  <w:noProof/>
                </w:rPr>
                <w:t>Sydney: ASFA.</w:t>
              </w:r>
            </w:p>
            <w:p w14:paraId="15B59469" w14:textId="77777777" w:rsidR="00E83F6E" w:rsidRDefault="00E83F6E" w:rsidP="00E83F6E">
              <w:pPr>
                <w:pStyle w:val="Bibliography"/>
                <w:rPr>
                  <w:noProof/>
                </w:rPr>
              </w:pPr>
              <w:r>
                <w:rPr>
                  <w:noProof/>
                </w:rPr>
                <w:t xml:space="preserve">ASFA, 2019. </w:t>
              </w:r>
              <w:r>
                <w:rPr>
                  <w:i/>
                  <w:iCs/>
                  <w:noProof/>
                </w:rPr>
                <w:t xml:space="preserve">Strengthening Australia’s superannuation system - ASFA's proposed toolkit for Government, </w:t>
              </w:r>
              <w:r>
                <w:rPr>
                  <w:noProof/>
                </w:rPr>
                <w:t>Sydney: ASFA.</w:t>
              </w:r>
            </w:p>
            <w:p w14:paraId="720B3D5C" w14:textId="77777777" w:rsidR="00E83F6E" w:rsidRDefault="00E83F6E" w:rsidP="00E83F6E">
              <w:pPr>
                <w:pStyle w:val="Bibliography"/>
                <w:rPr>
                  <w:noProof/>
                </w:rPr>
              </w:pPr>
              <w:r>
                <w:rPr>
                  <w:noProof/>
                </w:rPr>
                <w:t xml:space="preserve">ASFA, 2020a.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343DDB9F" w14:textId="77777777" w:rsidR="00E83F6E" w:rsidRDefault="00E83F6E" w:rsidP="00E83F6E">
              <w:pPr>
                <w:pStyle w:val="Bibliography"/>
                <w:rPr>
                  <w:noProof/>
                </w:rPr>
              </w:pPr>
              <w:r>
                <w:rPr>
                  <w:noProof/>
                </w:rPr>
                <w:t xml:space="preserve">ASFA, 2020b. </w:t>
              </w:r>
              <w:r>
                <w:rPr>
                  <w:i/>
                  <w:iCs/>
                  <w:noProof/>
                </w:rPr>
                <w:t xml:space="preserve">The Benefits of Australia's Compulsory Superannuation System, </w:t>
              </w:r>
              <w:r>
                <w:rPr>
                  <w:noProof/>
                </w:rPr>
                <w:t>Sydney: ASFA.</w:t>
              </w:r>
            </w:p>
            <w:p w14:paraId="441F3D80" w14:textId="77777777" w:rsidR="00E83F6E" w:rsidRDefault="00E83F6E" w:rsidP="00E83F6E">
              <w:pPr>
                <w:pStyle w:val="Bibliography"/>
                <w:rPr>
                  <w:noProof/>
                </w:rPr>
              </w:pPr>
              <w:r>
                <w:rPr>
                  <w:noProof/>
                </w:rPr>
                <w:t xml:space="preserve">Asher, A., Meyricke, R., Thorp, S. &amp; Wu, S., 2017. Age Pensioner Decumulation: Responses to Incentives, Uncertainty and Family Need. </w:t>
              </w:r>
              <w:r>
                <w:rPr>
                  <w:i/>
                  <w:iCs/>
                  <w:noProof/>
                </w:rPr>
                <w:t xml:space="preserve">Australian Journal of Management, </w:t>
              </w:r>
              <w:r>
                <w:rPr>
                  <w:noProof/>
                </w:rPr>
                <w:t>42(4), pp. 583-607.</w:t>
              </w:r>
            </w:p>
            <w:p w14:paraId="7D873010" w14:textId="77777777" w:rsidR="00E83F6E" w:rsidRDefault="00E83F6E" w:rsidP="00E83F6E">
              <w:pPr>
                <w:pStyle w:val="Bibliography"/>
                <w:rPr>
                  <w:noProof/>
                </w:rPr>
              </w:pPr>
              <w:r>
                <w:rPr>
                  <w:noProof/>
                </w:rPr>
                <w:t xml:space="preserve">ASIC and the Dutch Authority for Financial Markets, 2019a. </w:t>
              </w:r>
              <w:r>
                <w:rPr>
                  <w:i/>
                  <w:iCs/>
                  <w:noProof/>
                </w:rPr>
                <w:t xml:space="preserve">Disclosure: Why it shouldn't be the default, </w:t>
              </w:r>
              <w:r>
                <w:rPr>
                  <w:noProof/>
                </w:rPr>
                <w:t>s.l.: ASIC.</w:t>
              </w:r>
            </w:p>
            <w:p w14:paraId="464BCA7A" w14:textId="77777777" w:rsidR="00E83F6E" w:rsidRDefault="00E83F6E" w:rsidP="00E83F6E">
              <w:pPr>
                <w:pStyle w:val="Bibliography"/>
                <w:rPr>
                  <w:noProof/>
                </w:rPr>
              </w:pPr>
              <w:r>
                <w:rPr>
                  <w:noProof/>
                </w:rPr>
                <w:t xml:space="preserve">ASIC, 2012a. </w:t>
              </w:r>
              <w:r>
                <w:rPr>
                  <w:i/>
                  <w:iCs/>
                  <w:noProof/>
                </w:rPr>
                <w:t xml:space="preserve">Regulatory Guide 244: Giving information, general advice and scaled advice, </w:t>
              </w:r>
              <w:r>
                <w:rPr>
                  <w:noProof/>
                </w:rPr>
                <w:t>s.l.: ASIC.</w:t>
              </w:r>
            </w:p>
            <w:p w14:paraId="64A37D1D" w14:textId="77777777" w:rsidR="00E83F6E" w:rsidRDefault="00E83F6E" w:rsidP="00E83F6E">
              <w:pPr>
                <w:pStyle w:val="Bibliography"/>
                <w:rPr>
                  <w:noProof/>
                </w:rPr>
              </w:pPr>
              <w:r>
                <w:rPr>
                  <w:noProof/>
                </w:rPr>
                <w:t xml:space="preserve">ASIC, 2016a. </w:t>
              </w:r>
              <w:r>
                <w:rPr>
                  <w:i/>
                  <w:iCs/>
                  <w:noProof/>
                </w:rPr>
                <w:t xml:space="preserve">REP 499 Financial advice: Fees for no service, </w:t>
              </w:r>
              <w:r>
                <w:rPr>
                  <w:noProof/>
                </w:rPr>
                <w:t>s.l.: ASIC.</w:t>
              </w:r>
            </w:p>
            <w:p w14:paraId="6F03B6B8" w14:textId="77777777" w:rsidR="00E83F6E" w:rsidRDefault="00E83F6E" w:rsidP="00E83F6E">
              <w:pPr>
                <w:pStyle w:val="Bibliography"/>
                <w:rPr>
                  <w:noProof/>
                </w:rPr>
              </w:pPr>
              <w:r>
                <w:rPr>
                  <w:noProof/>
                </w:rPr>
                <w:t xml:space="preserve">ASIC, 2016b. </w:t>
              </w:r>
              <w:r>
                <w:rPr>
                  <w:i/>
                  <w:iCs/>
                  <w:noProof/>
                </w:rPr>
                <w:t xml:space="preserve">Regulatory Guide 255: Providing digital financial product advice to retail clients, </w:t>
              </w:r>
              <w:r>
                <w:rPr>
                  <w:noProof/>
                </w:rPr>
                <w:t>s.l.: ASIC.</w:t>
              </w:r>
            </w:p>
            <w:p w14:paraId="7C85B457" w14:textId="77777777" w:rsidR="00E83F6E" w:rsidRDefault="00E83F6E" w:rsidP="00E83F6E">
              <w:pPr>
                <w:pStyle w:val="Bibliography"/>
                <w:rPr>
                  <w:noProof/>
                </w:rPr>
              </w:pPr>
              <w:r>
                <w:rPr>
                  <w:noProof/>
                </w:rPr>
                <w:t xml:space="preserve">ASIC, 2018a. </w:t>
              </w:r>
              <w:r>
                <w:rPr>
                  <w:i/>
                  <w:iCs/>
                  <w:noProof/>
                </w:rPr>
                <w:t xml:space="preserve">REP 562 Financial advice: Vertically integrated institutions and conflicts of interest, </w:t>
              </w:r>
              <w:r>
                <w:rPr>
                  <w:noProof/>
                </w:rPr>
                <w:t>s.l.: ASIC.</w:t>
              </w:r>
            </w:p>
            <w:p w14:paraId="3064656B" w14:textId="77777777" w:rsidR="00E83F6E" w:rsidRDefault="00E83F6E" w:rsidP="00E83F6E">
              <w:pPr>
                <w:pStyle w:val="Bibliography"/>
                <w:rPr>
                  <w:noProof/>
                </w:rPr>
              </w:pPr>
              <w:r>
                <w:rPr>
                  <w:noProof/>
                </w:rPr>
                <w:t xml:space="preserve">ASIC, 2018b. </w:t>
              </w:r>
              <w:r>
                <w:rPr>
                  <w:i/>
                  <w:iCs/>
                  <w:noProof/>
                </w:rPr>
                <w:t xml:space="preserve">ASIC Submission to the Financial Services Royal Commission - Round 2: Financial Advice, </w:t>
              </w:r>
              <w:r>
                <w:rPr>
                  <w:noProof/>
                </w:rPr>
                <w:t>s.l.: ASIC.</w:t>
              </w:r>
            </w:p>
            <w:p w14:paraId="16937E6F" w14:textId="77777777" w:rsidR="00E83F6E" w:rsidRDefault="00E83F6E" w:rsidP="00E83F6E">
              <w:pPr>
                <w:pStyle w:val="Bibliography"/>
                <w:rPr>
                  <w:noProof/>
                </w:rPr>
              </w:pPr>
              <w:r>
                <w:rPr>
                  <w:noProof/>
                </w:rPr>
                <w:t xml:space="preserve">ASIC, 2018c. </w:t>
              </w:r>
              <w:r>
                <w:rPr>
                  <w:i/>
                  <w:iCs/>
                  <w:noProof/>
                </w:rPr>
                <w:t xml:space="preserve">REP 586 Review of reverse mortgage lending in Australia, </w:t>
              </w:r>
              <w:r>
                <w:rPr>
                  <w:noProof/>
                </w:rPr>
                <w:t>s.l.: ASIC.</w:t>
              </w:r>
            </w:p>
            <w:p w14:paraId="33662385" w14:textId="77777777" w:rsidR="00E83F6E" w:rsidRDefault="00E83F6E" w:rsidP="00E83F6E">
              <w:pPr>
                <w:pStyle w:val="Bibliography"/>
                <w:rPr>
                  <w:noProof/>
                </w:rPr>
              </w:pPr>
              <w:r>
                <w:rPr>
                  <w:noProof/>
                </w:rPr>
                <w:t xml:space="preserve">ASIC, 2019b. </w:t>
              </w:r>
              <w:r>
                <w:rPr>
                  <w:i/>
                  <w:iCs/>
                  <w:noProof/>
                </w:rPr>
                <w:t xml:space="preserve">REP 627 Financial advice: What consumers really think, </w:t>
              </w:r>
              <w:r>
                <w:rPr>
                  <w:noProof/>
                </w:rPr>
                <w:t>s.l.: ASIC.</w:t>
              </w:r>
            </w:p>
            <w:p w14:paraId="706D6BD2" w14:textId="77777777" w:rsidR="00E83F6E" w:rsidRDefault="00E83F6E" w:rsidP="00E83F6E">
              <w:pPr>
                <w:pStyle w:val="Bibliography"/>
                <w:rPr>
                  <w:noProof/>
                </w:rPr>
              </w:pPr>
              <w:r>
                <w:rPr>
                  <w:noProof/>
                </w:rPr>
                <w:t xml:space="preserve">ASIC, 2019d. </w:t>
              </w:r>
              <w:r>
                <w:rPr>
                  <w:i/>
                  <w:iCs/>
                  <w:noProof/>
                </w:rPr>
                <w:t xml:space="preserve">REP 639 Financial advice by superannuation funds, </w:t>
              </w:r>
              <w:r>
                <w:rPr>
                  <w:noProof/>
                </w:rPr>
                <w:t>s.l.: ASIC.</w:t>
              </w:r>
            </w:p>
            <w:p w14:paraId="30CE5492" w14:textId="77777777" w:rsidR="00E83F6E" w:rsidRDefault="00E83F6E" w:rsidP="00E83F6E">
              <w:pPr>
                <w:pStyle w:val="Bibliography"/>
                <w:rPr>
                  <w:noProof/>
                </w:rPr>
              </w:pPr>
              <w:r>
                <w:rPr>
                  <w:noProof/>
                </w:rPr>
                <w:t xml:space="preserve">Association of Independent Retirees,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768F337C" w14:textId="77777777" w:rsidR="00E83F6E" w:rsidRDefault="00E83F6E" w:rsidP="00E83F6E">
              <w:pPr>
                <w:pStyle w:val="Bibliography"/>
                <w:rPr>
                  <w:noProof/>
                </w:rPr>
              </w:pPr>
              <w:r>
                <w:rPr>
                  <w:noProof/>
                </w:rPr>
                <w:t xml:space="preserve">Atalay, K. &amp; Barrett, G., 2012. The Impact of Age Pension Eligibility Age on Retirement and Program Dependence: Evidence from an Australian Experiment. </w:t>
              </w:r>
              <w:r>
                <w:rPr>
                  <w:i/>
                  <w:iCs/>
                  <w:noProof/>
                </w:rPr>
                <w:t xml:space="preserve">Review of Economics and Statistics, </w:t>
              </w:r>
              <w:r>
                <w:rPr>
                  <w:noProof/>
                </w:rPr>
                <w:t>97(1), pp. 71-87.</w:t>
              </w:r>
            </w:p>
            <w:p w14:paraId="6EB72311" w14:textId="77777777" w:rsidR="00E83F6E" w:rsidRDefault="00E83F6E" w:rsidP="00E83F6E">
              <w:pPr>
                <w:pStyle w:val="Bibliography"/>
                <w:rPr>
                  <w:noProof/>
                </w:rPr>
              </w:pPr>
              <w:r>
                <w:rPr>
                  <w:noProof/>
                </w:rPr>
                <w:t xml:space="preserve">Atkinson, A. B. &amp; Stiglitz, J. E., 1976. The Design of Tax Structure: Direct Verses Indirect Taxation. </w:t>
              </w:r>
              <w:r>
                <w:rPr>
                  <w:i/>
                  <w:iCs/>
                  <w:noProof/>
                </w:rPr>
                <w:t xml:space="preserve">Journal of Public Economics, </w:t>
              </w:r>
              <w:r>
                <w:rPr>
                  <w:noProof/>
                </w:rPr>
                <w:t>Volume 6, pp. 55-75.</w:t>
              </w:r>
            </w:p>
            <w:p w14:paraId="02C9294F" w14:textId="77777777" w:rsidR="00E83F6E" w:rsidRDefault="00E83F6E" w:rsidP="00E83F6E">
              <w:pPr>
                <w:pStyle w:val="Bibliography"/>
                <w:rPr>
                  <w:noProof/>
                </w:rPr>
              </w:pPr>
              <w:r>
                <w:rPr>
                  <w:noProof/>
                </w:rPr>
                <w:t xml:space="preserve">ATO, 2018. </w:t>
              </w:r>
              <w:r>
                <w:rPr>
                  <w:i/>
                  <w:iCs/>
                  <w:noProof/>
                </w:rPr>
                <w:t xml:space="preserve">Beneficiary tax offset and seniors and pensioners tax offset calculator. </w:t>
              </w:r>
              <w:r>
                <w:rPr>
                  <w:noProof/>
                </w:rPr>
                <w:t xml:space="preserve">[Online] </w:t>
              </w:r>
              <w:r>
                <w:rPr>
                  <w:noProof/>
                </w:rPr>
                <w:br/>
                <w:t xml:space="preserve">Available at: </w:t>
              </w:r>
              <w:r>
                <w:rPr>
                  <w:noProof/>
                  <w:u w:val="single"/>
                </w:rPr>
                <w:t>https://www.ato.gov.au/calculators-and-tools/beneficiary-tax-offset-and-seniors-and-pensioner-tax-offset-calculator/</w:t>
              </w:r>
              <w:r>
                <w:rPr>
                  <w:noProof/>
                </w:rPr>
                <w:br/>
                <w:t>[Accessed 18 May 2020].</w:t>
              </w:r>
            </w:p>
            <w:p w14:paraId="7A425EFD" w14:textId="77777777" w:rsidR="00E83F6E" w:rsidRDefault="00E83F6E" w:rsidP="00E83F6E">
              <w:pPr>
                <w:pStyle w:val="Bibliography"/>
                <w:rPr>
                  <w:noProof/>
                </w:rPr>
              </w:pPr>
              <w:r>
                <w:rPr>
                  <w:noProof/>
                </w:rPr>
                <w:t xml:space="preserve">ATO, 2019a. </w:t>
              </w:r>
              <w:r>
                <w:rPr>
                  <w:i/>
                  <w:iCs/>
                  <w:noProof/>
                </w:rPr>
                <w:t xml:space="preserve">Income tax estimator. </w:t>
              </w:r>
              <w:r>
                <w:rPr>
                  <w:noProof/>
                </w:rPr>
                <w:t xml:space="preserve">[Online] </w:t>
              </w:r>
              <w:r>
                <w:rPr>
                  <w:noProof/>
                </w:rPr>
                <w:br/>
                <w:t xml:space="preserve">Available at: </w:t>
              </w:r>
              <w:r>
                <w:rPr>
                  <w:noProof/>
                  <w:u w:val="single"/>
                </w:rPr>
                <w:t>https://www.ato.gov.au/Calculators-and-tools/Income-tax-estimator/</w:t>
              </w:r>
              <w:r>
                <w:rPr>
                  <w:noProof/>
                </w:rPr>
                <w:br/>
                <w:t>[Accessed 18 May 2020].</w:t>
              </w:r>
            </w:p>
            <w:p w14:paraId="5F42FEF4" w14:textId="77777777" w:rsidR="00E83F6E" w:rsidRDefault="00E83F6E" w:rsidP="00E83F6E">
              <w:pPr>
                <w:pStyle w:val="Bibliography"/>
                <w:rPr>
                  <w:noProof/>
                </w:rPr>
              </w:pPr>
              <w:r>
                <w:rPr>
                  <w:noProof/>
                </w:rPr>
                <w:t xml:space="preserve">ATO, 2019c. </w:t>
              </w:r>
              <w:r>
                <w:rPr>
                  <w:i/>
                  <w:iCs/>
                  <w:noProof/>
                </w:rPr>
                <w:t xml:space="preserve">Rebate income 2019. </w:t>
              </w:r>
              <w:r>
                <w:rPr>
                  <w:noProof/>
                </w:rPr>
                <w:t xml:space="preserve">[Online] </w:t>
              </w:r>
              <w:r>
                <w:rPr>
                  <w:noProof/>
                </w:rPr>
                <w:br/>
                <w:t xml:space="preserve">Available at: </w:t>
              </w:r>
              <w:r>
                <w:rPr>
                  <w:noProof/>
                  <w:u w:val="single"/>
                </w:rPr>
                <w:t>https://www.ato.gov.au/Individuals/Tax-Return/2019/Tax-return/Tax-offset-questions-T1-T2/Rebate-income-2019/</w:t>
              </w:r>
              <w:r>
                <w:rPr>
                  <w:noProof/>
                </w:rPr>
                <w:br/>
                <w:t>[Accessed 18 May 2020].</w:t>
              </w:r>
            </w:p>
            <w:p w14:paraId="283BCEE7" w14:textId="77777777" w:rsidR="00E83F6E" w:rsidRDefault="00E83F6E" w:rsidP="00E83F6E">
              <w:pPr>
                <w:pStyle w:val="Bibliography"/>
                <w:rPr>
                  <w:noProof/>
                </w:rPr>
              </w:pPr>
              <w:r>
                <w:rPr>
                  <w:noProof/>
                </w:rPr>
                <w:t xml:space="preserve">ATO, 2019d. </w:t>
              </w:r>
              <w:r>
                <w:rPr>
                  <w:i/>
                  <w:iCs/>
                  <w:noProof/>
                </w:rPr>
                <w:t xml:space="preserve">Self-managed super fund quarterly statistical report - June 2019. </w:t>
              </w:r>
              <w:r>
                <w:rPr>
                  <w:noProof/>
                </w:rPr>
                <w:t xml:space="preserve">[Online] </w:t>
              </w:r>
              <w:r>
                <w:rPr>
                  <w:noProof/>
                </w:rPr>
                <w:br/>
                <w:t xml:space="preserve">Available at: </w:t>
              </w:r>
              <w:r>
                <w:rPr>
                  <w:noProof/>
                  <w:u w:val="single"/>
                </w:rPr>
                <w:t>https://www.ato.gov.au/About-ATO/Research-and-statistics/In-detail/Super-statistics/SMSF/Self-managed-super-fund-quarterly-statistical-report---June-2019/</w:t>
              </w:r>
              <w:r>
                <w:rPr>
                  <w:noProof/>
                </w:rPr>
                <w:br/>
                <w:t>[Accessed 18 March 2020].</w:t>
              </w:r>
            </w:p>
            <w:p w14:paraId="197D3BDA" w14:textId="77777777" w:rsidR="00E83F6E" w:rsidRDefault="00E83F6E" w:rsidP="00E83F6E">
              <w:pPr>
                <w:pStyle w:val="Bibliography"/>
                <w:rPr>
                  <w:noProof/>
                </w:rPr>
              </w:pPr>
              <w:r>
                <w:rPr>
                  <w:noProof/>
                </w:rPr>
                <w:t xml:space="preserve">ATO, 2019e. </w:t>
              </w:r>
              <w:r>
                <w:rPr>
                  <w:i/>
                  <w:iCs/>
                  <w:noProof/>
                </w:rPr>
                <w:t xml:space="preserve">Taxation statistics 2016-17: Table 15 Average and median taxable income, salary or wages, and total income, by occupation and sex, 2016–17 income year. </w:t>
              </w:r>
              <w:r>
                <w:rPr>
                  <w:noProof/>
                </w:rPr>
                <w:t xml:space="preserve">[Online] </w:t>
              </w:r>
              <w:r>
                <w:rPr>
                  <w:noProof/>
                </w:rPr>
                <w:br/>
                <w:t xml:space="preserve">Available at: </w:t>
              </w:r>
              <w:r>
                <w:rPr>
                  <w:noProof/>
                  <w:u w:val="single"/>
                </w:rPr>
                <w:t>https://www.ato.gov.au/About-ATO/Research-and-statistics/In-detail/Taxation-statistics/Taxation-statistics-2016-17/?page=9#Individuals_detailed_tables</w:t>
              </w:r>
              <w:r>
                <w:rPr>
                  <w:noProof/>
                </w:rPr>
                <w:br/>
                <w:t>[Accessed 18 March 2020].</w:t>
              </w:r>
            </w:p>
            <w:p w14:paraId="746DDC0E" w14:textId="77777777" w:rsidR="00E83F6E" w:rsidRDefault="00E83F6E" w:rsidP="00E83F6E">
              <w:pPr>
                <w:pStyle w:val="Bibliography"/>
                <w:rPr>
                  <w:noProof/>
                </w:rPr>
              </w:pPr>
              <w:r>
                <w:rPr>
                  <w:noProof/>
                </w:rPr>
                <w:t xml:space="preserve">ATO, 2019f. </w:t>
              </w:r>
              <w:r>
                <w:rPr>
                  <w:i/>
                  <w:iCs/>
                  <w:noProof/>
                </w:rPr>
                <w:t xml:space="preserve">Taxation statistics 2016-17: Table 22 Superannuation contributions, by total superannuation member accounts balance range, taxable income range and age range, 2016–17 financial year. </w:t>
              </w:r>
              <w:r>
                <w:rPr>
                  <w:noProof/>
                </w:rPr>
                <w:t xml:space="preserve">[Online] </w:t>
              </w:r>
              <w:r>
                <w:rPr>
                  <w:noProof/>
                </w:rPr>
                <w:br/>
                <w:t xml:space="preserve">Available at: </w:t>
              </w:r>
              <w:r>
                <w:rPr>
                  <w:noProof/>
                  <w:u w:val="single"/>
                </w:rPr>
                <w:t>https://www.ato.gov.au/About-ATO/Research-and-statistics/In-detail/Taxation-statistics/Taxation-statistics-2016-17/?page=9#Individuals_detailed_tables</w:t>
              </w:r>
              <w:r>
                <w:rPr>
                  <w:noProof/>
                </w:rPr>
                <w:br/>
                <w:t>[Accessed 18 March 2020].</w:t>
              </w:r>
            </w:p>
            <w:p w14:paraId="359FF854" w14:textId="77777777" w:rsidR="00E83F6E" w:rsidRDefault="00E83F6E" w:rsidP="00E83F6E">
              <w:pPr>
                <w:pStyle w:val="Bibliography"/>
                <w:rPr>
                  <w:noProof/>
                </w:rPr>
              </w:pPr>
              <w:r>
                <w:rPr>
                  <w:noProof/>
                </w:rPr>
                <w:t xml:space="preserve">ATO, 2019g. </w:t>
              </w:r>
              <w:r>
                <w:rPr>
                  <w:i/>
                  <w:iCs/>
                  <w:noProof/>
                </w:rPr>
                <w:t xml:space="preserve">ATO support for Indigenous Peoples superannuation. </w:t>
              </w:r>
              <w:r>
                <w:rPr>
                  <w:noProof/>
                </w:rPr>
                <w:t xml:space="preserve">[Online] </w:t>
              </w:r>
              <w:r>
                <w:rPr>
                  <w:noProof/>
                </w:rPr>
                <w:br/>
                <w:t xml:space="preserve">Available at: </w:t>
              </w:r>
              <w:r>
                <w:rPr>
                  <w:noProof/>
                  <w:u w:val="single"/>
                </w:rPr>
                <w:t>https://www.ato.gov.au/Media-centre/Speeches/Other/ATO-support-for-Indigenous-Peoples-superannuation/</w:t>
              </w:r>
              <w:r>
                <w:rPr>
                  <w:noProof/>
                </w:rPr>
                <w:br/>
                <w:t>[Accessed 3 July 2020].</w:t>
              </w:r>
            </w:p>
            <w:p w14:paraId="55067014" w14:textId="77777777" w:rsidR="00E83F6E" w:rsidRDefault="00E83F6E" w:rsidP="00E83F6E">
              <w:pPr>
                <w:pStyle w:val="Bibliography"/>
                <w:rPr>
                  <w:noProof/>
                </w:rPr>
              </w:pPr>
              <w:r>
                <w:rPr>
                  <w:noProof/>
                </w:rPr>
                <w:t xml:space="preserve">ATO, 2020a. </w:t>
              </w:r>
              <w:r>
                <w:rPr>
                  <w:i/>
                  <w:iCs/>
                  <w:noProof/>
                </w:rPr>
                <w:t xml:space="preserve">Annual Reports - Super co-contributions. </w:t>
              </w:r>
              <w:r>
                <w:rPr>
                  <w:noProof/>
                </w:rPr>
                <w:t xml:space="preserve">[Online] </w:t>
              </w:r>
              <w:r>
                <w:rPr>
                  <w:noProof/>
                </w:rPr>
                <w:br/>
                <w:t xml:space="preserve">Available at: </w:t>
              </w:r>
              <w:r>
                <w:rPr>
                  <w:noProof/>
                  <w:u w:val="single"/>
                </w:rPr>
                <w:t>https://www.ato.gov.au/About-ATO/Research-and-statistics/In-detail/Super-statistics/Super-co-contribution/Annual-reports---Super-co-contribution/</w:t>
              </w:r>
              <w:r>
                <w:rPr>
                  <w:noProof/>
                </w:rPr>
                <w:br/>
                <w:t>[Accessed 18 March 2020].</w:t>
              </w:r>
            </w:p>
            <w:p w14:paraId="730686A1" w14:textId="77777777" w:rsidR="00E83F6E" w:rsidRDefault="00E83F6E" w:rsidP="00E83F6E">
              <w:pPr>
                <w:pStyle w:val="Bibliography"/>
                <w:rPr>
                  <w:noProof/>
                </w:rPr>
              </w:pPr>
              <w:r>
                <w:rPr>
                  <w:noProof/>
                </w:rPr>
                <w:t xml:space="preserve">ATO, 2020b. </w:t>
              </w:r>
              <w:r>
                <w:rPr>
                  <w:i/>
                  <w:iCs/>
                  <w:noProof/>
                </w:rPr>
                <w:t xml:space="preserve">ATO continues to strengthen our support for Aboriginal and Torres Strait Islander people. </w:t>
              </w:r>
              <w:r>
                <w:rPr>
                  <w:noProof/>
                </w:rPr>
                <w:t xml:space="preserve">[Online] </w:t>
              </w:r>
              <w:r>
                <w:rPr>
                  <w:noProof/>
                </w:rPr>
                <w:br/>
                <w:t xml:space="preserve">Available at: </w:t>
              </w:r>
              <w:r>
                <w:rPr>
                  <w:noProof/>
                  <w:u w:val="single"/>
                </w:rPr>
                <w:t>https://www.ato.gov.au/Media-centre/Media-releases/ATO-continues-to-strengthen-our-support-for-Aboriginal-and-Torres-Strait-Islander-people/</w:t>
              </w:r>
              <w:r>
                <w:rPr>
                  <w:noProof/>
                </w:rPr>
                <w:br/>
                <w:t>[Accessed 30 June 2020].</w:t>
              </w:r>
            </w:p>
            <w:p w14:paraId="5C67C6BF" w14:textId="77777777" w:rsidR="00E83F6E" w:rsidRDefault="00E83F6E" w:rsidP="00E83F6E">
              <w:pPr>
                <w:pStyle w:val="Bibliography"/>
                <w:rPr>
                  <w:noProof/>
                </w:rPr>
              </w:pPr>
              <w:r>
                <w:rPr>
                  <w:noProof/>
                </w:rPr>
                <w:t xml:space="preserve">ATO, 2020c. </w:t>
              </w:r>
              <w:r>
                <w:rPr>
                  <w:i/>
                  <w:iCs/>
                  <w:noProof/>
                </w:rPr>
                <w:t xml:space="preserve">Key superannuation rates and thresholds, Preservation age. </w:t>
              </w:r>
              <w:r>
                <w:rPr>
                  <w:noProof/>
                </w:rPr>
                <w:t xml:space="preserve">[Online] </w:t>
              </w:r>
              <w:r>
                <w:rPr>
                  <w:noProof/>
                </w:rPr>
                <w:br/>
                <w:t xml:space="preserve">Available at: </w:t>
              </w:r>
              <w:r>
                <w:rPr>
                  <w:noProof/>
                  <w:u w:val="single"/>
                </w:rPr>
                <w:t>https://www.ato.gov.au/Rates/Key-superannuation-rates-and-thresholds/?page=11</w:t>
              </w:r>
              <w:r>
                <w:rPr>
                  <w:noProof/>
                </w:rPr>
                <w:br/>
                <w:t>[Accessed 8 April 2020].</w:t>
              </w:r>
            </w:p>
            <w:p w14:paraId="14407BC2" w14:textId="77777777" w:rsidR="00E83F6E" w:rsidRDefault="00E83F6E" w:rsidP="00E83F6E">
              <w:pPr>
                <w:pStyle w:val="Bibliography"/>
                <w:rPr>
                  <w:noProof/>
                </w:rPr>
              </w:pPr>
              <w:r>
                <w:rPr>
                  <w:noProof/>
                </w:rPr>
                <w:t xml:space="preserve">ATO, 2020d. </w:t>
              </w:r>
              <w:r>
                <w:rPr>
                  <w:i/>
                  <w:iCs/>
                  <w:noProof/>
                </w:rPr>
                <w:t xml:space="preserve">Super death benefits. </w:t>
              </w:r>
              <w:r>
                <w:rPr>
                  <w:noProof/>
                </w:rPr>
                <w:t xml:space="preserve">[Online] </w:t>
              </w:r>
              <w:r>
                <w:rPr>
                  <w:noProof/>
                </w:rPr>
                <w:br/>
                <w:t xml:space="preserve">Available at: </w:t>
              </w:r>
              <w:r>
                <w:rPr>
                  <w:noProof/>
                  <w:u w:val="single"/>
                </w:rPr>
                <w:t>https://www.ato.gov.au/Individuals/Super/In-detail/Withdrawing-and-using-your-super/Withdrawing-your-super-and-paying-tax/?page=6</w:t>
              </w:r>
              <w:r>
                <w:rPr>
                  <w:noProof/>
                </w:rPr>
                <w:br/>
                <w:t>[Accessed 25 May 2020].</w:t>
              </w:r>
            </w:p>
            <w:p w14:paraId="08D88A50" w14:textId="77777777" w:rsidR="00E83F6E" w:rsidRDefault="00E83F6E" w:rsidP="00E83F6E">
              <w:pPr>
                <w:pStyle w:val="Bibliography"/>
                <w:rPr>
                  <w:noProof/>
                </w:rPr>
              </w:pPr>
              <w:r>
                <w:rPr>
                  <w:noProof/>
                </w:rPr>
                <w:t xml:space="preserve">ATO, 2020e. </w:t>
              </w:r>
              <w:r>
                <w:rPr>
                  <w:i/>
                  <w:iCs/>
                  <w:noProof/>
                </w:rPr>
                <w:t xml:space="preserve">Superannuation guarantee gap. </w:t>
              </w:r>
              <w:r>
                <w:rPr>
                  <w:noProof/>
                </w:rPr>
                <w:t xml:space="preserve">[Online] </w:t>
              </w:r>
              <w:r>
                <w:rPr>
                  <w:noProof/>
                </w:rPr>
                <w:br/>
                <w:t xml:space="preserve">Available at: </w:t>
              </w:r>
              <w:r>
                <w:rPr>
                  <w:noProof/>
                  <w:u w:val="single"/>
                </w:rPr>
                <w:t>https://www.ato.gov.au/About-ATO/Research-and-statistics/In-detail/Tax-gap/Superannuation-guarantee-gap/</w:t>
              </w:r>
              <w:r>
                <w:rPr>
                  <w:noProof/>
                </w:rPr>
                <w:br/>
                <w:t>[Accessed 20 March 2020].</w:t>
              </w:r>
            </w:p>
            <w:p w14:paraId="763EC174" w14:textId="77777777" w:rsidR="00E83F6E" w:rsidRDefault="00E83F6E" w:rsidP="00E83F6E">
              <w:pPr>
                <w:pStyle w:val="Bibliography"/>
                <w:rPr>
                  <w:noProof/>
                </w:rPr>
              </w:pPr>
              <w:r>
                <w:rPr>
                  <w:noProof/>
                </w:rPr>
                <w:t xml:space="preserve">ATO, 2020f. </w:t>
              </w:r>
              <w:r>
                <w:rPr>
                  <w:i/>
                  <w:iCs/>
                  <w:noProof/>
                </w:rPr>
                <w:t xml:space="preserve">Superannuation Guarantee Ruling. </w:t>
              </w:r>
              <w:r>
                <w:rPr>
                  <w:noProof/>
                </w:rPr>
                <w:t xml:space="preserve">[Online] </w:t>
              </w:r>
              <w:r>
                <w:rPr>
                  <w:noProof/>
                </w:rPr>
                <w:br/>
                <w:t xml:space="preserve">Available at: </w:t>
              </w:r>
              <w:r>
                <w:rPr>
                  <w:noProof/>
                  <w:u w:val="single"/>
                </w:rPr>
                <w:t>https://www.ato.gov.au/law/view/document?DocID=%22SGR%2FSGR20092%2FNAT%2FATO%2F00001%22&amp;PiT=99991231235958</w:t>
              </w:r>
              <w:r>
                <w:rPr>
                  <w:noProof/>
                </w:rPr>
                <w:br/>
                <w:t>[Accessed 20 March 2020].</w:t>
              </w:r>
            </w:p>
            <w:p w14:paraId="6090674A" w14:textId="77777777" w:rsidR="00E83F6E" w:rsidRDefault="00E83F6E" w:rsidP="00E83F6E">
              <w:pPr>
                <w:pStyle w:val="Bibliography"/>
                <w:rPr>
                  <w:noProof/>
                </w:rPr>
              </w:pPr>
              <w:r>
                <w:rPr>
                  <w:noProof/>
                </w:rPr>
                <w:t xml:space="preserve">ATO, 2020g. </w:t>
              </w:r>
              <w:r>
                <w:rPr>
                  <w:i/>
                  <w:iCs/>
                  <w:noProof/>
                </w:rPr>
                <w:t xml:space="preserve">Super guarantee percentage. </w:t>
              </w:r>
              <w:r>
                <w:rPr>
                  <w:noProof/>
                </w:rPr>
                <w:t xml:space="preserve">[Online] </w:t>
              </w:r>
              <w:r>
                <w:rPr>
                  <w:noProof/>
                </w:rPr>
                <w:br/>
                <w:t xml:space="preserve">Available at: </w:t>
              </w:r>
              <w:r>
                <w:rPr>
                  <w:noProof/>
                  <w:u w:val="single"/>
                </w:rPr>
                <w:t>https://www.ato.gov.au/Rates/Key-superannuation-rates-and-thresholds/?anchor=Superguaranteepercentage#Superguaranteepercentage</w:t>
              </w:r>
              <w:r>
                <w:rPr>
                  <w:noProof/>
                </w:rPr>
                <w:br/>
                <w:t>[Accessed 18 March 2020].</w:t>
              </w:r>
            </w:p>
            <w:p w14:paraId="1ED76E4E" w14:textId="77777777" w:rsidR="00E83F6E" w:rsidRDefault="00E83F6E" w:rsidP="00E83F6E">
              <w:pPr>
                <w:pStyle w:val="Bibliography"/>
                <w:rPr>
                  <w:noProof/>
                </w:rPr>
              </w:pPr>
              <w:r>
                <w:rPr>
                  <w:noProof/>
                </w:rPr>
                <w:t xml:space="preserve">Attanasio, O., Bank, J. &amp; Wakefield, M., 2005. Effectiveness of Tax Incentives to Boost Retirement Savings: Theoretical Motivation and Empirical Evidence. </w:t>
              </w:r>
              <w:r>
                <w:rPr>
                  <w:i/>
                  <w:iCs/>
                  <w:noProof/>
                </w:rPr>
                <w:t xml:space="preserve">OECD Economic Studies, </w:t>
              </w:r>
              <w:r>
                <w:rPr>
                  <w:noProof/>
                </w:rPr>
                <w:t>Volume 39.</w:t>
              </w:r>
            </w:p>
            <w:p w14:paraId="49AF79CE" w14:textId="77777777" w:rsidR="00E83F6E" w:rsidRDefault="00E83F6E" w:rsidP="00E83F6E">
              <w:pPr>
                <w:pStyle w:val="Bibliography"/>
                <w:rPr>
                  <w:noProof/>
                </w:rPr>
              </w:pPr>
              <w:r>
                <w:rPr>
                  <w:noProof/>
                </w:rPr>
                <w:t xml:space="preserve">Attorney-General's Department, 2019. </w:t>
              </w:r>
              <w:r>
                <w:rPr>
                  <w:i/>
                  <w:iCs/>
                  <w:noProof/>
                </w:rPr>
                <w:t xml:space="preserve">De facto property regime. </w:t>
              </w:r>
              <w:r>
                <w:rPr>
                  <w:noProof/>
                </w:rPr>
                <w:t xml:space="preserve">[Online] </w:t>
              </w:r>
              <w:r>
                <w:rPr>
                  <w:noProof/>
                </w:rPr>
                <w:br/>
                <w:t xml:space="preserve">Available at: </w:t>
              </w:r>
              <w:r>
                <w:rPr>
                  <w:noProof/>
                  <w:u w:val="single"/>
                </w:rPr>
                <w:t>https://www.ag.gov.au/FamiliesAndMarriage/Families/Pages/DeFactoPropertyRegime.aspx</w:t>
              </w:r>
              <w:r>
                <w:rPr>
                  <w:noProof/>
                </w:rPr>
                <w:br/>
                <w:t>[Accessed 10 February 2020].</w:t>
              </w:r>
            </w:p>
            <w:p w14:paraId="6BE0BB03" w14:textId="77777777" w:rsidR="00E83F6E" w:rsidRDefault="00E83F6E" w:rsidP="00E83F6E">
              <w:pPr>
                <w:pStyle w:val="Bibliography"/>
                <w:rPr>
                  <w:noProof/>
                </w:rPr>
              </w:pPr>
              <w:r>
                <w:rPr>
                  <w:noProof/>
                </w:rPr>
                <w:t xml:space="preserve">Auerbach, A., 2006. The Future of Capital Income Taxation. </w:t>
              </w:r>
              <w:r>
                <w:rPr>
                  <w:i/>
                  <w:iCs/>
                  <w:noProof/>
                </w:rPr>
                <w:t xml:space="preserve">Fiscal Studies, </w:t>
              </w:r>
              <w:r>
                <w:rPr>
                  <w:noProof/>
                </w:rPr>
                <w:t>Volume 27, pp. 399-420.</w:t>
              </w:r>
            </w:p>
            <w:p w14:paraId="27734080" w14:textId="77777777" w:rsidR="00E83F6E" w:rsidRDefault="00E83F6E" w:rsidP="00E83F6E">
              <w:pPr>
                <w:pStyle w:val="Bibliography"/>
                <w:rPr>
                  <w:noProof/>
                </w:rPr>
              </w:pPr>
              <w:r>
                <w:rPr>
                  <w:noProof/>
                </w:rPr>
                <w:t xml:space="preserve">Austen, S. &amp; Mavisakalyan, A., 2018. Gender gaps in long-term earnings and retirement wealth: The effects of education and parenthood. </w:t>
              </w:r>
              <w:r>
                <w:rPr>
                  <w:i/>
                  <w:iCs/>
                  <w:noProof/>
                </w:rPr>
                <w:t xml:space="preserve">Journal of Industrial Relations, </w:t>
              </w:r>
              <w:r>
                <w:rPr>
                  <w:noProof/>
                </w:rPr>
                <w:t>60(4), pp. 492-516.</w:t>
              </w:r>
            </w:p>
            <w:p w14:paraId="0B7E433F" w14:textId="77777777" w:rsidR="00E83F6E" w:rsidRDefault="00E83F6E" w:rsidP="00E83F6E">
              <w:pPr>
                <w:pStyle w:val="Bibliography"/>
                <w:rPr>
                  <w:noProof/>
                </w:rPr>
              </w:pPr>
              <w:r>
                <w:rPr>
                  <w:noProof/>
                </w:rPr>
                <w:t xml:space="preserve">AUSTRAC, 2020. </w:t>
              </w:r>
              <w:r>
                <w:rPr>
                  <w:i/>
                  <w:iCs/>
                  <w:noProof/>
                </w:rPr>
                <w:t xml:space="preserve">Identifying customers who don't have conventional forms of ID. </w:t>
              </w:r>
              <w:r>
                <w:rPr>
                  <w:noProof/>
                </w:rPr>
                <w:t xml:space="preserve">[Online] </w:t>
              </w:r>
              <w:r>
                <w:rPr>
                  <w:noProof/>
                </w:rPr>
                <w:br/>
                <w:t xml:space="preserve">Available at: </w:t>
              </w:r>
              <w:r>
                <w:rPr>
                  <w:noProof/>
                  <w:u w:val="single"/>
                </w:rPr>
                <w:t>https://www.austrac.gov.au/business/how-comply-and-report-guidance-and-resources/customer-identification-and-verification/identifying-customers-who-dont-have-conventional-forms-id</w:t>
              </w:r>
              <w:r>
                <w:rPr>
                  <w:noProof/>
                </w:rPr>
                <w:br/>
                <w:t>[Accessed 20 May 2020].</w:t>
              </w:r>
            </w:p>
            <w:p w14:paraId="05E68C13" w14:textId="77777777" w:rsidR="00E83F6E" w:rsidRDefault="00E83F6E" w:rsidP="00E83F6E">
              <w:pPr>
                <w:pStyle w:val="Bibliography"/>
                <w:rPr>
                  <w:noProof/>
                </w:rPr>
              </w:pPr>
              <w:r>
                <w:rPr>
                  <w:noProof/>
                </w:rPr>
                <w:t xml:space="preserve">Australia’s Future Tax System Review, 2008. </w:t>
              </w:r>
              <w:r>
                <w:rPr>
                  <w:i/>
                  <w:iCs/>
                  <w:noProof/>
                </w:rPr>
                <w:t xml:space="preserve">Architecture of Australia’s Tax and Transfer System, </w:t>
              </w:r>
              <w:r>
                <w:rPr>
                  <w:noProof/>
                </w:rPr>
                <w:t>Canberra: Commonwealth of Australia.</w:t>
              </w:r>
            </w:p>
            <w:p w14:paraId="7898739D" w14:textId="77777777" w:rsidR="00E83F6E" w:rsidRDefault="00E83F6E" w:rsidP="00E83F6E">
              <w:pPr>
                <w:pStyle w:val="Bibliography"/>
                <w:rPr>
                  <w:noProof/>
                </w:rPr>
              </w:pPr>
              <w:r>
                <w:rPr>
                  <w:noProof/>
                </w:rPr>
                <w:t xml:space="preserve">Australia’s Future Tax System Review, 2009. </w:t>
              </w:r>
              <w:r>
                <w:rPr>
                  <w:i/>
                  <w:iCs/>
                  <w:noProof/>
                </w:rPr>
                <w:t xml:space="preserve">Australia's Future Tax System - The Retirement Income System: Report on Strategic Issues, </w:t>
              </w:r>
              <w:r>
                <w:rPr>
                  <w:noProof/>
                </w:rPr>
                <w:t>Canberra: Commonwealth of Australia.</w:t>
              </w:r>
            </w:p>
            <w:p w14:paraId="0B984F84" w14:textId="77777777" w:rsidR="00E83F6E" w:rsidRDefault="00E83F6E" w:rsidP="00E83F6E">
              <w:pPr>
                <w:pStyle w:val="Bibliography"/>
                <w:rPr>
                  <w:noProof/>
                </w:rPr>
              </w:pPr>
              <w:r>
                <w:rPr>
                  <w:noProof/>
                </w:rPr>
                <w:t xml:space="preserve">Australian Centre for Financial Studies, 2014. </w:t>
              </w:r>
              <w:r>
                <w:rPr>
                  <w:i/>
                  <w:iCs/>
                  <w:noProof/>
                </w:rPr>
                <w:t xml:space="preserve">Involuntary Retirement: Characteristics and implications, </w:t>
              </w:r>
              <w:r>
                <w:rPr>
                  <w:noProof/>
                </w:rPr>
                <w:t>Melbourne: Australian Institute of Superannuation Trustees.</w:t>
              </w:r>
            </w:p>
            <w:p w14:paraId="6D2F29A2" w14:textId="77777777" w:rsidR="00E83F6E" w:rsidRDefault="00E83F6E" w:rsidP="00E83F6E">
              <w:pPr>
                <w:pStyle w:val="Bibliography"/>
                <w:rPr>
                  <w:noProof/>
                </w:rPr>
              </w:pPr>
              <w:r>
                <w:rPr>
                  <w:noProof/>
                </w:rPr>
                <w:t xml:space="preserve">Australian Centre for Financial Studies, 2016. </w:t>
              </w:r>
              <w:r>
                <w:rPr>
                  <w:i/>
                  <w:iCs/>
                  <w:noProof/>
                </w:rPr>
                <w:t xml:space="preserve">Expenditure Patterns in Retirement, </w:t>
              </w:r>
              <w:r>
                <w:rPr>
                  <w:noProof/>
                </w:rPr>
                <w:t>Melbourne: Australian Institute of Superannuation Trustees.</w:t>
              </w:r>
            </w:p>
            <w:p w14:paraId="455D0BE9" w14:textId="77777777" w:rsidR="00E83F6E" w:rsidRDefault="00E83F6E" w:rsidP="00E83F6E">
              <w:pPr>
                <w:pStyle w:val="Bibliography"/>
                <w:rPr>
                  <w:noProof/>
                </w:rPr>
              </w:pPr>
              <w:r>
                <w:rPr>
                  <w:noProof/>
                </w:rPr>
                <w:t xml:space="preserve">Australian Council of Social Service, 2016. </w:t>
              </w:r>
              <w:r>
                <w:rPr>
                  <w:i/>
                  <w:iCs/>
                  <w:noProof/>
                </w:rPr>
                <w:t xml:space="preserve">Submission to the Superannuation (Objective) Bill 2016. </w:t>
              </w:r>
              <w:r>
                <w:rPr>
                  <w:noProof/>
                </w:rPr>
                <w:t xml:space="preserve">[Online] </w:t>
              </w:r>
              <w:r>
                <w:rPr>
                  <w:noProof/>
                </w:rPr>
                <w:br/>
                <w:t xml:space="preserve">Available at: </w:t>
              </w:r>
              <w:r>
                <w:rPr>
                  <w:noProof/>
                  <w:u w:val="single"/>
                </w:rPr>
                <w:t>https://www.acoss.org.au/wp-content/uploads/2017/01/ACOSS-submission-purpose-of-super16.pdf</w:t>
              </w:r>
              <w:r>
                <w:rPr>
                  <w:noProof/>
                </w:rPr>
                <w:br/>
                <w:t>[Accessed 18 March 2020].</w:t>
              </w:r>
            </w:p>
            <w:p w14:paraId="1D9EBE64" w14:textId="77777777" w:rsidR="00E83F6E" w:rsidRDefault="00E83F6E" w:rsidP="00E83F6E">
              <w:pPr>
                <w:pStyle w:val="Bibliography"/>
                <w:rPr>
                  <w:noProof/>
                </w:rPr>
              </w:pPr>
              <w:r>
                <w:rPr>
                  <w:noProof/>
                </w:rPr>
                <w:t xml:space="preserve">Australian Council of Social Service,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6DFAC683" w14:textId="77777777" w:rsidR="00E83F6E" w:rsidRDefault="00E83F6E" w:rsidP="00E83F6E">
              <w:pPr>
                <w:pStyle w:val="Bibliography"/>
                <w:rPr>
                  <w:noProof/>
                </w:rPr>
              </w:pPr>
              <w:r>
                <w:rPr>
                  <w:noProof/>
                </w:rPr>
                <w:t xml:space="preserve">Australian Council of Trade Unions, 1990. </w:t>
              </w:r>
              <w:r>
                <w:rPr>
                  <w:i/>
                  <w:iCs/>
                  <w:noProof/>
                </w:rPr>
                <w:t xml:space="preserve">The Accord: Background Information on the Accord. </w:t>
              </w:r>
              <w:r>
                <w:rPr>
                  <w:noProof/>
                </w:rPr>
                <w:t xml:space="preserve">[Online] </w:t>
              </w:r>
              <w:r>
                <w:rPr>
                  <w:noProof/>
                </w:rPr>
                <w:br/>
                <w:t xml:space="preserve">Available at: </w:t>
              </w:r>
              <w:r>
                <w:rPr>
                  <w:noProof/>
                  <w:u w:val="single"/>
                </w:rPr>
                <w:t>https://www.actu.org.au/our-work/publications/archives/the-accord-background-information-on-the-accord</w:t>
              </w:r>
              <w:r>
                <w:rPr>
                  <w:noProof/>
                </w:rPr>
                <w:br/>
                <w:t>[Accessed 18 March 2020].</w:t>
              </w:r>
            </w:p>
            <w:p w14:paraId="489E74AB" w14:textId="77777777" w:rsidR="00E83F6E" w:rsidRDefault="00E83F6E" w:rsidP="00E83F6E">
              <w:pPr>
                <w:pStyle w:val="Bibliography"/>
                <w:rPr>
                  <w:noProof/>
                </w:rPr>
              </w:pPr>
              <w:r>
                <w:rPr>
                  <w:noProof/>
                </w:rPr>
                <w:t xml:space="preserve">Australian Council of Trade Unions,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1EE9F50" w14:textId="77777777" w:rsidR="00E83F6E" w:rsidRDefault="00E83F6E" w:rsidP="00E83F6E">
              <w:pPr>
                <w:pStyle w:val="Bibliography"/>
                <w:rPr>
                  <w:noProof/>
                </w:rPr>
              </w:pPr>
              <w:r>
                <w:rPr>
                  <w:noProof/>
                </w:rPr>
                <w:t xml:space="preserve">Australian Government Actuary, 2014. </w:t>
              </w:r>
              <w:r>
                <w:rPr>
                  <w:i/>
                  <w:iCs/>
                  <w:noProof/>
                </w:rPr>
                <w:t xml:space="preserve">Australian Life Tables 2010-12. </w:t>
              </w:r>
              <w:r>
                <w:rPr>
                  <w:noProof/>
                </w:rPr>
                <w:t xml:space="preserve">[Online] </w:t>
              </w:r>
              <w:r>
                <w:rPr>
                  <w:noProof/>
                </w:rPr>
                <w:br/>
                <w:t xml:space="preserve">Available at: </w:t>
              </w:r>
              <w:r>
                <w:rPr>
                  <w:noProof/>
                  <w:u w:val="single"/>
                </w:rPr>
                <w:t>http://www.aga.gov.au/publications/life_table_2010-12/downloads/Australian_Life_Tables_2010-12_Final_V2.pdf</w:t>
              </w:r>
              <w:r>
                <w:rPr>
                  <w:noProof/>
                </w:rPr>
                <w:br/>
                <w:t>[Accessed 18 March 2020].</w:t>
              </w:r>
            </w:p>
            <w:p w14:paraId="3A6275B6" w14:textId="77777777" w:rsidR="00E83F6E" w:rsidRDefault="00E83F6E" w:rsidP="00E83F6E">
              <w:pPr>
                <w:pStyle w:val="Bibliography"/>
                <w:rPr>
                  <w:noProof/>
                </w:rPr>
              </w:pPr>
              <w:r>
                <w:rPr>
                  <w:noProof/>
                </w:rPr>
                <w:t xml:space="preserve">Australian Government Actuary, 2019. </w:t>
              </w:r>
              <w:r>
                <w:rPr>
                  <w:i/>
                  <w:iCs/>
                  <w:noProof/>
                </w:rPr>
                <w:t xml:space="preserve">Australian Life Tables 2015-17. </w:t>
              </w:r>
              <w:r>
                <w:rPr>
                  <w:noProof/>
                </w:rPr>
                <w:t xml:space="preserve">[Online] </w:t>
              </w:r>
              <w:r>
                <w:rPr>
                  <w:noProof/>
                </w:rPr>
                <w:br/>
                <w:t xml:space="preserve">Available at: </w:t>
              </w:r>
              <w:r>
                <w:rPr>
                  <w:noProof/>
                  <w:u w:val="single"/>
                </w:rPr>
                <w:t>http://www.aga.gov.au/publications/life_table_2015-17/downloads/Australian%20Life%20Tables%202015-17%20v5.pdf</w:t>
              </w:r>
              <w:r>
                <w:rPr>
                  <w:noProof/>
                </w:rPr>
                <w:br/>
                <w:t>[Accessed 18 March 2020].</w:t>
              </w:r>
            </w:p>
            <w:p w14:paraId="6E4AA30E" w14:textId="77777777" w:rsidR="00E83F6E" w:rsidRDefault="00E83F6E" w:rsidP="00E83F6E">
              <w:pPr>
                <w:pStyle w:val="Bibliography"/>
                <w:rPr>
                  <w:noProof/>
                </w:rPr>
              </w:pPr>
              <w:r>
                <w:rPr>
                  <w:noProof/>
                </w:rPr>
                <w:t xml:space="preserve">Australian Housing and Urban Research Institute,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405E3C0F" w14:textId="77777777" w:rsidR="00E83F6E" w:rsidRDefault="00E83F6E" w:rsidP="00E83F6E">
              <w:pPr>
                <w:pStyle w:val="Bibliography"/>
                <w:rPr>
                  <w:noProof/>
                </w:rPr>
              </w:pPr>
              <w:r>
                <w:rPr>
                  <w:noProof/>
                </w:rPr>
                <w:t xml:space="preserve">Australian Human Rights Commission, 2013. </w:t>
              </w:r>
              <w:r>
                <w:rPr>
                  <w:i/>
                  <w:iCs/>
                  <w:noProof/>
                </w:rPr>
                <w:t xml:space="preserve">Investing in care: Recognising and valuing those who care, Volume 1: Research Report, </w:t>
              </w:r>
              <w:r>
                <w:rPr>
                  <w:noProof/>
                </w:rPr>
                <w:t>Sydney: Australian Human Rights Commission.</w:t>
              </w:r>
            </w:p>
            <w:p w14:paraId="7A32DB8B" w14:textId="77777777" w:rsidR="00E83F6E" w:rsidRDefault="00E83F6E" w:rsidP="00E83F6E">
              <w:pPr>
                <w:pStyle w:val="Bibliography"/>
                <w:rPr>
                  <w:noProof/>
                </w:rPr>
              </w:pPr>
              <w:r>
                <w:rPr>
                  <w:noProof/>
                </w:rPr>
                <w:t xml:space="preserve">Australian Human Rights Commission, 2019. </w:t>
              </w:r>
              <w:r>
                <w:rPr>
                  <w:i/>
                  <w:iCs/>
                  <w:noProof/>
                </w:rPr>
                <w:t xml:space="preserve">Older Women's Risk of Homelessness: Background Paper, </w:t>
              </w:r>
              <w:r>
                <w:rPr>
                  <w:noProof/>
                </w:rPr>
                <w:t>Sydney: Australian Human Rights Commission.</w:t>
              </w:r>
            </w:p>
            <w:p w14:paraId="0C1D6A5F" w14:textId="77777777" w:rsidR="00E83F6E" w:rsidRDefault="00E83F6E" w:rsidP="00E83F6E">
              <w:pPr>
                <w:pStyle w:val="Bibliography"/>
                <w:rPr>
                  <w:noProof/>
                </w:rPr>
              </w:pPr>
              <w:r>
                <w:rPr>
                  <w:noProof/>
                </w:rPr>
                <w:t xml:space="preserve">Australian Institute of Health and Welfare, 2017. </w:t>
              </w:r>
              <w:r>
                <w:rPr>
                  <w:i/>
                  <w:iCs/>
                  <w:noProof/>
                </w:rPr>
                <w:t xml:space="preserve">Life expectancy and disability in Australia: expected years living with and without disability. </w:t>
              </w:r>
              <w:r>
                <w:rPr>
                  <w:noProof/>
                </w:rPr>
                <w:t xml:space="preserve">[Online] </w:t>
              </w:r>
              <w:r>
                <w:rPr>
                  <w:noProof/>
                </w:rPr>
                <w:br/>
                <w:t xml:space="preserve">Available at: </w:t>
              </w:r>
              <w:r>
                <w:rPr>
                  <w:noProof/>
                  <w:u w:val="single"/>
                </w:rPr>
                <w:t>https://www.aihw.gov.au/getmedia/7b986857-7b41-4aae-b7ff-eab57eb20f13/20457.pdf.aspx?inline=true</w:t>
              </w:r>
              <w:r>
                <w:rPr>
                  <w:noProof/>
                </w:rPr>
                <w:br/>
                <w:t>[Accessed 3 July 2020].</w:t>
              </w:r>
            </w:p>
            <w:p w14:paraId="5F867030" w14:textId="77777777" w:rsidR="00E83F6E" w:rsidRDefault="00E83F6E" w:rsidP="00E83F6E">
              <w:pPr>
                <w:pStyle w:val="Bibliography"/>
                <w:rPr>
                  <w:noProof/>
                </w:rPr>
              </w:pPr>
              <w:r>
                <w:rPr>
                  <w:noProof/>
                </w:rPr>
                <w:t xml:space="preserve">Australian Institute of Health and Welfare, 2018a. </w:t>
              </w:r>
              <w:r>
                <w:rPr>
                  <w:i/>
                  <w:iCs/>
                  <w:noProof/>
                </w:rPr>
                <w:t xml:space="preserve">Family, domestic and sexual violence in Australia 2018, cat. no. FDV 2, </w:t>
              </w:r>
              <w:r>
                <w:rPr>
                  <w:noProof/>
                </w:rPr>
                <w:t>Canberra: AIHW.</w:t>
              </w:r>
            </w:p>
            <w:p w14:paraId="438ACBB0" w14:textId="77777777" w:rsidR="00E83F6E" w:rsidRDefault="00E83F6E" w:rsidP="00E83F6E">
              <w:pPr>
                <w:pStyle w:val="Bibliography"/>
                <w:rPr>
                  <w:noProof/>
                </w:rPr>
              </w:pPr>
              <w:r>
                <w:rPr>
                  <w:noProof/>
                </w:rPr>
                <w:t xml:space="preserve">Australian Institute of Health and Welfare, 2018b. </w:t>
              </w:r>
              <w:r>
                <w:rPr>
                  <w:i/>
                  <w:iCs/>
                  <w:noProof/>
                </w:rPr>
                <w:t xml:space="preserve">Older Australia at a glance. </w:t>
              </w:r>
              <w:r>
                <w:rPr>
                  <w:noProof/>
                </w:rPr>
                <w:t xml:space="preserve">[Online] </w:t>
              </w:r>
              <w:r>
                <w:rPr>
                  <w:noProof/>
                </w:rPr>
                <w:br/>
                <w:t xml:space="preserve">Available at: </w:t>
              </w:r>
              <w:r>
                <w:rPr>
                  <w:noProof/>
                  <w:u w:val="single"/>
                </w:rPr>
                <w:t>https://www.aihw.gov.au/reports/older-people/older-australia-at-a-glance/contents/diverse-groups-of-older-australians/people-at-risk-of-homelessness</w:t>
              </w:r>
              <w:r>
                <w:rPr>
                  <w:noProof/>
                </w:rPr>
                <w:br/>
                <w:t>[Accessed 21 February 2020].</w:t>
              </w:r>
            </w:p>
            <w:p w14:paraId="3EB4E825" w14:textId="77777777" w:rsidR="00E83F6E" w:rsidRDefault="00E83F6E" w:rsidP="00E83F6E">
              <w:pPr>
                <w:pStyle w:val="Bibliography"/>
                <w:rPr>
                  <w:noProof/>
                </w:rPr>
              </w:pPr>
              <w:r>
                <w:rPr>
                  <w:noProof/>
                </w:rPr>
                <w:t xml:space="preserve">Australian Institute of Health and Welfare, 2019. </w:t>
              </w:r>
              <w:r>
                <w:rPr>
                  <w:i/>
                  <w:iCs/>
                  <w:noProof/>
                </w:rPr>
                <w:t xml:space="preserve">Housing Assistance in Australia 2019, cat. no. HOU 315. </w:t>
              </w:r>
              <w:r>
                <w:rPr>
                  <w:noProof/>
                </w:rPr>
                <w:t xml:space="preserve">[Online] </w:t>
              </w:r>
              <w:r>
                <w:rPr>
                  <w:noProof/>
                </w:rPr>
                <w:br/>
                <w:t xml:space="preserve">Available at: </w:t>
              </w:r>
              <w:r>
                <w:rPr>
                  <w:noProof/>
                  <w:u w:val="single"/>
                </w:rPr>
                <w:t>https://www.aihw.gov.au/reports/housing-assistance/housing-assistance-in-australia-2019/contents/social-housing-tenants#ten3</w:t>
              </w:r>
              <w:r>
                <w:rPr>
                  <w:noProof/>
                </w:rPr>
                <w:br/>
                <w:t>[Accessed 20 March 2020].</w:t>
              </w:r>
            </w:p>
            <w:p w14:paraId="3D3A98AD" w14:textId="77777777" w:rsidR="00E83F6E" w:rsidRDefault="00E83F6E" w:rsidP="00E83F6E">
              <w:pPr>
                <w:pStyle w:val="Bibliography"/>
                <w:rPr>
                  <w:noProof/>
                </w:rPr>
              </w:pPr>
              <w:r>
                <w:rPr>
                  <w:noProof/>
                </w:rPr>
                <w:t xml:space="preserve">Australian Institute of Superannuation Trustees,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BFFF865" w14:textId="77777777" w:rsidR="00E83F6E" w:rsidRDefault="00E83F6E" w:rsidP="00E83F6E">
              <w:pPr>
                <w:pStyle w:val="Bibliography"/>
                <w:rPr>
                  <w:noProof/>
                </w:rPr>
              </w:pPr>
              <w:r>
                <w:rPr>
                  <w:noProof/>
                </w:rPr>
                <w:t xml:space="preserve">Australian Pensioner Voice,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75E90278" w14:textId="77777777" w:rsidR="00E83F6E" w:rsidRDefault="00E83F6E" w:rsidP="00E83F6E">
              <w:pPr>
                <w:pStyle w:val="Bibliography"/>
                <w:rPr>
                  <w:noProof/>
                </w:rPr>
              </w:pPr>
              <w:r>
                <w:rPr>
                  <w:noProof/>
                </w:rPr>
                <w:t xml:space="preserve">Australian Prudential Regulation Authority, 2019a. </w:t>
              </w:r>
              <w:r>
                <w:rPr>
                  <w:i/>
                  <w:iCs/>
                  <w:noProof/>
                </w:rPr>
                <w:t xml:space="preserve">MySuper Product Heatmap. </w:t>
              </w:r>
              <w:r>
                <w:rPr>
                  <w:noProof/>
                </w:rPr>
                <w:t xml:space="preserve">[Online] </w:t>
              </w:r>
              <w:r>
                <w:rPr>
                  <w:noProof/>
                </w:rPr>
                <w:br/>
                <w:t xml:space="preserve">Available at: </w:t>
              </w:r>
              <w:r>
                <w:rPr>
                  <w:noProof/>
                  <w:u w:val="single"/>
                </w:rPr>
                <w:t>https://www.apra.gov.au/mysuper-product-heatmap</w:t>
              </w:r>
              <w:r>
                <w:rPr>
                  <w:noProof/>
                </w:rPr>
                <w:br/>
                <w:t>[Accessed 21 May 2020].</w:t>
              </w:r>
            </w:p>
            <w:p w14:paraId="0710B640" w14:textId="77777777" w:rsidR="00E83F6E" w:rsidRDefault="00E83F6E" w:rsidP="00E83F6E">
              <w:pPr>
                <w:pStyle w:val="Bibliography"/>
                <w:rPr>
                  <w:noProof/>
                </w:rPr>
              </w:pPr>
              <w:r>
                <w:rPr>
                  <w:noProof/>
                </w:rPr>
                <w:t xml:space="preserve">Australian Prudential Regulation Authority, 2019b. </w:t>
              </w:r>
              <w:r>
                <w:rPr>
                  <w:i/>
                  <w:iCs/>
                  <w:noProof/>
                </w:rPr>
                <w:t xml:space="preserve">Quarterly Superannuation Performance Statistics, December 2018. </w:t>
              </w:r>
              <w:r>
                <w:rPr>
                  <w:noProof/>
                </w:rPr>
                <w:t xml:space="preserve">[Online] </w:t>
              </w:r>
              <w:r>
                <w:rPr>
                  <w:noProof/>
                </w:rPr>
                <w:br/>
                <w:t xml:space="preserve">Available at: </w:t>
              </w:r>
              <w:r>
                <w:rPr>
                  <w:noProof/>
                  <w:u w:val="single"/>
                </w:rPr>
                <w:t>https://www.apra.gov.au/sites/default/files/quarterly_superannuation_performance_statistics_december_2018.pdf</w:t>
              </w:r>
              <w:r>
                <w:rPr>
                  <w:noProof/>
                </w:rPr>
                <w:br/>
                <w:t>[Accessed 21 February 2020].</w:t>
              </w:r>
            </w:p>
            <w:p w14:paraId="272C6415" w14:textId="77777777" w:rsidR="00E83F6E" w:rsidRDefault="00E83F6E" w:rsidP="00E83F6E">
              <w:pPr>
                <w:pStyle w:val="Bibliography"/>
                <w:rPr>
                  <w:noProof/>
                </w:rPr>
              </w:pPr>
              <w:r>
                <w:rPr>
                  <w:noProof/>
                </w:rPr>
                <w:t xml:space="preserve">Australian Prudential Regulation Authority, 2020a. </w:t>
              </w:r>
              <w:r>
                <w:rPr>
                  <w:i/>
                  <w:iCs/>
                  <w:noProof/>
                </w:rPr>
                <w:t xml:space="preserve">Annual Superannuation Bulletin June 2019. </w:t>
              </w:r>
              <w:r>
                <w:rPr>
                  <w:noProof/>
                </w:rPr>
                <w:t xml:space="preserve">[Online] </w:t>
              </w:r>
              <w:r>
                <w:rPr>
                  <w:noProof/>
                </w:rPr>
                <w:br/>
                <w:t xml:space="preserve">Available at: </w:t>
              </w:r>
              <w:r>
                <w:rPr>
                  <w:noProof/>
                  <w:u w:val="single"/>
                </w:rPr>
                <w:t>https://www.apra.gov.au/annual-superannuation-bulletin</w:t>
              </w:r>
              <w:r>
                <w:rPr>
                  <w:noProof/>
                </w:rPr>
                <w:br/>
                <w:t>[Accessed 4 April 2020].</w:t>
              </w:r>
            </w:p>
            <w:p w14:paraId="6D084142" w14:textId="77777777" w:rsidR="00E83F6E" w:rsidRDefault="00E83F6E" w:rsidP="00E83F6E">
              <w:pPr>
                <w:pStyle w:val="Bibliography"/>
                <w:rPr>
                  <w:noProof/>
                </w:rPr>
              </w:pPr>
              <w:r>
                <w:rPr>
                  <w:noProof/>
                </w:rPr>
                <w:t xml:space="preserve">Australian Prudential Regulation Authority, 2020b. </w:t>
              </w:r>
              <w:r>
                <w:rPr>
                  <w:i/>
                  <w:iCs/>
                  <w:noProof/>
                </w:rPr>
                <w:t xml:space="preserve">Quarterly Superannuation Performance Statistics, June 2019. </w:t>
              </w:r>
              <w:r>
                <w:rPr>
                  <w:noProof/>
                </w:rPr>
                <w:t xml:space="preserve">[Online] </w:t>
              </w:r>
              <w:r>
                <w:rPr>
                  <w:noProof/>
                </w:rPr>
                <w:br/>
                <w:t xml:space="preserve">Available at: </w:t>
              </w:r>
              <w:r>
                <w:rPr>
                  <w:noProof/>
                  <w:u w:val="single"/>
                </w:rPr>
                <w:t>https://www.apra.gov.au/sites/default/files/quarterly_superannuation_performance_statistics_june_2019.pdf</w:t>
              </w:r>
              <w:r>
                <w:rPr>
                  <w:noProof/>
                </w:rPr>
                <w:br/>
                <w:t>[Accessed 3 July 2020].</w:t>
              </w:r>
            </w:p>
            <w:p w14:paraId="70BC73B0" w14:textId="77777777" w:rsidR="00E83F6E" w:rsidRDefault="00E83F6E" w:rsidP="00E83F6E">
              <w:pPr>
                <w:pStyle w:val="Bibliography"/>
                <w:rPr>
                  <w:noProof/>
                </w:rPr>
              </w:pPr>
              <w:r>
                <w:rPr>
                  <w:noProof/>
                </w:rPr>
                <w:t xml:space="preserve">Australian Prudential Regulation Authority, 2020c. </w:t>
              </w:r>
              <w:r>
                <w:rPr>
                  <w:i/>
                  <w:iCs/>
                  <w:noProof/>
                </w:rPr>
                <w:t xml:space="preserve">Quarterly Superannuation Performance Statistics, March 2020. </w:t>
              </w:r>
              <w:r>
                <w:rPr>
                  <w:noProof/>
                </w:rPr>
                <w:t xml:space="preserve">[Online] </w:t>
              </w:r>
              <w:r>
                <w:rPr>
                  <w:noProof/>
                </w:rPr>
                <w:br/>
                <w:t xml:space="preserve">Available at: </w:t>
              </w:r>
              <w:r>
                <w:rPr>
                  <w:noProof/>
                  <w:u w:val="single"/>
                </w:rPr>
                <w:t>https://www.apra.gov.au/quarterly-superannuation-statistics</w:t>
              </w:r>
              <w:r>
                <w:rPr>
                  <w:noProof/>
                </w:rPr>
                <w:br/>
                <w:t>[Accessed 3 July 2020].</w:t>
              </w:r>
            </w:p>
            <w:p w14:paraId="08AF2ABD" w14:textId="77777777" w:rsidR="00E83F6E" w:rsidRDefault="00E83F6E" w:rsidP="00E83F6E">
              <w:pPr>
                <w:pStyle w:val="Bibliography"/>
                <w:rPr>
                  <w:noProof/>
                </w:rPr>
              </w:pPr>
              <w:r>
                <w:rPr>
                  <w:noProof/>
                </w:rPr>
                <w:t xml:space="preserve">AustralianSuper, 2018. </w:t>
              </w:r>
              <w:r>
                <w:rPr>
                  <w:i/>
                  <w:iCs/>
                  <w:noProof/>
                </w:rPr>
                <w:t xml:space="preserve">The Future Face of Poverty is Female: Stories behind Australian Women's Superannuation Poverty in Retirement, </w:t>
              </w:r>
              <w:r>
                <w:rPr>
                  <w:noProof/>
                </w:rPr>
                <w:t>s.l.: s.n.</w:t>
              </w:r>
            </w:p>
            <w:p w14:paraId="43075B9E" w14:textId="77777777" w:rsidR="00E83F6E" w:rsidRDefault="00E83F6E" w:rsidP="00E83F6E">
              <w:pPr>
                <w:pStyle w:val="Bibliography"/>
                <w:rPr>
                  <w:noProof/>
                </w:rPr>
              </w:pPr>
              <w:r>
                <w:rPr>
                  <w:noProof/>
                </w:rPr>
                <w:t xml:space="preserve">AustralianSuper,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C5296C4" w14:textId="77777777" w:rsidR="00E83F6E" w:rsidRDefault="00E83F6E" w:rsidP="00E83F6E">
              <w:pPr>
                <w:pStyle w:val="Bibliography"/>
                <w:rPr>
                  <w:noProof/>
                </w:rPr>
              </w:pPr>
              <w:r>
                <w:rPr>
                  <w:noProof/>
                </w:rPr>
                <w:t xml:space="preserve">Ayuso, J., Jimeno, J. &amp; Villanueva, E., 2019. The Effects of the Introduction of Tax Incentives on Retirement Savings. </w:t>
              </w:r>
              <w:r>
                <w:rPr>
                  <w:i/>
                  <w:iCs/>
                  <w:noProof/>
                </w:rPr>
                <w:t xml:space="preserve">Journal of the Spainish Economic Association, </w:t>
              </w:r>
              <w:r>
                <w:rPr>
                  <w:noProof/>
                </w:rPr>
                <w:t>10(3), pp. 211-249.</w:t>
              </w:r>
            </w:p>
            <w:p w14:paraId="576E92ED" w14:textId="77777777" w:rsidR="00E83F6E" w:rsidRDefault="00E83F6E" w:rsidP="00E83F6E">
              <w:pPr>
                <w:pStyle w:val="Bibliography"/>
                <w:rPr>
                  <w:noProof/>
                </w:rPr>
              </w:pPr>
              <w:r>
                <w:rPr>
                  <w:noProof/>
                </w:rPr>
                <w:t xml:space="preserve">Balnozan, I., 2018. </w:t>
              </w:r>
              <w:r>
                <w:rPr>
                  <w:i/>
                  <w:iCs/>
                  <w:noProof/>
                </w:rPr>
                <w:t xml:space="preserve">Slow and Steady: Drawdown Behaviours in Phased Withdrawal Retirement Income Products, </w:t>
              </w:r>
              <w:r>
                <w:rPr>
                  <w:noProof/>
                </w:rPr>
                <w:t>Sydney: Business School, UNSW Sydney.</w:t>
              </w:r>
            </w:p>
            <w:p w14:paraId="48077101" w14:textId="77777777" w:rsidR="00E83F6E" w:rsidRDefault="00E83F6E" w:rsidP="00E83F6E">
              <w:pPr>
                <w:pStyle w:val="Bibliography"/>
                <w:rPr>
                  <w:noProof/>
                </w:rPr>
              </w:pPr>
              <w:r>
                <w:rPr>
                  <w:noProof/>
                </w:rPr>
                <w:t xml:space="preserve">Banerjee, S., 2015. Change in Household Spending After Retirement: Results from a Longitudinal Sample. </w:t>
              </w:r>
              <w:r>
                <w:rPr>
                  <w:i/>
                  <w:iCs/>
                  <w:noProof/>
                </w:rPr>
                <w:t xml:space="preserve">EBRI, </w:t>
              </w:r>
              <w:r>
                <w:rPr>
                  <w:noProof/>
                </w:rPr>
                <w:t>Volume 420, pp. 1-19.</w:t>
              </w:r>
            </w:p>
            <w:p w14:paraId="60870436" w14:textId="77777777" w:rsidR="00E83F6E" w:rsidRDefault="00E83F6E" w:rsidP="00E83F6E">
              <w:pPr>
                <w:pStyle w:val="Bibliography"/>
                <w:rPr>
                  <w:noProof/>
                </w:rPr>
              </w:pPr>
              <w:r>
                <w:rPr>
                  <w:noProof/>
                </w:rPr>
                <w:t xml:space="preserve">Banerjee, S., 2018. Asset Decumulation or Asset Preservation? What Guides Retirement Spending?. </w:t>
              </w:r>
              <w:r>
                <w:rPr>
                  <w:i/>
                  <w:iCs/>
                  <w:noProof/>
                </w:rPr>
                <w:t xml:space="preserve">EBRI Issue Brief 447, </w:t>
              </w:r>
              <w:r>
                <w:rPr>
                  <w:noProof/>
                </w:rPr>
                <w:t>Volume 447.</w:t>
              </w:r>
            </w:p>
            <w:p w14:paraId="36B96515" w14:textId="77777777" w:rsidR="00E83F6E" w:rsidRDefault="00E83F6E" w:rsidP="00E83F6E">
              <w:pPr>
                <w:pStyle w:val="Bibliography"/>
                <w:rPr>
                  <w:noProof/>
                </w:rPr>
              </w:pPr>
              <w:r>
                <w:rPr>
                  <w:noProof/>
                </w:rPr>
                <w:t xml:space="preserve">Barrett, G. F. &amp; Brzozowski, M., 2012. Food Expenditure and Involuntary Retirement: Resolving the Retirement-Consumption Puzzle. </w:t>
              </w:r>
              <w:r>
                <w:rPr>
                  <w:i/>
                  <w:iCs/>
                  <w:noProof/>
                </w:rPr>
                <w:t xml:space="preserve">American Journal of Agricultural Economics, </w:t>
              </w:r>
              <w:r>
                <w:rPr>
                  <w:noProof/>
                </w:rPr>
                <w:t>pp. 945-955.</w:t>
              </w:r>
            </w:p>
            <w:p w14:paraId="0167ABD4" w14:textId="77777777" w:rsidR="00E83F6E" w:rsidRDefault="00E83F6E" w:rsidP="00E83F6E">
              <w:pPr>
                <w:pStyle w:val="Bibliography"/>
                <w:rPr>
                  <w:noProof/>
                </w:rPr>
              </w:pPr>
              <w:r>
                <w:rPr>
                  <w:noProof/>
                </w:rPr>
                <w:t xml:space="preserve">Barrett, G. F. &amp; Kecmanovic, M., 2013. Changes in subjective well-being with retirement: assessing savings adequacy. </w:t>
              </w:r>
              <w:r>
                <w:rPr>
                  <w:i/>
                  <w:iCs/>
                  <w:noProof/>
                </w:rPr>
                <w:t xml:space="preserve">Applied Economics, </w:t>
              </w:r>
              <w:r>
                <w:rPr>
                  <w:noProof/>
                </w:rPr>
                <w:t>45(35), pp. 4883-4893.</w:t>
              </w:r>
            </w:p>
            <w:p w14:paraId="0137854A" w14:textId="77777777" w:rsidR="00E83F6E" w:rsidRDefault="00E83F6E" w:rsidP="00E83F6E">
              <w:pPr>
                <w:pStyle w:val="Bibliography"/>
                <w:rPr>
                  <w:noProof/>
                </w:rPr>
              </w:pPr>
              <w:r>
                <w:rPr>
                  <w:noProof/>
                </w:rPr>
                <w:t xml:space="preserve">Bateman, H., 2009. </w:t>
              </w:r>
              <w:r>
                <w:rPr>
                  <w:i/>
                  <w:iCs/>
                  <w:noProof/>
                </w:rPr>
                <w:t xml:space="preserve">Retirement incomes in Australia in the wake of the global financial crisis, </w:t>
              </w:r>
              <w:r>
                <w:rPr>
                  <w:noProof/>
                </w:rPr>
                <w:t>Discussion Paper 03/10, Sydney: UNSW Sydney.</w:t>
              </w:r>
            </w:p>
            <w:p w14:paraId="4A010DDF" w14:textId="77777777" w:rsidR="00E83F6E" w:rsidRDefault="00E83F6E" w:rsidP="00E83F6E">
              <w:pPr>
                <w:pStyle w:val="Bibliography"/>
                <w:rPr>
                  <w:noProof/>
                </w:rPr>
              </w:pPr>
              <w:r>
                <w:rPr>
                  <w:noProof/>
                </w:rPr>
                <w:t xml:space="preserve">Bateman, H. et al., 2017. Default and naive diversification heuristics in annuity choice. </w:t>
              </w:r>
              <w:r>
                <w:rPr>
                  <w:i/>
                  <w:iCs/>
                  <w:noProof/>
                </w:rPr>
                <w:t xml:space="preserve">Australian Journal of Management, </w:t>
              </w:r>
              <w:r>
                <w:rPr>
                  <w:noProof/>
                </w:rPr>
                <w:t>42(1), pp. 32-57.</w:t>
              </w:r>
            </w:p>
            <w:p w14:paraId="257E0CE0" w14:textId="77777777" w:rsidR="00E83F6E" w:rsidRDefault="00E83F6E" w:rsidP="00E83F6E">
              <w:pPr>
                <w:pStyle w:val="Bibliography"/>
                <w:rPr>
                  <w:noProof/>
                </w:rPr>
              </w:pPr>
              <w:r>
                <w:rPr>
                  <w:noProof/>
                </w:rPr>
                <w:t xml:space="preserve">Baxter, J. &amp; McDonald, P., 2005. Why is the rate of home ownership falling in Austalia?. </w:t>
              </w:r>
              <w:r>
                <w:rPr>
                  <w:i/>
                  <w:iCs/>
                  <w:noProof/>
                </w:rPr>
                <w:t xml:space="preserve">AHURI Research &amp; Policy Bulletin, </w:t>
              </w:r>
              <w:r>
                <w:rPr>
                  <w:noProof/>
                </w:rPr>
                <w:t>Issue 52.</w:t>
              </w:r>
            </w:p>
            <w:p w14:paraId="6FC0A4F8" w14:textId="77777777" w:rsidR="00E83F6E" w:rsidRDefault="00E83F6E" w:rsidP="00E83F6E">
              <w:pPr>
                <w:pStyle w:val="Bibliography"/>
                <w:rPr>
                  <w:noProof/>
                </w:rPr>
              </w:pPr>
              <w:r>
                <w:rPr>
                  <w:noProof/>
                </w:rPr>
                <w:t xml:space="preserve">Been, J., Rohwedder, S. &amp; Hurd, M., 2015. Home production as a substitute to market consumption? Estimating the elasticity using houseprice shocks from the Great Recession. </w:t>
              </w:r>
              <w:r>
                <w:rPr>
                  <w:i/>
                  <w:iCs/>
                  <w:noProof/>
                </w:rPr>
                <w:t>Netspar Discussion Paper No. 10/2015-081.</w:t>
              </w:r>
            </w:p>
            <w:p w14:paraId="4C85B5C1" w14:textId="77777777" w:rsidR="00E83F6E" w:rsidRDefault="00E83F6E" w:rsidP="00E83F6E">
              <w:pPr>
                <w:pStyle w:val="Bibliography"/>
                <w:rPr>
                  <w:noProof/>
                </w:rPr>
              </w:pPr>
              <w:r>
                <w:rPr>
                  <w:noProof/>
                </w:rPr>
                <w:t xml:space="preserve">Belkar, R., Cockerell, L. &amp; Edwards, R., 2007. </w:t>
              </w:r>
              <w:r>
                <w:rPr>
                  <w:i/>
                  <w:iCs/>
                  <w:noProof/>
                </w:rPr>
                <w:t xml:space="preserve">Labour Force Participation and Household Debt, </w:t>
              </w:r>
              <w:r>
                <w:rPr>
                  <w:noProof/>
                </w:rPr>
                <w:t>Research Discussion Paper 2007-05, Sydney: Reserve Bank of Australia.</w:t>
              </w:r>
            </w:p>
            <w:p w14:paraId="409A8A19" w14:textId="77777777" w:rsidR="00E83F6E" w:rsidRDefault="00E83F6E" w:rsidP="00E83F6E">
              <w:pPr>
                <w:pStyle w:val="Bibliography"/>
                <w:rPr>
                  <w:noProof/>
                </w:rPr>
              </w:pPr>
              <w:r>
                <w:rPr>
                  <w:noProof/>
                </w:rPr>
                <w:t xml:space="preserve">Benartzi, S. &amp; Thaler, R., 2007. Heuristics and biases in retirement savings behavior. </w:t>
              </w:r>
              <w:r>
                <w:rPr>
                  <w:i/>
                  <w:iCs/>
                  <w:noProof/>
                </w:rPr>
                <w:t xml:space="preserve">Journal of Economic perspectives, </w:t>
              </w:r>
              <w:r>
                <w:rPr>
                  <w:noProof/>
                </w:rPr>
                <w:t>21(3), pp. 81-104.</w:t>
              </w:r>
            </w:p>
            <w:p w14:paraId="03B0CAE3" w14:textId="77777777" w:rsidR="00E83F6E" w:rsidRDefault="00E83F6E" w:rsidP="00E83F6E">
              <w:pPr>
                <w:pStyle w:val="Bibliography"/>
                <w:rPr>
                  <w:noProof/>
                </w:rPr>
              </w:pPr>
              <w:r>
                <w:rPr>
                  <w:noProof/>
                </w:rPr>
                <w:t xml:space="preserve">Benjamin, D., 2003. Does 401(k) eligibility increase saving? Evidence from propensity score subclassification. </w:t>
              </w:r>
              <w:r>
                <w:rPr>
                  <w:i/>
                  <w:iCs/>
                  <w:noProof/>
                </w:rPr>
                <w:t xml:space="preserve">Journal of Public Economics, </w:t>
              </w:r>
              <w:r>
                <w:rPr>
                  <w:noProof/>
                </w:rPr>
                <w:t>Volume 87, pp. 1259-1290.</w:t>
              </w:r>
            </w:p>
            <w:p w14:paraId="306405DC" w14:textId="77777777" w:rsidR="00E83F6E" w:rsidRDefault="00E83F6E" w:rsidP="00E83F6E">
              <w:pPr>
                <w:pStyle w:val="Bibliography"/>
                <w:rPr>
                  <w:noProof/>
                </w:rPr>
              </w:pPr>
              <w:r>
                <w:rPr>
                  <w:noProof/>
                </w:rPr>
                <w:t xml:space="preserve">Beshears, J., Choi, J., Laibson, D. &amp; Madrian, B., 2017. Does front-loading taxation increase savings? Evidence from Roth 401(k) introductions. </w:t>
              </w:r>
              <w:r>
                <w:rPr>
                  <w:i/>
                  <w:iCs/>
                  <w:noProof/>
                </w:rPr>
                <w:t xml:space="preserve">Journal of Public Economics, </w:t>
              </w:r>
              <w:r>
                <w:rPr>
                  <w:noProof/>
                </w:rPr>
                <w:t>Volume 151, pp. 84-95.</w:t>
              </w:r>
            </w:p>
            <w:p w14:paraId="0841A6E3" w14:textId="77777777" w:rsidR="00E83F6E" w:rsidRDefault="00E83F6E" w:rsidP="00E83F6E">
              <w:pPr>
                <w:pStyle w:val="Bibliography"/>
                <w:rPr>
                  <w:noProof/>
                </w:rPr>
              </w:pPr>
              <w:r>
                <w:rPr>
                  <w:noProof/>
                </w:rPr>
                <w:t xml:space="preserve">Beshears, J., Choi, J., Laibson, D. &amp; Madrian, B., 2018. Chapter 3 - Behavioral Household Finance. In: B. Bernheim, S. DellaVigna &amp; D. Laibson, eds. </w:t>
              </w:r>
              <w:r>
                <w:rPr>
                  <w:i/>
                  <w:iCs/>
                  <w:noProof/>
                </w:rPr>
                <w:t xml:space="preserve">Handbook of Behavioural Economics - Foundations and Applications 1, Volume 1. </w:t>
              </w:r>
              <w:r>
                <w:rPr>
                  <w:noProof/>
                </w:rPr>
                <w:t>s.l.:Elsevier, pp. 177-276.</w:t>
              </w:r>
            </w:p>
            <w:p w14:paraId="59ABFD66" w14:textId="77777777" w:rsidR="00E83F6E" w:rsidRDefault="00E83F6E" w:rsidP="00E83F6E">
              <w:pPr>
                <w:pStyle w:val="Bibliography"/>
                <w:rPr>
                  <w:noProof/>
                </w:rPr>
              </w:pPr>
              <w:r>
                <w:rPr>
                  <w:noProof/>
                </w:rPr>
                <w:t xml:space="preserve">BETA, Forthcoming. </w:t>
              </w:r>
              <w:r>
                <w:rPr>
                  <w:i/>
                  <w:iCs/>
                  <w:noProof/>
                </w:rPr>
                <w:t xml:space="preserve">Retirement planning, saving and attitudes – Survey results, </w:t>
              </w:r>
              <w:r>
                <w:rPr>
                  <w:noProof/>
                </w:rPr>
                <w:t>Canberra: Department of Prime Minister and Cabinet, Commonwealth of Australia.</w:t>
              </w:r>
            </w:p>
            <w:p w14:paraId="36250EF7" w14:textId="77777777" w:rsidR="00E83F6E" w:rsidRDefault="00E83F6E" w:rsidP="00E83F6E">
              <w:pPr>
                <w:pStyle w:val="Bibliography"/>
                <w:rPr>
                  <w:noProof/>
                </w:rPr>
              </w:pPr>
              <w:r>
                <w:rPr>
                  <w:noProof/>
                </w:rPr>
                <w:t xml:space="preserve">Bickerdyke, I., Lattimore, R. &amp; Madge, A., 2000. </w:t>
              </w:r>
              <w:r>
                <w:rPr>
                  <w:i/>
                  <w:iCs/>
                  <w:noProof/>
                </w:rPr>
                <w:t xml:space="preserve">Business failure and change: An Australian perspective, </w:t>
              </w:r>
              <w:r>
                <w:rPr>
                  <w:noProof/>
                </w:rPr>
                <w:t>Productivity Commission Staff Research Paper, Canberra: Productivity Commission.</w:t>
              </w:r>
            </w:p>
            <w:p w14:paraId="46BBFC90" w14:textId="77777777" w:rsidR="00E83F6E" w:rsidRDefault="00E83F6E" w:rsidP="00E83F6E">
              <w:pPr>
                <w:pStyle w:val="Bibliography"/>
                <w:rPr>
                  <w:noProof/>
                </w:rPr>
              </w:pPr>
              <w:r>
                <w:rPr>
                  <w:noProof/>
                </w:rPr>
                <w:t xml:space="preserve">Bishop, J. &amp; Cassidy, N., 2019. </w:t>
              </w:r>
              <w:r>
                <w:rPr>
                  <w:i/>
                  <w:iCs/>
                  <w:noProof/>
                </w:rPr>
                <w:t xml:space="preserve">Wages Growth by Pay-setting Method. </w:t>
              </w:r>
              <w:r>
                <w:rPr>
                  <w:noProof/>
                </w:rPr>
                <w:t xml:space="preserve">[Online] </w:t>
              </w:r>
              <w:r>
                <w:rPr>
                  <w:noProof/>
                </w:rPr>
                <w:br/>
                <w:t xml:space="preserve">Available at: </w:t>
              </w:r>
              <w:r>
                <w:rPr>
                  <w:noProof/>
                  <w:u w:val="single"/>
                </w:rPr>
                <w:t>https://www.rba.gov.au/publications/bulletin/2019/jun/wages-growth-by-pay-setting-method.html</w:t>
              </w:r>
              <w:r>
                <w:rPr>
                  <w:noProof/>
                </w:rPr>
                <w:br/>
                <w:t>[Accessed 16 March 2020].</w:t>
              </w:r>
            </w:p>
            <w:p w14:paraId="34D4EA31" w14:textId="77777777" w:rsidR="00E83F6E" w:rsidRDefault="00E83F6E" w:rsidP="00E83F6E">
              <w:pPr>
                <w:pStyle w:val="Bibliography"/>
                <w:rPr>
                  <w:noProof/>
                </w:rPr>
              </w:pPr>
              <w:r>
                <w:rPr>
                  <w:noProof/>
                </w:rPr>
                <w:t xml:space="preserve">Bishop, J. &amp; Chan, I., 2019. </w:t>
              </w:r>
              <w:r>
                <w:rPr>
                  <w:i/>
                  <w:iCs/>
                  <w:noProof/>
                </w:rPr>
                <w:t xml:space="preserve">Is Declining Union Membership Contributing to Low Wages Growth?. </w:t>
              </w:r>
              <w:r>
                <w:rPr>
                  <w:noProof/>
                </w:rPr>
                <w:t xml:space="preserve">[Online] </w:t>
              </w:r>
              <w:r>
                <w:rPr>
                  <w:noProof/>
                </w:rPr>
                <w:br/>
                <w:t xml:space="preserve">Available at: </w:t>
              </w:r>
              <w:r>
                <w:rPr>
                  <w:noProof/>
                  <w:u w:val="single"/>
                </w:rPr>
                <w:t>https://www.rba.gov.au/publications/rdp/2019/pdf/rdp2019-02.pdf</w:t>
              </w:r>
              <w:r>
                <w:rPr>
                  <w:noProof/>
                </w:rPr>
                <w:br/>
                <w:t>[Accessed 16 March 2020].</w:t>
              </w:r>
            </w:p>
            <w:p w14:paraId="67293762" w14:textId="77777777" w:rsidR="00E83F6E" w:rsidRDefault="00E83F6E" w:rsidP="00E83F6E">
              <w:pPr>
                <w:pStyle w:val="Bibliography"/>
                <w:rPr>
                  <w:noProof/>
                </w:rPr>
              </w:pPr>
              <w:r>
                <w:rPr>
                  <w:noProof/>
                </w:rPr>
                <w:t xml:space="preserve">Blanchett, D., 2014. Exploring the Retirement Consumption Puzzle. </w:t>
              </w:r>
              <w:r>
                <w:rPr>
                  <w:i/>
                  <w:iCs/>
                  <w:noProof/>
                </w:rPr>
                <w:t xml:space="preserve">Journal of Financial Planning, </w:t>
              </w:r>
              <w:r>
                <w:rPr>
                  <w:noProof/>
                </w:rPr>
                <w:t>27(5), pp. 34-42.</w:t>
              </w:r>
            </w:p>
            <w:p w14:paraId="333EA5C9" w14:textId="77777777" w:rsidR="00E83F6E" w:rsidRDefault="00E83F6E" w:rsidP="00E83F6E">
              <w:pPr>
                <w:pStyle w:val="Bibliography"/>
                <w:rPr>
                  <w:noProof/>
                </w:rPr>
              </w:pPr>
              <w:r>
                <w:rPr>
                  <w:noProof/>
                </w:rPr>
                <w:t xml:space="preserve">Blanchett, D. &amp; Kaplan, P., 2013. Alpha, Beta, and Now…Gamma. </w:t>
              </w:r>
              <w:r>
                <w:rPr>
                  <w:i/>
                  <w:iCs/>
                  <w:noProof/>
                </w:rPr>
                <w:t xml:space="preserve">The Journal of Retirement, </w:t>
              </w:r>
              <w:r>
                <w:rPr>
                  <w:noProof/>
                </w:rPr>
                <w:t>Volume 1, pp. 29-45.</w:t>
              </w:r>
            </w:p>
            <w:p w14:paraId="056ADB2D" w14:textId="77777777" w:rsidR="00E83F6E" w:rsidRDefault="00E83F6E" w:rsidP="00E83F6E">
              <w:pPr>
                <w:pStyle w:val="Bibliography"/>
                <w:rPr>
                  <w:noProof/>
                </w:rPr>
              </w:pPr>
              <w:r>
                <w:rPr>
                  <w:noProof/>
                </w:rPr>
                <w:t xml:space="preserve">Bloomberg L.P., 2020. </w:t>
              </w:r>
              <w:r>
                <w:rPr>
                  <w:i/>
                  <w:iCs/>
                  <w:noProof/>
                </w:rPr>
                <w:t xml:space="preserve">Index movements for MSCI World Index MXWO Index December 1969 to May 2020. </w:t>
              </w:r>
              <w:r>
                <w:rPr>
                  <w:noProof/>
                </w:rPr>
                <w:t xml:space="preserve">[Online] </w:t>
              </w:r>
              <w:r>
                <w:rPr>
                  <w:noProof/>
                </w:rPr>
                <w:br/>
                <w:t xml:space="preserve">Available at: </w:t>
              </w:r>
              <w:r>
                <w:rPr>
                  <w:noProof/>
                  <w:u w:val="single"/>
                </w:rPr>
                <w:t>Bloomberg database</w:t>
              </w:r>
            </w:p>
            <w:p w14:paraId="6F6707F0" w14:textId="77777777" w:rsidR="00E83F6E" w:rsidRDefault="00E83F6E" w:rsidP="00E83F6E">
              <w:pPr>
                <w:pStyle w:val="Bibliography"/>
                <w:rPr>
                  <w:noProof/>
                </w:rPr>
              </w:pPr>
              <w:r>
                <w:rPr>
                  <w:noProof/>
                </w:rPr>
                <w:t xml:space="preserve">Bloomberg, 2019. </w:t>
              </w:r>
              <w:r>
                <w:rPr>
                  <w:i/>
                  <w:iCs/>
                  <w:noProof/>
                </w:rPr>
                <w:t xml:space="preserve">How Chile Went From an Economic Star to an Angry Mess. </w:t>
              </w:r>
              <w:r>
                <w:rPr>
                  <w:noProof/>
                </w:rPr>
                <w:t xml:space="preserve">[Online] </w:t>
              </w:r>
              <w:r>
                <w:rPr>
                  <w:noProof/>
                </w:rPr>
                <w:br/>
                <w:t xml:space="preserve">Available at: </w:t>
              </w:r>
              <w:r>
                <w:rPr>
                  <w:noProof/>
                  <w:u w:val="single"/>
                </w:rPr>
                <w:t>https://www.bloomberg.com/news/articles/2019-10-23/how-chile-went-from-an-economic-star-to-an-angry-mess-quicktake</w:t>
              </w:r>
              <w:r>
                <w:rPr>
                  <w:noProof/>
                </w:rPr>
                <w:br/>
                <w:t>[Accessed 1 May 2020].</w:t>
              </w:r>
            </w:p>
            <w:p w14:paraId="5EA88409" w14:textId="77777777" w:rsidR="00E83F6E" w:rsidRDefault="00E83F6E" w:rsidP="00E83F6E">
              <w:pPr>
                <w:pStyle w:val="Bibliography"/>
                <w:rPr>
                  <w:noProof/>
                </w:rPr>
              </w:pPr>
              <w:r>
                <w:rPr>
                  <w:noProof/>
                </w:rPr>
                <w:t xml:space="preserve">Boeri, T. &amp; Tabellini, G., 2012. Does information increase political support for pension reform?. </w:t>
              </w:r>
              <w:r>
                <w:rPr>
                  <w:i/>
                  <w:iCs/>
                  <w:noProof/>
                </w:rPr>
                <w:t xml:space="preserve">Public Choice, </w:t>
              </w:r>
              <w:r>
                <w:rPr>
                  <w:noProof/>
                </w:rPr>
                <w:t>Volume 150, pp. 327-362.</w:t>
              </w:r>
            </w:p>
            <w:p w14:paraId="01DE453C" w14:textId="77777777" w:rsidR="00E83F6E" w:rsidRDefault="00E83F6E" w:rsidP="00E83F6E">
              <w:pPr>
                <w:pStyle w:val="Bibliography"/>
                <w:rPr>
                  <w:noProof/>
                </w:rPr>
              </w:pPr>
              <w:r>
                <w:rPr>
                  <w:noProof/>
                </w:rPr>
                <w:t xml:space="preserve">Boyle, N., 2018a. </w:t>
              </w:r>
              <w:r>
                <w:rPr>
                  <w:i/>
                  <w:iCs/>
                  <w:noProof/>
                </w:rPr>
                <w:t xml:space="preserve">Royal Commission into Misconduct in the Banking, Superannuation and Financial Services Industry </w:t>
              </w:r>
              <w:r>
                <w:rPr>
                  <w:noProof/>
                </w:rPr>
                <w:t>[Interview] (3 July 2018a).</w:t>
              </w:r>
            </w:p>
            <w:p w14:paraId="4712BADB" w14:textId="77777777" w:rsidR="00E83F6E" w:rsidRDefault="00E83F6E" w:rsidP="00E83F6E">
              <w:pPr>
                <w:pStyle w:val="Bibliography"/>
                <w:rPr>
                  <w:noProof/>
                </w:rPr>
              </w:pPr>
              <w:r>
                <w:rPr>
                  <w:noProof/>
                </w:rPr>
                <w:t xml:space="preserve">Boyle, N., 2018b. </w:t>
              </w:r>
              <w:r>
                <w:rPr>
                  <w:i/>
                  <w:iCs/>
                  <w:noProof/>
                </w:rPr>
                <w:t xml:space="preserve">Royal Commission into Misconduct in the Banking, Superannuation and Financial Services Industry: Witness statement of Mr Nathan Boyle, ASIC.0800.00007.0001. </w:t>
              </w:r>
              <w:r>
                <w:rPr>
                  <w:noProof/>
                </w:rPr>
                <w:t>s.l.:s.n.</w:t>
              </w:r>
            </w:p>
            <w:p w14:paraId="349735E8" w14:textId="77777777" w:rsidR="00E83F6E" w:rsidRDefault="00E83F6E" w:rsidP="00E83F6E">
              <w:pPr>
                <w:pStyle w:val="Bibliography"/>
                <w:rPr>
                  <w:noProof/>
                </w:rPr>
              </w:pPr>
              <w:r>
                <w:rPr>
                  <w:noProof/>
                </w:rPr>
                <w:t xml:space="preserve">Bozio, A., Breda, T. &amp; Grenet, J., 2019. </w:t>
              </w:r>
              <w:r>
                <w:rPr>
                  <w:i/>
                  <w:iCs/>
                  <w:noProof/>
                </w:rPr>
                <w:t xml:space="preserve">Does Tax-Benefit Linkage Matter for the Incidence of Social Security Contributions?, </w:t>
              </w:r>
              <w:r>
                <w:rPr>
                  <w:noProof/>
                </w:rPr>
                <w:t>Bonn: IZA Institute of Labor Economics.</w:t>
              </w:r>
            </w:p>
            <w:p w14:paraId="27FBE7AA" w14:textId="77777777" w:rsidR="00E83F6E" w:rsidRDefault="00E83F6E" w:rsidP="00E83F6E">
              <w:pPr>
                <w:pStyle w:val="Bibliography"/>
                <w:rPr>
                  <w:noProof/>
                </w:rPr>
              </w:pPr>
              <w:r>
                <w:rPr>
                  <w:noProof/>
                </w:rPr>
                <w:t xml:space="preserve">Bray, J. R., 2013. </w:t>
              </w:r>
              <w:r>
                <w:rPr>
                  <w:i/>
                  <w:iCs/>
                  <w:noProof/>
                </w:rPr>
                <w:t xml:space="preserve">Reflections on the evolution of the minimum wage in Australia: Options for the future, </w:t>
              </w:r>
              <w:r>
                <w:rPr>
                  <w:noProof/>
                </w:rPr>
                <w:t>Canberra: ANU Research School of Economics.</w:t>
              </w:r>
            </w:p>
            <w:p w14:paraId="05F32B32" w14:textId="77777777" w:rsidR="00E83F6E" w:rsidRDefault="00E83F6E" w:rsidP="00E83F6E">
              <w:pPr>
                <w:pStyle w:val="Bibliography"/>
                <w:rPr>
                  <w:noProof/>
                </w:rPr>
              </w:pPr>
              <w:r>
                <w:rPr>
                  <w:noProof/>
                </w:rPr>
                <w:t xml:space="preserve">Bray, J. R. &amp; Gray, M., 2016. </w:t>
              </w:r>
              <w:r>
                <w:rPr>
                  <w:i/>
                  <w:iCs/>
                  <w:noProof/>
                </w:rPr>
                <w:t xml:space="preserve">ANUpoll Ageing and money, ANUpoll No 20, </w:t>
              </w:r>
              <w:r>
                <w:rPr>
                  <w:noProof/>
                </w:rPr>
                <w:t>Canberra: ANU College of Arts and Social Sciences.</w:t>
              </w:r>
            </w:p>
            <w:p w14:paraId="5CCCC6BF" w14:textId="77777777" w:rsidR="00E83F6E" w:rsidRDefault="00E83F6E" w:rsidP="00E83F6E">
              <w:pPr>
                <w:pStyle w:val="Bibliography"/>
                <w:rPr>
                  <w:noProof/>
                </w:rPr>
              </w:pPr>
              <w:r>
                <w:rPr>
                  <w:noProof/>
                </w:rPr>
                <w:t>Breunig, R. &amp; Carter, A., 2018. Do Earned Income Tax Credits for Older Workers Prolong Labor Market Participation and Boost Earned Income? Evidence from Australia's Mature Age Worker Tax Offset. Tax and Transfer Policy Institute - Working Paper(15).</w:t>
              </w:r>
            </w:p>
            <w:p w14:paraId="36F18652" w14:textId="77777777" w:rsidR="00E83F6E" w:rsidRDefault="00E83F6E" w:rsidP="00E83F6E">
              <w:pPr>
                <w:pStyle w:val="Bibliography"/>
                <w:rPr>
                  <w:noProof/>
                </w:rPr>
              </w:pPr>
              <w:r>
                <w:rPr>
                  <w:noProof/>
                </w:rPr>
                <w:t xml:space="preserve">Breunig, R. &amp; Sobeck, K., 2020. </w:t>
              </w:r>
              <w:r>
                <w:rPr>
                  <w:i/>
                  <w:iCs/>
                  <w:noProof/>
                </w:rPr>
                <w:t xml:space="preserve">The Economic Incidence of Superannuation, </w:t>
              </w:r>
              <w:r>
                <w:rPr>
                  <w:noProof/>
                </w:rPr>
                <w:t>Canberra: Crawford School of Public Policy, Australian National University.</w:t>
              </w:r>
            </w:p>
            <w:p w14:paraId="6ABAD812" w14:textId="77777777" w:rsidR="00E83F6E" w:rsidRDefault="00E83F6E" w:rsidP="00E83F6E">
              <w:pPr>
                <w:pStyle w:val="Bibliography"/>
                <w:rPr>
                  <w:noProof/>
                </w:rPr>
              </w:pPr>
              <w:r>
                <w:rPr>
                  <w:noProof/>
                </w:rPr>
                <w:t xml:space="preserve">Breusch, T. &amp; Gray, E., 2004. New Estimates of Mothers' Forgone Earnings Using HILDA Data. </w:t>
              </w:r>
              <w:r>
                <w:rPr>
                  <w:i/>
                  <w:iCs/>
                  <w:noProof/>
                </w:rPr>
                <w:t xml:space="preserve">Australian Journal of Labour Economics, </w:t>
              </w:r>
              <w:r>
                <w:rPr>
                  <w:noProof/>
                </w:rPr>
                <w:t>7(2), pp. 125-150.</w:t>
              </w:r>
            </w:p>
            <w:p w14:paraId="1D00140A" w14:textId="77777777" w:rsidR="00E83F6E" w:rsidRDefault="00E83F6E" w:rsidP="00E83F6E">
              <w:pPr>
                <w:pStyle w:val="Bibliography"/>
                <w:rPr>
                  <w:noProof/>
                </w:rPr>
              </w:pPr>
              <w:r>
                <w:rPr>
                  <w:noProof/>
                </w:rPr>
                <w:t xml:space="preserve">Browning, M. &amp; Crossley, T. F., 2001. The Life-Cycle Model of Consumption and Saving. </w:t>
              </w:r>
              <w:r>
                <w:rPr>
                  <w:i/>
                  <w:iCs/>
                  <w:noProof/>
                </w:rPr>
                <w:t xml:space="preserve">Journal of Economic Perspectives, </w:t>
              </w:r>
              <w:r>
                <w:rPr>
                  <w:noProof/>
                </w:rPr>
                <w:t>15(3), pp. 3-22.</w:t>
              </w:r>
            </w:p>
            <w:p w14:paraId="270D93E2" w14:textId="77777777" w:rsidR="00E83F6E" w:rsidRDefault="00E83F6E" w:rsidP="00E83F6E">
              <w:pPr>
                <w:pStyle w:val="Bibliography"/>
                <w:rPr>
                  <w:noProof/>
                </w:rPr>
              </w:pPr>
              <w:r>
                <w:rPr>
                  <w:noProof/>
                </w:rPr>
                <w:t xml:space="preserve">Brown, J. R., Kling, J. R., Mullainathan, S. &amp; Wrobel, M. V., 2008. Why don’t people insure late-life consumption? A framing explanation of the under-annuitization puzzle. </w:t>
              </w:r>
              <w:r>
                <w:rPr>
                  <w:i/>
                  <w:iCs/>
                  <w:noProof/>
                </w:rPr>
                <w:t xml:space="preserve">American Economic Review, </w:t>
              </w:r>
              <w:r>
                <w:rPr>
                  <w:noProof/>
                </w:rPr>
                <w:t>98(2), pp. 304-09.</w:t>
              </w:r>
            </w:p>
            <w:p w14:paraId="4EEF0D2F" w14:textId="77777777" w:rsidR="00E83F6E" w:rsidRDefault="00E83F6E" w:rsidP="00E83F6E">
              <w:pPr>
                <w:pStyle w:val="Bibliography"/>
                <w:rPr>
                  <w:noProof/>
                </w:rPr>
              </w:pPr>
              <w:r>
                <w:rPr>
                  <w:noProof/>
                </w:rPr>
                <w:t xml:space="preserve">Brown, L., 2016. </w:t>
              </w:r>
              <w:r>
                <w:rPr>
                  <w:i/>
                  <w:iCs/>
                  <w:noProof/>
                </w:rPr>
                <w:t xml:space="preserve">Divorce: For Richer, For Poorer, </w:t>
              </w:r>
              <w:r>
                <w:rPr>
                  <w:noProof/>
                </w:rPr>
                <w:t>AMP.NATSEM Income and Wealth Report, No. 39, Sydney: AMP.</w:t>
              </w:r>
            </w:p>
            <w:p w14:paraId="43D993DF" w14:textId="77777777" w:rsidR="00E83F6E" w:rsidRDefault="00E83F6E" w:rsidP="00E83F6E">
              <w:pPr>
                <w:pStyle w:val="Bibliography"/>
                <w:rPr>
                  <w:noProof/>
                </w:rPr>
              </w:pPr>
              <w:r>
                <w:rPr>
                  <w:noProof/>
                </w:rPr>
                <w:t xml:space="preserve">Buckmaster, L., 2016. </w:t>
              </w:r>
              <w:r>
                <w:rPr>
                  <w:i/>
                  <w:iCs/>
                  <w:noProof/>
                </w:rPr>
                <w:t xml:space="preserve">The National Disability Insurance Scheme: a quick guide. </w:t>
              </w:r>
              <w:r>
                <w:rPr>
                  <w:noProof/>
                </w:rPr>
                <w:t xml:space="preserve">[Online] </w:t>
              </w:r>
              <w:r>
                <w:rPr>
                  <w:noProof/>
                </w:rPr>
                <w:br/>
                <w:t xml:space="preserve">Available at: </w:t>
              </w:r>
              <w:r>
                <w:rPr>
                  <w:noProof/>
                  <w:u w:val="single"/>
                </w:rPr>
                <w:t>https://www.aph.gov.au/About_Parliament/Parliamentary_Departments/Parliamentary_Library/pubs/rp/rp1617/Quick_Guides/DisabilityInsuranceScheme</w:t>
              </w:r>
              <w:r>
                <w:rPr>
                  <w:noProof/>
                </w:rPr>
                <w:br/>
                <w:t>[Accessed 25 June 2020].</w:t>
              </w:r>
            </w:p>
            <w:p w14:paraId="0D0ABD03" w14:textId="77777777" w:rsidR="00E83F6E" w:rsidRDefault="00E83F6E" w:rsidP="00E83F6E">
              <w:pPr>
                <w:pStyle w:val="Bibliography"/>
                <w:rPr>
                  <w:noProof/>
                </w:rPr>
              </w:pPr>
              <w:r>
                <w:rPr>
                  <w:noProof/>
                </w:rPr>
                <w:t xml:space="preserve">Bunbury Branch of the Association of Independent Retirees,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7001DE40" w14:textId="77777777" w:rsidR="00E83F6E" w:rsidRDefault="00E83F6E" w:rsidP="00E83F6E">
              <w:pPr>
                <w:pStyle w:val="Bibliography"/>
                <w:rPr>
                  <w:noProof/>
                </w:rPr>
              </w:pPr>
              <w:r>
                <w:rPr>
                  <w:noProof/>
                </w:rPr>
                <w:t xml:space="preserve">Business Council of Australia,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12B82601" w14:textId="77777777" w:rsidR="00E83F6E" w:rsidRDefault="00E83F6E" w:rsidP="00E83F6E">
              <w:pPr>
                <w:pStyle w:val="Bibliography"/>
                <w:rPr>
                  <w:noProof/>
                </w:rPr>
              </w:pPr>
              <w:r>
                <w:rPr>
                  <w:noProof/>
                </w:rPr>
                <w:t xml:space="preserve">Carers NSW,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3D96A571" w14:textId="77777777" w:rsidR="00E83F6E" w:rsidRDefault="00E83F6E" w:rsidP="00E83F6E">
              <w:pPr>
                <w:pStyle w:val="Bibliography"/>
                <w:rPr>
                  <w:noProof/>
                </w:rPr>
              </w:pPr>
              <w:r>
                <w:rPr>
                  <w:noProof/>
                </w:rPr>
                <w:t xml:space="preserve">Carter, A., 2020. Does early access to retirement income prolong labour market participation for workers approaching retirement? Evidence from Australia's 'Transition to Retirement Income Streams' program. </w:t>
              </w:r>
              <w:r>
                <w:rPr>
                  <w:i/>
                  <w:iCs/>
                  <w:noProof/>
                </w:rPr>
                <w:t>Crawford School of Public Policy, Australian National University.</w:t>
              </w:r>
            </w:p>
            <w:p w14:paraId="5755B8EA" w14:textId="77777777" w:rsidR="00E83F6E" w:rsidRDefault="00E83F6E" w:rsidP="00E83F6E">
              <w:pPr>
                <w:pStyle w:val="Bibliography"/>
                <w:rPr>
                  <w:noProof/>
                </w:rPr>
              </w:pPr>
              <w:r>
                <w:rPr>
                  <w:noProof/>
                </w:rPr>
                <w:t xml:space="preserve">Cassells, R., Duncan, A., Salazar, S. &amp; Seymour, R., 2020. </w:t>
              </w:r>
              <w:r>
                <w:rPr>
                  <w:i/>
                  <w:iCs/>
                  <w:noProof/>
                </w:rPr>
                <w:t xml:space="preserve">What is the impact of the Age Pension assets test on savings behaviour pre-retirement, </w:t>
              </w:r>
              <w:r>
                <w:rPr>
                  <w:noProof/>
                </w:rPr>
                <w:t>Perth: Bankwest Curtin Economics Centre, Curtin University.</w:t>
              </w:r>
            </w:p>
            <w:p w14:paraId="0EA3D32F" w14:textId="77777777" w:rsidR="00E83F6E" w:rsidRDefault="00E83F6E" w:rsidP="00E83F6E">
              <w:pPr>
                <w:pStyle w:val="Bibliography"/>
                <w:rPr>
                  <w:noProof/>
                </w:rPr>
              </w:pPr>
              <w:r>
                <w:rPr>
                  <w:noProof/>
                </w:rPr>
                <w:t xml:space="preserve">Cbus,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3DE97450" w14:textId="77777777" w:rsidR="00E83F6E" w:rsidRDefault="00E83F6E" w:rsidP="00E83F6E">
              <w:pPr>
                <w:pStyle w:val="Bibliography"/>
                <w:rPr>
                  <w:noProof/>
                </w:rPr>
              </w:pPr>
              <w:r>
                <w:rPr>
                  <w:noProof/>
                </w:rPr>
                <w:t xml:space="preserve">Centre for Law, Markets and Regulation,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401FEA6B" w14:textId="77777777" w:rsidR="00E83F6E" w:rsidRDefault="00E83F6E" w:rsidP="00E83F6E">
              <w:pPr>
                <w:pStyle w:val="Bibliography"/>
                <w:rPr>
                  <w:noProof/>
                </w:rPr>
              </w:pPr>
              <w:r>
                <w:rPr>
                  <w:noProof/>
                </w:rPr>
                <w:t xml:space="preserve">CEPAR, 2018a. </w:t>
              </w:r>
              <w:r>
                <w:rPr>
                  <w:i/>
                  <w:iCs/>
                  <w:noProof/>
                </w:rPr>
                <w:t xml:space="preserve">Retirement Income in Australia: Part II - Public Support, </w:t>
              </w:r>
              <w:r>
                <w:rPr>
                  <w:noProof/>
                </w:rPr>
                <w:t>Sydney: ARC Centre of Excellence in Population in Population Ageing Research.</w:t>
              </w:r>
            </w:p>
            <w:p w14:paraId="2370DE0B" w14:textId="77777777" w:rsidR="00E83F6E" w:rsidRDefault="00E83F6E" w:rsidP="00E83F6E">
              <w:pPr>
                <w:pStyle w:val="Bibliography"/>
                <w:rPr>
                  <w:noProof/>
                </w:rPr>
              </w:pPr>
              <w:r>
                <w:rPr>
                  <w:noProof/>
                </w:rPr>
                <w:t xml:space="preserve">CEPAR, 2018b. </w:t>
              </w:r>
              <w:r>
                <w:rPr>
                  <w:i/>
                  <w:iCs/>
                  <w:noProof/>
                </w:rPr>
                <w:t xml:space="preserve">Retirement income in Australia: Part III – Private resources, </w:t>
              </w:r>
              <w:r>
                <w:rPr>
                  <w:noProof/>
                </w:rPr>
                <w:t>Sydney: ARC Centre of Excellence in Population and Ageing Research.</w:t>
              </w:r>
            </w:p>
            <w:p w14:paraId="3C03174D" w14:textId="77777777" w:rsidR="00E83F6E" w:rsidRDefault="00E83F6E" w:rsidP="00E83F6E">
              <w:pPr>
                <w:pStyle w:val="Bibliography"/>
                <w:rPr>
                  <w:noProof/>
                </w:rPr>
              </w:pPr>
              <w:r>
                <w:rPr>
                  <w:noProof/>
                </w:rPr>
                <w:t xml:space="preserve">CEPAR, 2019. </w:t>
              </w:r>
              <w:r>
                <w:rPr>
                  <w:i/>
                  <w:iCs/>
                  <w:noProof/>
                </w:rPr>
                <w:t xml:space="preserve">Housing in an ageing Australia: Nest and nest egg?, </w:t>
              </w:r>
              <w:r>
                <w:rPr>
                  <w:noProof/>
                </w:rPr>
                <w:t>Sydney: ARC Centre of Excellence in Population and Ageing Research.</w:t>
              </w:r>
            </w:p>
            <w:p w14:paraId="5DA1AD80" w14:textId="77777777" w:rsidR="00E83F6E" w:rsidRDefault="00E83F6E" w:rsidP="00E83F6E">
              <w:pPr>
                <w:pStyle w:val="Bibliography"/>
                <w:rPr>
                  <w:noProof/>
                </w:rPr>
              </w:pPr>
              <w:r>
                <w:rPr>
                  <w:noProof/>
                </w:rPr>
                <w:t xml:space="preserve">CEPAR,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1E8A011C" w14:textId="77777777" w:rsidR="00E83F6E" w:rsidRDefault="00E83F6E" w:rsidP="00E83F6E">
              <w:pPr>
                <w:pStyle w:val="Bibliography"/>
                <w:rPr>
                  <w:noProof/>
                </w:rPr>
              </w:pPr>
              <w:r>
                <w:rPr>
                  <w:noProof/>
                </w:rPr>
                <w:t xml:space="preserve">Challenger, 2020. </w:t>
              </w:r>
              <w:r>
                <w:rPr>
                  <w:i/>
                  <w:iCs/>
                  <w:noProof/>
                </w:rPr>
                <w:t xml:space="preserve">Products. </w:t>
              </w:r>
              <w:r>
                <w:rPr>
                  <w:noProof/>
                </w:rPr>
                <w:t xml:space="preserve">[Online] </w:t>
              </w:r>
              <w:r>
                <w:rPr>
                  <w:noProof/>
                </w:rPr>
                <w:br/>
                <w:t xml:space="preserve">Available at: </w:t>
              </w:r>
              <w:r>
                <w:rPr>
                  <w:noProof/>
                  <w:u w:val="single"/>
                </w:rPr>
                <w:t>https://www.challenger.com.au/personal/products</w:t>
              </w:r>
              <w:r>
                <w:rPr>
                  <w:noProof/>
                </w:rPr>
                <w:br/>
                <w:t>[Accessed 19 June 2020].</w:t>
              </w:r>
            </w:p>
            <w:p w14:paraId="2F596172" w14:textId="77777777" w:rsidR="00E83F6E" w:rsidRDefault="00E83F6E" w:rsidP="00E83F6E">
              <w:pPr>
                <w:pStyle w:val="Bibliography"/>
                <w:rPr>
                  <w:noProof/>
                </w:rPr>
              </w:pPr>
              <w:r>
                <w:rPr>
                  <w:noProof/>
                </w:rPr>
                <w:t xml:space="preserve">Chamley, C., 1986. Optimal Taxation of Capital Income in General Equilibrium with Infinite Lives. </w:t>
              </w:r>
              <w:r>
                <w:rPr>
                  <w:i/>
                  <w:iCs/>
                  <w:noProof/>
                </w:rPr>
                <w:t xml:space="preserve">Econometrica, </w:t>
              </w:r>
              <w:r>
                <w:rPr>
                  <w:noProof/>
                </w:rPr>
                <w:t>Volume 54, pp. pp. 607-622.</w:t>
              </w:r>
            </w:p>
            <w:p w14:paraId="12FC16D4" w14:textId="77777777" w:rsidR="00E83F6E" w:rsidRDefault="00E83F6E" w:rsidP="00E83F6E">
              <w:pPr>
                <w:pStyle w:val="Bibliography"/>
                <w:rPr>
                  <w:noProof/>
                </w:rPr>
              </w:pPr>
              <w:r>
                <w:rPr>
                  <w:noProof/>
                </w:rPr>
                <w:t xml:space="preserve">Chant West, 2020. </w:t>
              </w:r>
              <w:r>
                <w:rPr>
                  <w:i/>
                  <w:iCs/>
                  <w:noProof/>
                </w:rPr>
                <w:t xml:space="preserve">2019 A Standout Year for Super Funds. </w:t>
              </w:r>
              <w:r>
                <w:rPr>
                  <w:noProof/>
                </w:rPr>
                <w:t xml:space="preserve">[Online] </w:t>
              </w:r>
              <w:r>
                <w:rPr>
                  <w:noProof/>
                </w:rPr>
                <w:br/>
                <w:t xml:space="preserve">Available at: </w:t>
              </w:r>
              <w:r>
                <w:rPr>
                  <w:noProof/>
                  <w:u w:val="single"/>
                </w:rPr>
                <w:t>https://www.chantwest.com.au/resources/2019-a-standout-year-for-super-funds</w:t>
              </w:r>
              <w:r>
                <w:rPr>
                  <w:noProof/>
                </w:rPr>
                <w:br/>
                <w:t>[Accessed 8 June 2020].</w:t>
              </w:r>
            </w:p>
            <w:p w14:paraId="6C047045" w14:textId="77777777" w:rsidR="00E83F6E" w:rsidRDefault="00E83F6E" w:rsidP="00E83F6E">
              <w:pPr>
                <w:pStyle w:val="Bibliography"/>
                <w:rPr>
                  <w:noProof/>
                </w:rPr>
              </w:pPr>
              <w:r>
                <w:rPr>
                  <w:noProof/>
                </w:rPr>
                <w:t xml:space="preserve">Charness, G. &amp; Gneezy, U., 2012. Strong Evidence for Gender Differences in Risk Taking. </w:t>
              </w:r>
              <w:r>
                <w:rPr>
                  <w:i/>
                  <w:iCs/>
                  <w:noProof/>
                </w:rPr>
                <w:t xml:space="preserve">Journal of Economic Behaviour &amp; Organization, </w:t>
              </w:r>
              <w:r>
                <w:rPr>
                  <w:noProof/>
                </w:rPr>
                <w:t>83(1), pp. 50-58.</w:t>
              </w:r>
            </w:p>
            <w:p w14:paraId="0153FC2F" w14:textId="77777777" w:rsidR="00E83F6E" w:rsidRDefault="00E83F6E" w:rsidP="00E83F6E">
              <w:pPr>
                <w:pStyle w:val="Bibliography"/>
                <w:rPr>
                  <w:noProof/>
                </w:rPr>
              </w:pPr>
              <w:r>
                <w:rPr>
                  <w:noProof/>
                </w:rPr>
                <w:t xml:space="preserve">Chartered Accountants Australia and New Zealand,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DFE46F5" w14:textId="77777777" w:rsidR="00E83F6E" w:rsidRDefault="00E83F6E" w:rsidP="00E83F6E">
              <w:pPr>
                <w:pStyle w:val="Bibliography"/>
                <w:rPr>
                  <w:noProof/>
                </w:rPr>
              </w:pPr>
              <w:r>
                <w:rPr>
                  <w:noProof/>
                </w:rPr>
                <w:t xml:space="preserve">Chernozhukov, V. &amp; Hansen, C., 2004. The Effects of 401(k) Participation on the Wealth Distribution: An Intrumental Quantile Regression Analysis. </w:t>
              </w:r>
              <w:r>
                <w:rPr>
                  <w:i/>
                  <w:iCs/>
                  <w:noProof/>
                </w:rPr>
                <w:t xml:space="preserve">Review of Economics and Statistics, </w:t>
              </w:r>
              <w:r>
                <w:rPr>
                  <w:noProof/>
                </w:rPr>
                <w:t>86(3), pp. 735-751.</w:t>
              </w:r>
            </w:p>
            <w:p w14:paraId="6EF4DB1A" w14:textId="77777777" w:rsidR="00E83F6E" w:rsidRDefault="00E83F6E" w:rsidP="00E83F6E">
              <w:pPr>
                <w:pStyle w:val="Bibliography"/>
                <w:rPr>
                  <w:noProof/>
                </w:rPr>
              </w:pPr>
              <w:r>
                <w:rPr>
                  <w:noProof/>
                </w:rPr>
                <w:t xml:space="preserve">Chetty, R., 2011. </w:t>
              </w:r>
              <w:r>
                <w:rPr>
                  <w:i/>
                  <w:iCs/>
                  <w:noProof/>
                </w:rPr>
                <w:t xml:space="preserve">Salience and Taxation: Evidence and Policy Implications. </w:t>
              </w:r>
              <w:r>
                <w:rPr>
                  <w:noProof/>
                </w:rPr>
                <w:t xml:space="preserve">[Online] </w:t>
              </w:r>
              <w:r>
                <w:rPr>
                  <w:noProof/>
                </w:rPr>
                <w:br/>
                <w:t xml:space="preserve">Available at: </w:t>
              </w:r>
              <w:r>
                <w:rPr>
                  <w:noProof/>
                  <w:u w:val="single"/>
                </w:rPr>
                <w:t>http://www.rajchetty.com/chettyfiles/taxsalience_testimony.pdf</w:t>
              </w:r>
              <w:r>
                <w:rPr>
                  <w:noProof/>
                </w:rPr>
                <w:br/>
                <w:t>[Accessed 1 June 2020].</w:t>
              </w:r>
            </w:p>
            <w:p w14:paraId="42865F55" w14:textId="77777777" w:rsidR="00E83F6E" w:rsidRDefault="00E83F6E" w:rsidP="00E83F6E">
              <w:pPr>
                <w:pStyle w:val="Bibliography"/>
                <w:rPr>
                  <w:noProof/>
                </w:rPr>
              </w:pPr>
              <w:r>
                <w:rPr>
                  <w:noProof/>
                </w:rPr>
                <w:t xml:space="preserve">Chetty, R. et al., 2014. Active vs. Passive Decisions and Crowdout in Retirement Savings Accounts: Evidence from Denmark. </w:t>
              </w:r>
              <w:r>
                <w:rPr>
                  <w:i/>
                  <w:iCs/>
                  <w:noProof/>
                </w:rPr>
                <w:t xml:space="preserve">Quarterly Journal of Economics, </w:t>
              </w:r>
              <w:r>
                <w:rPr>
                  <w:noProof/>
                </w:rPr>
                <w:t>129(3), pp. 1141-1219.</w:t>
              </w:r>
            </w:p>
            <w:p w14:paraId="38040AE2" w14:textId="77777777" w:rsidR="00E83F6E" w:rsidRDefault="00E83F6E" w:rsidP="00E83F6E">
              <w:pPr>
                <w:pStyle w:val="Bibliography"/>
                <w:rPr>
                  <w:noProof/>
                </w:rPr>
              </w:pPr>
              <w:r>
                <w:rPr>
                  <w:noProof/>
                </w:rPr>
                <w:t xml:space="preserve">CHOICE &amp; Superannuation Consumers' Centre, 2018. </w:t>
              </w:r>
              <w:r>
                <w:rPr>
                  <w:i/>
                  <w:iCs/>
                  <w:noProof/>
                </w:rPr>
                <w:t xml:space="preserve">Submission to the Royal Commission into Misconduct in the Banking, Superannuation and Financial Services Industry (POL.9000.2000.0004_0001). </w:t>
              </w:r>
              <w:r>
                <w:rPr>
                  <w:noProof/>
                </w:rPr>
                <w:t xml:space="preserve">[Online] </w:t>
              </w:r>
              <w:r>
                <w:rPr>
                  <w:noProof/>
                </w:rPr>
                <w:br/>
                <w:t xml:space="preserve">Available at: </w:t>
              </w:r>
              <w:r>
                <w:rPr>
                  <w:noProof/>
                  <w:u w:val="single"/>
                </w:rPr>
                <w:t>https://financialservices.royalcommission.gov.au/Submissions/Documents/round-5/POL.9000.2000.0004.pdf</w:t>
              </w:r>
              <w:r>
                <w:rPr>
                  <w:noProof/>
                </w:rPr>
                <w:br/>
                <w:t>[Accessed 20 May 2020].</w:t>
              </w:r>
            </w:p>
            <w:p w14:paraId="0E225320" w14:textId="77777777" w:rsidR="00E83F6E" w:rsidRDefault="00E83F6E" w:rsidP="00E83F6E">
              <w:pPr>
                <w:pStyle w:val="Bibliography"/>
                <w:rPr>
                  <w:noProof/>
                </w:rPr>
              </w:pPr>
              <w:r>
                <w:rPr>
                  <w:noProof/>
                </w:rPr>
                <w:t xml:space="preserve">Chomik, R, 2020. </w:t>
              </w:r>
              <w:r>
                <w:rPr>
                  <w:i/>
                  <w:iCs/>
                  <w:noProof/>
                </w:rPr>
                <w:t xml:space="preserve">COVID-19 and the demographic distribution of health and economic risks. </w:t>
              </w:r>
              <w:r>
                <w:rPr>
                  <w:noProof/>
                </w:rPr>
                <w:t xml:space="preserve">[Online] </w:t>
              </w:r>
              <w:r>
                <w:rPr>
                  <w:noProof/>
                </w:rPr>
                <w:br/>
                <w:t xml:space="preserve">Available at: </w:t>
              </w:r>
              <w:r>
                <w:rPr>
                  <w:noProof/>
                  <w:u w:val="single"/>
                </w:rPr>
                <w:t>http://cepar.edu.au/sites/default/files/COVID-19-and-populations-at-risk.pdf</w:t>
              </w:r>
              <w:r>
                <w:rPr>
                  <w:noProof/>
                </w:rPr>
                <w:br/>
                <w:t>[Accessed 3 July 2020].</w:t>
              </w:r>
            </w:p>
            <w:p w14:paraId="55DBAFFE" w14:textId="77777777" w:rsidR="00E83F6E" w:rsidRDefault="00E83F6E" w:rsidP="00E83F6E">
              <w:pPr>
                <w:pStyle w:val="Bibliography"/>
                <w:rPr>
                  <w:noProof/>
                </w:rPr>
              </w:pPr>
              <w:r>
                <w:rPr>
                  <w:noProof/>
                </w:rPr>
                <w:t xml:space="preserve">Chong, F., 2020. </w:t>
              </w:r>
              <w:r>
                <w:rPr>
                  <w:i/>
                  <w:iCs/>
                  <w:noProof/>
                </w:rPr>
                <w:t xml:space="preserve">Super industry sees liquidity challenge as members switch to cash. </w:t>
              </w:r>
              <w:r>
                <w:rPr>
                  <w:noProof/>
                </w:rPr>
                <w:t xml:space="preserve">[Online] </w:t>
              </w:r>
              <w:r>
                <w:rPr>
                  <w:noProof/>
                </w:rPr>
                <w:br/>
                <w:t xml:space="preserve">Available at: </w:t>
              </w:r>
              <w:r>
                <w:rPr>
                  <w:noProof/>
                  <w:u w:val="single"/>
                </w:rPr>
                <w:t>https://www.ipe.com/news/super-industry-sees-liquidity-challenge-as-members-switch-to-cash/10045211.article</w:t>
              </w:r>
              <w:r>
                <w:rPr>
                  <w:noProof/>
                </w:rPr>
                <w:br/>
                <w:t>[Accessed 2 May 2020].</w:t>
              </w:r>
            </w:p>
            <w:p w14:paraId="67FB740B" w14:textId="77777777" w:rsidR="00E83F6E" w:rsidRDefault="00E83F6E" w:rsidP="00E83F6E">
              <w:pPr>
                <w:pStyle w:val="Bibliography"/>
                <w:rPr>
                  <w:noProof/>
                </w:rPr>
              </w:pPr>
              <w:r>
                <w:rPr>
                  <w:noProof/>
                </w:rPr>
                <w:t xml:space="preserve">Cho, S. &amp; Sane, R., 2014. </w:t>
              </w:r>
              <w:r>
                <w:rPr>
                  <w:i/>
                  <w:iCs/>
                  <w:noProof/>
                </w:rPr>
                <w:t xml:space="preserve">Means-tested Age Pension and Saving, </w:t>
              </w:r>
              <w:r>
                <w:rPr>
                  <w:noProof/>
                </w:rPr>
                <w:t>Discussion Papers, 2014-03, Sydney: School of Economics, UNSW Sydney.</w:t>
              </w:r>
            </w:p>
            <w:p w14:paraId="349FC2DB" w14:textId="77777777" w:rsidR="00E83F6E" w:rsidRDefault="00E83F6E" w:rsidP="00E83F6E">
              <w:pPr>
                <w:pStyle w:val="Bibliography"/>
                <w:rPr>
                  <w:noProof/>
                </w:rPr>
              </w:pPr>
              <w:r>
                <w:rPr>
                  <w:noProof/>
                </w:rPr>
                <w:t xml:space="preserve">Coates, B., 2020. </w:t>
              </w:r>
              <w:r>
                <w:rPr>
                  <w:i/>
                  <w:iCs/>
                  <w:noProof/>
                </w:rPr>
                <w:t xml:space="preserve">Unaffordable housing is the biggest threat to a comfortable retirement. </w:t>
              </w:r>
              <w:r>
                <w:rPr>
                  <w:noProof/>
                </w:rPr>
                <w:t xml:space="preserve">[Online] </w:t>
              </w:r>
              <w:r>
                <w:rPr>
                  <w:noProof/>
                </w:rPr>
                <w:br/>
                <w:t xml:space="preserve">Available at: </w:t>
              </w:r>
              <w:r>
                <w:rPr>
                  <w:noProof/>
                  <w:u w:val="single"/>
                </w:rPr>
                <w:t>https://nationalseniors.com.au/news/latest/unaffordable-housing-is-the-biggest-threat-to-a-comfortable-retirement</w:t>
              </w:r>
              <w:r>
                <w:rPr>
                  <w:noProof/>
                </w:rPr>
                <w:br/>
                <w:t>[Accessed 3 July 2020].</w:t>
              </w:r>
            </w:p>
            <w:p w14:paraId="700324DF" w14:textId="77777777" w:rsidR="00E83F6E" w:rsidRDefault="00E83F6E" w:rsidP="00E83F6E">
              <w:pPr>
                <w:pStyle w:val="Bibliography"/>
                <w:rPr>
                  <w:noProof/>
                </w:rPr>
              </w:pPr>
              <w:r>
                <w:rPr>
                  <w:noProof/>
                </w:rPr>
                <w:t xml:space="preserve">Coates, B., Mackey, W. &amp; Cowgill, M., 2020. </w:t>
              </w:r>
              <w:r>
                <w:rPr>
                  <w:i/>
                  <w:iCs/>
                  <w:noProof/>
                </w:rPr>
                <w:t xml:space="preserve">No free lunch: Higher superannuation means lower wages, </w:t>
              </w:r>
              <w:r>
                <w:rPr>
                  <w:noProof/>
                </w:rPr>
                <w:t>s.l.: Grattan Institute.</w:t>
              </w:r>
            </w:p>
            <w:p w14:paraId="43AA6CA2" w14:textId="77777777" w:rsidR="00E83F6E" w:rsidRDefault="00E83F6E" w:rsidP="00E83F6E">
              <w:pPr>
                <w:pStyle w:val="Bibliography"/>
                <w:rPr>
                  <w:noProof/>
                </w:rPr>
              </w:pPr>
              <w:r>
                <w:rPr>
                  <w:noProof/>
                </w:rPr>
                <w:t xml:space="preserve">Cobb-Clark, D. A. &amp; Hildebrand, V. A., 2010. The asset portfolios of older Australian households. </w:t>
              </w:r>
              <w:r>
                <w:rPr>
                  <w:i/>
                  <w:iCs/>
                  <w:noProof/>
                </w:rPr>
                <w:t xml:space="preserve">Australian Social Policy Journal, </w:t>
              </w:r>
              <w:r>
                <w:rPr>
                  <w:noProof/>
                </w:rPr>
                <w:t>Volume 9, pp. 1-41.</w:t>
              </w:r>
            </w:p>
            <w:p w14:paraId="7C1652CC" w14:textId="77777777" w:rsidR="00E83F6E" w:rsidRDefault="00E83F6E" w:rsidP="00E83F6E">
              <w:pPr>
                <w:pStyle w:val="Bibliography"/>
                <w:rPr>
                  <w:noProof/>
                </w:rPr>
              </w:pPr>
              <w:r>
                <w:rPr>
                  <w:noProof/>
                </w:rPr>
                <w:t xml:space="preserve">Cokis, T. &amp; McLoughlin, K., 2020. </w:t>
              </w:r>
              <w:r>
                <w:rPr>
                  <w:i/>
                  <w:iCs/>
                  <w:noProof/>
                </w:rPr>
                <w:t xml:space="preserve">Demographic Trends, Household Finances and Spending. </w:t>
              </w:r>
              <w:r>
                <w:rPr>
                  <w:noProof/>
                </w:rPr>
                <w:t xml:space="preserve">[Online] </w:t>
              </w:r>
              <w:r>
                <w:rPr>
                  <w:noProof/>
                </w:rPr>
                <w:br/>
                <w:t xml:space="preserve">Available at: </w:t>
              </w:r>
              <w:r>
                <w:rPr>
                  <w:noProof/>
                  <w:u w:val="single"/>
                </w:rPr>
                <w:t>https://www.rba.gov.au/publications/bulletin/2020/mar/demographic-trends-household-finances-and-spending.html</w:t>
              </w:r>
              <w:r>
                <w:rPr>
                  <w:noProof/>
                </w:rPr>
                <w:br/>
                <w:t>[Accessed 17 April 2020].</w:t>
              </w:r>
            </w:p>
            <w:p w14:paraId="7F73550A" w14:textId="77777777" w:rsidR="00E83F6E" w:rsidRDefault="00E83F6E" w:rsidP="00E83F6E">
              <w:pPr>
                <w:pStyle w:val="Bibliography"/>
                <w:rPr>
                  <w:noProof/>
                </w:rPr>
              </w:pPr>
              <w:r>
                <w:rPr>
                  <w:noProof/>
                </w:rPr>
                <w:t xml:space="preserve">Colmar Brunton Social Research, 2010. </w:t>
              </w:r>
              <w:r>
                <w:rPr>
                  <w:i/>
                  <w:iCs/>
                  <w:noProof/>
                </w:rPr>
                <w:t xml:space="preserve">Understanding Superannuation Preliminary Report: Qualitative Investigation with Employers, Consumers and Industry, </w:t>
              </w:r>
              <w:r>
                <w:rPr>
                  <w:noProof/>
                </w:rPr>
                <w:t>Prepared for Australian Taxation Office, Canberra: Commonwealth of Australia.</w:t>
              </w:r>
            </w:p>
            <w:p w14:paraId="0692676F" w14:textId="77777777" w:rsidR="00E83F6E" w:rsidRDefault="00E83F6E" w:rsidP="00E83F6E">
              <w:pPr>
                <w:pStyle w:val="Bibliography"/>
                <w:rPr>
                  <w:noProof/>
                </w:rPr>
              </w:pPr>
              <w:r>
                <w:rPr>
                  <w:noProof/>
                </w:rPr>
                <w:t xml:space="preserve">Combined Pensioners &amp; Superannuants Association,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3996B81C" w14:textId="77777777" w:rsidR="00E83F6E" w:rsidRDefault="00E83F6E" w:rsidP="00E83F6E">
              <w:pPr>
                <w:pStyle w:val="Bibliography"/>
                <w:rPr>
                  <w:noProof/>
                </w:rPr>
              </w:pPr>
              <w:r>
                <w:rPr>
                  <w:noProof/>
                </w:rPr>
                <w:t xml:space="preserve">Committee for Sustainable Retirement Incomes,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6621D925" w14:textId="77777777" w:rsidR="00E83F6E" w:rsidRDefault="00E83F6E" w:rsidP="00E83F6E">
              <w:pPr>
                <w:pStyle w:val="Bibliography"/>
                <w:rPr>
                  <w:noProof/>
                </w:rPr>
              </w:pPr>
              <w:r>
                <w:rPr>
                  <w:noProof/>
                </w:rPr>
                <w:t xml:space="preserve">Commonwealth Bank, 2020. </w:t>
              </w:r>
              <w:r>
                <w:rPr>
                  <w:i/>
                  <w:iCs/>
                  <w:noProof/>
                </w:rPr>
                <w:t xml:space="preserve">Guaranteed annuities. </w:t>
              </w:r>
              <w:r>
                <w:rPr>
                  <w:noProof/>
                </w:rPr>
                <w:t xml:space="preserve">[Online] </w:t>
              </w:r>
              <w:r>
                <w:rPr>
                  <w:noProof/>
                </w:rPr>
                <w:br/>
                <w:t xml:space="preserve">Available at: </w:t>
              </w:r>
              <w:r>
                <w:rPr>
                  <w:noProof/>
                  <w:u w:val="single"/>
                </w:rPr>
                <w:t>https://www.commbank.com.au/super-retiring/annuities.html</w:t>
              </w:r>
              <w:r>
                <w:rPr>
                  <w:noProof/>
                </w:rPr>
                <w:br/>
                <w:t>[Accessed 19 June 2020].</w:t>
              </w:r>
            </w:p>
            <w:p w14:paraId="3B944B84" w14:textId="77777777" w:rsidR="00E83F6E" w:rsidRDefault="00E83F6E" w:rsidP="00E83F6E">
              <w:pPr>
                <w:pStyle w:val="Bibliography"/>
                <w:rPr>
                  <w:noProof/>
                </w:rPr>
              </w:pPr>
              <w:r>
                <w:rPr>
                  <w:noProof/>
                </w:rPr>
                <w:t xml:space="preserve">Commonwealth of Australia, 1992. </w:t>
              </w:r>
              <w:r>
                <w:rPr>
                  <w:i/>
                  <w:iCs/>
                  <w:noProof/>
                </w:rPr>
                <w:t xml:space="preserve">Superannuation Guarantee (Administration) Act 11992, </w:t>
              </w:r>
              <w:r>
                <w:rPr>
                  <w:noProof/>
                </w:rPr>
                <w:t>s.l.: s.n.</w:t>
              </w:r>
            </w:p>
            <w:p w14:paraId="4321D015" w14:textId="77777777" w:rsidR="00E83F6E" w:rsidRDefault="00E83F6E" w:rsidP="00E83F6E">
              <w:pPr>
                <w:pStyle w:val="Bibliography"/>
                <w:rPr>
                  <w:noProof/>
                </w:rPr>
              </w:pPr>
              <w:r>
                <w:rPr>
                  <w:noProof/>
                </w:rPr>
                <w:t xml:space="preserve">Commonwealth of Australia, 1993. </w:t>
              </w:r>
              <w:r>
                <w:rPr>
                  <w:i/>
                  <w:iCs/>
                  <w:noProof/>
                </w:rPr>
                <w:t xml:space="preserve">Superannuation Industry (Supervision) Act 1993 - Section 99F. </w:t>
              </w:r>
              <w:r>
                <w:rPr>
                  <w:noProof/>
                </w:rPr>
                <w:t>Canberra: Commonwealth of Australia.</w:t>
              </w:r>
            </w:p>
            <w:p w14:paraId="03389A43" w14:textId="77777777" w:rsidR="00E83F6E" w:rsidRDefault="00E83F6E" w:rsidP="00E83F6E">
              <w:pPr>
                <w:pStyle w:val="Bibliography"/>
                <w:rPr>
                  <w:noProof/>
                </w:rPr>
              </w:pPr>
              <w:r>
                <w:rPr>
                  <w:noProof/>
                </w:rPr>
                <w:t xml:space="preserve">Commonwealth of Australia, 2001. </w:t>
              </w:r>
              <w:r>
                <w:rPr>
                  <w:i/>
                  <w:iCs/>
                  <w:noProof/>
                </w:rPr>
                <w:t xml:space="preserve">Corporations Act 2001 - Section 766B. </w:t>
              </w:r>
              <w:r>
                <w:rPr>
                  <w:noProof/>
                </w:rPr>
                <w:t>Canberra: Commonwealth of Australia.</w:t>
              </w:r>
            </w:p>
            <w:p w14:paraId="2D82ADA5" w14:textId="77777777" w:rsidR="00E83F6E" w:rsidRDefault="00E83F6E" w:rsidP="00E83F6E">
              <w:pPr>
                <w:pStyle w:val="Bibliography"/>
                <w:rPr>
                  <w:noProof/>
                </w:rPr>
              </w:pPr>
              <w:r>
                <w:rPr>
                  <w:noProof/>
                </w:rPr>
                <w:t xml:space="preserve">Commonwealth of Australia, 2002. </w:t>
              </w:r>
              <w:r>
                <w:rPr>
                  <w:i/>
                  <w:iCs/>
                  <w:noProof/>
                </w:rPr>
                <w:t xml:space="preserve">2002 Intergenerational Report, </w:t>
              </w:r>
              <w:r>
                <w:rPr>
                  <w:noProof/>
                </w:rPr>
                <w:t>Canberra: Commonwealth of Australia.</w:t>
              </w:r>
            </w:p>
            <w:p w14:paraId="094C5A5B" w14:textId="77777777" w:rsidR="00E83F6E" w:rsidRDefault="00E83F6E" w:rsidP="00E83F6E">
              <w:pPr>
                <w:pStyle w:val="Bibliography"/>
                <w:rPr>
                  <w:noProof/>
                </w:rPr>
              </w:pPr>
              <w:r>
                <w:rPr>
                  <w:noProof/>
                </w:rPr>
                <w:t xml:space="preserve">Commonwealth of Australia, 2007. </w:t>
              </w:r>
              <w:r>
                <w:rPr>
                  <w:i/>
                  <w:iCs/>
                  <w:noProof/>
                </w:rPr>
                <w:t xml:space="preserve">2007 Intergenerational Report, </w:t>
              </w:r>
              <w:r>
                <w:rPr>
                  <w:noProof/>
                </w:rPr>
                <w:t>Canberra: Commonwealth of Australia.</w:t>
              </w:r>
            </w:p>
            <w:p w14:paraId="5132FD25" w14:textId="77777777" w:rsidR="00E83F6E" w:rsidRDefault="00E83F6E" w:rsidP="00E83F6E">
              <w:pPr>
                <w:pStyle w:val="Bibliography"/>
                <w:rPr>
                  <w:noProof/>
                </w:rPr>
              </w:pPr>
              <w:r>
                <w:rPr>
                  <w:noProof/>
                </w:rPr>
                <w:t xml:space="preserve">Commonwealth of Australia, 2015. </w:t>
              </w:r>
              <w:r>
                <w:rPr>
                  <w:i/>
                  <w:iCs/>
                  <w:noProof/>
                </w:rPr>
                <w:t xml:space="preserve">2015 Intergenerational Report: Australia in 2055, </w:t>
              </w:r>
              <w:r>
                <w:rPr>
                  <w:noProof/>
                </w:rPr>
                <w:t>Canberra: Commonwealth of Australia.</w:t>
              </w:r>
            </w:p>
            <w:p w14:paraId="2C26551A" w14:textId="77777777" w:rsidR="00E83F6E" w:rsidRDefault="00E83F6E" w:rsidP="00E83F6E">
              <w:pPr>
                <w:pStyle w:val="Bibliography"/>
                <w:rPr>
                  <w:noProof/>
                </w:rPr>
              </w:pPr>
              <w:r>
                <w:rPr>
                  <w:noProof/>
                </w:rPr>
                <w:t xml:space="preserve">Commonwealth Superannuation Corporation, 2020. </w:t>
              </w:r>
              <w:r>
                <w:rPr>
                  <w:i/>
                  <w:iCs/>
                  <w:noProof/>
                </w:rPr>
                <w:t xml:space="preserve">Product Disclosure Statement. </w:t>
              </w:r>
              <w:r>
                <w:rPr>
                  <w:noProof/>
                </w:rPr>
                <w:t xml:space="preserve">[Online] </w:t>
              </w:r>
              <w:r>
                <w:rPr>
                  <w:noProof/>
                </w:rPr>
                <w:br/>
                <w:t xml:space="preserve">Available at: </w:t>
              </w:r>
              <w:r>
                <w:rPr>
                  <w:noProof/>
                  <w:u w:val="single"/>
                </w:rPr>
                <w:t>https://www.csc.gov.au/Members/Advice-and-resources/Product-Disclosure-Statement/</w:t>
              </w:r>
              <w:r>
                <w:rPr>
                  <w:noProof/>
                </w:rPr>
                <w:br/>
                <w:t>[Accessed 19 June 2020].</w:t>
              </w:r>
            </w:p>
            <w:p w14:paraId="559B860F" w14:textId="77777777" w:rsidR="00E83F6E" w:rsidRDefault="00E83F6E" w:rsidP="00E83F6E">
              <w:pPr>
                <w:pStyle w:val="Bibliography"/>
                <w:rPr>
                  <w:noProof/>
                </w:rPr>
              </w:pPr>
              <w:r>
                <w:rPr>
                  <w:noProof/>
                </w:rPr>
                <w:t xml:space="preserve">Connolly, C., Georgouras, M. &amp; Hems, L., 2012. </w:t>
              </w:r>
              <w:r>
                <w:rPr>
                  <w:i/>
                  <w:iCs/>
                  <w:noProof/>
                </w:rPr>
                <w:t xml:space="preserve">Measuring Financial Exclusion in Australia, </w:t>
              </w:r>
              <w:r>
                <w:rPr>
                  <w:noProof/>
                </w:rPr>
                <w:t>s.l.: Centre for Social Impact (CSI) – University of New South Wales, 2012, for National Australia Bank.</w:t>
              </w:r>
            </w:p>
            <w:p w14:paraId="4A72CF75" w14:textId="77777777" w:rsidR="00E83F6E" w:rsidRDefault="00E83F6E" w:rsidP="00E83F6E">
              <w:pPr>
                <w:pStyle w:val="Bibliography"/>
                <w:rPr>
                  <w:noProof/>
                </w:rPr>
              </w:pPr>
              <w:r>
                <w:rPr>
                  <w:noProof/>
                </w:rPr>
                <w:t xml:space="preserve">Connolly, E., 2007. </w:t>
              </w:r>
              <w:r>
                <w:rPr>
                  <w:i/>
                  <w:iCs/>
                  <w:noProof/>
                </w:rPr>
                <w:t xml:space="preserve">The Effect of the Australian Superannuation Guarantee on Household Saving Behaviour, </w:t>
              </w:r>
              <w:r>
                <w:rPr>
                  <w:noProof/>
                </w:rPr>
                <w:t>s.l.: Reserve Bank of Australia.</w:t>
              </w:r>
            </w:p>
            <w:p w14:paraId="318D8576" w14:textId="77777777" w:rsidR="00E83F6E" w:rsidRDefault="00E83F6E" w:rsidP="00E83F6E">
              <w:pPr>
                <w:pStyle w:val="Bibliography"/>
                <w:rPr>
                  <w:noProof/>
                </w:rPr>
              </w:pPr>
              <w:r>
                <w:rPr>
                  <w:noProof/>
                </w:rPr>
                <w:t xml:space="preserve">Core Data, 2020. </w:t>
              </w:r>
              <w:r>
                <w:rPr>
                  <w:i/>
                  <w:iCs/>
                  <w:noProof/>
                </w:rPr>
                <w:t xml:space="preserve">Best Possible Retirement 2020, </w:t>
              </w:r>
              <w:r>
                <w:rPr>
                  <w:noProof/>
                </w:rPr>
                <w:t>s.l.: Core Data.</w:t>
              </w:r>
            </w:p>
            <w:p w14:paraId="1D45BE0F" w14:textId="77777777" w:rsidR="00E83F6E" w:rsidRDefault="00E83F6E" w:rsidP="00E83F6E">
              <w:pPr>
                <w:pStyle w:val="Bibliography"/>
                <w:rPr>
                  <w:noProof/>
                </w:rPr>
              </w:pPr>
              <w:r>
                <w:rPr>
                  <w:noProof/>
                </w:rPr>
                <w:t xml:space="preserve">CoreLogic, 2020. </w:t>
              </w:r>
              <w:r>
                <w:rPr>
                  <w:i/>
                  <w:iCs/>
                  <w:noProof/>
                </w:rPr>
                <w:t xml:space="preserve">CoreLogic Home Property Value Index - Monthly Indices. </w:t>
              </w:r>
              <w:r>
                <w:rPr>
                  <w:noProof/>
                </w:rPr>
                <w:t xml:space="preserve">[Online] </w:t>
              </w:r>
              <w:r>
                <w:rPr>
                  <w:noProof/>
                </w:rPr>
                <w:br/>
                <w:t xml:space="preserve">Available at: </w:t>
              </w:r>
              <w:r>
                <w:rPr>
                  <w:noProof/>
                  <w:u w:val="single"/>
                </w:rPr>
                <w:t>https://www.corelogic.com.au/research/monthly-indices</w:t>
              </w:r>
              <w:r>
                <w:rPr>
                  <w:noProof/>
                </w:rPr>
                <w:br/>
                <w:t>[Accessed 2 March 2020].</w:t>
              </w:r>
            </w:p>
            <w:p w14:paraId="17991626" w14:textId="77777777" w:rsidR="00E83F6E" w:rsidRDefault="00E83F6E" w:rsidP="00E83F6E">
              <w:pPr>
                <w:pStyle w:val="Bibliography"/>
                <w:rPr>
                  <w:noProof/>
                </w:rPr>
              </w:pPr>
              <w:r>
                <w:rPr>
                  <w:noProof/>
                </w:rPr>
                <w:t xml:space="preserve">Corneo, G., Konig, J. &amp; Shroder, C., 2015. Distribution Effects of Subsidising Retirement Savings Accounts: Evidence from Germany. </w:t>
              </w:r>
              <w:r>
                <w:rPr>
                  <w:i/>
                  <w:iCs/>
                  <w:noProof/>
                </w:rPr>
                <w:t xml:space="preserve">FinanzArchiv: Public Finance Analysis, </w:t>
              </w:r>
              <w:r>
                <w:rPr>
                  <w:noProof/>
                </w:rPr>
                <w:t>74(4), pp. 415-445.</w:t>
              </w:r>
            </w:p>
            <w:p w14:paraId="66F37B55" w14:textId="77777777" w:rsidR="00E83F6E" w:rsidRDefault="00E83F6E" w:rsidP="00E83F6E">
              <w:pPr>
                <w:pStyle w:val="Bibliography"/>
                <w:rPr>
                  <w:noProof/>
                </w:rPr>
              </w:pPr>
              <w:r>
                <w:rPr>
                  <w:noProof/>
                </w:rPr>
                <w:t xml:space="preserve">Costello, P., 2001. </w:t>
              </w:r>
              <w:r>
                <w:rPr>
                  <w:i/>
                  <w:iCs/>
                  <w:noProof/>
                </w:rPr>
                <w:t xml:space="preserve">Budget Speech 2001-02. </w:t>
              </w:r>
              <w:r>
                <w:rPr>
                  <w:noProof/>
                </w:rPr>
                <w:t xml:space="preserve">[Online] </w:t>
              </w:r>
              <w:r>
                <w:rPr>
                  <w:noProof/>
                </w:rPr>
                <w:br/>
                <w:t xml:space="preserve">Available at: </w:t>
              </w:r>
              <w:r>
                <w:rPr>
                  <w:noProof/>
                  <w:u w:val="single"/>
                </w:rPr>
                <w:t>https://archive.budget.gov.au/2001-02/speech/speech.pdf</w:t>
              </w:r>
              <w:r>
                <w:rPr>
                  <w:noProof/>
                </w:rPr>
                <w:br/>
                <w:t>[Accessed 5 February 2020].</w:t>
              </w:r>
            </w:p>
            <w:p w14:paraId="25CF4951" w14:textId="77777777" w:rsidR="00E83F6E" w:rsidRDefault="00E83F6E" w:rsidP="00E83F6E">
              <w:pPr>
                <w:pStyle w:val="Bibliography"/>
                <w:rPr>
                  <w:noProof/>
                </w:rPr>
              </w:pPr>
              <w:r>
                <w:rPr>
                  <w:noProof/>
                </w:rPr>
                <w:t xml:space="preserve">COTA,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1C3C6F4F" w14:textId="77777777" w:rsidR="00E83F6E" w:rsidRDefault="00E83F6E" w:rsidP="00E83F6E">
              <w:pPr>
                <w:pStyle w:val="Bibliography"/>
                <w:rPr>
                  <w:noProof/>
                </w:rPr>
              </w:pPr>
              <w:r>
                <w:rPr>
                  <w:noProof/>
                </w:rPr>
                <w:t xml:space="preserve">Cowan, S. &amp; Taylor, M., 2015. </w:t>
              </w:r>
              <w:r>
                <w:rPr>
                  <w:i/>
                  <w:iCs/>
                  <w:noProof/>
                </w:rPr>
                <w:t xml:space="preserve">The Age Old Problem of Old Age: Fixing the Pension, </w:t>
              </w:r>
              <w:r>
                <w:rPr>
                  <w:noProof/>
                </w:rPr>
                <w:t>Research Report 3. St Leonards, Australia: The Centre for Independent Studies.</w:t>
              </w:r>
            </w:p>
            <w:p w14:paraId="5586FD18" w14:textId="77777777" w:rsidR="00E83F6E" w:rsidRDefault="00E83F6E" w:rsidP="00E83F6E">
              <w:pPr>
                <w:pStyle w:val="Bibliography"/>
                <w:rPr>
                  <w:noProof/>
                </w:rPr>
              </w:pPr>
              <w:r>
                <w:rPr>
                  <w:noProof/>
                </w:rPr>
                <w:t xml:space="preserve">Creedy, J. &amp; Disney, R., 1990. Pension schemes and incentives: case studies from Australia and the United Kingdom. </w:t>
              </w:r>
              <w:r>
                <w:rPr>
                  <w:i/>
                  <w:iCs/>
                  <w:noProof/>
                </w:rPr>
                <w:t xml:space="preserve">Australian Economic Review, </w:t>
              </w:r>
              <w:r>
                <w:rPr>
                  <w:noProof/>
                </w:rPr>
                <w:t>23(1), pp. 23-32.</w:t>
              </w:r>
            </w:p>
            <w:p w14:paraId="36A861ED" w14:textId="77777777" w:rsidR="00E83F6E" w:rsidRDefault="00E83F6E" w:rsidP="00E83F6E">
              <w:pPr>
                <w:pStyle w:val="Bibliography"/>
                <w:rPr>
                  <w:noProof/>
                </w:rPr>
              </w:pPr>
              <w:r>
                <w:rPr>
                  <w:noProof/>
                </w:rPr>
                <w:t xml:space="preserve">Cronqvist, H. &amp; Thaler, R., 2004. Design choices in privatized social security systems: Learning from the Swedish experience. </w:t>
              </w:r>
              <w:r>
                <w:rPr>
                  <w:i/>
                  <w:iCs/>
                  <w:noProof/>
                </w:rPr>
                <w:t xml:space="preserve">American Economic Review, </w:t>
              </w:r>
              <w:r>
                <w:rPr>
                  <w:noProof/>
                </w:rPr>
                <w:t>98(2), pp. 424-8.</w:t>
              </w:r>
            </w:p>
            <w:p w14:paraId="74C1A3A0" w14:textId="77777777" w:rsidR="00E83F6E" w:rsidRDefault="00E83F6E" w:rsidP="00E83F6E">
              <w:pPr>
                <w:pStyle w:val="Bibliography"/>
                <w:rPr>
                  <w:noProof/>
                </w:rPr>
              </w:pPr>
              <w:r>
                <w:rPr>
                  <w:noProof/>
                </w:rPr>
                <w:t xml:space="preserve">Daley, J., Coates, B. &amp; Wiltshire, T., 2018a. </w:t>
              </w:r>
              <w:r>
                <w:rPr>
                  <w:i/>
                  <w:iCs/>
                  <w:noProof/>
                </w:rPr>
                <w:t xml:space="preserve">Housing affordability: re-imagining the Australian dream, </w:t>
              </w:r>
              <w:r>
                <w:rPr>
                  <w:noProof/>
                </w:rPr>
                <w:t>s.l.: Grattan Institute.</w:t>
              </w:r>
            </w:p>
            <w:p w14:paraId="43AF2BDC" w14:textId="77777777" w:rsidR="00E83F6E" w:rsidRDefault="00E83F6E" w:rsidP="00E83F6E">
              <w:pPr>
                <w:pStyle w:val="Bibliography"/>
                <w:rPr>
                  <w:noProof/>
                </w:rPr>
              </w:pPr>
              <w:r>
                <w:rPr>
                  <w:noProof/>
                </w:rPr>
                <w:t xml:space="preserve">Daley, J. et al., 2018b. </w:t>
              </w:r>
              <w:r>
                <w:rPr>
                  <w:i/>
                  <w:iCs/>
                  <w:noProof/>
                </w:rPr>
                <w:t xml:space="preserve">Money in retirement: More than enough, </w:t>
              </w:r>
              <w:r>
                <w:rPr>
                  <w:noProof/>
                </w:rPr>
                <w:t>s.l.: Grattan Institute.</w:t>
              </w:r>
            </w:p>
            <w:p w14:paraId="32325EC7" w14:textId="77777777" w:rsidR="00E83F6E" w:rsidRDefault="00E83F6E" w:rsidP="00E83F6E">
              <w:pPr>
                <w:pStyle w:val="Bibliography"/>
                <w:rPr>
                  <w:noProof/>
                </w:rPr>
              </w:pPr>
              <w:r>
                <w:rPr>
                  <w:noProof/>
                </w:rPr>
                <w:t xml:space="preserve">Daley, J., Coates, B., Young, W. &amp; Parsonage, H., 2016. </w:t>
              </w:r>
              <w:r>
                <w:rPr>
                  <w:i/>
                  <w:iCs/>
                  <w:noProof/>
                </w:rPr>
                <w:t xml:space="preserve">Age of Entitlement: Age-Based Tax Breaks, </w:t>
              </w:r>
              <w:r>
                <w:rPr>
                  <w:noProof/>
                </w:rPr>
                <w:t>s.l.: Grattan Institute.</w:t>
              </w:r>
            </w:p>
            <w:p w14:paraId="516AD98D" w14:textId="77777777" w:rsidR="00E83F6E" w:rsidRDefault="00E83F6E" w:rsidP="00E83F6E">
              <w:pPr>
                <w:pStyle w:val="Bibliography"/>
                <w:rPr>
                  <w:noProof/>
                </w:rPr>
              </w:pPr>
              <w:r>
                <w:rPr>
                  <w:noProof/>
                </w:rPr>
                <w:t xml:space="preserve">Davidson, P., Saunders, P., Bradbury, B. &amp; Wong, M., 2018. </w:t>
              </w:r>
              <w:r>
                <w:rPr>
                  <w:i/>
                  <w:iCs/>
                  <w:noProof/>
                </w:rPr>
                <w:t xml:space="preserve">Poverty in Australian 2018, </w:t>
              </w:r>
              <w:r>
                <w:rPr>
                  <w:noProof/>
                </w:rPr>
                <w:t>ACOSS/UNSW Poverty and Inequality Partnership Report No. 2, Sydney: ACOSS.</w:t>
              </w:r>
            </w:p>
            <w:p w14:paraId="0B28C739" w14:textId="77777777" w:rsidR="00E83F6E" w:rsidRDefault="00E83F6E" w:rsidP="00E83F6E">
              <w:pPr>
                <w:pStyle w:val="Bibliography"/>
                <w:rPr>
                  <w:noProof/>
                </w:rPr>
              </w:pPr>
              <w:r>
                <w:rPr>
                  <w:noProof/>
                </w:rPr>
                <w:t xml:space="preserve">Davis, K.,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366F96BF" w14:textId="77777777" w:rsidR="00E83F6E" w:rsidRDefault="00E83F6E" w:rsidP="00E83F6E">
              <w:pPr>
                <w:pStyle w:val="Bibliography"/>
                <w:rPr>
                  <w:noProof/>
                </w:rPr>
              </w:pPr>
              <w:r>
                <w:rPr>
                  <w:noProof/>
                </w:rPr>
                <w:t xml:space="preserve">Dawkins, J., 1992. </w:t>
              </w:r>
              <w:r>
                <w:rPr>
                  <w:i/>
                  <w:iCs/>
                  <w:noProof/>
                </w:rPr>
                <w:t xml:space="preserve">Security in Retirement: Planning for Tomorrow Today. </w:t>
              </w:r>
              <w:r>
                <w:rPr>
                  <w:noProof/>
                </w:rPr>
                <w:t>Canberra: Australian Government Publishing Service.</w:t>
              </w:r>
            </w:p>
            <w:p w14:paraId="71F6EA56" w14:textId="77777777" w:rsidR="00E83F6E" w:rsidRDefault="00E83F6E" w:rsidP="00E83F6E">
              <w:pPr>
                <w:pStyle w:val="Bibliography"/>
                <w:rPr>
                  <w:noProof/>
                </w:rPr>
              </w:pPr>
              <w:r>
                <w:rPr>
                  <w:noProof/>
                </w:rPr>
                <w:t xml:space="preserve">Debelle, G., 2019. </w:t>
              </w:r>
              <w:r>
                <w:rPr>
                  <w:i/>
                  <w:iCs/>
                  <w:noProof/>
                </w:rPr>
                <w:t xml:space="preserve">Speech: Australian Council of Social Service (ACOSS) National Conference 2019. </w:t>
              </w:r>
              <w:r>
                <w:rPr>
                  <w:noProof/>
                </w:rPr>
                <w:t xml:space="preserve">[Online] </w:t>
              </w:r>
              <w:r>
                <w:rPr>
                  <w:noProof/>
                </w:rPr>
                <w:br/>
                <w:t xml:space="preserve">Available at: </w:t>
              </w:r>
              <w:r>
                <w:rPr>
                  <w:noProof/>
                  <w:u w:val="single"/>
                </w:rPr>
                <w:t>https://www.rba.gov.au/speeches/2019/sp-dg-2019-11-26.html</w:t>
              </w:r>
              <w:r>
                <w:rPr>
                  <w:noProof/>
                </w:rPr>
                <w:br/>
                <w:t>[Accessed 16 March 2020].</w:t>
              </w:r>
            </w:p>
            <w:p w14:paraId="2888D3FD" w14:textId="77777777" w:rsidR="00E83F6E" w:rsidRDefault="00E83F6E" w:rsidP="00E83F6E">
              <w:pPr>
                <w:pStyle w:val="Bibliography"/>
                <w:rPr>
                  <w:noProof/>
                </w:rPr>
              </w:pPr>
              <w:r>
                <w:rPr>
                  <w:noProof/>
                </w:rPr>
                <w:t xml:space="preserve">Deloitte Actuaries &amp; Consultants, 2019. </w:t>
              </w:r>
              <w:r>
                <w:rPr>
                  <w:i/>
                  <w:iCs/>
                  <w:noProof/>
                </w:rPr>
                <w:t xml:space="preserve">Dynamics of the Australian Superannuation System: The next 20 years to 2038, </w:t>
              </w:r>
              <w:r>
                <w:rPr>
                  <w:noProof/>
                </w:rPr>
                <w:t>s.l.: Deloitte.</w:t>
              </w:r>
            </w:p>
            <w:p w14:paraId="2439565F" w14:textId="77777777" w:rsidR="00E83F6E" w:rsidRDefault="00E83F6E" w:rsidP="00E83F6E">
              <w:pPr>
                <w:pStyle w:val="Bibliography"/>
                <w:rPr>
                  <w:noProof/>
                </w:rPr>
              </w:pPr>
              <w:r>
                <w:rPr>
                  <w:noProof/>
                </w:rPr>
                <w:t xml:space="preserve">Department of Finance, 2018. </w:t>
              </w:r>
              <w:r>
                <w:rPr>
                  <w:i/>
                  <w:iCs/>
                  <w:noProof/>
                </w:rPr>
                <w:t xml:space="preserve">PSS and CSS Long Term Cost Report 2017, </w:t>
              </w:r>
              <w:r>
                <w:rPr>
                  <w:noProof/>
                </w:rPr>
                <w:t>Canberra: Department of Finance, Commonwealth of Australia.</w:t>
              </w:r>
            </w:p>
            <w:p w14:paraId="46B33C99" w14:textId="77777777" w:rsidR="00E83F6E" w:rsidRDefault="00E83F6E" w:rsidP="00E83F6E">
              <w:pPr>
                <w:pStyle w:val="Bibliography"/>
                <w:rPr>
                  <w:noProof/>
                </w:rPr>
              </w:pPr>
              <w:r>
                <w:rPr>
                  <w:noProof/>
                </w:rPr>
                <w:t xml:space="preserve">Department of Health and Ageing, 2010. </w:t>
              </w:r>
              <w:r>
                <w:rPr>
                  <w:i/>
                  <w:iCs/>
                  <w:noProof/>
                </w:rPr>
                <w:t xml:space="preserve">The Impact of PBS Reform - Report to Parliament. </w:t>
              </w:r>
              <w:r>
                <w:rPr>
                  <w:noProof/>
                </w:rPr>
                <w:t xml:space="preserve">[Online] </w:t>
              </w:r>
              <w:r>
                <w:rPr>
                  <w:noProof/>
                </w:rPr>
                <w:br/>
                <w:t xml:space="preserve">Available at: </w:t>
              </w:r>
              <w:r>
                <w:rPr>
                  <w:noProof/>
                  <w:u w:val="single"/>
                </w:rPr>
                <w:t>https://www1.health.gov.au/internet/main/publishing.nsf/Content/pbs-reform-report</w:t>
              </w:r>
              <w:r>
                <w:rPr>
                  <w:noProof/>
                </w:rPr>
                <w:br/>
                <w:t>[Accessed 10 December 2019].</w:t>
              </w:r>
            </w:p>
            <w:p w14:paraId="65289B5D" w14:textId="77777777" w:rsidR="00E83F6E" w:rsidRDefault="00E83F6E" w:rsidP="00E83F6E">
              <w:pPr>
                <w:pStyle w:val="Bibliography"/>
                <w:rPr>
                  <w:noProof/>
                </w:rPr>
              </w:pPr>
              <w:r>
                <w:rPr>
                  <w:noProof/>
                </w:rPr>
                <w:t xml:space="preserve">Department of Health, 2013. </w:t>
              </w:r>
              <w:r>
                <w:rPr>
                  <w:i/>
                  <w:iCs/>
                  <w:noProof/>
                </w:rPr>
                <w:t xml:space="preserve">Trends in and drivers of Pharmaceutical Benefits Scheme expenditure. </w:t>
              </w:r>
              <w:r>
                <w:rPr>
                  <w:noProof/>
                </w:rPr>
                <w:t xml:space="preserve">[Online] </w:t>
              </w:r>
              <w:r>
                <w:rPr>
                  <w:noProof/>
                </w:rPr>
                <w:br/>
                <w:t xml:space="preserve">Available at: </w:t>
              </w:r>
              <w:r>
                <w:rPr>
                  <w:noProof/>
                  <w:u w:val="single"/>
                </w:rPr>
                <w:t>https://www.pbs.gov.au/info/news/2013/05/report-trends-in-and-drivers-of-pbs-expenditure</w:t>
              </w:r>
              <w:r>
                <w:rPr>
                  <w:noProof/>
                </w:rPr>
                <w:br/>
                <w:t>[Accessed 18 March 2020].</w:t>
              </w:r>
            </w:p>
            <w:p w14:paraId="61DD1A32" w14:textId="77777777" w:rsidR="00E83F6E" w:rsidRDefault="00E83F6E" w:rsidP="00E83F6E">
              <w:pPr>
                <w:pStyle w:val="Bibliography"/>
                <w:rPr>
                  <w:noProof/>
                </w:rPr>
              </w:pPr>
              <w:r>
                <w:rPr>
                  <w:noProof/>
                </w:rPr>
                <w:t xml:space="preserve">Department of Health, 2019a. </w:t>
              </w:r>
              <w:r>
                <w:rPr>
                  <w:i/>
                  <w:iCs/>
                  <w:noProof/>
                </w:rPr>
                <w:t xml:space="preserve">Aged care data snapshot 2019. </w:t>
              </w:r>
              <w:r>
                <w:rPr>
                  <w:noProof/>
                </w:rPr>
                <w:t xml:space="preserve">[Online] </w:t>
              </w:r>
              <w:r>
                <w:rPr>
                  <w:noProof/>
                </w:rPr>
                <w:br/>
                <w:t xml:space="preserve">Available at: </w:t>
              </w:r>
              <w:r>
                <w:rPr>
                  <w:noProof/>
                  <w:u w:val="single"/>
                </w:rPr>
                <w:t>https://gen-agedcaredata.gov.au/Resources/Access-data/2019/September/Aged-care-data-snapshot%E2%80%942019</w:t>
              </w:r>
              <w:r>
                <w:rPr>
                  <w:noProof/>
                </w:rPr>
                <w:br/>
                <w:t>[Accessed 18 November 2019].</w:t>
              </w:r>
            </w:p>
            <w:p w14:paraId="7A42E114" w14:textId="77777777" w:rsidR="00E83F6E" w:rsidRDefault="00E83F6E" w:rsidP="00E83F6E">
              <w:pPr>
                <w:pStyle w:val="Bibliography"/>
                <w:rPr>
                  <w:noProof/>
                </w:rPr>
              </w:pPr>
              <w:r>
                <w:rPr>
                  <w:noProof/>
                </w:rPr>
                <w:t xml:space="preserve">Department of Health, 2019b. </w:t>
              </w:r>
              <w:r>
                <w:rPr>
                  <w:i/>
                  <w:iCs/>
                  <w:noProof/>
                </w:rPr>
                <w:t xml:space="preserve">Annual Medicare Statistics. </w:t>
              </w:r>
              <w:r>
                <w:rPr>
                  <w:noProof/>
                </w:rPr>
                <w:t xml:space="preserve">[Online] </w:t>
              </w:r>
              <w:r>
                <w:rPr>
                  <w:noProof/>
                </w:rPr>
                <w:br/>
                <w:t xml:space="preserve">Available at: </w:t>
              </w:r>
              <w:r>
                <w:rPr>
                  <w:noProof/>
                  <w:u w:val="single"/>
                </w:rPr>
                <w:t>https://www1.health.gov.au/internet/main/publishing.nsf/Content/Annual-Medicare-Statistics</w:t>
              </w:r>
              <w:r>
                <w:rPr>
                  <w:noProof/>
                </w:rPr>
                <w:br/>
                <w:t>[Accessed 10 December 2019].</w:t>
              </w:r>
            </w:p>
            <w:p w14:paraId="72C1B233" w14:textId="77777777" w:rsidR="00E83F6E" w:rsidRDefault="00E83F6E" w:rsidP="00E83F6E">
              <w:pPr>
                <w:pStyle w:val="Bibliography"/>
                <w:rPr>
                  <w:noProof/>
                </w:rPr>
              </w:pPr>
              <w:r>
                <w:rPr>
                  <w:noProof/>
                </w:rPr>
                <w:t xml:space="preserve">Department of Health, 2020a. </w:t>
              </w:r>
              <w:r>
                <w:rPr>
                  <w:i/>
                  <w:iCs/>
                  <w:noProof/>
                </w:rPr>
                <w:t xml:space="preserve">Schedule of Fees and Charges for Residential and Home Care. </w:t>
              </w:r>
              <w:r>
                <w:rPr>
                  <w:noProof/>
                </w:rPr>
                <w:t xml:space="preserve">[Online] </w:t>
              </w:r>
              <w:r>
                <w:rPr>
                  <w:noProof/>
                </w:rPr>
                <w:br/>
                <w:t xml:space="preserve">Available at: </w:t>
              </w:r>
              <w:r>
                <w:rPr>
                  <w:noProof/>
                  <w:u w:val="single"/>
                </w:rPr>
                <w:t>https://www.myagedcare.gov.au/aged-care-home-costs-and-fees</w:t>
              </w:r>
              <w:r>
                <w:rPr>
                  <w:noProof/>
                </w:rPr>
                <w:br/>
                <w:t>[Accessed 23 January 2020].</w:t>
              </w:r>
            </w:p>
            <w:p w14:paraId="0BDE4B23" w14:textId="77777777" w:rsidR="00E83F6E" w:rsidRDefault="00E83F6E" w:rsidP="00E83F6E">
              <w:pPr>
                <w:pStyle w:val="Bibliography"/>
                <w:rPr>
                  <w:noProof/>
                </w:rPr>
              </w:pPr>
              <w:r>
                <w:rPr>
                  <w:noProof/>
                </w:rPr>
                <w:t xml:space="preserve">Department of Health, 2020b. </w:t>
              </w:r>
              <w:r>
                <w:rPr>
                  <w:i/>
                  <w:iCs/>
                  <w:noProof/>
                </w:rPr>
                <w:t xml:space="preserve">Schedule of Subsidies and Supplements for Aged Care. </w:t>
              </w:r>
              <w:r>
                <w:rPr>
                  <w:noProof/>
                </w:rPr>
                <w:t xml:space="preserve">[Online] </w:t>
              </w:r>
              <w:r>
                <w:rPr>
                  <w:noProof/>
                </w:rPr>
                <w:br/>
                <w:t xml:space="preserve">Available at: </w:t>
              </w:r>
              <w:r>
                <w:rPr>
                  <w:noProof/>
                  <w:u w:val="single"/>
                </w:rPr>
                <w:t>https://www.health.gov.au/resources/publications/schedule-of-subsidies-and-supplements-for-aged-care</w:t>
              </w:r>
              <w:r>
                <w:rPr>
                  <w:noProof/>
                </w:rPr>
                <w:br/>
                <w:t>[Accessed 28 May 2020].</w:t>
              </w:r>
            </w:p>
            <w:p w14:paraId="69F533E3" w14:textId="77777777" w:rsidR="00E83F6E" w:rsidRDefault="00E83F6E" w:rsidP="00E83F6E">
              <w:pPr>
                <w:pStyle w:val="Bibliography"/>
                <w:rPr>
                  <w:noProof/>
                </w:rPr>
              </w:pPr>
              <w:r>
                <w:rPr>
                  <w:noProof/>
                </w:rPr>
                <w:t xml:space="preserve">Department of Skills, Education and Employment, 2019. </w:t>
              </w:r>
              <w:r>
                <w:rPr>
                  <w:i/>
                  <w:iCs/>
                  <w:noProof/>
                </w:rPr>
                <w:t xml:space="preserve">National Agreement for Skills and Workforce Development. </w:t>
              </w:r>
              <w:r>
                <w:rPr>
                  <w:noProof/>
                </w:rPr>
                <w:t xml:space="preserve">[Online] </w:t>
              </w:r>
              <w:r>
                <w:rPr>
                  <w:noProof/>
                </w:rPr>
                <w:br/>
                <w:t xml:space="preserve">Available at: </w:t>
              </w:r>
              <w:r>
                <w:rPr>
                  <w:noProof/>
                  <w:u w:val="single"/>
                </w:rPr>
                <w:t>https://www.employment.gov.au/national-agreement-skills-and-workforce-development</w:t>
              </w:r>
              <w:r>
                <w:rPr>
                  <w:noProof/>
                </w:rPr>
                <w:br/>
                <w:t>[Accessed 28 May 2020].</w:t>
              </w:r>
            </w:p>
            <w:p w14:paraId="7ED471D0" w14:textId="77777777" w:rsidR="00E83F6E" w:rsidRDefault="00E83F6E" w:rsidP="00E83F6E">
              <w:pPr>
                <w:pStyle w:val="Bibliography"/>
                <w:rPr>
                  <w:noProof/>
                </w:rPr>
              </w:pPr>
              <w:r>
                <w:rPr>
                  <w:noProof/>
                </w:rPr>
                <w:t xml:space="preserve">Department of Social Services, 2014. </w:t>
              </w:r>
              <w:r>
                <w:rPr>
                  <w:i/>
                  <w:iCs/>
                  <w:noProof/>
                </w:rPr>
                <w:t xml:space="preserve">Income support customers: a statistical overview 2013. </w:t>
              </w:r>
              <w:r>
                <w:rPr>
                  <w:noProof/>
                </w:rPr>
                <w:t xml:space="preserve">[Online] </w:t>
              </w:r>
              <w:r>
                <w:rPr>
                  <w:noProof/>
                </w:rPr>
                <w:br/>
                <w:t xml:space="preserve">Available at: </w:t>
              </w:r>
              <w:r>
                <w:rPr>
                  <w:noProof/>
                  <w:u w:val="single"/>
                </w:rPr>
                <w:t>https://www.dss.gov.au/sites/default/files/documents/01_2015/sp12_accessible_pdf_final.pdf</w:t>
              </w:r>
              <w:r>
                <w:rPr>
                  <w:noProof/>
                </w:rPr>
                <w:br/>
                <w:t>[Accessed 25 April 2020].</w:t>
              </w:r>
            </w:p>
            <w:p w14:paraId="371F3D69" w14:textId="77777777" w:rsidR="00E83F6E" w:rsidRDefault="00E83F6E" w:rsidP="00E83F6E">
              <w:pPr>
                <w:pStyle w:val="Bibliography"/>
                <w:rPr>
                  <w:noProof/>
                </w:rPr>
              </w:pPr>
              <w:r>
                <w:rPr>
                  <w:noProof/>
                </w:rPr>
                <w:t xml:space="preserve">Department of Social Services, 2015. </w:t>
              </w:r>
              <w:r>
                <w:rPr>
                  <w:i/>
                  <w:iCs/>
                  <w:noProof/>
                </w:rPr>
                <w:t xml:space="preserve">Social Security Guide, 4 Income and Assets. </w:t>
              </w:r>
              <w:r>
                <w:rPr>
                  <w:noProof/>
                </w:rPr>
                <w:t xml:space="preserve">[Online] </w:t>
              </w:r>
              <w:r>
                <w:rPr>
                  <w:noProof/>
                </w:rPr>
                <w:br/>
                <w:t xml:space="preserve">Available at: </w:t>
              </w:r>
              <w:r>
                <w:rPr>
                  <w:noProof/>
                  <w:u w:val="single"/>
                </w:rPr>
                <w:t>https://guides.dss.gov.au/guide-social-security-law/4</w:t>
              </w:r>
              <w:r>
                <w:rPr>
                  <w:noProof/>
                </w:rPr>
                <w:br/>
                <w:t>[Accessed 9 June 2020].</w:t>
              </w:r>
            </w:p>
            <w:p w14:paraId="4483C0EF" w14:textId="77777777" w:rsidR="00E83F6E" w:rsidRDefault="00E83F6E" w:rsidP="00E83F6E">
              <w:pPr>
                <w:pStyle w:val="Bibliography"/>
                <w:rPr>
                  <w:noProof/>
                </w:rPr>
              </w:pPr>
              <w:r>
                <w:rPr>
                  <w:noProof/>
                </w:rPr>
                <w:t xml:space="preserve">Department of Social Services, 2019. </w:t>
              </w:r>
              <w:r>
                <w:rPr>
                  <w:i/>
                  <w:iCs/>
                  <w:noProof/>
                </w:rPr>
                <w:t xml:space="preserve">Annual Reports. </w:t>
              </w:r>
              <w:r>
                <w:rPr>
                  <w:noProof/>
                </w:rPr>
                <w:t xml:space="preserve">[Online] </w:t>
              </w:r>
              <w:r>
                <w:rPr>
                  <w:noProof/>
                </w:rPr>
                <w:br/>
                <w:t xml:space="preserve">Available at: </w:t>
              </w:r>
              <w:r>
                <w:rPr>
                  <w:noProof/>
                  <w:u w:val="single"/>
                </w:rPr>
                <w:t>https://www.dss.gov.au/about-the-department/publications-articles/corporate-publications/annual-reports</w:t>
              </w:r>
              <w:r>
                <w:rPr>
                  <w:noProof/>
                </w:rPr>
                <w:br/>
                <w:t>[Accessed 18 March 2020].</w:t>
              </w:r>
            </w:p>
            <w:p w14:paraId="0D8D57DC" w14:textId="77777777" w:rsidR="00E83F6E" w:rsidRDefault="00E83F6E" w:rsidP="00E83F6E">
              <w:pPr>
                <w:pStyle w:val="Bibliography"/>
                <w:rPr>
                  <w:noProof/>
                </w:rPr>
              </w:pPr>
              <w:r>
                <w:rPr>
                  <w:noProof/>
                </w:rPr>
                <w:t xml:space="preserve">Department of Social Services, 2020a. </w:t>
              </w:r>
              <w:r>
                <w:rPr>
                  <w:i/>
                  <w:iCs/>
                  <w:noProof/>
                </w:rPr>
                <w:t xml:space="preserve">DSS Demographics September 2019. </w:t>
              </w:r>
              <w:r>
                <w:rPr>
                  <w:noProof/>
                </w:rPr>
                <w:t xml:space="preserve">[Online] </w:t>
              </w:r>
              <w:r>
                <w:rPr>
                  <w:noProof/>
                </w:rPr>
                <w:br/>
                <w:t xml:space="preserve">Available at: </w:t>
              </w:r>
              <w:r>
                <w:rPr>
                  <w:noProof/>
                  <w:u w:val="single"/>
                </w:rPr>
                <w:t>https://data.gov.au/data/dataset/dss-payment-demographic-data/resource/1fb71211-4e8a-4bf2-b659-148cd4d6972d</w:t>
              </w:r>
              <w:r>
                <w:rPr>
                  <w:noProof/>
                </w:rPr>
                <w:br/>
                <w:t>[Accessed 4 February 2020].</w:t>
              </w:r>
            </w:p>
            <w:p w14:paraId="02704DE5" w14:textId="77777777" w:rsidR="00E83F6E" w:rsidRDefault="00E83F6E" w:rsidP="00E83F6E">
              <w:pPr>
                <w:pStyle w:val="Bibliography"/>
                <w:rPr>
                  <w:noProof/>
                </w:rPr>
              </w:pPr>
              <w:r>
                <w:rPr>
                  <w:noProof/>
                </w:rPr>
                <w:t xml:space="preserve">Department of Social Services, 2020b. </w:t>
              </w:r>
              <w:r>
                <w:rPr>
                  <w:i/>
                  <w:iCs/>
                  <w:noProof/>
                </w:rPr>
                <w:t xml:space="preserve">DSS Demographics December 2019. </w:t>
              </w:r>
              <w:r>
                <w:rPr>
                  <w:noProof/>
                </w:rPr>
                <w:t xml:space="preserve">[Online] </w:t>
              </w:r>
              <w:r>
                <w:rPr>
                  <w:noProof/>
                </w:rPr>
                <w:br/>
                <w:t xml:space="preserve">Available at: </w:t>
              </w:r>
              <w:r>
                <w:rPr>
                  <w:noProof/>
                  <w:u w:val="single"/>
                </w:rPr>
                <w:t>https://data.gov.au/data/dataset/dss-payment-demographic-data</w:t>
              </w:r>
              <w:r>
                <w:rPr>
                  <w:noProof/>
                </w:rPr>
                <w:br/>
                <w:t>[Accessed 4 June 2020].</w:t>
              </w:r>
            </w:p>
            <w:p w14:paraId="2968FBCC" w14:textId="77777777" w:rsidR="00E83F6E" w:rsidRDefault="00E83F6E" w:rsidP="00E83F6E">
              <w:pPr>
                <w:pStyle w:val="Bibliography"/>
                <w:rPr>
                  <w:noProof/>
                </w:rPr>
              </w:pPr>
              <w:r>
                <w:rPr>
                  <w:noProof/>
                </w:rPr>
                <w:t xml:space="preserve">Department of Social Services, 2020c. </w:t>
              </w:r>
              <w:r>
                <w:rPr>
                  <w:i/>
                  <w:iCs/>
                  <w:noProof/>
                </w:rPr>
                <w:t xml:space="preserve">DSS Payment Demographic Data. </w:t>
              </w:r>
              <w:r>
                <w:rPr>
                  <w:noProof/>
                </w:rPr>
                <w:t xml:space="preserve">[Online] </w:t>
              </w:r>
              <w:r>
                <w:rPr>
                  <w:noProof/>
                </w:rPr>
                <w:br/>
                <w:t xml:space="preserve">Available at: </w:t>
              </w:r>
              <w:r>
                <w:rPr>
                  <w:noProof/>
                  <w:u w:val="single"/>
                </w:rPr>
                <w:t>https://data.gov.au/data/dataset/dss-payment-demographic-data</w:t>
              </w:r>
              <w:r>
                <w:rPr>
                  <w:noProof/>
                </w:rPr>
                <w:br/>
                <w:t>[Accessed 25 April 2020].</w:t>
              </w:r>
            </w:p>
            <w:p w14:paraId="3B907E07" w14:textId="77777777" w:rsidR="00E83F6E" w:rsidRDefault="00E83F6E" w:rsidP="00E83F6E">
              <w:pPr>
                <w:pStyle w:val="Bibliography"/>
                <w:rPr>
                  <w:noProof/>
                </w:rPr>
              </w:pPr>
              <w:r>
                <w:rPr>
                  <w:noProof/>
                </w:rPr>
                <w:t xml:space="preserve">Department of Social Services, 2020d. </w:t>
              </w:r>
              <w:r>
                <w:rPr>
                  <w:i/>
                  <w:iCs/>
                  <w:noProof/>
                </w:rPr>
                <w:t xml:space="preserve">Fact Sheet – Creation of the JobSeeker Payment. </w:t>
              </w:r>
              <w:r>
                <w:rPr>
                  <w:noProof/>
                </w:rPr>
                <w:t xml:space="preserve">[Online] </w:t>
              </w:r>
              <w:r>
                <w:rPr>
                  <w:noProof/>
                </w:rPr>
                <w:br/>
                <w:t xml:space="preserve">Available at: </w:t>
              </w:r>
              <w:r>
                <w:rPr>
                  <w:noProof/>
                  <w:u w:val="single"/>
                </w:rPr>
                <w:t>https://www.dss.gov.au/sites/default/files/documents/03_2020/atd_jobseeker-payment_20200320_0.pdf</w:t>
              </w:r>
              <w:r>
                <w:rPr>
                  <w:noProof/>
                </w:rPr>
                <w:br/>
                <w:t>[Accessed 19 May 2020].</w:t>
              </w:r>
            </w:p>
            <w:p w14:paraId="313FB6E0" w14:textId="77777777" w:rsidR="00E83F6E" w:rsidRDefault="00E83F6E" w:rsidP="00E83F6E">
              <w:pPr>
                <w:pStyle w:val="Bibliography"/>
                <w:rPr>
                  <w:noProof/>
                </w:rPr>
              </w:pPr>
              <w:r>
                <w:rPr>
                  <w:noProof/>
                </w:rPr>
                <w:t xml:space="preserve">Department of Social Services, 2020e. </w:t>
              </w:r>
              <w:r>
                <w:rPr>
                  <w:i/>
                  <w:iCs/>
                  <w:noProof/>
                </w:rPr>
                <w:t xml:space="preserve">Social Security Guide, 3.4.1.10 Qualification for Age. </w:t>
              </w:r>
              <w:r>
                <w:rPr>
                  <w:noProof/>
                </w:rPr>
                <w:t xml:space="preserve">[Online] </w:t>
              </w:r>
              <w:r>
                <w:rPr>
                  <w:noProof/>
                </w:rPr>
                <w:br/>
                <w:t xml:space="preserve">Available at: </w:t>
              </w:r>
              <w:r>
                <w:rPr>
                  <w:noProof/>
                  <w:u w:val="single"/>
                </w:rPr>
                <w:t>https://guides.dss.gov.au/guide-social-security-law/3/4/1/10</w:t>
              </w:r>
              <w:r>
                <w:rPr>
                  <w:noProof/>
                </w:rPr>
                <w:br/>
                <w:t>[Accessed 8 April 2020].</w:t>
              </w:r>
            </w:p>
            <w:p w14:paraId="74576B2A" w14:textId="77777777" w:rsidR="00E83F6E" w:rsidRDefault="00E83F6E" w:rsidP="00E83F6E">
              <w:pPr>
                <w:pStyle w:val="Bibliography"/>
                <w:rPr>
                  <w:noProof/>
                </w:rPr>
              </w:pPr>
              <w:r>
                <w:rPr>
                  <w:noProof/>
                </w:rPr>
                <w:t xml:space="preserve">Diamond, P. &amp; Banks, J., 2009. </w:t>
              </w:r>
              <w:r>
                <w:rPr>
                  <w:i/>
                  <w:iCs/>
                  <w:noProof/>
                </w:rPr>
                <w:t xml:space="preserve">The Base for Direct Taxation, </w:t>
              </w:r>
              <w:r>
                <w:rPr>
                  <w:noProof/>
                </w:rPr>
                <w:t>s.l.: MIT Department of Economics Working Paper No. 08-11.</w:t>
              </w:r>
            </w:p>
            <w:p w14:paraId="58B72883" w14:textId="77777777" w:rsidR="00E83F6E" w:rsidRDefault="00E83F6E" w:rsidP="00E83F6E">
              <w:pPr>
                <w:pStyle w:val="Bibliography"/>
                <w:rPr>
                  <w:noProof/>
                </w:rPr>
              </w:pPr>
              <w:r>
                <w:rPr>
                  <w:noProof/>
                </w:rPr>
                <w:t xml:space="preserve">Diversa Trustees - A Sargon Business,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59A05FB" w14:textId="77777777" w:rsidR="00E83F6E" w:rsidRDefault="00E83F6E" w:rsidP="00E83F6E">
              <w:pPr>
                <w:pStyle w:val="Bibliography"/>
                <w:rPr>
                  <w:noProof/>
                </w:rPr>
              </w:pPr>
              <w:r>
                <w:rPr>
                  <w:noProof/>
                </w:rPr>
                <w:t xml:space="preserve">Dockery, A. M., 2020. </w:t>
              </w:r>
              <w:r>
                <w:rPr>
                  <w:i/>
                  <w:iCs/>
                  <w:noProof/>
                </w:rPr>
                <w:t xml:space="preserve">Aboriginal and Torres Strait Islander Australians and the superannuation system, </w:t>
              </w:r>
              <w:r>
                <w:rPr>
                  <w:noProof/>
                </w:rPr>
                <w:t>Perth: Bankwest Curtin Economics Centre and UniSuper.</w:t>
              </w:r>
            </w:p>
            <w:p w14:paraId="00E4203D" w14:textId="77777777" w:rsidR="00E83F6E" w:rsidRDefault="00E83F6E" w:rsidP="00E83F6E">
              <w:pPr>
                <w:pStyle w:val="Bibliography"/>
                <w:rPr>
                  <w:noProof/>
                </w:rPr>
              </w:pPr>
              <w:r>
                <w:rPr>
                  <w:noProof/>
                </w:rPr>
                <w:t xml:space="preserve">Dockery, A. M., Duncan, A., Nguyen, H. &amp; Ong, R., 2015. Securing Our Future: Meeting the Challenges of WA's Ageing Population. Bankwest Curtin Economics Centre. </w:t>
              </w:r>
              <w:r>
                <w:rPr>
                  <w:i/>
                  <w:iCs/>
                  <w:noProof/>
                </w:rPr>
                <w:t xml:space="preserve">Focus on Western Australia Series, </w:t>
              </w:r>
              <w:r>
                <w:rPr>
                  <w:noProof/>
                </w:rPr>
                <w:t>Issue 6.</w:t>
              </w:r>
            </w:p>
            <w:p w14:paraId="4AB58486" w14:textId="77777777" w:rsidR="00E83F6E" w:rsidRDefault="00E83F6E" w:rsidP="00E83F6E">
              <w:pPr>
                <w:pStyle w:val="Bibliography"/>
                <w:rPr>
                  <w:noProof/>
                </w:rPr>
              </w:pPr>
              <w:r>
                <w:rPr>
                  <w:noProof/>
                </w:rPr>
                <w:t xml:space="preserve">Drew, M., Stoltz, P., Walk, A. &amp; West, J., 2014. Retirement Adequacy Through Higher Contributions: Is This the Only Way?. </w:t>
              </w:r>
              <w:r>
                <w:rPr>
                  <w:i/>
                  <w:iCs/>
                  <w:noProof/>
                </w:rPr>
                <w:t xml:space="preserve">The Journal of Retirement Income, </w:t>
              </w:r>
              <w:r>
                <w:rPr>
                  <w:noProof/>
                </w:rPr>
                <w:t>Volume 1, pp. 57-74.</w:t>
              </w:r>
            </w:p>
            <w:p w14:paraId="30A9E3A5" w14:textId="77777777" w:rsidR="00E83F6E" w:rsidRDefault="00E83F6E" w:rsidP="00E83F6E">
              <w:pPr>
                <w:pStyle w:val="Bibliography"/>
                <w:rPr>
                  <w:noProof/>
                </w:rPr>
              </w:pPr>
              <w:r>
                <w:rPr>
                  <w:noProof/>
                </w:rPr>
                <w:t xml:space="preserve">DVA, 2020. </w:t>
              </w:r>
              <w:r>
                <w:rPr>
                  <w:i/>
                  <w:iCs/>
                  <w:noProof/>
                </w:rPr>
                <w:t xml:space="preserve">Statistics about the veteran population. </w:t>
              </w:r>
              <w:r>
                <w:rPr>
                  <w:noProof/>
                </w:rPr>
                <w:t xml:space="preserve">[Online] </w:t>
              </w:r>
              <w:r>
                <w:rPr>
                  <w:noProof/>
                </w:rPr>
                <w:br/>
                <w:t xml:space="preserve">Available at: </w:t>
              </w:r>
              <w:r>
                <w:rPr>
                  <w:noProof/>
                  <w:u w:val="single"/>
                </w:rPr>
                <w:t>https://www.dva.gov.au/about-us/overview/research/statistics-about-veteran-population</w:t>
              </w:r>
              <w:r>
                <w:rPr>
                  <w:noProof/>
                </w:rPr>
                <w:br/>
                <w:t>[Accessed 25 May 2020].</w:t>
              </w:r>
            </w:p>
            <w:p w14:paraId="008F0384" w14:textId="77777777" w:rsidR="00E83F6E" w:rsidRDefault="00E83F6E" w:rsidP="00E83F6E">
              <w:pPr>
                <w:pStyle w:val="Bibliography"/>
                <w:rPr>
                  <w:noProof/>
                </w:rPr>
              </w:pPr>
              <w:r>
                <w:rPr>
                  <w:noProof/>
                </w:rPr>
                <w:t xml:space="preserve">Dynan, K. E., Skinner, J. &amp; Zeldes, S. P., 2004. Do the Rich Save More?. </w:t>
              </w:r>
              <w:r>
                <w:rPr>
                  <w:i/>
                  <w:iCs/>
                  <w:noProof/>
                </w:rPr>
                <w:t xml:space="preserve">Journal of Political Economy, </w:t>
              </w:r>
              <w:r>
                <w:rPr>
                  <w:noProof/>
                </w:rPr>
                <w:t>112(2), pp. 397-444.</w:t>
              </w:r>
            </w:p>
            <w:p w14:paraId="098698E0" w14:textId="77777777" w:rsidR="00E83F6E" w:rsidRDefault="00E83F6E" w:rsidP="00E83F6E">
              <w:pPr>
                <w:pStyle w:val="Bibliography"/>
                <w:rPr>
                  <w:noProof/>
                </w:rPr>
              </w:pPr>
              <w:r>
                <w:rPr>
                  <w:noProof/>
                </w:rPr>
                <w:t xml:space="preserve">Edwards, L., 2018. </w:t>
              </w:r>
              <w:r>
                <w:rPr>
                  <w:i/>
                  <w:iCs/>
                  <w:noProof/>
                </w:rPr>
                <w:t xml:space="preserve">Royal Commission into Misconduct in the Banking, Superannuation and Financial Services Industry Hearings </w:t>
              </w:r>
              <w:r>
                <w:rPr>
                  <w:noProof/>
                </w:rPr>
                <w:t>[Interview] (3 July 2018).</w:t>
              </w:r>
            </w:p>
            <w:p w14:paraId="0BA38C84" w14:textId="77777777" w:rsidR="00E83F6E" w:rsidRDefault="00E83F6E" w:rsidP="00E83F6E">
              <w:pPr>
                <w:pStyle w:val="Bibliography"/>
                <w:rPr>
                  <w:noProof/>
                </w:rPr>
              </w:pPr>
              <w:r>
                <w:rPr>
                  <w:noProof/>
                </w:rPr>
                <w:t xml:space="preserve">Engelhardt, G. &amp; Kumar, A., 2006. Pensions and Household Wealth Accumulation. </w:t>
              </w:r>
              <w:r>
                <w:rPr>
                  <w:i/>
                  <w:iCs/>
                  <w:noProof/>
                </w:rPr>
                <w:t xml:space="preserve">The Journal of Human Resources, </w:t>
              </w:r>
              <w:r>
                <w:rPr>
                  <w:noProof/>
                </w:rPr>
                <w:t>46(1), pp. 203-236.</w:t>
              </w:r>
            </w:p>
            <w:p w14:paraId="1C525958" w14:textId="77777777" w:rsidR="00E83F6E" w:rsidRDefault="00E83F6E" w:rsidP="00E83F6E">
              <w:pPr>
                <w:pStyle w:val="Bibliography"/>
                <w:rPr>
                  <w:noProof/>
                </w:rPr>
              </w:pPr>
              <w:r>
                <w:rPr>
                  <w:noProof/>
                </w:rPr>
                <w:t xml:space="preserve">Engen, E. &amp; Gale, W., 2000. The Effects of 401(k) Plans on Household Wealth. </w:t>
              </w:r>
              <w:r>
                <w:rPr>
                  <w:i/>
                  <w:iCs/>
                  <w:noProof/>
                </w:rPr>
                <w:t>NBER Working Paper.</w:t>
              </w:r>
            </w:p>
            <w:p w14:paraId="1E3A3556" w14:textId="77777777" w:rsidR="00E83F6E" w:rsidRDefault="00E83F6E" w:rsidP="00E83F6E">
              <w:pPr>
                <w:pStyle w:val="Bibliography"/>
                <w:rPr>
                  <w:noProof/>
                </w:rPr>
              </w:pPr>
              <w:r>
                <w:rPr>
                  <w:noProof/>
                </w:rPr>
                <w:t xml:space="preserve">Engen, E., Scholtz, J. K. &amp; Gale, W., 1996. The Effects of Tax-Based Savings Incentives on Saving and Wealth. </w:t>
              </w:r>
              <w:r>
                <w:rPr>
                  <w:i/>
                  <w:iCs/>
                  <w:noProof/>
                </w:rPr>
                <w:t>NBER Working Paper.</w:t>
              </w:r>
            </w:p>
            <w:p w14:paraId="3A1CF474" w14:textId="77777777" w:rsidR="00E83F6E" w:rsidRDefault="00E83F6E" w:rsidP="00E83F6E">
              <w:pPr>
                <w:pStyle w:val="Bibliography"/>
                <w:rPr>
                  <w:noProof/>
                </w:rPr>
              </w:pPr>
              <w:r>
                <w:rPr>
                  <w:noProof/>
                </w:rPr>
                <w:t xml:space="preserve">Equal Opportunity Commission, 2020. </w:t>
              </w:r>
              <w:r>
                <w:rPr>
                  <w:i/>
                  <w:iCs/>
                  <w:noProof/>
                </w:rPr>
                <w:t xml:space="preserve">Retirement. </w:t>
              </w:r>
              <w:r>
                <w:rPr>
                  <w:noProof/>
                </w:rPr>
                <w:t xml:space="preserve">[Online] </w:t>
              </w:r>
              <w:r>
                <w:rPr>
                  <w:noProof/>
                </w:rPr>
                <w:br/>
                <w:t xml:space="preserve">Available at: </w:t>
              </w:r>
              <w:r>
                <w:rPr>
                  <w:noProof/>
                  <w:u w:val="single"/>
                </w:rPr>
                <w:t>https://eoc.sa.gov.au/about-equal-opportunity/employment/dismissing-retrenching-retiring-staff/retirement</w:t>
              </w:r>
              <w:r>
                <w:rPr>
                  <w:noProof/>
                </w:rPr>
                <w:br/>
                <w:t>[Accessed 28 May 2020].</w:t>
              </w:r>
            </w:p>
            <w:p w14:paraId="03DADDEC" w14:textId="77777777" w:rsidR="00E83F6E" w:rsidRDefault="00E83F6E" w:rsidP="00E83F6E">
              <w:pPr>
                <w:pStyle w:val="Bibliography"/>
                <w:rPr>
                  <w:noProof/>
                </w:rPr>
              </w:pPr>
              <w:r>
                <w:rPr>
                  <w:noProof/>
                </w:rPr>
                <w:t xml:space="preserve">Equity Release Council, 2019. </w:t>
              </w:r>
              <w:r>
                <w:rPr>
                  <w:i/>
                  <w:iCs/>
                  <w:noProof/>
                </w:rPr>
                <w:t xml:space="preserve">Equity Release Council Autumn 2019 Market Report, </w:t>
              </w:r>
              <w:r>
                <w:rPr>
                  <w:noProof/>
                </w:rPr>
                <w:t>London: Equity Release Council.</w:t>
              </w:r>
            </w:p>
            <w:p w14:paraId="7E80655F" w14:textId="77777777" w:rsidR="00E83F6E" w:rsidRDefault="00E83F6E" w:rsidP="00E83F6E">
              <w:pPr>
                <w:pStyle w:val="Bibliography"/>
                <w:rPr>
                  <w:noProof/>
                </w:rPr>
              </w:pPr>
              <w:r>
                <w:rPr>
                  <w:noProof/>
                </w:rPr>
                <w:t xml:space="preserve">European Commission, 2015. </w:t>
              </w:r>
              <w:r>
                <w:rPr>
                  <w:i/>
                  <w:iCs/>
                  <w:noProof/>
                </w:rPr>
                <w:t xml:space="preserve">Study on the effects and incidence of labour taxation, </w:t>
              </w:r>
              <w:r>
                <w:rPr>
                  <w:noProof/>
                </w:rPr>
                <w:t>Paris: European Commission.</w:t>
              </w:r>
            </w:p>
            <w:p w14:paraId="1EBDE806" w14:textId="77777777" w:rsidR="00E83F6E" w:rsidRDefault="00E83F6E" w:rsidP="00E83F6E">
              <w:pPr>
                <w:pStyle w:val="Bibliography"/>
                <w:rPr>
                  <w:noProof/>
                </w:rPr>
              </w:pPr>
              <w:r>
                <w:rPr>
                  <w:noProof/>
                </w:rPr>
                <w:t xml:space="preserve">Eurostat, 2018. </w:t>
              </w:r>
              <w:r>
                <w:rPr>
                  <w:i/>
                  <w:iCs/>
                  <w:noProof/>
                </w:rPr>
                <w:t xml:space="preserve">Glossary: At-risk-of-poverty rate. </w:t>
              </w:r>
              <w:r>
                <w:rPr>
                  <w:noProof/>
                </w:rPr>
                <w:t xml:space="preserve">[Online] </w:t>
              </w:r>
              <w:r>
                <w:rPr>
                  <w:noProof/>
                </w:rPr>
                <w:br/>
                <w:t xml:space="preserve">Available at: </w:t>
              </w:r>
              <w:r>
                <w:rPr>
                  <w:noProof/>
                  <w:u w:val="single"/>
                </w:rPr>
                <w:t>https://ec.europa.eu/eurostat/statistics-explained/index.php/Glossary:At-risk-of-poverty_rate</w:t>
              </w:r>
              <w:r>
                <w:rPr>
                  <w:noProof/>
                </w:rPr>
                <w:br/>
                <w:t>[Accessed 18 May 2020].</w:t>
              </w:r>
            </w:p>
            <w:p w14:paraId="767AE10E" w14:textId="77777777" w:rsidR="00E83F6E" w:rsidRDefault="00E83F6E" w:rsidP="00E83F6E">
              <w:pPr>
                <w:pStyle w:val="Bibliography"/>
                <w:rPr>
                  <w:noProof/>
                </w:rPr>
              </w:pPr>
              <w:r>
                <w:rPr>
                  <w:noProof/>
                </w:rPr>
                <w:t xml:space="preserve">Fair Work Building and Construction, 2012. </w:t>
              </w:r>
              <w:r>
                <w:rPr>
                  <w:i/>
                  <w:iCs/>
                  <w:noProof/>
                </w:rPr>
                <w:t xml:space="preserve">Working arrangements in the building and construction industry: Further research resulting from the 2011 Sham Contracting Inquiry, </w:t>
              </w:r>
              <w:r>
                <w:rPr>
                  <w:noProof/>
                </w:rPr>
                <w:t>Canberra: Commonwealth of Australia.</w:t>
              </w:r>
            </w:p>
            <w:p w14:paraId="6318BCBC" w14:textId="77777777" w:rsidR="00E83F6E" w:rsidRDefault="00E83F6E" w:rsidP="00E83F6E">
              <w:pPr>
                <w:pStyle w:val="Bibliography"/>
                <w:rPr>
                  <w:noProof/>
                </w:rPr>
              </w:pPr>
              <w:r>
                <w:rPr>
                  <w:noProof/>
                </w:rPr>
                <w:t xml:space="preserve">Fair Work Commission, 2013. </w:t>
              </w:r>
              <w:r>
                <w:rPr>
                  <w:i/>
                  <w:iCs/>
                  <w:noProof/>
                </w:rPr>
                <w:t xml:space="preserve">Annual Wage Review 2012–13. </w:t>
              </w:r>
              <w:r>
                <w:rPr>
                  <w:noProof/>
                </w:rPr>
                <w:t xml:space="preserve">[Online] </w:t>
              </w:r>
              <w:r>
                <w:rPr>
                  <w:noProof/>
                </w:rPr>
                <w:br/>
                <w:t xml:space="preserve">Available at: </w:t>
              </w:r>
              <w:r>
                <w:rPr>
                  <w:noProof/>
                  <w:u w:val="single"/>
                </w:rPr>
                <w:t>https://www.fwc.gov.au/documents/decisionssigned/html/2013fwcfb4000.htm</w:t>
              </w:r>
              <w:r>
                <w:rPr>
                  <w:noProof/>
                </w:rPr>
                <w:br/>
                <w:t>[Accessed 16 March 2020].</w:t>
              </w:r>
            </w:p>
            <w:p w14:paraId="470D72CE" w14:textId="77777777" w:rsidR="00E83F6E" w:rsidRDefault="00E83F6E" w:rsidP="00E83F6E">
              <w:pPr>
                <w:pStyle w:val="Bibliography"/>
                <w:rPr>
                  <w:noProof/>
                </w:rPr>
              </w:pPr>
              <w:r>
                <w:rPr>
                  <w:noProof/>
                </w:rPr>
                <w:t xml:space="preserve">Fair Work Commission, 2019a. </w:t>
              </w:r>
              <w:r>
                <w:rPr>
                  <w:i/>
                  <w:iCs/>
                  <w:noProof/>
                </w:rPr>
                <w:t xml:space="preserve">Annual Wage Review 2018–19. </w:t>
              </w:r>
              <w:r>
                <w:rPr>
                  <w:noProof/>
                </w:rPr>
                <w:t xml:space="preserve">[Online] </w:t>
              </w:r>
              <w:r>
                <w:rPr>
                  <w:noProof/>
                </w:rPr>
                <w:br/>
                <w:t xml:space="preserve">Available at: </w:t>
              </w:r>
              <w:r>
                <w:rPr>
                  <w:noProof/>
                  <w:u w:val="single"/>
                </w:rPr>
                <w:t>https://www.fwc.gov.au/documents/decisionssigned/html/2019fwcfb3500.htm</w:t>
              </w:r>
              <w:r>
                <w:rPr>
                  <w:noProof/>
                </w:rPr>
                <w:br/>
                <w:t>[Accessed 16 March 2020].</w:t>
              </w:r>
            </w:p>
            <w:p w14:paraId="69FA2200" w14:textId="77777777" w:rsidR="00E83F6E" w:rsidRDefault="00E83F6E" w:rsidP="00E83F6E">
              <w:pPr>
                <w:pStyle w:val="Bibliography"/>
                <w:rPr>
                  <w:noProof/>
                </w:rPr>
              </w:pPr>
              <w:r>
                <w:rPr>
                  <w:noProof/>
                </w:rPr>
                <w:t xml:space="preserve">Fair Work Commission, 2019b. </w:t>
              </w:r>
              <w:r>
                <w:rPr>
                  <w:i/>
                  <w:iCs/>
                  <w:noProof/>
                </w:rPr>
                <w:t xml:space="preserve">National Minimum Wage Orders. </w:t>
              </w:r>
              <w:r>
                <w:rPr>
                  <w:noProof/>
                </w:rPr>
                <w:t xml:space="preserve">[Online] </w:t>
              </w:r>
              <w:r>
                <w:rPr>
                  <w:noProof/>
                </w:rPr>
                <w:br/>
                <w:t xml:space="preserve">Available at: </w:t>
              </w:r>
              <w:r>
                <w:rPr>
                  <w:noProof/>
                  <w:u w:val="single"/>
                </w:rPr>
                <w:t>https://www.fwc.gov.au/awards-and-agreements/minimum-wages-conditions/national-minimum-wage-orders</w:t>
              </w:r>
              <w:r>
                <w:rPr>
                  <w:noProof/>
                </w:rPr>
                <w:br/>
                <w:t>[Accessed 19 May 2020].</w:t>
              </w:r>
            </w:p>
            <w:p w14:paraId="3BF739AF" w14:textId="77777777" w:rsidR="00E83F6E" w:rsidRDefault="00E83F6E" w:rsidP="00E83F6E">
              <w:pPr>
                <w:pStyle w:val="Bibliography"/>
                <w:rPr>
                  <w:noProof/>
                </w:rPr>
              </w:pPr>
              <w:r>
                <w:rPr>
                  <w:noProof/>
                </w:rPr>
                <w:t xml:space="preserve">Fair Work Commission, 2019c. </w:t>
              </w:r>
              <w:r>
                <w:rPr>
                  <w:i/>
                  <w:iCs/>
                  <w:noProof/>
                </w:rPr>
                <w:t xml:space="preserve">The Australian minimum wage from 1906. </w:t>
              </w:r>
              <w:r>
                <w:rPr>
                  <w:noProof/>
                </w:rPr>
                <w:t xml:space="preserve">[Online] </w:t>
              </w:r>
              <w:r>
                <w:rPr>
                  <w:noProof/>
                </w:rPr>
                <w:br/>
                <w:t xml:space="preserve">Available at: </w:t>
              </w:r>
              <w:r>
                <w:rPr>
                  <w:noProof/>
                  <w:u w:val="single"/>
                </w:rPr>
                <w:t>https://www.fwc.gov.au/waltzing-matilda-and-the-sunshine-harvester-factory/historical-material/the-australian-minimum-wage</w:t>
              </w:r>
              <w:r>
                <w:rPr>
                  <w:noProof/>
                </w:rPr>
                <w:br/>
                <w:t>[Accessed 3 July 2020].</w:t>
              </w:r>
            </w:p>
            <w:p w14:paraId="166CC6B1" w14:textId="77777777" w:rsidR="00E83F6E" w:rsidRDefault="00E83F6E" w:rsidP="00E83F6E">
              <w:pPr>
                <w:pStyle w:val="Bibliography"/>
                <w:rPr>
                  <w:noProof/>
                </w:rPr>
              </w:pPr>
              <w:r>
                <w:rPr>
                  <w:noProof/>
                </w:rPr>
                <w:t xml:space="preserve">Federal Reserve, 2019. </w:t>
              </w:r>
              <w:r>
                <w:rPr>
                  <w:i/>
                  <w:iCs/>
                  <w:noProof/>
                </w:rPr>
                <w:t xml:space="preserve">Report on the economic well-being of U.S. households in 2018, </w:t>
              </w:r>
              <w:r>
                <w:rPr>
                  <w:noProof/>
                </w:rPr>
                <w:t>New York: Board of Governors of the Federal Reserve System.</w:t>
              </w:r>
            </w:p>
            <w:p w14:paraId="660F3F27" w14:textId="77777777" w:rsidR="00E83F6E" w:rsidRDefault="00E83F6E" w:rsidP="00E83F6E">
              <w:pPr>
                <w:pStyle w:val="Bibliography"/>
                <w:rPr>
                  <w:noProof/>
                </w:rPr>
              </w:pPr>
              <w:r>
                <w:rPr>
                  <w:noProof/>
                </w:rPr>
                <w:t xml:space="preserve">Feng, J., 2014. The Effect of Superannuation Tax Incentives on Salary Sacrifice Participation. </w:t>
              </w:r>
              <w:r>
                <w:rPr>
                  <w:i/>
                  <w:iCs/>
                  <w:noProof/>
                </w:rPr>
                <w:t xml:space="preserve">Economic Record, </w:t>
              </w:r>
              <w:r>
                <w:rPr>
                  <w:noProof/>
                </w:rPr>
                <w:t>Volume 90, pp. 59-73.</w:t>
              </w:r>
            </w:p>
            <w:p w14:paraId="71F6A69D" w14:textId="77777777" w:rsidR="00E83F6E" w:rsidRDefault="00E83F6E" w:rsidP="00E83F6E">
              <w:pPr>
                <w:pStyle w:val="Bibliography"/>
                <w:rPr>
                  <w:noProof/>
                </w:rPr>
              </w:pPr>
              <w:r>
                <w:rPr>
                  <w:noProof/>
                </w:rPr>
                <w:t xml:space="preserve">Feng, J., 2018. Voluntary Retirement Savings: The Case of Australia. </w:t>
              </w:r>
              <w:r>
                <w:rPr>
                  <w:i/>
                  <w:iCs/>
                  <w:noProof/>
                </w:rPr>
                <w:t xml:space="preserve">Journal of Family and Economic Issues, </w:t>
              </w:r>
              <w:r>
                <w:rPr>
                  <w:noProof/>
                </w:rPr>
                <w:t>39(1), pp. 2-18.</w:t>
              </w:r>
            </w:p>
            <w:p w14:paraId="1E62C102" w14:textId="77777777" w:rsidR="00E83F6E" w:rsidRDefault="00E83F6E" w:rsidP="00E83F6E">
              <w:pPr>
                <w:pStyle w:val="Bibliography"/>
                <w:rPr>
                  <w:noProof/>
                </w:rPr>
              </w:pPr>
              <w:r>
                <w:rPr>
                  <w:noProof/>
                </w:rPr>
                <w:t xml:space="preserve">Feng, J. &amp; Gerrans, P., 2016. Patterns of voluntary contributions to superannuation: A longitudinal analysis. </w:t>
              </w:r>
              <w:r>
                <w:rPr>
                  <w:i/>
                  <w:iCs/>
                  <w:noProof/>
                </w:rPr>
                <w:t xml:space="preserve">JASSA: The Finsia Journal of Applied Finance, </w:t>
              </w:r>
              <w:r>
                <w:rPr>
                  <w:noProof/>
                </w:rPr>
                <w:t>Issue 2, pp. 63-71.</w:t>
              </w:r>
            </w:p>
            <w:p w14:paraId="4D9339D3" w14:textId="77777777" w:rsidR="00E83F6E" w:rsidRDefault="00E83F6E" w:rsidP="00E83F6E">
              <w:pPr>
                <w:pStyle w:val="Bibliography"/>
                <w:rPr>
                  <w:noProof/>
                </w:rPr>
              </w:pPr>
              <w:r>
                <w:rPr>
                  <w:noProof/>
                </w:rPr>
                <w:t xml:space="preserve">Fernandes, D., Lynch Jr, J. G. &amp; Netemeyer, R. G., 2005. Financial Literacy, Financial Education and Downstream Financial Behaviors. </w:t>
              </w:r>
              <w:r>
                <w:rPr>
                  <w:i/>
                  <w:iCs/>
                  <w:noProof/>
                </w:rPr>
                <w:t xml:space="preserve">Review of Finance, </w:t>
              </w:r>
              <w:r>
                <w:rPr>
                  <w:noProof/>
                </w:rPr>
                <w:t>9(3), pp. 305-351.</w:t>
              </w:r>
            </w:p>
            <w:p w14:paraId="241E3429" w14:textId="77777777" w:rsidR="00E83F6E" w:rsidRDefault="00E83F6E" w:rsidP="00E83F6E">
              <w:pPr>
                <w:pStyle w:val="Bibliography"/>
                <w:rPr>
                  <w:noProof/>
                </w:rPr>
              </w:pPr>
              <w:r>
                <w:rPr>
                  <w:noProof/>
                </w:rPr>
                <w:t xml:space="preserve">Fidelity International, 2019. </w:t>
              </w:r>
              <w:r>
                <w:rPr>
                  <w:i/>
                  <w:iCs/>
                  <w:noProof/>
                </w:rPr>
                <w:t xml:space="preserve">The value of advice. </w:t>
              </w:r>
              <w:r>
                <w:rPr>
                  <w:noProof/>
                </w:rPr>
                <w:t xml:space="preserve">[Online] </w:t>
              </w:r>
              <w:r>
                <w:rPr>
                  <w:noProof/>
                </w:rPr>
                <w:br/>
                <w:t xml:space="preserve">Available at: </w:t>
              </w:r>
              <w:r>
                <w:rPr>
                  <w:noProof/>
                  <w:u w:val="single"/>
                </w:rPr>
                <w:t>https://www.fidelity.com.au/insights/investment-articles/the-value-of-advice/</w:t>
              </w:r>
              <w:r>
                <w:rPr>
                  <w:noProof/>
                </w:rPr>
                <w:br/>
                <w:t>[Accessed 3 March 2020].</w:t>
              </w:r>
            </w:p>
            <w:p w14:paraId="35C3E0F0" w14:textId="77777777" w:rsidR="00E83F6E" w:rsidRDefault="00E83F6E" w:rsidP="00E83F6E">
              <w:pPr>
                <w:pStyle w:val="Bibliography"/>
                <w:rPr>
                  <w:noProof/>
                </w:rPr>
              </w:pPr>
              <w:r>
                <w:rPr>
                  <w:noProof/>
                </w:rPr>
                <w:t xml:space="preserve">Financial Conduct Authority, 2019. </w:t>
              </w:r>
              <w:r>
                <w:rPr>
                  <w:i/>
                  <w:iCs/>
                  <w:noProof/>
                </w:rPr>
                <w:t xml:space="preserve">Retirement income market data 2018/19. </w:t>
              </w:r>
              <w:r>
                <w:rPr>
                  <w:noProof/>
                </w:rPr>
                <w:t xml:space="preserve">[Online] </w:t>
              </w:r>
              <w:r>
                <w:rPr>
                  <w:noProof/>
                </w:rPr>
                <w:br/>
                <w:t xml:space="preserve">Available at: </w:t>
              </w:r>
              <w:r>
                <w:rPr>
                  <w:noProof/>
                  <w:u w:val="single"/>
                </w:rPr>
                <w:t>https://www.fca.org.uk/data/retirement-income-market-data#advice</w:t>
              </w:r>
              <w:r>
                <w:rPr>
                  <w:noProof/>
                </w:rPr>
                <w:br/>
                <w:t>[Accessed 3 July 2020].</w:t>
              </w:r>
            </w:p>
            <w:p w14:paraId="36991B13" w14:textId="77777777" w:rsidR="00E83F6E" w:rsidRDefault="00E83F6E" w:rsidP="00E83F6E">
              <w:pPr>
                <w:pStyle w:val="Bibliography"/>
                <w:rPr>
                  <w:noProof/>
                </w:rPr>
              </w:pPr>
              <w:r>
                <w:rPr>
                  <w:noProof/>
                </w:rPr>
                <w:t xml:space="preserve">Financial Services Council,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2AB0711C" w14:textId="77777777" w:rsidR="00E83F6E" w:rsidRDefault="00E83F6E" w:rsidP="00E83F6E">
              <w:pPr>
                <w:pStyle w:val="Bibliography"/>
                <w:rPr>
                  <w:noProof/>
                </w:rPr>
              </w:pPr>
              <w:r>
                <w:rPr>
                  <w:noProof/>
                </w:rPr>
                <w:t xml:space="preserve">Financial System Inquiry, 2014. </w:t>
              </w:r>
              <w:r>
                <w:rPr>
                  <w:i/>
                  <w:iCs/>
                  <w:noProof/>
                </w:rPr>
                <w:t xml:space="preserve">Financial System Inquiry Final Report, </w:t>
              </w:r>
              <w:r>
                <w:rPr>
                  <w:noProof/>
                </w:rPr>
                <w:t>Canberra: Commonwealth of Australia.</w:t>
              </w:r>
            </w:p>
            <w:p w14:paraId="4DF00468" w14:textId="77777777" w:rsidR="00E83F6E" w:rsidRDefault="00E83F6E" w:rsidP="00E83F6E">
              <w:pPr>
                <w:pStyle w:val="Bibliography"/>
                <w:rPr>
                  <w:noProof/>
                </w:rPr>
              </w:pPr>
              <w:r>
                <w:rPr>
                  <w:noProof/>
                </w:rPr>
                <w:t xml:space="preserve">Financial Times, 2019. </w:t>
              </w:r>
              <w:r>
                <w:rPr>
                  <w:i/>
                  <w:iCs/>
                  <w:noProof/>
                </w:rPr>
                <w:t xml:space="preserve">The death of Chile’s pension promise. </w:t>
              </w:r>
              <w:r>
                <w:rPr>
                  <w:noProof/>
                </w:rPr>
                <w:t xml:space="preserve">[Online] </w:t>
              </w:r>
              <w:r>
                <w:rPr>
                  <w:noProof/>
                </w:rPr>
                <w:br/>
                <w:t xml:space="preserve">Available at: </w:t>
              </w:r>
              <w:r>
                <w:rPr>
                  <w:noProof/>
                  <w:u w:val="single"/>
                </w:rPr>
                <w:t>https://www.ft.com/content/4f8107f8-0fd4-11ea-a7e6-62bf4f9e548a</w:t>
              </w:r>
              <w:r>
                <w:rPr>
                  <w:noProof/>
                </w:rPr>
                <w:br/>
                <w:t>[Accessed 1 May 2020].</w:t>
              </w:r>
            </w:p>
            <w:p w14:paraId="0BE5DD54" w14:textId="77777777" w:rsidR="00E83F6E" w:rsidRDefault="00E83F6E" w:rsidP="00E83F6E">
              <w:pPr>
                <w:pStyle w:val="Bibliography"/>
                <w:rPr>
                  <w:noProof/>
                </w:rPr>
              </w:pPr>
              <w:r>
                <w:rPr>
                  <w:noProof/>
                </w:rPr>
                <w:t xml:space="preserve">Finlay, R. &amp; Price, F., 2014. </w:t>
              </w:r>
              <w:r>
                <w:rPr>
                  <w:i/>
                  <w:iCs/>
                  <w:noProof/>
                </w:rPr>
                <w:t xml:space="preserve">Household Saving in Australia, </w:t>
              </w:r>
              <w:r>
                <w:rPr>
                  <w:noProof/>
                </w:rPr>
                <w:t>Research Discussion Paper 2014-03, Sydney: Reserve Bank of Australia.</w:t>
              </w:r>
            </w:p>
            <w:p w14:paraId="0C68A74D" w14:textId="77777777" w:rsidR="00E83F6E" w:rsidRDefault="00E83F6E" w:rsidP="00E83F6E">
              <w:pPr>
                <w:pStyle w:val="Bibliography"/>
                <w:rPr>
                  <w:noProof/>
                </w:rPr>
              </w:pPr>
              <w:r>
                <w:rPr>
                  <w:noProof/>
                </w:rPr>
                <w:t xml:space="preserve">First Nations Foundation, 2020. </w:t>
              </w:r>
              <w:r>
                <w:rPr>
                  <w:i/>
                  <w:iCs/>
                  <w:noProof/>
                </w:rPr>
                <w:t xml:space="preserve">Super Outreach. </w:t>
              </w:r>
              <w:r>
                <w:rPr>
                  <w:noProof/>
                </w:rPr>
                <w:t xml:space="preserve">[Online] </w:t>
              </w:r>
              <w:r>
                <w:rPr>
                  <w:noProof/>
                </w:rPr>
                <w:br/>
                <w:t xml:space="preserve">Available at: </w:t>
              </w:r>
              <w:r>
                <w:rPr>
                  <w:noProof/>
                  <w:u w:val="single"/>
                </w:rPr>
                <w:t>https://firstnationsfoundation.org.au/big-super-day-out/</w:t>
              </w:r>
              <w:r>
                <w:rPr>
                  <w:noProof/>
                </w:rPr>
                <w:br/>
                <w:t>[Accessed 11 February 2020].</w:t>
              </w:r>
            </w:p>
            <w:p w14:paraId="25E6E8E6" w14:textId="77777777" w:rsidR="00E83F6E" w:rsidRDefault="00E83F6E" w:rsidP="00E83F6E">
              <w:pPr>
                <w:pStyle w:val="Bibliography"/>
                <w:rPr>
                  <w:noProof/>
                </w:rPr>
              </w:pPr>
              <w:r>
                <w:rPr>
                  <w:noProof/>
                </w:rPr>
                <w:t xml:space="preserve">First State Super, 2019. </w:t>
              </w:r>
              <w:r>
                <w:rPr>
                  <w:i/>
                  <w:iCs/>
                  <w:noProof/>
                </w:rPr>
                <w:t xml:space="preserve">Should you switch to cash when markets are volatile?. </w:t>
              </w:r>
              <w:r>
                <w:rPr>
                  <w:noProof/>
                </w:rPr>
                <w:t xml:space="preserve">[Online] </w:t>
              </w:r>
              <w:r>
                <w:rPr>
                  <w:noProof/>
                </w:rPr>
                <w:br/>
                <w:t xml:space="preserve">Available at: </w:t>
              </w:r>
              <w:r>
                <w:rPr>
                  <w:noProof/>
                  <w:u w:val="single"/>
                </w:rPr>
                <w:t>https://firststatesuper.com.au/blog/should-you-switch-to-cash-when-markets-are-volatile</w:t>
              </w:r>
              <w:r>
                <w:rPr>
                  <w:noProof/>
                </w:rPr>
                <w:br/>
                <w:t>[Accessed 1 May 2020].</w:t>
              </w:r>
            </w:p>
            <w:p w14:paraId="268194AD" w14:textId="77777777" w:rsidR="00E83F6E" w:rsidRDefault="00E83F6E" w:rsidP="00E83F6E">
              <w:pPr>
                <w:pStyle w:val="Bibliography"/>
                <w:rPr>
                  <w:noProof/>
                </w:rPr>
              </w:pPr>
              <w:r>
                <w:rPr>
                  <w:noProof/>
                </w:rPr>
                <w:t xml:space="preserve">First State Super, 2020a. </w:t>
              </w:r>
              <w:r>
                <w:rPr>
                  <w:i/>
                  <w:iCs/>
                  <w:noProof/>
                </w:rPr>
                <w:t xml:space="preserve">Supporting our members and clients during COVID-19. </w:t>
              </w:r>
              <w:r>
                <w:rPr>
                  <w:noProof/>
                </w:rPr>
                <w:t xml:space="preserve">[Online] </w:t>
              </w:r>
              <w:r>
                <w:rPr>
                  <w:noProof/>
                </w:rPr>
                <w:br/>
                <w:t xml:space="preserve">Available at: </w:t>
              </w:r>
              <w:r>
                <w:rPr>
                  <w:noProof/>
                  <w:u w:val="single"/>
                </w:rPr>
                <w:t>https://firststatesuper.com.au/blog/supporting-our-members-during-coronavirus-videos</w:t>
              </w:r>
              <w:r>
                <w:rPr>
                  <w:noProof/>
                </w:rPr>
                <w:br/>
                <w:t>[Accessed 1 May 2020].</w:t>
              </w:r>
            </w:p>
            <w:p w14:paraId="54317183" w14:textId="77777777" w:rsidR="00E83F6E" w:rsidRDefault="00E83F6E" w:rsidP="00E83F6E">
              <w:pPr>
                <w:pStyle w:val="Bibliography"/>
                <w:rPr>
                  <w:noProof/>
                </w:rPr>
              </w:pPr>
              <w:r>
                <w:rPr>
                  <w:noProof/>
                </w:rPr>
                <w:t xml:space="preserve">First State Super, 2020b.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7DC7F11" w14:textId="77777777" w:rsidR="00E83F6E" w:rsidRDefault="00E83F6E" w:rsidP="00E83F6E">
              <w:pPr>
                <w:pStyle w:val="Bibliography"/>
                <w:rPr>
                  <w:noProof/>
                </w:rPr>
              </w:pPr>
              <w:r>
                <w:rPr>
                  <w:noProof/>
                </w:rPr>
                <w:t xml:space="preserve">Fitzgerald, V., 1993. </w:t>
              </w:r>
              <w:r>
                <w:rPr>
                  <w:i/>
                  <w:iCs/>
                  <w:noProof/>
                </w:rPr>
                <w:t xml:space="preserve">National Saving: A Report to the Treasurer, </w:t>
              </w:r>
              <w:r>
                <w:rPr>
                  <w:noProof/>
                </w:rPr>
                <w:t>Canberra: Commonwealth of Australia.</w:t>
              </w:r>
            </w:p>
            <w:p w14:paraId="310365CD" w14:textId="77777777" w:rsidR="00E83F6E" w:rsidRDefault="00E83F6E" w:rsidP="00E83F6E">
              <w:pPr>
                <w:pStyle w:val="Bibliography"/>
                <w:rPr>
                  <w:noProof/>
                </w:rPr>
              </w:pPr>
              <w:r>
                <w:rPr>
                  <w:noProof/>
                </w:rPr>
                <w:t xml:space="preserve">Fix Pension Poverty campaign,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6A652CE8" w14:textId="77777777" w:rsidR="00E83F6E" w:rsidRDefault="00E83F6E" w:rsidP="00E83F6E">
              <w:pPr>
                <w:pStyle w:val="Bibliography"/>
                <w:rPr>
                  <w:noProof/>
                </w:rPr>
              </w:pPr>
              <w:r>
                <w:rPr>
                  <w:noProof/>
                </w:rPr>
                <w:t xml:space="preserve">Fox, R. &amp; Tulip, P., 2014. </w:t>
              </w:r>
              <w:r>
                <w:rPr>
                  <w:i/>
                  <w:iCs/>
                  <w:noProof/>
                </w:rPr>
                <w:t xml:space="preserve">Is Housing Overvalued?, </w:t>
              </w:r>
              <w:r>
                <w:rPr>
                  <w:noProof/>
                </w:rPr>
                <w:t>s.l.: Research Discussion Papers, Reserve Bank of Australia.</w:t>
              </w:r>
            </w:p>
            <w:p w14:paraId="4678AC67" w14:textId="77777777" w:rsidR="00E83F6E" w:rsidRDefault="00E83F6E" w:rsidP="00E83F6E">
              <w:pPr>
                <w:pStyle w:val="Bibliography"/>
                <w:rPr>
                  <w:noProof/>
                </w:rPr>
              </w:pPr>
              <w:r>
                <w:rPr>
                  <w:noProof/>
                </w:rPr>
                <w:t xml:space="preserve">France24, 2019. </w:t>
              </w:r>
              <w:r>
                <w:rPr>
                  <w:i/>
                  <w:iCs/>
                  <w:noProof/>
                </w:rPr>
                <w:t xml:space="preserve">French women may be the biggest losers under Macron’s pension reform plan. </w:t>
              </w:r>
              <w:r>
                <w:rPr>
                  <w:noProof/>
                </w:rPr>
                <w:t xml:space="preserve">[Online] </w:t>
              </w:r>
              <w:r>
                <w:rPr>
                  <w:noProof/>
                </w:rPr>
                <w:br/>
                <w:t xml:space="preserve">Available at: </w:t>
              </w:r>
              <w:r>
                <w:rPr>
                  <w:noProof/>
                  <w:u w:val="single"/>
                </w:rPr>
                <w:t>https://www.france24.com/en/20191210-french-women-may-be-the-big-losers-under-macron-s-pension-reform-plan-france-1</w:t>
              </w:r>
              <w:r>
                <w:rPr>
                  <w:noProof/>
                </w:rPr>
                <w:br/>
                <w:t>[Accessed 1 May 2020].</w:t>
              </w:r>
            </w:p>
            <w:p w14:paraId="1E7AC961" w14:textId="77777777" w:rsidR="00E83F6E" w:rsidRDefault="00E83F6E" w:rsidP="00E83F6E">
              <w:pPr>
                <w:pStyle w:val="Bibliography"/>
                <w:rPr>
                  <w:noProof/>
                </w:rPr>
              </w:pPr>
              <w:r>
                <w:rPr>
                  <w:noProof/>
                </w:rPr>
                <w:t xml:space="preserve">Freebairn, J., 1998. Compulsory Superannuation and Labour Market Responses. </w:t>
              </w:r>
              <w:r>
                <w:rPr>
                  <w:i/>
                  <w:iCs/>
                  <w:noProof/>
                </w:rPr>
                <w:t xml:space="preserve">Australian Economic Papers, </w:t>
              </w:r>
              <w:r>
                <w:rPr>
                  <w:noProof/>
                </w:rPr>
                <w:t>37(1), pp. 58-70.</w:t>
              </w:r>
            </w:p>
            <w:p w14:paraId="678C5F89" w14:textId="77777777" w:rsidR="00E83F6E" w:rsidRDefault="00E83F6E" w:rsidP="00E83F6E">
              <w:pPr>
                <w:pStyle w:val="Bibliography"/>
                <w:rPr>
                  <w:noProof/>
                </w:rPr>
              </w:pPr>
              <w:r>
                <w:rPr>
                  <w:noProof/>
                </w:rPr>
                <w:t xml:space="preserve">Future Fund, 2020. </w:t>
              </w:r>
              <w:r>
                <w:rPr>
                  <w:i/>
                  <w:iCs/>
                  <w:noProof/>
                </w:rPr>
                <w:t xml:space="preserve">Investment Performance. </w:t>
              </w:r>
              <w:r>
                <w:rPr>
                  <w:noProof/>
                </w:rPr>
                <w:t xml:space="preserve">[Online] </w:t>
              </w:r>
              <w:r>
                <w:rPr>
                  <w:noProof/>
                </w:rPr>
                <w:br/>
                <w:t xml:space="preserve">Available at: </w:t>
              </w:r>
              <w:r>
                <w:rPr>
                  <w:noProof/>
                  <w:u w:val="single"/>
                </w:rPr>
                <w:t>https://www.futurefund.gov.au/investment/investment-performance</w:t>
              </w:r>
              <w:r>
                <w:rPr>
                  <w:noProof/>
                </w:rPr>
                <w:br/>
                <w:t>[Accessed 3 July 2020].</w:t>
              </w:r>
            </w:p>
            <w:p w14:paraId="0F39E7AF" w14:textId="77777777" w:rsidR="00E83F6E" w:rsidRDefault="00E83F6E" w:rsidP="00E83F6E">
              <w:pPr>
                <w:pStyle w:val="Bibliography"/>
                <w:rPr>
                  <w:noProof/>
                </w:rPr>
              </w:pPr>
              <w:r>
                <w:rPr>
                  <w:noProof/>
                </w:rPr>
                <w:t xml:space="preserve">Gallagher, P., 2012. </w:t>
              </w:r>
              <w:r>
                <w:rPr>
                  <w:i/>
                  <w:iCs/>
                  <w:noProof/>
                </w:rPr>
                <w:t xml:space="preserve">The distribution of Government support for retirement income - Point-in-time and lifecycle estimates, </w:t>
              </w:r>
              <w:r>
                <w:rPr>
                  <w:noProof/>
                </w:rPr>
                <w:t>Canberra: Department of the Treasury, Commonwealth of Australia.</w:t>
              </w:r>
            </w:p>
            <w:p w14:paraId="3B79E10B" w14:textId="77777777" w:rsidR="00E83F6E" w:rsidRDefault="00E83F6E" w:rsidP="00E83F6E">
              <w:pPr>
                <w:pStyle w:val="Bibliography"/>
                <w:rPr>
                  <w:noProof/>
                </w:rPr>
              </w:pPr>
              <w:r>
                <w:rPr>
                  <w:noProof/>
                </w:rPr>
                <w:t xml:space="preserve">Gallagher, P. &amp; Bastian, B., 2019. </w:t>
              </w:r>
              <w:r>
                <w:rPr>
                  <w:i/>
                  <w:iCs/>
                  <w:noProof/>
                </w:rPr>
                <w:t xml:space="preserve">ISA Briefing Note: Errors in Grattan Cameos on the Impact of a Rise in the SG on Living, </w:t>
              </w:r>
              <w:r>
                <w:rPr>
                  <w:noProof/>
                </w:rPr>
                <w:t>s.l.: Industry Super Australia.</w:t>
              </w:r>
            </w:p>
            <w:p w14:paraId="4DBB2CE0" w14:textId="77777777" w:rsidR="00E83F6E" w:rsidRDefault="00E83F6E" w:rsidP="00E83F6E">
              <w:pPr>
                <w:pStyle w:val="Bibliography"/>
                <w:rPr>
                  <w:noProof/>
                </w:rPr>
              </w:pPr>
              <w:r>
                <w:rPr>
                  <w:noProof/>
                </w:rPr>
                <w:t xml:space="preserve">Gelber, A., 2011. How do 401(k)s Affect Saving? Evidence from Changes in 401(k) Eligibility. </w:t>
              </w:r>
              <w:r>
                <w:rPr>
                  <w:i/>
                  <w:iCs/>
                  <w:noProof/>
                </w:rPr>
                <w:t xml:space="preserve">American Economic Journal: Economic Policy, </w:t>
              </w:r>
              <w:r>
                <w:rPr>
                  <w:noProof/>
                </w:rPr>
                <w:t>Volume 3, pp. 103-122.</w:t>
              </w:r>
            </w:p>
            <w:p w14:paraId="20B56AF6" w14:textId="77777777" w:rsidR="00E83F6E" w:rsidRDefault="00E83F6E" w:rsidP="00E83F6E">
              <w:pPr>
                <w:pStyle w:val="Bibliography"/>
                <w:rPr>
                  <w:noProof/>
                </w:rPr>
              </w:pPr>
              <w:r>
                <w:rPr>
                  <w:noProof/>
                </w:rPr>
                <w:t xml:space="preserve">Gerrans, P., 2012. Retirement Savings Investment Choices in Response to the Global Financial Crisis: Australian Evidence. </w:t>
              </w:r>
              <w:r>
                <w:rPr>
                  <w:i/>
                  <w:iCs/>
                  <w:noProof/>
                </w:rPr>
                <w:t xml:space="preserve">Australian Journal of Management, </w:t>
              </w:r>
              <w:r>
                <w:rPr>
                  <w:noProof/>
                </w:rPr>
                <w:t>37(3), pp. 415-439.</w:t>
              </w:r>
            </w:p>
            <w:p w14:paraId="6AD5342F" w14:textId="77777777" w:rsidR="00E83F6E" w:rsidRDefault="00E83F6E" w:rsidP="00E83F6E">
              <w:pPr>
                <w:pStyle w:val="Bibliography"/>
                <w:rPr>
                  <w:noProof/>
                </w:rPr>
              </w:pPr>
              <w:r>
                <w:rPr>
                  <w:noProof/>
                </w:rPr>
                <w:t xml:space="preserve">Gerrans, P., Clark-Murphy, M. &amp; Truscott, K., 2009. Financial Literacy and Superannuation Awareness of Indigenous Australians: Pilot Study Results. </w:t>
              </w:r>
              <w:r>
                <w:rPr>
                  <w:i/>
                  <w:iCs/>
                  <w:noProof/>
                </w:rPr>
                <w:t xml:space="preserve">The Australian Journal of Social Issues, </w:t>
              </w:r>
              <w:r>
                <w:rPr>
                  <w:noProof/>
                </w:rPr>
                <w:t>44(4), pp. 417-439.</w:t>
              </w:r>
            </w:p>
            <w:p w14:paraId="103FE098" w14:textId="77777777" w:rsidR="00E83F6E" w:rsidRDefault="00E83F6E" w:rsidP="00E83F6E">
              <w:pPr>
                <w:pStyle w:val="Bibliography"/>
                <w:rPr>
                  <w:noProof/>
                </w:rPr>
              </w:pPr>
              <w:r>
                <w:rPr>
                  <w:noProof/>
                </w:rPr>
                <w:t xml:space="preserve">Ghafoori, E., Ralston, D. &amp; Smith, L., 2017. </w:t>
              </w:r>
              <w:r>
                <w:rPr>
                  <w:i/>
                  <w:iCs/>
                  <w:noProof/>
                </w:rPr>
                <w:t xml:space="preserve">Retirement Confidence Index: Measuring subjective predictors and pillars of confidence towards and during retirement., </w:t>
              </w:r>
              <w:r>
                <w:rPr>
                  <w:noProof/>
                </w:rPr>
                <w:t>s.l.: Monash University.</w:t>
              </w:r>
            </w:p>
            <w:p w14:paraId="7D97E1E2" w14:textId="77777777" w:rsidR="00E83F6E" w:rsidRDefault="00E83F6E" w:rsidP="00E83F6E">
              <w:pPr>
                <w:pStyle w:val="Bibliography"/>
                <w:rPr>
                  <w:noProof/>
                </w:rPr>
              </w:pPr>
              <w:r>
                <w:rPr>
                  <w:noProof/>
                </w:rPr>
                <w:t xml:space="preserve">Gordon, A. &amp; Boyle, N., 2015. Superannuation: A more collaborative approach needed to overcome Indigenous disadvantage. </w:t>
              </w:r>
              <w:r>
                <w:rPr>
                  <w:i/>
                  <w:iCs/>
                  <w:noProof/>
                </w:rPr>
                <w:t xml:space="preserve">Indigenous Law Bulletin, </w:t>
              </w:r>
              <w:r>
                <w:rPr>
                  <w:noProof/>
                </w:rPr>
                <w:t>8(21), pp. 10-15.</w:t>
              </w:r>
            </w:p>
            <w:p w14:paraId="46C1A3EC" w14:textId="77777777" w:rsidR="00E83F6E" w:rsidRDefault="00E83F6E" w:rsidP="00E83F6E">
              <w:pPr>
                <w:pStyle w:val="Bibliography"/>
                <w:rPr>
                  <w:noProof/>
                </w:rPr>
              </w:pPr>
              <w:r>
                <w:rPr>
                  <w:noProof/>
                </w:rPr>
                <w:t xml:space="preserve">Gouveia, A. F., 2017. Political support for reforms of the pension system: two experiments. </w:t>
              </w:r>
              <w:r>
                <w:rPr>
                  <w:i/>
                  <w:iCs/>
                  <w:noProof/>
                </w:rPr>
                <w:t xml:space="preserve">Journal of Pension Economics &amp; Finance, </w:t>
              </w:r>
              <w:r>
                <w:rPr>
                  <w:noProof/>
                </w:rPr>
                <w:t>16(3), pp. 371-394.</w:t>
              </w:r>
            </w:p>
            <w:p w14:paraId="0DBA624A" w14:textId="77777777" w:rsidR="00E83F6E" w:rsidRDefault="00E83F6E" w:rsidP="00E83F6E">
              <w:pPr>
                <w:pStyle w:val="Bibliography"/>
                <w:rPr>
                  <w:noProof/>
                </w:rPr>
              </w:pPr>
              <w:r>
                <w:rPr>
                  <w:noProof/>
                </w:rPr>
                <w:t xml:space="preserve">Grattan Institute,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42596449" w14:textId="77777777" w:rsidR="00E83F6E" w:rsidRDefault="00E83F6E" w:rsidP="00E83F6E">
              <w:pPr>
                <w:pStyle w:val="Bibliography"/>
                <w:rPr>
                  <w:noProof/>
                </w:rPr>
              </w:pPr>
              <w:r>
                <w:rPr>
                  <w:noProof/>
                </w:rPr>
                <w:t xml:space="preserve">Griffith Centre for Personal Finance and Superannuation,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7A690F38" w14:textId="77777777" w:rsidR="00E83F6E" w:rsidRDefault="00E83F6E" w:rsidP="00E83F6E">
              <w:pPr>
                <w:pStyle w:val="Bibliography"/>
                <w:rPr>
                  <w:noProof/>
                </w:rPr>
              </w:pPr>
              <w:r>
                <w:rPr>
                  <w:noProof/>
                </w:rPr>
                <w:t xml:space="preserve">Groom, L., 1908. </w:t>
              </w:r>
              <w:r>
                <w:rPr>
                  <w:i/>
                  <w:iCs/>
                  <w:noProof/>
                </w:rPr>
                <w:t xml:space="preserve">House of Representatives, Invalid and old age pensions bill, second reading speech, 3 June 1908. </w:t>
              </w:r>
              <w:r>
                <w:rPr>
                  <w:noProof/>
                </w:rPr>
                <w:t xml:space="preserve">[Online] </w:t>
              </w:r>
              <w:r>
                <w:rPr>
                  <w:noProof/>
                </w:rPr>
                <w:br/>
                <w:t xml:space="preserve">Available at: </w:t>
              </w:r>
              <w:r>
                <w:rPr>
                  <w:noProof/>
                  <w:u w:val="single"/>
                </w:rPr>
                <w:t>https://parlinfo.aph.gov.au/parlInfo/genpdf/hansard80/hansardr80/1908-06-03/0087/hansard_frag.pdf;fileType=application%2Fpdf</w:t>
              </w:r>
              <w:r>
                <w:rPr>
                  <w:noProof/>
                </w:rPr>
                <w:br/>
                <w:t>[Accessed 28 June 2020].</w:t>
              </w:r>
            </w:p>
            <w:p w14:paraId="2B79DB38" w14:textId="77777777" w:rsidR="00E83F6E" w:rsidRDefault="00E83F6E" w:rsidP="00E83F6E">
              <w:pPr>
                <w:pStyle w:val="Bibliography"/>
                <w:rPr>
                  <w:noProof/>
                </w:rPr>
              </w:pPr>
              <w:r>
                <w:rPr>
                  <w:noProof/>
                </w:rPr>
                <w:t xml:space="preserve">Gruber, J. &amp; Wise, D., 1997. </w:t>
              </w:r>
              <w:r>
                <w:rPr>
                  <w:i/>
                  <w:iCs/>
                  <w:noProof/>
                </w:rPr>
                <w:t xml:space="preserve">Social Security Programs and Retirement Around the World, </w:t>
              </w:r>
              <w:r>
                <w:rPr>
                  <w:noProof/>
                </w:rPr>
                <w:t>s.l.: NBER Working Paper No. 9407.</w:t>
              </w:r>
            </w:p>
            <w:p w14:paraId="7CDBC131" w14:textId="77777777" w:rsidR="00E83F6E" w:rsidRDefault="00E83F6E" w:rsidP="00E83F6E">
              <w:pPr>
                <w:pStyle w:val="Bibliography"/>
                <w:rPr>
                  <w:noProof/>
                </w:rPr>
              </w:pPr>
              <w:r>
                <w:rPr>
                  <w:noProof/>
                </w:rPr>
                <w:t xml:space="preserve">Gruen, D. &amp; Soding, L., 2011. </w:t>
              </w:r>
              <w:r>
                <w:rPr>
                  <w:i/>
                  <w:iCs/>
                  <w:noProof/>
                </w:rPr>
                <w:t xml:space="preserve">Compulsory Superannuation and National Saving, Economic Roundup Issue 3, 2011. </w:t>
              </w:r>
              <w:r>
                <w:rPr>
                  <w:noProof/>
                </w:rPr>
                <w:t>Canberra, Commonwealth of Australia.</w:t>
              </w:r>
            </w:p>
            <w:p w14:paraId="158F6A71" w14:textId="77777777" w:rsidR="00E83F6E" w:rsidRDefault="00E83F6E" w:rsidP="00E83F6E">
              <w:pPr>
                <w:pStyle w:val="Bibliography"/>
                <w:rPr>
                  <w:noProof/>
                </w:rPr>
              </w:pPr>
              <w:r>
                <w:rPr>
                  <w:noProof/>
                </w:rPr>
                <w:t xml:space="preserve">Harmer, D. J., 2009. </w:t>
              </w:r>
              <w:r>
                <w:rPr>
                  <w:i/>
                  <w:iCs/>
                  <w:noProof/>
                </w:rPr>
                <w:t xml:space="preserve">Pension Review Report, </w:t>
              </w:r>
              <w:r>
                <w:rPr>
                  <w:noProof/>
                </w:rPr>
                <w:t>Canberra: Commonwealth of Australia.</w:t>
              </w:r>
            </w:p>
            <w:p w14:paraId="39F32B6C" w14:textId="77777777" w:rsidR="00E83F6E" w:rsidRDefault="00E83F6E" w:rsidP="00E83F6E">
              <w:pPr>
                <w:pStyle w:val="Bibliography"/>
                <w:rPr>
                  <w:noProof/>
                </w:rPr>
              </w:pPr>
              <w:r>
                <w:rPr>
                  <w:noProof/>
                </w:rPr>
                <w:t xml:space="preserve">Hassel, A., Naczyk, M. &amp; Wiss, T., 2019. The political economy of pension financialisation: public policy responses to the crisis. </w:t>
              </w:r>
              <w:r>
                <w:rPr>
                  <w:i/>
                  <w:iCs/>
                  <w:noProof/>
                </w:rPr>
                <w:t xml:space="preserve">Journal of European Public Policy , </w:t>
              </w:r>
              <w:r>
                <w:rPr>
                  <w:noProof/>
                </w:rPr>
                <w:t>26(4), pp. 483-500.</w:t>
              </w:r>
            </w:p>
            <w:p w14:paraId="40D594D1" w14:textId="77777777" w:rsidR="00E83F6E" w:rsidRDefault="00E83F6E" w:rsidP="00E83F6E">
              <w:pPr>
                <w:pStyle w:val="Bibliography"/>
                <w:rPr>
                  <w:noProof/>
                </w:rPr>
              </w:pPr>
              <w:r>
                <w:rPr>
                  <w:noProof/>
                </w:rPr>
                <w:t xml:space="preserve">Heffron, M.,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5CBAF3CF" w14:textId="77777777" w:rsidR="00E83F6E" w:rsidRDefault="00E83F6E" w:rsidP="00E83F6E">
              <w:pPr>
                <w:pStyle w:val="Bibliography"/>
                <w:rPr>
                  <w:noProof/>
                </w:rPr>
              </w:pPr>
              <w:r>
                <w:rPr>
                  <w:noProof/>
                </w:rPr>
                <w:t xml:space="preserve">Herscovitch, A. &amp; Stanton, D., 2008. History of social security in Australia. </w:t>
              </w:r>
              <w:r>
                <w:rPr>
                  <w:i/>
                  <w:iCs/>
                  <w:noProof/>
                </w:rPr>
                <w:t xml:space="preserve">Family Matters, </w:t>
              </w:r>
              <w:r>
                <w:rPr>
                  <w:noProof/>
                </w:rPr>
                <w:t>Volume 80, pp. 55-59.</w:t>
              </w:r>
            </w:p>
            <w:p w14:paraId="0B283CE5" w14:textId="77777777" w:rsidR="00E83F6E" w:rsidRDefault="00E83F6E" w:rsidP="00E83F6E">
              <w:pPr>
                <w:pStyle w:val="Bibliography"/>
                <w:rPr>
                  <w:noProof/>
                </w:rPr>
              </w:pPr>
              <w:r>
                <w:rPr>
                  <w:noProof/>
                </w:rPr>
                <w:t xml:space="preserve">HESTA,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21B4D7DD" w14:textId="77777777" w:rsidR="00E83F6E" w:rsidRDefault="00E83F6E" w:rsidP="00E83F6E">
              <w:pPr>
                <w:pStyle w:val="Bibliography"/>
                <w:rPr>
                  <w:noProof/>
                </w:rPr>
              </w:pPr>
              <w:r>
                <w:rPr>
                  <w:noProof/>
                </w:rPr>
                <w:t xml:space="preserve">Hiscox, P. M., Hobman, D. E., Daffey, M. M. &amp; Reeson, D. A., 2017. </w:t>
              </w:r>
              <w:r>
                <w:rPr>
                  <w:i/>
                  <w:iCs/>
                  <w:noProof/>
                </w:rPr>
                <w:t xml:space="preserve">Supporting retirees in retirement income planning, </w:t>
              </w:r>
              <w:r>
                <w:rPr>
                  <w:noProof/>
                </w:rPr>
                <w:t>Canberra: Department of the Prime Minister and Cabinet, Commonwealth of Australia, .</w:t>
              </w:r>
            </w:p>
            <w:p w14:paraId="31C9F561" w14:textId="77777777" w:rsidR="00E83F6E" w:rsidRDefault="00E83F6E" w:rsidP="00E83F6E">
              <w:pPr>
                <w:pStyle w:val="Bibliography"/>
                <w:rPr>
                  <w:noProof/>
                </w:rPr>
              </w:pPr>
              <w:r>
                <w:rPr>
                  <w:noProof/>
                </w:rPr>
                <w:t xml:space="preserve">Hobman, E. R. &amp; Reeson, A., Forthcoming. </w:t>
              </w:r>
              <w:r>
                <w:rPr>
                  <w:i/>
                  <w:iCs/>
                  <w:noProof/>
                </w:rPr>
                <w:t xml:space="preserve">Understanding Superannuation Drawdown Behaviour, </w:t>
              </w:r>
              <w:r>
                <w:rPr>
                  <w:noProof/>
                </w:rPr>
                <w:t>s.l.: s.n.</w:t>
              </w:r>
            </w:p>
            <w:p w14:paraId="2BD757A4" w14:textId="77777777" w:rsidR="00E83F6E" w:rsidRDefault="00E83F6E" w:rsidP="00E83F6E">
              <w:pPr>
                <w:pStyle w:val="Bibliography"/>
                <w:rPr>
                  <w:noProof/>
                </w:rPr>
              </w:pPr>
              <w:r>
                <w:rPr>
                  <w:noProof/>
                </w:rPr>
                <w:t xml:space="preserve">Hopcroft, R. L., 2018. Number of Childbearing Partners, Status and the Fertility of Men and Women in the U.S.. </w:t>
              </w:r>
              <w:r>
                <w:rPr>
                  <w:i/>
                  <w:iCs/>
                  <w:noProof/>
                </w:rPr>
                <w:t xml:space="preserve">Frontiers in Sociology, </w:t>
              </w:r>
              <w:r>
                <w:rPr>
                  <w:noProof/>
                </w:rPr>
                <w:t>3(22).</w:t>
              </w:r>
            </w:p>
            <w:p w14:paraId="7F49FA67" w14:textId="77777777" w:rsidR="00E83F6E" w:rsidRDefault="00E83F6E" w:rsidP="00E83F6E">
              <w:pPr>
                <w:pStyle w:val="Bibliography"/>
                <w:rPr>
                  <w:noProof/>
                </w:rPr>
              </w:pPr>
              <w:r>
                <w:rPr>
                  <w:noProof/>
                </w:rPr>
                <w:t xml:space="preserve">House of Representatives, 1992. </w:t>
              </w:r>
              <w:r>
                <w:rPr>
                  <w:i/>
                  <w:iCs/>
                  <w:noProof/>
                </w:rPr>
                <w:t xml:space="preserve">Superannuation Guarantee (Administration) Bill 1992, Second Reading, 2 April 1992 (The Hon. John Sydney Dawkins). </w:t>
              </w:r>
              <w:r>
                <w:rPr>
                  <w:noProof/>
                </w:rPr>
                <w:t xml:space="preserve">[Online] </w:t>
              </w:r>
              <w:r>
                <w:rPr>
                  <w:noProof/>
                </w:rPr>
                <w:br/>
                <w:t xml:space="preserve">Available at: </w:t>
              </w:r>
              <w:r>
                <w:rPr>
                  <w:noProof/>
                  <w:u w:val="single"/>
                </w:rPr>
                <w:t>https://parlinfo.aph.gov.au/parlInfo/search/display/display.w3p;query=Id:%22chamber/hansardr/1992-04-02/0105%22;src1=sm1</w:t>
              </w:r>
              <w:r>
                <w:rPr>
                  <w:noProof/>
                </w:rPr>
                <w:br/>
                <w:t>[Accessed 15 May 2020].</w:t>
              </w:r>
            </w:p>
            <w:p w14:paraId="54183ABA" w14:textId="77777777" w:rsidR="00E83F6E" w:rsidRDefault="00E83F6E" w:rsidP="00E83F6E">
              <w:pPr>
                <w:pStyle w:val="Bibliography"/>
                <w:rPr>
                  <w:noProof/>
                </w:rPr>
              </w:pPr>
              <w:r>
                <w:rPr>
                  <w:noProof/>
                </w:rPr>
                <w:t xml:space="preserve">House of Representatives, 2019. </w:t>
              </w:r>
              <w:r>
                <w:rPr>
                  <w:i/>
                  <w:iCs/>
                  <w:noProof/>
                </w:rPr>
                <w:t xml:space="preserve">Standing Committee on Economics, 09/08/2019, Reserve Bank of Australia annual report. </w:t>
              </w:r>
              <w:r>
                <w:rPr>
                  <w:noProof/>
                </w:rPr>
                <w:t xml:space="preserve">[Online] </w:t>
              </w:r>
              <w:r>
                <w:rPr>
                  <w:noProof/>
                </w:rPr>
                <w:br/>
                <w:t xml:space="preserve">Available at: </w:t>
              </w:r>
              <w:r>
                <w:rPr>
                  <w:noProof/>
                  <w:u w:val="single"/>
                </w:rPr>
                <w:t>https://parlinfo.aph.gov.au/parlInfo/search/display/display.w3p;query=Id%3A%22committees%2Fcommrep%2Feea5d0b8-72e9-4b5e-acf8-52ed46888ced%2F0001%22</w:t>
              </w:r>
              <w:r>
                <w:rPr>
                  <w:noProof/>
                </w:rPr>
                <w:br/>
                <w:t>[Accessed 14 April 2020].</w:t>
              </w:r>
            </w:p>
            <w:p w14:paraId="4091CE68" w14:textId="77777777" w:rsidR="00E83F6E" w:rsidRDefault="00E83F6E" w:rsidP="00E83F6E">
              <w:pPr>
                <w:pStyle w:val="Bibliography"/>
                <w:rPr>
                  <w:noProof/>
                </w:rPr>
              </w:pPr>
              <w:r>
                <w:rPr>
                  <w:noProof/>
                </w:rPr>
                <w:t xml:space="preserve">House Standing Committee on Economics, Finance and Public Administration, 2005. </w:t>
              </w:r>
              <w:r>
                <w:rPr>
                  <w:i/>
                  <w:iCs/>
                  <w:noProof/>
                </w:rPr>
                <w:t xml:space="preserve">Improving the superannuation savings of people under 40, </w:t>
              </w:r>
              <w:r>
                <w:rPr>
                  <w:noProof/>
                </w:rPr>
                <w:t>Canberra: Commonwealth of Australia.</w:t>
              </w:r>
            </w:p>
            <w:p w14:paraId="34A847A5" w14:textId="77777777" w:rsidR="00E83F6E" w:rsidRDefault="00E83F6E" w:rsidP="00E83F6E">
              <w:pPr>
                <w:pStyle w:val="Bibliography"/>
                <w:rPr>
                  <w:noProof/>
                </w:rPr>
              </w:pPr>
              <w:r>
                <w:rPr>
                  <w:noProof/>
                </w:rPr>
                <w:t xml:space="preserve">Indigenous Superannuation Working Group, 2015. </w:t>
              </w:r>
              <w:r>
                <w:rPr>
                  <w:i/>
                  <w:iCs/>
                  <w:noProof/>
                </w:rPr>
                <w:t xml:space="preserve">Building better superannuation outcomes for Aboriginal and Torres Strait Islander people. </w:t>
              </w:r>
              <w:r>
                <w:rPr>
                  <w:noProof/>
                </w:rPr>
                <w:t xml:space="preserve">[Online] </w:t>
              </w:r>
              <w:r>
                <w:rPr>
                  <w:noProof/>
                </w:rPr>
                <w:br/>
                <w:t xml:space="preserve">Available at: </w:t>
              </w:r>
              <w:r>
                <w:rPr>
                  <w:noProof/>
                  <w:u w:val="single"/>
                </w:rPr>
                <w:t>https://www.aist.asn.au/AIST/media/General/Indigenous%20Super/Docs/Indigenous-Working-Group-Discussion-Paper.pdf</w:t>
              </w:r>
              <w:r>
                <w:rPr>
                  <w:noProof/>
                </w:rPr>
                <w:br/>
                <w:t>[Accessed 21 February 2020].</w:t>
              </w:r>
            </w:p>
            <w:p w14:paraId="36D152F1" w14:textId="77777777" w:rsidR="00E83F6E" w:rsidRDefault="00E83F6E" w:rsidP="00E83F6E">
              <w:pPr>
                <w:pStyle w:val="Bibliography"/>
                <w:rPr>
                  <w:noProof/>
                </w:rPr>
              </w:pPr>
              <w:r>
                <w:rPr>
                  <w:noProof/>
                </w:rPr>
                <w:t xml:space="preserve">Industry Super Australia, 2019. </w:t>
              </w:r>
              <w:r>
                <w:rPr>
                  <w:i/>
                  <w:iCs/>
                  <w:noProof/>
                </w:rPr>
                <w:t xml:space="preserve">Super scandal: Unpaid super guarantee in 2016-17, </w:t>
              </w:r>
              <w:r>
                <w:rPr>
                  <w:noProof/>
                </w:rPr>
                <w:t>s.l.: Industry Super Australia.</w:t>
              </w:r>
            </w:p>
            <w:p w14:paraId="1767C4C4" w14:textId="77777777" w:rsidR="00E83F6E" w:rsidRDefault="00E83F6E" w:rsidP="00E83F6E">
              <w:pPr>
                <w:pStyle w:val="Bibliography"/>
                <w:rPr>
                  <w:noProof/>
                </w:rPr>
              </w:pPr>
              <w:r>
                <w:rPr>
                  <w:noProof/>
                </w:rPr>
                <w:t xml:space="preserve">Industry Super Australia,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2F4452F" w14:textId="77777777" w:rsidR="00E83F6E" w:rsidRDefault="00E83F6E" w:rsidP="00E83F6E">
              <w:pPr>
                <w:pStyle w:val="Bibliography"/>
                <w:rPr>
                  <w:noProof/>
                </w:rPr>
              </w:pPr>
              <w:r>
                <w:rPr>
                  <w:noProof/>
                </w:rPr>
                <w:t xml:space="preserve">Ingles, D. &amp; Stewart, M., 2017. Reforming Australia's Superannuation Tax System and the Age Pension to Improve Work and Savings Incentives. </w:t>
              </w:r>
              <w:r>
                <w:rPr>
                  <w:i/>
                  <w:iCs/>
                  <w:noProof/>
                </w:rPr>
                <w:t xml:space="preserve">Asia &amp; the Pacific Policy Studies, </w:t>
              </w:r>
              <w:r>
                <w:rPr>
                  <w:noProof/>
                </w:rPr>
                <w:t>4(3), pp. 417-436.</w:t>
              </w:r>
            </w:p>
            <w:p w14:paraId="700ED577" w14:textId="77777777" w:rsidR="00E83F6E" w:rsidRDefault="00E83F6E" w:rsidP="00E83F6E">
              <w:pPr>
                <w:pStyle w:val="Bibliography"/>
                <w:rPr>
                  <w:noProof/>
                </w:rPr>
              </w:pPr>
              <w:r>
                <w:rPr>
                  <w:noProof/>
                </w:rPr>
                <w:t xml:space="preserve">IOOF,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4203BAF" w14:textId="77777777" w:rsidR="00E83F6E" w:rsidRDefault="00E83F6E" w:rsidP="00E83F6E">
              <w:pPr>
                <w:pStyle w:val="Bibliography"/>
                <w:rPr>
                  <w:noProof/>
                </w:rPr>
              </w:pPr>
              <w:r>
                <w:rPr>
                  <w:noProof/>
                </w:rPr>
                <w:t xml:space="preserve">Judd, K., 1985. Redistributive Taxation in a Simple Perfect Foresight Model. </w:t>
              </w:r>
              <w:r>
                <w:rPr>
                  <w:i/>
                  <w:iCs/>
                  <w:noProof/>
                </w:rPr>
                <w:t xml:space="preserve">Journal of Public Economics, </w:t>
              </w:r>
              <w:r>
                <w:rPr>
                  <w:noProof/>
                </w:rPr>
                <w:t>Volume 28, pp. 401-418.</w:t>
              </w:r>
            </w:p>
            <w:p w14:paraId="639E5FF2" w14:textId="77777777" w:rsidR="00E83F6E" w:rsidRDefault="00E83F6E" w:rsidP="00E83F6E">
              <w:pPr>
                <w:pStyle w:val="Bibliography"/>
                <w:rPr>
                  <w:noProof/>
                </w:rPr>
              </w:pPr>
              <w:r>
                <w:rPr>
                  <w:noProof/>
                </w:rPr>
                <w:t xml:space="preserve">Kahneman, D. &amp; Tversky, A., 1979. Prospect Theory: An Analysis of Decision under Risk. </w:t>
              </w:r>
              <w:r>
                <w:rPr>
                  <w:i/>
                  <w:iCs/>
                  <w:noProof/>
                </w:rPr>
                <w:t xml:space="preserve">Econometrica, </w:t>
              </w:r>
              <w:r>
                <w:rPr>
                  <w:noProof/>
                </w:rPr>
                <w:t>47(2), p. 263–291.</w:t>
              </w:r>
            </w:p>
            <w:p w14:paraId="4DD3A9AB" w14:textId="77777777" w:rsidR="00E83F6E" w:rsidRDefault="00E83F6E" w:rsidP="00E83F6E">
              <w:pPr>
                <w:pStyle w:val="Bibliography"/>
                <w:rPr>
                  <w:noProof/>
                </w:rPr>
              </w:pPr>
              <w:r>
                <w:rPr>
                  <w:noProof/>
                </w:rPr>
                <w:t xml:space="preserve">Kaspiew, R. &amp; Lixia, Q., 2016. Property division after separation: Recent research evidence. </w:t>
              </w:r>
              <w:r>
                <w:rPr>
                  <w:i/>
                  <w:iCs/>
                  <w:noProof/>
                </w:rPr>
                <w:t xml:space="preserve">Australian Journal of Family Law, </w:t>
              </w:r>
              <w:r>
                <w:rPr>
                  <w:noProof/>
                </w:rPr>
                <w:t>30(3), pp. 1-27.</w:t>
              </w:r>
            </w:p>
            <w:p w14:paraId="4C20EE65" w14:textId="77777777" w:rsidR="00E83F6E" w:rsidRDefault="00E83F6E" w:rsidP="00E83F6E">
              <w:pPr>
                <w:pStyle w:val="Bibliography"/>
                <w:rPr>
                  <w:noProof/>
                </w:rPr>
              </w:pPr>
              <w:r>
                <w:rPr>
                  <w:noProof/>
                </w:rPr>
                <w:t xml:space="preserve">Keating, P., 1991. </w:t>
              </w:r>
              <w:r>
                <w:rPr>
                  <w:i/>
                  <w:iCs/>
                  <w:noProof/>
                </w:rPr>
                <w:t xml:space="preserve">A Retirement Incomes Policy: Address to the Australia Graduate School of Management, </w:t>
              </w:r>
              <w:r>
                <w:rPr>
                  <w:noProof/>
                </w:rPr>
                <w:t>Canberra: Parliament of the Commonwealth of Australia.</w:t>
              </w:r>
            </w:p>
            <w:p w14:paraId="26667A66" w14:textId="77777777" w:rsidR="00E83F6E" w:rsidRDefault="00E83F6E" w:rsidP="00E83F6E">
              <w:pPr>
                <w:pStyle w:val="Bibliography"/>
                <w:rPr>
                  <w:noProof/>
                </w:rPr>
              </w:pPr>
              <w:r>
                <w:rPr>
                  <w:noProof/>
                </w:rPr>
                <w:t xml:space="preserve">Keating, P., 2007. </w:t>
              </w:r>
              <w:r>
                <w:rPr>
                  <w:i/>
                  <w:iCs/>
                  <w:noProof/>
                </w:rPr>
                <w:t xml:space="preserve">The Story of Modern Superannuation. </w:t>
              </w:r>
              <w:r>
                <w:rPr>
                  <w:noProof/>
                </w:rPr>
                <w:t xml:space="preserve">[Online] </w:t>
              </w:r>
              <w:r>
                <w:rPr>
                  <w:noProof/>
                </w:rPr>
                <w:br/>
                <w:t xml:space="preserve">Available at: </w:t>
              </w:r>
              <w:r>
                <w:rPr>
                  <w:noProof/>
                  <w:u w:val="single"/>
                </w:rPr>
                <w:t>http://www.keating.org.au/shop/item/the-story-of-modern-superannuation-31-october-2007</w:t>
              </w:r>
              <w:r>
                <w:rPr>
                  <w:noProof/>
                </w:rPr>
                <w:br/>
                <w:t>[Accessed 5 March 2020].</w:t>
              </w:r>
            </w:p>
            <w:p w14:paraId="44726F80" w14:textId="77777777" w:rsidR="00E83F6E" w:rsidRDefault="00E83F6E" w:rsidP="00E83F6E">
              <w:pPr>
                <w:pStyle w:val="Bibliography"/>
                <w:rPr>
                  <w:noProof/>
                </w:rPr>
              </w:pPr>
              <w:r>
                <w:rPr>
                  <w:noProof/>
                </w:rPr>
                <w:t xml:space="preserve">Kendig, H., Hussain, R., O’Loughlin, K. &amp; Cannon, L., 2019. Australian attitudes to intergenerational equity: impacts of social and policy change. </w:t>
              </w:r>
              <w:r>
                <w:rPr>
                  <w:i/>
                  <w:iCs/>
                  <w:noProof/>
                </w:rPr>
                <w:t xml:space="preserve">Ageing &amp; Society, </w:t>
              </w:r>
              <w:r>
                <w:rPr>
                  <w:noProof/>
                </w:rPr>
                <w:t>Issue 39, p. 2671–2698.</w:t>
              </w:r>
            </w:p>
            <w:p w14:paraId="752C502C" w14:textId="77777777" w:rsidR="00E83F6E" w:rsidRDefault="00E83F6E" w:rsidP="00E83F6E">
              <w:pPr>
                <w:pStyle w:val="Bibliography"/>
                <w:rPr>
                  <w:noProof/>
                </w:rPr>
              </w:pPr>
              <w:r>
                <w:rPr>
                  <w:noProof/>
                </w:rPr>
                <w:t xml:space="preserve">Kendig, H., Wells, Y., O’Loughlin, K. &amp; Heese, K., 2013. Australian baby boomers face retirement during the Global Financial Crisis. </w:t>
              </w:r>
              <w:r>
                <w:rPr>
                  <w:i/>
                  <w:iCs/>
                  <w:noProof/>
                </w:rPr>
                <w:t xml:space="preserve">Journal of Aging and Social Policy, </w:t>
              </w:r>
              <w:r>
                <w:rPr>
                  <w:noProof/>
                </w:rPr>
                <w:t>25(3), pp. 264-280.</w:t>
              </w:r>
            </w:p>
            <w:p w14:paraId="400C9D8C" w14:textId="77777777" w:rsidR="00E83F6E" w:rsidRDefault="00E83F6E" w:rsidP="00E83F6E">
              <w:pPr>
                <w:pStyle w:val="Bibliography"/>
                <w:rPr>
                  <w:noProof/>
                </w:rPr>
              </w:pPr>
              <w:r>
                <w:rPr>
                  <w:noProof/>
                </w:rPr>
                <w:t xml:space="preserve">Khemka, G., Tang, Y. &amp; Warren, G., 2020. The 'Right' level for the Superannuation Guarantee: A straightforward issue by no means. </w:t>
              </w:r>
              <w:r>
                <w:rPr>
                  <w:i/>
                  <w:iCs/>
                  <w:noProof/>
                </w:rPr>
                <w:t xml:space="preserve">SSRN Electronic Journal, </w:t>
              </w:r>
              <w:r>
                <w:rPr>
                  <w:noProof/>
                </w:rPr>
                <w:t>May.</w:t>
              </w:r>
            </w:p>
            <w:p w14:paraId="3F04DD8D" w14:textId="77777777" w:rsidR="00E83F6E" w:rsidRDefault="00E83F6E" w:rsidP="00E83F6E">
              <w:pPr>
                <w:pStyle w:val="Bibliography"/>
                <w:rPr>
                  <w:noProof/>
                </w:rPr>
              </w:pPr>
              <w:r>
                <w:rPr>
                  <w:noProof/>
                </w:rPr>
                <w:t xml:space="preserve">Khemka, G. &amp; Warren, G.,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38B42DF5" w14:textId="77777777" w:rsidR="00E83F6E" w:rsidRDefault="00E83F6E" w:rsidP="00E83F6E">
              <w:pPr>
                <w:pStyle w:val="Bibliography"/>
                <w:rPr>
                  <w:noProof/>
                </w:rPr>
              </w:pPr>
              <w:r>
                <w:rPr>
                  <w:noProof/>
                </w:rPr>
                <w:t xml:space="preserve">Khor, S. et al., 2019. </w:t>
              </w:r>
              <w:r>
                <w:rPr>
                  <w:i/>
                  <w:iCs/>
                  <w:noProof/>
                </w:rPr>
                <w:t xml:space="preserve">Australian Unity Wellbeing Index: Report 35.1 Ageing Well: Healthy Transitions to Retirement, </w:t>
              </w:r>
              <w:r>
                <w:rPr>
                  <w:noProof/>
                </w:rPr>
                <w:t>Geelong, Victoria: Australian Centre on Quality of Life, School of Psychology, Deakin University.</w:t>
              </w:r>
            </w:p>
            <w:p w14:paraId="7353F1A2" w14:textId="77777777" w:rsidR="00E83F6E" w:rsidRDefault="00E83F6E" w:rsidP="00E83F6E">
              <w:pPr>
                <w:pStyle w:val="Bibliography"/>
                <w:rPr>
                  <w:noProof/>
                </w:rPr>
              </w:pPr>
              <w:r>
                <w:rPr>
                  <w:noProof/>
                </w:rPr>
                <w:t xml:space="preserve">Kinniry Jr., F. M. et al., 2015. </w:t>
              </w:r>
              <w:r>
                <w:rPr>
                  <w:i/>
                  <w:iCs/>
                  <w:noProof/>
                </w:rPr>
                <w:t xml:space="preserve">Putting a value on your value: Quantifying Vanguard Adviser's Alpha. </w:t>
              </w:r>
              <w:r>
                <w:rPr>
                  <w:noProof/>
                </w:rPr>
                <w:t xml:space="preserve">[Online] </w:t>
              </w:r>
              <w:r>
                <w:rPr>
                  <w:noProof/>
                </w:rPr>
                <w:br/>
                <w:t xml:space="preserve">Available at: </w:t>
              </w:r>
              <w:r>
                <w:rPr>
                  <w:noProof/>
                  <w:u w:val="single"/>
                </w:rPr>
                <w:t>https://static.vgcontent.info/crp/intl/auw/docs/literature/research/quantifying-advisers-alpha.pdf</w:t>
              </w:r>
              <w:r>
                <w:rPr>
                  <w:noProof/>
                </w:rPr>
                <w:br/>
                <w:t>[Accessed 11 December 2019].</w:t>
              </w:r>
            </w:p>
            <w:p w14:paraId="7669C7B0" w14:textId="77777777" w:rsidR="00E83F6E" w:rsidRDefault="00E83F6E" w:rsidP="00E83F6E">
              <w:pPr>
                <w:pStyle w:val="Bibliography"/>
                <w:rPr>
                  <w:noProof/>
                </w:rPr>
              </w:pPr>
              <w:r>
                <w:rPr>
                  <w:noProof/>
                </w:rPr>
                <w:t xml:space="preserve">Kohler, M. &amp; Rossiter, A., 2005. </w:t>
              </w:r>
              <w:r>
                <w:rPr>
                  <w:i/>
                  <w:iCs/>
                  <w:noProof/>
                </w:rPr>
                <w:t xml:space="preserve">Property owners in Australia: A Snapshot, </w:t>
              </w:r>
              <w:r>
                <w:rPr>
                  <w:noProof/>
                </w:rPr>
                <w:t>Research Discussion Paper 2005-03, Sydney: Economic Research, Department Reserve Bank of Australia.</w:t>
              </w:r>
            </w:p>
            <w:p w14:paraId="531EA43F" w14:textId="77777777" w:rsidR="00E83F6E" w:rsidRDefault="00E83F6E" w:rsidP="00E83F6E">
              <w:pPr>
                <w:pStyle w:val="Bibliography"/>
                <w:rPr>
                  <w:noProof/>
                </w:rPr>
              </w:pPr>
              <w:r>
                <w:rPr>
                  <w:noProof/>
                </w:rPr>
                <w:t xml:space="preserve">Kozac, J., 2005. </w:t>
              </w:r>
              <w:r>
                <w:rPr>
                  <w:i/>
                  <w:iCs/>
                  <w:noProof/>
                </w:rPr>
                <w:t xml:space="preserve">IMF Policy Discussion Paper: Considerations in the Choice of the Appropriate Discount Rate for Evaluating Sovereign Debt Restructurings, </w:t>
              </w:r>
              <w:r>
                <w:rPr>
                  <w:noProof/>
                </w:rPr>
                <w:t>s.l.: International Monetary Fund.</w:t>
              </w:r>
            </w:p>
            <w:p w14:paraId="598FE1B9" w14:textId="77777777" w:rsidR="00E83F6E" w:rsidRDefault="00E83F6E" w:rsidP="00E83F6E">
              <w:pPr>
                <w:pStyle w:val="Bibliography"/>
                <w:rPr>
                  <w:noProof/>
                </w:rPr>
              </w:pPr>
              <w:r>
                <w:rPr>
                  <w:noProof/>
                </w:rPr>
                <w:t xml:space="preserve">KPMG, 2016. </w:t>
              </w:r>
              <w:r>
                <w:rPr>
                  <w:i/>
                  <w:iCs/>
                  <w:noProof/>
                </w:rPr>
                <w:t xml:space="preserve">Superannuation: Breaking down the barriers to Indigenous Australia. </w:t>
              </w:r>
              <w:r>
                <w:rPr>
                  <w:noProof/>
                </w:rPr>
                <w:t xml:space="preserve">[Online] </w:t>
              </w:r>
              <w:r>
                <w:rPr>
                  <w:noProof/>
                </w:rPr>
                <w:br/>
                <w:t xml:space="preserve">Available at: </w:t>
              </w:r>
              <w:r>
                <w:rPr>
                  <w:noProof/>
                  <w:u w:val="single"/>
                </w:rPr>
                <w:t>https://home.kpmg/au/en/home/insights/2016/10/indigenous-economy-superannuation.html</w:t>
              </w:r>
              <w:r>
                <w:rPr>
                  <w:noProof/>
                </w:rPr>
                <w:br/>
                <w:t>[Accessed 21 February 2020].</w:t>
              </w:r>
            </w:p>
            <w:p w14:paraId="7FD35211" w14:textId="77777777" w:rsidR="00E83F6E" w:rsidRDefault="00E83F6E" w:rsidP="00E83F6E">
              <w:pPr>
                <w:pStyle w:val="Bibliography"/>
                <w:rPr>
                  <w:noProof/>
                </w:rPr>
              </w:pPr>
              <w:r>
                <w:rPr>
                  <w:noProof/>
                </w:rPr>
                <w:t xml:space="preserve">Kudrna, G. &amp; Tran, C., 2018. Comparing Budget Repair Measures for a Small Open Economy with Growing Debt. </w:t>
              </w:r>
              <w:r>
                <w:rPr>
                  <w:i/>
                  <w:iCs/>
                  <w:noProof/>
                </w:rPr>
                <w:t xml:space="preserve">Journal of Macroeconomics, </w:t>
              </w:r>
              <w:r>
                <w:rPr>
                  <w:noProof/>
                </w:rPr>
                <w:t>Volume 55, pp. 162-183.</w:t>
              </w:r>
            </w:p>
            <w:p w14:paraId="69004A8A" w14:textId="77777777" w:rsidR="00E83F6E" w:rsidRDefault="00E83F6E" w:rsidP="00E83F6E">
              <w:pPr>
                <w:pStyle w:val="Bibliography"/>
                <w:rPr>
                  <w:noProof/>
                </w:rPr>
              </w:pPr>
              <w:r>
                <w:rPr>
                  <w:noProof/>
                </w:rPr>
                <w:t xml:space="preserve">Kudrna, G., Tran, C. &amp; Woodland, A., 2015. The Dynamic Fiscal Effects of Demographic Shift: The Case of Australia. </w:t>
              </w:r>
              <w:r>
                <w:rPr>
                  <w:i/>
                  <w:iCs/>
                  <w:noProof/>
                </w:rPr>
                <w:t xml:space="preserve">Economic Modelling, </w:t>
              </w:r>
              <w:r>
                <w:rPr>
                  <w:noProof/>
                </w:rPr>
                <w:t>Volume 50, pp. 105-122.</w:t>
              </w:r>
            </w:p>
            <w:p w14:paraId="4B386D6B" w14:textId="77777777" w:rsidR="00E83F6E" w:rsidRDefault="00E83F6E" w:rsidP="00E83F6E">
              <w:pPr>
                <w:pStyle w:val="Bibliography"/>
                <w:rPr>
                  <w:noProof/>
                </w:rPr>
              </w:pPr>
              <w:r>
                <w:rPr>
                  <w:noProof/>
                </w:rPr>
                <w:t xml:space="preserve">Kudrna, G. &amp; Woodland, A., 2013. Macroeconomic and Welfare Effects of the 2010 Changes to Mandatory Superannuation. </w:t>
              </w:r>
              <w:r>
                <w:rPr>
                  <w:i/>
                  <w:iCs/>
                  <w:noProof/>
                </w:rPr>
                <w:t xml:space="preserve">Economic Record, </w:t>
              </w:r>
              <w:r>
                <w:rPr>
                  <w:noProof/>
                </w:rPr>
                <w:t>89(287), pp. 445-468.</w:t>
              </w:r>
            </w:p>
            <w:p w14:paraId="4ECA812E" w14:textId="77777777" w:rsidR="00E83F6E" w:rsidRDefault="00E83F6E" w:rsidP="00E83F6E">
              <w:pPr>
                <w:pStyle w:val="Bibliography"/>
                <w:rPr>
                  <w:noProof/>
                </w:rPr>
              </w:pPr>
              <w:r>
                <w:rPr>
                  <w:noProof/>
                </w:rPr>
                <w:t xml:space="preserve">La Cava, G., 2019. </w:t>
              </w:r>
              <w:r>
                <w:rPr>
                  <w:i/>
                  <w:iCs/>
                  <w:noProof/>
                </w:rPr>
                <w:t xml:space="preserve">The Labour and Capital Shares of Income in Australia. </w:t>
              </w:r>
              <w:r>
                <w:rPr>
                  <w:noProof/>
                </w:rPr>
                <w:t xml:space="preserve">[Online] </w:t>
              </w:r>
              <w:r>
                <w:rPr>
                  <w:noProof/>
                </w:rPr>
                <w:br/>
                <w:t xml:space="preserve">Available at: </w:t>
              </w:r>
              <w:r>
                <w:rPr>
                  <w:noProof/>
                  <w:u w:val="single"/>
                </w:rPr>
                <w:t>https://www.rba.gov.au/publications/bulletin/2019/mar/the-labour-and-capital-shares-of-income-in-australia.html</w:t>
              </w:r>
              <w:r>
                <w:rPr>
                  <w:noProof/>
                </w:rPr>
                <w:br/>
                <w:t>[Accessed 16 March 2020].</w:t>
              </w:r>
            </w:p>
            <w:p w14:paraId="49CA9D59" w14:textId="77777777" w:rsidR="00E83F6E" w:rsidRDefault="00E83F6E" w:rsidP="00E83F6E">
              <w:pPr>
                <w:pStyle w:val="Bibliography"/>
                <w:rPr>
                  <w:noProof/>
                </w:rPr>
              </w:pPr>
              <w:r>
                <w:rPr>
                  <w:noProof/>
                </w:rPr>
                <w:t xml:space="preserve">Lab, I. &amp; Wooden, M., 2019. </w:t>
              </w:r>
              <w:r>
                <w:rPr>
                  <w:i/>
                  <w:iCs/>
                  <w:noProof/>
                </w:rPr>
                <w:t xml:space="preserve">Non-standard Employment and Wages in Australia. </w:t>
              </w:r>
              <w:r>
                <w:rPr>
                  <w:noProof/>
                </w:rPr>
                <w:t xml:space="preserve">[Online] </w:t>
              </w:r>
              <w:r>
                <w:rPr>
                  <w:noProof/>
                </w:rPr>
                <w:br/>
                <w:t xml:space="preserve">Available at: </w:t>
              </w:r>
              <w:r>
                <w:rPr>
                  <w:noProof/>
                  <w:u w:val="single"/>
                </w:rPr>
                <w:t>https://www.rba.gov.au/publications/confs/2019/pdf/rba-conference-2019-lass-wooden.pdf</w:t>
              </w:r>
              <w:r>
                <w:rPr>
                  <w:noProof/>
                </w:rPr>
                <w:br/>
                <w:t>[Accessed 3 March 2020].</w:t>
              </w:r>
            </w:p>
            <w:p w14:paraId="7D033ECA" w14:textId="77777777" w:rsidR="00E83F6E" w:rsidRDefault="00E83F6E" w:rsidP="00E83F6E">
              <w:pPr>
                <w:pStyle w:val="Bibliography"/>
                <w:rPr>
                  <w:noProof/>
                </w:rPr>
              </w:pPr>
              <w:r>
                <w:rPr>
                  <w:noProof/>
                </w:rPr>
                <w:t xml:space="preserve">Lawrence, C., 1999. The effects of income inequality on health. </w:t>
              </w:r>
              <w:r>
                <w:rPr>
                  <w:i/>
                  <w:iCs/>
                  <w:noProof/>
                </w:rPr>
                <w:t xml:space="preserve">Australian Health Review, </w:t>
              </w:r>
              <w:r>
                <w:rPr>
                  <w:noProof/>
                </w:rPr>
                <w:t>22(1), pp. 97-106.</w:t>
              </w:r>
            </w:p>
            <w:p w14:paraId="008CB4F6" w14:textId="77777777" w:rsidR="00E83F6E" w:rsidRDefault="00E83F6E" w:rsidP="00E83F6E">
              <w:pPr>
                <w:pStyle w:val="Bibliography"/>
                <w:rPr>
                  <w:noProof/>
                </w:rPr>
              </w:pPr>
              <w:r>
                <w:rPr>
                  <w:noProof/>
                </w:rPr>
                <w:t xml:space="preserve">Legal Aid Commission of NSW, 2017. </w:t>
              </w:r>
              <w:r>
                <w:rPr>
                  <w:i/>
                  <w:iCs/>
                  <w:noProof/>
                </w:rPr>
                <w:t xml:space="preserve">Legal Aid NSW submission to the Senate Education and Employment References Committee: Inquiry into corporate evasion of the Fair Work Act. </w:t>
              </w:r>
              <w:r>
                <w:rPr>
                  <w:noProof/>
                </w:rPr>
                <w:t xml:space="preserve">[Online] </w:t>
              </w:r>
              <w:r>
                <w:rPr>
                  <w:noProof/>
                </w:rPr>
                <w:br/>
                <w:t xml:space="preserve">Available at: </w:t>
              </w:r>
              <w:r>
                <w:rPr>
                  <w:noProof/>
                  <w:u w:val="single"/>
                </w:rPr>
                <w:t>https://www.legalaid.nsw.gov.au/__data/assets/pdf_file/0005/26447/Corporate-evasion-of-the-Fair-Work-Act-submission-by-Legal-Aid-NSW.pdf</w:t>
              </w:r>
              <w:r>
                <w:rPr>
                  <w:noProof/>
                </w:rPr>
                <w:br/>
                <w:t>[Accessed 10 March 2020].</w:t>
              </w:r>
            </w:p>
            <w:p w14:paraId="3106F24C" w14:textId="77777777" w:rsidR="00E83F6E" w:rsidRDefault="00E83F6E" w:rsidP="00E83F6E">
              <w:pPr>
                <w:pStyle w:val="Bibliography"/>
                <w:rPr>
                  <w:noProof/>
                </w:rPr>
              </w:pPr>
              <w:r>
                <w:rPr>
                  <w:noProof/>
                </w:rPr>
                <w:t xml:space="preserve">Lochner, M., Duenser, A. &amp; Reeson, A., 2017. </w:t>
              </w:r>
              <w:r>
                <w:rPr>
                  <w:i/>
                  <w:iCs/>
                  <w:noProof/>
                </w:rPr>
                <w:t xml:space="preserve">Automated Financial Advice for Superannuation: A Randomised Controlled Experimental Test of Engagement and Motivation Impacts, </w:t>
              </w:r>
              <w:r>
                <w:rPr>
                  <w:noProof/>
                </w:rPr>
                <w:t>s.l.: CSIRO.</w:t>
              </w:r>
            </w:p>
            <w:p w14:paraId="728A1889" w14:textId="77777777" w:rsidR="00E83F6E" w:rsidRDefault="00E83F6E" w:rsidP="00E83F6E">
              <w:pPr>
                <w:pStyle w:val="Bibliography"/>
                <w:rPr>
                  <w:noProof/>
                </w:rPr>
              </w:pPr>
              <w:r>
                <w:rPr>
                  <w:noProof/>
                </w:rPr>
                <w:t xml:space="preserve">Lora, E. &amp; Olivera, M., 2004. What makes reforms likely: Political economy determinants of reforms in Latin America. </w:t>
              </w:r>
              <w:r>
                <w:rPr>
                  <w:i/>
                  <w:iCs/>
                  <w:noProof/>
                </w:rPr>
                <w:t xml:space="preserve">Journal of Applied Economics, </w:t>
              </w:r>
              <w:r>
                <w:rPr>
                  <w:noProof/>
                </w:rPr>
                <w:t>Volume 7, pp. 99-135.</w:t>
              </w:r>
            </w:p>
            <w:p w14:paraId="36DC3DB0" w14:textId="77777777" w:rsidR="00E83F6E" w:rsidRDefault="00E83F6E" w:rsidP="00E83F6E">
              <w:pPr>
                <w:pStyle w:val="Bibliography"/>
                <w:rPr>
                  <w:noProof/>
                </w:rPr>
              </w:pPr>
              <w:r>
                <w:rPr>
                  <w:noProof/>
                </w:rPr>
                <w:t xml:space="preserve">Lusardi, A. &amp; Mitchell, O. S., 2014. The Economic Importance of Financial Literacy: Theory and Evidence. </w:t>
              </w:r>
              <w:r>
                <w:rPr>
                  <w:i/>
                  <w:iCs/>
                  <w:noProof/>
                </w:rPr>
                <w:t xml:space="preserve">Journal of Economic Literature, </w:t>
              </w:r>
              <w:r>
                <w:rPr>
                  <w:noProof/>
                </w:rPr>
                <w:t>52(1), pp. 5-44.</w:t>
              </w:r>
            </w:p>
            <w:p w14:paraId="3A375930" w14:textId="77777777" w:rsidR="00E83F6E" w:rsidRDefault="00E83F6E" w:rsidP="00E83F6E">
              <w:pPr>
                <w:pStyle w:val="Bibliography"/>
                <w:rPr>
                  <w:noProof/>
                </w:rPr>
              </w:pPr>
              <w:r>
                <w:rPr>
                  <w:noProof/>
                </w:rPr>
                <w:t xml:space="preserve">Madamba, A. &amp; Utkus, S. P., 2016. </w:t>
              </w:r>
              <w:r>
                <w:rPr>
                  <w:i/>
                  <w:iCs/>
                  <w:noProof/>
                </w:rPr>
                <w:t xml:space="preserve">Spending and saving in retirement. </w:t>
              </w:r>
              <w:r>
                <w:rPr>
                  <w:noProof/>
                </w:rPr>
                <w:t xml:space="preserve">[Online] </w:t>
              </w:r>
              <w:r>
                <w:rPr>
                  <w:noProof/>
                </w:rPr>
                <w:br/>
                <w:t xml:space="preserve">Available at: </w:t>
              </w:r>
              <w:r>
                <w:rPr>
                  <w:noProof/>
                  <w:u w:val="single"/>
                </w:rPr>
                <w:t>https://www.nasdaq.com/articles/spending-and-saving-retirement-2016-01-06</w:t>
              </w:r>
              <w:r>
                <w:rPr>
                  <w:noProof/>
                </w:rPr>
                <w:br/>
                <w:t>[Accessed 23 January 2020].</w:t>
              </w:r>
            </w:p>
            <w:p w14:paraId="78654E84" w14:textId="77777777" w:rsidR="00E83F6E" w:rsidRDefault="00E83F6E" w:rsidP="00E83F6E">
              <w:pPr>
                <w:pStyle w:val="Bibliography"/>
                <w:rPr>
                  <w:noProof/>
                </w:rPr>
              </w:pPr>
              <w:r>
                <w:rPr>
                  <w:noProof/>
                </w:rPr>
                <w:t xml:space="preserve">Market Index, 2020. </w:t>
              </w:r>
              <w:r>
                <w:rPr>
                  <w:i/>
                  <w:iCs/>
                  <w:noProof/>
                </w:rPr>
                <w:t xml:space="preserve">Market Overview. </w:t>
              </w:r>
              <w:r>
                <w:rPr>
                  <w:noProof/>
                </w:rPr>
                <w:t xml:space="preserve">[Online] </w:t>
              </w:r>
              <w:r>
                <w:rPr>
                  <w:noProof/>
                </w:rPr>
                <w:br/>
                <w:t xml:space="preserve">Available at: </w:t>
              </w:r>
              <w:r>
                <w:rPr>
                  <w:noProof/>
                  <w:u w:val="single"/>
                </w:rPr>
                <w:t>https://www.marketindex.com.au/</w:t>
              </w:r>
              <w:r>
                <w:rPr>
                  <w:noProof/>
                </w:rPr>
                <w:br/>
                <w:t>[Accessed 3 July 2020].</w:t>
              </w:r>
            </w:p>
            <w:p w14:paraId="6182141D" w14:textId="77777777" w:rsidR="00E83F6E" w:rsidRDefault="00E83F6E" w:rsidP="00E83F6E">
              <w:pPr>
                <w:pStyle w:val="Bibliography"/>
                <w:rPr>
                  <w:noProof/>
                </w:rPr>
              </w:pPr>
              <w:r>
                <w:rPr>
                  <w:noProof/>
                </w:rPr>
                <w:t xml:space="preserve">Martin, B. et al., 2013. </w:t>
              </w:r>
              <w:r>
                <w:rPr>
                  <w:i/>
                  <w:iCs/>
                  <w:noProof/>
                </w:rPr>
                <w:t xml:space="preserve">Paid Parental Leave Evaluation: Phase 2 Report, </w:t>
              </w:r>
              <w:r>
                <w:rPr>
                  <w:noProof/>
                </w:rPr>
                <w:t>Canberra: Department of Families, Housing, Community Services and Indigenous, Commonwealth of Australia.</w:t>
              </w:r>
            </w:p>
            <w:p w14:paraId="564A879B" w14:textId="77777777" w:rsidR="00E83F6E" w:rsidRDefault="00E83F6E" w:rsidP="00E83F6E">
              <w:pPr>
                <w:pStyle w:val="Bibliography"/>
                <w:rPr>
                  <w:noProof/>
                </w:rPr>
              </w:pPr>
              <w:r>
                <w:rPr>
                  <w:noProof/>
                </w:rPr>
                <w:t xml:space="preserve">Masters, J. &amp; Price, A., 2019. </w:t>
              </w:r>
              <w:r>
                <w:rPr>
                  <w:i/>
                  <w:iCs/>
                  <w:noProof/>
                </w:rPr>
                <w:t xml:space="preserve">Is renting really dead money? Changing the narrative around rent vs buy. </w:t>
              </w:r>
              <w:r>
                <w:rPr>
                  <w:noProof/>
                </w:rPr>
                <w:t xml:space="preserve">[Online] </w:t>
              </w:r>
              <w:r>
                <w:rPr>
                  <w:noProof/>
                </w:rPr>
                <w:br/>
                <w:t xml:space="preserve">Available at: </w:t>
              </w:r>
              <w:r>
                <w:rPr>
                  <w:noProof/>
                  <w:u w:val="single"/>
                </w:rPr>
                <w:t>https://www.ey.com/en_au/economics/housing-affordability</w:t>
              </w:r>
              <w:r>
                <w:rPr>
                  <w:noProof/>
                </w:rPr>
                <w:br/>
                <w:t>[Accessed 23 January 2020].</w:t>
              </w:r>
            </w:p>
            <w:p w14:paraId="044134CE" w14:textId="77777777" w:rsidR="00E83F6E" w:rsidRDefault="00E83F6E" w:rsidP="00E83F6E">
              <w:pPr>
                <w:pStyle w:val="Bibliography"/>
                <w:rPr>
                  <w:noProof/>
                </w:rPr>
              </w:pPr>
              <w:r>
                <w:rPr>
                  <w:noProof/>
                </w:rPr>
                <w:t xml:space="preserve">Mather, J., 2020. </w:t>
              </w:r>
              <w:r>
                <w:rPr>
                  <w:i/>
                  <w:iCs/>
                  <w:noProof/>
                </w:rPr>
                <w:t xml:space="preserve">Panicked super savers flee to cash. </w:t>
              </w:r>
              <w:r>
                <w:rPr>
                  <w:noProof/>
                </w:rPr>
                <w:t xml:space="preserve">[Online] </w:t>
              </w:r>
              <w:r>
                <w:rPr>
                  <w:noProof/>
                </w:rPr>
                <w:br/>
                <w:t xml:space="preserve">Available at: </w:t>
              </w:r>
              <w:r>
                <w:rPr>
                  <w:noProof/>
                  <w:u w:val="single"/>
                </w:rPr>
                <w:t>https://www.afr.com/policy/economy/panicked-super-savers-flee-to-cash-20200313-p549qo</w:t>
              </w:r>
              <w:r>
                <w:rPr>
                  <w:noProof/>
                </w:rPr>
                <w:br/>
                <w:t>[Accessed 2 March 2020].</w:t>
              </w:r>
            </w:p>
            <w:p w14:paraId="5493811A" w14:textId="77777777" w:rsidR="00E83F6E" w:rsidRDefault="00E83F6E" w:rsidP="00E83F6E">
              <w:pPr>
                <w:pStyle w:val="Bibliography"/>
                <w:rPr>
                  <w:noProof/>
                </w:rPr>
              </w:pPr>
              <w:r>
                <w:rPr>
                  <w:noProof/>
                </w:rPr>
                <w:t xml:space="preserve">McCallum, J., Hosking, D. &amp; Rahn, A., 2019. </w:t>
              </w:r>
              <w:r>
                <w:rPr>
                  <w:i/>
                  <w:iCs/>
                  <w:noProof/>
                </w:rPr>
                <w:t xml:space="preserve">Feeling financially comfortable? What retirees say, </w:t>
              </w:r>
              <w:r>
                <w:rPr>
                  <w:noProof/>
                </w:rPr>
                <w:t>Brisbane: National Seniors.</w:t>
              </w:r>
            </w:p>
            <w:p w14:paraId="39CC9A1D" w14:textId="77777777" w:rsidR="00E83F6E" w:rsidRDefault="00E83F6E" w:rsidP="00E83F6E">
              <w:pPr>
                <w:pStyle w:val="Bibliography"/>
                <w:rPr>
                  <w:noProof/>
                </w:rPr>
              </w:pPr>
              <w:r>
                <w:rPr>
                  <w:noProof/>
                </w:rPr>
                <w:t xml:space="preserve">McCallum, J. &amp; Rees, K., 2018. </w:t>
              </w:r>
              <w:r>
                <w:rPr>
                  <w:i/>
                  <w:iCs/>
                  <w:noProof/>
                </w:rPr>
                <w:t xml:space="preserve">Respect for age: Going, going or gone? Views of Older Australians, </w:t>
              </w:r>
              <w:r>
                <w:rPr>
                  <w:noProof/>
                </w:rPr>
                <w:t>Brisbane: National Seniors.</w:t>
              </w:r>
            </w:p>
            <w:p w14:paraId="794111F0" w14:textId="77777777" w:rsidR="00E83F6E" w:rsidRDefault="00E83F6E" w:rsidP="00E83F6E">
              <w:pPr>
                <w:pStyle w:val="Bibliography"/>
                <w:rPr>
                  <w:noProof/>
                </w:rPr>
              </w:pPr>
              <w:r>
                <w:rPr>
                  <w:noProof/>
                </w:rPr>
                <w:t xml:space="preserve">McKenzie, C. R. &amp; Liersch, M. J., 2011. Misunderstanding savings growth: Implications for retirement savings behavior. </w:t>
              </w:r>
              <w:r>
                <w:rPr>
                  <w:i/>
                  <w:iCs/>
                  <w:noProof/>
                </w:rPr>
                <w:t xml:space="preserve">Journal of Marketing Research, </w:t>
              </w:r>
              <w:r>
                <w:rPr>
                  <w:noProof/>
                </w:rPr>
                <w:t>48(SPL), pp. S1-S13.</w:t>
              </w:r>
            </w:p>
            <w:p w14:paraId="505A285C" w14:textId="77777777" w:rsidR="00E83F6E" w:rsidRDefault="00E83F6E" w:rsidP="00E83F6E">
              <w:pPr>
                <w:pStyle w:val="Bibliography"/>
                <w:rPr>
                  <w:noProof/>
                </w:rPr>
              </w:pPr>
              <w:r>
                <w:rPr>
                  <w:noProof/>
                </w:rPr>
                <w:t xml:space="preserve">ME Bank, 2020. </w:t>
              </w:r>
              <w:r>
                <w:rPr>
                  <w:i/>
                  <w:iCs/>
                  <w:noProof/>
                </w:rPr>
                <w:t xml:space="preserve">Household Financial Comfort Report, </w:t>
              </w:r>
              <w:r>
                <w:rPr>
                  <w:noProof/>
                </w:rPr>
                <w:t>Melbourne: ME Bank.</w:t>
              </w:r>
            </w:p>
            <w:p w14:paraId="2DCB3B26" w14:textId="77777777" w:rsidR="00E83F6E" w:rsidRDefault="00E83F6E" w:rsidP="00E83F6E">
              <w:pPr>
                <w:pStyle w:val="Bibliography"/>
                <w:rPr>
                  <w:noProof/>
                </w:rPr>
              </w:pPr>
              <w:r>
                <w:rPr>
                  <w:noProof/>
                </w:rPr>
                <w:t xml:space="preserve">Melbourne Business School, 2019. </w:t>
              </w:r>
              <w:r>
                <w:rPr>
                  <w:i/>
                  <w:iCs/>
                  <w:noProof/>
                </w:rPr>
                <w:t xml:space="preserve">The Customer Journey through Retirement Planning: Mapping the Complexity of the Australian Retirement Planning Ecosystem, </w:t>
              </w:r>
              <w:r>
                <w:rPr>
                  <w:noProof/>
                </w:rPr>
                <w:t>Melbourne: University of Melbourne.</w:t>
              </w:r>
            </w:p>
            <w:p w14:paraId="68A8DF98" w14:textId="77777777" w:rsidR="00E83F6E" w:rsidRDefault="00E83F6E" w:rsidP="00E83F6E">
              <w:pPr>
                <w:pStyle w:val="Bibliography"/>
                <w:rPr>
                  <w:noProof/>
                </w:rPr>
              </w:pPr>
              <w:r>
                <w:rPr>
                  <w:noProof/>
                </w:rPr>
                <w:t xml:space="preserve">Melbourne Institute, 2019. </w:t>
              </w:r>
              <w:r>
                <w:rPr>
                  <w:i/>
                  <w:iCs/>
                  <w:noProof/>
                </w:rPr>
                <w:t xml:space="preserve">Poverty Lines: Australia - December Quarter 2019, </w:t>
              </w:r>
              <w:r>
                <w:rPr>
                  <w:noProof/>
                </w:rPr>
                <w:t>Melbourne: Melbourne Institute of Applied Economic and Social Research.</w:t>
              </w:r>
            </w:p>
            <w:p w14:paraId="3196AC4D" w14:textId="77777777" w:rsidR="00E83F6E" w:rsidRDefault="00E83F6E" w:rsidP="00E83F6E">
              <w:pPr>
                <w:pStyle w:val="Bibliography"/>
                <w:rPr>
                  <w:noProof/>
                </w:rPr>
              </w:pPr>
              <w:r>
                <w:rPr>
                  <w:noProof/>
                </w:rPr>
                <w:t xml:space="preserve">Melguizo, Á. &amp; González-Páramo, J., 2013. Who bears labour taxes and social contributions? A meta-analysis approach. </w:t>
              </w:r>
              <w:r>
                <w:rPr>
                  <w:i/>
                  <w:iCs/>
                  <w:noProof/>
                </w:rPr>
                <w:t xml:space="preserve">SERIEs: Journal of the Spanish Economic Association, </w:t>
              </w:r>
              <w:r>
                <w:rPr>
                  <w:noProof/>
                </w:rPr>
                <w:t>4(3), pp. 247-271.</w:t>
              </w:r>
            </w:p>
            <w:p w14:paraId="7C5CD6E4" w14:textId="77777777" w:rsidR="00E83F6E" w:rsidRDefault="00E83F6E" w:rsidP="00E83F6E">
              <w:pPr>
                <w:pStyle w:val="Bibliography"/>
                <w:rPr>
                  <w:noProof/>
                </w:rPr>
              </w:pPr>
              <w:r>
                <w:rPr>
                  <w:noProof/>
                </w:rPr>
                <w:t xml:space="preserve">Mercer, 2014. </w:t>
              </w:r>
              <w:r>
                <w:rPr>
                  <w:i/>
                  <w:iCs/>
                  <w:noProof/>
                </w:rPr>
                <w:t xml:space="preserve">Post-retirement market trends in Australia, June 2014, </w:t>
              </w:r>
              <w:r>
                <w:rPr>
                  <w:noProof/>
                </w:rPr>
                <w:t>s.l.: Mercer.</w:t>
              </w:r>
            </w:p>
            <w:p w14:paraId="10ACEFA1" w14:textId="77777777" w:rsidR="00E83F6E" w:rsidRDefault="00E83F6E" w:rsidP="00E83F6E">
              <w:pPr>
                <w:pStyle w:val="Bibliography"/>
                <w:rPr>
                  <w:noProof/>
                </w:rPr>
              </w:pPr>
              <w:r>
                <w:rPr>
                  <w:noProof/>
                </w:rPr>
                <w:t xml:space="preserve">Mercer, 2017. </w:t>
              </w:r>
              <w:r>
                <w:rPr>
                  <w:i/>
                  <w:iCs/>
                  <w:noProof/>
                </w:rPr>
                <w:t xml:space="preserve">How Mercer LifetimePlus works. </w:t>
              </w:r>
              <w:r>
                <w:rPr>
                  <w:noProof/>
                </w:rPr>
                <w:t xml:space="preserve">[Online] </w:t>
              </w:r>
              <w:r>
                <w:rPr>
                  <w:noProof/>
                </w:rPr>
                <w:br/>
                <w:t xml:space="preserve">Available at: </w:t>
              </w:r>
              <w:r>
                <w:rPr>
                  <w:noProof/>
                  <w:u w:val="single"/>
                </w:rPr>
                <w:t>https://www.mercer.com.au/our-thinking/mercer-lifetimeplus/how-it-works.html</w:t>
              </w:r>
              <w:r>
                <w:rPr>
                  <w:noProof/>
                </w:rPr>
                <w:br/>
                <w:t>[Accessed 19 June 2020].</w:t>
              </w:r>
            </w:p>
            <w:p w14:paraId="55719E45" w14:textId="77777777" w:rsidR="00E83F6E" w:rsidRDefault="00E83F6E" w:rsidP="00E83F6E">
              <w:pPr>
                <w:pStyle w:val="Bibliography"/>
                <w:rPr>
                  <w:noProof/>
                </w:rPr>
              </w:pPr>
              <w:r>
                <w:rPr>
                  <w:noProof/>
                </w:rPr>
                <w:t xml:space="preserve">Mercer, 2019a. </w:t>
              </w:r>
              <w:r>
                <w:rPr>
                  <w:i/>
                  <w:iCs/>
                  <w:noProof/>
                </w:rPr>
                <w:t xml:space="preserve">Great Expectations – Attitudes and Behaviours amongst Australian Retirees, </w:t>
              </w:r>
              <w:r>
                <w:rPr>
                  <w:noProof/>
                </w:rPr>
                <w:t>s.l.: Mercer.</w:t>
              </w:r>
            </w:p>
            <w:p w14:paraId="02D1B268" w14:textId="77777777" w:rsidR="00E83F6E" w:rsidRDefault="00E83F6E" w:rsidP="00E83F6E">
              <w:pPr>
                <w:pStyle w:val="Bibliography"/>
                <w:rPr>
                  <w:noProof/>
                </w:rPr>
              </w:pPr>
              <w:r>
                <w:rPr>
                  <w:noProof/>
                </w:rPr>
                <w:t xml:space="preserve">Mercer, 2019b. </w:t>
              </w:r>
              <w:r>
                <w:rPr>
                  <w:i/>
                  <w:iCs/>
                  <w:noProof/>
                </w:rPr>
                <w:t xml:space="preserve">Melbourne Mercer Global Pension Index, </w:t>
              </w:r>
              <w:r>
                <w:rPr>
                  <w:noProof/>
                </w:rPr>
                <w:t>Melbourne: Monash Centre for Financial Studies, Monash University.</w:t>
              </w:r>
            </w:p>
            <w:p w14:paraId="41B6047E" w14:textId="77777777" w:rsidR="00E83F6E" w:rsidRDefault="00E83F6E" w:rsidP="00E83F6E">
              <w:pPr>
                <w:pStyle w:val="Bibliography"/>
                <w:rPr>
                  <w:noProof/>
                </w:rPr>
              </w:pPr>
              <w:r>
                <w:rPr>
                  <w:noProof/>
                </w:rPr>
                <w:t xml:space="preserve">Mercer,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7ED71EE7" w14:textId="77777777" w:rsidR="00E83F6E" w:rsidRDefault="00E83F6E" w:rsidP="00E83F6E">
              <w:pPr>
                <w:pStyle w:val="Bibliography"/>
                <w:rPr>
                  <w:noProof/>
                </w:rPr>
              </w:pPr>
              <w:r>
                <w:rPr>
                  <w:noProof/>
                </w:rPr>
                <w:t xml:space="preserve">Millane, E., 2020. </w:t>
              </w:r>
              <w:r>
                <w:rPr>
                  <w:i/>
                  <w:iCs/>
                  <w:noProof/>
                </w:rPr>
                <w:t xml:space="preserve">The Ghost of National Superannuation, </w:t>
              </w:r>
              <w:r>
                <w:rPr>
                  <w:noProof/>
                </w:rPr>
                <w:t>PhD thesis, Canberra: Australian National University.</w:t>
              </w:r>
            </w:p>
            <w:p w14:paraId="1DC97F8D" w14:textId="77777777" w:rsidR="00E83F6E" w:rsidRDefault="00E83F6E" w:rsidP="00E83F6E">
              <w:pPr>
                <w:pStyle w:val="Bibliography"/>
                <w:rPr>
                  <w:noProof/>
                </w:rPr>
              </w:pPr>
              <w:r>
                <w:rPr>
                  <w:noProof/>
                </w:rPr>
                <w:t xml:space="preserve">Minifie, J., 2016. </w:t>
              </w:r>
              <w:r>
                <w:rPr>
                  <w:i/>
                  <w:iCs/>
                  <w:noProof/>
                </w:rPr>
                <w:t xml:space="preserve">Peer-to-peer pressure: Policy for the sharing economy, </w:t>
              </w:r>
              <w:r>
                <w:rPr>
                  <w:noProof/>
                </w:rPr>
                <w:t>Melbourne: Grattan Institute.</w:t>
              </w:r>
            </w:p>
            <w:p w14:paraId="562F12F9" w14:textId="77777777" w:rsidR="00E83F6E" w:rsidRDefault="00E83F6E" w:rsidP="00E83F6E">
              <w:pPr>
                <w:pStyle w:val="Bibliography"/>
                <w:rPr>
                  <w:noProof/>
                </w:rPr>
              </w:pPr>
              <w:r>
                <w:rPr>
                  <w:noProof/>
                </w:rPr>
                <w:t xml:space="preserve">Minifie, J., Cameron, T. &amp; Savage, J., 2014. </w:t>
              </w:r>
              <w:r>
                <w:rPr>
                  <w:i/>
                  <w:iCs/>
                  <w:noProof/>
                </w:rPr>
                <w:t xml:space="preserve">Super Sting: how to stop Australian's paying too much for superannuation, </w:t>
              </w:r>
              <w:r>
                <w:rPr>
                  <w:noProof/>
                </w:rPr>
                <w:t>Melbourne: Grattan Institute.</w:t>
              </w:r>
            </w:p>
            <w:p w14:paraId="66F7B09F" w14:textId="77777777" w:rsidR="00E83F6E" w:rsidRDefault="00E83F6E" w:rsidP="00E83F6E">
              <w:pPr>
                <w:pStyle w:val="Bibliography"/>
                <w:rPr>
                  <w:noProof/>
                </w:rPr>
              </w:pPr>
              <w:r>
                <w:rPr>
                  <w:noProof/>
                </w:rPr>
                <w:t xml:space="preserve">Minifie, J., Savage, J. &amp; Cameron, T., 2015. </w:t>
              </w:r>
              <w:r>
                <w:rPr>
                  <w:i/>
                  <w:iCs/>
                  <w:noProof/>
                </w:rPr>
                <w:t xml:space="preserve">Super savings, </w:t>
              </w:r>
              <w:r>
                <w:rPr>
                  <w:noProof/>
                </w:rPr>
                <w:t>Melbourne: Grattan Institute.</w:t>
              </w:r>
            </w:p>
            <w:p w14:paraId="473FBF9E" w14:textId="77777777" w:rsidR="00E83F6E" w:rsidRDefault="00E83F6E" w:rsidP="00E83F6E">
              <w:pPr>
                <w:pStyle w:val="Bibliography"/>
                <w:rPr>
                  <w:noProof/>
                </w:rPr>
              </w:pPr>
              <w:r>
                <w:rPr>
                  <w:noProof/>
                </w:rPr>
                <w:t xml:space="preserve">Mirrlees, J. et al., 2011. </w:t>
              </w:r>
              <w:r>
                <w:rPr>
                  <w:i/>
                  <w:iCs/>
                  <w:noProof/>
                </w:rPr>
                <w:t xml:space="preserve">Tax by Design, </w:t>
              </w:r>
              <w:r>
                <w:rPr>
                  <w:noProof/>
                </w:rPr>
                <w:t>London: Institute of Fiscal Studies.</w:t>
              </w:r>
            </w:p>
            <w:p w14:paraId="73A6F3E6" w14:textId="77777777" w:rsidR="00E83F6E" w:rsidRDefault="00E83F6E" w:rsidP="00E83F6E">
              <w:pPr>
                <w:pStyle w:val="Bibliography"/>
                <w:rPr>
                  <w:noProof/>
                </w:rPr>
              </w:pPr>
              <w:r>
                <w:rPr>
                  <w:noProof/>
                </w:rPr>
                <w:t xml:space="preserve">Mission Australia,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66E7C726" w14:textId="77777777" w:rsidR="00E83F6E" w:rsidRDefault="00E83F6E" w:rsidP="00E83F6E">
              <w:pPr>
                <w:pStyle w:val="Bibliography"/>
                <w:rPr>
                  <w:noProof/>
                </w:rPr>
              </w:pPr>
              <w:r>
                <w:rPr>
                  <w:noProof/>
                </w:rPr>
                <w:t xml:space="preserve">MLC Wealth, 2020. </w:t>
              </w:r>
              <w:r>
                <w:rPr>
                  <w:i/>
                  <w:iCs/>
                  <w:noProof/>
                </w:rPr>
                <w:t xml:space="preserve">Submission to the Retirement Income Review. </w:t>
              </w:r>
              <w:r>
                <w:rPr>
                  <w:noProof/>
                </w:rPr>
                <w:t xml:space="preserve">[Online] </w:t>
              </w:r>
              <w:r>
                <w:rPr>
                  <w:noProof/>
                </w:rPr>
                <w:br/>
                <w:t xml:space="preserve">Available at: </w:t>
              </w:r>
              <w:r>
                <w:rPr>
                  <w:noProof/>
                  <w:u w:val="single"/>
                </w:rPr>
                <w:t>https://treasury.gov.au/consultation/c2019-36292/submissions</w:t>
              </w:r>
            </w:p>
            <w:p w14:paraId="64CFDBBD" w14:textId="77777777" w:rsidR="00E83F6E" w:rsidRDefault="00E83F6E" w:rsidP="00E83F6E">
              <w:pPr>
                <w:pStyle w:val="Bibliography"/>
                <w:rPr>
                  <w:noProof/>
                </w:rPr>
              </w:pPr>
              <w:r>
                <w:rPr>
                  <w:noProof/>
                </w:rPr>
                <w:t xml:space="preserve">Monash Centre for Financial Studies,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152DC0D2" w14:textId="77777777" w:rsidR="00E83F6E" w:rsidRDefault="00E83F6E" w:rsidP="00E83F6E">
              <w:pPr>
                <w:pStyle w:val="Bibliography"/>
                <w:rPr>
                  <w:noProof/>
                </w:rPr>
              </w:pPr>
              <w:r>
                <w:rPr>
                  <w:noProof/>
                </w:rPr>
                <w:t xml:space="preserve">Moneysmart, 2020. </w:t>
              </w:r>
              <w:r>
                <w:rPr>
                  <w:i/>
                  <w:iCs/>
                  <w:noProof/>
                </w:rPr>
                <w:t xml:space="preserve">Reverse mortgage and home equity release. </w:t>
              </w:r>
              <w:r>
                <w:rPr>
                  <w:noProof/>
                </w:rPr>
                <w:t xml:space="preserve">[Online] </w:t>
              </w:r>
              <w:r>
                <w:rPr>
                  <w:noProof/>
                </w:rPr>
                <w:br/>
                <w:t xml:space="preserve">Available at: </w:t>
              </w:r>
              <w:r>
                <w:rPr>
                  <w:noProof/>
                  <w:u w:val="single"/>
                </w:rPr>
                <w:t>https://moneysmart.gov.au/retirement-income/reverse-mortgage-and-home-equity-release</w:t>
              </w:r>
              <w:r>
                <w:rPr>
                  <w:noProof/>
                </w:rPr>
                <w:br/>
                <w:t>[Accessed 29 May 2020].</w:t>
              </w:r>
            </w:p>
            <w:p w14:paraId="174B05FE" w14:textId="77777777" w:rsidR="00E83F6E" w:rsidRDefault="00E83F6E" w:rsidP="00E83F6E">
              <w:pPr>
                <w:pStyle w:val="Bibliography"/>
                <w:rPr>
                  <w:noProof/>
                </w:rPr>
              </w:pPr>
              <w:r>
                <w:rPr>
                  <w:noProof/>
                </w:rPr>
                <w:t xml:space="preserve">Munnell, A., Webb, A. &amp; Golub-Sass, F., 2007. Is There Really a Retirement Savings Crisis? An NRRI Analysis. </w:t>
              </w:r>
              <w:r>
                <w:rPr>
                  <w:i/>
                  <w:iCs/>
                  <w:noProof/>
                </w:rPr>
                <w:t xml:space="preserve">Centre for Retirement Research, </w:t>
              </w:r>
              <w:r>
                <w:rPr>
                  <w:noProof/>
                </w:rPr>
                <w:t>7(11).</w:t>
              </w:r>
            </w:p>
            <w:p w14:paraId="3431A29D" w14:textId="77777777" w:rsidR="00E83F6E" w:rsidRDefault="00E83F6E" w:rsidP="00E83F6E">
              <w:pPr>
                <w:pStyle w:val="Bibliography"/>
                <w:rPr>
                  <w:noProof/>
                </w:rPr>
              </w:pPr>
              <w:r>
                <w:rPr>
                  <w:noProof/>
                </w:rPr>
                <w:t xml:space="preserve">Murray, C.,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6F38237E" w14:textId="77777777" w:rsidR="00E83F6E" w:rsidRDefault="00E83F6E" w:rsidP="00E83F6E">
              <w:pPr>
                <w:pStyle w:val="Bibliography"/>
                <w:rPr>
                  <w:noProof/>
                </w:rPr>
              </w:pPr>
              <w:r>
                <w:rPr>
                  <w:noProof/>
                </w:rPr>
                <w:t xml:space="preserve">National Commission of Audit, 2014. </w:t>
              </w:r>
              <w:r>
                <w:rPr>
                  <w:i/>
                  <w:iCs/>
                  <w:noProof/>
                </w:rPr>
                <w:t xml:space="preserve">Towards Responsible Government: The Report of the National Commission of Audit, </w:t>
              </w:r>
              <w:r>
                <w:rPr>
                  <w:noProof/>
                </w:rPr>
                <w:t>Canberra: National Commission of Audit.</w:t>
              </w:r>
            </w:p>
            <w:p w14:paraId="57B69D65" w14:textId="77777777" w:rsidR="00E83F6E" w:rsidRDefault="00E83F6E" w:rsidP="00E83F6E">
              <w:pPr>
                <w:pStyle w:val="Bibliography"/>
                <w:rPr>
                  <w:noProof/>
                </w:rPr>
              </w:pPr>
              <w:r>
                <w:rPr>
                  <w:noProof/>
                </w:rPr>
                <w:t xml:space="preserve">National Federation of Blind Citizens of Australia, 1996. Rumours scare blind pensioners. </w:t>
              </w:r>
              <w:r>
                <w:rPr>
                  <w:i/>
                  <w:iCs/>
                  <w:noProof/>
                </w:rPr>
                <w:t>National Federation of Blind Citizens of Australia Press Release.</w:t>
              </w:r>
            </w:p>
            <w:p w14:paraId="13C11904" w14:textId="77777777" w:rsidR="00E83F6E" w:rsidRDefault="00E83F6E" w:rsidP="00E83F6E">
              <w:pPr>
                <w:pStyle w:val="Bibliography"/>
                <w:rPr>
                  <w:noProof/>
                </w:rPr>
              </w:pPr>
              <w:r>
                <w:rPr>
                  <w:noProof/>
                </w:rPr>
                <w:t xml:space="preserve">National Indigenous Australians Agency, 2020. </w:t>
              </w:r>
              <w:r>
                <w:rPr>
                  <w:i/>
                  <w:iCs/>
                  <w:noProof/>
                </w:rPr>
                <w:t xml:space="preserve">The Community Development Program (CDP). </w:t>
              </w:r>
              <w:r>
                <w:rPr>
                  <w:noProof/>
                </w:rPr>
                <w:t xml:space="preserve">[Online] </w:t>
              </w:r>
              <w:r>
                <w:rPr>
                  <w:noProof/>
                </w:rPr>
                <w:br/>
                <w:t xml:space="preserve">Available at: </w:t>
              </w:r>
              <w:r>
                <w:rPr>
                  <w:noProof/>
                  <w:u w:val="single"/>
                </w:rPr>
                <w:t>https://www.niaa.gov.au/indigenous-affairs/employment/cdp</w:t>
              </w:r>
              <w:r>
                <w:rPr>
                  <w:noProof/>
                </w:rPr>
                <w:br/>
                <w:t>[Accessed 30 June 2020].</w:t>
              </w:r>
            </w:p>
            <w:p w14:paraId="71E96273" w14:textId="77777777" w:rsidR="00E83F6E" w:rsidRDefault="00E83F6E" w:rsidP="00E83F6E">
              <w:pPr>
                <w:pStyle w:val="Bibliography"/>
                <w:rPr>
                  <w:noProof/>
                </w:rPr>
              </w:pPr>
              <w:r>
                <w:rPr>
                  <w:noProof/>
                </w:rPr>
                <w:t xml:space="preserve">National Seniors and Challenger, 2018. </w:t>
              </w:r>
              <w:r>
                <w:rPr>
                  <w:i/>
                  <w:iCs/>
                  <w:noProof/>
                </w:rPr>
                <w:t xml:space="preserve">Once bitten twice shy: GFC concerns linger for Australian seniors, </w:t>
              </w:r>
              <w:r>
                <w:rPr>
                  <w:noProof/>
                </w:rPr>
                <w:t>Brisbane: National Seniors.</w:t>
              </w:r>
            </w:p>
            <w:p w14:paraId="2172D83B" w14:textId="77777777" w:rsidR="00E83F6E" w:rsidRDefault="00E83F6E" w:rsidP="00E83F6E">
              <w:pPr>
                <w:pStyle w:val="Bibliography"/>
                <w:rPr>
                  <w:noProof/>
                </w:rPr>
              </w:pPr>
              <w:r>
                <w:rPr>
                  <w:noProof/>
                </w:rPr>
                <w:t xml:space="preserve">National Seniors Australia and Challenger, 2017. </w:t>
              </w:r>
              <w:r>
                <w:rPr>
                  <w:i/>
                  <w:iCs/>
                  <w:noProof/>
                </w:rPr>
                <w:t xml:space="preserve">Seniors more savvy about retirement income, </w:t>
              </w:r>
              <w:r>
                <w:rPr>
                  <w:noProof/>
                </w:rPr>
                <w:t>Brisbane: National Seniors Australia.</w:t>
              </w:r>
            </w:p>
            <w:p w14:paraId="4DDE0C0D" w14:textId="77777777" w:rsidR="00E83F6E" w:rsidRDefault="00E83F6E" w:rsidP="00E83F6E">
              <w:pPr>
                <w:pStyle w:val="Bibliography"/>
                <w:rPr>
                  <w:noProof/>
                </w:rPr>
              </w:pPr>
              <w:r>
                <w:rPr>
                  <w:noProof/>
                </w:rPr>
                <w:t xml:space="preserve">National Seniors Australia,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5A81268A" w14:textId="77777777" w:rsidR="00E83F6E" w:rsidRDefault="00E83F6E" w:rsidP="00E83F6E">
              <w:pPr>
                <w:pStyle w:val="Bibliography"/>
                <w:rPr>
                  <w:noProof/>
                </w:rPr>
              </w:pPr>
              <w:r>
                <w:rPr>
                  <w:noProof/>
                </w:rPr>
                <w:t xml:space="preserve">Negro, M. D., Giannone, D., Giannoni, M. P. &amp; Tambalotti, A., 2018. </w:t>
              </w:r>
              <w:r>
                <w:rPr>
                  <w:i/>
                  <w:iCs/>
                  <w:noProof/>
                </w:rPr>
                <w:t xml:space="preserve">Global Trends in Interest Rates, </w:t>
              </w:r>
              <w:r>
                <w:rPr>
                  <w:noProof/>
                </w:rPr>
                <w:t>Staff Reports 866, New York: Federal Reserve Bank of New York.</w:t>
              </w:r>
            </w:p>
            <w:p w14:paraId="27B0517A" w14:textId="77777777" w:rsidR="00E83F6E" w:rsidRDefault="00E83F6E" w:rsidP="00E83F6E">
              <w:pPr>
                <w:pStyle w:val="Bibliography"/>
                <w:rPr>
                  <w:noProof/>
                </w:rPr>
              </w:pPr>
              <w:r>
                <w:rPr>
                  <w:noProof/>
                </w:rPr>
                <w:t xml:space="preserve">Nepal, B., Brown, L., Ranmuthugala, G. &amp; Percival, R., 2008. </w:t>
              </w:r>
              <w:r>
                <w:rPr>
                  <w:i/>
                  <w:iCs/>
                  <w:noProof/>
                </w:rPr>
                <w:t xml:space="preserve">Women Carers in Financial Stress Report: Lifetime health and economic consequences of caring, modelling health and economic prospects of female carers in Australia, </w:t>
              </w:r>
              <w:r>
                <w:rPr>
                  <w:noProof/>
                </w:rPr>
                <w:t>Canberra: National Centre for Social and Economic Modelling, University of Canberra.</w:t>
              </w:r>
            </w:p>
            <w:p w14:paraId="32328AE4" w14:textId="77777777" w:rsidR="00E83F6E" w:rsidRDefault="00E83F6E" w:rsidP="00E83F6E">
              <w:pPr>
                <w:pStyle w:val="Bibliography"/>
                <w:rPr>
                  <w:noProof/>
                </w:rPr>
              </w:pPr>
              <w:r>
                <w:rPr>
                  <w:noProof/>
                </w:rPr>
                <w:t xml:space="preserve">Nielson, L. &amp; Harris, B., 2010. </w:t>
              </w:r>
              <w:r>
                <w:rPr>
                  <w:i/>
                  <w:iCs/>
                  <w:noProof/>
                </w:rPr>
                <w:t xml:space="preserve">Chronology of superannuation and retirement income in Australia. </w:t>
              </w:r>
              <w:r>
                <w:rPr>
                  <w:noProof/>
                </w:rPr>
                <w:t xml:space="preserve">[Online] </w:t>
              </w:r>
              <w:r>
                <w:rPr>
                  <w:noProof/>
                </w:rPr>
                <w:br/>
                <w:t xml:space="preserve">Available at: </w:t>
              </w:r>
              <w:r>
                <w:rPr>
                  <w:noProof/>
                  <w:u w:val="single"/>
                </w:rPr>
                <w:t>https://www.aph.gov.au/About_Parliament/Parliamentary_Departments/Parliamentary_Library/pubs/BN/0910/ChronSuperannuation</w:t>
              </w:r>
              <w:r>
                <w:rPr>
                  <w:noProof/>
                </w:rPr>
                <w:br/>
                <w:t>[Accessed 9 June 2020].</w:t>
              </w:r>
            </w:p>
            <w:p w14:paraId="580710F0" w14:textId="77777777" w:rsidR="00E83F6E" w:rsidRDefault="00E83F6E" w:rsidP="00E83F6E">
              <w:pPr>
                <w:pStyle w:val="Bibliography"/>
                <w:rPr>
                  <w:noProof/>
                </w:rPr>
              </w:pPr>
              <w:r>
                <w:rPr>
                  <w:noProof/>
                </w:rPr>
                <w:t xml:space="preserve">Nolan, J., Mackey, W. &amp; Coates, B., 2019. </w:t>
              </w:r>
              <w:r>
                <w:rPr>
                  <w:i/>
                  <w:iCs/>
                  <w:noProof/>
                </w:rPr>
                <w:t xml:space="preserve">McKell makes unsupportable claims about superannuation and wages. </w:t>
              </w:r>
              <w:r>
                <w:rPr>
                  <w:noProof/>
                </w:rPr>
                <w:t xml:space="preserve">[Online] </w:t>
              </w:r>
              <w:r>
                <w:rPr>
                  <w:noProof/>
                </w:rPr>
                <w:br/>
                <w:t xml:space="preserve">Available at: </w:t>
              </w:r>
              <w:r>
                <w:rPr>
                  <w:noProof/>
                  <w:u w:val="single"/>
                </w:rPr>
                <w:t>https://blog.grattan.edu.au/2019/09/mckell-makes-unsupportable-claims-about-superannuation-and-wages/</w:t>
              </w:r>
              <w:r>
                <w:rPr>
                  <w:noProof/>
                </w:rPr>
                <w:br/>
                <w:t>[Accessed 16 March 2020].</w:t>
              </w:r>
            </w:p>
            <w:p w14:paraId="2221A54D" w14:textId="77777777" w:rsidR="00E83F6E" w:rsidRDefault="00E83F6E" w:rsidP="00E83F6E">
              <w:pPr>
                <w:pStyle w:val="Bibliography"/>
                <w:rPr>
                  <w:noProof/>
                </w:rPr>
              </w:pPr>
              <w:r>
                <w:rPr>
                  <w:noProof/>
                </w:rPr>
                <w:t xml:space="preserve">OECD, 2013. </w:t>
              </w:r>
              <w:r>
                <w:rPr>
                  <w:i/>
                  <w:iCs/>
                  <w:noProof/>
                </w:rPr>
                <w:t xml:space="preserve">Pensions at a Glance 2013: OECD and G20 Indicators, </w:t>
              </w:r>
              <w:r>
                <w:rPr>
                  <w:noProof/>
                </w:rPr>
                <w:t>Paris: OECD Publishing.</w:t>
              </w:r>
            </w:p>
            <w:p w14:paraId="7FCF33D7" w14:textId="77777777" w:rsidR="00E83F6E" w:rsidRDefault="00E83F6E" w:rsidP="00E83F6E">
              <w:pPr>
                <w:pStyle w:val="Bibliography"/>
                <w:rPr>
                  <w:noProof/>
                </w:rPr>
              </w:pPr>
              <w:r>
                <w:rPr>
                  <w:noProof/>
                </w:rPr>
                <w:t xml:space="preserve">OECD, 2015. </w:t>
              </w:r>
              <w:r>
                <w:rPr>
                  <w:i/>
                  <w:iCs/>
                  <w:noProof/>
                </w:rPr>
                <w:t xml:space="preserve">Pensions at a Glance 2015: OECD and G20 Indicators, </w:t>
              </w:r>
              <w:r>
                <w:rPr>
                  <w:noProof/>
                </w:rPr>
                <w:t>Paris: OECD Publishing.</w:t>
              </w:r>
            </w:p>
            <w:p w14:paraId="4B04BA23" w14:textId="77777777" w:rsidR="00E83F6E" w:rsidRDefault="00E83F6E" w:rsidP="00E83F6E">
              <w:pPr>
                <w:pStyle w:val="Bibliography"/>
                <w:rPr>
                  <w:noProof/>
                </w:rPr>
              </w:pPr>
              <w:r>
                <w:rPr>
                  <w:noProof/>
                </w:rPr>
                <w:t xml:space="preserve">OECD, 2018a. </w:t>
              </w:r>
              <w:r>
                <w:rPr>
                  <w:i/>
                  <w:iCs/>
                  <w:noProof/>
                </w:rPr>
                <w:t xml:space="preserve">OECD Pensions Outlook 2018, </w:t>
              </w:r>
              <w:r>
                <w:rPr>
                  <w:noProof/>
                </w:rPr>
                <w:t>Paris: OECD Publishing.</w:t>
              </w:r>
            </w:p>
            <w:p w14:paraId="0F65B473" w14:textId="77777777" w:rsidR="00E83F6E" w:rsidRDefault="00E83F6E" w:rsidP="00E83F6E">
              <w:pPr>
                <w:pStyle w:val="Bibliography"/>
                <w:rPr>
                  <w:noProof/>
                </w:rPr>
              </w:pPr>
              <w:r>
                <w:rPr>
                  <w:noProof/>
                </w:rPr>
                <w:t xml:space="preserve">OECD, 2018b. </w:t>
              </w:r>
              <w:r>
                <w:rPr>
                  <w:i/>
                  <w:iCs/>
                  <w:noProof/>
                </w:rPr>
                <w:t xml:space="preserve">Taxation of Household Savings, </w:t>
              </w:r>
              <w:r>
                <w:rPr>
                  <w:noProof/>
                </w:rPr>
                <w:t>OECD Tax Policy Studies, No. 25, Paris: OECD Publishing.</w:t>
              </w:r>
            </w:p>
            <w:p w14:paraId="4BC84A30" w14:textId="77777777" w:rsidR="00E83F6E" w:rsidRDefault="00E83F6E" w:rsidP="00E83F6E">
              <w:pPr>
                <w:pStyle w:val="Bibliography"/>
                <w:rPr>
                  <w:noProof/>
                </w:rPr>
              </w:pPr>
              <w:r>
                <w:rPr>
                  <w:noProof/>
                </w:rPr>
                <w:t xml:space="preserve">OECD, 2019a. </w:t>
              </w:r>
              <w:r>
                <w:rPr>
                  <w:i/>
                  <w:iCs/>
                  <w:noProof/>
                </w:rPr>
                <w:t xml:space="preserve">Ageing and Employment Policies - Statistics on average effective age of retirement. </w:t>
              </w:r>
              <w:r>
                <w:rPr>
                  <w:noProof/>
                </w:rPr>
                <w:t xml:space="preserve">[Online] </w:t>
              </w:r>
              <w:r>
                <w:rPr>
                  <w:noProof/>
                </w:rPr>
                <w:br/>
                <w:t xml:space="preserve">Available at: </w:t>
              </w:r>
              <w:r>
                <w:rPr>
                  <w:noProof/>
                  <w:u w:val="single"/>
                </w:rPr>
                <w:t>https://www.oecd.org/els/emp/average-effective-age-of-retirement.htm</w:t>
              </w:r>
              <w:r>
                <w:rPr>
                  <w:noProof/>
                </w:rPr>
                <w:br/>
                <w:t>[Accessed 28 May 2020].</w:t>
              </w:r>
            </w:p>
            <w:p w14:paraId="5DD2E5EF" w14:textId="77777777" w:rsidR="00E83F6E" w:rsidRDefault="00E83F6E" w:rsidP="00E83F6E">
              <w:pPr>
                <w:pStyle w:val="Bibliography"/>
                <w:rPr>
                  <w:noProof/>
                </w:rPr>
              </w:pPr>
              <w:r>
                <w:rPr>
                  <w:noProof/>
                </w:rPr>
                <w:t xml:space="preserve">OECD, 2019b. </w:t>
              </w:r>
              <w:r>
                <w:rPr>
                  <w:i/>
                  <w:iCs/>
                  <w:noProof/>
                </w:rPr>
                <w:t xml:space="preserve">Pensions at a Glance 2019: OECD and G20 indicators, </w:t>
              </w:r>
              <w:r>
                <w:rPr>
                  <w:noProof/>
                </w:rPr>
                <w:t>Paris: OECD Publishing.</w:t>
              </w:r>
            </w:p>
            <w:p w14:paraId="7ECBDB23" w14:textId="77777777" w:rsidR="00E83F6E" w:rsidRDefault="00E83F6E" w:rsidP="00E83F6E">
              <w:pPr>
                <w:pStyle w:val="Bibliography"/>
                <w:rPr>
                  <w:noProof/>
                </w:rPr>
              </w:pPr>
              <w:r>
                <w:rPr>
                  <w:noProof/>
                </w:rPr>
                <w:t xml:space="preserve">OECD, 2020a. </w:t>
              </w:r>
              <w:r>
                <w:rPr>
                  <w:i/>
                  <w:iCs/>
                  <w:noProof/>
                </w:rPr>
                <w:t xml:space="preserve">OECD Economic Outlook, June 2020: The world economy on a tightrope, </w:t>
              </w:r>
              <w:r>
                <w:rPr>
                  <w:noProof/>
                </w:rPr>
                <w:t>Paris: OECD Publishing.</w:t>
              </w:r>
            </w:p>
            <w:p w14:paraId="6DA2BB55" w14:textId="77777777" w:rsidR="00E83F6E" w:rsidRDefault="00E83F6E" w:rsidP="00E83F6E">
              <w:pPr>
                <w:pStyle w:val="Bibliography"/>
                <w:rPr>
                  <w:noProof/>
                </w:rPr>
              </w:pPr>
              <w:r>
                <w:rPr>
                  <w:noProof/>
                </w:rPr>
                <w:t xml:space="preserve">OECD, 2020b. </w:t>
              </w:r>
              <w:r>
                <w:rPr>
                  <w:i/>
                  <w:iCs/>
                  <w:noProof/>
                </w:rPr>
                <w:t xml:space="preserve">Revenue Statistics - OECD countries: Comparative tables. </w:t>
              </w:r>
              <w:r>
                <w:rPr>
                  <w:noProof/>
                </w:rPr>
                <w:t xml:space="preserve">[Online] </w:t>
              </w:r>
              <w:r>
                <w:rPr>
                  <w:noProof/>
                </w:rPr>
                <w:br/>
                <w:t xml:space="preserve">Available at: </w:t>
              </w:r>
              <w:r>
                <w:rPr>
                  <w:noProof/>
                  <w:u w:val="single"/>
                </w:rPr>
                <w:t>https://stats.oecd.org/index.aspx?DataSetCode=REV</w:t>
              </w:r>
              <w:r>
                <w:rPr>
                  <w:noProof/>
                </w:rPr>
                <w:br/>
                <w:t>[Accessed 3 July 2020].</w:t>
              </w:r>
            </w:p>
            <w:p w14:paraId="16F9A232" w14:textId="77777777" w:rsidR="00E83F6E" w:rsidRDefault="00E83F6E" w:rsidP="00E83F6E">
              <w:pPr>
                <w:pStyle w:val="Bibliography"/>
                <w:rPr>
                  <w:noProof/>
                </w:rPr>
              </w:pPr>
              <w:r>
                <w:rPr>
                  <w:noProof/>
                </w:rPr>
                <w:t xml:space="preserve">Ong ViforJ, R., 2020. </w:t>
              </w:r>
              <w:r>
                <w:rPr>
                  <w:i/>
                  <w:iCs/>
                  <w:noProof/>
                </w:rPr>
                <w:t xml:space="preserve">Submission the Retirement Income Review. </w:t>
              </w:r>
              <w:r>
                <w:rPr>
                  <w:noProof/>
                </w:rPr>
                <w:t xml:space="preserve">[Online] </w:t>
              </w:r>
              <w:r>
                <w:rPr>
                  <w:noProof/>
                </w:rPr>
                <w:br/>
                <w:t xml:space="preserve">Available at: </w:t>
              </w:r>
              <w:r>
                <w:rPr>
                  <w:noProof/>
                  <w:u w:val="single"/>
                </w:rPr>
                <w:t>https://treasury.gov.au/consultation/c2019-36292/submissions</w:t>
              </w:r>
            </w:p>
            <w:p w14:paraId="01D00473" w14:textId="77777777" w:rsidR="00E83F6E" w:rsidRDefault="00E83F6E" w:rsidP="00E83F6E">
              <w:pPr>
                <w:pStyle w:val="Bibliography"/>
                <w:rPr>
                  <w:noProof/>
                </w:rPr>
              </w:pPr>
              <w:r>
                <w:rPr>
                  <w:noProof/>
                </w:rPr>
                <w:t xml:space="preserve">Ong, R. et al., 2013. </w:t>
              </w:r>
              <w:r>
                <w:rPr>
                  <w:i/>
                  <w:iCs/>
                  <w:noProof/>
                </w:rPr>
                <w:t xml:space="preserve">Housing Equity Withdrawal: Uses, Risks, and Barriers to Alternative Mechanisms in Later Life, </w:t>
              </w:r>
              <w:r>
                <w:rPr>
                  <w:noProof/>
                </w:rPr>
                <w:t>Melbourne: Australian Housing and Urban Research Institute Limited.</w:t>
              </w:r>
            </w:p>
            <w:p w14:paraId="244770AB" w14:textId="77777777" w:rsidR="00E83F6E" w:rsidRDefault="00E83F6E" w:rsidP="00E83F6E">
              <w:pPr>
                <w:pStyle w:val="Bibliography"/>
                <w:rPr>
                  <w:noProof/>
                </w:rPr>
              </w:pPr>
              <w:r>
                <w:rPr>
                  <w:noProof/>
                </w:rPr>
                <w:t xml:space="preserve">Ong, R., Wood, G., Cigdem, M. &amp; Salazar, S., 2019. </w:t>
              </w:r>
              <w:r>
                <w:rPr>
                  <w:i/>
                  <w:iCs/>
                  <w:noProof/>
                </w:rPr>
                <w:t xml:space="preserve">Mortgage stress and precarious home ownership: implications for older Australians, </w:t>
              </w:r>
              <w:r>
                <w:rPr>
                  <w:noProof/>
                </w:rPr>
                <w:t>Melbourne: Australian Housing and Urban Research Institute.</w:t>
              </w:r>
            </w:p>
            <w:p w14:paraId="63BA0F23" w14:textId="77777777" w:rsidR="00E83F6E" w:rsidRDefault="00E83F6E" w:rsidP="00E83F6E">
              <w:pPr>
                <w:pStyle w:val="Bibliography"/>
                <w:rPr>
                  <w:noProof/>
                </w:rPr>
              </w:pPr>
              <w:r>
                <w:rPr>
                  <w:noProof/>
                </w:rPr>
                <w:t xml:space="preserve">Ooijen, R., Alessie, R. &amp; Kalwij, A., 2015. Saving Behavior and Portfolio Choice after Retirement. </w:t>
              </w:r>
              <w:r>
                <w:rPr>
                  <w:i/>
                  <w:iCs/>
                  <w:noProof/>
                </w:rPr>
                <w:t xml:space="preserve">De Economist, </w:t>
              </w:r>
              <w:r>
                <w:rPr>
                  <w:noProof/>
                </w:rPr>
                <w:t>163(3), pp. 353-404.</w:t>
              </w:r>
            </w:p>
            <w:p w14:paraId="73E39956" w14:textId="77777777" w:rsidR="00E83F6E" w:rsidRDefault="00E83F6E" w:rsidP="00E83F6E">
              <w:pPr>
                <w:pStyle w:val="Bibliography"/>
                <w:rPr>
                  <w:noProof/>
                </w:rPr>
              </w:pPr>
              <w:r>
                <w:rPr>
                  <w:noProof/>
                </w:rPr>
                <w:t xml:space="preserve">Orford Initiative, 2019. </w:t>
              </w:r>
              <w:r>
                <w:rPr>
                  <w:i/>
                  <w:iCs/>
                  <w:noProof/>
                </w:rPr>
                <w:t xml:space="preserve">How do people make decisions at retirement about organising their financial affairs?, </w:t>
              </w:r>
              <w:r>
                <w:rPr>
                  <w:noProof/>
                </w:rPr>
                <w:t>s.l.: Melbourne Business School, University of Melbourne.</w:t>
              </w:r>
            </w:p>
            <w:p w14:paraId="7D7E8075" w14:textId="77777777" w:rsidR="00E83F6E" w:rsidRDefault="00E83F6E" w:rsidP="00E83F6E">
              <w:pPr>
                <w:pStyle w:val="Bibliography"/>
                <w:rPr>
                  <w:noProof/>
                </w:rPr>
              </w:pPr>
              <w:r>
                <w:rPr>
                  <w:noProof/>
                </w:rPr>
                <w:t xml:space="preserve">Orford Initiative, 2020. </w:t>
              </w:r>
              <w:r>
                <w:rPr>
                  <w:i/>
                  <w:iCs/>
                  <w:noProof/>
                </w:rPr>
                <w:t xml:space="preserve">There's demand for annuities, but consumers are paralysed by choice. </w:t>
              </w:r>
              <w:r>
                <w:rPr>
                  <w:noProof/>
                </w:rPr>
                <w:t xml:space="preserve">[Online] </w:t>
              </w:r>
              <w:r>
                <w:rPr>
                  <w:noProof/>
                </w:rPr>
                <w:br/>
                <w:t xml:space="preserve">Available at: </w:t>
              </w:r>
              <w:r>
                <w:rPr>
                  <w:noProof/>
                  <w:u w:val="single"/>
                </w:rPr>
                <w:t>https://www.mbs.edu/news/There-is-demand-for-annuities-but-consumers-are-paralysed-by-choice</w:t>
              </w:r>
              <w:r>
                <w:rPr>
                  <w:noProof/>
                </w:rPr>
                <w:br/>
                <w:t>[Accessed 11 June 2020].</w:t>
              </w:r>
            </w:p>
            <w:p w14:paraId="79131165" w14:textId="77777777" w:rsidR="00E83F6E" w:rsidRDefault="00E83F6E" w:rsidP="00E83F6E">
              <w:pPr>
                <w:pStyle w:val="Bibliography"/>
                <w:rPr>
                  <w:noProof/>
                </w:rPr>
              </w:pPr>
              <w:r>
                <w:rPr>
                  <w:noProof/>
                </w:rPr>
                <w:t xml:space="preserve">Paiella, M. &amp; Tiseno, A., 2014. Evaluating the Impact on Saving of Tax-Favored Retirement Plans. </w:t>
              </w:r>
              <w:r>
                <w:rPr>
                  <w:i/>
                  <w:iCs/>
                  <w:noProof/>
                </w:rPr>
                <w:t xml:space="preserve">Journal of Pension Economics and Finance, </w:t>
              </w:r>
              <w:r>
                <w:rPr>
                  <w:noProof/>
                </w:rPr>
                <w:t>13(1), pp. 62-87.</w:t>
              </w:r>
            </w:p>
            <w:p w14:paraId="6B8F4A7F" w14:textId="77777777" w:rsidR="00E83F6E" w:rsidRDefault="00E83F6E" w:rsidP="00E83F6E">
              <w:pPr>
                <w:pStyle w:val="Bibliography"/>
                <w:rPr>
                  <w:noProof/>
                </w:rPr>
              </w:pPr>
              <w:r>
                <w:rPr>
                  <w:noProof/>
                </w:rPr>
                <w:t xml:space="preserve">Palisi, P., 2017. </w:t>
              </w:r>
              <w:r>
                <w:rPr>
                  <w:i/>
                  <w:iCs/>
                  <w:noProof/>
                </w:rPr>
                <w:t xml:space="preserve">Tax Expenditure Analysis - Origins, Debates and Future Prospects, </w:t>
              </w:r>
              <w:r>
                <w:rPr>
                  <w:noProof/>
                </w:rPr>
                <w:t>Canberra: Department of the Treasury, Commonwealth of Australia.</w:t>
              </w:r>
            </w:p>
            <w:p w14:paraId="7329DF3F" w14:textId="77777777" w:rsidR="00E83F6E" w:rsidRDefault="00E83F6E" w:rsidP="00E83F6E">
              <w:pPr>
                <w:pStyle w:val="Bibliography"/>
                <w:rPr>
                  <w:noProof/>
                </w:rPr>
              </w:pPr>
              <w:r>
                <w:rPr>
                  <w:noProof/>
                </w:rPr>
                <w:t xml:space="preserve">Parliament of Australia, 1983. </w:t>
              </w:r>
              <w:r>
                <w:rPr>
                  <w:i/>
                  <w:iCs/>
                  <w:noProof/>
                </w:rPr>
                <w:t xml:space="preserve">Statement of accord by the Australian Labor Party and the Australian Council of Trade Unions regarding economic policy. </w:t>
              </w:r>
              <w:r>
                <w:rPr>
                  <w:noProof/>
                </w:rPr>
                <w:t xml:space="preserve">[Online] </w:t>
              </w:r>
              <w:r>
                <w:rPr>
                  <w:noProof/>
                </w:rPr>
                <w:br/>
                <w:t xml:space="preserve">Available at: </w:t>
              </w:r>
              <w:r>
                <w:rPr>
                  <w:noProof/>
                  <w:u w:val="single"/>
                </w:rPr>
                <w:t>https://parlinfo.aph.gov.au/parlInfo/search/display/display.w3p;query=Id:%22library/partypol/992745%22</w:t>
              </w:r>
              <w:r>
                <w:rPr>
                  <w:noProof/>
                </w:rPr>
                <w:br/>
                <w:t>[Accessed 3 March 2020].</w:t>
              </w:r>
            </w:p>
            <w:p w14:paraId="2866707F" w14:textId="77777777" w:rsidR="00E83F6E" w:rsidRDefault="00E83F6E" w:rsidP="00E83F6E">
              <w:pPr>
                <w:pStyle w:val="Bibliography"/>
                <w:rPr>
                  <w:noProof/>
                </w:rPr>
              </w:pPr>
              <w:r>
                <w:rPr>
                  <w:noProof/>
                </w:rPr>
                <w:t xml:space="preserve">Parliament of Australia, 2004. </w:t>
              </w:r>
              <w:r>
                <w:rPr>
                  <w:i/>
                  <w:iCs/>
                  <w:noProof/>
                </w:rPr>
                <w:t xml:space="preserve">Explanatory Memorandum to Superannuation Laws Amendment (2004 Measures No. 2) Bill 2004. </w:t>
              </w:r>
              <w:r>
                <w:rPr>
                  <w:noProof/>
                </w:rPr>
                <w:t xml:space="preserve">[Online] </w:t>
              </w:r>
              <w:r>
                <w:rPr>
                  <w:noProof/>
                </w:rPr>
                <w:br/>
                <w:t xml:space="preserve">Available at: </w:t>
              </w:r>
              <w:r>
                <w:rPr>
                  <w:noProof/>
                  <w:u w:val="single"/>
                </w:rPr>
                <w:t>https://parlinfo.aph.gov.au/parlInfo/download/legislation/ems/r2050_ems_833cd592-270c-4d2f-bf63-02eac38aef3d/upload_pdf/64811.pdf;fileType=application%2Fpdf</w:t>
              </w:r>
              <w:r>
                <w:rPr>
                  <w:noProof/>
                </w:rPr>
                <w:br/>
                <w:t>[Accessed 19 March 2020].</w:t>
              </w:r>
            </w:p>
            <w:p w14:paraId="7CF66E4E" w14:textId="77777777" w:rsidR="00E83F6E" w:rsidRDefault="00E83F6E" w:rsidP="00E83F6E">
              <w:pPr>
                <w:pStyle w:val="Bibliography"/>
                <w:rPr>
                  <w:noProof/>
                </w:rPr>
              </w:pPr>
              <w:r>
                <w:rPr>
                  <w:noProof/>
                </w:rPr>
                <w:t xml:space="preserve">Parliament of Australia, 2009. </w:t>
              </w:r>
              <w:r>
                <w:rPr>
                  <w:i/>
                  <w:iCs/>
                  <w:noProof/>
                </w:rPr>
                <w:t xml:space="preserve">Explanatory Memorandum to Social Security and Other Legislation Amendment (Pension Reform and Other 2009 Budget Measures) Bill 2009. </w:t>
              </w:r>
              <w:r>
                <w:rPr>
                  <w:noProof/>
                </w:rPr>
                <w:t xml:space="preserve">[Online] </w:t>
              </w:r>
              <w:r>
                <w:rPr>
                  <w:noProof/>
                </w:rPr>
                <w:br/>
                <w:t xml:space="preserve">Available at: </w:t>
              </w:r>
              <w:r>
                <w:rPr>
                  <w:noProof/>
                  <w:u w:val="single"/>
                </w:rPr>
                <w:t>hhttps://parlinfo.aph.gov.au/parlInfo/download/legislation/ems/r4155_ems_741e6245-292e-4299-8ffa-01cca6ba17ec/upload_pdf/330671.pdf;fileType=application%2Fpdf</w:t>
              </w:r>
              <w:r>
                <w:rPr>
                  <w:noProof/>
                </w:rPr>
                <w:br/>
                <w:t>[Accessed 10 June 2020].</w:t>
              </w:r>
            </w:p>
            <w:p w14:paraId="14F2B30E" w14:textId="77777777" w:rsidR="00E83F6E" w:rsidRDefault="00E83F6E" w:rsidP="00E83F6E">
              <w:pPr>
                <w:pStyle w:val="Bibliography"/>
                <w:rPr>
                  <w:noProof/>
                </w:rPr>
              </w:pPr>
              <w:r>
                <w:rPr>
                  <w:noProof/>
                </w:rPr>
                <w:t xml:space="preserve">Parliamentary Budget Office, 2019a. </w:t>
              </w:r>
              <w:r>
                <w:rPr>
                  <w:i/>
                  <w:iCs/>
                  <w:noProof/>
                </w:rPr>
                <w:t xml:space="preserve">Australia’s ageing population: Understanding the fiscal impacts over the next decade, </w:t>
              </w:r>
              <w:r>
                <w:rPr>
                  <w:noProof/>
                </w:rPr>
                <w:t>Canberra: Parliamentary Budget Office, Commonwealth of Australia.</w:t>
              </w:r>
            </w:p>
            <w:p w14:paraId="3DCBD85C" w14:textId="77777777" w:rsidR="00E83F6E" w:rsidRDefault="00E83F6E" w:rsidP="00E83F6E">
              <w:pPr>
                <w:pStyle w:val="Bibliography"/>
                <w:rPr>
                  <w:noProof/>
                </w:rPr>
              </w:pPr>
              <w:r>
                <w:rPr>
                  <w:noProof/>
                </w:rPr>
                <w:t xml:space="preserve">Parliamentary Library, 2011. </w:t>
              </w:r>
              <w:r>
                <w:rPr>
                  <w:i/>
                  <w:iCs/>
                  <w:noProof/>
                </w:rPr>
                <w:t xml:space="preserve">Social security payments for the aged, people with disabilities and carers 1901 to 2010. </w:t>
              </w:r>
              <w:r>
                <w:rPr>
                  <w:noProof/>
                </w:rPr>
                <w:t xml:space="preserve">[Online] </w:t>
              </w:r>
              <w:r>
                <w:rPr>
                  <w:noProof/>
                </w:rPr>
                <w:br/>
                <w:t xml:space="preserve">Available at: </w:t>
              </w:r>
              <w:r>
                <w:rPr>
                  <w:noProof/>
                  <w:u w:val="single"/>
                </w:rPr>
                <w:t>https://www.aph.gov.au/About_Parliament/Parliamentary_Departments/Parliamentary_Library/pubs/BN/1011/SSPayments1#_Toc286050315</w:t>
              </w:r>
              <w:r>
                <w:rPr>
                  <w:noProof/>
                </w:rPr>
                <w:br/>
                <w:t>[Accessed 2 March 2020].</w:t>
              </w:r>
            </w:p>
            <w:p w14:paraId="503804B5" w14:textId="77777777" w:rsidR="00E83F6E" w:rsidRDefault="00E83F6E" w:rsidP="00E83F6E">
              <w:pPr>
                <w:pStyle w:val="Bibliography"/>
                <w:rPr>
                  <w:noProof/>
                </w:rPr>
              </w:pPr>
              <w:r>
                <w:rPr>
                  <w:noProof/>
                </w:rPr>
                <w:t xml:space="preserve">Parliamentary Library, 2014. </w:t>
              </w:r>
              <w:r>
                <w:rPr>
                  <w:i/>
                  <w:iCs/>
                  <w:noProof/>
                </w:rPr>
                <w:t xml:space="preserve">Major superannuation and retirement income changes in Australia: a chronology. </w:t>
              </w:r>
              <w:r>
                <w:rPr>
                  <w:noProof/>
                </w:rPr>
                <w:t xml:space="preserve">[Online] </w:t>
              </w:r>
              <w:r>
                <w:rPr>
                  <w:noProof/>
                </w:rPr>
                <w:br/>
                <w:t xml:space="preserve">Available at: </w:t>
              </w:r>
              <w:r>
                <w:rPr>
                  <w:noProof/>
                  <w:u w:val="single"/>
                </w:rPr>
                <w:t>https://www.aph.gov.au/About_Parliament/Parliamentary_Departments/Parliamentary_Library/pubs/rp/rp1314/SuperChron</w:t>
              </w:r>
              <w:r>
                <w:rPr>
                  <w:noProof/>
                </w:rPr>
                <w:br/>
                <w:t>[Accessed 18 March 2020].</w:t>
              </w:r>
            </w:p>
            <w:p w14:paraId="101971F1" w14:textId="77777777" w:rsidR="00E83F6E" w:rsidRDefault="00E83F6E" w:rsidP="00E83F6E">
              <w:pPr>
                <w:pStyle w:val="Bibliography"/>
                <w:rPr>
                  <w:noProof/>
                </w:rPr>
              </w:pPr>
              <w:r>
                <w:rPr>
                  <w:noProof/>
                </w:rPr>
                <w:t xml:space="preserve">Pensions Commission, 2004. </w:t>
              </w:r>
              <w:r>
                <w:rPr>
                  <w:i/>
                  <w:iCs/>
                  <w:noProof/>
                </w:rPr>
                <w:t xml:space="preserve">Pensions: Challenges and Choices, </w:t>
              </w:r>
              <w:r>
                <w:rPr>
                  <w:noProof/>
                </w:rPr>
                <w:t>Norwich: The Stationary Office.</w:t>
              </w:r>
            </w:p>
            <w:p w14:paraId="3B34EA64" w14:textId="77777777" w:rsidR="00E83F6E" w:rsidRDefault="00E83F6E" w:rsidP="00E83F6E">
              <w:pPr>
                <w:pStyle w:val="Bibliography"/>
                <w:rPr>
                  <w:noProof/>
                </w:rPr>
              </w:pPr>
              <w:r>
                <w:rPr>
                  <w:noProof/>
                </w:rPr>
                <w:t xml:space="preserve">Plumb, M., Baker, M. &amp; Spence, G., 2010. </w:t>
              </w:r>
              <w:r>
                <w:rPr>
                  <w:i/>
                  <w:iCs/>
                  <w:noProof/>
                </w:rPr>
                <w:t xml:space="preserve">The Labour Market during the 2008-2009 Downturn, </w:t>
              </w:r>
              <w:r>
                <w:rPr>
                  <w:noProof/>
                </w:rPr>
                <w:t>s.l.: Reserve Bank of Australia.</w:t>
              </w:r>
            </w:p>
            <w:p w14:paraId="7810CEDF" w14:textId="77777777" w:rsidR="00E83F6E" w:rsidRDefault="00E83F6E" w:rsidP="00E83F6E">
              <w:pPr>
                <w:pStyle w:val="Bibliography"/>
                <w:rPr>
                  <w:noProof/>
                </w:rPr>
              </w:pPr>
              <w:r>
                <w:rPr>
                  <w:noProof/>
                </w:rPr>
                <w:t xml:space="preserve">Podger, A., 2019. </w:t>
              </w:r>
              <w:r>
                <w:rPr>
                  <w:i/>
                  <w:iCs/>
                  <w:noProof/>
                </w:rPr>
                <w:t xml:space="preserve">No Case for Tightening the Age Pension Means Test: A Response to Michael Keane’s Analysis. </w:t>
              </w:r>
              <w:r>
                <w:rPr>
                  <w:noProof/>
                </w:rPr>
                <w:t xml:space="preserve">[Online] </w:t>
              </w:r>
              <w:r>
                <w:rPr>
                  <w:noProof/>
                </w:rPr>
                <w:br/>
                <w:t xml:space="preserve">Available at: </w:t>
              </w:r>
              <w:r>
                <w:rPr>
                  <w:noProof/>
                  <w:u w:val="single"/>
                </w:rPr>
                <w:t>https://www.austaxpolicy.com/no-case-for-further-tightening-the-age-pension-means-test-a-response-to-michael-keanes-analysis/</w:t>
              </w:r>
              <w:r>
                <w:rPr>
                  <w:noProof/>
                </w:rPr>
                <w:br/>
                <w:t>[Accessed 18 March 2020].</w:t>
              </w:r>
            </w:p>
            <w:p w14:paraId="37DD4B55" w14:textId="77777777" w:rsidR="00E83F6E" w:rsidRDefault="00E83F6E" w:rsidP="00E83F6E">
              <w:pPr>
                <w:pStyle w:val="Bibliography"/>
                <w:rPr>
                  <w:noProof/>
                </w:rPr>
              </w:pPr>
              <w:r>
                <w:rPr>
                  <w:noProof/>
                </w:rPr>
                <w:t xml:space="preserve">Polidano, C. et al., 2020. </w:t>
              </w:r>
              <w:r>
                <w:rPr>
                  <w:i/>
                  <w:iCs/>
                  <w:noProof/>
                </w:rPr>
                <w:t xml:space="preserve">The ATO Longitudinal Information Files (ALife): A New Resource for Retirement Policy Research, </w:t>
              </w:r>
              <w:r>
                <w:rPr>
                  <w:noProof/>
                </w:rPr>
                <w:t>Working Paper 2/2020, Canberra: Tax and Transfer Policy Institute.</w:t>
              </w:r>
            </w:p>
            <w:p w14:paraId="3F9FBB58" w14:textId="77777777" w:rsidR="00E83F6E" w:rsidRDefault="00E83F6E" w:rsidP="00E83F6E">
              <w:pPr>
                <w:pStyle w:val="Bibliography"/>
                <w:rPr>
                  <w:noProof/>
                </w:rPr>
              </w:pPr>
              <w:r>
                <w:rPr>
                  <w:noProof/>
                </w:rPr>
                <w:t xml:space="preserve">Poterba, J., Venti, S. &amp; Wise, D., 1996. How Retirement Saving Programs Increase Saving. </w:t>
              </w:r>
              <w:r>
                <w:rPr>
                  <w:i/>
                  <w:iCs/>
                  <w:noProof/>
                </w:rPr>
                <w:t xml:space="preserve">Journal of Economic Perspectives, </w:t>
              </w:r>
              <w:r>
                <w:rPr>
                  <w:noProof/>
                </w:rPr>
                <w:t>10(4), pp. 91-112.</w:t>
              </w:r>
            </w:p>
            <w:p w14:paraId="6DE2F309" w14:textId="77777777" w:rsidR="00E83F6E" w:rsidRDefault="00E83F6E" w:rsidP="00E83F6E">
              <w:pPr>
                <w:pStyle w:val="Bibliography"/>
                <w:rPr>
                  <w:noProof/>
                </w:rPr>
              </w:pPr>
              <w:r>
                <w:rPr>
                  <w:noProof/>
                </w:rPr>
                <w:t xml:space="preserve">Preston, 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369298D4" w14:textId="77777777" w:rsidR="00E83F6E" w:rsidRDefault="00E83F6E" w:rsidP="00E83F6E">
              <w:pPr>
                <w:pStyle w:val="Bibliography"/>
                <w:rPr>
                  <w:noProof/>
                </w:rPr>
              </w:pPr>
              <w:r>
                <w:rPr>
                  <w:noProof/>
                </w:rPr>
                <w:t xml:space="preserve">Price, F., Beckers, B. &amp; La Cava, G., 2019. </w:t>
              </w:r>
              <w:r>
                <w:rPr>
                  <w:i/>
                  <w:iCs/>
                  <w:noProof/>
                </w:rPr>
                <w:t xml:space="preserve">The Effect of Mortgage Debt on Consumer Spending: Evidence from Household-level Data, </w:t>
              </w:r>
              <w:r>
                <w:rPr>
                  <w:noProof/>
                </w:rPr>
                <w:t>s.l.: Research Discussion Paper 2019-06, Economic Research Department, Reserve Bank of Australia.</w:t>
              </w:r>
            </w:p>
            <w:p w14:paraId="30FDE0E5" w14:textId="77777777" w:rsidR="00E83F6E" w:rsidRDefault="00E83F6E" w:rsidP="00E83F6E">
              <w:pPr>
                <w:pStyle w:val="Bibliography"/>
                <w:rPr>
                  <w:noProof/>
                </w:rPr>
              </w:pPr>
              <w:r>
                <w:rPr>
                  <w:noProof/>
                </w:rPr>
                <w:t xml:space="preserve">Prime Minister of Australia, 2020. </w:t>
              </w:r>
              <w:r>
                <w:rPr>
                  <w:i/>
                  <w:iCs/>
                  <w:noProof/>
                </w:rPr>
                <w:t xml:space="preserve">Press Conference - Australian Parliament House, ACT 1 May 2020. </w:t>
              </w:r>
              <w:r>
                <w:rPr>
                  <w:noProof/>
                </w:rPr>
                <w:t xml:space="preserve">[Online] </w:t>
              </w:r>
              <w:r>
                <w:rPr>
                  <w:noProof/>
                </w:rPr>
                <w:br/>
                <w:t xml:space="preserve">Available at: </w:t>
              </w:r>
              <w:r>
                <w:rPr>
                  <w:noProof/>
                  <w:u w:val="single"/>
                </w:rPr>
                <w:t>https://www.pm.gov.au/media/press-conference-australian-parliament-house-act-1may20</w:t>
              </w:r>
              <w:r>
                <w:rPr>
                  <w:noProof/>
                </w:rPr>
                <w:br/>
                <w:t>[Accessed 7 May 2020].</w:t>
              </w:r>
            </w:p>
            <w:p w14:paraId="16A98FE7" w14:textId="77777777" w:rsidR="00E83F6E" w:rsidRDefault="00E83F6E" w:rsidP="00E83F6E">
              <w:pPr>
                <w:pStyle w:val="Bibliography"/>
                <w:rPr>
                  <w:noProof/>
                </w:rPr>
              </w:pPr>
              <w:r>
                <w:rPr>
                  <w:noProof/>
                </w:rPr>
                <w:t xml:space="preserve">Productivity Commission, 2013a. </w:t>
              </w:r>
              <w:r>
                <w:rPr>
                  <w:i/>
                  <w:iCs/>
                  <w:noProof/>
                </w:rPr>
                <w:t xml:space="preserve">An Ageing Australia: Preparing for the Future, </w:t>
              </w:r>
              <w:r>
                <w:rPr>
                  <w:noProof/>
                </w:rPr>
                <w:t>Commission Research Paper, Canberra: Productivity Commission.</w:t>
              </w:r>
            </w:p>
            <w:p w14:paraId="02025B2D" w14:textId="77777777" w:rsidR="00E83F6E" w:rsidRDefault="00E83F6E" w:rsidP="00E83F6E">
              <w:pPr>
                <w:pStyle w:val="Bibliography"/>
                <w:rPr>
                  <w:noProof/>
                </w:rPr>
              </w:pPr>
              <w:r>
                <w:rPr>
                  <w:noProof/>
                </w:rPr>
                <w:t xml:space="preserve">Productivity Commission, 2015a. </w:t>
              </w:r>
              <w:r>
                <w:rPr>
                  <w:i/>
                  <w:iCs/>
                  <w:noProof/>
                </w:rPr>
                <w:t xml:space="preserve">Housing decisions of older Australians, </w:t>
              </w:r>
              <w:r>
                <w:rPr>
                  <w:noProof/>
                </w:rPr>
                <w:t>Commission Research Paper, Canberra: Productivity Commission.</w:t>
              </w:r>
            </w:p>
            <w:p w14:paraId="2F70810D" w14:textId="77777777" w:rsidR="00E83F6E" w:rsidRDefault="00E83F6E" w:rsidP="00E83F6E">
              <w:pPr>
                <w:pStyle w:val="Bibliography"/>
                <w:rPr>
                  <w:noProof/>
                </w:rPr>
              </w:pPr>
              <w:r>
                <w:rPr>
                  <w:noProof/>
                </w:rPr>
                <w:t xml:space="preserve">Productivity Commission, 2015b. </w:t>
              </w:r>
              <w:r>
                <w:rPr>
                  <w:i/>
                  <w:iCs/>
                  <w:noProof/>
                </w:rPr>
                <w:t xml:space="preserve">Superannuation Policy for Post-Retirement, </w:t>
              </w:r>
              <w:r>
                <w:rPr>
                  <w:noProof/>
                </w:rPr>
                <w:t>Commission Research Paper, Canberra: Productivity Commission.</w:t>
              </w:r>
            </w:p>
            <w:p w14:paraId="0A138FF1" w14:textId="77777777" w:rsidR="00E83F6E" w:rsidRDefault="00E83F6E" w:rsidP="00E83F6E">
              <w:pPr>
                <w:pStyle w:val="Bibliography"/>
                <w:rPr>
                  <w:noProof/>
                </w:rPr>
              </w:pPr>
              <w:r>
                <w:rPr>
                  <w:noProof/>
                </w:rPr>
                <w:t xml:space="preserve">Productivity Commission, 2016. </w:t>
              </w:r>
              <w:r>
                <w:rPr>
                  <w:i/>
                  <w:iCs/>
                  <w:noProof/>
                </w:rPr>
                <w:t xml:space="preserve">How to Assess the Competitiveness and Efficiency of the Superannuation System, </w:t>
              </w:r>
              <w:r>
                <w:rPr>
                  <w:noProof/>
                </w:rPr>
                <w:t>Research Report, Canberra: Productivity Commission.</w:t>
              </w:r>
            </w:p>
            <w:p w14:paraId="2B85CE38" w14:textId="77777777" w:rsidR="00E83F6E" w:rsidRDefault="00E83F6E" w:rsidP="00E83F6E">
              <w:pPr>
                <w:pStyle w:val="Bibliography"/>
                <w:rPr>
                  <w:noProof/>
                </w:rPr>
              </w:pPr>
              <w:r>
                <w:rPr>
                  <w:noProof/>
                </w:rPr>
                <w:t xml:space="preserve">Productivity Commission, 2017. </w:t>
              </w:r>
              <w:r>
                <w:rPr>
                  <w:i/>
                  <w:iCs/>
                  <w:noProof/>
                </w:rPr>
                <w:t xml:space="preserve">Introducing Competition and Informed User Choice into Human Services: Reforms to Human Services, </w:t>
              </w:r>
              <w:r>
                <w:rPr>
                  <w:noProof/>
                </w:rPr>
                <w:t>Report No. 85, Canberra: Productivity Commission.</w:t>
              </w:r>
            </w:p>
            <w:p w14:paraId="474500A0" w14:textId="77777777" w:rsidR="00E83F6E" w:rsidRDefault="00E83F6E" w:rsidP="00E83F6E">
              <w:pPr>
                <w:pStyle w:val="Bibliography"/>
                <w:rPr>
                  <w:noProof/>
                </w:rPr>
              </w:pPr>
              <w:r>
                <w:rPr>
                  <w:noProof/>
                </w:rPr>
                <w:t xml:space="preserve">Productivity Commission, 2018a. </w:t>
              </w:r>
              <w:r>
                <w:rPr>
                  <w:i/>
                  <w:iCs/>
                  <w:noProof/>
                </w:rPr>
                <w:t xml:space="preserve">Superannuation: Assessing Efficiency and Competitiveness, </w:t>
              </w:r>
              <w:r>
                <w:rPr>
                  <w:noProof/>
                </w:rPr>
                <w:t>Report No. 91, Canberra: Productivity Commission.</w:t>
              </w:r>
            </w:p>
            <w:p w14:paraId="3D35E280" w14:textId="77777777" w:rsidR="00E83F6E" w:rsidRDefault="00E83F6E" w:rsidP="00E83F6E">
              <w:pPr>
                <w:pStyle w:val="Bibliography"/>
                <w:rPr>
                  <w:noProof/>
                </w:rPr>
              </w:pPr>
              <w:r>
                <w:rPr>
                  <w:noProof/>
                </w:rPr>
                <w:t xml:space="preserve">Productivity Commission, 2018b. </w:t>
              </w:r>
              <w:r>
                <w:rPr>
                  <w:i/>
                  <w:iCs/>
                  <w:noProof/>
                </w:rPr>
                <w:t xml:space="preserve">Rising inequality? A stocktake of the evidence, </w:t>
              </w:r>
              <w:r>
                <w:rPr>
                  <w:noProof/>
                </w:rPr>
                <w:t>Commission Research Paper, Canberra: Productivity Commission.</w:t>
              </w:r>
            </w:p>
            <w:p w14:paraId="573F2350" w14:textId="77777777" w:rsidR="00E83F6E" w:rsidRDefault="00E83F6E" w:rsidP="00E83F6E">
              <w:pPr>
                <w:pStyle w:val="Bibliography"/>
                <w:rPr>
                  <w:noProof/>
                </w:rPr>
              </w:pPr>
              <w:r>
                <w:rPr>
                  <w:noProof/>
                </w:rPr>
                <w:t xml:space="preserve">Productivity Commission, 2019a. </w:t>
              </w:r>
              <w:r>
                <w:rPr>
                  <w:i/>
                  <w:iCs/>
                  <w:noProof/>
                </w:rPr>
                <w:t xml:space="preserve">PC Productivity Bulletin, May, </w:t>
              </w:r>
              <w:r>
                <w:rPr>
                  <w:noProof/>
                </w:rPr>
                <w:t>Canberra: Productivity Commission.</w:t>
              </w:r>
            </w:p>
            <w:p w14:paraId="2C3A9399" w14:textId="77777777" w:rsidR="00E83F6E" w:rsidRDefault="00E83F6E" w:rsidP="00E83F6E">
              <w:pPr>
                <w:pStyle w:val="Bibliography"/>
                <w:rPr>
                  <w:noProof/>
                </w:rPr>
              </w:pPr>
              <w:r>
                <w:rPr>
                  <w:noProof/>
                </w:rPr>
                <w:t xml:space="preserve">Productivity Commission, 2019b. </w:t>
              </w:r>
              <w:r>
                <w:rPr>
                  <w:i/>
                  <w:iCs/>
                  <w:noProof/>
                </w:rPr>
                <w:t xml:space="preserve">Vulnerable Private Renters: Evidence and Options, </w:t>
              </w:r>
              <w:r>
                <w:rPr>
                  <w:noProof/>
                </w:rPr>
                <w:t>Commission Research Paper, Canberra: Productivity Commission.</w:t>
              </w:r>
            </w:p>
            <w:p w14:paraId="5E3D1EC2" w14:textId="77777777" w:rsidR="00E83F6E" w:rsidRDefault="00E83F6E" w:rsidP="00E83F6E">
              <w:pPr>
                <w:pStyle w:val="Bibliography"/>
                <w:rPr>
                  <w:noProof/>
                </w:rPr>
              </w:pPr>
              <w:r>
                <w:rPr>
                  <w:noProof/>
                </w:rPr>
                <w:t xml:space="preserve">Productivity Commission, 2020a. </w:t>
              </w:r>
              <w:r>
                <w:rPr>
                  <w:i/>
                  <w:iCs/>
                  <w:noProof/>
                </w:rPr>
                <w:t xml:space="preserve">PC Productivity Insights: Recent Productivity Trends, </w:t>
              </w:r>
              <w:r>
                <w:rPr>
                  <w:noProof/>
                </w:rPr>
                <w:t>Canberra: Productivity Commission.</w:t>
              </w:r>
            </w:p>
            <w:p w14:paraId="69D1F1EF" w14:textId="77777777" w:rsidR="00E83F6E" w:rsidRDefault="00E83F6E" w:rsidP="00E83F6E">
              <w:pPr>
                <w:pStyle w:val="Bibliography"/>
                <w:rPr>
                  <w:noProof/>
                </w:rPr>
              </w:pPr>
              <w:r>
                <w:rPr>
                  <w:noProof/>
                </w:rPr>
                <w:t xml:space="preserve">Productivity Commission, 2020b. </w:t>
              </w:r>
              <w:r>
                <w:rPr>
                  <w:i/>
                  <w:iCs/>
                  <w:noProof/>
                </w:rPr>
                <w:t xml:space="preserve">Report on Government Services 2020: Part F, Chapter 14, Aged Care, </w:t>
              </w:r>
              <w:r>
                <w:rPr>
                  <w:noProof/>
                </w:rPr>
                <w:t>Canberra: Productivity Commission.</w:t>
              </w:r>
            </w:p>
            <w:p w14:paraId="363B4886" w14:textId="77777777" w:rsidR="00E83F6E" w:rsidRDefault="00E83F6E" w:rsidP="00E83F6E">
              <w:pPr>
                <w:pStyle w:val="Bibliography"/>
                <w:rPr>
                  <w:noProof/>
                </w:rPr>
              </w:pPr>
              <w:r>
                <w:rPr>
                  <w:noProof/>
                </w:rPr>
                <w:t xml:space="preserve">PwC, 2015. </w:t>
              </w:r>
              <w:r>
                <w:rPr>
                  <w:i/>
                  <w:iCs/>
                  <w:noProof/>
                </w:rPr>
                <w:t xml:space="preserve">A high price to pay: The economic case for preventing violence against women. </w:t>
              </w:r>
              <w:r>
                <w:rPr>
                  <w:noProof/>
                </w:rPr>
                <w:t xml:space="preserve">[Online] </w:t>
              </w:r>
              <w:r>
                <w:rPr>
                  <w:noProof/>
                </w:rPr>
                <w:br/>
                <w:t xml:space="preserve">Available at: </w:t>
              </w:r>
              <w:r>
                <w:rPr>
                  <w:noProof/>
                  <w:u w:val="single"/>
                </w:rPr>
                <w:t>https://www.pwc.com.au/pdf/a-high-price-to-pay.pdf</w:t>
              </w:r>
              <w:r>
                <w:rPr>
                  <w:noProof/>
                </w:rPr>
                <w:br/>
                <w:t>[Accessed 3 March 2020].</w:t>
              </w:r>
            </w:p>
            <w:p w14:paraId="1B5A0955" w14:textId="77777777" w:rsidR="00E83F6E" w:rsidRDefault="00E83F6E" w:rsidP="00E83F6E">
              <w:pPr>
                <w:pStyle w:val="Bibliography"/>
                <w:rPr>
                  <w:noProof/>
                </w:rPr>
              </w:pPr>
              <w:r>
                <w:rPr>
                  <w:noProof/>
                </w:rPr>
                <w:t xml:space="preserve">Qantas Super, 2019. </w:t>
              </w:r>
              <w:r>
                <w:rPr>
                  <w:i/>
                  <w:iCs/>
                  <w:noProof/>
                </w:rPr>
                <w:t xml:space="preserve">Qantas Super CSBA Retirement Confidence Index. </w:t>
              </w:r>
              <w:r>
                <w:rPr>
                  <w:noProof/>
                </w:rPr>
                <w:t xml:space="preserve">[Online] </w:t>
              </w:r>
              <w:r>
                <w:rPr>
                  <w:noProof/>
                </w:rPr>
                <w:br/>
                <w:t xml:space="preserve">Available at: </w:t>
              </w:r>
              <w:r>
                <w:rPr>
                  <w:noProof/>
                  <w:u w:val="single"/>
                </w:rPr>
                <w:t>https://www.qantassuper.com.au/news/less-wealthy-australians-lack-confidence-in-retirement</w:t>
              </w:r>
              <w:r>
                <w:rPr>
                  <w:noProof/>
                </w:rPr>
                <w:br/>
                <w:t>[Accessed 5 May 2020].</w:t>
              </w:r>
            </w:p>
            <w:p w14:paraId="6824D4BF" w14:textId="77777777" w:rsidR="00E83F6E" w:rsidRDefault="00E83F6E" w:rsidP="00E83F6E">
              <w:pPr>
                <w:pStyle w:val="Bibliography"/>
                <w:rPr>
                  <w:noProof/>
                </w:rPr>
              </w:pPr>
              <w:r>
                <w:rPr>
                  <w:noProof/>
                </w:rPr>
                <w:t xml:space="preserve">Ralston, D. &amp; Feng, J., 2016. </w:t>
              </w:r>
              <w:r>
                <w:rPr>
                  <w:i/>
                  <w:iCs/>
                  <w:noProof/>
                </w:rPr>
                <w:t xml:space="preserve">The Evolution of Australian Superannuation, its Policy Objectives and Tax Treatment, </w:t>
              </w:r>
              <w:r>
                <w:rPr>
                  <w:noProof/>
                </w:rPr>
                <w:t>Melbourne: Monash Business School, University of Melbourne.</w:t>
              </w:r>
            </w:p>
            <w:p w14:paraId="68029F8A" w14:textId="77777777" w:rsidR="00E83F6E" w:rsidRDefault="00E83F6E" w:rsidP="00E83F6E">
              <w:pPr>
                <w:pStyle w:val="Bibliography"/>
                <w:rPr>
                  <w:noProof/>
                </w:rPr>
              </w:pPr>
              <w:r>
                <w:rPr>
                  <w:noProof/>
                </w:rPr>
                <w:t xml:space="preserve">Ralston, D. &amp; Feng, J., 2017. Towards a Self-Funded Retirement: Will Superannuation Substitute for the Age Pension. </w:t>
              </w:r>
              <w:r>
                <w:rPr>
                  <w:i/>
                  <w:iCs/>
                  <w:noProof/>
                </w:rPr>
                <w:t xml:space="preserve">Australian Tax Forum, </w:t>
              </w:r>
              <w:r>
                <w:rPr>
                  <w:noProof/>
                </w:rPr>
                <w:t>32(3), p. 607.</w:t>
              </w:r>
            </w:p>
            <w:p w14:paraId="47AF7083" w14:textId="77777777" w:rsidR="00E83F6E" w:rsidRDefault="00E83F6E" w:rsidP="00E83F6E">
              <w:pPr>
                <w:pStyle w:val="Bibliography"/>
                <w:rPr>
                  <w:noProof/>
                </w:rPr>
              </w:pPr>
              <w:r>
                <w:rPr>
                  <w:noProof/>
                </w:rPr>
                <w:t xml:space="preserve">RBA, 2018. </w:t>
              </w:r>
              <w:r>
                <w:rPr>
                  <w:i/>
                  <w:iCs/>
                  <w:noProof/>
                </w:rPr>
                <w:t xml:space="preserve">Statement on Monetary Policy May 2018: Box B - The Recent Increase in Labour Force Participation. </w:t>
              </w:r>
              <w:r>
                <w:rPr>
                  <w:noProof/>
                </w:rPr>
                <w:t xml:space="preserve">[Online] </w:t>
              </w:r>
              <w:r>
                <w:rPr>
                  <w:noProof/>
                </w:rPr>
                <w:br/>
                <w:t xml:space="preserve">Available at: </w:t>
              </w:r>
              <w:r>
                <w:rPr>
                  <w:noProof/>
                  <w:u w:val="single"/>
                </w:rPr>
                <w:t>https://www.rba.gov.au/publications/smp/2018/may/box-b-the-recent-increase-in-labour-force-participation.html</w:t>
              </w:r>
              <w:r>
                <w:rPr>
                  <w:noProof/>
                </w:rPr>
                <w:br/>
                <w:t>[Accessed 28 May 2020].</w:t>
              </w:r>
            </w:p>
            <w:p w14:paraId="307C2356" w14:textId="77777777" w:rsidR="00E83F6E" w:rsidRDefault="00E83F6E" w:rsidP="00E83F6E">
              <w:pPr>
                <w:pStyle w:val="Bibliography"/>
                <w:rPr>
                  <w:noProof/>
                </w:rPr>
              </w:pPr>
              <w:r>
                <w:rPr>
                  <w:noProof/>
                </w:rPr>
                <w:t xml:space="preserve">RBA, 2020a. </w:t>
              </w:r>
              <w:r>
                <w:rPr>
                  <w:i/>
                  <w:iCs/>
                  <w:noProof/>
                </w:rPr>
                <w:t xml:space="preserve">Financial Stability Review - October 2019. </w:t>
              </w:r>
              <w:r>
                <w:rPr>
                  <w:noProof/>
                </w:rPr>
                <w:t xml:space="preserve">[Online] </w:t>
              </w:r>
              <w:r>
                <w:rPr>
                  <w:noProof/>
                </w:rPr>
                <w:br/>
                <w:t xml:space="preserve">Available at: </w:t>
              </w:r>
              <w:r>
                <w:rPr>
                  <w:noProof/>
                  <w:u w:val="single"/>
                </w:rPr>
                <w:t>https://www.rba.gov.au/publications/fsr/2019/oct/household-business-finances.html</w:t>
              </w:r>
              <w:r>
                <w:rPr>
                  <w:noProof/>
                </w:rPr>
                <w:br/>
                <w:t>[Accessed 20 April 2020].</w:t>
              </w:r>
            </w:p>
            <w:p w14:paraId="25647A9A" w14:textId="77777777" w:rsidR="00E83F6E" w:rsidRDefault="00E83F6E" w:rsidP="00E83F6E">
              <w:pPr>
                <w:pStyle w:val="Bibliography"/>
                <w:rPr>
                  <w:noProof/>
                </w:rPr>
              </w:pPr>
              <w:r>
                <w:rPr>
                  <w:noProof/>
                </w:rPr>
                <w:t xml:space="preserve">RBA, 2020b. </w:t>
              </w:r>
              <w:r>
                <w:rPr>
                  <w:i/>
                  <w:iCs/>
                  <w:noProof/>
                </w:rPr>
                <w:t xml:space="preserve">Statistical Tables: Capital Market Yields – Government Bonds – Daily – F2. </w:t>
              </w:r>
              <w:r>
                <w:rPr>
                  <w:noProof/>
                </w:rPr>
                <w:t xml:space="preserve">[Online] </w:t>
              </w:r>
              <w:r>
                <w:rPr>
                  <w:noProof/>
                </w:rPr>
                <w:br/>
                <w:t xml:space="preserve">Available at: </w:t>
              </w:r>
              <w:r>
                <w:rPr>
                  <w:noProof/>
                  <w:u w:val="single"/>
                </w:rPr>
                <w:t>https://www.rba.gov.au/statistics/tables/</w:t>
              </w:r>
              <w:r>
                <w:rPr>
                  <w:noProof/>
                </w:rPr>
                <w:br/>
                <w:t>[Accessed 22 May 2020].</w:t>
              </w:r>
            </w:p>
            <w:p w14:paraId="1AC0300D" w14:textId="77777777" w:rsidR="00E83F6E" w:rsidRDefault="00E83F6E" w:rsidP="00E83F6E">
              <w:pPr>
                <w:pStyle w:val="Bibliography"/>
                <w:rPr>
                  <w:noProof/>
                </w:rPr>
              </w:pPr>
              <w:r>
                <w:rPr>
                  <w:noProof/>
                </w:rPr>
                <w:t xml:space="preserve">RBA, 2020c. </w:t>
              </w:r>
              <w:r>
                <w:rPr>
                  <w:i/>
                  <w:iCs/>
                  <w:noProof/>
                </w:rPr>
                <w:t xml:space="preserve">Statistical Tables - Interest Rates. </w:t>
              </w:r>
              <w:r>
                <w:rPr>
                  <w:noProof/>
                </w:rPr>
                <w:t xml:space="preserve">[Online] </w:t>
              </w:r>
              <w:r>
                <w:rPr>
                  <w:noProof/>
                </w:rPr>
                <w:br/>
                <w:t xml:space="preserve">Available at: </w:t>
              </w:r>
              <w:r>
                <w:rPr>
                  <w:noProof/>
                  <w:u w:val="single"/>
                </w:rPr>
                <w:t>https://www.rba.gov.au/statistics/tables/#interest-rates</w:t>
              </w:r>
              <w:r>
                <w:rPr>
                  <w:noProof/>
                </w:rPr>
                <w:br/>
                <w:t>[Accessed 29 June 2020].</w:t>
              </w:r>
            </w:p>
            <w:p w14:paraId="5A002ED9" w14:textId="77777777" w:rsidR="00E83F6E" w:rsidRDefault="00E83F6E" w:rsidP="00E83F6E">
              <w:pPr>
                <w:pStyle w:val="Bibliography"/>
                <w:rPr>
                  <w:noProof/>
                </w:rPr>
              </w:pPr>
              <w:r>
                <w:rPr>
                  <w:noProof/>
                </w:rPr>
                <w:t xml:space="preserve">RBA, 2020d. </w:t>
              </w:r>
              <w:r>
                <w:rPr>
                  <w:i/>
                  <w:iCs/>
                  <w:noProof/>
                </w:rPr>
                <w:t xml:space="preserve">Statement by Philip Lowe, Governor: Monetary Policy Decision. </w:t>
              </w:r>
              <w:r>
                <w:rPr>
                  <w:noProof/>
                </w:rPr>
                <w:t xml:space="preserve">[Online] </w:t>
              </w:r>
              <w:r>
                <w:rPr>
                  <w:noProof/>
                </w:rPr>
                <w:br/>
                <w:t xml:space="preserve">Available at: </w:t>
              </w:r>
              <w:r>
                <w:rPr>
                  <w:noProof/>
                  <w:u w:val="single"/>
                </w:rPr>
                <w:t>https://www.rba.gov.au/media-releases/2020/mr-20-08.html</w:t>
              </w:r>
              <w:r>
                <w:rPr>
                  <w:noProof/>
                </w:rPr>
                <w:br/>
                <w:t>[Accessed 20 April 2020].</w:t>
              </w:r>
            </w:p>
            <w:p w14:paraId="541229A6" w14:textId="77777777" w:rsidR="00E83F6E" w:rsidRDefault="00E83F6E" w:rsidP="00E83F6E">
              <w:pPr>
                <w:pStyle w:val="Bibliography"/>
                <w:rPr>
                  <w:noProof/>
                </w:rPr>
              </w:pPr>
              <w:r>
                <w:rPr>
                  <w:noProof/>
                </w:rPr>
                <w:t xml:space="preserve">Reconciliation Australia, 2007. </w:t>
              </w:r>
              <w:r>
                <w:rPr>
                  <w:i/>
                  <w:iCs/>
                  <w:noProof/>
                </w:rPr>
                <w:t xml:space="preserve">Banking for the future: A background paper on financial literacy and financial services for Indigenous Australians, </w:t>
              </w:r>
              <w:r>
                <w:rPr>
                  <w:noProof/>
                </w:rPr>
                <w:t>s.l.: s.n.</w:t>
              </w:r>
            </w:p>
            <w:p w14:paraId="57D4B7F2" w14:textId="77777777" w:rsidR="00E83F6E" w:rsidRDefault="00E83F6E" w:rsidP="00E83F6E">
              <w:pPr>
                <w:pStyle w:val="Bibliography"/>
                <w:rPr>
                  <w:noProof/>
                </w:rPr>
              </w:pPr>
              <w:r>
                <w:rPr>
                  <w:noProof/>
                </w:rPr>
                <w:t xml:space="preserve">Rees, K., Maccora, J. &amp; McCallum, J., 2018. </w:t>
              </w:r>
              <w:r>
                <w:rPr>
                  <w:i/>
                  <w:iCs/>
                  <w:noProof/>
                </w:rPr>
                <w:t xml:space="preserve">You don't know what you don't know: The current state of Australian aged care service literacy, </w:t>
              </w:r>
              <w:r>
                <w:rPr>
                  <w:noProof/>
                </w:rPr>
                <w:t>Brisbane: National Seniors.</w:t>
              </w:r>
            </w:p>
            <w:p w14:paraId="16A1954F" w14:textId="77777777" w:rsidR="00E83F6E" w:rsidRDefault="00E83F6E" w:rsidP="00E83F6E">
              <w:pPr>
                <w:pStyle w:val="Bibliography"/>
                <w:rPr>
                  <w:noProof/>
                </w:rPr>
              </w:pPr>
              <w:r>
                <w:rPr>
                  <w:noProof/>
                </w:rPr>
                <w:t xml:space="preserve">Reeson, A. &amp; Dunstall, S., 2009. </w:t>
              </w:r>
              <w:r>
                <w:rPr>
                  <w:i/>
                  <w:iCs/>
                  <w:noProof/>
                </w:rPr>
                <w:t xml:space="preserve">Behavioural Economics and Complex Decision-Making: Implications for the Australian Tax and Transfer System, </w:t>
              </w:r>
              <w:r>
                <w:rPr>
                  <w:noProof/>
                </w:rPr>
                <w:t>s.l.: CSIRO.</w:t>
              </w:r>
            </w:p>
            <w:p w14:paraId="4FE9BBBC" w14:textId="77777777" w:rsidR="00E83F6E" w:rsidRDefault="00E83F6E" w:rsidP="00E83F6E">
              <w:pPr>
                <w:pStyle w:val="Bibliography"/>
                <w:rPr>
                  <w:noProof/>
                </w:rPr>
              </w:pPr>
              <w:r>
                <w:rPr>
                  <w:noProof/>
                </w:rPr>
                <w:t xml:space="preserve">Reeson, A. et al., 2016. Superannuation Drawdown Behaviour: An Analysis of Longitudinal Data. </w:t>
              </w:r>
              <w:r>
                <w:rPr>
                  <w:i/>
                  <w:iCs/>
                  <w:noProof/>
                </w:rPr>
                <w:t xml:space="preserve">Jassa, </w:t>
              </w:r>
              <w:r>
                <w:rPr>
                  <w:noProof/>
                </w:rPr>
                <w:t>Issue 2, pp. 42-53.</w:t>
              </w:r>
            </w:p>
            <w:p w14:paraId="54D3F270" w14:textId="77777777" w:rsidR="00E83F6E" w:rsidRDefault="00E83F6E" w:rsidP="00E83F6E">
              <w:pPr>
                <w:pStyle w:val="Bibliography"/>
                <w:rPr>
                  <w:noProof/>
                </w:rPr>
              </w:pPr>
              <w:r>
                <w:rPr>
                  <w:noProof/>
                </w:rPr>
                <w:t xml:space="preserve">REST Super, 2017. </w:t>
              </w:r>
              <w:r>
                <w:rPr>
                  <w:i/>
                  <w:iCs/>
                  <w:noProof/>
                </w:rPr>
                <w:t xml:space="preserve">Making a Break, </w:t>
              </w:r>
              <w:r>
                <w:rPr>
                  <w:noProof/>
                </w:rPr>
                <w:t>s.l.: REST Super.</w:t>
              </w:r>
            </w:p>
            <w:p w14:paraId="6208960A" w14:textId="77777777" w:rsidR="00E83F6E" w:rsidRDefault="00E83F6E" w:rsidP="00E83F6E">
              <w:pPr>
                <w:pStyle w:val="Bibliography"/>
                <w:rPr>
                  <w:noProof/>
                </w:rPr>
              </w:pPr>
              <w:r>
                <w:rPr>
                  <w:noProof/>
                </w:rPr>
                <w:t xml:space="preserve">Rest Super, 2020. </w:t>
              </w:r>
              <w:r>
                <w:rPr>
                  <w:i/>
                  <w:iCs/>
                  <w:noProof/>
                </w:rPr>
                <w:t xml:space="preserve">Compare your super investment options. </w:t>
              </w:r>
              <w:r>
                <w:rPr>
                  <w:noProof/>
                </w:rPr>
                <w:t xml:space="preserve">[Online] </w:t>
              </w:r>
              <w:r>
                <w:rPr>
                  <w:noProof/>
                </w:rPr>
                <w:br/>
                <w:t xml:space="preserve">Available at: </w:t>
              </w:r>
              <w:r>
                <w:rPr>
                  <w:noProof/>
                  <w:u w:val="single"/>
                </w:rPr>
                <w:t>https://rest.com.au/member/investments/compare-super#</w:t>
              </w:r>
              <w:r>
                <w:rPr>
                  <w:noProof/>
                </w:rPr>
                <w:br/>
                <w:t>[Accessed 17 June 2020].</w:t>
              </w:r>
            </w:p>
            <w:p w14:paraId="7E70F849" w14:textId="77777777" w:rsidR="00E83F6E" w:rsidRDefault="00E83F6E" w:rsidP="00E83F6E">
              <w:pPr>
                <w:pStyle w:val="Bibliography"/>
                <w:rPr>
                  <w:noProof/>
                </w:rPr>
              </w:pPr>
              <w:r>
                <w:rPr>
                  <w:noProof/>
                </w:rPr>
                <w:t xml:space="preserve">Reuters, 2020. </w:t>
              </w:r>
              <w:r>
                <w:rPr>
                  <w:i/>
                  <w:iCs/>
                  <w:noProof/>
                </w:rPr>
                <w:t xml:space="preserve">Chile's Pinera proposes reform of pension system that has fueled protests. </w:t>
              </w:r>
              <w:r>
                <w:rPr>
                  <w:noProof/>
                </w:rPr>
                <w:t xml:space="preserve">[Online] </w:t>
              </w:r>
              <w:r>
                <w:rPr>
                  <w:noProof/>
                </w:rPr>
                <w:br/>
                <w:t xml:space="preserve">Available at: </w:t>
              </w:r>
              <w:r>
                <w:rPr>
                  <w:noProof/>
                  <w:u w:val="single"/>
                </w:rPr>
                <w:t>https://www.reuters.com/article/us-chile-pensions/chiles-pinera-proposes-reform-of-pension-system-that-has-fueled-protests-idUSKBN1ZF075</w:t>
              </w:r>
              <w:r>
                <w:rPr>
                  <w:noProof/>
                </w:rPr>
                <w:br/>
                <w:t>[Accessed 1 May 2020].</w:t>
              </w:r>
            </w:p>
            <w:p w14:paraId="4EF215FC" w14:textId="77777777" w:rsidR="00E83F6E" w:rsidRDefault="00E83F6E" w:rsidP="00E83F6E">
              <w:pPr>
                <w:pStyle w:val="Bibliography"/>
                <w:rPr>
                  <w:noProof/>
                </w:rPr>
              </w:pPr>
              <w:r>
                <w:rPr>
                  <w:noProof/>
                </w:rPr>
                <w:t xml:space="preserve">Rice Warner, 2018. </w:t>
              </w:r>
              <w:r>
                <w:rPr>
                  <w:i/>
                  <w:iCs/>
                  <w:noProof/>
                </w:rPr>
                <w:t xml:space="preserve">Superannuation Market Projections Report, </w:t>
              </w:r>
              <w:r>
                <w:rPr>
                  <w:noProof/>
                </w:rPr>
                <w:t>s.l.: Rice Warner Client Research Portal.</w:t>
              </w:r>
            </w:p>
            <w:p w14:paraId="38423BFD" w14:textId="77777777" w:rsidR="00E83F6E" w:rsidRDefault="00E83F6E" w:rsidP="00E83F6E">
              <w:pPr>
                <w:pStyle w:val="Bibliography"/>
                <w:rPr>
                  <w:noProof/>
                </w:rPr>
              </w:pPr>
              <w:r>
                <w:rPr>
                  <w:noProof/>
                </w:rPr>
                <w:t xml:space="preserve">Rice Warner, 2019a. </w:t>
              </w:r>
              <w:r>
                <w:rPr>
                  <w:i/>
                  <w:iCs/>
                  <w:noProof/>
                </w:rPr>
                <w:t xml:space="preserve">Financial Advice within Superannuation Funds 2019 report, </w:t>
              </w:r>
              <w:r>
                <w:rPr>
                  <w:noProof/>
                </w:rPr>
                <w:t>s.l.: Rice Warner Client Research Portal.</w:t>
              </w:r>
            </w:p>
            <w:p w14:paraId="600431C6" w14:textId="77777777" w:rsidR="00E83F6E" w:rsidRDefault="00E83F6E" w:rsidP="00E83F6E">
              <w:pPr>
                <w:pStyle w:val="Bibliography"/>
                <w:rPr>
                  <w:noProof/>
                </w:rPr>
              </w:pPr>
              <w:r>
                <w:rPr>
                  <w:noProof/>
                </w:rPr>
                <w:t xml:space="preserve">Rice Warner, 2019b. </w:t>
              </w:r>
              <w:r>
                <w:rPr>
                  <w:i/>
                  <w:iCs/>
                  <w:noProof/>
                </w:rPr>
                <w:t xml:space="preserve">Super Insights 2019, </w:t>
              </w:r>
              <w:r>
                <w:rPr>
                  <w:noProof/>
                </w:rPr>
                <w:t>s.l.: Rice Warner Client Research Portal.</w:t>
              </w:r>
            </w:p>
            <w:p w14:paraId="1BF6631B" w14:textId="77777777" w:rsidR="00E83F6E" w:rsidRDefault="00E83F6E" w:rsidP="00E83F6E">
              <w:pPr>
                <w:pStyle w:val="Bibliography"/>
                <w:rPr>
                  <w:noProof/>
                </w:rPr>
              </w:pPr>
              <w:r>
                <w:rPr>
                  <w:noProof/>
                </w:rPr>
                <w:t xml:space="preserve">Rice Warner, 2019c. </w:t>
              </w:r>
              <w:r>
                <w:rPr>
                  <w:i/>
                  <w:iCs/>
                  <w:noProof/>
                </w:rPr>
                <w:t xml:space="preserve">Superannuation Market Projections Report 2019, </w:t>
              </w:r>
              <w:r>
                <w:rPr>
                  <w:noProof/>
                </w:rPr>
                <w:t>s.l.: Rice Warner Client Research Portal.</w:t>
              </w:r>
            </w:p>
            <w:p w14:paraId="5644C50B" w14:textId="77777777" w:rsidR="00E83F6E" w:rsidRDefault="00E83F6E" w:rsidP="00E83F6E">
              <w:pPr>
                <w:pStyle w:val="Bibliography"/>
                <w:rPr>
                  <w:noProof/>
                </w:rPr>
              </w:pPr>
              <w:r>
                <w:rPr>
                  <w:noProof/>
                </w:rPr>
                <w:t xml:space="preserve">Rice Warner, 2019d. </w:t>
              </w:r>
              <w:r>
                <w:rPr>
                  <w:i/>
                  <w:iCs/>
                  <w:noProof/>
                </w:rPr>
                <w:t xml:space="preserve">What is the right level of superannuation guarantee?. </w:t>
              </w:r>
              <w:r>
                <w:rPr>
                  <w:noProof/>
                </w:rPr>
                <w:t xml:space="preserve">[Online] </w:t>
              </w:r>
              <w:r>
                <w:rPr>
                  <w:noProof/>
                </w:rPr>
                <w:br/>
                <w:t xml:space="preserve">Available at: </w:t>
              </w:r>
              <w:r>
                <w:rPr>
                  <w:noProof/>
                  <w:u w:val="single"/>
                </w:rPr>
                <w:t>https://www.ricewarner.com/wp-content/uploads/2019/06/Rpt-What-is-the-right-level-of-SG-Actuaries-Institute-June-2019.pdf</w:t>
              </w:r>
              <w:r>
                <w:rPr>
                  <w:noProof/>
                </w:rPr>
                <w:br/>
                <w:t>[Accessed 8 June 2020].</w:t>
              </w:r>
            </w:p>
            <w:p w14:paraId="274826B7" w14:textId="77777777" w:rsidR="00E83F6E" w:rsidRDefault="00E83F6E" w:rsidP="00E83F6E">
              <w:pPr>
                <w:pStyle w:val="Bibliography"/>
                <w:rPr>
                  <w:noProof/>
                </w:rPr>
              </w:pPr>
              <w:r>
                <w:rPr>
                  <w:noProof/>
                </w:rPr>
                <w:t xml:space="preserve">Rice Warner,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16020DA7" w14:textId="77777777" w:rsidR="00E83F6E" w:rsidRDefault="00E83F6E" w:rsidP="00E83F6E">
              <w:pPr>
                <w:pStyle w:val="Bibliography"/>
                <w:rPr>
                  <w:noProof/>
                </w:rPr>
              </w:pPr>
              <w:r>
                <w:rPr>
                  <w:noProof/>
                </w:rPr>
                <w:t xml:space="preserve">Romer, P., 2019. </w:t>
              </w:r>
              <w:r>
                <w:rPr>
                  <w:i/>
                  <w:iCs/>
                  <w:noProof/>
                </w:rPr>
                <w:t xml:space="preserve">Advanced Macroeconomics. </w:t>
              </w:r>
              <w:r>
                <w:rPr>
                  <w:noProof/>
                </w:rPr>
                <w:t>5th ed. New York: McGraw-Hill.</w:t>
              </w:r>
            </w:p>
            <w:p w14:paraId="67D28AF8" w14:textId="77777777" w:rsidR="00E83F6E" w:rsidRDefault="00E83F6E" w:rsidP="00E83F6E">
              <w:pPr>
                <w:pStyle w:val="Bibliography"/>
                <w:rPr>
                  <w:noProof/>
                </w:rPr>
              </w:pPr>
              <w:r>
                <w:rPr>
                  <w:noProof/>
                </w:rPr>
                <w:t xml:space="preserve">Rothman, G., 2007. </w:t>
              </w:r>
              <w:r>
                <w:rPr>
                  <w:i/>
                  <w:iCs/>
                  <w:noProof/>
                </w:rPr>
                <w:t xml:space="preserve">The Adequacy of Australian Retirement Incomes- New Estimates. </w:t>
              </w:r>
              <w:r>
                <w:rPr>
                  <w:noProof/>
                </w:rPr>
                <w:t>s.l., Paper presented to the Fifteenth Colloquium of Superannuation Researchers, University of Sydney.</w:t>
              </w:r>
            </w:p>
            <w:p w14:paraId="132A3AFE" w14:textId="77777777" w:rsidR="00E83F6E" w:rsidRDefault="00E83F6E" w:rsidP="00E83F6E">
              <w:pPr>
                <w:pStyle w:val="Bibliography"/>
                <w:rPr>
                  <w:noProof/>
                </w:rPr>
              </w:pPr>
              <w:r>
                <w:rPr>
                  <w:noProof/>
                </w:rPr>
                <w:t xml:space="preserve">Rothman, G., 2011. </w:t>
              </w:r>
              <w:r>
                <w:rPr>
                  <w:i/>
                  <w:iCs/>
                  <w:noProof/>
                </w:rPr>
                <w:t xml:space="preserve">Projecting the Adequacy of Australian Retirement Incomes - for whole of population, income and gender groups, </w:t>
              </w:r>
              <w:r>
                <w:rPr>
                  <w:noProof/>
                </w:rPr>
                <w:t>Canberra: Retirement &amp; Intergenerational Modelling &amp; Analysis Unit, Department of the Treasury, Commonwealth of Australia.</w:t>
              </w:r>
            </w:p>
            <w:p w14:paraId="5625CF28" w14:textId="77777777" w:rsidR="00E83F6E" w:rsidRDefault="00E83F6E" w:rsidP="00E83F6E">
              <w:pPr>
                <w:pStyle w:val="Bibliography"/>
                <w:rPr>
                  <w:noProof/>
                </w:rPr>
              </w:pPr>
              <w:r>
                <w:rPr>
                  <w:noProof/>
                </w:rPr>
                <w:t xml:space="preserve">Royal Commission into Misconduct in the Banking, Superannuation and Financial Services Industry, 2019. </w:t>
              </w:r>
              <w:r>
                <w:rPr>
                  <w:i/>
                  <w:iCs/>
                  <w:noProof/>
                </w:rPr>
                <w:t xml:space="preserve">Royal Commission into Misconduct in the Banking, Superannuation and Financial Services Industry Final Report, </w:t>
              </w:r>
              <w:r>
                <w:rPr>
                  <w:noProof/>
                </w:rPr>
                <w:t>Canberra: Commonwealth of Australia.</w:t>
              </w:r>
            </w:p>
            <w:p w14:paraId="038903CE" w14:textId="77777777" w:rsidR="00E83F6E" w:rsidRDefault="00E83F6E" w:rsidP="00E83F6E">
              <w:pPr>
                <w:pStyle w:val="Bibliography"/>
                <w:rPr>
                  <w:noProof/>
                </w:rPr>
              </w:pPr>
              <w:r>
                <w:rPr>
                  <w:noProof/>
                </w:rPr>
                <w:t xml:space="preserve">Rozario, A., 2012. Making the most of equity release: perspectives from key players. In: G. Lord, ed. </w:t>
              </w:r>
              <w:r>
                <w:rPr>
                  <w:i/>
                  <w:iCs/>
                  <w:noProof/>
                </w:rPr>
                <w:t xml:space="preserve">Making the most of equity release: perspectives from key players. </w:t>
              </w:r>
              <w:r>
                <w:rPr>
                  <w:noProof/>
                </w:rPr>
                <w:t>London: The Smith Institute, pp. 12-16.</w:t>
              </w:r>
            </w:p>
            <w:p w14:paraId="3A63BA3F" w14:textId="77777777" w:rsidR="00E83F6E" w:rsidRDefault="00E83F6E" w:rsidP="00E83F6E">
              <w:pPr>
                <w:pStyle w:val="Bibliography"/>
                <w:rPr>
                  <w:noProof/>
                </w:rPr>
              </w:pPr>
              <w:r>
                <w:rPr>
                  <w:noProof/>
                </w:rPr>
                <w:t xml:space="preserve">Russell, R., Kutin, J., Stewart, M. &amp; Cai, R. Y., 2018. </w:t>
              </w:r>
              <w:r>
                <w:rPr>
                  <w:i/>
                  <w:iCs/>
                  <w:noProof/>
                </w:rPr>
                <w:t xml:space="preserve">Financial Wellbeing: Older Australians, </w:t>
              </w:r>
              <w:r>
                <w:rPr>
                  <w:noProof/>
                </w:rPr>
                <w:t>s.l.: ANZ and School of Economics, Finance and Marketing, RMIT University.</w:t>
              </w:r>
            </w:p>
            <w:p w14:paraId="1EECD682" w14:textId="77777777" w:rsidR="00E83F6E" w:rsidRDefault="00E83F6E" w:rsidP="00E83F6E">
              <w:pPr>
                <w:pStyle w:val="Bibliography"/>
                <w:rPr>
                  <w:noProof/>
                </w:rPr>
              </w:pPr>
              <w:r>
                <w:rPr>
                  <w:noProof/>
                </w:rPr>
                <w:t xml:space="preserve">Ruthbah, U. &amp; Pham, N., 2020a. </w:t>
              </w:r>
              <w:r>
                <w:rPr>
                  <w:i/>
                  <w:iCs/>
                  <w:noProof/>
                </w:rPr>
                <w:t xml:space="preserve">Household Savings and the Superannuation Guarantee, </w:t>
              </w:r>
              <w:r>
                <w:rPr>
                  <w:noProof/>
                </w:rPr>
                <w:t>Melbourne: Monash Centre for Financial Studies, Monash University.</w:t>
              </w:r>
            </w:p>
            <w:p w14:paraId="7EEE07F9" w14:textId="77777777" w:rsidR="00E83F6E" w:rsidRDefault="00E83F6E" w:rsidP="00E83F6E">
              <w:pPr>
                <w:pStyle w:val="Bibliography"/>
                <w:rPr>
                  <w:noProof/>
                </w:rPr>
              </w:pPr>
              <w:r>
                <w:rPr>
                  <w:noProof/>
                </w:rPr>
                <w:t xml:space="preserve">Ruthbah, U. &amp; Pham, N., 2020b. </w:t>
              </w:r>
              <w:r>
                <w:rPr>
                  <w:i/>
                  <w:iCs/>
                  <w:noProof/>
                </w:rPr>
                <w:t xml:space="preserve">The Effects of Superannuation Tax Concessions on Private Savings, </w:t>
              </w:r>
              <w:r>
                <w:rPr>
                  <w:noProof/>
                </w:rPr>
                <w:t>Melbourne: Monash Centre for Financial Studies, Monash University.</w:t>
              </w:r>
            </w:p>
            <w:p w14:paraId="0CB4D7FE" w14:textId="77777777" w:rsidR="00E83F6E" w:rsidRDefault="00E83F6E" w:rsidP="00E83F6E">
              <w:pPr>
                <w:pStyle w:val="Bibliography"/>
                <w:rPr>
                  <w:noProof/>
                </w:rPr>
              </w:pPr>
              <w:r>
                <w:rPr>
                  <w:noProof/>
                </w:rPr>
                <w:t xml:space="preserve">Saunders, P., 1999. Budget Standards and the Poverty Line. </w:t>
              </w:r>
              <w:r>
                <w:rPr>
                  <w:i/>
                  <w:iCs/>
                  <w:noProof/>
                </w:rPr>
                <w:t xml:space="preserve">The Australian Economic Review, </w:t>
              </w:r>
              <w:r>
                <w:rPr>
                  <w:noProof/>
                </w:rPr>
                <w:t>32(1), pp. 43-61.</w:t>
              </w:r>
            </w:p>
            <w:p w14:paraId="10CEDA8E" w14:textId="77777777" w:rsidR="00E83F6E" w:rsidRDefault="00E83F6E" w:rsidP="00E83F6E">
              <w:pPr>
                <w:pStyle w:val="Bibliography"/>
                <w:rPr>
                  <w:noProof/>
                </w:rPr>
              </w:pPr>
              <w:r>
                <w:rPr>
                  <w:noProof/>
                </w:rPr>
                <w:t xml:space="preserve">Saunders, P., 2006. The Historical Development of Budget Standards for Australian Working Families. </w:t>
              </w:r>
              <w:r>
                <w:rPr>
                  <w:i/>
                  <w:iCs/>
                  <w:noProof/>
                </w:rPr>
                <w:t xml:space="preserve">Journal of Industrial Relations, </w:t>
              </w:r>
              <w:r>
                <w:rPr>
                  <w:noProof/>
                </w:rPr>
                <w:t>48(2), pp. 155-173.</w:t>
              </w:r>
            </w:p>
            <w:p w14:paraId="6AA344A9" w14:textId="77777777" w:rsidR="00E83F6E" w:rsidRDefault="00E83F6E" w:rsidP="00E83F6E">
              <w:pPr>
                <w:pStyle w:val="Bibliography"/>
                <w:rPr>
                  <w:noProof/>
                </w:rPr>
              </w:pPr>
              <w:r>
                <w:rPr>
                  <w:noProof/>
                </w:rPr>
                <w:t xml:space="preserve">Saunders, P. &amp; Bedford, M., 2017. </w:t>
              </w:r>
              <w:r>
                <w:rPr>
                  <w:i/>
                  <w:iCs/>
                  <w:noProof/>
                </w:rPr>
                <w:t xml:space="preserve">New Minimum Income for Healthy Living Budget Standards for Low-Paid and Unemployed Australians: Summary Report, </w:t>
              </w:r>
              <w:r>
                <w:rPr>
                  <w:noProof/>
                </w:rPr>
                <w:t>Sydney: Social Policy Research Centre, UNSW Sydney.</w:t>
              </w:r>
            </w:p>
            <w:p w14:paraId="148E07C0" w14:textId="77777777" w:rsidR="00E83F6E" w:rsidRDefault="00E83F6E" w:rsidP="00E83F6E">
              <w:pPr>
                <w:pStyle w:val="Bibliography"/>
                <w:rPr>
                  <w:noProof/>
                </w:rPr>
              </w:pPr>
              <w:r>
                <w:rPr>
                  <w:noProof/>
                </w:rPr>
                <w:t xml:space="preserve">Saunders, P. &amp; Bedford, M., 2018. New estimates of the costs of children. </w:t>
              </w:r>
              <w:r>
                <w:rPr>
                  <w:i/>
                  <w:iCs/>
                  <w:noProof/>
                </w:rPr>
                <w:t xml:space="preserve">Family Matters, </w:t>
              </w:r>
              <w:r>
                <w:rPr>
                  <w:noProof/>
                </w:rPr>
                <w:t>pp. 19-27.</w:t>
              </w:r>
            </w:p>
            <w:p w14:paraId="27CC09FF" w14:textId="77777777" w:rsidR="00E83F6E" w:rsidRDefault="00E83F6E" w:rsidP="00E83F6E">
              <w:pPr>
                <w:pStyle w:val="Bibliography"/>
                <w:rPr>
                  <w:noProof/>
                </w:rPr>
              </w:pPr>
              <w:r>
                <w:rPr>
                  <w:noProof/>
                </w:rPr>
                <w:t xml:space="preserve">Saunders, P., Lee, A. &amp; Patulny, R., 2004. </w:t>
              </w:r>
              <w:r>
                <w:rPr>
                  <w:i/>
                  <w:iCs/>
                  <w:noProof/>
                </w:rPr>
                <w:t xml:space="preserve">Updating and Extending Indicative Budget Standards for Older Australians, </w:t>
              </w:r>
              <w:r>
                <w:rPr>
                  <w:noProof/>
                </w:rPr>
                <w:t>Sydney: Social Policy Research Centre, University of New South Wales.</w:t>
              </w:r>
            </w:p>
            <w:p w14:paraId="59A84CC8" w14:textId="77777777" w:rsidR="00E83F6E" w:rsidRDefault="00E83F6E" w:rsidP="00E83F6E">
              <w:pPr>
                <w:pStyle w:val="Bibliography"/>
                <w:rPr>
                  <w:noProof/>
                </w:rPr>
              </w:pPr>
              <w:r>
                <w:rPr>
                  <w:noProof/>
                </w:rPr>
                <w:t xml:space="preserve">Save Our Super,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289689FF" w14:textId="77777777" w:rsidR="00E83F6E" w:rsidRDefault="00E83F6E" w:rsidP="00E83F6E">
              <w:pPr>
                <w:pStyle w:val="Bibliography"/>
                <w:rPr>
                  <w:noProof/>
                </w:rPr>
              </w:pPr>
              <w:r>
                <w:rPr>
                  <w:noProof/>
                </w:rPr>
                <w:t xml:space="preserve">Scholz, J. C. &amp; Seshadri, A., 2009. Children and Household Wealth. </w:t>
              </w:r>
              <w:r>
                <w:rPr>
                  <w:i/>
                  <w:iCs/>
                  <w:noProof/>
                </w:rPr>
                <w:t>Michigan Retirement Research Center Research Paper No. WP 2007-158.</w:t>
              </w:r>
            </w:p>
            <w:p w14:paraId="3238C059" w14:textId="77777777" w:rsidR="00E83F6E" w:rsidRDefault="00E83F6E" w:rsidP="00E83F6E">
              <w:pPr>
                <w:pStyle w:val="Bibliography"/>
                <w:rPr>
                  <w:noProof/>
                </w:rPr>
              </w:pPr>
              <w:r>
                <w:rPr>
                  <w:noProof/>
                </w:rPr>
                <w:t xml:space="preserve">Self-managed Independent Superannuation Funds Association,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4637DF76" w14:textId="77777777" w:rsidR="00E83F6E" w:rsidRDefault="00E83F6E" w:rsidP="00E83F6E">
              <w:pPr>
                <w:pStyle w:val="Bibliography"/>
                <w:rPr>
                  <w:noProof/>
                </w:rPr>
              </w:pPr>
              <w:r>
                <w:rPr>
                  <w:noProof/>
                </w:rPr>
                <w:t xml:space="preserve">Senate Economics Reference Committee, 2015. </w:t>
              </w:r>
              <w:r>
                <w:rPr>
                  <w:i/>
                  <w:iCs/>
                  <w:noProof/>
                </w:rPr>
                <w:t xml:space="preserve">Out of reach? The Australian housing affordability challenge, </w:t>
              </w:r>
              <w:r>
                <w:rPr>
                  <w:noProof/>
                </w:rPr>
                <w:t>Canberra: Commonwealth of Australia.</w:t>
              </w:r>
            </w:p>
            <w:p w14:paraId="6884967E" w14:textId="77777777" w:rsidR="00E83F6E" w:rsidRDefault="00E83F6E" w:rsidP="00E83F6E">
              <w:pPr>
                <w:pStyle w:val="Bibliography"/>
                <w:rPr>
                  <w:noProof/>
                </w:rPr>
              </w:pPr>
              <w:r>
                <w:rPr>
                  <w:noProof/>
                </w:rPr>
                <w:t xml:space="preserve">Senate Economics References Committee, 2017. </w:t>
              </w:r>
              <w:r>
                <w:rPr>
                  <w:i/>
                  <w:iCs/>
                  <w:noProof/>
                </w:rPr>
                <w:t xml:space="preserve">Superbad – Wage theft and non-compliance of the Superannuation Guarantee, </w:t>
              </w:r>
              <w:r>
                <w:rPr>
                  <w:noProof/>
                </w:rPr>
                <w:t>Canberra: Commonwealth of Australia.</w:t>
              </w:r>
            </w:p>
            <w:p w14:paraId="418E5DCE" w14:textId="77777777" w:rsidR="00E83F6E" w:rsidRDefault="00E83F6E" w:rsidP="00E83F6E">
              <w:pPr>
                <w:pStyle w:val="Bibliography"/>
                <w:rPr>
                  <w:noProof/>
                </w:rPr>
              </w:pPr>
              <w:r>
                <w:rPr>
                  <w:noProof/>
                </w:rPr>
                <w:t xml:space="preserve">Senate Education and Employment References Committee, 2016. </w:t>
              </w:r>
              <w:r>
                <w:rPr>
                  <w:i/>
                  <w:iCs/>
                  <w:noProof/>
                </w:rPr>
                <w:t xml:space="preserve">Corporate avoidance of the Fair Work Act, </w:t>
              </w:r>
              <w:r>
                <w:rPr>
                  <w:noProof/>
                </w:rPr>
                <w:t>Canberra: Commonwealth of Australia.</w:t>
              </w:r>
            </w:p>
            <w:p w14:paraId="0DB16F3F" w14:textId="77777777" w:rsidR="00E83F6E" w:rsidRDefault="00E83F6E" w:rsidP="00E83F6E">
              <w:pPr>
                <w:pStyle w:val="Bibliography"/>
                <w:rPr>
                  <w:noProof/>
                </w:rPr>
              </w:pPr>
              <w:r>
                <w:rPr>
                  <w:noProof/>
                </w:rPr>
                <w:t xml:space="preserve">Senate Finance and Public Administration Committees, 2017. </w:t>
              </w:r>
              <w:r>
                <w:rPr>
                  <w:i/>
                  <w:iCs/>
                  <w:noProof/>
                </w:rPr>
                <w:t xml:space="preserve">The appropriateness and effectiveness of the objectives, design, implementation and evaluation of the Community Development Program (CDP), </w:t>
              </w:r>
              <w:r>
                <w:rPr>
                  <w:noProof/>
                </w:rPr>
                <w:t>Canberra: Commonwealth of Australia.</w:t>
              </w:r>
            </w:p>
            <w:p w14:paraId="6B057B55" w14:textId="77777777" w:rsidR="00E83F6E" w:rsidRDefault="00E83F6E" w:rsidP="00E83F6E">
              <w:pPr>
                <w:pStyle w:val="Bibliography"/>
                <w:rPr>
                  <w:noProof/>
                </w:rPr>
              </w:pPr>
              <w:r>
                <w:rPr>
                  <w:noProof/>
                </w:rPr>
                <w:t xml:space="preserve">Senate Select Committee on Superannuation, 1992. </w:t>
              </w:r>
              <w:r>
                <w:rPr>
                  <w:i/>
                  <w:iCs/>
                  <w:noProof/>
                </w:rPr>
                <w:t xml:space="preserve">Super Guarantee Bills, </w:t>
              </w:r>
              <w:r>
                <w:rPr>
                  <w:noProof/>
                </w:rPr>
                <w:t>Canberra: Parliament of the Commonwealth of Australia.</w:t>
              </w:r>
            </w:p>
            <w:p w14:paraId="4C59559A" w14:textId="77777777" w:rsidR="00E83F6E" w:rsidRDefault="00E83F6E" w:rsidP="00E83F6E">
              <w:pPr>
                <w:pStyle w:val="Bibliography"/>
                <w:rPr>
                  <w:noProof/>
                </w:rPr>
              </w:pPr>
              <w:r>
                <w:rPr>
                  <w:noProof/>
                </w:rPr>
                <w:t xml:space="preserve">Senate Standing Committee on COVID-19, 2020. </w:t>
              </w:r>
              <w:r>
                <w:rPr>
                  <w:i/>
                  <w:iCs/>
                  <w:noProof/>
                </w:rPr>
                <w:t xml:space="preserve">QoN 51 - Answers to written questions on notice by Treasury, asked by Senators Sheldon, Siewert and Gallagher on 8 May 2020. </w:t>
              </w:r>
              <w:r>
                <w:rPr>
                  <w:noProof/>
                </w:rPr>
                <w:t xml:space="preserve">[Online] </w:t>
              </w:r>
              <w:r>
                <w:rPr>
                  <w:noProof/>
                </w:rPr>
                <w:br/>
                <w:t xml:space="preserve">Available at: </w:t>
              </w:r>
              <w:r>
                <w:rPr>
                  <w:noProof/>
                  <w:u w:val="single"/>
                </w:rPr>
                <w:t>https://www.aph.gov.au/Parliamentary_Business/Committees/Senate/COVID-19/COVID19/Additional_Documents?docType=Answer%20to%20Question%20on%20Notice</w:t>
              </w:r>
              <w:r>
                <w:rPr>
                  <w:noProof/>
                </w:rPr>
                <w:br/>
                <w:t>[Accessed 18 May 2020].</w:t>
              </w:r>
            </w:p>
            <w:p w14:paraId="1A35DA2D" w14:textId="77777777" w:rsidR="00E83F6E" w:rsidRDefault="00E83F6E" w:rsidP="00E83F6E">
              <w:pPr>
                <w:pStyle w:val="Bibliography"/>
                <w:rPr>
                  <w:noProof/>
                </w:rPr>
              </w:pPr>
              <w:r>
                <w:rPr>
                  <w:noProof/>
                </w:rPr>
                <w:t xml:space="preserve">Services Australia, 2019. </w:t>
              </w:r>
              <w:r>
                <w:rPr>
                  <w:i/>
                  <w:iCs/>
                  <w:noProof/>
                </w:rPr>
                <w:t xml:space="preserve">Historical versions of A guide to Australian Government payments. </w:t>
              </w:r>
              <w:r>
                <w:rPr>
                  <w:noProof/>
                </w:rPr>
                <w:t xml:space="preserve">[Online] </w:t>
              </w:r>
              <w:r>
                <w:rPr>
                  <w:noProof/>
                </w:rPr>
                <w:br/>
                <w:t xml:space="preserve">Available at: </w:t>
              </w:r>
              <w:r>
                <w:rPr>
                  <w:noProof/>
                  <w:u w:val="single"/>
                </w:rPr>
                <w:t>https://www.servicesaustralia.gov.au/organisations/about-us/publications-and-resources/guide-australian-government-payments/historical-versions-guide-australian-government-payments</w:t>
              </w:r>
              <w:r>
                <w:rPr>
                  <w:noProof/>
                </w:rPr>
                <w:br/>
                <w:t>[Accessed 16 April 2020].</w:t>
              </w:r>
            </w:p>
            <w:p w14:paraId="1EFFB309" w14:textId="77777777" w:rsidR="00E83F6E" w:rsidRDefault="00E83F6E" w:rsidP="00E83F6E">
              <w:pPr>
                <w:pStyle w:val="Bibliography"/>
                <w:rPr>
                  <w:noProof/>
                </w:rPr>
              </w:pPr>
              <w:r>
                <w:rPr>
                  <w:noProof/>
                </w:rPr>
                <w:t xml:space="preserve">Shafir, E., ed., 2012. </w:t>
              </w:r>
              <w:r>
                <w:rPr>
                  <w:i/>
                  <w:iCs/>
                  <w:noProof/>
                </w:rPr>
                <w:t xml:space="preserve">The Behavioral Foundations of Public Policy. </w:t>
              </w:r>
              <w:r>
                <w:rPr>
                  <w:noProof/>
                </w:rPr>
                <w:t>Princeton, Oxford: Princeton University Press.</w:t>
              </w:r>
            </w:p>
            <w:p w14:paraId="52842D12" w14:textId="77777777" w:rsidR="00E83F6E" w:rsidRDefault="00E83F6E" w:rsidP="00E83F6E">
              <w:pPr>
                <w:pStyle w:val="Bibliography"/>
                <w:rPr>
                  <w:noProof/>
                </w:rPr>
              </w:pPr>
              <w:r>
                <w:rPr>
                  <w:noProof/>
                </w:rPr>
                <w:t xml:space="preserve">Sharpe, T., 2020. </w:t>
              </w:r>
              <w:r>
                <w:rPr>
                  <w:i/>
                  <w:iCs/>
                  <w:noProof/>
                </w:rPr>
                <w:t xml:space="preserve">Sunsuper sees ‘overwhelming flow’ of unadvised members flocking to cash. </w:t>
              </w:r>
              <w:r>
                <w:rPr>
                  <w:noProof/>
                </w:rPr>
                <w:t xml:space="preserve">[Online] </w:t>
              </w:r>
              <w:r>
                <w:rPr>
                  <w:noProof/>
                </w:rPr>
                <w:br/>
                <w:t xml:space="preserve">Available at: </w:t>
              </w:r>
              <w:r>
                <w:rPr>
                  <w:noProof/>
                  <w:u w:val="single"/>
                </w:rPr>
                <w:t>https://www.professionalplanner.com.au/2020/03/sunsuper-sees-overwhelming-flow-of-unadvised-members-flocking-to-cash/</w:t>
              </w:r>
              <w:r>
                <w:rPr>
                  <w:noProof/>
                </w:rPr>
                <w:br/>
                <w:t>[Accessed 18 May 2020].</w:t>
              </w:r>
            </w:p>
            <w:p w14:paraId="33C1EC59" w14:textId="77777777" w:rsidR="00E83F6E" w:rsidRDefault="00E83F6E" w:rsidP="00E83F6E">
              <w:pPr>
                <w:pStyle w:val="Bibliography"/>
                <w:rPr>
                  <w:noProof/>
                </w:rPr>
              </w:pPr>
              <w:r>
                <w:rPr>
                  <w:noProof/>
                </w:rPr>
                <w:t xml:space="preserve">Sheppard, J., Gray, M. &amp; Phillips, B., 2017. </w:t>
              </w:r>
              <w:r>
                <w:rPr>
                  <w:i/>
                  <w:iCs/>
                  <w:noProof/>
                </w:rPr>
                <w:t xml:space="preserve">ANU Poll 24, Attitudes to Housing Affordability: Pressures, Problems and Solutions, </w:t>
              </w:r>
              <w:r>
                <w:rPr>
                  <w:noProof/>
                </w:rPr>
                <w:t>Canberra: Australian Data Archive, Australian National University.</w:t>
              </w:r>
            </w:p>
            <w:p w14:paraId="3194DFE2" w14:textId="77777777" w:rsidR="00E83F6E" w:rsidRDefault="00E83F6E" w:rsidP="00E83F6E">
              <w:pPr>
                <w:pStyle w:val="Bibliography"/>
                <w:rPr>
                  <w:noProof/>
                </w:rPr>
              </w:pPr>
              <w:r>
                <w:rPr>
                  <w:noProof/>
                </w:rPr>
                <w:t xml:space="preserve">Shomos, A., Turner, E. &amp; Will, L., 2013b. </w:t>
              </w:r>
              <w:r>
                <w:rPr>
                  <w:i/>
                  <w:iCs/>
                  <w:noProof/>
                </w:rPr>
                <w:t xml:space="preserve">Forms of work in Australia, </w:t>
              </w:r>
              <w:r>
                <w:rPr>
                  <w:noProof/>
                </w:rPr>
                <w:t>Productivity Commision Staff Working Paper, Canberra: Productivity Commission.</w:t>
              </w:r>
            </w:p>
            <w:p w14:paraId="375DBADE" w14:textId="77777777" w:rsidR="00E83F6E" w:rsidRDefault="00E83F6E" w:rsidP="00E83F6E">
              <w:pPr>
                <w:pStyle w:val="Bibliography"/>
                <w:rPr>
                  <w:noProof/>
                </w:rPr>
              </w:pPr>
              <w:r>
                <w:rPr>
                  <w:noProof/>
                </w:rPr>
                <w:t xml:space="preserve">Shultz, K. S. &amp; Wang, M., 2011. Psychological Perspectives on the Changing Nature of Retirement. </w:t>
              </w:r>
              <w:r>
                <w:rPr>
                  <w:i/>
                  <w:iCs/>
                  <w:noProof/>
                </w:rPr>
                <w:t xml:space="preserve">The American Psychologist, </w:t>
              </w:r>
              <w:r>
                <w:rPr>
                  <w:noProof/>
                </w:rPr>
                <w:t>66(3), pp. 170-179.</w:t>
              </w:r>
            </w:p>
            <w:p w14:paraId="21D6A15B" w14:textId="77777777" w:rsidR="00E83F6E" w:rsidRDefault="00E83F6E" w:rsidP="00E83F6E">
              <w:pPr>
                <w:pStyle w:val="Bibliography"/>
                <w:rPr>
                  <w:noProof/>
                </w:rPr>
              </w:pPr>
              <w:r>
                <w:rPr>
                  <w:noProof/>
                </w:rPr>
                <w:t xml:space="preserve">Smith, S., 2006. The Retirement Consumption Puzzle and Involuntary Early Retirement: Evidence from the British Household Panel Survey. </w:t>
              </w:r>
              <w:r>
                <w:rPr>
                  <w:i/>
                  <w:iCs/>
                  <w:noProof/>
                </w:rPr>
                <w:t xml:space="preserve">The Economic Journal, </w:t>
              </w:r>
              <w:r>
                <w:rPr>
                  <w:noProof/>
                </w:rPr>
                <w:t>116(510), p. C130–C148.</w:t>
              </w:r>
            </w:p>
            <w:p w14:paraId="41F8D735" w14:textId="77777777" w:rsidR="00E83F6E" w:rsidRDefault="00E83F6E" w:rsidP="00E83F6E">
              <w:pPr>
                <w:pStyle w:val="Bibliography"/>
                <w:rPr>
                  <w:noProof/>
                </w:rPr>
              </w:pPr>
              <w:r>
                <w:rPr>
                  <w:noProof/>
                </w:rPr>
                <w:t xml:space="preserve">Smyrnis, G. et al., 2019. </w:t>
              </w:r>
              <w:r>
                <w:rPr>
                  <w:i/>
                  <w:iCs/>
                  <w:noProof/>
                </w:rPr>
                <w:t xml:space="preserve">The impact of projections on superannuation contributions, investment choice and engagement, </w:t>
              </w:r>
              <w:r>
                <w:rPr>
                  <w:noProof/>
                </w:rPr>
                <w:t>Sydney: ARC Centre of Excellence in Population Ageing Research.</w:t>
              </w:r>
            </w:p>
            <w:p w14:paraId="0264DA1C" w14:textId="77777777" w:rsidR="00E83F6E" w:rsidRDefault="00E83F6E" w:rsidP="00E83F6E">
              <w:pPr>
                <w:pStyle w:val="Bibliography"/>
                <w:rPr>
                  <w:noProof/>
                </w:rPr>
              </w:pPr>
              <w:r>
                <w:rPr>
                  <w:noProof/>
                </w:rPr>
                <w:t xml:space="preserve">Snoke, M., Kendig, H., O'Loughlin, K. &amp; Black, D., 2009. </w:t>
              </w:r>
              <w:r>
                <w:rPr>
                  <w:i/>
                  <w:iCs/>
                  <w:noProof/>
                </w:rPr>
                <w:t xml:space="preserve">Baby Boomers and retirement advice: what are the charecteristics of those that are seeking advice?, </w:t>
              </w:r>
              <w:r>
                <w:rPr>
                  <w:noProof/>
                </w:rPr>
                <w:t>Sydney: Faculty of Health Sciences, University of Sydney.</w:t>
              </w:r>
            </w:p>
            <w:p w14:paraId="72100D14" w14:textId="77777777" w:rsidR="00E83F6E" w:rsidRDefault="00E83F6E" w:rsidP="00E83F6E">
              <w:pPr>
                <w:pStyle w:val="Bibliography"/>
                <w:rPr>
                  <w:noProof/>
                </w:rPr>
              </w:pPr>
              <w:r>
                <w:rPr>
                  <w:noProof/>
                </w:rPr>
                <w:t xml:space="preserve">Sobeck, K. &amp; Breunig, R., 2020. </w:t>
              </w:r>
              <w:r>
                <w:rPr>
                  <w:i/>
                  <w:iCs/>
                  <w:noProof/>
                </w:rPr>
                <w:t xml:space="preserve">The Impact of Government Funded Retirement Contributions (Matching) on the Retirement Savings Behaviour of Low and Middle Income Individuals, </w:t>
              </w:r>
              <w:r>
                <w:rPr>
                  <w:noProof/>
                </w:rPr>
                <w:t>Canberra: Crawford School of Public Policy, Australian National University.</w:t>
              </w:r>
            </w:p>
            <w:p w14:paraId="6CD2BF36" w14:textId="77777777" w:rsidR="00E83F6E" w:rsidRDefault="00E83F6E" w:rsidP="00E83F6E">
              <w:pPr>
                <w:pStyle w:val="Bibliography"/>
                <w:rPr>
                  <w:noProof/>
                </w:rPr>
              </w:pPr>
              <w:r>
                <w:rPr>
                  <w:noProof/>
                </w:rPr>
                <w:t xml:space="preserve">Soljo, S. &amp; Blades, G., 2019. </w:t>
              </w:r>
              <w:r>
                <w:rPr>
                  <w:i/>
                  <w:iCs/>
                  <w:noProof/>
                </w:rPr>
                <w:t xml:space="preserve">Considering Robo-Advice. </w:t>
              </w:r>
              <w:r>
                <w:rPr>
                  <w:noProof/>
                </w:rPr>
                <w:t xml:space="preserve">[Online] </w:t>
              </w:r>
              <w:r>
                <w:rPr>
                  <w:noProof/>
                </w:rPr>
                <w:br/>
                <w:t xml:space="preserve">Available at: </w:t>
              </w:r>
              <w:r>
                <w:rPr>
                  <w:noProof/>
                  <w:u w:val="single"/>
                </w:rPr>
                <w:t>https://www.allens.com.au/insights-news/insights/2019/04/unravelled-considering-robo-advice/</w:t>
              </w:r>
              <w:r>
                <w:rPr>
                  <w:noProof/>
                </w:rPr>
                <w:br/>
                <w:t>[Accessed 3 May 2020].</w:t>
              </w:r>
            </w:p>
            <w:p w14:paraId="6BFE70A0" w14:textId="77777777" w:rsidR="00E83F6E" w:rsidRDefault="00E83F6E" w:rsidP="00E83F6E">
              <w:pPr>
                <w:pStyle w:val="Bibliography"/>
                <w:rPr>
                  <w:noProof/>
                </w:rPr>
              </w:pPr>
              <w:r>
                <w:rPr>
                  <w:noProof/>
                </w:rPr>
                <w:t xml:space="preserve">Sorensen, P. B., 2007. Can Capital Income Taxes Survive? And Should They?. </w:t>
              </w:r>
              <w:r>
                <w:rPr>
                  <w:i/>
                  <w:iCs/>
                  <w:noProof/>
                </w:rPr>
                <w:t xml:space="preserve">CESinfo Economic Studies, </w:t>
              </w:r>
              <w:r>
                <w:rPr>
                  <w:noProof/>
                </w:rPr>
                <w:t>Volume 53, pp. 172-288.</w:t>
              </w:r>
            </w:p>
            <w:p w14:paraId="1B33ADA0" w14:textId="77777777" w:rsidR="00E83F6E" w:rsidRDefault="00E83F6E" w:rsidP="00E83F6E">
              <w:pPr>
                <w:pStyle w:val="Bibliography"/>
                <w:rPr>
                  <w:noProof/>
                </w:rPr>
              </w:pPr>
              <w:r>
                <w:rPr>
                  <w:noProof/>
                </w:rPr>
                <w:t xml:space="preserve">Souvlis, P. P., Siva, S., Hacker, A. &amp; Parry-Husbands, H., 2016. </w:t>
              </w:r>
              <w:r>
                <w:rPr>
                  <w:i/>
                  <w:iCs/>
                  <w:noProof/>
                </w:rPr>
                <w:t xml:space="preserve">Project Superpower: Informing a strategy to engage people with their superannuation, </w:t>
              </w:r>
              <w:r>
                <w:rPr>
                  <w:noProof/>
                </w:rPr>
                <w:t>s.l.: Choice.</w:t>
              </w:r>
            </w:p>
            <w:p w14:paraId="2898A493" w14:textId="77777777" w:rsidR="00E83F6E" w:rsidRDefault="00E83F6E" w:rsidP="00E83F6E">
              <w:pPr>
                <w:pStyle w:val="Bibliography"/>
                <w:rPr>
                  <w:noProof/>
                </w:rPr>
              </w:pPr>
              <w:r>
                <w:rPr>
                  <w:noProof/>
                </w:rPr>
                <w:t xml:space="preserve">Stanford, D. J., 2019. </w:t>
              </w:r>
              <w:r>
                <w:rPr>
                  <w:i/>
                  <w:iCs/>
                  <w:noProof/>
                </w:rPr>
                <w:t xml:space="preserve">The Relationship Between Superannuation Contributions and Wages in Australia, </w:t>
              </w:r>
              <w:r>
                <w:rPr>
                  <w:noProof/>
                </w:rPr>
                <w:t>s.l.: The Centre for Future Work at the Australian Institute.</w:t>
              </w:r>
            </w:p>
            <w:p w14:paraId="02EE5FE4" w14:textId="77777777" w:rsidR="00E83F6E" w:rsidRDefault="00E83F6E" w:rsidP="00E83F6E">
              <w:pPr>
                <w:pStyle w:val="Bibliography"/>
                <w:rPr>
                  <w:noProof/>
                </w:rPr>
              </w:pPr>
              <w:r>
                <w:rPr>
                  <w:noProof/>
                </w:rPr>
                <w:t xml:space="preserve">Statista, 2020. </w:t>
              </w:r>
              <w:r>
                <w:rPr>
                  <w:i/>
                  <w:iCs/>
                  <w:noProof/>
                </w:rPr>
                <w:t xml:space="preserve">Robo-Advisors. </w:t>
              </w:r>
              <w:r>
                <w:rPr>
                  <w:noProof/>
                </w:rPr>
                <w:t xml:space="preserve">[Online] </w:t>
              </w:r>
              <w:r>
                <w:rPr>
                  <w:noProof/>
                </w:rPr>
                <w:br/>
                <w:t xml:space="preserve">Available at: </w:t>
              </w:r>
              <w:r>
                <w:rPr>
                  <w:noProof/>
                  <w:u w:val="single"/>
                </w:rPr>
                <w:t>https://www.statista.com/outlook/337/109/robo-advisors/united-states</w:t>
              </w:r>
              <w:r>
                <w:rPr>
                  <w:noProof/>
                </w:rPr>
                <w:br/>
                <w:t>[Accessed 14 January 2020].</w:t>
              </w:r>
            </w:p>
            <w:p w14:paraId="0DE1620E" w14:textId="77777777" w:rsidR="00E83F6E" w:rsidRDefault="00E83F6E" w:rsidP="00E83F6E">
              <w:pPr>
                <w:pStyle w:val="Bibliography"/>
                <w:rPr>
                  <w:noProof/>
                </w:rPr>
              </w:pPr>
              <w:r>
                <w:rPr>
                  <w:noProof/>
                </w:rPr>
                <w:t xml:space="preserve">Stebbing, A. &amp; Spies-Butcher, B., 2015. The decline of a homeowning society? Asset-based welfare, retirement and intergenerational equity in Australia. </w:t>
              </w:r>
              <w:r>
                <w:rPr>
                  <w:i/>
                  <w:iCs/>
                  <w:noProof/>
                </w:rPr>
                <w:t xml:space="preserve">Housing Studies, </w:t>
              </w:r>
              <w:r>
                <w:rPr>
                  <w:noProof/>
                </w:rPr>
                <w:t>pp. 1-18.</w:t>
              </w:r>
            </w:p>
            <w:p w14:paraId="1A7B7DB8" w14:textId="77777777" w:rsidR="00E83F6E" w:rsidRDefault="00E83F6E" w:rsidP="00E83F6E">
              <w:pPr>
                <w:pStyle w:val="Bibliography"/>
                <w:rPr>
                  <w:noProof/>
                </w:rPr>
              </w:pPr>
              <w:r>
                <w:rPr>
                  <w:noProof/>
                </w:rPr>
                <w:t xml:space="preserve">Summers, L., 1989. Some Simple Economics of Mandated Benefits. </w:t>
              </w:r>
              <w:r>
                <w:rPr>
                  <w:i/>
                  <w:iCs/>
                  <w:noProof/>
                </w:rPr>
                <w:t xml:space="preserve">The American Economic Review, </w:t>
              </w:r>
              <w:r>
                <w:rPr>
                  <w:noProof/>
                </w:rPr>
                <w:t>79(2), pp. 117-183.</w:t>
              </w:r>
            </w:p>
            <w:p w14:paraId="0E92C307" w14:textId="77777777" w:rsidR="00E83F6E" w:rsidRDefault="00E83F6E" w:rsidP="00E83F6E">
              <w:pPr>
                <w:pStyle w:val="Bibliography"/>
                <w:rPr>
                  <w:noProof/>
                </w:rPr>
              </w:pPr>
              <w:r>
                <w:rPr>
                  <w:noProof/>
                </w:rPr>
                <w:t xml:space="preserve">Sunsuper, 2020. </w:t>
              </w:r>
              <w:r>
                <w:rPr>
                  <w:i/>
                  <w:iCs/>
                  <w:noProof/>
                </w:rPr>
                <w:t xml:space="preserve">COVID-19 - what should you do with your super?. </w:t>
              </w:r>
              <w:r>
                <w:rPr>
                  <w:noProof/>
                </w:rPr>
                <w:t xml:space="preserve">[Online] </w:t>
              </w:r>
              <w:r>
                <w:rPr>
                  <w:noProof/>
                </w:rPr>
                <w:br/>
                <w:t xml:space="preserve">Available at: </w:t>
              </w:r>
              <w:r>
                <w:rPr>
                  <w:noProof/>
                  <w:u w:val="single"/>
                </w:rPr>
                <w:t>https://www.sunsuper.com.au/covid19/superannuation</w:t>
              </w:r>
              <w:r>
                <w:rPr>
                  <w:noProof/>
                </w:rPr>
                <w:br/>
                <w:t>[Accessed 1 May 2020].</w:t>
              </w:r>
            </w:p>
            <w:p w14:paraId="2F50AC73" w14:textId="77777777" w:rsidR="00E83F6E" w:rsidRDefault="00E83F6E" w:rsidP="00E83F6E">
              <w:pPr>
                <w:pStyle w:val="Bibliography"/>
                <w:rPr>
                  <w:noProof/>
                </w:rPr>
              </w:pPr>
              <w:r>
                <w:rPr>
                  <w:noProof/>
                </w:rPr>
                <w:t xml:space="preserve">Super Consumers Australia,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44F48780" w14:textId="77777777" w:rsidR="00E83F6E" w:rsidRDefault="00E83F6E" w:rsidP="00E83F6E">
              <w:pPr>
                <w:pStyle w:val="Bibliography"/>
                <w:rPr>
                  <w:noProof/>
                </w:rPr>
              </w:pPr>
              <w:r>
                <w:rPr>
                  <w:noProof/>
                </w:rPr>
                <w:t xml:space="preserve">Super System Review, 2010. </w:t>
              </w:r>
              <w:r>
                <w:rPr>
                  <w:i/>
                  <w:iCs/>
                  <w:noProof/>
                </w:rPr>
                <w:t xml:space="preserve">Super System Review Final Report, </w:t>
              </w:r>
              <w:r>
                <w:rPr>
                  <w:noProof/>
                </w:rPr>
                <w:t>Canberra: Commonwealth of Australia.</w:t>
              </w:r>
            </w:p>
            <w:p w14:paraId="73FF1D87" w14:textId="77777777" w:rsidR="00E83F6E" w:rsidRDefault="00E83F6E" w:rsidP="00E83F6E">
              <w:pPr>
                <w:pStyle w:val="Bibliography"/>
                <w:rPr>
                  <w:noProof/>
                </w:rPr>
              </w:pPr>
              <w:r>
                <w:rPr>
                  <w:noProof/>
                </w:rPr>
                <w:t xml:space="preserve">Superannuation Charter Group, 2013. </w:t>
              </w:r>
              <w:r>
                <w:rPr>
                  <w:i/>
                  <w:iCs/>
                  <w:noProof/>
                </w:rPr>
                <w:t xml:space="preserve">A Super Charter: Fewer Changes, Better Outcomes, </w:t>
              </w:r>
              <w:r>
                <w:rPr>
                  <w:noProof/>
                </w:rPr>
                <w:t>Canberra: Commonwealth of Australia.</w:t>
              </w:r>
            </w:p>
            <w:p w14:paraId="1D1CB0B1" w14:textId="77777777" w:rsidR="00E83F6E" w:rsidRDefault="00E83F6E" w:rsidP="00E83F6E">
              <w:pPr>
                <w:pStyle w:val="Bibliography"/>
                <w:rPr>
                  <w:noProof/>
                </w:rPr>
              </w:pPr>
              <w:r>
                <w:rPr>
                  <w:noProof/>
                </w:rPr>
                <w:t xml:space="preserve">Superannuation Guarantee Cross Agency Working Group, 2017. </w:t>
              </w:r>
              <w:r>
                <w:rPr>
                  <w:i/>
                  <w:iCs/>
                  <w:noProof/>
                </w:rPr>
                <w:t xml:space="preserve">Superannuation Guarantee Non-compliance Report, </w:t>
              </w:r>
              <w:r>
                <w:rPr>
                  <w:noProof/>
                </w:rPr>
                <w:t>Canberra: Commonwealth of Australia.</w:t>
              </w:r>
            </w:p>
            <w:p w14:paraId="70B33876" w14:textId="77777777" w:rsidR="00E83F6E" w:rsidRDefault="00E83F6E" w:rsidP="00E83F6E">
              <w:pPr>
                <w:pStyle w:val="Bibliography"/>
                <w:rPr>
                  <w:noProof/>
                </w:rPr>
              </w:pPr>
              <w:r>
                <w:rPr>
                  <w:noProof/>
                </w:rPr>
                <w:t xml:space="preserve">SuperRatings, 2018. </w:t>
              </w:r>
              <w:r>
                <w:rPr>
                  <w:i/>
                  <w:iCs/>
                  <w:noProof/>
                </w:rPr>
                <w:t xml:space="preserve">Don’t panic! What superannuation is teaching the post-GFC world. </w:t>
              </w:r>
              <w:r>
                <w:rPr>
                  <w:noProof/>
                </w:rPr>
                <w:t xml:space="preserve">[Online] </w:t>
              </w:r>
              <w:r>
                <w:rPr>
                  <w:noProof/>
                </w:rPr>
                <w:br/>
                <w:t xml:space="preserve">Available at: </w:t>
              </w:r>
              <w:r>
                <w:rPr>
                  <w:noProof/>
                  <w:u w:val="single"/>
                </w:rPr>
                <w:t>https://www.superratings.com.au/2018/09/20/dont-panic-what-superannuation-is-teaching-the-post-gfc-world/</w:t>
              </w:r>
              <w:r>
                <w:rPr>
                  <w:noProof/>
                </w:rPr>
                <w:br/>
                <w:t>[Accessed 18 March 2020].</w:t>
              </w:r>
            </w:p>
            <w:p w14:paraId="2689EF9E" w14:textId="77777777" w:rsidR="00E83F6E" w:rsidRDefault="00E83F6E" w:rsidP="00E83F6E">
              <w:pPr>
                <w:pStyle w:val="Bibliography"/>
                <w:rPr>
                  <w:noProof/>
                </w:rPr>
              </w:pPr>
              <w:r>
                <w:rPr>
                  <w:noProof/>
                </w:rPr>
                <w:t xml:space="preserve">Susan Bell Research, 2020. </w:t>
              </w:r>
              <w:r>
                <w:rPr>
                  <w:i/>
                  <w:iCs/>
                  <w:noProof/>
                </w:rPr>
                <w:t xml:space="preserve">Australians' experiences and expectations of retirement, </w:t>
              </w:r>
              <w:r>
                <w:rPr>
                  <w:noProof/>
                </w:rPr>
                <w:t>s.l.: Industry Super Australia.</w:t>
              </w:r>
            </w:p>
            <w:p w14:paraId="14BA57D8" w14:textId="77777777" w:rsidR="00E83F6E" w:rsidRDefault="00E83F6E" w:rsidP="00E83F6E">
              <w:pPr>
                <w:pStyle w:val="Bibliography"/>
                <w:rPr>
                  <w:noProof/>
                </w:rPr>
              </w:pPr>
              <w:r>
                <w:rPr>
                  <w:noProof/>
                </w:rPr>
                <w:t xml:space="preserve">Tasmanian Government, 2017. </w:t>
              </w:r>
              <w:r>
                <w:rPr>
                  <w:i/>
                  <w:iCs/>
                  <w:noProof/>
                </w:rPr>
                <w:t xml:space="preserve">Discounts and Concessions. </w:t>
              </w:r>
              <w:r>
                <w:rPr>
                  <w:noProof/>
                </w:rPr>
                <w:t xml:space="preserve">[Online] </w:t>
              </w:r>
              <w:r>
                <w:rPr>
                  <w:noProof/>
                </w:rPr>
                <w:br/>
                <w:t xml:space="preserve">Available at: </w:t>
              </w:r>
              <w:r>
                <w:rPr>
                  <w:noProof/>
                  <w:u w:val="single"/>
                </w:rPr>
                <w:t>http://www.concessions.tas.gov.au/search?queries_concessions_card_query%5B2%5D=PCC&amp;x=37&amp;y=5</w:t>
              </w:r>
              <w:r>
                <w:rPr>
                  <w:noProof/>
                </w:rPr>
                <w:br/>
                <w:t>[Accessed 3 July 2020].</w:t>
              </w:r>
            </w:p>
            <w:p w14:paraId="4BC8ABF8" w14:textId="77777777" w:rsidR="00E83F6E" w:rsidRDefault="00E83F6E" w:rsidP="00E83F6E">
              <w:pPr>
                <w:pStyle w:val="Bibliography"/>
                <w:rPr>
                  <w:noProof/>
                </w:rPr>
              </w:pPr>
              <w:r>
                <w:rPr>
                  <w:noProof/>
                </w:rPr>
                <w:t xml:space="preserve">Taylor, K., 2019. </w:t>
              </w:r>
              <w:r>
                <w:rPr>
                  <w:i/>
                  <w:iCs/>
                  <w:noProof/>
                </w:rPr>
                <w:t xml:space="preserve">Does Higher Superannuation Reduce Workers' Wages?, </w:t>
              </w:r>
              <w:r>
                <w:rPr>
                  <w:noProof/>
                </w:rPr>
                <w:t>Sydney: McKell Institute.</w:t>
              </w:r>
            </w:p>
            <w:p w14:paraId="6C7A3344" w14:textId="77777777" w:rsidR="00E83F6E" w:rsidRDefault="00E83F6E" w:rsidP="00E83F6E">
              <w:pPr>
                <w:pStyle w:val="Bibliography"/>
                <w:rPr>
                  <w:noProof/>
                </w:rPr>
              </w:pPr>
              <w:r>
                <w:rPr>
                  <w:noProof/>
                </w:rPr>
                <w:t xml:space="preserve">Taylor, M., 2018. The Survey of Income and Housing. </w:t>
              </w:r>
              <w:r>
                <w:rPr>
                  <w:i/>
                  <w:iCs/>
                  <w:noProof/>
                </w:rPr>
                <w:t xml:space="preserve">The Australian Economic Review, </w:t>
              </w:r>
              <w:r>
                <w:rPr>
                  <w:noProof/>
                </w:rPr>
                <w:t>51(2), pp. 276-285.</w:t>
              </w:r>
            </w:p>
            <w:p w14:paraId="270DA04E" w14:textId="77777777" w:rsidR="00E83F6E" w:rsidRDefault="00E83F6E" w:rsidP="00E83F6E">
              <w:pPr>
                <w:pStyle w:val="Bibliography"/>
                <w:rPr>
                  <w:noProof/>
                </w:rPr>
              </w:pPr>
              <w:r>
                <w:rPr>
                  <w:noProof/>
                </w:rPr>
                <w:t xml:space="preserve">Thaler, R. &amp; Benartzi, S., 2004. Save more tomorrow: Using behavioral economics to increase employee saving. </w:t>
              </w:r>
              <w:r>
                <w:rPr>
                  <w:i/>
                  <w:iCs/>
                  <w:noProof/>
                </w:rPr>
                <w:t xml:space="preserve">Journal of political Economy, </w:t>
              </w:r>
              <w:r>
                <w:rPr>
                  <w:noProof/>
                </w:rPr>
                <w:t>Volume 112, pp. 164-187.</w:t>
              </w:r>
            </w:p>
            <w:p w14:paraId="50CB99B1" w14:textId="77777777" w:rsidR="00E83F6E" w:rsidRDefault="00E83F6E" w:rsidP="00E83F6E">
              <w:pPr>
                <w:pStyle w:val="Bibliography"/>
                <w:rPr>
                  <w:noProof/>
                </w:rPr>
              </w:pPr>
              <w:r>
                <w:rPr>
                  <w:noProof/>
                </w:rPr>
                <w:t xml:space="preserve">Thaler, R. &amp; Sunstein, C., 2008. </w:t>
              </w:r>
              <w:r>
                <w:rPr>
                  <w:i/>
                  <w:iCs/>
                  <w:noProof/>
                </w:rPr>
                <w:t xml:space="preserve">Nudge: Improving decisions about health, wealth and happiness. </w:t>
              </w:r>
              <w:r>
                <w:rPr>
                  <w:noProof/>
                </w:rPr>
                <w:t>New Haven: Yale University Press.</w:t>
              </w:r>
            </w:p>
            <w:p w14:paraId="2DD3EE79" w14:textId="77777777" w:rsidR="00E83F6E" w:rsidRDefault="00E83F6E" w:rsidP="00E83F6E">
              <w:pPr>
                <w:pStyle w:val="Bibliography"/>
                <w:rPr>
                  <w:noProof/>
                </w:rPr>
              </w:pPr>
              <w:r>
                <w:rPr>
                  <w:noProof/>
                </w:rPr>
                <w:t xml:space="preserve">The Board of Taxation, 2019. </w:t>
              </w:r>
              <w:r>
                <w:rPr>
                  <w:i/>
                  <w:iCs/>
                  <w:noProof/>
                </w:rPr>
                <w:t xml:space="preserve">Review of Small Business Tax Concessions: A Report to the Treasurer, </w:t>
              </w:r>
              <w:r>
                <w:rPr>
                  <w:noProof/>
                </w:rPr>
                <w:t>Canberra: Commonwealth of Australia.</w:t>
              </w:r>
            </w:p>
            <w:p w14:paraId="36706343" w14:textId="77777777" w:rsidR="00E83F6E" w:rsidRDefault="00E83F6E" w:rsidP="00E83F6E">
              <w:pPr>
                <w:pStyle w:val="Bibliography"/>
                <w:rPr>
                  <w:noProof/>
                </w:rPr>
              </w:pPr>
              <w:r>
                <w:rPr>
                  <w:noProof/>
                </w:rPr>
                <w:t xml:space="preserve">The Economist, 2019. </w:t>
              </w:r>
              <w:r>
                <w:rPr>
                  <w:i/>
                  <w:iCs/>
                  <w:noProof/>
                </w:rPr>
                <w:t xml:space="preserve">Chile tinkers with its ground-breaking pensions system. </w:t>
              </w:r>
              <w:r>
                <w:rPr>
                  <w:noProof/>
                </w:rPr>
                <w:t xml:space="preserve">[Online] </w:t>
              </w:r>
              <w:r>
                <w:rPr>
                  <w:noProof/>
                </w:rPr>
                <w:br/>
                <w:t xml:space="preserve">Available at: </w:t>
              </w:r>
              <w:r>
                <w:rPr>
                  <w:noProof/>
                  <w:u w:val="single"/>
                </w:rPr>
                <w:t>https://www.economist.com/the-americas/2019/06/08/chile-tinkers-with-its-ground-breaking-pensions-system</w:t>
              </w:r>
              <w:r>
                <w:rPr>
                  <w:noProof/>
                </w:rPr>
                <w:br/>
                <w:t>[Accessed 1 May 2020].</w:t>
              </w:r>
            </w:p>
            <w:p w14:paraId="109CC9E0" w14:textId="77777777" w:rsidR="00E83F6E" w:rsidRDefault="00E83F6E" w:rsidP="00E83F6E">
              <w:pPr>
                <w:pStyle w:val="Bibliography"/>
                <w:rPr>
                  <w:noProof/>
                </w:rPr>
              </w:pPr>
              <w:r>
                <w:rPr>
                  <w:noProof/>
                </w:rPr>
                <w:t xml:space="preserve">The Economist, 2019. </w:t>
              </w:r>
              <w:r>
                <w:rPr>
                  <w:i/>
                  <w:iCs/>
                  <w:noProof/>
                </w:rPr>
                <w:t xml:space="preserve">The Economist. </w:t>
              </w:r>
              <w:r>
                <w:rPr>
                  <w:noProof/>
                </w:rPr>
                <w:t xml:space="preserve">[Online] </w:t>
              </w:r>
              <w:r>
                <w:rPr>
                  <w:noProof/>
                </w:rPr>
                <w:br/>
                <w:t xml:space="preserve">Available at: </w:t>
              </w:r>
              <w:r>
                <w:rPr>
                  <w:noProof/>
                  <w:u w:val="single"/>
                </w:rPr>
                <w:t>https://www.economist.com/europe/2019/09/12/another-french-president-tries-pension-reform</w:t>
              </w:r>
              <w:r>
                <w:rPr>
                  <w:noProof/>
                </w:rPr>
                <w:br/>
                <w:t>[Accessed 1 April 2020].</w:t>
              </w:r>
            </w:p>
            <w:p w14:paraId="69F94341" w14:textId="77777777" w:rsidR="00E83F6E" w:rsidRDefault="00E83F6E" w:rsidP="00E83F6E">
              <w:pPr>
                <w:pStyle w:val="Bibliography"/>
                <w:rPr>
                  <w:noProof/>
                </w:rPr>
              </w:pPr>
              <w:r>
                <w:rPr>
                  <w:noProof/>
                </w:rPr>
                <w:t xml:space="preserve">The Guardian, 2020. </w:t>
              </w:r>
              <w:r>
                <w:rPr>
                  <w:i/>
                  <w:iCs/>
                  <w:noProof/>
                </w:rPr>
                <w:t xml:space="preserve">Lawyers and doctors protest in Paris as pensions row deepens. </w:t>
              </w:r>
              <w:r>
                <w:rPr>
                  <w:noProof/>
                </w:rPr>
                <w:t xml:space="preserve">[Online] </w:t>
              </w:r>
              <w:r>
                <w:rPr>
                  <w:noProof/>
                </w:rPr>
                <w:br/>
                <w:t xml:space="preserve">Available at: </w:t>
              </w:r>
              <w:r>
                <w:rPr>
                  <w:noProof/>
                  <w:u w:val="single"/>
                </w:rPr>
                <w:t>https://www.theguardian.com/world/2020/feb/03/self-employed-workers-protest-paris-france-pensions-row-deepens-strike</w:t>
              </w:r>
              <w:r>
                <w:rPr>
                  <w:noProof/>
                </w:rPr>
                <w:br/>
                <w:t>[Accessed 1 May 2020].</w:t>
              </w:r>
            </w:p>
            <w:p w14:paraId="1A960D40" w14:textId="77777777" w:rsidR="00E83F6E" w:rsidRDefault="00E83F6E" w:rsidP="00E83F6E">
              <w:pPr>
                <w:pStyle w:val="Bibliography"/>
                <w:rPr>
                  <w:noProof/>
                </w:rPr>
              </w:pPr>
              <w:r>
                <w:rPr>
                  <w:noProof/>
                </w:rPr>
                <w:t xml:space="preserve">The Sydney Morning Herald, 2018. </w:t>
              </w:r>
              <w:r>
                <w:rPr>
                  <w:i/>
                  <w:iCs/>
                  <w:noProof/>
                </w:rPr>
                <w:t xml:space="preserve">Taxing inheritances might be unpopular, but it's fair. </w:t>
              </w:r>
              <w:r>
                <w:rPr>
                  <w:noProof/>
                </w:rPr>
                <w:t xml:space="preserve">[Online] </w:t>
              </w:r>
              <w:r>
                <w:rPr>
                  <w:noProof/>
                </w:rPr>
                <w:br/>
                <w:t xml:space="preserve">Available at: </w:t>
              </w:r>
              <w:r>
                <w:rPr>
                  <w:noProof/>
                  <w:u w:val="single"/>
                </w:rPr>
                <w:t>https://www.smh.com.au/national/taxing-inheritances-might-be-unpopular-but-it-s-fair-20181219-p50n5b.html</w:t>
              </w:r>
              <w:r>
                <w:rPr>
                  <w:noProof/>
                </w:rPr>
                <w:br/>
                <w:t>[Accessed 27 May 2020].</w:t>
              </w:r>
            </w:p>
            <w:p w14:paraId="098714AA" w14:textId="77777777" w:rsidR="00E83F6E" w:rsidRDefault="00E83F6E" w:rsidP="00E83F6E">
              <w:pPr>
                <w:pStyle w:val="Bibliography"/>
                <w:rPr>
                  <w:noProof/>
                </w:rPr>
              </w:pPr>
              <w:r>
                <w:rPr>
                  <w:noProof/>
                </w:rPr>
                <w:t xml:space="preserve">The Treasury, 1991. </w:t>
              </w:r>
              <w:r>
                <w:rPr>
                  <w:i/>
                  <w:iCs/>
                  <w:noProof/>
                </w:rPr>
                <w:t xml:space="preserve">Budget Statements, 1991-92, </w:t>
              </w:r>
              <w:r>
                <w:rPr>
                  <w:noProof/>
                </w:rPr>
                <w:t>Canberra: Department of the Treasury, Commonwealth of Australia.</w:t>
              </w:r>
            </w:p>
            <w:p w14:paraId="1E306B04" w14:textId="77777777" w:rsidR="00E83F6E" w:rsidRDefault="00E83F6E" w:rsidP="00E83F6E">
              <w:pPr>
                <w:pStyle w:val="Bibliography"/>
                <w:rPr>
                  <w:noProof/>
                </w:rPr>
              </w:pPr>
              <w:r>
                <w:rPr>
                  <w:noProof/>
                </w:rPr>
                <w:t xml:space="preserve">The Treasury, 2002. </w:t>
              </w:r>
              <w:r>
                <w:rPr>
                  <w:i/>
                  <w:iCs/>
                  <w:noProof/>
                </w:rPr>
                <w:t xml:space="preserve">Treasury submission to the inquiry into superannuation and standards of living in retirement. </w:t>
              </w:r>
              <w:r>
                <w:rPr>
                  <w:noProof/>
                </w:rPr>
                <w:t xml:space="preserve">[Online] </w:t>
              </w:r>
              <w:r>
                <w:rPr>
                  <w:noProof/>
                </w:rPr>
                <w:br/>
                <w:t xml:space="preserve">Available at: </w:t>
              </w:r>
              <w:r>
                <w:rPr>
                  <w:noProof/>
                  <w:u w:val="single"/>
                </w:rPr>
                <w:t>https://treasury.gov.au/publication/treasury-submission-to-the-inquiry-into-superannuation-and-standards-of-living-in-retirement</w:t>
              </w:r>
              <w:r>
                <w:rPr>
                  <w:noProof/>
                </w:rPr>
                <w:br/>
                <w:t>[Accessed 28 May 2020].</w:t>
              </w:r>
            </w:p>
            <w:p w14:paraId="42864734" w14:textId="77777777" w:rsidR="00E83F6E" w:rsidRDefault="00E83F6E" w:rsidP="00E83F6E">
              <w:pPr>
                <w:pStyle w:val="Bibliography"/>
                <w:rPr>
                  <w:noProof/>
                </w:rPr>
              </w:pPr>
              <w:r>
                <w:rPr>
                  <w:noProof/>
                </w:rPr>
                <w:t xml:space="preserve">The Treasury, 2011. </w:t>
              </w:r>
              <w:r>
                <w:rPr>
                  <w:i/>
                  <w:iCs/>
                  <w:noProof/>
                </w:rPr>
                <w:t xml:space="preserve">2011-12 Mid-Year Economic and Fiscal Outlook, </w:t>
              </w:r>
              <w:r>
                <w:rPr>
                  <w:noProof/>
                </w:rPr>
                <w:t>Canberra: Department of the Treasury, Commonwealth of Australia.</w:t>
              </w:r>
            </w:p>
            <w:p w14:paraId="34666C0F" w14:textId="77777777" w:rsidR="00E83F6E" w:rsidRDefault="00E83F6E" w:rsidP="00E83F6E">
              <w:pPr>
                <w:pStyle w:val="Bibliography"/>
                <w:rPr>
                  <w:noProof/>
                </w:rPr>
              </w:pPr>
              <w:r>
                <w:rPr>
                  <w:noProof/>
                </w:rPr>
                <w:t xml:space="preserve">The Treasury, 2016a. </w:t>
              </w:r>
              <w:r>
                <w:rPr>
                  <w:i/>
                  <w:iCs/>
                  <w:noProof/>
                </w:rPr>
                <w:t xml:space="preserve">Budget 2016: Making a fairer and more sustainable Superannuation System Fact sheets and Q&amp;As. </w:t>
              </w:r>
              <w:r>
                <w:rPr>
                  <w:noProof/>
                </w:rPr>
                <w:t xml:space="preserve">[Online] </w:t>
              </w:r>
              <w:r>
                <w:rPr>
                  <w:noProof/>
                </w:rPr>
                <w:br/>
                <w:t xml:space="preserve">Available at: </w:t>
              </w:r>
              <w:r>
                <w:rPr>
                  <w:noProof/>
                  <w:u w:val="single"/>
                </w:rPr>
                <w:t>https://archive.budget.gov.au/2016-17/factsheets/super/SFS-Combined-161209.pdf</w:t>
              </w:r>
              <w:r>
                <w:rPr>
                  <w:noProof/>
                </w:rPr>
                <w:br/>
                <w:t>[Accessed 1 May 2020].</w:t>
              </w:r>
            </w:p>
            <w:p w14:paraId="584C50F1" w14:textId="77777777" w:rsidR="00E83F6E" w:rsidRDefault="00E83F6E" w:rsidP="00E83F6E">
              <w:pPr>
                <w:pStyle w:val="Bibliography"/>
                <w:rPr>
                  <w:noProof/>
                </w:rPr>
              </w:pPr>
              <w:r>
                <w:rPr>
                  <w:noProof/>
                </w:rPr>
                <w:t xml:space="preserve">The Treasury, 2016b. </w:t>
              </w:r>
              <w:r>
                <w:rPr>
                  <w:i/>
                  <w:iCs/>
                  <w:noProof/>
                </w:rPr>
                <w:t xml:space="preserve">Development of the framework for Comprehensive Income Products for Retirement, Discussion Paper, </w:t>
              </w:r>
              <w:r>
                <w:rPr>
                  <w:noProof/>
                </w:rPr>
                <w:t>Canberra: Department of the Treasury, Commonwealth of Australia.</w:t>
              </w:r>
            </w:p>
            <w:p w14:paraId="02CA110F" w14:textId="77777777" w:rsidR="00E83F6E" w:rsidRDefault="00E83F6E" w:rsidP="00E83F6E">
              <w:pPr>
                <w:pStyle w:val="Bibliography"/>
                <w:rPr>
                  <w:noProof/>
                </w:rPr>
              </w:pPr>
              <w:r>
                <w:rPr>
                  <w:noProof/>
                </w:rPr>
                <w:t xml:space="preserve">The Treasury, 2016c. </w:t>
              </w:r>
              <w:r>
                <w:rPr>
                  <w:i/>
                  <w:iCs/>
                  <w:noProof/>
                </w:rPr>
                <w:t xml:space="preserve">Retirement Income Streams Review. </w:t>
              </w:r>
              <w:r>
                <w:rPr>
                  <w:noProof/>
                </w:rPr>
                <w:t xml:space="preserve">[Online] </w:t>
              </w:r>
              <w:r>
                <w:rPr>
                  <w:noProof/>
                </w:rPr>
                <w:br/>
                <w:t xml:space="preserve">Available at: </w:t>
              </w:r>
              <w:r>
                <w:rPr>
                  <w:noProof/>
                  <w:u w:val="single"/>
                </w:rPr>
                <w:t>https://treasury.gov.au/publication/retirement-income-streams-review</w:t>
              </w:r>
              <w:r>
                <w:rPr>
                  <w:noProof/>
                </w:rPr>
                <w:br/>
                <w:t>[Accessed 28 May 2020].</w:t>
              </w:r>
            </w:p>
            <w:p w14:paraId="1CFD2852" w14:textId="77777777" w:rsidR="00E83F6E" w:rsidRDefault="00E83F6E" w:rsidP="00E83F6E">
              <w:pPr>
                <w:pStyle w:val="Bibliography"/>
                <w:rPr>
                  <w:noProof/>
                </w:rPr>
              </w:pPr>
              <w:r>
                <w:rPr>
                  <w:noProof/>
                </w:rPr>
                <w:t xml:space="preserve">The Treasury, 2017a. </w:t>
              </w:r>
              <w:r>
                <w:rPr>
                  <w:i/>
                  <w:iCs/>
                  <w:noProof/>
                </w:rPr>
                <w:t xml:space="preserve">Analysis of wage growth. </w:t>
              </w:r>
              <w:r>
                <w:rPr>
                  <w:noProof/>
                </w:rPr>
                <w:t xml:space="preserve">[Online] </w:t>
              </w:r>
              <w:r>
                <w:rPr>
                  <w:noProof/>
                </w:rPr>
                <w:br/>
                <w:t xml:space="preserve">Available at: </w:t>
              </w:r>
              <w:r>
                <w:rPr>
                  <w:noProof/>
                  <w:u w:val="single"/>
                </w:rPr>
                <w:t>https://treasury.gov.au/sites/default/files/2019-03/p2017-t237966.pdf</w:t>
              </w:r>
              <w:r>
                <w:rPr>
                  <w:noProof/>
                </w:rPr>
                <w:br/>
                <w:t>[Accessed 3 July 2020].</w:t>
              </w:r>
            </w:p>
            <w:p w14:paraId="37008A4A" w14:textId="77777777" w:rsidR="00E83F6E" w:rsidRDefault="00E83F6E" w:rsidP="00E83F6E">
              <w:pPr>
                <w:pStyle w:val="Bibliography"/>
                <w:rPr>
                  <w:noProof/>
                </w:rPr>
              </w:pPr>
              <w:r>
                <w:rPr>
                  <w:noProof/>
                </w:rPr>
                <w:t xml:space="preserve">The Treasury, 2017b. </w:t>
              </w:r>
              <w:r>
                <w:rPr>
                  <w:i/>
                  <w:iCs/>
                  <w:noProof/>
                </w:rPr>
                <w:t xml:space="preserve">Black Economy Taskforce Final Report, </w:t>
              </w:r>
              <w:r>
                <w:rPr>
                  <w:noProof/>
                </w:rPr>
                <w:t>Canberra: Department of the Treasury, Commonwealth of Australia.</w:t>
              </w:r>
            </w:p>
            <w:p w14:paraId="2AC601B7" w14:textId="77777777" w:rsidR="00E83F6E" w:rsidRDefault="00E83F6E" w:rsidP="00E83F6E">
              <w:pPr>
                <w:pStyle w:val="Bibliography"/>
                <w:rPr>
                  <w:noProof/>
                </w:rPr>
              </w:pPr>
              <w:r>
                <w:rPr>
                  <w:noProof/>
                </w:rPr>
                <w:t xml:space="preserve">The Treasury, 2018a. </w:t>
              </w:r>
              <w:r>
                <w:rPr>
                  <w:i/>
                  <w:iCs/>
                  <w:noProof/>
                </w:rPr>
                <w:t xml:space="preserve">Retirement Income Disclosure Consultation Paper. </w:t>
              </w:r>
              <w:r>
                <w:rPr>
                  <w:noProof/>
                </w:rPr>
                <w:t xml:space="preserve">[Online] </w:t>
              </w:r>
              <w:r>
                <w:rPr>
                  <w:noProof/>
                </w:rPr>
                <w:br/>
                <w:t xml:space="preserve">Available at: </w:t>
              </w:r>
              <w:r>
                <w:rPr>
                  <w:noProof/>
                  <w:u w:val="single"/>
                </w:rPr>
                <w:t>https://treasury.gov.au/consultation/c2018-t347107</w:t>
              </w:r>
              <w:r>
                <w:rPr>
                  <w:noProof/>
                </w:rPr>
                <w:br/>
                <w:t>[Accessed 28 May 2020].</w:t>
              </w:r>
            </w:p>
            <w:p w14:paraId="093C923D" w14:textId="77777777" w:rsidR="00E83F6E" w:rsidRDefault="00E83F6E" w:rsidP="00E83F6E">
              <w:pPr>
                <w:pStyle w:val="Bibliography"/>
                <w:rPr>
                  <w:noProof/>
                </w:rPr>
              </w:pPr>
              <w:r>
                <w:rPr>
                  <w:noProof/>
                </w:rPr>
                <w:t xml:space="preserve">The Treasury, 2018b. </w:t>
              </w:r>
              <w:r>
                <w:rPr>
                  <w:i/>
                  <w:iCs/>
                  <w:noProof/>
                </w:rPr>
                <w:t xml:space="preserve">Tax Expenditures Statement. </w:t>
              </w:r>
              <w:r>
                <w:rPr>
                  <w:noProof/>
                </w:rPr>
                <w:t xml:space="preserve">[Online] </w:t>
              </w:r>
              <w:r>
                <w:rPr>
                  <w:noProof/>
                </w:rPr>
                <w:br/>
                <w:t xml:space="preserve">Available at: </w:t>
              </w:r>
              <w:r>
                <w:rPr>
                  <w:noProof/>
                  <w:u w:val="single"/>
                </w:rPr>
                <w:t>https://treasury.gov.au/publication</w:t>
              </w:r>
              <w:r>
                <w:rPr>
                  <w:noProof/>
                </w:rPr>
                <w:br/>
                <w:t>[Accessed 18 March 2020].</w:t>
              </w:r>
            </w:p>
            <w:p w14:paraId="73C2EFF2" w14:textId="77777777" w:rsidR="00E83F6E" w:rsidRDefault="00E83F6E" w:rsidP="00E83F6E">
              <w:pPr>
                <w:pStyle w:val="Bibliography"/>
                <w:rPr>
                  <w:noProof/>
                </w:rPr>
              </w:pPr>
              <w:r>
                <w:rPr>
                  <w:noProof/>
                </w:rPr>
                <w:t xml:space="preserve">The Treasury, 2018c. </w:t>
              </w:r>
              <w:r>
                <w:rPr>
                  <w:i/>
                  <w:iCs/>
                  <w:noProof/>
                </w:rPr>
                <w:t xml:space="preserve">Review of Early Release of Superannuation Benefits, </w:t>
              </w:r>
              <w:r>
                <w:rPr>
                  <w:noProof/>
                </w:rPr>
                <w:t>Canberra: Department of the Treasury, Commonwealth of Australia.</w:t>
              </w:r>
            </w:p>
            <w:p w14:paraId="187C0330" w14:textId="77777777" w:rsidR="00E83F6E" w:rsidRDefault="00E83F6E" w:rsidP="00E83F6E">
              <w:pPr>
                <w:pStyle w:val="Bibliography"/>
                <w:rPr>
                  <w:noProof/>
                </w:rPr>
              </w:pPr>
              <w:r>
                <w:rPr>
                  <w:noProof/>
                </w:rPr>
                <w:t xml:space="preserve">The Treasury, 2019. </w:t>
              </w:r>
              <w:r>
                <w:rPr>
                  <w:i/>
                  <w:iCs/>
                  <w:noProof/>
                </w:rPr>
                <w:t xml:space="preserve">Superannuation Guarantee '$450' rule - FOI 2524. </w:t>
              </w:r>
              <w:r>
                <w:rPr>
                  <w:noProof/>
                </w:rPr>
                <w:t xml:space="preserve">[Online] </w:t>
              </w:r>
              <w:r>
                <w:rPr>
                  <w:noProof/>
                </w:rPr>
                <w:br/>
                <w:t xml:space="preserve">Available at: </w:t>
              </w:r>
              <w:r>
                <w:rPr>
                  <w:noProof/>
                  <w:u w:val="single"/>
                </w:rPr>
                <w:t>https://treasury.gov.au/foi/2524</w:t>
              </w:r>
              <w:r>
                <w:rPr>
                  <w:noProof/>
                </w:rPr>
                <w:br/>
                <w:t>[Accessed 18 May 2020].</w:t>
              </w:r>
            </w:p>
            <w:p w14:paraId="68930E0B" w14:textId="77777777" w:rsidR="00E83F6E" w:rsidRDefault="00E83F6E" w:rsidP="00E83F6E">
              <w:pPr>
                <w:pStyle w:val="Bibliography"/>
                <w:rPr>
                  <w:noProof/>
                </w:rPr>
              </w:pPr>
              <w:r>
                <w:rPr>
                  <w:noProof/>
                </w:rPr>
                <w:t xml:space="preserve">The Treasury, 2020. </w:t>
              </w:r>
              <w:r>
                <w:rPr>
                  <w:i/>
                  <w:iCs/>
                  <w:noProof/>
                </w:rPr>
                <w:t xml:space="preserve">Tax Benchmarks and Variations Statement 2019. </w:t>
              </w:r>
              <w:r>
                <w:rPr>
                  <w:noProof/>
                </w:rPr>
                <w:t xml:space="preserve">[Online] </w:t>
              </w:r>
              <w:r>
                <w:rPr>
                  <w:noProof/>
                </w:rPr>
                <w:br/>
                <w:t xml:space="preserve">Available at: </w:t>
              </w:r>
              <w:r>
                <w:rPr>
                  <w:noProof/>
                  <w:u w:val="single"/>
                </w:rPr>
                <w:t>https://treasury.gov.au/publication</w:t>
              </w:r>
              <w:r>
                <w:rPr>
                  <w:noProof/>
                </w:rPr>
                <w:br/>
                <w:t>[Accessed 18 March 2020].</w:t>
              </w:r>
            </w:p>
            <w:p w14:paraId="6C8EB261" w14:textId="77777777" w:rsidR="00E83F6E" w:rsidRDefault="00E83F6E" w:rsidP="00E83F6E">
              <w:pPr>
                <w:pStyle w:val="Bibliography"/>
                <w:rPr>
                  <w:noProof/>
                </w:rPr>
              </w:pPr>
              <w:r>
                <w:rPr>
                  <w:noProof/>
                </w:rPr>
                <w:t xml:space="preserve">The University of Melbourne, 2018. </w:t>
              </w:r>
              <w:r>
                <w:rPr>
                  <w:i/>
                  <w:iCs/>
                  <w:noProof/>
                </w:rPr>
                <w:t xml:space="preserve">HILDA Online Data Dictionary Release. </w:t>
              </w:r>
              <w:r>
                <w:rPr>
                  <w:noProof/>
                </w:rPr>
                <w:t xml:space="preserve">[Online] </w:t>
              </w:r>
              <w:r>
                <w:rPr>
                  <w:noProof/>
                </w:rPr>
                <w:br/>
                <w:t xml:space="preserve">Available at: </w:t>
              </w:r>
              <w:r>
                <w:rPr>
                  <w:noProof/>
                  <w:u w:val="single"/>
                </w:rPr>
                <w:t>https://www.online.fbe.unimelb.edu.au/HILDAodd/VariableDetails.aspx?varn=rtmrea&amp;varw=15</w:t>
              </w:r>
              <w:r>
                <w:rPr>
                  <w:noProof/>
                </w:rPr>
                <w:br/>
                <w:t>[Accessed 20 January 2020].</w:t>
              </w:r>
            </w:p>
            <w:p w14:paraId="395E3324" w14:textId="77777777" w:rsidR="00E83F6E" w:rsidRDefault="00E83F6E" w:rsidP="00E83F6E">
              <w:pPr>
                <w:pStyle w:val="Bibliography"/>
                <w:rPr>
                  <w:noProof/>
                </w:rPr>
              </w:pPr>
              <w:r>
                <w:rPr>
                  <w:noProof/>
                </w:rPr>
                <w:t xml:space="preserve">Thorp, S. et al., 2018. </w:t>
              </w:r>
              <w:r>
                <w:rPr>
                  <w:i/>
                  <w:iCs/>
                  <w:noProof/>
                </w:rPr>
                <w:t xml:space="preserve">Flicking the Switch: Simplifying Disclosures to Improve Retirement Plan Choices, </w:t>
              </w:r>
              <w:r>
                <w:rPr>
                  <w:noProof/>
                </w:rPr>
                <w:t>Sydney: ARC Centre of Excellence in Population in Population Ageing Research.</w:t>
              </w:r>
            </w:p>
            <w:p w14:paraId="6DDCC850" w14:textId="77777777" w:rsidR="00E83F6E" w:rsidRDefault="00E83F6E" w:rsidP="00E83F6E">
              <w:pPr>
                <w:pStyle w:val="Bibliography"/>
                <w:rPr>
                  <w:noProof/>
                </w:rPr>
              </w:pPr>
              <w:r>
                <w:rPr>
                  <w:noProof/>
                </w:rPr>
                <w:t xml:space="preserve">Tune, D., 2017. </w:t>
              </w:r>
              <w:r>
                <w:rPr>
                  <w:i/>
                  <w:iCs/>
                  <w:noProof/>
                </w:rPr>
                <w:t xml:space="preserve">Legislated Review of Aged Care 2017, </w:t>
              </w:r>
              <w:r>
                <w:rPr>
                  <w:noProof/>
                </w:rPr>
                <w:t>Canberra: Department of Health, Commonwealth of Australia.</w:t>
              </w:r>
            </w:p>
            <w:p w14:paraId="49FD95E7" w14:textId="77777777" w:rsidR="00E83F6E" w:rsidRDefault="00E83F6E" w:rsidP="00E83F6E">
              <w:pPr>
                <w:pStyle w:val="Bibliography"/>
                <w:rPr>
                  <w:noProof/>
                </w:rPr>
              </w:pPr>
              <w:r>
                <w:rPr>
                  <w:noProof/>
                </w:rPr>
                <w:t xml:space="preserve">Tversky, A. &amp; Kahneman, D., 1992. Advances in Prospect theory: Cumulative Representation of Uncertainty. </w:t>
              </w:r>
              <w:r>
                <w:rPr>
                  <w:i/>
                  <w:iCs/>
                  <w:noProof/>
                </w:rPr>
                <w:t xml:space="preserve">Journal of risk and uncertainty, </w:t>
              </w:r>
              <w:r>
                <w:rPr>
                  <w:noProof/>
                </w:rPr>
                <w:t>Volume 5 (4), pp. 294-323.</w:t>
              </w:r>
            </w:p>
            <w:p w14:paraId="206CAE0A" w14:textId="77777777" w:rsidR="00E83F6E" w:rsidRDefault="00E83F6E" w:rsidP="00E83F6E">
              <w:pPr>
                <w:pStyle w:val="Bibliography"/>
                <w:rPr>
                  <w:noProof/>
                </w:rPr>
              </w:pPr>
              <w:r>
                <w:rPr>
                  <w:noProof/>
                </w:rPr>
                <w:t xml:space="preserve">UK Government, 2019. </w:t>
              </w:r>
              <w:r>
                <w:rPr>
                  <w:i/>
                  <w:iCs/>
                  <w:noProof/>
                </w:rPr>
                <w:t xml:space="preserve">National Insurance Fund Accounts. </w:t>
              </w:r>
              <w:r>
                <w:rPr>
                  <w:noProof/>
                </w:rPr>
                <w:t xml:space="preserve">[Online] </w:t>
              </w:r>
              <w:r>
                <w:rPr>
                  <w:noProof/>
                </w:rPr>
                <w:br/>
                <w:t xml:space="preserve">Available at: </w:t>
              </w:r>
              <w:r>
                <w:rPr>
                  <w:noProof/>
                  <w:u w:val="single"/>
                </w:rPr>
                <w:t>https://www.gov.uk/government/publications/national-insurance-fund-accounts</w:t>
              </w:r>
              <w:r>
                <w:rPr>
                  <w:noProof/>
                </w:rPr>
                <w:br/>
                <w:t>[Accessed 5 March 2020].</w:t>
              </w:r>
            </w:p>
            <w:p w14:paraId="045D776C" w14:textId="77777777" w:rsidR="00E83F6E" w:rsidRDefault="00E83F6E" w:rsidP="00E83F6E">
              <w:pPr>
                <w:pStyle w:val="Bibliography"/>
                <w:rPr>
                  <w:noProof/>
                </w:rPr>
              </w:pPr>
              <w:r>
                <w:rPr>
                  <w:noProof/>
                </w:rPr>
                <w:t xml:space="preserve">Vanguard, 2019. </w:t>
              </w:r>
              <w:r>
                <w:rPr>
                  <w:i/>
                  <w:iCs/>
                  <w:noProof/>
                </w:rPr>
                <w:t xml:space="preserve">How America Saves 2019: The retirement savings behavior of 5 million participants. </w:t>
              </w:r>
              <w:r>
                <w:rPr>
                  <w:noProof/>
                </w:rPr>
                <w:t xml:space="preserve">[Online] </w:t>
              </w:r>
              <w:r>
                <w:rPr>
                  <w:noProof/>
                </w:rPr>
                <w:br/>
                <w:t xml:space="preserve">Available at: </w:t>
              </w:r>
              <w:r>
                <w:rPr>
                  <w:noProof/>
                  <w:u w:val="single"/>
                </w:rPr>
                <w:t>https://institutional.vanguard.com/iam/pdf/HAS2019.pdf</w:t>
              </w:r>
              <w:r>
                <w:rPr>
                  <w:noProof/>
                </w:rPr>
                <w:br/>
                <w:t>[Accessed 3 March 2020].</w:t>
              </w:r>
            </w:p>
            <w:p w14:paraId="10BB3025" w14:textId="77777777" w:rsidR="00E83F6E" w:rsidRDefault="00E83F6E" w:rsidP="00E83F6E">
              <w:pPr>
                <w:pStyle w:val="Bibliography"/>
                <w:rPr>
                  <w:noProof/>
                </w:rPr>
              </w:pPr>
              <w:r>
                <w:rPr>
                  <w:noProof/>
                </w:rPr>
                <w:t xml:space="preserve">Vanhuysse, P., 2013. </w:t>
              </w:r>
              <w:r>
                <w:rPr>
                  <w:i/>
                  <w:iCs/>
                  <w:noProof/>
                </w:rPr>
                <w:t xml:space="preserve">Intergenerational Justice in Aging Societies: A Cross-National Comparison of 29 OECD Countries. </w:t>
              </w:r>
              <w:r>
                <w:rPr>
                  <w:noProof/>
                </w:rPr>
                <w:t xml:space="preserve">[Online] </w:t>
              </w:r>
              <w:r>
                <w:rPr>
                  <w:noProof/>
                </w:rPr>
                <w:br/>
                <w:t xml:space="preserve">Available at: </w:t>
              </w:r>
              <w:r>
                <w:rPr>
                  <w:noProof/>
                  <w:u w:val="single"/>
                </w:rPr>
                <w:t>https://news.sgi-network.org/uploads/tx_amsgistudies/Intergenerational_Justice_OECD.pdf</w:t>
              </w:r>
              <w:r>
                <w:rPr>
                  <w:noProof/>
                </w:rPr>
                <w:br/>
                <w:t>[Accessed 3 March 2020].</w:t>
              </w:r>
            </w:p>
            <w:p w14:paraId="7832C0F9" w14:textId="77777777" w:rsidR="00E83F6E" w:rsidRDefault="00E83F6E" w:rsidP="00E83F6E">
              <w:pPr>
                <w:pStyle w:val="Bibliography"/>
                <w:rPr>
                  <w:noProof/>
                </w:rPr>
              </w:pPr>
              <w:r>
                <w:rPr>
                  <w:noProof/>
                </w:rPr>
                <w:t xml:space="preserve">Varela, P., 2016. </w:t>
              </w:r>
              <w:r>
                <w:rPr>
                  <w:i/>
                  <w:iCs/>
                  <w:noProof/>
                </w:rPr>
                <w:t xml:space="preserve">What is tax salience?, </w:t>
              </w:r>
              <w:r>
                <w:rPr>
                  <w:noProof/>
                </w:rPr>
                <w:t>TTPI – Policy Brief 4/2016, Canberra: Crawford School of Public Policy, Australian National University.</w:t>
              </w:r>
            </w:p>
            <w:p w14:paraId="4E21FFE0" w14:textId="77777777" w:rsidR="00E83F6E" w:rsidRDefault="00E83F6E" w:rsidP="00E83F6E">
              <w:pPr>
                <w:pStyle w:val="Bibliography"/>
                <w:rPr>
                  <w:noProof/>
                </w:rPr>
              </w:pPr>
              <w:r>
                <w:rPr>
                  <w:noProof/>
                </w:rPr>
                <w:t xml:space="preserve">Victorian Government,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962121D" w14:textId="77777777" w:rsidR="00E83F6E" w:rsidRDefault="00E83F6E" w:rsidP="00E83F6E">
              <w:pPr>
                <w:pStyle w:val="Bibliography"/>
                <w:rPr>
                  <w:noProof/>
                </w:rPr>
              </w:pPr>
              <w:r>
                <w:rPr>
                  <w:noProof/>
                </w:rPr>
                <w:t xml:space="preserve">Waite, M. &amp; Will, L., 2001. </w:t>
              </w:r>
              <w:r>
                <w:rPr>
                  <w:i/>
                  <w:iCs/>
                  <w:noProof/>
                </w:rPr>
                <w:t xml:space="preserve">Self-employment in Australia: Incidence and characteristics, </w:t>
              </w:r>
              <w:r>
                <w:rPr>
                  <w:noProof/>
                </w:rPr>
                <w:t>Productivity Commission Staff Research Paper, Canberra: Productivity Commission.</w:t>
              </w:r>
            </w:p>
            <w:p w14:paraId="125D9EEE" w14:textId="77777777" w:rsidR="00E83F6E" w:rsidRDefault="00E83F6E" w:rsidP="00E83F6E">
              <w:pPr>
                <w:pStyle w:val="Bibliography"/>
                <w:rPr>
                  <w:noProof/>
                </w:rPr>
              </w:pPr>
              <w:r>
                <w:rPr>
                  <w:noProof/>
                </w:rPr>
                <w:t xml:space="preserve">Warren, D. A., 2015. Pathways to Retirement in Australia: Evidence from the HILDA Survey. </w:t>
              </w:r>
              <w:r>
                <w:rPr>
                  <w:i/>
                  <w:iCs/>
                  <w:noProof/>
                </w:rPr>
                <w:t xml:space="preserve">Work, Aging and Retirement, </w:t>
              </w:r>
              <w:r>
                <w:rPr>
                  <w:noProof/>
                </w:rPr>
                <w:t>1(2), pp. 144-165.</w:t>
              </w:r>
            </w:p>
            <w:p w14:paraId="2CA6D360" w14:textId="77777777" w:rsidR="00E83F6E" w:rsidRDefault="00E83F6E" w:rsidP="00E83F6E">
              <w:pPr>
                <w:pStyle w:val="Bibliography"/>
                <w:rPr>
                  <w:noProof/>
                </w:rPr>
              </w:pPr>
              <w:r>
                <w:rPr>
                  <w:noProof/>
                </w:rPr>
                <w:t xml:space="preserve">Warren, G., Khemka, G. &amp; Tang, Y., 2020. The 'Right' Level for the Superannuation Guarantee: A Straightforward Issue by No Means. </w:t>
              </w:r>
              <w:r>
                <w:rPr>
                  <w:i/>
                  <w:iCs/>
                  <w:noProof/>
                </w:rPr>
                <w:t>Working Paper.</w:t>
              </w:r>
            </w:p>
            <w:p w14:paraId="1707C539" w14:textId="77777777" w:rsidR="00E83F6E" w:rsidRDefault="00E83F6E" w:rsidP="00E83F6E">
              <w:pPr>
                <w:pStyle w:val="Bibliography"/>
                <w:rPr>
                  <w:noProof/>
                </w:rPr>
              </w:pPr>
              <w:r>
                <w:rPr>
                  <w:noProof/>
                </w:rPr>
                <w:t xml:space="preserve">Weier, M. et al., 2019. </w:t>
              </w:r>
              <w:r>
                <w:rPr>
                  <w:i/>
                  <w:iCs/>
                  <w:noProof/>
                </w:rPr>
                <w:t xml:space="preserve">Money Stories: Financial resilience among Aboriginal and Torres Strait Islander Australians, </w:t>
              </w:r>
              <w:r>
                <w:rPr>
                  <w:noProof/>
                </w:rPr>
                <w:t>s.l.: Centre for Social Impact – UNSW Sydney, for National Australia Bank.</w:t>
              </w:r>
            </w:p>
            <w:p w14:paraId="2025C9CA" w14:textId="77777777" w:rsidR="00E83F6E" w:rsidRDefault="00E83F6E" w:rsidP="00E83F6E">
              <w:pPr>
                <w:pStyle w:val="Bibliography"/>
                <w:rPr>
                  <w:noProof/>
                </w:rPr>
              </w:pPr>
              <w:r>
                <w:rPr>
                  <w:noProof/>
                </w:rPr>
                <w:t xml:space="preserve">Western Australia Self Funded Retirees Inc.,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64BB190E" w14:textId="77777777" w:rsidR="00E83F6E" w:rsidRDefault="00E83F6E" w:rsidP="00E83F6E">
              <w:pPr>
                <w:pStyle w:val="Bibliography"/>
                <w:rPr>
                  <w:noProof/>
                </w:rPr>
              </w:pPr>
              <w:r>
                <w:rPr>
                  <w:noProof/>
                </w:rPr>
                <w:t xml:space="preserve">Whelan, S., Atalay, K., Barrett, G. &amp; Edwards, R., 2019. </w:t>
              </w:r>
              <w:r>
                <w:rPr>
                  <w:i/>
                  <w:iCs/>
                  <w:noProof/>
                </w:rPr>
                <w:t xml:space="preserve">Moving, downsizing and housing equity consumption choices of older Australians, </w:t>
              </w:r>
              <w:r>
                <w:rPr>
                  <w:noProof/>
                </w:rPr>
                <w:t>Final Report No. 321, Melbourne: Australian Housing and Urban Research Institute Limited.</w:t>
              </w:r>
            </w:p>
            <w:p w14:paraId="78BD23A5" w14:textId="77777777" w:rsidR="00E83F6E" w:rsidRDefault="00E83F6E" w:rsidP="00E83F6E">
              <w:pPr>
                <w:pStyle w:val="Bibliography"/>
                <w:rPr>
                  <w:noProof/>
                </w:rPr>
              </w:pPr>
              <w:r>
                <w:rPr>
                  <w:noProof/>
                </w:rPr>
                <w:t xml:space="preserve">Whelan, S., Dynan, L. &amp; Atalay, K., 2018. </w:t>
              </w:r>
              <w:r>
                <w:rPr>
                  <w:i/>
                  <w:iCs/>
                  <w:noProof/>
                </w:rPr>
                <w:t xml:space="preserve">Asset portfolio retirement decisions: the Role of the Tax and Transfer System, </w:t>
              </w:r>
              <w:r>
                <w:rPr>
                  <w:noProof/>
                </w:rPr>
                <w:t>Melbourne, Australia: Australian Housing and Urban Research Institute Limited.</w:t>
              </w:r>
            </w:p>
            <w:p w14:paraId="0B0D70EC" w14:textId="77777777" w:rsidR="00E83F6E" w:rsidRDefault="00E83F6E" w:rsidP="00E83F6E">
              <w:pPr>
                <w:pStyle w:val="Bibliography"/>
                <w:rPr>
                  <w:noProof/>
                </w:rPr>
              </w:pPr>
              <w:r>
                <w:rPr>
                  <w:noProof/>
                </w:rPr>
                <w:t xml:space="preserve">Whiteford, P., 2015. </w:t>
              </w:r>
              <w:r>
                <w:rPr>
                  <w:i/>
                  <w:iCs/>
                  <w:noProof/>
                </w:rPr>
                <w:t xml:space="preserve">The Tax-Transfer System, Progressivity and Redistribution: How Progressive is the Australian Transfer System?. </w:t>
              </w:r>
              <w:r>
                <w:rPr>
                  <w:noProof/>
                </w:rPr>
                <w:t xml:space="preserve">[Online] </w:t>
              </w:r>
              <w:r>
                <w:rPr>
                  <w:noProof/>
                </w:rPr>
                <w:br/>
                <w:t xml:space="preserve">Available at: </w:t>
              </w:r>
              <w:r>
                <w:rPr>
                  <w:noProof/>
                  <w:u w:val="single"/>
                </w:rPr>
                <w:t>https://www.austaxpolicy.com/the-tax-transfer-system-progressivity-and-redistribution-part-1-how-progressive-is-the-australian-transfer-system/</w:t>
              </w:r>
              <w:r>
                <w:rPr>
                  <w:noProof/>
                </w:rPr>
                <w:br/>
                <w:t>[Accessed 15 March 2020].</w:t>
              </w:r>
            </w:p>
            <w:p w14:paraId="1DB1CA81" w14:textId="77777777" w:rsidR="00E83F6E" w:rsidRDefault="00E83F6E" w:rsidP="00E83F6E">
              <w:pPr>
                <w:pStyle w:val="Bibliography"/>
                <w:rPr>
                  <w:noProof/>
                </w:rPr>
              </w:pPr>
              <w:r>
                <w:rPr>
                  <w:noProof/>
                </w:rPr>
                <w:t xml:space="preserve">Wijk, M. V. &amp; Preesman, L., 2019. </w:t>
              </w:r>
              <w:r>
                <w:rPr>
                  <w:i/>
                  <w:iCs/>
                  <w:noProof/>
                </w:rPr>
                <w:t xml:space="preserve">Dutch social partners and government reach agreement on retirement age. </w:t>
              </w:r>
              <w:r>
                <w:rPr>
                  <w:noProof/>
                </w:rPr>
                <w:t xml:space="preserve">[Online] </w:t>
              </w:r>
              <w:r>
                <w:rPr>
                  <w:noProof/>
                </w:rPr>
                <w:br/>
                <w:t xml:space="preserve">Available at: </w:t>
              </w:r>
              <w:r>
                <w:rPr>
                  <w:noProof/>
                  <w:u w:val="single"/>
                </w:rPr>
                <w:t>https://www.ipe.com/dutch-social-partners-and-government-reach-agreement-on-retirement-age/10031526.article</w:t>
              </w:r>
              <w:r>
                <w:rPr>
                  <w:noProof/>
                </w:rPr>
                <w:br/>
                <w:t>[Accessed 20 May 2020].</w:t>
              </w:r>
            </w:p>
            <w:p w14:paraId="48B27641" w14:textId="77777777" w:rsidR="00E83F6E" w:rsidRDefault="00E83F6E" w:rsidP="00E83F6E">
              <w:pPr>
                <w:pStyle w:val="Bibliography"/>
                <w:rPr>
                  <w:noProof/>
                </w:rPr>
              </w:pPr>
              <w:r>
                <w:rPr>
                  <w:noProof/>
                </w:rPr>
                <w:t xml:space="preserve">Wilkins, R., 2016. </w:t>
              </w:r>
              <w:r>
                <w:rPr>
                  <w:i/>
                  <w:iCs/>
                  <w:noProof/>
                </w:rPr>
                <w:t xml:space="preserve">The Household, Income and Labour Dynamics in Australia Survey: Selected Findings from Waves 1 to 14, </w:t>
              </w:r>
              <w:r>
                <w:rPr>
                  <w:noProof/>
                </w:rPr>
                <w:t>Melbourne: Melbourne Institute of Applied Economic and Social Research.</w:t>
              </w:r>
            </w:p>
            <w:p w14:paraId="016F68B8" w14:textId="77777777" w:rsidR="00E83F6E" w:rsidRDefault="00E83F6E" w:rsidP="00E83F6E">
              <w:pPr>
                <w:pStyle w:val="Bibliography"/>
                <w:rPr>
                  <w:noProof/>
                </w:rPr>
              </w:pPr>
              <w:r>
                <w:rPr>
                  <w:noProof/>
                </w:rPr>
                <w:t xml:space="preserve">Wilkins, R., 2017. </w:t>
              </w:r>
              <w:r>
                <w:rPr>
                  <w:i/>
                  <w:iCs/>
                  <w:noProof/>
                </w:rPr>
                <w:t xml:space="preserve">The Household, Income and Labour Dynamics in Australia Survey: Selected Findings from Waves 1 to 15, </w:t>
              </w:r>
              <w:r>
                <w:rPr>
                  <w:noProof/>
                </w:rPr>
                <w:t>Melbourne: Melbourne Institute of Applied Economic and Social Research.</w:t>
              </w:r>
            </w:p>
            <w:p w14:paraId="2A110ACD" w14:textId="77777777" w:rsidR="00E83F6E" w:rsidRDefault="00E83F6E" w:rsidP="00E83F6E">
              <w:pPr>
                <w:pStyle w:val="Bibliography"/>
                <w:rPr>
                  <w:noProof/>
                </w:rPr>
              </w:pPr>
              <w:r>
                <w:rPr>
                  <w:noProof/>
                </w:rPr>
                <w:t xml:space="preserve">Wilkins, R. &amp; Lass, I., 2018. </w:t>
              </w:r>
              <w:r>
                <w:rPr>
                  <w:i/>
                  <w:iCs/>
                  <w:noProof/>
                </w:rPr>
                <w:t xml:space="preserve">The Household, Income and Labour Dynamics in Australia Survey: Selected Findings from Waves 1 to 16, </w:t>
              </w:r>
              <w:r>
                <w:rPr>
                  <w:noProof/>
                </w:rPr>
                <w:t>Melbourne: Melbourne Institute of Applied Economic and Social Research.</w:t>
              </w:r>
            </w:p>
            <w:p w14:paraId="6AD8178A" w14:textId="77777777" w:rsidR="00E83F6E" w:rsidRDefault="00E83F6E" w:rsidP="00E83F6E">
              <w:pPr>
                <w:pStyle w:val="Bibliography"/>
                <w:rPr>
                  <w:noProof/>
                </w:rPr>
              </w:pPr>
              <w:r>
                <w:rPr>
                  <w:noProof/>
                </w:rPr>
                <w:t xml:space="preserve">Willis, L. E., 2017. Performance-based remedies: ordering firms to eradicate their own fraud. </w:t>
              </w:r>
              <w:r>
                <w:rPr>
                  <w:i/>
                  <w:iCs/>
                  <w:noProof/>
                </w:rPr>
                <w:t xml:space="preserve">Law &amp; Contemporary Problems, </w:t>
              </w:r>
              <w:r>
                <w:rPr>
                  <w:noProof/>
                </w:rPr>
                <w:t>80(3), pp. 7-41.</w:t>
              </w:r>
            </w:p>
            <w:p w14:paraId="7F0BEFE5" w14:textId="77777777" w:rsidR="00E83F6E" w:rsidRDefault="00E83F6E" w:rsidP="00E83F6E">
              <w:pPr>
                <w:pStyle w:val="Bibliography"/>
                <w:rPr>
                  <w:noProof/>
                </w:rPr>
              </w:pPr>
              <w:r>
                <w:rPr>
                  <w:noProof/>
                </w:rPr>
                <w:t xml:space="preserve">Women in Social and Economic Research,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07FF15DD" w14:textId="77777777" w:rsidR="00E83F6E" w:rsidRDefault="00E83F6E" w:rsidP="00E83F6E">
              <w:pPr>
                <w:pStyle w:val="Bibliography"/>
                <w:rPr>
                  <w:noProof/>
                </w:rPr>
              </w:pPr>
              <w:r>
                <w:rPr>
                  <w:noProof/>
                </w:rPr>
                <w:t xml:space="preserve">Women in Super,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5FF66187" w14:textId="77777777" w:rsidR="00E83F6E" w:rsidRDefault="00E83F6E" w:rsidP="00E83F6E">
              <w:pPr>
                <w:pStyle w:val="Bibliography"/>
                <w:rPr>
                  <w:noProof/>
                </w:rPr>
              </w:pPr>
              <w:r>
                <w:rPr>
                  <w:noProof/>
                </w:rPr>
                <w:t xml:space="preserve">Women's Legal Service Victoria, 2018. </w:t>
              </w:r>
              <w:r>
                <w:rPr>
                  <w:i/>
                  <w:iCs/>
                  <w:noProof/>
                </w:rPr>
                <w:t xml:space="preserve">Small Claims, Large Battles: Achieving Economic Equality in the Family Law System. </w:t>
              </w:r>
              <w:r>
                <w:rPr>
                  <w:noProof/>
                </w:rPr>
                <w:t xml:space="preserve">[Online] </w:t>
              </w:r>
              <w:r>
                <w:rPr>
                  <w:noProof/>
                </w:rPr>
                <w:br/>
                <w:t xml:space="preserve">Available at: </w:t>
              </w:r>
              <w:r>
                <w:rPr>
                  <w:noProof/>
                  <w:u w:val="single"/>
                </w:rPr>
                <w:t>https://womenslegal.org.au/files/file/WLSV%20Small%20Claims,%20Large%20Battles%20Research%20Report%202018.pdf</w:t>
              </w:r>
              <w:r>
                <w:rPr>
                  <w:noProof/>
                </w:rPr>
                <w:br/>
                <w:t>[Accessed 3 March 2020].</w:t>
              </w:r>
            </w:p>
            <w:p w14:paraId="0A085243" w14:textId="77777777" w:rsidR="00E83F6E" w:rsidRDefault="00E83F6E" w:rsidP="00E83F6E">
              <w:pPr>
                <w:pStyle w:val="Bibliography"/>
                <w:rPr>
                  <w:noProof/>
                </w:rPr>
              </w:pPr>
              <w:r>
                <w:rPr>
                  <w:noProof/>
                </w:rPr>
                <w:t xml:space="preserve">Wood, D., Griffiths, K. &amp; Emslie, O., 2019. </w:t>
              </w:r>
              <w:r>
                <w:rPr>
                  <w:i/>
                  <w:iCs/>
                  <w:noProof/>
                </w:rPr>
                <w:t xml:space="preserve">Generation Gap: ensuring a fair go for younger Australians, </w:t>
              </w:r>
              <w:r>
                <w:rPr>
                  <w:noProof/>
                </w:rPr>
                <w:t>Melbourne: Grattan Institute.</w:t>
              </w:r>
            </w:p>
            <w:p w14:paraId="7C487C20" w14:textId="77777777" w:rsidR="00E83F6E" w:rsidRDefault="00E83F6E" w:rsidP="00E83F6E">
              <w:pPr>
                <w:pStyle w:val="Bibliography"/>
                <w:rPr>
                  <w:noProof/>
                </w:rPr>
              </w:pPr>
              <w:r>
                <w:rPr>
                  <w:noProof/>
                </w:rPr>
                <w:t xml:space="preserve">Workplace Gender Equality Agency, 2019. </w:t>
              </w:r>
              <w:r>
                <w:rPr>
                  <w:i/>
                  <w:iCs/>
                  <w:noProof/>
                </w:rPr>
                <w:t xml:space="preserve">Parental leave and support for caring. </w:t>
              </w:r>
              <w:r>
                <w:rPr>
                  <w:noProof/>
                </w:rPr>
                <w:t xml:space="preserve">[Online] </w:t>
              </w:r>
              <w:r>
                <w:rPr>
                  <w:noProof/>
                </w:rPr>
                <w:br/>
                <w:t xml:space="preserve">Available at: </w:t>
              </w:r>
              <w:r>
                <w:rPr>
                  <w:noProof/>
                  <w:u w:val="single"/>
                </w:rPr>
                <w:t>https://www.wgea.gov.au/data/wgea-research/australias-gender-equality-scorecard/2018-2019-gender-equality-scorecard/employer-action-on-gender-equality/parental-leave-and-support-for-caring</w:t>
              </w:r>
              <w:r>
                <w:rPr>
                  <w:noProof/>
                </w:rPr>
                <w:br/>
                <w:t>[Accessed 2 March 2020].</w:t>
              </w:r>
            </w:p>
            <w:p w14:paraId="03CEC2C7" w14:textId="77777777" w:rsidR="00E83F6E" w:rsidRDefault="00E83F6E" w:rsidP="00E83F6E">
              <w:pPr>
                <w:pStyle w:val="Bibliography"/>
                <w:rPr>
                  <w:noProof/>
                </w:rPr>
              </w:pPr>
              <w:r>
                <w:rPr>
                  <w:noProof/>
                </w:rPr>
                <w:t xml:space="preserve">Workplace Gender Equality Agency, 2020. </w:t>
              </w:r>
              <w:r>
                <w:rPr>
                  <w:i/>
                  <w:iCs/>
                  <w:noProof/>
                </w:rPr>
                <w:t xml:space="preserve">WGEA Data Explorer. </w:t>
              </w:r>
              <w:r>
                <w:rPr>
                  <w:noProof/>
                </w:rPr>
                <w:t xml:space="preserve">[Online] </w:t>
              </w:r>
              <w:r>
                <w:rPr>
                  <w:noProof/>
                </w:rPr>
                <w:br/>
                <w:t xml:space="preserve">Available at: </w:t>
              </w:r>
              <w:r>
                <w:rPr>
                  <w:noProof/>
                  <w:u w:val="single"/>
                </w:rPr>
                <w:t>https://data.wgea.gov.au/industries/1#carers_content</w:t>
              </w:r>
              <w:r>
                <w:rPr>
                  <w:noProof/>
                </w:rPr>
                <w:br/>
                <w:t>[Accessed 2 March 2020].</w:t>
              </w:r>
            </w:p>
            <w:p w14:paraId="2E12F62E" w14:textId="77777777" w:rsidR="00E83F6E" w:rsidRDefault="00E83F6E" w:rsidP="00E83F6E">
              <w:pPr>
                <w:pStyle w:val="Bibliography"/>
                <w:rPr>
                  <w:noProof/>
                </w:rPr>
              </w:pPr>
              <w:r>
                <w:rPr>
                  <w:noProof/>
                </w:rPr>
                <w:t xml:space="preserve">World Bank, 1994. </w:t>
              </w:r>
              <w:r>
                <w:rPr>
                  <w:i/>
                  <w:iCs/>
                  <w:noProof/>
                </w:rPr>
                <w:t xml:space="preserve">Averting the Old Age Crisis: policies to protect the old and promote growth, </w:t>
              </w:r>
              <w:r>
                <w:rPr>
                  <w:noProof/>
                </w:rPr>
                <w:t>Washington DC: World Bank.</w:t>
              </w:r>
            </w:p>
            <w:p w14:paraId="287B0ACB" w14:textId="77777777" w:rsidR="00E83F6E" w:rsidRDefault="00E83F6E" w:rsidP="00E83F6E">
              <w:pPr>
                <w:pStyle w:val="Bibliography"/>
                <w:rPr>
                  <w:noProof/>
                </w:rPr>
              </w:pPr>
              <w:r>
                <w:rPr>
                  <w:noProof/>
                </w:rPr>
                <w:t xml:space="preserve">World Bank, 2008. </w:t>
              </w:r>
              <w:r>
                <w:rPr>
                  <w:i/>
                  <w:iCs/>
                  <w:noProof/>
                </w:rPr>
                <w:t xml:space="preserve">The World Bank Pension Conceptual Framework, </w:t>
              </w:r>
              <w:r>
                <w:rPr>
                  <w:noProof/>
                </w:rPr>
                <w:t>Washington DC: World Bank.</w:t>
              </w:r>
            </w:p>
            <w:p w14:paraId="1359DD8C" w14:textId="77777777" w:rsidR="00E83F6E" w:rsidRDefault="00E83F6E" w:rsidP="00E83F6E">
              <w:pPr>
                <w:pStyle w:val="Bibliography"/>
                <w:rPr>
                  <w:noProof/>
                </w:rPr>
              </w:pPr>
              <w:r>
                <w:rPr>
                  <w:noProof/>
                </w:rPr>
                <w:t xml:space="preserve">Yeend, P., 2009. </w:t>
              </w:r>
              <w:r>
                <w:rPr>
                  <w:i/>
                  <w:iCs/>
                  <w:noProof/>
                </w:rPr>
                <w:t xml:space="preserve">Welfare payments - reforms to pensions. </w:t>
              </w:r>
              <w:r>
                <w:rPr>
                  <w:noProof/>
                </w:rPr>
                <w:t xml:space="preserve">[Online] </w:t>
              </w:r>
              <w:r>
                <w:rPr>
                  <w:noProof/>
                </w:rPr>
                <w:br/>
                <w:t xml:space="preserve">Available at: </w:t>
              </w:r>
              <w:r>
                <w:rPr>
                  <w:noProof/>
                  <w:u w:val="single"/>
                </w:rPr>
                <w:t>https://www.aph.gov.au/About_Parliament/Parliamentary_Departments/Parliamentary_Library/pubs/rp/BudgetReview200910/WelfarePensionReforms</w:t>
              </w:r>
              <w:r>
                <w:rPr>
                  <w:noProof/>
                </w:rPr>
                <w:br/>
                <w:t>[Accessed 15 May 2020].</w:t>
              </w:r>
            </w:p>
            <w:p w14:paraId="7995087E" w14:textId="77777777" w:rsidR="00E83F6E" w:rsidRDefault="00E83F6E" w:rsidP="00E83F6E">
              <w:pPr>
                <w:pStyle w:val="Bibliography"/>
                <w:rPr>
                  <w:noProof/>
                </w:rPr>
              </w:pPr>
              <w:r>
                <w:rPr>
                  <w:noProof/>
                </w:rPr>
                <w:t xml:space="preserve">Your Life Choices, 2020. </w:t>
              </w:r>
              <w:r>
                <w:rPr>
                  <w:i/>
                  <w:iCs/>
                  <w:noProof/>
                </w:rPr>
                <w:t xml:space="preserve">Retirement Income Review submissions. </w:t>
              </w:r>
              <w:r>
                <w:rPr>
                  <w:noProof/>
                </w:rPr>
                <w:t xml:space="preserve">[Online] </w:t>
              </w:r>
              <w:r>
                <w:rPr>
                  <w:noProof/>
                </w:rPr>
                <w:br/>
                <w:t xml:space="preserve">Available at: </w:t>
              </w:r>
              <w:r>
                <w:rPr>
                  <w:noProof/>
                  <w:u w:val="single"/>
                </w:rPr>
                <w:t>https://treasury.gov.au/consultation/c2019-36292/submissions</w:t>
              </w:r>
            </w:p>
            <w:p w14:paraId="6573B24C" w14:textId="77777777" w:rsidR="00B8577A" w:rsidRDefault="00B8577A" w:rsidP="00E83F6E">
              <w:r w:rsidRPr="00027624">
                <w:rPr>
                  <w:b/>
                  <w:bCs/>
                  <w:noProof/>
                </w:rPr>
                <w:fldChar w:fldCharType="end"/>
              </w:r>
            </w:p>
          </w:sdtContent>
        </w:sdt>
      </w:sdtContent>
    </w:sdt>
    <w:p w14:paraId="228BF670" w14:textId="77777777" w:rsidR="00E96B29" w:rsidRPr="0088764D" w:rsidRDefault="00E96B29" w:rsidP="0088764D"/>
    <w:sectPr w:rsidR="00E96B29" w:rsidRPr="0088764D" w:rsidSect="0088764D">
      <w:type w:val="oddPage"/>
      <w:pgSz w:w="11906" w:h="16838" w:code="9"/>
      <w:pgMar w:top="1418" w:right="1418" w:bottom="1418" w:left="1418"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B04B73" w16cex:dateUtc="2020-07-08T03:41:00Z"/>
  <w16cex:commentExtensible w16cex:durableId="22B03B68" w16cex:dateUtc="2020-07-08T02:32:00Z"/>
  <w16cex:commentExtensible w16cex:durableId="22AF18EE" w16cex:dateUtc="2020-07-07T05:53:00Z"/>
  <w16cex:commentExtensible w16cex:durableId="22AF1AC9" w16cex:dateUtc="2020-07-07T06:01:00Z"/>
  <w16cex:commentExtensible w16cex:durableId="22B03D84" w16cex:dateUtc="2020-07-08T02:41:00Z"/>
  <w16cex:commentExtensible w16cex:durableId="22B04BC5" w16cex:dateUtc="2020-07-08T03:42:00Z"/>
  <w16cex:commentExtensible w16cex:durableId="22AF2899" w16cex:dateUtc="2020-07-07T07:00:00Z"/>
  <w16cex:commentExtensible w16cex:durableId="22B040E3" w16cex:dateUtc="2020-07-08T02:56:00Z"/>
  <w16cex:commentExtensible w16cex:durableId="22AF2AC4" w16cex:dateUtc="2020-07-07T07:09:00Z"/>
  <w16cex:commentExtensible w16cex:durableId="22B048A8" w16cex:dateUtc="2020-07-08T03:29:00Z"/>
  <w16cex:commentExtensible w16cex:durableId="22B04B37" w16cex:dateUtc="2020-07-08T03:40:00Z"/>
  <w16cex:commentExtensible w16cex:durableId="22B048D6" w16cex:dateUtc="2020-07-08T03:29:00Z"/>
  <w16cex:commentExtensible w16cex:durableId="22B048E5" w16cex:dateUtc="2020-07-08T03:30:00Z"/>
  <w16cex:commentExtensible w16cex:durableId="22AF3431" w16cex:dateUtc="2020-07-07T07:49:00Z"/>
  <w16cex:commentExtensible w16cex:durableId="22B03DDB" w16cex:dateUtc="2020-07-08T02:43:00Z"/>
  <w16cex:commentExtensible w16cex:durableId="22B048F4" w16cex:dateUtc="2020-07-08T03:30:00Z"/>
  <w16cex:commentExtensible w16cex:durableId="22B0497E" w16cex:dateUtc="2020-07-08T03:32:00Z"/>
  <w16cex:commentExtensible w16cex:durableId="22B04918" w16cex:dateUtc="2020-07-08T03:31:00Z"/>
  <w16cex:commentExtensible w16cex:durableId="22B04940" w16cex:dateUtc="2020-07-08T03:31:00Z"/>
  <w16cex:commentExtensible w16cex:durableId="22B0495B" w16cex:dateUtc="2020-07-08T03:32:00Z"/>
  <w16cex:commentExtensible w16cex:durableId="22B04975" w16cex:dateUtc="2020-07-08T03:32:00Z"/>
  <w16cex:commentExtensible w16cex:durableId="22B00822" w16cex:dateUtc="2020-07-07T22:53:00Z"/>
  <w16cex:commentExtensible w16cex:durableId="22B05320" w16cex:dateUtc="2020-07-08T04:13:00Z"/>
  <w16cex:commentExtensible w16cex:durableId="22B01853" w16cex:dateUtc="2020-07-08T00:02:00Z"/>
  <w16cex:commentExtensible w16cex:durableId="22B05329" w16cex:dateUtc="2020-07-08T04:14:00Z"/>
  <w16cex:commentExtensible w16cex:durableId="22B0191B" w16cex:dateUtc="2020-07-08T00:06:00Z"/>
  <w16cex:commentExtensible w16cex:durableId="22B01B30" w16cex:dateUtc="2020-07-08T00:15:00Z"/>
  <w16cex:commentExtensible w16cex:durableId="22B05341" w16cex:dateUtc="2020-07-08T04:14:00Z"/>
  <w16cex:commentExtensible w16cex:durableId="22B01F96" w16cex:dateUtc="2020-07-08T00:33:00Z"/>
  <w16cex:commentExtensible w16cex:durableId="22B05372" w16cex:dateUtc="2020-07-08T04:15:00Z"/>
  <w16cex:commentExtensible w16cex:durableId="22B05379" w16cex:dateUtc="2020-07-08T04:15:00Z"/>
  <w16cex:commentExtensible w16cex:durableId="22B0538E" w16cex:dateUtc="2020-07-08T04:15:00Z"/>
  <w16cex:commentExtensible w16cex:durableId="22B05385" w16cex:dateUtc="2020-07-08T04:15:00Z"/>
  <w16cex:commentExtensible w16cex:durableId="22B053B6" w16cex:dateUtc="2020-07-08T04:16:00Z"/>
  <w16cex:commentExtensible w16cex:durableId="22B053C2" w16cex:dateUtc="2020-07-08T04:16:00Z"/>
  <w16cex:commentExtensible w16cex:durableId="22B04C15" w16cex:dateUtc="2020-07-08T03:43:00Z"/>
  <w16cex:commentExtensible w16cex:durableId="22B02401" w16cex:dateUtc="2020-07-08T00:52:00Z"/>
  <w16cex:commentExtensible w16cex:durableId="22B02706" w16cex:dateUtc="2020-07-08T01:05:00Z"/>
  <w16cex:commentExtensible w16cex:durableId="22B053D5" w16cex:dateUtc="2020-07-08T04:16:00Z"/>
  <w16cex:commentExtensible w16cex:durableId="22B04A6A" w16cex:dateUtc="2020-07-08T03:36:00Z"/>
  <w16cex:commentExtensible w16cex:durableId="22B053E4" w16cex:dateUtc="2020-07-08T04:17:00Z"/>
  <w16cex:commentExtensible w16cex:durableId="22B053ED" w16cex:dateUtc="2020-07-08T04:17:00Z"/>
  <w16cex:commentExtensible w16cex:durableId="22B053F4" w16cex:dateUtc="2020-07-08T04:17:00Z"/>
  <w16cex:commentExtensible w16cex:durableId="22B02E5E" w16cex:dateUtc="2020-07-08T01:37:00Z"/>
  <w16cex:commentExtensible w16cex:durableId="22B030F7" w16cex:dateUtc="2020-07-08T01:48:00Z"/>
  <w16cex:commentExtensible w16cex:durableId="22B05410" w16cex:dateUtc="2020-07-08T04:17:00Z"/>
  <w16cex:commentExtensible w16cex:durableId="22B0326C" w16cex:dateUtc="2020-07-08T01:54:00Z"/>
  <w16cex:commentExtensible w16cex:durableId="22B033FB" w16cex:dateUtc="2020-07-08T02:00:00Z"/>
  <w16cex:commentExtensible w16cex:durableId="22B0362B" w16cex:dateUtc="2020-07-08T02:10:00Z"/>
  <w16cex:commentExtensible w16cex:durableId="22B045D1" w16cex:dateUtc="2020-07-08T03:17:00Z"/>
  <w16cex:commentExtensible w16cex:durableId="22B036E9" w16cex:dateUtc="2020-07-08T02:13:00Z"/>
  <w16cex:commentExtensible w16cex:durableId="22B0542B" w16cex:dateUtc="2020-07-08T04:18:00Z"/>
  <w16cex:commentExtensible w16cex:durableId="22B05436" w16cex:dateUtc="2020-07-08T04:18:00Z"/>
  <w16cex:commentExtensible w16cex:durableId="22B05440" w16cex:dateUtc="2020-07-08T04:18:00Z"/>
  <w16cex:commentExtensible w16cex:durableId="22B04D80" w16cex:dateUtc="2020-07-08T03:49:00Z"/>
  <w16cex:commentExtensible w16cex:durableId="22B05489" w16cex:dateUtc="2020-07-08T04:19:00Z"/>
  <w16cex:commentExtensible w16cex:durableId="22B04E64" w16cex:dateUtc="2020-07-08T03:53:00Z"/>
  <w16cex:commentExtensible w16cex:durableId="22B0397F" w16cex:dateUtc="2020-07-08T02:24:00Z"/>
  <w16cex:commentExtensible w16cex:durableId="22B03A78" w16cex:dateUtc="2020-07-08T02:28:00Z"/>
  <w16cex:commentExtensible w16cex:durableId="22B043C6" w16cex:dateUtc="2020-07-08T03:08:00Z"/>
  <w16cex:commentExtensible w16cex:durableId="22B04B47" w16cex:dateUtc="2020-07-08T03:4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D0FFE9" w14:textId="77777777" w:rsidR="00730553" w:rsidRDefault="00730553">
      <w:pPr>
        <w:spacing w:before="0" w:after="0"/>
      </w:pPr>
      <w:r>
        <w:separator/>
      </w:r>
    </w:p>
  </w:endnote>
  <w:endnote w:type="continuationSeparator" w:id="0">
    <w:p w14:paraId="5B22ECCE" w14:textId="77777777" w:rsidR="00730553" w:rsidRDefault="00730553">
      <w:pPr>
        <w:spacing w:before="0" w:after="0"/>
      </w:pPr>
      <w:r>
        <w:continuationSeparator/>
      </w:r>
    </w:p>
  </w:endnote>
  <w:endnote w:type="continuationNotice" w:id="1">
    <w:p w14:paraId="649224E7" w14:textId="77777777" w:rsidR="00730553" w:rsidRDefault="0073055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Hei">
    <w:altName w:val="黑体"/>
    <w:panose1 w:val="02010600030101010101"/>
    <w:charset w:val="86"/>
    <w:family w:val="modern"/>
    <w:pitch w:val="fixed"/>
    <w:sig w:usb0="800002BF" w:usb1="38CF7CFA" w:usb2="00000016" w:usb3="00000000" w:csb0="00040001" w:csb1="00000000"/>
  </w:font>
  <w:font w:name="Arial Bold">
    <w:panose1 w:val="020B0704020202020204"/>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Rockwell">
    <w:panose1 w:val="02060603020205020403"/>
    <w:charset w:val="00"/>
    <w:family w:val="roman"/>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ClanOT-News">
    <w:altName w:val="ClanOT-News"/>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75717" w14:textId="77777777" w:rsidR="00730553" w:rsidRDefault="00730553" w:rsidP="00626440">
    <w:pPr>
      <w:pStyle w:val="FooterEven"/>
    </w:pPr>
    <w:r>
      <w:fldChar w:fldCharType="begin"/>
    </w:r>
    <w:r>
      <w:instrText xml:space="preserve"> PAGE   \* MERGEFORMAT </w:instrText>
    </w:r>
    <w:r>
      <w:fldChar w:fldCharType="separate"/>
    </w:r>
    <w:r>
      <w:t>viii</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115BFB" w14:textId="54D2232E" w:rsidR="00730553" w:rsidRDefault="00730553" w:rsidP="0088764D">
    <w:pPr>
      <w:pStyle w:val="FooterOdd"/>
      <w:rPr>
        <w:noProof/>
      </w:rPr>
    </w:pPr>
    <w:r>
      <w:fldChar w:fldCharType="begin"/>
    </w:r>
    <w:r>
      <w:instrText xml:space="preserve"> PAGE   \* MERGEFORMAT </w:instrText>
    </w:r>
    <w:r>
      <w:fldChar w:fldCharType="separate"/>
    </w:r>
    <w:r w:rsidR="007B222E">
      <w:rPr>
        <w:noProof/>
      </w:rPr>
      <w:t>311</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452637" w14:textId="0A80FF10" w:rsidR="00730553" w:rsidRDefault="00730553" w:rsidP="0088764D">
    <w:pPr>
      <w:pStyle w:val="FooterOdd"/>
      <w:rPr>
        <w:noProof/>
      </w:rPr>
    </w:pPr>
    <w:r>
      <w:fldChar w:fldCharType="begin"/>
    </w:r>
    <w:r>
      <w:instrText xml:space="preserve"> PAGE   \* MERGEFORMAT </w:instrText>
    </w:r>
    <w:r>
      <w:fldChar w:fldCharType="separate"/>
    </w:r>
    <w:r w:rsidR="007B222E">
      <w:rPr>
        <w:noProof/>
      </w:rPr>
      <w:t>335</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15AF5F" w14:textId="0CA9D341" w:rsidR="00730553" w:rsidRDefault="00730553" w:rsidP="0088764D">
    <w:pPr>
      <w:pStyle w:val="FooterOdd"/>
      <w:rPr>
        <w:noProof/>
      </w:rPr>
    </w:pPr>
    <w:r>
      <w:fldChar w:fldCharType="begin"/>
    </w:r>
    <w:r>
      <w:instrText xml:space="preserve"> PAGE   \* MERGEFORMAT </w:instrText>
    </w:r>
    <w:r>
      <w:fldChar w:fldCharType="separate"/>
    </w:r>
    <w:r w:rsidR="007B222E">
      <w:rPr>
        <w:noProof/>
      </w:rPr>
      <w:t>423</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F44448" w14:textId="28842C67" w:rsidR="00730553" w:rsidRPr="00626440" w:rsidRDefault="00730553" w:rsidP="00952957">
    <w:pPr>
      <w:pStyle w:val="FooterOdd"/>
    </w:pPr>
    <w:r>
      <w:fldChar w:fldCharType="begin"/>
    </w:r>
    <w:r>
      <w:instrText xml:space="preserve"> PAGE   \* MERGEFORMAT </w:instrText>
    </w:r>
    <w:r>
      <w:fldChar w:fldCharType="separate"/>
    </w:r>
    <w:r w:rsidR="007B222E">
      <w:rPr>
        <w:noProof/>
      </w:rPr>
      <w:t>415</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148238" w14:textId="734B9D3D" w:rsidR="00730553" w:rsidRPr="00FE255E" w:rsidRDefault="00730553" w:rsidP="0088764D">
    <w:pPr>
      <w:pStyle w:val="FooterEven"/>
    </w:pPr>
    <w:r>
      <w:fldChar w:fldCharType="begin"/>
    </w:r>
    <w:r>
      <w:instrText xml:space="preserve"> PAGE </w:instrText>
    </w:r>
    <w:r>
      <w:fldChar w:fldCharType="separate"/>
    </w:r>
    <w:r>
      <w:t>614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E431D" w14:textId="77777777" w:rsidR="00730553" w:rsidRDefault="00730553" w:rsidP="00FE255E">
    <w:pPr>
      <w:pStyle w:val="FooterOdd"/>
    </w:pPr>
    <w:r>
      <w:fldChar w:fldCharType="begin"/>
    </w:r>
    <w:r>
      <w:instrText xml:space="preserve"> PAGE   \* MERGEFORMAT </w:instrText>
    </w:r>
    <w:r>
      <w:fldChar w:fldCharType="separate"/>
    </w:r>
    <w:r>
      <w:rPr>
        <w:noProof/>
      </w:rPr>
      <w:t>iii</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597DA5" w14:textId="0C3CD148" w:rsidR="00730553" w:rsidRDefault="00730553" w:rsidP="000F5652">
    <w:pPr>
      <w:pStyle w:val="FooterOdd"/>
      <w:jc w:val="left"/>
    </w:pPr>
    <w:r>
      <w:fldChar w:fldCharType="begin"/>
    </w:r>
    <w:r>
      <w:instrText xml:space="preserve"> PAGE   \* MERGEFORMAT </w:instrText>
    </w:r>
    <w:r>
      <w:fldChar w:fldCharType="separate"/>
    </w:r>
    <w:r w:rsidR="007B222E">
      <w:rPr>
        <w:noProof/>
      </w:rPr>
      <w:t>viii</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7A967" w14:textId="33AAF4DB" w:rsidR="00730553" w:rsidRDefault="00730553" w:rsidP="000F5652">
    <w:pPr>
      <w:pStyle w:val="FooterOdd"/>
    </w:pPr>
    <w:r>
      <w:fldChar w:fldCharType="begin"/>
    </w:r>
    <w:r>
      <w:instrText xml:space="preserve"> PAGE   \* MERGEFORMAT </w:instrText>
    </w:r>
    <w:r>
      <w:fldChar w:fldCharType="separate"/>
    </w:r>
    <w:r w:rsidR="007B222E">
      <w:rPr>
        <w:noProof/>
      </w:rPr>
      <w:t>iii</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37335" w14:textId="11931A59" w:rsidR="00730553" w:rsidRDefault="00730553" w:rsidP="00302713">
    <w:pPr>
      <w:pStyle w:val="FooterOdd"/>
    </w:pPr>
    <w:r>
      <w:fldChar w:fldCharType="begin"/>
    </w:r>
    <w:r>
      <w:instrText xml:space="preserve"> PAGE   \* MERGEFORMAT </w:instrText>
    </w:r>
    <w:r>
      <w:fldChar w:fldCharType="separate"/>
    </w:r>
    <w:r w:rsidR="007B222E">
      <w:rPr>
        <w:noProof/>
      </w:rPr>
      <w:t>v</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33D71" w14:textId="2CAE57B6" w:rsidR="00730553" w:rsidRDefault="00730553" w:rsidP="000F5652">
    <w:pPr>
      <w:pStyle w:val="FooterOdd"/>
      <w:jc w:val="left"/>
    </w:pPr>
    <w:r>
      <w:fldChar w:fldCharType="begin"/>
    </w:r>
    <w:r>
      <w:instrText xml:space="preserve"> PAGE   \* MERGEFORMAT </w:instrText>
    </w:r>
    <w:r>
      <w:fldChar w:fldCharType="separate"/>
    </w:r>
    <w:r w:rsidR="007B222E">
      <w:rPr>
        <w:noProof/>
      </w:rPr>
      <w:t>422</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FE7F3" w14:textId="70A5F545" w:rsidR="00730553" w:rsidRDefault="00730553" w:rsidP="000F5652">
    <w:pPr>
      <w:pStyle w:val="FooterOdd"/>
    </w:pPr>
    <w:r>
      <w:fldChar w:fldCharType="begin"/>
    </w:r>
    <w:r>
      <w:instrText xml:space="preserve"> PAGE   \* MERGEFORMAT </w:instrText>
    </w:r>
    <w:r>
      <w:fldChar w:fldCharType="separate"/>
    </w:r>
    <w:r w:rsidR="007B222E">
      <w:rPr>
        <w:noProof/>
      </w:rPr>
      <w:t>203</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7F3AB" w14:textId="50A63F93" w:rsidR="00730553" w:rsidRPr="00626440" w:rsidRDefault="00730553" w:rsidP="00E11EAF">
    <w:pPr>
      <w:pStyle w:val="FooterOdd"/>
    </w:pPr>
    <w:r>
      <w:fldChar w:fldCharType="begin"/>
    </w:r>
    <w:r>
      <w:instrText xml:space="preserve"> PAGE   \* MERGEFORMAT </w:instrText>
    </w:r>
    <w:r>
      <w:fldChar w:fldCharType="separate"/>
    </w:r>
    <w:r w:rsidR="007B222E">
      <w:rPr>
        <w:noProof/>
      </w:rPr>
      <w:t>363</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AB501" w14:textId="5F3BC9C2" w:rsidR="00730553" w:rsidRDefault="00730553" w:rsidP="0088764D">
    <w:pPr>
      <w:pStyle w:val="FooterOdd"/>
      <w:rPr>
        <w:noProof/>
      </w:rPr>
    </w:pPr>
    <w:r>
      <w:fldChar w:fldCharType="begin"/>
    </w:r>
    <w:r>
      <w:instrText xml:space="preserve"> PAGE   \* MERGEFORMAT </w:instrText>
    </w:r>
    <w:r>
      <w:fldChar w:fldCharType="separate"/>
    </w:r>
    <w:r w:rsidR="007B222E">
      <w:rPr>
        <w:noProof/>
      </w:rPr>
      <w:t>295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65B07E" w14:textId="77777777" w:rsidR="00730553" w:rsidRDefault="00730553">
      <w:pPr>
        <w:spacing w:before="0" w:after="0"/>
      </w:pPr>
      <w:r>
        <w:separator/>
      </w:r>
    </w:p>
  </w:footnote>
  <w:footnote w:type="continuationSeparator" w:id="0">
    <w:p w14:paraId="0A008E87" w14:textId="77777777" w:rsidR="00730553" w:rsidRDefault="00730553">
      <w:pPr>
        <w:spacing w:before="0" w:after="0"/>
      </w:pPr>
      <w:r>
        <w:continuationSeparator/>
      </w:r>
    </w:p>
  </w:footnote>
  <w:footnote w:type="continuationNotice" w:id="1">
    <w:p w14:paraId="10C75BF0" w14:textId="77777777" w:rsidR="00730553" w:rsidRDefault="00730553">
      <w:pPr>
        <w:spacing w:before="0" w:after="0"/>
      </w:pPr>
    </w:p>
  </w:footnote>
  <w:footnote w:id="2">
    <w:p w14:paraId="370C8B6F" w14:textId="77777777" w:rsidR="00730553" w:rsidRDefault="00730553" w:rsidP="00454F18">
      <w:pPr>
        <w:pStyle w:val="FootnoteText"/>
      </w:pPr>
      <w:r w:rsidRPr="3230D7F3">
        <w:rPr>
          <w:rStyle w:val="FootnoteReference"/>
        </w:rPr>
        <w:footnoteRef/>
      </w:r>
      <w:r>
        <w:t xml:space="preserve"> </w:t>
      </w:r>
      <w:r w:rsidRPr="000B667F">
        <w:rPr>
          <w:rStyle w:val="normaltextrun1"/>
          <w:rFonts w:cs="Calibri"/>
          <w:szCs w:val="22"/>
        </w:rPr>
        <w:t>Over the past 20 years, annual</w:t>
      </w:r>
      <w:r>
        <w:rPr>
          <w:rStyle w:val="normaltextrun1"/>
          <w:rFonts w:cs="Calibri"/>
          <w:szCs w:val="22"/>
        </w:rPr>
        <w:t xml:space="preserve"> real</w:t>
      </w:r>
      <w:r w:rsidRPr="00D378EC">
        <w:rPr>
          <w:rStyle w:val="normaltextrun1"/>
          <w:rFonts w:cs="Calibri"/>
          <w:szCs w:val="22"/>
        </w:rPr>
        <w:t xml:space="preserve"> growth </w:t>
      </w:r>
      <w:r>
        <w:rPr>
          <w:rStyle w:val="normaltextrun1"/>
          <w:rFonts w:cs="Calibri"/>
          <w:szCs w:val="22"/>
        </w:rPr>
        <w:t xml:space="preserve">of average weekly earnings averaged </w:t>
      </w:r>
      <w:r w:rsidRPr="000B667F">
        <w:rPr>
          <w:rStyle w:val="normaltextrun1"/>
          <w:rFonts w:cs="Calibri"/>
          <w:szCs w:val="22"/>
        </w:rPr>
        <w:t>1.0</w:t>
      </w:r>
      <w:r>
        <w:rPr>
          <w:rStyle w:val="normaltextrun1"/>
          <w:rFonts w:cs="Calibri"/>
          <w:szCs w:val="22"/>
        </w:rPr>
        <w:t> per cent.</w:t>
      </w:r>
    </w:p>
  </w:footnote>
  <w:footnote w:id="3">
    <w:p w14:paraId="774DE249" w14:textId="77777777" w:rsidR="00730553" w:rsidRDefault="00730553">
      <w:pPr>
        <w:pStyle w:val="FootnoteText"/>
      </w:pPr>
      <w:r>
        <w:rPr>
          <w:rStyle w:val="FootnoteReference"/>
        </w:rPr>
        <w:footnoteRef/>
      </w:r>
      <w:r>
        <w:t xml:space="preserve"> There is an exception for a small number of people for whom retirement is mandated at a particular age. </w:t>
      </w:r>
      <w:r w:rsidRPr="00D56FDC">
        <w:t xml:space="preserve">For example, </w:t>
      </w:r>
      <w:r w:rsidRPr="007712C2">
        <w:t xml:space="preserve">Australian Defence Force personnel must retire at </w:t>
      </w:r>
      <w:r>
        <w:t xml:space="preserve">age </w:t>
      </w:r>
      <w:r w:rsidRPr="007712C2">
        <w:t xml:space="preserve">65 and judges and magistrates must retire at </w:t>
      </w:r>
      <w:r>
        <w:t xml:space="preserve">age </w:t>
      </w:r>
      <w:r w:rsidRPr="007712C2">
        <w:t xml:space="preserve">70 </w:t>
      </w:r>
      <w:sdt>
        <w:sdtPr>
          <w:id w:val="-1045447468"/>
          <w:citation/>
        </w:sdtPr>
        <w:sdtEndPr/>
        <w:sdtContent>
          <w:r w:rsidRPr="007712C2">
            <w:fldChar w:fldCharType="begin"/>
          </w:r>
          <w:r w:rsidRPr="007712C2">
            <w:instrText xml:space="preserve"> CITATION Equ20 \l 3081 </w:instrText>
          </w:r>
          <w:r w:rsidRPr="007712C2">
            <w:fldChar w:fldCharType="separate"/>
          </w:r>
          <w:r>
            <w:rPr>
              <w:noProof/>
            </w:rPr>
            <w:t>(Equal Opportunity Commission, 2020)</w:t>
          </w:r>
          <w:r w:rsidRPr="007712C2">
            <w:fldChar w:fldCharType="end"/>
          </w:r>
        </w:sdtContent>
      </w:sdt>
      <w:r w:rsidRPr="007712C2">
        <w:t>.</w:t>
      </w:r>
    </w:p>
  </w:footnote>
  <w:footnote w:id="4">
    <w:p w14:paraId="01EEF6DF" w14:textId="77777777" w:rsidR="00730553" w:rsidRPr="00E96D48" w:rsidRDefault="00730553" w:rsidP="00D178A4">
      <w:pPr>
        <w:pStyle w:val="FootnoteText"/>
      </w:pPr>
      <w:r w:rsidRPr="007A1D14">
        <w:rPr>
          <w:rStyle w:val="FootnoteReference"/>
        </w:rPr>
        <w:footnoteRef/>
      </w:r>
      <w:r w:rsidRPr="007A1D14">
        <w:rPr>
          <w:vertAlign w:val="superscript"/>
        </w:rPr>
        <w:t xml:space="preserve"> </w:t>
      </w:r>
      <w:r w:rsidRPr="00E96D48">
        <w:t xml:space="preserve">Calculations using </w:t>
      </w:r>
      <w:sdt>
        <w:sdtPr>
          <w:id w:val="329410428"/>
          <w:citation/>
        </w:sdtPr>
        <w:sdtEndPr/>
        <w:sdtContent>
          <w:r w:rsidRPr="00E96D48">
            <w:fldChar w:fldCharType="begin"/>
          </w:r>
          <w:r w:rsidRPr="00E96D48">
            <w:instrText xml:space="preserve"> CITATION OEC194 \l 3081 </w:instrText>
          </w:r>
          <w:r w:rsidRPr="00E96D48">
            <w:fldChar w:fldCharType="separate"/>
          </w:r>
          <w:r>
            <w:rPr>
              <w:noProof/>
            </w:rPr>
            <w:t>(OECD, 2019a)</w:t>
          </w:r>
          <w:r w:rsidRPr="00E96D48">
            <w:fldChar w:fldCharType="end"/>
          </w:r>
        </w:sdtContent>
      </w:sdt>
      <w:r w:rsidRPr="00E96D48">
        <w:t>, HILDA Survey data (Waves 16</w:t>
      </w:r>
      <w:r>
        <w:noBreakHyphen/>
      </w:r>
      <w:r w:rsidRPr="00E96D48">
        <w:t xml:space="preserve">17) and data provided by the ABS for the review. For females, the Age Pension eligibility age increased from 60 years in 1995 to 65 years in 2013. For males, the Age Pension eligibility age has been 65 years since the inception of the Age Pension in 1909 </w:t>
      </w:r>
      <w:sdt>
        <w:sdtPr>
          <w:id w:val="2059050578"/>
          <w:citation/>
        </w:sdtPr>
        <w:sdtEndPr/>
        <w:sdtContent>
          <w:r w:rsidRPr="00E96D48">
            <w:fldChar w:fldCharType="begin"/>
          </w:r>
          <w:r w:rsidRPr="00E96D48">
            <w:instrText xml:space="preserve"> CITATION ABS98 \l 3081 </w:instrText>
          </w:r>
          <w:r w:rsidRPr="00E96D48">
            <w:fldChar w:fldCharType="separate"/>
          </w:r>
          <w:r>
            <w:rPr>
              <w:noProof/>
            </w:rPr>
            <w:t>(ABS, 1998)</w:t>
          </w:r>
          <w:r w:rsidRPr="00E96D48">
            <w:fldChar w:fldCharType="end"/>
          </w:r>
        </w:sdtContent>
      </w:sdt>
      <w:r w:rsidRPr="00E96D48">
        <w:t xml:space="preserve">. For all persons, the Age Pension eligibility age increased to 65 years and six months on 1 July 2017 and to 66 years on 1 July 2019. </w:t>
      </w:r>
    </w:p>
  </w:footnote>
  <w:footnote w:id="5">
    <w:p w14:paraId="47816F4D" w14:textId="77777777" w:rsidR="00730553" w:rsidRDefault="00730553">
      <w:pPr>
        <w:pStyle w:val="FootnoteText"/>
      </w:pPr>
      <w:r w:rsidRPr="00E96D48">
        <w:rPr>
          <w:rStyle w:val="FootnoteReference"/>
        </w:rPr>
        <w:footnoteRef/>
      </w:r>
      <w:r w:rsidRPr="00E96D48">
        <w:t xml:space="preserve"> Calculations using </w:t>
      </w:r>
      <w:sdt>
        <w:sdtPr>
          <w:id w:val="-124308173"/>
          <w:citation/>
        </w:sdtPr>
        <w:sdtEndPr/>
        <w:sdtContent>
          <w:r w:rsidRPr="00E96D48">
            <w:fldChar w:fldCharType="begin"/>
          </w:r>
          <w:r w:rsidRPr="00E96D48">
            <w:instrText xml:space="preserve"> CITATION OEC194 \l 3081 </w:instrText>
          </w:r>
          <w:r w:rsidRPr="00E96D48">
            <w:fldChar w:fldCharType="separate"/>
          </w:r>
          <w:r>
            <w:rPr>
              <w:noProof/>
            </w:rPr>
            <w:t>(OECD, 2019a)</w:t>
          </w:r>
          <w:r w:rsidRPr="00E96D48">
            <w:fldChar w:fldCharType="end"/>
          </w:r>
        </w:sdtContent>
      </w:sdt>
      <w:r w:rsidRPr="00E96D48">
        <w:t xml:space="preserve"> and data provided by the ABS for</w:t>
      </w:r>
      <w:r>
        <w:t xml:space="preserve"> the review.</w:t>
      </w:r>
    </w:p>
  </w:footnote>
  <w:footnote w:id="6">
    <w:p w14:paraId="4B97AFD8" w14:textId="77777777" w:rsidR="00730553" w:rsidRDefault="00730553" w:rsidP="001A24C1">
      <w:pPr>
        <w:pStyle w:val="FootnoteText"/>
      </w:pPr>
      <w:r w:rsidRPr="0080047A">
        <w:rPr>
          <w:rStyle w:val="FootnoteReference"/>
        </w:rPr>
        <w:footnoteRef/>
      </w:r>
      <w:r>
        <w:t xml:space="preserve"> </w:t>
      </w:r>
      <w:r w:rsidRPr="00D56FDC">
        <w:t xml:space="preserve">Higher </w:t>
      </w:r>
      <w:r w:rsidRPr="007712C2">
        <w:t>lev</w:t>
      </w:r>
      <w:r>
        <w:t>els of educational attainment are</w:t>
      </w:r>
      <w:r w:rsidRPr="007712C2">
        <w:t xml:space="preserve"> associated with a later average age of retirement (see</w:t>
      </w:r>
      <w:r>
        <w:t xml:space="preserve"> </w:t>
      </w:r>
      <w:r w:rsidRPr="007712C2">
        <w:rPr>
          <w:i/>
        </w:rPr>
        <w:t>3E.</w:t>
      </w:r>
      <w:r>
        <w:rPr>
          <w:i/>
        </w:rPr>
        <w:t> </w:t>
      </w:r>
      <w:r w:rsidRPr="007712C2">
        <w:rPr>
          <w:i/>
        </w:rPr>
        <w:t>Age of retirement</w:t>
      </w:r>
      <w:r w:rsidRPr="007712C2">
        <w:t>)</w:t>
      </w:r>
      <w:r w:rsidRPr="00832B5B">
        <w:t>.</w:t>
      </w:r>
    </w:p>
  </w:footnote>
  <w:footnote w:id="7">
    <w:p w14:paraId="1541DE44" w14:textId="77777777" w:rsidR="00730553" w:rsidRDefault="00730553" w:rsidP="00D178A4">
      <w:pPr>
        <w:pStyle w:val="FootnoteText"/>
      </w:pPr>
      <w:r w:rsidRPr="0080047A">
        <w:rPr>
          <w:rStyle w:val="FootnoteReference"/>
        </w:rPr>
        <w:footnoteRef/>
      </w:r>
      <w:r w:rsidRPr="0080047A">
        <w:rPr>
          <w:vertAlign w:val="superscript"/>
        </w:rPr>
        <w:t xml:space="preserve"> </w:t>
      </w:r>
      <w:r>
        <w:t>This may understate the expected age, as it does not include people who indicated they do not intend to retire from the workforce in the future.</w:t>
      </w:r>
    </w:p>
  </w:footnote>
  <w:footnote w:id="8">
    <w:p w14:paraId="1AF8A6A7" w14:textId="77777777" w:rsidR="00730553" w:rsidRDefault="00730553">
      <w:pPr>
        <w:pStyle w:val="FootnoteText"/>
      </w:pPr>
      <w:r w:rsidRPr="0080047A">
        <w:rPr>
          <w:rStyle w:val="FootnoteReference"/>
        </w:rPr>
        <w:footnoteRef/>
      </w:r>
      <w:r w:rsidRPr="0080047A">
        <w:rPr>
          <w:vertAlign w:val="superscript"/>
        </w:rPr>
        <w:t xml:space="preserve"> </w:t>
      </w:r>
      <w:r w:rsidRPr="00F238AC">
        <w:t xml:space="preserve">Investment Trends </w:t>
      </w:r>
      <w:r>
        <w:t>October</w:t>
      </w:r>
      <w:r w:rsidRPr="00F238AC">
        <w:t xml:space="preserve"> 2019 Retirement Income Report</w:t>
      </w:r>
      <w:r>
        <w:t>.</w:t>
      </w:r>
    </w:p>
  </w:footnote>
  <w:footnote w:id="9">
    <w:p w14:paraId="501E273D" w14:textId="77777777" w:rsidR="00730553" w:rsidRDefault="00730553">
      <w:pPr>
        <w:pStyle w:val="FootnoteText"/>
      </w:pPr>
      <w:r w:rsidRPr="0080047A">
        <w:rPr>
          <w:rStyle w:val="FootnoteReference"/>
        </w:rPr>
        <w:footnoteRef/>
      </w:r>
      <w:r w:rsidRPr="0080047A">
        <w:t xml:space="preserve"> </w:t>
      </w:r>
      <w:r>
        <w:t>Calculations using</w:t>
      </w:r>
      <w:sdt>
        <w:sdtPr>
          <w:id w:val="369730289"/>
          <w:citation/>
        </w:sdtPr>
        <w:sdtEndPr/>
        <w:sdtContent>
          <w:r>
            <w:fldChar w:fldCharType="begin"/>
          </w:r>
          <w:r w:rsidRPr="00F238AC">
            <w:instrText xml:space="preserve">CITATION ABS3 \l 3081 </w:instrText>
          </w:r>
          <w:r>
            <w:fldChar w:fldCharType="separate"/>
          </w:r>
          <w:r>
            <w:rPr>
              <w:noProof/>
            </w:rPr>
            <w:t xml:space="preserve"> (ABS, 2016a)</w:t>
          </w:r>
          <w:r>
            <w:fldChar w:fldCharType="end"/>
          </w:r>
        </w:sdtContent>
      </w:sdt>
      <w:r w:rsidRPr="00F238AC">
        <w:t>.</w:t>
      </w:r>
    </w:p>
  </w:footnote>
  <w:footnote w:id="10">
    <w:p w14:paraId="2FD42F72" w14:textId="77777777" w:rsidR="00730553" w:rsidRDefault="00730553" w:rsidP="00D178A4">
      <w:pPr>
        <w:pStyle w:val="FootnoteText"/>
      </w:pPr>
      <w:r w:rsidRPr="00AE427A">
        <w:rPr>
          <w:rStyle w:val="FootnoteReference"/>
        </w:rPr>
        <w:footnoteRef/>
      </w:r>
      <w:r w:rsidRPr="00B43697">
        <w:rPr>
          <w:rStyle w:val="FootnoteReference"/>
        </w:rPr>
        <w:t xml:space="preserve"> </w:t>
      </w:r>
      <w:r>
        <w:t>Those</w:t>
      </w:r>
      <w:r w:rsidRPr="00B43697">
        <w:t xml:space="preserve"> who do not qualify for the Age Pension but are over Age Pension </w:t>
      </w:r>
      <w:r>
        <w:t xml:space="preserve">eligibility </w:t>
      </w:r>
      <w:r w:rsidRPr="00B43697">
        <w:t xml:space="preserve">age </w:t>
      </w:r>
      <w:r>
        <w:t>may</w:t>
      </w:r>
      <w:r w:rsidRPr="00B43697">
        <w:t xml:space="preserve"> qualify for </w:t>
      </w:r>
      <w:r>
        <w:t>other income support, such as the Disability Support Pension, Carer Payment or Special Benefit</w:t>
      </w:r>
      <w:r w:rsidRPr="00B43697">
        <w:t>.</w:t>
      </w:r>
      <w:r>
        <w:t xml:space="preserve"> </w:t>
      </w:r>
    </w:p>
  </w:footnote>
  <w:footnote w:id="11">
    <w:p w14:paraId="7A2CEB8C" w14:textId="77777777" w:rsidR="00730553" w:rsidRPr="00B43697" w:rsidRDefault="00730553" w:rsidP="00D178A4">
      <w:pPr>
        <w:pStyle w:val="FootnoteText"/>
      </w:pPr>
      <w:r w:rsidRPr="00DE36A6">
        <w:rPr>
          <w:rStyle w:val="FootnoteReference"/>
        </w:rPr>
        <w:footnoteRef/>
      </w:r>
      <w:r w:rsidRPr="00DE36A6">
        <w:rPr>
          <w:rStyle w:val="FootnoteReference"/>
        </w:rPr>
        <w:t xml:space="preserve"> </w:t>
      </w:r>
      <w:r w:rsidRPr="00DE36A6">
        <w:rPr>
          <w:rStyle w:val="FootnoteReference"/>
          <w:vertAlign w:val="baseline"/>
        </w:rPr>
        <w:t>Pending the passage of legislation, to qualify for</w:t>
      </w:r>
      <w:r w:rsidRPr="00B43697">
        <w:rPr>
          <w:rStyle w:val="FootnoteReference"/>
          <w:vertAlign w:val="baseline"/>
        </w:rPr>
        <w:t xml:space="preserve"> </w:t>
      </w:r>
      <w:r>
        <w:t xml:space="preserve">the </w:t>
      </w:r>
      <w:r w:rsidRPr="00B43697">
        <w:rPr>
          <w:rStyle w:val="FootnoteReference"/>
          <w:vertAlign w:val="baseline"/>
        </w:rPr>
        <w:t>Age Pension or Disability Support Pension a person will be required to have 10 years continuous Australian residence, with either</w:t>
      </w:r>
      <w:r w:rsidRPr="000365EE">
        <w:t xml:space="preserve"> </w:t>
      </w:r>
      <w:r w:rsidRPr="00B43697">
        <w:rPr>
          <w:rStyle w:val="FootnoteReference"/>
          <w:vertAlign w:val="baseline"/>
        </w:rPr>
        <w:t xml:space="preserve">five years of this residence being during their working life (16 years of age to Age Pension </w:t>
      </w:r>
      <w:r>
        <w:t xml:space="preserve">eligibility </w:t>
      </w:r>
      <w:r w:rsidRPr="00B43697">
        <w:rPr>
          <w:rStyle w:val="FootnoteReference"/>
          <w:vertAlign w:val="baseline"/>
        </w:rPr>
        <w:t>age)</w:t>
      </w:r>
      <w:r>
        <w:t>,</w:t>
      </w:r>
      <w:r w:rsidRPr="00B43697">
        <w:rPr>
          <w:rStyle w:val="FootnoteReference"/>
          <w:vertAlign w:val="baseline"/>
        </w:rPr>
        <w:t xml:space="preserve"> or</w:t>
      </w:r>
      <w:r w:rsidRPr="000365EE">
        <w:t xml:space="preserve"> </w:t>
      </w:r>
      <w:r w:rsidRPr="00B43697">
        <w:rPr>
          <w:rStyle w:val="FootnoteReference"/>
          <w:vertAlign w:val="baseline"/>
        </w:rPr>
        <w:t>not have been in receipt of an activity</w:t>
      </w:r>
      <w:r>
        <w:noBreakHyphen/>
      </w:r>
      <w:r w:rsidRPr="00B43697">
        <w:rPr>
          <w:rStyle w:val="FootnoteReference"/>
          <w:vertAlign w:val="baseline"/>
        </w:rPr>
        <w:t>tested income support payment for a cumulative period of greater than five years.</w:t>
      </w:r>
      <w:r w:rsidRPr="000365EE">
        <w:t xml:space="preserve"> </w:t>
      </w:r>
      <w:r w:rsidRPr="00B43697">
        <w:rPr>
          <w:rStyle w:val="FootnoteReference"/>
          <w:vertAlign w:val="baseline"/>
        </w:rPr>
        <w:t>In circumstances where the person does not meet the requirements set out above, they will be required to have 15 years</w:t>
      </w:r>
      <w:r>
        <w:t>’</w:t>
      </w:r>
      <w:r w:rsidRPr="00B43697">
        <w:rPr>
          <w:rStyle w:val="FootnoteReference"/>
          <w:vertAlign w:val="baseline"/>
        </w:rPr>
        <w:t xml:space="preserve"> continuous Australian residence before being eligible to receive the Age Pension or Disability Support Pension.</w:t>
      </w:r>
      <w:r>
        <w:t xml:space="preserve"> Some age pensioners meet the residency requirements under the terms of international social security agreements.</w:t>
      </w:r>
    </w:p>
  </w:footnote>
  <w:footnote w:id="12">
    <w:p w14:paraId="28555079" w14:textId="77777777" w:rsidR="00730553" w:rsidRDefault="00730553">
      <w:pPr>
        <w:pStyle w:val="FootnoteText"/>
      </w:pPr>
      <w:r>
        <w:rPr>
          <w:rStyle w:val="FootnoteReference"/>
        </w:rPr>
        <w:footnoteRef/>
      </w:r>
      <w:r>
        <w:t xml:space="preserve"> The combined couple base rate of Age Pension is benchmarked to 41.76 per cent of male total average weekly earnings. The single base rate of Age Pension is 66.33 per cent of the couple combined rate.</w:t>
      </w:r>
    </w:p>
  </w:footnote>
  <w:footnote w:id="13">
    <w:p w14:paraId="6BFCFA1C" w14:textId="77777777" w:rsidR="00730553" w:rsidRDefault="00730553" w:rsidP="00D178A4">
      <w:pPr>
        <w:pStyle w:val="FootnoteText"/>
      </w:pPr>
      <w:r>
        <w:rPr>
          <w:rStyle w:val="FootnoteReference"/>
        </w:rPr>
        <w:footnoteRef/>
      </w:r>
      <w:r>
        <w:t xml:space="preserve"> Age pensioners must pay enough rent to reach the minimum rent threshold to receive Commonwealth Rent Assistance. As a result, there may be more age pensioners who live in private rentals that are not counted by this proportion, if they do not pay enough rent to receive Commonwealth Rent Assistance.</w:t>
      </w:r>
    </w:p>
  </w:footnote>
  <w:footnote w:id="14">
    <w:p w14:paraId="6314014D" w14:textId="77777777" w:rsidR="00730553" w:rsidRPr="000B5894" w:rsidRDefault="00730553">
      <w:pPr>
        <w:pStyle w:val="FootnoteText"/>
      </w:pPr>
      <w:r w:rsidRPr="000B5894">
        <w:rPr>
          <w:rStyle w:val="FootnoteReference"/>
        </w:rPr>
        <w:footnoteRef/>
      </w:r>
      <w:r w:rsidRPr="000B5894">
        <w:t xml:space="preserve"> </w:t>
      </w:r>
      <w:r>
        <w:t>Department of Social Services</w:t>
      </w:r>
      <w:r w:rsidRPr="000B5894">
        <w:t xml:space="preserve"> payment data, June 2019. </w:t>
      </w:r>
    </w:p>
  </w:footnote>
  <w:footnote w:id="15">
    <w:p w14:paraId="1182CE01" w14:textId="77777777" w:rsidR="00730553" w:rsidRPr="000B5894" w:rsidRDefault="00730553">
      <w:pPr>
        <w:pStyle w:val="FootnoteText"/>
      </w:pPr>
      <w:r w:rsidRPr="000B5894">
        <w:rPr>
          <w:rStyle w:val="FootnoteReference"/>
        </w:rPr>
        <w:footnoteRef/>
      </w:r>
      <w:r w:rsidRPr="000B5894">
        <w:t xml:space="preserve"> </w:t>
      </w:r>
      <w:r>
        <w:t>Department of Social Services</w:t>
      </w:r>
      <w:r w:rsidRPr="000B5894">
        <w:t xml:space="preserve"> payment data, 28 June 2019. Calculation uses the maximum rate for those without depend</w:t>
      </w:r>
      <w:r>
        <w:t>e</w:t>
      </w:r>
      <w:r w:rsidRPr="000B5894">
        <w:t xml:space="preserve">nt children. </w:t>
      </w:r>
    </w:p>
  </w:footnote>
  <w:footnote w:id="16">
    <w:p w14:paraId="6225A679" w14:textId="77777777" w:rsidR="00730553" w:rsidRDefault="00730553" w:rsidP="00D178A4">
      <w:pPr>
        <w:pStyle w:val="FootnoteText"/>
      </w:pPr>
      <w:r w:rsidRPr="000B5894">
        <w:rPr>
          <w:rStyle w:val="FootnoteReference"/>
        </w:rPr>
        <w:footnoteRef/>
      </w:r>
      <w:r w:rsidRPr="000B5894">
        <w:t xml:space="preserve"> </w:t>
      </w:r>
      <w:r>
        <w:t>Department of Social Services</w:t>
      </w:r>
      <w:r w:rsidRPr="000B5894">
        <w:t xml:space="preserve"> payment data, 28 June 2019. Couples includes all couples with at least one person on the Age Pension.</w:t>
      </w:r>
    </w:p>
  </w:footnote>
  <w:footnote w:id="17">
    <w:p w14:paraId="59704CF1" w14:textId="77777777" w:rsidR="00730553" w:rsidRDefault="00730553">
      <w:pPr>
        <w:pStyle w:val="FootnoteText"/>
      </w:pPr>
      <w:r>
        <w:rPr>
          <w:rStyle w:val="FootnoteReference"/>
        </w:rPr>
        <w:footnoteRef/>
      </w:r>
      <w:r>
        <w:t xml:space="preserve"> Department of Social Services payment data, June 2019. </w:t>
      </w:r>
    </w:p>
  </w:footnote>
  <w:footnote w:id="18">
    <w:p w14:paraId="4444A359" w14:textId="77777777" w:rsidR="00730553" w:rsidRPr="00FD2A5C" w:rsidRDefault="00730553" w:rsidP="00D178A4">
      <w:pPr>
        <w:spacing w:after="144"/>
        <w:rPr>
          <w:sz w:val="20"/>
        </w:rPr>
      </w:pPr>
      <w:r>
        <w:rPr>
          <w:rStyle w:val="FootnoteReference"/>
        </w:rPr>
        <w:footnoteRef/>
      </w:r>
      <w:r>
        <w:t xml:space="preserve"> </w:t>
      </w:r>
      <w:r w:rsidRPr="00F135F6">
        <w:rPr>
          <w:sz w:val="20"/>
        </w:rPr>
        <w:t>Financial assets include</w:t>
      </w:r>
      <w:r>
        <w:rPr>
          <w:sz w:val="20"/>
        </w:rPr>
        <w:t>:</w:t>
      </w:r>
      <w:r w:rsidRPr="00F135F6">
        <w:rPr>
          <w:sz w:val="20"/>
        </w:rPr>
        <w:t xml:space="preserve"> cash, bank accounts, term deposits, shares, managed investments, loans, superannuation accounts and some income stream products. Most non</w:t>
      </w:r>
      <w:r>
        <w:rPr>
          <w:sz w:val="20"/>
        </w:rPr>
        <w:noBreakHyphen/>
      </w:r>
      <w:r w:rsidRPr="00F135F6">
        <w:rPr>
          <w:sz w:val="20"/>
        </w:rPr>
        <w:t xml:space="preserve">financial assets are not subject to deeming. For example, investment properties are not deemed; the actual income is used instead. </w:t>
      </w:r>
      <w:r w:rsidRPr="00365090">
        <w:rPr>
          <w:sz w:val="20"/>
        </w:rPr>
        <w:t>To calculate the income assessed</w:t>
      </w:r>
      <w:r>
        <w:rPr>
          <w:sz w:val="20"/>
        </w:rPr>
        <w:t xml:space="preserve"> under deeming</w:t>
      </w:r>
      <w:r w:rsidRPr="00365090">
        <w:rPr>
          <w:sz w:val="20"/>
        </w:rPr>
        <w:t>, deeming rates are applied to the total market value of an income support recipient</w:t>
      </w:r>
      <w:r>
        <w:rPr>
          <w:sz w:val="20"/>
        </w:rPr>
        <w:t>’</w:t>
      </w:r>
      <w:r w:rsidRPr="00365090">
        <w:rPr>
          <w:sz w:val="20"/>
        </w:rPr>
        <w:t xml:space="preserve">s financial assets. </w:t>
      </w:r>
      <w:r>
        <w:rPr>
          <w:sz w:val="20"/>
        </w:rPr>
        <w:t>D</w:t>
      </w:r>
      <w:r w:rsidRPr="00365090">
        <w:rPr>
          <w:sz w:val="20"/>
        </w:rPr>
        <w:t xml:space="preserve">eeming </w:t>
      </w:r>
      <w:r>
        <w:rPr>
          <w:sz w:val="20"/>
        </w:rPr>
        <w:t xml:space="preserve">has </w:t>
      </w:r>
      <w:r w:rsidRPr="00365090">
        <w:rPr>
          <w:sz w:val="20"/>
        </w:rPr>
        <w:t>upper</w:t>
      </w:r>
      <w:r>
        <w:rPr>
          <w:sz w:val="20"/>
        </w:rPr>
        <w:t xml:space="preserve"> and lower rates. Effective from 1 May </w:t>
      </w:r>
      <w:r w:rsidRPr="00365090">
        <w:rPr>
          <w:sz w:val="20"/>
        </w:rPr>
        <w:t>2020, the first $51,800 of a person</w:t>
      </w:r>
      <w:r>
        <w:rPr>
          <w:sz w:val="20"/>
        </w:rPr>
        <w:t>’</w:t>
      </w:r>
      <w:r w:rsidRPr="00365090">
        <w:rPr>
          <w:sz w:val="20"/>
        </w:rPr>
        <w:t xml:space="preserve">s financial assets (for </w:t>
      </w:r>
      <w:r>
        <w:rPr>
          <w:sz w:val="20"/>
        </w:rPr>
        <w:t>an age p</w:t>
      </w:r>
      <w:r w:rsidRPr="00365090">
        <w:rPr>
          <w:sz w:val="20"/>
        </w:rPr>
        <w:t>ensioner couple combined, the first $86,200; and for each member of a couple receiving an allowance payment, the first $43,100) is assumed to earn a return of</w:t>
      </w:r>
      <w:r>
        <w:t xml:space="preserve"> </w:t>
      </w:r>
      <w:r w:rsidRPr="00365090">
        <w:rPr>
          <w:sz w:val="20"/>
        </w:rPr>
        <w:t>0.25</w:t>
      </w:r>
      <w:r>
        <w:rPr>
          <w:sz w:val="20"/>
        </w:rPr>
        <w:t> per cent</w:t>
      </w:r>
      <w:r w:rsidRPr="00365090">
        <w:rPr>
          <w:sz w:val="20"/>
        </w:rPr>
        <w:t>. For amounts above these thresholds, the assumed rate of return is 2.25</w:t>
      </w:r>
      <w:r>
        <w:rPr>
          <w:sz w:val="20"/>
        </w:rPr>
        <w:t> per cent</w:t>
      </w:r>
      <w:r w:rsidRPr="00365090">
        <w:rPr>
          <w:sz w:val="20"/>
        </w:rPr>
        <w:t xml:space="preserve">. The thresholds are indexed in line with </w:t>
      </w:r>
      <w:r>
        <w:rPr>
          <w:sz w:val="20"/>
        </w:rPr>
        <w:t xml:space="preserve">the </w:t>
      </w:r>
      <w:r w:rsidRPr="00365090">
        <w:rPr>
          <w:sz w:val="20"/>
        </w:rPr>
        <w:t>CPI every July.</w:t>
      </w:r>
      <w:r>
        <w:rPr>
          <w:sz w:val="20"/>
        </w:rPr>
        <w:t xml:space="preserve"> The deeming rates are set by the Minister for Social Services. </w:t>
      </w:r>
    </w:p>
  </w:footnote>
  <w:footnote w:id="19">
    <w:p w14:paraId="183B7975" w14:textId="77777777" w:rsidR="00730553" w:rsidRPr="00FB08A1" w:rsidRDefault="00730553" w:rsidP="00FA7D52">
      <w:pPr>
        <w:pStyle w:val="FootnoteText"/>
      </w:pPr>
      <w:r w:rsidRPr="00FB08A1">
        <w:rPr>
          <w:rStyle w:val="FootnoteReference"/>
        </w:rPr>
        <w:footnoteRef/>
      </w:r>
      <w:r w:rsidRPr="00FB08A1">
        <w:t xml:space="preserve"> Review calculation using </w:t>
      </w:r>
      <w:r>
        <w:t>Department of Social Services</w:t>
      </w:r>
      <w:r w:rsidRPr="00FB08A1">
        <w:t xml:space="preserve"> Payment data, 30 June 2019; </w:t>
      </w:r>
      <w:sdt>
        <w:sdtPr>
          <w:id w:val="893237558"/>
          <w:citation/>
        </w:sdtPr>
        <w:sdtEndPr/>
        <w:sdtContent>
          <w:r w:rsidRPr="00FB08A1">
            <w:fldChar w:fldCharType="begin"/>
          </w:r>
          <w:r w:rsidRPr="00FB08A1">
            <w:instrText xml:space="preserve"> CITATION Placeholder1 \l 3081 </w:instrText>
          </w:r>
          <w:r w:rsidRPr="00FB08A1">
            <w:fldChar w:fldCharType="separate"/>
          </w:r>
          <w:r>
            <w:rPr>
              <w:noProof/>
            </w:rPr>
            <w:t>(ABS, 2018g)</w:t>
          </w:r>
          <w:r w:rsidRPr="00FB08A1">
            <w:fldChar w:fldCharType="end"/>
          </w:r>
        </w:sdtContent>
      </w:sdt>
      <w:r>
        <w:t>.</w:t>
      </w:r>
    </w:p>
  </w:footnote>
  <w:footnote w:id="20">
    <w:p w14:paraId="3CAF351A" w14:textId="77777777" w:rsidR="00730553" w:rsidRPr="00FB08A1" w:rsidRDefault="00730553" w:rsidP="00D178A4">
      <w:pPr>
        <w:pStyle w:val="FootnoteText"/>
      </w:pPr>
      <w:r w:rsidRPr="00FB08A1">
        <w:rPr>
          <w:rStyle w:val="FootnoteReference"/>
        </w:rPr>
        <w:footnoteRef/>
      </w:r>
      <w:r w:rsidRPr="00FB08A1">
        <w:t xml:space="preserve"> Review calculation using </w:t>
      </w:r>
      <w:r>
        <w:t>Department of Social Services</w:t>
      </w:r>
      <w:r w:rsidRPr="00FB08A1">
        <w:t xml:space="preserve"> Payment data, 30 June 2019; </w:t>
      </w:r>
      <w:sdt>
        <w:sdtPr>
          <w:id w:val="1881286138"/>
          <w:citation/>
        </w:sdtPr>
        <w:sdtEndPr/>
        <w:sdtContent>
          <w:r w:rsidRPr="00FB08A1">
            <w:fldChar w:fldCharType="begin"/>
          </w:r>
          <w:r w:rsidRPr="00FB08A1">
            <w:instrText xml:space="preserve"> CITATION Placeholder1 \l 3081 </w:instrText>
          </w:r>
          <w:r w:rsidRPr="00FB08A1">
            <w:fldChar w:fldCharType="separate"/>
          </w:r>
          <w:r>
            <w:rPr>
              <w:noProof/>
            </w:rPr>
            <w:t>(ABS, 2018g)</w:t>
          </w:r>
          <w:r w:rsidRPr="00FB08A1">
            <w:fldChar w:fldCharType="end"/>
          </w:r>
        </w:sdtContent>
      </w:sdt>
      <w:r>
        <w:t>.</w:t>
      </w:r>
    </w:p>
  </w:footnote>
  <w:footnote w:id="21">
    <w:p w14:paraId="2894F7BF" w14:textId="77777777" w:rsidR="00730553" w:rsidRDefault="00730553" w:rsidP="00D178A4">
      <w:pPr>
        <w:pStyle w:val="FootnoteText"/>
      </w:pPr>
      <w:r w:rsidRPr="00FB08A1">
        <w:rPr>
          <w:rStyle w:val="FootnoteReference"/>
        </w:rPr>
        <w:footnoteRef/>
      </w:r>
      <w:r w:rsidRPr="00FB08A1">
        <w:t xml:space="preserve"> </w:t>
      </w:r>
      <w:r>
        <w:t>Department of Social Services</w:t>
      </w:r>
      <w:r w:rsidRPr="00FB08A1">
        <w:t xml:space="preserve"> Payment data, 30 June 2019.</w:t>
      </w:r>
      <w:r>
        <w:t xml:space="preserve"> </w:t>
      </w:r>
    </w:p>
  </w:footnote>
  <w:footnote w:id="22">
    <w:p w14:paraId="75F110EE" w14:textId="77777777" w:rsidR="00730553" w:rsidRDefault="00730553" w:rsidP="00D178A4">
      <w:pPr>
        <w:pStyle w:val="FootnoteText"/>
      </w:pPr>
      <w:r>
        <w:rPr>
          <w:rStyle w:val="FootnoteReference"/>
        </w:rPr>
        <w:footnoteRef/>
      </w:r>
      <w:r>
        <w:t xml:space="preserve"> As at 1 May 2020. The Pension Loans Scheme interest rate is set by the Minister for Social Services.</w:t>
      </w:r>
    </w:p>
  </w:footnote>
  <w:footnote w:id="23">
    <w:p w14:paraId="3C2383A8" w14:textId="77777777" w:rsidR="00730553" w:rsidRDefault="00730553" w:rsidP="00D178A4">
      <w:pPr>
        <w:pStyle w:val="Bullet"/>
        <w:numPr>
          <w:ilvl w:val="0"/>
          <w:numId w:val="0"/>
        </w:numPr>
      </w:pPr>
      <w:r>
        <w:rPr>
          <w:rStyle w:val="FootnoteReference"/>
        </w:rPr>
        <w:footnoteRef/>
      </w:r>
      <w:r>
        <w:t xml:space="preserve"> </w:t>
      </w:r>
      <w:r w:rsidRPr="00307281">
        <w:rPr>
          <w:sz w:val="20"/>
        </w:rPr>
        <w:t>Wh</w:t>
      </w:r>
      <w:r>
        <w:rPr>
          <w:sz w:val="20"/>
        </w:rPr>
        <w:t>ile a ‘balanced’</w:t>
      </w:r>
      <w:r w:rsidRPr="00307281">
        <w:rPr>
          <w:sz w:val="20"/>
        </w:rPr>
        <w:t xml:space="preserve"> product suggests a balance between growth and defensive assets, typically 60</w:t>
      </w:r>
      <w:r>
        <w:rPr>
          <w:sz w:val="20"/>
        </w:rPr>
        <w:t> per cent</w:t>
      </w:r>
      <w:r w:rsidRPr="00307281">
        <w:rPr>
          <w:sz w:val="20"/>
        </w:rPr>
        <w:t xml:space="preserve"> growth and 40</w:t>
      </w:r>
      <w:r>
        <w:rPr>
          <w:sz w:val="20"/>
        </w:rPr>
        <w:t> per cent</w:t>
      </w:r>
      <w:r w:rsidRPr="00307281">
        <w:rPr>
          <w:sz w:val="20"/>
        </w:rPr>
        <w:t xml:space="preserve"> defensive assets, there is no standard definition, and the composition of balanced product may vary considerably.</w:t>
      </w:r>
    </w:p>
  </w:footnote>
  <w:footnote w:id="24">
    <w:p w14:paraId="397E8DFC" w14:textId="77777777" w:rsidR="00730553" w:rsidRDefault="00730553" w:rsidP="00026BF2">
      <w:pPr>
        <w:pStyle w:val="FootnoteText"/>
      </w:pPr>
      <w:r>
        <w:rPr>
          <w:rStyle w:val="FootnoteReference"/>
        </w:rPr>
        <w:footnoteRef/>
      </w:r>
      <w:r>
        <w:t xml:space="preserve"> A change to allow people aged 65 and 66 to access the bring</w:t>
      </w:r>
      <w:r>
        <w:noBreakHyphen/>
        <w:t>forward arrangements was announced in the 2019</w:t>
      </w:r>
      <w:r>
        <w:noBreakHyphen/>
        <w:t xml:space="preserve">20 Budget, but at July 2020 is yet to be legislated. </w:t>
      </w:r>
    </w:p>
  </w:footnote>
  <w:footnote w:id="25">
    <w:p w14:paraId="4719E11A" w14:textId="77777777" w:rsidR="00730553" w:rsidRDefault="00730553" w:rsidP="00026BF2">
      <w:pPr>
        <w:pStyle w:val="FootnoteText"/>
      </w:pPr>
      <w:r>
        <w:rPr>
          <w:rStyle w:val="FootnoteReference"/>
        </w:rPr>
        <w:footnoteRef/>
      </w:r>
      <w:r>
        <w:t xml:space="preserve"> A change to the work test</w:t>
      </w:r>
      <w:r w:rsidRPr="00D26756">
        <w:t xml:space="preserve"> allowing those age</w:t>
      </w:r>
      <w:r>
        <w:t>d</w:t>
      </w:r>
      <w:r w:rsidRPr="00D26756">
        <w:t xml:space="preserve"> 65 and 66 to make voluntary superannuation contrib</w:t>
      </w:r>
      <w:r>
        <w:t>utions without meeting the test</w:t>
      </w:r>
      <w:r w:rsidRPr="00D26756">
        <w:t xml:space="preserve"> </w:t>
      </w:r>
      <w:r>
        <w:t xml:space="preserve">commenced from 1 July 2020. </w:t>
      </w:r>
    </w:p>
  </w:footnote>
  <w:footnote w:id="26">
    <w:p w14:paraId="46DD7325" w14:textId="77777777" w:rsidR="00730553" w:rsidRDefault="00730553" w:rsidP="00D178A4">
      <w:pPr>
        <w:pStyle w:val="FootnoteText"/>
      </w:pPr>
      <w:r>
        <w:rPr>
          <w:rStyle w:val="FootnoteReference"/>
        </w:rPr>
        <w:footnoteRef/>
      </w:r>
      <w:r>
        <w:t xml:space="preserve"> </w:t>
      </w:r>
      <w:r w:rsidRPr="009765AB">
        <w:rPr>
          <w:i/>
        </w:rPr>
        <w:t xml:space="preserve">The </w:t>
      </w:r>
      <w:r w:rsidRPr="009765AB">
        <w:rPr>
          <w:rFonts w:cs="Calibri"/>
          <w:i/>
          <w:color w:val="000000"/>
          <w:szCs w:val="22"/>
        </w:rPr>
        <w:t>Tax Laws Amendment (Simplified Superannuation) Act 2007</w:t>
      </w:r>
      <w:r w:rsidRPr="009765AB">
        <w:rPr>
          <w:rFonts w:cs="Calibri"/>
          <w:color w:val="000000"/>
          <w:szCs w:val="22"/>
        </w:rPr>
        <w:t xml:space="preserve"> introduced a permanent cap of $150,000</w:t>
      </w:r>
      <w:r w:rsidRPr="009765AB">
        <w:t xml:space="preserve"> on non</w:t>
      </w:r>
      <w:r>
        <w:noBreakHyphen/>
      </w:r>
      <w:r w:rsidRPr="009765AB">
        <w:t xml:space="preserve">concessional contributions and the temporary cap of $1 </w:t>
      </w:r>
      <w:r w:rsidRPr="009F0276">
        <w:t>million</w:t>
      </w:r>
      <w:r w:rsidRPr="009F0276">
        <w:rPr>
          <w:rFonts w:cs="Calibri"/>
          <w:color w:val="000000"/>
          <w:szCs w:val="22"/>
        </w:rPr>
        <w:t>.</w:t>
      </w:r>
    </w:p>
  </w:footnote>
  <w:footnote w:id="27">
    <w:p w14:paraId="38971DF8" w14:textId="77777777" w:rsidR="00730553" w:rsidRDefault="00730553" w:rsidP="00664585">
      <w:pPr>
        <w:pStyle w:val="BoxText"/>
      </w:pPr>
      <w:r>
        <w:rPr>
          <w:rStyle w:val="FootnoteReference"/>
        </w:rPr>
        <w:footnoteRef/>
      </w:r>
      <w:r>
        <w:t xml:space="preserve"> Non</w:t>
      </w:r>
      <w:r>
        <w:noBreakHyphen/>
        <w:t xml:space="preserve">concessional contributions made by a </w:t>
      </w:r>
      <w:r w:rsidRPr="00445DFF">
        <w:t>person</w:t>
      </w:r>
      <w:r>
        <w:t xml:space="preserve"> with a total superannuation balance above $1.6 million are classified as excess contributions, which are taxed at the top marginal tax rate unless they are withdrawn from the superannuation system. However, under the downsizer and small business CGT concession measures, such non</w:t>
      </w:r>
      <w:r>
        <w:noBreakHyphen/>
        <w:t xml:space="preserve">concessional contributions are not treated as excess contributions. </w:t>
      </w:r>
    </w:p>
  </w:footnote>
  <w:footnote w:id="28">
    <w:p w14:paraId="18659088" w14:textId="77777777" w:rsidR="00730553" w:rsidRPr="002C52C3" w:rsidRDefault="00730553" w:rsidP="00D178A4">
      <w:pPr>
        <w:pStyle w:val="FootnoteText"/>
      </w:pPr>
      <w:r w:rsidRPr="002C52C3">
        <w:rPr>
          <w:rStyle w:val="FootnoteReference"/>
        </w:rPr>
        <w:footnoteRef/>
      </w:r>
      <w:r w:rsidRPr="002C52C3">
        <w:t xml:space="preserve"> Data provided to the review by the ATO. </w:t>
      </w:r>
    </w:p>
  </w:footnote>
  <w:footnote w:id="29">
    <w:p w14:paraId="0B66784B" w14:textId="77777777" w:rsidR="00730553" w:rsidRPr="002C52C3" w:rsidRDefault="00730553" w:rsidP="00D178A4">
      <w:pPr>
        <w:pStyle w:val="FootnoteText"/>
      </w:pPr>
      <w:r w:rsidRPr="002C52C3">
        <w:rPr>
          <w:rStyle w:val="FootnoteReference"/>
        </w:rPr>
        <w:footnoteRef/>
      </w:r>
      <w:r w:rsidRPr="002C52C3">
        <w:t xml:space="preserve"> Data provided to the review by the ATO. </w:t>
      </w:r>
    </w:p>
  </w:footnote>
  <w:footnote w:id="30">
    <w:p w14:paraId="75218246" w14:textId="77777777" w:rsidR="00730553" w:rsidRDefault="00730553">
      <w:pPr>
        <w:pStyle w:val="FootnoteText"/>
      </w:pPr>
      <w:r w:rsidRPr="002C52C3">
        <w:rPr>
          <w:rStyle w:val="FootnoteReference"/>
        </w:rPr>
        <w:footnoteRef/>
      </w:r>
      <w:r w:rsidRPr="002C52C3">
        <w:t xml:space="preserve"> The offset is 18</w:t>
      </w:r>
      <w:r>
        <w:t> per cent</w:t>
      </w:r>
      <w:r w:rsidRPr="002C52C3">
        <w:t xml:space="preserve"> of the value of contributions</w:t>
      </w:r>
      <w:r>
        <w:t xml:space="preserve">, up to a total of $3,000 in contributions. </w:t>
      </w:r>
    </w:p>
  </w:footnote>
  <w:footnote w:id="31">
    <w:p w14:paraId="218FBE01" w14:textId="77777777" w:rsidR="00730553" w:rsidRPr="00AD1FB7" w:rsidRDefault="00730553" w:rsidP="00D178A4">
      <w:pPr>
        <w:pStyle w:val="FootnoteText"/>
      </w:pPr>
      <w:r>
        <w:rPr>
          <w:rStyle w:val="FootnoteReference"/>
        </w:rPr>
        <w:footnoteRef/>
      </w:r>
      <w:r>
        <w:t xml:space="preserve"> The minimum drawdown rates are found in Schedule 7 of the </w:t>
      </w:r>
      <w:r>
        <w:rPr>
          <w:i/>
        </w:rPr>
        <w:t>Superannuation Industry (Supervision) Regulations 1994</w:t>
      </w:r>
      <w:r>
        <w:t xml:space="preserve">. </w:t>
      </w:r>
    </w:p>
  </w:footnote>
  <w:footnote w:id="32">
    <w:p w14:paraId="2278E888" w14:textId="77777777" w:rsidR="00730553" w:rsidRDefault="00730553" w:rsidP="00D178A4">
      <w:pPr>
        <w:pStyle w:val="FootnoteText"/>
      </w:pPr>
      <w:r>
        <w:rPr>
          <w:rStyle w:val="FootnoteReference"/>
        </w:rPr>
        <w:footnoteRef/>
      </w:r>
      <w:r>
        <w:t xml:space="preserve"> Balance of life office statutory funds are assets held for superannuation or retirement purposes in statutory funds of life insurance companies, regulated under the </w:t>
      </w:r>
      <w:r w:rsidRPr="003B6ED4">
        <w:rPr>
          <w:i/>
        </w:rPr>
        <w:t>Life Insurance Act 1995</w:t>
      </w:r>
      <w:r>
        <w:t>. Exempt Public Sector Superannuation Schemes provide defined benefit pensions and abide by the relevant provisions of the SIS Act.</w:t>
      </w:r>
    </w:p>
  </w:footnote>
  <w:footnote w:id="33">
    <w:p w14:paraId="137D7DC7" w14:textId="77777777" w:rsidR="00730553" w:rsidRDefault="00730553">
      <w:pPr>
        <w:pStyle w:val="FootnoteText"/>
      </w:pPr>
      <w:r>
        <w:rPr>
          <w:rStyle w:val="FootnoteReference"/>
        </w:rPr>
        <w:footnoteRef/>
      </w:r>
      <w:r>
        <w:t xml:space="preserve"> Adjusted income for Division 293 tax purposes is similar to the income used for Medicare Levy surcharge purposes. </w:t>
      </w:r>
    </w:p>
  </w:footnote>
  <w:footnote w:id="34">
    <w:p w14:paraId="504F0300" w14:textId="77777777" w:rsidR="00730553" w:rsidRPr="00F13A62" w:rsidRDefault="00730553">
      <w:pPr>
        <w:pStyle w:val="FootnoteText"/>
      </w:pPr>
      <w:r>
        <w:rPr>
          <w:rStyle w:val="FootnoteReference"/>
        </w:rPr>
        <w:footnoteRef/>
      </w:r>
      <w:r>
        <w:t xml:space="preserve"> Department of Social Services</w:t>
      </w:r>
      <w:r w:rsidRPr="00F13A62">
        <w:t xml:space="preserve"> payment data, 30 June 2019.</w:t>
      </w:r>
    </w:p>
  </w:footnote>
  <w:footnote w:id="35">
    <w:p w14:paraId="0232EA53" w14:textId="77777777" w:rsidR="00730553" w:rsidRDefault="00730553" w:rsidP="00D178A4">
      <w:pPr>
        <w:pStyle w:val="FootnoteText"/>
      </w:pPr>
      <w:r w:rsidRPr="00F13A62">
        <w:rPr>
          <w:rStyle w:val="FootnoteReference"/>
        </w:rPr>
        <w:footnoteRef/>
      </w:r>
      <w:r w:rsidRPr="00F13A62">
        <w:rPr>
          <w:sz w:val="22"/>
          <w:szCs w:val="22"/>
        </w:rPr>
        <w:t xml:space="preserve"> </w:t>
      </w:r>
      <w:r w:rsidRPr="00F13A62">
        <w:t>Equivalisation is a way to compare</w:t>
      </w:r>
      <w:r w:rsidRPr="004B27DE">
        <w:t xml:space="preserve"> households of differences sizes and compositions. Further information explaining how the review has defined </w:t>
      </w:r>
      <w:r>
        <w:t>e</w:t>
      </w:r>
      <w:r w:rsidRPr="004B27DE">
        <w:t xml:space="preserve">quivalisation can be </w:t>
      </w:r>
      <w:r w:rsidRPr="00CC1580">
        <w:t>found in the Glossary.</w:t>
      </w:r>
    </w:p>
  </w:footnote>
  <w:footnote w:id="36">
    <w:p w14:paraId="76542507" w14:textId="77777777" w:rsidR="00730553" w:rsidRPr="0061204F" w:rsidRDefault="00730553">
      <w:pPr>
        <w:pStyle w:val="FootnoteText"/>
      </w:pPr>
      <w:r w:rsidRPr="0061204F">
        <w:rPr>
          <w:rStyle w:val="FootnoteReference"/>
        </w:rPr>
        <w:footnoteRef/>
      </w:r>
      <w:r w:rsidRPr="0061204F">
        <w:t xml:space="preserve"> </w:t>
      </w:r>
      <w:sdt>
        <w:sdtPr>
          <w:id w:val="1819154226"/>
          <w:citation/>
        </w:sdtPr>
        <w:sdtEndPr/>
        <w:sdtContent>
          <w:r w:rsidRPr="0061204F">
            <w:fldChar w:fldCharType="begin"/>
          </w:r>
          <w:r>
            <w:instrText>CITATION Mer20 \l 3081  \m Act</w:instrText>
          </w:r>
          <w:r w:rsidRPr="0061204F">
            <w:fldChar w:fldCharType="separate"/>
          </w:r>
          <w:r>
            <w:rPr>
              <w:noProof/>
            </w:rPr>
            <w:t>(Mercer, 2020; Actuaries Institute, 2020)</w:t>
          </w:r>
          <w:r w:rsidRPr="0061204F">
            <w:fldChar w:fldCharType="end"/>
          </w:r>
        </w:sdtContent>
      </w:sdt>
      <w:r w:rsidRPr="0061204F">
        <w:t>.</w:t>
      </w:r>
    </w:p>
  </w:footnote>
  <w:footnote w:id="37">
    <w:p w14:paraId="151D6433" w14:textId="77777777" w:rsidR="00730553" w:rsidRPr="0061204F" w:rsidRDefault="00730553">
      <w:pPr>
        <w:pStyle w:val="FootnoteText"/>
      </w:pPr>
      <w:r w:rsidRPr="0061204F">
        <w:rPr>
          <w:rStyle w:val="FootnoteReference"/>
        </w:rPr>
        <w:footnoteRef/>
      </w:r>
      <w:r w:rsidRPr="0061204F">
        <w:t xml:space="preserve"> </w:t>
      </w:r>
      <w:sdt>
        <w:sdtPr>
          <w:id w:val="-971597821"/>
          <w:citation/>
        </w:sdtPr>
        <w:sdtEndPr/>
        <w:sdtContent>
          <w:r w:rsidRPr="0061204F">
            <w:fldChar w:fldCharType="begin"/>
          </w:r>
          <w:r>
            <w:instrText xml:space="preserve">CITATION AusSup \m AIS201 \m COT20 \m Nat20 \l 3081 </w:instrText>
          </w:r>
          <w:r w:rsidRPr="0061204F">
            <w:fldChar w:fldCharType="separate"/>
          </w:r>
          <w:r>
            <w:rPr>
              <w:noProof/>
            </w:rPr>
            <w:t>(AustralianSuper, 2020; Australian Institute of Superannuation Trustees, 2020; COTA, 2020; National Seniors Australia, 2020)</w:t>
          </w:r>
          <w:r w:rsidRPr="0061204F">
            <w:fldChar w:fldCharType="end"/>
          </w:r>
        </w:sdtContent>
      </w:sdt>
      <w:r w:rsidRPr="0061204F">
        <w:t>.</w:t>
      </w:r>
    </w:p>
  </w:footnote>
  <w:footnote w:id="38">
    <w:p w14:paraId="2399BD3D" w14:textId="77777777" w:rsidR="00730553" w:rsidRPr="0061204F" w:rsidRDefault="00730553">
      <w:pPr>
        <w:pStyle w:val="FootnoteText"/>
      </w:pPr>
      <w:r w:rsidRPr="0061204F">
        <w:rPr>
          <w:rStyle w:val="FootnoteReference"/>
        </w:rPr>
        <w:footnoteRef/>
      </w:r>
      <w:r w:rsidRPr="0061204F">
        <w:t xml:space="preserve"> </w:t>
      </w:r>
      <w:sdt>
        <w:sdtPr>
          <w:id w:val="-925189724"/>
          <w:citation/>
        </w:sdtPr>
        <w:sdtEndPr/>
        <w:sdtContent>
          <w:r w:rsidRPr="0061204F">
            <w:fldChar w:fldCharType="begin"/>
          </w:r>
          <w:r>
            <w:instrText>CITATION Mer20 \m AusSup \m Busn20 \m AIA20 \m Fir20Sub \m CBU20 \m COT20 \l 3081  \m Act</w:instrText>
          </w:r>
          <w:r w:rsidRPr="0061204F">
            <w:fldChar w:fldCharType="separate"/>
          </w:r>
          <w:r>
            <w:rPr>
              <w:noProof/>
            </w:rPr>
            <w:t>(Mercer, 2020; AustralianSuper, 2020; Business Council of Australia, 2020; AIA Australia, 2020; First State Super, 2020b; Cbus, 2020; COTA, 2020; Actuaries Institute, 2020)</w:t>
          </w:r>
          <w:r w:rsidRPr="0061204F">
            <w:fldChar w:fldCharType="end"/>
          </w:r>
        </w:sdtContent>
      </w:sdt>
      <w:r>
        <w:t>.</w:t>
      </w:r>
    </w:p>
  </w:footnote>
  <w:footnote w:id="39">
    <w:p w14:paraId="5BFD964A" w14:textId="77777777" w:rsidR="00730553" w:rsidRPr="0061204F" w:rsidRDefault="00730553">
      <w:pPr>
        <w:pStyle w:val="FootnoteText"/>
      </w:pPr>
      <w:r w:rsidRPr="0061204F">
        <w:rPr>
          <w:rStyle w:val="FootnoteReference"/>
        </w:rPr>
        <w:footnoteRef/>
      </w:r>
      <w:r w:rsidRPr="0061204F">
        <w:t xml:space="preserve"> </w:t>
      </w:r>
      <w:sdt>
        <w:sdtPr>
          <w:id w:val="2106303311"/>
          <w:citation/>
        </w:sdtPr>
        <w:sdtEndPr/>
        <w:sdtContent>
          <w:r w:rsidRPr="0061204F">
            <w:fldChar w:fldCharType="begin"/>
          </w:r>
          <w:r>
            <w:instrText xml:space="preserve">CITATION COT20 \m Nat20 \m Act19 \l 3081 </w:instrText>
          </w:r>
          <w:r w:rsidRPr="0061204F">
            <w:fldChar w:fldCharType="separate"/>
          </w:r>
          <w:r>
            <w:rPr>
              <w:noProof/>
            </w:rPr>
            <w:t>(COTA, 2020; National Seniors Australia, 2020; Actuaries Institute, 2019)</w:t>
          </w:r>
          <w:r w:rsidRPr="0061204F">
            <w:fldChar w:fldCharType="end"/>
          </w:r>
        </w:sdtContent>
      </w:sdt>
      <w:r>
        <w:t>.</w:t>
      </w:r>
    </w:p>
  </w:footnote>
  <w:footnote w:id="40">
    <w:p w14:paraId="2A7B7983" w14:textId="77777777" w:rsidR="00730553" w:rsidRDefault="00730553">
      <w:pPr>
        <w:pStyle w:val="FootnoteText"/>
      </w:pPr>
      <w:r w:rsidRPr="0061204F">
        <w:rPr>
          <w:rStyle w:val="FootnoteReference"/>
        </w:rPr>
        <w:footnoteRef/>
      </w:r>
      <w:r w:rsidRPr="0061204F">
        <w:t xml:space="preserve"> </w:t>
      </w:r>
      <w:sdt>
        <w:sdtPr>
          <w:id w:val="-2016224133"/>
          <w:citation/>
        </w:sdtPr>
        <w:sdtEndPr/>
        <w:sdtContent>
          <w:r w:rsidRPr="0061204F">
            <w:fldChar w:fldCharType="begin"/>
          </w:r>
          <w:r w:rsidRPr="0061204F">
            <w:instrText xml:space="preserve">CITATION Ass20 \m Sav20 \l 3081 </w:instrText>
          </w:r>
          <w:r w:rsidRPr="0061204F">
            <w:fldChar w:fldCharType="separate"/>
          </w:r>
          <w:r>
            <w:rPr>
              <w:noProof/>
            </w:rPr>
            <w:t>(Bunbury Branch of the Association of Independent Retirees, 2020; Save Our Super, 2020)</w:t>
          </w:r>
          <w:r w:rsidRPr="0061204F">
            <w:fldChar w:fldCharType="end"/>
          </w:r>
        </w:sdtContent>
      </w:sdt>
      <w:r w:rsidRPr="0061204F">
        <w:t>.</w:t>
      </w:r>
    </w:p>
  </w:footnote>
  <w:footnote w:id="41">
    <w:p w14:paraId="5DF16E41" w14:textId="77777777" w:rsidR="00730553" w:rsidRPr="001870D7" w:rsidRDefault="00730553">
      <w:pPr>
        <w:pStyle w:val="FootnoteText"/>
      </w:pPr>
      <w:r w:rsidRPr="001870D7">
        <w:rPr>
          <w:rStyle w:val="FootnoteReference"/>
        </w:rPr>
        <w:footnoteRef/>
      </w:r>
      <w:r w:rsidRPr="001870D7">
        <w:t xml:space="preserve"> </w:t>
      </w:r>
      <w:sdt>
        <w:sdtPr>
          <w:id w:val="-504208649"/>
          <w:citation/>
        </w:sdtPr>
        <w:sdtEndPr/>
        <w:sdtContent>
          <w:r w:rsidRPr="001870D7">
            <w:fldChar w:fldCharType="begin"/>
          </w:r>
          <w:r w:rsidRPr="001870D7">
            <w:instrText xml:space="preserve">CITATION Vin93 \m Wor08 \m OEC18 \m Act19 \m Mer20 \m Com20 \m Gra20 \l 3081 </w:instrText>
          </w:r>
          <w:r w:rsidRPr="001870D7">
            <w:fldChar w:fldCharType="separate"/>
          </w:r>
          <w:r>
            <w:rPr>
              <w:noProof/>
            </w:rPr>
            <w:t>(Fitzgerald, 1993; World Bank, 2008; OECD, 2018a; Actuaries Institute, 2019; Mercer, 2020; Committee for Sustainable Retirement Incomes, 2020; Grattan Institute, 2020)</w:t>
          </w:r>
          <w:r w:rsidRPr="001870D7">
            <w:fldChar w:fldCharType="end"/>
          </w:r>
        </w:sdtContent>
      </w:sdt>
      <w:r w:rsidRPr="001870D7">
        <w:t>.</w:t>
      </w:r>
    </w:p>
  </w:footnote>
  <w:footnote w:id="42">
    <w:p w14:paraId="121FA163" w14:textId="77777777" w:rsidR="00730553" w:rsidRPr="00BD74E3" w:rsidRDefault="00730553">
      <w:pPr>
        <w:pStyle w:val="FootnoteText"/>
      </w:pPr>
      <w:r w:rsidRPr="001870D7">
        <w:rPr>
          <w:rStyle w:val="FootnoteReference"/>
        </w:rPr>
        <w:footnoteRef/>
      </w:r>
      <w:sdt>
        <w:sdtPr>
          <w:id w:val="-1872986314"/>
          <w:citation/>
        </w:sdtPr>
        <w:sdtEndPr/>
        <w:sdtContent>
          <w:r w:rsidRPr="001870D7">
            <w:fldChar w:fldCharType="begin"/>
          </w:r>
          <w:r w:rsidRPr="001870D7">
            <w:instrText xml:space="preserve"> CITATION Har09 \l 3081 </w:instrText>
          </w:r>
          <w:r w:rsidRPr="001870D7">
            <w:fldChar w:fldCharType="separate"/>
          </w:r>
          <w:r>
            <w:rPr>
              <w:noProof/>
            </w:rPr>
            <w:t xml:space="preserve"> (Harmer, 2009)</w:t>
          </w:r>
          <w:r w:rsidRPr="001870D7">
            <w:fldChar w:fldCharType="end"/>
          </w:r>
        </w:sdtContent>
      </w:sdt>
      <w:r w:rsidRPr="001870D7">
        <w:t>.</w:t>
      </w:r>
    </w:p>
  </w:footnote>
  <w:footnote w:id="43">
    <w:p w14:paraId="627F0A69" w14:textId="77777777" w:rsidR="00730553" w:rsidRPr="001870D7" w:rsidRDefault="00730553">
      <w:pPr>
        <w:pStyle w:val="FootnoteText"/>
      </w:pPr>
      <w:r w:rsidRPr="00BD74E3">
        <w:rPr>
          <w:rStyle w:val="FootnoteReference"/>
        </w:rPr>
        <w:footnoteRef/>
      </w:r>
      <w:r w:rsidRPr="00BD74E3">
        <w:t xml:space="preserve"> </w:t>
      </w:r>
      <w:sdt>
        <w:sdtPr>
          <w:id w:val="1751772634"/>
          <w:citation/>
        </w:sdtPr>
        <w:sdtEndPr/>
        <w:sdtContent>
          <w:r w:rsidRPr="001870D7">
            <w:fldChar w:fldCharType="begin"/>
          </w:r>
          <w:r>
            <w:instrText>CITATION ACT20Sub \m AIS201 \m ACO202 \m ASF20Sub \m FSC20 \m Gra20 \l 3081  \m CEPAR2020</w:instrText>
          </w:r>
          <w:r w:rsidRPr="001870D7">
            <w:fldChar w:fldCharType="separate"/>
          </w:r>
          <w:r>
            <w:rPr>
              <w:noProof/>
            </w:rPr>
            <w:t>(Australian Council of Trade Unions, 2020; Australian Institute of Superannuation Trustees, 2020; Australian Council of Social Service, 2020; ASFA, 2020a; Financial Services Council, 2020; Grattan Institute, 2020; CEPAR, 2020)</w:t>
          </w:r>
          <w:r w:rsidRPr="001870D7">
            <w:fldChar w:fldCharType="end"/>
          </w:r>
        </w:sdtContent>
      </w:sdt>
      <w:r w:rsidRPr="001870D7">
        <w:t>.</w:t>
      </w:r>
    </w:p>
  </w:footnote>
  <w:footnote w:id="44">
    <w:p w14:paraId="3EBF47DE" w14:textId="77777777" w:rsidR="00730553" w:rsidRPr="001870D7" w:rsidRDefault="00730553">
      <w:pPr>
        <w:pStyle w:val="FootnoteText"/>
      </w:pPr>
      <w:r w:rsidRPr="001870D7">
        <w:rPr>
          <w:rStyle w:val="FootnoteReference"/>
        </w:rPr>
        <w:footnoteRef/>
      </w:r>
      <w:r w:rsidRPr="001870D7">
        <w:t xml:space="preserve"> </w:t>
      </w:r>
      <w:sdt>
        <w:sdtPr>
          <w:id w:val="-2021541028"/>
          <w:citation/>
        </w:sdtPr>
        <w:sdtEndPr/>
        <w:sdtContent>
          <w:r w:rsidRPr="001870D7">
            <w:fldChar w:fldCharType="begin"/>
          </w:r>
          <w:r w:rsidRPr="001870D7">
            <w:instrText xml:space="preserve"> CITATION Com20 \l 3081  \m Gra20</w:instrText>
          </w:r>
          <w:r w:rsidRPr="001870D7">
            <w:fldChar w:fldCharType="separate"/>
          </w:r>
          <w:r>
            <w:rPr>
              <w:noProof/>
            </w:rPr>
            <w:t>(Committee for Sustainable Retirement Incomes, 2020; Grattan Institute, 2020)</w:t>
          </w:r>
          <w:r w:rsidRPr="001870D7">
            <w:fldChar w:fldCharType="end"/>
          </w:r>
        </w:sdtContent>
      </w:sdt>
      <w:r w:rsidRPr="001870D7">
        <w:t>.</w:t>
      </w:r>
    </w:p>
  </w:footnote>
  <w:footnote w:id="45">
    <w:p w14:paraId="4B34F4CD" w14:textId="77777777" w:rsidR="00730553" w:rsidRDefault="00730553" w:rsidP="00D178A4">
      <w:pPr>
        <w:pStyle w:val="FootnoteText"/>
      </w:pPr>
      <w:r w:rsidRPr="001870D7">
        <w:rPr>
          <w:rStyle w:val="FootnoteReference"/>
        </w:rPr>
        <w:footnoteRef/>
      </w:r>
      <w:r w:rsidRPr="001870D7">
        <w:t xml:space="preserve"> </w:t>
      </w:r>
      <w:sdt>
        <w:sdtPr>
          <w:id w:val="804666934"/>
          <w:citation/>
        </w:sdtPr>
        <w:sdtEndPr/>
        <w:sdtContent>
          <w:r w:rsidRPr="001870D7">
            <w:fldChar w:fldCharType="begin"/>
          </w:r>
          <w:r w:rsidRPr="001870D7">
            <w:instrText xml:space="preserve">CITATION AIS201 \m ACT20Sub \m ASF20Sub \m Wom20 \l 3081 </w:instrText>
          </w:r>
          <w:r w:rsidRPr="001870D7">
            <w:fldChar w:fldCharType="separate"/>
          </w:r>
          <w:r>
            <w:rPr>
              <w:noProof/>
            </w:rPr>
            <w:t>(Australian Institute of Superannuation Trustees, 2020; Australian Council of Trade Unions, 2020; ASFA, 2020a; Women in Super, 2020)</w:t>
          </w:r>
          <w:r w:rsidRPr="001870D7">
            <w:fldChar w:fldCharType="end"/>
          </w:r>
        </w:sdtContent>
      </w:sdt>
      <w:r>
        <w:t>.</w:t>
      </w:r>
    </w:p>
  </w:footnote>
  <w:footnote w:id="46">
    <w:p w14:paraId="49A03E8E" w14:textId="77777777" w:rsidR="00730553" w:rsidRPr="001870D7" w:rsidRDefault="00730553" w:rsidP="00D178A4">
      <w:pPr>
        <w:pStyle w:val="FootnoteText"/>
      </w:pPr>
      <w:r w:rsidRPr="001870D7">
        <w:rPr>
          <w:rStyle w:val="FootnoteReference"/>
        </w:rPr>
        <w:footnoteRef/>
      </w:r>
      <w:r w:rsidRPr="001870D7">
        <w:t xml:space="preserve"> </w:t>
      </w:r>
      <w:sdt>
        <w:sdtPr>
          <w:id w:val="-26261776"/>
          <w:citation/>
        </w:sdtPr>
        <w:sdtEndPr/>
        <w:sdtContent>
          <w:r w:rsidRPr="001870D7">
            <w:fldChar w:fldCharType="begin"/>
          </w:r>
          <w:r w:rsidRPr="001870D7">
            <w:instrText xml:space="preserve">CITATION AIS201 \m AusSup \m Fir20Sub \m ASF20Sub \l 3081 </w:instrText>
          </w:r>
          <w:r w:rsidRPr="001870D7">
            <w:fldChar w:fldCharType="separate"/>
          </w:r>
          <w:r>
            <w:rPr>
              <w:noProof/>
            </w:rPr>
            <w:t>(Australian Institute of Superannuation Trustees, 2020; AustralianSuper, 2020; First State Super, 2020b; ASFA, 2020a)</w:t>
          </w:r>
          <w:r w:rsidRPr="001870D7">
            <w:fldChar w:fldCharType="end"/>
          </w:r>
        </w:sdtContent>
      </w:sdt>
      <w:r w:rsidRPr="001870D7">
        <w:t>.</w:t>
      </w:r>
    </w:p>
  </w:footnote>
  <w:footnote w:id="47">
    <w:p w14:paraId="238C9E83" w14:textId="77777777" w:rsidR="00730553" w:rsidRPr="001870D7" w:rsidRDefault="00730553" w:rsidP="00D178A4">
      <w:pPr>
        <w:pStyle w:val="FootnoteText"/>
      </w:pPr>
      <w:r w:rsidRPr="001870D7">
        <w:rPr>
          <w:rStyle w:val="FootnoteReference"/>
        </w:rPr>
        <w:footnoteRef/>
      </w:r>
      <w:r w:rsidRPr="001870D7">
        <w:t xml:space="preserve"> </w:t>
      </w:r>
      <w:sdt>
        <w:sdtPr>
          <w:id w:val="574932837"/>
          <w:citation/>
        </w:sdtPr>
        <w:sdtEndPr/>
        <w:sdtContent>
          <w:r w:rsidRPr="001870D7">
            <w:fldChar w:fldCharType="begin"/>
          </w:r>
          <w:r w:rsidRPr="001870D7">
            <w:instrText xml:space="preserve">CITATION Gra20 \l 3081 </w:instrText>
          </w:r>
          <w:r w:rsidRPr="001870D7">
            <w:fldChar w:fldCharType="separate"/>
          </w:r>
          <w:r>
            <w:rPr>
              <w:noProof/>
            </w:rPr>
            <w:t>(Grattan Institute, 2020)</w:t>
          </w:r>
          <w:r w:rsidRPr="001870D7">
            <w:fldChar w:fldCharType="end"/>
          </w:r>
        </w:sdtContent>
      </w:sdt>
      <w:r w:rsidRPr="001870D7">
        <w:t>.</w:t>
      </w:r>
    </w:p>
  </w:footnote>
  <w:footnote w:id="48">
    <w:p w14:paraId="64A9C1A8" w14:textId="77777777" w:rsidR="00730553" w:rsidRPr="00CE42C0" w:rsidRDefault="00730553" w:rsidP="00D178A4">
      <w:pPr>
        <w:pStyle w:val="FootnoteText"/>
      </w:pPr>
      <w:r w:rsidRPr="001870D7">
        <w:rPr>
          <w:rStyle w:val="FootnoteReference"/>
        </w:rPr>
        <w:footnoteRef/>
      </w:r>
      <w:r w:rsidRPr="001870D7">
        <w:t xml:space="preserve"> </w:t>
      </w:r>
      <w:sdt>
        <w:sdtPr>
          <w:id w:val="980269559"/>
          <w:citation/>
        </w:sdtPr>
        <w:sdtEndPr/>
        <w:sdtContent>
          <w:r w:rsidRPr="001870D7">
            <w:fldChar w:fldCharType="begin"/>
          </w:r>
          <w:r w:rsidRPr="001870D7">
            <w:instrText xml:space="preserve"> CITATION Sav20 \l 3081  \m Busn20 \m AMP20</w:instrText>
          </w:r>
          <w:r w:rsidRPr="001870D7">
            <w:fldChar w:fldCharType="separate"/>
          </w:r>
          <w:r>
            <w:rPr>
              <w:noProof/>
            </w:rPr>
            <w:t>(Save Our Super, 2020; Business Council of Australia, 2020; AMP, 2020)</w:t>
          </w:r>
          <w:r w:rsidRPr="001870D7">
            <w:fldChar w:fldCharType="end"/>
          </w:r>
        </w:sdtContent>
      </w:sdt>
      <w:r w:rsidRPr="001870D7">
        <w:t>.</w:t>
      </w:r>
    </w:p>
  </w:footnote>
  <w:footnote w:id="49">
    <w:p w14:paraId="5F774177" w14:textId="77777777" w:rsidR="00730553" w:rsidRDefault="00730553">
      <w:pPr>
        <w:pStyle w:val="FootnoteText"/>
      </w:pPr>
      <w:r>
        <w:rPr>
          <w:rStyle w:val="FootnoteReference"/>
        </w:rPr>
        <w:footnoteRef/>
      </w:r>
      <w:r>
        <w:t xml:space="preserve"> </w:t>
      </w:r>
      <w:sdt>
        <w:sdtPr>
          <w:id w:val="844359011"/>
          <w:citation/>
        </w:sdtPr>
        <w:sdtEndPr/>
        <w:sdtContent>
          <w:r w:rsidRPr="001870D7">
            <w:fldChar w:fldCharType="begin"/>
          </w:r>
          <w:r w:rsidRPr="001870D7">
            <w:instrText xml:space="preserve"> CITATION Busn20 \l 3081  \m Cha20</w:instrText>
          </w:r>
          <w:r w:rsidRPr="001870D7">
            <w:fldChar w:fldCharType="separate"/>
          </w:r>
          <w:r>
            <w:rPr>
              <w:noProof/>
            </w:rPr>
            <w:t>(Business Council of Australia, 2020; Chartered Accountants Australia and New Zealand, 2020)</w:t>
          </w:r>
          <w:r w:rsidRPr="001870D7">
            <w:fldChar w:fldCharType="end"/>
          </w:r>
        </w:sdtContent>
      </w:sdt>
      <w:r w:rsidRPr="001870D7">
        <w:t>.</w:t>
      </w:r>
    </w:p>
  </w:footnote>
  <w:footnote w:id="50">
    <w:p w14:paraId="7D176099" w14:textId="77777777" w:rsidR="00730553" w:rsidRDefault="00730553">
      <w:pPr>
        <w:pStyle w:val="FootnoteText"/>
      </w:pPr>
      <w:r>
        <w:rPr>
          <w:rStyle w:val="FootnoteReference"/>
        </w:rPr>
        <w:footnoteRef/>
      </w:r>
      <w:r>
        <w:t xml:space="preserve"> </w:t>
      </w:r>
      <w:sdt>
        <w:sdtPr>
          <w:id w:val="-1225053466"/>
          <w:citation/>
        </w:sdtPr>
        <w:sdtEndPr/>
        <w:sdtContent>
          <w:r>
            <w:fldChar w:fldCharType="begin"/>
          </w:r>
          <w:r>
            <w:instrText xml:space="preserve">CITATION COT20 \m Nat20 \m Cha20 \l 3081 </w:instrText>
          </w:r>
          <w:r>
            <w:fldChar w:fldCharType="separate"/>
          </w:r>
          <w:r>
            <w:rPr>
              <w:noProof/>
            </w:rPr>
            <w:t>(COTA, 2020; National Seniors Australia, 2020; Chartered Accountants Australia and New Zealand, 2020)</w:t>
          </w:r>
          <w:r>
            <w:fldChar w:fldCharType="end"/>
          </w:r>
        </w:sdtContent>
      </w:sdt>
      <w:r>
        <w:t>.</w:t>
      </w:r>
    </w:p>
  </w:footnote>
  <w:footnote w:id="51">
    <w:p w14:paraId="04E1BCC8" w14:textId="77777777" w:rsidR="00730553" w:rsidRDefault="00730553">
      <w:pPr>
        <w:pStyle w:val="FootnoteText"/>
      </w:pPr>
      <w:r>
        <w:rPr>
          <w:rStyle w:val="FootnoteReference"/>
        </w:rPr>
        <w:footnoteRef/>
      </w:r>
      <w:r>
        <w:t xml:space="preserve"> </w:t>
      </w:r>
      <w:sdt>
        <w:sdtPr>
          <w:id w:val="-62031064"/>
          <w:citation/>
        </w:sdtPr>
        <w:sdtEndPr/>
        <w:sdtContent>
          <w:r>
            <w:fldChar w:fldCharType="begin"/>
          </w:r>
          <w:r>
            <w:instrText xml:space="preserve"> CITATION Cha20 \l 3081 </w:instrText>
          </w:r>
          <w:r>
            <w:fldChar w:fldCharType="separate"/>
          </w:r>
          <w:r>
            <w:rPr>
              <w:noProof/>
            </w:rPr>
            <w:t>(Chartered Accountants Australia and New Zealand, 2020)</w:t>
          </w:r>
          <w:r>
            <w:fldChar w:fldCharType="end"/>
          </w:r>
        </w:sdtContent>
      </w:sdt>
      <w:r>
        <w:t>.</w:t>
      </w:r>
    </w:p>
  </w:footnote>
  <w:footnote w:id="52">
    <w:p w14:paraId="6313E70C" w14:textId="77777777" w:rsidR="00730553" w:rsidRDefault="00730553">
      <w:pPr>
        <w:pStyle w:val="FootnoteText"/>
      </w:pPr>
      <w:r>
        <w:rPr>
          <w:rStyle w:val="FootnoteReference"/>
        </w:rPr>
        <w:footnoteRef/>
      </w:r>
      <w:r>
        <w:t xml:space="preserve"> </w:t>
      </w:r>
      <w:sdt>
        <w:sdtPr>
          <w:id w:val="1584420144"/>
          <w:citation/>
        </w:sdtPr>
        <w:sdtEndPr/>
        <w:sdtContent>
          <w:r>
            <w:fldChar w:fldCharType="begin"/>
          </w:r>
          <w:r>
            <w:instrText xml:space="preserve"> CITATION ACO202 \l 3081 </w:instrText>
          </w:r>
          <w:r>
            <w:fldChar w:fldCharType="separate"/>
          </w:r>
          <w:r>
            <w:rPr>
              <w:noProof/>
            </w:rPr>
            <w:t>(Australian Council of Social Service, 2020)</w:t>
          </w:r>
          <w:r>
            <w:fldChar w:fldCharType="end"/>
          </w:r>
        </w:sdtContent>
      </w:sdt>
      <w:r>
        <w:t>.</w:t>
      </w:r>
    </w:p>
  </w:footnote>
  <w:footnote w:id="53">
    <w:p w14:paraId="0D939F83" w14:textId="77777777" w:rsidR="00730553" w:rsidRDefault="00730553">
      <w:pPr>
        <w:pStyle w:val="FootnoteText"/>
      </w:pPr>
      <w:r>
        <w:rPr>
          <w:rStyle w:val="FootnoteReference"/>
        </w:rPr>
        <w:footnoteRef/>
      </w:r>
      <w:r>
        <w:t xml:space="preserve"> </w:t>
      </w:r>
      <w:sdt>
        <w:sdtPr>
          <w:id w:val="216394123"/>
          <w:citation/>
        </w:sdtPr>
        <w:sdtEndPr/>
        <w:sdtContent>
          <w:r>
            <w:fldChar w:fldCharType="begin"/>
          </w:r>
          <w:r>
            <w:instrText xml:space="preserve"> CITATION Cha20 \l 3081 </w:instrText>
          </w:r>
          <w:r>
            <w:fldChar w:fldCharType="separate"/>
          </w:r>
          <w:r>
            <w:rPr>
              <w:noProof/>
            </w:rPr>
            <w:t>(Chartered Accountants Australia and New Zealand, 2020)</w:t>
          </w:r>
          <w:r>
            <w:fldChar w:fldCharType="end"/>
          </w:r>
        </w:sdtContent>
      </w:sdt>
      <w:r>
        <w:t>.</w:t>
      </w:r>
    </w:p>
  </w:footnote>
  <w:footnote w:id="54">
    <w:p w14:paraId="735B2A7F" w14:textId="77777777" w:rsidR="00730553" w:rsidRDefault="00730553" w:rsidP="00D178A4">
      <w:pPr>
        <w:pStyle w:val="FootnoteText"/>
      </w:pPr>
      <w:r>
        <w:rPr>
          <w:rStyle w:val="FootnoteReference"/>
        </w:rPr>
        <w:footnoteRef/>
      </w:r>
      <w:r>
        <w:t xml:space="preserve"> </w:t>
      </w:r>
      <w:sdt>
        <w:sdtPr>
          <w:id w:val="432634803"/>
          <w:citation/>
        </w:sdtPr>
        <w:sdtEndPr/>
        <w:sdtContent>
          <w:r>
            <w:fldChar w:fldCharType="begin"/>
          </w:r>
          <w:r>
            <w:instrText xml:space="preserve"> CITATION COT20 \l 3081  \m ACO202</w:instrText>
          </w:r>
          <w:r>
            <w:fldChar w:fldCharType="separate"/>
          </w:r>
          <w:r>
            <w:rPr>
              <w:noProof/>
            </w:rPr>
            <w:t>(COTA, 2020; Australian Council of Social Service, 2020)</w:t>
          </w:r>
          <w:r>
            <w:fldChar w:fldCharType="end"/>
          </w:r>
        </w:sdtContent>
      </w:sdt>
      <w:r>
        <w:t>.</w:t>
      </w:r>
    </w:p>
  </w:footnote>
  <w:footnote w:id="55">
    <w:p w14:paraId="0B7A3609" w14:textId="77777777" w:rsidR="00730553" w:rsidRPr="001D4C1C" w:rsidRDefault="00730553">
      <w:pPr>
        <w:pStyle w:val="FootnoteText"/>
      </w:pPr>
      <w:r w:rsidRPr="001D4C1C">
        <w:rPr>
          <w:rStyle w:val="FootnoteReference"/>
        </w:rPr>
        <w:footnoteRef/>
      </w:r>
      <w:r w:rsidRPr="001D4C1C">
        <w:t xml:space="preserve"> </w:t>
      </w:r>
      <w:sdt>
        <w:sdtPr>
          <w:id w:val="1520423238"/>
          <w:citation/>
        </w:sdtPr>
        <w:sdtEndPr/>
        <w:sdtContent>
          <w:r w:rsidRPr="001D4C1C">
            <w:fldChar w:fldCharType="begin"/>
          </w:r>
          <w:r w:rsidRPr="001D4C1C">
            <w:instrText xml:space="preserve">CITATION ACT20Sub \m Busn20 \m Ral16 \l 3081 </w:instrText>
          </w:r>
          <w:r w:rsidRPr="001D4C1C">
            <w:fldChar w:fldCharType="separate"/>
          </w:r>
          <w:r>
            <w:rPr>
              <w:noProof/>
            </w:rPr>
            <w:t>(Australian Council of Trade Unions, 2020; Business Council of Australia, 2020; Ralston &amp; Feng, 2016)</w:t>
          </w:r>
          <w:r w:rsidRPr="001D4C1C">
            <w:fldChar w:fldCharType="end"/>
          </w:r>
        </w:sdtContent>
      </w:sdt>
      <w:r w:rsidRPr="001D4C1C">
        <w:t>.</w:t>
      </w:r>
    </w:p>
  </w:footnote>
  <w:footnote w:id="56">
    <w:p w14:paraId="6A77C053" w14:textId="77777777" w:rsidR="00730553" w:rsidRDefault="00730553">
      <w:pPr>
        <w:pStyle w:val="FootnoteText"/>
      </w:pPr>
      <w:r w:rsidRPr="001D4C1C">
        <w:rPr>
          <w:rStyle w:val="FootnoteReference"/>
        </w:rPr>
        <w:footnoteRef/>
      </w:r>
      <w:r w:rsidRPr="001D4C1C">
        <w:t xml:space="preserve"> </w:t>
      </w:r>
      <w:sdt>
        <w:sdtPr>
          <w:id w:val="-221678756"/>
          <w:citation/>
        </w:sdtPr>
        <w:sdtEndPr/>
        <w:sdtContent>
          <w:r w:rsidRPr="001D4C1C">
            <w:fldChar w:fldCharType="begin"/>
          </w:r>
          <w:r>
            <w:instrText>CITATION ACO202 \m AusSup \m COT20 \l 3081  \m Act</w:instrText>
          </w:r>
          <w:r w:rsidRPr="001D4C1C">
            <w:fldChar w:fldCharType="separate"/>
          </w:r>
          <w:r>
            <w:rPr>
              <w:noProof/>
            </w:rPr>
            <w:t>(Australian Council of Social Service, 2020; AustralianSuper, 2020; COTA, 2020; Actuaries Institute, 2020)</w:t>
          </w:r>
          <w:r w:rsidRPr="001D4C1C">
            <w:fldChar w:fldCharType="end"/>
          </w:r>
        </w:sdtContent>
      </w:sdt>
      <w:r w:rsidRPr="001D4C1C">
        <w:t>.</w:t>
      </w:r>
    </w:p>
  </w:footnote>
  <w:footnote w:id="57">
    <w:p w14:paraId="0F1A0DD1" w14:textId="77777777" w:rsidR="00730553" w:rsidRDefault="00730553" w:rsidP="00D178A4">
      <w:pPr>
        <w:pStyle w:val="FootnoteText"/>
      </w:pPr>
      <w:r w:rsidRPr="2853A18C">
        <w:rPr>
          <w:rStyle w:val="FootnoteReference"/>
        </w:rPr>
        <w:footnoteRef/>
      </w:r>
      <w:r>
        <w:t xml:space="preserve"> Age Pension supplements such as Commonwealth Rent Assistance are considered part of Pillar 1.</w:t>
      </w:r>
    </w:p>
  </w:footnote>
  <w:footnote w:id="58">
    <w:p w14:paraId="7590C059" w14:textId="77777777" w:rsidR="00730553" w:rsidRDefault="00730553">
      <w:pPr>
        <w:pStyle w:val="FootnoteText"/>
      </w:pPr>
      <w:r>
        <w:rPr>
          <w:rStyle w:val="FootnoteReference"/>
        </w:rPr>
        <w:footnoteRef/>
      </w:r>
      <w:r>
        <w:t xml:space="preserve"> </w:t>
      </w:r>
      <w:sdt>
        <w:sdtPr>
          <w:id w:val="1685792624"/>
          <w:citation/>
        </w:sdtPr>
        <w:sdtEndPr/>
        <w:sdtContent>
          <w:r>
            <w:fldChar w:fldCharType="begin"/>
          </w:r>
          <w:r>
            <w:instrText xml:space="preserve"> CITATION AIS201 \l 3081  \m Gra20</w:instrText>
          </w:r>
          <w:r>
            <w:fldChar w:fldCharType="separate"/>
          </w:r>
          <w:r>
            <w:rPr>
              <w:noProof/>
            </w:rPr>
            <w:t>(Australian Institute of Superannuation Trustees, 2020; Grattan Institute, 2020)</w:t>
          </w:r>
          <w:r>
            <w:fldChar w:fldCharType="end"/>
          </w:r>
        </w:sdtContent>
      </w:sdt>
      <w:r>
        <w:t>.</w:t>
      </w:r>
    </w:p>
  </w:footnote>
  <w:footnote w:id="59">
    <w:p w14:paraId="4D3003BA" w14:textId="77777777" w:rsidR="00730553" w:rsidRPr="007A2EEB" w:rsidRDefault="00730553" w:rsidP="00D178A4">
      <w:pPr>
        <w:pStyle w:val="FootnoteText"/>
      </w:pPr>
      <w:r w:rsidRPr="007A2EEB">
        <w:rPr>
          <w:rStyle w:val="FootnoteReference"/>
        </w:rPr>
        <w:footnoteRef/>
      </w:r>
      <w:r w:rsidRPr="007A2EEB">
        <w:t xml:space="preserve"> </w:t>
      </w:r>
      <w:sdt>
        <w:sdtPr>
          <w:id w:val="712001480"/>
          <w:citation/>
        </w:sdtPr>
        <w:sdtEndPr/>
        <w:sdtContent>
          <w:r w:rsidRPr="007A2EEB">
            <w:fldChar w:fldCharType="begin"/>
          </w:r>
          <w:r w:rsidRPr="007A2EEB">
            <w:instrText xml:space="preserve"> CITATION AIS201 \l 3081  \m Busn20 \m Fir20Sub \m Gra20 \m Mer20</w:instrText>
          </w:r>
          <w:r w:rsidRPr="007A2EEB">
            <w:fldChar w:fldCharType="separate"/>
          </w:r>
          <w:r>
            <w:rPr>
              <w:noProof/>
            </w:rPr>
            <w:t>(Australian Institute of Superannuation Trustees, 2020; Business Council of Australia, 2020; First State Super, 2020b; Grattan Institute, 2020; Mercer, 2020)</w:t>
          </w:r>
          <w:r w:rsidRPr="007A2EEB">
            <w:fldChar w:fldCharType="end"/>
          </w:r>
        </w:sdtContent>
      </w:sdt>
      <w:r w:rsidRPr="007A2EEB">
        <w:t>.</w:t>
      </w:r>
    </w:p>
  </w:footnote>
  <w:footnote w:id="60">
    <w:p w14:paraId="460BD7E7" w14:textId="77777777" w:rsidR="00730553" w:rsidRDefault="00730553">
      <w:pPr>
        <w:pStyle w:val="FootnoteText"/>
      </w:pPr>
      <w:r w:rsidRPr="007A2EEB">
        <w:rPr>
          <w:rStyle w:val="FootnoteReference"/>
        </w:rPr>
        <w:footnoteRef/>
      </w:r>
      <w:r w:rsidRPr="007A2EEB">
        <w:t xml:space="preserve"> A lot of input on the</w:t>
      </w:r>
      <w:r>
        <w:t xml:space="preserve"> role of superannuation is about the superannuation system as a whole (the compulsory and voluntary components), whereas this discussion pertains to the role of only the compulsory component. That said, these contributions can still provide relevant insights.</w:t>
      </w:r>
    </w:p>
  </w:footnote>
  <w:footnote w:id="61">
    <w:p w14:paraId="4F6690E2" w14:textId="77777777" w:rsidR="00730553" w:rsidRPr="007A2EEB" w:rsidRDefault="00730553">
      <w:pPr>
        <w:pStyle w:val="FootnoteText"/>
      </w:pPr>
      <w:r w:rsidRPr="007A2EEB">
        <w:rPr>
          <w:rStyle w:val="FootnoteReference"/>
        </w:rPr>
        <w:footnoteRef/>
      </w:r>
      <w:r w:rsidRPr="007A2EEB">
        <w:t xml:space="preserve"> </w:t>
      </w:r>
      <w:sdt>
        <w:sdtPr>
          <w:id w:val="1521120998"/>
          <w:citation/>
        </w:sdtPr>
        <w:sdtEndPr/>
        <w:sdtContent>
          <w:r w:rsidRPr="007A2EEB">
            <w:fldChar w:fldCharType="begin"/>
          </w:r>
          <w:r w:rsidRPr="007A2EEB">
            <w:instrText xml:space="preserve"> CITATION ACO202 \l 3081  \m Gra20</w:instrText>
          </w:r>
          <w:r w:rsidRPr="007A2EEB">
            <w:fldChar w:fldCharType="separate"/>
          </w:r>
          <w:r>
            <w:rPr>
              <w:noProof/>
            </w:rPr>
            <w:t>(Australian Council of Social Service, 2020; Grattan Institute, 2020)</w:t>
          </w:r>
          <w:r w:rsidRPr="007A2EEB">
            <w:fldChar w:fldCharType="end"/>
          </w:r>
        </w:sdtContent>
      </w:sdt>
      <w:r w:rsidRPr="007A2EEB">
        <w:t>.</w:t>
      </w:r>
    </w:p>
  </w:footnote>
  <w:footnote w:id="62">
    <w:p w14:paraId="2CD11162" w14:textId="77777777" w:rsidR="00730553" w:rsidRDefault="00730553">
      <w:pPr>
        <w:pStyle w:val="FootnoteText"/>
      </w:pPr>
      <w:r w:rsidRPr="007A2EEB">
        <w:rPr>
          <w:rStyle w:val="FootnoteReference"/>
        </w:rPr>
        <w:footnoteRef/>
      </w:r>
      <w:r w:rsidRPr="007A2EEB">
        <w:t xml:space="preserve"> </w:t>
      </w:r>
      <w:sdt>
        <w:sdtPr>
          <w:id w:val="1714683799"/>
          <w:citation/>
        </w:sdtPr>
        <w:sdtEndPr/>
        <w:sdtContent>
          <w:r w:rsidRPr="007A2EEB">
            <w:fldChar w:fldCharType="begin"/>
          </w:r>
          <w:r w:rsidRPr="007A2EEB">
            <w:instrText xml:space="preserve"> CITATION ACO202 \l 3081 </w:instrText>
          </w:r>
          <w:r w:rsidRPr="007A2EEB">
            <w:fldChar w:fldCharType="separate"/>
          </w:r>
          <w:r>
            <w:rPr>
              <w:noProof/>
            </w:rPr>
            <w:t>(Australian Council of Social Service, 2020)</w:t>
          </w:r>
          <w:r w:rsidRPr="007A2EEB">
            <w:fldChar w:fldCharType="end"/>
          </w:r>
        </w:sdtContent>
      </w:sdt>
      <w:r w:rsidRPr="007A2EEB">
        <w:t>.</w:t>
      </w:r>
    </w:p>
  </w:footnote>
  <w:footnote w:id="63">
    <w:p w14:paraId="6B94A9ED" w14:textId="77777777" w:rsidR="00730553" w:rsidRPr="007A2EEB" w:rsidRDefault="00730553">
      <w:pPr>
        <w:pStyle w:val="FootnoteText"/>
      </w:pPr>
      <w:r w:rsidRPr="007A2EEB">
        <w:rPr>
          <w:rStyle w:val="FootnoteReference"/>
        </w:rPr>
        <w:footnoteRef/>
      </w:r>
      <w:r w:rsidRPr="007A2EEB">
        <w:t xml:space="preserve"> </w:t>
      </w:r>
      <w:sdt>
        <w:sdtPr>
          <w:id w:val="1141777885"/>
          <w:citation/>
        </w:sdtPr>
        <w:sdtEndPr/>
        <w:sdtContent>
          <w:r w:rsidRPr="007A2EEB">
            <w:fldChar w:fldCharType="begin"/>
          </w:r>
          <w:r>
            <w:instrText>CITATION AIS201 \m Busn20 \l 3081  \m Act</w:instrText>
          </w:r>
          <w:r w:rsidRPr="007A2EEB">
            <w:fldChar w:fldCharType="separate"/>
          </w:r>
          <w:r>
            <w:rPr>
              <w:noProof/>
            </w:rPr>
            <w:t>(Australian Institute of Superannuation Trustees, 2020; Business Council of Australia, 2020; Actuaries Institute, 2020)</w:t>
          </w:r>
          <w:r w:rsidRPr="007A2EEB">
            <w:fldChar w:fldCharType="end"/>
          </w:r>
        </w:sdtContent>
      </w:sdt>
      <w:r w:rsidRPr="007A2EEB">
        <w:t>.</w:t>
      </w:r>
    </w:p>
  </w:footnote>
  <w:footnote w:id="64">
    <w:p w14:paraId="4147D452" w14:textId="77777777" w:rsidR="00730553" w:rsidRPr="007A2EEB" w:rsidRDefault="00730553" w:rsidP="00D178A4">
      <w:pPr>
        <w:pStyle w:val="FootnoteText"/>
      </w:pPr>
      <w:r w:rsidRPr="007A2EEB">
        <w:rPr>
          <w:rStyle w:val="FootnoteReference"/>
        </w:rPr>
        <w:footnoteRef/>
      </w:r>
      <w:r w:rsidRPr="007A2EEB">
        <w:t xml:space="preserve"> </w:t>
      </w:r>
      <w:sdt>
        <w:sdtPr>
          <w:id w:val="-260686293"/>
          <w:citation/>
        </w:sdtPr>
        <w:sdtEndPr/>
        <w:sdtContent>
          <w:r w:rsidRPr="007A2EEB">
            <w:fldChar w:fldCharType="begin"/>
          </w:r>
          <w:r w:rsidRPr="007A2EEB">
            <w:instrText xml:space="preserve"> CITATION ACT20Sub \l 3081  \m AIS201</w:instrText>
          </w:r>
          <w:r w:rsidRPr="007A2EEB">
            <w:fldChar w:fldCharType="separate"/>
          </w:r>
          <w:r>
            <w:rPr>
              <w:noProof/>
            </w:rPr>
            <w:t>(Australian Council of Trade Unions, 2020; Australian Institute of Superannuation Trustees, 2020)</w:t>
          </w:r>
          <w:r w:rsidRPr="007A2EEB">
            <w:fldChar w:fldCharType="end"/>
          </w:r>
        </w:sdtContent>
      </w:sdt>
      <w:r w:rsidRPr="007A2EEB">
        <w:t>.</w:t>
      </w:r>
    </w:p>
  </w:footnote>
  <w:footnote w:id="65">
    <w:p w14:paraId="7BA924ED" w14:textId="77777777" w:rsidR="00730553" w:rsidRDefault="00730553">
      <w:pPr>
        <w:pStyle w:val="FootnoteText"/>
      </w:pPr>
      <w:r w:rsidRPr="007A2EEB">
        <w:rPr>
          <w:rStyle w:val="FootnoteReference"/>
        </w:rPr>
        <w:footnoteRef/>
      </w:r>
      <w:r w:rsidRPr="007A2EEB">
        <w:t xml:space="preserve"> </w:t>
      </w:r>
      <w:sdt>
        <w:sdtPr>
          <w:id w:val="378979803"/>
          <w:citation/>
        </w:sdtPr>
        <w:sdtEndPr/>
        <w:sdtContent>
          <w:r w:rsidRPr="007A2EEB">
            <w:fldChar w:fldCharType="begin"/>
          </w:r>
          <w:r w:rsidRPr="007A2EEB">
            <w:instrText xml:space="preserve">CITATION Com20 \m IOO20 \l 3081 </w:instrText>
          </w:r>
          <w:r w:rsidRPr="007A2EEB">
            <w:fldChar w:fldCharType="separate"/>
          </w:r>
          <w:r>
            <w:rPr>
              <w:noProof/>
            </w:rPr>
            <w:t>(Committee for Sustainable Retirement Incomes, 2020; IOOF, 2020)</w:t>
          </w:r>
          <w:r w:rsidRPr="007A2EEB">
            <w:fldChar w:fldCharType="end"/>
          </w:r>
        </w:sdtContent>
      </w:sdt>
      <w:r w:rsidRPr="007A2EEB">
        <w:t>.</w:t>
      </w:r>
    </w:p>
  </w:footnote>
  <w:footnote w:id="66">
    <w:p w14:paraId="22FAA1D1" w14:textId="77777777" w:rsidR="00730553" w:rsidRDefault="00730553" w:rsidP="00D178A4">
      <w:pPr>
        <w:pStyle w:val="FootnoteText"/>
      </w:pPr>
      <w:r>
        <w:rPr>
          <w:rStyle w:val="FootnoteReference"/>
        </w:rPr>
        <w:footnoteRef/>
      </w:r>
      <w:sdt>
        <w:sdtPr>
          <w:id w:val="1911189202"/>
          <w:citation/>
        </w:sdtPr>
        <w:sdtEndPr/>
        <w:sdtContent>
          <w:r w:rsidRPr="002143AB">
            <w:fldChar w:fldCharType="begin"/>
          </w:r>
          <w:r>
            <w:instrText>CITATION AIS201 \m Cha20 \m ACT20Sub \m Aus201 \m Nat20 \m Com201 \m Gra20 \m Ass201 \l 3081  \m CEPAR2020</w:instrText>
          </w:r>
          <w:r w:rsidRPr="002143AB">
            <w:fldChar w:fldCharType="separate"/>
          </w:r>
          <w:r>
            <w:rPr>
              <w:noProof/>
            </w:rPr>
            <w:t xml:space="preserve"> (Australian Institute of Superannuation Trustees, 2020; Chartered Accountants Australia and New Zealand, 2020; Australian Council of Trade Unions, 2020; Australian Housing and Urban Research Institute, 2020; National Seniors Australia, 2020; Combined Pensioners &amp; Superannuants Association, 2020; Grattan Institute, 2020; Association of Independent Retirees, 2020; CEPAR, 2020)</w:t>
          </w:r>
          <w:r w:rsidRPr="002143AB">
            <w:fldChar w:fldCharType="end"/>
          </w:r>
        </w:sdtContent>
      </w:sdt>
      <w:r w:rsidRPr="002143AB">
        <w:t>.</w:t>
      </w:r>
    </w:p>
  </w:footnote>
  <w:footnote w:id="67">
    <w:p w14:paraId="041EA360" w14:textId="77777777" w:rsidR="00730553" w:rsidRDefault="00730553">
      <w:pPr>
        <w:pStyle w:val="FootnoteText"/>
      </w:pPr>
      <w:r>
        <w:rPr>
          <w:rStyle w:val="FootnoteReference"/>
        </w:rPr>
        <w:footnoteRef/>
      </w:r>
      <w:r>
        <w:t xml:space="preserve"> P</w:t>
      </w:r>
      <w:r w:rsidRPr="00163C27">
        <w:t>opulation projections by Centre for Population, The Treasury as at December 2019</w:t>
      </w:r>
      <w:r>
        <w:t>.</w:t>
      </w:r>
    </w:p>
  </w:footnote>
  <w:footnote w:id="68">
    <w:p w14:paraId="266E4230" w14:textId="77777777" w:rsidR="00730553" w:rsidRDefault="00730553">
      <w:pPr>
        <w:pStyle w:val="FootnoteText"/>
      </w:pPr>
      <w:r>
        <w:rPr>
          <w:rStyle w:val="FootnoteReference"/>
        </w:rPr>
        <w:footnoteRef/>
      </w:r>
      <w:r>
        <w:t xml:space="preserve"> Defined as ‘having a superannuation balance above zero, receiving regular income from superannuation, or having </w:t>
      </w:r>
      <w:r w:rsidRPr="005E1918">
        <w:t>received a lump</w:t>
      </w:r>
      <w:r>
        <w:noBreakHyphen/>
      </w:r>
      <w:r w:rsidRPr="005E1918">
        <w:t>sum superannuation payment in the last two years</w:t>
      </w:r>
      <w:r>
        <w:t>’.</w:t>
      </w:r>
    </w:p>
  </w:footnote>
  <w:footnote w:id="69">
    <w:p w14:paraId="6EEDFAA2" w14:textId="77777777" w:rsidR="00730553" w:rsidRDefault="00730553">
      <w:pPr>
        <w:pStyle w:val="FootnoteText"/>
      </w:pPr>
      <w:r>
        <w:rPr>
          <w:rStyle w:val="FootnoteReference"/>
        </w:rPr>
        <w:footnoteRef/>
      </w:r>
      <w:r>
        <w:t xml:space="preserve"> As a percentage of all occupied private dwellings. Ownership rate includes all owner</w:t>
      </w:r>
      <w:r>
        <w:noBreakHyphen/>
        <w:t>occupied tenures. 2016 figure excludes dwellings with ‘not stated’ or ‘not applicable’ tenures.</w:t>
      </w:r>
    </w:p>
  </w:footnote>
  <w:footnote w:id="70">
    <w:p w14:paraId="3AB518D4" w14:textId="77777777" w:rsidR="00730553" w:rsidRPr="00FB12AC" w:rsidRDefault="00730553">
      <w:pPr>
        <w:pStyle w:val="FootnoteText"/>
      </w:pPr>
      <w:r>
        <w:rPr>
          <w:rStyle w:val="FootnoteReference"/>
        </w:rPr>
        <w:footnoteRef/>
      </w:r>
      <w:r>
        <w:t xml:space="preserve"> Defined as </w:t>
      </w:r>
      <w:r w:rsidRPr="008B51CA">
        <w:t xml:space="preserve">visas permitting persons to come to Australia on a temporary basis for specific purposes. Main </w:t>
      </w:r>
      <w:r w:rsidRPr="00FB12AC">
        <w:t xml:space="preserve">contributors are tourists, international students, those on temporary work visas, business visitors and working holiday makers </w:t>
      </w:r>
      <w:sdt>
        <w:sdtPr>
          <w:id w:val="57833484"/>
          <w:citation/>
        </w:sdtPr>
        <w:sdtEndPr/>
        <w:sdtContent>
          <w:r w:rsidRPr="00FB12AC">
            <w:fldChar w:fldCharType="begin"/>
          </w:r>
          <w:r w:rsidRPr="00FB12AC">
            <w:instrText xml:space="preserve"> CITATION ABS195f \l 3081 </w:instrText>
          </w:r>
          <w:r w:rsidRPr="00FB12AC">
            <w:fldChar w:fldCharType="separate"/>
          </w:r>
          <w:r>
            <w:rPr>
              <w:noProof/>
            </w:rPr>
            <w:t>(ABS, 2020m)</w:t>
          </w:r>
          <w:r w:rsidRPr="00FB12AC">
            <w:fldChar w:fldCharType="end"/>
          </w:r>
        </w:sdtContent>
      </w:sdt>
      <w:r w:rsidRPr="00FB12AC">
        <w:t>.</w:t>
      </w:r>
    </w:p>
  </w:footnote>
  <w:footnote w:id="71">
    <w:p w14:paraId="50866025" w14:textId="77777777" w:rsidR="00730553" w:rsidRPr="00FB12AC" w:rsidRDefault="00730553">
      <w:pPr>
        <w:pStyle w:val="FootnoteText"/>
      </w:pPr>
      <w:r w:rsidRPr="00FB12AC">
        <w:rPr>
          <w:rStyle w:val="FootnoteReference"/>
        </w:rPr>
        <w:footnoteRef/>
      </w:r>
      <w:r w:rsidRPr="00FB12AC">
        <w:t xml:space="preserve"> Analysis of </w:t>
      </w:r>
      <w:sdt>
        <w:sdtPr>
          <w:id w:val="-207958971"/>
          <w:citation/>
        </w:sdtPr>
        <w:sdtEndPr/>
        <w:sdtContent>
          <w:r w:rsidRPr="00FB12AC">
            <w:fldChar w:fldCharType="begin"/>
          </w:r>
          <w:r w:rsidRPr="00FB12AC">
            <w:instrText xml:space="preserve"> CITATION Aus16 \l 3081 </w:instrText>
          </w:r>
          <w:r w:rsidRPr="00FB12AC">
            <w:fldChar w:fldCharType="separate"/>
          </w:r>
          <w:r>
            <w:rPr>
              <w:noProof/>
            </w:rPr>
            <w:t>(ABS, 2006a)</w:t>
          </w:r>
          <w:r w:rsidRPr="00FB12AC">
            <w:fldChar w:fldCharType="end"/>
          </w:r>
        </w:sdtContent>
      </w:sdt>
      <w:r>
        <w:t>;</w:t>
      </w:r>
      <w:r w:rsidRPr="00FB12AC">
        <w:t xml:space="preserve"> </w:t>
      </w:r>
      <w:sdt>
        <w:sdtPr>
          <w:id w:val="622666988"/>
          <w:citation/>
        </w:sdtPr>
        <w:sdtEndPr/>
        <w:sdtContent>
          <w:r w:rsidRPr="00FB12AC">
            <w:fldChar w:fldCharType="begin"/>
          </w:r>
          <w:r w:rsidRPr="00FB12AC">
            <w:instrText xml:space="preserve"> CITATION ABS3 \l 3081 </w:instrText>
          </w:r>
          <w:r w:rsidRPr="00FB12AC">
            <w:fldChar w:fldCharType="separate"/>
          </w:r>
          <w:r>
            <w:rPr>
              <w:noProof/>
            </w:rPr>
            <w:t>(ABS, 2016a)</w:t>
          </w:r>
          <w:r w:rsidRPr="00FB12AC">
            <w:fldChar w:fldCharType="end"/>
          </w:r>
        </w:sdtContent>
      </w:sdt>
      <w:r w:rsidRPr="00FB12AC">
        <w:t>.</w:t>
      </w:r>
    </w:p>
  </w:footnote>
  <w:footnote w:id="72">
    <w:p w14:paraId="4E235132" w14:textId="77777777" w:rsidR="00730553" w:rsidRDefault="00730553">
      <w:pPr>
        <w:pStyle w:val="FootnoteText"/>
      </w:pPr>
      <w:r w:rsidRPr="00FB12AC">
        <w:rPr>
          <w:rStyle w:val="FootnoteReference"/>
        </w:rPr>
        <w:footnoteRef/>
      </w:r>
      <w:r w:rsidRPr="00FB12AC">
        <w:t xml:space="preserve"> Analysis of Housing Occupancy and Costs 2007</w:t>
      </w:r>
      <w:r>
        <w:noBreakHyphen/>
      </w:r>
      <w:r w:rsidRPr="00FB12AC">
        <w:t>08 to 2017</w:t>
      </w:r>
      <w:r>
        <w:noBreakHyphen/>
      </w:r>
      <w:r w:rsidRPr="00FB12AC">
        <w:t>18</w:t>
      </w:r>
      <w:sdt>
        <w:sdtPr>
          <w:id w:val="545800476"/>
          <w:citation/>
        </w:sdtPr>
        <w:sdtEndPr/>
        <w:sdtContent>
          <w:r w:rsidRPr="00FB12AC">
            <w:fldChar w:fldCharType="begin"/>
          </w:r>
          <w:r w:rsidRPr="00FB12AC">
            <w:instrText xml:space="preserve"> CITATION ABS9i \l 3081 </w:instrText>
          </w:r>
          <w:r w:rsidRPr="00FB12AC">
            <w:fldChar w:fldCharType="separate"/>
          </w:r>
          <w:r>
            <w:rPr>
              <w:noProof/>
            </w:rPr>
            <w:t xml:space="preserve"> (ABS, 2019n)</w:t>
          </w:r>
          <w:r w:rsidRPr="00FB12AC">
            <w:fldChar w:fldCharType="end"/>
          </w:r>
        </w:sdtContent>
      </w:sdt>
      <w:r>
        <w:t>.</w:t>
      </w:r>
    </w:p>
  </w:footnote>
  <w:footnote w:id="73">
    <w:p w14:paraId="3BEEB844" w14:textId="77777777" w:rsidR="00730553" w:rsidRDefault="00730553" w:rsidP="00D178A4">
      <w:pPr>
        <w:pStyle w:val="FootnoteText"/>
      </w:pPr>
      <w:r>
        <w:rPr>
          <w:rStyle w:val="FootnoteReference"/>
        </w:rPr>
        <w:footnoteRef/>
      </w:r>
      <w:r>
        <w:t xml:space="preserve"> Housing Occupancy and Costs 2007</w:t>
      </w:r>
      <w:r>
        <w:noBreakHyphen/>
      </w:r>
      <w:r w:rsidRPr="00CB53CC">
        <w:t>08 to 2017</w:t>
      </w:r>
      <w:r>
        <w:noBreakHyphen/>
      </w:r>
      <w:r w:rsidRPr="00CB53CC">
        <w:t>18</w:t>
      </w:r>
      <w:sdt>
        <w:sdtPr>
          <w:id w:val="141248646"/>
          <w:citation/>
        </w:sdtPr>
        <w:sdtEndPr/>
        <w:sdtContent>
          <w:r w:rsidRPr="00CB53CC">
            <w:fldChar w:fldCharType="begin"/>
          </w:r>
          <w:r w:rsidRPr="00CB53CC">
            <w:instrText xml:space="preserve"> CITATION ABS9i \l 3081 </w:instrText>
          </w:r>
          <w:r w:rsidRPr="00CB53CC">
            <w:fldChar w:fldCharType="separate"/>
          </w:r>
          <w:r>
            <w:rPr>
              <w:noProof/>
            </w:rPr>
            <w:t xml:space="preserve"> (ABS, 2019n)</w:t>
          </w:r>
          <w:r w:rsidRPr="00CB53CC">
            <w:fldChar w:fldCharType="end"/>
          </w:r>
        </w:sdtContent>
      </w:sdt>
      <w:r>
        <w:t>.</w:t>
      </w:r>
    </w:p>
  </w:footnote>
  <w:footnote w:id="74">
    <w:p w14:paraId="501FDF05" w14:textId="77777777" w:rsidR="00730553" w:rsidRDefault="00730553" w:rsidP="002A2FAE">
      <w:pPr>
        <w:pStyle w:val="FootnoteText"/>
      </w:pPr>
      <w:r w:rsidRPr="005A7B26">
        <w:rPr>
          <w:rStyle w:val="FootnoteReference"/>
        </w:rPr>
        <w:footnoteRef/>
      </w:r>
      <w:r w:rsidRPr="005A7B26">
        <w:t xml:space="preserve">These measures were enacted in the </w:t>
      </w:r>
      <w:r w:rsidRPr="005A7B26">
        <w:rPr>
          <w:i/>
        </w:rPr>
        <w:t>Social Security and Other Legislation Amendment (Pension Reform and Other 2009 Budget Measures) Bill 2009</w:t>
      </w:r>
      <w:r>
        <w:rPr>
          <w:i/>
        </w:rPr>
        <w:t>.</w:t>
      </w:r>
    </w:p>
  </w:footnote>
  <w:footnote w:id="75">
    <w:p w14:paraId="71BBA63E" w14:textId="77777777" w:rsidR="00730553" w:rsidRDefault="00730553">
      <w:pPr>
        <w:pStyle w:val="FootnoteText"/>
      </w:pPr>
      <w:r>
        <w:rPr>
          <w:rStyle w:val="FootnoteReference"/>
        </w:rPr>
        <w:footnoteRef/>
      </w:r>
      <w:r>
        <w:t xml:space="preserve"> Henderson Poverty Line assumes households are renting and experience relatively high housing costs. Calculations exclude the value of any Commonwealth Rent Assistance that renter age pensioners may be eligible to receive.</w:t>
      </w:r>
    </w:p>
  </w:footnote>
  <w:footnote w:id="76">
    <w:p w14:paraId="46E59A26" w14:textId="77777777" w:rsidR="00730553" w:rsidRDefault="00730553">
      <w:pPr>
        <w:pStyle w:val="FootnoteText"/>
      </w:pPr>
      <w:r>
        <w:rPr>
          <w:rStyle w:val="FootnoteReference"/>
        </w:rPr>
        <w:footnoteRef/>
      </w:r>
      <w:r>
        <w:t xml:space="preserve"> A</w:t>
      </w:r>
      <w:r w:rsidRPr="00FA7639">
        <w:t>nalysis of HILDA Survey data (Wave 18)</w:t>
      </w:r>
      <w:r>
        <w:t>.</w:t>
      </w:r>
    </w:p>
  </w:footnote>
  <w:footnote w:id="77">
    <w:p w14:paraId="715786EF" w14:textId="77777777" w:rsidR="00730553" w:rsidRPr="004F3840" w:rsidRDefault="00730553" w:rsidP="002A2FAE">
      <w:pPr>
        <w:pStyle w:val="FootnoteText"/>
      </w:pPr>
      <w:r>
        <w:rPr>
          <w:rStyle w:val="FootnoteReference"/>
        </w:rPr>
        <w:footnoteRef/>
      </w:r>
      <w:r>
        <w:t xml:space="preserve"> Review analysis </w:t>
      </w:r>
      <w:r w:rsidRPr="004F3840">
        <w:t xml:space="preserve">of HILDA Survey data also found these groups experience </w:t>
      </w:r>
      <w:r>
        <w:t>elevated</w:t>
      </w:r>
      <w:r w:rsidRPr="004F3840">
        <w:t xml:space="preserve"> levels of financial stress.</w:t>
      </w:r>
    </w:p>
  </w:footnote>
  <w:footnote w:id="78">
    <w:p w14:paraId="45E06494" w14:textId="77777777" w:rsidR="00730553" w:rsidRDefault="00730553" w:rsidP="00AD52A5">
      <w:pPr>
        <w:pStyle w:val="FootnoteText"/>
      </w:pPr>
      <w:r w:rsidRPr="004F3840">
        <w:rPr>
          <w:rStyle w:val="FootnoteReference"/>
        </w:rPr>
        <w:footnoteRef/>
      </w:r>
      <w:r w:rsidRPr="004F3840">
        <w:t xml:space="preserve"> Lower</w:t>
      </w:r>
      <w:r>
        <w:noBreakHyphen/>
      </w:r>
      <w:r w:rsidRPr="004F3840">
        <w:t xml:space="preserve">income earners are considered to be in </w:t>
      </w:r>
      <w:r>
        <w:t>‘</w:t>
      </w:r>
      <w:r w:rsidRPr="004F3840">
        <w:t>rental stress</w:t>
      </w:r>
      <w:r>
        <w:t>’</w:t>
      </w:r>
      <w:r w:rsidRPr="004F3840">
        <w:t xml:space="preserve"> when they spend over 30</w:t>
      </w:r>
      <w:r>
        <w:t> </w:t>
      </w:r>
      <w:r w:rsidRPr="004F3840">
        <w:t>per</w:t>
      </w:r>
      <w:r>
        <w:t> </w:t>
      </w:r>
      <w:r w:rsidRPr="004F3840">
        <w:t>cent of their gross income on rents</w:t>
      </w:r>
      <w:r>
        <w:t xml:space="preserve"> </w:t>
      </w:r>
      <w:sdt>
        <w:sdtPr>
          <w:id w:val="1060443095"/>
          <w:citation/>
        </w:sdtPr>
        <w:sdtEndPr/>
        <w:sdtContent>
          <w:r>
            <w:fldChar w:fldCharType="begin"/>
          </w:r>
          <w:r>
            <w:instrText xml:space="preserve"> CITATION ABS9i \l 3081 </w:instrText>
          </w:r>
          <w:r>
            <w:fldChar w:fldCharType="separate"/>
          </w:r>
          <w:r>
            <w:rPr>
              <w:noProof/>
            </w:rPr>
            <w:t>(ABS, 2019n)</w:t>
          </w:r>
          <w:r>
            <w:fldChar w:fldCharType="end"/>
          </w:r>
        </w:sdtContent>
      </w:sdt>
      <w:r w:rsidRPr="004F3840">
        <w:t>.</w:t>
      </w:r>
    </w:p>
  </w:footnote>
  <w:footnote w:id="79">
    <w:p w14:paraId="4C7F4F04" w14:textId="77777777" w:rsidR="00730553" w:rsidRDefault="00730553">
      <w:pPr>
        <w:pStyle w:val="FootnoteText"/>
      </w:pPr>
      <w:r>
        <w:rPr>
          <w:rStyle w:val="FootnoteReference"/>
        </w:rPr>
        <w:footnoteRef/>
      </w:r>
      <w:r>
        <w:t xml:space="preserve"> Early retirement is defined as households where the reference person is </w:t>
      </w:r>
      <w:r w:rsidRPr="00E3493F">
        <w:t xml:space="preserve">unemployed </w:t>
      </w:r>
      <w:r>
        <w:t>and aged between 55 and</w:t>
      </w:r>
      <w:r w:rsidRPr="00E3493F">
        <w:t xml:space="preserve"> Age Pension </w:t>
      </w:r>
      <w:r>
        <w:t xml:space="preserve">eligibility </w:t>
      </w:r>
      <w:r w:rsidRPr="00E3493F">
        <w:t>age</w:t>
      </w:r>
      <w:r>
        <w:t>.</w:t>
      </w:r>
    </w:p>
  </w:footnote>
  <w:footnote w:id="80">
    <w:p w14:paraId="4B0730B5" w14:textId="77777777" w:rsidR="00730553" w:rsidRDefault="00730553">
      <w:pPr>
        <w:pStyle w:val="FootnoteText"/>
      </w:pPr>
      <w:r>
        <w:rPr>
          <w:rStyle w:val="FootnoteReference"/>
        </w:rPr>
        <w:footnoteRef/>
      </w:r>
      <w:r>
        <w:t xml:space="preserve"> </w:t>
      </w:r>
      <w:r w:rsidRPr="00FA7639">
        <w:t xml:space="preserve">Department </w:t>
      </w:r>
      <w:r>
        <w:t>of Social Services payment data.</w:t>
      </w:r>
    </w:p>
  </w:footnote>
  <w:footnote w:id="81">
    <w:p w14:paraId="6DE46AF0" w14:textId="77777777" w:rsidR="00730553" w:rsidRDefault="00730553">
      <w:pPr>
        <w:pStyle w:val="FootnoteText"/>
      </w:pPr>
      <w:r>
        <w:rPr>
          <w:rStyle w:val="FootnoteReference"/>
        </w:rPr>
        <w:footnoteRef/>
      </w:r>
      <w:r>
        <w:t xml:space="preserve"> Analysis of ABS Survey of Income and Housing </w:t>
      </w:r>
      <w:r w:rsidRPr="00520D2E">
        <w:t>Confidentialised Unit Record File</w:t>
      </w:r>
      <w:r>
        <w:t>, 2017</w:t>
      </w:r>
      <w:r>
        <w:noBreakHyphen/>
        <w:t>18.</w:t>
      </w:r>
    </w:p>
  </w:footnote>
  <w:footnote w:id="82">
    <w:p w14:paraId="6EE77B8F" w14:textId="77777777" w:rsidR="00730553" w:rsidRDefault="00730553">
      <w:pPr>
        <w:pStyle w:val="FootnoteText"/>
      </w:pPr>
      <w:r>
        <w:rPr>
          <w:rStyle w:val="FootnoteReference"/>
        </w:rPr>
        <w:footnoteRef/>
      </w:r>
      <w:r>
        <w:t xml:space="preserve"> Housing costs include both interest and principal of a mortgage, general and water rates for owners, rent payments, and any rates and body corporate payments for renters. Equivalising adjusts income for household size.</w:t>
      </w:r>
    </w:p>
  </w:footnote>
  <w:footnote w:id="83">
    <w:p w14:paraId="417C1F40" w14:textId="77777777" w:rsidR="00730553" w:rsidRDefault="00730553" w:rsidP="00623AFC">
      <w:pPr>
        <w:pStyle w:val="FootnoteText"/>
      </w:pPr>
      <w:r>
        <w:rPr>
          <w:rStyle w:val="FootnoteReference"/>
        </w:rPr>
        <w:footnoteRef/>
      </w:r>
      <w:r>
        <w:t xml:space="preserve"> Analysis of ABS Survey of Income and Housing </w:t>
      </w:r>
      <w:r w:rsidRPr="00520D2E">
        <w:t>Confidentialised Unit Record File</w:t>
      </w:r>
      <w:r>
        <w:t>, 2017</w:t>
      </w:r>
      <w:r>
        <w:noBreakHyphen/>
        <w:t xml:space="preserve">18. Working age is defined as people aged </w:t>
      </w:r>
      <w:r w:rsidRPr="00373BCB">
        <w:t>between 18 and 64</w:t>
      </w:r>
      <w:r>
        <w:t>, regardless of labour force participation status.</w:t>
      </w:r>
    </w:p>
  </w:footnote>
  <w:footnote w:id="84">
    <w:p w14:paraId="51C7AF4B" w14:textId="77777777" w:rsidR="00730553" w:rsidRDefault="00730553">
      <w:pPr>
        <w:pStyle w:val="FootnoteText"/>
      </w:pPr>
      <w:r>
        <w:rPr>
          <w:rStyle w:val="FootnoteReference"/>
        </w:rPr>
        <w:footnoteRef/>
      </w:r>
      <w:r>
        <w:t xml:space="preserve"> </w:t>
      </w:r>
      <w:r w:rsidRPr="00EA0074">
        <w:t>Analysis of ABS Survey of Income and Housing Confidentialised Unit Record File, 2017</w:t>
      </w:r>
      <w:r>
        <w:noBreakHyphen/>
      </w:r>
      <w:r w:rsidRPr="00EA0074">
        <w:t>18.</w:t>
      </w:r>
    </w:p>
  </w:footnote>
  <w:footnote w:id="85">
    <w:p w14:paraId="749CB04D" w14:textId="77777777" w:rsidR="00730553" w:rsidRDefault="00730553">
      <w:pPr>
        <w:pStyle w:val="FootnoteText"/>
      </w:pPr>
      <w:r>
        <w:rPr>
          <w:rStyle w:val="FootnoteReference"/>
        </w:rPr>
        <w:footnoteRef/>
      </w:r>
      <w:r>
        <w:t xml:space="preserve"> </w:t>
      </w:r>
      <w:r w:rsidRPr="00B63883">
        <w:t>Sequence risk is the danger that the timing of withdrawals from a retirement account will damage the investor</w:t>
      </w:r>
      <w:r>
        <w:t>’</w:t>
      </w:r>
      <w:r w:rsidRPr="00B63883">
        <w:t>s overall return.</w:t>
      </w:r>
    </w:p>
  </w:footnote>
  <w:footnote w:id="86">
    <w:p w14:paraId="3A2474EE" w14:textId="77777777" w:rsidR="00730553" w:rsidRDefault="00730553">
      <w:pPr>
        <w:pStyle w:val="FootnoteText"/>
      </w:pPr>
      <w:r>
        <w:rPr>
          <w:rStyle w:val="FootnoteReference"/>
        </w:rPr>
        <w:footnoteRef/>
      </w:r>
      <w:r>
        <w:t xml:space="preserve"> T</w:t>
      </w:r>
      <w:r w:rsidRPr="00C630CE">
        <w:t xml:space="preserve">his section uses the </w:t>
      </w:r>
      <w:r>
        <w:t>maximum fortnightly payment</w:t>
      </w:r>
      <w:r w:rsidRPr="00C630CE">
        <w:t xml:space="preserve"> </w:t>
      </w:r>
      <w:r>
        <w:t xml:space="preserve">rate </w:t>
      </w:r>
      <w:r w:rsidRPr="00C630CE">
        <w:t>for those withou</w:t>
      </w:r>
      <w:r>
        <w:t>t dependent children, which is recei</w:t>
      </w:r>
      <w:r w:rsidRPr="00C630CE">
        <w:t xml:space="preserve">ved by the majority of people receiving </w:t>
      </w:r>
      <w:r>
        <w:t>the Commonwealth Rent A</w:t>
      </w:r>
      <w:r w:rsidRPr="00C630CE">
        <w:t>ssistance in retirement</w:t>
      </w:r>
      <w:r>
        <w:t xml:space="preserve">. </w:t>
      </w:r>
      <w:r w:rsidRPr="00A045F4">
        <w:t>Those with dependent children (e.g. grandparent carers) may receive a higher rate.</w:t>
      </w:r>
    </w:p>
  </w:footnote>
  <w:footnote w:id="87">
    <w:p w14:paraId="23A6AB26" w14:textId="77777777" w:rsidR="00730553" w:rsidRDefault="00730553" w:rsidP="002A2FAE">
      <w:pPr>
        <w:pStyle w:val="FootnoteText"/>
      </w:pPr>
      <w:r>
        <w:rPr>
          <w:rStyle w:val="FootnoteReference"/>
        </w:rPr>
        <w:footnoteRef/>
      </w:r>
      <w:r>
        <w:t xml:space="preserve"> Analysis of </w:t>
      </w:r>
      <w:r w:rsidRPr="00922242">
        <w:t>ABS Survey of Income and Housing Confidentialised Unit Record File, 2017</w:t>
      </w:r>
      <w:r>
        <w:noBreakHyphen/>
      </w:r>
      <w:r w:rsidRPr="00922242">
        <w:t>18</w:t>
      </w:r>
      <w:r>
        <w:t>.</w:t>
      </w:r>
    </w:p>
  </w:footnote>
  <w:footnote w:id="88">
    <w:p w14:paraId="4C009EBB" w14:textId="77777777" w:rsidR="00730553" w:rsidRDefault="00730553" w:rsidP="002A2FAE">
      <w:pPr>
        <w:pStyle w:val="FootnoteText"/>
      </w:pPr>
      <w:r>
        <w:rPr>
          <w:rStyle w:val="FootnoteReference"/>
        </w:rPr>
        <w:footnoteRef/>
      </w:r>
      <w:r>
        <w:t xml:space="preserve"> </w:t>
      </w:r>
      <w:r w:rsidRPr="00E82F18">
        <w:t>Analysis of ABS Survey of Income and Housing Confidentialised Unit Record File, 2017</w:t>
      </w:r>
      <w:r>
        <w:noBreakHyphen/>
      </w:r>
      <w:r w:rsidRPr="00E82F18">
        <w:t>18.</w:t>
      </w:r>
    </w:p>
  </w:footnote>
  <w:footnote w:id="89">
    <w:p w14:paraId="4ED6422D" w14:textId="77777777" w:rsidR="00730553" w:rsidRDefault="00730553" w:rsidP="002A2FAE">
      <w:pPr>
        <w:pStyle w:val="FootnoteText"/>
      </w:pPr>
      <w:r>
        <w:rPr>
          <w:rStyle w:val="FootnoteReference"/>
        </w:rPr>
        <w:footnoteRef/>
      </w:r>
      <w:r>
        <w:t xml:space="preserve"> </w:t>
      </w:r>
      <w:r w:rsidRPr="00E82F18">
        <w:t>Analysis of ABS Survey of Income and Housing Confidentialised Unit Record File, 2017</w:t>
      </w:r>
      <w:r>
        <w:noBreakHyphen/>
      </w:r>
      <w:r w:rsidRPr="00E82F18">
        <w:t>18.</w:t>
      </w:r>
    </w:p>
  </w:footnote>
  <w:footnote w:id="90">
    <w:p w14:paraId="0CB594D0" w14:textId="77777777" w:rsidR="00730553" w:rsidRPr="005E06CE" w:rsidRDefault="00730553" w:rsidP="002A2FAE">
      <w:pPr>
        <w:pStyle w:val="FootnoteText"/>
      </w:pPr>
      <w:r>
        <w:rPr>
          <w:rStyle w:val="FootnoteReference"/>
        </w:rPr>
        <w:footnoteRef/>
      </w:r>
      <w:r>
        <w:t xml:space="preserve"> T</w:t>
      </w:r>
      <w:r w:rsidRPr="00875F66">
        <w:t xml:space="preserve">he ABS classifies households in financial stress as those who report four or more financial stress or </w:t>
      </w:r>
      <w:r>
        <w:t>‘</w:t>
      </w:r>
      <w:r w:rsidRPr="00875F66">
        <w:t>missing out</w:t>
      </w:r>
      <w:r>
        <w:t>’</w:t>
      </w:r>
      <w:r w:rsidRPr="00875F66">
        <w:t xml:space="preserve"> experiences.</w:t>
      </w:r>
      <w:r>
        <w:t xml:space="preserve"> </w:t>
      </w:r>
      <w:r w:rsidRPr="005E06CE">
        <w:t>See</w:t>
      </w:r>
      <w:r w:rsidRPr="005E06CE" w:rsidDel="0014700E">
        <w:rPr>
          <w:i/>
        </w:rPr>
        <w:t xml:space="preserve"> </w:t>
      </w:r>
      <w:r w:rsidRPr="005E06CE">
        <w:rPr>
          <w:i/>
        </w:rPr>
        <w:t xml:space="preserve">2A. </w:t>
      </w:r>
      <w:r w:rsidRPr="005E06CE">
        <w:rPr>
          <w:i/>
          <w:szCs w:val="22"/>
        </w:rPr>
        <w:t>Achieving a minimum standard of living in retirement</w:t>
      </w:r>
      <w:r w:rsidRPr="005E06CE">
        <w:t>.</w:t>
      </w:r>
    </w:p>
  </w:footnote>
  <w:footnote w:id="91">
    <w:p w14:paraId="2D1AA896" w14:textId="77777777" w:rsidR="00730553" w:rsidRDefault="00730553">
      <w:pPr>
        <w:pStyle w:val="FootnoteText"/>
      </w:pPr>
      <w:r w:rsidRPr="005E06CE">
        <w:rPr>
          <w:rStyle w:val="FootnoteReference"/>
        </w:rPr>
        <w:footnoteRef/>
      </w:r>
      <w:r w:rsidRPr="005E06CE">
        <w:t xml:space="preserve"> This is the weighted average of single and couple retirees.</w:t>
      </w:r>
    </w:p>
  </w:footnote>
  <w:footnote w:id="92">
    <w:p w14:paraId="72C23EBB" w14:textId="77777777" w:rsidR="00730553" w:rsidRDefault="00730553">
      <w:pPr>
        <w:pStyle w:val="FootnoteText"/>
      </w:pPr>
      <w:r>
        <w:rPr>
          <w:rStyle w:val="FootnoteReference"/>
        </w:rPr>
        <w:footnoteRef/>
      </w:r>
      <w:r>
        <w:t xml:space="preserve"> To best identify the effect on households experiencing financial stress, this analysis defines retired households as those with the household reference person aged 65 and over with no earners in the household.</w:t>
      </w:r>
    </w:p>
  </w:footnote>
  <w:footnote w:id="93">
    <w:p w14:paraId="20ED8DA3" w14:textId="77777777" w:rsidR="00730553" w:rsidRDefault="00730553">
      <w:pPr>
        <w:pStyle w:val="FootnoteText"/>
      </w:pPr>
      <w:r>
        <w:rPr>
          <w:rStyle w:val="FootnoteReference"/>
        </w:rPr>
        <w:footnoteRef/>
      </w:r>
      <w:r>
        <w:t xml:space="preserve"> </w:t>
      </w:r>
      <w:r w:rsidRPr="00EF06AA">
        <w:rPr>
          <w:sz w:val="18"/>
          <w:szCs w:val="18"/>
        </w:rPr>
        <w:t>Analysis of ABS Household Expenditure Survey Confidenti</w:t>
      </w:r>
      <w:r>
        <w:rPr>
          <w:sz w:val="18"/>
          <w:szCs w:val="18"/>
        </w:rPr>
        <w:t>alised Unit Record File, 2015</w:t>
      </w:r>
      <w:r>
        <w:rPr>
          <w:sz w:val="18"/>
          <w:szCs w:val="18"/>
        </w:rPr>
        <w:noBreakHyphen/>
        <w:t>16</w:t>
      </w:r>
      <w:r w:rsidRPr="00EF06AA">
        <w:rPr>
          <w:sz w:val="18"/>
          <w:szCs w:val="18"/>
        </w:rPr>
        <w:t>.</w:t>
      </w:r>
    </w:p>
  </w:footnote>
  <w:footnote w:id="94">
    <w:p w14:paraId="545F69E0" w14:textId="77777777" w:rsidR="00730553" w:rsidRDefault="00730553">
      <w:pPr>
        <w:pStyle w:val="FootnoteText"/>
      </w:pPr>
      <w:r>
        <w:rPr>
          <w:rStyle w:val="FootnoteReference"/>
        </w:rPr>
        <w:footnoteRef/>
      </w:r>
      <w:r>
        <w:t xml:space="preserve"> The i</w:t>
      </w:r>
      <w:r w:rsidRPr="00C4566C">
        <w:t xml:space="preserve">ncome </w:t>
      </w:r>
      <w:r>
        <w:t xml:space="preserve">definition of </w:t>
      </w:r>
      <w:r w:rsidRPr="00C4566C">
        <w:t xml:space="preserve">poverty </w:t>
      </w:r>
      <w:r>
        <w:t xml:space="preserve">used in the </w:t>
      </w:r>
      <w:r w:rsidRPr="005E06CE">
        <w:t xml:space="preserve">review is equivalised disposable income below half of the median, once housing costs have been deducted. See </w:t>
      </w:r>
      <w:r w:rsidRPr="005E06CE">
        <w:rPr>
          <w:i/>
        </w:rPr>
        <w:t xml:space="preserve">2A. </w:t>
      </w:r>
      <w:r w:rsidRPr="005E06CE">
        <w:rPr>
          <w:i/>
          <w:szCs w:val="22"/>
        </w:rPr>
        <w:t>Achieving a minimum standard of living in retirement</w:t>
      </w:r>
      <w:r w:rsidRPr="005E06CE" w:rsidDel="00B61EB6">
        <w:rPr>
          <w:i/>
          <w:szCs w:val="22"/>
        </w:rPr>
        <w:t xml:space="preserve"> </w:t>
      </w:r>
      <w:r w:rsidRPr="005E06CE">
        <w:t>for further details.</w:t>
      </w:r>
    </w:p>
  </w:footnote>
  <w:footnote w:id="95">
    <w:p w14:paraId="6B6D9109" w14:textId="77777777" w:rsidR="00730553" w:rsidRDefault="00730553" w:rsidP="002A2FAE">
      <w:pPr>
        <w:pStyle w:val="FootnoteText"/>
      </w:pPr>
      <w:r>
        <w:rPr>
          <w:rStyle w:val="FootnoteReference"/>
        </w:rPr>
        <w:footnoteRef/>
      </w:r>
      <w:r>
        <w:t xml:space="preserve"> A</w:t>
      </w:r>
      <w:r w:rsidRPr="00EC4F9E">
        <w:t>nalysis of ABS Survey of Income and Housing Confidentialised Unit Record File, 2017</w:t>
      </w:r>
      <w:r>
        <w:noBreakHyphen/>
      </w:r>
      <w:r w:rsidRPr="00EC4F9E">
        <w:t>18</w:t>
      </w:r>
      <w:r>
        <w:t>.</w:t>
      </w:r>
    </w:p>
  </w:footnote>
  <w:footnote w:id="96">
    <w:p w14:paraId="6561FE3A" w14:textId="77777777" w:rsidR="00730553" w:rsidRDefault="00730553" w:rsidP="002A2FAE">
      <w:pPr>
        <w:pStyle w:val="FootnoteText"/>
      </w:pPr>
      <w:r>
        <w:rPr>
          <w:rStyle w:val="FootnoteReference"/>
        </w:rPr>
        <w:footnoteRef/>
      </w:r>
      <w:r>
        <w:t xml:space="preserve"> A</w:t>
      </w:r>
      <w:r w:rsidRPr="00EC4F9E">
        <w:t>nalysis of ABS Survey of Income and Housing Confidentialised Unit Record File, 2017</w:t>
      </w:r>
      <w:r>
        <w:noBreakHyphen/>
      </w:r>
      <w:r w:rsidRPr="00EC4F9E">
        <w:t>18</w:t>
      </w:r>
      <w:r>
        <w:t>. These estimates assume current Commonwealth Rent Assistance recipients receiving the maximum payment — around 92 per cent — receive the full additional payment.</w:t>
      </w:r>
    </w:p>
  </w:footnote>
  <w:footnote w:id="97">
    <w:p w14:paraId="7B62EFED" w14:textId="77777777" w:rsidR="00730553" w:rsidRDefault="00730553" w:rsidP="002A2FAE">
      <w:pPr>
        <w:pStyle w:val="FootnoteText"/>
      </w:pPr>
      <w:r>
        <w:rPr>
          <w:rStyle w:val="FootnoteReference"/>
        </w:rPr>
        <w:footnoteRef/>
      </w:r>
      <w:r>
        <w:t xml:space="preserve"> </w:t>
      </w:r>
      <w:r w:rsidRPr="00EF06AA">
        <w:rPr>
          <w:sz w:val="18"/>
          <w:szCs w:val="18"/>
        </w:rPr>
        <w:t>Analysis of ABS Household Expenditure Survey Confidenti</w:t>
      </w:r>
      <w:r>
        <w:rPr>
          <w:sz w:val="18"/>
          <w:szCs w:val="18"/>
        </w:rPr>
        <w:t>alised Unit Record File, 2015</w:t>
      </w:r>
      <w:r>
        <w:rPr>
          <w:sz w:val="18"/>
          <w:szCs w:val="18"/>
        </w:rPr>
        <w:noBreakHyphen/>
        <w:t>16</w:t>
      </w:r>
      <w:r w:rsidRPr="00EF06AA">
        <w:rPr>
          <w:sz w:val="18"/>
          <w:szCs w:val="18"/>
        </w:rPr>
        <w:t>.</w:t>
      </w:r>
    </w:p>
  </w:footnote>
  <w:footnote w:id="98">
    <w:p w14:paraId="1D9B56C7" w14:textId="77777777" w:rsidR="00730553" w:rsidRDefault="00730553">
      <w:pPr>
        <w:pStyle w:val="FootnoteText"/>
      </w:pPr>
      <w:r>
        <w:rPr>
          <w:rStyle w:val="FootnoteReference"/>
        </w:rPr>
        <w:footnoteRef/>
      </w:r>
      <w:r>
        <w:t xml:space="preserve"> Cameo modelling undertaken for the review using ASFA assumptions from </w:t>
      </w:r>
      <w:sdt>
        <w:sdtPr>
          <w:id w:val="-2038119787"/>
          <w:citation/>
        </w:sdtPr>
        <w:sdtEndPr/>
        <w:sdtContent>
          <w:r>
            <w:fldChar w:fldCharType="begin"/>
          </w:r>
          <w:r>
            <w:instrText xml:space="preserve"> CITATION ASF20Sub \l 3081 </w:instrText>
          </w:r>
          <w:r>
            <w:fldChar w:fldCharType="separate"/>
          </w:r>
          <w:r>
            <w:rPr>
              <w:noProof/>
            </w:rPr>
            <w:t>(ASFA, 2020a)</w:t>
          </w:r>
          <w:r>
            <w:fldChar w:fldCharType="end"/>
          </w:r>
        </w:sdtContent>
      </w:sdt>
      <w:r>
        <w:t>.</w:t>
      </w:r>
    </w:p>
  </w:footnote>
  <w:footnote w:id="99">
    <w:p w14:paraId="6B5CD78C" w14:textId="77777777" w:rsidR="00730553" w:rsidRDefault="00730553">
      <w:pPr>
        <w:pStyle w:val="FootnoteText"/>
      </w:pPr>
      <w:r>
        <w:rPr>
          <w:rStyle w:val="FootnoteReference"/>
        </w:rPr>
        <w:footnoteRef/>
      </w:r>
      <w:r>
        <w:t xml:space="preserve"> Assumes the current rate of SG rises by 0.5 per cent per year and otherwise uses review assumptions.</w:t>
      </w:r>
    </w:p>
  </w:footnote>
  <w:footnote w:id="100">
    <w:p w14:paraId="63C60C18" w14:textId="77777777" w:rsidR="00730553" w:rsidRDefault="00730553">
      <w:pPr>
        <w:pStyle w:val="FootnoteText"/>
      </w:pPr>
      <w:r>
        <w:rPr>
          <w:rStyle w:val="FootnoteReference"/>
        </w:rPr>
        <w:footnoteRef/>
      </w:r>
      <w:r>
        <w:t xml:space="preserve"> This is based on HILDA General Release 18: average years in the workforce for men aged over 65.</w:t>
      </w:r>
    </w:p>
  </w:footnote>
  <w:footnote w:id="101">
    <w:p w14:paraId="3FCAE6D6" w14:textId="77777777" w:rsidR="00730553" w:rsidRDefault="00730553">
      <w:pPr>
        <w:pStyle w:val="FootnoteText"/>
      </w:pPr>
      <w:r>
        <w:rPr>
          <w:rStyle w:val="FootnoteReference"/>
        </w:rPr>
        <w:footnoteRef/>
      </w:r>
      <w:r>
        <w:t xml:space="preserve"> </w:t>
      </w:r>
      <w:r w:rsidRPr="00297D80">
        <w:rPr>
          <w:color w:val="000000"/>
          <w:szCs w:val="27"/>
        </w:rPr>
        <w:t>Adjusted by the review</w:t>
      </w:r>
      <w:r>
        <w:rPr>
          <w:color w:val="000000"/>
          <w:szCs w:val="27"/>
        </w:rPr>
        <w:t>’</w:t>
      </w:r>
      <w:r w:rsidRPr="00297D80">
        <w:rPr>
          <w:color w:val="000000"/>
          <w:szCs w:val="27"/>
        </w:rPr>
        <w:t>s deflator to 2019 dollars, lower</w:t>
      </w:r>
      <w:r>
        <w:rPr>
          <w:color w:val="000000"/>
          <w:szCs w:val="27"/>
        </w:rPr>
        <w:noBreakHyphen/>
      </w:r>
      <w:r w:rsidRPr="00297D80">
        <w:rPr>
          <w:color w:val="000000"/>
          <w:szCs w:val="27"/>
        </w:rPr>
        <w:t>income earners have average annual earnings over their working life of up to $48,000, while higher</w:t>
      </w:r>
      <w:r>
        <w:rPr>
          <w:color w:val="000000"/>
          <w:szCs w:val="27"/>
        </w:rPr>
        <w:noBreakHyphen/>
      </w:r>
      <w:r w:rsidRPr="00297D80">
        <w:rPr>
          <w:color w:val="000000"/>
          <w:szCs w:val="27"/>
        </w:rPr>
        <w:t>income earners have average annual earnings of $112,900 and above.</w:t>
      </w:r>
    </w:p>
  </w:footnote>
  <w:footnote w:id="102">
    <w:p w14:paraId="66066BB8" w14:textId="77777777" w:rsidR="00730553" w:rsidRDefault="00730553" w:rsidP="002A2FAE">
      <w:pPr>
        <w:pStyle w:val="FootnoteText"/>
      </w:pPr>
      <w:r>
        <w:rPr>
          <w:rStyle w:val="FootnoteReference"/>
        </w:rPr>
        <w:footnoteRef/>
      </w:r>
      <w:r>
        <w:t xml:space="preserve"> Less than half of retirees in the bottom three wealth deciles own a home </w:t>
      </w:r>
      <w:sdt>
        <w:sdtPr>
          <w:id w:val="1704976417"/>
          <w:citation/>
        </w:sdtPr>
        <w:sdtEndPr/>
        <w:sdtContent>
          <w:r>
            <w:fldChar w:fldCharType="begin"/>
          </w:r>
          <w:r>
            <w:instrText xml:space="preserve">CITATION ABS196 \l 3081 </w:instrText>
          </w:r>
          <w:r>
            <w:fldChar w:fldCharType="separate"/>
          </w:r>
          <w:r>
            <w:rPr>
              <w:noProof/>
            </w:rPr>
            <w:t>(ABS, 2019s)</w:t>
          </w:r>
          <w:r>
            <w:fldChar w:fldCharType="end"/>
          </w:r>
        </w:sdtContent>
      </w:sdt>
      <w:r>
        <w:t>.</w:t>
      </w:r>
    </w:p>
  </w:footnote>
  <w:footnote w:id="103">
    <w:p w14:paraId="1F5F52BA" w14:textId="77777777" w:rsidR="00730553" w:rsidRDefault="00730553">
      <w:pPr>
        <w:pStyle w:val="FootnoteText"/>
      </w:pPr>
      <w:r>
        <w:rPr>
          <w:rStyle w:val="FootnoteReference"/>
        </w:rPr>
        <w:footnoteRef/>
      </w:r>
      <w:r>
        <w:t xml:space="preserve"> Treasury estimates for the review using MARIA and analysis of Rice Warner estimates for the review.</w:t>
      </w:r>
    </w:p>
  </w:footnote>
  <w:footnote w:id="104">
    <w:p w14:paraId="26F57E17" w14:textId="77777777" w:rsidR="00730553" w:rsidRDefault="00730553">
      <w:pPr>
        <w:pStyle w:val="FootnoteText"/>
      </w:pPr>
      <w:r>
        <w:rPr>
          <w:rStyle w:val="FootnoteReference"/>
        </w:rPr>
        <w:footnoteRef/>
      </w:r>
      <w:r>
        <w:t xml:space="preserve"> Examples of using this approach include </w:t>
      </w:r>
      <w:sdt>
        <w:sdtPr>
          <w:id w:val="1001385155"/>
          <w:citation/>
        </w:sdtPr>
        <w:sdtEndPr/>
        <w:sdtContent>
          <w:r>
            <w:fldChar w:fldCharType="begin"/>
          </w:r>
          <w:r>
            <w:instrText xml:space="preserve"> CITATION OEC19d \l 3081 </w:instrText>
          </w:r>
          <w:r>
            <w:fldChar w:fldCharType="separate"/>
          </w:r>
          <w:r>
            <w:rPr>
              <w:noProof/>
            </w:rPr>
            <w:t>(OECD, 2019b)</w:t>
          </w:r>
          <w:r>
            <w:fldChar w:fldCharType="end"/>
          </w:r>
        </w:sdtContent>
      </w:sdt>
      <w:r>
        <w:t xml:space="preserve">, </w:t>
      </w:r>
      <w:sdt>
        <w:sdtPr>
          <w:id w:val="-1145350461"/>
          <w:citation/>
        </w:sdtPr>
        <w:sdtEndPr/>
        <w:sdtContent>
          <w:r>
            <w:fldChar w:fldCharType="begin"/>
          </w:r>
          <w:r>
            <w:instrText xml:space="preserve"> CITATION Ric19 \l 3081 </w:instrText>
          </w:r>
          <w:r>
            <w:fldChar w:fldCharType="separate"/>
          </w:r>
          <w:r>
            <w:rPr>
              <w:noProof/>
            </w:rPr>
            <w:t>(Rice Warner, 2019d)</w:t>
          </w:r>
          <w:r>
            <w:fldChar w:fldCharType="end"/>
          </w:r>
        </w:sdtContent>
      </w:sdt>
      <w:r>
        <w:t>,</w:t>
      </w:r>
      <w:sdt>
        <w:sdtPr>
          <w:id w:val="-346093319"/>
          <w:citation/>
        </w:sdtPr>
        <w:sdtEndPr/>
        <w:sdtContent>
          <w:r>
            <w:fldChar w:fldCharType="begin"/>
          </w:r>
          <w:r>
            <w:instrText xml:space="preserve"> CITATION ASF20Sub \l 3081 </w:instrText>
          </w:r>
          <w:r>
            <w:fldChar w:fldCharType="separate"/>
          </w:r>
          <w:r>
            <w:rPr>
              <w:noProof/>
            </w:rPr>
            <w:t xml:space="preserve"> (ASFA, 2020a)</w:t>
          </w:r>
          <w:r>
            <w:fldChar w:fldCharType="end"/>
          </w:r>
        </w:sdtContent>
      </w:sdt>
      <w:r>
        <w:t>.</w:t>
      </w:r>
    </w:p>
  </w:footnote>
  <w:footnote w:id="105">
    <w:p w14:paraId="32F30E00" w14:textId="77777777" w:rsidR="00730553" w:rsidRDefault="00730553">
      <w:pPr>
        <w:pStyle w:val="FootnoteText"/>
      </w:pPr>
      <w:r>
        <w:rPr>
          <w:rStyle w:val="FootnoteReference"/>
        </w:rPr>
        <w:footnoteRef/>
      </w:r>
      <w:r>
        <w:t xml:space="preserve"> </w:t>
      </w:r>
      <w:r w:rsidRPr="00F238AC">
        <w:t xml:space="preserve">Investment Trends </w:t>
      </w:r>
      <w:r>
        <w:t xml:space="preserve">October </w:t>
      </w:r>
      <w:r w:rsidRPr="00F238AC">
        <w:t>2019 Retirement Income Report</w:t>
      </w:r>
      <w:r>
        <w:t>.</w:t>
      </w:r>
    </w:p>
  </w:footnote>
  <w:footnote w:id="106">
    <w:p w14:paraId="316CE114" w14:textId="77777777" w:rsidR="00730553" w:rsidRDefault="00730553" w:rsidP="002A2FAE">
      <w:pPr>
        <w:pStyle w:val="FootnoteText"/>
      </w:pPr>
      <w:r>
        <w:rPr>
          <w:rStyle w:val="FootnoteReference"/>
        </w:rPr>
        <w:footnoteRef/>
      </w:r>
      <w:r>
        <w:t xml:space="preserve"> People could access their superannuation as a result of the COVID</w:t>
      </w:r>
      <w:r>
        <w:noBreakHyphen/>
        <w:t>19 Pandemic if they were unemployed, receiving a specified Government income support payment, experiencing a 20 per cent reduction in working hours, or a sole trader whose business has been suspended or had turnover reduced by more than 20 per cent.</w:t>
      </w:r>
    </w:p>
  </w:footnote>
  <w:footnote w:id="107">
    <w:p w14:paraId="39039641" w14:textId="77777777" w:rsidR="00730553" w:rsidRDefault="00730553">
      <w:pPr>
        <w:pStyle w:val="FootnoteText"/>
      </w:pPr>
      <w:r>
        <w:rPr>
          <w:rStyle w:val="FootnoteReference"/>
        </w:rPr>
        <w:footnoteRef/>
      </w:r>
      <w:r>
        <w:t xml:space="preserve"> </w:t>
      </w:r>
      <w:sdt>
        <w:sdtPr>
          <w:id w:val="-799068516"/>
          <w:citation/>
        </w:sdtPr>
        <w:sdtEndPr/>
        <w:sdtContent>
          <w:r w:rsidRPr="00BA765E">
            <w:fldChar w:fldCharType="begin"/>
          </w:r>
          <w:r w:rsidRPr="00BA765E">
            <w:instrText xml:space="preserve">CITATION Ric19 \m Gra20 \p 50 \m Hen09 \p 68 \m Daw92 \m Tre02f \p 25 \l 3081 </w:instrText>
          </w:r>
          <w:r w:rsidRPr="00BA765E">
            <w:fldChar w:fldCharType="separate"/>
          </w:r>
          <w:r>
            <w:rPr>
              <w:noProof/>
            </w:rPr>
            <w:t>(Rice Warner, 2019d; Grattan Institute, 2020, p. 50; Australia’s Future Tax System Review, 2009, p. 68; Dawkins, 1992; The Treasury, 2002, p. 25)</w:t>
          </w:r>
          <w:r w:rsidRPr="00BA765E">
            <w:fldChar w:fldCharType="end"/>
          </w:r>
        </w:sdtContent>
      </w:sdt>
      <w:r w:rsidRPr="00BA765E">
        <w:rPr>
          <w:noProof/>
        </w:rPr>
        <w:t>.</w:t>
      </w:r>
    </w:p>
  </w:footnote>
  <w:footnote w:id="108">
    <w:p w14:paraId="59A81B38" w14:textId="77777777" w:rsidR="00730553" w:rsidRDefault="00730553" w:rsidP="002A2FAE">
      <w:pPr>
        <w:pStyle w:val="FootnoteText"/>
      </w:pPr>
      <w:r>
        <w:rPr>
          <w:rStyle w:val="FootnoteReference"/>
        </w:rPr>
        <w:footnoteRef/>
      </w:r>
      <w:r>
        <w:t xml:space="preserve"> Note: the impact of the scenario on superannuation drawdowns is larger than the market fall of 12.5 per cent as returns would have be positive 6.2 per cent without the fall.</w:t>
      </w:r>
    </w:p>
  </w:footnote>
  <w:footnote w:id="109">
    <w:p w14:paraId="21292ADB" w14:textId="77777777" w:rsidR="00730553" w:rsidRDefault="00730553">
      <w:pPr>
        <w:pStyle w:val="FootnoteText"/>
      </w:pPr>
      <w:r>
        <w:rPr>
          <w:rStyle w:val="FootnoteReference"/>
        </w:rPr>
        <w:footnoteRef/>
      </w:r>
      <w:r>
        <w:t xml:space="preserve"> The advised group is retirees who typically invest through the StatePlus financial planning practice. Unadvised group includes retirees in First State Super</w:t>
      </w:r>
      <w:r w:rsidDel="00E46EA6">
        <w:t xml:space="preserve"> </w:t>
      </w:r>
      <w:r>
        <w:t>who are largely self</w:t>
      </w:r>
      <w:r>
        <w:noBreakHyphen/>
        <w:t>directed and invest in the First State Super Retirement Income Stream and Transition to Retirement Income Stream products. Key member characteristics and aggregate asset allocations are otherwise broadly similar across the two groups.</w:t>
      </w:r>
    </w:p>
  </w:footnote>
  <w:footnote w:id="110">
    <w:p w14:paraId="435DE288" w14:textId="77777777" w:rsidR="00730553" w:rsidRDefault="00730553" w:rsidP="002A2FAE">
      <w:pPr>
        <w:pStyle w:val="FootnoteText"/>
      </w:pPr>
      <w:r>
        <w:rPr>
          <w:rStyle w:val="FootnoteReference"/>
        </w:rPr>
        <w:footnoteRef/>
      </w:r>
      <w:r>
        <w:t xml:space="preserve"> Further information on the Australian Government Actuary model is available at </w:t>
      </w:r>
      <w:r w:rsidRPr="001F7EC8">
        <w:t>https://treasury.gov.au/sites/default/files/2019</w:t>
      </w:r>
      <w:r>
        <w:noBreakHyphen/>
      </w:r>
      <w:r w:rsidRPr="001F7EC8">
        <w:t>03/Retirement</w:t>
      </w:r>
      <w:r>
        <w:noBreakHyphen/>
      </w:r>
      <w:r w:rsidRPr="001F7EC8">
        <w:t>Income</w:t>
      </w:r>
      <w:r>
        <w:noBreakHyphen/>
      </w:r>
      <w:r w:rsidRPr="001F7EC8">
        <w:t>Risk</w:t>
      </w:r>
      <w:r>
        <w:noBreakHyphen/>
      </w:r>
      <w:r w:rsidRPr="001F7EC8">
        <w:t>Measure</w:t>
      </w:r>
      <w:r>
        <w:noBreakHyphen/>
      </w:r>
      <w:r w:rsidRPr="001F7EC8">
        <w:t>FINAL</w:t>
      </w:r>
      <w:r>
        <w:noBreakHyphen/>
      </w:r>
      <w:r w:rsidRPr="001F7EC8">
        <w:t>Consultation</w:t>
      </w:r>
      <w:r>
        <w:noBreakHyphen/>
      </w:r>
      <w:r w:rsidRPr="001F7EC8">
        <w:t>1.pdf</w:t>
      </w:r>
      <w:r>
        <w:t>.</w:t>
      </w:r>
    </w:p>
  </w:footnote>
  <w:footnote w:id="111">
    <w:p w14:paraId="03C8667C" w14:textId="77777777" w:rsidR="00730553" w:rsidRDefault="00730553" w:rsidP="002A2FAE">
      <w:pPr>
        <w:pStyle w:val="FootnoteText"/>
      </w:pPr>
      <w:r w:rsidRPr="006A25DA">
        <w:rPr>
          <w:rStyle w:val="FootnoteReference"/>
        </w:rPr>
        <w:footnoteRef/>
      </w:r>
      <w:r w:rsidRPr="006A25DA">
        <w:t xml:space="preserve"> See also methodology used by</w:t>
      </w:r>
      <w:r>
        <w:t xml:space="preserve"> </w:t>
      </w:r>
      <w:sdt>
        <w:sdtPr>
          <w:id w:val="1354760115"/>
          <w:citation/>
        </w:sdtPr>
        <w:sdtEndPr/>
        <w:sdtContent>
          <w:r>
            <w:fldChar w:fldCharType="begin"/>
          </w:r>
          <w:r>
            <w:instrText xml:space="preserve"> CITATION Gru11 \l 3081 </w:instrText>
          </w:r>
          <w:r>
            <w:fldChar w:fldCharType="separate"/>
          </w:r>
          <w:r>
            <w:rPr>
              <w:noProof/>
            </w:rPr>
            <w:t>(Gruen &amp; Soding, 2011)</w:t>
          </w:r>
          <w:r>
            <w:fldChar w:fldCharType="end"/>
          </w:r>
        </w:sdtContent>
      </w:sdt>
      <w:r w:rsidRPr="006A25DA">
        <w:t xml:space="preserve"> in</w:t>
      </w:r>
      <w:r>
        <w:t xml:space="preserve"> estimating the effect of SG on private savings.</w:t>
      </w:r>
    </w:p>
  </w:footnote>
  <w:footnote w:id="112">
    <w:p w14:paraId="3A1045D0" w14:textId="77777777" w:rsidR="00730553" w:rsidRDefault="00730553" w:rsidP="002A2FAE">
      <w:pPr>
        <w:pStyle w:val="FootnoteText"/>
      </w:pPr>
      <w:r>
        <w:rPr>
          <w:rStyle w:val="FootnoteReference"/>
        </w:rPr>
        <w:footnoteRef/>
      </w:r>
      <w:r>
        <w:t xml:space="preserve"> Includes the value of payments from a deferred group self</w:t>
      </w:r>
      <w:r>
        <w:noBreakHyphen/>
        <w:t>annuity product from age 92 to death at 102. The lower superannuation balance and drawdowns are similar as the earnings on superannuation are similar to the discount rate when combining the mortality discount and the discount rate.</w:t>
      </w:r>
    </w:p>
  </w:footnote>
  <w:footnote w:id="113">
    <w:p w14:paraId="1D532132" w14:textId="77777777" w:rsidR="00730553" w:rsidRDefault="00730553" w:rsidP="002A2FAE">
      <w:pPr>
        <w:pStyle w:val="FootnoteText"/>
      </w:pPr>
      <w:r>
        <w:rPr>
          <w:rStyle w:val="FootnoteReference"/>
        </w:rPr>
        <w:footnoteRef/>
      </w:r>
      <w:r>
        <w:t xml:space="preserve"> People are assumed to save 30 per cent of the forgone SG payments in total. The 30 per cent is the total impact from extra savings in salary sacrifice contributions, non</w:t>
      </w:r>
      <w:r>
        <w:noBreakHyphen/>
        <w:t>concessional contributions and savings outside superannuation.</w:t>
      </w:r>
    </w:p>
  </w:footnote>
  <w:footnote w:id="114">
    <w:p w14:paraId="192D2C78" w14:textId="77777777" w:rsidR="00730553" w:rsidRDefault="00730553" w:rsidP="002A2FAE">
      <w:pPr>
        <w:pStyle w:val="FootnoteText"/>
      </w:pPr>
      <w:r>
        <w:rPr>
          <w:rStyle w:val="FootnoteReference"/>
        </w:rPr>
        <w:footnoteRef/>
      </w:r>
      <w:r>
        <w:t xml:space="preserve"> Analysis of ABS Survey of Income and Housing </w:t>
      </w:r>
      <w:r w:rsidRPr="00520D2E">
        <w:t>Confidentialised Unit Record File</w:t>
      </w:r>
      <w:r>
        <w:t>, 2017</w:t>
      </w:r>
      <w:r>
        <w:noBreakHyphen/>
        <w:t>18.</w:t>
      </w:r>
    </w:p>
  </w:footnote>
  <w:footnote w:id="115">
    <w:p w14:paraId="750FBEFF" w14:textId="77777777" w:rsidR="00730553" w:rsidRDefault="00730553" w:rsidP="00B3792F">
      <w:pPr>
        <w:pStyle w:val="FootnoteText"/>
      </w:pPr>
      <w:r>
        <w:rPr>
          <w:rStyle w:val="FootnoteReference"/>
        </w:rPr>
        <w:footnoteRef/>
      </w:r>
      <w:r>
        <w:t xml:space="preserve"> For the 2019</w:t>
      </w:r>
      <w:r>
        <w:noBreakHyphen/>
        <w:t>20 financial year.</w:t>
      </w:r>
    </w:p>
  </w:footnote>
  <w:footnote w:id="116">
    <w:p w14:paraId="781F40CF" w14:textId="77777777" w:rsidR="00730553" w:rsidRDefault="00730553" w:rsidP="0051357A">
      <w:pPr>
        <w:pStyle w:val="FootnoteText"/>
      </w:pPr>
      <w:r>
        <w:rPr>
          <w:rStyle w:val="FootnoteReference"/>
        </w:rPr>
        <w:footnoteRef/>
      </w:r>
      <w:r>
        <w:t xml:space="preserve"> Lowe</w:t>
      </w:r>
      <w:r w:rsidRPr="00D302CD">
        <w:t>r</w:t>
      </w:r>
      <w:r>
        <w:noBreakHyphen/>
      </w:r>
      <w:r w:rsidRPr="00D302CD">
        <w:t>income earners are defined as those in the bottom 30</w:t>
      </w:r>
      <w:r>
        <w:t> per cent</w:t>
      </w:r>
      <w:r w:rsidRPr="00D302CD">
        <w:t xml:space="preserve"> of all earners, higher</w:t>
      </w:r>
      <w:r>
        <w:noBreakHyphen/>
      </w:r>
      <w:r w:rsidRPr="00D302CD">
        <w:t>income earners in the top 20</w:t>
      </w:r>
      <w:r>
        <w:t> per cent</w:t>
      </w:r>
      <w:r w:rsidRPr="00D302CD">
        <w:t xml:space="preserve"> and middle</w:t>
      </w:r>
      <w:r>
        <w:noBreakHyphen/>
      </w:r>
      <w:r w:rsidRPr="00D302CD">
        <w:t>income earners are those in between. Adjusted by the review’s deflator to 2019 dollars, lower</w:t>
      </w:r>
      <w:r>
        <w:noBreakHyphen/>
      </w:r>
      <w:r w:rsidRPr="00D302CD">
        <w:t>income earners have average annual earnings over their working life of up to $48,000, while higher</w:t>
      </w:r>
      <w:r>
        <w:noBreakHyphen/>
      </w:r>
      <w:r w:rsidRPr="00D302CD">
        <w:t xml:space="preserve">income </w:t>
      </w:r>
      <w:r>
        <w:t>earners have average annual earnings of $112,900 and above.</w:t>
      </w:r>
    </w:p>
  </w:footnote>
  <w:footnote w:id="117">
    <w:p w14:paraId="62062EEC" w14:textId="77777777" w:rsidR="00730553" w:rsidRDefault="00730553" w:rsidP="00B3792F">
      <w:pPr>
        <w:pStyle w:val="FootnoteText"/>
      </w:pPr>
      <w:r>
        <w:rPr>
          <w:rStyle w:val="FootnoteReference"/>
        </w:rPr>
        <w:footnoteRef/>
      </w:r>
      <w:r>
        <w:t xml:space="preserve"> </w:t>
      </w:r>
      <w:r w:rsidRPr="00822142">
        <w:t>Analys</w:t>
      </w:r>
      <w:r w:rsidRPr="00E210B2">
        <w:t>is of ATO individual income tax returns and member contributions statements, 2017</w:t>
      </w:r>
      <w:r>
        <w:noBreakHyphen/>
      </w:r>
      <w:r w:rsidRPr="00E210B2">
        <w:t>18.</w:t>
      </w:r>
    </w:p>
  </w:footnote>
  <w:footnote w:id="118">
    <w:p w14:paraId="2242F8F7" w14:textId="77777777" w:rsidR="00730553" w:rsidRDefault="00730553" w:rsidP="00B3792F">
      <w:pPr>
        <w:pStyle w:val="FootnoteText"/>
      </w:pPr>
      <w:r>
        <w:rPr>
          <w:rStyle w:val="FootnoteReference"/>
        </w:rPr>
        <w:footnoteRef/>
      </w:r>
      <w:r>
        <w:t xml:space="preserve"> </w:t>
      </w:r>
      <w:r w:rsidRPr="00822142">
        <w:t xml:space="preserve">Analysis </w:t>
      </w:r>
      <w:r w:rsidRPr="00E210B2">
        <w:t>of ATO individual income tax returns and member contributions statements, 2017</w:t>
      </w:r>
      <w:r>
        <w:noBreakHyphen/>
      </w:r>
      <w:r w:rsidRPr="00E210B2">
        <w:t>18.</w:t>
      </w:r>
    </w:p>
  </w:footnote>
  <w:footnote w:id="119">
    <w:p w14:paraId="7E55DE6A" w14:textId="77777777" w:rsidR="00730553" w:rsidRDefault="00730553" w:rsidP="00CA7598">
      <w:pPr>
        <w:pStyle w:val="FootnoteText"/>
      </w:pPr>
      <w:r>
        <w:rPr>
          <w:rStyle w:val="FootnoteReference"/>
        </w:rPr>
        <w:footnoteRef/>
      </w:r>
      <w:r>
        <w:t xml:space="preserve"> </w:t>
      </w:r>
      <w:r w:rsidRPr="0032003B">
        <w:t xml:space="preserve">Analysis </w:t>
      </w:r>
      <w:r w:rsidRPr="005D3147">
        <w:t>of ATO individual income tax returns and member contributions statements, 2</w:t>
      </w:r>
      <w:r>
        <w:t> per cent</w:t>
      </w:r>
      <w:r w:rsidRPr="005D3147">
        <w:t xml:space="preserve"> sample, 2016</w:t>
      </w:r>
      <w:r>
        <w:noBreakHyphen/>
      </w:r>
      <w:r w:rsidRPr="005D3147">
        <w:t>17 and 2017</w:t>
      </w:r>
      <w:r>
        <w:noBreakHyphen/>
      </w:r>
      <w:r w:rsidRPr="005D3147">
        <w:t>18.</w:t>
      </w:r>
    </w:p>
  </w:footnote>
  <w:footnote w:id="120">
    <w:p w14:paraId="3F427BAC" w14:textId="77777777" w:rsidR="00730553" w:rsidRPr="005D3147" w:rsidRDefault="00730553" w:rsidP="00CA7598">
      <w:pPr>
        <w:pStyle w:val="FootnoteText"/>
      </w:pPr>
      <w:r>
        <w:rPr>
          <w:rStyle w:val="FootnoteReference"/>
        </w:rPr>
        <w:footnoteRef/>
      </w:r>
      <w:r>
        <w:t xml:space="preserve"> </w:t>
      </w:r>
      <w:r w:rsidRPr="00822142">
        <w:t xml:space="preserve">Analysis of </w:t>
      </w:r>
      <w:r w:rsidRPr="005D3147">
        <w:t>ATO individual income tax returns and member contributions statements, 2017</w:t>
      </w:r>
      <w:r>
        <w:noBreakHyphen/>
      </w:r>
      <w:r w:rsidRPr="005D3147">
        <w:t>18.</w:t>
      </w:r>
    </w:p>
  </w:footnote>
  <w:footnote w:id="121">
    <w:p w14:paraId="748F565D" w14:textId="77777777" w:rsidR="00730553" w:rsidRDefault="00730553" w:rsidP="00CA7598">
      <w:pPr>
        <w:pStyle w:val="FootnoteText"/>
      </w:pPr>
      <w:r w:rsidRPr="005D3147">
        <w:rPr>
          <w:rStyle w:val="FootnoteReference"/>
        </w:rPr>
        <w:footnoteRef/>
      </w:r>
      <w:r w:rsidRPr="005D3147">
        <w:t xml:space="preserve"> Analysis of ATO individual income tax returns and member contributions statements, 2017</w:t>
      </w:r>
      <w:r>
        <w:noBreakHyphen/>
      </w:r>
      <w:r w:rsidRPr="005D3147">
        <w:t>18.</w:t>
      </w:r>
    </w:p>
  </w:footnote>
  <w:footnote w:id="122">
    <w:p w14:paraId="39F128AB" w14:textId="77777777" w:rsidR="00730553" w:rsidRDefault="00730553" w:rsidP="00CA7598">
      <w:pPr>
        <w:pStyle w:val="FootnoteText"/>
      </w:pPr>
      <w:r>
        <w:rPr>
          <w:rStyle w:val="FootnoteReference"/>
        </w:rPr>
        <w:footnoteRef/>
      </w:r>
      <w:r>
        <w:t xml:space="preserve"> </w:t>
      </w:r>
      <w:r w:rsidRPr="00F20FB2">
        <w:t>Cameo modelling undertaken for the review</w:t>
      </w:r>
      <w:r w:rsidRPr="00B210E6">
        <w:t>.</w:t>
      </w:r>
    </w:p>
  </w:footnote>
  <w:footnote w:id="123">
    <w:p w14:paraId="73B1FDC3" w14:textId="77777777" w:rsidR="00730553" w:rsidRDefault="00730553">
      <w:pPr>
        <w:pStyle w:val="FootnoteText"/>
      </w:pPr>
      <w:r>
        <w:rPr>
          <w:rStyle w:val="FootnoteReference"/>
        </w:rPr>
        <w:footnoteRef/>
      </w:r>
      <w:r>
        <w:t xml:space="preserve"> </w:t>
      </w:r>
      <w:r w:rsidRPr="009F1507">
        <w:t>In 2017</w:t>
      </w:r>
      <w:r>
        <w:noBreakHyphen/>
      </w:r>
      <w:r w:rsidRPr="009F1507">
        <w:t>18, people making concessional contributions of $22,500 or more had taxable incomes in the top 3 per cent of contributors.</w:t>
      </w:r>
    </w:p>
  </w:footnote>
  <w:footnote w:id="124">
    <w:p w14:paraId="0E611349" w14:textId="77777777" w:rsidR="00730553" w:rsidRDefault="00730553" w:rsidP="00B3792F">
      <w:pPr>
        <w:pStyle w:val="FootnoteText"/>
      </w:pPr>
      <w:r>
        <w:rPr>
          <w:rStyle w:val="FootnoteReference"/>
        </w:rPr>
        <w:footnoteRef/>
      </w:r>
      <w:r>
        <w:t xml:space="preserve"> </w:t>
      </w:r>
      <w:r w:rsidRPr="00B210E6">
        <w:t>Analysis using data provided by the ATO for the review.</w:t>
      </w:r>
    </w:p>
  </w:footnote>
  <w:footnote w:id="125">
    <w:p w14:paraId="3D2D8B4C" w14:textId="77777777" w:rsidR="00730553" w:rsidRDefault="00730553" w:rsidP="00B3792F">
      <w:pPr>
        <w:pStyle w:val="FootnoteText"/>
      </w:pPr>
      <w:r>
        <w:rPr>
          <w:rStyle w:val="FootnoteReference"/>
        </w:rPr>
        <w:footnoteRef/>
      </w:r>
      <w:r>
        <w:t xml:space="preserve"> </w:t>
      </w:r>
      <w:r w:rsidRPr="00BB1EC7">
        <w:t>Analysis of ATO individual income tax returns and member contributions statements, 2</w:t>
      </w:r>
      <w:r>
        <w:t> per cent</w:t>
      </w:r>
      <w:r w:rsidRPr="00BB1EC7">
        <w:t xml:space="preserve"> sample, 2017</w:t>
      </w:r>
      <w:r>
        <w:noBreakHyphen/>
      </w:r>
      <w:r w:rsidRPr="00BB1EC7">
        <w:t>18.</w:t>
      </w:r>
    </w:p>
  </w:footnote>
  <w:footnote w:id="126">
    <w:p w14:paraId="1745A9CB" w14:textId="77777777" w:rsidR="00730553" w:rsidRPr="00723A57" w:rsidRDefault="00730553" w:rsidP="00B3792F">
      <w:pPr>
        <w:pStyle w:val="FootnoteText"/>
      </w:pPr>
      <w:r>
        <w:rPr>
          <w:rStyle w:val="FootnoteReference"/>
        </w:rPr>
        <w:footnoteRef/>
      </w:r>
      <w:r>
        <w:t xml:space="preserve"> Assumes all </w:t>
      </w:r>
      <w:r w:rsidRPr="00723A57">
        <w:t xml:space="preserve">superannuation assets are held in the accumulation phase, the assets would be taxed at the person’s marginal tax rate including the Medicare Levy if they were not held in superannuation and there are no unrealised capital gains. Analysis using </w:t>
      </w:r>
      <w:sdt>
        <w:sdtPr>
          <w:id w:val="-282579301"/>
          <w:citation/>
        </w:sdtPr>
        <w:sdtEndPr/>
        <w:sdtContent>
          <w:r w:rsidRPr="00723A57">
            <w:fldChar w:fldCharType="begin"/>
          </w:r>
          <w:r w:rsidRPr="00723A57">
            <w:instrText xml:space="preserve"> CITATION ATO19 \l 3081 </w:instrText>
          </w:r>
          <w:r w:rsidRPr="00723A57">
            <w:fldChar w:fldCharType="separate"/>
          </w:r>
          <w:r>
            <w:rPr>
              <w:noProof/>
            </w:rPr>
            <w:t>(ATO, 2019a)</w:t>
          </w:r>
          <w:r w:rsidRPr="00723A57">
            <w:fldChar w:fldCharType="end"/>
          </w:r>
        </w:sdtContent>
      </w:sdt>
      <w:r w:rsidRPr="00723A57">
        <w:t>.</w:t>
      </w:r>
    </w:p>
  </w:footnote>
  <w:footnote w:id="127">
    <w:p w14:paraId="668F99A6" w14:textId="77777777" w:rsidR="00730553" w:rsidRPr="00723A57" w:rsidRDefault="00730553" w:rsidP="00B3792F">
      <w:pPr>
        <w:pStyle w:val="FootnoteText"/>
      </w:pPr>
      <w:r w:rsidRPr="00723A57">
        <w:rPr>
          <w:rStyle w:val="FootnoteReference"/>
        </w:rPr>
        <w:footnoteRef/>
      </w:r>
      <w:r w:rsidRPr="00723A57">
        <w:t xml:space="preserve"> Analysis using data provided by the ATO for the review.</w:t>
      </w:r>
    </w:p>
  </w:footnote>
  <w:footnote w:id="128">
    <w:p w14:paraId="2E066B65" w14:textId="77777777" w:rsidR="00730553" w:rsidRPr="00723A57" w:rsidRDefault="00730553" w:rsidP="00B3792F">
      <w:pPr>
        <w:pStyle w:val="FootnoteText"/>
      </w:pPr>
      <w:r w:rsidRPr="00723A57">
        <w:rPr>
          <w:rStyle w:val="FootnoteReference"/>
        </w:rPr>
        <w:footnoteRef/>
      </w:r>
      <w:r w:rsidRPr="00723A57">
        <w:t xml:space="preserve"> Analysis using data provided by the ATO for the review.</w:t>
      </w:r>
    </w:p>
  </w:footnote>
  <w:footnote w:id="129">
    <w:p w14:paraId="4752BF5B" w14:textId="77777777" w:rsidR="00730553" w:rsidRDefault="00730553" w:rsidP="00B3792F">
      <w:pPr>
        <w:pStyle w:val="FootnoteText"/>
      </w:pPr>
      <w:r w:rsidRPr="00723A57">
        <w:rPr>
          <w:rStyle w:val="FootnoteReference"/>
        </w:rPr>
        <w:footnoteRef/>
      </w:r>
      <w:r w:rsidRPr="00723A57">
        <w:t xml:space="preserve"> Analysis using </w:t>
      </w:r>
      <w:sdt>
        <w:sdtPr>
          <w:id w:val="1041717424"/>
          <w:citation/>
        </w:sdtPr>
        <w:sdtEndPr/>
        <w:sdtContent>
          <w:r w:rsidRPr="00723A57">
            <w:fldChar w:fldCharType="begin"/>
          </w:r>
          <w:r w:rsidRPr="00723A57">
            <w:instrText xml:space="preserve"> CITATION AGA19 \l 3081 </w:instrText>
          </w:r>
          <w:r w:rsidRPr="00723A57">
            <w:fldChar w:fldCharType="separate"/>
          </w:r>
          <w:r>
            <w:rPr>
              <w:noProof/>
            </w:rPr>
            <w:t>(Australian Government Actuary, 2019)</w:t>
          </w:r>
          <w:r w:rsidRPr="00723A57">
            <w:fldChar w:fldCharType="end"/>
          </w:r>
        </w:sdtContent>
      </w:sdt>
      <w:r w:rsidRPr="00723A57">
        <w:t>, which highlights the average</w:t>
      </w:r>
      <w:r>
        <w:t xml:space="preserve"> life expectancy of both men and women under age 65 is greater than 20 years.</w:t>
      </w:r>
    </w:p>
  </w:footnote>
  <w:footnote w:id="130">
    <w:p w14:paraId="4C83F2B4" w14:textId="77777777" w:rsidR="00730553" w:rsidRDefault="00730553" w:rsidP="00B3792F">
      <w:pPr>
        <w:pStyle w:val="FootnoteText"/>
      </w:pPr>
      <w:r>
        <w:rPr>
          <w:rStyle w:val="FootnoteReference"/>
        </w:rPr>
        <w:footnoteRef/>
      </w:r>
      <w:r>
        <w:t xml:space="preserve"> </w:t>
      </w:r>
      <w:r w:rsidRPr="003D39FA">
        <w:t>Cameo modelling undertaken for the review</w:t>
      </w:r>
      <w:r>
        <w:t>.</w:t>
      </w:r>
    </w:p>
  </w:footnote>
  <w:footnote w:id="131">
    <w:p w14:paraId="7D02CBC3" w14:textId="77777777" w:rsidR="00730553" w:rsidRPr="001D656C" w:rsidRDefault="00730553" w:rsidP="00B3792F">
      <w:pPr>
        <w:pStyle w:val="FootnoteText"/>
      </w:pPr>
      <w:r w:rsidRPr="001D656C">
        <w:rPr>
          <w:rStyle w:val="FootnoteReference"/>
        </w:rPr>
        <w:footnoteRef/>
      </w:r>
      <w:r w:rsidRPr="001D656C">
        <w:t xml:space="preserve"> </w:t>
      </w:r>
      <w:r w:rsidRPr="003D39FA">
        <w:t>Analysis using</w:t>
      </w:r>
      <w:sdt>
        <w:sdtPr>
          <w:id w:val="-133182509"/>
          <w:citation/>
        </w:sdtPr>
        <w:sdtEndPr/>
        <w:sdtContent>
          <w:r w:rsidRPr="003D39FA">
            <w:fldChar w:fldCharType="begin"/>
          </w:r>
          <w:r w:rsidRPr="003D39FA">
            <w:instrText>CITATION ABS197 \l 3081  \m Ser19</w:instrText>
          </w:r>
          <w:r w:rsidRPr="003D39FA">
            <w:fldChar w:fldCharType="separate"/>
          </w:r>
          <w:r>
            <w:rPr>
              <w:noProof/>
            </w:rPr>
            <w:t xml:space="preserve"> (ABS, 2019b; Department of Social Services, 2020a)</w:t>
          </w:r>
          <w:r w:rsidRPr="003D39FA">
            <w:fldChar w:fldCharType="end"/>
          </w:r>
        </w:sdtContent>
      </w:sdt>
      <w:r w:rsidRPr="003D39FA">
        <w:t>.</w:t>
      </w:r>
    </w:p>
  </w:footnote>
  <w:footnote w:id="132">
    <w:p w14:paraId="6F4FF903" w14:textId="77777777" w:rsidR="00730553" w:rsidRDefault="00730553" w:rsidP="00B3792F">
      <w:pPr>
        <w:pStyle w:val="FootnoteText"/>
      </w:pPr>
      <w:r>
        <w:rPr>
          <w:rStyle w:val="FootnoteReference"/>
        </w:rPr>
        <w:footnoteRef/>
      </w:r>
      <w:r>
        <w:t xml:space="preserve"> </w:t>
      </w:r>
      <w:r w:rsidRPr="006511BB">
        <w:t>Cameo modelling undertaken for the review</w:t>
      </w:r>
      <w:r>
        <w:t>.</w:t>
      </w:r>
    </w:p>
  </w:footnote>
  <w:footnote w:id="133">
    <w:p w14:paraId="6A10EDFC" w14:textId="77777777" w:rsidR="00730553" w:rsidRPr="00CA7598" w:rsidRDefault="00730553" w:rsidP="00F40725">
      <w:pPr>
        <w:pStyle w:val="FootnoteText"/>
      </w:pPr>
      <w:r>
        <w:rPr>
          <w:rStyle w:val="FootnoteReference"/>
        </w:rPr>
        <w:footnoteRef/>
      </w:r>
      <w:r>
        <w:t xml:space="preserve"> Imputed rent is the amount that a home owner </w:t>
      </w:r>
      <w:r w:rsidRPr="00CA7598">
        <w:t>saves by not having to pay rent for accommodation (see</w:t>
      </w:r>
      <w:r w:rsidRPr="00CA7598">
        <w:rPr>
          <w:i/>
        </w:rPr>
        <w:t xml:space="preserve"> 2A. Achieving a minimum standard of living in retirement</w:t>
      </w:r>
      <w:r w:rsidRPr="00CA7598">
        <w:t>). It is calculated using ABS methodology, which is explained here: &lt;</w:t>
      </w:r>
      <w:r w:rsidRPr="00CA7598">
        <w:rPr>
          <w:rStyle w:val="Hyperlink"/>
        </w:rPr>
        <w:t>https://www.abs.gov.au/ausstats/abs@.nsf/Lookup/by%20Subject/6503.0~2015</w:t>
      </w:r>
      <w:r w:rsidRPr="00CA7598">
        <w:rPr>
          <w:rStyle w:val="Hyperlink"/>
        </w:rPr>
        <w:noBreakHyphen/>
        <w:t>16~Main%20Features~Imputed%20rent~9&gt;</w:t>
      </w:r>
    </w:p>
  </w:footnote>
  <w:footnote w:id="134">
    <w:p w14:paraId="2686CD2A" w14:textId="77777777" w:rsidR="00730553" w:rsidRDefault="00730553" w:rsidP="00D00D11">
      <w:pPr>
        <w:pStyle w:val="FootnoteText"/>
      </w:pPr>
      <w:r w:rsidRPr="00CA7598">
        <w:rPr>
          <w:rStyle w:val="FootnoteReference"/>
        </w:rPr>
        <w:footnoteRef/>
      </w:r>
      <w:r w:rsidRPr="00CA7598">
        <w:t xml:space="preserve"> Cameo modelling undertaken for the review. Retirement income without Age Pension or superannuation tax concessions reflects differences in working</w:t>
      </w:r>
      <w:r w:rsidRPr="00CA7598">
        <w:noBreakHyphen/>
        <w:t>life income</w:t>
      </w:r>
      <w:r>
        <w:t xml:space="preserve"> and savings rates.</w:t>
      </w:r>
    </w:p>
  </w:footnote>
  <w:footnote w:id="135">
    <w:p w14:paraId="1C799E53" w14:textId="77777777" w:rsidR="00730553" w:rsidRDefault="00730553" w:rsidP="00B3792F">
      <w:pPr>
        <w:pStyle w:val="FootnoteText"/>
      </w:pPr>
      <w:r>
        <w:rPr>
          <w:rStyle w:val="FootnoteReference"/>
        </w:rPr>
        <w:footnoteRef/>
      </w:r>
      <w:r>
        <w:t xml:space="preserve"> </w:t>
      </w:r>
      <w:r w:rsidRPr="00AE272A">
        <w:t>Treasury estimates for the review using</w:t>
      </w:r>
      <w:r>
        <w:t xml:space="preserve"> MARIA. Estimates combine projected balances of modelled individuals at retirement in the three years up to 2019</w:t>
      </w:r>
      <w:r>
        <w:noBreakHyphen/>
        <w:t>20 and 2059</w:t>
      </w:r>
      <w:r>
        <w:noBreakHyphen/>
        <w:t>60 reflecting the small samples of modelled individuals retiring in a given year.</w:t>
      </w:r>
    </w:p>
  </w:footnote>
  <w:footnote w:id="136">
    <w:p w14:paraId="00BB965F" w14:textId="77777777" w:rsidR="00730553" w:rsidRDefault="00730553" w:rsidP="00B3792F">
      <w:pPr>
        <w:pStyle w:val="FootnoteText"/>
      </w:pPr>
      <w:r>
        <w:rPr>
          <w:rStyle w:val="FootnoteReference"/>
        </w:rPr>
        <w:footnoteRef/>
      </w:r>
      <w:r>
        <w:t xml:space="preserve"> Analysis of </w:t>
      </w:r>
      <w:r w:rsidRPr="003445C3">
        <w:t>Rice Warner estimates for the review.</w:t>
      </w:r>
    </w:p>
  </w:footnote>
  <w:footnote w:id="137">
    <w:p w14:paraId="3784612D" w14:textId="77777777" w:rsidR="00730553" w:rsidRDefault="00730553" w:rsidP="00B3792F">
      <w:pPr>
        <w:pStyle w:val="FootnoteText"/>
      </w:pPr>
      <w:r>
        <w:rPr>
          <w:rStyle w:val="FootnoteReference"/>
        </w:rPr>
        <w:footnoteRef/>
      </w:r>
      <w:r>
        <w:t xml:space="preserve"> The analysis focu</w:t>
      </w:r>
      <w:r w:rsidRPr="00977334">
        <w:t>ses on people aged 65 and over as this generally corresponds with the age ranges used by statistical agencies, such</w:t>
      </w:r>
      <w:r>
        <w:t xml:space="preserve"> as the ABS. It is also roughly equal to the </w:t>
      </w:r>
      <w:r w:rsidRPr="00CA7598">
        <w:t xml:space="preserve">Age Pension eligibility age, which </w:t>
      </w:r>
      <w:r w:rsidRPr="00CA7598">
        <w:rPr>
          <w:i/>
        </w:rPr>
        <w:t xml:space="preserve">1A. What is retirement? </w:t>
      </w:r>
      <w:r w:rsidRPr="00CA7598">
        <w:t>defines as the reference point for the ‘standard’ retiremen</w:t>
      </w:r>
      <w:r w:rsidRPr="005F3874">
        <w:t>t ag</w:t>
      </w:r>
      <w:r>
        <w:t>e.</w:t>
      </w:r>
    </w:p>
  </w:footnote>
  <w:footnote w:id="138">
    <w:p w14:paraId="6C90CAB2" w14:textId="77777777" w:rsidR="00730553" w:rsidRDefault="00730553" w:rsidP="00B3792F">
      <w:pPr>
        <w:pStyle w:val="FootnoteText"/>
      </w:pPr>
      <w:r>
        <w:rPr>
          <w:rStyle w:val="FootnoteReference"/>
        </w:rPr>
        <w:footnoteRef/>
      </w:r>
      <w:r>
        <w:t xml:space="preserve"> </w:t>
      </w:r>
      <w:r w:rsidRPr="000E1D86">
        <w:t>The most common concession</w:t>
      </w:r>
      <w:r>
        <w:t xml:space="preserve"> cards </w:t>
      </w:r>
      <w:r w:rsidRPr="000E1D86">
        <w:t xml:space="preserve">for people </w:t>
      </w:r>
      <w:r>
        <w:t xml:space="preserve">aged </w:t>
      </w:r>
      <w:r w:rsidRPr="000E1D86">
        <w:t>65 and over are</w:t>
      </w:r>
      <w:r>
        <w:t xml:space="preserve"> the Pensioner Concession Card and Commonwealth Seniors Health Card (</w:t>
      </w:r>
      <w:r w:rsidRPr="000E1D86">
        <w:t>see</w:t>
      </w:r>
      <w:r w:rsidRPr="000E1D86">
        <w:rPr>
          <w:i/>
        </w:rPr>
        <w:t xml:space="preserve"> 1B. Design of Australia’s retirement income system</w:t>
      </w:r>
      <w:r w:rsidRPr="00206B97">
        <w:t>)</w:t>
      </w:r>
      <w:r>
        <w:t>.</w:t>
      </w:r>
    </w:p>
  </w:footnote>
  <w:footnote w:id="139">
    <w:p w14:paraId="09BD01AF" w14:textId="77777777" w:rsidR="00730553" w:rsidRDefault="00730553" w:rsidP="00B3792F">
      <w:pPr>
        <w:pStyle w:val="FootnoteText"/>
      </w:pPr>
      <w:r>
        <w:rPr>
          <w:rStyle w:val="FootnoteReference"/>
        </w:rPr>
        <w:footnoteRef/>
      </w:r>
      <w:r>
        <w:t xml:space="preserve"> Calculations using Department of Social Services</w:t>
      </w:r>
      <w:r w:rsidRPr="00B07689">
        <w:t xml:space="preserve"> payment data at 30 June 2019</w:t>
      </w:r>
      <w:r w:rsidRPr="006C2E56">
        <w:t xml:space="preserve"> and</w:t>
      </w:r>
      <w:r>
        <w:t xml:space="preserve"> </w:t>
      </w:r>
      <w:r w:rsidRPr="00B07689">
        <w:t>ABS population projections</w:t>
      </w:r>
      <w:r>
        <w:t xml:space="preserve"> for people over Age Pension eligibility age. Includes Department of Veterans’ Affairs recipients.</w:t>
      </w:r>
    </w:p>
  </w:footnote>
  <w:footnote w:id="140">
    <w:p w14:paraId="32F64328" w14:textId="77777777" w:rsidR="00730553" w:rsidRDefault="00730553" w:rsidP="00B3792F">
      <w:pPr>
        <w:pStyle w:val="FootnoteText"/>
      </w:pPr>
      <w:r>
        <w:rPr>
          <w:rStyle w:val="FootnoteReference"/>
        </w:rPr>
        <w:footnoteRef/>
      </w:r>
      <w:r>
        <w:t xml:space="preserve"> Calculations</w:t>
      </w:r>
      <w:r w:rsidRPr="00EA0FE5">
        <w:t xml:space="preserve"> </w:t>
      </w:r>
      <w:r w:rsidRPr="0032710F">
        <w:t xml:space="preserve">using </w:t>
      </w:r>
      <w:sdt>
        <w:sdtPr>
          <w:id w:val="1564906547"/>
          <w:citation/>
        </w:sdtPr>
        <w:sdtEndPr/>
        <w:sdtContent>
          <w:r w:rsidRPr="0032710F">
            <w:fldChar w:fldCharType="begin"/>
          </w:r>
          <w:r>
            <w:instrText>CITATION ATO19 \l 3081  \m ATO181</w:instrText>
          </w:r>
          <w:r w:rsidRPr="0032710F">
            <w:fldChar w:fldCharType="separate"/>
          </w:r>
          <w:r>
            <w:rPr>
              <w:noProof/>
            </w:rPr>
            <w:t>(ATO, 2019a; ATO, 2018)</w:t>
          </w:r>
          <w:r w:rsidRPr="0032710F">
            <w:fldChar w:fldCharType="end"/>
          </w:r>
        </w:sdtContent>
      </w:sdt>
      <w:r w:rsidRPr="0032710F">
        <w:t xml:space="preserve">. Assumes the person is single and has no dependants. Income tax liability excludes the Medicare </w:t>
      </w:r>
      <w:r>
        <w:t>L</w:t>
      </w:r>
      <w:r w:rsidRPr="0032710F">
        <w:t>evy</w:t>
      </w:r>
      <w:r>
        <w:t>.</w:t>
      </w:r>
    </w:p>
  </w:footnote>
  <w:footnote w:id="141">
    <w:p w14:paraId="2C7B324B" w14:textId="77777777" w:rsidR="00730553" w:rsidRDefault="00730553" w:rsidP="00B3792F">
      <w:pPr>
        <w:pStyle w:val="FootnoteText"/>
      </w:pPr>
      <w:r>
        <w:rPr>
          <w:rStyle w:val="FootnoteReference"/>
        </w:rPr>
        <w:footnoteRef/>
      </w:r>
      <w:r>
        <w:t xml:space="preserve"> The seniors and pensioners tax offset only reduces a person’s tax liability to zero. Any unused offset amount cannot be refunded.</w:t>
      </w:r>
    </w:p>
  </w:footnote>
  <w:footnote w:id="142">
    <w:p w14:paraId="0D453C25" w14:textId="77777777" w:rsidR="00730553" w:rsidRDefault="00730553">
      <w:pPr>
        <w:pStyle w:val="FootnoteText"/>
      </w:pPr>
      <w:r>
        <w:rPr>
          <w:rStyle w:val="FootnoteReference"/>
        </w:rPr>
        <w:footnoteRef/>
      </w:r>
      <w:r>
        <w:t xml:space="preserve"> Analysis of </w:t>
      </w:r>
      <w:r w:rsidRPr="00FB5843">
        <w:t xml:space="preserve">ATO individual income tax returns and member contributions statements, </w:t>
      </w:r>
      <w:r w:rsidRPr="00B210E6">
        <w:t>2</w:t>
      </w:r>
      <w:r>
        <w:t> per cent</w:t>
      </w:r>
      <w:r w:rsidRPr="00B210E6">
        <w:t xml:space="preserve"> sample, 2017</w:t>
      </w:r>
      <w:r>
        <w:noBreakHyphen/>
      </w:r>
      <w:r w:rsidRPr="00B210E6">
        <w:t>18</w:t>
      </w:r>
      <w:r>
        <w:t>.</w:t>
      </w:r>
    </w:p>
  </w:footnote>
  <w:footnote w:id="143">
    <w:p w14:paraId="34210333" w14:textId="77777777" w:rsidR="00730553" w:rsidRDefault="00730553" w:rsidP="00B3792F">
      <w:pPr>
        <w:pStyle w:val="FootnoteText"/>
        <w:keepLines/>
      </w:pPr>
      <w:r>
        <w:rPr>
          <w:rStyle w:val="FootnoteReference"/>
        </w:rPr>
        <w:footnoteRef/>
      </w:r>
      <w:r>
        <w:t xml:space="preserve"> People over Age Pension eligibility age have a higher tax</w:t>
      </w:r>
      <w:r>
        <w:noBreakHyphen/>
        <w:t>free threshold due to the seniors and pensioners tax offset. This means a single retiree with retirement savings, excluding the family home, of less than $1 million is unlikely to generate annual earnings significantly above the tax</w:t>
      </w:r>
      <w:r>
        <w:noBreakHyphen/>
        <w:t>free threshold, regardless of how their retirement savings are distributed across superannuation and other savings vehicles.</w:t>
      </w:r>
    </w:p>
  </w:footnote>
  <w:footnote w:id="144">
    <w:p w14:paraId="7184985C" w14:textId="77777777" w:rsidR="00730553" w:rsidRDefault="00730553" w:rsidP="00B3792F">
      <w:pPr>
        <w:pStyle w:val="FootnoteText"/>
      </w:pPr>
      <w:r w:rsidRPr="03110373">
        <w:rPr>
          <w:rStyle w:val="FootnoteReference"/>
        </w:rPr>
        <w:footnoteRef/>
      </w:r>
      <w:r>
        <w:t xml:space="preserve"> As at 1 May 2020.</w:t>
      </w:r>
    </w:p>
  </w:footnote>
  <w:footnote w:id="145">
    <w:p w14:paraId="06D603A7" w14:textId="77777777" w:rsidR="00730553" w:rsidRDefault="00730553" w:rsidP="00B3792F">
      <w:pPr>
        <w:pStyle w:val="FootnoteText"/>
      </w:pPr>
      <w:r>
        <w:rPr>
          <w:rStyle w:val="FootnoteReference"/>
        </w:rPr>
        <w:footnoteRef/>
      </w:r>
      <w:r>
        <w:t xml:space="preserve"> </w:t>
      </w:r>
      <w:r w:rsidRPr="00E9507F">
        <w:t>This is a result from the bench</w:t>
      </w:r>
      <w:r>
        <w:t xml:space="preserve">mark neoclassical growth model, </w:t>
      </w:r>
      <w:r w:rsidRPr="00E9507F">
        <w:t>called the Ramsey</w:t>
      </w:r>
      <w:r>
        <w:noBreakHyphen/>
      </w:r>
      <w:r w:rsidRPr="00E9507F">
        <w:t>Cass</w:t>
      </w:r>
      <w:r>
        <w:noBreakHyphen/>
      </w:r>
      <w:r w:rsidRPr="00E9507F">
        <w:t>Koopmans model</w:t>
      </w:r>
      <w:r>
        <w:t xml:space="preserve"> (</w:t>
      </w:r>
      <w:r w:rsidRPr="00E9507F">
        <w:t xml:space="preserve">see </w:t>
      </w:r>
      <w:sdt>
        <w:sdtPr>
          <w:id w:val="-1688518318"/>
          <w:citation/>
        </w:sdtPr>
        <w:sdtEndPr/>
        <w:sdtContent>
          <w:r w:rsidRPr="00E9507F">
            <w:fldChar w:fldCharType="begin"/>
          </w:r>
          <w:r w:rsidRPr="00E9507F">
            <w:instrText xml:space="preserve"> CITATION Rom19 \l 3081 </w:instrText>
          </w:r>
          <w:r w:rsidRPr="00E9507F">
            <w:fldChar w:fldCharType="separate"/>
          </w:r>
          <w:r>
            <w:rPr>
              <w:noProof/>
            </w:rPr>
            <w:t>(Romer, 2019)</w:t>
          </w:r>
          <w:r w:rsidRPr="00E9507F">
            <w:fldChar w:fldCharType="end"/>
          </w:r>
        </w:sdtContent>
      </w:sdt>
      <w:r w:rsidRPr="00E9507F">
        <w:t xml:space="preserve"> for an exposition of this result).</w:t>
      </w:r>
    </w:p>
  </w:footnote>
  <w:footnote w:id="146">
    <w:p w14:paraId="5B56C574" w14:textId="77777777" w:rsidR="00730553" w:rsidRDefault="00730553" w:rsidP="00B3792F">
      <w:pPr>
        <w:pStyle w:val="FootnoteText"/>
      </w:pPr>
      <w:r>
        <w:rPr>
          <w:rStyle w:val="FootnoteReference"/>
        </w:rPr>
        <w:footnoteRef/>
      </w:r>
      <w:r>
        <w:t xml:space="preserve"> Calculations using </w:t>
      </w:r>
      <w:sdt>
        <w:sdtPr>
          <w:id w:val="-1408143848"/>
          <w:citation/>
        </w:sdtPr>
        <w:sdtEndPr/>
        <w:sdtContent>
          <w:r w:rsidRPr="005C1B7A">
            <w:fldChar w:fldCharType="begin"/>
          </w:r>
          <w:r w:rsidRPr="005C1B7A">
            <w:instrText xml:space="preserve">CITATION ABS203 \l 3081 </w:instrText>
          </w:r>
          <w:r w:rsidRPr="005C1B7A">
            <w:fldChar w:fldCharType="separate"/>
          </w:r>
          <w:r>
            <w:rPr>
              <w:noProof/>
            </w:rPr>
            <w:t>(ABS, 2020c)</w:t>
          </w:r>
          <w:r w:rsidRPr="005C1B7A">
            <w:fldChar w:fldCharType="end"/>
          </w:r>
        </w:sdtContent>
      </w:sdt>
      <w:r w:rsidRPr="005C1B7A">
        <w:t xml:space="preserve"> and </w:t>
      </w:r>
      <w:sdt>
        <w:sdtPr>
          <w:id w:val="-479692249"/>
          <w:citation/>
        </w:sdtPr>
        <w:sdtEndPr/>
        <w:sdtContent>
          <w:r w:rsidRPr="005C1B7A">
            <w:fldChar w:fldCharType="begin"/>
          </w:r>
          <w:r w:rsidRPr="005C1B7A">
            <w:instrText xml:space="preserve"> CITATION RBA20 \l 3081 </w:instrText>
          </w:r>
          <w:r w:rsidRPr="005C1B7A">
            <w:fldChar w:fldCharType="separate"/>
          </w:r>
          <w:r>
            <w:rPr>
              <w:noProof/>
            </w:rPr>
            <w:t>(RBA, 2020b)</w:t>
          </w:r>
          <w:r w:rsidRPr="005C1B7A">
            <w:fldChar w:fldCharType="end"/>
          </w:r>
        </w:sdtContent>
      </w:sdt>
      <w:r w:rsidRPr="005C1B7A">
        <w:t>.</w:t>
      </w:r>
      <w:r>
        <w:t xml:space="preserve"> Uses the period of December 1979 to December 2019.</w:t>
      </w:r>
    </w:p>
  </w:footnote>
  <w:footnote w:id="147">
    <w:p w14:paraId="2AE1DE4A" w14:textId="77777777" w:rsidR="00730553" w:rsidRDefault="00730553" w:rsidP="00B3792F">
      <w:pPr>
        <w:pStyle w:val="FootnoteText"/>
      </w:pPr>
      <w:r>
        <w:rPr>
          <w:rStyle w:val="FootnoteReference"/>
        </w:rPr>
        <w:footnoteRef/>
      </w:r>
      <w:r>
        <w:t xml:space="preserve"> A study by the Tax and Transfer Policy Institute found the gender gap in superannuation balances, calculated using ATO data, was 26 per cent in 2014, compared with 41 per cent </w:t>
      </w:r>
      <w:r w:rsidRPr="005A0F27">
        <w:t>using HILDA Survey data and 44</w:t>
      </w:r>
      <w:r>
        <w:t> per cent</w:t>
      </w:r>
      <w:r w:rsidRPr="005A0F27">
        <w:t xml:space="preserve"> using ABS survey data</w:t>
      </w:r>
      <w:sdt>
        <w:sdtPr>
          <w:id w:val="-915783321"/>
          <w:citation/>
        </w:sdtPr>
        <w:sdtEndPr/>
        <w:sdtContent>
          <w:r>
            <w:fldChar w:fldCharType="begin"/>
          </w:r>
          <w:r>
            <w:instrText xml:space="preserve">CITATION Pol \p 12 \l 3081 </w:instrText>
          </w:r>
          <w:r>
            <w:fldChar w:fldCharType="separate"/>
          </w:r>
          <w:r>
            <w:rPr>
              <w:noProof/>
            </w:rPr>
            <w:t xml:space="preserve"> (Polidano, et al., 2020, p. 12)</w:t>
          </w:r>
          <w:r>
            <w:fldChar w:fldCharType="end"/>
          </w:r>
        </w:sdtContent>
      </w:sdt>
      <w:r w:rsidRPr="005A0F27">
        <w:t>. This difference is partly because HILDA and ABS data have a greater number of women with zero superannuation balances. The researchers also hypothesised the difference is likely</w:t>
      </w:r>
      <w:r>
        <w:t xml:space="preserve"> due to men in surveys being more likely to overestimate their wealth (hence the HILDA and ABS survey results), and that the ATO data captures working</w:t>
      </w:r>
      <w:r>
        <w:noBreakHyphen/>
        <w:t>age, short</w:t>
      </w:r>
      <w:r>
        <w:noBreakHyphen/>
        <w:t>term residents, who are more likely to be men and have low balances.</w:t>
      </w:r>
    </w:p>
  </w:footnote>
  <w:footnote w:id="148">
    <w:p w14:paraId="36198CFB" w14:textId="77777777" w:rsidR="00730553" w:rsidRDefault="00730553" w:rsidP="00B3792F">
      <w:pPr>
        <w:pStyle w:val="FootnoteText"/>
      </w:pPr>
      <w:r>
        <w:rPr>
          <w:rStyle w:val="FootnoteReference"/>
        </w:rPr>
        <w:footnoteRef/>
      </w:r>
      <w:r>
        <w:t xml:space="preserve"> For assumptions underpinning gender pay gap modelling</w:t>
      </w:r>
      <w:r w:rsidRPr="007C5A68">
        <w:t xml:space="preserve">, see </w:t>
      </w:r>
      <w:r w:rsidRPr="00BD73BF">
        <w:rPr>
          <w:i/>
        </w:rPr>
        <w:t>Appendix 6A. Detailed modelling methods and assumptions</w:t>
      </w:r>
      <w:r w:rsidRPr="00BD73BF">
        <w:t>.</w:t>
      </w:r>
    </w:p>
  </w:footnote>
  <w:footnote w:id="149">
    <w:p w14:paraId="0D4259B2" w14:textId="77777777" w:rsidR="00730553" w:rsidRDefault="00730553" w:rsidP="00B3792F">
      <w:pPr>
        <w:pStyle w:val="FootnoteText"/>
      </w:pPr>
      <w:r>
        <w:rPr>
          <w:rStyle w:val="FootnoteReference"/>
        </w:rPr>
        <w:footnoteRef/>
      </w:r>
      <w:r>
        <w:t xml:space="preserve"> For assumptions underpinning the career brea</w:t>
      </w:r>
      <w:r w:rsidRPr="007C5A68">
        <w:t xml:space="preserve">k </w:t>
      </w:r>
      <w:r w:rsidRPr="00FA7D52">
        <w:t xml:space="preserve">scenarios, see </w:t>
      </w:r>
      <w:r w:rsidRPr="00FA7D52">
        <w:rPr>
          <w:i/>
        </w:rPr>
        <w:t>Appendix 6A. Detailed modelling methods and assumptions</w:t>
      </w:r>
      <w:r w:rsidRPr="00FA7D52">
        <w:t>.</w:t>
      </w:r>
    </w:p>
  </w:footnote>
  <w:footnote w:id="150">
    <w:p w14:paraId="4577B357" w14:textId="77777777" w:rsidR="00730553" w:rsidRDefault="00730553" w:rsidP="00B3792F">
      <w:pPr>
        <w:pStyle w:val="FootnoteText"/>
      </w:pPr>
      <w:r>
        <w:rPr>
          <w:rStyle w:val="FootnoteReference"/>
        </w:rPr>
        <w:footnoteRef/>
      </w:r>
      <w:r>
        <w:t xml:space="preserve"> Prior to 2002, superannuation was treated as property in separation settlements of married persons only in the retirement phase. Superannuation in the pre</w:t>
      </w:r>
      <w:r>
        <w:noBreakHyphen/>
        <w:t xml:space="preserve">retirement phase was not treated as property. From 1 March 2009, separation of property was aligned for de facto couples in most states and territories, and included superannuation. De facto couples in South Australia were able to split superannuation assets from 1 July 2010. Legislation is currently before Parliament to allow superannuation splitting for de facto couples in </w:t>
      </w:r>
      <w:r w:rsidRPr="007C5A68">
        <w:t xml:space="preserve">Western Australia </w:t>
      </w:r>
      <w:sdt>
        <w:sdtPr>
          <w:id w:val="310830003"/>
          <w:citation/>
        </w:sdtPr>
        <w:sdtEndPr/>
        <w:sdtContent>
          <w:r w:rsidRPr="00E7283E">
            <w:fldChar w:fldCharType="begin"/>
          </w:r>
          <w:r w:rsidRPr="00E7283E">
            <w:instrText xml:space="preserve">CITATION Att19 \l 3081 </w:instrText>
          </w:r>
          <w:r w:rsidRPr="00E7283E">
            <w:fldChar w:fldCharType="separate"/>
          </w:r>
          <w:r>
            <w:rPr>
              <w:noProof/>
            </w:rPr>
            <w:t>(Attorney-General's Department, 2019)</w:t>
          </w:r>
          <w:r w:rsidRPr="00E7283E">
            <w:fldChar w:fldCharType="end"/>
          </w:r>
        </w:sdtContent>
      </w:sdt>
      <w:r w:rsidRPr="00E7283E">
        <w:t>.</w:t>
      </w:r>
    </w:p>
  </w:footnote>
  <w:footnote w:id="151">
    <w:p w14:paraId="1C27FADB" w14:textId="77777777" w:rsidR="00730553" w:rsidRDefault="00730553" w:rsidP="00B3792F">
      <w:pPr>
        <w:pStyle w:val="FootnoteText"/>
        <w:tabs>
          <w:tab w:val="left" w:pos="0"/>
        </w:tabs>
      </w:pPr>
      <w:r>
        <w:rPr>
          <w:rStyle w:val="FootnoteReference"/>
        </w:rPr>
        <w:footnoteRef/>
      </w:r>
      <w:r>
        <w:t xml:space="preserve"> </w:t>
      </w:r>
      <w:r w:rsidRPr="00017A4B">
        <w:t xml:space="preserve">Announced by former Minister for Women, </w:t>
      </w:r>
      <w:r>
        <w:t xml:space="preserve">the Hon </w:t>
      </w:r>
      <w:r w:rsidRPr="00017A4B">
        <w:t>Kelly O’Dwyer, as part of the 2018 Women’s Economic Security Statement.</w:t>
      </w:r>
    </w:p>
  </w:footnote>
  <w:footnote w:id="152">
    <w:p w14:paraId="44CF6CC3" w14:textId="77777777" w:rsidR="00730553" w:rsidRDefault="00730553" w:rsidP="00B3792F">
      <w:pPr>
        <w:pStyle w:val="FootnoteText"/>
      </w:pPr>
      <w:r>
        <w:rPr>
          <w:rStyle w:val="FootnoteReference"/>
        </w:rPr>
        <w:footnoteRef/>
      </w:r>
      <w:r>
        <w:t xml:space="preserve"> Brown’s analysis was limited to women aged </w:t>
      </w:r>
      <w:r w:rsidRPr="00045BBE">
        <w:t>25 to 55</w:t>
      </w:r>
      <w:r>
        <w:t>. Those with children were defined as those with a child under the age of 16. Analysis of superannuation balances was adjusted for age, socio-economic status, employment status, income status and family structure. Analysis of home ownership did not adjust for any factors.</w:t>
      </w:r>
    </w:p>
  </w:footnote>
  <w:footnote w:id="153">
    <w:p w14:paraId="648C606F" w14:textId="77777777" w:rsidR="00730553" w:rsidRDefault="00730553" w:rsidP="00B3792F">
      <w:pPr>
        <w:pStyle w:val="FootnoteText"/>
        <w:tabs>
          <w:tab w:val="left" w:pos="0"/>
        </w:tabs>
      </w:pPr>
      <w:r>
        <w:rPr>
          <w:rStyle w:val="FootnoteReference"/>
        </w:rPr>
        <w:footnoteRef/>
      </w:r>
      <w:r>
        <w:t xml:space="preserve"> </w:t>
      </w:r>
      <w:r w:rsidRPr="00097C62">
        <w:t xml:space="preserve">Announced by former </w:t>
      </w:r>
      <w:r w:rsidRPr="000C6568">
        <w:t xml:space="preserve">Minister for Women, </w:t>
      </w:r>
      <w:r>
        <w:t xml:space="preserve">the Hon </w:t>
      </w:r>
      <w:r w:rsidRPr="000C6568">
        <w:t>Kelly O’Dwyer, as part of the 2018 Women’s Economic Security Statement.</w:t>
      </w:r>
    </w:p>
  </w:footnote>
  <w:footnote w:id="154">
    <w:p w14:paraId="785C7C3B" w14:textId="77777777" w:rsidR="00730553" w:rsidRDefault="00730553" w:rsidP="00B3792F">
      <w:pPr>
        <w:pStyle w:val="FootnoteText"/>
      </w:pPr>
      <w:r>
        <w:rPr>
          <w:rStyle w:val="FootnoteReference"/>
        </w:rPr>
        <w:footnoteRef/>
      </w:r>
      <w:r>
        <w:t xml:space="preserve"> </w:t>
      </w:r>
      <w:r w:rsidRPr="008F3E61">
        <w:t>Analysis based on ATO Single Touch Payroll data for July 2019 provided to the review</w:t>
      </w:r>
      <w:r>
        <w:t>. Calculation using an average income of $250 per month.</w:t>
      </w:r>
    </w:p>
  </w:footnote>
  <w:footnote w:id="155">
    <w:p w14:paraId="0F16D195" w14:textId="77777777" w:rsidR="00730553" w:rsidRDefault="00730553">
      <w:pPr>
        <w:pStyle w:val="FootnoteText"/>
      </w:pPr>
      <w:r>
        <w:rPr>
          <w:rStyle w:val="FootnoteReference"/>
        </w:rPr>
        <w:footnoteRef/>
      </w:r>
      <w:r>
        <w:t xml:space="preserve"> Cameo modelling undertaken for the review.</w:t>
      </w:r>
    </w:p>
  </w:footnote>
  <w:footnote w:id="156">
    <w:p w14:paraId="7972F533" w14:textId="77777777" w:rsidR="00730553" w:rsidRDefault="00730553">
      <w:pPr>
        <w:pStyle w:val="FootnoteText"/>
      </w:pPr>
      <w:r>
        <w:rPr>
          <w:rStyle w:val="FootnoteReference"/>
        </w:rPr>
        <w:footnoteRef/>
      </w:r>
      <w:r>
        <w:t xml:space="preserve"> As at 1 May 2020.</w:t>
      </w:r>
    </w:p>
  </w:footnote>
  <w:footnote w:id="157">
    <w:p w14:paraId="4A35AEF2" w14:textId="77777777" w:rsidR="00730553" w:rsidRDefault="00730553" w:rsidP="00B3792F">
      <w:pPr>
        <w:pStyle w:val="FootnoteText"/>
      </w:pPr>
      <w:r>
        <w:rPr>
          <w:rStyle w:val="FootnoteReference"/>
        </w:rPr>
        <w:footnoteRef/>
      </w:r>
      <w:r>
        <w:t xml:space="preserve"> Department of Social Services</w:t>
      </w:r>
      <w:r w:rsidRPr="00E7283E">
        <w:t xml:space="preserve"> payment data, 2016-17</w:t>
      </w:r>
      <w:r>
        <w:t>.</w:t>
      </w:r>
    </w:p>
  </w:footnote>
  <w:footnote w:id="158">
    <w:p w14:paraId="088558DA" w14:textId="77777777" w:rsidR="00730553" w:rsidRDefault="00730553" w:rsidP="00B3792F">
      <w:pPr>
        <w:pStyle w:val="FootnoteText"/>
      </w:pPr>
      <w:r>
        <w:rPr>
          <w:rStyle w:val="FootnoteReference"/>
        </w:rPr>
        <w:footnoteRef/>
      </w:r>
      <w:r>
        <w:t xml:space="preserve"> Review calculation based on an annual cost of $2.2 billion, and an SG rate of 9.5 per cent, accounting for taxes on contributions.</w:t>
      </w:r>
    </w:p>
  </w:footnote>
  <w:footnote w:id="159">
    <w:p w14:paraId="7EAE5BFD" w14:textId="77777777" w:rsidR="00730553" w:rsidRPr="00EA2E08" w:rsidRDefault="00730553" w:rsidP="00B3792F">
      <w:pPr>
        <w:pStyle w:val="FootnoteText"/>
      </w:pPr>
      <w:r w:rsidRPr="00E31ADE">
        <w:rPr>
          <w:rStyle w:val="FootnoteReference"/>
        </w:rPr>
        <w:footnoteRef/>
      </w:r>
      <w:r w:rsidRPr="00E31ADE">
        <w:t xml:space="preserve"> Data provided by the ATO for</w:t>
      </w:r>
      <w:r w:rsidRPr="00EA2E08">
        <w:t xml:space="preserve"> the review.</w:t>
      </w:r>
    </w:p>
  </w:footnote>
  <w:footnote w:id="160">
    <w:p w14:paraId="020BECFA" w14:textId="77777777" w:rsidR="00730553" w:rsidRPr="00EA2E08" w:rsidRDefault="00730553" w:rsidP="00B3792F">
      <w:pPr>
        <w:pStyle w:val="FootnoteText"/>
      </w:pPr>
      <w:r w:rsidRPr="00EA2E08">
        <w:rPr>
          <w:rStyle w:val="FootnoteReference"/>
        </w:rPr>
        <w:footnoteRef/>
      </w:r>
      <w:r w:rsidRPr="00EA2E08">
        <w:t xml:space="preserve"> Analysis of Rice Warner estimates for the review. This estimate aligns with previous estimates by Industry Super Australia </w:t>
      </w:r>
      <w:sdt>
        <w:sdtPr>
          <w:id w:val="-1688829527"/>
          <w:citation/>
        </w:sdtPr>
        <w:sdtEndPr/>
        <w:sdtContent>
          <w:r w:rsidRPr="00EA2E08">
            <w:fldChar w:fldCharType="begin"/>
          </w:r>
          <w:r w:rsidRPr="00EA2E08">
            <w:instrText xml:space="preserve">CITATION Ind20 \n  \t  \l 3081 </w:instrText>
          </w:r>
          <w:r w:rsidRPr="00EA2E08">
            <w:fldChar w:fldCharType="separate"/>
          </w:r>
          <w:r>
            <w:rPr>
              <w:noProof/>
            </w:rPr>
            <w:t>(2020)</w:t>
          </w:r>
          <w:r w:rsidRPr="00EA2E08">
            <w:fldChar w:fldCharType="end"/>
          </w:r>
        </w:sdtContent>
      </w:sdt>
      <w:r w:rsidRPr="00EA2E08">
        <w:t>.</w:t>
      </w:r>
    </w:p>
  </w:footnote>
  <w:footnote w:id="161">
    <w:p w14:paraId="1E8EF43C" w14:textId="77777777" w:rsidR="00730553" w:rsidRPr="00AF38A1" w:rsidRDefault="00730553" w:rsidP="00B3792F">
      <w:pPr>
        <w:pStyle w:val="FootnoteText"/>
      </w:pPr>
      <w:r>
        <w:rPr>
          <w:rStyle w:val="FootnoteReference"/>
        </w:rPr>
        <w:footnoteRef/>
      </w:r>
      <w:r>
        <w:t xml:space="preserve"> </w:t>
      </w:r>
      <w:r w:rsidRPr="00D71256">
        <w:t>Premiums can vary by gender</w:t>
      </w:r>
      <w:r>
        <w:t xml:space="preserve">. This modelling assumes fees and premiums are the same for men and women. The effect of fees and premiums on balances was covered by the </w:t>
      </w:r>
      <w:r w:rsidRPr="00D71256">
        <w:t>Productivity Commission in their 201</w:t>
      </w:r>
      <w:r>
        <w:t>8</w:t>
      </w:r>
      <w:r w:rsidRPr="00D71256">
        <w:t xml:space="preserve"> report </w:t>
      </w:r>
      <w:r w:rsidRPr="00D71256">
        <w:rPr>
          <w:i/>
        </w:rPr>
        <w:t>Superannuation: Assessing Efficiency and Competitiveness</w:t>
      </w:r>
      <w:r w:rsidRPr="00D71256">
        <w:t>.</w:t>
      </w:r>
    </w:p>
  </w:footnote>
  <w:footnote w:id="162">
    <w:p w14:paraId="6D3C6B3A" w14:textId="77777777" w:rsidR="00730553" w:rsidRDefault="00730553" w:rsidP="00B3792F">
      <w:pPr>
        <w:pStyle w:val="FootnoteText"/>
      </w:pPr>
      <w:r>
        <w:rPr>
          <w:rStyle w:val="FootnoteReference"/>
        </w:rPr>
        <w:footnoteRef/>
      </w:r>
      <w:r>
        <w:t xml:space="preserve"> Analysis of </w:t>
      </w:r>
      <w:sdt>
        <w:sdtPr>
          <w:id w:val="-144430578"/>
          <w:citation/>
        </w:sdtPr>
        <w:sdtEndPr/>
        <w:sdtContent>
          <w:r>
            <w:fldChar w:fldCharType="begin"/>
          </w:r>
          <w:r w:rsidRPr="00541C07">
            <w:instrText xml:space="preserve"> CITATION ABS196 \l 3081 </w:instrText>
          </w:r>
          <w:r>
            <w:fldChar w:fldCharType="separate"/>
          </w:r>
          <w:r>
            <w:rPr>
              <w:noProof/>
            </w:rPr>
            <w:t>(ABS, 2019s)</w:t>
          </w:r>
          <w:r>
            <w:fldChar w:fldCharType="end"/>
          </w:r>
        </w:sdtContent>
      </w:sdt>
      <w:r w:rsidDel="0015388E">
        <w:t>.</w:t>
      </w:r>
    </w:p>
  </w:footnote>
  <w:footnote w:id="163">
    <w:p w14:paraId="41EA8136" w14:textId="77777777" w:rsidR="00730553" w:rsidRPr="003D5C94" w:rsidRDefault="00730553" w:rsidP="00B3792F">
      <w:pPr>
        <w:pStyle w:val="FootnoteText"/>
      </w:pPr>
      <w:r>
        <w:rPr>
          <w:rStyle w:val="FootnoteReference"/>
        </w:rPr>
        <w:footnoteRef/>
      </w:r>
      <w:r>
        <w:t xml:space="preserve"> This statistic relates to the age that people </w:t>
      </w:r>
      <w:r>
        <w:rPr>
          <w:i/>
        </w:rPr>
        <w:t xml:space="preserve">expect </w:t>
      </w:r>
      <w:r>
        <w:t xml:space="preserve">to retire, which is different from the age they </w:t>
      </w:r>
      <w:r>
        <w:rPr>
          <w:i/>
        </w:rPr>
        <w:t xml:space="preserve">actually </w:t>
      </w:r>
      <w:r>
        <w:t xml:space="preserve">retire. </w:t>
      </w:r>
    </w:p>
  </w:footnote>
  <w:footnote w:id="164">
    <w:p w14:paraId="5C6BD93F" w14:textId="0255CEB7" w:rsidR="00730553" w:rsidRDefault="00730553" w:rsidP="00B3792F">
      <w:pPr>
        <w:pStyle w:val="FootnoteText"/>
      </w:pPr>
      <w:r>
        <w:rPr>
          <w:rStyle w:val="FootnoteReference"/>
        </w:rPr>
        <w:footnoteRef/>
      </w:r>
      <w:r>
        <w:t xml:space="preserve"> </w:t>
      </w:r>
      <w:r w:rsidRPr="00FE2A08">
        <w:t xml:space="preserve">Differences in the incomes of individuals and couples may also drive the differences between </w:t>
      </w:r>
      <w:r>
        <w:fldChar w:fldCharType="begin"/>
      </w:r>
      <w:r>
        <w:instrText xml:space="preserve"> REF _Ref41317076 \w \h </w:instrText>
      </w:r>
      <w:r>
        <w:fldChar w:fldCharType="separate"/>
      </w:r>
      <w:r w:rsidR="00891058">
        <w:t>Chart 3B-24</w:t>
      </w:r>
      <w:r>
        <w:fldChar w:fldCharType="end"/>
      </w:r>
      <w:r w:rsidRPr="00FE2A08">
        <w:t xml:space="preserve"> and the analysis in </w:t>
      </w:r>
      <w:r w:rsidRPr="000E15B4">
        <w:rPr>
          <w:i/>
        </w:rPr>
        <w:fldChar w:fldCharType="begin"/>
      </w:r>
      <w:r w:rsidRPr="00FD5D0B">
        <w:rPr>
          <w:i/>
        </w:rPr>
        <w:instrText xml:space="preserve"> REF _Ref45138204 \w \h  \* MERGEFORMAT </w:instrText>
      </w:r>
      <w:r w:rsidRPr="000E15B4">
        <w:rPr>
          <w:i/>
        </w:rPr>
      </w:r>
      <w:r w:rsidRPr="000E15B4">
        <w:rPr>
          <w:i/>
        </w:rPr>
        <w:fldChar w:fldCharType="separate"/>
      </w:r>
      <w:r w:rsidR="00891058">
        <w:rPr>
          <w:i/>
        </w:rPr>
        <w:t>Section 3A</w:t>
      </w:r>
      <w:r w:rsidRPr="000E15B4">
        <w:rPr>
          <w:i/>
        </w:rPr>
        <w:fldChar w:fldCharType="end"/>
      </w:r>
      <w:r w:rsidRPr="000E15B4">
        <w:rPr>
          <w:i/>
        </w:rPr>
        <w:t xml:space="preserve">. </w:t>
      </w:r>
      <w:r w:rsidRPr="000E15B4">
        <w:rPr>
          <w:i/>
        </w:rPr>
        <w:fldChar w:fldCharType="begin"/>
      </w:r>
      <w:r w:rsidRPr="00FF4AA2">
        <w:rPr>
          <w:i/>
        </w:rPr>
        <w:instrText xml:space="preserve"> REF _Ref45138213 \h </w:instrText>
      </w:r>
      <w:r w:rsidRPr="00FD5D0B">
        <w:rPr>
          <w:i/>
        </w:rPr>
        <w:instrText xml:space="preserve"> \* MERGEFORMAT </w:instrText>
      </w:r>
      <w:r w:rsidRPr="000E15B4">
        <w:rPr>
          <w:i/>
        </w:rPr>
      </w:r>
      <w:r w:rsidRPr="000E15B4">
        <w:rPr>
          <w:i/>
        </w:rPr>
        <w:fldChar w:fldCharType="separate"/>
      </w:r>
      <w:r w:rsidR="00891058" w:rsidRPr="00891058">
        <w:rPr>
          <w:i/>
        </w:rPr>
        <w:t>Income and wealth distribution</w:t>
      </w:r>
      <w:r w:rsidRPr="000E15B4">
        <w:rPr>
          <w:i/>
        </w:rPr>
        <w:fldChar w:fldCharType="end"/>
      </w:r>
      <w:r w:rsidRPr="00FE2A08">
        <w:rPr>
          <w:i/>
        </w:rPr>
        <w:t>.</w:t>
      </w:r>
      <w:r w:rsidRPr="00FE2A08">
        <w:t xml:space="preserve"> For example, the 10</w:t>
      </w:r>
      <w:r w:rsidRPr="00FE2A08">
        <w:rPr>
          <w:vertAlign w:val="superscript"/>
        </w:rPr>
        <w:t>th</w:t>
      </w:r>
      <w:r w:rsidRPr="00FE2A08">
        <w:t xml:space="preserve"> percentile of individuals may have a different income to the 10</w:t>
      </w:r>
      <w:r w:rsidRPr="00FE2A08">
        <w:rPr>
          <w:vertAlign w:val="superscript"/>
        </w:rPr>
        <w:t>th</w:t>
      </w:r>
      <w:r>
        <w:t xml:space="preserve"> percentile of couples. </w:t>
      </w:r>
    </w:p>
  </w:footnote>
  <w:footnote w:id="165">
    <w:p w14:paraId="307A1D8E" w14:textId="77777777" w:rsidR="00730553" w:rsidRDefault="00730553" w:rsidP="00B3792F">
      <w:pPr>
        <w:pStyle w:val="FootnoteText"/>
      </w:pPr>
      <w:r w:rsidRPr="00FD768F">
        <w:rPr>
          <w:rStyle w:val="FootnoteReference"/>
        </w:rPr>
        <w:footnoteRef/>
      </w:r>
      <w:r w:rsidRPr="00FD768F">
        <w:t xml:space="preserve"> </w:t>
      </w:r>
      <w:r>
        <w:t>Department of Social Services</w:t>
      </w:r>
      <w:r w:rsidRPr="00FD768F">
        <w:t xml:space="preserve"> payment data, 28 June 2019.</w:t>
      </w:r>
    </w:p>
  </w:footnote>
  <w:footnote w:id="166">
    <w:p w14:paraId="57CC97FE" w14:textId="77777777" w:rsidR="00730553" w:rsidRDefault="00730553" w:rsidP="00B3792F">
      <w:pPr>
        <w:pStyle w:val="FootnoteText"/>
      </w:pPr>
      <w:r>
        <w:rPr>
          <w:rStyle w:val="FootnoteReference"/>
        </w:rPr>
        <w:footnoteRef/>
      </w:r>
      <w:r>
        <w:t xml:space="preserve"> Home ownership rate reported here is measured at the individual level by the Census. It is lower than the home ownership rate measured at the </w:t>
      </w:r>
      <w:r w:rsidRPr="00347F4A">
        <w:t xml:space="preserve">household level by the Survey of Income and Housing (see </w:t>
      </w:r>
      <w:r w:rsidRPr="00347F4A">
        <w:rPr>
          <w:i/>
        </w:rPr>
        <w:t>1D. The changing Australian landscape</w:t>
      </w:r>
      <w:r w:rsidRPr="00347F4A">
        <w:t>). This is due to</w:t>
      </w:r>
      <w:r>
        <w:t xml:space="preserve"> differences in the design of the Census and the Survey of Income and Housing.</w:t>
      </w:r>
    </w:p>
  </w:footnote>
  <w:footnote w:id="167">
    <w:p w14:paraId="5EEFC915" w14:textId="77777777" w:rsidR="00730553" w:rsidRDefault="00730553" w:rsidP="00B3792F">
      <w:pPr>
        <w:pStyle w:val="FootnoteText"/>
      </w:pPr>
      <w:r>
        <w:rPr>
          <w:rStyle w:val="FootnoteReference"/>
        </w:rPr>
        <w:footnoteRef/>
      </w:r>
      <w:r>
        <w:t xml:space="preserve"> Around </w:t>
      </w:r>
      <w:r w:rsidRPr="00E642D3">
        <w:t>12</w:t>
      </w:r>
      <w:r>
        <w:t> per cent</w:t>
      </w:r>
      <w:r w:rsidRPr="00E642D3">
        <w:t xml:space="preserve"> of home o</w:t>
      </w:r>
      <w:r>
        <w:t xml:space="preserve">wner households in retirement have mortgages </w:t>
      </w:r>
      <w:sdt>
        <w:sdtPr>
          <w:id w:val="1818293155"/>
          <w:citation/>
        </w:sdtPr>
        <w:sdtEndPr/>
        <w:sdtContent>
          <w:r>
            <w:fldChar w:fldCharType="begin"/>
          </w:r>
          <w:r>
            <w:instrText xml:space="preserve"> CITATION ABS9i \l 3081 </w:instrText>
          </w:r>
          <w:r>
            <w:fldChar w:fldCharType="separate"/>
          </w:r>
          <w:r>
            <w:rPr>
              <w:noProof/>
            </w:rPr>
            <w:t>(ABS, 2019n)</w:t>
          </w:r>
          <w:r>
            <w:fldChar w:fldCharType="end"/>
          </w:r>
        </w:sdtContent>
      </w:sdt>
      <w:r w:rsidRPr="00E642D3">
        <w:t>.</w:t>
      </w:r>
    </w:p>
  </w:footnote>
  <w:footnote w:id="168">
    <w:p w14:paraId="3002145B" w14:textId="77777777" w:rsidR="00730553" w:rsidRDefault="00730553" w:rsidP="00835E24">
      <w:pPr>
        <w:pStyle w:val="FootnoteText"/>
      </w:pPr>
      <w:r>
        <w:rPr>
          <w:rStyle w:val="FootnoteReference"/>
        </w:rPr>
        <w:footnoteRef/>
      </w:r>
      <w:r>
        <w:t xml:space="preserve"> </w:t>
      </w:r>
      <w:r w:rsidRPr="00A10A84">
        <w:t xml:space="preserve">Analysis of </w:t>
      </w:r>
      <w:sdt>
        <w:sdtPr>
          <w:id w:val="1442492348"/>
          <w:citation/>
        </w:sdtPr>
        <w:sdtEndPr/>
        <w:sdtContent>
          <w:r w:rsidRPr="00A10A84">
            <w:fldChar w:fldCharType="begin"/>
          </w:r>
          <w:r w:rsidRPr="00A10A84">
            <w:instrText xml:space="preserve">CITATION ABS9i \l 3081 </w:instrText>
          </w:r>
          <w:r w:rsidRPr="00A10A84">
            <w:fldChar w:fldCharType="separate"/>
          </w:r>
          <w:r>
            <w:rPr>
              <w:noProof/>
            </w:rPr>
            <w:t>(ABS, 2019n)</w:t>
          </w:r>
          <w:r w:rsidRPr="00A10A84">
            <w:fldChar w:fldCharType="end"/>
          </w:r>
        </w:sdtContent>
      </w:sdt>
      <w:r w:rsidRPr="00A10A84">
        <w:t>.</w:t>
      </w:r>
      <w:r w:rsidRPr="00086E01">
        <w:t xml:space="preserve"> </w:t>
      </w:r>
    </w:p>
  </w:footnote>
  <w:footnote w:id="169">
    <w:p w14:paraId="5AD3A5D9" w14:textId="77777777" w:rsidR="00730553" w:rsidRDefault="00730553" w:rsidP="00B3792F">
      <w:pPr>
        <w:pStyle w:val="FootnoteText"/>
      </w:pPr>
      <w:r>
        <w:rPr>
          <w:rStyle w:val="FootnoteReference"/>
        </w:rPr>
        <w:footnoteRef/>
      </w:r>
      <w:r>
        <w:t xml:space="preserve"> A</w:t>
      </w:r>
      <w:r w:rsidRPr="0003320E">
        <w:t xml:space="preserve"> maturing superannuation system will see the </w:t>
      </w:r>
      <w:r>
        <w:t>average</w:t>
      </w:r>
      <w:r w:rsidRPr="0003320E">
        <w:t xml:space="preserve"> balances for retirees </w:t>
      </w:r>
      <w:r>
        <w:t>(</w:t>
      </w:r>
      <w:r w:rsidRPr="0003320E">
        <w:t>in 2019 present value</w:t>
      </w:r>
      <w:r>
        <w:t>)</w:t>
      </w:r>
      <w:r w:rsidRPr="0003320E">
        <w:t xml:space="preserve"> </w:t>
      </w:r>
      <w:r>
        <w:t xml:space="preserve">approaching </w:t>
      </w:r>
      <w:r w:rsidRPr="003D18B3">
        <w:t>$500,000</w:t>
      </w:r>
      <w:r>
        <w:t xml:space="preserve"> by 2060. As such, the </w:t>
      </w:r>
      <w:r w:rsidRPr="0003320E">
        <w:t xml:space="preserve">higher assets test </w:t>
      </w:r>
      <w:r>
        <w:t>free areas are expected to benefit more renters in the future.</w:t>
      </w:r>
    </w:p>
  </w:footnote>
  <w:footnote w:id="170">
    <w:p w14:paraId="048E57EB" w14:textId="77777777" w:rsidR="00730553" w:rsidRDefault="00730553" w:rsidP="00B3792F">
      <w:pPr>
        <w:pStyle w:val="FootnoteText"/>
      </w:pPr>
      <w:r>
        <w:rPr>
          <w:rStyle w:val="FootnoteReference"/>
        </w:rPr>
        <w:footnoteRef/>
      </w:r>
      <w:r>
        <w:t xml:space="preserve"> Department of Social Services</w:t>
      </w:r>
      <w:r w:rsidRPr="00DF6838">
        <w:t xml:space="preserve"> payments data at June 2019.</w:t>
      </w:r>
    </w:p>
  </w:footnote>
  <w:footnote w:id="171">
    <w:p w14:paraId="63CF7CEE" w14:textId="77777777" w:rsidR="00730553" w:rsidRPr="005B36D4" w:rsidRDefault="00730553" w:rsidP="00B3792F">
      <w:pPr>
        <w:pStyle w:val="FootnoteText"/>
      </w:pPr>
      <w:r w:rsidRPr="005B36D4">
        <w:rPr>
          <w:rStyle w:val="FootnoteReference"/>
        </w:rPr>
        <w:footnoteRef/>
      </w:r>
      <w:r w:rsidRPr="005B36D4">
        <w:t xml:space="preserve"> These retirees are sometimes referred to as ‘asset rich but income poor’.</w:t>
      </w:r>
    </w:p>
  </w:footnote>
  <w:footnote w:id="172">
    <w:p w14:paraId="29F896E5" w14:textId="77777777" w:rsidR="00730553" w:rsidRDefault="00730553" w:rsidP="00B3792F">
      <w:pPr>
        <w:pStyle w:val="FootnoteText"/>
      </w:pPr>
      <w:r w:rsidRPr="005B36D4">
        <w:rPr>
          <w:rStyle w:val="FootnoteReference"/>
        </w:rPr>
        <w:footnoteRef/>
      </w:r>
      <w:r w:rsidRPr="005B36D4">
        <w:t xml:space="preserve"> </w:t>
      </w:r>
      <w:r>
        <w:t>Department of Social Services</w:t>
      </w:r>
      <w:r w:rsidRPr="005B36D4">
        <w:t xml:space="preserve"> analysis of payment data, June 2019.</w:t>
      </w:r>
    </w:p>
  </w:footnote>
  <w:footnote w:id="173">
    <w:p w14:paraId="40C1A044" w14:textId="77777777" w:rsidR="00730553" w:rsidRPr="00705174" w:rsidRDefault="00730553" w:rsidP="00835E24">
      <w:pPr>
        <w:pStyle w:val="FootnoteText"/>
      </w:pPr>
      <w:r>
        <w:rPr>
          <w:rStyle w:val="FootnoteReference"/>
        </w:rPr>
        <w:footnoteRef/>
      </w:r>
      <w:r>
        <w:t xml:space="preserve"> Coverage here means received any amount of SG during the year. For example, a self-employed person may earn some income </w:t>
      </w:r>
      <w:r w:rsidRPr="00705174">
        <w:t>as an employee.</w:t>
      </w:r>
    </w:p>
  </w:footnote>
  <w:footnote w:id="174">
    <w:p w14:paraId="5F2E18B5" w14:textId="77777777" w:rsidR="00730553" w:rsidRDefault="00730553" w:rsidP="00B3792F">
      <w:pPr>
        <w:pStyle w:val="FootnoteText"/>
      </w:pPr>
      <w:r w:rsidRPr="00705174">
        <w:rPr>
          <w:rStyle w:val="FootnoteReference"/>
        </w:rPr>
        <w:footnoteRef/>
      </w:r>
      <w:r w:rsidRPr="00705174">
        <w:t xml:space="preserve"> Data provided by the ATO for the review.</w:t>
      </w:r>
    </w:p>
  </w:footnote>
  <w:footnote w:id="175">
    <w:p w14:paraId="0676C6F4" w14:textId="77777777" w:rsidR="00730553" w:rsidRDefault="00730553" w:rsidP="00B3792F">
      <w:pPr>
        <w:pStyle w:val="FootnoteText"/>
      </w:pPr>
      <w:r>
        <w:rPr>
          <w:rStyle w:val="FootnoteReference"/>
        </w:rPr>
        <w:footnoteRef/>
      </w:r>
      <w:r>
        <w:t xml:space="preserve"> </w:t>
      </w:r>
      <w:r w:rsidRPr="008F3E61">
        <w:t>Analysis based on ATO Single Touch Payroll data for July 2019 provided to the review</w:t>
      </w:r>
      <w:r>
        <w:t>. As Single Touch Payroll is still being rolled out, a reliable annual estimate cannot yet be determined.</w:t>
      </w:r>
    </w:p>
  </w:footnote>
  <w:footnote w:id="176">
    <w:p w14:paraId="15BB2109" w14:textId="77777777" w:rsidR="00730553" w:rsidRDefault="00730553" w:rsidP="00B3792F">
      <w:pPr>
        <w:pStyle w:val="FootnoteText"/>
      </w:pPr>
      <w:r>
        <w:rPr>
          <w:rStyle w:val="FootnoteReference"/>
        </w:rPr>
        <w:footnoteRef/>
      </w:r>
      <w:r>
        <w:t xml:space="preserve"> The a</w:t>
      </w:r>
      <w:r w:rsidRPr="00F70EA3">
        <w:t xml:space="preserve">nnual estimate of SG forgone is based on the average </w:t>
      </w:r>
      <w:r>
        <w:t xml:space="preserve">number of </w:t>
      </w:r>
      <w:r w:rsidRPr="00F70EA3">
        <w:t xml:space="preserve">employees per month </w:t>
      </w:r>
      <w:r>
        <w:t>affected by the</w:t>
      </w:r>
      <w:r w:rsidRPr="00F70EA3">
        <w:t xml:space="preserve"> </w:t>
      </w:r>
      <w:r w:rsidRPr="00505B04">
        <w:t>$450</w:t>
      </w:r>
      <w:r>
        <w:t>-</w:t>
      </w:r>
      <w:r w:rsidRPr="00505B04">
        <w:t>a</w:t>
      </w:r>
      <w:r>
        <w:t>-</w:t>
      </w:r>
      <w:r w:rsidRPr="00505B04">
        <w:t xml:space="preserve">month </w:t>
      </w:r>
      <w:r w:rsidRPr="00C3326D">
        <w:t>threshold multiplied by their average wage of $250</w:t>
      </w:r>
      <w:r>
        <w:t xml:space="preserve"> </w:t>
      </w:r>
      <w:r w:rsidRPr="00F70EA3">
        <w:t>with 9.5</w:t>
      </w:r>
      <w:r>
        <w:t> per cent</w:t>
      </w:r>
      <w:r w:rsidRPr="00F70EA3">
        <w:t xml:space="preserve"> SG</w:t>
      </w:r>
      <w:r>
        <w:t xml:space="preserve"> rate</w:t>
      </w:r>
      <w:r w:rsidRPr="00F70EA3">
        <w:t>.</w:t>
      </w:r>
      <w:r>
        <w:t xml:space="preserve"> </w:t>
      </w:r>
      <w:r w:rsidRPr="00541DB4">
        <w:t>These are preliminary figures as S</w:t>
      </w:r>
      <w:r>
        <w:t xml:space="preserve">ingle </w:t>
      </w:r>
      <w:r w:rsidRPr="00541DB4">
        <w:t>T</w:t>
      </w:r>
      <w:r>
        <w:t xml:space="preserve">ouch </w:t>
      </w:r>
      <w:r w:rsidRPr="00541DB4">
        <w:t>P</w:t>
      </w:r>
      <w:r>
        <w:t>ayroll</w:t>
      </w:r>
      <w:r w:rsidRPr="00541DB4">
        <w:t xml:space="preserve"> reporting is not yet </w:t>
      </w:r>
      <w:r>
        <w:t>universal</w:t>
      </w:r>
      <w:r w:rsidRPr="00541DB4">
        <w:t>. In future, longer term S</w:t>
      </w:r>
      <w:r>
        <w:t xml:space="preserve">ingle </w:t>
      </w:r>
      <w:r w:rsidRPr="00541DB4">
        <w:t>T</w:t>
      </w:r>
      <w:r>
        <w:t xml:space="preserve">ouch </w:t>
      </w:r>
      <w:r w:rsidRPr="00541DB4">
        <w:t>P</w:t>
      </w:r>
      <w:r>
        <w:t>ayroll</w:t>
      </w:r>
      <w:r w:rsidRPr="00541DB4">
        <w:t xml:space="preserve"> reporting will allow for more accurate estimate</w:t>
      </w:r>
      <w:r>
        <w:t>s</w:t>
      </w:r>
      <w:r w:rsidRPr="00541DB4">
        <w:t xml:space="preserve"> of the number of people affected by the </w:t>
      </w:r>
      <w:r w:rsidRPr="00505B04">
        <w:t>$450</w:t>
      </w:r>
      <w:r>
        <w:t>-</w:t>
      </w:r>
      <w:r w:rsidRPr="00505B04">
        <w:t>a</w:t>
      </w:r>
      <w:r>
        <w:t>-</w:t>
      </w:r>
      <w:r w:rsidRPr="00505B04">
        <w:t>month threshold</w:t>
      </w:r>
      <w:r w:rsidRPr="00541DB4">
        <w:t xml:space="preserve"> and the SG forgone</w:t>
      </w:r>
      <w:r>
        <w:t xml:space="preserve"> in a given year.</w:t>
      </w:r>
    </w:p>
  </w:footnote>
  <w:footnote w:id="177">
    <w:p w14:paraId="46EF180E" w14:textId="77777777" w:rsidR="00730553" w:rsidRDefault="00730553" w:rsidP="00B3792F">
      <w:pPr>
        <w:pStyle w:val="FootnoteText"/>
      </w:pPr>
      <w:r>
        <w:rPr>
          <w:rStyle w:val="FootnoteReference"/>
        </w:rPr>
        <w:footnoteRef/>
      </w:r>
      <w:r>
        <w:t xml:space="preserve"> This means earning an hourly wage at the legal minimum as determined by the National Minimum Wage or an industry or occupational award agreement. At May 2018, around 20 per cent of all employees were paid at an award wage</w:t>
      </w:r>
      <w:r w:rsidRPr="00392178">
        <w:fldChar w:fldCharType="begin"/>
      </w:r>
      <w:r w:rsidRPr="00A368FC">
        <w:instrText xml:space="preserve"> CITATION ABS195 \l 3081 </w:instrText>
      </w:r>
      <w:r w:rsidRPr="00392178">
        <w:fldChar w:fldCharType="separate"/>
      </w:r>
      <w:r>
        <w:rPr>
          <w:noProof/>
        </w:rPr>
        <w:t xml:space="preserve"> (ABS, 2019h)</w:t>
      </w:r>
      <w:r w:rsidRPr="00392178">
        <w:fldChar w:fldCharType="end"/>
      </w:r>
      <w:r w:rsidRPr="00392178">
        <w:t>.</w:t>
      </w:r>
    </w:p>
  </w:footnote>
  <w:footnote w:id="178">
    <w:p w14:paraId="5D7ABD5B" w14:textId="77777777" w:rsidR="00730553" w:rsidRDefault="00730553" w:rsidP="00B3792F">
      <w:pPr>
        <w:pStyle w:val="FootnoteText"/>
      </w:pPr>
      <w:r>
        <w:rPr>
          <w:rStyle w:val="FootnoteReference"/>
        </w:rPr>
        <w:footnoteRef/>
      </w:r>
      <w:r>
        <w:t xml:space="preserve"> </w:t>
      </w:r>
      <w:r w:rsidRPr="00443383">
        <w:t xml:space="preserve">Analysis of Survey </w:t>
      </w:r>
      <w:r>
        <w:t xml:space="preserve">of Income and Housing, </w:t>
      </w:r>
      <w:r w:rsidRPr="009A6795">
        <w:t xml:space="preserve">2017-18 </w:t>
      </w:r>
      <w:sdt>
        <w:sdtPr>
          <w:id w:val="766812841"/>
          <w:citation/>
        </w:sdtPr>
        <w:sdtEndPr/>
        <w:sdtContent>
          <w:r w:rsidRPr="009A6795">
            <w:fldChar w:fldCharType="begin"/>
          </w:r>
          <w:r w:rsidRPr="009A6795">
            <w:instrText xml:space="preserve">CITATION ABS196 \l 3081 </w:instrText>
          </w:r>
          <w:r w:rsidRPr="009A6795">
            <w:fldChar w:fldCharType="separate"/>
          </w:r>
          <w:r>
            <w:rPr>
              <w:noProof/>
            </w:rPr>
            <w:t>(ABS, 2019s)</w:t>
          </w:r>
          <w:r w:rsidRPr="009A6795">
            <w:fldChar w:fldCharType="end"/>
          </w:r>
        </w:sdtContent>
      </w:sdt>
      <w:r w:rsidRPr="009A6795">
        <w:t>.</w:t>
      </w:r>
    </w:p>
  </w:footnote>
  <w:footnote w:id="179">
    <w:p w14:paraId="48BF37F5" w14:textId="77777777" w:rsidR="00730553" w:rsidRDefault="00730553" w:rsidP="00B3792F">
      <w:pPr>
        <w:pStyle w:val="FootnoteText"/>
      </w:pPr>
      <w:r>
        <w:rPr>
          <w:rStyle w:val="FootnoteReference"/>
        </w:rPr>
        <w:footnoteRef/>
      </w:r>
      <w:r>
        <w:t xml:space="preserve"> </w:t>
      </w:r>
      <w:r w:rsidRPr="00D2171E">
        <w:t>The International Monetary Fund and the O</w:t>
      </w:r>
      <w:r>
        <w:t>ECD</w:t>
      </w:r>
      <w:r w:rsidRPr="00D2171E">
        <w:t xml:space="preserve"> consider top-down methods to be best practice in estimating theoretical tax </w:t>
      </w:r>
      <w:r w:rsidRPr="00BB666B">
        <w:t>collections</w:t>
      </w:r>
      <w:sdt>
        <w:sdtPr>
          <w:id w:val="-2037026684"/>
          <w:citation/>
        </w:sdtPr>
        <w:sdtEndPr/>
        <w:sdtContent>
          <w:r w:rsidRPr="00E2172C">
            <w:fldChar w:fldCharType="begin"/>
          </w:r>
          <w:r w:rsidRPr="00E2172C">
            <w:instrText xml:space="preserve"> CITATION ATO0e \l 3081 </w:instrText>
          </w:r>
          <w:r w:rsidRPr="00E2172C">
            <w:fldChar w:fldCharType="separate"/>
          </w:r>
          <w:r>
            <w:rPr>
              <w:noProof/>
            </w:rPr>
            <w:t xml:space="preserve"> (ATO, 2020e)</w:t>
          </w:r>
          <w:r w:rsidRPr="00E2172C">
            <w:fldChar w:fldCharType="end"/>
          </w:r>
        </w:sdtContent>
      </w:sdt>
      <w:r w:rsidRPr="00E2172C">
        <w:t>.</w:t>
      </w:r>
    </w:p>
  </w:footnote>
  <w:footnote w:id="180">
    <w:p w14:paraId="6AD27B0F" w14:textId="77777777" w:rsidR="00730553" w:rsidRDefault="00730553" w:rsidP="00B3792F">
      <w:pPr>
        <w:pStyle w:val="FootnoteText"/>
      </w:pPr>
      <w:r>
        <w:rPr>
          <w:rStyle w:val="FootnoteReference"/>
        </w:rPr>
        <w:footnoteRef/>
      </w:r>
      <w:r>
        <w:t xml:space="preserve"> </w:t>
      </w:r>
      <w:r w:rsidRPr="009A6795">
        <w:t>Analysis provided by the ATO for the review. The 2</w:t>
      </w:r>
      <w:r>
        <w:t> per cent</w:t>
      </w:r>
      <w:r w:rsidRPr="009A6795">
        <w:t xml:space="preserve"> sample of individuals</w:t>
      </w:r>
      <w:r>
        <w:t>’</w:t>
      </w:r>
      <w:r w:rsidRPr="009A6795">
        <w:t xml:space="preserve"> tax returns is a data</w:t>
      </w:r>
      <w:r>
        <w:t>set</w:t>
      </w:r>
      <w:r w:rsidRPr="009A6795">
        <w:t xml:space="preserve"> provided to researchers. The ATO’s full data</w:t>
      </w:r>
      <w:r>
        <w:t>set</w:t>
      </w:r>
      <w:r w:rsidRPr="009A6795">
        <w:t xml:space="preserve"> allows</w:t>
      </w:r>
      <w:r>
        <w:t xml:space="preserve"> the identification of defined benefit recipients.</w:t>
      </w:r>
    </w:p>
  </w:footnote>
  <w:footnote w:id="181">
    <w:p w14:paraId="27C7CC1D" w14:textId="77777777" w:rsidR="00730553" w:rsidRPr="00CF47F1" w:rsidRDefault="00730553" w:rsidP="00B3792F">
      <w:pPr>
        <w:pStyle w:val="FootnoteText"/>
      </w:pPr>
      <w:r>
        <w:rPr>
          <w:rStyle w:val="FootnoteReference"/>
        </w:rPr>
        <w:footnoteRef/>
      </w:r>
      <w:r>
        <w:t xml:space="preserve"> When a new company is created to continue a business that has been deliberately liquidated to avoid paying its </w:t>
      </w:r>
      <w:r w:rsidRPr="00CF47F1">
        <w:t>debts and employee entitlements.</w:t>
      </w:r>
    </w:p>
  </w:footnote>
  <w:footnote w:id="182">
    <w:p w14:paraId="36EE2A1C" w14:textId="77777777" w:rsidR="00730553" w:rsidRDefault="00730553" w:rsidP="00B3792F">
      <w:pPr>
        <w:pStyle w:val="FootnoteText"/>
      </w:pPr>
      <w:r w:rsidRPr="00CF47F1">
        <w:rPr>
          <w:rStyle w:val="FootnoteReference"/>
        </w:rPr>
        <w:footnoteRef/>
      </w:r>
      <w:r w:rsidRPr="00CF47F1">
        <w:t xml:space="preserve"> Data provided by the ATO for the review.</w:t>
      </w:r>
    </w:p>
  </w:footnote>
  <w:footnote w:id="183">
    <w:p w14:paraId="69D24923" w14:textId="77777777" w:rsidR="00730553" w:rsidRDefault="00730553" w:rsidP="00B3792F">
      <w:pPr>
        <w:pStyle w:val="FootnoteText"/>
      </w:pPr>
      <w:r>
        <w:rPr>
          <w:rStyle w:val="FootnoteReference"/>
        </w:rPr>
        <w:footnoteRef/>
      </w:r>
      <w:r>
        <w:t xml:space="preserve"> An employee can also pursue </w:t>
      </w:r>
      <w:r w:rsidRPr="00C23A44">
        <w:t xml:space="preserve">unpaid SG by an employer if the superannuation entitlement is included in their contract or enterprise agreement </w:t>
      </w:r>
      <w:sdt>
        <w:sdtPr>
          <w:id w:val="-97338885"/>
          <w:citation/>
        </w:sdtPr>
        <w:sdtEndPr/>
        <w:sdtContent>
          <w:r w:rsidRPr="00C23A44">
            <w:fldChar w:fldCharType="begin"/>
          </w:r>
          <w:r w:rsidRPr="00C23A44">
            <w:instrText xml:space="preserve">CITATION Sen17 \p 64 \t  \l 3081 </w:instrText>
          </w:r>
          <w:r w:rsidRPr="00C23A44">
            <w:fldChar w:fldCharType="separate"/>
          </w:r>
          <w:r>
            <w:rPr>
              <w:noProof/>
            </w:rPr>
            <w:t>(Senate Economics References Committee, 2017, p. 64)</w:t>
          </w:r>
          <w:r w:rsidRPr="00C23A44">
            <w:fldChar w:fldCharType="end"/>
          </w:r>
        </w:sdtContent>
      </w:sdt>
      <w:r w:rsidRPr="00C23A44">
        <w:t>.</w:t>
      </w:r>
    </w:p>
  </w:footnote>
  <w:footnote w:id="184">
    <w:p w14:paraId="434CC32B" w14:textId="77777777" w:rsidR="00730553" w:rsidRDefault="00730553" w:rsidP="00B3792F">
      <w:pPr>
        <w:pStyle w:val="FootnoteText"/>
      </w:pPr>
      <w:r>
        <w:rPr>
          <w:rStyle w:val="FootnoteReference"/>
        </w:rPr>
        <w:footnoteRef/>
      </w:r>
      <w:r>
        <w:t xml:space="preserve"> Data provided by the </w:t>
      </w:r>
      <w:r w:rsidRPr="009C4F9B">
        <w:t>ATO for the review.</w:t>
      </w:r>
    </w:p>
  </w:footnote>
  <w:footnote w:id="185">
    <w:p w14:paraId="72E82155" w14:textId="77777777" w:rsidR="00730553" w:rsidRDefault="00730553" w:rsidP="00B3792F">
      <w:pPr>
        <w:pStyle w:val="FootnoteText"/>
      </w:pPr>
      <w:r>
        <w:rPr>
          <w:rStyle w:val="FootnoteReference"/>
        </w:rPr>
        <w:footnoteRef/>
      </w:r>
      <w:r>
        <w:t xml:space="preserve"> 2016-17 data provided by the </w:t>
      </w:r>
      <w:r w:rsidRPr="009C4F9B">
        <w:t>ATO for the review</w:t>
      </w:r>
      <w:r>
        <w:t>.</w:t>
      </w:r>
    </w:p>
  </w:footnote>
  <w:footnote w:id="186">
    <w:p w14:paraId="4E53BC7A" w14:textId="77777777" w:rsidR="00730553" w:rsidRDefault="00730553" w:rsidP="00835E24">
      <w:pPr>
        <w:pStyle w:val="FootnoteText"/>
      </w:pPr>
      <w:r>
        <w:rPr>
          <w:rStyle w:val="FootnoteReference"/>
        </w:rPr>
        <w:footnoteRef/>
      </w:r>
      <w:r>
        <w:t xml:space="preserve"> The rate of failure of small businesses is lower than often thought, looking at </w:t>
      </w:r>
      <w:r w:rsidRPr="004125E7">
        <w:t xml:space="preserve">rates of closures or exits </w:t>
      </w:r>
      <w:sdt>
        <w:sdtPr>
          <w:id w:val="1594125974"/>
          <w:citation/>
        </w:sdtPr>
        <w:sdtEndPr/>
        <w:sdtContent>
          <w:r w:rsidRPr="004125E7">
            <w:fldChar w:fldCharType="begin"/>
          </w:r>
          <w:r w:rsidRPr="004125E7">
            <w:instrText xml:space="preserve">CITATION Hou05 \p 98-99 \l 3081 </w:instrText>
          </w:r>
          <w:r w:rsidRPr="004125E7">
            <w:fldChar w:fldCharType="separate"/>
          </w:r>
          <w:r>
            <w:rPr>
              <w:noProof/>
            </w:rPr>
            <w:t>(House Standing Committee on Economics, Finance and Public Administration, 2005, pp. 98-99)</w:t>
          </w:r>
          <w:r w:rsidRPr="004125E7">
            <w:fldChar w:fldCharType="end"/>
          </w:r>
        </w:sdtContent>
      </w:sdt>
      <w:r w:rsidRPr="004125E7">
        <w:t>. The Productivity</w:t>
      </w:r>
      <w:r>
        <w:t xml:space="preserve"> Commission measured the </w:t>
      </w:r>
      <w:r w:rsidRPr="004125E7">
        <w:t>failure rate of unincorporated businesses from 1991</w:t>
      </w:r>
      <w:r>
        <w:noBreakHyphen/>
      </w:r>
      <w:r w:rsidRPr="004125E7">
        <w:t>92 to 1999</w:t>
      </w:r>
      <w:r>
        <w:noBreakHyphen/>
      </w:r>
      <w:r w:rsidRPr="004125E7">
        <w:t>2000 at just 0.36</w:t>
      </w:r>
      <w:r>
        <w:t> per cent</w:t>
      </w:r>
      <w:r w:rsidRPr="004125E7">
        <w:t xml:space="preserve"> of businesses per year </w:t>
      </w:r>
      <w:sdt>
        <w:sdtPr>
          <w:id w:val="-612902943"/>
          <w:citation/>
        </w:sdtPr>
        <w:sdtEndPr/>
        <w:sdtContent>
          <w:r w:rsidRPr="004125E7">
            <w:fldChar w:fldCharType="begin"/>
          </w:r>
          <w:r w:rsidRPr="004125E7">
            <w:instrText xml:space="preserve">CITATION PC00 \p 39 \l 3081 </w:instrText>
          </w:r>
          <w:r w:rsidRPr="004125E7">
            <w:fldChar w:fldCharType="separate"/>
          </w:r>
          <w:r>
            <w:rPr>
              <w:noProof/>
            </w:rPr>
            <w:t>(Bickerdyke, et al., 2000, p. 39)</w:t>
          </w:r>
          <w:r w:rsidRPr="004125E7">
            <w:fldChar w:fldCharType="end"/>
          </w:r>
        </w:sdtContent>
      </w:sdt>
      <w:r w:rsidRPr="004125E7">
        <w:t>. Failure rates of business are tied to the business cycle and will increase during downturns, such as the COVID</w:t>
      </w:r>
      <w:r>
        <w:noBreakHyphen/>
        <w:t>19 Pandemic.</w:t>
      </w:r>
    </w:p>
  </w:footnote>
  <w:footnote w:id="187">
    <w:p w14:paraId="7D72853C" w14:textId="77777777" w:rsidR="00730553" w:rsidRDefault="00730553" w:rsidP="00B3792F">
      <w:pPr>
        <w:pStyle w:val="FootnoteText"/>
      </w:pPr>
      <w:r>
        <w:rPr>
          <w:rStyle w:val="FootnoteReference"/>
        </w:rPr>
        <w:footnoteRef/>
      </w:r>
      <w:r>
        <w:t xml:space="preserve"> </w:t>
      </w:r>
      <w:r w:rsidRPr="005004A4">
        <w:t xml:space="preserve">Sham contracting is an illegal method of employment under section 357 of the </w:t>
      </w:r>
      <w:r w:rsidRPr="00322EC2">
        <w:rPr>
          <w:i/>
        </w:rPr>
        <w:t>Fair Work Act 2009</w:t>
      </w:r>
      <w:r w:rsidRPr="00322EC2">
        <w:t>. Not all workers consider</w:t>
      </w:r>
      <w:r>
        <w:t>ed</w:t>
      </w:r>
      <w:r w:rsidRPr="00322EC2">
        <w:t xml:space="preserve"> in this section necessarily represent sham contracting.</w:t>
      </w:r>
    </w:p>
  </w:footnote>
  <w:footnote w:id="188">
    <w:p w14:paraId="2D6E44BC" w14:textId="77777777" w:rsidR="00730553" w:rsidRDefault="00730553" w:rsidP="00B3792F">
      <w:r>
        <w:rPr>
          <w:rStyle w:val="FootnoteReference"/>
        </w:rPr>
        <w:footnoteRef/>
      </w:r>
      <w:r>
        <w:t xml:space="preserve"> </w:t>
      </w:r>
      <w:r w:rsidRPr="00C647A5">
        <w:rPr>
          <w:sz w:val="20"/>
        </w:rPr>
        <w:t xml:space="preserve">One </w:t>
      </w:r>
      <w:r w:rsidRPr="004125E7">
        <w:rPr>
          <w:sz w:val="20"/>
        </w:rPr>
        <w:t>study estimated about 80,000 worked on a gig economy platform more than once a month in 2016</w:t>
      </w:r>
      <w:r w:rsidRPr="004125E7">
        <w:rPr>
          <w:sz w:val="20"/>
        </w:rPr>
        <w:fldChar w:fldCharType="begin"/>
      </w:r>
      <w:r w:rsidRPr="004125E7">
        <w:rPr>
          <w:sz w:val="20"/>
        </w:rPr>
        <w:instrText xml:space="preserve"> CITATION Min16 \l 3081 </w:instrText>
      </w:r>
      <w:r w:rsidRPr="004125E7">
        <w:rPr>
          <w:sz w:val="20"/>
        </w:rPr>
        <w:fldChar w:fldCharType="separate"/>
      </w:r>
      <w:r>
        <w:rPr>
          <w:noProof/>
          <w:sz w:val="20"/>
        </w:rPr>
        <w:t xml:space="preserve"> </w:t>
      </w:r>
      <w:r w:rsidRPr="00E83F6E">
        <w:rPr>
          <w:noProof/>
          <w:sz w:val="20"/>
        </w:rPr>
        <w:t>(Minifie, 2016)</w:t>
      </w:r>
      <w:r w:rsidRPr="004125E7">
        <w:rPr>
          <w:sz w:val="20"/>
        </w:rPr>
        <w:fldChar w:fldCharType="end"/>
      </w:r>
      <w:r w:rsidRPr="004125E7">
        <w:rPr>
          <w:sz w:val="20"/>
        </w:rPr>
        <w:t>. Another study estimated 150,000 people were in the gig economy workforce in 2018, increasing from</w:t>
      </w:r>
      <w:r w:rsidRPr="0044321E">
        <w:rPr>
          <w:sz w:val="20"/>
        </w:rPr>
        <w:t xml:space="preserve"> 100,000 estimated in 2017 </w:t>
      </w:r>
      <w:sdt>
        <w:sdtPr>
          <w:rPr>
            <w:sz w:val="20"/>
          </w:rPr>
          <w:id w:val="1923676311"/>
          <w:citation/>
        </w:sdtPr>
        <w:sdtEndPr/>
        <w:sdtContent>
          <w:r w:rsidRPr="0044321E">
            <w:rPr>
              <w:sz w:val="20"/>
            </w:rPr>
            <w:fldChar w:fldCharType="begin"/>
          </w:r>
          <w:r w:rsidRPr="0044321E">
            <w:rPr>
              <w:sz w:val="20"/>
            </w:rPr>
            <w:instrText xml:space="preserve">CITATION ASF18b \l 3081 </w:instrText>
          </w:r>
          <w:r w:rsidRPr="0044321E">
            <w:rPr>
              <w:sz w:val="20"/>
            </w:rPr>
            <w:fldChar w:fldCharType="separate"/>
          </w:r>
          <w:r w:rsidRPr="00E83F6E">
            <w:rPr>
              <w:noProof/>
              <w:sz w:val="20"/>
            </w:rPr>
            <w:t>(ASFA, 2018b)</w:t>
          </w:r>
          <w:r w:rsidRPr="0044321E">
            <w:rPr>
              <w:sz w:val="20"/>
            </w:rPr>
            <w:fldChar w:fldCharType="end"/>
          </w:r>
        </w:sdtContent>
      </w:sdt>
      <w:r>
        <w:rPr>
          <w:sz w:val="20"/>
        </w:rPr>
        <w:t>.</w:t>
      </w:r>
    </w:p>
  </w:footnote>
  <w:footnote w:id="189">
    <w:p w14:paraId="7A4FB689" w14:textId="77777777" w:rsidR="00730553" w:rsidRDefault="00730553" w:rsidP="00B3792F">
      <w:pPr>
        <w:pStyle w:val="FootnoteText"/>
      </w:pPr>
      <w:r>
        <w:rPr>
          <w:rStyle w:val="FootnoteReference"/>
        </w:rPr>
        <w:footnoteRef/>
      </w:r>
      <w:r>
        <w:t xml:space="preserve"> Review calculation based </w:t>
      </w:r>
      <w:r w:rsidRPr="00EC5A19">
        <w:t xml:space="preserve">on </w:t>
      </w:r>
      <w:sdt>
        <w:sdtPr>
          <w:id w:val="-2016222728"/>
          <w:citation/>
        </w:sdtPr>
        <w:sdtEndPr/>
        <w:sdtContent>
          <w:r w:rsidRPr="00EC5A19">
            <w:fldChar w:fldCharType="begin"/>
          </w:r>
          <w:r w:rsidRPr="00EC5A19">
            <w:instrText xml:space="preserve"> CITATION ABS203 \l 3081 </w:instrText>
          </w:r>
          <w:r w:rsidRPr="00EC5A19">
            <w:fldChar w:fldCharType="separate"/>
          </w:r>
          <w:r>
            <w:rPr>
              <w:noProof/>
            </w:rPr>
            <w:t>(ABS, 2020c)</w:t>
          </w:r>
          <w:r w:rsidRPr="00EC5A19">
            <w:fldChar w:fldCharType="end"/>
          </w:r>
        </w:sdtContent>
      </w:sdt>
      <w:r w:rsidRPr="00EC5A19">
        <w:t>.</w:t>
      </w:r>
    </w:p>
  </w:footnote>
  <w:footnote w:id="190">
    <w:p w14:paraId="5F1AA898" w14:textId="77777777" w:rsidR="00730553" w:rsidRDefault="00730553" w:rsidP="00B3792F">
      <w:pPr>
        <w:pStyle w:val="FootnoteText"/>
      </w:pPr>
      <w:r>
        <w:rPr>
          <w:rStyle w:val="FootnoteReference"/>
        </w:rPr>
        <w:footnoteRef/>
      </w:r>
      <w:r>
        <w:t xml:space="preserve"> This analysis is based on the standard rate of JobSeeker Payment, which does not include the temporary Coronavirus Supplement.</w:t>
      </w:r>
    </w:p>
  </w:footnote>
  <w:footnote w:id="191">
    <w:p w14:paraId="1CC2AEC1" w14:textId="77777777" w:rsidR="00730553" w:rsidRDefault="00730553">
      <w:pPr>
        <w:pStyle w:val="FootnoteText"/>
      </w:pPr>
      <w:r>
        <w:rPr>
          <w:rStyle w:val="FootnoteReference"/>
        </w:rPr>
        <w:footnoteRef/>
      </w:r>
      <w:r>
        <w:t xml:space="preserve"> Standard rate as at 26 April 2020.</w:t>
      </w:r>
    </w:p>
  </w:footnote>
  <w:footnote w:id="192">
    <w:p w14:paraId="73B6EC4A" w14:textId="77777777" w:rsidR="00730553" w:rsidRDefault="00730553" w:rsidP="00B3792F">
      <w:pPr>
        <w:pStyle w:val="FootnoteText"/>
        <w:keepLines/>
      </w:pPr>
      <w:r>
        <w:rPr>
          <w:rStyle w:val="FootnoteReference"/>
        </w:rPr>
        <w:footnoteRef/>
      </w:r>
      <w:r>
        <w:t xml:space="preserve"> Some subtle differences exist </w:t>
      </w:r>
      <w:r w:rsidRPr="00DD4850">
        <w:t>between the two surveys</w:t>
      </w:r>
      <w:r w:rsidRPr="00C1416E">
        <w:t xml:space="preserve">. </w:t>
      </w:r>
      <w:r>
        <w:t xml:space="preserve">The ABS survey measures the main reason for ceasing last job, while the HILDA Survey measures the main reason for retiring. The HILDA Survey also allows people to self-assess when they retired. This may mean the point of retirement is not when the person ceases their last job. The ABS survey does not account for </w:t>
      </w:r>
      <w:r w:rsidRPr="00CD75D7">
        <w:t>people</w:t>
      </w:r>
      <w:r>
        <w:t xml:space="preserve"> who have retired</w:t>
      </w:r>
      <w:r w:rsidRPr="00CD75D7">
        <w:t xml:space="preserve"> being able </w:t>
      </w:r>
      <w:r>
        <w:t>to re-enter the workforce</w:t>
      </w:r>
      <w:r w:rsidRPr="00CD75D7" w:rsidDel="00C60619">
        <w:t xml:space="preserve"> </w:t>
      </w:r>
      <w:r w:rsidRPr="00CD75D7">
        <w:t>after completing this survey.</w:t>
      </w:r>
    </w:p>
  </w:footnote>
  <w:footnote w:id="193">
    <w:p w14:paraId="4B93CC57" w14:textId="77777777" w:rsidR="00730553" w:rsidRDefault="00730553" w:rsidP="00B3792F">
      <w:pPr>
        <w:pStyle w:val="FootnoteText"/>
      </w:pPr>
      <w:r>
        <w:rPr>
          <w:rStyle w:val="FootnoteReference"/>
        </w:rPr>
        <w:footnoteRef/>
      </w:r>
      <w:r>
        <w:t xml:space="preserve"> </w:t>
      </w:r>
      <w:r w:rsidRPr="004778DD">
        <w:t xml:space="preserve">Analysis of </w:t>
      </w:r>
      <w:r w:rsidRPr="001B56E1">
        <w:t>HILDA Survey data (Waves 12-15</w:t>
      </w:r>
      <w:r>
        <w:t>).</w:t>
      </w:r>
    </w:p>
  </w:footnote>
  <w:footnote w:id="194">
    <w:p w14:paraId="00131062" w14:textId="77777777" w:rsidR="00730553" w:rsidRDefault="00730553" w:rsidP="00B3792F">
      <w:pPr>
        <w:pStyle w:val="FootnoteText"/>
      </w:pPr>
      <w:r>
        <w:rPr>
          <w:rStyle w:val="FootnoteReference"/>
        </w:rPr>
        <w:footnoteRef/>
      </w:r>
      <w:r>
        <w:t xml:space="preserve"> </w:t>
      </w:r>
      <w:sdt>
        <w:sdtPr>
          <w:id w:val="-1838689803"/>
          <w:citation/>
        </w:sdtPr>
        <w:sdtEndPr/>
        <w:sdtContent>
          <w:r>
            <w:fldChar w:fldCharType="begin"/>
          </w:r>
          <w:r>
            <w:instrText xml:space="preserve">CITATION HIL18 \l 3081 </w:instrText>
          </w:r>
          <w:r>
            <w:fldChar w:fldCharType="separate"/>
          </w:r>
          <w:r>
            <w:rPr>
              <w:noProof/>
            </w:rPr>
            <w:t>(The University of Melbourne, 2018)</w:t>
          </w:r>
          <w:r>
            <w:fldChar w:fldCharType="end"/>
          </w:r>
        </w:sdtContent>
      </w:sdt>
      <w:r>
        <w:t>.</w:t>
      </w:r>
    </w:p>
  </w:footnote>
  <w:footnote w:id="195">
    <w:p w14:paraId="76682CDB" w14:textId="77777777" w:rsidR="00730553" w:rsidRDefault="00730553" w:rsidP="00B3792F">
      <w:pPr>
        <w:pStyle w:val="FootnoteText"/>
      </w:pPr>
      <w:r>
        <w:rPr>
          <w:rStyle w:val="FootnoteReference"/>
        </w:rPr>
        <w:footnoteRef/>
      </w:r>
      <w:r>
        <w:t xml:space="preserve"> </w:t>
      </w:r>
      <w:sdt>
        <w:sdtPr>
          <w:id w:val="-814872936"/>
          <w:citation/>
        </w:sdtPr>
        <w:sdtEndPr/>
        <w:sdtContent>
          <w:r>
            <w:fldChar w:fldCharType="begin"/>
          </w:r>
          <w:r>
            <w:instrText xml:space="preserve"> CITATION ABS205 \l 3081 </w:instrText>
          </w:r>
          <w:r>
            <w:fldChar w:fldCharType="separate"/>
          </w:r>
          <w:r>
            <w:rPr>
              <w:noProof/>
            </w:rPr>
            <w:t>(ABS, 2020n)</w:t>
          </w:r>
          <w:r>
            <w:fldChar w:fldCharType="end"/>
          </w:r>
        </w:sdtContent>
      </w:sdt>
      <w:r>
        <w:t>.</w:t>
      </w:r>
    </w:p>
  </w:footnote>
  <w:footnote w:id="196">
    <w:p w14:paraId="158DC2AD" w14:textId="77777777" w:rsidR="00730553" w:rsidRDefault="00730553" w:rsidP="00B3792F">
      <w:pPr>
        <w:pStyle w:val="FootnoteText"/>
      </w:pPr>
      <w:r>
        <w:rPr>
          <w:rStyle w:val="FootnoteReference"/>
        </w:rPr>
        <w:footnoteRef/>
      </w:r>
      <w:r>
        <w:t xml:space="preserve"> </w:t>
      </w:r>
      <w:r w:rsidRPr="008642D0">
        <w:t>Analysis of HILDA Survey data (Waves 1, 2, 3, 12, 13, 14 and 15).</w:t>
      </w:r>
    </w:p>
  </w:footnote>
  <w:footnote w:id="197">
    <w:p w14:paraId="7A72245C" w14:textId="77777777" w:rsidR="00730553" w:rsidRDefault="00730553" w:rsidP="00B3792F">
      <w:pPr>
        <w:pStyle w:val="FootnoteText"/>
      </w:pPr>
      <w:r>
        <w:rPr>
          <w:rStyle w:val="FootnoteReference"/>
        </w:rPr>
        <w:footnoteRef/>
      </w:r>
      <w:r>
        <w:t xml:space="preserve"> Analysis of </w:t>
      </w:r>
      <w:r w:rsidRPr="00B574AB">
        <w:t>HILDA Survey data (Waves 1-11).</w:t>
      </w:r>
    </w:p>
  </w:footnote>
  <w:footnote w:id="198">
    <w:p w14:paraId="07E9E280" w14:textId="77777777" w:rsidR="00730553" w:rsidRDefault="00730553" w:rsidP="00B3792F">
      <w:pPr>
        <w:spacing w:before="0" w:after="0"/>
      </w:pPr>
      <w:r>
        <w:rPr>
          <w:rStyle w:val="FootnoteReference"/>
        </w:rPr>
        <w:footnoteRef/>
      </w:r>
      <w:r>
        <w:t xml:space="preserve"> </w:t>
      </w:r>
      <w:r w:rsidRPr="005B4971">
        <w:rPr>
          <w:sz w:val="20"/>
        </w:rPr>
        <w:t xml:space="preserve">These </w:t>
      </w:r>
      <w:r>
        <w:rPr>
          <w:sz w:val="20"/>
        </w:rPr>
        <w:t xml:space="preserve">are </w:t>
      </w:r>
      <w:r w:rsidRPr="005B4971">
        <w:rPr>
          <w:sz w:val="20"/>
        </w:rPr>
        <w:t xml:space="preserve">not the only factors associated with early and/or involuntary retirement. For example, the Australian Centre for Financial Studies </w:t>
      </w:r>
      <w:sdt>
        <w:sdtPr>
          <w:rPr>
            <w:sz w:val="20"/>
          </w:rPr>
          <w:id w:val="1049420921"/>
          <w:citation/>
        </w:sdtPr>
        <w:sdtEndPr/>
        <w:sdtContent>
          <w:r w:rsidRPr="00B574AB">
            <w:rPr>
              <w:sz w:val="20"/>
            </w:rPr>
            <w:fldChar w:fldCharType="begin"/>
          </w:r>
          <w:r w:rsidRPr="00B574AB">
            <w:rPr>
              <w:sz w:val="20"/>
            </w:rPr>
            <w:instrText xml:space="preserve">CITATION Aus14 \n  \t  \l 3081 </w:instrText>
          </w:r>
          <w:r w:rsidRPr="00B574AB">
            <w:rPr>
              <w:sz w:val="20"/>
            </w:rPr>
            <w:fldChar w:fldCharType="separate"/>
          </w:r>
          <w:r w:rsidRPr="00E83F6E">
            <w:rPr>
              <w:noProof/>
              <w:sz w:val="20"/>
            </w:rPr>
            <w:t>(2014)</w:t>
          </w:r>
          <w:r w:rsidRPr="00B574AB">
            <w:rPr>
              <w:sz w:val="20"/>
            </w:rPr>
            <w:fldChar w:fldCharType="end"/>
          </w:r>
        </w:sdtContent>
      </w:sdt>
      <w:r w:rsidRPr="005B4971">
        <w:rPr>
          <w:sz w:val="20"/>
        </w:rPr>
        <w:t xml:space="preserve"> found that people with poor English language proficiency are more likely to retire before age 60.</w:t>
      </w:r>
      <w:r>
        <w:t xml:space="preserve"> </w:t>
      </w:r>
    </w:p>
  </w:footnote>
  <w:footnote w:id="199">
    <w:p w14:paraId="32A2EC64" w14:textId="77777777" w:rsidR="00730553" w:rsidRDefault="00730553" w:rsidP="00B3792F">
      <w:pPr>
        <w:pStyle w:val="FootnoteText"/>
      </w:pPr>
      <w:r>
        <w:rPr>
          <w:rStyle w:val="FootnoteReference"/>
        </w:rPr>
        <w:footnoteRef/>
      </w:r>
      <w:r>
        <w:t xml:space="preserve"> Wealth over the five years before retirement is a better proxy for lifetime income and socio-economic status than income leading into retirement. Part-time work pre-retirement is more common </w:t>
      </w:r>
      <w:r w:rsidRPr="00DF30A4">
        <w:t xml:space="preserve">among </w:t>
      </w:r>
      <w:r>
        <w:t xml:space="preserve">people with </w:t>
      </w:r>
      <w:r w:rsidRPr="00DF30A4">
        <w:t xml:space="preserve">high income and wealth, who are able to reduce their working hours and still maintain their </w:t>
      </w:r>
      <w:r w:rsidRPr="00C34A2B">
        <w:t>lifestyle</w:t>
      </w:r>
      <w:sdt>
        <w:sdtPr>
          <w:id w:val="1196730527"/>
          <w:citation/>
        </w:sdtPr>
        <w:sdtEndPr/>
        <w:sdtContent>
          <w:r>
            <w:fldChar w:fldCharType="begin"/>
          </w:r>
          <w:r w:rsidRPr="00E63650">
            <w:instrText xml:space="preserve"> CITATION Dia15 \l 3081 </w:instrText>
          </w:r>
          <w:r>
            <w:fldChar w:fldCharType="separate"/>
          </w:r>
          <w:r>
            <w:rPr>
              <w:noProof/>
            </w:rPr>
            <w:t xml:space="preserve"> (Warren, 2015)</w:t>
          </w:r>
          <w:r>
            <w:fldChar w:fldCharType="end"/>
          </w:r>
        </w:sdtContent>
      </w:sdt>
      <w:r>
        <w:t xml:space="preserve">. </w:t>
      </w:r>
    </w:p>
  </w:footnote>
  <w:footnote w:id="200">
    <w:p w14:paraId="2F539265" w14:textId="77777777" w:rsidR="00730553" w:rsidRPr="00955FAD" w:rsidRDefault="00730553" w:rsidP="00B3792F">
      <w:pPr>
        <w:pStyle w:val="FootnoteText"/>
      </w:pPr>
      <w:r>
        <w:rPr>
          <w:rStyle w:val="FootnoteReference"/>
        </w:rPr>
        <w:footnoteRef/>
      </w:r>
      <w:r>
        <w:t xml:space="preserve"> Between July 2013 and June 2019, 61 per cent</w:t>
      </w:r>
      <w:r w:rsidRPr="00F44AE9">
        <w:t xml:space="preserve"> of people with </w:t>
      </w:r>
      <w:r>
        <w:t>no post-school qualification retired by age 65 compared with</w:t>
      </w:r>
      <w:r w:rsidRPr="00F44AE9">
        <w:t xml:space="preserve"> </w:t>
      </w:r>
      <w:r>
        <w:t xml:space="preserve">46 per cent of people with a </w:t>
      </w:r>
      <w:r w:rsidRPr="00955FAD">
        <w:t xml:space="preserve">degree (see </w:t>
      </w:r>
      <w:r w:rsidRPr="00955FAD">
        <w:rPr>
          <w:i/>
        </w:rPr>
        <w:t xml:space="preserve">Appendix </w:t>
      </w:r>
      <w:r>
        <w:rPr>
          <w:i/>
        </w:rPr>
        <w:t xml:space="preserve">6D. </w:t>
      </w:r>
      <w:r w:rsidRPr="00955FAD">
        <w:rPr>
          <w:i/>
        </w:rPr>
        <w:t>Supplementary equity charts</w:t>
      </w:r>
      <w:r w:rsidRPr="00955FAD">
        <w:t>).</w:t>
      </w:r>
    </w:p>
  </w:footnote>
  <w:footnote w:id="201">
    <w:p w14:paraId="3423ECE8" w14:textId="77777777" w:rsidR="00730553" w:rsidRDefault="00730553" w:rsidP="00B3792F">
      <w:pPr>
        <w:pStyle w:val="FootnoteText"/>
      </w:pPr>
      <w:r w:rsidRPr="00955FAD">
        <w:rPr>
          <w:rStyle w:val="FootnoteReference"/>
        </w:rPr>
        <w:footnoteRef/>
      </w:r>
      <w:r w:rsidRPr="00955FAD">
        <w:t xml:space="preserve"> Calculations using </w:t>
      </w:r>
      <w:sdt>
        <w:sdtPr>
          <w:id w:val="310834141"/>
          <w:citation/>
        </w:sdtPr>
        <w:sdtEndPr/>
        <w:sdtContent>
          <w:r w:rsidRPr="00955FAD">
            <w:fldChar w:fldCharType="begin"/>
          </w:r>
          <w:r w:rsidRPr="00955FAD">
            <w:instrText xml:space="preserve">CITATION ABS3 \l 3081 </w:instrText>
          </w:r>
          <w:r w:rsidRPr="00955FAD">
            <w:fldChar w:fldCharType="separate"/>
          </w:r>
          <w:r w:rsidRPr="00955FAD">
            <w:rPr>
              <w:noProof/>
            </w:rPr>
            <w:t>(ABS, 2016a)</w:t>
          </w:r>
          <w:r w:rsidRPr="00955FAD">
            <w:fldChar w:fldCharType="end"/>
          </w:r>
        </w:sdtContent>
      </w:sdt>
      <w:r w:rsidRPr="00955FAD">
        <w:t>.</w:t>
      </w:r>
    </w:p>
  </w:footnote>
  <w:footnote w:id="202">
    <w:p w14:paraId="61444D4E" w14:textId="77777777" w:rsidR="00730553" w:rsidRDefault="00730553" w:rsidP="00B3792F">
      <w:pPr>
        <w:pStyle w:val="FootnoteText"/>
      </w:pPr>
      <w:r>
        <w:rPr>
          <w:rStyle w:val="FootnoteReference"/>
        </w:rPr>
        <w:footnoteRef/>
      </w:r>
      <w:r>
        <w:t xml:space="preserve"> According to </w:t>
      </w:r>
      <w:r w:rsidRPr="00E63650">
        <w:t>the 2016 Census</w:t>
      </w:r>
      <w:r>
        <w:t>, people between ages 15 and 30 attending an educational institution were less likely to be in the labour force and in full-time work.</w:t>
      </w:r>
    </w:p>
  </w:footnote>
  <w:footnote w:id="203">
    <w:p w14:paraId="14569F0D" w14:textId="77777777" w:rsidR="00730553" w:rsidRDefault="00730553" w:rsidP="00B3792F">
      <w:pPr>
        <w:pStyle w:val="FootnoteText"/>
        <w:keepLines/>
      </w:pPr>
      <w:r>
        <w:rPr>
          <w:rStyle w:val="FootnoteReference"/>
        </w:rPr>
        <w:footnoteRef/>
      </w:r>
      <w:r>
        <w:t xml:space="preserve"> The ABS definition of ‘blue collar’ and ‘white collar’ is used </w:t>
      </w:r>
      <w:sdt>
        <w:sdtPr>
          <w:id w:val="-1481771564"/>
          <w:citation/>
        </w:sdtPr>
        <w:sdtEndPr/>
        <w:sdtContent>
          <w:r w:rsidRPr="00E25A6D">
            <w:fldChar w:fldCharType="begin"/>
          </w:r>
          <w:r w:rsidRPr="00E25A6D">
            <w:instrText xml:space="preserve"> CITATION ABS111 \l 3081 </w:instrText>
          </w:r>
          <w:r w:rsidRPr="00E25A6D">
            <w:fldChar w:fldCharType="separate"/>
          </w:r>
          <w:r>
            <w:rPr>
              <w:noProof/>
            </w:rPr>
            <w:t>(ABS, 2011c)</w:t>
          </w:r>
          <w:r w:rsidRPr="00E25A6D">
            <w:fldChar w:fldCharType="end"/>
          </w:r>
        </w:sdtContent>
      </w:sdt>
      <w:r>
        <w:t>. Under this definition, blue collar includes ‘t</w:t>
      </w:r>
      <w:r w:rsidRPr="00FA3FC9">
        <w:t xml:space="preserve">echnicians and </w:t>
      </w:r>
      <w:r>
        <w:t>t</w:t>
      </w:r>
      <w:r w:rsidRPr="00FA3FC9">
        <w:t xml:space="preserve">rades </w:t>
      </w:r>
      <w:r>
        <w:t>w</w:t>
      </w:r>
      <w:r w:rsidRPr="001B517D">
        <w:t>orkers’, ‘</w:t>
      </w:r>
      <w:r>
        <w:t>machinery o</w:t>
      </w:r>
      <w:r w:rsidRPr="00FA3FC9">
        <w:t xml:space="preserve">perators and </w:t>
      </w:r>
      <w:r>
        <w:t>d</w:t>
      </w:r>
      <w:r w:rsidRPr="001B517D">
        <w:t>rivers’, and ‘</w:t>
      </w:r>
      <w:r>
        <w:t>l</w:t>
      </w:r>
      <w:r w:rsidRPr="001B517D">
        <w:t>abourers’</w:t>
      </w:r>
      <w:r>
        <w:t>, while white collar includes ‘m</w:t>
      </w:r>
      <w:r w:rsidRPr="001B517D">
        <w:t>anagers</w:t>
      </w:r>
      <w:r>
        <w:t>’</w:t>
      </w:r>
      <w:r w:rsidRPr="001B517D">
        <w:t xml:space="preserve">, </w:t>
      </w:r>
      <w:r>
        <w:t>‘p</w:t>
      </w:r>
      <w:r w:rsidRPr="001B517D">
        <w:t>rofessionals</w:t>
      </w:r>
      <w:r>
        <w:t>’</w:t>
      </w:r>
      <w:r w:rsidRPr="001B517D">
        <w:t xml:space="preserve">, </w:t>
      </w:r>
      <w:r>
        <w:t>‘c</w:t>
      </w:r>
      <w:r w:rsidRPr="001B517D">
        <w:t>o</w:t>
      </w:r>
      <w:r w:rsidRPr="00FA3FC9">
        <w:t xml:space="preserve">mmunity and </w:t>
      </w:r>
      <w:r>
        <w:t>p</w:t>
      </w:r>
      <w:r w:rsidRPr="00FA3FC9">
        <w:t xml:space="preserve">ersonal </w:t>
      </w:r>
      <w:r>
        <w:t>s</w:t>
      </w:r>
      <w:r w:rsidRPr="00FA3FC9">
        <w:t xml:space="preserve">ervice </w:t>
      </w:r>
      <w:r>
        <w:t>w</w:t>
      </w:r>
      <w:r w:rsidRPr="001B517D">
        <w:t>orkers</w:t>
      </w:r>
      <w:r>
        <w:t>’</w:t>
      </w:r>
      <w:r w:rsidRPr="001B517D">
        <w:t xml:space="preserve">, </w:t>
      </w:r>
      <w:r>
        <w:t>‘c</w:t>
      </w:r>
      <w:r w:rsidRPr="00FA3FC9">
        <w:t xml:space="preserve">lerical and </w:t>
      </w:r>
      <w:r>
        <w:t>a</w:t>
      </w:r>
      <w:r w:rsidRPr="00FA3FC9">
        <w:t xml:space="preserve">dministrative </w:t>
      </w:r>
      <w:r>
        <w:t>w</w:t>
      </w:r>
      <w:r w:rsidRPr="001B517D">
        <w:t>orkers</w:t>
      </w:r>
      <w:r>
        <w:t>’</w:t>
      </w:r>
      <w:r w:rsidRPr="001B517D">
        <w:t xml:space="preserve">, and </w:t>
      </w:r>
      <w:r>
        <w:t>‘s</w:t>
      </w:r>
      <w:r w:rsidRPr="00FA3FC9">
        <w:t xml:space="preserve">ales </w:t>
      </w:r>
      <w:r>
        <w:t>w</w:t>
      </w:r>
      <w:r w:rsidRPr="001B517D">
        <w:t>orkers</w:t>
      </w:r>
      <w:r>
        <w:t>’.</w:t>
      </w:r>
    </w:p>
  </w:footnote>
  <w:footnote w:id="204">
    <w:p w14:paraId="5A2076E9" w14:textId="77777777" w:rsidR="00730553" w:rsidRDefault="00730553" w:rsidP="00B3792F">
      <w:pPr>
        <w:pStyle w:val="FootnoteText"/>
      </w:pPr>
      <w:r>
        <w:rPr>
          <w:rStyle w:val="FootnoteReference"/>
        </w:rPr>
        <w:footnoteRef/>
      </w:r>
      <w:r>
        <w:t xml:space="preserve"> For example, among people who retired between July 2003 and June 2008, 83 per cent of blue-collar workers and 75 per cent of white-collar workers retired before age 65. Whereas, among people who retired between July 2013 and June 2019, just under 60 per cent of both blue- and white-collar workers retired before age 65. Analysis of </w:t>
      </w:r>
      <w:sdt>
        <w:sdtPr>
          <w:id w:val="1335800757"/>
          <w:citation/>
        </w:sdtPr>
        <w:sdtEndPr/>
        <w:sdtContent>
          <w:r>
            <w:fldChar w:fldCharType="begin"/>
          </w:r>
          <w:r>
            <w:instrText xml:space="preserve">CITATION ABSR20 \l 3081 </w:instrText>
          </w:r>
          <w:r>
            <w:fldChar w:fldCharType="separate"/>
          </w:r>
          <w:r>
            <w:rPr>
              <w:noProof/>
            </w:rPr>
            <w:t>(ABS, 2020p)</w:t>
          </w:r>
          <w:r>
            <w:fldChar w:fldCharType="end"/>
          </w:r>
        </w:sdtContent>
      </w:sdt>
      <w:r>
        <w:t xml:space="preserve">. </w:t>
      </w:r>
    </w:p>
  </w:footnote>
  <w:footnote w:id="205">
    <w:p w14:paraId="2A7EA389" w14:textId="77777777" w:rsidR="00730553" w:rsidRDefault="00730553" w:rsidP="00B3792F">
      <w:pPr>
        <w:pStyle w:val="FootnoteText"/>
      </w:pPr>
      <w:r>
        <w:rPr>
          <w:rStyle w:val="FootnoteReference"/>
        </w:rPr>
        <w:footnoteRef/>
      </w:r>
      <w:r>
        <w:t xml:space="preserve"> Analysis of </w:t>
      </w:r>
      <w:sdt>
        <w:sdtPr>
          <w:id w:val="-724837256"/>
          <w:citation/>
        </w:sdtPr>
        <w:sdtEndPr/>
        <w:sdtContent>
          <w:r>
            <w:fldChar w:fldCharType="begin"/>
          </w:r>
          <w:r>
            <w:instrText xml:space="preserve">CITATION ABSR20 \m ABS1910 \l 3081 </w:instrText>
          </w:r>
          <w:r>
            <w:fldChar w:fldCharType="separate"/>
          </w:r>
          <w:r>
            <w:rPr>
              <w:noProof/>
            </w:rPr>
            <w:t>(ABS, 2020p; ABS, 2019a)</w:t>
          </w:r>
          <w:r>
            <w:fldChar w:fldCharType="end"/>
          </w:r>
        </w:sdtContent>
      </w:sdt>
      <w:r>
        <w:t>.</w:t>
      </w:r>
      <w:r w:rsidRPr="00D909AC">
        <w:rPr>
          <w:rStyle w:val="Heading1Char"/>
          <w:rFonts w:ascii="Arial" w:hAnsi="Arial"/>
          <w:b/>
          <w:bCs/>
          <w:i/>
          <w:iCs/>
          <w:color w:val="5F6368"/>
          <w:sz w:val="21"/>
          <w:szCs w:val="21"/>
          <w:shd w:val="clear" w:color="auto" w:fill="FFFFFF"/>
        </w:rPr>
        <w:t xml:space="preserve"> </w:t>
      </w:r>
      <w:r w:rsidRPr="00D909AC">
        <w:t>Australian and New Zealand Standard Classification of Occupations</w:t>
      </w:r>
      <w:r>
        <w:t> </w:t>
      </w:r>
      <w:r w:rsidRPr="00D909AC">
        <w:t xml:space="preserve">is used to assign skill levels to occupations. </w:t>
      </w:r>
      <w:r>
        <w:t>Under this classification, ‘managers’ and ‘professionals’ are the highest skilled occupations, while ‘labourers’ and ‘sales workers’ are the lowest skilled occupations.</w:t>
      </w:r>
    </w:p>
  </w:footnote>
  <w:footnote w:id="206">
    <w:p w14:paraId="57547EE8" w14:textId="77777777" w:rsidR="00730553" w:rsidRDefault="00730553">
      <w:pPr>
        <w:pStyle w:val="FootnoteText"/>
      </w:pPr>
      <w:r>
        <w:rPr>
          <w:rStyle w:val="FootnoteReference"/>
        </w:rPr>
        <w:footnoteRef/>
      </w:r>
      <w:r>
        <w:t xml:space="preserve"> Population is limited to those who received an income support payment in the year they reached Age Pension eligibility age. </w:t>
      </w:r>
    </w:p>
  </w:footnote>
  <w:footnote w:id="207">
    <w:p w14:paraId="5F9576B3" w14:textId="77777777" w:rsidR="00730553" w:rsidRDefault="00730553" w:rsidP="00B3792F">
      <w:pPr>
        <w:pStyle w:val="FootnoteText"/>
      </w:pPr>
      <w:r>
        <w:rPr>
          <w:rStyle w:val="FootnoteReference"/>
        </w:rPr>
        <w:footnoteRef/>
      </w:r>
      <w:r>
        <w:t xml:space="preserve"> The one-third is calculated by dividing by the total</w:t>
      </w:r>
      <w:r w:rsidRPr="00D14134">
        <w:t xml:space="preserve"> number of people who reached Age Pension </w:t>
      </w:r>
      <w:r>
        <w:t xml:space="preserve">eligibility </w:t>
      </w:r>
      <w:r w:rsidRPr="00D14134">
        <w:t xml:space="preserve">age </w:t>
      </w:r>
      <w:r>
        <w:t>and received an income s</w:t>
      </w:r>
      <w:r w:rsidRPr="00D14134">
        <w:t xml:space="preserve">upport payment </w:t>
      </w:r>
      <w:r>
        <w:t>in 2017-18. Department of Social Services Priority Investment Approach data, 2017-18.</w:t>
      </w:r>
    </w:p>
  </w:footnote>
  <w:footnote w:id="208">
    <w:p w14:paraId="03F7AADD" w14:textId="77777777" w:rsidR="00730553" w:rsidRDefault="00730553" w:rsidP="00B3792F">
      <w:pPr>
        <w:pStyle w:val="FootnoteText"/>
        <w:keepLines/>
      </w:pPr>
      <w:r>
        <w:rPr>
          <w:rStyle w:val="FootnoteReference"/>
        </w:rPr>
        <w:footnoteRef/>
      </w:r>
      <w:r>
        <w:t xml:space="preserve"> Not all Disability Support Pension recipients will have necessarily retired due to their own ill health.</w:t>
      </w:r>
    </w:p>
  </w:footnote>
  <w:footnote w:id="209">
    <w:p w14:paraId="4F62A119" w14:textId="77777777" w:rsidR="00730553" w:rsidRDefault="00730553" w:rsidP="00B3792F">
      <w:pPr>
        <w:pStyle w:val="FootnoteText"/>
      </w:pPr>
      <w:r>
        <w:rPr>
          <w:rStyle w:val="FootnoteReference"/>
        </w:rPr>
        <w:footnoteRef/>
      </w:r>
      <w:r>
        <w:t xml:space="preserve"> To receive JobSeeker Payment, early retirees need to be able to complete 30 hours per fortnight of suitable paid work, self-employment or approved voluntary work.</w:t>
      </w:r>
    </w:p>
  </w:footnote>
  <w:footnote w:id="210">
    <w:p w14:paraId="15CB1A7F" w14:textId="77777777" w:rsidR="00730553" w:rsidRDefault="00730553" w:rsidP="00B3792F">
      <w:pPr>
        <w:pStyle w:val="FootnoteText"/>
      </w:pPr>
      <w:r>
        <w:rPr>
          <w:rStyle w:val="FootnoteReference"/>
        </w:rPr>
        <w:footnoteRef/>
      </w:r>
      <w:r>
        <w:t xml:space="preserve"> </w:t>
      </w:r>
      <w:r w:rsidRPr="007330C2">
        <w:t>Cameo modelling undertaken for the review.</w:t>
      </w:r>
    </w:p>
  </w:footnote>
  <w:footnote w:id="211">
    <w:p w14:paraId="2BC42885" w14:textId="77777777" w:rsidR="00730553" w:rsidRDefault="00730553" w:rsidP="00B3792F">
      <w:pPr>
        <w:pStyle w:val="FootnoteText"/>
      </w:pPr>
      <w:r>
        <w:rPr>
          <w:rStyle w:val="FootnoteReference"/>
        </w:rPr>
        <w:footnoteRef/>
      </w:r>
      <w:r>
        <w:t xml:space="preserve"> </w:t>
      </w:r>
      <w:r w:rsidRPr="00A81AF3">
        <w:t xml:space="preserve">Modelling </w:t>
      </w:r>
      <w:r w:rsidRPr="00311CF2">
        <w:t>using the Priority Investment Approach to Welfare Actuarial Model. This</w:t>
      </w:r>
      <w:r>
        <w:t xml:space="preserve"> model takes the starting population and projects forward what welfare payments each person in that starting population are </w:t>
      </w:r>
      <w:r w:rsidRPr="00FC65DA">
        <w:t>likely to receive in future years.</w:t>
      </w:r>
      <w:r>
        <w:t xml:space="preserve"> Not all people who become unemployed at age 60 will receive the JobSeeker Payment due to the income and assets tests and the liquid assets waiting period. </w:t>
      </w:r>
    </w:p>
  </w:footnote>
  <w:footnote w:id="212">
    <w:p w14:paraId="1F533A81" w14:textId="77777777" w:rsidR="00730553" w:rsidRPr="00264EED" w:rsidRDefault="00730553" w:rsidP="00B3792F">
      <w:pPr>
        <w:pStyle w:val="FootnoteText"/>
      </w:pPr>
      <w:r w:rsidRPr="00264EED">
        <w:rPr>
          <w:rStyle w:val="FootnoteReference"/>
        </w:rPr>
        <w:footnoteRef/>
      </w:r>
      <w:r w:rsidRPr="00264EED">
        <w:t xml:space="preserve"> Analysis using data provided by ASIC for the review and </w:t>
      </w:r>
      <w:sdt>
        <w:sdtPr>
          <w:id w:val="502706123"/>
          <w:citation/>
        </w:sdtPr>
        <w:sdtEndPr/>
        <w:sdtContent>
          <w:r w:rsidRPr="00264EED">
            <w:fldChar w:fldCharType="begin"/>
          </w:r>
          <w:r w:rsidRPr="00264EED">
            <w:instrText xml:space="preserve"> CITATION Placeholder1 \l 3081 </w:instrText>
          </w:r>
          <w:r w:rsidRPr="00264EED">
            <w:fldChar w:fldCharType="separate"/>
          </w:r>
          <w:r>
            <w:rPr>
              <w:noProof/>
            </w:rPr>
            <w:t>(ABS, 2018g)</w:t>
          </w:r>
          <w:r w:rsidRPr="00264EED">
            <w:fldChar w:fldCharType="end"/>
          </w:r>
        </w:sdtContent>
      </w:sdt>
      <w:r w:rsidRPr="00264EED">
        <w:t>. Data is based on the same seven insurers included in the following report: &lt;</w:t>
      </w:r>
      <w:hyperlink r:id="rId1" w:history="1">
        <w:r w:rsidRPr="00264EED">
          <w:rPr>
            <w:rStyle w:val="Hyperlink"/>
          </w:rPr>
          <w:t>https://asic.gov.au/regulatory-resources/find-a-document/reports/rep-633-holes-in-the-safety-net-a-review-of-tpd-insurance-claims/</w:t>
        </w:r>
      </w:hyperlink>
      <w:r w:rsidRPr="00264EED">
        <w:t xml:space="preserve">&gt; </w:t>
      </w:r>
    </w:p>
  </w:footnote>
  <w:footnote w:id="213">
    <w:p w14:paraId="56F82594" w14:textId="77777777" w:rsidR="00730553" w:rsidRDefault="00730553" w:rsidP="00B3792F">
      <w:pPr>
        <w:pStyle w:val="FootnoteText"/>
      </w:pPr>
      <w:r>
        <w:rPr>
          <w:rStyle w:val="FootnoteReference"/>
        </w:rPr>
        <w:footnoteRef/>
      </w:r>
      <w:r>
        <w:t xml:space="preserve"> This modelling assumed the Age Pension eligibility age would increase to 70 in future. As the Government decided the Age Pension eligibility age would no longer increase beyond age 67, the increase to older workforce participation and fiscal benefits of increasing the preservation age may be lower than the Productivity Commission calculated. This is because some people may retire earlier to draw down their superannuation savings before reaching the Age Pension eligibility age.</w:t>
      </w:r>
    </w:p>
  </w:footnote>
  <w:footnote w:id="214">
    <w:p w14:paraId="08C679E2" w14:textId="77777777" w:rsidR="00730553" w:rsidRDefault="00730553" w:rsidP="00B3792F">
      <w:pPr>
        <w:pStyle w:val="FootnoteText"/>
      </w:pPr>
      <w:r>
        <w:rPr>
          <w:rStyle w:val="FootnoteReference"/>
        </w:rPr>
        <w:footnoteRef/>
      </w:r>
      <w:r>
        <w:t xml:space="preserve"> For people who retire before and after Age Pension eligibility age, retirement income begins at the age of retirement. Replacement rates are calculated using average retirement income for that individual over all years of retirement, divided by average working-life income earned by someone in the same income percentile who retires at age 67. The latter assumption means the age of retirement does not affect the denominator in the replacement rate calculation.</w:t>
      </w:r>
    </w:p>
  </w:footnote>
  <w:footnote w:id="215">
    <w:p w14:paraId="413E81C8" w14:textId="77777777" w:rsidR="00730553" w:rsidRPr="00FF7E85" w:rsidRDefault="00730553" w:rsidP="00B3792F">
      <w:pPr>
        <w:spacing w:before="0" w:after="0"/>
        <w:rPr>
          <w:sz w:val="20"/>
        </w:rPr>
      </w:pPr>
      <w:r>
        <w:rPr>
          <w:rStyle w:val="FootnoteReference"/>
        </w:rPr>
        <w:footnoteRef/>
      </w:r>
      <w:r>
        <w:t xml:space="preserve"> </w:t>
      </w:r>
      <w:r>
        <w:rPr>
          <w:sz w:val="20"/>
        </w:rPr>
        <w:t>This cameo modelling</w:t>
      </w:r>
      <w:r w:rsidRPr="009B4B7B">
        <w:rPr>
          <w:sz w:val="20"/>
        </w:rPr>
        <w:t xml:space="preserve"> assume</w:t>
      </w:r>
      <w:r>
        <w:rPr>
          <w:sz w:val="20"/>
        </w:rPr>
        <w:t xml:space="preserve">s </w:t>
      </w:r>
      <w:r w:rsidRPr="009B4B7B">
        <w:rPr>
          <w:sz w:val="20"/>
        </w:rPr>
        <w:t xml:space="preserve">that all social security income from the point of retirement is counted as retirement income. </w:t>
      </w:r>
      <w:r w:rsidRPr="00F63693">
        <w:rPr>
          <w:sz w:val="20"/>
        </w:rPr>
        <w:t>Notably</w:t>
      </w:r>
      <w:r>
        <w:rPr>
          <w:sz w:val="20"/>
        </w:rPr>
        <w:t>,</w:t>
      </w:r>
      <w:r w:rsidRPr="00F63693">
        <w:rPr>
          <w:sz w:val="20"/>
        </w:rPr>
        <w:t xml:space="preserve"> some stakeholders </w:t>
      </w:r>
      <w:r>
        <w:rPr>
          <w:sz w:val="20"/>
        </w:rPr>
        <w:t>pointed out</w:t>
      </w:r>
      <w:r w:rsidRPr="00F63693">
        <w:rPr>
          <w:sz w:val="20"/>
        </w:rPr>
        <w:t xml:space="preserve"> that people in receipt of JobSeeker Payment, Carer Payment or </w:t>
      </w:r>
      <w:r>
        <w:rPr>
          <w:sz w:val="20"/>
        </w:rPr>
        <w:t>Disability Support Pension</w:t>
      </w:r>
      <w:r w:rsidRPr="00F63693">
        <w:rPr>
          <w:sz w:val="20"/>
        </w:rPr>
        <w:t xml:space="preserve"> are not necessarily retired. Some recipients (including those on </w:t>
      </w:r>
      <w:r>
        <w:rPr>
          <w:sz w:val="20"/>
        </w:rPr>
        <w:t>the Age Pension</w:t>
      </w:r>
      <w:r w:rsidRPr="00F63693">
        <w:rPr>
          <w:sz w:val="20"/>
        </w:rPr>
        <w:t xml:space="preserve">) are attached to the </w:t>
      </w:r>
      <w:r>
        <w:rPr>
          <w:sz w:val="20"/>
        </w:rPr>
        <w:t xml:space="preserve">labour force </w:t>
      </w:r>
      <w:r w:rsidRPr="00F63693">
        <w:rPr>
          <w:sz w:val="20"/>
        </w:rPr>
        <w:t xml:space="preserve">through either undertaking work or looking for work, while </w:t>
      </w:r>
      <w:r w:rsidRPr="00FF7E85">
        <w:rPr>
          <w:sz w:val="20"/>
        </w:rPr>
        <w:t>others face a range of barriers to workforce participation and have never had the opportunity to work.</w:t>
      </w:r>
      <w:r w:rsidRPr="00FF7E85" w:rsidDel="007C02B9">
        <w:rPr>
          <w:sz w:val="20"/>
        </w:rPr>
        <w:t xml:space="preserve"> </w:t>
      </w:r>
    </w:p>
  </w:footnote>
  <w:footnote w:id="216">
    <w:p w14:paraId="1605B5B8" w14:textId="77777777" w:rsidR="00730553" w:rsidRDefault="00730553">
      <w:pPr>
        <w:pStyle w:val="FootnoteText"/>
      </w:pPr>
      <w:r>
        <w:rPr>
          <w:rStyle w:val="FootnoteReference"/>
        </w:rPr>
        <w:footnoteRef/>
      </w:r>
      <w:r>
        <w:t xml:space="preserve"> Assumes the SG rate applies for the person’s entire working life.</w:t>
      </w:r>
    </w:p>
  </w:footnote>
  <w:footnote w:id="217">
    <w:p w14:paraId="74190212" w14:textId="77777777" w:rsidR="00730553" w:rsidRDefault="00730553" w:rsidP="00B3792F">
      <w:pPr>
        <w:pStyle w:val="FootnoteText"/>
      </w:pPr>
      <w:r>
        <w:rPr>
          <w:rStyle w:val="FootnoteReference"/>
        </w:rPr>
        <w:footnoteRef/>
      </w:r>
      <w:r>
        <w:t xml:space="preserve"> </w:t>
      </w:r>
      <w:r w:rsidRPr="00BC76B8">
        <w:t>Cameo modelling undertaken for the review.</w:t>
      </w:r>
    </w:p>
  </w:footnote>
  <w:footnote w:id="218">
    <w:p w14:paraId="7E716F83" w14:textId="77777777" w:rsidR="00730553" w:rsidRDefault="00730553" w:rsidP="00B3792F">
      <w:pPr>
        <w:pStyle w:val="FootnoteText"/>
      </w:pPr>
      <w:r>
        <w:rPr>
          <w:rStyle w:val="FootnoteReference"/>
        </w:rPr>
        <w:footnoteRef/>
      </w:r>
      <w:r>
        <w:t xml:space="preserve"> Department of Social Services Priority Investment Approach data, 2017-18.</w:t>
      </w:r>
    </w:p>
  </w:footnote>
  <w:footnote w:id="219">
    <w:p w14:paraId="60CFE1E9" w14:textId="77777777" w:rsidR="00730553" w:rsidRDefault="00730553" w:rsidP="00B3792F">
      <w:pPr>
        <w:pStyle w:val="FootnoteText"/>
      </w:pPr>
      <w:r>
        <w:rPr>
          <w:rStyle w:val="FootnoteReference"/>
        </w:rPr>
        <w:footnoteRef/>
      </w:r>
      <w:r>
        <w:t xml:space="preserve"> Department of Social Services</w:t>
      </w:r>
      <w:r w:rsidRPr="00CF2EAA">
        <w:t xml:space="preserve"> payment data, 30 June</w:t>
      </w:r>
      <w:r>
        <w:t xml:space="preserve"> 2019. </w:t>
      </w:r>
    </w:p>
  </w:footnote>
  <w:footnote w:id="220">
    <w:p w14:paraId="221A8216" w14:textId="77777777" w:rsidR="00730553" w:rsidRDefault="00730553" w:rsidP="00B3792F">
      <w:pPr>
        <w:pStyle w:val="FootnoteText"/>
      </w:pPr>
      <w:r>
        <w:rPr>
          <w:rStyle w:val="FootnoteReference"/>
        </w:rPr>
        <w:footnoteRef/>
      </w:r>
      <w:r>
        <w:t xml:space="preserve"> Analysis of Department of Social Services</w:t>
      </w:r>
      <w:r w:rsidRPr="00783928">
        <w:t xml:space="preserve"> payment data, 30 June 2016;</w:t>
      </w:r>
      <w:sdt>
        <w:sdtPr>
          <w:id w:val="278922353"/>
          <w:citation/>
        </w:sdtPr>
        <w:sdtEndPr/>
        <w:sdtContent>
          <w:r w:rsidRPr="00783928">
            <w:fldChar w:fldCharType="begin"/>
          </w:r>
          <w:r w:rsidRPr="00783928">
            <w:instrText xml:space="preserve">CITATION ABS3 \l 3081 </w:instrText>
          </w:r>
          <w:r w:rsidRPr="00783928">
            <w:fldChar w:fldCharType="separate"/>
          </w:r>
          <w:r>
            <w:rPr>
              <w:noProof/>
            </w:rPr>
            <w:t xml:space="preserve"> (ABS, 2016a)</w:t>
          </w:r>
          <w:r w:rsidRPr="00783928">
            <w:fldChar w:fldCharType="end"/>
          </w:r>
        </w:sdtContent>
      </w:sdt>
      <w:r w:rsidRPr="00783928">
        <w:t xml:space="preserve">, </w:t>
      </w:r>
      <w:sdt>
        <w:sdtPr>
          <w:id w:val="-602721011"/>
          <w:citation/>
        </w:sdtPr>
        <w:sdtEndPr/>
        <w:sdtContent>
          <w:r w:rsidRPr="00783928">
            <w:fldChar w:fldCharType="begin"/>
          </w:r>
          <w:r w:rsidRPr="00783928">
            <w:instrText xml:space="preserve">CITATION ABS9n \l 3081 </w:instrText>
          </w:r>
          <w:r w:rsidRPr="00783928">
            <w:fldChar w:fldCharType="separate"/>
          </w:r>
          <w:r>
            <w:rPr>
              <w:noProof/>
            </w:rPr>
            <w:t>(ABS, 2019i)</w:t>
          </w:r>
          <w:r w:rsidRPr="00783928">
            <w:fldChar w:fldCharType="end"/>
          </w:r>
        </w:sdtContent>
      </w:sdt>
      <w:r w:rsidRPr="00783928">
        <w:t>.</w:t>
      </w:r>
    </w:p>
  </w:footnote>
  <w:footnote w:id="221">
    <w:p w14:paraId="6DFD42AE" w14:textId="77777777" w:rsidR="00730553" w:rsidRPr="00FC3660" w:rsidRDefault="00730553" w:rsidP="00AB09DB">
      <w:pPr>
        <w:pStyle w:val="FootnoteText"/>
      </w:pPr>
      <w:r>
        <w:rPr>
          <w:rStyle w:val="FootnoteReference"/>
        </w:rPr>
        <w:footnoteRef/>
      </w:r>
      <w:r>
        <w:t xml:space="preserve"> Material </w:t>
      </w:r>
      <w:r w:rsidRPr="003C0C0A">
        <w:t xml:space="preserve">deprivation </w:t>
      </w:r>
      <w:r>
        <w:rPr>
          <w:rStyle w:val="QuoteChar"/>
        </w:rPr>
        <w:t>‘</w:t>
      </w:r>
      <w:r w:rsidRPr="003C0C0A">
        <w:rPr>
          <w:rStyle w:val="QuoteChar"/>
        </w:rPr>
        <w:t>…exists when people do not have and cannot afford to buy items or undertake activities that are widely regarded in society as things everyone should have</w:t>
      </w:r>
      <w:r>
        <w:rPr>
          <w:rStyle w:val="QuoteChar"/>
        </w:rPr>
        <w:t>’</w:t>
      </w:r>
      <w:r w:rsidRPr="003C0C0A">
        <w:t xml:space="preserve">, such as warm clothes and bedding, a telephone, or dental treatment when needed </w:t>
      </w:r>
      <w:sdt>
        <w:sdtPr>
          <w:id w:val="925698967"/>
          <w:citation/>
        </w:sdtPr>
        <w:sdtEndPr>
          <w:rPr>
            <w:rStyle w:val="QuoteChar"/>
            <w:i/>
            <w:iCs/>
            <w:color w:val="404040" w:themeColor="text1" w:themeTint="BF"/>
          </w:rPr>
        </w:sdtEndPr>
        <w:sdtContent>
          <w:r w:rsidRPr="003C0C0A">
            <w:fldChar w:fldCharType="begin"/>
          </w:r>
          <w:r w:rsidRPr="003C0C0A">
            <w:instrText xml:space="preserve">CITATION Wil16 \p 83 \t  \l 3081 </w:instrText>
          </w:r>
          <w:r w:rsidRPr="003C0C0A">
            <w:fldChar w:fldCharType="separate"/>
          </w:r>
          <w:r>
            <w:rPr>
              <w:noProof/>
            </w:rPr>
            <w:t>(Wilkins, 2016, p. 83)</w:t>
          </w:r>
          <w:r w:rsidRPr="003C0C0A">
            <w:fldChar w:fldCharType="end"/>
          </w:r>
        </w:sdtContent>
      </w:sdt>
      <w:r w:rsidRPr="003C0C0A">
        <w:rPr>
          <w:rStyle w:val="QuoteChar"/>
        </w:rPr>
        <w:t>.</w:t>
      </w:r>
    </w:p>
  </w:footnote>
  <w:footnote w:id="222">
    <w:p w14:paraId="27F4125C" w14:textId="77777777" w:rsidR="00730553" w:rsidRDefault="00730553" w:rsidP="00B3792F">
      <w:pPr>
        <w:pStyle w:val="FootnoteText"/>
      </w:pPr>
      <w:r>
        <w:rPr>
          <w:rStyle w:val="FootnoteReference"/>
        </w:rPr>
        <w:footnoteRef/>
      </w:r>
      <w:r>
        <w:t xml:space="preserve"> Department of Social Services</w:t>
      </w:r>
      <w:r w:rsidRPr="00AE6564">
        <w:t xml:space="preserve"> payment data, 30 June 2019.</w:t>
      </w:r>
    </w:p>
  </w:footnote>
  <w:footnote w:id="223">
    <w:p w14:paraId="597124B8" w14:textId="77777777" w:rsidR="00730553" w:rsidRDefault="00730553" w:rsidP="00B3792F">
      <w:pPr>
        <w:pStyle w:val="FootnoteText"/>
      </w:pPr>
      <w:r>
        <w:rPr>
          <w:rStyle w:val="FootnoteReference"/>
        </w:rPr>
        <w:footnoteRef/>
      </w:r>
      <w:r>
        <w:t xml:space="preserve"> Financial exclusion exists where people lack access to appropriate and affordable financial services and </w:t>
      </w:r>
      <w:r w:rsidRPr="0075319F">
        <w:t xml:space="preserve">products </w:t>
      </w:r>
      <w:sdt>
        <w:sdtPr>
          <w:id w:val="1492067779"/>
          <w:citation/>
        </w:sdtPr>
        <w:sdtEndPr/>
        <w:sdtContent>
          <w:r w:rsidRPr="0075319F">
            <w:fldChar w:fldCharType="begin"/>
          </w:r>
          <w:r w:rsidRPr="0075319F">
            <w:instrText xml:space="preserve">CITATION Cen12 \l 3081 </w:instrText>
          </w:r>
          <w:r w:rsidRPr="0075319F">
            <w:fldChar w:fldCharType="separate"/>
          </w:r>
          <w:r>
            <w:rPr>
              <w:noProof/>
            </w:rPr>
            <w:t>(Connolly, et al., 2012)</w:t>
          </w:r>
          <w:r w:rsidRPr="0075319F">
            <w:fldChar w:fldCharType="end"/>
          </w:r>
        </w:sdtContent>
      </w:sdt>
      <w:r w:rsidRPr="0075319F">
        <w:t>.</w:t>
      </w:r>
      <w:r>
        <w:t xml:space="preserve"> </w:t>
      </w:r>
    </w:p>
  </w:footnote>
  <w:footnote w:id="224">
    <w:p w14:paraId="61E8B3A0" w14:textId="2C9F66D0" w:rsidR="00730553" w:rsidRDefault="00730553">
      <w:pPr>
        <w:pStyle w:val="FootnoteText"/>
      </w:pPr>
      <w:r>
        <w:rPr>
          <w:rStyle w:val="FootnoteReference"/>
        </w:rPr>
        <w:footnoteRef/>
      </w:r>
      <w:r>
        <w:t xml:space="preserve"> Information provided to the review by ASIC.</w:t>
      </w:r>
    </w:p>
  </w:footnote>
  <w:footnote w:id="225">
    <w:p w14:paraId="16BD65F2" w14:textId="77777777" w:rsidR="00730553" w:rsidRDefault="00730553" w:rsidP="00B3792F">
      <w:pPr>
        <w:pStyle w:val="FootnoteText"/>
      </w:pPr>
      <w:r>
        <w:rPr>
          <w:rStyle w:val="FootnoteReference"/>
        </w:rPr>
        <w:footnoteRef/>
      </w:r>
      <w:r>
        <w:t xml:space="preserve"> </w:t>
      </w:r>
      <w:r w:rsidRPr="00DB099B">
        <w:rPr>
          <w:iCs/>
        </w:rPr>
        <w:t>These estimates are for the whole population, including those already with disability at age 65. The expected years spent without</w:t>
      </w:r>
      <w:r w:rsidRPr="00DB099B" w:rsidDel="0087536E">
        <w:rPr>
          <w:iCs/>
        </w:rPr>
        <w:t xml:space="preserve"> </w:t>
      </w:r>
      <w:r w:rsidRPr="00DB099B">
        <w:rPr>
          <w:iCs/>
        </w:rPr>
        <w:t>disability for those reaching age 65 disability-free would be a</w:t>
      </w:r>
      <w:r>
        <w:rPr>
          <w:iCs/>
        </w:rPr>
        <w:t>bove these whole</w:t>
      </w:r>
      <w:r>
        <w:rPr>
          <w:iCs/>
        </w:rPr>
        <w:noBreakHyphen/>
        <w:t>of</w:t>
      </w:r>
      <w:r>
        <w:rPr>
          <w:iCs/>
        </w:rPr>
        <w:noBreakHyphen/>
      </w:r>
      <w:r w:rsidRPr="00DB099B">
        <w:rPr>
          <w:iCs/>
        </w:rPr>
        <w:t>population averages.</w:t>
      </w:r>
      <w:r w:rsidRPr="00DB099B">
        <w:rPr>
          <w:i/>
          <w:iCs/>
        </w:rPr>
        <w:t xml:space="preserve"> </w:t>
      </w:r>
    </w:p>
  </w:footnote>
  <w:footnote w:id="226">
    <w:p w14:paraId="7AFCBECA" w14:textId="77777777" w:rsidR="00730553" w:rsidRDefault="00730553" w:rsidP="00B3792F">
      <w:pPr>
        <w:pStyle w:val="FootnoteText"/>
      </w:pPr>
      <w:r>
        <w:rPr>
          <w:rStyle w:val="FootnoteReference"/>
        </w:rPr>
        <w:footnoteRef/>
      </w:r>
      <w:r>
        <w:t xml:space="preserve"> Analysis of ABS Survey of Income and Housing </w:t>
      </w:r>
      <w:r w:rsidRPr="00520D2E">
        <w:t>Confidentialised Unit Record File</w:t>
      </w:r>
      <w:r>
        <w:t>, 2017-18.</w:t>
      </w:r>
    </w:p>
  </w:footnote>
  <w:footnote w:id="227">
    <w:p w14:paraId="4D304F55" w14:textId="77777777" w:rsidR="00730553" w:rsidRDefault="00730553" w:rsidP="00B3792F">
      <w:pPr>
        <w:pStyle w:val="FootnoteText"/>
      </w:pPr>
      <w:r>
        <w:rPr>
          <w:rStyle w:val="FootnoteReference"/>
        </w:rPr>
        <w:footnoteRef/>
      </w:r>
      <w:r>
        <w:t xml:space="preserve"> Some people who receive the Disability Support Pension prior to Age Pension age choose to remain on this payment rather than transferring to the Age Pension.</w:t>
      </w:r>
      <w:r w:rsidRPr="00EE0294">
        <w:t xml:space="preserve"> </w:t>
      </w:r>
      <w:r>
        <w:t>The Disability Support Pension payment rate for this cohort is the same as the Age Pension.</w:t>
      </w:r>
    </w:p>
  </w:footnote>
  <w:footnote w:id="228">
    <w:p w14:paraId="516044C6" w14:textId="77777777" w:rsidR="00730553" w:rsidRDefault="00730553" w:rsidP="00B3792F">
      <w:pPr>
        <w:pStyle w:val="FootnoteText"/>
      </w:pPr>
      <w:r>
        <w:rPr>
          <w:rStyle w:val="FootnoteReference"/>
        </w:rPr>
        <w:footnoteRef/>
      </w:r>
      <w:r>
        <w:t xml:space="preserve"> Given the significant proportion of people with mild or moderate core activity limitations in retirement, comparisons between the total population and these groups are not overly instructive. This section therefore focuses analysis on those with profound or severe core activity limitations.</w:t>
      </w:r>
    </w:p>
  </w:footnote>
  <w:footnote w:id="229">
    <w:p w14:paraId="753B320C" w14:textId="77777777" w:rsidR="00730553" w:rsidRDefault="00730553" w:rsidP="00B3792F">
      <w:pPr>
        <w:pStyle w:val="FootnoteText"/>
      </w:pPr>
      <w:r>
        <w:rPr>
          <w:rStyle w:val="FootnoteReference"/>
        </w:rPr>
        <w:footnoteRef/>
      </w:r>
      <w:r>
        <w:t xml:space="preserve"> Department of Social Services</w:t>
      </w:r>
      <w:r w:rsidRPr="00250C38">
        <w:t xml:space="preserve"> payment data, 31 March</w:t>
      </w:r>
      <w:r>
        <w:t xml:space="preserve"> 2019. ‘First recorded as blind’ refers to the date Centrelink recorded the person as blind.</w:t>
      </w:r>
    </w:p>
  </w:footnote>
  <w:footnote w:id="230">
    <w:p w14:paraId="7AFBF98E" w14:textId="77777777" w:rsidR="00730553" w:rsidRDefault="00730553" w:rsidP="00B3792F">
      <w:pPr>
        <w:pStyle w:val="FootnoteText"/>
      </w:pPr>
      <w:r>
        <w:rPr>
          <w:rStyle w:val="FootnoteReference"/>
        </w:rPr>
        <w:footnoteRef/>
      </w:r>
      <w:r>
        <w:t xml:space="preserve"> </w:t>
      </w:r>
      <w:r w:rsidRPr="0039430A">
        <w:rPr>
          <w:rFonts w:eastAsiaTheme="minorHAnsi" w:cs="Calibri"/>
          <w:iCs/>
          <w:sz w:val="18"/>
          <w:szCs w:val="18"/>
          <w:lang w:eastAsia="en-US"/>
        </w:rPr>
        <w:t>For this analysis</w:t>
      </w:r>
      <w:r>
        <w:rPr>
          <w:rFonts w:eastAsiaTheme="minorHAnsi" w:cs="Calibri"/>
          <w:iCs/>
          <w:sz w:val="18"/>
          <w:szCs w:val="18"/>
          <w:lang w:eastAsia="en-US"/>
        </w:rPr>
        <w:t>,</w:t>
      </w:r>
      <w:r w:rsidRPr="0039430A">
        <w:rPr>
          <w:rFonts w:eastAsiaTheme="minorHAnsi" w:cs="Calibri"/>
          <w:iCs/>
          <w:sz w:val="18"/>
          <w:szCs w:val="18"/>
          <w:lang w:eastAsia="en-US"/>
        </w:rPr>
        <w:t xml:space="preserve"> </w:t>
      </w:r>
      <w:r>
        <w:rPr>
          <w:rFonts w:eastAsiaTheme="minorHAnsi" w:cs="Calibri"/>
          <w:iCs/>
          <w:sz w:val="18"/>
          <w:szCs w:val="18"/>
          <w:lang w:eastAsia="en-US"/>
        </w:rPr>
        <w:t>‘w</w:t>
      </w:r>
      <w:r w:rsidRPr="00E611A8">
        <w:rPr>
          <w:rFonts w:eastAsiaTheme="minorHAnsi" w:cs="Calibri"/>
          <w:iCs/>
          <w:sz w:val="18"/>
          <w:szCs w:val="18"/>
          <w:lang w:eastAsia="en-US"/>
        </w:rPr>
        <w:t>orking-age people’ are people aged 15-64, while ‘retiree</w:t>
      </w:r>
      <w:r>
        <w:rPr>
          <w:rFonts w:eastAsiaTheme="minorHAnsi" w:cs="Calibri"/>
          <w:iCs/>
          <w:sz w:val="18"/>
          <w:szCs w:val="18"/>
          <w:lang w:eastAsia="en-US"/>
        </w:rPr>
        <w:t>s’ are people aged 65 and over, to align with the age ranges used in the available data.</w:t>
      </w:r>
    </w:p>
  </w:footnote>
  <w:footnote w:id="231">
    <w:p w14:paraId="2FA1BEE3" w14:textId="77777777" w:rsidR="00730553" w:rsidRPr="00F15EA7" w:rsidRDefault="00730553" w:rsidP="00B3792F">
      <w:pPr>
        <w:pStyle w:val="FootnoteText"/>
      </w:pPr>
      <w:r>
        <w:rPr>
          <w:rStyle w:val="FootnoteReference"/>
        </w:rPr>
        <w:footnoteRef/>
      </w:r>
      <w:r>
        <w:t xml:space="preserve"> Taxes include personal income tax and taxes on production, such as goods and services tax, stamp duty and import/export taxes. It excludes corporate taxes. For more information, see: </w:t>
      </w:r>
      <w:r w:rsidRPr="00F15EA7">
        <w:t>&lt;</w:t>
      </w:r>
      <w:hyperlink r:id="rId2" w:history="1">
        <w:r w:rsidRPr="00F15EA7">
          <w:rPr>
            <w:rStyle w:val="Hyperlink"/>
          </w:rPr>
          <w:t>https://www.abs.gov.au/AUSSTATS/abs@.nsf/Lookup/6537.0Main+Features12015-16?OpenDocument</w:t>
        </w:r>
      </w:hyperlink>
      <w:r w:rsidRPr="00F15EA7">
        <w:t>&gt;</w:t>
      </w:r>
    </w:p>
  </w:footnote>
  <w:footnote w:id="232">
    <w:p w14:paraId="6B24DF82" w14:textId="77777777" w:rsidR="00730553" w:rsidRDefault="00730553" w:rsidP="00B3792F">
      <w:pPr>
        <w:pStyle w:val="FootnoteText"/>
      </w:pPr>
      <w:r w:rsidRPr="009D01DF">
        <w:rPr>
          <w:rStyle w:val="FootnoteReference"/>
        </w:rPr>
        <w:footnoteRef/>
      </w:r>
      <w:r w:rsidRPr="009D01DF">
        <w:t xml:space="preserve"> Analysis of Rice Warner estimates for the review.</w:t>
      </w:r>
    </w:p>
  </w:footnote>
  <w:footnote w:id="233">
    <w:p w14:paraId="009F5E4A" w14:textId="77777777" w:rsidR="00730553" w:rsidRDefault="00730553">
      <w:pPr>
        <w:pStyle w:val="FootnoteText"/>
      </w:pPr>
      <w:r w:rsidRPr="0051678F">
        <w:rPr>
          <w:rStyle w:val="FootnoteReference"/>
        </w:rPr>
        <w:footnoteRef/>
      </w:r>
      <w:r w:rsidRPr="0051678F">
        <w:t xml:space="preserve"> Real wage growth of 1</w:t>
      </w:r>
      <w:r>
        <w:t> per cent</w:t>
      </w:r>
      <w:r w:rsidRPr="0051678F">
        <w:t xml:space="preserve"> per year is the long-run baseline assumption in the Rice Warner model.</w:t>
      </w:r>
    </w:p>
  </w:footnote>
  <w:footnote w:id="234">
    <w:p w14:paraId="7CF0EB43" w14:textId="77777777" w:rsidR="00730553" w:rsidRDefault="00730553" w:rsidP="00B3792F">
      <w:pPr>
        <w:pStyle w:val="FootnoteText"/>
      </w:pPr>
      <w:r>
        <w:rPr>
          <w:rStyle w:val="FootnoteReference"/>
        </w:rPr>
        <w:footnoteRef/>
      </w:r>
      <w:r>
        <w:t xml:space="preserve"> </w:t>
      </w:r>
      <w:r w:rsidRPr="0005570F">
        <w:t>Treasury estimates for the review using MARIA.</w:t>
      </w:r>
    </w:p>
  </w:footnote>
  <w:footnote w:id="235">
    <w:p w14:paraId="417E53E4" w14:textId="77777777" w:rsidR="00730553" w:rsidRDefault="00730553" w:rsidP="00B3792F">
      <w:pPr>
        <w:pStyle w:val="FootnoteText"/>
      </w:pPr>
      <w:r>
        <w:rPr>
          <w:rStyle w:val="FootnoteReference"/>
        </w:rPr>
        <w:footnoteRef/>
      </w:r>
      <w:r>
        <w:t xml:space="preserve"> ‘Retirees’ in the dependency ratio includes people 65 years and over in 1974-75 and 2014</w:t>
      </w:r>
      <w:r>
        <w:noBreakHyphen/>
        <w:t>15, while it includes people 67 years and over in 2060. This reflects that the Age Pension eligibility age is rising from 65 years in 2014</w:t>
      </w:r>
      <w:r>
        <w:noBreakHyphen/>
        <w:t>15 to 67 years in 2060.</w:t>
      </w:r>
    </w:p>
  </w:footnote>
  <w:footnote w:id="236">
    <w:p w14:paraId="26651C15" w14:textId="77777777" w:rsidR="00730553" w:rsidRDefault="00730553" w:rsidP="00B3792F">
      <w:pPr>
        <w:pStyle w:val="FootnoteText"/>
      </w:pPr>
      <w:r>
        <w:rPr>
          <w:rStyle w:val="FootnoteReference"/>
        </w:rPr>
        <w:footnoteRef/>
      </w:r>
      <w:r>
        <w:t xml:space="preserve"> </w:t>
      </w:r>
      <w:r w:rsidRPr="00B42309">
        <w:t>Analysis of Rice Warner estimates for the review.</w:t>
      </w:r>
    </w:p>
  </w:footnote>
  <w:footnote w:id="237">
    <w:p w14:paraId="0FF32BB2" w14:textId="77777777" w:rsidR="00730553" w:rsidRDefault="00730553" w:rsidP="00B3792F">
      <w:pPr>
        <w:pStyle w:val="FootnoteText"/>
      </w:pPr>
      <w:r>
        <w:rPr>
          <w:rStyle w:val="FootnoteReference"/>
        </w:rPr>
        <w:footnoteRef/>
      </w:r>
      <w:r>
        <w:t xml:space="preserve"> The tax rate for lump sum benefits paid to non-dependants varies based on whether the benefit is from a taxed or untaxed source. The tax rate for income stream benefits paid to dependants varies based on the age of the deceased person at the time of death, the age of the beneficiary and whether the benefit is from a taxed or untaxed source.</w:t>
      </w:r>
    </w:p>
  </w:footnote>
  <w:footnote w:id="238">
    <w:p w14:paraId="7EE00BE0" w14:textId="77777777" w:rsidR="00730553" w:rsidRPr="00465C83" w:rsidRDefault="00730553">
      <w:pPr>
        <w:pStyle w:val="FootnoteText"/>
      </w:pPr>
      <w:r w:rsidRPr="00465C83">
        <w:rPr>
          <w:rStyle w:val="FootnoteReference"/>
        </w:rPr>
        <w:footnoteRef/>
      </w:r>
      <w:r w:rsidRPr="00465C83">
        <w:t xml:space="preserve"> Throughout this chapter, unless stated otherwise, ‘real’ refers to inflation-adjusted figures.</w:t>
      </w:r>
    </w:p>
  </w:footnote>
  <w:footnote w:id="239">
    <w:p w14:paraId="743483C3" w14:textId="77777777" w:rsidR="00730553" w:rsidRDefault="00730553">
      <w:pPr>
        <w:pStyle w:val="FootnoteText"/>
      </w:pPr>
      <w:r w:rsidRPr="00465C83">
        <w:rPr>
          <w:rStyle w:val="FootnoteReference"/>
        </w:rPr>
        <w:footnoteRef/>
      </w:r>
      <w:r w:rsidRPr="00465C83">
        <w:t xml:space="preserve"> Annual Reports 2000-2001 to 2018-19 </w:t>
      </w:r>
      <w:sdt>
        <w:sdtPr>
          <w:id w:val="-367147289"/>
          <w:citation/>
        </w:sdtPr>
        <w:sdtEndPr/>
        <w:sdtContent>
          <w:r w:rsidRPr="00465C83">
            <w:fldChar w:fldCharType="begin"/>
          </w:r>
          <w:r w:rsidRPr="00465C83">
            <w:instrText xml:space="preserve">CITATION DSS109 \l 3081 </w:instrText>
          </w:r>
          <w:r w:rsidRPr="00465C83">
            <w:fldChar w:fldCharType="separate"/>
          </w:r>
          <w:r>
            <w:rPr>
              <w:noProof/>
            </w:rPr>
            <w:t>(Department of Social Services, 2019)</w:t>
          </w:r>
          <w:r w:rsidRPr="00465C83">
            <w:fldChar w:fldCharType="end"/>
          </w:r>
        </w:sdtContent>
      </w:sdt>
      <w:r w:rsidRPr="00465C83">
        <w:t>;</w:t>
      </w:r>
      <w:sdt>
        <w:sdtPr>
          <w:id w:val="491299220"/>
          <w:citation/>
        </w:sdtPr>
        <w:sdtEndPr/>
        <w:sdtContent>
          <w:r w:rsidRPr="00465C83">
            <w:fldChar w:fldCharType="begin"/>
          </w:r>
          <w:r w:rsidRPr="00465C83">
            <w:instrText xml:space="preserve"> CITATION ABS197 \l 3081 </w:instrText>
          </w:r>
          <w:r w:rsidRPr="00465C83">
            <w:fldChar w:fldCharType="separate"/>
          </w:r>
          <w:r>
            <w:rPr>
              <w:noProof/>
            </w:rPr>
            <w:t xml:space="preserve"> (ABS, 2019b)</w:t>
          </w:r>
          <w:r w:rsidRPr="00465C83">
            <w:fldChar w:fldCharType="end"/>
          </w:r>
        </w:sdtContent>
      </w:sdt>
      <w:r w:rsidRPr="00465C83">
        <w:t>.</w:t>
      </w:r>
    </w:p>
  </w:footnote>
  <w:footnote w:id="240">
    <w:p w14:paraId="1DAFC58E" w14:textId="77777777" w:rsidR="00730553" w:rsidRDefault="00730553" w:rsidP="002A2FAE">
      <w:pPr>
        <w:pStyle w:val="FootnoteText"/>
      </w:pPr>
      <w:r>
        <w:rPr>
          <w:rStyle w:val="FootnoteReference"/>
        </w:rPr>
        <w:footnoteRef/>
      </w:r>
      <w:r>
        <w:t xml:space="preserve"> From 1 July 1995, the Age Pension eligibility age for women was gradually increased from 60 to match the male age of 65, reaching parity from 1 July 2013. From 1 July 2017, a process of six-month increases in the Age Pension eligibility age (for all people) every two years began. From 1 July 2023, the Age Pension eligibility age will be 67.</w:t>
      </w:r>
    </w:p>
  </w:footnote>
  <w:footnote w:id="241">
    <w:p w14:paraId="7B3A99D8" w14:textId="77777777" w:rsidR="00730553" w:rsidRPr="00A568C2" w:rsidRDefault="00730553">
      <w:pPr>
        <w:pStyle w:val="FootnoteText"/>
      </w:pPr>
      <w:r>
        <w:rPr>
          <w:rStyle w:val="FootnoteReference"/>
        </w:rPr>
        <w:footnoteRef/>
      </w:r>
      <w:r>
        <w:t xml:space="preserve"> Some stakeholders submitted that there may be benchmarks more suitable than male total average weekly earnings. </w:t>
      </w:r>
      <w:r w:rsidRPr="00A568C2">
        <w:t xml:space="preserve">The </w:t>
      </w:r>
      <w:r w:rsidRPr="00A568C2">
        <w:rPr>
          <w:i/>
        </w:rPr>
        <w:t>review</w:t>
      </w:r>
      <w:r w:rsidRPr="00A568C2">
        <w:t xml:space="preserve"> has not sought to assess this.</w:t>
      </w:r>
    </w:p>
  </w:footnote>
  <w:footnote w:id="242">
    <w:p w14:paraId="122CFBB1" w14:textId="77777777" w:rsidR="00730553" w:rsidRDefault="00730553" w:rsidP="002A2FAE">
      <w:pPr>
        <w:pStyle w:val="FootnoteText"/>
      </w:pPr>
      <w:r w:rsidRPr="00A568C2">
        <w:rPr>
          <w:rStyle w:val="FootnoteReference"/>
        </w:rPr>
        <w:footnoteRef/>
      </w:r>
      <w:r w:rsidRPr="00A568C2">
        <w:t xml:space="preserve"> Analysis of </w:t>
      </w:r>
      <w:sdt>
        <w:sdtPr>
          <w:id w:val="2141610300"/>
          <w:citation/>
        </w:sdtPr>
        <w:sdtEndPr/>
        <w:sdtContent>
          <w:r w:rsidRPr="00A568C2">
            <w:fldChar w:fldCharType="begin"/>
          </w:r>
          <w:r w:rsidRPr="00A568C2">
            <w:instrText>CITATION ABS20d \l 3081  \m ABS202e</w:instrText>
          </w:r>
          <w:r w:rsidRPr="00A568C2">
            <w:fldChar w:fldCharType="separate"/>
          </w:r>
          <w:r>
            <w:rPr>
              <w:noProof/>
            </w:rPr>
            <w:t>(ABS, 2020d; ABS, 2020e)</w:t>
          </w:r>
          <w:r w:rsidRPr="00A568C2">
            <w:fldChar w:fldCharType="end"/>
          </w:r>
        </w:sdtContent>
      </w:sdt>
      <w:r w:rsidRPr="00A568C2">
        <w:t>.</w:t>
      </w:r>
    </w:p>
  </w:footnote>
  <w:footnote w:id="243">
    <w:p w14:paraId="62C07177" w14:textId="77777777" w:rsidR="00730553" w:rsidRPr="00AE3C7A" w:rsidRDefault="00730553" w:rsidP="002A2FAE">
      <w:pPr>
        <w:pStyle w:val="FootnoteText"/>
      </w:pPr>
      <w:r>
        <w:rPr>
          <w:rStyle w:val="FootnoteReference"/>
        </w:rPr>
        <w:footnoteRef/>
      </w:r>
      <w:r>
        <w:t xml:space="preserve"> The cost of tax </w:t>
      </w:r>
      <w:r w:rsidRPr="00D829FC">
        <w:t xml:space="preserve">concessions is referred to as tax expenditure or tax benchmark </w:t>
      </w:r>
      <w:r w:rsidRPr="00AE3C7A">
        <w:t xml:space="preserve">variation. See Palisi </w:t>
      </w:r>
      <w:sdt>
        <w:sdtPr>
          <w:id w:val="1277140655"/>
          <w:citation/>
        </w:sdtPr>
        <w:sdtEndPr/>
        <w:sdtContent>
          <w:r w:rsidRPr="00AE3C7A">
            <w:fldChar w:fldCharType="begin"/>
          </w:r>
          <w:r>
            <w:instrText xml:space="preserve">CITATION Pau17 \n  \t  \l 3081 </w:instrText>
          </w:r>
          <w:r w:rsidRPr="00AE3C7A">
            <w:fldChar w:fldCharType="separate"/>
          </w:r>
          <w:r>
            <w:rPr>
              <w:noProof/>
            </w:rPr>
            <w:t>(2017)</w:t>
          </w:r>
          <w:r w:rsidRPr="00AE3C7A">
            <w:fldChar w:fldCharType="end"/>
          </w:r>
        </w:sdtContent>
      </w:sdt>
      <w:r w:rsidRPr="00AE3C7A">
        <w:t xml:space="preserve"> for a historical summary of the concept and surrounding debate.</w:t>
      </w:r>
    </w:p>
  </w:footnote>
  <w:footnote w:id="244">
    <w:p w14:paraId="0BCDDCF7" w14:textId="77777777" w:rsidR="00730553" w:rsidRPr="00AE3C7A" w:rsidRDefault="00730553" w:rsidP="00AB09DB">
      <w:pPr>
        <w:pStyle w:val="FootnoteText"/>
      </w:pPr>
      <w:r w:rsidRPr="00AE3C7A">
        <w:rPr>
          <w:rStyle w:val="FootnoteReference"/>
        </w:rPr>
        <w:footnoteRef/>
      </w:r>
      <w:r w:rsidRPr="00AE3C7A">
        <w:t xml:space="preserve"> Analysis of </w:t>
      </w:r>
      <w:sdt>
        <w:sdtPr>
          <w:id w:val="502552615"/>
          <w:citation/>
        </w:sdtPr>
        <w:sdtEndPr/>
        <w:sdtContent>
          <w:r w:rsidRPr="00AE3C7A">
            <w:fldChar w:fldCharType="begin"/>
          </w:r>
          <w:r>
            <w:instrText xml:space="preserve">CITATION ABS19mm \m APR19 \m ABS202e \l 3081 </w:instrText>
          </w:r>
          <w:r w:rsidRPr="00AE3C7A">
            <w:fldChar w:fldCharType="separate"/>
          </w:r>
          <w:r>
            <w:rPr>
              <w:noProof/>
            </w:rPr>
            <w:t>(ABS, 2019d; Australian Prudential Regulation Authority, 2020a; ABS, 2020e)</w:t>
          </w:r>
          <w:r w:rsidRPr="00AE3C7A">
            <w:fldChar w:fldCharType="end"/>
          </w:r>
        </w:sdtContent>
      </w:sdt>
      <w:r w:rsidRPr="00AE3C7A">
        <w:t>.</w:t>
      </w:r>
    </w:p>
  </w:footnote>
  <w:footnote w:id="245">
    <w:p w14:paraId="73A2B76F" w14:textId="77777777" w:rsidR="00730553" w:rsidRDefault="00730553" w:rsidP="00AB09DB">
      <w:pPr>
        <w:pStyle w:val="FootnoteText"/>
      </w:pPr>
      <w:r w:rsidRPr="00AE3C7A">
        <w:rPr>
          <w:rStyle w:val="FootnoteReference"/>
        </w:rPr>
        <w:footnoteRef/>
      </w:r>
      <w:r w:rsidRPr="00AE3C7A">
        <w:t xml:space="preserve"> Tax concessions are separately estimated and are not strictly additive. A minor overesti</w:t>
      </w:r>
      <w:r>
        <w:t>mat</w:t>
      </w:r>
      <w:r w:rsidRPr="00423613">
        <w:t>ion is produced by adding contributions and earnings tax concessions together. This is because no earnings (and subsequently no earnings tax concessions) can be realised on contributio</w:t>
      </w:r>
      <w:r>
        <w:t>ns that are not invested in response to a higher contributions tax.</w:t>
      </w:r>
      <w:r w:rsidRPr="00423613">
        <w:t xml:space="preserve"> However, this is </w:t>
      </w:r>
      <w:r>
        <w:t xml:space="preserve">expected </w:t>
      </w:r>
      <w:r w:rsidRPr="00423613">
        <w:t>to have a minor impact. The entire stock of asse</w:t>
      </w:r>
      <w:r>
        <w:t>ts at any one time are invested. The review</w:t>
      </w:r>
      <w:r>
        <w:rPr>
          <w:i/>
        </w:rPr>
        <w:t xml:space="preserve"> </w:t>
      </w:r>
      <w:r w:rsidDel="007D5479">
        <w:t>e</w:t>
      </w:r>
      <w:r>
        <w:t>stimates that</w:t>
      </w:r>
      <w:r w:rsidRPr="00423613">
        <w:t xml:space="preserve"> trimming the extra tax off the flow of contributions into that stock </w:t>
      </w:r>
      <w:r>
        <w:t>would see</w:t>
      </w:r>
      <w:r w:rsidRPr="00423613">
        <w:t xml:space="preserve"> earnings tax concessions fall by only around 0.5</w:t>
      </w:r>
      <w:r>
        <w:t> </w:t>
      </w:r>
      <w:r w:rsidRPr="00423613">
        <w:t>per cent</w:t>
      </w:r>
      <w:r>
        <w:t xml:space="preserve"> for any given year</w:t>
      </w:r>
      <w:r w:rsidRPr="00423613">
        <w:t>.</w:t>
      </w:r>
    </w:p>
  </w:footnote>
  <w:footnote w:id="246">
    <w:p w14:paraId="44641702" w14:textId="77777777" w:rsidR="00730553" w:rsidRDefault="00730553">
      <w:pPr>
        <w:pStyle w:val="FootnoteText"/>
      </w:pPr>
      <w:r>
        <w:rPr>
          <w:rStyle w:val="FootnoteReference"/>
        </w:rPr>
        <w:footnoteRef/>
      </w:r>
      <w:r>
        <w:t xml:space="preserve"> The 2007</w:t>
      </w:r>
      <w:r>
        <w:noBreakHyphen/>
        <w:t>08 peak was driven by the 2007 Simpler Super package, which, among other things, eliminated tax on most withdrawals in the retirement phase and allowed a one-off $1 million post-tax voluntary contribution.</w:t>
      </w:r>
    </w:p>
  </w:footnote>
  <w:footnote w:id="247">
    <w:p w14:paraId="4ED380F7" w14:textId="77777777" w:rsidR="00730553" w:rsidRPr="00A066A3" w:rsidRDefault="00730553">
      <w:pPr>
        <w:pStyle w:val="FootnoteText"/>
      </w:pPr>
      <w:r>
        <w:rPr>
          <w:rStyle w:val="FootnoteReference"/>
        </w:rPr>
        <w:footnoteRef/>
      </w:r>
      <w:r>
        <w:t xml:space="preserve"> Note: Values are in 2018-19 dollars, inflated by CPI. Source</w:t>
      </w:r>
      <w:r w:rsidRPr="00A066A3">
        <w:t xml:space="preserve">: Analysis of </w:t>
      </w:r>
      <w:sdt>
        <w:sdtPr>
          <w:id w:val="-1289654446"/>
          <w:citation/>
        </w:sdtPr>
        <w:sdtEndPr/>
        <w:sdtContent>
          <w:r w:rsidRPr="00A066A3">
            <w:fldChar w:fldCharType="begin"/>
          </w:r>
          <w:r w:rsidRPr="00A066A3">
            <w:instrText xml:space="preserve"> CITATION ATO20a \l 3081 </w:instrText>
          </w:r>
          <w:r w:rsidRPr="00A066A3">
            <w:fldChar w:fldCharType="separate"/>
          </w:r>
          <w:r>
            <w:rPr>
              <w:noProof/>
            </w:rPr>
            <w:t>(ATO, 2020a)</w:t>
          </w:r>
          <w:r w:rsidRPr="00A066A3">
            <w:fldChar w:fldCharType="end"/>
          </w:r>
        </w:sdtContent>
      </w:sdt>
      <w:r w:rsidRPr="00A066A3">
        <w:t>.</w:t>
      </w:r>
    </w:p>
  </w:footnote>
  <w:footnote w:id="248">
    <w:p w14:paraId="23076A62" w14:textId="77777777" w:rsidR="00730553" w:rsidRPr="00A066A3" w:rsidRDefault="00730553">
      <w:pPr>
        <w:pStyle w:val="FootnoteText"/>
      </w:pPr>
      <w:r w:rsidRPr="00A066A3">
        <w:rPr>
          <w:rStyle w:val="FootnoteReference"/>
        </w:rPr>
        <w:footnoteRef/>
      </w:r>
      <w:r w:rsidRPr="00A066A3">
        <w:t xml:space="preserve"> Note: Values are in 2018-19 dollars, inflated by CPI. Source: Tax Expenditures Statement 2004 to 2017</w:t>
      </w:r>
      <w:sdt>
        <w:sdtPr>
          <w:id w:val="-1071038567"/>
          <w:citation/>
        </w:sdtPr>
        <w:sdtEndPr/>
        <w:sdtContent>
          <w:r w:rsidRPr="00A066A3">
            <w:fldChar w:fldCharType="begin"/>
          </w:r>
          <w:r>
            <w:instrText xml:space="preserve">CITATION TreEx18 \l 3081 </w:instrText>
          </w:r>
          <w:r w:rsidRPr="00A066A3">
            <w:fldChar w:fldCharType="separate"/>
          </w:r>
          <w:r>
            <w:rPr>
              <w:noProof/>
            </w:rPr>
            <w:t xml:space="preserve"> (The Treasury, 2018b)</w:t>
          </w:r>
          <w:r w:rsidRPr="00A066A3">
            <w:fldChar w:fldCharType="end"/>
          </w:r>
        </w:sdtContent>
      </w:sdt>
      <w:r w:rsidRPr="00A066A3">
        <w:t xml:space="preserve">; Tax Benchmarks and Variations Statement 2018 to 2019 </w:t>
      </w:r>
      <w:sdt>
        <w:sdtPr>
          <w:id w:val="898793481"/>
          <w:citation/>
        </w:sdtPr>
        <w:sdtEndPr/>
        <w:sdtContent>
          <w:r w:rsidRPr="00A066A3">
            <w:fldChar w:fldCharType="begin"/>
          </w:r>
          <w:r w:rsidRPr="00A066A3">
            <w:instrText xml:space="preserve">CITATION TreB201 \l 3081 </w:instrText>
          </w:r>
          <w:r w:rsidRPr="00A066A3">
            <w:fldChar w:fldCharType="separate"/>
          </w:r>
          <w:r>
            <w:rPr>
              <w:noProof/>
            </w:rPr>
            <w:t>(The Treasury, 2020)</w:t>
          </w:r>
          <w:r w:rsidRPr="00A066A3">
            <w:fldChar w:fldCharType="end"/>
          </w:r>
        </w:sdtContent>
      </w:sdt>
      <w:r w:rsidRPr="00A066A3">
        <w:t>.</w:t>
      </w:r>
    </w:p>
  </w:footnote>
  <w:footnote w:id="249">
    <w:p w14:paraId="6E890598" w14:textId="77777777" w:rsidR="00730553" w:rsidRDefault="00730553">
      <w:pPr>
        <w:pStyle w:val="FootnoteText"/>
      </w:pPr>
      <w:r w:rsidRPr="00A066A3">
        <w:rPr>
          <w:rStyle w:val="FootnoteReference"/>
        </w:rPr>
        <w:footnoteRef/>
      </w:r>
      <w:r w:rsidRPr="00A066A3">
        <w:t xml:space="preserve"> Note: Values are in 2018-19 dollars, inflated </w:t>
      </w:r>
      <w:r>
        <w:t>by</w:t>
      </w:r>
      <w:r w:rsidRPr="00A066A3">
        <w:t xml:space="preserve"> CPI. Source: Tax Expenditures Statement 2004 to 2017</w:t>
      </w:r>
      <w:sdt>
        <w:sdtPr>
          <w:id w:val="-1284261970"/>
          <w:citation/>
        </w:sdtPr>
        <w:sdtEndPr/>
        <w:sdtContent>
          <w:r w:rsidRPr="00A066A3">
            <w:fldChar w:fldCharType="begin"/>
          </w:r>
          <w:r>
            <w:instrText xml:space="preserve">CITATION TreEx18 \l 3081 </w:instrText>
          </w:r>
          <w:r w:rsidRPr="00A066A3">
            <w:fldChar w:fldCharType="separate"/>
          </w:r>
          <w:r>
            <w:rPr>
              <w:noProof/>
            </w:rPr>
            <w:t xml:space="preserve"> (The Treasury, 2018b)</w:t>
          </w:r>
          <w:r w:rsidRPr="00A066A3">
            <w:fldChar w:fldCharType="end"/>
          </w:r>
        </w:sdtContent>
      </w:sdt>
      <w:r w:rsidRPr="00A066A3">
        <w:t xml:space="preserve">; Tax Benchmarks and Variations Statement 2018 to 2019 </w:t>
      </w:r>
      <w:sdt>
        <w:sdtPr>
          <w:id w:val="-173035257"/>
          <w:citation/>
        </w:sdtPr>
        <w:sdtEndPr/>
        <w:sdtContent>
          <w:r w:rsidRPr="00A066A3">
            <w:fldChar w:fldCharType="begin"/>
          </w:r>
          <w:r w:rsidRPr="00A066A3">
            <w:instrText xml:space="preserve">CITATION TreB201 \l 3081 </w:instrText>
          </w:r>
          <w:r w:rsidRPr="00A066A3">
            <w:fldChar w:fldCharType="separate"/>
          </w:r>
          <w:r>
            <w:rPr>
              <w:noProof/>
            </w:rPr>
            <w:t>(The Treasury, 2020)</w:t>
          </w:r>
          <w:r w:rsidRPr="00A066A3">
            <w:fldChar w:fldCharType="end"/>
          </w:r>
        </w:sdtContent>
      </w:sdt>
      <w:r w:rsidRPr="00A066A3">
        <w:t>.</w:t>
      </w:r>
    </w:p>
  </w:footnote>
  <w:footnote w:id="250">
    <w:p w14:paraId="19A889D0" w14:textId="77777777" w:rsidR="00730553" w:rsidRDefault="00730553" w:rsidP="002A2FAE">
      <w:pPr>
        <w:pStyle w:val="FootnoteText"/>
      </w:pPr>
      <w:r>
        <w:rPr>
          <w:rStyle w:val="FootnoteReference"/>
        </w:rPr>
        <w:footnoteRef/>
      </w:r>
      <w:r>
        <w:t xml:space="preserve"> Education includes school and tertiary, and other education benefits. Health includes acute care institutions, community health services, pharmaceuticals, private health insurance rebate and other health benefits. </w:t>
      </w:r>
      <w:bookmarkStart w:id="4037" w:name="_Hlk44933762"/>
      <w:r>
        <w:t>Social security and welfare includes</w:t>
      </w:r>
      <w:bookmarkEnd w:id="4037"/>
      <w:r>
        <w:t xml:space="preserve"> childcare assistance and other social security benefits. Excludes all cash transfers.</w:t>
      </w:r>
    </w:p>
  </w:footnote>
  <w:footnote w:id="251">
    <w:p w14:paraId="71BBB21F" w14:textId="77777777" w:rsidR="00730553" w:rsidRDefault="00730553" w:rsidP="002A2FAE">
      <w:pPr>
        <w:pStyle w:val="FootnoteText"/>
      </w:pPr>
      <w:r>
        <w:rPr>
          <w:rStyle w:val="FootnoteReference"/>
        </w:rPr>
        <w:footnoteRef/>
      </w:r>
      <w:r>
        <w:t xml:space="preserve"> Analysis of </w:t>
      </w:r>
      <w:r w:rsidRPr="00D4466A">
        <w:t>data provided by the Department of Health</w:t>
      </w:r>
      <w:r>
        <w:t xml:space="preserve"> for the review</w:t>
      </w:r>
      <w:r w:rsidRPr="00D4466A">
        <w:t>, 2002-03 to 2018-19</w:t>
      </w:r>
      <w:r w:rsidRPr="00D4466A">
        <w:rPr>
          <w:rFonts w:eastAsia="Calibri"/>
        </w:rPr>
        <w:t>.</w:t>
      </w:r>
    </w:p>
  </w:footnote>
  <w:footnote w:id="252">
    <w:p w14:paraId="48AD4CFE" w14:textId="77777777" w:rsidR="00730553" w:rsidRPr="00163277" w:rsidRDefault="00730553">
      <w:pPr>
        <w:pStyle w:val="FootnoteText"/>
      </w:pPr>
      <w:r>
        <w:rPr>
          <w:rStyle w:val="FootnoteReference"/>
        </w:rPr>
        <w:footnoteRef/>
      </w:r>
      <w:r>
        <w:t xml:space="preserve"> Analys</w:t>
      </w:r>
      <w:r w:rsidRPr="00163277">
        <w:t>is of data provided by the Department of Health</w:t>
      </w:r>
      <w:r>
        <w:t xml:space="preserve"> for the review</w:t>
      </w:r>
      <w:r w:rsidRPr="00163277">
        <w:t>.</w:t>
      </w:r>
    </w:p>
  </w:footnote>
  <w:footnote w:id="253">
    <w:p w14:paraId="3B6F7E52" w14:textId="77777777" w:rsidR="00730553" w:rsidRPr="00163277" w:rsidRDefault="00730553">
      <w:pPr>
        <w:pStyle w:val="FootnoteText"/>
      </w:pPr>
      <w:r w:rsidRPr="00163277">
        <w:rPr>
          <w:rStyle w:val="FootnoteReference"/>
        </w:rPr>
        <w:footnoteRef/>
      </w:r>
      <w:r w:rsidRPr="00163277">
        <w:t xml:space="preserve"> Analysis of data provided by the Department of Health</w:t>
      </w:r>
      <w:r>
        <w:t xml:space="preserve"> for the review</w:t>
      </w:r>
      <w:r w:rsidRPr="00163277">
        <w:t>.</w:t>
      </w:r>
    </w:p>
  </w:footnote>
  <w:footnote w:id="254">
    <w:p w14:paraId="3F4DE5A8" w14:textId="77777777" w:rsidR="00730553" w:rsidRDefault="00730553">
      <w:pPr>
        <w:pStyle w:val="FootnoteText"/>
      </w:pPr>
      <w:r w:rsidRPr="00163277">
        <w:rPr>
          <w:rStyle w:val="FootnoteReference"/>
        </w:rPr>
        <w:footnoteRef/>
      </w:r>
      <w:r w:rsidRPr="00163277">
        <w:t xml:space="preserve"> Analysis of data provided by the Department of Health</w:t>
      </w:r>
      <w:r>
        <w:t xml:space="preserve"> for the review</w:t>
      </w:r>
      <w:r w:rsidRPr="00163277">
        <w:t>.</w:t>
      </w:r>
    </w:p>
  </w:footnote>
  <w:footnote w:id="255">
    <w:p w14:paraId="2A703E04" w14:textId="77777777" w:rsidR="00730553" w:rsidRDefault="00730553">
      <w:pPr>
        <w:pStyle w:val="FootnoteText"/>
      </w:pPr>
      <w:r>
        <w:rPr>
          <w:rStyle w:val="FootnoteReference"/>
        </w:rPr>
        <w:footnoteRef/>
      </w:r>
      <w:r>
        <w:t xml:space="preserve"> As at June 2019, using ABS population projections for people over Age Pension eligibility age. Includes Department of Veterans’ Affairs.</w:t>
      </w:r>
    </w:p>
  </w:footnote>
  <w:footnote w:id="256">
    <w:p w14:paraId="2F07ED15" w14:textId="77777777" w:rsidR="00730553" w:rsidRDefault="00730553">
      <w:pPr>
        <w:pStyle w:val="FootnoteText"/>
      </w:pPr>
      <w:r>
        <w:rPr>
          <w:rStyle w:val="FootnoteReference"/>
        </w:rPr>
        <w:footnoteRef/>
      </w:r>
      <w:r>
        <w:t xml:space="preserve"> People over Age Pension eligibility age who are not eligible for the Age Pension but do meet an income test may be eligible for a Commonwealth Seniors Health Card.</w:t>
      </w:r>
    </w:p>
  </w:footnote>
  <w:footnote w:id="257">
    <w:p w14:paraId="5E1EF8FF" w14:textId="77777777" w:rsidR="00730553" w:rsidRDefault="00730553" w:rsidP="002A2FAE">
      <w:pPr>
        <w:pStyle w:val="FootnoteText"/>
      </w:pPr>
      <w:r>
        <w:rPr>
          <w:rStyle w:val="FootnoteReference"/>
        </w:rPr>
        <w:footnoteRef/>
      </w:r>
      <w:r>
        <w:t xml:space="preserve"> Analysis of Age Pension expenditure in this section includes service pensioners.</w:t>
      </w:r>
    </w:p>
  </w:footnote>
  <w:footnote w:id="258">
    <w:p w14:paraId="65433B95" w14:textId="77777777" w:rsidR="00730553" w:rsidRDefault="00730553">
      <w:pPr>
        <w:pStyle w:val="FootnoteText"/>
      </w:pPr>
      <w:r>
        <w:rPr>
          <w:rStyle w:val="FootnoteReference"/>
        </w:rPr>
        <w:footnoteRef/>
      </w:r>
      <w:r>
        <w:t xml:space="preserve"> The estimate of 74 per cent has not been re-benchmarked to either recent actuals or the 2019-20 MYEFO forward estimates.</w:t>
      </w:r>
    </w:p>
  </w:footnote>
  <w:footnote w:id="259">
    <w:p w14:paraId="5F51A103" w14:textId="77777777" w:rsidR="00730553" w:rsidRDefault="00730553">
      <w:pPr>
        <w:pStyle w:val="FootnoteText"/>
      </w:pPr>
      <w:r>
        <w:rPr>
          <w:rStyle w:val="FootnoteReference"/>
        </w:rPr>
        <w:footnoteRef/>
      </w:r>
      <w:r>
        <w:t xml:space="preserve"> As the maximum rate goes up, there is more </w:t>
      </w:r>
      <w:r w:rsidRPr="00D53238">
        <w:t>payment to ‘taper through’ before the cut</w:t>
      </w:r>
      <w:r>
        <w:t>-</w:t>
      </w:r>
      <w:r w:rsidRPr="00D53238">
        <w:t>off is reached. To illustrate, the single home owner assets test cut off is projected to grow at an average annual real rate of 0.7</w:t>
      </w:r>
      <w:r>
        <w:t> </w:t>
      </w:r>
      <w:r w:rsidRPr="00D53238">
        <w:t>per</w:t>
      </w:r>
      <w:r>
        <w:t> </w:t>
      </w:r>
      <w:r w:rsidRPr="00D53238">
        <w:t>cent, compared to the free area, which is inde</w:t>
      </w:r>
      <w:r w:rsidRPr="00B279AF">
        <w:t>xed to CPI and therefore does not grow in real terms. This means the tapered area widens over time, helping to explain why the</w:t>
      </w:r>
      <w:r>
        <w:t xml:space="preserve"> share of part-rate pensioners is projected to increase.</w:t>
      </w:r>
    </w:p>
  </w:footnote>
  <w:footnote w:id="260">
    <w:p w14:paraId="599AE0C8" w14:textId="77777777" w:rsidR="00730553" w:rsidRDefault="00730553" w:rsidP="002A2FAE">
      <w:pPr>
        <w:pStyle w:val="FootnoteText"/>
      </w:pPr>
      <w:r>
        <w:rPr>
          <w:rStyle w:val="FootnoteReference"/>
        </w:rPr>
        <w:footnoteRef/>
      </w:r>
      <w:r>
        <w:t xml:space="preserve"> This estimate implicitly assumes no changes in home ownership and couples status rates for the Age Pension eligibility age population.</w:t>
      </w:r>
    </w:p>
  </w:footnote>
  <w:footnote w:id="261">
    <w:p w14:paraId="25AE39B1" w14:textId="77777777" w:rsidR="00730553" w:rsidRDefault="00730553">
      <w:pPr>
        <w:pStyle w:val="FootnoteText"/>
      </w:pPr>
      <w:r>
        <w:rPr>
          <w:rStyle w:val="FootnoteReference"/>
        </w:rPr>
        <w:footnoteRef/>
      </w:r>
      <w:r>
        <w:t xml:space="preserve"> Treasury estimates for the review using MARIA.</w:t>
      </w:r>
    </w:p>
  </w:footnote>
  <w:footnote w:id="262">
    <w:p w14:paraId="27E7F765" w14:textId="77777777" w:rsidR="00730553" w:rsidRDefault="00730553">
      <w:pPr>
        <w:pStyle w:val="FootnoteText"/>
      </w:pPr>
      <w:r>
        <w:rPr>
          <w:rStyle w:val="FootnoteReference"/>
        </w:rPr>
        <w:footnoteRef/>
      </w:r>
      <w:r>
        <w:t xml:space="preserve"> For example, where Australian shares were previously assumed to return 7.9 per cent per year, they are now assumed to return 6.9 per cent per year.</w:t>
      </w:r>
    </w:p>
  </w:footnote>
  <w:footnote w:id="263">
    <w:p w14:paraId="090AAB19" w14:textId="77777777" w:rsidR="00730553" w:rsidRDefault="00730553">
      <w:pPr>
        <w:pStyle w:val="FootnoteText"/>
      </w:pPr>
      <w:r>
        <w:rPr>
          <w:rStyle w:val="FootnoteReference"/>
        </w:rPr>
        <w:footnoteRef/>
      </w:r>
      <w:r>
        <w:t xml:space="preserve"> In particular, the partial nature of these scenarios makes them ill-suited to projecting the effects of alternative trends on tax concessions. Tax concessions estimates are dependent on a correctly estimated tax benchmark, which is linked to broader economic conditions.</w:t>
      </w:r>
    </w:p>
  </w:footnote>
  <w:footnote w:id="264">
    <w:p w14:paraId="7952838B" w14:textId="77777777" w:rsidR="00730553" w:rsidRPr="00AC6BDC" w:rsidRDefault="00730553" w:rsidP="002A2FAE">
      <w:pPr>
        <w:pStyle w:val="FootnoteText"/>
        <w:rPr>
          <w:iCs/>
        </w:rPr>
      </w:pPr>
      <w:r>
        <w:rPr>
          <w:rStyle w:val="FootnoteReference"/>
        </w:rPr>
        <w:footnoteRef/>
      </w:r>
      <w:r>
        <w:t xml:space="preserve"> Percentiles are calculated as a composite of income and wealth</w:t>
      </w:r>
      <w:r w:rsidRPr="00FA7D52">
        <w:t xml:space="preserve">. See </w:t>
      </w:r>
      <w:r w:rsidRPr="00FA7D52">
        <w:rPr>
          <w:i/>
        </w:rPr>
        <w:t>Appendix 6A. Detailed modelling methods and assumptions</w:t>
      </w:r>
      <w:r w:rsidRPr="00FA7D52">
        <w:rPr>
          <w:iCs/>
        </w:rPr>
        <w:t>.</w:t>
      </w:r>
    </w:p>
  </w:footnote>
  <w:footnote w:id="265">
    <w:p w14:paraId="6D8D64CD" w14:textId="77777777" w:rsidR="00730553" w:rsidRPr="00F63D99" w:rsidRDefault="00730553">
      <w:pPr>
        <w:pStyle w:val="FootnoteText"/>
      </w:pPr>
      <w:r w:rsidRPr="00F63D99">
        <w:rPr>
          <w:rStyle w:val="FootnoteReference"/>
        </w:rPr>
        <w:footnoteRef/>
      </w:r>
      <w:sdt>
        <w:sdtPr>
          <w:rPr>
            <w:rFonts w:eastAsiaTheme="minorEastAsia"/>
          </w:rPr>
          <w:id w:val="-1865431630"/>
          <w:citation/>
        </w:sdtPr>
        <w:sdtEndPr/>
        <w:sdtContent>
          <w:r w:rsidRPr="00F63D99">
            <w:rPr>
              <w:rFonts w:eastAsiaTheme="minorEastAsia"/>
            </w:rPr>
            <w:fldChar w:fldCharType="begin"/>
          </w:r>
          <w:r>
            <w:rPr>
              <w:rFonts w:eastAsiaTheme="minorEastAsia"/>
            </w:rPr>
            <w:instrText>CITATION COT20 \m AIS201 \l 3081  \m Sup20</w:instrText>
          </w:r>
          <w:r w:rsidRPr="00F63D99">
            <w:rPr>
              <w:rFonts w:eastAsiaTheme="minorEastAsia"/>
            </w:rPr>
            <w:fldChar w:fldCharType="separate"/>
          </w:r>
          <w:r>
            <w:rPr>
              <w:rFonts w:eastAsiaTheme="minorEastAsia"/>
              <w:noProof/>
            </w:rPr>
            <w:t xml:space="preserve"> </w:t>
          </w:r>
          <w:r w:rsidRPr="00E83F6E">
            <w:rPr>
              <w:rFonts w:eastAsiaTheme="minorEastAsia"/>
              <w:noProof/>
            </w:rPr>
            <w:t>(COTA, 2020; Australian Institute of Superannuation Trustees, 2020; Super Consumers Australia, 2020)</w:t>
          </w:r>
          <w:r w:rsidRPr="00F63D99">
            <w:rPr>
              <w:rFonts w:eastAsiaTheme="minorEastAsia"/>
            </w:rPr>
            <w:fldChar w:fldCharType="end"/>
          </w:r>
        </w:sdtContent>
      </w:sdt>
      <w:r w:rsidRPr="00F63D99">
        <w:rPr>
          <w:rFonts w:eastAsiaTheme="minorEastAsia"/>
        </w:rPr>
        <w:t>.</w:t>
      </w:r>
    </w:p>
  </w:footnote>
  <w:footnote w:id="266">
    <w:p w14:paraId="64610FAC" w14:textId="77777777" w:rsidR="00730553" w:rsidRDefault="00730553">
      <w:pPr>
        <w:pStyle w:val="FootnoteText"/>
      </w:pPr>
      <w:r w:rsidRPr="00F63D99">
        <w:rPr>
          <w:rStyle w:val="FootnoteReference"/>
        </w:rPr>
        <w:footnoteRef/>
      </w:r>
      <w:r w:rsidRPr="00F63D99">
        <w:t xml:space="preserve"> Investment Trends </w:t>
      </w:r>
      <w:r>
        <w:t xml:space="preserve">October </w:t>
      </w:r>
      <w:r w:rsidRPr="00F63D99">
        <w:t>2019 Retirement Income Report</w:t>
      </w:r>
      <w:r>
        <w:t>.</w:t>
      </w:r>
    </w:p>
  </w:footnote>
  <w:footnote w:id="267">
    <w:p w14:paraId="7AA3156B" w14:textId="77777777" w:rsidR="00730553" w:rsidRDefault="00730553" w:rsidP="002A2FAE">
      <w:pPr>
        <w:pStyle w:val="FootnoteText"/>
      </w:pPr>
      <w:r>
        <w:rPr>
          <w:rStyle w:val="FootnoteReference"/>
        </w:rPr>
        <w:footnoteRef/>
      </w:r>
      <w:r>
        <w:t xml:space="preserve"> </w:t>
      </w:r>
      <w:r w:rsidRPr="00F63D99">
        <w:t xml:space="preserve">Investment Trends </w:t>
      </w:r>
      <w:r>
        <w:t xml:space="preserve">October </w:t>
      </w:r>
      <w:r w:rsidRPr="00F63D99">
        <w:t>2019 Retirement Income Report</w:t>
      </w:r>
    </w:p>
  </w:footnote>
  <w:footnote w:id="268">
    <w:p w14:paraId="5D79A534" w14:textId="77777777" w:rsidR="00730553" w:rsidRDefault="00730553" w:rsidP="002A2FAE">
      <w:pPr>
        <w:pStyle w:val="FootnoteText"/>
      </w:pPr>
      <w:r>
        <w:rPr>
          <w:rStyle w:val="FootnoteReference"/>
        </w:rPr>
        <w:footnoteRef/>
      </w:r>
      <w:r>
        <w:t xml:space="preserve"> </w:t>
      </w:r>
      <w:r w:rsidRPr="00F63D99">
        <w:t xml:space="preserve">Investment Trends </w:t>
      </w:r>
      <w:r>
        <w:t xml:space="preserve">October </w:t>
      </w:r>
      <w:r w:rsidRPr="00F63D99">
        <w:t>2019 Retirement Income Report</w:t>
      </w:r>
    </w:p>
  </w:footnote>
  <w:footnote w:id="269">
    <w:p w14:paraId="1EC39522" w14:textId="77777777" w:rsidR="00730553" w:rsidRDefault="00730553">
      <w:pPr>
        <w:pStyle w:val="FootnoteText"/>
      </w:pPr>
      <w:r w:rsidRPr="00F63D99">
        <w:rPr>
          <w:rStyle w:val="FootnoteReference"/>
        </w:rPr>
        <w:footnoteRef/>
      </w:r>
      <w:r w:rsidRPr="00F63D99">
        <w:t xml:space="preserve"> Investment Trends </w:t>
      </w:r>
      <w:r>
        <w:t xml:space="preserve">October </w:t>
      </w:r>
      <w:r w:rsidRPr="00F63D99">
        <w:t>2019 Retirement Income Report</w:t>
      </w:r>
      <w:r>
        <w:t>.</w:t>
      </w:r>
    </w:p>
  </w:footnote>
  <w:footnote w:id="270">
    <w:p w14:paraId="503CF9A4" w14:textId="77777777" w:rsidR="00730553" w:rsidRDefault="00730553">
      <w:pPr>
        <w:pStyle w:val="FootnoteText"/>
      </w:pPr>
      <w:r w:rsidRPr="00B50E38">
        <w:rPr>
          <w:rStyle w:val="FootnoteReference"/>
        </w:rPr>
        <w:footnoteRef/>
      </w:r>
      <w:r w:rsidRPr="00B50E38">
        <w:t xml:space="preserve"> Investment Trends </w:t>
      </w:r>
      <w:r>
        <w:t xml:space="preserve">October </w:t>
      </w:r>
      <w:r w:rsidRPr="00B50E38">
        <w:t>2019 Retirement Income Report</w:t>
      </w:r>
      <w:r>
        <w:t>.</w:t>
      </w:r>
    </w:p>
  </w:footnote>
  <w:footnote w:id="271">
    <w:p w14:paraId="4E41DC92" w14:textId="77777777" w:rsidR="00730553" w:rsidRPr="00B50E38" w:rsidRDefault="00730553">
      <w:pPr>
        <w:pStyle w:val="FootnoteText"/>
      </w:pPr>
      <w:r w:rsidRPr="00B50E38">
        <w:rPr>
          <w:rStyle w:val="FootnoteReference"/>
        </w:rPr>
        <w:footnoteRef/>
      </w:r>
      <w:r w:rsidRPr="00B50E38">
        <w:t xml:space="preserve"> Investment Trends </w:t>
      </w:r>
      <w:r>
        <w:t xml:space="preserve">October </w:t>
      </w:r>
      <w:r w:rsidRPr="00B50E38">
        <w:t>2019 Retirement Income Report</w:t>
      </w:r>
      <w:r>
        <w:t>.</w:t>
      </w:r>
    </w:p>
  </w:footnote>
  <w:footnote w:id="272">
    <w:p w14:paraId="4FB7BEA1" w14:textId="77777777" w:rsidR="00730553" w:rsidRPr="00B50E38" w:rsidRDefault="00730553">
      <w:pPr>
        <w:pStyle w:val="FootnoteText"/>
      </w:pPr>
      <w:r w:rsidRPr="00B50E38">
        <w:rPr>
          <w:rStyle w:val="FootnoteReference"/>
        </w:rPr>
        <w:footnoteRef/>
      </w:r>
      <w:r w:rsidRPr="00B50E38">
        <w:t xml:space="preserve"> Investment Trends </w:t>
      </w:r>
      <w:r>
        <w:t xml:space="preserve">October </w:t>
      </w:r>
      <w:r w:rsidRPr="00B50E38">
        <w:t>2019 Retirement Income Report</w:t>
      </w:r>
      <w:r>
        <w:t>.</w:t>
      </w:r>
    </w:p>
  </w:footnote>
  <w:footnote w:id="273">
    <w:p w14:paraId="57190E6A" w14:textId="77777777" w:rsidR="00730553" w:rsidRDefault="00730553">
      <w:pPr>
        <w:pStyle w:val="FootnoteText"/>
      </w:pPr>
      <w:r w:rsidRPr="00B50E38">
        <w:rPr>
          <w:rStyle w:val="FootnoteReference"/>
        </w:rPr>
        <w:footnoteRef/>
      </w:r>
      <w:r w:rsidRPr="00B50E38">
        <w:t xml:space="preserve"> Investment Trends </w:t>
      </w:r>
      <w:r>
        <w:t xml:space="preserve">October </w:t>
      </w:r>
      <w:r w:rsidRPr="00B50E38">
        <w:t>2019 Retirement Income Report</w:t>
      </w:r>
      <w:r>
        <w:t>.</w:t>
      </w:r>
    </w:p>
  </w:footnote>
  <w:footnote w:id="274">
    <w:p w14:paraId="774ACFDF" w14:textId="77777777" w:rsidR="00730553" w:rsidRDefault="00730553" w:rsidP="002A2FAE">
      <w:pPr>
        <w:pStyle w:val="FootnoteText"/>
      </w:pPr>
      <w:r>
        <w:rPr>
          <w:rStyle w:val="FootnoteReference"/>
        </w:rPr>
        <w:footnoteRef/>
      </w:r>
      <w:r>
        <w:t xml:space="preserve"> A TEE benchmark is conceptually equivalent to an EET benchmark under certain conditions. An expenditure tax benchmark contrasts with current policy, which is best referred to as ttE. The lower-case t referring to </w:t>
      </w:r>
      <w:r w:rsidRPr="00B24082">
        <w:t xml:space="preserve">concessional </w:t>
      </w:r>
      <w:r>
        <w:t>taxation; whereas, an upper-case T refers to non-concessional taxation.</w:t>
      </w:r>
    </w:p>
  </w:footnote>
  <w:footnote w:id="275">
    <w:p w14:paraId="0C159646" w14:textId="77777777" w:rsidR="00730553" w:rsidRDefault="00730553" w:rsidP="002A2FAE">
      <w:pPr>
        <w:pStyle w:val="FootnoteText"/>
      </w:pPr>
      <w:r>
        <w:rPr>
          <w:rStyle w:val="FootnoteReference"/>
        </w:rPr>
        <w:footnoteRef/>
      </w:r>
      <w:r>
        <w:t xml:space="preserve"> For example, where Australian shares were previously assumed to return 7.9 per cent per year, they are now assumed to return 6.9 per cent per year.</w:t>
      </w:r>
    </w:p>
  </w:footnote>
  <w:footnote w:id="276">
    <w:p w14:paraId="3332C370" w14:textId="77777777" w:rsidR="00730553" w:rsidRDefault="00730553">
      <w:pPr>
        <w:pStyle w:val="FootnoteText"/>
      </w:pPr>
      <w:r>
        <w:rPr>
          <w:rStyle w:val="FootnoteReference"/>
        </w:rPr>
        <w:footnoteRef/>
      </w:r>
      <w:r w:rsidRPr="001D278E" w:rsidDel="001C1880">
        <w:t xml:space="preserve"> </w:t>
      </w:r>
      <w:r w:rsidRPr="001D278E">
        <w:t xml:space="preserve">Default options are pre-set courses of action that take effect if </w:t>
      </w:r>
      <w:r>
        <w:t xml:space="preserve">people do not make a </w:t>
      </w:r>
      <w:r w:rsidRPr="007449D5">
        <w:t>decision</w:t>
      </w:r>
      <w:r w:rsidRPr="007449D5">
        <w:fldChar w:fldCharType="begin"/>
      </w:r>
      <w:r w:rsidRPr="007449D5">
        <w:instrText xml:space="preserve"> CITATION Tha08 \l 3081 </w:instrText>
      </w:r>
      <w:r w:rsidRPr="007449D5">
        <w:fldChar w:fldCharType="separate"/>
      </w:r>
      <w:r>
        <w:rPr>
          <w:noProof/>
        </w:rPr>
        <w:t xml:space="preserve"> (Thaler &amp; Sunstein, 2008)</w:t>
      </w:r>
      <w:r w:rsidRPr="007449D5">
        <w:fldChar w:fldCharType="end"/>
      </w:r>
      <w:r w:rsidRPr="007449D5">
        <w:t>.</w:t>
      </w:r>
      <w:r>
        <w:t xml:space="preserve"> </w:t>
      </w:r>
    </w:p>
  </w:footnote>
  <w:footnote w:id="277">
    <w:p w14:paraId="3D806885" w14:textId="77777777" w:rsidR="00730553" w:rsidRDefault="00730553">
      <w:pPr>
        <w:pStyle w:val="FootnoteText"/>
      </w:pPr>
      <w:r>
        <w:rPr>
          <w:rStyle w:val="FootnoteReference"/>
        </w:rPr>
        <w:footnoteRef/>
      </w:r>
      <w:r>
        <w:t xml:space="preserve"> Although some concessional voluntary contributions are made via personal, deductible superannuation contributions. </w:t>
      </w:r>
    </w:p>
  </w:footnote>
  <w:footnote w:id="278">
    <w:p w14:paraId="02367F13" w14:textId="77777777" w:rsidR="00730553" w:rsidRDefault="00730553" w:rsidP="002A2FAE">
      <w:pPr>
        <w:pStyle w:val="FootnoteText"/>
      </w:pPr>
      <w:r w:rsidRPr="1586E000">
        <w:rPr>
          <w:rStyle w:val="FootnoteReference"/>
        </w:rPr>
        <w:footnoteRef/>
      </w:r>
      <w:r>
        <w:t xml:space="preserve"> Dividend imputation allows some or all of the tax paid by a company to be attributed (imputed) to shareholders as a tax credit. In Australia, the corporate tax rate for most companies is 30 per cent while superannuation investment returns are taxed at 15 per cent.</w:t>
      </w:r>
    </w:p>
  </w:footnote>
  <w:footnote w:id="279">
    <w:p w14:paraId="7FB5BDB0" w14:textId="77777777" w:rsidR="00730553" w:rsidRPr="00A94F55" w:rsidRDefault="00730553">
      <w:pPr>
        <w:pStyle w:val="FootnoteText"/>
      </w:pPr>
      <w:r>
        <w:rPr>
          <w:rStyle w:val="FootnoteReference"/>
        </w:rPr>
        <w:footnoteRef/>
      </w:r>
      <w:r>
        <w:t xml:space="preserve"> </w:t>
      </w:r>
      <w:r w:rsidRPr="003C39C7">
        <w:t xml:space="preserve">In </w:t>
      </w:r>
      <w:r w:rsidRPr="00A94F55">
        <w:t>the 2016</w:t>
      </w:r>
      <w:r w:rsidRPr="00A94F55">
        <w:noBreakHyphen/>
        <w:t>17 tax data, the exception is for people aged 55 and over around the tax</w:t>
      </w:r>
      <w:r w:rsidRPr="00A94F55">
        <w:noBreakHyphen/>
        <w:t>free threshold.</w:t>
      </w:r>
    </w:p>
  </w:footnote>
  <w:footnote w:id="280">
    <w:p w14:paraId="7A3AF535" w14:textId="77777777" w:rsidR="00730553" w:rsidRDefault="00730553">
      <w:pPr>
        <w:pStyle w:val="FootnoteText"/>
      </w:pPr>
      <w:r w:rsidRPr="00A94F55">
        <w:rPr>
          <w:rStyle w:val="FootnoteReference"/>
        </w:rPr>
        <w:footnoteRef/>
      </w:r>
      <w:r w:rsidRPr="00A94F55">
        <w:t xml:space="preserve"> Lower-income earners are defined as those in the bottom 30 per cent of all earners, higher-income earners in the top 20 per cent and middle-income earners are those in between. Adjusted by the review’s deflator to 2019 dollars, lower-income earners have average annual earnings over their working life of up to $48,000, while higher-income earners have average</w:t>
      </w:r>
      <w:r>
        <w:t xml:space="preserve"> annual earnings of $112,900 and above.</w:t>
      </w:r>
    </w:p>
  </w:footnote>
  <w:footnote w:id="281">
    <w:p w14:paraId="42DDF527" w14:textId="77777777" w:rsidR="00730553" w:rsidRDefault="00730553" w:rsidP="002A2FAE">
      <w:pPr>
        <w:pStyle w:val="FootnoteText"/>
      </w:pPr>
      <w:r>
        <w:rPr>
          <w:rStyle w:val="FootnoteReference"/>
        </w:rPr>
        <w:footnoteRef/>
      </w:r>
      <w:r>
        <w:t xml:space="preserve"> In the US, Thaler and Benartzi</w:t>
      </w:r>
      <w:r>
        <w:fldChar w:fldCharType="begin"/>
      </w:r>
      <w:r>
        <w:instrText xml:space="preserve">CITATION Tha04 \n  \t  \l 3081 </w:instrText>
      </w:r>
      <w:r>
        <w:fldChar w:fldCharType="separate"/>
      </w:r>
      <w:r>
        <w:rPr>
          <w:noProof/>
        </w:rPr>
        <w:t xml:space="preserve"> (2004)</w:t>
      </w:r>
      <w:r>
        <w:fldChar w:fldCharType="end"/>
      </w:r>
      <w:r>
        <w:t xml:space="preserve"> identified that inertia and present bias play a dominant role in making people stick to retirement defaults. They developed a program (‘Save More Tomorrow’) where employees commit to linking future pay rises to increased savings rates. </w:t>
      </w:r>
    </w:p>
  </w:footnote>
  <w:footnote w:id="282">
    <w:p w14:paraId="5812BF98" w14:textId="77777777" w:rsidR="00730553" w:rsidRDefault="00730553">
      <w:pPr>
        <w:pStyle w:val="FootnoteText"/>
      </w:pPr>
      <w:r w:rsidRPr="00F7079E">
        <w:rPr>
          <w:rStyle w:val="FootnoteReference"/>
        </w:rPr>
        <w:footnoteRef/>
      </w:r>
      <w:r w:rsidRPr="00F7079E">
        <w:t xml:space="preserve"> Assets test free area as at March 2020.</w:t>
      </w:r>
      <w:r w:rsidRPr="00F7079E" w:rsidDel="004F588D">
        <w:t xml:space="preserve"> </w:t>
      </w:r>
      <w:r w:rsidRPr="00F7079E">
        <w:t>Single home owner: $263,250; couple combined home owner: $394,500; single non-home owner: $473,750; and couple combined non-home owner: $605,000.</w:t>
      </w:r>
    </w:p>
  </w:footnote>
  <w:footnote w:id="283">
    <w:p w14:paraId="624D0FAB" w14:textId="77777777" w:rsidR="00730553" w:rsidRDefault="00730553" w:rsidP="002A2FAE">
      <w:pPr>
        <w:pStyle w:val="FootnoteText"/>
      </w:pPr>
      <w:r>
        <w:rPr>
          <w:rStyle w:val="FootnoteReference"/>
        </w:rPr>
        <w:footnoteRef/>
      </w:r>
      <w:r>
        <w:t xml:space="preserve"> The </w:t>
      </w:r>
      <w:r w:rsidRPr="005C0398">
        <w:t xml:space="preserve">Household, </w:t>
      </w:r>
      <w:r w:rsidRPr="00C3006F">
        <w:t xml:space="preserve">Income and Labour Dynamics in Australia (HILDA) </w:t>
      </w:r>
      <w:r>
        <w:t>S</w:t>
      </w:r>
      <w:r w:rsidRPr="00C3006F">
        <w:t>urvey only collects information on wealth every four years. Cassells et al.</w:t>
      </w:r>
      <w:r w:rsidRPr="00C3006F">
        <w:fldChar w:fldCharType="begin"/>
      </w:r>
      <w:r>
        <w:instrText xml:space="preserve">CITATION Dun20 \n  \t  \l 3081 </w:instrText>
      </w:r>
      <w:r w:rsidRPr="00C3006F">
        <w:fldChar w:fldCharType="separate"/>
      </w:r>
      <w:r>
        <w:rPr>
          <w:noProof/>
        </w:rPr>
        <w:t xml:space="preserve"> (2020)</w:t>
      </w:r>
      <w:r w:rsidRPr="00C3006F">
        <w:fldChar w:fldCharType="end"/>
      </w:r>
      <w:r w:rsidRPr="00C3006F">
        <w:t xml:space="preserve"> were thus limited by a</w:t>
      </w:r>
      <w:r>
        <w:t>ccess to only the latest HILDA S</w:t>
      </w:r>
      <w:r w:rsidRPr="00C3006F">
        <w:t xml:space="preserve">urvey release (2018) to study the 2017 taper rate changes. </w:t>
      </w:r>
    </w:p>
  </w:footnote>
  <w:footnote w:id="284">
    <w:p w14:paraId="415F1113" w14:textId="77777777" w:rsidR="00730553" w:rsidRDefault="00730553">
      <w:pPr>
        <w:pStyle w:val="FootnoteText"/>
      </w:pPr>
      <w:r w:rsidRPr="00C3006F">
        <w:rPr>
          <w:rStyle w:val="FootnoteReference"/>
        </w:rPr>
        <w:footnoteRef/>
      </w:r>
      <w:r w:rsidRPr="00C3006F">
        <w:t xml:space="preserve"> A simple two-period life-cycle model as in Whelan et al</w:t>
      </w:r>
      <w:r w:rsidRPr="00C3006F">
        <w:fldChar w:fldCharType="begin"/>
      </w:r>
      <w:r w:rsidRPr="00C3006F">
        <w:instrText xml:space="preserve">CITATION Whe18 \n  \t  \l 3081 </w:instrText>
      </w:r>
      <w:r w:rsidRPr="00C3006F">
        <w:fldChar w:fldCharType="separate"/>
      </w:r>
      <w:r>
        <w:rPr>
          <w:noProof/>
        </w:rPr>
        <w:t xml:space="preserve"> (2018)</w:t>
      </w:r>
      <w:r w:rsidRPr="00C3006F">
        <w:fldChar w:fldCharType="end"/>
      </w:r>
      <w:r w:rsidRPr="00C3006F">
        <w:t xml:space="preserve"> would pre</w:t>
      </w:r>
      <w:r>
        <w:t>dict taper rate reduction to de</w:t>
      </w:r>
      <w:r>
        <w:noBreakHyphen/>
      </w:r>
      <w:r w:rsidRPr="00C3006F">
        <w:t>incentivise savings of this group due to the exposure to taper rate (substitution effect) and increased pension payments (income effect). This suggested a better theoretical framework and better data would be required to examine the effect of taper rate on savings behaviour.</w:t>
      </w:r>
    </w:p>
  </w:footnote>
  <w:footnote w:id="285">
    <w:p w14:paraId="771EECB3" w14:textId="77777777" w:rsidR="00730553" w:rsidRDefault="00730553" w:rsidP="002A2FAE">
      <w:pPr>
        <w:pStyle w:val="FootnoteText"/>
      </w:pPr>
      <w:r w:rsidRPr="00C3006F">
        <w:rPr>
          <w:rStyle w:val="FootnoteReference"/>
        </w:rPr>
        <w:footnoteRef/>
      </w:r>
      <w:r w:rsidRPr="00C3006F">
        <w:t xml:space="preserve"> Department of Social Services analysis of 2019 payment data.</w:t>
      </w:r>
    </w:p>
  </w:footnote>
  <w:footnote w:id="286">
    <w:p w14:paraId="786B9752" w14:textId="77777777" w:rsidR="00730553" w:rsidRDefault="00730553">
      <w:pPr>
        <w:pStyle w:val="FootnoteText"/>
      </w:pPr>
      <w:r>
        <w:rPr>
          <w:rStyle w:val="FootnoteReference"/>
        </w:rPr>
        <w:footnoteRef/>
      </w:r>
      <w:r>
        <w:t xml:space="preserve"> Department of Social Services</w:t>
      </w:r>
      <w:r w:rsidRPr="003456FA">
        <w:t xml:space="preserve"> analysis of payment data.</w:t>
      </w:r>
    </w:p>
  </w:footnote>
  <w:footnote w:id="287">
    <w:p w14:paraId="52990E36" w14:textId="77777777" w:rsidR="00730553" w:rsidRDefault="00730553" w:rsidP="002A2FAE">
      <w:pPr>
        <w:pStyle w:val="FootnoteText"/>
      </w:pPr>
      <w:r w:rsidRPr="003456FA">
        <w:rPr>
          <w:rStyle w:val="FootnoteReference"/>
        </w:rPr>
        <w:footnoteRef/>
      </w:r>
      <w:r w:rsidRPr="003456FA">
        <w:t xml:space="preserve"> </w:t>
      </w:r>
      <w:r>
        <w:t>Department of Social Services</w:t>
      </w:r>
      <w:r w:rsidRPr="003456FA">
        <w:t xml:space="preserve"> payment data </w:t>
      </w:r>
      <w:r>
        <w:t>r</w:t>
      </w:r>
      <w:r w:rsidRPr="003456FA">
        <w:t xml:space="preserve">ecipients who reported employment income in the last fortnight leading up to the reporting period: June 2015 to June 2019. </w:t>
      </w:r>
    </w:p>
  </w:footnote>
  <w:footnote w:id="288">
    <w:p w14:paraId="54C31D56" w14:textId="77777777" w:rsidR="00730553" w:rsidRDefault="00730553" w:rsidP="002A2FAE">
      <w:pPr>
        <w:pStyle w:val="FootnoteText"/>
      </w:pPr>
      <w:r w:rsidRPr="003456FA">
        <w:rPr>
          <w:rStyle w:val="FootnoteReference"/>
        </w:rPr>
        <w:footnoteRef/>
      </w:r>
      <w:r>
        <w:t xml:space="preserve"> </w:t>
      </w:r>
      <w:r w:rsidRPr="003456FA">
        <w:t xml:space="preserve">Single age pensioners can earn up to $474 per fortnight from </w:t>
      </w:r>
      <w:r w:rsidRPr="00402471">
        <w:t xml:space="preserve">employment before their payment is reduced, due to the operation of the income test free area and the Work Bonus. See </w:t>
      </w:r>
      <w:r w:rsidRPr="00402471">
        <w:rPr>
          <w:i/>
        </w:rPr>
        <w:t>1B. Design of Australia</w:t>
      </w:r>
      <w:r>
        <w:rPr>
          <w:i/>
        </w:rPr>
        <w:t>’</w:t>
      </w:r>
      <w:r w:rsidRPr="00402471">
        <w:rPr>
          <w:i/>
        </w:rPr>
        <w:t>s retirement income system</w:t>
      </w:r>
      <w:r w:rsidRPr="00402471">
        <w:t xml:space="preserve"> for details.</w:t>
      </w:r>
    </w:p>
  </w:footnote>
  <w:footnote w:id="289">
    <w:p w14:paraId="5C493F69" w14:textId="77777777" w:rsidR="00730553" w:rsidRDefault="00730553" w:rsidP="002A2FAE">
      <w:pPr>
        <w:pStyle w:val="FootnoteText"/>
      </w:pPr>
      <w:r w:rsidRPr="00402471">
        <w:rPr>
          <w:rStyle w:val="FootnoteReference"/>
        </w:rPr>
        <w:footnoteRef/>
      </w:r>
      <w:r w:rsidRPr="00402471">
        <w:t xml:space="preserve"> See </w:t>
      </w:r>
      <w:r w:rsidRPr="00402471">
        <w:rPr>
          <w:i/>
        </w:rPr>
        <w:t>1B. Design of Australia</w:t>
      </w:r>
      <w:r>
        <w:rPr>
          <w:i/>
        </w:rPr>
        <w:t>’</w:t>
      </w:r>
      <w:r w:rsidRPr="00402471">
        <w:rPr>
          <w:i/>
        </w:rPr>
        <w:t>s retirement income system</w:t>
      </w:r>
      <w:r w:rsidRPr="00402471">
        <w:t xml:space="preserve"> for details</w:t>
      </w:r>
      <w:r>
        <w:t xml:space="preserve"> on the Work Bonus.</w:t>
      </w:r>
    </w:p>
  </w:footnote>
  <w:footnote w:id="290">
    <w:p w14:paraId="011290D1" w14:textId="77777777" w:rsidR="00730553" w:rsidRDefault="00730553" w:rsidP="002A2FAE">
      <w:pPr>
        <w:pStyle w:val="FootnoteText"/>
      </w:pPr>
      <w:r>
        <w:rPr>
          <w:rStyle w:val="FootnoteReference"/>
        </w:rPr>
        <w:footnoteRef/>
      </w:r>
      <w:r>
        <w:t xml:space="preserve"> Analysis </w:t>
      </w:r>
      <w:r w:rsidRPr="003645E4">
        <w:t xml:space="preserve">of HILDA survey data (Wave 15). Other </w:t>
      </w:r>
      <w:r>
        <w:t>reasons to retire in the HILDA S</w:t>
      </w:r>
      <w:r w:rsidRPr="003645E4">
        <w:t xml:space="preserve">urvey included non-financial reasons such </w:t>
      </w:r>
      <w:r>
        <w:t xml:space="preserve">as </w:t>
      </w:r>
      <w:r w:rsidRPr="003645E4">
        <w:t>own or family member</w:t>
      </w:r>
      <w:r>
        <w:t>’</w:t>
      </w:r>
      <w:r w:rsidRPr="003645E4">
        <w:t>s ill health, one</w:t>
      </w:r>
      <w:r>
        <w:t>’</w:t>
      </w:r>
      <w:r w:rsidRPr="003645E4">
        <w:t>s</w:t>
      </w:r>
      <w:r>
        <w:t xml:space="preserve"> partner had retired or was about to retire, a desire to have more leisure time, or job-related reasons.</w:t>
      </w:r>
    </w:p>
  </w:footnote>
  <w:footnote w:id="291">
    <w:p w14:paraId="404A4418" w14:textId="77777777" w:rsidR="00730553" w:rsidRDefault="00730553" w:rsidP="002A2FAE">
      <w:pPr>
        <w:spacing w:before="0" w:after="0"/>
      </w:pPr>
      <w:r>
        <w:rPr>
          <w:rStyle w:val="FootnoteReference"/>
        </w:rPr>
        <w:footnoteRef/>
      </w:r>
      <w:r>
        <w:t xml:space="preserve"> </w:t>
      </w:r>
      <w:r>
        <w:rPr>
          <w:sz w:val="20"/>
        </w:rPr>
        <w:t>Department of Social Services</w:t>
      </w:r>
      <w:r w:rsidRPr="00461D40">
        <w:rPr>
          <w:sz w:val="20"/>
        </w:rPr>
        <w:t xml:space="preserve"> analysis of payment data</w:t>
      </w:r>
      <w:r>
        <w:rPr>
          <w:sz w:val="20"/>
        </w:rPr>
        <w:t>.</w:t>
      </w:r>
    </w:p>
  </w:footnote>
  <w:footnote w:id="292">
    <w:p w14:paraId="7C231FF6" w14:textId="77777777" w:rsidR="00730553" w:rsidRDefault="00730553">
      <w:pPr>
        <w:pStyle w:val="FootnoteText"/>
      </w:pPr>
      <w:r>
        <w:rPr>
          <w:rStyle w:val="FootnoteReference"/>
        </w:rPr>
        <w:footnoteRef/>
      </w:r>
      <w:r>
        <w:t xml:space="preserve"> Data provided by the ATO for</w:t>
      </w:r>
      <w:r w:rsidRPr="008A1E47">
        <w:t xml:space="preserve"> the review</w:t>
      </w:r>
      <w:r>
        <w:t xml:space="preserve">. Data collected from </w:t>
      </w:r>
      <w:r w:rsidRPr="00300622">
        <w:t>1 July 2018 to 29 February 2020</w:t>
      </w:r>
      <w:r>
        <w:t>.</w:t>
      </w:r>
      <w:r w:rsidRPr="005B1811">
        <w:t xml:space="preserve"> </w:t>
      </w:r>
      <w:r>
        <w:t>E</w:t>
      </w:r>
      <w:r w:rsidRPr="006A6F7F">
        <w:t xml:space="preserve">ligible voluntary personal contributions </w:t>
      </w:r>
      <w:r>
        <w:t xml:space="preserve">for the </w:t>
      </w:r>
      <w:r w:rsidRPr="006A6F7F">
        <w:t>FHSS</w:t>
      </w:r>
      <w:r>
        <w:t>S</w:t>
      </w:r>
      <w:r w:rsidRPr="006A6F7F">
        <w:t xml:space="preserve"> releasable amount are not discernible from other personal contributions. Therefore</w:t>
      </w:r>
      <w:r>
        <w:t>,</w:t>
      </w:r>
      <w:r w:rsidRPr="006A6F7F">
        <w:t xml:space="preserve"> </w:t>
      </w:r>
      <w:r>
        <w:t xml:space="preserve">these figures only include the contributions that were released, not the contributions </w:t>
      </w:r>
      <w:r w:rsidRPr="006A6F7F">
        <w:t>made with the intention of being used for the FHSS</w:t>
      </w:r>
      <w:r>
        <w:t>S</w:t>
      </w:r>
      <w:r w:rsidRPr="006A6F7F">
        <w:t>.</w:t>
      </w:r>
    </w:p>
  </w:footnote>
  <w:footnote w:id="293">
    <w:p w14:paraId="6A8E2477" w14:textId="77777777" w:rsidR="00730553" w:rsidRDefault="00730553">
      <w:pPr>
        <w:pStyle w:val="FootnoteText"/>
      </w:pPr>
      <w:r w:rsidRPr="009233BA">
        <w:rPr>
          <w:rStyle w:val="FootnoteReference"/>
        </w:rPr>
        <w:footnoteRef/>
      </w:r>
      <w:r w:rsidRPr="009233BA">
        <w:t xml:space="preserve"> </w:t>
      </w:r>
      <w:r>
        <w:t>Department of Social Services</w:t>
      </w:r>
      <w:r w:rsidRPr="009233BA">
        <w:t xml:space="preserve"> payment data</w:t>
      </w:r>
      <w:r>
        <w:t>.</w:t>
      </w:r>
    </w:p>
  </w:footnote>
  <w:footnote w:id="294">
    <w:p w14:paraId="6A19CC0F" w14:textId="77777777" w:rsidR="00730553" w:rsidRDefault="00730553" w:rsidP="002A2FAE">
      <w:pPr>
        <w:pStyle w:val="FootnoteText"/>
      </w:pPr>
      <w:r w:rsidRPr="009233BA">
        <w:rPr>
          <w:rStyle w:val="FootnoteReference"/>
        </w:rPr>
        <w:footnoteRef/>
      </w:r>
      <w:r w:rsidRPr="009233BA">
        <w:t xml:space="preserve"> Asher et al</w:t>
      </w:r>
      <w:r>
        <w:t>.</w:t>
      </w:r>
      <w:r w:rsidRPr="009233BA">
        <w:t xml:space="preserve"> used a </w:t>
      </w:r>
      <w:r>
        <w:t>Department of Social Services</w:t>
      </w:r>
      <w:r w:rsidRPr="009233BA">
        <w:t xml:space="preserve"> random sample from 1999 to 2007.</w:t>
      </w:r>
    </w:p>
  </w:footnote>
  <w:footnote w:id="295">
    <w:p w14:paraId="7AB64BB0" w14:textId="77777777" w:rsidR="00730553" w:rsidRDefault="00730553" w:rsidP="002A2FAE">
      <w:pPr>
        <w:pStyle w:val="FootnoteText"/>
      </w:pPr>
      <w:r w:rsidRPr="009233BA">
        <w:rPr>
          <w:rStyle w:val="FootnoteReference"/>
        </w:rPr>
        <w:footnoteRef/>
      </w:r>
      <w:r w:rsidRPr="009233BA">
        <w:t xml:space="preserve"> </w:t>
      </w:r>
      <w:r>
        <w:t>Department of Social Services</w:t>
      </w:r>
      <w:r w:rsidRPr="009233BA">
        <w:t xml:space="preserve"> analysis of payment data,</w:t>
      </w:r>
      <w:r>
        <w:t xml:space="preserve"> </w:t>
      </w:r>
      <w:r w:rsidRPr="009233BA">
        <w:t>31 December</w:t>
      </w:r>
      <w:r w:rsidRPr="00461D40">
        <w:t> 2012 </w:t>
      </w:r>
      <w:r>
        <w:t>and</w:t>
      </w:r>
      <w:r w:rsidRPr="00461D40">
        <w:t xml:space="preserve"> 31 December </w:t>
      </w:r>
      <w:r w:rsidDel="00900AC9">
        <w:t>2017</w:t>
      </w:r>
      <w:r>
        <w:t>.</w:t>
      </w:r>
    </w:p>
  </w:footnote>
  <w:footnote w:id="296">
    <w:p w14:paraId="3E82A2E3" w14:textId="77777777" w:rsidR="00730553" w:rsidRDefault="00730553" w:rsidP="00BA3C92">
      <w:pPr>
        <w:pStyle w:val="FootnoteText"/>
      </w:pPr>
      <w:r>
        <w:rPr>
          <w:rStyle w:val="FootnoteReference"/>
        </w:rPr>
        <w:footnoteRef/>
      </w:r>
      <w:r>
        <w:t xml:space="preserve"> This group represents a very small portion of the retiree population: approximately 0.1 per cent of the population of those with superannuation balances were born in </w:t>
      </w:r>
      <w:r w:rsidRPr="00E67DC0">
        <w:t>1936</w:t>
      </w:r>
      <w:r w:rsidRPr="00254E3A">
        <w:t>. Analysis of S</w:t>
      </w:r>
      <w:r>
        <w:t>urvey of Income and Housing 20</w:t>
      </w:r>
      <w:r w:rsidRPr="00254E3A">
        <w:t>17</w:t>
      </w:r>
      <w:r w:rsidRPr="00254E3A">
        <w:noBreakHyphen/>
        <w:t>18.</w:t>
      </w:r>
      <w:r w:rsidRPr="00E67DC0">
        <w:t xml:space="preserve"> </w:t>
      </w:r>
    </w:p>
  </w:footnote>
  <w:footnote w:id="297">
    <w:p w14:paraId="34AFB35C" w14:textId="77777777" w:rsidR="00730553" w:rsidRDefault="00730553" w:rsidP="00BA3C92">
      <w:pPr>
        <w:pStyle w:val="FootnoteText"/>
      </w:pPr>
      <w:r w:rsidRPr="00E67DC0">
        <w:rPr>
          <w:rStyle w:val="FootnoteReference"/>
        </w:rPr>
        <w:footnoteRef/>
      </w:r>
      <w:r w:rsidRPr="00E67DC0">
        <w:t xml:space="preserve"> </w:t>
      </w:r>
      <w:r>
        <w:t>Department of Social Services</w:t>
      </w:r>
      <w:r w:rsidRPr="00E67DC0">
        <w:t xml:space="preserve"> analysis of payment data, 31 December </w:t>
      </w:r>
      <w:r w:rsidRPr="007874EE">
        <w:t>2012 to 31 December</w:t>
      </w:r>
      <w:r w:rsidRPr="00E67DC0">
        <w:t xml:space="preserve"> 2017</w:t>
      </w:r>
      <w:r>
        <w:t>. Captures people who died in 2018.</w:t>
      </w:r>
    </w:p>
  </w:footnote>
  <w:footnote w:id="298">
    <w:p w14:paraId="5380A28B" w14:textId="77777777" w:rsidR="00730553" w:rsidRDefault="00730553">
      <w:pPr>
        <w:pStyle w:val="FootnoteText"/>
      </w:pPr>
      <w:r w:rsidRPr="00EE12D6">
        <w:rPr>
          <w:rStyle w:val="FootnoteReference"/>
        </w:rPr>
        <w:footnoteRef/>
      </w:r>
      <w:r w:rsidRPr="00EE12D6">
        <w:t xml:space="preserve"> Data provided by the ATO for the review</w:t>
      </w:r>
      <w:r>
        <w:t>.</w:t>
      </w:r>
    </w:p>
  </w:footnote>
  <w:footnote w:id="299">
    <w:p w14:paraId="08E88B56" w14:textId="77777777" w:rsidR="00730553" w:rsidRDefault="00730553" w:rsidP="002A2FAE">
      <w:pPr>
        <w:pStyle w:val="FootnoteText"/>
      </w:pPr>
      <w:r>
        <w:rPr>
          <w:rStyle w:val="FootnoteReference"/>
        </w:rPr>
        <w:footnoteRef/>
      </w:r>
      <w:r>
        <w:t xml:space="preserve"> In his submission to the review, </w:t>
      </w:r>
      <w:r w:rsidRPr="00254E3A">
        <w:t>Davis</w:t>
      </w:r>
      <w:sdt>
        <w:sdtPr>
          <w:id w:val="2043392517"/>
          <w:citation/>
        </w:sdtPr>
        <w:sdtEndPr/>
        <w:sdtContent>
          <w:r>
            <w:fldChar w:fldCharType="begin"/>
          </w:r>
          <w:r>
            <w:instrText xml:space="preserve">CITATION AMK20 \n  \t  \l 3081 </w:instrText>
          </w:r>
          <w:r>
            <w:fldChar w:fldCharType="separate"/>
          </w:r>
          <w:r>
            <w:rPr>
              <w:noProof/>
            </w:rPr>
            <w:t xml:space="preserve"> (2020)</w:t>
          </w:r>
          <w:r>
            <w:fldChar w:fldCharType="end"/>
          </w:r>
        </w:sdtContent>
      </w:sdt>
      <w:r w:rsidRPr="00254E3A">
        <w:t xml:space="preserve"> noted households generally do not understand there are no repayment obligations under the Pension Loans Scheme</w:t>
      </w:r>
      <w:r>
        <w:t xml:space="preserve"> until the property is sold and suggested it would be more attractive to retirees if presented as cash outflows associated with repayment of a loan rather than ‘</w:t>
      </w:r>
      <w:r w:rsidRPr="009429DF">
        <w:t>pension and loan payments</w:t>
      </w:r>
      <w:r>
        <w:t>’.</w:t>
      </w:r>
    </w:p>
  </w:footnote>
  <w:footnote w:id="300">
    <w:p w14:paraId="5C3617BD" w14:textId="77777777" w:rsidR="00730553" w:rsidRDefault="00730553" w:rsidP="002A2FAE">
      <w:pPr>
        <w:pStyle w:val="FootnoteText"/>
      </w:pPr>
      <w:r>
        <w:rPr>
          <w:rStyle w:val="FootnoteReference"/>
        </w:rPr>
        <w:footnoteRef/>
      </w:r>
      <w:r>
        <w:t xml:space="preserve"> For more information on different products available see </w:t>
      </w:r>
      <w:hyperlink r:id="rId3" w:history="1">
        <w:r w:rsidRPr="003A5E46">
          <w:rPr>
            <w:rStyle w:val="Hyperlink"/>
            <w:color w:val="000000" w:themeColor="text1"/>
          </w:rPr>
          <w:t>https://moneysmart.gov.au/retirement</w:t>
        </w:r>
        <w:r w:rsidRPr="003A5E46">
          <w:rPr>
            <w:rStyle w:val="Hyperlink"/>
            <w:color w:val="000000" w:themeColor="text1"/>
          </w:rPr>
          <w:noBreakHyphen/>
          <w:t>income/reverse</w:t>
        </w:r>
        <w:r w:rsidRPr="003A5E46">
          <w:rPr>
            <w:rStyle w:val="Hyperlink"/>
            <w:color w:val="000000" w:themeColor="text1"/>
          </w:rPr>
          <w:noBreakHyphen/>
          <w:t>mortgage</w:t>
        </w:r>
        <w:r w:rsidRPr="003A5E46">
          <w:rPr>
            <w:rStyle w:val="Hyperlink"/>
            <w:color w:val="000000" w:themeColor="text1"/>
          </w:rPr>
          <w:noBreakHyphen/>
          <w:t>and</w:t>
        </w:r>
        <w:r w:rsidRPr="003A5E46">
          <w:rPr>
            <w:rStyle w:val="Hyperlink"/>
            <w:color w:val="000000" w:themeColor="text1"/>
          </w:rPr>
          <w:noBreakHyphen/>
          <w:t>home</w:t>
        </w:r>
        <w:r w:rsidRPr="003A5E46">
          <w:rPr>
            <w:rStyle w:val="Hyperlink"/>
            <w:color w:val="000000" w:themeColor="text1"/>
          </w:rPr>
          <w:noBreakHyphen/>
          <w:t>equity</w:t>
        </w:r>
        <w:r w:rsidRPr="003A5E46">
          <w:rPr>
            <w:rStyle w:val="Hyperlink"/>
            <w:color w:val="000000" w:themeColor="text1"/>
          </w:rPr>
          <w:noBreakHyphen/>
          <w:t>release</w:t>
        </w:r>
      </w:hyperlink>
      <w:r w:rsidRPr="003A5E46">
        <w:rPr>
          <w:color w:val="000000" w:themeColor="text1"/>
        </w:rPr>
        <w:t>.</w:t>
      </w:r>
    </w:p>
  </w:footnote>
  <w:footnote w:id="301">
    <w:p w14:paraId="0AF5163E" w14:textId="77777777" w:rsidR="00730553" w:rsidRDefault="00730553" w:rsidP="00730553">
      <w:pPr>
        <w:pStyle w:val="FootnoteText"/>
      </w:pPr>
      <w:r w:rsidRPr="00C26600">
        <w:rPr>
          <w:rStyle w:val="FootnoteReference"/>
        </w:rPr>
        <w:footnoteRef/>
      </w:r>
      <w:r w:rsidRPr="00C26600">
        <w:t xml:space="preserve"> Department of Social Services</w:t>
      </w:r>
      <w:r>
        <w:t>.</w:t>
      </w:r>
    </w:p>
  </w:footnote>
  <w:footnote w:id="302">
    <w:p w14:paraId="18099D65" w14:textId="77777777" w:rsidR="00730553" w:rsidRDefault="00730553" w:rsidP="002A2FAE">
      <w:pPr>
        <w:pStyle w:val="FootnoteText"/>
      </w:pPr>
      <w:r>
        <w:rPr>
          <w:rStyle w:val="FootnoteReference"/>
        </w:rPr>
        <w:footnoteRef/>
      </w:r>
      <w:r>
        <w:t xml:space="preserve"> </w:t>
      </w:r>
      <w:r w:rsidRPr="00F46780">
        <w:t>Calculations using</w:t>
      </w:r>
      <w:r w:rsidRPr="00F46780">
        <w:fldChar w:fldCharType="begin"/>
      </w:r>
      <w:r>
        <w:instrText xml:space="preserve">CITATION APR19 \l 3081 </w:instrText>
      </w:r>
      <w:r w:rsidRPr="00F46780">
        <w:fldChar w:fldCharType="separate"/>
      </w:r>
      <w:r>
        <w:rPr>
          <w:noProof/>
        </w:rPr>
        <w:t xml:space="preserve"> (Australian Prudential Regulation Authority, 2020a)</w:t>
      </w:r>
      <w:r w:rsidRPr="00F46780">
        <w:fldChar w:fldCharType="end"/>
      </w:r>
      <w:r w:rsidRPr="00F46780">
        <w:t>.</w:t>
      </w:r>
    </w:p>
  </w:footnote>
  <w:footnote w:id="303">
    <w:p w14:paraId="43E7DDAB" w14:textId="77777777" w:rsidR="00730553" w:rsidRDefault="00730553">
      <w:pPr>
        <w:pStyle w:val="FootnoteText"/>
      </w:pPr>
      <w:r>
        <w:rPr>
          <w:rStyle w:val="FootnoteReference"/>
        </w:rPr>
        <w:footnoteRef/>
      </w:r>
      <w:r>
        <w:t xml:space="preserve"> All fees and caps correct as at 1 May 2020.</w:t>
      </w:r>
    </w:p>
  </w:footnote>
  <w:footnote w:id="304">
    <w:p w14:paraId="312FC8E1" w14:textId="77777777" w:rsidR="00730553" w:rsidRDefault="00730553" w:rsidP="00D12F9D">
      <w:pPr>
        <w:pStyle w:val="FootnoteText"/>
      </w:pPr>
      <w:r>
        <w:rPr>
          <w:rStyle w:val="FootnoteReference"/>
        </w:rPr>
        <w:footnoteRef/>
      </w:r>
      <w:r>
        <w:t xml:space="preserve"> Data provided by the Department of Health for the review.</w:t>
      </w:r>
    </w:p>
  </w:footnote>
  <w:footnote w:id="305">
    <w:p w14:paraId="113A3ED3" w14:textId="77777777" w:rsidR="00730553" w:rsidRDefault="00730553">
      <w:pPr>
        <w:pStyle w:val="FootnoteText"/>
      </w:pPr>
      <w:r>
        <w:rPr>
          <w:rStyle w:val="FootnoteReference"/>
        </w:rPr>
        <w:footnoteRef/>
      </w:r>
      <w:r>
        <w:t xml:space="preserve"> </w:t>
      </w:r>
      <w:r w:rsidRPr="0020042C">
        <w:t xml:space="preserve">Complex information makes it </w:t>
      </w:r>
      <w:r w:rsidRPr="00BB7AF4">
        <w:t>harder for people to react to bad outcomes, such as high fees</w:t>
      </w:r>
      <w:r w:rsidRPr="00BB7AF4">
        <w:fldChar w:fldCharType="begin"/>
      </w:r>
      <w:r w:rsidRPr="00BB7AF4">
        <w:instrText xml:space="preserve">CITATION Tho17 \l 3081 </w:instrText>
      </w:r>
      <w:r w:rsidRPr="00BB7AF4" w:rsidDel="0089336A">
        <w:instrText xml:space="preserve"> CITATION Tho17 \l 3081 </w:instrText>
      </w:r>
      <w:r w:rsidRPr="00BB7AF4">
        <w:fldChar w:fldCharType="separate"/>
      </w:r>
      <w:r>
        <w:rPr>
          <w:noProof/>
        </w:rPr>
        <w:t xml:space="preserve"> (Thorp, et al., 2018)</w:t>
      </w:r>
      <w:r w:rsidRPr="00BB7AF4">
        <w:fldChar w:fldCharType="end"/>
      </w:r>
      <w:r w:rsidRPr="00BB7AF4">
        <w:t>. A large fund found some of its retired members are keeping assets in accumulation, despite the tax penalty. Willis</w:t>
      </w:r>
      <w:r w:rsidRPr="00BB7AF4">
        <w:fldChar w:fldCharType="begin"/>
      </w:r>
      <w:r w:rsidRPr="00BB7AF4">
        <w:instrText xml:space="preserve">CITATION Wil \n  \t  \l 3081 </w:instrText>
      </w:r>
      <w:r w:rsidRPr="00BB7AF4" w:rsidDel="0089336A">
        <w:instrText xml:space="preserve">CITATION Wil \n  \t  \l 3081 </w:instrText>
      </w:r>
      <w:r w:rsidRPr="00BB7AF4">
        <w:fldChar w:fldCharType="separate"/>
      </w:r>
      <w:r>
        <w:rPr>
          <w:noProof/>
        </w:rPr>
        <w:t xml:space="preserve"> (2017)</w:t>
      </w:r>
      <w:r w:rsidRPr="00BB7AF4">
        <w:fldChar w:fldCharType="end"/>
      </w:r>
      <w:r w:rsidRPr="00BB7AF4">
        <w:t xml:space="preserve"> argued some financial institutions deliberately design complex products to promote disengagement.</w:t>
      </w:r>
    </w:p>
  </w:footnote>
  <w:footnote w:id="306">
    <w:p w14:paraId="0288EB64" w14:textId="77777777" w:rsidR="00730553" w:rsidRDefault="00730553" w:rsidP="002A2FAE">
      <w:pPr>
        <w:pStyle w:val="FootnoteText"/>
      </w:pPr>
      <w:r w:rsidRPr="00254E3A">
        <w:rPr>
          <w:rStyle w:val="FootnoteReference"/>
        </w:rPr>
        <w:footnoteRef/>
      </w:r>
      <w:r w:rsidRPr="00254E3A">
        <w:t xml:space="preserve"> However, people did not reduce their intended draw down when researchers focused them on the value of precautionary savings, or presented them with a scenario where people with children could leave a bequest.</w:t>
      </w:r>
      <w:r w:rsidRPr="00523837">
        <w:t xml:space="preserve"> </w:t>
      </w:r>
    </w:p>
  </w:footnote>
  <w:footnote w:id="307">
    <w:p w14:paraId="59BAFA6C" w14:textId="77777777" w:rsidR="00730553" w:rsidRDefault="00730553" w:rsidP="002A2FAE">
      <w:pPr>
        <w:pStyle w:val="FootnoteText"/>
      </w:pPr>
      <w:r w:rsidRPr="00BB7AF4">
        <w:rPr>
          <w:rStyle w:val="FootnoteReference"/>
        </w:rPr>
        <w:footnoteRef/>
      </w:r>
      <w:r w:rsidRPr="00BB7AF4">
        <w:t xml:space="preserve"> The shift from define</w:t>
      </w:r>
      <w:r>
        <w:t>d benefit pensions towards lump-</w:t>
      </w:r>
      <w:r w:rsidRPr="00BB7AF4">
        <w:t>sum payouts in the US was accompanied by a decline in retirement asset consumption.</w:t>
      </w:r>
    </w:p>
  </w:footnote>
  <w:footnote w:id="308">
    <w:p w14:paraId="7525E9AF" w14:textId="77777777" w:rsidR="00730553" w:rsidRDefault="00730553" w:rsidP="002A2FAE">
      <w:pPr>
        <w:pStyle w:val="FootnoteText"/>
      </w:pPr>
      <w:r>
        <w:rPr>
          <w:rStyle w:val="FootnoteReference"/>
        </w:rPr>
        <w:footnoteRef/>
      </w:r>
      <w:r>
        <w:t xml:space="preserve"> See Retirement Income Disclosure Consultation Paper</w:t>
      </w:r>
      <w:r w:rsidRPr="00B73287">
        <w:fldChar w:fldCharType="begin"/>
      </w:r>
      <w:r>
        <w:instrText xml:space="preserve">CITATION Tre18 \l 3081 </w:instrText>
      </w:r>
      <w:r w:rsidRPr="00B73287">
        <w:fldChar w:fldCharType="separate"/>
      </w:r>
      <w:r>
        <w:rPr>
          <w:noProof/>
        </w:rPr>
        <w:t xml:space="preserve"> (The Treasury, 2018a)</w:t>
      </w:r>
      <w:r w:rsidRPr="00B73287">
        <w:fldChar w:fldCharType="end"/>
      </w:r>
      <w:r w:rsidRPr="00B73287">
        <w:t>.</w:t>
      </w:r>
    </w:p>
  </w:footnote>
  <w:footnote w:id="309">
    <w:p w14:paraId="4A82D75C" w14:textId="77777777" w:rsidR="00730553" w:rsidRDefault="00730553">
      <w:pPr>
        <w:pStyle w:val="FootnoteText"/>
      </w:pPr>
      <w:r>
        <w:rPr>
          <w:rStyle w:val="FootnoteReference"/>
        </w:rPr>
        <w:footnoteRef/>
      </w:r>
      <w:r>
        <w:t xml:space="preserve"> </w:t>
      </w:r>
      <w:r w:rsidRPr="007F1037">
        <w:t>Data provided by ASIC for the review, 2020</w:t>
      </w:r>
      <w:r>
        <w:t xml:space="preserve">. </w:t>
      </w:r>
    </w:p>
  </w:footnote>
  <w:footnote w:id="310">
    <w:p w14:paraId="188CB6C5" w14:textId="77777777" w:rsidR="00730553" w:rsidRDefault="00730553" w:rsidP="002A2FAE">
      <w:pPr>
        <w:pStyle w:val="FootnoteText"/>
      </w:pPr>
      <w:r>
        <w:rPr>
          <w:rStyle w:val="FootnoteReference"/>
        </w:rPr>
        <w:footnoteRef/>
      </w:r>
      <w:r>
        <w:t xml:space="preserve"> In 2019 the </w:t>
      </w:r>
      <w:r w:rsidRPr="00C44499">
        <w:rPr>
          <w:i/>
        </w:rPr>
        <w:t>Treasury Laws Amendment (Ending Grandfathered Conflicted Remuneration) Act 2019</w:t>
      </w:r>
      <w:r>
        <w:t xml:space="preserve"> was passed, extending the ban on product providers paying financial advisers in relation to certain financial products that were exempt from the ban from 1 July 2021. From 1 January 2020 financial advisers have been required to comply with the </w:t>
      </w:r>
      <w:r w:rsidRPr="00BE7A95">
        <w:t>Financial Adviser Standards and Ethics Authority</w:t>
      </w:r>
      <w:r>
        <w:t xml:space="preserve"> Code of Ethics Standard, which prohibits them from receiving benefits from third parties. </w:t>
      </w:r>
    </w:p>
  </w:footnote>
  <w:footnote w:id="311">
    <w:p w14:paraId="694C6EF1" w14:textId="77777777" w:rsidR="00730553" w:rsidRDefault="00730553" w:rsidP="002A2FAE">
      <w:pPr>
        <w:pStyle w:val="FootnoteText"/>
      </w:pPr>
      <w:r>
        <w:rPr>
          <w:rStyle w:val="FootnoteReference"/>
        </w:rPr>
        <w:footnoteRef/>
      </w:r>
      <w:r>
        <w:t xml:space="preserve"> The Government introduced new education (including a degree equivalent), training, exam and ethical standards for financial advisers, which commenced this year. More information on the requirements is available at the </w:t>
      </w:r>
      <w:r w:rsidRPr="00B1097F">
        <w:t>Financial Adviser Standards and Ethics Authority</w:t>
      </w:r>
      <w:r>
        <w:t xml:space="preserve"> website: </w:t>
      </w:r>
      <w:hyperlink r:id="rId4" w:history="1">
        <w:r>
          <w:rPr>
            <w:rStyle w:val="Hyperlink"/>
          </w:rPr>
          <w:t>https://www.fasea.gov.au/</w:t>
        </w:r>
      </w:hyperlink>
      <w:r>
        <w:rPr>
          <w:rStyle w:val="Hyperlink"/>
        </w:rPr>
        <w:t>.</w:t>
      </w:r>
      <w:r>
        <w:t xml:space="preserve"> </w:t>
      </w:r>
    </w:p>
  </w:footnote>
  <w:footnote w:id="312">
    <w:p w14:paraId="3449096A" w14:textId="77777777" w:rsidR="00730553" w:rsidRDefault="00730553" w:rsidP="002A2FAE">
      <w:pPr>
        <w:pStyle w:val="FootnoteText"/>
      </w:pPr>
      <w:r>
        <w:rPr>
          <w:rStyle w:val="FootnoteReference"/>
        </w:rPr>
        <w:footnoteRef/>
      </w:r>
      <w:r>
        <w:t xml:space="preserve"> One company has announced it is developing a tool for advisers to assist advisers to provide advice retirement income solutions for retirees. </w:t>
      </w:r>
    </w:p>
  </w:footnote>
  <w:footnote w:id="313">
    <w:p w14:paraId="70FAF6A1" w14:textId="77777777" w:rsidR="00730553" w:rsidRDefault="00730553" w:rsidP="002A2FAE">
      <w:pPr>
        <w:pStyle w:val="FootnoteText"/>
      </w:pPr>
      <w:r>
        <w:rPr>
          <w:rStyle w:val="FootnoteReference"/>
        </w:rPr>
        <w:footnoteRef/>
      </w:r>
      <w:r>
        <w:t xml:space="preserve"> Lochner et al.</w:t>
      </w:r>
      <w:r w:rsidRPr="003F10D8">
        <w:t xml:space="preserve"> </w:t>
      </w:r>
      <w:sdt>
        <w:sdtPr>
          <w:id w:val="-1537814364"/>
          <w:citation/>
        </w:sdtPr>
        <w:sdtEndPr/>
        <w:sdtContent>
          <w:r>
            <w:fldChar w:fldCharType="begin"/>
          </w:r>
          <w:r>
            <w:instrText xml:space="preserve">CITATION Loch17 \n  \t  \l 3081 </w:instrText>
          </w:r>
          <w:r>
            <w:fldChar w:fldCharType="separate"/>
          </w:r>
          <w:r>
            <w:rPr>
              <w:noProof/>
            </w:rPr>
            <w:t>(2017)</w:t>
          </w:r>
          <w:r>
            <w:fldChar w:fldCharType="end"/>
          </w:r>
        </w:sdtContent>
      </w:sdt>
      <w:r>
        <w:t xml:space="preserve"> used a randomised control trial to assess consumers’ willingness to use automated financial advice for basic decisions.</w:t>
      </w:r>
    </w:p>
  </w:footnote>
  <w:footnote w:id="314">
    <w:p w14:paraId="66D4777F" w14:textId="77777777" w:rsidR="00730553" w:rsidRPr="00010DDE" w:rsidRDefault="00730553" w:rsidP="002A2FAE">
      <w:pPr>
        <w:pStyle w:val="FootnoteText"/>
      </w:pPr>
      <w:r w:rsidRPr="00010DDE">
        <w:rPr>
          <w:rStyle w:val="FootnoteReference"/>
        </w:rPr>
        <w:footnoteRef/>
      </w:r>
      <w:r w:rsidRPr="00010DDE">
        <w:t xml:space="preserve">See Media Release ‘Helping make your super work harder in retirement’, released on 17 May 2018: </w:t>
      </w:r>
      <w:hyperlink r:id="rId5" w:history="1">
        <w:r w:rsidRPr="00010DDE">
          <w:rPr>
            <w:rStyle w:val="Hyperlink"/>
          </w:rPr>
          <w:t>https://ministers.treasury.gov.au/ministers/kelly-odwyer-2016/media-releases/helping-make-your-super-work-harder-retirement</w:t>
        </w:r>
      </w:hyperlink>
      <w:r w:rsidRPr="00010DDE">
        <w:rPr>
          <w:rStyle w:val="Hyperlink"/>
        </w:rPr>
        <w:t>.</w:t>
      </w:r>
    </w:p>
  </w:footnote>
  <w:footnote w:id="315">
    <w:p w14:paraId="7FF92A76" w14:textId="77777777" w:rsidR="00730553" w:rsidRPr="00010DDE" w:rsidRDefault="00730553" w:rsidP="002A2FAE">
      <w:pPr>
        <w:pStyle w:val="FootnoteText"/>
      </w:pPr>
      <w:r w:rsidRPr="00010DDE">
        <w:rPr>
          <w:rStyle w:val="FootnoteReference"/>
        </w:rPr>
        <w:footnoteRef/>
      </w:r>
      <w:r w:rsidRPr="00010DDE">
        <w:t xml:space="preserve"> </w:t>
      </w:r>
      <w:r w:rsidRPr="00010DDE">
        <w:rPr>
          <w:rStyle w:val="FootnoteTextChar"/>
        </w:rPr>
        <w:t xml:space="preserve">See Retirement Income Covenant Position Paper: Stage one of the Retirement Income Framework: </w:t>
      </w:r>
      <w:hyperlink r:id="rId6" w:history="1">
        <w:r w:rsidRPr="00010DDE">
          <w:rPr>
            <w:rStyle w:val="Hyperlink"/>
          </w:rPr>
          <w:t>https://treasury.gov.au/sites/default/files/2019-03/c2018-t285219-position-paper-1.pdf</w:t>
        </w:r>
      </w:hyperlink>
      <w:r w:rsidRPr="00010DDE">
        <w:rPr>
          <w:rStyle w:val="Hyperlink"/>
        </w:rPr>
        <w:t>.</w:t>
      </w:r>
    </w:p>
  </w:footnote>
  <w:footnote w:id="316">
    <w:p w14:paraId="14DEDD37" w14:textId="77777777" w:rsidR="00730553" w:rsidRDefault="00730553">
      <w:pPr>
        <w:pStyle w:val="FootnoteText"/>
      </w:pPr>
      <w:r w:rsidRPr="00010DDE">
        <w:rPr>
          <w:rStyle w:val="FootnoteReference"/>
        </w:rPr>
        <w:footnoteRef/>
      </w:r>
      <w:r w:rsidRPr="00010DDE">
        <w:t xml:space="preserve"> See sections 29VN and section 52 of the </w:t>
      </w:r>
      <w:r w:rsidRPr="00010DDE">
        <w:rPr>
          <w:i/>
        </w:rPr>
        <w:t>Superannuation Industry (Supervision) Act 1993</w:t>
      </w:r>
      <w:r w:rsidRPr="00010DDE">
        <w:t xml:space="preserve">). </w:t>
      </w:r>
    </w:p>
  </w:footnote>
  <w:footnote w:id="317">
    <w:p w14:paraId="44D953A2" w14:textId="77777777" w:rsidR="00730553" w:rsidRPr="00791570" w:rsidRDefault="00730553">
      <w:pPr>
        <w:pStyle w:val="FootnoteText"/>
      </w:pPr>
      <w:r w:rsidRPr="00791570">
        <w:rPr>
          <w:rStyle w:val="FootnoteReference"/>
        </w:rPr>
        <w:footnoteRef/>
      </w:r>
      <w:r w:rsidRPr="00791570">
        <w:t xml:space="preserve"> For example, ASIC has issued an example Statement of Advice for scaled advice, see </w:t>
      </w:r>
      <w:hyperlink r:id="rId7" w:history="1">
        <w:r w:rsidRPr="00791570">
          <w:rPr>
            <w:rStyle w:val="Hyperlink"/>
          </w:rPr>
          <w:t>https://asic.gov.au/regulatory-resources/find-a-document/regulatory-guides/rg-90-example-statement-of-advice-scaled-advice-for-a-new-client/</w:t>
        </w:r>
      </w:hyperlink>
      <w:r w:rsidRPr="00791570">
        <w:t xml:space="preserve">. </w:t>
      </w:r>
    </w:p>
  </w:footnote>
  <w:footnote w:id="318">
    <w:p w14:paraId="606A40B8" w14:textId="77777777" w:rsidR="00730553" w:rsidRDefault="00730553" w:rsidP="002A2FAE">
      <w:pPr>
        <w:pStyle w:val="FootnoteText"/>
      </w:pPr>
      <w:r>
        <w:rPr>
          <w:rStyle w:val="FootnoteReference"/>
        </w:rPr>
        <w:footnoteRef/>
      </w:r>
      <w:r>
        <w:t xml:space="preserve">A guided choice framework can be thought of as a ‘soft default’ where people are nudged towards a certain path, but have to consent to the option. </w:t>
      </w:r>
    </w:p>
  </w:footnote>
  <w:footnote w:id="319">
    <w:p w14:paraId="6741CEFF" w14:textId="77777777" w:rsidR="00730553" w:rsidRDefault="00730553" w:rsidP="002A2FAE">
      <w:pPr>
        <w:pStyle w:val="FootnoteText"/>
      </w:pPr>
      <w:r>
        <w:rPr>
          <w:rStyle w:val="FootnoteReference"/>
        </w:rPr>
        <w:footnoteRef/>
      </w:r>
      <w:r>
        <w:t xml:space="preserve"> </w:t>
      </w:r>
      <w:r w:rsidRPr="00596C73">
        <w:t>The cost of a universal pension could be more than $80</w:t>
      </w:r>
      <w:r>
        <w:t> </w:t>
      </w:r>
      <w:r w:rsidRPr="00596C73">
        <w:t>billion (in 2018</w:t>
      </w:r>
      <w:r>
        <w:noBreakHyphen/>
      </w:r>
      <w:r w:rsidRPr="00596C73">
        <w:t>19 dollars), compared to $46</w:t>
      </w:r>
      <w:r>
        <w:t> </w:t>
      </w:r>
      <w:r w:rsidRPr="00596C73">
        <w:t xml:space="preserve">billion under the current system. </w:t>
      </w:r>
    </w:p>
  </w:footnote>
  <w:footnote w:id="320">
    <w:p w14:paraId="62AF0C03" w14:textId="77777777" w:rsidR="00730553" w:rsidRDefault="00730553" w:rsidP="002A2FAE">
      <w:pPr>
        <w:pStyle w:val="FootnoteText"/>
      </w:pPr>
      <w:r w:rsidRPr="00596C73">
        <w:rPr>
          <w:rStyle w:val="FootnoteReference"/>
        </w:rPr>
        <w:footnoteRef/>
      </w:r>
      <w:r w:rsidRPr="00596C73">
        <w:t xml:space="preserve"> Horizontal equity: the idea that people with</w:t>
      </w:r>
      <w:r w:rsidRPr="00BC68FE">
        <w:t xml:space="preserve"> similar income and assets should pay the same amount in taxes.</w:t>
      </w:r>
      <w:r>
        <w:t xml:space="preserve"> Vertical equity: the idea that people with higher incomes should pay more tax. </w:t>
      </w:r>
    </w:p>
  </w:footnote>
  <w:footnote w:id="321">
    <w:p w14:paraId="706CC732" w14:textId="77777777" w:rsidR="00730553" w:rsidRDefault="00730553" w:rsidP="002A2FAE">
      <w:pPr>
        <w:pStyle w:val="FootnoteText"/>
      </w:pPr>
      <w:r w:rsidRPr="00322B1F">
        <w:rPr>
          <w:rStyle w:val="FootnoteReference"/>
        </w:rPr>
        <w:footnoteRef/>
      </w:r>
      <w:r w:rsidRPr="00322B1F">
        <w:t xml:space="preserve"> </w:t>
      </w:r>
      <w:r w:rsidRPr="00322B1F">
        <w:rPr>
          <w:rFonts w:cs="Calibri"/>
        </w:rPr>
        <w:t xml:space="preserve">Both tests exempt the principal residence. See </w:t>
      </w:r>
      <w:r w:rsidRPr="00322B1F">
        <w:rPr>
          <w:rFonts w:cs="Calibri"/>
          <w:i/>
        </w:rPr>
        <w:t xml:space="preserve">3C. Home ownership status </w:t>
      </w:r>
      <w:r w:rsidRPr="00322B1F">
        <w:rPr>
          <w:rFonts w:cs="Calibri"/>
        </w:rPr>
        <w:t>for discussion</w:t>
      </w:r>
      <w:r>
        <w:rPr>
          <w:rFonts w:cs="Calibri"/>
        </w:rPr>
        <w:t xml:space="preserve"> on the implications of this for home owner and non-home owner retirees.</w:t>
      </w:r>
    </w:p>
  </w:footnote>
  <w:footnote w:id="322">
    <w:p w14:paraId="1822CFE3" w14:textId="4ED63E0A" w:rsidR="00730553" w:rsidRDefault="00730553" w:rsidP="002A2FAE">
      <w:pPr>
        <w:pStyle w:val="FootnoteText"/>
      </w:pPr>
      <w:r>
        <w:rPr>
          <w:rStyle w:val="FootnoteReference"/>
        </w:rPr>
        <w:footnoteRef/>
      </w:r>
      <w:r>
        <w:t xml:space="preserve"> </w:t>
      </w:r>
      <w:r w:rsidRPr="00F60538">
        <w:t>The incentive to save would be actu</w:t>
      </w:r>
      <w:r>
        <w:t>ally slightly worse for the 60</w:t>
      </w:r>
      <w:r w:rsidRPr="00170960">
        <w:rPr>
          <w:vertAlign w:val="superscript"/>
        </w:rPr>
        <w:t>th</w:t>
      </w:r>
      <w:r w:rsidRPr="00F60538">
        <w:t xml:space="preserve"> percentile</w:t>
      </w:r>
      <w:r>
        <w:t xml:space="preserve"> and above</w:t>
      </w:r>
      <w:r w:rsidRPr="00F60538">
        <w:t>. The lower taper rate means these income groups spend more of their retirement subject to means testing and therefore lose more of the marginal $1</w:t>
      </w:r>
      <w:r>
        <w:t>,</w:t>
      </w:r>
      <w:r w:rsidRPr="00F60538">
        <w:t>000 due to lower pension payments</w:t>
      </w:r>
      <w:r>
        <w:t xml:space="preserve">. </w:t>
      </w:r>
      <w:r>
        <w:rPr>
          <w:rFonts w:eastAsia="Calibri" w:cs="Calibri"/>
          <w:szCs w:val="22"/>
        </w:rPr>
        <w:t xml:space="preserve">The marginal effect of saving an extra $1,000 should not be confused with the overall increase in income that the lower taper rate delivers to these groups. All receive more income overall with a lower taper </w:t>
      </w:r>
      <w:r w:rsidRPr="00322B1F">
        <w:rPr>
          <w:rFonts w:eastAsia="Calibri" w:cs="Calibri"/>
          <w:szCs w:val="22"/>
        </w:rPr>
        <w:t>rate (</w:t>
      </w:r>
      <w:r w:rsidRPr="00322B1F">
        <w:rPr>
          <w:rFonts w:eastAsia="Calibri" w:cs="Calibri"/>
          <w:szCs w:val="22"/>
        </w:rPr>
        <w:fldChar w:fldCharType="begin"/>
      </w:r>
      <w:r w:rsidRPr="00322B1F">
        <w:rPr>
          <w:rFonts w:eastAsia="Calibri" w:cs="Calibri"/>
          <w:szCs w:val="22"/>
        </w:rPr>
        <w:instrText xml:space="preserve"> REF _Ref42785875 \r \h  \* MERGEFORMAT </w:instrText>
      </w:r>
      <w:r w:rsidRPr="00322B1F">
        <w:rPr>
          <w:rFonts w:eastAsia="Calibri" w:cs="Calibri"/>
          <w:szCs w:val="22"/>
        </w:rPr>
      </w:r>
      <w:r w:rsidRPr="00322B1F">
        <w:rPr>
          <w:rFonts w:eastAsia="Calibri" w:cs="Calibri"/>
          <w:szCs w:val="22"/>
        </w:rPr>
        <w:fldChar w:fldCharType="separate"/>
      </w:r>
      <w:r w:rsidR="00891058">
        <w:rPr>
          <w:rFonts w:eastAsia="Calibri" w:cs="Calibri"/>
          <w:szCs w:val="22"/>
        </w:rPr>
        <w:t>Chart 5B-2</w:t>
      </w:r>
      <w:r w:rsidRPr="00322B1F">
        <w:rPr>
          <w:rFonts w:eastAsia="Calibri" w:cs="Calibri"/>
          <w:szCs w:val="22"/>
        </w:rPr>
        <w:fldChar w:fldCharType="end"/>
      </w:r>
      <w:r w:rsidRPr="00322B1F">
        <w:rPr>
          <w:rFonts w:eastAsia="Calibri" w:cs="Calibri"/>
          <w:szCs w:val="22"/>
        </w:rPr>
        <w:t>).</w:t>
      </w:r>
    </w:p>
  </w:footnote>
  <w:footnote w:id="323">
    <w:p w14:paraId="0A8E01B9" w14:textId="77777777" w:rsidR="00730553" w:rsidRDefault="00730553" w:rsidP="00E96B29">
      <w:pPr>
        <w:pStyle w:val="FootnoteText"/>
      </w:pPr>
      <w:r>
        <w:rPr>
          <w:rStyle w:val="FootnoteReference"/>
        </w:rPr>
        <w:footnoteRef/>
      </w:r>
      <w:r>
        <w:t xml:space="preserve"> </w:t>
      </w:r>
      <w:r w:rsidRPr="00E85F2A">
        <w:t xml:space="preserve">The </w:t>
      </w:r>
      <w:r>
        <w:t>A</w:t>
      </w:r>
      <w:r w:rsidRPr="00E85F2A">
        <w:t>ccord began in 1983 and limited wage increases to the level of inflation</w:t>
      </w:r>
      <w:sdt>
        <w:sdtPr>
          <w:id w:val="-1145427001"/>
          <w:citation/>
        </w:sdtPr>
        <w:sdtEndPr/>
        <w:sdtContent>
          <w:r w:rsidRPr="000411B9">
            <w:fldChar w:fldCharType="begin"/>
          </w:r>
          <w:r w:rsidRPr="000411B9">
            <w:instrText xml:space="preserve"> CITATION Par83 \l 3081 </w:instrText>
          </w:r>
          <w:r w:rsidRPr="000411B9">
            <w:fldChar w:fldCharType="separate"/>
          </w:r>
          <w:r>
            <w:rPr>
              <w:noProof/>
            </w:rPr>
            <w:t xml:space="preserve"> (Parliament of Australia, 1983)</w:t>
          </w:r>
          <w:r w:rsidRPr="000411B9">
            <w:fldChar w:fldCharType="end"/>
          </w:r>
        </w:sdtContent>
      </w:sdt>
      <w:r>
        <w:t>.</w:t>
      </w:r>
    </w:p>
  </w:footnote>
  <w:footnote w:id="324">
    <w:p w14:paraId="04E4C9E9" w14:textId="77777777" w:rsidR="00730553" w:rsidRPr="009C4892" w:rsidRDefault="00730553" w:rsidP="00E96B29">
      <w:pPr>
        <w:pStyle w:val="FootnoteText"/>
        <w:rPr>
          <w:lang w:val="fr-FR"/>
        </w:rPr>
      </w:pPr>
      <w:r>
        <w:rPr>
          <w:rStyle w:val="FootnoteReference"/>
        </w:rPr>
        <w:footnoteRef/>
      </w:r>
      <w:r w:rsidRPr="009C4892">
        <w:rPr>
          <w:lang w:val="fr-FR"/>
        </w:rPr>
        <w:t xml:space="preserve"> </w:t>
      </w:r>
      <w:sdt>
        <w:sdtPr>
          <w:id w:val="107553567"/>
          <w:citation/>
        </w:sdtPr>
        <w:sdtEndPr/>
        <w:sdtContent>
          <w:r>
            <w:fldChar w:fldCharType="begin"/>
          </w:r>
          <w:r w:rsidRPr="009C4892">
            <w:rPr>
              <w:lang w:val="fr-FR"/>
            </w:rPr>
            <w:instrText xml:space="preserve"> CITATION Coa20 \l 3081 </w:instrText>
          </w:r>
          <w:r>
            <w:fldChar w:fldCharType="separate"/>
          </w:r>
          <w:r w:rsidRPr="00E83F6E">
            <w:rPr>
              <w:noProof/>
              <w:lang w:val="fr-FR"/>
            </w:rPr>
            <w:t>(Coates, et al., 2020)</w:t>
          </w:r>
          <w:r>
            <w:fldChar w:fldCharType="end"/>
          </w:r>
        </w:sdtContent>
      </w:sdt>
      <w:r w:rsidRPr="00456F9D">
        <w:rPr>
          <w:lang w:val="fr-FR"/>
        </w:rPr>
        <w:t xml:space="preserve"> </w:t>
      </w:r>
      <w:sdt>
        <w:sdtPr>
          <w:id w:val="-1208490181"/>
          <w:citation/>
        </w:sdtPr>
        <w:sdtEndPr/>
        <w:sdtContent>
          <w:r w:rsidRPr="00456F9D">
            <w:fldChar w:fldCharType="begin"/>
          </w:r>
          <w:r w:rsidRPr="00456F9D">
            <w:rPr>
              <w:lang w:val="fr-FR"/>
            </w:rPr>
            <w:instrText xml:space="preserve"> CITATION Bre20 \l 3081 </w:instrText>
          </w:r>
          <w:r w:rsidRPr="00456F9D">
            <w:fldChar w:fldCharType="separate"/>
          </w:r>
          <w:r w:rsidRPr="00E83F6E">
            <w:rPr>
              <w:noProof/>
              <w:lang w:val="fr-FR"/>
            </w:rPr>
            <w:t>(Breunig &amp; Sobeck, 2020)</w:t>
          </w:r>
          <w:r w:rsidRPr="00456F9D">
            <w:fldChar w:fldCharType="end"/>
          </w:r>
        </w:sdtContent>
      </w:sdt>
      <w:r w:rsidRPr="00456F9D">
        <w:rPr>
          <w:lang w:val="fr-FR"/>
        </w:rPr>
        <w:t>.</w:t>
      </w:r>
    </w:p>
  </w:footnote>
  <w:footnote w:id="325">
    <w:p w14:paraId="5822AFDB" w14:textId="77777777" w:rsidR="00730553" w:rsidRDefault="00730553">
      <w:pPr>
        <w:pStyle w:val="FootnoteText"/>
      </w:pPr>
      <w:r>
        <w:rPr>
          <w:rStyle w:val="FootnoteReference"/>
        </w:rPr>
        <w:footnoteRef/>
      </w:r>
      <w:r>
        <w:t xml:space="preserve"> Essential spending incorporates expenses that are essential to maintaining basic wellbeing and includes food, housing costs, household services, medical expenses, utilities and personal care. Discretionary spending incorporates items over which households have a greater degree of choice and includes transport, recreation, furnishings, clothing, alcohol and tobacco, and other miscellaneous spending.</w:t>
      </w:r>
    </w:p>
  </w:footnote>
  <w:footnote w:id="326">
    <w:p w14:paraId="45C157F3" w14:textId="77777777" w:rsidR="00730553" w:rsidRDefault="00730553">
      <w:pPr>
        <w:pStyle w:val="FootnoteText"/>
      </w:pPr>
      <w:r>
        <w:rPr>
          <w:rStyle w:val="FootnoteReference"/>
        </w:rPr>
        <w:footnoteRef/>
      </w:r>
      <w:r>
        <w:t xml:space="preserve"> </w:t>
      </w:r>
      <w:r w:rsidRPr="00565B95">
        <w:t>Analysis of ABS Household Expenditure Survey Confidentialised Unit Record File, 1988-89 to 2015-16.</w:t>
      </w:r>
    </w:p>
  </w:footnote>
  <w:footnote w:id="327">
    <w:p w14:paraId="2557D4A1" w14:textId="77777777" w:rsidR="00730553" w:rsidRDefault="00730553">
      <w:pPr>
        <w:pStyle w:val="FootnoteText"/>
      </w:pPr>
      <w:r>
        <w:rPr>
          <w:rStyle w:val="FootnoteReference"/>
        </w:rPr>
        <w:footnoteRef/>
      </w:r>
      <w:r>
        <w:rPr>
          <w:sz w:val="18"/>
        </w:rPr>
        <w:t xml:space="preserve"> </w:t>
      </w:r>
      <w:r w:rsidRPr="00E71B60">
        <w:t xml:space="preserve">Analysis of ABS </w:t>
      </w:r>
      <w:r>
        <w:t>Household Expenditure Survey</w:t>
      </w:r>
      <w:r w:rsidRPr="00E71B60">
        <w:t xml:space="preserve"> Confidentialised Unit Record File</w:t>
      </w:r>
      <w:r>
        <w:rPr>
          <w:sz w:val="18"/>
        </w:rPr>
        <w:t xml:space="preserve">, </w:t>
      </w:r>
      <w:r w:rsidRPr="00350740">
        <w:rPr>
          <w:sz w:val="18"/>
        </w:rPr>
        <w:t>1988</w:t>
      </w:r>
      <w:r>
        <w:rPr>
          <w:sz w:val="18"/>
        </w:rPr>
        <w:noBreakHyphen/>
      </w:r>
      <w:r w:rsidRPr="00350740">
        <w:rPr>
          <w:sz w:val="18"/>
        </w:rPr>
        <w:t>89 to 2015</w:t>
      </w:r>
      <w:r>
        <w:rPr>
          <w:sz w:val="18"/>
        </w:rPr>
        <w:noBreakHyphen/>
      </w:r>
      <w:r w:rsidRPr="00350740">
        <w:rPr>
          <w:sz w:val="18"/>
        </w:rPr>
        <w:t>16.</w:t>
      </w:r>
    </w:p>
  </w:footnote>
  <w:footnote w:id="328">
    <w:p w14:paraId="3584E5AD" w14:textId="77777777" w:rsidR="00730553" w:rsidRDefault="00730553" w:rsidP="00E96B29">
      <w:pPr>
        <w:pStyle w:val="FootnoteText"/>
      </w:pPr>
      <w:r>
        <w:rPr>
          <w:rStyle w:val="FootnoteReference"/>
        </w:rPr>
        <w:footnoteRef/>
      </w:r>
      <w:r>
        <w:t xml:space="preserve"> </w:t>
      </w:r>
      <w:r w:rsidRPr="00D40B5B">
        <w:rPr>
          <w:sz w:val="18"/>
        </w:rPr>
        <w:t>Net replacement rates are calculated using disposable, or after-tax, income. Gross replacement rates take into account the effect of lower taxes in retirement by comparing pre-retirement income (before tax) with retirement income. Since retirement income is generally taxed at lower rates, gross replacement rate benchmarks tend to be lower.</w:t>
      </w:r>
    </w:p>
  </w:footnote>
  <w:footnote w:id="329">
    <w:p w14:paraId="466BF8BC" w14:textId="77777777" w:rsidR="00730553" w:rsidRDefault="00730553">
      <w:pPr>
        <w:pStyle w:val="FootnoteText"/>
      </w:pPr>
      <w:r>
        <w:rPr>
          <w:rStyle w:val="FootnoteReference"/>
        </w:rPr>
        <w:footnoteRef/>
      </w:r>
      <w:r>
        <w:t xml:space="preserve"> First child costs were calculated based on a 10-year-old boy, second child costs on a 6-year-old girl.</w:t>
      </w:r>
    </w:p>
  </w:footnote>
  <w:footnote w:id="330">
    <w:p w14:paraId="37322ACD" w14:textId="77777777" w:rsidR="00730553" w:rsidRDefault="00730553">
      <w:pPr>
        <w:pStyle w:val="FootnoteText"/>
      </w:pPr>
      <w:r>
        <w:rPr>
          <w:rStyle w:val="FootnoteReference"/>
        </w:rPr>
        <w:footnoteRef/>
      </w:r>
      <w:r>
        <w:t xml:space="preserve"> The cameo model commences in 2019-20 for people aged 27.</w:t>
      </w:r>
    </w:p>
  </w:footnote>
  <w:footnote w:id="331">
    <w:p w14:paraId="1AA0C089" w14:textId="77777777" w:rsidR="00730553" w:rsidRDefault="00730553" w:rsidP="00E96B29">
      <w:pPr>
        <w:pStyle w:val="FootnoteText"/>
      </w:pPr>
      <w:r>
        <w:rPr>
          <w:rStyle w:val="FootnoteReference"/>
        </w:rPr>
        <w:footnoteRef/>
      </w:r>
      <w:r>
        <w:t xml:space="preserve"> ALife is the ATO longitudinal information files prepared by the ATO. It includes data from personal income tax returns, superannuation </w:t>
      </w:r>
      <w:r w:rsidRPr="006168E1">
        <w:t>member contribution statements and self-managed superannuation fund annual returns.</w:t>
      </w:r>
      <w:r>
        <w:t xml:space="preserve"> This data started with all individuals who lodged a tax return in 2016-17, excluding the self-employed.</w:t>
      </w:r>
    </w:p>
  </w:footnote>
  <w:footnote w:id="332">
    <w:p w14:paraId="2406F4E1" w14:textId="77777777" w:rsidR="00730553" w:rsidRDefault="00730553">
      <w:pPr>
        <w:pStyle w:val="FootnoteText"/>
      </w:pPr>
      <w:r>
        <w:rPr>
          <w:rStyle w:val="FootnoteReference"/>
        </w:rPr>
        <w:footnoteRef/>
      </w:r>
      <w:r>
        <w:t xml:space="preserve"> Cameo modelling undertaken for the review.</w:t>
      </w:r>
    </w:p>
  </w:footnote>
  <w:footnote w:id="333">
    <w:p w14:paraId="39ED1C8D" w14:textId="77777777" w:rsidR="00730553" w:rsidRDefault="00730553" w:rsidP="00E96B29">
      <w:pPr>
        <w:pStyle w:val="FootnoteText"/>
      </w:pPr>
      <w:r>
        <w:rPr>
          <w:rStyle w:val="FootnoteReference"/>
        </w:rPr>
        <w:footnoteRef/>
      </w:r>
      <w:r>
        <w:t>Employment may include both wage earners and self-employed people.</w:t>
      </w:r>
    </w:p>
  </w:footnote>
  <w:footnote w:id="334">
    <w:p w14:paraId="586D2BA2" w14:textId="77777777" w:rsidR="00730553" w:rsidRDefault="00730553" w:rsidP="00E96B29">
      <w:pPr>
        <w:pStyle w:val="FootnoteText"/>
      </w:pPr>
      <w:r>
        <w:rPr>
          <w:rStyle w:val="FootnoteReference"/>
        </w:rPr>
        <w:footnoteRef/>
      </w:r>
      <w:r>
        <w:t xml:space="preserve"> </w:t>
      </w:r>
      <w:r w:rsidRPr="00141E28">
        <w:rPr>
          <w:sz w:val="18"/>
        </w:rPr>
        <w:t>This is partially offset by lower tax rates during the pension phase.</w:t>
      </w:r>
    </w:p>
  </w:footnote>
  <w:footnote w:id="335">
    <w:p w14:paraId="6F2FBA98" w14:textId="77777777" w:rsidR="00730553" w:rsidRDefault="00730553">
      <w:pPr>
        <w:pStyle w:val="FootnoteText"/>
      </w:pPr>
      <w:r>
        <w:rPr>
          <w:rStyle w:val="FootnoteReference"/>
        </w:rPr>
        <w:footnoteRef/>
      </w:r>
      <w:r>
        <w:t xml:space="preserve"> Higher-income earners have a small amount of superannuation remaining after age 92.</w:t>
      </w:r>
    </w:p>
  </w:footnote>
  <w:footnote w:id="336">
    <w:p w14:paraId="151643C5" w14:textId="77777777" w:rsidR="00730553" w:rsidRDefault="00730553" w:rsidP="00E96B29">
      <w:pPr>
        <w:pStyle w:val="FootnoteText"/>
      </w:pPr>
      <w:r>
        <w:rPr>
          <w:rStyle w:val="FootnoteReference"/>
        </w:rPr>
        <w:footnoteRef/>
      </w:r>
      <w:r>
        <w:t xml:space="preserve"> This does not apply to income percentile 95 and 99, for whom Age Pension eligibility remains zero over the entire retirement period. This is due to high assets outside superannuation, which are not drawn down.</w:t>
      </w:r>
    </w:p>
  </w:footnote>
  <w:footnote w:id="337">
    <w:p w14:paraId="12329B6F" w14:textId="77777777" w:rsidR="00730553" w:rsidRDefault="00730553" w:rsidP="00E96B29">
      <w:pPr>
        <w:pStyle w:val="FootnoteText"/>
      </w:pPr>
      <w:r>
        <w:rPr>
          <w:rStyle w:val="FootnoteReference"/>
        </w:rPr>
        <w:footnoteRef/>
      </w:r>
      <w:r>
        <w:t xml:space="preserve"> MARIA takes into account the concessional tax treatment of earnings, such as the CGT discount, and that some capital gains are not realised. This means the effective earnings tax is around half of the statutory 15 per cent tax rate. However, it varies slightly because fees are tax-deductible and have a fixed component.</w:t>
      </w:r>
    </w:p>
  </w:footnote>
  <w:footnote w:id="338">
    <w:p w14:paraId="3A81B403" w14:textId="77777777" w:rsidR="00730553" w:rsidRDefault="00730553">
      <w:pPr>
        <w:pStyle w:val="FootnoteText"/>
      </w:pPr>
      <w:r>
        <w:rPr>
          <w:rStyle w:val="FootnoteReference"/>
        </w:rPr>
        <w:footnoteRef/>
      </w:r>
      <w:r>
        <w:t xml:space="preserve"> Data are cumulative to the top of the percentile, exclusive. For example, percentile 100 includes individuals </w:t>
      </w:r>
      <w:r>
        <w:rPr>
          <w:rFonts w:cs="Calibri"/>
        </w:rPr>
        <w:t>≥</w:t>
      </w:r>
      <w:r>
        <w:t xml:space="preserve"> the 99</w:t>
      </w:r>
      <w:r w:rsidRPr="000B5E87">
        <w:rPr>
          <w:vertAlign w:val="superscript"/>
        </w:rPr>
        <w:t>th</w:t>
      </w:r>
      <w:r>
        <w:t xml:space="preserve"> percentile but &lt; the 100</w:t>
      </w:r>
      <w:r w:rsidRPr="000B5E87">
        <w:rPr>
          <w:vertAlign w:val="superscript"/>
        </w:rPr>
        <w:t>th</w:t>
      </w:r>
      <w:r>
        <w:t>.</w:t>
      </w:r>
    </w:p>
  </w:footnote>
  <w:footnote w:id="339">
    <w:p w14:paraId="1CE3A3E5" w14:textId="77777777" w:rsidR="00730553" w:rsidRDefault="00730553">
      <w:pPr>
        <w:pStyle w:val="FootnoteText"/>
      </w:pPr>
      <w:r>
        <w:rPr>
          <w:rStyle w:val="FootnoteReference"/>
        </w:rPr>
        <w:footnoteRef/>
      </w:r>
      <w:r>
        <w:t xml:space="preserve"> This comparison is aided by the similarity in the models’ GDP assumptions. By 2059, there is only a 0.4% difference in nominal GDP assumptions.</w:t>
      </w:r>
    </w:p>
  </w:footnote>
  <w:footnote w:id="340">
    <w:p w14:paraId="641342A2" w14:textId="77777777" w:rsidR="00730553" w:rsidRDefault="00730553">
      <w:pPr>
        <w:pStyle w:val="FootnoteText"/>
      </w:pPr>
      <w:r>
        <w:rPr>
          <w:rStyle w:val="FootnoteReference"/>
        </w:rPr>
        <w:footnoteRef/>
      </w:r>
      <w:r>
        <w:t xml:space="preserve"> Submissions can be found at &lt;</w:t>
      </w:r>
      <w:hyperlink r:id="rId8" w:history="1">
        <w:r w:rsidRPr="009F32D7">
          <w:rPr>
            <w:rStyle w:val="Hyperlink"/>
          </w:rPr>
          <w:t>https://treasury.gov.au/consultation/c2019-36292/submissions</w:t>
        </w:r>
      </w:hyperlink>
      <w:r>
        <w:rPr>
          <w:rStyle w:val="Hyperlink"/>
        </w:rPr>
        <w:t>&gt;</w:t>
      </w:r>
      <w:r>
        <w:t>.</w:t>
      </w:r>
    </w:p>
    <w:p w14:paraId="51F034C4" w14:textId="77777777" w:rsidR="00730553" w:rsidRDefault="00730553">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E587D5" w14:textId="71F09E86" w:rsidR="00730553" w:rsidRDefault="007B222E" w:rsidP="00626440">
    <w:pPr>
      <w:pStyle w:val="HeaderEven"/>
    </w:pPr>
    <w:r>
      <w:fldChar w:fldCharType="begin"/>
    </w:r>
    <w:r>
      <w:instrText xml:space="preserve"> TITLE  "Retirement Income Review Final Report"  \* MERGEFORMAT </w:instrText>
    </w:r>
    <w:r>
      <w:fldChar w:fldCharType="separate"/>
    </w:r>
    <w:r w:rsidR="00891058">
      <w:t>Retirement Income Review Final Report</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0119D" w14:textId="0BC8301D" w:rsidR="00730553" w:rsidRDefault="007B222E" w:rsidP="001B6C0B">
    <w:pPr>
      <w:pStyle w:val="HeaderOdd"/>
    </w:pPr>
    <w:r>
      <w:fldChar w:fldCharType="begin"/>
    </w:r>
    <w:r>
      <w:instrText xml:space="preserve"> STYLEREF  "Chapter heading"  \* MERGEFORMAT </w:instrText>
    </w:r>
    <w:r>
      <w:fldChar w:fldCharType="separate"/>
    </w:r>
    <w:r>
      <w:rPr>
        <w:noProof/>
      </w:rPr>
      <w:t>Equity</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8CF70" w14:textId="5C35E012" w:rsidR="00730553" w:rsidRPr="00AB03E9" w:rsidRDefault="007B222E" w:rsidP="00AB03E9">
    <w:pPr>
      <w:pStyle w:val="HeaderOdd"/>
    </w:pPr>
    <w:r>
      <w:fldChar w:fldCharType="begin"/>
    </w:r>
    <w:r>
      <w:instrText xml:space="preserve"> STYLEREF  "Chapter heading"  \* MERGEFORMAT </w:instrText>
    </w:r>
    <w:r>
      <w:fldChar w:fldCharType="separate"/>
    </w:r>
    <w:r>
      <w:rPr>
        <w:noProof/>
      </w:rPr>
      <w:t>Equity</w:t>
    </w:r>
    <w:r>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40AFF" w14:textId="1F5153A3" w:rsidR="00730553" w:rsidRPr="00582C3E" w:rsidRDefault="007B222E" w:rsidP="00582C3E">
    <w:pPr>
      <w:pStyle w:val="HeaderOdd"/>
    </w:pPr>
    <w:r>
      <w:fldChar w:fldCharType="begin"/>
    </w:r>
    <w:r>
      <w:instrText xml:space="preserve"> STYLEREF  "Ch</w:instrText>
    </w:r>
    <w:r>
      <w:instrText xml:space="preserve">apter heading"  \* MERGEFORMAT </w:instrText>
    </w:r>
    <w:r>
      <w:fldChar w:fldCharType="separate"/>
    </w:r>
    <w:r>
      <w:rPr>
        <w:noProof/>
      </w:rPr>
      <w:t>Cohesion</w:t>
    </w:r>
    <w:r>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49277" w14:textId="77777777" w:rsidR="00730553" w:rsidRDefault="00730553" w:rsidP="0092060F">
    <w:pPr>
      <w:pStyle w:val="HeaderOdd"/>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0FCDCA" w14:textId="132CF123" w:rsidR="00730553" w:rsidRDefault="007B222E" w:rsidP="001B6C0B">
    <w:pPr>
      <w:pStyle w:val="HeaderOdd"/>
    </w:pPr>
    <w:r>
      <w:fldChar w:fldCharType="begin"/>
    </w:r>
    <w:r>
      <w:instrText xml:space="preserve"> STYLEREF  "Chapter heading"  \* MERGEFORMAT </w:instrText>
    </w:r>
    <w:r>
      <w:fldChar w:fldCharType="separate"/>
    </w:r>
    <w:r>
      <w:rPr>
        <w:noProof/>
      </w:rPr>
      <w:t>Cohesion</w:t>
    </w:r>
    <w:r>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1D6A7" w14:textId="7F23A60F" w:rsidR="00730553" w:rsidRDefault="007B222E" w:rsidP="00FE255E">
    <w:pPr>
      <w:pStyle w:val="HeaderEven"/>
    </w:pPr>
    <w:r>
      <w:fldChar w:fldCharType="begin"/>
    </w:r>
    <w:r>
      <w:instrText xml:space="preserve"> TITLE   \* MERGEFORMAT </w:instrText>
    </w:r>
    <w:r>
      <w:fldChar w:fldCharType="separate"/>
    </w:r>
    <w:r w:rsidR="00891058">
      <w:t>Retirement Income Review Final Report</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59107" w14:textId="5ADFABE1" w:rsidR="00730553" w:rsidRDefault="007B222E">
    <w:pPr>
      <w:pStyle w:val="Header"/>
    </w:pPr>
    <w:r>
      <w:fldChar w:fldCharType="begin"/>
    </w:r>
    <w:r>
      <w:instrText xml:space="preserve"> SUBJECT  "Outline of Australia's retirement income system"  \* MERGEFORMAT </w:instrText>
    </w:r>
    <w:r>
      <w:fldChar w:fldCharType="separate"/>
    </w:r>
    <w:r w:rsidR="00891058">
      <w:t>Outline of Australia's retirement income system</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C8258" w14:textId="7804E62E" w:rsidR="00730553" w:rsidRPr="000F5652" w:rsidRDefault="007B222E" w:rsidP="000F5652">
    <w:pPr>
      <w:pStyle w:val="HeaderEven"/>
    </w:pPr>
    <w:r>
      <w:fldChar w:fldCharType="begin"/>
    </w:r>
    <w:r>
      <w:instrText xml:space="preserve"> TITLE  "Retirement Income Review Final Report"  \* MERGEFORMAT </w:instrText>
    </w:r>
    <w:r>
      <w:fldChar w:fldCharType="separate"/>
    </w:r>
    <w:r w:rsidR="00891058">
      <w:t>Retirement Income Review Final Report</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85C6E" w14:textId="574D3F2C" w:rsidR="00730553" w:rsidRPr="0060556C" w:rsidRDefault="007B222E" w:rsidP="0060556C">
    <w:pPr>
      <w:pStyle w:val="HeaderOdd"/>
    </w:pPr>
    <w:r>
      <w:fldChar w:fldCharType="begin"/>
    </w:r>
    <w:r>
      <w:instrText xml:space="preserve"> TITLE  "Retirement Income Review Final Report"  \* MERGEFORMAT </w:instrText>
    </w:r>
    <w:r>
      <w:fldChar w:fldCharType="separate"/>
    </w:r>
    <w:r w:rsidR="00891058">
      <w:t>Retirement Income Review Final Report</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2DBF5" w14:textId="77777777" w:rsidR="00730553" w:rsidRDefault="00730553" w:rsidP="0092060F">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8DA4F9" w14:textId="6A315D0B" w:rsidR="00730553" w:rsidRDefault="007B222E" w:rsidP="0092060F">
    <w:pPr>
      <w:pStyle w:val="HeaderOdd"/>
    </w:pPr>
    <w:r>
      <w:fldChar w:fldCharType="begin"/>
    </w:r>
    <w:r>
      <w:instrText xml:space="preserve"> TITLE  "Retirement Income Review Final Report"  \* MERGEFORMAT </w:instrText>
    </w:r>
    <w:r>
      <w:fldChar w:fldCharType="separate"/>
    </w:r>
    <w:r w:rsidR="00891058">
      <w:t>Retirement Income Review Final Report</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C2020" w14:textId="59F8246B" w:rsidR="00730553" w:rsidRPr="0060556C" w:rsidRDefault="007B222E" w:rsidP="0060556C">
    <w:pPr>
      <w:pStyle w:val="HeaderOdd"/>
    </w:pPr>
    <w:r>
      <w:fldChar w:fldCharType="begin"/>
    </w:r>
    <w:r>
      <w:instrText xml:space="preserve"> STYLEREF  "Chapter heading"  \* MERGEFORMAT </w:instrText>
    </w:r>
    <w:r>
      <w:fldChar w:fldCharType="separate"/>
    </w:r>
    <w:r>
      <w:rPr>
        <w:noProof/>
      </w:rPr>
      <w:t>Adequacy</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1C146" w14:textId="2ADD204C" w:rsidR="00730553" w:rsidRDefault="007B222E" w:rsidP="0092060F">
    <w:pPr>
      <w:pStyle w:val="HeaderOdd"/>
    </w:pPr>
    <w:r>
      <w:fldChar w:fldCharType="begin"/>
    </w:r>
    <w:r>
      <w:instrText xml:space="preserve"> STYLEREF  "Chapter heading"  \* MERGEFORMAT </w:instrText>
    </w:r>
    <w:r>
      <w:fldChar w:fldCharType="separate"/>
    </w:r>
    <w:r>
      <w:rPr>
        <w:noProof/>
      </w:rPr>
      <w:t>Equity</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34247" w14:textId="2D5144BC" w:rsidR="00730553" w:rsidRPr="00B75482" w:rsidRDefault="007B222E" w:rsidP="001B6C0B">
    <w:pPr>
      <w:pStyle w:val="HeaderOdd"/>
    </w:pPr>
    <w:r>
      <w:fldChar w:fldCharType="begin"/>
    </w:r>
    <w:r>
      <w:instrText xml:space="preserve"> STYLEREF  "Chapter heading"  \* MERGEFORMAT </w:instrText>
    </w:r>
    <w:r>
      <w:fldChar w:fldCharType="separate"/>
    </w:r>
    <w:r w:rsidRPr="007B222E">
      <w:rPr>
        <w:bCs/>
        <w:noProof/>
        <w:lang w:val="en-US"/>
      </w:rPr>
      <w:t>Equity</w:t>
    </w:r>
    <w:r>
      <w:rPr>
        <w:bCs/>
        <w:noProof/>
        <w:lang w:val="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52DAA"/>
    <w:multiLevelType w:val="hybridMultilevel"/>
    <w:tmpl w:val="1A825888"/>
    <w:lvl w:ilvl="0" w:tplc="C4A81E78">
      <w:start w:val="1"/>
      <w:numFmt w:val="decimal"/>
      <w:pStyle w:val="OverviewChart"/>
      <w:lvlText w:val="Chart %1."/>
      <w:lvlJc w:val="left"/>
      <w:pPr>
        <w:ind w:left="36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 w15:restartNumberingAfterBreak="0">
    <w:nsid w:val="05B6500B"/>
    <w:multiLevelType w:val="hybridMultilevel"/>
    <w:tmpl w:val="E1424C6E"/>
    <w:lvl w:ilvl="0" w:tplc="81E8128C">
      <w:start w:val="1"/>
      <w:numFmt w:val="bullet"/>
      <w:lvlText w:val="•"/>
      <w:lvlJc w:val="left"/>
      <w:pPr>
        <w:tabs>
          <w:tab w:val="num" w:pos="360"/>
        </w:tabs>
        <w:ind w:left="360" w:hanging="360"/>
      </w:pPr>
      <w:rPr>
        <w:rFonts w:ascii="Arial" w:hAnsi="Arial" w:hint="default"/>
      </w:rPr>
    </w:lvl>
    <w:lvl w:ilvl="1" w:tplc="E738E79C">
      <w:start w:val="274"/>
      <w:numFmt w:val="bullet"/>
      <w:lvlText w:val="•"/>
      <w:lvlJc w:val="left"/>
      <w:pPr>
        <w:tabs>
          <w:tab w:val="num" w:pos="1080"/>
        </w:tabs>
        <w:ind w:left="1080" w:hanging="360"/>
      </w:pPr>
      <w:rPr>
        <w:rFonts w:ascii="Arial" w:hAnsi="Arial" w:hint="default"/>
      </w:rPr>
    </w:lvl>
    <w:lvl w:ilvl="2" w:tplc="EC7CF6DA">
      <w:start w:val="1"/>
      <w:numFmt w:val="bullet"/>
      <w:lvlText w:val="•"/>
      <w:lvlJc w:val="left"/>
      <w:pPr>
        <w:tabs>
          <w:tab w:val="num" w:pos="1800"/>
        </w:tabs>
        <w:ind w:left="1800" w:hanging="360"/>
      </w:pPr>
      <w:rPr>
        <w:rFonts w:ascii="Arial" w:hAnsi="Arial" w:hint="default"/>
      </w:rPr>
    </w:lvl>
    <w:lvl w:ilvl="3" w:tplc="9DAC6256">
      <w:start w:val="1"/>
      <w:numFmt w:val="bullet"/>
      <w:lvlText w:val="•"/>
      <w:lvlJc w:val="left"/>
      <w:pPr>
        <w:tabs>
          <w:tab w:val="num" w:pos="2520"/>
        </w:tabs>
        <w:ind w:left="2520" w:hanging="360"/>
      </w:pPr>
      <w:rPr>
        <w:rFonts w:ascii="Arial" w:hAnsi="Arial" w:hint="default"/>
      </w:rPr>
    </w:lvl>
    <w:lvl w:ilvl="4" w:tplc="004E28CE">
      <w:start w:val="1"/>
      <w:numFmt w:val="bullet"/>
      <w:lvlText w:val="•"/>
      <w:lvlJc w:val="left"/>
      <w:pPr>
        <w:tabs>
          <w:tab w:val="num" w:pos="3240"/>
        </w:tabs>
        <w:ind w:left="3240" w:hanging="360"/>
      </w:pPr>
      <w:rPr>
        <w:rFonts w:ascii="Arial" w:hAnsi="Arial" w:hint="default"/>
      </w:rPr>
    </w:lvl>
    <w:lvl w:ilvl="5" w:tplc="E6F60A5E">
      <w:start w:val="1"/>
      <w:numFmt w:val="bullet"/>
      <w:lvlText w:val="•"/>
      <w:lvlJc w:val="left"/>
      <w:pPr>
        <w:tabs>
          <w:tab w:val="num" w:pos="3960"/>
        </w:tabs>
        <w:ind w:left="3960" w:hanging="360"/>
      </w:pPr>
      <w:rPr>
        <w:rFonts w:ascii="Arial" w:hAnsi="Arial" w:hint="default"/>
      </w:rPr>
    </w:lvl>
    <w:lvl w:ilvl="6" w:tplc="31A62B6E">
      <w:start w:val="1"/>
      <w:numFmt w:val="bullet"/>
      <w:lvlText w:val="•"/>
      <w:lvlJc w:val="left"/>
      <w:pPr>
        <w:tabs>
          <w:tab w:val="num" w:pos="4680"/>
        </w:tabs>
        <w:ind w:left="4680" w:hanging="360"/>
      </w:pPr>
      <w:rPr>
        <w:rFonts w:ascii="Arial" w:hAnsi="Arial" w:hint="default"/>
      </w:rPr>
    </w:lvl>
    <w:lvl w:ilvl="7" w:tplc="90D0F316">
      <w:start w:val="1"/>
      <w:numFmt w:val="bullet"/>
      <w:lvlText w:val="•"/>
      <w:lvlJc w:val="left"/>
      <w:pPr>
        <w:tabs>
          <w:tab w:val="num" w:pos="5400"/>
        </w:tabs>
        <w:ind w:left="5400" w:hanging="360"/>
      </w:pPr>
      <w:rPr>
        <w:rFonts w:ascii="Arial" w:hAnsi="Arial" w:hint="default"/>
      </w:rPr>
    </w:lvl>
    <w:lvl w:ilvl="8" w:tplc="50D42D9C">
      <w:start w:val="1"/>
      <w:numFmt w:val="bullet"/>
      <w:lvlText w:val="•"/>
      <w:lvlJc w:val="left"/>
      <w:pPr>
        <w:tabs>
          <w:tab w:val="num" w:pos="6120"/>
        </w:tabs>
        <w:ind w:left="6120" w:hanging="360"/>
      </w:pPr>
      <w:rPr>
        <w:rFonts w:ascii="Arial" w:hAnsi="Arial" w:hint="default"/>
      </w:rPr>
    </w:lvl>
  </w:abstractNum>
  <w:abstractNum w:abstractNumId="2" w15:restartNumberingAfterBreak="0">
    <w:nsid w:val="05F66D46"/>
    <w:multiLevelType w:val="hybridMultilevel"/>
    <w:tmpl w:val="C25A7D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7ED3FC7"/>
    <w:multiLevelType w:val="multilevel"/>
    <w:tmpl w:val="79E48CD8"/>
    <w:styleLink w:val="BoxBulletedList"/>
    <w:lvl w:ilvl="0">
      <w:start w:val="1"/>
      <w:numFmt w:val="bullet"/>
      <w:lvlRestart w:val="0"/>
      <w:pStyle w:val="BoxBullet"/>
      <w:lvlText w:val="•"/>
      <w:lvlJc w:val="left"/>
      <w:pPr>
        <w:tabs>
          <w:tab w:val="num" w:pos="283"/>
        </w:tabs>
        <w:ind w:left="283" w:hanging="283"/>
      </w:pPr>
      <w:rPr>
        <w:rFonts w:ascii="Times New Roman" w:hAnsi="Times New Roman" w:cs="Times New Roman" w:hint="default"/>
        <w:b w:val="0"/>
        <w:i w:val="0"/>
        <w:sz w:val="20"/>
      </w:rPr>
    </w:lvl>
    <w:lvl w:ilvl="1">
      <w:start w:val="1"/>
      <w:numFmt w:val="bullet"/>
      <w:pStyle w:val="BoxDash"/>
      <w:lvlText w:val="–"/>
      <w:lvlJc w:val="left"/>
      <w:pPr>
        <w:tabs>
          <w:tab w:val="num" w:pos="567"/>
        </w:tabs>
        <w:ind w:left="567" w:hanging="284"/>
      </w:pPr>
      <w:rPr>
        <w:rFonts w:hint="default"/>
        <w:b w:val="0"/>
        <w:i w:val="0"/>
      </w:rPr>
    </w:lvl>
    <w:lvl w:ilvl="2">
      <w:start w:val="1"/>
      <w:numFmt w:val="bullet"/>
      <w:pStyle w:val="BoxDoubleDot"/>
      <w:lvlText w:val=":"/>
      <w:lvlJc w:val="left"/>
      <w:pPr>
        <w:tabs>
          <w:tab w:val="num" w:pos="850"/>
        </w:tabs>
        <w:ind w:left="850" w:hanging="283"/>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4" w15:restartNumberingAfterBreak="0">
    <w:nsid w:val="08607E74"/>
    <w:multiLevelType w:val="hybridMultilevel"/>
    <w:tmpl w:val="CCCA1708"/>
    <w:lvl w:ilvl="0" w:tplc="C3FE7D56">
      <w:start w:val="1"/>
      <w:numFmt w:val="decimal"/>
      <w:pStyle w:val="OutlineNumbered1"/>
      <w:lvlText w:val="%1."/>
      <w:lvlJc w:val="left"/>
      <w:pPr>
        <w:ind w:left="907" w:hanging="45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8F37A0E"/>
    <w:multiLevelType w:val="hybridMultilevel"/>
    <w:tmpl w:val="595A6E4C"/>
    <w:lvl w:ilvl="0" w:tplc="DD5CACD4">
      <w:start w:val="1"/>
      <w:numFmt w:val="bullet"/>
      <w:lvlText w:val="•"/>
      <w:lvlJc w:val="left"/>
      <w:pPr>
        <w:tabs>
          <w:tab w:val="num" w:pos="360"/>
        </w:tabs>
        <w:ind w:left="360" w:hanging="360"/>
      </w:pPr>
      <w:rPr>
        <w:rFonts w:ascii="Arial" w:hAnsi="Arial" w:hint="default"/>
      </w:rPr>
    </w:lvl>
    <w:lvl w:ilvl="1" w:tplc="B58EAA72" w:tentative="1">
      <w:start w:val="1"/>
      <w:numFmt w:val="bullet"/>
      <w:lvlText w:val="•"/>
      <w:lvlJc w:val="left"/>
      <w:pPr>
        <w:tabs>
          <w:tab w:val="num" w:pos="1080"/>
        </w:tabs>
        <w:ind w:left="1080" w:hanging="360"/>
      </w:pPr>
      <w:rPr>
        <w:rFonts w:ascii="Arial" w:hAnsi="Arial" w:hint="default"/>
      </w:rPr>
    </w:lvl>
    <w:lvl w:ilvl="2" w:tplc="49ACCCDA" w:tentative="1">
      <w:start w:val="1"/>
      <w:numFmt w:val="bullet"/>
      <w:lvlText w:val="•"/>
      <w:lvlJc w:val="left"/>
      <w:pPr>
        <w:tabs>
          <w:tab w:val="num" w:pos="1800"/>
        </w:tabs>
        <w:ind w:left="1800" w:hanging="360"/>
      </w:pPr>
      <w:rPr>
        <w:rFonts w:ascii="Arial" w:hAnsi="Arial" w:hint="default"/>
      </w:rPr>
    </w:lvl>
    <w:lvl w:ilvl="3" w:tplc="5DA05F68" w:tentative="1">
      <w:start w:val="1"/>
      <w:numFmt w:val="bullet"/>
      <w:lvlText w:val="•"/>
      <w:lvlJc w:val="left"/>
      <w:pPr>
        <w:tabs>
          <w:tab w:val="num" w:pos="2520"/>
        </w:tabs>
        <w:ind w:left="2520" w:hanging="360"/>
      </w:pPr>
      <w:rPr>
        <w:rFonts w:ascii="Arial" w:hAnsi="Arial" w:hint="default"/>
      </w:rPr>
    </w:lvl>
    <w:lvl w:ilvl="4" w:tplc="9ED032D6" w:tentative="1">
      <w:start w:val="1"/>
      <w:numFmt w:val="bullet"/>
      <w:lvlText w:val="•"/>
      <w:lvlJc w:val="left"/>
      <w:pPr>
        <w:tabs>
          <w:tab w:val="num" w:pos="3240"/>
        </w:tabs>
        <w:ind w:left="3240" w:hanging="360"/>
      </w:pPr>
      <w:rPr>
        <w:rFonts w:ascii="Arial" w:hAnsi="Arial" w:hint="default"/>
      </w:rPr>
    </w:lvl>
    <w:lvl w:ilvl="5" w:tplc="9B906D76" w:tentative="1">
      <w:start w:val="1"/>
      <w:numFmt w:val="bullet"/>
      <w:lvlText w:val="•"/>
      <w:lvlJc w:val="left"/>
      <w:pPr>
        <w:tabs>
          <w:tab w:val="num" w:pos="3960"/>
        </w:tabs>
        <w:ind w:left="3960" w:hanging="360"/>
      </w:pPr>
      <w:rPr>
        <w:rFonts w:ascii="Arial" w:hAnsi="Arial" w:hint="default"/>
      </w:rPr>
    </w:lvl>
    <w:lvl w:ilvl="6" w:tplc="B0600370" w:tentative="1">
      <w:start w:val="1"/>
      <w:numFmt w:val="bullet"/>
      <w:lvlText w:val="•"/>
      <w:lvlJc w:val="left"/>
      <w:pPr>
        <w:tabs>
          <w:tab w:val="num" w:pos="4680"/>
        </w:tabs>
        <w:ind w:left="4680" w:hanging="360"/>
      </w:pPr>
      <w:rPr>
        <w:rFonts w:ascii="Arial" w:hAnsi="Arial" w:hint="default"/>
      </w:rPr>
    </w:lvl>
    <w:lvl w:ilvl="7" w:tplc="27EA8D3A" w:tentative="1">
      <w:start w:val="1"/>
      <w:numFmt w:val="bullet"/>
      <w:lvlText w:val="•"/>
      <w:lvlJc w:val="left"/>
      <w:pPr>
        <w:tabs>
          <w:tab w:val="num" w:pos="5400"/>
        </w:tabs>
        <w:ind w:left="5400" w:hanging="360"/>
      </w:pPr>
      <w:rPr>
        <w:rFonts w:ascii="Arial" w:hAnsi="Arial" w:hint="default"/>
      </w:rPr>
    </w:lvl>
    <w:lvl w:ilvl="8" w:tplc="6890E09E"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0A1E649E"/>
    <w:multiLevelType w:val="hybridMultilevel"/>
    <w:tmpl w:val="823E24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424232"/>
    <w:multiLevelType w:val="hybridMultilevel"/>
    <w:tmpl w:val="8A9AD9F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ACB3375"/>
    <w:multiLevelType w:val="multilevel"/>
    <w:tmpl w:val="B0F2EA4C"/>
    <w:name w:val="StandardNumberedList"/>
    <w:lvl w:ilvl="0">
      <w:start w:val="1"/>
      <w:numFmt w:val="decimal"/>
      <w:lvlText w:val="%1."/>
      <w:lvlJc w:val="left"/>
      <w:pPr>
        <w:tabs>
          <w:tab w:val="num" w:pos="520"/>
        </w:tabs>
        <w:ind w:left="520" w:hanging="520"/>
      </w:pPr>
    </w:lvl>
    <w:lvl w:ilvl="1">
      <w:start w:val="1"/>
      <w:numFmt w:val="decimal"/>
      <w:lvlText w:val="%1.%2."/>
      <w:lvlJc w:val="left"/>
      <w:pPr>
        <w:tabs>
          <w:tab w:val="num" w:pos="1040"/>
        </w:tabs>
        <w:ind w:left="1040" w:hanging="520"/>
      </w:pPr>
    </w:lvl>
    <w:lvl w:ilvl="2">
      <w:start w:val="1"/>
      <w:numFmt w:val="decimal"/>
      <w:lvlText w:val="%1.%2.%3."/>
      <w:lvlJc w:val="left"/>
      <w:pPr>
        <w:tabs>
          <w:tab w:val="num" w:pos="1560"/>
        </w:tabs>
        <w:ind w:left="1560" w:hanging="52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10653560"/>
    <w:multiLevelType w:val="multilevel"/>
    <w:tmpl w:val="72F8140E"/>
    <w:styleLink w:val="OutlineList"/>
    <w:lvl w:ilvl="0">
      <w:start w:val="1"/>
      <w:numFmt w:val="decimal"/>
      <w:lvlText w:val="%1."/>
      <w:lvlJc w:val="left"/>
      <w:pPr>
        <w:tabs>
          <w:tab w:val="num" w:pos="851"/>
        </w:tabs>
        <w:ind w:left="851" w:hanging="851"/>
      </w:pPr>
      <w:rPr>
        <w:rFonts w:hint="default"/>
      </w:rPr>
    </w:lvl>
    <w:lvl w:ilvl="1">
      <w:start w:val="1"/>
      <w:numFmt w:val="decimal"/>
      <w:pStyle w:val="OutlineNumbered2"/>
      <w:lvlText w:val="%1.%2"/>
      <w:lvlJc w:val="left"/>
      <w:pPr>
        <w:tabs>
          <w:tab w:val="num" w:pos="1134"/>
        </w:tabs>
        <w:ind w:left="1134" w:hanging="1134"/>
      </w:pPr>
      <w:rPr>
        <w:rFonts w:hint="default"/>
      </w:rPr>
    </w:lvl>
    <w:lvl w:ilvl="2">
      <w:start w:val="1"/>
      <w:numFmt w:val="decimal"/>
      <w:pStyle w:val="OutlineNumbered3"/>
      <w:lvlText w:val="%1.%2.%3"/>
      <w:lvlJc w:val="left"/>
      <w:pPr>
        <w:tabs>
          <w:tab w:val="num" w:pos="1418"/>
        </w:tabs>
        <w:ind w:left="1418" w:hanging="141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2184ACD"/>
    <w:multiLevelType w:val="hybridMultilevel"/>
    <w:tmpl w:val="B0288F18"/>
    <w:lvl w:ilvl="0" w:tplc="218C4DB6">
      <w:numFmt w:val="bullet"/>
      <w:lvlText w:val="̶"/>
      <w:lvlJc w:val="left"/>
      <w:pPr>
        <w:ind w:left="1440" w:hanging="360"/>
      </w:pPr>
      <w:rPr>
        <w:rFonts w:ascii="Calibri" w:eastAsia="Times New Roman" w:hAnsi="Calibri" w:cs="Calibr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16352318"/>
    <w:multiLevelType w:val="multilevel"/>
    <w:tmpl w:val="9B127208"/>
    <w:lvl w:ilvl="0">
      <w:start w:val="1"/>
      <w:numFmt w:val="bullet"/>
      <w:lvlText w:val="•"/>
      <w:lvlJc w:val="left"/>
      <w:pPr>
        <w:tabs>
          <w:tab w:val="num" w:pos="520"/>
        </w:tabs>
        <w:ind w:left="520" w:hanging="520"/>
      </w:pPr>
      <w:rPr>
        <w:rFonts w:ascii="Times New Roman" w:hAnsi="Times New Roman" w:cs="Times New Roman" w:hint="default"/>
      </w:rPr>
    </w:lvl>
    <w:lvl w:ilvl="1">
      <w:start w:val="1"/>
      <w:numFmt w:val="bullet"/>
      <w:lvlText w:val="–"/>
      <w:lvlJc w:val="left"/>
      <w:pPr>
        <w:tabs>
          <w:tab w:val="num" w:pos="1040"/>
        </w:tabs>
        <w:ind w:left="1040" w:hanging="520"/>
      </w:pPr>
      <w:rPr>
        <w:rFonts w:ascii="Times New Roman" w:hAnsi="Times New Roman" w:cs="Times New Roman"/>
      </w:rPr>
    </w:lvl>
    <w:lvl w:ilvl="2">
      <w:start w:val="1"/>
      <w:numFmt w:val="bullet"/>
      <w:lvlText w:val=":"/>
      <w:lvlJc w:val="left"/>
      <w:pPr>
        <w:tabs>
          <w:tab w:val="num" w:pos="1560"/>
        </w:tabs>
        <w:ind w:left="1560" w:hanging="520"/>
      </w:pPr>
      <w:rPr>
        <w:rFonts w:ascii="Times New Roman" w:hAnsi="Times New Roman" w:cs="Times New Roman"/>
      </w:r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12" w15:restartNumberingAfterBreak="0">
    <w:nsid w:val="16CC4E5D"/>
    <w:multiLevelType w:val="multilevel"/>
    <w:tmpl w:val="D10E9CF6"/>
    <w:numStyleLink w:val="OneLevelList"/>
  </w:abstractNum>
  <w:abstractNum w:abstractNumId="13" w15:restartNumberingAfterBreak="0">
    <w:nsid w:val="17DF7717"/>
    <w:multiLevelType w:val="multilevel"/>
    <w:tmpl w:val="B91AC3AC"/>
    <w:lvl w:ilvl="0">
      <w:start w:val="1"/>
      <w:numFmt w:val="decimal"/>
      <w:pStyle w:val="Heading1Numbered"/>
      <w:lvlText w:val="%1."/>
      <w:lvlJc w:val="left"/>
      <w:pPr>
        <w:ind w:left="360" w:hanging="360"/>
      </w:pPr>
      <w:rPr>
        <w:rFonts w:hint="default"/>
      </w:rPr>
    </w:lvl>
    <w:lvl w:ilvl="1">
      <w:start w:val="1"/>
      <w:numFmt w:val="decimal"/>
      <w:pStyle w:val="Heading2Numbered"/>
      <w:lvlText w:val="%1.%2"/>
      <w:lvlJc w:val="left"/>
      <w:pPr>
        <w:ind w:left="720" w:hanging="360"/>
      </w:pPr>
      <w:rPr>
        <w:rFonts w:hint="default"/>
      </w:rPr>
    </w:lvl>
    <w:lvl w:ilvl="2">
      <w:start w:val="1"/>
      <w:numFmt w:val="decimal"/>
      <w:pStyle w:val="Heading3Numbered"/>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2455BF5"/>
    <w:multiLevelType w:val="multilevel"/>
    <w:tmpl w:val="1B26094A"/>
    <w:lvl w:ilvl="0">
      <w:start w:val="1"/>
      <w:numFmt w:val="bullet"/>
      <w:lvlRestart w:val="0"/>
      <w:lvlText w:val=""/>
      <w:lvlJc w:val="left"/>
      <w:pPr>
        <w:tabs>
          <w:tab w:val="num" w:pos="283"/>
        </w:tabs>
        <w:ind w:left="283" w:hanging="283"/>
      </w:pPr>
      <w:rPr>
        <w:rFonts w:ascii="Symbol" w:hAnsi="Symbol" w:hint="default"/>
        <w:b w:val="0"/>
        <w:i w:val="0"/>
        <w:sz w:val="20"/>
      </w:rPr>
    </w:lvl>
    <w:lvl w:ilvl="1">
      <w:start w:val="1"/>
      <w:numFmt w:val="decimal"/>
      <w:lvlText w:val="%2."/>
      <w:lvlJc w:val="left"/>
      <w:pPr>
        <w:tabs>
          <w:tab w:val="num" w:pos="567"/>
        </w:tabs>
        <w:ind w:left="567" w:hanging="284"/>
      </w:pPr>
      <w:rPr>
        <w:b w:val="0"/>
        <w:i w:val="0"/>
      </w:rPr>
    </w:lvl>
    <w:lvl w:ilvl="2">
      <w:start w:val="1"/>
      <w:numFmt w:val="bullet"/>
      <w:lvlText w:val=":"/>
      <w:lvlJc w:val="left"/>
      <w:pPr>
        <w:tabs>
          <w:tab w:val="num" w:pos="850"/>
        </w:tabs>
        <w:ind w:left="850" w:hanging="283"/>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15" w15:restartNumberingAfterBreak="0">
    <w:nsid w:val="27826BF0"/>
    <w:multiLevelType w:val="multilevel"/>
    <w:tmpl w:val="6D0AA75C"/>
    <w:lvl w:ilvl="0">
      <w:start w:val="1"/>
      <w:numFmt w:val="lowerRoman"/>
      <w:pStyle w:val="Romannumeral"/>
      <w:lvlText w:val="%1."/>
      <w:lvlJc w:val="left"/>
      <w:pPr>
        <w:tabs>
          <w:tab w:val="num" w:pos="720"/>
        </w:tabs>
        <w:ind w:left="720" w:hanging="720"/>
      </w:pPr>
      <w:rPr>
        <w:rFonts w:hint="default"/>
      </w:rPr>
    </w:lvl>
    <w:lvl w:ilvl="1">
      <w:start w:val="1"/>
      <w:numFmt w:val="lowerLetter"/>
      <w:pStyle w:val="AlphaParagraph"/>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08C2710"/>
    <w:multiLevelType w:val="multilevel"/>
    <w:tmpl w:val="0D723674"/>
    <w:styleLink w:val="BulletedList"/>
    <w:lvl w:ilvl="0">
      <w:start w:val="1"/>
      <w:numFmt w:val="bullet"/>
      <w:lvlRestart w:val="0"/>
      <w:pStyle w:val="Bullet"/>
      <w:lvlText w:val="•"/>
      <w:lvlJc w:val="left"/>
      <w:pPr>
        <w:tabs>
          <w:tab w:val="num" w:pos="283"/>
        </w:tabs>
        <w:ind w:left="283" w:hanging="283"/>
      </w:pPr>
      <w:rPr>
        <w:rFonts w:ascii="Times New Roman" w:hAnsi="Times New Roman" w:cs="Times New Roman" w:hint="default"/>
        <w:b w:val="0"/>
        <w:i w:val="0"/>
      </w:rPr>
    </w:lvl>
    <w:lvl w:ilvl="1">
      <w:start w:val="1"/>
      <w:numFmt w:val="bullet"/>
      <w:pStyle w:val="Dash"/>
      <w:lvlText w:val="–"/>
      <w:lvlJc w:val="left"/>
      <w:pPr>
        <w:tabs>
          <w:tab w:val="num" w:pos="567"/>
        </w:tabs>
        <w:ind w:left="567" w:hanging="284"/>
      </w:pPr>
      <w:rPr>
        <w:rFonts w:ascii="Times New Roman" w:hAnsi="Times New Roman" w:cs="Times New Roman" w:hint="default"/>
        <w:b w:val="0"/>
        <w:i w:val="0"/>
      </w:rPr>
    </w:lvl>
    <w:lvl w:ilvl="2">
      <w:start w:val="1"/>
      <w:numFmt w:val="bullet"/>
      <w:pStyle w:val="DoubleDot"/>
      <w:lvlText w:val=":"/>
      <w:lvlJc w:val="left"/>
      <w:pPr>
        <w:tabs>
          <w:tab w:val="num" w:pos="850"/>
        </w:tabs>
        <w:ind w:left="850" w:hanging="283"/>
      </w:pPr>
      <w:rPr>
        <w:rFonts w:ascii="Times New Roman" w:hAnsi="Times New Roman" w:cs="Times New Roman"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17" w15:restartNumberingAfterBreak="0">
    <w:nsid w:val="30B66EDD"/>
    <w:multiLevelType w:val="hybridMultilevel"/>
    <w:tmpl w:val="E3722AD2"/>
    <w:lvl w:ilvl="0" w:tplc="0B52B7F4">
      <w:start w:val="1"/>
      <w:numFmt w:val="bullet"/>
      <w:lvlText w:val="•"/>
      <w:lvlJc w:val="left"/>
      <w:pPr>
        <w:tabs>
          <w:tab w:val="num" w:pos="360"/>
        </w:tabs>
        <w:ind w:left="360" w:hanging="360"/>
      </w:pPr>
      <w:rPr>
        <w:rFonts w:ascii="Arial" w:hAnsi="Arial" w:hint="default"/>
      </w:rPr>
    </w:lvl>
    <w:lvl w:ilvl="1" w:tplc="80E685AA">
      <w:start w:val="1"/>
      <w:numFmt w:val="bullet"/>
      <w:lvlText w:val="•"/>
      <w:lvlJc w:val="left"/>
      <w:pPr>
        <w:tabs>
          <w:tab w:val="num" w:pos="1080"/>
        </w:tabs>
        <w:ind w:left="1080" w:hanging="360"/>
      </w:pPr>
      <w:rPr>
        <w:rFonts w:ascii="Arial" w:hAnsi="Arial" w:hint="default"/>
      </w:rPr>
    </w:lvl>
    <w:lvl w:ilvl="2" w:tplc="6F162EEC">
      <w:start w:val="1"/>
      <w:numFmt w:val="bullet"/>
      <w:lvlText w:val="•"/>
      <w:lvlJc w:val="left"/>
      <w:pPr>
        <w:tabs>
          <w:tab w:val="num" w:pos="1800"/>
        </w:tabs>
        <w:ind w:left="1800" w:hanging="360"/>
      </w:pPr>
      <w:rPr>
        <w:rFonts w:ascii="Arial" w:hAnsi="Arial" w:hint="default"/>
      </w:rPr>
    </w:lvl>
    <w:lvl w:ilvl="3" w:tplc="9866286A">
      <w:start w:val="1"/>
      <w:numFmt w:val="bullet"/>
      <w:lvlText w:val="•"/>
      <w:lvlJc w:val="left"/>
      <w:pPr>
        <w:tabs>
          <w:tab w:val="num" w:pos="2520"/>
        </w:tabs>
        <w:ind w:left="2520" w:hanging="360"/>
      </w:pPr>
      <w:rPr>
        <w:rFonts w:ascii="Arial" w:hAnsi="Arial" w:hint="default"/>
      </w:rPr>
    </w:lvl>
    <w:lvl w:ilvl="4" w:tplc="D6C61446">
      <w:start w:val="1"/>
      <w:numFmt w:val="bullet"/>
      <w:lvlText w:val="•"/>
      <w:lvlJc w:val="left"/>
      <w:pPr>
        <w:tabs>
          <w:tab w:val="num" w:pos="3240"/>
        </w:tabs>
        <w:ind w:left="3240" w:hanging="360"/>
      </w:pPr>
      <w:rPr>
        <w:rFonts w:ascii="Arial" w:hAnsi="Arial" w:hint="default"/>
      </w:rPr>
    </w:lvl>
    <w:lvl w:ilvl="5" w:tplc="2B1C5384">
      <w:start w:val="1"/>
      <w:numFmt w:val="bullet"/>
      <w:lvlText w:val="•"/>
      <w:lvlJc w:val="left"/>
      <w:pPr>
        <w:tabs>
          <w:tab w:val="num" w:pos="3960"/>
        </w:tabs>
        <w:ind w:left="3960" w:hanging="360"/>
      </w:pPr>
      <w:rPr>
        <w:rFonts w:ascii="Arial" w:hAnsi="Arial" w:hint="default"/>
      </w:rPr>
    </w:lvl>
    <w:lvl w:ilvl="6" w:tplc="41F26B5E">
      <w:start w:val="1"/>
      <w:numFmt w:val="bullet"/>
      <w:lvlText w:val="•"/>
      <w:lvlJc w:val="left"/>
      <w:pPr>
        <w:tabs>
          <w:tab w:val="num" w:pos="4680"/>
        </w:tabs>
        <w:ind w:left="4680" w:hanging="360"/>
      </w:pPr>
      <w:rPr>
        <w:rFonts w:ascii="Arial" w:hAnsi="Arial" w:hint="default"/>
      </w:rPr>
    </w:lvl>
    <w:lvl w:ilvl="7" w:tplc="89F614C0">
      <w:start w:val="1"/>
      <w:numFmt w:val="bullet"/>
      <w:lvlText w:val="•"/>
      <w:lvlJc w:val="left"/>
      <w:pPr>
        <w:tabs>
          <w:tab w:val="num" w:pos="5400"/>
        </w:tabs>
        <w:ind w:left="5400" w:hanging="360"/>
      </w:pPr>
      <w:rPr>
        <w:rFonts w:ascii="Arial" w:hAnsi="Arial" w:hint="default"/>
      </w:rPr>
    </w:lvl>
    <w:lvl w:ilvl="8" w:tplc="8DC2B7B0">
      <w:start w:val="1"/>
      <w:numFmt w:val="bullet"/>
      <w:lvlText w:val="•"/>
      <w:lvlJc w:val="left"/>
      <w:pPr>
        <w:tabs>
          <w:tab w:val="num" w:pos="6120"/>
        </w:tabs>
        <w:ind w:left="6120" w:hanging="360"/>
      </w:pPr>
      <w:rPr>
        <w:rFonts w:ascii="Arial" w:hAnsi="Arial" w:hint="default"/>
      </w:rPr>
    </w:lvl>
  </w:abstractNum>
  <w:abstractNum w:abstractNumId="18" w15:restartNumberingAfterBreak="0">
    <w:nsid w:val="3238442C"/>
    <w:multiLevelType w:val="multilevel"/>
    <w:tmpl w:val="20C6D62C"/>
    <w:styleLink w:val="ChartandTableFootnoteAlphaList"/>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30C16AD"/>
    <w:multiLevelType w:val="multilevel"/>
    <w:tmpl w:val="D10E9CF6"/>
    <w:styleLink w:val="OneLevelList"/>
    <w:lvl w:ilvl="0">
      <w:start w:val="1"/>
      <w:numFmt w:val="decimal"/>
      <w:pStyle w:val="OneLevelNumberedParagraph"/>
      <w:lvlText w:val="%1."/>
      <w:lvlJc w:val="left"/>
      <w:pPr>
        <w:tabs>
          <w:tab w:val="num" w:pos="284"/>
        </w:tabs>
        <w:ind w:left="284" w:hanging="28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71149C2"/>
    <w:multiLevelType w:val="multilevel"/>
    <w:tmpl w:val="0A328572"/>
    <w:lvl w:ilvl="0">
      <w:start w:val="2"/>
      <w:numFmt w:val="decimal"/>
      <w:lvlText w:val="%1."/>
      <w:lvlJc w:val="left"/>
      <w:pPr>
        <w:ind w:left="0" w:firstLine="0"/>
      </w:pPr>
      <w:rPr>
        <w:rFonts w:hint="default"/>
      </w:rPr>
    </w:lvl>
    <w:lvl w:ilvl="1">
      <w:start w:val="3"/>
      <w:numFmt w:val="upperLetter"/>
      <w:lvlText w:val="%1%2"/>
      <w:lvlJc w:val="left"/>
      <w:pPr>
        <w:ind w:left="0" w:firstLine="0"/>
      </w:pPr>
      <w:rPr>
        <w:rFonts w:hint="default"/>
      </w:rPr>
    </w:lvl>
    <w:lvl w:ilvl="2">
      <w:start w:val="1"/>
      <w:numFmt w:val="decimal"/>
      <w:lvlText w:val="Chart %1%2-%3"/>
      <w:lvlJc w:val="left"/>
      <w:pPr>
        <w:ind w:left="0" w:firstLine="0"/>
      </w:pPr>
      <w:rPr>
        <w:rFonts w:hint="default"/>
      </w:rPr>
    </w:lvl>
    <w:lvl w:ilvl="3">
      <w:start w:val="1"/>
      <w:numFmt w:val="decimal"/>
      <w:lvlRestart w:val="2"/>
      <w:lvlText w:val="Table %1%2-%4"/>
      <w:lvlJc w:val="left"/>
      <w:pPr>
        <w:ind w:left="0" w:firstLine="0"/>
      </w:pPr>
      <w:rPr>
        <w:rFonts w:hint="default"/>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4">
      <w:start w:val="1"/>
      <w:numFmt w:val="decimal"/>
      <w:lvlRestart w:val="2"/>
      <w:lvlText w:val="Figure %1%2-%5"/>
      <w:lvlJc w:val="left"/>
      <w:pPr>
        <w:ind w:left="0" w:firstLine="0"/>
      </w:pPr>
      <w:rPr>
        <w:rFonts w:hint="default"/>
      </w:rPr>
    </w:lvl>
    <w:lvl w:ilvl="5">
      <w:start w:val="1"/>
      <w:numFmt w:val="decimal"/>
      <w:lvlRestart w:val="2"/>
      <w:lvlText w:val="Box %1%2-%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A296CAE"/>
    <w:multiLevelType w:val="hybridMultilevel"/>
    <w:tmpl w:val="10C48494"/>
    <w:lvl w:ilvl="0" w:tplc="97DAF6EA">
      <w:start w:val="1"/>
      <w:numFmt w:val="bullet"/>
      <w:lvlText w:val=""/>
      <w:lvlJc w:val="left"/>
      <w:pPr>
        <w:ind w:left="360" w:hanging="360"/>
      </w:pPr>
      <w:rPr>
        <w:rFonts w:ascii="Times New Roman" w:hAnsi="Times New Roman" w:cs="Times New Roman"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3C4B3CB1"/>
    <w:multiLevelType w:val="hybridMultilevel"/>
    <w:tmpl w:val="0D7CD46A"/>
    <w:lvl w:ilvl="0" w:tplc="7C9A825A">
      <w:start w:val="1"/>
      <w:numFmt w:val="decimal"/>
      <w:lvlText w:val="%1."/>
      <w:lvlJc w:val="left"/>
      <w:pPr>
        <w:ind w:left="720" w:hanging="360"/>
      </w:pPr>
      <w:rPr>
        <w:rFonts w:asciiTheme="minorHAnsi" w:hAnsiTheme="minorHAnsi" w:cstheme="minorHAnsi"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3" w15:restartNumberingAfterBreak="0">
    <w:nsid w:val="3FCF39E3"/>
    <w:multiLevelType w:val="hybridMultilevel"/>
    <w:tmpl w:val="03F2C6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51330C9"/>
    <w:multiLevelType w:val="multilevel"/>
    <w:tmpl w:val="D888677C"/>
    <w:lvl w:ilvl="0">
      <w:start w:val="1"/>
      <w:numFmt w:val="decimal"/>
      <w:lvlText w:val="%1."/>
      <w:lvlJc w:val="left"/>
      <w:pPr>
        <w:ind w:left="0" w:firstLine="0"/>
      </w:pPr>
      <w:rPr>
        <w:rFonts w:hint="default"/>
      </w:rPr>
    </w:lvl>
    <w:lvl w:ilvl="1">
      <w:start w:val="1"/>
      <w:numFmt w:val="upperLetter"/>
      <w:lvlText w:val="Section %1%2."/>
      <w:lvlJc w:val="left"/>
      <w:pPr>
        <w:ind w:left="0" w:firstLine="0"/>
      </w:pPr>
      <w:rPr>
        <w:rFonts w:hint="default"/>
      </w:rPr>
    </w:lvl>
    <w:lvl w:ilvl="2">
      <w:start w:val="1"/>
      <w:numFmt w:val="decimal"/>
      <w:lvlText w:val="Chart %1%2-%3"/>
      <w:lvlJc w:val="left"/>
      <w:pPr>
        <w:ind w:left="0" w:firstLine="0"/>
      </w:pPr>
      <w:rPr>
        <w:rFonts w:hint="default"/>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Restart w:val="2"/>
      <w:lvlText w:val="Table %1%2-%3"/>
      <w:lvlJc w:val="left"/>
      <w:pPr>
        <w:ind w:left="0" w:firstLine="0"/>
      </w:pPr>
      <w:rPr>
        <w:rFonts w:hint="default"/>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4">
      <w:start w:val="1"/>
      <w:numFmt w:val="none"/>
      <w:lvlRestart w:val="2"/>
      <w:lvlText w:val="Figure %1%2-%3"/>
      <w:lvlJc w:val="left"/>
      <w:pPr>
        <w:ind w:left="0" w:firstLine="0"/>
      </w:pPr>
      <w:rPr>
        <w:rFonts w:hint="default"/>
      </w:rPr>
    </w:lvl>
    <w:lvl w:ilvl="5">
      <w:start w:val="1"/>
      <w:numFmt w:val="none"/>
      <w:lvlRestart w:val="2"/>
      <w:lvlText w:val="Box %1%2-%3"/>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7CD3434"/>
    <w:multiLevelType w:val="multilevel"/>
    <w:tmpl w:val="906AD32A"/>
    <w:lvl w:ilvl="0">
      <w:start w:val="1"/>
      <w:numFmt w:val="decimal"/>
      <w:lvlText w:val="%1."/>
      <w:lvlJc w:val="left"/>
      <w:pPr>
        <w:ind w:left="0" w:firstLine="0"/>
      </w:pPr>
      <w:rPr>
        <w:rFonts w:hint="default"/>
      </w:rPr>
    </w:lvl>
    <w:lvl w:ilvl="1">
      <w:start w:val="1"/>
      <w:numFmt w:val="upperLetter"/>
      <w:lvlText w:val="%1%2"/>
      <w:lvlJc w:val="left"/>
      <w:pPr>
        <w:ind w:left="0" w:firstLine="0"/>
      </w:pPr>
      <w:rPr>
        <w:rFonts w:hint="default"/>
      </w:rPr>
    </w:lvl>
    <w:lvl w:ilvl="2">
      <w:start w:val="1"/>
      <w:numFmt w:val="decimal"/>
      <w:lvlText w:val="Chart %1%2-%3"/>
      <w:lvlJc w:val="left"/>
      <w:pPr>
        <w:ind w:left="0" w:firstLine="0"/>
      </w:pPr>
      <w:rPr>
        <w:rFonts w:hint="default"/>
      </w:rPr>
    </w:lvl>
    <w:lvl w:ilvl="3">
      <w:start w:val="1"/>
      <w:numFmt w:val="decimal"/>
      <w:lvlRestart w:val="2"/>
      <w:lvlText w:val="Table %1%2-%4"/>
      <w:lvlJc w:val="left"/>
      <w:pPr>
        <w:ind w:left="0" w:firstLine="0"/>
      </w:pPr>
      <w:rPr>
        <w:rFonts w:hint="default"/>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4">
      <w:start w:val="1"/>
      <w:numFmt w:val="decimal"/>
      <w:lvlRestart w:val="2"/>
      <w:lvlText w:val="Figure %1%2-%5"/>
      <w:lvlJc w:val="left"/>
      <w:pPr>
        <w:ind w:left="0" w:firstLine="0"/>
      </w:pPr>
      <w:rPr>
        <w:rFonts w:hint="default"/>
      </w:rPr>
    </w:lvl>
    <w:lvl w:ilvl="5">
      <w:start w:val="1"/>
      <w:numFmt w:val="decimal"/>
      <w:lvlRestart w:val="2"/>
      <w:lvlText w:val="Box %1%2-%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9087B8C"/>
    <w:multiLevelType w:val="multilevel"/>
    <w:tmpl w:val="B8AAE1DE"/>
    <w:lvl w:ilvl="0">
      <w:start w:val="2"/>
      <w:numFmt w:val="decimal"/>
      <w:pStyle w:val="Chapterheading"/>
      <w:lvlText w:val="%1."/>
      <w:lvlJc w:val="left"/>
      <w:pPr>
        <w:ind w:left="0" w:firstLine="0"/>
      </w:pPr>
      <w:rPr>
        <w:rFonts w:hint="default"/>
      </w:rPr>
    </w:lvl>
    <w:lvl w:ilvl="1">
      <w:start w:val="2"/>
      <w:numFmt w:val="upperLetter"/>
      <w:pStyle w:val="Heading1"/>
      <w:lvlText w:val="Section %1%2."/>
      <w:lvlJc w:val="left"/>
      <w:pPr>
        <w:ind w:left="0" w:firstLine="0"/>
      </w:pPr>
      <w:rPr>
        <w:rFonts w:hint="default"/>
      </w:rPr>
    </w:lvl>
    <w:lvl w:ilvl="2">
      <w:start w:val="1"/>
      <w:numFmt w:val="decimal"/>
      <w:pStyle w:val="ChartMainHeading"/>
      <w:lvlText w:val="Chart %1%2-%3"/>
      <w:lvlJc w:val="left"/>
      <w:pPr>
        <w:ind w:left="0" w:firstLine="0"/>
      </w:pPr>
      <w:rPr>
        <w:rFonts w:hint="default"/>
      </w:rPr>
    </w:lvl>
    <w:lvl w:ilvl="3">
      <w:start w:val="1"/>
      <w:numFmt w:val="decimal"/>
      <w:lvlRestart w:val="2"/>
      <w:pStyle w:val="TableMainHeading"/>
      <w:lvlText w:val="Table %1%2-%4"/>
      <w:lvlJc w:val="left"/>
      <w:pPr>
        <w:ind w:left="0" w:firstLine="0"/>
      </w:pPr>
      <w:rPr>
        <w:rFonts w:hint="default"/>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Restart w:val="2"/>
      <w:pStyle w:val="FigureHeading"/>
      <w:lvlText w:val="Figure %1%2-%5"/>
      <w:lvlJc w:val="left"/>
      <w:pPr>
        <w:ind w:left="0" w:firstLine="0"/>
      </w:pPr>
      <w:rPr>
        <w:rFonts w:hint="default"/>
      </w:rPr>
    </w:lvl>
    <w:lvl w:ilvl="5">
      <w:start w:val="1"/>
      <w:numFmt w:val="decimal"/>
      <w:lvlRestart w:val="2"/>
      <w:pStyle w:val="BoxHeading"/>
      <w:lvlText w:val="Box %1%2-%6"/>
      <w:lvlJc w:val="left"/>
      <w:pPr>
        <w:ind w:left="0" w:firstLine="0"/>
      </w:pPr>
      <w:rPr>
        <w:specVanish w:val="0"/>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F146B3F"/>
    <w:multiLevelType w:val="hybridMultilevel"/>
    <w:tmpl w:val="1D7A4612"/>
    <w:lvl w:ilvl="0" w:tplc="DE980AAE">
      <w:numFmt w:val="bullet"/>
      <w:lvlText w:val="-"/>
      <w:lvlJc w:val="left"/>
      <w:pPr>
        <w:ind w:left="360" w:hanging="360"/>
      </w:pPr>
      <w:rPr>
        <w:rFonts w:ascii="Calibri" w:eastAsia="Times New Roman"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4FC57FEE"/>
    <w:multiLevelType w:val="multilevel"/>
    <w:tmpl w:val="D90E9442"/>
    <w:lvl w:ilvl="0">
      <w:start w:val="3"/>
      <w:numFmt w:val="decimal"/>
      <w:lvlText w:val="%1."/>
      <w:lvlJc w:val="left"/>
      <w:pPr>
        <w:ind w:left="0" w:firstLine="0"/>
      </w:pPr>
      <w:rPr>
        <w:rFonts w:hint="default"/>
      </w:rPr>
    </w:lvl>
    <w:lvl w:ilvl="1">
      <w:start w:val="1"/>
      <w:numFmt w:val="upperLetter"/>
      <w:lvlText w:val="%1%2."/>
      <w:lvlJc w:val="left"/>
      <w:pPr>
        <w:ind w:left="0" w:firstLine="0"/>
      </w:pPr>
      <w:rPr>
        <w:rFonts w:hint="default"/>
      </w:rPr>
    </w:lvl>
    <w:lvl w:ilvl="2">
      <w:start w:val="1"/>
      <w:numFmt w:val="decimal"/>
      <w:lvlText w:val="Chart %1%2-%3"/>
      <w:lvlJc w:val="left"/>
      <w:pPr>
        <w:ind w:left="0" w:firstLine="0"/>
      </w:pPr>
      <w:rPr>
        <w:rFonts w:hint="default"/>
      </w:rPr>
    </w:lvl>
    <w:lvl w:ilvl="3">
      <w:start w:val="1"/>
      <w:numFmt w:val="decimal"/>
      <w:lvlRestart w:val="2"/>
      <w:lvlText w:val="Table %1%2-%4"/>
      <w:lvlJc w:val="left"/>
      <w:pPr>
        <w:ind w:left="0" w:firstLine="0"/>
      </w:pPr>
      <w:rPr>
        <w:rFonts w:hint="default"/>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Restart w:val="2"/>
      <w:lvlText w:val="Figure %1%2-%5"/>
      <w:lvlJc w:val="left"/>
      <w:pPr>
        <w:ind w:left="0" w:firstLine="0"/>
      </w:pPr>
      <w:rPr>
        <w:rFonts w:hint="default"/>
      </w:rPr>
    </w:lvl>
    <w:lvl w:ilvl="5">
      <w:start w:val="3"/>
      <w:numFmt w:val="decimal"/>
      <w:lvlText w:val="Box %6-1"/>
      <w:lvlJc w:val="left"/>
      <w:pPr>
        <w:ind w:left="0" w:firstLine="0"/>
      </w:p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10D2021"/>
    <w:multiLevelType w:val="multilevel"/>
    <w:tmpl w:val="72F8140E"/>
    <w:numStyleLink w:val="OutlineList"/>
  </w:abstractNum>
  <w:abstractNum w:abstractNumId="30" w15:restartNumberingAfterBreak="0">
    <w:nsid w:val="53BE79D4"/>
    <w:multiLevelType w:val="multilevel"/>
    <w:tmpl w:val="818C61F4"/>
    <w:name w:val="StandardBulletedList"/>
    <w:lvl w:ilvl="0">
      <w:start w:val="1"/>
      <w:numFmt w:val="bullet"/>
      <w:lvlText w:val="•"/>
      <w:lvlJc w:val="left"/>
      <w:pPr>
        <w:tabs>
          <w:tab w:val="num" w:pos="472"/>
        </w:tabs>
        <w:ind w:left="472" w:hanging="472"/>
      </w:pPr>
      <w:rPr>
        <w:rFonts w:ascii="Times New Roman" w:hAnsi="Times New Roman" w:hint="default"/>
      </w:rPr>
    </w:lvl>
    <w:lvl w:ilvl="1">
      <w:start w:val="1"/>
      <w:numFmt w:val="bullet"/>
      <w:lvlText w:val="–"/>
      <w:lvlJc w:val="left"/>
      <w:pPr>
        <w:tabs>
          <w:tab w:val="num" w:pos="944"/>
        </w:tabs>
        <w:ind w:left="944" w:hanging="472"/>
      </w:pPr>
      <w:rPr>
        <w:rFonts w:ascii="Times New Roman" w:hAnsi="Times New Roman" w:cs="Times New Roman"/>
      </w:rPr>
    </w:lvl>
    <w:lvl w:ilvl="2">
      <w:start w:val="1"/>
      <w:numFmt w:val="bullet"/>
      <w:lvlText w:val=":"/>
      <w:lvlJc w:val="left"/>
      <w:pPr>
        <w:tabs>
          <w:tab w:val="num" w:pos="1416"/>
        </w:tabs>
        <w:ind w:left="1416" w:hanging="472"/>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57F22CD3"/>
    <w:multiLevelType w:val="hybridMultilevel"/>
    <w:tmpl w:val="4F6A2096"/>
    <w:lvl w:ilvl="0" w:tplc="9998E242">
      <w:start w:val="1"/>
      <w:numFmt w:val="decimal"/>
      <w:lvlText w:val="%1."/>
      <w:lvlJc w:val="left"/>
      <w:pPr>
        <w:tabs>
          <w:tab w:val="num" w:pos="720"/>
        </w:tabs>
        <w:ind w:left="720" w:hanging="360"/>
      </w:pPr>
    </w:lvl>
    <w:lvl w:ilvl="1" w:tplc="8FB208FE" w:tentative="1">
      <w:start w:val="1"/>
      <w:numFmt w:val="decimal"/>
      <w:lvlText w:val="%2."/>
      <w:lvlJc w:val="left"/>
      <w:pPr>
        <w:tabs>
          <w:tab w:val="num" w:pos="1440"/>
        </w:tabs>
        <w:ind w:left="1440" w:hanging="360"/>
      </w:pPr>
    </w:lvl>
    <w:lvl w:ilvl="2" w:tplc="6EBC96D2" w:tentative="1">
      <w:start w:val="1"/>
      <w:numFmt w:val="decimal"/>
      <w:lvlText w:val="%3."/>
      <w:lvlJc w:val="left"/>
      <w:pPr>
        <w:tabs>
          <w:tab w:val="num" w:pos="2160"/>
        </w:tabs>
        <w:ind w:left="2160" w:hanging="360"/>
      </w:pPr>
    </w:lvl>
    <w:lvl w:ilvl="3" w:tplc="7F9029F6" w:tentative="1">
      <w:start w:val="1"/>
      <w:numFmt w:val="decimal"/>
      <w:lvlText w:val="%4."/>
      <w:lvlJc w:val="left"/>
      <w:pPr>
        <w:tabs>
          <w:tab w:val="num" w:pos="2880"/>
        </w:tabs>
        <w:ind w:left="2880" w:hanging="360"/>
      </w:pPr>
    </w:lvl>
    <w:lvl w:ilvl="4" w:tplc="2C9CB74C" w:tentative="1">
      <w:start w:val="1"/>
      <w:numFmt w:val="decimal"/>
      <w:lvlText w:val="%5."/>
      <w:lvlJc w:val="left"/>
      <w:pPr>
        <w:tabs>
          <w:tab w:val="num" w:pos="3600"/>
        </w:tabs>
        <w:ind w:left="3600" w:hanging="360"/>
      </w:pPr>
    </w:lvl>
    <w:lvl w:ilvl="5" w:tplc="9140C99A" w:tentative="1">
      <w:start w:val="1"/>
      <w:numFmt w:val="decimal"/>
      <w:lvlText w:val="%6."/>
      <w:lvlJc w:val="left"/>
      <w:pPr>
        <w:tabs>
          <w:tab w:val="num" w:pos="4320"/>
        </w:tabs>
        <w:ind w:left="4320" w:hanging="360"/>
      </w:pPr>
    </w:lvl>
    <w:lvl w:ilvl="6" w:tplc="CAD61000" w:tentative="1">
      <w:start w:val="1"/>
      <w:numFmt w:val="decimal"/>
      <w:lvlText w:val="%7."/>
      <w:lvlJc w:val="left"/>
      <w:pPr>
        <w:tabs>
          <w:tab w:val="num" w:pos="5040"/>
        </w:tabs>
        <w:ind w:left="5040" w:hanging="360"/>
      </w:pPr>
    </w:lvl>
    <w:lvl w:ilvl="7" w:tplc="2FD67290" w:tentative="1">
      <w:start w:val="1"/>
      <w:numFmt w:val="decimal"/>
      <w:lvlText w:val="%8."/>
      <w:lvlJc w:val="left"/>
      <w:pPr>
        <w:tabs>
          <w:tab w:val="num" w:pos="5760"/>
        </w:tabs>
        <w:ind w:left="5760" w:hanging="360"/>
      </w:pPr>
    </w:lvl>
    <w:lvl w:ilvl="8" w:tplc="8F7E5328" w:tentative="1">
      <w:start w:val="1"/>
      <w:numFmt w:val="decimal"/>
      <w:lvlText w:val="%9."/>
      <w:lvlJc w:val="left"/>
      <w:pPr>
        <w:tabs>
          <w:tab w:val="num" w:pos="6480"/>
        </w:tabs>
        <w:ind w:left="6480" w:hanging="360"/>
      </w:pPr>
    </w:lvl>
  </w:abstractNum>
  <w:abstractNum w:abstractNumId="32" w15:restartNumberingAfterBreak="0">
    <w:nsid w:val="65483C27"/>
    <w:multiLevelType w:val="multilevel"/>
    <w:tmpl w:val="A6E2BC7E"/>
    <w:lvl w:ilvl="0">
      <w:start w:val="1"/>
      <w:numFmt w:val="bullet"/>
      <w:lvlText w:val="•"/>
      <w:lvlJc w:val="left"/>
      <w:pPr>
        <w:tabs>
          <w:tab w:val="num" w:pos="520"/>
        </w:tabs>
        <w:ind w:left="520" w:hanging="520"/>
      </w:pPr>
      <w:rPr>
        <w:rFonts w:ascii="Times New Roman" w:hAnsi="Times New Roman" w:cs="Times New Roman"/>
      </w:rPr>
    </w:lvl>
    <w:lvl w:ilvl="1">
      <w:start w:val="1"/>
      <w:numFmt w:val="bullet"/>
      <w:lvlText w:val="–"/>
      <w:lvlJc w:val="left"/>
      <w:pPr>
        <w:tabs>
          <w:tab w:val="num" w:pos="1040"/>
        </w:tabs>
        <w:ind w:left="1040" w:hanging="520"/>
      </w:pPr>
      <w:rPr>
        <w:rFonts w:ascii="Times New Roman" w:hAnsi="Times New Roman" w:cs="Times New Roman"/>
      </w:rPr>
    </w:lvl>
    <w:lvl w:ilvl="2">
      <w:start w:val="1"/>
      <w:numFmt w:val="bullet"/>
      <w:lvlText w:val=":"/>
      <w:lvlJc w:val="left"/>
      <w:pPr>
        <w:tabs>
          <w:tab w:val="num" w:pos="1560"/>
        </w:tabs>
        <w:ind w:left="1560" w:hanging="520"/>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6BFA12F7"/>
    <w:multiLevelType w:val="multilevel"/>
    <w:tmpl w:val="7026F1A4"/>
    <w:lvl w:ilvl="0">
      <w:start w:val="1"/>
      <w:numFmt w:val="bullet"/>
      <w:lvlText w:val="•"/>
      <w:lvlJc w:val="left"/>
      <w:pPr>
        <w:tabs>
          <w:tab w:val="num" w:pos="520"/>
        </w:tabs>
        <w:ind w:left="520" w:hanging="520"/>
      </w:pPr>
      <w:rPr>
        <w:rFonts w:ascii="Times New Roman" w:hAnsi="Times New Roman" w:cs="Times New Roman"/>
      </w:rPr>
    </w:lvl>
    <w:lvl w:ilvl="1">
      <w:start w:val="1"/>
      <w:numFmt w:val="bullet"/>
      <w:lvlText w:val="–"/>
      <w:lvlJc w:val="left"/>
      <w:pPr>
        <w:tabs>
          <w:tab w:val="num" w:pos="1040"/>
        </w:tabs>
        <w:ind w:left="1040" w:hanging="520"/>
      </w:pPr>
      <w:rPr>
        <w:rFonts w:ascii="Times New Roman" w:hAnsi="Times New Roman" w:cs="Times New Roman"/>
      </w:rPr>
    </w:lvl>
    <w:lvl w:ilvl="2">
      <w:start w:val="1"/>
      <w:numFmt w:val="bullet"/>
      <w:lvlText w:val=":"/>
      <w:lvlJc w:val="left"/>
      <w:pPr>
        <w:tabs>
          <w:tab w:val="num" w:pos="1560"/>
        </w:tabs>
        <w:ind w:left="1560" w:hanging="520"/>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46B7A08"/>
    <w:multiLevelType w:val="hybridMultilevel"/>
    <w:tmpl w:val="A27ABE4A"/>
    <w:lvl w:ilvl="0" w:tplc="D2AE056A">
      <w:start w:val="1"/>
      <w:numFmt w:val="bullet"/>
      <w:lvlText w:val="•"/>
      <w:lvlJc w:val="left"/>
      <w:pPr>
        <w:tabs>
          <w:tab w:val="num" w:pos="360"/>
        </w:tabs>
        <w:ind w:left="360" w:hanging="360"/>
      </w:pPr>
      <w:rPr>
        <w:rFonts w:ascii="Arial" w:hAnsi="Arial" w:hint="default"/>
      </w:rPr>
    </w:lvl>
    <w:lvl w:ilvl="1" w:tplc="FEE677C8">
      <w:start w:val="1"/>
      <w:numFmt w:val="bullet"/>
      <w:lvlText w:val="•"/>
      <w:lvlJc w:val="left"/>
      <w:pPr>
        <w:tabs>
          <w:tab w:val="num" w:pos="1080"/>
        </w:tabs>
        <w:ind w:left="1080" w:hanging="360"/>
      </w:pPr>
      <w:rPr>
        <w:rFonts w:ascii="Arial" w:hAnsi="Arial" w:hint="default"/>
      </w:rPr>
    </w:lvl>
    <w:lvl w:ilvl="2" w:tplc="9DCC1DDE">
      <w:start w:val="1"/>
      <w:numFmt w:val="bullet"/>
      <w:lvlText w:val="•"/>
      <w:lvlJc w:val="left"/>
      <w:pPr>
        <w:tabs>
          <w:tab w:val="num" w:pos="1800"/>
        </w:tabs>
        <w:ind w:left="1800" w:hanging="360"/>
      </w:pPr>
      <w:rPr>
        <w:rFonts w:ascii="Arial" w:hAnsi="Arial" w:hint="default"/>
      </w:rPr>
    </w:lvl>
    <w:lvl w:ilvl="3" w:tplc="3FDC6ABE">
      <w:start w:val="1"/>
      <w:numFmt w:val="bullet"/>
      <w:lvlText w:val="•"/>
      <w:lvlJc w:val="left"/>
      <w:pPr>
        <w:tabs>
          <w:tab w:val="num" w:pos="2520"/>
        </w:tabs>
        <w:ind w:left="2520" w:hanging="360"/>
      </w:pPr>
      <w:rPr>
        <w:rFonts w:ascii="Arial" w:hAnsi="Arial" w:hint="default"/>
      </w:rPr>
    </w:lvl>
    <w:lvl w:ilvl="4" w:tplc="93D2707A">
      <w:start w:val="1"/>
      <w:numFmt w:val="bullet"/>
      <w:lvlText w:val="•"/>
      <w:lvlJc w:val="left"/>
      <w:pPr>
        <w:tabs>
          <w:tab w:val="num" w:pos="3240"/>
        </w:tabs>
        <w:ind w:left="3240" w:hanging="360"/>
      </w:pPr>
      <w:rPr>
        <w:rFonts w:ascii="Arial" w:hAnsi="Arial" w:hint="default"/>
      </w:rPr>
    </w:lvl>
    <w:lvl w:ilvl="5" w:tplc="934C4116">
      <w:start w:val="1"/>
      <w:numFmt w:val="bullet"/>
      <w:lvlText w:val="•"/>
      <w:lvlJc w:val="left"/>
      <w:pPr>
        <w:tabs>
          <w:tab w:val="num" w:pos="3960"/>
        </w:tabs>
        <w:ind w:left="3960" w:hanging="360"/>
      </w:pPr>
      <w:rPr>
        <w:rFonts w:ascii="Arial" w:hAnsi="Arial" w:hint="default"/>
      </w:rPr>
    </w:lvl>
    <w:lvl w:ilvl="6" w:tplc="747C44BA">
      <w:start w:val="1"/>
      <w:numFmt w:val="bullet"/>
      <w:lvlText w:val="•"/>
      <w:lvlJc w:val="left"/>
      <w:pPr>
        <w:tabs>
          <w:tab w:val="num" w:pos="4680"/>
        </w:tabs>
        <w:ind w:left="4680" w:hanging="360"/>
      </w:pPr>
      <w:rPr>
        <w:rFonts w:ascii="Arial" w:hAnsi="Arial" w:hint="default"/>
      </w:rPr>
    </w:lvl>
    <w:lvl w:ilvl="7" w:tplc="E15E4E74">
      <w:start w:val="1"/>
      <w:numFmt w:val="bullet"/>
      <w:lvlText w:val="•"/>
      <w:lvlJc w:val="left"/>
      <w:pPr>
        <w:tabs>
          <w:tab w:val="num" w:pos="5400"/>
        </w:tabs>
        <w:ind w:left="5400" w:hanging="360"/>
      </w:pPr>
      <w:rPr>
        <w:rFonts w:ascii="Arial" w:hAnsi="Arial" w:hint="default"/>
      </w:rPr>
    </w:lvl>
    <w:lvl w:ilvl="8" w:tplc="1D361544">
      <w:start w:val="1"/>
      <w:numFmt w:val="bullet"/>
      <w:lvlText w:val="•"/>
      <w:lvlJc w:val="left"/>
      <w:pPr>
        <w:tabs>
          <w:tab w:val="num" w:pos="6120"/>
        </w:tabs>
        <w:ind w:left="6120" w:hanging="360"/>
      </w:pPr>
      <w:rPr>
        <w:rFonts w:ascii="Arial" w:hAnsi="Arial" w:hint="default"/>
      </w:rPr>
    </w:lvl>
  </w:abstractNum>
  <w:abstractNum w:abstractNumId="35" w15:restartNumberingAfterBreak="0">
    <w:nsid w:val="75A74E5C"/>
    <w:multiLevelType w:val="multilevel"/>
    <w:tmpl w:val="3E9EAFF0"/>
    <w:lvl w:ilvl="0">
      <w:start w:val="5"/>
      <w:numFmt w:val="decimal"/>
      <w:lvlText w:val="%1."/>
      <w:lvlJc w:val="left"/>
      <w:rPr>
        <w:rFonts w:cs="Times New Roman" w:hint="default"/>
      </w:rPr>
    </w:lvl>
    <w:lvl w:ilvl="1">
      <w:start w:val="2"/>
      <w:numFmt w:val="upperLetter"/>
      <w:lvlText w:val="%1%2"/>
      <w:lvlJc w:val="left"/>
      <w:rPr>
        <w:rFonts w:cs="Times New Roman" w:hint="default"/>
      </w:rPr>
    </w:lvl>
    <w:lvl w:ilvl="2">
      <w:start w:val="1"/>
      <w:numFmt w:val="decimal"/>
      <w:lvlText w:val="Chart %1%2-%3"/>
      <w:lvlJc w:val="left"/>
      <w:rPr>
        <w:rFonts w:cs="Times New Roman" w:hint="default"/>
      </w:rPr>
    </w:lvl>
    <w:lvl w:ilvl="3">
      <w:start w:val="1"/>
      <w:numFmt w:val="decimal"/>
      <w:lvlRestart w:val="0"/>
      <w:lvlText w:val="Table %1%2-%4"/>
      <w:lvlJc w:val="left"/>
      <w:rPr>
        <w:rFonts w:cs="Times New Roman" w:hint="default"/>
        <w:bCs w:val="0"/>
        <w:i w:val="0"/>
        <w:iCs w:val="0"/>
        <w:caps w:val="0"/>
        <w:smallCaps w:val="0"/>
        <w:strike w:val="0"/>
        <w:dstrike w:val="0"/>
        <w:vanish w:val="0"/>
        <w:color w:val="000000"/>
        <w:spacing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0"/>
      <w:lvlText w:val="Figure %1%2-%5"/>
      <w:lvlJc w:val="left"/>
      <w:rPr>
        <w:rFonts w:cs="Times New Roman" w:hint="default"/>
      </w:rPr>
    </w:lvl>
    <w:lvl w:ilvl="5">
      <w:start w:val="1"/>
      <w:numFmt w:val="none"/>
      <w:lvlRestart w:val="0"/>
      <w:lvlText w:val="Box %1%2-%3"/>
      <w:lvlJc w:val="left"/>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6" w15:restartNumberingAfterBreak="0">
    <w:nsid w:val="7AFA2571"/>
    <w:multiLevelType w:val="hybridMultilevel"/>
    <w:tmpl w:val="11043C04"/>
    <w:lvl w:ilvl="0" w:tplc="65C26096">
      <w:start w:val="1"/>
      <w:numFmt w:val="decimal"/>
      <w:pStyle w:val="OverviewTableHeading"/>
      <w:lvlText w:val="Table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6"/>
  </w:num>
  <w:num w:numId="2">
    <w:abstractNumId w:val="3"/>
  </w:num>
  <w:num w:numId="3">
    <w:abstractNumId w:val="19"/>
  </w:num>
  <w:num w:numId="4">
    <w:abstractNumId w:val="9"/>
  </w:num>
  <w:num w:numId="5">
    <w:abstractNumId w:val="12"/>
  </w:num>
  <w:num w:numId="6">
    <w:abstractNumId w:val="29"/>
    <w:lvlOverride w:ilvl="0">
      <w:lvl w:ilvl="0">
        <w:start w:val="1"/>
        <w:numFmt w:val="decimal"/>
        <w:lvlText w:val="%1."/>
        <w:lvlJc w:val="left"/>
        <w:pPr>
          <w:tabs>
            <w:tab w:val="num" w:pos="851"/>
          </w:tabs>
          <w:ind w:left="851" w:hanging="851"/>
        </w:pPr>
        <w:rPr>
          <w:rFonts w:hint="default"/>
        </w:rPr>
      </w:lvl>
    </w:lvlOverride>
    <w:lvlOverride w:ilvl="1">
      <w:lvl w:ilvl="1">
        <w:start w:val="1"/>
        <w:numFmt w:val="decimal"/>
        <w:pStyle w:val="OutlineNumbered2"/>
        <w:lvlText w:val="%1.%2"/>
        <w:lvlJc w:val="left"/>
        <w:pPr>
          <w:tabs>
            <w:tab w:val="num" w:pos="1134"/>
          </w:tabs>
          <w:ind w:left="1134" w:hanging="1134"/>
        </w:pPr>
        <w:rPr>
          <w:rFonts w:hint="default"/>
        </w:rPr>
      </w:lvl>
    </w:lvlOverride>
    <w:lvlOverride w:ilvl="2">
      <w:lvl w:ilvl="2">
        <w:start w:val="1"/>
        <w:numFmt w:val="decimal"/>
        <w:pStyle w:val="OutlineNumbered3"/>
        <w:lvlText w:val="%1.%2.%3"/>
        <w:lvlJc w:val="left"/>
        <w:pPr>
          <w:tabs>
            <w:tab w:val="num" w:pos="1418"/>
          </w:tabs>
          <w:ind w:left="1418" w:hanging="1418"/>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7">
    <w:abstractNumId w:val="13"/>
  </w:num>
  <w:num w:numId="8">
    <w:abstractNumId w:val="15"/>
  </w:num>
  <w:num w:numId="9">
    <w:abstractNumId w:val="18"/>
  </w:num>
  <w:num w:numId="10">
    <w:abstractNumId w:val="27"/>
  </w:num>
  <w:num w:numId="11">
    <w:abstractNumId w:val="34"/>
  </w:num>
  <w:num w:numId="12">
    <w:abstractNumId w:val="17"/>
  </w:num>
  <w:num w:numId="13">
    <w:abstractNumId w:val="26"/>
  </w:num>
  <w:num w:numId="14">
    <w:abstractNumId w:val="6"/>
  </w:num>
  <w:num w:numId="15">
    <w:abstractNumId w:val="7"/>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2"/>
  </w:num>
  <w:num w:numId="20">
    <w:abstractNumId w:val="26"/>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33"/>
  </w:num>
  <w:num w:numId="25">
    <w:abstractNumId w:val="2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lvl w:ilvl="0">
        <w:start w:val="2"/>
        <w:numFmt w:val="decimal"/>
        <w:pStyle w:val="Chapterheading"/>
        <w:lvlText w:val="%1."/>
        <w:lvlJc w:val="left"/>
        <w:pPr>
          <w:ind w:left="2268" w:firstLine="0"/>
        </w:pPr>
        <w:rPr>
          <w:rFonts w:hint="default"/>
        </w:rPr>
      </w:lvl>
    </w:lvlOverride>
    <w:lvlOverride w:ilvl="1">
      <w:lvl w:ilvl="1">
        <w:start w:val="1"/>
        <w:numFmt w:val="upperLetter"/>
        <w:pStyle w:val="Heading1"/>
        <w:lvlText w:val="%1%2"/>
        <w:lvlJc w:val="left"/>
        <w:pPr>
          <w:ind w:left="0" w:firstLine="0"/>
        </w:pPr>
        <w:rPr>
          <w:rFonts w:hint="default"/>
        </w:rPr>
      </w:lvl>
    </w:lvlOverride>
    <w:lvlOverride w:ilvl="2">
      <w:lvl w:ilvl="2">
        <w:start w:val="1"/>
        <w:numFmt w:val="decimal"/>
        <w:pStyle w:val="ChartMainHeading"/>
        <w:lvlText w:val="Chart %1%2-%3"/>
        <w:lvlJc w:val="left"/>
        <w:pPr>
          <w:ind w:left="0" w:firstLine="0"/>
        </w:pPr>
        <w:rPr>
          <w:rFonts w:hint="default"/>
        </w:rPr>
      </w:lvl>
    </w:lvlOverride>
    <w:lvlOverride w:ilvl="3">
      <w:lvl w:ilvl="3">
        <w:start w:val="1"/>
        <w:numFmt w:val="decimal"/>
        <w:lvlRestart w:val="2"/>
        <w:pStyle w:val="TableMainHeading"/>
        <w:lvlText w:val="Table %1%2-%4"/>
        <w:lvlJc w:val="left"/>
        <w:pPr>
          <w:ind w:left="0" w:firstLine="0"/>
        </w:pPr>
        <w:rPr>
          <w:rFonts w:hint="default"/>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4">
      <w:lvl w:ilvl="4">
        <w:start w:val="1"/>
        <w:numFmt w:val="decimal"/>
        <w:lvlRestart w:val="2"/>
        <w:pStyle w:val="FigureHeading"/>
        <w:lvlText w:val="Figure %1%2-%5"/>
        <w:lvlJc w:val="left"/>
        <w:pPr>
          <w:ind w:left="0" w:firstLine="0"/>
        </w:pPr>
        <w:rPr>
          <w:rFonts w:hint="default"/>
        </w:rPr>
      </w:lvl>
    </w:lvlOverride>
    <w:lvlOverride w:ilvl="5">
      <w:lvl w:ilvl="5">
        <w:start w:val="1"/>
        <w:numFmt w:val="decimal"/>
        <w:lvlRestart w:val="2"/>
        <w:pStyle w:val="BoxHeading"/>
        <w:lvlText w:val="Box %1%2-%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7">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5"/>
  </w:num>
  <w:num w:numId="34">
    <w:abstractNumId w:val="3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2"/>
  </w:num>
  <w:num w:numId="42">
    <w:abstractNumId w:val="23"/>
  </w:num>
  <w:num w:numId="43">
    <w:abstractNumId w:val="21"/>
  </w:num>
  <w:num w:numId="44">
    <w:abstractNumId w:val="11"/>
  </w:num>
  <w:num w:numId="45">
    <w:abstractNumId w:val="28"/>
  </w:num>
  <w:num w:numId="46">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1"/>
  </w:num>
  <w:num w:numId="53">
    <w:abstractNumId w:val="24"/>
  </w:num>
  <w:num w:numId="54">
    <w:abstractNumId w:val="0"/>
  </w:num>
  <w:num w:numId="55">
    <w:abstractNumId w:val="26"/>
    <w:lvlOverride w:ilvl="0">
      <w:startOverride w:val="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6"/>
    <w:lvlOverride w:ilvl="0">
      <w:lvl w:ilvl="0">
        <w:start w:val="1"/>
        <w:numFmt w:val="bullet"/>
        <w:lvlRestart w:val="0"/>
        <w:pStyle w:val="Bullet"/>
        <w:lvlText w:val="•"/>
        <w:lvlJc w:val="left"/>
        <w:pPr>
          <w:tabs>
            <w:tab w:val="num" w:pos="283"/>
          </w:tabs>
          <w:ind w:left="283" w:hanging="283"/>
        </w:pPr>
        <w:rPr>
          <w:rFonts w:ascii="Times New Roman" w:hAnsi="Times New Roman" w:cs="Times New Roman" w:hint="default"/>
          <w:b/>
          <w:i w:val="0"/>
        </w:rPr>
      </w:lvl>
    </w:lvlOverride>
  </w:num>
  <w:num w:numId="58">
    <w:abstractNumId w:val="26"/>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2"/>
  </w:num>
  <w:num w:numId="6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6"/>
  </w:num>
  <w:num w:numId="67">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
  </w:num>
  <w:num w:numId="76">
    <w:abstractNumId w:val="4"/>
    <w:lvlOverride w:ilvl="0">
      <w:startOverride w:val="1"/>
    </w:lvlOverride>
  </w:num>
  <w:num w:numId="77">
    <w:abstractNumId w:val="36"/>
  </w:num>
  <w:num w:numId="78">
    <w:abstractNumId w:val="4"/>
    <w:lvlOverride w:ilvl="0">
      <w:startOverride w:val="1"/>
    </w:lvlOverride>
  </w:num>
  <w:num w:numId="79">
    <w:abstractNumId w:val="4"/>
    <w:lvlOverride w:ilvl="0">
      <w:startOverride w:val="1"/>
    </w:lvlOverride>
  </w:num>
  <w:num w:numId="80">
    <w:abstractNumId w:val="4"/>
    <w:lvlOverride w:ilvl="0">
      <w:startOverride w:val="1"/>
    </w:lvlOverride>
  </w:num>
  <w:num w:numId="81">
    <w:abstractNumId w:val="4"/>
    <w:lvlOverride w:ilvl="0">
      <w:startOverride w:val="1"/>
    </w:lvlOverride>
  </w:num>
  <w:num w:numId="82">
    <w:abstractNumId w:val="4"/>
    <w:lvlOverride w:ilvl="0">
      <w:startOverride w:val="1"/>
    </w:lvlOverride>
  </w:num>
  <w:num w:numId="83">
    <w:abstractNumId w:val="4"/>
    <w:lvlOverride w:ilvl="0">
      <w:startOverride w:val="1"/>
    </w:lvlOverride>
  </w:num>
  <w:num w:numId="84">
    <w:abstractNumId w:val="4"/>
    <w:lvlOverride w:ilvl="0">
      <w:startOverride w:val="1"/>
    </w:lvlOverride>
  </w:num>
  <w:num w:numId="85">
    <w:abstractNumId w:val="4"/>
    <w:lvlOverride w:ilvl="0">
      <w:startOverride w:val="1"/>
    </w:lvlOverride>
  </w:num>
  <w:num w:numId="86">
    <w:abstractNumId w:val="4"/>
    <w:lvlOverride w:ilvl="0">
      <w:startOverride w:val="1"/>
    </w:lvlOverride>
  </w:num>
  <w:num w:numId="87">
    <w:abstractNumId w:val="4"/>
    <w:lvlOverride w:ilvl="0">
      <w:startOverride w:val="1"/>
    </w:lvlOverride>
  </w:num>
  <w:num w:numId="88">
    <w:abstractNumId w:val="4"/>
    <w:lvlOverride w:ilvl="0">
      <w:startOverride w:val="1"/>
    </w:lvlOverride>
  </w:num>
  <w:num w:numId="89">
    <w:abstractNumId w:val="4"/>
    <w:lvlOverride w:ilvl="0">
      <w:startOverride w:val="1"/>
    </w:lvlOverride>
  </w:num>
  <w:num w:numId="90">
    <w:abstractNumId w:val="4"/>
    <w:lvlOverride w:ilvl="0">
      <w:startOverride w:val="1"/>
    </w:lvlOverride>
  </w:num>
  <w:num w:numId="91">
    <w:abstractNumId w:val="4"/>
    <w:lvlOverride w:ilvl="0">
      <w:startOverride w:val="1"/>
    </w:lvlOverride>
  </w:num>
  <w:num w:numId="92">
    <w:abstractNumId w:val="4"/>
    <w:lvlOverride w:ilvl="0">
      <w:startOverride w:val="1"/>
    </w:lvlOverride>
  </w:num>
  <w:num w:numId="93">
    <w:abstractNumId w:val="4"/>
    <w:lvlOverride w:ilvl="0">
      <w:startOverride w:val="1"/>
    </w:lvlOverride>
  </w:num>
  <w:num w:numId="94">
    <w:abstractNumId w:val="10"/>
  </w:num>
  <w:num w:numId="95">
    <w:abstractNumId w:val="4"/>
    <w:lvlOverride w:ilvl="0">
      <w:startOverride w:val="1"/>
    </w:lvlOverride>
  </w:num>
  <w:num w:numId="96">
    <w:abstractNumId w:val="4"/>
    <w:lvlOverride w:ilvl="0">
      <w:startOverride w:val="1"/>
    </w:lvlOverride>
  </w:num>
  <w:num w:numId="97">
    <w:abstractNumId w:val="4"/>
    <w:lvlOverride w:ilvl="0">
      <w:startOverride w:val="1"/>
    </w:lvlOverride>
  </w:num>
  <w:num w:numId="98">
    <w:abstractNumId w:val="4"/>
    <w:lvlOverride w:ilvl="0">
      <w:startOverride w:val="1"/>
    </w:lvlOverride>
  </w:num>
  <w:num w:numId="99">
    <w:abstractNumId w:val="4"/>
    <w:lvlOverride w:ilvl="0">
      <w:startOverride w:val="1"/>
    </w:lvlOverride>
  </w:num>
  <w:num w:numId="100">
    <w:abstractNumId w:val="4"/>
    <w:lvlOverride w:ilvl="0">
      <w:startOverride w:val="1"/>
    </w:lvlOverride>
  </w:num>
  <w:num w:numId="101">
    <w:abstractNumId w:val="4"/>
    <w:lvlOverride w:ilvl="0">
      <w:startOverride w:val="1"/>
    </w:lvlOverride>
  </w:num>
  <w:num w:numId="102">
    <w:abstractNumId w:val="4"/>
    <w:lvlOverride w:ilvl="0">
      <w:startOverride w:val="1"/>
    </w:lvlOverride>
  </w:num>
  <w:num w:numId="103">
    <w:abstractNumId w:val="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4"/>
    <w:lvlOverride w:ilvl="0">
      <w:startOverride w:val="1"/>
    </w:lvlOverride>
  </w:num>
  <w:num w:numId="105">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6"/>
  </w:num>
  <w:num w:numId="116">
    <w:abstractNumId w:val="2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6"/>
  </w:num>
  <w:num w:numId="118">
    <w:abstractNumId w:val="3"/>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SpellingErrors/>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ttachedTemplate r:id="rId1"/>
  <w:defaultTabStop w:val="720"/>
  <w:evenAndOddHeaders/>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C2A"/>
    <w:rsid w:val="000019D6"/>
    <w:rsid w:val="00003999"/>
    <w:rsid w:val="00004C37"/>
    <w:rsid w:val="000050A8"/>
    <w:rsid w:val="0000551B"/>
    <w:rsid w:val="00006C63"/>
    <w:rsid w:val="000104A2"/>
    <w:rsid w:val="00010DDE"/>
    <w:rsid w:val="000115A8"/>
    <w:rsid w:val="00011725"/>
    <w:rsid w:val="00011FDF"/>
    <w:rsid w:val="0001221A"/>
    <w:rsid w:val="00012C62"/>
    <w:rsid w:val="0001396A"/>
    <w:rsid w:val="00015F12"/>
    <w:rsid w:val="000169E2"/>
    <w:rsid w:val="00016EA8"/>
    <w:rsid w:val="00016F09"/>
    <w:rsid w:val="00021BA7"/>
    <w:rsid w:val="00021D2C"/>
    <w:rsid w:val="000228D0"/>
    <w:rsid w:val="00022C2A"/>
    <w:rsid w:val="0002544D"/>
    <w:rsid w:val="0002589F"/>
    <w:rsid w:val="000262DA"/>
    <w:rsid w:val="00026BF2"/>
    <w:rsid w:val="00027624"/>
    <w:rsid w:val="00027CCB"/>
    <w:rsid w:val="000307BF"/>
    <w:rsid w:val="0003089E"/>
    <w:rsid w:val="00033F2F"/>
    <w:rsid w:val="00034F8D"/>
    <w:rsid w:val="00037E9B"/>
    <w:rsid w:val="00041075"/>
    <w:rsid w:val="000416ED"/>
    <w:rsid w:val="0004274D"/>
    <w:rsid w:val="00043348"/>
    <w:rsid w:val="000444B6"/>
    <w:rsid w:val="0004483F"/>
    <w:rsid w:val="00044AD4"/>
    <w:rsid w:val="00046A94"/>
    <w:rsid w:val="0005138B"/>
    <w:rsid w:val="000522B7"/>
    <w:rsid w:val="000527D4"/>
    <w:rsid w:val="00053F72"/>
    <w:rsid w:val="00054164"/>
    <w:rsid w:val="00054173"/>
    <w:rsid w:val="000542FB"/>
    <w:rsid w:val="00056880"/>
    <w:rsid w:val="00056959"/>
    <w:rsid w:val="00062066"/>
    <w:rsid w:val="0006635D"/>
    <w:rsid w:val="000675D1"/>
    <w:rsid w:val="000700B0"/>
    <w:rsid w:val="00071992"/>
    <w:rsid w:val="0007307B"/>
    <w:rsid w:val="00073521"/>
    <w:rsid w:val="00073FF6"/>
    <w:rsid w:val="000747E4"/>
    <w:rsid w:val="00075259"/>
    <w:rsid w:val="00075E76"/>
    <w:rsid w:val="000765DF"/>
    <w:rsid w:val="00077549"/>
    <w:rsid w:val="000775DE"/>
    <w:rsid w:val="000778B9"/>
    <w:rsid w:val="00077B01"/>
    <w:rsid w:val="0008313D"/>
    <w:rsid w:val="000853C8"/>
    <w:rsid w:val="000860B1"/>
    <w:rsid w:val="00087632"/>
    <w:rsid w:val="00087FAF"/>
    <w:rsid w:val="000900F1"/>
    <w:rsid w:val="00090B86"/>
    <w:rsid w:val="0009433B"/>
    <w:rsid w:val="00096004"/>
    <w:rsid w:val="000979D7"/>
    <w:rsid w:val="000A2965"/>
    <w:rsid w:val="000A5461"/>
    <w:rsid w:val="000A5DC3"/>
    <w:rsid w:val="000A6855"/>
    <w:rsid w:val="000A7644"/>
    <w:rsid w:val="000A7E4F"/>
    <w:rsid w:val="000B0B3B"/>
    <w:rsid w:val="000B0BF3"/>
    <w:rsid w:val="000B19BA"/>
    <w:rsid w:val="000B1EF9"/>
    <w:rsid w:val="000B4B2F"/>
    <w:rsid w:val="000B5A06"/>
    <w:rsid w:val="000B611E"/>
    <w:rsid w:val="000B6C94"/>
    <w:rsid w:val="000C152E"/>
    <w:rsid w:val="000C2555"/>
    <w:rsid w:val="000C42F1"/>
    <w:rsid w:val="000C571D"/>
    <w:rsid w:val="000C5F40"/>
    <w:rsid w:val="000C7212"/>
    <w:rsid w:val="000C74E4"/>
    <w:rsid w:val="000C7670"/>
    <w:rsid w:val="000D0851"/>
    <w:rsid w:val="000D1BCF"/>
    <w:rsid w:val="000D223B"/>
    <w:rsid w:val="000D24F2"/>
    <w:rsid w:val="000D2C45"/>
    <w:rsid w:val="000D34E0"/>
    <w:rsid w:val="000D3F21"/>
    <w:rsid w:val="000D7EA0"/>
    <w:rsid w:val="000E0B74"/>
    <w:rsid w:val="000E150D"/>
    <w:rsid w:val="000E170B"/>
    <w:rsid w:val="000E3BF2"/>
    <w:rsid w:val="000E41B3"/>
    <w:rsid w:val="000E4217"/>
    <w:rsid w:val="000E4E47"/>
    <w:rsid w:val="000E51D1"/>
    <w:rsid w:val="000E5898"/>
    <w:rsid w:val="000E6A55"/>
    <w:rsid w:val="000E7901"/>
    <w:rsid w:val="000F1C77"/>
    <w:rsid w:val="000F1E09"/>
    <w:rsid w:val="000F2751"/>
    <w:rsid w:val="000F30E0"/>
    <w:rsid w:val="000F3B19"/>
    <w:rsid w:val="000F5652"/>
    <w:rsid w:val="000F6C72"/>
    <w:rsid w:val="00100B14"/>
    <w:rsid w:val="00101251"/>
    <w:rsid w:val="0010191F"/>
    <w:rsid w:val="001023AA"/>
    <w:rsid w:val="001031C5"/>
    <w:rsid w:val="0010366F"/>
    <w:rsid w:val="00104167"/>
    <w:rsid w:val="00104393"/>
    <w:rsid w:val="00104432"/>
    <w:rsid w:val="0010467B"/>
    <w:rsid w:val="00104DA5"/>
    <w:rsid w:val="001108C6"/>
    <w:rsid w:val="00111CF7"/>
    <w:rsid w:val="00111D61"/>
    <w:rsid w:val="001142A0"/>
    <w:rsid w:val="00114573"/>
    <w:rsid w:val="00115647"/>
    <w:rsid w:val="00115822"/>
    <w:rsid w:val="00115A8A"/>
    <w:rsid w:val="00117102"/>
    <w:rsid w:val="0011714A"/>
    <w:rsid w:val="00121600"/>
    <w:rsid w:val="0012231D"/>
    <w:rsid w:val="00130223"/>
    <w:rsid w:val="00130691"/>
    <w:rsid w:val="00131509"/>
    <w:rsid w:val="0013160F"/>
    <w:rsid w:val="00131B69"/>
    <w:rsid w:val="00131DC3"/>
    <w:rsid w:val="0013253B"/>
    <w:rsid w:val="001341CA"/>
    <w:rsid w:val="00135E4C"/>
    <w:rsid w:val="001373F5"/>
    <w:rsid w:val="00137EAB"/>
    <w:rsid w:val="00140525"/>
    <w:rsid w:val="00140A9A"/>
    <w:rsid w:val="00140F2E"/>
    <w:rsid w:val="00141510"/>
    <w:rsid w:val="00142ED8"/>
    <w:rsid w:val="00143018"/>
    <w:rsid w:val="00143592"/>
    <w:rsid w:val="00143896"/>
    <w:rsid w:val="00143D10"/>
    <w:rsid w:val="00144758"/>
    <w:rsid w:val="00145B8A"/>
    <w:rsid w:val="00147016"/>
    <w:rsid w:val="001472B5"/>
    <w:rsid w:val="00151207"/>
    <w:rsid w:val="00151599"/>
    <w:rsid w:val="00152A34"/>
    <w:rsid w:val="00154199"/>
    <w:rsid w:val="001558A5"/>
    <w:rsid w:val="0015627F"/>
    <w:rsid w:val="00156EB4"/>
    <w:rsid w:val="001574C0"/>
    <w:rsid w:val="00160509"/>
    <w:rsid w:val="001606CF"/>
    <w:rsid w:val="0016128D"/>
    <w:rsid w:val="00161757"/>
    <w:rsid w:val="00161C67"/>
    <w:rsid w:val="0016495E"/>
    <w:rsid w:val="00167062"/>
    <w:rsid w:val="0016777F"/>
    <w:rsid w:val="0017089D"/>
    <w:rsid w:val="00171BEA"/>
    <w:rsid w:val="00172675"/>
    <w:rsid w:val="00172850"/>
    <w:rsid w:val="001730B3"/>
    <w:rsid w:val="001748D1"/>
    <w:rsid w:val="00174FDE"/>
    <w:rsid w:val="00176F23"/>
    <w:rsid w:val="0018070C"/>
    <w:rsid w:val="00182DD4"/>
    <w:rsid w:val="001830D8"/>
    <w:rsid w:val="00185891"/>
    <w:rsid w:val="00185E19"/>
    <w:rsid w:val="0019029D"/>
    <w:rsid w:val="0019101A"/>
    <w:rsid w:val="00192428"/>
    <w:rsid w:val="0019264C"/>
    <w:rsid w:val="00192F4E"/>
    <w:rsid w:val="00194120"/>
    <w:rsid w:val="00194B81"/>
    <w:rsid w:val="0019608D"/>
    <w:rsid w:val="0019683A"/>
    <w:rsid w:val="00196A04"/>
    <w:rsid w:val="001972D2"/>
    <w:rsid w:val="001A0002"/>
    <w:rsid w:val="001A0DA5"/>
    <w:rsid w:val="001A201C"/>
    <w:rsid w:val="001A24C1"/>
    <w:rsid w:val="001A25CB"/>
    <w:rsid w:val="001A3A11"/>
    <w:rsid w:val="001A64AD"/>
    <w:rsid w:val="001A658A"/>
    <w:rsid w:val="001A79F4"/>
    <w:rsid w:val="001B0D35"/>
    <w:rsid w:val="001B2F79"/>
    <w:rsid w:val="001B3188"/>
    <w:rsid w:val="001B3564"/>
    <w:rsid w:val="001B67E8"/>
    <w:rsid w:val="001B6C0B"/>
    <w:rsid w:val="001B70E2"/>
    <w:rsid w:val="001C013E"/>
    <w:rsid w:val="001C1786"/>
    <w:rsid w:val="001C358D"/>
    <w:rsid w:val="001C3920"/>
    <w:rsid w:val="001C5312"/>
    <w:rsid w:val="001C586A"/>
    <w:rsid w:val="001D1901"/>
    <w:rsid w:val="001D1C98"/>
    <w:rsid w:val="001D2810"/>
    <w:rsid w:val="001D389B"/>
    <w:rsid w:val="001D5F3D"/>
    <w:rsid w:val="001E0141"/>
    <w:rsid w:val="001E0F26"/>
    <w:rsid w:val="001E2CEB"/>
    <w:rsid w:val="001E3AAA"/>
    <w:rsid w:val="001E724C"/>
    <w:rsid w:val="001E79D2"/>
    <w:rsid w:val="001F08BC"/>
    <w:rsid w:val="001F1B27"/>
    <w:rsid w:val="001F1DF9"/>
    <w:rsid w:val="001F2795"/>
    <w:rsid w:val="001F3109"/>
    <w:rsid w:val="001F5DDF"/>
    <w:rsid w:val="001F6124"/>
    <w:rsid w:val="001F688C"/>
    <w:rsid w:val="001F68A5"/>
    <w:rsid w:val="001F7846"/>
    <w:rsid w:val="002066B5"/>
    <w:rsid w:val="00207D72"/>
    <w:rsid w:val="002101DA"/>
    <w:rsid w:val="00210A54"/>
    <w:rsid w:val="00212D2F"/>
    <w:rsid w:val="002160C5"/>
    <w:rsid w:val="002163BA"/>
    <w:rsid w:val="002164FC"/>
    <w:rsid w:val="0021689F"/>
    <w:rsid w:val="0021769A"/>
    <w:rsid w:val="00221EC0"/>
    <w:rsid w:val="002224A2"/>
    <w:rsid w:val="0022347E"/>
    <w:rsid w:val="00223830"/>
    <w:rsid w:val="00225C34"/>
    <w:rsid w:val="00226C3D"/>
    <w:rsid w:val="00231049"/>
    <w:rsid w:val="0023126C"/>
    <w:rsid w:val="002314D2"/>
    <w:rsid w:val="00232C88"/>
    <w:rsid w:val="0023305C"/>
    <w:rsid w:val="00233EEF"/>
    <w:rsid w:val="002342BD"/>
    <w:rsid w:val="002368C3"/>
    <w:rsid w:val="00240721"/>
    <w:rsid w:val="0024108E"/>
    <w:rsid w:val="00241510"/>
    <w:rsid w:val="00241881"/>
    <w:rsid w:val="0024294C"/>
    <w:rsid w:val="00244CAD"/>
    <w:rsid w:val="00246411"/>
    <w:rsid w:val="002471D4"/>
    <w:rsid w:val="00247CD3"/>
    <w:rsid w:val="0025074B"/>
    <w:rsid w:val="00251628"/>
    <w:rsid w:val="00251906"/>
    <w:rsid w:val="00251FE0"/>
    <w:rsid w:val="002528C1"/>
    <w:rsid w:val="00253916"/>
    <w:rsid w:val="00254DCC"/>
    <w:rsid w:val="0025652F"/>
    <w:rsid w:val="00260692"/>
    <w:rsid w:val="00261483"/>
    <w:rsid w:val="0026181F"/>
    <w:rsid w:val="002629D9"/>
    <w:rsid w:val="00262E42"/>
    <w:rsid w:val="00263B6C"/>
    <w:rsid w:val="00264EED"/>
    <w:rsid w:val="00265EF4"/>
    <w:rsid w:val="002701AC"/>
    <w:rsid w:val="0027057A"/>
    <w:rsid w:val="002713F3"/>
    <w:rsid w:val="002714AD"/>
    <w:rsid w:val="002727FD"/>
    <w:rsid w:val="00272939"/>
    <w:rsid w:val="0027590B"/>
    <w:rsid w:val="00275995"/>
    <w:rsid w:val="00277015"/>
    <w:rsid w:val="00277D3C"/>
    <w:rsid w:val="00281106"/>
    <w:rsid w:val="0028258A"/>
    <w:rsid w:val="00282611"/>
    <w:rsid w:val="0028471D"/>
    <w:rsid w:val="00284F3D"/>
    <w:rsid w:val="00285342"/>
    <w:rsid w:val="00285969"/>
    <w:rsid w:val="00286C15"/>
    <w:rsid w:val="002903FF"/>
    <w:rsid w:val="00291404"/>
    <w:rsid w:val="0029669F"/>
    <w:rsid w:val="00296C63"/>
    <w:rsid w:val="002A0C21"/>
    <w:rsid w:val="002A2503"/>
    <w:rsid w:val="002A2FAE"/>
    <w:rsid w:val="002A3E3F"/>
    <w:rsid w:val="002A507F"/>
    <w:rsid w:val="002A6E4F"/>
    <w:rsid w:val="002A74C8"/>
    <w:rsid w:val="002A74EF"/>
    <w:rsid w:val="002B04CE"/>
    <w:rsid w:val="002B04F6"/>
    <w:rsid w:val="002B068F"/>
    <w:rsid w:val="002B212C"/>
    <w:rsid w:val="002B24A4"/>
    <w:rsid w:val="002B3829"/>
    <w:rsid w:val="002B657A"/>
    <w:rsid w:val="002C1BEA"/>
    <w:rsid w:val="002C22EF"/>
    <w:rsid w:val="002C64CC"/>
    <w:rsid w:val="002C698C"/>
    <w:rsid w:val="002C69F2"/>
    <w:rsid w:val="002C7BE0"/>
    <w:rsid w:val="002C7C1D"/>
    <w:rsid w:val="002C7FF1"/>
    <w:rsid w:val="002D0395"/>
    <w:rsid w:val="002D3C86"/>
    <w:rsid w:val="002D653B"/>
    <w:rsid w:val="002D6660"/>
    <w:rsid w:val="002D67EC"/>
    <w:rsid w:val="002D7A41"/>
    <w:rsid w:val="002D7AA2"/>
    <w:rsid w:val="002D7E02"/>
    <w:rsid w:val="002E0484"/>
    <w:rsid w:val="002E0CCB"/>
    <w:rsid w:val="002E3C0B"/>
    <w:rsid w:val="002E3D20"/>
    <w:rsid w:val="002E4365"/>
    <w:rsid w:val="002E454C"/>
    <w:rsid w:val="002E675E"/>
    <w:rsid w:val="002F1484"/>
    <w:rsid w:val="002F1513"/>
    <w:rsid w:val="002F4219"/>
    <w:rsid w:val="002F617F"/>
    <w:rsid w:val="00300109"/>
    <w:rsid w:val="00301744"/>
    <w:rsid w:val="00301755"/>
    <w:rsid w:val="00302713"/>
    <w:rsid w:val="0030330C"/>
    <w:rsid w:val="00303BD8"/>
    <w:rsid w:val="003044DC"/>
    <w:rsid w:val="00304DE2"/>
    <w:rsid w:val="003058C1"/>
    <w:rsid w:val="0030665E"/>
    <w:rsid w:val="00306894"/>
    <w:rsid w:val="003119F0"/>
    <w:rsid w:val="003122F4"/>
    <w:rsid w:val="003126FD"/>
    <w:rsid w:val="003152F0"/>
    <w:rsid w:val="003153D3"/>
    <w:rsid w:val="00315A7D"/>
    <w:rsid w:val="00317728"/>
    <w:rsid w:val="00317A02"/>
    <w:rsid w:val="00317A63"/>
    <w:rsid w:val="00317EAC"/>
    <w:rsid w:val="00322B1F"/>
    <w:rsid w:val="00323193"/>
    <w:rsid w:val="00323BFE"/>
    <w:rsid w:val="00325A8D"/>
    <w:rsid w:val="003260E7"/>
    <w:rsid w:val="003263A9"/>
    <w:rsid w:val="003268D5"/>
    <w:rsid w:val="003275A4"/>
    <w:rsid w:val="003320C7"/>
    <w:rsid w:val="003323F8"/>
    <w:rsid w:val="0033240B"/>
    <w:rsid w:val="00332F26"/>
    <w:rsid w:val="003345DE"/>
    <w:rsid w:val="003346BB"/>
    <w:rsid w:val="0033541B"/>
    <w:rsid w:val="0033617A"/>
    <w:rsid w:val="00336BD4"/>
    <w:rsid w:val="00336D14"/>
    <w:rsid w:val="00337BF7"/>
    <w:rsid w:val="00340C67"/>
    <w:rsid w:val="00340F76"/>
    <w:rsid w:val="0034302D"/>
    <w:rsid w:val="003448F6"/>
    <w:rsid w:val="00344C70"/>
    <w:rsid w:val="00344F23"/>
    <w:rsid w:val="003461DC"/>
    <w:rsid w:val="00346E3E"/>
    <w:rsid w:val="00347F4A"/>
    <w:rsid w:val="0035030C"/>
    <w:rsid w:val="00350759"/>
    <w:rsid w:val="00351F5E"/>
    <w:rsid w:val="00352EA4"/>
    <w:rsid w:val="00353A06"/>
    <w:rsid w:val="00353A95"/>
    <w:rsid w:val="00353DB0"/>
    <w:rsid w:val="00354D27"/>
    <w:rsid w:val="00356749"/>
    <w:rsid w:val="0035738A"/>
    <w:rsid w:val="00357A7D"/>
    <w:rsid w:val="00360028"/>
    <w:rsid w:val="003602FD"/>
    <w:rsid w:val="003604AF"/>
    <w:rsid w:val="00361209"/>
    <w:rsid w:val="003618D4"/>
    <w:rsid w:val="00361BF0"/>
    <w:rsid w:val="00364E73"/>
    <w:rsid w:val="0036764A"/>
    <w:rsid w:val="00371420"/>
    <w:rsid w:val="003719C3"/>
    <w:rsid w:val="00371AAF"/>
    <w:rsid w:val="003723DF"/>
    <w:rsid w:val="00372596"/>
    <w:rsid w:val="003732E0"/>
    <w:rsid w:val="00373DC6"/>
    <w:rsid w:val="0037669B"/>
    <w:rsid w:val="003767FD"/>
    <w:rsid w:val="00376954"/>
    <w:rsid w:val="00377576"/>
    <w:rsid w:val="00377A0E"/>
    <w:rsid w:val="00380D4F"/>
    <w:rsid w:val="00381F59"/>
    <w:rsid w:val="00384583"/>
    <w:rsid w:val="003858A6"/>
    <w:rsid w:val="003859E4"/>
    <w:rsid w:val="00386B13"/>
    <w:rsid w:val="00386FB9"/>
    <w:rsid w:val="003870D1"/>
    <w:rsid w:val="003916A7"/>
    <w:rsid w:val="00392D27"/>
    <w:rsid w:val="00392DCC"/>
    <w:rsid w:val="003930BC"/>
    <w:rsid w:val="00394D1E"/>
    <w:rsid w:val="0039651E"/>
    <w:rsid w:val="00397365"/>
    <w:rsid w:val="0039746E"/>
    <w:rsid w:val="003A112B"/>
    <w:rsid w:val="003A119F"/>
    <w:rsid w:val="003A341A"/>
    <w:rsid w:val="003A3AB5"/>
    <w:rsid w:val="003A49E0"/>
    <w:rsid w:val="003A4D8F"/>
    <w:rsid w:val="003A5B36"/>
    <w:rsid w:val="003A5E46"/>
    <w:rsid w:val="003A5EDD"/>
    <w:rsid w:val="003A6843"/>
    <w:rsid w:val="003A7CD0"/>
    <w:rsid w:val="003A7CE4"/>
    <w:rsid w:val="003B01BD"/>
    <w:rsid w:val="003B0674"/>
    <w:rsid w:val="003B135F"/>
    <w:rsid w:val="003B346D"/>
    <w:rsid w:val="003B4A7D"/>
    <w:rsid w:val="003B512E"/>
    <w:rsid w:val="003B56D4"/>
    <w:rsid w:val="003B6C57"/>
    <w:rsid w:val="003B7A97"/>
    <w:rsid w:val="003C0250"/>
    <w:rsid w:val="003C0DFE"/>
    <w:rsid w:val="003C0F01"/>
    <w:rsid w:val="003C1D6F"/>
    <w:rsid w:val="003C1E35"/>
    <w:rsid w:val="003C24B4"/>
    <w:rsid w:val="003C476E"/>
    <w:rsid w:val="003C491B"/>
    <w:rsid w:val="003C4BE7"/>
    <w:rsid w:val="003C54BE"/>
    <w:rsid w:val="003C6636"/>
    <w:rsid w:val="003C6FD5"/>
    <w:rsid w:val="003C7968"/>
    <w:rsid w:val="003D0A2C"/>
    <w:rsid w:val="003D2679"/>
    <w:rsid w:val="003D4A19"/>
    <w:rsid w:val="003D6C7D"/>
    <w:rsid w:val="003E01AD"/>
    <w:rsid w:val="003E0463"/>
    <w:rsid w:val="003E0865"/>
    <w:rsid w:val="003E1BFE"/>
    <w:rsid w:val="003E20D6"/>
    <w:rsid w:val="003E2DDB"/>
    <w:rsid w:val="003E4D87"/>
    <w:rsid w:val="003E694A"/>
    <w:rsid w:val="003E716F"/>
    <w:rsid w:val="003E71B7"/>
    <w:rsid w:val="003F10D8"/>
    <w:rsid w:val="003F118B"/>
    <w:rsid w:val="003F21BD"/>
    <w:rsid w:val="003F5525"/>
    <w:rsid w:val="003F649E"/>
    <w:rsid w:val="003F6500"/>
    <w:rsid w:val="00400378"/>
    <w:rsid w:val="0040041B"/>
    <w:rsid w:val="004008D7"/>
    <w:rsid w:val="00400A1A"/>
    <w:rsid w:val="00401082"/>
    <w:rsid w:val="00403B25"/>
    <w:rsid w:val="0040417A"/>
    <w:rsid w:val="00404B9D"/>
    <w:rsid w:val="00405AE8"/>
    <w:rsid w:val="00406624"/>
    <w:rsid w:val="004074BF"/>
    <w:rsid w:val="00407E53"/>
    <w:rsid w:val="00410DDD"/>
    <w:rsid w:val="004113F2"/>
    <w:rsid w:val="00412E06"/>
    <w:rsid w:val="004139A0"/>
    <w:rsid w:val="00413BC7"/>
    <w:rsid w:val="00413BDC"/>
    <w:rsid w:val="00414298"/>
    <w:rsid w:val="0041443B"/>
    <w:rsid w:val="00414BA9"/>
    <w:rsid w:val="00415D3E"/>
    <w:rsid w:val="00415E0C"/>
    <w:rsid w:val="00416762"/>
    <w:rsid w:val="00416E55"/>
    <w:rsid w:val="004175F9"/>
    <w:rsid w:val="00417600"/>
    <w:rsid w:val="004239BC"/>
    <w:rsid w:val="00423F22"/>
    <w:rsid w:val="00424CDD"/>
    <w:rsid w:val="0042518A"/>
    <w:rsid w:val="004273FE"/>
    <w:rsid w:val="004276A0"/>
    <w:rsid w:val="004277C1"/>
    <w:rsid w:val="00427AAD"/>
    <w:rsid w:val="00430285"/>
    <w:rsid w:val="00430724"/>
    <w:rsid w:val="00430CA1"/>
    <w:rsid w:val="00430DC4"/>
    <w:rsid w:val="0043112E"/>
    <w:rsid w:val="00432FB4"/>
    <w:rsid w:val="00436E63"/>
    <w:rsid w:val="004377F6"/>
    <w:rsid w:val="00437988"/>
    <w:rsid w:val="00437FA3"/>
    <w:rsid w:val="004417F0"/>
    <w:rsid w:val="00443B8F"/>
    <w:rsid w:val="00445265"/>
    <w:rsid w:val="004458E3"/>
    <w:rsid w:val="00445CBD"/>
    <w:rsid w:val="00445DFF"/>
    <w:rsid w:val="00446321"/>
    <w:rsid w:val="0045435C"/>
    <w:rsid w:val="00454931"/>
    <w:rsid w:val="00454F18"/>
    <w:rsid w:val="00455951"/>
    <w:rsid w:val="004559CE"/>
    <w:rsid w:val="00455C78"/>
    <w:rsid w:val="00457CC3"/>
    <w:rsid w:val="00460E1A"/>
    <w:rsid w:val="00461E5F"/>
    <w:rsid w:val="00463AEA"/>
    <w:rsid w:val="00463DF8"/>
    <w:rsid w:val="0046441E"/>
    <w:rsid w:val="00466DBA"/>
    <w:rsid w:val="00467103"/>
    <w:rsid w:val="004713FD"/>
    <w:rsid w:val="0047187B"/>
    <w:rsid w:val="004720EA"/>
    <w:rsid w:val="00472ECA"/>
    <w:rsid w:val="004744C3"/>
    <w:rsid w:val="00475085"/>
    <w:rsid w:val="00476CF6"/>
    <w:rsid w:val="004777B3"/>
    <w:rsid w:val="00477AA8"/>
    <w:rsid w:val="00477E82"/>
    <w:rsid w:val="00481D61"/>
    <w:rsid w:val="00483653"/>
    <w:rsid w:val="00483962"/>
    <w:rsid w:val="00485A0D"/>
    <w:rsid w:val="00486AA5"/>
    <w:rsid w:val="00487048"/>
    <w:rsid w:val="004911B9"/>
    <w:rsid w:val="004922AE"/>
    <w:rsid w:val="00492FCB"/>
    <w:rsid w:val="00493B66"/>
    <w:rsid w:val="004A0F11"/>
    <w:rsid w:val="004A2868"/>
    <w:rsid w:val="004A3EAA"/>
    <w:rsid w:val="004A627F"/>
    <w:rsid w:val="004A7D97"/>
    <w:rsid w:val="004B02FB"/>
    <w:rsid w:val="004B0F2C"/>
    <w:rsid w:val="004B1421"/>
    <w:rsid w:val="004B28BD"/>
    <w:rsid w:val="004B35A6"/>
    <w:rsid w:val="004B3880"/>
    <w:rsid w:val="004B3F5C"/>
    <w:rsid w:val="004B3F5F"/>
    <w:rsid w:val="004B423F"/>
    <w:rsid w:val="004B5133"/>
    <w:rsid w:val="004B5315"/>
    <w:rsid w:val="004B56E4"/>
    <w:rsid w:val="004B59BE"/>
    <w:rsid w:val="004B7D40"/>
    <w:rsid w:val="004C4100"/>
    <w:rsid w:val="004C41B6"/>
    <w:rsid w:val="004C579B"/>
    <w:rsid w:val="004C63C9"/>
    <w:rsid w:val="004C778D"/>
    <w:rsid w:val="004D0EF8"/>
    <w:rsid w:val="004D169A"/>
    <w:rsid w:val="004D2496"/>
    <w:rsid w:val="004D2870"/>
    <w:rsid w:val="004D2A06"/>
    <w:rsid w:val="004D2AF9"/>
    <w:rsid w:val="004D6E37"/>
    <w:rsid w:val="004D79D7"/>
    <w:rsid w:val="004E00EA"/>
    <w:rsid w:val="004E20F7"/>
    <w:rsid w:val="004E3626"/>
    <w:rsid w:val="004E4671"/>
    <w:rsid w:val="004E46A0"/>
    <w:rsid w:val="004E593F"/>
    <w:rsid w:val="004E5ABB"/>
    <w:rsid w:val="004F0911"/>
    <w:rsid w:val="004F1785"/>
    <w:rsid w:val="004F3A84"/>
    <w:rsid w:val="004F427E"/>
    <w:rsid w:val="004F42F5"/>
    <w:rsid w:val="004F4B92"/>
    <w:rsid w:val="004F63FF"/>
    <w:rsid w:val="004F662E"/>
    <w:rsid w:val="00500A37"/>
    <w:rsid w:val="00503691"/>
    <w:rsid w:val="00504DEB"/>
    <w:rsid w:val="00506285"/>
    <w:rsid w:val="00506337"/>
    <w:rsid w:val="00507B87"/>
    <w:rsid w:val="0051286E"/>
    <w:rsid w:val="00512904"/>
    <w:rsid w:val="00512E62"/>
    <w:rsid w:val="0051357A"/>
    <w:rsid w:val="00513DA2"/>
    <w:rsid w:val="0051410B"/>
    <w:rsid w:val="00516311"/>
    <w:rsid w:val="00516785"/>
    <w:rsid w:val="0052194A"/>
    <w:rsid w:val="00521D76"/>
    <w:rsid w:val="0052376C"/>
    <w:rsid w:val="00523B51"/>
    <w:rsid w:val="005240AA"/>
    <w:rsid w:val="0052419D"/>
    <w:rsid w:val="00525415"/>
    <w:rsid w:val="00525D70"/>
    <w:rsid w:val="0052605E"/>
    <w:rsid w:val="00526E2C"/>
    <w:rsid w:val="00527196"/>
    <w:rsid w:val="00527805"/>
    <w:rsid w:val="005301F8"/>
    <w:rsid w:val="0053047D"/>
    <w:rsid w:val="005312FC"/>
    <w:rsid w:val="005313FA"/>
    <w:rsid w:val="005314C9"/>
    <w:rsid w:val="0053453B"/>
    <w:rsid w:val="0053569E"/>
    <w:rsid w:val="005356D5"/>
    <w:rsid w:val="00535E98"/>
    <w:rsid w:val="0053603D"/>
    <w:rsid w:val="0053742A"/>
    <w:rsid w:val="00537C85"/>
    <w:rsid w:val="0054168C"/>
    <w:rsid w:val="00541D29"/>
    <w:rsid w:val="00544411"/>
    <w:rsid w:val="005448CA"/>
    <w:rsid w:val="00544F24"/>
    <w:rsid w:val="00545100"/>
    <w:rsid w:val="0054707B"/>
    <w:rsid w:val="0054719B"/>
    <w:rsid w:val="005471B7"/>
    <w:rsid w:val="0054761F"/>
    <w:rsid w:val="00547B47"/>
    <w:rsid w:val="00550E22"/>
    <w:rsid w:val="00551722"/>
    <w:rsid w:val="00552B8F"/>
    <w:rsid w:val="00554817"/>
    <w:rsid w:val="005553CA"/>
    <w:rsid w:val="00555836"/>
    <w:rsid w:val="0055644C"/>
    <w:rsid w:val="00556473"/>
    <w:rsid w:val="00557944"/>
    <w:rsid w:val="00557D05"/>
    <w:rsid w:val="005606D2"/>
    <w:rsid w:val="0056104A"/>
    <w:rsid w:val="005610A1"/>
    <w:rsid w:val="0056116C"/>
    <w:rsid w:val="0056249C"/>
    <w:rsid w:val="00562916"/>
    <w:rsid w:val="00562B99"/>
    <w:rsid w:val="00562F17"/>
    <w:rsid w:val="00563492"/>
    <w:rsid w:val="0056582C"/>
    <w:rsid w:val="0056607E"/>
    <w:rsid w:val="00566B93"/>
    <w:rsid w:val="005672A8"/>
    <w:rsid w:val="00567D49"/>
    <w:rsid w:val="005716A1"/>
    <w:rsid w:val="00571817"/>
    <w:rsid w:val="00571F79"/>
    <w:rsid w:val="0057211D"/>
    <w:rsid w:val="0057459F"/>
    <w:rsid w:val="0057706E"/>
    <w:rsid w:val="00581E72"/>
    <w:rsid w:val="00582C3E"/>
    <w:rsid w:val="00585848"/>
    <w:rsid w:val="005868DE"/>
    <w:rsid w:val="005877AC"/>
    <w:rsid w:val="005909F4"/>
    <w:rsid w:val="00591045"/>
    <w:rsid w:val="0059448F"/>
    <w:rsid w:val="00594B63"/>
    <w:rsid w:val="00595031"/>
    <w:rsid w:val="00595798"/>
    <w:rsid w:val="005966B7"/>
    <w:rsid w:val="00596B3A"/>
    <w:rsid w:val="005A10DF"/>
    <w:rsid w:val="005A2BEB"/>
    <w:rsid w:val="005A4479"/>
    <w:rsid w:val="005A4FFA"/>
    <w:rsid w:val="005A53FD"/>
    <w:rsid w:val="005A67EA"/>
    <w:rsid w:val="005A6AB4"/>
    <w:rsid w:val="005A793D"/>
    <w:rsid w:val="005A7F41"/>
    <w:rsid w:val="005B0311"/>
    <w:rsid w:val="005B085C"/>
    <w:rsid w:val="005B0CEC"/>
    <w:rsid w:val="005B29D4"/>
    <w:rsid w:val="005B31D7"/>
    <w:rsid w:val="005B4D79"/>
    <w:rsid w:val="005B5724"/>
    <w:rsid w:val="005B5736"/>
    <w:rsid w:val="005B5E2A"/>
    <w:rsid w:val="005B6019"/>
    <w:rsid w:val="005B6EE1"/>
    <w:rsid w:val="005B7154"/>
    <w:rsid w:val="005B739C"/>
    <w:rsid w:val="005B76B1"/>
    <w:rsid w:val="005C02A4"/>
    <w:rsid w:val="005C20D2"/>
    <w:rsid w:val="005C32FE"/>
    <w:rsid w:val="005C4FA4"/>
    <w:rsid w:val="005C503A"/>
    <w:rsid w:val="005C5081"/>
    <w:rsid w:val="005C512B"/>
    <w:rsid w:val="005C5F5E"/>
    <w:rsid w:val="005C7333"/>
    <w:rsid w:val="005D024A"/>
    <w:rsid w:val="005D1E0F"/>
    <w:rsid w:val="005D231B"/>
    <w:rsid w:val="005D4089"/>
    <w:rsid w:val="005D48DE"/>
    <w:rsid w:val="005D4FD4"/>
    <w:rsid w:val="005D61E7"/>
    <w:rsid w:val="005D635A"/>
    <w:rsid w:val="005D67A6"/>
    <w:rsid w:val="005D6D64"/>
    <w:rsid w:val="005D7E4F"/>
    <w:rsid w:val="005E06CE"/>
    <w:rsid w:val="005E075C"/>
    <w:rsid w:val="005E1D0F"/>
    <w:rsid w:val="005E1D72"/>
    <w:rsid w:val="005E2597"/>
    <w:rsid w:val="005E272A"/>
    <w:rsid w:val="005E283D"/>
    <w:rsid w:val="005E39D3"/>
    <w:rsid w:val="005E41AD"/>
    <w:rsid w:val="005E4512"/>
    <w:rsid w:val="005E4979"/>
    <w:rsid w:val="005E5DB4"/>
    <w:rsid w:val="005E63E7"/>
    <w:rsid w:val="005E7510"/>
    <w:rsid w:val="005E7CCF"/>
    <w:rsid w:val="005F0EB5"/>
    <w:rsid w:val="005F1C2F"/>
    <w:rsid w:val="005F1D42"/>
    <w:rsid w:val="005F2409"/>
    <w:rsid w:val="005F286F"/>
    <w:rsid w:val="005F365A"/>
    <w:rsid w:val="005F49A6"/>
    <w:rsid w:val="005F4AD6"/>
    <w:rsid w:val="005F4F8D"/>
    <w:rsid w:val="005F5734"/>
    <w:rsid w:val="00600CF2"/>
    <w:rsid w:val="00601650"/>
    <w:rsid w:val="00602221"/>
    <w:rsid w:val="00604007"/>
    <w:rsid w:val="00604A4F"/>
    <w:rsid w:val="00604DDF"/>
    <w:rsid w:val="00604EEF"/>
    <w:rsid w:val="0060556C"/>
    <w:rsid w:val="00605AFD"/>
    <w:rsid w:val="00605EC6"/>
    <w:rsid w:val="0061067E"/>
    <w:rsid w:val="00611B67"/>
    <w:rsid w:val="006123D4"/>
    <w:rsid w:val="00613127"/>
    <w:rsid w:val="00613575"/>
    <w:rsid w:val="0061445B"/>
    <w:rsid w:val="00614DD0"/>
    <w:rsid w:val="00616BFB"/>
    <w:rsid w:val="00620C5E"/>
    <w:rsid w:val="00621A83"/>
    <w:rsid w:val="006223DA"/>
    <w:rsid w:val="006236FD"/>
    <w:rsid w:val="00623AFC"/>
    <w:rsid w:val="00624167"/>
    <w:rsid w:val="00624C4B"/>
    <w:rsid w:val="00625383"/>
    <w:rsid w:val="00626440"/>
    <w:rsid w:val="00626A2D"/>
    <w:rsid w:val="006305BA"/>
    <w:rsid w:val="0063063F"/>
    <w:rsid w:val="00632966"/>
    <w:rsid w:val="0063357E"/>
    <w:rsid w:val="00634101"/>
    <w:rsid w:val="00634C15"/>
    <w:rsid w:val="00636385"/>
    <w:rsid w:val="00640257"/>
    <w:rsid w:val="00641BE4"/>
    <w:rsid w:val="006445C3"/>
    <w:rsid w:val="00646C85"/>
    <w:rsid w:val="00646E64"/>
    <w:rsid w:val="006478B2"/>
    <w:rsid w:val="0065196D"/>
    <w:rsid w:val="00651EAA"/>
    <w:rsid w:val="00652A9A"/>
    <w:rsid w:val="006555B5"/>
    <w:rsid w:val="0065632A"/>
    <w:rsid w:val="00656865"/>
    <w:rsid w:val="00656DBC"/>
    <w:rsid w:val="00660361"/>
    <w:rsid w:val="00660D96"/>
    <w:rsid w:val="00661648"/>
    <w:rsid w:val="00661E83"/>
    <w:rsid w:val="006621F4"/>
    <w:rsid w:val="0066270F"/>
    <w:rsid w:val="00663302"/>
    <w:rsid w:val="00664585"/>
    <w:rsid w:val="00664EC1"/>
    <w:rsid w:val="00671725"/>
    <w:rsid w:val="00671DD1"/>
    <w:rsid w:val="00672F9D"/>
    <w:rsid w:val="00673D11"/>
    <w:rsid w:val="00673E47"/>
    <w:rsid w:val="006745B4"/>
    <w:rsid w:val="006753C3"/>
    <w:rsid w:val="006754A2"/>
    <w:rsid w:val="0067622C"/>
    <w:rsid w:val="0067687D"/>
    <w:rsid w:val="0067755A"/>
    <w:rsid w:val="00681058"/>
    <w:rsid w:val="006818F7"/>
    <w:rsid w:val="00681D04"/>
    <w:rsid w:val="006835AE"/>
    <w:rsid w:val="00683862"/>
    <w:rsid w:val="00684CFE"/>
    <w:rsid w:val="0068509D"/>
    <w:rsid w:val="00685CF7"/>
    <w:rsid w:val="00686165"/>
    <w:rsid w:val="006875B9"/>
    <w:rsid w:val="00687A13"/>
    <w:rsid w:val="00690AC3"/>
    <w:rsid w:val="00691CB5"/>
    <w:rsid w:val="00691D26"/>
    <w:rsid w:val="0069215F"/>
    <w:rsid w:val="006923DF"/>
    <w:rsid w:val="00694AF1"/>
    <w:rsid w:val="006954DE"/>
    <w:rsid w:val="006A09C8"/>
    <w:rsid w:val="006A1055"/>
    <w:rsid w:val="006A17DD"/>
    <w:rsid w:val="006A1E26"/>
    <w:rsid w:val="006A1E46"/>
    <w:rsid w:val="006A2F75"/>
    <w:rsid w:val="006A37F5"/>
    <w:rsid w:val="006A5298"/>
    <w:rsid w:val="006A58C9"/>
    <w:rsid w:val="006A593F"/>
    <w:rsid w:val="006A5CC4"/>
    <w:rsid w:val="006A7208"/>
    <w:rsid w:val="006A7245"/>
    <w:rsid w:val="006B03BC"/>
    <w:rsid w:val="006B09B4"/>
    <w:rsid w:val="006B17B0"/>
    <w:rsid w:val="006B1A9F"/>
    <w:rsid w:val="006B1ED5"/>
    <w:rsid w:val="006B2415"/>
    <w:rsid w:val="006B38FF"/>
    <w:rsid w:val="006B3EB5"/>
    <w:rsid w:val="006B43FA"/>
    <w:rsid w:val="006B5136"/>
    <w:rsid w:val="006B5413"/>
    <w:rsid w:val="006B5A75"/>
    <w:rsid w:val="006B6FAE"/>
    <w:rsid w:val="006B7BFB"/>
    <w:rsid w:val="006C1892"/>
    <w:rsid w:val="006C1DD5"/>
    <w:rsid w:val="006C2774"/>
    <w:rsid w:val="006C5227"/>
    <w:rsid w:val="006C5B73"/>
    <w:rsid w:val="006C5FA6"/>
    <w:rsid w:val="006C628C"/>
    <w:rsid w:val="006C645D"/>
    <w:rsid w:val="006C7066"/>
    <w:rsid w:val="006D23D5"/>
    <w:rsid w:val="006D240A"/>
    <w:rsid w:val="006D2743"/>
    <w:rsid w:val="006D323B"/>
    <w:rsid w:val="006D4D84"/>
    <w:rsid w:val="006D6608"/>
    <w:rsid w:val="006D6D26"/>
    <w:rsid w:val="006D6F37"/>
    <w:rsid w:val="006D72D8"/>
    <w:rsid w:val="006E2D2A"/>
    <w:rsid w:val="006E32ED"/>
    <w:rsid w:val="006E3CC3"/>
    <w:rsid w:val="006E3CEC"/>
    <w:rsid w:val="006E4259"/>
    <w:rsid w:val="006E4DD1"/>
    <w:rsid w:val="006E5EA0"/>
    <w:rsid w:val="006E7582"/>
    <w:rsid w:val="006E7994"/>
    <w:rsid w:val="006F1F24"/>
    <w:rsid w:val="006F25E9"/>
    <w:rsid w:val="006F2616"/>
    <w:rsid w:val="006F2C73"/>
    <w:rsid w:val="006F47B1"/>
    <w:rsid w:val="006F54A7"/>
    <w:rsid w:val="00700280"/>
    <w:rsid w:val="00702D79"/>
    <w:rsid w:val="00703F94"/>
    <w:rsid w:val="00704CA4"/>
    <w:rsid w:val="00706E8E"/>
    <w:rsid w:val="0070717B"/>
    <w:rsid w:val="0070747D"/>
    <w:rsid w:val="0070785C"/>
    <w:rsid w:val="0071033F"/>
    <w:rsid w:val="007118F6"/>
    <w:rsid w:val="00711B12"/>
    <w:rsid w:val="00712958"/>
    <w:rsid w:val="00713291"/>
    <w:rsid w:val="00714384"/>
    <w:rsid w:val="00714C3B"/>
    <w:rsid w:val="007156F6"/>
    <w:rsid w:val="00715A63"/>
    <w:rsid w:val="00715E63"/>
    <w:rsid w:val="00716B23"/>
    <w:rsid w:val="00716CEE"/>
    <w:rsid w:val="00722B53"/>
    <w:rsid w:val="007241D3"/>
    <w:rsid w:val="00725096"/>
    <w:rsid w:val="00726D4A"/>
    <w:rsid w:val="00727302"/>
    <w:rsid w:val="00730139"/>
    <w:rsid w:val="0073039F"/>
    <w:rsid w:val="00730553"/>
    <w:rsid w:val="0073109A"/>
    <w:rsid w:val="0073139D"/>
    <w:rsid w:val="007317A8"/>
    <w:rsid w:val="00731CAA"/>
    <w:rsid w:val="007352CD"/>
    <w:rsid w:val="00735E36"/>
    <w:rsid w:val="00736872"/>
    <w:rsid w:val="00736FF2"/>
    <w:rsid w:val="00737911"/>
    <w:rsid w:val="007401B5"/>
    <w:rsid w:val="007430F3"/>
    <w:rsid w:val="007432F3"/>
    <w:rsid w:val="00743B8E"/>
    <w:rsid w:val="007445E2"/>
    <w:rsid w:val="00746218"/>
    <w:rsid w:val="00746968"/>
    <w:rsid w:val="00746EF2"/>
    <w:rsid w:val="00746FAC"/>
    <w:rsid w:val="007506C1"/>
    <w:rsid w:val="007509DD"/>
    <w:rsid w:val="007518BB"/>
    <w:rsid w:val="00752703"/>
    <w:rsid w:val="00753C76"/>
    <w:rsid w:val="0075420D"/>
    <w:rsid w:val="00755D09"/>
    <w:rsid w:val="00755D32"/>
    <w:rsid w:val="00755F07"/>
    <w:rsid w:val="00756548"/>
    <w:rsid w:val="00756842"/>
    <w:rsid w:val="00757E37"/>
    <w:rsid w:val="00760157"/>
    <w:rsid w:val="00760648"/>
    <w:rsid w:val="00761F36"/>
    <w:rsid w:val="00763474"/>
    <w:rsid w:val="00763715"/>
    <w:rsid w:val="00763C9F"/>
    <w:rsid w:val="007648DB"/>
    <w:rsid w:val="00764D5E"/>
    <w:rsid w:val="00764FDA"/>
    <w:rsid w:val="00770A17"/>
    <w:rsid w:val="00771AA1"/>
    <w:rsid w:val="007752DF"/>
    <w:rsid w:val="00775E2F"/>
    <w:rsid w:val="00781676"/>
    <w:rsid w:val="00781DBE"/>
    <w:rsid w:val="00782A14"/>
    <w:rsid w:val="007831BE"/>
    <w:rsid w:val="007843EE"/>
    <w:rsid w:val="00784C0A"/>
    <w:rsid w:val="007853D2"/>
    <w:rsid w:val="0078546D"/>
    <w:rsid w:val="00787151"/>
    <w:rsid w:val="00787187"/>
    <w:rsid w:val="00787FE2"/>
    <w:rsid w:val="007908A1"/>
    <w:rsid w:val="00791570"/>
    <w:rsid w:val="0079413A"/>
    <w:rsid w:val="00794B40"/>
    <w:rsid w:val="00795CBC"/>
    <w:rsid w:val="00797052"/>
    <w:rsid w:val="00797825"/>
    <w:rsid w:val="007A1079"/>
    <w:rsid w:val="007A153F"/>
    <w:rsid w:val="007A1F0B"/>
    <w:rsid w:val="007A2A2A"/>
    <w:rsid w:val="007A2D90"/>
    <w:rsid w:val="007A3D80"/>
    <w:rsid w:val="007A4F93"/>
    <w:rsid w:val="007A5878"/>
    <w:rsid w:val="007A5BDB"/>
    <w:rsid w:val="007A61A7"/>
    <w:rsid w:val="007A63BC"/>
    <w:rsid w:val="007B1E71"/>
    <w:rsid w:val="007B1FCE"/>
    <w:rsid w:val="007B222E"/>
    <w:rsid w:val="007B2677"/>
    <w:rsid w:val="007B3559"/>
    <w:rsid w:val="007B3DF1"/>
    <w:rsid w:val="007B3F11"/>
    <w:rsid w:val="007B51C6"/>
    <w:rsid w:val="007B56A7"/>
    <w:rsid w:val="007B6269"/>
    <w:rsid w:val="007B6FFC"/>
    <w:rsid w:val="007B76AB"/>
    <w:rsid w:val="007B7B57"/>
    <w:rsid w:val="007C0B78"/>
    <w:rsid w:val="007C4632"/>
    <w:rsid w:val="007C6759"/>
    <w:rsid w:val="007C6C2E"/>
    <w:rsid w:val="007C6DAC"/>
    <w:rsid w:val="007C7367"/>
    <w:rsid w:val="007D095E"/>
    <w:rsid w:val="007D0C80"/>
    <w:rsid w:val="007D0CEF"/>
    <w:rsid w:val="007D3244"/>
    <w:rsid w:val="007D368C"/>
    <w:rsid w:val="007D3DA4"/>
    <w:rsid w:val="007D578E"/>
    <w:rsid w:val="007D592B"/>
    <w:rsid w:val="007D5AA6"/>
    <w:rsid w:val="007D705B"/>
    <w:rsid w:val="007D78C3"/>
    <w:rsid w:val="007D7A91"/>
    <w:rsid w:val="007E2654"/>
    <w:rsid w:val="007E34EF"/>
    <w:rsid w:val="007E377F"/>
    <w:rsid w:val="007E3DE5"/>
    <w:rsid w:val="007E4024"/>
    <w:rsid w:val="007E48E9"/>
    <w:rsid w:val="007E4958"/>
    <w:rsid w:val="007E6456"/>
    <w:rsid w:val="007F05BE"/>
    <w:rsid w:val="007F082A"/>
    <w:rsid w:val="007F1727"/>
    <w:rsid w:val="007F261C"/>
    <w:rsid w:val="007F2D1E"/>
    <w:rsid w:val="007F3373"/>
    <w:rsid w:val="007F4DD6"/>
    <w:rsid w:val="007F5A54"/>
    <w:rsid w:val="007F6644"/>
    <w:rsid w:val="007F6B88"/>
    <w:rsid w:val="00800012"/>
    <w:rsid w:val="00800C39"/>
    <w:rsid w:val="008027FB"/>
    <w:rsid w:val="00802E63"/>
    <w:rsid w:val="00802E6A"/>
    <w:rsid w:val="008037C5"/>
    <w:rsid w:val="00804DA2"/>
    <w:rsid w:val="00805FE5"/>
    <w:rsid w:val="00806A8B"/>
    <w:rsid w:val="008078D4"/>
    <w:rsid w:val="00811943"/>
    <w:rsid w:val="00811A2C"/>
    <w:rsid w:val="00813098"/>
    <w:rsid w:val="008147D0"/>
    <w:rsid w:val="00814818"/>
    <w:rsid w:val="008154EB"/>
    <w:rsid w:val="00817309"/>
    <w:rsid w:val="00817490"/>
    <w:rsid w:val="008208A2"/>
    <w:rsid w:val="00820F53"/>
    <w:rsid w:val="00822EFE"/>
    <w:rsid w:val="00823050"/>
    <w:rsid w:val="00823617"/>
    <w:rsid w:val="008242AD"/>
    <w:rsid w:val="00825049"/>
    <w:rsid w:val="0082544D"/>
    <w:rsid w:val="0082709F"/>
    <w:rsid w:val="00827BA4"/>
    <w:rsid w:val="00830236"/>
    <w:rsid w:val="008311B8"/>
    <w:rsid w:val="008323D9"/>
    <w:rsid w:val="00832AFE"/>
    <w:rsid w:val="00834243"/>
    <w:rsid w:val="00834694"/>
    <w:rsid w:val="00835E24"/>
    <w:rsid w:val="008376FC"/>
    <w:rsid w:val="00840695"/>
    <w:rsid w:val="00840FE7"/>
    <w:rsid w:val="00841972"/>
    <w:rsid w:val="00842A7C"/>
    <w:rsid w:val="00843D4F"/>
    <w:rsid w:val="00844627"/>
    <w:rsid w:val="00845AEA"/>
    <w:rsid w:val="00847A36"/>
    <w:rsid w:val="00847DC4"/>
    <w:rsid w:val="00847F17"/>
    <w:rsid w:val="0085103A"/>
    <w:rsid w:val="008555B9"/>
    <w:rsid w:val="00856B39"/>
    <w:rsid w:val="00857015"/>
    <w:rsid w:val="00857969"/>
    <w:rsid w:val="00860C68"/>
    <w:rsid w:val="00861FB4"/>
    <w:rsid w:val="008625D0"/>
    <w:rsid w:val="0086615C"/>
    <w:rsid w:val="0086642A"/>
    <w:rsid w:val="00866F82"/>
    <w:rsid w:val="00867D53"/>
    <w:rsid w:val="00867FF0"/>
    <w:rsid w:val="008700C7"/>
    <w:rsid w:val="00870A61"/>
    <w:rsid w:val="00871F75"/>
    <w:rsid w:val="008738D7"/>
    <w:rsid w:val="00873DE4"/>
    <w:rsid w:val="00874D47"/>
    <w:rsid w:val="00875216"/>
    <w:rsid w:val="00875DA6"/>
    <w:rsid w:val="0087635C"/>
    <w:rsid w:val="008767CA"/>
    <w:rsid w:val="00876E02"/>
    <w:rsid w:val="00881D46"/>
    <w:rsid w:val="00881E59"/>
    <w:rsid w:val="00882CC4"/>
    <w:rsid w:val="00883E6E"/>
    <w:rsid w:val="00883EEA"/>
    <w:rsid w:val="00884059"/>
    <w:rsid w:val="008844AC"/>
    <w:rsid w:val="00885DFE"/>
    <w:rsid w:val="0088764D"/>
    <w:rsid w:val="00887C75"/>
    <w:rsid w:val="00887CC3"/>
    <w:rsid w:val="00890B97"/>
    <w:rsid w:val="00891058"/>
    <w:rsid w:val="0089139A"/>
    <w:rsid w:val="00894493"/>
    <w:rsid w:val="00894654"/>
    <w:rsid w:val="00894664"/>
    <w:rsid w:val="00896038"/>
    <w:rsid w:val="0089616C"/>
    <w:rsid w:val="008A31F4"/>
    <w:rsid w:val="008A4290"/>
    <w:rsid w:val="008A5103"/>
    <w:rsid w:val="008A54DB"/>
    <w:rsid w:val="008A615D"/>
    <w:rsid w:val="008B380E"/>
    <w:rsid w:val="008B4491"/>
    <w:rsid w:val="008B70DB"/>
    <w:rsid w:val="008B7EFB"/>
    <w:rsid w:val="008C2163"/>
    <w:rsid w:val="008C3EA2"/>
    <w:rsid w:val="008C40A4"/>
    <w:rsid w:val="008C6122"/>
    <w:rsid w:val="008C6D86"/>
    <w:rsid w:val="008C7F71"/>
    <w:rsid w:val="008C7F74"/>
    <w:rsid w:val="008D184F"/>
    <w:rsid w:val="008D1BA4"/>
    <w:rsid w:val="008D339F"/>
    <w:rsid w:val="008D3A85"/>
    <w:rsid w:val="008D3FEA"/>
    <w:rsid w:val="008D4A2C"/>
    <w:rsid w:val="008D4D87"/>
    <w:rsid w:val="008D56F9"/>
    <w:rsid w:val="008E0768"/>
    <w:rsid w:val="008E0F93"/>
    <w:rsid w:val="008E232D"/>
    <w:rsid w:val="008E2A3B"/>
    <w:rsid w:val="008E39D3"/>
    <w:rsid w:val="008E4763"/>
    <w:rsid w:val="008E585C"/>
    <w:rsid w:val="008E6292"/>
    <w:rsid w:val="008E75CC"/>
    <w:rsid w:val="008F109D"/>
    <w:rsid w:val="008F172D"/>
    <w:rsid w:val="008F1BB5"/>
    <w:rsid w:val="008F23EB"/>
    <w:rsid w:val="008F343D"/>
    <w:rsid w:val="008F4A79"/>
    <w:rsid w:val="008F6369"/>
    <w:rsid w:val="008F7C82"/>
    <w:rsid w:val="008F7D96"/>
    <w:rsid w:val="009011D2"/>
    <w:rsid w:val="00901A87"/>
    <w:rsid w:val="00902C65"/>
    <w:rsid w:val="00904317"/>
    <w:rsid w:val="0090456C"/>
    <w:rsid w:val="00905855"/>
    <w:rsid w:val="00905BD1"/>
    <w:rsid w:val="00907420"/>
    <w:rsid w:val="009077AB"/>
    <w:rsid w:val="00907B59"/>
    <w:rsid w:val="00907F8A"/>
    <w:rsid w:val="00907FE9"/>
    <w:rsid w:val="00910027"/>
    <w:rsid w:val="00910478"/>
    <w:rsid w:val="0091203A"/>
    <w:rsid w:val="0091327B"/>
    <w:rsid w:val="00913645"/>
    <w:rsid w:val="00913797"/>
    <w:rsid w:val="00914D0D"/>
    <w:rsid w:val="00915A93"/>
    <w:rsid w:val="0091609F"/>
    <w:rsid w:val="009166A1"/>
    <w:rsid w:val="00917E28"/>
    <w:rsid w:val="0092060F"/>
    <w:rsid w:val="00920B0C"/>
    <w:rsid w:val="00922C3B"/>
    <w:rsid w:val="0092330F"/>
    <w:rsid w:val="0092470C"/>
    <w:rsid w:val="009247BC"/>
    <w:rsid w:val="00924D96"/>
    <w:rsid w:val="00924E2E"/>
    <w:rsid w:val="00925AA5"/>
    <w:rsid w:val="00926CB7"/>
    <w:rsid w:val="0092760B"/>
    <w:rsid w:val="00927949"/>
    <w:rsid w:val="00931935"/>
    <w:rsid w:val="00932489"/>
    <w:rsid w:val="00932DDE"/>
    <w:rsid w:val="00932E80"/>
    <w:rsid w:val="0093364F"/>
    <w:rsid w:val="0093422D"/>
    <w:rsid w:val="0093540D"/>
    <w:rsid w:val="009368D6"/>
    <w:rsid w:val="009368EC"/>
    <w:rsid w:val="0094019D"/>
    <w:rsid w:val="0094088B"/>
    <w:rsid w:val="00940915"/>
    <w:rsid w:val="009423CA"/>
    <w:rsid w:val="00942C11"/>
    <w:rsid w:val="0094351F"/>
    <w:rsid w:val="00943C63"/>
    <w:rsid w:val="009440E1"/>
    <w:rsid w:val="0094445E"/>
    <w:rsid w:val="00945FA9"/>
    <w:rsid w:val="0094648E"/>
    <w:rsid w:val="00946C61"/>
    <w:rsid w:val="009516BB"/>
    <w:rsid w:val="00952957"/>
    <w:rsid w:val="009547F8"/>
    <w:rsid w:val="009548B6"/>
    <w:rsid w:val="009552D9"/>
    <w:rsid w:val="00955B5F"/>
    <w:rsid w:val="00955FAD"/>
    <w:rsid w:val="00957B43"/>
    <w:rsid w:val="00961F35"/>
    <w:rsid w:val="00962EF3"/>
    <w:rsid w:val="0096345C"/>
    <w:rsid w:val="00963FB6"/>
    <w:rsid w:val="00964F88"/>
    <w:rsid w:val="00965596"/>
    <w:rsid w:val="00966909"/>
    <w:rsid w:val="009700EA"/>
    <w:rsid w:val="00970F13"/>
    <w:rsid w:val="00972849"/>
    <w:rsid w:val="009729D4"/>
    <w:rsid w:val="00972C34"/>
    <w:rsid w:val="00973719"/>
    <w:rsid w:val="00973961"/>
    <w:rsid w:val="009742F5"/>
    <w:rsid w:val="00975545"/>
    <w:rsid w:val="00976594"/>
    <w:rsid w:val="009776EB"/>
    <w:rsid w:val="00980759"/>
    <w:rsid w:val="00980C3F"/>
    <w:rsid w:val="00980EE5"/>
    <w:rsid w:val="009817B0"/>
    <w:rsid w:val="009821CE"/>
    <w:rsid w:val="0098417F"/>
    <w:rsid w:val="00984F08"/>
    <w:rsid w:val="009853DA"/>
    <w:rsid w:val="00987571"/>
    <w:rsid w:val="0098788B"/>
    <w:rsid w:val="00991CC6"/>
    <w:rsid w:val="00993BE2"/>
    <w:rsid w:val="00993EA6"/>
    <w:rsid w:val="00994F92"/>
    <w:rsid w:val="0099549A"/>
    <w:rsid w:val="009A1256"/>
    <w:rsid w:val="009A146F"/>
    <w:rsid w:val="009A277C"/>
    <w:rsid w:val="009A2FB4"/>
    <w:rsid w:val="009A3390"/>
    <w:rsid w:val="009A348E"/>
    <w:rsid w:val="009A3F19"/>
    <w:rsid w:val="009A4C3F"/>
    <w:rsid w:val="009A658F"/>
    <w:rsid w:val="009A6DB4"/>
    <w:rsid w:val="009A7098"/>
    <w:rsid w:val="009B5E69"/>
    <w:rsid w:val="009B7712"/>
    <w:rsid w:val="009C0591"/>
    <w:rsid w:val="009C1677"/>
    <w:rsid w:val="009C31EA"/>
    <w:rsid w:val="009C3622"/>
    <w:rsid w:val="009C3D63"/>
    <w:rsid w:val="009C553C"/>
    <w:rsid w:val="009C5B04"/>
    <w:rsid w:val="009C5CCD"/>
    <w:rsid w:val="009C606C"/>
    <w:rsid w:val="009C6970"/>
    <w:rsid w:val="009C73BA"/>
    <w:rsid w:val="009D0154"/>
    <w:rsid w:val="009D02F5"/>
    <w:rsid w:val="009D0D51"/>
    <w:rsid w:val="009D0D85"/>
    <w:rsid w:val="009D2016"/>
    <w:rsid w:val="009D307A"/>
    <w:rsid w:val="009D588D"/>
    <w:rsid w:val="009D59FF"/>
    <w:rsid w:val="009D631F"/>
    <w:rsid w:val="009D6332"/>
    <w:rsid w:val="009E04D7"/>
    <w:rsid w:val="009E0796"/>
    <w:rsid w:val="009E0F86"/>
    <w:rsid w:val="009E171B"/>
    <w:rsid w:val="009E2251"/>
    <w:rsid w:val="009E44B7"/>
    <w:rsid w:val="009E4525"/>
    <w:rsid w:val="009E47AB"/>
    <w:rsid w:val="009E6262"/>
    <w:rsid w:val="009E7111"/>
    <w:rsid w:val="009F1DD2"/>
    <w:rsid w:val="009F2D1A"/>
    <w:rsid w:val="009F2D5D"/>
    <w:rsid w:val="009F3B0F"/>
    <w:rsid w:val="009F464E"/>
    <w:rsid w:val="009F5CD0"/>
    <w:rsid w:val="009F6532"/>
    <w:rsid w:val="00A0110A"/>
    <w:rsid w:val="00A014AB"/>
    <w:rsid w:val="00A015E8"/>
    <w:rsid w:val="00A02721"/>
    <w:rsid w:val="00A02F53"/>
    <w:rsid w:val="00A0304B"/>
    <w:rsid w:val="00A064FE"/>
    <w:rsid w:val="00A07D47"/>
    <w:rsid w:val="00A07F5E"/>
    <w:rsid w:val="00A102D5"/>
    <w:rsid w:val="00A1097A"/>
    <w:rsid w:val="00A12F62"/>
    <w:rsid w:val="00A13B30"/>
    <w:rsid w:val="00A14187"/>
    <w:rsid w:val="00A14FE9"/>
    <w:rsid w:val="00A159D9"/>
    <w:rsid w:val="00A1617A"/>
    <w:rsid w:val="00A166A6"/>
    <w:rsid w:val="00A2239C"/>
    <w:rsid w:val="00A24247"/>
    <w:rsid w:val="00A24795"/>
    <w:rsid w:val="00A24910"/>
    <w:rsid w:val="00A24BCA"/>
    <w:rsid w:val="00A24CB3"/>
    <w:rsid w:val="00A25218"/>
    <w:rsid w:val="00A2691A"/>
    <w:rsid w:val="00A27F94"/>
    <w:rsid w:val="00A30F7C"/>
    <w:rsid w:val="00A31BF4"/>
    <w:rsid w:val="00A32A9A"/>
    <w:rsid w:val="00A345BE"/>
    <w:rsid w:val="00A35124"/>
    <w:rsid w:val="00A3651B"/>
    <w:rsid w:val="00A3749B"/>
    <w:rsid w:val="00A37D87"/>
    <w:rsid w:val="00A41E6C"/>
    <w:rsid w:val="00A43926"/>
    <w:rsid w:val="00A44320"/>
    <w:rsid w:val="00A447B3"/>
    <w:rsid w:val="00A44B15"/>
    <w:rsid w:val="00A451A8"/>
    <w:rsid w:val="00A47908"/>
    <w:rsid w:val="00A47F8F"/>
    <w:rsid w:val="00A50D88"/>
    <w:rsid w:val="00A5127D"/>
    <w:rsid w:val="00A51392"/>
    <w:rsid w:val="00A52CE5"/>
    <w:rsid w:val="00A544D1"/>
    <w:rsid w:val="00A54522"/>
    <w:rsid w:val="00A55162"/>
    <w:rsid w:val="00A55740"/>
    <w:rsid w:val="00A56923"/>
    <w:rsid w:val="00A575BC"/>
    <w:rsid w:val="00A579E3"/>
    <w:rsid w:val="00A57E2E"/>
    <w:rsid w:val="00A62E42"/>
    <w:rsid w:val="00A64A71"/>
    <w:rsid w:val="00A66B4C"/>
    <w:rsid w:val="00A675FD"/>
    <w:rsid w:val="00A720B6"/>
    <w:rsid w:val="00A72960"/>
    <w:rsid w:val="00A72D8F"/>
    <w:rsid w:val="00A75F0B"/>
    <w:rsid w:val="00A76005"/>
    <w:rsid w:val="00A80105"/>
    <w:rsid w:val="00A80C4C"/>
    <w:rsid w:val="00A83D09"/>
    <w:rsid w:val="00A8443E"/>
    <w:rsid w:val="00A847C6"/>
    <w:rsid w:val="00A85430"/>
    <w:rsid w:val="00A870CA"/>
    <w:rsid w:val="00A8754B"/>
    <w:rsid w:val="00A87B93"/>
    <w:rsid w:val="00A90305"/>
    <w:rsid w:val="00A905B8"/>
    <w:rsid w:val="00A90795"/>
    <w:rsid w:val="00A91913"/>
    <w:rsid w:val="00A93401"/>
    <w:rsid w:val="00A93667"/>
    <w:rsid w:val="00A9426E"/>
    <w:rsid w:val="00A975C9"/>
    <w:rsid w:val="00AA26BD"/>
    <w:rsid w:val="00AA55A6"/>
    <w:rsid w:val="00AA5A9C"/>
    <w:rsid w:val="00AA79DA"/>
    <w:rsid w:val="00AB03E9"/>
    <w:rsid w:val="00AB0822"/>
    <w:rsid w:val="00AB09DB"/>
    <w:rsid w:val="00AB1BD8"/>
    <w:rsid w:val="00AB2D73"/>
    <w:rsid w:val="00AB3A33"/>
    <w:rsid w:val="00AB4EE7"/>
    <w:rsid w:val="00AB5803"/>
    <w:rsid w:val="00AB6D2F"/>
    <w:rsid w:val="00AC2903"/>
    <w:rsid w:val="00AC2B79"/>
    <w:rsid w:val="00AC3196"/>
    <w:rsid w:val="00AC502F"/>
    <w:rsid w:val="00AC6975"/>
    <w:rsid w:val="00AC6F8F"/>
    <w:rsid w:val="00AC71C8"/>
    <w:rsid w:val="00AC793B"/>
    <w:rsid w:val="00AC7E3D"/>
    <w:rsid w:val="00AD0926"/>
    <w:rsid w:val="00AD32C7"/>
    <w:rsid w:val="00AD36E6"/>
    <w:rsid w:val="00AD3B83"/>
    <w:rsid w:val="00AD5102"/>
    <w:rsid w:val="00AD52A5"/>
    <w:rsid w:val="00AD5637"/>
    <w:rsid w:val="00AD5C4A"/>
    <w:rsid w:val="00AD6771"/>
    <w:rsid w:val="00AD6E8A"/>
    <w:rsid w:val="00AE0BE4"/>
    <w:rsid w:val="00AE2BB3"/>
    <w:rsid w:val="00AE2F90"/>
    <w:rsid w:val="00AE344B"/>
    <w:rsid w:val="00AE3D16"/>
    <w:rsid w:val="00AE42AE"/>
    <w:rsid w:val="00AE42B0"/>
    <w:rsid w:val="00AF1E28"/>
    <w:rsid w:val="00AF3453"/>
    <w:rsid w:val="00AF4554"/>
    <w:rsid w:val="00AF6716"/>
    <w:rsid w:val="00AF7D04"/>
    <w:rsid w:val="00B01150"/>
    <w:rsid w:val="00B01AFF"/>
    <w:rsid w:val="00B0205F"/>
    <w:rsid w:val="00B030E5"/>
    <w:rsid w:val="00B03DD6"/>
    <w:rsid w:val="00B045C0"/>
    <w:rsid w:val="00B05A6A"/>
    <w:rsid w:val="00B0737C"/>
    <w:rsid w:val="00B125DB"/>
    <w:rsid w:val="00B12C1F"/>
    <w:rsid w:val="00B12CE3"/>
    <w:rsid w:val="00B150BA"/>
    <w:rsid w:val="00B17617"/>
    <w:rsid w:val="00B20C42"/>
    <w:rsid w:val="00B216E7"/>
    <w:rsid w:val="00B23957"/>
    <w:rsid w:val="00B25D03"/>
    <w:rsid w:val="00B2720D"/>
    <w:rsid w:val="00B27EB8"/>
    <w:rsid w:val="00B307FF"/>
    <w:rsid w:val="00B30B63"/>
    <w:rsid w:val="00B31457"/>
    <w:rsid w:val="00B32579"/>
    <w:rsid w:val="00B32C71"/>
    <w:rsid w:val="00B33E9E"/>
    <w:rsid w:val="00B3583B"/>
    <w:rsid w:val="00B3792F"/>
    <w:rsid w:val="00B37A8F"/>
    <w:rsid w:val="00B4471D"/>
    <w:rsid w:val="00B44CC5"/>
    <w:rsid w:val="00B53344"/>
    <w:rsid w:val="00B55F11"/>
    <w:rsid w:val="00B562DE"/>
    <w:rsid w:val="00B57BF7"/>
    <w:rsid w:val="00B61AA5"/>
    <w:rsid w:val="00B65347"/>
    <w:rsid w:val="00B65DE1"/>
    <w:rsid w:val="00B6661D"/>
    <w:rsid w:val="00B70425"/>
    <w:rsid w:val="00B70C27"/>
    <w:rsid w:val="00B720F6"/>
    <w:rsid w:val="00B7306F"/>
    <w:rsid w:val="00B74375"/>
    <w:rsid w:val="00B74618"/>
    <w:rsid w:val="00B75482"/>
    <w:rsid w:val="00B763A8"/>
    <w:rsid w:val="00B804CC"/>
    <w:rsid w:val="00B83E44"/>
    <w:rsid w:val="00B8487B"/>
    <w:rsid w:val="00B85181"/>
    <w:rsid w:val="00B8577A"/>
    <w:rsid w:val="00B868A6"/>
    <w:rsid w:val="00B87184"/>
    <w:rsid w:val="00B87927"/>
    <w:rsid w:val="00B92310"/>
    <w:rsid w:val="00B93F16"/>
    <w:rsid w:val="00B952DF"/>
    <w:rsid w:val="00B96141"/>
    <w:rsid w:val="00B96456"/>
    <w:rsid w:val="00B96959"/>
    <w:rsid w:val="00BA2F83"/>
    <w:rsid w:val="00BA3946"/>
    <w:rsid w:val="00BA3C92"/>
    <w:rsid w:val="00BA3CC3"/>
    <w:rsid w:val="00BA5767"/>
    <w:rsid w:val="00BB1205"/>
    <w:rsid w:val="00BB1A08"/>
    <w:rsid w:val="00BB28C8"/>
    <w:rsid w:val="00BB33A4"/>
    <w:rsid w:val="00BB42B9"/>
    <w:rsid w:val="00BB5506"/>
    <w:rsid w:val="00BB5EF9"/>
    <w:rsid w:val="00BC1AE5"/>
    <w:rsid w:val="00BC2BA3"/>
    <w:rsid w:val="00BC2E28"/>
    <w:rsid w:val="00BC32FE"/>
    <w:rsid w:val="00BC4B0C"/>
    <w:rsid w:val="00BC4CD9"/>
    <w:rsid w:val="00BC6F14"/>
    <w:rsid w:val="00BC764C"/>
    <w:rsid w:val="00BD0047"/>
    <w:rsid w:val="00BD0C75"/>
    <w:rsid w:val="00BD163D"/>
    <w:rsid w:val="00BD26AA"/>
    <w:rsid w:val="00BD3482"/>
    <w:rsid w:val="00BD362D"/>
    <w:rsid w:val="00BD42A9"/>
    <w:rsid w:val="00BD454F"/>
    <w:rsid w:val="00BD4724"/>
    <w:rsid w:val="00BD5396"/>
    <w:rsid w:val="00BD5F1C"/>
    <w:rsid w:val="00BD6F01"/>
    <w:rsid w:val="00BD73BF"/>
    <w:rsid w:val="00BD75CB"/>
    <w:rsid w:val="00BE3B53"/>
    <w:rsid w:val="00BE51D1"/>
    <w:rsid w:val="00BE5CB5"/>
    <w:rsid w:val="00BF0003"/>
    <w:rsid w:val="00BF42B7"/>
    <w:rsid w:val="00BF475A"/>
    <w:rsid w:val="00BF61E8"/>
    <w:rsid w:val="00C01DCC"/>
    <w:rsid w:val="00C03DEC"/>
    <w:rsid w:val="00C04434"/>
    <w:rsid w:val="00C04F5D"/>
    <w:rsid w:val="00C05CC1"/>
    <w:rsid w:val="00C0698D"/>
    <w:rsid w:val="00C0735C"/>
    <w:rsid w:val="00C10F2C"/>
    <w:rsid w:val="00C11DF5"/>
    <w:rsid w:val="00C11E0A"/>
    <w:rsid w:val="00C11F4E"/>
    <w:rsid w:val="00C12E58"/>
    <w:rsid w:val="00C13520"/>
    <w:rsid w:val="00C16FC2"/>
    <w:rsid w:val="00C173FC"/>
    <w:rsid w:val="00C202B3"/>
    <w:rsid w:val="00C20894"/>
    <w:rsid w:val="00C20BE9"/>
    <w:rsid w:val="00C216B2"/>
    <w:rsid w:val="00C21EE0"/>
    <w:rsid w:val="00C222F8"/>
    <w:rsid w:val="00C23AE7"/>
    <w:rsid w:val="00C24653"/>
    <w:rsid w:val="00C24E23"/>
    <w:rsid w:val="00C24F87"/>
    <w:rsid w:val="00C252F8"/>
    <w:rsid w:val="00C2586A"/>
    <w:rsid w:val="00C26130"/>
    <w:rsid w:val="00C271AD"/>
    <w:rsid w:val="00C276C8"/>
    <w:rsid w:val="00C27982"/>
    <w:rsid w:val="00C30297"/>
    <w:rsid w:val="00C302B0"/>
    <w:rsid w:val="00C3067C"/>
    <w:rsid w:val="00C31BDA"/>
    <w:rsid w:val="00C32B05"/>
    <w:rsid w:val="00C34ACA"/>
    <w:rsid w:val="00C34F49"/>
    <w:rsid w:val="00C36A77"/>
    <w:rsid w:val="00C37153"/>
    <w:rsid w:val="00C41BF1"/>
    <w:rsid w:val="00C436A9"/>
    <w:rsid w:val="00C439B5"/>
    <w:rsid w:val="00C43F1B"/>
    <w:rsid w:val="00C4466A"/>
    <w:rsid w:val="00C45782"/>
    <w:rsid w:val="00C46C6C"/>
    <w:rsid w:val="00C47571"/>
    <w:rsid w:val="00C47EBA"/>
    <w:rsid w:val="00C50ECD"/>
    <w:rsid w:val="00C520B3"/>
    <w:rsid w:val="00C523DC"/>
    <w:rsid w:val="00C52EFB"/>
    <w:rsid w:val="00C539CC"/>
    <w:rsid w:val="00C53C58"/>
    <w:rsid w:val="00C55395"/>
    <w:rsid w:val="00C559B1"/>
    <w:rsid w:val="00C5640E"/>
    <w:rsid w:val="00C578A5"/>
    <w:rsid w:val="00C621EE"/>
    <w:rsid w:val="00C63F48"/>
    <w:rsid w:val="00C661D1"/>
    <w:rsid w:val="00C67E7A"/>
    <w:rsid w:val="00C700CC"/>
    <w:rsid w:val="00C71277"/>
    <w:rsid w:val="00C71981"/>
    <w:rsid w:val="00C721C6"/>
    <w:rsid w:val="00C72318"/>
    <w:rsid w:val="00C724E6"/>
    <w:rsid w:val="00C730D2"/>
    <w:rsid w:val="00C73B15"/>
    <w:rsid w:val="00C74316"/>
    <w:rsid w:val="00C747A5"/>
    <w:rsid w:val="00C74810"/>
    <w:rsid w:val="00C75043"/>
    <w:rsid w:val="00C7577C"/>
    <w:rsid w:val="00C76222"/>
    <w:rsid w:val="00C76FDD"/>
    <w:rsid w:val="00C77CB6"/>
    <w:rsid w:val="00C801DF"/>
    <w:rsid w:val="00C819C8"/>
    <w:rsid w:val="00C83005"/>
    <w:rsid w:val="00C8389D"/>
    <w:rsid w:val="00C8431E"/>
    <w:rsid w:val="00C85011"/>
    <w:rsid w:val="00C8517D"/>
    <w:rsid w:val="00C85314"/>
    <w:rsid w:val="00C856F9"/>
    <w:rsid w:val="00C85BD1"/>
    <w:rsid w:val="00C90B74"/>
    <w:rsid w:val="00C91901"/>
    <w:rsid w:val="00C91977"/>
    <w:rsid w:val="00C91AE1"/>
    <w:rsid w:val="00C932D9"/>
    <w:rsid w:val="00C947B5"/>
    <w:rsid w:val="00C94843"/>
    <w:rsid w:val="00C9557B"/>
    <w:rsid w:val="00C9580D"/>
    <w:rsid w:val="00CA0116"/>
    <w:rsid w:val="00CA1099"/>
    <w:rsid w:val="00CA1D47"/>
    <w:rsid w:val="00CA4BC0"/>
    <w:rsid w:val="00CA5CA8"/>
    <w:rsid w:val="00CA7598"/>
    <w:rsid w:val="00CA776E"/>
    <w:rsid w:val="00CB0157"/>
    <w:rsid w:val="00CB0C59"/>
    <w:rsid w:val="00CB1750"/>
    <w:rsid w:val="00CB3131"/>
    <w:rsid w:val="00CB4184"/>
    <w:rsid w:val="00CB5205"/>
    <w:rsid w:val="00CB5824"/>
    <w:rsid w:val="00CB5FBF"/>
    <w:rsid w:val="00CB7369"/>
    <w:rsid w:val="00CC065D"/>
    <w:rsid w:val="00CC081F"/>
    <w:rsid w:val="00CC0B63"/>
    <w:rsid w:val="00CC0B9C"/>
    <w:rsid w:val="00CC0BBC"/>
    <w:rsid w:val="00CC1398"/>
    <w:rsid w:val="00CC1B73"/>
    <w:rsid w:val="00CC3697"/>
    <w:rsid w:val="00CC530D"/>
    <w:rsid w:val="00CC559D"/>
    <w:rsid w:val="00CD023B"/>
    <w:rsid w:val="00CD08CE"/>
    <w:rsid w:val="00CD093C"/>
    <w:rsid w:val="00CD2334"/>
    <w:rsid w:val="00CD2C1F"/>
    <w:rsid w:val="00CD4E9A"/>
    <w:rsid w:val="00CD654B"/>
    <w:rsid w:val="00CD6C9E"/>
    <w:rsid w:val="00CE223E"/>
    <w:rsid w:val="00CE3202"/>
    <w:rsid w:val="00CE6945"/>
    <w:rsid w:val="00CE73AF"/>
    <w:rsid w:val="00CE79D6"/>
    <w:rsid w:val="00CF0921"/>
    <w:rsid w:val="00CF200A"/>
    <w:rsid w:val="00CF2E5B"/>
    <w:rsid w:val="00CF3F0D"/>
    <w:rsid w:val="00CF53B0"/>
    <w:rsid w:val="00CF6D0E"/>
    <w:rsid w:val="00CF6E2E"/>
    <w:rsid w:val="00D00D11"/>
    <w:rsid w:val="00D00F33"/>
    <w:rsid w:val="00D012D1"/>
    <w:rsid w:val="00D0286A"/>
    <w:rsid w:val="00D04977"/>
    <w:rsid w:val="00D06555"/>
    <w:rsid w:val="00D06749"/>
    <w:rsid w:val="00D06995"/>
    <w:rsid w:val="00D101F7"/>
    <w:rsid w:val="00D104F1"/>
    <w:rsid w:val="00D10AFD"/>
    <w:rsid w:val="00D116BD"/>
    <w:rsid w:val="00D12F9D"/>
    <w:rsid w:val="00D145F5"/>
    <w:rsid w:val="00D14FBC"/>
    <w:rsid w:val="00D15845"/>
    <w:rsid w:val="00D1612D"/>
    <w:rsid w:val="00D178A4"/>
    <w:rsid w:val="00D179B8"/>
    <w:rsid w:val="00D205FF"/>
    <w:rsid w:val="00D2182D"/>
    <w:rsid w:val="00D23E16"/>
    <w:rsid w:val="00D245B7"/>
    <w:rsid w:val="00D25322"/>
    <w:rsid w:val="00D27A27"/>
    <w:rsid w:val="00D27B15"/>
    <w:rsid w:val="00D303DB"/>
    <w:rsid w:val="00D30D61"/>
    <w:rsid w:val="00D3141F"/>
    <w:rsid w:val="00D32665"/>
    <w:rsid w:val="00D331F2"/>
    <w:rsid w:val="00D33912"/>
    <w:rsid w:val="00D33BB7"/>
    <w:rsid w:val="00D34112"/>
    <w:rsid w:val="00D355F0"/>
    <w:rsid w:val="00D36E5A"/>
    <w:rsid w:val="00D42F33"/>
    <w:rsid w:val="00D43AC8"/>
    <w:rsid w:val="00D47D42"/>
    <w:rsid w:val="00D50CC0"/>
    <w:rsid w:val="00D51032"/>
    <w:rsid w:val="00D53C32"/>
    <w:rsid w:val="00D56113"/>
    <w:rsid w:val="00D567C5"/>
    <w:rsid w:val="00D57228"/>
    <w:rsid w:val="00D5784C"/>
    <w:rsid w:val="00D60066"/>
    <w:rsid w:val="00D60B4B"/>
    <w:rsid w:val="00D61D9F"/>
    <w:rsid w:val="00D62932"/>
    <w:rsid w:val="00D65256"/>
    <w:rsid w:val="00D652BC"/>
    <w:rsid w:val="00D66C68"/>
    <w:rsid w:val="00D66DC6"/>
    <w:rsid w:val="00D67249"/>
    <w:rsid w:val="00D67A15"/>
    <w:rsid w:val="00D70CB4"/>
    <w:rsid w:val="00D726F1"/>
    <w:rsid w:val="00D740FA"/>
    <w:rsid w:val="00D77B95"/>
    <w:rsid w:val="00D8059B"/>
    <w:rsid w:val="00D82B6C"/>
    <w:rsid w:val="00D833D9"/>
    <w:rsid w:val="00D83BD9"/>
    <w:rsid w:val="00D86B97"/>
    <w:rsid w:val="00D877C6"/>
    <w:rsid w:val="00D904C5"/>
    <w:rsid w:val="00D90831"/>
    <w:rsid w:val="00D924C2"/>
    <w:rsid w:val="00D92655"/>
    <w:rsid w:val="00D93260"/>
    <w:rsid w:val="00D93ECD"/>
    <w:rsid w:val="00D943CE"/>
    <w:rsid w:val="00D94DCF"/>
    <w:rsid w:val="00D94EAE"/>
    <w:rsid w:val="00D959D5"/>
    <w:rsid w:val="00D97902"/>
    <w:rsid w:val="00D97BF3"/>
    <w:rsid w:val="00DA20E9"/>
    <w:rsid w:val="00DA2C8F"/>
    <w:rsid w:val="00DA4218"/>
    <w:rsid w:val="00DA586F"/>
    <w:rsid w:val="00DA5C05"/>
    <w:rsid w:val="00DA6910"/>
    <w:rsid w:val="00DA69FA"/>
    <w:rsid w:val="00DA72D9"/>
    <w:rsid w:val="00DA7F90"/>
    <w:rsid w:val="00DB08DA"/>
    <w:rsid w:val="00DB193C"/>
    <w:rsid w:val="00DB2BD4"/>
    <w:rsid w:val="00DB3D91"/>
    <w:rsid w:val="00DB5916"/>
    <w:rsid w:val="00DB686A"/>
    <w:rsid w:val="00DB6A40"/>
    <w:rsid w:val="00DB7F09"/>
    <w:rsid w:val="00DC00E8"/>
    <w:rsid w:val="00DC1C56"/>
    <w:rsid w:val="00DC4756"/>
    <w:rsid w:val="00DC5F98"/>
    <w:rsid w:val="00DC6379"/>
    <w:rsid w:val="00DC6701"/>
    <w:rsid w:val="00DC6CE2"/>
    <w:rsid w:val="00DC7867"/>
    <w:rsid w:val="00DD040A"/>
    <w:rsid w:val="00DD0693"/>
    <w:rsid w:val="00DD237F"/>
    <w:rsid w:val="00DD2AD9"/>
    <w:rsid w:val="00DD338A"/>
    <w:rsid w:val="00DD4536"/>
    <w:rsid w:val="00DD4B21"/>
    <w:rsid w:val="00DD4E52"/>
    <w:rsid w:val="00DD4EB5"/>
    <w:rsid w:val="00DD5362"/>
    <w:rsid w:val="00DE3C77"/>
    <w:rsid w:val="00DE69F1"/>
    <w:rsid w:val="00DE6C9E"/>
    <w:rsid w:val="00DE7CD8"/>
    <w:rsid w:val="00DF03A9"/>
    <w:rsid w:val="00DF1363"/>
    <w:rsid w:val="00DF1CD7"/>
    <w:rsid w:val="00DF2732"/>
    <w:rsid w:val="00DF6018"/>
    <w:rsid w:val="00DF66DA"/>
    <w:rsid w:val="00DF6F61"/>
    <w:rsid w:val="00DF754F"/>
    <w:rsid w:val="00DF7610"/>
    <w:rsid w:val="00E0119C"/>
    <w:rsid w:val="00E01569"/>
    <w:rsid w:val="00E0183D"/>
    <w:rsid w:val="00E02029"/>
    <w:rsid w:val="00E0269E"/>
    <w:rsid w:val="00E030DF"/>
    <w:rsid w:val="00E03350"/>
    <w:rsid w:val="00E03F59"/>
    <w:rsid w:val="00E101C6"/>
    <w:rsid w:val="00E110FE"/>
    <w:rsid w:val="00E11EAF"/>
    <w:rsid w:val="00E142B5"/>
    <w:rsid w:val="00E142E7"/>
    <w:rsid w:val="00E15B20"/>
    <w:rsid w:val="00E16F60"/>
    <w:rsid w:val="00E16FE3"/>
    <w:rsid w:val="00E17700"/>
    <w:rsid w:val="00E17803"/>
    <w:rsid w:val="00E1798A"/>
    <w:rsid w:val="00E17AF8"/>
    <w:rsid w:val="00E20235"/>
    <w:rsid w:val="00E22D51"/>
    <w:rsid w:val="00E3275A"/>
    <w:rsid w:val="00E336D2"/>
    <w:rsid w:val="00E35CCC"/>
    <w:rsid w:val="00E36D9A"/>
    <w:rsid w:val="00E418A5"/>
    <w:rsid w:val="00E42365"/>
    <w:rsid w:val="00E4247B"/>
    <w:rsid w:val="00E432E9"/>
    <w:rsid w:val="00E44A93"/>
    <w:rsid w:val="00E44B78"/>
    <w:rsid w:val="00E44BD7"/>
    <w:rsid w:val="00E463A1"/>
    <w:rsid w:val="00E471AA"/>
    <w:rsid w:val="00E50080"/>
    <w:rsid w:val="00E50E7C"/>
    <w:rsid w:val="00E51545"/>
    <w:rsid w:val="00E51946"/>
    <w:rsid w:val="00E51D9E"/>
    <w:rsid w:val="00E52F23"/>
    <w:rsid w:val="00E53363"/>
    <w:rsid w:val="00E53633"/>
    <w:rsid w:val="00E537D1"/>
    <w:rsid w:val="00E539F7"/>
    <w:rsid w:val="00E53B56"/>
    <w:rsid w:val="00E567E6"/>
    <w:rsid w:val="00E56971"/>
    <w:rsid w:val="00E61484"/>
    <w:rsid w:val="00E6278F"/>
    <w:rsid w:val="00E627E2"/>
    <w:rsid w:val="00E63125"/>
    <w:rsid w:val="00E65008"/>
    <w:rsid w:val="00E65D17"/>
    <w:rsid w:val="00E70FAA"/>
    <w:rsid w:val="00E7113F"/>
    <w:rsid w:val="00E711D7"/>
    <w:rsid w:val="00E7122A"/>
    <w:rsid w:val="00E74B92"/>
    <w:rsid w:val="00E77F9E"/>
    <w:rsid w:val="00E807D6"/>
    <w:rsid w:val="00E815E1"/>
    <w:rsid w:val="00E81946"/>
    <w:rsid w:val="00E8303B"/>
    <w:rsid w:val="00E836DA"/>
    <w:rsid w:val="00E83F6E"/>
    <w:rsid w:val="00E84A40"/>
    <w:rsid w:val="00E84AC9"/>
    <w:rsid w:val="00E84E8F"/>
    <w:rsid w:val="00E860C3"/>
    <w:rsid w:val="00E86B0B"/>
    <w:rsid w:val="00E87653"/>
    <w:rsid w:val="00E9005F"/>
    <w:rsid w:val="00E902B0"/>
    <w:rsid w:val="00E902E8"/>
    <w:rsid w:val="00E94624"/>
    <w:rsid w:val="00E95AF3"/>
    <w:rsid w:val="00E95B71"/>
    <w:rsid w:val="00E95D1A"/>
    <w:rsid w:val="00E96B29"/>
    <w:rsid w:val="00E96C3D"/>
    <w:rsid w:val="00E97405"/>
    <w:rsid w:val="00EA0FEF"/>
    <w:rsid w:val="00EA1A5F"/>
    <w:rsid w:val="00EA23A0"/>
    <w:rsid w:val="00EA23AC"/>
    <w:rsid w:val="00EA28D7"/>
    <w:rsid w:val="00EA4689"/>
    <w:rsid w:val="00EA5710"/>
    <w:rsid w:val="00EA5A4C"/>
    <w:rsid w:val="00EA7C3D"/>
    <w:rsid w:val="00EA7CE4"/>
    <w:rsid w:val="00EB0761"/>
    <w:rsid w:val="00EB2367"/>
    <w:rsid w:val="00EB36DB"/>
    <w:rsid w:val="00EB5D76"/>
    <w:rsid w:val="00EB685E"/>
    <w:rsid w:val="00EB6878"/>
    <w:rsid w:val="00EB6CA4"/>
    <w:rsid w:val="00EC03E5"/>
    <w:rsid w:val="00EC1E0E"/>
    <w:rsid w:val="00EC236D"/>
    <w:rsid w:val="00EC3791"/>
    <w:rsid w:val="00EC3984"/>
    <w:rsid w:val="00EC3A54"/>
    <w:rsid w:val="00EC3CB9"/>
    <w:rsid w:val="00EC56F4"/>
    <w:rsid w:val="00EC634F"/>
    <w:rsid w:val="00EC6B16"/>
    <w:rsid w:val="00ED41BE"/>
    <w:rsid w:val="00ED491D"/>
    <w:rsid w:val="00ED587F"/>
    <w:rsid w:val="00ED5ED8"/>
    <w:rsid w:val="00ED7C42"/>
    <w:rsid w:val="00EE09F3"/>
    <w:rsid w:val="00EE1447"/>
    <w:rsid w:val="00EE23B4"/>
    <w:rsid w:val="00EE31D6"/>
    <w:rsid w:val="00EE48F1"/>
    <w:rsid w:val="00EE4A19"/>
    <w:rsid w:val="00EE603E"/>
    <w:rsid w:val="00EE7E16"/>
    <w:rsid w:val="00EF145E"/>
    <w:rsid w:val="00EF2279"/>
    <w:rsid w:val="00EF29C9"/>
    <w:rsid w:val="00EF2BBB"/>
    <w:rsid w:val="00EF4C14"/>
    <w:rsid w:val="00EF57C6"/>
    <w:rsid w:val="00EF5D40"/>
    <w:rsid w:val="00EF642E"/>
    <w:rsid w:val="00EF766D"/>
    <w:rsid w:val="00F000C2"/>
    <w:rsid w:val="00F0082D"/>
    <w:rsid w:val="00F00F2A"/>
    <w:rsid w:val="00F010C3"/>
    <w:rsid w:val="00F015AB"/>
    <w:rsid w:val="00F040F7"/>
    <w:rsid w:val="00F042BF"/>
    <w:rsid w:val="00F05967"/>
    <w:rsid w:val="00F07377"/>
    <w:rsid w:val="00F07C90"/>
    <w:rsid w:val="00F07E69"/>
    <w:rsid w:val="00F10D03"/>
    <w:rsid w:val="00F1267D"/>
    <w:rsid w:val="00F12FE3"/>
    <w:rsid w:val="00F14B57"/>
    <w:rsid w:val="00F15A5E"/>
    <w:rsid w:val="00F15B27"/>
    <w:rsid w:val="00F15E59"/>
    <w:rsid w:val="00F16201"/>
    <w:rsid w:val="00F177B2"/>
    <w:rsid w:val="00F21CBE"/>
    <w:rsid w:val="00F226AF"/>
    <w:rsid w:val="00F234E3"/>
    <w:rsid w:val="00F24EEA"/>
    <w:rsid w:val="00F257A1"/>
    <w:rsid w:val="00F25ECA"/>
    <w:rsid w:val="00F26072"/>
    <w:rsid w:val="00F27386"/>
    <w:rsid w:val="00F33DB8"/>
    <w:rsid w:val="00F35016"/>
    <w:rsid w:val="00F36435"/>
    <w:rsid w:val="00F36741"/>
    <w:rsid w:val="00F36F98"/>
    <w:rsid w:val="00F370F0"/>
    <w:rsid w:val="00F374A2"/>
    <w:rsid w:val="00F40725"/>
    <w:rsid w:val="00F4198A"/>
    <w:rsid w:val="00F42086"/>
    <w:rsid w:val="00F45F7F"/>
    <w:rsid w:val="00F4778C"/>
    <w:rsid w:val="00F47A46"/>
    <w:rsid w:val="00F50C1C"/>
    <w:rsid w:val="00F50C51"/>
    <w:rsid w:val="00F519B3"/>
    <w:rsid w:val="00F53A28"/>
    <w:rsid w:val="00F54406"/>
    <w:rsid w:val="00F54414"/>
    <w:rsid w:val="00F56E34"/>
    <w:rsid w:val="00F57BED"/>
    <w:rsid w:val="00F60198"/>
    <w:rsid w:val="00F602F7"/>
    <w:rsid w:val="00F604D6"/>
    <w:rsid w:val="00F627D0"/>
    <w:rsid w:val="00F628FD"/>
    <w:rsid w:val="00F62BAE"/>
    <w:rsid w:val="00F6318B"/>
    <w:rsid w:val="00F64090"/>
    <w:rsid w:val="00F640B0"/>
    <w:rsid w:val="00F64DDF"/>
    <w:rsid w:val="00F665DD"/>
    <w:rsid w:val="00F6748F"/>
    <w:rsid w:val="00F67BFE"/>
    <w:rsid w:val="00F70AE9"/>
    <w:rsid w:val="00F71412"/>
    <w:rsid w:val="00F742F5"/>
    <w:rsid w:val="00F74B11"/>
    <w:rsid w:val="00F75B78"/>
    <w:rsid w:val="00F7613A"/>
    <w:rsid w:val="00F76C8C"/>
    <w:rsid w:val="00F76CC7"/>
    <w:rsid w:val="00F77408"/>
    <w:rsid w:val="00F77E73"/>
    <w:rsid w:val="00F80026"/>
    <w:rsid w:val="00F80A7D"/>
    <w:rsid w:val="00F824BB"/>
    <w:rsid w:val="00F82746"/>
    <w:rsid w:val="00F82BF6"/>
    <w:rsid w:val="00F833C7"/>
    <w:rsid w:val="00F836F9"/>
    <w:rsid w:val="00F841C4"/>
    <w:rsid w:val="00F845D7"/>
    <w:rsid w:val="00F86376"/>
    <w:rsid w:val="00F867A8"/>
    <w:rsid w:val="00F86C13"/>
    <w:rsid w:val="00F901D6"/>
    <w:rsid w:val="00F90994"/>
    <w:rsid w:val="00F92279"/>
    <w:rsid w:val="00F9269E"/>
    <w:rsid w:val="00F9343A"/>
    <w:rsid w:val="00F95A60"/>
    <w:rsid w:val="00F95E8E"/>
    <w:rsid w:val="00F97645"/>
    <w:rsid w:val="00FA136B"/>
    <w:rsid w:val="00FA18E5"/>
    <w:rsid w:val="00FA25DA"/>
    <w:rsid w:val="00FA26D4"/>
    <w:rsid w:val="00FA4459"/>
    <w:rsid w:val="00FA7639"/>
    <w:rsid w:val="00FA7A52"/>
    <w:rsid w:val="00FA7D52"/>
    <w:rsid w:val="00FB032B"/>
    <w:rsid w:val="00FB0379"/>
    <w:rsid w:val="00FB140F"/>
    <w:rsid w:val="00FB2830"/>
    <w:rsid w:val="00FB4D21"/>
    <w:rsid w:val="00FB5302"/>
    <w:rsid w:val="00FB629F"/>
    <w:rsid w:val="00FB6836"/>
    <w:rsid w:val="00FB7556"/>
    <w:rsid w:val="00FB762B"/>
    <w:rsid w:val="00FC0D0A"/>
    <w:rsid w:val="00FC1172"/>
    <w:rsid w:val="00FC2955"/>
    <w:rsid w:val="00FC66FB"/>
    <w:rsid w:val="00FC696A"/>
    <w:rsid w:val="00FC69B7"/>
    <w:rsid w:val="00FC6ADA"/>
    <w:rsid w:val="00FC727E"/>
    <w:rsid w:val="00FC7361"/>
    <w:rsid w:val="00FD0753"/>
    <w:rsid w:val="00FD0B8E"/>
    <w:rsid w:val="00FD2194"/>
    <w:rsid w:val="00FD2C7C"/>
    <w:rsid w:val="00FD2CFA"/>
    <w:rsid w:val="00FD317F"/>
    <w:rsid w:val="00FD3438"/>
    <w:rsid w:val="00FD381A"/>
    <w:rsid w:val="00FD3A9F"/>
    <w:rsid w:val="00FD473F"/>
    <w:rsid w:val="00FD4CD2"/>
    <w:rsid w:val="00FD69EE"/>
    <w:rsid w:val="00FD7733"/>
    <w:rsid w:val="00FE10D2"/>
    <w:rsid w:val="00FE1923"/>
    <w:rsid w:val="00FE255E"/>
    <w:rsid w:val="00FE3BB0"/>
    <w:rsid w:val="00FE51BD"/>
    <w:rsid w:val="00FE5B63"/>
    <w:rsid w:val="00FF16C2"/>
    <w:rsid w:val="00FF1B7B"/>
    <w:rsid w:val="00FF2077"/>
    <w:rsid w:val="00FF29AF"/>
    <w:rsid w:val="00FF2FA7"/>
    <w:rsid w:val="00FF4361"/>
    <w:rsid w:val="00FF5899"/>
    <w:rsid w:val="00FF5D41"/>
    <w:rsid w:val="00FF6354"/>
    <w:rsid w:val="00FF6AD6"/>
    <w:rsid w:val="00FF7B1A"/>
    <w:rsid w:val="01A4222E"/>
    <w:rsid w:val="01B9A410"/>
    <w:rsid w:val="03817DA2"/>
    <w:rsid w:val="03AF78CB"/>
    <w:rsid w:val="0498B707"/>
    <w:rsid w:val="04F0A912"/>
    <w:rsid w:val="058FD442"/>
    <w:rsid w:val="06278C63"/>
    <w:rsid w:val="06753D99"/>
    <w:rsid w:val="0797F475"/>
    <w:rsid w:val="08042FA3"/>
    <w:rsid w:val="0998A60A"/>
    <w:rsid w:val="0AFD72FA"/>
    <w:rsid w:val="0B2E8F8B"/>
    <w:rsid w:val="0F93CCB2"/>
    <w:rsid w:val="10309661"/>
    <w:rsid w:val="106FF004"/>
    <w:rsid w:val="12791B53"/>
    <w:rsid w:val="150DC1BE"/>
    <w:rsid w:val="15D39BF3"/>
    <w:rsid w:val="15D796E0"/>
    <w:rsid w:val="16B94A34"/>
    <w:rsid w:val="1758F540"/>
    <w:rsid w:val="176F8E6C"/>
    <w:rsid w:val="179A97E5"/>
    <w:rsid w:val="18CF0343"/>
    <w:rsid w:val="19650095"/>
    <w:rsid w:val="196B8195"/>
    <w:rsid w:val="1A0B8BD2"/>
    <w:rsid w:val="1A1B9432"/>
    <w:rsid w:val="1D9FF4B6"/>
    <w:rsid w:val="1DCD2B34"/>
    <w:rsid w:val="1E0FA4E4"/>
    <w:rsid w:val="1ECA2D43"/>
    <w:rsid w:val="1F58BEF3"/>
    <w:rsid w:val="20045285"/>
    <w:rsid w:val="21113784"/>
    <w:rsid w:val="22EF8977"/>
    <w:rsid w:val="2304DB8A"/>
    <w:rsid w:val="23133E78"/>
    <w:rsid w:val="23A10EE6"/>
    <w:rsid w:val="2413D8A8"/>
    <w:rsid w:val="24296DBD"/>
    <w:rsid w:val="251A034F"/>
    <w:rsid w:val="2556C4A5"/>
    <w:rsid w:val="265B2C5B"/>
    <w:rsid w:val="2696925C"/>
    <w:rsid w:val="2715F168"/>
    <w:rsid w:val="28E55D3B"/>
    <w:rsid w:val="2EE5ED5C"/>
    <w:rsid w:val="3110E6DE"/>
    <w:rsid w:val="3171E6E1"/>
    <w:rsid w:val="3229B173"/>
    <w:rsid w:val="33CFE5ED"/>
    <w:rsid w:val="34424B32"/>
    <w:rsid w:val="35068117"/>
    <w:rsid w:val="3610B505"/>
    <w:rsid w:val="36790ACB"/>
    <w:rsid w:val="36E43A48"/>
    <w:rsid w:val="37FF6DE5"/>
    <w:rsid w:val="38C46BB0"/>
    <w:rsid w:val="39380617"/>
    <w:rsid w:val="3A4717FD"/>
    <w:rsid w:val="3B583825"/>
    <w:rsid w:val="3B711920"/>
    <w:rsid w:val="3B91EFB7"/>
    <w:rsid w:val="3BD7A7E5"/>
    <w:rsid w:val="3C8F1C6D"/>
    <w:rsid w:val="3DF7C786"/>
    <w:rsid w:val="3E058BFB"/>
    <w:rsid w:val="3F0DE95D"/>
    <w:rsid w:val="3F307D75"/>
    <w:rsid w:val="3F942121"/>
    <w:rsid w:val="3FEBF32D"/>
    <w:rsid w:val="407DA82B"/>
    <w:rsid w:val="40A59A09"/>
    <w:rsid w:val="40A93910"/>
    <w:rsid w:val="42BA0193"/>
    <w:rsid w:val="43277BAC"/>
    <w:rsid w:val="4341CCF8"/>
    <w:rsid w:val="43550EBF"/>
    <w:rsid w:val="44DA568D"/>
    <w:rsid w:val="458B3018"/>
    <w:rsid w:val="46427204"/>
    <w:rsid w:val="465F8A6D"/>
    <w:rsid w:val="47AA9255"/>
    <w:rsid w:val="481A0135"/>
    <w:rsid w:val="48FC7D09"/>
    <w:rsid w:val="4982B55D"/>
    <w:rsid w:val="4A0C2313"/>
    <w:rsid w:val="4AECEB3D"/>
    <w:rsid w:val="4CB57DFF"/>
    <w:rsid w:val="4CE44C6D"/>
    <w:rsid w:val="4D40B952"/>
    <w:rsid w:val="4D6F8FC3"/>
    <w:rsid w:val="4D94C15A"/>
    <w:rsid w:val="4DD9E72C"/>
    <w:rsid w:val="4EAB1320"/>
    <w:rsid w:val="4F024B97"/>
    <w:rsid w:val="5019CFF8"/>
    <w:rsid w:val="5057C67C"/>
    <w:rsid w:val="50684F5F"/>
    <w:rsid w:val="52D9C172"/>
    <w:rsid w:val="545DD5DC"/>
    <w:rsid w:val="55483B8F"/>
    <w:rsid w:val="55B91945"/>
    <w:rsid w:val="55FB0895"/>
    <w:rsid w:val="560C8ABB"/>
    <w:rsid w:val="561E477C"/>
    <w:rsid w:val="56A8B7C6"/>
    <w:rsid w:val="56E5E4D2"/>
    <w:rsid w:val="57263BB3"/>
    <w:rsid w:val="582DABE9"/>
    <w:rsid w:val="5B9E097D"/>
    <w:rsid w:val="5C109566"/>
    <w:rsid w:val="5C3BAE66"/>
    <w:rsid w:val="5D26EC9A"/>
    <w:rsid w:val="5E178FC9"/>
    <w:rsid w:val="5E5F6F04"/>
    <w:rsid w:val="5F84C588"/>
    <w:rsid w:val="60F63BC0"/>
    <w:rsid w:val="61A4B6BA"/>
    <w:rsid w:val="61A8185E"/>
    <w:rsid w:val="63630C0A"/>
    <w:rsid w:val="64928A1B"/>
    <w:rsid w:val="6517D0DA"/>
    <w:rsid w:val="6533B0EC"/>
    <w:rsid w:val="653E37A9"/>
    <w:rsid w:val="653F30A9"/>
    <w:rsid w:val="666C6DC8"/>
    <w:rsid w:val="66A27D2D"/>
    <w:rsid w:val="66F96F04"/>
    <w:rsid w:val="672384BF"/>
    <w:rsid w:val="679591AC"/>
    <w:rsid w:val="67F42B3B"/>
    <w:rsid w:val="68EFC15A"/>
    <w:rsid w:val="69A03A90"/>
    <w:rsid w:val="6A31AAEC"/>
    <w:rsid w:val="6A4FF7C8"/>
    <w:rsid w:val="6A655D06"/>
    <w:rsid w:val="6A93E800"/>
    <w:rsid w:val="6BDA3F7B"/>
    <w:rsid w:val="6C94E53E"/>
    <w:rsid w:val="6E198D3B"/>
    <w:rsid w:val="6ED1D1D1"/>
    <w:rsid w:val="6ED4636F"/>
    <w:rsid w:val="6F14710D"/>
    <w:rsid w:val="6FE090F5"/>
    <w:rsid w:val="717885EF"/>
    <w:rsid w:val="72C34953"/>
    <w:rsid w:val="766FC3C1"/>
    <w:rsid w:val="77C099A8"/>
    <w:rsid w:val="77E59E3C"/>
    <w:rsid w:val="78850DE7"/>
    <w:rsid w:val="7961D861"/>
    <w:rsid w:val="7B5E43B9"/>
    <w:rsid w:val="7D266B94"/>
    <w:rsid w:val="7D9E9E9C"/>
    <w:rsid w:val="7DFA0663"/>
    <w:rsid w:val="7E20922C"/>
    <w:rsid w:val="7F2C4351"/>
    <w:rsid w:val="7FEC88A5"/>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4C580F9F"/>
  <w15:docId w15:val="{48AA21AF-0DB7-4D08-8889-7B1715048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1FB4"/>
    <w:pPr>
      <w:spacing w:before="120" w:after="120" w:line="240" w:lineRule="auto"/>
    </w:pPr>
    <w:rPr>
      <w:rFonts w:ascii="Calibri" w:eastAsia="Times New Roman" w:hAnsi="Calibri" w:cs="Times New Roman"/>
      <w:szCs w:val="20"/>
      <w:lang w:eastAsia="en-AU"/>
    </w:rPr>
  </w:style>
  <w:style w:type="paragraph" w:styleId="Heading1">
    <w:name w:val="heading 1"/>
    <w:basedOn w:val="HeadingBase"/>
    <w:next w:val="Normal"/>
    <w:link w:val="Heading1Char"/>
    <w:qFormat/>
    <w:rsid w:val="001E724C"/>
    <w:pPr>
      <w:numPr>
        <w:ilvl w:val="1"/>
        <w:numId w:val="115"/>
      </w:numPr>
      <w:tabs>
        <w:tab w:val="left" w:pos="2552"/>
      </w:tabs>
      <w:spacing w:before="480"/>
      <w:outlineLvl w:val="0"/>
    </w:pPr>
    <w:rPr>
      <w:bCs w:val="0"/>
    </w:rPr>
  </w:style>
  <w:style w:type="paragraph" w:styleId="Heading2">
    <w:name w:val="heading 2"/>
    <w:basedOn w:val="HeadingBase"/>
    <w:next w:val="Normal"/>
    <w:link w:val="Heading2Char"/>
    <w:qFormat/>
    <w:rsid w:val="00861FB4"/>
    <w:pPr>
      <w:spacing w:before="360"/>
      <w:outlineLvl w:val="1"/>
    </w:pPr>
    <w:rPr>
      <w:b/>
      <w:bCs w:val="0"/>
      <w:iCs/>
      <w:color w:val="604878" w:themeColor="accent3"/>
      <w:sz w:val="36"/>
      <w:szCs w:val="28"/>
    </w:rPr>
  </w:style>
  <w:style w:type="paragraph" w:styleId="Heading3">
    <w:name w:val="heading 3"/>
    <w:basedOn w:val="HeadingBase"/>
    <w:next w:val="Normal"/>
    <w:link w:val="Heading3Char"/>
    <w:qFormat/>
    <w:rsid w:val="00861FB4"/>
    <w:pPr>
      <w:spacing w:before="240"/>
      <w:outlineLvl w:val="2"/>
    </w:pPr>
    <w:rPr>
      <w:b/>
      <w:bCs w:val="0"/>
      <w:color w:val="30A9B2" w:themeColor="accent4"/>
      <w:sz w:val="32"/>
      <w:szCs w:val="26"/>
    </w:rPr>
  </w:style>
  <w:style w:type="paragraph" w:styleId="Heading4">
    <w:name w:val="heading 4"/>
    <w:basedOn w:val="HeadingBase"/>
    <w:next w:val="Normal"/>
    <w:link w:val="Heading4Char"/>
    <w:qFormat/>
    <w:rsid w:val="00861FB4"/>
    <w:pPr>
      <w:spacing w:before="360"/>
      <w:outlineLvl w:val="3"/>
    </w:pPr>
    <w:rPr>
      <w:b/>
      <w:bCs w:val="0"/>
      <w:sz w:val="26"/>
      <w:szCs w:val="26"/>
    </w:rPr>
  </w:style>
  <w:style w:type="paragraph" w:styleId="Heading5">
    <w:name w:val="heading 5"/>
    <w:basedOn w:val="HeadingBase"/>
    <w:next w:val="Normal"/>
    <w:link w:val="Heading5Char"/>
    <w:qFormat/>
    <w:rsid w:val="00861FB4"/>
    <w:pPr>
      <w:spacing w:before="240"/>
      <w:outlineLvl w:val="4"/>
    </w:pPr>
    <w:rPr>
      <w:b/>
      <w:bCs w:val="0"/>
      <w:iCs/>
      <w:color w:val="604878" w:themeColor="accent3"/>
      <w:sz w:val="24"/>
    </w:rPr>
  </w:style>
  <w:style w:type="paragraph" w:styleId="Heading6">
    <w:name w:val="heading 6"/>
    <w:basedOn w:val="HeadingBase"/>
    <w:next w:val="Normal"/>
    <w:link w:val="Heading6Char"/>
    <w:qFormat/>
    <w:rsid w:val="00861FB4"/>
    <w:pPr>
      <w:outlineLvl w:val="5"/>
    </w:pPr>
    <w:rPr>
      <w:b/>
      <w:bCs w:val="0"/>
      <w:color w:val="30A9B2" w:themeColor="accent4"/>
      <w:sz w:val="22"/>
      <w:szCs w:val="22"/>
    </w:rPr>
  </w:style>
  <w:style w:type="paragraph" w:styleId="Heading7">
    <w:name w:val="heading 7"/>
    <w:basedOn w:val="Normal"/>
    <w:next w:val="Normal"/>
    <w:link w:val="Heading7Char"/>
    <w:uiPriority w:val="9"/>
    <w:unhideWhenUsed/>
    <w:qFormat/>
    <w:rsid w:val="0092760B"/>
    <w:pPr>
      <w:keepNext/>
      <w:keepLines/>
      <w:spacing w:before="40" w:after="0"/>
      <w:outlineLvl w:val="6"/>
    </w:pPr>
    <w:rPr>
      <w:rFonts w:asciiTheme="majorHAnsi" w:eastAsiaTheme="majorEastAsia" w:hAnsiTheme="majorHAnsi" w:cstheme="majorBidi"/>
      <w:i/>
      <w:iCs/>
      <w:color w:val="0A262F" w:themeColor="accent1" w:themeShade="7F"/>
    </w:rPr>
  </w:style>
  <w:style w:type="paragraph" w:styleId="Heading8">
    <w:name w:val="heading 8"/>
    <w:basedOn w:val="Normal"/>
    <w:next w:val="Normal"/>
    <w:link w:val="Heading8Char"/>
    <w:uiPriority w:val="9"/>
    <w:semiHidden/>
    <w:unhideWhenUsed/>
    <w:qFormat/>
    <w:rsid w:val="002A2FAE"/>
    <w:pPr>
      <w:keepNext/>
      <w:keepLines/>
      <w:spacing w:before="40" w:after="0"/>
      <w:outlineLvl w:val="7"/>
    </w:pPr>
    <w:rPr>
      <w:rFonts w:asciiTheme="majorHAnsi" w:eastAsiaTheme="majorEastAsia" w:hAnsiTheme="majorHAns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E724C"/>
    <w:rPr>
      <w:rFonts w:ascii="Calibri" w:eastAsia="Times New Roman" w:hAnsi="Calibri" w:cs="Arial"/>
      <w:color w:val="144E60" w:themeColor="accent1"/>
      <w:kern w:val="32"/>
      <w:sz w:val="48"/>
      <w:szCs w:val="36"/>
      <w:lang w:eastAsia="en-AU"/>
    </w:rPr>
  </w:style>
  <w:style w:type="character" w:customStyle="1" w:styleId="Heading2Char">
    <w:name w:val="Heading 2 Char"/>
    <w:basedOn w:val="DefaultParagraphFont"/>
    <w:link w:val="Heading2"/>
    <w:rsid w:val="00861FB4"/>
    <w:rPr>
      <w:rFonts w:ascii="Calibri" w:eastAsia="Times New Roman" w:hAnsi="Calibri" w:cs="Arial"/>
      <w:b/>
      <w:iCs/>
      <w:color w:val="604878" w:themeColor="accent3"/>
      <w:kern w:val="32"/>
      <w:sz w:val="36"/>
      <w:szCs w:val="28"/>
      <w:lang w:eastAsia="en-AU"/>
    </w:rPr>
  </w:style>
  <w:style w:type="character" w:customStyle="1" w:styleId="Heading3Char">
    <w:name w:val="Heading 3 Char"/>
    <w:basedOn w:val="DefaultParagraphFont"/>
    <w:link w:val="Heading3"/>
    <w:rsid w:val="00861FB4"/>
    <w:rPr>
      <w:rFonts w:ascii="Calibri" w:eastAsia="Times New Roman" w:hAnsi="Calibri" w:cs="Arial"/>
      <w:b/>
      <w:color w:val="30A9B2" w:themeColor="accent4"/>
      <w:kern w:val="32"/>
      <w:sz w:val="32"/>
      <w:szCs w:val="26"/>
      <w:lang w:eastAsia="en-AU"/>
    </w:rPr>
  </w:style>
  <w:style w:type="character" w:customStyle="1" w:styleId="Heading4Char">
    <w:name w:val="Heading 4 Char"/>
    <w:basedOn w:val="DefaultParagraphFont"/>
    <w:link w:val="Heading4"/>
    <w:rsid w:val="00861FB4"/>
    <w:rPr>
      <w:rFonts w:ascii="Calibri" w:eastAsia="Times New Roman" w:hAnsi="Calibri" w:cs="Arial"/>
      <w:b/>
      <w:color w:val="144E60" w:themeColor="accent1"/>
      <w:kern w:val="32"/>
      <w:sz w:val="26"/>
      <w:szCs w:val="26"/>
      <w:lang w:eastAsia="en-AU"/>
    </w:rPr>
  </w:style>
  <w:style w:type="character" w:customStyle="1" w:styleId="Heading5Char">
    <w:name w:val="Heading 5 Char"/>
    <w:basedOn w:val="DefaultParagraphFont"/>
    <w:link w:val="Heading5"/>
    <w:rsid w:val="00861FB4"/>
    <w:rPr>
      <w:rFonts w:ascii="Calibri" w:eastAsia="Times New Roman" w:hAnsi="Calibri" w:cs="Arial"/>
      <w:b/>
      <w:iCs/>
      <w:color w:val="604878" w:themeColor="accent3"/>
      <w:kern w:val="32"/>
      <w:sz w:val="24"/>
      <w:szCs w:val="36"/>
      <w:lang w:eastAsia="en-AU"/>
    </w:rPr>
  </w:style>
  <w:style w:type="character" w:customStyle="1" w:styleId="Heading6Char">
    <w:name w:val="Heading 6 Char"/>
    <w:basedOn w:val="DefaultParagraphFont"/>
    <w:link w:val="Heading6"/>
    <w:rsid w:val="00861FB4"/>
    <w:rPr>
      <w:rFonts w:ascii="Calibri" w:eastAsia="Times New Roman" w:hAnsi="Calibri" w:cs="Arial"/>
      <w:b/>
      <w:color w:val="30A9B2" w:themeColor="accent4"/>
      <w:kern w:val="32"/>
      <w:lang w:eastAsia="en-AU"/>
    </w:rPr>
  </w:style>
  <w:style w:type="paragraph" w:customStyle="1" w:styleId="ChartGraphic">
    <w:name w:val="Chart Graphic"/>
    <w:basedOn w:val="Normal"/>
    <w:next w:val="Normal"/>
    <w:rsid w:val="00861FB4"/>
    <w:pPr>
      <w:keepNext/>
      <w:spacing w:before="0" w:after="0"/>
      <w:jc w:val="center"/>
    </w:pPr>
    <w:rPr>
      <w:color w:val="004A7F"/>
      <w:sz w:val="20"/>
    </w:rPr>
  </w:style>
  <w:style w:type="paragraph" w:customStyle="1" w:styleId="AlphaParagraph">
    <w:name w:val="Alpha Paragraph"/>
    <w:basedOn w:val="Normal"/>
    <w:rsid w:val="00861FB4"/>
    <w:pPr>
      <w:numPr>
        <w:ilvl w:val="1"/>
        <w:numId w:val="8"/>
      </w:numPr>
      <w:tabs>
        <w:tab w:val="num" w:pos="360"/>
      </w:tabs>
      <w:spacing w:before="0"/>
      <w:ind w:left="0" w:firstLine="0"/>
    </w:pPr>
  </w:style>
  <w:style w:type="paragraph" w:customStyle="1" w:styleId="BoxBullet">
    <w:name w:val="Box Bullet"/>
    <w:basedOn w:val="Normal"/>
    <w:rsid w:val="00861FB4"/>
    <w:pPr>
      <w:numPr>
        <w:numId w:val="2"/>
      </w:numPr>
      <w:spacing w:before="0"/>
    </w:pPr>
    <w:rPr>
      <w:sz w:val="20"/>
    </w:rPr>
  </w:style>
  <w:style w:type="paragraph" w:customStyle="1" w:styleId="BoxDash">
    <w:name w:val="Box Dash"/>
    <w:basedOn w:val="Normal"/>
    <w:rsid w:val="00861FB4"/>
    <w:pPr>
      <w:numPr>
        <w:ilvl w:val="1"/>
        <w:numId w:val="2"/>
      </w:numPr>
      <w:spacing w:before="0"/>
      <w:ind w:left="568"/>
    </w:pPr>
    <w:rPr>
      <w:sz w:val="20"/>
    </w:rPr>
  </w:style>
  <w:style w:type="paragraph" w:customStyle="1" w:styleId="BoxDoubleDot">
    <w:name w:val="Box Double Dot"/>
    <w:basedOn w:val="Normal"/>
    <w:rsid w:val="00861FB4"/>
    <w:pPr>
      <w:numPr>
        <w:ilvl w:val="2"/>
        <w:numId w:val="2"/>
      </w:numPr>
      <w:spacing w:before="0"/>
      <w:ind w:left="851" w:hanging="284"/>
    </w:pPr>
    <w:rPr>
      <w:sz w:val="20"/>
    </w:rPr>
  </w:style>
  <w:style w:type="paragraph" w:customStyle="1" w:styleId="BoxHeading">
    <w:name w:val="Box Heading"/>
    <w:basedOn w:val="Normal"/>
    <w:next w:val="Normal"/>
    <w:qFormat/>
    <w:rsid w:val="00861FB4"/>
    <w:pPr>
      <w:keepNext/>
      <w:numPr>
        <w:ilvl w:val="5"/>
        <w:numId w:val="115"/>
      </w:numPr>
      <w:spacing w:before="240"/>
      <w:outlineLvl w:val="2"/>
    </w:pPr>
    <w:rPr>
      <w:b/>
      <w:color w:val="604878" w:themeColor="accent3"/>
      <w:sz w:val="26"/>
      <w:szCs w:val="26"/>
    </w:rPr>
  </w:style>
  <w:style w:type="paragraph" w:customStyle="1" w:styleId="BoxText">
    <w:name w:val="Box Text"/>
    <w:basedOn w:val="Normal"/>
    <w:link w:val="BoxTextChar"/>
    <w:rsid w:val="00861FB4"/>
    <w:rPr>
      <w:sz w:val="20"/>
    </w:rPr>
  </w:style>
  <w:style w:type="paragraph" w:customStyle="1" w:styleId="Bullet">
    <w:name w:val="Bullet"/>
    <w:aliases w:val="Body,Bullet + line,b,b + line,b1,level 1"/>
    <w:basedOn w:val="Normal"/>
    <w:link w:val="BulletChar"/>
    <w:qFormat/>
    <w:rsid w:val="00931935"/>
    <w:pPr>
      <w:numPr>
        <w:numId w:val="1"/>
      </w:numPr>
      <w:tabs>
        <w:tab w:val="left" w:pos="397"/>
      </w:tabs>
      <w:spacing w:before="0"/>
    </w:pPr>
  </w:style>
  <w:style w:type="paragraph" w:customStyle="1" w:styleId="ChartandTableFootnoteAlpha">
    <w:name w:val="Chart and Table Footnote Alpha"/>
    <w:rsid w:val="00861FB4"/>
    <w:pPr>
      <w:numPr>
        <w:numId w:val="9"/>
      </w:numPr>
      <w:tabs>
        <w:tab w:val="clear" w:pos="284"/>
        <w:tab w:val="num" w:pos="360"/>
      </w:tabs>
      <w:spacing w:after="0" w:line="240" w:lineRule="auto"/>
      <w:ind w:left="0" w:firstLine="0"/>
      <w:jc w:val="both"/>
    </w:pPr>
    <w:rPr>
      <w:rFonts w:ascii="Calibri" w:eastAsia="Times New Roman" w:hAnsi="Calibri" w:cs="Times New Roman"/>
      <w:color w:val="000000"/>
      <w:sz w:val="18"/>
      <w:szCs w:val="16"/>
      <w:lang w:eastAsia="en-AU"/>
    </w:rPr>
  </w:style>
  <w:style w:type="paragraph" w:customStyle="1" w:styleId="ChartMainHeading">
    <w:name w:val="Chart Main Heading"/>
    <w:basedOn w:val="TableMainHeading"/>
    <w:next w:val="ChartGraphic"/>
    <w:link w:val="ChartMainHeadingChar"/>
    <w:qFormat/>
    <w:rsid w:val="00E94624"/>
    <w:pPr>
      <w:numPr>
        <w:ilvl w:val="2"/>
      </w:numPr>
      <w:tabs>
        <w:tab w:val="center" w:pos="1418"/>
      </w:tabs>
      <w:jc w:val="center"/>
    </w:pPr>
  </w:style>
  <w:style w:type="paragraph" w:customStyle="1" w:styleId="ChartorTableNote">
    <w:name w:val="Chart or Table Note"/>
    <w:next w:val="Normal"/>
    <w:rsid w:val="00E42365"/>
    <w:pPr>
      <w:spacing w:before="120" w:after="240" w:line="240" w:lineRule="auto"/>
      <w:jc w:val="both"/>
    </w:pPr>
    <w:rPr>
      <w:rFonts w:ascii="Calibri" w:eastAsia="Times New Roman" w:hAnsi="Calibri" w:cs="Times New Roman"/>
      <w:color w:val="000000"/>
      <w:sz w:val="18"/>
      <w:szCs w:val="20"/>
      <w:lang w:eastAsia="en-AU"/>
    </w:rPr>
  </w:style>
  <w:style w:type="paragraph" w:customStyle="1" w:styleId="ChartSecondHeading">
    <w:name w:val="Chart Second Heading"/>
    <w:basedOn w:val="TableSecondHeading"/>
    <w:next w:val="ChartGraphic"/>
    <w:rsid w:val="00861FB4"/>
    <w:pPr>
      <w:jc w:val="center"/>
    </w:pPr>
  </w:style>
  <w:style w:type="paragraph" w:customStyle="1" w:styleId="ReportDate">
    <w:name w:val="Report Date"/>
    <w:basedOn w:val="Normal"/>
    <w:link w:val="ReportDateChar"/>
    <w:rsid w:val="00861FB4"/>
    <w:pPr>
      <w:keepNext/>
      <w:spacing w:before="0" w:after="360"/>
    </w:pPr>
    <w:rPr>
      <w:color w:val="FFFFFF" w:themeColor="background1"/>
      <w:sz w:val="44"/>
    </w:rPr>
  </w:style>
  <w:style w:type="paragraph" w:customStyle="1" w:styleId="Dash">
    <w:name w:val="Dash"/>
    <w:basedOn w:val="Normal"/>
    <w:link w:val="DashChar"/>
    <w:rsid w:val="00861FB4"/>
    <w:pPr>
      <w:numPr>
        <w:ilvl w:val="1"/>
        <w:numId w:val="1"/>
      </w:numPr>
      <w:spacing w:before="0"/>
      <w:ind w:left="568"/>
    </w:pPr>
  </w:style>
  <w:style w:type="paragraph" w:customStyle="1" w:styleId="DoubleDot">
    <w:name w:val="Double Dot"/>
    <w:basedOn w:val="Normal"/>
    <w:link w:val="DoubleDotChar"/>
    <w:rsid w:val="00861FB4"/>
    <w:pPr>
      <w:numPr>
        <w:ilvl w:val="2"/>
        <w:numId w:val="1"/>
      </w:numPr>
      <w:spacing w:before="0"/>
      <w:ind w:left="851" w:hanging="284"/>
    </w:pPr>
  </w:style>
  <w:style w:type="paragraph" w:customStyle="1" w:styleId="TableMainHeading">
    <w:name w:val="Table Main Heading"/>
    <w:basedOn w:val="Heading3"/>
    <w:next w:val="Normal"/>
    <w:link w:val="TableMainHeadingChar"/>
    <w:qFormat/>
    <w:rsid w:val="00861FB4"/>
    <w:pPr>
      <w:numPr>
        <w:ilvl w:val="3"/>
        <w:numId w:val="115"/>
      </w:numPr>
      <w:spacing w:before="120" w:after="0"/>
    </w:pPr>
    <w:rPr>
      <w:color w:val="604878" w:themeColor="accent3"/>
      <w:sz w:val="22"/>
    </w:rPr>
  </w:style>
  <w:style w:type="paragraph" w:customStyle="1" w:styleId="FooterEven">
    <w:name w:val="Footer Even"/>
    <w:basedOn w:val="Footer"/>
    <w:rsid w:val="00861FB4"/>
    <w:pPr>
      <w:keepNext/>
      <w:tabs>
        <w:tab w:val="clear" w:pos="4513"/>
        <w:tab w:val="clear" w:pos="9026"/>
      </w:tabs>
      <w:jc w:val="left"/>
    </w:pPr>
    <w:rPr>
      <w:noProof/>
      <w:color w:val="144E60" w:themeColor="accent1"/>
    </w:rPr>
  </w:style>
  <w:style w:type="paragraph" w:customStyle="1" w:styleId="FooterOdd">
    <w:name w:val="Footer Odd"/>
    <w:basedOn w:val="Footer"/>
    <w:rsid w:val="00861FB4"/>
    <w:pPr>
      <w:keepNext/>
      <w:tabs>
        <w:tab w:val="clear" w:pos="4513"/>
        <w:tab w:val="clear" w:pos="9026"/>
      </w:tabs>
      <w:jc w:val="right"/>
    </w:pPr>
    <w:rPr>
      <w:color w:val="144E60" w:themeColor="accent1"/>
    </w:rPr>
  </w:style>
  <w:style w:type="character" w:styleId="Hyperlink">
    <w:name w:val="Hyperlink"/>
    <w:basedOn w:val="DefaultParagraphFont"/>
    <w:uiPriority w:val="99"/>
    <w:rsid w:val="00185891"/>
    <w:rPr>
      <w:color w:val="auto"/>
      <w:u w:val="none"/>
    </w:rPr>
  </w:style>
  <w:style w:type="paragraph" w:customStyle="1" w:styleId="OutlineNumbered1">
    <w:name w:val="Outline Numbered 1"/>
    <w:basedOn w:val="Normal"/>
    <w:link w:val="OutlineNumbered1Char"/>
    <w:rsid w:val="00240721"/>
    <w:pPr>
      <w:numPr>
        <w:numId w:val="75"/>
      </w:numPr>
      <w:spacing w:before="0"/>
    </w:pPr>
  </w:style>
  <w:style w:type="paragraph" w:customStyle="1" w:styleId="OneLevelNumberedParagraph">
    <w:name w:val="One Level Numbered Paragraph"/>
    <w:basedOn w:val="Normal"/>
    <w:rsid w:val="00861FB4"/>
    <w:pPr>
      <w:numPr>
        <w:numId w:val="5"/>
      </w:numPr>
      <w:spacing w:before="0"/>
    </w:pPr>
  </w:style>
  <w:style w:type="paragraph" w:customStyle="1" w:styleId="OutlineNumbered2">
    <w:name w:val="Outline Numbered 2"/>
    <w:basedOn w:val="Normal"/>
    <w:rsid w:val="00861FB4"/>
    <w:pPr>
      <w:numPr>
        <w:ilvl w:val="1"/>
        <w:numId w:val="6"/>
      </w:numPr>
      <w:spacing w:before="0"/>
    </w:pPr>
  </w:style>
  <w:style w:type="paragraph" w:customStyle="1" w:styleId="OutlineNumbered3">
    <w:name w:val="Outline Numbered 3"/>
    <w:basedOn w:val="Normal"/>
    <w:rsid w:val="00861FB4"/>
    <w:pPr>
      <w:numPr>
        <w:ilvl w:val="2"/>
        <w:numId w:val="6"/>
      </w:numPr>
      <w:spacing w:before="0"/>
    </w:pPr>
  </w:style>
  <w:style w:type="paragraph" w:customStyle="1" w:styleId="Romannumeral">
    <w:name w:val="Roman numeral"/>
    <w:basedOn w:val="Normal"/>
    <w:rsid w:val="00861FB4"/>
    <w:pPr>
      <w:numPr>
        <w:numId w:val="8"/>
      </w:numPr>
      <w:tabs>
        <w:tab w:val="clear" w:pos="720"/>
        <w:tab w:val="num" w:pos="851"/>
      </w:tabs>
      <w:spacing w:before="0"/>
      <w:ind w:left="851" w:hanging="851"/>
    </w:pPr>
  </w:style>
  <w:style w:type="paragraph" w:customStyle="1" w:styleId="SingleParagraph">
    <w:name w:val="Single Paragraph"/>
    <w:basedOn w:val="Normal"/>
    <w:link w:val="SingleParagraphChar"/>
    <w:rsid w:val="00861FB4"/>
    <w:pPr>
      <w:spacing w:before="0" w:after="0"/>
    </w:pPr>
  </w:style>
  <w:style w:type="paragraph" w:customStyle="1" w:styleId="TableSecondHeading">
    <w:name w:val="Table Second Heading"/>
    <w:basedOn w:val="Normal"/>
    <w:next w:val="Normal"/>
    <w:rsid w:val="00861FB4"/>
    <w:pPr>
      <w:keepNext/>
      <w:spacing w:before="0" w:after="20"/>
    </w:pPr>
    <w:rPr>
      <w:b/>
      <w:color w:val="004A7F"/>
    </w:rPr>
  </w:style>
  <w:style w:type="paragraph" w:customStyle="1" w:styleId="TableColumnHeadingCentred">
    <w:name w:val="Table Column Heading Centred"/>
    <w:basedOn w:val="TableTextLeft"/>
    <w:rsid w:val="00861FB4"/>
    <w:pPr>
      <w:jc w:val="center"/>
    </w:pPr>
    <w:rPr>
      <w:b/>
      <w:color w:val="004A7F"/>
      <w:sz w:val="20"/>
    </w:rPr>
  </w:style>
  <w:style w:type="paragraph" w:customStyle="1" w:styleId="TableColumnHeadingLeft">
    <w:name w:val="Table Column Heading Left"/>
    <w:basedOn w:val="TableTextLeft"/>
    <w:rsid w:val="00861FB4"/>
    <w:rPr>
      <w:b/>
      <w:color w:val="004A7F"/>
      <w:sz w:val="20"/>
    </w:rPr>
  </w:style>
  <w:style w:type="paragraph" w:customStyle="1" w:styleId="TableColumnHeadingRight">
    <w:name w:val="Table Column Heading Right"/>
    <w:basedOn w:val="TableTextLeft"/>
    <w:rsid w:val="00861FB4"/>
    <w:pPr>
      <w:jc w:val="right"/>
    </w:pPr>
    <w:rPr>
      <w:b/>
      <w:color w:val="004A7F"/>
      <w:sz w:val="20"/>
    </w:rPr>
  </w:style>
  <w:style w:type="table" w:styleId="TableGrid">
    <w:name w:val="Table Grid"/>
    <w:basedOn w:val="TableNormal"/>
    <w:rsid w:val="00861FB4"/>
    <w:pPr>
      <w:spacing w:after="240" w:line="260" w:lineRule="exact"/>
      <w:jc w:val="both"/>
    </w:pPr>
    <w:rPr>
      <w:rFonts w:ascii="Times New Roman" w:eastAsia="Times New Roman" w:hAnsi="Times New Roman" w:cs="Times New Roman"/>
      <w:sz w:val="20"/>
      <w:szCs w:val="20"/>
      <w:lang w:eastAsia="en-AU"/>
    </w:rPr>
    <w:tblPr/>
    <w:tcPr>
      <w:shd w:val="clear" w:color="auto" w:fill="E6E6E6"/>
    </w:tcPr>
  </w:style>
  <w:style w:type="paragraph" w:customStyle="1" w:styleId="TableTextCentered">
    <w:name w:val="Table Text Centered"/>
    <w:basedOn w:val="TableTextRight"/>
    <w:rsid w:val="00861FB4"/>
    <w:pPr>
      <w:jc w:val="center"/>
    </w:pPr>
  </w:style>
  <w:style w:type="paragraph" w:customStyle="1" w:styleId="TableTextLeft">
    <w:name w:val="Table Text Left"/>
    <w:basedOn w:val="TableTextRight"/>
    <w:rsid w:val="00861FB4"/>
    <w:pPr>
      <w:jc w:val="left"/>
    </w:pPr>
  </w:style>
  <w:style w:type="paragraph" w:customStyle="1" w:styleId="TableTextRight">
    <w:name w:val="Table Text Right"/>
    <w:basedOn w:val="Normal"/>
    <w:rsid w:val="00861FB4"/>
    <w:pPr>
      <w:spacing w:before="40" w:after="40"/>
      <w:jc w:val="right"/>
    </w:pPr>
    <w:rPr>
      <w:color w:val="000000"/>
      <w:sz w:val="18"/>
    </w:rPr>
  </w:style>
  <w:style w:type="paragraph" w:styleId="TOC1">
    <w:name w:val="toc 1"/>
    <w:basedOn w:val="Normal"/>
    <w:next w:val="Normal"/>
    <w:uiPriority w:val="39"/>
    <w:rsid w:val="00861FB4"/>
    <w:pPr>
      <w:keepNext/>
      <w:tabs>
        <w:tab w:val="right" w:leader="dot" w:pos="9072"/>
      </w:tabs>
      <w:spacing w:before="180" w:after="0"/>
      <w:ind w:right="-2"/>
    </w:pPr>
    <w:rPr>
      <w:b/>
      <w:noProof/>
      <w:color w:val="144E60" w:themeColor="accent1"/>
      <w:szCs w:val="22"/>
    </w:rPr>
  </w:style>
  <w:style w:type="paragraph" w:styleId="TOC2">
    <w:name w:val="toc 2"/>
    <w:basedOn w:val="Normal"/>
    <w:next w:val="Normal"/>
    <w:uiPriority w:val="39"/>
    <w:rsid w:val="00861FB4"/>
    <w:pPr>
      <w:keepNext/>
      <w:tabs>
        <w:tab w:val="right" w:leader="dot" w:pos="9072"/>
      </w:tabs>
      <w:spacing w:before="40" w:after="20"/>
      <w:ind w:right="-2"/>
    </w:pPr>
    <w:rPr>
      <w:noProof/>
      <w:color w:val="604878" w:themeColor="accent3"/>
    </w:rPr>
  </w:style>
  <w:style w:type="paragraph" w:styleId="TOC3">
    <w:name w:val="toc 3"/>
    <w:basedOn w:val="Normal"/>
    <w:next w:val="Normal"/>
    <w:uiPriority w:val="39"/>
    <w:rsid w:val="00861FB4"/>
    <w:pPr>
      <w:tabs>
        <w:tab w:val="right" w:leader="dot" w:pos="9072"/>
      </w:tabs>
      <w:spacing w:before="20" w:after="0"/>
      <w:ind w:left="284" w:right="-2"/>
    </w:pPr>
    <w:rPr>
      <w:rFonts w:cs="Calibri"/>
      <w:noProof/>
    </w:rPr>
  </w:style>
  <w:style w:type="numbering" w:customStyle="1" w:styleId="OutlineList">
    <w:name w:val="OutlineList"/>
    <w:uiPriority w:val="99"/>
    <w:rsid w:val="00861FB4"/>
    <w:pPr>
      <w:numPr>
        <w:numId w:val="4"/>
      </w:numPr>
    </w:pPr>
  </w:style>
  <w:style w:type="numbering" w:customStyle="1" w:styleId="BulletedList">
    <w:name w:val="Bulleted List"/>
    <w:uiPriority w:val="99"/>
    <w:rsid w:val="00861FB4"/>
    <w:pPr>
      <w:numPr>
        <w:numId w:val="1"/>
      </w:numPr>
    </w:pPr>
  </w:style>
  <w:style w:type="numbering" w:customStyle="1" w:styleId="BoxBulletedList">
    <w:name w:val="Box Bulleted List"/>
    <w:uiPriority w:val="99"/>
    <w:rsid w:val="00861FB4"/>
    <w:pPr>
      <w:numPr>
        <w:numId w:val="2"/>
      </w:numPr>
    </w:pPr>
  </w:style>
  <w:style w:type="numbering" w:customStyle="1" w:styleId="OneLevelList">
    <w:name w:val="OneLevelList"/>
    <w:uiPriority w:val="99"/>
    <w:rsid w:val="00861FB4"/>
    <w:pPr>
      <w:numPr>
        <w:numId w:val="3"/>
      </w:numPr>
    </w:pPr>
  </w:style>
  <w:style w:type="numbering" w:customStyle="1" w:styleId="ChartandTableFootnoteAlphaList">
    <w:name w:val="ChartandTableFootnoteAlphaList"/>
    <w:uiPriority w:val="99"/>
    <w:rsid w:val="00861FB4"/>
    <w:pPr>
      <w:numPr>
        <w:numId w:val="9"/>
      </w:numPr>
    </w:pPr>
  </w:style>
  <w:style w:type="paragraph" w:customStyle="1" w:styleId="Crest">
    <w:name w:val="Crest"/>
    <w:basedOn w:val="Header"/>
    <w:rsid w:val="00861FB4"/>
    <w:pPr>
      <w:spacing w:after="480"/>
      <w:jc w:val="center"/>
    </w:pPr>
    <w:rPr>
      <w:color w:val="000000" w:themeColor="text1"/>
    </w:rPr>
  </w:style>
  <w:style w:type="paragraph" w:customStyle="1" w:styleId="Heading1Numbered">
    <w:name w:val="Heading 1 Numbered"/>
    <w:basedOn w:val="Heading1"/>
    <w:next w:val="Normal"/>
    <w:rsid w:val="00861FB4"/>
    <w:pPr>
      <w:numPr>
        <w:ilvl w:val="0"/>
        <w:numId w:val="7"/>
      </w:numPr>
    </w:pPr>
  </w:style>
  <w:style w:type="character" w:customStyle="1" w:styleId="SingleParagraphChar">
    <w:name w:val="Single Paragraph Char"/>
    <w:basedOn w:val="DefaultParagraphFont"/>
    <w:link w:val="SingleParagraph"/>
    <w:rsid w:val="00861FB4"/>
    <w:rPr>
      <w:rFonts w:ascii="Calibri" w:eastAsia="Times New Roman" w:hAnsi="Calibri" w:cs="Times New Roman"/>
      <w:szCs w:val="20"/>
      <w:lang w:eastAsia="en-AU"/>
    </w:rPr>
  </w:style>
  <w:style w:type="paragraph" w:customStyle="1" w:styleId="Heading2Numbered">
    <w:name w:val="Heading 2 Numbered"/>
    <w:basedOn w:val="Heading2"/>
    <w:next w:val="Normal"/>
    <w:rsid w:val="00861FB4"/>
    <w:pPr>
      <w:numPr>
        <w:ilvl w:val="1"/>
        <w:numId w:val="7"/>
      </w:numPr>
      <w:ind w:left="284" w:hanging="284"/>
    </w:pPr>
  </w:style>
  <w:style w:type="paragraph" w:customStyle="1" w:styleId="Heading3Numbered">
    <w:name w:val="Heading 3 Numbered"/>
    <w:basedOn w:val="Heading3"/>
    <w:rsid w:val="00861FB4"/>
    <w:pPr>
      <w:numPr>
        <w:ilvl w:val="2"/>
        <w:numId w:val="7"/>
      </w:numPr>
      <w:ind w:left="284" w:hanging="284"/>
    </w:pPr>
  </w:style>
  <w:style w:type="paragraph" w:styleId="Title">
    <w:name w:val="Title"/>
    <w:basedOn w:val="Normal"/>
    <w:next w:val="Normal"/>
    <w:link w:val="TitleChar"/>
    <w:uiPriority w:val="10"/>
    <w:rsid w:val="00527805"/>
    <w:pPr>
      <w:spacing w:before="0" w:after="300"/>
      <w:contextualSpacing/>
    </w:pPr>
    <w:rPr>
      <w:rFonts w:eastAsiaTheme="majorEastAsia" w:cstheme="majorBidi"/>
      <w:b/>
      <w:color w:val="604878" w:themeColor="accent3"/>
      <w:spacing w:val="5"/>
      <w:kern w:val="28"/>
      <w:sz w:val="72"/>
      <w:szCs w:val="52"/>
    </w:rPr>
  </w:style>
  <w:style w:type="character" w:customStyle="1" w:styleId="TitleChar">
    <w:name w:val="Title Char"/>
    <w:basedOn w:val="DefaultParagraphFont"/>
    <w:link w:val="Title"/>
    <w:uiPriority w:val="10"/>
    <w:rsid w:val="00527805"/>
    <w:rPr>
      <w:rFonts w:ascii="Calibri" w:eastAsiaTheme="majorEastAsia" w:hAnsi="Calibri" w:cstheme="majorBidi"/>
      <w:b/>
      <w:color w:val="604878" w:themeColor="accent3"/>
      <w:spacing w:val="5"/>
      <w:kern w:val="28"/>
      <w:sz w:val="72"/>
      <w:szCs w:val="52"/>
      <w:lang w:eastAsia="en-AU"/>
    </w:rPr>
  </w:style>
  <w:style w:type="paragraph" w:styleId="Subtitle">
    <w:name w:val="Subtitle"/>
    <w:basedOn w:val="Normal"/>
    <w:next w:val="Normal"/>
    <w:link w:val="SubtitleChar"/>
    <w:uiPriority w:val="11"/>
    <w:rsid w:val="00527805"/>
    <w:pPr>
      <w:numPr>
        <w:ilvl w:val="1"/>
      </w:numPr>
    </w:pPr>
    <w:rPr>
      <w:rFonts w:eastAsiaTheme="majorEastAsia" w:cstheme="majorBidi"/>
      <w:iCs/>
      <w:color w:val="604878" w:themeColor="accent3"/>
      <w:sz w:val="44"/>
      <w:szCs w:val="44"/>
    </w:rPr>
  </w:style>
  <w:style w:type="character" w:customStyle="1" w:styleId="SubtitleChar">
    <w:name w:val="Subtitle Char"/>
    <w:basedOn w:val="DefaultParagraphFont"/>
    <w:link w:val="Subtitle"/>
    <w:uiPriority w:val="11"/>
    <w:rsid w:val="00527805"/>
    <w:rPr>
      <w:rFonts w:ascii="Calibri" w:eastAsiaTheme="majorEastAsia" w:hAnsi="Calibri" w:cstheme="majorBidi"/>
      <w:iCs/>
      <w:color w:val="604878" w:themeColor="accent3"/>
      <w:sz w:val="44"/>
      <w:szCs w:val="44"/>
      <w:lang w:eastAsia="en-AU"/>
    </w:rPr>
  </w:style>
  <w:style w:type="character" w:styleId="SubtleEmphasis">
    <w:name w:val="Subtle Emphasis"/>
    <w:basedOn w:val="DefaultParagraphFont"/>
    <w:uiPriority w:val="19"/>
    <w:rsid w:val="00861FB4"/>
    <w:rPr>
      <w:i/>
      <w:iCs/>
      <w:color w:val="808080" w:themeColor="text1" w:themeTint="7F"/>
    </w:rPr>
  </w:style>
  <w:style w:type="paragraph" w:styleId="Footer">
    <w:name w:val="footer"/>
    <w:basedOn w:val="Normal"/>
    <w:link w:val="FooterChar"/>
    <w:unhideWhenUsed/>
    <w:rsid w:val="00861FB4"/>
    <w:pPr>
      <w:tabs>
        <w:tab w:val="center" w:pos="4513"/>
        <w:tab w:val="right" w:pos="9026"/>
      </w:tabs>
      <w:spacing w:before="0" w:after="0"/>
      <w:jc w:val="center"/>
    </w:pPr>
    <w:rPr>
      <w:color w:val="002C47"/>
      <w:sz w:val="20"/>
    </w:rPr>
  </w:style>
  <w:style w:type="character" w:customStyle="1" w:styleId="FooterChar">
    <w:name w:val="Footer Char"/>
    <w:basedOn w:val="DefaultParagraphFont"/>
    <w:link w:val="Footer"/>
    <w:rsid w:val="00861FB4"/>
    <w:rPr>
      <w:rFonts w:ascii="Calibri" w:eastAsia="Times New Roman" w:hAnsi="Calibri" w:cs="Times New Roman"/>
      <w:color w:val="002C47"/>
      <w:sz w:val="20"/>
      <w:szCs w:val="20"/>
      <w:lang w:eastAsia="en-AU"/>
    </w:rPr>
  </w:style>
  <w:style w:type="paragraph" w:styleId="Header">
    <w:name w:val="header"/>
    <w:basedOn w:val="Normal"/>
    <w:link w:val="HeaderChar"/>
    <w:uiPriority w:val="99"/>
    <w:unhideWhenUsed/>
    <w:rsid w:val="00861FB4"/>
    <w:pPr>
      <w:keepNext/>
      <w:spacing w:before="0" w:after="0"/>
      <w:jc w:val="right"/>
    </w:pPr>
    <w:rPr>
      <w:color w:val="004A7F"/>
      <w:sz w:val="20"/>
    </w:rPr>
  </w:style>
  <w:style w:type="character" w:customStyle="1" w:styleId="HeaderChar">
    <w:name w:val="Header Char"/>
    <w:basedOn w:val="DefaultParagraphFont"/>
    <w:link w:val="Header"/>
    <w:uiPriority w:val="99"/>
    <w:rsid w:val="00861FB4"/>
    <w:rPr>
      <w:rFonts w:ascii="Calibri" w:eastAsia="Times New Roman" w:hAnsi="Calibri" w:cs="Times New Roman"/>
      <w:color w:val="004A7F"/>
      <w:sz w:val="20"/>
      <w:szCs w:val="20"/>
      <w:lang w:eastAsia="en-AU"/>
    </w:rPr>
  </w:style>
  <w:style w:type="character" w:styleId="PlaceholderText">
    <w:name w:val="Placeholder Text"/>
    <w:basedOn w:val="DefaultParagraphFont"/>
    <w:uiPriority w:val="99"/>
    <w:semiHidden/>
    <w:rsid w:val="00861FB4"/>
    <w:rPr>
      <w:color w:val="808080"/>
    </w:rPr>
  </w:style>
  <w:style w:type="paragraph" w:customStyle="1" w:styleId="AppendixHeading">
    <w:name w:val="Appendix Heading"/>
    <w:basedOn w:val="Normal"/>
    <w:next w:val="Normal"/>
    <w:rsid w:val="00861FB4"/>
    <w:pPr>
      <w:keepNext/>
      <w:spacing w:before="720" w:after="360"/>
    </w:pPr>
    <w:rPr>
      <w:rFonts w:ascii="Arial Bold" w:hAnsi="Arial Bold"/>
      <w:b/>
      <w:smallCaps/>
      <w:color w:val="004A7F"/>
      <w:sz w:val="36"/>
      <w:szCs w:val="36"/>
    </w:rPr>
  </w:style>
  <w:style w:type="paragraph" w:customStyle="1" w:styleId="HeadingBase">
    <w:name w:val="Heading Base"/>
    <w:rsid w:val="00861FB4"/>
    <w:pPr>
      <w:keepNext/>
      <w:spacing w:after="120" w:line="240" w:lineRule="auto"/>
    </w:pPr>
    <w:rPr>
      <w:rFonts w:ascii="Calibri" w:eastAsia="Times New Roman" w:hAnsi="Calibri" w:cs="Arial"/>
      <w:bCs/>
      <w:color w:val="144E60" w:themeColor="accent1"/>
      <w:kern w:val="32"/>
      <w:sz w:val="48"/>
      <w:szCs w:val="36"/>
      <w:lang w:eastAsia="en-AU"/>
    </w:rPr>
  </w:style>
  <w:style w:type="character" w:customStyle="1" w:styleId="ReportDateChar">
    <w:name w:val="Report Date Char"/>
    <w:basedOn w:val="DefaultParagraphFont"/>
    <w:link w:val="ReportDate"/>
    <w:rsid w:val="00861FB4"/>
    <w:rPr>
      <w:rFonts w:ascii="Calibri" w:eastAsia="Times New Roman" w:hAnsi="Calibri" w:cs="Times New Roman"/>
      <w:color w:val="FFFFFF" w:themeColor="background1"/>
      <w:sz w:val="44"/>
      <w:szCs w:val="20"/>
      <w:lang w:eastAsia="en-AU"/>
    </w:rPr>
  </w:style>
  <w:style w:type="paragraph" w:customStyle="1" w:styleId="Disclaimer">
    <w:name w:val="Disclaimer"/>
    <w:basedOn w:val="ReportDate"/>
    <w:rsid w:val="00861FB4"/>
    <w:pPr>
      <w:spacing w:after="1800"/>
      <w:ind w:right="142"/>
    </w:pPr>
    <w:rPr>
      <w:rFonts w:ascii="Century Gothic" w:hAnsi="Century Gothic"/>
      <w:b/>
      <w:bCs/>
      <w:color w:val="0D3038" w:themeColor="text2"/>
      <w:sz w:val="22"/>
    </w:rPr>
  </w:style>
  <w:style w:type="paragraph" w:customStyle="1" w:styleId="NotesHeading">
    <w:name w:val="Notes Heading"/>
    <w:basedOn w:val="Normal"/>
    <w:rsid w:val="00861FB4"/>
    <w:pPr>
      <w:keepNext/>
      <w:spacing w:before="240" w:after="360"/>
      <w:jc w:val="center"/>
    </w:pPr>
    <w:rPr>
      <w:rFonts w:ascii="Century Gothic" w:hAnsi="Century Gothic"/>
      <w:smallCaps/>
      <w:color w:val="0D3038" w:themeColor="text2"/>
      <w:sz w:val="36"/>
      <w:szCs w:val="36"/>
    </w:rPr>
  </w:style>
  <w:style w:type="paragraph" w:customStyle="1" w:styleId="Divider">
    <w:name w:val="Divider"/>
    <w:basedOn w:val="ReportDate"/>
    <w:rsid w:val="00861FB4"/>
    <w:pPr>
      <w:spacing w:after="1800"/>
    </w:pPr>
    <w:rPr>
      <w:rFonts w:ascii="Rockwell" w:hAnsi="Rockwell"/>
      <w:sz w:val="24"/>
    </w:rPr>
  </w:style>
  <w:style w:type="character" w:customStyle="1" w:styleId="FramedFooter">
    <w:name w:val="Framed Footer"/>
    <w:rsid w:val="00861FB4"/>
    <w:rPr>
      <w:rFonts w:ascii="Arial" w:hAnsi="Arial"/>
      <w:color w:val="002C47"/>
      <w:sz w:val="18"/>
    </w:rPr>
  </w:style>
  <w:style w:type="character" w:customStyle="1" w:styleId="FramedHeader">
    <w:name w:val="Framed Header"/>
    <w:basedOn w:val="DefaultParagraphFont"/>
    <w:rsid w:val="00861FB4"/>
    <w:rPr>
      <w:rFonts w:ascii="Arial" w:hAnsi="Arial"/>
      <w:dstrike w:val="0"/>
      <w:color w:val="auto"/>
      <w:sz w:val="18"/>
      <w:vertAlign w:val="baseline"/>
    </w:rPr>
  </w:style>
  <w:style w:type="paragraph" w:customStyle="1" w:styleId="TableTextIndented">
    <w:name w:val="Table Text Indented"/>
    <w:basedOn w:val="TableTextLeft"/>
    <w:rsid w:val="00861FB4"/>
    <w:pPr>
      <w:ind w:left="284"/>
    </w:pPr>
  </w:style>
  <w:style w:type="paragraph" w:customStyle="1" w:styleId="TableHeadingContinued">
    <w:name w:val="Table Heading Continued"/>
    <w:basedOn w:val="TableMainHeading"/>
    <w:next w:val="TableGraphic"/>
    <w:rsid w:val="00861FB4"/>
    <w:pPr>
      <w:numPr>
        <w:ilvl w:val="0"/>
        <w:numId w:val="0"/>
      </w:numPr>
      <w:tabs>
        <w:tab w:val="left" w:pos="1021"/>
      </w:tabs>
    </w:pPr>
  </w:style>
  <w:style w:type="paragraph" w:customStyle="1" w:styleId="TableGraphic">
    <w:name w:val="Table Graphic"/>
    <w:basedOn w:val="HeadingBase"/>
    <w:next w:val="Normal"/>
    <w:rsid w:val="00861FB4"/>
    <w:pPr>
      <w:spacing w:after="0"/>
    </w:pPr>
    <w:rPr>
      <w:sz w:val="24"/>
    </w:rPr>
  </w:style>
  <w:style w:type="paragraph" w:customStyle="1" w:styleId="HeaderEven">
    <w:name w:val="Header Even"/>
    <w:basedOn w:val="Header"/>
    <w:rsid w:val="00861FB4"/>
    <w:pPr>
      <w:jc w:val="left"/>
    </w:pPr>
    <w:rPr>
      <w:color w:val="144E60" w:themeColor="accent1"/>
      <w:sz w:val="18"/>
    </w:rPr>
  </w:style>
  <w:style w:type="paragraph" w:customStyle="1" w:styleId="HeaderOdd">
    <w:name w:val="Header Odd"/>
    <w:basedOn w:val="Header"/>
    <w:rsid w:val="00861FB4"/>
    <w:rPr>
      <w:color w:val="144E60" w:themeColor="accent1"/>
      <w:sz w:val="18"/>
    </w:rPr>
  </w:style>
  <w:style w:type="paragraph" w:styleId="FootnoteText">
    <w:name w:val="footnote text"/>
    <w:basedOn w:val="Normal"/>
    <w:link w:val="FootnoteTextChar"/>
    <w:uiPriority w:val="99"/>
    <w:rsid w:val="00861FB4"/>
    <w:pPr>
      <w:spacing w:before="0" w:after="0"/>
    </w:pPr>
    <w:rPr>
      <w:sz w:val="20"/>
    </w:rPr>
  </w:style>
  <w:style w:type="character" w:customStyle="1" w:styleId="FootnoteTextChar">
    <w:name w:val="Footnote Text Char"/>
    <w:basedOn w:val="DefaultParagraphFont"/>
    <w:link w:val="FootnoteText"/>
    <w:uiPriority w:val="99"/>
    <w:rsid w:val="00861FB4"/>
    <w:rPr>
      <w:rFonts w:ascii="Calibri" w:eastAsia="Times New Roman" w:hAnsi="Calibri" w:cs="Times New Roman"/>
      <w:sz w:val="20"/>
      <w:szCs w:val="20"/>
      <w:lang w:eastAsia="en-AU"/>
    </w:rPr>
  </w:style>
  <w:style w:type="character" w:styleId="FootnoteReference">
    <w:name w:val="footnote reference"/>
    <w:basedOn w:val="DefaultParagraphFont"/>
    <w:uiPriority w:val="99"/>
    <w:rsid w:val="00861FB4"/>
    <w:rPr>
      <w:rFonts w:ascii="Calibri" w:hAnsi="Calibri"/>
      <w:sz w:val="20"/>
      <w:vertAlign w:val="superscript"/>
    </w:rPr>
  </w:style>
  <w:style w:type="paragraph" w:styleId="BalloonText">
    <w:name w:val="Balloon Text"/>
    <w:basedOn w:val="Normal"/>
    <w:link w:val="BalloonTextChar"/>
    <w:uiPriority w:val="99"/>
    <w:semiHidden/>
    <w:unhideWhenUsed/>
    <w:rsid w:val="00861FB4"/>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1FB4"/>
    <w:rPr>
      <w:rFonts w:ascii="Tahoma" w:eastAsia="Times New Roman" w:hAnsi="Tahoma" w:cs="Tahoma"/>
      <w:sz w:val="16"/>
      <w:szCs w:val="16"/>
      <w:lang w:eastAsia="en-AU"/>
    </w:rPr>
  </w:style>
  <w:style w:type="paragraph" w:customStyle="1" w:styleId="ChapterTOC">
    <w:name w:val="Chapter TOC"/>
    <w:basedOn w:val="TOC1"/>
    <w:rsid w:val="00861FB4"/>
    <w:pPr>
      <w:ind w:firstLine="993"/>
    </w:pPr>
    <w:rPr>
      <w:rFonts w:asciiTheme="minorHAnsi" w:eastAsiaTheme="minorEastAsia" w:hAnsiTheme="minorHAnsi" w:cstheme="minorBidi"/>
      <w:b w:val="0"/>
      <w:lang w:eastAsia="en-US"/>
    </w:rPr>
  </w:style>
  <w:style w:type="paragraph" w:customStyle="1" w:styleId="Chapterheading">
    <w:name w:val="Chapter heading"/>
    <w:basedOn w:val="Heading1"/>
    <w:rsid w:val="00861FB4"/>
    <w:pPr>
      <w:numPr>
        <w:ilvl w:val="0"/>
      </w:numPr>
      <w:spacing w:before="5880"/>
    </w:pPr>
    <w:rPr>
      <w:caps/>
      <w:noProof/>
      <w:color w:val="604878" w:themeColor="accent3"/>
      <w:sz w:val="56"/>
    </w:rPr>
  </w:style>
  <w:style w:type="paragraph" w:styleId="NoSpacing">
    <w:name w:val="No Spacing"/>
    <w:uiPriority w:val="1"/>
    <w:qFormat/>
    <w:rsid w:val="00861FB4"/>
    <w:pPr>
      <w:spacing w:after="0" w:line="240" w:lineRule="auto"/>
    </w:pPr>
    <w:rPr>
      <w:rFonts w:ascii="Calibri" w:eastAsia="Times New Roman" w:hAnsi="Calibri" w:cs="Times New Roman"/>
      <w:szCs w:val="20"/>
      <w:lang w:eastAsia="en-AU"/>
    </w:rPr>
  </w:style>
  <w:style w:type="paragraph" w:customStyle="1" w:styleId="FigureHeading">
    <w:name w:val="Figure Heading"/>
    <w:basedOn w:val="ChartMainHeading"/>
    <w:qFormat/>
    <w:rsid w:val="00861FB4"/>
    <w:pPr>
      <w:numPr>
        <w:ilvl w:val="4"/>
      </w:numPr>
    </w:pPr>
  </w:style>
  <w:style w:type="paragraph" w:customStyle="1" w:styleId="Partheading">
    <w:name w:val="Part heading"/>
    <w:basedOn w:val="Chapterheading"/>
    <w:qFormat/>
    <w:rsid w:val="00B74618"/>
    <w:pPr>
      <w:numPr>
        <w:numId w:val="0"/>
      </w:numPr>
      <w:spacing w:before="10920"/>
      <w:jc w:val="right"/>
    </w:pPr>
    <w:rPr>
      <w:color w:val="144E60" w:themeColor="accent1"/>
      <w:sz w:val="72"/>
    </w:rPr>
  </w:style>
  <w:style w:type="character" w:styleId="CommentReference">
    <w:name w:val="annotation reference"/>
    <w:basedOn w:val="DefaultParagraphFont"/>
    <w:uiPriority w:val="99"/>
    <w:semiHidden/>
    <w:unhideWhenUsed/>
    <w:rsid w:val="00F64DDF"/>
    <w:rPr>
      <w:sz w:val="16"/>
      <w:szCs w:val="16"/>
    </w:rPr>
  </w:style>
  <w:style w:type="paragraph" w:styleId="CommentText">
    <w:name w:val="annotation text"/>
    <w:basedOn w:val="Normal"/>
    <w:link w:val="CommentTextChar"/>
    <w:uiPriority w:val="99"/>
    <w:unhideWhenUsed/>
    <w:rsid w:val="00F64DDF"/>
    <w:rPr>
      <w:sz w:val="20"/>
    </w:rPr>
  </w:style>
  <w:style w:type="character" w:customStyle="1" w:styleId="CommentTextChar">
    <w:name w:val="Comment Text Char"/>
    <w:basedOn w:val="DefaultParagraphFont"/>
    <w:link w:val="CommentText"/>
    <w:uiPriority w:val="99"/>
    <w:rsid w:val="00F64DDF"/>
    <w:rPr>
      <w:rFonts w:ascii="Calibri" w:eastAsia="Times New Roman" w:hAnsi="Calibri"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7A5878"/>
    <w:rPr>
      <w:b/>
      <w:bCs/>
    </w:rPr>
  </w:style>
  <w:style w:type="character" w:customStyle="1" w:styleId="CommentSubjectChar">
    <w:name w:val="Comment Subject Char"/>
    <w:basedOn w:val="CommentTextChar"/>
    <w:link w:val="CommentSubject"/>
    <w:uiPriority w:val="99"/>
    <w:semiHidden/>
    <w:rsid w:val="007A5878"/>
    <w:rPr>
      <w:rFonts w:ascii="Calibri" w:eastAsia="Times New Roman" w:hAnsi="Calibri" w:cs="Times New Roman"/>
      <w:b/>
      <w:bCs/>
      <w:sz w:val="20"/>
      <w:szCs w:val="20"/>
      <w:lang w:eastAsia="en-AU"/>
    </w:rPr>
  </w:style>
  <w:style w:type="paragraph" w:styleId="ListParagraph">
    <w:name w:val="List Paragraph"/>
    <w:aliases w:val="List Paragraph1,List Paragraph11,NFP GP Bulleted List,Recommendation,List Paragraph2,Bullet Point,L,Bullet points,Content descriptions,Bullet Points,AR bullet 1,#List Paragraph,List Paragraph Number,Bullet point,FooterText,numbered,列出段落"/>
    <w:basedOn w:val="Normal"/>
    <w:link w:val="ListParagraphChar"/>
    <w:uiPriority w:val="34"/>
    <w:qFormat/>
    <w:rsid w:val="00371AAF"/>
    <w:pPr>
      <w:ind w:left="720"/>
      <w:contextualSpacing/>
    </w:pPr>
  </w:style>
  <w:style w:type="paragraph" w:styleId="TOCHeading">
    <w:name w:val="TOC Heading"/>
    <w:basedOn w:val="Heading1"/>
    <w:next w:val="Normal"/>
    <w:uiPriority w:val="39"/>
    <w:unhideWhenUsed/>
    <w:qFormat/>
    <w:rsid w:val="00096004"/>
    <w:pPr>
      <w:keepLines/>
      <w:spacing w:before="240" w:after="0" w:line="259" w:lineRule="auto"/>
      <w:outlineLvl w:val="9"/>
    </w:pPr>
    <w:rPr>
      <w:rFonts w:asciiTheme="majorHAnsi" w:eastAsiaTheme="majorEastAsia" w:hAnsiTheme="majorHAnsi" w:cstheme="majorBidi"/>
      <w:color w:val="0F3A47" w:themeColor="accent1" w:themeShade="BF"/>
      <w:kern w:val="0"/>
      <w:sz w:val="32"/>
      <w:szCs w:val="32"/>
      <w:lang w:val="en-US" w:eastAsia="en-US"/>
    </w:rPr>
  </w:style>
  <w:style w:type="paragraph" w:styleId="Revision">
    <w:name w:val="Revision"/>
    <w:hidden/>
    <w:uiPriority w:val="99"/>
    <w:semiHidden/>
    <w:rsid w:val="00DE7CD8"/>
    <w:pPr>
      <w:spacing w:after="0" w:line="240" w:lineRule="auto"/>
    </w:pPr>
    <w:rPr>
      <w:rFonts w:ascii="Calibri" w:eastAsia="Times New Roman" w:hAnsi="Calibri" w:cs="Times New Roman"/>
      <w:szCs w:val="20"/>
      <w:lang w:eastAsia="en-AU"/>
    </w:rPr>
  </w:style>
  <w:style w:type="table" w:styleId="ListTable3-Accent4">
    <w:name w:val="List Table 3 Accent 4"/>
    <w:basedOn w:val="TableNormal"/>
    <w:uiPriority w:val="48"/>
    <w:rsid w:val="00EC56F4"/>
    <w:pPr>
      <w:spacing w:after="0" w:line="240" w:lineRule="auto"/>
    </w:pPr>
    <w:tblPr>
      <w:tblStyleRowBandSize w:val="1"/>
      <w:tblStyleColBandSize w:val="1"/>
      <w:tblBorders>
        <w:top w:val="single" w:sz="4" w:space="0" w:color="30A9B2" w:themeColor="accent4"/>
        <w:left w:val="single" w:sz="4" w:space="0" w:color="30A9B2" w:themeColor="accent4"/>
        <w:bottom w:val="single" w:sz="4" w:space="0" w:color="30A9B2" w:themeColor="accent4"/>
        <w:right w:val="single" w:sz="4" w:space="0" w:color="30A9B2" w:themeColor="accent4"/>
      </w:tblBorders>
    </w:tblPr>
    <w:tblStylePr w:type="firstRow">
      <w:rPr>
        <w:b/>
        <w:bCs/>
        <w:color w:val="FFFFFF" w:themeColor="background1"/>
      </w:rPr>
      <w:tblPr/>
      <w:tcPr>
        <w:shd w:val="clear" w:color="auto" w:fill="30A9B2" w:themeFill="accent4"/>
      </w:tcPr>
    </w:tblStylePr>
    <w:tblStylePr w:type="lastRow">
      <w:rPr>
        <w:b/>
        <w:bCs/>
      </w:rPr>
      <w:tblPr/>
      <w:tcPr>
        <w:tcBorders>
          <w:top w:val="double" w:sz="4" w:space="0" w:color="30A9B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0A9B2" w:themeColor="accent4"/>
          <w:right w:val="single" w:sz="4" w:space="0" w:color="30A9B2" w:themeColor="accent4"/>
        </w:tcBorders>
      </w:tcPr>
    </w:tblStylePr>
    <w:tblStylePr w:type="band1Horz">
      <w:tblPr/>
      <w:tcPr>
        <w:tcBorders>
          <w:top w:val="single" w:sz="4" w:space="0" w:color="30A9B2" w:themeColor="accent4"/>
          <w:bottom w:val="single" w:sz="4" w:space="0" w:color="30A9B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0A9B2" w:themeColor="accent4"/>
          <w:left w:val="nil"/>
        </w:tcBorders>
      </w:tcPr>
    </w:tblStylePr>
    <w:tblStylePr w:type="swCell">
      <w:tblPr/>
      <w:tcPr>
        <w:tcBorders>
          <w:top w:val="double" w:sz="4" w:space="0" w:color="30A9B2" w:themeColor="accent4"/>
          <w:right w:val="nil"/>
        </w:tcBorders>
      </w:tcPr>
    </w:tblStylePr>
  </w:style>
  <w:style w:type="paragraph" w:styleId="NormalWeb">
    <w:name w:val="Normal (Web)"/>
    <w:basedOn w:val="Normal"/>
    <w:uiPriority w:val="99"/>
    <w:unhideWhenUsed/>
    <w:rsid w:val="002D6660"/>
    <w:pPr>
      <w:spacing w:before="0" w:after="150"/>
    </w:pPr>
    <w:rPr>
      <w:rFonts w:ascii="Times New Roman" w:hAnsi="Times New Roman"/>
      <w:sz w:val="24"/>
      <w:szCs w:val="24"/>
    </w:rPr>
  </w:style>
  <w:style w:type="character" w:customStyle="1" w:styleId="e24kjd">
    <w:name w:val="e24kjd"/>
    <w:basedOn w:val="DefaultParagraphFont"/>
    <w:rsid w:val="00822EFE"/>
  </w:style>
  <w:style w:type="paragraph" w:customStyle="1" w:styleId="paragraph">
    <w:name w:val="paragraph"/>
    <w:basedOn w:val="Normal"/>
    <w:rsid w:val="005F1D42"/>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5F1D42"/>
  </w:style>
  <w:style w:type="character" w:customStyle="1" w:styleId="eop">
    <w:name w:val="eop"/>
    <w:basedOn w:val="DefaultParagraphFont"/>
    <w:rsid w:val="005F1D42"/>
  </w:style>
  <w:style w:type="paragraph" w:customStyle="1" w:styleId="Heading1notnumbered">
    <w:name w:val="Heading 1 not numbered"/>
    <w:basedOn w:val="Heading1"/>
    <w:qFormat/>
    <w:rsid w:val="00861FB4"/>
    <w:pPr>
      <w:numPr>
        <w:ilvl w:val="0"/>
        <w:numId w:val="0"/>
      </w:numPr>
    </w:pPr>
  </w:style>
  <w:style w:type="table" w:customStyle="1" w:styleId="TableGrid1">
    <w:name w:val="Table Grid1"/>
    <w:basedOn w:val="TableNormal"/>
    <w:next w:val="TableGrid"/>
    <w:uiPriority w:val="59"/>
    <w:rsid w:val="00FF20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F2D5D"/>
    <w:rPr>
      <w:color w:val="E61E26" w:themeColor="followedHyperlink"/>
      <w:u w:val="single"/>
    </w:rPr>
  </w:style>
  <w:style w:type="character" w:customStyle="1" w:styleId="spellingerror">
    <w:name w:val="spellingerror"/>
    <w:basedOn w:val="DefaultParagraphFont"/>
    <w:rsid w:val="0033541B"/>
  </w:style>
  <w:style w:type="character" w:styleId="Strong">
    <w:name w:val="Strong"/>
    <w:basedOn w:val="DefaultParagraphFont"/>
    <w:uiPriority w:val="22"/>
    <w:qFormat/>
    <w:rsid w:val="0033541B"/>
    <w:rPr>
      <w:b/>
      <w:bCs/>
    </w:rPr>
  </w:style>
  <w:style w:type="paragraph" w:styleId="Caption">
    <w:name w:val="caption"/>
    <w:basedOn w:val="Normal"/>
    <w:next w:val="Normal"/>
    <w:uiPriority w:val="35"/>
    <w:unhideWhenUsed/>
    <w:qFormat/>
    <w:rsid w:val="0033541B"/>
    <w:pPr>
      <w:spacing w:after="200"/>
    </w:pPr>
    <w:rPr>
      <w:i/>
      <w:iCs/>
      <w:color w:val="0D3038" w:themeColor="text2"/>
      <w:sz w:val="18"/>
      <w:szCs w:val="18"/>
    </w:rPr>
  </w:style>
  <w:style w:type="character" w:customStyle="1" w:styleId="DoubleDotChar">
    <w:name w:val="Double Dot Char"/>
    <w:basedOn w:val="CommentTextChar"/>
    <w:link w:val="DoubleDot"/>
    <w:rsid w:val="0033541B"/>
    <w:rPr>
      <w:rFonts w:ascii="Calibri" w:eastAsia="Times New Roman" w:hAnsi="Calibri" w:cs="Times New Roman"/>
      <w:sz w:val="20"/>
      <w:szCs w:val="20"/>
      <w:lang w:eastAsia="en-AU"/>
    </w:rPr>
  </w:style>
  <w:style w:type="character" w:customStyle="1" w:styleId="BulletChar">
    <w:name w:val="Bullet Char"/>
    <w:aliases w:val="b Char,b + line Char Char,b Char Char,b1 Char,b + line Char,Body Char,level 1 Char"/>
    <w:basedOn w:val="DefaultParagraphFont"/>
    <w:link w:val="Bullet"/>
    <w:rsid w:val="00931935"/>
    <w:rPr>
      <w:rFonts w:ascii="Calibri" w:eastAsia="Times New Roman" w:hAnsi="Calibri" w:cs="Times New Roman"/>
      <w:szCs w:val="20"/>
      <w:lang w:eastAsia="en-AU"/>
    </w:rPr>
  </w:style>
  <w:style w:type="character" w:customStyle="1" w:styleId="contextualspellingandgrammarerror">
    <w:name w:val="contextualspellingandgrammarerror"/>
    <w:basedOn w:val="DefaultParagraphFont"/>
    <w:rsid w:val="0033541B"/>
  </w:style>
  <w:style w:type="character" w:customStyle="1" w:styleId="normaltextrun1">
    <w:name w:val="normaltextrun1"/>
    <w:basedOn w:val="DefaultParagraphFont"/>
    <w:rsid w:val="0033541B"/>
  </w:style>
  <w:style w:type="paragraph" w:styleId="Quote">
    <w:name w:val="Quote"/>
    <w:basedOn w:val="Normal"/>
    <w:next w:val="Normal"/>
    <w:link w:val="QuoteChar"/>
    <w:uiPriority w:val="29"/>
    <w:qFormat/>
    <w:rsid w:val="0033541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3541B"/>
    <w:rPr>
      <w:rFonts w:ascii="Calibri" w:eastAsia="Times New Roman" w:hAnsi="Calibri" w:cs="Times New Roman"/>
      <w:i/>
      <w:iCs/>
      <w:color w:val="404040" w:themeColor="text1" w:themeTint="BF"/>
      <w:szCs w:val="20"/>
      <w:lang w:eastAsia="en-AU"/>
    </w:rPr>
  </w:style>
  <w:style w:type="paragraph" w:styleId="Bibliography">
    <w:name w:val="Bibliography"/>
    <w:basedOn w:val="Normal"/>
    <w:next w:val="Normal"/>
    <w:uiPriority w:val="37"/>
    <w:unhideWhenUsed/>
    <w:rsid w:val="00C36A77"/>
  </w:style>
  <w:style w:type="paragraph" w:customStyle="1" w:styleId="Default">
    <w:name w:val="Default"/>
    <w:rsid w:val="00C36A77"/>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99"/>
    <w:unhideWhenUsed/>
    <w:rsid w:val="00C36A77"/>
    <w:pPr>
      <w:snapToGrid w:val="0"/>
      <w:spacing w:before="0" w:after="0" w:line="256" w:lineRule="auto"/>
    </w:pPr>
    <w:rPr>
      <w:color w:val="000000"/>
      <w:szCs w:val="22"/>
      <w:lang w:eastAsia="en-US"/>
    </w:rPr>
  </w:style>
  <w:style w:type="character" w:customStyle="1" w:styleId="BodyTextChar">
    <w:name w:val="Body Text Char"/>
    <w:basedOn w:val="DefaultParagraphFont"/>
    <w:link w:val="BodyText"/>
    <w:uiPriority w:val="99"/>
    <w:rsid w:val="00C36A77"/>
    <w:rPr>
      <w:rFonts w:ascii="Calibri" w:eastAsia="Times New Roman" w:hAnsi="Calibri" w:cs="Times New Roman"/>
      <w:color w:val="000000"/>
    </w:rPr>
  </w:style>
  <w:style w:type="table" w:styleId="TableGridLight">
    <w:name w:val="Grid Table Light"/>
    <w:basedOn w:val="TableNormal"/>
    <w:uiPriority w:val="40"/>
    <w:rsid w:val="00C36A77"/>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4">
    <w:name w:val="toc 4"/>
    <w:basedOn w:val="Normal"/>
    <w:next w:val="Normal"/>
    <w:autoRedefine/>
    <w:uiPriority w:val="39"/>
    <w:unhideWhenUsed/>
    <w:rsid w:val="00C36A77"/>
    <w:pPr>
      <w:spacing w:after="100"/>
      <w:ind w:left="660"/>
    </w:pPr>
  </w:style>
  <w:style w:type="character" w:styleId="HTMLCite">
    <w:name w:val="HTML Cite"/>
    <w:basedOn w:val="DefaultParagraphFont"/>
    <w:uiPriority w:val="99"/>
    <w:semiHidden/>
    <w:unhideWhenUsed/>
    <w:rsid w:val="00C36A77"/>
    <w:rPr>
      <w:i/>
      <w:iCs/>
    </w:rPr>
  </w:style>
  <w:style w:type="paragraph" w:customStyle="1" w:styleId="Pa15">
    <w:name w:val="Pa15"/>
    <w:basedOn w:val="Default"/>
    <w:next w:val="Default"/>
    <w:uiPriority w:val="99"/>
    <w:rsid w:val="00C36A77"/>
    <w:pPr>
      <w:spacing w:line="181" w:lineRule="atLeast"/>
    </w:pPr>
    <w:rPr>
      <w:rFonts w:ascii="ITC Franklin Gothic Std Book" w:hAnsi="ITC Franklin Gothic Std Book" w:cstheme="minorBidi"/>
      <w:color w:val="auto"/>
    </w:rPr>
  </w:style>
  <w:style w:type="character" w:customStyle="1" w:styleId="DashChar">
    <w:name w:val="Dash Char"/>
    <w:basedOn w:val="DefaultParagraphFont"/>
    <w:link w:val="Dash"/>
    <w:rsid w:val="00C36A77"/>
    <w:rPr>
      <w:rFonts w:ascii="Calibri" w:eastAsia="Times New Roman" w:hAnsi="Calibri" w:cs="Times New Roman"/>
      <w:szCs w:val="20"/>
      <w:lang w:eastAsia="en-AU"/>
    </w:rPr>
  </w:style>
  <w:style w:type="paragraph" w:styleId="PlainText">
    <w:name w:val="Plain Text"/>
    <w:basedOn w:val="Normal"/>
    <w:link w:val="PlainTextChar"/>
    <w:uiPriority w:val="99"/>
    <w:unhideWhenUsed/>
    <w:rsid w:val="00C36A77"/>
    <w:pPr>
      <w:spacing w:before="0" w:after="0"/>
    </w:pPr>
    <w:rPr>
      <w:rFonts w:eastAsiaTheme="minorHAnsi" w:cstheme="minorBidi"/>
      <w:szCs w:val="21"/>
      <w:lang w:eastAsia="en-US"/>
    </w:rPr>
  </w:style>
  <w:style w:type="character" w:customStyle="1" w:styleId="PlainTextChar">
    <w:name w:val="Plain Text Char"/>
    <w:basedOn w:val="DefaultParagraphFont"/>
    <w:link w:val="PlainText"/>
    <w:uiPriority w:val="99"/>
    <w:rsid w:val="00C36A77"/>
    <w:rPr>
      <w:rFonts w:ascii="Calibri" w:hAnsi="Calibri"/>
      <w:szCs w:val="21"/>
    </w:rPr>
  </w:style>
  <w:style w:type="paragraph" w:styleId="TOC5">
    <w:name w:val="toc 5"/>
    <w:basedOn w:val="Normal"/>
    <w:next w:val="Normal"/>
    <w:autoRedefine/>
    <w:uiPriority w:val="39"/>
    <w:unhideWhenUsed/>
    <w:rsid w:val="00C36A77"/>
    <w:pPr>
      <w:spacing w:after="100"/>
      <w:ind w:left="880"/>
    </w:pPr>
  </w:style>
  <w:style w:type="character" w:customStyle="1" w:styleId="findhit">
    <w:name w:val="findhit"/>
    <w:basedOn w:val="DefaultParagraphFont"/>
    <w:rsid w:val="00C36A77"/>
  </w:style>
  <w:style w:type="table" w:styleId="GridTable5Dark-Accent1">
    <w:name w:val="Grid Table 5 Dark Accent 1"/>
    <w:basedOn w:val="TableNormal"/>
    <w:uiPriority w:val="50"/>
    <w:rsid w:val="00C36A7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44E6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44E6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44E6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44E60" w:themeFill="accent1"/>
      </w:tcPr>
    </w:tblStylePr>
    <w:tblStylePr w:type="band1Vert">
      <w:tblPr/>
      <w:tcPr>
        <w:shd w:val="clear" w:color="auto" w:fill="7CCBE3" w:themeFill="accent1" w:themeFillTint="66"/>
      </w:tcPr>
    </w:tblStylePr>
    <w:tblStylePr w:type="band1Horz">
      <w:tblPr/>
      <w:tcPr>
        <w:shd w:val="clear" w:color="auto" w:fill="7CCBE3" w:themeFill="accent1" w:themeFillTint="66"/>
      </w:tcPr>
    </w:tblStylePr>
  </w:style>
  <w:style w:type="table" w:styleId="GridTable5Dark">
    <w:name w:val="Grid Table 5 Dark"/>
    <w:basedOn w:val="TableNormal"/>
    <w:uiPriority w:val="50"/>
    <w:rsid w:val="00C36A7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superscript">
    <w:name w:val="superscript"/>
    <w:basedOn w:val="DefaultParagraphFont"/>
    <w:rsid w:val="00C36A77"/>
  </w:style>
  <w:style w:type="character" w:customStyle="1" w:styleId="textrun">
    <w:name w:val="textrun"/>
    <w:basedOn w:val="DefaultParagraphFont"/>
    <w:rsid w:val="00C36A77"/>
  </w:style>
  <w:style w:type="paragraph" w:customStyle="1" w:styleId="msonormal0">
    <w:name w:val="msonormal"/>
    <w:basedOn w:val="Normal"/>
    <w:rsid w:val="00C36A77"/>
    <w:pPr>
      <w:spacing w:before="100" w:beforeAutospacing="1" w:after="100" w:afterAutospacing="1"/>
    </w:pPr>
    <w:rPr>
      <w:rFonts w:ascii="Times New Roman" w:eastAsiaTheme="minorEastAsia" w:hAnsi="Times New Roman"/>
      <w:sz w:val="24"/>
      <w:szCs w:val="24"/>
    </w:rPr>
  </w:style>
  <w:style w:type="paragraph" w:styleId="EndnoteText">
    <w:name w:val="endnote text"/>
    <w:basedOn w:val="Normal"/>
    <w:link w:val="EndnoteTextChar"/>
    <w:uiPriority w:val="99"/>
    <w:semiHidden/>
    <w:unhideWhenUsed/>
    <w:rsid w:val="00C36A77"/>
    <w:pPr>
      <w:spacing w:before="0" w:after="0"/>
    </w:pPr>
    <w:rPr>
      <w:sz w:val="20"/>
    </w:rPr>
  </w:style>
  <w:style w:type="character" w:customStyle="1" w:styleId="EndnoteTextChar">
    <w:name w:val="Endnote Text Char"/>
    <w:basedOn w:val="DefaultParagraphFont"/>
    <w:link w:val="EndnoteText"/>
    <w:uiPriority w:val="99"/>
    <w:semiHidden/>
    <w:rsid w:val="00C36A77"/>
    <w:rPr>
      <w:rFonts w:ascii="Calibri" w:eastAsia="Times New Roman" w:hAnsi="Calibri" w:cs="Times New Roman"/>
      <w:sz w:val="20"/>
      <w:szCs w:val="20"/>
      <w:lang w:eastAsia="en-AU"/>
    </w:rPr>
  </w:style>
  <w:style w:type="character" w:styleId="EndnoteReference">
    <w:name w:val="endnote reference"/>
    <w:basedOn w:val="DefaultParagraphFont"/>
    <w:uiPriority w:val="99"/>
    <w:semiHidden/>
    <w:unhideWhenUsed/>
    <w:rsid w:val="00C36A77"/>
    <w:rPr>
      <w:vertAlign w:val="superscript"/>
    </w:rPr>
  </w:style>
  <w:style w:type="character" w:customStyle="1" w:styleId="Heading7Char">
    <w:name w:val="Heading 7 Char"/>
    <w:basedOn w:val="DefaultParagraphFont"/>
    <w:link w:val="Heading7"/>
    <w:uiPriority w:val="9"/>
    <w:rsid w:val="0092760B"/>
    <w:rPr>
      <w:rFonts w:asciiTheme="majorHAnsi" w:eastAsiaTheme="majorEastAsia" w:hAnsiTheme="majorHAnsi" w:cstheme="majorBidi"/>
      <w:i/>
      <w:iCs/>
      <w:color w:val="0A262F" w:themeColor="accent1" w:themeShade="7F"/>
      <w:szCs w:val="20"/>
      <w:lang w:eastAsia="en-AU"/>
    </w:rPr>
  </w:style>
  <w:style w:type="character" w:customStyle="1" w:styleId="pagebreaktextspan">
    <w:name w:val="pagebreaktextspan"/>
    <w:basedOn w:val="DefaultParagraphFont"/>
    <w:rsid w:val="0092760B"/>
  </w:style>
  <w:style w:type="table" w:styleId="GridTable1Light-Accent4">
    <w:name w:val="Grid Table 1 Light Accent 4"/>
    <w:basedOn w:val="TableNormal"/>
    <w:uiPriority w:val="46"/>
    <w:rsid w:val="0092760B"/>
    <w:pPr>
      <w:spacing w:after="0" w:line="240" w:lineRule="auto"/>
    </w:pPr>
    <w:tblPr>
      <w:tblStyleRowBandSize w:val="1"/>
      <w:tblStyleColBandSize w:val="1"/>
      <w:tblBorders>
        <w:top w:val="single" w:sz="4" w:space="0" w:color="A5E2E7" w:themeColor="accent4" w:themeTint="66"/>
        <w:left w:val="single" w:sz="4" w:space="0" w:color="A5E2E7" w:themeColor="accent4" w:themeTint="66"/>
        <w:bottom w:val="single" w:sz="4" w:space="0" w:color="A5E2E7" w:themeColor="accent4" w:themeTint="66"/>
        <w:right w:val="single" w:sz="4" w:space="0" w:color="A5E2E7" w:themeColor="accent4" w:themeTint="66"/>
        <w:insideH w:val="single" w:sz="4" w:space="0" w:color="A5E2E7" w:themeColor="accent4" w:themeTint="66"/>
        <w:insideV w:val="single" w:sz="4" w:space="0" w:color="A5E2E7" w:themeColor="accent4" w:themeTint="66"/>
      </w:tblBorders>
    </w:tblPr>
    <w:tblStylePr w:type="firstRow">
      <w:rPr>
        <w:b/>
        <w:bCs/>
      </w:rPr>
      <w:tblPr/>
      <w:tcPr>
        <w:tcBorders>
          <w:bottom w:val="single" w:sz="12" w:space="0" w:color="78D3DA" w:themeColor="accent4" w:themeTint="99"/>
        </w:tcBorders>
      </w:tcPr>
    </w:tblStylePr>
    <w:tblStylePr w:type="lastRow">
      <w:rPr>
        <w:b/>
        <w:bCs/>
      </w:rPr>
      <w:tblPr/>
      <w:tcPr>
        <w:tcBorders>
          <w:top w:val="double" w:sz="2" w:space="0" w:color="78D3DA" w:themeColor="accent4"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9276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OutlineNumbered1Char">
    <w:name w:val="Outline Numbered 1 Char"/>
    <w:basedOn w:val="DefaultParagraphFont"/>
    <w:link w:val="OutlineNumbered1"/>
    <w:rsid w:val="00240721"/>
    <w:rPr>
      <w:rFonts w:ascii="Calibri" w:eastAsia="Times New Roman" w:hAnsi="Calibri" w:cs="Times New Roman"/>
      <w:szCs w:val="20"/>
      <w:lang w:eastAsia="en-AU"/>
    </w:rPr>
  </w:style>
  <w:style w:type="paragraph" w:customStyle="1" w:styleId="dash0">
    <w:name w:val="dash"/>
    <w:basedOn w:val="Normal"/>
    <w:rsid w:val="0092760B"/>
    <w:pPr>
      <w:spacing w:before="100" w:beforeAutospacing="1" w:after="100" w:afterAutospacing="1"/>
    </w:pPr>
    <w:rPr>
      <w:rFonts w:ascii="Times New Roman" w:eastAsiaTheme="minorHAnsi" w:hAnsi="Times New Roman"/>
      <w:sz w:val="24"/>
      <w:szCs w:val="24"/>
    </w:rPr>
  </w:style>
  <w:style w:type="table" w:styleId="GridTable1Light-Accent1">
    <w:name w:val="Grid Table 1 Light Accent 1"/>
    <w:basedOn w:val="TableNormal"/>
    <w:uiPriority w:val="46"/>
    <w:rsid w:val="0092760B"/>
    <w:pPr>
      <w:spacing w:after="0" w:line="240" w:lineRule="auto"/>
    </w:pPr>
    <w:tblPr>
      <w:tblStyleRowBandSize w:val="1"/>
      <w:tblStyleColBandSize w:val="1"/>
      <w:tblBorders>
        <w:top w:val="single" w:sz="4" w:space="0" w:color="7CCBE3" w:themeColor="accent1" w:themeTint="66"/>
        <w:left w:val="single" w:sz="4" w:space="0" w:color="7CCBE3" w:themeColor="accent1" w:themeTint="66"/>
        <w:bottom w:val="single" w:sz="4" w:space="0" w:color="7CCBE3" w:themeColor="accent1" w:themeTint="66"/>
        <w:right w:val="single" w:sz="4" w:space="0" w:color="7CCBE3" w:themeColor="accent1" w:themeTint="66"/>
        <w:insideH w:val="single" w:sz="4" w:space="0" w:color="7CCBE3" w:themeColor="accent1" w:themeTint="66"/>
        <w:insideV w:val="single" w:sz="4" w:space="0" w:color="7CCBE3" w:themeColor="accent1" w:themeTint="66"/>
      </w:tblBorders>
    </w:tblPr>
    <w:tblStylePr w:type="firstRow">
      <w:rPr>
        <w:b/>
        <w:bCs/>
      </w:rPr>
      <w:tblPr/>
      <w:tcPr>
        <w:tcBorders>
          <w:bottom w:val="single" w:sz="12" w:space="0" w:color="3BB1D6" w:themeColor="accent1" w:themeTint="99"/>
        </w:tcBorders>
      </w:tcPr>
    </w:tblStylePr>
    <w:tblStylePr w:type="lastRow">
      <w:rPr>
        <w:b/>
        <w:bCs/>
      </w:rPr>
      <w:tblPr/>
      <w:tcPr>
        <w:tcBorders>
          <w:top w:val="double" w:sz="2" w:space="0" w:color="3BB1D6" w:themeColor="accent1" w:themeTint="99"/>
        </w:tcBorders>
      </w:tcPr>
    </w:tblStylePr>
    <w:tblStylePr w:type="firstCol">
      <w:rPr>
        <w:b/>
        <w:bCs/>
      </w:rPr>
    </w:tblStylePr>
    <w:tblStylePr w:type="lastCol">
      <w:rPr>
        <w:b/>
        <w:bCs/>
      </w:rPr>
    </w:tblStylePr>
  </w:style>
  <w:style w:type="table" w:styleId="ListTable2-Accent4">
    <w:name w:val="List Table 2 Accent 4"/>
    <w:basedOn w:val="TableNormal"/>
    <w:uiPriority w:val="47"/>
    <w:rsid w:val="0092760B"/>
    <w:pPr>
      <w:spacing w:after="0" w:line="240" w:lineRule="auto"/>
    </w:pPr>
    <w:tblPr>
      <w:tblStyleRowBandSize w:val="1"/>
      <w:tblStyleColBandSize w:val="1"/>
      <w:tblBorders>
        <w:top w:val="single" w:sz="4" w:space="0" w:color="78D3DA" w:themeColor="accent4" w:themeTint="99"/>
        <w:bottom w:val="single" w:sz="4" w:space="0" w:color="78D3DA" w:themeColor="accent4" w:themeTint="99"/>
        <w:insideH w:val="single" w:sz="4" w:space="0" w:color="78D3D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F0F3" w:themeFill="accent4" w:themeFillTint="33"/>
      </w:tcPr>
    </w:tblStylePr>
    <w:tblStylePr w:type="band1Horz">
      <w:tblPr/>
      <w:tcPr>
        <w:shd w:val="clear" w:color="auto" w:fill="D2F0F3" w:themeFill="accent4" w:themeFillTint="33"/>
      </w:tcPr>
    </w:tblStylePr>
  </w:style>
  <w:style w:type="table" w:styleId="GridTable6Colorful-Accent1">
    <w:name w:val="Grid Table 6 Colorful Accent 1"/>
    <w:basedOn w:val="TableNormal"/>
    <w:uiPriority w:val="51"/>
    <w:rsid w:val="0092760B"/>
    <w:pPr>
      <w:spacing w:after="0" w:line="240" w:lineRule="auto"/>
    </w:pPr>
    <w:rPr>
      <w:color w:val="0F3A47" w:themeColor="accent1" w:themeShade="BF"/>
    </w:rPr>
    <w:tblPr>
      <w:tblStyleRowBandSize w:val="1"/>
      <w:tblStyleColBandSize w:val="1"/>
      <w:tblBorders>
        <w:top w:val="single" w:sz="4" w:space="0" w:color="3BB1D6" w:themeColor="accent1" w:themeTint="99"/>
        <w:left w:val="single" w:sz="4" w:space="0" w:color="3BB1D6" w:themeColor="accent1" w:themeTint="99"/>
        <w:bottom w:val="single" w:sz="4" w:space="0" w:color="3BB1D6" w:themeColor="accent1" w:themeTint="99"/>
        <w:right w:val="single" w:sz="4" w:space="0" w:color="3BB1D6" w:themeColor="accent1" w:themeTint="99"/>
        <w:insideH w:val="single" w:sz="4" w:space="0" w:color="3BB1D6" w:themeColor="accent1" w:themeTint="99"/>
        <w:insideV w:val="single" w:sz="4" w:space="0" w:color="3BB1D6" w:themeColor="accent1" w:themeTint="99"/>
      </w:tblBorders>
    </w:tblPr>
    <w:tblStylePr w:type="firstRow">
      <w:rPr>
        <w:b/>
        <w:bCs/>
      </w:rPr>
      <w:tblPr/>
      <w:tcPr>
        <w:tcBorders>
          <w:bottom w:val="single" w:sz="12" w:space="0" w:color="3BB1D6" w:themeColor="accent1" w:themeTint="99"/>
        </w:tcBorders>
      </w:tcPr>
    </w:tblStylePr>
    <w:tblStylePr w:type="lastRow">
      <w:rPr>
        <w:b/>
        <w:bCs/>
      </w:rPr>
      <w:tblPr/>
      <w:tcPr>
        <w:tcBorders>
          <w:top w:val="double" w:sz="4" w:space="0" w:color="3BB1D6" w:themeColor="accent1" w:themeTint="99"/>
        </w:tcBorders>
      </w:tcPr>
    </w:tblStylePr>
    <w:tblStylePr w:type="firstCol">
      <w:rPr>
        <w:b/>
        <w:bCs/>
      </w:rPr>
    </w:tblStylePr>
    <w:tblStylePr w:type="lastCol">
      <w:rPr>
        <w:b/>
        <w:bCs/>
      </w:rPr>
    </w:tblStylePr>
    <w:tblStylePr w:type="band1Vert">
      <w:tblPr/>
      <w:tcPr>
        <w:shd w:val="clear" w:color="auto" w:fill="BDE5F1" w:themeFill="accent1" w:themeFillTint="33"/>
      </w:tcPr>
    </w:tblStylePr>
    <w:tblStylePr w:type="band1Horz">
      <w:tblPr/>
      <w:tcPr>
        <w:shd w:val="clear" w:color="auto" w:fill="BDE5F1" w:themeFill="accent1" w:themeFillTint="33"/>
      </w:tcPr>
    </w:tblStylePr>
  </w:style>
  <w:style w:type="table" w:styleId="GridTable4-Accent4">
    <w:name w:val="Grid Table 4 Accent 4"/>
    <w:basedOn w:val="TableNormal"/>
    <w:uiPriority w:val="49"/>
    <w:rsid w:val="0092760B"/>
    <w:pPr>
      <w:spacing w:after="0" w:line="240" w:lineRule="auto"/>
    </w:pPr>
    <w:tblPr>
      <w:tblStyleRowBandSize w:val="1"/>
      <w:tblStyleColBandSize w:val="1"/>
      <w:tblBorders>
        <w:top w:val="single" w:sz="4" w:space="0" w:color="78D3DA" w:themeColor="accent4" w:themeTint="99"/>
        <w:left w:val="single" w:sz="4" w:space="0" w:color="78D3DA" w:themeColor="accent4" w:themeTint="99"/>
        <w:bottom w:val="single" w:sz="4" w:space="0" w:color="78D3DA" w:themeColor="accent4" w:themeTint="99"/>
        <w:right w:val="single" w:sz="4" w:space="0" w:color="78D3DA" w:themeColor="accent4" w:themeTint="99"/>
        <w:insideH w:val="single" w:sz="4" w:space="0" w:color="78D3DA" w:themeColor="accent4" w:themeTint="99"/>
        <w:insideV w:val="single" w:sz="4" w:space="0" w:color="78D3DA" w:themeColor="accent4" w:themeTint="99"/>
      </w:tblBorders>
    </w:tblPr>
    <w:tblStylePr w:type="firstRow">
      <w:rPr>
        <w:b/>
        <w:bCs/>
        <w:color w:val="FFFFFF" w:themeColor="background1"/>
      </w:rPr>
      <w:tblPr/>
      <w:tcPr>
        <w:tcBorders>
          <w:top w:val="single" w:sz="4" w:space="0" w:color="30A9B2" w:themeColor="accent4"/>
          <w:left w:val="single" w:sz="4" w:space="0" w:color="30A9B2" w:themeColor="accent4"/>
          <w:bottom w:val="single" w:sz="4" w:space="0" w:color="30A9B2" w:themeColor="accent4"/>
          <w:right w:val="single" w:sz="4" w:space="0" w:color="30A9B2" w:themeColor="accent4"/>
          <w:insideH w:val="nil"/>
          <w:insideV w:val="nil"/>
        </w:tcBorders>
        <w:shd w:val="clear" w:color="auto" w:fill="30A9B2" w:themeFill="accent4"/>
      </w:tcPr>
    </w:tblStylePr>
    <w:tblStylePr w:type="lastRow">
      <w:rPr>
        <w:b/>
        <w:bCs/>
      </w:rPr>
      <w:tblPr/>
      <w:tcPr>
        <w:tcBorders>
          <w:top w:val="double" w:sz="4" w:space="0" w:color="30A9B2" w:themeColor="accent4"/>
        </w:tcBorders>
      </w:tcPr>
    </w:tblStylePr>
    <w:tblStylePr w:type="firstCol">
      <w:rPr>
        <w:b/>
        <w:bCs/>
      </w:rPr>
    </w:tblStylePr>
    <w:tblStylePr w:type="lastCol">
      <w:rPr>
        <w:b/>
        <w:bCs/>
      </w:rPr>
    </w:tblStylePr>
    <w:tblStylePr w:type="band1Vert">
      <w:tblPr/>
      <w:tcPr>
        <w:shd w:val="clear" w:color="auto" w:fill="D2F0F3" w:themeFill="accent4" w:themeFillTint="33"/>
      </w:tcPr>
    </w:tblStylePr>
    <w:tblStylePr w:type="band1Horz">
      <w:tblPr/>
      <w:tcPr>
        <w:shd w:val="clear" w:color="auto" w:fill="D2F0F3" w:themeFill="accent4" w:themeFillTint="33"/>
      </w:tcPr>
    </w:tblStylePr>
  </w:style>
  <w:style w:type="character" w:customStyle="1" w:styleId="Heading8Char">
    <w:name w:val="Heading 8 Char"/>
    <w:basedOn w:val="DefaultParagraphFont"/>
    <w:link w:val="Heading8"/>
    <w:uiPriority w:val="9"/>
    <w:semiHidden/>
    <w:rsid w:val="002A2FAE"/>
    <w:rPr>
      <w:rFonts w:asciiTheme="majorHAnsi" w:eastAsiaTheme="majorEastAsia" w:hAnsiTheme="majorHAnsi" w:cs="Times New Roman"/>
      <w:color w:val="272727" w:themeColor="text1" w:themeTint="D8"/>
      <w:sz w:val="21"/>
      <w:szCs w:val="21"/>
      <w:lang w:eastAsia="en-AU"/>
    </w:rPr>
  </w:style>
  <w:style w:type="paragraph" w:styleId="TOC6">
    <w:name w:val="toc 6"/>
    <w:basedOn w:val="Normal"/>
    <w:next w:val="Normal"/>
    <w:autoRedefine/>
    <w:uiPriority w:val="39"/>
    <w:unhideWhenUsed/>
    <w:rsid w:val="002A2FAE"/>
    <w:pPr>
      <w:spacing w:after="100"/>
      <w:ind w:left="1100"/>
    </w:pPr>
  </w:style>
  <w:style w:type="character" w:styleId="BookTitle">
    <w:name w:val="Book Title"/>
    <w:basedOn w:val="DefaultParagraphFont"/>
    <w:uiPriority w:val="33"/>
    <w:qFormat/>
    <w:rsid w:val="002A2FAE"/>
    <w:rPr>
      <w:b/>
      <w:bCs/>
      <w:i/>
      <w:iCs/>
      <w:spacing w:val="5"/>
    </w:rPr>
  </w:style>
  <w:style w:type="paragraph" w:customStyle="1" w:styleId="p1">
    <w:name w:val="p1"/>
    <w:basedOn w:val="Normal"/>
    <w:rsid w:val="002A2FAE"/>
    <w:pPr>
      <w:spacing w:before="100" w:beforeAutospacing="1" w:after="100" w:afterAutospacing="1"/>
    </w:pPr>
    <w:rPr>
      <w:rFonts w:ascii="Times New Roman" w:hAnsi="Times New Roman"/>
      <w:sz w:val="24"/>
      <w:szCs w:val="24"/>
    </w:rPr>
  </w:style>
  <w:style w:type="paragraph" w:customStyle="1" w:styleId="p2">
    <w:name w:val="p2"/>
    <w:basedOn w:val="Normal"/>
    <w:rsid w:val="002A2FAE"/>
    <w:pPr>
      <w:spacing w:before="100" w:beforeAutospacing="1" w:after="100" w:afterAutospacing="1"/>
    </w:pPr>
    <w:rPr>
      <w:rFonts w:ascii="Times New Roman" w:hAnsi="Times New Roman"/>
      <w:sz w:val="24"/>
      <w:szCs w:val="24"/>
    </w:rPr>
  </w:style>
  <w:style w:type="character" w:customStyle="1" w:styleId="s1">
    <w:name w:val="s1"/>
    <w:basedOn w:val="DefaultParagraphFont"/>
    <w:rsid w:val="002A2FAE"/>
  </w:style>
  <w:style w:type="paragraph" w:styleId="NormalIndent">
    <w:name w:val="Normal Indent"/>
    <w:basedOn w:val="Normal"/>
    <w:uiPriority w:val="99"/>
    <w:unhideWhenUsed/>
    <w:rsid w:val="002A2FAE"/>
    <w:pPr>
      <w:ind w:left="720"/>
    </w:pPr>
  </w:style>
  <w:style w:type="character" w:customStyle="1" w:styleId="A3">
    <w:name w:val="A3"/>
    <w:uiPriority w:val="99"/>
    <w:rsid w:val="002A2FAE"/>
    <w:rPr>
      <w:rFonts w:cs="ClanOT-News"/>
      <w:color w:val="000000"/>
      <w:sz w:val="16"/>
      <w:szCs w:val="16"/>
    </w:rPr>
  </w:style>
  <w:style w:type="paragraph" w:styleId="IntenseQuote">
    <w:name w:val="Intense Quote"/>
    <w:basedOn w:val="Normal"/>
    <w:next w:val="Normal"/>
    <w:link w:val="IntenseQuoteChar"/>
    <w:uiPriority w:val="30"/>
    <w:rsid w:val="002A2FAE"/>
    <w:pPr>
      <w:pBdr>
        <w:top w:val="single" w:sz="4" w:space="10" w:color="144E60" w:themeColor="accent1"/>
        <w:bottom w:val="single" w:sz="4" w:space="10" w:color="144E60" w:themeColor="accent1"/>
      </w:pBdr>
      <w:spacing w:before="360" w:after="360"/>
      <w:ind w:left="864" w:right="864"/>
      <w:jc w:val="center"/>
    </w:pPr>
    <w:rPr>
      <w:i/>
      <w:iCs/>
      <w:color w:val="144E60" w:themeColor="accent1"/>
    </w:rPr>
  </w:style>
  <w:style w:type="character" w:customStyle="1" w:styleId="IntenseQuoteChar">
    <w:name w:val="Intense Quote Char"/>
    <w:basedOn w:val="DefaultParagraphFont"/>
    <w:link w:val="IntenseQuote"/>
    <w:uiPriority w:val="30"/>
    <w:rsid w:val="002A2FAE"/>
    <w:rPr>
      <w:rFonts w:ascii="Calibri" w:eastAsia="Times New Roman" w:hAnsi="Calibri" w:cs="Times New Roman"/>
      <w:i/>
      <w:iCs/>
      <w:color w:val="144E60" w:themeColor="accent1"/>
      <w:szCs w:val="20"/>
      <w:lang w:eastAsia="en-AU"/>
    </w:rPr>
  </w:style>
  <w:style w:type="character" w:customStyle="1" w:styleId="field">
    <w:name w:val="field"/>
    <w:basedOn w:val="DefaultParagraphFont"/>
    <w:rsid w:val="002A2FAE"/>
    <w:rPr>
      <w:rFonts w:cs="Times New Roman"/>
    </w:rPr>
  </w:style>
  <w:style w:type="table" w:styleId="GridTable2-Accent6">
    <w:name w:val="Grid Table 2 Accent 6"/>
    <w:basedOn w:val="TableNormal"/>
    <w:uiPriority w:val="47"/>
    <w:rsid w:val="002A2FAE"/>
    <w:pPr>
      <w:spacing w:after="0" w:line="240" w:lineRule="auto"/>
    </w:pPr>
    <w:rPr>
      <w:rFonts w:eastAsia="Times New Roman" w:cs="Times New Roman"/>
    </w:rPr>
    <w:tblPr>
      <w:tblStyleRowBandSize w:val="1"/>
      <w:tblStyleColBandSize w:val="1"/>
      <w:tblBorders>
        <w:top w:val="single" w:sz="2" w:space="0" w:color="C1C1C1" w:themeColor="accent6" w:themeTint="99"/>
        <w:bottom w:val="single" w:sz="2" w:space="0" w:color="C1C1C1" w:themeColor="accent6" w:themeTint="99"/>
        <w:insideH w:val="single" w:sz="2" w:space="0" w:color="C1C1C1" w:themeColor="accent6" w:themeTint="99"/>
        <w:insideV w:val="single" w:sz="2" w:space="0" w:color="C1C1C1" w:themeColor="accent6" w:themeTint="99"/>
      </w:tblBorders>
    </w:tblPr>
    <w:tblStylePr w:type="firstRow">
      <w:rPr>
        <w:rFonts w:cs="Times New Roman"/>
        <w:b/>
        <w:bCs/>
      </w:rPr>
      <w:tblPr/>
      <w:tcPr>
        <w:tcBorders>
          <w:top w:val="nil"/>
          <w:bottom w:val="single" w:sz="12" w:space="0" w:color="C1C1C1" w:themeColor="accent6" w:themeTint="99"/>
          <w:insideH w:val="nil"/>
          <w:insideV w:val="nil"/>
        </w:tcBorders>
        <w:shd w:val="clear" w:color="auto" w:fill="FFFFFF" w:themeFill="background1"/>
      </w:tcPr>
    </w:tblStylePr>
    <w:tblStylePr w:type="lastRow">
      <w:rPr>
        <w:rFonts w:cs="Times New Roman"/>
        <w:b/>
        <w:bCs/>
      </w:rPr>
      <w:tblPr/>
      <w:tcPr>
        <w:tcBorders>
          <w:top w:val="double" w:sz="2" w:space="0" w:color="C1C1C1" w:themeColor="accent6"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EAEA" w:themeFill="accent6" w:themeFillTint="33"/>
      </w:tcPr>
    </w:tblStylePr>
    <w:tblStylePr w:type="band1Horz">
      <w:rPr>
        <w:rFonts w:cs="Times New Roman"/>
      </w:rPr>
      <w:tblPr/>
      <w:tcPr>
        <w:shd w:val="clear" w:color="auto" w:fill="EAEAEA" w:themeFill="accent6" w:themeFillTint="33"/>
      </w:tcPr>
    </w:tblStylePr>
  </w:style>
  <w:style w:type="table" w:styleId="PlainTable5">
    <w:name w:val="Plain Table 5"/>
    <w:basedOn w:val="TableNormal"/>
    <w:uiPriority w:val="45"/>
    <w:rsid w:val="002A2FAE"/>
    <w:pPr>
      <w:spacing w:after="0" w:line="240" w:lineRule="auto"/>
    </w:pPr>
    <w:rPr>
      <w:rFonts w:eastAsia="Times New Roman" w:cs="Times New Roman"/>
    </w:rPr>
    <w:tblPr>
      <w:tblStyleRowBandSize w:val="1"/>
      <w:tblStyleColBandSize w:val="1"/>
    </w:tblPr>
    <w:tblStylePr w:type="firstRow">
      <w:rPr>
        <w:rFonts w:asciiTheme="majorHAnsi" w:eastAsiaTheme="majorEastAsia" w:hAnsiTheme="majorHAnsi" w:cs="Times New Roman"/>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imes New Roman"/>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imes New Roman"/>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imes New Roman"/>
        <w:i/>
        <w:iCs/>
        <w:sz w:val="26"/>
      </w:rPr>
      <w:tblPr/>
      <w:tcPr>
        <w:tcBorders>
          <w:left w:val="single" w:sz="4" w:space="0" w:color="7F7F7F" w:themeColor="text1" w:themeTint="80"/>
        </w:tcBorders>
        <w:shd w:val="clear" w:color="auto" w:fill="FFFFFF" w:themeFill="background1"/>
      </w:tc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character" w:customStyle="1" w:styleId="UnresolvedMention1">
    <w:name w:val="Unresolved Mention1"/>
    <w:basedOn w:val="DefaultParagraphFont"/>
    <w:uiPriority w:val="99"/>
    <w:semiHidden/>
    <w:unhideWhenUsed/>
    <w:rsid w:val="002A2FAE"/>
    <w:rPr>
      <w:rFonts w:cs="Times New Roman"/>
      <w:color w:val="605E5C"/>
      <w:shd w:val="clear" w:color="auto" w:fill="E1DFDD"/>
    </w:rPr>
  </w:style>
  <w:style w:type="character" w:customStyle="1" w:styleId="UnresolvedMention12">
    <w:name w:val="Unresolved Mention12"/>
    <w:basedOn w:val="DefaultParagraphFont"/>
    <w:uiPriority w:val="99"/>
    <w:semiHidden/>
    <w:unhideWhenUsed/>
    <w:rsid w:val="002A2FAE"/>
    <w:rPr>
      <w:rFonts w:cs="Times New Roman"/>
      <w:color w:val="605E5C"/>
      <w:shd w:val="clear" w:color="auto" w:fill="E1DFDD"/>
    </w:rPr>
  </w:style>
  <w:style w:type="character" w:customStyle="1" w:styleId="UnresolvedMention10">
    <w:name w:val="Unresolved Mention10"/>
    <w:basedOn w:val="DefaultParagraphFont"/>
    <w:uiPriority w:val="99"/>
    <w:semiHidden/>
    <w:unhideWhenUsed/>
    <w:rsid w:val="002A2FAE"/>
    <w:rPr>
      <w:rFonts w:cs="Times New Roman"/>
      <w:color w:val="605E5C"/>
      <w:shd w:val="clear" w:color="auto" w:fill="E1DFDD"/>
    </w:rPr>
  </w:style>
  <w:style w:type="character" w:customStyle="1" w:styleId="UnresolvedMention11">
    <w:name w:val="Unresolved Mention11"/>
    <w:basedOn w:val="DefaultParagraphFont"/>
    <w:uiPriority w:val="99"/>
    <w:semiHidden/>
    <w:unhideWhenUsed/>
    <w:rsid w:val="002A2FAE"/>
    <w:rPr>
      <w:rFonts w:cs="Times New Roman"/>
      <w:color w:val="605E5C"/>
      <w:shd w:val="clear" w:color="auto" w:fill="E1DFDD"/>
    </w:rPr>
  </w:style>
  <w:style w:type="table" w:styleId="GridTable2-Accent1">
    <w:name w:val="Grid Table 2 Accent 1"/>
    <w:basedOn w:val="TableNormal"/>
    <w:uiPriority w:val="47"/>
    <w:rsid w:val="002A2FAE"/>
    <w:pPr>
      <w:spacing w:after="0" w:line="240" w:lineRule="auto"/>
    </w:pPr>
    <w:rPr>
      <w:rFonts w:eastAsia="Times New Roman" w:cs="Times New Roman"/>
    </w:rPr>
    <w:tblPr>
      <w:tblStyleRowBandSize w:val="1"/>
      <w:tblStyleColBandSize w:val="1"/>
      <w:tblBorders>
        <w:top w:val="single" w:sz="2" w:space="0" w:color="3BB1D6" w:themeColor="accent1" w:themeTint="99"/>
        <w:bottom w:val="single" w:sz="2" w:space="0" w:color="3BB1D6" w:themeColor="accent1" w:themeTint="99"/>
        <w:insideH w:val="single" w:sz="2" w:space="0" w:color="3BB1D6" w:themeColor="accent1" w:themeTint="99"/>
        <w:insideV w:val="single" w:sz="2" w:space="0" w:color="3BB1D6" w:themeColor="accent1" w:themeTint="99"/>
      </w:tblBorders>
    </w:tblPr>
    <w:tblStylePr w:type="firstRow">
      <w:rPr>
        <w:rFonts w:cs="Times New Roman"/>
        <w:b/>
        <w:bCs/>
      </w:rPr>
      <w:tblPr/>
      <w:tcPr>
        <w:tcBorders>
          <w:top w:val="nil"/>
          <w:bottom w:val="single" w:sz="12" w:space="0" w:color="3BB1D6" w:themeColor="accent1" w:themeTint="99"/>
          <w:insideH w:val="nil"/>
          <w:insideV w:val="nil"/>
        </w:tcBorders>
        <w:shd w:val="clear" w:color="auto" w:fill="FFFFFF" w:themeFill="background1"/>
      </w:tcPr>
    </w:tblStylePr>
    <w:tblStylePr w:type="lastRow">
      <w:rPr>
        <w:rFonts w:cs="Times New Roman"/>
        <w:b/>
        <w:bCs/>
      </w:rPr>
      <w:tblPr/>
      <w:tcPr>
        <w:tcBorders>
          <w:top w:val="double" w:sz="2" w:space="0" w:color="3BB1D6" w:themeColor="accent1"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DE5F1" w:themeFill="accent1" w:themeFillTint="33"/>
      </w:tcPr>
    </w:tblStylePr>
    <w:tblStylePr w:type="band1Horz">
      <w:rPr>
        <w:rFonts w:cs="Times New Roman"/>
      </w:rPr>
      <w:tblPr/>
      <w:tcPr>
        <w:shd w:val="clear" w:color="auto" w:fill="BDE5F1" w:themeFill="accent1" w:themeFillTint="33"/>
      </w:tcPr>
    </w:tblStylePr>
  </w:style>
  <w:style w:type="character" w:customStyle="1" w:styleId="ListParagraphChar">
    <w:name w:val="List Paragraph Char"/>
    <w:aliases w:val="List Paragraph1 Char,List Paragraph11 Char,NFP GP Bulleted List Char,Recommendation Char,List Paragraph2 Char,Bullet Point Char,L Char,Bullet points Char,Content descriptions Char,Bullet Points Char,AR bullet 1 Char,Bullet point Char"/>
    <w:basedOn w:val="DefaultParagraphFont"/>
    <w:link w:val="ListParagraph"/>
    <w:uiPriority w:val="34"/>
    <w:locked/>
    <w:rsid w:val="002A2FAE"/>
    <w:rPr>
      <w:rFonts w:ascii="Calibri" w:eastAsia="Times New Roman" w:hAnsi="Calibri" w:cs="Times New Roman"/>
      <w:szCs w:val="20"/>
      <w:lang w:eastAsia="en-AU"/>
    </w:rPr>
  </w:style>
  <w:style w:type="character" w:styleId="Emphasis">
    <w:name w:val="Emphasis"/>
    <w:basedOn w:val="DefaultParagraphFont"/>
    <w:uiPriority w:val="20"/>
    <w:qFormat/>
    <w:rsid w:val="00B3792F"/>
    <w:rPr>
      <w:i/>
      <w:iCs/>
    </w:rPr>
  </w:style>
  <w:style w:type="paragraph" w:customStyle="1" w:styleId="p3">
    <w:name w:val="p3"/>
    <w:basedOn w:val="Normal"/>
    <w:rsid w:val="00B3792F"/>
    <w:pPr>
      <w:spacing w:before="100" w:beforeAutospacing="1" w:after="100" w:afterAutospacing="1"/>
    </w:pPr>
    <w:rPr>
      <w:rFonts w:ascii="Times New Roman" w:eastAsiaTheme="minorHAnsi" w:hAnsi="Times New Roman"/>
      <w:sz w:val="24"/>
      <w:szCs w:val="24"/>
    </w:rPr>
  </w:style>
  <w:style w:type="character" w:customStyle="1" w:styleId="s2">
    <w:name w:val="s2"/>
    <w:basedOn w:val="DefaultParagraphFont"/>
    <w:rsid w:val="00B3792F"/>
  </w:style>
  <w:style w:type="character" w:customStyle="1" w:styleId="s3">
    <w:name w:val="s3"/>
    <w:basedOn w:val="DefaultParagraphFont"/>
    <w:rsid w:val="00B3792F"/>
  </w:style>
  <w:style w:type="paragraph" w:styleId="DocumentMap">
    <w:name w:val="Document Map"/>
    <w:basedOn w:val="Normal"/>
    <w:link w:val="DocumentMapChar"/>
    <w:uiPriority w:val="99"/>
    <w:semiHidden/>
    <w:unhideWhenUsed/>
    <w:rsid w:val="00B3792F"/>
    <w:pPr>
      <w:spacing w:before="0" w:after="0"/>
    </w:pPr>
    <w:rPr>
      <w:rFonts w:ascii="Lucida Grande" w:hAnsi="Lucida Grande"/>
      <w:sz w:val="24"/>
      <w:szCs w:val="24"/>
    </w:rPr>
  </w:style>
  <w:style w:type="character" w:customStyle="1" w:styleId="DocumentMapChar">
    <w:name w:val="Document Map Char"/>
    <w:basedOn w:val="DefaultParagraphFont"/>
    <w:link w:val="DocumentMap"/>
    <w:uiPriority w:val="99"/>
    <w:semiHidden/>
    <w:rsid w:val="00B3792F"/>
    <w:rPr>
      <w:rFonts w:ascii="Lucida Grande" w:eastAsia="Times New Roman" w:hAnsi="Lucida Grande" w:cs="Times New Roman"/>
      <w:sz w:val="24"/>
      <w:szCs w:val="24"/>
      <w:lang w:eastAsia="en-AU"/>
    </w:rPr>
  </w:style>
  <w:style w:type="paragraph" w:styleId="TOC7">
    <w:name w:val="toc 7"/>
    <w:basedOn w:val="Normal"/>
    <w:next w:val="Normal"/>
    <w:autoRedefine/>
    <w:uiPriority w:val="39"/>
    <w:unhideWhenUsed/>
    <w:rsid w:val="00B3792F"/>
    <w:pPr>
      <w:spacing w:after="100"/>
      <w:ind w:left="1320"/>
    </w:pPr>
  </w:style>
  <w:style w:type="paragraph" w:styleId="TOC8">
    <w:name w:val="toc 8"/>
    <w:basedOn w:val="Normal"/>
    <w:next w:val="Normal"/>
    <w:autoRedefine/>
    <w:uiPriority w:val="39"/>
    <w:unhideWhenUsed/>
    <w:rsid w:val="00B3792F"/>
    <w:pPr>
      <w:spacing w:before="0" w:after="100" w:line="259"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B3792F"/>
    <w:pPr>
      <w:spacing w:before="0" w:after="100" w:line="259" w:lineRule="auto"/>
      <w:ind w:left="1760"/>
    </w:pPr>
    <w:rPr>
      <w:rFonts w:asciiTheme="minorHAnsi" w:eastAsiaTheme="minorEastAsia" w:hAnsiTheme="minorHAnsi" w:cstheme="minorBidi"/>
      <w:szCs w:val="22"/>
    </w:rPr>
  </w:style>
  <w:style w:type="table" w:styleId="ListTable3-Accent1">
    <w:name w:val="List Table 3 Accent 1"/>
    <w:basedOn w:val="TableNormal"/>
    <w:uiPriority w:val="48"/>
    <w:rsid w:val="00B3792F"/>
    <w:pPr>
      <w:spacing w:after="0" w:line="240" w:lineRule="auto"/>
    </w:pPr>
    <w:tblPr>
      <w:tblStyleRowBandSize w:val="1"/>
      <w:tblStyleColBandSize w:val="1"/>
      <w:tblBorders>
        <w:top w:val="single" w:sz="4" w:space="0" w:color="144E60" w:themeColor="accent1"/>
        <w:left w:val="single" w:sz="4" w:space="0" w:color="144E60" w:themeColor="accent1"/>
        <w:bottom w:val="single" w:sz="4" w:space="0" w:color="144E60" w:themeColor="accent1"/>
        <w:right w:val="single" w:sz="4" w:space="0" w:color="144E60" w:themeColor="accent1"/>
      </w:tblBorders>
    </w:tblPr>
    <w:tblStylePr w:type="firstRow">
      <w:rPr>
        <w:b/>
        <w:bCs/>
        <w:color w:val="FFFFFF" w:themeColor="background1"/>
      </w:rPr>
      <w:tblPr/>
      <w:tcPr>
        <w:shd w:val="clear" w:color="auto" w:fill="144E60" w:themeFill="accent1"/>
      </w:tcPr>
    </w:tblStylePr>
    <w:tblStylePr w:type="lastRow">
      <w:rPr>
        <w:b/>
        <w:bCs/>
      </w:rPr>
      <w:tblPr/>
      <w:tcPr>
        <w:tcBorders>
          <w:top w:val="double" w:sz="4" w:space="0" w:color="144E6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44E60" w:themeColor="accent1"/>
          <w:right w:val="single" w:sz="4" w:space="0" w:color="144E60" w:themeColor="accent1"/>
        </w:tcBorders>
      </w:tcPr>
    </w:tblStylePr>
    <w:tblStylePr w:type="band1Horz">
      <w:tblPr/>
      <w:tcPr>
        <w:tcBorders>
          <w:top w:val="single" w:sz="4" w:space="0" w:color="144E60" w:themeColor="accent1"/>
          <w:bottom w:val="single" w:sz="4" w:space="0" w:color="144E6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44E60" w:themeColor="accent1"/>
          <w:left w:val="nil"/>
        </w:tcBorders>
      </w:tcPr>
    </w:tblStylePr>
    <w:tblStylePr w:type="swCell">
      <w:tblPr/>
      <w:tcPr>
        <w:tcBorders>
          <w:top w:val="double" w:sz="4" w:space="0" w:color="144E60" w:themeColor="accent1"/>
          <w:right w:val="nil"/>
        </w:tcBorders>
      </w:tcPr>
    </w:tblStylePr>
  </w:style>
  <w:style w:type="character" w:customStyle="1" w:styleId="UnresolvedMention100">
    <w:name w:val="Unresolved Mention100"/>
    <w:basedOn w:val="DefaultParagraphFont"/>
    <w:uiPriority w:val="99"/>
    <w:semiHidden/>
    <w:unhideWhenUsed/>
    <w:rsid w:val="00B3792F"/>
    <w:rPr>
      <w:color w:val="605E5C"/>
      <w:shd w:val="clear" w:color="auto" w:fill="E1DFDD"/>
    </w:rPr>
  </w:style>
  <w:style w:type="character" w:customStyle="1" w:styleId="UnresolvedMention2">
    <w:name w:val="Unresolved Mention2"/>
    <w:basedOn w:val="DefaultParagraphFont"/>
    <w:uiPriority w:val="99"/>
    <w:semiHidden/>
    <w:unhideWhenUsed/>
    <w:rsid w:val="00B3792F"/>
    <w:rPr>
      <w:color w:val="605E5C"/>
      <w:shd w:val="clear" w:color="auto" w:fill="E1DFDD"/>
    </w:rPr>
  </w:style>
  <w:style w:type="paragraph" w:customStyle="1" w:styleId="OverviewChart">
    <w:name w:val="Overview Chart"/>
    <w:basedOn w:val="ChartMainHeading"/>
    <w:link w:val="OverviewChartChar"/>
    <w:qFormat/>
    <w:rsid w:val="000D24F2"/>
    <w:pPr>
      <w:numPr>
        <w:ilvl w:val="0"/>
        <w:numId w:val="54"/>
      </w:numPr>
      <w:tabs>
        <w:tab w:val="clear" w:pos="1418"/>
        <w:tab w:val="num" w:pos="360"/>
        <w:tab w:val="center" w:pos="1134"/>
      </w:tabs>
      <w:ind w:left="0" w:firstLine="0"/>
    </w:pPr>
  </w:style>
  <w:style w:type="character" w:customStyle="1" w:styleId="TableMainHeadingChar">
    <w:name w:val="Table Main Heading Char"/>
    <w:basedOn w:val="Heading3Char"/>
    <w:link w:val="TableMainHeading"/>
    <w:rsid w:val="00394D1E"/>
    <w:rPr>
      <w:rFonts w:ascii="Calibri" w:eastAsia="Times New Roman" w:hAnsi="Calibri" w:cs="Arial"/>
      <w:b/>
      <w:color w:val="604878" w:themeColor="accent3"/>
      <w:kern w:val="32"/>
      <w:sz w:val="32"/>
      <w:szCs w:val="26"/>
      <w:lang w:eastAsia="en-AU"/>
    </w:rPr>
  </w:style>
  <w:style w:type="character" w:customStyle="1" w:styleId="ChartMainHeadingChar">
    <w:name w:val="Chart Main Heading Char"/>
    <w:basedOn w:val="TableMainHeadingChar"/>
    <w:link w:val="ChartMainHeading"/>
    <w:rsid w:val="00E94624"/>
    <w:rPr>
      <w:rFonts w:ascii="Calibri" w:eastAsia="Times New Roman" w:hAnsi="Calibri" w:cs="Arial"/>
      <w:b/>
      <w:color w:val="604878" w:themeColor="accent3"/>
      <w:kern w:val="32"/>
      <w:sz w:val="32"/>
      <w:szCs w:val="26"/>
      <w:lang w:eastAsia="en-AU"/>
    </w:rPr>
  </w:style>
  <w:style w:type="character" w:customStyle="1" w:styleId="OverviewChartChar">
    <w:name w:val="Overview Chart Char"/>
    <w:basedOn w:val="ChartMainHeadingChar"/>
    <w:link w:val="OverviewChart"/>
    <w:rsid w:val="000D24F2"/>
    <w:rPr>
      <w:rFonts w:ascii="Calibri" w:eastAsia="Times New Roman" w:hAnsi="Calibri" w:cs="Arial"/>
      <w:b/>
      <w:color w:val="604878" w:themeColor="accent3"/>
      <w:kern w:val="32"/>
      <w:sz w:val="32"/>
      <w:szCs w:val="26"/>
      <w:lang w:eastAsia="en-AU"/>
    </w:rPr>
  </w:style>
  <w:style w:type="character" w:customStyle="1" w:styleId="BoxTextChar">
    <w:name w:val="Box Text Char"/>
    <w:basedOn w:val="DefaultParagraphFont"/>
    <w:link w:val="BoxText"/>
    <w:rsid w:val="00E96B29"/>
    <w:rPr>
      <w:rFonts w:ascii="Calibri" w:eastAsia="Times New Roman" w:hAnsi="Calibri" w:cs="Times New Roman"/>
      <w:sz w:val="20"/>
      <w:szCs w:val="20"/>
      <w:lang w:eastAsia="en-AU"/>
    </w:rPr>
  </w:style>
  <w:style w:type="paragraph" w:customStyle="1" w:styleId="BoxHeadingnotnumbered">
    <w:name w:val="Box Heading not numbered"/>
    <w:basedOn w:val="BoxHeading"/>
    <w:qFormat/>
    <w:rsid w:val="00C7577C"/>
    <w:pPr>
      <w:framePr w:hSpace="180" w:wrap="around" w:vAnchor="text" w:hAnchor="text" w:y="1"/>
      <w:numPr>
        <w:ilvl w:val="0"/>
        <w:numId w:val="0"/>
      </w:numPr>
      <w:spacing w:before="120"/>
      <w:suppressOverlap/>
    </w:pPr>
  </w:style>
  <w:style w:type="paragraph" w:customStyle="1" w:styleId="OverviewTableHeading">
    <w:name w:val="Overview Table Heading"/>
    <w:basedOn w:val="TableMainHeading"/>
    <w:qFormat/>
    <w:rsid w:val="00253916"/>
    <w:pPr>
      <w:numPr>
        <w:ilvl w:val="0"/>
        <w:numId w:val="77"/>
      </w:numPr>
      <w:tabs>
        <w:tab w:val="num" w:pos="360"/>
      </w:tabs>
      <w:ind w:left="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7683">
      <w:bodyDiv w:val="1"/>
      <w:marLeft w:val="0"/>
      <w:marRight w:val="0"/>
      <w:marTop w:val="0"/>
      <w:marBottom w:val="0"/>
      <w:divBdr>
        <w:top w:val="none" w:sz="0" w:space="0" w:color="auto"/>
        <w:left w:val="none" w:sz="0" w:space="0" w:color="auto"/>
        <w:bottom w:val="none" w:sz="0" w:space="0" w:color="auto"/>
        <w:right w:val="none" w:sz="0" w:space="0" w:color="auto"/>
      </w:divBdr>
    </w:div>
    <w:div w:id="1131159">
      <w:bodyDiv w:val="1"/>
      <w:marLeft w:val="0"/>
      <w:marRight w:val="0"/>
      <w:marTop w:val="0"/>
      <w:marBottom w:val="0"/>
      <w:divBdr>
        <w:top w:val="none" w:sz="0" w:space="0" w:color="auto"/>
        <w:left w:val="none" w:sz="0" w:space="0" w:color="auto"/>
        <w:bottom w:val="none" w:sz="0" w:space="0" w:color="auto"/>
        <w:right w:val="none" w:sz="0" w:space="0" w:color="auto"/>
      </w:divBdr>
    </w:div>
    <w:div w:id="1133656">
      <w:bodyDiv w:val="1"/>
      <w:marLeft w:val="0"/>
      <w:marRight w:val="0"/>
      <w:marTop w:val="0"/>
      <w:marBottom w:val="0"/>
      <w:divBdr>
        <w:top w:val="none" w:sz="0" w:space="0" w:color="auto"/>
        <w:left w:val="none" w:sz="0" w:space="0" w:color="auto"/>
        <w:bottom w:val="none" w:sz="0" w:space="0" w:color="auto"/>
        <w:right w:val="none" w:sz="0" w:space="0" w:color="auto"/>
      </w:divBdr>
    </w:div>
    <w:div w:id="1399840">
      <w:bodyDiv w:val="1"/>
      <w:marLeft w:val="0"/>
      <w:marRight w:val="0"/>
      <w:marTop w:val="0"/>
      <w:marBottom w:val="0"/>
      <w:divBdr>
        <w:top w:val="none" w:sz="0" w:space="0" w:color="auto"/>
        <w:left w:val="none" w:sz="0" w:space="0" w:color="auto"/>
        <w:bottom w:val="none" w:sz="0" w:space="0" w:color="auto"/>
        <w:right w:val="none" w:sz="0" w:space="0" w:color="auto"/>
      </w:divBdr>
    </w:div>
    <w:div w:id="1586692">
      <w:bodyDiv w:val="1"/>
      <w:marLeft w:val="0"/>
      <w:marRight w:val="0"/>
      <w:marTop w:val="0"/>
      <w:marBottom w:val="0"/>
      <w:divBdr>
        <w:top w:val="none" w:sz="0" w:space="0" w:color="auto"/>
        <w:left w:val="none" w:sz="0" w:space="0" w:color="auto"/>
        <w:bottom w:val="none" w:sz="0" w:space="0" w:color="auto"/>
        <w:right w:val="none" w:sz="0" w:space="0" w:color="auto"/>
      </w:divBdr>
    </w:div>
    <w:div w:id="1669215">
      <w:bodyDiv w:val="1"/>
      <w:marLeft w:val="0"/>
      <w:marRight w:val="0"/>
      <w:marTop w:val="0"/>
      <w:marBottom w:val="0"/>
      <w:divBdr>
        <w:top w:val="none" w:sz="0" w:space="0" w:color="auto"/>
        <w:left w:val="none" w:sz="0" w:space="0" w:color="auto"/>
        <w:bottom w:val="none" w:sz="0" w:space="0" w:color="auto"/>
        <w:right w:val="none" w:sz="0" w:space="0" w:color="auto"/>
      </w:divBdr>
    </w:div>
    <w:div w:id="3366744">
      <w:bodyDiv w:val="1"/>
      <w:marLeft w:val="0"/>
      <w:marRight w:val="0"/>
      <w:marTop w:val="0"/>
      <w:marBottom w:val="0"/>
      <w:divBdr>
        <w:top w:val="none" w:sz="0" w:space="0" w:color="auto"/>
        <w:left w:val="none" w:sz="0" w:space="0" w:color="auto"/>
        <w:bottom w:val="none" w:sz="0" w:space="0" w:color="auto"/>
        <w:right w:val="none" w:sz="0" w:space="0" w:color="auto"/>
      </w:divBdr>
    </w:div>
    <w:div w:id="3825741">
      <w:bodyDiv w:val="1"/>
      <w:marLeft w:val="0"/>
      <w:marRight w:val="0"/>
      <w:marTop w:val="0"/>
      <w:marBottom w:val="0"/>
      <w:divBdr>
        <w:top w:val="none" w:sz="0" w:space="0" w:color="auto"/>
        <w:left w:val="none" w:sz="0" w:space="0" w:color="auto"/>
        <w:bottom w:val="none" w:sz="0" w:space="0" w:color="auto"/>
        <w:right w:val="none" w:sz="0" w:space="0" w:color="auto"/>
      </w:divBdr>
    </w:div>
    <w:div w:id="3871652">
      <w:bodyDiv w:val="1"/>
      <w:marLeft w:val="0"/>
      <w:marRight w:val="0"/>
      <w:marTop w:val="0"/>
      <w:marBottom w:val="0"/>
      <w:divBdr>
        <w:top w:val="none" w:sz="0" w:space="0" w:color="auto"/>
        <w:left w:val="none" w:sz="0" w:space="0" w:color="auto"/>
        <w:bottom w:val="none" w:sz="0" w:space="0" w:color="auto"/>
        <w:right w:val="none" w:sz="0" w:space="0" w:color="auto"/>
      </w:divBdr>
    </w:div>
    <w:div w:id="4019736">
      <w:bodyDiv w:val="1"/>
      <w:marLeft w:val="0"/>
      <w:marRight w:val="0"/>
      <w:marTop w:val="0"/>
      <w:marBottom w:val="0"/>
      <w:divBdr>
        <w:top w:val="none" w:sz="0" w:space="0" w:color="auto"/>
        <w:left w:val="none" w:sz="0" w:space="0" w:color="auto"/>
        <w:bottom w:val="none" w:sz="0" w:space="0" w:color="auto"/>
        <w:right w:val="none" w:sz="0" w:space="0" w:color="auto"/>
      </w:divBdr>
    </w:div>
    <w:div w:id="4023520">
      <w:bodyDiv w:val="1"/>
      <w:marLeft w:val="0"/>
      <w:marRight w:val="0"/>
      <w:marTop w:val="0"/>
      <w:marBottom w:val="0"/>
      <w:divBdr>
        <w:top w:val="none" w:sz="0" w:space="0" w:color="auto"/>
        <w:left w:val="none" w:sz="0" w:space="0" w:color="auto"/>
        <w:bottom w:val="none" w:sz="0" w:space="0" w:color="auto"/>
        <w:right w:val="none" w:sz="0" w:space="0" w:color="auto"/>
      </w:divBdr>
    </w:div>
    <w:div w:id="4091001">
      <w:bodyDiv w:val="1"/>
      <w:marLeft w:val="0"/>
      <w:marRight w:val="0"/>
      <w:marTop w:val="0"/>
      <w:marBottom w:val="0"/>
      <w:divBdr>
        <w:top w:val="none" w:sz="0" w:space="0" w:color="auto"/>
        <w:left w:val="none" w:sz="0" w:space="0" w:color="auto"/>
        <w:bottom w:val="none" w:sz="0" w:space="0" w:color="auto"/>
        <w:right w:val="none" w:sz="0" w:space="0" w:color="auto"/>
      </w:divBdr>
    </w:div>
    <w:div w:id="4290787">
      <w:bodyDiv w:val="1"/>
      <w:marLeft w:val="0"/>
      <w:marRight w:val="0"/>
      <w:marTop w:val="0"/>
      <w:marBottom w:val="0"/>
      <w:divBdr>
        <w:top w:val="none" w:sz="0" w:space="0" w:color="auto"/>
        <w:left w:val="none" w:sz="0" w:space="0" w:color="auto"/>
        <w:bottom w:val="none" w:sz="0" w:space="0" w:color="auto"/>
        <w:right w:val="none" w:sz="0" w:space="0" w:color="auto"/>
      </w:divBdr>
    </w:div>
    <w:div w:id="4330068">
      <w:bodyDiv w:val="1"/>
      <w:marLeft w:val="0"/>
      <w:marRight w:val="0"/>
      <w:marTop w:val="0"/>
      <w:marBottom w:val="0"/>
      <w:divBdr>
        <w:top w:val="none" w:sz="0" w:space="0" w:color="auto"/>
        <w:left w:val="none" w:sz="0" w:space="0" w:color="auto"/>
        <w:bottom w:val="none" w:sz="0" w:space="0" w:color="auto"/>
        <w:right w:val="none" w:sz="0" w:space="0" w:color="auto"/>
      </w:divBdr>
    </w:div>
    <w:div w:id="4598576">
      <w:bodyDiv w:val="1"/>
      <w:marLeft w:val="0"/>
      <w:marRight w:val="0"/>
      <w:marTop w:val="0"/>
      <w:marBottom w:val="0"/>
      <w:divBdr>
        <w:top w:val="none" w:sz="0" w:space="0" w:color="auto"/>
        <w:left w:val="none" w:sz="0" w:space="0" w:color="auto"/>
        <w:bottom w:val="none" w:sz="0" w:space="0" w:color="auto"/>
        <w:right w:val="none" w:sz="0" w:space="0" w:color="auto"/>
      </w:divBdr>
    </w:div>
    <w:div w:id="4943687">
      <w:bodyDiv w:val="1"/>
      <w:marLeft w:val="0"/>
      <w:marRight w:val="0"/>
      <w:marTop w:val="0"/>
      <w:marBottom w:val="0"/>
      <w:divBdr>
        <w:top w:val="none" w:sz="0" w:space="0" w:color="auto"/>
        <w:left w:val="none" w:sz="0" w:space="0" w:color="auto"/>
        <w:bottom w:val="none" w:sz="0" w:space="0" w:color="auto"/>
        <w:right w:val="none" w:sz="0" w:space="0" w:color="auto"/>
      </w:divBdr>
    </w:div>
    <w:div w:id="5131985">
      <w:bodyDiv w:val="1"/>
      <w:marLeft w:val="0"/>
      <w:marRight w:val="0"/>
      <w:marTop w:val="0"/>
      <w:marBottom w:val="0"/>
      <w:divBdr>
        <w:top w:val="none" w:sz="0" w:space="0" w:color="auto"/>
        <w:left w:val="none" w:sz="0" w:space="0" w:color="auto"/>
        <w:bottom w:val="none" w:sz="0" w:space="0" w:color="auto"/>
        <w:right w:val="none" w:sz="0" w:space="0" w:color="auto"/>
      </w:divBdr>
    </w:div>
    <w:div w:id="5326842">
      <w:bodyDiv w:val="1"/>
      <w:marLeft w:val="0"/>
      <w:marRight w:val="0"/>
      <w:marTop w:val="0"/>
      <w:marBottom w:val="0"/>
      <w:divBdr>
        <w:top w:val="none" w:sz="0" w:space="0" w:color="auto"/>
        <w:left w:val="none" w:sz="0" w:space="0" w:color="auto"/>
        <w:bottom w:val="none" w:sz="0" w:space="0" w:color="auto"/>
        <w:right w:val="none" w:sz="0" w:space="0" w:color="auto"/>
      </w:divBdr>
    </w:div>
    <w:div w:id="6299717">
      <w:bodyDiv w:val="1"/>
      <w:marLeft w:val="0"/>
      <w:marRight w:val="0"/>
      <w:marTop w:val="0"/>
      <w:marBottom w:val="0"/>
      <w:divBdr>
        <w:top w:val="none" w:sz="0" w:space="0" w:color="auto"/>
        <w:left w:val="none" w:sz="0" w:space="0" w:color="auto"/>
        <w:bottom w:val="none" w:sz="0" w:space="0" w:color="auto"/>
        <w:right w:val="none" w:sz="0" w:space="0" w:color="auto"/>
      </w:divBdr>
    </w:div>
    <w:div w:id="6442036">
      <w:bodyDiv w:val="1"/>
      <w:marLeft w:val="0"/>
      <w:marRight w:val="0"/>
      <w:marTop w:val="0"/>
      <w:marBottom w:val="0"/>
      <w:divBdr>
        <w:top w:val="none" w:sz="0" w:space="0" w:color="auto"/>
        <w:left w:val="none" w:sz="0" w:space="0" w:color="auto"/>
        <w:bottom w:val="none" w:sz="0" w:space="0" w:color="auto"/>
        <w:right w:val="none" w:sz="0" w:space="0" w:color="auto"/>
      </w:divBdr>
    </w:div>
    <w:div w:id="7409127">
      <w:bodyDiv w:val="1"/>
      <w:marLeft w:val="0"/>
      <w:marRight w:val="0"/>
      <w:marTop w:val="0"/>
      <w:marBottom w:val="0"/>
      <w:divBdr>
        <w:top w:val="none" w:sz="0" w:space="0" w:color="auto"/>
        <w:left w:val="none" w:sz="0" w:space="0" w:color="auto"/>
        <w:bottom w:val="none" w:sz="0" w:space="0" w:color="auto"/>
        <w:right w:val="none" w:sz="0" w:space="0" w:color="auto"/>
      </w:divBdr>
    </w:div>
    <w:div w:id="7488938">
      <w:bodyDiv w:val="1"/>
      <w:marLeft w:val="0"/>
      <w:marRight w:val="0"/>
      <w:marTop w:val="0"/>
      <w:marBottom w:val="0"/>
      <w:divBdr>
        <w:top w:val="none" w:sz="0" w:space="0" w:color="auto"/>
        <w:left w:val="none" w:sz="0" w:space="0" w:color="auto"/>
        <w:bottom w:val="none" w:sz="0" w:space="0" w:color="auto"/>
        <w:right w:val="none" w:sz="0" w:space="0" w:color="auto"/>
      </w:divBdr>
    </w:div>
    <w:div w:id="8261957">
      <w:bodyDiv w:val="1"/>
      <w:marLeft w:val="0"/>
      <w:marRight w:val="0"/>
      <w:marTop w:val="0"/>
      <w:marBottom w:val="0"/>
      <w:divBdr>
        <w:top w:val="none" w:sz="0" w:space="0" w:color="auto"/>
        <w:left w:val="none" w:sz="0" w:space="0" w:color="auto"/>
        <w:bottom w:val="none" w:sz="0" w:space="0" w:color="auto"/>
        <w:right w:val="none" w:sz="0" w:space="0" w:color="auto"/>
      </w:divBdr>
    </w:div>
    <w:div w:id="8530314">
      <w:bodyDiv w:val="1"/>
      <w:marLeft w:val="0"/>
      <w:marRight w:val="0"/>
      <w:marTop w:val="0"/>
      <w:marBottom w:val="0"/>
      <w:divBdr>
        <w:top w:val="none" w:sz="0" w:space="0" w:color="auto"/>
        <w:left w:val="none" w:sz="0" w:space="0" w:color="auto"/>
        <w:bottom w:val="none" w:sz="0" w:space="0" w:color="auto"/>
        <w:right w:val="none" w:sz="0" w:space="0" w:color="auto"/>
      </w:divBdr>
    </w:div>
    <w:div w:id="9111325">
      <w:bodyDiv w:val="1"/>
      <w:marLeft w:val="0"/>
      <w:marRight w:val="0"/>
      <w:marTop w:val="0"/>
      <w:marBottom w:val="0"/>
      <w:divBdr>
        <w:top w:val="none" w:sz="0" w:space="0" w:color="auto"/>
        <w:left w:val="none" w:sz="0" w:space="0" w:color="auto"/>
        <w:bottom w:val="none" w:sz="0" w:space="0" w:color="auto"/>
        <w:right w:val="none" w:sz="0" w:space="0" w:color="auto"/>
      </w:divBdr>
    </w:div>
    <w:div w:id="9332742">
      <w:bodyDiv w:val="1"/>
      <w:marLeft w:val="0"/>
      <w:marRight w:val="0"/>
      <w:marTop w:val="0"/>
      <w:marBottom w:val="0"/>
      <w:divBdr>
        <w:top w:val="none" w:sz="0" w:space="0" w:color="auto"/>
        <w:left w:val="none" w:sz="0" w:space="0" w:color="auto"/>
        <w:bottom w:val="none" w:sz="0" w:space="0" w:color="auto"/>
        <w:right w:val="none" w:sz="0" w:space="0" w:color="auto"/>
      </w:divBdr>
    </w:div>
    <w:div w:id="10763191">
      <w:bodyDiv w:val="1"/>
      <w:marLeft w:val="0"/>
      <w:marRight w:val="0"/>
      <w:marTop w:val="0"/>
      <w:marBottom w:val="0"/>
      <w:divBdr>
        <w:top w:val="none" w:sz="0" w:space="0" w:color="auto"/>
        <w:left w:val="none" w:sz="0" w:space="0" w:color="auto"/>
        <w:bottom w:val="none" w:sz="0" w:space="0" w:color="auto"/>
        <w:right w:val="none" w:sz="0" w:space="0" w:color="auto"/>
      </w:divBdr>
    </w:div>
    <w:div w:id="11029729">
      <w:bodyDiv w:val="1"/>
      <w:marLeft w:val="0"/>
      <w:marRight w:val="0"/>
      <w:marTop w:val="0"/>
      <w:marBottom w:val="0"/>
      <w:divBdr>
        <w:top w:val="none" w:sz="0" w:space="0" w:color="auto"/>
        <w:left w:val="none" w:sz="0" w:space="0" w:color="auto"/>
        <w:bottom w:val="none" w:sz="0" w:space="0" w:color="auto"/>
        <w:right w:val="none" w:sz="0" w:space="0" w:color="auto"/>
      </w:divBdr>
    </w:div>
    <w:div w:id="11341603">
      <w:bodyDiv w:val="1"/>
      <w:marLeft w:val="0"/>
      <w:marRight w:val="0"/>
      <w:marTop w:val="0"/>
      <w:marBottom w:val="0"/>
      <w:divBdr>
        <w:top w:val="none" w:sz="0" w:space="0" w:color="auto"/>
        <w:left w:val="none" w:sz="0" w:space="0" w:color="auto"/>
        <w:bottom w:val="none" w:sz="0" w:space="0" w:color="auto"/>
        <w:right w:val="none" w:sz="0" w:space="0" w:color="auto"/>
      </w:divBdr>
    </w:div>
    <w:div w:id="12076128">
      <w:bodyDiv w:val="1"/>
      <w:marLeft w:val="0"/>
      <w:marRight w:val="0"/>
      <w:marTop w:val="0"/>
      <w:marBottom w:val="0"/>
      <w:divBdr>
        <w:top w:val="none" w:sz="0" w:space="0" w:color="auto"/>
        <w:left w:val="none" w:sz="0" w:space="0" w:color="auto"/>
        <w:bottom w:val="none" w:sz="0" w:space="0" w:color="auto"/>
        <w:right w:val="none" w:sz="0" w:space="0" w:color="auto"/>
      </w:divBdr>
    </w:div>
    <w:div w:id="12533176">
      <w:bodyDiv w:val="1"/>
      <w:marLeft w:val="0"/>
      <w:marRight w:val="0"/>
      <w:marTop w:val="0"/>
      <w:marBottom w:val="0"/>
      <w:divBdr>
        <w:top w:val="none" w:sz="0" w:space="0" w:color="auto"/>
        <w:left w:val="none" w:sz="0" w:space="0" w:color="auto"/>
        <w:bottom w:val="none" w:sz="0" w:space="0" w:color="auto"/>
        <w:right w:val="none" w:sz="0" w:space="0" w:color="auto"/>
      </w:divBdr>
    </w:div>
    <w:div w:id="12995145">
      <w:bodyDiv w:val="1"/>
      <w:marLeft w:val="0"/>
      <w:marRight w:val="0"/>
      <w:marTop w:val="0"/>
      <w:marBottom w:val="0"/>
      <w:divBdr>
        <w:top w:val="none" w:sz="0" w:space="0" w:color="auto"/>
        <w:left w:val="none" w:sz="0" w:space="0" w:color="auto"/>
        <w:bottom w:val="none" w:sz="0" w:space="0" w:color="auto"/>
        <w:right w:val="none" w:sz="0" w:space="0" w:color="auto"/>
      </w:divBdr>
    </w:div>
    <w:div w:id="13117259">
      <w:bodyDiv w:val="1"/>
      <w:marLeft w:val="0"/>
      <w:marRight w:val="0"/>
      <w:marTop w:val="0"/>
      <w:marBottom w:val="0"/>
      <w:divBdr>
        <w:top w:val="none" w:sz="0" w:space="0" w:color="auto"/>
        <w:left w:val="none" w:sz="0" w:space="0" w:color="auto"/>
        <w:bottom w:val="none" w:sz="0" w:space="0" w:color="auto"/>
        <w:right w:val="none" w:sz="0" w:space="0" w:color="auto"/>
      </w:divBdr>
    </w:div>
    <w:div w:id="13460536">
      <w:bodyDiv w:val="1"/>
      <w:marLeft w:val="0"/>
      <w:marRight w:val="0"/>
      <w:marTop w:val="0"/>
      <w:marBottom w:val="0"/>
      <w:divBdr>
        <w:top w:val="none" w:sz="0" w:space="0" w:color="auto"/>
        <w:left w:val="none" w:sz="0" w:space="0" w:color="auto"/>
        <w:bottom w:val="none" w:sz="0" w:space="0" w:color="auto"/>
        <w:right w:val="none" w:sz="0" w:space="0" w:color="auto"/>
      </w:divBdr>
    </w:div>
    <w:div w:id="13654283">
      <w:bodyDiv w:val="1"/>
      <w:marLeft w:val="0"/>
      <w:marRight w:val="0"/>
      <w:marTop w:val="0"/>
      <w:marBottom w:val="0"/>
      <w:divBdr>
        <w:top w:val="none" w:sz="0" w:space="0" w:color="auto"/>
        <w:left w:val="none" w:sz="0" w:space="0" w:color="auto"/>
        <w:bottom w:val="none" w:sz="0" w:space="0" w:color="auto"/>
        <w:right w:val="none" w:sz="0" w:space="0" w:color="auto"/>
      </w:divBdr>
    </w:div>
    <w:div w:id="13846122">
      <w:bodyDiv w:val="1"/>
      <w:marLeft w:val="0"/>
      <w:marRight w:val="0"/>
      <w:marTop w:val="0"/>
      <w:marBottom w:val="0"/>
      <w:divBdr>
        <w:top w:val="none" w:sz="0" w:space="0" w:color="auto"/>
        <w:left w:val="none" w:sz="0" w:space="0" w:color="auto"/>
        <w:bottom w:val="none" w:sz="0" w:space="0" w:color="auto"/>
        <w:right w:val="none" w:sz="0" w:space="0" w:color="auto"/>
      </w:divBdr>
    </w:div>
    <w:div w:id="13966131">
      <w:bodyDiv w:val="1"/>
      <w:marLeft w:val="0"/>
      <w:marRight w:val="0"/>
      <w:marTop w:val="0"/>
      <w:marBottom w:val="0"/>
      <w:divBdr>
        <w:top w:val="none" w:sz="0" w:space="0" w:color="auto"/>
        <w:left w:val="none" w:sz="0" w:space="0" w:color="auto"/>
        <w:bottom w:val="none" w:sz="0" w:space="0" w:color="auto"/>
        <w:right w:val="none" w:sz="0" w:space="0" w:color="auto"/>
      </w:divBdr>
    </w:div>
    <w:div w:id="14159328">
      <w:bodyDiv w:val="1"/>
      <w:marLeft w:val="0"/>
      <w:marRight w:val="0"/>
      <w:marTop w:val="0"/>
      <w:marBottom w:val="0"/>
      <w:divBdr>
        <w:top w:val="none" w:sz="0" w:space="0" w:color="auto"/>
        <w:left w:val="none" w:sz="0" w:space="0" w:color="auto"/>
        <w:bottom w:val="none" w:sz="0" w:space="0" w:color="auto"/>
        <w:right w:val="none" w:sz="0" w:space="0" w:color="auto"/>
      </w:divBdr>
    </w:div>
    <w:div w:id="14573924">
      <w:bodyDiv w:val="1"/>
      <w:marLeft w:val="0"/>
      <w:marRight w:val="0"/>
      <w:marTop w:val="0"/>
      <w:marBottom w:val="0"/>
      <w:divBdr>
        <w:top w:val="none" w:sz="0" w:space="0" w:color="auto"/>
        <w:left w:val="none" w:sz="0" w:space="0" w:color="auto"/>
        <w:bottom w:val="none" w:sz="0" w:space="0" w:color="auto"/>
        <w:right w:val="none" w:sz="0" w:space="0" w:color="auto"/>
      </w:divBdr>
    </w:div>
    <w:div w:id="15276974">
      <w:bodyDiv w:val="1"/>
      <w:marLeft w:val="0"/>
      <w:marRight w:val="0"/>
      <w:marTop w:val="0"/>
      <w:marBottom w:val="0"/>
      <w:divBdr>
        <w:top w:val="none" w:sz="0" w:space="0" w:color="auto"/>
        <w:left w:val="none" w:sz="0" w:space="0" w:color="auto"/>
        <w:bottom w:val="none" w:sz="0" w:space="0" w:color="auto"/>
        <w:right w:val="none" w:sz="0" w:space="0" w:color="auto"/>
      </w:divBdr>
    </w:div>
    <w:div w:id="15665104">
      <w:bodyDiv w:val="1"/>
      <w:marLeft w:val="0"/>
      <w:marRight w:val="0"/>
      <w:marTop w:val="0"/>
      <w:marBottom w:val="0"/>
      <w:divBdr>
        <w:top w:val="none" w:sz="0" w:space="0" w:color="auto"/>
        <w:left w:val="none" w:sz="0" w:space="0" w:color="auto"/>
        <w:bottom w:val="none" w:sz="0" w:space="0" w:color="auto"/>
        <w:right w:val="none" w:sz="0" w:space="0" w:color="auto"/>
      </w:divBdr>
    </w:div>
    <w:div w:id="16279467">
      <w:bodyDiv w:val="1"/>
      <w:marLeft w:val="0"/>
      <w:marRight w:val="0"/>
      <w:marTop w:val="0"/>
      <w:marBottom w:val="0"/>
      <w:divBdr>
        <w:top w:val="none" w:sz="0" w:space="0" w:color="auto"/>
        <w:left w:val="none" w:sz="0" w:space="0" w:color="auto"/>
        <w:bottom w:val="none" w:sz="0" w:space="0" w:color="auto"/>
        <w:right w:val="none" w:sz="0" w:space="0" w:color="auto"/>
      </w:divBdr>
    </w:div>
    <w:div w:id="16464506">
      <w:bodyDiv w:val="1"/>
      <w:marLeft w:val="0"/>
      <w:marRight w:val="0"/>
      <w:marTop w:val="0"/>
      <w:marBottom w:val="0"/>
      <w:divBdr>
        <w:top w:val="none" w:sz="0" w:space="0" w:color="auto"/>
        <w:left w:val="none" w:sz="0" w:space="0" w:color="auto"/>
        <w:bottom w:val="none" w:sz="0" w:space="0" w:color="auto"/>
        <w:right w:val="none" w:sz="0" w:space="0" w:color="auto"/>
      </w:divBdr>
    </w:div>
    <w:div w:id="16541203">
      <w:bodyDiv w:val="1"/>
      <w:marLeft w:val="0"/>
      <w:marRight w:val="0"/>
      <w:marTop w:val="0"/>
      <w:marBottom w:val="0"/>
      <w:divBdr>
        <w:top w:val="none" w:sz="0" w:space="0" w:color="auto"/>
        <w:left w:val="none" w:sz="0" w:space="0" w:color="auto"/>
        <w:bottom w:val="none" w:sz="0" w:space="0" w:color="auto"/>
        <w:right w:val="none" w:sz="0" w:space="0" w:color="auto"/>
      </w:divBdr>
    </w:div>
    <w:div w:id="17511227">
      <w:bodyDiv w:val="1"/>
      <w:marLeft w:val="0"/>
      <w:marRight w:val="0"/>
      <w:marTop w:val="0"/>
      <w:marBottom w:val="0"/>
      <w:divBdr>
        <w:top w:val="none" w:sz="0" w:space="0" w:color="auto"/>
        <w:left w:val="none" w:sz="0" w:space="0" w:color="auto"/>
        <w:bottom w:val="none" w:sz="0" w:space="0" w:color="auto"/>
        <w:right w:val="none" w:sz="0" w:space="0" w:color="auto"/>
      </w:divBdr>
    </w:div>
    <w:div w:id="17587945">
      <w:bodyDiv w:val="1"/>
      <w:marLeft w:val="0"/>
      <w:marRight w:val="0"/>
      <w:marTop w:val="0"/>
      <w:marBottom w:val="0"/>
      <w:divBdr>
        <w:top w:val="none" w:sz="0" w:space="0" w:color="auto"/>
        <w:left w:val="none" w:sz="0" w:space="0" w:color="auto"/>
        <w:bottom w:val="none" w:sz="0" w:space="0" w:color="auto"/>
        <w:right w:val="none" w:sz="0" w:space="0" w:color="auto"/>
      </w:divBdr>
    </w:div>
    <w:div w:id="17588135">
      <w:bodyDiv w:val="1"/>
      <w:marLeft w:val="0"/>
      <w:marRight w:val="0"/>
      <w:marTop w:val="0"/>
      <w:marBottom w:val="0"/>
      <w:divBdr>
        <w:top w:val="none" w:sz="0" w:space="0" w:color="auto"/>
        <w:left w:val="none" w:sz="0" w:space="0" w:color="auto"/>
        <w:bottom w:val="none" w:sz="0" w:space="0" w:color="auto"/>
        <w:right w:val="none" w:sz="0" w:space="0" w:color="auto"/>
      </w:divBdr>
    </w:div>
    <w:div w:id="17699676">
      <w:bodyDiv w:val="1"/>
      <w:marLeft w:val="0"/>
      <w:marRight w:val="0"/>
      <w:marTop w:val="0"/>
      <w:marBottom w:val="0"/>
      <w:divBdr>
        <w:top w:val="none" w:sz="0" w:space="0" w:color="auto"/>
        <w:left w:val="none" w:sz="0" w:space="0" w:color="auto"/>
        <w:bottom w:val="none" w:sz="0" w:space="0" w:color="auto"/>
        <w:right w:val="none" w:sz="0" w:space="0" w:color="auto"/>
      </w:divBdr>
    </w:div>
    <w:div w:id="17856704">
      <w:bodyDiv w:val="1"/>
      <w:marLeft w:val="0"/>
      <w:marRight w:val="0"/>
      <w:marTop w:val="0"/>
      <w:marBottom w:val="0"/>
      <w:divBdr>
        <w:top w:val="none" w:sz="0" w:space="0" w:color="auto"/>
        <w:left w:val="none" w:sz="0" w:space="0" w:color="auto"/>
        <w:bottom w:val="none" w:sz="0" w:space="0" w:color="auto"/>
        <w:right w:val="none" w:sz="0" w:space="0" w:color="auto"/>
      </w:divBdr>
    </w:div>
    <w:div w:id="17857740">
      <w:bodyDiv w:val="1"/>
      <w:marLeft w:val="0"/>
      <w:marRight w:val="0"/>
      <w:marTop w:val="0"/>
      <w:marBottom w:val="0"/>
      <w:divBdr>
        <w:top w:val="none" w:sz="0" w:space="0" w:color="auto"/>
        <w:left w:val="none" w:sz="0" w:space="0" w:color="auto"/>
        <w:bottom w:val="none" w:sz="0" w:space="0" w:color="auto"/>
        <w:right w:val="none" w:sz="0" w:space="0" w:color="auto"/>
      </w:divBdr>
    </w:div>
    <w:div w:id="17897866">
      <w:bodyDiv w:val="1"/>
      <w:marLeft w:val="0"/>
      <w:marRight w:val="0"/>
      <w:marTop w:val="0"/>
      <w:marBottom w:val="0"/>
      <w:divBdr>
        <w:top w:val="none" w:sz="0" w:space="0" w:color="auto"/>
        <w:left w:val="none" w:sz="0" w:space="0" w:color="auto"/>
        <w:bottom w:val="none" w:sz="0" w:space="0" w:color="auto"/>
        <w:right w:val="none" w:sz="0" w:space="0" w:color="auto"/>
      </w:divBdr>
    </w:div>
    <w:div w:id="18088100">
      <w:bodyDiv w:val="1"/>
      <w:marLeft w:val="0"/>
      <w:marRight w:val="0"/>
      <w:marTop w:val="0"/>
      <w:marBottom w:val="0"/>
      <w:divBdr>
        <w:top w:val="none" w:sz="0" w:space="0" w:color="auto"/>
        <w:left w:val="none" w:sz="0" w:space="0" w:color="auto"/>
        <w:bottom w:val="none" w:sz="0" w:space="0" w:color="auto"/>
        <w:right w:val="none" w:sz="0" w:space="0" w:color="auto"/>
      </w:divBdr>
    </w:div>
    <w:div w:id="18701395">
      <w:bodyDiv w:val="1"/>
      <w:marLeft w:val="0"/>
      <w:marRight w:val="0"/>
      <w:marTop w:val="0"/>
      <w:marBottom w:val="0"/>
      <w:divBdr>
        <w:top w:val="none" w:sz="0" w:space="0" w:color="auto"/>
        <w:left w:val="none" w:sz="0" w:space="0" w:color="auto"/>
        <w:bottom w:val="none" w:sz="0" w:space="0" w:color="auto"/>
        <w:right w:val="none" w:sz="0" w:space="0" w:color="auto"/>
      </w:divBdr>
    </w:div>
    <w:div w:id="18746758">
      <w:bodyDiv w:val="1"/>
      <w:marLeft w:val="0"/>
      <w:marRight w:val="0"/>
      <w:marTop w:val="0"/>
      <w:marBottom w:val="0"/>
      <w:divBdr>
        <w:top w:val="none" w:sz="0" w:space="0" w:color="auto"/>
        <w:left w:val="none" w:sz="0" w:space="0" w:color="auto"/>
        <w:bottom w:val="none" w:sz="0" w:space="0" w:color="auto"/>
        <w:right w:val="none" w:sz="0" w:space="0" w:color="auto"/>
      </w:divBdr>
    </w:div>
    <w:div w:id="18942037">
      <w:bodyDiv w:val="1"/>
      <w:marLeft w:val="0"/>
      <w:marRight w:val="0"/>
      <w:marTop w:val="0"/>
      <w:marBottom w:val="0"/>
      <w:divBdr>
        <w:top w:val="none" w:sz="0" w:space="0" w:color="auto"/>
        <w:left w:val="none" w:sz="0" w:space="0" w:color="auto"/>
        <w:bottom w:val="none" w:sz="0" w:space="0" w:color="auto"/>
        <w:right w:val="none" w:sz="0" w:space="0" w:color="auto"/>
      </w:divBdr>
    </w:div>
    <w:div w:id="19205713">
      <w:bodyDiv w:val="1"/>
      <w:marLeft w:val="0"/>
      <w:marRight w:val="0"/>
      <w:marTop w:val="0"/>
      <w:marBottom w:val="0"/>
      <w:divBdr>
        <w:top w:val="none" w:sz="0" w:space="0" w:color="auto"/>
        <w:left w:val="none" w:sz="0" w:space="0" w:color="auto"/>
        <w:bottom w:val="none" w:sz="0" w:space="0" w:color="auto"/>
        <w:right w:val="none" w:sz="0" w:space="0" w:color="auto"/>
      </w:divBdr>
    </w:div>
    <w:div w:id="19281012">
      <w:bodyDiv w:val="1"/>
      <w:marLeft w:val="0"/>
      <w:marRight w:val="0"/>
      <w:marTop w:val="0"/>
      <w:marBottom w:val="0"/>
      <w:divBdr>
        <w:top w:val="none" w:sz="0" w:space="0" w:color="auto"/>
        <w:left w:val="none" w:sz="0" w:space="0" w:color="auto"/>
        <w:bottom w:val="none" w:sz="0" w:space="0" w:color="auto"/>
        <w:right w:val="none" w:sz="0" w:space="0" w:color="auto"/>
      </w:divBdr>
    </w:div>
    <w:div w:id="19359448">
      <w:bodyDiv w:val="1"/>
      <w:marLeft w:val="0"/>
      <w:marRight w:val="0"/>
      <w:marTop w:val="0"/>
      <w:marBottom w:val="0"/>
      <w:divBdr>
        <w:top w:val="none" w:sz="0" w:space="0" w:color="auto"/>
        <w:left w:val="none" w:sz="0" w:space="0" w:color="auto"/>
        <w:bottom w:val="none" w:sz="0" w:space="0" w:color="auto"/>
        <w:right w:val="none" w:sz="0" w:space="0" w:color="auto"/>
      </w:divBdr>
    </w:div>
    <w:div w:id="19938447">
      <w:bodyDiv w:val="1"/>
      <w:marLeft w:val="0"/>
      <w:marRight w:val="0"/>
      <w:marTop w:val="0"/>
      <w:marBottom w:val="0"/>
      <w:divBdr>
        <w:top w:val="none" w:sz="0" w:space="0" w:color="auto"/>
        <w:left w:val="none" w:sz="0" w:space="0" w:color="auto"/>
        <w:bottom w:val="none" w:sz="0" w:space="0" w:color="auto"/>
        <w:right w:val="none" w:sz="0" w:space="0" w:color="auto"/>
      </w:divBdr>
    </w:div>
    <w:div w:id="19942193">
      <w:bodyDiv w:val="1"/>
      <w:marLeft w:val="0"/>
      <w:marRight w:val="0"/>
      <w:marTop w:val="0"/>
      <w:marBottom w:val="0"/>
      <w:divBdr>
        <w:top w:val="none" w:sz="0" w:space="0" w:color="auto"/>
        <w:left w:val="none" w:sz="0" w:space="0" w:color="auto"/>
        <w:bottom w:val="none" w:sz="0" w:space="0" w:color="auto"/>
        <w:right w:val="none" w:sz="0" w:space="0" w:color="auto"/>
      </w:divBdr>
    </w:div>
    <w:div w:id="20668405">
      <w:bodyDiv w:val="1"/>
      <w:marLeft w:val="0"/>
      <w:marRight w:val="0"/>
      <w:marTop w:val="0"/>
      <w:marBottom w:val="0"/>
      <w:divBdr>
        <w:top w:val="none" w:sz="0" w:space="0" w:color="auto"/>
        <w:left w:val="none" w:sz="0" w:space="0" w:color="auto"/>
        <w:bottom w:val="none" w:sz="0" w:space="0" w:color="auto"/>
        <w:right w:val="none" w:sz="0" w:space="0" w:color="auto"/>
      </w:divBdr>
    </w:div>
    <w:div w:id="20906878">
      <w:bodyDiv w:val="1"/>
      <w:marLeft w:val="0"/>
      <w:marRight w:val="0"/>
      <w:marTop w:val="0"/>
      <w:marBottom w:val="0"/>
      <w:divBdr>
        <w:top w:val="none" w:sz="0" w:space="0" w:color="auto"/>
        <w:left w:val="none" w:sz="0" w:space="0" w:color="auto"/>
        <w:bottom w:val="none" w:sz="0" w:space="0" w:color="auto"/>
        <w:right w:val="none" w:sz="0" w:space="0" w:color="auto"/>
      </w:divBdr>
    </w:div>
    <w:div w:id="20982407">
      <w:bodyDiv w:val="1"/>
      <w:marLeft w:val="0"/>
      <w:marRight w:val="0"/>
      <w:marTop w:val="0"/>
      <w:marBottom w:val="0"/>
      <w:divBdr>
        <w:top w:val="none" w:sz="0" w:space="0" w:color="auto"/>
        <w:left w:val="none" w:sz="0" w:space="0" w:color="auto"/>
        <w:bottom w:val="none" w:sz="0" w:space="0" w:color="auto"/>
        <w:right w:val="none" w:sz="0" w:space="0" w:color="auto"/>
      </w:divBdr>
    </w:div>
    <w:div w:id="22175594">
      <w:bodyDiv w:val="1"/>
      <w:marLeft w:val="0"/>
      <w:marRight w:val="0"/>
      <w:marTop w:val="0"/>
      <w:marBottom w:val="0"/>
      <w:divBdr>
        <w:top w:val="none" w:sz="0" w:space="0" w:color="auto"/>
        <w:left w:val="none" w:sz="0" w:space="0" w:color="auto"/>
        <w:bottom w:val="none" w:sz="0" w:space="0" w:color="auto"/>
        <w:right w:val="none" w:sz="0" w:space="0" w:color="auto"/>
      </w:divBdr>
    </w:div>
    <w:div w:id="22217182">
      <w:bodyDiv w:val="1"/>
      <w:marLeft w:val="0"/>
      <w:marRight w:val="0"/>
      <w:marTop w:val="0"/>
      <w:marBottom w:val="0"/>
      <w:divBdr>
        <w:top w:val="none" w:sz="0" w:space="0" w:color="auto"/>
        <w:left w:val="none" w:sz="0" w:space="0" w:color="auto"/>
        <w:bottom w:val="none" w:sz="0" w:space="0" w:color="auto"/>
        <w:right w:val="none" w:sz="0" w:space="0" w:color="auto"/>
      </w:divBdr>
    </w:div>
    <w:div w:id="22220145">
      <w:bodyDiv w:val="1"/>
      <w:marLeft w:val="0"/>
      <w:marRight w:val="0"/>
      <w:marTop w:val="0"/>
      <w:marBottom w:val="0"/>
      <w:divBdr>
        <w:top w:val="none" w:sz="0" w:space="0" w:color="auto"/>
        <w:left w:val="none" w:sz="0" w:space="0" w:color="auto"/>
        <w:bottom w:val="none" w:sz="0" w:space="0" w:color="auto"/>
        <w:right w:val="none" w:sz="0" w:space="0" w:color="auto"/>
      </w:divBdr>
    </w:div>
    <w:div w:id="22487405">
      <w:bodyDiv w:val="1"/>
      <w:marLeft w:val="0"/>
      <w:marRight w:val="0"/>
      <w:marTop w:val="0"/>
      <w:marBottom w:val="0"/>
      <w:divBdr>
        <w:top w:val="none" w:sz="0" w:space="0" w:color="auto"/>
        <w:left w:val="none" w:sz="0" w:space="0" w:color="auto"/>
        <w:bottom w:val="none" w:sz="0" w:space="0" w:color="auto"/>
        <w:right w:val="none" w:sz="0" w:space="0" w:color="auto"/>
      </w:divBdr>
    </w:div>
    <w:div w:id="22831775">
      <w:bodyDiv w:val="1"/>
      <w:marLeft w:val="0"/>
      <w:marRight w:val="0"/>
      <w:marTop w:val="0"/>
      <w:marBottom w:val="0"/>
      <w:divBdr>
        <w:top w:val="none" w:sz="0" w:space="0" w:color="auto"/>
        <w:left w:val="none" w:sz="0" w:space="0" w:color="auto"/>
        <w:bottom w:val="none" w:sz="0" w:space="0" w:color="auto"/>
        <w:right w:val="none" w:sz="0" w:space="0" w:color="auto"/>
      </w:divBdr>
    </w:div>
    <w:div w:id="22903611">
      <w:bodyDiv w:val="1"/>
      <w:marLeft w:val="0"/>
      <w:marRight w:val="0"/>
      <w:marTop w:val="0"/>
      <w:marBottom w:val="0"/>
      <w:divBdr>
        <w:top w:val="none" w:sz="0" w:space="0" w:color="auto"/>
        <w:left w:val="none" w:sz="0" w:space="0" w:color="auto"/>
        <w:bottom w:val="none" w:sz="0" w:space="0" w:color="auto"/>
        <w:right w:val="none" w:sz="0" w:space="0" w:color="auto"/>
      </w:divBdr>
    </w:div>
    <w:div w:id="23068931">
      <w:bodyDiv w:val="1"/>
      <w:marLeft w:val="0"/>
      <w:marRight w:val="0"/>
      <w:marTop w:val="0"/>
      <w:marBottom w:val="0"/>
      <w:divBdr>
        <w:top w:val="none" w:sz="0" w:space="0" w:color="auto"/>
        <w:left w:val="none" w:sz="0" w:space="0" w:color="auto"/>
        <w:bottom w:val="none" w:sz="0" w:space="0" w:color="auto"/>
        <w:right w:val="none" w:sz="0" w:space="0" w:color="auto"/>
      </w:divBdr>
    </w:div>
    <w:div w:id="23136099">
      <w:bodyDiv w:val="1"/>
      <w:marLeft w:val="0"/>
      <w:marRight w:val="0"/>
      <w:marTop w:val="0"/>
      <w:marBottom w:val="0"/>
      <w:divBdr>
        <w:top w:val="none" w:sz="0" w:space="0" w:color="auto"/>
        <w:left w:val="none" w:sz="0" w:space="0" w:color="auto"/>
        <w:bottom w:val="none" w:sz="0" w:space="0" w:color="auto"/>
        <w:right w:val="none" w:sz="0" w:space="0" w:color="auto"/>
      </w:divBdr>
    </w:div>
    <w:div w:id="23138776">
      <w:bodyDiv w:val="1"/>
      <w:marLeft w:val="0"/>
      <w:marRight w:val="0"/>
      <w:marTop w:val="0"/>
      <w:marBottom w:val="0"/>
      <w:divBdr>
        <w:top w:val="none" w:sz="0" w:space="0" w:color="auto"/>
        <w:left w:val="none" w:sz="0" w:space="0" w:color="auto"/>
        <w:bottom w:val="none" w:sz="0" w:space="0" w:color="auto"/>
        <w:right w:val="none" w:sz="0" w:space="0" w:color="auto"/>
      </w:divBdr>
    </w:div>
    <w:div w:id="23413023">
      <w:bodyDiv w:val="1"/>
      <w:marLeft w:val="0"/>
      <w:marRight w:val="0"/>
      <w:marTop w:val="0"/>
      <w:marBottom w:val="0"/>
      <w:divBdr>
        <w:top w:val="none" w:sz="0" w:space="0" w:color="auto"/>
        <w:left w:val="none" w:sz="0" w:space="0" w:color="auto"/>
        <w:bottom w:val="none" w:sz="0" w:space="0" w:color="auto"/>
        <w:right w:val="none" w:sz="0" w:space="0" w:color="auto"/>
      </w:divBdr>
    </w:div>
    <w:div w:id="23865888">
      <w:bodyDiv w:val="1"/>
      <w:marLeft w:val="0"/>
      <w:marRight w:val="0"/>
      <w:marTop w:val="0"/>
      <w:marBottom w:val="0"/>
      <w:divBdr>
        <w:top w:val="none" w:sz="0" w:space="0" w:color="auto"/>
        <w:left w:val="none" w:sz="0" w:space="0" w:color="auto"/>
        <w:bottom w:val="none" w:sz="0" w:space="0" w:color="auto"/>
        <w:right w:val="none" w:sz="0" w:space="0" w:color="auto"/>
      </w:divBdr>
    </w:div>
    <w:div w:id="24521149">
      <w:bodyDiv w:val="1"/>
      <w:marLeft w:val="0"/>
      <w:marRight w:val="0"/>
      <w:marTop w:val="0"/>
      <w:marBottom w:val="0"/>
      <w:divBdr>
        <w:top w:val="none" w:sz="0" w:space="0" w:color="auto"/>
        <w:left w:val="none" w:sz="0" w:space="0" w:color="auto"/>
        <w:bottom w:val="none" w:sz="0" w:space="0" w:color="auto"/>
        <w:right w:val="none" w:sz="0" w:space="0" w:color="auto"/>
      </w:divBdr>
    </w:div>
    <w:div w:id="25064152">
      <w:bodyDiv w:val="1"/>
      <w:marLeft w:val="0"/>
      <w:marRight w:val="0"/>
      <w:marTop w:val="0"/>
      <w:marBottom w:val="0"/>
      <w:divBdr>
        <w:top w:val="none" w:sz="0" w:space="0" w:color="auto"/>
        <w:left w:val="none" w:sz="0" w:space="0" w:color="auto"/>
        <w:bottom w:val="none" w:sz="0" w:space="0" w:color="auto"/>
        <w:right w:val="none" w:sz="0" w:space="0" w:color="auto"/>
      </w:divBdr>
    </w:div>
    <w:div w:id="25372276">
      <w:bodyDiv w:val="1"/>
      <w:marLeft w:val="0"/>
      <w:marRight w:val="0"/>
      <w:marTop w:val="0"/>
      <w:marBottom w:val="0"/>
      <w:divBdr>
        <w:top w:val="none" w:sz="0" w:space="0" w:color="auto"/>
        <w:left w:val="none" w:sz="0" w:space="0" w:color="auto"/>
        <w:bottom w:val="none" w:sz="0" w:space="0" w:color="auto"/>
        <w:right w:val="none" w:sz="0" w:space="0" w:color="auto"/>
      </w:divBdr>
    </w:div>
    <w:div w:id="25449107">
      <w:bodyDiv w:val="1"/>
      <w:marLeft w:val="0"/>
      <w:marRight w:val="0"/>
      <w:marTop w:val="0"/>
      <w:marBottom w:val="0"/>
      <w:divBdr>
        <w:top w:val="none" w:sz="0" w:space="0" w:color="auto"/>
        <w:left w:val="none" w:sz="0" w:space="0" w:color="auto"/>
        <w:bottom w:val="none" w:sz="0" w:space="0" w:color="auto"/>
        <w:right w:val="none" w:sz="0" w:space="0" w:color="auto"/>
      </w:divBdr>
    </w:div>
    <w:div w:id="25451624">
      <w:bodyDiv w:val="1"/>
      <w:marLeft w:val="0"/>
      <w:marRight w:val="0"/>
      <w:marTop w:val="0"/>
      <w:marBottom w:val="0"/>
      <w:divBdr>
        <w:top w:val="none" w:sz="0" w:space="0" w:color="auto"/>
        <w:left w:val="none" w:sz="0" w:space="0" w:color="auto"/>
        <w:bottom w:val="none" w:sz="0" w:space="0" w:color="auto"/>
        <w:right w:val="none" w:sz="0" w:space="0" w:color="auto"/>
      </w:divBdr>
    </w:div>
    <w:div w:id="25453718">
      <w:bodyDiv w:val="1"/>
      <w:marLeft w:val="0"/>
      <w:marRight w:val="0"/>
      <w:marTop w:val="0"/>
      <w:marBottom w:val="0"/>
      <w:divBdr>
        <w:top w:val="none" w:sz="0" w:space="0" w:color="auto"/>
        <w:left w:val="none" w:sz="0" w:space="0" w:color="auto"/>
        <w:bottom w:val="none" w:sz="0" w:space="0" w:color="auto"/>
        <w:right w:val="none" w:sz="0" w:space="0" w:color="auto"/>
      </w:divBdr>
    </w:div>
    <w:div w:id="25645430">
      <w:bodyDiv w:val="1"/>
      <w:marLeft w:val="0"/>
      <w:marRight w:val="0"/>
      <w:marTop w:val="0"/>
      <w:marBottom w:val="0"/>
      <w:divBdr>
        <w:top w:val="none" w:sz="0" w:space="0" w:color="auto"/>
        <w:left w:val="none" w:sz="0" w:space="0" w:color="auto"/>
        <w:bottom w:val="none" w:sz="0" w:space="0" w:color="auto"/>
        <w:right w:val="none" w:sz="0" w:space="0" w:color="auto"/>
      </w:divBdr>
    </w:div>
    <w:div w:id="25762340">
      <w:bodyDiv w:val="1"/>
      <w:marLeft w:val="0"/>
      <w:marRight w:val="0"/>
      <w:marTop w:val="0"/>
      <w:marBottom w:val="0"/>
      <w:divBdr>
        <w:top w:val="none" w:sz="0" w:space="0" w:color="auto"/>
        <w:left w:val="none" w:sz="0" w:space="0" w:color="auto"/>
        <w:bottom w:val="none" w:sz="0" w:space="0" w:color="auto"/>
        <w:right w:val="none" w:sz="0" w:space="0" w:color="auto"/>
      </w:divBdr>
    </w:div>
    <w:div w:id="25909063">
      <w:bodyDiv w:val="1"/>
      <w:marLeft w:val="0"/>
      <w:marRight w:val="0"/>
      <w:marTop w:val="0"/>
      <w:marBottom w:val="0"/>
      <w:divBdr>
        <w:top w:val="none" w:sz="0" w:space="0" w:color="auto"/>
        <w:left w:val="none" w:sz="0" w:space="0" w:color="auto"/>
        <w:bottom w:val="none" w:sz="0" w:space="0" w:color="auto"/>
        <w:right w:val="none" w:sz="0" w:space="0" w:color="auto"/>
      </w:divBdr>
    </w:div>
    <w:div w:id="26420148">
      <w:bodyDiv w:val="1"/>
      <w:marLeft w:val="0"/>
      <w:marRight w:val="0"/>
      <w:marTop w:val="0"/>
      <w:marBottom w:val="0"/>
      <w:divBdr>
        <w:top w:val="none" w:sz="0" w:space="0" w:color="auto"/>
        <w:left w:val="none" w:sz="0" w:space="0" w:color="auto"/>
        <w:bottom w:val="none" w:sz="0" w:space="0" w:color="auto"/>
        <w:right w:val="none" w:sz="0" w:space="0" w:color="auto"/>
      </w:divBdr>
    </w:div>
    <w:div w:id="26685834">
      <w:bodyDiv w:val="1"/>
      <w:marLeft w:val="0"/>
      <w:marRight w:val="0"/>
      <w:marTop w:val="0"/>
      <w:marBottom w:val="0"/>
      <w:divBdr>
        <w:top w:val="none" w:sz="0" w:space="0" w:color="auto"/>
        <w:left w:val="none" w:sz="0" w:space="0" w:color="auto"/>
        <w:bottom w:val="none" w:sz="0" w:space="0" w:color="auto"/>
        <w:right w:val="none" w:sz="0" w:space="0" w:color="auto"/>
      </w:divBdr>
    </w:div>
    <w:div w:id="26958013">
      <w:bodyDiv w:val="1"/>
      <w:marLeft w:val="0"/>
      <w:marRight w:val="0"/>
      <w:marTop w:val="0"/>
      <w:marBottom w:val="0"/>
      <w:divBdr>
        <w:top w:val="none" w:sz="0" w:space="0" w:color="auto"/>
        <w:left w:val="none" w:sz="0" w:space="0" w:color="auto"/>
        <w:bottom w:val="none" w:sz="0" w:space="0" w:color="auto"/>
        <w:right w:val="none" w:sz="0" w:space="0" w:color="auto"/>
      </w:divBdr>
    </w:div>
    <w:div w:id="27150280">
      <w:bodyDiv w:val="1"/>
      <w:marLeft w:val="0"/>
      <w:marRight w:val="0"/>
      <w:marTop w:val="0"/>
      <w:marBottom w:val="0"/>
      <w:divBdr>
        <w:top w:val="none" w:sz="0" w:space="0" w:color="auto"/>
        <w:left w:val="none" w:sz="0" w:space="0" w:color="auto"/>
        <w:bottom w:val="none" w:sz="0" w:space="0" w:color="auto"/>
        <w:right w:val="none" w:sz="0" w:space="0" w:color="auto"/>
      </w:divBdr>
    </w:div>
    <w:div w:id="27730719">
      <w:bodyDiv w:val="1"/>
      <w:marLeft w:val="0"/>
      <w:marRight w:val="0"/>
      <w:marTop w:val="0"/>
      <w:marBottom w:val="0"/>
      <w:divBdr>
        <w:top w:val="none" w:sz="0" w:space="0" w:color="auto"/>
        <w:left w:val="none" w:sz="0" w:space="0" w:color="auto"/>
        <w:bottom w:val="none" w:sz="0" w:space="0" w:color="auto"/>
        <w:right w:val="none" w:sz="0" w:space="0" w:color="auto"/>
      </w:divBdr>
    </w:div>
    <w:div w:id="28574076">
      <w:bodyDiv w:val="1"/>
      <w:marLeft w:val="0"/>
      <w:marRight w:val="0"/>
      <w:marTop w:val="0"/>
      <w:marBottom w:val="0"/>
      <w:divBdr>
        <w:top w:val="none" w:sz="0" w:space="0" w:color="auto"/>
        <w:left w:val="none" w:sz="0" w:space="0" w:color="auto"/>
        <w:bottom w:val="none" w:sz="0" w:space="0" w:color="auto"/>
        <w:right w:val="none" w:sz="0" w:space="0" w:color="auto"/>
      </w:divBdr>
    </w:div>
    <w:div w:id="29456981">
      <w:bodyDiv w:val="1"/>
      <w:marLeft w:val="0"/>
      <w:marRight w:val="0"/>
      <w:marTop w:val="0"/>
      <w:marBottom w:val="0"/>
      <w:divBdr>
        <w:top w:val="none" w:sz="0" w:space="0" w:color="auto"/>
        <w:left w:val="none" w:sz="0" w:space="0" w:color="auto"/>
        <w:bottom w:val="none" w:sz="0" w:space="0" w:color="auto"/>
        <w:right w:val="none" w:sz="0" w:space="0" w:color="auto"/>
      </w:divBdr>
    </w:div>
    <w:div w:id="29838916">
      <w:bodyDiv w:val="1"/>
      <w:marLeft w:val="0"/>
      <w:marRight w:val="0"/>
      <w:marTop w:val="0"/>
      <w:marBottom w:val="0"/>
      <w:divBdr>
        <w:top w:val="none" w:sz="0" w:space="0" w:color="auto"/>
        <w:left w:val="none" w:sz="0" w:space="0" w:color="auto"/>
        <w:bottom w:val="none" w:sz="0" w:space="0" w:color="auto"/>
        <w:right w:val="none" w:sz="0" w:space="0" w:color="auto"/>
      </w:divBdr>
    </w:div>
    <w:div w:id="29886954">
      <w:bodyDiv w:val="1"/>
      <w:marLeft w:val="0"/>
      <w:marRight w:val="0"/>
      <w:marTop w:val="0"/>
      <w:marBottom w:val="0"/>
      <w:divBdr>
        <w:top w:val="none" w:sz="0" w:space="0" w:color="auto"/>
        <w:left w:val="none" w:sz="0" w:space="0" w:color="auto"/>
        <w:bottom w:val="none" w:sz="0" w:space="0" w:color="auto"/>
        <w:right w:val="none" w:sz="0" w:space="0" w:color="auto"/>
      </w:divBdr>
    </w:div>
    <w:div w:id="31460529">
      <w:bodyDiv w:val="1"/>
      <w:marLeft w:val="0"/>
      <w:marRight w:val="0"/>
      <w:marTop w:val="0"/>
      <w:marBottom w:val="0"/>
      <w:divBdr>
        <w:top w:val="none" w:sz="0" w:space="0" w:color="auto"/>
        <w:left w:val="none" w:sz="0" w:space="0" w:color="auto"/>
        <w:bottom w:val="none" w:sz="0" w:space="0" w:color="auto"/>
        <w:right w:val="none" w:sz="0" w:space="0" w:color="auto"/>
      </w:divBdr>
    </w:div>
    <w:div w:id="31655539">
      <w:bodyDiv w:val="1"/>
      <w:marLeft w:val="0"/>
      <w:marRight w:val="0"/>
      <w:marTop w:val="0"/>
      <w:marBottom w:val="0"/>
      <w:divBdr>
        <w:top w:val="none" w:sz="0" w:space="0" w:color="auto"/>
        <w:left w:val="none" w:sz="0" w:space="0" w:color="auto"/>
        <w:bottom w:val="none" w:sz="0" w:space="0" w:color="auto"/>
        <w:right w:val="none" w:sz="0" w:space="0" w:color="auto"/>
      </w:divBdr>
    </w:div>
    <w:div w:id="31662760">
      <w:bodyDiv w:val="1"/>
      <w:marLeft w:val="0"/>
      <w:marRight w:val="0"/>
      <w:marTop w:val="0"/>
      <w:marBottom w:val="0"/>
      <w:divBdr>
        <w:top w:val="none" w:sz="0" w:space="0" w:color="auto"/>
        <w:left w:val="none" w:sz="0" w:space="0" w:color="auto"/>
        <w:bottom w:val="none" w:sz="0" w:space="0" w:color="auto"/>
        <w:right w:val="none" w:sz="0" w:space="0" w:color="auto"/>
      </w:divBdr>
    </w:div>
    <w:div w:id="32273950">
      <w:bodyDiv w:val="1"/>
      <w:marLeft w:val="0"/>
      <w:marRight w:val="0"/>
      <w:marTop w:val="0"/>
      <w:marBottom w:val="0"/>
      <w:divBdr>
        <w:top w:val="none" w:sz="0" w:space="0" w:color="auto"/>
        <w:left w:val="none" w:sz="0" w:space="0" w:color="auto"/>
        <w:bottom w:val="none" w:sz="0" w:space="0" w:color="auto"/>
        <w:right w:val="none" w:sz="0" w:space="0" w:color="auto"/>
      </w:divBdr>
    </w:div>
    <w:div w:id="32317458">
      <w:bodyDiv w:val="1"/>
      <w:marLeft w:val="0"/>
      <w:marRight w:val="0"/>
      <w:marTop w:val="0"/>
      <w:marBottom w:val="0"/>
      <w:divBdr>
        <w:top w:val="none" w:sz="0" w:space="0" w:color="auto"/>
        <w:left w:val="none" w:sz="0" w:space="0" w:color="auto"/>
        <w:bottom w:val="none" w:sz="0" w:space="0" w:color="auto"/>
        <w:right w:val="none" w:sz="0" w:space="0" w:color="auto"/>
      </w:divBdr>
    </w:div>
    <w:div w:id="32582212">
      <w:bodyDiv w:val="1"/>
      <w:marLeft w:val="0"/>
      <w:marRight w:val="0"/>
      <w:marTop w:val="0"/>
      <w:marBottom w:val="0"/>
      <w:divBdr>
        <w:top w:val="none" w:sz="0" w:space="0" w:color="auto"/>
        <w:left w:val="none" w:sz="0" w:space="0" w:color="auto"/>
        <w:bottom w:val="none" w:sz="0" w:space="0" w:color="auto"/>
        <w:right w:val="none" w:sz="0" w:space="0" w:color="auto"/>
      </w:divBdr>
    </w:div>
    <w:div w:id="32654343">
      <w:bodyDiv w:val="1"/>
      <w:marLeft w:val="0"/>
      <w:marRight w:val="0"/>
      <w:marTop w:val="0"/>
      <w:marBottom w:val="0"/>
      <w:divBdr>
        <w:top w:val="none" w:sz="0" w:space="0" w:color="auto"/>
        <w:left w:val="none" w:sz="0" w:space="0" w:color="auto"/>
        <w:bottom w:val="none" w:sz="0" w:space="0" w:color="auto"/>
        <w:right w:val="none" w:sz="0" w:space="0" w:color="auto"/>
      </w:divBdr>
    </w:div>
    <w:div w:id="33163645">
      <w:bodyDiv w:val="1"/>
      <w:marLeft w:val="0"/>
      <w:marRight w:val="0"/>
      <w:marTop w:val="0"/>
      <w:marBottom w:val="0"/>
      <w:divBdr>
        <w:top w:val="none" w:sz="0" w:space="0" w:color="auto"/>
        <w:left w:val="none" w:sz="0" w:space="0" w:color="auto"/>
        <w:bottom w:val="none" w:sz="0" w:space="0" w:color="auto"/>
        <w:right w:val="none" w:sz="0" w:space="0" w:color="auto"/>
      </w:divBdr>
    </w:div>
    <w:div w:id="34045511">
      <w:bodyDiv w:val="1"/>
      <w:marLeft w:val="0"/>
      <w:marRight w:val="0"/>
      <w:marTop w:val="0"/>
      <w:marBottom w:val="0"/>
      <w:divBdr>
        <w:top w:val="none" w:sz="0" w:space="0" w:color="auto"/>
        <w:left w:val="none" w:sz="0" w:space="0" w:color="auto"/>
        <w:bottom w:val="none" w:sz="0" w:space="0" w:color="auto"/>
        <w:right w:val="none" w:sz="0" w:space="0" w:color="auto"/>
      </w:divBdr>
    </w:div>
    <w:div w:id="34623335">
      <w:bodyDiv w:val="1"/>
      <w:marLeft w:val="0"/>
      <w:marRight w:val="0"/>
      <w:marTop w:val="0"/>
      <w:marBottom w:val="0"/>
      <w:divBdr>
        <w:top w:val="none" w:sz="0" w:space="0" w:color="auto"/>
        <w:left w:val="none" w:sz="0" w:space="0" w:color="auto"/>
        <w:bottom w:val="none" w:sz="0" w:space="0" w:color="auto"/>
        <w:right w:val="none" w:sz="0" w:space="0" w:color="auto"/>
      </w:divBdr>
    </w:div>
    <w:div w:id="35352312">
      <w:bodyDiv w:val="1"/>
      <w:marLeft w:val="0"/>
      <w:marRight w:val="0"/>
      <w:marTop w:val="0"/>
      <w:marBottom w:val="0"/>
      <w:divBdr>
        <w:top w:val="none" w:sz="0" w:space="0" w:color="auto"/>
        <w:left w:val="none" w:sz="0" w:space="0" w:color="auto"/>
        <w:bottom w:val="none" w:sz="0" w:space="0" w:color="auto"/>
        <w:right w:val="none" w:sz="0" w:space="0" w:color="auto"/>
      </w:divBdr>
    </w:div>
    <w:div w:id="35591108">
      <w:bodyDiv w:val="1"/>
      <w:marLeft w:val="0"/>
      <w:marRight w:val="0"/>
      <w:marTop w:val="0"/>
      <w:marBottom w:val="0"/>
      <w:divBdr>
        <w:top w:val="none" w:sz="0" w:space="0" w:color="auto"/>
        <w:left w:val="none" w:sz="0" w:space="0" w:color="auto"/>
        <w:bottom w:val="none" w:sz="0" w:space="0" w:color="auto"/>
        <w:right w:val="none" w:sz="0" w:space="0" w:color="auto"/>
      </w:divBdr>
    </w:div>
    <w:div w:id="36052431">
      <w:bodyDiv w:val="1"/>
      <w:marLeft w:val="0"/>
      <w:marRight w:val="0"/>
      <w:marTop w:val="0"/>
      <w:marBottom w:val="0"/>
      <w:divBdr>
        <w:top w:val="none" w:sz="0" w:space="0" w:color="auto"/>
        <w:left w:val="none" w:sz="0" w:space="0" w:color="auto"/>
        <w:bottom w:val="none" w:sz="0" w:space="0" w:color="auto"/>
        <w:right w:val="none" w:sz="0" w:space="0" w:color="auto"/>
      </w:divBdr>
    </w:div>
    <w:div w:id="36055967">
      <w:bodyDiv w:val="1"/>
      <w:marLeft w:val="0"/>
      <w:marRight w:val="0"/>
      <w:marTop w:val="0"/>
      <w:marBottom w:val="0"/>
      <w:divBdr>
        <w:top w:val="none" w:sz="0" w:space="0" w:color="auto"/>
        <w:left w:val="none" w:sz="0" w:space="0" w:color="auto"/>
        <w:bottom w:val="none" w:sz="0" w:space="0" w:color="auto"/>
        <w:right w:val="none" w:sz="0" w:space="0" w:color="auto"/>
      </w:divBdr>
    </w:div>
    <w:div w:id="36862443">
      <w:bodyDiv w:val="1"/>
      <w:marLeft w:val="0"/>
      <w:marRight w:val="0"/>
      <w:marTop w:val="0"/>
      <w:marBottom w:val="0"/>
      <w:divBdr>
        <w:top w:val="none" w:sz="0" w:space="0" w:color="auto"/>
        <w:left w:val="none" w:sz="0" w:space="0" w:color="auto"/>
        <w:bottom w:val="none" w:sz="0" w:space="0" w:color="auto"/>
        <w:right w:val="none" w:sz="0" w:space="0" w:color="auto"/>
      </w:divBdr>
    </w:div>
    <w:div w:id="37123086">
      <w:bodyDiv w:val="1"/>
      <w:marLeft w:val="0"/>
      <w:marRight w:val="0"/>
      <w:marTop w:val="0"/>
      <w:marBottom w:val="0"/>
      <w:divBdr>
        <w:top w:val="none" w:sz="0" w:space="0" w:color="auto"/>
        <w:left w:val="none" w:sz="0" w:space="0" w:color="auto"/>
        <w:bottom w:val="none" w:sz="0" w:space="0" w:color="auto"/>
        <w:right w:val="none" w:sz="0" w:space="0" w:color="auto"/>
      </w:divBdr>
    </w:div>
    <w:div w:id="37555413">
      <w:bodyDiv w:val="1"/>
      <w:marLeft w:val="0"/>
      <w:marRight w:val="0"/>
      <w:marTop w:val="0"/>
      <w:marBottom w:val="0"/>
      <w:divBdr>
        <w:top w:val="none" w:sz="0" w:space="0" w:color="auto"/>
        <w:left w:val="none" w:sz="0" w:space="0" w:color="auto"/>
        <w:bottom w:val="none" w:sz="0" w:space="0" w:color="auto"/>
        <w:right w:val="none" w:sz="0" w:space="0" w:color="auto"/>
      </w:divBdr>
    </w:div>
    <w:div w:id="37946410">
      <w:bodyDiv w:val="1"/>
      <w:marLeft w:val="0"/>
      <w:marRight w:val="0"/>
      <w:marTop w:val="0"/>
      <w:marBottom w:val="0"/>
      <w:divBdr>
        <w:top w:val="none" w:sz="0" w:space="0" w:color="auto"/>
        <w:left w:val="none" w:sz="0" w:space="0" w:color="auto"/>
        <w:bottom w:val="none" w:sz="0" w:space="0" w:color="auto"/>
        <w:right w:val="none" w:sz="0" w:space="0" w:color="auto"/>
      </w:divBdr>
    </w:div>
    <w:div w:id="38479688">
      <w:bodyDiv w:val="1"/>
      <w:marLeft w:val="0"/>
      <w:marRight w:val="0"/>
      <w:marTop w:val="0"/>
      <w:marBottom w:val="0"/>
      <w:divBdr>
        <w:top w:val="none" w:sz="0" w:space="0" w:color="auto"/>
        <w:left w:val="none" w:sz="0" w:space="0" w:color="auto"/>
        <w:bottom w:val="none" w:sz="0" w:space="0" w:color="auto"/>
        <w:right w:val="none" w:sz="0" w:space="0" w:color="auto"/>
      </w:divBdr>
    </w:div>
    <w:div w:id="38863222">
      <w:bodyDiv w:val="1"/>
      <w:marLeft w:val="0"/>
      <w:marRight w:val="0"/>
      <w:marTop w:val="0"/>
      <w:marBottom w:val="0"/>
      <w:divBdr>
        <w:top w:val="none" w:sz="0" w:space="0" w:color="auto"/>
        <w:left w:val="none" w:sz="0" w:space="0" w:color="auto"/>
        <w:bottom w:val="none" w:sz="0" w:space="0" w:color="auto"/>
        <w:right w:val="none" w:sz="0" w:space="0" w:color="auto"/>
      </w:divBdr>
    </w:div>
    <w:div w:id="39205525">
      <w:bodyDiv w:val="1"/>
      <w:marLeft w:val="0"/>
      <w:marRight w:val="0"/>
      <w:marTop w:val="0"/>
      <w:marBottom w:val="0"/>
      <w:divBdr>
        <w:top w:val="none" w:sz="0" w:space="0" w:color="auto"/>
        <w:left w:val="none" w:sz="0" w:space="0" w:color="auto"/>
        <w:bottom w:val="none" w:sz="0" w:space="0" w:color="auto"/>
        <w:right w:val="none" w:sz="0" w:space="0" w:color="auto"/>
      </w:divBdr>
    </w:div>
    <w:div w:id="39327957">
      <w:bodyDiv w:val="1"/>
      <w:marLeft w:val="0"/>
      <w:marRight w:val="0"/>
      <w:marTop w:val="0"/>
      <w:marBottom w:val="0"/>
      <w:divBdr>
        <w:top w:val="none" w:sz="0" w:space="0" w:color="auto"/>
        <w:left w:val="none" w:sz="0" w:space="0" w:color="auto"/>
        <w:bottom w:val="none" w:sz="0" w:space="0" w:color="auto"/>
        <w:right w:val="none" w:sz="0" w:space="0" w:color="auto"/>
      </w:divBdr>
    </w:div>
    <w:div w:id="40059849">
      <w:bodyDiv w:val="1"/>
      <w:marLeft w:val="0"/>
      <w:marRight w:val="0"/>
      <w:marTop w:val="0"/>
      <w:marBottom w:val="0"/>
      <w:divBdr>
        <w:top w:val="none" w:sz="0" w:space="0" w:color="auto"/>
        <w:left w:val="none" w:sz="0" w:space="0" w:color="auto"/>
        <w:bottom w:val="none" w:sz="0" w:space="0" w:color="auto"/>
        <w:right w:val="none" w:sz="0" w:space="0" w:color="auto"/>
      </w:divBdr>
    </w:div>
    <w:div w:id="40132280">
      <w:bodyDiv w:val="1"/>
      <w:marLeft w:val="0"/>
      <w:marRight w:val="0"/>
      <w:marTop w:val="0"/>
      <w:marBottom w:val="0"/>
      <w:divBdr>
        <w:top w:val="none" w:sz="0" w:space="0" w:color="auto"/>
        <w:left w:val="none" w:sz="0" w:space="0" w:color="auto"/>
        <w:bottom w:val="none" w:sz="0" w:space="0" w:color="auto"/>
        <w:right w:val="none" w:sz="0" w:space="0" w:color="auto"/>
      </w:divBdr>
    </w:div>
    <w:div w:id="40252059">
      <w:bodyDiv w:val="1"/>
      <w:marLeft w:val="0"/>
      <w:marRight w:val="0"/>
      <w:marTop w:val="0"/>
      <w:marBottom w:val="0"/>
      <w:divBdr>
        <w:top w:val="none" w:sz="0" w:space="0" w:color="auto"/>
        <w:left w:val="none" w:sz="0" w:space="0" w:color="auto"/>
        <w:bottom w:val="none" w:sz="0" w:space="0" w:color="auto"/>
        <w:right w:val="none" w:sz="0" w:space="0" w:color="auto"/>
      </w:divBdr>
    </w:div>
    <w:div w:id="41559863">
      <w:bodyDiv w:val="1"/>
      <w:marLeft w:val="0"/>
      <w:marRight w:val="0"/>
      <w:marTop w:val="0"/>
      <w:marBottom w:val="0"/>
      <w:divBdr>
        <w:top w:val="none" w:sz="0" w:space="0" w:color="auto"/>
        <w:left w:val="none" w:sz="0" w:space="0" w:color="auto"/>
        <w:bottom w:val="none" w:sz="0" w:space="0" w:color="auto"/>
        <w:right w:val="none" w:sz="0" w:space="0" w:color="auto"/>
      </w:divBdr>
    </w:div>
    <w:div w:id="42142874">
      <w:bodyDiv w:val="1"/>
      <w:marLeft w:val="0"/>
      <w:marRight w:val="0"/>
      <w:marTop w:val="0"/>
      <w:marBottom w:val="0"/>
      <w:divBdr>
        <w:top w:val="none" w:sz="0" w:space="0" w:color="auto"/>
        <w:left w:val="none" w:sz="0" w:space="0" w:color="auto"/>
        <w:bottom w:val="none" w:sz="0" w:space="0" w:color="auto"/>
        <w:right w:val="none" w:sz="0" w:space="0" w:color="auto"/>
      </w:divBdr>
    </w:div>
    <w:div w:id="42368003">
      <w:bodyDiv w:val="1"/>
      <w:marLeft w:val="0"/>
      <w:marRight w:val="0"/>
      <w:marTop w:val="0"/>
      <w:marBottom w:val="0"/>
      <w:divBdr>
        <w:top w:val="none" w:sz="0" w:space="0" w:color="auto"/>
        <w:left w:val="none" w:sz="0" w:space="0" w:color="auto"/>
        <w:bottom w:val="none" w:sz="0" w:space="0" w:color="auto"/>
        <w:right w:val="none" w:sz="0" w:space="0" w:color="auto"/>
      </w:divBdr>
    </w:div>
    <w:div w:id="42488675">
      <w:bodyDiv w:val="1"/>
      <w:marLeft w:val="0"/>
      <w:marRight w:val="0"/>
      <w:marTop w:val="0"/>
      <w:marBottom w:val="0"/>
      <w:divBdr>
        <w:top w:val="none" w:sz="0" w:space="0" w:color="auto"/>
        <w:left w:val="none" w:sz="0" w:space="0" w:color="auto"/>
        <w:bottom w:val="none" w:sz="0" w:space="0" w:color="auto"/>
        <w:right w:val="none" w:sz="0" w:space="0" w:color="auto"/>
      </w:divBdr>
    </w:div>
    <w:div w:id="43063477">
      <w:bodyDiv w:val="1"/>
      <w:marLeft w:val="0"/>
      <w:marRight w:val="0"/>
      <w:marTop w:val="0"/>
      <w:marBottom w:val="0"/>
      <w:divBdr>
        <w:top w:val="none" w:sz="0" w:space="0" w:color="auto"/>
        <w:left w:val="none" w:sz="0" w:space="0" w:color="auto"/>
        <w:bottom w:val="none" w:sz="0" w:space="0" w:color="auto"/>
        <w:right w:val="none" w:sz="0" w:space="0" w:color="auto"/>
      </w:divBdr>
    </w:div>
    <w:div w:id="43071089">
      <w:bodyDiv w:val="1"/>
      <w:marLeft w:val="0"/>
      <w:marRight w:val="0"/>
      <w:marTop w:val="0"/>
      <w:marBottom w:val="0"/>
      <w:divBdr>
        <w:top w:val="none" w:sz="0" w:space="0" w:color="auto"/>
        <w:left w:val="none" w:sz="0" w:space="0" w:color="auto"/>
        <w:bottom w:val="none" w:sz="0" w:space="0" w:color="auto"/>
        <w:right w:val="none" w:sz="0" w:space="0" w:color="auto"/>
      </w:divBdr>
    </w:div>
    <w:div w:id="43480866">
      <w:bodyDiv w:val="1"/>
      <w:marLeft w:val="0"/>
      <w:marRight w:val="0"/>
      <w:marTop w:val="0"/>
      <w:marBottom w:val="0"/>
      <w:divBdr>
        <w:top w:val="none" w:sz="0" w:space="0" w:color="auto"/>
        <w:left w:val="none" w:sz="0" w:space="0" w:color="auto"/>
        <w:bottom w:val="none" w:sz="0" w:space="0" w:color="auto"/>
        <w:right w:val="none" w:sz="0" w:space="0" w:color="auto"/>
      </w:divBdr>
    </w:div>
    <w:div w:id="43721832">
      <w:bodyDiv w:val="1"/>
      <w:marLeft w:val="0"/>
      <w:marRight w:val="0"/>
      <w:marTop w:val="0"/>
      <w:marBottom w:val="0"/>
      <w:divBdr>
        <w:top w:val="none" w:sz="0" w:space="0" w:color="auto"/>
        <w:left w:val="none" w:sz="0" w:space="0" w:color="auto"/>
        <w:bottom w:val="none" w:sz="0" w:space="0" w:color="auto"/>
        <w:right w:val="none" w:sz="0" w:space="0" w:color="auto"/>
      </w:divBdr>
    </w:div>
    <w:div w:id="44261659">
      <w:bodyDiv w:val="1"/>
      <w:marLeft w:val="0"/>
      <w:marRight w:val="0"/>
      <w:marTop w:val="0"/>
      <w:marBottom w:val="0"/>
      <w:divBdr>
        <w:top w:val="none" w:sz="0" w:space="0" w:color="auto"/>
        <w:left w:val="none" w:sz="0" w:space="0" w:color="auto"/>
        <w:bottom w:val="none" w:sz="0" w:space="0" w:color="auto"/>
        <w:right w:val="none" w:sz="0" w:space="0" w:color="auto"/>
      </w:divBdr>
    </w:div>
    <w:div w:id="44302465">
      <w:bodyDiv w:val="1"/>
      <w:marLeft w:val="0"/>
      <w:marRight w:val="0"/>
      <w:marTop w:val="0"/>
      <w:marBottom w:val="0"/>
      <w:divBdr>
        <w:top w:val="none" w:sz="0" w:space="0" w:color="auto"/>
        <w:left w:val="none" w:sz="0" w:space="0" w:color="auto"/>
        <w:bottom w:val="none" w:sz="0" w:space="0" w:color="auto"/>
        <w:right w:val="none" w:sz="0" w:space="0" w:color="auto"/>
      </w:divBdr>
    </w:div>
    <w:div w:id="44333114">
      <w:bodyDiv w:val="1"/>
      <w:marLeft w:val="0"/>
      <w:marRight w:val="0"/>
      <w:marTop w:val="0"/>
      <w:marBottom w:val="0"/>
      <w:divBdr>
        <w:top w:val="none" w:sz="0" w:space="0" w:color="auto"/>
        <w:left w:val="none" w:sz="0" w:space="0" w:color="auto"/>
        <w:bottom w:val="none" w:sz="0" w:space="0" w:color="auto"/>
        <w:right w:val="none" w:sz="0" w:space="0" w:color="auto"/>
      </w:divBdr>
    </w:div>
    <w:div w:id="44455632">
      <w:bodyDiv w:val="1"/>
      <w:marLeft w:val="0"/>
      <w:marRight w:val="0"/>
      <w:marTop w:val="0"/>
      <w:marBottom w:val="0"/>
      <w:divBdr>
        <w:top w:val="none" w:sz="0" w:space="0" w:color="auto"/>
        <w:left w:val="none" w:sz="0" w:space="0" w:color="auto"/>
        <w:bottom w:val="none" w:sz="0" w:space="0" w:color="auto"/>
        <w:right w:val="none" w:sz="0" w:space="0" w:color="auto"/>
      </w:divBdr>
    </w:div>
    <w:div w:id="44717324">
      <w:bodyDiv w:val="1"/>
      <w:marLeft w:val="0"/>
      <w:marRight w:val="0"/>
      <w:marTop w:val="0"/>
      <w:marBottom w:val="0"/>
      <w:divBdr>
        <w:top w:val="none" w:sz="0" w:space="0" w:color="auto"/>
        <w:left w:val="none" w:sz="0" w:space="0" w:color="auto"/>
        <w:bottom w:val="none" w:sz="0" w:space="0" w:color="auto"/>
        <w:right w:val="none" w:sz="0" w:space="0" w:color="auto"/>
      </w:divBdr>
    </w:div>
    <w:div w:id="45181701">
      <w:bodyDiv w:val="1"/>
      <w:marLeft w:val="0"/>
      <w:marRight w:val="0"/>
      <w:marTop w:val="0"/>
      <w:marBottom w:val="0"/>
      <w:divBdr>
        <w:top w:val="none" w:sz="0" w:space="0" w:color="auto"/>
        <w:left w:val="none" w:sz="0" w:space="0" w:color="auto"/>
        <w:bottom w:val="none" w:sz="0" w:space="0" w:color="auto"/>
        <w:right w:val="none" w:sz="0" w:space="0" w:color="auto"/>
      </w:divBdr>
    </w:div>
    <w:div w:id="45222752">
      <w:bodyDiv w:val="1"/>
      <w:marLeft w:val="0"/>
      <w:marRight w:val="0"/>
      <w:marTop w:val="0"/>
      <w:marBottom w:val="0"/>
      <w:divBdr>
        <w:top w:val="none" w:sz="0" w:space="0" w:color="auto"/>
        <w:left w:val="none" w:sz="0" w:space="0" w:color="auto"/>
        <w:bottom w:val="none" w:sz="0" w:space="0" w:color="auto"/>
        <w:right w:val="none" w:sz="0" w:space="0" w:color="auto"/>
      </w:divBdr>
    </w:div>
    <w:div w:id="45229097">
      <w:bodyDiv w:val="1"/>
      <w:marLeft w:val="0"/>
      <w:marRight w:val="0"/>
      <w:marTop w:val="0"/>
      <w:marBottom w:val="0"/>
      <w:divBdr>
        <w:top w:val="none" w:sz="0" w:space="0" w:color="auto"/>
        <w:left w:val="none" w:sz="0" w:space="0" w:color="auto"/>
        <w:bottom w:val="none" w:sz="0" w:space="0" w:color="auto"/>
        <w:right w:val="none" w:sz="0" w:space="0" w:color="auto"/>
      </w:divBdr>
    </w:div>
    <w:div w:id="45640147">
      <w:bodyDiv w:val="1"/>
      <w:marLeft w:val="0"/>
      <w:marRight w:val="0"/>
      <w:marTop w:val="0"/>
      <w:marBottom w:val="0"/>
      <w:divBdr>
        <w:top w:val="none" w:sz="0" w:space="0" w:color="auto"/>
        <w:left w:val="none" w:sz="0" w:space="0" w:color="auto"/>
        <w:bottom w:val="none" w:sz="0" w:space="0" w:color="auto"/>
        <w:right w:val="none" w:sz="0" w:space="0" w:color="auto"/>
      </w:divBdr>
    </w:div>
    <w:div w:id="45760219">
      <w:bodyDiv w:val="1"/>
      <w:marLeft w:val="0"/>
      <w:marRight w:val="0"/>
      <w:marTop w:val="0"/>
      <w:marBottom w:val="0"/>
      <w:divBdr>
        <w:top w:val="none" w:sz="0" w:space="0" w:color="auto"/>
        <w:left w:val="none" w:sz="0" w:space="0" w:color="auto"/>
        <w:bottom w:val="none" w:sz="0" w:space="0" w:color="auto"/>
        <w:right w:val="none" w:sz="0" w:space="0" w:color="auto"/>
      </w:divBdr>
    </w:div>
    <w:div w:id="46927061">
      <w:bodyDiv w:val="1"/>
      <w:marLeft w:val="0"/>
      <w:marRight w:val="0"/>
      <w:marTop w:val="0"/>
      <w:marBottom w:val="0"/>
      <w:divBdr>
        <w:top w:val="none" w:sz="0" w:space="0" w:color="auto"/>
        <w:left w:val="none" w:sz="0" w:space="0" w:color="auto"/>
        <w:bottom w:val="none" w:sz="0" w:space="0" w:color="auto"/>
        <w:right w:val="none" w:sz="0" w:space="0" w:color="auto"/>
      </w:divBdr>
    </w:div>
    <w:div w:id="47266163">
      <w:bodyDiv w:val="1"/>
      <w:marLeft w:val="0"/>
      <w:marRight w:val="0"/>
      <w:marTop w:val="0"/>
      <w:marBottom w:val="0"/>
      <w:divBdr>
        <w:top w:val="none" w:sz="0" w:space="0" w:color="auto"/>
        <w:left w:val="none" w:sz="0" w:space="0" w:color="auto"/>
        <w:bottom w:val="none" w:sz="0" w:space="0" w:color="auto"/>
        <w:right w:val="none" w:sz="0" w:space="0" w:color="auto"/>
      </w:divBdr>
    </w:div>
    <w:div w:id="47267925">
      <w:bodyDiv w:val="1"/>
      <w:marLeft w:val="0"/>
      <w:marRight w:val="0"/>
      <w:marTop w:val="0"/>
      <w:marBottom w:val="0"/>
      <w:divBdr>
        <w:top w:val="none" w:sz="0" w:space="0" w:color="auto"/>
        <w:left w:val="none" w:sz="0" w:space="0" w:color="auto"/>
        <w:bottom w:val="none" w:sz="0" w:space="0" w:color="auto"/>
        <w:right w:val="none" w:sz="0" w:space="0" w:color="auto"/>
      </w:divBdr>
    </w:div>
    <w:div w:id="47456975">
      <w:bodyDiv w:val="1"/>
      <w:marLeft w:val="0"/>
      <w:marRight w:val="0"/>
      <w:marTop w:val="0"/>
      <w:marBottom w:val="0"/>
      <w:divBdr>
        <w:top w:val="none" w:sz="0" w:space="0" w:color="auto"/>
        <w:left w:val="none" w:sz="0" w:space="0" w:color="auto"/>
        <w:bottom w:val="none" w:sz="0" w:space="0" w:color="auto"/>
        <w:right w:val="none" w:sz="0" w:space="0" w:color="auto"/>
      </w:divBdr>
    </w:div>
    <w:div w:id="47650678">
      <w:bodyDiv w:val="1"/>
      <w:marLeft w:val="0"/>
      <w:marRight w:val="0"/>
      <w:marTop w:val="0"/>
      <w:marBottom w:val="0"/>
      <w:divBdr>
        <w:top w:val="none" w:sz="0" w:space="0" w:color="auto"/>
        <w:left w:val="none" w:sz="0" w:space="0" w:color="auto"/>
        <w:bottom w:val="none" w:sz="0" w:space="0" w:color="auto"/>
        <w:right w:val="none" w:sz="0" w:space="0" w:color="auto"/>
      </w:divBdr>
    </w:div>
    <w:div w:id="47775883">
      <w:bodyDiv w:val="1"/>
      <w:marLeft w:val="0"/>
      <w:marRight w:val="0"/>
      <w:marTop w:val="0"/>
      <w:marBottom w:val="0"/>
      <w:divBdr>
        <w:top w:val="none" w:sz="0" w:space="0" w:color="auto"/>
        <w:left w:val="none" w:sz="0" w:space="0" w:color="auto"/>
        <w:bottom w:val="none" w:sz="0" w:space="0" w:color="auto"/>
        <w:right w:val="none" w:sz="0" w:space="0" w:color="auto"/>
      </w:divBdr>
    </w:div>
    <w:div w:id="48648118">
      <w:bodyDiv w:val="1"/>
      <w:marLeft w:val="0"/>
      <w:marRight w:val="0"/>
      <w:marTop w:val="0"/>
      <w:marBottom w:val="0"/>
      <w:divBdr>
        <w:top w:val="none" w:sz="0" w:space="0" w:color="auto"/>
        <w:left w:val="none" w:sz="0" w:space="0" w:color="auto"/>
        <w:bottom w:val="none" w:sz="0" w:space="0" w:color="auto"/>
        <w:right w:val="none" w:sz="0" w:space="0" w:color="auto"/>
      </w:divBdr>
    </w:div>
    <w:div w:id="49115400">
      <w:bodyDiv w:val="1"/>
      <w:marLeft w:val="0"/>
      <w:marRight w:val="0"/>
      <w:marTop w:val="0"/>
      <w:marBottom w:val="0"/>
      <w:divBdr>
        <w:top w:val="none" w:sz="0" w:space="0" w:color="auto"/>
        <w:left w:val="none" w:sz="0" w:space="0" w:color="auto"/>
        <w:bottom w:val="none" w:sz="0" w:space="0" w:color="auto"/>
        <w:right w:val="none" w:sz="0" w:space="0" w:color="auto"/>
      </w:divBdr>
    </w:div>
    <w:div w:id="49349454">
      <w:bodyDiv w:val="1"/>
      <w:marLeft w:val="0"/>
      <w:marRight w:val="0"/>
      <w:marTop w:val="0"/>
      <w:marBottom w:val="0"/>
      <w:divBdr>
        <w:top w:val="none" w:sz="0" w:space="0" w:color="auto"/>
        <w:left w:val="none" w:sz="0" w:space="0" w:color="auto"/>
        <w:bottom w:val="none" w:sz="0" w:space="0" w:color="auto"/>
        <w:right w:val="none" w:sz="0" w:space="0" w:color="auto"/>
      </w:divBdr>
    </w:div>
    <w:div w:id="49502079">
      <w:bodyDiv w:val="1"/>
      <w:marLeft w:val="0"/>
      <w:marRight w:val="0"/>
      <w:marTop w:val="0"/>
      <w:marBottom w:val="0"/>
      <w:divBdr>
        <w:top w:val="none" w:sz="0" w:space="0" w:color="auto"/>
        <w:left w:val="none" w:sz="0" w:space="0" w:color="auto"/>
        <w:bottom w:val="none" w:sz="0" w:space="0" w:color="auto"/>
        <w:right w:val="none" w:sz="0" w:space="0" w:color="auto"/>
      </w:divBdr>
    </w:div>
    <w:div w:id="49503381">
      <w:bodyDiv w:val="1"/>
      <w:marLeft w:val="0"/>
      <w:marRight w:val="0"/>
      <w:marTop w:val="0"/>
      <w:marBottom w:val="0"/>
      <w:divBdr>
        <w:top w:val="none" w:sz="0" w:space="0" w:color="auto"/>
        <w:left w:val="none" w:sz="0" w:space="0" w:color="auto"/>
        <w:bottom w:val="none" w:sz="0" w:space="0" w:color="auto"/>
        <w:right w:val="none" w:sz="0" w:space="0" w:color="auto"/>
      </w:divBdr>
    </w:div>
    <w:div w:id="49618281">
      <w:bodyDiv w:val="1"/>
      <w:marLeft w:val="0"/>
      <w:marRight w:val="0"/>
      <w:marTop w:val="0"/>
      <w:marBottom w:val="0"/>
      <w:divBdr>
        <w:top w:val="none" w:sz="0" w:space="0" w:color="auto"/>
        <w:left w:val="none" w:sz="0" w:space="0" w:color="auto"/>
        <w:bottom w:val="none" w:sz="0" w:space="0" w:color="auto"/>
        <w:right w:val="none" w:sz="0" w:space="0" w:color="auto"/>
      </w:divBdr>
    </w:div>
    <w:div w:id="49621413">
      <w:bodyDiv w:val="1"/>
      <w:marLeft w:val="0"/>
      <w:marRight w:val="0"/>
      <w:marTop w:val="0"/>
      <w:marBottom w:val="0"/>
      <w:divBdr>
        <w:top w:val="none" w:sz="0" w:space="0" w:color="auto"/>
        <w:left w:val="none" w:sz="0" w:space="0" w:color="auto"/>
        <w:bottom w:val="none" w:sz="0" w:space="0" w:color="auto"/>
        <w:right w:val="none" w:sz="0" w:space="0" w:color="auto"/>
      </w:divBdr>
    </w:div>
    <w:div w:id="49812824">
      <w:bodyDiv w:val="1"/>
      <w:marLeft w:val="0"/>
      <w:marRight w:val="0"/>
      <w:marTop w:val="0"/>
      <w:marBottom w:val="0"/>
      <w:divBdr>
        <w:top w:val="none" w:sz="0" w:space="0" w:color="auto"/>
        <w:left w:val="none" w:sz="0" w:space="0" w:color="auto"/>
        <w:bottom w:val="none" w:sz="0" w:space="0" w:color="auto"/>
        <w:right w:val="none" w:sz="0" w:space="0" w:color="auto"/>
      </w:divBdr>
    </w:div>
    <w:div w:id="50156259">
      <w:bodyDiv w:val="1"/>
      <w:marLeft w:val="0"/>
      <w:marRight w:val="0"/>
      <w:marTop w:val="0"/>
      <w:marBottom w:val="0"/>
      <w:divBdr>
        <w:top w:val="none" w:sz="0" w:space="0" w:color="auto"/>
        <w:left w:val="none" w:sz="0" w:space="0" w:color="auto"/>
        <w:bottom w:val="none" w:sz="0" w:space="0" w:color="auto"/>
        <w:right w:val="none" w:sz="0" w:space="0" w:color="auto"/>
      </w:divBdr>
    </w:div>
    <w:div w:id="50545229">
      <w:bodyDiv w:val="1"/>
      <w:marLeft w:val="0"/>
      <w:marRight w:val="0"/>
      <w:marTop w:val="0"/>
      <w:marBottom w:val="0"/>
      <w:divBdr>
        <w:top w:val="none" w:sz="0" w:space="0" w:color="auto"/>
        <w:left w:val="none" w:sz="0" w:space="0" w:color="auto"/>
        <w:bottom w:val="none" w:sz="0" w:space="0" w:color="auto"/>
        <w:right w:val="none" w:sz="0" w:space="0" w:color="auto"/>
      </w:divBdr>
    </w:div>
    <w:div w:id="51735609">
      <w:bodyDiv w:val="1"/>
      <w:marLeft w:val="0"/>
      <w:marRight w:val="0"/>
      <w:marTop w:val="0"/>
      <w:marBottom w:val="0"/>
      <w:divBdr>
        <w:top w:val="none" w:sz="0" w:space="0" w:color="auto"/>
        <w:left w:val="none" w:sz="0" w:space="0" w:color="auto"/>
        <w:bottom w:val="none" w:sz="0" w:space="0" w:color="auto"/>
        <w:right w:val="none" w:sz="0" w:space="0" w:color="auto"/>
      </w:divBdr>
    </w:div>
    <w:div w:id="52000493">
      <w:bodyDiv w:val="1"/>
      <w:marLeft w:val="0"/>
      <w:marRight w:val="0"/>
      <w:marTop w:val="0"/>
      <w:marBottom w:val="0"/>
      <w:divBdr>
        <w:top w:val="none" w:sz="0" w:space="0" w:color="auto"/>
        <w:left w:val="none" w:sz="0" w:space="0" w:color="auto"/>
        <w:bottom w:val="none" w:sz="0" w:space="0" w:color="auto"/>
        <w:right w:val="none" w:sz="0" w:space="0" w:color="auto"/>
      </w:divBdr>
    </w:div>
    <w:div w:id="52395199">
      <w:bodyDiv w:val="1"/>
      <w:marLeft w:val="0"/>
      <w:marRight w:val="0"/>
      <w:marTop w:val="0"/>
      <w:marBottom w:val="0"/>
      <w:divBdr>
        <w:top w:val="none" w:sz="0" w:space="0" w:color="auto"/>
        <w:left w:val="none" w:sz="0" w:space="0" w:color="auto"/>
        <w:bottom w:val="none" w:sz="0" w:space="0" w:color="auto"/>
        <w:right w:val="none" w:sz="0" w:space="0" w:color="auto"/>
      </w:divBdr>
    </w:div>
    <w:div w:id="52430908">
      <w:bodyDiv w:val="1"/>
      <w:marLeft w:val="0"/>
      <w:marRight w:val="0"/>
      <w:marTop w:val="0"/>
      <w:marBottom w:val="0"/>
      <w:divBdr>
        <w:top w:val="none" w:sz="0" w:space="0" w:color="auto"/>
        <w:left w:val="none" w:sz="0" w:space="0" w:color="auto"/>
        <w:bottom w:val="none" w:sz="0" w:space="0" w:color="auto"/>
        <w:right w:val="none" w:sz="0" w:space="0" w:color="auto"/>
      </w:divBdr>
    </w:div>
    <w:div w:id="52436811">
      <w:bodyDiv w:val="1"/>
      <w:marLeft w:val="0"/>
      <w:marRight w:val="0"/>
      <w:marTop w:val="0"/>
      <w:marBottom w:val="0"/>
      <w:divBdr>
        <w:top w:val="none" w:sz="0" w:space="0" w:color="auto"/>
        <w:left w:val="none" w:sz="0" w:space="0" w:color="auto"/>
        <w:bottom w:val="none" w:sz="0" w:space="0" w:color="auto"/>
        <w:right w:val="none" w:sz="0" w:space="0" w:color="auto"/>
      </w:divBdr>
    </w:div>
    <w:div w:id="52631428">
      <w:bodyDiv w:val="1"/>
      <w:marLeft w:val="0"/>
      <w:marRight w:val="0"/>
      <w:marTop w:val="0"/>
      <w:marBottom w:val="0"/>
      <w:divBdr>
        <w:top w:val="none" w:sz="0" w:space="0" w:color="auto"/>
        <w:left w:val="none" w:sz="0" w:space="0" w:color="auto"/>
        <w:bottom w:val="none" w:sz="0" w:space="0" w:color="auto"/>
        <w:right w:val="none" w:sz="0" w:space="0" w:color="auto"/>
      </w:divBdr>
    </w:div>
    <w:div w:id="52705750">
      <w:bodyDiv w:val="1"/>
      <w:marLeft w:val="0"/>
      <w:marRight w:val="0"/>
      <w:marTop w:val="0"/>
      <w:marBottom w:val="0"/>
      <w:divBdr>
        <w:top w:val="none" w:sz="0" w:space="0" w:color="auto"/>
        <w:left w:val="none" w:sz="0" w:space="0" w:color="auto"/>
        <w:bottom w:val="none" w:sz="0" w:space="0" w:color="auto"/>
        <w:right w:val="none" w:sz="0" w:space="0" w:color="auto"/>
      </w:divBdr>
    </w:div>
    <w:div w:id="53091913">
      <w:bodyDiv w:val="1"/>
      <w:marLeft w:val="0"/>
      <w:marRight w:val="0"/>
      <w:marTop w:val="0"/>
      <w:marBottom w:val="0"/>
      <w:divBdr>
        <w:top w:val="none" w:sz="0" w:space="0" w:color="auto"/>
        <w:left w:val="none" w:sz="0" w:space="0" w:color="auto"/>
        <w:bottom w:val="none" w:sz="0" w:space="0" w:color="auto"/>
        <w:right w:val="none" w:sz="0" w:space="0" w:color="auto"/>
      </w:divBdr>
    </w:div>
    <w:div w:id="53507116">
      <w:bodyDiv w:val="1"/>
      <w:marLeft w:val="0"/>
      <w:marRight w:val="0"/>
      <w:marTop w:val="0"/>
      <w:marBottom w:val="0"/>
      <w:divBdr>
        <w:top w:val="none" w:sz="0" w:space="0" w:color="auto"/>
        <w:left w:val="none" w:sz="0" w:space="0" w:color="auto"/>
        <w:bottom w:val="none" w:sz="0" w:space="0" w:color="auto"/>
        <w:right w:val="none" w:sz="0" w:space="0" w:color="auto"/>
      </w:divBdr>
    </w:div>
    <w:div w:id="54010430">
      <w:bodyDiv w:val="1"/>
      <w:marLeft w:val="0"/>
      <w:marRight w:val="0"/>
      <w:marTop w:val="0"/>
      <w:marBottom w:val="0"/>
      <w:divBdr>
        <w:top w:val="none" w:sz="0" w:space="0" w:color="auto"/>
        <w:left w:val="none" w:sz="0" w:space="0" w:color="auto"/>
        <w:bottom w:val="none" w:sz="0" w:space="0" w:color="auto"/>
        <w:right w:val="none" w:sz="0" w:space="0" w:color="auto"/>
      </w:divBdr>
    </w:div>
    <w:div w:id="54163142">
      <w:bodyDiv w:val="1"/>
      <w:marLeft w:val="0"/>
      <w:marRight w:val="0"/>
      <w:marTop w:val="0"/>
      <w:marBottom w:val="0"/>
      <w:divBdr>
        <w:top w:val="none" w:sz="0" w:space="0" w:color="auto"/>
        <w:left w:val="none" w:sz="0" w:space="0" w:color="auto"/>
        <w:bottom w:val="none" w:sz="0" w:space="0" w:color="auto"/>
        <w:right w:val="none" w:sz="0" w:space="0" w:color="auto"/>
      </w:divBdr>
    </w:div>
    <w:div w:id="54207760">
      <w:bodyDiv w:val="1"/>
      <w:marLeft w:val="0"/>
      <w:marRight w:val="0"/>
      <w:marTop w:val="0"/>
      <w:marBottom w:val="0"/>
      <w:divBdr>
        <w:top w:val="none" w:sz="0" w:space="0" w:color="auto"/>
        <w:left w:val="none" w:sz="0" w:space="0" w:color="auto"/>
        <w:bottom w:val="none" w:sz="0" w:space="0" w:color="auto"/>
        <w:right w:val="none" w:sz="0" w:space="0" w:color="auto"/>
      </w:divBdr>
    </w:div>
    <w:div w:id="54358415">
      <w:bodyDiv w:val="1"/>
      <w:marLeft w:val="0"/>
      <w:marRight w:val="0"/>
      <w:marTop w:val="0"/>
      <w:marBottom w:val="0"/>
      <w:divBdr>
        <w:top w:val="none" w:sz="0" w:space="0" w:color="auto"/>
        <w:left w:val="none" w:sz="0" w:space="0" w:color="auto"/>
        <w:bottom w:val="none" w:sz="0" w:space="0" w:color="auto"/>
        <w:right w:val="none" w:sz="0" w:space="0" w:color="auto"/>
      </w:divBdr>
    </w:div>
    <w:div w:id="54865317">
      <w:bodyDiv w:val="1"/>
      <w:marLeft w:val="0"/>
      <w:marRight w:val="0"/>
      <w:marTop w:val="0"/>
      <w:marBottom w:val="0"/>
      <w:divBdr>
        <w:top w:val="none" w:sz="0" w:space="0" w:color="auto"/>
        <w:left w:val="none" w:sz="0" w:space="0" w:color="auto"/>
        <w:bottom w:val="none" w:sz="0" w:space="0" w:color="auto"/>
        <w:right w:val="none" w:sz="0" w:space="0" w:color="auto"/>
      </w:divBdr>
    </w:div>
    <w:div w:id="55009558">
      <w:bodyDiv w:val="1"/>
      <w:marLeft w:val="0"/>
      <w:marRight w:val="0"/>
      <w:marTop w:val="0"/>
      <w:marBottom w:val="0"/>
      <w:divBdr>
        <w:top w:val="none" w:sz="0" w:space="0" w:color="auto"/>
        <w:left w:val="none" w:sz="0" w:space="0" w:color="auto"/>
        <w:bottom w:val="none" w:sz="0" w:space="0" w:color="auto"/>
        <w:right w:val="none" w:sz="0" w:space="0" w:color="auto"/>
      </w:divBdr>
    </w:div>
    <w:div w:id="55132557">
      <w:bodyDiv w:val="1"/>
      <w:marLeft w:val="0"/>
      <w:marRight w:val="0"/>
      <w:marTop w:val="0"/>
      <w:marBottom w:val="0"/>
      <w:divBdr>
        <w:top w:val="none" w:sz="0" w:space="0" w:color="auto"/>
        <w:left w:val="none" w:sz="0" w:space="0" w:color="auto"/>
        <w:bottom w:val="none" w:sz="0" w:space="0" w:color="auto"/>
        <w:right w:val="none" w:sz="0" w:space="0" w:color="auto"/>
      </w:divBdr>
    </w:div>
    <w:div w:id="55318482">
      <w:bodyDiv w:val="1"/>
      <w:marLeft w:val="0"/>
      <w:marRight w:val="0"/>
      <w:marTop w:val="0"/>
      <w:marBottom w:val="0"/>
      <w:divBdr>
        <w:top w:val="none" w:sz="0" w:space="0" w:color="auto"/>
        <w:left w:val="none" w:sz="0" w:space="0" w:color="auto"/>
        <w:bottom w:val="none" w:sz="0" w:space="0" w:color="auto"/>
        <w:right w:val="none" w:sz="0" w:space="0" w:color="auto"/>
      </w:divBdr>
    </w:div>
    <w:div w:id="55785879">
      <w:bodyDiv w:val="1"/>
      <w:marLeft w:val="0"/>
      <w:marRight w:val="0"/>
      <w:marTop w:val="0"/>
      <w:marBottom w:val="0"/>
      <w:divBdr>
        <w:top w:val="none" w:sz="0" w:space="0" w:color="auto"/>
        <w:left w:val="none" w:sz="0" w:space="0" w:color="auto"/>
        <w:bottom w:val="none" w:sz="0" w:space="0" w:color="auto"/>
        <w:right w:val="none" w:sz="0" w:space="0" w:color="auto"/>
      </w:divBdr>
    </w:div>
    <w:div w:id="55859353">
      <w:bodyDiv w:val="1"/>
      <w:marLeft w:val="0"/>
      <w:marRight w:val="0"/>
      <w:marTop w:val="0"/>
      <w:marBottom w:val="0"/>
      <w:divBdr>
        <w:top w:val="none" w:sz="0" w:space="0" w:color="auto"/>
        <w:left w:val="none" w:sz="0" w:space="0" w:color="auto"/>
        <w:bottom w:val="none" w:sz="0" w:space="0" w:color="auto"/>
        <w:right w:val="none" w:sz="0" w:space="0" w:color="auto"/>
      </w:divBdr>
    </w:div>
    <w:div w:id="56055614">
      <w:bodyDiv w:val="1"/>
      <w:marLeft w:val="0"/>
      <w:marRight w:val="0"/>
      <w:marTop w:val="0"/>
      <w:marBottom w:val="0"/>
      <w:divBdr>
        <w:top w:val="none" w:sz="0" w:space="0" w:color="auto"/>
        <w:left w:val="none" w:sz="0" w:space="0" w:color="auto"/>
        <w:bottom w:val="none" w:sz="0" w:space="0" w:color="auto"/>
        <w:right w:val="none" w:sz="0" w:space="0" w:color="auto"/>
      </w:divBdr>
    </w:div>
    <w:div w:id="56168836">
      <w:bodyDiv w:val="1"/>
      <w:marLeft w:val="0"/>
      <w:marRight w:val="0"/>
      <w:marTop w:val="0"/>
      <w:marBottom w:val="0"/>
      <w:divBdr>
        <w:top w:val="none" w:sz="0" w:space="0" w:color="auto"/>
        <w:left w:val="none" w:sz="0" w:space="0" w:color="auto"/>
        <w:bottom w:val="none" w:sz="0" w:space="0" w:color="auto"/>
        <w:right w:val="none" w:sz="0" w:space="0" w:color="auto"/>
      </w:divBdr>
    </w:div>
    <w:div w:id="56825645">
      <w:bodyDiv w:val="1"/>
      <w:marLeft w:val="0"/>
      <w:marRight w:val="0"/>
      <w:marTop w:val="0"/>
      <w:marBottom w:val="0"/>
      <w:divBdr>
        <w:top w:val="none" w:sz="0" w:space="0" w:color="auto"/>
        <w:left w:val="none" w:sz="0" w:space="0" w:color="auto"/>
        <w:bottom w:val="none" w:sz="0" w:space="0" w:color="auto"/>
        <w:right w:val="none" w:sz="0" w:space="0" w:color="auto"/>
      </w:divBdr>
    </w:div>
    <w:div w:id="56902280">
      <w:bodyDiv w:val="1"/>
      <w:marLeft w:val="0"/>
      <w:marRight w:val="0"/>
      <w:marTop w:val="0"/>
      <w:marBottom w:val="0"/>
      <w:divBdr>
        <w:top w:val="none" w:sz="0" w:space="0" w:color="auto"/>
        <w:left w:val="none" w:sz="0" w:space="0" w:color="auto"/>
        <w:bottom w:val="none" w:sz="0" w:space="0" w:color="auto"/>
        <w:right w:val="none" w:sz="0" w:space="0" w:color="auto"/>
      </w:divBdr>
    </w:div>
    <w:div w:id="57024123">
      <w:bodyDiv w:val="1"/>
      <w:marLeft w:val="0"/>
      <w:marRight w:val="0"/>
      <w:marTop w:val="0"/>
      <w:marBottom w:val="0"/>
      <w:divBdr>
        <w:top w:val="none" w:sz="0" w:space="0" w:color="auto"/>
        <w:left w:val="none" w:sz="0" w:space="0" w:color="auto"/>
        <w:bottom w:val="none" w:sz="0" w:space="0" w:color="auto"/>
        <w:right w:val="none" w:sz="0" w:space="0" w:color="auto"/>
      </w:divBdr>
    </w:div>
    <w:div w:id="57218234">
      <w:bodyDiv w:val="1"/>
      <w:marLeft w:val="0"/>
      <w:marRight w:val="0"/>
      <w:marTop w:val="0"/>
      <w:marBottom w:val="0"/>
      <w:divBdr>
        <w:top w:val="none" w:sz="0" w:space="0" w:color="auto"/>
        <w:left w:val="none" w:sz="0" w:space="0" w:color="auto"/>
        <w:bottom w:val="none" w:sz="0" w:space="0" w:color="auto"/>
        <w:right w:val="none" w:sz="0" w:space="0" w:color="auto"/>
      </w:divBdr>
    </w:div>
    <w:div w:id="57409906">
      <w:bodyDiv w:val="1"/>
      <w:marLeft w:val="0"/>
      <w:marRight w:val="0"/>
      <w:marTop w:val="0"/>
      <w:marBottom w:val="0"/>
      <w:divBdr>
        <w:top w:val="none" w:sz="0" w:space="0" w:color="auto"/>
        <w:left w:val="none" w:sz="0" w:space="0" w:color="auto"/>
        <w:bottom w:val="none" w:sz="0" w:space="0" w:color="auto"/>
        <w:right w:val="none" w:sz="0" w:space="0" w:color="auto"/>
      </w:divBdr>
    </w:div>
    <w:div w:id="59181346">
      <w:bodyDiv w:val="1"/>
      <w:marLeft w:val="0"/>
      <w:marRight w:val="0"/>
      <w:marTop w:val="0"/>
      <w:marBottom w:val="0"/>
      <w:divBdr>
        <w:top w:val="none" w:sz="0" w:space="0" w:color="auto"/>
        <w:left w:val="none" w:sz="0" w:space="0" w:color="auto"/>
        <w:bottom w:val="none" w:sz="0" w:space="0" w:color="auto"/>
        <w:right w:val="none" w:sz="0" w:space="0" w:color="auto"/>
      </w:divBdr>
    </w:div>
    <w:div w:id="59907805">
      <w:bodyDiv w:val="1"/>
      <w:marLeft w:val="0"/>
      <w:marRight w:val="0"/>
      <w:marTop w:val="0"/>
      <w:marBottom w:val="0"/>
      <w:divBdr>
        <w:top w:val="none" w:sz="0" w:space="0" w:color="auto"/>
        <w:left w:val="none" w:sz="0" w:space="0" w:color="auto"/>
        <w:bottom w:val="none" w:sz="0" w:space="0" w:color="auto"/>
        <w:right w:val="none" w:sz="0" w:space="0" w:color="auto"/>
      </w:divBdr>
    </w:div>
    <w:div w:id="60100465">
      <w:bodyDiv w:val="1"/>
      <w:marLeft w:val="0"/>
      <w:marRight w:val="0"/>
      <w:marTop w:val="0"/>
      <w:marBottom w:val="0"/>
      <w:divBdr>
        <w:top w:val="none" w:sz="0" w:space="0" w:color="auto"/>
        <w:left w:val="none" w:sz="0" w:space="0" w:color="auto"/>
        <w:bottom w:val="none" w:sz="0" w:space="0" w:color="auto"/>
        <w:right w:val="none" w:sz="0" w:space="0" w:color="auto"/>
      </w:divBdr>
    </w:div>
    <w:div w:id="60369363">
      <w:bodyDiv w:val="1"/>
      <w:marLeft w:val="0"/>
      <w:marRight w:val="0"/>
      <w:marTop w:val="0"/>
      <w:marBottom w:val="0"/>
      <w:divBdr>
        <w:top w:val="none" w:sz="0" w:space="0" w:color="auto"/>
        <w:left w:val="none" w:sz="0" w:space="0" w:color="auto"/>
        <w:bottom w:val="none" w:sz="0" w:space="0" w:color="auto"/>
        <w:right w:val="none" w:sz="0" w:space="0" w:color="auto"/>
      </w:divBdr>
    </w:div>
    <w:div w:id="60490146">
      <w:bodyDiv w:val="1"/>
      <w:marLeft w:val="0"/>
      <w:marRight w:val="0"/>
      <w:marTop w:val="0"/>
      <w:marBottom w:val="0"/>
      <w:divBdr>
        <w:top w:val="none" w:sz="0" w:space="0" w:color="auto"/>
        <w:left w:val="none" w:sz="0" w:space="0" w:color="auto"/>
        <w:bottom w:val="none" w:sz="0" w:space="0" w:color="auto"/>
        <w:right w:val="none" w:sz="0" w:space="0" w:color="auto"/>
      </w:divBdr>
    </w:div>
    <w:div w:id="60644600">
      <w:bodyDiv w:val="1"/>
      <w:marLeft w:val="0"/>
      <w:marRight w:val="0"/>
      <w:marTop w:val="0"/>
      <w:marBottom w:val="0"/>
      <w:divBdr>
        <w:top w:val="none" w:sz="0" w:space="0" w:color="auto"/>
        <w:left w:val="none" w:sz="0" w:space="0" w:color="auto"/>
        <w:bottom w:val="none" w:sz="0" w:space="0" w:color="auto"/>
        <w:right w:val="none" w:sz="0" w:space="0" w:color="auto"/>
      </w:divBdr>
    </w:div>
    <w:div w:id="60950615">
      <w:bodyDiv w:val="1"/>
      <w:marLeft w:val="0"/>
      <w:marRight w:val="0"/>
      <w:marTop w:val="0"/>
      <w:marBottom w:val="0"/>
      <w:divBdr>
        <w:top w:val="none" w:sz="0" w:space="0" w:color="auto"/>
        <w:left w:val="none" w:sz="0" w:space="0" w:color="auto"/>
        <w:bottom w:val="none" w:sz="0" w:space="0" w:color="auto"/>
        <w:right w:val="none" w:sz="0" w:space="0" w:color="auto"/>
      </w:divBdr>
    </w:div>
    <w:div w:id="61148556">
      <w:bodyDiv w:val="1"/>
      <w:marLeft w:val="0"/>
      <w:marRight w:val="0"/>
      <w:marTop w:val="0"/>
      <w:marBottom w:val="0"/>
      <w:divBdr>
        <w:top w:val="none" w:sz="0" w:space="0" w:color="auto"/>
        <w:left w:val="none" w:sz="0" w:space="0" w:color="auto"/>
        <w:bottom w:val="none" w:sz="0" w:space="0" w:color="auto"/>
        <w:right w:val="none" w:sz="0" w:space="0" w:color="auto"/>
      </w:divBdr>
    </w:div>
    <w:div w:id="61561923">
      <w:bodyDiv w:val="1"/>
      <w:marLeft w:val="0"/>
      <w:marRight w:val="0"/>
      <w:marTop w:val="0"/>
      <w:marBottom w:val="0"/>
      <w:divBdr>
        <w:top w:val="none" w:sz="0" w:space="0" w:color="auto"/>
        <w:left w:val="none" w:sz="0" w:space="0" w:color="auto"/>
        <w:bottom w:val="none" w:sz="0" w:space="0" w:color="auto"/>
        <w:right w:val="none" w:sz="0" w:space="0" w:color="auto"/>
      </w:divBdr>
    </w:div>
    <w:div w:id="61606840">
      <w:bodyDiv w:val="1"/>
      <w:marLeft w:val="0"/>
      <w:marRight w:val="0"/>
      <w:marTop w:val="0"/>
      <w:marBottom w:val="0"/>
      <w:divBdr>
        <w:top w:val="none" w:sz="0" w:space="0" w:color="auto"/>
        <w:left w:val="none" w:sz="0" w:space="0" w:color="auto"/>
        <w:bottom w:val="none" w:sz="0" w:space="0" w:color="auto"/>
        <w:right w:val="none" w:sz="0" w:space="0" w:color="auto"/>
      </w:divBdr>
    </w:div>
    <w:div w:id="62725208">
      <w:bodyDiv w:val="1"/>
      <w:marLeft w:val="0"/>
      <w:marRight w:val="0"/>
      <w:marTop w:val="0"/>
      <w:marBottom w:val="0"/>
      <w:divBdr>
        <w:top w:val="none" w:sz="0" w:space="0" w:color="auto"/>
        <w:left w:val="none" w:sz="0" w:space="0" w:color="auto"/>
        <w:bottom w:val="none" w:sz="0" w:space="0" w:color="auto"/>
        <w:right w:val="none" w:sz="0" w:space="0" w:color="auto"/>
      </w:divBdr>
    </w:div>
    <w:div w:id="62914757">
      <w:bodyDiv w:val="1"/>
      <w:marLeft w:val="0"/>
      <w:marRight w:val="0"/>
      <w:marTop w:val="0"/>
      <w:marBottom w:val="0"/>
      <w:divBdr>
        <w:top w:val="none" w:sz="0" w:space="0" w:color="auto"/>
        <w:left w:val="none" w:sz="0" w:space="0" w:color="auto"/>
        <w:bottom w:val="none" w:sz="0" w:space="0" w:color="auto"/>
        <w:right w:val="none" w:sz="0" w:space="0" w:color="auto"/>
      </w:divBdr>
    </w:div>
    <w:div w:id="63071642">
      <w:bodyDiv w:val="1"/>
      <w:marLeft w:val="0"/>
      <w:marRight w:val="0"/>
      <w:marTop w:val="0"/>
      <w:marBottom w:val="0"/>
      <w:divBdr>
        <w:top w:val="none" w:sz="0" w:space="0" w:color="auto"/>
        <w:left w:val="none" w:sz="0" w:space="0" w:color="auto"/>
        <w:bottom w:val="none" w:sz="0" w:space="0" w:color="auto"/>
        <w:right w:val="none" w:sz="0" w:space="0" w:color="auto"/>
      </w:divBdr>
    </w:div>
    <w:div w:id="63846051">
      <w:bodyDiv w:val="1"/>
      <w:marLeft w:val="0"/>
      <w:marRight w:val="0"/>
      <w:marTop w:val="0"/>
      <w:marBottom w:val="0"/>
      <w:divBdr>
        <w:top w:val="none" w:sz="0" w:space="0" w:color="auto"/>
        <w:left w:val="none" w:sz="0" w:space="0" w:color="auto"/>
        <w:bottom w:val="none" w:sz="0" w:space="0" w:color="auto"/>
        <w:right w:val="none" w:sz="0" w:space="0" w:color="auto"/>
      </w:divBdr>
    </w:div>
    <w:div w:id="63994325">
      <w:bodyDiv w:val="1"/>
      <w:marLeft w:val="0"/>
      <w:marRight w:val="0"/>
      <w:marTop w:val="0"/>
      <w:marBottom w:val="0"/>
      <w:divBdr>
        <w:top w:val="none" w:sz="0" w:space="0" w:color="auto"/>
        <w:left w:val="none" w:sz="0" w:space="0" w:color="auto"/>
        <w:bottom w:val="none" w:sz="0" w:space="0" w:color="auto"/>
        <w:right w:val="none" w:sz="0" w:space="0" w:color="auto"/>
      </w:divBdr>
    </w:div>
    <w:div w:id="64182164">
      <w:bodyDiv w:val="1"/>
      <w:marLeft w:val="0"/>
      <w:marRight w:val="0"/>
      <w:marTop w:val="0"/>
      <w:marBottom w:val="0"/>
      <w:divBdr>
        <w:top w:val="none" w:sz="0" w:space="0" w:color="auto"/>
        <w:left w:val="none" w:sz="0" w:space="0" w:color="auto"/>
        <w:bottom w:val="none" w:sz="0" w:space="0" w:color="auto"/>
        <w:right w:val="none" w:sz="0" w:space="0" w:color="auto"/>
      </w:divBdr>
    </w:div>
    <w:div w:id="64449483">
      <w:bodyDiv w:val="1"/>
      <w:marLeft w:val="0"/>
      <w:marRight w:val="0"/>
      <w:marTop w:val="0"/>
      <w:marBottom w:val="0"/>
      <w:divBdr>
        <w:top w:val="none" w:sz="0" w:space="0" w:color="auto"/>
        <w:left w:val="none" w:sz="0" w:space="0" w:color="auto"/>
        <w:bottom w:val="none" w:sz="0" w:space="0" w:color="auto"/>
        <w:right w:val="none" w:sz="0" w:space="0" w:color="auto"/>
      </w:divBdr>
    </w:div>
    <w:div w:id="64573864">
      <w:bodyDiv w:val="1"/>
      <w:marLeft w:val="0"/>
      <w:marRight w:val="0"/>
      <w:marTop w:val="0"/>
      <w:marBottom w:val="0"/>
      <w:divBdr>
        <w:top w:val="none" w:sz="0" w:space="0" w:color="auto"/>
        <w:left w:val="none" w:sz="0" w:space="0" w:color="auto"/>
        <w:bottom w:val="none" w:sz="0" w:space="0" w:color="auto"/>
        <w:right w:val="none" w:sz="0" w:space="0" w:color="auto"/>
      </w:divBdr>
    </w:div>
    <w:div w:id="64649321">
      <w:bodyDiv w:val="1"/>
      <w:marLeft w:val="0"/>
      <w:marRight w:val="0"/>
      <w:marTop w:val="0"/>
      <w:marBottom w:val="0"/>
      <w:divBdr>
        <w:top w:val="none" w:sz="0" w:space="0" w:color="auto"/>
        <w:left w:val="none" w:sz="0" w:space="0" w:color="auto"/>
        <w:bottom w:val="none" w:sz="0" w:space="0" w:color="auto"/>
        <w:right w:val="none" w:sz="0" w:space="0" w:color="auto"/>
      </w:divBdr>
    </w:div>
    <w:div w:id="64886803">
      <w:bodyDiv w:val="1"/>
      <w:marLeft w:val="0"/>
      <w:marRight w:val="0"/>
      <w:marTop w:val="0"/>
      <w:marBottom w:val="0"/>
      <w:divBdr>
        <w:top w:val="none" w:sz="0" w:space="0" w:color="auto"/>
        <w:left w:val="none" w:sz="0" w:space="0" w:color="auto"/>
        <w:bottom w:val="none" w:sz="0" w:space="0" w:color="auto"/>
        <w:right w:val="none" w:sz="0" w:space="0" w:color="auto"/>
      </w:divBdr>
    </w:div>
    <w:div w:id="65232188">
      <w:bodyDiv w:val="1"/>
      <w:marLeft w:val="0"/>
      <w:marRight w:val="0"/>
      <w:marTop w:val="0"/>
      <w:marBottom w:val="0"/>
      <w:divBdr>
        <w:top w:val="none" w:sz="0" w:space="0" w:color="auto"/>
        <w:left w:val="none" w:sz="0" w:space="0" w:color="auto"/>
        <w:bottom w:val="none" w:sz="0" w:space="0" w:color="auto"/>
        <w:right w:val="none" w:sz="0" w:space="0" w:color="auto"/>
      </w:divBdr>
    </w:div>
    <w:div w:id="65341268">
      <w:bodyDiv w:val="1"/>
      <w:marLeft w:val="0"/>
      <w:marRight w:val="0"/>
      <w:marTop w:val="0"/>
      <w:marBottom w:val="0"/>
      <w:divBdr>
        <w:top w:val="none" w:sz="0" w:space="0" w:color="auto"/>
        <w:left w:val="none" w:sz="0" w:space="0" w:color="auto"/>
        <w:bottom w:val="none" w:sz="0" w:space="0" w:color="auto"/>
        <w:right w:val="none" w:sz="0" w:space="0" w:color="auto"/>
      </w:divBdr>
    </w:div>
    <w:div w:id="65349224">
      <w:bodyDiv w:val="1"/>
      <w:marLeft w:val="0"/>
      <w:marRight w:val="0"/>
      <w:marTop w:val="0"/>
      <w:marBottom w:val="0"/>
      <w:divBdr>
        <w:top w:val="none" w:sz="0" w:space="0" w:color="auto"/>
        <w:left w:val="none" w:sz="0" w:space="0" w:color="auto"/>
        <w:bottom w:val="none" w:sz="0" w:space="0" w:color="auto"/>
        <w:right w:val="none" w:sz="0" w:space="0" w:color="auto"/>
      </w:divBdr>
    </w:div>
    <w:div w:id="65760005">
      <w:bodyDiv w:val="1"/>
      <w:marLeft w:val="0"/>
      <w:marRight w:val="0"/>
      <w:marTop w:val="0"/>
      <w:marBottom w:val="0"/>
      <w:divBdr>
        <w:top w:val="none" w:sz="0" w:space="0" w:color="auto"/>
        <w:left w:val="none" w:sz="0" w:space="0" w:color="auto"/>
        <w:bottom w:val="none" w:sz="0" w:space="0" w:color="auto"/>
        <w:right w:val="none" w:sz="0" w:space="0" w:color="auto"/>
      </w:divBdr>
    </w:div>
    <w:div w:id="65887532">
      <w:bodyDiv w:val="1"/>
      <w:marLeft w:val="0"/>
      <w:marRight w:val="0"/>
      <w:marTop w:val="0"/>
      <w:marBottom w:val="0"/>
      <w:divBdr>
        <w:top w:val="none" w:sz="0" w:space="0" w:color="auto"/>
        <w:left w:val="none" w:sz="0" w:space="0" w:color="auto"/>
        <w:bottom w:val="none" w:sz="0" w:space="0" w:color="auto"/>
        <w:right w:val="none" w:sz="0" w:space="0" w:color="auto"/>
      </w:divBdr>
    </w:div>
    <w:div w:id="67044413">
      <w:bodyDiv w:val="1"/>
      <w:marLeft w:val="0"/>
      <w:marRight w:val="0"/>
      <w:marTop w:val="0"/>
      <w:marBottom w:val="0"/>
      <w:divBdr>
        <w:top w:val="none" w:sz="0" w:space="0" w:color="auto"/>
        <w:left w:val="none" w:sz="0" w:space="0" w:color="auto"/>
        <w:bottom w:val="none" w:sz="0" w:space="0" w:color="auto"/>
        <w:right w:val="none" w:sz="0" w:space="0" w:color="auto"/>
      </w:divBdr>
    </w:div>
    <w:div w:id="67074579">
      <w:bodyDiv w:val="1"/>
      <w:marLeft w:val="0"/>
      <w:marRight w:val="0"/>
      <w:marTop w:val="0"/>
      <w:marBottom w:val="0"/>
      <w:divBdr>
        <w:top w:val="none" w:sz="0" w:space="0" w:color="auto"/>
        <w:left w:val="none" w:sz="0" w:space="0" w:color="auto"/>
        <w:bottom w:val="none" w:sz="0" w:space="0" w:color="auto"/>
        <w:right w:val="none" w:sz="0" w:space="0" w:color="auto"/>
      </w:divBdr>
    </w:div>
    <w:div w:id="67390905">
      <w:bodyDiv w:val="1"/>
      <w:marLeft w:val="0"/>
      <w:marRight w:val="0"/>
      <w:marTop w:val="0"/>
      <w:marBottom w:val="0"/>
      <w:divBdr>
        <w:top w:val="none" w:sz="0" w:space="0" w:color="auto"/>
        <w:left w:val="none" w:sz="0" w:space="0" w:color="auto"/>
        <w:bottom w:val="none" w:sz="0" w:space="0" w:color="auto"/>
        <w:right w:val="none" w:sz="0" w:space="0" w:color="auto"/>
      </w:divBdr>
    </w:div>
    <w:div w:id="68189681">
      <w:bodyDiv w:val="1"/>
      <w:marLeft w:val="0"/>
      <w:marRight w:val="0"/>
      <w:marTop w:val="0"/>
      <w:marBottom w:val="0"/>
      <w:divBdr>
        <w:top w:val="none" w:sz="0" w:space="0" w:color="auto"/>
        <w:left w:val="none" w:sz="0" w:space="0" w:color="auto"/>
        <w:bottom w:val="none" w:sz="0" w:space="0" w:color="auto"/>
        <w:right w:val="none" w:sz="0" w:space="0" w:color="auto"/>
      </w:divBdr>
    </w:div>
    <w:div w:id="68382339">
      <w:bodyDiv w:val="1"/>
      <w:marLeft w:val="0"/>
      <w:marRight w:val="0"/>
      <w:marTop w:val="0"/>
      <w:marBottom w:val="0"/>
      <w:divBdr>
        <w:top w:val="none" w:sz="0" w:space="0" w:color="auto"/>
        <w:left w:val="none" w:sz="0" w:space="0" w:color="auto"/>
        <w:bottom w:val="none" w:sz="0" w:space="0" w:color="auto"/>
        <w:right w:val="none" w:sz="0" w:space="0" w:color="auto"/>
      </w:divBdr>
    </w:div>
    <w:div w:id="68382599">
      <w:bodyDiv w:val="1"/>
      <w:marLeft w:val="0"/>
      <w:marRight w:val="0"/>
      <w:marTop w:val="0"/>
      <w:marBottom w:val="0"/>
      <w:divBdr>
        <w:top w:val="none" w:sz="0" w:space="0" w:color="auto"/>
        <w:left w:val="none" w:sz="0" w:space="0" w:color="auto"/>
        <w:bottom w:val="none" w:sz="0" w:space="0" w:color="auto"/>
        <w:right w:val="none" w:sz="0" w:space="0" w:color="auto"/>
      </w:divBdr>
    </w:div>
    <w:div w:id="68384576">
      <w:bodyDiv w:val="1"/>
      <w:marLeft w:val="0"/>
      <w:marRight w:val="0"/>
      <w:marTop w:val="0"/>
      <w:marBottom w:val="0"/>
      <w:divBdr>
        <w:top w:val="none" w:sz="0" w:space="0" w:color="auto"/>
        <w:left w:val="none" w:sz="0" w:space="0" w:color="auto"/>
        <w:bottom w:val="none" w:sz="0" w:space="0" w:color="auto"/>
        <w:right w:val="none" w:sz="0" w:space="0" w:color="auto"/>
      </w:divBdr>
    </w:div>
    <w:div w:id="68626549">
      <w:bodyDiv w:val="1"/>
      <w:marLeft w:val="0"/>
      <w:marRight w:val="0"/>
      <w:marTop w:val="0"/>
      <w:marBottom w:val="0"/>
      <w:divBdr>
        <w:top w:val="none" w:sz="0" w:space="0" w:color="auto"/>
        <w:left w:val="none" w:sz="0" w:space="0" w:color="auto"/>
        <w:bottom w:val="none" w:sz="0" w:space="0" w:color="auto"/>
        <w:right w:val="none" w:sz="0" w:space="0" w:color="auto"/>
      </w:divBdr>
    </w:div>
    <w:div w:id="68967799">
      <w:bodyDiv w:val="1"/>
      <w:marLeft w:val="0"/>
      <w:marRight w:val="0"/>
      <w:marTop w:val="0"/>
      <w:marBottom w:val="0"/>
      <w:divBdr>
        <w:top w:val="none" w:sz="0" w:space="0" w:color="auto"/>
        <w:left w:val="none" w:sz="0" w:space="0" w:color="auto"/>
        <w:bottom w:val="none" w:sz="0" w:space="0" w:color="auto"/>
        <w:right w:val="none" w:sz="0" w:space="0" w:color="auto"/>
      </w:divBdr>
    </w:div>
    <w:div w:id="69426895">
      <w:bodyDiv w:val="1"/>
      <w:marLeft w:val="0"/>
      <w:marRight w:val="0"/>
      <w:marTop w:val="0"/>
      <w:marBottom w:val="0"/>
      <w:divBdr>
        <w:top w:val="none" w:sz="0" w:space="0" w:color="auto"/>
        <w:left w:val="none" w:sz="0" w:space="0" w:color="auto"/>
        <w:bottom w:val="none" w:sz="0" w:space="0" w:color="auto"/>
        <w:right w:val="none" w:sz="0" w:space="0" w:color="auto"/>
      </w:divBdr>
    </w:div>
    <w:div w:id="69427591">
      <w:bodyDiv w:val="1"/>
      <w:marLeft w:val="0"/>
      <w:marRight w:val="0"/>
      <w:marTop w:val="0"/>
      <w:marBottom w:val="0"/>
      <w:divBdr>
        <w:top w:val="none" w:sz="0" w:space="0" w:color="auto"/>
        <w:left w:val="none" w:sz="0" w:space="0" w:color="auto"/>
        <w:bottom w:val="none" w:sz="0" w:space="0" w:color="auto"/>
        <w:right w:val="none" w:sz="0" w:space="0" w:color="auto"/>
      </w:divBdr>
    </w:div>
    <w:div w:id="69736346">
      <w:bodyDiv w:val="1"/>
      <w:marLeft w:val="0"/>
      <w:marRight w:val="0"/>
      <w:marTop w:val="0"/>
      <w:marBottom w:val="0"/>
      <w:divBdr>
        <w:top w:val="none" w:sz="0" w:space="0" w:color="auto"/>
        <w:left w:val="none" w:sz="0" w:space="0" w:color="auto"/>
        <w:bottom w:val="none" w:sz="0" w:space="0" w:color="auto"/>
        <w:right w:val="none" w:sz="0" w:space="0" w:color="auto"/>
      </w:divBdr>
    </w:div>
    <w:div w:id="69740844">
      <w:bodyDiv w:val="1"/>
      <w:marLeft w:val="0"/>
      <w:marRight w:val="0"/>
      <w:marTop w:val="0"/>
      <w:marBottom w:val="0"/>
      <w:divBdr>
        <w:top w:val="none" w:sz="0" w:space="0" w:color="auto"/>
        <w:left w:val="none" w:sz="0" w:space="0" w:color="auto"/>
        <w:bottom w:val="none" w:sz="0" w:space="0" w:color="auto"/>
        <w:right w:val="none" w:sz="0" w:space="0" w:color="auto"/>
      </w:divBdr>
    </w:div>
    <w:div w:id="69814639">
      <w:bodyDiv w:val="1"/>
      <w:marLeft w:val="0"/>
      <w:marRight w:val="0"/>
      <w:marTop w:val="0"/>
      <w:marBottom w:val="0"/>
      <w:divBdr>
        <w:top w:val="none" w:sz="0" w:space="0" w:color="auto"/>
        <w:left w:val="none" w:sz="0" w:space="0" w:color="auto"/>
        <w:bottom w:val="none" w:sz="0" w:space="0" w:color="auto"/>
        <w:right w:val="none" w:sz="0" w:space="0" w:color="auto"/>
      </w:divBdr>
    </w:div>
    <w:div w:id="70003292">
      <w:bodyDiv w:val="1"/>
      <w:marLeft w:val="0"/>
      <w:marRight w:val="0"/>
      <w:marTop w:val="0"/>
      <w:marBottom w:val="0"/>
      <w:divBdr>
        <w:top w:val="none" w:sz="0" w:space="0" w:color="auto"/>
        <w:left w:val="none" w:sz="0" w:space="0" w:color="auto"/>
        <w:bottom w:val="none" w:sz="0" w:space="0" w:color="auto"/>
        <w:right w:val="none" w:sz="0" w:space="0" w:color="auto"/>
      </w:divBdr>
    </w:div>
    <w:div w:id="70011183">
      <w:bodyDiv w:val="1"/>
      <w:marLeft w:val="0"/>
      <w:marRight w:val="0"/>
      <w:marTop w:val="0"/>
      <w:marBottom w:val="0"/>
      <w:divBdr>
        <w:top w:val="none" w:sz="0" w:space="0" w:color="auto"/>
        <w:left w:val="none" w:sz="0" w:space="0" w:color="auto"/>
        <w:bottom w:val="none" w:sz="0" w:space="0" w:color="auto"/>
        <w:right w:val="none" w:sz="0" w:space="0" w:color="auto"/>
      </w:divBdr>
    </w:div>
    <w:div w:id="70012086">
      <w:bodyDiv w:val="1"/>
      <w:marLeft w:val="0"/>
      <w:marRight w:val="0"/>
      <w:marTop w:val="0"/>
      <w:marBottom w:val="0"/>
      <w:divBdr>
        <w:top w:val="none" w:sz="0" w:space="0" w:color="auto"/>
        <w:left w:val="none" w:sz="0" w:space="0" w:color="auto"/>
        <w:bottom w:val="none" w:sz="0" w:space="0" w:color="auto"/>
        <w:right w:val="none" w:sz="0" w:space="0" w:color="auto"/>
      </w:divBdr>
    </w:div>
    <w:div w:id="70734594">
      <w:bodyDiv w:val="1"/>
      <w:marLeft w:val="0"/>
      <w:marRight w:val="0"/>
      <w:marTop w:val="0"/>
      <w:marBottom w:val="0"/>
      <w:divBdr>
        <w:top w:val="none" w:sz="0" w:space="0" w:color="auto"/>
        <w:left w:val="none" w:sz="0" w:space="0" w:color="auto"/>
        <w:bottom w:val="none" w:sz="0" w:space="0" w:color="auto"/>
        <w:right w:val="none" w:sz="0" w:space="0" w:color="auto"/>
      </w:divBdr>
    </w:div>
    <w:div w:id="71439267">
      <w:bodyDiv w:val="1"/>
      <w:marLeft w:val="0"/>
      <w:marRight w:val="0"/>
      <w:marTop w:val="0"/>
      <w:marBottom w:val="0"/>
      <w:divBdr>
        <w:top w:val="none" w:sz="0" w:space="0" w:color="auto"/>
        <w:left w:val="none" w:sz="0" w:space="0" w:color="auto"/>
        <w:bottom w:val="none" w:sz="0" w:space="0" w:color="auto"/>
        <w:right w:val="none" w:sz="0" w:space="0" w:color="auto"/>
      </w:divBdr>
    </w:div>
    <w:div w:id="71856849">
      <w:bodyDiv w:val="1"/>
      <w:marLeft w:val="0"/>
      <w:marRight w:val="0"/>
      <w:marTop w:val="0"/>
      <w:marBottom w:val="0"/>
      <w:divBdr>
        <w:top w:val="none" w:sz="0" w:space="0" w:color="auto"/>
        <w:left w:val="none" w:sz="0" w:space="0" w:color="auto"/>
        <w:bottom w:val="none" w:sz="0" w:space="0" w:color="auto"/>
        <w:right w:val="none" w:sz="0" w:space="0" w:color="auto"/>
      </w:divBdr>
    </w:div>
    <w:div w:id="72164315">
      <w:bodyDiv w:val="1"/>
      <w:marLeft w:val="0"/>
      <w:marRight w:val="0"/>
      <w:marTop w:val="0"/>
      <w:marBottom w:val="0"/>
      <w:divBdr>
        <w:top w:val="none" w:sz="0" w:space="0" w:color="auto"/>
        <w:left w:val="none" w:sz="0" w:space="0" w:color="auto"/>
        <w:bottom w:val="none" w:sz="0" w:space="0" w:color="auto"/>
        <w:right w:val="none" w:sz="0" w:space="0" w:color="auto"/>
      </w:divBdr>
    </w:div>
    <w:div w:id="72511866">
      <w:bodyDiv w:val="1"/>
      <w:marLeft w:val="0"/>
      <w:marRight w:val="0"/>
      <w:marTop w:val="0"/>
      <w:marBottom w:val="0"/>
      <w:divBdr>
        <w:top w:val="none" w:sz="0" w:space="0" w:color="auto"/>
        <w:left w:val="none" w:sz="0" w:space="0" w:color="auto"/>
        <w:bottom w:val="none" w:sz="0" w:space="0" w:color="auto"/>
        <w:right w:val="none" w:sz="0" w:space="0" w:color="auto"/>
      </w:divBdr>
    </w:div>
    <w:div w:id="72942063">
      <w:bodyDiv w:val="1"/>
      <w:marLeft w:val="0"/>
      <w:marRight w:val="0"/>
      <w:marTop w:val="0"/>
      <w:marBottom w:val="0"/>
      <w:divBdr>
        <w:top w:val="none" w:sz="0" w:space="0" w:color="auto"/>
        <w:left w:val="none" w:sz="0" w:space="0" w:color="auto"/>
        <w:bottom w:val="none" w:sz="0" w:space="0" w:color="auto"/>
        <w:right w:val="none" w:sz="0" w:space="0" w:color="auto"/>
      </w:divBdr>
    </w:div>
    <w:div w:id="73011554">
      <w:bodyDiv w:val="1"/>
      <w:marLeft w:val="0"/>
      <w:marRight w:val="0"/>
      <w:marTop w:val="0"/>
      <w:marBottom w:val="0"/>
      <w:divBdr>
        <w:top w:val="none" w:sz="0" w:space="0" w:color="auto"/>
        <w:left w:val="none" w:sz="0" w:space="0" w:color="auto"/>
        <w:bottom w:val="none" w:sz="0" w:space="0" w:color="auto"/>
        <w:right w:val="none" w:sz="0" w:space="0" w:color="auto"/>
      </w:divBdr>
    </w:div>
    <w:div w:id="73210804">
      <w:bodyDiv w:val="1"/>
      <w:marLeft w:val="0"/>
      <w:marRight w:val="0"/>
      <w:marTop w:val="0"/>
      <w:marBottom w:val="0"/>
      <w:divBdr>
        <w:top w:val="none" w:sz="0" w:space="0" w:color="auto"/>
        <w:left w:val="none" w:sz="0" w:space="0" w:color="auto"/>
        <w:bottom w:val="none" w:sz="0" w:space="0" w:color="auto"/>
        <w:right w:val="none" w:sz="0" w:space="0" w:color="auto"/>
      </w:divBdr>
    </w:div>
    <w:div w:id="73280877">
      <w:bodyDiv w:val="1"/>
      <w:marLeft w:val="0"/>
      <w:marRight w:val="0"/>
      <w:marTop w:val="0"/>
      <w:marBottom w:val="0"/>
      <w:divBdr>
        <w:top w:val="none" w:sz="0" w:space="0" w:color="auto"/>
        <w:left w:val="none" w:sz="0" w:space="0" w:color="auto"/>
        <w:bottom w:val="none" w:sz="0" w:space="0" w:color="auto"/>
        <w:right w:val="none" w:sz="0" w:space="0" w:color="auto"/>
      </w:divBdr>
    </w:div>
    <w:div w:id="73282412">
      <w:bodyDiv w:val="1"/>
      <w:marLeft w:val="0"/>
      <w:marRight w:val="0"/>
      <w:marTop w:val="0"/>
      <w:marBottom w:val="0"/>
      <w:divBdr>
        <w:top w:val="none" w:sz="0" w:space="0" w:color="auto"/>
        <w:left w:val="none" w:sz="0" w:space="0" w:color="auto"/>
        <w:bottom w:val="none" w:sz="0" w:space="0" w:color="auto"/>
        <w:right w:val="none" w:sz="0" w:space="0" w:color="auto"/>
      </w:divBdr>
    </w:div>
    <w:div w:id="73360478">
      <w:bodyDiv w:val="1"/>
      <w:marLeft w:val="0"/>
      <w:marRight w:val="0"/>
      <w:marTop w:val="0"/>
      <w:marBottom w:val="0"/>
      <w:divBdr>
        <w:top w:val="none" w:sz="0" w:space="0" w:color="auto"/>
        <w:left w:val="none" w:sz="0" w:space="0" w:color="auto"/>
        <w:bottom w:val="none" w:sz="0" w:space="0" w:color="auto"/>
        <w:right w:val="none" w:sz="0" w:space="0" w:color="auto"/>
      </w:divBdr>
    </w:div>
    <w:div w:id="73550321">
      <w:bodyDiv w:val="1"/>
      <w:marLeft w:val="0"/>
      <w:marRight w:val="0"/>
      <w:marTop w:val="0"/>
      <w:marBottom w:val="0"/>
      <w:divBdr>
        <w:top w:val="none" w:sz="0" w:space="0" w:color="auto"/>
        <w:left w:val="none" w:sz="0" w:space="0" w:color="auto"/>
        <w:bottom w:val="none" w:sz="0" w:space="0" w:color="auto"/>
        <w:right w:val="none" w:sz="0" w:space="0" w:color="auto"/>
      </w:divBdr>
    </w:div>
    <w:div w:id="73628440">
      <w:bodyDiv w:val="1"/>
      <w:marLeft w:val="0"/>
      <w:marRight w:val="0"/>
      <w:marTop w:val="0"/>
      <w:marBottom w:val="0"/>
      <w:divBdr>
        <w:top w:val="none" w:sz="0" w:space="0" w:color="auto"/>
        <w:left w:val="none" w:sz="0" w:space="0" w:color="auto"/>
        <w:bottom w:val="none" w:sz="0" w:space="0" w:color="auto"/>
        <w:right w:val="none" w:sz="0" w:space="0" w:color="auto"/>
      </w:divBdr>
    </w:div>
    <w:div w:id="74014490">
      <w:bodyDiv w:val="1"/>
      <w:marLeft w:val="0"/>
      <w:marRight w:val="0"/>
      <w:marTop w:val="0"/>
      <w:marBottom w:val="0"/>
      <w:divBdr>
        <w:top w:val="none" w:sz="0" w:space="0" w:color="auto"/>
        <w:left w:val="none" w:sz="0" w:space="0" w:color="auto"/>
        <w:bottom w:val="none" w:sz="0" w:space="0" w:color="auto"/>
        <w:right w:val="none" w:sz="0" w:space="0" w:color="auto"/>
      </w:divBdr>
    </w:div>
    <w:div w:id="74061070">
      <w:bodyDiv w:val="1"/>
      <w:marLeft w:val="0"/>
      <w:marRight w:val="0"/>
      <w:marTop w:val="0"/>
      <w:marBottom w:val="0"/>
      <w:divBdr>
        <w:top w:val="none" w:sz="0" w:space="0" w:color="auto"/>
        <w:left w:val="none" w:sz="0" w:space="0" w:color="auto"/>
        <w:bottom w:val="none" w:sz="0" w:space="0" w:color="auto"/>
        <w:right w:val="none" w:sz="0" w:space="0" w:color="auto"/>
      </w:divBdr>
    </w:div>
    <w:div w:id="74128590">
      <w:bodyDiv w:val="1"/>
      <w:marLeft w:val="0"/>
      <w:marRight w:val="0"/>
      <w:marTop w:val="0"/>
      <w:marBottom w:val="0"/>
      <w:divBdr>
        <w:top w:val="none" w:sz="0" w:space="0" w:color="auto"/>
        <w:left w:val="none" w:sz="0" w:space="0" w:color="auto"/>
        <w:bottom w:val="none" w:sz="0" w:space="0" w:color="auto"/>
        <w:right w:val="none" w:sz="0" w:space="0" w:color="auto"/>
      </w:divBdr>
    </w:div>
    <w:div w:id="74397479">
      <w:bodyDiv w:val="1"/>
      <w:marLeft w:val="0"/>
      <w:marRight w:val="0"/>
      <w:marTop w:val="0"/>
      <w:marBottom w:val="0"/>
      <w:divBdr>
        <w:top w:val="none" w:sz="0" w:space="0" w:color="auto"/>
        <w:left w:val="none" w:sz="0" w:space="0" w:color="auto"/>
        <w:bottom w:val="none" w:sz="0" w:space="0" w:color="auto"/>
        <w:right w:val="none" w:sz="0" w:space="0" w:color="auto"/>
      </w:divBdr>
    </w:div>
    <w:div w:id="74858390">
      <w:bodyDiv w:val="1"/>
      <w:marLeft w:val="0"/>
      <w:marRight w:val="0"/>
      <w:marTop w:val="0"/>
      <w:marBottom w:val="0"/>
      <w:divBdr>
        <w:top w:val="none" w:sz="0" w:space="0" w:color="auto"/>
        <w:left w:val="none" w:sz="0" w:space="0" w:color="auto"/>
        <w:bottom w:val="none" w:sz="0" w:space="0" w:color="auto"/>
        <w:right w:val="none" w:sz="0" w:space="0" w:color="auto"/>
      </w:divBdr>
    </w:div>
    <w:div w:id="74937500">
      <w:bodyDiv w:val="1"/>
      <w:marLeft w:val="0"/>
      <w:marRight w:val="0"/>
      <w:marTop w:val="0"/>
      <w:marBottom w:val="0"/>
      <w:divBdr>
        <w:top w:val="none" w:sz="0" w:space="0" w:color="auto"/>
        <w:left w:val="none" w:sz="0" w:space="0" w:color="auto"/>
        <w:bottom w:val="none" w:sz="0" w:space="0" w:color="auto"/>
        <w:right w:val="none" w:sz="0" w:space="0" w:color="auto"/>
      </w:divBdr>
    </w:div>
    <w:div w:id="75130062">
      <w:bodyDiv w:val="1"/>
      <w:marLeft w:val="0"/>
      <w:marRight w:val="0"/>
      <w:marTop w:val="0"/>
      <w:marBottom w:val="0"/>
      <w:divBdr>
        <w:top w:val="none" w:sz="0" w:space="0" w:color="auto"/>
        <w:left w:val="none" w:sz="0" w:space="0" w:color="auto"/>
        <w:bottom w:val="none" w:sz="0" w:space="0" w:color="auto"/>
        <w:right w:val="none" w:sz="0" w:space="0" w:color="auto"/>
      </w:divBdr>
    </w:div>
    <w:div w:id="75322108">
      <w:bodyDiv w:val="1"/>
      <w:marLeft w:val="0"/>
      <w:marRight w:val="0"/>
      <w:marTop w:val="0"/>
      <w:marBottom w:val="0"/>
      <w:divBdr>
        <w:top w:val="none" w:sz="0" w:space="0" w:color="auto"/>
        <w:left w:val="none" w:sz="0" w:space="0" w:color="auto"/>
        <w:bottom w:val="none" w:sz="0" w:space="0" w:color="auto"/>
        <w:right w:val="none" w:sz="0" w:space="0" w:color="auto"/>
      </w:divBdr>
    </w:div>
    <w:div w:id="75908125">
      <w:bodyDiv w:val="1"/>
      <w:marLeft w:val="0"/>
      <w:marRight w:val="0"/>
      <w:marTop w:val="0"/>
      <w:marBottom w:val="0"/>
      <w:divBdr>
        <w:top w:val="none" w:sz="0" w:space="0" w:color="auto"/>
        <w:left w:val="none" w:sz="0" w:space="0" w:color="auto"/>
        <w:bottom w:val="none" w:sz="0" w:space="0" w:color="auto"/>
        <w:right w:val="none" w:sz="0" w:space="0" w:color="auto"/>
      </w:divBdr>
    </w:div>
    <w:div w:id="76096971">
      <w:bodyDiv w:val="1"/>
      <w:marLeft w:val="0"/>
      <w:marRight w:val="0"/>
      <w:marTop w:val="0"/>
      <w:marBottom w:val="0"/>
      <w:divBdr>
        <w:top w:val="none" w:sz="0" w:space="0" w:color="auto"/>
        <w:left w:val="none" w:sz="0" w:space="0" w:color="auto"/>
        <w:bottom w:val="none" w:sz="0" w:space="0" w:color="auto"/>
        <w:right w:val="none" w:sz="0" w:space="0" w:color="auto"/>
      </w:divBdr>
    </w:div>
    <w:div w:id="76246089">
      <w:bodyDiv w:val="1"/>
      <w:marLeft w:val="0"/>
      <w:marRight w:val="0"/>
      <w:marTop w:val="0"/>
      <w:marBottom w:val="0"/>
      <w:divBdr>
        <w:top w:val="none" w:sz="0" w:space="0" w:color="auto"/>
        <w:left w:val="none" w:sz="0" w:space="0" w:color="auto"/>
        <w:bottom w:val="none" w:sz="0" w:space="0" w:color="auto"/>
        <w:right w:val="none" w:sz="0" w:space="0" w:color="auto"/>
      </w:divBdr>
    </w:div>
    <w:div w:id="76248724">
      <w:bodyDiv w:val="1"/>
      <w:marLeft w:val="0"/>
      <w:marRight w:val="0"/>
      <w:marTop w:val="0"/>
      <w:marBottom w:val="0"/>
      <w:divBdr>
        <w:top w:val="none" w:sz="0" w:space="0" w:color="auto"/>
        <w:left w:val="none" w:sz="0" w:space="0" w:color="auto"/>
        <w:bottom w:val="none" w:sz="0" w:space="0" w:color="auto"/>
        <w:right w:val="none" w:sz="0" w:space="0" w:color="auto"/>
      </w:divBdr>
    </w:div>
    <w:div w:id="76709707">
      <w:bodyDiv w:val="1"/>
      <w:marLeft w:val="0"/>
      <w:marRight w:val="0"/>
      <w:marTop w:val="0"/>
      <w:marBottom w:val="0"/>
      <w:divBdr>
        <w:top w:val="none" w:sz="0" w:space="0" w:color="auto"/>
        <w:left w:val="none" w:sz="0" w:space="0" w:color="auto"/>
        <w:bottom w:val="none" w:sz="0" w:space="0" w:color="auto"/>
        <w:right w:val="none" w:sz="0" w:space="0" w:color="auto"/>
      </w:divBdr>
    </w:div>
    <w:div w:id="76950536">
      <w:bodyDiv w:val="1"/>
      <w:marLeft w:val="0"/>
      <w:marRight w:val="0"/>
      <w:marTop w:val="0"/>
      <w:marBottom w:val="0"/>
      <w:divBdr>
        <w:top w:val="none" w:sz="0" w:space="0" w:color="auto"/>
        <w:left w:val="none" w:sz="0" w:space="0" w:color="auto"/>
        <w:bottom w:val="none" w:sz="0" w:space="0" w:color="auto"/>
        <w:right w:val="none" w:sz="0" w:space="0" w:color="auto"/>
      </w:divBdr>
    </w:div>
    <w:div w:id="77020504">
      <w:bodyDiv w:val="1"/>
      <w:marLeft w:val="0"/>
      <w:marRight w:val="0"/>
      <w:marTop w:val="0"/>
      <w:marBottom w:val="0"/>
      <w:divBdr>
        <w:top w:val="none" w:sz="0" w:space="0" w:color="auto"/>
        <w:left w:val="none" w:sz="0" w:space="0" w:color="auto"/>
        <w:bottom w:val="none" w:sz="0" w:space="0" w:color="auto"/>
        <w:right w:val="none" w:sz="0" w:space="0" w:color="auto"/>
      </w:divBdr>
    </w:div>
    <w:div w:id="77026793">
      <w:bodyDiv w:val="1"/>
      <w:marLeft w:val="0"/>
      <w:marRight w:val="0"/>
      <w:marTop w:val="0"/>
      <w:marBottom w:val="0"/>
      <w:divBdr>
        <w:top w:val="none" w:sz="0" w:space="0" w:color="auto"/>
        <w:left w:val="none" w:sz="0" w:space="0" w:color="auto"/>
        <w:bottom w:val="none" w:sz="0" w:space="0" w:color="auto"/>
        <w:right w:val="none" w:sz="0" w:space="0" w:color="auto"/>
      </w:divBdr>
    </w:div>
    <w:div w:id="77873771">
      <w:bodyDiv w:val="1"/>
      <w:marLeft w:val="0"/>
      <w:marRight w:val="0"/>
      <w:marTop w:val="0"/>
      <w:marBottom w:val="0"/>
      <w:divBdr>
        <w:top w:val="none" w:sz="0" w:space="0" w:color="auto"/>
        <w:left w:val="none" w:sz="0" w:space="0" w:color="auto"/>
        <w:bottom w:val="none" w:sz="0" w:space="0" w:color="auto"/>
        <w:right w:val="none" w:sz="0" w:space="0" w:color="auto"/>
      </w:divBdr>
    </w:div>
    <w:div w:id="77947234">
      <w:bodyDiv w:val="1"/>
      <w:marLeft w:val="0"/>
      <w:marRight w:val="0"/>
      <w:marTop w:val="0"/>
      <w:marBottom w:val="0"/>
      <w:divBdr>
        <w:top w:val="none" w:sz="0" w:space="0" w:color="auto"/>
        <w:left w:val="none" w:sz="0" w:space="0" w:color="auto"/>
        <w:bottom w:val="none" w:sz="0" w:space="0" w:color="auto"/>
        <w:right w:val="none" w:sz="0" w:space="0" w:color="auto"/>
      </w:divBdr>
    </w:div>
    <w:div w:id="78138779">
      <w:bodyDiv w:val="1"/>
      <w:marLeft w:val="0"/>
      <w:marRight w:val="0"/>
      <w:marTop w:val="0"/>
      <w:marBottom w:val="0"/>
      <w:divBdr>
        <w:top w:val="none" w:sz="0" w:space="0" w:color="auto"/>
        <w:left w:val="none" w:sz="0" w:space="0" w:color="auto"/>
        <w:bottom w:val="none" w:sz="0" w:space="0" w:color="auto"/>
        <w:right w:val="none" w:sz="0" w:space="0" w:color="auto"/>
      </w:divBdr>
    </w:div>
    <w:div w:id="78184758">
      <w:bodyDiv w:val="1"/>
      <w:marLeft w:val="0"/>
      <w:marRight w:val="0"/>
      <w:marTop w:val="0"/>
      <w:marBottom w:val="0"/>
      <w:divBdr>
        <w:top w:val="none" w:sz="0" w:space="0" w:color="auto"/>
        <w:left w:val="none" w:sz="0" w:space="0" w:color="auto"/>
        <w:bottom w:val="none" w:sz="0" w:space="0" w:color="auto"/>
        <w:right w:val="none" w:sz="0" w:space="0" w:color="auto"/>
      </w:divBdr>
    </w:div>
    <w:div w:id="78261066">
      <w:bodyDiv w:val="1"/>
      <w:marLeft w:val="0"/>
      <w:marRight w:val="0"/>
      <w:marTop w:val="0"/>
      <w:marBottom w:val="0"/>
      <w:divBdr>
        <w:top w:val="none" w:sz="0" w:space="0" w:color="auto"/>
        <w:left w:val="none" w:sz="0" w:space="0" w:color="auto"/>
        <w:bottom w:val="none" w:sz="0" w:space="0" w:color="auto"/>
        <w:right w:val="none" w:sz="0" w:space="0" w:color="auto"/>
      </w:divBdr>
    </w:div>
    <w:div w:id="78455513">
      <w:bodyDiv w:val="1"/>
      <w:marLeft w:val="0"/>
      <w:marRight w:val="0"/>
      <w:marTop w:val="0"/>
      <w:marBottom w:val="0"/>
      <w:divBdr>
        <w:top w:val="none" w:sz="0" w:space="0" w:color="auto"/>
        <w:left w:val="none" w:sz="0" w:space="0" w:color="auto"/>
        <w:bottom w:val="none" w:sz="0" w:space="0" w:color="auto"/>
        <w:right w:val="none" w:sz="0" w:space="0" w:color="auto"/>
      </w:divBdr>
    </w:div>
    <w:div w:id="78866423">
      <w:bodyDiv w:val="1"/>
      <w:marLeft w:val="0"/>
      <w:marRight w:val="0"/>
      <w:marTop w:val="0"/>
      <w:marBottom w:val="0"/>
      <w:divBdr>
        <w:top w:val="none" w:sz="0" w:space="0" w:color="auto"/>
        <w:left w:val="none" w:sz="0" w:space="0" w:color="auto"/>
        <w:bottom w:val="none" w:sz="0" w:space="0" w:color="auto"/>
        <w:right w:val="none" w:sz="0" w:space="0" w:color="auto"/>
      </w:divBdr>
    </w:div>
    <w:div w:id="79064962">
      <w:bodyDiv w:val="1"/>
      <w:marLeft w:val="0"/>
      <w:marRight w:val="0"/>
      <w:marTop w:val="0"/>
      <w:marBottom w:val="0"/>
      <w:divBdr>
        <w:top w:val="none" w:sz="0" w:space="0" w:color="auto"/>
        <w:left w:val="none" w:sz="0" w:space="0" w:color="auto"/>
        <w:bottom w:val="none" w:sz="0" w:space="0" w:color="auto"/>
        <w:right w:val="none" w:sz="0" w:space="0" w:color="auto"/>
      </w:divBdr>
    </w:div>
    <w:div w:id="79067387">
      <w:bodyDiv w:val="1"/>
      <w:marLeft w:val="0"/>
      <w:marRight w:val="0"/>
      <w:marTop w:val="0"/>
      <w:marBottom w:val="0"/>
      <w:divBdr>
        <w:top w:val="none" w:sz="0" w:space="0" w:color="auto"/>
        <w:left w:val="none" w:sz="0" w:space="0" w:color="auto"/>
        <w:bottom w:val="none" w:sz="0" w:space="0" w:color="auto"/>
        <w:right w:val="none" w:sz="0" w:space="0" w:color="auto"/>
      </w:divBdr>
    </w:div>
    <w:div w:id="79182837">
      <w:bodyDiv w:val="1"/>
      <w:marLeft w:val="0"/>
      <w:marRight w:val="0"/>
      <w:marTop w:val="0"/>
      <w:marBottom w:val="0"/>
      <w:divBdr>
        <w:top w:val="none" w:sz="0" w:space="0" w:color="auto"/>
        <w:left w:val="none" w:sz="0" w:space="0" w:color="auto"/>
        <w:bottom w:val="none" w:sz="0" w:space="0" w:color="auto"/>
        <w:right w:val="none" w:sz="0" w:space="0" w:color="auto"/>
      </w:divBdr>
    </w:div>
    <w:div w:id="79497443">
      <w:bodyDiv w:val="1"/>
      <w:marLeft w:val="0"/>
      <w:marRight w:val="0"/>
      <w:marTop w:val="0"/>
      <w:marBottom w:val="0"/>
      <w:divBdr>
        <w:top w:val="none" w:sz="0" w:space="0" w:color="auto"/>
        <w:left w:val="none" w:sz="0" w:space="0" w:color="auto"/>
        <w:bottom w:val="none" w:sz="0" w:space="0" w:color="auto"/>
        <w:right w:val="none" w:sz="0" w:space="0" w:color="auto"/>
      </w:divBdr>
    </w:div>
    <w:div w:id="79563348">
      <w:bodyDiv w:val="1"/>
      <w:marLeft w:val="0"/>
      <w:marRight w:val="0"/>
      <w:marTop w:val="0"/>
      <w:marBottom w:val="0"/>
      <w:divBdr>
        <w:top w:val="none" w:sz="0" w:space="0" w:color="auto"/>
        <w:left w:val="none" w:sz="0" w:space="0" w:color="auto"/>
        <w:bottom w:val="none" w:sz="0" w:space="0" w:color="auto"/>
        <w:right w:val="none" w:sz="0" w:space="0" w:color="auto"/>
      </w:divBdr>
    </w:div>
    <w:div w:id="79569476">
      <w:bodyDiv w:val="1"/>
      <w:marLeft w:val="0"/>
      <w:marRight w:val="0"/>
      <w:marTop w:val="0"/>
      <w:marBottom w:val="0"/>
      <w:divBdr>
        <w:top w:val="none" w:sz="0" w:space="0" w:color="auto"/>
        <w:left w:val="none" w:sz="0" w:space="0" w:color="auto"/>
        <w:bottom w:val="none" w:sz="0" w:space="0" w:color="auto"/>
        <w:right w:val="none" w:sz="0" w:space="0" w:color="auto"/>
      </w:divBdr>
    </w:div>
    <w:div w:id="79832666">
      <w:bodyDiv w:val="1"/>
      <w:marLeft w:val="0"/>
      <w:marRight w:val="0"/>
      <w:marTop w:val="0"/>
      <w:marBottom w:val="0"/>
      <w:divBdr>
        <w:top w:val="none" w:sz="0" w:space="0" w:color="auto"/>
        <w:left w:val="none" w:sz="0" w:space="0" w:color="auto"/>
        <w:bottom w:val="none" w:sz="0" w:space="0" w:color="auto"/>
        <w:right w:val="none" w:sz="0" w:space="0" w:color="auto"/>
      </w:divBdr>
    </w:div>
    <w:div w:id="80034504">
      <w:bodyDiv w:val="1"/>
      <w:marLeft w:val="0"/>
      <w:marRight w:val="0"/>
      <w:marTop w:val="0"/>
      <w:marBottom w:val="0"/>
      <w:divBdr>
        <w:top w:val="none" w:sz="0" w:space="0" w:color="auto"/>
        <w:left w:val="none" w:sz="0" w:space="0" w:color="auto"/>
        <w:bottom w:val="none" w:sz="0" w:space="0" w:color="auto"/>
        <w:right w:val="none" w:sz="0" w:space="0" w:color="auto"/>
      </w:divBdr>
    </w:div>
    <w:div w:id="80109564">
      <w:bodyDiv w:val="1"/>
      <w:marLeft w:val="0"/>
      <w:marRight w:val="0"/>
      <w:marTop w:val="0"/>
      <w:marBottom w:val="0"/>
      <w:divBdr>
        <w:top w:val="none" w:sz="0" w:space="0" w:color="auto"/>
        <w:left w:val="none" w:sz="0" w:space="0" w:color="auto"/>
        <w:bottom w:val="none" w:sz="0" w:space="0" w:color="auto"/>
        <w:right w:val="none" w:sz="0" w:space="0" w:color="auto"/>
      </w:divBdr>
    </w:div>
    <w:div w:id="80302754">
      <w:bodyDiv w:val="1"/>
      <w:marLeft w:val="0"/>
      <w:marRight w:val="0"/>
      <w:marTop w:val="0"/>
      <w:marBottom w:val="0"/>
      <w:divBdr>
        <w:top w:val="none" w:sz="0" w:space="0" w:color="auto"/>
        <w:left w:val="none" w:sz="0" w:space="0" w:color="auto"/>
        <w:bottom w:val="none" w:sz="0" w:space="0" w:color="auto"/>
        <w:right w:val="none" w:sz="0" w:space="0" w:color="auto"/>
      </w:divBdr>
    </w:div>
    <w:div w:id="80760932">
      <w:bodyDiv w:val="1"/>
      <w:marLeft w:val="0"/>
      <w:marRight w:val="0"/>
      <w:marTop w:val="0"/>
      <w:marBottom w:val="0"/>
      <w:divBdr>
        <w:top w:val="none" w:sz="0" w:space="0" w:color="auto"/>
        <w:left w:val="none" w:sz="0" w:space="0" w:color="auto"/>
        <w:bottom w:val="none" w:sz="0" w:space="0" w:color="auto"/>
        <w:right w:val="none" w:sz="0" w:space="0" w:color="auto"/>
      </w:divBdr>
    </w:div>
    <w:div w:id="80834166">
      <w:bodyDiv w:val="1"/>
      <w:marLeft w:val="0"/>
      <w:marRight w:val="0"/>
      <w:marTop w:val="0"/>
      <w:marBottom w:val="0"/>
      <w:divBdr>
        <w:top w:val="none" w:sz="0" w:space="0" w:color="auto"/>
        <w:left w:val="none" w:sz="0" w:space="0" w:color="auto"/>
        <w:bottom w:val="none" w:sz="0" w:space="0" w:color="auto"/>
        <w:right w:val="none" w:sz="0" w:space="0" w:color="auto"/>
      </w:divBdr>
    </w:div>
    <w:div w:id="80877185">
      <w:bodyDiv w:val="1"/>
      <w:marLeft w:val="0"/>
      <w:marRight w:val="0"/>
      <w:marTop w:val="0"/>
      <w:marBottom w:val="0"/>
      <w:divBdr>
        <w:top w:val="none" w:sz="0" w:space="0" w:color="auto"/>
        <w:left w:val="none" w:sz="0" w:space="0" w:color="auto"/>
        <w:bottom w:val="none" w:sz="0" w:space="0" w:color="auto"/>
        <w:right w:val="none" w:sz="0" w:space="0" w:color="auto"/>
      </w:divBdr>
    </w:div>
    <w:div w:id="80883200">
      <w:bodyDiv w:val="1"/>
      <w:marLeft w:val="0"/>
      <w:marRight w:val="0"/>
      <w:marTop w:val="0"/>
      <w:marBottom w:val="0"/>
      <w:divBdr>
        <w:top w:val="none" w:sz="0" w:space="0" w:color="auto"/>
        <w:left w:val="none" w:sz="0" w:space="0" w:color="auto"/>
        <w:bottom w:val="none" w:sz="0" w:space="0" w:color="auto"/>
        <w:right w:val="none" w:sz="0" w:space="0" w:color="auto"/>
      </w:divBdr>
    </w:div>
    <w:div w:id="81529704">
      <w:bodyDiv w:val="1"/>
      <w:marLeft w:val="0"/>
      <w:marRight w:val="0"/>
      <w:marTop w:val="0"/>
      <w:marBottom w:val="0"/>
      <w:divBdr>
        <w:top w:val="none" w:sz="0" w:space="0" w:color="auto"/>
        <w:left w:val="none" w:sz="0" w:space="0" w:color="auto"/>
        <w:bottom w:val="none" w:sz="0" w:space="0" w:color="auto"/>
        <w:right w:val="none" w:sz="0" w:space="0" w:color="auto"/>
      </w:divBdr>
    </w:div>
    <w:div w:id="81731753">
      <w:bodyDiv w:val="1"/>
      <w:marLeft w:val="0"/>
      <w:marRight w:val="0"/>
      <w:marTop w:val="0"/>
      <w:marBottom w:val="0"/>
      <w:divBdr>
        <w:top w:val="none" w:sz="0" w:space="0" w:color="auto"/>
        <w:left w:val="none" w:sz="0" w:space="0" w:color="auto"/>
        <w:bottom w:val="none" w:sz="0" w:space="0" w:color="auto"/>
        <w:right w:val="none" w:sz="0" w:space="0" w:color="auto"/>
      </w:divBdr>
    </w:div>
    <w:div w:id="81873334">
      <w:bodyDiv w:val="1"/>
      <w:marLeft w:val="0"/>
      <w:marRight w:val="0"/>
      <w:marTop w:val="0"/>
      <w:marBottom w:val="0"/>
      <w:divBdr>
        <w:top w:val="none" w:sz="0" w:space="0" w:color="auto"/>
        <w:left w:val="none" w:sz="0" w:space="0" w:color="auto"/>
        <w:bottom w:val="none" w:sz="0" w:space="0" w:color="auto"/>
        <w:right w:val="none" w:sz="0" w:space="0" w:color="auto"/>
      </w:divBdr>
    </w:div>
    <w:div w:id="82191956">
      <w:bodyDiv w:val="1"/>
      <w:marLeft w:val="0"/>
      <w:marRight w:val="0"/>
      <w:marTop w:val="0"/>
      <w:marBottom w:val="0"/>
      <w:divBdr>
        <w:top w:val="none" w:sz="0" w:space="0" w:color="auto"/>
        <w:left w:val="none" w:sz="0" w:space="0" w:color="auto"/>
        <w:bottom w:val="none" w:sz="0" w:space="0" w:color="auto"/>
        <w:right w:val="none" w:sz="0" w:space="0" w:color="auto"/>
      </w:divBdr>
    </w:div>
    <w:div w:id="82266697">
      <w:bodyDiv w:val="1"/>
      <w:marLeft w:val="0"/>
      <w:marRight w:val="0"/>
      <w:marTop w:val="0"/>
      <w:marBottom w:val="0"/>
      <w:divBdr>
        <w:top w:val="none" w:sz="0" w:space="0" w:color="auto"/>
        <w:left w:val="none" w:sz="0" w:space="0" w:color="auto"/>
        <w:bottom w:val="none" w:sz="0" w:space="0" w:color="auto"/>
        <w:right w:val="none" w:sz="0" w:space="0" w:color="auto"/>
      </w:divBdr>
    </w:div>
    <w:div w:id="82605399">
      <w:bodyDiv w:val="1"/>
      <w:marLeft w:val="0"/>
      <w:marRight w:val="0"/>
      <w:marTop w:val="0"/>
      <w:marBottom w:val="0"/>
      <w:divBdr>
        <w:top w:val="none" w:sz="0" w:space="0" w:color="auto"/>
        <w:left w:val="none" w:sz="0" w:space="0" w:color="auto"/>
        <w:bottom w:val="none" w:sz="0" w:space="0" w:color="auto"/>
        <w:right w:val="none" w:sz="0" w:space="0" w:color="auto"/>
      </w:divBdr>
    </w:div>
    <w:div w:id="83115857">
      <w:bodyDiv w:val="1"/>
      <w:marLeft w:val="0"/>
      <w:marRight w:val="0"/>
      <w:marTop w:val="0"/>
      <w:marBottom w:val="0"/>
      <w:divBdr>
        <w:top w:val="none" w:sz="0" w:space="0" w:color="auto"/>
        <w:left w:val="none" w:sz="0" w:space="0" w:color="auto"/>
        <w:bottom w:val="none" w:sz="0" w:space="0" w:color="auto"/>
        <w:right w:val="none" w:sz="0" w:space="0" w:color="auto"/>
      </w:divBdr>
    </w:div>
    <w:div w:id="83183905">
      <w:bodyDiv w:val="1"/>
      <w:marLeft w:val="0"/>
      <w:marRight w:val="0"/>
      <w:marTop w:val="0"/>
      <w:marBottom w:val="0"/>
      <w:divBdr>
        <w:top w:val="none" w:sz="0" w:space="0" w:color="auto"/>
        <w:left w:val="none" w:sz="0" w:space="0" w:color="auto"/>
        <w:bottom w:val="none" w:sz="0" w:space="0" w:color="auto"/>
        <w:right w:val="none" w:sz="0" w:space="0" w:color="auto"/>
      </w:divBdr>
    </w:div>
    <w:div w:id="83233370">
      <w:bodyDiv w:val="1"/>
      <w:marLeft w:val="0"/>
      <w:marRight w:val="0"/>
      <w:marTop w:val="0"/>
      <w:marBottom w:val="0"/>
      <w:divBdr>
        <w:top w:val="none" w:sz="0" w:space="0" w:color="auto"/>
        <w:left w:val="none" w:sz="0" w:space="0" w:color="auto"/>
        <w:bottom w:val="none" w:sz="0" w:space="0" w:color="auto"/>
        <w:right w:val="none" w:sz="0" w:space="0" w:color="auto"/>
      </w:divBdr>
    </w:div>
    <w:div w:id="83456439">
      <w:bodyDiv w:val="1"/>
      <w:marLeft w:val="0"/>
      <w:marRight w:val="0"/>
      <w:marTop w:val="0"/>
      <w:marBottom w:val="0"/>
      <w:divBdr>
        <w:top w:val="none" w:sz="0" w:space="0" w:color="auto"/>
        <w:left w:val="none" w:sz="0" w:space="0" w:color="auto"/>
        <w:bottom w:val="none" w:sz="0" w:space="0" w:color="auto"/>
        <w:right w:val="none" w:sz="0" w:space="0" w:color="auto"/>
      </w:divBdr>
    </w:div>
    <w:div w:id="83651529">
      <w:bodyDiv w:val="1"/>
      <w:marLeft w:val="0"/>
      <w:marRight w:val="0"/>
      <w:marTop w:val="0"/>
      <w:marBottom w:val="0"/>
      <w:divBdr>
        <w:top w:val="none" w:sz="0" w:space="0" w:color="auto"/>
        <w:left w:val="none" w:sz="0" w:space="0" w:color="auto"/>
        <w:bottom w:val="none" w:sz="0" w:space="0" w:color="auto"/>
        <w:right w:val="none" w:sz="0" w:space="0" w:color="auto"/>
      </w:divBdr>
    </w:div>
    <w:div w:id="84111224">
      <w:bodyDiv w:val="1"/>
      <w:marLeft w:val="0"/>
      <w:marRight w:val="0"/>
      <w:marTop w:val="0"/>
      <w:marBottom w:val="0"/>
      <w:divBdr>
        <w:top w:val="none" w:sz="0" w:space="0" w:color="auto"/>
        <w:left w:val="none" w:sz="0" w:space="0" w:color="auto"/>
        <w:bottom w:val="none" w:sz="0" w:space="0" w:color="auto"/>
        <w:right w:val="none" w:sz="0" w:space="0" w:color="auto"/>
      </w:divBdr>
    </w:div>
    <w:div w:id="84347898">
      <w:bodyDiv w:val="1"/>
      <w:marLeft w:val="0"/>
      <w:marRight w:val="0"/>
      <w:marTop w:val="0"/>
      <w:marBottom w:val="0"/>
      <w:divBdr>
        <w:top w:val="none" w:sz="0" w:space="0" w:color="auto"/>
        <w:left w:val="none" w:sz="0" w:space="0" w:color="auto"/>
        <w:bottom w:val="none" w:sz="0" w:space="0" w:color="auto"/>
        <w:right w:val="none" w:sz="0" w:space="0" w:color="auto"/>
      </w:divBdr>
    </w:div>
    <w:div w:id="85537198">
      <w:bodyDiv w:val="1"/>
      <w:marLeft w:val="0"/>
      <w:marRight w:val="0"/>
      <w:marTop w:val="0"/>
      <w:marBottom w:val="0"/>
      <w:divBdr>
        <w:top w:val="none" w:sz="0" w:space="0" w:color="auto"/>
        <w:left w:val="none" w:sz="0" w:space="0" w:color="auto"/>
        <w:bottom w:val="none" w:sz="0" w:space="0" w:color="auto"/>
        <w:right w:val="none" w:sz="0" w:space="0" w:color="auto"/>
      </w:divBdr>
    </w:div>
    <w:div w:id="85663055">
      <w:bodyDiv w:val="1"/>
      <w:marLeft w:val="0"/>
      <w:marRight w:val="0"/>
      <w:marTop w:val="0"/>
      <w:marBottom w:val="0"/>
      <w:divBdr>
        <w:top w:val="none" w:sz="0" w:space="0" w:color="auto"/>
        <w:left w:val="none" w:sz="0" w:space="0" w:color="auto"/>
        <w:bottom w:val="none" w:sz="0" w:space="0" w:color="auto"/>
        <w:right w:val="none" w:sz="0" w:space="0" w:color="auto"/>
      </w:divBdr>
    </w:div>
    <w:div w:id="85810968">
      <w:bodyDiv w:val="1"/>
      <w:marLeft w:val="0"/>
      <w:marRight w:val="0"/>
      <w:marTop w:val="0"/>
      <w:marBottom w:val="0"/>
      <w:divBdr>
        <w:top w:val="none" w:sz="0" w:space="0" w:color="auto"/>
        <w:left w:val="none" w:sz="0" w:space="0" w:color="auto"/>
        <w:bottom w:val="none" w:sz="0" w:space="0" w:color="auto"/>
        <w:right w:val="none" w:sz="0" w:space="0" w:color="auto"/>
      </w:divBdr>
    </w:div>
    <w:div w:id="86007072">
      <w:bodyDiv w:val="1"/>
      <w:marLeft w:val="0"/>
      <w:marRight w:val="0"/>
      <w:marTop w:val="0"/>
      <w:marBottom w:val="0"/>
      <w:divBdr>
        <w:top w:val="none" w:sz="0" w:space="0" w:color="auto"/>
        <w:left w:val="none" w:sz="0" w:space="0" w:color="auto"/>
        <w:bottom w:val="none" w:sz="0" w:space="0" w:color="auto"/>
        <w:right w:val="none" w:sz="0" w:space="0" w:color="auto"/>
      </w:divBdr>
    </w:div>
    <w:div w:id="86538739">
      <w:bodyDiv w:val="1"/>
      <w:marLeft w:val="0"/>
      <w:marRight w:val="0"/>
      <w:marTop w:val="0"/>
      <w:marBottom w:val="0"/>
      <w:divBdr>
        <w:top w:val="none" w:sz="0" w:space="0" w:color="auto"/>
        <w:left w:val="none" w:sz="0" w:space="0" w:color="auto"/>
        <w:bottom w:val="none" w:sz="0" w:space="0" w:color="auto"/>
        <w:right w:val="none" w:sz="0" w:space="0" w:color="auto"/>
      </w:divBdr>
    </w:div>
    <w:div w:id="86653177">
      <w:bodyDiv w:val="1"/>
      <w:marLeft w:val="0"/>
      <w:marRight w:val="0"/>
      <w:marTop w:val="0"/>
      <w:marBottom w:val="0"/>
      <w:divBdr>
        <w:top w:val="none" w:sz="0" w:space="0" w:color="auto"/>
        <w:left w:val="none" w:sz="0" w:space="0" w:color="auto"/>
        <w:bottom w:val="none" w:sz="0" w:space="0" w:color="auto"/>
        <w:right w:val="none" w:sz="0" w:space="0" w:color="auto"/>
      </w:divBdr>
    </w:div>
    <w:div w:id="87501815">
      <w:bodyDiv w:val="1"/>
      <w:marLeft w:val="0"/>
      <w:marRight w:val="0"/>
      <w:marTop w:val="0"/>
      <w:marBottom w:val="0"/>
      <w:divBdr>
        <w:top w:val="none" w:sz="0" w:space="0" w:color="auto"/>
        <w:left w:val="none" w:sz="0" w:space="0" w:color="auto"/>
        <w:bottom w:val="none" w:sz="0" w:space="0" w:color="auto"/>
        <w:right w:val="none" w:sz="0" w:space="0" w:color="auto"/>
      </w:divBdr>
    </w:div>
    <w:div w:id="87581315">
      <w:bodyDiv w:val="1"/>
      <w:marLeft w:val="0"/>
      <w:marRight w:val="0"/>
      <w:marTop w:val="0"/>
      <w:marBottom w:val="0"/>
      <w:divBdr>
        <w:top w:val="none" w:sz="0" w:space="0" w:color="auto"/>
        <w:left w:val="none" w:sz="0" w:space="0" w:color="auto"/>
        <w:bottom w:val="none" w:sz="0" w:space="0" w:color="auto"/>
        <w:right w:val="none" w:sz="0" w:space="0" w:color="auto"/>
      </w:divBdr>
    </w:div>
    <w:div w:id="87622903">
      <w:bodyDiv w:val="1"/>
      <w:marLeft w:val="0"/>
      <w:marRight w:val="0"/>
      <w:marTop w:val="0"/>
      <w:marBottom w:val="0"/>
      <w:divBdr>
        <w:top w:val="none" w:sz="0" w:space="0" w:color="auto"/>
        <w:left w:val="none" w:sz="0" w:space="0" w:color="auto"/>
        <w:bottom w:val="none" w:sz="0" w:space="0" w:color="auto"/>
        <w:right w:val="none" w:sz="0" w:space="0" w:color="auto"/>
      </w:divBdr>
    </w:div>
    <w:div w:id="88240773">
      <w:bodyDiv w:val="1"/>
      <w:marLeft w:val="0"/>
      <w:marRight w:val="0"/>
      <w:marTop w:val="0"/>
      <w:marBottom w:val="0"/>
      <w:divBdr>
        <w:top w:val="none" w:sz="0" w:space="0" w:color="auto"/>
        <w:left w:val="none" w:sz="0" w:space="0" w:color="auto"/>
        <w:bottom w:val="none" w:sz="0" w:space="0" w:color="auto"/>
        <w:right w:val="none" w:sz="0" w:space="0" w:color="auto"/>
      </w:divBdr>
    </w:div>
    <w:div w:id="88427532">
      <w:bodyDiv w:val="1"/>
      <w:marLeft w:val="0"/>
      <w:marRight w:val="0"/>
      <w:marTop w:val="0"/>
      <w:marBottom w:val="0"/>
      <w:divBdr>
        <w:top w:val="none" w:sz="0" w:space="0" w:color="auto"/>
        <w:left w:val="none" w:sz="0" w:space="0" w:color="auto"/>
        <w:bottom w:val="none" w:sz="0" w:space="0" w:color="auto"/>
        <w:right w:val="none" w:sz="0" w:space="0" w:color="auto"/>
      </w:divBdr>
    </w:div>
    <w:div w:id="88745559">
      <w:bodyDiv w:val="1"/>
      <w:marLeft w:val="0"/>
      <w:marRight w:val="0"/>
      <w:marTop w:val="0"/>
      <w:marBottom w:val="0"/>
      <w:divBdr>
        <w:top w:val="none" w:sz="0" w:space="0" w:color="auto"/>
        <w:left w:val="none" w:sz="0" w:space="0" w:color="auto"/>
        <w:bottom w:val="none" w:sz="0" w:space="0" w:color="auto"/>
        <w:right w:val="none" w:sz="0" w:space="0" w:color="auto"/>
      </w:divBdr>
    </w:div>
    <w:div w:id="89392371">
      <w:bodyDiv w:val="1"/>
      <w:marLeft w:val="0"/>
      <w:marRight w:val="0"/>
      <w:marTop w:val="0"/>
      <w:marBottom w:val="0"/>
      <w:divBdr>
        <w:top w:val="none" w:sz="0" w:space="0" w:color="auto"/>
        <w:left w:val="none" w:sz="0" w:space="0" w:color="auto"/>
        <w:bottom w:val="none" w:sz="0" w:space="0" w:color="auto"/>
        <w:right w:val="none" w:sz="0" w:space="0" w:color="auto"/>
      </w:divBdr>
    </w:div>
    <w:div w:id="89469736">
      <w:bodyDiv w:val="1"/>
      <w:marLeft w:val="0"/>
      <w:marRight w:val="0"/>
      <w:marTop w:val="0"/>
      <w:marBottom w:val="0"/>
      <w:divBdr>
        <w:top w:val="none" w:sz="0" w:space="0" w:color="auto"/>
        <w:left w:val="none" w:sz="0" w:space="0" w:color="auto"/>
        <w:bottom w:val="none" w:sz="0" w:space="0" w:color="auto"/>
        <w:right w:val="none" w:sz="0" w:space="0" w:color="auto"/>
      </w:divBdr>
    </w:div>
    <w:div w:id="89543888">
      <w:bodyDiv w:val="1"/>
      <w:marLeft w:val="0"/>
      <w:marRight w:val="0"/>
      <w:marTop w:val="0"/>
      <w:marBottom w:val="0"/>
      <w:divBdr>
        <w:top w:val="none" w:sz="0" w:space="0" w:color="auto"/>
        <w:left w:val="none" w:sz="0" w:space="0" w:color="auto"/>
        <w:bottom w:val="none" w:sz="0" w:space="0" w:color="auto"/>
        <w:right w:val="none" w:sz="0" w:space="0" w:color="auto"/>
      </w:divBdr>
    </w:div>
    <w:div w:id="90398340">
      <w:bodyDiv w:val="1"/>
      <w:marLeft w:val="0"/>
      <w:marRight w:val="0"/>
      <w:marTop w:val="0"/>
      <w:marBottom w:val="0"/>
      <w:divBdr>
        <w:top w:val="none" w:sz="0" w:space="0" w:color="auto"/>
        <w:left w:val="none" w:sz="0" w:space="0" w:color="auto"/>
        <w:bottom w:val="none" w:sz="0" w:space="0" w:color="auto"/>
        <w:right w:val="none" w:sz="0" w:space="0" w:color="auto"/>
      </w:divBdr>
    </w:div>
    <w:div w:id="90467903">
      <w:bodyDiv w:val="1"/>
      <w:marLeft w:val="0"/>
      <w:marRight w:val="0"/>
      <w:marTop w:val="0"/>
      <w:marBottom w:val="0"/>
      <w:divBdr>
        <w:top w:val="none" w:sz="0" w:space="0" w:color="auto"/>
        <w:left w:val="none" w:sz="0" w:space="0" w:color="auto"/>
        <w:bottom w:val="none" w:sz="0" w:space="0" w:color="auto"/>
        <w:right w:val="none" w:sz="0" w:space="0" w:color="auto"/>
      </w:divBdr>
    </w:div>
    <w:div w:id="90513297">
      <w:bodyDiv w:val="1"/>
      <w:marLeft w:val="0"/>
      <w:marRight w:val="0"/>
      <w:marTop w:val="0"/>
      <w:marBottom w:val="0"/>
      <w:divBdr>
        <w:top w:val="none" w:sz="0" w:space="0" w:color="auto"/>
        <w:left w:val="none" w:sz="0" w:space="0" w:color="auto"/>
        <w:bottom w:val="none" w:sz="0" w:space="0" w:color="auto"/>
        <w:right w:val="none" w:sz="0" w:space="0" w:color="auto"/>
      </w:divBdr>
    </w:div>
    <w:div w:id="90855744">
      <w:bodyDiv w:val="1"/>
      <w:marLeft w:val="0"/>
      <w:marRight w:val="0"/>
      <w:marTop w:val="0"/>
      <w:marBottom w:val="0"/>
      <w:divBdr>
        <w:top w:val="none" w:sz="0" w:space="0" w:color="auto"/>
        <w:left w:val="none" w:sz="0" w:space="0" w:color="auto"/>
        <w:bottom w:val="none" w:sz="0" w:space="0" w:color="auto"/>
        <w:right w:val="none" w:sz="0" w:space="0" w:color="auto"/>
      </w:divBdr>
    </w:div>
    <w:div w:id="90904461">
      <w:bodyDiv w:val="1"/>
      <w:marLeft w:val="0"/>
      <w:marRight w:val="0"/>
      <w:marTop w:val="0"/>
      <w:marBottom w:val="0"/>
      <w:divBdr>
        <w:top w:val="none" w:sz="0" w:space="0" w:color="auto"/>
        <w:left w:val="none" w:sz="0" w:space="0" w:color="auto"/>
        <w:bottom w:val="none" w:sz="0" w:space="0" w:color="auto"/>
        <w:right w:val="none" w:sz="0" w:space="0" w:color="auto"/>
      </w:divBdr>
    </w:div>
    <w:div w:id="91364737">
      <w:bodyDiv w:val="1"/>
      <w:marLeft w:val="0"/>
      <w:marRight w:val="0"/>
      <w:marTop w:val="0"/>
      <w:marBottom w:val="0"/>
      <w:divBdr>
        <w:top w:val="none" w:sz="0" w:space="0" w:color="auto"/>
        <w:left w:val="none" w:sz="0" w:space="0" w:color="auto"/>
        <w:bottom w:val="none" w:sz="0" w:space="0" w:color="auto"/>
        <w:right w:val="none" w:sz="0" w:space="0" w:color="auto"/>
      </w:divBdr>
    </w:div>
    <w:div w:id="91781614">
      <w:bodyDiv w:val="1"/>
      <w:marLeft w:val="0"/>
      <w:marRight w:val="0"/>
      <w:marTop w:val="0"/>
      <w:marBottom w:val="0"/>
      <w:divBdr>
        <w:top w:val="none" w:sz="0" w:space="0" w:color="auto"/>
        <w:left w:val="none" w:sz="0" w:space="0" w:color="auto"/>
        <w:bottom w:val="none" w:sz="0" w:space="0" w:color="auto"/>
        <w:right w:val="none" w:sz="0" w:space="0" w:color="auto"/>
      </w:divBdr>
    </w:div>
    <w:div w:id="92098317">
      <w:bodyDiv w:val="1"/>
      <w:marLeft w:val="0"/>
      <w:marRight w:val="0"/>
      <w:marTop w:val="0"/>
      <w:marBottom w:val="0"/>
      <w:divBdr>
        <w:top w:val="none" w:sz="0" w:space="0" w:color="auto"/>
        <w:left w:val="none" w:sz="0" w:space="0" w:color="auto"/>
        <w:bottom w:val="none" w:sz="0" w:space="0" w:color="auto"/>
        <w:right w:val="none" w:sz="0" w:space="0" w:color="auto"/>
      </w:divBdr>
    </w:div>
    <w:div w:id="92286580">
      <w:bodyDiv w:val="1"/>
      <w:marLeft w:val="0"/>
      <w:marRight w:val="0"/>
      <w:marTop w:val="0"/>
      <w:marBottom w:val="0"/>
      <w:divBdr>
        <w:top w:val="none" w:sz="0" w:space="0" w:color="auto"/>
        <w:left w:val="none" w:sz="0" w:space="0" w:color="auto"/>
        <w:bottom w:val="none" w:sz="0" w:space="0" w:color="auto"/>
        <w:right w:val="none" w:sz="0" w:space="0" w:color="auto"/>
      </w:divBdr>
    </w:div>
    <w:div w:id="92670360">
      <w:bodyDiv w:val="1"/>
      <w:marLeft w:val="0"/>
      <w:marRight w:val="0"/>
      <w:marTop w:val="0"/>
      <w:marBottom w:val="0"/>
      <w:divBdr>
        <w:top w:val="none" w:sz="0" w:space="0" w:color="auto"/>
        <w:left w:val="none" w:sz="0" w:space="0" w:color="auto"/>
        <w:bottom w:val="none" w:sz="0" w:space="0" w:color="auto"/>
        <w:right w:val="none" w:sz="0" w:space="0" w:color="auto"/>
      </w:divBdr>
    </w:div>
    <w:div w:id="92871567">
      <w:bodyDiv w:val="1"/>
      <w:marLeft w:val="0"/>
      <w:marRight w:val="0"/>
      <w:marTop w:val="0"/>
      <w:marBottom w:val="0"/>
      <w:divBdr>
        <w:top w:val="none" w:sz="0" w:space="0" w:color="auto"/>
        <w:left w:val="none" w:sz="0" w:space="0" w:color="auto"/>
        <w:bottom w:val="none" w:sz="0" w:space="0" w:color="auto"/>
        <w:right w:val="none" w:sz="0" w:space="0" w:color="auto"/>
      </w:divBdr>
    </w:div>
    <w:div w:id="93281864">
      <w:bodyDiv w:val="1"/>
      <w:marLeft w:val="0"/>
      <w:marRight w:val="0"/>
      <w:marTop w:val="0"/>
      <w:marBottom w:val="0"/>
      <w:divBdr>
        <w:top w:val="none" w:sz="0" w:space="0" w:color="auto"/>
        <w:left w:val="none" w:sz="0" w:space="0" w:color="auto"/>
        <w:bottom w:val="none" w:sz="0" w:space="0" w:color="auto"/>
        <w:right w:val="none" w:sz="0" w:space="0" w:color="auto"/>
      </w:divBdr>
    </w:div>
    <w:div w:id="93480422">
      <w:bodyDiv w:val="1"/>
      <w:marLeft w:val="0"/>
      <w:marRight w:val="0"/>
      <w:marTop w:val="0"/>
      <w:marBottom w:val="0"/>
      <w:divBdr>
        <w:top w:val="none" w:sz="0" w:space="0" w:color="auto"/>
        <w:left w:val="none" w:sz="0" w:space="0" w:color="auto"/>
        <w:bottom w:val="none" w:sz="0" w:space="0" w:color="auto"/>
        <w:right w:val="none" w:sz="0" w:space="0" w:color="auto"/>
      </w:divBdr>
    </w:div>
    <w:div w:id="93672885">
      <w:bodyDiv w:val="1"/>
      <w:marLeft w:val="0"/>
      <w:marRight w:val="0"/>
      <w:marTop w:val="0"/>
      <w:marBottom w:val="0"/>
      <w:divBdr>
        <w:top w:val="none" w:sz="0" w:space="0" w:color="auto"/>
        <w:left w:val="none" w:sz="0" w:space="0" w:color="auto"/>
        <w:bottom w:val="none" w:sz="0" w:space="0" w:color="auto"/>
        <w:right w:val="none" w:sz="0" w:space="0" w:color="auto"/>
      </w:divBdr>
    </w:div>
    <w:div w:id="93870369">
      <w:bodyDiv w:val="1"/>
      <w:marLeft w:val="0"/>
      <w:marRight w:val="0"/>
      <w:marTop w:val="0"/>
      <w:marBottom w:val="0"/>
      <w:divBdr>
        <w:top w:val="none" w:sz="0" w:space="0" w:color="auto"/>
        <w:left w:val="none" w:sz="0" w:space="0" w:color="auto"/>
        <w:bottom w:val="none" w:sz="0" w:space="0" w:color="auto"/>
        <w:right w:val="none" w:sz="0" w:space="0" w:color="auto"/>
      </w:divBdr>
    </w:div>
    <w:div w:id="93942910">
      <w:bodyDiv w:val="1"/>
      <w:marLeft w:val="0"/>
      <w:marRight w:val="0"/>
      <w:marTop w:val="0"/>
      <w:marBottom w:val="0"/>
      <w:divBdr>
        <w:top w:val="none" w:sz="0" w:space="0" w:color="auto"/>
        <w:left w:val="none" w:sz="0" w:space="0" w:color="auto"/>
        <w:bottom w:val="none" w:sz="0" w:space="0" w:color="auto"/>
        <w:right w:val="none" w:sz="0" w:space="0" w:color="auto"/>
      </w:divBdr>
    </w:div>
    <w:div w:id="93944282">
      <w:bodyDiv w:val="1"/>
      <w:marLeft w:val="0"/>
      <w:marRight w:val="0"/>
      <w:marTop w:val="0"/>
      <w:marBottom w:val="0"/>
      <w:divBdr>
        <w:top w:val="none" w:sz="0" w:space="0" w:color="auto"/>
        <w:left w:val="none" w:sz="0" w:space="0" w:color="auto"/>
        <w:bottom w:val="none" w:sz="0" w:space="0" w:color="auto"/>
        <w:right w:val="none" w:sz="0" w:space="0" w:color="auto"/>
      </w:divBdr>
    </w:div>
    <w:div w:id="94642438">
      <w:bodyDiv w:val="1"/>
      <w:marLeft w:val="0"/>
      <w:marRight w:val="0"/>
      <w:marTop w:val="0"/>
      <w:marBottom w:val="0"/>
      <w:divBdr>
        <w:top w:val="none" w:sz="0" w:space="0" w:color="auto"/>
        <w:left w:val="none" w:sz="0" w:space="0" w:color="auto"/>
        <w:bottom w:val="none" w:sz="0" w:space="0" w:color="auto"/>
        <w:right w:val="none" w:sz="0" w:space="0" w:color="auto"/>
      </w:divBdr>
    </w:div>
    <w:div w:id="94788718">
      <w:bodyDiv w:val="1"/>
      <w:marLeft w:val="0"/>
      <w:marRight w:val="0"/>
      <w:marTop w:val="0"/>
      <w:marBottom w:val="0"/>
      <w:divBdr>
        <w:top w:val="none" w:sz="0" w:space="0" w:color="auto"/>
        <w:left w:val="none" w:sz="0" w:space="0" w:color="auto"/>
        <w:bottom w:val="none" w:sz="0" w:space="0" w:color="auto"/>
        <w:right w:val="none" w:sz="0" w:space="0" w:color="auto"/>
      </w:divBdr>
    </w:div>
    <w:div w:id="94984449">
      <w:bodyDiv w:val="1"/>
      <w:marLeft w:val="0"/>
      <w:marRight w:val="0"/>
      <w:marTop w:val="0"/>
      <w:marBottom w:val="0"/>
      <w:divBdr>
        <w:top w:val="none" w:sz="0" w:space="0" w:color="auto"/>
        <w:left w:val="none" w:sz="0" w:space="0" w:color="auto"/>
        <w:bottom w:val="none" w:sz="0" w:space="0" w:color="auto"/>
        <w:right w:val="none" w:sz="0" w:space="0" w:color="auto"/>
      </w:divBdr>
    </w:div>
    <w:div w:id="95296016">
      <w:bodyDiv w:val="1"/>
      <w:marLeft w:val="0"/>
      <w:marRight w:val="0"/>
      <w:marTop w:val="0"/>
      <w:marBottom w:val="0"/>
      <w:divBdr>
        <w:top w:val="none" w:sz="0" w:space="0" w:color="auto"/>
        <w:left w:val="none" w:sz="0" w:space="0" w:color="auto"/>
        <w:bottom w:val="none" w:sz="0" w:space="0" w:color="auto"/>
        <w:right w:val="none" w:sz="0" w:space="0" w:color="auto"/>
      </w:divBdr>
    </w:div>
    <w:div w:id="95372277">
      <w:bodyDiv w:val="1"/>
      <w:marLeft w:val="0"/>
      <w:marRight w:val="0"/>
      <w:marTop w:val="0"/>
      <w:marBottom w:val="0"/>
      <w:divBdr>
        <w:top w:val="none" w:sz="0" w:space="0" w:color="auto"/>
        <w:left w:val="none" w:sz="0" w:space="0" w:color="auto"/>
        <w:bottom w:val="none" w:sz="0" w:space="0" w:color="auto"/>
        <w:right w:val="none" w:sz="0" w:space="0" w:color="auto"/>
      </w:divBdr>
    </w:div>
    <w:div w:id="95565246">
      <w:bodyDiv w:val="1"/>
      <w:marLeft w:val="0"/>
      <w:marRight w:val="0"/>
      <w:marTop w:val="0"/>
      <w:marBottom w:val="0"/>
      <w:divBdr>
        <w:top w:val="none" w:sz="0" w:space="0" w:color="auto"/>
        <w:left w:val="none" w:sz="0" w:space="0" w:color="auto"/>
        <w:bottom w:val="none" w:sz="0" w:space="0" w:color="auto"/>
        <w:right w:val="none" w:sz="0" w:space="0" w:color="auto"/>
      </w:divBdr>
    </w:div>
    <w:div w:id="96028711">
      <w:bodyDiv w:val="1"/>
      <w:marLeft w:val="0"/>
      <w:marRight w:val="0"/>
      <w:marTop w:val="0"/>
      <w:marBottom w:val="0"/>
      <w:divBdr>
        <w:top w:val="none" w:sz="0" w:space="0" w:color="auto"/>
        <w:left w:val="none" w:sz="0" w:space="0" w:color="auto"/>
        <w:bottom w:val="none" w:sz="0" w:space="0" w:color="auto"/>
        <w:right w:val="none" w:sz="0" w:space="0" w:color="auto"/>
      </w:divBdr>
    </w:div>
    <w:div w:id="96147458">
      <w:bodyDiv w:val="1"/>
      <w:marLeft w:val="0"/>
      <w:marRight w:val="0"/>
      <w:marTop w:val="0"/>
      <w:marBottom w:val="0"/>
      <w:divBdr>
        <w:top w:val="none" w:sz="0" w:space="0" w:color="auto"/>
        <w:left w:val="none" w:sz="0" w:space="0" w:color="auto"/>
        <w:bottom w:val="none" w:sz="0" w:space="0" w:color="auto"/>
        <w:right w:val="none" w:sz="0" w:space="0" w:color="auto"/>
      </w:divBdr>
    </w:div>
    <w:div w:id="96678159">
      <w:bodyDiv w:val="1"/>
      <w:marLeft w:val="0"/>
      <w:marRight w:val="0"/>
      <w:marTop w:val="0"/>
      <w:marBottom w:val="0"/>
      <w:divBdr>
        <w:top w:val="none" w:sz="0" w:space="0" w:color="auto"/>
        <w:left w:val="none" w:sz="0" w:space="0" w:color="auto"/>
        <w:bottom w:val="none" w:sz="0" w:space="0" w:color="auto"/>
        <w:right w:val="none" w:sz="0" w:space="0" w:color="auto"/>
      </w:divBdr>
    </w:div>
    <w:div w:id="97021858">
      <w:bodyDiv w:val="1"/>
      <w:marLeft w:val="0"/>
      <w:marRight w:val="0"/>
      <w:marTop w:val="0"/>
      <w:marBottom w:val="0"/>
      <w:divBdr>
        <w:top w:val="none" w:sz="0" w:space="0" w:color="auto"/>
        <w:left w:val="none" w:sz="0" w:space="0" w:color="auto"/>
        <w:bottom w:val="none" w:sz="0" w:space="0" w:color="auto"/>
        <w:right w:val="none" w:sz="0" w:space="0" w:color="auto"/>
      </w:divBdr>
    </w:div>
    <w:div w:id="97531424">
      <w:bodyDiv w:val="1"/>
      <w:marLeft w:val="0"/>
      <w:marRight w:val="0"/>
      <w:marTop w:val="0"/>
      <w:marBottom w:val="0"/>
      <w:divBdr>
        <w:top w:val="none" w:sz="0" w:space="0" w:color="auto"/>
        <w:left w:val="none" w:sz="0" w:space="0" w:color="auto"/>
        <w:bottom w:val="none" w:sz="0" w:space="0" w:color="auto"/>
        <w:right w:val="none" w:sz="0" w:space="0" w:color="auto"/>
      </w:divBdr>
    </w:div>
    <w:div w:id="97532045">
      <w:bodyDiv w:val="1"/>
      <w:marLeft w:val="0"/>
      <w:marRight w:val="0"/>
      <w:marTop w:val="0"/>
      <w:marBottom w:val="0"/>
      <w:divBdr>
        <w:top w:val="none" w:sz="0" w:space="0" w:color="auto"/>
        <w:left w:val="none" w:sz="0" w:space="0" w:color="auto"/>
        <w:bottom w:val="none" w:sz="0" w:space="0" w:color="auto"/>
        <w:right w:val="none" w:sz="0" w:space="0" w:color="auto"/>
      </w:divBdr>
    </w:div>
    <w:div w:id="97794919">
      <w:bodyDiv w:val="1"/>
      <w:marLeft w:val="0"/>
      <w:marRight w:val="0"/>
      <w:marTop w:val="0"/>
      <w:marBottom w:val="0"/>
      <w:divBdr>
        <w:top w:val="none" w:sz="0" w:space="0" w:color="auto"/>
        <w:left w:val="none" w:sz="0" w:space="0" w:color="auto"/>
        <w:bottom w:val="none" w:sz="0" w:space="0" w:color="auto"/>
        <w:right w:val="none" w:sz="0" w:space="0" w:color="auto"/>
      </w:divBdr>
    </w:div>
    <w:div w:id="97916735">
      <w:bodyDiv w:val="1"/>
      <w:marLeft w:val="0"/>
      <w:marRight w:val="0"/>
      <w:marTop w:val="0"/>
      <w:marBottom w:val="0"/>
      <w:divBdr>
        <w:top w:val="none" w:sz="0" w:space="0" w:color="auto"/>
        <w:left w:val="none" w:sz="0" w:space="0" w:color="auto"/>
        <w:bottom w:val="none" w:sz="0" w:space="0" w:color="auto"/>
        <w:right w:val="none" w:sz="0" w:space="0" w:color="auto"/>
      </w:divBdr>
    </w:div>
    <w:div w:id="98069985">
      <w:bodyDiv w:val="1"/>
      <w:marLeft w:val="0"/>
      <w:marRight w:val="0"/>
      <w:marTop w:val="0"/>
      <w:marBottom w:val="0"/>
      <w:divBdr>
        <w:top w:val="none" w:sz="0" w:space="0" w:color="auto"/>
        <w:left w:val="none" w:sz="0" w:space="0" w:color="auto"/>
        <w:bottom w:val="none" w:sz="0" w:space="0" w:color="auto"/>
        <w:right w:val="none" w:sz="0" w:space="0" w:color="auto"/>
      </w:divBdr>
    </w:div>
    <w:div w:id="98842710">
      <w:bodyDiv w:val="1"/>
      <w:marLeft w:val="0"/>
      <w:marRight w:val="0"/>
      <w:marTop w:val="0"/>
      <w:marBottom w:val="0"/>
      <w:divBdr>
        <w:top w:val="none" w:sz="0" w:space="0" w:color="auto"/>
        <w:left w:val="none" w:sz="0" w:space="0" w:color="auto"/>
        <w:bottom w:val="none" w:sz="0" w:space="0" w:color="auto"/>
        <w:right w:val="none" w:sz="0" w:space="0" w:color="auto"/>
      </w:divBdr>
    </w:div>
    <w:div w:id="98844109">
      <w:bodyDiv w:val="1"/>
      <w:marLeft w:val="0"/>
      <w:marRight w:val="0"/>
      <w:marTop w:val="0"/>
      <w:marBottom w:val="0"/>
      <w:divBdr>
        <w:top w:val="none" w:sz="0" w:space="0" w:color="auto"/>
        <w:left w:val="none" w:sz="0" w:space="0" w:color="auto"/>
        <w:bottom w:val="none" w:sz="0" w:space="0" w:color="auto"/>
        <w:right w:val="none" w:sz="0" w:space="0" w:color="auto"/>
      </w:divBdr>
    </w:div>
    <w:div w:id="99031539">
      <w:bodyDiv w:val="1"/>
      <w:marLeft w:val="0"/>
      <w:marRight w:val="0"/>
      <w:marTop w:val="0"/>
      <w:marBottom w:val="0"/>
      <w:divBdr>
        <w:top w:val="none" w:sz="0" w:space="0" w:color="auto"/>
        <w:left w:val="none" w:sz="0" w:space="0" w:color="auto"/>
        <w:bottom w:val="none" w:sz="0" w:space="0" w:color="auto"/>
        <w:right w:val="none" w:sz="0" w:space="0" w:color="auto"/>
      </w:divBdr>
    </w:div>
    <w:div w:id="99571696">
      <w:bodyDiv w:val="1"/>
      <w:marLeft w:val="0"/>
      <w:marRight w:val="0"/>
      <w:marTop w:val="0"/>
      <w:marBottom w:val="0"/>
      <w:divBdr>
        <w:top w:val="none" w:sz="0" w:space="0" w:color="auto"/>
        <w:left w:val="none" w:sz="0" w:space="0" w:color="auto"/>
        <w:bottom w:val="none" w:sz="0" w:space="0" w:color="auto"/>
        <w:right w:val="none" w:sz="0" w:space="0" w:color="auto"/>
      </w:divBdr>
    </w:div>
    <w:div w:id="99836385">
      <w:bodyDiv w:val="1"/>
      <w:marLeft w:val="0"/>
      <w:marRight w:val="0"/>
      <w:marTop w:val="0"/>
      <w:marBottom w:val="0"/>
      <w:divBdr>
        <w:top w:val="none" w:sz="0" w:space="0" w:color="auto"/>
        <w:left w:val="none" w:sz="0" w:space="0" w:color="auto"/>
        <w:bottom w:val="none" w:sz="0" w:space="0" w:color="auto"/>
        <w:right w:val="none" w:sz="0" w:space="0" w:color="auto"/>
      </w:divBdr>
    </w:div>
    <w:div w:id="100494158">
      <w:bodyDiv w:val="1"/>
      <w:marLeft w:val="0"/>
      <w:marRight w:val="0"/>
      <w:marTop w:val="0"/>
      <w:marBottom w:val="0"/>
      <w:divBdr>
        <w:top w:val="none" w:sz="0" w:space="0" w:color="auto"/>
        <w:left w:val="none" w:sz="0" w:space="0" w:color="auto"/>
        <w:bottom w:val="none" w:sz="0" w:space="0" w:color="auto"/>
        <w:right w:val="none" w:sz="0" w:space="0" w:color="auto"/>
      </w:divBdr>
    </w:div>
    <w:div w:id="100683461">
      <w:bodyDiv w:val="1"/>
      <w:marLeft w:val="0"/>
      <w:marRight w:val="0"/>
      <w:marTop w:val="0"/>
      <w:marBottom w:val="0"/>
      <w:divBdr>
        <w:top w:val="none" w:sz="0" w:space="0" w:color="auto"/>
        <w:left w:val="none" w:sz="0" w:space="0" w:color="auto"/>
        <w:bottom w:val="none" w:sz="0" w:space="0" w:color="auto"/>
        <w:right w:val="none" w:sz="0" w:space="0" w:color="auto"/>
      </w:divBdr>
    </w:div>
    <w:div w:id="101071039">
      <w:bodyDiv w:val="1"/>
      <w:marLeft w:val="0"/>
      <w:marRight w:val="0"/>
      <w:marTop w:val="0"/>
      <w:marBottom w:val="0"/>
      <w:divBdr>
        <w:top w:val="none" w:sz="0" w:space="0" w:color="auto"/>
        <w:left w:val="none" w:sz="0" w:space="0" w:color="auto"/>
        <w:bottom w:val="none" w:sz="0" w:space="0" w:color="auto"/>
        <w:right w:val="none" w:sz="0" w:space="0" w:color="auto"/>
      </w:divBdr>
    </w:div>
    <w:div w:id="101341637">
      <w:bodyDiv w:val="1"/>
      <w:marLeft w:val="0"/>
      <w:marRight w:val="0"/>
      <w:marTop w:val="0"/>
      <w:marBottom w:val="0"/>
      <w:divBdr>
        <w:top w:val="none" w:sz="0" w:space="0" w:color="auto"/>
        <w:left w:val="none" w:sz="0" w:space="0" w:color="auto"/>
        <w:bottom w:val="none" w:sz="0" w:space="0" w:color="auto"/>
        <w:right w:val="none" w:sz="0" w:space="0" w:color="auto"/>
      </w:divBdr>
    </w:div>
    <w:div w:id="101848537">
      <w:bodyDiv w:val="1"/>
      <w:marLeft w:val="0"/>
      <w:marRight w:val="0"/>
      <w:marTop w:val="0"/>
      <w:marBottom w:val="0"/>
      <w:divBdr>
        <w:top w:val="none" w:sz="0" w:space="0" w:color="auto"/>
        <w:left w:val="none" w:sz="0" w:space="0" w:color="auto"/>
        <w:bottom w:val="none" w:sz="0" w:space="0" w:color="auto"/>
        <w:right w:val="none" w:sz="0" w:space="0" w:color="auto"/>
      </w:divBdr>
    </w:div>
    <w:div w:id="101924444">
      <w:bodyDiv w:val="1"/>
      <w:marLeft w:val="0"/>
      <w:marRight w:val="0"/>
      <w:marTop w:val="0"/>
      <w:marBottom w:val="0"/>
      <w:divBdr>
        <w:top w:val="none" w:sz="0" w:space="0" w:color="auto"/>
        <w:left w:val="none" w:sz="0" w:space="0" w:color="auto"/>
        <w:bottom w:val="none" w:sz="0" w:space="0" w:color="auto"/>
        <w:right w:val="none" w:sz="0" w:space="0" w:color="auto"/>
      </w:divBdr>
    </w:div>
    <w:div w:id="102850136">
      <w:bodyDiv w:val="1"/>
      <w:marLeft w:val="0"/>
      <w:marRight w:val="0"/>
      <w:marTop w:val="0"/>
      <w:marBottom w:val="0"/>
      <w:divBdr>
        <w:top w:val="none" w:sz="0" w:space="0" w:color="auto"/>
        <w:left w:val="none" w:sz="0" w:space="0" w:color="auto"/>
        <w:bottom w:val="none" w:sz="0" w:space="0" w:color="auto"/>
        <w:right w:val="none" w:sz="0" w:space="0" w:color="auto"/>
      </w:divBdr>
    </w:div>
    <w:div w:id="102962980">
      <w:bodyDiv w:val="1"/>
      <w:marLeft w:val="0"/>
      <w:marRight w:val="0"/>
      <w:marTop w:val="0"/>
      <w:marBottom w:val="0"/>
      <w:divBdr>
        <w:top w:val="none" w:sz="0" w:space="0" w:color="auto"/>
        <w:left w:val="none" w:sz="0" w:space="0" w:color="auto"/>
        <w:bottom w:val="none" w:sz="0" w:space="0" w:color="auto"/>
        <w:right w:val="none" w:sz="0" w:space="0" w:color="auto"/>
      </w:divBdr>
    </w:div>
    <w:div w:id="102966131">
      <w:bodyDiv w:val="1"/>
      <w:marLeft w:val="0"/>
      <w:marRight w:val="0"/>
      <w:marTop w:val="0"/>
      <w:marBottom w:val="0"/>
      <w:divBdr>
        <w:top w:val="none" w:sz="0" w:space="0" w:color="auto"/>
        <w:left w:val="none" w:sz="0" w:space="0" w:color="auto"/>
        <w:bottom w:val="none" w:sz="0" w:space="0" w:color="auto"/>
        <w:right w:val="none" w:sz="0" w:space="0" w:color="auto"/>
      </w:divBdr>
    </w:div>
    <w:div w:id="103118426">
      <w:bodyDiv w:val="1"/>
      <w:marLeft w:val="0"/>
      <w:marRight w:val="0"/>
      <w:marTop w:val="0"/>
      <w:marBottom w:val="0"/>
      <w:divBdr>
        <w:top w:val="none" w:sz="0" w:space="0" w:color="auto"/>
        <w:left w:val="none" w:sz="0" w:space="0" w:color="auto"/>
        <w:bottom w:val="none" w:sz="0" w:space="0" w:color="auto"/>
        <w:right w:val="none" w:sz="0" w:space="0" w:color="auto"/>
      </w:divBdr>
    </w:div>
    <w:div w:id="103159379">
      <w:bodyDiv w:val="1"/>
      <w:marLeft w:val="0"/>
      <w:marRight w:val="0"/>
      <w:marTop w:val="0"/>
      <w:marBottom w:val="0"/>
      <w:divBdr>
        <w:top w:val="none" w:sz="0" w:space="0" w:color="auto"/>
        <w:left w:val="none" w:sz="0" w:space="0" w:color="auto"/>
        <w:bottom w:val="none" w:sz="0" w:space="0" w:color="auto"/>
        <w:right w:val="none" w:sz="0" w:space="0" w:color="auto"/>
      </w:divBdr>
    </w:div>
    <w:div w:id="103352675">
      <w:bodyDiv w:val="1"/>
      <w:marLeft w:val="0"/>
      <w:marRight w:val="0"/>
      <w:marTop w:val="0"/>
      <w:marBottom w:val="0"/>
      <w:divBdr>
        <w:top w:val="none" w:sz="0" w:space="0" w:color="auto"/>
        <w:left w:val="none" w:sz="0" w:space="0" w:color="auto"/>
        <w:bottom w:val="none" w:sz="0" w:space="0" w:color="auto"/>
        <w:right w:val="none" w:sz="0" w:space="0" w:color="auto"/>
      </w:divBdr>
    </w:div>
    <w:div w:id="103424765">
      <w:bodyDiv w:val="1"/>
      <w:marLeft w:val="0"/>
      <w:marRight w:val="0"/>
      <w:marTop w:val="0"/>
      <w:marBottom w:val="0"/>
      <w:divBdr>
        <w:top w:val="none" w:sz="0" w:space="0" w:color="auto"/>
        <w:left w:val="none" w:sz="0" w:space="0" w:color="auto"/>
        <w:bottom w:val="none" w:sz="0" w:space="0" w:color="auto"/>
        <w:right w:val="none" w:sz="0" w:space="0" w:color="auto"/>
      </w:divBdr>
    </w:div>
    <w:div w:id="103620286">
      <w:bodyDiv w:val="1"/>
      <w:marLeft w:val="0"/>
      <w:marRight w:val="0"/>
      <w:marTop w:val="0"/>
      <w:marBottom w:val="0"/>
      <w:divBdr>
        <w:top w:val="none" w:sz="0" w:space="0" w:color="auto"/>
        <w:left w:val="none" w:sz="0" w:space="0" w:color="auto"/>
        <w:bottom w:val="none" w:sz="0" w:space="0" w:color="auto"/>
        <w:right w:val="none" w:sz="0" w:space="0" w:color="auto"/>
      </w:divBdr>
    </w:div>
    <w:div w:id="103814555">
      <w:bodyDiv w:val="1"/>
      <w:marLeft w:val="0"/>
      <w:marRight w:val="0"/>
      <w:marTop w:val="0"/>
      <w:marBottom w:val="0"/>
      <w:divBdr>
        <w:top w:val="none" w:sz="0" w:space="0" w:color="auto"/>
        <w:left w:val="none" w:sz="0" w:space="0" w:color="auto"/>
        <w:bottom w:val="none" w:sz="0" w:space="0" w:color="auto"/>
        <w:right w:val="none" w:sz="0" w:space="0" w:color="auto"/>
      </w:divBdr>
    </w:div>
    <w:div w:id="103892422">
      <w:bodyDiv w:val="1"/>
      <w:marLeft w:val="0"/>
      <w:marRight w:val="0"/>
      <w:marTop w:val="0"/>
      <w:marBottom w:val="0"/>
      <w:divBdr>
        <w:top w:val="none" w:sz="0" w:space="0" w:color="auto"/>
        <w:left w:val="none" w:sz="0" w:space="0" w:color="auto"/>
        <w:bottom w:val="none" w:sz="0" w:space="0" w:color="auto"/>
        <w:right w:val="none" w:sz="0" w:space="0" w:color="auto"/>
      </w:divBdr>
    </w:div>
    <w:div w:id="104275432">
      <w:bodyDiv w:val="1"/>
      <w:marLeft w:val="0"/>
      <w:marRight w:val="0"/>
      <w:marTop w:val="0"/>
      <w:marBottom w:val="0"/>
      <w:divBdr>
        <w:top w:val="none" w:sz="0" w:space="0" w:color="auto"/>
        <w:left w:val="none" w:sz="0" w:space="0" w:color="auto"/>
        <w:bottom w:val="none" w:sz="0" w:space="0" w:color="auto"/>
        <w:right w:val="none" w:sz="0" w:space="0" w:color="auto"/>
      </w:divBdr>
    </w:div>
    <w:div w:id="104740301">
      <w:bodyDiv w:val="1"/>
      <w:marLeft w:val="0"/>
      <w:marRight w:val="0"/>
      <w:marTop w:val="0"/>
      <w:marBottom w:val="0"/>
      <w:divBdr>
        <w:top w:val="none" w:sz="0" w:space="0" w:color="auto"/>
        <w:left w:val="none" w:sz="0" w:space="0" w:color="auto"/>
        <w:bottom w:val="none" w:sz="0" w:space="0" w:color="auto"/>
        <w:right w:val="none" w:sz="0" w:space="0" w:color="auto"/>
      </w:divBdr>
    </w:div>
    <w:div w:id="105781905">
      <w:bodyDiv w:val="1"/>
      <w:marLeft w:val="0"/>
      <w:marRight w:val="0"/>
      <w:marTop w:val="0"/>
      <w:marBottom w:val="0"/>
      <w:divBdr>
        <w:top w:val="none" w:sz="0" w:space="0" w:color="auto"/>
        <w:left w:val="none" w:sz="0" w:space="0" w:color="auto"/>
        <w:bottom w:val="none" w:sz="0" w:space="0" w:color="auto"/>
        <w:right w:val="none" w:sz="0" w:space="0" w:color="auto"/>
      </w:divBdr>
    </w:div>
    <w:div w:id="106048403">
      <w:bodyDiv w:val="1"/>
      <w:marLeft w:val="0"/>
      <w:marRight w:val="0"/>
      <w:marTop w:val="0"/>
      <w:marBottom w:val="0"/>
      <w:divBdr>
        <w:top w:val="none" w:sz="0" w:space="0" w:color="auto"/>
        <w:left w:val="none" w:sz="0" w:space="0" w:color="auto"/>
        <w:bottom w:val="none" w:sz="0" w:space="0" w:color="auto"/>
        <w:right w:val="none" w:sz="0" w:space="0" w:color="auto"/>
      </w:divBdr>
    </w:div>
    <w:div w:id="106393008">
      <w:bodyDiv w:val="1"/>
      <w:marLeft w:val="0"/>
      <w:marRight w:val="0"/>
      <w:marTop w:val="0"/>
      <w:marBottom w:val="0"/>
      <w:divBdr>
        <w:top w:val="none" w:sz="0" w:space="0" w:color="auto"/>
        <w:left w:val="none" w:sz="0" w:space="0" w:color="auto"/>
        <w:bottom w:val="none" w:sz="0" w:space="0" w:color="auto"/>
        <w:right w:val="none" w:sz="0" w:space="0" w:color="auto"/>
      </w:divBdr>
    </w:div>
    <w:div w:id="106701001">
      <w:bodyDiv w:val="1"/>
      <w:marLeft w:val="0"/>
      <w:marRight w:val="0"/>
      <w:marTop w:val="0"/>
      <w:marBottom w:val="0"/>
      <w:divBdr>
        <w:top w:val="none" w:sz="0" w:space="0" w:color="auto"/>
        <w:left w:val="none" w:sz="0" w:space="0" w:color="auto"/>
        <w:bottom w:val="none" w:sz="0" w:space="0" w:color="auto"/>
        <w:right w:val="none" w:sz="0" w:space="0" w:color="auto"/>
      </w:divBdr>
    </w:div>
    <w:div w:id="106971631">
      <w:bodyDiv w:val="1"/>
      <w:marLeft w:val="0"/>
      <w:marRight w:val="0"/>
      <w:marTop w:val="0"/>
      <w:marBottom w:val="0"/>
      <w:divBdr>
        <w:top w:val="none" w:sz="0" w:space="0" w:color="auto"/>
        <w:left w:val="none" w:sz="0" w:space="0" w:color="auto"/>
        <w:bottom w:val="none" w:sz="0" w:space="0" w:color="auto"/>
        <w:right w:val="none" w:sz="0" w:space="0" w:color="auto"/>
      </w:divBdr>
    </w:div>
    <w:div w:id="107091961">
      <w:bodyDiv w:val="1"/>
      <w:marLeft w:val="0"/>
      <w:marRight w:val="0"/>
      <w:marTop w:val="0"/>
      <w:marBottom w:val="0"/>
      <w:divBdr>
        <w:top w:val="none" w:sz="0" w:space="0" w:color="auto"/>
        <w:left w:val="none" w:sz="0" w:space="0" w:color="auto"/>
        <w:bottom w:val="none" w:sz="0" w:space="0" w:color="auto"/>
        <w:right w:val="none" w:sz="0" w:space="0" w:color="auto"/>
      </w:divBdr>
    </w:div>
    <w:div w:id="107625880">
      <w:bodyDiv w:val="1"/>
      <w:marLeft w:val="0"/>
      <w:marRight w:val="0"/>
      <w:marTop w:val="0"/>
      <w:marBottom w:val="0"/>
      <w:divBdr>
        <w:top w:val="none" w:sz="0" w:space="0" w:color="auto"/>
        <w:left w:val="none" w:sz="0" w:space="0" w:color="auto"/>
        <w:bottom w:val="none" w:sz="0" w:space="0" w:color="auto"/>
        <w:right w:val="none" w:sz="0" w:space="0" w:color="auto"/>
      </w:divBdr>
    </w:div>
    <w:div w:id="107697489">
      <w:bodyDiv w:val="1"/>
      <w:marLeft w:val="0"/>
      <w:marRight w:val="0"/>
      <w:marTop w:val="0"/>
      <w:marBottom w:val="0"/>
      <w:divBdr>
        <w:top w:val="none" w:sz="0" w:space="0" w:color="auto"/>
        <w:left w:val="none" w:sz="0" w:space="0" w:color="auto"/>
        <w:bottom w:val="none" w:sz="0" w:space="0" w:color="auto"/>
        <w:right w:val="none" w:sz="0" w:space="0" w:color="auto"/>
      </w:divBdr>
    </w:div>
    <w:div w:id="108209034">
      <w:bodyDiv w:val="1"/>
      <w:marLeft w:val="0"/>
      <w:marRight w:val="0"/>
      <w:marTop w:val="0"/>
      <w:marBottom w:val="0"/>
      <w:divBdr>
        <w:top w:val="none" w:sz="0" w:space="0" w:color="auto"/>
        <w:left w:val="none" w:sz="0" w:space="0" w:color="auto"/>
        <w:bottom w:val="none" w:sz="0" w:space="0" w:color="auto"/>
        <w:right w:val="none" w:sz="0" w:space="0" w:color="auto"/>
      </w:divBdr>
    </w:div>
    <w:div w:id="108285014">
      <w:bodyDiv w:val="1"/>
      <w:marLeft w:val="0"/>
      <w:marRight w:val="0"/>
      <w:marTop w:val="0"/>
      <w:marBottom w:val="0"/>
      <w:divBdr>
        <w:top w:val="none" w:sz="0" w:space="0" w:color="auto"/>
        <w:left w:val="none" w:sz="0" w:space="0" w:color="auto"/>
        <w:bottom w:val="none" w:sz="0" w:space="0" w:color="auto"/>
        <w:right w:val="none" w:sz="0" w:space="0" w:color="auto"/>
      </w:divBdr>
    </w:div>
    <w:div w:id="108401981">
      <w:bodyDiv w:val="1"/>
      <w:marLeft w:val="0"/>
      <w:marRight w:val="0"/>
      <w:marTop w:val="0"/>
      <w:marBottom w:val="0"/>
      <w:divBdr>
        <w:top w:val="none" w:sz="0" w:space="0" w:color="auto"/>
        <w:left w:val="none" w:sz="0" w:space="0" w:color="auto"/>
        <w:bottom w:val="none" w:sz="0" w:space="0" w:color="auto"/>
        <w:right w:val="none" w:sz="0" w:space="0" w:color="auto"/>
      </w:divBdr>
    </w:div>
    <w:div w:id="108479490">
      <w:bodyDiv w:val="1"/>
      <w:marLeft w:val="0"/>
      <w:marRight w:val="0"/>
      <w:marTop w:val="0"/>
      <w:marBottom w:val="0"/>
      <w:divBdr>
        <w:top w:val="none" w:sz="0" w:space="0" w:color="auto"/>
        <w:left w:val="none" w:sz="0" w:space="0" w:color="auto"/>
        <w:bottom w:val="none" w:sz="0" w:space="0" w:color="auto"/>
        <w:right w:val="none" w:sz="0" w:space="0" w:color="auto"/>
      </w:divBdr>
    </w:div>
    <w:div w:id="109016590">
      <w:bodyDiv w:val="1"/>
      <w:marLeft w:val="0"/>
      <w:marRight w:val="0"/>
      <w:marTop w:val="0"/>
      <w:marBottom w:val="0"/>
      <w:divBdr>
        <w:top w:val="none" w:sz="0" w:space="0" w:color="auto"/>
        <w:left w:val="none" w:sz="0" w:space="0" w:color="auto"/>
        <w:bottom w:val="none" w:sz="0" w:space="0" w:color="auto"/>
        <w:right w:val="none" w:sz="0" w:space="0" w:color="auto"/>
      </w:divBdr>
    </w:div>
    <w:div w:id="109130465">
      <w:bodyDiv w:val="1"/>
      <w:marLeft w:val="0"/>
      <w:marRight w:val="0"/>
      <w:marTop w:val="0"/>
      <w:marBottom w:val="0"/>
      <w:divBdr>
        <w:top w:val="none" w:sz="0" w:space="0" w:color="auto"/>
        <w:left w:val="none" w:sz="0" w:space="0" w:color="auto"/>
        <w:bottom w:val="none" w:sz="0" w:space="0" w:color="auto"/>
        <w:right w:val="none" w:sz="0" w:space="0" w:color="auto"/>
      </w:divBdr>
    </w:div>
    <w:div w:id="109207269">
      <w:bodyDiv w:val="1"/>
      <w:marLeft w:val="0"/>
      <w:marRight w:val="0"/>
      <w:marTop w:val="0"/>
      <w:marBottom w:val="0"/>
      <w:divBdr>
        <w:top w:val="none" w:sz="0" w:space="0" w:color="auto"/>
        <w:left w:val="none" w:sz="0" w:space="0" w:color="auto"/>
        <w:bottom w:val="none" w:sz="0" w:space="0" w:color="auto"/>
        <w:right w:val="none" w:sz="0" w:space="0" w:color="auto"/>
      </w:divBdr>
    </w:div>
    <w:div w:id="109208320">
      <w:bodyDiv w:val="1"/>
      <w:marLeft w:val="0"/>
      <w:marRight w:val="0"/>
      <w:marTop w:val="0"/>
      <w:marBottom w:val="0"/>
      <w:divBdr>
        <w:top w:val="none" w:sz="0" w:space="0" w:color="auto"/>
        <w:left w:val="none" w:sz="0" w:space="0" w:color="auto"/>
        <w:bottom w:val="none" w:sz="0" w:space="0" w:color="auto"/>
        <w:right w:val="none" w:sz="0" w:space="0" w:color="auto"/>
      </w:divBdr>
    </w:div>
    <w:div w:id="109322380">
      <w:bodyDiv w:val="1"/>
      <w:marLeft w:val="0"/>
      <w:marRight w:val="0"/>
      <w:marTop w:val="0"/>
      <w:marBottom w:val="0"/>
      <w:divBdr>
        <w:top w:val="none" w:sz="0" w:space="0" w:color="auto"/>
        <w:left w:val="none" w:sz="0" w:space="0" w:color="auto"/>
        <w:bottom w:val="none" w:sz="0" w:space="0" w:color="auto"/>
        <w:right w:val="none" w:sz="0" w:space="0" w:color="auto"/>
      </w:divBdr>
    </w:div>
    <w:div w:id="110562064">
      <w:bodyDiv w:val="1"/>
      <w:marLeft w:val="0"/>
      <w:marRight w:val="0"/>
      <w:marTop w:val="0"/>
      <w:marBottom w:val="0"/>
      <w:divBdr>
        <w:top w:val="none" w:sz="0" w:space="0" w:color="auto"/>
        <w:left w:val="none" w:sz="0" w:space="0" w:color="auto"/>
        <w:bottom w:val="none" w:sz="0" w:space="0" w:color="auto"/>
        <w:right w:val="none" w:sz="0" w:space="0" w:color="auto"/>
      </w:divBdr>
    </w:div>
    <w:div w:id="110633409">
      <w:bodyDiv w:val="1"/>
      <w:marLeft w:val="0"/>
      <w:marRight w:val="0"/>
      <w:marTop w:val="0"/>
      <w:marBottom w:val="0"/>
      <w:divBdr>
        <w:top w:val="none" w:sz="0" w:space="0" w:color="auto"/>
        <w:left w:val="none" w:sz="0" w:space="0" w:color="auto"/>
        <w:bottom w:val="none" w:sz="0" w:space="0" w:color="auto"/>
        <w:right w:val="none" w:sz="0" w:space="0" w:color="auto"/>
      </w:divBdr>
    </w:div>
    <w:div w:id="111099278">
      <w:bodyDiv w:val="1"/>
      <w:marLeft w:val="0"/>
      <w:marRight w:val="0"/>
      <w:marTop w:val="0"/>
      <w:marBottom w:val="0"/>
      <w:divBdr>
        <w:top w:val="none" w:sz="0" w:space="0" w:color="auto"/>
        <w:left w:val="none" w:sz="0" w:space="0" w:color="auto"/>
        <w:bottom w:val="none" w:sz="0" w:space="0" w:color="auto"/>
        <w:right w:val="none" w:sz="0" w:space="0" w:color="auto"/>
      </w:divBdr>
    </w:div>
    <w:div w:id="111287153">
      <w:bodyDiv w:val="1"/>
      <w:marLeft w:val="0"/>
      <w:marRight w:val="0"/>
      <w:marTop w:val="0"/>
      <w:marBottom w:val="0"/>
      <w:divBdr>
        <w:top w:val="none" w:sz="0" w:space="0" w:color="auto"/>
        <w:left w:val="none" w:sz="0" w:space="0" w:color="auto"/>
        <w:bottom w:val="none" w:sz="0" w:space="0" w:color="auto"/>
        <w:right w:val="none" w:sz="0" w:space="0" w:color="auto"/>
      </w:divBdr>
    </w:div>
    <w:div w:id="111557789">
      <w:bodyDiv w:val="1"/>
      <w:marLeft w:val="0"/>
      <w:marRight w:val="0"/>
      <w:marTop w:val="0"/>
      <w:marBottom w:val="0"/>
      <w:divBdr>
        <w:top w:val="none" w:sz="0" w:space="0" w:color="auto"/>
        <w:left w:val="none" w:sz="0" w:space="0" w:color="auto"/>
        <w:bottom w:val="none" w:sz="0" w:space="0" w:color="auto"/>
        <w:right w:val="none" w:sz="0" w:space="0" w:color="auto"/>
      </w:divBdr>
    </w:div>
    <w:div w:id="111677344">
      <w:bodyDiv w:val="1"/>
      <w:marLeft w:val="0"/>
      <w:marRight w:val="0"/>
      <w:marTop w:val="0"/>
      <w:marBottom w:val="0"/>
      <w:divBdr>
        <w:top w:val="none" w:sz="0" w:space="0" w:color="auto"/>
        <w:left w:val="none" w:sz="0" w:space="0" w:color="auto"/>
        <w:bottom w:val="none" w:sz="0" w:space="0" w:color="auto"/>
        <w:right w:val="none" w:sz="0" w:space="0" w:color="auto"/>
      </w:divBdr>
    </w:div>
    <w:div w:id="111680781">
      <w:bodyDiv w:val="1"/>
      <w:marLeft w:val="0"/>
      <w:marRight w:val="0"/>
      <w:marTop w:val="0"/>
      <w:marBottom w:val="0"/>
      <w:divBdr>
        <w:top w:val="none" w:sz="0" w:space="0" w:color="auto"/>
        <w:left w:val="none" w:sz="0" w:space="0" w:color="auto"/>
        <w:bottom w:val="none" w:sz="0" w:space="0" w:color="auto"/>
        <w:right w:val="none" w:sz="0" w:space="0" w:color="auto"/>
      </w:divBdr>
    </w:div>
    <w:div w:id="112284262">
      <w:bodyDiv w:val="1"/>
      <w:marLeft w:val="0"/>
      <w:marRight w:val="0"/>
      <w:marTop w:val="0"/>
      <w:marBottom w:val="0"/>
      <w:divBdr>
        <w:top w:val="none" w:sz="0" w:space="0" w:color="auto"/>
        <w:left w:val="none" w:sz="0" w:space="0" w:color="auto"/>
        <w:bottom w:val="none" w:sz="0" w:space="0" w:color="auto"/>
        <w:right w:val="none" w:sz="0" w:space="0" w:color="auto"/>
      </w:divBdr>
    </w:div>
    <w:div w:id="112989339">
      <w:bodyDiv w:val="1"/>
      <w:marLeft w:val="0"/>
      <w:marRight w:val="0"/>
      <w:marTop w:val="0"/>
      <w:marBottom w:val="0"/>
      <w:divBdr>
        <w:top w:val="none" w:sz="0" w:space="0" w:color="auto"/>
        <w:left w:val="none" w:sz="0" w:space="0" w:color="auto"/>
        <w:bottom w:val="none" w:sz="0" w:space="0" w:color="auto"/>
        <w:right w:val="none" w:sz="0" w:space="0" w:color="auto"/>
      </w:divBdr>
    </w:div>
    <w:div w:id="113255881">
      <w:bodyDiv w:val="1"/>
      <w:marLeft w:val="0"/>
      <w:marRight w:val="0"/>
      <w:marTop w:val="0"/>
      <w:marBottom w:val="0"/>
      <w:divBdr>
        <w:top w:val="none" w:sz="0" w:space="0" w:color="auto"/>
        <w:left w:val="none" w:sz="0" w:space="0" w:color="auto"/>
        <w:bottom w:val="none" w:sz="0" w:space="0" w:color="auto"/>
        <w:right w:val="none" w:sz="0" w:space="0" w:color="auto"/>
      </w:divBdr>
    </w:div>
    <w:div w:id="113519415">
      <w:bodyDiv w:val="1"/>
      <w:marLeft w:val="0"/>
      <w:marRight w:val="0"/>
      <w:marTop w:val="0"/>
      <w:marBottom w:val="0"/>
      <w:divBdr>
        <w:top w:val="none" w:sz="0" w:space="0" w:color="auto"/>
        <w:left w:val="none" w:sz="0" w:space="0" w:color="auto"/>
        <w:bottom w:val="none" w:sz="0" w:space="0" w:color="auto"/>
        <w:right w:val="none" w:sz="0" w:space="0" w:color="auto"/>
      </w:divBdr>
    </w:div>
    <w:div w:id="113790300">
      <w:bodyDiv w:val="1"/>
      <w:marLeft w:val="0"/>
      <w:marRight w:val="0"/>
      <w:marTop w:val="0"/>
      <w:marBottom w:val="0"/>
      <w:divBdr>
        <w:top w:val="none" w:sz="0" w:space="0" w:color="auto"/>
        <w:left w:val="none" w:sz="0" w:space="0" w:color="auto"/>
        <w:bottom w:val="none" w:sz="0" w:space="0" w:color="auto"/>
        <w:right w:val="none" w:sz="0" w:space="0" w:color="auto"/>
      </w:divBdr>
    </w:div>
    <w:div w:id="113795660">
      <w:bodyDiv w:val="1"/>
      <w:marLeft w:val="0"/>
      <w:marRight w:val="0"/>
      <w:marTop w:val="0"/>
      <w:marBottom w:val="0"/>
      <w:divBdr>
        <w:top w:val="none" w:sz="0" w:space="0" w:color="auto"/>
        <w:left w:val="none" w:sz="0" w:space="0" w:color="auto"/>
        <w:bottom w:val="none" w:sz="0" w:space="0" w:color="auto"/>
        <w:right w:val="none" w:sz="0" w:space="0" w:color="auto"/>
      </w:divBdr>
    </w:div>
    <w:div w:id="113838034">
      <w:bodyDiv w:val="1"/>
      <w:marLeft w:val="0"/>
      <w:marRight w:val="0"/>
      <w:marTop w:val="0"/>
      <w:marBottom w:val="0"/>
      <w:divBdr>
        <w:top w:val="none" w:sz="0" w:space="0" w:color="auto"/>
        <w:left w:val="none" w:sz="0" w:space="0" w:color="auto"/>
        <w:bottom w:val="none" w:sz="0" w:space="0" w:color="auto"/>
        <w:right w:val="none" w:sz="0" w:space="0" w:color="auto"/>
      </w:divBdr>
    </w:div>
    <w:div w:id="113906542">
      <w:bodyDiv w:val="1"/>
      <w:marLeft w:val="0"/>
      <w:marRight w:val="0"/>
      <w:marTop w:val="0"/>
      <w:marBottom w:val="0"/>
      <w:divBdr>
        <w:top w:val="none" w:sz="0" w:space="0" w:color="auto"/>
        <w:left w:val="none" w:sz="0" w:space="0" w:color="auto"/>
        <w:bottom w:val="none" w:sz="0" w:space="0" w:color="auto"/>
        <w:right w:val="none" w:sz="0" w:space="0" w:color="auto"/>
      </w:divBdr>
    </w:div>
    <w:div w:id="114299501">
      <w:bodyDiv w:val="1"/>
      <w:marLeft w:val="0"/>
      <w:marRight w:val="0"/>
      <w:marTop w:val="0"/>
      <w:marBottom w:val="0"/>
      <w:divBdr>
        <w:top w:val="none" w:sz="0" w:space="0" w:color="auto"/>
        <w:left w:val="none" w:sz="0" w:space="0" w:color="auto"/>
        <w:bottom w:val="none" w:sz="0" w:space="0" w:color="auto"/>
        <w:right w:val="none" w:sz="0" w:space="0" w:color="auto"/>
      </w:divBdr>
    </w:div>
    <w:div w:id="114837847">
      <w:bodyDiv w:val="1"/>
      <w:marLeft w:val="0"/>
      <w:marRight w:val="0"/>
      <w:marTop w:val="0"/>
      <w:marBottom w:val="0"/>
      <w:divBdr>
        <w:top w:val="none" w:sz="0" w:space="0" w:color="auto"/>
        <w:left w:val="none" w:sz="0" w:space="0" w:color="auto"/>
        <w:bottom w:val="none" w:sz="0" w:space="0" w:color="auto"/>
        <w:right w:val="none" w:sz="0" w:space="0" w:color="auto"/>
      </w:divBdr>
    </w:div>
    <w:div w:id="115299171">
      <w:bodyDiv w:val="1"/>
      <w:marLeft w:val="0"/>
      <w:marRight w:val="0"/>
      <w:marTop w:val="0"/>
      <w:marBottom w:val="0"/>
      <w:divBdr>
        <w:top w:val="none" w:sz="0" w:space="0" w:color="auto"/>
        <w:left w:val="none" w:sz="0" w:space="0" w:color="auto"/>
        <w:bottom w:val="none" w:sz="0" w:space="0" w:color="auto"/>
        <w:right w:val="none" w:sz="0" w:space="0" w:color="auto"/>
      </w:divBdr>
    </w:div>
    <w:div w:id="115636750">
      <w:bodyDiv w:val="1"/>
      <w:marLeft w:val="0"/>
      <w:marRight w:val="0"/>
      <w:marTop w:val="0"/>
      <w:marBottom w:val="0"/>
      <w:divBdr>
        <w:top w:val="none" w:sz="0" w:space="0" w:color="auto"/>
        <w:left w:val="none" w:sz="0" w:space="0" w:color="auto"/>
        <w:bottom w:val="none" w:sz="0" w:space="0" w:color="auto"/>
        <w:right w:val="none" w:sz="0" w:space="0" w:color="auto"/>
      </w:divBdr>
    </w:div>
    <w:div w:id="115834355">
      <w:bodyDiv w:val="1"/>
      <w:marLeft w:val="0"/>
      <w:marRight w:val="0"/>
      <w:marTop w:val="0"/>
      <w:marBottom w:val="0"/>
      <w:divBdr>
        <w:top w:val="none" w:sz="0" w:space="0" w:color="auto"/>
        <w:left w:val="none" w:sz="0" w:space="0" w:color="auto"/>
        <w:bottom w:val="none" w:sz="0" w:space="0" w:color="auto"/>
        <w:right w:val="none" w:sz="0" w:space="0" w:color="auto"/>
      </w:divBdr>
    </w:div>
    <w:div w:id="115950989">
      <w:bodyDiv w:val="1"/>
      <w:marLeft w:val="0"/>
      <w:marRight w:val="0"/>
      <w:marTop w:val="0"/>
      <w:marBottom w:val="0"/>
      <w:divBdr>
        <w:top w:val="none" w:sz="0" w:space="0" w:color="auto"/>
        <w:left w:val="none" w:sz="0" w:space="0" w:color="auto"/>
        <w:bottom w:val="none" w:sz="0" w:space="0" w:color="auto"/>
        <w:right w:val="none" w:sz="0" w:space="0" w:color="auto"/>
      </w:divBdr>
    </w:div>
    <w:div w:id="116535923">
      <w:bodyDiv w:val="1"/>
      <w:marLeft w:val="0"/>
      <w:marRight w:val="0"/>
      <w:marTop w:val="0"/>
      <w:marBottom w:val="0"/>
      <w:divBdr>
        <w:top w:val="none" w:sz="0" w:space="0" w:color="auto"/>
        <w:left w:val="none" w:sz="0" w:space="0" w:color="auto"/>
        <w:bottom w:val="none" w:sz="0" w:space="0" w:color="auto"/>
        <w:right w:val="none" w:sz="0" w:space="0" w:color="auto"/>
      </w:divBdr>
    </w:div>
    <w:div w:id="116804946">
      <w:bodyDiv w:val="1"/>
      <w:marLeft w:val="0"/>
      <w:marRight w:val="0"/>
      <w:marTop w:val="0"/>
      <w:marBottom w:val="0"/>
      <w:divBdr>
        <w:top w:val="none" w:sz="0" w:space="0" w:color="auto"/>
        <w:left w:val="none" w:sz="0" w:space="0" w:color="auto"/>
        <w:bottom w:val="none" w:sz="0" w:space="0" w:color="auto"/>
        <w:right w:val="none" w:sz="0" w:space="0" w:color="auto"/>
      </w:divBdr>
    </w:div>
    <w:div w:id="116994252">
      <w:bodyDiv w:val="1"/>
      <w:marLeft w:val="0"/>
      <w:marRight w:val="0"/>
      <w:marTop w:val="0"/>
      <w:marBottom w:val="0"/>
      <w:divBdr>
        <w:top w:val="none" w:sz="0" w:space="0" w:color="auto"/>
        <w:left w:val="none" w:sz="0" w:space="0" w:color="auto"/>
        <w:bottom w:val="none" w:sz="0" w:space="0" w:color="auto"/>
        <w:right w:val="none" w:sz="0" w:space="0" w:color="auto"/>
      </w:divBdr>
    </w:div>
    <w:div w:id="117189729">
      <w:bodyDiv w:val="1"/>
      <w:marLeft w:val="0"/>
      <w:marRight w:val="0"/>
      <w:marTop w:val="0"/>
      <w:marBottom w:val="0"/>
      <w:divBdr>
        <w:top w:val="none" w:sz="0" w:space="0" w:color="auto"/>
        <w:left w:val="none" w:sz="0" w:space="0" w:color="auto"/>
        <w:bottom w:val="none" w:sz="0" w:space="0" w:color="auto"/>
        <w:right w:val="none" w:sz="0" w:space="0" w:color="auto"/>
      </w:divBdr>
    </w:div>
    <w:div w:id="117265842">
      <w:bodyDiv w:val="1"/>
      <w:marLeft w:val="0"/>
      <w:marRight w:val="0"/>
      <w:marTop w:val="0"/>
      <w:marBottom w:val="0"/>
      <w:divBdr>
        <w:top w:val="none" w:sz="0" w:space="0" w:color="auto"/>
        <w:left w:val="none" w:sz="0" w:space="0" w:color="auto"/>
        <w:bottom w:val="none" w:sz="0" w:space="0" w:color="auto"/>
        <w:right w:val="none" w:sz="0" w:space="0" w:color="auto"/>
      </w:divBdr>
    </w:div>
    <w:div w:id="117531727">
      <w:bodyDiv w:val="1"/>
      <w:marLeft w:val="0"/>
      <w:marRight w:val="0"/>
      <w:marTop w:val="0"/>
      <w:marBottom w:val="0"/>
      <w:divBdr>
        <w:top w:val="none" w:sz="0" w:space="0" w:color="auto"/>
        <w:left w:val="none" w:sz="0" w:space="0" w:color="auto"/>
        <w:bottom w:val="none" w:sz="0" w:space="0" w:color="auto"/>
        <w:right w:val="none" w:sz="0" w:space="0" w:color="auto"/>
      </w:divBdr>
    </w:div>
    <w:div w:id="118107069">
      <w:bodyDiv w:val="1"/>
      <w:marLeft w:val="0"/>
      <w:marRight w:val="0"/>
      <w:marTop w:val="0"/>
      <w:marBottom w:val="0"/>
      <w:divBdr>
        <w:top w:val="none" w:sz="0" w:space="0" w:color="auto"/>
        <w:left w:val="none" w:sz="0" w:space="0" w:color="auto"/>
        <w:bottom w:val="none" w:sz="0" w:space="0" w:color="auto"/>
        <w:right w:val="none" w:sz="0" w:space="0" w:color="auto"/>
      </w:divBdr>
    </w:div>
    <w:div w:id="118115252">
      <w:bodyDiv w:val="1"/>
      <w:marLeft w:val="0"/>
      <w:marRight w:val="0"/>
      <w:marTop w:val="0"/>
      <w:marBottom w:val="0"/>
      <w:divBdr>
        <w:top w:val="none" w:sz="0" w:space="0" w:color="auto"/>
        <w:left w:val="none" w:sz="0" w:space="0" w:color="auto"/>
        <w:bottom w:val="none" w:sz="0" w:space="0" w:color="auto"/>
        <w:right w:val="none" w:sz="0" w:space="0" w:color="auto"/>
      </w:divBdr>
    </w:div>
    <w:div w:id="119417583">
      <w:bodyDiv w:val="1"/>
      <w:marLeft w:val="0"/>
      <w:marRight w:val="0"/>
      <w:marTop w:val="0"/>
      <w:marBottom w:val="0"/>
      <w:divBdr>
        <w:top w:val="none" w:sz="0" w:space="0" w:color="auto"/>
        <w:left w:val="none" w:sz="0" w:space="0" w:color="auto"/>
        <w:bottom w:val="none" w:sz="0" w:space="0" w:color="auto"/>
        <w:right w:val="none" w:sz="0" w:space="0" w:color="auto"/>
      </w:divBdr>
    </w:div>
    <w:div w:id="119765766">
      <w:bodyDiv w:val="1"/>
      <w:marLeft w:val="0"/>
      <w:marRight w:val="0"/>
      <w:marTop w:val="0"/>
      <w:marBottom w:val="0"/>
      <w:divBdr>
        <w:top w:val="none" w:sz="0" w:space="0" w:color="auto"/>
        <w:left w:val="none" w:sz="0" w:space="0" w:color="auto"/>
        <w:bottom w:val="none" w:sz="0" w:space="0" w:color="auto"/>
        <w:right w:val="none" w:sz="0" w:space="0" w:color="auto"/>
      </w:divBdr>
    </w:div>
    <w:div w:id="120419561">
      <w:bodyDiv w:val="1"/>
      <w:marLeft w:val="0"/>
      <w:marRight w:val="0"/>
      <w:marTop w:val="0"/>
      <w:marBottom w:val="0"/>
      <w:divBdr>
        <w:top w:val="none" w:sz="0" w:space="0" w:color="auto"/>
        <w:left w:val="none" w:sz="0" w:space="0" w:color="auto"/>
        <w:bottom w:val="none" w:sz="0" w:space="0" w:color="auto"/>
        <w:right w:val="none" w:sz="0" w:space="0" w:color="auto"/>
      </w:divBdr>
    </w:div>
    <w:div w:id="120654289">
      <w:bodyDiv w:val="1"/>
      <w:marLeft w:val="0"/>
      <w:marRight w:val="0"/>
      <w:marTop w:val="0"/>
      <w:marBottom w:val="0"/>
      <w:divBdr>
        <w:top w:val="none" w:sz="0" w:space="0" w:color="auto"/>
        <w:left w:val="none" w:sz="0" w:space="0" w:color="auto"/>
        <w:bottom w:val="none" w:sz="0" w:space="0" w:color="auto"/>
        <w:right w:val="none" w:sz="0" w:space="0" w:color="auto"/>
      </w:divBdr>
    </w:div>
    <w:div w:id="120806023">
      <w:bodyDiv w:val="1"/>
      <w:marLeft w:val="0"/>
      <w:marRight w:val="0"/>
      <w:marTop w:val="0"/>
      <w:marBottom w:val="0"/>
      <w:divBdr>
        <w:top w:val="none" w:sz="0" w:space="0" w:color="auto"/>
        <w:left w:val="none" w:sz="0" w:space="0" w:color="auto"/>
        <w:bottom w:val="none" w:sz="0" w:space="0" w:color="auto"/>
        <w:right w:val="none" w:sz="0" w:space="0" w:color="auto"/>
      </w:divBdr>
    </w:div>
    <w:div w:id="121466953">
      <w:bodyDiv w:val="1"/>
      <w:marLeft w:val="0"/>
      <w:marRight w:val="0"/>
      <w:marTop w:val="0"/>
      <w:marBottom w:val="0"/>
      <w:divBdr>
        <w:top w:val="none" w:sz="0" w:space="0" w:color="auto"/>
        <w:left w:val="none" w:sz="0" w:space="0" w:color="auto"/>
        <w:bottom w:val="none" w:sz="0" w:space="0" w:color="auto"/>
        <w:right w:val="none" w:sz="0" w:space="0" w:color="auto"/>
      </w:divBdr>
    </w:div>
    <w:div w:id="121769922">
      <w:bodyDiv w:val="1"/>
      <w:marLeft w:val="0"/>
      <w:marRight w:val="0"/>
      <w:marTop w:val="0"/>
      <w:marBottom w:val="0"/>
      <w:divBdr>
        <w:top w:val="none" w:sz="0" w:space="0" w:color="auto"/>
        <w:left w:val="none" w:sz="0" w:space="0" w:color="auto"/>
        <w:bottom w:val="none" w:sz="0" w:space="0" w:color="auto"/>
        <w:right w:val="none" w:sz="0" w:space="0" w:color="auto"/>
      </w:divBdr>
    </w:div>
    <w:div w:id="121851095">
      <w:bodyDiv w:val="1"/>
      <w:marLeft w:val="0"/>
      <w:marRight w:val="0"/>
      <w:marTop w:val="0"/>
      <w:marBottom w:val="0"/>
      <w:divBdr>
        <w:top w:val="none" w:sz="0" w:space="0" w:color="auto"/>
        <w:left w:val="none" w:sz="0" w:space="0" w:color="auto"/>
        <w:bottom w:val="none" w:sz="0" w:space="0" w:color="auto"/>
        <w:right w:val="none" w:sz="0" w:space="0" w:color="auto"/>
      </w:divBdr>
    </w:div>
    <w:div w:id="121971852">
      <w:bodyDiv w:val="1"/>
      <w:marLeft w:val="0"/>
      <w:marRight w:val="0"/>
      <w:marTop w:val="0"/>
      <w:marBottom w:val="0"/>
      <w:divBdr>
        <w:top w:val="none" w:sz="0" w:space="0" w:color="auto"/>
        <w:left w:val="none" w:sz="0" w:space="0" w:color="auto"/>
        <w:bottom w:val="none" w:sz="0" w:space="0" w:color="auto"/>
        <w:right w:val="none" w:sz="0" w:space="0" w:color="auto"/>
      </w:divBdr>
    </w:div>
    <w:div w:id="122231608">
      <w:bodyDiv w:val="1"/>
      <w:marLeft w:val="0"/>
      <w:marRight w:val="0"/>
      <w:marTop w:val="0"/>
      <w:marBottom w:val="0"/>
      <w:divBdr>
        <w:top w:val="none" w:sz="0" w:space="0" w:color="auto"/>
        <w:left w:val="none" w:sz="0" w:space="0" w:color="auto"/>
        <w:bottom w:val="none" w:sz="0" w:space="0" w:color="auto"/>
        <w:right w:val="none" w:sz="0" w:space="0" w:color="auto"/>
      </w:divBdr>
    </w:div>
    <w:div w:id="123230702">
      <w:bodyDiv w:val="1"/>
      <w:marLeft w:val="0"/>
      <w:marRight w:val="0"/>
      <w:marTop w:val="0"/>
      <w:marBottom w:val="0"/>
      <w:divBdr>
        <w:top w:val="none" w:sz="0" w:space="0" w:color="auto"/>
        <w:left w:val="none" w:sz="0" w:space="0" w:color="auto"/>
        <w:bottom w:val="none" w:sz="0" w:space="0" w:color="auto"/>
        <w:right w:val="none" w:sz="0" w:space="0" w:color="auto"/>
      </w:divBdr>
    </w:div>
    <w:div w:id="123276916">
      <w:bodyDiv w:val="1"/>
      <w:marLeft w:val="0"/>
      <w:marRight w:val="0"/>
      <w:marTop w:val="0"/>
      <w:marBottom w:val="0"/>
      <w:divBdr>
        <w:top w:val="none" w:sz="0" w:space="0" w:color="auto"/>
        <w:left w:val="none" w:sz="0" w:space="0" w:color="auto"/>
        <w:bottom w:val="none" w:sz="0" w:space="0" w:color="auto"/>
        <w:right w:val="none" w:sz="0" w:space="0" w:color="auto"/>
      </w:divBdr>
    </w:div>
    <w:div w:id="123617071">
      <w:bodyDiv w:val="1"/>
      <w:marLeft w:val="0"/>
      <w:marRight w:val="0"/>
      <w:marTop w:val="0"/>
      <w:marBottom w:val="0"/>
      <w:divBdr>
        <w:top w:val="none" w:sz="0" w:space="0" w:color="auto"/>
        <w:left w:val="none" w:sz="0" w:space="0" w:color="auto"/>
        <w:bottom w:val="none" w:sz="0" w:space="0" w:color="auto"/>
        <w:right w:val="none" w:sz="0" w:space="0" w:color="auto"/>
      </w:divBdr>
    </w:div>
    <w:div w:id="123742929">
      <w:bodyDiv w:val="1"/>
      <w:marLeft w:val="0"/>
      <w:marRight w:val="0"/>
      <w:marTop w:val="0"/>
      <w:marBottom w:val="0"/>
      <w:divBdr>
        <w:top w:val="none" w:sz="0" w:space="0" w:color="auto"/>
        <w:left w:val="none" w:sz="0" w:space="0" w:color="auto"/>
        <w:bottom w:val="none" w:sz="0" w:space="0" w:color="auto"/>
        <w:right w:val="none" w:sz="0" w:space="0" w:color="auto"/>
      </w:divBdr>
    </w:div>
    <w:div w:id="123819386">
      <w:bodyDiv w:val="1"/>
      <w:marLeft w:val="0"/>
      <w:marRight w:val="0"/>
      <w:marTop w:val="0"/>
      <w:marBottom w:val="0"/>
      <w:divBdr>
        <w:top w:val="none" w:sz="0" w:space="0" w:color="auto"/>
        <w:left w:val="none" w:sz="0" w:space="0" w:color="auto"/>
        <w:bottom w:val="none" w:sz="0" w:space="0" w:color="auto"/>
        <w:right w:val="none" w:sz="0" w:space="0" w:color="auto"/>
      </w:divBdr>
    </w:div>
    <w:div w:id="123886744">
      <w:bodyDiv w:val="1"/>
      <w:marLeft w:val="0"/>
      <w:marRight w:val="0"/>
      <w:marTop w:val="0"/>
      <w:marBottom w:val="0"/>
      <w:divBdr>
        <w:top w:val="none" w:sz="0" w:space="0" w:color="auto"/>
        <w:left w:val="none" w:sz="0" w:space="0" w:color="auto"/>
        <w:bottom w:val="none" w:sz="0" w:space="0" w:color="auto"/>
        <w:right w:val="none" w:sz="0" w:space="0" w:color="auto"/>
      </w:divBdr>
    </w:div>
    <w:div w:id="124397176">
      <w:bodyDiv w:val="1"/>
      <w:marLeft w:val="0"/>
      <w:marRight w:val="0"/>
      <w:marTop w:val="0"/>
      <w:marBottom w:val="0"/>
      <w:divBdr>
        <w:top w:val="none" w:sz="0" w:space="0" w:color="auto"/>
        <w:left w:val="none" w:sz="0" w:space="0" w:color="auto"/>
        <w:bottom w:val="none" w:sz="0" w:space="0" w:color="auto"/>
        <w:right w:val="none" w:sz="0" w:space="0" w:color="auto"/>
      </w:divBdr>
    </w:div>
    <w:div w:id="125316801">
      <w:bodyDiv w:val="1"/>
      <w:marLeft w:val="0"/>
      <w:marRight w:val="0"/>
      <w:marTop w:val="0"/>
      <w:marBottom w:val="0"/>
      <w:divBdr>
        <w:top w:val="none" w:sz="0" w:space="0" w:color="auto"/>
        <w:left w:val="none" w:sz="0" w:space="0" w:color="auto"/>
        <w:bottom w:val="none" w:sz="0" w:space="0" w:color="auto"/>
        <w:right w:val="none" w:sz="0" w:space="0" w:color="auto"/>
      </w:divBdr>
    </w:div>
    <w:div w:id="126051881">
      <w:bodyDiv w:val="1"/>
      <w:marLeft w:val="0"/>
      <w:marRight w:val="0"/>
      <w:marTop w:val="0"/>
      <w:marBottom w:val="0"/>
      <w:divBdr>
        <w:top w:val="none" w:sz="0" w:space="0" w:color="auto"/>
        <w:left w:val="none" w:sz="0" w:space="0" w:color="auto"/>
        <w:bottom w:val="none" w:sz="0" w:space="0" w:color="auto"/>
        <w:right w:val="none" w:sz="0" w:space="0" w:color="auto"/>
      </w:divBdr>
    </w:div>
    <w:div w:id="126120614">
      <w:bodyDiv w:val="1"/>
      <w:marLeft w:val="0"/>
      <w:marRight w:val="0"/>
      <w:marTop w:val="0"/>
      <w:marBottom w:val="0"/>
      <w:divBdr>
        <w:top w:val="none" w:sz="0" w:space="0" w:color="auto"/>
        <w:left w:val="none" w:sz="0" w:space="0" w:color="auto"/>
        <w:bottom w:val="none" w:sz="0" w:space="0" w:color="auto"/>
        <w:right w:val="none" w:sz="0" w:space="0" w:color="auto"/>
      </w:divBdr>
    </w:div>
    <w:div w:id="126170643">
      <w:bodyDiv w:val="1"/>
      <w:marLeft w:val="0"/>
      <w:marRight w:val="0"/>
      <w:marTop w:val="0"/>
      <w:marBottom w:val="0"/>
      <w:divBdr>
        <w:top w:val="none" w:sz="0" w:space="0" w:color="auto"/>
        <w:left w:val="none" w:sz="0" w:space="0" w:color="auto"/>
        <w:bottom w:val="none" w:sz="0" w:space="0" w:color="auto"/>
        <w:right w:val="none" w:sz="0" w:space="0" w:color="auto"/>
      </w:divBdr>
    </w:div>
    <w:div w:id="126703329">
      <w:bodyDiv w:val="1"/>
      <w:marLeft w:val="0"/>
      <w:marRight w:val="0"/>
      <w:marTop w:val="0"/>
      <w:marBottom w:val="0"/>
      <w:divBdr>
        <w:top w:val="none" w:sz="0" w:space="0" w:color="auto"/>
        <w:left w:val="none" w:sz="0" w:space="0" w:color="auto"/>
        <w:bottom w:val="none" w:sz="0" w:space="0" w:color="auto"/>
        <w:right w:val="none" w:sz="0" w:space="0" w:color="auto"/>
      </w:divBdr>
    </w:div>
    <w:div w:id="126752230">
      <w:bodyDiv w:val="1"/>
      <w:marLeft w:val="0"/>
      <w:marRight w:val="0"/>
      <w:marTop w:val="0"/>
      <w:marBottom w:val="0"/>
      <w:divBdr>
        <w:top w:val="none" w:sz="0" w:space="0" w:color="auto"/>
        <w:left w:val="none" w:sz="0" w:space="0" w:color="auto"/>
        <w:bottom w:val="none" w:sz="0" w:space="0" w:color="auto"/>
        <w:right w:val="none" w:sz="0" w:space="0" w:color="auto"/>
      </w:divBdr>
    </w:div>
    <w:div w:id="127088241">
      <w:bodyDiv w:val="1"/>
      <w:marLeft w:val="0"/>
      <w:marRight w:val="0"/>
      <w:marTop w:val="0"/>
      <w:marBottom w:val="0"/>
      <w:divBdr>
        <w:top w:val="none" w:sz="0" w:space="0" w:color="auto"/>
        <w:left w:val="none" w:sz="0" w:space="0" w:color="auto"/>
        <w:bottom w:val="none" w:sz="0" w:space="0" w:color="auto"/>
        <w:right w:val="none" w:sz="0" w:space="0" w:color="auto"/>
      </w:divBdr>
    </w:div>
    <w:div w:id="127091318">
      <w:bodyDiv w:val="1"/>
      <w:marLeft w:val="0"/>
      <w:marRight w:val="0"/>
      <w:marTop w:val="0"/>
      <w:marBottom w:val="0"/>
      <w:divBdr>
        <w:top w:val="none" w:sz="0" w:space="0" w:color="auto"/>
        <w:left w:val="none" w:sz="0" w:space="0" w:color="auto"/>
        <w:bottom w:val="none" w:sz="0" w:space="0" w:color="auto"/>
        <w:right w:val="none" w:sz="0" w:space="0" w:color="auto"/>
      </w:divBdr>
    </w:div>
    <w:div w:id="127364941">
      <w:bodyDiv w:val="1"/>
      <w:marLeft w:val="0"/>
      <w:marRight w:val="0"/>
      <w:marTop w:val="0"/>
      <w:marBottom w:val="0"/>
      <w:divBdr>
        <w:top w:val="none" w:sz="0" w:space="0" w:color="auto"/>
        <w:left w:val="none" w:sz="0" w:space="0" w:color="auto"/>
        <w:bottom w:val="none" w:sz="0" w:space="0" w:color="auto"/>
        <w:right w:val="none" w:sz="0" w:space="0" w:color="auto"/>
      </w:divBdr>
    </w:div>
    <w:div w:id="127631199">
      <w:bodyDiv w:val="1"/>
      <w:marLeft w:val="0"/>
      <w:marRight w:val="0"/>
      <w:marTop w:val="0"/>
      <w:marBottom w:val="0"/>
      <w:divBdr>
        <w:top w:val="none" w:sz="0" w:space="0" w:color="auto"/>
        <w:left w:val="none" w:sz="0" w:space="0" w:color="auto"/>
        <w:bottom w:val="none" w:sz="0" w:space="0" w:color="auto"/>
        <w:right w:val="none" w:sz="0" w:space="0" w:color="auto"/>
      </w:divBdr>
    </w:div>
    <w:div w:id="127750592">
      <w:bodyDiv w:val="1"/>
      <w:marLeft w:val="0"/>
      <w:marRight w:val="0"/>
      <w:marTop w:val="0"/>
      <w:marBottom w:val="0"/>
      <w:divBdr>
        <w:top w:val="none" w:sz="0" w:space="0" w:color="auto"/>
        <w:left w:val="none" w:sz="0" w:space="0" w:color="auto"/>
        <w:bottom w:val="none" w:sz="0" w:space="0" w:color="auto"/>
        <w:right w:val="none" w:sz="0" w:space="0" w:color="auto"/>
      </w:divBdr>
    </w:div>
    <w:div w:id="128326944">
      <w:bodyDiv w:val="1"/>
      <w:marLeft w:val="0"/>
      <w:marRight w:val="0"/>
      <w:marTop w:val="0"/>
      <w:marBottom w:val="0"/>
      <w:divBdr>
        <w:top w:val="none" w:sz="0" w:space="0" w:color="auto"/>
        <w:left w:val="none" w:sz="0" w:space="0" w:color="auto"/>
        <w:bottom w:val="none" w:sz="0" w:space="0" w:color="auto"/>
        <w:right w:val="none" w:sz="0" w:space="0" w:color="auto"/>
      </w:divBdr>
    </w:div>
    <w:div w:id="128867373">
      <w:bodyDiv w:val="1"/>
      <w:marLeft w:val="0"/>
      <w:marRight w:val="0"/>
      <w:marTop w:val="0"/>
      <w:marBottom w:val="0"/>
      <w:divBdr>
        <w:top w:val="none" w:sz="0" w:space="0" w:color="auto"/>
        <w:left w:val="none" w:sz="0" w:space="0" w:color="auto"/>
        <w:bottom w:val="none" w:sz="0" w:space="0" w:color="auto"/>
        <w:right w:val="none" w:sz="0" w:space="0" w:color="auto"/>
      </w:divBdr>
    </w:div>
    <w:div w:id="129520627">
      <w:bodyDiv w:val="1"/>
      <w:marLeft w:val="0"/>
      <w:marRight w:val="0"/>
      <w:marTop w:val="0"/>
      <w:marBottom w:val="0"/>
      <w:divBdr>
        <w:top w:val="none" w:sz="0" w:space="0" w:color="auto"/>
        <w:left w:val="none" w:sz="0" w:space="0" w:color="auto"/>
        <w:bottom w:val="none" w:sz="0" w:space="0" w:color="auto"/>
        <w:right w:val="none" w:sz="0" w:space="0" w:color="auto"/>
      </w:divBdr>
    </w:div>
    <w:div w:id="129596759">
      <w:bodyDiv w:val="1"/>
      <w:marLeft w:val="0"/>
      <w:marRight w:val="0"/>
      <w:marTop w:val="0"/>
      <w:marBottom w:val="0"/>
      <w:divBdr>
        <w:top w:val="none" w:sz="0" w:space="0" w:color="auto"/>
        <w:left w:val="none" w:sz="0" w:space="0" w:color="auto"/>
        <w:bottom w:val="none" w:sz="0" w:space="0" w:color="auto"/>
        <w:right w:val="none" w:sz="0" w:space="0" w:color="auto"/>
      </w:divBdr>
    </w:div>
    <w:div w:id="129830214">
      <w:bodyDiv w:val="1"/>
      <w:marLeft w:val="0"/>
      <w:marRight w:val="0"/>
      <w:marTop w:val="0"/>
      <w:marBottom w:val="0"/>
      <w:divBdr>
        <w:top w:val="none" w:sz="0" w:space="0" w:color="auto"/>
        <w:left w:val="none" w:sz="0" w:space="0" w:color="auto"/>
        <w:bottom w:val="none" w:sz="0" w:space="0" w:color="auto"/>
        <w:right w:val="none" w:sz="0" w:space="0" w:color="auto"/>
      </w:divBdr>
    </w:div>
    <w:div w:id="129903522">
      <w:bodyDiv w:val="1"/>
      <w:marLeft w:val="0"/>
      <w:marRight w:val="0"/>
      <w:marTop w:val="0"/>
      <w:marBottom w:val="0"/>
      <w:divBdr>
        <w:top w:val="none" w:sz="0" w:space="0" w:color="auto"/>
        <w:left w:val="none" w:sz="0" w:space="0" w:color="auto"/>
        <w:bottom w:val="none" w:sz="0" w:space="0" w:color="auto"/>
        <w:right w:val="none" w:sz="0" w:space="0" w:color="auto"/>
      </w:divBdr>
    </w:div>
    <w:div w:id="129979193">
      <w:bodyDiv w:val="1"/>
      <w:marLeft w:val="0"/>
      <w:marRight w:val="0"/>
      <w:marTop w:val="0"/>
      <w:marBottom w:val="0"/>
      <w:divBdr>
        <w:top w:val="none" w:sz="0" w:space="0" w:color="auto"/>
        <w:left w:val="none" w:sz="0" w:space="0" w:color="auto"/>
        <w:bottom w:val="none" w:sz="0" w:space="0" w:color="auto"/>
        <w:right w:val="none" w:sz="0" w:space="0" w:color="auto"/>
      </w:divBdr>
    </w:div>
    <w:div w:id="129983370">
      <w:bodyDiv w:val="1"/>
      <w:marLeft w:val="0"/>
      <w:marRight w:val="0"/>
      <w:marTop w:val="0"/>
      <w:marBottom w:val="0"/>
      <w:divBdr>
        <w:top w:val="none" w:sz="0" w:space="0" w:color="auto"/>
        <w:left w:val="none" w:sz="0" w:space="0" w:color="auto"/>
        <w:bottom w:val="none" w:sz="0" w:space="0" w:color="auto"/>
        <w:right w:val="none" w:sz="0" w:space="0" w:color="auto"/>
      </w:divBdr>
    </w:div>
    <w:div w:id="129984224">
      <w:bodyDiv w:val="1"/>
      <w:marLeft w:val="0"/>
      <w:marRight w:val="0"/>
      <w:marTop w:val="0"/>
      <w:marBottom w:val="0"/>
      <w:divBdr>
        <w:top w:val="none" w:sz="0" w:space="0" w:color="auto"/>
        <w:left w:val="none" w:sz="0" w:space="0" w:color="auto"/>
        <w:bottom w:val="none" w:sz="0" w:space="0" w:color="auto"/>
        <w:right w:val="none" w:sz="0" w:space="0" w:color="auto"/>
      </w:divBdr>
    </w:div>
    <w:div w:id="130170496">
      <w:bodyDiv w:val="1"/>
      <w:marLeft w:val="0"/>
      <w:marRight w:val="0"/>
      <w:marTop w:val="0"/>
      <w:marBottom w:val="0"/>
      <w:divBdr>
        <w:top w:val="none" w:sz="0" w:space="0" w:color="auto"/>
        <w:left w:val="none" w:sz="0" w:space="0" w:color="auto"/>
        <w:bottom w:val="none" w:sz="0" w:space="0" w:color="auto"/>
        <w:right w:val="none" w:sz="0" w:space="0" w:color="auto"/>
      </w:divBdr>
    </w:div>
    <w:div w:id="130560599">
      <w:bodyDiv w:val="1"/>
      <w:marLeft w:val="0"/>
      <w:marRight w:val="0"/>
      <w:marTop w:val="0"/>
      <w:marBottom w:val="0"/>
      <w:divBdr>
        <w:top w:val="none" w:sz="0" w:space="0" w:color="auto"/>
        <w:left w:val="none" w:sz="0" w:space="0" w:color="auto"/>
        <w:bottom w:val="none" w:sz="0" w:space="0" w:color="auto"/>
        <w:right w:val="none" w:sz="0" w:space="0" w:color="auto"/>
      </w:divBdr>
    </w:div>
    <w:div w:id="130832600">
      <w:bodyDiv w:val="1"/>
      <w:marLeft w:val="0"/>
      <w:marRight w:val="0"/>
      <w:marTop w:val="0"/>
      <w:marBottom w:val="0"/>
      <w:divBdr>
        <w:top w:val="none" w:sz="0" w:space="0" w:color="auto"/>
        <w:left w:val="none" w:sz="0" w:space="0" w:color="auto"/>
        <w:bottom w:val="none" w:sz="0" w:space="0" w:color="auto"/>
        <w:right w:val="none" w:sz="0" w:space="0" w:color="auto"/>
      </w:divBdr>
    </w:div>
    <w:div w:id="130834189">
      <w:bodyDiv w:val="1"/>
      <w:marLeft w:val="0"/>
      <w:marRight w:val="0"/>
      <w:marTop w:val="0"/>
      <w:marBottom w:val="0"/>
      <w:divBdr>
        <w:top w:val="none" w:sz="0" w:space="0" w:color="auto"/>
        <w:left w:val="none" w:sz="0" w:space="0" w:color="auto"/>
        <w:bottom w:val="none" w:sz="0" w:space="0" w:color="auto"/>
        <w:right w:val="none" w:sz="0" w:space="0" w:color="auto"/>
      </w:divBdr>
    </w:div>
    <w:div w:id="131094819">
      <w:bodyDiv w:val="1"/>
      <w:marLeft w:val="0"/>
      <w:marRight w:val="0"/>
      <w:marTop w:val="0"/>
      <w:marBottom w:val="0"/>
      <w:divBdr>
        <w:top w:val="none" w:sz="0" w:space="0" w:color="auto"/>
        <w:left w:val="none" w:sz="0" w:space="0" w:color="auto"/>
        <w:bottom w:val="none" w:sz="0" w:space="0" w:color="auto"/>
        <w:right w:val="none" w:sz="0" w:space="0" w:color="auto"/>
      </w:divBdr>
    </w:div>
    <w:div w:id="131287985">
      <w:bodyDiv w:val="1"/>
      <w:marLeft w:val="0"/>
      <w:marRight w:val="0"/>
      <w:marTop w:val="0"/>
      <w:marBottom w:val="0"/>
      <w:divBdr>
        <w:top w:val="none" w:sz="0" w:space="0" w:color="auto"/>
        <w:left w:val="none" w:sz="0" w:space="0" w:color="auto"/>
        <w:bottom w:val="none" w:sz="0" w:space="0" w:color="auto"/>
        <w:right w:val="none" w:sz="0" w:space="0" w:color="auto"/>
      </w:divBdr>
    </w:div>
    <w:div w:id="131365053">
      <w:bodyDiv w:val="1"/>
      <w:marLeft w:val="0"/>
      <w:marRight w:val="0"/>
      <w:marTop w:val="0"/>
      <w:marBottom w:val="0"/>
      <w:divBdr>
        <w:top w:val="none" w:sz="0" w:space="0" w:color="auto"/>
        <w:left w:val="none" w:sz="0" w:space="0" w:color="auto"/>
        <w:bottom w:val="none" w:sz="0" w:space="0" w:color="auto"/>
        <w:right w:val="none" w:sz="0" w:space="0" w:color="auto"/>
      </w:divBdr>
    </w:div>
    <w:div w:id="132216520">
      <w:bodyDiv w:val="1"/>
      <w:marLeft w:val="0"/>
      <w:marRight w:val="0"/>
      <w:marTop w:val="0"/>
      <w:marBottom w:val="0"/>
      <w:divBdr>
        <w:top w:val="none" w:sz="0" w:space="0" w:color="auto"/>
        <w:left w:val="none" w:sz="0" w:space="0" w:color="auto"/>
        <w:bottom w:val="none" w:sz="0" w:space="0" w:color="auto"/>
        <w:right w:val="none" w:sz="0" w:space="0" w:color="auto"/>
      </w:divBdr>
    </w:div>
    <w:div w:id="132646755">
      <w:bodyDiv w:val="1"/>
      <w:marLeft w:val="0"/>
      <w:marRight w:val="0"/>
      <w:marTop w:val="0"/>
      <w:marBottom w:val="0"/>
      <w:divBdr>
        <w:top w:val="none" w:sz="0" w:space="0" w:color="auto"/>
        <w:left w:val="none" w:sz="0" w:space="0" w:color="auto"/>
        <w:bottom w:val="none" w:sz="0" w:space="0" w:color="auto"/>
        <w:right w:val="none" w:sz="0" w:space="0" w:color="auto"/>
      </w:divBdr>
    </w:div>
    <w:div w:id="133066883">
      <w:bodyDiv w:val="1"/>
      <w:marLeft w:val="0"/>
      <w:marRight w:val="0"/>
      <w:marTop w:val="0"/>
      <w:marBottom w:val="0"/>
      <w:divBdr>
        <w:top w:val="none" w:sz="0" w:space="0" w:color="auto"/>
        <w:left w:val="none" w:sz="0" w:space="0" w:color="auto"/>
        <w:bottom w:val="none" w:sz="0" w:space="0" w:color="auto"/>
        <w:right w:val="none" w:sz="0" w:space="0" w:color="auto"/>
      </w:divBdr>
    </w:div>
    <w:div w:id="133109305">
      <w:bodyDiv w:val="1"/>
      <w:marLeft w:val="0"/>
      <w:marRight w:val="0"/>
      <w:marTop w:val="0"/>
      <w:marBottom w:val="0"/>
      <w:divBdr>
        <w:top w:val="none" w:sz="0" w:space="0" w:color="auto"/>
        <w:left w:val="none" w:sz="0" w:space="0" w:color="auto"/>
        <w:bottom w:val="none" w:sz="0" w:space="0" w:color="auto"/>
        <w:right w:val="none" w:sz="0" w:space="0" w:color="auto"/>
      </w:divBdr>
    </w:div>
    <w:div w:id="133331842">
      <w:bodyDiv w:val="1"/>
      <w:marLeft w:val="0"/>
      <w:marRight w:val="0"/>
      <w:marTop w:val="0"/>
      <w:marBottom w:val="0"/>
      <w:divBdr>
        <w:top w:val="none" w:sz="0" w:space="0" w:color="auto"/>
        <w:left w:val="none" w:sz="0" w:space="0" w:color="auto"/>
        <w:bottom w:val="none" w:sz="0" w:space="0" w:color="auto"/>
        <w:right w:val="none" w:sz="0" w:space="0" w:color="auto"/>
      </w:divBdr>
    </w:div>
    <w:div w:id="133372672">
      <w:bodyDiv w:val="1"/>
      <w:marLeft w:val="0"/>
      <w:marRight w:val="0"/>
      <w:marTop w:val="0"/>
      <w:marBottom w:val="0"/>
      <w:divBdr>
        <w:top w:val="none" w:sz="0" w:space="0" w:color="auto"/>
        <w:left w:val="none" w:sz="0" w:space="0" w:color="auto"/>
        <w:bottom w:val="none" w:sz="0" w:space="0" w:color="auto"/>
        <w:right w:val="none" w:sz="0" w:space="0" w:color="auto"/>
      </w:divBdr>
    </w:div>
    <w:div w:id="133450912">
      <w:bodyDiv w:val="1"/>
      <w:marLeft w:val="0"/>
      <w:marRight w:val="0"/>
      <w:marTop w:val="0"/>
      <w:marBottom w:val="0"/>
      <w:divBdr>
        <w:top w:val="none" w:sz="0" w:space="0" w:color="auto"/>
        <w:left w:val="none" w:sz="0" w:space="0" w:color="auto"/>
        <w:bottom w:val="none" w:sz="0" w:space="0" w:color="auto"/>
        <w:right w:val="none" w:sz="0" w:space="0" w:color="auto"/>
      </w:divBdr>
    </w:div>
    <w:div w:id="134105652">
      <w:bodyDiv w:val="1"/>
      <w:marLeft w:val="0"/>
      <w:marRight w:val="0"/>
      <w:marTop w:val="0"/>
      <w:marBottom w:val="0"/>
      <w:divBdr>
        <w:top w:val="none" w:sz="0" w:space="0" w:color="auto"/>
        <w:left w:val="none" w:sz="0" w:space="0" w:color="auto"/>
        <w:bottom w:val="none" w:sz="0" w:space="0" w:color="auto"/>
        <w:right w:val="none" w:sz="0" w:space="0" w:color="auto"/>
      </w:divBdr>
    </w:div>
    <w:div w:id="134180745">
      <w:bodyDiv w:val="1"/>
      <w:marLeft w:val="0"/>
      <w:marRight w:val="0"/>
      <w:marTop w:val="0"/>
      <w:marBottom w:val="0"/>
      <w:divBdr>
        <w:top w:val="none" w:sz="0" w:space="0" w:color="auto"/>
        <w:left w:val="none" w:sz="0" w:space="0" w:color="auto"/>
        <w:bottom w:val="none" w:sz="0" w:space="0" w:color="auto"/>
        <w:right w:val="none" w:sz="0" w:space="0" w:color="auto"/>
      </w:divBdr>
    </w:div>
    <w:div w:id="134227775">
      <w:bodyDiv w:val="1"/>
      <w:marLeft w:val="0"/>
      <w:marRight w:val="0"/>
      <w:marTop w:val="0"/>
      <w:marBottom w:val="0"/>
      <w:divBdr>
        <w:top w:val="none" w:sz="0" w:space="0" w:color="auto"/>
        <w:left w:val="none" w:sz="0" w:space="0" w:color="auto"/>
        <w:bottom w:val="none" w:sz="0" w:space="0" w:color="auto"/>
        <w:right w:val="none" w:sz="0" w:space="0" w:color="auto"/>
      </w:divBdr>
    </w:div>
    <w:div w:id="134763378">
      <w:bodyDiv w:val="1"/>
      <w:marLeft w:val="0"/>
      <w:marRight w:val="0"/>
      <w:marTop w:val="0"/>
      <w:marBottom w:val="0"/>
      <w:divBdr>
        <w:top w:val="none" w:sz="0" w:space="0" w:color="auto"/>
        <w:left w:val="none" w:sz="0" w:space="0" w:color="auto"/>
        <w:bottom w:val="none" w:sz="0" w:space="0" w:color="auto"/>
        <w:right w:val="none" w:sz="0" w:space="0" w:color="auto"/>
      </w:divBdr>
    </w:div>
    <w:div w:id="134955364">
      <w:bodyDiv w:val="1"/>
      <w:marLeft w:val="0"/>
      <w:marRight w:val="0"/>
      <w:marTop w:val="0"/>
      <w:marBottom w:val="0"/>
      <w:divBdr>
        <w:top w:val="none" w:sz="0" w:space="0" w:color="auto"/>
        <w:left w:val="none" w:sz="0" w:space="0" w:color="auto"/>
        <w:bottom w:val="none" w:sz="0" w:space="0" w:color="auto"/>
        <w:right w:val="none" w:sz="0" w:space="0" w:color="auto"/>
      </w:divBdr>
    </w:div>
    <w:div w:id="135144039">
      <w:bodyDiv w:val="1"/>
      <w:marLeft w:val="0"/>
      <w:marRight w:val="0"/>
      <w:marTop w:val="0"/>
      <w:marBottom w:val="0"/>
      <w:divBdr>
        <w:top w:val="none" w:sz="0" w:space="0" w:color="auto"/>
        <w:left w:val="none" w:sz="0" w:space="0" w:color="auto"/>
        <w:bottom w:val="none" w:sz="0" w:space="0" w:color="auto"/>
        <w:right w:val="none" w:sz="0" w:space="0" w:color="auto"/>
      </w:divBdr>
    </w:div>
    <w:div w:id="135530270">
      <w:bodyDiv w:val="1"/>
      <w:marLeft w:val="0"/>
      <w:marRight w:val="0"/>
      <w:marTop w:val="0"/>
      <w:marBottom w:val="0"/>
      <w:divBdr>
        <w:top w:val="none" w:sz="0" w:space="0" w:color="auto"/>
        <w:left w:val="none" w:sz="0" w:space="0" w:color="auto"/>
        <w:bottom w:val="none" w:sz="0" w:space="0" w:color="auto"/>
        <w:right w:val="none" w:sz="0" w:space="0" w:color="auto"/>
      </w:divBdr>
    </w:div>
    <w:div w:id="135532462">
      <w:bodyDiv w:val="1"/>
      <w:marLeft w:val="0"/>
      <w:marRight w:val="0"/>
      <w:marTop w:val="0"/>
      <w:marBottom w:val="0"/>
      <w:divBdr>
        <w:top w:val="none" w:sz="0" w:space="0" w:color="auto"/>
        <w:left w:val="none" w:sz="0" w:space="0" w:color="auto"/>
        <w:bottom w:val="none" w:sz="0" w:space="0" w:color="auto"/>
        <w:right w:val="none" w:sz="0" w:space="0" w:color="auto"/>
      </w:divBdr>
    </w:div>
    <w:div w:id="135611629">
      <w:bodyDiv w:val="1"/>
      <w:marLeft w:val="0"/>
      <w:marRight w:val="0"/>
      <w:marTop w:val="0"/>
      <w:marBottom w:val="0"/>
      <w:divBdr>
        <w:top w:val="none" w:sz="0" w:space="0" w:color="auto"/>
        <w:left w:val="none" w:sz="0" w:space="0" w:color="auto"/>
        <w:bottom w:val="none" w:sz="0" w:space="0" w:color="auto"/>
        <w:right w:val="none" w:sz="0" w:space="0" w:color="auto"/>
      </w:divBdr>
    </w:div>
    <w:div w:id="135997440">
      <w:bodyDiv w:val="1"/>
      <w:marLeft w:val="0"/>
      <w:marRight w:val="0"/>
      <w:marTop w:val="0"/>
      <w:marBottom w:val="0"/>
      <w:divBdr>
        <w:top w:val="none" w:sz="0" w:space="0" w:color="auto"/>
        <w:left w:val="none" w:sz="0" w:space="0" w:color="auto"/>
        <w:bottom w:val="none" w:sz="0" w:space="0" w:color="auto"/>
        <w:right w:val="none" w:sz="0" w:space="0" w:color="auto"/>
      </w:divBdr>
    </w:div>
    <w:div w:id="136119234">
      <w:bodyDiv w:val="1"/>
      <w:marLeft w:val="0"/>
      <w:marRight w:val="0"/>
      <w:marTop w:val="0"/>
      <w:marBottom w:val="0"/>
      <w:divBdr>
        <w:top w:val="none" w:sz="0" w:space="0" w:color="auto"/>
        <w:left w:val="none" w:sz="0" w:space="0" w:color="auto"/>
        <w:bottom w:val="none" w:sz="0" w:space="0" w:color="auto"/>
        <w:right w:val="none" w:sz="0" w:space="0" w:color="auto"/>
      </w:divBdr>
    </w:div>
    <w:div w:id="136149278">
      <w:bodyDiv w:val="1"/>
      <w:marLeft w:val="0"/>
      <w:marRight w:val="0"/>
      <w:marTop w:val="0"/>
      <w:marBottom w:val="0"/>
      <w:divBdr>
        <w:top w:val="none" w:sz="0" w:space="0" w:color="auto"/>
        <w:left w:val="none" w:sz="0" w:space="0" w:color="auto"/>
        <w:bottom w:val="none" w:sz="0" w:space="0" w:color="auto"/>
        <w:right w:val="none" w:sz="0" w:space="0" w:color="auto"/>
      </w:divBdr>
    </w:div>
    <w:div w:id="136730966">
      <w:bodyDiv w:val="1"/>
      <w:marLeft w:val="0"/>
      <w:marRight w:val="0"/>
      <w:marTop w:val="0"/>
      <w:marBottom w:val="0"/>
      <w:divBdr>
        <w:top w:val="none" w:sz="0" w:space="0" w:color="auto"/>
        <w:left w:val="none" w:sz="0" w:space="0" w:color="auto"/>
        <w:bottom w:val="none" w:sz="0" w:space="0" w:color="auto"/>
        <w:right w:val="none" w:sz="0" w:space="0" w:color="auto"/>
      </w:divBdr>
    </w:div>
    <w:div w:id="137305063">
      <w:bodyDiv w:val="1"/>
      <w:marLeft w:val="0"/>
      <w:marRight w:val="0"/>
      <w:marTop w:val="0"/>
      <w:marBottom w:val="0"/>
      <w:divBdr>
        <w:top w:val="none" w:sz="0" w:space="0" w:color="auto"/>
        <w:left w:val="none" w:sz="0" w:space="0" w:color="auto"/>
        <w:bottom w:val="none" w:sz="0" w:space="0" w:color="auto"/>
        <w:right w:val="none" w:sz="0" w:space="0" w:color="auto"/>
      </w:divBdr>
    </w:div>
    <w:div w:id="137455062">
      <w:bodyDiv w:val="1"/>
      <w:marLeft w:val="0"/>
      <w:marRight w:val="0"/>
      <w:marTop w:val="0"/>
      <w:marBottom w:val="0"/>
      <w:divBdr>
        <w:top w:val="none" w:sz="0" w:space="0" w:color="auto"/>
        <w:left w:val="none" w:sz="0" w:space="0" w:color="auto"/>
        <w:bottom w:val="none" w:sz="0" w:space="0" w:color="auto"/>
        <w:right w:val="none" w:sz="0" w:space="0" w:color="auto"/>
      </w:divBdr>
    </w:div>
    <w:div w:id="137693874">
      <w:bodyDiv w:val="1"/>
      <w:marLeft w:val="0"/>
      <w:marRight w:val="0"/>
      <w:marTop w:val="0"/>
      <w:marBottom w:val="0"/>
      <w:divBdr>
        <w:top w:val="none" w:sz="0" w:space="0" w:color="auto"/>
        <w:left w:val="none" w:sz="0" w:space="0" w:color="auto"/>
        <w:bottom w:val="none" w:sz="0" w:space="0" w:color="auto"/>
        <w:right w:val="none" w:sz="0" w:space="0" w:color="auto"/>
      </w:divBdr>
    </w:div>
    <w:div w:id="137771175">
      <w:bodyDiv w:val="1"/>
      <w:marLeft w:val="0"/>
      <w:marRight w:val="0"/>
      <w:marTop w:val="0"/>
      <w:marBottom w:val="0"/>
      <w:divBdr>
        <w:top w:val="none" w:sz="0" w:space="0" w:color="auto"/>
        <w:left w:val="none" w:sz="0" w:space="0" w:color="auto"/>
        <w:bottom w:val="none" w:sz="0" w:space="0" w:color="auto"/>
        <w:right w:val="none" w:sz="0" w:space="0" w:color="auto"/>
      </w:divBdr>
    </w:div>
    <w:div w:id="137967228">
      <w:bodyDiv w:val="1"/>
      <w:marLeft w:val="0"/>
      <w:marRight w:val="0"/>
      <w:marTop w:val="0"/>
      <w:marBottom w:val="0"/>
      <w:divBdr>
        <w:top w:val="none" w:sz="0" w:space="0" w:color="auto"/>
        <w:left w:val="none" w:sz="0" w:space="0" w:color="auto"/>
        <w:bottom w:val="none" w:sz="0" w:space="0" w:color="auto"/>
        <w:right w:val="none" w:sz="0" w:space="0" w:color="auto"/>
      </w:divBdr>
    </w:div>
    <w:div w:id="138301903">
      <w:bodyDiv w:val="1"/>
      <w:marLeft w:val="0"/>
      <w:marRight w:val="0"/>
      <w:marTop w:val="0"/>
      <w:marBottom w:val="0"/>
      <w:divBdr>
        <w:top w:val="none" w:sz="0" w:space="0" w:color="auto"/>
        <w:left w:val="none" w:sz="0" w:space="0" w:color="auto"/>
        <w:bottom w:val="none" w:sz="0" w:space="0" w:color="auto"/>
        <w:right w:val="none" w:sz="0" w:space="0" w:color="auto"/>
      </w:divBdr>
    </w:div>
    <w:div w:id="139542376">
      <w:bodyDiv w:val="1"/>
      <w:marLeft w:val="0"/>
      <w:marRight w:val="0"/>
      <w:marTop w:val="0"/>
      <w:marBottom w:val="0"/>
      <w:divBdr>
        <w:top w:val="none" w:sz="0" w:space="0" w:color="auto"/>
        <w:left w:val="none" w:sz="0" w:space="0" w:color="auto"/>
        <w:bottom w:val="none" w:sz="0" w:space="0" w:color="auto"/>
        <w:right w:val="none" w:sz="0" w:space="0" w:color="auto"/>
      </w:divBdr>
    </w:div>
    <w:div w:id="139620102">
      <w:bodyDiv w:val="1"/>
      <w:marLeft w:val="0"/>
      <w:marRight w:val="0"/>
      <w:marTop w:val="0"/>
      <w:marBottom w:val="0"/>
      <w:divBdr>
        <w:top w:val="none" w:sz="0" w:space="0" w:color="auto"/>
        <w:left w:val="none" w:sz="0" w:space="0" w:color="auto"/>
        <w:bottom w:val="none" w:sz="0" w:space="0" w:color="auto"/>
        <w:right w:val="none" w:sz="0" w:space="0" w:color="auto"/>
      </w:divBdr>
    </w:div>
    <w:div w:id="139657994">
      <w:bodyDiv w:val="1"/>
      <w:marLeft w:val="0"/>
      <w:marRight w:val="0"/>
      <w:marTop w:val="0"/>
      <w:marBottom w:val="0"/>
      <w:divBdr>
        <w:top w:val="none" w:sz="0" w:space="0" w:color="auto"/>
        <w:left w:val="none" w:sz="0" w:space="0" w:color="auto"/>
        <w:bottom w:val="none" w:sz="0" w:space="0" w:color="auto"/>
        <w:right w:val="none" w:sz="0" w:space="0" w:color="auto"/>
      </w:divBdr>
    </w:div>
    <w:div w:id="139999621">
      <w:bodyDiv w:val="1"/>
      <w:marLeft w:val="0"/>
      <w:marRight w:val="0"/>
      <w:marTop w:val="0"/>
      <w:marBottom w:val="0"/>
      <w:divBdr>
        <w:top w:val="none" w:sz="0" w:space="0" w:color="auto"/>
        <w:left w:val="none" w:sz="0" w:space="0" w:color="auto"/>
        <w:bottom w:val="none" w:sz="0" w:space="0" w:color="auto"/>
        <w:right w:val="none" w:sz="0" w:space="0" w:color="auto"/>
      </w:divBdr>
    </w:div>
    <w:div w:id="140973497">
      <w:bodyDiv w:val="1"/>
      <w:marLeft w:val="0"/>
      <w:marRight w:val="0"/>
      <w:marTop w:val="0"/>
      <w:marBottom w:val="0"/>
      <w:divBdr>
        <w:top w:val="none" w:sz="0" w:space="0" w:color="auto"/>
        <w:left w:val="none" w:sz="0" w:space="0" w:color="auto"/>
        <w:bottom w:val="none" w:sz="0" w:space="0" w:color="auto"/>
        <w:right w:val="none" w:sz="0" w:space="0" w:color="auto"/>
      </w:divBdr>
    </w:div>
    <w:div w:id="141195906">
      <w:bodyDiv w:val="1"/>
      <w:marLeft w:val="0"/>
      <w:marRight w:val="0"/>
      <w:marTop w:val="0"/>
      <w:marBottom w:val="0"/>
      <w:divBdr>
        <w:top w:val="none" w:sz="0" w:space="0" w:color="auto"/>
        <w:left w:val="none" w:sz="0" w:space="0" w:color="auto"/>
        <w:bottom w:val="none" w:sz="0" w:space="0" w:color="auto"/>
        <w:right w:val="none" w:sz="0" w:space="0" w:color="auto"/>
      </w:divBdr>
    </w:div>
    <w:div w:id="141505833">
      <w:bodyDiv w:val="1"/>
      <w:marLeft w:val="0"/>
      <w:marRight w:val="0"/>
      <w:marTop w:val="0"/>
      <w:marBottom w:val="0"/>
      <w:divBdr>
        <w:top w:val="none" w:sz="0" w:space="0" w:color="auto"/>
        <w:left w:val="none" w:sz="0" w:space="0" w:color="auto"/>
        <w:bottom w:val="none" w:sz="0" w:space="0" w:color="auto"/>
        <w:right w:val="none" w:sz="0" w:space="0" w:color="auto"/>
      </w:divBdr>
    </w:div>
    <w:div w:id="141698734">
      <w:bodyDiv w:val="1"/>
      <w:marLeft w:val="0"/>
      <w:marRight w:val="0"/>
      <w:marTop w:val="0"/>
      <w:marBottom w:val="0"/>
      <w:divBdr>
        <w:top w:val="none" w:sz="0" w:space="0" w:color="auto"/>
        <w:left w:val="none" w:sz="0" w:space="0" w:color="auto"/>
        <w:bottom w:val="none" w:sz="0" w:space="0" w:color="auto"/>
        <w:right w:val="none" w:sz="0" w:space="0" w:color="auto"/>
      </w:divBdr>
    </w:div>
    <w:div w:id="141964413">
      <w:bodyDiv w:val="1"/>
      <w:marLeft w:val="0"/>
      <w:marRight w:val="0"/>
      <w:marTop w:val="0"/>
      <w:marBottom w:val="0"/>
      <w:divBdr>
        <w:top w:val="none" w:sz="0" w:space="0" w:color="auto"/>
        <w:left w:val="none" w:sz="0" w:space="0" w:color="auto"/>
        <w:bottom w:val="none" w:sz="0" w:space="0" w:color="auto"/>
        <w:right w:val="none" w:sz="0" w:space="0" w:color="auto"/>
      </w:divBdr>
    </w:div>
    <w:div w:id="142045928">
      <w:bodyDiv w:val="1"/>
      <w:marLeft w:val="0"/>
      <w:marRight w:val="0"/>
      <w:marTop w:val="0"/>
      <w:marBottom w:val="0"/>
      <w:divBdr>
        <w:top w:val="none" w:sz="0" w:space="0" w:color="auto"/>
        <w:left w:val="none" w:sz="0" w:space="0" w:color="auto"/>
        <w:bottom w:val="none" w:sz="0" w:space="0" w:color="auto"/>
        <w:right w:val="none" w:sz="0" w:space="0" w:color="auto"/>
      </w:divBdr>
    </w:div>
    <w:div w:id="142083950">
      <w:bodyDiv w:val="1"/>
      <w:marLeft w:val="0"/>
      <w:marRight w:val="0"/>
      <w:marTop w:val="0"/>
      <w:marBottom w:val="0"/>
      <w:divBdr>
        <w:top w:val="none" w:sz="0" w:space="0" w:color="auto"/>
        <w:left w:val="none" w:sz="0" w:space="0" w:color="auto"/>
        <w:bottom w:val="none" w:sz="0" w:space="0" w:color="auto"/>
        <w:right w:val="none" w:sz="0" w:space="0" w:color="auto"/>
      </w:divBdr>
    </w:div>
    <w:div w:id="142086959">
      <w:bodyDiv w:val="1"/>
      <w:marLeft w:val="0"/>
      <w:marRight w:val="0"/>
      <w:marTop w:val="0"/>
      <w:marBottom w:val="0"/>
      <w:divBdr>
        <w:top w:val="none" w:sz="0" w:space="0" w:color="auto"/>
        <w:left w:val="none" w:sz="0" w:space="0" w:color="auto"/>
        <w:bottom w:val="none" w:sz="0" w:space="0" w:color="auto"/>
        <w:right w:val="none" w:sz="0" w:space="0" w:color="auto"/>
      </w:divBdr>
    </w:div>
    <w:div w:id="142091346">
      <w:bodyDiv w:val="1"/>
      <w:marLeft w:val="0"/>
      <w:marRight w:val="0"/>
      <w:marTop w:val="0"/>
      <w:marBottom w:val="0"/>
      <w:divBdr>
        <w:top w:val="none" w:sz="0" w:space="0" w:color="auto"/>
        <w:left w:val="none" w:sz="0" w:space="0" w:color="auto"/>
        <w:bottom w:val="none" w:sz="0" w:space="0" w:color="auto"/>
        <w:right w:val="none" w:sz="0" w:space="0" w:color="auto"/>
      </w:divBdr>
    </w:div>
    <w:div w:id="142162397">
      <w:bodyDiv w:val="1"/>
      <w:marLeft w:val="0"/>
      <w:marRight w:val="0"/>
      <w:marTop w:val="0"/>
      <w:marBottom w:val="0"/>
      <w:divBdr>
        <w:top w:val="none" w:sz="0" w:space="0" w:color="auto"/>
        <w:left w:val="none" w:sz="0" w:space="0" w:color="auto"/>
        <w:bottom w:val="none" w:sz="0" w:space="0" w:color="auto"/>
        <w:right w:val="none" w:sz="0" w:space="0" w:color="auto"/>
      </w:divBdr>
    </w:div>
    <w:div w:id="142240997">
      <w:bodyDiv w:val="1"/>
      <w:marLeft w:val="0"/>
      <w:marRight w:val="0"/>
      <w:marTop w:val="0"/>
      <w:marBottom w:val="0"/>
      <w:divBdr>
        <w:top w:val="none" w:sz="0" w:space="0" w:color="auto"/>
        <w:left w:val="none" w:sz="0" w:space="0" w:color="auto"/>
        <w:bottom w:val="none" w:sz="0" w:space="0" w:color="auto"/>
        <w:right w:val="none" w:sz="0" w:space="0" w:color="auto"/>
      </w:divBdr>
    </w:div>
    <w:div w:id="142544563">
      <w:bodyDiv w:val="1"/>
      <w:marLeft w:val="0"/>
      <w:marRight w:val="0"/>
      <w:marTop w:val="0"/>
      <w:marBottom w:val="0"/>
      <w:divBdr>
        <w:top w:val="none" w:sz="0" w:space="0" w:color="auto"/>
        <w:left w:val="none" w:sz="0" w:space="0" w:color="auto"/>
        <w:bottom w:val="none" w:sz="0" w:space="0" w:color="auto"/>
        <w:right w:val="none" w:sz="0" w:space="0" w:color="auto"/>
      </w:divBdr>
    </w:div>
    <w:div w:id="142939288">
      <w:bodyDiv w:val="1"/>
      <w:marLeft w:val="0"/>
      <w:marRight w:val="0"/>
      <w:marTop w:val="0"/>
      <w:marBottom w:val="0"/>
      <w:divBdr>
        <w:top w:val="none" w:sz="0" w:space="0" w:color="auto"/>
        <w:left w:val="none" w:sz="0" w:space="0" w:color="auto"/>
        <w:bottom w:val="none" w:sz="0" w:space="0" w:color="auto"/>
        <w:right w:val="none" w:sz="0" w:space="0" w:color="auto"/>
      </w:divBdr>
    </w:div>
    <w:div w:id="143864344">
      <w:bodyDiv w:val="1"/>
      <w:marLeft w:val="0"/>
      <w:marRight w:val="0"/>
      <w:marTop w:val="0"/>
      <w:marBottom w:val="0"/>
      <w:divBdr>
        <w:top w:val="none" w:sz="0" w:space="0" w:color="auto"/>
        <w:left w:val="none" w:sz="0" w:space="0" w:color="auto"/>
        <w:bottom w:val="none" w:sz="0" w:space="0" w:color="auto"/>
        <w:right w:val="none" w:sz="0" w:space="0" w:color="auto"/>
      </w:divBdr>
    </w:div>
    <w:div w:id="144251077">
      <w:bodyDiv w:val="1"/>
      <w:marLeft w:val="0"/>
      <w:marRight w:val="0"/>
      <w:marTop w:val="0"/>
      <w:marBottom w:val="0"/>
      <w:divBdr>
        <w:top w:val="none" w:sz="0" w:space="0" w:color="auto"/>
        <w:left w:val="none" w:sz="0" w:space="0" w:color="auto"/>
        <w:bottom w:val="none" w:sz="0" w:space="0" w:color="auto"/>
        <w:right w:val="none" w:sz="0" w:space="0" w:color="auto"/>
      </w:divBdr>
    </w:div>
    <w:div w:id="144396158">
      <w:bodyDiv w:val="1"/>
      <w:marLeft w:val="0"/>
      <w:marRight w:val="0"/>
      <w:marTop w:val="0"/>
      <w:marBottom w:val="0"/>
      <w:divBdr>
        <w:top w:val="none" w:sz="0" w:space="0" w:color="auto"/>
        <w:left w:val="none" w:sz="0" w:space="0" w:color="auto"/>
        <w:bottom w:val="none" w:sz="0" w:space="0" w:color="auto"/>
        <w:right w:val="none" w:sz="0" w:space="0" w:color="auto"/>
      </w:divBdr>
    </w:div>
    <w:div w:id="144512359">
      <w:bodyDiv w:val="1"/>
      <w:marLeft w:val="0"/>
      <w:marRight w:val="0"/>
      <w:marTop w:val="0"/>
      <w:marBottom w:val="0"/>
      <w:divBdr>
        <w:top w:val="none" w:sz="0" w:space="0" w:color="auto"/>
        <w:left w:val="none" w:sz="0" w:space="0" w:color="auto"/>
        <w:bottom w:val="none" w:sz="0" w:space="0" w:color="auto"/>
        <w:right w:val="none" w:sz="0" w:space="0" w:color="auto"/>
      </w:divBdr>
    </w:div>
    <w:div w:id="145323165">
      <w:bodyDiv w:val="1"/>
      <w:marLeft w:val="0"/>
      <w:marRight w:val="0"/>
      <w:marTop w:val="0"/>
      <w:marBottom w:val="0"/>
      <w:divBdr>
        <w:top w:val="none" w:sz="0" w:space="0" w:color="auto"/>
        <w:left w:val="none" w:sz="0" w:space="0" w:color="auto"/>
        <w:bottom w:val="none" w:sz="0" w:space="0" w:color="auto"/>
        <w:right w:val="none" w:sz="0" w:space="0" w:color="auto"/>
      </w:divBdr>
    </w:div>
    <w:div w:id="145631100">
      <w:bodyDiv w:val="1"/>
      <w:marLeft w:val="0"/>
      <w:marRight w:val="0"/>
      <w:marTop w:val="0"/>
      <w:marBottom w:val="0"/>
      <w:divBdr>
        <w:top w:val="none" w:sz="0" w:space="0" w:color="auto"/>
        <w:left w:val="none" w:sz="0" w:space="0" w:color="auto"/>
        <w:bottom w:val="none" w:sz="0" w:space="0" w:color="auto"/>
        <w:right w:val="none" w:sz="0" w:space="0" w:color="auto"/>
      </w:divBdr>
    </w:div>
    <w:div w:id="145902147">
      <w:bodyDiv w:val="1"/>
      <w:marLeft w:val="0"/>
      <w:marRight w:val="0"/>
      <w:marTop w:val="0"/>
      <w:marBottom w:val="0"/>
      <w:divBdr>
        <w:top w:val="none" w:sz="0" w:space="0" w:color="auto"/>
        <w:left w:val="none" w:sz="0" w:space="0" w:color="auto"/>
        <w:bottom w:val="none" w:sz="0" w:space="0" w:color="auto"/>
        <w:right w:val="none" w:sz="0" w:space="0" w:color="auto"/>
      </w:divBdr>
    </w:div>
    <w:div w:id="145980612">
      <w:bodyDiv w:val="1"/>
      <w:marLeft w:val="0"/>
      <w:marRight w:val="0"/>
      <w:marTop w:val="0"/>
      <w:marBottom w:val="0"/>
      <w:divBdr>
        <w:top w:val="none" w:sz="0" w:space="0" w:color="auto"/>
        <w:left w:val="none" w:sz="0" w:space="0" w:color="auto"/>
        <w:bottom w:val="none" w:sz="0" w:space="0" w:color="auto"/>
        <w:right w:val="none" w:sz="0" w:space="0" w:color="auto"/>
      </w:divBdr>
    </w:div>
    <w:div w:id="146017217">
      <w:bodyDiv w:val="1"/>
      <w:marLeft w:val="0"/>
      <w:marRight w:val="0"/>
      <w:marTop w:val="0"/>
      <w:marBottom w:val="0"/>
      <w:divBdr>
        <w:top w:val="none" w:sz="0" w:space="0" w:color="auto"/>
        <w:left w:val="none" w:sz="0" w:space="0" w:color="auto"/>
        <w:bottom w:val="none" w:sz="0" w:space="0" w:color="auto"/>
        <w:right w:val="none" w:sz="0" w:space="0" w:color="auto"/>
      </w:divBdr>
    </w:div>
    <w:div w:id="146022122">
      <w:bodyDiv w:val="1"/>
      <w:marLeft w:val="0"/>
      <w:marRight w:val="0"/>
      <w:marTop w:val="0"/>
      <w:marBottom w:val="0"/>
      <w:divBdr>
        <w:top w:val="none" w:sz="0" w:space="0" w:color="auto"/>
        <w:left w:val="none" w:sz="0" w:space="0" w:color="auto"/>
        <w:bottom w:val="none" w:sz="0" w:space="0" w:color="auto"/>
        <w:right w:val="none" w:sz="0" w:space="0" w:color="auto"/>
      </w:divBdr>
    </w:div>
    <w:div w:id="146214859">
      <w:bodyDiv w:val="1"/>
      <w:marLeft w:val="0"/>
      <w:marRight w:val="0"/>
      <w:marTop w:val="0"/>
      <w:marBottom w:val="0"/>
      <w:divBdr>
        <w:top w:val="none" w:sz="0" w:space="0" w:color="auto"/>
        <w:left w:val="none" w:sz="0" w:space="0" w:color="auto"/>
        <w:bottom w:val="none" w:sz="0" w:space="0" w:color="auto"/>
        <w:right w:val="none" w:sz="0" w:space="0" w:color="auto"/>
      </w:divBdr>
    </w:div>
    <w:div w:id="146828313">
      <w:bodyDiv w:val="1"/>
      <w:marLeft w:val="0"/>
      <w:marRight w:val="0"/>
      <w:marTop w:val="0"/>
      <w:marBottom w:val="0"/>
      <w:divBdr>
        <w:top w:val="none" w:sz="0" w:space="0" w:color="auto"/>
        <w:left w:val="none" w:sz="0" w:space="0" w:color="auto"/>
        <w:bottom w:val="none" w:sz="0" w:space="0" w:color="auto"/>
        <w:right w:val="none" w:sz="0" w:space="0" w:color="auto"/>
      </w:divBdr>
    </w:div>
    <w:div w:id="146866466">
      <w:bodyDiv w:val="1"/>
      <w:marLeft w:val="0"/>
      <w:marRight w:val="0"/>
      <w:marTop w:val="0"/>
      <w:marBottom w:val="0"/>
      <w:divBdr>
        <w:top w:val="none" w:sz="0" w:space="0" w:color="auto"/>
        <w:left w:val="none" w:sz="0" w:space="0" w:color="auto"/>
        <w:bottom w:val="none" w:sz="0" w:space="0" w:color="auto"/>
        <w:right w:val="none" w:sz="0" w:space="0" w:color="auto"/>
      </w:divBdr>
    </w:div>
    <w:div w:id="147525319">
      <w:bodyDiv w:val="1"/>
      <w:marLeft w:val="0"/>
      <w:marRight w:val="0"/>
      <w:marTop w:val="0"/>
      <w:marBottom w:val="0"/>
      <w:divBdr>
        <w:top w:val="none" w:sz="0" w:space="0" w:color="auto"/>
        <w:left w:val="none" w:sz="0" w:space="0" w:color="auto"/>
        <w:bottom w:val="none" w:sz="0" w:space="0" w:color="auto"/>
        <w:right w:val="none" w:sz="0" w:space="0" w:color="auto"/>
      </w:divBdr>
    </w:div>
    <w:div w:id="147862072">
      <w:bodyDiv w:val="1"/>
      <w:marLeft w:val="0"/>
      <w:marRight w:val="0"/>
      <w:marTop w:val="0"/>
      <w:marBottom w:val="0"/>
      <w:divBdr>
        <w:top w:val="none" w:sz="0" w:space="0" w:color="auto"/>
        <w:left w:val="none" w:sz="0" w:space="0" w:color="auto"/>
        <w:bottom w:val="none" w:sz="0" w:space="0" w:color="auto"/>
        <w:right w:val="none" w:sz="0" w:space="0" w:color="auto"/>
      </w:divBdr>
    </w:div>
    <w:div w:id="147983571">
      <w:bodyDiv w:val="1"/>
      <w:marLeft w:val="0"/>
      <w:marRight w:val="0"/>
      <w:marTop w:val="0"/>
      <w:marBottom w:val="0"/>
      <w:divBdr>
        <w:top w:val="none" w:sz="0" w:space="0" w:color="auto"/>
        <w:left w:val="none" w:sz="0" w:space="0" w:color="auto"/>
        <w:bottom w:val="none" w:sz="0" w:space="0" w:color="auto"/>
        <w:right w:val="none" w:sz="0" w:space="0" w:color="auto"/>
      </w:divBdr>
    </w:div>
    <w:div w:id="147988630">
      <w:bodyDiv w:val="1"/>
      <w:marLeft w:val="0"/>
      <w:marRight w:val="0"/>
      <w:marTop w:val="0"/>
      <w:marBottom w:val="0"/>
      <w:divBdr>
        <w:top w:val="none" w:sz="0" w:space="0" w:color="auto"/>
        <w:left w:val="none" w:sz="0" w:space="0" w:color="auto"/>
        <w:bottom w:val="none" w:sz="0" w:space="0" w:color="auto"/>
        <w:right w:val="none" w:sz="0" w:space="0" w:color="auto"/>
      </w:divBdr>
    </w:div>
    <w:div w:id="148250840">
      <w:bodyDiv w:val="1"/>
      <w:marLeft w:val="0"/>
      <w:marRight w:val="0"/>
      <w:marTop w:val="0"/>
      <w:marBottom w:val="0"/>
      <w:divBdr>
        <w:top w:val="none" w:sz="0" w:space="0" w:color="auto"/>
        <w:left w:val="none" w:sz="0" w:space="0" w:color="auto"/>
        <w:bottom w:val="none" w:sz="0" w:space="0" w:color="auto"/>
        <w:right w:val="none" w:sz="0" w:space="0" w:color="auto"/>
      </w:divBdr>
    </w:div>
    <w:div w:id="148376146">
      <w:bodyDiv w:val="1"/>
      <w:marLeft w:val="0"/>
      <w:marRight w:val="0"/>
      <w:marTop w:val="0"/>
      <w:marBottom w:val="0"/>
      <w:divBdr>
        <w:top w:val="none" w:sz="0" w:space="0" w:color="auto"/>
        <w:left w:val="none" w:sz="0" w:space="0" w:color="auto"/>
        <w:bottom w:val="none" w:sz="0" w:space="0" w:color="auto"/>
        <w:right w:val="none" w:sz="0" w:space="0" w:color="auto"/>
      </w:divBdr>
    </w:div>
    <w:div w:id="148602033">
      <w:bodyDiv w:val="1"/>
      <w:marLeft w:val="0"/>
      <w:marRight w:val="0"/>
      <w:marTop w:val="0"/>
      <w:marBottom w:val="0"/>
      <w:divBdr>
        <w:top w:val="none" w:sz="0" w:space="0" w:color="auto"/>
        <w:left w:val="none" w:sz="0" w:space="0" w:color="auto"/>
        <w:bottom w:val="none" w:sz="0" w:space="0" w:color="auto"/>
        <w:right w:val="none" w:sz="0" w:space="0" w:color="auto"/>
      </w:divBdr>
    </w:div>
    <w:div w:id="148713024">
      <w:bodyDiv w:val="1"/>
      <w:marLeft w:val="0"/>
      <w:marRight w:val="0"/>
      <w:marTop w:val="0"/>
      <w:marBottom w:val="0"/>
      <w:divBdr>
        <w:top w:val="none" w:sz="0" w:space="0" w:color="auto"/>
        <w:left w:val="none" w:sz="0" w:space="0" w:color="auto"/>
        <w:bottom w:val="none" w:sz="0" w:space="0" w:color="auto"/>
        <w:right w:val="none" w:sz="0" w:space="0" w:color="auto"/>
      </w:divBdr>
    </w:div>
    <w:div w:id="148834901">
      <w:bodyDiv w:val="1"/>
      <w:marLeft w:val="0"/>
      <w:marRight w:val="0"/>
      <w:marTop w:val="0"/>
      <w:marBottom w:val="0"/>
      <w:divBdr>
        <w:top w:val="none" w:sz="0" w:space="0" w:color="auto"/>
        <w:left w:val="none" w:sz="0" w:space="0" w:color="auto"/>
        <w:bottom w:val="none" w:sz="0" w:space="0" w:color="auto"/>
        <w:right w:val="none" w:sz="0" w:space="0" w:color="auto"/>
      </w:divBdr>
    </w:div>
    <w:div w:id="149636187">
      <w:bodyDiv w:val="1"/>
      <w:marLeft w:val="0"/>
      <w:marRight w:val="0"/>
      <w:marTop w:val="0"/>
      <w:marBottom w:val="0"/>
      <w:divBdr>
        <w:top w:val="none" w:sz="0" w:space="0" w:color="auto"/>
        <w:left w:val="none" w:sz="0" w:space="0" w:color="auto"/>
        <w:bottom w:val="none" w:sz="0" w:space="0" w:color="auto"/>
        <w:right w:val="none" w:sz="0" w:space="0" w:color="auto"/>
      </w:divBdr>
    </w:div>
    <w:div w:id="149759597">
      <w:bodyDiv w:val="1"/>
      <w:marLeft w:val="0"/>
      <w:marRight w:val="0"/>
      <w:marTop w:val="0"/>
      <w:marBottom w:val="0"/>
      <w:divBdr>
        <w:top w:val="none" w:sz="0" w:space="0" w:color="auto"/>
        <w:left w:val="none" w:sz="0" w:space="0" w:color="auto"/>
        <w:bottom w:val="none" w:sz="0" w:space="0" w:color="auto"/>
        <w:right w:val="none" w:sz="0" w:space="0" w:color="auto"/>
      </w:divBdr>
    </w:div>
    <w:div w:id="150028797">
      <w:bodyDiv w:val="1"/>
      <w:marLeft w:val="0"/>
      <w:marRight w:val="0"/>
      <w:marTop w:val="0"/>
      <w:marBottom w:val="0"/>
      <w:divBdr>
        <w:top w:val="none" w:sz="0" w:space="0" w:color="auto"/>
        <w:left w:val="none" w:sz="0" w:space="0" w:color="auto"/>
        <w:bottom w:val="none" w:sz="0" w:space="0" w:color="auto"/>
        <w:right w:val="none" w:sz="0" w:space="0" w:color="auto"/>
      </w:divBdr>
    </w:div>
    <w:div w:id="150216732">
      <w:bodyDiv w:val="1"/>
      <w:marLeft w:val="0"/>
      <w:marRight w:val="0"/>
      <w:marTop w:val="0"/>
      <w:marBottom w:val="0"/>
      <w:divBdr>
        <w:top w:val="none" w:sz="0" w:space="0" w:color="auto"/>
        <w:left w:val="none" w:sz="0" w:space="0" w:color="auto"/>
        <w:bottom w:val="none" w:sz="0" w:space="0" w:color="auto"/>
        <w:right w:val="none" w:sz="0" w:space="0" w:color="auto"/>
      </w:divBdr>
    </w:div>
    <w:div w:id="150294048">
      <w:bodyDiv w:val="1"/>
      <w:marLeft w:val="0"/>
      <w:marRight w:val="0"/>
      <w:marTop w:val="0"/>
      <w:marBottom w:val="0"/>
      <w:divBdr>
        <w:top w:val="none" w:sz="0" w:space="0" w:color="auto"/>
        <w:left w:val="none" w:sz="0" w:space="0" w:color="auto"/>
        <w:bottom w:val="none" w:sz="0" w:space="0" w:color="auto"/>
        <w:right w:val="none" w:sz="0" w:space="0" w:color="auto"/>
      </w:divBdr>
    </w:div>
    <w:div w:id="150869923">
      <w:bodyDiv w:val="1"/>
      <w:marLeft w:val="0"/>
      <w:marRight w:val="0"/>
      <w:marTop w:val="0"/>
      <w:marBottom w:val="0"/>
      <w:divBdr>
        <w:top w:val="none" w:sz="0" w:space="0" w:color="auto"/>
        <w:left w:val="none" w:sz="0" w:space="0" w:color="auto"/>
        <w:bottom w:val="none" w:sz="0" w:space="0" w:color="auto"/>
        <w:right w:val="none" w:sz="0" w:space="0" w:color="auto"/>
      </w:divBdr>
    </w:div>
    <w:div w:id="151024090">
      <w:bodyDiv w:val="1"/>
      <w:marLeft w:val="0"/>
      <w:marRight w:val="0"/>
      <w:marTop w:val="0"/>
      <w:marBottom w:val="0"/>
      <w:divBdr>
        <w:top w:val="none" w:sz="0" w:space="0" w:color="auto"/>
        <w:left w:val="none" w:sz="0" w:space="0" w:color="auto"/>
        <w:bottom w:val="none" w:sz="0" w:space="0" w:color="auto"/>
        <w:right w:val="none" w:sz="0" w:space="0" w:color="auto"/>
      </w:divBdr>
    </w:div>
    <w:div w:id="151455786">
      <w:bodyDiv w:val="1"/>
      <w:marLeft w:val="0"/>
      <w:marRight w:val="0"/>
      <w:marTop w:val="0"/>
      <w:marBottom w:val="0"/>
      <w:divBdr>
        <w:top w:val="none" w:sz="0" w:space="0" w:color="auto"/>
        <w:left w:val="none" w:sz="0" w:space="0" w:color="auto"/>
        <w:bottom w:val="none" w:sz="0" w:space="0" w:color="auto"/>
        <w:right w:val="none" w:sz="0" w:space="0" w:color="auto"/>
      </w:divBdr>
    </w:div>
    <w:div w:id="151525781">
      <w:bodyDiv w:val="1"/>
      <w:marLeft w:val="0"/>
      <w:marRight w:val="0"/>
      <w:marTop w:val="0"/>
      <w:marBottom w:val="0"/>
      <w:divBdr>
        <w:top w:val="none" w:sz="0" w:space="0" w:color="auto"/>
        <w:left w:val="none" w:sz="0" w:space="0" w:color="auto"/>
        <w:bottom w:val="none" w:sz="0" w:space="0" w:color="auto"/>
        <w:right w:val="none" w:sz="0" w:space="0" w:color="auto"/>
      </w:divBdr>
    </w:div>
    <w:div w:id="151796276">
      <w:bodyDiv w:val="1"/>
      <w:marLeft w:val="0"/>
      <w:marRight w:val="0"/>
      <w:marTop w:val="0"/>
      <w:marBottom w:val="0"/>
      <w:divBdr>
        <w:top w:val="none" w:sz="0" w:space="0" w:color="auto"/>
        <w:left w:val="none" w:sz="0" w:space="0" w:color="auto"/>
        <w:bottom w:val="none" w:sz="0" w:space="0" w:color="auto"/>
        <w:right w:val="none" w:sz="0" w:space="0" w:color="auto"/>
      </w:divBdr>
    </w:div>
    <w:div w:id="151877907">
      <w:bodyDiv w:val="1"/>
      <w:marLeft w:val="0"/>
      <w:marRight w:val="0"/>
      <w:marTop w:val="0"/>
      <w:marBottom w:val="0"/>
      <w:divBdr>
        <w:top w:val="none" w:sz="0" w:space="0" w:color="auto"/>
        <w:left w:val="none" w:sz="0" w:space="0" w:color="auto"/>
        <w:bottom w:val="none" w:sz="0" w:space="0" w:color="auto"/>
        <w:right w:val="none" w:sz="0" w:space="0" w:color="auto"/>
      </w:divBdr>
    </w:div>
    <w:div w:id="152189068">
      <w:bodyDiv w:val="1"/>
      <w:marLeft w:val="0"/>
      <w:marRight w:val="0"/>
      <w:marTop w:val="0"/>
      <w:marBottom w:val="0"/>
      <w:divBdr>
        <w:top w:val="none" w:sz="0" w:space="0" w:color="auto"/>
        <w:left w:val="none" w:sz="0" w:space="0" w:color="auto"/>
        <w:bottom w:val="none" w:sz="0" w:space="0" w:color="auto"/>
        <w:right w:val="none" w:sz="0" w:space="0" w:color="auto"/>
      </w:divBdr>
    </w:div>
    <w:div w:id="152524077">
      <w:bodyDiv w:val="1"/>
      <w:marLeft w:val="0"/>
      <w:marRight w:val="0"/>
      <w:marTop w:val="0"/>
      <w:marBottom w:val="0"/>
      <w:divBdr>
        <w:top w:val="none" w:sz="0" w:space="0" w:color="auto"/>
        <w:left w:val="none" w:sz="0" w:space="0" w:color="auto"/>
        <w:bottom w:val="none" w:sz="0" w:space="0" w:color="auto"/>
        <w:right w:val="none" w:sz="0" w:space="0" w:color="auto"/>
      </w:divBdr>
    </w:div>
    <w:div w:id="152838823">
      <w:bodyDiv w:val="1"/>
      <w:marLeft w:val="0"/>
      <w:marRight w:val="0"/>
      <w:marTop w:val="0"/>
      <w:marBottom w:val="0"/>
      <w:divBdr>
        <w:top w:val="none" w:sz="0" w:space="0" w:color="auto"/>
        <w:left w:val="none" w:sz="0" w:space="0" w:color="auto"/>
        <w:bottom w:val="none" w:sz="0" w:space="0" w:color="auto"/>
        <w:right w:val="none" w:sz="0" w:space="0" w:color="auto"/>
      </w:divBdr>
    </w:div>
    <w:div w:id="153568445">
      <w:bodyDiv w:val="1"/>
      <w:marLeft w:val="0"/>
      <w:marRight w:val="0"/>
      <w:marTop w:val="0"/>
      <w:marBottom w:val="0"/>
      <w:divBdr>
        <w:top w:val="none" w:sz="0" w:space="0" w:color="auto"/>
        <w:left w:val="none" w:sz="0" w:space="0" w:color="auto"/>
        <w:bottom w:val="none" w:sz="0" w:space="0" w:color="auto"/>
        <w:right w:val="none" w:sz="0" w:space="0" w:color="auto"/>
      </w:divBdr>
    </w:div>
    <w:div w:id="154105752">
      <w:bodyDiv w:val="1"/>
      <w:marLeft w:val="0"/>
      <w:marRight w:val="0"/>
      <w:marTop w:val="0"/>
      <w:marBottom w:val="0"/>
      <w:divBdr>
        <w:top w:val="none" w:sz="0" w:space="0" w:color="auto"/>
        <w:left w:val="none" w:sz="0" w:space="0" w:color="auto"/>
        <w:bottom w:val="none" w:sz="0" w:space="0" w:color="auto"/>
        <w:right w:val="none" w:sz="0" w:space="0" w:color="auto"/>
      </w:divBdr>
    </w:div>
    <w:div w:id="154423946">
      <w:bodyDiv w:val="1"/>
      <w:marLeft w:val="0"/>
      <w:marRight w:val="0"/>
      <w:marTop w:val="0"/>
      <w:marBottom w:val="0"/>
      <w:divBdr>
        <w:top w:val="none" w:sz="0" w:space="0" w:color="auto"/>
        <w:left w:val="none" w:sz="0" w:space="0" w:color="auto"/>
        <w:bottom w:val="none" w:sz="0" w:space="0" w:color="auto"/>
        <w:right w:val="none" w:sz="0" w:space="0" w:color="auto"/>
      </w:divBdr>
    </w:div>
    <w:div w:id="154539474">
      <w:bodyDiv w:val="1"/>
      <w:marLeft w:val="0"/>
      <w:marRight w:val="0"/>
      <w:marTop w:val="0"/>
      <w:marBottom w:val="0"/>
      <w:divBdr>
        <w:top w:val="none" w:sz="0" w:space="0" w:color="auto"/>
        <w:left w:val="none" w:sz="0" w:space="0" w:color="auto"/>
        <w:bottom w:val="none" w:sz="0" w:space="0" w:color="auto"/>
        <w:right w:val="none" w:sz="0" w:space="0" w:color="auto"/>
      </w:divBdr>
    </w:div>
    <w:div w:id="154540955">
      <w:bodyDiv w:val="1"/>
      <w:marLeft w:val="0"/>
      <w:marRight w:val="0"/>
      <w:marTop w:val="0"/>
      <w:marBottom w:val="0"/>
      <w:divBdr>
        <w:top w:val="none" w:sz="0" w:space="0" w:color="auto"/>
        <w:left w:val="none" w:sz="0" w:space="0" w:color="auto"/>
        <w:bottom w:val="none" w:sz="0" w:space="0" w:color="auto"/>
        <w:right w:val="none" w:sz="0" w:space="0" w:color="auto"/>
      </w:divBdr>
    </w:div>
    <w:div w:id="154953968">
      <w:bodyDiv w:val="1"/>
      <w:marLeft w:val="0"/>
      <w:marRight w:val="0"/>
      <w:marTop w:val="0"/>
      <w:marBottom w:val="0"/>
      <w:divBdr>
        <w:top w:val="none" w:sz="0" w:space="0" w:color="auto"/>
        <w:left w:val="none" w:sz="0" w:space="0" w:color="auto"/>
        <w:bottom w:val="none" w:sz="0" w:space="0" w:color="auto"/>
        <w:right w:val="none" w:sz="0" w:space="0" w:color="auto"/>
      </w:divBdr>
    </w:div>
    <w:div w:id="155003488">
      <w:bodyDiv w:val="1"/>
      <w:marLeft w:val="0"/>
      <w:marRight w:val="0"/>
      <w:marTop w:val="0"/>
      <w:marBottom w:val="0"/>
      <w:divBdr>
        <w:top w:val="none" w:sz="0" w:space="0" w:color="auto"/>
        <w:left w:val="none" w:sz="0" w:space="0" w:color="auto"/>
        <w:bottom w:val="none" w:sz="0" w:space="0" w:color="auto"/>
        <w:right w:val="none" w:sz="0" w:space="0" w:color="auto"/>
      </w:divBdr>
    </w:div>
    <w:div w:id="155077351">
      <w:bodyDiv w:val="1"/>
      <w:marLeft w:val="0"/>
      <w:marRight w:val="0"/>
      <w:marTop w:val="0"/>
      <w:marBottom w:val="0"/>
      <w:divBdr>
        <w:top w:val="none" w:sz="0" w:space="0" w:color="auto"/>
        <w:left w:val="none" w:sz="0" w:space="0" w:color="auto"/>
        <w:bottom w:val="none" w:sz="0" w:space="0" w:color="auto"/>
        <w:right w:val="none" w:sz="0" w:space="0" w:color="auto"/>
      </w:divBdr>
    </w:div>
    <w:div w:id="155536647">
      <w:bodyDiv w:val="1"/>
      <w:marLeft w:val="0"/>
      <w:marRight w:val="0"/>
      <w:marTop w:val="0"/>
      <w:marBottom w:val="0"/>
      <w:divBdr>
        <w:top w:val="none" w:sz="0" w:space="0" w:color="auto"/>
        <w:left w:val="none" w:sz="0" w:space="0" w:color="auto"/>
        <w:bottom w:val="none" w:sz="0" w:space="0" w:color="auto"/>
        <w:right w:val="none" w:sz="0" w:space="0" w:color="auto"/>
      </w:divBdr>
    </w:div>
    <w:div w:id="157186965">
      <w:bodyDiv w:val="1"/>
      <w:marLeft w:val="0"/>
      <w:marRight w:val="0"/>
      <w:marTop w:val="0"/>
      <w:marBottom w:val="0"/>
      <w:divBdr>
        <w:top w:val="none" w:sz="0" w:space="0" w:color="auto"/>
        <w:left w:val="none" w:sz="0" w:space="0" w:color="auto"/>
        <w:bottom w:val="none" w:sz="0" w:space="0" w:color="auto"/>
        <w:right w:val="none" w:sz="0" w:space="0" w:color="auto"/>
      </w:divBdr>
    </w:div>
    <w:div w:id="158036742">
      <w:bodyDiv w:val="1"/>
      <w:marLeft w:val="0"/>
      <w:marRight w:val="0"/>
      <w:marTop w:val="0"/>
      <w:marBottom w:val="0"/>
      <w:divBdr>
        <w:top w:val="none" w:sz="0" w:space="0" w:color="auto"/>
        <w:left w:val="none" w:sz="0" w:space="0" w:color="auto"/>
        <w:bottom w:val="none" w:sz="0" w:space="0" w:color="auto"/>
        <w:right w:val="none" w:sz="0" w:space="0" w:color="auto"/>
      </w:divBdr>
    </w:div>
    <w:div w:id="158081868">
      <w:bodyDiv w:val="1"/>
      <w:marLeft w:val="0"/>
      <w:marRight w:val="0"/>
      <w:marTop w:val="0"/>
      <w:marBottom w:val="0"/>
      <w:divBdr>
        <w:top w:val="none" w:sz="0" w:space="0" w:color="auto"/>
        <w:left w:val="none" w:sz="0" w:space="0" w:color="auto"/>
        <w:bottom w:val="none" w:sz="0" w:space="0" w:color="auto"/>
        <w:right w:val="none" w:sz="0" w:space="0" w:color="auto"/>
      </w:divBdr>
    </w:div>
    <w:div w:id="158160816">
      <w:bodyDiv w:val="1"/>
      <w:marLeft w:val="0"/>
      <w:marRight w:val="0"/>
      <w:marTop w:val="0"/>
      <w:marBottom w:val="0"/>
      <w:divBdr>
        <w:top w:val="none" w:sz="0" w:space="0" w:color="auto"/>
        <w:left w:val="none" w:sz="0" w:space="0" w:color="auto"/>
        <w:bottom w:val="none" w:sz="0" w:space="0" w:color="auto"/>
        <w:right w:val="none" w:sz="0" w:space="0" w:color="auto"/>
      </w:divBdr>
    </w:div>
    <w:div w:id="158346260">
      <w:bodyDiv w:val="1"/>
      <w:marLeft w:val="0"/>
      <w:marRight w:val="0"/>
      <w:marTop w:val="0"/>
      <w:marBottom w:val="0"/>
      <w:divBdr>
        <w:top w:val="none" w:sz="0" w:space="0" w:color="auto"/>
        <w:left w:val="none" w:sz="0" w:space="0" w:color="auto"/>
        <w:bottom w:val="none" w:sz="0" w:space="0" w:color="auto"/>
        <w:right w:val="none" w:sz="0" w:space="0" w:color="auto"/>
      </w:divBdr>
    </w:div>
    <w:div w:id="158543666">
      <w:bodyDiv w:val="1"/>
      <w:marLeft w:val="0"/>
      <w:marRight w:val="0"/>
      <w:marTop w:val="0"/>
      <w:marBottom w:val="0"/>
      <w:divBdr>
        <w:top w:val="none" w:sz="0" w:space="0" w:color="auto"/>
        <w:left w:val="none" w:sz="0" w:space="0" w:color="auto"/>
        <w:bottom w:val="none" w:sz="0" w:space="0" w:color="auto"/>
        <w:right w:val="none" w:sz="0" w:space="0" w:color="auto"/>
      </w:divBdr>
    </w:div>
    <w:div w:id="159541616">
      <w:bodyDiv w:val="1"/>
      <w:marLeft w:val="0"/>
      <w:marRight w:val="0"/>
      <w:marTop w:val="0"/>
      <w:marBottom w:val="0"/>
      <w:divBdr>
        <w:top w:val="none" w:sz="0" w:space="0" w:color="auto"/>
        <w:left w:val="none" w:sz="0" w:space="0" w:color="auto"/>
        <w:bottom w:val="none" w:sz="0" w:space="0" w:color="auto"/>
        <w:right w:val="none" w:sz="0" w:space="0" w:color="auto"/>
      </w:divBdr>
    </w:div>
    <w:div w:id="159779343">
      <w:bodyDiv w:val="1"/>
      <w:marLeft w:val="0"/>
      <w:marRight w:val="0"/>
      <w:marTop w:val="0"/>
      <w:marBottom w:val="0"/>
      <w:divBdr>
        <w:top w:val="none" w:sz="0" w:space="0" w:color="auto"/>
        <w:left w:val="none" w:sz="0" w:space="0" w:color="auto"/>
        <w:bottom w:val="none" w:sz="0" w:space="0" w:color="auto"/>
        <w:right w:val="none" w:sz="0" w:space="0" w:color="auto"/>
      </w:divBdr>
    </w:div>
    <w:div w:id="159852923">
      <w:bodyDiv w:val="1"/>
      <w:marLeft w:val="0"/>
      <w:marRight w:val="0"/>
      <w:marTop w:val="0"/>
      <w:marBottom w:val="0"/>
      <w:divBdr>
        <w:top w:val="none" w:sz="0" w:space="0" w:color="auto"/>
        <w:left w:val="none" w:sz="0" w:space="0" w:color="auto"/>
        <w:bottom w:val="none" w:sz="0" w:space="0" w:color="auto"/>
        <w:right w:val="none" w:sz="0" w:space="0" w:color="auto"/>
      </w:divBdr>
    </w:div>
    <w:div w:id="161165017">
      <w:bodyDiv w:val="1"/>
      <w:marLeft w:val="0"/>
      <w:marRight w:val="0"/>
      <w:marTop w:val="0"/>
      <w:marBottom w:val="0"/>
      <w:divBdr>
        <w:top w:val="none" w:sz="0" w:space="0" w:color="auto"/>
        <w:left w:val="none" w:sz="0" w:space="0" w:color="auto"/>
        <w:bottom w:val="none" w:sz="0" w:space="0" w:color="auto"/>
        <w:right w:val="none" w:sz="0" w:space="0" w:color="auto"/>
      </w:divBdr>
    </w:div>
    <w:div w:id="161822600">
      <w:bodyDiv w:val="1"/>
      <w:marLeft w:val="0"/>
      <w:marRight w:val="0"/>
      <w:marTop w:val="0"/>
      <w:marBottom w:val="0"/>
      <w:divBdr>
        <w:top w:val="none" w:sz="0" w:space="0" w:color="auto"/>
        <w:left w:val="none" w:sz="0" w:space="0" w:color="auto"/>
        <w:bottom w:val="none" w:sz="0" w:space="0" w:color="auto"/>
        <w:right w:val="none" w:sz="0" w:space="0" w:color="auto"/>
      </w:divBdr>
    </w:div>
    <w:div w:id="161940079">
      <w:bodyDiv w:val="1"/>
      <w:marLeft w:val="0"/>
      <w:marRight w:val="0"/>
      <w:marTop w:val="0"/>
      <w:marBottom w:val="0"/>
      <w:divBdr>
        <w:top w:val="none" w:sz="0" w:space="0" w:color="auto"/>
        <w:left w:val="none" w:sz="0" w:space="0" w:color="auto"/>
        <w:bottom w:val="none" w:sz="0" w:space="0" w:color="auto"/>
        <w:right w:val="none" w:sz="0" w:space="0" w:color="auto"/>
      </w:divBdr>
    </w:div>
    <w:div w:id="163281530">
      <w:bodyDiv w:val="1"/>
      <w:marLeft w:val="0"/>
      <w:marRight w:val="0"/>
      <w:marTop w:val="0"/>
      <w:marBottom w:val="0"/>
      <w:divBdr>
        <w:top w:val="none" w:sz="0" w:space="0" w:color="auto"/>
        <w:left w:val="none" w:sz="0" w:space="0" w:color="auto"/>
        <w:bottom w:val="none" w:sz="0" w:space="0" w:color="auto"/>
        <w:right w:val="none" w:sz="0" w:space="0" w:color="auto"/>
      </w:divBdr>
    </w:div>
    <w:div w:id="163596170">
      <w:bodyDiv w:val="1"/>
      <w:marLeft w:val="0"/>
      <w:marRight w:val="0"/>
      <w:marTop w:val="0"/>
      <w:marBottom w:val="0"/>
      <w:divBdr>
        <w:top w:val="none" w:sz="0" w:space="0" w:color="auto"/>
        <w:left w:val="none" w:sz="0" w:space="0" w:color="auto"/>
        <w:bottom w:val="none" w:sz="0" w:space="0" w:color="auto"/>
        <w:right w:val="none" w:sz="0" w:space="0" w:color="auto"/>
      </w:divBdr>
    </w:div>
    <w:div w:id="163667658">
      <w:bodyDiv w:val="1"/>
      <w:marLeft w:val="0"/>
      <w:marRight w:val="0"/>
      <w:marTop w:val="0"/>
      <w:marBottom w:val="0"/>
      <w:divBdr>
        <w:top w:val="none" w:sz="0" w:space="0" w:color="auto"/>
        <w:left w:val="none" w:sz="0" w:space="0" w:color="auto"/>
        <w:bottom w:val="none" w:sz="0" w:space="0" w:color="auto"/>
        <w:right w:val="none" w:sz="0" w:space="0" w:color="auto"/>
      </w:divBdr>
    </w:div>
    <w:div w:id="163740353">
      <w:bodyDiv w:val="1"/>
      <w:marLeft w:val="0"/>
      <w:marRight w:val="0"/>
      <w:marTop w:val="0"/>
      <w:marBottom w:val="0"/>
      <w:divBdr>
        <w:top w:val="none" w:sz="0" w:space="0" w:color="auto"/>
        <w:left w:val="none" w:sz="0" w:space="0" w:color="auto"/>
        <w:bottom w:val="none" w:sz="0" w:space="0" w:color="auto"/>
        <w:right w:val="none" w:sz="0" w:space="0" w:color="auto"/>
      </w:divBdr>
    </w:div>
    <w:div w:id="163786073">
      <w:bodyDiv w:val="1"/>
      <w:marLeft w:val="0"/>
      <w:marRight w:val="0"/>
      <w:marTop w:val="0"/>
      <w:marBottom w:val="0"/>
      <w:divBdr>
        <w:top w:val="none" w:sz="0" w:space="0" w:color="auto"/>
        <w:left w:val="none" w:sz="0" w:space="0" w:color="auto"/>
        <w:bottom w:val="none" w:sz="0" w:space="0" w:color="auto"/>
        <w:right w:val="none" w:sz="0" w:space="0" w:color="auto"/>
      </w:divBdr>
    </w:div>
    <w:div w:id="163977128">
      <w:bodyDiv w:val="1"/>
      <w:marLeft w:val="0"/>
      <w:marRight w:val="0"/>
      <w:marTop w:val="0"/>
      <w:marBottom w:val="0"/>
      <w:divBdr>
        <w:top w:val="none" w:sz="0" w:space="0" w:color="auto"/>
        <w:left w:val="none" w:sz="0" w:space="0" w:color="auto"/>
        <w:bottom w:val="none" w:sz="0" w:space="0" w:color="auto"/>
        <w:right w:val="none" w:sz="0" w:space="0" w:color="auto"/>
      </w:divBdr>
    </w:div>
    <w:div w:id="164591371">
      <w:bodyDiv w:val="1"/>
      <w:marLeft w:val="0"/>
      <w:marRight w:val="0"/>
      <w:marTop w:val="0"/>
      <w:marBottom w:val="0"/>
      <w:divBdr>
        <w:top w:val="none" w:sz="0" w:space="0" w:color="auto"/>
        <w:left w:val="none" w:sz="0" w:space="0" w:color="auto"/>
        <w:bottom w:val="none" w:sz="0" w:space="0" w:color="auto"/>
        <w:right w:val="none" w:sz="0" w:space="0" w:color="auto"/>
      </w:divBdr>
    </w:div>
    <w:div w:id="164907599">
      <w:bodyDiv w:val="1"/>
      <w:marLeft w:val="0"/>
      <w:marRight w:val="0"/>
      <w:marTop w:val="0"/>
      <w:marBottom w:val="0"/>
      <w:divBdr>
        <w:top w:val="none" w:sz="0" w:space="0" w:color="auto"/>
        <w:left w:val="none" w:sz="0" w:space="0" w:color="auto"/>
        <w:bottom w:val="none" w:sz="0" w:space="0" w:color="auto"/>
        <w:right w:val="none" w:sz="0" w:space="0" w:color="auto"/>
      </w:divBdr>
    </w:div>
    <w:div w:id="165171585">
      <w:bodyDiv w:val="1"/>
      <w:marLeft w:val="0"/>
      <w:marRight w:val="0"/>
      <w:marTop w:val="0"/>
      <w:marBottom w:val="0"/>
      <w:divBdr>
        <w:top w:val="none" w:sz="0" w:space="0" w:color="auto"/>
        <w:left w:val="none" w:sz="0" w:space="0" w:color="auto"/>
        <w:bottom w:val="none" w:sz="0" w:space="0" w:color="auto"/>
        <w:right w:val="none" w:sz="0" w:space="0" w:color="auto"/>
      </w:divBdr>
    </w:div>
    <w:div w:id="165630699">
      <w:bodyDiv w:val="1"/>
      <w:marLeft w:val="0"/>
      <w:marRight w:val="0"/>
      <w:marTop w:val="0"/>
      <w:marBottom w:val="0"/>
      <w:divBdr>
        <w:top w:val="none" w:sz="0" w:space="0" w:color="auto"/>
        <w:left w:val="none" w:sz="0" w:space="0" w:color="auto"/>
        <w:bottom w:val="none" w:sz="0" w:space="0" w:color="auto"/>
        <w:right w:val="none" w:sz="0" w:space="0" w:color="auto"/>
      </w:divBdr>
    </w:div>
    <w:div w:id="165943443">
      <w:bodyDiv w:val="1"/>
      <w:marLeft w:val="0"/>
      <w:marRight w:val="0"/>
      <w:marTop w:val="0"/>
      <w:marBottom w:val="0"/>
      <w:divBdr>
        <w:top w:val="none" w:sz="0" w:space="0" w:color="auto"/>
        <w:left w:val="none" w:sz="0" w:space="0" w:color="auto"/>
        <w:bottom w:val="none" w:sz="0" w:space="0" w:color="auto"/>
        <w:right w:val="none" w:sz="0" w:space="0" w:color="auto"/>
      </w:divBdr>
    </w:div>
    <w:div w:id="166092869">
      <w:bodyDiv w:val="1"/>
      <w:marLeft w:val="0"/>
      <w:marRight w:val="0"/>
      <w:marTop w:val="0"/>
      <w:marBottom w:val="0"/>
      <w:divBdr>
        <w:top w:val="none" w:sz="0" w:space="0" w:color="auto"/>
        <w:left w:val="none" w:sz="0" w:space="0" w:color="auto"/>
        <w:bottom w:val="none" w:sz="0" w:space="0" w:color="auto"/>
        <w:right w:val="none" w:sz="0" w:space="0" w:color="auto"/>
      </w:divBdr>
    </w:div>
    <w:div w:id="166599348">
      <w:bodyDiv w:val="1"/>
      <w:marLeft w:val="0"/>
      <w:marRight w:val="0"/>
      <w:marTop w:val="0"/>
      <w:marBottom w:val="0"/>
      <w:divBdr>
        <w:top w:val="none" w:sz="0" w:space="0" w:color="auto"/>
        <w:left w:val="none" w:sz="0" w:space="0" w:color="auto"/>
        <w:bottom w:val="none" w:sz="0" w:space="0" w:color="auto"/>
        <w:right w:val="none" w:sz="0" w:space="0" w:color="auto"/>
      </w:divBdr>
    </w:div>
    <w:div w:id="167253852">
      <w:bodyDiv w:val="1"/>
      <w:marLeft w:val="0"/>
      <w:marRight w:val="0"/>
      <w:marTop w:val="0"/>
      <w:marBottom w:val="0"/>
      <w:divBdr>
        <w:top w:val="none" w:sz="0" w:space="0" w:color="auto"/>
        <w:left w:val="none" w:sz="0" w:space="0" w:color="auto"/>
        <w:bottom w:val="none" w:sz="0" w:space="0" w:color="auto"/>
        <w:right w:val="none" w:sz="0" w:space="0" w:color="auto"/>
      </w:divBdr>
    </w:div>
    <w:div w:id="167403708">
      <w:bodyDiv w:val="1"/>
      <w:marLeft w:val="0"/>
      <w:marRight w:val="0"/>
      <w:marTop w:val="0"/>
      <w:marBottom w:val="0"/>
      <w:divBdr>
        <w:top w:val="none" w:sz="0" w:space="0" w:color="auto"/>
        <w:left w:val="none" w:sz="0" w:space="0" w:color="auto"/>
        <w:bottom w:val="none" w:sz="0" w:space="0" w:color="auto"/>
        <w:right w:val="none" w:sz="0" w:space="0" w:color="auto"/>
      </w:divBdr>
    </w:div>
    <w:div w:id="167713347">
      <w:bodyDiv w:val="1"/>
      <w:marLeft w:val="0"/>
      <w:marRight w:val="0"/>
      <w:marTop w:val="0"/>
      <w:marBottom w:val="0"/>
      <w:divBdr>
        <w:top w:val="none" w:sz="0" w:space="0" w:color="auto"/>
        <w:left w:val="none" w:sz="0" w:space="0" w:color="auto"/>
        <w:bottom w:val="none" w:sz="0" w:space="0" w:color="auto"/>
        <w:right w:val="none" w:sz="0" w:space="0" w:color="auto"/>
      </w:divBdr>
    </w:div>
    <w:div w:id="167908493">
      <w:bodyDiv w:val="1"/>
      <w:marLeft w:val="0"/>
      <w:marRight w:val="0"/>
      <w:marTop w:val="0"/>
      <w:marBottom w:val="0"/>
      <w:divBdr>
        <w:top w:val="none" w:sz="0" w:space="0" w:color="auto"/>
        <w:left w:val="none" w:sz="0" w:space="0" w:color="auto"/>
        <w:bottom w:val="none" w:sz="0" w:space="0" w:color="auto"/>
        <w:right w:val="none" w:sz="0" w:space="0" w:color="auto"/>
      </w:divBdr>
    </w:div>
    <w:div w:id="168065489">
      <w:bodyDiv w:val="1"/>
      <w:marLeft w:val="0"/>
      <w:marRight w:val="0"/>
      <w:marTop w:val="0"/>
      <w:marBottom w:val="0"/>
      <w:divBdr>
        <w:top w:val="none" w:sz="0" w:space="0" w:color="auto"/>
        <w:left w:val="none" w:sz="0" w:space="0" w:color="auto"/>
        <w:bottom w:val="none" w:sz="0" w:space="0" w:color="auto"/>
        <w:right w:val="none" w:sz="0" w:space="0" w:color="auto"/>
      </w:divBdr>
    </w:div>
    <w:div w:id="168178767">
      <w:bodyDiv w:val="1"/>
      <w:marLeft w:val="0"/>
      <w:marRight w:val="0"/>
      <w:marTop w:val="0"/>
      <w:marBottom w:val="0"/>
      <w:divBdr>
        <w:top w:val="none" w:sz="0" w:space="0" w:color="auto"/>
        <w:left w:val="none" w:sz="0" w:space="0" w:color="auto"/>
        <w:bottom w:val="none" w:sz="0" w:space="0" w:color="auto"/>
        <w:right w:val="none" w:sz="0" w:space="0" w:color="auto"/>
      </w:divBdr>
    </w:div>
    <w:div w:id="168184565">
      <w:bodyDiv w:val="1"/>
      <w:marLeft w:val="0"/>
      <w:marRight w:val="0"/>
      <w:marTop w:val="0"/>
      <w:marBottom w:val="0"/>
      <w:divBdr>
        <w:top w:val="none" w:sz="0" w:space="0" w:color="auto"/>
        <w:left w:val="none" w:sz="0" w:space="0" w:color="auto"/>
        <w:bottom w:val="none" w:sz="0" w:space="0" w:color="auto"/>
        <w:right w:val="none" w:sz="0" w:space="0" w:color="auto"/>
      </w:divBdr>
    </w:div>
    <w:div w:id="168296545">
      <w:bodyDiv w:val="1"/>
      <w:marLeft w:val="0"/>
      <w:marRight w:val="0"/>
      <w:marTop w:val="0"/>
      <w:marBottom w:val="0"/>
      <w:divBdr>
        <w:top w:val="none" w:sz="0" w:space="0" w:color="auto"/>
        <w:left w:val="none" w:sz="0" w:space="0" w:color="auto"/>
        <w:bottom w:val="none" w:sz="0" w:space="0" w:color="auto"/>
        <w:right w:val="none" w:sz="0" w:space="0" w:color="auto"/>
      </w:divBdr>
    </w:div>
    <w:div w:id="168449502">
      <w:bodyDiv w:val="1"/>
      <w:marLeft w:val="0"/>
      <w:marRight w:val="0"/>
      <w:marTop w:val="0"/>
      <w:marBottom w:val="0"/>
      <w:divBdr>
        <w:top w:val="none" w:sz="0" w:space="0" w:color="auto"/>
        <w:left w:val="none" w:sz="0" w:space="0" w:color="auto"/>
        <w:bottom w:val="none" w:sz="0" w:space="0" w:color="auto"/>
        <w:right w:val="none" w:sz="0" w:space="0" w:color="auto"/>
      </w:divBdr>
    </w:div>
    <w:div w:id="168493183">
      <w:bodyDiv w:val="1"/>
      <w:marLeft w:val="0"/>
      <w:marRight w:val="0"/>
      <w:marTop w:val="0"/>
      <w:marBottom w:val="0"/>
      <w:divBdr>
        <w:top w:val="none" w:sz="0" w:space="0" w:color="auto"/>
        <w:left w:val="none" w:sz="0" w:space="0" w:color="auto"/>
        <w:bottom w:val="none" w:sz="0" w:space="0" w:color="auto"/>
        <w:right w:val="none" w:sz="0" w:space="0" w:color="auto"/>
      </w:divBdr>
    </w:div>
    <w:div w:id="168522434">
      <w:bodyDiv w:val="1"/>
      <w:marLeft w:val="0"/>
      <w:marRight w:val="0"/>
      <w:marTop w:val="0"/>
      <w:marBottom w:val="0"/>
      <w:divBdr>
        <w:top w:val="none" w:sz="0" w:space="0" w:color="auto"/>
        <w:left w:val="none" w:sz="0" w:space="0" w:color="auto"/>
        <w:bottom w:val="none" w:sz="0" w:space="0" w:color="auto"/>
        <w:right w:val="none" w:sz="0" w:space="0" w:color="auto"/>
      </w:divBdr>
    </w:div>
    <w:div w:id="168953164">
      <w:bodyDiv w:val="1"/>
      <w:marLeft w:val="0"/>
      <w:marRight w:val="0"/>
      <w:marTop w:val="0"/>
      <w:marBottom w:val="0"/>
      <w:divBdr>
        <w:top w:val="none" w:sz="0" w:space="0" w:color="auto"/>
        <w:left w:val="none" w:sz="0" w:space="0" w:color="auto"/>
        <w:bottom w:val="none" w:sz="0" w:space="0" w:color="auto"/>
        <w:right w:val="none" w:sz="0" w:space="0" w:color="auto"/>
      </w:divBdr>
    </w:div>
    <w:div w:id="169027743">
      <w:bodyDiv w:val="1"/>
      <w:marLeft w:val="0"/>
      <w:marRight w:val="0"/>
      <w:marTop w:val="0"/>
      <w:marBottom w:val="0"/>
      <w:divBdr>
        <w:top w:val="none" w:sz="0" w:space="0" w:color="auto"/>
        <w:left w:val="none" w:sz="0" w:space="0" w:color="auto"/>
        <w:bottom w:val="none" w:sz="0" w:space="0" w:color="auto"/>
        <w:right w:val="none" w:sz="0" w:space="0" w:color="auto"/>
      </w:divBdr>
    </w:div>
    <w:div w:id="169221574">
      <w:bodyDiv w:val="1"/>
      <w:marLeft w:val="0"/>
      <w:marRight w:val="0"/>
      <w:marTop w:val="0"/>
      <w:marBottom w:val="0"/>
      <w:divBdr>
        <w:top w:val="none" w:sz="0" w:space="0" w:color="auto"/>
        <w:left w:val="none" w:sz="0" w:space="0" w:color="auto"/>
        <w:bottom w:val="none" w:sz="0" w:space="0" w:color="auto"/>
        <w:right w:val="none" w:sz="0" w:space="0" w:color="auto"/>
      </w:divBdr>
    </w:div>
    <w:div w:id="169569785">
      <w:bodyDiv w:val="1"/>
      <w:marLeft w:val="0"/>
      <w:marRight w:val="0"/>
      <w:marTop w:val="0"/>
      <w:marBottom w:val="0"/>
      <w:divBdr>
        <w:top w:val="none" w:sz="0" w:space="0" w:color="auto"/>
        <w:left w:val="none" w:sz="0" w:space="0" w:color="auto"/>
        <w:bottom w:val="none" w:sz="0" w:space="0" w:color="auto"/>
        <w:right w:val="none" w:sz="0" w:space="0" w:color="auto"/>
      </w:divBdr>
    </w:div>
    <w:div w:id="169679974">
      <w:bodyDiv w:val="1"/>
      <w:marLeft w:val="0"/>
      <w:marRight w:val="0"/>
      <w:marTop w:val="0"/>
      <w:marBottom w:val="0"/>
      <w:divBdr>
        <w:top w:val="none" w:sz="0" w:space="0" w:color="auto"/>
        <w:left w:val="none" w:sz="0" w:space="0" w:color="auto"/>
        <w:bottom w:val="none" w:sz="0" w:space="0" w:color="auto"/>
        <w:right w:val="none" w:sz="0" w:space="0" w:color="auto"/>
      </w:divBdr>
    </w:div>
    <w:div w:id="169688115">
      <w:bodyDiv w:val="1"/>
      <w:marLeft w:val="0"/>
      <w:marRight w:val="0"/>
      <w:marTop w:val="0"/>
      <w:marBottom w:val="0"/>
      <w:divBdr>
        <w:top w:val="none" w:sz="0" w:space="0" w:color="auto"/>
        <w:left w:val="none" w:sz="0" w:space="0" w:color="auto"/>
        <w:bottom w:val="none" w:sz="0" w:space="0" w:color="auto"/>
        <w:right w:val="none" w:sz="0" w:space="0" w:color="auto"/>
      </w:divBdr>
    </w:div>
    <w:div w:id="169759672">
      <w:bodyDiv w:val="1"/>
      <w:marLeft w:val="0"/>
      <w:marRight w:val="0"/>
      <w:marTop w:val="0"/>
      <w:marBottom w:val="0"/>
      <w:divBdr>
        <w:top w:val="none" w:sz="0" w:space="0" w:color="auto"/>
        <w:left w:val="none" w:sz="0" w:space="0" w:color="auto"/>
        <w:bottom w:val="none" w:sz="0" w:space="0" w:color="auto"/>
        <w:right w:val="none" w:sz="0" w:space="0" w:color="auto"/>
      </w:divBdr>
    </w:div>
    <w:div w:id="170612296">
      <w:bodyDiv w:val="1"/>
      <w:marLeft w:val="0"/>
      <w:marRight w:val="0"/>
      <w:marTop w:val="0"/>
      <w:marBottom w:val="0"/>
      <w:divBdr>
        <w:top w:val="none" w:sz="0" w:space="0" w:color="auto"/>
        <w:left w:val="none" w:sz="0" w:space="0" w:color="auto"/>
        <w:bottom w:val="none" w:sz="0" w:space="0" w:color="auto"/>
        <w:right w:val="none" w:sz="0" w:space="0" w:color="auto"/>
      </w:divBdr>
    </w:div>
    <w:div w:id="170612743">
      <w:bodyDiv w:val="1"/>
      <w:marLeft w:val="0"/>
      <w:marRight w:val="0"/>
      <w:marTop w:val="0"/>
      <w:marBottom w:val="0"/>
      <w:divBdr>
        <w:top w:val="none" w:sz="0" w:space="0" w:color="auto"/>
        <w:left w:val="none" w:sz="0" w:space="0" w:color="auto"/>
        <w:bottom w:val="none" w:sz="0" w:space="0" w:color="auto"/>
        <w:right w:val="none" w:sz="0" w:space="0" w:color="auto"/>
      </w:divBdr>
    </w:div>
    <w:div w:id="170725534">
      <w:bodyDiv w:val="1"/>
      <w:marLeft w:val="0"/>
      <w:marRight w:val="0"/>
      <w:marTop w:val="0"/>
      <w:marBottom w:val="0"/>
      <w:divBdr>
        <w:top w:val="none" w:sz="0" w:space="0" w:color="auto"/>
        <w:left w:val="none" w:sz="0" w:space="0" w:color="auto"/>
        <w:bottom w:val="none" w:sz="0" w:space="0" w:color="auto"/>
        <w:right w:val="none" w:sz="0" w:space="0" w:color="auto"/>
      </w:divBdr>
    </w:div>
    <w:div w:id="171380634">
      <w:bodyDiv w:val="1"/>
      <w:marLeft w:val="0"/>
      <w:marRight w:val="0"/>
      <w:marTop w:val="0"/>
      <w:marBottom w:val="0"/>
      <w:divBdr>
        <w:top w:val="none" w:sz="0" w:space="0" w:color="auto"/>
        <w:left w:val="none" w:sz="0" w:space="0" w:color="auto"/>
        <w:bottom w:val="none" w:sz="0" w:space="0" w:color="auto"/>
        <w:right w:val="none" w:sz="0" w:space="0" w:color="auto"/>
      </w:divBdr>
    </w:div>
    <w:div w:id="171528495">
      <w:bodyDiv w:val="1"/>
      <w:marLeft w:val="0"/>
      <w:marRight w:val="0"/>
      <w:marTop w:val="0"/>
      <w:marBottom w:val="0"/>
      <w:divBdr>
        <w:top w:val="none" w:sz="0" w:space="0" w:color="auto"/>
        <w:left w:val="none" w:sz="0" w:space="0" w:color="auto"/>
        <w:bottom w:val="none" w:sz="0" w:space="0" w:color="auto"/>
        <w:right w:val="none" w:sz="0" w:space="0" w:color="auto"/>
      </w:divBdr>
    </w:div>
    <w:div w:id="171989444">
      <w:bodyDiv w:val="1"/>
      <w:marLeft w:val="0"/>
      <w:marRight w:val="0"/>
      <w:marTop w:val="0"/>
      <w:marBottom w:val="0"/>
      <w:divBdr>
        <w:top w:val="none" w:sz="0" w:space="0" w:color="auto"/>
        <w:left w:val="none" w:sz="0" w:space="0" w:color="auto"/>
        <w:bottom w:val="none" w:sz="0" w:space="0" w:color="auto"/>
        <w:right w:val="none" w:sz="0" w:space="0" w:color="auto"/>
      </w:divBdr>
    </w:div>
    <w:div w:id="172234383">
      <w:bodyDiv w:val="1"/>
      <w:marLeft w:val="0"/>
      <w:marRight w:val="0"/>
      <w:marTop w:val="0"/>
      <w:marBottom w:val="0"/>
      <w:divBdr>
        <w:top w:val="none" w:sz="0" w:space="0" w:color="auto"/>
        <w:left w:val="none" w:sz="0" w:space="0" w:color="auto"/>
        <w:bottom w:val="none" w:sz="0" w:space="0" w:color="auto"/>
        <w:right w:val="none" w:sz="0" w:space="0" w:color="auto"/>
      </w:divBdr>
    </w:div>
    <w:div w:id="172497426">
      <w:bodyDiv w:val="1"/>
      <w:marLeft w:val="0"/>
      <w:marRight w:val="0"/>
      <w:marTop w:val="0"/>
      <w:marBottom w:val="0"/>
      <w:divBdr>
        <w:top w:val="none" w:sz="0" w:space="0" w:color="auto"/>
        <w:left w:val="none" w:sz="0" w:space="0" w:color="auto"/>
        <w:bottom w:val="none" w:sz="0" w:space="0" w:color="auto"/>
        <w:right w:val="none" w:sz="0" w:space="0" w:color="auto"/>
      </w:divBdr>
    </w:div>
    <w:div w:id="172653532">
      <w:bodyDiv w:val="1"/>
      <w:marLeft w:val="0"/>
      <w:marRight w:val="0"/>
      <w:marTop w:val="0"/>
      <w:marBottom w:val="0"/>
      <w:divBdr>
        <w:top w:val="none" w:sz="0" w:space="0" w:color="auto"/>
        <w:left w:val="none" w:sz="0" w:space="0" w:color="auto"/>
        <w:bottom w:val="none" w:sz="0" w:space="0" w:color="auto"/>
        <w:right w:val="none" w:sz="0" w:space="0" w:color="auto"/>
      </w:divBdr>
    </w:div>
    <w:div w:id="173343008">
      <w:bodyDiv w:val="1"/>
      <w:marLeft w:val="0"/>
      <w:marRight w:val="0"/>
      <w:marTop w:val="0"/>
      <w:marBottom w:val="0"/>
      <w:divBdr>
        <w:top w:val="none" w:sz="0" w:space="0" w:color="auto"/>
        <w:left w:val="none" w:sz="0" w:space="0" w:color="auto"/>
        <w:bottom w:val="none" w:sz="0" w:space="0" w:color="auto"/>
        <w:right w:val="none" w:sz="0" w:space="0" w:color="auto"/>
      </w:divBdr>
    </w:div>
    <w:div w:id="173350008">
      <w:bodyDiv w:val="1"/>
      <w:marLeft w:val="0"/>
      <w:marRight w:val="0"/>
      <w:marTop w:val="0"/>
      <w:marBottom w:val="0"/>
      <w:divBdr>
        <w:top w:val="none" w:sz="0" w:space="0" w:color="auto"/>
        <w:left w:val="none" w:sz="0" w:space="0" w:color="auto"/>
        <w:bottom w:val="none" w:sz="0" w:space="0" w:color="auto"/>
        <w:right w:val="none" w:sz="0" w:space="0" w:color="auto"/>
      </w:divBdr>
    </w:div>
    <w:div w:id="173417981">
      <w:bodyDiv w:val="1"/>
      <w:marLeft w:val="0"/>
      <w:marRight w:val="0"/>
      <w:marTop w:val="0"/>
      <w:marBottom w:val="0"/>
      <w:divBdr>
        <w:top w:val="none" w:sz="0" w:space="0" w:color="auto"/>
        <w:left w:val="none" w:sz="0" w:space="0" w:color="auto"/>
        <w:bottom w:val="none" w:sz="0" w:space="0" w:color="auto"/>
        <w:right w:val="none" w:sz="0" w:space="0" w:color="auto"/>
      </w:divBdr>
    </w:div>
    <w:div w:id="173426737">
      <w:bodyDiv w:val="1"/>
      <w:marLeft w:val="0"/>
      <w:marRight w:val="0"/>
      <w:marTop w:val="0"/>
      <w:marBottom w:val="0"/>
      <w:divBdr>
        <w:top w:val="none" w:sz="0" w:space="0" w:color="auto"/>
        <w:left w:val="none" w:sz="0" w:space="0" w:color="auto"/>
        <w:bottom w:val="none" w:sz="0" w:space="0" w:color="auto"/>
        <w:right w:val="none" w:sz="0" w:space="0" w:color="auto"/>
      </w:divBdr>
    </w:div>
    <w:div w:id="173570390">
      <w:bodyDiv w:val="1"/>
      <w:marLeft w:val="0"/>
      <w:marRight w:val="0"/>
      <w:marTop w:val="0"/>
      <w:marBottom w:val="0"/>
      <w:divBdr>
        <w:top w:val="none" w:sz="0" w:space="0" w:color="auto"/>
        <w:left w:val="none" w:sz="0" w:space="0" w:color="auto"/>
        <w:bottom w:val="none" w:sz="0" w:space="0" w:color="auto"/>
        <w:right w:val="none" w:sz="0" w:space="0" w:color="auto"/>
      </w:divBdr>
    </w:div>
    <w:div w:id="173958706">
      <w:bodyDiv w:val="1"/>
      <w:marLeft w:val="0"/>
      <w:marRight w:val="0"/>
      <w:marTop w:val="0"/>
      <w:marBottom w:val="0"/>
      <w:divBdr>
        <w:top w:val="none" w:sz="0" w:space="0" w:color="auto"/>
        <w:left w:val="none" w:sz="0" w:space="0" w:color="auto"/>
        <w:bottom w:val="none" w:sz="0" w:space="0" w:color="auto"/>
        <w:right w:val="none" w:sz="0" w:space="0" w:color="auto"/>
      </w:divBdr>
    </w:div>
    <w:div w:id="174879050">
      <w:bodyDiv w:val="1"/>
      <w:marLeft w:val="0"/>
      <w:marRight w:val="0"/>
      <w:marTop w:val="0"/>
      <w:marBottom w:val="0"/>
      <w:divBdr>
        <w:top w:val="none" w:sz="0" w:space="0" w:color="auto"/>
        <w:left w:val="none" w:sz="0" w:space="0" w:color="auto"/>
        <w:bottom w:val="none" w:sz="0" w:space="0" w:color="auto"/>
        <w:right w:val="none" w:sz="0" w:space="0" w:color="auto"/>
      </w:divBdr>
    </w:div>
    <w:div w:id="175121398">
      <w:bodyDiv w:val="1"/>
      <w:marLeft w:val="0"/>
      <w:marRight w:val="0"/>
      <w:marTop w:val="0"/>
      <w:marBottom w:val="0"/>
      <w:divBdr>
        <w:top w:val="none" w:sz="0" w:space="0" w:color="auto"/>
        <w:left w:val="none" w:sz="0" w:space="0" w:color="auto"/>
        <w:bottom w:val="none" w:sz="0" w:space="0" w:color="auto"/>
        <w:right w:val="none" w:sz="0" w:space="0" w:color="auto"/>
      </w:divBdr>
    </w:div>
    <w:div w:id="175197054">
      <w:bodyDiv w:val="1"/>
      <w:marLeft w:val="0"/>
      <w:marRight w:val="0"/>
      <w:marTop w:val="0"/>
      <w:marBottom w:val="0"/>
      <w:divBdr>
        <w:top w:val="none" w:sz="0" w:space="0" w:color="auto"/>
        <w:left w:val="none" w:sz="0" w:space="0" w:color="auto"/>
        <w:bottom w:val="none" w:sz="0" w:space="0" w:color="auto"/>
        <w:right w:val="none" w:sz="0" w:space="0" w:color="auto"/>
      </w:divBdr>
    </w:div>
    <w:div w:id="175582274">
      <w:bodyDiv w:val="1"/>
      <w:marLeft w:val="0"/>
      <w:marRight w:val="0"/>
      <w:marTop w:val="0"/>
      <w:marBottom w:val="0"/>
      <w:divBdr>
        <w:top w:val="none" w:sz="0" w:space="0" w:color="auto"/>
        <w:left w:val="none" w:sz="0" w:space="0" w:color="auto"/>
        <w:bottom w:val="none" w:sz="0" w:space="0" w:color="auto"/>
        <w:right w:val="none" w:sz="0" w:space="0" w:color="auto"/>
      </w:divBdr>
    </w:div>
    <w:div w:id="176389776">
      <w:bodyDiv w:val="1"/>
      <w:marLeft w:val="0"/>
      <w:marRight w:val="0"/>
      <w:marTop w:val="0"/>
      <w:marBottom w:val="0"/>
      <w:divBdr>
        <w:top w:val="none" w:sz="0" w:space="0" w:color="auto"/>
        <w:left w:val="none" w:sz="0" w:space="0" w:color="auto"/>
        <w:bottom w:val="none" w:sz="0" w:space="0" w:color="auto"/>
        <w:right w:val="none" w:sz="0" w:space="0" w:color="auto"/>
      </w:divBdr>
    </w:div>
    <w:div w:id="176509247">
      <w:bodyDiv w:val="1"/>
      <w:marLeft w:val="0"/>
      <w:marRight w:val="0"/>
      <w:marTop w:val="0"/>
      <w:marBottom w:val="0"/>
      <w:divBdr>
        <w:top w:val="none" w:sz="0" w:space="0" w:color="auto"/>
        <w:left w:val="none" w:sz="0" w:space="0" w:color="auto"/>
        <w:bottom w:val="none" w:sz="0" w:space="0" w:color="auto"/>
        <w:right w:val="none" w:sz="0" w:space="0" w:color="auto"/>
      </w:divBdr>
    </w:div>
    <w:div w:id="176509539">
      <w:bodyDiv w:val="1"/>
      <w:marLeft w:val="0"/>
      <w:marRight w:val="0"/>
      <w:marTop w:val="0"/>
      <w:marBottom w:val="0"/>
      <w:divBdr>
        <w:top w:val="none" w:sz="0" w:space="0" w:color="auto"/>
        <w:left w:val="none" w:sz="0" w:space="0" w:color="auto"/>
        <w:bottom w:val="none" w:sz="0" w:space="0" w:color="auto"/>
        <w:right w:val="none" w:sz="0" w:space="0" w:color="auto"/>
      </w:divBdr>
    </w:div>
    <w:div w:id="177038069">
      <w:bodyDiv w:val="1"/>
      <w:marLeft w:val="0"/>
      <w:marRight w:val="0"/>
      <w:marTop w:val="0"/>
      <w:marBottom w:val="0"/>
      <w:divBdr>
        <w:top w:val="none" w:sz="0" w:space="0" w:color="auto"/>
        <w:left w:val="none" w:sz="0" w:space="0" w:color="auto"/>
        <w:bottom w:val="none" w:sz="0" w:space="0" w:color="auto"/>
        <w:right w:val="none" w:sz="0" w:space="0" w:color="auto"/>
      </w:divBdr>
    </w:div>
    <w:div w:id="177085115">
      <w:bodyDiv w:val="1"/>
      <w:marLeft w:val="0"/>
      <w:marRight w:val="0"/>
      <w:marTop w:val="0"/>
      <w:marBottom w:val="0"/>
      <w:divBdr>
        <w:top w:val="none" w:sz="0" w:space="0" w:color="auto"/>
        <w:left w:val="none" w:sz="0" w:space="0" w:color="auto"/>
        <w:bottom w:val="none" w:sz="0" w:space="0" w:color="auto"/>
        <w:right w:val="none" w:sz="0" w:space="0" w:color="auto"/>
      </w:divBdr>
    </w:div>
    <w:div w:id="177282699">
      <w:bodyDiv w:val="1"/>
      <w:marLeft w:val="0"/>
      <w:marRight w:val="0"/>
      <w:marTop w:val="0"/>
      <w:marBottom w:val="0"/>
      <w:divBdr>
        <w:top w:val="none" w:sz="0" w:space="0" w:color="auto"/>
        <w:left w:val="none" w:sz="0" w:space="0" w:color="auto"/>
        <w:bottom w:val="none" w:sz="0" w:space="0" w:color="auto"/>
        <w:right w:val="none" w:sz="0" w:space="0" w:color="auto"/>
      </w:divBdr>
    </w:div>
    <w:div w:id="177473751">
      <w:bodyDiv w:val="1"/>
      <w:marLeft w:val="0"/>
      <w:marRight w:val="0"/>
      <w:marTop w:val="0"/>
      <w:marBottom w:val="0"/>
      <w:divBdr>
        <w:top w:val="none" w:sz="0" w:space="0" w:color="auto"/>
        <w:left w:val="none" w:sz="0" w:space="0" w:color="auto"/>
        <w:bottom w:val="none" w:sz="0" w:space="0" w:color="auto"/>
        <w:right w:val="none" w:sz="0" w:space="0" w:color="auto"/>
      </w:divBdr>
    </w:div>
    <w:div w:id="177618601">
      <w:bodyDiv w:val="1"/>
      <w:marLeft w:val="0"/>
      <w:marRight w:val="0"/>
      <w:marTop w:val="0"/>
      <w:marBottom w:val="0"/>
      <w:divBdr>
        <w:top w:val="none" w:sz="0" w:space="0" w:color="auto"/>
        <w:left w:val="none" w:sz="0" w:space="0" w:color="auto"/>
        <w:bottom w:val="none" w:sz="0" w:space="0" w:color="auto"/>
        <w:right w:val="none" w:sz="0" w:space="0" w:color="auto"/>
      </w:divBdr>
    </w:div>
    <w:div w:id="177744428">
      <w:bodyDiv w:val="1"/>
      <w:marLeft w:val="0"/>
      <w:marRight w:val="0"/>
      <w:marTop w:val="0"/>
      <w:marBottom w:val="0"/>
      <w:divBdr>
        <w:top w:val="none" w:sz="0" w:space="0" w:color="auto"/>
        <w:left w:val="none" w:sz="0" w:space="0" w:color="auto"/>
        <w:bottom w:val="none" w:sz="0" w:space="0" w:color="auto"/>
        <w:right w:val="none" w:sz="0" w:space="0" w:color="auto"/>
      </w:divBdr>
    </w:div>
    <w:div w:id="178591205">
      <w:bodyDiv w:val="1"/>
      <w:marLeft w:val="0"/>
      <w:marRight w:val="0"/>
      <w:marTop w:val="0"/>
      <w:marBottom w:val="0"/>
      <w:divBdr>
        <w:top w:val="none" w:sz="0" w:space="0" w:color="auto"/>
        <w:left w:val="none" w:sz="0" w:space="0" w:color="auto"/>
        <w:bottom w:val="none" w:sz="0" w:space="0" w:color="auto"/>
        <w:right w:val="none" w:sz="0" w:space="0" w:color="auto"/>
      </w:divBdr>
    </w:div>
    <w:div w:id="178659850">
      <w:bodyDiv w:val="1"/>
      <w:marLeft w:val="0"/>
      <w:marRight w:val="0"/>
      <w:marTop w:val="0"/>
      <w:marBottom w:val="0"/>
      <w:divBdr>
        <w:top w:val="none" w:sz="0" w:space="0" w:color="auto"/>
        <w:left w:val="none" w:sz="0" w:space="0" w:color="auto"/>
        <w:bottom w:val="none" w:sz="0" w:space="0" w:color="auto"/>
        <w:right w:val="none" w:sz="0" w:space="0" w:color="auto"/>
      </w:divBdr>
    </w:div>
    <w:div w:id="178662555">
      <w:bodyDiv w:val="1"/>
      <w:marLeft w:val="0"/>
      <w:marRight w:val="0"/>
      <w:marTop w:val="0"/>
      <w:marBottom w:val="0"/>
      <w:divBdr>
        <w:top w:val="none" w:sz="0" w:space="0" w:color="auto"/>
        <w:left w:val="none" w:sz="0" w:space="0" w:color="auto"/>
        <w:bottom w:val="none" w:sz="0" w:space="0" w:color="auto"/>
        <w:right w:val="none" w:sz="0" w:space="0" w:color="auto"/>
      </w:divBdr>
    </w:div>
    <w:div w:id="178932606">
      <w:bodyDiv w:val="1"/>
      <w:marLeft w:val="0"/>
      <w:marRight w:val="0"/>
      <w:marTop w:val="0"/>
      <w:marBottom w:val="0"/>
      <w:divBdr>
        <w:top w:val="none" w:sz="0" w:space="0" w:color="auto"/>
        <w:left w:val="none" w:sz="0" w:space="0" w:color="auto"/>
        <w:bottom w:val="none" w:sz="0" w:space="0" w:color="auto"/>
        <w:right w:val="none" w:sz="0" w:space="0" w:color="auto"/>
      </w:divBdr>
    </w:div>
    <w:div w:id="179047791">
      <w:bodyDiv w:val="1"/>
      <w:marLeft w:val="0"/>
      <w:marRight w:val="0"/>
      <w:marTop w:val="0"/>
      <w:marBottom w:val="0"/>
      <w:divBdr>
        <w:top w:val="none" w:sz="0" w:space="0" w:color="auto"/>
        <w:left w:val="none" w:sz="0" w:space="0" w:color="auto"/>
        <w:bottom w:val="none" w:sz="0" w:space="0" w:color="auto"/>
        <w:right w:val="none" w:sz="0" w:space="0" w:color="auto"/>
      </w:divBdr>
    </w:div>
    <w:div w:id="179200449">
      <w:bodyDiv w:val="1"/>
      <w:marLeft w:val="0"/>
      <w:marRight w:val="0"/>
      <w:marTop w:val="0"/>
      <w:marBottom w:val="0"/>
      <w:divBdr>
        <w:top w:val="none" w:sz="0" w:space="0" w:color="auto"/>
        <w:left w:val="none" w:sz="0" w:space="0" w:color="auto"/>
        <w:bottom w:val="none" w:sz="0" w:space="0" w:color="auto"/>
        <w:right w:val="none" w:sz="0" w:space="0" w:color="auto"/>
      </w:divBdr>
    </w:div>
    <w:div w:id="179508224">
      <w:bodyDiv w:val="1"/>
      <w:marLeft w:val="0"/>
      <w:marRight w:val="0"/>
      <w:marTop w:val="0"/>
      <w:marBottom w:val="0"/>
      <w:divBdr>
        <w:top w:val="none" w:sz="0" w:space="0" w:color="auto"/>
        <w:left w:val="none" w:sz="0" w:space="0" w:color="auto"/>
        <w:bottom w:val="none" w:sz="0" w:space="0" w:color="auto"/>
        <w:right w:val="none" w:sz="0" w:space="0" w:color="auto"/>
      </w:divBdr>
    </w:div>
    <w:div w:id="179703416">
      <w:bodyDiv w:val="1"/>
      <w:marLeft w:val="0"/>
      <w:marRight w:val="0"/>
      <w:marTop w:val="0"/>
      <w:marBottom w:val="0"/>
      <w:divBdr>
        <w:top w:val="none" w:sz="0" w:space="0" w:color="auto"/>
        <w:left w:val="none" w:sz="0" w:space="0" w:color="auto"/>
        <w:bottom w:val="none" w:sz="0" w:space="0" w:color="auto"/>
        <w:right w:val="none" w:sz="0" w:space="0" w:color="auto"/>
      </w:divBdr>
    </w:div>
    <w:div w:id="180122434">
      <w:bodyDiv w:val="1"/>
      <w:marLeft w:val="0"/>
      <w:marRight w:val="0"/>
      <w:marTop w:val="0"/>
      <w:marBottom w:val="0"/>
      <w:divBdr>
        <w:top w:val="none" w:sz="0" w:space="0" w:color="auto"/>
        <w:left w:val="none" w:sz="0" w:space="0" w:color="auto"/>
        <w:bottom w:val="none" w:sz="0" w:space="0" w:color="auto"/>
        <w:right w:val="none" w:sz="0" w:space="0" w:color="auto"/>
      </w:divBdr>
    </w:div>
    <w:div w:id="180239476">
      <w:bodyDiv w:val="1"/>
      <w:marLeft w:val="0"/>
      <w:marRight w:val="0"/>
      <w:marTop w:val="0"/>
      <w:marBottom w:val="0"/>
      <w:divBdr>
        <w:top w:val="none" w:sz="0" w:space="0" w:color="auto"/>
        <w:left w:val="none" w:sz="0" w:space="0" w:color="auto"/>
        <w:bottom w:val="none" w:sz="0" w:space="0" w:color="auto"/>
        <w:right w:val="none" w:sz="0" w:space="0" w:color="auto"/>
      </w:divBdr>
    </w:div>
    <w:div w:id="180701347">
      <w:bodyDiv w:val="1"/>
      <w:marLeft w:val="0"/>
      <w:marRight w:val="0"/>
      <w:marTop w:val="0"/>
      <w:marBottom w:val="0"/>
      <w:divBdr>
        <w:top w:val="none" w:sz="0" w:space="0" w:color="auto"/>
        <w:left w:val="none" w:sz="0" w:space="0" w:color="auto"/>
        <w:bottom w:val="none" w:sz="0" w:space="0" w:color="auto"/>
        <w:right w:val="none" w:sz="0" w:space="0" w:color="auto"/>
      </w:divBdr>
    </w:div>
    <w:div w:id="180974394">
      <w:bodyDiv w:val="1"/>
      <w:marLeft w:val="0"/>
      <w:marRight w:val="0"/>
      <w:marTop w:val="0"/>
      <w:marBottom w:val="0"/>
      <w:divBdr>
        <w:top w:val="none" w:sz="0" w:space="0" w:color="auto"/>
        <w:left w:val="none" w:sz="0" w:space="0" w:color="auto"/>
        <w:bottom w:val="none" w:sz="0" w:space="0" w:color="auto"/>
        <w:right w:val="none" w:sz="0" w:space="0" w:color="auto"/>
      </w:divBdr>
    </w:div>
    <w:div w:id="181167546">
      <w:bodyDiv w:val="1"/>
      <w:marLeft w:val="0"/>
      <w:marRight w:val="0"/>
      <w:marTop w:val="0"/>
      <w:marBottom w:val="0"/>
      <w:divBdr>
        <w:top w:val="none" w:sz="0" w:space="0" w:color="auto"/>
        <w:left w:val="none" w:sz="0" w:space="0" w:color="auto"/>
        <w:bottom w:val="none" w:sz="0" w:space="0" w:color="auto"/>
        <w:right w:val="none" w:sz="0" w:space="0" w:color="auto"/>
      </w:divBdr>
    </w:div>
    <w:div w:id="181475774">
      <w:bodyDiv w:val="1"/>
      <w:marLeft w:val="0"/>
      <w:marRight w:val="0"/>
      <w:marTop w:val="0"/>
      <w:marBottom w:val="0"/>
      <w:divBdr>
        <w:top w:val="none" w:sz="0" w:space="0" w:color="auto"/>
        <w:left w:val="none" w:sz="0" w:space="0" w:color="auto"/>
        <w:bottom w:val="none" w:sz="0" w:space="0" w:color="auto"/>
        <w:right w:val="none" w:sz="0" w:space="0" w:color="auto"/>
      </w:divBdr>
    </w:div>
    <w:div w:id="181669321">
      <w:bodyDiv w:val="1"/>
      <w:marLeft w:val="0"/>
      <w:marRight w:val="0"/>
      <w:marTop w:val="0"/>
      <w:marBottom w:val="0"/>
      <w:divBdr>
        <w:top w:val="none" w:sz="0" w:space="0" w:color="auto"/>
        <w:left w:val="none" w:sz="0" w:space="0" w:color="auto"/>
        <w:bottom w:val="none" w:sz="0" w:space="0" w:color="auto"/>
        <w:right w:val="none" w:sz="0" w:space="0" w:color="auto"/>
      </w:divBdr>
    </w:div>
    <w:div w:id="181743655">
      <w:bodyDiv w:val="1"/>
      <w:marLeft w:val="0"/>
      <w:marRight w:val="0"/>
      <w:marTop w:val="0"/>
      <w:marBottom w:val="0"/>
      <w:divBdr>
        <w:top w:val="none" w:sz="0" w:space="0" w:color="auto"/>
        <w:left w:val="none" w:sz="0" w:space="0" w:color="auto"/>
        <w:bottom w:val="none" w:sz="0" w:space="0" w:color="auto"/>
        <w:right w:val="none" w:sz="0" w:space="0" w:color="auto"/>
      </w:divBdr>
    </w:div>
    <w:div w:id="182326185">
      <w:bodyDiv w:val="1"/>
      <w:marLeft w:val="0"/>
      <w:marRight w:val="0"/>
      <w:marTop w:val="0"/>
      <w:marBottom w:val="0"/>
      <w:divBdr>
        <w:top w:val="none" w:sz="0" w:space="0" w:color="auto"/>
        <w:left w:val="none" w:sz="0" w:space="0" w:color="auto"/>
        <w:bottom w:val="none" w:sz="0" w:space="0" w:color="auto"/>
        <w:right w:val="none" w:sz="0" w:space="0" w:color="auto"/>
      </w:divBdr>
    </w:div>
    <w:div w:id="182670016">
      <w:bodyDiv w:val="1"/>
      <w:marLeft w:val="0"/>
      <w:marRight w:val="0"/>
      <w:marTop w:val="0"/>
      <w:marBottom w:val="0"/>
      <w:divBdr>
        <w:top w:val="none" w:sz="0" w:space="0" w:color="auto"/>
        <w:left w:val="none" w:sz="0" w:space="0" w:color="auto"/>
        <w:bottom w:val="none" w:sz="0" w:space="0" w:color="auto"/>
        <w:right w:val="none" w:sz="0" w:space="0" w:color="auto"/>
      </w:divBdr>
    </w:div>
    <w:div w:id="182788357">
      <w:bodyDiv w:val="1"/>
      <w:marLeft w:val="0"/>
      <w:marRight w:val="0"/>
      <w:marTop w:val="0"/>
      <w:marBottom w:val="0"/>
      <w:divBdr>
        <w:top w:val="none" w:sz="0" w:space="0" w:color="auto"/>
        <w:left w:val="none" w:sz="0" w:space="0" w:color="auto"/>
        <w:bottom w:val="none" w:sz="0" w:space="0" w:color="auto"/>
        <w:right w:val="none" w:sz="0" w:space="0" w:color="auto"/>
      </w:divBdr>
    </w:div>
    <w:div w:id="183175461">
      <w:bodyDiv w:val="1"/>
      <w:marLeft w:val="0"/>
      <w:marRight w:val="0"/>
      <w:marTop w:val="0"/>
      <w:marBottom w:val="0"/>
      <w:divBdr>
        <w:top w:val="none" w:sz="0" w:space="0" w:color="auto"/>
        <w:left w:val="none" w:sz="0" w:space="0" w:color="auto"/>
        <w:bottom w:val="none" w:sz="0" w:space="0" w:color="auto"/>
        <w:right w:val="none" w:sz="0" w:space="0" w:color="auto"/>
      </w:divBdr>
    </w:div>
    <w:div w:id="183520369">
      <w:bodyDiv w:val="1"/>
      <w:marLeft w:val="0"/>
      <w:marRight w:val="0"/>
      <w:marTop w:val="0"/>
      <w:marBottom w:val="0"/>
      <w:divBdr>
        <w:top w:val="none" w:sz="0" w:space="0" w:color="auto"/>
        <w:left w:val="none" w:sz="0" w:space="0" w:color="auto"/>
        <w:bottom w:val="none" w:sz="0" w:space="0" w:color="auto"/>
        <w:right w:val="none" w:sz="0" w:space="0" w:color="auto"/>
      </w:divBdr>
    </w:div>
    <w:div w:id="183708464">
      <w:bodyDiv w:val="1"/>
      <w:marLeft w:val="0"/>
      <w:marRight w:val="0"/>
      <w:marTop w:val="0"/>
      <w:marBottom w:val="0"/>
      <w:divBdr>
        <w:top w:val="none" w:sz="0" w:space="0" w:color="auto"/>
        <w:left w:val="none" w:sz="0" w:space="0" w:color="auto"/>
        <w:bottom w:val="none" w:sz="0" w:space="0" w:color="auto"/>
        <w:right w:val="none" w:sz="0" w:space="0" w:color="auto"/>
      </w:divBdr>
    </w:div>
    <w:div w:id="183788034">
      <w:bodyDiv w:val="1"/>
      <w:marLeft w:val="0"/>
      <w:marRight w:val="0"/>
      <w:marTop w:val="0"/>
      <w:marBottom w:val="0"/>
      <w:divBdr>
        <w:top w:val="none" w:sz="0" w:space="0" w:color="auto"/>
        <w:left w:val="none" w:sz="0" w:space="0" w:color="auto"/>
        <w:bottom w:val="none" w:sz="0" w:space="0" w:color="auto"/>
        <w:right w:val="none" w:sz="0" w:space="0" w:color="auto"/>
      </w:divBdr>
    </w:div>
    <w:div w:id="184250556">
      <w:bodyDiv w:val="1"/>
      <w:marLeft w:val="0"/>
      <w:marRight w:val="0"/>
      <w:marTop w:val="0"/>
      <w:marBottom w:val="0"/>
      <w:divBdr>
        <w:top w:val="none" w:sz="0" w:space="0" w:color="auto"/>
        <w:left w:val="none" w:sz="0" w:space="0" w:color="auto"/>
        <w:bottom w:val="none" w:sz="0" w:space="0" w:color="auto"/>
        <w:right w:val="none" w:sz="0" w:space="0" w:color="auto"/>
      </w:divBdr>
    </w:div>
    <w:div w:id="184562335">
      <w:bodyDiv w:val="1"/>
      <w:marLeft w:val="0"/>
      <w:marRight w:val="0"/>
      <w:marTop w:val="0"/>
      <w:marBottom w:val="0"/>
      <w:divBdr>
        <w:top w:val="none" w:sz="0" w:space="0" w:color="auto"/>
        <w:left w:val="none" w:sz="0" w:space="0" w:color="auto"/>
        <w:bottom w:val="none" w:sz="0" w:space="0" w:color="auto"/>
        <w:right w:val="none" w:sz="0" w:space="0" w:color="auto"/>
      </w:divBdr>
    </w:div>
    <w:div w:id="184759530">
      <w:bodyDiv w:val="1"/>
      <w:marLeft w:val="0"/>
      <w:marRight w:val="0"/>
      <w:marTop w:val="0"/>
      <w:marBottom w:val="0"/>
      <w:divBdr>
        <w:top w:val="none" w:sz="0" w:space="0" w:color="auto"/>
        <w:left w:val="none" w:sz="0" w:space="0" w:color="auto"/>
        <w:bottom w:val="none" w:sz="0" w:space="0" w:color="auto"/>
        <w:right w:val="none" w:sz="0" w:space="0" w:color="auto"/>
      </w:divBdr>
    </w:div>
    <w:div w:id="185295596">
      <w:bodyDiv w:val="1"/>
      <w:marLeft w:val="0"/>
      <w:marRight w:val="0"/>
      <w:marTop w:val="0"/>
      <w:marBottom w:val="0"/>
      <w:divBdr>
        <w:top w:val="none" w:sz="0" w:space="0" w:color="auto"/>
        <w:left w:val="none" w:sz="0" w:space="0" w:color="auto"/>
        <w:bottom w:val="none" w:sz="0" w:space="0" w:color="auto"/>
        <w:right w:val="none" w:sz="0" w:space="0" w:color="auto"/>
      </w:divBdr>
    </w:div>
    <w:div w:id="185367414">
      <w:bodyDiv w:val="1"/>
      <w:marLeft w:val="0"/>
      <w:marRight w:val="0"/>
      <w:marTop w:val="0"/>
      <w:marBottom w:val="0"/>
      <w:divBdr>
        <w:top w:val="none" w:sz="0" w:space="0" w:color="auto"/>
        <w:left w:val="none" w:sz="0" w:space="0" w:color="auto"/>
        <w:bottom w:val="none" w:sz="0" w:space="0" w:color="auto"/>
        <w:right w:val="none" w:sz="0" w:space="0" w:color="auto"/>
      </w:divBdr>
    </w:div>
    <w:div w:id="185605267">
      <w:bodyDiv w:val="1"/>
      <w:marLeft w:val="0"/>
      <w:marRight w:val="0"/>
      <w:marTop w:val="0"/>
      <w:marBottom w:val="0"/>
      <w:divBdr>
        <w:top w:val="none" w:sz="0" w:space="0" w:color="auto"/>
        <w:left w:val="none" w:sz="0" w:space="0" w:color="auto"/>
        <w:bottom w:val="none" w:sz="0" w:space="0" w:color="auto"/>
        <w:right w:val="none" w:sz="0" w:space="0" w:color="auto"/>
      </w:divBdr>
    </w:div>
    <w:div w:id="185950304">
      <w:bodyDiv w:val="1"/>
      <w:marLeft w:val="0"/>
      <w:marRight w:val="0"/>
      <w:marTop w:val="0"/>
      <w:marBottom w:val="0"/>
      <w:divBdr>
        <w:top w:val="none" w:sz="0" w:space="0" w:color="auto"/>
        <w:left w:val="none" w:sz="0" w:space="0" w:color="auto"/>
        <w:bottom w:val="none" w:sz="0" w:space="0" w:color="auto"/>
        <w:right w:val="none" w:sz="0" w:space="0" w:color="auto"/>
      </w:divBdr>
    </w:div>
    <w:div w:id="186141184">
      <w:bodyDiv w:val="1"/>
      <w:marLeft w:val="0"/>
      <w:marRight w:val="0"/>
      <w:marTop w:val="0"/>
      <w:marBottom w:val="0"/>
      <w:divBdr>
        <w:top w:val="none" w:sz="0" w:space="0" w:color="auto"/>
        <w:left w:val="none" w:sz="0" w:space="0" w:color="auto"/>
        <w:bottom w:val="none" w:sz="0" w:space="0" w:color="auto"/>
        <w:right w:val="none" w:sz="0" w:space="0" w:color="auto"/>
      </w:divBdr>
    </w:div>
    <w:div w:id="187333549">
      <w:bodyDiv w:val="1"/>
      <w:marLeft w:val="0"/>
      <w:marRight w:val="0"/>
      <w:marTop w:val="0"/>
      <w:marBottom w:val="0"/>
      <w:divBdr>
        <w:top w:val="none" w:sz="0" w:space="0" w:color="auto"/>
        <w:left w:val="none" w:sz="0" w:space="0" w:color="auto"/>
        <w:bottom w:val="none" w:sz="0" w:space="0" w:color="auto"/>
        <w:right w:val="none" w:sz="0" w:space="0" w:color="auto"/>
      </w:divBdr>
    </w:div>
    <w:div w:id="187573436">
      <w:bodyDiv w:val="1"/>
      <w:marLeft w:val="0"/>
      <w:marRight w:val="0"/>
      <w:marTop w:val="0"/>
      <w:marBottom w:val="0"/>
      <w:divBdr>
        <w:top w:val="none" w:sz="0" w:space="0" w:color="auto"/>
        <w:left w:val="none" w:sz="0" w:space="0" w:color="auto"/>
        <w:bottom w:val="none" w:sz="0" w:space="0" w:color="auto"/>
        <w:right w:val="none" w:sz="0" w:space="0" w:color="auto"/>
      </w:divBdr>
    </w:div>
    <w:div w:id="187715666">
      <w:bodyDiv w:val="1"/>
      <w:marLeft w:val="0"/>
      <w:marRight w:val="0"/>
      <w:marTop w:val="0"/>
      <w:marBottom w:val="0"/>
      <w:divBdr>
        <w:top w:val="none" w:sz="0" w:space="0" w:color="auto"/>
        <w:left w:val="none" w:sz="0" w:space="0" w:color="auto"/>
        <w:bottom w:val="none" w:sz="0" w:space="0" w:color="auto"/>
        <w:right w:val="none" w:sz="0" w:space="0" w:color="auto"/>
      </w:divBdr>
    </w:div>
    <w:div w:id="187765903">
      <w:bodyDiv w:val="1"/>
      <w:marLeft w:val="0"/>
      <w:marRight w:val="0"/>
      <w:marTop w:val="0"/>
      <w:marBottom w:val="0"/>
      <w:divBdr>
        <w:top w:val="none" w:sz="0" w:space="0" w:color="auto"/>
        <w:left w:val="none" w:sz="0" w:space="0" w:color="auto"/>
        <w:bottom w:val="none" w:sz="0" w:space="0" w:color="auto"/>
        <w:right w:val="none" w:sz="0" w:space="0" w:color="auto"/>
      </w:divBdr>
    </w:div>
    <w:div w:id="187913927">
      <w:bodyDiv w:val="1"/>
      <w:marLeft w:val="0"/>
      <w:marRight w:val="0"/>
      <w:marTop w:val="0"/>
      <w:marBottom w:val="0"/>
      <w:divBdr>
        <w:top w:val="none" w:sz="0" w:space="0" w:color="auto"/>
        <w:left w:val="none" w:sz="0" w:space="0" w:color="auto"/>
        <w:bottom w:val="none" w:sz="0" w:space="0" w:color="auto"/>
        <w:right w:val="none" w:sz="0" w:space="0" w:color="auto"/>
      </w:divBdr>
    </w:div>
    <w:div w:id="187914119">
      <w:bodyDiv w:val="1"/>
      <w:marLeft w:val="0"/>
      <w:marRight w:val="0"/>
      <w:marTop w:val="0"/>
      <w:marBottom w:val="0"/>
      <w:divBdr>
        <w:top w:val="none" w:sz="0" w:space="0" w:color="auto"/>
        <w:left w:val="none" w:sz="0" w:space="0" w:color="auto"/>
        <w:bottom w:val="none" w:sz="0" w:space="0" w:color="auto"/>
        <w:right w:val="none" w:sz="0" w:space="0" w:color="auto"/>
      </w:divBdr>
    </w:div>
    <w:div w:id="188375840">
      <w:bodyDiv w:val="1"/>
      <w:marLeft w:val="0"/>
      <w:marRight w:val="0"/>
      <w:marTop w:val="0"/>
      <w:marBottom w:val="0"/>
      <w:divBdr>
        <w:top w:val="none" w:sz="0" w:space="0" w:color="auto"/>
        <w:left w:val="none" w:sz="0" w:space="0" w:color="auto"/>
        <w:bottom w:val="none" w:sz="0" w:space="0" w:color="auto"/>
        <w:right w:val="none" w:sz="0" w:space="0" w:color="auto"/>
      </w:divBdr>
    </w:div>
    <w:div w:id="188493372">
      <w:bodyDiv w:val="1"/>
      <w:marLeft w:val="0"/>
      <w:marRight w:val="0"/>
      <w:marTop w:val="0"/>
      <w:marBottom w:val="0"/>
      <w:divBdr>
        <w:top w:val="none" w:sz="0" w:space="0" w:color="auto"/>
        <w:left w:val="none" w:sz="0" w:space="0" w:color="auto"/>
        <w:bottom w:val="none" w:sz="0" w:space="0" w:color="auto"/>
        <w:right w:val="none" w:sz="0" w:space="0" w:color="auto"/>
      </w:divBdr>
    </w:div>
    <w:div w:id="188690147">
      <w:bodyDiv w:val="1"/>
      <w:marLeft w:val="0"/>
      <w:marRight w:val="0"/>
      <w:marTop w:val="0"/>
      <w:marBottom w:val="0"/>
      <w:divBdr>
        <w:top w:val="none" w:sz="0" w:space="0" w:color="auto"/>
        <w:left w:val="none" w:sz="0" w:space="0" w:color="auto"/>
        <w:bottom w:val="none" w:sz="0" w:space="0" w:color="auto"/>
        <w:right w:val="none" w:sz="0" w:space="0" w:color="auto"/>
      </w:divBdr>
    </w:div>
    <w:div w:id="188841635">
      <w:bodyDiv w:val="1"/>
      <w:marLeft w:val="0"/>
      <w:marRight w:val="0"/>
      <w:marTop w:val="0"/>
      <w:marBottom w:val="0"/>
      <w:divBdr>
        <w:top w:val="none" w:sz="0" w:space="0" w:color="auto"/>
        <w:left w:val="none" w:sz="0" w:space="0" w:color="auto"/>
        <w:bottom w:val="none" w:sz="0" w:space="0" w:color="auto"/>
        <w:right w:val="none" w:sz="0" w:space="0" w:color="auto"/>
      </w:divBdr>
    </w:div>
    <w:div w:id="189145334">
      <w:bodyDiv w:val="1"/>
      <w:marLeft w:val="0"/>
      <w:marRight w:val="0"/>
      <w:marTop w:val="0"/>
      <w:marBottom w:val="0"/>
      <w:divBdr>
        <w:top w:val="none" w:sz="0" w:space="0" w:color="auto"/>
        <w:left w:val="none" w:sz="0" w:space="0" w:color="auto"/>
        <w:bottom w:val="none" w:sz="0" w:space="0" w:color="auto"/>
        <w:right w:val="none" w:sz="0" w:space="0" w:color="auto"/>
      </w:divBdr>
    </w:div>
    <w:div w:id="189689092">
      <w:bodyDiv w:val="1"/>
      <w:marLeft w:val="0"/>
      <w:marRight w:val="0"/>
      <w:marTop w:val="0"/>
      <w:marBottom w:val="0"/>
      <w:divBdr>
        <w:top w:val="none" w:sz="0" w:space="0" w:color="auto"/>
        <w:left w:val="none" w:sz="0" w:space="0" w:color="auto"/>
        <w:bottom w:val="none" w:sz="0" w:space="0" w:color="auto"/>
        <w:right w:val="none" w:sz="0" w:space="0" w:color="auto"/>
      </w:divBdr>
    </w:div>
    <w:div w:id="190920438">
      <w:bodyDiv w:val="1"/>
      <w:marLeft w:val="0"/>
      <w:marRight w:val="0"/>
      <w:marTop w:val="0"/>
      <w:marBottom w:val="0"/>
      <w:divBdr>
        <w:top w:val="none" w:sz="0" w:space="0" w:color="auto"/>
        <w:left w:val="none" w:sz="0" w:space="0" w:color="auto"/>
        <w:bottom w:val="none" w:sz="0" w:space="0" w:color="auto"/>
        <w:right w:val="none" w:sz="0" w:space="0" w:color="auto"/>
      </w:divBdr>
    </w:div>
    <w:div w:id="191235350">
      <w:bodyDiv w:val="1"/>
      <w:marLeft w:val="0"/>
      <w:marRight w:val="0"/>
      <w:marTop w:val="0"/>
      <w:marBottom w:val="0"/>
      <w:divBdr>
        <w:top w:val="none" w:sz="0" w:space="0" w:color="auto"/>
        <w:left w:val="none" w:sz="0" w:space="0" w:color="auto"/>
        <w:bottom w:val="none" w:sz="0" w:space="0" w:color="auto"/>
        <w:right w:val="none" w:sz="0" w:space="0" w:color="auto"/>
      </w:divBdr>
    </w:div>
    <w:div w:id="191652307">
      <w:bodyDiv w:val="1"/>
      <w:marLeft w:val="0"/>
      <w:marRight w:val="0"/>
      <w:marTop w:val="0"/>
      <w:marBottom w:val="0"/>
      <w:divBdr>
        <w:top w:val="none" w:sz="0" w:space="0" w:color="auto"/>
        <w:left w:val="none" w:sz="0" w:space="0" w:color="auto"/>
        <w:bottom w:val="none" w:sz="0" w:space="0" w:color="auto"/>
        <w:right w:val="none" w:sz="0" w:space="0" w:color="auto"/>
      </w:divBdr>
    </w:div>
    <w:div w:id="192161229">
      <w:bodyDiv w:val="1"/>
      <w:marLeft w:val="0"/>
      <w:marRight w:val="0"/>
      <w:marTop w:val="0"/>
      <w:marBottom w:val="0"/>
      <w:divBdr>
        <w:top w:val="none" w:sz="0" w:space="0" w:color="auto"/>
        <w:left w:val="none" w:sz="0" w:space="0" w:color="auto"/>
        <w:bottom w:val="none" w:sz="0" w:space="0" w:color="auto"/>
        <w:right w:val="none" w:sz="0" w:space="0" w:color="auto"/>
      </w:divBdr>
    </w:div>
    <w:div w:id="192351025">
      <w:bodyDiv w:val="1"/>
      <w:marLeft w:val="0"/>
      <w:marRight w:val="0"/>
      <w:marTop w:val="0"/>
      <w:marBottom w:val="0"/>
      <w:divBdr>
        <w:top w:val="none" w:sz="0" w:space="0" w:color="auto"/>
        <w:left w:val="none" w:sz="0" w:space="0" w:color="auto"/>
        <w:bottom w:val="none" w:sz="0" w:space="0" w:color="auto"/>
        <w:right w:val="none" w:sz="0" w:space="0" w:color="auto"/>
      </w:divBdr>
    </w:div>
    <w:div w:id="192816195">
      <w:bodyDiv w:val="1"/>
      <w:marLeft w:val="0"/>
      <w:marRight w:val="0"/>
      <w:marTop w:val="0"/>
      <w:marBottom w:val="0"/>
      <w:divBdr>
        <w:top w:val="none" w:sz="0" w:space="0" w:color="auto"/>
        <w:left w:val="none" w:sz="0" w:space="0" w:color="auto"/>
        <w:bottom w:val="none" w:sz="0" w:space="0" w:color="auto"/>
        <w:right w:val="none" w:sz="0" w:space="0" w:color="auto"/>
      </w:divBdr>
    </w:div>
    <w:div w:id="192889353">
      <w:bodyDiv w:val="1"/>
      <w:marLeft w:val="0"/>
      <w:marRight w:val="0"/>
      <w:marTop w:val="0"/>
      <w:marBottom w:val="0"/>
      <w:divBdr>
        <w:top w:val="none" w:sz="0" w:space="0" w:color="auto"/>
        <w:left w:val="none" w:sz="0" w:space="0" w:color="auto"/>
        <w:bottom w:val="none" w:sz="0" w:space="0" w:color="auto"/>
        <w:right w:val="none" w:sz="0" w:space="0" w:color="auto"/>
      </w:divBdr>
    </w:div>
    <w:div w:id="193080384">
      <w:bodyDiv w:val="1"/>
      <w:marLeft w:val="0"/>
      <w:marRight w:val="0"/>
      <w:marTop w:val="0"/>
      <w:marBottom w:val="0"/>
      <w:divBdr>
        <w:top w:val="none" w:sz="0" w:space="0" w:color="auto"/>
        <w:left w:val="none" w:sz="0" w:space="0" w:color="auto"/>
        <w:bottom w:val="none" w:sz="0" w:space="0" w:color="auto"/>
        <w:right w:val="none" w:sz="0" w:space="0" w:color="auto"/>
      </w:divBdr>
    </w:div>
    <w:div w:id="193344877">
      <w:bodyDiv w:val="1"/>
      <w:marLeft w:val="0"/>
      <w:marRight w:val="0"/>
      <w:marTop w:val="0"/>
      <w:marBottom w:val="0"/>
      <w:divBdr>
        <w:top w:val="none" w:sz="0" w:space="0" w:color="auto"/>
        <w:left w:val="none" w:sz="0" w:space="0" w:color="auto"/>
        <w:bottom w:val="none" w:sz="0" w:space="0" w:color="auto"/>
        <w:right w:val="none" w:sz="0" w:space="0" w:color="auto"/>
      </w:divBdr>
    </w:div>
    <w:div w:id="193352534">
      <w:bodyDiv w:val="1"/>
      <w:marLeft w:val="0"/>
      <w:marRight w:val="0"/>
      <w:marTop w:val="0"/>
      <w:marBottom w:val="0"/>
      <w:divBdr>
        <w:top w:val="none" w:sz="0" w:space="0" w:color="auto"/>
        <w:left w:val="none" w:sz="0" w:space="0" w:color="auto"/>
        <w:bottom w:val="none" w:sz="0" w:space="0" w:color="auto"/>
        <w:right w:val="none" w:sz="0" w:space="0" w:color="auto"/>
      </w:divBdr>
    </w:div>
    <w:div w:id="193423353">
      <w:bodyDiv w:val="1"/>
      <w:marLeft w:val="0"/>
      <w:marRight w:val="0"/>
      <w:marTop w:val="0"/>
      <w:marBottom w:val="0"/>
      <w:divBdr>
        <w:top w:val="none" w:sz="0" w:space="0" w:color="auto"/>
        <w:left w:val="none" w:sz="0" w:space="0" w:color="auto"/>
        <w:bottom w:val="none" w:sz="0" w:space="0" w:color="auto"/>
        <w:right w:val="none" w:sz="0" w:space="0" w:color="auto"/>
      </w:divBdr>
    </w:div>
    <w:div w:id="193733571">
      <w:bodyDiv w:val="1"/>
      <w:marLeft w:val="0"/>
      <w:marRight w:val="0"/>
      <w:marTop w:val="0"/>
      <w:marBottom w:val="0"/>
      <w:divBdr>
        <w:top w:val="none" w:sz="0" w:space="0" w:color="auto"/>
        <w:left w:val="none" w:sz="0" w:space="0" w:color="auto"/>
        <w:bottom w:val="none" w:sz="0" w:space="0" w:color="auto"/>
        <w:right w:val="none" w:sz="0" w:space="0" w:color="auto"/>
      </w:divBdr>
    </w:div>
    <w:div w:id="194000856">
      <w:bodyDiv w:val="1"/>
      <w:marLeft w:val="0"/>
      <w:marRight w:val="0"/>
      <w:marTop w:val="0"/>
      <w:marBottom w:val="0"/>
      <w:divBdr>
        <w:top w:val="none" w:sz="0" w:space="0" w:color="auto"/>
        <w:left w:val="none" w:sz="0" w:space="0" w:color="auto"/>
        <w:bottom w:val="none" w:sz="0" w:space="0" w:color="auto"/>
        <w:right w:val="none" w:sz="0" w:space="0" w:color="auto"/>
      </w:divBdr>
    </w:div>
    <w:div w:id="194197874">
      <w:bodyDiv w:val="1"/>
      <w:marLeft w:val="0"/>
      <w:marRight w:val="0"/>
      <w:marTop w:val="0"/>
      <w:marBottom w:val="0"/>
      <w:divBdr>
        <w:top w:val="none" w:sz="0" w:space="0" w:color="auto"/>
        <w:left w:val="none" w:sz="0" w:space="0" w:color="auto"/>
        <w:bottom w:val="none" w:sz="0" w:space="0" w:color="auto"/>
        <w:right w:val="none" w:sz="0" w:space="0" w:color="auto"/>
      </w:divBdr>
    </w:div>
    <w:div w:id="194388175">
      <w:bodyDiv w:val="1"/>
      <w:marLeft w:val="0"/>
      <w:marRight w:val="0"/>
      <w:marTop w:val="0"/>
      <w:marBottom w:val="0"/>
      <w:divBdr>
        <w:top w:val="none" w:sz="0" w:space="0" w:color="auto"/>
        <w:left w:val="none" w:sz="0" w:space="0" w:color="auto"/>
        <w:bottom w:val="none" w:sz="0" w:space="0" w:color="auto"/>
        <w:right w:val="none" w:sz="0" w:space="0" w:color="auto"/>
      </w:divBdr>
    </w:div>
    <w:div w:id="194663133">
      <w:bodyDiv w:val="1"/>
      <w:marLeft w:val="0"/>
      <w:marRight w:val="0"/>
      <w:marTop w:val="0"/>
      <w:marBottom w:val="0"/>
      <w:divBdr>
        <w:top w:val="none" w:sz="0" w:space="0" w:color="auto"/>
        <w:left w:val="none" w:sz="0" w:space="0" w:color="auto"/>
        <w:bottom w:val="none" w:sz="0" w:space="0" w:color="auto"/>
        <w:right w:val="none" w:sz="0" w:space="0" w:color="auto"/>
      </w:divBdr>
    </w:div>
    <w:div w:id="195311122">
      <w:bodyDiv w:val="1"/>
      <w:marLeft w:val="0"/>
      <w:marRight w:val="0"/>
      <w:marTop w:val="0"/>
      <w:marBottom w:val="0"/>
      <w:divBdr>
        <w:top w:val="none" w:sz="0" w:space="0" w:color="auto"/>
        <w:left w:val="none" w:sz="0" w:space="0" w:color="auto"/>
        <w:bottom w:val="none" w:sz="0" w:space="0" w:color="auto"/>
        <w:right w:val="none" w:sz="0" w:space="0" w:color="auto"/>
      </w:divBdr>
    </w:div>
    <w:div w:id="195433488">
      <w:bodyDiv w:val="1"/>
      <w:marLeft w:val="0"/>
      <w:marRight w:val="0"/>
      <w:marTop w:val="0"/>
      <w:marBottom w:val="0"/>
      <w:divBdr>
        <w:top w:val="none" w:sz="0" w:space="0" w:color="auto"/>
        <w:left w:val="none" w:sz="0" w:space="0" w:color="auto"/>
        <w:bottom w:val="none" w:sz="0" w:space="0" w:color="auto"/>
        <w:right w:val="none" w:sz="0" w:space="0" w:color="auto"/>
      </w:divBdr>
    </w:div>
    <w:div w:id="195851867">
      <w:bodyDiv w:val="1"/>
      <w:marLeft w:val="0"/>
      <w:marRight w:val="0"/>
      <w:marTop w:val="0"/>
      <w:marBottom w:val="0"/>
      <w:divBdr>
        <w:top w:val="none" w:sz="0" w:space="0" w:color="auto"/>
        <w:left w:val="none" w:sz="0" w:space="0" w:color="auto"/>
        <w:bottom w:val="none" w:sz="0" w:space="0" w:color="auto"/>
        <w:right w:val="none" w:sz="0" w:space="0" w:color="auto"/>
      </w:divBdr>
    </w:div>
    <w:div w:id="195970727">
      <w:bodyDiv w:val="1"/>
      <w:marLeft w:val="0"/>
      <w:marRight w:val="0"/>
      <w:marTop w:val="0"/>
      <w:marBottom w:val="0"/>
      <w:divBdr>
        <w:top w:val="none" w:sz="0" w:space="0" w:color="auto"/>
        <w:left w:val="none" w:sz="0" w:space="0" w:color="auto"/>
        <w:bottom w:val="none" w:sz="0" w:space="0" w:color="auto"/>
        <w:right w:val="none" w:sz="0" w:space="0" w:color="auto"/>
      </w:divBdr>
    </w:div>
    <w:div w:id="195973154">
      <w:bodyDiv w:val="1"/>
      <w:marLeft w:val="0"/>
      <w:marRight w:val="0"/>
      <w:marTop w:val="0"/>
      <w:marBottom w:val="0"/>
      <w:divBdr>
        <w:top w:val="none" w:sz="0" w:space="0" w:color="auto"/>
        <w:left w:val="none" w:sz="0" w:space="0" w:color="auto"/>
        <w:bottom w:val="none" w:sz="0" w:space="0" w:color="auto"/>
        <w:right w:val="none" w:sz="0" w:space="0" w:color="auto"/>
      </w:divBdr>
    </w:div>
    <w:div w:id="196506554">
      <w:bodyDiv w:val="1"/>
      <w:marLeft w:val="0"/>
      <w:marRight w:val="0"/>
      <w:marTop w:val="0"/>
      <w:marBottom w:val="0"/>
      <w:divBdr>
        <w:top w:val="none" w:sz="0" w:space="0" w:color="auto"/>
        <w:left w:val="none" w:sz="0" w:space="0" w:color="auto"/>
        <w:bottom w:val="none" w:sz="0" w:space="0" w:color="auto"/>
        <w:right w:val="none" w:sz="0" w:space="0" w:color="auto"/>
      </w:divBdr>
    </w:div>
    <w:div w:id="196819160">
      <w:bodyDiv w:val="1"/>
      <w:marLeft w:val="0"/>
      <w:marRight w:val="0"/>
      <w:marTop w:val="0"/>
      <w:marBottom w:val="0"/>
      <w:divBdr>
        <w:top w:val="none" w:sz="0" w:space="0" w:color="auto"/>
        <w:left w:val="none" w:sz="0" w:space="0" w:color="auto"/>
        <w:bottom w:val="none" w:sz="0" w:space="0" w:color="auto"/>
        <w:right w:val="none" w:sz="0" w:space="0" w:color="auto"/>
      </w:divBdr>
    </w:div>
    <w:div w:id="197546788">
      <w:bodyDiv w:val="1"/>
      <w:marLeft w:val="0"/>
      <w:marRight w:val="0"/>
      <w:marTop w:val="0"/>
      <w:marBottom w:val="0"/>
      <w:divBdr>
        <w:top w:val="none" w:sz="0" w:space="0" w:color="auto"/>
        <w:left w:val="none" w:sz="0" w:space="0" w:color="auto"/>
        <w:bottom w:val="none" w:sz="0" w:space="0" w:color="auto"/>
        <w:right w:val="none" w:sz="0" w:space="0" w:color="auto"/>
      </w:divBdr>
    </w:div>
    <w:div w:id="199048519">
      <w:bodyDiv w:val="1"/>
      <w:marLeft w:val="0"/>
      <w:marRight w:val="0"/>
      <w:marTop w:val="0"/>
      <w:marBottom w:val="0"/>
      <w:divBdr>
        <w:top w:val="none" w:sz="0" w:space="0" w:color="auto"/>
        <w:left w:val="none" w:sz="0" w:space="0" w:color="auto"/>
        <w:bottom w:val="none" w:sz="0" w:space="0" w:color="auto"/>
        <w:right w:val="none" w:sz="0" w:space="0" w:color="auto"/>
      </w:divBdr>
    </w:div>
    <w:div w:id="199126707">
      <w:bodyDiv w:val="1"/>
      <w:marLeft w:val="0"/>
      <w:marRight w:val="0"/>
      <w:marTop w:val="0"/>
      <w:marBottom w:val="0"/>
      <w:divBdr>
        <w:top w:val="none" w:sz="0" w:space="0" w:color="auto"/>
        <w:left w:val="none" w:sz="0" w:space="0" w:color="auto"/>
        <w:bottom w:val="none" w:sz="0" w:space="0" w:color="auto"/>
        <w:right w:val="none" w:sz="0" w:space="0" w:color="auto"/>
      </w:divBdr>
    </w:div>
    <w:div w:id="200435479">
      <w:bodyDiv w:val="1"/>
      <w:marLeft w:val="0"/>
      <w:marRight w:val="0"/>
      <w:marTop w:val="0"/>
      <w:marBottom w:val="0"/>
      <w:divBdr>
        <w:top w:val="none" w:sz="0" w:space="0" w:color="auto"/>
        <w:left w:val="none" w:sz="0" w:space="0" w:color="auto"/>
        <w:bottom w:val="none" w:sz="0" w:space="0" w:color="auto"/>
        <w:right w:val="none" w:sz="0" w:space="0" w:color="auto"/>
      </w:divBdr>
    </w:div>
    <w:div w:id="200484146">
      <w:bodyDiv w:val="1"/>
      <w:marLeft w:val="0"/>
      <w:marRight w:val="0"/>
      <w:marTop w:val="0"/>
      <w:marBottom w:val="0"/>
      <w:divBdr>
        <w:top w:val="none" w:sz="0" w:space="0" w:color="auto"/>
        <w:left w:val="none" w:sz="0" w:space="0" w:color="auto"/>
        <w:bottom w:val="none" w:sz="0" w:space="0" w:color="auto"/>
        <w:right w:val="none" w:sz="0" w:space="0" w:color="auto"/>
      </w:divBdr>
    </w:div>
    <w:div w:id="200633141">
      <w:bodyDiv w:val="1"/>
      <w:marLeft w:val="0"/>
      <w:marRight w:val="0"/>
      <w:marTop w:val="0"/>
      <w:marBottom w:val="0"/>
      <w:divBdr>
        <w:top w:val="none" w:sz="0" w:space="0" w:color="auto"/>
        <w:left w:val="none" w:sz="0" w:space="0" w:color="auto"/>
        <w:bottom w:val="none" w:sz="0" w:space="0" w:color="auto"/>
        <w:right w:val="none" w:sz="0" w:space="0" w:color="auto"/>
      </w:divBdr>
    </w:div>
    <w:div w:id="200947062">
      <w:bodyDiv w:val="1"/>
      <w:marLeft w:val="0"/>
      <w:marRight w:val="0"/>
      <w:marTop w:val="0"/>
      <w:marBottom w:val="0"/>
      <w:divBdr>
        <w:top w:val="none" w:sz="0" w:space="0" w:color="auto"/>
        <w:left w:val="none" w:sz="0" w:space="0" w:color="auto"/>
        <w:bottom w:val="none" w:sz="0" w:space="0" w:color="auto"/>
        <w:right w:val="none" w:sz="0" w:space="0" w:color="auto"/>
      </w:divBdr>
    </w:div>
    <w:div w:id="201065595">
      <w:bodyDiv w:val="1"/>
      <w:marLeft w:val="0"/>
      <w:marRight w:val="0"/>
      <w:marTop w:val="0"/>
      <w:marBottom w:val="0"/>
      <w:divBdr>
        <w:top w:val="none" w:sz="0" w:space="0" w:color="auto"/>
        <w:left w:val="none" w:sz="0" w:space="0" w:color="auto"/>
        <w:bottom w:val="none" w:sz="0" w:space="0" w:color="auto"/>
        <w:right w:val="none" w:sz="0" w:space="0" w:color="auto"/>
      </w:divBdr>
    </w:div>
    <w:div w:id="201089606">
      <w:bodyDiv w:val="1"/>
      <w:marLeft w:val="0"/>
      <w:marRight w:val="0"/>
      <w:marTop w:val="0"/>
      <w:marBottom w:val="0"/>
      <w:divBdr>
        <w:top w:val="none" w:sz="0" w:space="0" w:color="auto"/>
        <w:left w:val="none" w:sz="0" w:space="0" w:color="auto"/>
        <w:bottom w:val="none" w:sz="0" w:space="0" w:color="auto"/>
        <w:right w:val="none" w:sz="0" w:space="0" w:color="auto"/>
      </w:divBdr>
    </w:div>
    <w:div w:id="202256234">
      <w:bodyDiv w:val="1"/>
      <w:marLeft w:val="0"/>
      <w:marRight w:val="0"/>
      <w:marTop w:val="0"/>
      <w:marBottom w:val="0"/>
      <w:divBdr>
        <w:top w:val="none" w:sz="0" w:space="0" w:color="auto"/>
        <w:left w:val="none" w:sz="0" w:space="0" w:color="auto"/>
        <w:bottom w:val="none" w:sz="0" w:space="0" w:color="auto"/>
        <w:right w:val="none" w:sz="0" w:space="0" w:color="auto"/>
      </w:divBdr>
    </w:div>
    <w:div w:id="202400075">
      <w:bodyDiv w:val="1"/>
      <w:marLeft w:val="0"/>
      <w:marRight w:val="0"/>
      <w:marTop w:val="0"/>
      <w:marBottom w:val="0"/>
      <w:divBdr>
        <w:top w:val="none" w:sz="0" w:space="0" w:color="auto"/>
        <w:left w:val="none" w:sz="0" w:space="0" w:color="auto"/>
        <w:bottom w:val="none" w:sz="0" w:space="0" w:color="auto"/>
        <w:right w:val="none" w:sz="0" w:space="0" w:color="auto"/>
      </w:divBdr>
    </w:div>
    <w:div w:id="202446289">
      <w:bodyDiv w:val="1"/>
      <w:marLeft w:val="0"/>
      <w:marRight w:val="0"/>
      <w:marTop w:val="0"/>
      <w:marBottom w:val="0"/>
      <w:divBdr>
        <w:top w:val="none" w:sz="0" w:space="0" w:color="auto"/>
        <w:left w:val="none" w:sz="0" w:space="0" w:color="auto"/>
        <w:bottom w:val="none" w:sz="0" w:space="0" w:color="auto"/>
        <w:right w:val="none" w:sz="0" w:space="0" w:color="auto"/>
      </w:divBdr>
    </w:div>
    <w:div w:id="203055470">
      <w:bodyDiv w:val="1"/>
      <w:marLeft w:val="0"/>
      <w:marRight w:val="0"/>
      <w:marTop w:val="0"/>
      <w:marBottom w:val="0"/>
      <w:divBdr>
        <w:top w:val="none" w:sz="0" w:space="0" w:color="auto"/>
        <w:left w:val="none" w:sz="0" w:space="0" w:color="auto"/>
        <w:bottom w:val="none" w:sz="0" w:space="0" w:color="auto"/>
        <w:right w:val="none" w:sz="0" w:space="0" w:color="auto"/>
      </w:divBdr>
    </w:div>
    <w:div w:id="203489437">
      <w:bodyDiv w:val="1"/>
      <w:marLeft w:val="0"/>
      <w:marRight w:val="0"/>
      <w:marTop w:val="0"/>
      <w:marBottom w:val="0"/>
      <w:divBdr>
        <w:top w:val="none" w:sz="0" w:space="0" w:color="auto"/>
        <w:left w:val="none" w:sz="0" w:space="0" w:color="auto"/>
        <w:bottom w:val="none" w:sz="0" w:space="0" w:color="auto"/>
        <w:right w:val="none" w:sz="0" w:space="0" w:color="auto"/>
      </w:divBdr>
    </w:div>
    <w:div w:id="203830423">
      <w:bodyDiv w:val="1"/>
      <w:marLeft w:val="0"/>
      <w:marRight w:val="0"/>
      <w:marTop w:val="0"/>
      <w:marBottom w:val="0"/>
      <w:divBdr>
        <w:top w:val="none" w:sz="0" w:space="0" w:color="auto"/>
        <w:left w:val="none" w:sz="0" w:space="0" w:color="auto"/>
        <w:bottom w:val="none" w:sz="0" w:space="0" w:color="auto"/>
        <w:right w:val="none" w:sz="0" w:space="0" w:color="auto"/>
      </w:divBdr>
    </w:div>
    <w:div w:id="204296240">
      <w:bodyDiv w:val="1"/>
      <w:marLeft w:val="0"/>
      <w:marRight w:val="0"/>
      <w:marTop w:val="0"/>
      <w:marBottom w:val="0"/>
      <w:divBdr>
        <w:top w:val="none" w:sz="0" w:space="0" w:color="auto"/>
        <w:left w:val="none" w:sz="0" w:space="0" w:color="auto"/>
        <w:bottom w:val="none" w:sz="0" w:space="0" w:color="auto"/>
        <w:right w:val="none" w:sz="0" w:space="0" w:color="auto"/>
      </w:divBdr>
    </w:div>
    <w:div w:id="204872570">
      <w:bodyDiv w:val="1"/>
      <w:marLeft w:val="0"/>
      <w:marRight w:val="0"/>
      <w:marTop w:val="0"/>
      <w:marBottom w:val="0"/>
      <w:divBdr>
        <w:top w:val="none" w:sz="0" w:space="0" w:color="auto"/>
        <w:left w:val="none" w:sz="0" w:space="0" w:color="auto"/>
        <w:bottom w:val="none" w:sz="0" w:space="0" w:color="auto"/>
        <w:right w:val="none" w:sz="0" w:space="0" w:color="auto"/>
      </w:divBdr>
    </w:div>
    <w:div w:id="204947989">
      <w:bodyDiv w:val="1"/>
      <w:marLeft w:val="0"/>
      <w:marRight w:val="0"/>
      <w:marTop w:val="0"/>
      <w:marBottom w:val="0"/>
      <w:divBdr>
        <w:top w:val="none" w:sz="0" w:space="0" w:color="auto"/>
        <w:left w:val="none" w:sz="0" w:space="0" w:color="auto"/>
        <w:bottom w:val="none" w:sz="0" w:space="0" w:color="auto"/>
        <w:right w:val="none" w:sz="0" w:space="0" w:color="auto"/>
      </w:divBdr>
    </w:div>
    <w:div w:id="205143439">
      <w:bodyDiv w:val="1"/>
      <w:marLeft w:val="0"/>
      <w:marRight w:val="0"/>
      <w:marTop w:val="0"/>
      <w:marBottom w:val="0"/>
      <w:divBdr>
        <w:top w:val="none" w:sz="0" w:space="0" w:color="auto"/>
        <w:left w:val="none" w:sz="0" w:space="0" w:color="auto"/>
        <w:bottom w:val="none" w:sz="0" w:space="0" w:color="auto"/>
        <w:right w:val="none" w:sz="0" w:space="0" w:color="auto"/>
      </w:divBdr>
    </w:div>
    <w:div w:id="205483926">
      <w:bodyDiv w:val="1"/>
      <w:marLeft w:val="0"/>
      <w:marRight w:val="0"/>
      <w:marTop w:val="0"/>
      <w:marBottom w:val="0"/>
      <w:divBdr>
        <w:top w:val="none" w:sz="0" w:space="0" w:color="auto"/>
        <w:left w:val="none" w:sz="0" w:space="0" w:color="auto"/>
        <w:bottom w:val="none" w:sz="0" w:space="0" w:color="auto"/>
        <w:right w:val="none" w:sz="0" w:space="0" w:color="auto"/>
      </w:divBdr>
    </w:div>
    <w:div w:id="205605670">
      <w:bodyDiv w:val="1"/>
      <w:marLeft w:val="0"/>
      <w:marRight w:val="0"/>
      <w:marTop w:val="0"/>
      <w:marBottom w:val="0"/>
      <w:divBdr>
        <w:top w:val="none" w:sz="0" w:space="0" w:color="auto"/>
        <w:left w:val="none" w:sz="0" w:space="0" w:color="auto"/>
        <w:bottom w:val="none" w:sz="0" w:space="0" w:color="auto"/>
        <w:right w:val="none" w:sz="0" w:space="0" w:color="auto"/>
      </w:divBdr>
    </w:div>
    <w:div w:id="205994773">
      <w:bodyDiv w:val="1"/>
      <w:marLeft w:val="0"/>
      <w:marRight w:val="0"/>
      <w:marTop w:val="0"/>
      <w:marBottom w:val="0"/>
      <w:divBdr>
        <w:top w:val="none" w:sz="0" w:space="0" w:color="auto"/>
        <w:left w:val="none" w:sz="0" w:space="0" w:color="auto"/>
        <w:bottom w:val="none" w:sz="0" w:space="0" w:color="auto"/>
        <w:right w:val="none" w:sz="0" w:space="0" w:color="auto"/>
      </w:divBdr>
    </w:div>
    <w:div w:id="206188054">
      <w:bodyDiv w:val="1"/>
      <w:marLeft w:val="0"/>
      <w:marRight w:val="0"/>
      <w:marTop w:val="0"/>
      <w:marBottom w:val="0"/>
      <w:divBdr>
        <w:top w:val="none" w:sz="0" w:space="0" w:color="auto"/>
        <w:left w:val="none" w:sz="0" w:space="0" w:color="auto"/>
        <w:bottom w:val="none" w:sz="0" w:space="0" w:color="auto"/>
        <w:right w:val="none" w:sz="0" w:space="0" w:color="auto"/>
      </w:divBdr>
    </w:div>
    <w:div w:id="206190154">
      <w:bodyDiv w:val="1"/>
      <w:marLeft w:val="0"/>
      <w:marRight w:val="0"/>
      <w:marTop w:val="0"/>
      <w:marBottom w:val="0"/>
      <w:divBdr>
        <w:top w:val="none" w:sz="0" w:space="0" w:color="auto"/>
        <w:left w:val="none" w:sz="0" w:space="0" w:color="auto"/>
        <w:bottom w:val="none" w:sz="0" w:space="0" w:color="auto"/>
        <w:right w:val="none" w:sz="0" w:space="0" w:color="auto"/>
      </w:divBdr>
    </w:div>
    <w:div w:id="206531715">
      <w:bodyDiv w:val="1"/>
      <w:marLeft w:val="0"/>
      <w:marRight w:val="0"/>
      <w:marTop w:val="0"/>
      <w:marBottom w:val="0"/>
      <w:divBdr>
        <w:top w:val="none" w:sz="0" w:space="0" w:color="auto"/>
        <w:left w:val="none" w:sz="0" w:space="0" w:color="auto"/>
        <w:bottom w:val="none" w:sz="0" w:space="0" w:color="auto"/>
        <w:right w:val="none" w:sz="0" w:space="0" w:color="auto"/>
      </w:divBdr>
    </w:div>
    <w:div w:id="207187808">
      <w:bodyDiv w:val="1"/>
      <w:marLeft w:val="0"/>
      <w:marRight w:val="0"/>
      <w:marTop w:val="0"/>
      <w:marBottom w:val="0"/>
      <w:divBdr>
        <w:top w:val="none" w:sz="0" w:space="0" w:color="auto"/>
        <w:left w:val="none" w:sz="0" w:space="0" w:color="auto"/>
        <w:bottom w:val="none" w:sz="0" w:space="0" w:color="auto"/>
        <w:right w:val="none" w:sz="0" w:space="0" w:color="auto"/>
      </w:divBdr>
    </w:div>
    <w:div w:id="207379678">
      <w:bodyDiv w:val="1"/>
      <w:marLeft w:val="0"/>
      <w:marRight w:val="0"/>
      <w:marTop w:val="0"/>
      <w:marBottom w:val="0"/>
      <w:divBdr>
        <w:top w:val="none" w:sz="0" w:space="0" w:color="auto"/>
        <w:left w:val="none" w:sz="0" w:space="0" w:color="auto"/>
        <w:bottom w:val="none" w:sz="0" w:space="0" w:color="auto"/>
        <w:right w:val="none" w:sz="0" w:space="0" w:color="auto"/>
      </w:divBdr>
    </w:div>
    <w:div w:id="208151429">
      <w:bodyDiv w:val="1"/>
      <w:marLeft w:val="0"/>
      <w:marRight w:val="0"/>
      <w:marTop w:val="0"/>
      <w:marBottom w:val="0"/>
      <w:divBdr>
        <w:top w:val="none" w:sz="0" w:space="0" w:color="auto"/>
        <w:left w:val="none" w:sz="0" w:space="0" w:color="auto"/>
        <w:bottom w:val="none" w:sz="0" w:space="0" w:color="auto"/>
        <w:right w:val="none" w:sz="0" w:space="0" w:color="auto"/>
      </w:divBdr>
    </w:div>
    <w:div w:id="208494592">
      <w:bodyDiv w:val="1"/>
      <w:marLeft w:val="0"/>
      <w:marRight w:val="0"/>
      <w:marTop w:val="0"/>
      <w:marBottom w:val="0"/>
      <w:divBdr>
        <w:top w:val="none" w:sz="0" w:space="0" w:color="auto"/>
        <w:left w:val="none" w:sz="0" w:space="0" w:color="auto"/>
        <w:bottom w:val="none" w:sz="0" w:space="0" w:color="auto"/>
        <w:right w:val="none" w:sz="0" w:space="0" w:color="auto"/>
      </w:divBdr>
    </w:div>
    <w:div w:id="209728222">
      <w:bodyDiv w:val="1"/>
      <w:marLeft w:val="0"/>
      <w:marRight w:val="0"/>
      <w:marTop w:val="0"/>
      <w:marBottom w:val="0"/>
      <w:divBdr>
        <w:top w:val="none" w:sz="0" w:space="0" w:color="auto"/>
        <w:left w:val="none" w:sz="0" w:space="0" w:color="auto"/>
        <w:bottom w:val="none" w:sz="0" w:space="0" w:color="auto"/>
        <w:right w:val="none" w:sz="0" w:space="0" w:color="auto"/>
      </w:divBdr>
    </w:div>
    <w:div w:id="209921584">
      <w:bodyDiv w:val="1"/>
      <w:marLeft w:val="0"/>
      <w:marRight w:val="0"/>
      <w:marTop w:val="0"/>
      <w:marBottom w:val="0"/>
      <w:divBdr>
        <w:top w:val="none" w:sz="0" w:space="0" w:color="auto"/>
        <w:left w:val="none" w:sz="0" w:space="0" w:color="auto"/>
        <w:bottom w:val="none" w:sz="0" w:space="0" w:color="auto"/>
        <w:right w:val="none" w:sz="0" w:space="0" w:color="auto"/>
      </w:divBdr>
    </w:div>
    <w:div w:id="210464183">
      <w:bodyDiv w:val="1"/>
      <w:marLeft w:val="0"/>
      <w:marRight w:val="0"/>
      <w:marTop w:val="0"/>
      <w:marBottom w:val="0"/>
      <w:divBdr>
        <w:top w:val="none" w:sz="0" w:space="0" w:color="auto"/>
        <w:left w:val="none" w:sz="0" w:space="0" w:color="auto"/>
        <w:bottom w:val="none" w:sz="0" w:space="0" w:color="auto"/>
        <w:right w:val="none" w:sz="0" w:space="0" w:color="auto"/>
      </w:divBdr>
    </w:div>
    <w:div w:id="210581691">
      <w:bodyDiv w:val="1"/>
      <w:marLeft w:val="0"/>
      <w:marRight w:val="0"/>
      <w:marTop w:val="0"/>
      <w:marBottom w:val="0"/>
      <w:divBdr>
        <w:top w:val="none" w:sz="0" w:space="0" w:color="auto"/>
        <w:left w:val="none" w:sz="0" w:space="0" w:color="auto"/>
        <w:bottom w:val="none" w:sz="0" w:space="0" w:color="auto"/>
        <w:right w:val="none" w:sz="0" w:space="0" w:color="auto"/>
      </w:divBdr>
    </w:div>
    <w:div w:id="210850100">
      <w:bodyDiv w:val="1"/>
      <w:marLeft w:val="0"/>
      <w:marRight w:val="0"/>
      <w:marTop w:val="0"/>
      <w:marBottom w:val="0"/>
      <w:divBdr>
        <w:top w:val="none" w:sz="0" w:space="0" w:color="auto"/>
        <w:left w:val="none" w:sz="0" w:space="0" w:color="auto"/>
        <w:bottom w:val="none" w:sz="0" w:space="0" w:color="auto"/>
        <w:right w:val="none" w:sz="0" w:space="0" w:color="auto"/>
      </w:divBdr>
    </w:div>
    <w:div w:id="210922424">
      <w:bodyDiv w:val="1"/>
      <w:marLeft w:val="0"/>
      <w:marRight w:val="0"/>
      <w:marTop w:val="0"/>
      <w:marBottom w:val="0"/>
      <w:divBdr>
        <w:top w:val="none" w:sz="0" w:space="0" w:color="auto"/>
        <w:left w:val="none" w:sz="0" w:space="0" w:color="auto"/>
        <w:bottom w:val="none" w:sz="0" w:space="0" w:color="auto"/>
        <w:right w:val="none" w:sz="0" w:space="0" w:color="auto"/>
      </w:divBdr>
    </w:div>
    <w:div w:id="211578175">
      <w:bodyDiv w:val="1"/>
      <w:marLeft w:val="0"/>
      <w:marRight w:val="0"/>
      <w:marTop w:val="0"/>
      <w:marBottom w:val="0"/>
      <w:divBdr>
        <w:top w:val="none" w:sz="0" w:space="0" w:color="auto"/>
        <w:left w:val="none" w:sz="0" w:space="0" w:color="auto"/>
        <w:bottom w:val="none" w:sz="0" w:space="0" w:color="auto"/>
        <w:right w:val="none" w:sz="0" w:space="0" w:color="auto"/>
      </w:divBdr>
    </w:div>
    <w:div w:id="212348258">
      <w:bodyDiv w:val="1"/>
      <w:marLeft w:val="0"/>
      <w:marRight w:val="0"/>
      <w:marTop w:val="0"/>
      <w:marBottom w:val="0"/>
      <w:divBdr>
        <w:top w:val="none" w:sz="0" w:space="0" w:color="auto"/>
        <w:left w:val="none" w:sz="0" w:space="0" w:color="auto"/>
        <w:bottom w:val="none" w:sz="0" w:space="0" w:color="auto"/>
        <w:right w:val="none" w:sz="0" w:space="0" w:color="auto"/>
      </w:divBdr>
    </w:div>
    <w:div w:id="212691757">
      <w:bodyDiv w:val="1"/>
      <w:marLeft w:val="0"/>
      <w:marRight w:val="0"/>
      <w:marTop w:val="0"/>
      <w:marBottom w:val="0"/>
      <w:divBdr>
        <w:top w:val="none" w:sz="0" w:space="0" w:color="auto"/>
        <w:left w:val="none" w:sz="0" w:space="0" w:color="auto"/>
        <w:bottom w:val="none" w:sz="0" w:space="0" w:color="auto"/>
        <w:right w:val="none" w:sz="0" w:space="0" w:color="auto"/>
      </w:divBdr>
    </w:div>
    <w:div w:id="212733979">
      <w:bodyDiv w:val="1"/>
      <w:marLeft w:val="0"/>
      <w:marRight w:val="0"/>
      <w:marTop w:val="0"/>
      <w:marBottom w:val="0"/>
      <w:divBdr>
        <w:top w:val="none" w:sz="0" w:space="0" w:color="auto"/>
        <w:left w:val="none" w:sz="0" w:space="0" w:color="auto"/>
        <w:bottom w:val="none" w:sz="0" w:space="0" w:color="auto"/>
        <w:right w:val="none" w:sz="0" w:space="0" w:color="auto"/>
      </w:divBdr>
    </w:div>
    <w:div w:id="213465581">
      <w:bodyDiv w:val="1"/>
      <w:marLeft w:val="0"/>
      <w:marRight w:val="0"/>
      <w:marTop w:val="0"/>
      <w:marBottom w:val="0"/>
      <w:divBdr>
        <w:top w:val="none" w:sz="0" w:space="0" w:color="auto"/>
        <w:left w:val="none" w:sz="0" w:space="0" w:color="auto"/>
        <w:bottom w:val="none" w:sz="0" w:space="0" w:color="auto"/>
        <w:right w:val="none" w:sz="0" w:space="0" w:color="auto"/>
      </w:divBdr>
    </w:div>
    <w:div w:id="213808459">
      <w:bodyDiv w:val="1"/>
      <w:marLeft w:val="0"/>
      <w:marRight w:val="0"/>
      <w:marTop w:val="0"/>
      <w:marBottom w:val="0"/>
      <w:divBdr>
        <w:top w:val="none" w:sz="0" w:space="0" w:color="auto"/>
        <w:left w:val="none" w:sz="0" w:space="0" w:color="auto"/>
        <w:bottom w:val="none" w:sz="0" w:space="0" w:color="auto"/>
        <w:right w:val="none" w:sz="0" w:space="0" w:color="auto"/>
      </w:divBdr>
    </w:div>
    <w:div w:id="213854756">
      <w:bodyDiv w:val="1"/>
      <w:marLeft w:val="0"/>
      <w:marRight w:val="0"/>
      <w:marTop w:val="0"/>
      <w:marBottom w:val="0"/>
      <w:divBdr>
        <w:top w:val="none" w:sz="0" w:space="0" w:color="auto"/>
        <w:left w:val="none" w:sz="0" w:space="0" w:color="auto"/>
        <w:bottom w:val="none" w:sz="0" w:space="0" w:color="auto"/>
        <w:right w:val="none" w:sz="0" w:space="0" w:color="auto"/>
      </w:divBdr>
    </w:div>
    <w:div w:id="213858561">
      <w:bodyDiv w:val="1"/>
      <w:marLeft w:val="0"/>
      <w:marRight w:val="0"/>
      <w:marTop w:val="0"/>
      <w:marBottom w:val="0"/>
      <w:divBdr>
        <w:top w:val="none" w:sz="0" w:space="0" w:color="auto"/>
        <w:left w:val="none" w:sz="0" w:space="0" w:color="auto"/>
        <w:bottom w:val="none" w:sz="0" w:space="0" w:color="auto"/>
        <w:right w:val="none" w:sz="0" w:space="0" w:color="auto"/>
      </w:divBdr>
    </w:div>
    <w:div w:id="213978219">
      <w:bodyDiv w:val="1"/>
      <w:marLeft w:val="0"/>
      <w:marRight w:val="0"/>
      <w:marTop w:val="0"/>
      <w:marBottom w:val="0"/>
      <w:divBdr>
        <w:top w:val="none" w:sz="0" w:space="0" w:color="auto"/>
        <w:left w:val="none" w:sz="0" w:space="0" w:color="auto"/>
        <w:bottom w:val="none" w:sz="0" w:space="0" w:color="auto"/>
        <w:right w:val="none" w:sz="0" w:space="0" w:color="auto"/>
      </w:divBdr>
    </w:div>
    <w:div w:id="214004890">
      <w:bodyDiv w:val="1"/>
      <w:marLeft w:val="0"/>
      <w:marRight w:val="0"/>
      <w:marTop w:val="0"/>
      <w:marBottom w:val="0"/>
      <w:divBdr>
        <w:top w:val="none" w:sz="0" w:space="0" w:color="auto"/>
        <w:left w:val="none" w:sz="0" w:space="0" w:color="auto"/>
        <w:bottom w:val="none" w:sz="0" w:space="0" w:color="auto"/>
        <w:right w:val="none" w:sz="0" w:space="0" w:color="auto"/>
      </w:divBdr>
    </w:div>
    <w:div w:id="214778999">
      <w:bodyDiv w:val="1"/>
      <w:marLeft w:val="0"/>
      <w:marRight w:val="0"/>
      <w:marTop w:val="0"/>
      <w:marBottom w:val="0"/>
      <w:divBdr>
        <w:top w:val="none" w:sz="0" w:space="0" w:color="auto"/>
        <w:left w:val="none" w:sz="0" w:space="0" w:color="auto"/>
        <w:bottom w:val="none" w:sz="0" w:space="0" w:color="auto"/>
        <w:right w:val="none" w:sz="0" w:space="0" w:color="auto"/>
      </w:divBdr>
    </w:div>
    <w:div w:id="215121339">
      <w:bodyDiv w:val="1"/>
      <w:marLeft w:val="0"/>
      <w:marRight w:val="0"/>
      <w:marTop w:val="0"/>
      <w:marBottom w:val="0"/>
      <w:divBdr>
        <w:top w:val="none" w:sz="0" w:space="0" w:color="auto"/>
        <w:left w:val="none" w:sz="0" w:space="0" w:color="auto"/>
        <w:bottom w:val="none" w:sz="0" w:space="0" w:color="auto"/>
        <w:right w:val="none" w:sz="0" w:space="0" w:color="auto"/>
      </w:divBdr>
    </w:div>
    <w:div w:id="215238786">
      <w:bodyDiv w:val="1"/>
      <w:marLeft w:val="0"/>
      <w:marRight w:val="0"/>
      <w:marTop w:val="0"/>
      <w:marBottom w:val="0"/>
      <w:divBdr>
        <w:top w:val="none" w:sz="0" w:space="0" w:color="auto"/>
        <w:left w:val="none" w:sz="0" w:space="0" w:color="auto"/>
        <w:bottom w:val="none" w:sz="0" w:space="0" w:color="auto"/>
        <w:right w:val="none" w:sz="0" w:space="0" w:color="auto"/>
      </w:divBdr>
    </w:div>
    <w:div w:id="215240343">
      <w:bodyDiv w:val="1"/>
      <w:marLeft w:val="0"/>
      <w:marRight w:val="0"/>
      <w:marTop w:val="0"/>
      <w:marBottom w:val="0"/>
      <w:divBdr>
        <w:top w:val="none" w:sz="0" w:space="0" w:color="auto"/>
        <w:left w:val="none" w:sz="0" w:space="0" w:color="auto"/>
        <w:bottom w:val="none" w:sz="0" w:space="0" w:color="auto"/>
        <w:right w:val="none" w:sz="0" w:space="0" w:color="auto"/>
      </w:divBdr>
    </w:div>
    <w:div w:id="215317816">
      <w:bodyDiv w:val="1"/>
      <w:marLeft w:val="0"/>
      <w:marRight w:val="0"/>
      <w:marTop w:val="0"/>
      <w:marBottom w:val="0"/>
      <w:divBdr>
        <w:top w:val="none" w:sz="0" w:space="0" w:color="auto"/>
        <w:left w:val="none" w:sz="0" w:space="0" w:color="auto"/>
        <w:bottom w:val="none" w:sz="0" w:space="0" w:color="auto"/>
        <w:right w:val="none" w:sz="0" w:space="0" w:color="auto"/>
      </w:divBdr>
    </w:div>
    <w:div w:id="215968801">
      <w:bodyDiv w:val="1"/>
      <w:marLeft w:val="0"/>
      <w:marRight w:val="0"/>
      <w:marTop w:val="0"/>
      <w:marBottom w:val="0"/>
      <w:divBdr>
        <w:top w:val="none" w:sz="0" w:space="0" w:color="auto"/>
        <w:left w:val="none" w:sz="0" w:space="0" w:color="auto"/>
        <w:bottom w:val="none" w:sz="0" w:space="0" w:color="auto"/>
        <w:right w:val="none" w:sz="0" w:space="0" w:color="auto"/>
      </w:divBdr>
    </w:div>
    <w:div w:id="216166606">
      <w:bodyDiv w:val="1"/>
      <w:marLeft w:val="0"/>
      <w:marRight w:val="0"/>
      <w:marTop w:val="0"/>
      <w:marBottom w:val="0"/>
      <w:divBdr>
        <w:top w:val="none" w:sz="0" w:space="0" w:color="auto"/>
        <w:left w:val="none" w:sz="0" w:space="0" w:color="auto"/>
        <w:bottom w:val="none" w:sz="0" w:space="0" w:color="auto"/>
        <w:right w:val="none" w:sz="0" w:space="0" w:color="auto"/>
      </w:divBdr>
    </w:div>
    <w:div w:id="216550558">
      <w:bodyDiv w:val="1"/>
      <w:marLeft w:val="0"/>
      <w:marRight w:val="0"/>
      <w:marTop w:val="0"/>
      <w:marBottom w:val="0"/>
      <w:divBdr>
        <w:top w:val="none" w:sz="0" w:space="0" w:color="auto"/>
        <w:left w:val="none" w:sz="0" w:space="0" w:color="auto"/>
        <w:bottom w:val="none" w:sz="0" w:space="0" w:color="auto"/>
        <w:right w:val="none" w:sz="0" w:space="0" w:color="auto"/>
      </w:divBdr>
    </w:div>
    <w:div w:id="216554978">
      <w:bodyDiv w:val="1"/>
      <w:marLeft w:val="0"/>
      <w:marRight w:val="0"/>
      <w:marTop w:val="0"/>
      <w:marBottom w:val="0"/>
      <w:divBdr>
        <w:top w:val="none" w:sz="0" w:space="0" w:color="auto"/>
        <w:left w:val="none" w:sz="0" w:space="0" w:color="auto"/>
        <w:bottom w:val="none" w:sz="0" w:space="0" w:color="auto"/>
        <w:right w:val="none" w:sz="0" w:space="0" w:color="auto"/>
      </w:divBdr>
    </w:div>
    <w:div w:id="216625072">
      <w:bodyDiv w:val="1"/>
      <w:marLeft w:val="0"/>
      <w:marRight w:val="0"/>
      <w:marTop w:val="0"/>
      <w:marBottom w:val="0"/>
      <w:divBdr>
        <w:top w:val="none" w:sz="0" w:space="0" w:color="auto"/>
        <w:left w:val="none" w:sz="0" w:space="0" w:color="auto"/>
        <w:bottom w:val="none" w:sz="0" w:space="0" w:color="auto"/>
        <w:right w:val="none" w:sz="0" w:space="0" w:color="auto"/>
      </w:divBdr>
    </w:div>
    <w:div w:id="216665342">
      <w:bodyDiv w:val="1"/>
      <w:marLeft w:val="0"/>
      <w:marRight w:val="0"/>
      <w:marTop w:val="0"/>
      <w:marBottom w:val="0"/>
      <w:divBdr>
        <w:top w:val="none" w:sz="0" w:space="0" w:color="auto"/>
        <w:left w:val="none" w:sz="0" w:space="0" w:color="auto"/>
        <w:bottom w:val="none" w:sz="0" w:space="0" w:color="auto"/>
        <w:right w:val="none" w:sz="0" w:space="0" w:color="auto"/>
      </w:divBdr>
    </w:div>
    <w:div w:id="216740886">
      <w:bodyDiv w:val="1"/>
      <w:marLeft w:val="0"/>
      <w:marRight w:val="0"/>
      <w:marTop w:val="0"/>
      <w:marBottom w:val="0"/>
      <w:divBdr>
        <w:top w:val="none" w:sz="0" w:space="0" w:color="auto"/>
        <w:left w:val="none" w:sz="0" w:space="0" w:color="auto"/>
        <w:bottom w:val="none" w:sz="0" w:space="0" w:color="auto"/>
        <w:right w:val="none" w:sz="0" w:space="0" w:color="auto"/>
      </w:divBdr>
    </w:div>
    <w:div w:id="217013211">
      <w:bodyDiv w:val="1"/>
      <w:marLeft w:val="0"/>
      <w:marRight w:val="0"/>
      <w:marTop w:val="0"/>
      <w:marBottom w:val="0"/>
      <w:divBdr>
        <w:top w:val="none" w:sz="0" w:space="0" w:color="auto"/>
        <w:left w:val="none" w:sz="0" w:space="0" w:color="auto"/>
        <w:bottom w:val="none" w:sz="0" w:space="0" w:color="auto"/>
        <w:right w:val="none" w:sz="0" w:space="0" w:color="auto"/>
      </w:divBdr>
    </w:div>
    <w:div w:id="217322854">
      <w:bodyDiv w:val="1"/>
      <w:marLeft w:val="0"/>
      <w:marRight w:val="0"/>
      <w:marTop w:val="0"/>
      <w:marBottom w:val="0"/>
      <w:divBdr>
        <w:top w:val="none" w:sz="0" w:space="0" w:color="auto"/>
        <w:left w:val="none" w:sz="0" w:space="0" w:color="auto"/>
        <w:bottom w:val="none" w:sz="0" w:space="0" w:color="auto"/>
        <w:right w:val="none" w:sz="0" w:space="0" w:color="auto"/>
      </w:divBdr>
    </w:div>
    <w:div w:id="217324701">
      <w:bodyDiv w:val="1"/>
      <w:marLeft w:val="0"/>
      <w:marRight w:val="0"/>
      <w:marTop w:val="0"/>
      <w:marBottom w:val="0"/>
      <w:divBdr>
        <w:top w:val="none" w:sz="0" w:space="0" w:color="auto"/>
        <w:left w:val="none" w:sz="0" w:space="0" w:color="auto"/>
        <w:bottom w:val="none" w:sz="0" w:space="0" w:color="auto"/>
        <w:right w:val="none" w:sz="0" w:space="0" w:color="auto"/>
      </w:divBdr>
    </w:div>
    <w:div w:id="217522032">
      <w:bodyDiv w:val="1"/>
      <w:marLeft w:val="0"/>
      <w:marRight w:val="0"/>
      <w:marTop w:val="0"/>
      <w:marBottom w:val="0"/>
      <w:divBdr>
        <w:top w:val="none" w:sz="0" w:space="0" w:color="auto"/>
        <w:left w:val="none" w:sz="0" w:space="0" w:color="auto"/>
        <w:bottom w:val="none" w:sz="0" w:space="0" w:color="auto"/>
        <w:right w:val="none" w:sz="0" w:space="0" w:color="auto"/>
      </w:divBdr>
    </w:div>
    <w:div w:id="217670380">
      <w:bodyDiv w:val="1"/>
      <w:marLeft w:val="0"/>
      <w:marRight w:val="0"/>
      <w:marTop w:val="0"/>
      <w:marBottom w:val="0"/>
      <w:divBdr>
        <w:top w:val="none" w:sz="0" w:space="0" w:color="auto"/>
        <w:left w:val="none" w:sz="0" w:space="0" w:color="auto"/>
        <w:bottom w:val="none" w:sz="0" w:space="0" w:color="auto"/>
        <w:right w:val="none" w:sz="0" w:space="0" w:color="auto"/>
      </w:divBdr>
    </w:div>
    <w:div w:id="217790748">
      <w:bodyDiv w:val="1"/>
      <w:marLeft w:val="0"/>
      <w:marRight w:val="0"/>
      <w:marTop w:val="0"/>
      <w:marBottom w:val="0"/>
      <w:divBdr>
        <w:top w:val="none" w:sz="0" w:space="0" w:color="auto"/>
        <w:left w:val="none" w:sz="0" w:space="0" w:color="auto"/>
        <w:bottom w:val="none" w:sz="0" w:space="0" w:color="auto"/>
        <w:right w:val="none" w:sz="0" w:space="0" w:color="auto"/>
      </w:divBdr>
    </w:div>
    <w:div w:id="218370194">
      <w:bodyDiv w:val="1"/>
      <w:marLeft w:val="0"/>
      <w:marRight w:val="0"/>
      <w:marTop w:val="0"/>
      <w:marBottom w:val="0"/>
      <w:divBdr>
        <w:top w:val="none" w:sz="0" w:space="0" w:color="auto"/>
        <w:left w:val="none" w:sz="0" w:space="0" w:color="auto"/>
        <w:bottom w:val="none" w:sz="0" w:space="0" w:color="auto"/>
        <w:right w:val="none" w:sz="0" w:space="0" w:color="auto"/>
      </w:divBdr>
    </w:div>
    <w:div w:id="218522672">
      <w:bodyDiv w:val="1"/>
      <w:marLeft w:val="0"/>
      <w:marRight w:val="0"/>
      <w:marTop w:val="0"/>
      <w:marBottom w:val="0"/>
      <w:divBdr>
        <w:top w:val="none" w:sz="0" w:space="0" w:color="auto"/>
        <w:left w:val="none" w:sz="0" w:space="0" w:color="auto"/>
        <w:bottom w:val="none" w:sz="0" w:space="0" w:color="auto"/>
        <w:right w:val="none" w:sz="0" w:space="0" w:color="auto"/>
      </w:divBdr>
    </w:div>
    <w:div w:id="218828951">
      <w:bodyDiv w:val="1"/>
      <w:marLeft w:val="0"/>
      <w:marRight w:val="0"/>
      <w:marTop w:val="0"/>
      <w:marBottom w:val="0"/>
      <w:divBdr>
        <w:top w:val="none" w:sz="0" w:space="0" w:color="auto"/>
        <w:left w:val="none" w:sz="0" w:space="0" w:color="auto"/>
        <w:bottom w:val="none" w:sz="0" w:space="0" w:color="auto"/>
        <w:right w:val="none" w:sz="0" w:space="0" w:color="auto"/>
      </w:divBdr>
    </w:div>
    <w:div w:id="219247579">
      <w:bodyDiv w:val="1"/>
      <w:marLeft w:val="0"/>
      <w:marRight w:val="0"/>
      <w:marTop w:val="0"/>
      <w:marBottom w:val="0"/>
      <w:divBdr>
        <w:top w:val="none" w:sz="0" w:space="0" w:color="auto"/>
        <w:left w:val="none" w:sz="0" w:space="0" w:color="auto"/>
        <w:bottom w:val="none" w:sz="0" w:space="0" w:color="auto"/>
        <w:right w:val="none" w:sz="0" w:space="0" w:color="auto"/>
      </w:divBdr>
    </w:div>
    <w:div w:id="219290241">
      <w:bodyDiv w:val="1"/>
      <w:marLeft w:val="0"/>
      <w:marRight w:val="0"/>
      <w:marTop w:val="0"/>
      <w:marBottom w:val="0"/>
      <w:divBdr>
        <w:top w:val="none" w:sz="0" w:space="0" w:color="auto"/>
        <w:left w:val="none" w:sz="0" w:space="0" w:color="auto"/>
        <w:bottom w:val="none" w:sz="0" w:space="0" w:color="auto"/>
        <w:right w:val="none" w:sz="0" w:space="0" w:color="auto"/>
      </w:divBdr>
    </w:div>
    <w:div w:id="219445392">
      <w:bodyDiv w:val="1"/>
      <w:marLeft w:val="0"/>
      <w:marRight w:val="0"/>
      <w:marTop w:val="0"/>
      <w:marBottom w:val="0"/>
      <w:divBdr>
        <w:top w:val="none" w:sz="0" w:space="0" w:color="auto"/>
        <w:left w:val="none" w:sz="0" w:space="0" w:color="auto"/>
        <w:bottom w:val="none" w:sz="0" w:space="0" w:color="auto"/>
        <w:right w:val="none" w:sz="0" w:space="0" w:color="auto"/>
      </w:divBdr>
    </w:div>
    <w:div w:id="219557494">
      <w:bodyDiv w:val="1"/>
      <w:marLeft w:val="0"/>
      <w:marRight w:val="0"/>
      <w:marTop w:val="0"/>
      <w:marBottom w:val="0"/>
      <w:divBdr>
        <w:top w:val="none" w:sz="0" w:space="0" w:color="auto"/>
        <w:left w:val="none" w:sz="0" w:space="0" w:color="auto"/>
        <w:bottom w:val="none" w:sz="0" w:space="0" w:color="auto"/>
        <w:right w:val="none" w:sz="0" w:space="0" w:color="auto"/>
      </w:divBdr>
    </w:div>
    <w:div w:id="219677548">
      <w:bodyDiv w:val="1"/>
      <w:marLeft w:val="0"/>
      <w:marRight w:val="0"/>
      <w:marTop w:val="0"/>
      <w:marBottom w:val="0"/>
      <w:divBdr>
        <w:top w:val="none" w:sz="0" w:space="0" w:color="auto"/>
        <w:left w:val="none" w:sz="0" w:space="0" w:color="auto"/>
        <w:bottom w:val="none" w:sz="0" w:space="0" w:color="auto"/>
        <w:right w:val="none" w:sz="0" w:space="0" w:color="auto"/>
      </w:divBdr>
    </w:div>
    <w:div w:id="219831749">
      <w:bodyDiv w:val="1"/>
      <w:marLeft w:val="0"/>
      <w:marRight w:val="0"/>
      <w:marTop w:val="0"/>
      <w:marBottom w:val="0"/>
      <w:divBdr>
        <w:top w:val="none" w:sz="0" w:space="0" w:color="auto"/>
        <w:left w:val="none" w:sz="0" w:space="0" w:color="auto"/>
        <w:bottom w:val="none" w:sz="0" w:space="0" w:color="auto"/>
        <w:right w:val="none" w:sz="0" w:space="0" w:color="auto"/>
      </w:divBdr>
    </w:div>
    <w:div w:id="219903502">
      <w:bodyDiv w:val="1"/>
      <w:marLeft w:val="0"/>
      <w:marRight w:val="0"/>
      <w:marTop w:val="0"/>
      <w:marBottom w:val="0"/>
      <w:divBdr>
        <w:top w:val="none" w:sz="0" w:space="0" w:color="auto"/>
        <w:left w:val="none" w:sz="0" w:space="0" w:color="auto"/>
        <w:bottom w:val="none" w:sz="0" w:space="0" w:color="auto"/>
        <w:right w:val="none" w:sz="0" w:space="0" w:color="auto"/>
      </w:divBdr>
    </w:div>
    <w:div w:id="220596926">
      <w:bodyDiv w:val="1"/>
      <w:marLeft w:val="0"/>
      <w:marRight w:val="0"/>
      <w:marTop w:val="0"/>
      <w:marBottom w:val="0"/>
      <w:divBdr>
        <w:top w:val="none" w:sz="0" w:space="0" w:color="auto"/>
        <w:left w:val="none" w:sz="0" w:space="0" w:color="auto"/>
        <w:bottom w:val="none" w:sz="0" w:space="0" w:color="auto"/>
        <w:right w:val="none" w:sz="0" w:space="0" w:color="auto"/>
      </w:divBdr>
    </w:div>
    <w:div w:id="220597619">
      <w:bodyDiv w:val="1"/>
      <w:marLeft w:val="0"/>
      <w:marRight w:val="0"/>
      <w:marTop w:val="0"/>
      <w:marBottom w:val="0"/>
      <w:divBdr>
        <w:top w:val="none" w:sz="0" w:space="0" w:color="auto"/>
        <w:left w:val="none" w:sz="0" w:space="0" w:color="auto"/>
        <w:bottom w:val="none" w:sz="0" w:space="0" w:color="auto"/>
        <w:right w:val="none" w:sz="0" w:space="0" w:color="auto"/>
      </w:divBdr>
    </w:div>
    <w:div w:id="220599725">
      <w:bodyDiv w:val="1"/>
      <w:marLeft w:val="0"/>
      <w:marRight w:val="0"/>
      <w:marTop w:val="0"/>
      <w:marBottom w:val="0"/>
      <w:divBdr>
        <w:top w:val="none" w:sz="0" w:space="0" w:color="auto"/>
        <w:left w:val="none" w:sz="0" w:space="0" w:color="auto"/>
        <w:bottom w:val="none" w:sz="0" w:space="0" w:color="auto"/>
        <w:right w:val="none" w:sz="0" w:space="0" w:color="auto"/>
      </w:divBdr>
    </w:div>
    <w:div w:id="220600946">
      <w:bodyDiv w:val="1"/>
      <w:marLeft w:val="0"/>
      <w:marRight w:val="0"/>
      <w:marTop w:val="0"/>
      <w:marBottom w:val="0"/>
      <w:divBdr>
        <w:top w:val="none" w:sz="0" w:space="0" w:color="auto"/>
        <w:left w:val="none" w:sz="0" w:space="0" w:color="auto"/>
        <w:bottom w:val="none" w:sz="0" w:space="0" w:color="auto"/>
        <w:right w:val="none" w:sz="0" w:space="0" w:color="auto"/>
      </w:divBdr>
    </w:div>
    <w:div w:id="221061587">
      <w:bodyDiv w:val="1"/>
      <w:marLeft w:val="0"/>
      <w:marRight w:val="0"/>
      <w:marTop w:val="0"/>
      <w:marBottom w:val="0"/>
      <w:divBdr>
        <w:top w:val="none" w:sz="0" w:space="0" w:color="auto"/>
        <w:left w:val="none" w:sz="0" w:space="0" w:color="auto"/>
        <w:bottom w:val="none" w:sz="0" w:space="0" w:color="auto"/>
        <w:right w:val="none" w:sz="0" w:space="0" w:color="auto"/>
      </w:divBdr>
    </w:div>
    <w:div w:id="222133550">
      <w:bodyDiv w:val="1"/>
      <w:marLeft w:val="0"/>
      <w:marRight w:val="0"/>
      <w:marTop w:val="0"/>
      <w:marBottom w:val="0"/>
      <w:divBdr>
        <w:top w:val="none" w:sz="0" w:space="0" w:color="auto"/>
        <w:left w:val="none" w:sz="0" w:space="0" w:color="auto"/>
        <w:bottom w:val="none" w:sz="0" w:space="0" w:color="auto"/>
        <w:right w:val="none" w:sz="0" w:space="0" w:color="auto"/>
      </w:divBdr>
    </w:div>
    <w:div w:id="222256500">
      <w:bodyDiv w:val="1"/>
      <w:marLeft w:val="0"/>
      <w:marRight w:val="0"/>
      <w:marTop w:val="0"/>
      <w:marBottom w:val="0"/>
      <w:divBdr>
        <w:top w:val="none" w:sz="0" w:space="0" w:color="auto"/>
        <w:left w:val="none" w:sz="0" w:space="0" w:color="auto"/>
        <w:bottom w:val="none" w:sz="0" w:space="0" w:color="auto"/>
        <w:right w:val="none" w:sz="0" w:space="0" w:color="auto"/>
      </w:divBdr>
    </w:div>
    <w:div w:id="222260117">
      <w:bodyDiv w:val="1"/>
      <w:marLeft w:val="0"/>
      <w:marRight w:val="0"/>
      <w:marTop w:val="0"/>
      <w:marBottom w:val="0"/>
      <w:divBdr>
        <w:top w:val="none" w:sz="0" w:space="0" w:color="auto"/>
        <w:left w:val="none" w:sz="0" w:space="0" w:color="auto"/>
        <w:bottom w:val="none" w:sz="0" w:space="0" w:color="auto"/>
        <w:right w:val="none" w:sz="0" w:space="0" w:color="auto"/>
      </w:divBdr>
    </w:div>
    <w:div w:id="222445731">
      <w:bodyDiv w:val="1"/>
      <w:marLeft w:val="0"/>
      <w:marRight w:val="0"/>
      <w:marTop w:val="0"/>
      <w:marBottom w:val="0"/>
      <w:divBdr>
        <w:top w:val="none" w:sz="0" w:space="0" w:color="auto"/>
        <w:left w:val="none" w:sz="0" w:space="0" w:color="auto"/>
        <w:bottom w:val="none" w:sz="0" w:space="0" w:color="auto"/>
        <w:right w:val="none" w:sz="0" w:space="0" w:color="auto"/>
      </w:divBdr>
    </w:div>
    <w:div w:id="222569445">
      <w:bodyDiv w:val="1"/>
      <w:marLeft w:val="0"/>
      <w:marRight w:val="0"/>
      <w:marTop w:val="0"/>
      <w:marBottom w:val="0"/>
      <w:divBdr>
        <w:top w:val="none" w:sz="0" w:space="0" w:color="auto"/>
        <w:left w:val="none" w:sz="0" w:space="0" w:color="auto"/>
        <w:bottom w:val="none" w:sz="0" w:space="0" w:color="auto"/>
        <w:right w:val="none" w:sz="0" w:space="0" w:color="auto"/>
      </w:divBdr>
    </w:div>
    <w:div w:id="222646591">
      <w:bodyDiv w:val="1"/>
      <w:marLeft w:val="0"/>
      <w:marRight w:val="0"/>
      <w:marTop w:val="0"/>
      <w:marBottom w:val="0"/>
      <w:divBdr>
        <w:top w:val="none" w:sz="0" w:space="0" w:color="auto"/>
        <w:left w:val="none" w:sz="0" w:space="0" w:color="auto"/>
        <w:bottom w:val="none" w:sz="0" w:space="0" w:color="auto"/>
        <w:right w:val="none" w:sz="0" w:space="0" w:color="auto"/>
      </w:divBdr>
    </w:div>
    <w:div w:id="222912327">
      <w:bodyDiv w:val="1"/>
      <w:marLeft w:val="0"/>
      <w:marRight w:val="0"/>
      <w:marTop w:val="0"/>
      <w:marBottom w:val="0"/>
      <w:divBdr>
        <w:top w:val="none" w:sz="0" w:space="0" w:color="auto"/>
        <w:left w:val="none" w:sz="0" w:space="0" w:color="auto"/>
        <w:bottom w:val="none" w:sz="0" w:space="0" w:color="auto"/>
        <w:right w:val="none" w:sz="0" w:space="0" w:color="auto"/>
      </w:divBdr>
    </w:div>
    <w:div w:id="223105216">
      <w:bodyDiv w:val="1"/>
      <w:marLeft w:val="0"/>
      <w:marRight w:val="0"/>
      <w:marTop w:val="0"/>
      <w:marBottom w:val="0"/>
      <w:divBdr>
        <w:top w:val="none" w:sz="0" w:space="0" w:color="auto"/>
        <w:left w:val="none" w:sz="0" w:space="0" w:color="auto"/>
        <w:bottom w:val="none" w:sz="0" w:space="0" w:color="auto"/>
        <w:right w:val="none" w:sz="0" w:space="0" w:color="auto"/>
      </w:divBdr>
    </w:div>
    <w:div w:id="223417378">
      <w:bodyDiv w:val="1"/>
      <w:marLeft w:val="0"/>
      <w:marRight w:val="0"/>
      <w:marTop w:val="0"/>
      <w:marBottom w:val="0"/>
      <w:divBdr>
        <w:top w:val="none" w:sz="0" w:space="0" w:color="auto"/>
        <w:left w:val="none" w:sz="0" w:space="0" w:color="auto"/>
        <w:bottom w:val="none" w:sz="0" w:space="0" w:color="auto"/>
        <w:right w:val="none" w:sz="0" w:space="0" w:color="auto"/>
      </w:divBdr>
    </w:div>
    <w:div w:id="223444576">
      <w:bodyDiv w:val="1"/>
      <w:marLeft w:val="0"/>
      <w:marRight w:val="0"/>
      <w:marTop w:val="0"/>
      <w:marBottom w:val="0"/>
      <w:divBdr>
        <w:top w:val="none" w:sz="0" w:space="0" w:color="auto"/>
        <w:left w:val="none" w:sz="0" w:space="0" w:color="auto"/>
        <w:bottom w:val="none" w:sz="0" w:space="0" w:color="auto"/>
        <w:right w:val="none" w:sz="0" w:space="0" w:color="auto"/>
      </w:divBdr>
    </w:div>
    <w:div w:id="223806944">
      <w:bodyDiv w:val="1"/>
      <w:marLeft w:val="0"/>
      <w:marRight w:val="0"/>
      <w:marTop w:val="0"/>
      <w:marBottom w:val="0"/>
      <w:divBdr>
        <w:top w:val="none" w:sz="0" w:space="0" w:color="auto"/>
        <w:left w:val="none" w:sz="0" w:space="0" w:color="auto"/>
        <w:bottom w:val="none" w:sz="0" w:space="0" w:color="auto"/>
        <w:right w:val="none" w:sz="0" w:space="0" w:color="auto"/>
      </w:divBdr>
    </w:div>
    <w:div w:id="223837309">
      <w:bodyDiv w:val="1"/>
      <w:marLeft w:val="0"/>
      <w:marRight w:val="0"/>
      <w:marTop w:val="0"/>
      <w:marBottom w:val="0"/>
      <w:divBdr>
        <w:top w:val="none" w:sz="0" w:space="0" w:color="auto"/>
        <w:left w:val="none" w:sz="0" w:space="0" w:color="auto"/>
        <w:bottom w:val="none" w:sz="0" w:space="0" w:color="auto"/>
        <w:right w:val="none" w:sz="0" w:space="0" w:color="auto"/>
      </w:divBdr>
    </w:div>
    <w:div w:id="224533829">
      <w:bodyDiv w:val="1"/>
      <w:marLeft w:val="0"/>
      <w:marRight w:val="0"/>
      <w:marTop w:val="0"/>
      <w:marBottom w:val="0"/>
      <w:divBdr>
        <w:top w:val="none" w:sz="0" w:space="0" w:color="auto"/>
        <w:left w:val="none" w:sz="0" w:space="0" w:color="auto"/>
        <w:bottom w:val="none" w:sz="0" w:space="0" w:color="auto"/>
        <w:right w:val="none" w:sz="0" w:space="0" w:color="auto"/>
      </w:divBdr>
    </w:div>
    <w:div w:id="225144323">
      <w:bodyDiv w:val="1"/>
      <w:marLeft w:val="0"/>
      <w:marRight w:val="0"/>
      <w:marTop w:val="0"/>
      <w:marBottom w:val="0"/>
      <w:divBdr>
        <w:top w:val="none" w:sz="0" w:space="0" w:color="auto"/>
        <w:left w:val="none" w:sz="0" w:space="0" w:color="auto"/>
        <w:bottom w:val="none" w:sz="0" w:space="0" w:color="auto"/>
        <w:right w:val="none" w:sz="0" w:space="0" w:color="auto"/>
      </w:divBdr>
    </w:div>
    <w:div w:id="225453205">
      <w:bodyDiv w:val="1"/>
      <w:marLeft w:val="0"/>
      <w:marRight w:val="0"/>
      <w:marTop w:val="0"/>
      <w:marBottom w:val="0"/>
      <w:divBdr>
        <w:top w:val="none" w:sz="0" w:space="0" w:color="auto"/>
        <w:left w:val="none" w:sz="0" w:space="0" w:color="auto"/>
        <w:bottom w:val="none" w:sz="0" w:space="0" w:color="auto"/>
        <w:right w:val="none" w:sz="0" w:space="0" w:color="auto"/>
      </w:divBdr>
    </w:div>
    <w:div w:id="225535117">
      <w:bodyDiv w:val="1"/>
      <w:marLeft w:val="0"/>
      <w:marRight w:val="0"/>
      <w:marTop w:val="0"/>
      <w:marBottom w:val="0"/>
      <w:divBdr>
        <w:top w:val="none" w:sz="0" w:space="0" w:color="auto"/>
        <w:left w:val="none" w:sz="0" w:space="0" w:color="auto"/>
        <w:bottom w:val="none" w:sz="0" w:space="0" w:color="auto"/>
        <w:right w:val="none" w:sz="0" w:space="0" w:color="auto"/>
      </w:divBdr>
    </w:div>
    <w:div w:id="225728843">
      <w:bodyDiv w:val="1"/>
      <w:marLeft w:val="0"/>
      <w:marRight w:val="0"/>
      <w:marTop w:val="0"/>
      <w:marBottom w:val="0"/>
      <w:divBdr>
        <w:top w:val="none" w:sz="0" w:space="0" w:color="auto"/>
        <w:left w:val="none" w:sz="0" w:space="0" w:color="auto"/>
        <w:bottom w:val="none" w:sz="0" w:space="0" w:color="auto"/>
        <w:right w:val="none" w:sz="0" w:space="0" w:color="auto"/>
      </w:divBdr>
    </w:div>
    <w:div w:id="225804133">
      <w:bodyDiv w:val="1"/>
      <w:marLeft w:val="0"/>
      <w:marRight w:val="0"/>
      <w:marTop w:val="0"/>
      <w:marBottom w:val="0"/>
      <w:divBdr>
        <w:top w:val="none" w:sz="0" w:space="0" w:color="auto"/>
        <w:left w:val="none" w:sz="0" w:space="0" w:color="auto"/>
        <w:bottom w:val="none" w:sz="0" w:space="0" w:color="auto"/>
        <w:right w:val="none" w:sz="0" w:space="0" w:color="auto"/>
      </w:divBdr>
    </w:div>
    <w:div w:id="225839767">
      <w:bodyDiv w:val="1"/>
      <w:marLeft w:val="0"/>
      <w:marRight w:val="0"/>
      <w:marTop w:val="0"/>
      <w:marBottom w:val="0"/>
      <w:divBdr>
        <w:top w:val="none" w:sz="0" w:space="0" w:color="auto"/>
        <w:left w:val="none" w:sz="0" w:space="0" w:color="auto"/>
        <w:bottom w:val="none" w:sz="0" w:space="0" w:color="auto"/>
        <w:right w:val="none" w:sz="0" w:space="0" w:color="auto"/>
      </w:divBdr>
    </w:div>
    <w:div w:id="225919875">
      <w:bodyDiv w:val="1"/>
      <w:marLeft w:val="0"/>
      <w:marRight w:val="0"/>
      <w:marTop w:val="0"/>
      <w:marBottom w:val="0"/>
      <w:divBdr>
        <w:top w:val="none" w:sz="0" w:space="0" w:color="auto"/>
        <w:left w:val="none" w:sz="0" w:space="0" w:color="auto"/>
        <w:bottom w:val="none" w:sz="0" w:space="0" w:color="auto"/>
        <w:right w:val="none" w:sz="0" w:space="0" w:color="auto"/>
      </w:divBdr>
    </w:div>
    <w:div w:id="226495448">
      <w:bodyDiv w:val="1"/>
      <w:marLeft w:val="0"/>
      <w:marRight w:val="0"/>
      <w:marTop w:val="0"/>
      <w:marBottom w:val="0"/>
      <w:divBdr>
        <w:top w:val="none" w:sz="0" w:space="0" w:color="auto"/>
        <w:left w:val="none" w:sz="0" w:space="0" w:color="auto"/>
        <w:bottom w:val="none" w:sz="0" w:space="0" w:color="auto"/>
        <w:right w:val="none" w:sz="0" w:space="0" w:color="auto"/>
      </w:divBdr>
    </w:div>
    <w:div w:id="226886009">
      <w:bodyDiv w:val="1"/>
      <w:marLeft w:val="0"/>
      <w:marRight w:val="0"/>
      <w:marTop w:val="0"/>
      <w:marBottom w:val="0"/>
      <w:divBdr>
        <w:top w:val="none" w:sz="0" w:space="0" w:color="auto"/>
        <w:left w:val="none" w:sz="0" w:space="0" w:color="auto"/>
        <w:bottom w:val="none" w:sz="0" w:space="0" w:color="auto"/>
        <w:right w:val="none" w:sz="0" w:space="0" w:color="auto"/>
      </w:divBdr>
    </w:div>
    <w:div w:id="226957928">
      <w:bodyDiv w:val="1"/>
      <w:marLeft w:val="0"/>
      <w:marRight w:val="0"/>
      <w:marTop w:val="0"/>
      <w:marBottom w:val="0"/>
      <w:divBdr>
        <w:top w:val="none" w:sz="0" w:space="0" w:color="auto"/>
        <w:left w:val="none" w:sz="0" w:space="0" w:color="auto"/>
        <w:bottom w:val="none" w:sz="0" w:space="0" w:color="auto"/>
        <w:right w:val="none" w:sz="0" w:space="0" w:color="auto"/>
      </w:divBdr>
    </w:div>
    <w:div w:id="227620165">
      <w:bodyDiv w:val="1"/>
      <w:marLeft w:val="0"/>
      <w:marRight w:val="0"/>
      <w:marTop w:val="0"/>
      <w:marBottom w:val="0"/>
      <w:divBdr>
        <w:top w:val="none" w:sz="0" w:space="0" w:color="auto"/>
        <w:left w:val="none" w:sz="0" w:space="0" w:color="auto"/>
        <w:bottom w:val="none" w:sz="0" w:space="0" w:color="auto"/>
        <w:right w:val="none" w:sz="0" w:space="0" w:color="auto"/>
      </w:divBdr>
    </w:div>
    <w:div w:id="227881662">
      <w:bodyDiv w:val="1"/>
      <w:marLeft w:val="0"/>
      <w:marRight w:val="0"/>
      <w:marTop w:val="0"/>
      <w:marBottom w:val="0"/>
      <w:divBdr>
        <w:top w:val="none" w:sz="0" w:space="0" w:color="auto"/>
        <w:left w:val="none" w:sz="0" w:space="0" w:color="auto"/>
        <w:bottom w:val="none" w:sz="0" w:space="0" w:color="auto"/>
        <w:right w:val="none" w:sz="0" w:space="0" w:color="auto"/>
      </w:divBdr>
    </w:div>
    <w:div w:id="227959210">
      <w:bodyDiv w:val="1"/>
      <w:marLeft w:val="0"/>
      <w:marRight w:val="0"/>
      <w:marTop w:val="0"/>
      <w:marBottom w:val="0"/>
      <w:divBdr>
        <w:top w:val="none" w:sz="0" w:space="0" w:color="auto"/>
        <w:left w:val="none" w:sz="0" w:space="0" w:color="auto"/>
        <w:bottom w:val="none" w:sz="0" w:space="0" w:color="auto"/>
        <w:right w:val="none" w:sz="0" w:space="0" w:color="auto"/>
      </w:divBdr>
    </w:div>
    <w:div w:id="228082411">
      <w:bodyDiv w:val="1"/>
      <w:marLeft w:val="0"/>
      <w:marRight w:val="0"/>
      <w:marTop w:val="0"/>
      <w:marBottom w:val="0"/>
      <w:divBdr>
        <w:top w:val="none" w:sz="0" w:space="0" w:color="auto"/>
        <w:left w:val="none" w:sz="0" w:space="0" w:color="auto"/>
        <w:bottom w:val="none" w:sz="0" w:space="0" w:color="auto"/>
        <w:right w:val="none" w:sz="0" w:space="0" w:color="auto"/>
      </w:divBdr>
    </w:div>
    <w:div w:id="228149276">
      <w:bodyDiv w:val="1"/>
      <w:marLeft w:val="0"/>
      <w:marRight w:val="0"/>
      <w:marTop w:val="0"/>
      <w:marBottom w:val="0"/>
      <w:divBdr>
        <w:top w:val="none" w:sz="0" w:space="0" w:color="auto"/>
        <w:left w:val="none" w:sz="0" w:space="0" w:color="auto"/>
        <w:bottom w:val="none" w:sz="0" w:space="0" w:color="auto"/>
        <w:right w:val="none" w:sz="0" w:space="0" w:color="auto"/>
      </w:divBdr>
    </w:div>
    <w:div w:id="228276200">
      <w:bodyDiv w:val="1"/>
      <w:marLeft w:val="0"/>
      <w:marRight w:val="0"/>
      <w:marTop w:val="0"/>
      <w:marBottom w:val="0"/>
      <w:divBdr>
        <w:top w:val="none" w:sz="0" w:space="0" w:color="auto"/>
        <w:left w:val="none" w:sz="0" w:space="0" w:color="auto"/>
        <w:bottom w:val="none" w:sz="0" w:space="0" w:color="auto"/>
        <w:right w:val="none" w:sz="0" w:space="0" w:color="auto"/>
      </w:divBdr>
    </w:div>
    <w:div w:id="228537313">
      <w:bodyDiv w:val="1"/>
      <w:marLeft w:val="0"/>
      <w:marRight w:val="0"/>
      <w:marTop w:val="0"/>
      <w:marBottom w:val="0"/>
      <w:divBdr>
        <w:top w:val="none" w:sz="0" w:space="0" w:color="auto"/>
        <w:left w:val="none" w:sz="0" w:space="0" w:color="auto"/>
        <w:bottom w:val="none" w:sz="0" w:space="0" w:color="auto"/>
        <w:right w:val="none" w:sz="0" w:space="0" w:color="auto"/>
      </w:divBdr>
    </w:div>
    <w:div w:id="228613518">
      <w:bodyDiv w:val="1"/>
      <w:marLeft w:val="0"/>
      <w:marRight w:val="0"/>
      <w:marTop w:val="0"/>
      <w:marBottom w:val="0"/>
      <w:divBdr>
        <w:top w:val="none" w:sz="0" w:space="0" w:color="auto"/>
        <w:left w:val="none" w:sz="0" w:space="0" w:color="auto"/>
        <w:bottom w:val="none" w:sz="0" w:space="0" w:color="auto"/>
        <w:right w:val="none" w:sz="0" w:space="0" w:color="auto"/>
      </w:divBdr>
    </w:div>
    <w:div w:id="228927399">
      <w:bodyDiv w:val="1"/>
      <w:marLeft w:val="0"/>
      <w:marRight w:val="0"/>
      <w:marTop w:val="0"/>
      <w:marBottom w:val="0"/>
      <w:divBdr>
        <w:top w:val="none" w:sz="0" w:space="0" w:color="auto"/>
        <w:left w:val="none" w:sz="0" w:space="0" w:color="auto"/>
        <w:bottom w:val="none" w:sz="0" w:space="0" w:color="auto"/>
        <w:right w:val="none" w:sz="0" w:space="0" w:color="auto"/>
      </w:divBdr>
    </w:div>
    <w:div w:id="228927584">
      <w:bodyDiv w:val="1"/>
      <w:marLeft w:val="0"/>
      <w:marRight w:val="0"/>
      <w:marTop w:val="0"/>
      <w:marBottom w:val="0"/>
      <w:divBdr>
        <w:top w:val="none" w:sz="0" w:space="0" w:color="auto"/>
        <w:left w:val="none" w:sz="0" w:space="0" w:color="auto"/>
        <w:bottom w:val="none" w:sz="0" w:space="0" w:color="auto"/>
        <w:right w:val="none" w:sz="0" w:space="0" w:color="auto"/>
      </w:divBdr>
    </w:div>
    <w:div w:id="229006204">
      <w:bodyDiv w:val="1"/>
      <w:marLeft w:val="0"/>
      <w:marRight w:val="0"/>
      <w:marTop w:val="0"/>
      <w:marBottom w:val="0"/>
      <w:divBdr>
        <w:top w:val="none" w:sz="0" w:space="0" w:color="auto"/>
        <w:left w:val="none" w:sz="0" w:space="0" w:color="auto"/>
        <w:bottom w:val="none" w:sz="0" w:space="0" w:color="auto"/>
        <w:right w:val="none" w:sz="0" w:space="0" w:color="auto"/>
      </w:divBdr>
    </w:div>
    <w:div w:id="229006299">
      <w:bodyDiv w:val="1"/>
      <w:marLeft w:val="0"/>
      <w:marRight w:val="0"/>
      <w:marTop w:val="0"/>
      <w:marBottom w:val="0"/>
      <w:divBdr>
        <w:top w:val="none" w:sz="0" w:space="0" w:color="auto"/>
        <w:left w:val="none" w:sz="0" w:space="0" w:color="auto"/>
        <w:bottom w:val="none" w:sz="0" w:space="0" w:color="auto"/>
        <w:right w:val="none" w:sz="0" w:space="0" w:color="auto"/>
      </w:divBdr>
    </w:div>
    <w:div w:id="229075549">
      <w:bodyDiv w:val="1"/>
      <w:marLeft w:val="0"/>
      <w:marRight w:val="0"/>
      <w:marTop w:val="0"/>
      <w:marBottom w:val="0"/>
      <w:divBdr>
        <w:top w:val="none" w:sz="0" w:space="0" w:color="auto"/>
        <w:left w:val="none" w:sz="0" w:space="0" w:color="auto"/>
        <w:bottom w:val="none" w:sz="0" w:space="0" w:color="auto"/>
        <w:right w:val="none" w:sz="0" w:space="0" w:color="auto"/>
      </w:divBdr>
    </w:div>
    <w:div w:id="229341598">
      <w:bodyDiv w:val="1"/>
      <w:marLeft w:val="0"/>
      <w:marRight w:val="0"/>
      <w:marTop w:val="0"/>
      <w:marBottom w:val="0"/>
      <w:divBdr>
        <w:top w:val="none" w:sz="0" w:space="0" w:color="auto"/>
        <w:left w:val="none" w:sz="0" w:space="0" w:color="auto"/>
        <w:bottom w:val="none" w:sz="0" w:space="0" w:color="auto"/>
        <w:right w:val="none" w:sz="0" w:space="0" w:color="auto"/>
      </w:divBdr>
    </w:div>
    <w:div w:id="229341813">
      <w:bodyDiv w:val="1"/>
      <w:marLeft w:val="0"/>
      <w:marRight w:val="0"/>
      <w:marTop w:val="0"/>
      <w:marBottom w:val="0"/>
      <w:divBdr>
        <w:top w:val="none" w:sz="0" w:space="0" w:color="auto"/>
        <w:left w:val="none" w:sz="0" w:space="0" w:color="auto"/>
        <w:bottom w:val="none" w:sz="0" w:space="0" w:color="auto"/>
        <w:right w:val="none" w:sz="0" w:space="0" w:color="auto"/>
      </w:divBdr>
    </w:div>
    <w:div w:id="229581826">
      <w:bodyDiv w:val="1"/>
      <w:marLeft w:val="0"/>
      <w:marRight w:val="0"/>
      <w:marTop w:val="0"/>
      <w:marBottom w:val="0"/>
      <w:divBdr>
        <w:top w:val="none" w:sz="0" w:space="0" w:color="auto"/>
        <w:left w:val="none" w:sz="0" w:space="0" w:color="auto"/>
        <w:bottom w:val="none" w:sz="0" w:space="0" w:color="auto"/>
        <w:right w:val="none" w:sz="0" w:space="0" w:color="auto"/>
      </w:divBdr>
    </w:div>
    <w:div w:id="229855037">
      <w:bodyDiv w:val="1"/>
      <w:marLeft w:val="0"/>
      <w:marRight w:val="0"/>
      <w:marTop w:val="0"/>
      <w:marBottom w:val="0"/>
      <w:divBdr>
        <w:top w:val="none" w:sz="0" w:space="0" w:color="auto"/>
        <w:left w:val="none" w:sz="0" w:space="0" w:color="auto"/>
        <w:bottom w:val="none" w:sz="0" w:space="0" w:color="auto"/>
        <w:right w:val="none" w:sz="0" w:space="0" w:color="auto"/>
      </w:divBdr>
    </w:div>
    <w:div w:id="230507234">
      <w:bodyDiv w:val="1"/>
      <w:marLeft w:val="0"/>
      <w:marRight w:val="0"/>
      <w:marTop w:val="0"/>
      <w:marBottom w:val="0"/>
      <w:divBdr>
        <w:top w:val="none" w:sz="0" w:space="0" w:color="auto"/>
        <w:left w:val="none" w:sz="0" w:space="0" w:color="auto"/>
        <w:bottom w:val="none" w:sz="0" w:space="0" w:color="auto"/>
        <w:right w:val="none" w:sz="0" w:space="0" w:color="auto"/>
      </w:divBdr>
    </w:div>
    <w:div w:id="231233819">
      <w:bodyDiv w:val="1"/>
      <w:marLeft w:val="0"/>
      <w:marRight w:val="0"/>
      <w:marTop w:val="0"/>
      <w:marBottom w:val="0"/>
      <w:divBdr>
        <w:top w:val="none" w:sz="0" w:space="0" w:color="auto"/>
        <w:left w:val="none" w:sz="0" w:space="0" w:color="auto"/>
        <w:bottom w:val="none" w:sz="0" w:space="0" w:color="auto"/>
        <w:right w:val="none" w:sz="0" w:space="0" w:color="auto"/>
      </w:divBdr>
    </w:div>
    <w:div w:id="231427176">
      <w:bodyDiv w:val="1"/>
      <w:marLeft w:val="0"/>
      <w:marRight w:val="0"/>
      <w:marTop w:val="0"/>
      <w:marBottom w:val="0"/>
      <w:divBdr>
        <w:top w:val="none" w:sz="0" w:space="0" w:color="auto"/>
        <w:left w:val="none" w:sz="0" w:space="0" w:color="auto"/>
        <w:bottom w:val="none" w:sz="0" w:space="0" w:color="auto"/>
        <w:right w:val="none" w:sz="0" w:space="0" w:color="auto"/>
      </w:divBdr>
    </w:div>
    <w:div w:id="231813850">
      <w:bodyDiv w:val="1"/>
      <w:marLeft w:val="0"/>
      <w:marRight w:val="0"/>
      <w:marTop w:val="0"/>
      <w:marBottom w:val="0"/>
      <w:divBdr>
        <w:top w:val="none" w:sz="0" w:space="0" w:color="auto"/>
        <w:left w:val="none" w:sz="0" w:space="0" w:color="auto"/>
        <w:bottom w:val="none" w:sz="0" w:space="0" w:color="auto"/>
        <w:right w:val="none" w:sz="0" w:space="0" w:color="auto"/>
      </w:divBdr>
    </w:div>
    <w:div w:id="232274506">
      <w:bodyDiv w:val="1"/>
      <w:marLeft w:val="0"/>
      <w:marRight w:val="0"/>
      <w:marTop w:val="0"/>
      <w:marBottom w:val="0"/>
      <w:divBdr>
        <w:top w:val="none" w:sz="0" w:space="0" w:color="auto"/>
        <w:left w:val="none" w:sz="0" w:space="0" w:color="auto"/>
        <w:bottom w:val="none" w:sz="0" w:space="0" w:color="auto"/>
        <w:right w:val="none" w:sz="0" w:space="0" w:color="auto"/>
      </w:divBdr>
    </w:div>
    <w:div w:id="232349958">
      <w:bodyDiv w:val="1"/>
      <w:marLeft w:val="0"/>
      <w:marRight w:val="0"/>
      <w:marTop w:val="0"/>
      <w:marBottom w:val="0"/>
      <w:divBdr>
        <w:top w:val="none" w:sz="0" w:space="0" w:color="auto"/>
        <w:left w:val="none" w:sz="0" w:space="0" w:color="auto"/>
        <w:bottom w:val="none" w:sz="0" w:space="0" w:color="auto"/>
        <w:right w:val="none" w:sz="0" w:space="0" w:color="auto"/>
      </w:divBdr>
    </w:div>
    <w:div w:id="232930838">
      <w:bodyDiv w:val="1"/>
      <w:marLeft w:val="0"/>
      <w:marRight w:val="0"/>
      <w:marTop w:val="0"/>
      <w:marBottom w:val="0"/>
      <w:divBdr>
        <w:top w:val="none" w:sz="0" w:space="0" w:color="auto"/>
        <w:left w:val="none" w:sz="0" w:space="0" w:color="auto"/>
        <w:bottom w:val="none" w:sz="0" w:space="0" w:color="auto"/>
        <w:right w:val="none" w:sz="0" w:space="0" w:color="auto"/>
      </w:divBdr>
    </w:div>
    <w:div w:id="233395299">
      <w:bodyDiv w:val="1"/>
      <w:marLeft w:val="0"/>
      <w:marRight w:val="0"/>
      <w:marTop w:val="0"/>
      <w:marBottom w:val="0"/>
      <w:divBdr>
        <w:top w:val="none" w:sz="0" w:space="0" w:color="auto"/>
        <w:left w:val="none" w:sz="0" w:space="0" w:color="auto"/>
        <w:bottom w:val="none" w:sz="0" w:space="0" w:color="auto"/>
        <w:right w:val="none" w:sz="0" w:space="0" w:color="auto"/>
      </w:divBdr>
    </w:div>
    <w:div w:id="233586051">
      <w:bodyDiv w:val="1"/>
      <w:marLeft w:val="0"/>
      <w:marRight w:val="0"/>
      <w:marTop w:val="0"/>
      <w:marBottom w:val="0"/>
      <w:divBdr>
        <w:top w:val="none" w:sz="0" w:space="0" w:color="auto"/>
        <w:left w:val="none" w:sz="0" w:space="0" w:color="auto"/>
        <w:bottom w:val="none" w:sz="0" w:space="0" w:color="auto"/>
        <w:right w:val="none" w:sz="0" w:space="0" w:color="auto"/>
      </w:divBdr>
    </w:div>
    <w:div w:id="233662060">
      <w:bodyDiv w:val="1"/>
      <w:marLeft w:val="0"/>
      <w:marRight w:val="0"/>
      <w:marTop w:val="0"/>
      <w:marBottom w:val="0"/>
      <w:divBdr>
        <w:top w:val="none" w:sz="0" w:space="0" w:color="auto"/>
        <w:left w:val="none" w:sz="0" w:space="0" w:color="auto"/>
        <w:bottom w:val="none" w:sz="0" w:space="0" w:color="auto"/>
        <w:right w:val="none" w:sz="0" w:space="0" w:color="auto"/>
      </w:divBdr>
    </w:div>
    <w:div w:id="233711661">
      <w:bodyDiv w:val="1"/>
      <w:marLeft w:val="0"/>
      <w:marRight w:val="0"/>
      <w:marTop w:val="0"/>
      <w:marBottom w:val="0"/>
      <w:divBdr>
        <w:top w:val="none" w:sz="0" w:space="0" w:color="auto"/>
        <w:left w:val="none" w:sz="0" w:space="0" w:color="auto"/>
        <w:bottom w:val="none" w:sz="0" w:space="0" w:color="auto"/>
        <w:right w:val="none" w:sz="0" w:space="0" w:color="auto"/>
      </w:divBdr>
    </w:div>
    <w:div w:id="233857310">
      <w:bodyDiv w:val="1"/>
      <w:marLeft w:val="0"/>
      <w:marRight w:val="0"/>
      <w:marTop w:val="0"/>
      <w:marBottom w:val="0"/>
      <w:divBdr>
        <w:top w:val="none" w:sz="0" w:space="0" w:color="auto"/>
        <w:left w:val="none" w:sz="0" w:space="0" w:color="auto"/>
        <w:bottom w:val="none" w:sz="0" w:space="0" w:color="auto"/>
        <w:right w:val="none" w:sz="0" w:space="0" w:color="auto"/>
      </w:divBdr>
    </w:div>
    <w:div w:id="234320822">
      <w:bodyDiv w:val="1"/>
      <w:marLeft w:val="0"/>
      <w:marRight w:val="0"/>
      <w:marTop w:val="0"/>
      <w:marBottom w:val="0"/>
      <w:divBdr>
        <w:top w:val="none" w:sz="0" w:space="0" w:color="auto"/>
        <w:left w:val="none" w:sz="0" w:space="0" w:color="auto"/>
        <w:bottom w:val="none" w:sz="0" w:space="0" w:color="auto"/>
        <w:right w:val="none" w:sz="0" w:space="0" w:color="auto"/>
      </w:divBdr>
    </w:div>
    <w:div w:id="234516490">
      <w:bodyDiv w:val="1"/>
      <w:marLeft w:val="0"/>
      <w:marRight w:val="0"/>
      <w:marTop w:val="0"/>
      <w:marBottom w:val="0"/>
      <w:divBdr>
        <w:top w:val="none" w:sz="0" w:space="0" w:color="auto"/>
        <w:left w:val="none" w:sz="0" w:space="0" w:color="auto"/>
        <w:bottom w:val="none" w:sz="0" w:space="0" w:color="auto"/>
        <w:right w:val="none" w:sz="0" w:space="0" w:color="auto"/>
      </w:divBdr>
    </w:div>
    <w:div w:id="234585733">
      <w:bodyDiv w:val="1"/>
      <w:marLeft w:val="0"/>
      <w:marRight w:val="0"/>
      <w:marTop w:val="0"/>
      <w:marBottom w:val="0"/>
      <w:divBdr>
        <w:top w:val="none" w:sz="0" w:space="0" w:color="auto"/>
        <w:left w:val="none" w:sz="0" w:space="0" w:color="auto"/>
        <w:bottom w:val="none" w:sz="0" w:space="0" w:color="auto"/>
        <w:right w:val="none" w:sz="0" w:space="0" w:color="auto"/>
      </w:divBdr>
    </w:div>
    <w:div w:id="235284840">
      <w:bodyDiv w:val="1"/>
      <w:marLeft w:val="0"/>
      <w:marRight w:val="0"/>
      <w:marTop w:val="0"/>
      <w:marBottom w:val="0"/>
      <w:divBdr>
        <w:top w:val="none" w:sz="0" w:space="0" w:color="auto"/>
        <w:left w:val="none" w:sz="0" w:space="0" w:color="auto"/>
        <w:bottom w:val="none" w:sz="0" w:space="0" w:color="auto"/>
        <w:right w:val="none" w:sz="0" w:space="0" w:color="auto"/>
      </w:divBdr>
    </w:div>
    <w:div w:id="235670444">
      <w:bodyDiv w:val="1"/>
      <w:marLeft w:val="0"/>
      <w:marRight w:val="0"/>
      <w:marTop w:val="0"/>
      <w:marBottom w:val="0"/>
      <w:divBdr>
        <w:top w:val="none" w:sz="0" w:space="0" w:color="auto"/>
        <w:left w:val="none" w:sz="0" w:space="0" w:color="auto"/>
        <w:bottom w:val="none" w:sz="0" w:space="0" w:color="auto"/>
        <w:right w:val="none" w:sz="0" w:space="0" w:color="auto"/>
      </w:divBdr>
    </w:div>
    <w:div w:id="236015473">
      <w:bodyDiv w:val="1"/>
      <w:marLeft w:val="0"/>
      <w:marRight w:val="0"/>
      <w:marTop w:val="0"/>
      <w:marBottom w:val="0"/>
      <w:divBdr>
        <w:top w:val="none" w:sz="0" w:space="0" w:color="auto"/>
        <w:left w:val="none" w:sz="0" w:space="0" w:color="auto"/>
        <w:bottom w:val="none" w:sz="0" w:space="0" w:color="auto"/>
        <w:right w:val="none" w:sz="0" w:space="0" w:color="auto"/>
      </w:divBdr>
    </w:div>
    <w:div w:id="236018726">
      <w:bodyDiv w:val="1"/>
      <w:marLeft w:val="0"/>
      <w:marRight w:val="0"/>
      <w:marTop w:val="0"/>
      <w:marBottom w:val="0"/>
      <w:divBdr>
        <w:top w:val="none" w:sz="0" w:space="0" w:color="auto"/>
        <w:left w:val="none" w:sz="0" w:space="0" w:color="auto"/>
        <w:bottom w:val="none" w:sz="0" w:space="0" w:color="auto"/>
        <w:right w:val="none" w:sz="0" w:space="0" w:color="auto"/>
      </w:divBdr>
    </w:div>
    <w:div w:id="236020136">
      <w:bodyDiv w:val="1"/>
      <w:marLeft w:val="0"/>
      <w:marRight w:val="0"/>
      <w:marTop w:val="0"/>
      <w:marBottom w:val="0"/>
      <w:divBdr>
        <w:top w:val="none" w:sz="0" w:space="0" w:color="auto"/>
        <w:left w:val="none" w:sz="0" w:space="0" w:color="auto"/>
        <w:bottom w:val="none" w:sz="0" w:space="0" w:color="auto"/>
        <w:right w:val="none" w:sz="0" w:space="0" w:color="auto"/>
      </w:divBdr>
    </w:div>
    <w:div w:id="236474951">
      <w:bodyDiv w:val="1"/>
      <w:marLeft w:val="0"/>
      <w:marRight w:val="0"/>
      <w:marTop w:val="0"/>
      <w:marBottom w:val="0"/>
      <w:divBdr>
        <w:top w:val="none" w:sz="0" w:space="0" w:color="auto"/>
        <w:left w:val="none" w:sz="0" w:space="0" w:color="auto"/>
        <w:bottom w:val="none" w:sz="0" w:space="0" w:color="auto"/>
        <w:right w:val="none" w:sz="0" w:space="0" w:color="auto"/>
      </w:divBdr>
    </w:div>
    <w:div w:id="236984945">
      <w:bodyDiv w:val="1"/>
      <w:marLeft w:val="0"/>
      <w:marRight w:val="0"/>
      <w:marTop w:val="0"/>
      <w:marBottom w:val="0"/>
      <w:divBdr>
        <w:top w:val="none" w:sz="0" w:space="0" w:color="auto"/>
        <w:left w:val="none" w:sz="0" w:space="0" w:color="auto"/>
        <w:bottom w:val="none" w:sz="0" w:space="0" w:color="auto"/>
        <w:right w:val="none" w:sz="0" w:space="0" w:color="auto"/>
      </w:divBdr>
    </w:div>
    <w:div w:id="237249880">
      <w:bodyDiv w:val="1"/>
      <w:marLeft w:val="0"/>
      <w:marRight w:val="0"/>
      <w:marTop w:val="0"/>
      <w:marBottom w:val="0"/>
      <w:divBdr>
        <w:top w:val="none" w:sz="0" w:space="0" w:color="auto"/>
        <w:left w:val="none" w:sz="0" w:space="0" w:color="auto"/>
        <w:bottom w:val="none" w:sz="0" w:space="0" w:color="auto"/>
        <w:right w:val="none" w:sz="0" w:space="0" w:color="auto"/>
      </w:divBdr>
    </w:div>
    <w:div w:id="237524893">
      <w:bodyDiv w:val="1"/>
      <w:marLeft w:val="0"/>
      <w:marRight w:val="0"/>
      <w:marTop w:val="0"/>
      <w:marBottom w:val="0"/>
      <w:divBdr>
        <w:top w:val="none" w:sz="0" w:space="0" w:color="auto"/>
        <w:left w:val="none" w:sz="0" w:space="0" w:color="auto"/>
        <w:bottom w:val="none" w:sz="0" w:space="0" w:color="auto"/>
        <w:right w:val="none" w:sz="0" w:space="0" w:color="auto"/>
      </w:divBdr>
    </w:div>
    <w:div w:id="237639423">
      <w:bodyDiv w:val="1"/>
      <w:marLeft w:val="0"/>
      <w:marRight w:val="0"/>
      <w:marTop w:val="0"/>
      <w:marBottom w:val="0"/>
      <w:divBdr>
        <w:top w:val="none" w:sz="0" w:space="0" w:color="auto"/>
        <w:left w:val="none" w:sz="0" w:space="0" w:color="auto"/>
        <w:bottom w:val="none" w:sz="0" w:space="0" w:color="auto"/>
        <w:right w:val="none" w:sz="0" w:space="0" w:color="auto"/>
      </w:divBdr>
    </w:div>
    <w:div w:id="237834562">
      <w:bodyDiv w:val="1"/>
      <w:marLeft w:val="0"/>
      <w:marRight w:val="0"/>
      <w:marTop w:val="0"/>
      <w:marBottom w:val="0"/>
      <w:divBdr>
        <w:top w:val="none" w:sz="0" w:space="0" w:color="auto"/>
        <w:left w:val="none" w:sz="0" w:space="0" w:color="auto"/>
        <w:bottom w:val="none" w:sz="0" w:space="0" w:color="auto"/>
        <w:right w:val="none" w:sz="0" w:space="0" w:color="auto"/>
      </w:divBdr>
    </w:div>
    <w:div w:id="237903422">
      <w:bodyDiv w:val="1"/>
      <w:marLeft w:val="0"/>
      <w:marRight w:val="0"/>
      <w:marTop w:val="0"/>
      <w:marBottom w:val="0"/>
      <w:divBdr>
        <w:top w:val="none" w:sz="0" w:space="0" w:color="auto"/>
        <w:left w:val="none" w:sz="0" w:space="0" w:color="auto"/>
        <w:bottom w:val="none" w:sz="0" w:space="0" w:color="auto"/>
        <w:right w:val="none" w:sz="0" w:space="0" w:color="auto"/>
      </w:divBdr>
    </w:div>
    <w:div w:id="237980083">
      <w:bodyDiv w:val="1"/>
      <w:marLeft w:val="0"/>
      <w:marRight w:val="0"/>
      <w:marTop w:val="0"/>
      <w:marBottom w:val="0"/>
      <w:divBdr>
        <w:top w:val="none" w:sz="0" w:space="0" w:color="auto"/>
        <w:left w:val="none" w:sz="0" w:space="0" w:color="auto"/>
        <w:bottom w:val="none" w:sz="0" w:space="0" w:color="auto"/>
        <w:right w:val="none" w:sz="0" w:space="0" w:color="auto"/>
      </w:divBdr>
    </w:div>
    <w:div w:id="237986173">
      <w:bodyDiv w:val="1"/>
      <w:marLeft w:val="0"/>
      <w:marRight w:val="0"/>
      <w:marTop w:val="0"/>
      <w:marBottom w:val="0"/>
      <w:divBdr>
        <w:top w:val="none" w:sz="0" w:space="0" w:color="auto"/>
        <w:left w:val="none" w:sz="0" w:space="0" w:color="auto"/>
        <w:bottom w:val="none" w:sz="0" w:space="0" w:color="auto"/>
        <w:right w:val="none" w:sz="0" w:space="0" w:color="auto"/>
      </w:divBdr>
    </w:div>
    <w:div w:id="239029182">
      <w:bodyDiv w:val="1"/>
      <w:marLeft w:val="0"/>
      <w:marRight w:val="0"/>
      <w:marTop w:val="0"/>
      <w:marBottom w:val="0"/>
      <w:divBdr>
        <w:top w:val="none" w:sz="0" w:space="0" w:color="auto"/>
        <w:left w:val="none" w:sz="0" w:space="0" w:color="auto"/>
        <w:bottom w:val="none" w:sz="0" w:space="0" w:color="auto"/>
        <w:right w:val="none" w:sz="0" w:space="0" w:color="auto"/>
      </w:divBdr>
    </w:div>
    <w:div w:id="239758272">
      <w:bodyDiv w:val="1"/>
      <w:marLeft w:val="0"/>
      <w:marRight w:val="0"/>
      <w:marTop w:val="0"/>
      <w:marBottom w:val="0"/>
      <w:divBdr>
        <w:top w:val="none" w:sz="0" w:space="0" w:color="auto"/>
        <w:left w:val="none" w:sz="0" w:space="0" w:color="auto"/>
        <w:bottom w:val="none" w:sz="0" w:space="0" w:color="auto"/>
        <w:right w:val="none" w:sz="0" w:space="0" w:color="auto"/>
      </w:divBdr>
    </w:div>
    <w:div w:id="240410279">
      <w:bodyDiv w:val="1"/>
      <w:marLeft w:val="0"/>
      <w:marRight w:val="0"/>
      <w:marTop w:val="0"/>
      <w:marBottom w:val="0"/>
      <w:divBdr>
        <w:top w:val="none" w:sz="0" w:space="0" w:color="auto"/>
        <w:left w:val="none" w:sz="0" w:space="0" w:color="auto"/>
        <w:bottom w:val="none" w:sz="0" w:space="0" w:color="auto"/>
        <w:right w:val="none" w:sz="0" w:space="0" w:color="auto"/>
      </w:divBdr>
    </w:div>
    <w:div w:id="240676325">
      <w:bodyDiv w:val="1"/>
      <w:marLeft w:val="0"/>
      <w:marRight w:val="0"/>
      <w:marTop w:val="0"/>
      <w:marBottom w:val="0"/>
      <w:divBdr>
        <w:top w:val="none" w:sz="0" w:space="0" w:color="auto"/>
        <w:left w:val="none" w:sz="0" w:space="0" w:color="auto"/>
        <w:bottom w:val="none" w:sz="0" w:space="0" w:color="auto"/>
        <w:right w:val="none" w:sz="0" w:space="0" w:color="auto"/>
      </w:divBdr>
    </w:div>
    <w:div w:id="240725429">
      <w:bodyDiv w:val="1"/>
      <w:marLeft w:val="0"/>
      <w:marRight w:val="0"/>
      <w:marTop w:val="0"/>
      <w:marBottom w:val="0"/>
      <w:divBdr>
        <w:top w:val="none" w:sz="0" w:space="0" w:color="auto"/>
        <w:left w:val="none" w:sz="0" w:space="0" w:color="auto"/>
        <w:bottom w:val="none" w:sz="0" w:space="0" w:color="auto"/>
        <w:right w:val="none" w:sz="0" w:space="0" w:color="auto"/>
      </w:divBdr>
    </w:div>
    <w:div w:id="241572185">
      <w:bodyDiv w:val="1"/>
      <w:marLeft w:val="0"/>
      <w:marRight w:val="0"/>
      <w:marTop w:val="0"/>
      <w:marBottom w:val="0"/>
      <w:divBdr>
        <w:top w:val="none" w:sz="0" w:space="0" w:color="auto"/>
        <w:left w:val="none" w:sz="0" w:space="0" w:color="auto"/>
        <w:bottom w:val="none" w:sz="0" w:space="0" w:color="auto"/>
        <w:right w:val="none" w:sz="0" w:space="0" w:color="auto"/>
      </w:divBdr>
    </w:div>
    <w:div w:id="241646565">
      <w:bodyDiv w:val="1"/>
      <w:marLeft w:val="0"/>
      <w:marRight w:val="0"/>
      <w:marTop w:val="0"/>
      <w:marBottom w:val="0"/>
      <w:divBdr>
        <w:top w:val="none" w:sz="0" w:space="0" w:color="auto"/>
        <w:left w:val="none" w:sz="0" w:space="0" w:color="auto"/>
        <w:bottom w:val="none" w:sz="0" w:space="0" w:color="auto"/>
        <w:right w:val="none" w:sz="0" w:space="0" w:color="auto"/>
      </w:divBdr>
    </w:div>
    <w:div w:id="241986283">
      <w:bodyDiv w:val="1"/>
      <w:marLeft w:val="0"/>
      <w:marRight w:val="0"/>
      <w:marTop w:val="0"/>
      <w:marBottom w:val="0"/>
      <w:divBdr>
        <w:top w:val="none" w:sz="0" w:space="0" w:color="auto"/>
        <w:left w:val="none" w:sz="0" w:space="0" w:color="auto"/>
        <w:bottom w:val="none" w:sz="0" w:space="0" w:color="auto"/>
        <w:right w:val="none" w:sz="0" w:space="0" w:color="auto"/>
      </w:divBdr>
    </w:div>
    <w:div w:id="242377675">
      <w:bodyDiv w:val="1"/>
      <w:marLeft w:val="0"/>
      <w:marRight w:val="0"/>
      <w:marTop w:val="0"/>
      <w:marBottom w:val="0"/>
      <w:divBdr>
        <w:top w:val="none" w:sz="0" w:space="0" w:color="auto"/>
        <w:left w:val="none" w:sz="0" w:space="0" w:color="auto"/>
        <w:bottom w:val="none" w:sz="0" w:space="0" w:color="auto"/>
        <w:right w:val="none" w:sz="0" w:space="0" w:color="auto"/>
      </w:divBdr>
    </w:div>
    <w:div w:id="242842128">
      <w:bodyDiv w:val="1"/>
      <w:marLeft w:val="0"/>
      <w:marRight w:val="0"/>
      <w:marTop w:val="0"/>
      <w:marBottom w:val="0"/>
      <w:divBdr>
        <w:top w:val="none" w:sz="0" w:space="0" w:color="auto"/>
        <w:left w:val="none" w:sz="0" w:space="0" w:color="auto"/>
        <w:bottom w:val="none" w:sz="0" w:space="0" w:color="auto"/>
        <w:right w:val="none" w:sz="0" w:space="0" w:color="auto"/>
      </w:divBdr>
    </w:div>
    <w:div w:id="242957197">
      <w:bodyDiv w:val="1"/>
      <w:marLeft w:val="0"/>
      <w:marRight w:val="0"/>
      <w:marTop w:val="0"/>
      <w:marBottom w:val="0"/>
      <w:divBdr>
        <w:top w:val="none" w:sz="0" w:space="0" w:color="auto"/>
        <w:left w:val="none" w:sz="0" w:space="0" w:color="auto"/>
        <w:bottom w:val="none" w:sz="0" w:space="0" w:color="auto"/>
        <w:right w:val="none" w:sz="0" w:space="0" w:color="auto"/>
      </w:divBdr>
    </w:div>
    <w:div w:id="243999853">
      <w:bodyDiv w:val="1"/>
      <w:marLeft w:val="0"/>
      <w:marRight w:val="0"/>
      <w:marTop w:val="0"/>
      <w:marBottom w:val="0"/>
      <w:divBdr>
        <w:top w:val="none" w:sz="0" w:space="0" w:color="auto"/>
        <w:left w:val="none" w:sz="0" w:space="0" w:color="auto"/>
        <w:bottom w:val="none" w:sz="0" w:space="0" w:color="auto"/>
        <w:right w:val="none" w:sz="0" w:space="0" w:color="auto"/>
      </w:divBdr>
    </w:div>
    <w:div w:id="244192453">
      <w:bodyDiv w:val="1"/>
      <w:marLeft w:val="0"/>
      <w:marRight w:val="0"/>
      <w:marTop w:val="0"/>
      <w:marBottom w:val="0"/>
      <w:divBdr>
        <w:top w:val="none" w:sz="0" w:space="0" w:color="auto"/>
        <w:left w:val="none" w:sz="0" w:space="0" w:color="auto"/>
        <w:bottom w:val="none" w:sz="0" w:space="0" w:color="auto"/>
        <w:right w:val="none" w:sz="0" w:space="0" w:color="auto"/>
      </w:divBdr>
    </w:div>
    <w:div w:id="244269627">
      <w:bodyDiv w:val="1"/>
      <w:marLeft w:val="0"/>
      <w:marRight w:val="0"/>
      <w:marTop w:val="0"/>
      <w:marBottom w:val="0"/>
      <w:divBdr>
        <w:top w:val="none" w:sz="0" w:space="0" w:color="auto"/>
        <w:left w:val="none" w:sz="0" w:space="0" w:color="auto"/>
        <w:bottom w:val="none" w:sz="0" w:space="0" w:color="auto"/>
        <w:right w:val="none" w:sz="0" w:space="0" w:color="auto"/>
      </w:divBdr>
    </w:div>
    <w:div w:id="244993018">
      <w:bodyDiv w:val="1"/>
      <w:marLeft w:val="0"/>
      <w:marRight w:val="0"/>
      <w:marTop w:val="0"/>
      <w:marBottom w:val="0"/>
      <w:divBdr>
        <w:top w:val="none" w:sz="0" w:space="0" w:color="auto"/>
        <w:left w:val="none" w:sz="0" w:space="0" w:color="auto"/>
        <w:bottom w:val="none" w:sz="0" w:space="0" w:color="auto"/>
        <w:right w:val="none" w:sz="0" w:space="0" w:color="auto"/>
      </w:divBdr>
    </w:div>
    <w:div w:id="245194530">
      <w:bodyDiv w:val="1"/>
      <w:marLeft w:val="0"/>
      <w:marRight w:val="0"/>
      <w:marTop w:val="0"/>
      <w:marBottom w:val="0"/>
      <w:divBdr>
        <w:top w:val="none" w:sz="0" w:space="0" w:color="auto"/>
        <w:left w:val="none" w:sz="0" w:space="0" w:color="auto"/>
        <w:bottom w:val="none" w:sz="0" w:space="0" w:color="auto"/>
        <w:right w:val="none" w:sz="0" w:space="0" w:color="auto"/>
      </w:divBdr>
    </w:div>
    <w:div w:id="245384016">
      <w:bodyDiv w:val="1"/>
      <w:marLeft w:val="0"/>
      <w:marRight w:val="0"/>
      <w:marTop w:val="0"/>
      <w:marBottom w:val="0"/>
      <w:divBdr>
        <w:top w:val="none" w:sz="0" w:space="0" w:color="auto"/>
        <w:left w:val="none" w:sz="0" w:space="0" w:color="auto"/>
        <w:bottom w:val="none" w:sz="0" w:space="0" w:color="auto"/>
        <w:right w:val="none" w:sz="0" w:space="0" w:color="auto"/>
      </w:divBdr>
    </w:div>
    <w:div w:id="246309623">
      <w:bodyDiv w:val="1"/>
      <w:marLeft w:val="0"/>
      <w:marRight w:val="0"/>
      <w:marTop w:val="0"/>
      <w:marBottom w:val="0"/>
      <w:divBdr>
        <w:top w:val="none" w:sz="0" w:space="0" w:color="auto"/>
        <w:left w:val="none" w:sz="0" w:space="0" w:color="auto"/>
        <w:bottom w:val="none" w:sz="0" w:space="0" w:color="auto"/>
        <w:right w:val="none" w:sz="0" w:space="0" w:color="auto"/>
      </w:divBdr>
    </w:div>
    <w:div w:id="247422530">
      <w:bodyDiv w:val="1"/>
      <w:marLeft w:val="0"/>
      <w:marRight w:val="0"/>
      <w:marTop w:val="0"/>
      <w:marBottom w:val="0"/>
      <w:divBdr>
        <w:top w:val="none" w:sz="0" w:space="0" w:color="auto"/>
        <w:left w:val="none" w:sz="0" w:space="0" w:color="auto"/>
        <w:bottom w:val="none" w:sz="0" w:space="0" w:color="auto"/>
        <w:right w:val="none" w:sz="0" w:space="0" w:color="auto"/>
      </w:divBdr>
    </w:div>
    <w:div w:id="247423612">
      <w:bodyDiv w:val="1"/>
      <w:marLeft w:val="0"/>
      <w:marRight w:val="0"/>
      <w:marTop w:val="0"/>
      <w:marBottom w:val="0"/>
      <w:divBdr>
        <w:top w:val="none" w:sz="0" w:space="0" w:color="auto"/>
        <w:left w:val="none" w:sz="0" w:space="0" w:color="auto"/>
        <w:bottom w:val="none" w:sz="0" w:space="0" w:color="auto"/>
        <w:right w:val="none" w:sz="0" w:space="0" w:color="auto"/>
      </w:divBdr>
    </w:div>
    <w:div w:id="247663134">
      <w:bodyDiv w:val="1"/>
      <w:marLeft w:val="0"/>
      <w:marRight w:val="0"/>
      <w:marTop w:val="0"/>
      <w:marBottom w:val="0"/>
      <w:divBdr>
        <w:top w:val="none" w:sz="0" w:space="0" w:color="auto"/>
        <w:left w:val="none" w:sz="0" w:space="0" w:color="auto"/>
        <w:bottom w:val="none" w:sz="0" w:space="0" w:color="auto"/>
        <w:right w:val="none" w:sz="0" w:space="0" w:color="auto"/>
      </w:divBdr>
    </w:div>
    <w:div w:id="247886377">
      <w:bodyDiv w:val="1"/>
      <w:marLeft w:val="0"/>
      <w:marRight w:val="0"/>
      <w:marTop w:val="0"/>
      <w:marBottom w:val="0"/>
      <w:divBdr>
        <w:top w:val="none" w:sz="0" w:space="0" w:color="auto"/>
        <w:left w:val="none" w:sz="0" w:space="0" w:color="auto"/>
        <w:bottom w:val="none" w:sz="0" w:space="0" w:color="auto"/>
        <w:right w:val="none" w:sz="0" w:space="0" w:color="auto"/>
      </w:divBdr>
    </w:div>
    <w:div w:id="248123273">
      <w:bodyDiv w:val="1"/>
      <w:marLeft w:val="0"/>
      <w:marRight w:val="0"/>
      <w:marTop w:val="0"/>
      <w:marBottom w:val="0"/>
      <w:divBdr>
        <w:top w:val="none" w:sz="0" w:space="0" w:color="auto"/>
        <w:left w:val="none" w:sz="0" w:space="0" w:color="auto"/>
        <w:bottom w:val="none" w:sz="0" w:space="0" w:color="auto"/>
        <w:right w:val="none" w:sz="0" w:space="0" w:color="auto"/>
      </w:divBdr>
    </w:div>
    <w:div w:id="248782326">
      <w:bodyDiv w:val="1"/>
      <w:marLeft w:val="0"/>
      <w:marRight w:val="0"/>
      <w:marTop w:val="0"/>
      <w:marBottom w:val="0"/>
      <w:divBdr>
        <w:top w:val="none" w:sz="0" w:space="0" w:color="auto"/>
        <w:left w:val="none" w:sz="0" w:space="0" w:color="auto"/>
        <w:bottom w:val="none" w:sz="0" w:space="0" w:color="auto"/>
        <w:right w:val="none" w:sz="0" w:space="0" w:color="auto"/>
      </w:divBdr>
    </w:div>
    <w:div w:id="249235825">
      <w:bodyDiv w:val="1"/>
      <w:marLeft w:val="0"/>
      <w:marRight w:val="0"/>
      <w:marTop w:val="0"/>
      <w:marBottom w:val="0"/>
      <w:divBdr>
        <w:top w:val="none" w:sz="0" w:space="0" w:color="auto"/>
        <w:left w:val="none" w:sz="0" w:space="0" w:color="auto"/>
        <w:bottom w:val="none" w:sz="0" w:space="0" w:color="auto"/>
        <w:right w:val="none" w:sz="0" w:space="0" w:color="auto"/>
      </w:divBdr>
    </w:div>
    <w:div w:id="249236073">
      <w:bodyDiv w:val="1"/>
      <w:marLeft w:val="0"/>
      <w:marRight w:val="0"/>
      <w:marTop w:val="0"/>
      <w:marBottom w:val="0"/>
      <w:divBdr>
        <w:top w:val="none" w:sz="0" w:space="0" w:color="auto"/>
        <w:left w:val="none" w:sz="0" w:space="0" w:color="auto"/>
        <w:bottom w:val="none" w:sz="0" w:space="0" w:color="auto"/>
        <w:right w:val="none" w:sz="0" w:space="0" w:color="auto"/>
      </w:divBdr>
    </w:div>
    <w:div w:id="249311551">
      <w:bodyDiv w:val="1"/>
      <w:marLeft w:val="0"/>
      <w:marRight w:val="0"/>
      <w:marTop w:val="0"/>
      <w:marBottom w:val="0"/>
      <w:divBdr>
        <w:top w:val="none" w:sz="0" w:space="0" w:color="auto"/>
        <w:left w:val="none" w:sz="0" w:space="0" w:color="auto"/>
        <w:bottom w:val="none" w:sz="0" w:space="0" w:color="auto"/>
        <w:right w:val="none" w:sz="0" w:space="0" w:color="auto"/>
      </w:divBdr>
    </w:div>
    <w:div w:id="249319497">
      <w:bodyDiv w:val="1"/>
      <w:marLeft w:val="0"/>
      <w:marRight w:val="0"/>
      <w:marTop w:val="0"/>
      <w:marBottom w:val="0"/>
      <w:divBdr>
        <w:top w:val="none" w:sz="0" w:space="0" w:color="auto"/>
        <w:left w:val="none" w:sz="0" w:space="0" w:color="auto"/>
        <w:bottom w:val="none" w:sz="0" w:space="0" w:color="auto"/>
        <w:right w:val="none" w:sz="0" w:space="0" w:color="auto"/>
      </w:divBdr>
    </w:div>
    <w:div w:id="250507460">
      <w:bodyDiv w:val="1"/>
      <w:marLeft w:val="0"/>
      <w:marRight w:val="0"/>
      <w:marTop w:val="0"/>
      <w:marBottom w:val="0"/>
      <w:divBdr>
        <w:top w:val="none" w:sz="0" w:space="0" w:color="auto"/>
        <w:left w:val="none" w:sz="0" w:space="0" w:color="auto"/>
        <w:bottom w:val="none" w:sz="0" w:space="0" w:color="auto"/>
        <w:right w:val="none" w:sz="0" w:space="0" w:color="auto"/>
      </w:divBdr>
    </w:div>
    <w:div w:id="251282422">
      <w:bodyDiv w:val="1"/>
      <w:marLeft w:val="0"/>
      <w:marRight w:val="0"/>
      <w:marTop w:val="0"/>
      <w:marBottom w:val="0"/>
      <w:divBdr>
        <w:top w:val="none" w:sz="0" w:space="0" w:color="auto"/>
        <w:left w:val="none" w:sz="0" w:space="0" w:color="auto"/>
        <w:bottom w:val="none" w:sz="0" w:space="0" w:color="auto"/>
        <w:right w:val="none" w:sz="0" w:space="0" w:color="auto"/>
      </w:divBdr>
    </w:div>
    <w:div w:id="251428004">
      <w:bodyDiv w:val="1"/>
      <w:marLeft w:val="0"/>
      <w:marRight w:val="0"/>
      <w:marTop w:val="0"/>
      <w:marBottom w:val="0"/>
      <w:divBdr>
        <w:top w:val="none" w:sz="0" w:space="0" w:color="auto"/>
        <w:left w:val="none" w:sz="0" w:space="0" w:color="auto"/>
        <w:bottom w:val="none" w:sz="0" w:space="0" w:color="auto"/>
        <w:right w:val="none" w:sz="0" w:space="0" w:color="auto"/>
      </w:divBdr>
    </w:div>
    <w:div w:id="251550276">
      <w:bodyDiv w:val="1"/>
      <w:marLeft w:val="0"/>
      <w:marRight w:val="0"/>
      <w:marTop w:val="0"/>
      <w:marBottom w:val="0"/>
      <w:divBdr>
        <w:top w:val="none" w:sz="0" w:space="0" w:color="auto"/>
        <w:left w:val="none" w:sz="0" w:space="0" w:color="auto"/>
        <w:bottom w:val="none" w:sz="0" w:space="0" w:color="auto"/>
        <w:right w:val="none" w:sz="0" w:space="0" w:color="auto"/>
      </w:divBdr>
    </w:div>
    <w:div w:id="251865281">
      <w:bodyDiv w:val="1"/>
      <w:marLeft w:val="0"/>
      <w:marRight w:val="0"/>
      <w:marTop w:val="0"/>
      <w:marBottom w:val="0"/>
      <w:divBdr>
        <w:top w:val="none" w:sz="0" w:space="0" w:color="auto"/>
        <w:left w:val="none" w:sz="0" w:space="0" w:color="auto"/>
        <w:bottom w:val="none" w:sz="0" w:space="0" w:color="auto"/>
        <w:right w:val="none" w:sz="0" w:space="0" w:color="auto"/>
      </w:divBdr>
    </w:div>
    <w:div w:id="251935485">
      <w:bodyDiv w:val="1"/>
      <w:marLeft w:val="0"/>
      <w:marRight w:val="0"/>
      <w:marTop w:val="0"/>
      <w:marBottom w:val="0"/>
      <w:divBdr>
        <w:top w:val="none" w:sz="0" w:space="0" w:color="auto"/>
        <w:left w:val="none" w:sz="0" w:space="0" w:color="auto"/>
        <w:bottom w:val="none" w:sz="0" w:space="0" w:color="auto"/>
        <w:right w:val="none" w:sz="0" w:space="0" w:color="auto"/>
      </w:divBdr>
    </w:div>
    <w:div w:id="251941395">
      <w:bodyDiv w:val="1"/>
      <w:marLeft w:val="0"/>
      <w:marRight w:val="0"/>
      <w:marTop w:val="0"/>
      <w:marBottom w:val="0"/>
      <w:divBdr>
        <w:top w:val="none" w:sz="0" w:space="0" w:color="auto"/>
        <w:left w:val="none" w:sz="0" w:space="0" w:color="auto"/>
        <w:bottom w:val="none" w:sz="0" w:space="0" w:color="auto"/>
        <w:right w:val="none" w:sz="0" w:space="0" w:color="auto"/>
      </w:divBdr>
    </w:div>
    <w:div w:id="252399923">
      <w:bodyDiv w:val="1"/>
      <w:marLeft w:val="0"/>
      <w:marRight w:val="0"/>
      <w:marTop w:val="0"/>
      <w:marBottom w:val="0"/>
      <w:divBdr>
        <w:top w:val="none" w:sz="0" w:space="0" w:color="auto"/>
        <w:left w:val="none" w:sz="0" w:space="0" w:color="auto"/>
        <w:bottom w:val="none" w:sz="0" w:space="0" w:color="auto"/>
        <w:right w:val="none" w:sz="0" w:space="0" w:color="auto"/>
      </w:divBdr>
    </w:div>
    <w:div w:id="252860363">
      <w:bodyDiv w:val="1"/>
      <w:marLeft w:val="0"/>
      <w:marRight w:val="0"/>
      <w:marTop w:val="0"/>
      <w:marBottom w:val="0"/>
      <w:divBdr>
        <w:top w:val="none" w:sz="0" w:space="0" w:color="auto"/>
        <w:left w:val="none" w:sz="0" w:space="0" w:color="auto"/>
        <w:bottom w:val="none" w:sz="0" w:space="0" w:color="auto"/>
        <w:right w:val="none" w:sz="0" w:space="0" w:color="auto"/>
      </w:divBdr>
    </w:div>
    <w:div w:id="252976556">
      <w:bodyDiv w:val="1"/>
      <w:marLeft w:val="0"/>
      <w:marRight w:val="0"/>
      <w:marTop w:val="0"/>
      <w:marBottom w:val="0"/>
      <w:divBdr>
        <w:top w:val="none" w:sz="0" w:space="0" w:color="auto"/>
        <w:left w:val="none" w:sz="0" w:space="0" w:color="auto"/>
        <w:bottom w:val="none" w:sz="0" w:space="0" w:color="auto"/>
        <w:right w:val="none" w:sz="0" w:space="0" w:color="auto"/>
      </w:divBdr>
    </w:div>
    <w:div w:id="252976807">
      <w:bodyDiv w:val="1"/>
      <w:marLeft w:val="0"/>
      <w:marRight w:val="0"/>
      <w:marTop w:val="0"/>
      <w:marBottom w:val="0"/>
      <w:divBdr>
        <w:top w:val="none" w:sz="0" w:space="0" w:color="auto"/>
        <w:left w:val="none" w:sz="0" w:space="0" w:color="auto"/>
        <w:bottom w:val="none" w:sz="0" w:space="0" w:color="auto"/>
        <w:right w:val="none" w:sz="0" w:space="0" w:color="auto"/>
      </w:divBdr>
    </w:div>
    <w:div w:id="253319616">
      <w:bodyDiv w:val="1"/>
      <w:marLeft w:val="0"/>
      <w:marRight w:val="0"/>
      <w:marTop w:val="0"/>
      <w:marBottom w:val="0"/>
      <w:divBdr>
        <w:top w:val="none" w:sz="0" w:space="0" w:color="auto"/>
        <w:left w:val="none" w:sz="0" w:space="0" w:color="auto"/>
        <w:bottom w:val="none" w:sz="0" w:space="0" w:color="auto"/>
        <w:right w:val="none" w:sz="0" w:space="0" w:color="auto"/>
      </w:divBdr>
    </w:div>
    <w:div w:id="253321107">
      <w:bodyDiv w:val="1"/>
      <w:marLeft w:val="0"/>
      <w:marRight w:val="0"/>
      <w:marTop w:val="0"/>
      <w:marBottom w:val="0"/>
      <w:divBdr>
        <w:top w:val="none" w:sz="0" w:space="0" w:color="auto"/>
        <w:left w:val="none" w:sz="0" w:space="0" w:color="auto"/>
        <w:bottom w:val="none" w:sz="0" w:space="0" w:color="auto"/>
        <w:right w:val="none" w:sz="0" w:space="0" w:color="auto"/>
      </w:divBdr>
    </w:div>
    <w:div w:id="253367593">
      <w:bodyDiv w:val="1"/>
      <w:marLeft w:val="0"/>
      <w:marRight w:val="0"/>
      <w:marTop w:val="0"/>
      <w:marBottom w:val="0"/>
      <w:divBdr>
        <w:top w:val="none" w:sz="0" w:space="0" w:color="auto"/>
        <w:left w:val="none" w:sz="0" w:space="0" w:color="auto"/>
        <w:bottom w:val="none" w:sz="0" w:space="0" w:color="auto"/>
        <w:right w:val="none" w:sz="0" w:space="0" w:color="auto"/>
      </w:divBdr>
    </w:div>
    <w:div w:id="253900319">
      <w:bodyDiv w:val="1"/>
      <w:marLeft w:val="0"/>
      <w:marRight w:val="0"/>
      <w:marTop w:val="0"/>
      <w:marBottom w:val="0"/>
      <w:divBdr>
        <w:top w:val="none" w:sz="0" w:space="0" w:color="auto"/>
        <w:left w:val="none" w:sz="0" w:space="0" w:color="auto"/>
        <w:bottom w:val="none" w:sz="0" w:space="0" w:color="auto"/>
        <w:right w:val="none" w:sz="0" w:space="0" w:color="auto"/>
      </w:divBdr>
    </w:div>
    <w:div w:id="254095626">
      <w:bodyDiv w:val="1"/>
      <w:marLeft w:val="0"/>
      <w:marRight w:val="0"/>
      <w:marTop w:val="0"/>
      <w:marBottom w:val="0"/>
      <w:divBdr>
        <w:top w:val="none" w:sz="0" w:space="0" w:color="auto"/>
        <w:left w:val="none" w:sz="0" w:space="0" w:color="auto"/>
        <w:bottom w:val="none" w:sz="0" w:space="0" w:color="auto"/>
        <w:right w:val="none" w:sz="0" w:space="0" w:color="auto"/>
      </w:divBdr>
    </w:div>
    <w:div w:id="254214656">
      <w:bodyDiv w:val="1"/>
      <w:marLeft w:val="0"/>
      <w:marRight w:val="0"/>
      <w:marTop w:val="0"/>
      <w:marBottom w:val="0"/>
      <w:divBdr>
        <w:top w:val="none" w:sz="0" w:space="0" w:color="auto"/>
        <w:left w:val="none" w:sz="0" w:space="0" w:color="auto"/>
        <w:bottom w:val="none" w:sz="0" w:space="0" w:color="auto"/>
        <w:right w:val="none" w:sz="0" w:space="0" w:color="auto"/>
      </w:divBdr>
    </w:div>
    <w:div w:id="254555384">
      <w:bodyDiv w:val="1"/>
      <w:marLeft w:val="0"/>
      <w:marRight w:val="0"/>
      <w:marTop w:val="0"/>
      <w:marBottom w:val="0"/>
      <w:divBdr>
        <w:top w:val="none" w:sz="0" w:space="0" w:color="auto"/>
        <w:left w:val="none" w:sz="0" w:space="0" w:color="auto"/>
        <w:bottom w:val="none" w:sz="0" w:space="0" w:color="auto"/>
        <w:right w:val="none" w:sz="0" w:space="0" w:color="auto"/>
      </w:divBdr>
    </w:div>
    <w:div w:id="254557951">
      <w:bodyDiv w:val="1"/>
      <w:marLeft w:val="0"/>
      <w:marRight w:val="0"/>
      <w:marTop w:val="0"/>
      <w:marBottom w:val="0"/>
      <w:divBdr>
        <w:top w:val="none" w:sz="0" w:space="0" w:color="auto"/>
        <w:left w:val="none" w:sz="0" w:space="0" w:color="auto"/>
        <w:bottom w:val="none" w:sz="0" w:space="0" w:color="auto"/>
        <w:right w:val="none" w:sz="0" w:space="0" w:color="auto"/>
      </w:divBdr>
    </w:div>
    <w:div w:id="255217490">
      <w:bodyDiv w:val="1"/>
      <w:marLeft w:val="0"/>
      <w:marRight w:val="0"/>
      <w:marTop w:val="0"/>
      <w:marBottom w:val="0"/>
      <w:divBdr>
        <w:top w:val="none" w:sz="0" w:space="0" w:color="auto"/>
        <w:left w:val="none" w:sz="0" w:space="0" w:color="auto"/>
        <w:bottom w:val="none" w:sz="0" w:space="0" w:color="auto"/>
        <w:right w:val="none" w:sz="0" w:space="0" w:color="auto"/>
      </w:divBdr>
    </w:div>
    <w:div w:id="255290871">
      <w:bodyDiv w:val="1"/>
      <w:marLeft w:val="0"/>
      <w:marRight w:val="0"/>
      <w:marTop w:val="0"/>
      <w:marBottom w:val="0"/>
      <w:divBdr>
        <w:top w:val="none" w:sz="0" w:space="0" w:color="auto"/>
        <w:left w:val="none" w:sz="0" w:space="0" w:color="auto"/>
        <w:bottom w:val="none" w:sz="0" w:space="0" w:color="auto"/>
        <w:right w:val="none" w:sz="0" w:space="0" w:color="auto"/>
      </w:divBdr>
    </w:div>
    <w:div w:id="255406056">
      <w:bodyDiv w:val="1"/>
      <w:marLeft w:val="0"/>
      <w:marRight w:val="0"/>
      <w:marTop w:val="0"/>
      <w:marBottom w:val="0"/>
      <w:divBdr>
        <w:top w:val="none" w:sz="0" w:space="0" w:color="auto"/>
        <w:left w:val="none" w:sz="0" w:space="0" w:color="auto"/>
        <w:bottom w:val="none" w:sz="0" w:space="0" w:color="auto"/>
        <w:right w:val="none" w:sz="0" w:space="0" w:color="auto"/>
      </w:divBdr>
    </w:div>
    <w:div w:id="255407995">
      <w:bodyDiv w:val="1"/>
      <w:marLeft w:val="0"/>
      <w:marRight w:val="0"/>
      <w:marTop w:val="0"/>
      <w:marBottom w:val="0"/>
      <w:divBdr>
        <w:top w:val="none" w:sz="0" w:space="0" w:color="auto"/>
        <w:left w:val="none" w:sz="0" w:space="0" w:color="auto"/>
        <w:bottom w:val="none" w:sz="0" w:space="0" w:color="auto"/>
        <w:right w:val="none" w:sz="0" w:space="0" w:color="auto"/>
      </w:divBdr>
    </w:div>
    <w:div w:id="255946928">
      <w:bodyDiv w:val="1"/>
      <w:marLeft w:val="0"/>
      <w:marRight w:val="0"/>
      <w:marTop w:val="0"/>
      <w:marBottom w:val="0"/>
      <w:divBdr>
        <w:top w:val="none" w:sz="0" w:space="0" w:color="auto"/>
        <w:left w:val="none" w:sz="0" w:space="0" w:color="auto"/>
        <w:bottom w:val="none" w:sz="0" w:space="0" w:color="auto"/>
        <w:right w:val="none" w:sz="0" w:space="0" w:color="auto"/>
      </w:divBdr>
    </w:div>
    <w:div w:id="255985182">
      <w:bodyDiv w:val="1"/>
      <w:marLeft w:val="0"/>
      <w:marRight w:val="0"/>
      <w:marTop w:val="0"/>
      <w:marBottom w:val="0"/>
      <w:divBdr>
        <w:top w:val="none" w:sz="0" w:space="0" w:color="auto"/>
        <w:left w:val="none" w:sz="0" w:space="0" w:color="auto"/>
        <w:bottom w:val="none" w:sz="0" w:space="0" w:color="auto"/>
        <w:right w:val="none" w:sz="0" w:space="0" w:color="auto"/>
      </w:divBdr>
    </w:div>
    <w:div w:id="255990078">
      <w:bodyDiv w:val="1"/>
      <w:marLeft w:val="0"/>
      <w:marRight w:val="0"/>
      <w:marTop w:val="0"/>
      <w:marBottom w:val="0"/>
      <w:divBdr>
        <w:top w:val="none" w:sz="0" w:space="0" w:color="auto"/>
        <w:left w:val="none" w:sz="0" w:space="0" w:color="auto"/>
        <w:bottom w:val="none" w:sz="0" w:space="0" w:color="auto"/>
        <w:right w:val="none" w:sz="0" w:space="0" w:color="auto"/>
      </w:divBdr>
    </w:div>
    <w:div w:id="256137807">
      <w:bodyDiv w:val="1"/>
      <w:marLeft w:val="0"/>
      <w:marRight w:val="0"/>
      <w:marTop w:val="0"/>
      <w:marBottom w:val="0"/>
      <w:divBdr>
        <w:top w:val="none" w:sz="0" w:space="0" w:color="auto"/>
        <w:left w:val="none" w:sz="0" w:space="0" w:color="auto"/>
        <w:bottom w:val="none" w:sz="0" w:space="0" w:color="auto"/>
        <w:right w:val="none" w:sz="0" w:space="0" w:color="auto"/>
      </w:divBdr>
    </w:div>
    <w:div w:id="256448544">
      <w:bodyDiv w:val="1"/>
      <w:marLeft w:val="0"/>
      <w:marRight w:val="0"/>
      <w:marTop w:val="0"/>
      <w:marBottom w:val="0"/>
      <w:divBdr>
        <w:top w:val="none" w:sz="0" w:space="0" w:color="auto"/>
        <w:left w:val="none" w:sz="0" w:space="0" w:color="auto"/>
        <w:bottom w:val="none" w:sz="0" w:space="0" w:color="auto"/>
        <w:right w:val="none" w:sz="0" w:space="0" w:color="auto"/>
      </w:divBdr>
    </w:div>
    <w:div w:id="256985354">
      <w:bodyDiv w:val="1"/>
      <w:marLeft w:val="0"/>
      <w:marRight w:val="0"/>
      <w:marTop w:val="0"/>
      <w:marBottom w:val="0"/>
      <w:divBdr>
        <w:top w:val="none" w:sz="0" w:space="0" w:color="auto"/>
        <w:left w:val="none" w:sz="0" w:space="0" w:color="auto"/>
        <w:bottom w:val="none" w:sz="0" w:space="0" w:color="auto"/>
        <w:right w:val="none" w:sz="0" w:space="0" w:color="auto"/>
      </w:divBdr>
    </w:div>
    <w:div w:id="258100651">
      <w:bodyDiv w:val="1"/>
      <w:marLeft w:val="0"/>
      <w:marRight w:val="0"/>
      <w:marTop w:val="0"/>
      <w:marBottom w:val="0"/>
      <w:divBdr>
        <w:top w:val="none" w:sz="0" w:space="0" w:color="auto"/>
        <w:left w:val="none" w:sz="0" w:space="0" w:color="auto"/>
        <w:bottom w:val="none" w:sz="0" w:space="0" w:color="auto"/>
        <w:right w:val="none" w:sz="0" w:space="0" w:color="auto"/>
      </w:divBdr>
    </w:div>
    <w:div w:id="258564588">
      <w:bodyDiv w:val="1"/>
      <w:marLeft w:val="0"/>
      <w:marRight w:val="0"/>
      <w:marTop w:val="0"/>
      <w:marBottom w:val="0"/>
      <w:divBdr>
        <w:top w:val="none" w:sz="0" w:space="0" w:color="auto"/>
        <w:left w:val="none" w:sz="0" w:space="0" w:color="auto"/>
        <w:bottom w:val="none" w:sz="0" w:space="0" w:color="auto"/>
        <w:right w:val="none" w:sz="0" w:space="0" w:color="auto"/>
      </w:divBdr>
    </w:div>
    <w:div w:id="258683110">
      <w:bodyDiv w:val="1"/>
      <w:marLeft w:val="0"/>
      <w:marRight w:val="0"/>
      <w:marTop w:val="0"/>
      <w:marBottom w:val="0"/>
      <w:divBdr>
        <w:top w:val="none" w:sz="0" w:space="0" w:color="auto"/>
        <w:left w:val="none" w:sz="0" w:space="0" w:color="auto"/>
        <w:bottom w:val="none" w:sz="0" w:space="0" w:color="auto"/>
        <w:right w:val="none" w:sz="0" w:space="0" w:color="auto"/>
      </w:divBdr>
    </w:div>
    <w:div w:id="258757548">
      <w:bodyDiv w:val="1"/>
      <w:marLeft w:val="0"/>
      <w:marRight w:val="0"/>
      <w:marTop w:val="0"/>
      <w:marBottom w:val="0"/>
      <w:divBdr>
        <w:top w:val="none" w:sz="0" w:space="0" w:color="auto"/>
        <w:left w:val="none" w:sz="0" w:space="0" w:color="auto"/>
        <w:bottom w:val="none" w:sz="0" w:space="0" w:color="auto"/>
        <w:right w:val="none" w:sz="0" w:space="0" w:color="auto"/>
      </w:divBdr>
    </w:div>
    <w:div w:id="258760077">
      <w:bodyDiv w:val="1"/>
      <w:marLeft w:val="0"/>
      <w:marRight w:val="0"/>
      <w:marTop w:val="0"/>
      <w:marBottom w:val="0"/>
      <w:divBdr>
        <w:top w:val="none" w:sz="0" w:space="0" w:color="auto"/>
        <w:left w:val="none" w:sz="0" w:space="0" w:color="auto"/>
        <w:bottom w:val="none" w:sz="0" w:space="0" w:color="auto"/>
        <w:right w:val="none" w:sz="0" w:space="0" w:color="auto"/>
      </w:divBdr>
    </w:div>
    <w:div w:id="259141515">
      <w:bodyDiv w:val="1"/>
      <w:marLeft w:val="0"/>
      <w:marRight w:val="0"/>
      <w:marTop w:val="0"/>
      <w:marBottom w:val="0"/>
      <w:divBdr>
        <w:top w:val="none" w:sz="0" w:space="0" w:color="auto"/>
        <w:left w:val="none" w:sz="0" w:space="0" w:color="auto"/>
        <w:bottom w:val="none" w:sz="0" w:space="0" w:color="auto"/>
        <w:right w:val="none" w:sz="0" w:space="0" w:color="auto"/>
      </w:divBdr>
    </w:div>
    <w:div w:id="259339134">
      <w:bodyDiv w:val="1"/>
      <w:marLeft w:val="0"/>
      <w:marRight w:val="0"/>
      <w:marTop w:val="0"/>
      <w:marBottom w:val="0"/>
      <w:divBdr>
        <w:top w:val="none" w:sz="0" w:space="0" w:color="auto"/>
        <w:left w:val="none" w:sz="0" w:space="0" w:color="auto"/>
        <w:bottom w:val="none" w:sz="0" w:space="0" w:color="auto"/>
        <w:right w:val="none" w:sz="0" w:space="0" w:color="auto"/>
      </w:divBdr>
    </w:div>
    <w:div w:id="259531546">
      <w:bodyDiv w:val="1"/>
      <w:marLeft w:val="0"/>
      <w:marRight w:val="0"/>
      <w:marTop w:val="0"/>
      <w:marBottom w:val="0"/>
      <w:divBdr>
        <w:top w:val="none" w:sz="0" w:space="0" w:color="auto"/>
        <w:left w:val="none" w:sz="0" w:space="0" w:color="auto"/>
        <w:bottom w:val="none" w:sz="0" w:space="0" w:color="auto"/>
        <w:right w:val="none" w:sz="0" w:space="0" w:color="auto"/>
      </w:divBdr>
    </w:div>
    <w:div w:id="259803915">
      <w:bodyDiv w:val="1"/>
      <w:marLeft w:val="0"/>
      <w:marRight w:val="0"/>
      <w:marTop w:val="0"/>
      <w:marBottom w:val="0"/>
      <w:divBdr>
        <w:top w:val="none" w:sz="0" w:space="0" w:color="auto"/>
        <w:left w:val="none" w:sz="0" w:space="0" w:color="auto"/>
        <w:bottom w:val="none" w:sz="0" w:space="0" w:color="auto"/>
        <w:right w:val="none" w:sz="0" w:space="0" w:color="auto"/>
      </w:divBdr>
    </w:div>
    <w:div w:id="260184904">
      <w:bodyDiv w:val="1"/>
      <w:marLeft w:val="0"/>
      <w:marRight w:val="0"/>
      <w:marTop w:val="0"/>
      <w:marBottom w:val="0"/>
      <w:divBdr>
        <w:top w:val="none" w:sz="0" w:space="0" w:color="auto"/>
        <w:left w:val="none" w:sz="0" w:space="0" w:color="auto"/>
        <w:bottom w:val="none" w:sz="0" w:space="0" w:color="auto"/>
        <w:right w:val="none" w:sz="0" w:space="0" w:color="auto"/>
      </w:divBdr>
    </w:div>
    <w:div w:id="261838723">
      <w:bodyDiv w:val="1"/>
      <w:marLeft w:val="0"/>
      <w:marRight w:val="0"/>
      <w:marTop w:val="0"/>
      <w:marBottom w:val="0"/>
      <w:divBdr>
        <w:top w:val="none" w:sz="0" w:space="0" w:color="auto"/>
        <w:left w:val="none" w:sz="0" w:space="0" w:color="auto"/>
        <w:bottom w:val="none" w:sz="0" w:space="0" w:color="auto"/>
        <w:right w:val="none" w:sz="0" w:space="0" w:color="auto"/>
      </w:divBdr>
    </w:div>
    <w:div w:id="262812070">
      <w:bodyDiv w:val="1"/>
      <w:marLeft w:val="0"/>
      <w:marRight w:val="0"/>
      <w:marTop w:val="0"/>
      <w:marBottom w:val="0"/>
      <w:divBdr>
        <w:top w:val="none" w:sz="0" w:space="0" w:color="auto"/>
        <w:left w:val="none" w:sz="0" w:space="0" w:color="auto"/>
        <w:bottom w:val="none" w:sz="0" w:space="0" w:color="auto"/>
        <w:right w:val="none" w:sz="0" w:space="0" w:color="auto"/>
      </w:divBdr>
    </w:div>
    <w:div w:id="263005113">
      <w:bodyDiv w:val="1"/>
      <w:marLeft w:val="0"/>
      <w:marRight w:val="0"/>
      <w:marTop w:val="0"/>
      <w:marBottom w:val="0"/>
      <w:divBdr>
        <w:top w:val="none" w:sz="0" w:space="0" w:color="auto"/>
        <w:left w:val="none" w:sz="0" w:space="0" w:color="auto"/>
        <w:bottom w:val="none" w:sz="0" w:space="0" w:color="auto"/>
        <w:right w:val="none" w:sz="0" w:space="0" w:color="auto"/>
      </w:divBdr>
    </w:div>
    <w:div w:id="263266135">
      <w:bodyDiv w:val="1"/>
      <w:marLeft w:val="0"/>
      <w:marRight w:val="0"/>
      <w:marTop w:val="0"/>
      <w:marBottom w:val="0"/>
      <w:divBdr>
        <w:top w:val="none" w:sz="0" w:space="0" w:color="auto"/>
        <w:left w:val="none" w:sz="0" w:space="0" w:color="auto"/>
        <w:bottom w:val="none" w:sz="0" w:space="0" w:color="auto"/>
        <w:right w:val="none" w:sz="0" w:space="0" w:color="auto"/>
      </w:divBdr>
    </w:div>
    <w:div w:id="263735813">
      <w:bodyDiv w:val="1"/>
      <w:marLeft w:val="0"/>
      <w:marRight w:val="0"/>
      <w:marTop w:val="0"/>
      <w:marBottom w:val="0"/>
      <w:divBdr>
        <w:top w:val="none" w:sz="0" w:space="0" w:color="auto"/>
        <w:left w:val="none" w:sz="0" w:space="0" w:color="auto"/>
        <w:bottom w:val="none" w:sz="0" w:space="0" w:color="auto"/>
        <w:right w:val="none" w:sz="0" w:space="0" w:color="auto"/>
      </w:divBdr>
    </w:div>
    <w:div w:id="264116592">
      <w:bodyDiv w:val="1"/>
      <w:marLeft w:val="0"/>
      <w:marRight w:val="0"/>
      <w:marTop w:val="0"/>
      <w:marBottom w:val="0"/>
      <w:divBdr>
        <w:top w:val="none" w:sz="0" w:space="0" w:color="auto"/>
        <w:left w:val="none" w:sz="0" w:space="0" w:color="auto"/>
        <w:bottom w:val="none" w:sz="0" w:space="0" w:color="auto"/>
        <w:right w:val="none" w:sz="0" w:space="0" w:color="auto"/>
      </w:divBdr>
    </w:div>
    <w:div w:id="264390492">
      <w:bodyDiv w:val="1"/>
      <w:marLeft w:val="0"/>
      <w:marRight w:val="0"/>
      <w:marTop w:val="0"/>
      <w:marBottom w:val="0"/>
      <w:divBdr>
        <w:top w:val="none" w:sz="0" w:space="0" w:color="auto"/>
        <w:left w:val="none" w:sz="0" w:space="0" w:color="auto"/>
        <w:bottom w:val="none" w:sz="0" w:space="0" w:color="auto"/>
        <w:right w:val="none" w:sz="0" w:space="0" w:color="auto"/>
      </w:divBdr>
    </w:div>
    <w:div w:id="264505936">
      <w:bodyDiv w:val="1"/>
      <w:marLeft w:val="0"/>
      <w:marRight w:val="0"/>
      <w:marTop w:val="0"/>
      <w:marBottom w:val="0"/>
      <w:divBdr>
        <w:top w:val="none" w:sz="0" w:space="0" w:color="auto"/>
        <w:left w:val="none" w:sz="0" w:space="0" w:color="auto"/>
        <w:bottom w:val="none" w:sz="0" w:space="0" w:color="auto"/>
        <w:right w:val="none" w:sz="0" w:space="0" w:color="auto"/>
      </w:divBdr>
    </w:div>
    <w:div w:id="264653485">
      <w:bodyDiv w:val="1"/>
      <w:marLeft w:val="0"/>
      <w:marRight w:val="0"/>
      <w:marTop w:val="0"/>
      <w:marBottom w:val="0"/>
      <w:divBdr>
        <w:top w:val="none" w:sz="0" w:space="0" w:color="auto"/>
        <w:left w:val="none" w:sz="0" w:space="0" w:color="auto"/>
        <w:bottom w:val="none" w:sz="0" w:space="0" w:color="auto"/>
        <w:right w:val="none" w:sz="0" w:space="0" w:color="auto"/>
      </w:divBdr>
    </w:div>
    <w:div w:id="264700512">
      <w:bodyDiv w:val="1"/>
      <w:marLeft w:val="0"/>
      <w:marRight w:val="0"/>
      <w:marTop w:val="0"/>
      <w:marBottom w:val="0"/>
      <w:divBdr>
        <w:top w:val="none" w:sz="0" w:space="0" w:color="auto"/>
        <w:left w:val="none" w:sz="0" w:space="0" w:color="auto"/>
        <w:bottom w:val="none" w:sz="0" w:space="0" w:color="auto"/>
        <w:right w:val="none" w:sz="0" w:space="0" w:color="auto"/>
      </w:divBdr>
    </w:div>
    <w:div w:id="264778115">
      <w:bodyDiv w:val="1"/>
      <w:marLeft w:val="0"/>
      <w:marRight w:val="0"/>
      <w:marTop w:val="0"/>
      <w:marBottom w:val="0"/>
      <w:divBdr>
        <w:top w:val="none" w:sz="0" w:space="0" w:color="auto"/>
        <w:left w:val="none" w:sz="0" w:space="0" w:color="auto"/>
        <w:bottom w:val="none" w:sz="0" w:space="0" w:color="auto"/>
        <w:right w:val="none" w:sz="0" w:space="0" w:color="auto"/>
      </w:divBdr>
    </w:div>
    <w:div w:id="264927075">
      <w:bodyDiv w:val="1"/>
      <w:marLeft w:val="0"/>
      <w:marRight w:val="0"/>
      <w:marTop w:val="0"/>
      <w:marBottom w:val="0"/>
      <w:divBdr>
        <w:top w:val="none" w:sz="0" w:space="0" w:color="auto"/>
        <w:left w:val="none" w:sz="0" w:space="0" w:color="auto"/>
        <w:bottom w:val="none" w:sz="0" w:space="0" w:color="auto"/>
        <w:right w:val="none" w:sz="0" w:space="0" w:color="auto"/>
      </w:divBdr>
    </w:div>
    <w:div w:id="265890202">
      <w:bodyDiv w:val="1"/>
      <w:marLeft w:val="0"/>
      <w:marRight w:val="0"/>
      <w:marTop w:val="0"/>
      <w:marBottom w:val="0"/>
      <w:divBdr>
        <w:top w:val="none" w:sz="0" w:space="0" w:color="auto"/>
        <w:left w:val="none" w:sz="0" w:space="0" w:color="auto"/>
        <w:bottom w:val="none" w:sz="0" w:space="0" w:color="auto"/>
        <w:right w:val="none" w:sz="0" w:space="0" w:color="auto"/>
      </w:divBdr>
    </w:div>
    <w:div w:id="266236843">
      <w:bodyDiv w:val="1"/>
      <w:marLeft w:val="0"/>
      <w:marRight w:val="0"/>
      <w:marTop w:val="0"/>
      <w:marBottom w:val="0"/>
      <w:divBdr>
        <w:top w:val="none" w:sz="0" w:space="0" w:color="auto"/>
        <w:left w:val="none" w:sz="0" w:space="0" w:color="auto"/>
        <w:bottom w:val="none" w:sz="0" w:space="0" w:color="auto"/>
        <w:right w:val="none" w:sz="0" w:space="0" w:color="auto"/>
      </w:divBdr>
    </w:div>
    <w:div w:id="266622633">
      <w:bodyDiv w:val="1"/>
      <w:marLeft w:val="0"/>
      <w:marRight w:val="0"/>
      <w:marTop w:val="0"/>
      <w:marBottom w:val="0"/>
      <w:divBdr>
        <w:top w:val="none" w:sz="0" w:space="0" w:color="auto"/>
        <w:left w:val="none" w:sz="0" w:space="0" w:color="auto"/>
        <w:bottom w:val="none" w:sz="0" w:space="0" w:color="auto"/>
        <w:right w:val="none" w:sz="0" w:space="0" w:color="auto"/>
      </w:divBdr>
    </w:div>
    <w:div w:id="266742112">
      <w:bodyDiv w:val="1"/>
      <w:marLeft w:val="0"/>
      <w:marRight w:val="0"/>
      <w:marTop w:val="0"/>
      <w:marBottom w:val="0"/>
      <w:divBdr>
        <w:top w:val="none" w:sz="0" w:space="0" w:color="auto"/>
        <w:left w:val="none" w:sz="0" w:space="0" w:color="auto"/>
        <w:bottom w:val="none" w:sz="0" w:space="0" w:color="auto"/>
        <w:right w:val="none" w:sz="0" w:space="0" w:color="auto"/>
      </w:divBdr>
    </w:div>
    <w:div w:id="266892754">
      <w:bodyDiv w:val="1"/>
      <w:marLeft w:val="0"/>
      <w:marRight w:val="0"/>
      <w:marTop w:val="0"/>
      <w:marBottom w:val="0"/>
      <w:divBdr>
        <w:top w:val="none" w:sz="0" w:space="0" w:color="auto"/>
        <w:left w:val="none" w:sz="0" w:space="0" w:color="auto"/>
        <w:bottom w:val="none" w:sz="0" w:space="0" w:color="auto"/>
        <w:right w:val="none" w:sz="0" w:space="0" w:color="auto"/>
      </w:divBdr>
    </w:div>
    <w:div w:id="267203286">
      <w:bodyDiv w:val="1"/>
      <w:marLeft w:val="0"/>
      <w:marRight w:val="0"/>
      <w:marTop w:val="0"/>
      <w:marBottom w:val="0"/>
      <w:divBdr>
        <w:top w:val="none" w:sz="0" w:space="0" w:color="auto"/>
        <w:left w:val="none" w:sz="0" w:space="0" w:color="auto"/>
        <w:bottom w:val="none" w:sz="0" w:space="0" w:color="auto"/>
        <w:right w:val="none" w:sz="0" w:space="0" w:color="auto"/>
      </w:divBdr>
    </w:div>
    <w:div w:id="267280734">
      <w:bodyDiv w:val="1"/>
      <w:marLeft w:val="0"/>
      <w:marRight w:val="0"/>
      <w:marTop w:val="0"/>
      <w:marBottom w:val="0"/>
      <w:divBdr>
        <w:top w:val="none" w:sz="0" w:space="0" w:color="auto"/>
        <w:left w:val="none" w:sz="0" w:space="0" w:color="auto"/>
        <w:bottom w:val="none" w:sz="0" w:space="0" w:color="auto"/>
        <w:right w:val="none" w:sz="0" w:space="0" w:color="auto"/>
      </w:divBdr>
    </w:div>
    <w:div w:id="267468043">
      <w:bodyDiv w:val="1"/>
      <w:marLeft w:val="0"/>
      <w:marRight w:val="0"/>
      <w:marTop w:val="0"/>
      <w:marBottom w:val="0"/>
      <w:divBdr>
        <w:top w:val="none" w:sz="0" w:space="0" w:color="auto"/>
        <w:left w:val="none" w:sz="0" w:space="0" w:color="auto"/>
        <w:bottom w:val="none" w:sz="0" w:space="0" w:color="auto"/>
        <w:right w:val="none" w:sz="0" w:space="0" w:color="auto"/>
      </w:divBdr>
    </w:div>
    <w:div w:id="267661328">
      <w:bodyDiv w:val="1"/>
      <w:marLeft w:val="0"/>
      <w:marRight w:val="0"/>
      <w:marTop w:val="0"/>
      <w:marBottom w:val="0"/>
      <w:divBdr>
        <w:top w:val="none" w:sz="0" w:space="0" w:color="auto"/>
        <w:left w:val="none" w:sz="0" w:space="0" w:color="auto"/>
        <w:bottom w:val="none" w:sz="0" w:space="0" w:color="auto"/>
        <w:right w:val="none" w:sz="0" w:space="0" w:color="auto"/>
      </w:divBdr>
    </w:div>
    <w:div w:id="267663166">
      <w:bodyDiv w:val="1"/>
      <w:marLeft w:val="0"/>
      <w:marRight w:val="0"/>
      <w:marTop w:val="0"/>
      <w:marBottom w:val="0"/>
      <w:divBdr>
        <w:top w:val="none" w:sz="0" w:space="0" w:color="auto"/>
        <w:left w:val="none" w:sz="0" w:space="0" w:color="auto"/>
        <w:bottom w:val="none" w:sz="0" w:space="0" w:color="auto"/>
        <w:right w:val="none" w:sz="0" w:space="0" w:color="auto"/>
      </w:divBdr>
    </w:div>
    <w:div w:id="267934381">
      <w:bodyDiv w:val="1"/>
      <w:marLeft w:val="0"/>
      <w:marRight w:val="0"/>
      <w:marTop w:val="0"/>
      <w:marBottom w:val="0"/>
      <w:divBdr>
        <w:top w:val="none" w:sz="0" w:space="0" w:color="auto"/>
        <w:left w:val="none" w:sz="0" w:space="0" w:color="auto"/>
        <w:bottom w:val="none" w:sz="0" w:space="0" w:color="auto"/>
        <w:right w:val="none" w:sz="0" w:space="0" w:color="auto"/>
      </w:divBdr>
    </w:div>
    <w:div w:id="268050120">
      <w:bodyDiv w:val="1"/>
      <w:marLeft w:val="0"/>
      <w:marRight w:val="0"/>
      <w:marTop w:val="0"/>
      <w:marBottom w:val="0"/>
      <w:divBdr>
        <w:top w:val="none" w:sz="0" w:space="0" w:color="auto"/>
        <w:left w:val="none" w:sz="0" w:space="0" w:color="auto"/>
        <w:bottom w:val="none" w:sz="0" w:space="0" w:color="auto"/>
        <w:right w:val="none" w:sz="0" w:space="0" w:color="auto"/>
      </w:divBdr>
    </w:div>
    <w:div w:id="268128426">
      <w:bodyDiv w:val="1"/>
      <w:marLeft w:val="0"/>
      <w:marRight w:val="0"/>
      <w:marTop w:val="0"/>
      <w:marBottom w:val="0"/>
      <w:divBdr>
        <w:top w:val="none" w:sz="0" w:space="0" w:color="auto"/>
        <w:left w:val="none" w:sz="0" w:space="0" w:color="auto"/>
        <w:bottom w:val="none" w:sz="0" w:space="0" w:color="auto"/>
        <w:right w:val="none" w:sz="0" w:space="0" w:color="auto"/>
      </w:divBdr>
    </w:div>
    <w:div w:id="268663762">
      <w:bodyDiv w:val="1"/>
      <w:marLeft w:val="0"/>
      <w:marRight w:val="0"/>
      <w:marTop w:val="0"/>
      <w:marBottom w:val="0"/>
      <w:divBdr>
        <w:top w:val="none" w:sz="0" w:space="0" w:color="auto"/>
        <w:left w:val="none" w:sz="0" w:space="0" w:color="auto"/>
        <w:bottom w:val="none" w:sz="0" w:space="0" w:color="auto"/>
        <w:right w:val="none" w:sz="0" w:space="0" w:color="auto"/>
      </w:divBdr>
    </w:div>
    <w:div w:id="268971818">
      <w:bodyDiv w:val="1"/>
      <w:marLeft w:val="0"/>
      <w:marRight w:val="0"/>
      <w:marTop w:val="0"/>
      <w:marBottom w:val="0"/>
      <w:divBdr>
        <w:top w:val="none" w:sz="0" w:space="0" w:color="auto"/>
        <w:left w:val="none" w:sz="0" w:space="0" w:color="auto"/>
        <w:bottom w:val="none" w:sz="0" w:space="0" w:color="auto"/>
        <w:right w:val="none" w:sz="0" w:space="0" w:color="auto"/>
      </w:divBdr>
    </w:div>
    <w:div w:id="268974208">
      <w:bodyDiv w:val="1"/>
      <w:marLeft w:val="0"/>
      <w:marRight w:val="0"/>
      <w:marTop w:val="0"/>
      <w:marBottom w:val="0"/>
      <w:divBdr>
        <w:top w:val="none" w:sz="0" w:space="0" w:color="auto"/>
        <w:left w:val="none" w:sz="0" w:space="0" w:color="auto"/>
        <w:bottom w:val="none" w:sz="0" w:space="0" w:color="auto"/>
        <w:right w:val="none" w:sz="0" w:space="0" w:color="auto"/>
      </w:divBdr>
    </w:div>
    <w:div w:id="268977096">
      <w:bodyDiv w:val="1"/>
      <w:marLeft w:val="0"/>
      <w:marRight w:val="0"/>
      <w:marTop w:val="0"/>
      <w:marBottom w:val="0"/>
      <w:divBdr>
        <w:top w:val="none" w:sz="0" w:space="0" w:color="auto"/>
        <w:left w:val="none" w:sz="0" w:space="0" w:color="auto"/>
        <w:bottom w:val="none" w:sz="0" w:space="0" w:color="auto"/>
        <w:right w:val="none" w:sz="0" w:space="0" w:color="auto"/>
      </w:divBdr>
    </w:div>
    <w:div w:id="269317506">
      <w:bodyDiv w:val="1"/>
      <w:marLeft w:val="0"/>
      <w:marRight w:val="0"/>
      <w:marTop w:val="0"/>
      <w:marBottom w:val="0"/>
      <w:divBdr>
        <w:top w:val="none" w:sz="0" w:space="0" w:color="auto"/>
        <w:left w:val="none" w:sz="0" w:space="0" w:color="auto"/>
        <w:bottom w:val="none" w:sz="0" w:space="0" w:color="auto"/>
        <w:right w:val="none" w:sz="0" w:space="0" w:color="auto"/>
      </w:divBdr>
    </w:div>
    <w:div w:id="269363836">
      <w:bodyDiv w:val="1"/>
      <w:marLeft w:val="0"/>
      <w:marRight w:val="0"/>
      <w:marTop w:val="0"/>
      <w:marBottom w:val="0"/>
      <w:divBdr>
        <w:top w:val="none" w:sz="0" w:space="0" w:color="auto"/>
        <w:left w:val="none" w:sz="0" w:space="0" w:color="auto"/>
        <w:bottom w:val="none" w:sz="0" w:space="0" w:color="auto"/>
        <w:right w:val="none" w:sz="0" w:space="0" w:color="auto"/>
      </w:divBdr>
    </w:div>
    <w:div w:id="269507720">
      <w:bodyDiv w:val="1"/>
      <w:marLeft w:val="0"/>
      <w:marRight w:val="0"/>
      <w:marTop w:val="0"/>
      <w:marBottom w:val="0"/>
      <w:divBdr>
        <w:top w:val="none" w:sz="0" w:space="0" w:color="auto"/>
        <w:left w:val="none" w:sz="0" w:space="0" w:color="auto"/>
        <w:bottom w:val="none" w:sz="0" w:space="0" w:color="auto"/>
        <w:right w:val="none" w:sz="0" w:space="0" w:color="auto"/>
      </w:divBdr>
    </w:div>
    <w:div w:id="269556129">
      <w:bodyDiv w:val="1"/>
      <w:marLeft w:val="0"/>
      <w:marRight w:val="0"/>
      <w:marTop w:val="0"/>
      <w:marBottom w:val="0"/>
      <w:divBdr>
        <w:top w:val="none" w:sz="0" w:space="0" w:color="auto"/>
        <w:left w:val="none" w:sz="0" w:space="0" w:color="auto"/>
        <w:bottom w:val="none" w:sz="0" w:space="0" w:color="auto"/>
        <w:right w:val="none" w:sz="0" w:space="0" w:color="auto"/>
      </w:divBdr>
    </w:div>
    <w:div w:id="270822036">
      <w:bodyDiv w:val="1"/>
      <w:marLeft w:val="0"/>
      <w:marRight w:val="0"/>
      <w:marTop w:val="0"/>
      <w:marBottom w:val="0"/>
      <w:divBdr>
        <w:top w:val="none" w:sz="0" w:space="0" w:color="auto"/>
        <w:left w:val="none" w:sz="0" w:space="0" w:color="auto"/>
        <w:bottom w:val="none" w:sz="0" w:space="0" w:color="auto"/>
        <w:right w:val="none" w:sz="0" w:space="0" w:color="auto"/>
      </w:divBdr>
    </w:div>
    <w:div w:id="270860488">
      <w:bodyDiv w:val="1"/>
      <w:marLeft w:val="0"/>
      <w:marRight w:val="0"/>
      <w:marTop w:val="0"/>
      <w:marBottom w:val="0"/>
      <w:divBdr>
        <w:top w:val="none" w:sz="0" w:space="0" w:color="auto"/>
        <w:left w:val="none" w:sz="0" w:space="0" w:color="auto"/>
        <w:bottom w:val="none" w:sz="0" w:space="0" w:color="auto"/>
        <w:right w:val="none" w:sz="0" w:space="0" w:color="auto"/>
      </w:divBdr>
    </w:div>
    <w:div w:id="271398513">
      <w:bodyDiv w:val="1"/>
      <w:marLeft w:val="0"/>
      <w:marRight w:val="0"/>
      <w:marTop w:val="0"/>
      <w:marBottom w:val="0"/>
      <w:divBdr>
        <w:top w:val="none" w:sz="0" w:space="0" w:color="auto"/>
        <w:left w:val="none" w:sz="0" w:space="0" w:color="auto"/>
        <w:bottom w:val="none" w:sz="0" w:space="0" w:color="auto"/>
        <w:right w:val="none" w:sz="0" w:space="0" w:color="auto"/>
      </w:divBdr>
    </w:div>
    <w:div w:id="271742972">
      <w:bodyDiv w:val="1"/>
      <w:marLeft w:val="0"/>
      <w:marRight w:val="0"/>
      <w:marTop w:val="0"/>
      <w:marBottom w:val="0"/>
      <w:divBdr>
        <w:top w:val="none" w:sz="0" w:space="0" w:color="auto"/>
        <w:left w:val="none" w:sz="0" w:space="0" w:color="auto"/>
        <w:bottom w:val="none" w:sz="0" w:space="0" w:color="auto"/>
        <w:right w:val="none" w:sz="0" w:space="0" w:color="auto"/>
      </w:divBdr>
    </w:div>
    <w:div w:id="271909234">
      <w:bodyDiv w:val="1"/>
      <w:marLeft w:val="0"/>
      <w:marRight w:val="0"/>
      <w:marTop w:val="0"/>
      <w:marBottom w:val="0"/>
      <w:divBdr>
        <w:top w:val="none" w:sz="0" w:space="0" w:color="auto"/>
        <w:left w:val="none" w:sz="0" w:space="0" w:color="auto"/>
        <w:bottom w:val="none" w:sz="0" w:space="0" w:color="auto"/>
        <w:right w:val="none" w:sz="0" w:space="0" w:color="auto"/>
      </w:divBdr>
    </w:div>
    <w:div w:id="271934962">
      <w:bodyDiv w:val="1"/>
      <w:marLeft w:val="0"/>
      <w:marRight w:val="0"/>
      <w:marTop w:val="0"/>
      <w:marBottom w:val="0"/>
      <w:divBdr>
        <w:top w:val="none" w:sz="0" w:space="0" w:color="auto"/>
        <w:left w:val="none" w:sz="0" w:space="0" w:color="auto"/>
        <w:bottom w:val="none" w:sz="0" w:space="0" w:color="auto"/>
        <w:right w:val="none" w:sz="0" w:space="0" w:color="auto"/>
      </w:divBdr>
    </w:div>
    <w:div w:id="272247074">
      <w:bodyDiv w:val="1"/>
      <w:marLeft w:val="0"/>
      <w:marRight w:val="0"/>
      <w:marTop w:val="0"/>
      <w:marBottom w:val="0"/>
      <w:divBdr>
        <w:top w:val="none" w:sz="0" w:space="0" w:color="auto"/>
        <w:left w:val="none" w:sz="0" w:space="0" w:color="auto"/>
        <w:bottom w:val="none" w:sz="0" w:space="0" w:color="auto"/>
        <w:right w:val="none" w:sz="0" w:space="0" w:color="auto"/>
      </w:divBdr>
    </w:div>
    <w:div w:id="272711586">
      <w:bodyDiv w:val="1"/>
      <w:marLeft w:val="0"/>
      <w:marRight w:val="0"/>
      <w:marTop w:val="0"/>
      <w:marBottom w:val="0"/>
      <w:divBdr>
        <w:top w:val="none" w:sz="0" w:space="0" w:color="auto"/>
        <w:left w:val="none" w:sz="0" w:space="0" w:color="auto"/>
        <w:bottom w:val="none" w:sz="0" w:space="0" w:color="auto"/>
        <w:right w:val="none" w:sz="0" w:space="0" w:color="auto"/>
      </w:divBdr>
    </w:div>
    <w:div w:id="272976154">
      <w:bodyDiv w:val="1"/>
      <w:marLeft w:val="0"/>
      <w:marRight w:val="0"/>
      <w:marTop w:val="0"/>
      <w:marBottom w:val="0"/>
      <w:divBdr>
        <w:top w:val="none" w:sz="0" w:space="0" w:color="auto"/>
        <w:left w:val="none" w:sz="0" w:space="0" w:color="auto"/>
        <w:bottom w:val="none" w:sz="0" w:space="0" w:color="auto"/>
        <w:right w:val="none" w:sz="0" w:space="0" w:color="auto"/>
      </w:divBdr>
    </w:div>
    <w:div w:id="273249310">
      <w:bodyDiv w:val="1"/>
      <w:marLeft w:val="0"/>
      <w:marRight w:val="0"/>
      <w:marTop w:val="0"/>
      <w:marBottom w:val="0"/>
      <w:divBdr>
        <w:top w:val="none" w:sz="0" w:space="0" w:color="auto"/>
        <w:left w:val="none" w:sz="0" w:space="0" w:color="auto"/>
        <w:bottom w:val="none" w:sz="0" w:space="0" w:color="auto"/>
        <w:right w:val="none" w:sz="0" w:space="0" w:color="auto"/>
      </w:divBdr>
    </w:div>
    <w:div w:id="273289356">
      <w:bodyDiv w:val="1"/>
      <w:marLeft w:val="0"/>
      <w:marRight w:val="0"/>
      <w:marTop w:val="0"/>
      <w:marBottom w:val="0"/>
      <w:divBdr>
        <w:top w:val="none" w:sz="0" w:space="0" w:color="auto"/>
        <w:left w:val="none" w:sz="0" w:space="0" w:color="auto"/>
        <w:bottom w:val="none" w:sz="0" w:space="0" w:color="auto"/>
        <w:right w:val="none" w:sz="0" w:space="0" w:color="auto"/>
      </w:divBdr>
    </w:div>
    <w:div w:id="273564025">
      <w:bodyDiv w:val="1"/>
      <w:marLeft w:val="0"/>
      <w:marRight w:val="0"/>
      <w:marTop w:val="0"/>
      <w:marBottom w:val="0"/>
      <w:divBdr>
        <w:top w:val="none" w:sz="0" w:space="0" w:color="auto"/>
        <w:left w:val="none" w:sz="0" w:space="0" w:color="auto"/>
        <w:bottom w:val="none" w:sz="0" w:space="0" w:color="auto"/>
        <w:right w:val="none" w:sz="0" w:space="0" w:color="auto"/>
      </w:divBdr>
    </w:div>
    <w:div w:id="273906373">
      <w:bodyDiv w:val="1"/>
      <w:marLeft w:val="0"/>
      <w:marRight w:val="0"/>
      <w:marTop w:val="0"/>
      <w:marBottom w:val="0"/>
      <w:divBdr>
        <w:top w:val="none" w:sz="0" w:space="0" w:color="auto"/>
        <w:left w:val="none" w:sz="0" w:space="0" w:color="auto"/>
        <w:bottom w:val="none" w:sz="0" w:space="0" w:color="auto"/>
        <w:right w:val="none" w:sz="0" w:space="0" w:color="auto"/>
      </w:divBdr>
    </w:div>
    <w:div w:id="273951051">
      <w:bodyDiv w:val="1"/>
      <w:marLeft w:val="0"/>
      <w:marRight w:val="0"/>
      <w:marTop w:val="0"/>
      <w:marBottom w:val="0"/>
      <w:divBdr>
        <w:top w:val="none" w:sz="0" w:space="0" w:color="auto"/>
        <w:left w:val="none" w:sz="0" w:space="0" w:color="auto"/>
        <w:bottom w:val="none" w:sz="0" w:space="0" w:color="auto"/>
        <w:right w:val="none" w:sz="0" w:space="0" w:color="auto"/>
      </w:divBdr>
    </w:div>
    <w:div w:id="274143903">
      <w:bodyDiv w:val="1"/>
      <w:marLeft w:val="0"/>
      <w:marRight w:val="0"/>
      <w:marTop w:val="0"/>
      <w:marBottom w:val="0"/>
      <w:divBdr>
        <w:top w:val="none" w:sz="0" w:space="0" w:color="auto"/>
        <w:left w:val="none" w:sz="0" w:space="0" w:color="auto"/>
        <w:bottom w:val="none" w:sz="0" w:space="0" w:color="auto"/>
        <w:right w:val="none" w:sz="0" w:space="0" w:color="auto"/>
      </w:divBdr>
    </w:div>
    <w:div w:id="274405786">
      <w:bodyDiv w:val="1"/>
      <w:marLeft w:val="0"/>
      <w:marRight w:val="0"/>
      <w:marTop w:val="0"/>
      <w:marBottom w:val="0"/>
      <w:divBdr>
        <w:top w:val="none" w:sz="0" w:space="0" w:color="auto"/>
        <w:left w:val="none" w:sz="0" w:space="0" w:color="auto"/>
        <w:bottom w:val="none" w:sz="0" w:space="0" w:color="auto"/>
        <w:right w:val="none" w:sz="0" w:space="0" w:color="auto"/>
      </w:divBdr>
    </w:div>
    <w:div w:id="274873931">
      <w:bodyDiv w:val="1"/>
      <w:marLeft w:val="0"/>
      <w:marRight w:val="0"/>
      <w:marTop w:val="0"/>
      <w:marBottom w:val="0"/>
      <w:divBdr>
        <w:top w:val="none" w:sz="0" w:space="0" w:color="auto"/>
        <w:left w:val="none" w:sz="0" w:space="0" w:color="auto"/>
        <w:bottom w:val="none" w:sz="0" w:space="0" w:color="auto"/>
        <w:right w:val="none" w:sz="0" w:space="0" w:color="auto"/>
      </w:divBdr>
    </w:div>
    <w:div w:id="274948683">
      <w:bodyDiv w:val="1"/>
      <w:marLeft w:val="0"/>
      <w:marRight w:val="0"/>
      <w:marTop w:val="0"/>
      <w:marBottom w:val="0"/>
      <w:divBdr>
        <w:top w:val="none" w:sz="0" w:space="0" w:color="auto"/>
        <w:left w:val="none" w:sz="0" w:space="0" w:color="auto"/>
        <w:bottom w:val="none" w:sz="0" w:space="0" w:color="auto"/>
        <w:right w:val="none" w:sz="0" w:space="0" w:color="auto"/>
      </w:divBdr>
    </w:div>
    <w:div w:id="275066661">
      <w:bodyDiv w:val="1"/>
      <w:marLeft w:val="0"/>
      <w:marRight w:val="0"/>
      <w:marTop w:val="0"/>
      <w:marBottom w:val="0"/>
      <w:divBdr>
        <w:top w:val="none" w:sz="0" w:space="0" w:color="auto"/>
        <w:left w:val="none" w:sz="0" w:space="0" w:color="auto"/>
        <w:bottom w:val="none" w:sz="0" w:space="0" w:color="auto"/>
        <w:right w:val="none" w:sz="0" w:space="0" w:color="auto"/>
      </w:divBdr>
    </w:div>
    <w:div w:id="275260989">
      <w:bodyDiv w:val="1"/>
      <w:marLeft w:val="0"/>
      <w:marRight w:val="0"/>
      <w:marTop w:val="0"/>
      <w:marBottom w:val="0"/>
      <w:divBdr>
        <w:top w:val="none" w:sz="0" w:space="0" w:color="auto"/>
        <w:left w:val="none" w:sz="0" w:space="0" w:color="auto"/>
        <w:bottom w:val="none" w:sz="0" w:space="0" w:color="auto"/>
        <w:right w:val="none" w:sz="0" w:space="0" w:color="auto"/>
      </w:divBdr>
    </w:div>
    <w:div w:id="275793247">
      <w:bodyDiv w:val="1"/>
      <w:marLeft w:val="0"/>
      <w:marRight w:val="0"/>
      <w:marTop w:val="0"/>
      <w:marBottom w:val="0"/>
      <w:divBdr>
        <w:top w:val="none" w:sz="0" w:space="0" w:color="auto"/>
        <w:left w:val="none" w:sz="0" w:space="0" w:color="auto"/>
        <w:bottom w:val="none" w:sz="0" w:space="0" w:color="auto"/>
        <w:right w:val="none" w:sz="0" w:space="0" w:color="auto"/>
      </w:divBdr>
    </w:div>
    <w:div w:id="276566288">
      <w:bodyDiv w:val="1"/>
      <w:marLeft w:val="0"/>
      <w:marRight w:val="0"/>
      <w:marTop w:val="0"/>
      <w:marBottom w:val="0"/>
      <w:divBdr>
        <w:top w:val="none" w:sz="0" w:space="0" w:color="auto"/>
        <w:left w:val="none" w:sz="0" w:space="0" w:color="auto"/>
        <w:bottom w:val="none" w:sz="0" w:space="0" w:color="auto"/>
        <w:right w:val="none" w:sz="0" w:space="0" w:color="auto"/>
      </w:divBdr>
    </w:div>
    <w:div w:id="277025555">
      <w:bodyDiv w:val="1"/>
      <w:marLeft w:val="0"/>
      <w:marRight w:val="0"/>
      <w:marTop w:val="0"/>
      <w:marBottom w:val="0"/>
      <w:divBdr>
        <w:top w:val="none" w:sz="0" w:space="0" w:color="auto"/>
        <w:left w:val="none" w:sz="0" w:space="0" w:color="auto"/>
        <w:bottom w:val="none" w:sz="0" w:space="0" w:color="auto"/>
        <w:right w:val="none" w:sz="0" w:space="0" w:color="auto"/>
      </w:divBdr>
    </w:div>
    <w:div w:id="277109137">
      <w:bodyDiv w:val="1"/>
      <w:marLeft w:val="0"/>
      <w:marRight w:val="0"/>
      <w:marTop w:val="0"/>
      <w:marBottom w:val="0"/>
      <w:divBdr>
        <w:top w:val="none" w:sz="0" w:space="0" w:color="auto"/>
        <w:left w:val="none" w:sz="0" w:space="0" w:color="auto"/>
        <w:bottom w:val="none" w:sz="0" w:space="0" w:color="auto"/>
        <w:right w:val="none" w:sz="0" w:space="0" w:color="auto"/>
      </w:divBdr>
    </w:div>
    <w:div w:id="277687598">
      <w:bodyDiv w:val="1"/>
      <w:marLeft w:val="0"/>
      <w:marRight w:val="0"/>
      <w:marTop w:val="0"/>
      <w:marBottom w:val="0"/>
      <w:divBdr>
        <w:top w:val="none" w:sz="0" w:space="0" w:color="auto"/>
        <w:left w:val="none" w:sz="0" w:space="0" w:color="auto"/>
        <w:bottom w:val="none" w:sz="0" w:space="0" w:color="auto"/>
        <w:right w:val="none" w:sz="0" w:space="0" w:color="auto"/>
      </w:divBdr>
    </w:div>
    <w:div w:id="277949512">
      <w:bodyDiv w:val="1"/>
      <w:marLeft w:val="0"/>
      <w:marRight w:val="0"/>
      <w:marTop w:val="0"/>
      <w:marBottom w:val="0"/>
      <w:divBdr>
        <w:top w:val="none" w:sz="0" w:space="0" w:color="auto"/>
        <w:left w:val="none" w:sz="0" w:space="0" w:color="auto"/>
        <w:bottom w:val="none" w:sz="0" w:space="0" w:color="auto"/>
        <w:right w:val="none" w:sz="0" w:space="0" w:color="auto"/>
      </w:divBdr>
    </w:div>
    <w:div w:id="278149389">
      <w:bodyDiv w:val="1"/>
      <w:marLeft w:val="0"/>
      <w:marRight w:val="0"/>
      <w:marTop w:val="0"/>
      <w:marBottom w:val="0"/>
      <w:divBdr>
        <w:top w:val="none" w:sz="0" w:space="0" w:color="auto"/>
        <w:left w:val="none" w:sz="0" w:space="0" w:color="auto"/>
        <w:bottom w:val="none" w:sz="0" w:space="0" w:color="auto"/>
        <w:right w:val="none" w:sz="0" w:space="0" w:color="auto"/>
      </w:divBdr>
    </w:div>
    <w:div w:id="279342262">
      <w:bodyDiv w:val="1"/>
      <w:marLeft w:val="0"/>
      <w:marRight w:val="0"/>
      <w:marTop w:val="0"/>
      <w:marBottom w:val="0"/>
      <w:divBdr>
        <w:top w:val="none" w:sz="0" w:space="0" w:color="auto"/>
        <w:left w:val="none" w:sz="0" w:space="0" w:color="auto"/>
        <w:bottom w:val="none" w:sz="0" w:space="0" w:color="auto"/>
        <w:right w:val="none" w:sz="0" w:space="0" w:color="auto"/>
      </w:divBdr>
    </w:div>
    <w:div w:id="279728747">
      <w:bodyDiv w:val="1"/>
      <w:marLeft w:val="0"/>
      <w:marRight w:val="0"/>
      <w:marTop w:val="0"/>
      <w:marBottom w:val="0"/>
      <w:divBdr>
        <w:top w:val="none" w:sz="0" w:space="0" w:color="auto"/>
        <w:left w:val="none" w:sz="0" w:space="0" w:color="auto"/>
        <w:bottom w:val="none" w:sz="0" w:space="0" w:color="auto"/>
        <w:right w:val="none" w:sz="0" w:space="0" w:color="auto"/>
      </w:divBdr>
    </w:div>
    <w:div w:id="280191253">
      <w:bodyDiv w:val="1"/>
      <w:marLeft w:val="0"/>
      <w:marRight w:val="0"/>
      <w:marTop w:val="0"/>
      <w:marBottom w:val="0"/>
      <w:divBdr>
        <w:top w:val="none" w:sz="0" w:space="0" w:color="auto"/>
        <w:left w:val="none" w:sz="0" w:space="0" w:color="auto"/>
        <w:bottom w:val="none" w:sz="0" w:space="0" w:color="auto"/>
        <w:right w:val="none" w:sz="0" w:space="0" w:color="auto"/>
      </w:divBdr>
    </w:div>
    <w:div w:id="280461107">
      <w:bodyDiv w:val="1"/>
      <w:marLeft w:val="0"/>
      <w:marRight w:val="0"/>
      <w:marTop w:val="0"/>
      <w:marBottom w:val="0"/>
      <w:divBdr>
        <w:top w:val="none" w:sz="0" w:space="0" w:color="auto"/>
        <w:left w:val="none" w:sz="0" w:space="0" w:color="auto"/>
        <w:bottom w:val="none" w:sz="0" w:space="0" w:color="auto"/>
        <w:right w:val="none" w:sz="0" w:space="0" w:color="auto"/>
      </w:divBdr>
    </w:div>
    <w:div w:id="280962202">
      <w:bodyDiv w:val="1"/>
      <w:marLeft w:val="0"/>
      <w:marRight w:val="0"/>
      <w:marTop w:val="0"/>
      <w:marBottom w:val="0"/>
      <w:divBdr>
        <w:top w:val="none" w:sz="0" w:space="0" w:color="auto"/>
        <w:left w:val="none" w:sz="0" w:space="0" w:color="auto"/>
        <w:bottom w:val="none" w:sz="0" w:space="0" w:color="auto"/>
        <w:right w:val="none" w:sz="0" w:space="0" w:color="auto"/>
      </w:divBdr>
    </w:div>
    <w:div w:id="280964453">
      <w:bodyDiv w:val="1"/>
      <w:marLeft w:val="0"/>
      <w:marRight w:val="0"/>
      <w:marTop w:val="0"/>
      <w:marBottom w:val="0"/>
      <w:divBdr>
        <w:top w:val="none" w:sz="0" w:space="0" w:color="auto"/>
        <w:left w:val="none" w:sz="0" w:space="0" w:color="auto"/>
        <w:bottom w:val="none" w:sz="0" w:space="0" w:color="auto"/>
        <w:right w:val="none" w:sz="0" w:space="0" w:color="auto"/>
      </w:divBdr>
    </w:div>
    <w:div w:id="281229632">
      <w:bodyDiv w:val="1"/>
      <w:marLeft w:val="0"/>
      <w:marRight w:val="0"/>
      <w:marTop w:val="0"/>
      <w:marBottom w:val="0"/>
      <w:divBdr>
        <w:top w:val="none" w:sz="0" w:space="0" w:color="auto"/>
        <w:left w:val="none" w:sz="0" w:space="0" w:color="auto"/>
        <w:bottom w:val="none" w:sz="0" w:space="0" w:color="auto"/>
        <w:right w:val="none" w:sz="0" w:space="0" w:color="auto"/>
      </w:divBdr>
    </w:div>
    <w:div w:id="281307100">
      <w:bodyDiv w:val="1"/>
      <w:marLeft w:val="0"/>
      <w:marRight w:val="0"/>
      <w:marTop w:val="0"/>
      <w:marBottom w:val="0"/>
      <w:divBdr>
        <w:top w:val="none" w:sz="0" w:space="0" w:color="auto"/>
        <w:left w:val="none" w:sz="0" w:space="0" w:color="auto"/>
        <w:bottom w:val="none" w:sz="0" w:space="0" w:color="auto"/>
        <w:right w:val="none" w:sz="0" w:space="0" w:color="auto"/>
      </w:divBdr>
    </w:div>
    <w:div w:id="281960144">
      <w:bodyDiv w:val="1"/>
      <w:marLeft w:val="0"/>
      <w:marRight w:val="0"/>
      <w:marTop w:val="0"/>
      <w:marBottom w:val="0"/>
      <w:divBdr>
        <w:top w:val="none" w:sz="0" w:space="0" w:color="auto"/>
        <w:left w:val="none" w:sz="0" w:space="0" w:color="auto"/>
        <w:bottom w:val="none" w:sz="0" w:space="0" w:color="auto"/>
        <w:right w:val="none" w:sz="0" w:space="0" w:color="auto"/>
      </w:divBdr>
    </w:div>
    <w:div w:id="282616292">
      <w:bodyDiv w:val="1"/>
      <w:marLeft w:val="0"/>
      <w:marRight w:val="0"/>
      <w:marTop w:val="0"/>
      <w:marBottom w:val="0"/>
      <w:divBdr>
        <w:top w:val="none" w:sz="0" w:space="0" w:color="auto"/>
        <w:left w:val="none" w:sz="0" w:space="0" w:color="auto"/>
        <w:bottom w:val="none" w:sz="0" w:space="0" w:color="auto"/>
        <w:right w:val="none" w:sz="0" w:space="0" w:color="auto"/>
      </w:divBdr>
    </w:div>
    <w:div w:id="283463464">
      <w:bodyDiv w:val="1"/>
      <w:marLeft w:val="0"/>
      <w:marRight w:val="0"/>
      <w:marTop w:val="0"/>
      <w:marBottom w:val="0"/>
      <w:divBdr>
        <w:top w:val="none" w:sz="0" w:space="0" w:color="auto"/>
        <w:left w:val="none" w:sz="0" w:space="0" w:color="auto"/>
        <w:bottom w:val="none" w:sz="0" w:space="0" w:color="auto"/>
        <w:right w:val="none" w:sz="0" w:space="0" w:color="auto"/>
      </w:divBdr>
    </w:div>
    <w:div w:id="283510768">
      <w:bodyDiv w:val="1"/>
      <w:marLeft w:val="0"/>
      <w:marRight w:val="0"/>
      <w:marTop w:val="0"/>
      <w:marBottom w:val="0"/>
      <w:divBdr>
        <w:top w:val="none" w:sz="0" w:space="0" w:color="auto"/>
        <w:left w:val="none" w:sz="0" w:space="0" w:color="auto"/>
        <w:bottom w:val="none" w:sz="0" w:space="0" w:color="auto"/>
        <w:right w:val="none" w:sz="0" w:space="0" w:color="auto"/>
      </w:divBdr>
    </w:div>
    <w:div w:id="283535824">
      <w:bodyDiv w:val="1"/>
      <w:marLeft w:val="0"/>
      <w:marRight w:val="0"/>
      <w:marTop w:val="0"/>
      <w:marBottom w:val="0"/>
      <w:divBdr>
        <w:top w:val="none" w:sz="0" w:space="0" w:color="auto"/>
        <w:left w:val="none" w:sz="0" w:space="0" w:color="auto"/>
        <w:bottom w:val="none" w:sz="0" w:space="0" w:color="auto"/>
        <w:right w:val="none" w:sz="0" w:space="0" w:color="auto"/>
      </w:divBdr>
    </w:div>
    <w:div w:id="283537031">
      <w:bodyDiv w:val="1"/>
      <w:marLeft w:val="0"/>
      <w:marRight w:val="0"/>
      <w:marTop w:val="0"/>
      <w:marBottom w:val="0"/>
      <w:divBdr>
        <w:top w:val="none" w:sz="0" w:space="0" w:color="auto"/>
        <w:left w:val="none" w:sz="0" w:space="0" w:color="auto"/>
        <w:bottom w:val="none" w:sz="0" w:space="0" w:color="auto"/>
        <w:right w:val="none" w:sz="0" w:space="0" w:color="auto"/>
      </w:divBdr>
    </w:div>
    <w:div w:id="283579164">
      <w:bodyDiv w:val="1"/>
      <w:marLeft w:val="0"/>
      <w:marRight w:val="0"/>
      <w:marTop w:val="0"/>
      <w:marBottom w:val="0"/>
      <w:divBdr>
        <w:top w:val="none" w:sz="0" w:space="0" w:color="auto"/>
        <w:left w:val="none" w:sz="0" w:space="0" w:color="auto"/>
        <w:bottom w:val="none" w:sz="0" w:space="0" w:color="auto"/>
        <w:right w:val="none" w:sz="0" w:space="0" w:color="auto"/>
      </w:divBdr>
    </w:div>
    <w:div w:id="283729257">
      <w:bodyDiv w:val="1"/>
      <w:marLeft w:val="0"/>
      <w:marRight w:val="0"/>
      <w:marTop w:val="0"/>
      <w:marBottom w:val="0"/>
      <w:divBdr>
        <w:top w:val="none" w:sz="0" w:space="0" w:color="auto"/>
        <w:left w:val="none" w:sz="0" w:space="0" w:color="auto"/>
        <w:bottom w:val="none" w:sz="0" w:space="0" w:color="auto"/>
        <w:right w:val="none" w:sz="0" w:space="0" w:color="auto"/>
      </w:divBdr>
    </w:div>
    <w:div w:id="284040853">
      <w:bodyDiv w:val="1"/>
      <w:marLeft w:val="0"/>
      <w:marRight w:val="0"/>
      <w:marTop w:val="0"/>
      <w:marBottom w:val="0"/>
      <w:divBdr>
        <w:top w:val="none" w:sz="0" w:space="0" w:color="auto"/>
        <w:left w:val="none" w:sz="0" w:space="0" w:color="auto"/>
        <w:bottom w:val="none" w:sz="0" w:space="0" w:color="auto"/>
        <w:right w:val="none" w:sz="0" w:space="0" w:color="auto"/>
      </w:divBdr>
    </w:div>
    <w:div w:id="284696666">
      <w:bodyDiv w:val="1"/>
      <w:marLeft w:val="0"/>
      <w:marRight w:val="0"/>
      <w:marTop w:val="0"/>
      <w:marBottom w:val="0"/>
      <w:divBdr>
        <w:top w:val="none" w:sz="0" w:space="0" w:color="auto"/>
        <w:left w:val="none" w:sz="0" w:space="0" w:color="auto"/>
        <w:bottom w:val="none" w:sz="0" w:space="0" w:color="auto"/>
        <w:right w:val="none" w:sz="0" w:space="0" w:color="auto"/>
      </w:divBdr>
    </w:div>
    <w:div w:id="284821230">
      <w:bodyDiv w:val="1"/>
      <w:marLeft w:val="0"/>
      <w:marRight w:val="0"/>
      <w:marTop w:val="0"/>
      <w:marBottom w:val="0"/>
      <w:divBdr>
        <w:top w:val="none" w:sz="0" w:space="0" w:color="auto"/>
        <w:left w:val="none" w:sz="0" w:space="0" w:color="auto"/>
        <w:bottom w:val="none" w:sz="0" w:space="0" w:color="auto"/>
        <w:right w:val="none" w:sz="0" w:space="0" w:color="auto"/>
      </w:divBdr>
    </w:div>
    <w:div w:id="285937990">
      <w:bodyDiv w:val="1"/>
      <w:marLeft w:val="0"/>
      <w:marRight w:val="0"/>
      <w:marTop w:val="0"/>
      <w:marBottom w:val="0"/>
      <w:divBdr>
        <w:top w:val="none" w:sz="0" w:space="0" w:color="auto"/>
        <w:left w:val="none" w:sz="0" w:space="0" w:color="auto"/>
        <w:bottom w:val="none" w:sz="0" w:space="0" w:color="auto"/>
        <w:right w:val="none" w:sz="0" w:space="0" w:color="auto"/>
      </w:divBdr>
    </w:div>
    <w:div w:id="286087463">
      <w:bodyDiv w:val="1"/>
      <w:marLeft w:val="0"/>
      <w:marRight w:val="0"/>
      <w:marTop w:val="0"/>
      <w:marBottom w:val="0"/>
      <w:divBdr>
        <w:top w:val="none" w:sz="0" w:space="0" w:color="auto"/>
        <w:left w:val="none" w:sz="0" w:space="0" w:color="auto"/>
        <w:bottom w:val="none" w:sz="0" w:space="0" w:color="auto"/>
        <w:right w:val="none" w:sz="0" w:space="0" w:color="auto"/>
      </w:divBdr>
    </w:div>
    <w:div w:id="286395039">
      <w:bodyDiv w:val="1"/>
      <w:marLeft w:val="0"/>
      <w:marRight w:val="0"/>
      <w:marTop w:val="0"/>
      <w:marBottom w:val="0"/>
      <w:divBdr>
        <w:top w:val="none" w:sz="0" w:space="0" w:color="auto"/>
        <w:left w:val="none" w:sz="0" w:space="0" w:color="auto"/>
        <w:bottom w:val="none" w:sz="0" w:space="0" w:color="auto"/>
        <w:right w:val="none" w:sz="0" w:space="0" w:color="auto"/>
      </w:divBdr>
    </w:div>
    <w:div w:id="286550186">
      <w:bodyDiv w:val="1"/>
      <w:marLeft w:val="0"/>
      <w:marRight w:val="0"/>
      <w:marTop w:val="0"/>
      <w:marBottom w:val="0"/>
      <w:divBdr>
        <w:top w:val="none" w:sz="0" w:space="0" w:color="auto"/>
        <w:left w:val="none" w:sz="0" w:space="0" w:color="auto"/>
        <w:bottom w:val="none" w:sz="0" w:space="0" w:color="auto"/>
        <w:right w:val="none" w:sz="0" w:space="0" w:color="auto"/>
      </w:divBdr>
    </w:div>
    <w:div w:id="286593369">
      <w:bodyDiv w:val="1"/>
      <w:marLeft w:val="0"/>
      <w:marRight w:val="0"/>
      <w:marTop w:val="0"/>
      <w:marBottom w:val="0"/>
      <w:divBdr>
        <w:top w:val="none" w:sz="0" w:space="0" w:color="auto"/>
        <w:left w:val="none" w:sz="0" w:space="0" w:color="auto"/>
        <w:bottom w:val="none" w:sz="0" w:space="0" w:color="auto"/>
        <w:right w:val="none" w:sz="0" w:space="0" w:color="auto"/>
      </w:divBdr>
    </w:div>
    <w:div w:id="286739896">
      <w:bodyDiv w:val="1"/>
      <w:marLeft w:val="0"/>
      <w:marRight w:val="0"/>
      <w:marTop w:val="0"/>
      <w:marBottom w:val="0"/>
      <w:divBdr>
        <w:top w:val="none" w:sz="0" w:space="0" w:color="auto"/>
        <w:left w:val="none" w:sz="0" w:space="0" w:color="auto"/>
        <w:bottom w:val="none" w:sz="0" w:space="0" w:color="auto"/>
        <w:right w:val="none" w:sz="0" w:space="0" w:color="auto"/>
      </w:divBdr>
    </w:div>
    <w:div w:id="286859728">
      <w:bodyDiv w:val="1"/>
      <w:marLeft w:val="0"/>
      <w:marRight w:val="0"/>
      <w:marTop w:val="0"/>
      <w:marBottom w:val="0"/>
      <w:divBdr>
        <w:top w:val="none" w:sz="0" w:space="0" w:color="auto"/>
        <w:left w:val="none" w:sz="0" w:space="0" w:color="auto"/>
        <w:bottom w:val="none" w:sz="0" w:space="0" w:color="auto"/>
        <w:right w:val="none" w:sz="0" w:space="0" w:color="auto"/>
      </w:divBdr>
    </w:div>
    <w:div w:id="287132085">
      <w:bodyDiv w:val="1"/>
      <w:marLeft w:val="0"/>
      <w:marRight w:val="0"/>
      <w:marTop w:val="0"/>
      <w:marBottom w:val="0"/>
      <w:divBdr>
        <w:top w:val="none" w:sz="0" w:space="0" w:color="auto"/>
        <w:left w:val="none" w:sz="0" w:space="0" w:color="auto"/>
        <w:bottom w:val="none" w:sz="0" w:space="0" w:color="auto"/>
        <w:right w:val="none" w:sz="0" w:space="0" w:color="auto"/>
      </w:divBdr>
    </w:div>
    <w:div w:id="287397663">
      <w:bodyDiv w:val="1"/>
      <w:marLeft w:val="0"/>
      <w:marRight w:val="0"/>
      <w:marTop w:val="0"/>
      <w:marBottom w:val="0"/>
      <w:divBdr>
        <w:top w:val="none" w:sz="0" w:space="0" w:color="auto"/>
        <w:left w:val="none" w:sz="0" w:space="0" w:color="auto"/>
        <w:bottom w:val="none" w:sz="0" w:space="0" w:color="auto"/>
        <w:right w:val="none" w:sz="0" w:space="0" w:color="auto"/>
      </w:divBdr>
    </w:div>
    <w:div w:id="287594269">
      <w:bodyDiv w:val="1"/>
      <w:marLeft w:val="0"/>
      <w:marRight w:val="0"/>
      <w:marTop w:val="0"/>
      <w:marBottom w:val="0"/>
      <w:divBdr>
        <w:top w:val="none" w:sz="0" w:space="0" w:color="auto"/>
        <w:left w:val="none" w:sz="0" w:space="0" w:color="auto"/>
        <w:bottom w:val="none" w:sz="0" w:space="0" w:color="auto"/>
        <w:right w:val="none" w:sz="0" w:space="0" w:color="auto"/>
      </w:divBdr>
    </w:div>
    <w:div w:id="287857791">
      <w:bodyDiv w:val="1"/>
      <w:marLeft w:val="0"/>
      <w:marRight w:val="0"/>
      <w:marTop w:val="0"/>
      <w:marBottom w:val="0"/>
      <w:divBdr>
        <w:top w:val="none" w:sz="0" w:space="0" w:color="auto"/>
        <w:left w:val="none" w:sz="0" w:space="0" w:color="auto"/>
        <w:bottom w:val="none" w:sz="0" w:space="0" w:color="auto"/>
        <w:right w:val="none" w:sz="0" w:space="0" w:color="auto"/>
      </w:divBdr>
    </w:div>
    <w:div w:id="289167435">
      <w:bodyDiv w:val="1"/>
      <w:marLeft w:val="0"/>
      <w:marRight w:val="0"/>
      <w:marTop w:val="0"/>
      <w:marBottom w:val="0"/>
      <w:divBdr>
        <w:top w:val="none" w:sz="0" w:space="0" w:color="auto"/>
        <w:left w:val="none" w:sz="0" w:space="0" w:color="auto"/>
        <w:bottom w:val="none" w:sz="0" w:space="0" w:color="auto"/>
        <w:right w:val="none" w:sz="0" w:space="0" w:color="auto"/>
      </w:divBdr>
    </w:div>
    <w:div w:id="289364081">
      <w:bodyDiv w:val="1"/>
      <w:marLeft w:val="0"/>
      <w:marRight w:val="0"/>
      <w:marTop w:val="0"/>
      <w:marBottom w:val="0"/>
      <w:divBdr>
        <w:top w:val="none" w:sz="0" w:space="0" w:color="auto"/>
        <w:left w:val="none" w:sz="0" w:space="0" w:color="auto"/>
        <w:bottom w:val="none" w:sz="0" w:space="0" w:color="auto"/>
        <w:right w:val="none" w:sz="0" w:space="0" w:color="auto"/>
      </w:divBdr>
    </w:div>
    <w:div w:id="289484495">
      <w:bodyDiv w:val="1"/>
      <w:marLeft w:val="0"/>
      <w:marRight w:val="0"/>
      <w:marTop w:val="0"/>
      <w:marBottom w:val="0"/>
      <w:divBdr>
        <w:top w:val="none" w:sz="0" w:space="0" w:color="auto"/>
        <w:left w:val="none" w:sz="0" w:space="0" w:color="auto"/>
        <w:bottom w:val="none" w:sz="0" w:space="0" w:color="auto"/>
        <w:right w:val="none" w:sz="0" w:space="0" w:color="auto"/>
      </w:divBdr>
    </w:div>
    <w:div w:id="289674974">
      <w:bodyDiv w:val="1"/>
      <w:marLeft w:val="0"/>
      <w:marRight w:val="0"/>
      <w:marTop w:val="0"/>
      <w:marBottom w:val="0"/>
      <w:divBdr>
        <w:top w:val="none" w:sz="0" w:space="0" w:color="auto"/>
        <w:left w:val="none" w:sz="0" w:space="0" w:color="auto"/>
        <w:bottom w:val="none" w:sz="0" w:space="0" w:color="auto"/>
        <w:right w:val="none" w:sz="0" w:space="0" w:color="auto"/>
      </w:divBdr>
    </w:div>
    <w:div w:id="289749628">
      <w:bodyDiv w:val="1"/>
      <w:marLeft w:val="0"/>
      <w:marRight w:val="0"/>
      <w:marTop w:val="0"/>
      <w:marBottom w:val="0"/>
      <w:divBdr>
        <w:top w:val="none" w:sz="0" w:space="0" w:color="auto"/>
        <w:left w:val="none" w:sz="0" w:space="0" w:color="auto"/>
        <w:bottom w:val="none" w:sz="0" w:space="0" w:color="auto"/>
        <w:right w:val="none" w:sz="0" w:space="0" w:color="auto"/>
      </w:divBdr>
    </w:div>
    <w:div w:id="290020548">
      <w:bodyDiv w:val="1"/>
      <w:marLeft w:val="0"/>
      <w:marRight w:val="0"/>
      <w:marTop w:val="0"/>
      <w:marBottom w:val="0"/>
      <w:divBdr>
        <w:top w:val="none" w:sz="0" w:space="0" w:color="auto"/>
        <w:left w:val="none" w:sz="0" w:space="0" w:color="auto"/>
        <w:bottom w:val="none" w:sz="0" w:space="0" w:color="auto"/>
        <w:right w:val="none" w:sz="0" w:space="0" w:color="auto"/>
      </w:divBdr>
    </w:div>
    <w:div w:id="290403213">
      <w:bodyDiv w:val="1"/>
      <w:marLeft w:val="0"/>
      <w:marRight w:val="0"/>
      <w:marTop w:val="0"/>
      <w:marBottom w:val="0"/>
      <w:divBdr>
        <w:top w:val="none" w:sz="0" w:space="0" w:color="auto"/>
        <w:left w:val="none" w:sz="0" w:space="0" w:color="auto"/>
        <w:bottom w:val="none" w:sz="0" w:space="0" w:color="auto"/>
        <w:right w:val="none" w:sz="0" w:space="0" w:color="auto"/>
      </w:divBdr>
    </w:div>
    <w:div w:id="290522371">
      <w:bodyDiv w:val="1"/>
      <w:marLeft w:val="0"/>
      <w:marRight w:val="0"/>
      <w:marTop w:val="0"/>
      <w:marBottom w:val="0"/>
      <w:divBdr>
        <w:top w:val="none" w:sz="0" w:space="0" w:color="auto"/>
        <w:left w:val="none" w:sz="0" w:space="0" w:color="auto"/>
        <w:bottom w:val="none" w:sz="0" w:space="0" w:color="auto"/>
        <w:right w:val="none" w:sz="0" w:space="0" w:color="auto"/>
      </w:divBdr>
    </w:div>
    <w:div w:id="290595349">
      <w:bodyDiv w:val="1"/>
      <w:marLeft w:val="0"/>
      <w:marRight w:val="0"/>
      <w:marTop w:val="0"/>
      <w:marBottom w:val="0"/>
      <w:divBdr>
        <w:top w:val="none" w:sz="0" w:space="0" w:color="auto"/>
        <w:left w:val="none" w:sz="0" w:space="0" w:color="auto"/>
        <w:bottom w:val="none" w:sz="0" w:space="0" w:color="auto"/>
        <w:right w:val="none" w:sz="0" w:space="0" w:color="auto"/>
      </w:divBdr>
    </w:div>
    <w:div w:id="290676046">
      <w:bodyDiv w:val="1"/>
      <w:marLeft w:val="0"/>
      <w:marRight w:val="0"/>
      <w:marTop w:val="0"/>
      <w:marBottom w:val="0"/>
      <w:divBdr>
        <w:top w:val="none" w:sz="0" w:space="0" w:color="auto"/>
        <w:left w:val="none" w:sz="0" w:space="0" w:color="auto"/>
        <w:bottom w:val="none" w:sz="0" w:space="0" w:color="auto"/>
        <w:right w:val="none" w:sz="0" w:space="0" w:color="auto"/>
      </w:divBdr>
    </w:div>
    <w:div w:id="291448923">
      <w:bodyDiv w:val="1"/>
      <w:marLeft w:val="0"/>
      <w:marRight w:val="0"/>
      <w:marTop w:val="0"/>
      <w:marBottom w:val="0"/>
      <w:divBdr>
        <w:top w:val="none" w:sz="0" w:space="0" w:color="auto"/>
        <w:left w:val="none" w:sz="0" w:space="0" w:color="auto"/>
        <w:bottom w:val="none" w:sz="0" w:space="0" w:color="auto"/>
        <w:right w:val="none" w:sz="0" w:space="0" w:color="auto"/>
      </w:divBdr>
    </w:div>
    <w:div w:id="291787666">
      <w:bodyDiv w:val="1"/>
      <w:marLeft w:val="0"/>
      <w:marRight w:val="0"/>
      <w:marTop w:val="0"/>
      <w:marBottom w:val="0"/>
      <w:divBdr>
        <w:top w:val="none" w:sz="0" w:space="0" w:color="auto"/>
        <w:left w:val="none" w:sz="0" w:space="0" w:color="auto"/>
        <w:bottom w:val="none" w:sz="0" w:space="0" w:color="auto"/>
        <w:right w:val="none" w:sz="0" w:space="0" w:color="auto"/>
      </w:divBdr>
    </w:div>
    <w:div w:id="291864319">
      <w:bodyDiv w:val="1"/>
      <w:marLeft w:val="0"/>
      <w:marRight w:val="0"/>
      <w:marTop w:val="0"/>
      <w:marBottom w:val="0"/>
      <w:divBdr>
        <w:top w:val="none" w:sz="0" w:space="0" w:color="auto"/>
        <w:left w:val="none" w:sz="0" w:space="0" w:color="auto"/>
        <w:bottom w:val="none" w:sz="0" w:space="0" w:color="auto"/>
        <w:right w:val="none" w:sz="0" w:space="0" w:color="auto"/>
      </w:divBdr>
    </w:div>
    <w:div w:id="291910585">
      <w:bodyDiv w:val="1"/>
      <w:marLeft w:val="0"/>
      <w:marRight w:val="0"/>
      <w:marTop w:val="0"/>
      <w:marBottom w:val="0"/>
      <w:divBdr>
        <w:top w:val="none" w:sz="0" w:space="0" w:color="auto"/>
        <w:left w:val="none" w:sz="0" w:space="0" w:color="auto"/>
        <w:bottom w:val="none" w:sz="0" w:space="0" w:color="auto"/>
        <w:right w:val="none" w:sz="0" w:space="0" w:color="auto"/>
      </w:divBdr>
    </w:div>
    <w:div w:id="292175066">
      <w:bodyDiv w:val="1"/>
      <w:marLeft w:val="0"/>
      <w:marRight w:val="0"/>
      <w:marTop w:val="0"/>
      <w:marBottom w:val="0"/>
      <w:divBdr>
        <w:top w:val="none" w:sz="0" w:space="0" w:color="auto"/>
        <w:left w:val="none" w:sz="0" w:space="0" w:color="auto"/>
        <w:bottom w:val="none" w:sz="0" w:space="0" w:color="auto"/>
        <w:right w:val="none" w:sz="0" w:space="0" w:color="auto"/>
      </w:divBdr>
    </w:div>
    <w:div w:id="292449360">
      <w:bodyDiv w:val="1"/>
      <w:marLeft w:val="0"/>
      <w:marRight w:val="0"/>
      <w:marTop w:val="0"/>
      <w:marBottom w:val="0"/>
      <w:divBdr>
        <w:top w:val="none" w:sz="0" w:space="0" w:color="auto"/>
        <w:left w:val="none" w:sz="0" w:space="0" w:color="auto"/>
        <w:bottom w:val="none" w:sz="0" w:space="0" w:color="auto"/>
        <w:right w:val="none" w:sz="0" w:space="0" w:color="auto"/>
      </w:divBdr>
    </w:div>
    <w:div w:id="292751654">
      <w:bodyDiv w:val="1"/>
      <w:marLeft w:val="0"/>
      <w:marRight w:val="0"/>
      <w:marTop w:val="0"/>
      <w:marBottom w:val="0"/>
      <w:divBdr>
        <w:top w:val="none" w:sz="0" w:space="0" w:color="auto"/>
        <w:left w:val="none" w:sz="0" w:space="0" w:color="auto"/>
        <w:bottom w:val="none" w:sz="0" w:space="0" w:color="auto"/>
        <w:right w:val="none" w:sz="0" w:space="0" w:color="auto"/>
      </w:divBdr>
    </w:div>
    <w:div w:id="292753228">
      <w:bodyDiv w:val="1"/>
      <w:marLeft w:val="0"/>
      <w:marRight w:val="0"/>
      <w:marTop w:val="0"/>
      <w:marBottom w:val="0"/>
      <w:divBdr>
        <w:top w:val="none" w:sz="0" w:space="0" w:color="auto"/>
        <w:left w:val="none" w:sz="0" w:space="0" w:color="auto"/>
        <w:bottom w:val="none" w:sz="0" w:space="0" w:color="auto"/>
        <w:right w:val="none" w:sz="0" w:space="0" w:color="auto"/>
      </w:divBdr>
    </w:div>
    <w:div w:id="293410030">
      <w:bodyDiv w:val="1"/>
      <w:marLeft w:val="0"/>
      <w:marRight w:val="0"/>
      <w:marTop w:val="0"/>
      <w:marBottom w:val="0"/>
      <w:divBdr>
        <w:top w:val="none" w:sz="0" w:space="0" w:color="auto"/>
        <w:left w:val="none" w:sz="0" w:space="0" w:color="auto"/>
        <w:bottom w:val="none" w:sz="0" w:space="0" w:color="auto"/>
        <w:right w:val="none" w:sz="0" w:space="0" w:color="auto"/>
      </w:divBdr>
    </w:div>
    <w:div w:id="293483472">
      <w:bodyDiv w:val="1"/>
      <w:marLeft w:val="0"/>
      <w:marRight w:val="0"/>
      <w:marTop w:val="0"/>
      <w:marBottom w:val="0"/>
      <w:divBdr>
        <w:top w:val="none" w:sz="0" w:space="0" w:color="auto"/>
        <w:left w:val="none" w:sz="0" w:space="0" w:color="auto"/>
        <w:bottom w:val="none" w:sz="0" w:space="0" w:color="auto"/>
        <w:right w:val="none" w:sz="0" w:space="0" w:color="auto"/>
      </w:divBdr>
    </w:div>
    <w:div w:id="293868895">
      <w:bodyDiv w:val="1"/>
      <w:marLeft w:val="0"/>
      <w:marRight w:val="0"/>
      <w:marTop w:val="0"/>
      <w:marBottom w:val="0"/>
      <w:divBdr>
        <w:top w:val="none" w:sz="0" w:space="0" w:color="auto"/>
        <w:left w:val="none" w:sz="0" w:space="0" w:color="auto"/>
        <w:bottom w:val="none" w:sz="0" w:space="0" w:color="auto"/>
        <w:right w:val="none" w:sz="0" w:space="0" w:color="auto"/>
      </w:divBdr>
    </w:div>
    <w:div w:id="293995298">
      <w:bodyDiv w:val="1"/>
      <w:marLeft w:val="0"/>
      <w:marRight w:val="0"/>
      <w:marTop w:val="0"/>
      <w:marBottom w:val="0"/>
      <w:divBdr>
        <w:top w:val="none" w:sz="0" w:space="0" w:color="auto"/>
        <w:left w:val="none" w:sz="0" w:space="0" w:color="auto"/>
        <w:bottom w:val="none" w:sz="0" w:space="0" w:color="auto"/>
        <w:right w:val="none" w:sz="0" w:space="0" w:color="auto"/>
      </w:divBdr>
    </w:div>
    <w:div w:id="294142878">
      <w:bodyDiv w:val="1"/>
      <w:marLeft w:val="0"/>
      <w:marRight w:val="0"/>
      <w:marTop w:val="0"/>
      <w:marBottom w:val="0"/>
      <w:divBdr>
        <w:top w:val="none" w:sz="0" w:space="0" w:color="auto"/>
        <w:left w:val="none" w:sz="0" w:space="0" w:color="auto"/>
        <w:bottom w:val="none" w:sz="0" w:space="0" w:color="auto"/>
        <w:right w:val="none" w:sz="0" w:space="0" w:color="auto"/>
      </w:divBdr>
    </w:div>
    <w:div w:id="294680554">
      <w:bodyDiv w:val="1"/>
      <w:marLeft w:val="0"/>
      <w:marRight w:val="0"/>
      <w:marTop w:val="0"/>
      <w:marBottom w:val="0"/>
      <w:divBdr>
        <w:top w:val="none" w:sz="0" w:space="0" w:color="auto"/>
        <w:left w:val="none" w:sz="0" w:space="0" w:color="auto"/>
        <w:bottom w:val="none" w:sz="0" w:space="0" w:color="auto"/>
        <w:right w:val="none" w:sz="0" w:space="0" w:color="auto"/>
      </w:divBdr>
    </w:div>
    <w:div w:id="294986342">
      <w:bodyDiv w:val="1"/>
      <w:marLeft w:val="0"/>
      <w:marRight w:val="0"/>
      <w:marTop w:val="0"/>
      <w:marBottom w:val="0"/>
      <w:divBdr>
        <w:top w:val="none" w:sz="0" w:space="0" w:color="auto"/>
        <w:left w:val="none" w:sz="0" w:space="0" w:color="auto"/>
        <w:bottom w:val="none" w:sz="0" w:space="0" w:color="auto"/>
        <w:right w:val="none" w:sz="0" w:space="0" w:color="auto"/>
      </w:divBdr>
    </w:div>
    <w:div w:id="294989014">
      <w:bodyDiv w:val="1"/>
      <w:marLeft w:val="0"/>
      <w:marRight w:val="0"/>
      <w:marTop w:val="0"/>
      <w:marBottom w:val="0"/>
      <w:divBdr>
        <w:top w:val="none" w:sz="0" w:space="0" w:color="auto"/>
        <w:left w:val="none" w:sz="0" w:space="0" w:color="auto"/>
        <w:bottom w:val="none" w:sz="0" w:space="0" w:color="auto"/>
        <w:right w:val="none" w:sz="0" w:space="0" w:color="auto"/>
      </w:divBdr>
    </w:div>
    <w:div w:id="295334686">
      <w:bodyDiv w:val="1"/>
      <w:marLeft w:val="0"/>
      <w:marRight w:val="0"/>
      <w:marTop w:val="0"/>
      <w:marBottom w:val="0"/>
      <w:divBdr>
        <w:top w:val="none" w:sz="0" w:space="0" w:color="auto"/>
        <w:left w:val="none" w:sz="0" w:space="0" w:color="auto"/>
        <w:bottom w:val="none" w:sz="0" w:space="0" w:color="auto"/>
        <w:right w:val="none" w:sz="0" w:space="0" w:color="auto"/>
      </w:divBdr>
    </w:div>
    <w:div w:id="295450778">
      <w:bodyDiv w:val="1"/>
      <w:marLeft w:val="0"/>
      <w:marRight w:val="0"/>
      <w:marTop w:val="0"/>
      <w:marBottom w:val="0"/>
      <w:divBdr>
        <w:top w:val="none" w:sz="0" w:space="0" w:color="auto"/>
        <w:left w:val="none" w:sz="0" w:space="0" w:color="auto"/>
        <w:bottom w:val="none" w:sz="0" w:space="0" w:color="auto"/>
        <w:right w:val="none" w:sz="0" w:space="0" w:color="auto"/>
      </w:divBdr>
    </w:div>
    <w:div w:id="295650905">
      <w:bodyDiv w:val="1"/>
      <w:marLeft w:val="0"/>
      <w:marRight w:val="0"/>
      <w:marTop w:val="0"/>
      <w:marBottom w:val="0"/>
      <w:divBdr>
        <w:top w:val="none" w:sz="0" w:space="0" w:color="auto"/>
        <w:left w:val="none" w:sz="0" w:space="0" w:color="auto"/>
        <w:bottom w:val="none" w:sz="0" w:space="0" w:color="auto"/>
        <w:right w:val="none" w:sz="0" w:space="0" w:color="auto"/>
      </w:divBdr>
    </w:div>
    <w:div w:id="295723777">
      <w:bodyDiv w:val="1"/>
      <w:marLeft w:val="0"/>
      <w:marRight w:val="0"/>
      <w:marTop w:val="0"/>
      <w:marBottom w:val="0"/>
      <w:divBdr>
        <w:top w:val="none" w:sz="0" w:space="0" w:color="auto"/>
        <w:left w:val="none" w:sz="0" w:space="0" w:color="auto"/>
        <w:bottom w:val="none" w:sz="0" w:space="0" w:color="auto"/>
        <w:right w:val="none" w:sz="0" w:space="0" w:color="auto"/>
      </w:divBdr>
    </w:div>
    <w:div w:id="296029527">
      <w:bodyDiv w:val="1"/>
      <w:marLeft w:val="0"/>
      <w:marRight w:val="0"/>
      <w:marTop w:val="0"/>
      <w:marBottom w:val="0"/>
      <w:divBdr>
        <w:top w:val="none" w:sz="0" w:space="0" w:color="auto"/>
        <w:left w:val="none" w:sz="0" w:space="0" w:color="auto"/>
        <w:bottom w:val="none" w:sz="0" w:space="0" w:color="auto"/>
        <w:right w:val="none" w:sz="0" w:space="0" w:color="auto"/>
      </w:divBdr>
    </w:div>
    <w:div w:id="296447989">
      <w:bodyDiv w:val="1"/>
      <w:marLeft w:val="0"/>
      <w:marRight w:val="0"/>
      <w:marTop w:val="0"/>
      <w:marBottom w:val="0"/>
      <w:divBdr>
        <w:top w:val="none" w:sz="0" w:space="0" w:color="auto"/>
        <w:left w:val="none" w:sz="0" w:space="0" w:color="auto"/>
        <w:bottom w:val="none" w:sz="0" w:space="0" w:color="auto"/>
        <w:right w:val="none" w:sz="0" w:space="0" w:color="auto"/>
      </w:divBdr>
    </w:div>
    <w:div w:id="297339255">
      <w:bodyDiv w:val="1"/>
      <w:marLeft w:val="0"/>
      <w:marRight w:val="0"/>
      <w:marTop w:val="0"/>
      <w:marBottom w:val="0"/>
      <w:divBdr>
        <w:top w:val="none" w:sz="0" w:space="0" w:color="auto"/>
        <w:left w:val="none" w:sz="0" w:space="0" w:color="auto"/>
        <w:bottom w:val="none" w:sz="0" w:space="0" w:color="auto"/>
        <w:right w:val="none" w:sz="0" w:space="0" w:color="auto"/>
      </w:divBdr>
    </w:div>
    <w:div w:id="297800598">
      <w:bodyDiv w:val="1"/>
      <w:marLeft w:val="0"/>
      <w:marRight w:val="0"/>
      <w:marTop w:val="0"/>
      <w:marBottom w:val="0"/>
      <w:divBdr>
        <w:top w:val="none" w:sz="0" w:space="0" w:color="auto"/>
        <w:left w:val="none" w:sz="0" w:space="0" w:color="auto"/>
        <w:bottom w:val="none" w:sz="0" w:space="0" w:color="auto"/>
        <w:right w:val="none" w:sz="0" w:space="0" w:color="auto"/>
      </w:divBdr>
    </w:div>
    <w:div w:id="297805973">
      <w:bodyDiv w:val="1"/>
      <w:marLeft w:val="0"/>
      <w:marRight w:val="0"/>
      <w:marTop w:val="0"/>
      <w:marBottom w:val="0"/>
      <w:divBdr>
        <w:top w:val="none" w:sz="0" w:space="0" w:color="auto"/>
        <w:left w:val="none" w:sz="0" w:space="0" w:color="auto"/>
        <w:bottom w:val="none" w:sz="0" w:space="0" w:color="auto"/>
        <w:right w:val="none" w:sz="0" w:space="0" w:color="auto"/>
      </w:divBdr>
    </w:div>
    <w:div w:id="297927769">
      <w:bodyDiv w:val="1"/>
      <w:marLeft w:val="0"/>
      <w:marRight w:val="0"/>
      <w:marTop w:val="0"/>
      <w:marBottom w:val="0"/>
      <w:divBdr>
        <w:top w:val="none" w:sz="0" w:space="0" w:color="auto"/>
        <w:left w:val="none" w:sz="0" w:space="0" w:color="auto"/>
        <w:bottom w:val="none" w:sz="0" w:space="0" w:color="auto"/>
        <w:right w:val="none" w:sz="0" w:space="0" w:color="auto"/>
      </w:divBdr>
    </w:div>
    <w:div w:id="297957902">
      <w:bodyDiv w:val="1"/>
      <w:marLeft w:val="0"/>
      <w:marRight w:val="0"/>
      <w:marTop w:val="0"/>
      <w:marBottom w:val="0"/>
      <w:divBdr>
        <w:top w:val="none" w:sz="0" w:space="0" w:color="auto"/>
        <w:left w:val="none" w:sz="0" w:space="0" w:color="auto"/>
        <w:bottom w:val="none" w:sz="0" w:space="0" w:color="auto"/>
        <w:right w:val="none" w:sz="0" w:space="0" w:color="auto"/>
      </w:divBdr>
    </w:div>
    <w:div w:id="298268316">
      <w:bodyDiv w:val="1"/>
      <w:marLeft w:val="0"/>
      <w:marRight w:val="0"/>
      <w:marTop w:val="0"/>
      <w:marBottom w:val="0"/>
      <w:divBdr>
        <w:top w:val="none" w:sz="0" w:space="0" w:color="auto"/>
        <w:left w:val="none" w:sz="0" w:space="0" w:color="auto"/>
        <w:bottom w:val="none" w:sz="0" w:space="0" w:color="auto"/>
        <w:right w:val="none" w:sz="0" w:space="0" w:color="auto"/>
      </w:divBdr>
    </w:div>
    <w:div w:id="298652170">
      <w:bodyDiv w:val="1"/>
      <w:marLeft w:val="0"/>
      <w:marRight w:val="0"/>
      <w:marTop w:val="0"/>
      <w:marBottom w:val="0"/>
      <w:divBdr>
        <w:top w:val="none" w:sz="0" w:space="0" w:color="auto"/>
        <w:left w:val="none" w:sz="0" w:space="0" w:color="auto"/>
        <w:bottom w:val="none" w:sz="0" w:space="0" w:color="auto"/>
        <w:right w:val="none" w:sz="0" w:space="0" w:color="auto"/>
      </w:divBdr>
    </w:div>
    <w:div w:id="299072163">
      <w:bodyDiv w:val="1"/>
      <w:marLeft w:val="0"/>
      <w:marRight w:val="0"/>
      <w:marTop w:val="0"/>
      <w:marBottom w:val="0"/>
      <w:divBdr>
        <w:top w:val="none" w:sz="0" w:space="0" w:color="auto"/>
        <w:left w:val="none" w:sz="0" w:space="0" w:color="auto"/>
        <w:bottom w:val="none" w:sz="0" w:space="0" w:color="auto"/>
        <w:right w:val="none" w:sz="0" w:space="0" w:color="auto"/>
      </w:divBdr>
    </w:div>
    <w:div w:id="299072234">
      <w:bodyDiv w:val="1"/>
      <w:marLeft w:val="0"/>
      <w:marRight w:val="0"/>
      <w:marTop w:val="0"/>
      <w:marBottom w:val="0"/>
      <w:divBdr>
        <w:top w:val="none" w:sz="0" w:space="0" w:color="auto"/>
        <w:left w:val="none" w:sz="0" w:space="0" w:color="auto"/>
        <w:bottom w:val="none" w:sz="0" w:space="0" w:color="auto"/>
        <w:right w:val="none" w:sz="0" w:space="0" w:color="auto"/>
      </w:divBdr>
    </w:div>
    <w:div w:id="299194734">
      <w:bodyDiv w:val="1"/>
      <w:marLeft w:val="0"/>
      <w:marRight w:val="0"/>
      <w:marTop w:val="0"/>
      <w:marBottom w:val="0"/>
      <w:divBdr>
        <w:top w:val="none" w:sz="0" w:space="0" w:color="auto"/>
        <w:left w:val="none" w:sz="0" w:space="0" w:color="auto"/>
        <w:bottom w:val="none" w:sz="0" w:space="0" w:color="auto"/>
        <w:right w:val="none" w:sz="0" w:space="0" w:color="auto"/>
      </w:divBdr>
    </w:div>
    <w:div w:id="299455097">
      <w:bodyDiv w:val="1"/>
      <w:marLeft w:val="0"/>
      <w:marRight w:val="0"/>
      <w:marTop w:val="0"/>
      <w:marBottom w:val="0"/>
      <w:divBdr>
        <w:top w:val="none" w:sz="0" w:space="0" w:color="auto"/>
        <w:left w:val="none" w:sz="0" w:space="0" w:color="auto"/>
        <w:bottom w:val="none" w:sz="0" w:space="0" w:color="auto"/>
        <w:right w:val="none" w:sz="0" w:space="0" w:color="auto"/>
      </w:divBdr>
    </w:div>
    <w:div w:id="299458857">
      <w:bodyDiv w:val="1"/>
      <w:marLeft w:val="0"/>
      <w:marRight w:val="0"/>
      <w:marTop w:val="0"/>
      <w:marBottom w:val="0"/>
      <w:divBdr>
        <w:top w:val="none" w:sz="0" w:space="0" w:color="auto"/>
        <w:left w:val="none" w:sz="0" w:space="0" w:color="auto"/>
        <w:bottom w:val="none" w:sz="0" w:space="0" w:color="auto"/>
        <w:right w:val="none" w:sz="0" w:space="0" w:color="auto"/>
      </w:divBdr>
    </w:div>
    <w:div w:id="299576779">
      <w:bodyDiv w:val="1"/>
      <w:marLeft w:val="0"/>
      <w:marRight w:val="0"/>
      <w:marTop w:val="0"/>
      <w:marBottom w:val="0"/>
      <w:divBdr>
        <w:top w:val="none" w:sz="0" w:space="0" w:color="auto"/>
        <w:left w:val="none" w:sz="0" w:space="0" w:color="auto"/>
        <w:bottom w:val="none" w:sz="0" w:space="0" w:color="auto"/>
        <w:right w:val="none" w:sz="0" w:space="0" w:color="auto"/>
      </w:divBdr>
    </w:div>
    <w:div w:id="300233641">
      <w:bodyDiv w:val="1"/>
      <w:marLeft w:val="0"/>
      <w:marRight w:val="0"/>
      <w:marTop w:val="0"/>
      <w:marBottom w:val="0"/>
      <w:divBdr>
        <w:top w:val="none" w:sz="0" w:space="0" w:color="auto"/>
        <w:left w:val="none" w:sz="0" w:space="0" w:color="auto"/>
        <w:bottom w:val="none" w:sz="0" w:space="0" w:color="auto"/>
        <w:right w:val="none" w:sz="0" w:space="0" w:color="auto"/>
      </w:divBdr>
    </w:div>
    <w:div w:id="300355737">
      <w:bodyDiv w:val="1"/>
      <w:marLeft w:val="0"/>
      <w:marRight w:val="0"/>
      <w:marTop w:val="0"/>
      <w:marBottom w:val="0"/>
      <w:divBdr>
        <w:top w:val="none" w:sz="0" w:space="0" w:color="auto"/>
        <w:left w:val="none" w:sz="0" w:space="0" w:color="auto"/>
        <w:bottom w:val="none" w:sz="0" w:space="0" w:color="auto"/>
        <w:right w:val="none" w:sz="0" w:space="0" w:color="auto"/>
      </w:divBdr>
    </w:div>
    <w:div w:id="300622924">
      <w:bodyDiv w:val="1"/>
      <w:marLeft w:val="0"/>
      <w:marRight w:val="0"/>
      <w:marTop w:val="0"/>
      <w:marBottom w:val="0"/>
      <w:divBdr>
        <w:top w:val="none" w:sz="0" w:space="0" w:color="auto"/>
        <w:left w:val="none" w:sz="0" w:space="0" w:color="auto"/>
        <w:bottom w:val="none" w:sz="0" w:space="0" w:color="auto"/>
        <w:right w:val="none" w:sz="0" w:space="0" w:color="auto"/>
      </w:divBdr>
    </w:div>
    <w:div w:id="301084836">
      <w:bodyDiv w:val="1"/>
      <w:marLeft w:val="0"/>
      <w:marRight w:val="0"/>
      <w:marTop w:val="0"/>
      <w:marBottom w:val="0"/>
      <w:divBdr>
        <w:top w:val="none" w:sz="0" w:space="0" w:color="auto"/>
        <w:left w:val="none" w:sz="0" w:space="0" w:color="auto"/>
        <w:bottom w:val="none" w:sz="0" w:space="0" w:color="auto"/>
        <w:right w:val="none" w:sz="0" w:space="0" w:color="auto"/>
      </w:divBdr>
    </w:div>
    <w:div w:id="301234443">
      <w:bodyDiv w:val="1"/>
      <w:marLeft w:val="0"/>
      <w:marRight w:val="0"/>
      <w:marTop w:val="0"/>
      <w:marBottom w:val="0"/>
      <w:divBdr>
        <w:top w:val="none" w:sz="0" w:space="0" w:color="auto"/>
        <w:left w:val="none" w:sz="0" w:space="0" w:color="auto"/>
        <w:bottom w:val="none" w:sz="0" w:space="0" w:color="auto"/>
        <w:right w:val="none" w:sz="0" w:space="0" w:color="auto"/>
      </w:divBdr>
    </w:div>
    <w:div w:id="301278890">
      <w:bodyDiv w:val="1"/>
      <w:marLeft w:val="0"/>
      <w:marRight w:val="0"/>
      <w:marTop w:val="0"/>
      <w:marBottom w:val="0"/>
      <w:divBdr>
        <w:top w:val="none" w:sz="0" w:space="0" w:color="auto"/>
        <w:left w:val="none" w:sz="0" w:space="0" w:color="auto"/>
        <w:bottom w:val="none" w:sz="0" w:space="0" w:color="auto"/>
        <w:right w:val="none" w:sz="0" w:space="0" w:color="auto"/>
      </w:divBdr>
    </w:div>
    <w:div w:id="301623295">
      <w:bodyDiv w:val="1"/>
      <w:marLeft w:val="0"/>
      <w:marRight w:val="0"/>
      <w:marTop w:val="0"/>
      <w:marBottom w:val="0"/>
      <w:divBdr>
        <w:top w:val="none" w:sz="0" w:space="0" w:color="auto"/>
        <w:left w:val="none" w:sz="0" w:space="0" w:color="auto"/>
        <w:bottom w:val="none" w:sz="0" w:space="0" w:color="auto"/>
        <w:right w:val="none" w:sz="0" w:space="0" w:color="auto"/>
      </w:divBdr>
    </w:div>
    <w:div w:id="302010562">
      <w:bodyDiv w:val="1"/>
      <w:marLeft w:val="0"/>
      <w:marRight w:val="0"/>
      <w:marTop w:val="0"/>
      <w:marBottom w:val="0"/>
      <w:divBdr>
        <w:top w:val="none" w:sz="0" w:space="0" w:color="auto"/>
        <w:left w:val="none" w:sz="0" w:space="0" w:color="auto"/>
        <w:bottom w:val="none" w:sz="0" w:space="0" w:color="auto"/>
        <w:right w:val="none" w:sz="0" w:space="0" w:color="auto"/>
      </w:divBdr>
    </w:div>
    <w:div w:id="302085825">
      <w:bodyDiv w:val="1"/>
      <w:marLeft w:val="0"/>
      <w:marRight w:val="0"/>
      <w:marTop w:val="0"/>
      <w:marBottom w:val="0"/>
      <w:divBdr>
        <w:top w:val="none" w:sz="0" w:space="0" w:color="auto"/>
        <w:left w:val="none" w:sz="0" w:space="0" w:color="auto"/>
        <w:bottom w:val="none" w:sz="0" w:space="0" w:color="auto"/>
        <w:right w:val="none" w:sz="0" w:space="0" w:color="auto"/>
      </w:divBdr>
    </w:div>
    <w:div w:id="302194090">
      <w:bodyDiv w:val="1"/>
      <w:marLeft w:val="0"/>
      <w:marRight w:val="0"/>
      <w:marTop w:val="0"/>
      <w:marBottom w:val="0"/>
      <w:divBdr>
        <w:top w:val="none" w:sz="0" w:space="0" w:color="auto"/>
        <w:left w:val="none" w:sz="0" w:space="0" w:color="auto"/>
        <w:bottom w:val="none" w:sz="0" w:space="0" w:color="auto"/>
        <w:right w:val="none" w:sz="0" w:space="0" w:color="auto"/>
      </w:divBdr>
    </w:div>
    <w:div w:id="302932021">
      <w:bodyDiv w:val="1"/>
      <w:marLeft w:val="0"/>
      <w:marRight w:val="0"/>
      <w:marTop w:val="0"/>
      <w:marBottom w:val="0"/>
      <w:divBdr>
        <w:top w:val="none" w:sz="0" w:space="0" w:color="auto"/>
        <w:left w:val="none" w:sz="0" w:space="0" w:color="auto"/>
        <w:bottom w:val="none" w:sz="0" w:space="0" w:color="auto"/>
        <w:right w:val="none" w:sz="0" w:space="0" w:color="auto"/>
      </w:divBdr>
    </w:div>
    <w:div w:id="303235984">
      <w:bodyDiv w:val="1"/>
      <w:marLeft w:val="0"/>
      <w:marRight w:val="0"/>
      <w:marTop w:val="0"/>
      <w:marBottom w:val="0"/>
      <w:divBdr>
        <w:top w:val="none" w:sz="0" w:space="0" w:color="auto"/>
        <w:left w:val="none" w:sz="0" w:space="0" w:color="auto"/>
        <w:bottom w:val="none" w:sz="0" w:space="0" w:color="auto"/>
        <w:right w:val="none" w:sz="0" w:space="0" w:color="auto"/>
      </w:divBdr>
    </w:div>
    <w:div w:id="303900950">
      <w:bodyDiv w:val="1"/>
      <w:marLeft w:val="0"/>
      <w:marRight w:val="0"/>
      <w:marTop w:val="0"/>
      <w:marBottom w:val="0"/>
      <w:divBdr>
        <w:top w:val="none" w:sz="0" w:space="0" w:color="auto"/>
        <w:left w:val="none" w:sz="0" w:space="0" w:color="auto"/>
        <w:bottom w:val="none" w:sz="0" w:space="0" w:color="auto"/>
        <w:right w:val="none" w:sz="0" w:space="0" w:color="auto"/>
      </w:divBdr>
    </w:div>
    <w:div w:id="304624098">
      <w:bodyDiv w:val="1"/>
      <w:marLeft w:val="0"/>
      <w:marRight w:val="0"/>
      <w:marTop w:val="0"/>
      <w:marBottom w:val="0"/>
      <w:divBdr>
        <w:top w:val="none" w:sz="0" w:space="0" w:color="auto"/>
        <w:left w:val="none" w:sz="0" w:space="0" w:color="auto"/>
        <w:bottom w:val="none" w:sz="0" w:space="0" w:color="auto"/>
        <w:right w:val="none" w:sz="0" w:space="0" w:color="auto"/>
      </w:divBdr>
    </w:div>
    <w:div w:id="304816898">
      <w:bodyDiv w:val="1"/>
      <w:marLeft w:val="0"/>
      <w:marRight w:val="0"/>
      <w:marTop w:val="0"/>
      <w:marBottom w:val="0"/>
      <w:divBdr>
        <w:top w:val="none" w:sz="0" w:space="0" w:color="auto"/>
        <w:left w:val="none" w:sz="0" w:space="0" w:color="auto"/>
        <w:bottom w:val="none" w:sz="0" w:space="0" w:color="auto"/>
        <w:right w:val="none" w:sz="0" w:space="0" w:color="auto"/>
      </w:divBdr>
    </w:div>
    <w:div w:id="304896192">
      <w:bodyDiv w:val="1"/>
      <w:marLeft w:val="0"/>
      <w:marRight w:val="0"/>
      <w:marTop w:val="0"/>
      <w:marBottom w:val="0"/>
      <w:divBdr>
        <w:top w:val="none" w:sz="0" w:space="0" w:color="auto"/>
        <w:left w:val="none" w:sz="0" w:space="0" w:color="auto"/>
        <w:bottom w:val="none" w:sz="0" w:space="0" w:color="auto"/>
        <w:right w:val="none" w:sz="0" w:space="0" w:color="auto"/>
      </w:divBdr>
    </w:div>
    <w:div w:id="305011765">
      <w:bodyDiv w:val="1"/>
      <w:marLeft w:val="0"/>
      <w:marRight w:val="0"/>
      <w:marTop w:val="0"/>
      <w:marBottom w:val="0"/>
      <w:divBdr>
        <w:top w:val="none" w:sz="0" w:space="0" w:color="auto"/>
        <w:left w:val="none" w:sz="0" w:space="0" w:color="auto"/>
        <w:bottom w:val="none" w:sz="0" w:space="0" w:color="auto"/>
        <w:right w:val="none" w:sz="0" w:space="0" w:color="auto"/>
      </w:divBdr>
    </w:div>
    <w:div w:id="305546665">
      <w:bodyDiv w:val="1"/>
      <w:marLeft w:val="0"/>
      <w:marRight w:val="0"/>
      <w:marTop w:val="0"/>
      <w:marBottom w:val="0"/>
      <w:divBdr>
        <w:top w:val="none" w:sz="0" w:space="0" w:color="auto"/>
        <w:left w:val="none" w:sz="0" w:space="0" w:color="auto"/>
        <w:bottom w:val="none" w:sz="0" w:space="0" w:color="auto"/>
        <w:right w:val="none" w:sz="0" w:space="0" w:color="auto"/>
      </w:divBdr>
    </w:div>
    <w:div w:id="305670250">
      <w:bodyDiv w:val="1"/>
      <w:marLeft w:val="0"/>
      <w:marRight w:val="0"/>
      <w:marTop w:val="0"/>
      <w:marBottom w:val="0"/>
      <w:divBdr>
        <w:top w:val="none" w:sz="0" w:space="0" w:color="auto"/>
        <w:left w:val="none" w:sz="0" w:space="0" w:color="auto"/>
        <w:bottom w:val="none" w:sz="0" w:space="0" w:color="auto"/>
        <w:right w:val="none" w:sz="0" w:space="0" w:color="auto"/>
      </w:divBdr>
    </w:div>
    <w:div w:id="306007895">
      <w:bodyDiv w:val="1"/>
      <w:marLeft w:val="0"/>
      <w:marRight w:val="0"/>
      <w:marTop w:val="0"/>
      <w:marBottom w:val="0"/>
      <w:divBdr>
        <w:top w:val="none" w:sz="0" w:space="0" w:color="auto"/>
        <w:left w:val="none" w:sz="0" w:space="0" w:color="auto"/>
        <w:bottom w:val="none" w:sz="0" w:space="0" w:color="auto"/>
        <w:right w:val="none" w:sz="0" w:space="0" w:color="auto"/>
      </w:divBdr>
    </w:div>
    <w:div w:id="306008001">
      <w:bodyDiv w:val="1"/>
      <w:marLeft w:val="0"/>
      <w:marRight w:val="0"/>
      <w:marTop w:val="0"/>
      <w:marBottom w:val="0"/>
      <w:divBdr>
        <w:top w:val="none" w:sz="0" w:space="0" w:color="auto"/>
        <w:left w:val="none" w:sz="0" w:space="0" w:color="auto"/>
        <w:bottom w:val="none" w:sz="0" w:space="0" w:color="auto"/>
        <w:right w:val="none" w:sz="0" w:space="0" w:color="auto"/>
      </w:divBdr>
    </w:div>
    <w:div w:id="306058340">
      <w:bodyDiv w:val="1"/>
      <w:marLeft w:val="0"/>
      <w:marRight w:val="0"/>
      <w:marTop w:val="0"/>
      <w:marBottom w:val="0"/>
      <w:divBdr>
        <w:top w:val="none" w:sz="0" w:space="0" w:color="auto"/>
        <w:left w:val="none" w:sz="0" w:space="0" w:color="auto"/>
        <w:bottom w:val="none" w:sz="0" w:space="0" w:color="auto"/>
        <w:right w:val="none" w:sz="0" w:space="0" w:color="auto"/>
      </w:divBdr>
    </w:div>
    <w:div w:id="306402993">
      <w:bodyDiv w:val="1"/>
      <w:marLeft w:val="0"/>
      <w:marRight w:val="0"/>
      <w:marTop w:val="0"/>
      <w:marBottom w:val="0"/>
      <w:divBdr>
        <w:top w:val="none" w:sz="0" w:space="0" w:color="auto"/>
        <w:left w:val="none" w:sz="0" w:space="0" w:color="auto"/>
        <w:bottom w:val="none" w:sz="0" w:space="0" w:color="auto"/>
        <w:right w:val="none" w:sz="0" w:space="0" w:color="auto"/>
      </w:divBdr>
    </w:div>
    <w:div w:id="306663048">
      <w:bodyDiv w:val="1"/>
      <w:marLeft w:val="0"/>
      <w:marRight w:val="0"/>
      <w:marTop w:val="0"/>
      <w:marBottom w:val="0"/>
      <w:divBdr>
        <w:top w:val="none" w:sz="0" w:space="0" w:color="auto"/>
        <w:left w:val="none" w:sz="0" w:space="0" w:color="auto"/>
        <w:bottom w:val="none" w:sz="0" w:space="0" w:color="auto"/>
        <w:right w:val="none" w:sz="0" w:space="0" w:color="auto"/>
      </w:divBdr>
    </w:div>
    <w:div w:id="307711427">
      <w:bodyDiv w:val="1"/>
      <w:marLeft w:val="0"/>
      <w:marRight w:val="0"/>
      <w:marTop w:val="0"/>
      <w:marBottom w:val="0"/>
      <w:divBdr>
        <w:top w:val="none" w:sz="0" w:space="0" w:color="auto"/>
        <w:left w:val="none" w:sz="0" w:space="0" w:color="auto"/>
        <w:bottom w:val="none" w:sz="0" w:space="0" w:color="auto"/>
        <w:right w:val="none" w:sz="0" w:space="0" w:color="auto"/>
      </w:divBdr>
    </w:div>
    <w:div w:id="307712742">
      <w:bodyDiv w:val="1"/>
      <w:marLeft w:val="0"/>
      <w:marRight w:val="0"/>
      <w:marTop w:val="0"/>
      <w:marBottom w:val="0"/>
      <w:divBdr>
        <w:top w:val="none" w:sz="0" w:space="0" w:color="auto"/>
        <w:left w:val="none" w:sz="0" w:space="0" w:color="auto"/>
        <w:bottom w:val="none" w:sz="0" w:space="0" w:color="auto"/>
        <w:right w:val="none" w:sz="0" w:space="0" w:color="auto"/>
      </w:divBdr>
    </w:div>
    <w:div w:id="307907350">
      <w:bodyDiv w:val="1"/>
      <w:marLeft w:val="0"/>
      <w:marRight w:val="0"/>
      <w:marTop w:val="0"/>
      <w:marBottom w:val="0"/>
      <w:divBdr>
        <w:top w:val="none" w:sz="0" w:space="0" w:color="auto"/>
        <w:left w:val="none" w:sz="0" w:space="0" w:color="auto"/>
        <w:bottom w:val="none" w:sz="0" w:space="0" w:color="auto"/>
        <w:right w:val="none" w:sz="0" w:space="0" w:color="auto"/>
      </w:divBdr>
    </w:div>
    <w:div w:id="308216271">
      <w:bodyDiv w:val="1"/>
      <w:marLeft w:val="0"/>
      <w:marRight w:val="0"/>
      <w:marTop w:val="0"/>
      <w:marBottom w:val="0"/>
      <w:divBdr>
        <w:top w:val="none" w:sz="0" w:space="0" w:color="auto"/>
        <w:left w:val="none" w:sz="0" w:space="0" w:color="auto"/>
        <w:bottom w:val="none" w:sz="0" w:space="0" w:color="auto"/>
        <w:right w:val="none" w:sz="0" w:space="0" w:color="auto"/>
      </w:divBdr>
    </w:div>
    <w:div w:id="308245669">
      <w:bodyDiv w:val="1"/>
      <w:marLeft w:val="0"/>
      <w:marRight w:val="0"/>
      <w:marTop w:val="0"/>
      <w:marBottom w:val="0"/>
      <w:divBdr>
        <w:top w:val="none" w:sz="0" w:space="0" w:color="auto"/>
        <w:left w:val="none" w:sz="0" w:space="0" w:color="auto"/>
        <w:bottom w:val="none" w:sz="0" w:space="0" w:color="auto"/>
        <w:right w:val="none" w:sz="0" w:space="0" w:color="auto"/>
      </w:divBdr>
    </w:div>
    <w:div w:id="308367938">
      <w:bodyDiv w:val="1"/>
      <w:marLeft w:val="0"/>
      <w:marRight w:val="0"/>
      <w:marTop w:val="0"/>
      <w:marBottom w:val="0"/>
      <w:divBdr>
        <w:top w:val="none" w:sz="0" w:space="0" w:color="auto"/>
        <w:left w:val="none" w:sz="0" w:space="0" w:color="auto"/>
        <w:bottom w:val="none" w:sz="0" w:space="0" w:color="auto"/>
        <w:right w:val="none" w:sz="0" w:space="0" w:color="auto"/>
      </w:divBdr>
    </w:div>
    <w:div w:id="308941055">
      <w:bodyDiv w:val="1"/>
      <w:marLeft w:val="0"/>
      <w:marRight w:val="0"/>
      <w:marTop w:val="0"/>
      <w:marBottom w:val="0"/>
      <w:divBdr>
        <w:top w:val="none" w:sz="0" w:space="0" w:color="auto"/>
        <w:left w:val="none" w:sz="0" w:space="0" w:color="auto"/>
        <w:bottom w:val="none" w:sz="0" w:space="0" w:color="auto"/>
        <w:right w:val="none" w:sz="0" w:space="0" w:color="auto"/>
      </w:divBdr>
    </w:div>
    <w:div w:id="309098877">
      <w:bodyDiv w:val="1"/>
      <w:marLeft w:val="0"/>
      <w:marRight w:val="0"/>
      <w:marTop w:val="0"/>
      <w:marBottom w:val="0"/>
      <w:divBdr>
        <w:top w:val="none" w:sz="0" w:space="0" w:color="auto"/>
        <w:left w:val="none" w:sz="0" w:space="0" w:color="auto"/>
        <w:bottom w:val="none" w:sz="0" w:space="0" w:color="auto"/>
        <w:right w:val="none" w:sz="0" w:space="0" w:color="auto"/>
      </w:divBdr>
    </w:div>
    <w:div w:id="309136418">
      <w:bodyDiv w:val="1"/>
      <w:marLeft w:val="0"/>
      <w:marRight w:val="0"/>
      <w:marTop w:val="0"/>
      <w:marBottom w:val="0"/>
      <w:divBdr>
        <w:top w:val="none" w:sz="0" w:space="0" w:color="auto"/>
        <w:left w:val="none" w:sz="0" w:space="0" w:color="auto"/>
        <w:bottom w:val="none" w:sz="0" w:space="0" w:color="auto"/>
        <w:right w:val="none" w:sz="0" w:space="0" w:color="auto"/>
      </w:divBdr>
    </w:div>
    <w:div w:id="309410031">
      <w:bodyDiv w:val="1"/>
      <w:marLeft w:val="0"/>
      <w:marRight w:val="0"/>
      <w:marTop w:val="0"/>
      <w:marBottom w:val="0"/>
      <w:divBdr>
        <w:top w:val="none" w:sz="0" w:space="0" w:color="auto"/>
        <w:left w:val="none" w:sz="0" w:space="0" w:color="auto"/>
        <w:bottom w:val="none" w:sz="0" w:space="0" w:color="auto"/>
        <w:right w:val="none" w:sz="0" w:space="0" w:color="auto"/>
      </w:divBdr>
    </w:div>
    <w:div w:id="309481227">
      <w:bodyDiv w:val="1"/>
      <w:marLeft w:val="0"/>
      <w:marRight w:val="0"/>
      <w:marTop w:val="0"/>
      <w:marBottom w:val="0"/>
      <w:divBdr>
        <w:top w:val="none" w:sz="0" w:space="0" w:color="auto"/>
        <w:left w:val="none" w:sz="0" w:space="0" w:color="auto"/>
        <w:bottom w:val="none" w:sz="0" w:space="0" w:color="auto"/>
        <w:right w:val="none" w:sz="0" w:space="0" w:color="auto"/>
      </w:divBdr>
    </w:div>
    <w:div w:id="309554269">
      <w:bodyDiv w:val="1"/>
      <w:marLeft w:val="0"/>
      <w:marRight w:val="0"/>
      <w:marTop w:val="0"/>
      <w:marBottom w:val="0"/>
      <w:divBdr>
        <w:top w:val="none" w:sz="0" w:space="0" w:color="auto"/>
        <w:left w:val="none" w:sz="0" w:space="0" w:color="auto"/>
        <w:bottom w:val="none" w:sz="0" w:space="0" w:color="auto"/>
        <w:right w:val="none" w:sz="0" w:space="0" w:color="auto"/>
      </w:divBdr>
    </w:div>
    <w:div w:id="309671335">
      <w:bodyDiv w:val="1"/>
      <w:marLeft w:val="0"/>
      <w:marRight w:val="0"/>
      <w:marTop w:val="0"/>
      <w:marBottom w:val="0"/>
      <w:divBdr>
        <w:top w:val="none" w:sz="0" w:space="0" w:color="auto"/>
        <w:left w:val="none" w:sz="0" w:space="0" w:color="auto"/>
        <w:bottom w:val="none" w:sz="0" w:space="0" w:color="auto"/>
        <w:right w:val="none" w:sz="0" w:space="0" w:color="auto"/>
      </w:divBdr>
    </w:div>
    <w:div w:id="310133740">
      <w:bodyDiv w:val="1"/>
      <w:marLeft w:val="0"/>
      <w:marRight w:val="0"/>
      <w:marTop w:val="0"/>
      <w:marBottom w:val="0"/>
      <w:divBdr>
        <w:top w:val="none" w:sz="0" w:space="0" w:color="auto"/>
        <w:left w:val="none" w:sz="0" w:space="0" w:color="auto"/>
        <w:bottom w:val="none" w:sz="0" w:space="0" w:color="auto"/>
        <w:right w:val="none" w:sz="0" w:space="0" w:color="auto"/>
      </w:divBdr>
    </w:div>
    <w:div w:id="310213540">
      <w:bodyDiv w:val="1"/>
      <w:marLeft w:val="0"/>
      <w:marRight w:val="0"/>
      <w:marTop w:val="0"/>
      <w:marBottom w:val="0"/>
      <w:divBdr>
        <w:top w:val="none" w:sz="0" w:space="0" w:color="auto"/>
        <w:left w:val="none" w:sz="0" w:space="0" w:color="auto"/>
        <w:bottom w:val="none" w:sz="0" w:space="0" w:color="auto"/>
        <w:right w:val="none" w:sz="0" w:space="0" w:color="auto"/>
      </w:divBdr>
    </w:div>
    <w:div w:id="310448851">
      <w:bodyDiv w:val="1"/>
      <w:marLeft w:val="0"/>
      <w:marRight w:val="0"/>
      <w:marTop w:val="0"/>
      <w:marBottom w:val="0"/>
      <w:divBdr>
        <w:top w:val="none" w:sz="0" w:space="0" w:color="auto"/>
        <w:left w:val="none" w:sz="0" w:space="0" w:color="auto"/>
        <w:bottom w:val="none" w:sz="0" w:space="0" w:color="auto"/>
        <w:right w:val="none" w:sz="0" w:space="0" w:color="auto"/>
      </w:divBdr>
    </w:div>
    <w:div w:id="310789578">
      <w:bodyDiv w:val="1"/>
      <w:marLeft w:val="0"/>
      <w:marRight w:val="0"/>
      <w:marTop w:val="0"/>
      <w:marBottom w:val="0"/>
      <w:divBdr>
        <w:top w:val="none" w:sz="0" w:space="0" w:color="auto"/>
        <w:left w:val="none" w:sz="0" w:space="0" w:color="auto"/>
        <w:bottom w:val="none" w:sz="0" w:space="0" w:color="auto"/>
        <w:right w:val="none" w:sz="0" w:space="0" w:color="auto"/>
      </w:divBdr>
    </w:div>
    <w:div w:id="311759295">
      <w:bodyDiv w:val="1"/>
      <w:marLeft w:val="0"/>
      <w:marRight w:val="0"/>
      <w:marTop w:val="0"/>
      <w:marBottom w:val="0"/>
      <w:divBdr>
        <w:top w:val="none" w:sz="0" w:space="0" w:color="auto"/>
        <w:left w:val="none" w:sz="0" w:space="0" w:color="auto"/>
        <w:bottom w:val="none" w:sz="0" w:space="0" w:color="auto"/>
        <w:right w:val="none" w:sz="0" w:space="0" w:color="auto"/>
      </w:divBdr>
    </w:div>
    <w:div w:id="311909922">
      <w:bodyDiv w:val="1"/>
      <w:marLeft w:val="0"/>
      <w:marRight w:val="0"/>
      <w:marTop w:val="0"/>
      <w:marBottom w:val="0"/>
      <w:divBdr>
        <w:top w:val="none" w:sz="0" w:space="0" w:color="auto"/>
        <w:left w:val="none" w:sz="0" w:space="0" w:color="auto"/>
        <w:bottom w:val="none" w:sz="0" w:space="0" w:color="auto"/>
        <w:right w:val="none" w:sz="0" w:space="0" w:color="auto"/>
      </w:divBdr>
    </w:div>
    <w:div w:id="312149765">
      <w:bodyDiv w:val="1"/>
      <w:marLeft w:val="0"/>
      <w:marRight w:val="0"/>
      <w:marTop w:val="0"/>
      <w:marBottom w:val="0"/>
      <w:divBdr>
        <w:top w:val="none" w:sz="0" w:space="0" w:color="auto"/>
        <w:left w:val="none" w:sz="0" w:space="0" w:color="auto"/>
        <w:bottom w:val="none" w:sz="0" w:space="0" w:color="auto"/>
        <w:right w:val="none" w:sz="0" w:space="0" w:color="auto"/>
      </w:divBdr>
    </w:div>
    <w:div w:id="312490752">
      <w:bodyDiv w:val="1"/>
      <w:marLeft w:val="0"/>
      <w:marRight w:val="0"/>
      <w:marTop w:val="0"/>
      <w:marBottom w:val="0"/>
      <w:divBdr>
        <w:top w:val="none" w:sz="0" w:space="0" w:color="auto"/>
        <w:left w:val="none" w:sz="0" w:space="0" w:color="auto"/>
        <w:bottom w:val="none" w:sz="0" w:space="0" w:color="auto"/>
        <w:right w:val="none" w:sz="0" w:space="0" w:color="auto"/>
      </w:divBdr>
    </w:div>
    <w:div w:id="312492533">
      <w:bodyDiv w:val="1"/>
      <w:marLeft w:val="0"/>
      <w:marRight w:val="0"/>
      <w:marTop w:val="0"/>
      <w:marBottom w:val="0"/>
      <w:divBdr>
        <w:top w:val="none" w:sz="0" w:space="0" w:color="auto"/>
        <w:left w:val="none" w:sz="0" w:space="0" w:color="auto"/>
        <w:bottom w:val="none" w:sz="0" w:space="0" w:color="auto"/>
        <w:right w:val="none" w:sz="0" w:space="0" w:color="auto"/>
      </w:divBdr>
    </w:div>
    <w:div w:id="312805020">
      <w:bodyDiv w:val="1"/>
      <w:marLeft w:val="0"/>
      <w:marRight w:val="0"/>
      <w:marTop w:val="0"/>
      <w:marBottom w:val="0"/>
      <w:divBdr>
        <w:top w:val="none" w:sz="0" w:space="0" w:color="auto"/>
        <w:left w:val="none" w:sz="0" w:space="0" w:color="auto"/>
        <w:bottom w:val="none" w:sz="0" w:space="0" w:color="auto"/>
        <w:right w:val="none" w:sz="0" w:space="0" w:color="auto"/>
      </w:divBdr>
    </w:div>
    <w:div w:id="313026826">
      <w:bodyDiv w:val="1"/>
      <w:marLeft w:val="0"/>
      <w:marRight w:val="0"/>
      <w:marTop w:val="0"/>
      <w:marBottom w:val="0"/>
      <w:divBdr>
        <w:top w:val="none" w:sz="0" w:space="0" w:color="auto"/>
        <w:left w:val="none" w:sz="0" w:space="0" w:color="auto"/>
        <w:bottom w:val="none" w:sz="0" w:space="0" w:color="auto"/>
        <w:right w:val="none" w:sz="0" w:space="0" w:color="auto"/>
      </w:divBdr>
    </w:div>
    <w:div w:id="313536299">
      <w:bodyDiv w:val="1"/>
      <w:marLeft w:val="0"/>
      <w:marRight w:val="0"/>
      <w:marTop w:val="0"/>
      <w:marBottom w:val="0"/>
      <w:divBdr>
        <w:top w:val="none" w:sz="0" w:space="0" w:color="auto"/>
        <w:left w:val="none" w:sz="0" w:space="0" w:color="auto"/>
        <w:bottom w:val="none" w:sz="0" w:space="0" w:color="auto"/>
        <w:right w:val="none" w:sz="0" w:space="0" w:color="auto"/>
      </w:divBdr>
    </w:div>
    <w:div w:id="313875284">
      <w:bodyDiv w:val="1"/>
      <w:marLeft w:val="0"/>
      <w:marRight w:val="0"/>
      <w:marTop w:val="0"/>
      <w:marBottom w:val="0"/>
      <w:divBdr>
        <w:top w:val="none" w:sz="0" w:space="0" w:color="auto"/>
        <w:left w:val="none" w:sz="0" w:space="0" w:color="auto"/>
        <w:bottom w:val="none" w:sz="0" w:space="0" w:color="auto"/>
        <w:right w:val="none" w:sz="0" w:space="0" w:color="auto"/>
      </w:divBdr>
    </w:div>
    <w:div w:id="314260007">
      <w:bodyDiv w:val="1"/>
      <w:marLeft w:val="0"/>
      <w:marRight w:val="0"/>
      <w:marTop w:val="0"/>
      <w:marBottom w:val="0"/>
      <w:divBdr>
        <w:top w:val="none" w:sz="0" w:space="0" w:color="auto"/>
        <w:left w:val="none" w:sz="0" w:space="0" w:color="auto"/>
        <w:bottom w:val="none" w:sz="0" w:space="0" w:color="auto"/>
        <w:right w:val="none" w:sz="0" w:space="0" w:color="auto"/>
      </w:divBdr>
    </w:div>
    <w:div w:id="314843276">
      <w:bodyDiv w:val="1"/>
      <w:marLeft w:val="0"/>
      <w:marRight w:val="0"/>
      <w:marTop w:val="0"/>
      <w:marBottom w:val="0"/>
      <w:divBdr>
        <w:top w:val="none" w:sz="0" w:space="0" w:color="auto"/>
        <w:left w:val="none" w:sz="0" w:space="0" w:color="auto"/>
        <w:bottom w:val="none" w:sz="0" w:space="0" w:color="auto"/>
        <w:right w:val="none" w:sz="0" w:space="0" w:color="auto"/>
      </w:divBdr>
    </w:div>
    <w:div w:id="315695499">
      <w:bodyDiv w:val="1"/>
      <w:marLeft w:val="0"/>
      <w:marRight w:val="0"/>
      <w:marTop w:val="0"/>
      <w:marBottom w:val="0"/>
      <w:divBdr>
        <w:top w:val="none" w:sz="0" w:space="0" w:color="auto"/>
        <w:left w:val="none" w:sz="0" w:space="0" w:color="auto"/>
        <w:bottom w:val="none" w:sz="0" w:space="0" w:color="auto"/>
        <w:right w:val="none" w:sz="0" w:space="0" w:color="auto"/>
      </w:divBdr>
    </w:div>
    <w:div w:id="316350414">
      <w:bodyDiv w:val="1"/>
      <w:marLeft w:val="0"/>
      <w:marRight w:val="0"/>
      <w:marTop w:val="0"/>
      <w:marBottom w:val="0"/>
      <w:divBdr>
        <w:top w:val="none" w:sz="0" w:space="0" w:color="auto"/>
        <w:left w:val="none" w:sz="0" w:space="0" w:color="auto"/>
        <w:bottom w:val="none" w:sz="0" w:space="0" w:color="auto"/>
        <w:right w:val="none" w:sz="0" w:space="0" w:color="auto"/>
      </w:divBdr>
    </w:div>
    <w:div w:id="317075742">
      <w:bodyDiv w:val="1"/>
      <w:marLeft w:val="0"/>
      <w:marRight w:val="0"/>
      <w:marTop w:val="0"/>
      <w:marBottom w:val="0"/>
      <w:divBdr>
        <w:top w:val="none" w:sz="0" w:space="0" w:color="auto"/>
        <w:left w:val="none" w:sz="0" w:space="0" w:color="auto"/>
        <w:bottom w:val="none" w:sz="0" w:space="0" w:color="auto"/>
        <w:right w:val="none" w:sz="0" w:space="0" w:color="auto"/>
      </w:divBdr>
    </w:div>
    <w:div w:id="317655820">
      <w:bodyDiv w:val="1"/>
      <w:marLeft w:val="0"/>
      <w:marRight w:val="0"/>
      <w:marTop w:val="0"/>
      <w:marBottom w:val="0"/>
      <w:divBdr>
        <w:top w:val="none" w:sz="0" w:space="0" w:color="auto"/>
        <w:left w:val="none" w:sz="0" w:space="0" w:color="auto"/>
        <w:bottom w:val="none" w:sz="0" w:space="0" w:color="auto"/>
        <w:right w:val="none" w:sz="0" w:space="0" w:color="auto"/>
      </w:divBdr>
    </w:div>
    <w:div w:id="319113890">
      <w:bodyDiv w:val="1"/>
      <w:marLeft w:val="0"/>
      <w:marRight w:val="0"/>
      <w:marTop w:val="0"/>
      <w:marBottom w:val="0"/>
      <w:divBdr>
        <w:top w:val="none" w:sz="0" w:space="0" w:color="auto"/>
        <w:left w:val="none" w:sz="0" w:space="0" w:color="auto"/>
        <w:bottom w:val="none" w:sz="0" w:space="0" w:color="auto"/>
        <w:right w:val="none" w:sz="0" w:space="0" w:color="auto"/>
      </w:divBdr>
    </w:div>
    <w:div w:id="319384156">
      <w:bodyDiv w:val="1"/>
      <w:marLeft w:val="0"/>
      <w:marRight w:val="0"/>
      <w:marTop w:val="0"/>
      <w:marBottom w:val="0"/>
      <w:divBdr>
        <w:top w:val="none" w:sz="0" w:space="0" w:color="auto"/>
        <w:left w:val="none" w:sz="0" w:space="0" w:color="auto"/>
        <w:bottom w:val="none" w:sz="0" w:space="0" w:color="auto"/>
        <w:right w:val="none" w:sz="0" w:space="0" w:color="auto"/>
      </w:divBdr>
    </w:div>
    <w:div w:id="319426758">
      <w:bodyDiv w:val="1"/>
      <w:marLeft w:val="0"/>
      <w:marRight w:val="0"/>
      <w:marTop w:val="0"/>
      <w:marBottom w:val="0"/>
      <w:divBdr>
        <w:top w:val="none" w:sz="0" w:space="0" w:color="auto"/>
        <w:left w:val="none" w:sz="0" w:space="0" w:color="auto"/>
        <w:bottom w:val="none" w:sz="0" w:space="0" w:color="auto"/>
        <w:right w:val="none" w:sz="0" w:space="0" w:color="auto"/>
      </w:divBdr>
    </w:div>
    <w:div w:id="319620195">
      <w:bodyDiv w:val="1"/>
      <w:marLeft w:val="0"/>
      <w:marRight w:val="0"/>
      <w:marTop w:val="0"/>
      <w:marBottom w:val="0"/>
      <w:divBdr>
        <w:top w:val="none" w:sz="0" w:space="0" w:color="auto"/>
        <w:left w:val="none" w:sz="0" w:space="0" w:color="auto"/>
        <w:bottom w:val="none" w:sz="0" w:space="0" w:color="auto"/>
        <w:right w:val="none" w:sz="0" w:space="0" w:color="auto"/>
      </w:divBdr>
    </w:div>
    <w:div w:id="320012600">
      <w:bodyDiv w:val="1"/>
      <w:marLeft w:val="0"/>
      <w:marRight w:val="0"/>
      <w:marTop w:val="0"/>
      <w:marBottom w:val="0"/>
      <w:divBdr>
        <w:top w:val="none" w:sz="0" w:space="0" w:color="auto"/>
        <w:left w:val="none" w:sz="0" w:space="0" w:color="auto"/>
        <w:bottom w:val="none" w:sz="0" w:space="0" w:color="auto"/>
        <w:right w:val="none" w:sz="0" w:space="0" w:color="auto"/>
      </w:divBdr>
    </w:div>
    <w:div w:id="320280798">
      <w:bodyDiv w:val="1"/>
      <w:marLeft w:val="0"/>
      <w:marRight w:val="0"/>
      <w:marTop w:val="0"/>
      <w:marBottom w:val="0"/>
      <w:divBdr>
        <w:top w:val="none" w:sz="0" w:space="0" w:color="auto"/>
        <w:left w:val="none" w:sz="0" w:space="0" w:color="auto"/>
        <w:bottom w:val="none" w:sz="0" w:space="0" w:color="auto"/>
        <w:right w:val="none" w:sz="0" w:space="0" w:color="auto"/>
      </w:divBdr>
    </w:div>
    <w:div w:id="320429935">
      <w:bodyDiv w:val="1"/>
      <w:marLeft w:val="0"/>
      <w:marRight w:val="0"/>
      <w:marTop w:val="0"/>
      <w:marBottom w:val="0"/>
      <w:divBdr>
        <w:top w:val="none" w:sz="0" w:space="0" w:color="auto"/>
        <w:left w:val="none" w:sz="0" w:space="0" w:color="auto"/>
        <w:bottom w:val="none" w:sz="0" w:space="0" w:color="auto"/>
        <w:right w:val="none" w:sz="0" w:space="0" w:color="auto"/>
      </w:divBdr>
    </w:div>
    <w:div w:id="320699108">
      <w:bodyDiv w:val="1"/>
      <w:marLeft w:val="0"/>
      <w:marRight w:val="0"/>
      <w:marTop w:val="0"/>
      <w:marBottom w:val="0"/>
      <w:divBdr>
        <w:top w:val="none" w:sz="0" w:space="0" w:color="auto"/>
        <w:left w:val="none" w:sz="0" w:space="0" w:color="auto"/>
        <w:bottom w:val="none" w:sz="0" w:space="0" w:color="auto"/>
        <w:right w:val="none" w:sz="0" w:space="0" w:color="auto"/>
      </w:divBdr>
    </w:div>
    <w:div w:id="320814020">
      <w:bodyDiv w:val="1"/>
      <w:marLeft w:val="0"/>
      <w:marRight w:val="0"/>
      <w:marTop w:val="0"/>
      <w:marBottom w:val="0"/>
      <w:divBdr>
        <w:top w:val="none" w:sz="0" w:space="0" w:color="auto"/>
        <w:left w:val="none" w:sz="0" w:space="0" w:color="auto"/>
        <w:bottom w:val="none" w:sz="0" w:space="0" w:color="auto"/>
        <w:right w:val="none" w:sz="0" w:space="0" w:color="auto"/>
      </w:divBdr>
    </w:div>
    <w:div w:id="321126746">
      <w:bodyDiv w:val="1"/>
      <w:marLeft w:val="0"/>
      <w:marRight w:val="0"/>
      <w:marTop w:val="0"/>
      <w:marBottom w:val="0"/>
      <w:divBdr>
        <w:top w:val="none" w:sz="0" w:space="0" w:color="auto"/>
        <w:left w:val="none" w:sz="0" w:space="0" w:color="auto"/>
        <w:bottom w:val="none" w:sz="0" w:space="0" w:color="auto"/>
        <w:right w:val="none" w:sz="0" w:space="0" w:color="auto"/>
      </w:divBdr>
    </w:div>
    <w:div w:id="322202792">
      <w:bodyDiv w:val="1"/>
      <w:marLeft w:val="0"/>
      <w:marRight w:val="0"/>
      <w:marTop w:val="0"/>
      <w:marBottom w:val="0"/>
      <w:divBdr>
        <w:top w:val="none" w:sz="0" w:space="0" w:color="auto"/>
        <w:left w:val="none" w:sz="0" w:space="0" w:color="auto"/>
        <w:bottom w:val="none" w:sz="0" w:space="0" w:color="auto"/>
        <w:right w:val="none" w:sz="0" w:space="0" w:color="auto"/>
      </w:divBdr>
    </w:div>
    <w:div w:id="322203121">
      <w:bodyDiv w:val="1"/>
      <w:marLeft w:val="0"/>
      <w:marRight w:val="0"/>
      <w:marTop w:val="0"/>
      <w:marBottom w:val="0"/>
      <w:divBdr>
        <w:top w:val="none" w:sz="0" w:space="0" w:color="auto"/>
        <w:left w:val="none" w:sz="0" w:space="0" w:color="auto"/>
        <w:bottom w:val="none" w:sz="0" w:space="0" w:color="auto"/>
        <w:right w:val="none" w:sz="0" w:space="0" w:color="auto"/>
      </w:divBdr>
    </w:div>
    <w:div w:id="322247091">
      <w:bodyDiv w:val="1"/>
      <w:marLeft w:val="0"/>
      <w:marRight w:val="0"/>
      <w:marTop w:val="0"/>
      <w:marBottom w:val="0"/>
      <w:divBdr>
        <w:top w:val="none" w:sz="0" w:space="0" w:color="auto"/>
        <w:left w:val="none" w:sz="0" w:space="0" w:color="auto"/>
        <w:bottom w:val="none" w:sz="0" w:space="0" w:color="auto"/>
        <w:right w:val="none" w:sz="0" w:space="0" w:color="auto"/>
      </w:divBdr>
    </w:div>
    <w:div w:id="322509672">
      <w:bodyDiv w:val="1"/>
      <w:marLeft w:val="0"/>
      <w:marRight w:val="0"/>
      <w:marTop w:val="0"/>
      <w:marBottom w:val="0"/>
      <w:divBdr>
        <w:top w:val="none" w:sz="0" w:space="0" w:color="auto"/>
        <w:left w:val="none" w:sz="0" w:space="0" w:color="auto"/>
        <w:bottom w:val="none" w:sz="0" w:space="0" w:color="auto"/>
        <w:right w:val="none" w:sz="0" w:space="0" w:color="auto"/>
      </w:divBdr>
    </w:div>
    <w:div w:id="323164925">
      <w:bodyDiv w:val="1"/>
      <w:marLeft w:val="0"/>
      <w:marRight w:val="0"/>
      <w:marTop w:val="0"/>
      <w:marBottom w:val="0"/>
      <w:divBdr>
        <w:top w:val="none" w:sz="0" w:space="0" w:color="auto"/>
        <w:left w:val="none" w:sz="0" w:space="0" w:color="auto"/>
        <w:bottom w:val="none" w:sz="0" w:space="0" w:color="auto"/>
        <w:right w:val="none" w:sz="0" w:space="0" w:color="auto"/>
      </w:divBdr>
    </w:div>
    <w:div w:id="323314109">
      <w:bodyDiv w:val="1"/>
      <w:marLeft w:val="0"/>
      <w:marRight w:val="0"/>
      <w:marTop w:val="0"/>
      <w:marBottom w:val="0"/>
      <w:divBdr>
        <w:top w:val="none" w:sz="0" w:space="0" w:color="auto"/>
        <w:left w:val="none" w:sz="0" w:space="0" w:color="auto"/>
        <w:bottom w:val="none" w:sz="0" w:space="0" w:color="auto"/>
        <w:right w:val="none" w:sz="0" w:space="0" w:color="auto"/>
      </w:divBdr>
    </w:div>
    <w:div w:id="323552039">
      <w:bodyDiv w:val="1"/>
      <w:marLeft w:val="0"/>
      <w:marRight w:val="0"/>
      <w:marTop w:val="0"/>
      <w:marBottom w:val="0"/>
      <w:divBdr>
        <w:top w:val="none" w:sz="0" w:space="0" w:color="auto"/>
        <w:left w:val="none" w:sz="0" w:space="0" w:color="auto"/>
        <w:bottom w:val="none" w:sz="0" w:space="0" w:color="auto"/>
        <w:right w:val="none" w:sz="0" w:space="0" w:color="auto"/>
      </w:divBdr>
    </w:div>
    <w:div w:id="323701369">
      <w:bodyDiv w:val="1"/>
      <w:marLeft w:val="0"/>
      <w:marRight w:val="0"/>
      <w:marTop w:val="0"/>
      <w:marBottom w:val="0"/>
      <w:divBdr>
        <w:top w:val="none" w:sz="0" w:space="0" w:color="auto"/>
        <w:left w:val="none" w:sz="0" w:space="0" w:color="auto"/>
        <w:bottom w:val="none" w:sz="0" w:space="0" w:color="auto"/>
        <w:right w:val="none" w:sz="0" w:space="0" w:color="auto"/>
      </w:divBdr>
    </w:div>
    <w:div w:id="323750740">
      <w:bodyDiv w:val="1"/>
      <w:marLeft w:val="0"/>
      <w:marRight w:val="0"/>
      <w:marTop w:val="0"/>
      <w:marBottom w:val="0"/>
      <w:divBdr>
        <w:top w:val="none" w:sz="0" w:space="0" w:color="auto"/>
        <w:left w:val="none" w:sz="0" w:space="0" w:color="auto"/>
        <w:bottom w:val="none" w:sz="0" w:space="0" w:color="auto"/>
        <w:right w:val="none" w:sz="0" w:space="0" w:color="auto"/>
      </w:divBdr>
    </w:div>
    <w:div w:id="323751049">
      <w:bodyDiv w:val="1"/>
      <w:marLeft w:val="0"/>
      <w:marRight w:val="0"/>
      <w:marTop w:val="0"/>
      <w:marBottom w:val="0"/>
      <w:divBdr>
        <w:top w:val="none" w:sz="0" w:space="0" w:color="auto"/>
        <w:left w:val="none" w:sz="0" w:space="0" w:color="auto"/>
        <w:bottom w:val="none" w:sz="0" w:space="0" w:color="auto"/>
        <w:right w:val="none" w:sz="0" w:space="0" w:color="auto"/>
      </w:divBdr>
    </w:div>
    <w:div w:id="324473871">
      <w:bodyDiv w:val="1"/>
      <w:marLeft w:val="0"/>
      <w:marRight w:val="0"/>
      <w:marTop w:val="0"/>
      <w:marBottom w:val="0"/>
      <w:divBdr>
        <w:top w:val="none" w:sz="0" w:space="0" w:color="auto"/>
        <w:left w:val="none" w:sz="0" w:space="0" w:color="auto"/>
        <w:bottom w:val="none" w:sz="0" w:space="0" w:color="auto"/>
        <w:right w:val="none" w:sz="0" w:space="0" w:color="auto"/>
      </w:divBdr>
    </w:div>
    <w:div w:id="324936208">
      <w:bodyDiv w:val="1"/>
      <w:marLeft w:val="0"/>
      <w:marRight w:val="0"/>
      <w:marTop w:val="0"/>
      <w:marBottom w:val="0"/>
      <w:divBdr>
        <w:top w:val="none" w:sz="0" w:space="0" w:color="auto"/>
        <w:left w:val="none" w:sz="0" w:space="0" w:color="auto"/>
        <w:bottom w:val="none" w:sz="0" w:space="0" w:color="auto"/>
        <w:right w:val="none" w:sz="0" w:space="0" w:color="auto"/>
      </w:divBdr>
    </w:div>
    <w:div w:id="326177721">
      <w:bodyDiv w:val="1"/>
      <w:marLeft w:val="0"/>
      <w:marRight w:val="0"/>
      <w:marTop w:val="0"/>
      <w:marBottom w:val="0"/>
      <w:divBdr>
        <w:top w:val="none" w:sz="0" w:space="0" w:color="auto"/>
        <w:left w:val="none" w:sz="0" w:space="0" w:color="auto"/>
        <w:bottom w:val="none" w:sz="0" w:space="0" w:color="auto"/>
        <w:right w:val="none" w:sz="0" w:space="0" w:color="auto"/>
      </w:divBdr>
    </w:div>
    <w:div w:id="326830401">
      <w:bodyDiv w:val="1"/>
      <w:marLeft w:val="0"/>
      <w:marRight w:val="0"/>
      <w:marTop w:val="0"/>
      <w:marBottom w:val="0"/>
      <w:divBdr>
        <w:top w:val="none" w:sz="0" w:space="0" w:color="auto"/>
        <w:left w:val="none" w:sz="0" w:space="0" w:color="auto"/>
        <w:bottom w:val="none" w:sz="0" w:space="0" w:color="auto"/>
        <w:right w:val="none" w:sz="0" w:space="0" w:color="auto"/>
      </w:divBdr>
    </w:div>
    <w:div w:id="326859774">
      <w:bodyDiv w:val="1"/>
      <w:marLeft w:val="0"/>
      <w:marRight w:val="0"/>
      <w:marTop w:val="0"/>
      <w:marBottom w:val="0"/>
      <w:divBdr>
        <w:top w:val="none" w:sz="0" w:space="0" w:color="auto"/>
        <w:left w:val="none" w:sz="0" w:space="0" w:color="auto"/>
        <w:bottom w:val="none" w:sz="0" w:space="0" w:color="auto"/>
        <w:right w:val="none" w:sz="0" w:space="0" w:color="auto"/>
      </w:divBdr>
    </w:div>
    <w:div w:id="326905943">
      <w:bodyDiv w:val="1"/>
      <w:marLeft w:val="0"/>
      <w:marRight w:val="0"/>
      <w:marTop w:val="0"/>
      <w:marBottom w:val="0"/>
      <w:divBdr>
        <w:top w:val="none" w:sz="0" w:space="0" w:color="auto"/>
        <w:left w:val="none" w:sz="0" w:space="0" w:color="auto"/>
        <w:bottom w:val="none" w:sz="0" w:space="0" w:color="auto"/>
        <w:right w:val="none" w:sz="0" w:space="0" w:color="auto"/>
      </w:divBdr>
    </w:div>
    <w:div w:id="327103211">
      <w:bodyDiv w:val="1"/>
      <w:marLeft w:val="0"/>
      <w:marRight w:val="0"/>
      <w:marTop w:val="0"/>
      <w:marBottom w:val="0"/>
      <w:divBdr>
        <w:top w:val="none" w:sz="0" w:space="0" w:color="auto"/>
        <w:left w:val="none" w:sz="0" w:space="0" w:color="auto"/>
        <w:bottom w:val="none" w:sz="0" w:space="0" w:color="auto"/>
        <w:right w:val="none" w:sz="0" w:space="0" w:color="auto"/>
      </w:divBdr>
    </w:div>
    <w:div w:id="327245450">
      <w:bodyDiv w:val="1"/>
      <w:marLeft w:val="0"/>
      <w:marRight w:val="0"/>
      <w:marTop w:val="0"/>
      <w:marBottom w:val="0"/>
      <w:divBdr>
        <w:top w:val="none" w:sz="0" w:space="0" w:color="auto"/>
        <w:left w:val="none" w:sz="0" w:space="0" w:color="auto"/>
        <w:bottom w:val="none" w:sz="0" w:space="0" w:color="auto"/>
        <w:right w:val="none" w:sz="0" w:space="0" w:color="auto"/>
      </w:divBdr>
    </w:div>
    <w:div w:id="327438724">
      <w:bodyDiv w:val="1"/>
      <w:marLeft w:val="0"/>
      <w:marRight w:val="0"/>
      <w:marTop w:val="0"/>
      <w:marBottom w:val="0"/>
      <w:divBdr>
        <w:top w:val="none" w:sz="0" w:space="0" w:color="auto"/>
        <w:left w:val="none" w:sz="0" w:space="0" w:color="auto"/>
        <w:bottom w:val="none" w:sz="0" w:space="0" w:color="auto"/>
        <w:right w:val="none" w:sz="0" w:space="0" w:color="auto"/>
      </w:divBdr>
    </w:div>
    <w:div w:id="327680674">
      <w:bodyDiv w:val="1"/>
      <w:marLeft w:val="0"/>
      <w:marRight w:val="0"/>
      <w:marTop w:val="0"/>
      <w:marBottom w:val="0"/>
      <w:divBdr>
        <w:top w:val="none" w:sz="0" w:space="0" w:color="auto"/>
        <w:left w:val="none" w:sz="0" w:space="0" w:color="auto"/>
        <w:bottom w:val="none" w:sz="0" w:space="0" w:color="auto"/>
        <w:right w:val="none" w:sz="0" w:space="0" w:color="auto"/>
      </w:divBdr>
    </w:div>
    <w:div w:id="327876984">
      <w:bodyDiv w:val="1"/>
      <w:marLeft w:val="0"/>
      <w:marRight w:val="0"/>
      <w:marTop w:val="0"/>
      <w:marBottom w:val="0"/>
      <w:divBdr>
        <w:top w:val="none" w:sz="0" w:space="0" w:color="auto"/>
        <w:left w:val="none" w:sz="0" w:space="0" w:color="auto"/>
        <w:bottom w:val="none" w:sz="0" w:space="0" w:color="auto"/>
        <w:right w:val="none" w:sz="0" w:space="0" w:color="auto"/>
      </w:divBdr>
    </w:div>
    <w:div w:id="327946774">
      <w:bodyDiv w:val="1"/>
      <w:marLeft w:val="0"/>
      <w:marRight w:val="0"/>
      <w:marTop w:val="0"/>
      <w:marBottom w:val="0"/>
      <w:divBdr>
        <w:top w:val="none" w:sz="0" w:space="0" w:color="auto"/>
        <w:left w:val="none" w:sz="0" w:space="0" w:color="auto"/>
        <w:bottom w:val="none" w:sz="0" w:space="0" w:color="auto"/>
        <w:right w:val="none" w:sz="0" w:space="0" w:color="auto"/>
      </w:divBdr>
    </w:div>
    <w:div w:id="327948727">
      <w:bodyDiv w:val="1"/>
      <w:marLeft w:val="0"/>
      <w:marRight w:val="0"/>
      <w:marTop w:val="0"/>
      <w:marBottom w:val="0"/>
      <w:divBdr>
        <w:top w:val="none" w:sz="0" w:space="0" w:color="auto"/>
        <w:left w:val="none" w:sz="0" w:space="0" w:color="auto"/>
        <w:bottom w:val="none" w:sz="0" w:space="0" w:color="auto"/>
        <w:right w:val="none" w:sz="0" w:space="0" w:color="auto"/>
      </w:divBdr>
    </w:div>
    <w:div w:id="328169652">
      <w:bodyDiv w:val="1"/>
      <w:marLeft w:val="0"/>
      <w:marRight w:val="0"/>
      <w:marTop w:val="0"/>
      <w:marBottom w:val="0"/>
      <w:divBdr>
        <w:top w:val="none" w:sz="0" w:space="0" w:color="auto"/>
        <w:left w:val="none" w:sz="0" w:space="0" w:color="auto"/>
        <w:bottom w:val="none" w:sz="0" w:space="0" w:color="auto"/>
        <w:right w:val="none" w:sz="0" w:space="0" w:color="auto"/>
      </w:divBdr>
    </w:div>
    <w:div w:id="328489355">
      <w:bodyDiv w:val="1"/>
      <w:marLeft w:val="0"/>
      <w:marRight w:val="0"/>
      <w:marTop w:val="0"/>
      <w:marBottom w:val="0"/>
      <w:divBdr>
        <w:top w:val="none" w:sz="0" w:space="0" w:color="auto"/>
        <w:left w:val="none" w:sz="0" w:space="0" w:color="auto"/>
        <w:bottom w:val="none" w:sz="0" w:space="0" w:color="auto"/>
        <w:right w:val="none" w:sz="0" w:space="0" w:color="auto"/>
      </w:divBdr>
    </w:div>
    <w:div w:id="328561292">
      <w:bodyDiv w:val="1"/>
      <w:marLeft w:val="0"/>
      <w:marRight w:val="0"/>
      <w:marTop w:val="0"/>
      <w:marBottom w:val="0"/>
      <w:divBdr>
        <w:top w:val="none" w:sz="0" w:space="0" w:color="auto"/>
        <w:left w:val="none" w:sz="0" w:space="0" w:color="auto"/>
        <w:bottom w:val="none" w:sz="0" w:space="0" w:color="auto"/>
        <w:right w:val="none" w:sz="0" w:space="0" w:color="auto"/>
      </w:divBdr>
    </w:div>
    <w:div w:id="329023473">
      <w:bodyDiv w:val="1"/>
      <w:marLeft w:val="0"/>
      <w:marRight w:val="0"/>
      <w:marTop w:val="0"/>
      <w:marBottom w:val="0"/>
      <w:divBdr>
        <w:top w:val="none" w:sz="0" w:space="0" w:color="auto"/>
        <w:left w:val="none" w:sz="0" w:space="0" w:color="auto"/>
        <w:bottom w:val="none" w:sz="0" w:space="0" w:color="auto"/>
        <w:right w:val="none" w:sz="0" w:space="0" w:color="auto"/>
      </w:divBdr>
    </w:div>
    <w:div w:id="329061952">
      <w:bodyDiv w:val="1"/>
      <w:marLeft w:val="0"/>
      <w:marRight w:val="0"/>
      <w:marTop w:val="0"/>
      <w:marBottom w:val="0"/>
      <w:divBdr>
        <w:top w:val="none" w:sz="0" w:space="0" w:color="auto"/>
        <w:left w:val="none" w:sz="0" w:space="0" w:color="auto"/>
        <w:bottom w:val="none" w:sz="0" w:space="0" w:color="auto"/>
        <w:right w:val="none" w:sz="0" w:space="0" w:color="auto"/>
      </w:divBdr>
    </w:div>
    <w:div w:id="329260744">
      <w:bodyDiv w:val="1"/>
      <w:marLeft w:val="0"/>
      <w:marRight w:val="0"/>
      <w:marTop w:val="0"/>
      <w:marBottom w:val="0"/>
      <w:divBdr>
        <w:top w:val="none" w:sz="0" w:space="0" w:color="auto"/>
        <w:left w:val="none" w:sz="0" w:space="0" w:color="auto"/>
        <w:bottom w:val="none" w:sz="0" w:space="0" w:color="auto"/>
        <w:right w:val="none" w:sz="0" w:space="0" w:color="auto"/>
      </w:divBdr>
    </w:div>
    <w:div w:id="329525283">
      <w:bodyDiv w:val="1"/>
      <w:marLeft w:val="0"/>
      <w:marRight w:val="0"/>
      <w:marTop w:val="0"/>
      <w:marBottom w:val="0"/>
      <w:divBdr>
        <w:top w:val="none" w:sz="0" w:space="0" w:color="auto"/>
        <w:left w:val="none" w:sz="0" w:space="0" w:color="auto"/>
        <w:bottom w:val="none" w:sz="0" w:space="0" w:color="auto"/>
        <w:right w:val="none" w:sz="0" w:space="0" w:color="auto"/>
      </w:divBdr>
    </w:div>
    <w:div w:id="329793353">
      <w:bodyDiv w:val="1"/>
      <w:marLeft w:val="0"/>
      <w:marRight w:val="0"/>
      <w:marTop w:val="0"/>
      <w:marBottom w:val="0"/>
      <w:divBdr>
        <w:top w:val="none" w:sz="0" w:space="0" w:color="auto"/>
        <w:left w:val="none" w:sz="0" w:space="0" w:color="auto"/>
        <w:bottom w:val="none" w:sz="0" w:space="0" w:color="auto"/>
        <w:right w:val="none" w:sz="0" w:space="0" w:color="auto"/>
      </w:divBdr>
    </w:div>
    <w:div w:id="330522104">
      <w:bodyDiv w:val="1"/>
      <w:marLeft w:val="0"/>
      <w:marRight w:val="0"/>
      <w:marTop w:val="0"/>
      <w:marBottom w:val="0"/>
      <w:divBdr>
        <w:top w:val="none" w:sz="0" w:space="0" w:color="auto"/>
        <w:left w:val="none" w:sz="0" w:space="0" w:color="auto"/>
        <w:bottom w:val="none" w:sz="0" w:space="0" w:color="auto"/>
        <w:right w:val="none" w:sz="0" w:space="0" w:color="auto"/>
      </w:divBdr>
    </w:div>
    <w:div w:id="330524688">
      <w:bodyDiv w:val="1"/>
      <w:marLeft w:val="0"/>
      <w:marRight w:val="0"/>
      <w:marTop w:val="0"/>
      <w:marBottom w:val="0"/>
      <w:divBdr>
        <w:top w:val="none" w:sz="0" w:space="0" w:color="auto"/>
        <w:left w:val="none" w:sz="0" w:space="0" w:color="auto"/>
        <w:bottom w:val="none" w:sz="0" w:space="0" w:color="auto"/>
        <w:right w:val="none" w:sz="0" w:space="0" w:color="auto"/>
      </w:divBdr>
    </w:div>
    <w:div w:id="330642048">
      <w:bodyDiv w:val="1"/>
      <w:marLeft w:val="0"/>
      <w:marRight w:val="0"/>
      <w:marTop w:val="0"/>
      <w:marBottom w:val="0"/>
      <w:divBdr>
        <w:top w:val="none" w:sz="0" w:space="0" w:color="auto"/>
        <w:left w:val="none" w:sz="0" w:space="0" w:color="auto"/>
        <w:bottom w:val="none" w:sz="0" w:space="0" w:color="auto"/>
        <w:right w:val="none" w:sz="0" w:space="0" w:color="auto"/>
      </w:divBdr>
    </w:div>
    <w:div w:id="331033572">
      <w:bodyDiv w:val="1"/>
      <w:marLeft w:val="0"/>
      <w:marRight w:val="0"/>
      <w:marTop w:val="0"/>
      <w:marBottom w:val="0"/>
      <w:divBdr>
        <w:top w:val="none" w:sz="0" w:space="0" w:color="auto"/>
        <w:left w:val="none" w:sz="0" w:space="0" w:color="auto"/>
        <w:bottom w:val="none" w:sz="0" w:space="0" w:color="auto"/>
        <w:right w:val="none" w:sz="0" w:space="0" w:color="auto"/>
      </w:divBdr>
    </w:div>
    <w:div w:id="331686588">
      <w:bodyDiv w:val="1"/>
      <w:marLeft w:val="0"/>
      <w:marRight w:val="0"/>
      <w:marTop w:val="0"/>
      <w:marBottom w:val="0"/>
      <w:divBdr>
        <w:top w:val="none" w:sz="0" w:space="0" w:color="auto"/>
        <w:left w:val="none" w:sz="0" w:space="0" w:color="auto"/>
        <w:bottom w:val="none" w:sz="0" w:space="0" w:color="auto"/>
        <w:right w:val="none" w:sz="0" w:space="0" w:color="auto"/>
      </w:divBdr>
    </w:div>
    <w:div w:id="331757642">
      <w:bodyDiv w:val="1"/>
      <w:marLeft w:val="0"/>
      <w:marRight w:val="0"/>
      <w:marTop w:val="0"/>
      <w:marBottom w:val="0"/>
      <w:divBdr>
        <w:top w:val="none" w:sz="0" w:space="0" w:color="auto"/>
        <w:left w:val="none" w:sz="0" w:space="0" w:color="auto"/>
        <w:bottom w:val="none" w:sz="0" w:space="0" w:color="auto"/>
        <w:right w:val="none" w:sz="0" w:space="0" w:color="auto"/>
      </w:divBdr>
    </w:div>
    <w:div w:id="331877765">
      <w:bodyDiv w:val="1"/>
      <w:marLeft w:val="0"/>
      <w:marRight w:val="0"/>
      <w:marTop w:val="0"/>
      <w:marBottom w:val="0"/>
      <w:divBdr>
        <w:top w:val="none" w:sz="0" w:space="0" w:color="auto"/>
        <w:left w:val="none" w:sz="0" w:space="0" w:color="auto"/>
        <w:bottom w:val="none" w:sz="0" w:space="0" w:color="auto"/>
        <w:right w:val="none" w:sz="0" w:space="0" w:color="auto"/>
      </w:divBdr>
    </w:div>
    <w:div w:id="332150813">
      <w:bodyDiv w:val="1"/>
      <w:marLeft w:val="0"/>
      <w:marRight w:val="0"/>
      <w:marTop w:val="0"/>
      <w:marBottom w:val="0"/>
      <w:divBdr>
        <w:top w:val="none" w:sz="0" w:space="0" w:color="auto"/>
        <w:left w:val="none" w:sz="0" w:space="0" w:color="auto"/>
        <w:bottom w:val="none" w:sz="0" w:space="0" w:color="auto"/>
        <w:right w:val="none" w:sz="0" w:space="0" w:color="auto"/>
      </w:divBdr>
    </w:div>
    <w:div w:id="332605563">
      <w:bodyDiv w:val="1"/>
      <w:marLeft w:val="0"/>
      <w:marRight w:val="0"/>
      <w:marTop w:val="0"/>
      <w:marBottom w:val="0"/>
      <w:divBdr>
        <w:top w:val="none" w:sz="0" w:space="0" w:color="auto"/>
        <w:left w:val="none" w:sz="0" w:space="0" w:color="auto"/>
        <w:bottom w:val="none" w:sz="0" w:space="0" w:color="auto"/>
        <w:right w:val="none" w:sz="0" w:space="0" w:color="auto"/>
      </w:divBdr>
    </w:div>
    <w:div w:id="333384247">
      <w:bodyDiv w:val="1"/>
      <w:marLeft w:val="0"/>
      <w:marRight w:val="0"/>
      <w:marTop w:val="0"/>
      <w:marBottom w:val="0"/>
      <w:divBdr>
        <w:top w:val="none" w:sz="0" w:space="0" w:color="auto"/>
        <w:left w:val="none" w:sz="0" w:space="0" w:color="auto"/>
        <w:bottom w:val="none" w:sz="0" w:space="0" w:color="auto"/>
        <w:right w:val="none" w:sz="0" w:space="0" w:color="auto"/>
      </w:divBdr>
    </w:div>
    <w:div w:id="333455626">
      <w:bodyDiv w:val="1"/>
      <w:marLeft w:val="0"/>
      <w:marRight w:val="0"/>
      <w:marTop w:val="0"/>
      <w:marBottom w:val="0"/>
      <w:divBdr>
        <w:top w:val="none" w:sz="0" w:space="0" w:color="auto"/>
        <w:left w:val="none" w:sz="0" w:space="0" w:color="auto"/>
        <w:bottom w:val="none" w:sz="0" w:space="0" w:color="auto"/>
        <w:right w:val="none" w:sz="0" w:space="0" w:color="auto"/>
      </w:divBdr>
    </w:div>
    <w:div w:id="333802687">
      <w:bodyDiv w:val="1"/>
      <w:marLeft w:val="0"/>
      <w:marRight w:val="0"/>
      <w:marTop w:val="0"/>
      <w:marBottom w:val="0"/>
      <w:divBdr>
        <w:top w:val="none" w:sz="0" w:space="0" w:color="auto"/>
        <w:left w:val="none" w:sz="0" w:space="0" w:color="auto"/>
        <w:bottom w:val="none" w:sz="0" w:space="0" w:color="auto"/>
        <w:right w:val="none" w:sz="0" w:space="0" w:color="auto"/>
      </w:divBdr>
    </w:div>
    <w:div w:id="334112467">
      <w:bodyDiv w:val="1"/>
      <w:marLeft w:val="0"/>
      <w:marRight w:val="0"/>
      <w:marTop w:val="0"/>
      <w:marBottom w:val="0"/>
      <w:divBdr>
        <w:top w:val="none" w:sz="0" w:space="0" w:color="auto"/>
        <w:left w:val="none" w:sz="0" w:space="0" w:color="auto"/>
        <w:bottom w:val="none" w:sz="0" w:space="0" w:color="auto"/>
        <w:right w:val="none" w:sz="0" w:space="0" w:color="auto"/>
      </w:divBdr>
    </w:div>
    <w:div w:id="334118108">
      <w:bodyDiv w:val="1"/>
      <w:marLeft w:val="0"/>
      <w:marRight w:val="0"/>
      <w:marTop w:val="0"/>
      <w:marBottom w:val="0"/>
      <w:divBdr>
        <w:top w:val="none" w:sz="0" w:space="0" w:color="auto"/>
        <w:left w:val="none" w:sz="0" w:space="0" w:color="auto"/>
        <w:bottom w:val="none" w:sz="0" w:space="0" w:color="auto"/>
        <w:right w:val="none" w:sz="0" w:space="0" w:color="auto"/>
      </w:divBdr>
    </w:div>
    <w:div w:id="334302408">
      <w:bodyDiv w:val="1"/>
      <w:marLeft w:val="0"/>
      <w:marRight w:val="0"/>
      <w:marTop w:val="0"/>
      <w:marBottom w:val="0"/>
      <w:divBdr>
        <w:top w:val="none" w:sz="0" w:space="0" w:color="auto"/>
        <w:left w:val="none" w:sz="0" w:space="0" w:color="auto"/>
        <w:bottom w:val="none" w:sz="0" w:space="0" w:color="auto"/>
        <w:right w:val="none" w:sz="0" w:space="0" w:color="auto"/>
      </w:divBdr>
    </w:div>
    <w:div w:id="334309923">
      <w:bodyDiv w:val="1"/>
      <w:marLeft w:val="0"/>
      <w:marRight w:val="0"/>
      <w:marTop w:val="0"/>
      <w:marBottom w:val="0"/>
      <w:divBdr>
        <w:top w:val="none" w:sz="0" w:space="0" w:color="auto"/>
        <w:left w:val="none" w:sz="0" w:space="0" w:color="auto"/>
        <w:bottom w:val="none" w:sz="0" w:space="0" w:color="auto"/>
        <w:right w:val="none" w:sz="0" w:space="0" w:color="auto"/>
      </w:divBdr>
    </w:div>
    <w:div w:id="334459441">
      <w:bodyDiv w:val="1"/>
      <w:marLeft w:val="0"/>
      <w:marRight w:val="0"/>
      <w:marTop w:val="0"/>
      <w:marBottom w:val="0"/>
      <w:divBdr>
        <w:top w:val="none" w:sz="0" w:space="0" w:color="auto"/>
        <w:left w:val="none" w:sz="0" w:space="0" w:color="auto"/>
        <w:bottom w:val="none" w:sz="0" w:space="0" w:color="auto"/>
        <w:right w:val="none" w:sz="0" w:space="0" w:color="auto"/>
      </w:divBdr>
    </w:div>
    <w:div w:id="334579644">
      <w:bodyDiv w:val="1"/>
      <w:marLeft w:val="0"/>
      <w:marRight w:val="0"/>
      <w:marTop w:val="0"/>
      <w:marBottom w:val="0"/>
      <w:divBdr>
        <w:top w:val="none" w:sz="0" w:space="0" w:color="auto"/>
        <w:left w:val="none" w:sz="0" w:space="0" w:color="auto"/>
        <w:bottom w:val="none" w:sz="0" w:space="0" w:color="auto"/>
        <w:right w:val="none" w:sz="0" w:space="0" w:color="auto"/>
      </w:divBdr>
    </w:div>
    <w:div w:id="335116332">
      <w:bodyDiv w:val="1"/>
      <w:marLeft w:val="0"/>
      <w:marRight w:val="0"/>
      <w:marTop w:val="0"/>
      <w:marBottom w:val="0"/>
      <w:divBdr>
        <w:top w:val="none" w:sz="0" w:space="0" w:color="auto"/>
        <w:left w:val="none" w:sz="0" w:space="0" w:color="auto"/>
        <w:bottom w:val="none" w:sz="0" w:space="0" w:color="auto"/>
        <w:right w:val="none" w:sz="0" w:space="0" w:color="auto"/>
      </w:divBdr>
    </w:div>
    <w:div w:id="336346349">
      <w:bodyDiv w:val="1"/>
      <w:marLeft w:val="0"/>
      <w:marRight w:val="0"/>
      <w:marTop w:val="0"/>
      <w:marBottom w:val="0"/>
      <w:divBdr>
        <w:top w:val="none" w:sz="0" w:space="0" w:color="auto"/>
        <w:left w:val="none" w:sz="0" w:space="0" w:color="auto"/>
        <w:bottom w:val="none" w:sz="0" w:space="0" w:color="auto"/>
        <w:right w:val="none" w:sz="0" w:space="0" w:color="auto"/>
      </w:divBdr>
    </w:div>
    <w:div w:id="336544779">
      <w:bodyDiv w:val="1"/>
      <w:marLeft w:val="0"/>
      <w:marRight w:val="0"/>
      <w:marTop w:val="0"/>
      <w:marBottom w:val="0"/>
      <w:divBdr>
        <w:top w:val="none" w:sz="0" w:space="0" w:color="auto"/>
        <w:left w:val="none" w:sz="0" w:space="0" w:color="auto"/>
        <w:bottom w:val="none" w:sz="0" w:space="0" w:color="auto"/>
        <w:right w:val="none" w:sz="0" w:space="0" w:color="auto"/>
      </w:divBdr>
    </w:div>
    <w:div w:id="336659362">
      <w:bodyDiv w:val="1"/>
      <w:marLeft w:val="0"/>
      <w:marRight w:val="0"/>
      <w:marTop w:val="0"/>
      <w:marBottom w:val="0"/>
      <w:divBdr>
        <w:top w:val="none" w:sz="0" w:space="0" w:color="auto"/>
        <w:left w:val="none" w:sz="0" w:space="0" w:color="auto"/>
        <w:bottom w:val="none" w:sz="0" w:space="0" w:color="auto"/>
        <w:right w:val="none" w:sz="0" w:space="0" w:color="auto"/>
      </w:divBdr>
    </w:div>
    <w:div w:id="337198003">
      <w:bodyDiv w:val="1"/>
      <w:marLeft w:val="0"/>
      <w:marRight w:val="0"/>
      <w:marTop w:val="0"/>
      <w:marBottom w:val="0"/>
      <w:divBdr>
        <w:top w:val="none" w:sz="0" w:space="0" w:color="auto"/>
        <w:left w:val="none" w:sz="0" w:space="0" w:color="auto"/>
        <w:bottom w:val="none" w:sz="0" w:space="0" w:color="auto"/>
        <w:right w:val="none" w:sz="0" w:space="0" w:color="auto"/>
      </w:divBdr>
    </w:div>
    <w:div w:id="337537676">
      <w:bodyDiv w:val="1"/>
      <w:marLeft w:val="0"/>
      <w:marRight w:val="0"/>
      <w:marTop w:val="0"/>
      <w:marBottom w:val="0"/>
      <w:divBdr>
        <w:top w:val="none" w:sz="0" w:space="0" w:color="auto"/>
        <w:left w:val="none" w:sz="0" w:space="0" w:color="auto"/>
        <w:bottom w:val="none" w:sz="0" w:space="0" w:color="auto"/>
        <w:right w:val="none" w:sz="0" w:space="0" w:color="auto"/>
      </w:divBdr>
    </w:div>
    <w:div w:id="337542674">
      <w:bodyDiv w:val="1"/>
      <w:marLeft w:val="0"/>
      <w:marRight w:val="0"/>
      <w:marTop w:val="0"/>
      <w:marBottom w:val="0"/>
      <w:divBdr>
        <w:top w:val="none" w:sz="0" w:space="0" w:color="auto"/>
        <w:left w:val="none" w:sz="0" w:space="0" w:color="auto"/>
        <w:bottom w:val="none" w:sz="0" w:space="0" w:color="auto"/>
        <w:right w:val="none" w:sz="0" w:space="0" w:color="auto"/>
      </w:divBdr>
    </w:div>
    <w:div w:id="337733670">
      <w:bodyDiv w:val="1"/>
      <w:marLeft w:val="0"/>
      <w:marRight w:val="0"/>
      <w:marTop w:val="0"/>
      <w:marBottom w:val="0"/>
      <w:divBdr>
        <w:top w:val="none" w:sz="0" w:space="0" w:color="auto"/>
        <w:left w:val="none" w:sz="0" w:space="0" w:color="auto"/>
        <w:bottom w:val="none" w:sz="0" w:space="0" w:color="auto"/>
        <w:right w:val="none" w:sz="0" w:space="0" w:color="auto"/>
      </w:divBdr>
    </w:div>
    <w:div w:id="338388594">
      <w:bodyDiv w:val="1"/>
      <w:marLeft w:val="0"/>
      <w:marRight w:val="0"/>
      <w:marTop w:val="0"/>
      <w:marBottom w:val="0"/>
      <w:divBdr>
        <w:top w:val="none" w:sz="0" w:space="0" w:color="auto"/>
        <w:left w:val="none" w:sz="0" w:space="0" w:color="auto"/>
        <w:bottom w:val="none" w:sz="0" w:space="0" w:color="auto"/>
        <w:right w:val="none" w:sz="0" w:space="0" w:color="auto"/>
      </w:divBdr>
    </w:div>
    <w:div w:id="338503690">
      <w:bodyDiv w:val="1"/>
      <w:marLeft w:val="0"/>
      <w:marRight w:val="0"/>
      <w:marTop w:val="0"/>
      <w:marBottom w:val="0"/>
      <w:divBdr>
        <w:top w:val="none" w:sz="0" w:space="0" w:color="auto"/>
        <w:left w:val="none" w:sz="0" w:space="0" w:color="auto"/>
        <w:bottom w:val="none" w:sz="0" w:space="0" w:color="auto"/>
        <w:right w:val="none" w:sz="0" w:space="0" w:color="auto"/>
      </w:divBdr>
    </w:div>
    <w:div w:id="338511299">
      <w:bodyDiv w:val="1"/>
      <w:marLeft w:val="0"/>
      <w:marRight w:val="0"/>
      <w:marTop w:val="0"/>
      <w:marBottom w:val="0"/>
      <w:divBdr>
        <w:top w:val="none" w:sz="0" w:space="0" w:color="auto"/>
        <w:left w:val="none" w:sz="0" w:space="0" w:color="auto"/>
        <w:bottom w:val="none" w:sz="0" w:space="0" w:color="auto"/>
        <w:right w:val="none" w:sz="0" w:space="0" w:color="auto"/>
      </w:divBdr>
    </w:div>
    <w:div w:id="338853466">
      <w:bodyDiv w:val="1"/>
      <w:marLeft w:val="0"/>
      <w:marRight w:val="0"/>
      <w:marTop w:val="0"/>
      <w:marBottom w:val="0"/>
      <w:divBdr>
        <w:top w:val="none" w:sz="0" w:space="0" w:color="auto"/>
        <w:left w:val="none" w:sz="0" w:space="0" w:color="auto"/>
        <w:bottom w:val="none" w:sz="0" w:space="0" w:color="auto"/>
        <w:right w:val="none" w:sz="0" w:space="0" w:color="auto"/>
      </w:divBdr>
    </w:div>
    <w:div w:id="339041097">
      <w:bodyDiv w:val="1"/>
      <w:marLeft w:val="0"/>
      <w:marRight w:val="0"/>
      <w:marTop w:val="0"/>
      <w:marBottom w:val="0"/>
      <w:divBdr>
        <w:top w:val="none" w:sz="0" w:space="0" w:color="auto"/>
        <w:left w:val="none" w:sz="0" w:space="0" w:color="auto"/>
        <w:bottom w:val="none" w:sz="0" w:space="0" w:color="auto"/>
        <w:right w:val="none" w:sz="0" w:space="0" w:color="auto"/>
      </w:divBdr>
    </w:div>
    <w:div w:id="339091753">
      <w:bodyDiv w:val="1"/>
      <w:marLeft w:val="0"/>
      <w:marRight w:val="0"/>
      <w:marTop w:val="0"/>
      <w:marBottom w:val="0"/>
      <w:divBdr>
        <w:top w:val="none" w:sz="0" w:space="0" w:color="auto"/>
        <w:left w:val="none" w:sz="0" w:space="0" w:color="auto"/>
        <w:bottom w:val="none" w:sz="0" w:space="0" w:color="auto"/>
        <w:right w:val="none" w:sz="0" w:space="0" w:color="auto"/>
      </w:divBdr>
    </w:div>
    <w:div w:id="339701019">
      <w:bodyDiv w:val="1"/>
      <w:marLeft w:val="0"/>
      <w:marRight w:val="0"/>
      <w:marTop w:val="0"/>
      <w:marBottom w:val="0"/>
      <w:divBdr>
        <w:top w:val="none" w:sz="0" w:space="0" w:color="auto"/>
        <w:left w:val="none" w:sz="0" w:space="0" w:color="auto"/>
        <w:bottom w:val="none" w:sz="0" w:space="0" w:color="auto"/>
        <w:right w:val="none" w:sz="0" w:space="0" w:color="auto"/>
      </w:divBdr>
    </w:div>
    <w:div w:id="339815889">
      <w:bodyDiv w:val="1"/>
      <w:marLeft w:val="0"/>
      <w:marRight w:val="0"/>
      <w:marTop w:val="0"/>
      <w:marBottom w:val="0"/>
      <w:divBdr>
        <w:top w:val="none" w:sz="0" w:space="0" w:color="auto"/>
        <w:left w:val="none" w:sz="0" w:space="0" w:color="auto"/>
        <w:bottom w:val="none" w:sz="0" w:space="0" w:color="auto"/>
        <w:right w:val="none" w:sz="0" w:space="0" w:color="auto"/>
      </w:divBdr>
    </w:div>
    <w:div w:id="339891194">
      <w:bodyDiv w:val="1"/>
      <w:marLeft w:val="0"/>
      <w:marRight w:val="0"/>
      <w:marTop w:val="0"/>
      <w:marBottom w:val="0"/>
      <w:divBdr>
        <w:top w:val="none" w:sz="0" w:space="0" w:color="auto"/>
        <w:left w:val="none" w:sz="0" w:space="0" w:color="auto"/>
        <w:bottom w:val="none" w:sz="0" w:space="0" w:color="auto"/>
        <w:right w:val="none" w:sz="0" w:space="0" w:color="auto"/>
      </w:divBdr>
    </w:div>
    <w:div w:id="340085680">
      <w:bodyDiv w:val="1"/>
      <w:marLeft w:val="0"/>
      <w:marRight w:val="0"/>
      <w:marTop w:val="0"/>
      <w:marBottom w:val="0"/>
      <w:divBdr>
        <w:top w:val="none" w:sz="0" w:space="0" w:color="auto"/>
        <w:left w:val="none" w:sz="0" w:space="0" w:color="auto"/>
        <w:bottom w:val="none" w:sz="0" w:space="0" w:color="auto"/>
        <w:right w:val="none" w:sz="0" w:space="0" w:color="auto"/>
      </w:divBdr>
    </w:div>
    <w:div w:id="340932702">
      <w:bodyDiv w:val="1"/>
      <w:marLeft w:val="0"/>
      <w:marRight w:val="0"/>
      <w:marTop w:val="0"/>
      <w:marBottom w:val="0"/>
      <w:divBdr>
        <w:top w:val="none" w:sz="0" w:space="0" w:color="auto"/>
        <w:left w:val="none" w:sz="0" w:space="0" w:color="auto"/>
        <w:bottom w:val="none" w:sz="0" w:space="0" w:color="auto"/>
        <w:right w:val="none" w:sz="0" w:space="0" w:color="auto"/>
      </w:divBdr>
    </w:div>
    <w:div w:id="341444494">
      <w:bodyDiv w:val="1"/>
      <w:marLeft w:val="0"/>
      <w:marRight w:val="0"/>
      <w:marTop w:val="0"/>
      <w:marBottom w:val="0"/>
      <w:divBdr>
        <w:top w:val="none" w:sz="0" w:space="0" w:color="auto"/>
        <w:left w:val="none" w:sz="0" w:space="0" w:color="auto"/>
        <w:bottom w:val="none" w:sz="0" w:space="0" w:color="auto"/>
        <w:right w:val="none" w:sz="0" w:space="0" w:color="auto"/>
      </w:divBdr>
    </w:div>
    <w:div w:id="341515044">
      <w:bodyDiv w:val="1"/>
      <w:marLeft w:val="0"/>
      <w:marRight w:val="0"/>
      <w:marTop w:val="0"/>
      <w:marBottom w:val="0"/>
      <w:divBdr>
        <w:top w:val="none" w:sz="0" w:space="0" w:color="auto"/>
        <w:left w:val="none" w:sz="0" w:space="0" w:color="auto"/>
        <w:bottom w:val="none" w:sz="0" w:space="0" w:color="auto"/>
        <w:right w:val="none" w:sz="0" w:space="0" w:color="auto"/>
      </w:divBdr>
    </w:div>
    <w:div w:id="341713178">
      <w:bodyDiv w:val="1"/>
      <w:marLeft w:val="0"/>
      <w:marRight w:val="0"/>
      <w:marTop w:val="0"/>
      <w:marBottom w:val="0"/>
      <w:divBdr>
        <w:top w:val="none" w:sz="0" w:space="0" w:color="auto"/>
        <w:left w:val="none" w:sz="0" w:space="0" w:color="auto"/>
        <w:bottom w:val="none" w:sz="0" w:space="0" w:color="auto"/>
        <w:right w:val="none" w:sz="0" w:space="0" w:color="auto"/>
      </w:divBdr>
    </w:div>
    <w:div w:id="342325218">
      <w:bodyDiv w:val="1"/>
      <w:marLeft w:val="0"/>
      <w:marRight w:val="0"/>
      <w:marTop w:val="0"/>
      <w:marBottom w:val="0"/>
      <w:divBdr>
        <w:top w:val="none" w:sz="0" w:space="0" w:color="auto"/>
        <w:left w:val="none" w:sz="0" w:space="0" w:color="auto"/>
        <w:bottom w:val="none" w:sz="0" w:space="0" w:color="auto"/>
        <w:right w:val="none" w:sz="0" w:space="0" w:color="auto"/>
      </w:divBdr>
    </w:div>
    <w:div w:id="343047579">
      <w:bodyDiv w:val="1"/>
      <w:marLeft w:val="0"/>
      <w:marRight w:val="0"/>
      <w:marTop w:val="0"/>
      <w:marBottom w:val="0"/>
      <w:divBdr>
        <w:top w:val="none" w:sz="0" w:space="0" w:color="auto"/>
        <w:left w:val="none" w:sz="0" w:space="0" w:color="auto"/>
        <w:bottom w:val="none" w:sz="0" w:space="0" w:color="auto"/>
        <w:right w:val="none" w:sz="0" w:space="0" w:color="auto"/>
      </w:divBdr>
    </w:div>
    <w:div w:id="343212898">
      <w:bodyDiv w:val="1"/>
      <w:marLeft w:val="0"/>
      <w:marRight w:val="0"/>
      <w:marTop w:val="0"/>
      <w:marBottom w:val="0"/>
      <w:divBdr>
        <w:top w:val="none" w:sz="0" w:space="0" w:color="auto"/>
        <w:left w:val="none" w:sz="0" w:space="0" w:color="auto"/>
        <w:bottom w:val="none" w:sz="0" w:space="0" w:color="auto"/>
        <w:right w:val="none" w:sz="0" w:space="0" w:color="auto"/>
      </w:divBdr>
    </w:div>
    <w:div w:id="343433764">
      <w:bodyDiv w:val="1"/>
      <w:marLeft w:val="0"/>
      <w:marRight w:val="0"/>
      <w:marTop w:val="0"/>
      <w:marBottom w:val="0"/>
      <w:divBdr>
        <w:top w:val="none" w:sz="0" w:space="0" w:color="auto"/>
        <w:left w:val="none" w:sz="0" w:space="0" w:color="auto"/>
        <w:bottom w:val="none" w:sz="0" w:space="0" w:color="auto"/>
        <w:right w:val="none" w:sz="0" w:space="0" w:color="auto"/>
      </w:divBdr>
    </w:div>
    <w:div w:id="343481903">
      <w:bodyDiv w:val="1"/>
      <w:marLeft w:val="0"/>
      <w:marRight w:val="0"/>
      <w:marTop w:val="0"/>
      <w:marBottom w:val="0"/>
      <w:divBdr>
        <w:top w:val="none" w:sz="0" w:space="0" w:color="auto"/>
        <w:left w:val="none" w:sz="0" w:space="0" w:color="auto"/>
        <w:bottom w:val="none" w:sz="0" w:space="0" w:color="auto"/>
        <w:right w:val="none" w:sz="0" w:space="0" w:color="auto"/>
      </w:divBdr>
    </w:div>
    <w:div w:id="343554202">
      <w:bodyDiv w:val="1"/>
      <w:marLeft w:val="0"/>
      <w:marRight w:val="0"/>
      <w:marTop w:val="0"/>
      <w:marBottom w:val="0"/>
      <w:divBdr>
        <w:top w:val="none" w:sz="0" w:space="0" w:color="auto"/>
        <w:left w:val="none" w:sz="0" w:space="0" w:color="auto"/>
        <w:bottom w:val="none" w:sz="0" w:space="0" w:color="auto"/>
        <w:right w:val="none" w:sz="0" w:space="0" w:color="auto"/>
      </w:divBdr>
    </w:div>
    <w:div w:id="343630048">
      <w:bodyDiv w:val="1"/>
      <w:marLeft w:val="0"/>
      <w:marRight w:val="0"/>
      <w:marTop w:val="0"/>
      <w:marBottom w:val="0"/>
      <w:divBdr>
        <w:top w:val="none" w:sz="0" w:space="0" w:color="auto"/>
        <w:left w:val="none" w:sz="0" w:space="0" w:color="auto"/>
        <w:bottom w:val="none" w:sz="0" w:space="0" w:color="auto"/>
        <w:right w:val="none" w:sz="0" w:space="0" w:color="auto"/>
      </w:divBdr>
    </w:div>
    <w:div w:id="343751755">
      <w:bodyDiv w:val="1"/>
      <w:marLeft w:val="0"/>
      <w:marRight w:val="0"/>
      <w:marTop w:val="0"/>
      <w:marBottom w:val="0"/>
      <w:divBdr>
        <w:top w:val="none" w:sz="0" w:space="0" w:color="auto"/>
        <w:left w:val="none" w:sz="0" w:space="0" w:color="auto"/>
        <w:bottom w:val="none" w:sz="0" w:space="0" w:color="auto"/>
        <w:right w:val="none" w:sz="0" w:space="0" w:color="auto"/>
      </w:divBdr>
    </w:div>
    <w:div w:id="343897407">
      <w:bodyDiv w:val="1"/>
      <w:marLeft w:val="0"/>
      <w:marRight w:val="0"/>
      <w:marTop w:val="0"/>
      <w:marBottom w:val="0"/>
      <w:divBdr>
        <w:top w:val="none" w:sz="0" w:space="0" w:color="auto"/>
        <w:left w:val="none" w:sz="0" w:space="0" w:color="auto"/>
        <w:bottom w:val="none" w:sz="0" w:space="0" w:color="auto"/>
        <w:right w:val="none" w:sz="0" w:space="0" w:color="auto"/>
      </w:divBdr>
    </w:div>
    <w:div w:id="344015560">
      <w:bodyDiv w:val="1"/>
      <w:marLeft w:val="0"/>
      <w:marRight w:val="0"/>
      <w:marTop w:val="0"/>
      <w:marBottom w:val="0"/>
      <w:divBdr>
        <w:top w:val="none" w:sz="0" w:space="0" w:color="auto"/>
        <w:left w:val="none" w:sz="0" w:space="0" w:color="auto"/>
        <w:bottom w:val="none" w:sz="0" w:space="0" w:color="auto"/>
        <w:right w:val="none" w:sz="0" w:space="0" w:color="auto"/>
      </w:divBdr>
    </w:div>
    <w:div w:id="344207215">
      <w:bodyDiv w:val="1"/>
      <w:marLeft w:val="0"/>
      <w:marRight w:val="0"/>
      <w:marTop w:val="0"/>
      <w:marBottom w:val="0"/>
      <w:divBdr>
        <w:top w:val="none" w:sz="0" w:space="0" w:color="auto"/>
        <w:left w:val="none" w:sz="0" w:space="0" w:color="auto"/>
        <w:bottom w:val="none" w:sz="0" w:space="0" w:color="auto"/>
        <w:right w:val="none" w:sz="0" w:space="0" w:color="auto"/>
      </w:divBdr>
    </w:div>
    <w:div w:id="344400863">
      <w:bodyDiv w:val="1"/>
      <w:marLeft w:val="0"/>
      <w:marRight w:val="0"/>
      <w:marTop w:val="0"/>
      <w:marBottom w:val="0"/>
      <w:divBdr>
        <w:top w:val="none" w:sz="0" w:space="0" w:color="auto"/>
        <w:left w:val="none" w:sz="0" w:space="0" w:color="auto"/>
        <w:bottom w:val="none" w:sz="0" w:space="0" w:color="auto"/>
        <w:right w:val="none" w:sz="0" w:space="0" w:color="auto"/>
      </w:divBdr>
    </w:div>
    <w:div w:id="345063449">
      <w:bodyDiv w:val="1"/>
      <w:marLeft w:val="0"/>
      <w:marRight w:val="0"/>
      <w:marTop w:val="0"/>
      <w:marBottom w:val="0"/>
      <w:divBdr>
        <w:top w:val="none" w:sz="0" w:space="0" w:color="auto"/>
        <w:left w:val="none" w:sz="0" w:space="0" w:color="auto"/>
        <w:bottom w:val="none" w:sz="0" w:space="0" w:color="auto"/>
        <w:right w:val="none" w:sz="0" w:space="0" w:color="auto"/>
      </w:divBdr>
    </w:div>
    <w:div w:id="345403115">
      <w:bodyDiv w:val="1"/>
      <w:marLeft w:val="0"/>
      <w:marRight w:val="0"/>
      <w:marTop w:val="0"/>
      <w:marBottom w:val="0"/>
      <w:divBdr>
        <w:top w:val="none" w:sz="0" w:space="0" w:color="auto"/>
        <w:left w:val="none" w:sz="0" w:space="0" w:color="auto"/>
        <w:bottom w:val="none" w:sz="0" w:space="0" w:color="auto"/>
        <w:right w:val="none" w:sz="0" w:space="0" w:color="auto"/>
      </w:divBdr>
    </w:div>
    <w:div w:id="346060684">
      <w:bodyDiv w:val="1"/>
      <w:marLeft w:val="0"/>
      <w:marRight w:val="0"/>
      <w:marTop w:val="0"/>
      <w:marBottom w:val="0"/>
      <w:divBdr>
        <w:top w:val="none" w:sz="0" w:space="0" w:color="auto"/>
        <w:left w:val="none" w:sz="0" w:space="0" w:color="auto"/>
        <w:bottom w:val="none" w:sz="0" w:space="0" w:color="auto"/>
        <w:right w:val="none" w:sz="0" w:space="0" w:color="auto"/>
      </w:divBdr>
    </w:div>
    <w:div w:id="346251439">
      <w:bodyDiv w:val="1"/>
      <w:marLeft w:val="0"/>
      <w:marRight w:val="0"/>
      <w:marTop w:val="0"/>
      <w:marBottom w:val="0"/>
      <w:divBdr>
        <w:top w:val="none" w:sz="0" w:space="0" w:color="auto"/>
        <w:left w:val="none" w:sz="0" w:space="0" w:color="auto"/>
        <w:bottom w:val="none" w:sz="0" w:space="0" w:color="auto"/>
        <w:right w:val="none" w:sz="0" w:space="0" w:color="auto"/>
      </w:divBdr>
    </w:div>
    <w:div w:id="346640705">
      <w:bodyDiv w:val="1"/>
      <w:marLeft w:val="0"/>
      <w:marRight w:val="0"/>
      <w:marTop w:val="0"/>
      <w:marBottom w:val="0"/>
      <w:divBdr>
        <w:top w:val="none" w:sz="0" w:space="0" w:color="auto"/>
        <w:left w:val="none" w:sz="0" w:space="0" w:color="auto"/>
        <w:bottom w:val="none" w:sz="0" w:space="0" w:color="auto"/>
        <w:right w:val="none" w:sz="0" w:space="0" w:color="auto"/>
      </w:divBdr>
    </w:div>
    <w:div w:id="346951016">
      <w:bodyDiv w:val="1"/>
      <w:marLeft w:val="0"/>
      <w:marRight w:val="0"/>
      <w:marTop w:val="0"/>
      <w:marBottom w:val="0"/>
      <w:divBdr>
        <w:top w:val="none" w:sz="0" w:space="0" w:color="auto"/>
        <w:left w:val="none" w:sz="0" w:space="0" w:color="auto"/>
        <w:bottom w:val="none" w:sz="0" w:space="0" w:color="auto"/>
        <w:right w:val="none" w:sz="0" w:space="0" w:color="auto"/>
      </w:divBdr>
    </w:div>
    <w:div w:id="347025228">
      <w:bodyDiv w:val="1"/>
      <w:marLeft w:val="0"/>
      <w:marRight w:val="0"/>
      <w:marTop w:val="0"/>
      <w:marBottom w:val="0"/>
      <w:divBdr>
        <w:top w:val="none" w:sz="0" w:space="0" w:color="auto"/>
        <w:left w:val="none" w:sz="0" w:space="0" w:color="auto"/>
        <w:bottom w:val="none" w:sz="0" w:space="0" w:color="auto"/>
        <w:right w:val="none" w:sz="0" w:space="0" w:color="auto"/>
      </w:divBdr>
    </w:div>
    <w:div w:id="347492011">
      <w:bodyDiv w:val="1"/>
      <w:marLeft w:val="0"/>
      <w:marRight w:val="0"/>
      <w:marTop w:val="0"/>
      <w:marBottom w:val="0"/>
      <w:divBdr>
        <w:top w:val="none" w:sz="0" w:space="0" w:color="auto"/>
        <w:left w:val="none" w:sz="0" w:space="0" w:color="auto"/>
        <w:bottom w:val="none" w:sz="0" w:space="0" w:color="auto"/>
        <w:right w:val="none" w:sz="0" w:space="0" w:color="auto"/>
      </w:divBdr>
    </w:div>
    <w:div w:id="348144274">
      <w:bodyDiv w:val="1"/>
      <w:marLeft w:val="0"/>
      <w:marRight w:val="0"/>
      <w:marTop w:val="0"/>
      <w:marBottom w:val="0"/>
      <w:divBdr>
        <w:top w:val="none" w:sz="0" w:space="0" w:color="auto"/>
        <w:left w:val="none" w:sz="0" w:space="0" w:color="auto"/>
        <w:bottom w:val="none" w:sz="0" w:space="0" w:color="auto"/>
        <w:right w:val="none" w:sz="0" w:space="0" w:color="auto"/>
      </w:divBdr>
    </w:div>
    <w:div w:id="348145174">
      <w:bodyDiv w:val="1"/>
      <w:marLeft w:val="0"/>
      <w:marRight w:val="0"/>
      <w:marTop w:val="0"/>
      <w:marBottom w:val="0"/>
      <w:divBdr>
        <w:top w:val="none" w:sz="0" w:space="0" w:color="auto"/>
        <w:left w:val="none" w:sz="0" w:space="0" w:color="auto"/>
        <w:bottom w:val="none" w:sz="0" w:space="0" w:color="auto"/>
        <w:right w:val="none" w:sz="0" w:space="0" w:color="auto"/>
      </w:divBdr>
    </w:div>
    <w:div w:id="348457340">
      <w:bodyDiv w:val="1"/>
      <w:marLeft w:val="0"/>
      <w:marRight w:val="0"/>
      <w:marTop w:val="0"/>
      <w:marBottom w:val="0"/>
      <w:divBdr>
        <w:top w:val="none" w:sz="0" w:space="0" w:color="auto"/>
        <w:left w:val="none" w:sz="0" w:space="0" w:color="auto"/>
        <w:bottom w:val="none" w:sz="0" w:space="0" w:color="auto"/>
        <w:right w:val="none" w:sz="0" w:space="0" w:color="auto"/>
      </w:divBdr>
    </w:div>
    <w:div w:id="348802217">
      <w:bodyDiv w:val="1"/>
      <w:marLeft w:val="0"/>
      <w:marRight w:val="0"/>
      <w:marTop w:val="0"/>
      <w:marBottom w:val="0"/>
      <w:divBdr>
        <w:top w:val="none" w:sz="0" w:space="0" w:color="auto"/>
        <w:left w:val="none" w:sz="0" w:space="0" w:color="auto"/>
        <w:bottom w:val="none" w:sz="0" w:space="0" w:color="auto"/>
        <w:right w:val="none" w:sz="0" w:space="0" w:color="auto"/>
      </w:divBdr>
    </w:div>
    <w:div w:id="349307768">
      <w:bodyDiv w:val="1"/>
      <w:marLeft w:val="0"/>
      <w:marRight w:val="0"/>
      <w:marTop w:val="0"/>
      <w:marBottom w:val="0"/>
      <w:divBdr>
        <w:top w:val="none" w:sz="0" w:space="0" w:color="auto"/>
        <w:left w:val="none" w:sz="0" w:space="0" w:color="auto"/>
        <w:bottom w:val="none" w:sz="0" w:space="0" w:color="auto"/>
        <w:right w:val="none" w:sz="0" w:space="0" w:color="auto"/>
      </w:divBdr>
    </w:div>
    <w:div w:id="349378642">
      <w:bodyDiv w:val="1"/>
      <w:marLeft w:val="0"/>
      <w:marRight w:val="0"/>
      <w:marTop w:val="0"/>
      <w:marBottom w:val="0"/>
      <w:divBdr>
        <w:top w:val="none" w:sz="0" w:space="0" w:color="auto"/>
        <w:left w:val="none" w:sz="0" w:space="0" w:color="auto"/>
        <w:bottom w:val="none" w:sz="0" w:space="0" w:color="auto"/>
        <w:right w:val="none" w:sz="0" w:space="0" w:color="auto"/>
      </w:divBdr>
    </w:div>
    <w:div w:id="349723436">
      <w:bodyDiv w:val="1"/>
      <w:marLeft w:val="0"/>
      <w:marRight w:val="0"/>
      <w:marTop w:val="0"/>
      <w:marBottom w:val="0"/>
      <w:divBdr>
        <w:top w:val="none" w:sz="0" w:space="0" w:color="auto"/>
        <w:left w:val="none" w:sz="0" w:space="0" w:color="auto"/>
        <w:bottom w:val="none" w:sz="0" w:space="0" w:color="auto"/>
        <w:right w:val="none" w:sz="0" w:space="0" w:color="auto"/>
      </w:divBdr>
    </w:div>
    <w:div w:id="350185098">
      <w:bodyDiv w:val="1"/>
      <w:marLeft w:val="0"/>
      <w:marRight w:val="0"/>
      <w:marTop w:val="0"/>
      <w:marBottom w:val="0"/>
      <w:divBdr>
        <w:top w:val="none" w:sz="0" w:space="0" w:color="auto"/>
        <w:left w:val="none" w:sz="0" w:space="0" w:color="auto"/>
        <w:bottom w:val="none" w:sz="0" w:space="0" w:color="auto"/>
        <w:right w:val="none" w:sz="0" w:space="0" w:color="auto"/>
      </w:divBdr>
    </w:div>
    <w:div w:id="350496668">
      <w:bodyDiv w:val="1"/>
      <w:marLeft w:val="0"/>
      <w:marRight w:val="0"/>
      <w:marTop w:val="0"/>
      <w:marBottom w:val="0"/>
      <w:divBdr>
        <w:top w:val="none" w:sz="0" w:space="0" w:color="auto"/>
        <w:left w:val="none" w:sz="0" w:space="0" w:color="auto"/>
        <w:bottom w:val="none" w:sz="0" w:space="0" w:color="auto"/>
        <w:right w:val="none" w:sz="0" w:space="0" w:color="auto"/>
      </w:divBdr>
    </w:div>
    <w:div w:id="350955964">
      <w:bodyDiv w:val="1"/>
      <w:marLeft w:val="0"/>
      <w:marRight w:val="0"/>
      <w:marTop w:val="0"/>
      <w:marBottom w:val="0"/>
      <w:divBdr>
        <w:top w:val="none" w:sz="0" w:space="0" w:color="auto"/>
        <w:left w:val="none" w:sz="0" w:space="0" w:color="auto"/>
        <w:bottom w:val="none" w:sz="0" w:space="0" w:color="auto"/>
        <w:right w:val="none" w:sz="0" w:space="0" w:color="auto"/>
      </w:divBdr>
    </w:div>
    <w:div w:id="351539008">
      <w:bodyDiv w:val="1"/>
      <w:marLeft w:val="0"/>
      <w:marRight w:val="0"/>
      <w:marTop w:val="0"/>
      <w:marBottom w:val="0"/>
      <w:divBdr>
        <w:top w:val="none" w:sz="0" w:space="0" w:color="auto"/>
        <w:left w:val="none" w:sz="0" w:space="0" w:color="auto"/>
        <w:bottom w:val="none" w:sz="0" w:space="0" w:color="auto"/>
        <w:right w:val="none" w:sz="0" w:space="0" w:color="auto"/>
      </w:divBdr>
    </w:div>
    <w:div w:id="353043774">
      <w:bodyDiv w:val="1"/>
      <w:marLeft w:val="0"/>
      <w:marRight w:val="0"/>
      <w:marTop w:val="0"/>
      <w:marBottom w:val="0"/>
      <w:divBdr>
        <w:top w:val="none" w:sz="0" w:space="0" w:color="auto"/>
        <w:left w:val="none" w:sz="0" w:space="0" w:color="auto"/>
        <w:bottom w:val="none" w:sz="0" w:space="0" w:color="auto"/>
        <w:right w:val="none" w:sz="0" w:space="0" w:color="auto"/>
      </w:divBdr>
    </w:div>
    <w:div w:id="353729496">
      <w:bodyDiv w:val="1"/>
      <w:marLeft w:val="0"/>
      <w:marRight w:val="0"/>
      <w:marTop w:val="0"/>
      <w:marBottom w:val="0"/>
      <w:divBdr>
        <w:top w:val="none" w:sz="0" w:space="0" w:color="auto"/>
        <w:left w:val="none" w:sz="0" w:space="0" w:color="auto"/>
        <w:bottom w:val="none" w:sz="0" w:space="0" w:color="auto"/>
        <w:right w:val="none" w:sz="0" w:space="0" w:color="auto"/>
      </w:divBdr>
    </w:div>
    <w:div w:id="353918321">
      <w:bodyDiv w:val="1"/>
      <w:marLeft w:val="0"/>
      <w:marRight w:val="0"/>
      <w:marTop w:val="0"/>
      <w:marBottom w:val="0"/>
      <w:divBdr>
        <w:top w:val="none" w:sz="0" w:space="0" w:color="auto"/>
        <w:left w:val="none" w:sz="0" w:space="0" w:color="auto"/>
        <w:bottom w:val="none" w:sz="0" w:space="0" w:color="auto"/>
        <w:right w:val="none" w:sz="0" w:space="0" w:color="auto"/>
      </w:divBdr>
    </w:div>
    <w:div w:id="354039266">
      <w:bodyDiv w:val="1"/>
      <w:marLeft w:val="0"/>
      <w:marRight w:val="0"/>
      <w:marTop w:val="0"/>
      <w:marBottom w:val="0"/>
      <w:divBdr>
        <w:top w:val="none" w:sz="0" w:space="0" w:color="auto"/>
        <w:left w:val="none" w:sz="0" w:space="0" w:color="auto"/>
        <w:bottom w:val="none" w:sz="0" w:space="0" w:color="auto"/>
        <w:right w:val="none" w:sz="0" w:space="0" w:color="auto"/>
      </w:divBdr>
    </w:div>
    <w:div w:id="354501379">
      <w:bodyDiv w:val="1"/>
      <w:marLeft w:val="0"/>
      <w:marRight w:val="0"/>
      <w:marTop w:val="0"/>
      <w:marBottom w:val="0"/>
      <w:divBdr>
        <w:top w:val="none" w:sz="0" w:space="0" w:color="auto"/>
        <w:left w:val="none" w:sz="0" w:space="0" w:color="auto"/>
        <w:bottom w:val="none" w:sz="0" w:space="0" w:color="auto"/>
        <w:right w:val="none" w:sz="0" w:space="0" w:color="auto"/>
      </w:divBdr>
    </w:div>
    <w:div w:id="354505248">
      <w:bodyDiv w:val="1"/>
      <w:marLeft w:val="0"/>
      <w:marRight w:val="0"/>
      <w:marTop w:val="0"/>
      <w:marBottom w:val="0"/>
      <w:divBdr>
        <w:top w:val="none" w:sz="0" w:space="0" w:color="auto"/>
        <w:left w:val="none" w:sz="0" w:space="0" w:color="auto"/>
        <w:bottom w:val="none" w:sz="0" w:space="0" w:color="auto"/>
        <w:right w:val="none" w:sz="0" w:space="0" w:color="auto"/>
      </w:divBdr>
    </w:div>
    <w:div w:id="354699910">
      <w:bodyDiv w:val="1"/>
      <w:marLeft w:val="0"/>
      <w:marRight w:val="0"/>
      <w:marTop w:val="0"/>
      <w:marBottom w:val="0"/>
      <w:divBdr>
        <w:top w:val="none" w:sz="0" w:space="0" w:color="auto"/>
        <w:left w:val="none" w:sz="0" w:space="0" w:color="auto"/>
        <w:bottom w:val="none" w:sz="0" w:space="0" w:color="auto"/>
        <w:right w:val="none" w:sz="0" w:space="0" w:color="auto"/>
      </w:divBdr>
    </w:div>
    <w:div w:id="354814896">
      <w:bodyDiv w:val="1"/>
      <w:marLeft w:val="0"/>
      <w:marRight w:val="0"/>
      <w:marTop w:val="0"/>
      <w:marBottom w:val="0"/>
      <w:divBdr>
        <w:top w:val="none" w:sz="0" w:space="0" w:color="auto"/>
        <w:left w:val="none" w:sz="0" w:space="0" w:color="auto"/>
        <w:bottom w:val="none" w:sz="0" w:space="0" w:color="auto"/>
        <w:right w:val="none" w:sz="0" w:space="0" w:color="auto"/>
      </w:divBdr>
    </w:div>
    <w:div w:id="354817045">
      <w:bodyDiv w:val="1"/>
      <w:marLeft w:val="0"/>
      <w:marRight w:val="0"/>
      <w:marTop w:val="0"/>
      <w:marBottom w:val="0"/>
      <w:divBdr>
        <w:top w:val="none" w:sz="0" w:space="0" w:color="auto"/>
        <w:left w:val="none" w:sz="0" w:space="0" w:color="auto"/>
        <w:bottom w:val="none" w:sz="0" w:space="0" w:color="auto"/>
        <w:right w:val="none" w:sz="0" w:space="0" w:color="auto"/>
      </w:divBdr>
    </w:div>
    <w:div w:id="354891465">
      <w:bodyDiv w:val="1"/>
      <w:marLeft w:val="0"/>
      <w:marRight w:val="0"/>
      <w:marTop w:val="0"/>
      <w:marBottom w:val="0"/>
      <w:divBdr>
        <w:top w:val="none" w:sz="0" w:space="0" w:color="auto"/>
        <w:left w:val="none" w:sz="0" w:space="0" w:color="auto"/>
        <w:bottom w:val="none" w:sz="0" w:space="0" w:color="auto"/>
        <w:right w:val="none" w:sz="0" w:space="0" w:color="auto"/>
      </w:divBdr>
    </w:div>
    <w:div w:id="354963481">
      <w:bodyDiv w:val="1"/>
      <w:marLeft w:val="0"/>
      <w:marRight w:val="0"/>
      <w:marTop w:val="0"/>
      <w:marBottom w:val="0"/>
      <w:divBdr>
        <w:top w:val="none" w:sz="0" w:space="0" w:color="auto"/>
        <w:left w:val="none" w:sz="0" w:space="0" w:color="auto"/>
        <w:bottom w:val="none" w:sz="0" w:space="0" w:color="auto"/>
        <w:right w:val="none" w:sz="0" w:space="0" w:color="auto"/>
      </w:divBdr>
    </w:div>
    <w:div w:id="355153622">
      <w:bodyDiv w:val="1"/>
      <w:marLeft w:val="0"/>
      <w:marRight w:val="0"/>
      <w:marTop w:val="0"/>
      <w:marBottom w:val="0"/>
      <w:divBdr>
        <w:top w:val="none" w:sz="0" w:space="0" w:color="auto"/>
        <w:left w:val="none" w:sz="0" w:space="0" w:color="auto"/>
        <w:bottom w:val="none" w:sz="0" w:space="0" w:color="auto"/>
        <w:right w:val="none" w:sz="0" w:space="0" w:color="auto"/>
      </w:divBdr>
    </w:div>
    <w:div w:id="355888867">
      <w:bodyDiv w:val="1"/>
      <w:marLeft w:val="0"/>
      <w:marRight w:val="0"/>
      <w:marTop w:val="0"/>
      <w:marBottom w:val="0"/>
      <w:divBdr>
        <w:top w:val="none" w:sz="0" w:space="0" w:color="auto"/>
        <w:left w:val="none" w:sz="0" w:space="0" w:color="auto"/>
        <w:bottom w:val="none" w:sz="0" w:space="0" w:color="auto"/>
        <w:right w:val="none" w:sz="0" w:space="0" w:color="auto"/>
      </w:divBdr>
    </w:div>
    <w:div w:id="356202693">
      <w:bodyDiv w:val="1"/>
      <w:marLeft w:val="0"/>
      <w:marRight w:val="0"/>
      <w:marTop w:val="0"/>
      <w:marBottom w:val="0"/>
      <w:divBdr>
        <w:top w:val="none" w:sz="0" w:space="0" w:color="auto"/>
        <w:left w:val="none" w:sz="0" w:space="0" w:color="auto"/>
        <w:bottom w:val="none" w:sz="0" w:space="0" w:color="auto"/>
        <w:right w:val="none" w:sz="0" w:space="0" w:color="auto"/>
      </w:divBdr>
    </w:div>
    <w:div w:id="356270559">
      <w:bodyDiv w:val="1"/>
      <w:marLeft w:val="0"/>
      <w:marRight w:val="0"/>
      <w:marTop w:val="0"/>
      <w:marBottom w:val="0"/>
      <w:divBdr>
        <w:top w:val="none" w:sz="0" w:space="0" w:color="auto"/>
        <w:left w:val="none" w:sz="0" w:space="0" w:color="auto"/>
        <w:bottom w:val="none" w:sz="0" w:space="0" w:color="auto"/>
        <w:right w:val="none" w:sz="0" w:space="0" w:color="auto"/>
      </w:divBdr>
    </w:div>
    <w:div w:id="356658247">
      <w:bodyDiv w:val="1"/>
      <w:marLeft w:val="0"/>
      <w:marRight w:val="0"/>
      <w:marTop w:val="0"/>
      <w:marBottom w:val="0"/>
      <w:divBdr>
        <w:top w:val="none" w:sz="0" w:space="0" w:color="auto"/>
        <w:left w:val="none" w:sz="0" w:space="0" w:color="auto"/>
        <w:bottom w:val="none" w:sz="0" w:space="0" w:color="auto"/>
        <w:right w:val="none" w:sz="0" w:space="0" w:color="auto"/>
      </w:divBdr>
    </w:div>
    <w:div w:id="356737745">
      <w:bodyDiv w:val="1"/>
      <w:marLeft w:val="0"/>
      <w:marRight w:val="0"/>
      <w:marTop w:val="0"/>
      <w:marBottom w:val="0"/>
      <w:divBdr>
        <w:top w:val="none" w:sz="0" w:space="0" w:color="auto"/>
        <w:left w:val="none" w:sz="0" w:space="0" w:color="auto"/>
        <w:bottom w:val="none" w:sz="0" w:space="0" w:color="auto"/>
        <w:right w:val="none" w:sz="0" w:space="0" w:color="auto"/>
      </w:divBdr>
    </w:div>
    <w:div w:id="356741021">
      <w:bodyDiv w:val="1"/>
      <w:marLeft w:val="0"/>
      <w:marRight w:val="0"/>
      <w:marTop w:val="0"/>
      <w:marBottom w:val="0"/>
      <w:divBdr>
        <w:top w:val="none" w:sz="0" w:space="0" w:color="auto"/>
        <w:left w:val="none" w:sz="0" w:space="0" w:color="auto"/>
        <w:bottom w:val="none" w:sz="0" w:space="0" w:color="auto"/>
        <w:right w:val="none" w:sz="0" w:space="0" w:color="auto"/>
      </w:divBdr>
    </w:div>
    <w:div w:id="357005867">
      <w:bodyDiv w:val="1"/>
      <w:marLeft w:val="0"/>
      <w:marRight w:val="0"/>
      <w:marTop w:val="0"/>
      <w:marBottom w:val="0"/>
      <w:divBdr>
        <w:top w:val="none" w:sz="0" w:space="0" w:color="auto"/>
        <w:left w:val="none" w:sz="0" w:space="0" w:color="auto"/>
        <w:bottom w:val="none" w:sz="0" w:space="0" w:color="auto"/>
        <w:right w:val="none" w:sz="0" w:space="0" w:color="auto"/>
      </w:divBdr>
    </w:div>
    <w:div w:id="357439626">
      <w:bodyDiv w:val="1"/>
      <w:marLeft w:val="0"/>
      <w:marRight w:val="0"/>
      <w:marTop w:val="0"/>
      <w:marBottom w:val="0"/>
      <w:divBdr>
        <w:top w:val="none" w:sz="0" w:space="0" w:color="auto"/>
        <w:left w:val="none" w:sz="0" w:space="0" w:color="auto"/>
        <w:bottom w:val="none" w:sz="0" w:space="0" w:color="auto"/>
        <w:right w:val="none" w:sz="0" w:space="0" w:color="auto"/>
      </w:divBdr>
    </w:div>
    <w:div w:id="357776874">
      <w:bodyDiv w:val="1"/>
      <w:marLeft w:val="0"/>
      <w:marRight w:val="0"/>
      <w:marTop w:val="0"/>
      <w:marBottom w:val="0"/>
      <w:divBdr>
        <w:top w:val="none" w:sz="0" w:space="0" w:color="auto"/>
        <w:left w:val="none" w:sz="0" w:space="0" w:color="auto"/>
        <w:bottom w:val="none" w:sz="0" w:space="0" w:color="auto"/>
        <w:right w:val="none" w:sz="0" w:space="0" w:color="auto"/>
      </w:divBdr>
    </w:div>
    <w:div w:id="357781585">
      <w:bodyDiv w:val="1"/>
      <w:marLeft w:val="0"/>
      <w:marRight w:val="0"/>
      <w:marTop w:val="0"/>
      <w:marBottom w:val="0"/>
      <w:divBdr>
        <w:top w:val="none" w:sz="0" w:space="0" w:color="auto"/>
        <w:left w:val="none" w:sz="0" w:space="0" w:color="auto"/>
        <w:bottom w:val="none" w:sz="0" w:space="0" w:color="auto"/>
        <w:right w:val="none" w:sz="0" w:space="0" w:color="auto"/>
      </w:divBdr>
    </w:div>
    <w:div w:id="358288189">
      <w:bodyDiv w:val="1"/>
      <w:marLeft w:val="0"/>
      <w:marRight w:val="0"/>
      <w:marTop w:val="0"/>
      <w:marBottom w:val="0"/>
      <w:divBdr>
        <w:top w:val="none" w:sz="0" w:space="0" w:color="auto"/>
        <w:left w:val="none" w:sz="0" w:space="0" w:color="auto"/>
        <w:bottom w:val="none" w:sz="0" w:space="0" w:color="auto"/>
        <w:right w:val="none" w:sz="0" w:space="0" w:color="auto"/>
      </w:divBdr>
    </w:div>
    <w:div w:id="358504998">
      <w:bodyDiv w:val="1"/>
      <w:marLeft w:val="0"/>
      <w:marRight w:val="0"/>
      <w:marTop w:val="0"/>
      <w:marBottom w:val="0"/>
      <w:divBdr>
        <w:top w:val="none" w:sz="0" w:space="0" w:color="auto"/>
        <w:left w:val="none" w:sz="0" w:space="0" w:color="auto"/>
        <w:bottom w:val="none" w:sz="0" w:space="0" w:color="auto"/>
        <w:right w:val="none" w:sz="0" w:space="0" w:color="auto"/>
      </w:divBdr>
    </w:div>
    <w:div w:id="358513504">
      <w:bodyDiv w:val="1"/>
      <w:marLeft w:val="0"/>
      <w:marRight w:val="0"/>
      <w:marTop w:val="0"/>
      <w:marBottom w:val="0"/>
      <w:divBdr>
        <w:top w:val="none" w:sz="0" w:space="0" w:color="auto"/>
        <w:left w:val="none" w:sz="0" w:space="0" w:color="auto"/>
        <w:bottom w:val="none" w:sz="0" w:space="0" w:color="auto"/>
        <w:right w:val="none" w:sz="0" w:space="0" w:color="auto"/>
      </w:divBdr>
    </w:div>
    <w:div w:id="358819750">
      <w:bodyDiv w:val="1"/>
      <w:marLeft w:val="0"/>
      <w:marRight w:val="0"/>
      <w:marTop w:val="0"/>
      <w:marBottom w:val="0"/>
      <w:divBdr>
        <w:top w:val="none" w:sz="0" w:space="0" w:color="auto"/>
        <w:left w:val="none" w:sz="0" w:space="0" w:color="auto"/>
        <w:bottom w:val="none" w:sz="0" w:space="0" w:color="auto"/>
        <w:right w:val="none" w:sz="0" w:space="0" w:color="auto"/>
      </w:divBdr>
    </w:div>
    <w:div w:id="359016195">
      <w:bodyDiv w:val="1"/>
      <w:marLeft w:val="0"/>
      <w:marRight w:val="0"/>
      <w:marTop w:val="0"/>
      <w:marBottom w:val="0"/>
      <w:divBdr>
        <w:top w:val="none" w:sz="0" w:space="0" w:color="auto"/>
        <w:left w:val="none" w:sz="0" w:space="0" w:color="auto"/>
        <w:bottom w:val="none" w:sz="0" w:space="0" w:color="auto"/>
        <w:right w:val="none" w:sz="0" w:space="0" w:color="auto"/>
      </w:divBdr>
    </w:div>
    <w:div w:id="359431628">
      <w:bodyDiv w:val="1"/>
      <w:marLeft w:val="0"/>
      <w:marRight w:val="0"/>
      <w:marTop w:val="0"/>
      <w:marBottom w:val="0"/>
      <w:divBdr>
        <w:top w:val="none" w:sz="0" w:space="0" w:color="auto"/>
        <w:left w:val="none" w:sz="0" w:space="0" w:color="auto"/>
        <w:bottom w:val="none" w:sz="0" w:space="0" w:color="auto"/>
        <w:right w:val="none" w:sz="0" w:space="0" w:color="auto"/>
      </w:divBdr>
    </w:div>
    <w:div w:id="359747214">
      <w:bodyDiv w:val="1"/>
      <w:marLeft w:val="0"/>
      <w:marRight w:val="0"/>
      <w:marTop w:val="0"/>
      <w:marBottom w:val="0"/>
      <w:divBdr>
        <w:top w:val="none" w:sz="0" w:space="0" w:color="auto"/>
        <w:left w:val="none" w:sz="0" w:space="0" w:color="auto"/>
        <w:bottom w:val="none" w:sz="0" w:space="0" w:color="auto"/>
        <w:right w:val="none" w:sz="0" w:space="0" w:color="auto"/>
      </w:divBdr>
    </w:div>
    <w:div w:id="360518659">
      <w:bodyDiv w:val="1"/>
      <w:marLeft w:val="0"/>
      <w:marRight w:val="0"/>
      <w:marTop w:val="0"/>
      <w:marBottom w:val="0"/>
      <w:divBdr>
        <w:top w:val="none" w:sz="0" w:space="0" w:color="auto"/>
        <w:left w:val="none" w:sz="0" w:space="0" w:color="auto"/>
        <w:bottom w:val="none" w:sz="0" w:space="0" w:color="auto"/>
        <w:right w:val="none" w:sz="0" w:space="0" w:color="auto"/>
      </w:divBdr>
    </w:div>
    <w:div w:id="360522630">
      <w:bodyDiv w:val="1"/>
      <w:marLeft w:val="0"/>
      <w:marRight w:val="0"/>
      <w:marTop w:val="0"/>
      <w:marBottom w:val="0"/>
      <w:divBdr>
        <w:top w:val="none" w:sz="0" w:space="0" w:color="auto"/>
        <w:left w:val="none" w:sz="0" w:space="0" w:color="auto"/>
        <w:bottom w:val="none" w:sz="0" w:space="0" w:color="auto"/>
        <w:right w:val="none" w:sz="0" w:space="0" w:color="auto"/>
      </w:divBdr>
    </w:div>
    <w:div w:id="360866273">
      <w:bodyDiv w:val="1"/>
      <w:marLeft w:val="0"/>
      <w:marRight w:val="0"/>
      <w:marTop w:val="0"/>
      <w:marBottom w:val="0"/>
      <w:divBdr>
        <w:top w:val="none" w:sz="0" w:space="0" w:color="auto"/>
        <w:left w:val="none" w:sz="0" w:space="0" w:color="auto"/>
        <w:bottom w:val="none" w:sz="0" w:space="0" w:color="auto"/>
        <w:right w:val="none" w:sz="0" w:space="0" w:color="auto"/>
      </w:divBdr>
    </w:div>
    <w:div w:id="361056487">
      <w:bodyDiv w:val="1"/>
      <w:marLeft w:val="0"/>
      <w:marRight w:val="0"/>
      <w:marTop w:val="0"/>
      <w:marBottom w:val="0"/>
      <w:divBdr>
        <w:top w:val="none" w:sz="0" w:space="0" w:color="auto"/>
        <w:left w:val="none" w:sz="0" w:space="0" w:color="auto"/>
        <w:bottom w:val="none" w:sz="0" w:space="0" w:color="auto"/>
        <w:right w:val="none" w:sz="0" w:space="0" w:color="auto"/>
      </w:divBdr>
    </w:div>
    <w:div w:id="361323937">
      <w:bodyDiv w:val="1"/>
      <w:marLeft w:val="0"/>
      <w:marRight w:val="0"/>
      <w:marTop w:val="0"/>
      <w:marBottom w:val="0"/>
      <w:divBdr>
        <w:top w:val="none" w:sz="0" w:space="0" w:color="auto"/>
        <w:left w:val="none" w:sz="0" w:space="0" w:color="auto"/>
        <w:bottom w:val="none" w:sz="0" w:space="0" w:color="auto"/>
        <w:right w:val="none" w:sz="0" w:space="0" w:color="auto"/>
      </w:divBdr>
    </w:div>
    <w:div w:id="361438262">
      <w:bodyDiv w:val="1"/>
      <w:marLeft w:val="0"/>
      <w:marRight w:val="0"/>
      <w:marTop w:val="0"/>
      <w:marBottom w:val="0"/>
      <w:divBdr>
        <w:top w:val="none" w:sz="0" w:space="0" w:color="auto"/>
        <w:left w:val="none" w:sz="0" w:space="0" w:color="auto"/>
        <w:bottom w:val="none" w:sz="0" w:space="0" w:color="auto"/>
        <w:right w:val="none" w:sz="0" w:space="0" w:color="auto"/>
      </w:divBdr>
    </w:div>
    <w:div w:id="361712838">
      <w:bodyDiv w:val="1"/>
      <w:marLeft w:val="0"/>
      <w:marRight w:val="0"/>
      <w:marTop w:val="0"/>
      <w:marBottom w:val="0"/>
      <w:divBdr>
        <w:top w:val="none" w:sz="0" w:space="0" w:color="auto"/>
        <w:left w:val="none" w:sz="0" w:space="0" w:color="auto"/>
        <w:bottom w:val="none" w:sz="0" w:space="0" w:color="auto"/>
        <w:right w:val="none" w:sz="0" w:space="0" w:color="auto"/>
      </w:divBdr>
    </w:div>
    <w:div w:id="362364116">
      <w:bodyDiv w:val="1"/>
      <w:marLeft w:val="0"/>
      <w:marRight w:val="0"/>
      <w:marTop w:val="0"/>
      <w:marBottom w:val="0"/>
      <w:divBdr>
        <w:top w:val="none" w:sz="0" w:space="0" w:color="auto"/>
        <w:left w:val="none" w:sz="0" w:space="0" w:color="auto"/>
        <w:bottom w:val="none" w:sz="0" w:space="0" w:color="auto"/>
        <w:right w:val="none" w:sz="0" w:space="0" w:color="auto"/>
      </w:divBdr>
    </w:div>
    <w:div w:id="363024086">
      <w:bodyDiv w:val="1"/>
      <w:marLeft w:val="0"/>
      <w:marRight w:val="0"/>
      <w:marTop w:val="0"/>
      <w:marBottom w:val="0"/>
      <w:divBdr>
        <w:top w:val="none" w:sz="0" w:space="0" w:color="auto"/>
        <w:left w:val="none" w:sz="0" w:space="0" w:color="auto"/>
        <w:bottom w:val="none" w:sz="0" w:space="0" w:color="auto"/>
        <w:right w:val="none" w:sz="0" w:space="0" w:color="auto"/>
      </w:divBdr>
    </w:div>
    <w:div w:id="363167113">
      <w:bodyDiv w:val="1"/>
      <w:marLeft w:val="0"/>
      <w:marRight w:val="0"/>
      <w:marTop w:val="0"/>
      <w:marBottom w:val="0"/>
      <w:divBdr>
        <w:top w:val="none" w:sz="0" w:space="0" w:color="auto"/>
        <w:left w:val="none" w:sz="0" w:space="0" w:color="auto"/>
        <w:bottom w:val="none" w:sz="0" w:space="0" w:color="auto"/>
        <w:right w:val="none" w:sz="0" w:space="0" w:color="auto"/>
      </w:divBdr>
    </w:div>
    <w:div w:id="363218660">
      <w:bodyDiv w:val="1"/>
      <w:marLeft w:val="0"/>
      <w:marRight w:val="0"/>
      <w:marTop w:val="0"/>
      <w:marBottom w:val="0"/>
      <w:divBdr>
        <w:top w:val="none" w:sz="0" w:space="0" w:color="auto"/>
        <w:left w:val="none" w:sz="0" w:space="0" w:color="auto"/>
        <w:bottom w:val="none" w:sz="0" w:space="0" w:color="auto"/>
        <w:right w:val="none" w:sz="0" w:space="0" w:color="auto"/>
      </w:divBdr>
    </w:div>
    <w:div w:id="363753723">
      <w:bodyDiv w:val="1"/>
      <w:marLeft w:val="0"/>
      <w:marRight w:val="0"/>
      <w:marTop w:val="0"/>
      <w:marBottom w:val="0"/>
      <w:divBdr>
        <w:top w:val="none" w:sz="0" w:space="0" w:color="auto"/>
        <w:left w:val="none" w:sz="0" w:space="0" w:color="auto"/>
        <w:bottom w:val="none" w:sz="0" w:space="0" w:color="auto"/>
        <w:right w:val="none" w:sz="0" w:space="0" w:color="auto"/>
      </w:divBdr>
    </w:div>
    <w:div w:id="363987847">
      <w:bodyDiv w:val="1"/>
      <w:marLeft w:val="0"/>
      <w:marRight w:val="0"/>
      <w:marTop w:val="0"/>
      <w:marBottom w:val="0"/>
      <w:divBdr>
        <w:top w:val="none" w:sz="0" w:space="0" w:color="auto"/>
        <w:left w:val="none" w:sz="0" w:space="0" w:color="auto"/>
        <w:bottom w:val="none" w:sz="0" w:space="0" w:color="auto"/>
        <w:right w:val="none" w:sz="0" w:space="0" w:color="auto"/>
      </w:divBdr>
    </w:div>
    <w:div w:id="364720847">
      <w:bodyDiv w:val="1"/>
      <w:marLeft w:val="0"/>
      <w:marRight w:val="0"/>
      <w:marTop w:val="0"/>
      <w:marBottom w:val="0"/>
      <w:divBdr>
        <w:top w:val="none" w:sz="0" w:space="0" w:color="auto"/>
        <w:left w:val="none" w:sz="0" w:space="0" w:color="auto"/>
        <w:bottom w:val="none" w:sz="0" w:space="0" w:color="auto"/>
        <w:right w:val="none" w:sz="0" w:space="0" w:color="auto"/>
      </w:divBdr>
    </w:div>
    <w:div w:id="364790769">
      <w:bodyDiv w:val="1"/>
      <w:marLeft w:val="0"/>
      <w:marRight w:val="0"/>
      <w:marTop w:val="0"/>
      <w:marBottom w:val="0"/>
      <w:divBdr>
        <w:top w:val="none" w:sz="0" w:space="0" w:color="auto"/>
        <w:left w:val="none" w:sz="0" w:space="0" w:color="auto"/>
        <w:bottom w:val="none" w:sz="0" w:space="0" w:color="auto"/>
        <w:right w:val="none" w:sz="0" w:space="0" w:color="auto"/>
      </w:divBdr>
    </w:div>
    <w:div w:id="364914935">
      <w:bodyDiv w:val="1"/>
      <w:marLeft w:val="0"/>
      <w:marRight w:val="0"/>
      <w:marTop w:val="0"/>
      <w:marBottom w:val="0"/>
      <w:divBdr>
        <w:top w:val="none" w:sz="0" w:space="0" w:color="auto"/>
        <w:left w:val="none" w:sz="0" w:space="0" w:color="auto"/>
        <w:bottom w:val="none" w:sz="0" w:space="0" w:color="auto"/>
        <w:right w:val="none" w:sz="0" w:space="0" w:color="auto"/>
      </w:divBdr>
    </w:div>
    <w:div w:id="365376679">
      <w:bodyDiv w:val="1"/>
      <w:marLeft w:val="0"/>
      <w:marRight w:val="0"/>
      <w:marTop w:val="0"/>
      <w:marBottom w:val="0"/>
      <w:divBdr>
        <w:top w:val="none" w:sz="0" w:space="0" w:color="auto"/>
        <w:left w:val="none" w:sz="0" w:space="0" w:color="auto"/>
        <w:bottom w:val="none" w:sz="0" w:space="0" w:color="auto"/>
        <w:right w:val="none" w:sz="0" w:space="0" w:color="auto"/>
      </w:divBdr>
    </w:div>
    <w:div w:id="365569929">
      <w:bodyDiv w:val="1"/>
      <w:marLeft w:val="0"/>
      <w:marRight w:val="0"/>
      <w:marTop w:val="0"/>
      <w:marBottom w:val="0"/>
      <w:divBdr>
        <w:top w:val="none" w:sz="0" w:space="0" w:color="auto"/>
        <w:left w:val="none" w:sz="0" w:space="0" w:color="auto"/>
        <w:bottom w:val="none" w:sz="0" w:space="0" w:color="auto"/>
        <w:right w:val="none" w:sz="0" w:space="0" w:color="auto"/>
      </w:divBdr>
    </w:div>
    <w:div w:id="365722372">
      <w:bodyDiv w:val="1"/>
      <w:marLeft w:val="0"/>
      <w:marRight w:val="0"/>
      <w:marTop w:val="0"/>
      <w:marBottom w:val="0"/>
      <w:divBdr>
        <w:top w:val="none" w:sz="0" w:space="0" w:color="auto"/>
        <w:left w:val="none" w:sz="0" w:space="0" w:color="auto"/>
        <w:bottom w:val="none" w:sz="0" w:space="0" w:color="auto"/>
        <w:right w:val="none" w:sz="0" w:space="0" w:color="auto"/>
      </w:divBdr>
    </w:div>
    <w:div w:id="366373506">
      <w:bodyDiv w:val="1"/>
      <w:marLeft w:val="0"/>
      <w:marRight w:val="0"/>
      <w:marTop w:val="0"/>
      <w:marBottom w:val="0"/>
      <w:divBdr>
        <w:top w:val="none" w:sz="0" w:space="0" w:color="auto"/>
        <w:left w:val="none" w:sz="0" w:space="0" w:color="auto"/>
        <w:bottom w:val="none" w:sz="0" w:space="0" w:color="auto"/>
        <w:right w:val="none" w:sz="0" w:space="0" w:color="auto"/>
      </w:divBdr>
    </w:div>
    <w:div w:id="367029496">
      <w:bodyDiv w:val="1"/>
      <w:marLeft w:val="0"/>
      <w:marRight w:val="0"/>
      <w:marTop w:val="0"/>
      <w:marBottom w:val="0"/>
      <w:divBdr>
        <w:top w:val="none" w:sz="0" w:space="0" w:color="auto"/>
        <w:left w:val="none" w:sz="0" w:space="0" w:color="auto"/>
        <w:bottom w:val="none" w:sz="0" w:space="0" w:color="auto"/>
        <w:right w:val="none" w:sz="0" w:space="0" w:color="auto"/>
      </w:divBdr>
    </w:div>
    <w:div w:id="367603406">
      <w:bodyDiv w:val="1"/>
      <w:marLeft w:val="0"/>
      <w:marRight w:val="0"/>
      <w:marTop w:val="0"/>
      <w:marBottom w:val="0"/>
      <w:divBdr>
        <w:top w:val="none" w:sz="0" w:space="0" w:color="auto"/>
        <w:left w:val="none" w:sz="0" w:space="0" w:color="auto"/>
        <w:bottom w:val="none" w:sz="0" w:space="0" w:color="auto"/>
        <w:right w:val="none" w:sz="0" w:space="0" w:color="auto"/>
      </w:divBdr>
    </w:div>
    <w:div w:id="367754161">
      <w:bodyDiv w:val="1"/>
      <w:marLeft w:val="0"/>
      <w:marRight w:val="0"/>
      <w:marTop w:val="0"/>
      <w:marBottom w:val="0"/>
      <w:divBdr>
        <w:top w:val="none" w:sz="0" w:space="0" w:color="auto"/>
        <w:left w:val="none" w:sz="0" w:space="0" w:color="auto"/>
        <w:bottom w:val="none" w:sz="0" w:space="0" w:color="auto"/>
        <w:right w:val="none" w:sz="0" w:space="0" w:color="auto"/>
      </w:divBdr>
    </w:div>
    <w:div w:id="367802421">
      <w:bodyDiv w:val="1"/>
      <w:marLeft w:val="0"/>
      <w:marRight w:val="0"/>
      <w:marTop w:val="0"/>
      <w:marBottom w:val="0"/>
      <w:divBdr>
        <w:top w:val="none" w:sz="0" w:space="0" w:color="auto"/>
        <w:left w:val="none" w:sz="0" w:space="0" w:color="auto"/>
        <w:bottom w:val="none" w:sz="0" w:space="0" w:color="auto"/>
        <w:right w:val="none" w:sz="0" w:space="0" w:color="auto"/>
      </w:divBdr>
    </w:div>
    <w:div w:id="367922469">
      <w:bodyDiv w:val="1"/>
      <w:marLeft w:val="0"/>
      <w:marRight w:val="0"/>
      <w:marTop w:val="0"/>
      <w:marBottom w:val="0"/>
      <w:divBdr>
        <w:top w:val="none" w:sz="0" w:space="0" w:color="auto"/>
        <w:left w:val="none" w:sz="0" w:space="0" w:color="auto"/>
        <w:bottom w:val="none" w:sz="0" w:space="0" w:color="auto"/>
        <w:right w:val="none" w:sz="0" w:space="0" w:color="auto"/>
      </w:divBdr>
    </w:div>
    <w:div w:id="368266602">
      <w:bodyDiv w:val="1"/>
      <w:marLeft w:val="0"/>
      <w:marRight w:val="0"/>
      <w:marTop w:val="0"/>
      <w:marBottom w:val="0"/>
      <w:divBdr>
        <w:top w:val="none" w:sz="0" w:space="0" w:color="auto"/>
        <w:left w:val="none" w:sz="0" w:space="0" w:color="auto"/>
        <w:bottom w:val="none" w:sz="0" w:space="0" w:color="auto"/>
        <w:right w:val="none" w:sz="0" w:space="0" w:color="auto"/>
      </w:divBdr>
    </w:div>
    <w:div w:id="368534799">
      <w:bodyDiv w:val="1"/>
      <w:marLeft w:val="0"/>
      <w:marRight w:val="0"/>
      <w:marTop w:val="0"/>
      <w:marBottom w:val="0"/>
      <w:divBdr>
        <w:top w:val="none" w:sz="0" w:space="0" w:color="auto"/>
        <w:left w:val="none" w:sz="0" w:space="0" w:color="auto"/>
        <w:bottom w:val="none" w:sz="0" w:space="0" w:color="auto"/>
        <w:right w:val="none" w:sz="0" w:space="0" w:color="auto"/>
      </w:divBdr>
    </w:div>
    <w:div w:id="368720603">
      <w:bodyDiv w:val="1"/>
      <w:marLeft w:val="0"/>
      <w:marRight w:val="0"/>
      <w:marTop w:val="0"/>
      <w:marBottom w:val="0"/>
      <w:divBdr>
        <w:top w:val="none" w:sz="0" w:space="0" w:color="auto"/>
        <w:left w:val="none" w:sz="0" w:space="0" w:color="auto"/>
        <w:bottom w:val="none" w:sz="0" w:space="0" w:color="auto"/>
        <w:right w:val="none" w:sz="0" w:space="0" w:color="auto"/>
      </w:divBdr>
    </w:div>
    <w:div w:id="368844999">
      <w:bodyDiv w:val="1"/>
      <w:marLeft w:val="0"/>
      <w:marRight w:val="0"/>
      <w:marTop w:val="0"/>
      <w:marBottom w:val="0"/>
      <w:divBdr>
        <w:top w:val="none" w:sz="0" w:space="0" w:color="auto"/>
        <w:left w:val="none" w:sz="0" w:space="0" w:color="auto"/>
        <w:bottom w:val="none" w:sz="0" w:space="0" w:color="auto"/>
        <w:right w:val="none" w:sz="0" w:space="0" w:color="auto"/>
      </w:divBdr>
    </w:div>
    <w:div w:id="369034030">
      <w:bodyDiv w:val="1"/>
      <w:marLeft w:val="0"/>
      <w:marRight w:val="0"/>
      <w:marTop w:val="0"/>
      <w:marBottom w:val="0"/>
      <w:divBdr>
        <w:top w:val="none" w:sz="0" w:space="0" w:color="auto"/>
        <w:left w:val="none" w:sz="0" w:space="0" w:color="auto"/>
        <w:bottom w:val="none" w:sz="0" w:space="0" w:color="auto"/>
        <w:right w:val="none" w:sz="0" w:space="0" w:color="auto"/>
      </w:divBdr>
    </w:div>
    <w:div w:id="369065545">
      <w:bodyDiv w:val="1"/>
      <w:marLeft w:val="0"/>
      <w:marRight w:val="0"/>
      <w:marTop w:val="0"/>
      <w:marBottom w:val="0"/>
      <w:divBdr>
        <w:top w:val="none" w:sz="0" w:space="0" w:color="auto"/>
        <w:left w:val="none" w:sz="0" w:space="0" w:color="auto"/>
        <w:bottom w:val="none" w:sz="0" w:space="0" w:color="auto"/>
        <w:right w:val="none" w:sz="0" w:space="0" w:color="auto"/>
      </w:divBdr>
    </w:div>
    <w:div w:id="369185210">
      <w:bodyDiv w:val="1"/>
      <w:marLeft w:val="0"/>
      <w:marRight w:val="0"/>
      <w:marTop w:val="0"/>
      <w:marBottom w:val="0"/>
      <w:divBdr>
        <w:top w:val="none" w:sz="0" w:space="0" w:color="auto"/>
        <w:left w:val="none" w:sz="0" w:space="0" w:color="auto"/>
        <w:bottom w:val="none" w:sz="0" w:space="0" w:color="auto"/>
        <w:right w:val="none" w:sz="0" w:space="0" w:color="auto"/>
      </w:divBdr>
    </w:div>
    <w:div w:id="369307845">
      <w:bodyDiv w:val="1"/>
      <w:marLeft w:val="0"/>
      <w:marRight w:val="0"/>
      <w:marTop w:val="0"/>
      <w:marBottom w:val="0"/>
      <w:divBdr>
        <w:top w:val="none" w:sz="0" w:space="0" w:color="auto"/>
        <w:left w:val="none" w:sz="0" w:space="0" w:color="auto"/>
        <w:bottom w:val="none" w:sz="0" w:space="0" w:color="auto"/>
        <w:right w:val="none" w:sz="0" w:space="0" w:color="auto"/>
      </w:divBdr>
    </w:div>
    <w:div w:id="370229239">
      <w:bodyDiv w:val="1"/>
      <w:marLeft w:val="0"/>
      <w:marRight w:val="0"/>
      <w:marTop w:val="0"/>
      <w:marBottom w:val="0"/>
      <w:divBdr>
        <w:top w:val="none" w:sz="0" w:space="0" w:color="auto"/>
        <w:left w:val="none" w:sz="0" w:space="0" w:color="auto"/>
        <w:bottom w:val="none" w:sz="0" w:space="0" w:color="auto"/>
        <w:right w:val="none" w:sz="0" w:space="0" w:color="auto"/>
      </w:divBdr>
    </w:div>
    <w:div w:id="370616715">
      <w:bodyDiv w:val="1"/>
      <w:marLeft w:val="0"/>
      <w:marRight w:val="0"/>
      <w:marTop w:val="0"/>
      <w:marBottom w:val="0"/>
      <w:divBdr>
        <w:top w:val="none" w:sz="0" w:space="0" w:color="auto"/>
        <w:left w:val="none" w:sz="0" w:space="0" w:color="auto"/>
        <w:bottom w:val="none" w:sz="0" w:space="0" w:color="auto"/>
        <w:right w:val="none" w:sz="0" w:space="0" w:color="auto"/>
      </w:divBdr>
    </w:div>
    <w:div w:id="370808912">
      <w:bodyDiv w:val="1"/>
      <w:marLeft w:val="0"/>
      <w:marRight w:val="0"/>
      <w:marTop w:val="0"/>
      <w:marBottom w:val="0"/>
      <w:divBdr>
        <w:top w:val="none" w:sz="0" w:space="0" w:color="auto"/>
        <w:left w:val="none" w:sz="0" w:space="0" w:color="auto"/>
        <w:bottom w:val="none" w:sz="0" w:space="0" w:color="auto"/>
        <w:right w:val="none" w:sz="0" w:space="0" w:color="auto"/>
      </w:divBdr>
    </w:div>
    <w:div w:id="370886780">
      <w:bodyDiv w:val="1"/>
      <w:marLeft w:val="0"/>
      <w:marRight w:val="0"/>
      <w:marTop w:val="0"/>
      <w:marBottom w:val="0"/>
      <w:divBdr>
        <w:top w:val="none" w:sz="0" w:space="0" w:color="auto"/>
        <w:left w:val="none" w:sz="0" w:space="0" w:color="auto"/>
        <w:bottom w:val="none" w:sz="0" w:space="0" w:color="auto"/>
        <w:right w:val="none" w:sz="0" w:space="0" w:color="auto"/>
      </w:divBdr>
    </w:div>
    <w:div w:id="370963798">
      <w:bodyDiv w:val="1"/>
      <w:marLeft w:val="0"/>
      <w:marRight w:val="0"/>
      <w:marTop w:val="0"/>
      <w:marBottom w:val="0"/>
      <w:divBdr>
        <w:top w:val="none" w:sz="0" w:space="0" w:color="auto"/>
        <w:left w:val="none" w:sz="0" w:space="0" w:color="auto"/>
        <w:bottom w:val="none" w:sz="0" w:space="0" w:color="auto"/>
        <w:right w:val="none" w:sz="0" w:space="0" w:color="auto"/>
      </w:divBdr>
    </w:div>
    <w:div w:id="371075152">
      <w:bodyDiv w:val="1"/>
      <w:marLeft w:val="0"/>
      <w:marRight w:val="0"/>
      <w:marTop w:val="0"/>
      <w:marBottom w:val="0"/>
      <w:divBdr>
        <w:top w:val="none" w:sz="0" w:space="0" w:color="auto"/>
        <w:left w:val="none" w:sz="0" w:space="0" w:color="auto"/>
        <w:bottom w:val="none" w:sz="0" w:space="0" w:color="auto"/>
        <w:right w:val="none" w:sz="0" w:space="0" w:color="auto"/>
      </w:divBdr>
    </w:div>
    <w:div w:id="371537562">
      <w:bodyDiv w:val="1"/>
      <w:marLeft w:val="0"/>
      <w:marRight w:val="0"/>
      <w:marTop w:val="0"/>
      <w:marBottom w:val="0"/>
      <w:divBdr>
        <w:top w:val="none" w:sz="0" w:space="0" w:color="auto"/>
        <w:left w:val="none" w:sz="0" w:space="0" w:color="auto"/>
        <w:bottom w:val="none" w:sz="0" w:space="0" w:color="auto"/>
        <w:right w:val="none" w:sz="0" w:space="0" w:color="auto"/>
      </w:divBdr>
    </w:div>
    <w:div w:id="371610706">
      <w:bodyDiv w:val="1"/>
      <w:marLeft w:val="0"/>
      <w:marRight w:val="0"/>
      <w:marTop w:val="0"/>
      <w:marBottom w:val="0"/>
      <w:divBdr>
        <w:top w:val="none" w:sz="0" w:space="0" w:color="auto"/>
        <w:left w:val="none" w:sz="0" w:space="0" w:color="auto"/>
        <w:bottom w:val="none" w:sz="0" w:space="0" w:color="auto"/>
        <w:right w:val="none" w:sz="0" w:space="0" w:color="auto"/>
      </w:divBdr>
    </w:div>
    <w:div w:id="371729789">
      <w:bodyDiv w:val="1"/>
      <w:marLeft w:val="0"/>
      <w:marRight w:val="0"/>
      <w:marTop w:val="0"/>
      <w:marBottom w:val="0"/>
      <w:divBdr>
        <w:top w:val="none" w:sz="0" w:space="0" w:color="auto"/>
        <w:left w:val="none" w:sz="0" w:space="0" w:color="auto"/>
        <w:bottom w:val="none" w:sz="0" w:space="0" w:color="auto"/>
        <w:right w:val="none" w:sz="0" w:space="0" w:color="auto"/>
      </w:divBdr>
    </w:div>
    <w:div w:id="371811059">
      <w:bodyDiv w:val="1"/>
      <w:marLeft w:val="0"/>
      <w:marRight w:val="0"/>
      <w:marTop w:val="0"/>
      <w:marBottom w:val="0"/>
      <w:divBdr>
        <w:top w:val="none" w:sz="0" w:space="0" w:color="auto"/>
        <w:left w:val="none" w:sz="0" w:space="0" w:color="auto"/>
        <w:bottom w:val="none" w:sz="0" w:space="0" w:color="auto"/>
        <w:right w:val="none" w:sz="0" w:space="0" w:color="auto"/>
      </w:divBdr>
    </w:div>
    <w:div w:id="371812108">
      <w:bodyDiv w:val="1"/>
      <w:marLeft w:val="0"/>
      <w:marRight w:val="0"/>
      <w:marTop w:val="0"/>
      <w:marBottom w:val="0"/>
      <w:divBdr>
        <w:top w:val="none" w:sz="0" w:space="0" w:color="auto"/>
        <w:left w:val="none" w:sz="0" w:space="0" w:color="auto"/>
        <w:bottom w:val="none" w:sz="0" w:space="0" w:color="auto"/>
        <w:right w:val="none" w:sz="0" w:space="0" w:color="auto"/>
      </w:divBdr>
    </w:div>
    <w:div w:id="372656548">
      <w:bodyDiv w:val="1"/>
      <w:marLeft w:val="0"/>
      <w:marRight w:val="0"/>
      <w:marTop w:val="0"/>
      <w:marBottom w:val="0"/>
      <w:divBdr>
        <w:top w:val="none" w:sz="0" w:space="0" w:color="auto"/>
        <w:left w:val="none" w:sz="0" w:space="0" w:color="auto"/>
        <w:bottom w:val="none" w:sz="0" w:space="0" w:color="auto"/>
        <w:right w:val="none" w:sz="0" w:space="0" w:color="auto"/>
      </w:divBdr>
    </w:div>
    <w:div w:id="372732339">
      <w:bodyDiv w:val="1"/>
      <w:marLeft w:val="0"/>
      <w:marRight w:val="0"/>
      <w:marTop w:val="0"/>
      <w:marBottom w:val="0"/>
      <w:divBdr>
        <w:top w:val="none" w:sz="0" w:space="0" w:color="auto"/>
        <w:left w:val="none" w:sz="0" w:space="0" w:color="auto"/>
        <w:bottom w:val="none" w:sz="0" w:space="0" w:color="auto"/>
        <w:right w:val="none" w:sz="0" w:space="0" w:color="auto"/>
      </w:divBdr>
    </w:div>
    <w:div w:id="372778873">
      <w:bodyDiv w:val="1"/>
      <w:marLeft w:val="0"/>
      <w:marRight w:val="0"/>
      <w:marTop w:val="0"/>
      <w:marBottom w:val="0"/>
      <w:divBdr>
        <w:top w:val="none" w:sz="0" w:space="0" w:color="auto"/>
        <w:left w:val="none" w:sz="0" w:space="0" w:color="auto"/>
        <w:bottom w:val="none" w:sz="0" w:space="0" w:color="auto"/>
        <w:right w:val="none" w:sz="0" w:space="0" w:color="auto"/>
      </w:divBdr>
    </w:div>
    <w:div w:id="373192019">
      <w:bodyDiv w:val="1"/>
      <w:marLeft w:val="0"/>
      <w:marRight w:val="0"/>
      <w:marTop w:val="0"/>
      <w:marBottom w:val="0"/>
      <w:divBdr>
        <w:top w:val="none" w:sz="0" w:space="0" w:color="auto"/>
        <w:left w:val="none" w:sz="0" w:space="0" w:color="auto"/>
        <w:bottom w:val="none" w:sz="0" w:space="0" w:color="auto"/>
        <w:right w:val="none" w:sz="0" w:space="0" w:color="auto"/>
      </w:divBdr>
    </w:div>
    <w:div w:id="373192487">
      <w:bodyDiv w:val="1"/>
      <w:marLeft w:val="0"/>
      <w:marRight w:val="0"/>
      <w:marTop w:val="0"/>
      <w:marBottom w:val="0"/>
      <w:divBdr>
        <w:top w:val="none" w:sz="0" w:space="0" w:color="auto"/>
        <w:left w:val="none" w:sz="0" w:space="0" w:color="auto"/>
        <w:bottom w:val="none" w:sz="0" w:space="0" w:color="auto"/>
        <w:right w:val="none" w:sz="0" w:space="0" w:color="auto"/>
      </w:divBdr>
    </w:div>
    <w:div w:id="373308984">
      <w:bodyDiv w:val="1"/>
      <w:marLeft w:val="0"/>
      <w:marRight w:val="0"/>
      <w:marTop w:val="0"/>
      <w:marBottom w:val="0"/>
      <w:divBdr>
        <w:top w:val="none" w:sz="0" w:space="0" w:color="auto"/>
        <w:left w:val="none" w:sz="0" w:space="0" w:color="auto"/>
        <w:bottom w:val="none" w:sz="0" w:space="0" w:color="auto"/>
        <w:right w:val="none" w:sz="0" w:space="0" w:color="auto"/>
      </w:divBdr>
    </w:div>
    <w:div w:id="373433809">
      <w:bodyDiv w:val="1"/>
      <w:marLeft w:val="0"/>
      <w:marRight w:val="0"/>
      <w:marTop w:val="0"/>
      <w:marBottom w:val="0"/>
      <w:divBdr>
        <w:top w:val="none" w:sz="0" w:space="0" w:color="auto"/>
        <w:left w:val="none" w:sz="0" w:space="0" w:color="auto"/>
        <w:bottom w:val="none" w:sz="0" w:space="0" w:color="auto"/>
        <w:right w:val="none" w:sz="0" w:space="0" w:color="auto"/>
      </w:divBdr>
    </w:div>
    <w:div w:id="373622012">
      <w:bodyDiv w:val="1"/>
      <w:marLeft w:val="0"/>
      <w:marRight w:val="0"/>
      <w:marTop w:val="0"/>
      <w:marBottom w:val="0"/>
      <w:divBdr>
        <w:top w:val="none" w:sz="0" w:space="0" w:color="auto"/>
        <w:left w:val="none" w:sz="0" w:space="0" w:color="auto"/>
        <w:bottom w:val="none" w:sz="0" w:space="0" w:color="auto"/>
        <w:right w:val="none" w:sz="0" w:space="0" w:color="auto"/>
      </w:divBdr>
    </w:div>
    <w:div w:id="373775245">
      <w:bodyDiv w:val="1"/>
      <w:marLeft w:val="0"/>
      <w:marRight w:val="0"/>
      <w:marTop w:val="0"/>
      <w:marBottom w:val="0"/>
      <w:divBdr>
        <w:top w:val="none" w:sz="0" w:space="0" w:color="auto"/>
        <w:left w:val="none" w:sz="0" w:space="0" w:color="auto"/>
        <w:bottom w:val="none" w:sz="0" w:space="0" w:color="auto"/>
        <w:right w:val="none" w:sz="0" w:space="0" w:color="auto"/>
      </w:divBdr>
    </w:div>
    <w:div w:id="374231355">
      <w:bodyDiv w:val="1"/>
      <w:marLeft w:val="0"/>
      <w:marRight w:val="0"/>
      <w:marTop w:val="0"/>
      <w:marBottom w:val="0"/>
      <w:divBdr>
        <w:top w:val="none" w:sz="0" w:space="0" w:color="auto"/>
        <w:left w:val="none" w:sz="0" w:space="0" w:color="auto"/>
        <w:bottom w:val="none" w:sz="0" w:space="0" w:color="auto"/>
        <w:right w:val="none" w:sz="0" w:space="0" w:color="auto"/>
      </w:divBdr>
    </w:div>
    <w:div w:id="374231804">
      <w:bodyDiv w:val="1"/>
      <w:marLeft w:val="0"/>
      <w:marRight w:val="0"/>
      <w:marTop w:val="0"/>
      <w:marBottom w:val="0"/>
      <w:divBdr>
        <w:top w:val="none" w:sz="0" w:space="0" w:color="auto"/>
        <w:left w:val="none" w:sz="0" w:space="0" w:color="auto"/>
        <w:bottom w:val="none" w:sz="0" w:space="0" w:color="auto"/>
        <w:right w:val="none" w:sz="0" w:space="0" w:color="auto"/>
      </w:divBdr>
    </w:div>
    <w:div w:id="374281832">
      <w:bodyDiv w:val="1"/>
      <w:marLeft w:val="0"/>
      <w:marRight w:val="0"/>
      <w:marTop w:val="0"/>
      <w:marBottom w:val="0"/>
      <w:divBdr>
        <w:top w:val="none" w:sz="0" w:space="0" w:color="auto"/>
        <w:left w:val="none" w:sz="0" w:space="0" w:color="auto"/>
        <w:bottom w:val="none" w:sz="0" w:space="0" w:color="auto"/>
        <w:right w:val="none" w:sz="0" w:space="0" w:color="auto"/>
      </w:divBdr>
    </w:div>
    <w:div w:id="374426102">
      <w:bodyDiv w:val="1"/>
      <w:marLeft w:val="0"/>
      <w:marRight w:val="0"/>
      <w:marTop w:val="0"/>
      <w:marBottom w:val="0"/>
      <w:divBdr>
        <w:top w:val="none" w:sz="0" w:space="0" w:color="auto"/>
        <w:left w:val="none" w:sz="0" w:space="0" w:color="auto"/>
        <w:bottom w:val="none" w:sz="0" w:space="0" w:color="auto"/>
        <w:right w:val="none" w:sz="0" w:space="0" w:color="auto"/>
      </w:divBdr>
    </w:div>
    <w:div w:id="374739475">
      <w:bodyDiv w:val="1"/>
      <w:marLeft w:val="0"/>
      <w:marRight w:val="0"/>
      <w:marTop w:val="0"/>
      <w:marBottom w:val="0"/>
      <w:divBdr>
        <w:top w:val="none" w:sz="0" w:space="0" w:color="auto"/>
        <w:left w:val="none" w:sz="0" w:space="0" w:color="auto"/>
        <w:bottom w:val="none" w:sz="0" w:space="0" w:color="auto"/>
        <w:right w:val="none" w:sz="0" w:space="0" w:color="auto"/>
      </w:divBdr>
    </w:div>
    <w:div w:id="374887863">
      <w:bodyDiv w:val="1"/>
      <w:marLeft w:val="0"/>
      <w:marRight w:val="0"/>
      <w:marTop w:val="0"/>
      <w:marBottom w:val="0"/>
      <w:divBdr>
        <w:top w:val="none" w:sz="0" w:space="0" w:color="auto"/>
        <w:left w:val="none" w:sz="0" w:space="0" w:color="auto"/>
        <w:bottom w:val="none" w:sz="0" w:space="0" w:color="auto"/>
        <w:right w:val="none" w:sz="0" w:space="0" w:color="auto"/>
      </w:divBdr>
    </w:div>
    <w:div w:id="375159137">
      <w:bodyDiv w:val="1"/>
      <w:marLeft w:val="0"/>
      <w:marRight w:val="0"/>
      <w:marTop w:val="0"/>
      <w:marBottom w:val="0"/>
      <w:divBdr>
        <w:top w:val="none" w:sz="0" w:space="0" w:color="auto"/>
        <w:left w:val="none" w:sz="0" w:space="0" w:color="auto"/>
        <w:bottom w:val="none" w:sz="0" w:space="0" w:color="auto"/>
        <w:right w:val="none" w:sz="0" w:space="0" w:color="auto"/>
      </w:divBdr>
    </w:div>
    <w:div w:id="376048556">
      <w:bodyDiv w:val="1"/>
      <w:marLeft w:val="0"/>
      <w:marRight w:val="0"/>
      <w:marTop w:val="0"/>
      <w:marBottom w:val="0"/>
      <w:divBdr>
        <w:top w:val="none" w:sz="0" w:space="0" w:color="auto"/>
        <w:left w:val="none" w:sz="0" w:space="0" w:color="auto"/>
        <w:bottom w:val="none" w:sz="0" w:space="0" w:color="auto"/>
        <w:right w:val="none" w:sz="0" w:space="0" w:color="auto"/>
      </w:divBdr>
    </w:div>
    <w:div w:id="376318769">
      <w:bodyDiv w:val="1"/>
      <w:marLeft w:val="0"/>
      <w:marRight w:val="0"/>
      <w:marTop w:val="0"/>
      <w:marBottom w:val="0"/>
      <w:divBdr>
        <w:top w:val="none" w:sz="0" w:space="0" w:color="auto"/>
        <w:left w:val="none" w:sz="0" w:space="0" w:color="auto"/>
        <w:bottom w:val="none" w:sz="0" w:space="0" w:color="auto"/>
        <w:right w:val="none" w:sz="0" w:space="0" w:color="auto"/>
      </w:divBdr>
    </w:div>
    <w:div w:id="376392519">
      <w:bodyDiv w:val="1"/>
      <w:marLeft w:val="0"/>
      <w:marRight w:val="0"/>
      <w:marTop w:val="0"/>
      <w:marBottom w:val="0"/>
      <w:divBdr>
        <w:top w:val="none" w:sz="0" w:space="0" w:color="auto"/>
        <w:left w:val="none" w:sz="0" w:space="0" w:color="auto"/>
        <w:bottom w:val="none" w:sz="0" w:space="0" w:color="auto"/>
        <w:right w:val="none" w:sz="0" w:space="0" w:color="auto"/>
      </w:divBdr>
    </w:div>
    <w:div w:id="376439753">
      <w:bodyDiv w:val="1"/>
      <w:marLeft w:val="0"/>
      <w:marRight w:val="0"/>
      <w:marTop w:val="0"/>
      <w:marBottom w:val="0"/>
      <w:divBdr>
        <w:top w:val="none" w:sz="0" w:space="0" w:color="auto"/>
        <w:left w:val="none" w:sz="0" w:space="0" w:color="auto"/>
        <w:bottom w:val="none" w:sz="0" w:space="0" w:color="auto"/>
        <w:right w:val="none" w:sz="0" w:space="0" w:color="auto"/>
      </w:divBdr>
    </w:div>
    <w:div w:id="376662252">
      <w:bodyDiv w:val="1"/>
      <w:marLeft w:val="0"/>
      <w:marRight w:val="0"/>
      <w:marTop w:val="0"/>
      <w:marBottom w:val="0"/>
      <w:divBdr>
        <w:top w:val="none" w:sz="0" w:space="0" w:color="auto"/>
        <w:left w:val="none" w:sz="0" w:space="0" w:color="auto"/>
        <w:bottom w:val="none" w:sz="0" w:space="0" w:color="auto"/>
        <w:right w:val="none" w:sz="0" w:space="0" w:color="auto"/>
      </w:divBdr>
    </w:div>
    <w:div w:id="376703713">
      <w:bodyDiv w:val="1"/>
      <w:marLeft w:val="0"/>
      <w:marRight w:val="0"/>
      <w:marTop w:val="0"/>
      <w:marBottom w:val="0"/>
      <w:divBdr>
        <w:top w:val="none" w:sz="0" w:space="0" w:color="auto"/>
        <w:left w:val="none" w:sz="0" w:space="0" w:color="auto"/>
        <w:bottom w:val="none" w:sz="0" w:space="0" w:color="auto"/>
        <w:right w:val="none" w:sz="0" w:space="0" w:color="auto"/>
      </w:divBdr>
    </w:div>
    <w:div w:id="376979702">
      <w:bodyDiv w:val="1"/>
      <w:marLeft w:val="0"/>
      <w:marRight w:val="0"/>
      <w:marTop w:val="0"/>
      <w:marBottom w:val="0"/>
      <w:divBdr>
        <w:top w:val="none" w:sz="0" w:space="0" w:color="auto"/>
        <w:left w:val="none" w:sz="0" w:space="0" w:color="auto"/>
        <w:bottom w:val="none" w:sz="0" w:space="0" w:color="auto"/>
        <w:right w:val="none" w:sz="0" w:space="0" w:color="auto"/>
      </w:divBdr>
    </w:div>
    <w:div w:id="377751077">
      <w:bodyDiv w:val="1"/>
      <w:marLeft w:val="0"/>
      <w:marRight w:val="0"/>
      <w:marTop w:val="0"/>
      <w:marBottom w:val="0"/>
      <w:divBdr>
        <w:top w:val="none" w:sz="0" w:space="0" w:color="auto"/>
        <w:left w:val="none" w:sz="0" w:space="0" w:color="auto"/>
        <w:bottom w:val="none" w:sz="0" w:space="0" w:color="auto"/>
        <w:right w:val="none" w:sz="0" w:space="0" w:color="auto"/>
      </w:divBdr>
    </w:div>
    <w:div w:id="378167310">
      <w:bodyDiv w:val="1"/>
      <w:marLeft w:val="0"/>
      <w:marRight w:val="0"/>
      <w:marTop w:val="0"/>
      <w:marBottom w:val="0"/>
      <w:divBdr>
        <w:top w:val="none" w:sz="0" w:space="0" w:color="auto"/>
        <w:left w:val="none" w:sz="0" w:space="0" w:color="auto"/>
        <w:bottom w:val="none" w:sz="0" w:space="0" w:color="auto"/>
        <w:right w:val="none" w:sz="0" w:space="0" w:color="auto"/>
      </w:divBdr>
    </w:div>
    <w:div w:id="378288523">
      <w:bodyDiv w:val="1"/>
      <w:marLeft w:val="0"/>
      <w:marRight w:val="0"/>
      <w:marTop w:val="0"/>
      <w:marBottom w:val="0"/>
      <w:divBdr>
        <w:top w:val="none" w:sz="0" w:space="0" w:color="auto"/>
        <w:left w:val="none" w:sz="0" w:space="0" w:color="auto"/>
        <w:bottom w:val="none" w:sz="0" w:space="0" w:color="auto"/>
        <w:right w:val="none" w:sz="0" w:space="0" w:color="auto"/>
      </w:divBdr>
    </w:div>
    <w:div w:id="378432997">
      <w:bodyDiv w:val="1"/>
      <w:marLeft w:val="0"/>
      <w:marRight w:val="0"/>
      <w:marTop w:val="0"/>
      <w:marBottom w:val="0"/>
      <w:divBdr>
        <w:top w:val="none" w:sz="0" w:space="0" w:color="auto"/>
        <w:left w:val="none" w:sz="0" w:space="0" w:color="auto"/>
        <w:bottom w:val="none" w:sz="0" w:space="0" w:color="auto"/>
        <w:right w:val="none" w:sz="0" w:space="0" w:color="auto"/>
      </w:divBdr>
    </w:div>
    <w:div w:id="378667648">
      <w:bodyDiv w:val="1"/>
      <w:marLeft w:val="0"/>
      <w:marRight w:val="0"/>
      <w:marTop w:val="0"/>
      <w:marBottom w:val="0"/>
      <w:divBdr>
        <w:top w:val="none" w:sz="0" w:space="0" w:color="auto"/>
        <w:left w:val="none" w:sz="0" w:space="0" w:color="auto"/>
        <w:bottom w:val="none" w:sz="0" w:space="0" w:color="auto"/>
        <w:right w:val="none" w:sz="0" w:space="0" w:color="auto"/>
      </w:divBdr>
    </w:div>
    <w:div w:id="378940689">
      <w:bodyDiv w:val="1"/>
      <w:marLeft w:val="0"/>
      <w:marRight w:val="0"/>
      <w:marTop w:val="0"/>
      <w:marBottom w:val="0"/>
      <w:divBdr>
        <w:top w:val="none" w:sz="0" w:space="0" w:color="auto"/>
        <w:left w:val="none" w:sz="0" w:space="0" w:color="auto"/>
        <w:bottom w:val="none" w:sz="0" w:space="0" w:color="auto"/>
        <w:right w:val="none" w:sz="0" w:space="0" w:color="auto"/>
      </w:divBdr>
    </w:div>
    <w:div w:id="379479318">
      <w:bodyDiv w:val="1"/>
      <w:marLeft w:val="0"/>
      <w:marRight w:val="0"/>
      <w:marTop w:val="0"/>
      <w:marBottom w:val="0"/>
      <w:divBdr>
        <w:top w:val="none" w:sz="0" w:space="0" w:color="auto"/>
        <w:left w:val="none" w:sz="0" w:space="0" w:color="auto"/>
        <w:bottom w:val="none" w:sz="0" w:space="0" w:color="auto"/>
        <w:right w:val="none" w:sz="0" w:space="0" w:color="auto"/>
      </w:divBdr>
    </w:div>
    <w:div w:id="379549934">
      <w:bodyDiv w:val="1"/>
      <w:marLeft w:val="0"/>
      <w:marRight w:val="0"/>
      <w:marTop w:val="0"/>
      <w:marBottom w:val="0"/>
      <w:divBdr>
        <w:top w:val="none" w:sz="0" w:space="0" w:color="auto"/>
        <w:left w:val="none" w:sz="0" w:space="0" w:color="auto"/>
        <w:bottom w:val="none" w:sz="0" w:space="0" w:color="auto"/>
        <w:right w:val="none" w:sz="0" w:space="0" w:color="auto"/>
      </w:divBdr>
    </w:div>
    <w:div w:id="380179923">
      <w:bodyDiv w:val="1"/>
      <w:marLeft w:val="0"/>
      <w:marRight w:val="0"/>
      <w:marTop w:val="0"/>
      <w:marBottom w:val="0"/>
      <w:divBdr>
        <w:top w:val="none" w:sz="0" w:space="0" w:color="auto"/>
        <w:left w:val="none" w:sz="0" w:space="0" w:color="auto"/>
        <w:bottom w:val="none" w:sz="0" w:space="0" w:color="auto"/>
        <w:right w:val="none" w:sz="0" w:space="0" w:color="auto"/>
      </w:divBdr>
    </w:div>
    <w:div w:id="380247285">
      <w:bodyDiv w:val="1"/>
      <w:marLeft w:val="0"/>
      <w:marRight w:val="0"/>
      <w:marTop w:val="0"/>
      <w:marBottom w:val="0"/>
      <w:divBdr>
        <w:top w:val="none" w:sz="0" w:space="0" w:color="auto"/>
        <w:left w:val="none" w:sz="0" w:space="0" w:color="auto"/>
        <w:bottom w:val="none" w:sz="0" w:space="0" w:color="auto"/>
        <w:right w:val="none" w:sz="0" w:space="0" w:color="auto"/>
      </w:divBdr>
    </w:div>
    <w:div w:id="380330426">
      <w:bodyDiv w:val="1"/>
      <w:marLeft w:val="0"/>
      <w:marRight w:val="0"/>
      <w:marTop w:val="0"/>
      <w:marBottom w:val="0"/>
      <w:divBdr>
        <w:top w:val="none" w:sz="0" w:space="0" w:color="auto"/>
        <w:left w:val="none" w:sz="0" w:space="0" w:color="auto"/>
        <w:bottom w:val="none" w:sz="0" w:space="0" w:color="auto"/>
        <w:right w:val="none" w:sz="0" w:space="0" w:color="auto"/>
      </w:divBdr>
    </w:div>
    <w:div w:id="380788275">
      <w:bodyDiv w:val="1"/>
      <w:marLeft w:val="0"/>
      <w:marRight w:val="0"/>
      <w:marTop w:val="0"/>
      <w:marBottom w:val="0"/>
      <w:divBdr>
        <w:top w:val="none" w:sz="0" w:space="0" w:color="auto"/>
        <w:left w:val="none" w:sz="0" w:space="0" w:color="auto"/>
        <w:bottom w:val="none" w:sz="0" w:space="0" w:color="auto"/>
        <w:right w:val="none" w:sz="0" w:space="0" w:color="auto"/>
      </w:divBdr>
    </w:div>
    <w:div w:id="381052648">
      <w:bodyDiv w:val="1"/>
      <w:marLeft w:val="0"/>
      <w:marRight w:val="0"/>
      <w:marTop w:val="0"/>
      <w:marBottom w:val="0"/>
      <w:divBdr>
        <w:top w:val="none" w:sz="0" w:space="0" w:color="auto"/>
        <w:left w:val="none" w:sz="0" w:space="0" w:color="auto"/>
        <w:bottom w:val="none" w:sz="0" w:space="0" w:color="auto"/>
        <w:right w:val="none" w:sz="0" w:space="0" w:color="auto"/>
      </w:divBdr>
    </w:div>
    <w:div w:id="381056026">
      <w:bodyDiv w:val="1"/>
      <w:marLeft w:val="0"/>
      <w:marRight w:val="0"/>
      <w:marTop w:val="0"/>
      <w:marBottom w:val="0"/>
      <w:divBdr>
        <w:top w:val="none" w:sz="0" w:space="0" w:color="auto"/>
        <w:left w:val="none" w:sz="0" w:space="0" w:color="auto"/>
        <w:bottom w:val="none" w:sz="0" w:space="0" w:color="auto"/>
        <w:right w:val="none" w:sz="0" w:space="0" w:color="auto"/>
      </w:divBdr>
    </w:div>
    <w:div w:id="381097207">
      <w:bodyDiv w:val="1"/>
      <w:marLeft w:val="0"/>
      <w:marRight w:val="0"/>
      <w:marTop w:val="0"/>
      <w:marBottom w:val="0"/>
      <w:divBdr>
        <w:top w:val="none" w:sz="0" w:space="0" w:color="auto"/>
        <w:left w:val="none" w:sz="0" w:space="0" w:color="auto"/>
        <w:bottom w:val="none" w:sz="0" w:space="0" w:color="auto"/>
        <w:right w:val="none" w:sz="0" w:space="0" w:color="auto"/>
      </w:divBdr>
    </w:div>
    <w:div w:id="381440929">
      <w:bodyDiv w:val="1"/>
      <w:marLeft w:val="0"/>
      <w:marRight w:val="0"/>
      <w:marTop w:val="0"/>
      <w:marBottom w:val="0"/>
      <w:divBdr>
        <w:top w:val="none" w:sz="0" w:space="0" w:color="auto"/>
        <w:left w:val="none" w:sz="0" w:space="0" w:color="auto"/>
        <w:bottom w:val="none" w:sz="0" w:space="0" w:color="auto"/>
        <w:right w:val="none" w:sz="0" w:space="0" w:color="auto"/>
      </w:divBdr>
    </w:div>
    <w:div w:id="381448382">
      <w:bodyDiv w:val="1"/>
      <w:marLeft w:val="0"/>
      <w:marRight w:val="0"/>
      <w:marTop w:val="0"/>
      <w:marBottom w:val="0"/>
      <w:divBdr>
        <w:top w:val="none" w:sz="0" w:space="0" w:color="auto"/>
        <w:left w:val="none" w:sz="0" w:space="0" w:color="auto"/>
        <w:bottom w:val="none" w:sz="0" w:space="0" w:color="auto"/>
        <w:right w:val="none" w:sz="0" w:space="0" w:color="auto"/>
      </w:divBdr>
    </w:div>
    <w:div w:id="381681815">
      <w:bodyDiv w:val="1"/>
      <w:marLeft w:val="0"/>
      <w:marRight w:val="0"/>
      <w:marTop w:val="0"/>
      <w:marBottom w:val="0"/>
      <w:divBdr>
        <w:top w:val="none" w:sz="0" w:space="0" w:color="auto"/>
        <w:left w:val="none" w:sz="0" w:space="0" w:color="auto"/>
        <w:bottom w:val="none" w:sz="0" w:space="0" w:color="auto"/>
        <w:right w:val="none" w:sz="0" w:space="0" w:color="auto"/>
      </w:divBdr>
    </w:div>
    <w:div w:id="381945799">
      <w:bodyDiv w:val="1"/>
      <w:marLeft w:val="0"/>
      <w:marRight w:val="0"/>
      <w:marTop w:val="0"/>
      <w:marBottom w:val="0"/>
      <w:divBdr>
        <w:top w:val="none" w:sz="0" w:space="0" w:color="auto"/>
        <w:left w:val="none" w:sz="0" w:space="0" w:color="auto"/>
        <w:bottom w:val="none" w:sz="0" w:space="0" w:color="auto"/>
        <w:right w:val="none" w:sz="0" w:space="0" w:color="auto"/>
      </w:divBdr>
    </w:div>
    <w:div w:id="382292065">
      <w:bodyDiv w:val="1"/>
      <w:marLeft w:val="0"/>
      <w:marRight w:val="0"/>
      <w:marTop w:val="0"/>
      <w:marBottom w:val="0"/>
      <w:divBdr>
        <w:top w:val="none" w:sz="0" w:space="0" w:color="auto"/>
        <w:left w:val="none" w:sz="0" w:space="0" w:color="auto"/>
        <w:bottom w:val="none" w:sz="0" w:space="0" w:color="auto"/>
        <w:right w:val="none" w:sz="0" w:space="0" w:color="auto"/>
      </w:divBdr>
    </w:div>
    <w:div w:id="383339257">
      <w:bodyDiv w:val="1"/>
      <w:marLeft w:val="0"/>
      <w:marRight w:val="0"/>
      <w:marTop w:val="0"/>
      <w:marBottom w:val="0"/>
      <w:divBdr>
        <w:top w:val="none" w:sz="0" w:space="0" w:color="auto"/>
        <w:left w:val="none" w:sz="0" w:space="0" w:color="auto"/>
        <w:bottom w:val="none" w:sz="0" w:space="0" w:color="auto"/>
        <w:right w:val="none" w:sz="0" w:space="0" w:color="auto"/>
      </w:divBdr>
    </w:div>
    <w:div w:id="383530671">
      <w:bodyDiv w:val="1"/>
      <w:marLeft w:val="0"/>
      <w:marRight w:val="0"/>
      <w:marTop w:val="0"/>
      <w:marBottom w:val="0"/>
      <w:divBdr>
        <w:top w:val="none" w:sz="0" w:space="0" w:color="auto"/>
        <w:left w:val="none" w:sz="0" w:space="0" w:color="auto"/>
        <w:bottom w:val="none" w:sz="0" w:space="0" w:color="auto"/>
        <w:right w:val="none" w:sz="0" w:space="0" w:color="auto"/>
      </w:divBdr>
    </w:div>
    <w:div w:id="383871807">
      <w:bodyDiv w:val="1"/>
      <w:marLeft w:val="0"/>
      <w:marRight w:val="0"/>
      <w:marTop w:val="0"/>
      <w:marBottom w:val="0"/>
      <w:divBdr>
        <w:top w:val="none" w:sz="0" w:space="0" w:color="auto"/>
        <w:left w:val="none" w:sz="0" w:space="0" w:color="auto"/>
        <w:bottom w:val="none" w:sz="0" w:space="0" w:color="auto"/>
        <w:right w:val="none" w:sz="0" w:space="0" w:color="auto"/>
      </w:divBdr>
    </w:div>
    <w:div w:id="383917055">
      <w:bodyDiv w:val="1"/>
      <w:marLeft w:val="0"/>
      <w:marRight w:val="0"/>
      <w:marTop w:val="0"/>
      <w:marBottom w:val="0"/>
      <w:divBdr>
        <w:top w:val="none" w:sz="0" w:space="0" w:color="auto"/>
        <w:left w:val="none" w:sz="0" w:space="0" w:color="auto"/>
        <w:bottom w:val="none" w:sz="0" w:space="0" w:color="auto"/>
        <w:right w:val="none" w:sz="0" w:space="0" w:color="auto"/>
      </w:divBdr>
    </w:div>
    <w:div w:id="383992081">
      <w:bodyDiv w:val="1"/>
      <w:marLeft w:val="0"/>
      <w:marRight w:val="0"/>
      <w:marTop w:val="0"/>
      <w:marBottom w:val="0"/>
      <w:divBdr>
        <w:top w:val="none" w:sz="0" w:space="0" w:color="auto"/>
        <w:left w:val="none" w:sz="0" w:space="0" w:color="auto"/>
        <w:bottom w:val="none" w:sz="0" w:space="0" w:color="auto"/>
        <w:right w:val="none" w:sz="0" w:space="0" w:color="auto"/>
      </w:divBdr>
    </w:div>
    <w:div w:id="384183389">
      <w:bodyDiv w:val="1"/>
      <w:marLeft w:val="0"/>
      <w:marRight w:val="0"/>
      <w:marTop w:val="0"/>
      <w:marBottom w:val="0"/>
      <w:divBdr>
        <w:top w:val="none" w:sz="0" w:space="0" w:color="auto"/>
        <w:left w:val="none" w:sz="0" w:space="0" w:color="auto"/>
        <w:bottom w:val="none" w:sz="0" w:space="0" w:color="auto"/>
        <w:right w:val="none" w:sz="0" w:space="0" w:color="auto"/>
      </w:divBdr>
    </w:div>
    <w:div w:id="384527505">
      <w:bodyDiv w:val="1"/>
      <w:marLeft w:val="0"/>
      <w:marRight w:val="0"/>
      <w:marTop w:val="0"/>
      <w:marBottom w:val="0"/>
      <w:divBdr>
        <w:top w:val="none" w:sz="0" w:space="0" w:color="auto"/>
        <w:left w:val="none" w:sz="0" w:space="0" w:color="auto"/>
        <w:bottom w:val="none" w:sz="0" w:space="0" w:color="auto"/>
        <w:right w:val="none" w:sz="0" w:space="0" w:color="auto"/>
      </w:divBdr>
    </w:div>
    <w:div w:id="384833705">
      <w:bodyDiv w:val="1"/>
      <w:marLeft w:val="0"/>
      <w:marRight w:val="0"/>
      <w:marTop w:val="0"/>
      <w:marBottom w:val="0"/>
      <w:divBdr>
        <w:top w:val="none" w:sz="0" w:space="0" w:color="auto"/>
        <w:left w:val="none" w:sz="0" w:space="0" w:color="auto"/>
        <w:bottom w:val="none" w:sz="0" w:space="0" w:color="auto"/>
        <w:right w:val="none" w:sz="0" w:space="0" w:color="auto"/>
      </w:divBdr>
    </w:div>
    <w:div w:id="385300913">
      <w:bodyDiv w:val="1"/>
      <w:marLeft w:val="0"/>
      <w:marRight w:val="0"/>
      <w:marTop w:val="0"/>
      <w:marBottom w:val="0"/>
      <w:divBdr>
        <w:top w:val="none" w:sz="0" w:space="0" w:color="auto"/>
        <w:left w:val="none" w:sz="0" w:space="0" w:color="auto"/>
        <w:bottom w:val="none" w:sz="0" w:space="0" w:color="auto"/>
        <w:right w:val="none" w:sz="0" w:space="0" w:color="auto"/>
      </w:divBdr>
    </w:div>
    <w:div w:id="386607729">
      <w:bodyDiv w:val="1"/>
      <w:marLeft w:val="0"/>
      <w:marRight w:val="0"/>
      <w:marTop w:val="0"/>
      <w:marBottom w:val="0"/>
      <w:divBdr>
        <w:top w:val="none" w:sz="0" w:space="0" w:color="auto"/>
        <w:left w:val="none" w:sz="0" w:space="0" w:color="auto"/>
        <w:bottom w:val="none" w:sz="0" w:space="0" w:color="auto"/>
        <w:right w:val="none" w:sz="0" w:space="0" w:color="auto"/>
      </w:divBdr>
    </w:div>
    <w:div w:id="386953508">
      <w:bodyDiv w:val="1"/>
      <w:marLeft w:val="0"/>
      <w:marRight w:val="0"/>
      <w:marTop w:val="0"/>
      <w:marBottom w:val="0"/>
      <w:divBdr>
        <w:top w:val="none" w:sz="0" w:space="0" w:color="auto"/>
        <w:left w:val="none" w:sz="0" w:space="0" w:color="auto"/>
        <w:bottom w:val="none" w:sz="0" w:space="0" w:color="auto"/>
        <w:right w:val="none" w:sz="0" w:space="0" w:color="auto"/>
      </w:divBdr>
    </w:div>
    <w:div w:id="387458384">
      <w:bodyDiv w:val="1"/>
      <w:marLeft w:val="0"/>
      <w:marRight w:val="0"/>
      <w:marTop w:val="0"/>
      <w:marBottom w:val="0"/>
      <w:divBdr>
        <w:top w:val="none" w:sz="0" w:space="0" w:color="auto"/>
        <w:left w:val="none" w:sz="0" w:space="0" w:color="auto"/>
        <w:bottom w:val="none" w:sz="0" w:space="0" w:color="auto"/>
        <w:right w:val="none" w:sz="0" w:space="0" w:color="auto"/>
      </w:divBdr>
    </w:div>
    <w:div w:id="387808148">
      <w:bodyDiv w:val="1"/>
      <w:marLeft w:val="0"/>
      <w:marRight w:val="0"/>
      <w:marTop w:val="0"/>
      <w:marBottom w:val="0"/>
      <w:divBdr>
        <w:top w:val="none" w:sz="0" w:space="0" w:color="auto"/>
        <w:left w:val="none" w:sz="0" w:space="0" w:color="auto"/>
        <w:bottom w:val="none" w:sz="0" w:space="0" w:color="auto"/>
        <w:right w:val="none" w:sz="0" w:space="0" w:color="auto"/>
      </w:divBdr>
    </w:div>
    <w:div w:id="387997428">
      <w:bodyDiv w:val="1"/>
      <w:marLeft w:val="0"/>
      <w:marRight w:val="0"/>
      <w:marTop w:val="0"/>
      <w:marBottom w:val="0"/>
      <w:divBdr>
        <w:top w:val="none" w:sz="0" w:space="0" w:color="auto"/>
        <w:left w:val="none" w:sz="0" w:space="0" w:color="auto"/>
        <w:bottom w:val="none" w:sz="0" w:space="0" w:color="auto"/>
        <w:right w:val="none" w:sz="0" w:space="0" w:color="auto"/>
      </w:divBdr>
    </w:div>
    <w:div w:id="388573975">
      <w:bodyDiv w:val="1"/>
      <w:marLeft w:val="0"/>
      <w:marRight w:val="0"/>
      <w:marTop w:val="0"/>
      <w:marBottom w:val="0"/>
      <w:divBdr>
        <w:top w:val="none" w:sz="0" w:space="0" w:color="auto"/>
        <w:left w:val="none" w:sz="0" w:space="0" w:color="auto"/>
        <w:bottom w:val="none" w:sz="0" w:space="0" w:color="auto"/>
        <w:right w:val="none" w:sz="0" w:space="0" w:color="auto"/>
      </w:divBdr>
    </w:div>
    <w:div w:id="388765785">
      <w:bodyDiv w:val="1"/>
      <w:marLeft w:val="0"/>
      <w:marRight w:val="0"/>
      <w:marTop w:val="0"/>
      <w:marBottom w:val="0"/>
      <w:divBdr>
        <w:top w:val="none" w:sz="0" w:space="0" w:color="auto"/>
        <w:left w:val="none" w:sz="0" w:space="0" w:color="auto"/>
        <w:bottom w:val="none" w:sz="0" w:space="0" w:color="auto"/>
        <w:right w:val="none" w:sz="0" w:space="0" w:color="auto"/>
      </w:divBdr>
    </w:div>
    <w:div w:id="388771395">
      <w:bodyDiv w:val="1"/>
      <w:marLeft w:val="0"/>
      <w:marRight w:val="0"/>
      <w:marTop w:val="0"/>
      <w:marBottom w:val="0"/>
      <w:divBdr>
        <w:top w:val="none" w:sz="0" w:space="0" w:color="auto"/>
        <w:left w:val="none" w:sz="0" w:space="0" w:color="auto"/>
        <w:bottom w:val="none" w:sz="0" w:space="0" w:color="auto"/>
        <w:right w:val="none" w:sz="0" w:space="0" w:color="auto"/>
      </w:divBdr>
    </w:div>
    <w:div w:id="389035190">
      <w:bodyDiv w:val="1"/>
      <w:marLeft w:val="0"/>
      <w:marRight w:val="0"/>
      <w:marTop w:val="0"/>
      <w:marBottom w:val="0"/>
      <w:divBdr>
        <w:top w:val="none" w:sz="0" w:space="0" w:color="auto"/>
        <w:left w:val="none" w:sz="0" w:space="0" w:color="auto"/>
        <w:bottom w:val="none" w:sz="0" w:space="0" w:color="auto"/>
        <w:right w:val="none" w:sz="0" w:space="0" w:color="auto"/>
      </w:divBdr>
    </w:div>
    <w:div w:id="389117389">
      <w:bodyDiv w:val="1"/>
      <w:marLeft w:val="0"/>
      <w:marRight w:val="0"/>
      <w:marTop w:val="0"/>
      <w:marBottom w:val="0"/>
      <w:divBdr>
        <w:top w:val="none" w:sz="0" w:space="0" w:color="auto"/>
        <w:left w:val="none" w:sz="0" w:space="0" w:color="auto"/>
        <w:bottom w:val="none" w:sz="0" w:space="0" w:color="auto"/>
        <w:right w:val="none" w:sz="0" w:space="0" w:color="auto"/>
      </w:divBdr>
    </w:div>
    <w:div w:id="389576261">
      <w:bodyDiv w:val="1"/>
      <w:marLeft w:val="0"/>
      <w:marRight w:val="0"/>
      <w:marTop w:val="0"/>
      <w:marBottom w:val="0"/>
      <w:divBdr>
        <w:top w:val="none" w:sz="0" w:space="0" w:color="auto"/>
        <w:left w:val="none" w:sz="0" w:space="0" w:color="auto"/>
        <w:bottom w:val="none" w:sz="0" w:space="0" w:color="auto"/>
        <w:right w:val="none" w:sz="0" w:space="0" w:color="auto"/>
      </w:divBdr>
    </w:div>
    <w:div w:id="389577675">
      <w:bodyDiv w:val="1"/>
      <w:marLeft w:val="0"/>
      <w:marRight w:val="0"/>
      <w:marTop w:val="0"/>
      <w:marBottom w:val="0"/>
      <w:divBdr>
        <w:top w:val="none" w:sz="0" w:space="0" w:color="auto"/>
        <w:left w:val="none" w:sz="0" w:space="0" w:color="auto"/>
        <w:bottom w:val="none" w:sz="0" w:space="0" w:color="auto"/>
        <w:right w:val="none" w:sz="0" w:space="0" w:color="auto"/>
      </w:divBdr>
    </w:div>
    <w:div w:id="389813748">
      <w:bodyDiv w:val="1"/>
      <w:marLeft w:val="0"/>
      <w:marRight w:val="0"/>
      <w:marTop w:val="0"/>
      <w:marBottom w:val="0"/>
      <w:divBdr>
        <w:top w:val="none" w:sz="0" w:space="0" w:color="auto"/>
        <w:left w:val="none" w:sz="0" w:space="0" w:color="auto"/>
        <w:bottom w:val="none" w:sz="0" w:space="0" w:color="auto"/>
        <w:right w:val="none" w:sz="0" w:space="0" w:color="auto"/>
      </w:divBdr>
    </w:div>
    <w:div w:id="390035885">
      <w:bodyDiv w:val="1"/>
      <w:marLeft w:val="0"/>
      <w:marRight w:val="0"/>
      <w:marTop w:val="0"/>
      <w:marBottom w:val="0"/>
      <w:divBdr>
        <w:top w:val="none" w:sz="0" w:space="0" w:color="auto"/>
        <w:left w:val="none" w:sz="0" w:space="0" w:color="auto"/>
        <w:bottom w:val="none" w:sz="0" w:space="0" w:color="auto"/>
        <w:right w:val="none" w:sz="0" w:space="0" w:color="auto"/>
      </w:divBdr>
    </w:div>
    <w:div w:id="390271272">
      <w:bodyDiv w:val="1"/>
      <w:marLeft w:val="0"/>
      <w:marRight w:val="0"/>
      <w:marTop w:val="0"/>
      <w:marBottom w:val="0"/>
      <w:divBdr>
        <w:top w:val="none" w:sz="0" w:space="0" w:color="auto"/>
        <w:left w:val="none" w:sz="0" w:space="0" w:color="auto"/>
        <w:bottom w:val="none" w:sz="0" w:space="0" w:color="auto"/>
        <w:right w:val="none" w:sz="0" w:space="0" w:color="auto"/>
      </w:divBdr>
    </w:div>
    <w:div w:id="390425804">
      <w:bodyDiv w:val="1"/>
      <w:marLeft w:val="0"/>
      <w:marRight w:val="0"/>
      <w:marTop w:val="0"/>
      <w:marBottom w:val="0"/>
      <w:divBdr>
        <w:top w:val="none" w:sz="0" w:space="0" w:color="auto"/>
        <w:left w:val="none" w:sz="0" w:space="0" w:color="auto"/>
        <w:bottom w:val="none" w:sz="0" w:space="0" w:color="auto"/>
        <w:right w:val="none" w:sz="0" w:space="0" w:color="auto"/>
      </w:divBdr>
    </w:div>
    <w:div w:id="390544623">
      <w:bodyDiv w:val="1"/>
      <w:marLeft w:val="0"/>
      <w:marRight w:val="0"/>
      <w:marTop w:val="0"/>
      <w:marBottom w:val="0"/>
      <w:divBdr>
        <w:top w:val="none" w:sz="0" w:space="0" w:color="auto"/>
        <w:left w:val="none" w:sz="0" w:space="0" w:color="auto"/>
        <w:bottom w:val="none" w:sz="0" w:space="0" w:color="auto"/>
        <w:right w:val="none" w:sz="0" w:space="0" w:color="auto"/>
      </w:divBdr>
    </w:div>
    <w:div w:id="390737647">
      <w:bodyDiv w:val="1"/>
      <w:marLeft w:val="0"/>
      <w:marRight w:val="0"/>
      <w:marTop w:val="0"/>
      <w:marBottom w:val="0"/>
      <w:divBdr>
        <w:top w:val="none" w:sz="0" w:space="0" w:color="auto"/>
        <w:left w:val="none" w:sz="0" w:space="0" w:color="auto"/>
        <w:bottom w:val="none" w:sz="0" w:space="0" w:color="auto"/>
        <w:right w:val="none" w:sz="0" w:space="0" w:color="auto"/>
      </w:divBdr>
    </w:div>
    <w:div w:id="390925032">
      <w:bodyDiv w:val="1"/>
      <w:marLeft w:val="0"/>
      <w:marRight w:val="0"/>
      <w:marTop w:val="0"/>
      <w:marBottom w:val="0"/>
      <w:divBdr>
        <w:top w:val="none" w:sz="0" w:space="0" w:color="auto"/>
        <w:left w:val="none" w:sz="0" w:space="0" w:color="auto"/>
        <w:bottom w:val="none" w:sz="0" w:space="0" w:color="auto"/>
        <w:right w:val="none" w:sz="0" w:space="0" w:color="auto"/>
      </w:divBdr>
    </w:div>
    <w:div w:id="391194201">
      <w:bodyDiv w:val="1"/>
      <w:marLeft w:val="0"/>
      <w:marRight w:val="0"/>
      <w:marTop w:val="0"/>
      <w:marBottom w:val="0"/>
      <w:divBdr>
        <w:top w:val="none" w:sz="0" w:space="0" w:color="auto"/>
        <w:left w:val="none" w:sz="0" w:space="0" w:color="auto"/>
        <w:bottom w:val="none" w:sz="0" w:space="0" w:color="auto"/>
        <w:right w:val="none" w:sz="0" w:space="0" w:color="auto"/>
      </w:divBdr>
    </w:div>
    <w:div w:id="391469035">
      <w:bodyDiv w:val="1"/>
      <w:marLeft w:val="0"/>
      <w:marRight w:val="0"/>
      <w:marTop w:val="0"/>
      <w:marBottom w:val="0"/>
      <w:divBdr>
        <w:top w:val="none" w:sz="0" w:space="0" w:color="auto"/>
        <w:left w:val="none" w:sz="0" w:space="0" w:color="auto"/>
        <w:bottom w:val="none" w:sz="0" w:space="0" w:color="auto"/>
        <w:right w:val="none" w:sz="0" w:space="0" w:color="auto"/>
      </w:divBdr>
    </w:div>
    <w:div w:id="391544682">
      <w:bodyDiv w:val="1"/>
      <w:marLeft w:val="0"/>
      <w:marRight w:val="0"/>
      <w:marTop w:val="0"/>
      <w:marBottom w:val="0"/>
      <w:divBdr>
        <w:top w:val="none" w:sz="0" w:space="0" w:color="auto"/>
        <w:left w:val="none" w:sz="0" w:space="0" w:color="auto"/>
        <w:bottom w:val="none" w:sz="0" w:space="0" w:color="auto"/>
        <w:right w:val="none" w:sz="0" w:space="0" w:color="auto"/>
      </w:divBdr>
    </w:div>
    <w:div w:id="391775808">
      <w:bodyDiv w:val="1"/>
      <w:marLeft w:val="0"/>
      <w:marRight w:val="0"/>
      <w:marTop w:val="0"/>
      <w:marBottom w:val="0"/>
      <w:divBdr>
        <w:top w:val="none" w:sz="0" w:space="0" w:color="auto"/>
        <w:left w:val="none" w:sz="0" w:space="0" w:color="auto"/>
        <w:bottom w:val="none" w:sz="0" w:space="0" w:color="auto"/>
        <w:right w:val="none" w:sz="0" w:space="0" w:color="auto"/>
      </w:divBdr>
    </w:div>
    <w:div w:id="392235206">
      <w:bodyDiv w:val="1"/>
      <w:marLeft w:val="0"/>
      <w:marRight w:val="0"/>
      <w:marTop w:val="0"/>
      <w:marBottom w:val="0"/>
      <w:divBdr>
        <w:top w:val="none" w:sz="0" w:space="0" w:color="auto"/>
        <w:left w:val="none" w:sz="0" w:space="0" w:color="auto"/>
        <w:bottom w:val="none" w:sz="0" w:space="0" w:color="auto"/>
        <w:right w:val="none" w:sz="0" w:space="0" w:color="auto"/>
      </w:divBdr>
    </w:div>
    <w:div w:id="392241292">
      <w:bodyDiv w:val="1"/>
      <w:marLeft w:val="0"/>
      <w:marRight w:val="0"/>
      <w:marTop w:val="0"/>
      <w:marBottom w:val="0"/>
      <w:divBdr>
        <w:top w:val="none" w:sz="0" w:space="0" w:color="auto"/>
        <w:left w:val="none" w:sz="0" w:space="0" w:color="auto"/>
        <w:bottom w:val="none" w:sz="0" w:space="0" w:color="auto"/>
        <w:right w:val="none" w:sz="0" w:space="0" w:color="auto"/>
      </w:divBdr>
    </w:div>
    <w:div w:id="392241529">
      <w:bodyDiv w:val="1"/>
      <w:marLeft w:val="0"/>
      <w:marRight w:val="0"/>
      <w:marTop w:val="0"/>
      <w:marBottom w:val="0"/>
      <w:divBdr>
        <w:top w:val="none" w:sz="0" w:space="0" w:color="auto"/>
        <w:left w:val="none" w:sz="0" w:space="0" w:color="auto"/>
        <w:bottom w:val="none" w:sz="0" w:space="0" w:color="auto"/>
        <w:right w:val="none" w:sz="0" w:space="0" w:color="auto"/>
      </w:divBdr>
    </w:div>
    <w:div w:id="392852509">
      <w:bodyDiv w:val="1"/>
      <w:marLeft w:val="0"/>
      <w:marRight w:val="0"/>
      <w:marTop w:val="0"/>
      <w:marBottom w:val="0"/>
      <w:divBdr>
        <w:top w:val="none" w:sz="0" w:space="0" w:color="auto"/>
        <w:left w:val="none" w:sz="0" w:space="0" w:color="auto"/>
        <w:bottom w:val="none" w:sz="0" w:space="0" w:color="auto"/>
        <w:right w:val="none" w:sz="0" w:space="0" w:color="auto"/>
      </w:divBdr>
    </w:div>
    <w:div w:id="393165167">
      <w:bodyDiv w:val="1"/>
      <w:marLeft w:val="0"/>
      <w:marRight w:val="0"/>
      <w:marTop w:val="0"/>
      <w:marBottom w:val="0"/>
      <w:divBdr>
        <w:top w:val="none" w:sz="0" w:space="0" w:color="auto"/>
        <w:left w:val="none" w:sz="0" w:space="0" w:color="auto"/>
        <w:bottom w:val="none" w:sz="0" w:space="0" w:color="auto"/>
        <w:right w:val="none" w:sz="0" w:space="0" w:color="auto"/>
      </w:divBdr>
    </w:div>
    <w:div w:id="393354339">
      <w:bodyDiv w:val="1"/>
      <w:marLeft w:val="0"/>
      <w:marRight w:val="0"/>
      <w:marTop w:val="0"/>
      <w:marBottom w:val="0"/>
      <w:divBdr>
        <w:top w:val="none" w:sz="0" w:space="0" w:color="auto"/>
        <w:left w:val="none" w:sz="0" w:space="0" w:color="auto"/>
        <w:bottom w:val="none" w:sz="0" w:space="0" w:color="auto"/>
        <w:right w:val="none" w:sz="0" w:space="0" w:color="auto"/>
      </w:divBdr>
    </w:div>
    <w:div w:id="393772840">
      <w:bodyDiv w:val="1"/>
      <w:marLeft w:val="0"/>
      <w:marRight w:val="0"/>
      <w:marTop w:val="0"/>
      <w:marBottom w:val="0"/>
      <w:divBdr>
        <w:top w:val="none" w:sz="0" w:space="0" w:color="auto"/>
        <w:left w:val="none" w:sz="0" w:space="0" w:color="auto"/>
        <w:bottom w:val="none" w:sz="0" w:space="0" w:color="auto"/>
        <w:right w:val="none" w:sz="0" w:space="0" w:color="auto"/>
      </w:divBdr>
    </w:div>
    <w:div w:id="393814559">
      <w:bodyDiv w:val="1"/>
      <w:marLeft w:val="0"/>
      <w:marRight w:val="0"/>
      <w:marTop w:val="0"/>
      <w:marBottom w:val="0"/>
      <w:divBdr>
        <w:top w:val="none" w:sz="0" w:space="0" w:color="auto"/>
        <w:left w:val="none" w:sz="0" w:space="0" w:color="auto"/>
        <w:bottom w:val="none" w:sz="0" w:space="0" w:color="auto"/>
        <w:right w:val="none" w:sz="0" w:space="0" w:color="auto"/>
      </w:divBdr>
    </w:div>
    <w:div w:id="394401247">
      <w:bodyDiv w:val="1"/>
      <w:marLeft w:val="0"/>
      <w:marRight w:val="0"/>
      <w:marTop w:val="0"/>
      <w:marBottom w:val="0"/>
      <w:divBdr>
        <w:top w:val="none" w:sz="0" w:space="0" w:color="auto"/>
        <w:left w:val="none" w:sz="0" w:space="0" w:color="auto"/>
        <w:bottom w:val="none" w:sz="0" w:space="0" w:color="auto"/>
        <w:right w:val="none" w:sz="0" w:space="0" w:color="auto"/>
      </w:divBdr>
    </w:div>
    <w:div w:id="394817556">
      <w:bodyDiv w:val="1"/>
      <w:marLeft w:val="0"/>
      <w:marRight w:val="0"/>
      <w:marTop w:val="0"/>
      <w:marBottom w:val="0"/>
      <w:divBdr>
        <w:top w:val="none" w:sz="0" w:space="0" w:color="auto"/>
        <w:left w:val="none" w:sz="0" w:space="0" w:color="auto"/>
        <w:bottom w:val="none" w:sz="0" w:space="0" w:color="auto"/>
        <w:right w:val="none" w:sz="0" w:space="0" w:color="auto"/>
      </w:divBdr>
    </w:div>
    <w:div w:id="394858937">
      <w:bodyDiv w:val="1"/>
      <w:marLeft w:val="0"/>
      <w:marRight w:val="0"/>
      <w:marTop w:val="0"/>
      <w:marBottom w:val="0"/>
      <w:divBdr>
        <w:top w:val="none" w:sz="0" w:space="0" w:color="auto"/>
        <w:left w:val="none" w:sz="0" w:space="0" w:color="auto"/>
        <w:bottom w:val="none" w:sz="0" w:space="0" w:color="auto"/>
        <w:right w:val="none" w:sz="0" w:space="0" w:color="auto"/>
      </w:divBdr>
    </w:div>
    <w:div w:id="395014808">
      <w:bodyDiv w:val="1"/>
      <w:marLeft w:val="0"/>
      <w:marRight w:val="0"/>
      <w:marTop w:val="0"/>
      <w:marBottom w:val="0"/>
      <w:divBdr>
        <w:top w:val="none" w:sz="0" w:space="0" w:color="auto"/>
        <w:left w:val="none" w:sz="0" w:space="0" w:color="auto"/>
        <w:bottom w:val="none" w:sz="0" w:space="0" w:color="auto"/>
        <w:right w:val="none" w:sz="0" w:space="0" w:color="auto"/>
      </w:divBdr>
    </w:div>
    <w:div w:id="395199799">
      <w:bodyDiv w:val="1"/>
      <w:marLeft w:val="0"/>
      <w:marRight w:val="0"/>
      <w:marTop w:val="0"/>
      <w:marBottom w:val="0"/>
      <w:divBdr>
        <w:top w:val="none" w:sz="0" w:space="0" w:color="auto"/>
        <w:left w:val="none" w:sz="0" w:space="0" w:color="auto"/>
        <w:bottom w:val="none" w:sz="0" w:space="0" w:color="auto"/>
        <w:right w:val="none" w:sz="0" w:space="0" w:color="auto"/>
      </w:divBdr>
    </w:div>
    <w:div w:id="395277790">
      <w:bodyDiv w:val="1"/>
      <w:marLeft w:val="0"/>
      <w:marRight w:val="0"/>
      <w:marTop w:val="0"/>
      <w:marBottom w:val="0"/>
      <w:divBdr>
        <w:top w:val="none" w:sz="0" w:space="0" w:color="auto"/>
        <w:left w:val="none" w:sz="0" w:space="0" w:color="auto"/>
        <w:bottom w:val="none" w:sz="0" w:space="0" w:color="auto"/>
        <w:right w:val="none" w:sz="0" w:space="0" w:color="auto"/>
      </w:divBdr>
    </w:div>
    <w:div w:id="396514271">
      <w:bodyDiv w:val="1"/>
      <w:marLeft w:val="0"/>
      <w:marRight w:val="0"/>
      <w:marTop w:val="0"/>
      <w:marBottom w:val="0"/>
      <w:divBdr>
        <w:top w:val="none" w:sz="0" w:space="0" w:color="auto"/>
        <w:left w:val="none" w:sz="0" w:space="0" w:color="auto"/>
        <w:bottom w:val="none" w:sz="0" w:space="0" w:color="auto"/>
        <w:right w:val="none" w:sz="0" w:space="0" w:color="auto"/>
      </w:divBdr>
    </w:div>
    <w:div w:id="396712929">
      <w:bodyDiv w:val="1"/>
      <w:marLeft w:val="0"/>
      <w:marRight w:val="0"/>
      <w:marTop w:val="0"/>
      <w:marBottom w:val="0"/>
      <w:divBdr>
        <w:top w:val="none" w:sz="0" w:space="0" w:color="auto"/>
        <w:left w:val="none" w:sz="0" w:space="0" w:color="auto"/>
        <w:bottom w:val="none" w:sz="0" w:space="0" w:color="auto"/>
        <w:right w:val="none" w:sz="0" w:space="0" w:color="auto"/>
      </w:divBdr>
    </w:div>
    <w:div w:id="397477875">
      <w:bodyDiv w:val="1"/>
      <w:marLeft w:val="0"/>
      <w:marRight w:val="0"/>
      <w:marTop w:val="0"/>
      <w:marBottom w:val="0"/>
      <w:divBdr>
        <w:top w:val="none" w:sz="0" w:space="0" w:color="auto"/>
        <w:left w:val="none" w:sz="0" w:space="0" w:color="auto"/>
        <w:bottom w:val="none" w:sz="0" w:space="0" w:color="auto"/>
        <w:right w:val="none" w:sz="0" w:space="0" w:color="auto"/>
      </w:divBdr>
    </w:div>
    <w:div w:id="397675128">
      <w:bodyDiv w:val="1"/>
      <w:marLeft w:val="0"/>
      <w:marRight w:val="0"/>
      <w:marTop w:val="0"/>
      <w:marBottom w:val="0"/>
      <w:divBdr>
        <w:top w:val="none" w:sz="0" w:space="0" w:color="auto"/>
        <w:left w:val="none" w:sz="0" w:space="0" w:color="auto"/>
        <w:bottom w:val="none" w:sz="0" w:space="0" w:color="auto"/>
        <w:right w:val="none" w:sz="0" w:space="0" w:color="auto"/>
      </w:divBdr>
    </w:div>
    <w:div w:id="397871613">
      <w:bodyDiv w:val="1"/>
      <w:marLeft w:val="0"/>
      <w:marRight w:val="0"/>
      <w:marTop w:val="0"/>
      <w:marBottom w:val="0"/>
      <w:divBdr>
        <w:top w:val="none" w:sz="0" w:space="0" w:color="auto"/>
        <w:left w:val="none" w:sz="0" w:space="0" w:color="auto"/>
        <w:bottom w:val="none" w:sz="0" w:space="0" w:color="auto"/>
        <w:right w:val="none" w:sz="0" w:space="0" w:color="auto"/>
      </w:divBdr>
    </w:div>
    <w:div w:id="398023832">
      <w:bodyDiv w:val="1"/>
      <w:marLeft w:val="0"/>
      <w:marRight w:val="0"/>
      <w:marTop w:val="0"/>
      <w:marBottom w:val="0"/>
      <w:divBdr>
        <w:top w:val="none" w:sz="0" w:space="0" w:color="auto"/>
        <w:left w:val="none" w:sz="0" w:space="0" w:color="auto"/>
        <w:bottom w:val="none" w:sz="0" w:space="0" w:color="auto"/>
        <w:right w:val="none" w:sz="0" w:space="0" w:color="auto"/>
      </w:divBdr>
    </w:div>
    <w:div w:id="398092335">
      <w:bodyDiv w:val="1"/>
      <w:marLeft w:val="0"/>
      <w:marRight w:val="0"/>
      <w:marTop w:val="0"/>
      <w:marBottom w:val="0"/>
      <w:divBdr>
        <w:top w:val="none" w:sz="0" w:space="0" w:color="auto"/>
        <w:left w:val="none" w:sz="0" w:space="0" w:color="auto"/>
        <w:bottom w:val="none" w:sz="0" w:space="0" w:color="auto"/>
        <w:right w:val="none" w:sz="0" w:space="0" w:color="auto"/>
      </w:divBdr>
    </w:div>
    <w:div w:id="398132142">
      <w:bodyDiv w:val="1"/>
      <w:marLeft w:val="0"/>
      <w:marRight w:val="0"/>
      <w:marTop w:val="0"/>
      <w:marBottom w:val="0"/>
      <w:divBdr>
        <w:top w:val="none" w:sz="0" w:space="0" w:color="auto"/>
        <w:left w:val="none" w:sz="0" w:space="0" w:color="auto"/>
        <w:bottom w:val="none" w:sz="0" w:space="0" w:color="auto"/>
        <w:right w:val="none" w:sz="0" w:space="0" w:color="auto"/>
      </w:divBdr>
    </w:div>
    <w:div w:id="398330348">
      <w:bodyDiv w:val="1"/>
      <w:marLeft w:val="0"/>
      <w:marRight w:val="0"/>
      <w:marTop w:val="0"/>
      <w:marBottom w:val="0"/>
      <w:divBdr>
        <w:top w:val="none" w:sz="0" w:space="0" w:color="auto"/>
        <w:left w:val="none" w:sz="0" w:space="0" w:color="auto"/>
        <w:bottom w:val="none" w:sz="0" w:space="0" w:color="auto"/>
        <w:right w:val="none" w:sz="0" w:space="0" w:color="auto"/>
      </w:divBdr>
    </w:div>
    <w:div w:id="398479236">
      <w:bodyDiv w:val="1"/>
      <w:marLeft w:val="0"/>
      <w:marRight w:val="0"/>
      <w:marTop w:val="0"/>
      <w:marBottom w:val="0"/>
      <w:divBdr>
        <w:top w:val="none" w:sz="0" w:space="0" w:color="auto"/>
        <w:left w:val="none" w:sz="0" w:space="0" w:color="auto"/>
        <w:bottom w:val="none" w:sz="0" w:space="0" w:color="auto"/>
        <w:right w:val="none" w:sz="0" w:space="0" w:color="auto"/>
      </w:divBdr>
    </w:div>
    <w:div w:id="398484013">
      <w:bodyDiv w:val="1"/>
      <w:marLeft w:val="0"/>
      <w:marRight w:val="0"/>
      <w:marTop w:val="0"/>
      <w:marBottom w:val="0"/>
      <w:divBdr>
        <w:top w:val="none" w:sz="0" w:space="0" w:color="auto"/>
        <w:left w:val="none" w:sz="0" w:space="0" w:color="auto"/>
        <w:bottom w:val="none" w:sz="0" w:space="0" w:color="auto"/>
        <w:right w:val="none" w:sz="0" w:space="0" w:color="auto"/>
      </w:divBdr>
    </w:div>
    <w:div w:id="398787533">
      <w:bodyDiv w:val="1"/>
      <w:marLeft w:val="0"/>
      <w:marRight w:val="0"/>
      <w:marTop w:val="0"/>
      <w:marBottom w:val="0"/>
      <w:divBdr>
        <w:top w:val="none" w:sz="0" w:space="0" w:color="auto"/>
        <w:left w:val="none" w:sz="0" w:space="0" w:color="auto"/>
        <w:bottom w:val="none" w:sz="0" w:space="0" w:color="auto"/>
        <w:right w:val="none" w:sz="0" w:space="0" w:color="auto"/>
      </w:divBdr>
    </w:div>
    <w:div w:id="398943968">
      <w:bodyDiv w:val="1"/>
      <w:marLeft w:val="0"/>
      <w:marRight w:val="0"/>
      <w:marTop w:val="0"/>
      <w:marBottom w:val="0"/>
      <w:divBdr>
        <w:top w:val="none" w:sz="0" w:space="0" w:color="auto"/>
        <w:left w:val="none" w:sz="0" w:space="0" w:color="auto"/>
        <w:bottom w:val="none" w:sz="0" w:space="0" w:color="auto"/>
        <w:right w:val="none" w:sz="0" w:space="0" w:color="auto"/>
      </w:divBdr>
    </w:div>
    <w:div w:id="399135304">
      <w:bodyDiv w:val="1"/>
      <w:marLeft w:val="0"/>
      <w:marRight w:val="0"/>
      <w:marTop w:val="0"/>
      <w:marBottom w:val="0"/>
      <w:divBdr>
        <w:top w:val="none" w:sz="0" w:space="0" w:color="auto"/>
        <w:left w:val="none" w:sz="0" w:space="0" w:color="auto"/>
        <w:bottom w:val="none" w:sz="0" w:space="0" w:color="auto"/>
        <w:right w:val="none" w:sz="0" w:space="0" w:color="auto"/>
      </w:divBdr>
    </w:div>
    <w:div w:id="399595890">
      <w:bodyDiv w:val="1"/>
      <w:marLeft w:val="0"/>
      <w:marRight w:val="0"/>
      <w:marTop w:val="0"/>
      <w:marBottom w:val="0"/>
      <w:divBdr>
        <w:top w:val="none" w:sz="0" w:space="0" w:color="auto"/>
        <w:left w:val="none" w:sz="0" w:space="0" w:color="auto"/>
        <w:bottom w:val="none" w:sz="0" w:space="0" w:color="auto"/>
        <w:right w:val="none" w:sz="0" w:space="0" w:color="auto"/>
      </w:divBdr>
    </w:div>
    <w:div w:id="399640466">
      <w:bodyDiv w:val="1"/>
      <w:marLeft w:val="0"/>
      <w:marRight w:val="0"/>
      <w:marTop w:val="0"/>
      <w:marBottom w:val="0"/>
      <w:divBdr>
        <w:top w:val="none" w:sz="0" w:space="0" w:color="auto"/>
        <w:left w:val="none" w:sz="0" w:space="0" w:color="auto"/>
        <w:bottom w:val="none" w:sz="0" w:space="0" w:color="auto"/>
        <w:right w:val="none" w:sz="0" w:space="0" w:color="auto"/>
      </w:divBdr>
    </w:div>
    <w:div w:id="399911077">
      <w:bodyDiv w:val="1"/>
      <w:marLeft w:val="0"/>
      <w:marRight w:val="0"/>
      <w:marTop w:val="0"/>
      <w:marBottom w:val="0"/>
      <w:divBdr>
        <w:top w:val="none" w:sz="0" w:space="0" w:color="auto"/>
        <w:left w:val="none" w:sz="0" w:space="0" w:color="auto"/>
        <w:bottom w:val="none" w:sz="0" w:space="0" w:color="auto"/>
        <w:right w:val="none" w:sz="0" w:space="0" w:color="auto"/>
      </w:divBdr>
    </w:div>
    <w:div w:id="400250106">
      <w:bodyDiv w:val="1"/>
      <w:marLeft w:val="0"/>
      <w:marRight w:val="0"/>
      <w:marTop w:val="0"/>
      <w:marBottom w:val="0"/>
      <w:divBdr>
        <w:top w:val="none" w:sz="0" w:space="0" w:color="auto"/>
        <w:left w:val="none" w:sz="0" w:space="0" w:color="auto"/>
        <w:bottom w:val="none" w:sz="0" w:space="0" w:color="auto"/>
        <w:right w:val="none" w:sz="0" w:space="0" w:color="auto"/>
      </w:divBdr>
    </w:div>
    <w:div w:id="400254885">
      <w:bodyDiv w:val="1"/>
      <w:marLeft w:val="0"/>
      <w:marRight w:val="0"/>
      <w:marTop w:val="0"/>
      <w:marBottom w:val="0"/>
      <w:divBdr>
        <w:top w:val="none" w:sz="0" w:space="0" w:color="auto"/>
        <w:left w:val="none" w:sz="0" w:space="0" w:color="auto"/>
        <w:bottom w:val="none" w:sz="0" w:space="0" w:color="auto"/>
        <w:right w:val="none" w:sz="0" w:space="0" w:color="auto"/>
      </w:divBdr>
    </w:div>
    <w:div w:id="400490824">
      <w:bodyDiv w:val="1"/>
      <w:marLeft w:val="0"/>
      <w:marRight w:val="0"/>
      <w:marTop w:val="0"/>
      <w:marBottom w:val="0"/>
      <w:divBdr>
        <w:top w:val="none" w:sz="0" w:space="0" w:color="auto"/>
        <w:left w:val="none" w:sz="0" w:space="0" w:color="auto"/>
        <w:bottom w:val="none" w:sz="0" w:space="0" w:color="auto"/>
        <w:right w:val="none" w:sz="0" w:space="0" w:color="auto"/>
      </w:divBdr>
    </w:div>
    <w:div w:id="400755917">
      <w:bodyDiv w:val="1"/>
      <w:marLeft w:val="0"/>
      <w:marRight w:val="0"/>
      <w:marTop w:val="0"/>
      <w:marBottom w:val="0"/>
      <w:divBdr>
        <w:top w:val="none" w:sz="0" w:space="0" w:color="auto"/>
        <w:left w:val="none" w:sz="0" w:space="0" w:color="auto"/>
        <w:bottom w:val="none" w:sz="0" w:space="0" w:color="auto"/>
        <w:right w:val="none" w:sz="0" w:space="0" w:color="auto"/>
      </w:divBdr>
    </w:div>
    <w:div w:id="400912840">
      <w:bodyDiv w:val="1"/>
      <w:marLeft w:val="0"/>
      <w:marRight w:val="0"/>
      <w:marTop w:val="0"/>
      <w:marBottom w:val="0"/>
      <w:divBdr>
        <w:top w:val="none" w:sz="0" w:space="0" w:color="auto"/>
        <w:left w:val="none" w:sz="0" w:space="0" w:color="auto"/>
        <w:bottom w:val="none" w:sz="0" w:space="0" w:color="auto"/>
        <w:right w:val="none" w:sz="0" w:space="0" w:color="auto"/>
      </w:divBdr>
    </w:div>
    <w:div w:id="401100036">
      <w:bodyDiv w:val="1"/>
      <w:marLeft w:val="0"/>
      <w:marRight w:val="0"/>
      <w:marTop w:val="0"/>
      <w:marBottom w:val="0"/>
      <w:divBdr>
        <w:top w:val="none" w:sz="0" w:space="0" w:color="auto"/>
        <w:left w:val="none" w:sz="0" w:space="0" w:color="auto"/>
        <w:bottom w:val="none" w:sz="0" w:space="0" w:color="auto"/>
        <w:right w:val="none" w:sz="0" w:space="0" w:color="auto"/>
      </w:divBdr>
    </w:div>
    <w:div w:id="401148737">
      <w:bodyDiv w:val="1"/>
      <w:marLeft w:val="0"/>
      <w:marRight w:val="0"/>
      <w:marTop w:val="0"/>
      <w:marBottom w:val="0"/>
      <w:divBdr>
        <w:top w:val="none" w:sz="0" w:space="0" w:color="auto"/>
        <w:left w:val="none" w:sz="0" w:space="0" w:color="auto"/>
        <w:bottom w:val="none" w:sz="0" w:space="0" w:color="auto"/>
        <w:right w:val="none" w:sz="0" w:space="0" w:color="auto"/>
      </w:divBdr>
    </w:div>
    <w:div w:id="401564671">
      <w:bodyDiv w:val="1"/>
      <w:marLeft w:val="0"/>
      <w:marRight w:val="0"/>
      <w:marTop w:val="0"/>
      <w:marBottom w:val="0"/>
      <w:divBdr>
        <w:top w:val="none" w:sz="0" w:space="0" w:color="auto"/>
        <w:left w:val="none" w:sz="0" w:space="0" w:color="auto"/>
        <w:bottom w:val="none" w:sz="0" w:space="0" w:color="auto"/>
        <w:right w:val="none" w:sz="0" w:space="0" w:color="auto"/>
      </w:divBdr>
    </w:div>
    <w:div w:id="401680624">
      <w:bodyDiv w:val="1"/>
      <w:marLeft w:val="0"/>
      <w:marRight w:val="0"/>
      <w:marTop w:val="0"/>
      <w:marBottom w:val="0"/>
      <w:divBdr>
        <w:top w:val="none" w:sz="0" w:space="0" w:color="auto"/>
        <w:left w:val="none" w:sz="0" w:space="0" w:color="auto"/>
        <w:bottom w:val="none" w:sz="0" w:space="0" w:color="auto"/>
        <w:right w:val="none" w:sz="0" w:space="0" w:color="auto"/>
      </w:divBdr>
    </w:div>
    <w:div w:id="402147547">
      <w:bodyDiv w:val="1"/>
      <w:marLeft w:val="0"/>
      <w:marRight w:val="0"/>
      <w:marTop w:val="0"/>
      <w:marBottom w:val="0"/>
      <w:divBdr>
        <w:top w:val="none" w:sz="0" w:space="0" w:color="auto"/>
        <w:left w:val="none" w:sz="0" w:space="0" w:color="auto"/>
        <w:bottom w:val="none" w:sz="0" w:space="0" w:color="auto"/>
        <w:right w:val="none" w:sz="0" w:space="0" w:color="auto"/>
      </w:divBdr>
    </w:div>
    <w:div w:id="402605021">
      <w:bodyDiv w:val="1"/>
      <w:marLeft w:val="0"/>
      <w:marRight w:val="0"/>
      <w:marTop w:val="0"/>
      <w:marBottom w:val="0"/>
      <w:divBdr>
        <w:top w:val="none" w:sz="0" w:space="0" w:color="auto"/>
        <w:left w:val="none" w:sz="0" w:space="0" w:color="auto"/>
        <w:bottom w:val="none" w:sz="0" w:space="0" w:color="auto"/>
        <w:right w:val="none" w:sz="0" w:space="0" w:color="auto"/>
      </w:divBdr>
    </w:div>
    <w:div w:id="402723470">
      <w:bodyDiv w:val="1"/>
      <w:marLeft w:val="0"/>
      <w:marRight w:val="0"/>
      <w:marTop w:val="0"/>
      <w:marBottom w:val="0"/>
      <w:divBdr>
        <w:top w:val="none" w:sz="0" w:space="0" w:color="auto"/>
        <w:left w:val="none" w:sz="0" w:space="0" w:color="auto"/>
        <w:bottom w:val="none" w:sz="0" w:space="0" w:color="auto"/>
        <w:right w:val="none" w:sz="0" w:space="0" w:color="auto"/>
      </w:divBdr>
    </w:div>
    <w:div w:id="403065767">
      <w:bodyDiv w:val="1"/>
      <w:marLeft w:val="0"/>
      <w:marRight w:val="0"/>
      <w:marTop w:val="0"/>
      <w:marBottom w:val="0"/>
      <w:divBdr>
        <w:top w:val="none" w:sz="0" w:space="0" w:color="auto"/>
        <w:left w:val="none" w:sz="0" w:space="0" w:color="auto"/>
        <w:bottom w:val="none" w:sz="0" w:space="0" w:color="auto"/>
        <w:right w:val="none" w:sz="0" w:space="0" w:color="auto"/>
      </w:divBdr>
    </w:div>
    <w:div w:id="403115097">
      <w:bodyDiv w:val="1"/>
      <w:marLeft w:val="0"/>
      <w:marRight w:val="0"/>
      <w:marTop w:val="0"/>
      <w:marBottom w:val="0"/>
      <w:divBdr>
        <w:top w:val="none" w:sz="0" w:space="0" w:color="auto"/>
        <w:left w:val="none" w:sz="0" w:space="0" w:color="auto"/>
        <w:bottom w:val="none" w:sz="0" w:space="0" w:color="auto"/>
        <w:right w:val="none" w:sz="0" w:space="0" w:color="auto"/>
      </w:divBdr>
    </w:div>
    <w:div w:id="403573405">
      <w:bodyDiv w:val="1"/>
      <w:marLeft w:val="0"/>
      <w:marRight w:val="0"/>
      <w:marTop w:val="0"/>
      <w:marBottom w:val="0"/>
      <w:divBdr>
        <w:top w:val="none" w:sz="0" w:space="0" w:color="auto"/>
        <w:left w:val="none" w:sz="0" w:space="0" w:color="auto"/>
        <w:bottom w:val="none" w:sz="0" w:space="0" w:color="auto"/>
        <w:right w:val="none" w:sz="0" w:space="0" w:color="auto"/>
      </w:divBdr>
    </w:div>
    <w:div w:id="403799263">
      <w:bodyDiv w:val="1"/>
      <w:marLeft w:val="0"/>
      <w:marRight w:val="0"/>
      <w:marTop w:val="0"/>
      <w:marBottom w:val="0"/>
      <w:divBdr>
        <w:top w:val="none" w:sz="0" w:space="0" w:color="auto"/>
        <w:left w:val="none" w:sz="0" w:space="0" w:color="auto"/>
        <w:bottom w:val="none" w:sz="0" w:space="0" w:color="auto"/>
        <w:right w:val="none" w:sz="0" w:space="0" w:color="auto"/>
      </w:divBdr>
    </w:div>
    <w:div w:id="404109453">
      <w:bodyDiv w:val="1"/>
      <w:marLeft w:val="0"/>
      <w:marRight w:val="0"/>
      <w:marTop w:val="0"/>
      <w:marBottom w:val="0"/>
      <w:divBdr>
        <w:top w:val="none" w:sz="0" w:space="0" w:color="auto"/>
        <w:left w:val="none" w:sz="0" w:space="0" w:color="auto"/>
        <w:bottom w:val="none" w:sz="0" w:space="0" w:color="auto"/>
        <w:right w:val="none" w:sz="0" w:space="0" w:color="auto"/>
      </w:divBdr>
    </w:div>
    <w:div w:id="404229393">
      <w:bodyDiv w:val="1"/>
      <w:marLeft w:val="0"/>
      <w:marRight w:val="0"/>
      <w:marTop w:val="0"/>
      <w:marBottom w:val="0"/>
      <w:divBdr>
        <w:top w:val="none" w:sz="0" w:space="0" w:color="auto"/>
        <w:left w:val="none" w:sz="0" w:space="0" w:color="auto"/>
        <w:bottom w:val="none" w:sz="0" w:space="0" w:color="auto"/>
        <w:right w:val="none" w:sz="0" w:space="0" w:color="auto"/>
      </w:divBdr>
    </w:div>
    <w:div w:id="404837625">
      <w:bodyDiv w:val="1"/>
      <w:marLeft w:val="0"/>
      <w:marRight w:val="0"/>
      <w:marTop w:val="0"/>
      <w:marBottom w:val="0"/>
      <w:divBdr>
        <w:top w:val="none" w:sz="0" w:space="0" w:color="auto"/>
        <w:left w:val="none" w:sz="0" w:space="0" w:color="auto"/>
        <w:bottom w:val="none" w:sz="0" w:space="0" w:color="auto"/>
        <w:right w:val="none" w:sz="0" w:space="0" w:color="auto"/>
      </w:divBdr>
    </w:div>
    <w:div w:id="406345651">
      <w:bodyDiv w:val="1"/>
      <w:marLeft w:val="0"/>
      <w:marRight w:val="0"/>
      <w:marTop w:val="0"/>
      <w:marBottom w:val="0"/>
      <w:divBdr>
        <w:top w:val="none" w:sz="0" w:space="0" w:color="auto"/>
        <w:left w:val="none" w:sz="0" w:space="0" w:color="auto"/>
        <w:bottom w:val="none" w:sz="0" w:space="0" w:color="auto"/>
        <w:right w:val="none" w:sz="0" w:space="0" w:color="auto"/>
      </w:divBdr>
    </w:div>
    <w:div w:id="406346406">
      <w:bodyDiv w:val="1"/>
      <w:marLeft w:val="0"/>
      <w:marRight w:val="0"/>
      <w:marTop w:val="0"/>
      <w:marBottom w:val="0"/>
      <w:divBdr>
        <w:top w:val="none" w:sz="0" w:space="0" w:color="auto"/>
        <w:left w:val="none" w:sz="0" w:space="0" w:color="auto"/>
        <w:bottom w:val="none" w:sz="0" w:space="0" w:color="auto"/>
        <w:right w:val="none" w:sz="0" w:space="0" w:color="auto"/>
      </w:divBdr>
    </w:div>
    <w:div w:id="406416533">
      <w:bodyDiv w:val="1"/>
      <w:marLeft w:val="0"/>
      <w:marRight w:val="0"/>
      <w:marTop w:val="0"/>
      <w:marBottom w:val="0"/>
      <w:divBdr>
        <w:top w:val="none" w:sz="0" w:space="0" w:color="auto"/>
        <w:left w:val="none" w:sz="0" w:space="0" w:color="auto"/>
        <w:bottom w:val="none" w:sz="0" w:space="0" w:color="auto"/>
        <w:right w:val="none" w:sz="0" w:space="0" w:color="auto"/>
      </w:divBdr>
    </w:div>
    <w:div w:id="406541275">
      <w:bodyDiv w:val="1"/>
      <w:marLeft w:val="0"/>
      <w:marRight w:val="0"/>
      <w:marTop w:val="0"/>
      <w:marBottom w:val="0"/>
      <w:divBdr>
        <w:top w:val="none" w:sz="0" w:space="0" w:color="auto"/>
        <w:left w:val="none" w:sz="0" w:space="0" w:color="auto"/>
        <w:bottom w:val="none" w:sz="0" w:space="0" w:color="auto"/>
        <w:right w:val="none" w:sz="0" w:space="0" w:color="auto"/>
      </w:divBdr>
    </w:div>
    <w:div w:id="406657399">
      <w:bodyDiv w:val="1"/>
      <w:marLeft w:val="0"/>
      <w:marRight w:val="0"/>
      <w:marTop w:val="0"/>
      <w:marBottom w:val="0"/>
      <w:divBdr>
        <w:top w:val="none" w:sz="0" w:space="0" w:color="auto"/>
        <w:left w:val="none" w:sz="0" w:space="0" w:color="auto"/>
        <w:bottom w:val="none" w:sz="0" w:space="0" w:color="auto"/>
        <w:right w:val="none" w:sz="0" w:space="0" w:color="auto"/>
      </w:divBdr>
    </w:div>
    <w:div w:id="406802910">
      <w:bodyDiv w:val="1"/>
      <w:marLeft w:val="0"/>
      <w:marRight w:val="0"/>
      <w:marTop w:val="0"/>
      <w:marBottom w:val="0"/>
      <w:divBdr>
        <w:top w:val="none" w:sz="0" w:space="0" w:color="auto"/>
        <w:left w:val="none" w:sz="0" w:space="0" w:color="auto"/>
        <w:bottom w:val="none" w:sz="0" w:space="0" w:color="auto"/>
        <w:right w:val="none" w:sz="0" w:space="0" w:color="auto"/>
      </w:divBdr>
    </w:div>
    <w:div w:id="407118126">
      <w:bodyDiv w:val="1"/>
      <w:marLeft w:val="0"/>
      <w:marRight w:val="0"/>
      <w:marTop w:val="0"/>
      <w:marBottom w:val="0"/>
      <w:divBdr>
        <w:top w:val="none" w:sz="0" w:space="0" w:color="auto"/>
        <w:left w:val="none" w:sz="0" w:space="0" w:color="auto"/>
        <w:bottom w:val="none" w:sz="0" w:space="0" w:color="auto"/>
        <w:right w:val="none" w:sz="0" w:space="0" w:color="auto"/>
      </w:divBdr>
    </w:div>
    <w:div w:id="407270586">
      <w:bodyDiv w:val="1"/>
      <w:marLeft w:val="0"/>
      <w:marRight w:val="0"/>
      <w:marTop w:val="0"/>
      <w:marBottom w:val="0"/>
      <w:divBdr>
        <w:top w:val="none" w:sz="0" w:space="0" w:color="auto"/>
        <w:left w:val="none" w:sz="0" w:space="0" w:color="auto"/>
        <w:bottom w:val="none" w:sz="0" w:space="0" w:color="auto"/>
        <w:right w:val="none" w:sz="0" w:space="0" w:color="auto"/>
      </w:divBdr>
    </w:div>
    <w:div w:id="407848055">
      <w:bodyDiv w:val="1"/>
      <w:marLeft w:val="0"/>
      <w:marRight w:val="0"/>
      <w:marTop w:val="0"/>
      <w:marBottom w:val="0"/>
      <w:divBdr>
        <w:top w:val="none" w:sz="0" w:space="0" w:color="auto"/>
        <w:left w:val="none" w:sz="0" w:space="0" w:color="auto"/>
        <w:bottom w:val="none" w:sz="0" w:space="0" w:color="auto"/>
        <w:right w:val="none" w:sz="0" w:space="0" w:color="auto"/>
      </w:divBdr>
    </w:div>
    <w:div w:id="408232332">
      <w:bodyDiv w:val="1"/>
      <w:marLeft w:val="0"/>
      <w:marRight w:val="0"/>
      <w:marTop w:val="0"/>
      <w:marBottom w:val="0"/>
      <w:divBdr>
        <w:top w:val="none" w:sz="0" w:space="0" w:color="auto"/>
        <w:left w:val="none" w:sz="0" w:space="0" w:color="auto"/>
        <w:bottom w:val="none" w:sz="0" w:space="0" w:color="auto"/>
        <w:right w:val="none" w:sz="0" w:space="0" w:color="auto"/>
      </w:divBdr>
    </w:div>
    <w:div w:id="408380597">
      <w:bodyDiv w:val="1"/>
      <w:marLeft w:val="0"/>
      <w:marRight w:val="0"/>
      <w:marTop w:val="0"/>
      <w:marBottom w:val="0"/>
      <w:divBdr>
        <w:top w:val="none" w:sz="0" w:space="0" w:color="auto"/>
        <w:left w:val="none" w:sz="0" w:space="0" w:color="auto"/>
        <w:bottom w:val="none" w:sz="0" w:space="0" w:color="auto"/>
        <w:right w:val="none" w:sz="0" w:space="0" w:color="auto"/>
      </w:divBdr>
    </w:div>
    <w:div w:id="408698382">
      <w:bodyDiv w:val="1"/>
      <w:marLeft w:val="0"/>
      <w:marRight w:val="0"/>
      <w:marTop w:val="0"/>
      <w:marBottom w:val="0"/>
      <w:divBdr>
        <w:top w:val="none" w:sz="0" w:space="0" w:color="auto"/>
        <w:left w:val="none" w:sz="0" w:space="0" w:color="auto"/>
        <w:bottom w:val="none" w:sz="0" w:space="0" w:color="auto"/>
        <w:right w:val="none" w:sz="0" w:space="0" w:color="auto"/>
      </w:divBdr>
    </w:div>
    <w:div w:id="409041329">
      <w:bodyDiv w:val="1"/>
      <w:marLeft w:val="0"/>
      <w:marRight w:val="0"/>
      <w:marTop w:val="0"/>
      <w:marBottom w:val="0"/>
      <w:divBdr>
        <w:top w:val="none" w:sz="0" w:space="0" w:color="auto"/>
        <w:left w:val="none" w:sz="0" w:space="0" w:color="auto"/>
        <w:bottom w:val="none" w:sz="0" w:space="0" w:color="auto"/>
        <w:right w:val="none" w:sz="0" w:space="0" w:color="auto"/>
      </w:divBdr>
    </w:div>
    <w:div w:id="409621114">
      <w:bodyDiv w:val="1"/>
      <w:marLeft w:val="0"/>
      <w:marRight w:val="0"/>
      <w:marTop w:val="0"/>
      <w:marBottom w:val="0"/>
      <w:divBdr>
        <w:top w:val="none" w:sz="0" w:space="0" w:color="auto"/>
        <w:left w:val="none" w:sz="0" w:space="0" w:color="auto"/>
        <w:bottom w:val="none" w:sz="0" w:space="0" w:color="auto"/>
        <w:right w:val="none" w:sz="0" w:space="0" w:color="auto"/>
      </w:divBdr>
    </w:div>
    <w:div w:id="409816103">
      <w:bodyDiv w:val="1"/>
      <w:marLeft w:val="0"/>
      <w:marRight w:val="0"/>
      <w:marTop w:val="0"/>
      <w:marBottom w:val="0"/>
      <w:divBdr>
        <w:top w:val="none" w:sz="0" w:space="0" w:color="auto"/>
        <w:left w:val="none" w:sz="0" w:space="0" w:color="auto"/>
        <w:bottom w:val="none" w:sz="0" w:space="0" w:color="auto"/>
        <w:right w:val="none" w:sz="0" w:space="0" w:color="auto"/>
      </w:divBdr>
    </w:div>
    <w:div w:id="410005199">
      <w:bodyDiv w:val="1"/>
      <w:marLeft w:val="0"/>
      <w:marRight w:val="0"/>
      <w:marTop w:val="0"/>
      <w:marBottom w:val="0"/>
      <w:divBdr>
        <w:top w:val="none" w:sz="0" w:space="0" w:color="auto"/>
        <w:left w:val="none" w:sz="0" w:space="0" w:color="auto"/>
        <w:bottom w:val="none" w:sz="0" w:space="0" w:color="auto"/>
        <w:right w:val="none" w:sz="0" w:space="0" w:color="auto"/>
      </w:divBdr>
    </w:div>
    <w:div w:id="410007725">
      <w:bodyDiv w:val="1"/>
      <w:marLeft w:val="0"/>
      <w:marRight w:val="0"/>
      <w:marTop w:val="0"/>
      <w:marBottom w:val="0"/>
      <w:divBdr>
        <w:top w:val="none" w:sz="0" w:space="0" w:color="auto"/>
        <w:left w:val="none" w:sz="0" w:space="0" w:color="auto"/>
        <w:bottom w:val="none" w:sz="0" w:space="0" w:color="auto"/>
        <w:right w:val="none" w:sz="0" w:space="0" w:color="auto"/>
      </w:divBdr>
    </w:div>
    <w:div w:id="410153995">
      <w:bodyDiv w:val="1"/>
      <w:marLeft w:val="0"/>
      <w:marRight w:val="0"/>
      <w:marTop w:val="0"/>
      <w:marBottom w:val="0"/>
      <w:divBdr>
        <w:top w:val="none" w:sz="0" w:space="0" w:color="auto"/>
        <w:left w:val="none" w:sz="0" w:space="0" w:color="auto"/>
        <w:bottom w:val="none" w:sz="0" w:space="0" w:color="auto"/>
        <w:right w:val="none" w:sz="0" w:space="0" w:color="auto"/>
      </w:divBdr>
    </w:div>
    <w:div w:id="410392606">
      <w:bodyDiv w:val="1"/>
      <w:marLeft w:val="0"/>
      <w:marRight w:val="0"/>
      <w:marTop w:val="0"/>
      <w:marBottom w:val="0"/>
      <w:divBdr>
        <w:top w:val="none" w:sz="0" w:space="0" w:color="auto"/>
        <w:left w:val="none" w:sz="0" w:space="0" w:color="auto"/>
        <w:bottom w:val="none" w:sz="0" w:space="0" w:color="auto"/>
        <w:right w:val="none" w:sz="0" w:space="0" w:color="auto"/>
      </w:divBdr>
    </w:div>
    <w:div w:id="410397009">
      <w:bodyDiv w:val="1"/>
      <w:marLeft w:val="0"/>
      <w:marRight w:val="0"/>
      <w:marTop w:val="0"/>
      <w:marBottom w:val="0"/>
      <w:divBdr>
        <w:top w:val="none" w:sz="0" w:space="0" w:color="auto"/>
        <w:left w:val="none" w:sz="0" w:space="0" w:color="auto"/>
        <w:bottom w:val="none" w:sz="0" w:space="0" w:color="auto"/>
        <w:right w:val="none" w:sz="0" w:space="0" w:color="auto"/>
      </w:divBdr>
    </w:div>
    <w:div w:id="410666151">
      <w:bodyDiv w:val="1"/>
      <w:marLeft w:val="0"/>
      <w:marRight w:val="0"/>
      <w:marTop w:val="0"/>
      <w:marBottom w:val="0"/>
      <w:divBdr>
        <w:top w:val="none" w:sz="0" w:space="0" w:color="auto"/>
        <w:left w:val="none" w:sz="0" w:space="0" w:color="auto"/>
        <w:bottom w:val="none" w:sz="0" w:space="0" w:color="auto"/>
        <w:right w:val="none" w:sz="0" w:space="0" w:color="auto"/>
      </w:divBdr>
    </w:div>
    <w:div w:id="411197518">
      <w:bodyDiv w:val="1"/>
      <w:marLeft w:val="0"/>
      <w:marRight w:val="0"/>
      <w:marTop w:val="0"/>
      <w:marBottom w:val="0"/>
      <w:divBdr>
        <w:top w:val="none" w:sz="0" w:space="0" w:color="auto"/>
        <w:left w:val="none" w:sz="0" w:space="0" w:color="auto"/>
        <w:bottom w:val="none" w:sz="0" w:space="0" w:color="auto"/>
        <w:right w:val="none" w:sz="0" w:space="0" w:color="auto"/>
      </w:divBdr>
    </w:div>
    <w:div w:id="411775529">
      <w:bodyDiv w:val="1"/>
      <w:marLeft w:val="0"/>
      <w:marRight w:val="0"/>
      <w:marTop w:val="0"/>
      <w:marBottom w:val="0"/>
      <w:divBdr>
        <w:top w:val="none" w:sz="0" w:space="0" w:color="auto"/>
        <w:left w:val="none" w:sz="0" w:space="0" w:color="auto"/>
        <w:bottom w:val="none" w:sz="0" w:space="0" w:color="auto"/>
        <w:right w:val="none" w:sz="0" w:space="0" w:color="auto"/>
      </w:divBdr>
    </w:div>
    <w:div w:id="412776795">
      <w:bodyDiv w:val="1"/>
      <w:marLeft w:val="0"/>
      <w:marRight w:val="0"/>
      <w:marTop w:val="0"/>
      <w:marBottom w:val="0"/>
      <w:divBdr>
        <w:top w:val="none" w:sz="0" w:space="0" w:color="auto"/>
        <w:left w:val="none" w:sz="0" w:space="0" w:color="auto"/>
        <w:bottom w:val="none" w:sz="0" w:space="0" w:color="auto"/>
        <w:right w:val="none" w:sz="0" w:space="0" w:color="auto"/>
      </w:divBdr>
    </w:div>
    <w:div w:id="413554093">
      <w:bodyDiv w:val="1"/>
      <w:marLeft w:val="0"/>
      <w:marRight w:val="0"/>
      <w:marTop w:val="0"/>
      <w:marBottom w:val="0"/>
      <w:divBdr>
        <w:top w:val="none" w:sz="0" w:space="0" w:color="auto"/>
        <w:left w:val="none" w:sz="0" w:space="0" w:color="auto"/>
        <w:bottom w:val="none" w:sz="0" w:space="0" w:color="auto"/>
        <w:right w:val="none" w:sz="0" w:space="0" w:color="auto"/>
      </w:divBdr>
    </w:div>
    <w:div w:id="413628109">
      <w:bodyDiv w:val="1"/>
      <w:marLeft w:val="0"/>
      <w:marRight w:val="0"/>
      <w:marTop w:val="0"/>
      <w:marBottom w:val="0"/>
      <w:divBdr>
        <w:top w:val="none" w:sz="0" w:space="0" w:color="auto"/>
        <w:left w:val="none" w:sz="0" w:space="0" w:color="auto"/>
        <w:bottom w:val="none" w:sz="0" w:space="0" w:color="auto"/>
        <w:right w:val="none" w:sz="0" w:space="0" w:color="auto"/>
      </w:divBdr>
    </w:div>
    <w:div w:id="413941505">
      <w:bodyDiv w:val="1"/>
      <w:marLeft w:val="0"/>
      <w:marRight w:val="0"/>
      <w:marTop w:val="0"/>
      <w:marBottom w:val="0"/>
      <w:divBdr>
        <w:top w:val="none" w:sz="0" w:space="0" w:color="auto"/>
        <w:left w:val="none" w:sz="0" w:space="0" w:color="auto"/>
        <w:bottom w:val="none" w:sz="0" w:space="0" w:color="auto"/>
        <w:right w:val="none" w:sz="0" w:space="0" w:color="auto"/>
      </w:divBdr>
    </w:div>
    <w:div w:id="414061145">
      <w:bodyDiv w:val="1"/>
      <w:marLeft w:val="0"/>
      <w:marRight w:val="0"/>
      <w:marTop w:val="0"/>
      <w:marBottom w:val="0"/>
      <w:divBdr>
        <w:top w:val="none" w:sz="0" w:space="0" w:color="auto"/>
        <w:left w:val="none" w:sz="0" w:space="0" w:color="auto"/>
        <w:bottom w:val="none" w:sz="0" w:space="0" w:color="auto"/>
        <w:right w:val="none" w:sz="0" w:space="0" w:color="auto"/>
      </w:divBdr>
    </w:div>
    <w:div w:id="414279644">
      <w:bodyDiv w:val="1"/>
      <w:marLeft w:val="0"/>
      <w:marRight w:val="0"/>
      <w:marTop w:val="0"/>
      <w:marBottom w:val="0"/>
      <w:divBdr>
        <w:top w:val="none" w:sz="0" w:space="0" w:color="auto"/>
        <w:left w:val="none" w:sz="0" w:space="0" w:color="auto"/>
        <w:bottom w:val="none" w:sz="0" w:space="0" w:color="auto"/>
        <w:right w:val="none" w:sz="0" w:space="0" w:color="auto"/>
      </w:divBdr>
    </w:div>
    <w:div w:id="414321751">
      <w:bodyDiv w:val="1"/>
      <w:marLeft w:val="0"/>
      <w:marRight w:val="0"/>
      <w:marTop w:val="0"/>
      <w:marBottom w:val="0"/>
      <w:divBdr>
        <w:top w:val="none" w:sz="0" w:space="0" w:color="auto"/>
        <w:left w:val="none" w:sz="0" w:space="0" w:color="auto"/>
        <w:bottom w:val="none" w:sz="0" w:space="0" w:color="auto"/>
        <w:right w:val="none" w:sz="0" w:space="0" w:color="auto"/>
      </w:divBdr>
    </w:div>
    <w:div w:id="414327824">
      <w:bodyDiv w:val="1"/>
      <w:marLeft w:val="0"/>
      <w:marRight w:val="0"/>
      <w:marTop w:val="0"/>
      <w:marBottom w:val="0"/>
      <w:divBdr>
        <w:top w:val="none" w:sz="0" w:space="0" w:color="auto"/>
        <w:left w:val="none" w:sz="0" w:space="0" w:color="auto"/>
        <w:bottom w:val="none" w:sz="0" w:space="0" w:color="auto"/>
        <w:right w:val="none" w:sz="0" w:space="0" w:color="auto"/>
      </w:divBdr>
    </w:div>
    <w:div w:id="414480843">
      <w:bodyDiv w:val="1"/>
      <w:marLeft w:val="0"/>
      <w:marRight w:val="0"/>
      <w:marTop w:val="0"/>
      <w:marBottom w:val="0"/>
      <w:divBdr>
        <w:top w:val="none" w:sz="0" w:space="0" w:color="auto"/>
        <w:left w:val="none" w:sz="0" w:space="0" w:color="auto"/>
        <w:bottom w:val="none" w:sz="0" w:space="0" w:color="auto"/>
        <w:right w:val="none" w:sz="0" w:space="0" w:color="auto"/>
      </w:divBdr>
    </w:div>
    <w:div w:id="414547585">
      <w:bodyDiv w:val="1"/>
      <w:marLeft w:val="0"/>
      <w:marRight w:val="0"/>
      <w:marTop w:val="0"/>
      <w:marBottom w:val="0"/>
      <w:divBdr>
        <w:top w:val="none" w:sz="0" w:space="0" w:color="auto"/>
        <w:left w:val="none" w:sz="0" w:space="0" w:color="auto"/>
        <w:bottom w:val="none" w:sz="0" w:space="0" w:color="auto"/>
        <w:right w:val="none" w:sz="0" w:space="0" w:color="auto"/>
      </w:divBdr>
    </w:div>
    <w:div w:id="414789220">
      <w:bodyDiv w:val="1"/>
      <w:marLeft w:val="0"/>
      <w:marRight w:val="0"/>
      <w:marTop w:val="0"/>
      <w:marBottom w:val="0"/>
      <w:divBdr>
        <w:top w:val="none" w:sz="0" w:space="0" w:color="auto"/>
        <w:left w:val="none" w:sz="0" w:space="0" w:color="auto"/>
        <w:bottom w:val="none" w:sz="0" w:space="0" w:color="auto"/>
        <w:right w:val="none" w:sz="0" w:space="0" w:color="auto"/>
      </w:divBdr>
    </w:div>
    <w:div w:id="414863468">
      <w:bodyDiv w:val="1"/>
      <w:marLeft w:val="0"/>
      <w:marRight w:val="0"/>
      <w:marTop w:val="0"/>
      <w:marBottom w:val="0"/>
      <w:divBdr>
        <w:top w:val="none" w:sz="0" w:space="0" w:color="auto"/>
        <w:left w:val="none" w:sz="0" w:space="0" w:color="auto"/>
        <w:bottom w:val="none" w:sz="0" w:space="0" w:color="auto"/>
        <w:right w:val="none" w:sz="0" w:space="0" w:color="auto"/>
      </w:divBdr>
    </w:div>
    <w:div w:id="415176221">
      <w:bodyDiv w:val="1"/>
      <w:marLeft w:val="0"/>
      <w:marRight w:val="0"/>
      <w:marTop w:val="0"/>
      <w:marBottom w:val="0"/>
      <w:divBdr>
        <w:top w:val="none" w:sz="0" w:space="0" w:color="auto"/>
        <w:left w:val="none" w:sz="0" w:space="0" w:color="auto"/>
        <w:bottom w:val="none" w:sz="0" w:space="0" w:color="auto"/>
        <w:right w:val="none" w:sz="0" w:space="0" w:color="auto"/>
      </w:divBdr>
    </w:div>
    <w:div w:id="415443350">
      <w:bodyDiv w:val="1"/>
      <w:marLeft w:val="0"/>
      <w:marRight w:val="0"/>
      <w:marTop w:val="0"/>
      <w:marBottom w:val="0"/>
      <w:divBdr>
        <w:top w:val="none" w:sz="0" w:space="0" w:color="auto"/>
        <w:left w:val="none" w:sz="0" w:space="0" w:color="auto"/>
        <w:bottom w:val="none" w:sz="0" w:space="0" w:color="auto"/>
        <w:right w:val="none" w:sz="0" w:space="0" w:color="auto"/>
      </w:divBdr>
    </w:div>
    <w:div w:id="415521763">
      <w:bodyDiv w:val="1"/>
      <w:marLeft w:val="0"/>
      <w:marRight w:val="0"/>
      <w:marTop w:val="0"/>
      <w:marBottom w:val="0"/>
      <w:divBdr>
        <w:top w:val="none" w:sz="0" w:space="0" w:color="auto"/>
        <w:left w:val="none" w:sz="0" w:space="0" w:color="auto"/>
        <w:bottom w:val="none" w:sz="0" w:space="0" w:color="auto"/>
        <w:right w:val="none" w:sz="0" w:space="0" w:color="auto"/>
      </w:divBdr>
    </w:div>
    <w:div w:id="416289722">
      <w:bodyDiv w:val="1"/>
      <w:marLeft w:val="0"/>
      <w:marRight w:val="0"/>
      <w:marTop w:val="0"/>
      <w:marBottom w:val="0"/>
      <w:divBdr>
        <w:top w:val="none" w:sz="0" w:space="0" w:color="auto"/>
        <w:left w:val="none" w:sz="0" w:space="0" w:color="auto"/>
        <w:bottom w:val="none" w:sz="0" w:space="0" w:color="auto"/>
        <w:right w:val="none" w:sz="0" w:space="0" w:color="auto"/>
      </w:divBdr>
    </w:div>
    <w:div w:id="416639759">
      <w:bodyDiv w:val="1"/>
      <w:marLeft w:val="0"/>
      <w:marRight w:val="0"/>
      <w:marTop w:val="0"/>
      <w:marBottom w:val="0"/>
      <w:divBdr>
        <w:top w:val="none" w:sz="0" w:space="0" w:color="auto"/>
        <w:left w:val="none" w:sz="0" w:space="0" w:color="auto"/>
        <w:bottom w:val="none" w:sz="0" w:space="0" w:color="auto"/>
        <w:right w:val="none" w:sz="0" w:space="0" w:color="auto"/>
      </w:divBdr>
    </w:div>
    <w:div w:id="416709404">
      <w:bodyDiv w:val="1"/>
      <w:marLeft w:val="0"/>
      <w:marRight w:val="0"/>
      <w:marTop w:val="0"/>
      <w:marBottom w:val="0"/>
      <w:divBdr>
        <w:top w:val="none" w:sz="0" w:space="0" w:color="auto"/>
        <w:left w:val="none" w:sz="0" w:space="0" w:color="auto"/>
        <w:bottom w:val="none" w:sz="0" w:space="0" w:color="auto"/>
        <w:right w:val="none" w:sz="0" w:space="0" w:color="auto"/>
      </w:divBdr>
    </w:div>
    <w:div w:id="416827660">
      <w:bodyDiv w:val="1"/>
      <w:marLeft w:val="0"/>
      <w:marRight w:val="0"/>
      <w:marTop w:val="0"/>
      <w:marBottom w:val="0"/>
      <w:divBdr>
        <w:top w:val="none" w:sz="0" w:space="0" w:color="auto"/>
        <w:left w:val="none" w:sz="0" w:space="0" w:color="auto"/>
        <w:bottom w:val="none" w:sz="0" w:space="0" w:color="auto"/>
        <w:right w:val="none" w:sz="0" w:space="0" w:color="auto"/>
      </w:divBdr>
    </w:div>
    <w:div w:id="416829519">
      <w:bodyDiv w:val="1"/>
      <w:marLeft w:val="0"/>
      <w:marRight w:val="0"/>
      <w:marTop w:val="0"/>
      <w:marBottom w:val="0"/>
      <w:divBdr>
        <w:top w:val="none" w:sz="0" w:space="0" w:color="auto"/>
        <w:left w:val="none" w:sz="0" w:space="0" w:color="auto"/>
        <w:bottom w:val="none" w:sz="0" w:space="0" w:color="auto"/>
        <w:right w:val="none" w:sz="0" w:space="0" w:color="auto"/>
      </w:divBdr>
    </w:div>
    <w:div w:id="417019188">
      <w:bodyDiv w:val="1"/>
      <w:marLeft w:val="0"/>
      <w:marRight w:val="0"/>
      <w:marTop w:val="0"/>
      <w:marBottom w:val="0"/>
      <w:divBdr>
        <w:top w:val="none" w:sz="0" w:space="0" w:color="auto"/>
        <w:left w:val="none" w:sz="0" w:space="0" w:color="auto"/>
        <w:bottom w:val="none" w:sz="0" w:space="0" w:color="auto"/>
        <w:right w:val="none" w:sz="0" w:space="0" w:color="auto"/>
      </w:divBdr>
    </w:div>
    <w:div w:id="417289570">
      <w:bodyDiv w:val="1"/>
      <w:marLeft w:val="0"/>
      <w:marRight w:val="0"/>
      <w:marTop w:val="0"/>
      <w:marBottom w:val="0"/>
      <w:divBdr>
        <w:top w:val="none" w:sz="0" w:space="0" w:color="auto"/>
        <w:left w:val="none" w:sz="0" w:space="0" w:color="auto"/>
        <w:bottom w:val="none" w:sz="0" w:space="0" w:color="auto"/>
        <w:right w:val="none" w:sz="0" w:space="0" w:color="auto"/>
      </w:divBdr>
    </w:div>
    <w:div w:id="417600790">
      <w:bodyDiv w:val="1"/>
      <w:marLeft w:val="0"/>
      <w:marRight w:val="0"/>
      <w:marTop w:val="0"/>
      <w:marBottom w:val="0"/>
      <w:divBdr>
        <w:top w:val="none" w:sz="0" w:space="0" w:color="auto"/>
        <w:left w:val="none" w:sz="0" w:space="0" w:color="auto"/>
        <w:bottom w:val="none" w:sz="0" w:space="0" w:color="auto"/>
        <w:right w:val="none" w:sz="0" w:space="0" w:color="auto"/>
      </w:divBdr>
    </w:div>
    <w:div w:id="417795892">
      <w:bodyDiv w:val="1"/>
      <w:marLeft w:val="0"/>
      <w:marRight w:val="0"/>
      <w:marTop w:val="0"/>
      <w:marBottom w:val="0"/>
      <w:divBdr>
        <w:top w:val="none" w:sz="0" w:space="0" w:color="auto"/>
        <w:left w:val="none" w:sz="0" w:space="0" w:color="auto"/>
        <w:bottom w:val="none" w:sz="0" w:space="0" w:color="auto"/>
        <w:right w:val="none" w:sz="0" w:space="0" w:color="auto"/>
      </w:divBdr>
    </w:div>
    <w:div w:id="418866973">
      <w:bodyDiv w:val="1"/>
      <w:marLeft w:val="0"/>
      <w:marRight w:val="0"/>
      <w:marTop w:val="0"/>
      <w:marBottom w:val="0"/>
      <w:divBdr>
        <w:top w:val="none" w:sz="0" w:space="0" w:color="auto"/>
        <w:left w:val="none" w:sz="0" w:space="0" w:color="auto"/>
        <w:bottom w:val="none" w:sz="0" w:space="0" w:color="auto"/>
        <w:right w:val="none" w:sz="0" w:space="0" w:color="auto"/>
      </w:divBdr>
    </w:div>
    <w:div w:id="419300217">
      <w:bodyDiv w:val="1"/>
      <w:marLeft w:val="0"/>
      <w:marRight w:val="0"/>
      <w:marTop w:val="0"/>
      <w:marBottom w:val="0"/>
      <w:divBdr>
        <w:top w:val="none" w:sz="0" w:space="0" w:color="auto"/>
        <w:left w:val="none" w:sz="0" w:space="0" w:color="auto"/>
        <w:bottom w:val="none" w:sz="0" w:space="0" w:color="auto"/>
        <w:right w:val="none" w:sz="0" w:space="0" w:color="auto"/>
      </w:divBdr>
    </w:div>
    <w:div w:id="419329394">
      <w:bodyDiv w:val="1"/>
      <w:marLeft w:val="0"/>
      <w:marRight w:val="0"/>
      <w:marTop w:val="0"/>
      <w:marBottom w:val="0"/>
      <w:divBdr>
        <w:top w:val="none" w:sz="0" w:space="0" w:color="auto"/>
        <w:left w:val="none" w:sz="0" w:space="0" w:color="auto"/>
        <w:bottom w:val="none" w:sz="0" w:space="0" w:color="auto"/>
        <w:right w:val="none" w:sz="0" w:space="0" w:color="auto"/>
      </w:divBdr>
    </w:div>
    <w:div w:id="419641727">
      <w:bodyDiv w:val="1"/>
      <w:marLeft w:val="0"/>
      <w:marRight w:val="0"/>
      <w:marTop w:val="0"/>
      <w:marBottom w:val="0"/>
      <w:divBdr>
        <w:top w:val="none" w:sz="0" w:space="0" w:color="auto"/>
        <w:left w:val="none" w:sz="0" w:space="0" w:color="auto"/>
        <w:bottom w:val="none" w:sz="0" w:space="0" w:color="auto"/>
        <w:right w:val="none" w:sz="0" w:space="0" w:color="auto"/>
      </w:divBdr>
    </w:div>
    <w:div w:id="419646370">
      <w:bodyDiv w:val="1"/>
      <w:marLeft w:val="0"/>
      <w:marRight w:val="0"/>
      <w:marTop w:val="0"/>
      <w:marBottom w:val="0"/>
      <w:divBdr>
        <w:top w:val="none" w:sz="0" w:space="0" w:color="auto"/>
        <w:left w:val="none" w:sz="0" w:space="0" w:color="auto"/>
        <w:bottom w:val="none" w:sz="0" w:space="0" w:color="auto"/>
        <w:right w:val="none" w:sz="0" w:space="0" w:color="auto"/>
      </w:divBdr>
    </w:div>
    <w:div w:id="419761304">
      <w:bodyDiv w:val="1"/>
      <w:marLeft w:val="0"/>
      <w:marRight w:val="0"/>
      <w:marTop w:val="0"/>
      <w:marBottom w:val="0"/>
      <w:divBdr>
        <w:top w:val="none" w:sz="0" w:space="0" w:color="auto"/>
        <w:left w:val="none" w:sz="0" w:space="0" w:color="auto"/>
        <w:bottom w:val="none" w:sz="0" w:space="0" w:color="auto"/>
        <w:right w:val="none" w:sz="0" w:space="0" w:color="auto"/>
      </w:divBdr>
    </w:div>
    <w:div w:id="419764897">
      <w:bodyDiv w:val="1"/>
      <w:marLeft w:val="0"/>
      <w:marRight w:val="0"/>
      <w:marTop w:val="0"/>
      <w:marBottom w:val="0"/>
      <w:divBdr>
        <w:top w:val="none" w:sz="0" w:space="0" w:color="auto"/>
        <w:left w:val="none" w:sz="0" w:space="0" w:color="auto"/>
        <w:bottom w:val="none" w:sz="0" w:space="0" w:color="auto"/>
        <w:right w:val="none" w:sz="0" w:space="0" w:color="auto"/>
      </w:divBdr>
    </w:div>
    <w:div w:id="419831703">
      <w:bodyDiv w:val="1"/>
      <w:marLeft w:val="0"/>
      <w:marRight w:val="0"/>
      <w:marTop w:val="0"/>
      <w:marBottom w:val="0"/>
      <w:divBdr>
        <w:top w:val="none" w:sz="0" w:space="0" w:color="auto"/>
        <w:left w:val="none" w:sz="0" w:space="0" w:color="auto"/>
        <w:bottom w:val="none" w:sz="0" w:space="0" w:color="auto"/>
        <w:right w:val="none" w:sz="0" w:space="0" w:color="auto"/>
      </w:divBdr>
    </w:div>
    <w:div w:id="420301170">
      <w:bodyDiv w:val="1"/>
      <w:marLeft w:val="0"/>
      <w:marRight w:val="0"/>
      <w:marTop w:val="0"/>
      <w:marBottom w:val="0"/>
      <w:divBdr>
        <w:top w:val="none" w:sz="0" w:space="0" w:color="auto"/>
        <w:left w:val="none" w:sz="0" w:space="0" w:color="auto"/>
        <w:bottom w:val="none" w:sz="0" w:space="0" w:color="auto"/>
        <w:right w:val="none" w:sz="0" w:space="0" w:color="auto"/>
      </w:divBdr>
    </w:div>
    <w:div w:id="420414700">
      <w:bodyDiv w:val="1"/>
      <w:marLeft w:val="0"/>
      <w:marRight w:val="0"/>
      <w:marTop w:val="0"/>
      <w:marBottom w:val="0"/>
      <w:divBdr>
        <w:top w:val="none" w:sz="0" w:space="0" w:color="auto"/>
        <w:left w:val="none" w:sz="0" w:space="0" w:color="auto"/>
        <w:bottom w:val="none" w:sz="0" w:space="0" w:color="auto"/>
        <w:right w:val="none" w:sz="0" w:space="0" w:color="auto"/>
      </w:divBdr>
    </w:div>
    <w:div w:id="421680664">
      <w:bodyDiv w:val="1"/>
      <w:marLeft w:val="0"/>
      <w:marRight w:val="0"/>
      <w:marTop w:val="0"/>
      <w:marBottom w:val="0"/>
      <w:divBdr>
        <w:top w:val="none" w:sz="0" w:space="0" w:color="auto"/>
        <w:left w:val="none" w:sz="0" w:space="0" w:color="auto"/>
        <w:bottom w:val="none" w:sz="0" w:space="0" w:color="auto"/>
        <w:right w:val="none" w:sz="0" w:space="0" w:color="auto"/>
      </w:divBdr>
    </w:div>
    <w:div w:id="421801834">
      <w:bodyDiv w:val="1"/>
      <w:marLeft w:val="0"/>
      <w:marRight w:val="0"/>
      <w:marTop w:val="0"/>
      <w:marBottom w:val="0"/>
      <w:divBdr>
        <w:top w:val="none" w:sz="0" w:space="0" w:color="auto"/>
        <w:left w:val="none" w:sz="0" w:space="0" w:color="auto"/>
        <w:bottom w:val="none" w:sz="0" w:space="0" w:color="auto"/>
        <w:right w:val="none" w:sz="0" w:space="0" w:color="auto"/>
      </w:divBdr>
    </w:div>
    <w:div w:id="421803016">
      <w:bodyDiv w:val="1"/>
      <w:marLeft w:val="0"/>
      <w:marRight w:val="0"/>
      <w:marTop w:val="0"/>
      <w:marBottom w:val="0"/>
      <w:divBdr>
        <w:top w:val="none" w:sz="0" w:space="0" w:color="auto"/>
        <w:left w:val="none" w:sz="0" w:space="0" w:color="auto"/>
        <w:bottom w:val="none" w:sz="0" w:space="0" w:color="auto"/>
        <w:right w:val="none" w:sz="0" w:space="0" w:color="auto"/>
      </w:divBdr>
    </w:div>
    <w:div w:id="422073695">
      <w:bodyDiv w:val="1"/>
      <w:marLeft w:val="0"/>
      <w:marRight w:val="0"/>
      <w:marTop w:val="0"/>
      <w:marBottom w:val="0"/>
      <w:divBdr>
        <w:top w:val="none" w:sz="0" w:space="0" w:color="auto"/>
        <w:left w:val="none" w:sz="0" w:space="0" w:color="auto"/>
        <w:bottom w:val="none" w:sz="0" w:space="0" w:color="auto"/>
        <w:right w:val="none" w:sz="0" w:space="0" w:color="auto"/>
      </w:divBdr>
    </w:div>
    <w:div w:id="422453038">
      <w:bodyDiv w:val="1"/>
      <w:marLeft w:val="0"/>
      <w:marRight w:val="0"/>
      <w:marTop w:val="0"/>
      <w:marBottom w:val="0"/>
      <w:divBdr>
        <w:top w:val="none" w:sz="0" w:space="0" w:color="auto"/>
        <w:left w:val="none" w:sz="0" w:space="0" w:color="auto"/>
        <w:bottom w:val="none" w:sz="0" w:space="0" w:color="auto"/>
        <w:right w:val="none" w:sz="0" w:space="0" w:color="auto"/>
      </w:divBdr>
    </w:div>
    <w:div w:id="422531602">
      <w:bodyDiv w:val="1"/>
      <w:marLeft w:val="0"/>
      <w:marRight w:val="0"/>
      <w:marTop w:val="0"/>
      <w:marBottom w:val="0"/>
      <w:divBdr>
        <w:top w:val="none" w:sz="0" w:space="0" w:color="auto"/>
        <w:left w:val="none" w:sz="0" w:space="0" w:color="auto"/>
        <w:bottom w:val="none" w:sz="0" w:space="0" w:color="auto"/>
        <w:right w:val="none" w:sz="0" w:space="0" w:color="auto"/>
      </w:divBdr>
    </w:div>
    <w:div w:id="422727080">
      <w:bodyDiv w:val="1"/>
      <w:marLeft w:val="0"/>
      <w:marRight w:val="0"/>
      <w:marTop w:val="0"/>
      <w:marBottom w:val="0"/>
      <w:divBdr>
        <w:top w:val="none" w:sz="0" w:space="0" w:color="auto"/>
        <w:left w:val="none" w:sz="0" w:space="0" w:color="auto"/>
        <w:bottom w:val="none" w:sz="0" w:space="0" w:color="auto"/>
        <w:right w:val="none" w:sz="0" w:space="0" w:color="auto"/>
      </w:divBdr>
    </w:div>
    <w:div w:id="423036665">
      <w:bodyDiv w:val="1"/>
      <w:marLeft w:val="0"/>
      <w:marRight w:val="0"/>
      <w:marTop w:val="0"/>
      <w:marBottom w:val="0"/>
      <w:divBdr>
        <w:top w:val="none" w:sz="0" w:space="0" w:color="auto"/>
        <w:left w:val="none" w:sz="0" w:space="0" w:color="auto"/>
        <w:bottom w:val="none" w:sz="0" w:space="0" w:color="auto"/>
        <w:right w:val="none" w:sz="0" w:space="0" w:color="auto"/>
      </w:divBdr>
    </w:div>
    <w:div w:id="423887330">
      <w:bodyDiv w:val="1"/>
      <w:marLeft w:val="0"/>
      <w:marRight w:val="0"/>
      <w:marTop w:val="0"/>
      <w:marBottom w:val="0"/>
      <w:divBdr>
        <w:top w:val="none" w:sz="0" w:space="0" w:color="auto"/>
        <w:left w:val="none" w:sz="0" w:space="0" w:color="auto"/>
        <w:bottom w:val="none" w:sz="0" w:space="0" w:color="auto"/>
        <w:right w:val="none" w:sz="0" w:space="0" w:color="auto"/>
      </w:divBdr>
    </w:div>
    <w:div w:id="424495415">
      <w:bodyDiv w:val="1"/>
      <w:marLeft w:val="0"/>
      <w:marRight w:val="0"/>
      <w:marTop w:val="0"/>
      <w:marBottom w:val="0"/>
      <w:divBdr>
        <w:top w:val="none" w:sz="0" w:space="0" w:color="auto"/>
        <w:left w:val="none" w:sz="0" w:space="0" w:color="auto"/>
        <w:bottom w:val="none" w:sz="0" w:space="0" w:color="auto"/>
        <w:right w:val="none" w:sz="0" w:space="0" w:color="auto"/>
      </w:divBdr>
    </w:div>
    <w:div w:id="424807155">
      <w:bodyDiv w:val="1"/>
      <w:marLeft w:val="0"/>
      <w:marRight w:val="0"/>
      <w:marTop w:val="0"/>
      <w:marBottom w:val="0"/>
      <w:divBdr>
        <w:top w:val="none" w:sz="0" w:space="0" w:color="auto"/>
        <w:left w:val="none" w:sz="0" w:space="0" w:color="auto"/>
        <w:bottom w:val="none" w:sz="0" w:space="0" w:color="auto"/>
        <w:right w:val="none" w:sz="0" w:space="0" w:color="auto"/>
      </w:divBdr>
    </w:div>
    <w:div w:id="424959616">
      <w:bodyDiv w:val="1"/>
      <w:marLeft w:val="0"/>
      <w:marRight w:val="0"/>
      <w:marTop w:val="0"/>
      <w:marBottom w:val="0"/>
      <w:divBdr>
        <w:top w:val="none" w:sz="0" w:space="0" w:color="auto"/>
        <w:left w:val="none" w:sz="0" w:space="0" w:color="auto"/>
        <w:bottom w:val="none" w:sz="0" w:space="0" w:color="auto"/>
        <w:right w:val="none" w:sz="0" w:space="0" w:color="auto"/>
      </w:divBdr>
    </w:div>
    <w:div w:id="425543194">
      <w:bodyDiv w:val="1"/>
      <w:marLeft w:val="0"/>
      <w:marRight w:val="0"/>
      <w:marTop w:val="0"/>
      <w:marBottom w:val="0"/>
      <w:divBdr>
        <w:top w:val="none" w:sz="0" w:space="0" w:color="auto"/>
        <w:left w:val="none" w:sz="0" w:space="0" w:color="auto"/>
        <w:bottom w:val="none" w:sz="0" w:space="0" w:color="auto"/>
        <w:right w:val="none" w:sz="0" w:space="0" w:color="auto"/>
      </w:divBdr>
    </w:div>
    <w:div w:id="425688792">
      <w:bodyDiv w:val="1"/>
      <w:marLeft w:val="0"/>
      <w:marRight w:val="0"/>
      <w:marTop w:val="0"/>
      <w:marBottom w:val="0"/>
      <w:divBdr>
        <w:top w:val="none" w:sz="0" w:space="0" w:color="auto"/>
        <w:left w:val="none" w:sz="0" w:space="0" w:color="auto"/>
        <w:bottom w:val="none" w:sz="0" w:space="0" w:color="auto"/>
        <w:right w:val="none" w:sz="0" w:space="0" w:color="auto"/>
      </w:divBdr>
    </w:div>
    <w:div w:id="425884432">
      <w:bodyDiv w:val="1"/>
      <w:marLeft w:val="0"/>
      <w:marRight w:val="0"/>
      <w:marTop w:val="0"/>
      <w:marBottom w:val="0"/>
      <w:divBdr>
        <w:top w:val="none" w:sz="0" w:space="0" w:color="auto"/>
        <w:left w:val="none" w:sz="0" w:space="0" w:color="auto"/>
        <w:bottom w:val="none" w:sz="0" w:space="0" w:color="auto"/>
        <w:right w:val="none" w:sz="0" w:space="0" w:color="auto"/>
      </w:divBdr>
    </w:div>
    <w:div w:id="426121757">
      <w:bodyDiv w:val="1"/>
      <w:marLeft w:val="0"/>
      <w:marRight w:val="0"/>
      <w:marTop w:val="0"/>
      <w:marBottom w:val="0"/>
      <w:divBdr>
        <w:top w:val="none" w:sz="0" w:space="0" w:color="auto"/>
        <w:left w:val="none" w:sz="0" w:space="0" w:color="auto"/>
        <w:bottom w:val="none" w:sz="0" w:space="0" w:color="auto"/>
        <w:right w:val="none" w:sz="0" w:space="0" w:color="auto"/>
      </w:divBdr>
    </w:div>
    <w:div w:id="426731282">
      <w:bodyDiv w:val="1"/>
      <w:marLeft w:val="0"/>
      <w:marRight w:val="0"/>
      <w:marTop w:val="0"/>
      <w:marBottom w:val="0"/>
      <w:divBdr>
        <w:top w:val="none" w:sz="0" w:space="0" w:color="auto"/>
        <w:left w:val="none" w:sz="0" w:space="0" w:color="auto"/>
        <w:bottom w:val="none" w:sz="0" w:space="0" w:color="auto"/>
        <w:right w:val="none" w:sz="0" w:space="0" w:color="auto"/>
      </w:divBdr>
    </w:div>
    <w:div w:id="426771669">
      <w:bodyDiv w:val="1"/>
      <w:marLeft w:val="0"/>
      <w:marRight w:val="0"/>
      <w:marTop w:val="0"/>
      <w:marBottom w:val="0"/>
      <w:divBdr>
        <w:top w:val="none" w:sz="0" w:space="0" w:color="auto"/>
        <w:left w:val="none" w:sz="0" w:space="0" w:color="auto"/>
        <w:bottom w:val="none" w:sz="0" w:space="0" w:color="auto"/>
        <w:right w:val="none" w:sz="0" w:space="0" w:color="auto"/>
      </w:divBdr>
    </w:div>
    <w:div w:id="426848531">
      <w:bodyDiv w:val="1"/>
      <w:marLeft w:val="0"/>
      <w:marRight w:val="0"/>
      <w:marTop w:val="0"/>
      <w:marBottom w:val="0"/>
      <w:divBdr>
        <w:top w:val="none" w:sz="0" w:space="0" w:color="auto"/>
        <w:left w:val="none" w:sz="0" w:space="0" w:color="auto"/>
        <w:bottom w:val="none" w:sz="0" w:space="0" w:color="auto"/>
        <w:right w:val="none" w:sz="0" w:space="0" w:color="auto"/>
      </w:divBdr>
    </w:div>
    <w:div w:id="426853548">
      <w:bodyDiv w:val="1"/>
      <w:marLeft w:val="0"/>
      <w:marRight w:val="0"/>
      <w:marTop w:val="0"/>
      <w:marBottom w:val="0"/>
      <w:divBdr>
        <w:top w:val="none" w:sz="0" w:space="0" w:color="auto"/>
        <w:left w:val="none" w:sz="0" w:space="0" w:color="auto"/>
        <w:bottom w:val="none" w:sz="0" w:space="0" w:color="auto"/>
        <w:right w:val="none" w:sz="0" w:space="0" w:color="auto"/>
      </w:divBdr>
    </w:div>
    <w:div w:id="427577587">
      <w:bodyDiv w:val="1"/>
      <w:marLeft w:val="0"/>
      <w:marRight w:val="0"/>
      <w:marTop w:val="0"/>
      <w:marBottom w:val="0"/>
      <w:divBdr>
        <w:top w:val="none" w:sz="0" w:space="0" w:color="auto"/>
        <w:left w:val="none" w:sz="0" w:space="0" w:color="auto"/>
        <w:bottom w:val="none" w:sz="0" w:space="0" w:color="auto"/>
        <w:right w:val="none" w:sz="0" w:space="0" w:color="auto"/>
      </w:divBdr>
    </w:div>
    <w:div w:id="427585082">
      <w:bodyDiv w:val="1"/>
      <w:marLeft w:val="0"/>
      <w:marRight w:val="0"/>
      <w:marTop w:val="0"/>
      <w:marBottom w:val="0"/>
      <w:divBdr>
        <w:top w:val="none" w:sz="0" w:space="0" w:color="auto"/>
        <w:left w:val="none" w:sz="0" w:space="0" w:color="auto"/>
        <w:bottom w:val="none" w:sz="0" w:space="0" w:color="auto"/>
        <w:right w:val="none" w:sz="0" w:space="0" w:color="auto"/>
      </w:divBdr>
    </w:div>
    <w:div w:id="427622427">
      <w:bodyDiv w:val="1"/>
      <w:marLeft w:val="0"/>
      <w:marRight w:val="0"/>
      <w:marTop w:val="0"/>
      <w:marBottom w:val="0"/>
      <w:divBdr>
        <w:top w:val="none" w:sz="0" w:space="0" w:color="auto"/>
        <w:left w:val="none" w:sz="0" w:space="0" w:color="auto"/>
        <w:bottom w:val="none" w:sz="0" w:space="0" w:color="auto"/>
        <w:right w:val="none" w:sz="0" w:space="0" w:color="auto"/>
      </w:divBdr>
    </w:div>
    <w:div w:id="428240973">
      <w:bodyDiv w:val="1"/>
      <w:marLeft w:val="0"/>
      <w:marRight w:val="0"/>
      <w:marTop w:val="0"/>
      <w:marBottom w:val="0"/>
      <w:divBdr>
        <w:top w:val="none" w:sz="0" w:space="0" w:color="auto"/>
        <w:left w:val="none" w:sz="0" w:space="0" w:color="auto"/>
        <w:bottom w:val="none" w:sz="0" w:space="0" w:color="auto"/>
        <w:right w:val="none" w:sz="0" w:space="0" w:color="auto"/>
      </w:divBdr>
    </w:div>
    <w:div w:id="428283858">
      <w:bodyDiv w:val="1"/>
      <w:marLeft w:val="0"/>
      <w:marRight w:val="0"/>
      <w:marTop w:val="0"/>
      <w:marBottom w:val="0"/>
      <w:divBdr>
        <w:top w:val="none" w:sz="0" w:space="0" w:color="auto"/>
        <w:left w:val="none" w:sz="0" w:space="0" w:color="auto"/>
        <w:bottom w:val="none" w:sz="0" w:space="0" w:color="auto"/>
        <w:right w:val="none" w:sz="0" w:space="0" w:color="auto"/>
      </w:divBdr>
    </w:div>
    <w:div w:id="428742369">
      <w:bodyDiv w:val="1"/>
      <w:marLeft w:val="0"/>
      <w:marRight w:val="0"/>
      <w:marTop w:val="0"/>
      <w:marBottom w:val="0"/>
      <w:divBdr>
        <w:top w:val="none" w:sz="0" w:space="0" w:color="auto"/>
        <w:left w:val="none" w:sz="0" w:space="0" w:color="auto"/>
        <w:bottom w:val="none" w:sz="0" w:space="0" w:color="auto"/>
        <w:right w:val="none" w:sz="0" w:space="0" w:color="auto"/>
      </w:divBdr>
    </w:div>
    <w:div w:id="428744495">
      <w:bodyDiv w:val="1"/>
      <w:marLeft w:val="0"/>
      <w:marRight w:val="0"/>
      <w:marTop w:val="0"/>
      <w:marBottom w:val="0"/>
      <w:divBdr>
        <w:top w:val="none" w:sz="0" w:space="0" w:color="auto"/>
        <w:left w:val="none" w:sz="0" w:space="0" w:color="auto"/>
        <w:bottom w:val="none" w:sz="0" w:space="0" w:color="auto"/>
        <w:right w:val="none" w:sz="0" w:space="0" w:color="auto"/>
      </w:divBdr>
    </w:div>
    <w:div w:id="429009436">
      <w:bodyDiv w:val="1"/>
      <w:marLeft w:val="0"/>
      <w:marRight w:val="0"/>
      <w:marTop w:val="0"/>
      <w:marBottom w:val="0"/>
      <w:divBdr>
        <w:top w:val="none" w:sz="0" w:space="0" w:color="auto"/>
        <w:left w:val="none" w:sz="0" w:space="0" w:color="auto"/>
        <w:bottom w:val="none" w:sz="0" w:space="0" w:color="auto"/>
        <w:right w:val="none" w:sz="0" w:space="0" w:color="auto"/>
      </w:divBdr>
    </w:div>
    <w:div w:id="429352926">
      <w:bodyDiv w:val="1"/>
      <w:marLeft w:val="0"/>
      <w:marRight w:val="0"/>
      <w:marTop w:val="0"/>
      <w:marBottom w:val="0"/>
      <w:divBdr>
        <w:top w:val="none" w:sz="0" w:space="0" w:color="auto"/>
        <w:left w:val="none" w:sz="0" w:space="0" w:color="auto"/>
        <w:bottom w:val="none" w:sz="0" w:space="0" w:color="auto"/>
        <w:right w:val="none" w:sz="0" w:space="0" w:color="auto"/>
      </w:divBdr>
    </w:div>
    <w:div w:id="429474322">
      <w:bodyDiv w:val="1"/>
      <w:marLeft w:val="0"/>
      <w:marRight w:val="0"/>
      <w:marTop w:val="0"/>
      <w:marBottom w:val="0"/>
      <w:divBdr>
        <w:top w:val="none" w:sz="0" w:space="0" w:color="auto"/>
        <w:left w:val="none" w:sz="0" w:space="0" w:color="auto"/>
        <w:bottom w:val="none" w:sz="0" w:space="0" w:color="auto"/>
        <w:right w:val="none" w:sz="0" w:space="0" w:color="auto"/>
      </w:divBdr>
    </w:div>
    <w:div w:id="429815768">
      <w:bodyDiv w:val="1"/>
      <w:marLeft w:val="0"/>
      <w:marRight w:val="0"/>
      <w:marTop w:val="0"/>
      <w:marBottom w:val="0"/>
      <w:divBdr>
        <w:top w:val="none" w:sz="0" w:space="0" w:color="auto"/>
        <w:left w:val="none" w:sz="0" w:space="0" w:color="auto"/>
        <w:bottom w:val="none" w:sz="0" w:space="0" w:color="auto"/>
        <w:right w:val="none" w:sz="0" w:space="0" w:color="auto"/>
      </w:divBdr>
    </w:div>
    <w:div w:id="430585318">
      <w:bodyDiv w:val="1"/>
      <w:marLeft w:val="0"/>
      <w:marRight w:val="0"/>
      <w:marTop w:val="0"/>
      <w:marBottom w:val="0"/>
      <w:divBdr>
        <w:top w:val="none" w:sz="0" w:space="0" w:color="auto"/>
        <w:left w:val="none" w:sz="0" w:space="0" w:color="auto"/>
        <w:bottom w:val="none" w:sz="0" w:space="0" w:color="auto"/>
        <w:right w:val="none" w:sz="0" w:space="0" w:color="auto"/>
      </w:divBdr>
    </w:div>
    <w:div w:id="430778919">
      <w:bodyDiv w:val="1"/>
      <w:marLeft w:val="0"/>
      <w:marRight w:val="0"/>
      <w:marTop w:val="0"/>
      <w:marBottom w:val="0"/>
      <w:divBdr>
        <w:top w:val="none" w:sz="0" w:space="0" w:color="auto"/>
        <w:left w:val="none" w:sz="0" w:space="0" w:color="auto"/>
        <w:bottom w:val="none" w:sz="0" w:space="0" w:color="auto"/>
        <w:right w:val="none" w:sz="0" w:space="0" w:color="auto"/>
      </w:divBdr>
    </w:div>
    <w:div w:id="430857088">
      <w:bodyDiv w:val="1"/>
      <w:marLeft w:val="0"/>
      <w:marRight w:val="0"/>
      <w:marTop w:val="0"/>
      <w:marBottom w:val="0"/>
      <w:divBdr>
        <w:top w:val="none" w:sz="0" w:space="0" w:color="auto"/>
        <w:left w:val="none" w:sz="0" w:space="0" w:color="auto"/>
        <w:bottom w:val="none" w:sz="0" w:space="0" w:color="auto"/>
        <w:right w:val="none" w:sz="0" w:space="0" w:color="auto"/>
      </w:divBdr>
    </w:div>
    <w:div w:id="431828019">
      <w:bodyDiv w:val="1"/>
      <w:marLeft w:val="0"/>
      <w:marRight w:val="0"/>
      <w:marTop w:val="0"/>
      <w:marBottom w:val="0"/>
      <w:divBdr>
        <w:top w:val="none" w:sz="0" w:space="0" w:color="auto"/>
        <w:left w:val="none" w:sz="0" w:space="0" w:color="auto"/>
        <w:bottom w:val="none" w:sz="0" w:space="0" w:color="auto"/>
        <w:right w:val="none" w:sz="0" w:space="0" w:color="auto"/>
      </w:divBdr>
    </w:div>
    <w:div w:id="431973118">
      <w:bodyDiv w:val="1"/>
      <w:marLeft w:val="0"/>
      <w:marRight w:val="0"/>
      <w:marTop w:val="0"/>
      <w:marBottom w:val="0"/>
      <w:divBdr>
        <w:top w:val="none" w:sz="0" w:space="0" w:color="auto"/>
        <w:left w:val="none" w:sz="0" w:space="0" w:color="auto"/>
        <w:bottom w:val="none" w:sz="0" w:space="0" w:color="auto"/>
        <w:right w:val="none" w:sz="0" w:space="0" w:color="auto"/>
      </w:divBdr>
    </w:div>
    <w:div w:id="432015642">
      <w:bodyDiv w:val="1"/>
      <w:marLeft w:val="0"/>
      <w:marRight w:val="0"/>
      <w:marTop w:val="0"/>
      <w:marBottom w:val="0"/>
      <w:divBdr>
        <w:top w:val="none" w:sz="0" w:space="0" w:color="auto"/>
        <w:left w:val="none" w:sz="0" w:space="0" w:color="auto"/>
        <w:bottom w:val="none" w:sz="0" w:space="0" w:color="auto"/>
        <w:right w:val="none" w:sz="0" w:space="0" w:color="auto"/>
      </w:divBdr>
    </w:div>
    <w:div w:id="432625421">
      <w:bodyDiv w:val="1"/>
      <w:marLeft w:val="0"/>
      <w:marRight w:val="0"/>
      <w:marTop w:val="0"/>
      <w:marBottom w:val="0"/>
      <w:divBdr>
        <w:top w:val="none" w:sz="0" w:space="0" w:color="auto"/>
        <w:left w:val="none" w:sz="0" w:space="0" w:color="auto"/>
        <w:bottom w:val="none" w:sz="0" w:space="0" w:color="auto"/>
        <w:right w:val="none" w:sz="0" w:space="0" w:color="auto"/>
      </w:divBdr>
    </w:div>
    <w:div w:id="432676732">
      <w:bodyDiv w:val="1"/>
      <w:marLeft w:val="0"/>
      <w:marRight w:val="0"/>
      <w:marTop w:val="0"/>
      <w:marBottom w:val="0"/>
      <w:divBdr>
        <w:top w:val="none" w:sz="0" w:space="0" w:color="auto"/>
        <w:left w:val="none" w:sz="0" w:space="0" w:color="auto"/>
        <w:bottom w:val="none" w:sz="0" w:space="0" w:color="auto"/>
        <w:right w:val="none" w:sz="0" w:space="0" w:color="auto"/>
      </w:divBdr>
    </w:div>
    <w:div w:id="432895314">
      <w:bodyDiv w:val="1"/>
      <w:marLeft w:val="0"/>
      <w:marRight w:val="0"/>
      <w:marTop w:val="0"/>
      <w:marBottom w:val="0"/>
      <w:divBdr>
        <w:top w:val="none" w:sz="0" w:space="0" w:color="auto"/>
        <w:left w:val="none" w:sz="0" w:space="0" w:color="auto"/>
        <w:bottom w:val="none" w:sz="0" w:space="0" w:color="auto"/>
        <w:right w:val="none" w:sz="0" w:space="0" w:color="auto"/>
      </w:divBdr>
    </w:div>
    <w:div w:id="433938915">
      <w:bodyDiv w:val="1"/>
      <w:marLeft w:val="0"/>
      <w:marRight w:val="0"/>
      <w:marTop w:val="0"/>
      <w:marBottom w:val="0"/>
      <w:divBdr>
        <w:top w:val="none" w:sz="0" w:space="0" w:color="auto"/>
        <w:left w:val="none" w:sz="0" w:space="0" w:color="auto"/>
        <w:bottom w:val="none" w:sz="0" w:space="0" w:color="auto"/>
        <w:right w:val="none" w:sz="0" w:space="0" w:color="auto"/>
      </w:divBdr>
    </w:div>
    <w:div w:id="434177013">
      <w:bodyDiv w:val="1"/>
      <w:marLeft w:val="0"/>
      <w:marRight w:val="0"/>
      <w:marTop w:val="0"/>
      <w:marBottom w:val="0"/>
      <w:divBdr>
        <w:top w:val="none" w:sz="0" w:space="0" w:color="auto"/>
        <w:left w:val="none" w:sz="0" w:space="0" w:color="auto"/>
        <w:bottom w:val="none" w:sz="0" w:space="0" w:color="auto"/>
        <w:right w:val="none" w:sz="0" w:space="0" w:color="auto"/>
      </w:divBdr>
    </w:div>
    <w:div w:id="435373197">
      <w:bodyDiv w:val="1"/>
      <w:marLeft w:val="0"/>
      <w:marRight w:val="0"/>
      <w:marTop w:val="0"/>
      <w:marBottom w:val="0"/>
      <w:divBdr>
        <w:top w:val="none" w:sz="0" w:space="0" w:color="auto"/>
        <w:left w:val="none" w:sz="0" w:space="0" w:color="auto"/>
        <w:bottom w:val="none" w:sz="0" w:space="0" w:color="auto"/>
        <w:right w:val="none" w:sz="0" w:space="0" w:color="auto"/>
      </w:divBdr>
    </w:div>
    <w:div w:id="435634937">
      <w:bodyDiv w:val="1"/>
      <w:marLeft w:val="0"/>
      <w:marRight w:val="0"/>
      <w:marTop w:val="0"/>
      <w:marBottom w:val="0"/>
      <w:divBdr>
        <w:top w:val="none" w:sz="0" w:space="0" w:color="auto"/>
        <w:left w:val="none" w:sz="0" w:space="0" w:color="auto"/>
        <w:bottom w:val="none" w:sz="0" w:space="0" w:color="auto"/>
        <w:right w:val="none" w:sz="0" w:space="0" w:color="auto"/>
      </w:divBdr>
    </w:div>
    <w:div w:id="436292553">
      <w:bodyDiv w:val="1"/>
      <w:marLeft w:val="0"/>
      <w:marRight w:val="0"/>
      <w:marTop w:val="0"/>
      <w:marBottom w:val="0"/>
      <w:divBdr>
        <w:top w:val="none" w:sz="0" w:space="0" w:color="auto"/>
        <w:left w:val="none" w:sz="0" w:space="0" w:color="auto"/>
        <w:bottom w:val="none" w:sz="0" w:space="0" w:color="auto"/>
        <w:right w:val="none" w:sz="0" w:space="0" w:color="auto"/>
      </w:divBdr>
    </w:div>
    <w:div w:id="436603377">
      <w:bodyDiv w:val="1"/>
      <w:marLeft w:val="0"/>
      <w:marRight w:val="0"/>
      <w:marTop w:val="0"/>
      <w:marBottom w:val="0"/>
      <w:divBdr>
        <w:top w:val="none" w:sz="0" w:space="0" w:color="auto"/>
        <w:left w:val="none" w:sz="0" w:space="0" w:color="auto"/>
        <w:bottom w:val="none" w:sz="0" w:space="0" w:color="auto"/>
        <w:right w:val="none" w:sz="0" w:space="0" w:color="auto"/>
      </w:divBdr>
    </w:div>
    <w:div w:id="437219373">
      <w:bodyDiv w:val="1"/>
      <w:marLeft w:val="0"/>
      <w:marRight w:val="0"/>
      <w:marTop w:val="0"/>
      <w:marBottom w:val="0"/>
      <w:divBdr>
        <w:top w:val="none" w:sz="0" w:space="0" w:color="auto"/>
        <w:left w:val="none" w:sz="0" w:space="0" w:color="auto"/>
        <w:bottom w:val="none" w:sz="0" w:space="0" w:color="auto"/>
        <w:right w:val="none" w:sz="0" w:space="0" w:color="auto"/>
      </w:divBdr>
    </w:div>
    <w:div w:id="437411459">
      <w:bodyDiv w:val="1"/>
      <w:marLeft w:val="0"/>
      <w:marRight w:val="0"/>
      <w:marTop w:val="0"/>
      <w:marBottom w:val="0"/>
      <w:divBdr>
        <w:top w:val="none" w:sz="0" w:space="0" w:color="auto"/>
        <w:left w:val="none" w:sz="0" w:space="0" w:color="auto"/>
        <w:bottom w:val="none" w:sz="0" w:space="0" w:color="auto"/>
        <w:right w:val="none" w:sz="0" w:space="0" w:color="auto"/>
      </w:divBdr>
    </w:div>
    <w:div w:id="437604155">
      <w:bodyDiv w:val="1"/>
      <w:marLeft w:val="0"/>
      <w:marRight w:val="0"/>
      <w:marTop w:val="0"/>
      <w:marBottom w:val="0"/>
      <w:divBdr>
        <w:top w:val="none" w:sz="0" w:space="0" w:color="auto"/>
        <w:left w:val="none" w:sz="0" w:space="0" w:color="auto"/>
        <w:bottom w:val="none" w:sz="0" w:space="0" w:color="auto"/>
        <w:right w:val="none" w:sz="0" w:space="0" w:color="auto"/>
      </w:divBdr>
    </w:div>
    <w:div w:id="438066327">
      <w:bodyDiv w:val="1"/>
      <w:marLeft w:val="0"/>
      <w:marRight w:val="0"/>
      <w:marTop w:val="0"/>
      <w:marBottom w:val="0"/>
      <w:divBdr>
        <w:top w:val="none" w:sz="0" w:space="0" w:color="auto"/>
        <w:left w:val="none" w:sz="0" w:space="0" w:color="auto"/>
        <w:bottom w:val="none" w:sz="0" w:space="0" w:color="auto"/>
        <w:right w:val="none" w:sz="0" w:space="0" w:color="auto"/>
      </w:divBdr>
    </w:div>
    <w:div w:id="438112109">
      <w:bodyDiv w:val="1"/>
      <w:marLeft w:val="0"/>
      <w:marRight w:val="0"/>
      <w:marTop w:val="0"/>
      <w:marBottom w:val="0"/>
      <w:divBdr>
        <w:top w:val="none" w:sz="0" w:space="0" w:color="auto"/>
        <w:left w:val="none" w:sz="0" w:space="0" w:color="auto"/>
        <w:bottom w:val="none" w:sz="0" w:space="0" w:color="auto"/>
        <w:right w:val="none" w:sz="0" w:space="0" w:color="auto"/>
      </w:divBdr>
    </w:div>
    <w:div w:id="438450695">
      <w:bodyDiv w:val="1"/>
      <w:marLeft w:val="0"/>
      <w:marRight w:val="0"/>
      <w:marTop w:val="0"/>
      <w:marBottom w:val="0"/>
      <w:divBdr>
        <w:top w:val="none" w:sz="0" w:space="0" w:color="auto"/>
        <w:left w:val="none" w:sz="0" w:space="0" w:color="auto"/>
        <w:bottom w:val="none" w:sz="0" w:space="0" w:color="auto"/>
        <w:right w:val="none" w:sz="0" w:space="0" w:color="auto"/>
      </w:divBdr>
    </w:div>
    <w:div w:id="438527709">
      <w:bodyDiv w:val="1"/>
      <w:marLeft w:val="0"/>
      <w:marRight w:val="0"/>
      <w:marTop w:val="0"/>
      <w:marBottom w:val="0"/>
      <w:divBdr>
        <w:top w:val="none" w:sz="0" w:space="0" w:color="auto"/>
        <w:left w:val="none" w:sz="0" w:space="0" w:color="auto"/>
        <w:bottom w:val="none" w:sz="0" w:space="0" w:color="auto"/>
        <w:right w:val="none" w:sz="0" w:space="0" w:color="auto"/>
      </w:divBdr>
    </w:div>
    <w:div w:id="438909755">
      <w:bodyDiv w:val="1"/>
      <w:marLeft w:val="0"/>
      <w:marRight w:val="0"/>
      <w:marTop w:val="0"/>
      <w:marBottom w:val="0"/>
      <w:divBdr>
        <w:top w:val="none" w:sz="0" w:space="0" w:color="auto"/>
        <w:left w:val="none" w:sz="0" w:space="0" w:color="auto"/>
        <w:bottom w:val="none" w:sz="0" w:space="0" w:color="auto"/>
        <w:right w:val="none" w:sz="0" w:space="0" w:color="auto"/>
      </w:divBdr>
    </w:div>
    <w:div w:id="439031669">
      <w:bodyDiv w:val="1"/>
      <w:marLeft w:val="0"/>
      <w:marRight w:val="0"/>
      <w:marTop w:val="0"/>
      <w:marBottom w:val="0"/>
      <w:divBdr>
        <w:top w:val="none" w:sz="0" w:space="0" w:color="auto"/>
        <w:left w:val="none" w:sz="0" w:space="0" w:color="auto"/>
        <w:bottom w:val="none" w:sz="0" w:space="0" w:color="auto"/>
        <w:right w:val="none" w:sz="0" w:space="0" w:color="auto"/>
      </w:divBdr>
    </w:div>
    <w:div w:id="439491152">
      <w:bodyDiv w:val="1"/>
      <w:marLeft w:val="0"/>
      <w:marRight w:val="0"/>
      <w:marTop w:val="0"/>
      <w:marBottom w:val="0"/>
      <w:divBdr>
        <w:top w:val="none" w:sz="0" w:space="0" w:color="auto"/>
        <w:left w:val="none" w:sz="0" w:space="0" w:color="auto"/>
        <w:bottom w:val="none" w:sz="0" w:space="0" w:color="auto"/>
        <w:right w:val="none" w:sz="0" w:space="0" w:color="auto"/>
      </w:divBdr>
    </w:div>
    <w:div w:id="440609203">
      <w:bodyDiv w:val="1"/>
      <w:marLeft w:val="0"/>
      <w:marRight w:val="0"/>
      <w:marTop w:val="0"/>
      <w:marBottom w:val="0"/>
      <w:divBdr>
        <w:top w:val="none" w:sz="0" w:space="0" w:color="auto"/>
        <w:left w:val="none" w:sz="0" w:space="0" w:color="auto"/>
        <w:bottom w:val="none" w:sz="0" w:space="0" w:color="auto"/>
        <w:right w:val="none" w:sz="0" w:space="0" w:color="auto"/>
      </w:divBdr>
    </w:div>
    <w:div w:id="440926575">
      <w:bodyDiv w:val="1"/>
      <w:marLeft w:val="0"/>
      <w:marRight w:val="0"/>
      <w:marTop w:val="0"/>
      <w:marBottom w:val="0"/>
      <w:divBdr>
        <w:top w:val="none" w:sz="0" w:space="0" w:color="auto"/>
        <w:left w:val="none" w:sz="0" w:space="0" w:color="auto"/>
        <w:bottom w:val="none" w:sz="0" w:space="0" w:color="auto"/>
        <w:right w:val="none" w:sz="0" w:space="0" w:color="auto"/>
      </w:divBdr>
    </w:div>
    <w:div w:id="441193924">
      <w:bodyDiv w:val="1"/>
      <w:marLeft w:val="0"/>
      <w:marRight w:val="0"/>
      <w:marTop w:val="0"/>
      <w:marBottom w:val="0"/>
      <w:divBdr>
        <w:top w:val="none" w:sz="0" w:space="0" w:color="auto"/>
        <w:left w:val="none" w:sz="0" w:space="0" w:color="auto"/>
        <w:bottom w:val="none" w:sz="0" w:space="0" w:color="auto"/>
        <w:right w:val="none" w:sz="0" w:space="0" w:color="auto"/>
      </w:divBdr>
    </w:div>
    <w:div w:id="442110862">
      <w:bodyDiv w:val="1"/>
      <w:marLeft w:val="0"/>
      <w:marRight w:val="0"/>
      <w:marTop w:val="0"/>
      <w:marBottom w:val="0"/>
      <w:divBdr>
        <w:top w:val="none" w:sz="0" w:space="0" w:color="auto"/>
        <w:left w:val="none" w:sz="0" w:space="0" w:color="auto"/>
        <w:bottom w:val="none" w:sz="0" w:space="0" w:color="auto"/>
        <w:right w:val="none" w:sz="0" w:space="0" w:color="auto"/>
      </w:divBdr>
    </w:div>
    <w:div w:id="442503952">
      <w:bodyDiv w:val="1"/>
      <w:marLeft w:val="0"/>
      <w:marRight w:val="0"/>
      <w:marTop w:val="0"/>
      <w:marBottom w:val="0"/>
      <w:divBdr>
        <w:top w:val="none" w:sz="0" w:space="0" w:color="auto"/>
        <w:left w:val="none" w:sz="0" w:space="0" w:color="auto"/>
        <w:bottom w:val="none" w:sz="0" w:space="0" w:color="auto"/>
        <w:right w:val="none" w:sz="0" w:space="0" w:color="auto"/>
      </w:divBdr>
    </w:div>
    <w:div w:id="443427451">
      <w:bodyDiv w:val="1"/>
      <w:marLeft w:val="0"/>
      <w:marRight w:val="0"/>
      <w:marTop w:val="0"/>
      <w:marBottom w:val="0"/>
      <w:divBdr>
        <w:top w:val="none" w:sz="0" w:space="0" w:color="auto"/>
        <w:left w:val="none" w:sz="0" w:space="0" w:color="auto"/>
        <w:bottom w:val="none" w:sz="0" w:space="0" w:color="auto"/>
        <w:right w:val="none" w:sz="0" w:space="0" w:color="auto"/>
      </w:divBdr>
    </w:div>
    <w:div w:id="443579146">
      <w:bodyDiv w:val="1"/>
      <w:marLeft w:val="0"/>
      <w:marRight w:val="0"/>
      <w:marTop w:val="0"/>
      <w:marBottom w:val="0"/>
      <w:divBdr>
        <w:top w:val="none" w:sz="0" w:space="0" w:color="auto"/>
        <w:left w:val="none" w:sz="0" w:space="0" w:color="auto"/>
        <w:bottom w:val="none" w:sz="0" w:space="0" w:color="auto"/>
        <w:right w:val="none" w:sz="0" w:space="0" w:color="auto"/>
      </w:divBdr>
    </w:div>
    <w:div w:id="443693395">
      <w:bodyDiv w:val="1"/>
      <w:marLeft w:val="0"/>
      <w:marRight w:val="0"/>
      <w:marTop w:val="0"/>
      <w:marBottom w:val="0"/>
      <w:divBdr>
        <w:top w:val="none" w:sz="0" w:space="0" w:color="auto"/>
        <w:left w:val="none" w:sz="0" w:space="0" w:color="auto"/>
        <w:bottom w:val="none" w:sz="0" w:space="0" w:color="auto"/>
        <w:right w:val="none" w:sz="0" w:space="0" w:color="auto"/>
      </w:divBdr>
    </w:div>
    <w:div w:id="443810938">
      <w:bodyDiv w:val="1"/>
      <w:marLeft w:val="0"/>
      <w:marRight w:val="0"/>
      <w:marTop w:val="0"/>
      <w:marBottom w:val="0"/>
      <w:divBdr>
        <w:top w:val="none" w:sz="0" w:space="0" w:color="auto"/>
        <w:left w:val="none" w:sz="0" w:space="0" w:color="auto"/>
        <w:bottom w:val="none" w:sz="0" w:space="0" w:color="auto"/>
        <w:right w:val="none" w:sz="0" w:space="0" w:color="auto"/>
      </w:divBdr>
    </w:div>
    <w:div w:id="444009419">
      <w:bodyDiv w:val="1"/>
      <w:marLeft w:val="0"/>
      <w:marRight w:val="0"/>
      <w:marTop w:val="0"/>
      <w:marBottom w:val="0"/>
      <w:divBdr>
        <w:top w:val="none" w:sz="0" w:space="0" w:color="auto"/>
        <w:left w:val="none" w:sz="0" w:space="0" w:color="auto"/>
        <w:bottom w:val="none" w:sz="0" w:space="0" w:color="auto"/>
        <w:right w:val="none" w:sz="0" w:space="0" w:color="auto"/>
      </w:divBdr>
    </w:div>
    <w:div w:id="444039068">
      <w:bodyDiv w:val="1"/>
      <w:marLeft w:val="0"/>
      <w:marRight w:val="0"/>
      <w:marTop w:val="0"/>
      <w:marBottom w:val="0"/>
      <w:divBdr>
        <w:top w:val="none" w:sz="0" w:space="0" w:color="auto"/>
        <w:left w:val="none" w:sz="0" w:space="0" w:color="auto"/>
        <w:bottom w:val="none" w:sz="0" w:space="0" w:color="auto"/>
        <w:right w:val="none" w:sz="0" w:space="0" w:color="auto"/>
      </w:divBdr>
    </w:div>
    <w:div w:id="444890758">
      <w:bodyDiv w:val="1"/>
      <w:marLeft w:val="0"/>
      <w:marRight w:val="0"/>
      <w:marTop w:val="0"/>
      <w:marBottom w:val="0"/>
      <w:divBdr>
        <w:top w:val="none" w:sz="0" w:space="0" w:color="auto"/>
        <w:left w:val="none" w:sz="0" w:space="0" w:color="auto"/>
        <w:bottom w:val="none" w:sz="0" w:space="0" w:color="auto"/>
        <w:right w:val="none" w:sz="0" w:space="0" w:color="auto"/>
      </w:divBdr>
    </w:div>
    <w:div w:id="445389325">
      <w:bodyDiv w:val="1"/>
      <w:marLeft w:val="0"/>
      <w:marRight w:val="0"/>
      <w:marTop w:val="0"/>
      <w:marBottom w:val="0"/>
      <w:divBdr>
        <w:top w:val="none" w:sz="0" w:space="0" w:color="auto"/>
        <w:left w:val="none" w:sz="0" w:space="0" w:color="auto"/>
        <w:bottom w:val="none" w:sz="0" w:space="0" w:color="auto"/>
        <w:right w:val="none" w:sz="0" w:space="0" w:color="auto"/>
      </w:divBdr>
    </w:div>
    <w:div w:id="446044054">
      <w:bodyDiv w:val="1"/>
      <w:marLeft w:val="0"/>
      <w:marRight w:val="0"/>
      <w:marTop w:val="0"/>
      <w:marBottom w:val="0"/>
      <w:divBdr>
        <w:top w:val="none" w:sz="0" w:space="0" w:color="auto"/>
        <w:left w:val="none" w:sz="0" w:space="0" w:color="auto"/>
        <w:bottom w:val="none" w:sz="0" w:space="0" w:color="auto"/>
        <w:right w:val="none" w:sz="0" w:space="0" w:color="auto"/>
      </w:divBdr>
    </w:div>
    <w:div w:id="446238994">
      <w:bodyDiv w:val="1"/>
      <w:marLeft w:val="0"/>
      <w:marRight w:val="0"/>
      <w:marTop w:val="0"/>
      <w:marBottom w:val="0"/>
      <w:divBdr>
        <w:top w:val="none" w:sz="0" w:space="0" w:color="auto"/>
        <w:left w:val="none" w:sz="0" w:space="0" w:color="auto"/>
        <w:bottom w:val="none" w:sz="0" w:space="0" w:color="auto"/>
        <w:right w:val="none" w:sz="0" w:space="0" w:color="auto"/>
      </w:divBdr>
    </w:div>
    <w:div w:id="446629026">
      <w:bodyDiv w:val="1"/>
      <w:marLeft w:val="0"/>
      <w:marRight w:val="0"/>
      <w:marTop w:val="0"/>
      <w:marBottom w:val="0"/>
      <w:divBdr>
        <w:top w:val="none" w:sz="0" w:space="0" w:color="auto"/>
        <w:left w:val="none" w:sz="0" w:space="0" w:color="auto"/>
        <w:bottom w:val="none" w:sz="0" w:space="0" w:color="auto"/>
        <w:right w:val="none" w:sz="0" w:space="0" w:color="auto"/>
      </w:divBdr>
    </w:div>
    <w:div w:id="447506031">
      <w:bodyDiv w:val="1"/>
      <w:marLeft w:val="0"/>
      <w:marRight w:val="0"/>
      <w:marTop w:val="0"/>
      <w:marBottom w:val="0"/>
      <w:divBdr>
        <w:top w:val="none" w:sz="0" w:space="0" w:color="auto"/>
        <w:left w:val="none" w:sz="0" w:space="0" w:color="auto"/>
        <w:bottom w:val="none" w:sz="0" w:space="0" w:color="auto"/>
        <w:right w:val="none" w:sz="0" w:space="0" w:color="auto"/>
      </w:divBdr>
    </w:div>
    <w:div w:id="448208985">
      <w:bodyDiv w:val="1"/>
      <w:marLeft w:val="0"/>
      <w:marRight w:val="0"/>
      <w:marTop w:val="0"/>
      <w:marBottom w:val="0"/>
      <w:divBdr>
        <w:top w:val="none" w:sz="0" w:space="0" w:color="auto"/>
        <w:left w:val="none" w:sz="0" w:space="0" w:color="auto"/>
        <w:bottom w:val="none" w:sz="0" w:space="0" w:color="auto"/>
        <w:right w:val="none" w:sz="0" w:space="0" w:color="auto"/>
      </w:divBdr>
    </w:div>
    <w:div w:id="448283371">
      <w:bodyDiv w:val="1"/>
      <w:marLeft w:val="0"/>
      <w:marRight w:val="0"/>
      <w:marTop w:val="0"/>
      <w:marBottom w:val="0"/>
      <w:divBdr>
        <w:top w:val="none" w:sz="0" w:space="0" w:color="auto"/>
        <w:left w:val="none" w:sz="0" w:space="0" w:color="auto"/>
        <w:bottom w:val="none" w:sz="0" w:space="0" w:color="auto"/>
        <w:right w:val="none" w:sz="0" w:space="0" w:color="auto"/>
      </w:divBdr>
    </w:div>
    <w:div w:id="448283376">
      <w:bodyDiv w:val="1"/>
      <w:marLeft w:val="0"/>
      <w:marRight w:val="0"/>
      <w:marTop w:val="0"/>
      <w:marBottom w:val="0"/>
      <w:divBdr>
        <w:top w:val="none" w:sz="0" w:space="0" w:color="auto"/>
        <w:left w:val="none" w:sz="0" w:space="0" w:color="auto"/>
        <w:bottom w:val="none" w:sz="0" w:space="0" w:color="auto"/>
        <w:right w:val="none" w:sz="0" w:space="0" w:color="auto"/>
      </w:divBdr>
    </w:div>
    <w:div w:id="448355651">
      <w:bodyDiv w:val="1"/>
      <w:marLeft w:val="0"/>
      <w:marRight w:val="0"/>
      <w:marTop w:val="0"/>
      <w:marBottom w:val="0"/>
      <w:divBdr>
        <w:top w:val="none" w:sz="0" w:space="0" w:color="auto"/>
        <w:left w:val="none" w:sz="0" w:space="0" w:color="auto"/>
        <w:bottom w:val="none" w:sz="0" w:space="0" w:color="auto"/>
        <w:right w:val="none" w:sz="0" w:space="0" w:color="auto"/>
      </w:divBdr>
    </w:div>
    <w:div w:id="448940700">
      <w:bodyDiv w:val="1"/>
      <w:marLeft w:val="0"/>
      <w:marRight w:val="0"/>
      <w:marTop w:val="0"/>
      <w:marBottom w:val="0"/>
      <w:divBdr>
        <w:top w:val="none" w:sz="0" w:space="0" w:color="auto"/>
        <w:left w:val="none" w:sz="0" w:space="0" w:color="auto"/>
        <w:bottom w:val="none" w:sz="0" w:space="0" w:color="auto"/>
        <w:right w:val="none" w:sz="0" w:space="0" w:color="auto"/>
      </w:divBdr>
    </w:div>
    <w:div w:id="449132972">
      <w:bodyDiv w:val="1"/>
      <w:marLeft w:val="0"/>
      <w:marRight w:val="0"/>
      <w:marTop w:val="0"/>
      <w:marBottom w:val="0"/>
      <w:divBdr>
        <w:top w:val="none" w:sz="0" w:space="0" w:color="auto"/>
        <w:left w:val="none" w:sz="0" w:space="0" w:color="auto"/>
        <w:bottom w:val="none" w:sz="0" w:space="0" w:color="auto"/>
        <w:right w:val="none" w:sz="0" w:space="0" w:color="auto"/>
      </w:divBdr>
    </w:div>
    <w:div w:id="449207835">
      <w:bodyDiv w:val="1"/>
      <w:marLeft w:val="0"/>
      <w:marRight w:val="0"/>
      <w:marTop w:val="0"/>
      <w:marBottom w:val="0"/>
      <w:divBdr>
        <w:top w:val="none" w:sz="0" w:space="0" w:color="auto"/>
        <w:left w:val="none" w:sz="0" w:space="0" w:color="auto"/>
        <w:bottom w:val="none" w:sz="0" w:space="0" w:color="auto"/>
        <w:right w:val="none" w:sz="0" w:space="0" w:color="auto"/>
      </w:divBdr>
    </w:div>
    <w:div w:id="449249593">
      <w:bodyDiv w:val="1"/>
      <w:marLeft w:val="0"/>
      <w:marRight w:val="0"/>
      <w:marTop w:val="0"/>
      <w:marBottom w:val="0"/>
      <w:divBdr>
        <w:top w:val="none" w:sz="0" w:space="0" w:color="auto"/>
        <w:left w:val="none" w:sz="0" w:space="0" w:color="auto"/>
        <w:bottom w:val="none" w:sz="0" w:space="0" w:color="auto"/>
        <w:right w:val="none" w:sz="0" w:space="0" w:color="auto"/>
      </w:divBdr>
    </w:div>
    <w:div w:id="451022649">
      <w:bodyDiv w:val="1"/>
      <w:marLeft w:val="0"/>
      <w:marRight w:val="0"/>
      <w:marTop w:val="0"/>
      <w:marBottom w:val="0"/>
      <w:divBdr>
        <w:top w:val="none" w:sz="0" w:space="0" w:color="auto"/>
        <w:left w:val="none" w:sz="0" w:space="0" w:color="auto"/>
        <w:bottom w:val="none" w:sz="0" w:space="0" w:color="auto"/>
        <w:right w:val="none" w:sz="0" w:space="0" w:color="auto"/>
      </w:divBdr>
    </w:div>
    <w:div w:id="451097773">
      <w:bodyDiv w:val="1"/>
      <w:marLeft w:val="0"/>
      <w:marRight w:val="0"/>
      <w:marTop w:val="0"/>
      <w:marBottom w:val="0"/>
      <w:divBdr>
        <w:top w:val="none" w:sz="0" w:space="0" w:color="auto"/>
        <w:left w:val="none" w:sz="0" w:space="0" w:color="auto"/>
        <w:bottom w:val="none" w:sz="0" w:space="0" w:color="auto"/>
        <w:right w:val="none" w:sz="0" w:space="0" w:color="auto"/>
      </w:divBdr>
    </w:div>
    <w:div w:id="451361728">
      <w:bodyDiv w:val="1"/>
      <w:marLeft w:val="0"/>
      <w:marRight w:val="0"/>
      <w:marTop w:val="0"/>
      <w:marBottom w:val="0"/>
      <w:divBdr>
        <w:top w:val="none" w:sz="0" w:space="0" w:color="auto"/>
        <w:left w:val="none" w:sz="0" w:space="0" w:color="auto"/>
        <w:bottom w:val="none" w:sz="0" w:space="0" w:color="auto"/>
        <w:right w:val="none" w:sz="0" w:space="0" w:color="auto"/>
      </w:divBdr>
    </w:div>
    <w:div w:id="451482709">
      <w:bodyDiv w:val="1"/>
      <w:marLeft w:val="0"/>
      <w:marRight w:val="0"/>
      <w:marTop w:val="0"/>
      <w:marBottom w:val="0"/>
      <w:divBdr>
        <w:top w:val="none" w:sz="0" w:space="0" w:color="auto"/>
        <w:left w:val="none" w:sz="0" w:space="0" w:color="auto"/>
        <w:bottom w:val="none" w:sz="0" w:space="0" w:color="auto"/>
        <w:right w:val="none" w:sz="0" w:space="0" w:color="auto"/>
      </w:divBdr>
    </w:div>
    <w:div w:id="451558907">
      <w:bodyDiv w:val="1"/>
      <w:marLeft w:val="0"/>
      <w:marRight w:val="0"/>
      <w:marTop w:val="0"/>
      <w:marBottom w:val="0"/>
      <w:divBdr>
        <w:top w:val="none" w:sz="0" w:space="0" w:color="auto"/>
        <w:left w:val="none" w:sz="0" w:space="0" w:color="auto"/>
        <w:bottom w:val="none" w:sz="0" w:space="0" w:color="auto"/>
        <w:right w:val="none" w:sz="0" w:space="0" w:color="auto"/>
      </w:divBdr>
    </w:div>
    <w:div w:id="451678983">
      <w:bodyDiv w:val="1"/>
      <w:marLeft w:val="0"/>
      <w:marRight w:val="0"/>
      <w:marTop w:val="0"/>
      <w:marBottom w:val="0"/>
      <w:divBdr>
        <w:top w:val="none" w:sz="0" w:space="0" w:color="auto"/>
        <w:left w:val="none" w:sz="0" w:space="0" w:color="auto"/>
        <w:bottom w:val="none" w:sz="0" w:space="0" w:color="auto"/>
        <w:right w:val="none" w:sz="0" w:space="0" w:color="auto"/>
      </w:divBdr>
    </w:div>
    <w:div w:id="451748561">
      <w:bodyDiv w:val="1"/>
      <w:marLeft w:val="0"/>
      <w:marRight w:val="0"/>
      <w:marTop w:val="0"/>
      <w:marBottom w:val="0"/>
      <w:divBdr>
        <w:top w:val="none" w:sz="0" w:space="0" w:color="auto"/>
        <w:left w:val="none" w:sz="0" w:space="0" w:color="auto"/>
        <w:bottom w:val="none" w:sz="0" w:space="0" w:color="auto"/>
        <w:right w:val="none" w:sz="0" w:space="0" w:color="auto"/>
      </w:divBdr>
    </w:div>
    <w:div w:id="452022486">
      <w:bodyDiv w:val="1"/>
      <w:marLeft w:val="0"/>
      <w:marRight w:val="0"/>
      <w:marTop w:val="0"/>
      <w:marBottom w:val="0"/>
      <w:divBdr>
        <w:top w:val="none" w:sz="0" w:space="0" w:color="auto"/>
        <w:left w:val="none" w:sz="0" w:space="0" w:color="auto"/>
        <w:bottom w:val="none" w:sz="0" w:space="0" w:color="auto"/>
        <w:right w:val="none" w:sz="0" w:space="0" w:color="auto"/>
      </w:divBdr>
    </w:div>
    <w:div w:id="452480402">
      <w:bodyDiv w:val="1"/>
      <w:marLeft w:val="0"/>
      <w:marRight w:val="0"/>
      <w:marTop w:val="0"/>
      <w:marBottom w:val="0"/>
      <w:divBdr>
        <w:top w:val="none" w:sz="0" w:space="0" w:color="auto"/>
        <w:left w:val="none" w:sz="0" w:space="0" w:color="auto"/>
        <w:bottom w:val="none" w:sz="0" w:space="0" w:color="auto"/>
        <w:right w:val="none" w:sz="0" w:space="0" w:color="auto"/>
      </w:divBdr>
    </w:div>
    <w:div w:id="452674154">
      <w:bodyDiv w:val="1"/>
      <w:marLeft w:val="0"/>
      <w:marRight w:val="0"/>
      <w:marTop w:val="0"/>
      <w:marBottom w:val="0"/>
      <w:divBdr>
        <w:top w:val="none" w:sz="0" w:space="0" w:color="auto"/>
        <w:left w:val="none" w:sz="0" w:space="0" w:color="auto"/>
        <w:bottom w:val="none" w:sz="0" w:space="0" w:color="auto"/>
        <w:right w:val="none" w:sz="0" w:space="0" w:color="auto"/>
      </w:divBdr>
    </w:div>
    <w:div w:id="452675245">
      <w:bodyDiv w:val="1"/>
      <w:marLeft w:val="0"/>
      <w:marRight w:val="0"/>
      <w:marTop w:val="0"/>
      <w:marBottom w:val="0"/>
      <w:divBdr>
        <w:top w:val="none" w:sz="0" w:space="0" w:color="auto"/>
        <w:left w:val="none" w:sz="0" w:space="0" w:color="auto"/>
        <w:bottom w:val="none" w:sz="0" w:space="0" w:color="auto"/>
        <w:right w:val="none" w:sz="0" w:space="0" w:color="auto"/>
      </w:divBdr>
    </w:div>
    <w:div w:id="452678551">
      <w:bodyDiv w:val="1"/>
      <w:marLeft w:val="0"/>
      <w:marRight w:val="0"/>
      <w:marTop w:val="0"/>
      <w:marBottom w:val="0"/>
      <w:divBdr>
        <w:top w:val="none" w:sz="0" w:space="0" w:color="auto"/>
        <w:left w:val="none" w:sz="0" w:space="0" w:color="auto"/>
        <w:bottom w:val="none" w:sz="0" w:space="0" w:color="auto"/>
        <w:right w:val="none" w:sz="0" w:space="0" w:color="auto"/>
      </w:divBdr>
    </w:div>
    <w:div w:id="452748806">
      <w:bodyDiv w:val="1"/>
      <w:marLeft w:val="0"/>
      <w:marRight w:val="0"/>
      <w:marTop w:val="0"/>
      <w:marBottom w:val="0"/>
      <w:divBdr>
        <w:top w:val="none" w:sz="0" w:space="0" w:color="auto"/>
        <w:left w:val="none" w:sz="0" w:space="0" w:color="auto"/>
        <w:bottom w:val="none" w:sz="0" w:space="0" w:color="auto"/>
        <w:right w:val="none" w:sz="0" w:space="0" w:color="auto"/>
      </w:divBdr>
    </w:div>
    <w:div w:id="452871371">
      <w:bodyDiv w:val="1"/>
      <w:marLeft w:val="0"/>
      <w:marRight w:val="0"/>
      <w:marTop w:val="0"/>
      <w:marBottom w:val="0"/>
      <w:divBdr>
        <w:top w:val="none" w:sz="0" w:space="0" w:color="auto"/>
        <w:left w:val="none" w:sz="0" w:space="0" w:color="auto"/>
        <w:bottom w:val="none" w:sz="0" w:space="0" w:color="auto"/>
        <w:right w:val="none" w:sz="0" w:space="0" w:color="auto"/>
      </w:divBdr>
    </w:div>
    <w:div w:id="453138450">
      <w:bodyDiv w:val="1"/>
      <w:marLeft w:val="0"/>
      <w:marRight w:val="0"/>
      <w:marTop w:val="0"/>
      <w:marBottom w:val="0"/>
      <w:divBdr>
        <w:top w:val="none" w:sz="0" w:space="0" w:color="auto"/>
        <w:left w:val="none" w:sz="0" w:space="0" w:color="auto"/>
        <w:bottom w:val="none" w:sz="0" w:space="0" w:color="auto"/>
        <w:right w:val="none" w:sz="0" w:space="0" w:color="auto"/>
      </w:divBdr>
    </w:div>
    <w:div w:id="453790692">
      <w:bodyDiv w:val="1"/>
      <w:marLeft w:val="0"/>
      <w:marRight w:val="0"/>
      <w:marTop w:val="0"/>
      <w:marBottom w:val="0"/>
      <w:divBdr>
        <w:top w:val="none" w:sz="0" w:space="0" w:color="auto"/>
        <w:left w:val="none" w:sz="0" w:space="0" w:color="auto"/>
        <w:bottom w:val="none" w:sz="0" w:space="0" w:color="auto"/>
        <w:right w:val="none" w:sz="0" w:space="0" w:color="auto"/>
      </w:divBdr>
    </w:div>
    <w:div w:id="453796850">
      <w:bodyDiv w:val="1"/>
      <w:marLeft w:val="0"/>
      <w:marRight w:val="0"/>
      <w:marTop w:val="0"/>
      <w:marBottom w:val="0"/>
      <w:divBdr>
        <w:top w:val="none" w:sz="0" w:space="0" w:color="auto"/>
        <w:left w:val="none" w:sz="0" w:space="0" w:color="auto"/>
        <w:bottom w:val="none" w:sz="0" w:space="0" w:color="auto"/>
        <w:right w:val="none" w:sz="0" w:space="0" w:color="auto"/>
      </w:divBdr>
    </w:div>
    <w:div w:id="454064307">
      <w:bodyDiv w:val="1"/>
      <w:marLeft w:val="0"/>
      <w:marRight w:val="0"/>
      <w:marTop w:val="0"/>
      <w:marBottom w:val="0"/>
      <w:divBdr>
        <w:top w:val="none" w:sz="0" w:space="0" w:color="auto"/>
        <w:left w:val="none" w:sz="0" w:space="0" w:color="auto"/>
        <w:bottom w:val="none" w:sz="0" w:space="0" w:color="auto"/>
        <w:right w:val="none" w:sz="0" w:space="0" w:color="auto"/>
      </w:divBdr>
    </w:div>
    <w:div w:id="454104987">
      <w:bodyDiv w:val="1"/>
      <w:marLeft w:val="0"/>
      <w:marRight w:val="0"/>
      <w:marTop w:val="0"/>
      <w:marBottom w:val="0"/>
      <w:divBdr>
        <w:top w:val="none" w:sz="0" w:space="0" w:color="auto"/>
        <w:left w:val="none" w:sz="0" w:space="0" w:color="auto"/>
        <w:bottom w:val="none" w:sz="0" w:space="0" w:color="auto"/>
        <w:right w:val="none" w:sz="0" w:space="0" w:color="auto"/>
      </w:divBdr>
    </w:div>
    <w:div w:id="454179905">
      <w:bodyDiv w:val="1"/>
      <w:marLeft w:val="0"/>
      <w:marRight w:val="0"/>
      <w:marTop w:val="0"/>
      <w:marBottom w:val="0"/>
      <w:divBdr>
        <w:top w:val="none" w:sz="0" w:space="0" w:color="auto"/>
        <w:left w:val="none" w:sz="0" w:space="0" w:color="auto"/>
        <w:bottom w:val="none" w:sz="0" w:space="0" w:color="auto"/>
        <w:right w:val="none" w:sz="0" w:space="0" w:color="auto"/>
      </w:divBdr>
    </w:div>
    <w:div w:id="454180744">
      <w:bodyDiv w:val="1"/>
      <w:marLeft w:val="0"/>
      <w:marRight w:val="0"/>
      <w:marTop w:val="0"/>
      <w:marBottom w:val="0"/>
      <w:divBdr>
        <w:top w:val="none" w:sz="0" w:space="0" w:color="auto"/>
        <w:left w:val="none" w:sz="0" w:space="0" w:color="auto"/>
        <w:bottom w:val="none" w:sz="0" w:space="0" w:color="auto"/>
        <w:right w:val="none" w:sz="0" w:space="0" w:color="auto"/>
      </w:divBdr>
    </w:div>
    <w:div w:id="454448405">
      <w:bodyDiv w:val="1"/>
      <w:marLeft w:val="0"/>
      <w:marRight w:val="0"/>
      <w:marTop w:val="0"/>
      <w:marBottom w:val="0"/>
      <w:divBdr>
        <w:top w:val="none" w:sz="0" w:space="0" w:color="auto"/>
        <w:left w:val="none" w:sz="0" w:space="0" w:color="auto"/>
        <w:bottom w:val="none" w:sz="0" w:space="0" w:color="auto"/>
        <w:right w:val="none" w:sz="0" w:space="0" w:color="auto"/>
      </w:divBdr>
    </w:div>
    <w:div w:id="454761493">
      <w:bodyDiv w:val="1"/>
      <w:marLeft w:val="0"/>
      <w:marRight w:val="0"/>
      <w:marTop w:val="0"/>
      <w:marBottom w:val="0"/>
      <w:divBdr>
        <w:top w:val="none" w:sz="0" w:space="0" w:color="auto"/>
        <w:left w:val="none" w:sz="0" w:space="0" w:color="auto"/>
        <w:bottom w:val="none" w:sz="0" w:space="0" w:color="auto"/>
        <w:right w:val="none" w:sz="0" w:space="0" w:color="auto"/>
      </w:divBdr>
    </w:div>
    <w:div w:id="454980589">
      <w:bodyDiv w:val="1"/>
      <w:marLeft w:val="0"/>
      <w:marRight w:val="0"/>
      <w:marTop w:val="0"/>
      <w:marBottom w:val="0"/>
      <w:divBdr>
        <w:top w:val="none" w:sz="0" w:space="0" w:color="auto"/>
        <w:left w:val="none" w:sz="0" w:space="0" w:color="auto"/>
        <w:bottom w:val="none" w:sz="0" w:space="0" w:color="auto"/>
        <w:right w:val="none" w:sz="0" w:space="0" w:color="auto"/>
      </w:divBdr>
    </w:div>
    <w:div w:id="455760880">
      <w:bodyDiv w:val="1"/>
      <w:marLeft w:val="0"/>
      <w:marRight w:val="0"/>
      <w:marTop w:val="0"/>
      <w:marBottom w:val="0"/>
      <w:divBdr>
        <w:top w:val="none" w:sz="0" w:space="0" w:color="auto"/>
        <w:left w:val="none" w:sz="0" w:space="0" w:color="auto"/>
        <w:bottom w:val="none" w:sz="0" w:space="0" w:color="auto"/>
        <w:right w:val="none" w:sz="0" w:space="0" w:color="auto"/>
      </w:divBdr>
    </w:div>
    <w:div w:id="456023321">
      <w:bodyDiv w:val="1"/>
      <w:marLeft w:val="0"/>
      <w:marRight w:val="0"/>
      <w:marTop w:val="0"/>
      <w:marBottom w:val="0"/>
      <w:divBdr>
        <w:top w:val="none" w:sz="0" w:space="0" w:color="auto"/>
        <w:left w:val="none" w:sz="0" w:space="0" w:color="auto"/>
        <w:bottom w:val="none" w:sz="0" w:space="0" w:color="auto"/>
        <w:right w:val="none" w:sz="0" w:space="0" w:color="auto"/>
      </w:divBdr>
    </w:div>
    <w:div w:id="456416567">
      <w:bodyDiv w:val="1"/>
      <w:marLeft w:val="0"/>
      <w:marRight w:val="0"/>
      <w:marTop w:val="0"/>
      <w:marBottom w:val="0"/>
      <w:divBdr>
        <w:top w:val="none" w:sz="0" w:space="0" w:color="auto"/>
        <w:left w:val="none" w:sz="0" w:space="0" w:color="auto"/>
        <w:bottom w:val="none" w:sz="0" w:space="0" w:color="auto"/>
        <w:right w:val="none" w:sz="0" w:space="0" w:color="auto"/>
      </w:divBdr>
    </w:div>
    <w:div w:id="456608781">
      <w:bodyDiv w:val="1"/>
      <w:marLeft w:val="0"/>
      <w:marRight w:val="0"/>
      <w:marTop w:val="0"/>
      <w:marBottom w:val="0"/>
      <w:divBdr>
        <w:top w:val="none" w:sz="0" w:space="0" w:color="auto"/>
        <w:left w:val="none" w:sz="0" w:space="0" w:color="auto"/>
        <w:bottom w:val="none" w:sz="0" w:space="0" w:color="auto"/>
        <w:right w:val="none" w:sz="0" w:space="0" w:color="auto"/>
      </w:divBdr>
    </w:div>
    <w:div w:id="456722050">
      <w:bodyDiv w:val="1"/>
      <w:marLeft w:val="0"/>
      <w:marRight w:val="0"/>
      <w:marTop w:val="0"/>
      <w:marBottom w:val="0"/>
      <w:divBdr>
        <w:top w:val="none" w:sz="0" w:space="0" w:color="auto"/>
        <w:left w:val="none" w:sz="0" w:space="0" w:color="auto"/>
        <w:bottom w:val="none" w:sz="0" w:space="0" w:color="auto"/>
        <w:right w:val="none" w:sz="0" w:space="0" w:color="auto"/>
      </w:divBdr>
    </w:div>
    <w:div w:id="456752988">
      <w:bodyDiv w:val="1"/>
      <w:marLeft w:val="0"/>
      <w:marRight w:val="0"/>
      <w:marTop w:val="0"/>
      <w:marBottom w:val="0"/>
      <w:divBdr>
        <w:top w:val="none" w:sz="0" w:space="0" w:color="auto"/>
        <w:left w:val="none" w:sz="0" w:space="0" w:color="auto"/>
        <w:bottom w:val="none" w:sz="0" w:space="0" w:color="auto"/>
        <w:right w:val="none" w:sz="0" w:space="0" w:color="auto"/>
      </w:divBdr>
    </w:div>
    <w:div w:id="456798842">
      <w:bodyDiv w:val="1"/>
      <w:marLeft w:val="0"/>
      <w:marRight w:val="0"/>
      <w:marTop w:val="0"/>
      <w:marBottom w:val="0"/>
      <w:divBdr>
        <w:top w:val="none" w:sz="0" w:space="0" w:color="auto"/>
        <w:left w:val="none" w:sz="0" w:space="0" w:color="auto"/>
        <w:bottom w:val="none" w:sz="0" w:space="0" w:color="auto"/>
        <w:right w:val="none" w:sz="0" w:space="0" w:color="auto"/>
      </w:divBdr>
    </w:div>
    <w:div w:id="456918739">
      <w:bodyDiv w:val="1"/>
      <w:marLeft w:val="0"/>
      <w:marRight w:val="0"/>
      <w:marTop w:val="0"/>
      <w:marBottom w:val="0"/>
      <w:divBdr>
        <w:top w:val="none" w:sz="0" w:space="0" w:color="auto"/>
        <w:left w:val="none" w:sz="0" w:space="0" w:color="auto"/>
        <w:bottom w:val="none" w:sz="0" w:space="0" w:color="auto"/>
        <w:right w:val="none" w:sz="0" w:space="0" w:color="auto"/>
      </w:divBdr>
    </w:div>
    <w:div w:id="457378743">
      <w:bodyDiv w:val="1"/>
      <w:marLeft w:val="0"/>
      <w:marRight w:val="0"/>
      <w:marTop w:val="0"/>
      <w:marBottom w:val="0"/>
      <w:divBdr>
        <w:top w:val="none" w:sz="0" w:space="0" w:color="auto"/>
        <w:left w:val="none" w:sz="0" w:space="0" w:color="auto"/>
        <w:bottom w:val="none" w:sz="0" w:space="0" w:color="auto"/>
        <w:right w:val="none" w:sz="0" w:space="0" w:color="auto"/>
      </w:divBdr>
    </w:div>
    <w:div w:id="457646253">
      <w:bodyDiv w:val="1"/>
      <w:marLeft w:val="0"/>
      <w:marRight w:val="0"/>
      <w:marTop w:val="0"/>
      <w:marBottom w:val="0"/>
      <w:divBdr>
        <w:top w:val="none" w:sz="0" w:space="0" w:color="auto"/>
        <w:left w:val="none" w:sz="0" w:space="0" w:color="auto"/>
        <w:bottom w:val="none" w:sz="0" w:space="0" w:color="auto"/>
        <w:right w:val="none" w:sz="0" w:space="0" w:color="auto"/>
      </w:divBdr>
    </w:div>
    <w:div w:id="457725060">
      <w:bodyDiv w:val="1"/>
      <w:marLeft w:val="0"/>
      <w:marRight w:val="0"/>
      <w:marTop w:val="0"/>
      <w:marBottom w:val="0"/>
      <w:divBdr>
        <w:top w:val="none" w:sz="0" w:space="0" w:color="auto"/>
        <w:left w:val="none" w:sz="0" w:space="0" w:color="auto"/>
        <w:bottom w:val="none" w:sz="0" w:space="0" w:color="auto"/>
        <w:right w:val="none" w:sz="0" w:space="0" w:color="auto"/>
      </w:divBdr>
    </w:div>
    <w:div w:id="457837310">
      <w:bodyDiv w:val="1"/>
      <w:marLeft w:val="0"/>
      <w:marRight w:val="0"/>
      <w:marTop w:val="0"/>
      <w:marBottom w:val="0"/>
      <w:divBdr>
        <w:top w:val="none" w:sz="0" w:space="0" w:color="auto"/>
        <w:left w:val="none" w:sz="0" w:space="0" w:color="auto"/>
        <w:bottom w:val="none" w:sz="0" w:space="0" w:color="auto"/>
        <w:right w:val="none" w:sz="0" w:space="0" w:color="auto"/>
      </w:divBdr>
    </w:div>
    <w:div w:id="457839740">
      <w:bodyDiv w:val="1"/>
      <w:marLeft w:val="0"/>
      <w:marRight w:val="0"/>
      <w:marTop w:val="0"/>
      <w:marBottom w:val="0"/>
      <w:divBdr>
        <w:top w:val="none" w:sz="0" w:space="0" w:color="auto"/>
        <w:left w:val="none" w:sz="0" w:space="0" w:color="auto"/>
        <w:bottom w:val="none" w:sz="0" w:space="0" w:color="auto"/>
        <w:right w:val="none" w:sz="0" w:space="0" w:color="auto"/>
      </w:divBdr>
    </w:div>
    <w:div w:id="457916596">
      <w:bodyDiv w:val="1"/>
      <w:marLeft w:val="0"/>
      <w:marRight w:val="0"/>
      <w:marTop w:val="0"/>
      <w:marBottom w:val="0"/>
      <w:divBdr>
        <w:top w:val="none" w:sz="0" w:space="0" w:color="auto"/>
        <w:left w:val="none" w:sz="0" w:space="0" w:color="auto"/>
        <w:bottom w:val="none" w:sz="0" w:space="0" w:color="auto"/>
        <w:right w:val="none" w:sz="0" w:space="0" w:color="auto"/>
      </w:divBdr>
    </w:div>
    <w:div w:id="458036089">
      <w:bodyDiv w:val="1"/>
      <w:marLeft w:val="0"/>
      <w:marRight w:val="0"/>
      <w:marTop w:val="0"/>
      <w:marBottom w:val="0"/>
      <w:divBdr>
        <w:top w:val="none" w:sz="0" w:space="0" w:color="auto"/>
        <w:left w:val="none" w:sz="0" w:space="0" w:color="auto"/>
        <w:bottom w:val="none" w:sz="0" w:space="0" w:color="auto"/>
        <w:right w:val="none" w:sz="0" w:space="0" w:color="auto"/>
      </w:divBdr>
    </w:div>
    <w:div w:id="458303522">
      <w:bodyDiv w:val="1"/>
      <w:marLeft w:val="0"/>
      <w:marRight w:val="0"/>
      <w:marTop w:val="0"/>
      <w:marBottom w:val="0"/>
      <w:divBdr>
        <w:top w:val="none" w:sz="0" w:space="0" w:color="auto"/>
        <w:left w:val="none" w:sz="0" w:space="0" w:color="auto"/>
        <w:bottom w:val="none" w:sz="0" w:space="0" w:color="auto"/>
        <w:right w:val="none" w:sz="0" w:space="0" w:color="auto"/>
      </w:divBdr>
    </w:div>
    <w:div w:id="458887344">
      <w:bodyDiv w:val="1"/>
      <w:marLeft w:val="0"/>
      <w:marRight w:val="0"/>
      <w:marTop w:val="0"/>
      <w:marBottom w:val="0"/>
      <w:divBdr>
        <w:top w:val="none" w:sz="0" w:space="0" w:color="auto"/>
        <w:left w:val="none" w:sz="0" w:space="0" w:color="auto"/>
        <w:bottom w:val="none" w:sz="0" w:space="0" w:color="auto"/>
        <w:right w:val="none" w:sz="0" w:space="0" w:color="auto"/>
      </w:divBdr>
    </w:div>
    <w:div w:id="459425303">
      <w:bodyDiv w:val="1"/>
      <w:marLeft w:val="0"/>
      <w:marRight w:val="0"/>
      <w:marTop w:val="0"/>
      <w:marBottom w:val="0"/>
      <w:divBdr>
        <w:top w:val="none" w:sz="0" w:space="0" w:color="auto"/>
        <w:left w:val="none" w:sz="0" w:space="0" w:color="auto"/>
        <w:bottom w:val="none" w:sz="0" w:space="0" w:color="auto"/>
        <w:right w:val="none" w:sz="0" w:space="0" w:color="auto"/>
      </w:divBdr>
    </w:div>
    <w:div w:id="459499586">
      <w:bodyDiv w:val="1"/>
      <w:marLeft w:val="0"/>
      <w:marRight w:val="0"/>
      <w:marTop w:val="0"/>
      <w:marBottom w:val="0"/>
      <w:divBdr>
        <w:top w:val="none" w:sz="0" w:space="0" w:color="auto"/>
        <w:left w:val="none" w:sz="0" w:space="0" w:color="auto"/>
        <w:bottom w:val="none" w:sz="0" w:space="0" w:color="auto"/>
        <w:right w:val="none" w:sz="0" w:space="0" w:color="auto"/>
      </w:divBdr>
    </w:div>
    <w:div w:id="459568249">
      <w:bodyDiv w:val="1"/>
      <w:marLeft w:val="0"/>
      <w:marRight w:val="0"/>
      <w:marTop w:val="0"/>
      <w:marBottom w:val="0"/>
      <w:divBdr>
        <w:top w:val="none" w:sz="0" w:space="0" w:color="auto"/>
        <w:left w:val="none" w:sz="0" w:space="0" w:color="auto"/>
        <w:bottom w:val="none" w:sz="0" w:space="0" w:color="auto"/>
        <w:right w:val="none" w:sz="0" w:space="0" w:color="auto"/>
      </w:divBdr>
    </w:div>
    <w:div w:id="459765492">
      <w:bodyDiv w:val="1"/>
      <w:marLeft w:val="0"/>
      <w:marRight w:val="0"/>
      <w:marTop w:val="0"/>
      <w:marBottom w:val="0"/>
      <w:divBdr>
        <w:top w:val="none" w:sz="0" w:space="0" w:color="auto"/>
        <w:left w:val="none" w:sz="0" w:space="0" w:color="auto"/>
        <w:bottom w:val="none" w:sz="0" w:space="0" w:color="auto"/>
        <w:right w:val="none" w:sz="0" w:space="0" w:color="auto"/>
      </w:divBdr>
    </w:div>
    <w:div w:id="460391179">
      <w:bodyDiv w:val="1"/>
      <w:marLeft w:val="0"/>
      <w:marRight w:val="0"/>
      <w:marTop w:val="0"/>
      <w:marBottom w:val="0"/>
      <w:divBdr>
        <w:top w:val="none" w:sz="0" w:space="0" w:color="auto"/>
        <w:left w:val="none" w:sz="0" w:space="0" w:color="auto"/>
        <w:bottom w:val="none" w:sz="0" w:space="0" w:color="auto"/>
        <w:right w:val="none" w:sz="0" w:space="0" w:color="auto"/>
      </w:divBdr>
    </w:div>
    <w:div w:id="460685113">
      <w:bodyDiv w:val="1"/>
      <w:marLeft w:val="0"/>
      <w:marRight w:val="0"/>
      <w:marTop w:val="0"/>
      <w:marBottom w:val="0"/>
      <w:divBdr>
        <w:top w:val="none" w:sz="0" w:space="0" w:color="auto"/>
        <w:left w:val="none" w:sz="0" w:space="0" w:color="auto"/>
        <w:bottom w:val="none" w:sz="0" w:space="0" w:color="auto"/>
        <w:right w:val="none" w:sz="0" w:space="0" w:color="auto"/>
      </w:divBdr>
    </w:div>
    <w:div w:id="461390196">
      <w:bodyDiv w:val="1"/>
      <w:marLeft w:val="0"/>
      <w:marRight w:val="0"/>
      <w:marTop w:val="0"/>
      <w:marBottom w:val="0"/>
      <w:divBdr>
        <w:top w:val="none" w:sz="0" w:space="0" w:color="auto"/>
        <w:left w:val="none" w:sz="0" w:space="0" w:color="auto"/>
        <w:bottom w:val="none" w:sz="0" w:space="0" w:color="auto"/>
        <w:right w:val="none" w:sz="0" w:space="0" w:color="auto"/>
      </w:divBdr>
    </w:div>
    <w:div w:id="461459990">
      <w:bodyDiv w:val="1"/>
      <w:marLeft w:val="0"/>
      <w:marRight w:val="0"/>
      <w:marTop w:val="0"/>
      <w:marBottom w:val="0"/>
      <w:divBdr>
        <w:top w:val="none" w:sz="0" w:space="0" w:color="auto"/>
        <w:left w:val="none" w:sz="0" w:space="0" w:color="auto"/>
        <w:bottom w:val="none" w:sz="0" w:space="0" w:color="auto"/>
        <w:right w:val="none" w:sz="0" w:space="0" w:color="auto"/>
      </w:divBdr>
    </w:div>
    <w:div w:id="461578984">
      <w:bodyDiv w:val="1"/>
      <w:marLeft w:val="0"/>
      <w:marRight w:val="0"/>
      <w:marTop w:val="0"/>
      <w:marBottom w:val="0"/>
      <w:divBdr>
        <w:top w:val="none" w:sz="0" w:space="0" w:color="auto"/>
        <w:left w:val="none" w:sz="0" w:space="0" w:color="auto"/>
        <w:bottom w:val="none" w:sz="0" w:space="0" w:color="auto"/>
        <w:right w:val="none" w:sz="0" w:space="0" w:color="auto"/>
      </w:divBdr>
    </w:div>
    <w:div w:id="461966137">
      <w:bodyDiv w:val="1"/>
      <w:marLeft w:val="0"/>
      <w:marRight w:val="0"/>
      <w:marTop w:val="0"/>
      <w:marBottom w:val="0"/>
      <w:divBdr>
        <w:top w:val="none" w:sz="0" w:space="0" w:color="auto"/>
        <w:left w:val="none" w:sz="0" w:space="0" w:color="auto"/>
        <w:bottom w:val="none" w:sz="0" w:space="0" w:color="auto"/>
        <w:right w:val="none" w:sz="0" w:space="0" w:color="auto"/>
      </w:divBdr>
    </w:div>
    <w:div w:id="462115100">
      <w:bodyDiv w:val="1"/>
      <w:marLeft w:val="0"/>
      <w:marRight w:val="0"/>
      <w:marTop w:val="0"/>
      <w:marBottom w:val="0"/>
      <w:divBdr>
        <w:top w:val="none" w:sz="0" w:space="0" w:color="auto"/>
        <w:left w:val="none" w:sz="0" w:space="0" w:color="auto"/>
        <w:bottom w:val="none" w:sz="0" w:space="0" w:color="auto"/>
        <w:right w:val="none" w:sz="0" w:space="0" w:color="auto"/>
      </w:divBdr>
    </w:div>
    <w:div w:id="462385414">
      <w:bodyDiv w:val="1"/>
      <w:marLeft w:val="0"/>
      <w:marRight w:val="0"/>
      <w:marTop w:val="0"/>
      <w:marBottom w:val="0"/>
      <w:divBdr>
        <w:top w:val="none" w:sz="0" w:space="0" w:color="auto"/>
        <w:left w:val="none" w:sz="0" w:space="0" w:color="auto"/>
        <w:bottom w:val="none" w:sz="0" w:space="0" w:color="auto"/>
        <w:right w:val="none" w:sz="0" w:space="0" w:color="auto"/>
      </w:divBdr>
    </w:div>
    <w:div w:id="462818785">
      <w:bodyDiv w:val="1"/>
      <w:marLeft w:val="0"/>
      <w:marRight w:val="0"/>
      <w:marTop w:val="0"/>
      <w:marBottom w:val="0"/>
      <w:divBdr>
        <w:top w:val="none" w:sz="0" w:space="0" w:color="auto"/>
        <w:left w:val="none" w:sz="0" w:space="0" w:color="auto"/>
        <w:bottom w:val="none" w:sz="0" w:space="0" w:color="auto"/>
        <w:right w:val="none" w:sz="0" w:space="0" w:color="auto"/>
      </w:divBdr>
    </w:div>
    <w:div w:id="463356948">
      <w:bodyDiv w:val="1"/>
      <w:marLeft w:val="0"/>
      <w:marRight w:val="0"/>
      <w:marTop w:val="0"/>
      <w:marBottom w:val="0"/>
      <w:divBdr>
        <w:top w:val="none" w:sz="0" w:space="0" w:color="auto"/>
        <w:left w:val="none" w:sz="0" w:space="0" w:color="auto"/>
        <w:bottom w:val="none" w:sz="0" w:space="0" w:color="auto"/>
        <w:right w:val="none" w:sz="0" w:space="0" w:color="auto"/>
      </w:divBdr>
    </w:div>
    <w:div w:id="463734363">
      <w:bodyDiv w:val="1"/>
      <w:marLeft w:val="0"/>
      <w:marRight w:val="0"/>
      <w:marTop w:val="0"/>
      <w:marBottom w:val="0"/>
      <w:divBdr>
        <w:top w:val="none" w:sz="0" w:space="0" w:color="auto"/>
        <w:left w:val="none" w:sz="0" w:space="0" w:color="auto"/>
        <w:bottom w:val="none" w:sz="0" w:space="0" w:color="auto"/>
        <w:right w:val="none" w:sz="0" w:space="0" w:color="auto"/>
      </w:divBdr>
    </w:div>
    <w:div w:id="464006282">
      <w:bodyDiv w:val="1"/>
      <w:marLeft w:val="0"/>
      <w:marRight w:val="0"/>
      <w:marTop w:val="0"/>
      <w:marBottom w:val="0"/>
      <w:divBdr>
        <w:top w:val="none" w:sz="0" w:space="0" w:color="auto"/>
        <w:left w:val="none" w:sz="0" w:space="0" w:color="auto"/>
        <w:bottom w:val="none" w:sz="0" w:space="0" w:color="auto"/>
        <w:right w:val="none" w:sz="0" w:space="0" w:color="auto"/>
      </w:divBdr>
    </w:div>
    <w:div w:id="464127576">
      <w:bodyDiv w:val="1"/>
      <w:marLeft w:val="0"/>
      <w:marRight w:val="0"/>
      <w:marTop w:val="0"/>
      <w:marBottom w:val="0"/>
      <w:divBdr>
        <w:top w:val="none" w:sz="0" w:space="0" w:color="auto"/>
        <w:left w:val="none" w:sz="0" w:space="0" w:color="auto"/>
        <w:bottom w:val="none" w:sz="0" w:space="0" w:color="auto"/>
        <w:right w:val="none" w:sz="0" w:space="0" w:color="auto"/>
      </w:divBdr>
    </w:div>
    <w:div w:id="464394051">
      <w:bodyDiv w:val="1"/>
      <w:marLeft w:val="0"/>
      <w:marRight w:val="0"/>
      <w:marTop w:val="0"/>
      <w:marBottom w:val="0"/>
      <w:divBdr>
        <w:top w:val="none" w:sz="0" w:space="0" w:color="auto"/>
        <w:left w:val="none" w:sz="0" w:space="0" w:color="auto"/>
        <w:bottom w:val="none" w:sz="0" w:space="0" w:color="auto"/>
        <w:right w:val="none" w:sz="0" w:space="0" w:color="auto"/>
      </w:divBdr>
    </w:div>
    <w:div w:id="464548066">
      <w:bodyDiv w:val="1"/>
      <w:marLeft w:val="0"/>
      <w:marRight w:val="0"/>
      <w:marTop w:val="0"/>
      <w:marBottom w:val="0"/>
      <w:divBdr>
        <w:top w:val="none" w:sz="0" w:space="0" w:color="auto"/>
        <w:left w:val="none" w:sz="0" w:space="0" w:color="auto"/>
        <w:bottom w:val="none" w:sz="0" w:space="0" w:color="auto"/>
        <w:right w:val="none" w:sz="0" w:space="0" w:color="auto"/>
      </w:divBdr>
    </w:div>
    <w:div w:id="464591478">
      <w:bodyDiv w:val="1"/>
      <w:marLeft w:val="0"/>
      <w:marRight w:val="0"/>
      <w:marTop w:val="0"/>
      <w:marBottom w:val="0"/>
      <w:divBdr>
        <w:top w:val="none" w:sz="0" w:space="0" w:color="auto"/>
        <w:left w:val="none" w:sz="0" w:space="0" w:color="auto"/>
        <w:bottom w:val="none" w:sz="0" w:space="0" w:color="auto"/>
        <w:right w:val="none" w:sz="0" w:space="0" w:color="auto"/>
      </w:divBdr>
    </w:div>
    <w:div w:id="465054198">
      <w:bodyDiv w:val="1"/>
      <w:marLeft w:val="0"/>
      <w:marRight w:val="0"/>
      <w:marTop w:val="0"/>
      <w:marBottom w:val="0"/>
      <w:divBdr>
        <w:top w:val="none" w:sz="0" w:space="0" w:color="auto"/>
        <w:left w:val="none" w:sz="0" w:space="0" w:color="auto"/>
        <w:bottom w:val="none" w:sz="0" w:space="0" w:color="auto"/>
        <w:right w:val="none" w:sz="0" w:space="0" w:color="auto"/>
      </w:divBdr>
    </w:div>
    <w:div w:id="465437333">
      <w:bodyDiv w:val="1"/>
      <w:marLeft w:val="0"/>
      <w:marRight w:val="0"/>
      <w:marTop w:val="0"/>
      <w:marBottom w:val="0"/>
      <w:divBdr>
        <w:top w:val="none" w:sz="0" w:space="0" w:color="auto"/>
        <w:left w:val="none" w:sz="0" w:space="0" w:color="auto"/>
        <w:bottom w:val="none" w:sz="0" w:space="0" w:color="auto"/>
        <w:right w:val="none" w:sz="0" w:space="0" w:color="auto"/>
      </w:divBdr>
    </w:div>
    <w:div w:id="465506782">
      <w:bodyDiv w:val="1"/>
      <w:marLeft w:val="0"/>
      <w:marRight w:val="0"/>
      <w:marTop w:val="0"/>
      <w:marBottom w:val="0"/>
      <w:divBdr>
        <w:top w:val="none" w:sz="0" w:space="0" w:color="auto"/>
        <w:left w:val="none" w:sz="0" w:space="0" w:color="auto"/>
        <w:bottom w:val="none" w:sz="0" w:space="0" w:color="auto"/>
        <w:right w:val="none" w:sz="0" w:space="0" w:color="auto"/>
      </w:divBdr>
    </w:div>
    <w:div w:id="466824378">
      <w:bodyDiv w:val="1"/>
      <w:marLeft w:val="0"/>
      <w:marRight w:val="0"/>
      <w:marTop w:val="0"/>
      <w:marBottom w:val="0"/>
      <w:divBdr>
        <w:top w:val="none" w:sz="0" w:space="0" w:color="auto"/>
        <w:left w:val="none" w:sz="0" w:space="0" w:color="auto"/>
        <w:bottom w:val="none" w:sz="0" w:space="0" w:color="auto"/>
        <w:right w:val="none" w:sz="0" w:space="0" w:color="auto"/>
      </w:divBdr>
    </w:div>
    <w:div w:id="467552136">
      <w:bodyDiv w:val="1"/>
      <w:marLeft w:val="0"/>
      <w:marRight w:val="0"/>
      <w:marTop w:val="0"/>
      <w:marBottom w:val="0"/>
      <w:divBdr>
        <w:top w:val="none" w:sz="0" w:space="0" w:color="auto"/>
        <w:left w:val="none" w:sz="0" w:space="0" w:color="auto"/>
        <w:bottom w:val="none" w:sz="0" w:space="0" w:color="auto"/>
        <w:right w:val="none" w:sz="0" w:space="0" w:color="auto"/>
      </w:divBdr>
    </w:div>
    <w:div w:id="467666642">
      <w:bodyDiv w:val="1"/>
      <w:marLeft w:val="0"/>
      <w:marRight w:val="0"/>
      <w:marTop w:val="0"/>
      <w:marBottom w:val="0"/>
      <w:divBdr>
        <w:top w:val="none" w:sz="0" w:space="0" w:color="auto"/>
        <w:left w:val="none" w:sz="0" w:space="0" w:color="auto"/>
        <w:bottom w:val="none" w:sz="0" w:space="0" w:color="auto"/>
        <w:right w:val="none" w:sz="0" w:space="0" w:color="auto"/>
      </w:divBdr>
    </w:div>
    <w:div w:id="467742018">
      <w:bodyDiv w:val="1"/>
      <w:marLeft w:val="0"/>
      <w:marRight w:val="0"/>
      <w:marTop w:val="0"/>
      <w:marBottom w:val="0"/>
      <w:divBdr>
        <w:top w:val="none" w:sz="0" w:space="0" w:color="auto"/>
        <w:left w:val="none" w:sz="0" w:space="0" w:color="auto"/>
        <w:bottom w:val="none" w:sz="0" w:space="0" w:color="auto"/>
        <w:right w:val="none" w:sz="0" w:space="0" w:color="auto"/>
      </w:divBdr>
    </w:div>
    <w:div w:id="467866976">
      <w:bodyDiv w:val="1"/>
      <w:marLeft w:val="0"/>
      <w:marRight w:val="0"/>
      <w:marTop w:val="0"/>
      <w:marBottom w:val="0"/>
      <w:divBdr>
        <w:top w:val="none" w:sz="0" w:space="0" w:color="auto"/>
        <w:left w:val="none" w:sz="0" w:space="0" w:color="auto"/>
        <w:bottom w:val="none" w:sz="0" w:space="0" w:color="auto"/>
        <w:right w:val="none" w:sz="0" w:space="0" w:color="auto"/>
      </w:divBdr>
    </w:div>
    <w:div w:id="468012806">
      <w:bodyDiv w:val="1"/>
      <w:marLeft w:val="0"/>
      <w:marRight w:val="0"/>
      <w:marTop w:val="0"/>
      <w:marBottom w:val="0"/>
      <w:divBdr>
        <w:top w:val="none" w:sz="0" w:space="0" w:color="auto"/>
        <w:left w:val="none" w:sz="0" w:space="0" w:color="auto"/>
        <w:bottom w:val="none" w:sz="0" w:space="0" w:color="auto"/>
        <w:right w:val="none" w:sz="0" w:space="0" w:color="auto"/>
      </w:divBdr>
    </w:div>
    <w:div w:id="468212956">
      <w:bodyDiv w:val="1"/>
      <w:marLeft w:val="0"/>
      <w:marRight w:val="0"/>
      <w:marTop w:val="0"/>
      <w:marBottom w:val="0"/>
      <w:divBdr>
        <w:top w:val="none" w:sz="0" w:space="0" w:color="auto"/>
        <w:left w:val="none" w:sz="0" w:space="0" w:color="auto"/>
        <w:bottom w:val="none" w:sz="0" w:space="0" w:color="auto"/>
        <w:right w:val="none" w:sz="0" w:space="0" w:color="auto"/>
      </w:divBdr>
    </w:div>
    <w:div w:id="469135230">
      <w:bodyDiv w:val="1"/>
      <w:marLeft w:val="0"/>
      <w:marRight w:val="0"/>
      <w:marTop w:val="0"/>
      <w:marBottom w:val="0"/>
      <w:divBdr>
        <w:top w:val="none" w:sz="0" w:space="0" w:color="auto"/>
        <w:left w:val="none" w:sz="0" w:space="0" w:color="auto"/>
        <w:bottom w:val="none" w:sz="0" w:space="0" w:color="auto"/>
        <w:right w:val="none" w:sz="0" w:space="0" w:color="auto"/>
      </w:divBdr>
    </w:div>
    <w:div w:id="469172901">
      <w:bodyDiv w:val="1"/>
      <w:marLeft w:val="0"/>
      <w:marRight w:val="0"/>
      <w:marTop w:val="0"/>
      <w:marBottom w:val="0"/>
      <w:divBdr>
        <w:top w:val="none" w:sz="0" w:space="0" w:color="auto"/>
        <w:left w:val="none" w:sz="0" w:space="0" w:color="auto"/>
        <w:bottom w:val="none" w:sz="0" w:space="0" w:color="auto"/>
        <w:right w:val="none" w:sz="0" w:space="0" w:color="auto"/>
      </w:divBdr>
    </w:div>
    <w:div w:id="469711777">
      <w:bodyDiv w:val="1"/>
      <w:marLeft w:val="0"/>
      <w:marRight w:val="0"/>
      <w:marTop w:val="0"/>
      <w:marBottom w:val="0"/>
      <w:divBdr>
        <w:top w:val="none" w:sz="0" w:space="0" w:color="auto"/>
        <w:left w:val="none" w:sz="0" w:space="0" w:color="auto"/>
        <w:bottom w:val="none" w:sz="0" w:space="0" w:color="auto"/>
        <w:right w:val="none" w:sz="0" w:space="0" w:color="auto"/>
      </w:divBdr>
    </w:div>
    <w:div w:id="469906063">
      <w:bodyDiv w:val="1"/>
      <w:marLeft w:val="0"/>
      <w:marRight w:val="0"/>
      <w:marTop w:val="0"/>
      <w:marBottom w:val="0"/>
      <w:divBdr>
        <w:top w:val="none" w:sz="0" w:space="0" w:color="auto"/>
        <w:left w:val="none" w:sz="0" w:space="0" w:color="auto"/>
        <w:bottom w:val="none" w:sz="0" w:space="0" w:color="auto"/>
        <w:right w:val="none" w:sz="0" w:space="0" w:color="auto"/>
      </w:divBdr>
    </w:div>
    <w:div w:id="470442217">
      <w:bodyDiv w:val="1"/>
      <w:marLeft w:val="0"/>
      <w:marRight w:val="0"/>
      <w:marTop w:val="0"/>
      <w:marBottom w:val="0"/>
      <w:divBdr>
        <w:top w:val="none" w:sz="0" w:space="0" w:color="auto"/>
        <w:left w:val="none" w:sz="0" w:space="0" w:color="auto"/>
        <w:bottom w:val="none" w:sz="0" w:space="0" w:color="auto"/>
        <w:right w:val="none" w:sz="0" w:space="0" w:color="auto"/>
      </w:divBdr>
    </w:div>
    <w:div w:id="470486809">
      <w:bodyDiv w:val="1"/>
      <w:marLeft w:val="0"/>
      <w:marRight w:val="0"/>
      <w:marTop w:val="0"/>
      <w:marBottom w:val="0"/>
      <w:divBdr>
        <w:top w:val="none" w:sz="0" w:space="0" w:color="auto"/>
        <w:left w:val="none" w:sz="0" w:space="0" w:color="auto"/>
        <w:bottom w:val="none" w:sz="0" w:space="0" w:color="auto"/>
        <w:right w:val="none" w:sz="0" w:space="0" w:color="auto"/>
      </w:divBdr>
    </w:div>
    <w:div w:id="471212763">
      <w:bodyDiv w:val="1"/>
      <w:marLeft w:val="0"/>
      <w:marRight w:val="0"/>
      <w:marTop w:val="0"/>
      <w:marBottom w:val="0"/>
      <w:divBdr>
        <w:top w:val="none" w:sz="0" w:space="0" w:color="auto"/>
        <w:left w:val="none" w:sz="0" w:space="0" w:color="auto"/>
        <w:bottom w:val="none" w:sz="0" w:space="0" w:color="auto"/>
        <w:right w:val="none" w:sz="0" w:space="0" w:color="auto"/>
      </w:divBdr>
    </w:div>
    <w:div w:id="471220466">
      <w:bodyDiv w:val="1"/>
      <w:marLeft w:val="0"/>
      <w:marRight w:val="0"/>
      <w:marTop w:val="0"/>
      <w:marBottom w:val="0"/>
      <w:divBdr>
        <w:top w:val="none" w:sz="0" w:space="0" w:color="auto"/>
        <w:left w:val="none" w:sz="0" w:space="0" w:color="auto"/>
        <w:bottom w:val="none" w:sz="0" w:space="0" w:color="auto"/>
        <w:right w:val="none" w:sz="0" w:space="0" w:color="auto"/>
      </w:divBdr>
    </w:div>
    <w:div w:id="471404402">
      <w:bodyDiv w:val="1"/>
      <w:marLeft w:val="0"/>
      <w:marRight w:val="0"/>
      <w:marTop w:val="0"/>
      <w:marBottom w:val="0"/>
      <w:divBdr>
        <w:top w:val="none" w:sz="0" w:space="0" w:color="auto"/>
        <w:left w:val="none" w:sz="0" w:space="0" w:color="auto"/>
        <w:bottom w:val="none" w:sz="0" w:space="0" w:color="auto"/>
        <w:right w:val="none" w:sz="0" w:space="0" w:color="auto"/>
      </w:divBdr>
    </w:div>
    <w:div w:id="471825142">
      <w:bodyDiv w:val="1"/>
      <w:marLeft w:val="0"/>
      <w:marRight w:val="0"/>
      <w:marTop w:val="0"/>
      <w:marBottom w:val="0"/>
      <w:divBdr>
        <w:top w:val="none" w:sz="0" w:space="0" w:color="auto"/>
        <w:left w:val="none" w:sz="0" w:space="0" w:color="auto"/>
        <w:bottom w:val="none" w:sz="0" w:space="0" w:color="auto"/>
        <w:right w:val="none" w:sz="0" w:space="0" w:color="auto"/>
      </w:divBdr>
    </w:div>
    <w:div w:id="472336230">
      <w:bodyDiv w:val="1"/>
      <w:marLeft w:val="0"/>
      <w:marRight w:val="0"/>
      <w:marTop w:val="0"/>
      <w:marBottom w:val="0"/>
      <w:divBdr>
        <w:top w:val="none" w:sz="0" w:space="0" w:color="auto"/>
        <w:left w:val="none" w:sz="0" w:space="0" w:color="auto"/>
        <w:bottom w:val="none" w:sz="0" w:space="0" w:color="auto"/>
        <w:right w:val="none" w:sz="0" w:space="0" w:color="auto"/>
      </w:divBdr>
    </w:div>
    <w:div w:id="472527728">
      <w:bodyDiv w:val="1"/>
      <w:marLeft w:val="0"/>
      <w:marRight w:val="0"/>
      <w:marTop w:val="0"/>
      <w:marBottom w:val="0"/>
      <w:divBdr>
        <w:top w:val="none" w:sz="0" w:space="0" w:color="auto"/>
        <w:left w:val="none" w:sz="0" w:space="0" w:color="auto"/>
        <w:bottom w:val="none" w:sz="0" w:space="0" w:color="auto"/>
        <w:right w:val="none" w:sz="0" w:space="0" w:color="auto"/>
      </w:divBdr>
    </w:div>
    <w:div w:id="472794694">
      <w:bodyDiv w:val="1"/>
      <w:marLeft w:val="0"/>
      <w:marRight w:val="0"/>
      <w:marTop w:val="0"/>
      <w:marBottom w:val="0"/>
      <w:divBdr>
        <w:top w:val="none" w:sz="0" w:space="0" w:color="auto"/>
        <w:left w:val="none" w:sz="0" w:space="0" w:color="auto"/>
        <w:bottom w:val="none" w:sz="0" w:space="0" w:color="auto"/>
        <w:right w:val="none" w:sz="0" w:space="0" w:color="auto"/>
      </w:divBdr>
    </w:div>
    <w:div w:id="472915944">
      <w:bodyDiv w:val="1"/>
      <w:marLeft w:val="0"/>
      <w:marRight w:val="0"/>
      <w:marTop w:val="0"/>
      <w:marBottom w:val="0"/>
      <w:divBdr>
        <w:top w:val="none" w:sz="0" w:space="0" w:color="auto"/>
        <w:left w:val="none" w:sz="0" w:space="0" w:color="auto"/>
        <w:bottom w:val="none" w:sz="0" w:space="0" w:color="auto"/>
        <w:right w:val="none" w:sz="0" w:space="0" w:color="auto"/>
      </w:divBdr>
    </w:div>
    <w:div w:id="472983624">
      <w:bodyDiv w:val="1"/>
      <w:marLeft w:val="0"/>
      <w:marRight w:val="0"/>
      <w:marTop w:val="0"/>
      <w:marBottom w:val="0"/>
      <w:divBdr>
        <w:top w:val="none" w:sz="0" w:space="0" w:color="auto"/>
        <w:left w:val="none" w:sz="0" w:space="0" w:color="auto"/>
        <w:bottom w:val="none" w:sz="0" w:space="0" w:color="auto"/>
        <w:right w:val="none" w:sz="0" w:space="0" w:color="auto"/>
      </w:divBdr>
    </w:div>
    <w:div w:id="473254132">
      <w:bodyDiv w:val="1"/>
      <w:marLeft w:val="0"/>
      <w:marRight w:val="0"/>
      <w:marTop w:val="0"/>
      <w:marBottom w:val="0"/>
      <w:divBdr>
        <w:top w:val="none" w:sz="0" w:space="0" w:color="auto"/>
        <w:left w:val="none" w:sz="0" w:space="0" w:color="auto"/>
        <w:bottom w:val="none" w:sz="0" w:space="0" w:color="auto"/>
        <w:right w:val="none" w:sz="0" w:space="0" w:color="auto"/>
      </w:divBdr>
    </w:div>
    <w:div w:id="473333563">
      <w:bodyDiv w:val="1"/>
      <w:marLeft w:val="0"/>
      <w:marRight w:val="0"/>
      <w:marTop w:val="0"/>
      <w:marBottom w:val="0"/>
      <w:divBdr>
        <w:top w:val="none" w:sz="0" w:space="0" w:color="auto"/>
        <w:left w:val="none" w:sz="0" w:space="0" w:color="auto"/>
        <w:bottom w:val="none" w:sz="0" w:space="0" w:color="auto"/>
        <w:right w:val="none" w:sz="0" w:space="0" w:color="auto"/>
      </w:divBdr>
    </w:div>
    <w:div w:id="473379507">
      <w:bodyDiv w:val="1"/>
      <w:marLeft w:val="0"/>
      <w:marRight w:val="0"/>
      <w:marTop w:val="0"/>
      <w:marBottom w:val="0"/>
      <w:divBdr>
        <w:top w:val="none" w:sz="0" w:space="0" w:color="auto"/>
        <w:left w:val="none" w:sz="0" w:space="0" w:color="auto"/>
        <w:bottom w:val="none" w:sz="0" w:space="0" w:color="auto"/>
        <w:right w:val="none" w:sz="0" w:space="0" w:color="auto"/>
      </w:divBdr>
    </w:div>
    <w:div w:id="473644288">
      <w:bodyDiv w:val="1"/>
      <w:marLeft w:val="0"/>
      <w:marRight w:val="0"/>
      <w:marTop w:val="0"/>
      <w:marBottom w:val="0"/>
      <w:divBdr>
        <w:top w:val="none" w:sz="0" w:space="0" w:color="auto"/>
        <w:left w:val="none" w:sz="0" w:space="0" w:color="auto"/>
        <w:bottom w:val="none" w:sz="0" w:space="0" w:color="auto"/>
        <w:right w:val="none" w:sz="0" w:space="0" w:color="auto"/>
      </w:divBdr>
    </w:div>
    <w:div w:id="473716145">
      <w:bodyDiv w:val="1"/>
      <w:marLeft w:val="0"/>
      <w:marRight w:val="0"/>
      <w:marTop w:val="0"/>
      <w:marBottom w:val="0"/>
      <w:divBdr>
        <w:top w:val="none" w:sz="0" w:space="0" w:color="auto"/>
        <w:left w:val="none" w:sz="0" w:space="0" w:color="auto"/>
        <w:bottom w:val="none" w:sz="0" w:space="0" w:color="auto"/>
        <w:right w:val="none" w:sz="0" w:space="0" w:color="auto"/>
      </w:divBdr>
    </w:div>
    <w:div w:id="473834029">
      <w:bodyDiv w:val="1"/>
      <w:marLeft w:val="0"/>
      <w:marRight w:val="0"/>
      <w:marTop w:val="0"/>
      <w:marBottom w:val="0"/>
      <w:divBdr>
        <w:top w:val="none" w:sz="0" w:space="0" w:color="auto"/>
        <w:left w:val="none" w:sz="0" w:space="0" w:color="auto"/>
        <w:bottom w:val="none" w:sz="0" w:space="0" w:color="auto"/>
        <w:right w:val="none" w:sz="0" w:space="0" w:color="auto"/>
      </w:divBdr>
    </w:div>
    <w:div w:id="473910435">
      <w:bodyDiv w:val="1"/>
      <w:marLeft w:val="0"/>
      <w:marRight w:val="0"/>
      <w:marTop w:val="0"/>
      <w:marBottom w:val="0"/>
      <w:divBdr>
        <w:top w:val="none" w:sz="0" w:space="0" w:color="auto"/>
        <w:left w:val="none" w:sz="0" w:space="0" w:color="auto"/>
        <w:bottom w:val="none" w:sz="0" w:space="0" w:color="auto"/>
        <w:right w:val="none" w:sz="0" w:space="0" w:color="auto"/>
      </w:divBdr>
    </w:div>
    <w:div w:id="474640938">
      <w:bodyDiv w:val="1"/>
      <w:marLeft w:val="0"/>
      <w:marRight w:val="0"/>
      <w:marTop w:val="0"/>
      <w:marBottom w:val="0"/>
      <w:divBdr>
        <w:top w:val="none" w:sz="0" w:space="0" w:color="auto"/>
        <w:left w:val="none" w:sz="0" w:space="0" w:color="auto"/>
        <w:bottom w:val="none" w:sz="0" w:space="0" w:color="auto"/>
        <w:right w:val="none" w:sz="0" w:space="0" w:color="auto"/>
      </w:divBdr>
    </w:div>
    <w:div w:id="475220332">
      <w:bodyDiv w:val="1"/>
      <w:marLeft w:val="0"/>
      <w:marRight w:val="0"/>
      <w:marTop w:val="0"/>
      <w:marBottom w:val="0"/>
      <w:divBdr>
        <w:top w:val="none" w:sz="0" w:space="0" w:color="auto"/>
        <w:left w:val="none" w:sz="0" w:space="0" w:color="auto"/>
        <w:bottom w:val="none" w:sz="0" w:space="0" w:color="auto"/>
        <w:right w:val="none" w:sz="0" w:space="0" w:color="auto"/>
      </w:divBdr>
    </w:div>
    <w:div w:id="475755475">
      <w:bodyDiv w:val="1"/>
      <w:marLeft w:val="0"/>
      <w:marRight w:val="0"/>
      <w:marTop w:val="0"/>
      <w:marBottom w:val="0"/>
      <w:divBdr>
        <w:top w:val="none" w:sz="0" w:space="0" w:color="auto"/>
        <w:left w:val="none" w:sz="0" w:space="0" w:color="auto"/>
        <w:bottom w:val="none" w:sz="0" w:space="0" w:color="auto"/>
        <w:right w:val="none" w:sz="0" w:space="0" w:color="auto"/>
      </w:divBdr>
    </w:div>
    <w:div w:id="476068089">
      <w:bodyDiv w:val="1"/>
      <w:marLeft w:val="0"/>
      <w:marRight w:val="0"/>
      <w:marTop w:val="0"/>
      <w:marBottom w:val="0"/>
      <w:divBdr>
        <w:top w:val="none" w:sz="0" w:space="0" w:color="auto"/>
        <w:left w:val="none" w:sz="0" w:space="0" w:color="auto"/>
        <w:bottom w:val="none" w:sz="0" w:space="0" w:color="auto"/>
        <w:right w:val="none" w:sz="0" w:space="0" w:color="auto"/>
      </w:divBdr>
    </w:div>
    <w:div w:id="476610157">
      <w:bodyDiv w:val="1"/>
      <w:marLeft w:val="0"/>
      <w:marRight w:val="0"/>
      <w:marTop w:val="0"/>
      <w:marBottom w:val="0"/>
      <w:divBdr>
        <w:top w:val="none" w:sz="0" w:space="0" w:color="auto"/>
        <w:left w:val="none" w:sz="0" w:space="0" w:color="auto"/>
        <w:bottom w:val="none" w:sz="0" w:space="0" w:color="auto"/>
        <w:right w:val="none" w:sz="0" w:space="0" w:color="auto"/>
      </w:divBdr>
    </w:div>
    <w:div w:id="476995050">
      <w:bodyDiv w:val="1"/>
      <w:marLeft w:val="0"/>
      <w:marRight w:val="0"/>
      <w:marTop w:val="0"/>
      <w:marBottom w:val="0"/>
      <w:divBdr>
        <w:top w:val="none" w:sz="0" w:space="0" w:color="auto"/>
        <w:left w:val="none" w:sz="0" w:space="0" w:color="auto"/>
        <w:bottom w:val="none" w:sz="0" w:space="0" w:color="auto"/>
        <w:right w:val="none" w:sz="0" w:space="0" w:color="auto"/>
      </w:divBdr>
    </w:div>
    <w:div w:id="477109710">
      <w:bodyDiv w:val="1"/>
      <w:marLeft w:val="0"/>
      <w:marRight w:val="0"/>
      <w:marTop w:val="0"/>
      <w:marBottom w:val="0"/>
      <w:divBdr>
        <w:top w:val="none" w:sz="0" w:space="0" w:color="auto"/>
        <w:left w:val="none" w:sz="0" w:space="0" w:color="auto"/>
        <w:bottom w:val="none" w:sz="0" w:space="0" w:color="auto"/>
        <w:right w:val="none" w:sz="0" w:space="0" w:color="auto"/>
      </w:divBdr>
    </w:div>
    <w:div w:id="477381086">
      <w:bodyDiv w:val="1"/>
      <w:marLeft w:val="0"/>
      <w:marRight w:val="0"/>
      <w:marTop w:val="0"/>
      <w:marBottom w:val="0"/>
      <w:divBdr>
        <w:top w:val="none" w:sz="0" w:space="0" w:color="auto"/>
        <w:left w:val="none" w:sz="0" w:space="0" w:color="auto"/>
        <w:bottom w:val="none" w:sz="0" w:space="0" w:color="auto"/>
        <w:right w:val="none" w:sz="0" w:space="0" w:color="auto"/>
      </w:divBdr>
    </w:div>
    <w:div w:id="477646947">
      <w:bodyDiv w:val="1"/>
      <w:marLeft w:val="0"/>
      <w:marRight w:val="0"/>
      <w:marTop w:val="0"/>
      <w:marBottom w:val="0"/>
      <w:divBdr>
        <w:top w:val="none" w:sz="0" w:space="0" w:color="auto"/>
        <w:left w:val="none" w:sz="0" w:space="0" w:color="auto"/>
        <w:bottom w:val="none" w:sz="0" w:space="0" w:color="auto"/>
        <w:right w:val="none" w:sz="0" w:space="0" w:color="auto"/>
      </w:divBdr>
    </w:div>
    <w:div w:id="477649604">
      <w:bodyDiv w:val="1"/>
      <w:marLeft w:val="0"/>
      <w:marRight w:val="0"/>
      <w:marTop w:val="0"/>
      <w:marBottom w:val="0"/>
      <w:divBdr>
        <w:top w:val="none" w:sz="0" w:space="0" w:color="auto"/>
        <w:left w:val="none" w:sz="0" w:space="0" w:color="auto"/>
        <w:bottom w:val="none" w:sz="0" w:space="0" w:color="auto"/>
        <w:right w:val="none" w:sz="0" w:space="0" w:color="auto"/>
      </w:divBdr>
    </w:div>
    <w:div w:id="477921087">
      <w:bodyDiv w:val="1"/>
      <w:marLeft w:val="0"/>
      <w:marRight w:val="0"/>
      <w:marTop w:val="0"/>
      <w:marBottom w:val="0"/>
      <w:divBdr>
        <w:top w:val="none" w:sz="0" w:space="0" w:color="auto"/>
        <w:left w:val="none" w:sz="0" w:space="0" w:color="auto"/>
        <w:bottom w:val="none" w:sz="0" w:space="0" w:color="auto"/>
        <w:right w:val="none" w:sz="0" w:space="0" w:color="auto"/>
      </w:divBdr>
    </w:div>
    <w:div w:id="478229148">
      <w:bodyDiv w:val="1"/>
      <w:marLeft w:val="0"/>
      <w:marRight w:val="0"/>
      <w:marTop w:val="0"/>
      <w:marBottom w:val="0"/>
      <w:divBdr>
        <w:top w:val="none" w:sz="0" w:space="0" w:color="auto"/>
        <w:left w:val="none" w:sz="0" w:space="0" w:color="auto"/>
        <w:bottom w:val="none" w:sz="0" w:space="0" w:color="auto"/>
        <w:right w:val="none" w:sz="0" w:space="0" w:color="auto"/>
      </w:divBdr>
    </w:div>
    <w:div w:id="478308383">
      <w:bodyDiv w:val="1"/>
      <w:marLeft w:val="0"/>
      <w:marRight w:val="0"/>
      <w:marTop w:val="0"/>
      <w:marBottom w:val="0"/>
      <w:divBdr>
        <w:top w:val="none" w:sz="0" w:space="0" w:color="auto"/>
        <w:left w:val="none" w:sz="0" w:space="0" w:color="auto"/>
        <w:bottom w:val="none" w:sz="0" w:space="0" w:color="auto"/>
        <w:right w:val="none" w:sz="0" w:space="0" w:color="auto"/>
      </w:divBdr>
    </w:div>
    <w:div w:id="478426769">
      <w:bodyDiv w:val="1"/>
      <w:marLeft w:val="0"/>
      <w:marRight w:val="0"/>
      <w:marTop w:val="0"/>
      <w:marBottom w:val="0"/>
      <w:divBdr>
        <w:top w:val="none" w:sz="0" w:space="0" w:color="auto"/>
        <w:left w:val="none" w:sz="0" w:space="0" w:color="auto"/>
        <w:bottom w:val="none" w:sz="0" w:space="0" w:color="auto"/>
        <w:right w:val="none" w:sz="0" w:space="0" w:color="auto"/>
      </w:divBdr>
    </w:div>
    <w:div w:id="478883920">
      <w:bodyDiv w:val="1"/>
      <w:marLeft w:val="0"/>
      <w:marRight w:val="0"/>
      <w:marTop w:val="0"/>
      <w:marBottom w:val="0"/>
      <w:divBdr>
        <w:top w:val="none" w:sz="0" w:space="0" w:color="auto"/>
        <w:left w:val="none" w:sz="0" w:space="0" w:color="auto"/>
        <w:bottom w:val="none" w:sz="0" w:space="0" w:color="auto"/>
        <w:right w:val="none" w:sz="0" w:space="0" w:color="auto"/>
      </w:divBdr>
    </w:div>
    <w:div w:id="479154109">
      <w:bodyDiv w:val="1"/>
      <w:marLeft w:val="0"/>
      <w:marRight w:val="0"/>
      <w:marTop w:val="0"/>
      <w:marBottom w:val="0"/>
      <w:divBdr>
        <w:top w:val="none" w:sz="0" w:space="0" w:color="auto"/>
        <w:left w:val="none" w:sz="0" w:space="0" w:color="auto"/>
        <w:bottom w:val="none" w:sz="0" w:space="0" w:color="auto"/>
        <w:right w:val="none" w:sz="0" w:space="0" w:color="auto"/>
      </w:divBdr>
    </w:div>
    <w:div w:id="479424784">
      <w:bodyDiv w:val="1"/>
      <w:marLeft w:val="0"/>
      <w:marRight w:val="0"/>
      <w:marTop w:val="0"/>
      <w:marBottom w:val="0"/>
      <w:divBdr>
        <w:top w:val="none" w:sz="0" w:space="0" w:color="auto"/>
        <w:left w:val="none" w:sz="0" w:space="0" w:color="auto"/>
        <w:bottom w:val="none" w:sz="0" w:space="0" w:color="auto"/>
        <w:right w:val="none" w:sz="0" w:space="0" w:color="auto"/>
      </w:divBdr>
    </w:div>
    <w:div w:id="479464290">
      <w:bodyDiv w:val="1"/>
      <w:marLeft w:val="0"/>
      <w:marRight w:val="0"/>
      <w:marTop w:val="0"/>
      <w:marBottom w:val="0"/>
      <w:divBdr>
        <w:top w:val="none" w:sz="0" w:space="0" w:color="auto"/>
        <w:left w:val="none" w:sz="0" w:space="0" w:color="auto"/>
        <w:bottom w:val="none" w:sz="0" w:space="0" w:color="auto"/>
        <w:right w:val="none" w:sz="0" w:space="0" w:color="auto"/>
      </w:divBdr>
    </w:div>
    <w:div w:id="479814273">
      <w:bodyDiv w:val="1"/>
      <w:marLeft w:val="0"/>
      <w:marRight w:val="0"/>
      <w:marTop w:val="0"/>
      <w:marBottom w:val="0"/>
      <w:divBdr>
        <w:top w:val="none" w:sz="0" w:space="0" w:color="auto"/>
        <w:left w:val="none" w:sz="0" w:space="0" w:color="auto"/>
        <w:bottom w:val="none" w:sz="0" w:space="0" w:color="auto"/>
        <w:right w:val="none" w:sz="0" w:space="0" w:color="auto"/>
      </w:divBdr>
    </w:div>
    <w:div w:id="480270920">
      <w:bodyDiv w:val="1"/>
      <w:marLeft w:val="0"/>
      <w:marRight w:val="0"/>
      <w:marTop w:val="0"/>
      <w:marBottom w:val="0"/>
      <w:divBdr>
        <w:top w:val="none" w:sz="0" w:space="0" w:color="auto"/>
        <w:left w:val="none" w:sz="0" w:space="0" w:color="auto"/>
        <w:bottom w:val="none" w:sz="0" w:space="0" w:color="auto"/>
        <w:right w:val="none" w:sz="0" w:space="0" w:color="auto"/>
      </w:divBdr>
    </w:div>
    <w:div w:id="480384906">
      <w:bodyDiv w:val="1"/>
      <w:marLeft w:val="0"/>
      <w:marRight w:val="0"/>
      <w:marTop w:val="0"/>
      <w:marBottom w:val="0"/>
      <w:divBdr>
        <w:top w:val="none" w:sz="0" w:space="0" w:color="auto"/>
        <w:left w:val="none" w:sz="0" w:space="0" w:color="auto"/>
        <w:bottom w:val="none" w:sz="0" w:space="0" w:color="auto"/>
        <w:right w:val="none" w:sz="0" w:space="0" w:color="auto"/>
      </w:divBdr>
    </w:div>
    <w:div w:id="480465462">
      <w:bodyDiv w:val="1"/>
      <w:marLeft w:val="0"/>
      <w:marRight w:val="0"/>
      <w:marTop w:val="0"/>
      <w:marBottom w:val="0"/>
      <w:divBdr>
        <w:top w:val="none" w:sz="0" w:space="0" w:color="auto"/>
        <w:left w:val="none" w:sz="0" w:space="0" w:color="auto"/>
        <w:bottom w:val="none" w:sz="0" w:space="0" w:color="auto"/>
        <w:right w:val="none" w:sz="0" w:space="0" w:color="auto"/>
      </w:divBdr>
    </w:div>
    <w:div w:id="480510793">
      <w:bodyDiv w:val="1"/>
      <w:marLeft w:val="0"/>
      <w:marRight w:val="0"/>
      <w:marTop w:val="0"/>
      <w:marBottom w:val="0"/>
      <w:divBdr>
        <w:top w:val="none" w:sz="0" w:space="0" w:color="auto"/>
        <w:left w:val="none" w:sz="0" w:space="0" w:color="auto"/>
        <w:bottom w:val="none" w:sz="0" w:space="0" w:color="auto"/>
        <w:right w:val="none" w:sz="0" w:space="0" w:color="auto"/>
      </w:divBdr>
    </w:div>
    <w:div w:id="480583296">
      <w:bodyDiv w:val="1"/>
      <w:marLeft w:val="0"/>
      <w:marRight w:val="0"/>
      <w:marTop w:val="0"/>
      <w:marBottom w:val="0"/>
      <w:divBdr>
        <w:top w:val="none" w:sz="0" w:space="0" w:color="auto"/>
        <w:left w:val="none" w:sz="0" w:space="0" w:color="auto"/>
        <w:bottom w:val="none" w:sz="0" w:space="0" w:color="auto"/>
        <w:right w:val="none" w:sz="0" w:space="0" w:color="auto"/>
      </w:divBdr>
    </w:div>
    <w:div w:id="480658939">
      <w:bodyDiv w:val="1"/>
      <w:marLeft w:val="0"/>
      <w:marRight w:val="0"/>
      <w:marTop w:val="0"/>
      <w:marBottom w:val="0"/>
      <w:divBdr>
        <w:top w:val="none" w:sz="0" w:space="0" w:color="auto"/>
        <w:left w:val="none" w:sz="0" w:space="0" w:color="auto"/>
        <w:bottom w:val="none" w:sz="0" w:space="0" w:color="auto"/>
        <w:right w:val="none" w:sz="0" w:space="0" w:color="auto"/>
      </w:divBdr>
    </w:div>
    <w:div w:id="480776457">
      <w:bodyDiv w:val="1"/>
      <w:marLeft w:val="0"/>
      <w:marRight w:val="0"/>
      <w:marTop w:val="0"/>
      <w:marBottom w:val="0"/>
      <w:divBdr>
        <w:top w:val="none" w:sz="0" w:space="0" w:color="auto"/>
        <w:left w:val="none" w:sz="0" w:space="0" w:color="auto"/>
        <w:bottom w:val="none" w:sz="0" w:space="0" w:color="auto"/>
        <w:right w:val="none" w:sz="0" w:space="0" w:color="auto"/>
      </w:divBdr>
    </w:div>
    <w:div w:id="481579975">
      <w:bodyDiv w:val="1"/>
      <w:marLeft w:val="0"/>
      <w:marRight w:val="0"/>
      <w:marTop w:val="0"/>
      <w:marBottom w:val="0"/>
      <w:divBdr>
        <w:top w:val="none" w:sz="0" w:space="0" w:color="auto"/>
        <w:left w:val="none" w:sz="0" w:space="0" w:color="auto"/>
        <w:bottom w:val="none" w:sz="0" w:space="0" w:color="auto"/>
        <w:right w:val="none" w:sz="0" w:space="0" w:color="auto"/>
      </w:divBdr>
    </w:div>
    <w:div w:id="481965936">
      <w:bodyDiv w:val="1"/>
      <w:marLeft w:val="0"/>
      <w:marRight w:val="0"/>
      <w:marTop w:val="0"/>
      <w:marBottom w:val="0"/>
      <w:divBdr>
        <w:top w:val="none" w:sz="0" w:space="0" w:color="auto"/>
        <w:left w:val="none" w:sz="0" w:space="0" w:color="auto"/>
        <w:bottom w:val="none" w:sz="0" w:space="0" w:color="auto"/>
        <w:right w:val="none" w:sz="0" w:space="0" w:color="auto"/>
      </w:divBdr>
    </w:div>
    <w:div w:id="482310387">
      <w:bodyDiv w:val="1"/>
      <w:marLeft w:val="0"/>
      <w:marRight w:val="0"/>
      <w:marTop w:val="0"/>
      <w:marBottom w:val="0"/>
      <w:divBdr>
        <w:top w:val="none" w:sz="0" w:space="0" w:color="auto"/>
        <w:left w:val="none" w:sz="0" w:space="0" w:color="auto"/>
        <w:bottom w:val="none" w:sz="0" w:space="0" w:color="auto"/>
        <w:right w:val="none" w:sz="0" w:space="0" w:color="auto"/>
      </w:divBdr>
    </w:div>
    <w:div w:id="482360129">
      <w:bodyDiv w:val="1"/>
      <w:marLeft w:val="0"/>
      <w:marRight w:val="0"/>
      <w:marTop w:val="0"/>
      <w:marBottom w:val="0"/>
      <w:divBdr>
        <w:top w:val="none" w:sz="0" w:space="0" w:color="auto"/>
        <w:left w:val="none" w:sz="0" w:space="0" w:color="auto"/>
        <w:bottom w:val="none" w:sz="0" w:space="0" w:color="auto"/>
        <w:right w:val="none" w:sz="0" w:space="0" w:color="auto"/>
      </w:divBdr>
    </w:div>
    <w:div w:id="482701523">
      <w:bodyDiv w:val="1"/>
      <w:marLeft w:val="0"/>
      <w:marRight w:val="0"/>
      <w:marTop w:val="0"/>
      <w:marBottom w:val="0"/>
      <w:divBdr>
        <w:top w:val="none" w:sz="0" w:space="0" w:color="auto"/>
        <w:left w:val="none" w:sz="0" w:space="0" w:color="auto"/>
        <w:bottom w:val="none" w:sz="0" w:space="0" w:color="auto"/>
        <w:right w:val="none" w:sz="0" w:space="0" w:color="auto"/>
      </w:divBdr>
    </w:div>
    <w:div w:id="482739006">
      <w:bodyDiv w:val="1"/>
      <w:marLeft w:val="0"/>
      <w:marRight w:val="0"/>
      <w:marTop w:val="0"/>
      <w:marBottom w:val="0"/>
      <w:divBdr>
        <w:top w:val="none" w:sz="0" w:space="0" w:color="auto"/>
        <w:left w:val="none" w:sz="0" w:space="0" w:color="auto"/>
        <w:bottom w:val="none" w:sz="0" w:space="0" w:color="auto"/>
        <w:right w:val="none" w:sz="0" w:space="0" w:color="auto"/>
      </w:divBdr>
    </w:div>
    <w:div w:id="482936487">
      <w:bodyDiv w:val="1"/>
      <w:marLeft w:val="0"/>
      <w:marRight w:val="0"/>
      <w:marTop w:val="0"/>
      <w:marBottom w:val="0"/>
      <w:divBdr>
        <w:top w:val="none" w:sz="0" w:space="0" w:color="auto"/>
        <w:left w:val="none" w:sz="0" w:space="0" w:color="auto"/>
        <w:bottom w:val="none" w:sz="0" w:space="0" w:color="auto"/>
        <w:right w:val="none" w:sz="0" w:space="0" w:color="auto"/>
      </w:divBdr>
    </w:div>
    <w:div w:id="483014553">
      <w:bodyDiv w:val="1"/>
      <w:marLeft w:val="0"/>
      <w:marRight w:val="0"/>
      <w:marTop w:val="0"/>
      <w:marBottom w:val="0"/>
      <w:divBdr>
        <w:top w:val="none" w:sz="0" w:space="0" w:color="auto"/>
        <w:left w:val="none" w:sz="0" w:space="0" w:color="auto"/>
        <w:bottom w:val="none" w:sz="0" w:space="0" w:color="auto"/>
        <w:right w:val="none" w:sz="0" w:space="0" w:color="auto"/>
      </w:divBdr>
    </w:div>
    <w:div w:id="483399192">
      <w:bodyDiv w:val="1"/>
      <w:marLeft w:val="0"/>
      <w:marRight w:val="0"/>
      <w:marTop w:val="0"/>
      <w:marBottom w:val="0"/>
      <w:divBdr>
        <w:top w:val="none" w:sz="0" w:space="0" w:color="auto"/>
        <w:left w:val="none" w:sz="0" w:space="0" w:color="auto"/>
        <w:bottom w:val="none" w:sz="0" w:space="0" w:color="auto"/>
        <w:right w:val="none" w:sz="0" w:space="0" w:color="auto"/>
      </w:divBdr>
    </w:div>
    <w:div w:id="483477380">
      <w:bodyDiv w:val="1"/>
      <w:marLeft w:val="0"/>
      <w:marRight w:val="0"/>
      <w:marTop w:val="0"/>
      <w:marBottom w:val="0"/>
      <w:divBdr>
        <w:top w:val="none" w:sz="0" w:space="0" w:color="auto"/>
        <w:left w:val="none" w:sz="0" w:space="0" w:color="auto"/>
        <w:bottom w:val="none" w:sz="0" w:space="0" w:color="auto"/>
        <w:right w:val="none" w:sz="0" w:space="0" w:color="auto"/>
      </w:divBdr>
    </w:div>
    <w:div w:id="483815143">
      <w:bodyDiv w:val="1"/>
      <w:marLeft w:val="0"/>
      <w:marRight w:val="0"/>
      <w:marTop w:val="0"/>
      <w:marBottom w:val="0"/>
      <w:divBdr>
        <w:top w:val="none" w:sz="0" w:space="0" w:color="auto"/>
        <w:left w:val="none" w:sz="0" w:space="0" w:color="auto"/>
        <w:bottom w:val="none" w:sz="0" w:space="0" w:color="auto"/>
        <w:right w:val="none" w:sz="0" w:space="0" w:color="auto"/>
      </w:divBdr>
    </w:div>
    <w:div w:id="484130345">
      <w:bodyDiv w:val="1"/>
      <w:marLeft w:val="0"/>
      <w:marRight w:val="0"/>
      <w:marTop w:val="0"/>
      <w:marBottom w:val="0"/>
      <w:divBdr>
        <w:top w:val="none" w:sz="0" w:space="0" w:color="auto"/>
        <w:left w:val="none" w:sz="0" w:space="0" w:color="auto"/>
        <w:bottom w:val="none" w:sz="0" w:space="0" w:color="auto"/>
        <w:right w:val="none" w:sz="0" w:space="0" w:color="auto"/>
      </w:divBdr>
    </w:div>
    <w:div w:id="484274875">
      <w:bodyDiv w:val="1"/>
      <w:marLeft w:val="0"/>
      <w:marRight w:val="0"/>
      <w:marTop w:val="0"/>
      <w:marBottom w:val="0"/>
      <w:divBdr>
        <w:top w:val="none" w:sz="0" w:space="0" w:color="auto"/>
        <w:left w:val="none" w:sz="0" w:space="0" w:color="auto"/>
        <w:bottom w:val="none" w:sz="0" w:space="0" w:color="auto"/>
        <w:right w:val="none" w:sz="0" w:space="0" w:color="auto"/>
      </w:divBdr>
    </w:div>
    <w:div w:id="484394843">
      <w:bodyDiv w:val="1"/>
      <w:marLeft w:val="0"/>
      <w:marRight w:val="0"/>
      <w:marTop w:val="0"/>
      <w:marBottom w:val="0"/>
      <w:divBdr>
        <w:top w:val="none" w:sz="0" w:space="0" w:color="auto"/>
        <w:left w:val="none" w:sz="0" w:space="0" w:color="auto"/>
        <w:bottom w:val="none" w:sz="0" w:space="0" w:color="auto"/>
        <w:right w:val="none" w:sz="0" w:space="0" w:color="auto"/>
      </w:divBdr>
    </w:div>
    <w:div w:id="484706655">
      <w:bodyDiv w:val="1"/>
      <w:marLeft w:val="0"/>
      <w:marRight w:val="0"/>
      <w:marTop w:val="0"/>
      <w:marBottom w:val="0"/>
      <w:divBdr>
        <w:top w:val="none" w:sz="0" w:space="0" w:color="auto"/>
        <w:left w:val="none" w:sz="0" w:space="0" w:color="auto"/>
        <w:bottom w:val="none" w:sz="0" w:space="0" w:color="auto"/>
        <w:right w:val="none" w:sz="0" w:space="0" w:color="auto"/>
      </w:divBdr>
    </w:div>
    <w:div w:id="485245748">
      <w:bodyDiv w:val="1"/>
      <w:marLeft w:val="0"/>
      <w:marRight w:val="0"/>
      <w:marTop w:val="0"/>
      <w:marBottom w:val="0"/>
      <w:divBdr>
        <w:top w:val="none" w:sz="0" w:space="0" w:color="auto"/>
        <w:left w:val="none" w:sz="0" w:space="0" w:color="auto"/>
        <w:bottom w:val="none" w:sz="0" w:space="0" w:color="auto"/>
        <w:right w:val="none" w:sz="0" w:space="0" w:color="auto"/>
      </w:divBdr>
    </w:div>
    <w:div w:id="486017474">
      <w:bodyDiv w:val="1"/>
      <w:marLeft w:val="0"/>
      <w:marRight w:val="0"/>
      <w:marTop w:val="0"/>
      <w:marBottom w:val="0"/>
      <w:divBdr>
        <w:top w:val="none" w:sz="0" w:space="0" w:color="auto"/>
        <w:left w:val="none" w:sz="0" w:space="0" w:color="auto"/>
        <w:bottom w:val="none" w:sz="0" w:space="0" w:color="auto"/>
        <w:right w:val="none" w:sz="0" w:space="0" w:color="auto"/>
      </w:divBdr>
    </w:div>
    <w:div w:id="486437288">
      <w:bodyDiv w:val="1"/>
      <w:marLeft w:val="0"/>
      <w:marRight w:val="0"/>
      <w:marTop w:val="0"/>
      <w:marBottom w:val="0"/>
      <w:divBdr>
        <w:top w:val="none" w:sz="0" w:space="0" w:color="auto"/>
        <w:left w:val="none" w:sz="0" w:space="0" w:color="auto"/>
        <w:bottom w:val="none" w:sz="0" w:space="0" w:color="auto"/>
        <w:right w:val="none" w:sz="0" w:space="0" w:color="auto"/>
      </w:divBdr>
    </w:div>
    <w:div w:id="486635555">
      <w:bodyDiv w:val="1"/>
      <w:marLeft w:val="0"/>
      <w:marRight w:val="0"/>
      <w:marTop w:val="0"/>
      <w:marBottom w:val="0"/>
      <w:divBdr>
        <w:top w:val="none" w:sz="0" w:space="0" w:color="auto"/>
        <w:left w:val="none" w:sz="0" w:space="0" w:color="auto"/>
        <w:bottom w:val="none" w:sz="0" w:space="0" w:color="auto"/>
        <w:right w:val="none" w:sz="0" w:space="0" w:color="auto"/>
      </w:divBdr>
    </w:div>
    <w:div w:id="487553923">
      <w:bodyDiv w:val="1"/>
      <w:marLeft w:val="0"/>
      <w:marRight w:val="0"/>
      <w:marTop w:val="0"/>
      <w:marBottom w:val="0"/>
      <w:divBdr>
        <w:top w:val="none" w:sz="0" w:space="0" w:color="auto"/>
        <w:left w:val="none" w:sz="0" w:space="0" w:color="auto"/>
        <w:bottom w:val="none" w:sz="0" w:space="0" w:color="auto"/>
        <w:right w:val="none" w:sz="0" w:space="0" w:color="auto"/>
      </w:divBdr>
    </w:div>
    <w:div w:id="489253298">
      <w:bodyDiv w:val="1"/>
      <w:marLeft w:val="0"/>
      <w:marRight w:val="0"/>
      <w:marTop w:val="0"/>
      <w:marBottom w:val="0"/>
      <w:divBdr>
        <w:top w:val="none" w:sz="0" w:space="0" w:color="auto"/>
        <w:left w:val="none" w:sz="0" w:space="0" w:color="auto"/>
        <w:bottom w:val="none" w:sz="0" w:space="0" w:color="auto"/>
        <w:right w:val="none" w:sz="0" w:space="0" w:color="auto"/>
      </w:divBdr>
    </w:div>
    <w:div w:id="489834225">
      <w:bodyDiv w:val="1"/>
      <w:marLeft w:val="0"/>
      <w:marRight w:val="0"/>
      <w:marTop w:val="0"/>
      <w:marBottom w:val="0"/>
      <w:divBdr>
        <w:top w:val="none" w:sz="0" w:space="0" w:color="auto"/>
        <w:left w:val="none" w:sz="0" w:space="0" w:color="auto"/>
        <w:bottom w:val="none" w:sz="0" w:space="0" w:color="auto"/>
        <w:right w:val="none" w:sz="0" w:space="0" w:color="auto"/>
      </w:divBdr>
    </w:div>
    <w:div w:id="489906708">
      <w:bodyDiv w:val="1"/>
      <w:marLeft w:val="0"/>
      <w:marRight w:val="0"/>
      <w:marTop w:val="0"/>
      <w:marBottom w:val="0"/>
      <w:divBdr>
        <w:top w:val="none" w:sz="0" w:space="0" w:color="auto"/>
        <w:left w:val="none" w:sz="0" w:space="0" w:color="auto"/>
        <w:bottom w:val="none" w:sz="0" w:space="0" w:color="auto"/>
        <w:right w:val="none" w:sz="0" w:space="0" w:color="auto"/>
      </w:divBdr>
    </w:div>
    <w:div w:id="489954542">
      <w:bodyDiv w:val="1"/>
      <w:marLeft w:val="0"/>
      <w:marRight w:val="0"/>
      <w:marTop w:val="0"/>
      <w:marBottom w:val="0"/>
      <w:divBdr>
        <w:top w:val="none" w:sz="0" w:space="0" w:color="auto"/>
        <w:left w:val="none" w:sz="0" w:space="0" w:color="auto"/>
        <w:bottom w:val="none" w:sz="0" w:space="0" w:color="auto"/>
        <w:right w:val="none" w:sz="0" w:space="0" w:color="auto"/>
      </w:divBdr>
    </w:div>
    <w:div w:id="490487813">
      <w:bodyDiv w:val="1"/>
      <w:marLeft w:val="0"/>
      <w:marRight w:val="0"/>
      <w:marTop w:val="0"/>
      <w:marBottom w:val="0"/>
      <w:divBdr>
        <w:top w:val="none" w:sz="0" w:space="0" w:color="auto"/>
        <w:left w:val="none" w:sz="0" w:space="0" w:color="auto"/>
        <w:bottom w:val="none" w:sz="0" w:space="0" w:color="auto"/>
        <w:right w:val="none" w:sz="0" w:space="0" w:color="auto"/>
      </w:divBdr>
    </w:div>
    <w:div w:id="490564834">
      <w:bodyDiv w:val="1"/>
      <w:marLeft w:val="0"/>
      <w:marRight w:val="0"/>
      <w:marTop w:val="0"/>
      <w:marBottom w:val="0"/>
      <w:divBdr>
        <w:top w:val="none" w:sz="0" w:space="0" w:color="auto"/>
        <w:left w:val="none" w:sz="0" w:space="0" w:color="auto"/>
        <w:bottom w:val="none" w:sz="0" w:space="0" w:color="auto"/>
        <w:right w:val="none" w:sz="0" w:space="0" w:color="auto"/>
      </w:divBdr>
    </w:div>
    <w:div w:id="490751171">
      <w:bodyDiv w:val="1"/>
      <w:marLeft w:val="0"/>
      <w:marRight w:val="0"/>
      <w:marTop w:val="0"/>
      <w:marBottom w:val="0"/>
      <w:divBdr>
        <w:top w:val="none" w:sz="0" w:space="0" w:color="auto"/>
        <w:left w:val="none" w:sz="0" w:space="0" w:color="auto"/>
        <w:bottom w:val="none" w:sz="0" w:space="0" w:color="auto"/>
        <w:right w:val="none" w:sz="0" w:space="0" w:color="auto"/>
      </w:divBdr>
    </w:div>
    <w:div w:id="490944563">
      <w:bodyDiv w:val="1"/>
      <w:marLeft w:val="0"/>
      <w:marRight w:val="0"/>
      <w:marTop w:val="0"/>
      <w:marBottom w:val="0"/>
      <w:divBdr>
        <w:top w:val="none" w:sz="0" w:space="0" w:color="auto"/>
        <w:left w:val="none" w:sz="0" w:space="0" w:color="auto"/>
        <w:bottom w:val="none" w:sz="0" w:space="0" w:color="auto"/>
        <w:right w:val="none" w:sz="0" w:space="0" w:color="auto"/>
      </w:divBdr>
    </w:div>
    <w:div w:id="491719555">
      <w:bodyDiv w:val="1"/>
      <w:marLeft w:val="0"/>
      <w:marRight w:val="0"/>
      <w:marTop w:val="0"/>
      <w:marBottom w:val="0"/>
      <w:divBdr>
        <w:top w:val="none" w:sz="0" w:space="0" w:color="auto"/>
        <w:left w:val="none" w:sz="0" w:space="0" w:color="auto"/>
        <w:bottom w:val="none" w:sz="0" w:space="0" w:color="auto"/>
        <w:right w:val="none" w:sz="0" w:space="0" w:color="auto"/>
      </w:divBdr>
    </w:div>
    <w:div w:id="491917236">
      <w:bodyDiv w:val="1"/>
      <w:marLeft w:val="0"/>
      <w:marRight w:val="0"/>
      <w:marTop w:val="0"/>
      <w:marBottom w:val="0"/>
      <w:divBdr>
        <w:top w:val="none" w:sz="0" w:space="0" w:color="auto"/>
        <w:left w:val="none" w:sz="0" w:space="0" w:color="auto"/>
        <w:bottom w:val="none" w:sz="0" w:space="0" w:color="auto"/>
        <w:right w:val="none" w:sz="0" w:space="0" w:color="auto"/>
      </w:divBdr>
    </w:div>
    <w:div w:id="492139705">
      <w:bodyDiv w:val="1"/>
      <w:marLeft w:val="0"/>
      <w:marRight w:val="0"/>
      <w:marTop w:val="0"/>
      <w:marBottom w:val="0"/>
      <w:divBdr>
        <w:top w:val="none" w:sz="0" w:space="0" w:color="auto"/>
        <w:left w:val="none" w:sz="0" w:space="0" w:color="auto"/>
        <w:bottom w:val="none" w:sz="0" w:space="0" w:color="auto"/>
        <w:right w:val="none" w:sz="0" w:space="0" w:color="auto"/>
      </w:divBdr>
    </w:div>
    <w:div w:id="492261218">
      <w:bodyDiv w:val="1"/>
      <w:marLeft w:val="0"/>
      <w:marRight w:val="0"/>
      <w:marTop w:val="0"/>
      <w:marBottom w:val="0"/>
      <w:divBdr>
        <w:top w:val="none" w:sz="0" w:space="0" w:color="auto"/>
        <w:left w:val="none" w:sz="0" w:space="0" w:color="auto"/>
        <w:bottom w:val="none" w:sz="0" w:space="0" w:color="auto"/>
        <w:right w:val="none" w:sz="0" w:space="0" w:color="auto"/>
      </w:divBdr>
    </w:div>
    <w:div w:id="492795713">
      <w:bodyDiv w:val="1"/>
      <w:marLeft w:val="0"/>
      <w:marRight w:val="0"/>
      <w:marTop w:val="0"/>
      <w:marBottom w:val="0"/>
      <w:divBdr>
        <w:top w:val="none" w:sz="0" w:space="0" w:color="auto"/>
        <w:left w:val="none" w:sz="0" w:space="0" w:color="auto"/>
        <w:bottom w:val="none" w:sz="0" w:space="0" w:color="auto"/>
        <w:right w:val="none" w:sz="0" w:space="0" w:color="auto"/>
      </w:divBdr>
    </w:div>
    <w:div w:id="493226945">
      <w:bodyDiv w:val="1"/>
      <w:marLeft w:val="0"/>
      <w:marRight w:val="0"/>
      <w:marTop w:val="0"/>
      <w:marBottom w:val="0"/>
      <w:divBdr>
        <w:top w:val="none" w:sz="0" w:space="0" w:color="auto"/>
        <w:left w:val="none" w:sz="0" w:space="0" w:color="auto"/>
        <w:bottom w:val="none" w:sz="0" w:space="0" w:color="auto"/>
        <w:right w:val="none" w:sz="0" w:space="0" w:color="auto"/>
      </w:divBdr>
    </w:div>
    <w:div w:id="493378773">
      <w:bodyDiv w:val="1"/>
      <w:marLeft w:val="0"/>
      <w:marRight w:val="0"/>
      <w:marTop w:val="0"/>
      <w:marBottom w:val="0"/>
      <w:divBdr>
        <w:top w:val="none" w:sz="0" w:space="0" w:color="auto"/>
        <w:left w:val="none" w:sz="0" w:space="0" w:color="auto"/>
        <w:bottom w:val="none" w:sz="0" w:space="0" w:color="auto"/>
        <w:right w:val="none" w:sz="0" w:space="0" w:color="auto"/>
      </w:divBdr>
    </w:div>
    <w:div w:id="493684854">
      <w:bodyDiv w:val="1"/>
      <w:marLeft w:val="0"/>
      <w:marRight w:val="0"/>
      <w:marTop w:val="0"/>
      <w:marBottom w:val="0"/>
      <w:divBdr>
        <w:top w:val="none" w:sz="0" w:space="0" w:color="auto"/>
        <w:left w:val="none" w:sz="0" w:space="0" w:color="auto"/>
        <w:bottom w:val="none" w:sz="0" w:space="0" w:color="auto"/>
        <w:right w:val="none" w:sz="0" w:space="0" w:color="auto"/>
      </w:divBdr>
    </w:div>
    <w:div w:id="493766435">
      <w:bodyDiv w:val="1"/>
      <w:marLeft w:val="0"/>
      <w:marRight w:val="0"/>
      <w:marTop w:val="0"/>
      <w:marBottom w:val="0"/>
      <w:divBdr>
        <w:top w:val="none" w:sz="0" w:space="0" w:color="auto"/>
        <w:left w:val="none" w:sz="0" w:space="0" w:color="auto"/>
        <w:bottom w:val="none" w:sz="0" w:space="0" w:color="auto"/>
        <w:right w:val="none" w:sz="0" w:space="0" w:color="auto"/>
      </w:divBdr>
    </w:div>
    <w:div w:id="493952179">
      <w:bodyDiv w:val="1"/>
      <w:marLeft w:val="0"/>
      <w:marRight w:val="0"/>
      <w:marTop w:val="0"/>
      <w:marBottom w:val="0"/>
      <w:divBdr>
        <w:top w:val="none" w:sz="0" w:space="0" w:color="auto"/>
        <w:left w:val="none" w:sz="0" w:space="0" w:color="auto"/>
        <w:bottom w:val="none" w:sz="0" w:space="0" w:color="auto"/>
        <w:right w:val="none" w:sz="0" w:space="0" w:color="auto"/>
      </w:divBdr>
    </w:div>
    <w:div w:id="494031299">
      <w:bodyDiv w:val="1"/>
      <w:marLeft w:val="0"/>
      <w:marRight w:val="0"/>
      <w:marTop w:val="0"/>
      <w:marBottom w:val="0"/>
      <w:divBdr>
        <w:top w:val="none" w:sz="0" w:space="0" w:color="auto"/>
        <w:left w:val="none" w:sz="0" w:space="0" w:color="auto"/>
        <w:bottom w:val="none" w:sz="0" w:space="0" w:color="auto"/>
        <w:right w:val="none" w:sz="0" w:space="0" w:color="auto"/>
      </w:divBdr>
    </w:div>
    <w:div w:id="494079733">
      <w:bodyDiv w:val="1"/>
      <w:marLeft w:val="0"/>
      <w:marRight w:val="0"/>
      <w:marTop w:val="0"/>
      <w:marBottom w:val="0"/>
      <w:divBdr>
        <w:top w:val="none" w:sz="0" w:space="0" w:color="auto"/>
        <w:left w:val="none" w:sz="0" w:space="0" w:color="auto"/>
        <w:bottom w:val="none" w:sz="0" w:space="0" w:color="auto"/>
        <w:right w:val="none" w:sz="0" w:space="0" w:color="auto"/>
      </w:divBdr>
    </w:div>
    <w:div w:id="494534912">
      <w:bodyDiv w:val="1"/>
      <w:marLeft w:val="0"/>
      <w:marRight w:val="0"/>
      <w:marTop w:val="0"/>
      <w:marBottom w:val="0"/>
      <w:divBdr>
        <w:top w:val="none" w:sz="0" w:space="0" w:color="auto"/>
        <w:left w:val="none" w:sz="0" w:space="0" w:color="auto"/>
        <w:bottom w:val="none" w:sz="0" w:space="0" w:color="auto"/>
        <w:right w:val="none" w:sz="0" w:space="0" w:color="auto"/>
      </w:divBdr>
    </w:div>
    <w:div w:id="495145856">
      <w:bodyDiv w:val="1"/>
      <w:marLeft w:val="0"/>
      <w:marRight w:val="0"/>
      <w:marTop w:val="0"/>
      <w:marBottom w:val="0"/>
      <w:divBdr>
        <w:top w:val="none" w:sz="0" w:space="0" w:color="auto"/>
        <w:left w:val="none" w:sz="0" w:space="0" w:color="auto"/>
        <w:bottom w:val="none" w:sz="0" w:space="0" w:color="auto"/>
        <w:right w:val="none" w:sz="0" w:space="0" w:color="auto"/>
      </w:divBdr>
    </w:div>
    <w:div w:id="495269481">
      <w:bodyDiv w:val="1"/>
      <w:marLeft w:val="0"/>
      <w:marRight w:val="0"/>
      <w:marTop w:val="0"/>
      <w:marBottom w:val="0"/>
      <w:divBdr>
        <w:top w:val="none" w:sz="0" w:space="0" w:color="auto"/>
        <w:left w:val="none" w:sz="0" w:space="0" w:color="auto"/>
        <w:bottom w:val="none" w:sz="0" w:space="0" w:color="auto"/>
        <w:right w:val="none" w:sz="0" w:space="0" w:color="auto"/>
      </w:divBdr>
    </w:div>
    <w:div w:id="495533207">
      <w:bodyDiv w:val="1"/>
      <w:marLeft w:val="0"/>
      <w:marRight w:val="0"/>
      <w:marTop w:val="0"/>
      <w:marBottom w:val="0"/>
      <w:divBdr>
        <w:top w:val="none" w:sz="0" w:space="0" w:color="auto"/>
        <w:left w:val="none" w:sz="0" w:space="0" w:color="auto"/>
        <w:bottom w:val="none" w:sz="0" w:space="0" w:color="auto"/>
        <w:right w:val="none" w:sz="0" w:space="0" w:color="auto"/>
      </w:divBdr>
    </w:div>
    <w:div w:id="495651114">
      <w:bodyDiv w:val="1"/>
      <w:marLeft w:val="0"/>
      <w:marRight w:val="0"/>
      <w:marTop w:val="0"/>
      <w:marBottom w:val="0"/>
      <w:divBdr>
        <w:top w:val="none" w:sz="0" w:space="0" w:color="auto"/>
        <w:left w:val="none" w:sz="0" w:space="0" w:color="auto"/>
        <w:bottom w:val="none" w:sz="0" w:space="0" w:color="auto"/>
        <w:right w:val="none" w:sz="0" w:space="0" w:color="auto"/>
      </w:divBdr>
    </w:div>
    <w:div w:id="495846699">
      <w:bodyDiv w:val="1"/>
      <w:marLeft w:val="0"/>
      <w:marRight w:val="0"/>
      <w:marTop w:val="0"/>
      <w:marBottom w:val="0"/>
      <w:divBdr>
        <w:top w:val="none" w:sz="0" w:space="0" w:color="auto"/>
        <w:left w:val="none" w:sz="0" w:space="0" w:color="auto"/>
        <w:bottom w:val="none" w:sz="0" w:space="0" w:color="auto"/>
        <w:right w:val="none" w:sz="0" w:space="0" w:color="auto"/>
      </w:divBdr>
    </w:div>
    <w:div w:id="495847105">
      <w:bodyDiv w:val="1"/>
      <w:marLeft w:val="0"/>
      <w:marRight w:val="0"/>
      <w:marTop w:val="0"/>
      <w:marBottom w:val="0"/>
      <w:divBdr>
        <w:top w:val="none" w:sz="0" w:space="0" w:color="auto"/>
        <w:left w:val="none" w:sz="0" w:space="0" w:color="auto"/>
        <w:bottom w:val="none" w:sz="0" w:space="0" w:color="auto"/>
        <w:right w:val="none" w:sz="0" w:space="0" w:color="auto"/>
      </w:divBdr>
    </w:div>
    <w:div w:id="496112038">
      <w:bodyDiv w:val="1"/>
      <w:marLeft w:val="0"/>
      <w:marRight w:val="0"/>
      <w:marTop w:val="0"/>
      <w:marBottom w:val="0"/>
      <w:divBdr>
        <w:top w:val="none" w:sz="0" w:space="0" w:color="auto"/>
        <w:left w:val="none" w:sz="0" w:space="0" w:color="auto"/>
        <w:bottom w:val="none" w:sz="0" w:space="0" w:color="auto"/>
        <w:right w:val="none" w:sz="0" w:space="0" w:color="auto"/>
      </w:divBdr>
    </w:div>
    <w:div w:id="496502242">
      <w:bodyDiv w:val="1"/>
      <w:marLeft w:val="0"/>
      <w:marRight w:val="0"/>
      <w:marTop w:val="0"/>
      <w:marBottom w:val="0"/>
      <w:divBdr>
        <w:top w:val="none" w:sz="0" w:space="0" w:color="auto"/>
        <w:left w:val="none" w:sz="0" w:space="0" w:color="auto"/>
        <w:bottom w:val="none" w:sz="0" w:space="0" w:color="auto"/>
        <w:right w:val="none" w:sz="0" w:space="0" w:color="auto"/>
      </w:divBdr>
    </w:div>
    <w:div w:id="496726709">
      <w:bodyDiv w:val="1"/>
      <w:marLeft w:val="0"/>
      <w:marRight w:val="0"/>
      <w:marTop w:val="0"/>
      <w:marBottom w:val="0"/>
      <w:divBdr>
        <w:top w:val="none" w:sz="0" w:space="0" w:color="auto"/>
        <w:left w:val="none" w:sz="0" w:space="0" w:color="auto"/>
        <w:bottom w:val="none" w:sz="0" w:space="0" w:color="auto"/>
        <w:right w:val="none" w:sz="0" w:space="0" w:color="auto"/>
      </w:divBdr>
    </w:div>
    <w:div w:id="497040441">
      <w:bodyDiv w:val="1"/>
      <w:marLeft w:val="0"/>
      <w:marRight w:val="0"/>
      <w:marTop w:val="0"/>
      <w:marBottom w:val="0"/>
      <w:divBdr>
        <w:top w:val="none" w:sz="0" w:space="0" w:color="auto"/>
        <w:left w:val="none" w:sz="0" w:space="0" w:color="auto"/>
        <w:bottom w:val="none" w:sz="0" w:space="0" w:color="auto"/>
        <w:right w:val="none" w:sz="0" w:space="0" w:color="auto"/>
      </w:divBdr>
    </w:div>
    <w:div w:id="497379596">
      <w:bodyDiv w:val="1"/>
      <w:marLeft w:val="0"/>
      <w:marRight w:val="0"/>
      <w:marTop w:val="0"/>
      <w:marBottom w:val="0"/>
      <w:divBdr>
        <w:top w:val="none" w:sz="0" w:space="0" w:color="auto"/>
        <w:left w:val="none" w:sz="0" w:space="0" w:color="auto"/>
        <w:bottom w:val="none" w:sz="0" w:space="0" w:color="auto"/>
        <w:right w:val="none" w:sz="0" w:space="0" w:color="auto"/>
      </w:divBdr>
    </w:div>
    <w:div w:id="497771725">
      <w:bodyDiv w:val="1"/>
      <w:marLeft w:val="0"/>
      <w:marRight w:val="0"/>
      <w:marTop w:val="0"/>
      <w:marBottom w:val="0"/>
      <w:divBdr>
        <w:top w:val="none" w:sz="0" w:space="0" w:color="auto"/>
        <w:left w:val="none" w:sz="0" w:space="0" w:color="auto"/>
        <w:bottom w:val="none" w:sz="0" w:space="0" w:color="auto"/>
        <w:right w:val="none" w:sz="0" w:space="0" w:color="auto"/>
      </w:divBdr>
    </w:div>
    <w:div w:id="498160057">
      <w:bodyDiv w:val="1"/>
      <w:marLeft w:val="0"/>
      <w:marRight w:val="0"/>
      <w:marTop w:val="0"/>
      <w:marBottom w:val="0"/>
      <w:divBdr>
        <w:top w:val="none" w:sz="0" w:space="0" w:color="auto"/>
        <w:left w:val="none" w:sz="0" w:space="0" w:color="auto"/>
        <w:bottom w:val="none" w:sz="0" w:space="0" w:color="auto"/>
        <w:right w:val="none" w:sz="0" w:space="0" w:color="auto"/>
      </w:divBdr>
    </w:div>
    <w:div w:id="498497735">
      <w:bodyDiv w:val="1"/>
      <w:marLeft w:val="0"/>
      <w:marRight w:val="0"/>
      <w:marTop w:val="0"/>
      <w:marBottom w:val="0"/>
      <w:divBdr>
        <w:top w:val="none" w:sz="0" w:space="0" w:color="auto"/>
        <w:left w:val="none" w:sz="0" w:space="0" w:color="auto"/>
        <w:bottom w:val="none" w:sz="0" w:space="0" w:color="auto"/>
        <w:right w:val="none" w:sz="0" w:space="0" w:color="auto"/>
      </w:divBdr>
    </w:div>
    <w:div w:id="498619621">
      <w:bodyDiv w:val="1"/>
      <w:marLeft w:val="0"/>
      <w:marRight w:val="0"/>
      <w:marTop w:val="0"/>
      <w:marBottom w:val="0"/>
      <w:divBdr>
        <w:top w:val="none" w:sz="0" w:space="0" w:color="auto"/>
        <w:left w:val="none" w:sz="0" w:space="0" w:color="auto"/>
        <w:bottom w:val="none" w:sz="0" w:space="0" w:color="auto"/>
        <w:right w:val="none" w:sz="0" w:space="0" w:color="auto"/>
      </w:divBdr>
    </w:div>
    <w:div w:id="499270703">
      <w:bodyDiv w:val="1"/>
      <w:marLeft w:val="0"/>
      <w:marRight w:val="0"/>
      <w:marTop w:val="0"/>
      <w:marBottom w:val="0"/>
      <w:divBdr>
        <w:top w:val="none" w:sz="0" w:space="0" w:color="auto"/>
        <w:left w:val="none" w:sz="0" w:space="0" w:color="auto"/>
        <w:bottom w:val="none" w:sz="0" w:space="0" w:color="auto"/>
        <w:right w:val="none" w:sz="0" w:space="0" w:color="auto"/>
      </w:divBdr>
    </w:div>
    <w:div w:id="499321277">
      <w:bodyDiv w:val="1"/>
      <w:marLeft w:val="0"/>
      <w:marRight w:val="0"/>
      <w:marTop w:val="0"/>
      <w:marBottom w:val="0"/>
      <w:divBdr>
        <w:top w:val="none" w:sz="0" w:space="0" w:color="auto"/>
        <w:left w:val="none" w:sz="0" w:space="0" w:color="auto"/>
        <w:bottom w:val="none" w:sz="0" w:space="0" w:color="auto"/>
        <w:right w:val="none" w:sz="0" w:space="0" w:color="auto"/>
      </w:divBdr>
    </w:div>
    <w:div w:id="499658607">
      <w:bodyDiv w:val="1"/>
      <w:marLeft w:val="0"/>
      <w:marRight w:val="0"/>
      <w:marTop w:val="0"/>
      <w:marBottom w:val="0"/>
      <w:divBdr>
        <w:top w:val="none" w:sz="0" w:space="0" w:color="auto"/>
        <w:left w:val="none" w:sz="0" w:space="0" w:color="auto"/>
        <w:bottom w:val="none" w:sz="0" w:space="0" w:color="auto"/>
        <w:right w:val="none" w:sz="0" w:space="0" w:color="auto"/>
      </w:divBdr>
    </w:div>
    <w:div w:id="499659021">
      <w:bodyDiv w:val="1"/>
      <w:marLeft w:val="0"/>
      <w:marRight w:val="0"/>
      <w:marTop w:val="0"/>
      <w:marBottom w:val="0"/>
      <w:divBdr>
        <w:top w:val="none" w:sz="0" w:space="0" w:color="auto"/>
        <w:left w:val="none" w:sz="0" w:space="0" w:color="auto"/>
        <w:bottom w:val="none" w:sz="0" w:space="0" w:color="auto"/>
        <w:right w:val="none" w:sz="0" w:space="0" w:color="auto"/>
      </w:divBdr>
    </w:div>
    <w:div w:id="500006526">
      <w:bodyDiv w:val="1"/>
      <w:marLeft w:val="0"/>
      <w:marRight w:val="0"/>
      <w:marTop w:val="0"/>
      <w:marBottom w:val="0"/>
      <w:divBdr>
        <w:top w:val="none" w:sz="0" w:space="0" w:color="auto"/>
        <w:left w:val="none" w:sz="0" w:space="0" w:color="auto"/>
        <w:bottom w:val="none" w:sz="0" w:space="0" w:color="auto"/>
        <w:right w:val="none" w:sz="0" w:space="0" w:color="auto"/>
      </w:divBdr>
    </w:div>
    <w:div w:id="500317519">
      <w:bodyDiv w:val="1"/>
      <w:marLeft w:val="0"/>
      <w:marRight w:val="0"/>
      <w:marTop w:val="0"/>
      <w:marBottom w:val="0"/>
      <w:divBdr>
        <w:top w:val="none" w:sz="0" w:space="0" w:color="auto"/>
        <w:left w:val="none" w:sz="0" w:space="0" w:color="auto"/>
        <w:bottom w:val="none" w:sz="0" w:space="0" w:color="auto"/>
        <w:right w:val="none" w:sz="0" w:space="0" w:color="auto"/>
      </w:divBdr>
    </w:div>
    <w:div w:id="500781942">
      <w:bodyDiv w:val="1"/>
      <w:marLeft w:val="0"/>
      <w:marRight w:val="0"/>
      <w:marTop w:val="0"/>
      <w:marBottom w:val="0"/>
      <w:divBdr>
        <w:top w:val="none" w:sz="0" w:space="0" w:color="auto"/>
        <w:left w:val="none" w:sz="0" w:space="0" w:color="auto"/>
        <w:bottom w:val="none" w:sz="0" w:space="0" w:color="auto"/>
        <w:right w:val="none" w:sz="0" w:space="0" w:color="auto"/>
      </w:divBdr>
    </w:div>
    <w:div w:id="500971977">
      <w:bodyDiv w:val="1"/>
      <w:marLeft w:val="0"/>
      <w:marRight w:val="0"/>
      <w:marTop w:val="0"/>
      <w:marBottom w:val="0"/>
      <w:divBdr>
        <w:top w:val="none" w:sz="0" w:space="0" w:color="auto"/>
        <w:left w:val="none" w:sz="0" w:space="0" w:color="auto"/>
        <w:bottom w:val="none" w:sz="0" w:space="0" w:color="auto"/>
        <w:right w:val="none" w:sz="0" w:space="0" w:color="auto"/>
      </w:divBdr>
    </w:div>
    <w:div w:id="501505560">
      <w:bodyDiv w:val="1"/>
      <w:marLeft w:val="0"/>
      <w:marRight w:val="0"/>
      <w:marTop w:val="0"/>
      <w:marBottom w:val="0"/>
      <w:divBdr>
        <w:top w:val="none" w:sz="0" w:space="0" w:color="auto"/>
        <w:left w:val="none" w:sz="0" w:space="0" w:color="auto"/>
        <w:bottom w:val="none" w:sz="0" w:space="0" w:color="auto"/>
        <w:right w:val="none" w:sz="0" w:space="0" w:color="auto"/>
      </w:divBdr>
    </w:div>
    <w:div w:id="501550344">
      <w:bodyDiv w:val="1"/>
      <w:marLeft w:val="0"/>
      <w:marRight w:val="0"/>
      <w:marTop w:val="0"/>
      <w:marBottom w:val="0"/>
      <w:divBdr>
        <w:top w:val="none" w:sz="0" w:space="0" w:color="auto"/>
        <w:left w:val="none" w:sz="0" w:space="0" w:color="auto"/>
        <w:bottom w:val="none" w:sz="0" w:space="0" w:color="auto"/>
        <w:right w:val="none" w:sz="0" w:space="0" w:color="auto"/>
      </w:divBdr>
    </w:div>
    <w:div w:id="501622005">
      <w:bodyDiv w:val="1"/>
      <w:marLeft w:val="0"/>
      <w:marRight w:val="0"/>
      <w:marTop w:val="0"/>
      <w:marBottom w:val="0"/>
      <w:divBdr>
        <w:top w:val="none" w:sz="0" w:space="0" w:color="auto"/>
        <w:left w:val="none" w:sz="0" w:space="0" w:color="auto"/>
        <w:bottom w:val="none" w:sz="0" w:space="0" w:color="auto"/>
        <w:right w:val="none" w:sz="0" w:space="0" w:color="auto"/>
      </w:divBdr>
    </w:div>
    <w:div w:id="502091894">
      <w:bodyDiv w:val="1"/>
      <w:marLeft w:val="0"/>
      <w:marRight w:val="0"/>
      <w:marTop w:val="0"/>
      <w:marBottom w:val="0"/>
      <w:divBdr>
        <w:top w:val="none" w:sz="0" w:space="0" w:color="auto"/>
        <w:left w:val="none" w:sz="0" w:space="0" w:color="auto"/>
        <w:bottom w:val="none" w:sz="0" w:space="0" w:color="auto"/>
        <w:right w:val="none" w:sz="0" w:space="0" w:color="auto"/>
      </w:divBdr>
    </w:div>
    <w:div w:id="502355390">
      <w:bodyDiv w:val="1"/>
      <w:marLeft w:val="0"/>
      <w:marRight w:val="0"/>
      <w:marTop w:val="0"/>
      <w:marBottom w:val="0"/>
      <w:divBdr>
        <w:top w:val="none" w:sz="0" w:space="0" w:color="auto"/>
        <w:left w:val="none" w:sz="0" w:space="0" w:color="auto"/>
        <w:bottom w:val="none" w:sz="0" w:space="0" w:color="auto"/>
        <w:right w:val="none" w:sz="0" w:space="0" w:color="auto"/>
      </w:divBdr>
    </w:div>
    <w:div w:id="502430782">
      <w:bodyDiv w:val="1"/>
      <w:marLeft w:val="0"/>
      <w:marRight w:val="0"/>
      <w:marTop w:val="0"/>
      <w:marBottom w:val="0"/>
      <w:divBdr>
        <w:top w:val="none" w:sz="0" w:space="0" w:color="auto"/>
        <w:left w:val="none" w:sz="0" w:space="0" w:color="auto"/>
        <w:bottom w:val="none" w:sz="0" w:space="0" w:color="auto"/>
        <w:right w:val="none" w:sz="0" w:space="0" w:color="auto"/>
      </w:divBdr>
    </w:div>
    <w:div w:id="502624725">
      <w:bodyDiv w:val="1"/>
      <w:marLeft w:val="0"/>
      <w:marRight w:val="0"/>
      <w:marTop w:val="0"/>
      <w:marBottom w:val="0"/>
      <w:divBdr>
        <w:top w:val="none" w:sz="0" w:space="0" w:color="auto"/>
        <w:left w:val="none" w:sz="0" w:space="0" w:color="auto"/>
        <w:bottom w:val="none" w:sz="0" w:space="0" w:color="auto"/>
        <w:right w:val="none" w:sz="0" w:space="0" w:color="auto"/>
      </w:divBdr>
    </w:div>
    <w:div w:id="503666973">
      <w:bodyDiv w:val="1"/>
      <w:marLeft w:val="0"/>
      <w:marRight w:val="0"/>
      <w:marTop w:val="0"/>
      <w:marBottom w:val="0"/>
      <w:divBdr>
        <w:top w:val="none" w:sz="0" w:space="0" w:color="auto"/>
        <w:left w:val="none" w:sz="0" w:space="0" w:color="auto"/>
        <w:bottom w:val="none" w:sz="0" w:space="0" w:color="auto"/>
        <w:right w:val="none" w:sz="0" w:space="0" w:color="auto"/>
      </w:divBdr>
    </w:div>
    <w:div w:id="504133758">
      <w:bodyDiv w:val="1"/>
      <w:marLeft w:val="0"/>
      <w:marRight w:val="0"/>
      <w:marTop w:val="0"/>
      <w:marBottom w:val="0"/>
      <w:divBdr>
        <w:top w:val="none" w:sz="0" w:space="0" w:color="auto"/>
        <w:left w:val="none" w:sz="0" w:space="0" w:color="auto"/>
        <w:bottom w:val="none" w:sz="0" w:space="0" w:color="auto"/>
        <w:right w:val="none" w:sz="0" w:space="0" w:color="auto"/>
      </w:divBdr>
    </w:div>
    <w:div w:id="504438378">
      <w:bodyDiv w:val="1"/>
      <w:marLeft w:val="0"/>
      <w:marRight w:val="0"/>
      <w:marTop w:val="0"/>
      <w:marBottom w:val="0"/>
      <w:divBdr>
        <w:top w:val="none" w:sz="0" w:space="0" w:color="auto"/>
        <w:left w:val="none" w:sz="0" w:space="0" w:color="auto"/>
        <w:bottom w:val="none" w:sz="0" w:space="0" w:color="auto"/>
        <w:right w:val="none" w:sz="0" w:space="0" w:color="auto"/>
      </w:divBdr>
    </w:div>
    <w:div w:id="504633297">
      <w:bodyDiv w:val="1"/>
      <w:marLeft w:val="0"/>
      <w:marRight w:val="0"/>
      <w:marTop w:val="0"/>
      <w:marBottom w:val="0"/>
      <w:divBdr>
        <w:top w:val="none" w:sz="0" w:space="0" w:color="auto"/>
        <w:left w:val="none" w:sz="0" w:space="0" w:color="auto"/>
        <w:bottom w:val="none" w:sz="0" w:space="0" w:color="auto"/>
        <w:right w:val="none" w:sz="0" w:space="0" w:color="auto"/>
      </w:divBdr>
    </w:div>
    <w:div w:id="505440738">
      <w:bodyDiv w:val="1"/>
      <w:marLeft w:val="0"/>
      <w:marRight w:val="0"/>
      <w:marTop w:val="0"/>
      <w:marBottom w:val="0"/>
      <w:divBdr>
        <w:top w:val="none" w:sz="0" w:space="0" w:color="auto"/>
        <w:left w:val="none" w:sz="0" w:space="0" w:color="auto"/>
        <w:bottom w:val="none" w:sz="0" w:space="0" w:color="auto"/>
        <w:right w:val="none" w:sz="0" w:space="0" w:color="auto"/>
      </w:divBdr>
    </w:div>
    <w:div w:id="505511382">
      <w:bodyDiv w:val="1"/>
      <w:marLeft w:val="0"/>
      <w:marRight w:val="0"/>
      <w:marTop w:val="0"/>
      <w:marBottom w:val="0"/>
      <w:divBdr>
        <w:top w:val="none" w:sz="0" w:space="0" w:color="auto"/>
        <w:left w:val="none" w:sz="0" w:space="0" w:color="auto"/>
        <w:bottom w:val="none" w:sz="0" w:space="0" w:color="auto"/>
        <w:right w:val="none" w:sz="0" w:space="0" w:color="auto"/>
      </w:divBdr>
    </w:div>
    <w:div w:id="505677482">
      <w:bodyDiv w:val="1"/>
      <w:marLeft w:val="0"/>
      <w:marRight w:val="0"/>
      <w:marTop w:val="0"/>
      <w:marBottom w:val="0"/>
      <w:divBdr>
        <w:top w:val="none" w:sz="0" w:space="0" w:color="auto"/>
        <w:left w:val="none" w:sz="0" w:space="0" w:color="auto"/>
        <w:bottom w:val="none" w:sz="0" w:space="0" w:color="auto"/>
        <w:right w:val="none" w:sz="0" w:space="0" w:color="auto"/>
      </w:divBdr>
    </w:div>
    <w:div w:id="505680233">
      <w:bodyDiv w:val="1"/>
      <w:marLeft w:val="0"/>
      <w:marRight w:val="0"/>
      <w:marTop w:val="0"/>
      <w:marBottom w:val="0"/>
      <w:divBdr>
        <w:top w:val="none" w:sz="0" w:space="0" w:color="auto"/>
        <w:left w:val="none" w:sz="0" w:space="0" w:color="auto"/>
        <w:bottom w:val="none" w:sz="0" w:space="0" w:color="auto"/>
        <w:right w:val="none" w:sz="0" w:space="0" w:color="auto"/>
      </w:divBdr>
    </w:div>
    <w:div w:id="505707932">
      <w:bodyDiv w:val="1"/>
      <w:marLeft w:val="0"/>
      <w:marRight w:val="0"/>
      <w:marTop w:val="0"/>
      <w:marBottom w:val="0"/>
      <w:divBdr>
        <w:top w:val="none" w:sz="0" w:space="0" w:color="auto"/>
        <w:left w:val="none" w:sz="0" w:space="0" w:color="auto"/>
        <w:bottom w:val="none" w:sz="0" w:space="0" w:color="auto"/>
        <w:right w:val="none" w:sz="0" w:space="0" w:color="auto"/>
      </w:divBdr>
    </w:div>
    <w:div w:id="505747427">
      <w:bodyDiv w:val="1"/>
      <w:marLeft w:val="0"/>
      <w:marRight w:val="0"/>
      <w:marTop w:val="0"/>
      <w:marBottom w:val="0"/>
      <w:divBdr>
        <w:top w:val="none" w:sz="0" w:space="0" w:color="auto"/>
        <w:left w:val="none" w:sz="0" w:space="0" w:color="auto"/>
        <w:bottom w:val="none" w:sz="0" w:space="0" w:color="auto"/>
        <w:right w:val="none" w:sz="0" w:space="0" w:color="auto"/>
      </w:divBdr>
    </w:div>
    <w:div w:id="505752310">
      <w:bodyDiv w:val="1"/>
      <w:marLeft w:val="0"/>
      <w:marRight w:val="0"/>
      <w:marTop w:val="0"/>
      <w:marBottom w:val="0"/>
      <w:divBdr>
        <w:top w:val="none" w:sz="0" w:space="0" w:color="auto"/>
        <w:left w:val="none" w:sz="0" w:space="0" w:color="auto"/>
        <w:bottom w:val="none" w:sz="0" w:space="0" w:color="auto"/>
        <w:right w:val="none" w:sz="0" w:space="0" w:color="auto"/>
      </w:divBdr>
    </w:div>
    <w:div w:id="505829629">
      <w:bodyDiv w:val="1"/>
      <w:marLeft w:val="0"/>
      <w:marRight w:val="0"/>
      <w:marTop w:val="0"/>
      <w:marBottom w:val="0"/>
      <w:divBdr>
        <w:top w:val="none" w:sz="0" w:space="0" w:color="auto"/>
        <w:left w:val="none" w:sz="0" w:space="0" w:color="auto"/>
        <w:bottom w:val="none" w:sz="0" w:space="0" w:color="auto"/>
        <w:right w:val="none" w:sz="0" w:space="0" w:color="auto"/>
      </w:divBdr>
    </w:div>
    <w:div w:id="506136456">
      <w:bodyDiv w:val="1"/>
      <w:marLeft w:val="0"/>
      <w:marRight w:val="0"/>
      <w:marTop w:val="0"/>
      <w:marBottom w:val="0"/>
      <w:divBdr>
        <w:top w:val="none" w:sz="0" w:space="0" w:color="auto"/>
        <w:left w:val="none" w:sz="0" w:space="0" w:color="auto"/>
        <w:bottom w:val="none" w:sz="0" w:space="0" w:color="auto"/>
        <w:right w:val="none" w:sz="0" w:space="0" w:color="auto"/>
      </w:divBdr>
    </w:div>
    <w:div w:id="506216179">
      <w:bodyDiv w:val="1"/>
      <w:marLeft w:val="0"/>
      <w:marRight w:val="0"/>
      <w:marTop w:val="0"/>
      <w:marBottom w:val="0"/>
      <w:divBdr>
        <w:top w:val="none" w:sz="0" w:space="0" w:color="auto"/>
        <w:left w:val="none" w:sz="0" w:space="0" w:color="auto"/>
        <w:bottom w:val="none" w:sz="0" w:space="0" w:color="auto"/>
        <w:right w:val="none" w:sz="0" w:space="0" w:color="auto"/>
      </w:divBdr>
    </w:div>
    <w:div w:id="506360316">
      <w:bodyDiv w:val="1"/>
      <w:marLeft w:val="0"/>
      <w:marRight w:val="0"/>
      <w:marTop w:val="0"/>
      <w:marBottom w:val="0"/>
      <w:divBdr>
        <w:top w:val="none" w:sz="0" w:space="0" w:color="auto"/>
        <w:left w:val="none" w:sz="0" w:space="0" w:color="auto"/>
        <w:bottom w:val="none" w:sz="0" w:space="0" w:color="auto"/>
        <w:right w:val="none" w:sz="0" w:space="0" w:color="auto"/>
      </w:divBdr>
    </w:div>
    <w:div w:id="506602545">
      <w:bodyDiv w:val="1"/>
      <w:marLeft w:val="0"/>
      <w:marRight w:val="0"/>
      <w:marTop w:val="0"/>
      <w:marBottom w:val="0"/>
      <w:divBdr>
        <w:top w:val="none" w:sz="0" w:space="0" w:color="auto"/>
        <w:left w:val="none" w:sz="0" w:space="0" w:color="auto"/>
        <w:bottom w:val="none" w:sz="0" w:space="0" w:color="auto"/>
        <w:right w:val="none" w:sz="0" w:space="0" w:color="auto"/>
      </w:divBdr>
    </w:div>
    <w:div w:id="507065488">
      <w:bodyDiv w:val="1"/>
      <w:marLeft w:val="0"/>
      <w:marRight w:val="0"/>
      <w:marTop w:val="0"/>
      <w:marBottom w:val="0"/>
      <w:divBdr>
        <w:top w:val="none" w:sz="0" w:space="0" w:color="auto"/>
        <w:left w:val="none" w:sz="0" w:space="0" w:color="auto"/>
        <w:bottom w:val="none" w:sz="0" w:space="0" w:color="auto"/>
        <w:right w:val="none" w:sz="0" w:space="0" w:color="auto"/>
      </w:divBdr>
    </w:div>
    <w:div w:id="508301919">
      <w:bodyDiv w:val="1"/>
      <w:marLeft w:val="0"/>
      <w:marRight w:val="0"/>
      <w:marTop w:val="0"/>
      <w:marBottom w:val="0"/>
      <w:divBdr>
        <w:top w:val="none" w:sz="0" w:space="0" w:color="auto"/>
        <w:left w:val="none" w:sz="0" w:space="0" w:color="auto"/>
        <w:bottom w:val="none" w:sz="0" w:space="0" w:color="auto"/>
        <w:right w:val="none" w:sz="0" w:space="0" w:color="auto"/>
      </w:divBdr>
    </w:div>
    <w:div w:id="508375166">
      <w:bodyDiv w:val="1"/>
      <w:marLeft w:val="0"/>
      <w:marRight w:val="0"/>
      <w:marTop w:val="0"/>
      <w:marBottom w:val="0"/>
      <w:divBdr>
        <w:top w:val="none" w:sz="0" w:space="0" w:color="auto"/>
        <w:left w:val="none" w:sz="0" w:space="0" w:color="auto"/>
        <w:bottom w:val="none" w:sz="0" w:space="0" w:color="auto"/>
        <w:right w:val="none" w:sz="0" w:space="0" w:color="auto"/>
      </w:divBdr>
    </w:div>
    <w:div w:id="508443313">
      <w:bodyDiv w:val="1"/>
      <w:marLeft w:val="0"/>
      <w:marRight w:val="0"/>
      <w:marTop w:val="0"/>
      <w:marBottom w:val="0"/>
      <w:divBdr>
        <w:top w:val="none" w:sz="0" w:space="0" w:color="auto"/>
        <w:left w:val="none" w:sz="0" w:space="0" w:color="auto"/>
        <w:bottom w:val="none" w:sz="0" w:space="0" w:color="auto"/>
        <w:right w:val="none" w:sz="0" w:space="0" w:color="auto"/>
      </w:divBdr>
    </w:div>
    <w:div w:id="508761008">
      <w:bodyDiv w:val="1"/>
      <w:marLeft w:val="0"/>
      <w:marRight w:val="0"/>
      <w:marTop w:val="0"/>
      <w:marBottom w:val="0"/>
      <w:divBdr>
        <w:top w:val="none" w:sz="0" w:space="0" w:color="auto"/>
        <w:left w:val="none" w:sz="0" w:space="0" w:color="auto"/>
        <w:bottom w:val="none" w:sz="0" w:space="0" w:color="auto"/>
        <w:right w:val="none" w:sz="0" w:space="0" w:color="auto"/>
      </w:divBdr>
    </w:div>
    <w:div w:id="508907998">
      <w:bodyDiv w:val="1"/>
      <w:marLeft w:val="0"/>
      <w:marRight w:val="0"/>
      <w:marTop w:val="0"/>
      <w:marBottom w:val="0"/>
      <w:divBdr>
        <w:top w:val="none" w:sz="0" w:space="0" w:color="auto"/>
        <w:left w:val="none" w:sz="0" w:space="0" w:color="auto"/>
        <w:bottom w:val="none" w:sz="0" w:space="0" w:color="auto"/>
        <w:right w:val="none" w:sz="0" w:space="0" w:color="auto"/>
      </w:divBdr>
    </w:div>
    <w:div w:id="509216619">
      <w:bodyDiv w:val="1"/>
      <w:marLeft w:val="0"/>
      <w:marRight w:val="0"/>
      <w:marTop w:val="0"/>
      <w:marBottom w:val="0"/>
      <w:divBdr>
        <w:top w:val="none" w:sz="0" w:space="0" w:color="auto"/>
        <w:left w:val="none" w:sz="0" w:space="0" w:color="auto"/>
        <w:bottom w:val="none" w:sz="0" w:space="0" w:color="auto"/>
        <w:right w:val="none" w:sz="0" w:space="0" w:color="auto"/>
      </w:divBdr>
    </w:div>
    <w:div w:id="509293641">
      <w:bodyDiv w:val="1"/>
      <w:marLeft w:val="0"/>
      <w:marRight w:val="0"/>
      <w:marTop w:val="0"/>
      <w:marBottom w:val="0"/>
      <w:divBdr>
        <w:top w:val="none" w:sz="0" w:space="0" w:color="auto"/>
        <w:left w:val="none" w:sz="0" w:space="0" w:color="auto"/>
        <w:bottom w:val="none" w:sz="0" w:space="0" w:color="auto"/>
        <w:right w:val="none" w:sz="0" w:space="0" w:color="auto"/>
      </w:divBdr>
    </w:div>
    <w:div w:id="509295244">
      <w:bodyDiv w:val="1"/>
      <w:marLeft w:val="0"/>
      <w:marRight w:val="0"/>
      <w:marTop w:val="0"/>
      <w:marBottom w:val="0"/>
      <w:divBdr>
        <w:top w:val="none" w:sz="0" w:space="0" w:color="auto"/>
        <w:left w:val="none" w:sz="0" w:space="0" w:color="auto"/>
        <w:bottom w:val="none" w:sz="0" w:space="0" w:color="auto"/>
        <w:right w:val="none" w:sz="0" w:space="0" w:color="auto"/>
      </w:divBdr>
    </w:div>
    <w:div w:id="509298471">
      <w:bodyDiv w:val="1"/>
      <w:marLeft w:val="0"/>
      <w:marRight w:val="0"/>
      <w:marTop w:val="0"/>
      <w:marBottom w:val="0"/>
      <w:divBdr>
        <w:top w:val="none" w:sz="0" w:space="0" w:color="auto"/>
        <w:left w:val="none" w:sz="0" w:space="0" w:color="auto"/>
        <w:bottom w:val="none" w:sz="0" w:space="0" w:color="auto"/>
        <w:right w:val="none" w:sz="0" w:space="0" w:color="auto"/>
      </w:divBdr>
    </w:div>
    <w:div w:id="509490663">
      <w:bodyDiv w:val="1"/>
      <w:marLeft w:val="0"/>
      <w:marRight w:val="0"/>
      <w:marTop w:val="0"/>
      <w:marBottom w:val="0"/>
      <w:divBdr>
        <w:top w:val="none" w:sz="0" w:space="0" w:color="auto"/>
        <w:left w:val="none" w:sz="0" w:space="0" w:color="auto"/>
        <w:bottom w:val="none" w:sz="0" w:space="0" w:color="auto"/>
        <w:right w:val="none" w:sz="0" w:space="0" w:color="auto"/>
      </w:divBdr>
    </w:div>
    <w:div w:id="509683811">
      <w:bodyDiv w:val="1"/>
      <w:marLeft w:val="0"/>
      <w:marRight w:val="0"/>
      <w:marTop w:val="0"/>
      <w:marBottom w:val="0"/>
      <w:divBdr>
        <w:top w:val="none" w:sz="0" w:space="0" w:color="auto"/>
        <w:left w:val="none" w:sz="0" w:space="0" w:color="auto"/>
        <w:bottom w:val="none" w:sz="0" w:space="0" w:color="auto"/>
        <w:right w:val="none" w:sz="0" w:space="0" w:color="auto"/>
      </w:divBdr>
    </w:div>
    <w:div w:id="509762904">
      <w:bodyDiv w:val="1"/>
      <w:marLeft w:val="0"/>
      <w:marRight w:val="0"/>
      <w:marTop w:val="0"/>
      <w:marBottom w:val="0"/>
      <w:divBdr>
        <w:top w:val="none" w:sz="0" w:space="0" w:color="auto"/>
        <w:left w:val="none" w:sz="0" w:space="0" w:color="auto"/>
        <w:bottom w:val="none" w:sz="0" w:space="0" w:color="auto"/>
        <w:right w:val="none" w:sz="0" w:space="0" w:color="auto"/>
      </w:divBdr>
    </w:div>
    <w:div w:id="510333916">
      <w:bodyDiv w:val="1"/>
      <w:marLeft w:val="0"/>
      <w:marRight w:val="0"/>
      <w:marTop w:val="0"/>
      <w:marBottom w:val="0"/>
      <w:divBdr>
        <w:top w:val="none" w:sz="0" w:space="0" w:color="auto"/>
        <w:left w:val="none" w:sz="0" w:space="0" w:color="auto"/>
        <w:bottom w:val="none" w:sz="0" w:space="0" w:color="auto"/>
        <w:right w:val="none" w:sz="0" w:space="0" w:color="auto"/>
      </w:divBdr>
    </w:div>
    <w:div w:id="510342346">
      <w:bodyDiv w:val="1"/>
      <w:marLeft w:val="0"/>
      <w:marRight w:val="0"/>
      <w:marTop w:val="0"/>
      <w:marBottom w:val="0"/>
      <w:divBdr>
        <w:top w:val="none" w:sz="0" w:space="0" w:color="auto"/>
        <w:left w:val="none" w:sz="0" w:space="0" w:color="auto"/>
        <w:bottom w:val="none" w:sz="0" w:space="0" w:color="auto"/>
        <w:right w:val="none" w:sz="0" w:space="0" w:color="auto"/>
      </w:divBdr>
    </w:div>
    <w:div w:id="510998697">
      <w:bodyDiv w:val="1"/>
      <w:marLeft w:val="0"/>
      <w:marRight w:val="0"/>
      <w:marTop w:val="0"/>
      <w:marBottom w:val="0"/>
      <w:divBdr>
        <w:top w:val="none" w:sz="0" w:space="0" w:color="auto"/>
        <w:left w:val="none" w:sz="0" w:space="0" w:color="auto"/>
        <w:bottom w:val="none" w:sz="0" w:space="0" w:color="auto"/>
        <w:right w:val="none" w:sz="0" w:space="0" w:color="auto"/>
      </w:divBdr>
    </w:div>
    <w:div w:id="511263770">
      <w:bodyDiv w:val="1"/>
      <w:marLeft w:val="0"/>
      <w:marRight w:val="0"/>
      <w:marTop w:val="0"/>
      <w:marBottom w:val="0"/>
      <w:divBdr>
        <w:top w:val="none" w:sz="0" w:space="0" w:color="auto"/>
        <w:left w:val="none" w:sz="0" w:space="0" w:color="auto"/>
        <w:bottom w:val="none" w:sz="0" w:space="0" w:color="auto"/>
        <w:right w:val="none" w:sz="0" w:space="0" w:color="auto"/>
      </w:divBdr>
    </w:div>
    <w:div w:id="511922577">
      <w:bodyDiv w:val="1"/>
      <w:marLeft w:val="0"/>
      <w:marRight w:val="0"/>
      <w:marTop w:val="0"/>
      <w:marBottom w:val="0"/>
      <w:divBdr>
        <w:top w:val="none" w:sz="0" w:space="0" w:color="auto"/>
        <w:left w:val="none" w:sz="0" w:space="0" w:color="auto"/>
        <w:bottom w:val="none" w:sz="0" w:space="0" w:color="auto"/>
        <w:right w:val="none" w:sz="0" w:space="0" w:color="auto"/>
      </w:divBdr>
    </w:div>
    <w:div w:id="512233844">
      <w:bodyDiv w:val="1"/>
      <w:marLeft w:val="0"/>
      <w:marRight w:val="0"/>
      <w:marTop w:val="0"/>
      <w:marBottom w:val="0"/>
      <w:divBdr>
        <w:top w:val="none" w:sz="0" w:space="0" w:color="auto"/>
        <w:left w:val="none" w:sz="0" w:space="0" w:color="auto"/>
        <w:bottom w:val="none" w:sz="0" w:space="0" w:color="auto"/>
        <w:right w:val="none" w:sz="0" w:space="0" w:color="auto"/>
      </w:divBdr>
    </w:div>
    <w:div w:id="512959905">
      <w:bodyDiv w:val="1"/>
      <w:marLeft w:val="0"/>
      <w:marRight w:val="0"/>
      <w:marTop w:val="0"/>
      <w:marBottom w:val="0"/>
      <w:divBdr>
        <w:top w:val="none" w:sz="0" w:space="0" w:color="auto"/>
        <w:left w:val="none" w:sz="0" w:space="0" w:color="auto"/>
        <w:bottom w:val="none" w:sz="0" w:space="0" w:color="auto"/>
        <w:right w:val="none" w:sz="0" w:space="0" w:color="auto"/>
      </w:divBdr>
    </w:div>
    <w:div w:id="513687602">
      <w:bodyDiv w:val="1"/>
      <w:marLeft w:val="0"/>
      <w:marRight w:val="0"/>
      <w:marTop w:val="0"/>
      <w:marBottom w:val="0"/>
      <w:divBdr>
        <w:top w:val="none" w:sz="0" w:space="0" w:color="auto"/>
        <w:left w:val="none" w:sz="0" w:space="0" w:color="auto"/>
        <w:bottom w:val="none" w:sz="0" w:space="0" w:color="auto"/>
        <w:right w:val="none" w:sz="0" w:space="0" w:color="auto"/>
      </w:divBdr>
    </w:div>
    <w:div w:id="513962227">
      <w:bodyDiv w:val="1"/>
      <w:marLeft w:val="0"/>
      <w:marRight w:val="0"/>
      <w:marTop w:val="0"/>
      <w:marBottom w:val="0"/>
      <w:divBdr>
        <w:top w:val="none" w:sz="0" w:space="0" w:color="auto"/>
        <w:left w:val="none" w:sz="0" w:space="0" w:color="auto"/>
        <w:bottom w:val="none" w:sz="0" w:space="0" w:color="auto"/>
        <w:right w:val="none" w:sz="0" w:space="0" w:color="auto"/>
      </w:divBdr>
    </w:div>
    <w:div w:id="514346952">
      <w:bodyDiv w:val="1"/>
      <w:marLeft w:val="0"/>
      <w:marRight w:val="0"/>
      <w:marTop w:val="0"/>
      <w:marBottom w:val="0"/>
      <w:divBdr>
        <w:top w:val="none" w:sz="0" w:space="0" w:color="auto"/>
        <w:left w:val="none" w:sz="0" w:space="0" w:color="auto"/>
        <w:bottom w:val="none" w:sz="0" w:space="0" w:color="auto"/>
        <w:right w:val="none" w:sz="0" w:space="0" w:color="auto"/>
      </w:divBdr>
    </w:div>
    <w:div w:id="514732265">
      <w:bodyDiv w:val="1"/>
      <w:marLeft w:val="0"/>
      <w:marRight w:val="0"/>
      <w:marTop w:val="0"/>
      <w:marBottom w:val="0"/>
      <w:divBdr>
        <w:top w:val="none" w:sz="0" w:space="0" w:color="auto"/>
        <w:left w:val="none" w:sz="0" w:space="0" w:color="auto"/>
        <w:bottom w:val="none" w:sz="0" w:space="0" w:color="auto"/>
        <w:right w:val="none" w:sz="0" w:space="0" w:color="auto"/>
      </w:divBdr>
    </w:div>
    <w:div w:id="515268837">
      <w:bodyDiv w:val="1"/>
      <w:marLeft w:val="0"/>
      <w:marRight w:val="0"/>
      <w:marTop w:val="0"/>
      <w:marBottom w:val="0"/>
      <w:divBdr>
        <w:top w:val="none" w:sz="0" w:space="0" w:color="auto"/>
        <w:left w:val="none" w:sz="0" w:space="0" w:color="auto"/>
        <w:bottom w:val="none" w:sz="0" w:space="0" w:color="auto"/>
        <w:right w:val="none" w:sz="0" w:space="0" w:color="auto"/>
      </w:divBdr>
    </w:div>
    <w:div w:id="515460490">
      <w:bodyDiv w:val="1"/>
      <w:marLeft w:val="0"/>
      <w:marRight w:val="0"/>
      <w:marTop w:val="0"/>
      <w:marBottom w:val="0"/>
      <w:divBdr>
        <w:top w:val="none" w:sz="0" w:space="0" w:color="auto"/>
        <w:left w:val="none" w:sz="0" w:space="0" w:color="auto"/>
        <w:bottom w:val="none" w:sz="0" w:space="0" w:color="auto"/>
        <w:right w:val="none" w:sz="0" w:space="0" w:color="auto"/>
      </w:divBdr>
    </w:div>
    <w:div w:id="515533760">
      <w:bodyDiv w:val="1"/>
      <w:marLeft w:val="0"/>
      <w:marRight w:val="0"/>
      <w:marTop w:val="0"/>
      <w:marBottom w:val="0"/>
      <w:divBdr>
        <w:top w:val="none" w:sz="0" w:space="0" w:color="auto"/>
        <w:left w:val="none" w:sz="0" w:space="0" w:color="auto"/>
        <w:bottom w:val="none" w:sz="0" w:space="0" w:color="auto"/>
        <w:right w:val="none" w:sz="0" w:space="0" w:color="auto"/>
      </w:divBdr>
    </w:div>
    <w:div w:id="516695268">
      <w:bodyDiv w:val="1"/>
      <w:marLeft w:val="0"/>
      <w:marRight w:val="0"/>
      <w:marTop w:val="0"/>
      <w:marBottom w:val="0"/>
      <w:divBdr>
        <w:top w:val="none" w:sz="0" w:space="0" w:color="auto"/>
        <w:left w:val="none" w:sz="0" w:space="0" w:color="auto"/>
        <w:bottom w:val="none" w:sz="0" w:space="0" w:color="auto"/>
        <w:right w:val="none" w:sz="0" w:space="0" w:color="auto"/>
      </w:divBdr>
    </w:div>
    <w:div w:id="517037216">
      <w:bodyDiv w:val="1"/>
      <w:marLeft w:val="0"/>
      <w:marRight w:val="0"/>
      <w:marTop w:val="0"/>
      <w:marBottom w:val="0"/>
      <w:divBdr>
        <w:top w:val="none" w:sz="0" w:space="0" w:color="auto"/>
        <w:left w:val="none" w:sz="0" w:space="0" w:color="auto"/>
        <w:bottom w:val="none" w:sz="0" w:space="0" w:color="auto"/>
        <w:right w:val="none" w:sz="0" w:space="0" w:color="auto"/>
      </w:divBdr>
    </w:div>
    <w:div w:id="517085734">
      <w:bodyDiv w:val="1"/>
      <w:marLeft w:val="0"/>
      <w:marRight w:val="0"/>
      <w:marTop w:val="0"/>
      <w:marBottom w:val="0"/>
      <w:divBdr>
        <w:top w:val="none" w:sz="0" w:space="0" w:color="auto"/>
        <w:left w:val="none" w:sz="0" w:space="0" w:color="auto"/>
        <w:bottom w:val="none" w:sz="0" w:space="0" w:color="auto"/>
        <w:right w:val="none" w:sz="0" w:space="0" w:color="auto"/>
      </w:divBdr>
    </w:div>
    <w:div w:id="517357432">
      <w:bodyDiv w:val="1"/>
      <w:marLeft w:val="0"/>
      <w:marRight w:val="0"/>
      <w:marTop w:val="0"/>
      <w:marBottom w:val="0"/>
      <w:divBdr>
        <w:top w:val="none" w:sz="0" w:space="0" w:color="auto"/>
        <w:left w:val="none" w:sz="0" w:space="0" w:color="auto"/>
        <w:bottom w:val="none" w:sz="0" w:space="0" w:color="auto"/>
        <w:right w:val="none" w:sz="0" w:space="0" w:color="auto"/>
      </w:divBdr>
    </w:div>
    <w:div w:id="517814109">
      <w:bodyDiv w:val="1"/>
      <w:marLeft w:val="0"/>
      <w:marRight w:val="0"/>
      <w:marTop w:val="0"/>
      <w:marBottom w:val="0"/>
      <w:divBdr>
        <w:top w:val="none" w:sz="0" w:space="0" w:color="auto"/>
        <w:left w:val="none" w:sz="0" w:space="0" w:color="auto"/>
        <w:bottom w:val="none" w:sz="0" w:space="0" w:color="auto"/>
        <w:right w:val="none" w:sz="0" w:space="0" w:color="auto"/>
      </w:divBdr>
    </w:div>
    <w:div w:id="518549512">
      <w:bodyDiv w:val="1"/>
      <w:marLeft w:val="0"/>
      <w:marRight w:val="0"/>
      <w:marTop w:val="0"/>
      <w:marBottom w:val="0"/>
      <w:divBdr>
        <w:top w:val="none" w:sz="0" w:space="0" w:color="auto"/>
        <w:left w:val="none" w:sz="0" w:space="0" w:color="auto"/>
        <w:bottom w:val="none" w:sz="0" w:space="0" w:color="auto"/>
        <w:right w:val="none" w:sz="0" w:space="0" w:color="auto"/>
      </w:divBdr>
    </w:div>
    <w:div w:id="518812526">
      <w:bodyDiv w:val="1"/>
      <w:marLeft w:val="0"/>
      <w:marRight w:val="0"/>
      <w:marTop w:val="0"/>
      <w:marBottom w:val="0"/>
      <w:divBdr>
        <w:top w:val="none" w:sz="0" w:space="0" w:color="auto"/>
        <w:left w:val="none" w:sz="0" w:space="0" w:color="auto"/>
        <w:bottom w:val="none" w:sz="0" w:space="0" w:color="auto"/>
        <w:right w:val="none" w:sz="0" w:space="0" w:color="auto"/>
      </w:divBdr>
    </w:div>
    <w:div w:id="518853583">
      <w:bodyDiv w:val="1"/>
      <w:marLeft w:val="0"/>
      <w:marRight w:val="0"/>
      <w:marTop w:val="0"/>
      <w:marBottom w:val="0"/>
      <w:divBdr>
        <w:top w:val="none" w:sz="0" w:space="0" w:color="auto"/>
        <w:left w:val="none" w:sz="0" w:space="0" w:color="auto"/>
        <w:bottom w:val="none" w:sz="0" w:space="0" w:color="auto"/>
        <w:right w:val="none" w:sz="0" w:space="0" w:color="auto"/>
      </w:divBdr>
    </w:div>
    <w:div w:id="518854127">
      <w:bodyDiv w:val="1"/>
      <w:marLeft w:val="0"/>
      <w:marRight w:val="0"/>
      <w:marTop w:val="0"/>
      <w:marBottom w:val="0"/>
      <w:divBdr>
        <w:top w:val="none" w:sz="0" w:space="0" w:color="auto"/>
        <w:left w:val="none" w:sz="0" w:space="0" w:color="auto"/>
        <w:bottom w:val="none" w:sz="0" w:space="0" w:color="auto"/>
        <w:right w:val="none" w:sz="0" w:space="0" w:color="auto"/>
      </w:divBdr>
    </w:div>
    <w:div w:id="519007053">
      <w:bodyDiv w:val="1"/>
      <w:marLeft w:val="0"/>
      <w:marRight w:val="0"/>
      <w:marTop w:val="0"/>
      <w:marBottom w:val="0"/>
      <w:divBdr>
        <w:top w:val="none" w:sz="0" w:space="0" w:color="auto"/>
        <w:left w:val="none" w:sz="0" w:space="0" w:color="auto"/>
        <w:bottom w:val="none" w:sz="0" w:space="0" w:color="auto"/>
        <w:right w:val="none" w:sz="0" w:space="0" w:color="auto"/>
      </w:divBdr>
    </w:div>
    <w:div w:id="519391712">
      <w:bodyDiv w:val="1"/>
      <w:marLeft w:val="0"/>
      <w:marRight w:val="0"/>
      <w:marTop w:val="0"/>
      <w:marBottom w:val="0"/>
      <w:divBdr>
        <w:top w:val="none" w:sz="0" w:space="0" w:color="auto"/>
        <w:left w:val="none" w:sz="0" w:space="0" w:color="auto"/>
        <w:bottom w:val="none" w:sz="0" w:space="0" w:color="auto"/>
        <w:right w:val="none" w:sz="0" w:space="0" w:color="auto"/>
      </w:divBdr>
    </w:div>
    <w:div w:id="519470047">
      <w:bodyDiv w:val="1"/>
      <w:marLeft w:val="0"/>
      <w:marRight w:val="0"/>
      <w:marTop w:val="0"/>
      <w:marBottom w:val="0"/>
      <w:divBdr>
        <w:top w:val="none" w:sz="0" w:space="0" w:color="auto"/>
        <w:left w:val="none" w:sz="0" w:space="0" w:color="auto"/>
        <w:bottom w:val="none" w:sz="0" w:space="0" w:color="auto"/>
        <w:right w:val="none" w:sz="0" w:space="0" w:color="auto"/>
      </w:divBdr>
    </w:div>
    <w:div w:id="519710288">
      <w:bodyDiv w:val="1"/>
      <w:marLeft w:val="0"/>
      <w:marRight w:val="0"/>
      <w:marTop w:val="0"/>
      <w:marBottom w:val="0"/>
      <w:divBdr>
        <w:top w:val="none" w:sz="0" w:space="0" w:color="auto"/>
        <w:left w:val="none" w:sz="0" w:space="0" w:color="auto"/>
        <w:bottom w:val="none" w:sz="0" w:space="0" w:color="auto"/>
        <w:right w:val="none" w:sz="0" w:space="0" w:color="auto"/>
      </w:divBdr>
    </w:div>
    <w:div w:id="519853660">
      <w:bodyDiv w:val="1"/>
      <w:marLeft w:val="0"/>
      <w:marRight w:val="0"/>
      <w:marTop w:val="0"/>
      <w:marBottom w:val="0"/>
      <w:divBdr>
        <w:top w:val="none" w:sz="0" w:space="0" w:color="auto"/>
        <w:left w:val="none" w:sz="0" w:space="0" w:color="auto"/>
        <w:bottom w:val="none" w:sz="0" w:space="0" w:color="auto"/>
        <w:right w:val="none" w:sz="0" w:space="0" w:color="auto"/>
      </w:divBdr>
    </w:div>
    <w:div w:id="520048045">
      <w:bodyDiv w:val="1"/>
      <w:marLeft w:val="0"/>
      <w:marRight w:val="0"/>
      <w:marTop w:val="0"/>
      <w:marBottom w:val="0"/>
      <w:divBdr>
        <w:top w:val="none" w:sz="0" w:space="0" w:color="auto"/>
        <w:left w:val="none" w:sz="0" w:space="0" w:color="auto"/>
        <w:bottom w:val="none" w:sz="0" w:space="0" w:color="auto"/>
        <w:right w:val="none" w:sz="0" w:space="0" w:color="auto"/>
      </w:divBdr>
    </w:div>
    <w:div w:id="520049111">
      <w:bodyDiv w:val="1"/>
      <w:marLeft w:val="0"/>
      <w:marRight w:val="0"/>
      <w:marTop w:val="0"/>
      <w:marBottom w:val="0"/>
      <w:divBdr>
        <w:top w:val="none" w:sz="0" w:space="0" w:color="auto"/>
        <w:left w:val="none" w:sz="0" w:space="0" w:color="auto"/>
        <w:bottom w:val="none" w:sz="0" w:space="0" w:color="auto"/>
        <w:right w:val="none" w:sz="0" w:space="0" w:color="auto"/>
      </w:divBdr>
    </w:div>
    <w:div w:id="520435291">
      <w:bodyDiv w:val="1"/>
      <w:marLeft w:val="0"/>
      <w:marRight w:val="0"/>
      <w:marTop w:val="0"/>
      <w:marBottom w:val="0"/>
      <w:divBdr>
        <w:top w:val="none" w:sz="0" w:space="0" w:color="auto"/>
        <w:left w:val="none" w:sz="0" w:space="0" w:color="auto"/>
        <w:bottom w:val="none" w:sz="0" w:space="0" w:color="auto"/>
        <w:right w:val="none" w:sz="0" w:space="0" w:color="auto"/>
      </w:divBdr>
    </w:div>
    <w:div w:id="520508913">
      <w:bodyDiv w:val="1"/>
      <w:marLeft w:val="0"/>
      <w:marRight w:val="0"/>
      <w:marTop w:val="0"/>
      <w:marBottom w:val="0"/>
      <w:divBdr>
        <w:top w:val="none" w:sz="0" w:space="0" w:color="auto"/>
        <w:left w:val="none" w:sz="0" w:space="0" w:color="auto"/>
        <w:bottom w:val="none" w:sz="0" w:space="0" w:color="auto"/>
        <w:right w:val="none" w:sz="0" w:space="0" w:color="auto"/>
      </w:divBdr>
    </w:div>
    <w:div w:id="520510538">
      <w:bodyDiv w:val="1"/>
      <w:marLeft w:val="0"/>
      <w:marRight w:val="0"/>
      <w:marTop w:val="0"/>
      <w:marBottom w:val="0"/>
      <w:divBdr>
        <w:top w:val="none" w:sz="0" w:space="0" w:color="auto"/>
        <w:left w:val="none" w:sz="0" w:space="0" w:color="auto"/>
        <w:bottom w:val="none" w:sz="0" w:space="0" w:color="auto"/>
        <w:right w:val="none" w:sz="0" w:space="0" w:color="auto"/>
      </w:divBdr>
    </w:div>
    <w:div w:id="521093839">
      <w:bodyDiv w:val="1"/>
      <w:marLeft w:val="0"/>
      <w:marRight w:val="0"/>
      <w:marTop w:val="0"/>
      <w:marBottom w:val="0"/>
      <w:divBdr>
        <w:top w:val="none" w:sz="0" w:space="0" w:color="auto"/>
        <w:left w:val="none" w:sz="0" w:space="0" w:color="auto"/>
        <w:bottom w:val="none" w:sz="0" w:space="0" w:color="auto"/>
        <w:right w:val="none" w:sz="0" w:space="0" w:color="auto"/>
      </w:divBdr>
    </w:div>
    <w:div w:id="521478752">
      <w:bodyDiv w:val="1"/>
      <w:marLeft w:val="0"/>
      <w:marRight w:val="0"/>
      <w:marTop w:val="0"/>
      <w:marBottom w:val="0"/>
      <w:divBdr>
        <w:top w:val="none" w:sz="0" w:space="0" w:color="auto"/>
        <w:left w:val="none" w:sz="0" w:space="0" w:color="auto"/>
        <w:bottom w:val="none" w:sz="0" w:space="0" w:color="auto"/>
        <w:right w:val="none" w:sz="0" w:space="0" w:color="auto"/>
      </w:divBdr>
    </w:div>
    <w:div w:id="521628526">
      <w:bodyDiv w:val="1"/>
      <w:marLeft w:val="0"/>
      <w:marRight w:val="0"/>
      <w:marTop w:val="0"/>
      <w:marBottom w:val="0"/>
      <w:divBdr>
        <w:top w:val="none" w:sz="0" w:space="0" w:color="auto"/>
        <w:left w:val="none" w:sz="0" w:space="0" w:color="auto"/>
        <w:bottom w:val="none" w:sz="0" w:space="0" w:color="auto"/>
        <w:right w:val="none" w:sz="0" w:space="0" w:color="auto"/>
      </w:divBdr>
    </w:div>
    <w:div w:id="521819445">
      <w:bodyDiv w:val="1"/>
      <w:marLeft w:val="0"/>
      <w:marRight w:val="0"/>
      <w:marTop w:val="0"/>
      <w:marBottom w:val="0"/>
      <w:divBdr>
        <w:top w:val="none" w:sz="0" w:space="0" w:color="auto"/>
        <w:left w:val="none" w:sz="0" w:space="0" w:color="auto"/>
        <w:bottom w:val="none" w:sz="0" w:space="0" w:color="auto"/>
        <w:right w:val="none" w:sz="0" w:space="0" w:color="auto"/>
      </w:divBdr>
    </w:div>
    <w:div w:id="522088123">
      <w:bodyDiv w:val="1"/>
      <w:marLeft w:val="0"/>
      <w:marRight w:val="0"/>
      <w:marTop w:val="0"/>
      <w:marBottom w:val="0"/>
      <w:divBdr>
        <w:top w:val="none" w:sz="0" w:space="0" w:color="auto"/>
        <w:left w:val="none" w:sz="0" w:space="0" w:color="auto"/>
        <w:bottom w:val="none" w:sz="0" w:space="0" w:color="auto"/>
        <w:right w:val="none" w:sz="0" w:space="0" w:color="auto"/>
      </w:divBdr>
    </w:div>
    <w:div w:id="522673055">
      <w:bodyDiv w:val="1"/>
      <w:marLeft w:val="0"/>
      <w:marRight w:val="0"/>
      <w:marTop w:val="0"/>
      <w:marBottom w:val="0"/>
      <w:divBdr>
        <w:top w:val="none" w:sz="0" w:space="0" w:color="auto"/>
        <w:left w:val="none" w:sz="0" w:space="0" w:color="auto"/>
        <w:bottom w:val="none" w:sz="0" w:space="0" w:color="auto"/>
        <w:right w:val="none" w:sz="0" w:space="0" w:color="auto"/>
      </w:divBdr>
    </w:div>
    <w:div w:id="523598532">
      <w:bodyDiv w:val="1"/>
      <w:marLeft w:val="0"/>
      <w:marRight w:val="0"/>
      <w:marTop w:val="0"/>
      <w:marBottom w:val="0"/>
      <w:divBdr>
        <w:top w:val="none" w:sz="0" w:space="0" w:color="auto"/>
        <w:left w:val="none" w:sz="0" w:space="0" w:color="auto"/>
        <w:bottom w:val="none" w:sz="0" w:space="0" w:color="auto"/>
        <w:right w:val="none" w:sz="0" w:space="0" w:color="auto"/>
      </w:divBdr>
    </w:div>
    <w:div w:id="523784428">
      <w:bodyDiv w:val="1"/>
      <w:marLeft w:val="0"/>
      <w:marRight w:val="0"/>
      <w:marTop w:val="0"/>
      <w:marBottom w:val="0"/>
      <w:divBdr>
        <w:top w:val="none" w:sz="0" w:space="0" w:color="auto"/>
        <w:left w:val="none" w:sz="0" w:space="0" w:color="auto"/>
        <w:bottom w:val="none" w:sz="0" w:space="0" w:color="auto"/>
        <w:right w:val="none" w:sz="0" w:space="0" w:color="auto"/>
      </w:divBdr>
    </w:div>
    <w:div w:id="523832337">
      <w:bodyDiv w:val="1"/>
      <w:marLeft w:val="0"/>
      <w:marRight w:val="0"/>
      <w:marTop w:val="0"/>
      <w:marBottom w:val="0"/>
      <w:divBdr>
        <w:top w:val="none" w:sz="0" w:space="0" w:color="auto"/>
        <w:left w:val="none" w:sz="0" w:space="0" w:color="auto"/>
        <w:bottom w:val="none" w:sz="0" w:space="0" w:color="auto"/>
        <w:right w:val="none" w:sz="0" w:space="0" w:color="auto"/>
      </w:divBdr>
    </w:div>
    <w:div w:id="523903226">
      <w:bodyDiv w:val="1"/>
      <w:marLeft w:val="0"/>
      <w:marRight w:val="0"/>
      <w:marTop w:val="0"/>
      <w:marBottom w:val="0"/>
      <w:divBdr>
        <w:top w:val="none" w:sz="0" w:space="0" w:color="auto"/>
        <w:left w:val="none" w:sz="0" w:space="0" w:color="auto"/>
        <w:bottom w:val="none" w:sz="0" w:space="0" w:color="auto"/>
        <w:right w:val="none" w:sz="0" w:space="0" w:color="auto"/>
      </w:divBdr>
    </w:div>
    <w:div w:id="523906088">
      <w:bodyDiv w:val="1"/>
      <w:marLeft w:val="0"/>
      <w:marRight w:val="0"/>
      <w:marTop w:val="0"/>
      <w:marBottom w:val="0"/>
      <w:divBdr>
        <w:top w:val="none" w:sz="0" w:space="0" w:color="auto"/>
        <w:left w:val="none" w:sz="0" w:space="0" w:color="auto"/>
        <w:bottom w:val="none" w:sz="0" w:space="0" w:color="auto"/>
        <w:right w:val="none" w:sz="0" w:space="0" w:color="auto"/>
      </w:divBdr>
    </w:div>
    <w:div w:id="524290489">
      <w:bodyDiv w:val="1"/>
      <w:marLeft w:val="0"/>
      <w:marRight w:val="0"/>
      <w:marTop w:val="0"/>
      <w:marBottom w:val="0"/>
      <w:divBdr>
        <w:top w:val="none" w:sz="0" w:space="0" w:color="auto"/>
        <w:left w:val="none" w:sz="0" w:space="0" w:color="auto"/>
        <w:bottom w:val="none" w:sz="0" w:space="0" w:color="auto"/>
        <w:right w:val="none" w:sz="0" w:space="0" w:color="auto"/>
      </w:divBdr>
    </w:div>
    <w:div w:id="524832249">
      <w:bodyDiv w:val="1"/>
      <w:marLeft w:val="0"/>
      <w:marRight w:val="0"/>
      <w:marTop w:val="0"/>
      <w:marBottom w:val="0"/>
      <w:divBdr>
        <w:top w:val="none" w:sz="0" w:space="0" w:color="auto"/>
        <w:left w:val="none" w:sz="0" w:space="0" w:color="auto"/>
        <w:bottom w:val="none" w:sz="0" w:space="0" w:color="auto"/>
        <w:right w:val="none" w:sz="0" w:space="0" w:color="auto"/>
      </w:divBdr>
    </w:div>
    <w:div w:id="524909300">
      <w:bodyDiv w:val="1"/>
      <w:marLeft w:val="0"/>
      <w:marRight w:val="0"/>
      <w:marTop w:val="0"/>
      <w:marBottom w:val="0"/>
      <w:divBdr>
        <w:top w:val="none" w:sz="0" w:space="0" w:color="auto"/>
        <w:left w:val="none" w:sz="0" w:space="0" w:color="auto"/>
        <w:bottom w:val="none" w:sz="0" w:space="0" w:color="auto"/>
        <w:right w:val="none" w:sz="0" w:space="0" w:color="auto"/>
      </w:divBdr>
    </w:div>
    <w:div w:id="525338231">
      <w:bodyDiv w:val="1"/>
      <w:marLeft w:val="0"/>
      <w:marRight w:val="0"/>
      <w:marTop w:val="0"/>
      <w:marBottom w:val="0"/>
      <w:divBdr>
        <w:top w:val="none" w:sz="0" w:space="0" w:color="auto"/>
        <w:left w:val="none" w:sz="0" w:space="0" w:color="auto"/>
        <w:bottom w:val="none" w:sz="0" w:space="0" w:color="auto"/>
        <w:right w:val="none" w:sz="0" w:space="0" w:color="auto"/>
      </w:divBdr>
    </w:div>
    <w:div w:id="525414025">
      <w:bodyDiv w:val="1"/>
      <w:marLeft w:val="0"/>
      <w:marRight w:val="0"/>
      <w:marTop w:val="0"/>
      <w:marBottom w:val="0"/>
      <w:divBdr>
        <w:top w:val="none" w:sz="0" w:space="0" w:color="auto"/>
        <w:left w:val="none" w:sz="0" w:space="0" w:color="auto"/>
        <w:bottom w:val="none" w:sz="0" w:space="0" w:color="auto"/>
        <w:right w:val="none" w:sz="0" w:space="0" w:color="auto"/>
      </w:divBdr>
    </w:div>
    <w:div w:id="525558442">
      <w:bodyDiv w:val="1"/>
      <w:marLeft w:val="0"/>
      <w:marRight w:val="0"/>
      <w:marTop w:val="0"/>
      <w:marBottom w:val="0"/>
      <w:divBdr>
        <w:top w:val="none" w:sz="0" w:space="0" w:color="auto"/>
        <w:left w:val="none" w:sz="0" w:space="0" w:color="auto"/>
        <w:bottom w:val="none" w:sz="0" w:space="0" w:color="auto"/>
        <w:right w:val="none" w:sz="0" w:space="0" w:color="auto"/>
      </w:divBdr>
    </w:div>
    <w:div w:id="526329493">
      <w:bodyDiv w:val="1"/>
      <w:marLeft w:val="0"/>
      <w:marRight w:val="0"/>
      <w:marTop w:val="0"/>
      <w:marBottom w:val="0"/>
      <w:divBdr>
        <w:top w:val="none" w:sz="0" w:space="0" w:color="auto"/>
        <w:left w:val="none" w:sz="0" w:space="0" w:color="auto"/>
        <w:bottom w:val="none" w:sz="0" w:space="0" w:color="auto"/>
        <w:right w:val="none" w:sz="0" w:space="0" w:color="auto"/>
      </w:divBdr>
    </w:div>
    <w:div w:id="526332613">
      <w:bodyDiv w:val="1"/>
      <w:marLeft w:val="0"/>
      <w:marRight w:val="0"/>
      <w:marTop w:val="0"/>
      <w:marBottom w:val="0"/>
      <w:divBdr>
        <w:top w:val="none" w:sz="0" w:space="0" w:color="auto"/>
        <w:left w:val="none" w:sz="0" w:space="0" w:color="auto"/>
        <w:bottom w:val="none" w:sz="0" w:space="0" w:color="auto"/>
        <w:right w:val="none" w:sz="0" w:space="0" w:color="auto"/>
      </w:divBdr>
    </w:div>
    <w:div w:id="526875028">
      <w:bodyDiv w:val="1"/>
      <w:marLeft w:val="0"/>
      <w:marRight w:val="0"/>
      <w:marTop w:val="0"/>
      <w:marBottom w:val="0"/>
      <w:divBdr>
        <w:top w:val="none" w:sz="0" w:space="0" w:color="auto"/>
        <w:left w:val="none" w:sz="0" w:space="0" w:color="auto"/>
        <w:bottom w:val="none" w:sz="0" w:space="0" w:color="auto"/>
        <w:right w:val="none" w:sz="0" w:space="0" w:color="auto"/>
      </w:divBdr>
    </w:div>
    <w:div w:id="527259870">
      <w:bodyDiv w:val="1"/>
      <w:marLeft w:val="0"/>
      <w:marRight w:val="0"/>
      <w:marTop w:val="0"/>
      <w:marBottom w:val="0"/>
      <w:divBdr>
        <w:top w:val="none" w:sz="0" w:space="0" w:color="auto"/>
        <w:left w:val="none" w:sz="0" w:space="0" w:color="auto"/>
        <w:bottom w:val="none" w:sz="0" w:space="0" w:color="auto"/>
        <w:right w:val="none" w:sz="0" w:space="0" w:color="auto"/>
      </w:divBdr>
    </w:div>
    <w:div w:id="527446063">
      <w:bodyDiv w:val="1"/>
      <w:marLeft w:val="0"/>
      <w:marRight w:val="0"/>
      <w:marTop w:val="0"/>
      <w:marBottom w:val="0"/>
      <w:divBdr>
        <w:top w:val="none" w:sz="0" w:space="0" w:color="auto"/>
        <w:left w:val="none" w:sz="0" w:space="0" w:color="auto"/>
        <w:bottom w:val="none" w:sz="0" w:space="0" w:color="auto"/>
        <w:right w:val="none" w:sz="0" w:space="0" w:color="auto"/>
      </w:divBdr>
    </w:div>
    <w:div w:id="527446231">
      <w:bodyDiv w:val="1"/>
      <w:marLeft w:val="0"/>
      <w:marRight w:val="0"/>
      <w:marTop w:val="0"/>
      <w:marBottom w:val="0"/>
      <w:divBdr>
        <w:top w:val="none" w:sz="0" w:space="0" w:color="auto"/>
        <w:left w:val="none" w:sz="0" w:space="0" w:color="auto"/>
        <w:bottom w:val="none" w:sz="0" w:space="0" w:color="auto"/>
        <w:right w:val="none" w:sz="0" w:space="0" w:color="auto"/>
      </w:divBdr>
    </w:div>
    <w:div w:id="527597296">
      <w:bodyDiv w:val="1"/>
      <w:marLeft w:val="0"/>
      <w:marRight w:val="0"/>
      <w:marTop w:val="0"/>
      <w:marBottom w:val="0"/>
      <w:divBdr>
        <w:top w:val="none" w:sz="0" w:space="0" w:color="auto"/>
        <w:left w:val="none" w:sz="0" w:space="0" w:color="auto"/>
        <w:bottom w:val="none" w:sz="0" w:space="0" w:color="auto"/>
        <w:right w:val="none" w:sz="0" w:space="0" w:color="auto"/>
      </w:divBdr>
    </w:div>
    <w:div w:id="527958117">
      <w:bodyDiv w:val="1"/>
      <w:marLeft w:val="0"/>
      <w:marRight w:val="0"/>
      <w:marTop w:val="0"/>
      <w:marBottom w:val="0"/>
      <w:divBdr>
        <w:top w:val="none" w:sz="0" w:space="0" w:color="auto"/>
        <w:left w:val="none" w:sz="0" w:space="0" w:color="auto"/>
        <w:bottom w:val="none" w:sz="0" w:space="0" w:color="auto"/>
        <w:right w:val="none" w:sz="0" w:space="0" w:color="auto"/>
      </w:divBdr>
    </w:div>
    <w:div w:id="528179050">
      <w:bodyDiv w:val="1"/>
      <w:marLeft w:val="0"/>
      <w:marRight w:val="0"/>
      <w:marTop w:val="0"/>
      <w:marBottom w:val="0"/>
      <w:divBdr>
        <w:top w:val="none" w:sz="0" w:space="0" w:color="auto"/>
        <w:left w:val="none" w:sz="0" w:space="0" w:color="auto"/>
        <w:bottom w:val="none" w:sz="0" w:space="0" w:color="auto"/>
        <w:right w:val="none" w:sz="0" w:space="0" w:color="auto"/>
      </w:divBdr>
    </w:div>
    <w:div w:id="528491967">
      <w:bodyDiv w:val="1"/>
      <w:marLeft w:val="0"/>
      <w:marRight w:val="0"/>
      <w:marTop w:val="0"/>
      <w:marBottom w:val="0"/>
      <w:divBdr>
        <w:top w:val="none" w:sz="0" w:space="0" w:color="auto"/>
        <w:left w:val="none" w:sz="0" w:space="0" w:color="auto"/>
        <w:bottom w:val="none" w:sz="0" w:space="0" w:color="auto"/>
        <w:right w:val="none" w:sz="0" w:space="0" w:color="auto"/>
      </w:divBdr>
    </w:div>
    <w:div w:id="529538064">
      <w:bodyDiv w:val="1"/>
      <w:marLeft w:val="0"/>
      <w:marRight w:val="0"/>
      <w:marTop w:val="0"/>
      <w:marBottom w:val="0"/>
      <w:divBdr>
        <w:top w:val="none" w:sz="0" w:space="0" w:color="auto"/>
        <w:left w:val="none" w:sz="0" w:space="0" w:color="auto"/>
        <w:bottom w:val="none" w:sz="0" w:space="0" w:color="auto"/>
        <w:right w:val="none" w:sz="0" w:space="0" w:color="auto"/>
      </w:divBdr>
    </w:div>
    <w:div w:id="530074831">
      <w:bodyDiv w:val="1"/>
      <w:marLeft w:val="0"/>
      <w:marRight w:val="0"/>
      <w:marTop w:val="0"/>
      <w:marBottom w:val="0"/>
      <w:divBdr>
        <w:top w:val="none" w:sz="0" w:space="0" w:color="auto"/>
        <w:left w:val="none" w:sz="0" w:space="0" w:color="auto"/>
        <w:bottom w:val="none" w:sz="0" w:space="0" w:color="auto"/>
        <w:right w:val="none" w:sz="0" w:space="0" w:color="auto"/>
      </w:divBdr>
    </w:div>
    <w:div w:id="530533462">
      <w:bodyDiv w:val="1"/>
      <w:marLeft w:val="0"/>
      <w:marRight w:val="0"/>
      <w:marTop w:val="0"/>
      <w:marBottom w:val="0"/>
      <w:divBdr>
        <w:top w:val="none" w:sz="0" w:space="0" w:color="auto"/>
        <w:left w:val="none" w:sz="0" w:space="0" w:color="auto"/>
        <w:bottom w:val="none" w:sz="0" w:space="0" w:color="auto"/>
        <w:right w:val="none" w:sz="0" w:space="0" w:color="auto"/>
      </w:divBdr>
    </w:div>
    <w:div w:id="530726442">
      <w:bodyDiv w:val="1"/>
      <w:marLeft w:val="0"/>
      <w:marRight w:val="0"/>
      <w:marTop w:val="0"/>
      <w:marBottom w:val="0"/>
      <w:divBdr>
        <w:top w:val="none" w:sz="0" w:space="0" w:color="auto"/>
        <w:left w:val="none" w:sz="0" w:space="0" w:color="auto"/>
        <w:bottom w:val="none" w:sz="0" w:space="0" w:color="auto"/>
        <w:right w:val="none" w:sz="0" w:space="0" w:color="auto"/>
      </w:divBdr>
    </w:div>
    <w:div w:id="531770577">
      <w:bodyDiv w:val="1"/>
      <w:marLeft w:val="0"/>
      <w:marRight w:val="0"/>
      <w:marTop w:val="0"/>
      <w:marBottom w:val="0"/>
      <w:divBdr>
        <w:top w:val="none" w:sz="0" w:space="0" w:color="auto"/>
        <w:left w:val="none" w:sz="0" w:space="0" w:color="auto"/>
        <w:bottom w:val="none" w:sz="0" w:space="0" w:color="auto"/>
        <w:right w:val="none" w:sz="0" w:space="0" w:color="auto"/>
      </w:divBdr>
    </w:div>
    <w:div w:id="531959238">
      <w:bodyDiv w:val="1"/>
      <w:marLeft w:val="0"/>
      <w:marRight w:val="0"/>
      <w:marTop w:val="0"/>
      <w:marBottom w:val="0"/>
      <w:divBdr>
        <w:top w:val="none" w:sz="0" w:space="0" w:color="auto"/>
        <w:left w:val="none" w:sz="0" w:space="0" w:color="auto"/>
        <w:bottom w:val="none" w:sz="0" w:space="0" w:color="auto"/>
        <w:right w:val="none" w:sz="0" w:space="0" w:color="auto"/>
      </w:divBdr>
    </w:div>
    <w:div w:id="532115359">
      <w:bodyDiv w:val="1"/>
      <w:marLeft w:val="0"/>
      <w:marRight w:val="0"/>
      <w:marTop w:val="0"/>
      <w:marBottom w:val="0"/>
      <w:divBdr>
        <w:top w:val="none" w:sz="0" w:space="0" w:color="auto"/>
        <w:left w:val="none" w:sz="0" w:space="0" w:color="auto"/>
        <w:bottom w:val="none" w:sz="0" w:space="0" w:color="auto"/>
        <w:right w:val="none" w:sz="0" w:space="0" w:color="auto"/>
      </w:divBdr>
    </w:div>
    <w:div w:id="532770153">
      <w:bodyDiv w:val="1"/>
      <w:marLeft w:val="0"/>
      <w:marRight w:val="0"/>
      <w:marTop w:val="0"/>
      <w:marBottom w:val="0"/>
      <w:divBdr>
        <w:top w:val="none" w:sz="0" w:space="0" w:color="auto"/>
        <w:left w:val="none" w:sz="0" w:space="0" w:color="auto"/>
        <w:bottom w:val="none" w:sz="0" w:space="0" w:color="auto"/>
        <w:right w:val="none" w:sz="0" w:space="0" w:color="auto"/>
      </w:divBdr>
    </w:div>
    <w:div w:id="533999390">
      <w:bodyDiv w:val="1"/>
      <w:marLeft w:val="0"/>
      <w:marRight w:val="0"/>
      <w:marTop w:val="0"/>
      <w:marBottom w:val="0"/>
      <w:divBdr>
        <w:top w:val="none" w:sz="0" w:space="0" w:color="auto"/>
        <w:left w:val="none" w:sz="0" w:space="0" w:color="auto"/>
        <w:bottom w:val="none" w:sz="0" w:space="0" w:color="auto"/>
        <w:right w:val="none" w:sz="0" w:space="0" w:color="auto"/>
      </w:divBdr>
    </w:div>
    <w:div w:id="534469911">
      <w:bodyDiv w:val="1"/>
      <w:marLeft w:val="0"/>
      <w:marRight w:val="0"/>
      <w:marTop w:val="0"/>
      <w:marBottom w:val="0"/>
      <w:divBdr>
        <w:top w:val="none" w:sz="0" w:space="0" w:color="auto"/>
        <w:left w:val="none" w:sz="0" w:space="0" w:color="auto"/>
        <w:bottom w:val="none" w:sz="0" w:space="0" w:color="auto"/>
        <w:right w:val="none" w:sz="0" w:space="0" w:color="auto"/>
      </w:divBdr>
    </w:div>
    <w:div w:id="535123736">
      <w:bodyDiv w:val="1"/>
      <w:marLeft w:val="0"/>
      <w:marRight w:val="0"/>
      <w:marTop w:val="0"/>
      <w:marBottom w:val="0"/>
      <w:divBdr>
        <w:top w:val="none" w:sz="0" w:space="0" w:color="auto"/>
        <w:left w:val="none" w:sz="0" w:space="0" w:color="auto"/>
        <w:bottom w:val="none" w:sz="0" w:space="0" w:color="auto"/>
        <w:right w:val="none" w:sz="0" w:space="0" w:color="auto"/>
      </w:divBdr>
    </w:div>
    <w:div w:id="535167138">
      <w:bodyDiv w:val="1"/>
      <w:marLeft w:val="0"/>
      <w:marRight w:val="0"/>
      <w:marTop w:val="0"/>
      <w:marBottom w:val="0"/>
      <w:divBdr>
        <w:top w:val="none" w:sz="0" w:space="0" w:color="auto"/>
        <w:left w:val="none" w:sz="0" w:space="0" w:color="auto"/>
        <w:bottom w:val="none" w:sz="0" w:space="0" w:color="auto"/>
        <w:right w:val="none" w:sz="0" w:space="0" w:color="auto"/>
      </w:divBdr>
    </w:div>
    <w:div w:id="535241603">
      <w:bodyDiv w:val="1"/>
      <w:marLeft w:val="0"/>
      <w:marRight w:val="0"/>
      <w:marTop w:val="0"/>
      <w:marBottom w:val="0"/>
      <w:divBdr>
        <w:top w:val="none" w:sz="0" w:space="0" w:color="auto"/>
        <w:left w:val="none" w:sz="0" w:space="0" w:color="auto"/>
        <w:bottom w:val="none" w:sz="0" w:space="0" w:color="auto"/>
        <w:right w:val="none" w:sz="0" w:space="0" w:color="auto"/>
      </w:divBdr>
    </w:div>
    <w:div w:id="535891272">
      <w:bodyDiv w:val="1"/>
      <w:marLeft w:val="0"/>
      <w:marRight w:val="0"/>
      <w:marTop w:val="0"/>
      <w:marBottom w:val="0"/>
      <w:divBdr>
        <w:top w:val="none" w:sz="0" w:space="0" w:color="auto"/>
        <w:left w:val="none" w:sz="0" w:space="0" w:color="auto"/>
        <w:bottom w:val="none" w:sz="0" w:space="0" w:color="auto"/>
        <w:right w:val="none" w:sz="0" w:space="0" w:color="auto"/>
      </w:divBdr>
    </w:div>
    <w:div w:id="536087277">
      <w:bodyDiv w:val="1"/>
      <w:marLeft w:val="0"/>
      <w:marRight w:val="0"/>
      <w:marTop w:val="0"/>
      <w:marBottom w:val="0"/>
      <w:divBdr>
        <w:top w:val="none" w:sz="0" w:space="0" w:color="auto"/>
        <w:left w:val="none" w:sz="0" w:space="0" w:color="auto"/>
        <w:bottom w:val="none" w:sz="0" w:space="0" w:color="auto"/>
        <w:right w:val="none" w:sz="0" w:space="0" w:color="auto"/>
      </w:divBdr>
    </w:div>
    <w:div w:id="536351281">
      <w:bodyDiv w:val="1"/>
      <w:marLeft w:val="0"/>
      <w:marRight w:val="0"/>
      <w:marTop w:val="0"/>
      <w:marBottom w:val="0"/>
      <w:divBdr>
        <w:top w:val="none" w:sz="0" w:space="0" w:color="auto"/>
        <w:left w:val="none" w:sz="0" w:space="0" w:color="auto"/>
        <w:bottom w:val="none" w:sz="0" w:space="0" w:color="auto"/>
        <w:right w:val="none" w:sz="0" w:space="0" w:color="auto"/>
      </w:divBdr>
    </w:div>
    <w:div w:id="536509244">
      <w:bodyDiv w:val="1"/>
      <w:marLeft w:val="0"/>
      <w:marRight w:val="0"/>
      <w:marTop w:val="0"/>
      <w:marBottom w:val="0"/>
      <w:divBdr>
        <w:top w:val="none" w:sz="0" w:space="0" w:color="auto"/>
        <w:left w:val="none" w:sz="0" w:space="0" w:color="auto"/>
        <w:bottom w:val="none" w:sz="0" w:space="0" w:color="auto"/>
        <w:right w:val="none" w:sz="0" w:space="0" w:color="auto"/>
      </w:divBdr>
    </w:div>
    <w:div w:id="537623837">
      <w:bodyDiv w:val="1"/>
      <w:marLeft w:val="0"/>
      <w:marRight w:val="0"/>
      <w:marTop w:val="0"/>
      <w:marBottom w:val="0"/>
      <w:divBdr>
        <w:top w:val="none" w:sz="0" w:space="0" w:color="auto"/>
        <w:left w:val="none" w:sz="0" w:space="0" w:color="auto"/>
        <w:bottom w:val="none" w:sz="0" w:space="0" w:color="auto"/>
        <w:right w:val="none" w:sz="0" w:space="0" w:color="auto"/>
      </w:divBdr>
    </w:div>
    <w:div w:id="537663875">
      <w:bodyDiv w:val="1"/>
      <w:marLeft w:val="0"/>
      <w:marRight w:val="0"/>
      <w:marTop w:val="0"/>
      <w:marBottom w:val="0"/>
      <w:divBdr>
        <w:top w:val="none" w:sz="0" w:space="0" w:color="auto"/>
        <w:left w:val="none" w:sz="0" w:space="0" w:color="auto"/>
        <w:bottom w:val="none" w:sz="0" w:space="0" w:color="auto"/>
        <w:right w:val="none" w:sz="0" w:space="0" w:color="auto"/>
      </w:divBdr>
    </w:div>
    <w:div w:id="537737197">
      <w:bodyDiv w:val="1"/>
      <w:marLeft w:val="0"/>
      <w:marRight w:val="0"/>
      <w:marTop w:val="0"/>
      <w:marBottom w:val="0"/>
      <w:divBdr>
        <w:top w:val="none" w:sz="0" w:space="0" w:color="auto"/>
        <w:left w:val="none" w:sz="0" w:space="0" w:color="auto"/>
        <w:bottom w:val="none" w:sz="0" w:space="0" w:color="auto"/>
        <w:right w:val="none" w:sz="0" w:space="0" w:color="auto"/>
      </w:divBdr>
    </w:div>
    <w:div w:id="537737707">
      <w:bodyDiv w:val="1"/>
      <w:marLeft w:val="0"/>
      <w:marRight w:val="0"/>
      <w:marTop w:val="0"/>
      <w:marBottom w:val="0"/>
      <w:divBdr>
        <w:top w:val="none" w:sz="0" w:space="0" w:color="auto"/>
        <w:left w:val="none" w:sz="0" w:space="0" w:color="auto"/>
        <w:bottom w:val="none" w:sz="0" w:space="0" w:color="auto"/>
        <w:right w:val="none" w:sz="0" w:space="0" w:color="auto"/>
      </w:divBdr>
    </w:div>
    <w:div w:id="538317792">
      <w:bodyDiv w:val="1"/>
      <w:marLeft w:val="0"/>
      <w:marRight w:val="0"/>
      <w:marTop w:val="0"/>
      <w:marBottom w:val="0"/>
      <w:divBdr>
        <w:top w:val="none" w:sz="0" w:space="0" w:color="auto"/>
        <w:left w:val="none" w:sz="0" w:space="0" w:color="auto"/>
        <w:bottom w:val="none" w:sz="0" w:space="0" w:color="auto"/>
        <w:right w:val="none" w:sz="0" w:space="0" w:color="auto"/>
      </w:divBdr>
    </w:div>
    <w:div w:id="538444130">
      <w:bodyDiv w:val="1"/>
      <w:marLeft w:val="0"/>
      <w:marRight w:val="0"/>
      <w:marTop w:val="0"/>
      <w:marBottom w:val="0"/>
      <w:divBdr>
        <w:top w:val="none" w:sz="0" w:space="0" w:color="auto"/>
        <w:left w:val="none" w:sz="0" w:space="0" w:color="auto"/>
        <w:bottom w:val="none" w:sz="0" w:space="0" w:color="auto"/>
        <w:right w:val="none" w:sz="0" w:space="0" w:color="auto"/>
      </w:divBdr>
    </w:div>
    <w:div w:id="539785468">
      <w:bodyDiv w:val="1"/>
      <w:marLeft w:val="0"/>
      <w:marRight w:val="0"/>
      <w:marTop w:val="0"/>
      <w:marBottom w:val="0"/>
      <w:divBdr>
        <w:top w:val="none" w:sz="0" w:space="0" w:color="auto"/>
        <w:left w:val="none" w:sz="0" w:space="0" w:color="auto"/>
        <w:bottom w:val="none" w:sz="0" w:space="0" w:color="auto"/>
        <w:right w:val="none" w:sz="0" w:space="0" w:color="auto"/>
      </w:divBdr>
    </w:div>
    <w:div w:id="539822987">
      <w:bodyDiv w:val="1"/>
      <w:marLeft w:val="0"/>
      <w:marRight w:val="0"/>
      <w:marTop w:val="0"/>
      <w:marBottom w:val="0"/>
      <w:divBdr>
        <w:top w:val="none" w:sz="0" w:space="0" w:color="auto"/>
        <w:left w:val="none" w:sz="0" w:space="0" w:color="auto"/>
        <w:bottom w:val="none" w:sz="0" w:space="0" w:color="auto"/>
        <w:right w:val="none" w:sz="0" w:space="0" w:color="auto"/>
      </w:divBdr>
    </w:div>
    <w:div w:id="540017261">
      <w:bodyDiv w:val="1"/>
      <w:marLeft w:val="0"/>
      <w:marRight w:val="0"/>
      <w:marTop w:val="0"/>
      <w:marBottom w:val="0"/>
      <w:divBdr>
        <w:top w:val="none" w:sz="0" w:space="0" w:color="auto"/>
        <w:left w:val="none" w:sz="0" w:space="0" w:color="auto"/>
        <w:bottom w:val="none" w:sz="0" w:space="0" w:color="auto"/>
        <w:right w:val="none" w:sz="0" w:space="0" w:color="auto"/>
      </w:divBdr>
    </w:div>
    <w:div w:id="540020304">
      <w:bodyDiv w:val="1"/>
      <w:marLeft w:val="0"/>
      <w:marRight w:val="0"/>
      <w:marTop w:val="0"/>
      <w:marBottom w:val="0"/>
      <w:divBdr>
        <w:top w:val="none" w:sz="0" w:space="0" w:color="auto"/>
        <w:left w:val="none" w:sz="0" w:space="0" w:color="auto"/>
        <w:bottom w:val="none" w:sz="0" w:space="0" w:color="auto"/>
        <w:right w:val="none" w:sz="0" w:space="0" w:color="auto"/>
      </w:divBdr>
    </w:div>
    <w:div w:id="540048157">
      <w:bodyDiv w:val="1"/>
      <w:marLeft w:val="0"/>
      <w:marRight w:val="0"/>
      <w:marTop w:val="0"/>
      <w:marBottom w:val="0"/>
      <w:divBdr>
        <w:top w:val="none" w:sz="0" w:space="0" w:color="auto"/>
        <w:left w:val="none" w:sz="0" w:space="0" w:color="auto"/>
        <w:bottom w:val="none" w:sz="0" w:space="0" w:color="auto"/>
        <w:right w:val="none" w:sz="0" w:space="0" w:color="auto"/>
      </w:divBdr>
    </w:div>
    <w:div w:id="540174071">
      <w:bodyDiv w:val="1"/>
      <w:marLeft w:val="0"/>
      <w:marRight w:val="0"/>
      <w:marTop w:val="0"/>
      <w:marBottom w:val="0"/>
      <w:divBdr>
        <w:top w:val="none" w:sz="0" w:space="0" w:color="auto"/>
        <w:left w:val="none" w:sz="0" w:space="0" w:color="auto"/>
        <w:bottom w:val="none" w:sz="0" w:space="0" w:color="auto"/>
        <w:right w:val="none" w:sz="0" w:space="0" w:color="auto"/>
      </w:divBdr>
    </w:div>
    <w:div w:id="540213530">
      <w:bodyDiv w:val="1"/>
      <w:marLeft w:val="0"/>
      <w:marRight w:val="0"/>
      <w:marTop w:val="0"/>
      <w:marBottom w:val="0"/>
      <w:divBdr>
        <w:top w:val="none" w:sz="0" w:space="0" w:color="auto"/>
        <w:left w:val="none" w:sz="0" w:space="0" w:color="auto"/>
        <w:bottom w:val="none" w:sz="0" w:space="0" w:color="auto"/>
        <w:right w:val="none" w:sz="0" w:space="0" w:color="auto"/>
      </w:divBdr>
    </w:div>
    <w:div w:id="540750796">
      <w:bodyDiv w:val="1"/>
      <w:marLeft w:val="0"/>
      <w:marRight w:val="0"/>
      <w:marTop w:val="0"/>
      <w:marBottom w:val="0"/>
      <w:divBdr>
        <w:top w:val="none" w:sz="0" w:space="0" w:color="auto"/>
        <w:left w:val="none" w:sz="0" w:space="0" w:color="auto"/>
        <w:bottom w:val="none" w:sz="0" w:space="0" w:color="auto"/>
        <w:right w:val="none" w:sz="0" w:space="0" w:color="auto"/>
      </w:divBdr>
    </w:div>
    <w:div w:id="540896055">
      <w:bodyDiv w:val="1"/>
      <w:marLeft w:val="0"/>
      <w:marRight w:val="0"/>
      <w:marTop w:val="0"/>
      <w:marBottom w:val="0"/>
      <w:divBdr>
        <w:top w:val="none" w:sz="0" w:space="0" w:color="auto"/>
        <w:left w:val="none" w:sz="0" w:space="0" w:color="auto"/>
        <w:bottom w:val="none" w:sz="0" w:space="0" w:color="auto"/>
        <w:right w:val="none" w:sz="0" w:space="0" w:color="auto"/>
      </w:divBdr>
    </w:div>
    <w:div w:id="541020967">
      <w:bodyDiv w:val="1"/>
      <w:marLeft w:val="0"/>
      <w:marRight w:val="0"/>
      <w:marTop w:val="0"/>
      <w:marBottom w:val="0"/>
      <w:divBdr>
        <w:top w:val="none" w:sz="0" w:space="0" w:color="auto"/>
        <w:left w:val="none" w:sz="0" w:space="0" w:color="auto"/>
        <w:bottom w:val="none" w:sz="0" w:space="0" w:color="auto"/>
        <w:right w:val="none" w:sz="0" w:space="0" w:color="auto"/>
      </w:divBdr>
    </w:div>
    <w:div w:id="541137792">
      <w:bodyDiv w:val="1"/>
      <w:marLeft w:val="0"/>
      <w:marRight w:val="0"/>
      <w:marTop w:val="0"/>
      <w:marBottom w:val="0"/>
      <w:divBdr>
        <w:top w:val="none" w:sz="0" w:space="0" w:color="auto"/>
        <w:left w:val="none" w:sz="0" w:space="0" w:color="auto"/>
        <w:bottom w:val="none" w:sz="0" w:space="0" w:color="auto"/>
        <w:right w:val="none" w:sz="0" w:space="0" w:color="auto"/>
      </w:divBdr>
    </w:div>
    <w:div w:id="541989198">
      <w:bodyDiv w:val="1"/>
      <w:marLeft w:val="0"/>
      <w:marRight w:val="0"/>
      <w:marTop w:val="0"/>
      <w:marBottom w:val="0"/>
      <w:divBdr>
        <w:top w:val="none" w:sz="0" w:space="0" w:color="auto"/>
        <w:left w:val="none" w:sz="0" w:space="0" w:color="auto"/>
        <w:bottom w:val="none" w:sz="0" w:space="0" w:color="auto"/>
        <w:right w:val="none" w:sz="0" w:space="0" w:color="auto"/>
      </w:divBdr>
    </w:div>
    <w:div w:id="542325614">
      <w:bodyDiv w:val="1"/>
      <w:marLeft w:val="0"/>
      <w:marRight w:val="0"/>
      <w:marTop w:val="0"/>
      <w:marBottom w:val="0"/>
      <w:divBdr>
        <w:top w:val="none" w:sz="0" w:space="0" w:color="auto"/>
        <w:left w:val="none" w:sz="0" w:space="0" w:color="auto"/>
        <w:bottom w:val="none" w:sz="0" w:space="0" w:color="auto"/>
        <w:right w:val="none" w:sz="0" w:space="0" w:color="auto"/>
      </w:divBdr>
    </w:div>
    <w:div w:id="542399305">
      <w:bodyDiv w:val="1"/>
      <w:marLeft w:val="0"/>
      <w:marRight w:val="0"/>
      <w:marTop w:val="0"/>
      <w:marBottom w:val="0"/>
      <w:divBdr>
        <w:top w:val="none" w:sz="0" w:space="0" w:color="auto"/>
        <w:left w:val="none" w:sz="0" w:space="0" w:color="auto"/>
        <w:bottom w:val="none" w:sz="0" w:space="0" w:color="auto"/>
        <w:right w:val="none" w:sz="0" w:space="0" w:color="auto"/>
      </w:divBdr>
    </w:div>
    <w:div w:id="543324903">
      <w:bodyDiv w:val="1"/>
      <w:marLeft w:val="0"/>
      <w:marRight w:val="0"/>
      <w:marTop w:val="0"/>
      <w:marBottom w:val="0"/>
      <w:divBdr>
        <w:top w:val="none" w:sz="0" w:space="0" w:color="auto"/>
        <w:left w:val="none" w:sz="0" w:space="0" w:color="auto"/>
        <w:bottom w:val="none" w:sz="0" w:space="0" w:color="auto"/>
        <w:right w:val="none" w:sz="0" w:space="0" w:color="auto"/>
      </w:divBdr>
    </w:div>
    <w:div w:id="543372579">
      <w:bodyDiv w:val="1"/>
      <w:marLeft w:val="0"/>
      <w:marRight w:val="0"/>
      <w:marTop w:val="0"/>
      <w:marBottom w:val="0"/>
      <w:divBdr>
        <w:top w:val="none" w:sz="0" w:space="0" w:color="auto"/>
        <w:left w:val="none" w:sz="0" w:space="0" w:color="auto"/>
        <w:bottom w:val="none" w:sz="0" w:space="0" w:color="auto"/>
        <w:right w:val="none" w:sz="0" w:space="0" w:color="auto"/>
      </w:divBdr>
    </w:div>
    <w:div w:id="543443348">
      <w:bodyDiv w:val="1"/>
      <w:marLeft w:val="0"/>
      <w:marRight w:val="0"/>
      <w:marTop w:val="0"/>
      <w:marBottom w:val="0"/>
      <w:divBdr>
        <w:top w:val="none" w:sz="0" w:space="0" w:color="auto"/>
        <w:left w:val="none" w:sz="0" w:space="0" w:color="auto"/>
        <w:bottom w:val="none" w:sz="0" w:space="0" w:color="auto"/>
        <w:right w:val="none" w:sz="0" w:space="0" w:color="auto"/>
      </w:divBdr>
    </w:div>
    <w:div w:id="543640973">
      <w:bodyDiv w:val="1"/>
      <w:marLeft w:val="0"/>
      <w:marRight w:val="0"/>
      <w:marTop w:val="0"/>
      <w:marBottom w:val="0"/>
      <w:divBdr>
        <w:top w:val="none" w:sz="0" w:space="0" w:color="auto"/>
        <w:left w:val="none" w:sz="0" w:space="0" w:color="auto"/>
        <w:bottom w:val="none" w:sz="0" w:space="0" w:color="auto"/>
        <w:right w:val="none" w:sz="0" w:space="0" w:color="auto"/>
      </w:divBdr>
    </w:div>
    <w:div w:id="543716194">
      <w:bodyDiv w:val="1"/>
      <w:marLeft w:val="0"/>
      <w:marRight w:val="0"/>
      <w:marTop w:val="0"/>
      <w:marBottom w:val="0"/>
      <w:divBdr>
        <w:top w:val="none" w:sz="0" w:space="0" w:color="auto"/>
        <w:left w:val="none" w:sz="0" w:space="0" w:color="auto"/>
        <w:bottom w:val="none" w:sz="0" w:space="0" w:color="auto"/>
        <w:right w:val="none" w:sz="0" w:space="0" w:color="auto"/>
      </w:divBdr>
    </w:div>
    <w:div w:id="543717446">
      <w:bodyDiv w:val="1"/>
      <w:marLeft w:val="0"/>
      <w:marRight w:val="0"/>
      <w:marTop w:val="0"/>
      <w:marBottom w:val="0"/>
      <w:divBdr>
        <w:top w:val="none" w:sz="0" w:space="0" w:color="auto"/>
        <w:left w:val="none" w:sz="0" w:space="0" w:color="auto"/>
        <w:bottom w:val="none" w:sz="0" w:space="0" w:color="auto"/>
        <w:right w:val="none" w:sz="0" w:space="0" w:color="auto"/>
      </w:divBdr>
    </w:div>
    <w:div w:id="544289859">
      <w:bodyDiv w:val="1"/>
      <w:marLeft w:val="0"/>
      <w:marRight w:val="0"/>
      <w:marTop w:val="0"/>
      <w:marBottom w:val="0"/>
      <w:divBdr>
        <w:top w:val="none" w:sz="0" w:space="0" w:color="auto"/>
        <w:left w:val="none" w:sz="0" w:space="0" w:color="auto"/>
        <w:bottom w:val="none" w:sz="0" w:space="0" w:color="auto"/>
        <w:right w:val="none" w:sz="0" w:space="0" w:color="auto"/>
      </w:divBdr>
    </w:div>
    <w:div w:id="544366175">
      <w:bodyDiv w:val="1"/>
      <w:marLeft w:val="0"/>
      <w:marRight w:val="0"/>
      <w:marTop w:val="0"/>
      <w:marBottom w:val="0"/>
      <w:divBdr>
        <w:top w:val="none" w:sz="0" w:space="0" w:color="auto"/>
        <w:left w:val="none" w:sz="0" w:space="0" w:color="auto"/>
        <w:bottom w:val="none" w:sz="0" w:space="0" w:color="auto"/>
        <w:right w:val="none" w:sz="0" w:space="0" w:color="auto"/>
      </w:divBdr>
    </w:div>
    <w:div w:id="544374583">
      <w:bodyDiv w:val="1"/>
      <w:marLeft w:val="0"/>
      <w:marRight w:val="0"/>
      <w:marTop w:val="0"/>
      <w:marBottom w:val="0"/>
      <w:divBdr>
        <w:top w:val="none" w:sz="0" w:space="0" w:color="auto"/>
        <w:left w:val="none" w:sz="0" w:space="0" w:color="auto"/>
        <w:bottom w:val="none" w:sz="0" w:space="0" w:color="auto"/>
        <w:right w:val="none" w:sz="0" w:space="0" w:color="auto"/>
      </w:divBdr>
    </w:div>
    <w:div w:id="545337953">
      <w:bodyDiv w:val="1"/>
      <w:marLeft w:val="0"/>
      <w:marRight w:val="0"/>
      <w:marTop w:val="0"/>
      <w:marBottom w:val="0"/>
      <w:divBdr>
        <w:top w:val="none" w:sz="0" w:space="0" w:color="auto"/>
        <w:left w:val="none" w:sz="0" w:space="0" w:color="auto"/>
        <w:bottom w:val="none" w:sz="0" w:space="0" w:color="auto"/>
        <w:right w:val="none" w:sz="0" w:space="0" w:color="auto"/>
      </w:divBdr>
    </w:div>
    <w:div w:id="545414312">
      <w:bodyDiv w:val="1"/>
      <w:marLeft w:val="0"/>
      <w:marRight w:val="0"/>
      <w:marTop w:val="0"/>
      <w:marBottom w:val="0"/>
      <w:divBdr>
        <w:top w:val="none" w:sz="0" w:space="0" w:color="auto"/>
        <w:left w:val="none" w:sz="0" w:space="0" w:color="auto"/>
        <w:bottom w:val="none" w:sz="0" w:space="0" w:color="auto"/>
        <w:right w:val="none" w:sz="0" w:space="0" w:color="auto"/>
      </w:divBdr>
    </w:div>
    <w:div w:id="545527698">
      <w:bodyDiv w:val="1"/>
      <w:marLeft w:val="0"/>
      <w:marRight w:val="0"/>
      <w:marTop w:val="0"/>
      <w:marBottom w:val="0"/>
      <w:divBdr>
        <w:top w:val="none" w:sz="0" w:space="0" w:color="auto"/>
        <w:left w:val="none" w:sz="0" w:space="0" w:color="auto"/>
        <w:bottom w:val="none" w:sz="0" w:space="0" w:color="auto"/>
        <w:right w:val="none" w:sz="0" w:space="0" w:color="auto"/>
      </w:divBdr>
    </w:div>
    <w:div w:id="545607438">
      <w:bodyDiv w:val="1"/>
      <w:marLeft w:val="0"/>
      <w:marRight w:val="0"/>
      <w:marTop w:val="0"/>
      <w:marBottom w:val="0"/>
      <w:divBdr>
        <w:top w:val="none" w:sz="0" w:space="0" w:color="auto"/>
        <w:left w:val="none" w:sz="0" w:space="0" w:color="auto"/>
        <w:bottom w:val="none" w:sz="0" w:space="0" w:color="auto"/>
        <w:right w:val="none" w:sz="0" w:space="0" w:color="auto"/>
      </w:divBdr>
    </w:div>
    <w:div w:id="545921252">
      <w:bodyDiv w:val="1"/>
      <w:marLeft w:val="0"/>
      <w:marRight w:val="0"/>
      <w:marTop w:val="0"/>
      <w:marBottom w:val="0"/>
      <w:divBdr>
        <w:top w:val="none" w:sz="0" w:space="0" w:color="auto"/>
        <w:left w:val="none" w:sz="0" w:space="0" w:color="auto"/>
        <w:bottom w:val="none" w:sz="0" w:space="0" w:color="auto"/>
        <w:right w:val="none" w:sz="0" w:space="0" w:color="auto"/>
      </w:divBdr>
    </w:div>
    <w:div w:id="546651707">
      <w:bodyDiv w:val="1"/>
      <w:marLeft w:val="0"/>
      <w:marRight w:val="0"/>
      <w:marTop w:val="0"/>
      <w:marBottom w:val="0"/>
      <w:divBdr>
        <w:top w:val="none" w:sz="0" w:space="0" w:color="auto"/>
        <w:left w:val="none" w:sz="0" w:space="0" w:color="auto"/>
        <w:bottom w:val="none" w:sz="0" w:space="0" w:color="auto"/>
        <w:right w:val="none" w:sz="0" w:space="0" w:color="auto"/>
      </w:divBdr>
    </w:div>
    <w:div w:id="546793607">
      <w:bodyDiv w:val="1"/>
      <w:marLeft w:val="0"/>
      <w:marRight w:val="0"/>
      <w:marTop w:val="0"/>
      <w:marBottom w:val="0"/>
      <w:divBdr>
        <w:top w:val="none" w:sz="0" w:space="0" w:color="auto"/>
        <w:left w:val="none" w:sz="0" w:space="0" w:color="auto"/>
        <w:bottom w:val="none" w:sz="0" w:space="0" w:color="auto"/>
        <w:right w:val="none" w:sz="0" w:space="0" w:color="auto"/>
      </w:divBdr>
    </w:div>
    <w:div w:id="546988224">
      <w:bodyDiv w:val="1"/>
      <w:marLeft w:val="0"/>
      <w:marRight w:val="0"/>
      <w:marTop w:val="0"/>
      <w:marBottom w:val="0"/>
      <w:divBdr>
        <w:top w:val="none" w:sz="0" w:space="0" w:color="auto"/>
        <w:left w:val="none" w:sz="0" w:space="0" w:color="auto"/>
        <w:bottom w:val="none" w:sz="0" w:space="0" w:color="auto"/>
        <w:right w:val="none" w:sz="0" w:space="0" w:color="auto"/>
      </w:divBdr>
    </w:div>
    <w:div w:id="547038525">
      <w:bodyDiv w:val="1"/>
      <w:marLeft w:val="0"/>
      <w:marRight w:val="0"/>
      <w:marTop w:val="0"/>
      <w:marBottom w:val="0"/>
      <w:divBdr>
        <w:top w:val="none" w:sz="0" w:space="0" w:color="auto"/>
        <w:left w:val="none" w:sz="0" w:space="0" w:color="auto"/>
        <w:bottom w:val="none" w:sz="0" w:space="0" w:color="auto"/>
        <w:right w:val="none" w:sz="0" w:space="0" w:color="auto"/>
      </w:divBdr>
    </w:div>
    <w:div w:id="547112756">
      <w:bodyDiv w:val="1"/>
      <w:marLeft w:val="0"/>
      <w:marRight w:val="0"/>
      <w:marTop w:val="0"/>
      <w:marBottom w:val="0"/>
      <w:divBdr>
        <w:top w:val="none" w:sz="0" w:space="0" w:color="auto"/>
        <w:left w:val="none" w:sz="0" w:space="0" w:color="auto"/>
        <w:bottom w:val="none" w:sz="0" w:space="0" w:color="auto"/>
        <w:right w:val="none" w:sz="0" w:space="0" w:color="auto"/>
      </w:divBdr>
    </w:div>
    <w:div w:id="547231259">
      <w:bodyDiv w:val="1"/>
      <w:marLeft w:val="0"/>
      <w:marRight w:val="0"/>
      <w:marTop w:val="0"/>
      <w:marBottom w:val="0"/>
      <w:divBdr>
        <w:top w:val="none" w:sz="0" w:space="0" w:color="auto"/>
        <w:left w:val="none" w:sz="0" w:space="0" w:color="auto"/>
        <w:bottom w:val="none" w:sz="0" w:space="0" w:color="auto"/>
        <w:right w:val="none" w:sz="0" w:space="0" w:color="auto"/>
      </w:divBdr>
    </w:div>
    <w:div w:id="547423662">
      <w:bodyDiv w:val="1"/>
      <w:marLeft w:val="0"/>
      <w:marRight w:val="0"/>
      <w:marTop w:val="0"/>
      <w:marBottom w:val="0"/>
      <w:divBdr>
        <w:top w:val="none" w:sz="0" w:space="0" w:color="auto"/>
        <w:left w:val="none" w:sz="0" w:space="0" w:color="auto"/>
        <w:bottom w:val="none" w:sz="0" w:space="0" w:color="auto"/>
        <w:right w:val="none" w:sz="0" w:space="0" w:color="auto"/>
      </w:divBdr>
    </w:div>
    <w:div w:id="547495952">
      <w:bodyDiv w:val="1"/>
      <w:marLeft w:val="0"/>
      <w:marRight w:val="0"/>
      <w:marTop w:val="0"/>
      <w:marBottom w:val="0"/>
      <w:divBdr>
        <w:top w:val="none" w:sz="0" w:space="0" w:color="auto"/>
        <w:left w:val="none" w:sz="0" w:space="0" w:color="auto"/>
        <w:bottom w:val="none" w:sz="0" w:space="0" w:color="auto"/>
        <w:right w:val="none" w:sz="0" w:space="0" w:color="auto"/>
      </w:divBdr>
    </w:div>
    <w:div w:id="547571898">
      <w:bodyDiv w:val="1"/>
      <w:marLeft w:val="0"/>
      <w:marRight w:val="0"/>
      <w:marTop w:val="0"/>
      <w:marBottom w:val="0"/>
      <w:divBdr>
        <w:top w:val="none" w:sz="0" w:space="0" w:color="auto"/>
        <w:left w:val="none" w:sz="0" w:space="0" w:color="auto"/>
        <w:bottom w:val="none" w:sz="0" w:space="0" w:color="auto"/>
        <w:right w:val="none" w:sz="0" w:space="0" w:color="auto"/>
      </w:divBdr>
    </w:div>
    <w:div w:id="548030325">
      <w:bodyDiv w:val="1"/>
      <w:marLeft w:val="0"/>
      <w:marRight w:val="0"/>
      <w:marTop w:val="0"/>
      <w:marBottom w:val="0"/>
      <w:divBdr>
        <w:top w:val="none" w:sz="0" w:space="0" w:color="auto"/>
        <w:left w:val="none" w:sz="0" w:space="0" w:color="auto"/>
        <w:bottom w:val="none" w:sz="0" w:space="0" w:color="auto"/>
        <w:right w:val="none" w:sz="0" w:space="0" w:color="auto"/>
      </w:divBdr>
    </w:div>
    <w:div w:id="549077847">
      <w:bodyDiv w:val="1"/>
      <w:marLeft w:val="0"/>
      <w:marRight w:val="0"/>
      <w:marTop w:val="0"/>
      <w:marBottom w:val="0"/>
      <w:divBdr>
        <w:top w:val="none" w:sz="0" w:space="0" w:color="auto"/>
        <w:left w:val="none" w:sz="0" w:space="0" w:color="auto"/>
        <w:bottom w:val="none" w:sz="0" w:space="0" w:color="auto"/>
        <w:right w:val="none" w:sz="0" w:space="0" w:color="auto"/>
      </w:divBdr>
    </w:div>
    <w:div w:id="549346208">
      <w:bodyDiv w:val="1"/>
      <w:marLeft w:val="0"/>
      <w:marRight w:val="0"/>
      <w:marTop w:val="0"/>
      <w:marBottom w:val="0"/>
      <w:divBdr>
        <w:top w:val="none" w:sz="0" w:space="0" w:color="auto"/>
        <w:left w:val="none" w:sz="0" w:space="0" w:color="auto"/>
        <w:bottom w:val="none" w:sz="0" w:space="0" w:color="auto"/>
        <w:right w:val="none" w:sz="0" w:space="0" w:color="auto"/>
      </w:divBdr>
    </w:div>
    <w:div w:id="549538449">
      <w:bodyDiv w:val="1"/>
      <w:marLeft w:val="0"/>
      <w:marRight w:val="0"/>
      <w:marTop w:val="0"/>
      <w:marBottom w:val="0"/>
      <w:divBdr>
        <w:top w:val="none" w:sz="0" w:space="0" w:color="auto"/>
        <w:left w:val="none" w:sz="0" w:space="0" w:color="auto"/>
        <w:bottom w:val="none" w:sz="0" w:space="0" w:color="auto"/>
        <w:right w:val="none" w:sz="0" w:space="0" w:color="auto"/>
      </w:divBdr>
    </w:div>
    <w:div w:id="549656323">
      <w:bodyDiv w:val="1"/>
      <w:marLeft w:val="0"/>
      <w:marRight w:val="0"/>
      <w:marTop w:val="0"/>
      <w:marBottom w:val="0"/>
      <w:divBdr>
        <w:top w:val="none" w:sz="0" w:space="0" w:color="auto"/>
        <w:left w:val="none" w:sz="0" w:space="0" w:color="auto"/>
        <w:bottom w:val="none" w:sz="0" w:space="0" w:color="auto"/>
        <w:right w:val="none" w:sz="0" w:space="0" w:color="auto"/>
      </w:divBdr>
    </w:div>
    <w:div w:id="549732507">
      <w:bodyDiv w:val="1"/>
      <w:marLeft w:val="0"/>
      <w:marRight w:val="0"/>
      <w:marTop w:val="0"/>
      <w:marBottom w:val="0"/>
      <w:divBdr>
        <w:top w:val="none" w:sz="0" w:space="0" w:color="auto"/>
        <w:left w:val="none" w:sz="0" w:space="0" w:color="auto"/>
        <w:bottom w:val="none" w:sz="0" w:space="0" w:color="auto"/>
        <w:right w:val="none" w:sz="0" w:space="0" w:color="auto"/>
      </w:divBdr>
    </w:div>
    <w:div w:id="550266245">
      <w:bodyDiv w:val="1"/>
      <w:marLeft w:val="0"/>
      <w:marRight w:val="0"/>
      <w:marTop w:val="0"/>
      <w:marBottom w:val="0"/>
      <w:divBdr>
        <w:top w:val="none" w:sz="0" w:space="0" w:color="auto"/>
        <w:left w:val="none" w:sz="0" w:space="0" w:color="auto"/>
        <w:bottom w:val="none" w:sz="0" w:space="0" w:color="auto"/>
        <w:right w:val="none" w:sz="0" w:space="0" w:color="auto"/>
      </w:divBdr>
    </w:div>
    <w:div w:id="550389411">
      <w:bodyDiv w:val="1"/>
      <w:marLeft w:val="0"/>
      <w:marRight w:val="0"/>
      <w:marTop w:val="0"/>
      <w:marBottom w:val="0"/>
      <w:divBdr>
        <w:top w:val="none" w:sz="0" w:space="0" w:color="auto"/>
        <w:left w:val="none" w:sz="0" w:space="0" w:color="auto"/>
        <w:bottom w:val="none" w:sz="0" w:space="0" w:color="auto"/>
        <w:right w:val="none" w:sz="0" w:space="0" w:color="auto"/>
      </w:divBdr>
    </w:div>
    <w:div w:id="550845732">
      <w:bodyDiv w:val="1"/>
      <w:marLeft w:val="0"/>
      <w:marRight w:val="0"/>
      <w:marTop w:val="0"/>
      <w:marBottom w:val="0"/>
      <w:divBdr>
        <w:top w:val="none" w:sz="0" w:space="0" w:color="auto"/>
        <w:left w:val="none" w:sz="0" w:space="0" w:color="auto"/>
        <w:bottom w:val="none" w:sz="0" w:space="0" w:color="auto"/>
        <w:right w:val="none" w:sz="0" w:space="0" w:color="auto"/>
      </w:divBdr>
    </w:div>
    <w:div w:id="551380746">
      <w:bodyDiv w:val="1"/>
      <w:marLeft w:val="0"/>
      <w:marRight w:val="0"/>
      <w:marTop w:val="0"/>
      <w:marBottom w:val="0"/>
      <w:divBdr>
        <w:top w:val="none" w:sz="0" w:space="0" w:color="auto"/>
        <w:left w:val="none" w:sz="0" w:space="0" w:color="auto"/>
        <w:bottom w:val="none" w:sz="0" w:space="0" w:color="auto"/>
        <w:right w:val="none" w:sz="0" w:space="0" w:color="auto"/>
      </w:divBdr>
    </w:div>
    <w:div w:id="551620700">
      <w:bodyDiv w:val="1"/>
      <w:marLeft w:val="0"/>
      <w:marRight w:val="0"/>
      <w:marTop w:val="0"/>
      <w:marBottom w:val="0"/>
      <w:divBdr>
        <w:top w:val="none" w:sz="0" w:space="0" w:color="auto"/>
        <w:left w:val="none" w:sz="0" w:space="0" w:color="auto"/>
        <w:bottom w:val="none" w:sz="0" w:space="0" w:color="auto"/>
        <w:right w:val="none" w:sz="0" w:space="0" w:color="auto"/>
      </w:divBdr>
    </w:div>
    <w:div w:id="551775342">
      <w:bodyDiv w:val="1"/>
      <w:marLeft w:val="0"/>
      <w:marRight w:val="0"/>
      <w:marTop w:val="0"/>
      <w:marBottom w:val="0"/>
      <w:divBdr>
        <w:top w:val="none" w:sz="0" w:space="0" w:color="auto"/>
        <w:left w:val="none" w:sz="0" w:space="0" w:color="auto"/>
        <w:bottom w:val="none" w:sz="0" w:space="0" w:color="auto"/>
        <w:right w:val="none" w:sz="0" w:space="0" w:color="auto"/>
      </w:divBdr>
    </w:div>
    <w:div w:id="551960424">
      <w:bodyDiv w:val="1"/>
      <w:marLeft w:val="0"/>
      <w:marRight w:val="0"/>
      <w:marTop w:val="0"/>
      <w:marBottom w:val="0"/>
      <w:divBdr>
        <w:top w:val="none" w:sz="0" w:space="0" w:color="auto"/>
        <w:left w:val="none" w:sz="0" w:space="0" w:color="auto"/>
        <w:bottom w:val="none" w:sz="0" w:space="0" w:color="auto"/>
        <w:right w:val="none" w:sz="0" w:space="0" w:color="auto"/>
      </w:divBdr>
    </w:div>
    <w:div w:id="551966640">
      <w:bodyDiv w:val="1"/>
      <w:marLeft w:val="0"/>
      <w:marRight w:val="0"/>
      <w:marTop w:val="0"/>
      <w:marBottom w:val="0"/>
      <w:divBdr>
        <w:top w:val="none" w:sz="0" w:space="0" w:color="auto"/>
        <w:left w:val="none" w:sz="0" w:space="0" w:color="auto"/>
        <w:bottom w:val="none" w:sz="0" w:space="0" w:color="auto"/>
        <w:right w:val="none" w:sz="0" w:space="0" w:color="auto"/>
      </w:divBdr>
    </w:div>
    <w:div w:id="552039552">
      <w:bodyDiv w:val="1"/>
      <w:marLeft w:val="0"/>
      <w:marRight w:val="0"/>
      <w:marTop w:val="0"/>
      <w:marBottom w:val="0"/>
      <w:divBdr>
        <w:top w:val="none" w:sz="0" w:space="0" w:color="auto"/>
        <w:left w:val="none" w:sz="0" w:space="0" w:color="auto"/>
        <w:bottom w:val="none" w:sz="0" w:space="0" w:color="auto"/>
        <w:right w:val="none" w:sz="0" w:space="0" w:color="auto"/>
      </w:divBdr>
    </w:div>
    <w:div w:id="553086505">
      <w:bodyDiv w:val="1"/>
      <w:marLeft w:val="0"/>
      <w:marRight w:val="0"/>
      <w:marTop w:val="0"/>
      <w:marBottom w:val="0"/>
      <w:divBdr>
        <w:top w:val="none" w:sz="0" w:space="0" w:color="auto"/>
        <w:left w:val="none" w:sz="0" w:space="0" w:color="auto"/>
        <w:bottom w:val="none" w:sz="0" w:space="0" w:color="auto"/>
        <w:right w:val="none" w:sz="0" w:space="0" w:color="auto"/>
      </w:divBdr>
    </w:div>
    <w:div w:id="553545949">
      <w:bodyDiv w:val="1"/>
      <w:marLeft w:val="0"/>
      <w:marRight w:val="0"/>
      <w:marTop w:val="0"/>
      <w:marBottom w:val="0"/>
      <w:divBdr>
        <w:top w:val="none" w:sz="0" w:space="0" w:color="auto"/>
        <w:left w:val="none" w:sz="0" w:space="0" w:color="auto"/>
        <w:bottom w:val="none" w:sz="0" w:space="0" w:color="auto"/>
        <w:right w:val="none" w:sz="0" w:space="0" w:color="auto"/>
      </w:divBdr>
    </w:div>
    <w:div w:id="554196053">
      <w:bodyDiv w:val="1"/>
      <w:marLeft w:val="0"/>
      <w:marRight w:val="0"/>
      <w:marTop w:val="0"/>
      <w:marBottom w:val="0"/>
      <w:divBdr>
        <w:top w:val="none" w:sz="0" w:space="0" w:color="auto"/>
        <w:left w:val="none" w:sz="0" w:space="0" w:color="auto"/>
        <w:bottom w:val="none" w:sz="0" w:space="0" w:color="auto"/>
        <w:right w:val="none" w:sz="0" w:space="0" w:color="auto"/>
      </w:divBdr>
    </w:div>
    <w:div w:id="554390396">
      <w:bodyDiv w:val="1"/>
      <w:marLeft w:val="0"/>
      <w:marRight w:val="0"/>
      <w:marTop w:val="0"/>
      <w:marBottom w:val="0"/>
      <w:divBdr>
        <w:top w:val="none" w:sz="0" w:space="0" w:color="auto"/>
        <w:left w:val="none" w:sz="0" w:space="0" w:color="auto"/>
        <w:bottom w:val="none" w:sz="0" w:space="0" w:color="auto"/>
        <w:right w:val="none" w:sz="0" w:space="0" w:color="auto"/>
      </w:divBdr>
    </w:div>
    <w:div w:id="555242535">
      <w:bodyDiv w:val="1"/>
      <w:marLeft w:val="0"/>
      <w:marRight w:val="0"/>
      <w:marTop w:val="0"/>
      <w:marBottom w:val="0"/>
      <w:divBdr>
        <w:top w:val="none" w:sz="0" w:space="0" w:color="auto"/>
        <w:left w:val="none" w:sz="0" w:space="0" w:color="auto"/>
        <w:bottom w:val="none" w:sz="0" w:space="0" w:color="auto"/>
        <w:right w:val="none" w:sz="0" w:space="0" w:color="auto"/>
      </w:divBdr>
    </w:div>
    <w:div w:id="555627758">
      <w:bodyDiv w:val="1"/>
      <w:marLeft w:val="0"/>
      <w:marRight w:val="0"/>
      <w:marTop w:val="0"/>
      <w:marBottom w:val="0"/>
      <w:divBdr>
        <w:top w:val="none" w:sz="0" w:space="0" w:color="auto"/>
        <w:left w:val="none" w:sz="0" w:space="0" w:color="auto"/>
        <w:bottom w:val="none" w:sz="0" w:space="0" w:color="auto"/>
        <w:right w:val="none" w:sz="0" w:space="0" w:color="auto"/>
      </w:divBdr>
    </w:div>
    <w:div w:id="556016452">
      <w:bodyDiv w:val="1"/>
      <w:marLeft w:val="0"/>
      <w:marRight w:val="0"/>
      <w:marTop w:val="0"/>
      <w:marBottom w:val="0"/>
      <w:divBdr>
        <w:top w:val="none" w:sz="0" w:space="0" w:color="auto"/>
        <w:left w:val="none" w:sz="0" w:space="0" w:color="auto"/>
        <w:bottom w:val="none" w:sz="0" w:space="0" w:color="auto"/>
        <w:right w:val="none" w:sz="0" w:space="0" w:color="auto"/>
      </w:divBdr>
    </w:div>
    <w:div w:id="556356908">
      <w:bodyDiv w:val="1"/>
      <w:marLeft w:val="0"/>
      <w:marRight w:val="0"/>
      <w:marTop w:val="0"/>
      <w:marBottom w:val="0"/>
      <w:divBdr>
        <w:top w:val="none" w:sz="0" w:space="0" w:color="auto"/>
        <w:left w:val="none" w:sz="0" w:space="0" w:color="auto"/>
        <w:bottom w:val="none" w:sz="0" w:space="0" w:color="auto"/>
        <w:right w:val="none" w:sz="0" w:space="0" w:color="auto"/>
      </w:divBdr>
    </w:div>
    <w:div w:id="556480089">
      <w:bodyDiv w:val="1"/>
      <w:marLeft w:val="0"/>
      <w:marRight w:val="0"/>
      <w:marTop w:val="0"/>
      <w:marBottom w:val="0"/>
      <w:divBdr>
        <w:top w:val="none" w:sz="0" w:space="0" w:color="auto"/>
        <w:left w:val="none" w:sz="0" w:space="0" w:color="auto"/>
        <w:bottom w:val="none" w:sz="0" w:space="0" w:color="auto"/>
        <w:right w:val="none" w:sz="0" w:space="0" w:color="auto"/>
      </w:divBdr>
    </w:div>
    <w:div w:id="556550811">
      <w:bodyDiv w:val="1"/>
      <w:marLeft w:val="0"/>
      <w:marRight w:val="0"/>
      <w:marTop w:val="0"/>
      <w:marBottom w:val="0"/>
      <w:divBdr>
        <w:top w:val="none" w:sz="0" w:space="0" w:color="auto"/>
        <w:left w:val="none" w:sz="0" w:space="0" w:color="auto"/>
        <w:bottom w:val="none" w:sz="0" w:space="0" w:color="auto"/>
        <w:right w:val="none" w:sz="0" w:space="0" w:color="auto"/>
      </w:divBdr>
    </w:div>
    <w:div w:id="556822624">
      <w:bodyDiv w:val="1"/>
      <w:marLeft w:val="0"/>
      <w:marRight w:val="0"/>
      <w:marTop w:val="0"/>
      <w:marBottom w:val="0"/>
      <w:divBdr>
        <w:top w:val="none" w:sz="0" w:space="0" w:color="auto"/>
        <w:left w:val="none" w:sz="0" w:space="0" w:color="auto"/>
        <w:bottom w:val="none" w:sz="0" w:space="0" w:color="auto"/>
        <w:right w:val="none" w:sz="0" w:space="0" w:color="auto"/>
      </w:divBdr>
    </w:div>
    <w:div w:id="557520082">
      <w:bodyDiv w:val="1"/>
      <w:marLeft w:val="0"/>
      <w:marRight w:val="0"/>
      <w:marTop w:val="0"/>
      <w:marBottom w:val="0"/>
      <w:divBdr>
        <w:top w:val="none" w:sz="0" w:space="0" w:color="auto"/>
        <w:left w:val="none" w:sz="0" w:space="0" w:color="auto"/>
        <w:bottom w:val="none" w:sz="0" w:space="0" w:color="auto"/>
        <w:right w:val="none" w:sz="0" w:space="0" w:color="auto"/>
      </w:divBdr>
    </w:div>
    <w:div w:id="557592586">
      <w:bodyDiv w:val="1"/>
      <w:marLeft w:val="0"/>
      <w:marRight w:val="0"/>
      <w:marTop w:val="0"/>
      <w:marBottom w:val="0"/>
      <w:divBdr>
        <w:top w:val="none" w:sz="0" w:space="0" w:color="auto"/>
        <w:left w:val="none" w:sz="0" w:space="0" w:color="auto"/>
        <w:bottom w:val="none" w:sz="0" w:space="0" w:color="auto"/>
        <w:right w:val="none" w:sz="0" w:space="0" w:color="auto"/>
      </w:divBdr>
    </w:div>
    <w:div w:id="558132897">
      <w:bodyDiv w:val="1"/>
      <w:marLeft w:val="0"/>
      <w:marRight w:val="0"/>
      <w:marTop w:val="0"/>
      <w:marBottom w:val="0"/>
      <w:divBdr>
        <w:top w:val="none" w:sz="0" w:space="0" w:color="auto"/>
        <w:left w:val="none" w:sz="0" w:space="0" w:color="auto"/>
        <w:bottom w:val="none" w:sz="0" w:space="0" w:color="auto"/>
        <w:right w:val="none" w:sz="0" w:space="0" w:color="auto"/>
      </w:divBdr>
    </w:div>
    <w:div w:id="558324761">
      <w:bodyDiv w:val="1"/>
      <w:marLeft w:val="0"/>
      <w:marRight w:val="0"/>
      <w:marTop w:val="0"/>
      <w:marBottom w:val="0"/>
      <w:divBdr>
        <w:top w:val="none" w:sz="0" w:space="0" w:color="auto"/>
        <w:left w:val="none" w:sz="0" w:space="0" w:color="auto"/>
        <w:bottom w:val="none" w:sz="0" w:space="0" w:color="auto"/>
        <w:right w:val="none" w:sz="0" w:space="0" w:color="auto"/>
      </w:divBdr>
    </w:div>
    <w:div w:id="558981985">
      <w:bodyDiv w:val="1"/>
      <w:marLeft w:val="0"/>
      <w:marRight w:val="0"/>
      <w:marTop w:val="0"/>
      <w:marBottom w:val="0"/>
      <w:divBdr>
        <w:top w:val="none" w:sz="0" w:space="0" w:color="auto"/>
        <w:left w:val="none" w:sz="0" w:space="0" w:color="auto"/>
        <w:bottom w:val="none" w:sz="0" w:space="0" w:color="auto"/>
        <w:right w:val="none" w:sz="0" w:space="0" w:color="auto"/>
      </w:divBdr>
    </w:div>
    <w:div w:id="559094089">
      <w:bodyDiv w:val="1"/>
      <w:marLeft w:val="0"/>
      <w:marRight w:val="0"/>
      <w:marTop w:val="0"/>
      <w:marBottom w:val="0"/>
      <w:divBdr>
        <w:top w:val="none" w:sz="0" w:space="0" w:color="auto"/>
        <w:left w:val="none" w:sz="0" w:space="0" w:color="auto"/>
        <w:bottom w:val="none" w:sz="0" w:space="0" w:color="auto"/>
        <w:right w:val="none" w:sz="0" w:space="0" w:color="auto"/>
      </w:divBdr>
    </w:div>
    <w:div w:id="559749857">
      <w:bodyDiv w:val="1"/>
      <w:marLeft w:val="0"/>
      <w:marRight w:val="0"/>
      <w:marTop w:val="0"/>
      <w:marBottom w:val="0"/>
      <w:divBdr>
        <w:top w:val="none" w:sz="0" w:space="0" w:color="auto"/>
        <w:left w:val="none" w:sz="0" w:space="0" w:color="auto"/>
        <w:bottom w:val="none" w:sz="0" w:space="0" w:color="auto"/>
        <w:right w:val="none" w:sz="0" w:space="0" w:color="auto"/>
      </w:divBdr>
    </w:div>
    <w:div w:id="560219023">
      <w:bodyDiv w:val="1"/>
      <w:marLeft w:val="0"/>
      <w:marRight w:val="0"/>
      <w:marTop w:val="0"/>
      <w:marBottom w:val="0"/>
      <w:divBdr>
        <w:top w:val="none" w:sz="0" w:space="0" w:color="auto"/>
        <w:left w:val="none" w:sz="0" w:space="0" w:color="auto"/>
        <w:bottom w:val="none" w:sz="0" w:space="0" w:color="auto"/>
        <w:right w:val="none" w:sz="0" w:space="0" w:color="auto"/>
      </w:divBdr>
    </w:div>
    <w:div w:id="560404303">
      <w:bodyDiv w:val="1"/>
      <w:marLeft w:val="0"/>
      <w:marRight w:val="0"/>
      <w:marTop w:val="0"/>
      <w:marBottom w:val="0"/>
      <w:divBdr>
        <w:top w:val="none" w:sz="0" w:space="0" w:color="auto"/>
        <w:left w:val="none" w:sz="0" w:space="0" w:color="auto"/>
        <w:bottom w:val="none" w:sz="0" w:space="0" w:color="auto"/>
        <w:right w:val="none" w:sz="0" w:space="0" w:color="auto"/>
      </w:divBdr>
    </w:div>
    <w:div w:id="561260653">
      <w:bodyDiv w:val="1"/>
      <w:marLeft w:val="0"/>
      <w:marRight w:val="0"/>
      <w:marTop w:val="0"/>
      <w:marBottom w:val="0"/>
      <w:divBdr>
        <w:top w:val="none" w:sz="0" w:space="0" w:color="auto"/>
        <w:left w:val="none" w:sz="0" w:space="0" w:color="auto"/>
        <w:bottom w:val="none" w:sz="0" w:space="0" w:color="auto"/>
        <w:right w:val="none" w:sz="0" w:space="0" w:color="auto"/>
      </w:divBdr>
    </w:div>
    <w:div w:id="561330117">
      <w:bodyDiv w:val="1"/>
      <w:marLeft w:val="0"/>
      <w:marRight w:val="0"/>
      <w:marTop w:val="0"/>
      <w:marBottom w:val="0"/>
      <w:divBdr>
        <w:top w:val="none" w:sz="0" w:space="0" w:color="auto"/>
        <w:left w:val="none" w:sz="0" w:space="0" w:color="auto"/>
        <w:bottom w:val="none" w:sz="0" w:space="0" w:color="auto"/>
        <w:right w:val="none" w:sz="0" w:space="0" w:color="auto"/>
      </w:divBdr>
    </w:div>
    <w:div w:id="561675711">
      <w:bodyDiv w:val="1"/>
      <w:marLeft w:val="0"/>
      <w:marRight w:val="0"/>
      <w:marTop w:val="0"/>
      <w:marBottom w:val="0"/>
      <w:divBdr>
        <w:top w:val="none" w:sz="0" w:space="0" w:color="auto"/>
        <w:left w:val="none" w:sz="0" w:space="0" w:color="auto"/>
        <w:bottom w:val="none" w:sz="0" w:space="0" w:color="auto"/>
        <w:right w:val="none" w:sz="0" w:space="0" w:color="auto"/>
      </w:divBdr>
    </w:div>
    <w:div w:id="562178631">
      <w:bodyDiv w:val="1"/>
      <w:marLeft w:val="0"/>
      <w:marRight w:val="0"/>
      <w:marTop w:val="0"/>
      <w:marBottom w:val="0"/>
      <w:divBdr>
        <w:top w:val="none" w:sz="0" w:space="0" w:color="auto"/>
        <w:left w:val="none" w:sz="0" w:space="0" w:color="auto"/>
        <w:bottom w:val="none" w:sz="0" w:space="0" w:color="auto"/>
        <w:right w:val="none" w:sz="0" w:space="0" w:color="auto"/>
      </w:divBdr>
    </w:div>
    <w:div w:id="562447123">
      <w:bodyDiv w:val="1"/>
      <w:marLeft w:val="0"/>
      <w:marRight w:val="0"/>
      <w:marTop w:val="0"/>
      <w:marBottom w:val="0"/>
      <w:divBdr>
        <w:top w:val="none" w:sz="0" w:space="0" w:color="auto"/>
        <w:left w:val="none" w:sz="0" w:space="0" w:color="auto"/>
        <w:bottom w:val="none" w:sz="0" w:space="0" w:color="auto"/>
        <w:right w:val="none" w:sz="0" w:space="0" w:color="auto"/>
      </w:divBdr>
    </w:div>
    <w:div w:id="563369822">
      <w:bodyDiv w:val="1"/>
      <w:marLeft w:val="0"/>
      <w:marRight w:val="0"/>
      <w:marTop w:val="0"/>
      <w:marBottom w:val="0"/>
      <w:divBdr>
        <w:top w:val="none" w:sz="0" w:space="0" w:color="auto"/>
        <w:left w:val="none" w:sz="0" w:space="0" w:color="auto"/>
        <w:bottom w:val="none" w:sz="0" w:space="0" w:color="auto"/>
        <w:right w:val="none" w:sz="0" w:space="0" w:color="auto"/>
      </w:divBdr>
    </w:div>
    <w:div w:id="563564474">
      <w:bodyDiv w:val="1"/>
      <w:marLeft w:val="0"/>
      <w:marRight w:val="0"/>
      <w:marTop w:val="0"/>
      <w:marBottom w:val="0"/>
      <w:divBdr>
        <w:top w:val="none" w:sz="0" w:space="0" w:color="auto"/>
        <w:left w:val="none" w:sz="0" w:space="0" w:color="auto"/>
        <w:bottom w:val="none" w:sz="0" w:space="0" w:color="auto"/>
        <w:right w:val="none" w:sz="0" w:space="0" w:color="auto"/>
      </w:divBdr>
    </w:div>
    <w:div w:id="563612080">
      <w:bodyDiv w:val="1"/>
      <w:marLeft w:val="0"/>
      <w:marRight w:val="0"/>
      <w:marTop w:val="0"/>
      <w:marBottom w:val="0"/>
      <w:divBdr>
        <w:top w:val="none" w:sz="0" w:space="0" w:color="auto"/>
        <w:left w:val="none" w:sz="0" w:space="0" w:color="auto"/>
        <w:bottom w:val="none" w:sz="0" w:space="0" w:color="auto"/>
        <w:right w:val="none" w:sz="0" w:space="0" w:color="auto"/>
      </w:divBdr>
    </w:div>
    <w:div w:id="563832374">
      <w:bodyDiv w:val="1"/>
      <w:marLeft w:val="0"/>
      <w:marRight w:val="0"/>
      <w:marTop w:val="0"/>
      <w:marBottom w:val="0"/>
      <w:divBdr>
        <w:top w:val="none" w:sz="0" w:space="0" w:color="auto"/>
        <w:left w:val="none" w:sz="0" w:space="0" w:color="auto"/>
        <w:bottom w:val="none" w:sz="0" w:space="0" w:color="auto"/>
        <w:right w:val="none" w:sz="0" w:space="0" w:color="auto"/>
      </w:divBdr>
    </w:div>
    <w:div w:id="564410630">
      <w:bodyDiv w:val="1"/>
      <w:marLeft w:val="0"/>
      <w:marRight w:val="0"/>
      <w:marTop w:val="0"/>
      <w:marBottom w:val="0"/>
      <w:divBdr>
        <w:top w:val="none" w:sz="0" w:space="0" w:color="auto"/>
        <w:left w:val="none" w:sz="0" w:space="0" w:color="auto"/>
        <w:bottom w:val="none" w:sz="0" w:space="0" w:color="auto"/>
        <w:right w:val="none" w:sz="0" w:space="0" w:color="auto"/>
      </w:divBdr>
    </w:div>
    <w:div w:id="564493596">
      <w:bodyDiv w:val="1"/>
      <w:marLeft w:val="0"/>
      <w:marRight w:val="0"/>
      <w:marTop w:val="0"/>
      <w:marBottom w:val="0"/>
      <w:divBdr>
        <w:top w:val="none" w:sz="0" w:space="0" w:color="auto"/>
        <w:left w:val="none" w:sz="0" w:space="0" w:color="auto"/>
        <w:bottom w:val="none" w:sz="0" w:space="0" w:color="auto"/>
        <w:right w:val="none" w:sz="0" w:space="0" w:color="auto"/>
      </w:divBdr>
    </w:div>
    <w:div w:id="564879512">
      <w:bodyDiv w:val="1"/>
      <w:marLeft w:val="0"/>
      <w:marRight w:val="0"/>
      <w:marTop w:val="0"/>
      <w:marBottom w:val="0"/>
      <w:divBdr>
        <w:top w:val="none" w:sz="0" w:space="0" w:color="auto"/>
        <w:left w:val="none" w:sz="0" w:space="0" w:color="auto"/>
        <w:bottom w:val="none" w:sz="0" w:space="0" w:color="auto"/>
        <w:right w:val="none" w:sz="0" w:space="0" w:color="auto"/>
      </w:divBdr>
    </w:div>
    <w:div w:id="566040641">
      <w:bodyDiv w:val="1"/>
      <w:marLeft w:val="0"/>
      <w:marRight w:val="0"/>
      <w:marTop w:val="0"/>
      <w:marBottom w:val="0"/>
      <w:divBdr>
        <w:top w:val="none" w:sz="0" w:space="0" w:color="auto"/>
        <w:left w:val="none" w:sz="0" w:space="0" w:color="auto"/>
        <w:bottom w:val="none" w:sz="0" w:space="0" w:color="auto"/>
        <w:right w:val="none" w:sz="0" w:space="0" w:color="auto"/>
      </w:divBdr>
    </w:div>
    <w:div w:id="566304961">
      <w:bodyDiv w:val="1"/>
      <w:marLeft w:val="0"/>
      <w:marRight w:val="0"/>
      <w:marTop w:val="0"/>
      <w:marBottom w:val="0"/>
      <w:divBdr>
        <w:top w:val="none" w:sz="0" w:space="0" w:color="auto"/>
        <w:left w:val="none" w:sz="0" w:space="0" w:color="auto"/>
        <w:bottom w:val="none" w:sz="0" w:space="0" w:color="auto"/>
        <w:right w:val="none" w:sz="0" w:space="0" w:color="auto"/>
      </w:divBdr>
    </w:div>
    <w:div w:id="566383772">
      <w:bodyDiv w:val="1"/>
      <w:marLeft w:val="0"/>
      <w:marRight w:val="0"/>
      <w:marTop w:val="0"/>
      <w:marBottom w:val="0"/>
      <w:divBdr>
        <w:top w:val="none" w:sz="0" w:space="0" w:color="auto"/>
        <w:left w:val="none" w:sz="0" w:space="0" w:color="auto"/>
        <w:bottom w:val="none" w:sz="0" w:space="0" w:color="auto"/>
        <w:right w:val="none" w:sz="0" w:space="0" w:color="auto"/>
      </w:divBdr>
    </w:div>
    <w:div w:id="566459932">
      <w:bodyDiv w:val="1"/>
      <w:marLeft w:val="0"/>
      <w:marRight w:val="0"/>
      <w:marTop w:val="0"/>
      <w:marBottom w:val="0"/>
      <w:divBdr>
        <w:top w:val="none" w:sz="0" w:space="0" w:color="auto"/>
        <w:left w:val="none" w:sz="0" w:space="0" w:color="auto"/>
        <w:bottom w:val="none" w:sz="0" w:space="0" w:color="auto"/>
        <w:right w:val="none" w:sz="0" w:space="0" w:color="auto"/>
      </w:divBdr>
    </w:div>
    <w:div w:id="566918502">
      <w:bodyDiv w:val="1"/>
      <w:marLeft w:val="0"/>
      <w:marRight w:val="0"/>
      <w:marTop w:val="0"/>
      <w:marBottom w:val="0"/>
      <w:divBdr>
        <w:top w:val="none" w:sz="0" w:space="0" w:color="auto"/>
        <w:left w:val="none" w:sz="0" w:space="0" w:color="auto"/>
        <w:bottom w:val="none" w:sz="0" w:space="0" w:color="auto"/>
        <w:right w:val="none" w:sz="0" w:space="0" w:color="auto"/>
      </w:divBdr>
    </w:div>
    <w:div w:id="567155627">
      <w:bodyDiv w:val="1"/>
      <w:marLeft w:val="0"/>
      <w:marRight w:val="0"/>
      <w:marTop w:val="0"/>
      <w:marBottom w:val="0"/>
      <w:divBdr>
        <w:top w:val="none" w:sz="0" w:space="0" w:color="auto"/>
        <w:left w:val="none" w:sz="0" w:space="0" w:color="auto"/>
        <w:bottom w:val="none" w:sz="0" w:space="0" w:color="auto"/>
        <w:right w:val="none" w:sz="0" w:space="0" w:color="auto"/>
      </w:divBdr>
    </w:div>
    <w:div w:id="567228401">
      <w:bodyDiv w:val="1"/>
      <w:marLeft w:val="0"/>
      <w:marRight w:val="0"/>
      <w:marTop w:val="0"/>
      <w:marBottom w:val="0"/>
      <w:divBdr>
        <w:top w:val="none" w:sz="0" w:space="0" w:color="auto"/>
        <w:left w:val="none" w:sz="0" w:space="0" w:color="auto"/>
        <w:bottom w:val="none" w:sz="0" w:space="0" w:color="auto"/>
        <w:right w:val="none" w:sz="0" w:space="0" w:color="auto"/>
      </w:divBdr>
    </w:div>
    <w:div w:id="567349425">
      <w:bodyDiv w:val="1"/>
      <w:marLeft w:val="0"/>
      <w:marRight w:val="0"/>
      <w:marTop w:val="0"/>
      <w:marBottom w:val="0"/>
      <w:divBdr>
        <w:top w:val="none" w:sz="0" w:space="0" w:color="auto"/>
        <w:left w:val="none" w:sz="0" w:space="0" w:color="auto"/>
        <w:bottom w:val="none" w:sz="0" w:space="0" w:color="auto"/>
        <w:right w:val="none" w:sz="0" w:space="0" w:color="auto"/>
      </w:divBdr>
    </w:div>
    <w:div w:id="567423680">
      <w:bodyDiv w:val="1"/>
      <w:marLeft w:val="0"/>
      <w:marRight w:val="0"/>
      <w:marTop w:val="0"/>
      <w:marBottom w:val="0"/>
      <w:divBdr>
        <w:top w:val="none" w:sz="0" w:space="0" w:color="auto"/>
        <w:left w:val="none" w:sz="0" w:space="0" w:color="auto"/>
        <w:bottom w:val="none" w:sz="0" w:space="0" w:color="auto"/>
        <w:right w:val="none" w:sz="0" w:space="0" w:color="auto"/>
      </w:divBdr>
    </w:div>
    <w:div w:id="567494239">
      <w:bodyDiv w:val="1"/>
      <w:marLeft w:val="0"/>
      <w:marRight w:val="0"/>
      <w:marTop w:val="0"/>
      <w:marBottom w:val="0"/>
      <w:divBdr>
        <w:top w:val="none" w:sz="0" w:space="0" w:color="auto"/>
        <w:left w:val="none" w:sz="0" w:space="0" w:color="auto"/>
        <w:bottom w:val="none" w:sz="0" w:space="0" w:color="auto"/>
        <w:right w:val="none" w:sz="0" w:space="0" w:color="auto"/>
      </w:divBdr>
    </w:div>
    <w:div w:id="567689412">
      <w:bodyDiv w:val="1"/>
      <w:marLeft w:val="0"/>
      <w:marRight w:val="0"/>
      <w:marTop w:val="0"/>
      <w:marBottom w:val="0"/>
      <w:divBdr>
        <w:top w:val="none" w:sz="0" w:space="0" w:color="auto"/>
        <w:left w:val="none" w:sz="0" w:space="0" w:color="auto"/>
        <w:bottom w:val="none" w:sz="0" w:space="0" w:color="auto"/>
        <w:right w:val="none" w:sz="0" w:space="0" w:color="auto"/>
      </w:divBdr>
    </w:div>
    <w:div w:id="568079494">
      <w:bodyDiv w:val="1"/>
      <w:marLeft w:val="0"/>
      <w:marRight w:val="0"/>
      <w:marTop w:val="0"/>
      <w:marBottom w:val="0"/>
      <w:divBdr>
        <w:top w:val="none" w:sz="0" w:space="0" w:color="auto"/>
        <w:left w:val="none" w:sz="0" w:space="0" w:color="auto"/>
        <w:bottom w:val="none" w:sz="0" w:space="0" w:color="auto"/>
        <w:right w:val="none" w:sz="0" w:space="0" w:color="auto"/>
      </w:divBdr>
    </w:div>
    <w:div w:id="568537965">
      <w:bodyDiv w:val="1"/>
      <w:marLeft w:val="0"/>
      <w:marRight w:val="0"/>
      <w:marTop w:val="0"/>
      <w:marBottom w:val="0"/>
      <w:divBdr>
        <w:top w:val="none" w:sz="0" w:space="0" w:color="auto"/>
        <w:left w:val="none" w:sz="0" w:space="0" w:color="auto"/>
        <w:bottom w:val="none" w:sz="0" w:space="0" w:color="auto"/>
        <w:right w:val="none" w:sz="0" w:space="0" w:color="auto"/>
      </w:divBdr>
    </w:div>
    <w:div w:id="568614811">
      <w:bodyDiv w:val="1"/>
      <w:marLeft w:val="0"/>
      <w:marRight w:val="0"/>
      <w:marTop w:val="0"/>
      <w:marBottom w:val="0"/>
      <w:divBdr>
        <w:top w:val="none" w:sz="0" w:space="0" w:color="auto"/>
        <w:left w:val="none" w:sz="0" w:space="0" w:color="auto"/>
        <w:bottom w:val="none" w:sz="0" w:space="0" w:color="auto"/>
        <w:right w:val="none" w:sz="0" w:space="0" w:color="auto"/>
      </w:divBdr>
    </w:div>
    <w:div w:id="570122648">
      <w:bodyDiv w:val="1"/>
      <w:marLeft w:val="0"/>
      <w:marRight w:val="0"/>
      <w:marTop w:val="0"/>
      <w:marBottom w:val="0"/>
      <w:divBdr>
        <w:top w:val="none" w:sz="0" w:space="0" w:color="auto"/>
        <w:left w:val="none" w:sz="0" w:space="0" w:color="auto"/>
        <w:bottom w:val="none" w:sz="0" w:space="0" w:color="auto"/>
        <w:right w:val="none" w:sz="0" w:space="0" w:color="auto"/>
      </w:divBdr>
    </w:div>
    <w:div w:id="570165986">
      <w:bodyDiv w:val="1"/>
      <w:marLeft w:val="0"/>
      <w:marRight w:val="0"/>
      <w:marTop w:val="0"/>
      <w:marBottom w:val="0"/>
      <w:divBdr>
        <w:top w:val="none" w:sz="0" w:space="0" w:color="auto"/>
        <w:left w:val="none" w:sz="0" w:space="0" w:color="auto"/>
        <w:bottom w:val="none" w:sz="0" w:space="0" w:color="auto"/>
        <w:right w:val="none" w:sz="0" w:space="0" w:color="auto"/>
      </w:divBdr>
    </w:div>
    <w:div w:id="570622519">
      <w:bodyDiv w:val="1"/>
      <w:marLeft w:val="0"/>
      <w:marRight w:val="0"/>
      <w:marTop w:val="0"/>
      <w:marBottom w:val="0"/>
      <w:divBdr>
        <w:top w:val="none" w:sz="0" w:space="0" w:color="auto"/>
        <w:left w:val="none" w:sz="0" w:space="0" w:color="auto"/>
        <w:bottom w:val="none" w:sz="0" w:space="0" w:color="auto"/>
        <w:right w:val="none" w:sz="0" w:space="0" w:color="auto"/>
      </w:divBdr>
    </w:div>
    <w:div w:id="570850056">
      <w:bodyDiv w:val="1"/>
      <w:marLeft w:val="0"/>
      <w:marRight w:val="0"/>
      <w:marTop w:val="0"/>
      <w:marBottom w:val="0"/>
      <w:divBdr>
        <w:top w:val="none" w:sz="0" w:space="0" w:color="auto"/>
        <w:left w:val="none" w:sz="0" w:space="0" w:color="auto"/>
        <w:bottom w:val="none" w:sz="0" w:space="0" w:color="auto"/>
        <w:right w:val="none" w:sz="0" w:space="0" w:color="auto"/>
      </w:divBdr>
    </w:div>
    <w:div w:id="571160126">
      <w:bodyDiv w:val="1"/>
      <w:marLeft w:val="0"/>
      <w:marRight w:val="0"/>
      <w:marTop w:val="0"/>
      <w:marBottom w:val="0"/>
      <w:divBdr>
        <w:top w:val="none" w:sz="0" w:space="0" w:color="auto"/>
        <w:left w:val="none" w:sz="0" w:space="0" w:color="auto"/>
        <w:bottom w:val="none" w:sz="0" w:space="0" w:color="auto"/>
        <w:right w:val="none" w:sz="0" w:space="0" w:color="auto"/>
      </w:divBdr>
    </w:div>
    <w:div w:id="571240009">
      <w:bodyDiv w:val="1"/>
      <w:marLeft w:val="0"/>
      <w:marRight w:val="0"/>
      <w:marTop w:val="0"/>
      <w:marBottom w:val="0"/>
      <w:divBdr>
        <w:top w:val="none" w:sz="0" w:space="0" w:color="auto"/>
        <w:left w:val="none" w:sz="0" w:space="0" w:color="auto"/>
        <w:bottom w:val="none" w:sz="0" w:space="0" w:color="auto"/>
        <w:right w:val="none" w:sz="0" w:space="0" w:color="auto"/>
      </w:divBdr>
    </w:div>
    <w:div w:id="571356714">
      <w:bodyDiv w:val="1"/>
      <w:marLeft w:val="0"/>
      <w:marRight w:val="0"/>
      <w:marTop w:val="0"/>
      <w:marBottom w:val="0"/>
      <w:divBdr>
        <w:top w:val="none" w:sz="0" w:space="0" w:color="auto"/>
        <w:left w:val="none" w:sz="0" w:space="0" w:color="auto"/>
        <w:bottom w:val="none" w:sz="0" w:space="0" w:color="auto"/>
        <w:right w:val="none" w:sz="0" w:space="0" w:color="auto"/>
      </w:divBdr>
    </w:div>
    <w:div w:id="571546297">
      <w:bodyDiv w:val="1"/>
      <w:marLeft w:val="0"/>
      <w:marRight w:val="0"/>
      <w:marTop w:val="0"/>
      <w:marBottom w:val="0"/>
      <w:divBdr>
        <w:top w:val="none" w:sz="0" w:space="0" w:color="auto"/>
        <w:left w:val="none" w:sz="0" w:space="0" w:color="auto"/>
        <w:bottom w:val="none" w:sz="0" w:space="0" w:color="auto"/>
        <w:right w:val="none" w:sz="0" w:space="0" w:color="auto"/>
      </w:divBdr>
    </w:div>
    <w:div w:id="571696014">
      <w:bodyDiv w:val="1"/>
      <w:marLeft w:val="0"/>
      <w:marRight w:val="0"/>
      <w:marTop w:val="0"/>
      <w:marBottom w:val="0"/>
      <w:divBdr>
        <w:top w:val="none" w:sz="0" w:space="0" w:color="auto"/>
        <w:left w:val="none" w:sz="0" w:space="0" w:color="auto"/>
        <w:bottom w:val="none" w:sz="0" w:space="0" w:color="auto"/>
        <w:right w:val="none" w:sz="0" w:space="0" w:color="auto"/>
      </w:divBdr>
    </w:div>
    <w:div w:id="572079940">
      <w:bodyDiv w:val="1"/>
      <w:marLeft w:val="0"/>
      <w:marRight w:val="0"/>
      <w:marTop w:val="0"/>
      <w:marBottom w:val="0"/>
      <w:divBdr>
        <w:top w:val="none" w:sz="0" w:space="0" w:color="auto"/>
        <w:left w:val="none" w:sz="0" w:space="0" w:color="auto"/>
        <w:bottom w:val="none" w:sz="0" w:space="0" w:color="auto"/>
        <w:right w:val="none" w:sz="0" w:space="0" w:color="auto"/>
      </w:divBdr>
    </w:div>
    <w:div w:id="572475795">
      <w:bodyDiv w:val="1"/>
      <w:marLeft w:val="0"/>
      <w:marRight w:val="0"/>
      <w:marTop w:val="0"/>
      <w:marBottom w:val="0"/>
      <w:divBdr>
        <w:top w:val="none" w:sz="0" w:space="0" w:color="auto"/>
        <w:left w:val="none" w:sz="0" w:space="0" w:color="auto"/>
        <w:bottom w:val="none" w:sz="0" w:space="0" w:color="auto"/>
        <w:right w:val="none" w:sz="0" w:space="0" w:color="auto"/>
      </w:divBdr>
    </w:div>
    <w:div w:id="572551037">
      <w:bodyDiv w:val="1"/>
      <w:marLeft w:val="0"/>
      <w:marRight w:val="0"/>
      <w:marTop w:val="0"/>
      <w:marBottom w:val="0"/>
      <w:divBdr>
        <w:top w:val="none" w:sz="0" w:space="0" w:color="auto"/>
        <w:left w:val="none" w:sz="0" w:space="0" w:color="auto"/>
        <w:bottom w:val="none" w:sz="0" w:space="0" w:color="auto"/>
        <w:right w:val="none" w:sz="0" w:space="0" w:color="auto"/>
      </w:divBdr>
    </w:div>
    <w:div w:id="573006694">
      <w:bodyDiv w:val="1"/>
      <w:marLeft w:val="0"/>
      <w:marRight w:val="0"/>
      <w:marTop w:val="0"/>
      <w:marBottom w:val="0"/>
      <w:divBdr>
        <w:top w:val="none" w:sz="0" w:space="0" w:color="auto"/>
        <w:left w:val="none" w:sz="0" w:space="0" w:color="auto"/>
        <w:bottom w:val="none" w:sz="0" w:space="0" w:color="auto"/>
        <w:right w:val="none" w:sz="0" w:space="0" w:color="auto"/>
      </w:divBdr>
    </w:div>
    <w:div w:id="573048576">
      <w:bodyDiv w:val="1"/>
      <w:marLeft w:val="0"/>
      <w:marRight w:val="0"/>
      <w:marTop w:val="0"/>
      <w:marBottom w:val="0"/>
      <w:divBdr>
        <w:top w:val="none" w:sz="0" w:space="0" w:color="auto"/>
        <w:left w:val="none" w:sz="0" w:space="0" w:color="auto"/>
        <w:bottom w:val="none" w:sz="0" w:space="0" w:color="auto"/>
        <w:right w:val="none" w:sz="0" w:space="0" w:color="auto"/>
      </w:divBdr>
    </w:div>
    <w:div w:id="573050462">
      <w:bodyDiv w:val="1"/>
      <w:marLeft w:val="0"/>
      <w:marRight w:val="0"/>
      <w:marTop w:val="0"/>
      <w:marBottom w:val="0"/>
      <w:divBdr>
        <w:top w:val="none" w:sz="0" w:space="0" w:color="auto"/>
        <w:left w:val="none" w:sz="0" w:space="0" w:color="auto"/>
        <w:bottom w:val="none" w:sz="0" w:space="0" w:color="auto"/>
        <w:right w:val="none" w:sz="0" w:space="0" w:color="auto"/>
      </w:divBdr>
    </w:div>
    <w:div w:id="573200545">
      <w:bodyDiv w:val="1"/>
      <w:marLeft w:val="0"/>
      <w:marRight w:val="0"/>
      <w:marTop w:val="0"/>
      <w:marBottom w:val="0"/>
      <w:divBdr>
        <w:top w:val="none" w:sz="0" w:space="0" w:color="auto"/>
        <w:left w:val="none" w:sz="0" w:space="0" w:color="auto"/>
        <w:bottom w:val="none" w:sz="0" w:space="0" w:color="auto"/>
        <w:right w:val="none" w:sz="0" w:space="0" w:color="auto"/>
      </w:divBdr>
    </w:div>
    <w:div w:id="573392839">
      <w:bodyDiv w:val="1"/>
      <w:marLeft w:val="0"/>
      <w:marRight w:val="0"/>
      <w:marTop w:val="0"/>
      <w:marBottom w:val="0"/>
      <w:divBdr>
        <w:top w:val="none" w:sz="0" w:space="0" w:color="auto"/>
        <w:left w:val="none" w:sz="0" w:space="0" w:color="auto"/>
        <w:bottom w:val="none" w:sz="0" w:space="0" w:color="auto"/>
        <w:right w:val="none" w:sz="0" w:space="0" w:color="auto"/>
      </w:divBdr>
    </w:div>
    <w:div w:id="573398812">
      <w:bodyDiv w:val="1"/>
      <w:marLeft w:val="0"/>
      <w:marRight w:val="0"/>
      <w:marTop w:val="0"/>
      <w:marBottom w:val="0"/>
      <w:divBdr>
        <w:top w:val="none" w:sz="0" w:space="0" w:color="auto"/>
        <w:left w:val="none" w:sz="0" w:space="0" w:color="auto"/>
        <w:bottom w:val="none" w:sz="0" w:space="0" w:color="auto"/>
        <w:right w:val="none" w:sz="0" w:space="0" w:color="auto"/>
      </w:divBdr>
    </w:div>
    <w:div w:id="573510041">
      <w:bodyDiv w:val="1"/>
      <w:marLeft w:val="0"/>
      <w:marRight w:val="0"/>
      <w:marTop w:val="0"/>
      <w:marBottom w:val="0"/>
      <w:divBdr>
        <w:top w:val="none" w:sz="0" w:space="0" w:color="auto"/>
        <w:left w:val="none" w:sz="0" w:space="0" w:color="auto"/>
        <w:bottom w:val="none" w:sz="0" w:space="0" w:color="auto"/>
        <w:right w:val="none" w:sz="0" w:space="0" w:color="auto"/>
      </w:divBdr>
    </w:div>
    <w:div w:id="573852613">
      <w:bodyDiv w:val="1"/>
      <w:marLeft w:val="0"/>
      <w:marRight w:val="0"/>
      <w:marTop w:val="0"/>
      <w:marBottom w:val="0"/>
      <w:divBdr>
        <w:top w:val="none" w:sz="0" w:space="0" w:color="auto"/>
        <w:left w:val="none" w:sz="0" w:space="0" w:color="auto"/>
        <w:bottom w:val="none" w:sz="0" w:space="0" w:color="auto"/>
        <w:right w:val="none" w:sz="0" w:space="0" w:color="auto"/>
      </w:divBdr>
    </w:div>
    <w:div w:id="574780105">
      <w:bodyDiv w:val="1"/>
      <w:marLeft w:val="0"/>
      <w:marRight w:val="0"/>
      <w:marTop w:val="0"/>
      <w:marBottom w:val="0"/>
      <w:divBdr>
        <w:top w:val="none" w:sz="0" w:space="0" w:color="auto"/>
        <w:left w:val="none" w:sz="0" w:space="0" w:color="auto"/>
        <w:bottom w:val="none" w:sz="0" w:space="0" w:color="auto"/>
        <w:right w:val="none" w:sz="0" w:space="0" w:color="auto"/>
      </w:divBdr>
    </w:div>
    <w:div w:id="575630810">
      <w:bodyDiv w:val="1"/>
      <w:marLeft w:val="0"/>
      <w:marRight w:val="0"/>
      <w:marTop w:val="0"/>
      <w:marBottom w:val="0"/>
      <w:divBdr>
        <w:top w:val="none" w:sz="0" w:space="0" w:color="auto"/>
        <w:left w:val="none" w:sz="0" w:space="0" w:color="auto"/>
        <w:bottom w:val="none" w:sz="0" w:space="0" w:color="auto"/>
        <w:right w:val="none" w:sz="0" w:space="0" w:color="auto"/>
      </w:divBdr>
    </w:div>
    <w:div w:id="576403158">
      <w:bodyDiv w:val="1"/>
      <w:marLeft w:val="0"/>
      <w:marRight w:val="0"/>
      <w:marTop w:val="0"/>
      <w:marBottom w:val="0"/>
      <w:divBdr>
        <w:top w:val="none" w:sz="0" w:space="0" w:color="auto"/>
        <w:left w:val="none" w:sz="0" w:space="0" w:color="auto"/>
        <w:bottom w:val="none" w:sz="0" w:space="0" w:color="auto"/>
        <w:right w:val="none" w:sz="0" w:space="0" w:color="auto"/>
      </w:divBdr>
    </w:div>
    <w:div w:id="576523769">
      <w:bodyDiv w:val="1"/>
      <w:marLeft w:val="0"/>
      <w:marRight w:val="0"/>
      <w:marTop w:val="0"/>
      <w:marBottom w:val="0"/>
      <w:divBdr>
        <w:top w:val="none" w:sz="0" w:space="0" w:color="auto"/>
        <w:left w:val="none" w:sz="0" w:space="0" w:color="auto"/>
        <w:bottom w:val="none" w:sz="0" w:space="0" w:color="auto"/>
        <w:right w:val="none" w:sz="0" w:space="0" w:color="auto"/>
      </w:divBdr>
    </w:div>
    <w:div w:id="576792910">
      <w:bodyDiv w:val="1"/>
      <w:marLeft w:val="0"/>
      <w:marRight w:val="0"/>
      <w:marTop w:val="0"/>
      <w:marBottom w:val="0"/>
      <w:divBdr>
        <w:top w:val="none" w:sz="0" w:space="0" w:color="auto"/>
        <w:left w:val="none" w:sz="0" w:space="0" w:color="auto"/>
        <w:bottom w:val="none" w:sz="0" w:space="0" w:color="auto"/>
        <w:right w:val="none" w:sz="0" w:space="0" w:color="auto"/>
      </w:divBdr>
    </w:div>
    <w:div w:id="577517796">
      <w:bodyDiv w:val="1"/>
      <w:marLeft w:val="0"/>
      <w:marRight w:val="0"/>
      <w:marTop w:val="0"/>
      <w:marBottom w:val="0"/>
      <w:divBdr>
        <w:top w:val="none" w:sz="0" w:space="0" w:color="auto"/>
        <w:left w:val="none" w:sz="0" w:space="0" w:color="auto"/>
        <w:bottom w:val="none" w:sz="0" w:space="0" w:color="auto"/>
        <w:right w:val="none" w:sz="0" w:space="0" w:color="auto"/>
      </w:divBdr>
    </w:div>
    <w:div w:id="577593269">
      <w:bodyDiv w:val="1"/>
      <w:marLeft w:val="0"/>
      <w:marRight w:val="0"/>
      <w:marTop w:val="0"/>
      <w:marBottom w:val="0"/>
      <w:divBdr>
        <w:top w:val="none" w:sz="0" w:space="0" w:color="auto"/>
        <w:left w:val="none" w:sz="0" w:space="0" w:color="auto"/>
        <w:bottom w:val="none" w:sz="0" w:space="0" w:color="auto"/>
        <w:right w:val="none" w:sz="0" w:space="0" w:color="auto"/>
      </w:divBdr>
    </w:div>
    <w:div w:id="579020839">
      <w:bodyDiv w:val="1"/>
      <w:marLeft w:val="0"/>
      <w:marRight w:val="0"/>
      <w:marTop w:val="0"/>
      <w:marBottom w:val="0"/>
      <w:divBdr>
        <w:top w:val="none" w:sz="0" w:space="0" w:color="auto"/>
        <w:left w:val="none" w:sz="0" w:space="0" w:color="auto"/>
        <w:bottom w:val="none" w:sz="0" w:space="0" w:color="auto"/>
        <w:right w:val="none" w:sz="0" w:space="0" w:color="auto"/>
      </w:divBdr>
    </w:div>
    <w:div w:id="579098327">
      <w:bodyDiv w:val="1"/>
      <w:marLeft w:val="0"/>
      <w:marRight w:val="0"/>
      <w:marTop w:val="0"/>
      <w:marBottom w:val="0"/>
      <w:divBdr>
        <w:top w:val="none" w:sz="0" w:space="0" w:color="auto"/>
        <w:left w:val="none" w:sz="0" w:space="0" w:color="auto"/>
        <w:bottom w:val="none" w:sz="0" w:space="0" w:color="auto"/>
        <w:right w:val="none" w:sz="0" w:space="0" w:color="auto"/>
      </w:divBdr>
    </w:div>
    <w:div w:id="579216459">
      <w:bodyDiv w:val="1"/>
      <w:marLeft w:val="0"/>
      <w:marRight w:val="0"/>
      <w:marTop w:val="0"/>
      <w:marBottom w:val="0"/>
      <w:divBdr>
        <w:top w:val="none" w:sz="0" w:space="0" w:color="auto"/>
        <w:left w:val="none" w:sz="0" w:space="0" w:color="auto"/>
        <w:bottom w:val="none" w:sz="0" w:space="0" w:color="auto"/>
        <w:right w:val="none" w:sz="0" w:space="0" w:color="auto"/>
      </w:divBdr>
    </w:div>
    <w:div w:id="579294163">
      <w:bodyDiv w:val="1"/>
      <w:marLeft w:val="0"/>
      <w:marRight w:val="0"/>
      <w:marTop w:val="0"/>
      <w:marBottom w:val="0"/>
      <w:divBdr>
        <w:top w:val="none" w:sz="0" w:space="0" w:color="auto"/>
        <w:left w:val="none" w:sz="0" w:space="0" w:color="auto"/>
        <w:bottom w:val="none" w:sz="0" w:space="0" w:color="auto"/>
        <w:right w:val="none" w:sz="0" w:space="0" w:color="auto"/>
      </w:divBdr>
    </w:div>
    <w:div w:id="579565342">
      <w:bodyDiv w:val="1"/>
      <w:marLeft w:val="0"/>
      <w:marRight w:val="0"/>
      <w:marTop w:val="0"/>
      <w:marBottom w:val="0"/>
      <w:divBdr>
        <w:top w:val="none" w:sz="0" w:space="0" w:color="auto"/>
        <w:left w:val="none" w:sz="0" w:space="0" w:color="auto"/>
        <w:bottom w:val="none" w:sz="0" w:space="0" w:color="auto"/>
        <w:right w:val="none" w:sz="0" w:space="0" w:color="auto"/>
      </w:divBdr>
    </w:div>
    <w:div w:id="579566073">
      <w:bodyDiv w:val="1"/>
      <w:marLeft w:val="0"/>
      <w:marRight w:val="0"/>
      <w:marTop w:val="0"/>
      <w:marBottom w:val="0"/>
      <w:divBdr>
        <w:top w:val="none" w:sz="0" w:space="0" w:color="auto"/>
        <w:left w:val="none" w:sz="0" w:space="0" w:color="auto"/>
        <w:bottom w:val="none" w:sz="0" w:space="0" w:color="auto"/>
        <w:right w:val="none" w:sz="0" w:space="0" w:color="auto"/>
      </w:divBdr>
    </w:div>
    <w:div w:id="581261341">
      <w:bodyDiv w:val="1"/>
      <w:marLeft w:val="0"/>
      <w:marRight w:val="0"/>
      <w:marTop w:val="0"/>
      <w:marBottom w:val="0"/>
      <w:divBdr>
        <w:top w:val="none" w:sz="0" w:space="0" w:color="auto"/>
        <w:left w:val="none" w:sz="0" w:space="0" w:color="auto"/>
        <w:bottom w:val="none" w:sz="0" w:space="0" w:color="auto"/>
        <w:right w:val="none" w:sz="0" w:space="0" w:color="auto"/>
      </w:divBdr>
    </w:div>
    <w:div w:id="581333971">
      <w:bodyDiv w:val="1"/>
      <w:marLeft w:val="0"/>
      <w:marRight w:val="0"/>
      <w:marTop w:val="0"/>
      <w:marBottom w:val="0"/>
      <w:divBdr>
        <w:top w:val="none" w:sz="0" w:space="0" w:color="auto"/>
        <w:left w:val="none" w:sz="0" w:space="0" w:color="auto"/>
        <w:bottom w:val="none" w:sz="0" w:space="0" w:color="auto"/>
        <w:right w:val="none" w:sz="0" w:space="0" w:color="auto"/>
      </w:divBdr>
    </w:div>
    <w:div w:id="581373698">
      <w:bodyDiv w:val="1"/>
      <w:marLeft w:val="0"/>
      <w:marRight w:val="0"/>
      <w:marTop w:val="0"/>
      <w:marBottom w:val="0"/>
      <w:divBdr>
        <w:top w:val="none" w:sz="0" w:space="0" w:color="auto"/>
        <w:left w:val="none" w:sz="0" w:space="0" w:color="auto"/>
        <w:bottom w:val="none" w:sz="0" w:space="0" w:color="auto"/>
        <w:right w:val="none" w:sz="0" w:space="0" w:color="auto"/>
      </w:divBdr>
    </w:div>
    <w:div w:id="582564939">
      <w:bodyDiv w:val="1"/>
      <w:marLeft w:val="0"/>
      <w:marRight w:val="0"/>
      <w:marTop w:val="0"/>
      <w:marBottom w:val="0"/>
      <w:divBdr>
        <w:top w:val="none" w:sz="0" w:space="0" w:color="auto"/>
        <w:left w:val="none" w:sz="0" w:space="0" w:color="auto"/>
        <w:bottom w:val="none" w:sz="0" w:space="0" w:color="auto"/>
        <w:right w:val="none" w:sz="0" w:space="0" w:color="auto"/>
      </w:divBdr>
    </w:div>
    <w:div w:id="582958672">
      <w:bodyDiv w:val="1"/>
      <w:marLeft w:val="0"/>
      <w:marRight w:val="0"/>
      <w:marTop w:val="0"/>
      <w:marBottom w:val="0"/>
      <w:divBdr>
        <w:top w:val="none" w:sz="0" w:space="0" w:color="auto"/>
        <w:left w:val="none" w:sz="0" w:space="0" w:color="auto"/>
        <w:bottom w:val="none" w:sz="0" w:space="0" w:color="auto"/>
        <w:right w:val="none" w:sz="0" w:space="0" w:color="auto"/>
      </w:divBdr>
    </w:div>
    <w:div w:id="583299806">
      <w:bodyDiv w:val="1"/>
      <w:marLeft w:val="0"/>
      <w:marRight w:val="0"/>
      <w:marTop w:val="0"/>
      <w:marBottom w:val="0"/>
      <w:divBdr>
        <w:top w:val="none" w:sz="0" w:space="0" w:color="auto"/>
        <w:left w:val="none" w:sz="0" w:space="0" w:color="auto"/>
        <w:bottom w:val="none" w:sz="0" w:space="0" w:color="auto"/>
        <w:right w:val="none" w:sz="0" w:space="0" w:color="auto"/>
      </w:divBdr>
    </w:div>
    <w:div w:id="583339283">
      <w:bodyDiv w:val="1"/>
      <w:marLeft w:val="0"/>
      <w:marRight w:val="0"/>
      <w:marTop w:val="0"/>
      <w:marBottom w:val="0"/>
      <w:divBdr>
        <w:top w:val="none" w:sz="0" w:space="0" w:color="auto"/>
        <w:left w:val="none" w:sz="0" w:space="0" w:color="auto"/>
        <w:bottom w:val="none" w:sz="0" w:space="0" w:color="auto"/>
        <w:right w:val="none" w:sz="0" w:space="0" w:color="auto"/>
      </w:divBdr>
    </w:div>
    <w:div w:id="583421796">
      <w:bodyDiv w:val="1"/>
      <w:marLeft w:val="0"/>
      <w:marRight w:val="0"/>
      <w:marTop w:val="0"/>
      <w:marBottom w:val="0"/>
      <w:divBdr>
        <w:top w:val="none" w:sz="0" w:space="0" w:color="auto"/>
        <w:left w:val="none" w:sz="0" w:space="0" w:color="auto"/>
        <w:bottom w:val="none" w:sz="0" w:space="0" w:color="auto"/>
        <w:right w:val="none" w:sz="0" w:space="0" w:color="auto"/>
      </w:divBdr>
    </w:div>
    <w:div w:id="583606290">
      <w:bodyDiv w:val="1"/>
      <w:marLeft w:val="0"/>
      <w:marRight w:val="0"/>
      <w:marTop w:val="0"/>
      <w:marBottom w:val="0"/>
      <w:divBdr>
        <w:top w:val="none" w:sz="0" w:space="0" w:color="auto"/>
        <w:left w:val="none" w:sz="0" w:space="0" w:color="auto"/>
        <w:bottom w:val="none" w:sz="0" w:space="0" w:color="auto"/>
        <w:right w:val="none" w:sz="0" w:space="0" w:color="auto"/>
      </w:divBdr>
    </w:div>
    <w:div w:id="583926136">
      <w:bodyDiv w:val="1"/>
      <w:marLeft w:val="0"/>
      <w:marRight w:val="0"/>
      <w:marTop w:val="0"/>
      <w:marBottom w:val="0"/>
      <w:divBdr>
        <w:top w:val="none" w:sz="0" w:space="0" w:color="auto"/>
        <w:left w:val="none" w:sz="0" w:space="0" w:color="auto"/>
        <w:bottom w:val="none" w:sz="0" w:space="0" w:color="auto"/>
        <w:right w:val="none" w:sz="0" w:space="0" w:color="auto"/>
      </w:divBdr>
    </w:div>
    <w:div w:id="583953703">
      <w:bodyDiv w:val="1"/>
      <w:marLeft w:val="0"/>
      <w:marRight w:val="0"/>
      <w:marTop w:val="0"/>
      <w:marBottom w:val="0"/>
      <w:divBdr>
        <w:top w:val="none" w:sz="0" w:space="0" w:color="auto"/>
        <w:left w:val="none" w:sz="0" w:space="0" w:color="auto"/>
        <w:bottom w:val="none" w:sz="0" w:space="0" w:color="auto"/>
        <w:right w:val="none" w:sz="0" w:space="0" w:color="auto"/>
      </w:divBdr>
    </w:div>
    <w:div w:id="583957705">
      <w:bodyDiv w:val="1"/>
      <w:marLeft w:val="0"/>
      <w:marRight w:val="0"/>
      <w:marTop w:val="0"/>
      <w:marBottom w:val="0"/>
      <w:divBdr>
        <w:top w:val="none" w:sz="0" w:space="0" w:color="auto"/>
        <w:left w:val="none" w:sz="0" w:space="0" w:color="auto"/>
        <w:bottom w:val="none" w:sz="0" w:space="0" w:color="auto"/>
        <w:right w:val="none" w:sz="0" w:space="0" w:color="auto"/>
      </w:divBdr>
    </w:div>
    <w:div w:id="584076972">
      <w:bodyDiv w:val="1"/>
      <w:marLeft w:val="0"/>
      <w:marRight w:val="0"/>
      <w:marTop w:val="0"/>
      <w:marBottom w:val="0"/>
      <w:divBdr>
        <w:top w:val="none" w:sz="0" w:space="0" w:color="auto"/>
        <w:left w:val="none" w:sz="0" w:space="0" w:color="auto"/>
        <w:bottom w:val="none" w:sz="0" w:space="0" w:color="auto"/>
        <w:right w:val="none" w:sz="0" w:space="0" w:color="auto"/>
      </w:divBdr>
    </w:div>
    <w:div w:id="584145463">
      <w:bodyDiv w:val="1"/>
      <w:marLeft w:val="0"/>
      <w:marRight w:val="0"/>
      <w:marTop w:val="0"/>
      <w:marBottom w:val="0"/>
      <w:divBdr>
        <w:top w:val="none" w:sz="0" w:space="0" w:color="auto"/>
        <w:left w:val="none" w:sz="0" w:space="0" w:color="auto"/>
        <w:bottom w:val="none" w:sz="0" w:space="0" w:color="auto"/>
        <w:right w:val="none" w:sz="0" w:space="0" w:color="auto"/>
      </w:divBdr>
    </w:div>
    <w:div w:id="584608803">
      <w:bodyDiv w:val="1"/>
      <w:marLeft w:val="0"/>
      <w:marRight w:val="0"/>
      <w:marTop w:val="0"/>
      <w:marBottom w:val="0"/>
      <w:divBdr>
        <w:top w:val="none" w:sz="0" w:space="0" w:color="auto"/>
        <w:left w:val="none" w:sz="0" w:space="0" w:color="auto"/>
        <w:bottom w:val="none" w:sz="0" w:space="0" w:color="auto"/>
        <w:right w:val="none" w:sz="0" w:space="0" w:color="auto"/>
      </w:divBdr>
    </w:div>
    <w:div w:id="584997043">
      <w:bodyDiv w:val="1"/>
      <w:marLeft w:val="0"/>
      <w:marRight w:val="0"/>
      <w:marTop w:val="0"/>
      <w:marBottom w:val="0"/>
      <w:divBdr>
        <w:top w:val="none" w:sz="0" w:space="0" w:color="auto"/>
        <w:left w:val="none" w:sz="0" w:space="0" w:color="auto"/>
        <w:bottom w:val="none" w:sz="0" w:space="0" w:color="auto"/>
        <w:right w:val="none" w:sz="0" w:space="0" w:color="auto"/>
      </w:divBdr>
    </w:div>
    <w:div w:id="585191865">
      <w:bodyDiv w:val="1"/>
      <w:marLeft w:val="0"/>
      <w:marRight w:val="0"/>
      <w:marTop w:val="0"/>
      <w:marBottom w:val="0"/>
      <w:divBdr>
        <w:top w:val="none" w:sz="0" w:space="0" w:color="auto"/>
        <w:left w:val="none" w:sz="0" w:space="0" w:color="auto"/>
        <w:bottom w:val="none" w:sz="0" w:space="0" w:color="auto"/>
        <w:right w:val="none" w:sz="0" w:space="0" w:color="auto"/>
      </w:divBdr>
    </w:div>
    <w:div w:id="585381322">
      <w:bodyDiv w:val="1"/>
      <w:marLeft w:val="0"/>
      <w:marRight w:val="0"/>
      <w:marTop w:val="0"/>
      <w:marBottom w:val="0"/>
      <w:divBdr>
        <w:top w:val="none" w:sz="0" w:space="0" w:color="auto"/>
        <w:left w:val="none" w:sz="0" w:space="0" w:color="auto"/>
        <w:bottom w:val="none" w:sz="0" w:space="0" w:color="auto"/>
        <w:right w:val="none" w:sz="0" w:space="0" w:color="auto"/>
      </w:divBdr>
    </w:div>
    <w:div w:id="585386090">
      <w:bodyDiv w:val="1"/>
      <w:marLeft w:val="0"/>
      <w:marRight w:val="0"/>
      <w:marTop w:val="0"/>
      <w:marBottom w:val="0"/>
      <w:divBdr>
        <w:top w:val="none" w:sz="0" w:space="0" w:color="auto"/>
        <w:left w:val="none" w:sz="0" w:space="0" w:color="auto"/>
        <w:bottom w:val="none" w:sz="0" w:space="0" w:color="auto"/>
        <w:right w:val="none" w:sz="0" w:space="0" w:color="auto"/>
      </w:divBdr>
    </w:div>
    <w:div w:id="586815497">
      <w:bodyDiv w:val="1"/>
      <w:marLeft w:val="0"/>
      <w:marRight w:val="0"/>
      <w:marTop w:val="0"/>
      <w:marBottom w:val="0"/>
      <w:divBdr>
        <w:top w:val="none" w:sz="0" w:space="0" w:color="auto"/>
        <w:left w:val="none" w:sz="0" w:space="0" w:color="auto"/>
        <w:bottom w:val="none" w:sz="0" w:space="0" w:color="auto"/>
        <w:right w:val="none" w:sz="0" w:space="0" w:color="auto"/>
      </w:divBdr>
    </w:div>
    <w:div w:id="587006808">
      <w:bodyDiv w:val="1"/>
      <w:marLeft w:val="0"/>
      <w:marRight w:val="0"/>
      <w:marTop w:val="0"/>
      <w:marBottom w:val="0"/>
      <w:divBdr>
        <w:top w:val="none" w:sz="0" w:space="0" w:color="auto"/>
        <w:left w:val="none" w:sz="0" w:space="0" w:color="auto"/>
        <w:bottom w:val="none" w:sz="0" w:space="0" w:color="auto"/>
        <w:right w:val="none" w:sz="0" w:space="0" w:color="auto"/>
      </w:divBdr>
    </w:div>
    <w:div w:id="587420191">
      <w:bodyDiv w:val="1"/>
      <w:marLeft w:val="0"/>
      <w:marRight w:val="0"/>
      <w:marTop w:val="0"/>
      <w:marBottom w:val="0"/>
      <w:divBdr>
        <w:top w:val="none" w:sz="0" w:space="0" w:color="auto"/>
        <w:left w:val="none" w:sz="0" w:space="0" w:color="auto"/>
        <w:bottom w:val="none" w:sz="0" w:space="0" w:color="auto"/>
        <w:right w:val="none" w:sz="0" w:space="0" w:color="auto"/>
      </w:divBdr>
    </w:div>
    <w:div w:id="587620974">
      <w:bodyDiv w:val="1"/>
      <w:marLeft w:val="0"/>
      <w:marRight w:val="0"/>
      <w:marTop w:val="0"/>
      <w:marBottom w:val="0"/>
      <w:divBdr>
        <w:top w:val="none" w:sz="0" w:space="0" w:color="auto"/>
        <w:left w:val="none" w:sz="0" w:space="0" w:color="auto"/>
        <w:bottom w:val="none" w:sz="0" w:space="0" w:color="auto"/>
        <w:right w:val="none" w:sz="0" w:space="0" w:color="auto"/>
      </w:divBdr>
    </w:div>
    <w:div w:id="588075448">
      <w:bodyDiv w:val="1"/>
      <w:marLeft w:val="0"/>
      <w:marRight w:val="0"/>
      <w:marTop w:val="0"/>
      <w:marBottom w:val="0"/>
      <w:divBdr>
        <w:top w:val="none" w:sz="0" w:space="0" w:color="auto"/>
        <w:left w:val="none" w:sz="0" w:space="0" w:color="auto"/>
        <w:bottom w:val="none" w:sz="0" w:space="0" w:color="auto"/>
        <w:right w:val="none" w:sz="0" w:space="0" w:color="auto"/>
      </w:divBdr>
    </w:div>
    <w:div w:id="588151818">
      <w:bodyDiv w:val="1"/>
      <w:marLeft w:val="0"/>
      <w:marRight w:val="0"/>
      <w:marTop w:val="0"/>
      <w:marBottom w:val="0"/>
      <w:divBdr>
        <w:top w:val="none" w:sz="0" w:space="0" w:color="auto"/>
        <w:left w:val="none" w:sz="0" w:space="0" w:color="auto"/>
        <w:bottom w:val="none" w:sz="0" w:space="0" w:color="auto"/>
        <w:right w:val="none" w:sz="0" w:space="0" w:color="auto"/>
      </w:divBdr>
    </w:div>
    <w:div w:id="588198291">
      <w:bodyDiv w:val="1"/>
      <w:marLeft w:val="0"/>
      <w:marRight w:val="0"/>
      <w:marTop w:val="0"/>
      <w:marBottom w:val="0"/>
      <w:divBdr>
        <w:top w:val="none" w:sz="0" w:space="0" w:color="auto"/>
        <w:left w:val="none" w:sz="0" w:space="0" w:color="auto"/>
        <w:bottom w:val="none" w:sz="0" w:space="0" w:color="auto"/>
        <w:right w:val="none" w:sz="0" w:space="0" w:color="auto"/>
      </w:divBdr>
    </w:div>
    <w:div w:id="588659276">
      <w:bodyDiv w:val="1"/>
      <w:marLeft w:val="0"/>
      <w:marRight w:val="0"/>
      <w:marTop w:val="0"/>
      <w:marBottom w:val="0"/>
      <w:divBdr>
        <w:top w:val="none" w:sz="0" w:space="0" w:color="auto"/>
        <w:left w:val="none" w:sz="0" w:space="0" w:color="auto"/>
        <w:bottom w:val="none" w:sz="0" w:space="0" w:color="auto"/>
        <w:right w:val="none" w:sz="0" w:space="0" w:color="auto"/>
      </w:divBdr>
    </w:div>
    <w:div w:id="589004250">
      <w:bodyDiv w:val="1"/>
      <w:marLeft w:val="0"/>
      <w:marRight w:val="0"/>
      <w:marTop w:val="0"/>
      <w:marBottom w:val="0"/>
      <w:divBdr>
        <w:top w:val="none" w:sz="0" w:space="0" w:color="auto"/>
        <w:left w:val="none" w:sz="0" w:space="0" w:color="auto"/>
        <w:bottom w:val="none" w:sz="0" w:space="0" w:color="auto"/>
        <w:right w:val="none" w:sz="0" w:space="0" w:color="auto"/>
      </w:divBdr>
    </w:div>
    <w:div w:id="589235717">
      <w:bodyDiv w:val="1"/>
      <w:marLeft w:val="0"/>
      <w:marRight w:val="0"/>
      <w:marTop w:val="0"/>
      <w:marBottom w:val="0"/>
      <w:divBdr>
        <w:top w:val="none" w:sz="0" w:space="0" w:color="auto"/>
        <w:left w:val="none" w:sz="0" w:space="0" w:color="auto"/>
        <w:bottom w:val="none" w:sz="0" w:space="0" w:color="auto"/>
        <w:right w:val="none" w:sz="0" w:space="0" w:color="auto"/>
      </w:divBdr>
    </w:div>
    <w:div w:id="589504766">
      <w:bodyDiv w:val="1"/>
      <w:marLeft w:val="0"/>
      <w:marRight w:val="0"/>
      <w:marTop w:val="0"/>
      <w:marBottom w:val="0"/>
      <w:divBdr>
        <w:top w:val="none" w:sz="0" w:space="0" w:color="auto"/>
        <w:left w:val="none" w:sz="0" w:space="0" w:color="auto"/>
        <w:bottom w:val="none" w:sz="0" w:space="0" w:color="auto"/>
        <w:right w:val="none" w:sz="0" w:space="0" w:color="auto"/>
      </w:divBdr>
    </w:div>
    <w:div w:id="589699190">
      <w:bodyDiv w:val="1"/>
      <w:marLeft w:val="0"/>
      <w:marRight w:val="0"/>
      <w:marTop w:val="0"/>
      <w:marBottom w:val="0"/>
      <w:divBdr>
        <w:top w:val="none" w:sz="0" w:space="0" w:color="auto"/>
        <w:left w:val="none" w:sz="0" w:space="0" w:color="auto"/>
        <w:bottom w:val="none" w:sz="0" w:space="0" w:color="auto"/>
        <w:right w:val="none" w:sz="0" w:space="0" w:color="auto"/>
      </w:divBdr>
    </w:div>
    <w:div w:id="589965581">
      <w:bodyDiv w:val="1"/>
      <w:marLeft w:val="0"/>
      <w:marRight w:val="0"/>
      <w:marTop w:val="0"/>
      <w:marBottom w:val="0"/>
      <w:divBdr>
        <w:top w:val="none" w:sz="0" w:space="0" w:color="auto"/>
        <w:left w:val="none" w:sz="0" w:space="0" w:color="auto"/>
        <w:bottom w:val="none" w:sz="0" w:space="0" w:color="auto"/>
        <w:right w:val="none" w:sz="0" w:space="0" w:color="auto"/>
      </w:divBdr>
    </w:div>
    <w:div w:id="590047094">
      <w:bodyDiv w:val="1"/>
      <w:marLeft w:val="0"/>
      <w:marRight w:val="0"/>
      <w:marTop w:val="0"/>
      <w:marBottom w:val="0"/>
      <w:divBdr>
        <w:top w:val="none" w:sz="0" w:space="0" w:color="auto"/>
        <w:left w:val="none" w:sz="0" w:space="0" w:color="auto"/>
        <w:bottom w:val="none" w:sz="0" w:space="0" w:color="auto"/>
        <w:right w:val="none" w:sz="0" w:space="0" w:color="auto"/>
      </w:divBdr>
    </w:div>
    <w:div w:id="590234117">
      <w:bodyDiv w:val="1"/>
      <w:marLeft w:val="0"/>
      <w:marRight w:val="0"/>
      <w:marTop w:val="0"/>
      <w:marBottom w:val="0"/>
      <w:divBdr>
        <w:top w:val="none" w:sz="0" w:space="0" w:color="auto"/>
        <w:left w:val="none" w:sz="0" w:space="0" w:color="auto"/>
        <w:bottom w:val="none" w:sz="0" w:space="0" w:color="auto"/>
        <w:right w:val="none" w:sz="0" w:space="0" w:color="auto"/>
      </w:divBdr>
    </w:div>
    <w:div w:id="590505333">
      <w:bodyDiv w:val="1"/>
      <w:marLeft w:val="0"/>
      <w:marRight w:val="0"/>
      <w:marTop w:val="0"/>
      <w:marBottom w:val="0"/>
      <w:divBdr>
        <w:top w:val="none" w:sz="0" w:space="0" w:color="auto"/>
        <w:left w:val="none" w:sz="0" w:space="0" w:color="auto"/>
        <w:bottom w:val="none" w:sz="0" w:space="0" w:color="auto"/>
        <w:right w:val="none" w:sz="0" w:space="0" w:color="auto"/>
      </w:divBdr>
    </w:div>
    <w:div w:id="591427164">
      <w:bodyDiv w:val="1"/>
      <w:marLeft w:val="0"/>
      <w:marRight w:val="0"/>
      <w:marTop w:val="0"/>
      <w:marBottom w:val="0"/>
      <w:divBdr>
        <w:top w:val="none" w:sz="0" w:space="0" w:color="auto"/>
        <w:left w:val="none" w:sz="0" w:space="0" w:color="auto"/>
        <w:bottom w:val="none" w:sz="0" w:space="0" w:color="auto"/>
        <w:right w:val="none" w:sz="0" w:space="0" w:color="auto"/>
      </w:divBdr>
    </w:div>
    <w:div w:id="591548960">
      <w:bodyDiv w:val="1"/>
      <w:marLeft w:val="0"/>
      <w:marRight w:val="0"/>
      <w:marTop w:val="0"/>
      <w:marBottom w:val="0"/>
      <w:divBdr>
        <w:top w:val="none" w:sz="0" w:space="0" w:color="auto"/>
        <w:left w:val="none" w:sz="0" w:space="0" w:color="auto"/>
        <w:bottom w:val="none" w:sz="0" w:space="0" w:color="auto"/>
        <w:right w:val="none" w:sz="0" w:space="0" w:color="auto"/>
      </w:divBdr>
    </w:div>
    <w:div w:id="592011588">
      <w:bodyDiv w:val="1"/>
      <w:marLeft w:val="0"/>
      <w:marRight w:val="0"/>
      <w:marTop w:val="0"/>
      <w:marBottom w:val="0"/>
      <w:divBdr>
        <w:top w:val="none" w:sz="0" w:space="0" w:color="auto"/>
        <w:left w:val="none" w:sz="0" w:space="0" w:color="auto"/>
        <w:bottom w:val="none" w:sz="0" w:space="0" w:color="auto"/>
        <w:right w:val="none" w:sz="0" w:space="0" w:color="auto"/>
      </w:divBdr>
    </w:div>
    <w:div w:id="592013444">
      <w:bodyDiv w:val="1"/>
      <w:marLeft w:val="0"/>
      <w:marRight w:val="0"/>
      <w:marTop w:val="0"/>
      <w:marBottom w:val="0"/>
      <w:divBdr>
        <w:top w:val="none" w:sz="0" w:space="0" w:color="auto"/>
        <w:left w:val="none" w:sz="0" w:space="0" w:color="auto"/>
        <w:bottom w:val="none" w:sz="0" w:space="0" w:color="auto"/>
        <w:right w:val="none" w:sz="0" w:space="0" w:color="auto"/>
      </w:divBdr>
    </w:div>
    <w:div w:id="592126047">
      <w:bodyDiv w:val="1"/>
      <w:marLeft w:val="0"/>
      <w:marRight w:val="0"/>
      <w:marTop w:val="0"/>
      <w:marBottom w:val="0"/>
      <w:divBdr>
        <w:top w:val="none" w:sz="0" w:space="0" w:color="auto"/>
        <w:left w:val="none" w:sz="0" w:space="0" w:color="auto"/>
        <w:bottom w:val="none" w:sz="0" w:space="0" w:color="auto"/>
        <w:right w:val="none" w:sz="0" w:space="0" w:color="auto"/>
      </w:divBdr>
    </w:div>
    <w:div w:id="592785304">
      <w:bodyDiv w:val="1"/>
      <w:marLeft w:val="0"/>
      <w:marRight w:val="0"/>
      <w:marTop w:val="0"/>
      <w:marBottom w:val="0"/>
      <w:divBdr>
        <w:top w:val="none" w:sz="0" w:space="0" w:color="auto"/>
        <w:left w:val="none" w:sz="0" w:space="0" w:color="auto"/>
        <w:bottom w:val="none" w:sz="0" w:space="0" w:color="auto"/>
        <w:right w:val="none" w:sz="0" w:space="0" w:color="auto"/>
      </w:divBdr>
    </w:div>
    <w:div w:id="593242095">
      <w:bodyDiv w:val="1"/>
      <w:marLeft w:val="0"/>
      <w:marRight w:val="0"/>
      <w:marTop w:val="0"/>
      <w:marBottom w:val="0"/>
      <w:divBdr>
        <w:top w:val="none" w:sz="0" w:space="0" w:color="auto"/>
        <w:left w:val="none" w:sz="0" w:space="0" w:color="auto"/>
        <w:bottom w:val="none" w:sz="0" w:space="0" w:color="auto"/>
        <w:right w:val="none" w:sz="0" w:space="0" w:color="auto"/>
      </w:divBdr>
    </w:div>
    <w:div w:id="593711239">
      <w:bodyDiv w:val="1"/>
      <w:marLeft w:val="0"/>
      <w:marRight w:val="0"/>
      <w:marTop w:val="0"/>
      <w:marBottom w:val="0"/>
      <w:divBdr>
        <w:top w:val="none" w:sz="0" w:space="0" w:color="auto"/>
        <w:left w:val="none" w:sz="0" w:space="0" w:color="auto"/>
        <w:bottom w:val="none" w:sz="0" w:space="0" w:color="auto"/>
        <w:right w:val="none" w:sz="0" w:space="0" w:color="auto"/>
      </w:divBdr>
    </w:div>
    <w:div w:id="594217607">
      <w:bodyDiv w:val="1"/>
      <w:marLeft w:val="0"/>
      <w:marRight w:val="0"/>
      <w:marTop w:val="0"/>
      <w:marBottom w:val="0"/>
      <w:divBdr>
        <w:top w:val="none" w:sz="0" w:space="0" w:color="auto"/>
        <w:left w:val="none" w:sz="0" w:space="0" w:color="auto"/>
        <w:bottom w:val="none" w:sz="0" w:space="0" w:color="auto"/>
        <w:right w:val="none" w:sz="0" w:space="0" w:color="auto"/>
      </w:divBdr>
    </w:div>
    <w:div w:id="594242085">
      <w:bodyDiv w:val="1"/>
      <w:marLeft w:val="0"/>
      <w:marRight w:val="0"/>
      <w:marTop w:val="0"/>
      <w:marBottom w:val="0"/>
      <w:divBdr>
        <w:top w:val="none" w:sz="0" w:space="0" w:color="auto"/>
        <w:left w:val="none" w:sz="0" w:space="0" w:color="auto"/>
        <w:bottom w:val="none" w:sz="0" w:space="0" w:color="auto"/>
        <w:right w:val="none" w:sz="0" w:space="0" w:color="auto"/>
      </w:divBdr>
    </w:div>
    <w:div w:id="595015359">
      <w:bodyDiv w:val="1"/>
      <w:marLeft w:val="0"/>
      <w:marRight w:val="0"/>
      <w:marTop w:val="0"/>
      <w:marBottom w:val="0"/>
      <w:divBdr>
        <w:top w:val="none" w:sz="0" w:space="0" w:color="auto"/>
        <w:left w:val="none" w:sz="0" w:space="0" w:color="auto"/>
        <w:bottom w:val="none" w:sz="0" w:space="0" w:color="auto"/>
        <w:right w:val="none" w:sz="0" w:space="0" w:color="auto"/>
      </w:divBdr>
    </w:div>
    <w:div w:id="596443294">
      <w:bodyDiv w:val="1"/>
      <w:marLeft w:val="0"/>
      <w:marRight w:val="0"/>
      <w:marTop w:val="0"/>
      <w:marBottom w:val="0"/>
      <w:divBdr>
        <w:top w:val="none" w:sz="0" w:space="0" w:color="auto"/>
        <w:left w:val="none" w:sz="0" w:space="0" w:color="auto"/>
        <w:bottom w:val="none" w:sz="0" w:space="0" w:color="auto"/>
        <w:right w:val="none" w:sz="0" w:space="0" w:color="auto"/>
      </w:divBdr>
    </w:div>
    <w:div w:id="596644860">
      <w:bodyDiv w:val="1"/>
      <w:marLeft w:val="0"/>
      <w:marRight w:val="0"/>
      <w:marTop w:val="0"/>
      <w:marBottom w:val="0"/>
      <w:divBdr>
        <w:top w:val="none" w:sz="0" w:space="0" w:color="auto"/>
        <w:left w:val="none" w:sz="0" w:space="0" w:color="auto"/>
        <w:bottom w:val="none" w:sz="0" w:space="0" w:color="auto"/>
        <w:right w:val="none" w:sz="0" w:space="0" w:color="auto"/>
      </w:divBdr>
    </w:div>
    <w:div w:id="596715135">
      <w:bodyDiv w:val="1"/>
      <w:marLeft w:val="0"/>
      <w:marRight w:val="0"/>
      <w:marTop w:val="0"/>
      <w:marBottom w:val="0"/>
      <w:divBdr>
        <w:top w:val="none" w:sz="0" w:space="0" w:color="auto"/>
        <w:left w:val="none" w:sz="0" w:space="0" w:color="auto"/>
        <w:bottom w:val="none" w:sz="0" w:space="0" w:color="auto"/>
        <w:right w:val="none" w:sz="0" w:space="0" w:color="auto"/>
      </w:divBdr>
    </w:div>
    <w:div w:id="596983401">
      <w:bodyDiv w:val="1"/>
      <w:marLeft w:val="0"/>
      <w:marRight w:val="0"/>
      <w:marTop w:val="0"/>
      <w:marBottom w:val="0"/>
      <w:divBdr>
        <w:top w:val="none" w:sz="0" w:space="0" w:color="auto"/>
        <w:left w:val="none" w:sz="0" w:space="0" w:color="auto"/>
        <w:bottom w:val="none" w:sz="0" w:space="0" w:color="auto"/>
        <w:right w:val="none" w:sz="0" w:space="0" w:color="auto"/>
      </w:divBdr>
    </w:div>
    <w:div w:id="597057034">
      <w:bodyDiv w:val="1"/>
      <w:marLeft w:val="0"/>
      <w:marRight w:val="0"/>
      <w:marTop w:val="0"/>
      <w:marBottom w:val="0"/>
      <w:divBdr>
        <w:top w:val="none" w:sz="0" w:space="0" w:color="auto"/>
        <w:left w:val="none" w:sz="0" w:space="0" w:color="auto"/>
        <w:bottom w:val="none" w:sz="0" w:space="0" w:color="auto"/>
        <w:right w:val="none" w:sz="0" w:space="0" w:color="auto"/>
      </w:divBdr>
    </w:div>
    <w:div w:id="597179883">
      <w:bodyDiv w:val="1"/>
      <w:marLeft w:val="0"/>
      <w:marRight w:val="0"/>
      <w:marTop w:val="0"/>
      <w:marBottom w:val="0"/>
      <w:divBdr>
        <w:top w:val="none" w:sz="0" w:space="0" w:color="auto"/>
        <w:left w:val="none" w:sz="0" w:space="0" w:color="auto"/>
        <w:bottom w:val="none" w:sz="0" w:space="0" w:color="auto"/>
        <w:right w:val="none" w:sz="0" w:space="0" w:color="auto"/>
      </w:divBdr>
    </w:div>
    <w:div w:id="597257018">
      <w:bodyDiv w:val="1"/>
      <w:marLeft w:val="0"/>
      <w:marRight w:val="0"/>
      <w:marTop w:val="0"/>
      <w:marBottom w:val="0"/>
      <w:divBdr>
        <w:top w:val="none" w:sz="0" w:space="0" w:color="auto"/>
        <w:left w:val="none" w:sz="0" w:space="0" w:color="auto"/>
        <w:bottom w:val="none" w:sz="0" w:space="0" w:color="auto"/>
        <w:right w:val="none" w:sz="0" w:space="0" w:color="auto"/>
      </w:divBdr>
    </w:div>
    <w:div w:id="597786353">
      <w:bodyDiv w:val="1"/>
      <w:marLeft w:val="0"/>
      <w:marRight w:val="0"/>
      <w:marTop w:val="0"/>
      <w:marBottom w:val="0"/>
      <w:divBdr>
        <w:top w:val="none" w:sz="0" w:space="0" w:color="auto"/>
        <w:left w:val="none" w:sz="0" w:space="0" w:color="auto"/>
        <w:bottom w:val="none" w:sz="0" w:space="0" w:color="auto"/>
        <w:right w:val="none" w:sz="0" w:space="0" w:color="auto"/>
      </w:divBdr>
    </w:div>
    <w:div w:id="598485132">
      <w:bodyDiv w:val="1"/>
      <w:marLeft w:val="0"/>
      <w:marRight w:val="0"/>
      <w:marTop w:val="0"/>
      <w:marBottom w:val="0"/>
      <w:divBdr>
        <w:top w:val="none" w:sz="0" w:space="0" w:color="auto"/>
        <w:left w:val="none" w:sz="0" w:space="0" w:color="auto"/>
        <w:bottom w:val="none" w:sz="0" w:space="0" w:color="auto"/>
        <w:right w:val="none" w:sz="0" w:space="0" w:color="auto"/>
      </w:divBdr>
    </w:div>
    <w:div w:id="598870864">
      <w:bodyDiv w:val="1"/>
      <w:marLeft w:val="0"/>
      <w:marRight w:val="0"/>
      <w:marTop w:val="0"/>
      <w:marBottom w:val="0"/>
      <w:divBdr>
        <w:top w:val="none" w:sz="0" w:space="0" w:color="auto"/>
        <w:left w:val="none" w:sz="0" w:space="0" w:color="auto"/>
        <w:bottom w:val="none" w:sz="0" w:space="0" w:color="auto"/>
        <w:right w:val="none" w:sz="0" w:space="0" w:color="auto"/>
      </w:divBdr>
    </w:div>
    <w:div w:id="598952014">
      <w:bodyDiv w:val="1"/>
      <w:marLeft w:val="0"/>
      <w:marRight w:val="0"/>
      <w:marTop w:val="0"/>
      <w:marBottom w:val="0"/>
      <w:divBdr>
        <w:top w:val="none" w:sz="0" w:space="0" w:color="auto"/>
        <w:left w:val="none" w:sz="0" w:space="0" w:color="auto"/>
        <w:bottom w:val="none" w:sz="0" w:space="0" w:color="auto"/>
        <w:right w:val="none" w:sz="0" w:space="0" w:color="auto"/>
      </w:divBdr>
    </w:div>
    <w:div w:id="599220140">
      <w:bodyDiv w:val="1"/>
      <w:marLeft w:val="0"/>
      <w:marRight w:val="0"/>
      <w:marTop w:val="0"/>
      <w:marBottom w:val="0"/>
      <w:divBdr>
        <w:top w:val="none" w:sz="0" w:space="0" w:color="auto"/>
        <w:left w:val="none" w:sz="0" w:space="0" w:color="auto"/>
        <w:bottom w:val="none" w:sz="0" w:space="0" w:color="auto"/>
        <w:right w:val="none" w:sz="0" w:space="0" w:color="auto"/>
      </w:divBdr>
    </w:div>
    <w:div w:id="599530044">
      <w:bodyDiv w:val="1"/>
      <w:marLeft w:val="0"/>
      <w:marRight w:val="0"/>
      <w:marTop w:val="0"/>
      <w:marBottom w:val="0"/>
      <w:divBdr>
        <w:top w:val="none" w:sz="0" w:space="0" w:color="auto"/>
        <w:left w:val="none" w:sz="0" w:space="0" w:color="auto"/>
        <w:bottom w:val="none" w:sz="0" w:space="0" w:color="auto"/>
        <w:right w:val="none" w:sz="0" w:space="0" w:color="auto"/>
      </w:divBdr>
    </w:div>
    <w:div w:id="599602262">
      <w:bodyDiv w:val="1"/>
      <w:marLeft w:val="0"/>
      <w:marRight w:val="0"/>
      <w:marTop w:val="0"/>
      <w:marBottom w:val="0"/>
      <w:divBdr>
        <w:top w:val="none" w:sz="0" w:space="0" w:color="auto"/>
        <w:left w:val="none" w:sz="0" w:space="0" w:color="auto"/>
        <w:bottom w:val="none" w:sz="0" w:space="0" w:color="auto"/>
        <w:right w:val="none" w:sz="0" w:space="0" w:color="auto"/>
      </w:divBdr>
    </w:div>
    <w:div w:id="599682537">
      <w:bodyDiv w:val="1"/>
      <w:marLeft w:val="0"/>
      <w:marRight w:val="0"/>
      <w:marTop w:val="0"/>
      <w:marBottom w:val="0"/>
      <w:divBdr>
        <w:top w:val="none" w:sz="0" w:space="0" w:color="auto"/>
        <w:left w:val="none" w:sz="0" w:space="0" w:color="auto"/>
        <w:bottom w:val="none" w:sz="0" w:space="0" w:color="auto"/>
        <w:right w:val="none" w:sz="0" w:space="0" w:color="auto"/>
      </w:divBdr>
    </w:div>
    <w:div w:id="599990722">
      <w:bodyDiv w:val="1"/>
      <w:marLeft w:val="0"/>
      <w:marRight w:val="0"/>
      <w:marTop w:val="0"/>
      <w:marBottom w:val="0"/>
      <w:divBdr>
        <w:top w:val="none" w:sz="0" w:space="0" w:color="auto"/>
        <w:left w:val="none" w:sz="0" w:space="0" w:color="auto"/>
        <w:bottom w:val="none" w:sz="0" w:space="0" w:color="auto"/>
        <w:right w:val="none" w:sz="0" w:space="0" w:color="auto"/>
      </w:divBdr>
    </w:div>
    <w:div w:id="600457029">
      <w:bodyDiv w:val="1"/>
      <w:marLeft w:val="0"/>
      <w:marRight w:val="0"/>
      <w:marTop w:val="0"/>
      <w:marBottom w:val="0"/>
      <w:divBdr>
        <w:top w:val="none" w:sz="0" w:space="0" w:color="auto"/>
        <w:left w:val="none" w:sz="0" w:space="0" w:color="auto"/>
        <w:bottom w:val="none" w:sz="0" w:space="0" w:color="auto"/>
        <w:right w:val="none" w:sz="0" w:space="0" w:color="auto"/>
      </w:divBdr>
    </w:div>
    <w:div w:id="600797416">
      <w:bodyDiv w:val="1"/>
      <w:marLeft w:val="0"/>
      <w:marRight w:val="0"/>
      <w:marTop w:val="0"/>
      <w:marBottom w:val="0"/>
      <w:divBdr>
        <w:top w:val="none" w:sz="0" w:space="0" w:color="auto"/>
        <w:left w:val="none" w:sz="0" w:space="0" w:color="auto"/>
        <w:bottom w:val="none" w:sz="0" w:space="0" w:color="auto"/>
        <w:right w:val="none" w:sz="0" w:space="0" w:color="auto"/>
      </w:divBdr>
    </w:div>
    <w:div w:id="601499612">
      <w:bodyDiv w:val="1"/>
      <w:marLeft w:val="0"/>
      <w:marRight w:val="0"/>
      <w:marTop w:val="0"/>
      <w:marBottom w:val="0"/>
      <w:divBdr>
        <w:top w:val="none" w:sz="0" w:space="0" w:color="auto"/>
        <w:left w:val="none" w:sz="0" w:space="0" w:color="auto"/>
        <w:bottom w:val="none" w:sz="0" w:space="0" w:color="auto"/>
        <w:right w:val="none" w:sz="0" w:space="0" w:color="auto"/>
      </w:divBdr>
    </w:div>
    <w:div w:id="601568225">
      <w:bodyDiv w:val="1"/>
      <w:marLeft w:val="0"/>
      <w:marRight w:val="0"/>
      <w:marTop w:val="0"/>
      <w:marBottom w:val="0"/>
      <w:divBdr>
        <w:top w:val="none" w:sz="0" w:space="0" w:color="auto"/>
        <w:left w:val="none" w:sz="0" w:space="0" w:color="auto"/>
        <w:bottom w:val="none" w:sz="0" w:space="0" w:color="auto"/>
        <w:right w:val="none" w:sz="0" w:space="0" w:color="auto"/>
      </w:divBdr>
    </w:div>
    <w:div w:id="601692339">
      <w:bodyDiv w:val="1"/>
      <w:marLeft w:val="0"/>
      <w:marRight w:val="0"/>
      <w:marTop w:val="0"/>
      <w:marBottom w:val="0"/>
      <w:divBdr>
        <w:top w:val="none" w:sz="0" w:space="0" w:color="auto"/>
        <w:left w:val="none" w:sz="0" w:space="0" w:color="auto"/>
        <w:bottom w:val="none" w:sz="0" w:space="0" w:color="auto"/>
        <w:right w:val="none" w:sz="0" w:space="0" w:color="auto"/>
      </w:divBdr>
    </w:div>
    <w:div w:id="601910842">
      <w:bodyDiv w:val="1"/>
      <w:marLeft w:val="0"/>
      <w:marRight w:val="0"/>
      <w:marTop w:val="0"/>
      <w:marBottom w:val="0"/>
      <w:divBdr>
        <w:top w:val="none" w:sz="0" w:space="0" w:color="auto"/>
        <w:left w:val="none" w:sz="0" w:space="0" w:color="auto"/>
        <w:bottom w:val="none" w:sz="0" w:space="0" w:color="auto"/>
        <w:right w:val="none" w:sz="0" w:space="0" w:color="auto"/>
      </w:divBdr>
    </w:div>
    <w:div w:id="602037797">
      <w:bodyDiv w:val="1"/>
      <w:marLeft w:val="0"/>
      <w:marRight w:val="0"/>
      <w:marTop w:val="0"/>
      <w:marBottom w:val="0"/>
      <w:divBdr>
        <w:top w:val="none" w:sz="0" w:space="0" w:color="auto"/>
        <w:left w:val="none" w:sz="0" w:space="0" w:color="auto"/>
        <w:bottom w:val="none" w:sz="0" w:space="0" w:color="auto"/>
        <w:right w:val="none" w:sz="0" w:space="0" w:color="auto"/>
      </w:divBdr>
    </w:div>
    <w:div w:id="602108841">
      <w:bodyDiv w:val="1"/>
      <w:marLeft w:val="0"/>
      <w:marRight w:val="0"/>
      <w:marTop w:val="0"/>
      <w:marBottom w:val="0"/>
      <w:divBdr>
        <w:top w:val="none" w:sz="0" w:space="0" w:color="auto"/>
        <w:left w:val="none" w:sz="0" w:space="0" w:color="auto"/>
        <w:bottom w:val="none" w:sz="0" w:space="0" w:color="auto"/>
        <w:right w:val="none" w:sz="0" w:space="0" w:color="auto"/>
      </w:divBdr>
    </w:div>
    <w:div w:id="602147705">
      <w:bodyDiv w:val="1"/>
      <w:marLeft w:val="0"/>
      <w:marRight w:val="0"/>
      <w:marTop w:val="0"/>
      <w:marBottom w:val="0"/>
      <w:divBdr>
        <w:top w:val="none" w:sz="0" w:space="0" w:color="auto"/>
        <w:left w:val="none" w:sz="0" w:space="0" w:color="auto"/>
        <w:bottom w:val="none" w:sz="0" w:space="0" w:color="auto"/>
        <w:right w:val="none" w:sz="0" w:space="0" w:color="auto"/>
      </w:divBdr>
    </w:div>
    <w:div w:id="602149919">
      <w:bodyDiv w:val="1"/>
      <w:marLeft w:val="0"/>
      <w:marRight w:val="0"/>
      <w:marTop w:val="0"/>
      <w:marBottom w:val="0"/>
      <w:divBdr>
        <w:top w:val="none" w:sz="0" w:space="0" w:color="auto"/>
        <w:left w:val="none" w:sz="0" w:space="0" w:color="auto"/>
        <w:bottom w:val="none" w:sz="0" w:space="0" w:color="auto"/>
        <w:right w:val="none" w:sz="0" w:space="0" w:color="auto"/>
      </w:divBdr>
    </w:div>
    <w:div w:id="602423636">
      <w:bodyDiv w:val="1"/>
      <w:marLeft w:val="0"/>
      <w:marRight w:val="0"/>
      <w:marTop w:val="0"/>
      <w:marBottom w:val="0"/>
      <w:divBdr>
        <w:top w:val="none" w:sz="0" w:space="0" w:color="auto"/>
        <w:left w:val="none" w:sz="0" w:space="0" w:color="auto"/>
        <w:bottom w:val="none" w:sz="0" w:space="0" w:color="auto"/>
        <w:right w:val="none" w:sz="0" w:space="0" w:color="auto"/>
      </w:divBdr>
    </w:div>
    <w:div w:id="602568366">
      <w:bodyDiv w:val="1"/>
      <w:marLeft w:val="0"/>
      <w:marRight w:val="0"/>
      <w:marTop w:val="0"/>
      <w:marBottom w:val="0"/>
      <w:divBdr>
        <w:top w:val="none" w:sz="0" w:space="0" w:color="auto"/>
        <w:left w:val="none" w:sz="0" w:space="0" w:color="auto"/>
        <w:bottom w:val="none" w:sz="0" w:space="0" w:color="auto"/>
        <w:right w:val="none" w:sz="0" w:space="0" w:color="auto"/>
      </w:divBdr>
    </w:div>
    <w:div w:id="602609559">
      <w:bodyDiv w:val="1"/>
      <w:marLeft w:val="0"/>
      <w:marRight w:val="0"/>
      <w:marTop w:val="0"/>
      <w:marBottom w:val="0"/>
      <w:divBdr>
        <w:top w:val="none" w:sz="0" w:space="0" w:color="auto"/>
        <w:left w:val="none" w:sz="0" w:space="0" w:color="auto"/>
        <w:bottom w:val="none" w:sz="0" w:space="0" w:color="auto"/>
        <w:right w:val="none" w:sz="0" w:space="0" w:color="auto"/>
      </w:divBdr>
    </w:div>
    <w:div w:id="602765829">
      <w:bodyDiv w:val="1"/>
      <w:marLeft w:val="0"/>
      <w:marRight w:val="0"/>
      <w:marTop w:val="0"/>
      <w:marBottom w:val="0"/>
      <w:divBdr>
        <w:top w:val="none" w:sz="0" w:space="0" w:color="auto"/>
        <w:left w:val="none" w:sz="0" w:space="0" w:color="auto"/>
        <w:bottom w:val="none" w:sz="0" w:space="0" w:color="auto"/>
        <w:right w:val="none" w:sz="0" w:space="0" w:color="auto"/>
      </w:divBdr>
    </w:div>
    <w:div w:id="603151204">
      <w:bodyDiv w:val="1"/>
      <w:marLeft w:val="0"/>
      <w:marRight w:val="0"/>
      <w:marTop w:val="0"/>
      <w:marBottom w:val="0"/>
      <w:divBdr>
        <w:top w:val="none" w:sz="0" w:space="0" w:color="auto"/>
        <w:left w:val="none" w:sz="0" w:space="0" w:color="auto"/>
        <w:bottom w:val="none" w:sz="0" w:space="0" w:color="auto"/>
        <w:right w:val="none" w:sz="0" w:space="0" w:color="auto"/>
      </w:divBdr>
    </w:div>
    <w:div w:id="603340586">
      <w:bodyDiv w:val="1"/>
      <w:marLeft w:val="0"/>
      <w:marRight w:val="0"/>
      <w:marTop w:val="0"/>
      <w:marBottom w:val="0"/>
      <w:divBdr>
        <w:top w:val="none" w:sz="0" w:space="0" w:color="auto"/>
        <w:left w:val="none" w:sz="0" w:space="0" w:color="auto"/>
        <w:bottom w:val="none" w:sz="0" w:space="0" w:color="auto"/>
        <w:right w:val="none" w:sz="0" w:space="0" w:color="auto"/>
      </w:divBdr>
    </w:div>
    <w:div w:id="603807449">
      <w:bodyDiv w:val="1"/>
      <w:marLeft w:val="0"/>
      <w:marRight w:val="0"/>
      <w:marTop w:val="0"/>
      <w:marBottom w:val="0"/>
      <w:divBdr>
        <w:top w:val="none" w:sz="0" w:space="0" w:color="auto"/>
        <w:left w:val="none" w:sz="0" w:space="0" w:color="auto"/>
        <w:bottom w:val="none" w:sz="0" w:space="0" w:color="auto"/>
        <w:right w:val="none" w:sz="0" w:space="0" w:color="auto"/>
      </w:divBdr>
    </w:div>
    <w:div w:id="603924477">
      <w:bodyDiv w:val="1"/>
      <w:marLeft w:val="0"/>
      <w:marRight w:val="0"/>
      <w:marTop w:val="0"/>
      <w:marBottom w:val="0"/>
      <w:divBdr>
        <w:top w:val="none" w:sz="0" w:space="0" w:color="auto"/>
        <w:left w:val="none" w:sz="0" w:space="0" w:color="auto"/>
        <w:bottom w:val="none" w:sz="0" w:space="0" w:color="auto"/>
        <w:right w:val="none" w:sz="0" w:space="0" w:color="auto"/>
      </w:divBdr>
    </w:div>
    <w:div w:id="604120477">
      <w:bodyDiv w:val="1"/>
      <w:marLeft w:val="0"/>
      <w:marRight w:val="0"/>
      <w:marTop w:val="0"/>
      <w:marBottom w:val="0"/>
      <w:divBdr>
        <w:top w:val="none" w:sz="0" w:space="0" w:color="auto"/>
        <w:left w:val="none" w:sz="0" w:space="0" w:color="auto"/>
        <w:bottom w:val="none" w:sz="0" w:space="0" w:color="auto"/>
        <w:right w:val="none" w:sz="0" w:space="0" w:color="auto"/>
      </w:divBdr>
    </w:div>
    <w:div w:id="604313121">
      <w:bodyDiv w:val="1"/>
      <w:marLeft w:val="0"/>
      <w:marRight w:val="0"/>
      <w:marTop w:val="0"/>
      <w:marBottom w:val="0"/>
      <w:divBdr>
        <w:top w:val="none" w:sz="0" w:space="0" w:color="auto"/>
        <w:left w:val="none" w:sz="0" w:space="0" w:color="auto"/>
        <w:bottom w:val="none" w:sz="0" w:space="0" w:color="auto"/>
        <w:right w:val="none" w:sz="0" w:space="0" w:color="auto"/>
      </w:divBdr>
    </w:div>
    <w:div w:id="605042672">
      <w:bodyDiv w:val="1"/>
      <w:marLeft w:val="0"/>
      <w:marRight w:val="0"/>
      <w:marTop w:val="0"/>
      <w:marBottom w:val="0"/>
      <w:divBdr>
        <w:top w:val="none" w:sz="0" w:space="0" w:color="auto"/>
        <w:left w:val="none" w:sz="0" w:space="0" w:color="auto"/>
        <w:bottom w:val="none" w:sz="0" w:space="0" w:color="auto"/>
        <w:right w:val="none" w:sz="0" w:space="0" w:color="auto"/>
      </w:divBdr>
    </w:div>
    <w:div w:id="605118932">
      <w:bodyDiv w:val="1"/>
      <w:marLeft w:val="0"/>
      <w:marRight w:val="0"/>
      <w:marTop w:val="0"/>
      <w:marBottom w:val="0"/>
      <w:divBdr>
        <w:top w:val="none" w:sz="0" w:space="0" w:color="auto"/>
        <w:left w:val="none" w:sz="0" w:space="0" w:color="auto"/>
        <w:bottom w:val="none" w:sz="0" w:space="0" w:color="auto"/>
        <w:right w:val="none" w:sz="0" w:space="0" w:color="auto"/>
      </w:divBdr>
    </w:div>
    <w:div w:id="605695951">
      <w:bodyDiv w:val="1"/>
      <w:marLeft w:val="0"/>
      <w:marRight w:val="0"/>
      <w:marTop w:val="0"/>
      <w:marBottom w:val="0"/>
      <w:divBdr>
        <w:top w:val="none" w:sz="0" w:space="0" w:color="auto"/>
        <w:left w:val="none" w:sz="0" w:space="0" w:color="auto"/>
        <w:bottom w:val="none" w:sz="0" w:space="0" w:color="auto"/>
        <w:right w:val="none" w:sz="0" w:space="0" w:color="auto"/>
      </w:divBdr>
    </w:div>
    <w:div w:id="605887996">
      <w:bodyDiv w:val="1"/>
      <w:marLeft w:val="0"/>
      <w:marRight w:val="0"/>
      <w:marTop w:val="0"/>
      <w:marBottom w:val="0"/>
      <w:divBdr>
        <w:top w:val="none" w:sz="0" w:space="0" w:color="auto"/>
        <w:left w:val="none" w:sz="0" w:space="0" w:color="auto"/>
        <w:bottom w:val="none" w:sz="0" w:space="0" w:color="auto"/>
        <w:right w:val="none" w:sz="0" w:space="0" w:color="auto"/>
      </w:divBdr>
    </w:div>
    <w:div w:id="606350205">
      <w:bodyDiv w:val="1"/>
      <w:marLeft w:val="0"/>
      <w:marRight w:val="0"/>
      <w:marTop w:val="0"/>
      <w:marBottom w:val="0"/>
      <w:divBdr>
        <w:top w:val="none" w:sz="0" w:space="0" w:color="auto"/>
        <w:left w:val="none" w:sz="0" w:space="0" w:color="auto"/>
        <w:bottom w:val="none" w:sz="0" w:space="0" w:color="auto"/>
        <w:right w:val="none" w:sz="0" w:space="0" w:color="auto"/>
      </w:divBdr>
    </w:div>
    <w:div w:id="606355434">
      <w:bodyDiv w:val="1"/>
      <w:marLeft w:val="0"/>
      <w:marRight w:val="0"/>
      <w:marTop w:val="0"/>
      <w:marBottom w:val="0"/>
      <w:divBdr>
        <w:top w:val="none" w:sz="0" w:space="0" w:color="auto"/>
        <w:left w:val="none" w:sz="0" w:space="0" w:color="auto"/>
        <w:bottom w:val="none" w:sz="0" w:space="0" w:color="auto"/>
        <w:right w:val="none" w:sz="0" w:space="0" w:color="auto"/>
      </w:divBdr>
    </w:div>
    <w:div w:id="606621578">
      <w:bodyDiv w:val="1"/>
      <w:marLeft w:val="0"/>
      <w:marRight w:val="0"/>
      <w:marTop w:val="0"/>
      <w:marBottom w:val="0"/>
      <w:divBdr>
        <w:top w:val="none" w:sz="0" w:space="0" w:color="auto"/>
        <w:left w:val="none" w:sz="0" w:space="0" w:color="auto"/>
        <w:bottom w:val="none" w:sz="0" w:space="0" w:color="auto"/>
        <w:right w:val="none" w:sz="0" w:space="0" w:color="auto"/>
      </w:divBdr>
    </w:div>
    <w:div w:id="606740893">
      <w:bodyDiv w:val="1"/>
      <w:marLeft w:val="0"/>
      <w:marRight w:val="0"/>
      <w:marTop w:val="0"/>
      <w:marBottom w:val="0"/>
      <w:divBdr>
        <w:top w:val="none" w:sz="0" w:space="0" w:color="auto"/>
        <w:left w:val="none" w:sz="0" w:space="0" w:color="auto"/>
        <w:bottom w:val="none" w:sz="0" w:space="0" w:color="auto"/>
        <w:right w:val="none" w:sz="0" w:space="0" w:color="auto"/>
      </w:divBdr>
    </w:div>
    <w:div w:id="607009350">
      <w:bodyDiv w:val="1"/>
      <w:marLeft w:val="0"/>
      <w:marRight w:val="0"/>
      <w:marTop w:val="0"/>
      <w:marBottom w:val="0"/>
      <w:divBdr>
        <w:top w:val="none" w:sz="0" w:space="0" w:color="auto"/>
        <w:left w:val="none" w:sz="0" w:space="0" w:color="auto"/>
        <w:bottom w:val="none" w:sz="0" w:space="0" w:color="auto"/>
        <w:right w:val="none" w:sz="0" w:space="0" w:color="auto"/>
      </w:divBdr>
    </w:div>
    <w:div w:id="607201303">
      <w:bodyDiv w:val="1"/>
      <w:marLeft w:val="0"/>
      <w:marRight w:val="0"/>
      <w:marTop w:val="0"/>
      <w:marBottom w:val="0"/>
      <w:divBdr>
        <w:top w:val="none" w:sz="0" w:space="0" w:color="auto"/>
        <w:left w:val="none" w:sz="0" w:space="0" w:color="auto"/>
        <w:bottom w:val="none" w:sz="0" w:space="0" w:color="auto"/>
        <w:right w:val="none" w:sz="0" w:space="0" w:color="auto"/>
      </w:divBdr>
    </w:div>
    <w:div w:id="607393313">
      <w:bodyDiv w:val="1"/>
      <w:marLeft w:val="0"/>
      <w:marRight w:val="0"/>
      <w:marTop w:val="0"/>
      <w:marBottom w:val="0"/>
      <w:divBdr>
        <w:top w:val="none" w:sz="0" w:space="0" w:color="auto"/>
        <w:left w:val="none" w:sz="0" w:space="0" w:color="auto"/>
        <w:bottom w:val="none" w:sz="0" w:space="0" w:color="auto"/>
        <w:right w:val="none" w:sz="0" w:space="0" w:color="auto"/>
      </w:divBdr>
    </w:div>
    <w:div w:id="608244246">
      <w:bodyDiv w:val="1"/>
      <w:marLeft w:val="0"/>
      <w:marRight w:val="0"/>
      <w:marTop w:val="0"/>
      <w:marBottom w:val="0"/>
      <w:divBdr>
        <w:top w:val="none" w:sz="0" w:space="0" w:color="auto"/>
        <w:left w:val="none" w:sz="0" w:space="0" w:color="auto"/>
        <w:bottom w:val="none" w:sz="0" w:space="0" w:color="auto"/>
        <w:right w:val="none" w:sz="0" w:space="0" w:color="auto"/>
      </w:divBdr>
    </w:div>
    <w:div w:id="608702273">
      <w:bodyDiv w:val="1"/>
      <w:marLeft w:val="0"/>
      <w:marRight w:val="0"/>
      <w:marTop w:val="0"/>
      <w:marBottom w:val="0"/>
      <w:divBdr>
        <w:top w:val="none" w:sz="0" w:space="0" w:color="auto"/>
        <w:left w:val="none" w:sz="0" w:space="0" w:color="auto"/>
        <w:bottom w:val="none" w:sz="0" w:space="0" w:color="auto"/>
        <w:right w:val="none" w:sz="0" w:space="0" w:color="auto"/>
      </w:divBdr>
    </w:div>
    <w:div w:id="608782578">
      <w:bodyDiv w:val="1"/>
      <w:marLeft w:val="0"/>
      <w:marRight w:val="0"/>
      <w:marTop w:val="0"/>
      <w:marBottom w:val="0"/>
      <w:divBdr>
        <w:top w:val="none" w:sz="0" w:space="0" w:color="auto"/>
        <w:left w:val="none" w:sz="0" w:space="0" w:color="auto"/>
        <w:bottom w:val="none" w:sz="0" w:space="0" w:color="auto"/>
        <w:right w:val="none" w:sz="0" w:space="0" w:color="auto"/>
      </w:divBdr>
    </w:div>
    <w:div w:id="610671825">
      <w:bodyDiv w:val="1"/>
      <w:marLeft w:val="0"/>
      <w:marRight w:val="0"/>
      <w:marTop w:val="0"/>
      <w:marBottom w:val="0"/>
      <w:divBdr>
        <w:top w:val="none" w:sz="0" w:space="0" w:color="auto"/>
        <w:left w:val="none" w:sz="0" w:space="0" w:color="auto"/>
        <w:bottom w:val="none" w:sz="0" w:space="0" w:color="auto"/>
        <w:right w:val="none" w:sz="0" w:space="0" w:color="auto"/>
      </w:divBdr>
    </w:div>
    <w:div w:id="611015620">
      <w:bodyDiv w:val="1"/>
      <w:marLeft w:val="0"/>
      <w:marRight w:val="0"/>
      <w:marTop w:val="0"/>
      <w:marBottom w:val="0"/>
      <w:divBdr>
        <w:top w:val="none" w:sz="0" w:space="0" w:color="auto"/>
        <w:left w:val="none" w:sz="0" w:space="0" w:color="auto"/>
        <w:bottom w:val="none" w:sz="0" w:space="0" w:color="auto"/>
        <w:right w:val="none" w:sz="0" w:space="0" w:color="auto"/>
      </w:divBdr>
    </w:div>
    <w:div w:id="611520618">
      <w:bodyDiv w:val="1"/>
      <w:marLeft w:val="0"/>
      <w:marRight w:val="0"/>
      <w:marTop w:val="0"/>
      <w:marBottom w:val="0"/>
      <w:divBdr>
        <w:top w:val="none" w:sz="0" w:space="0" w:color="auto"/>
        <w:left w:val="none" w:sz="0" w:space="0" w:color="auto"/>
        <w:bottom w:val="none" w:sz="0" w:space="0" w:color="auto"/>
        <w:right w:val="none" w:sz="0" w:space="0" w:color="auto"/>
      </w:divBdr>
    </w:div>
    <w:div w:id="611548543">
      <w:bodyDiv w:val="1"/>
      <w:marLeft w:val="0"/>
      <w:marRight w:val="0"/>
      <w:marTop w:val="0"/>
      <w:marBottom w:val="0"/>
      <w:divBdr>
        <w:top w:val="none" w:sz="0" w:space="0" w:color="auto"/>
        <w:left w:val="none" w:sz="0" w:space="0" w:color="auto"/>
        <w:bottom w:val="none" w:sz="0" w:space="0" w:color="auto"/>
        <w:right w:val="none" w:sz="0" w:space="0" w:color="auto"/>
      </w:divBdr>
    </w:div>
    <w:div w:id="611865336">
      <w:bodyDiv w:val="1"/>
      <w:marLeft w:val="0"/>
      <w:marRight w:val="0"/>
      <w:marTop w:val="0"/>
      <w:marBottom w:val="0"/>
      <w:divBdr>
        <w:top w:val="none" w:sz="0" w:space="0" w:color="auto"/>
        <w:left w:val="none" w:sz="0" w:space="0" w:color="auto"/>
        <w:bottom w:val="none" w:sz="0" w:space="0" w:color="auto"/>
        <w:right w:val="none" w:sz="0" w:space="0" w:color="auto"/>
      </w:divBdr>
    </w:div>
    <w:div w:id="611979592">
      <w:bodyDiv w:val="1"/>
      <w:marLeft w:val="0"/>
      <w:marRight w:val="0"/>
      <w:marTop w:val="0"/>
      <w:marBottom w:val="0"/>
      <w:divBdr>
        <w:top w:val="none" w:sz="0" w:space="0" w:color="auto"/>
        <w:left w:val="none" w:sz="0" w:space="0" w:color="auto"/>
        <w:bottom w:val="none" w:sz="0" w:space="0" w:color="auto"/>
        <w:right w:val="none" w:sz="0" w:space="0" w:color="auto"/>
      </w:divBdr>
    </w:div>
    <w:div w:id="612976207">
      <w:bodyDiv w:val="1"/>
      <w:marLeft w:val="0"/>
      <w:marRight w:val="0"/>
      <w:marTop w:val="0"/>
      <w:marBottom w:val="0"/>
      <w:divBdr>
        <w:top w:val="none" w:sz="0" w:space="0" w:color="auto"/>
        <w:left w:val="none" w:sz="0" w:space="0" w:color="auto"/>
        <w:bottom w:val="none" w:sz="0" w:space="0" w:color="auto"/>
        <w:right w:val="none" w:sz="0" w:space="0" w:color="auto"/>
      </w:divBdr>
    </w:div>
    <w:div w:id="613371271">
      <w:bodyDiv w:val="1"/>
      <w:marLeft w:val="0"/>
      <w:marRight w:val="0"/>
      <w:marTop w:val="0"/>
      <w:marBottom w:val="0"/>
      <w:divBdr>
        <w:top w:val="none" w:sz="0" w:space="0" w:color="auto"/>
        <w:left w:val="none" w:sz="0" w:space="0" w:color="auto"/>
        <w:bottom w:val="none" w:sz="0" w:space="0" w:color="auto"/>
        <w:right w:val="none" w:sz="0" w:space="0" w:color="auto"/>
      </w:divBdr>
    </w:div>
    <w:div w:id="613515188">
      <w:bodyDiv w:val="1"/>
      <w:marLeft w:val="0"/>
      <w:marRight w:val="0"/>
      <w:marTop w:val="0"/>
      <w:marBottom w:val="0"/>
      <w:divBdr>
        <w:top w:val="none" w:sz="0" w:space="0" w:color="auto"/>
        <w:left w:val="none" w:sz="0" w:space="0" w:color="auto"/>
        <w:bottom w:val="none" w:sz="0" w:space="0" w:color="auto"/>
        <w:right w:val="none" w:sz="0" w:space="0" w:color="auto"/>
      </w:divBdr>
    </w:div>
    <w:div w:id="613833090">
      <w:bodyDiv w:val="1"/>
      <w:marLeft w:val="0"/>
      <w:marRight w:val="0"/>
      <w:marTop w:val="0"/>
      <w:marBottom w:val="0"/>
      <w:divBdr>
        <w:top w:val="none" w:sz="0" w:space="0" w:color="auto"/>
        <w:left w:val="none" w:sz="0" w:space="0" w:color="auto"/>
        <w:bottom w:val="none" w:sz="0" w:space="0" w:color="auto"/>
        <w:right w:val="none" w:sz="0" w:space="0" w:color="auto"/>
      </w:divBdr>
    </w:div>
    <w:div w:id="614096105">
      <w:bodyDiv w:val="1"/>
      <w:marLeft w:val="0"/>
      <w:marRight w:val="0"/>
      <w:marTop w:val="0"/>
      <w:marBottom w:val="0"/>
      <w:divBdr>
        <w:top w:val="none" w:sz="0" w:space="0" w:color="auto"/>
        <w:left w:val="none" w:sz="0" w:space="0" w:color="auto"/>
        <w:bottom w:val="none" w:sz="0" w:space="0" w:color="auto"/>
        <w:right w:val="none" w:sz="0" w:space="0" w:color="auto"/>
      </w:divBdr>
    </w:div>
    <w:div w:id="614099358">
      <w:bodyDiv w:val="1"/>
      <w:marLeft w:val="0"/>
      <w:marRight w:val="0"/>
      <w:marTop w:val="0"/>
      <w:marBottom w:val="0"/>
      <w:divBdr>
        <w:top w:val="none" w:sz="0" w:space="0" w:color="auto"/>
        <w:left w:val="none" w:sz="0" w:space="0" w:color="auto"/>
        <w:bottom w:val="none" w:sz="0" w:space="0" w:color="auto"/>
        <w:right w:val="none" w:sz="0" w:space="0" w:color="auto"/>
      </w:divBdr>
    </w:div>
    <w:div w:id="614210411">
      <w:bodyDiv w:val="1"/>
      <w:marLeft w:val="0"/>
      <w:marRight w:val="0"/>
      <w:marTop w:val="0"/>
      <w:marBottom w:val="0"/>
      <w:divBdr>
        <w:top w:val="none" w:sz="0" w:space="0" w:color="auto"/>
        <w:left w:val="none" w:sz="0" w:space="0" w:color="auto"/>
        <w:bottom w:val="none" w:sz="0" w:space="0" w:color="auto"/>
        <w:right w:val="none" w:sz="0" w:space="0" w:color="auto"/>
      </w:divBdr>
    </w:div>
    <w:div w:id="614678006">
      <w:bodyDiv w:val="1"/>
      <w:marLeft w:val="0"/>
      <w:marRight w:val="0"/>
      <w:marTop w:val="0"/>
      <w:marBottom w:val="0"/>
      <w:divBdr>
        <w:top w:val="none" w:sz="0" w:space="0" w:color="auto"/>
        <w:left w:val="none" w:sz="0" w:space="0" w:color="auto"/>
        <w:bottom w:val="none" w:sz="0" w:space="0" w:color="auto"/>
        <w:right w:val="none" w:sz="0" w:space="0" w:color="auto"/>
      </w:divBdr>
    </w:div>
    <w:div w:id="615068456">
      <w:bodyDiv w:val="1"/>
      <w:marLeft w:val="0"/>
      <w:marRight w:val="0"/>
      <w:marTop w:val="0"/>
      <w:marBottom w:val="0"/>
      <w:divBdr>
        <w:top w:val="none" w:sz="0" w:space="0" w:color="auto"/>
        <w:left w:val="none" w:sz="0" w:space="0" w:color="auto"/>
        <w:bottom w:val="none" w:sz="0" w:space="0" w:color="auto"/>
        <w:right w:val="none" w:sz="0" w:space="0" w:color="auto"/>
      </w:divBdr>
    </w:div>
    <w:div w:id="615216996">
      <w:bodyDiv w:val="1"/>
      <w:marLeft w:val="0"/>
      <w:marRight w:val="0"/>
      <w:marTop w:val="0"/>
      <w:marBottom w:val="0"/>
      <w:divBdr>
        <w:top w:val="none" w:sz="0" w:space="0" w:color="auto"/>
        <w:left w:val="none" w:sz="0" w:space="0" w:color="auto"/>
        <w:bottom w:val="none" w:sz="0" w:space="0" w:color="auto"/>
        <w:right w:val="none" w:sz="0" w:space="0" w:color="auto"/>
      </w:divBdr>
    </w:div>
    <w:div w:id="615257884">
      <w:bodyDiv w:val="1"/>
      <w:marLeft w:val="0"/>
      <w:marRight w:val="0"/>
      <w:marTop w:val="0"/>
      <w:marBottom w:val="0"/>
      <w:divBdr>
        <w:top w:val="none" w:sz="0" w:space="0" w:color="auto"/>
        <w:left w:val="none" w:sz="0" w:space="0" w:color="auto"/>
        <w:bottom w:val="none" w:sz="0" w:space="0" w:color="auto"/>
        <w:right w:val="none" w:sz="0" w:space="0" w:color="auto"/>
      </w:divBdr>
    </w:div>
    <w:div w:id="615448839">
      <w:bodyDiv w:val="1"/>
      <w:marLeft w:val="0"/>
      <w:marRight w:val="0"/>
      <w:marTop w:val="0"/>
      <w:marBottom w:val="0"/>
      <w:divBdr>
        <w:top w:val="none" w:sz="0" w:space="0" w:color="auto"/>
        <w:left w:val="none" w:sz="0" w:space="0" w:color="auto"/>
        <w:bottom w:val="none" w:sz="0" w:space="0" w:color="auto"/>
        <w:right w:val="none" w:sz="0" w:space="0" w:color="auto"/>
      </w:divBdr>
    </w:div>
    <w:div w:id="615480218">
      <w:bodyDiv w:val="1"/>
      <w:marLeft w:val="0"/>
      <w:marRight w:val="0"/>
      <w:marTop w:val="0"/>
      <w:marBottom w:val="0"/>
      <w:divBdr>
        <w:top w:val="none" w:sz="0" w:space="0" w:color="auto"/>
        <w:left w:val="none" w:sz="0" w:space="0" w:color="auto"/>
        <w:bottom w:val="none" w:sz="0" w:space="0" w:color="auto"/>
        <w:right w:val="none" w:sz="0" w:space="0" w:color="auto"/>
      </w:divBdr>
    </w:div>
    <w:div w:id="615601417">
      <w:bodyDiv w:val="1"/>
      <w:marLeft w:val="0"/>
      <w:marRight w:val="0"/>
      <w:marTop w:val="0"/>
      <w:marBottom w:val="0"/>
      <w:divBdr>
        <w:top w:val="none" w:sz="0" w:space="0" w:color="auto"/>
        <w:left w:val="none" w:sz="0" w:space="0" w:color="auto"/>
        <w:bottom w:val="none" w:sz="0" w:space="0" w:color="auto"/>
        <w:right w:val="none" w:sz="0" w:space="0" w:color="auto"/>
      </w:divBdr>
    </w:div>
    <w:div w:id="615872295">
      <w:bodyDiv w:val="1"/>
      <w:marLeft w:val="0"/>
      <w:marRight w:val="0"/>
      <w:marTop w:val="0"/>
      <w:marBottom w:val="0"/>
      <w:divBdr>
        <w:top w:val="none" w:sz="0" w:space="0" w:color="auto"/>
        <w:left w:val="none" w:sz="0" w:space="0" w:color="auto"/>
        <w:bottom w:val="none" w:sz="0" w:space="0" w:color="auto"/>
        <w:right w:val="none" w:sz="0" w:space="0" w:color="auto"/>
      </w:divBdr>
    </w:div>
    <w:div w:id="616108088">
      <w:bodyDiv w:val="1"/>
      <w:marLeft w:val="0"/>
      <w:marRight w:val="0"/>
      <w:marTop w:val="0"/>
      <w:marBottom w:val="0"/>
      <w:divBdr>
        <w:top w:val="none" w:sz="0" w:space="0" w:color="auto"/>
        <w:left w:val="none" w:sz="0" w:space="0" w:color="auto"/>
        <w:bottom w:val="none" w:sz="0" w:space="0" w:color="auto"/>
        <w:right w:val="none" w:sz="0" w:space="0" w:color="auto"/>
      </w:divBdr>
    </w:div>
    <w:div w:id="616451734">
      <w:bodyDiv w:val="1"/>
      <w:marLeft w:val="0"/>
      <w:marRight w:val="0"/>
      <w:marTop w:val="0"/>
      <w:marBottom w:val="0"/>
      <w:divBdr>
        <w:top w:val="none" w:sz="0" w:space="0" w:color="auto"/>
        <w:left w:val="none" w:sz="0" w:space="0" w:color="auto"/>
        <w:bottom w:val="none" w:sz="0" w:space="0" w:color="auto"/>
        <w:right w:val="none" w:sz="0" w:space="0" w:color="auto"/>
      </w:divBdr>
    </w:div>
    <w:div w:id="616521287">
      <w:bodyDiv w:val="1"/>
      <w:marLeft w:val="0"/>
      <w:marRight w:val="0"/>
      <w:marTop w:val="0"/>
      <w:marBottom w:val="0"/>
      <w:divBdr>
        <w:top w:val="none" w:sz="0" w:space="0" w:color="auto"/>
        <w:left w:val="none" w:sz="0" w:space="0" w:color="auto"/>
        <w:bottom w:val="none" w:sz="0" w:space="0" w:color="auto"/>
        <w:right w:val="none" w:sz="0" w:space="0" w:color="auto"/>
      </w:divBdr>
    </w:div>
    <w:div w:id="616713451">
      <w:bodyDiv w:val="1"/>
      <w:marLeft w:val="0"/>
      <w:marRight w:val="0"/>
      <w:marTop w:val="0"/>
      <w:marBottom w:val="0"/>
      <w:divBdr>
        <w:top w:val="none" w:sz="0" w:space="0" w:color="auto"/>
        <w:left w:val="none" w:sz="0" w:space="0" w:color="auto"/>
        <w:bottom w:val="none" w:sz="0" w:space="0" w:color="auto"/>
        <w:right w:val="none" w:sz="0" w:space="0" w:color="auto"/>
      </w:divBdr>
    </w:div>
    <w:div w:id="616835132">
      <w:bodyDiv w:val="1"/>
      <w:marLeft w:val="0"/>
      <w:marRight w:val="0"/>
      <w:marTop w:val="0"/>
      <w:marBottom w:val="0"/>
      <w:divBdr>
        <w:top w:val="none" w:sz="0" w:space="0" w:color="auto"/>
        <w:left w:val="none" w:sz="0" w:space="0" w:color="auto"/>
        <w:bottom w:val="none" w:sz="0" w:space="0" w:color="auto"/>
        <w:right w:val="none" w:sz="0" w:space="0" w:color="auto"/>
      </w:divBdr>
    </w:div>
    <w:div w:id="617025019">
      <w:bodyDiv w:val="1"/>
      <w:marLeft w:val="0"/>
      <w:marRight w:val="0"/>
      <w:marTop w:val="0"/>
      <w:marBottom w:val="0"/>
      <w:divBdr>
        <w:top w:val="none" w:sz="0" w:space="0" w:color="auto"/>
        <w:left w:val="none" w:sz="0" w:space="0" w:color="auto"/>
        <w:bottom w:val="none" w:sz="0" w:space="0" w:color="auto"/>
        <w:right w:val="none" w:sz="0" w:space="0" w:color="auto"/>
      </w:divBdr>
    </w:div>
    <w:div w:id="617032455">
      <w:bodyDiv w:val="1"/>
      <w:marLeft w:val="0"/>
      <w:marRight w:val="0"/>
      <w:marTop w:val="0"/>
      <w:marBottom w:val="0"/>
      <w:divBdr>
        <w:top w:val="none" w:sz="0" w:space="0" w:color="auto"/>
        <w:left w:val="none" w:sz="0" w:space="0" w:color="auto"/>
        <w:bottom w:val="none" w:sz="0" w:space="0" w:color="auto"/>
        <w:right w:val="none" w:sz="0" w:space="0" w:color="auto"/>
      </w:divBdr>
    </w:div>
    <w:div w:id="617374631">
      <w:bodyDiv w:val="1"/>
      <w:marLeft w:val="0"/>
      <w:marRight w:val="0"/>
      <w:marTop w:val="0"/>
      <w:marBottom w:val="0"/>
      <w:divBdr>
        <w:top w:val="none" w:sz="0" w:space="0" w:color="auto"/>
        <w:left w:val="none" w:sz="0" w:space="0" w:color="auto"/>
        <w:bottom w:val="none" w:sz="0" w:space="0" w:color="auto"/>
        <w:right w:val="none" w:sz="0" w:space="0" w:color="auto"/>
      </w:divBdr>
    </w:div>
    <w:div w:id="617877995">
      <w:bodyDiv w:val="1"/>
      <w:marLeft w:val="0"/>
      <w:marRight w:val="0"/>
      <w:marTop w:val="0"/>
      <w:marBottom w:val="0"/>
      <w:divBdr>
        <w:top w:val="none" w:sz="0" w:space="0" w:color="auto"/>
        <w:left w:val="none" w:sz="0" w:space="0" w:color="auto"/>
        <w:bottom w:val="none" w:sz="0" w:space="0" w:color="auto"/>
        <w:right w:val="none" w:sz="0" w:space="0" w:color="auto"/>
      </w:divBdr>
    </w:div>
    <w:div w:id="618873041">
      <w:bodyDiv w:val="1"/>
      <w:marLeft w:val="0"/>
      <w:marRight w:val="0"/>
      <w:marTop w:val="0"/>
      <w:marBottom w:val="0"/>
      <w:divBdr>
        <w:top w:val="none" w:sz="0" w:space="0" w:color="auto"/>
        <w:left w:val="none" w:sz="0" w:space="0" w:color="auto"/>
        <w:bottom w:val="none" w:sz="0" w:space="0" w:color="auto"/>
        <w:right w:val="none" w:sz="0" w:space="0" w:color="auto"/>
      </w:divBdr>
    </w:div>
    <w:div w:id="620184797">
      <w:bodyDiv w:val="1"/>
      <w:marLeft w:val="0"/>
      <w:marRight w:val="0"/>
      <w:marTop w:val="0"/>
      <w:marBottom w:val="0"/>
      <w:divBdr>
        <w:top w:val="none" w:sz="0" w:space="0" w:color="auto"/>
        <w:left w:val="none" w:sz="0" w:space="0" w:color="auto"/>
        <w:bottom w:val="none" w:sz="0" w:space="0" w:color="auto"/>
        <w:right w:val="none" w:sz="0" w:space="0" w:color="auto"/>
      </w:divBdr>
    </w:div>
    <w:div w:id="620186424">
      <w:bodyDiv w:val="1"/>
      <w:marLeft w:val="0"/>
      <w:marRight w:val="0"/>
      <w:marTop w:val="0"/>
      <w:marBottom w:val="0"/>
      <w:divBdr>
        <w:top w:val="none" w:sz="0" w:space="0" w:color="auto"/>
        <w:left w:val="none" w:sz="0" w:space="0" w:color="auto"/>
        <w:bottom w:val="none" w:sz="0" w:space="0" w:color="auto"/>
        <w:right w:val="none" w:sz="0" w:space="0" w:color="auto"/>
      </w:divBdr>
    </w:div>
    <w:div w:id="620647285">
      <w:bodyDiv w:val="1"/>
      <w:marLeft w:val="0"/>
      <w:marRight w:val="0"/>
      <w:marTop w:val="0"/>
      <w:marBottom w:val="0"/>
      <w:divBdr>
        <w:top w:val="none" w:sz="0" w:space="0" w:color="auto"/>
        <w:left w:val="none" w:sz="0" w:space="0" w:color="auto"/>
        <w:bottom w:val="none" w:sz="0" w:space="0" w:color="auto"/>
        <w:right w:val="none" w:sz="0" w:space="0" w:color="auto"/>
      </w:divBdr>
    </w:div>
    <w:div w:id="620694915">
      <w:bodyDiv w:val="1"/>
      <w:marLeft w:val="0"/>
      <w:marRight w:val="0"/>
      <w:marTop w:val="0"/>
      <w:marBottom w:val="0"/>
      <w:divBdr>
        <w:top w:val="none" w:sz="0" w:space="0" w:color="auto"/>
        <w:left w:val="none" w:sz="0" w:space="0" w:color="auto"/>
        <w:bottom w:val="none" w:sz="0" w:space="0" w:color="auto"/>
        <w:right w:val="none" w:sz="0" w:space="0" w:color="auto"/>
      </w:divBdr>
    </w:div>
    <w:div w:id="620768487">
      <w:bodyDiv w:val="1"/>
      <w:marLeft w:val="0"/>
      <w:marRight w:val="0"/>
      <w:marTop w:val="0"/>
      <w:marBottom w:val="0"/>
      <w:divBdr>
        <w:top w:val="none" w:sz="0" w:space="0" w:color="auto"/>
        <w:left w:val="none" w:sz="0" w:space="0" w:color="auto"/>
        <w:bottom w:val="none" w:sz="0" w:space="0" w:color="auto"/>
        <w:right w:val="none" w:sz="0" w:space="0" w:color="auto"/>
      </w:divBdr>
    </w:div>
    <w:div w:id="620965863">
      <w:bodyDiv w:val="1"/>
      <w:marLeft w:val="0"/>
      <w:marRight w:val="0"/>
      <w:marTop w:val="0"/>
      <w:marBottom w:val="0"/>
      <w:divBdr>
        <w:top w:val="none" w:sz="0" w:space="0" w:color="auto"/>
        <w:left w:val="none" w:sz="0" w:space="0" w:color="auto"/>
        <w:bottom w:val="none" w:sz="0" w:space="0" w:color="auto"/>
        <w:right w:val="none" w:sz="0" w:space="0" w:color="auto"/>
      </w:divBdr>
    </w:div>
    <w:div w:id="621352511">
      <w:bodyDiv w:val="1"/>
      <w:marLeft w:val="0"/>
      <w:marRight w:val="0"/>
      <w:marTop w:val="0"/>
      <w:marBottom w:val="0"/>
      <w:divBdr>
        <w:top w:val="none" w:sz="0" w:space="0" w:color="auto"/>
        <w:left w:val="none" w:sz="0" w:space="0" w:color="auto"/>
        <w:bottom w:val="none" w:sz="0" w:space="0" w:color="auto"/>
        <w:right w:val="none" w:sz="0" w:space="0" w:color="auto"/>
      </w:divBdr>
    </w:div>
    <w:div w:id="621955954">
      <w:bodyDiv w:val="1"/>
      <w:marLeft w:val="0"/>
      <w:marRight w:val="0"/>
      <w:marTop w:val="0"/>
      <w:marBottom w:val="0"/>
      <w:divBdr>
        <w:top w:val="none" w:sz="0" w:space="0" w:color="auto"/>
        <w:left w:val="none" w:sz="0" w:space="0" w:color="auto"/>
        <w:bottom w:val="none" w:sz="0" w:space="0" w:color="auto"/>
        <w:right w:val="none" w:sz="0" w:space="0" w:color="auto"/>
      </w:divBdr>
    </w:div>
    <w:div w:id="622005837">
      <w:bodyDiv w:val="1"/>
      <w:marLeft w:val="0"/>
      <w:marRight w:val="0"/>
      <w:marTop w:val="0"/>
      <w:marBottom w:val="0"/>
      <w:divBdr>
        <w:top w:val="none" w:sz="0" w:space="0" w:color="auto"/>
        <w:left w:val="none" w:sz="0" w:space="0" w:color="auto"/>
        <w:bottom w:val="none" w:sz="0" w:space="0" w:color="auto"/>
        <w:right w:val="none" w:sz="0" w:space="0" w:color="auto"/>
      </w:divBdr>
    </w:div>
    <w:div w:id="622078363">
      <w:bodyDiv w:val="1"/>
      <w:marLeft w:val="0"/>
      <w:marRight w:val="0"/>
      <w:marTop w:val="0"/>
      <w:marBottom w:val="0"/>
      <w:divBdr>
        <w:top w:val="none" w:sz="0" w:space="0" w:color="auto"/>
        <w:left w:val="none" w:sz="0" w:space="0" w:color="auto"/>
        <w:bottom w:val="none" w:sz="0" w:space="0" w:color="auto"/>
        <w:right w:val="none" w:sz="0" w:space="0" w:color="auto"/>
      </w:divBdr>
    </w:div>
    <w:div w:id="622225563">
      <w:bodyDiv w:val="1"/>
      <w:marLeft w:val="0"/>
      <w:marRight w:val="0"/>
      <w:marTop w:val="0"/>
      <w:marBottom w:val="0"/>
      <w:divBdr>
        <w:top w:val="none" w:sz="0" w:space="0" w:color="auto"/>
        <w:left w:val="none" w:sz="0" w:space="0" w:color="auto"/>
        <w:bottom w:val="none" w:sz="0" w:space="0" w:color="auto"/>
        <w:right w:val="none" w:sz="0" w:space="0" w:color="auto"/>
      </w:divBdr>
    </w:div>
    <w:div w:id="622420927">
      <w:bodyDiv w:val="1"/>
      <w:marLeft w:val="0"/>
      <w:marRight w:val="0"/>
      <w:marTop w:val="0"/>
      <w:marBottom w:val="0"/>
      <w:divBdr>
        <w:top w:val="none" w:sz="0" w:space="0" w:color="auto"/>
        <w:left w:val="none" w:sz="0" w:space="0" w:color="auto"/>
        <w:bottom w:val="none" w:sz="0" w:space="0" w:color="auto"/>
        <w:right w:val="none" w:sz="0" w:space="0" w:color="auto"/>
      </w:divBdr>
    </w:div>
    <w:div w:id="622467785">
      <w:bodyDiv w:val="1"/>
      <w:marLeft w:val="0"/>
      <w:marRight w:val="0"/>
      <w:marTop w:val="0"/>
      <w:marBottom w:val="0"/>
      <w:divBdr>
        <w:top w:val="none" w:sz="0" w:space="0" w:color="auto"/>
        <w:left w:val="none" w:sz="0" w:space="0" w:color="auto"/>
        <w:bottom w:val="none" w:sz="0" w:space="0" w:color="auto"/>
        <w:right w:val="none" w:sz="0" w:space="0" w:color="auto"/>
      </w:divBdr>
    </w:div>
    <w:div w:id="622539207">
      <w:bodyDiv w:val="1"/>
      <w:marLeft w:val="0"/>
      <w:marRight w:val="0"/>
      <w:marTop w:val="0"/>
      <w:marBottom w:val="0"/>
      <w:divBdr>
        <w:top w:val="none" w:sz="0" w:space="0" w:color="auto"/>
        <w:left w:val="none" w:sz="0" w:space="0" w:color="auto"/>
        <w:bottom w:val="none" w:sz="0" w:space="0" w:color="auto"/>
        <w:right w:val="none" w:sz="0" w:space="0" w:color="auto"/>
      </w:divBdr>
    </w:div>
    <w:div w:id="623000849">
      <w:bodyDiv w:val="1"/>
      <w:marLeft w:val="0"/>
      <w:marRight w:val="0"/>
      <w:marTop w:val="0"/>
      <w:marBottom w:val="0"/>
      <w:divBdr>
        <w:top w:val="none" w:sz="0" w:space="0" w:color="auto"/>
        <w:left w:val="none" w:sz="0" w:space="0" w:color="auto"/>
        <w:bottom w:val="none" w:sz="0" w:space="0" w:color="auto"/>
        <w:right w:val="none" w:sz="0" w:space="0" w:color="auto"/>
      </w:divBdr>
    </w:div>
    <w:div w:id="623273929">
      <w:bodyDiv w:val="1"/>
      <w:marLeft w:val="0"/>
      <w:marRight w:val="0"/>
      <w:marTop w:val="0"/>
      <w:marBottom w:val="0"/>
      <w:divBdr>
        <w:top w:val="none" w:sz="0" w:space="0" w:color="auto"/>
        <w:left w:val="none" w:sz="0" w:space="0" w:color="auto"/>
        <w:bottom w:val="none" w:sz="0" w:space="0" w:color="auto"/>
        <w:right w:val="none" w:sz="0" w:space="0" w:color="auto"/>
      </w:divBdr>
    </w:div>
    <w:div w:id="623510602">
      <w:bodyDiv w:val="1"/>
      <w:marLeft w:val="0"/>
      <w:marRight w:val="0"/>
      <w:marTop w:val="0"/>
      <w:marBottom w:val="0"/>
      <w:divBdr>
        <w:top w:val="none" w:sz="0" w:space="0" w:color="auto"/>
        <w:left w:val="none" w:sz="0" w:space="0" w:color="auto"/>
        <w:bottom w:val="none" w:sz="0" w:space="0" w:color="auto"/>
        <w:right w:val="none" w:sz="0" w:space="0" w:color="auto"/>
      </w:divBdr>
    </w:div>
    <w:div w:id="623535808">
      <w:bodyDiv w:val="1"/>
      <w:marLeft w:val="0"/>
      <w:marRight w:val="0"/>
      <w:marTop w:val="0"/>
      <w:marBottom w:val="0"/>
      <w:divBdr>
        <w:top w:val="none" w:sz="0" w:space="0" w:color="auto"/>
        <w:left w:val="none" w:sz="0" w:space="0" w:color="auto"/>
        <w:bottom w:val="none" w:sz="0" w:space="0" w:color="auto"/>
        <w:right w:val="none" w:sz="0" w:space="0" w:color="auto"/>
      </w:divBdr>
    </w:div>
    <w:div w:id="623928267">
      <w:bodyDiv w:val="1"/>
      <w:marLeft w:val="0"/>
      <w:marRight w:val="0"/>
      <w:marTop w:val="0"/>
      <w:marBottom w:val="0"/>
      <w:divBdr>
        <w:top w:val="none" w:sz="0" w:space="0" w:color="auto"/>
        <w:left w:val="none" w:sz="0" w:space="0" w:color="auto"/>
        <w:bottom w:val="none" w:sz="0" w:space="0" w:color="auto"/>
        <w:right w:val="none" w:sz="0" w:space="0" w:color="auto"/>
      </w:divBdr>
    </w:div>
    <w:div w:id="624695413">
      <w:bodyDiv w:val="1"/>
      <w:marLeft w:val="0"/>
      <w:marRight w:val="0"/>
      <w:marTop w:val="0"/>
      <w:marBottom w:val="0"/>
      <w:divBdr>
        <w:top w:val="none" w:sz="0" w:space="0" w:color="auto"/>
        <w:left w:val="none" w:sz="0" w:space="0" w:color="auto"/>
        <w:bottom w:val="none" w:sz="0" w:space="0" w:color="auto"/>
        <w:right w:val="none" w:sz="0" w:space="0" w:color="auto"/>
      </w:divBdr>
    </w:div>
    <w:div w:id="624847908">
      <w:bodyDiv w:val="1"/>
      <w:marLeft w:val="0"/>
      <w:marRight w:val="0"/>
      <w:marTop w:val="0"/>
      <w:marBottom w:val="0"/>
      <w:divBdr>
        <w:top w:val="none" w:sz="0" w:space="0" w:color="auto"/>
        <w:left w:val="none" w:sz="0" w:space="0" w:color="auto"/>
        <w:bottom w:val="none" w:sz="0" w:space="0" w:color="auto"/>
        <w:right w:val="none" w:sz="0" w:space="0" w:color="auto"/>
      </w:divBdr>
    </w:div>
    <w:div w:id="625157159">
      <w:bodyDiv w:val="1"/>
      <w:marLeft w:val="0"/>
      <w:marRight w:val="0"/>
      <w:marTop w:val="0"/>
      <w:marBottom w:val="0"/>
      <w:divBdr>
        <w:top w:val="none" w:sz="0" w:space="0" w:color="auto"/>
        <w:left w:val="none" w:sz="0" w:space="0" w:color="auto"/>
        <w:bottom w:val="none" w:sz="0" w:space="0" w:color="auto"/>
        <w:right w:val="none" w:sz="0" w:space="0" w:color="auto"/>
      </w:divBdr>
    </w:div>
    <w:div w:id="625431123">
      <w:bodyDiv w:val="1"/>
      <w:marLeft w:val="0"/>
      <w:marRight w:val="0"/>
      <w:marTop w:val="0"/>
      <w:marBottom w:val="0"/>
      <w:divBdr>
        <w:top w:val="none" w:sz="0" w:space="0" w:color="auto"/>
        <w:left w:val="none" w:sz="0" w:space="0" w:color="auto"/>
        <w:bottom w:val="none" w:sz="0" w:space="0" w:color="auto"/>
        <w:right w:val="none" w:sz="0" w:space="0" w:color="auto"/>
      </w:divBdr>
    </w:div>
    <w:div w:id="625741676">
      <w:bodyDiv w:val="1"/>
      <w:marLeft w:val="0"/>
      <w:marRight w:val="0"/>
      <w:marTop w:val="0"/>
      <w:marBottom w:val="0"/>
      <w:divBdr>
        <w:top w:val="none" w:sz="0" w:space="0" w:color="auto"/>
        <w:left w:val="none" w:sz="0" w:space="0" w:color="auto"/>
        <w:bottom w:val="none" w:sz="0" w:space="0" w:color="auto"/>
        <w:right w:val="none" w:sz="0" w:space="0" w:color="auto"/>
      </w:divBdr>
    </w:div>
    <w:div w:id="626350308">
      <w:bodyDiv w:val="1"/>
      <w:marLeft w:val="0"/>
      <w:marRight w:val="0"/>
      <w:marTop w:val="0"/>
      <w:marBottom w:val="0"/>
      <w:divBdr>
        <w:top w:val="none" w:sz="0" w:space="0" w:color="auto"/>
        <w:left w:val="none" w:sz="0" w:space="0" w:color="auto"/>
        <w:bottom w:val="none" w:sz="0" w:space="0" w:color="auto"/>
        <w:right w:val="none" w:sz="0" w:space="0" w:color="auto"/>
      </w:divBdr>
    </w:div>
    <w:div w:id="626549349">
      <w:bodyDiv w:val="1"/>
      <w:marLeft w:val="0"/>
      <w:marRight w:val="0"/>
      <w:marTop w:val="0"/>
      <w:marBottom w:val="0"/>
      <w:divBdr>
        <w:top w:val="none" w:sz="0" w:space="0" w:color="auto"/>
        <w:left w:val="none" w:sz="0" w:space="0" w:color="auto"/>
        <w:bottom w:val="none" w:sz="0" w:space="0" w:color="auto"/>
        <w:right w:val="none" w:sz="0" w:space="0" w:color="auto"/>
      </w:divBdr>
    </w:div>
    <w:div w:id="626669302">
      <w:bodyDiv w:val="1"/>
      <w:marLeft w:val="0"/>
      <w:marRight w:val="0"/>
      <w:marTop w:val="0"/>
      <w:marBottom w:val="0"/>
      <w:divBdr>
        <w:top w:val="none" w:sz="0" w:space="0" w:color="auto"/>
        <w:left w:val="none" w:sz="0" w:space="0" w:color="auto"/>
        <w:bottom w:val="none" w:sz="0" w:space="0" w:color="auto"/>
        <w:right w:val="none" w:sz="0" w:space="0" w:color="auto"/>
      </w:divBdr>
    </w:div>
    <w:div w:id="627324293">
      <w:bodyDiv w:val="1"/>
      <w:marLeft w:val="0"/>
      <w:marRight w:val="0"/>
      <w:marTop w:val="0"/>
      <w:marBottom w:val="0"/>
      <w:divBdr>
        <w:top w:val="none" w:sz="0" w:space="0" w:color="auto"/>
        <w:left w:val="none" w:sz="0" w:space="0" w:color="auto"/>
        <w:bottom w:val="none" w:sz="0" w:space="0" w:color="auto"/>
        <w:right w:val="none" w:sz="0" w:space="0" w:color="auto"/>
      </w:divBdr>
    </w:div>
    <w:div w:id="628584078">
      <w:bodyDiv w:val="1"/>
      <w:marLeft w:val="0"/>
      <w:marRight w:val="0"/>
      <w:marTop w:val="0"/>
      <w:marBottom w:val="0"/>
      <w:divBdr>
        <w:top w:val="none" w:sz="0" w:space="0" w:color="auto"/>
        <w:left w:val="none" w:sz="0" w:space="0" w:color="auto"/>
        <w:bottom w:val="none" w:sz="0" w:space="0" w:color="auto"/>
        <w:right w:val="none" w:sz="0" w:space="0" w:color="auto"/>
      </w:divBdr>
    </w:div>
    <w:div w:id="629014533">
      <w:bodyDiv w:val="1"/>
      <w:marLeft w:val="0"/>
      <w:marRight w:val="0"/>
      <w:marTop w:val="0"/>
      <w:marBottom w:val="0"/>
      <w:divBdr>
        <w:top w:val="none" w:sz="0" w:space="0" w:color="auto"/>
        <w:left w:val="none" w:sz="0" w:space="0" w:color="auto"/>
        <w:bottom w:val="none" w:sz="0" w:space="0" w:color="auto"/>
        <w:right w:val="none" w:sz="0" w:space="0" w:color="auto"/>
      </w:divBdr>
    </w:div>
    <w:div w:id="629625495">
      <w:bodyDiv w:val="1"/>
      <w:marLeft w:val="0"/>
      <w:marRight w:val="0"/>
      <w:marTop w:val="0"/>
      <w:marBottom w:val="0"/>
      <w:divBdr>
        <w:top w:val="none" w:sz="0" w:space="0" w:color="auto"/>
        <w:left w:val="none" w:sz="0" w:space="0" w:color="auto"/>
        <w:bottom w:val="none" w:sz="0" w:space="0" w:color="auto"/>
        <w:right w:val="none" w:sz="0" w:space="0" w:color="auto"/>
      </w:divBdr>
    </w:div>
    <w:div w:id="629826386">
      <w:bodyDiv w:val="1"/>
      <w:marLeft w:val="0"/>
      <w:marRight w:val="0"/>
      <w:marTop w:val="0"/>
      <w:marBottom w:val="0"/>
      <w:divBdr>
        <w:top w:val="none" w:sz="0" w:space="0" w:color="auto"/>
        <w:left w:val="none" w:sz="0" w:space="0" w:color="auto"/>
        <w:bottom w:val="none" w:sz="0" w:space="0" w:color="auto"/>
        <w:right w:val="none" w:sz="0" w:space="0" w:color="auto"/>
      </w:divBdr>
    </w:div>
    <w:div w:id="630402085">
      <w:bodyDiv w:val="1"/>
      <w:marLeft w:val="0"/>
      <w:marRight w:val="0"/>
      <w:marTop w:val="0"/>
      <w:marBottom w:val="0"/>
      <w:divBdr>
        <w:top w:val="none" w:sz="0" w:space="0" w:color="auto"/>
        <w:left w:val="none" w:sz="0" w:space="0" w:color="auto"/>
        <w:bottom w:val="none" w:sz="0" w:space="0" w:color="auto"/>
        <w:right w:val="none" w:sz="0" w:space="0" w:color="auto"/>
      </w:divBdr>
    </w:div>
    <w:div w:id="630478122">
      <w:bodyDiv w:val="1"/>
      <w:marLeft w:val="0"/>
      <w:marRight w:val="0"/>
      <w:marTop w:val="0"/>
      <w:marBottom w:val="0"/>
      <w:divBdr>
        <w:top w:val="none" w:sz="0" w:space="0" w:color="auto"/>
        <w:left w:val="none" w:sz="0" w:space="0" w:color="auto"/>
        <w:bottom w:val="none" w:sz="0" w:space="0" w:color="auto"/>
        <w:right w:val="none" w:sz="0" w:space="0" w:color="auto"/>
      </w:divBdr>
    </w:div>
    <w:div w:id="630981093">
      <w:bodyDiv w:val="1"/>
      <w:marLeft w:val="0"/>
      <w:marRight w:val="0"/>
      <w:marTop w:val="0"/>
      <w:marBottom w:val="0"/>
      <w:divBdr>
        <w:top w:val="none" w:sz="0" w:space="0" w:color="auto"/>
        <w:left w:val="none" w:sz="0" w:space="0" w:color="auto"/>
        <w:bottom w:val="none" w:sz="0" w:space="0" w:color="auto"/>
        <w:right w:val="none" w:sz="0" w:space="0" w:color="auto"/>
      </w:divBdr>
    </w:div>
    <w:div w:id="631206420">
      <w:bodyDiv w:val="1"/>
      <w:marLeft w:val="0"/>
      <w:marRight w:val="0"/>
      <w:marTop w:val="0"/>
      <w:marBottom w:val="0"/>
      <w:divBdr>
        <w:top w:val="none" w:sz="0" w:space="0" w:color="auto"/>
        <w:left w:val="none" w:sz="0" w:space="0" w:color="auto"/>
        <w:bottom w:val="none" w:sz="0" w:space="0" w:color="auto"/>
        <w:right w:val="none" w:sz="0" w:space="0" w:color="auto"/>
      </w:divBdr>
    </w:div>
    <w:div w:id="631209181">
      <w:bodyDiv w:val="1"/>
      <w:marLeft w:val="0"/>
      <w:marRight w:val="0"/>
      <w:marTop w:val="0"/>
      <w:marBottom w:val="0"/>
      <w:divBdr>
        <w:top w:val="none" w:sz="0" w:space="0" w:color="auto"/>
        <w:left w:val="none" w:sz="0" w:space="0" w:color="auto"/>
        <w:bottom w:val="none" w:sz="0" w:space="0" w:color="auto"/>
        <w:right w:val="none" w:sz="0" w:space="0" w:color="auto"/>
      </w:divBdr>
    </w:div>
    <w:div w:id="631445585">
      <w:bodyDiv w:val="1"/>
      <w:marLeft w:val="0"/>
      <w:marRight w:val="0"/>
      <w:marTop w:val="0"/>
      <w:marBottom w:val="0"/>
      <w:divBdr>
        <w:top w:val="none" w:sz="0" w:space="0" w:color="auto"/>
        <w:left w:val="none" w:sz="0" w:space="0" w:color="auto"/>
        <w:bottom w:val="none" w:sz="0" w:space="0" w:color="auto"/>
        <w:right w:val="none" w:sz="0" w:space="0" w:color="auto"/>
      </w:divBdr>
    </w:div>
    <w:div w:id="631637843">
      <w:bodyDiv w:val="1"/>
      <w:marLeft w:val="0"/>
      <w:marRight w:val="0"/>
      <w:marTop w:val="0"/>
      <w:marBottom w:val="0"/>
      <w:divBdr>
        <w:top w:val="none" w:sz="0" w:space="0" w:color="auto"/>
        <w:left w:val="none" w:sz="0" w:space="0" w:color="auto"/>
        <w:bottom w:val="none" w:sz="0" w:space="0" w:color="auto"/>
        <w:right w:val="none" w:sz="0" w:space="0" w:color="auto"/>
      </w:divBdr>
    </w:div>
    <w:div w:id="631982873">
      <w:bodyDiv w:val="1"/>
      <w:marLeft w:val="0"/>
      <w:marRight w:val="0"/>
      <w:marTop w:val="0"/>
      <w:marBottom w:val="0"/>
      <w:divBdr>
        <w:top w:val="none" w:sz="0" w:space="0" w:color="auto"/>
        <w:left w:val="none" w:sz="0" w:space="0" w:color="auto"/>
        <w:bottom w:val="none" w:sz="0" w:space="0" w:color="auto"/>
        <w:right w:val="none" w:sz="0" w:space="0" w:color="auto"/>
      </w:divBdr>
    </w:div>
    <w:div w:id="632100411">
      <w:bodyDiv w:val="1"/>
      <w:marLeft w:val="0"/>
      <w:marRight w:val="0"/>
      <w:marTop w:val="0"/>
      <w:marBottom w:val="0"/>
      <w:divBdr>
        <w:top w:val="none" w:sz="0" w:space="0" w:color="auto"/>
        <w:left w:val="none" w:sz="0" w:space="0" w:color="auto"/>
        <w:bottom w:val="none" w:sz="0" w:space="0" w:color="auto"/>
        <w:right w:val="none" w:sz="0" w:space="0" w:color="auto"/>
      </w:divBdr>
    </w:div>
    <w:div w:id="632369533">
      <w:bodyDiv w:val="1"/>
      <w:marLeft w:val="0"/>
      <w:marRight w:val="0"/>
      <w:marTop w:val="0"/>
      <w:marBottom w:val="0"/>
      <w:divBdr>
        <w:top w:val="none" w:sz="0" w:space="0" w:color="auto"/>
        <w:left w:val="none" w:sz="0" w:space="0" w:color="auto"/>
        <w:bottom w:val="none" w:sz="0" w:space="0" w:color="auto"/>
        <w:right w:val="none" w:sz="0" w:space="0" w:color="auto"/>
      </w:divBdr>
    </w:div>
    <w:div w:id="632443222">
      <w:bodyDiv w:val="1"/>
      <w:marLeft w:val="0"/>
      <w:marRight w:val="0"/>
      <w:marTop w:val="0"/>
      <w:marBottom w:val="0"/>
      <w:divBdr>
        <w:top w:val="none" w:sz="0" w:space="0" w:color="auto"/>
        <w:left w:val="none" w:sz="0" w:space="0" w:color="auto"/>
        <w:bottom w:val="none" w:sz="0" w:space="0" w:color="auto"/>
        <w:right w:val="none" w:sz="0" w:space="0" w:color="auto"/>
      </w:divBdr>
    </w:div>
    <w:div w:id="632564871">
      <w:bodyDiv w:val="1"/>
      <w:marLeft w:val="0"/>
      <w:marRight w:val="0"/>
      <w:marTop w:val="0"/>
      <w:marBottom w:val="0"/>
      <w:divBdr>
        <w:top w:val="none" w:sz="0" w:space="0" w:color="auto"/>
        <w:left w:val="none" w:sz="0" w:space="0" w:color="auto"/>
        <w:bottom w:val="none" w:sz="0" w:space="0" w:color="auto"/>
        <w:right w:val="none" w:sz="0" w:space="0" w:color="auto"/>
      </w:divBdr>
    </w:div>
    <w:div w:id="632904784">
      <w:bodyDiv w:val="1"/>
      <w:marLeft w:val="0"/>
      <w:marRight w:val="0"/>
      <w:marTop w:val="0"/>
      <w:marBottom w:val="0"/>
      <w:divBdr>
        <w:top w:val="none" w:sz="0" w:space="0" w:color="auto"/>
        <w:left w:val="none" w:sz="0" w:space="0" w:color="auto"/>
        <w:bottom w:val="none" w:sz="0" w:space="0" w:color="auto"/>
        <w:right w:val="none" w:sz="0" w:space="0" w:color="auto"/>
      </w:divBdr>
    </w:div>
    <w:div w:id="632948553">
      <w:bodyDiv w:val="1"/>
      <w:marLeft w:val="0"/>
      <w:marRight w:val="0"/>
      <w:marTop w:val="0"/>
      <w:marBottom w:val="0"/>
      <w:divBdr>
        <w:top w:val="none" w:sz="0" w:space="0" w:color="auto"/>
        <w:left w:val="none" w:sz="0" w:space="0" w:color="auto"/>
        <w:bottom w:val="none" w:sz="0" w:space="0" w:color="auto"/>
        <w:right w:val="none" w:sz="0" w:space="0" w:color="auto"/>
      </w:divBdr>
    </w:div>
    <w:div w:id="633219682">
      <w:bodyDiv w:val="1"/>
      <w:marLeft w:val="0"/>
      <w:marRight w:val="0"/>
      <w:marTop w:val="0"/>
      <w:marBottom w:val="0"/>
      <w:divBdr>
        <w:top w:val="none" w:sz="0" w:space="0" w:color="auto"/>
        <w:left w:val="none" w:sz="0" w:space="0" w:color="auto"/>
        <w:bottom w:val="none" w:sz="0" w:space="0" w:color="auto"/>
        <w:right w:val="none" w:sz="0" w:space="0" w:color="auto"/>
      </w:divBdr>
    </w:div>
    <w:div w:id="634026600">
      <w:bodyDiv w:val="1"/>
      <w:marLeft w:val="0"/>
      <w:marRight w:val="0"/>
      <w:marTop w:val="0"/>
      <w:marBottom w:val="0"/>
      <w:divBdr>
        <w:top w:val="none" w:sz="0" w:space="0" w:color="auto"/>
        <w:left w:val="none" w:sz="0" w:space="0" w:color="auto"/>
        <w:bottom w:val="none" w:sz="0" w:space="0" w:color="auto"/>
        <w:right w:val="none" w:sz="0" w:space="0" w:color="auto"/>
      </w:divBdr>
    </w:div>
    <w:div w:id="634064890">
      <w:bodyDiv w:val="1"/>
      <w:marLeft w:val="0"/>
      <w:marRight w:val="0"/>
      <w:marTop w:val="0"/>
      <w:marBottom w:val="0"/>
      <w:divBdr>
        <w:top w:val="none" w:sz="0" w:space="0" w:color="auto"/>
        <w:left w:val="none" w:sz="0" w:space="0" w:color="auto"/>
        <w:bottom w:val="none" w:sz="0" w:space="0" w:color="auto"/>
        <w:right w:val="none" w:sz="0" w:space="0" w:color="auto"/>
      </w:divBdr>
    </w:div>
    <w:div w:id="634484631">
      <w:bodyDiv w:val="1"/>
      <w:marLeft w:val="0"/>
      <w:marRight w:val="0"/>
      <w:marTop w:val="0"/>
      <w:marBottom w:val="0"/>
      <w:divBdr>
        <w:top w:val="none" w:sz="0" w:space="0" w:color="auto"/>
        <w:left w:val="none" w:sz="0" w:space="0" w:color="auto"/>
        <w:bottom w:val="none" w:sz="0" w:space="0" w:color="auto"/>
        <w:right w:val="none" w:sz="0" w:space="0" w:color="auto"/>
      </w:divBdr>
    </w:div>
    <w:div w:id="634675874">
      <w:bodyDiv w:val="1"/>
      <w:marLeft w:val="0"/>
      <w:marRight w:val="0"/>
      <w:marTop w:val="0"/>
      <w:marBottom w:val="0"/>
      <w:divBdr>
        <w:top w:val="none" w:sz="0" w:space="0" w:color="auto"/>
        <w:left w:val="none" w:sz="0" w:space="0" w:color="auto"/>
        <w:bottom w:val="none" w:sz="0" w:space="0" w:color="auto"/>
        <w:right w:val="none" w:sz="0" w:space="0" w:color="auto"/>
      </w:divBdr>
    </w:div>
    <w:div w:id="634800731">
      <w:bodyDiv w:val="1"/>
      <w:marLeft w:val="0"/>
      <w:marRight w:val="0"/>
      <w:marTop w:val="0"/>
      <w:marBottom w:val="0"/>
      <w:divBdr>
        <w:top w:val="none" w:sz="0" w:space="0" w:color="auto"/>
        <w:left w:val="none" w:sz="0" w:space="0" w:color="auto"/>
        <w:bottom w:val="none" w:sz="0" w:space="0" w:color="auto"/>
        <w:right w:val="none" w:sz="0" w:space="0" w:color="auto"/>
      </w:divBdr>
    </w:div>
    <w:div w:id="635109794">
      <w:bodyDiv w:val="1"/>
      <w:marLeft w:val="0"/>
      <w:marRight w:val="0"/>
      <w:marTop w:val="0"/>
      <w:marBottom w:val="0"/>
      <w:divBdr>
        <w:top w:val="none" w:sz="0" w:space="0" w:color="auto"/>
        <w:left w:val="none" w:sz="0" w:space="0" w:color="auto"/>
        <w:bottom w:val="none" w:sz="0" w:space="0" w:color="auto"/>
        <w:right w:val="none" w:sz="0" w:space="0" w:color="auto"/>
      </w:divBdr>
    </w:div>
    <w:div w:id="635139089">
      <w:bodyDiv w:val="1"/>
      <w:marLeft w:val="0"/>
      <w:marRight w:val="0"/>
      <w:marTop w:val="0"/>
      <w:marBottom w:val="0"/>
      <w:divBdr>
        <w:top w:val="none" w:sz="0" w:space="0" w:color="auto"/>
        <w:left w:val="none" w:sz="0" w:space="0" w:color="auto"/>
        <w:bottom w:val="none" w:sz="0" w:space="0" w:color="auto"/>
        <w:right w:val="none" w:sz="0" w:space="0" w:color="auto"/>
      </w:divBdr>
    </w:div>
    <w:div w:id="635455076">
      <w:bodyDiv w:val="1"/>
      <w:marLeft w:val="0"/>
      <w:marRight w:val="0"/>
      <w:marTop w:val="0"/>
      <w:marBottom w:val="0"/>
      <w:divBdr>
        <w:top w:val="none" w:sz="0" w:space="0" w:color="auto"/>
        <w:left w:val="none" w:sz="0" w:space="0" w:color="auto"/>
        <w:bottom w:val="none" w:sz="0" w:space="0" w:color="auto"/>
        <w:right w:val="none" w:sz="0" w:space="0" w:color="auto"/>
      </w:divBdr>
    </w:div>
    <w:div w:id="635767116">
      <w:bodyDiv w:val="1"/>
      <w:marLeft w:val="0"/>
      <w:marRight w:val="0"/>
      <w:marTop w:val="0"/>
      <w:marBottom w:val="0"/>
      <w:divBdr>
        <w:top w:val="none" w:sz="0" w:space="0" w:color="auto"/>
        <w:left w:val="none" w:sz="0" w:space="0" w:color="auto"/>
        <w:bottom w:val="none" w:sz="0" w:space="0" w:color="auto"/>
        <w:right w:val="none" w:sz="0" w:space="0" w:color="auto"/>
      </w:divBdr>
    </w:div>
    <w:div w:id="636223762">
      <w:bodyDiv w:val="1"/>
      <w:marLeft w:val="0"/>
      <w:marRight w:val="0"/>
      <w:marTop w:val="0"/>
      <w:marBottom w:val="0"/>
      <w:divBdr>
        <w:top w:val="none" w:sz="0" w:space="0" w:color="auto"/>
        <w:left w:val="none" w:sz="0" w:space="0" w:color="auto"/>
        <w:bottom w:val="none" w:sz="0" w:space="0" w:color="auto"/>
        <w:right w:val="none" w:sz="0" w:space="0" w:color="auto"/>
      </w:divBdr>
    </w:div>
    <w:div w:id="636296457">
      <w:bodyDiv w:val="1"/>
      <w:marLeft w:val="0"/>
      <w:marRight w:val="0"/>
      <w:marTop w:val="0"/>
      <w:marBottom w:val="0"/>
      <w:divBdr>
        <w:top w:val="none" w:sz="0" w:space="0" w:color="auto"/>
        <w:left w:val="none" w:sz="0" w:space="0" w:color="auto"/>
        <w:bottom w:val="none" w:sz="0" w:space="0" w:color="auto"/>
        <w:right w:val="none" w:sz="0" w:space="0" w:color="auto"/>
      </w:divBdr>
    </w:div>
    <w:div w:id="636299449">
      <w:bodyDiv w:val="1"/>
      <w:marLeft w:val="0"/>
      <w:marRight w:val="0"/>
      <w:marTop w:val="0"/>
      <w:marBottom w:val="0"/>
      <w:divBdr>
        <w:top w:val="none" w:sz="0" w:space="0" w:color="auto"/>
        <w:left w:val="none" w:sz="0" w:space="0" w:color="auto"/>
        <w:bottom w:val="none" w:sz="0" w:space="0" w:color="auto"/>
        <w:right w:val="none" w:sz="0" w:space="0" w:color="auto"/>
      </w:divBdr>
    </w:div>
    <w:div w:id="636375950">
      <w:bodyDiv w:val="1"/>
      <w:marLeft w:val="0"/>
      <w:marRight w:val="0"/>
      <w:marTop w:val="0"/>
      <w:marBottom w:val="0"/>
      <w:divBdr>
        <w:top w:val="none" w:sz="0" w:space="0" w:color="auto"/>
        <w:left w:val="none" w:sz="0" w:space="0" w:color="auto"/>
        <w:bottom w:val="none" w:sz="0" w:space="0" w:color="auto"/>
        <w:right w:val="none" w:sz="0" w:space="0" w:color="auto"/>
      </w:divBdr>
    </w:div>
    <w:div w:id="636379977">
      <w:bodyDiv w:val="1"/>
      <w:marLeft w:val="0"/>
      <w:marRight w:val="0"/>
      <w:marTop w:val="0"/>
      <w:marBottom w:val="0"/>
      <w:divBdr>
        <w:top w:val="none" w:sz="0" w:space="0" w:color="auto"/>
        <w:left w:val="none" w:sz="0" w:space="0" w:color="auto"/>
        <w:bottom w:val="none" w:sz="0" w:space="0" w:color="auto"/>
        <w:right w:val="none" w:sz="0" w:space="0" w:color="auto"/>
      </w:divBdr>
    </w:div>
    <w:div w:id="636423037">
      <w:bodyDiv w:val="1"/>
      <w:marLeft w:val="0"/>
      <w:marRight w:val="0"/>
      <w:marTop w:val="0"/>
      <w:marBottom w:val="0"/>
      <w:divBdr>
        <w:top w:val="none" w:sz="0" w:space="0" w:color="auto"/>
        <w:left w:val="none" w:sz="0" w:space="0" w:color="auto"/>
        <w:bottom w:val="none" w:sz="0" w:space="0" w:color="auto"/>
        <w:right w:val="none" w:sz="0" w:space="0" w:color="auto"/>
      </w:divBdr>
    </w:div>
    <w:div w:id="636572568">
      <w:bodyDiv w:val="1"/>
      <w:marLeft w:val="0"/>
      <w:marRight w:val="0"/>
      <w:marTop w:val="0"/>
      <w:marBottom w:val="0"/>
      <w:divBdr>
        <w:top w:val="none" w:sz="0" w:space="0" w:color="auto"/>
        <w:left w:val="none" w:sz="0" w:space="0" w:color="auto"/>
        <w:bottom w:val="none" w:sz="0" w:space="0" w:color="auto"/>
        <w:right w:val="none" w:sz="0" w:space="0" w:color="auto"/>
      </w:divBdr>
    </w:div>
    <w:div w:id="636765082">
      <w:bodyDiv w:val="1"/>
      <w:marLeft w:val="0"/>
      <w:marRight w:val="0"/>
      <w:marTop w:val="0"/>
      <w:marBottom w:val="0"/>
      <w:divBdr>
        <w:top w:val="none" w:sz="0" w:space="0" w:color="auto"/>
        <w:left w:val="none" w:sz="0" w:space="0" w:color="auto"/>
        <w:bottom w:val="none" w:sz="0" w:space="0" w:color="auto"/>
        <w:right w:val="none" w:sz="0" w:space="0" w:color="auto"/>
      </w:divBdr>
    </w:div>
    <w:div w:id="637489044">
      <w:bodyDiv w:val="1"/>
      <w:marLeft w:val="0"/>
      <w:marRight w:val="0"/>
      <w:marTop w:val="0"/>
      <w:marBottom w:val="0"/>
      <w:divBdr>
        <w:top w:val="none" w:sz="0" w:space="0" w:color="auto"/>
        <w:left w:val="none" w:sz="0" w:space="0" w:color="auto"/>
        <w:bottom w:val="none" w:sz="0" w:space="0" w:color="auto"/>
        <w:right w:val="none" w:sz="0" w:space="0" w:color="auto"/>
      </w:divBdr>
    </w:div>
    <w:div w:id="637690069">
      <w:bodyDiv w:val="1"/>
      <w:marLeft w:val="0"/>
      <w:marRight w:val="0"/>
      <w:marTop w:val="0"/>
      <w:marBottom w:val="0"/>
      <w:divBdr>
        <w:top w:val="none" w:sz="0" w:space="0" w:color="auto"/>
        <w:left w:val="none" w:sz="0" w:space="0" w:color="auto"/>
        <w:bottom w:val="none" w:sz="0" w:space="0" w:color="auto"/>
        <w:right w:val="none" w:sz="0" w:space="0" w:color="auto"/>
      </w:divBdr>
    </w:div>
    <w:div w:id="638220147">
      <w:bodyDiv w:val="1"/>
      <w:marLeft w:val="0"/>
      <w:marRight w:val="0"/>
      <w:marTop w:val="0"/>
      <w:marBottom w:val="0"/>
      <w:divBdr>
        <w:top w:val="none" w:sz="0" w:space="0" w:color="auto"/>
        <w:left w:val="none" w:sz="0" w:space="0" w:color="auto"/>
        <w:bottom w:val="none" w:sz="0" w:space="0" w:color="auto"/>
        <w:right w:val="none" w:sz="0" w:space="0" w:color="auto"/>
      </w:divBdr>
    </w:div>
    <w:div w:id="638464047">
      <w:bodyDiv w:val="1"/>
      <w:marLeft w:val="0"/>
      <w:marRight w:val="0"/>
      <w:marTop w:val="0"/>
      <w:marBottom w:val="0"/>
      <w:divBdr>
        <w:top w:val="none" w:sz="0" w:space="0" w:color="auto"/>
        <w:left w:val="none" w:sz="0" w:space="0" w:color="auto"/>
        <w:bottom w:val="none" w:sz="0" w:space="0" w:color="auto"/>
        <w:right w:val="none" w:sz="0" w:space="0" w:color="auto"/>
      </w:divBdr>
    </w:div>
    <w:div w:id="638653834">
      <w:bodyDiv w:val="1"/>
      <w:marLeft w:val="0"/>
      <w:marRight w:val="0"/>
      <w:marTop w:val="0"/>
      <w:marBottom w:val="0"/>
      <w:divBdr>
        <w:top w:val="none" w:sz="0" w:space="0" w:color="auto"/>
        <w:left w:val="none" w:sz="0" w:space="0" w:color="auto"/>
        <w:bottom w:val="none" w:sz="0" w:space="0" w:color="auto"/>
        <w:right w:val="none" w:sz="0" w:space="0" w:color="auto"/>
      </w:divBdr>
    </w:div>
    <w:div w:id="638726242">
      <w:bodyDiv w:val="1"/>
      <w:marLeft w:val="0"/>
      <w:marRight w:val="0"/>
      <w:marTop w:val="0"/>
      <w:marBottom w:val="0"/>
      <w:divBdr>
        <w:top w:val="none" w:sz="0" w:space="0" w:color="auto"/>
        <w:left w:val="none" w:sz="0" w:space="0" w:color="auto"/>
        <w:bottom w:val="none" w:sz="0" w:space="0" w:color="auto"/>
        <w:right w:val="none" w:sz="0" w:space="0" w:color="auto"/>
      </w:divBdr>
    </w:div>
    <w:div w:id="639001075">
      <w:bodyDiv w:val="1"/>
      <w:marLeft w:val="0"/>
      <w:marRight w:val="0"/>
      <w:marTop w:val="0"/>
      <w:marBottom w:val="0"/>
      <w:divBdr>
        <w:top w:val="none" w:sz="0" w:space="0" w:color="auto"/>
        <w:left w:val="none" w:sz="0" w:space="0" w:color="auto"/>
        <w:bottom w:val="none" w:sz="0" w:space="0" w:color="auto"/>
        <w:right w:val="none" w:sz="0" w:space="0" w:color="auto"/>
      </w:divBdr>
    </w:div>
    <w:div w:id="639652749">
      <w:bodyDiv w:val="1"/>
      <w:marLeft w:val="0"/>
      <w:marRight w:val="0"/>
      <w:marTop w:val="0"/>
      <w:marBottom w:val="0"/>
      <w:divBdr>
        <w:top w:val="none" w:sz="0" w:space="0" w:color="auto"/>
        <w:left w:val="none" w:sz="0" w:space="0" w:color="auto"/>
        <w:bottom w:val="none" w:sz="0" w:space="0" w:color="auto"/>
        <w:right w:val="none" w:sz="0" w:space="0" w:color="auto"/>
      </w:divBdr>
    </w:div>
    <w:div w:id="639966423">
      <w:bodyDiv w:val="1"/>
      <w:marLeft w:val="0"/>
      <w:marRight w:val="0"/>
      <w:marTop w:val="0"/>
      <w:marBottom w:val="0"/>
      <w:divBdr>
        <w:top w:val="none" w:sz="0" w:space="0" w:color="auto"/>
        <w:left w:val="none" w:sz="0" w:space="0" w:color="auto"/>
        <w:bottom w:val="none" w:sz="0" w:space="0" w:color="auto"/>
        <w:right w:val="none" w:sz="0" w:space="0" w:color="auto"/>
      </w:divBdr>
    </w:div>
    <w:div w:id="640116161">
      <w:bodyDiv w:val="1"/>
      <w:marLeft w:val="0"/>
      <w:marRight w:val="0"/>
      <w:marTop w:val="0"/>
      <w:marBottom w:val="0"/>
      <w:divBdr>
        <w:top w:val="none" w:sz="0" w:space="0" w:color="auto"/>
        <w:left w:val="none" w:sz="0" w:space="0" w:color="auto"/>
        <w:bottom w:val="none" w:sz="0" w:space="0" w:color="auto"/>
        <w:right w:val="none" w:sz="0" w:space="0" w:color="auto"/>
      </w:divBdr>
    </w:div>
    <w:div w:id="640155757">
      <w:bodyDiv w:val="1"/>
      <w:marLeft w:val="0"/>
      <w:marRight w:val="0"/>
      <w:marTop w:val="0"/>
      <w:marBottom w:val="0"/>
      <w:divBdr>
        <w:top w:val="none" w:sz="0" w:space="0" w:color="auto"/>
        <w:left w:val="none" w:sz="0" w:space="0" w:color="auto"/>
        <w:bottom w:val="none" w:sz="0" w:space="0" w:color="auto"/>
        <w:right w:val="none" w:sz="0" w:space="0" w:color="auto"/>
      </w:divBdr>
    </w:div>
    <w:div w:id="640156482">
      <w:bodyDiv w:val="1"/>
      <w:marLeft w:val="0"/>
      <w:marRight w:val="0"/>
      <w:marTop w:val="0"/>
      <w:marBottom w:val="0"/>
      <w:divBdr>
        <w:top w:val="none" w:sz="0" w:space="0" w:color="auto"/>
        <w:left w:val="none" w:sz="0" w:space="0" w:color="auto"/>
        <w:bottom w:val="none" w:sz="0" w:space="0" w:color="auto"/>
        <w:right w:val="none" w:sz="0" w:space="0" w:color="auto"/>
      </w:divBdr>
    </w:div>
    <w:div w:id="640771137">
      <w:bodyDiv w:val="1"/>
      <w:marLeft w:val="0"/>
      <w:marRight w:val="0"/>
      <w:marTop w:val="0"/>
      <w:marBottom w:val="0"/>
      <w:divBdr>
        <w:top w:val="none" w:sz="0" w:space="0" w:color="auto"/>
        <w:left w:val="none" w:sz="0" w:space="0" w:color="auto"/>
        <w:bottom w:val="none" w:sz="0" w:space="0" w:color="auto"/>
        <w:right w:val="none" w:sz="0" w:space="0" w:color="auto"/>
      </w:divBdr>
    </w:div>
    <w:div w:id="641036297">
      <w:bodyDiv w:val="1"/>
      <w:marLeft w:val="0"/>
      <w:marRight w:val="0"/>
      <w:marTop w:val="0"/>
      <w:marBottom w:val="0"/>
      <w:divBdr>
        <w:top w:val="none" w:sz="0" w:space="0" w:color="auto"/>
        <w:left w:val="none" w:sz="0" w:space="0" w:color="auto"/>
        <w:bottom w:val="none" w:sz="0" w:space="0" w:color="auto"/>
        <w:right w:val="none" w:sz="0" w:space="0" w:color="auto"/>
      </w:divBdr>
    </w:div>
    <w:div w:id="641084641">
      <w:bodyDiv w:val="1"/>
      <w:marLeft w:val="0"/>
      <w:marRight w:val="0"/>
      <w:marTop w:val="0"/>
      <w:marBottom w:val="0"/>
      <w:divBdr>
        <w:top w:val="none" w:sz="0" w:space="0" w:color="auto"/>
        <w:left w:val="none" w:sz="0" w:space="0" w:color="auto"/>
        <w:bottom w:val="none" w:sz="0" w:space="0" w:color="auto"/>
        <w:right w:val="none" w:sz="0" w:space="0" w:color="auto"/>
      </w:divBdr>
    </w:div>
    <w:div w:id="641928190">
      <w:bodyDiv w:val="1"/>
      <w:marLeft w:val="0"/>
      <w:marRight w:val="0"/>
      <w:marTop w:val="0"/>
      <w:marBottom w:val="0"/>
      <w:divBdr>
        <w:top w:val="none" w:sz="0" w:space="0" w:color="auto"/>
        <w:left w:val="none" w:sz="0" w:space="0" w:color="auto"/>
        <w:bottom w:val="none" w:sz="0" w:space="0" w:color="auto"/>
        <w:right w:val="none" w:sz="0" w:space="0" w:color="auto"/>
      </w:divBdr>
    </w:div>
    <w:div w:id="642387606">
      <w:bodyDiv w:val="1"/>
      <w:marLeft w:val="0"/>
      <w:marRight w:val="0"/>
      <w:marTop w:val="0"/>
      <w:marBottom w:val="0"/>
      <w:divBdr>
        <w:top w:val="none" w:sz="0" w:space="0" w:color="auto"/>
        <w:left w:val="none" w:sz="0" w:space="0" w:color="auto"/>
        <w:bottom w:val="none" w:sz="0" w:space="0" w:color="auto"/>
        <w:right w:val="none" w:sz="0" w:space="0" w:color="auto"/>
      </w:divBdr>
    </w:div>
    <w:div w:id="642387679">
      <w:bodyDiv w:val="1"/>
      <w:marLeft w:val="0"/>
      <w:marRight w:val="0"/>
      <w:marTop w:val="0"/>
      <w:marBottom w:val="0"/>
      <w:divBdr>
        <w:top w:val="none" w:sz="0" w:space="0" w:color="auto"/>
        <w:left w:val="none" w:sz="0" w:space="0" w:color="auto"/>
        <w:bottom w:val="none" w:sz="0" w:space="0" w:color="auto"/>
        <w:right w:val="none" w:sz="0" w:space="0" w:color="auto"/>
      </w:divBdr>
    </w:div>
    <w:div w:id="643047912">
      <w:bodyDiv w:val="1"/>
      <w:marLeft w:val="0"/>
      <w:marRight w:val="0"/>
      <w:marTop w:val="0"/>
      <w:marBottom w:val="0"/>
      <w:divBdr>
        <w:top w:val="none" w:sz="0" w:space="0" w:color="auto"/>
        <w:left w:val="none" w:sz="0" w:space="0" w:color="auto"/>
        <w:bottom w:val="none" w:sz="0" w:space="0" w:color="auto"/>
        <w:right w:val="none" w:sz="0" w:space="0" w:color="auto"/>
      </w:divBdr>
    </w:div>
    <w:div w:id="643311684">
      <w:bodyDiv w:val="1"/>
      <w:marLeft w:val="0"/>
      <w:marRight w:val="0"/>
      <w:marTop w:val="0"/>
      <w:marBottom w:val="0"/>
      <w:divBdr>
        <w:top w:val="none" w:sz="0" w:space="0" w:color="auto"/>
        <w:left w:val="none" w:sz="0" w:space="0" w:color="auto"/>
        <w:bottom w:val="none" w:sz="0" w:space="0" w:color="auto"/>
        <w:right w:val="none" w:sz="0" w:space="0" w:color="auto"/>
      </w:divBdr>
    </w:div>
    <w:div w:id="643395592">
      <w:bodyDiv w:val="1"/>
      <w:marLeft w:val="0"/>
      <w:marRight w:val="0"/>
      <w:marTop w:val="0"/>
      <w:marBottom w:val="0"/>
      <w:divBdr>
        <w:top w:val="none" w:sz="0" w:space="0" w:color="auto"/>
        <w:left w:val="none" w:sz="0" w:space="0" w:color="auto"/>
        <w:bottom w:val="none" w:sz="0" w:space="0" w:color="auto"/>
        <w:right w:val="none" w:sz="0" w:space="0" w:color="auto"/>
      </w:divBdr>
    </w:div>
    <w:div w:id="643585937">
      <w:bodyDiv w:val="1"/>
      <w:marLeft w:val="0"/>
      <w:marRight w:val="0"/>
      <w:marTop w:val="0"/>
      <w:marBottom w:val="0"/>
      <w:divBdr>
        <w:top w:val="none" w:sz="0" w:space="0" w:color="auto"/>
        <w:left w:val="none" w:sz="0" w:space="0" w:color="auto"/>
        <w:bottom w:val="none" w:sz="0" w:space="0" w:color="auto"/>
        <w:right w:val="none" w:sz="0" w:space="0" w:color="auto"/>
      </w:divBdr>
    </w:div>
    <w:div w:id="644164091">
      <w:bodyDiv w:val="1"/>
      <w:marLeft w:val="0"/>
      <w:marRight w:val="0"/>
      <w:marTop w:val="0"/>
      <w:marBottom w:val="0"/>
      <w:divBdr>
        <w:top w:val="none" w:sz="0" w:space="0" w:color="auto"/>
        <w:left w:val="none" w:sz="0" w:space="0" w:color="auto"/>
        <w:bottom w:val="none" w:sz="0" w:space="0" w:color="auto"/>
        <w:right w:val="none" w:sz="0" w:space="0" w:color="auto"/>
      </w:divBdr>
    </w:div>
    <w:div w:id="644823298">
      <w:bodyDiv w:val="1"/>
      <w:marLeft w:val="0"/>
      <w:marRight w:val="0"/>
      <w:marTop w:val="0"/>
      <w:marBottom w:val="0"/>
      <w:divBdr>
        <w:top w:val="none" w:sz="0" w:space="0" w:color="auto"/>
        <w:left w:val="none" w:sz="0" w:space="0" w:color="auto"/>
        <w:bottom w:val="none" w:sz="0" w:space="0" w:color="auto"/>
        <w:right w:val="none" w:sz="0" w:space="0" w:color="auto"/>
      </w:divBdr>
    </w:div>
    <w:div w:id="645008020">
      <w:bodyDiv w:val="1"/>
      <w:marLeft w:val="0"/>
      <w:marRight w:val="0"/>
      <w:marTop w:val="0"/>
      <w:marBottom w:val="0"/>
      <w:divBdr>
        <w:top w:val="none" w:sz="0" w:space="0" w:color="auto"/>
        <w:left w:val="none" w:sz="0" w:space="0" w:color="auto"/>
        <w:bottom w:val="none" w:sz="0" w:space="0" w:color="auto"/>
        <w:right w:val="none" w:sz="0" w:space="0" w:color="auto"/>
      </w:divBdr>
    </w:div>
    <w:div w:id="645472359">
      <w:bodyDiv w:val="1"/>
      <w:marLeft w:val="0"/>
      <w:marRight w:val="0"/>
      <w:marTop w:val="0"/>
      <w:marBottom w:val="0"/>
      <w:divBdr>
        <w:top w:val="none" w:sz="0" w:space="0" w:color="auto"/>
        <w:left w:val="none" w:sz="0" w:space="0" w:color="auto"/>
        <w:bottom w:val="none" w:sz="0" w:space="0" w:color="auto"/>
        <w:right w:val="none" w:sz="0" w:space="0" w:color="auto"/>
      </w:divBdr>
    </w:div>
    <w:div w:id="645748145">
      <w:bodyDiv w:val="1"/>
      <w:marLeft w:val="0"/>
      <w:marRight w:val="0"/>
      <w:marTop w:val="0"/>
      <w:marBottom w:val="0"/>
      <w:divBdr>
        <w:top w:val="none" w:sz="0" w:space="0" w:color="auto"/>
        <w:left w:val="none" w:sz="0" w:space="0" w:color="auto"/>
        <w:bottom w:val="none" w:sz="0" w:space="0" w:color="auto"/>
        <w:right w:val="none" w:sz="0" w:space="0" w:color="auto"/>
      </w:divBdr>
    </w:div>
    <w:div w:id="646054278">
      <w:bodyDiv w:val="1"/>
      <w:marLeft w:val="0"/>
      <w:marRight w:val="0"/>
      <w:marTop w:val="0"/>
      <w:marBottom w:val="0"/>
      <w:divBdr>
        <w:top w:val="none" w:sz="0" w:space="0" w:color="auto"/>
        <w:left w:val="none" w:sz="0" w:space="0" w:color="auto"/>
        <w:bottom w:val="none" w:sz="0" w:space="0" w:color="auto"/>
        <w:right w:val="none" w:sz="0" w:space="0" w:color="auto"/>
      </w:divBdr>
    </w:div>
    <w:div w:id="646132165">
      <w:bodyDiv w:val="1"/>
      <w:marLeft w:val="0"/>
      <w:marRight w:val="0"/>
      <w:marTop w:val="0"/>
      <w:marBottom w:val="0"/>
      <w:divBdr>
        <w:top w:val="none" w:sz="0" w:space="0" w:color="auto"/>
        <w:left w:val="none" w:sz="0" w:space="0" w:color="auto"/>
        <w:bottom w:val="none" w:sz="0" w:space="0" w:color="auto"/>
        <w:right w:val="none" w:sz="0" w:space="0" w:color="auto"/>
      </w:divBdr>
    </w:div>
    <w:div w:id="646133559">
      <w:bodyDiv w:val="1"/>
      <w:marLeft w:val="0"/>
      <w:marRight w:val="0"/>
      <w:marTop w:val="0"/>
      <w:marBottom w:val="0"/>
      <w:divBdr>
        <w:top w:val="none" w:sz="0" w:space="0" w:color="auto"/>
        <w:left w:val="none" w:sz="0" w:space="0" w:color="auto"/>
        <w:bottom w:val="none" w:sz="0" w:space="0" w:color="auto"/>
        <w:right w:val="none" w:sz="0" w:space="0" w:color="auto"/>
      </w:divBdr>
    </w:div>
    <w:div w:id="646281219">
      <w:bodyDiv w:val="1"/>
      <w:marLeft w:val="0"/>
      <w:marRight w:val="0"/>
      <w:marTop w:val="0"/>
      <w:marBottom w:val="0"/>
      <w:divBdr>
        <w:top w:val="none" w:sz="0" w:space="0" w:color="auto"/>
        <w:left w:val="none" w:sz="0" w:space="0" w:color="auto"/>
        <w:bottom w:val="none" w:sz="0" w:space="0" w:color="auto"/>
        <w:right w:val="none" w:sz="0" w:space="0" w:color="auto"/>
      </w:divBdr>
    </w:div>
    <w:div w:id="646402193">
      <w:bodyDiv w:val="1"/>
      <w:marLeft w:val="0"/>
      <w:marRight w:val="0"/>
      <w:marTop w:val="0"/>
      <w:marBottom w:val="0"/>
      <w:divBdr>
        <w:top w:val="none" w:sz="0" w:space="0" w:color="auto"/>
        <w:left w:val="none" w:sz="0" w:space="0" w:color="auto"/>
        <w:bottom w:val="none" w:sz="0" w:space="0" w:color="auto"/>
        <w:right w:val="none" w:sz="0" w:space="0" w:color="auto"/>
      </w:divBdr>
    </w:div>
    <w:div w:id="646861216">
      <w:bodyDiv w:val="1"/>
      <w:marLeft w:val="0"/>
      <w:marRight w:val="0"/>
      <w:marTop w:val="0"/>
      <w:marBottom w:val="0"/>
      <w:divBdr>
        <w:top w:val="none" w:sz="0" w:space="0" w:color="auto"/>
        <w:left w:val="none" w:sz="0" w:space="0" w:color="auto"/>
        <w:bottom w:val="none" w:sz="0" w:space="0" w:color="auto"/>
        <w:right w:val="none" w:sz="0" w:space="0" w:color="auto"/>
      </w:divBdr>
    </w:div>
    <w:div w:id="646865229">
      <w:bodyDiv w:val="1"/>
      <w:marLeft w:val="0"/>
      <w:marRight w:val="0"/>
      <w:marTop w:val="0"/>
      <w:marBottom w:val="0"/>
      <w:divBdr>
        <w:top w:val="none" w:sz="0" w:space="0" w:color="auto"/>
        <w:left w:val="none" w:sz="0" w:space="0" w:color="auto"/>
        <w:bottom w:val="none" w:sz="0" w:space="0" w:color="auto"/>
        <w:right w:val="none" w:sz="0" w:space="0" w:color="auto"/>
      </w:divBdr>
    </w:div>
    <w:div w:id="647124469">
      <w:bodyDiv w:val="1"/>
      <w:marLeft w:val="0"/>
      <w:marRight w:val="0"/>
      <w:marTop w:val="0"/>
      <w:marBottom w:val="0"/>
      <w:divBdr>
        <w:top w:val="none" w:sz="0" w:space="0" w:color="auto"/>
        <w:left w:val="none" w:sz="0" w:space="0" w:color="auto"/>
        <w:bottom w:val="none" w:sz="0" w:space="0" w:color="auto"/>
        <w:right w:val="none" w:sz="0" w:space="0" w:color="auto"/>
      </w:divBdr>
    </w:div>
    <w:div w:id="647712941">
      <w:bodyDiv w:val="1"/>
      <w:marLeft w:val="0"/>
      <w:marRight w:val="0"/>
      <w:marTop w:val="0"/>
      <w:marBottom w:val="0"/>
      <w:divBdr>
        <w:top w:val="none" w:sz="0" w:space="0" w:color="auto"/>
        <w:left w:val="none" w:sz="0" w:space="0" w:color="auto"/>
        <w:bottom w:val="none" w:sz="0" w:space="0" w:color="auto"/>
        <w:right w:val="none" w:sz="0" w:space="0" w:color="auto"/>
      </w:divBdr>
    </w:div>
    <w:div w:id="648095654">
      <w:bodyDiv w:val="1"/>
      <w:marLeft w:val="0"/>
      <w:marRight w:val="0"/>
      <w:marTop w:val="0"/>
      <w:marBottom w:val="0"/>
      <w:divBdr>
        <w:top w:val="none" w:sz="0" w:space="0" w:color="auto"/>
        <w:left w:val="none" w:sz="0" w:space="0" w:color="auto"/>
        <w:bottom w:val="none" w:sz="0" w:space="0" w:color="auto"/>
        <w:right w:val="none" w:sz="0" w:space="0" w:color="auto"/>
      </w:divBdr>
    </w:div>
    <w:div w:id="648443895">
      <w:bodyDiv w:val="1"/>
      <w:marLeft w:val="0"/>
      <w:marRight w:val="0"/>
      <w:marTop w:val="0"/>
      <w:marBottom w:val="0"/>
      <w:divBdr>
        <w:top w:val="none" w:sz="0" w:space="0" w:color="auto"/>
        <w:left w:val="none" w:sz="0" w:space="0" w:color="auto"/>
        <w:bottom w:val="none" w:sz="0" w:space="0" w:color="auto"/>
        <w:right w:val="none" w:sz="0" w:space="0" w:color="auto"/>
      </w:divBdr>
    </w:div>
    <w:div w:id="648628673">
      <w:bodyDiv w:val="1"/>
      <w:marLeft w:val="0"/>
      <w:marRight w:val="0"/>
      <w:marTop w:val="0"/>
      <w:marBottom w:val="0"/>
      <w:divBdr>
        <w:top w:val="none" w:sz="0" w:space="0" w:color="auto"/>
        <w:left w:val="none" w:sz="0" w:space="0" w:color="auto"/>
        <w:bottom w:val="none" w:sz="0" w:space="0" w:color="auto"/>
        <w:right w:val="none" w:sz="0" w:space="0" w:color="auto"/>
      </w:divBdr>
    </w:div>
    <w:div w:id="648631272">
      <w:bodyDiv w:val="1"/>
      <w:marLeft w:val="0"/>
      <w:marRight w:val="0"/>
      <w:marTop w:val="0"/>
      <w:marBottom w:val="0"/>
      <w:divBdr>
        <w:top w:val="none" w:sz="0" w:space="0" w:color="auto"/>
        <w:left w:val="none" w:sz="0" w:space="0" w:color="auto"/>
        <w:bottom w:val="none" w:sz="0" w:space="0" w:color="auto"/>
        <w:right w:val="none" w:sz="0" w:space="0" w:color="auto"/>
      </w:divBdr>
    </w:div>
    <w:div w:id="648633887">
      <w:bodyDiv w:val="1"/>
      <w:marLeft w:val="0"/>
      <w:marRight w:val="0"/>
      <w:marTop w:val="0"/>
      <w:marBottom w:val="0"/>
      <w:divBdr>
        <w:top w:val="none" w:sz="0" w:space="0" w:color="auto"/>
        <w:left w:val="none" w:sz="0" w:space="0" w:color="auto"/>
        <w:bottom w:val="none" w:sz="0" w:space="0" w:color="auto"/>
        <w:right w:val="none" w:sz="0" w:space="0" w:color="auto"/>
      </w:divBdr>
    </w:div>
    <w:div w:id="649942382">
      <w:bodyDiv w:val="1"/>
      <w:marLeft w:val="0"/>
      <w:marRight w:val="0"/>
      <w:marTop w:val="0"/>
      <w:marBottom w:val="0"/>
      <w:divBdr>
        <w:top w:val="none" w:sz="0" w:space="0" w:color="auto"/>
        <w:left w:val="none" w:sz="0" w:space="0" w:color="auto"/>
        <w:bottom w:val="none" w:sz="0" w:space="0" w:color="auto"/>
        <w:right w:val="none" w:sz="0" w:space="0" w:color="auto"/>
      </w:divBdr>
    </w:div>
    <w:div w:id="650671997">
      <w:bodyDiv w:val="1"/>
      <w:marLeft w:val="0"/>
      <w:marRight w:val="0"/>
      <w:marTop w:val="0"/>
      <w:marBottom w:val="0"/>
      <w:divBdr>
        <w:top w:val="none" w:sz="0" w:space="0" w:color="auto"/>
        <w:left w:val="none" w:sz="0" w:space="0" w:color="auto"/>
        <w:bottom w:val="none" w:sz="0" w:space="0" w:color="auto"/>
        <w:right w:val="none" w:sz="0" w:space="0" w:color="auto"/>
      </w:divBdr>
    </w:div>
    <w:div w:id="650914035">
      <w:bodyDiv w:val="1"/>
      <w:marLeft w:val="0"/>
      <w:marRight w:val="0"/>
      <w:marTop w:val="0"/>
      <w:marBottom w:val="0"/>
      <w:divBdr>
        <w:top w:val="none" w:sz="0" w:space="0" w:color="auto"/>
        <w:left w:val="none" w:sz="0" w:space="0" w:color="auto"/>
        <w:bottom w:val="none" w:sz="0" w:space="0" w:color="auto"/>
        <w:right w:val="none" w:sz="0" w:space="0" w:color="auto"/>
      </w:divBdr>
    </w:div>
    <w:div w:id="651255057">
      <w:bodyDiv w:val="1"/>
      <w:marLeft w:val="0"/>
      <w:marRight w:val="0"/>
      <w:marTop w:val="0"/>
      <w:marBottom w:val="0"/>
      <w:divBdr>
        <w:top w:val="none" w:sz="0" w:space="0" w:color="auto"/>
        <w:left w:val="none" w:sz="0" w:space="0" w:color="auto"/>
        <w:bottom w:val="none" w:sz="0" w:space="0" w:color="auto"/>
        <w:right w:val="none" w:sz="0" w:space="0" w:color="auto"/>
      </w:divBdr>
    </w:div>
    <w:div w:id="652023230">
      <w:bodyDiv w:val="1"/>
      <w:marLeft w:val="0"/>
      <w:marRight w:val="0"/>
      <w:marTop w:val="0"/>
      <w:marBottom w:val="0"/>
      <w:divBdr>
        <w:top w:val="none" w:sz="0" w:space="0" w:color="auto"/>
        <w:left w:val="none" w:sz="0" w:space="0" w:color="auto"/>
        <w:bottom w:val="none" w:sz="0" w:space="0" w:color="auto"/>
        <w:right w:val="none" w:sz="0" w:space="0" w:color="auto"/>
      </w:divBdr>
    </w:div>
    <w:div w:id="652418732">
      <w:bodyDiv w:val="1"/>
      <w:marLeft w:val="0"/>
      <w:marRight w:val="0"/>
      <w:marTop w:val="0"/>
      <w:marBottom w:val="0"/>
      <w:divBdr>
        <w:top w:val="none" w:sz="0" w:space="0" w:color="auto"/>
        <w:left w:val="none" w:sz="0" w:space="0" w:color="auto"/>
        <w:bottom w:val="none" w:sz="0" w:space="0" w:color="auto"/>
        <w:right w:val="none" w:sz="0" w:space="0" w:color="auto"/>
      </w:divBdr>
    </w:div>
    <w:div w:id="652561987">
      <w:bodyDiv w:val="1"/>
      <w:marLeft w:val="0"/>
      <w:marRight w:val="0"/>
      <w:marTop w:val="0"/>
      <w:marBottom w:val="0"/>
      <w:divBdr>
        <w:top w:val="none" w:sz="0" w:space="0" w:color="auto"/>
        <w:left w:val="none" w:sz="0" w:space="0" w:color="auto"/>
        <w:bottom w:val="none" w:sz="0" w:space="0" w:color="auto"/>
        <w:right w:val="none" w:sz="0" w:space="0" w:color="auto"/>
      </w:divBdr>
    </w:div>
    <w:div w:id="652609827">
      <w:bodyDiv w:val="1"/>
      <w:marLeft w:val="0"/>
      <w:marRight w:val="0"/>
      <w:marTop w:val="0"/>
      <w:marBottom w:val="0"/>
      <w:divBdr>
        <w:top w:val="none" w:sz="0" w:space="0" w:color="auto"/>
        <w:left w:val="none" w:sz="0" w:space="0" w:color="auto"/>
        <w:bottom w:val="none" w:sz="0" w:space="0" w:color="auto"/>
        <w:right w:val="none" w:sz="0" w:space="0" w:color="auto"/>
      </w:divBdr>
    </w:div>
    <w:div w:id="652758283">
      <w:bodyDiv w:val="1"/>
      <w:marLeft w:val="0"/>
      <w:marRight w:val="0"/>
      <w:marTop w:val="0"/>
      <w:marBottom w:val="0"/>
      <w:divBdr>
        <w:top w:val="none" w:sz="0" w:space="0" w:color="auto"/>
        <w:left w:val="none" w:sz="0" w:space="0" w:color="auto"/>
        <w:bottom w:val="none" w:sz="0" w:space="0" w:color="auto"/>
        <w:right w:val="none" w:sz="0" w:space="0" w:color="auto"/>
      </w:divBdr>
    </w:div>
    <w:div w:id="652879449">
      <w:bodyDiv w:val="1"/>
      <w:marLeft w:val="0"/>
      <w:marRight w:val="0"/>
      <w:marTop w:val="0"/>
      <w:marBottom w:val="0"/>
      <w:divBdr>
        <w:top w:val="none" w:sz="0" w:space="0" w:color="auto"/>
        <w:left w:val="none" w:sz="0" w:space="0" w:color="auto"/>
        <w:bottom w:val="none" w:sz="0" w:space="0" w:color="auto"/>
        <w:right w:val="none" w:sz="0" w:space="0" w:color="auto"/>
      </w:divBdr>
    </w:div>
    <w:div w:id="653031392">
      <w:bodyDiv w:val="1"/>
      <w:marLeft w:val="0"/>
      <w:marRight w:val="0"/>
      <w:marTop w:val="0"/>
      <w:marBottom w:val="0"/>
      <w:divBdr>
        <w:top w:val="none" w:sz="0" w:space="0" w:color="auto"/>
        <w:left w:val="none" w:sz="0" w:space="0" w:color="auto"/>
        <w:bottom w:val="none" w:sz="0" w:space="0" w:color="auto"/>
        <w:right w:val="none" w:sz="0" w:space="0" w:color="auto"/>
      </w:divBdr>
    </w:div>
    <w:div w:id="653265971">
      <w:bodyDiv w:val="1"/>
      <w:marLeft w:val="0"/>
      <w:marRight w:val="0"/>
      <w:marTop w:val="0"/>
      <w:marBottom w:val="0"/>
      <w:divBdr>
        <w:top w:val="none" w:sz="0" w:space="0" w:color="auto"/>
        <w:left w:val="none" w:sz="0" w:space="0" w:color="auto"/>
        <w:bottom w:val="none" w:sz="0" w:space="0" w:color="auto"/>
        <w:right w:val="none" w:sz="0" w:space="0" w:color="auto"/>
      </w:divBdr>
    </w:div>
    <w:div w:id="653333958">
      <w:bodyDiv w:val="1"/>
      <w:marLeft w:val="0"/>
      <w:marRight w:val="0"/>
      <w:marTop w:val="0"/>
      <w:marBottom w:val="0"/>
      <w:divBdr>
        <w:top w:val="none" w:sz="0" w:space="0" w:color="auto"/>
        <w:left w:val="none" w:sz="0" w:space="0" w:color="auto"/>
        <w:bottom w:val="none" w:sz="0" w:space="0" w:color="auto"/>
        <w:right w:val="none" w:sz="0" w:space="0" w:color="auto"/>
      </w:divBdr>
    </w:div>
    <w:div w:id="654334815">
      <w:bodyDiv w:val="1"/>
      <w:marLeft w:val="0"/>
      <w:marRight w:val="0"/>
      <w:marTop w:val="0"/>
      <w:marBottom w:val="0"/>
      <w:divBdr>
        <w:top w:val="none" w:sz="0" w:space="0" w:color="auto"/>
        <w:left w:val="none" w:sz="0" w:space="0" w:color="auto"/>
        <w:bottom w:val="none" w:sz="0" w:space="0" w:color="auto"/>
        <w:right w:val="none" w:sz="0" w:space="0" w:color="auto"/>
      </w:divBdr>
    </w:div>
    <w:div w:id="654384290">
      <w:bodyDiv w:val="1"/>
      <w:marLeft w:val="0"/>
      <w:marRight w:val="0"/>
      <w:marTop w:val="0"/>
      <w:marBottom w:val="0"/>
      <w:divBdr>
        <w:top w:val="none" w:sz="0" w:space="0" w:color="auto"/>
        <w:left w:val="none" w:sz="0" w:space="0" w:color="auto"/>
        <w:bottom w:val="none" w:sz="0" w:space="0" w:color="auto"/>
        <w:right w:val="none" w:sz="0" w:space="0" w:color="auto"/>
      </w:divBdr>
    </w:div>
    <w:div w:id="654456172">
      <w:bodyDiv w:val="1"/>
      <w:marLeft w:val="0"/>
      <w:marRight w:val="0"/>
      <w:marTop w:val="0"/>
      <w:marBottom w:val="0"/>
      <w:divBdr>
        <w:top w:val="none" w:sz="0" w:space="0" w:color="auto"/>
        <w:left w:val="none" w:sz="0" w:space="0" w:color="auto"/>
        <w:bottom w:val="none" w:sz="0" w:space="0" w:color="auto"/>
        <w:right w:val="none" w:sz="0" w:space="0" w:color="auto"/>
      </w:divBdr>
    </w:div>
    <w:div w:id="654647195">
      <w:bodyDiv w:val="1"/>
      <w:marLeft w:val="0"/>
      <w:marRight w:val="0"/>
      <w:marTop w:val="0"/>
      <w:marBottom w:val="0"/>
      <w:divBdr>
        <w:top w:val="none" w:sz="0" w:space="0" w:color="auto"/>
        <w:left w:val="none" w:sz="0" w:space="0" w:color="auto"/>
        <w:bottom w:val="none" w:sz="0" w:space="0" w:color="auto"/>
        <w:right w:val="none" w:sz="0" w:space="0" w:color="auto"/>
      </w:divBdr>
    </w:div>
    <w:div w:id="656300968">
      <w:bodyDiv w:val="1"/>
      <w:marLeft w:val="0"/>
      <w:marRight w:val="0"/>
      <w:marTop w:val="0"/>
      <w:marBottom w:val="0"/>
      <w:divBdr>
        <w:top w:val="none" w:sz="0" w:space="0" w:color="auto"/>
        <w:left w:val="none" w:sz="0" w:space="0" w:color="auto"/>
        <w:bottom w:val="none" w:sz="0" w:space="0" w:color="auto"/>
        <w:right w:val="none" w:sz="0" w:space="0" w:color="auto"/>
      </w:divBdr>
      <w:divsChild>
        <w:div w:id="2012102468">
          <w:marLeft w:val="0"/>
          <w:marRight w:val="0"/>
          <w:marTop w:val="0"/>
          <w:marBottom w:val="0"/>
          <w:divBdr>
            <w:top w:val="none" w:sz="0" w:space="0" w:color="auto"/>
            <w:left w:val="none" w:sz="0" w:space="0" w:color="auto"/>
            <w:bottom w:val="none" w:sz="0" w:space="0" w:color="auto"/>
            <w:right w:val="none" w:sz="0" w:space="0" w:color="auto"/>
          </w:divBdr>
          <w:divsChild>
            <w:div w:id="1429424546">
              <w:marLeft w:val="-225"/>
              <w:marRight w:val="-225"/>
              <w:marTop w:val="0"/>
              <w:marBottom w:val="0"/>
              <w:divBdr>
                <w:top w:val="none" w:sz="0" w:space="0" w:color="auto"/>
                <w:left w:val="none" w:sz="0" w:space="0" w:color="auto"/>
                <w:bottom w:val="none" w:sz="0" w:space="0" w:color="auto"/>
                <w:right w:val="none" w:sz="0" w:space="0" w:color="auto"/>
              </w:divBdr>
              <w:divsChild>
                <w:div w:id="1388604179">
                  <w:marLeft w:val="0"/>
                  <w:marRight w:val="0"/>
                  <w:marTop w:val="0"/>
                  <w:marBottom w:val="0"/>
                  <w:divBdr>
                    <w:top w:val="none" w:sz="0" w:space="0" w:color="auto"/>
                    <w:left w:val="none" w:sz="0" w:space="0" w:color="auto"/>
                    <w:bottom w:val="none" w:sz="0" w:space="0" w:color="auto"/>
                    <w:right w:val="none" w:sz="0" w:space="0" w:color="auto"/>
                  </w:divBdr>
                  <w:divsChild>
                    <w:div w:id="100651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348827">
      <w:bodyDiv w:val="1"/>
      <w:marLeft w:val="0"/>
      <w:marRight w:val="0"/>
      <w:marTop w:val="0"/>
      <w:marBottom w:val="0"/>
      <w:divBdr>
        <w:top w:val="none" w:sz="0" w:space="0" w:color="auto"/>
        <w:left w:val="none" w:sz="0" w:space="0" w:color="auto"/>
        <w:bottom w:val="none" w:sz="0" w:space="0" w:color="auto"/>
        <w:right w:val="none" w:sz="0" w:space="0" w:color="auto"/>
      </w:divBdr>
    </w:div>
    <w:div w:id="656492995">
      <w:bodyDiv w:val="1"/>
      <w:marLeft w:val="0"/>
      <w:marRight w:val="0"/>
      <w:marTop w:val="0"/>
      <w:marBottom w:val="0"/>
      <w:divBdr>
        <w:top w:val="none" w:sz="0" w:space="0" w:color="auto"/>
        <w:left w:val="none" w:sz="0" w:space="0" w:color="auto"/>
        <w:bottom w:val="none" w:sz="0" w:space="0" w:color="auto"/>
        <w:right w:val="none" w:sz="0" w:space="0" w:color="auto"/>
      </w:divBdr>
    </w:div>
    <w:div w:id="656541150">
      <w:bodyDiv w:val="1"/>
      <w:marLeft w:val="0"/>
      <w:marRight w:val="0"/>
      <w:marTop w:val="0"/>
      <w:marBottom w:val="0"/>
      <w:divBdr>
        <w:top w:val="none" w:sz="0" w:space="0" w:color="auto"/>
        <w:left w:val="none" w:sz="0" w:space="0" w:color="auto"/>
        <w:bottom w:val="none" w:sz="0" w:space="0" w:color="auto"/>
        <w:right w:val="none" w:sz="0" w:space="0" w:color="auto"/>
      </w:divBdr>
    </w:div>
    <w:div w:id="656685830">
      <w:bodyDiv w:val="1"/>
      <w:marLeft w:val="0"/>
      <w:marRight w:val="0"/>
      <w:marTop w:val="0"/>
      <w:marBottom w:val="0"/>
      <w:divBdr>
        <w:top w:val="none" w:sz="0" w:space="0" w:color="auto"/>
        <w:left w:val="none" w:sz="0" w:space="0" w:color="auto"/>
        <w:bottom w:val="none" w:sz="0" w:space="0" w:color="auto"/>
        <w:right w:val="none" w:sz="0" w:space="0" w:color="auto"/>
      </w:divBdr>
    </w:div>
    <w:div w:id="656687900">
      <w:bodyDiv w:val="1"/>
      <w:marLeft w:val="0"/>
      <w:marRight w:val="0"/>
      <w:marTop w:val="0"/>
      <w:marBottom w:val="0"/>
      <w:divBdr>
        <w:top w:val="none" w:sz="0" w:space="0" w:color="auto"/>
        <w:left w:val="none" w:sz="0" w:space="0" w:color="auto"/>
        <w:bottom w:val="none" w:sz="0" w:space="0" w:color="auto"/>
        <w:right w:val="none" w:sz="0" w:space="0" w:color="auto"/>
      </w:divBdr>
    </w:div>
    <w:div w:id="657155169">
      <w:bodyDiv w:val="1"/>
      <w:marLeft w:val="0"/>
      <w:marRight w:val="0"/>
      <w:marTop w:val="0"/>
      <w:marBottom w:val="0"/>
      <w:divBdr>
        <w:top w:val="none" w:sz="0" w:space="0" w:color="auto"/>
        <w:left w:val="none" w:sz="0" w:space="0" w:color="auto"/>
        <w:bottom w:val="none" w:sz="0" w:space="0" w:color="auto"/>
        <w:right w:val="none" w:sz="0" w:space="0" w:color="auto"/>
      </w:divBdr>
    </w:div>
    <w:div w:id="657343620">
      <w:bodyDiv w:val="1"/>
      <w:marLeft w:val="0"/>
      <w:marRight w:val="0"/>
      <w:marTop w:val="0"/>
      <w:marBottom w:val="0"/>
      <w:divBdr>
        <w:top w:val="none" w:sz="0" w:space="0" w:color="auto"/>
        <w:left w:val="none" w:sz="0" w:space="0" w:color="auto"/>
        <w:bottom w:val="none" w:sz="0" w:space="0" w:color="auto"/>
        <w:right w:val="none" w:sz="0" w:space="0" w:color="auto"/>
      </w:divBdr>
    </w:div>
    <w:div w:id="657997392">
      <w:bodyDiv w:val="1"/>
      <w:marLeft w:val="0"/>
      <w:marRight w:val="0"/>
      <w:marTop w:val="0"/>
      <w:marBottom w:val="0"/>
      <w:divBdr>
        <w:top w:val="none" w:sz="0" w:space="0" w:color="auto"/>
        <w:left w:val="none" w:sz="0" w:space="0" w:color="auto"/>
        <w:bottom w:val="none" w:sz="0" w:space="0" w:color="auto"/>
        <w:right w:val="none" w:sz="0" w:space="0" w:color="auto"/>
      </w:divBdr>
    </w:div>
    <w:div w:id="658461669">
      <w:bodyDiv w:val="1"/>
      <w:marLeft w:val="0"/>
      <w:marRight w:val="0"/>
      <w:marTop w:val="0"/>
      <w:marBottom w:val="0"/>
      <w:divBdr>
        <w:top w:val="none" w:sz="0" w:space="0" w:color="auto"/>
        <w:left w:val="none" w:sz="0" w:space="0" w:color="auto"/>
        <w:bottom w:val="none" w:sz="0" w:space="0" w:color="auto"/>
        <w:right w:val="none" w:sz="0" w:space="0" w:color="auto"/>
      </w:divBdr>
    </w:div>
    <w:div w:id="658729008">
      <w:bodyDiv w:val="1"/>
      <w:marLeft w:val="0"/>
      <w:marRight w:val="0"/>
      <w:marTop w:val="0"/>
      <w:marBottom w:val="0"/>
      <w:divBdr>
        <w:top w:val="none" w:sz="0" w:space="0" w:color="auto"/>
        <w:left w:val="none" w:sz="0" w:space="0" w:color="auto"/>
        <w:bottom w:val="none" w:sz="0" w:space="0" w:color="auto"/>
        <w:right w:val="none" w:sz="0" w:space="0" w:color="auto"/>
      </w:divBdr>
    </w:div>
    <w:div w:id="660083306">
      <w:bodyDiv w:val="1"/>
      <w:marLeft w:val="0"/>
      <w:marRight w:val="0"/>
      <w:marTop w:val="0"/>
      <w:marBottom w:val="0"/>
      <w:divBdr>
        <w:top w:val="none" w:sz="0" w:space="0" w:color="auto"/>
        <w:left w:val="none" w:sz="0" w:space="0" w:color="auto"/>
        <w:bottom w:val="none" w:sz="0" w:space="0" w:color="auto"/>
        <w:right w:val="none" w:sz="0" w:space="0" w:color="auto"/>
      </w:divBdr>
    </w:div>
    <w:div w:id="660473785">
      <w:bodyDiv w:val="1"/>
      <w:marLeft w:val="0"/>
      <w:marRight w:val="0"/>
      <w:marTop w:val="0"/>
      <w:marBottom w:val="0"/>
      <w:divBdr>
        <w:top w:val="none" w:sz="0" w:space="0" w:color="auto"/>
        <w:left w:val="none" w:sz="0" w:space="0" w:color="auto"/>
        <w:bottom w:val="none" w:sz="0" w:space="0" w:color="auto"/>
        <w:right w:val="none" w:sz="0" w:space="0" w:color="auto"/>
      </w:divBdr>
    </w:div>
    <w:div w:id="660695561">
      <w:bodyDiv w:val="1"/>
      <w:marLeft w:val="0"/>
      <w:marRight w:val="0"/>
      <w:marTop w:val="0"/>
      <w:marBottom w:val="0"/>
      <w:divBdr>
        <w:top w:val="none" w:sz="0" w:space="0" w:color="auto"/>
        <w:left w:val="none" w:sz="0" w:space="0" w:color="auto"/>
        <w:bottom w:val="none" w:sz="0" w:space="0" w:color="auto"/>
        <w:right w:val="none" w:sz="0" w:space="0" w:color="auto"/>
      </w:divBdr>
    </w:div>
    <w:div w:id="660816835">
      <w:bodyDiv w:val="1"/>
      <w:marLeft w:val="0"/>
      <w:marRight w:val="0"/>
      <w:marTop w:val="0"/>
      <w:marBottom w:val="0"/>
      <w:divBdr>
        <w:top w:val="none" w:sz="0" w:space="0" w:color="auto"/>
        <w:left w:val="none" w:sz="0" w:space="0" w:color="auto"/>
        <w:bottom w:val="none" w:sz="0" w:space="0" w:color="auto"/>
        <w:right w:val="none" w:sz="0" w:space="0" w:color="auto"/>
      </w:divBdr>
    </w:div>
    <w:div w:id="661004914">
      <w:bodyDiv w:val="1"/>
      <w:marLeft w:val="0"/>
      <w:marRight w:val="0"/>
      <w:marTop w:val="0"/>
      <w:marBottom w:val="0"/>
      <w:divBdr>
        <w:top w:val="none" w:sz="0" w:space="0" w:color="auto"/>
        <w:left w:val="none" w:sz="0" w:space="0" w:color="auto"/>
        <w:bottom w:val="none" w:sz="0" w:space="0" w:color="auto"/>
        <w:right w:val="none" w:sz="0" w:space="0" w:color="auto"/>
      </w:divBdr>
    </w:div>
    <w:div w:id="661127911">
      <w:bodyDiv w:val="1"/>
      <w:marLeft w:val="0"/>
      <w:marRight w:val="0"/>
      <w:marTop w:val="0"/>
      <w:marBottom w:val="0"/>
      <w:divBdr>
        <w:top w:val="none" w:sz="0" w:space="0" w:color="auto"/>
        <w:left w:val="none" w:sz="0" w:space="0" w:color="auto"/>
        <w:bottom w:val="none" w:sz="0" w:space="0" w:color="auto"/>
        <w:right w:val="none" w:sz="0" w:space="0" w:color="auto"/>
      </w:divBdr>
    </w:div>
    <w:div w:id="661278731">
      <w:bodyDiv w:val="1"/>
      <w:marLeft w:val="0"/>
      <w:marRight w:val="0"/>
      <w:marTop w:val="0"/>
      <w:marBottom w:val="0"/>
      <w:divBdr>
        <w:top w:val="none" w:sz="0" w:space="0" w:color="auto"/>
        <w:left w:val="none" w:sz="0" w:space="0" w:color="auto"/>
        <w:bottom w:val="none" w:sz="0" w:space="0" w:color="auto"/>
        <w:right w:val="none" w:sz="0" w:space="0" w:color="auto"/>
      </w:divBdr>
    </w:div>
    <w:div w:id="661587403">
      <w:bodyDiv w:val="1"/>
      <w:marLeft w:val="0"/>
      <w:marRight w:val="0"/>
      <w:marTop w:val="0"/>
      <w:marBottom w:val="0"/>
      <w:divBdr>
        <w:top w:val="none" w:sz="0" w:space="0" w:color="auto"/>
        <w:left w:val="none" w:sz="0" w:space="0" w:color="auto"/>
        <w:bottom w:val="none" w:sz="0" w:space="0" w:color="auto"/>
        <w:right w:val="none" w:sz="0" w:space="0" w:color="auto"/>
      </w:divBdr>
    </w:div>
    <w:div w:id="661861353">
      <w:bodyDiv w:val="1"/>
      <w:marLeft w:val="0"/>
      <w:marRight w:val="0"/>
      <w:marTop w:val="0"/>
      <w:marBottom w:val="0"/>
      <w:divBdr>
        <w:top w:val="none" w:sz="0" w:space="0" w:color="auto"/>
        <w:left w:val="none" w:sz="0" w:space="0" w:color="auto"/>
        <w:bottom w:val="none" w:sz="0" w:space="0" w:color="auto"/>
        <w:right w:val="none" w:sz="0" w:space="0" w:color="auto"/>
      </w:divBdr>
    </w:div>
    <w:div w:id="662046400">
      <w:bodyDiv w:val="1"/>
      <w:marLeft w:val="0"/>
      <w:marRight w:val="0"/>
      <w:marTop w:val="0"/>
      <w:marBottom w:val="0"/>
      <w:divBdr>
        <w:top w:val="none" w:sz="0" w:space="0" w:color="auto"/>
        <w:left w:val="none" w:sz="0" w:space="0" w:color="auto"/>
        <w:bottom w:val="none" w:sz="0" w:space="0" w:color="auto"/>
        <w:right w:val="none" w:sz="0" w:space="0" w:color="auto"/>
      </w:divBdr>
    </w:div>
    <w:div w:id="663430869">
      <w:bodyDiv w:val="1"/>
      <w:marLeft w:val="0"/>
      <w:marRight w:val="0"/>
      <w:marTop w:val="0"/>
      <w:marBottom w:val="0"/>
      <w:divBdr>
        <w:top w:val="none" w:sz="0" w:space="0" w:color="auto"/>
        <w:left w:val="none" w:sz="0" w:space="0" w:color="auto"/>
        <w:bottom w:val="none" w:sz="0" w:space="0" w:color="auto"/>
        <w:right w:val="none" w:sz="0" w:space="0" w:color="auto"/>
      </w:divBdr>
    </w:div>
    <w:div w:id="663779057">
      <w:bodyDiv w:val="1"/>
      <w:marLeft w:val="0"/>
      <w:marRight w:val="0"/>
      <w:marTop w:val="0"/>
      <w:marBottom w:val="0"/>
      <w:divBdr>
        <w:top w:val="none" w:sz="0" w:space="0" w:color="auto"/>
        <w:left w:val="none" w:sz="0" w:space="0" w:color="auto"/>
        <w:bottom w:val="none" w:sz="0" w:space="0" w:color="auto"/>
        <w:right w:val="none" w:sz="0" w:space="0" w:color="auto"/>
      </w:divBdr>
    </w:div>
    <w:div w:id="664094725">
      <w:bodyDiv w:val="1"/>
      <w:marLeft w:val="0"/>
      <w:marRight w:val="0"/>
      <w:marTop w:val="0"/>
      <w:marBottom w:val="0"/>
      <w:divBdr>
        <w:top w:val="none" w:sz="0" w:space="0" w:color="auto"/>
        <w:left w:val="none" w:sz="0" w:space="0" w:color="auto"/>
        <w:bottom w:val="none" w:sz="0" w:space="0" w:color="auto"/>
        <w:right w:val="none" w:sz="0" w:space="0" w:color="auto"/>
      </w:divBdr>
    </w:div>
    <w:div w:id="664168830">
      <w:bodyDiv w:val="1"/>
      <w:marLeft w:val="0"/>
      <w:marRight w:val="0"/>
      <w:marTop w:val="0"/>
      <w:marBottom w:val="0"/>
      <w:divBdr>
        <w:top w:val="none" w:sz="0" w:space="0" w:color="auto"/>
        <w:left w:val="none" w:sz="0" w:space="0" w:color="auto"/>
        <w:bottom w:val="none" w:sz="0" w:space="0" w:color="auto"/>
        <w:right w:val="none" w:sz="0" w:space="0" w:color="auto"/>
      </w:divBdr>
    </w:div>
    <w:div w:id="664433766">
      <w:bodyDiv w:val="1"/>
      <w:marLeft w:val="0"/>
      <w:marRight w:val="0"/>
      <w:marTop w:val="0"/>
      <w:marBottom w:val="0"/>
      <w:divBdr>
        <w:top w:val="none" w:sz="0" w:space="0" w:color="auto"/>
        <w:left w:val="none" w:sz="0" w:space="0" w:color="auto"/>
        <w:bottom w:val="none" w:sz="0" w:space="0" w:color="auto"/>
        <w:right w:val="none" w:sz="0" w:space="0" w:color="auto"/>
      </w:divBdr>
    </w:div>
    <w:div w:id="664823530">
      <w:bodyDiv w:val="1"/>
      <w:marLeft w:val="0"/>
      <w:marRight w:val="0"/>
      <w:marTop w:val="0"/>
      <w:marBottom w:val="0"/>
      <w:divBdr>
        <w:top w:val="none" w:sz="0" w:space="0" w:color="auto"/>
        <w:left w:val="none" w:sz="0" w:space="0" w:color="auto"/>
        <w:bottom w:val="none" w:sz="0" w:space="0" w:color="auto"/>
        <w:right w:val="none" w:sz="0" w:space="0" w:color="auto"/>
      </w:divBdr>
    </w:div>
    <w:div w:id="665016207">
      <w:bodyDiv w:val="1"/>
      <w:marLeft w:val="0"/>
      <w:marRight w:val="0"/>
      <w:marTop w:val="0"/>
      <w:marBottom w:val="0"/>
      <w:divBdr>
        <w:top w:val="none" w:sz="0" w:space="0" w:color="auto"/>
        <w:left w:val="none" w:sz="0" w:space="0" w:color="auto"/>
        <w:bottom w:val="none" w:sz="0" w:space="0" w:color="auto"/>
        <w:right w:val="none" w:sz="0" w:space="0" w:color="auto"/>
      </w:divBdr>
    </w:div>
    <w:div w:id="665088661">
      <w:bodyDiv w:val="1"/>
      <w:marLeft w:val="0"/>
      <w:marRight w:val="0"/>
      <w:marTop w:val="0"/>
      <w:marBottom w:val="0"/>
      <w:divBdr>
        <w:top w:val="none" w:sz="0" w:space="0" w:color="auto"/>
        <w:left w:val="none" w:sz="0" w:space="0" w:color="auto"/>
        <w:bottom w:val="none" w:sz="0" w:space="0" w:color="auto"/>
        <w:right w:val="none" w:sz="0" w:space="0" w:color="auto"/>
      </w:divBdr>
    </w:div>
    <w:div w:id="665134338">
      <w:bodyDiv w:val="1"/>
      <w:marLeft w:val="0"/>
      <w:marRight w:val="0"/>
      <w:marTop w:val="0"/>
      <w:marBottom w:val="0"/>
      <w:divBdr>
        <w:top w:val="none" w:sz="0" w:space="0" w:color="auto"/>
        <w:left w:val="none" w:sz="0" w:space="0" w:color="auto"/>
        <w:bottom w:val="none" w:sz="0" w:space="0" w:color="auto"/>
        <w:right w:val="none" w:sz="0" w:space="0" w:color="auto"/>
      </w:divBdr>
    </w:div>
    <w:div w:id="665867773">
      <w:bodyDiv w:val="1"/>
      <w:marLeft w:val="0"/>
      <w:marRight w:val="0"/>
      <w:marTop w:val="0"/>
      <w:marBottom w:val="0"/>
      <w:divBdr>
        <w:top w:val="none" w:sz="0" w:space="0" w:color="auto"/>
        <w:left w:val="none" w:sz="0" w:space="0" w:color="auto"/>
        <w:bottom w:val="none" w:sz="0" w:space="0" w:color="auto"/>
        <w:right w:val="none" w:sz="0" w:space="0" w:color="auto"/>
      </w:divBdr>
    </w:div>
    <w:div w:id="666055893">
      <w:bodyDiv w:val="1"/>
      <w:marLeft w:val="0"/>
      <w:marRight w:val="0"/>
      <w:marTop w:val="0"/>
      <w:marBottom w:val="0"/>
      <w:divBdr>
        <w:top w:val="none" w:sz="0" w:space="0" w:color="auto"/>
        <w:left w:val="none" w:sz="0" w:space="0" w:color="auto"/>
        <w:bottom w:val="none" w:sz="0" w:space="0" w:color="auto"/>
        <w:right w:val="none" w:sz="0" w:space="0" w:color="auto"/>
      </w:divBdr>
    </w:div>
    <w:div w:id="666128022">
      <w:bodyDiv w:val="1"/>
      <w:marLeft w:val="0"/>
      <w:marRight w:val="0"/>
      <w:marTop w:val="0"/>
      <w:marBottom w:val="0"/>
      <w:divBdr>
        <w:top w:val="none" w:sz="0" w:space="0" w:color="auto"/>
        <w:left w:val="none" w:sz="0" w:space="0" w:color="auto"/>
        <w:bottom w:val="none" w:sz="0" w:space="0" w:color="auto"/>
        <w:right w:val="none" w:sz="0" w:space="0" w:color="auto"/>
      </w:divBdr>
    </w:div>
    <w:div w:id="666133457">
      <w:bodyDiv w:val="1"/>
      <w:marLeft w:val="0"/>
      <w:marRight w:val="0"/>
      <w:marTop w:val="0"/>
      <w:marBottom w:val="0"/>
      <w:divBdr>
        <w:top w:val="none" w:sz="0" w:space="0" w:color="auto"/>
        <w:left w:val="none" w:sz="0" w:space="0" w:color="auto"/>
        <w:bottom w:val="none" w:sz="0" w:space="0" w:color="auto"/>
        <w:right w:val="none" w:sz="0" w:space="0" w:color="auto"/>
      </w:divBdr>
    </w:div>
    <w:div w:id="666371248">
      <w:bodyDiv w:val="1"/>
      <w:marLeft w:val="0"/>
      <w:marRight w:val="0"/>
      <w:marTop w:val="0"/>
      <w:marBottom w:val="0"/>
      <w:divBdr>
        <w:top w:val="none" w:sz="0" w:space="0" w:color="auto"/>
        <w:left w:val="none" w:sz="0" w:space="0" w:color="auto"/>
        <w:bottom w:val="none" w:sz="0" w:space="0" w:color="auto"/>
        <w:right w:val="none" w:sz="0" w:space="0" w:color="auto"/>
      </w:divBdr>
    </w:div>
    <w:div w:id="666713504">
      <w:bodyDiv w:val="1"/>
      <w:marLeft w:val="0"/>
      <w:marRight w:val="0"/>
      <w:marTop w:val="0"/>
      <w:marBottom w:val="0"/>
      <w:divBdr>
        <w:top w:val="none" w:sz="0" w:space="0" w:color="auto"/>
        <w:left w:val="none" w:sz="0" w:space="0" w:color="auto"/>
        <w:bottom w:val="none" w:sz="0" w:space="0" w:color="auto"/>
        <w:right w:val="none" w:sz="0" w:space="0" w:color="auto"/>
      </w:divBdr>
    </w:div>
    <w:div w:id="667178145">
      <w:bodyDiv w:val="1"/>
      <w:marLeft w:val="0"/>
      <w:marRight w:val="0"/>
      <w:marTop w:val="0"/>
      <w:marBottom w:val="0"/>
      <w:divBdr>
        <w:top w:val="none" w:sz="0" w:space="0" w:color="auto"/>
        <w:left w:val="none" w:sz="0" w:space="0" w:color="auto"/>
        <w:bottom w:val="none" w:sz="0" w:space="0" w:color="auto"/>
        <w:right w:val="none" w:sz="0" w:space="0" w:color="auto"/>
      </w:divBdr>
    </w:div>
    <w:div w:id="667289071">
      <w:bodyDiv w:val="1"/>
      <w:marLeft w:val="0"/>
      <w:marRight w:val="0"/>
      <w:marTop w:val="0"/>
      <w:marBottom w:val="0"/>
      <w:divBdr>
        <w:top w:val="none" w:sz="0" w:space="0" w:color="auto"/>
        <w:left w:val="none" w:sz="0" w:space="0" w:color="auto"/>
        <w:bottom w:val="none" w:sz="0" w:space="0" w:color="auto"/>
        <w:right w:val="none" w:sz="0" w:space="0" w:color="auto"/>
      </w:divBdr>
    </w:div>
    <w:div w:id="667560052">
      <w:bodyDiv w:val="1"/>
      <w:marLeft w:val="0"/>
      <w:marRight w:val="0"/>
      <w:marTop w:val="0"/>
      <w:marBottom w:val="0"/>
      <w:divBdr>
        <w:top w:val="none" w:sz="0" w:space="0" w:color="auto"/>
        <w:left w:val="none" w:sz="0" w:space="0" w:color="auto"/>
        <w:bottom w:val="none" w:sz="0" w:space="0" w:color="auto"/>
        <w:right w:val="none" w:sz="0" w:space="0" w:color="auto"/>
      </w:divBdr>
    </w:div>
    <w:div w:id="668095634">
      <w:bodyDiv w:val="1"/>
      <w:marLeft w:val="0"/>
      <w:marRight w:val="0"/>
      <w:marTop w:val="0"/>
      <w:marBottom w:val="0"/>
      <w:divBdr>
        <w:top w:val="none" w:sz="0" w:space="0" w:color="auto"/>
        <w:left w:val="none" w:sz="0" w:space="0" w:color="auto"/>
        <w:bottom w:val="none" w:sz="0" w:space="0" w:color="auto"/>
        <w:right w:val="none" w:sz="0" w:space="0" w:color="auto"/>
      </w:divBdr>
    </w:div>
    <w:div w:id="669021862">
      <w:bodyDiv w:val="1"/>
      <w:marLeft w:val="0"/>
      <w:marRight w:val="0"/>
      <w:marTop w:val="0"/>
      <w:marBottom w:val="0"/>
      <w:divBdr>
        <w:top w:val="none" w:sz="0" w:space="0" w:color="auto"/>
        <w:left w:val="none" w:sz="0" w:space="0" w:color="auto"/>
        <w:bottom w:val="none" w:sz="0" w:space="0" w:color="auto"/>
        <w:right w:val="none" w:sz="0" w:space="0" w:color="auto"/>
      </w:divBdr>
    </w:div>
    <w:div w:id="669522603">
      <w:bodyDiv w:val="1"/>
      <w:marLeft w:val="0"/>
      <w:marRight w:val="0"/>
      <w:marTop w:val="0"/>
      <w:marBottom w:val="0"/>
      <w:divBdr>
        <w:top w:val="none" w:sz="0" w:space="0" w:color="auto"/>
        <w:left w:val="none" w:sz="0" w:space="0" w:color="auto"/>
        <w:bottom w:val="none" w:sz="0" w:space="0" w:color="auto"/>
        <w:right w:val="none" w:sz="0" w:space="0" w:color="auto"/>
      </w:divBdr>
    </w:div>
    <w:div w:id="669523208">
      <w:bodyDiv w:val="1"/>
      <w:marLeft w:val="0"/>
      <w:marRight w:val="0"/>
      <w:marTop w:val="0"/>
      <w:marBottom w:val="0"/>
      <w:divBdr>
        <w:top w:val="none" w:sz="0" w:space="0" w:color="auto"/>
        <w:left w:val="none" w:sz="0" w:space="0" w:color="auto"/>
        <w:bottom w:val="none" w:sz="0" w:space="0" w:color="auto"/>
        <w:right w:val="none" w:sz="0" w:space="0" w:color="auto"/>
      </w:divBdr>
    </w:div>
    <w:div w:id="669526201">
      <w:bodyDiv w:val="1"/>
      <w:marLeft w:val="0"/>
      <w:marRight w:val="0"/>
      <w:marTop w:val="0"/>
      <w:marBottom w:val="0"/>
      <w:divBdr>
        <w:top w:val="none" w:sz="0" w:space="0" w:color="auto"/>
        <w:left w:val="none" w:sz="0" w:space="0" w:color="auto"/>
        <w:bottom w:val="none" w:sz="0" w:space="0" w:color="auto"/>
        <w:right w:val="none" w:sz="0" w:space="0" w:color="auto"/>
      </w:divBdr>
    </w:div>
    <w:div w:id="669723195">
      <w:bodyDiv w:val="1"/>
      <w:marLeft w:val="0"/>
      <w:marRight w:val="0"/>
      <w:marTop w:val="0"/>
      <w:marBottom w:val="0"/>
      <w:divBdr>
        <w:top w:val="none" w:sz="0" w:space="0" w:color="auto"/>
        <w:left w:val="none" w:sz="0" w:space="0" w:color="auto"/>
        <w:bottom w:val="none" w:sz="0" w:space="0" w:color="auto"/>
        <w:right w:val="none" w:sz="0" w:space="0" w:color="auto"/>
      </w:divBdr>
    </w:div>
    <w:div w:id="669870237">
      <w:bodyDiv w:val="1"/>
      <w:marLeft w:val="0"/>
      <w:marRight w:val="0"/>
      <w:marTop w:val="0"/>
      <w:marBottom w:val="0"/>
      <w:divBdr>
        <w:top w:val="none" w:sz="0" w:space="0" w:color="auto"/>
        <w:left w:val="none" w:sz="0" w:space="0" w:color="auto"/>
        <w:bottom w:val="none" w:sz="0" w:space="0" w:color="auto"/>
        <w:right w:val="none" w:sz="0" w:space="0" w:color="auto"/>
      </w:divBdr>
    </w:div>
    <w:div w:id="670064717">
      <w:bodyDiv w:val="1"/>
      <w:marLeft w:val="0"/>
      <w:marRight w:val="0"/>
      <w:marTop w:val="0"/>
      <w:marBottom w:val="0"/>
      <w:divBdr>
        <w:top w:val="none" w:sz="0" w:space="0" w:color="auto"/>
        <w:left w:val="none" w:sz="0" w:space="0" w:color="auto"/>
        <w:bottom w:val="none" w:sz="0" w:space="0" w:color="auto"/>
        <w:right w:val="none" w:sz="0" w:space="0" w:color="auto"/>
      </w:divBdr>
    </w:div>
    <w:div w:id="670136110">
      <w:bodyDiv w:val="1"/>
      <w:marLeft w:val="0"/>
      <w:marRight w:val="0"/>
      <w:marTop w:val="0"/>
      <w:marBottom w:val="0"/>
      <w:divBdr>
        <w:top w:val="none" w:sz="0" w:space="0" w:color="auto"/>
        <w:left w:val="none" w:sz="0" w:space="0" w:color="auto"/>
        <w:bottom w:val="none" w:sz="0" w:space="0" w:color="auto"/>
        <w:right w:val="none" w:sz="0" w:space="0" w:color="auto"/>
      </w:divBdr>
    </w:div>
    <w:div w:id="671105699">
      <w:bodyDiv w:val="1"/>
      <w:marLeft w:val="0"/>
      <w:marRight w:val="0"/>
      <w:marTop w:val="0"/>
      <w:marBottom w:val="0"/>
      <w:divBdr>
        <w:top w:val="none" w:sz="0" w:space="0" w:color="auto"/>
        <w:left w:val="none" w:sz="0" w:space="0" w:color="auto"/>
        <w:bottom w:val="none" w:sz="0" w:space="0" w:color="auto"/>
        <w:right w:val="none" w:sz="0" w:space="0" w:color="auto"/>
      </w:divBdr>
    </w:div>
    <w:div w:id="671108139">
      <w:bodyDiv w:val="1"/>
      <w:marLeft w:val="0"/>
      <w:marRight w:val="0"/>
      <w:marTop w:val="0"/>
      <w:marBottom w:val="0"/>
      <w:divBdr>
        <w:top w:val="none" w:sz="0" w:space="0" w:color="auto"/>
        <w:left w:val="none" w:sz="0" w:space="0" w:color="auto"/>
        <w:bottom w:val="none" w:sz="0" w:space="0" w:color="auto"/>
        <w:right w:val="none" w:sz="0" w:space="0" w:color="auto"/>
      </w:divBdr>
    </w:div>
    <w:div w:id="671185283">
      <w:bodyDiv w:val="1"/>
      <w:marLeft w:val="0"/>
      <w:marRight w:val="0"/>
      <w:marTop w:val="0"/>
      <w:marBottom w:val="0"/>
      <w:divBdr>
        <w:top w:val="none" w:sz="0" w:space="0" w:color="auto"/>
        <w:left w:val="none" w:sz="0" w:space="0" w:color="auto"/>
        <w:bottom w:val="none" w:sz="0" w:space="0" w:color="auto"/>
        <w:right w:val="none" w:sz="0" w:space="0" w:color="auto"/>
      </w:divBdr>
    </w:div>
    <w:div w:id="671761642">
      <w:bodyDiv w:val="1"/>
      <w:marLeft w:val="0"/>
      <w:marRight w:val="0"/>
      <w:marTop w:val="0"/>
      <w:marBottom w:val="0"/>
      <w:divBdr>
        <w:top w:val="none" w:sz="0" w:space="0" w:color="auto"/>
        <w:left w:val="none" w:sz="0" w:space="0" w:color="auto"/>
        <w:bottom w:val="none" w:sz="0" w:space="0" w:color="auto"/>
        <w:right w:val="none" w:sz="0" w:space="0" w:color="auto"/>
      </w:divBdr>
    </w:div>
    <w:div w:id="671875442">
      <w:bodyDiv w:val="1"/>
      <w:marLeft w:val="0"/>
      <w:marRight w:val="0"/>
      <w:marTop w:val="0"/>
      <w:marBottom w:val="0"/>
      <w:divBdr>
        <w:top w:val="none" w:sz="0" w:space="0" w:color="auto"/>
        <w:left w:val="none" w:sz="0" w:space="0" w:color="auto"/>
        <w:bottom w:val="none" w:sz="0" w:space="0" w:color="auto"/>
        <w:right w:val="none" w:sz="0" w:space="0" w:color="auto"/>
      </w:divBdr>
    </w:div>
    <w:div w:id="671951604">
      <w:bodyDiv w:val="1"/>
      <w:marLeft w:val="0"/>
      <w:marRight w:val="0"/>
      <w:marTop w:val="0"/>
      <w:marBottom w:val="0"/>
      <w:divBdr>
        <w:top w:val="none" w:sz="0" w:space="0" w:color="auto"/>
        <w:left w:val="none" w:sz="0" w:space="0" w:color="auto"/>
        <w:bottom w:val="none" w:sz="0" w:space="0" w:color="auto"/>
        <w:right w:val="none" w:sz="0" w:space="0" w:color="auto"/>
      </w:divBdr>
    </w:div>
    <w:div w:id="672029361">
      <w:bodyDiv w:val="1"/>
      <w:marLeft w:val="0"/>
      <w:marRight w:val="0"/>
      <w:marTop w:val="0"/>
      <w:marBottom w:val="0"/>
      <w:divBdr>
        <w:top w:val="none" w:sz="0" w:space="0" w:color="auto"/>
        <w:left w:val="none" w:sz="0" w:space="0" w:color="auto"/>
        <w:bottom w:val="none" w:sz="0" w:space="0" w:color="auto"/>
        <w:right w:val="none" w:sz="0" w:space="0" w:color="auto"/>
      </w:divBdr>
    </w:div>
    <w:div w:id="672143461">
      <w:bodyDiv w:val="1"/>
      <w:marLeft w:val="0"/>
      <w:marRight w:val="0"/>
      <w:marTop w:val="0"/>
      <w:marBottom w:val="0"/>
      <w:divBdr>
        <w:top w:val="none" w:sz="0" w:space="0" w:color="auto"/>
        <w:left w:val="none" w:sz="0" w:space="0" w:color="auto"/>
        <w:bottom w:val="none" w:sz="0" w:space="0" w:color="auto"/>
        <w:right w:val="none" w:sz="0" w:space="0" w:color="auto"/>
      </w:divBdr>
    </w:div>
    <w:div w:id="672683605">
      <w:bodyDiv w:val="1"/>
      <w:marLeft w:val="0"/>
      <w:marRight w:val="0"/>
      <w:marTop w:val="0"/>
      <w:marBottom w:val="0"/>
      <w:divBdr>
        <w:top w:val="none" w:sz="0" w:space="0" w:color="auto"/>
        <w:left w:val="none" w:sz="0" w:space="0" w:color="auto"/>
        <w:bottom w:val="none" w:sz="0" w:space="0" w:color="auto"/>
        <w:right w:val="none" w:sz="0" w:space="0" w:color="auto"/>
      </w:divBdr>
    </w:div>
    <w:div w:id="673147722">
      <w:bodyDiv w:val="1"/>
      <w:marLeft w:val="0"/>
      <w:marRight w:val="0"/>
      <w:marTop w:val="0"/>
      <w:marBottom w:val="0"/>
      <w:divBdr>
        <w:top w:val="none" w:sz="0" w:space="0" w:color="auto"/>
        <w:left w:val="none" w:sz="0" w:space="0" w:color="auto"/>
        <w:bottom w:val="none" w:sz="0" w:space="0" w:color="auto"/>
        <w:right w:val="none" w:sz="0" w:space="0" w:color="auto"/>
      </w:divBdr>
    </w:div>
    <w:div w:id="673386999">
      <w:bodyDiv w:val="1"/>
      <w:marLeft w:val="0"/>
      <w:marRight w:val="0"/>
      <w:marTop w:val="0"/>
      <w:marBottom w:val="0"/>
      <w:divBdr>
        <w:top w:val="none" w:sz="0" w:space="0" w:color="auto"/>
        <w:left w:val="none" w:sz="0" w:space="0" w:color="auto"/>
        <w:bottom w:val="none" w:sz="0" w:space="0" w:color="auto"/>
        <w:right w:val="none" w:sz="0" w:space="0" w:color="auto"/>
      </w:divBdr>
    </w:div>
    <w:div w:id="674262153">
      <w:bodyDiv w:val="1"/>
      <w:marLeft w:val="0"/>
      <w:marRight w:val="0"/>
      <w:marTop w:val="0"/>
      <w:marBottom w:val="0"/>
      <w:divBdr>
        <w:top w:val="none" w:sz="0" w:space="0" w:color="auto"/>
        <w:left w:val="none" w:sz="0" w:space="0" w:color="auto"/>
        <w:bottom w:val="none" w:sz="0" w:space="0" w:color="auto"/>
        <w:right w:val="none" w:sz="0" w:space="0" w:color="auto"/>
      </w:divBdr>
    </w:div>
    <w:div w:id="674455742">
      <w:bodyDiv w:val="1"/>
      <w:marLeft w:val="0"/>
      <w:marRight w:val="0"/>
      <w:marTop w:val="0"/>
      <w:marBottom w:val="0"/>
      <w:divBdr>
        <w:top w:val="none" w:sz="0" w:space="0" w:color="auto"/>
        <w:left w:val="none" w:sz="0" w:space="0" w:color="auto"/>
        <w:bottom w:val="none" w:sz="0" w:space="0" w:color="auto"/>
        <w:right w:val="none" w:sz="0" w:space="0" w:color="auto"/>
      </w:divBdr>
    </w:div>
    <w:div w:id="675157719">
      <w:bodyDiv w:val="1"/>
      <w:marLeft w:val="0"/>
      <w:marRight w:val="0"/>
      <w:marTop w:val="0"/>
      <w:marBottom w:val="0"/>
      <w:divBdr>
        <w:top w:val="none" w:sz="0" w:space="0" w:color="auto"/>
        <w:left w:val="none" w:sz="0" w:space="0" w:color="auto"/>
        <w:bottom w:val="none" w:sz="0" w:space="0" w:color="auto"/>
        <w:right w:val="none" w:sz="0" w:space="0" w:color="auto"/>
      </w:divBdr>
    </w:div>
    <w:div w:id="675500387">
      <w:bodyDiv w:val="1"/>
      <w:marLeft w:val="0"/>
      <w:marRight w:val="0"/>
      <w:marTop w:val="0"/>
      <w:marBottom w:val="0"/>
      <w:divBdr>
        <w:top w:val="none" w:sz="0" w:space="0" w:color="auto"/>
        <w:left w:val="none" w:sz="0" w:space="0" w:color="auto"/>
        <w:bottom w:val="none" w:sz="0" w:space="0" w:color="auto"/>
        <w:right w:val="none" w:sz="0" w:space="0" w:color="auto"/>
      </w:divBdr>
    </w:div>
    <w:div w:id="675503965">
      <w:bodyDiv w:val="1"/>
      <w:marLeft w:val="0"/>
      <w:marRight w:val="0"/>
      <w:marTop w:val="0"/>
      <w:marBottom w:val="0"/>
      <w:divBdr>
        <w:top w:val="none" w:sz="0" w:space="0" w:color="auto"/>
        <w:left w:val="none" w:sz="0" w:space="0" w:color="auto"/>
        <w:bottom w:val="none" w:sz="0" w:space="0" w:color="auto"/>
        <w:right w:val="none" w:sz="0" w:space="0" w:color="auto"/>
      </w:divBdr>
    </w:div>
    <w:div w:id="675576589">
      <w:bodyDiv w:val="1"/>
      <w:marLeft w:val="0"/>
      <w:marRight w:val="0"/>
      <w:marTop w:val="0"/>
      <w:marBottom w:val="0"/>
      <w:divBdr>
        <w:top w:val="none" w:sz="0" w:space="0" w:color="auto"/>
        <w:left w:val="none" w:sz="0" w:space="0" w:color="auto"/>
        <w:bottom w:val="none" w:sz="0" w:space="0" w:color="auto"/>
        <w:right w:val="none" w:sz="0" w:space="0" w:color="auto"/>
      </w:divBdr>
    </w:div>
    <w:div w:id="675614103">
      <w:bodyDiv w:val="1"/>
      <w:marLeft w:val="0"/>
      <w:marRight w:val="0"/>
      <w:marTop w:val="0"/>
      <w:marBottom w:val="0"/>
      <w:divBdr>
        <w:top w:val="none" w:sz="0" w:space="0" w:color="auto"/>
        <w:left w:val="none" w:sz="0" w:space="0" w:color="auto"/>
        <w:bottom w:val="none" w:sz="0" w:space="0" w:color="auto"/>
        <w:right w:val="none" w:sz="0" w:space="0" w:color="auto"/>
      </w:divBdr>
    </w:div>
    <w:div w:id="675889858">
      <w:bodyDiv w:val="1"/>
      <w:marLeft w:val="0"/>
      <w:marRight w:val="0"/>
      <w:marTop w:val="0"/>
      <w:marBottom w:val="0"/>
      <w:divBdr>
        <w:top w:val="none" w:sz="0" w:space="0" w:color="auto"/>
        <w:left w:val="none" w:sz="0" w:space="0" w:color="auto"/>
        <w:bottom w:val="none" w:sz="0" w:space="0" w:color="auto"/>
        <w:right w:val="none" w:sz="0" w:space="0" w:color="auto"/>
      </w:divBdr>
    </w:div>
    <w:div w:id="677003028">
      <w:bodyDiv w:val="1"/>
      <w:marLeft w:val="0"/>
      <w:marRight w:val="0"/>
      <w:marTop w:val="0"/>
      <w:marBottom w:val="0"/>
      <w:divBdr>
        <w:top w:val="none" w:sz="0" w:space="0" w:color="auto"/>
        <w:left w:val="none" w:sz="0" w:space="0" w:color="auto"/>
        <w:bottom w:val="none" w:sz="0" w:space="0" w:color="auto"/>
        <w:right w:val="none" w:sz="0" w:space="0" w:color="auto"/>
      </w:divBdr>
    </w:div>
    <w:div w:id="677191802">
      <w:bodyDiv w:val="1"/>
      <w:marLeft w:val="0"/>
      <w:marRight w:val="0"/>
      <w:marTop w:val="0"/>
      <w:marBottom w:val="0"/>
      <w:divBdr>
        <w:top w:val="none" w:sz="0" w:space="0" w:color="auto"/>
        <w:left w:val="none" w:sz="0" w:space="0" w:color="auto"/>
        <w:bottom w:val="none" w:sz="0" w:space="0" w:color="auto"/>
        <w:right w:val="none" w:sz="0" w:space="0" w:color="auto"/>
      </w:divBdr>
    </w:div>
    <w:div w:id="677660132">
      <w:bodyDiv w:val="1"/>
      <w:marLeft w:val="0"/>
      <w:marRight w:val="0"/>
      <w:marTop w:val="0"/>
      <w:marBottom w:val="0"/>
      <w:divBdr>
        <w:top w:val="none" w:sz="0" w:space="0" w:color="auto"/>
        <w:left w:val="none" w:sz="0" w:space="0" w:color="auto"/>
        <w:bottom w:val="none" w:sz="0" w:space="0" w:color="auto"/>
        <w:right w:val="none" w:sz="0" w:space="0" w:color="auto"/>
      </w:divBdr>
    </w:div>
    <w:div w:id="678317884">
      <w:bodyDiv w:val="1"/>
      <w:marLeft w:val="0"/>
      <w:marRight w:val="0"/>
      <w:marTop w:val="0"/>
      <w:marBottom w:val="0"/>
      <w:divBdr>
        <w:top w:val="none" w:sz="0" w:space="0" w:color="auto"/>
        <w:left w:val="none" w:sz="0" w:space="0" w:color="auto"/>
        <w:bottom w:val="none" w:sz="0" w:space="0" w:color="auto"/>
        <w:right w:val="none" w:sz="0" w:space="0" w:color="auto"/>
      </w:divBdr>
    </w:div>
    <w:div w:id="678434237">
      <w:bodyDiv w:val="1"/>
      <w:marLeft w:val="0"/>
      <w:marRight w:val="0"/>
      <w:marTop w:val="0"/>
      <w:marBottom w:val="0"/>
      <w:divBdr>
        <w:top w:val="none" w:sz="0" w:space="0" w:color="auto"/>
        <w:left w:val="none" w:sz="0" w:space="0" w:color="auto"/>
        <w:bottom w:val="none" w:sz="0" w:space="0" w:color="auto"/>
        <w:right w:val="none" w:sz="0" w:space="0" w:color="auto"/>
      </w:divBdr>
    </w:div>
    <w:div w:id="678459752">
      <w:bodyDiv w:val="1"/>
      <w:marLeft w:val="0"/>
      <w:marRight w:val="0"/>
      <w:marTop w:val="0"/>
      <w:marBottom w:val="0"/>
      <w:divBdr>
        <w:top w:val="none" w:sz="0" w:space="0" w:color="auto"/>
        <w:left w:val="none" w:sz="0" w:space="0" w:color="auto"/>
        <w:bottom w:val="none" w:sz="0" w:space="0" w:color="auto"/>
        <w:right w:val="none" w:sz="0" w:space="0" w:color="auto"/>
      </w:divBdr>
    </w:div>
    <w:div w:id="678775253">
      <w:bodyDiv w:val="1"/>
      <w:marLeft w:val="0"/>
      <w:marRight w:val="0"/>
      <w:marTop w:val="0"/>
      <w:marBottom w:val="0"/>
      <w:divBdr>
        <w:top w:val="none" w:sz="0" w:space="0" w:color="auto"/>
        <w:left w:val="none" w:sz="0" w:space="0" w:color="auto"/>
        <w:bottom w:val="none" w:sz="0" w:space="0" w:color="auto"/>
        <w:right w:val="none" w:sz="0" w:space="0" w:color="auto"/>
      </w:divBdr>
    </w:div>
    <w:div w:id="678776988">
      <w:bodyDiv w:val="1"/>
      <w:marLeft w:val="0"/>
      <w:marRight w:val="0"/>
      <w:marTop w:val="0"/>
      <w:marBottom w:val="0"/>
      <w:divBdr>
        <w:top w:val="none" w:sz="0" w:space="0" w:color="auto"/>
        <w:left w:val="none" w:sz="0" w:space="0" w:color="auto"/>
        <w:bottom w:val="none" w:sz="0" w:space="0" w:color="auto"/>
        <w:right w:val="none" w:sz="0" w:space="0" w:color="auto"/>
      </w:divBdr>
    </w:div>
    <w:div w:id="678965222">
      <w:bodyDiv w:val="1"/>
      <w:marLeft w:val="0"/>
      <w:marRight w:val="0"/>
      <w:marTop w:val="0"/>
      <w:marBottom w:val="0"/>
      <w:divBdr>
        <w:top w:val="none" w:sz="0" w:space="0" w:color="auto"/>
        <w:left w:val="none" w:sz="0" w:space="0" w:color="auto"/>
        <w:bottom w:val="none" w:sz="0" w:space="0" w:color="auto"/>
        <w:right w:val="none" w:sz="0" w:space="0" w:color="auto"/>
      </w:divBdr>
    </w:div>
    <w:div w:id="679040817">
      <w:bodyDiv w:val="1"/>
      <w:marLeft w:val="0"/>
      <w:marRight w:val="0"/>
      <w:marTop w:val="0"/>
      <w:marBottom w:val="0"/>
      <w:divBdr>
        <w:top w:val="none" w:sz="0" w:space="0" w:color="auto"/>
        <w:left w:val="none" w:sz="0" w:space="0" w:color="auto"/>
        <w:bottom w:val="none" w:sz="0" w:space="0" w:color="auto"/>
        <w:right w:val="none" w:sz="0" w:space="0" w:color="auto"/>
      </w:divBdr>
    </w:div>
    <w:div w:id="679047252">
      <w:bodyDiv w:val="1"/>
      <w:marLeft w:val="0"/>
      <w:marRight w:val="0"/>
      <w:marTop w:val="0"/>
      <w:marBottom w:val="0"/>
      <w:divBdr>
        <w:top w:val="none" w:sz="0" w:space="0" w:color="auto"/>
        <w:left w:val="none" w:sz="0" w:space="0" w:color="auto"/>
        <w:bottom w:val="none" w:sz="0" w:space="0" w:color="auto"/>
        <w:right w:val="none" w:sz="0" w:space="0" w:color="auto"/>
      </w:divBdr>
    </w:div>
    <w:div w:id="679744541">
      <w:bodyDiv w:val="1"/>
      <w:marLeft w:val="0"/>
      <w:marRight w:val="0"/>
      <w:marTop w:val="0"/>
      <w:marBottom w:val="0"/>
      <w:divBdr>
        <w:top w:val="none" w:sz="0" w:space="0" w:color="auto"/>
        <w:left w:val="none" w:sz="0" w:space="0" w:color="auto"/>
        <w:bottom w:val="none" w:sz="0" w:space="0" w:color="auto"/>
        <w:right w:val="none" w:sz="0" w:space="0" w:color="auto"/>
      </w:divBdr>
    </w:div>
    <w:div w:id="680815807">
      <w:bodyDiv w:val="1"/>
      <w:marLeft w:val="0"/>
      <w:marRight w:val="0"/>
      <w:marTop w:val="0"/>
      <w:marBottom w:val="0"/>
      <w:divBdr>
        <w:top w:val="none" w:sz="0" w:space="0" w:color="auto"/>
        <w:left w:val="none" w:sz="0" w:space="0" w:color="auto"/>
        <w:bottom w:val="none" w:sz="0" w:space="0" w:color="auto"/>
        <w:right w:val="none" w:sz="0" w:space="0" w:color="auto"/>
      </w:divBdr>
    </w:div>
    <w:div w:id="680817717">
      <w:bodyDiv w:val="1"/>
      <w:marLeft w:val="0"/>
      <w:marRight w:val="0"/>
      <w:marTop w:val="0"/>
      <w:marBottom w:val="0"/>
      <w:divBdr>
        <w:top w:val="none" w:sz="0" w:space="0" w:color="auto"/>
        <w:left w:val="none" w:sz="0" w:space="0" w:color="auto"/>
        <w:bottom w:val="none" w:sz="0" w:space="0" w:color="auto"/>
        <w:right w:val="none" w:sz="0" w:space="0" w:color="auto"/>
      </w:divBdr>
    </w:div>
    <w:div w:id="681467413">
      <w:bodyDiv w:val="1"/>
      <w:marLeft w:val="0"/>
      <w:marRight w:val="0"/>
      <w:marTop w:val="0"/>
      <w:marBottom w:val="0"/>
      <w:divBdr>
        <w:top w:val="none" w:sz="0" w:space="0" w:color="auto"/>
        <w:left w:val="none" w:sz="0" w:space="0" w:color="auto"/>
        <w:bottom w:val="none" w:sz="0" w:space="0" w:color="auto"/>
        <w:right w:val="none" w:sz="0" w:space="0" w:color="auto"/>
      </w:divBdr>
    </w:div>
    <w:div w:id="681856189">
      <w:bodyDiv w:val="1"/>
      <w:marLeft w:val="0"/>
      <w:marRight w:val="0"/>
      <w:marTop w:val="0"/>
      <w:marBottom w:val="0"/>
      <w:divBdr>
        <w:top w:val="none" w:sz="0" w:space="0" w:color="auto"/>
        <w:left w:val="none" w:sz="0" w:space="0" w:color="auto"/>
        <w:bottom w:val="none" w:sz="0" w:space="0" w:color="auto"/>
        <w:right w:val="none" w:sz="0" w:space="0" w:color="auto"/>
      </w:divBdr>
    </w:div>
    <w:div w:id="682586149">
      <w:bodyDiv w:val="1"/>
      <w:marLeft w:val="0"/>
      <w:marRight w:val="0"/>
      <w:marTop w:val="0"/>
      <w:marBottom w:val="0"/>
      <w:divBdr>
        <w:top w:val="none" w:sz="0" w:space="0" w:color="auto"/>
        <w:left w:val="none" w:sz="0" w:space="0" w:color="auto"/>
        <w:bottom w:val="none" w:sz="0" w:space="0" w:color="auto"/>
        <w:right w:val="none" w:sz="0" w:space="0" w:color="auto"/>
      </w:divBdr>
    </w:div>
    <w:div w:id="682587541">
      <w:bodyDiv w:val="1"/>
      <w:marLeft w:val="0"/>
      <w:marRight w:val="0"/>
      <w:marTop w:val="0"/>
      <w:marBottom w:val="0"/>
      <w:divBdr>
        <w:top w:val="none" w:sz="0" w:space="0" w:color="auto"/>
        <w:left w:val="none" w:sz="0" w:space="0" w:color="auto"/>
        <w:bottom w:val="none" w:sz="0" w:space="0" w:color="auto"/>
        <w:right w:val="none" w:sz="0" w:space="0" w:color="auto"/>
      </w:divBdr>
    </w:div>
    <w:div w:id="683898114">
      <w:bodyDiv w:val="1"/>
      <w:marLeft w:val="0"/>
      <w:marRight w:val="0"/>
      <w:marTop w:val="0"/>
      <w:marBottom w:val="0"/>
      <w:divBdr>
        <w:top w:val="none" w:sz="0" w:space="0" w:color="auto"/>
        <w:left w:val="none" w:sz="0" w:space="0" w:color="auto"/>
        <w:bottom w:val="none" w:sz="0" w:space="0" w:color="auto"/>
        <w:right w:val="none" w:sz="0" w:space="0" w:color="auto"/>
      </w:divBdr>
    </w:div>
    <w:div w:id="683942636">
      <w:bodyDiv w:val="1"/>
      <w:marLeft w:val="0"/>
      <w:marRight w:val="0"/>
      <w:marTop w:val="0"/>
      <w:marBottom w:val="0"/>
      <w:divBdr>
        <w:top w:val="none" w:sz="0" w:space="0" w:color="auto"/>
        <w:left w:val="none" w:sz="0" w:space="0" w:color="auto"/>
        <w:bottom w:val="none" w:sz="0" w:space="0" w:color="auto"/>
        <w:right w:val="none" w:sz="0" w:space="0" w:color="auto"/>
      </w:divBdr>
    </w:div>
    <w:div w:id="684137153">
      <w:bodyDiv w:val="1"/>
      <w:marLeft w:val="0"/>
      <w:marRight w:val="0"/>
      <w:marTop w:val="0"/>
      <w:marBottom w:val="0"/>
      <w:divBdr>
        <w:top w:val="none" w:sz="0" w:space="0" w:color="auto"/>
        <w:left w:val="none" w:sz="0" w:space="0" w:color="auto"/>
        <w:bottom w:val="none" w:sz="0" w:space="0" w:color="auto"/>
        <w:right w:val="none" w:sz="0" w:space="0" w:color="auto"/>
      </w:divBdr>
    </w:div>
    <w:div w:id="684357973">
      <w:bodyDiv w:val="1"/>
      <w:marLeft w:val="0"/>
      <w:marRight w:val="0"/>
      <w:marTop w:val="0"/>
      <w:marBottom w:val="0"/>
      <w:divBdr>
        <w:top w:val="none" w:sz="0" w:space="0" w:color="auto"/>
        <w:left w:val="none" w:sz="0" w:space="0" w:color="auto"/>
        <w:bottom w:val="none" w:sz="0" w:space="0" w:color="auto"/>
        <w:right w:val="none" w:sz="0" w:space="0" w:color="auto"/>
      </w:divBdr>
    </w:div>
    <w:div w:id="684600543">
      <w:bodyDiv w:val="1"/>
      <w:marLeft w:val="0"/>
      <w:marRight w:val="0"/>
      <w:marTop w:val="0"/>
      <w:marBottom w:val="0"/>
      <w:divBdr>
        <w:top w:val="none" w:sz="0" w:space="0" w:color="auto"/>
        <w:left w:val="none" w:sz="0" w:space="0" w:color="auto"/>
        <w:bottom w:val="none" w:sz="0" w:space="0" w:color="auto"/>
        <w:right w:val="none" w:sz="0" w:space="0" w:color="auto"/>
      </w:divBdr>
    </w:div>
    <w:div w:id="684942406">
      <w:bodyDiv w:val="1"/>
      <w:marLeft w:val="0"/>
      <w:marRight w:val="0"/>
      <w:marTop w:val="0"/>
      <w:marBottom w:val="0"/>
      <w:divBdr>
        <w:top w:val="none" w:sz="0" w:space="0" w:color="auto"/>
        <w:left w:val="none" w:sz="0" w:space="0" w:color="auto"/>
        <w:bottom w:val="none" w:sz="0" w:space="0" w:color="auto"/>
        <w:right w:val="none" w:sz="0" w:space="0" w:color="auto"/>
      </w:divBdr>
    </w:div>
    <w:div w:id="684942880">
      <w:bodyDiv w:val="1"/>
      <w:marLeft w:val="0"/>
      <w:marRight w:val="0"/>
      <w:marTop w:val="0"/>
      <w:marBottom w:val="0"/>
      <w:divBdr>
        <w:top w:val="none" w:sz="0" w:space="0" w:color="auto"/>
        <w:left w:val="none" w:sz="0" w:space="0" w:color="auto"/>
        <w:bottom w:val="none" w:sz="0" w:space="0" w:color="auto"/>
        <w:right w:val="none" w:sz="0" w:space="0" w:color="auto"/>
      </w:divBdr>
    </w:div>
    <w:div w:id="685793195">
      <w:bodyDiv w:val="1"/>
      <w:marLeft w:val="0"/>
      <w:marRight w:val="0"/>
      <w:marTop w:val="0"/>
      <w:marBottom w:val="0"/>
      <w:divBdr>
        <w:top w:val="none" w:sz="0" w:space="0" w:color="auto"/>
        <w:left w:val="none" w:sz="0" w:space="0" w:color="auto"/>
        <w:bottom w:val="none" w:sz="0" w:space="0" w:color="auto"/>
        <w:right w:val="none" w:sz="0" w:space="0" w:color="auto"/>
      </w:divBdr>
    </w:div>
    <w:div w:id="686374790">
      <w:bodyDiv w:val="1"/>
      <w:marLeft w:val="0"/>
      <w:marRight w:val="0"/>
      <w:marTop w:val="0"/>
      <w:marBottom w:val="0"/>
      <w:divBdr>
        <w:top w:val="none" w:sz="0" w:space="0" w:color="auto"/>
        <w:left w:val="none" w:sz="0" w:space="0" w:color="auto"/>
        <w:bottom w:val="none" w:sz="0" w:space="0" w:color="auto"/>
        <w:right w:val="none" w:sz="0" w:space="0" w:color="auto"/>
      </w:divBdr>
    </w:div>
    <w:div w:id="686835502">
      <w:bodyDiv w:val="1"/>
      <w:marLeft w:val="0"/>
      <w:marRight w:val="0"/>
      <w:marTop w:val="0"/>
      <w:marBottom w:val="0"/>
      <w:divBdr>
        <w:top w:val="none" w:sz="0" w:space="0" w:color="auto"/>
        <w:left w:val="none" w:sz="0" w:space="0" w:color="auto"/>
        <w:bottom w:val="none" w:sz="0" w:space="0" w:color="auto"/>
        <w:right w:val="none" w:sz="0" w:space="0" w:color="auto"/>
      </w:divBdr>
    </w:div>
    <w:div w:id="686949910">
      <w:bodyDiv w:val="1"/>
      <w:marLeft w:val="0"/>
      <w:marRight w:val="0"/>
      <w:marTop w:val="0"/>
      <w:marBottom w:val="0"/>
      <w:divBdr>
        <w:top w:val="none" w:sz="0" w:space="0" w:color="auto"/>
        <w:left w:val="none" w:sz="0" w:space="0" w:color="auto"/>
        <w:bottom w:val="none" w:sz="0" w:space="0" w:color="auto"/>
        <w:right w:val="none" w:sz="0" w:space="0" w:color="auto"/>
      </w:divBdr>
    </w:div>
    <w:div w:id="687172491">
      <w:bodyDiv w:val="1"/>
      <w:marLeft w:val="0"/>
      <w:marRight w:val="0"/>
      <w:marTop w:val="0"/>
      <w:marBottom w:val="0"/>
      <w:divBdr>
        <w:top w:val="none" w:sz="0" w:space="0" w:color="auto"/>
        <w:left w:val="none" w:sz="0" w:space="0" w:color="auto"/>
        <w:bottom w:val="none" w:sz="0" w:space="0" w:color="auto"/>
        <w:right w:val="none" w:sz="0" w:space="0" w:color="auto"/>
      </w:divBdr>
    </w:div>
    <w:div w:id="687297038">
      <w:bodyDiv w:val="1"/>
      <w:marLeft w:val="0"/>
      <w:marRight w:val="0"/>
      <w:marTop w:val="0"/>
      <w:marBottom w:val="0"/>
      <w:divBdr>
        <w:top w:val="none" w:sz="0" w:space="0" w:color="auto"/>
        <w:left w:val="none" w:sz="0" w:space="0" w:color="auto"/>
        <w:bottom w:val="none" w:sz="0" w:space="0" w:color="auto"/>
        <w:right w:val="none" w:sz="0" w:space="0" w:color="auto"/>
      </w:divBdr>
    </w:div>
    <w:div w:id="687944451">
      <w:bodyDiv w:val="1"/>
      <w:marLeft w:val="0"/>
      <w:marRight w:val="0"/>
      <w:marTop w:val="0"/>
      <w:marBottom w:val="0"/>
      <w:divBdr>
        <w:top w:val="none" w:sz="0" w:space="0" w:color="auto"/>
        <w:left w:val="none" w:sz="0" w:space="0" w:color="auto"/>
        <w:bottom w:val="none" w:sz="0" w:space="0" w:color="auto"/>
        <w:right w:val="none" w:sz="0" w:space="0" w:color="auto"/>
      </w:divBdr>
    </w:div>
    <w:div w:id="688263317">
      <w:bodyDiv w:val="1"/>
      <w:marLeft w:val="0"/>
      <w:marRight w:val="0"/>
      <w:marTop w:val="0"/>
      <w:marBottom w:val="0"/>
      <w:divBdr>
        <w:top w:val="none" w:sz="0" w:space="0" w:color="auto"/>
        <w:left w:val="none" w:sz="0" w:space="0" w:color="auto"/>
        <w:bottom w:val="none" w:sz="0" w:space="0" w:color="auto"/>
        <w:right w:val="none" w:sz="0" w:space="0" w:color="auto"/>
      </w:divBdr>
    </w:div>
    <w:div w:id="688407671">
      <w:bodyDiv w:val="1"/>
      <w:marLeft w:val="0"/>
      <w:marRight w:val="0"/>
      <w:marTop w:val="0"/>
      <w:marBottom w:val="0"/>
      <w:divBdr>
        <w:top w:val="none" w:sz="0" w:space="0" w:color="auto"/>
        <w:left w:val="none" w:sz="0" w:space="0" w:color="auto"/>
        <w:bottom w:val="none" w:sz="0" w:space="0" w:color="auto"/>
        <w:right w:val="none" w:sz="0" w:space="0" w:color="auto"/>
      </w:divBdr>
    </w:div>
    <w:div w:id="688482032">
      <w:bodyDiv w:val="1"/>
      <w:marLeft w:val="0"/>
      <w:marRight w:val="0"/>
      <w:marTop w:val="0"/>
      <w:marBottom w:val="0"/>
      <w:divBdr>
        <w:top w:val="none" w:sz="0" w:space="0" w:color="auto"/>
        <w:left w:val="none" w:sz="0" w:space="0" w:color="auto"/>
        <w:bottom w:val="none" w:sz="0" w:space="0" w:color="auto"/>
        <w:right w:val="none" w:sz="0" w:space="0" w:color="auto"/>
      </w:divBdr>
    </w:div>
    <w:div w:id="688797939">
      <w:bodyDiv w:val="1"/>
      <w:marLeft w:val="0"/>
      <w:marRight w:val="0"/>
      <w:marTop w:val="0"/>
      <w:marBottom w:val="0"/>
      <w:divBdr>
        <w:top w:val="none" w:sz="0" w:space="0" w:color="auto"/>
        <w:left w:val="none" w:sz="0" w:space="0" w:color="auto"/>
        <w:bottom w:val="none" w:sz="0" w:space="0" w:color="auto"/>
        <w:right w:val="none" w:sz="0" w:space="0" w:color="auto"/>
      </w:divBdr>
    </w:div>
    <w:div w:id="688874770">
      <w:bodyDiv w:val="1"/>
      <w:marLeft w:val="0"/>
      <w:marRight w:val="0"/>
      <w:marTop w:val="0"/>
      <w:marBottom w:val="0"/>
      <w:divBdr>
        <w:top w:val="none" w:sz="0" w:space="0" w:color="auto"/>
        <w:left w:val="none" w:sz="0" w:space="0" w:color="auto"/>
        <w:bottom w:val="none" w:sz="0" w:space="0" w:color="auto"/>
        <w:right w:val="none" w:sz="0" w:space="0" w:color="auto"/>
      </w:divBdr>
    </w:div>
    <w:div w:id="689069567">
      <w:bodyDiv w:val="1"/>
      <w:marLeft w:val="0"/>
      <w:marRight w:val="0"/>
      <w:marTop w:val="0"/>
      <w:marBottom w:val="0"/>
      <w:divBdr>
        <w:top w:val="none" w:sz="0" w:space="0" w:color="auto"/>
        <w:left w:val="none" w:sz="0" w:space="0" w:color="auto"/>
        <w:bottom w:val="none" w:sz="0" w:space="0" w:color="auto"/>
        <w:right w:val="none" w:sz="0" w:space="0" w:color="auto"/>
      </w:divBdr>
    </w:div>
    <w:div w:id="689451679">
      <w:bodyDiv w:val="1"/>
      <w:marLeft w:val="0"/>
      <w:marRight w:val="0"/>
      <w:marTop w:val="0"/>
      <w:marBottom w:val="0"/>
      <w:divBdr>
        <w:top w:val="none" w:sz="0" w:space="0" w:color="auto"/>
        <w:left w:val="none" w:sz="0" w:space="0" w:color="auto"/>
        <w:bottom w:val="none" w:sz="0" w:space="0" w:color="auto"/>
        <w:right w:val="none" w:sz="0" w:space="0" w:color="auto"/>
      </w:divBdr>
    </w:div>
    <w:div w:id="689650153">
      <w:bodyDiv w:val="1"/>
      <w:marLeft w:val="0"/>
      <w:marRight w:val="0"/>
      <w:marTop w:val="0"/>
      <w:marBottom w:val="0"/>
      <w:divBdr>
        <w:top w:val="none" w:sz="0" w:space="0" w:color="auto"/>
        <w:left w:val="none" w:sz="0" w:space="0" w:color="auto"/>
        <w:bottom w:val="none" w:sz="0" w:space="0" w:color="auto"/>
        <w:right w:val="none" w:sz="0" w:space="0" w:color="auto"/>
      </w:divBdr>
    </w:div>
    <w:div w:id="689719160">
      <w:bodyDiv w:val="1"/>
      <w:marLeft w:val="0"/>
      <w:marRight w:val="0"/>
      <w:marTop w:val="0"/>
      <w:marBottom w:val="0"/>
      <w:divBdr>
        <w:top w:val="none" w:sz="0" w:space="0" w:color="auto"/>
        <w:left w:val="none" w:sz="0" w:space="0" w:color="auto"/>
        <w:bottom w:val="none" w:sz="0" w:space="0" w:color="auto"/>
        <w:right w:val="none" w:sz="0" w:space="0" w:color="auto"/>
      </w:divBdr>
    </w:div>
    <w:div w:id="689720226">
      <w:bodyDiv w:val="1"/>
      <w:marLeft w:val="0"/>
      <w:marRight w:val="0"/>
      <w:marTop w:val="0"/>
      <w:marBottom w:val="0"/>
      <w:divBdr>
        <w:top w:val="none" w:sz="0" w:space="0" w:color="auto"/>
        <w:left w:val="none" w:sz="0" w:space="0" w:color="auto"/>
        <w:bottom w:val="none" w:sz="0" w:space="0" w:color="auto"/>
        <w:right w:val="none" w:sz="0" w:space="0" w:color="auto"/>
      </w:divBdr>
    </w:div>
    <w:div w:id="689839480">
      <w:bodyDiv w:val="1"/>
      <w:marLeft w:val="0"/>
      <w:marRight w:val="0"/>
      <w:marTop w:val="0"/>
      <w:marBottom w:val="0"/>
      <w:divBdr>
        <w:top w:val="none" w:sz="0" w:space="0" w:color="auto"/>
        <w:left w:val="none" w:sz="0" w:space="0" w:color="auto"/>
        <w:bottom w:val="none" w:sz="0" w:space="0" w:color="auto"/>
        <w:right w:val="none" w:sz="0" w:space="0" w:color="auto"/>
      </w:divBdr>
    </w:div>
    <w:div w:id="690103731">
      <w:bodyDiv w:val="1"/>
      <w:marLeft w:val="0"/>
      <w:marRight w:val="0"/>
      <w:marTop w:val="0"/>
      <w:marBottom w:val="0"/>
      <w:divBdr>
        <w:top w:val="none" w:sz="0" w:space="0" w:color="auto"/>
        <w:left w:val="none" w:sz="0" w:space="0" w:color="auto"/>
        <w:bottom w:val="none" w:sz="0" w:space="0" w:color="auto"/>
        <w:right w:val="none" w:sz="0" w:space="0" w:color="auto"/>
      </w:divBdr>
    </w:div>
    <w:div w:id="690225436">
      <w:bodyDiv w:val="1"/>
      <w:marLeft w:val="0"/>
      <w:marRight w:val="0"/>
      <w:marTop w:val="0"/>
      <w:marBottom w:val="0"/>
      <w:divBdr>
        <w:top w:val="none" w:sz="0" w:space="0" w:color="auto"/>
        <w:left w:val="none" w:sz="0" w:space="0" w:color="auto"/>
        <w:bottom w:val="none" w:sz="0" w:space="0" w:color="auto"/>
        <w:right w:val="none" w:sz="0" w:space="0" w:color="auto"/>
      </w:divBdr>
      <w:divsChild>
        <w:div w:id="519050318">
          <w:marLeft w:val="0"/>
          <w:marRight w:val="0"/>
          <w:marTop w:val="0"/>
          <w:marBottom w:val="0"/>
          <w:divBdr>
            <w:top w:val="none" w:sz="0" w:space="0" w:color="auto"/>
            <w:left w:val="none" w:sz="0" w:space="0" w:color="auto"/>
            <w:bottom w:val="none" w:sz="0" w:space="0" w:color="auto"/>
            <w:right w:val="none" w:sz="0" w:space="0" w:color="auto"/>
          </w:divBdr>
        </w:div>
        <w:div w:id="1969503993">
          <w:marLeft w:val="0"/>
          <w:marRight w:val="0"/>
          <w:marTop w:val="0"/>
          <w:marBottom w:val="0"/>
          <w:divBdr>
            <w:top w:val="none" w:sz="0" w:space="0" w:color="auto"/>
            <w:left w:val="none" w:sz="0" w:space="0" w:color="auto"/>
            <w:bottom w:val="none" w:sz="0" w:space="0" w:color="auto"/>
            <w:right w:val="none" w:sz="0" w:space="0" w:color="auto"/>
          </w:divBdr>
        </w:div>
        <w:div w:id="1582787805">
          <w:marLeft w:val="0"/>
          <w:marRight w:val="0"/>
          <w:marTop w:val="0"/>
          <w:marBottom w:val="0"/>
          <w:divBdr>
            <w:top w:val="none" w:sz="0" w:space="0" w:color="auto"/>
            <w:left w:val="none" w:sz="0" w:space="0" w:color="auto"/>
            <w:bottom w:val="none" w:sz="0" w:space="0" w:color="auto"/>
            <w:right w:val="none" w:sz="0" w:space="0" w:color="auto"/>
          </w:divBdr>
        </w:div>
        <w:div w:id="3099367">
          <w:marLeft w:val="0"/>
          <w:marRight w:val="0"/>
          <w:marTop w:val="0"/>
          <w:marBottom w:val="0"/>
          <w:divBdr>
            <w:top w:val="none" w:sz="0" w:space="0" w:color="auto"/>
            <w:left w:val="none" w:sz="0" w:space="0" w:color="auto"/>
            <w:bottom w:val="none" w:sz="0" w:space="0" w:color="auto"/>
            <w:right w:val="none" w:sz="0" w:space="0" w:color="auto"/>
          </w:divBdr>
        </w:div>
      </w:divsChild>
    </w:div>
    <w:div w:id="690570781">
      <w:bodyDiv w:val="1"/>
      <w:marLeft w:val="0"/>
      <w:marRight w:val="0"/>
      <w:marTop w:val="0"/>
      <w:marBottom w:val="0"/>
      <w:divBdr>
        <w:top w:val="none" w:sz="0" w:space="0" w:color="auto"/>
        <w:left w:val="none" w:sz="0" w:space="0" w:color="auto"/>
        <w:bottom w:val="none" w:sz="0" w:space="0" w:color="auto"/>
        <w:right w:val="none" w:sz="0" w:space="0" w:color="auto"/>
      </w:divBdr>
    </w:div>
    <w:div w:id="690689578">
      <w:bodyDiv w:val="1"/>
      <w:marLeft w:val="0"/>
      <w:marRight w:val="0"/>
      <w:marTop w:val="0"/>
      <w:marBottom w:val="0"/>
      <w:divBdr>
        <w:top w:val="none" w:sz="0" w:space="0" w:color="auto"/>
        <w:left w:val="none" w:sz="0" w:space="0" w:color="auto"/>
        <w:bottom w:val="none" w:sz="0" w:space="0" w:color="auto"/>
        <w:right w:val="none" w:sz="0" w:space="0" w:color="auto"/>
      </w:divBdr>
    </w:div>
    <w:div w:id="690909655">
      <w:bodyDiv w:val="1"/>
      <w:marLeft w:val="0"/>
      <w:marRight w:val="0"/>
      <w:marTop w:val="0"/>
      <w:marBottom w:val="0"/>
      <w:divBdr>
        <w:top w:val="none" w:sz="0" w:space="0" w:color="auto"/>
        <w:left w:val="none" w:sz="0" w:space="0" w:color="auto"/>
        <w:bottom w:val="none" w:sz="0" w:space="0" w:color="auto"/>
        <w:right w:val="none" w:sz="0" w:space="0" w:color="auto"/>
      </w:divBdr>
    </w:div>
    <w:div w:id="691224341">
      <w:bodyDiv w:val="1"/>
      <w:marLeft w:val="0"/>
      <w:marRight w:val="0"/>
      <w:marTop w:val="0"/>
      <w:marBottom w:val="0"/>
      <w:divBdr>
        <w:top w:val="none" w:sz="0" w:space="0" w:color="auto"/>
        <w:left w:val="none" w:sz="0" w:space="0" w:color="auto"/>
        <w:bottom w:val="none" w:sz="0" w:space="0" w:color="auto"/>
        <w:right w:val="none" w:sz="0" w:space="0" w:color="auto"/>
      </w:divBdr>
    </w:div>
    <w:div w:id="691692449">
      <w:bodyDiv w:val="1"/>
      <w:marLeft w:val="0"/>
      <w:marRight w:val="0"/>
      <w:marTop w:val="0"/>
      <w:marBottom w:val="0"/>
      <w:divBdr>
        <w:top w:val="none" w:sz="0" w:space="0" w:color="auto"/>
        <w:left w:val="none" w:sz="0" w:space="0" w:color="auto"/>
        <w:bottom w:val="none" w:sz="0" w:space="0" w:color="auto"/>
        <w:right w:val="none" w:sz="0" w:space="0" w:color="auto"/>
      </w:divBdr>
    </w:div>
    <w:div w:id="692345701">
      <w:bodyDiv w:val="1"/>
      <w:marLeft w:val="0"/>
      <w:marRight w:val="0"/>
      <w:marTop w:val="0"/>
      <w:marBottom w:val="0"/>
      <w:divBdr>
        <w:top w:val="none" w:sz="0" w:space="0" w:color="auto"/>
        <w:left w:val="none" w:sz="0" w:space="0" w:color="auto"/>
        <w:bottom w:val="none" w:sz="0" w:space="0" w:color="auto"/>
        <w:right w:val="none" w:sz="0" w:space="0" w:color="auto"/>
      </w:divBdr>
    </w:div>
    <w:div w:id="692996331">
      <w:bodyDiv w:val="1"/>
      <w:marLeft w:val="0"/>
      <w:marRight w:val="0"/>
      <w:marTop w:val="0"/>
      <w:marBottom w:val="0"/>
      <w:divBdr>
        <w:top w:val="none" w:sz="0" w:space="0" w:color="auto"/>
        <w:left w:val="none" w:sz="0" w:space="0" w:color="auto"/>
        <w:bottom w:val="none" w:sz="0" w:space="0" w:color="auto"/>
        <w:right w:val="none" w:sz="0" w:space="0" w:color="auto"/>
      </w:divBdr>
    </w:div>
    <w:div w:id="693503705">
      <w:bodyDiv w:val="1"/>
      <w:marLeft w:val="0"/>
      <w:marRight w:val="0"/>
      <w:marTop w:val="0"/>
      <w:marBottom w:val="0"/>
      <w:divBdr>
        <w:top w:val="none" w:sz="0" w:space="0" w:color="auto"/>
        <w:left w:val="none" w:sz="0" w:space="0" w:color="auto"/>
        <w:bottom w:val="none" w:sz="0" w:space="0" w:color="auto"/>
        <w:right w:val="none" w:sz="0" w:space="0" w:color="auto"/>
      </w:divBdr>
    </w:div>
    <w:div w:id="693582720">
      <w:bodyDiv w:val="1"/>
      <w:marLeft w:val="0"/>
      <w:marRight w:val="0"/>
      <w:marTop w:val="0"/>
      <w:marBottom w:val="0"/>
      <w:divBdr>
        <w:top w:val="none" w:sz="0" w:space="0" w:color="auto"/>
        <w:left w:val="none" w:sz="0" w:space="0" w:color="auto"/>
        <w:bottom w:val="none" w:sz="0" w:space="0" w:color="auto"/>
        <w:right w:val="none" w:sz="0" w:space="0" w:color="auto"/>
      </w:divBdr>
    </w:div>
    <w:div w:id="693772464">
      <w:bodyDiv w:val="1"/>
      <w:marLeft w:val="0"/>
      <w:marRight w:val="0"/>
      <w:marTop w:val="0"/>
      <w:marBottom w:val="0"/>
      <w:divBdr>
        <w:top w:val="none" w:sz="0" w:space="0" w:color="auto"/>
        <w:left w:val="none" w:sz="0" w:space="0" w:color="auto"/>
        <w:bottom w:val="none" w:sz="0" w:space="0" w:color="auto"/>
        <w:right w:val="none" w:sz="0" w:space="0" w:color="auto"/>
      </w:divBdr>
    </w:div>
    <w:div w:id="693921080">
      <w:bodyDiv w:val="1"/>
      <w:marLeft w:val="0"/>
      <w:marRight w:val="0"/>
      <w:marTop w:val="0"/>
      <w:marBottom w:val="0"/>
      <w:divBdr>
        <w:top w:val="none" w:sz="0" w:space="0" w:color="auto"/>
        <w:left w:val="none" w:sz="0" w:space="0" w:color="auto"/>
        <w:bottom w:val="none" w:sz="0" w:space="0" w:color="auto"/>
        <w:right w:val="none" w:sz="0" w:space="0" w:color="auto"/>
      </w:divBdr>
    </w:div>
    <w:div w:id="694698658">
      <w:bodyDiv w:val="1"/>
      <w:marLeft w:val="0"/>
      <w:marRight w:val="0"/>
      <w:marTop w:val="0"/>
      <w:marBottom w:val="0"/>
      <w:divBdr>
        <w:top w:val="none" w:sz="0" w:space="0" w:color="auto"/>
        <w:left w:val="none" w:sz="0" w:space="0" w:color="auto"/>
        <w:bottom w:val="none" w:sz="0" w:space="0" w:color="auto"/>
        <w:right w:val="none" w:sz="0" w:space="0" w:color="auto"/>
      </w:divBdr>
    </w:div>
    <w:div w:id="695152801">
      <w:bodyDiv w:val="1"/>
      <w:marLeft w:val="0"/>
      <w:marRight w:val="0"/>
      <w:marTop w:val="0"/>
      <w:marBottom w:val="0"/>
      <w:divBdr>
        <w:top w:val="none" w:sz="0" w:space="0" w:color="auto"/>
        <w:left w:val="none" w:sz="0" w:space="0" w:color="auto"/>
        <w:bottom w:val="none" w:sz="0" w:space="0" w:color="auto"/>
        <w:right w:val="none" w:sz="0" w:space="0" w:color="auto"/>
      </w:divBdr>
    </w:div>
    <w:div w:id="695817080">
      <w:bodyDiv w:val="1"/>
      <w:marLeft w:val="0"/>
      <w:marRight w:val="0"/>
      <w:marTop w:val="0"/>
      <w:marBottom w:val="0"/>
      <w:divBdr>
        <w:top w:val="none" w:sz="0" w:space="0" w:color="auto"/>
        <w:left w:val="none" w:sz="0" w:space="0" w:color="auto"/>
        <w:bottom w:val="none" w:sz="0" w:space="0" w:color="auto"/>
        <w:right w:val="none" w:sz="0" w:space="0" w:color="auto"/>
      </w:divBdr>
    </w:div>
    <w:div w:id="696543773">
      <w:bodyDiv w:val="1"/>
      <w:marLeft w:val="0"/>
      <w:marRight w:val="0"/>
      <w:marTop w:val="0"/>
      <w:marBottom w:val="0"/>
      <w:divBdr>
        <w:top w:val="none" w:sz="0" w:space="0" w:color="auto"/>
        <w:left w:val="none" w:sz="0" w:space="0" w:color="auto"/>
        <w:bottom w:val="none" w:sz="0" w:space="0" w:color="auto"/>
        <w:right w:val="none" w:sz="0" w:space="0" w:color="auto"/>
      </w:divBdr>
    </w:div>
    <w:div w:id="696779621">
      <w:bodyDiv w:val="1"/>
      <w:marLeft w:val="0"/>
      <w:marRight w:val="0"/>
      <w:marTop w:val="0"/>
      <w:marBottom w:val="0"/>
      <w:divBdr>
        <w:top w:val="none" w:sz="0" w:space="0" w:color="auto"/>
        <w:left w:val="none" w:sz="0" w:space="0" w:color="auto"/>
        <w:bottom w:val="none" w:sz="0" w:space="0" w:color="auto"/>
        <w:right w:val="none" w:sz="0" w:space="0" w:color="auto"/>
      </w:divBdr>
    </w:div>
    <w:div w:id="697125671">
      <w:bodyDiv w:val="1"/>
      <w:marLeft w:val="0"/>
      <w:marRight w:val="0"/>
      <w:marTop w:val="0"/>
      <w:marBottom w:val="0"/>
      <w:divBdr>
        <w:top w:val="none" w:sz="0" w:space="0" w:color="auto"/>
        <w:left w:val="none" w:sz="0" w:space="0" w:color="auto"/>
        <w:bottom w:val="none" w:sz="0" w:space="0" w:color="auto"/>
        <w:right w:val="none" w:sz="0" w:space="0" w:color="auto"/>
      </w:divBdr>
    </w:div>
    <w:div w:id="697505682">
      <w:bodyDiv w:val="1"/>
      <w:marLeft w:val="0"/>
      <w:marRight w:val="0"/>
      <w:marTop w:val="0"/>
      <w:marBottom w:val="0"/>
      <w:divBdr>
        <w:top w:val="none" w:sz="0" w:space="0" w:color="auto"/>
        <w:left w:val="none" w:sz="0" w:space="0" w:color="auto"/>
        <w:bottom w:val="none" w:sz="0" w:space="0" w:color="auto"/>
        <w:right w:val="none" w:sz="0" w:space="0" w:color="auto"/>
      </w:divBdr>
    </w:div>
    <w:div w:id="697774820">
      <w:bodyDiv w:val="1"/>
      <w:marLeft w:val="0"/>
      <w:marRight w:val="0"/>
      <w:marTop w:val="0"/>
      <w:marBottom w:val="0"/>
      <w:divBdr>
        <w:top w:val="none" w:sz="0" w:space="0" w:color="auto"/>
        <w:left w:val="none" w:sz="0" w:space="0" w:color="auto"/>
        <w:bottom w:val="none" w:sz="0" w:space="0" w:color="auto"/>
        <w:right w:val="none" w:sz="0" w:space="0" w:color="auto"/>
      </w:divBdr>
    </w:div>
    <w:div w:id="697895015">
      <w:bodyDiv w:val="1"/>
      <w:marLeft w:val="0"/>
      <w:marRight w:val="0"/>
      <w:marTop w:val="0"/>
      <w:marBottom w:val="0"/>
      <w:divBdr>
        <w:top w:val="none" w:sz="0" w:space="0" w:color="auto"/>
        <w:left w:val="none" w:sz="0" w:space="0" w:color="auto"/>
        <w:bottom w:val="none" w:sz="0" w:space="0" w:color="auto"/>
        <w:right w:val="none" w:sz="0" w:space="0" w:color="auto"/>
      </w:divBdr>
    </w:div>
    <w:div w:id="697975473">
      <w:bodyDiv w:val="1"/>
      <w:marLeft w:val="0"/>
      <w:marRight w:val="0"/>
      <w:marTop w:val="0"/>
      <w:marBottom w:val="0"/>
      <w:divBdr>
        <w:top w:val="none" w:sz="0" w:space="0" w:color="auto"/>
        <w:left w:val="none" w:sz="0" w:space="0" w:color="auto"/>
        <w:bottom w:val="none" w:sz="0" w:space="0" w:color="auto"/>
        <w:right w:val="none" w:sz="0" w:space="0" w:color="auto"/>
      </w:divBdr>
    </w:div>
    <w:div w:id="697976380">
      <w:bodyDiv w:val="1"/>
      <w:marLeft w:val="0"/>
      <w:marRight w:val="0"/>
      <w:marTop w:val="0"/>
      <w:marBottom w:val="0"/>
      <w:divBdr>
        <w:top w:val="none" w:sz="0" w:space="0" w:color="auto"/>
        <w:left w:val="none" w:sz="0" w:space="0" w:color="auto"/>
        <w:bottom w:val="none" w:sz="0" w:space="0" w:color="auto"/>
        <w:right w:val="none" w:sz="0" w:space="0" w:color="auto"/>
      </w:divBdr>
    </w:div>
    <w:div w:id="698701974">
      <w:bodyDiv w:val="1"/>
      <w:marLeft w:val="0"/>
      <w:marRight w:val="0"/>
      <w:marTop w:val="0"/>
      <w:marBottom w:val="0"/>
      <w:divBdr>
        <w:top w:val="none" w:sz="0" w:space="0" w:color="auto"/>
        <w:left w:val="none" w:sz="0" w:space="0" w:color="auto"/>
        <w:bottom w:val="none" w:sz="0" w:space="0" w:color="auto"/>
        <w:right w:val="none" w:sz="0" w:space="0" w:color="auto"/>
      </w:divBdr>
    </w:div>
    <w:div w:id="698890870">
      <w:bodyDiv w:val="1"/>
      <w:marLeft w:val="0"/>
      <w:marRight w:val="0"/>
      <w:marTop w:val="0"/>
      <w:marBottom w:val="0"/>
      <w:divBdr>
        <w:top w:val="none" w:sz="0" w:space="0" w:color="auto"/>
        <w:left w:val="none" w:sz="0" w:space="0" w:color="auto"/>
        <w:bottom w:val="none" w:sz="0" w:space="0" w:color="auto"/>
        <w:right w:val="none" w:sz="0" w:space="0" w:color="auto"/>
      </w:divBdr>
    </w:div>
    <w:div w:id="699164437">
      <w:bodyDiv w:val="1"/>
      <w:marLeft w:val="0"/>
      <w:marRight w:val="0"/>
      <w:marTop w:val="0"/>
      <w:marBottom w:val="0"/>
      <w:divBdr>
        <w:top w:val="none" w:sz="0" w:space="0" w:color="auto"/>
        <w:left w:val="none" w:sz="0" w:space="0" w:color="auto"/>
        <w:bottom w:val="none" w:sz="0" w:space="0" w:color="auto"/>
        <w:right w:val="none" w:sz="0" w:space="0" w:color="auto"/>
      </w:divBdr>
    </w:div>
    <w:div w:id="700057770">
      <w:bodyDiv w:val="1"/>
      <w:marLeft w:val="0"/>
      <w:marRight w:val="0"/>
      <w:marTop w:val="0"/>
      <w:marBottom w:val="0"/>
      <w:divBdr>
        <w:top w:val="none" w:sz="0" w:space="0" w:color="auto"/>
        <w:left w:val="none" w:sz="0" w:space="0" w:color="auto"/>
        <w:bottom w:val="none" w:sz="0" w:space="0" w:color="auto"/>
        <w:right w:val="none" w:sz="0" w:space="0" w:color="auto"/>
      </w:divBdr>
    </w:div>
    <w:div w:id="700516702">
      <w:bodyDiv w:val="1"/>
      <w:marLeft w:val="0"/>
      <w:marRight w:val="0"/>
      <w:marTop w:val="0"/>
      <w:marBottom w:val="0"/>
      <w:divBdr>
        <w:top w:val="none" w:sz="0" w:space="0" w:color="auto"/>
        <w:left w:val="none" w:sz="0" w:space="0" w:color="auto"/>
        <w:bottom w:val="none" w:sz="0" w:space="0" w:color="auto"/>
        <w:right w:val="none" w:sz="0" w:space="0" w:color="auto"/>
      </w:divBdr>
    </w:div>
    <w:div w:id="700664042">
      <w:bodyDiv w:val="1"/>
      <w:marLeft w:val="0"/>
      <w:marRight w:val="0"/>
      <w:marTop w:val="0"/>
      <w:marBottom w:val="0"/>
      <w:divBdr>
        <w:top w:val="none" w:sz="0" w:space="0" w:color="auto"/>
        <w:left w:val="none" w:sz="0" w:space="0" w:color="auto"/>
        <w:bottom w:val="none" w:sz="0" w:space="0" w:color="auto"/>
        <w:right w:val="none" w:sz="0" w:space="0" w:color="auto"/>
      </w:divBdr>
    </w:div>
    <w:div w:id="701318813">
      <w:bodyDiv w:val="1"/>
      <w:marLeft w:val="0"/>
      <w:marRight w:val="0"/>
      <w:marTop w:val="0"/>
      <w:marBottom w:val="0"/>
      <w:divBdr>
        <w:top w:val="none" w:sz="0" w:space="0" w:color="auto"/>
        <w:left w:val="none" w:sz="0" w:space="0" w:color="auto"/>
        <w:bottom w:val="none" w:sz="0" w:space="0" w:color="auto"/>
        <w:right w:val="none" w:sz="0" w:space="0" w:color="auto"/>
      </w:divBdr>
    </w:div>
    <w:div w:id="702294369">
      <w:bodyDiv w:val="1"/>
      <w:marLeft w:val="0"/>
      <w:marRight w:val="0"/>
      <w:marTop w:val="0"/>
      <w:marBottom w:val="0"/>
      <w:divBdr>
        <w:top w:val="none" w:sz="0" w:space="0" w:color="auto"/>
        <w:left w:val="none" w:sz="0" w:space="0" w:color="auto"/>
        <w:bottom w:val="none" w:sz="0" w:space="0" w:color="auto"/>
        <w:right w:val="none" w:sz="0" w:space="0" w:color="auto"/>
      </w:divBdr>
    </w:div>
    <w:div w:id="702822468">
      <w:bodyDiv w:val="1"/>
      <w:marLeft w:val="0"/>
      <w:marRight w:val="0"/>
      <w:marTop w:val="0"/>
      <w:marBottom w:val="0"/>
      <w:divBdr>
        <w:top w:val="none" w:sz="0" w:space="0" w:color="auto"/>
        <w:left w:val="none" w:sz="0" w:space="0" w:color="auto"/>
        <w:bottom w:val="none" w:sz="0" w:space="0" w:color="auto"/>
        <w:right w:val="none" w:sz="0" w:space="0" w:color="auto"/>
      </w:divBdr>
    </w:div>
    <w:div w:id="703141089">
      <w:bodyDiv w:val="1"/>
      <w:marLeft w:val="0"/>
      <w:marRight w:val="0"/>
      <w:marTop w:val="0"/>
      <w:marBottom w:val="0"/>
      <w:divBdr>
        <w:top w:val="none" w:sz="0" w:space="0" w:color="auto"/>
        <w:left w:val="none" w:sz="0" w:space="0" w:color="auto"/>
        <w:bottom w:val="none" w:sz="0" w:space="0" w:color="auto"/>
        <w:right w:val="none" w:sz="0" w:space="0" w:color="auto"/>
      </w:divBdr>
    </w:div>
    <w:div w:id="703753320">
      <w:bodyDiv w:val="1"/>
      <w:marLeft w:val="0"/>
      <w:marRight w:val="0"/>
      <w:marTop w:val="0"/>
      <w:marBottom w:val="0"/>
      <w:divBdr>
        <w:top w:val="none" w:sz="0" w:space="0" w:color="auto"/>
        <w:left w:val="none" w:sz="0" w:space="0" w:color="auto"/>
        <w:bottom w:val="none" w:sz="0" w:space="0" w:color="auto"/>
        <w:right w:val="none" w:sz="0" w:space="0" w:color="auto"/>
      </w:divBdr>
    </w:div>
    <w:div w:id="703869641">
      <w:bodyDiv w:val="1"/>
      <w:marLeft w:val="0"/>
      <w:marRight w:val="0"/>
      <w:marTop w:val="0"/>
      <w:marBottom w:val="0"/>
      <w:divBdr>
        <w:top w:val="none" w:sz="0" w:space="0" w:color="auto"/>
        <w:left w:val="none" w:sz="0" w:space="0" w:color="auto"/>
        <w:bottom w:val="none" w:sz="0" w:space="0" w:color="auto"/>
        <w:right w:val="none" w:sz="0" w:space="0" w:color="auto"/>
      </w:divBdr>
    </w:div>
    <w:div w:id="704601200">
      <w:bodyDiv w:val="1"/>
      <w:marLeft w:val="0"/>
      <w:marRight w:val="0"/>
      <w:marTop w:val="0"/>
      <w:marBottom w:val="0"/>
      <w:divBdr>
        <w:top w:val="none" w:sz="0" w:space="0" w:color="auto"/>
        <w:left w:val="none" w:sz="0" w:space="0" w:color="auto"/>
        <w:bottom w:val="none" w:sz="0" w:space="0" w:color="auto"/>
        <w:right w:val="none" w:sz="0" w:space="0" w:color="auto"/>
      </w:divBdr>
    </w:div>
    <w:div w:id="704713036">
      <w:bodyDiv w:val="1"/>
      <w:marLeft w:val="0"/>
      <w:marRight w:val="0"/>
      <w:marTop w:val="0"/>
      <w:marBottom w:val="0"/>
      <w:divBdr>
        <w:top w:val="none" w:sz="0" w:space="0" w:color="auto"/>
        <w:left w:val="none" w:sz="0" w:space="0" w:color="auto"/>
        <w:bottom w:val="none" w:sz="0" w:space="0" w:color="auto"/>
        <w:right w:val="none" w:sz="0" w:space="0" w:color="auto"/>
      </w:divBdr>
    </w:div>
    <w:div w:id="704721698">
      <w:bodyDiv w:val="1"/>
      <w:marLeft w:val="0"/>
      <w:marRight w:val="0"/>
      <w:marTop w:val="0"/>
      <w:marBottom w:val="0"/>
      <w:divBdr>
        <w:top w:val="none" w:sz="0" w:space="0" w:color="auto"/>
        <w:left w:val="none" w:sz="0" w:space="0" w:color="auto"/>
        <w:bottom w:val="none" w:sz="0" w:space="0" w:color="auto"/>
        <w:right w:val="none" w:sz="0" w:space="0" w:color="auto"/>
      </w:divBdr>
    </w:div>
    <w:div w:id="705063036">
      <w:bodyDiv w:val="1"/>
      <w:marLeft w:val="0"/>
      <w:marRight w:val="0"/>
      <w:marTop w:val="0"/>
      <w:marBottom w:val="0"/>
      <w:divBdr>
        <w:top w:val="none" w:sz="0" w:space="0" w:color="auto"/>
        <w:left w:val="none" w:sz="0" w:space="0" w:color="auto"/>
        <w:bottom w:val="none" w:sz="0" w:space="0" w:color="auto"/>
        <w:right w:val="none" w:sz="0" w:space="0" w:color="auto"/>
      </w:divBdr>
    </w:div>
    <w:div w:id="705102468">
      <w:bodyDiv w:val="1"/>
      <w:marLeft w:val="0"/>
      <w:marRight w:val="0"/>
      <w:marTop w:val="0"/>
      <w:marBottom w:val="0"/>
      <w:divBdr>
        <w:top w:val="none" w:sz="0" w:space="0" w:color="auto"/>
        <w:left w:val="none" w:sz="0" w:space="0" w:color="auto"/>
        <w:bottom w:val="none" w:sz="0" w:space="0" w:color="auto"/>
        <w:right w:val="none" w:sz="0" w:space="0" w:color="auto"/>
      </w:divBdr>
    </w:div>
    <w:div w:id="705838315">
      <w:bodyDiv w:val="1"/>
      <w:marLeft w:val="0"/>
      <w:marRight w:val="0"/>
      <w:marTop w:val="0"/>
      <w:marBottom w:val="0"/>
      <w:divBdr>
        <w:top w:val="none" w:sz="0" w:space="0" w:color="auto"/>
        <w:left w:val="none" w:sz="0" w:space="0" w:color="auto"/>
        <w:bottom w:val="none" w:sz="0" w:space="0" w:color="auto"/>
        <w:right w:val="none" w:sz="0" w:space="0" w:color="auto"/>
      </w:divBdr>
    </w:div>
    <w:div w:id="705912274">
      <w:bodyDiv w:val="1"/>
      <w:marLeft w:val="0"/>
      <w:marRight w:val="0"/>
      <w:marTop w:val="0"/>
      <w:marBottom w:val="0"/>
      <w:divBdr>
        <w:top w:val="none" w:sz="0" w:space="0" w:color="auto"/>
        <w:left w:val="none" w:sz="0" w:space="0" w:color="auto"/>
        <w:bottom w:val="none" w:sz="0" w:space="0" w:color="auto"/>
        <w:right w:val="none" w:sz="0" w:space="0" w:color="auto"/>
      </w:divBdr>
    </w:div>
    <w:div w:id="706221381">
      <w:bodyDiv w:val="1"/>
      <w:marLeft w:val="0"/>
      <w:marRight w:val="0"/>
      <w:marTop w:val="0"/>
      <w:marBottom w:val="0"/>
      <w:divBdr>
        <w:top w:val="none" w:sz="0" w:space="0" w:color="auto"/>
        <w:left w:val="none" w:sz="0" w:space="0" w:color="auto"/>
        <w:bottom w:val="none" w:sz="0" w:space="0" w:color="auto"/>
        <w:right w:val="none" w:sz="0" w:space="0" w:color="auto"/>
      </w:divBdr>
    </w:div>
    <w:div w:id="706568639">
      <w:bodyDiv w:val="1"/>
      <w:marLeft w:val="0"/>
      <w:marRight w:val="0"/>
      <w:marTop w:val="0"/>
      <w:marBottom w:val="0"/>
      <w:divBdr>
        <w:top w:val="none" w:sz="0" w:space="0" w:color="auto"/>
        <w:left w:val="none" w:sz="0" w:space="0" w:color="auto"/>
        <w:bottom w:val="none" w:sz="0" w:space="0" w:color="auto"/>
        <w:right w:val="none" w:sz="0" w:space="0" w:color="auto"/>
      </w:divBdr>
    </w:div>
    <w:div w:id="707295526">
      <w:bodyDiv w:val="1"/>
      <w:marLeft w:val="0"/>
      <w:marRight w:val="0"/>
      <w:marTop w:val="0"/>
      <w:marBottom w:val="0"/>
      <w:divBdr>
        <w:top w:val="none" w:sz="0" w:space="0" w:color="auto"/>
        <w:left w:val="none" w:sz="0" w:space="0" w:color="auto"/>
        <w:bottom w:val="none" w:sz="0" w:space="0" w:color="auto"/>
        <w:right w:val="none" w:sz="0" w:space="0" w:color="auto"/>
      </w:divBdr>
    </w:div>
    <w:div w:id="707875107">
      <w:bodyDiv w:val="1"/>
      <w:marLeft w:val="0"/>
      <w:marRight w:val="0"/>
      <w:marTop w:val="0"/>
      <w:marBottom w:val="0"/>
      <w:divBdr>
        <w:top w:val="none" w:sz="0" w:space="0" w:color="auto"/>
        <w:left w:val="none" w:sz="0" w:space="0" w:color="auto"/>
        <w:bottom w:val="none" w:sz="0" w:space="0" w:color="auto"/>
        <w:right w:val="none" w:sz="0" w:space="0" w:color="auto"/>
      </w:divBdr>
    </w:div>
    <w:div w:id="707875306">
      <w:bodyDiv w:val="1"/>
      <w:marLeft w:val="0"/>
      <w:marRight w:val="0"/>
      <w:marTop w:val="0"/>
      <w:marBottom w:val="0"/>
      <w:divBdr>
        <w:top w:val="none" w:sz="0" w:space="0" w:color="auto"/>
        <w:left w:val="none" w:sz="0" w:space="0" w:color="auto"/>
        <w:bottom w:val="none" w:sz="0" w:space="0" w:color="auto"/>
        <w:right w:val="none" w:sz="0" w:space="0" w:color="auto"/>
      </w:divBdr>
    </w:div>
    <w:div w:id="708644487">
      <w:bodyDiv w:val="1"/>
      <w:marLeft w:val="0"/>
      <w:marRight w:val="0"/>
      <w:marTop w:val="0"/>
      <w:marBottom w:val="0"/>
      <w:divBdr>
        <w:top w:val="none" w:sz="0" w:space="0" w:color="auto"/>
        <w:left w:val="none" w:sz="0" w:space="0" w:color="auto"/>
        <w:bottom w:val="none" w:sz="0" w:space="0" w:color="auto"/>
        <w:right w:val="none" w:sz="0" w:space="0" w:color="auto"/>
      </w:divBdr>
    </w:div>
    <w:div w:id="708804449">
      <w:bodyDiv w:val="1"/>
      <w:marLeft w:val="0"/>
      <w:marRight w:val="0"/>
      <w:marTop w:val="0"/>
      <w:marBottom w:val="0"/>
      <w:divBdr>
        <w:top w:val="none" w:sz="0" w:space="0" w:color="auto"/>
        <w:left w:val="none" w:sz="0" w:space="0" w:color="auto"/>
        <w:bottom w:val="none" w:sz="0" w:space="0" w:color="auto"/>
        <w:right w:val="none" w:sz="0" w:space="0" w:color="auto"/>
      </w:divBdr>
    </w:div>
    <w:div w:id="708840650">
      <w:bodyDiv w:val="1"/>
      <w:marLeft w:val="0"/>
      <w:marRight w:val="0"/>
      <w:marTop w:val="0"/>
      <w:marBottom w:val="0"/>
      <w:divBdr>
        <w:top w:val="none" w:sz="0" w:space="0" w:color="auto"/>
        <w:left w:val="none" w:sz="0" w:space="0" w:color="auto"/>
        <w:bottom w:val="none" w:sz="0" w:space="0" w:color="auto"/>
        <w:right w:val="none" w:sz="0" w:space="0" w:color="auto"/>
      </w:divBdr>
    </w:div>
    <w:div w:id="709382150">
      <w:bodyDiv w:val="1"/>
      <w:marLeft w:val="0"/>
      <w:marRight w:val="0"/>
      <w:marTop w:val="0"/>
      <w:marBottom w:val="0"/>
      <w:divBdr>
        <w:top w:val="none" w:sz="0" w:space="0" w:color="auto"/>
        <w:left w:val="none" w:sz="0" w:space="0" w:color="auto"/>
        <w:bottom w:val="none" w:sz="0" w:space="0" w:color="auto"/>
        <w:right w:val="none" w:sz="0" w:space="0" w:color="auto"/>
      </w:divBdr>
    </w:div>
    <w:div w:id="709766544">
      <w:bodyDiv w:val="1"/>
      <w:marLeft w:val="0"/>
      <w:marRight w:val="0"/>
      <w:marTop w:val="0"/>
      <w:marBottom w:val="0"/>
      <w:divBdr>
        <w:top w:val="none" w:sz="0" w:space="0" w:color="auto"/>
        <w:left w:val="none" w:sz="0" w:space="0" w:color="auto"/>
        <w:bottom w:val="none" w:sz="0" w:space="0" w:color="auto"/>
        <w:right w:val="none" w:sz="0" w:space="0" w:color="auto"/>
      </w:divBdr>
    </w:div>
    <w:div w:id="709845839">
      <w:bodyDiv w:val="1"/>
      <w:marLeft w:val="0"/>
      <w:marRight w:val="0"/>
      <w:marTop w:val="0"/>
      <w:marBottom w:val="0"/>
      <w:divBdr>
        <w:top w:val="none" w:sz="0" w:space="0" w:color="auto"/>
        <w:left w:val="none" w:sz="0" w:space="0" w:color="auto"/>
        <w:bottom w:val="none" w:sz="0" w:space="0" w:color="auto"/>
        <w:right w:val="none" w:sz="0" w:space="0" w:color="auto"/>
      </w:divBdr>
    </w:div>
    <w:div w:id="709886398">
      <w:bodyDiv w:val="1"/>
      <w:marLeft w:val="0"/>
      <w:marRight w:val="0"/>
      <w:marTop w:val="0"/>
      <w:marBottom w:val="0"/>
      <w:divBdr>
        <w:top w:val="none" w:sz="0" w:space="0" w:color="auto"/>
        <w:left w:val="none" w:sz="0" w:space="0" w:color="auto"/>
        <w:bottom w:val="none" w:sz="0" w:space="0" w:color="auto"/>
        <w:right w:val="none" w:sz="0" w:space="0" w:color="auto"/>
      </w:divBdr>
    </w:div>
    <w:div w:id="709915743">
      <w:bodyDiv w:val="1"/>
      <w:marLeft w:val="0"/>
      <w:marRight w:val="0"/>
      <w:marTop w:val="0"/>
      <w:marBottom w:val="0"/>
      <w:divBdr>
        <w:top w:val="none" w:sz="0" w:space="0" w:color="auto"/>
        <w:left w:val="none" w:sz="0" w:space="0" w:color="auto"/>
        <w:bottom w:val="none" w:sz="0" w:space="0" w:color="auto"/>
        <w:right w:val="none" w:sz="0" w:space="0" w:color="auto"/>
      </w:divBdr>
    </w:div>
    <w:div w:id="710110116">
      <w:bodyDiv w:val="1"/>
      <w:marLeft w:val="0"/>
      <w:marRight w:val="0"/>
      <w:marTop w:val="0"/>
      <w:marBottom w:val="0"/>
      <w:divBdr>
        <w:top w:val="none" w:sz="0" w:space="0" w:color="auto"/>
        <w:left w:val="none" w:sz="0" w:space="0" w:color="auto"/>
        <w:bottom w:val="none" w:sz="0" w:space="0" w:color="auto"/>
        <w:right w:val="none" w:sz="0" w:space="0" w:color="auto"/>
      </w:divBdr>
    </w:div>
    <w:div w:id="710307219">
      <w:bodyDiv w:val="1"/>
      <w:marLeft w:val="0"/>
      <w:marRight w:val="0"/>
      <w:marTop w:val="0"/>
      <w:marBottom w:val="0"/>
      <w:divBdr>
        <w:top w:val="none" w:sz="0" w:space="0" w:color="auto"/>
        <w:left w:val="none" w:sz="0" w:space="0" w:color="auto"/>
        <w:bottom w:val="none" w:sz="0" w:space="0" w:color="auto"/>
        <w:right w:val="none" w:sz="0" w:space="0" w:color="auto"/>
      </w:divBdr>
    </w:div>
    <w:div w:id="710610588">
      <w:bodyDiv w:val="1"/>
      <w:marLeft w:val="0"/>
      <w:marRight w:val="0"/>
      <w:marTop w:val="0"/>
      <w:marBottom w:val="0"/>
      <w:divBdr>
        <w:top w:val="none" w:sz="0" w:space="0" w:color="auto"/>
        <w:left w:val="none" w:sz="0" w:space="0" w:color="auto"/>
        <w:bottom w:val="none" w:sz="0" w:space="0" w:color="auto"/>
        <w:right w:val="none" w:sz="0" w:space="0" w:color="auto"/>
      </w:divBdr>
    </w:div>
    <w:div w:id="710762073">
      <w:bodyDiv w:val="1"/>
      <w:marLeft w:val="0"/>
      <w:marRight w:val="0"/>
      <w:marTop w:val="0"/>
      <w:marBottom w:val="0"/>
      <w:divBdr>
        <w:top w:val="none" w:sz="0" w:space="0" w:color="auto"/>
        <w:left w:val="none" w:sz="0" w:space="0" w:color="auto"/>
        <w:bottom w:val="none" w:sz="0" w:space="0" w:color="auto"/>
        <w:right w:val="none" w:sz="0" w:space="0" w:color="auto"/>
      </w:divBdr>
    </w:div>
    <w:div w:id="710765618">
      <w:bodyDiv w:val="1"/>
      <w:marLeft w:val="0"/>
      <w:marRight w:val="0"/>
      <w:marTop w:val="0"/>
      <w:marBottom w:val="0"/>
      <w:divBdr>
        <w:top w:val="none" w:sz="0" w:space="0" w:color="auto"/>
        <w:left w:val="none" w:sz="0" w:space="0" w:color="auto"/>
        <w:bottom w:val="none" w:sz="0" w:space="0" w:color="auto"/>
        <w:right w:val="none" w:sz="0" w:space="0" w:color="auto"/>
      </w:divBdr>
    </w:div>
    <w:div w:id="710768348">
      <w:bodyDiv w:val="1"/>
      <w:marLeft w:val="0"/>
      <w:marRight w:val="0"/>
      <w:marTop w:val="0"/>
      <w:marBottom w:val="0"/>
      <w:divBdr>
        <w:top w:val="none" w:sz="0" w:space="0" w:color="auto"/>
        <w:left w:val="none" w:sz="0" w:space="0" w:color="auto"/>
        <w:bottom w:val="none" w:sz="0" w:space="0" w:color="auto"/>
        <w:right w:val="none" w:sz="0" w:space="0" w:color="auto"/>
      </w:divBdr>
    </w:div>
    <w:div w:id="710885667">
      <w:bodyDiv w:val="1"/>
      <w:marLeft w:val="0"/>
      <w:marRight w:val="0"/>
      <w:marTop w:val="0"/>
      <w:marBottom w:val="0"/>
      <w:divBdr>
        <w:top w:val="none" w:sz="0" w:space="0" w:color="auto"/>
        <w:left w:val="none" w:sz="0" w:space="0" w:color="auto"/>
        <w:bottom w:val="none" w:sz="0" w:space="0" w:color="auto"/>
        <w:right w:val="none" w:sz="0" w:space="0" w:color="auto"/>
      </w:divBdr>
    </w:div>
    <w:div w:id="711462585">
      <w:bodyDiv w:val="1"/>
      <w:marLeft w:val="0"/>
      <w:marRight w:val="0"/>
      <w:marTop w:val="0"/>
      <w:marBottom w:val="0"/>
      <w:divBdr>
        <w:top w:val="none" w:sz="0" w:space="0" w:color="auto"/>
        <w:left w:val="none" w:sz="0" w:space="0" w:color="auto"/>
        <w:bottom w:val="none" w:sz="0" w:space="0" w:color="auto"/>
        <w:right w:val="none" w:sz="0" w:space="0" w:color="auto"/>
      </w:divBdr>
    </w:div>
    <w:div w:id="711543056">
      <w:bodyDiv w:val="1"/>
      <w:marLeft w:val="0"/>
      <w:marRight w:val="0"/>
      <w:marTop w:val="0"/>
      <w:marBottom w:val="0"/>
      <w:divBdr>
        <w:top w:val="none" w:sz="0" w:space="0" w:color="auto"/>
        <w:left w:val="none" w:sz="0" w:space="0" w:color="auto"/>
        <w:bottom w:val="none" w:sz="0" w:space="0" w:color="auto"/>
        <w:right w:val="none" w:sz="0" w:space="0" w:color="auto"/>
      </w:divBdr>
    </w:div>
    <w:div w:id="711685726">
      <w:bodyDiv w:val="1"/>
      <w:marLeft w:val="0"/>
      <w:marRight w:val="0"/>
      <w:marTop w:val="0"/>
      <w:marBottom w:val="0"/>
      <w:divBdr>
        <w:top w:val="none" w:sz="0" w:space="0" w:color="auto"/>
        <w:left w:val="none" w:sz="0" w:space="0" w:color="auto"/>
        <w:bottom w:val="none" w:sz="0" w:space="0" w:color="auto"/>
        <w:right w:val="none" w:sz="0" w:space="0" w:color="auto"/>
      </w:divBdr>
    </w:div>
    <w:div w:id="711854013">
      <w:bodyDiv w:val="1"/>
      <w:marLeft w:val="0"/>
      <w:marRight w:val="0"/>
      <w:marTop w:val="0"/>
      <w:marBottom w:val="0"/>
      <w:divBdr>
        <w:top w:val="none" w:sz="0" w:space="0" w:color="auto"/>
        <w:left w:val="none" w:sz="0" w:space="0" w:color="auto"/>
        <w:bottom w:val="none" w:sz="0" w:space="0" w:color="auto"/>
        <w:right w:val="none" w:sz="0" w:space="0" w:color="auto"/>
      </w:divBdr>
    </w:div>
    <w:div w:id="712074768">
      <w:bodyDiv w:val="1"/>
      <w:marLeft w:val="0"/>
      <w:marRight w:val="0"/>
      <w:marTop w:val="0"/>
      <w:marBottom w:val="0"/>
      <w:divBdr>
        <w:top w:val="none" w:sz="0" w:space="0" w:color="auto"/>
        <w:left w:val="none" w:sz="0" w:space="0" w:color="auto"/>
        <w:bottom w:val="none" w:sz="0" w:space="0" w:color="auto"/>
        <w:right w:val="none" w:sz="0" w:space="0" w:color="auto"/>
      </w:divBdr>
    </w:div>
    <w:div w:id="712079213">
      <w:bodyDiv w:val="1"/>
      <w:marLeft w:val="0"/>
      <w:marRight w:val="0"/>
      <w:marTop w:val="0"/>
      <w:marBottom w:val="0"/>
      <w:divBdr>
        <w:top w:val="none" w:sz="0" w:space="0" w:color="auto"/>
        <w:left w:val="none" w:sz="0" w:space="0" w:color="auto"/>
        <w:bottom w:val="none" w:sz="0" w:space="0" w:color="auto"/>
        <w:right w:val="none" w:sz="0" w:space="0" w:color="auto"/>
      </w:divBdr>
    </w:div>
    <w:div w:id="712579615">
      <w:bodyDiv w:val="1"/>
      <w:marLeft w:val="0"/>
      <w:marRight w:val="0"/>
      <w:marTop w:val="0"/>
      <w:marBottom w:val="0"/>
      <w:divBdr>
        <w:top w:val="none" w:sz="0" w:space="0" w:color="auto"/>
        <w:left w:val="none" w:sz="0" w:space="0" w:color="auto"/>
        <w:bottom w:val="none" w:sz="0" w:space="0" w:color="auto"/>
        <w:right w:val="none" w:sz="0" w:space="0" w:color="auto"/>
      </w:divBdr>
    </w:div>
    <w:div w:id="713579506">
      <w:bodyDiv w:val="1"/>
      <w:marLeft w:val="0"/>
      <w:marRight w:val="0"/>
      <w:marTop w:val="0"/>
      <w:marBottom w:val="0"/>
      <w:divBdr>
        <w:top w:val="none" w:sz="0" w:space="0" w:color="auto"/>
        <w:left w:val="none" w:sz="0" w:space="0" w:color="auto"/>
        <w:bottom w:val="none" w:sz="0" w:space="0" w:color="auto"/>
        <w:right w:val="none" w:sz="0" w:space="0" w:color="auto"/>
      </w:divBdr>
    </w:div>
    <w:div w:id="713622905">
      <w:bodyDiv w:val="1"/>
      <w:marLeft w:val="0"/>
      <w:marRight w:val="0"/>
      <w:marTop w:val="0"/>
      <w:marBottom w:val="0"/>
      <w:divBdr>
        <w:top w:val="none" w:sz="0" w:space="0" w:color="auto"/>
        <w:left w:val="none" w:sz="0" w:space="0" w:color="auto"/>
        <w:bottom w:val="none" w:sz="0" w:space="0" w:color="auto"/>
        <w:right w:val="none" w:sz="0" w:space="0" w:color="auto"/>
      </w:divBdr>
    </w:div>
    <w:div w:id="714088601">
      <w:bodyDiv w:val="1"/>
      <w:marLeft w:val="0"/>
      <w:marRight w:val="0"/>
      <w:marTop w:val="0"/>
      <w:marBottom w:val="0"/>
      <w:divBdr>
        <w:top w:val="none" w:sz="0" w:space="0" w:color="auto"/>
        <w:left w:val="none" w:sz="0" w:space="0" w:color="auto"/>
        <w:bottom w:val="none" w:sz="0" w:space="0" w:color="auto"/>
        <w:right w:val="none" w:sz="0" w:space="0" w:color="auto"/>
      </w:divBdr>
    </w:div>
    <w:div w:id="714504138">
      <w:bodyDiv w:val="1"/>
      <w:marLeft w:val="0"/>
      <w:marRight w:val="0"/>
      <w:marTop w:val="0"/>
      <w:marBottom w:val="0"/>
      <w:divBdr>
        <w:top w:val="none" w:sz="0" w:space="0" w:color="auto"/>
        <w:left w:val="none" w:sz="0" w:space="0" w:color="auto"/>
        <w:bottom w:val="none" w:sz="0" w:space="0" w:color="auto"/>
        <w:right w:val="none" w:sz="0" w:space="0" w:color="auto"/>
      </w:divBdr>
    </w:div>
    <w:div w:id="714888035">
      <w:bodyDiv w:val="1"/>
      <w:marLeft w:val="0"/>
      <w:marRight w:val="0"/>
      <w:marTop w:val="0"/>
      <w:marBottom w:val="0"/>
      <w:divBdr>
        <w:top w:val="none" w:sz="0" w:space="0" w:color="auto"/>
        <w:left w:val="none" w:sz="0" w:space="0" w:color="auto"/>
        <w:bottom w:val="none" w:sz="0" w:space="0" w:color="auto"/>
        <w:right w:val="none" w:sz="0" w:space="0" w:color="auto"/>
      </w:divBdr>
    </w:div>
    <w:div w:id="715550808">
      <w:bodyDiv w:val="1"/>
      <w:marLeft w:val="0"/>
      <w:marRight w:val="0"/>
      <w:marTop w:val="0"/>
      <w:marBottom w:val="0"/>
      <w:divBdr>
        <w:top w:val="none" w:sz="0" w:space="0" w:color="auto"/>
        <w:left w:val="none" w:sz="0" w:space="0" w:color="auto"/>
        <w:bottom w:val="none" w:sz="0" w:space="0" w:color="auto"/>
        <w:right w:val="none" w:sz="0" w:space="0" w:color="auto"/>
      </w:divBdr>
    </w:div>
    <w:div w:id="715786648">
      <w:bodyDiv w:val="1"/>
      <w:marLeft w:val="0"/>
      <w:marRight w:val="0"/>
      <w:marTop w:val="0"/>
      <w:marBottom w:val="0"/>
      <w:divBdr>
        <w:top w:val="none" w:sz="0" w:space="0" w:color="auto"/>
        <w:left w:val="none" w:sz="0" w:space="0" w:color="auto"/>
        <w:bottom w:val="none" w:sz="0" w:space="0" w:color="auto"/>
        <w:right w:val="none" w:sz="0" w:space="0" w:color="auto"/>
      </w:divBdr>
    </w:div>
    <w:div w:id="715810573">
      <w:bodyDiv w:val="1"/>
      <w:marLeft w:val="0"/>
      <w:marRight w:val="0"/>
      <w:marTop w:val="0"/>
      <w:marBottom w:val="0"/>
      <w:divBdr>
        <w:top w:val="none" w:sz="0" w:space="0" w:color="auto"/>
        <w:left w:val="none" w:sz="0" w:space="0" w:color="auto"/>
        <w:bottom w:val="none" w:sz="0" w:space="0" w:color="auto"/>
        <w:right w:val="none" w:sz="0" w:space="0" w:color="auto"/>
      </w:divBdr>
    </w:div>
    <w:div w:id="717096376">
      <w:bodyDiv w:val="1"/>
      <w:marLeft w:val="0"/>
      <w:marRight w:val="0"/>
      <w:marTop w:val="0"/>
      <w:marBottom w:val="0"/>
      <w:divBdr>
        <w:top w:val="none" w:sz="0" w:space="0" w:color="auto"/>
        <w:left w:val="none" w:sz="0" w:space="0" w:color="auto"/>
        <w:bottom w:val="none" w:sz="0" w:space="0" w:color="auto"/>
        <w:right w:val="none" w:sz="0" w:space="0" w:color="auto"/>
      </w:divBdr>
    </w:div>
    <w:div w:id="717241891">
      <w:bodyDiv w:val="1"/>
      <w:marLeft w:val="0"/>
      <w:marRight w:val="0"/>
      <w:marTop w:val="0"/>
      <w:marBottom w:val="0"/>
      <w:divBdr>
        <w:top w:val="none" w:sz="0" w:space="0" w:color="auto"/>
        <w:left w:val="none" w:sz="0" w:space="0" w:color="auto"/>
        <w:bottom w:val="none" w:sz="0" w:space="0" w:color="auto"/>
        <w:right w:val="none" w:sz="0" w:space="0" w:color="auto"/>
      </w:divBdr>
    </w:div>
    <w:div w:id="717362889">
      <w:bodyDiv w:val="1"/>
      <w:marLeft w:val="0"/>
      <w:marRight w:val="0"/>
      <w:marTop w:val="0"/>
      <w:marBottom w:val="0"/>
      <w:divBdr>
        <w:top w:val="none" w:sz="0" w:space="0" w:color="auto"/>
        <w:left w:val="none" w:sz="0" w:space="0" w:color="auto"/>
        <w:bottom w:val="none" w:sz="0" w:space="0" w:color="auto"/>
        <w:right w:val="none" w:sz="0" w:space="0" w:color="auto"/>
      </w:divBdr>
    </w:div>
    <w:div w:id="717703025">
      <w:bodyDiv w:val="1"/>
      <w:marLeft w:val="0"/>
      <w:marRight w:val="0"/>
      <w:marTop w:val="0"/>
      <w:marBottom w:val="0"/>
      <w:divBdr>
        <w:top w:val="none" w:sz="0" w:space="0" w:color="auto"/>
        <w:left w:val="none" w:sz="0" w:space="0" w:color="auto"/>
        <w:bottom w:val="none" w:sz="0" w:space="0" w:color="auto"/>
        <w:right w:val="none" w:sz="0" w:space="0" w:color="auto"/>
      </w:divBdr>
    </w:div>
    <w:div w:id="717775527">
      <w:bodyDiv w:val="1"/>
      <w:marLeft w:val="0"/>
      <w:marRight w:val="0"/>
      <w:marTop w:val="0"/>
      <w:marBottom w:val="0"/>
      <w:divBdr>
        <w:top w:val="none" w:sz="0" w:space="0" w:color="auto"/>
        <w:left w:val="none" w:sz="0" w:space="0" w:color="auto"/>
        <w:bottom w:val="none" w:sz="0" w:space="0" w:color="auto"/>
        <w:right w:val="none" w:sz="0" w:space="0" w:color="auto"/>
      </w:divBdr>
    </w:div>
    <w:div w:id="718096171">
      <w:bodyDiv w:val="1"/>
      <w:marLeft w:val="0"/>
      <w:marRight w:val="0"/>
      <w:marTop w:val="0"/>
      <w:marBottom w:val="0"/>
      <w:divBdr>
        <w:top w:val="none" w:sz="0" w:space="0" w:color="auto"/>
        <w:left w:val="none" w:sz="0" w:space="0" w:color="auto"/>
        <w:bottom w:val="none" w:sz="0" w:space="0" w:color="auto"/>
        <w:right w:val="none" w:sz="0" w:space="0" w:color="auto"/>
      </w:divBdr>
    </w:div>
    <w:div w:id="718431228">
      <w:bodyDiv w:val="1"/>
      <w:marLeft w:val="0"/>
      <w:marRight w:val="0"/>
      <w:marTop w:val="0"/>
      <w:marBottom w:val="0"/>
      <w:divBdr>
        <w:top w:val="none" w:sz="0" w:space="0" w:color="auto"/>
        <w:left w:val="none" w:sz="0" w:space="0" w:color="auto"/>
        <w:bottom w:val="none" w:sz="0" w:space="0" w:color="auto"/>
        <w:right w:val="none" w:sz="0" w:space="0" w:color="auto"/>
      </w:divBdr>
    </w:div>
    <w:div w:id="718482310">
      <w:bodyDiv w:val="1"/>
      <w:marLeft w:val="0"/>
      <w:marRight w:val="0"/>
      <w:marTop w:val="0"/>
      <w:marBottom w:val="0"/>
      <w:divBdr>
        <w:top w:val="none" w:sz="0" w:space="0" w:color="auto"/>
        <w:left w:val="none" w:sz="0" w:space="0" w:color="auto"/>
        <w:bottom w:val="none" w:sz="0" w:space="0" w:color="auto"/>
        <w:right w:val="none" w:sz="0" w:space="0" w:color="auto"/>
      </w:divBdr>
    </w:div>
    <w:div w:id="718673849">
      <w:bodyDiv w:val="1"/>
      <w:marLeft w:val="0"/>
      <w:marRight w:val="0"/>
      <w:marTop w:val="0"/>
      <w:marBottom w:val="0"/>
      <w:divBdr>
        <w:top w:val="none" w:sz="0" w:space="0" w:color="auto"/>
        <w:left w:val="none" w:sz="0" w:space="0" w:color="auto"/>
        <w:bottom w:val="none" w:sz="0" w:space="0" w:color="auto"/>
        <w:right w:val="none" w:sz="0" w:space="0" w:color="auto"/>
      </w:divBdr>
    </w:div>
    <w:div w:id="718894721">
      <w:bodyDiv w:val="1"/>
      <w:marLeft w:val="0"/>
      <w:marRight w:val="0"/>
      <w:marTop w:val="0"/>
      <w:marBottom w:val="0"/>
      <w:divBdr>
        <w:top w:val="none" w:sz="0" w:space="0" w:color="auto"/>
        <w:left w:val="none" w:sz="0" w:space="0" w:color="auto"/>
        <w:bottom w:val="none" w:sz="0" w:space="0" w:color="auto"/>
        <w:right w:val="none" w:sz="0" w:space="0" w:color="auto"/>
      </w:divBdr>
    </w:div>
    <w:div w:id="719015361">
      <w:bodyDiv w:val="1"/>
      <w:marLeft w:val="0"/>
      <w:marRight w:val="0"/>
      <w:marTop w:val="0"/>
      <w:marBottom w:val="0"/>
      <w:divBdr>
        <w:top w:val="none" w:sz="0" w:space="0" w:color="auto"/>
        <w:left w:val="none" w:sz="0" w:space="0" w:color="auto"/>
        <w:bottom w:val="none" w:sz="0" w:space="0" w:color="auto"/>
        <w:right w:val="none" w:sz="0" w:space="0" w:color="auto"/>
      </w:divBdr>
    </w:div>
    <w:div w:id="719086248">
      <w:bodyDiv w:val="1"/>
      <w:marLeft w:val="0"/>
      <w:marRight w:val="0"/>
      <w:marTop w:val="0"/>
      <w:marBottom w:val="0"/>
      <w:divBdr>
        <w:top w:val="none" w:sz="0" w:space="0" w:color="auto"/>
        <w:left w:val="none" w:sz="0" w:space="0" w:color="auto"/>
        <w:bottom w:val="none" w:sz="0" w:space="0" w:color="auto"/>
        <w:right w:val="none" w:sz="0" w:space="0" w:color="auto"/>
      </w:divBdr>
    </w:div>
    <w:div w:id="719326374">
      <w:bodyDiv w:val="1"/>
      <w:marLeft w:val="0"/>
      <w:marRight w:val="0"/>
      <w:marTop w:val="0"/>
      <w:marBottom w:val="0"/>
      <w:divBdr>
        <w:top w:val="none" w:sz="0" w:space="0" w:color="auto"/>
        <w:left w:val="none" w:sz="0" w:space="0" w:color="auto"/>
        <w:bottom w:val="none" w:sz="0" w:space="0" w:color="auto"/>
        <w:right w:val="none" w:sz="0" w:space="0" w:color="auto"/>
      </w:divBdr>
    </w:div>
    <w:div w:id="719354864">
      <w:bodyDiv w:val="1"/>
      <w:marLeft w:val="0"/>
      <w:marRight w:val="0"/>
      <w:marTop w:val="0"/>
      <w:marBottom w:val="0"/>
      <w:divBdr>
        <w:top w:val="none" w:sz="0" w:space="0" w:color="auto"/>
        <w:left w:val="none" w:sz="0" w:space="0" w:color="auto"/>
        <w:bottom w:val="none" w:sz="0" w:space="0" w:color="auto"/>
        <w:right w:val="none" w:sz="0" w:space="0" w:color="auto"/>
      </w:divBdr>
    </w:div>
    <w:div w:id="719402234">
      <w:bodyDiv w:val="1"/>
      <w:marLeft w:val="0"/>
      <w:marRight w:val="0"/>
      <w:marTop w:val="0"/>
      <w:marBottom w:val="0"/>
      <w:divBdr>
        <w:top w:val="none" w:sz="0" w:space="0" w:color="auto"/>
        <w:left w:val="none" w:sz="0" w:space="0" w:color="auto"/>
        <w:bottom w:val="none" w:sz="0" w:space="0" w:color="auto"/>
        <w:right w:val="none" w:sz="0" w:space="0" w:color="auto"/>
      </w:divBdr>
    </w:div>
    <w:div w:id="719403047">
      <w:bodyDiv w:val="1"/>
      <w:marLeft w:val="0"/>
      <w:marRight w:val="0"/>
      <w:marTop w:val="0"/>
      <w:marBottom w:val="0"/>
      <w:divBdr>
        <w:top w:val="none" w:sz="0" w:space="0" w:color="auto"/>
        <w:left w:val="none" w:sz="0" w:space="0" w:color="auto"/>
        <w:bottom w:val="none" w:sz="0" w:space="0" w:color="auto"/>
        <w:right w:val="none" w:sz="0" w:space="0" w:color="auto"/>
      </w:divBdr>
    </w:div>
    <w:div w:id="719520200">
      <w:bodyDiv w:val="1"/>
      <w:marLeft w:val="0"/>
      <w:marRight w:val="0"/>
      <w:marTop w:val="0"/>
      <w:marBottom w:val="0"/>
      <w:divBdr>
        <w:top w:val="none" w:sz="0" w:space="0" w:color="auto"/>
        <w:left w:val="none" w:sz="0" w:space="0" w:color="auto"/>
        <w:bottom w:val="none" w:sz="0" w:space="0" w:color="auto"/>
        <w:right w:val="none" w:sz="0" w:space="0" w:color="auto"/>
      </w:divBdr>
    </w:div>
    <w:div w:id="719674884">
      <w:bodyDiv w:val="1"/>
      <w:marLeft w:val="0"/>
      <w:marRight w:val="0"/>
      <w:marTop w:val="0"/>
      <w:marBottom w:val="0"/>
      <w:divBdr>
        <w:top w:val="none" w:sz="0" w:space="0" w:color="auto"/>
        <w:left w:val="none" w:sz="0" w:space="0" w:color="auto"/>
        <w:bottom w:val="none" w:sz="0" w:space="0" w:color="auto"/>
        <w:right w:val="none" w:sz="0" w:space="0" w:color="auto"/>
      </w:divBdr>
    </w:div>
    <w:div w:id="720441607">
      <w:bodyDiv w:val="1"/>
      <w:marLeft w:val="0"/>
      <w:marRight w:val="0"/>
      <w:marTop w:val="0"/>
      <w:marBottom w:val="0"/>
      <w:divBdr>
        <w:top w:val="none" w:sz="0" w:space="0" w:color="auto"/>
        <w:left w:val="none" w:sz="0" w:space="0" w:color="auto"/>
        <w:bottom w:val="none" w:sz="0" w:space="0" w:color="auto"/>
        <w:right w:val="none" w:sz="0" w:space="0" w:color="auto"/>
      </w:divBdr>
    </w:div>
    <w:div w:id="720633892">
      <w:bodyDiv w:val="1"/>
      <w:marLeft w:val="0"/>
      <w:marRight w:val="0"/>
      <w:marTop w:val="0"/>
      <w:marBottom w:val="0"/>
      <w:divBdr>
        <w:top w:val="none" w:sz="0" w:space="0" w:color="auto"/>
        <w:left w:val="none" w:sz="0" w:space="0" w:color="auto"/>
        <w:bottom w:val="none" w:sz="0" w:space="0" w:color="auto"/>
        <w:right w:val="none" w:sz="0" w:space="0" w:color="auto"/>
      </w:divBdr>
    </w:div>
    <w:div w:id="720636109">
      <w:bodyDiv w:val="1"/>
      <w:marLeft w:val="0"/>
      <w:marRight w:val="0"/>
      <w:marTop w:val="0"/>
      <w:marBottom w:val="0"/>
      <w:divBdr>
        <w:top w:val="none" w:sz="0" w:space="0" w:color="auto"/>
        <w:left w:val="none" w:sz="0" w:space="0" w:color="auto"/>
        <w:bottom w:val="none" w:sz="0" w:space="0" w:color="auto"/>
        <w:right w:val="none" w:sz="0" w:space="0" w:color="auto"/>
      </w:divBdr>
    </w:div>
    <w:div w:id="720834071">
      <w:bodyDiv w:val="1"/>
      <w:marLeft w:val="0"/>
      <w:marRight w:val="0"/>
      <w:marTop w:val="0"/>
      <w:marBottom w:val="0"/>
      <w:divBdr>
        <w:top w:val="none" w:sz="0" w:space="0" w:color="auto"/>
        <w:left w:val="none" w:sz="0" w:space="0" w:color="auto"/>
        <w:bottom w:val="none" w:sz="0" w:space="0" w:color="auto"/>
        <w:right w:val="none" w:sz="0" w:space="0" w:color="auto"/>
      </w:divBdr>
    </w:div>
    <w:div w:id="720906941">
      <w:bodyDiv w:val="1"/>
      <w:marLeft w:val="0"/>
      <w:marRight w:val="0"/>
      <w:marTop w:val="0"/>
      <w:marBottom w:val="0"/>
      <w:divBdr>
        <w:top w:val="none" w:sz="0" w:space="0" w:color="auto"/>
        <w:left w:val="none" w:sz="0" w:space="0" w:color="auto"/>
        <w:bottom w:val="none" w:sz="0" w:space="0" w:color="auto"/>
        <w:right w:val="none" w:sz="0" w:space="0" w:color="auto"/>
      </w:divBdr>
    </w:div>
    <w:div w:id="721028863">
      <w:bodyDiv w:val="1"/>
      <w:marLeft w:val="0"/>
      <w:marRight w:val="0"/>
      <w:marTop w:val="0"/>
      <w:marBottom w:val="0"/>
      <w:divBdr>
        <w:top w:val="none" w:sz="0" w:space="0" w:color="auto"/>
        <w:left w:val="none" w:sz="0" w:space="0" w:color="auto"/>
        <w:bottom w:val="none" w:sz="0" w:space="0" w:color="auto"/>
        <w:right w:val="none" w:sz="0" w:space="0" w:color="auto"/>
      </w:divBdr>
    </w:div>
    <w:div w:id="721486018">
      <w:bodyDiv w:val="1"/>
      <w:marLeft w:val="0"/>
      <w:marRight w:val="0"/>
      <w:marTop w:val="0"/>
      <w:marBottom w:val="0"/>
      <w:divBdr>
        <w:top w:val="none" w:sz="0" w:space="0" w:color="auto"/>
        <w:left w:val="none" w:sz="0" w:space="0" w:color="auto"/>
        <w:bottom w:val="none" w:sz="0" w:space="0" w:color="auto"/>
        <w:right w:val="none" w:sz="0" w:space="0" w:color="auto"/>
      </w:divBdr>
    </w:div>
    <w:div w:id="721756371">
      <w:bodyDiv w:val="1"/>
      <w:marLeft w:val="0"/>
      <w:marRight w:val="0"/>
      <w:marTop w:val="0"/>
      <w:marBottom w:val="0"/>
      <w:divBdr>
        <w:top w:val="none" w:sz="0" w:space="0" w:color="auto"/>
        <w:left w:val="none" w:sz="0" w:space="0" w:color="auto"/>
        <w:bottom w:val="none" w:sz="0" w:space="0" w:color="auto"/>
        <w:right w:val="none" w:sz="0" w:space="0" w:color="auto"/>
      </w:divBdr>
    </w:div>
    <w:div w:id="721901077">
      <w:bodyDiv w:val="1"/>
      <w:marLeft w:val="0"/>
      <w:marRight w:val="0"/>
      <w:marTop w:val="0"/>
      <w:marBottom w:val="0"/>
      <w:divBdr>
        <w:top w:val="none" w:sz="0" w:space="0" w:color="auto"/>
        <w:left w:val="none" w:sz="0" w:space="0" w:color="auto"/>
        <w:bottom w:val="none" w:sz="0" w:space="0" w:color="auto"/>
        <w:right w:val="none" w:sz="0" w:space="0" w:color="auto"/>
      </w:divBdr>
    </w:div>
    <w:div w:id="722023465">
      <w:bodyDiv w:val="1"/>
      <w:marLeft w:val="0"/>
      <w:marRight w:val="0"/>
      <w:marTop w:val="0"/>
      <w:marBottom w:val="0"/>
      <w:divBdr>
        <w:top w:val="none" w:sz="0" w:space="0" w:color="auto"/>
        <w:left w:val="none" w:sz="0" w:space="0" w:color="auto"/>
        <w:bottom w:val="none" w:sz="0" w:space="0" w:color="auto"/>
        <w:right w:val="none" w:sz="0" w:space="0" w:color="auto"/>
      </w:divBdr>
    </w:div>
    <w:div w:id="722027166">
      <w:bodyDiv w:val="1"/>
      <w:marLeft w:val="0"/>
      <w:marRight w:val="0"/>
      <w:marTop w:val="0"/>
      <w:marBottom w:val="0"/>
      <w:divBdr>
        <w:top w:val="none" w:sz="0" w:space="0" w:color="auto"/>
        <w:left w:val="none" w:sz="0" w:space="0" w:color="auto"/>
        <w:bottom w:val="none" w:sz="0" w:space="0" w:color="auto"/>
        <w:right w:val="none" w:sz="0" w:space="0" w:color="auto"/>
      </w:divBdr>
    </w:div>
    <w:div w:id="722291107">
      <w:bodyDiv w:val="1"/>
      <w:marLeft w:val="0"/>
      <w:marRight w:val="0"/>
      <w:marTop w:val="0"/>
      <w:marBottom w:val="0"/>
      <w:divBdr>
        <w:top w:val="none" w:sz="0" w:space="0" w:color="auto"/>
        <w:left w:val="none" w:sz="0" w:space="0" w:color="auto"/>
        <w:bottom w:val="none" w:sz="0" w:space="0" w:color="auto"/>
        <w:right w:val="none" w:sz="0" w:space="0" w:color="auto"/>
      </w:divBdr>
    </w:div>
    <w:div w:id="723137180">
      <w:bodyDiv w:val="1"/>
      <w:marLeft w:val="0"/>
      <w:marRight w:val="0"/>
      <w:marTop w:val="0"/>
      <w:marBottom w:val="0"/>
      <w:divBdr>
        <w:top w:val="none" w:sz="0" w:space="0" w:color="auto"/>
        <w:left w:val="none" w:sz="0" w:space="0" w:color="auto"/>
        <w:bottom w:val="none" w:sz="0" w:space="0" w:color="auto"/>
        <w:right w:val="none" w:sz="0" w:space="0" w:color="auto"/>
      </w:divBdr>
    </w:div>
    <w:div w:id="723455582">
      <w:bodyDiv w:val="1"/>
      <w:marLeft w:val="0"/>
      <w:marRight w:val="0"/>
      <w:marTop w:val="0"/>
      <w:marBottom w:val="0"/>
      <w:divBdr>
        <w:top w:val="none" w:sz="0" w:space="0" w:color="auto"/>
        <w:left w:val="none" w:sz="0" w:space="0" w:color="auto"/>
        <w:bottom w:val="none" w:sz="0" w:space="0" w:color="auto"/>
        <w:right w:val="none" w:sz="0" w:space="0" w:color="auto"/>
      </w:divBdr>
    </w:div>
    <w:div w:id="723717879">
      <w:bodyDiv w:val="1"/>
      <w:marLeft w:val="0"/>
      <w:marRight w:val="0"/>
      <w:marTop w:val="0"/>
      <w:marBottom w:val="0"/>
      <w:divBdr>
        <w:top w:val="none" w:sz="0" w:space="0" w:color="auto"/>
        <w:left w:val="none" w:sz="0" w:space="0" w:color="auto"/>
        <w:bottom w:val="none" w:sz="0" w:space="0" w:color="auto"/>
        <w:right w:val="none" w:sz="0" w:space="0" w:color="auto"/>
      </w:divBdr>
    </w:div>
    <w:div w:id="723912010">
      <w:bodyDiv w:val="1"/>
      <w:marLeft w:val="0"/>
      <w:marRight w:val="0"/>
      <w:marTop w:val="0"/>
      <w:marBottom w:val="0"/>
      <w:divBdr>
        <w:top w:val="none" w:sz="0" w:space="0" w:color="auto"/>
        <w:left w:val="none" w:sz="0" w:space="0" w:color="auto"/>
        <w:bottom w:val="none" w:sz="0" w:space="0" w:color="auto"/>
        <w:right w:val="none" w:sz="0" w:space="0" w:color="auto"/>
      </w:divBdr>
    </w:div>
    <w:div w:id="724110494">
      <w:bodyDiv w:val="1"/>
      <w:marLeft w:val="0"/>
      <w:marRight w:val="0"/>
      <w:marTop w:val="0"/>
      <w:marBottom w:val="0"/>
      <w:divBdr>
        <w:top w:val="none" w:sz="0" w:space="0" w:color="auto"/>
        <w:left w:val="none" w:sz="0" w:space="0" w:color="auto"/>
        <w:bottom w:val="none" w:sz="0" w:space="0" w:color="auto"/>
        <w:right w:val="none" w:sz="0" w:space="0" w:color="auto"/>
      </w:divBdr>
    </w:div>
    <w:div w:id="724262407">
      <w:bodyDiv w:val="1"/>
      <w:marLeft w:val="0"/>
      <w:marRight w:val="0"/>
      <w:marTop w:val="0"/>
      <w:marBottom w:val="0"/>
      <w:divBdr>
        <w:top w:val="none" w:sz="0" w:space="0" w:color="auto"/>
        <w:left w:val="none" w:sz="0" w:space="0" w:color="auto"/>
        <w:bottom w:val="none" w:sz="0" w:space="0" w:color="auto"/>
        <w:right w:val="none" w:sz="0" w:space="0" w:color="auto"/>
      </w:divBdr>
    </w:div>
    <w:div w:id="724447695">
      <w:bodyDiv w:val="1"/>
      <w:marLeft w:val="0"/>
      <w:marRight w:val="0"/>
      <w:marTop w:val="0"/>
      <w:marBottom w:val="0"/>
      <w:divBdr>
        <w:top w:val="none" w:sz="0" w:space="0" w:color="auto"/>
        <w:left w:val="none" w:sz="0" w:space="0" w:color="auto"/>
        <w:bottom w:val="none" w:sz="0" w:space="0" w:color="auto"/>
        <w:right w:val="none" w:sz="0" w:space="0" w:color="auto"/>
      </w:divBdr>
    </w:div>
    <w:div w:id="724641080">
      <w:bodyDiv w:val="1"/>
      <w:marLeft w:val="0"/>
      <w:marRight w:val="0"/>
      <w:marTop w:val="0"/>
      <w:marBottom w:val="0"/>
      <w:divBdr>
        <w:top w:val="none" w:sz="0" w:space="0" w:color="auto"/>
        <w:left w:val="none" w:sz="0" w:space="0" w:color="auto"/>
        <w:bottom w:val="none" w:sz="0" w:space="0" w:color="auto"/>
        <w:right w:val="none" w:sz="0" w:space="0" w:color="auto"/>
      </w:divBdr>
    </w:div>
    <w:div w:id="724644969">
      <w:bodyDiv w:val="1"/>
      <w:marLeft w:val="0"/>
      <w:marRight w:val="0"/>
      <w:marTop w:val="0"/>
      <w:marBottom w:val="0"/>
      <w:divBdr>
        <w:top w:val="none" w:sz="0" w:space="0" w:color="auto"/>
        <w:left w:val="none" w:sz="0" w:space="0" w:color="auto"/>
        <w:bottom w:val="none" w:sz="0" w:space="0" w:color="auto"/>
        <w:right w:val="none" w:sz="0" w:space="0" w:color="auto"/>
      </w:divBdr>
    </w:div>
    <w:div w:id="724839178">
      <w:bodyDiv w:val="1"/>
      <w:marLeft w:val="0"/>
      <w:marRight w:val="0"/>
      <w:marTop w:val="0"/>
      <w:marBottom w:val="0"/>
      <w:divBdr>
        <w:top w:val="none" w:sz="0" w:space="0" w:color="auto"/>
        <w:left w:val="none" w:sz="0" w:space="0" w:color="auto"/>
        <w:bottom w:val="none" w:sz="0" w:space="0" w:color="auto"/>
        <w:right w:val="none" w:sz="0" w:space="0" w:color="auto"/>
      </w:divBdr>
    </w:div>
    <w:div w:id="724839851">
      <w:bodyDiv w:val="1"/>
      <w:marLeft w:val="0"/>
      <w:marRight w:val="0"/>
      <w:marTop w:val="0"/>
      <w:marBottom w:val="0"/>
      <w:divBdr>
        <w:top w:val="none" w:sz="0" w:space="0" w:color="auto"/>
        <w:left w:val="none" w:sz="0" w:space="0" w:color="auto"/>
        <w:bottom w:val="none" w:sz="0" w:space="0" w:color="auto"/>
        <w:right w:val="none" w:sz="0" w:space="0" w:color="auto"/>
      </w:divBdr>
    </w:div>
    <w:div w:id="724909005">
      <w:bodyDiv w:val="1"/>
      <w:marLeft w:val="0"/>
      <w:marRight w:val="0"/>
      <w:marTop w:val="0"/>
      <w:marBottom w:val="0"/>
      <w:divBdr>
        <w:top w:val="none" w:sz="0" w:space="0" w:color="auto"/>
        <w:left w:val="none" w:sz="0" w:space="0" w:color="auto"/>
        <w:bottom w:val="none" w:sz="0" w:space="0" w:color="auto"/>
        <w:right w:val="none" w:sz="0" w:space="0" w:color="auto"/>
      </w:divBdr>
    </w:div>
    <w:div w:id="724916941">
      <w:bodyDiv w:val="1"/>
      <w:marLeft w:val="0"/>
      <w:marRight w:val="0"/>
      <w:marTop w:val="0"/>
      <w:marBottom w:val="0"/>
      <w:divBdr>
        <w:top w:val="none" w:sz="0" w:space="0" w:color="auto"/>
        <w:left w:val="none" w:sz="0" w:space="0" w:color="auto"/>
        <w:bottom w:val="none" w:sz="0" w:space="0" w:color="auto"/>
        <w:right w:val="none" w:sz="0" w:space="0" w:color="auto"/>
      </w:divBdr>
    </w:div>
    <w:div w:id="725371702">
      <w:bodyDiv w:val="1"/>
      <w:marLeft w:val="0"/>
      <w:marRight w:val="0"/>
      <w:marTop w:val="0"/>
      <w:marBottom w:val="0"/>
      <w:divBdr>
        <w:top w:val="none" w:sz="0" w:space="0" w:color="auto"/>
        <w:left w:val="none" w:sz="0" w:space="0" w:color="auto"/>
        <w:bottom w:val="none" w:sz="0" w:space="0" w:color="auto"/>
        <w:right w:val="none" w:sz="0" w:space="0" w:color="auto"/>
      </w:divBdr>
    </w:div>
    <w:div w:id="725418744">
      <w:bodyDiv w:val="1"/>
      <w:marLeft w:val="0"/>
      <w:marRight w:val="0"/>
      <w:marTop w:val="0"/>
      <w:marBottom w:val="0"/>
      <w:divBdr>
        <w:top w:val="none" w:sz="0" w:space="0" w:color="auto"/>
        <w:left w:val="none" w:sz="0" w:space="0" w:color="auto"/>
        <w:bottom w:val="none" w:sz="0" w:space="0" w:color="auto"/>
        <w:right w:val="none" w:sz="0" w:space="0" w:color="auto"/>
      </w:divBdr>
    </w:div>
    <w:div w:id="725419108">
      <w:bodyDiv w:val="1"/>
      <w:marLeft w:val="0"/>
      <w:marRight w:val="0"/>
      <w:marTop w:val="0"/>
      <w:marBottom w:val="0"/>
      <w:divBdr>
        <w:top w:val="none" w:sz="0" w:space="0" w:color="auto"/>
        <w:left w:val="none" w:sz="0" w:space="0" w:color="auto"/>
        <w:bottom w:val="none" w:sz="0" w:space="0" w:color="auto"/>
        <w:right w:val="none" w:sz="0" w:space="0" w:color="auto"/>
      </w:divBdr>
    </w:div>
    <w:div w:id="725420352">
      <w:bodyDiv w:val="1"/>
      <w:marLeft w:val="0"/>
      <w:marRight w:val="0"/>
      <w:marTop w:val="0"/>
      <w:marBottom w:val="0"/>
      <w:divBdr>
        <w:top w:val="none" w:sz="0" w:space="0" w:color="auto"/>
        <w:left w:val="none" w:sz="0" w:space="0" w:color="auto"/>
        <w:bottom w:val="none" w:sz="0" w:space="0" w:color="auto"/>
        <w:right w:val="none" w:sz="0" w:space="0" w:color="auto"/>
      </w:divBdr>
    </w:div>
    <w:div w:id="725571326">
      <w:bodyDiv w:val="1"/>
      <w:marLeft w:val="0"/>
      <w:marRight w:val="0"/>
      <w:marTop w:val="0"/>
      <w:marBottom w:val="0"/>
      <w:divBdr>
        <w:top w:val="none" w:sz="0" w:space="0" w:color="auto"/>
        <w:left w:val="none" w:sz="0" w:space="0" w:color="auto"/>
        <w:bottom w:val="none" w:sz="0" w:space="0" w:color="auto"/>
        <w:right w:val="none" w:sz="0" w:space="0" w:color="auto"/>
      </w:divBdr>
    </w:div>
    <w:div w:id="725682930">
      <w:bodyDiv w:val="1"/>
      <w:marLeft w:val="0"/>
      <w:marRight w:val="0"/>
      <w:marTop w:val="0"/>
      <w:marBottom w:val="0"/>
      <w:divBdr>
        <w:top w:val="none" w:sz="0" w:space="0" w:color="auto"/>
        <w:left w:val="none" w:sz="0" w:space="0" w:color="auto"/>
        <w:bottom w:val="none" w:sz="0" w:space="0" w:color="auto"/>
        <w:right w:val="none" w:sz="0" w:space="0" w:color="auto"/>
      </w:divBdr>
    </w:div>
    <w:div w:id="726801681">
      <w:bodyDiv w:val="1"/>
      <w:marLeft w:val="0"/>
      <w:marRight w:val="0"/>
      <w:marTop w:val="0"/>
      <w:marBottom w:val="0"/>
      <w:divBdr>
        <w:top w:val="none" w:sz="0" w:space="0" w:color="auto"/>
        <w:left w:val="none" w:sz="0" w:space="0" w:color="auto"/>
        <w:bottom w:val="none" w:sz="0" w:space="0" w:color="auto"/>
        <w:right w:val="none" w:sz="0" w:space="0" w:color="auto"/>
      </w:divBdr>
    </w:div>
    <w:div w:id="726955507">
      <w:bodyDiv w:val="1"/>
      <w:marLeft w:val="0"/>
      <w:marRight w:val="0"/>
      <w:marTop w:val="0"/>
      <w:marBottom w:val="0"/>
      <w:divBdr>
        <w:top w:val="none" w:sz="0" w:space="0" w:color="auto"/>
        <w:left w:val="none" w:sz="0" w:space="0" w:color="auto"/>
        <w:bottom w:val="none" w:sz="0" w:space="0" w:color="auto"/>
        <w:right w:val="none" w:sz="0" w:space="0" w:color="auto"/>
      </w:divBdr>
    </w:div>
    <w:div w:id="727147184">
      <w:bodyDiv w:val="1"/>
      <w:marLeft w:val="0"/>
      <w:marRight w:val="0"/>
      <w:marTop w:val="0"/>
      <w:marBottom w:val="0"/>
      <w:divBdr>
        <w:top w:val="none" w:sz="0" w:space="0" w:color="auto"/>
        <w:left w:val="none" w:sz="0" w:space="0" w:color="auto"/>
        <w:bottom w:val="none" w:sz="0" w:space="0" w:color="auto"/>
        <w:right w:val="none" w:sz="0" w:space="0" w:color="auto"/>
      </w:divBdr>
    </w:div>
    <w:div w:id="727263735">
      <w:bodyDiv w:val="1"/>
      <w:marLeft w:val="0"/>
      <w:marRight w:val="0"/>
      <w:marTop w:val="0"/>
      <w:marBottom w:val="0"/>
      <w:divBdr>
        <w:top w:val="none" w:sz="0" w:space="0" w:color="auto"/>
        <w:left w:val="none" w:sz="0" w:space="0" w:color="auto"/>
        <w:bottom w:val="none" w:sz="0" w:space="0" w:color="auto"/>
        <w:right w:val="none" w:sz="0" w:space="0" w:color="auto"/>
      </w:divBdr>
    </w:div>
    <w:div w:id="727267080">
      <w:bodyDiv w:val="1"/>
      <w:marLeft w:val="0"/>
      <w:marRight w:val="0"/>
      <w:marTop w:val="0"/>
      <w:marBottom w:val="0"/>
      <w:divBdr>
        <w:top w:val="none" w:sz="0" w:space="0" w:color="auto"/>
        <w:left w:val="none" w:sz="0" w:space="0" w:color="auto"/>
        <w:bottom w:val="none" w:sz="0" w:space="0" w:color="auto"/>
        <w:right w:val="none" w:sz="0" w:space="0" w:color="auto"/>
      </w:divBdr>
    </w:div>
    <w:div w:id="727538497">
      <w:bodyDiv w:val="1"/>
      <w:marLeft w:val="0"/>
      <w:marRight w:val="0"/>
      <w:marTop w:val="0"/>
      <w:marBottom w:val="0"/>
      <w:divBdr>
        <w:top w:val="none" w:sz="0" w:space="0" w:color="auto"/>
        <w:left w:val="none" w:sz="0" w:space="0" w:color="auto"/>
        <w:bottom w:val="none" w:sz="0" w:space="0" w:color="auto"/>
        <w:right w:val="none" w:sz="0" w:space="0" w:color="auto"/>
      </w:divBdr>
    </w:div>
    <w:div w:id="727538584">
      <w:bodyDiv w:val="1"/>
      <w:marLeft w:val="0"/>
      <w:marRight w:val="0"/>
      <w:marTop w:val="0"/>
      <w:marBottom w:val="0"/>
      <w:divBdr>
        <w:top w:val="none" w:sz="0" w:space="0" w:color="auto"/>
        <w:left w:val="none" w:sz="0" w:space="0" w:color="auto"/>
        <w:bottom w:val="none" w:sz="0" w:space="0" w:color="auto"/>
        <w:right w:val="none" w:sz="0" w:space="0" w:color="auto"/>
      </w:divBdr>
    </w:div>
    <w:div w:id="728264941">
      <w:bodyDiv w:val="1"/>
      <w:marLeft w:val="0"/>
      <w:marRight w:val="0"/>
      <w:marTop w:val="0"/>
      <w:marBottom w:val="0"/>
      <w:divBdr>
        <w:top w:val="none" w:sz="0" w:space="0" w:color="auto"/>
        <w:left w:val="none" w:sz="0" w:space="0" w:color="auto"/>
        <w:bottom w:val="none" w:sz="0" w:space="0" w:color="auto"/>
        <w:right w:val="none" w:sz="0" w:space="0" w:color="auto"/>
      </w:divBdr>
    </w:div>
    <w:div w:id="728264971">
      <w:bodyDiv w:val="1"/>
      <w:marLeft w:val="0"/>
      <w:marRight w:val="0"/>
      <w:marTop w:val="0"/>
      <w:marBottom w:val="0"/>
      <w:divBdr>
        <w:top w:val="none" w:sz="0" w:space="0" w:color="auto"/>
        <w:left w:val="none" w:sz="0" w:space="0" w:color="auto"/>
        <w:bottom w:val="none" w:sz="0" w:space="0" w:color="auto"/>
        <w:right w:val="none" w:sz="0" w:space="0" w:color="auto"/>
      </w:divBdr>
    </w:div>
    <w:div w:id="728309227">
      <w:bodyDiv w:val="1"/>
      <w:marLeft w:val="0"/>
      <w:marRight w:val="0"/>
      <w:marTop w:val="0"/>
      <w:marBottom w:val="0"/>
      <w:divBdr>
        <w:top w:val="none" w:sz="0" w:space="0" w:color="auto"/>
        <w:left w:val="none" w:sz="0" w:space="0" w:color="auto"/>
        <w:bottom w:val="none" w:sz="0" w:space="0" w:color="auto"/>
        <w:right w:val="none" w:sz="0" w:space="0" w:color="auto"/>
      </w:divBdr>
    </w:div>
    <w:div w:id="728379939">
      <w:bodyDiv w:val="1"/>
      <w:marLeft w:val="0"/>
      <w:marRight w:val="0"/>
      <w:marTop w:val="0"/>
      <w:marBottom w:val="0"/>
      <w:divBdr>
        <w:top w:val="none" w:sz="0" w:space="0" w:color="auto"/>
        <w:left w:val="none" w:sz="0" w:space="0" w:color="auto"/>
        <w:bottom w:val="none" w:sz="0" w:space="0" w:color="auto"/>
        <w:right w:val="none" w:sz="0" w:space="0" w:color="auto"/>
      </w:divBdr>
    </w:div>
    <w:div w:id="728462659">
      <w:bodyDiv w:val="1"/>
      <w:marLeft w:val="0"/>
      <w:marRight w:val="0"/>
      <w:marTop w:val="0"/>
      <w:marBottom w:val="0"/>
      <w:divBdr>
        <w:top w:val="none" w:sz="0" w:space="0" w:color="auto"/>
        <w:left w:val="none" w:sz="0" w:space="0" w:color="auto"/>
        <w:bottom w:val="none" w:sz="0" w:space="0" w:color="auto"/>
        <w:right w:val="none" w:sz="0" w:space="0" w:color="auto"/>
      </w:divBdr>
    </w:div>
    <w:div w:id="728919531">
      <w:bodyDiv w:val="1"/>
      <w:marLeft w:val="0"/>
      <w:marRight w:val="0"/>
      <w:marTop w:val="0"/>
      <w:marBottom w:val="0"/>
      <w:divBdr>
        <w:top w:val="none" w:sz="0" w:space="0" w:color="auto"/>
        <w:left w:val="none" w:sz="0" w:space="0" w:color="auto"/>
        <w:bottom w:val="none" w:sz="0" w:space="0" w:color="auto"/>
        <w:right w:val="none" w:sz="0" w:space="0" w:color="auto"/>
      </w:divBdr>
    </w:div>
    <w:div w:id="728959237">
      <w:bodyDiv w:val="1"/>
      <w:marLeft w:val="0"/>
      <w:marRight w:val="0"/>
      <w:marTop w:val="0"/>
      <w:marBottom w:val="0"/>
      <w:divBdr>
        <w:top w:val="none" w:sz="0" w:space="0" w:color="auto"/>
        <w:left w:val="none" w:sz="0" w:space="0" w:color="auto"/>
        <w:bottom w:val="none" w:sz="0" w:space="0" w:color="auto"/>
        <w:right w:val="none" w:sz="0" w:space="0" w:color="auto"/>
      </w:divBdr>
    </w:div>
    <w:div w:id="729692374">
      <w:bodyDiv w:val="1"/>
      <w:marLeft w:val="0"/>
      <w:marRight w:val="0"/>
      <w:marTop w:val="0"/>
      <w:marBottom w:val="0"/>
      <w:divBdr>
        <w:top w:val="none" w:sz="0" w:space="0" w:color="auto"/>
        <w:left w:val="none" w:sz="0" w:space="0" w:color="auto"/>
        <w:bottom w:val="none" w:sz="0" w:space="0" w:color="auto"/>
        <w:right w:val="none" w:sz="0" w:space="0" w:color="auto"/>
      </w:divBdr>
    </w:div>
    <w:div w:id="730270673">
      <w:bodyDiv w:val="1"/>
      <w:marLeft w:val="0"/>
      <w:marRight w:val="0"/>
      <w:marTop w:val="0"/>
      <w:marBottom w:val="0"/>
      <w:divBdr>
        <w:top w:val="none" w:sz="0" w:space="0" w:color="auto"/>
        <w:left w:val="none" w:sz="0" w:space="0" w:color="auto"/>
        <w:bottom w:val="none" w:sz="0" w:space="0" w:color="auto"/>
        <w:right w:val="none" w:sz="0" w:space="0" w:color="auto"/>
      </w:divBdr>
    </w:div>
    <w:div w:id="730427412">
      <w:bodyDiv w:val="1"/>
      <w:marLeft w:val="0"/>
      <w:marRight w:val="0"/>
      <w:marTop w:val="0"/>
      <w:marBottom w:val="0"/>
      <w:divBdr>
        <w:top w:val="none" w:sz="0" w:space="0" w:color="auto"/>
        <w:left w:val="none" w:sz="0" w:space="0" w:color="auto"/>
        <w:bottom w:val="none" w:sz="0" w:space="0" w:color="auto"/>
        <w:right w:val="none" w:sz="0" w:space="0" w:color="auto"/>
      </w:divBdr>
    </w:div>
    <w:div w:id="730928294">
      <w:bodyDiv w:val="1"/>
      <w:marLeft w:val="0"/>
      <w:marRight w:val="0"/>
      <w:marTop w:val="0"/>
      <w:marBottom w:val="0"/>
      <w:divBdr>
        <w:top w:val="none" w:sz="0" w:space="0" w:color="auto"/>
        <w:left w:val="none" w:sz="0" w:space="0" w:color="auto"/>
        <w:bottom w:val="none" w:sz="0" w:space="0" w:color="auto"/>
        <w:right w:val="none" w:sz="0" w:space="0" w:color="auto"/>
      </w:divBdr>
    </w:div>
    <w:div w:id="731124073">
      <w:bodyDiv w:val="1"/>
      <w:marLeft w:val="0"/>
      <w:marRight w:val="0"/>
      <w:marTop w:val="0"/>
      <w:marBottom w:val="0"/>
      <w:divBdr>
        <w:top w:val="none" w:sz="0" w:space="0" w:color="auto"/>
        <w:left w:val="none" w:sz="0" w:space="0" w:color="auto"/>
        <w:bottom w:val="none" w:sz="0" w:space="0" w:color="auto"/>
        <w:right w:val="none" w:sz="0" w:space="0" w:color="auto"/>
      </w:divBdr>
    </w:div>
    <w:div w:id="731319330">
      <w:bodyDiv w:val="1"/>
      <w:marLeft w:val="0"/>
      <w:marRight w:val="0"/>
      <w:marTop w:val="0"/>
      <w:marBottom w:val="0"/>
      <w:divBdr>
        <w:top w:val="none" w:sz="0" w:space="0" w:color="auto"/>
        <w:left w:val="none" w:sz="0" w:space="0" w:color="auto"/>
        <w:bottom w:val="none" w:sz="0" w:space="0" w:color="auto"/>
        <w:right w:val="none" w:sz="0" w:space="0" w:color="auto"/>
      </w:divBdr>
    </w:div>
    <w:div w:id="731387161">
      <w:bodyDiv w:val="1"/>
      <w:marLeft w:val="0"/>
      <w:marRight w:val="0"/>
      <w:marTop w:val="0"/>
      <w:marBottom w:val="0"/>
      <w:divBdr>
        <w:top w:val="none" w:sz="0" w:space="0" w:color="auto"/>
        <w:left w:val="none" w:sz="0" w:space="0" w:color="auto"/>
        <w:bottom w:val="none" w:sz="0" w:space="0" w:color="auto"/>
        <w:right w:val="none" w:sz="0" w:space="0" w:color="auto"/>
      </w:divBdr>
    </w:div>
    <w:div w:id="731388273">
      <w:bodyDiv w:val="1"/>
      <w:marLeft w:val="0"/>
      <w:marRight w:val="0"/>
      <w:marTop w:val="0"/>
      <w:marBottom w:val="0"/>
      <w:divBdr>
        <w:top w:val="none" w:sz="0" w:space="0" w:color="auto"/>
        <w:left w:val="none" w:sz="0" w:space="0" w:color="auto"/>
        <w:bottom w:val="none" w:sz="0" w:space="0" w:color="auto"/>
        <w:right w:val="none" w:sz="0" w:space="0" w:color="auto"/>
      </w:divBdr>
    </w:div>
    <w:div w:id="731661213">
      <w:bodyDiv w:val="1"/>
      <w:marLeft w:val="0"/>
      <w:marRight w:val="0"/>
      <w:marTop w:val="0"/>
      <w:marBottom w:val="0"/>
      <w:divBdr>
        <w:top w:val="none" w:sz="0" w:space="0" w:color="auto"/>
        <w:left w:val="none" w:sz="0" w:space="0" w:color="auto"/>
        <w:bottom w:val="none" w:sz="0" w:space="0" w:color="auto"/>
        <w:right w:val="none" w:sz="0" w:space="0" w:color="auto"/>
      </w:divBdr>
    </w:div>
    <w:div w:id="731855578">
      <w:bodyDiv w:val="1"/>
      <w:marLeft w:val="0"/>
      <w:marRight w:val="0"/>
      <w:marTop w:val="0"/>
      <w:marBottom w:val="0"/>
      <w:divBdr>
        <w:top w:val="none" w:sz="0" w:space="0" w:color="auto"/>
        <w:left w:val="none" w:sz="0" w:space="0" w:color="auto"/>
        <w:bottom w:val="none" w:sz="0" w:space="0" w:color="auto"/>
        <w:right w:val="none" w:sz="0" w:space="0" w:color="auto"/>
      </w:divBdr>
    </w:div>
    <w:div w:id="732242183">
      <w:bodyDiv w:val="1"/>
      <w:marLeft w:val="0"/>
      <w:marRight w:val="0"/>
      <w:marTop w:val="0"/>
      <w:marBottom w:val="0"/>
      <w:divBdr>
        <w:top w:val="none" w:sz="0" w:space="0" w:color="auto"/>
        <w:left w:val="none" w:sz="0" w:space="0" w:color="auto"/>
        <w:bottom w:val="none" w:sz="0" w:space="0" w:color="auto"/>
        <w:right w:val="none" w:sz="0" w:space="0" w:color="auto"/>
      </w:divBdr>
    </w:div>
    <w:div w:id="732774330">
      <w:bodyDiv w:val="1"/>
      <w:marLeft w:val="0"/>
      <w:marRight w:val="0"/>
      <w:marTop w:val="0"/>
      <w:marBottom w:val="0"/>
      <w:divBdr>
        <w:top w:val="none" w:sz="0" w:space="0" w:color="auto"/>
        <w:left w:val="none" w:sz="0" w:space="0" w:color="auto"/>
        <w:bottom w:val="none" w:sz="0" w:space="0" w:color="auto"/>
        <w:right w:val="none" w:sz="0" w:space="0" w:color="auto"/>
      </w:divBdr>
    </w:div>
    <w:div w:id="733086460">
      <w:bodyDiv w:val="1"/>
      <w:marLeft w:val="0"/>
      <w:marRight w:val="0"/>
      <w:marTop w:val="0"/>
      <w:marBottom w:val="0"/>
      <w:divBdr>
        <w:top w:val="none" w:sz="0" w:space="0" w:color="auto"/>
        <w:left w:val="none" w:sz="0" w:space="0" w:color="auto"/>
        <w:bottom w:val="none" w:sz="0" w:space="0" w:color="auto"/>
        <w:right w:val="none" w:sz="0" w:space="0" w:color="auto"/>
      </w:divBdr>
    </w:div>
    <w:div w:id="733510074">
      <w:bodyDiv w:val="1"/>
      <w:marLeft w:val="0"/>
      <w:marRight w:val="0"/>
      <w:marTop w:val="0"/>
      <w:marBottom w:val="0"/>
      <w:divBdr>
        <w:top w:val="none" w:sz="0" w:space="0" w:color="auto"/>
        <w:left w:val="none" w:sz="0" w:space="0" w:color="auto"/>
        <w:bottom w:val="none" w:sz="0" w:space="0" w:color="auto"/>
        <w:right w:val="none" w:sz="0" w:space="0" w:color="auto"/>
      </w:divBdr>
    </w:div>
    <w:div w:id="733621158">
      <w:bodyDiv w:val="1"/>
      <w:marLeft w:val="0"/>
      <w:marRight w:val="0"/>
      <w:marTop w:val="0"/>
      <w:marBottom w:val="0"/>
      <w:divBdr>
        <w:top w:val="none" w:sz="0" w:space="0" w:color="auto"/>
        <w:left w:val="none" w:sz="0" w:space="0" w:color="auto"/>
        <w:bottom w:val="none" w:sz="0" w:space="0" w:color="auto"/>
        <w:right w:val="none" w:sz="0" w:space="0" w:color="auto"/>
      </w:divBdr>
    </w:div>
    <w:div w:id="733964133">
      <w:bodyDiv w:val="1"/>
      <w:marLeft w:val="0"/>
      <w:marRight w:val="0"/>
      <w:marTop w:val="0"/>
      <w:marBottom w:val="0"/>
      <w:divBdr>
        <w:top w:val="none" w:sz="0" w:space="0" w:color="auto"/>
        <w:left w:val="none" w:sz="0" w:space="0" w:color="auto"/>
        <w:bottom w:val="none" w:sz="0" w:space="0" w:color="auto"/>
        <w:right w:val="none" w:sz="0" w:space="0" w:color="auto"/>
      </w:divBdr>
    </w:div>
    <w:div w:id="734166753">
      <w:bodyDiv w:val="1"/>
      <w:marLeft w:val="0"/>
      <w:marRight w:val="0"/>
      <w:marTop w:val="0"/>
      <w:marBottom w:val="0"/>
      <w:divBdr>
        <w:top w:val="none" w:sz="0" w:space="0" w:color="auto"/>
        <w:left w:val="none" w:sz="0" w:space="0" w:color="auto"/>
        <w:bottom w:val="none" w:sz="0" w:space="0" w:color="auto"/>
        <w:right w:val="none" w:sz="0" w:space="0" w:color="auto"/>
      </w:divBdr>
    </w:div>
    <w:div w:id="734402014">
      <w:bodyDiv w:val="1"/>
      <w:marLeft w:val="0"/>
      <w:marRight w:val="0"/>
      <w:marTop w:val="0"/>
      <w:marBottom w:val="0"/>
      <w:divBdr>
        <w:top w:val="none" w:sz="0" w:space="0" w:color="auto"/>
        <w:left w:val="none" w:sz="0" w:space="0" w:color="auto"/>
        <w:bottom w:val="none" w:sz="0" w:space="0" w:color="auto"/>
        <w:right w:val="none" w:sz="0" w:space="0" w:color="auto"/>
      </w:divBdr>
    </w:div>
    <w:div w:id="734549255">
      <w:bodyDiv w:val="1"/>
      <w:marLeft w:val="0"/>
      <w:marRight w:val="0"/>
      <w:marTop w:val="0"/>
      <w:marBottom w:val="0"/>
      <w:divBdr>
        <w:top w:val="none" w:sz="0" w:space="0" w:color="auto"/>
        <w:left w:val="none" w:sz="0" w:space="0" w:color="auto"/>
        <w:bottom w:val="none" w:sz="0" w:space="0" w:color="auto"/>
        <w:right w:val="none" w:sz="0" w:space="0" w:color="auto"/>
      </w:divBdr>
    </w:div>
    <w:div w:id="735401312">
      <w:bodyDiv w:val="1"/>
      <w:marLeft w:val="0"/>
      <w:marRight w:val="0"/>
      <w:marTop w:val="0"/>
      <w:marBottom w:val="0"/>
      <w:divBdr>
        <w:top w:val="none" w:sz="0" w:space="0" w:color="auto"/>
        <w:left w:val="none" w:sz="0" w:space="0" w:color="auto"/>
        <w:bottom w:val="none" w:sz="0" w:space="0" w:color="auto"/>
        <w:right w:val="none" w:sz="0" w:space="0" w:color="auto"/>
      </w:divBdr>
    </w:div>
    <w:div w:id="735518478">
      <w:bodyDiv w:val="1"/>
      <w:marLeft w:val="0"/>
      <w:marRight w:val="0"/>
      <w:marTop w:val="0"/>
      <w:marBottom w:val="0"/>
      <w:divBdr>
        <w:top w:val="none" w:sz="0" w:space="0" w:color="auto"/>
        <w:left w:val="none" w:sz="0" w:space="0" w:color="auto"/>
        <w:bottom w:val="none" w:sz="0" w:space="0" w:color="auto"/>
        <w:right w:val="none" w:sz="0" w:space="0" w:color="auto"/>
      </w:divBdr>
    </w:div>
    <w:div w:id="736316953">
      <w:bodyDiv w:val="1"/>
      <w:marLeft w:val="0"/>
      <w:marRight w:val="0"/>
      <w:marTop w:val="0"/>
      <w:marBottom w:val="0"/>
      <w:divBdr>
        <w:top w:val="none" w:sz="0" w:space="0" w:color="auto"/>
        <w:left w:val="none" w:sz="0" w:space="0" w:color="auto"/>
        <w:bottom w:val="none" w:sz="0" w:space="0" w:color="auto"/>
        <w:right w:val="none" w:sz="0" w:space="0" w:color="auto"/>
      </w:divBdr>
    </w:div>
    <w:div w:id="736561933">
      <w:bodyDiv w:val="1"/>
      <w:marLeft w:val="0"/>
      <w:marRight w:val="0"/>
      <w:marTop w:val="0"/>
      <w:marBottom w:val="0"/>
      <w:divBdr>
        <w:top w:val="none" w:sz="0" w:space="0" w:color="auto"/>
        <w:left w:val="none" w:sz="0" w:space="0" w:color="auto"/>
        <w:bottom w:val="none" w:sz="0" w:space="0" w:color="auto"/>
        <w:right w:val="none" w:sz="0" w:space="0" w:color="auto"/>
      </w:divBdr>
    </w:div>
    <w:div w:id="737174278">
      <w:bodyDiv w:val="1"/>
      <w:marLeft w:val="0"/>
      <w:marRight w:val="0"/>
      <w:marTop w:val="0"/>
      <w:marBottom w:val="0"/>
      <w:divBdr>
        <w:top w:val="none" w:sz="0" w:space="0" w:color="auto"/>
        <w:left w:val="none" w:sz="0" w:space="0" w:color="auto"/>
        <w:bottom w:val="none" w:sz="0" w:space="0" w:color="auto"/>
        <w:right w:val="none" w:sz="0" w:space="0" w:color="auto"/>
      </w:divBdr>
    </w:div>
    <w:div w:id="737289012">
      <w:bodyDiv w:val="1"/>
      <w:marLeft w:val="0"/>
      <w:marRight w:val="0"/>
      <w:marTop w:val="0"/>
      <w:marBottom w:val="0"/>
      <w:divBdr>
        <w:top w:val="none" w:sz="0" w:space="0" w:color="auto"/>
        <w:left w:val="none" w:sz="0" w:space="0" w:color="auto"/>
        <w:bottom w:val="none" w:sz="0" w:space="0" w:color="auto"/>
        <w:right w:val="none" w:sz="0" w:space="0" w:color="auto"/>
      </w:divBdr>
    </w:div>
    <w:div w:id="737366635">
      <w:bodyDiv w:val="1"/>
      <w:marLeft w:val="0"/>
      <w:marRight w:val="0"/>
      <w:marTop w:val="0"/>
      <w:marBottom w:val="0"/>
      <w:divBdr>
        <w:top w:val="none" w:sz="0" w:space="0" w:color="auto"/>
        <w:left w:val="none" w:sz="0" w:space="0" w:color="auto"/>
        <w:bottom w:val="none" w:sz="0" w:space="0" w:color="auto"/>
        <w:right w:val="none" w:sz="0" w:space="0" w:color="auto"/>
      </w:divBdr>
    </w:div>
    <w:div w:id="737629771">
      <w:bodyDiv w:val="1"/>
      <w:marLeft w:val="0"/>
      <w:marRight w:val="0"/>
      <w:marTop w:val="0"/>
      <w:marBottom w:val="0"/>
      <w:divBdr>
        <w:top w:val="none" w:sz="0" w:space="0" w:color="auto"/>
        <w:left w:val="none" w:sz="0" w:space="0" w:color="auto"/>
        <w:bottom w:val="none" w:sz="0" w:space="0" w:color="auto"/>
        <w:right w:val="none" w:sz="0" w:space="0" w:color="auto"/>
      </w:divBdr>
    </w:div>
    <w:div w:id="737636188">
      <w:bodyDiv w:val="1"/>
      <w:marLeft w:val="0"/>
      <w:marRight w:val="0"/>
      <w:marTop w:val="0"/>
      <w:marBottom w:val="0"/>
      <w:divBdr>
        <w:top w:val="none" w:sz="0" w:space="0" w:color="auto"/>
        <w:left w:val="none" w:sz="0" w:space="0" w:color="auto"/>
        <w:bottom w:val="none" w:sz="0" w:space="0" w:color="auto"/>
        <w:right w:val="none" w:sz="0" w:space="0" w:color="auto"/>
      </w:divBdr>
    </w:div>
    <w:div w:id="737673839">
      <w:bodyDiv w:val="1"/>
      <w:marLeft w:val="0"/>
      <w:marRight w:val="0"/>
      <w:marTop w:val="0"/>
      <w:marBottom w:val="0"/>
      <w:divBdr>
        <w:top w:val="none" w:sz="0" w:space="0" w:color="auto"/>
        <w:left w:val="none" w:sz="0" w:space="0" w:color="auto"/>
        <w:bottom w:val="none" w:sz="0" w:space="0" w:color="auto"/>
        <w:right w:val="none" w:sz="0" w:space="0" w:color="auto"/>
      </w:divBdr>
    </w:div>
    <w:div w:id="737674520">
      <w:bodyDiv w:val="1"/>
      <w:marLeft w:val="0"/>
      <w:marRight w:val="0"/>
      <w:marTop w:val="0"/>
      <w:marBottom w:val="0"/>
      <w:divBdr>
        <w:top w:val="none" w:sz="0" w:space="0" w:color="auto"/>
        <w:left w:val="none" w:sz="0" w:space="0" w:color="auto"/>
        <w:bottom w:val="none" w:sz="0" w:space="0" w:color="auto"/>
        <w:right w:val="none" w:sz="0" w:space="0" w:color="auto"/>
      </w:divBdr>
    </w:div>
    <w:div w:id="738020199">
      <w:bodyDiv w:val="1"/>
      <w:marLeft w:val="0"/>
      <w:marRight w:val="0"/>
      <w:marTop w:val="0"/>
      <w:marBottom w:val="0"/>
      <w:divBdr>
        <w:top w:val="none" w:sz="0" w:space="0" w:color="auto"/>
        <w:left w:val="none" w:sz="0" w:space="0" w:color="auto"/>
        <w:bottom w:val="none" w:sz="0" w:space="0" w:color="auto"/>
        <w:right w:val="none" w:sz="0" w:space="0" w:color="auto"/>
      </w:divBdr>
    </w:div>
    <w:div w:id="738330521">
      <w:bodyDiv w:val="1"/>
      <w:marLeft w:val="0"/>
      <w:marRight w:val="0"/>
      <w:marTop w:val="0"/>
      <w:marBottom w:val="0"/>
      <w:divBdr>
        <w:top w:val="none" w:sz="0" w:space="0" w:color="auto"/>
        <w:left w:val="none" w:sz="0" w:space="0" w:color="auto"/>
        <w:bottom w:val="none" w:sz="0" w:space="0" w:color="auto"/>
        <w:right w:val="none" w:sz="0" w:space="0" w:color="auto"/>
      </w:divBdr>
    </w:div>
    <w:div w:id="738402240">
      <w:bodyDiv w:val="1"/>
      <w:marLeft w:val="0"/>
      <w:marRight w:val="0"/>
      <w:marTop w:val="0"/>
      <w:marBottom w:val="0"/>
      <w:divBdr>
        <w:top w:val="none" w:sz="0" w:space="0" w:color="auto"/>
        <w:left w:val="none" w:sz="0" w:space="0" w:color="auto"/>
        <w:bottom w:val="none" w:sz="0" w:space="0" w:color="auto"/>
        <w:right w:val="none" w:sz="0" w:space="0" w:color="auto"/>
      </w:divBdr>
    </w:div>
    <w:div w:id="738402696">
      <w:bodyDiv w:val="1"/>
      <w:marLeft w:val="0"/>
      <w:marRight w:val="0"/>
      <w:marTop w:val="0"/>
      <w:marBottom w:val="0"/>
      <w:divBdr>
        <w:top w:val="none" w:sz="0" w:space="0" w:color="auto"/>
        <w:left w:val="none" w:sz="0" w:space="0" w:color="auto"/>
        <w:bottom w:val="none" w:sz="0" w:space="0" w:color="auto"/>
        <w:right w:val="none" w:sz="0" w:space="0" w:color="auto"/>
      </w:divBdr>
    </w:div>
    <w:div w:id="738940939">
      <w:bodyDiv w:val="1"/>
      <w:marLeft w:val="0"/>
      <w:marRight w:val="0"/>
      <w:marTop w:val="0"/>
      <w:marBottom w:val="0"/>
      <w:divBdr>
        <w:top w:val="none" w:sz="0" w:space="0" w:color="auto"/>
        <w:left w:val="none" w:sz="0" w:space="0" w:color="auto"/>
        <w:bottom w:val="none" w:sz="0" w:space="0" w:color="auto"/>
        <w:right w:val="none" w:sz="0" w:space="0" w:color="auto"/>
      </w:divBdr>
    </w:div>
    <w:div w:id="739327784">
      <w:bodyDiv w:val="1"/>
      <w:marLeft w:val="0"/>
      <w:marRight w:val="0"/>
      <w:marTop w:val="0"/>
      <w:marBottom w:val="0"/>
      <w:divBdr>
        <w:top w:val="none" w:sz="0" w:space="0" w:color="auto"/>
        <w:left w:val="none" w:sz="0" w:space="0" w:color="auto"/>
        <w:bottom w:val="none" w:sz="0" w:space="0" w:color="auto"/>
        <w:right w:val="none" w:sz="0" w:space="0" w:color="auto"/>
      </w:divBdr>
    </w:div>
    <w:div w:id="739788487">
      <w:bodyDiv w:val="1"/>
      <w:marLeft w:val="0"/>
      <w:marRight w:val="0"/>
      <w:marTop w:val="0"/>
      <w:marBottom w:val="0"/>
      <w:divBdr>
        <w:top w:val="none" w:sz="0" w:space="0" w:color="auto"/>
        <w:left w:val="none" w:sz="0" w:space="0" w:color="auto"/>
        <w:bottom w:val="none" w:sz="0" w:space="0" w:color="auto"/>
        <w:right w:val="none" w:sz="0" w:space="0" w:color="auto"/>
      </w:divBdr>
    </w:div>
    <w:div w:id="739864326">
      <w:bodyDiv w:val="1"/>
      <w:marLeft w:val="0"/>
      <w:marRight w:val="0"/>
      <w:marTop w:val="0"/>
      <w:marBottom w:val="0"/>
      <w:divBdr>
        <w:top w:val="none" w:sz="0" w:space="0" w:color="auto"/>
        <w:left w:val="none" w:sz="0" w:space="0" w:color="auto"/>
        <w:bottom w:val="none" w:sz="0" w:space="0" w:color="auto"/>
        <w:right w:val="none" w:sz="0" w:space="0" w:color="auto"/>
      </w:divBdr>
    </w:div>
    <w:div w:id="741223599">
      <w:bodyDiv w:val="1"/>
      <w:marLeft w:val="0"/>
      <w:marRight w:val="0"/>
      <w:marTop w:val="0"/>
      <w:marBottom w:val="0"/>
      <w:divBdr>
        <w:top w:val="none" w:sz="0" w:space="0" w:color="auto"/>
        <w:left w:val="none" w:sz="0" w:space="0" w:color="auto"/>
        <w:bottom w:val="none" w:sz="0" w:space="0" w:color="auto"/>
        <w:right w:val="none" w:sz="0" w:space="0" w:color="auto"/>
      </w:divBdr>
    </w:div>
    <w:div w:id="741633949">
      <w:bodyDiv w:val="1"/>
      <w:marLeft w:val="0"/>
      <w:marRight w:val="0"/>
      <w:marTop w:val="0"/>
      <w:marBottom w:val="0"/>
      <w:divBdr>
        <w:top w:val="none" w:sz="0" w:space="0" w:color="auto"/>
        <w:left w:val="none" w:sz="0" w:space="0" w:color="auto"/>
        <w:bottom w:val="none" w:sz="0" w:space="0" w:color="auto"/>
        <w:right w:val="none" w:sz="0" w:space="0" w:color="auto"/>
      </w:divBdr>
    </w:div>
    <w:div w:id="741951926">
      <w:bodyDiv w:val="1"/>
      <w:marLeft w:val="0"/>
      <w:marRight w:val="0"/>
      <w:marTop w:val="0"/>
      <w:marBottom w:val="0"/>
      <w:divBdr>
        <w:top w:val="none" w:sz="0" w:space="0" w:color="auto"/>
        <w:left w:val="none" w:sz="0" w:space="0" w:color="auto"/>
        <w:bottom w:val="none" w:sz="0" w:space="0" w:color="auto"/>
        <w:right w:val="none" w:sz="0" w:space="0" w:color="auto"/>
      </w:divBdr>
    </w:div>
    <w:div w:id="742025613">
      <w:bodyDiv w:val="1"/>
      <w:marLeft w:val="0"/>
      <w:marRight w:val="0"/>
      <w:marTop w:val="0"/>
      <w:marBottom w:val="0"/>
      <w:divBdr>
        <w:top w:val="none" w:sz="0" w:space="0" w:color="auto"/>
        <w:left w:val="none" w:sz="0" w:space="0" w:color="auto"/>
        <w:bottom w:val="none" w:sz="0" w:space="0" w:color="auto"/>
        <w:right w:val="none" w:sz="0" w:space="0" w:color="auto"/>
      </w:divBdr>
    </w:div>
    <w:div w:id="742340723">
      <w:bodyDiv w:val="1"/>
      <w:marLeft w:val="0"/>
      <w:marRight w:val="0"/>
      <w:marTop w:val="0"/>
      <w:marBottom w:val="0"/>
      <w:divBdr>
        <w:top w:val="none" w:sz="0" w:space="0" w:color="auto"/>
        <w:left w:val="none" w:sz="0" w:space="0" w:color="auto"/>
        <w:bottom w:val="none" w:sz="0" w:space="0" w:color="auto"/>
        <w:right w:val="none" w:sz="0" w:space="0" w:color="auto"/>
      </w:divBdr>
    </w:div>
    <w:div w:id="742408122">
      <w:bodyDiv w:val="1"/>
      <w:marLeft w:val="0"/>
      <w:marRight w:val="0"/>
      <w:marTop w:val="0"/>
      <w:marBottom w:val="0"/>
      <w:divBdr>
        <w:top w:val="none" w:sz="0" w:space="0" w:color="auto"/>
        <w:left w:val="none" w:sz="0" w:space="0" w:color="auto"/>
        <w:bottom w:val="none" w:sz="0" w:space="0" w:color="auto"/>
        <w:right w:val="none" w:sz="0" w:space="0" w:color="auto"/>
      </w:divBdr>
    </w:div>
    <w:div w:id="742531682">
      <w:bodyDiv w:val="1"/>
      <w:marLeft w:val="0"/>
      <w:marRight w:val="0"/>
      <w:marTop w:val="0"/>
      <w:marBottom w:val="0"/>
      <w:divBdr>
        <w:top w:val="none" w:sz="0" w:space="0" w:color="auto"/>
        <w:left w:val="none" w:sz="0" w:space="0" w:color="auto"/>
        <w:bottom w:val="none" w:sz="0" w:space="0" w:color="auto"/>
        <w:right w:val="none" w:sz="0" w:space="0" w:color="auto"/>
      </w:divBdr>
    </w:div>
    <w:div w:id="742917825">
      <w:bodyDiv w:val="1"/>
      <w:marLeft w:val="0"/>
      <w:marRight w:val="0"/>
      <w:marTop w:val="0"/>
      <w:marBottom w:val="0"/>
      <w:divBdr>
        <w:top w:val="none" w:sz="0" w:space="0" w:color="auto"/>
        <w:left w:val="none" w:sz="0" w:space="0" w:color="auto"/>
        <w:bottom w:val="none" w:sz="0" w:space="0" w:color="auto"/>
        <w:right w:val="none" w:sz="0" w:space="0" w:color="auto"/>
      </w:divBdr>
    </w:div>
    <w:div w:id="742996284">
      <w:bodyDiv w:val="1"/>
      <w:marLeft w:val="0"/>
      <w:marRight w:val="0"/>
      <w:marTop w:val="0"/>
      <w:marBottom w:val="0"/>
      <w:divBdr>
        <w:top w:val="none" w:sz="0" w:space="0" w:color="auto"/>
        <w:left w:val="none" w:sz="0" w:space="0" w:color="auto"/>
        <w:bottom w:val="none" w:sz="0" w:space="0" w:color="auto"/>
        <w:right w:val="none" w:sz="0" w:space="0" w:color="auto"/>
      </w:divBdr>
    </w:div>
    <w:div w:id="743259643">
      <w:bodyDiv w:val="1"/>
      <w:marLeft w:val="0"/>
      <w:marRight w:val="0"/>
      <w:marTop w:val="0"/>
      <w:marBottom w:val="0"/>
      <w:divBdr>
        <w:top w:val="none" w:sz="0" w:space="0" w:color="auto"/>
        <w:left w:val="none" w:sz="0" w:space="0" w:color="auto"/>
        <w:bottom w:val="none" w:sz="0" w:space="0" w:color="auto"/>
        <w:right w:val="none" w:sz="0" w:space="0" w:color="auto"/>
      </w:divBdr>
    </w:div>
    <w:div w:id="743838994">
      <w:bodyDiv w:val="1"/>
      <w:marLeft w:val="0"/>
      <w:marRight w:val="0"/>
      <w:marTop w:val="0"/>
      <w:marBottom w:val="0"/>
      <w:divBdr>
        <w:top w:val="none" w:sz="0" w:space="0" w:color="auto"/>
        <w:left w:val="none" w:sz="0" w:space="0" w:color="auto"/>
        <w:bottom w:val="none" w:sz="0" w:space="0" w:color="auto"/>
        <w:right w:val="none" w:sz="0" w:space="0" w:color="auto"/>
      </w:divBdr>
    </w:div>
    <w:div w:id="744372875">
      <w:bodyDiv w:val="1"/>
      <w:marLeft w:val="0"/>
      <w:marRight w:val="0"/>
      <w:marTop w:val="0"/>
      <w:marBottom w:val="0"/>
      <w:divBdr>
        <w:top w:val="none" w:sz="0" w:space="0" w:color="auto"/>
        <w:left w:val="none" w:sz="0" w:space="0" w:color="auto"/>
        <w:bottom w:val="none" w:sz="0" w:space="0" w:color="auto"/>
        <w:right w:val="none" w:sz="0" w:space="0" w:color="auto"/>
      </w:divBdr>
    </w:div>
    <w:div w:id="744376439">
      <w:bodyDiv w:val="1"/>
      <w:marLeft w:val="0"/>
      <w:marRight w:val="0"/>
      <w:marTop w:val="0"/>
      <w:marBottom w:val="0"/>
      <w:divBdr>
        <w:top w:val="none" w:sz="0" w:space="0" w:color="auto"/>
        <w:left w:val="none" w:sz="0" w:space="0" w:color="auto"/>
        <w:bottom w:val="none" w:sz="0" w:space="0" w:color="auto"/>
        <w:right w:val="none" w:sz="0" w:space="0" w:color="auto"/>
      </w:divBdr>
    </w:div>
    <w:div w:id="744497630">
      <w:bodyDiv w:val="1"/>
      <w:marLeft w:val="0"/>
      <w:marRight w:val="0"/>
      <w:marTop w:val="0"/>
      <w:marBottom w:val="0"/>
      <w:divBdr>
        <w:top w:val="none" w:sz="0" w:space="0" w:color="auto"/>
        <w:left w:val="none" w:sz="0" w:space="0" w:color="auto"/>
        <w:bottom w:val="none" w:sz="0" w:space="0" w:color="auto"/>
        <w:right w:val="none" w:sz="0" w:space="0" w:color="auto"/>
      </w:divBdr>
    </w:div>
    <w:div w:id="744766995">
      <w:bodyDiv w:val="1"/>
      <w:marLeft w:val="0"/>
      <w:marRight w:val="0"/>
      <w:marTop w:val="0"/>
      <w:marBottom w:val="0"/>
      <w:divBdr>
        <w:top w:val="none" w:sz="0" w:space="0" w:color="auto"/>
        <w:left w:val="none" w:sz="0" w:space="0" w:color="auto"/>
        <w:bottom w:val="none" w:sz="0" w:space="0" w:color="auto"/>
        <w:right w:val="none" w:sz="0" w:space="0" w:color="auto"/>
      </w:divBdr>
    </w:div>
    <w:div w:id="745106323">
      <w:bodyDiv w:val="1"/>
      <w:marLeft w:val="0"/>
      <w:marRight w:val="0"/>
      <w:marTop w:val="0"/>
      <w:marBottom w:val="0"/>
      <w:divBdr>
        <w:top w:val="none" w:sz="0" w:space="0" w:color="auto"/>
        <w:left w:val="none" w:sz="0" w:space="0" w:color="auto"/>
        <w:bottom w:val="none" w:sz="0" w:space="0" w:color="auto"/>
        <w:right w:val="none" w:sz="0" w:space="0" w:color="auto"/>
      </w:divBdr>
    </w:div>
    <w:div w:id="745228560">
      <w:bodyDiv w:val="1"/>
      <w:marLeft w:val="0"/>
      <w:marRight w:val="0"/>
      <w:marTop w:val="0"/>
      <w:marBottom w:val="0"/>
      <w:divBdr>
        <w:top w:val="none" w:sz="0" w:space="0" w:color="auto"/>
        <w:left w:val="none" w:sz="0" w:space="0" w:color="auto"/>
        <w:bottom w:val="none" w:sz="0" w:space="0" w:color="auto"/>
        <w:right w:val="none" w:sz="0" w:space="0" w:color="auto"/>
      </w:divBdr>
    </w:div>
    <w:div w:id="745342214">
      <w:bodyDiv w:val="1"/>
      <w:marLeft w:val="0"/>
      <w:marRight w:val="0"/>
      <w:marTop w:val="0"/>
      <w:marBottom w:val="0"/>
      <w:divBdr>
        <w:top w:val="none" w:sz="0" w:space="0" w:color="auto"/>
        <w:left w:val="none" w:sz="0" w:space="0" w:color="auto"/>
        <w:bottom w:val="none" w:sz="0" w:space="0" w:color="auto"/>
        <w:right w:val="none" w:sz="0" w:space="0" w:color="auto"/>
      </w:divBdr>
    </w:div>
    <w:div w:id="745372492">
      <w:bodyDiv w:val="1"/>
      <w:marLeft w:val="0"/>
      <w:marRight w:val="0"/>
      <w:marTop w:val="0"/>
      <w:marBottom w:val="0"/>
      <w:divBdr>
        <w:top w:val="none" w:sz="0" w:space="0" w:color="auto"/>
        <w:left w:val="none" w:sz="0" w:space="0" w:color="auto"/>
        <w:bottom w:val="none" w:sz="0" w:space="0" w:color="auto"/>
        <w:right w:val="none" w:sz="0" w:space="0" w:color="auto"/>
      </w:divBdr>
    </w:div>
    <w:div w:id="745759201">
      <w:bodyDiv w:val="1"/>
      <w:marLeft w:val="0"/>
      <w:marRight w:val="0"/>
      <w:marTop w:val="0"/>
      <w:marBottom w:val="0"/>
      <w:divBdr>
        <w:top w:val="none" w:sz="0" w:space="0" w:color="auto"/>
        <w:left w:val="none" w:sz="0" w:space="0" w:color="auto"/>
        <w:bottom w:val="none" w:sz="0" w:space="0" w:color="auto"/>
        <w:right w:val="none" w:sz="0" w:space="0" w:color="auto"/>
      </w:divBdr>
    </w:div>
    <w:div w:id="745801628">
      <w:bodyDiv w:val="1"/>
      <w:marLeft w:val="0"/>
      <w:marRight w:val="0"/>
      <w:marTop w:val="0"/>
      <w:marBottom w:val="0"/>
      <w:divBdr>
        <w:top w:val="none" w:sz="0" w:space="0" w:color="auto"/>
        <w:left w:val="none" w:sz="0" w:space="0" w:color="auto"/>
        <w:bottom w:val="none" w:sz="0" w:space="0" w:color="auto"/>
        <w:right w:val="none" w:sz="0" w:space="0" w:color="auto"/>
      </w:divBdr>
    </w:div>
    <w:div w:id="746196259">
      <w:bodyDiv w:val="1"/>
      <w:marLeft w:val="0"/>
      <w:marRight w:val="0"/>
      <w:marTop w:val="0"/>
      <w:marBottom w:val="0"/>
      <w:divBdr>
        <w:top w:val="none" w:sz="0" w:space="0" w:color="auto"/>
        <w:left w:val="none" w:sz="0" w:space="0" w:color="auto"/>
        <w:bottom w:val="none" w:sz="0" w:space="0" w:color="auto"/>
        <w:right w:val="none" w:sz="0" w:space="0" w:color="auto"/>
      </w:divBdr>
    </w:div>
    <w:div w:id="747073716">
      <w:bodyDiv w:val="1"/>
      <w:marLeft w:val="0"/>
      <w:marRight w:val="0"/>
      <w:marTop w:val="0"/>
      <w:marBottom w:val="0"/>
      <w:divBdr>
        <w:top w:val="none" w:sz="0" w:space="0" w:color="auto"/>
        <w:left w:val="none" w:sz="0" w:space="0" w:color="auto"/>
        <w:bottom w:val="none" w:sz="0" w:space="0" w:color="auto"/>
        <w:right w:val="none" w:sz="0" w:space="0" w:color="auto"/>
      </w:divBdr>
    </w:div>
    <w:div w:id="747076337">
      <w:bodyDiv w:val="1"/>
      <w:marLeft w:val="0"/>
      <w:marRight w:val="0"/>
      <w:marTop w:val="0"/>
      <w:marBottom w:val="0"/>
      <w:divBdr>
        <w:top w:val="none" w:sz="0" w:space="0" w:color="auto"/>
        <w:left w:val="none" w:sz="0" w:space="0" w:color="auto"/>
        <w:bottom w:val="none" w:sz="0" w:space="0" w:color="auto"/>
        <w:right w:val="none" w:sz="0" w:space="0" w:color="auto"/>
      </w:divBdr>
    </w:div>
    <w:div w:id="747077103">
      <w:bodyDiv w:val="1"/>
      <w:marLeft w:val="0"/>
      <w:marRight w:val="0"/>
      <w:marTop w:val="0"/>
      <w:marBottom w:val="0"/>
      <w:divBdr>
        <w:top w:val="none" w:sz="0" w:space="0" w:color="auto"/>
        <w:left w:val="none" w:sz="0" w:space="0" w:color="auto"/>
        <w:bottom w:val="none" w:sz="0" w:space="0" w:color="auto"/>
        <w:right w:val="none" w:sz="0" w:space="0" w:color="auto"/>
      </w:divBdr>
    </w:div>
    <w:div w:id="747193078">
      <w:bodyDiv w:val="1"/>
      <w:marLeft w:val="0"/>
      <w:marRight w:val="0"/>
      <w:marTop w:val="0"/>
      <w:marBottom w:val="0"/>
      <w:divBdr>
        <w:top w:val="none" w:sz="0" w:space="0" w:color="auto"/>
        <w:left w:val="none" w:sz="0" w:space="0" w:color="auto"/>
        <w:bottom w:val="none" w:sz="0" w:space="0" w:color="auto"/>
        <w:right w:val="none" w:sz="0" w:space="0" w:color="auto"/>
      </w:divBdr>
    </w:div>
    <w:div w:id="747337960">
      <w:bodyDiv w:val="1"/>
      <w:marLeft w:val="0"/>
      <w:marRight w:val="0"/>
      <w:marTop w:val="0"/>
      <w:marBottom w:val="0"/>
      <w:divBdr>
        <w:top w:val="none" w:sz="0" w:space="0" w:color="auto"/>
        <w:left w:val="none" w:sz="0" w:space="0" w:color="auto"/>
        <w:bottom w:val="none" w:sz="0" w:space="0" w:color="auto"/>
        <w:right w:val="none" w:sz="0" w:space="0" w:color="auto"/>
      </w:divBdr>
    </w:div>
    <w:div w:id="747576903">
      <w:bodyDiv w:val="1"/>
      <w:marLeft w:val="0"/>
      <w:marRight w:val="0"/>
      <w:marTop w:val="0"/>
      <w:marBottom w:val="0"/>
      <w:divBdr>
        <w:top w:val="none" w:sz="0" w:space="0" w:color="auto"/>
        <w:left w:val="none" w:sz="0" w:space="0" w:color="auto"/>
        <w:bottom w:val="none" w:sz="0" w:space="0" w:color="auto"/>
        <w:right w:val="none" w:sz="0" w:space="0" w:color="auto"/>
      </w:divBdr>
    </w:div>
    <w:div w:id="747654551">
      <w:bodyDiv w:val="1"/>
      <w:marLeft w:val="0"/>
      <w:marRight w:val="0"/>
      <w:marTop w:val="0"/>
      <w:marBottom w:val="0"/>
      <w:divBdr>
        <w:top w:val="none" w:sz="0" w:space="0" w:color="auto"/>
        <w:left w:val="none" w:sz="0" w:space="0" w:color="auto"/>
        <w:bottom w:val="none" w:sz="0" w:space="0" w:color="auto"/>
        <w:right w:val="none" w:sz="0" w:space="0" w:color="auto"/>
      </w:divBdr>
    </w:div>
    <w:div w:id="747845877">
      <w:bodyDiv w:val="1"/>
      <w:marLeft w:val="0"/>
      <w:marRight w:val="0"/>
      <w:marTop w:val="0"/>
      <w:marBottom w:val="0"/>
      <w:divBdr>
        <w:top w:val="none" w:sz="0" w:space="0" w:color="auto"/>
        <w:left w:val="none" w:sz="0" w:space="0" w:color="auto"/>
        <w:bottom w:val="none" w:sz="0" w:space="0" w:color="auto"/>
        <w:right w:val="none" w:sz="0" w:space="0" w:color="auto"/>
      </w:divBdr>
    </w:div>
    <w:div w:id="747922389">
      <w:bodyDiv w:val="1"/>
      <w:marLeft w:val="0"/>
      <w:marRight w:val="0"/>
      <w:marTop w:val="0"/>
      <w:marBottom w:val="0"/>
      <w:divBdr>
        <w:top w:val="none" w:sz="0" w:space="0" w:color="auto"/>
        <w:left w:val="none" w:sz="0" w:space="0" w:color="auto"/>
        <w:bottom w:val="none" w:sz="0" w:space="0" w:color="auto"/>
        <w:right w:val="none" w:sz="0" w:space="0" w:color="auto"/>
      </w:divBdr>
    </w:div>
    <w:div w:id="747969455">
      <w:bodyDiv w:val="1"/>
      <w:marLeft w:val="0"/>
      <w:marRight w:val="0"/>
      <w:marTop w:val="0"/>
      <w:marBottom w:val="0"/>
      <w:divBdr>
        <w:top w:val="none" w:sz="0" w:space="0" w:color="auto"/>
        <w:left w:val="none" w:sz="0" w:space="0" w:color="auto"/>
        <w:bottom w:val="none" w:sz="0" w:space="0" w:color="auto"/>
        <w:right w:val="none" w:sz="0" w:space="0" w:color="auto"/>
      </w:divBdr>
    </w:div>
    <w:div w:id="748039161">
      <w:bodyDiv w:val="1"/>
      <w:marLeft w:val="0"/>
      <w:marRight w:val="0"/>
      <w:marTop w:val="0"/>
      <w:marBottom w:val="0"/>
      <w:divBdr>
        <w:top w:val="none" w:sz="0" w:space="0" w:color="auto"/>
        <w:left w:val="none" w:sz="0" w:space="0" w:color="auto"/>
        <w:bottom w:val="none" w:sz="0" w:space="0" w:color="auto"/>
        <w:right w:val="none" w:sz="0" w:space="0" w:color="auto"/>
      </w:divBdr>
    </w:div>
    <w:div w:id="748312049">
      <w:bodyDiv w:val="1"/>
      <w:marLeft w:val="0"/>
      <w:marRight w:val="0"/>
      <w:marTop w:val="0"/>
      <w:marBottom w:val="0"/>
      <w:divBdr>
        <w:top w:val="none" w:sz="0" w:space="0" w:color="auto"/>
        <w:left w:val="none" w:sz="0" w:space="0" w:color="auto"/>
        <w:bottom w:val="none" w:sz="0" w:space="0" w:color="auto"/>
        <w:right w:val="none" w:sz="0" w:space="0" w:color="auto"/>
      </w:divBdr>
    </w:div>
    <w:div w:id="748501037">
      <w:bodyDiv w:val="1"/>
      <w:marLeft w:val="0"/>
      <w:marRight w:val="0"/>
      <w:marTop w:val="0"/>
      <w:marBottom w:val="0"/>
      <w:divBdr>
        <w:top w:val="none" w:sz="0" w:space="0" w:color="auto"/>
        <w:left w:val="none" w:sz="0" w:space="0" w:color="auto"/>
        <w:bottom w:val="none" w:sz="0" w:space="0" w:color="auto"/>
        <w:right w:val="none" w:sz="0" w:space="0" w:color="auto"/>
      </w:divBdr>
    </w:div>
    <w:div w:id="748691590">
      <w:bodyDiv w:val="1"/>
      <w:marLeft w:val="0"/>
      <w:marRight w:val="0"/>
      <w:marTop w:val="0"/>
      <w:marBottom w:val="0"/>
      <w:divBdr>
        <w:top w:val="none" w:sz="0" w:space="0" w:color="auto"/>
        <w:left w:val="none" w:sz="0" w:space="0" w:color="auto"/>
        <w:bottom w:val="none" w:sz="0" w:space="0" w:color="auto"/>
        <w:right w:val="none" w:sz="0" w:space="0" w:color="auto"/>
      </w:divBdr>
    </w:div>
    <w:div w:id="749235334">
      <w:bodyDiv w:val="1"/>
      <w:marLeft w:val="0"/>
      <w:marRight w:val="0"/>
      <w:marTop w:val="0"/>
      <w:marBottom w:val="0"/>
      <w:divBdr>
        <w:top w:val="none" w:sz="0" w:space="0" w:color="auto"/>
        <w:left w:val="none" w:sz="0" w:space="0" w:color="auto"/>
        <w:bottom w:val="none" w:sz="0" w:space="0" w:color="auto"/>
        <w:right w:val="none" w:sz="0" w:space="0" w:color="auto"/>
      </w:divBdr>
    </w:div>
    <w:div w:id="749304331">
      <w:bodyDiv w:val="1"/>
      <w:marLeft w:val="0"/>
      <w:marRight w:val="0"/>
      <w:marTop w:val="0"/>
      <w:marBottom w:val="0"/>
      <w:divBdr>
        <w:top w:val="none" w:sz="0" w:space="0" w:color="auto"/>
        <w:left w:val="none" w:sz="0" w:space="0" w:color="auto"/>
        <w:bottom w:val="none" w:sz="0" w:space="0" w:color="auto"/>
        <w:right w:val="none" w:sz="0" w:space="0" w:color="auto"/>
      </w:divBdr>
    </w:div>
    <w:div w:id="751510366">
      <w:bodyDiv w:val="1"/>
      <w:marLeft w:val="0"/>
      <w:marRight w:val="0"/>
      <w:marTop w:val="0"/>
      <w:marBottom w:val="0"/>
      <w:divBdr>
        <w:top w:val="none" w:sz="0" w:space="0" w:color="auto"/>
        <w:left w:val="none" w:sz="0" w:space="0" w:color="auto"/>
        <w:bottom w:val="none" w:sz="0" w:space="0" w:color="auto"/>
        <w:right w:val="none" w:sz="0" w:space="0" w:color="auto"/>
      </w:divBdr>
    </w:div>
    <w:div w:id="751510731">
      <w:bodyDiv w:val="1"/>
      <w:marLeft w:val="0"/>
      <w:marRight w:val="0"/>
      <w:marTop w:val="0"/>
      <w:marBottom w:val="0"/>
      <w:divBdr>
        <w:top w:val="none" w:sz="0" w:space="0" w:color="auto"/>
        <w:left w:val="none" w:sz="0" w:space="0" w:color="auto"/>
        <w:bottom w:val="none" w:sz="0" w:space="0" w:color="auto"/>
        <w:right w:val="none" w:sz="0" w:space="0" w:color="auto"/>
      </w:divBdr>
    </w:div>
    <w:div w:id="751665084">
      <w:bodyDiv w:val="1"/>
      <w:marLeft w:val="0"/>
      <w:marRight w:val="0"/>
      <w:marTop w:val="0"/>
      <w:marBottom w:val="0"/>
      <w:divBdr>
        <w:top w:val="none" w:sz="0" w:space="0" w:color="auto"/>
        <w:left w:val="none" w:sz="0" w:space="0" w:color="auto"/>
        <w:bottom w:val="none" w:sz="0" w:space="0" w:color="auto"/>
        <w:right w:val="none" w:sz="0" w:space="0" w:color="auto"/>
      </w:divBdr>
    </w:div>
    <w:div w:id="751852285">
      <w:bodyDiv w:val="1"/>
      <w:marLeft w:val="0"/>
      <w:marRight w:val="0"/>
      <w:marTop w:val="0"/>
      <w:marBottom w:val="0"/>
      <w:divBdr>
        <w:top w:val="none" w:sz="0" w:space="0" w:color="auto"/>
        <w:left w:val="none" w:sz="0" w:space="0" w:color="auto"/>
        <w:bottom w:val="none" w:sz="0" w:space="0" w:color="auto"/>
        <w:right w:val="none" w:sz="0" w:space="0" w:color="auto"/>
      </w:divBdr>
    </w:div>
    <w:div w:id="752092654">
      <w:bodyDiv w:val="1"/>
      <w:marLeft w:val="0"/>
      <w:marRight w:val="0"/>
      <w:marTop w:val="0"/>
      <w:marBottom w:val="0"/>
      <w:divBdr>
        <w:top w:val="none" w:sz="0" w:space="0" w:color="auto"/>
        <w:left w:val="none" w:sz="0" w:space="0" w:color="auto"/>
        <w:bottom w:val="none" w:sz="0" w:space="0" w:color="auto"/>
        <w:right w:val="none" w:sz="0" w:space="0" w:color="auto"/>
      </w:divBdr>
    </w:div>
    <w:div w:id="752123219">
      <w:bodyDiv w:val="1"/>
      <w:marLeft w:val="0"/>
      <w:marRight w:val="0"/>
      <w:marTop w:val="0"/>
      <w:marBottom w:val="0"/>
      <w:divBdr>
        <w:top w:val="none" w:sz="0" w:space="0" w:color="auto"/>
        <w:left w:val="none" w:sz="0" w:space="0" w:color="auto"/>
        <w:bottom w:val="none" w:sz="0" w:space="0" w:color="auto"/>
        <w:right w:val="none" w:sz="0" w:space="0" w:color="auto"/>
      </w:divBdr>
    </w:div>
    <w:div w:id="752240573">
      <w:bodyDiv w:val="1"/>
      <w:marLeft w:val="0"/>
      <w:marRight w:val="0"/>
      <w:marTop w:val="0"/>
      <w:marBottom w:val="0"/>
      <w:divBdr>
        <w:top w:val="none" w:sz="0" w:space="0" w:color="auto"/>
        <w:left w:val="none" w:sz="0" w:space="0" w:color="auto"/>
        <w:bottom w:val="none" w:sz="0" w:space="0" w:color="auto"/>
        <w:right w:val="none" w:sz="0" w:space="0" w:color="auto"/>
      </w:divBdr>
    </w:div>
    <w:div w:id="752429586">
      <w:bodyDiv w:val="1"/>
      <w:marLeft w:val="0"/>
      <w:marRight w:val="0"/>
      <w:marTop w:val="0"/>
      <w:marBottom w:val="0"/>
      <w:divBdr>
        <w:top w:val="none" w:sz="0" w:space="0" w:color="auto"/>
        <w:left w:val="none" w:sz="0" w:space="0" w:color="auto"/>
        <w:bottom w:val="none" w:sz="0" w:space="0" w:color="auto"/>
        <w:right w:val="none" w:sz="0" w:space="0" w:color="auto"/>
      </w:divBdr>
    </w:div>
    <w:div w:id="752552298">
      <w:bodyDiv w:val="1"/>
      <w:marLeft w:val="0"/>
      <w:marRight w:val="0"/>
      <w:marTop w:val="0"/>
      <w:marBottom w:val="0"/>
      <w:divBdr>
        <w:top w:val="none" w:sz="0" w:space="0" w:color="auto"/>
        <w:left w:val="none" w:sz="0" w:space="0" w:color="auto"/>
        <w:bottom w:val="none" w:sz="0" w:space="0" w:color="auto"/>
        <w:right w:val="none" w:sz="0" w:space="0" w:color="auto"/>
      </w:divBdr>
    </w:div>
    <w:div w:id="752625498">
      <w:bodyDiv w:val="1"/>
      <w:marLeft w:val="0"/>
      <w:marRight w:val="0"/>
      <w:marTop w:val="0"/>
      <w:marBottom w:val="0"/>
      <w:divBdr>
        <w:top w:val="none" w:sz="0" w:space="0" w:color="auto"/>
        <w:left w:val="none" w:sz="0" w:space="0" w:color="auto"/>
        <w:bottom w:val="none" w:sz="0" w:space="0" w:color="auto"/>
        <w:right w:val="none" w:sz="0" w:space="0" w:color="auto"/>
      </w:divBdr>
    </w:div>
    <w:div w:id="752823262">
      <w:bodyDiv w:val="1"/>
      <w:marLeft w:val="0"/>
      <w:marRight w:val="0"/>
      <w:marTop w:val="0"/>
      <w:marBottom w:val="0"/>
      <w:divBdr>
        <w:top w:val="none" w:sz="0" w:space="0" w:color="auto"/>
        <w:left w:val="none" w:sz="0" w:space="0" w:color="auto"/>
        <w:bottom w:val="none" w:sz="0" w:space="0" w:color="auto"/>
        <w:right w:val="none" w:sz="0" w:space="0" w:color="auto"/>
      </w:divBdr>
    </w:div>
    <w:div w:id="753169246">
      <w:bodyDiv w:val="1"/>
      <w:marLeft w:val="0"/>
      <w:marRight w:val="0"/>
      <w:marTop w:val="0"/>
      <w:marBottom w:val="0"/>
      <w:divBdr>
        <w:top w:val="none" w:sz="0" w:space="0" w:color="auto"/>
        <w:left w:val="none" w:sz="0" w:space="0" w:color="auto"/>
        <w:bottom w:val="none" w:sz="0" w:space="0" w:color="auto"/>
        <w:right w:val="none" w:sz="0" w:space="0" w:color="auto"/>
      </w:divBdr>
    </w:div>
    <w:div w:id="753479438">
      <w:bodyDiv w:val="1"/>
      <w:marLeft w:val="0"/>
      <w:marRight w:val="0"/>
      <w:marTop w:val="0"/>
      <w:marBottom w:val="0"/>
      <w:divBdr>
        <w:top w:val="none" w:sz="0" w:space="0" w:color="auto"/>
        <w:left w:val="none" w:sz="0" w:space="0" w:color="auto"/>
        <w:bottom w:val="none" w:sz="0" w:space="0" w:color="auto"/>
        <w:right w:val="none" w:sz="0" w:space="0" w:color="auto"/>
      </w:divBdr>
    </w:div>
    <w:div w:id="753548696">
      <w:bodyDiv w:val="1"/>
      <w:marLeft w:val="0"/>
      <w:marRight w:val="0"/>
      <w:marTop w:val="0"/>
      <w:marBottom w:val="0"/>
      <w:divBdr>
        <w:top w:val="none" w:sz="0" w:space="0" w:color="auto"/>
        <w:left w:val="none" w:sz="0" w:space="0" w:color="auto"/>
        <w:bottom w:val="none" w:sz="0" w:space="0" w:color="auto"/>
        <w:right w:val="none" w:sz="0" w:space="0" w:color="auto"/>
      </w:divBdr>
    </w:div>
    <w:div w:id="753821637">
      <w:bodyDiv w:val="1"/>
      <w:marLeft w:val="0"/>
      <w:marRight w:val="0"/>
      <w:marTop w:val="0"/>
      <w:marBottom w:val="0"/>
      <w:divBdr>
        <w:top w:val="none" w:sz="0" w:space="0" w:color="auto"/>
        <w:left w:val="none" w:sz="0" w:space="0" w:color="auto"/>
        <w:bottom w:val="none" w:sz="0" w:space="0" w:color="auto"/>
        <w:right w:val="none" w:sz="0" w:space="0" w:color="auto"/>
      </w:divBdr>
    </w:div>
    <w:div w:id="754282794">
      <w:bodyDiv w:val="1"/>
      <w:marLeft w:val="0"/>
      <w:marRight w:val="0"/>
      <w:marTop w:val="0"/>
      <w:marBottom w:val="0"/>
      <w:divBdr>
        <w:top w:val="none" w:sz="0" w:space="0" w:color="auto"/>
        <w:left w:val="none" w:sz="0" w:space="0" w:color="auto"/>
        <w:bottom w:val="none" w:sz="0" w:space="0" w:color="auto"/>
        <w:right w:val="none" w:sz="0" w:space="0" w:color="auto"/>
      </w:divBdr>
    </w:div>
    <w:div w:id="754321350">
      <w:bodyDiv w:val="1"/>
      <w:marLeft w:val="0"/>
      <w:marRight w:val="0"/>
      <w:marTop w:val="0"/>
      <w:marBottom w:val="0"/>
      <w:divBdr>
        <w:top w:val="none" w:sz="0" w:space="0" w:color="auto"/>
        <w:left w:val="none" w:sz="0" w:space="0" w:color="auto"/>
        <w:bottom w:val="none" w:sz="0" w:space="0" w:color="auto"/>
        <w:right w:val="none" w:sz="0" w:space="0" w:color="auto"/>
      </w:divBdr>
    </w:div>
    <w:div w:id="754396814">
      <w:bodyDiv w:val="1"/>
      <w:marLeft w:val="0"/>
      <w:marRight w:val="0"/>
      <w:marTop w:val="0"/>
      <w:marBottom w:val="0"/>
      <w:divBdr>
        <w:top w:val="none" w:sz="0" w:space="0" w:color="auto"/>
        <w:left w:val="none" w:sz="0" w:space="0" w:color="auto"/>
        <w:bottom w:val="none" w:sz="0" w:space="0" w:color="auto"/>
        <w:right w:val="none" w:sz="0" w:space="0" w:color="auto"/>
      </w:divBdr>
    </w:div>
    <w:div w:id="754588887">
      <w:bodyDiv w:val="1"/>
      <w:marLeft w:val="0"/>
      <w:marRight w:val="0"/>
      <w:marTop w:val="0"/>
      <w:marBottom w:val="0"/>
      <w:divBdr>
        <w:top w:val="none" w:sz="0" w:space="0" w:color="auto"/>
        <w:left w:val="none" w:sz="0" w:space="0" w:color="auto"/>
        <w:bottom w:val="none" w:sz="0" w:space="0" w:color="auto"/>
        <w:right w:val="none" w:sz="0" w:space="0" w:color="auto"/>
      </w:divBdr>
    </w:div>
    <w:div w:id="754595256">
      <w:bodyDiv w:val="1"/>
      <w:marLeft w:val="0"/>
      <w:marRight w:val="0"/>
      <w:marTop w:val="0"/>
      <w:marBottom w:val="0"/>
      <w:divBdr>
        <w:top w:val="none" w:sz="0" w:space="0" w:color="auto"/>
        <w:left w:val="none" w:sz="0" w:space="0" w:color="auto"/>
        <w:bottom w:val="none" w:sz="0" w:space="0" w:color="auto"/>
        <w:right w:val="none" w:sz="0" w:space="0" w:color="auto"/>
      </w:divBdr>
    </w:div>
    <w:div w:id="754596505">
      <w:bodyDiv w:val="1"/>
      <w:marLeft w:val="0"/>
      <w:marRight w:val="0"/>
      <w:marTop w:val="0"/>
      <w:marBottom w:val="0"/>
      <w:divBdr>
        <w:top w:val="none" w:sz="0" w:space="0" w:color="auto"/>
        <w:left w:val="none" w:sz="0" w:space="0" w:color="auto"/>
        <w:bottom w:val="none" w:sz="0" w:space="0" w:color="auto"/>
        <w:right w:val="none" w:sz="0" w:space="0" w:color="auto"/>
      </w:divBdr>
    </w:div>
    <w:div w:id="754713294">
      <w:bodyDiv w:val="1"/>
      <w:marLeft w:val="0"/>
      <w:marRight w:val="0"/>
      <w:marTop w:val="0"/>
      <w:marBottom w:val="0"/>
      <w:divBdr>
        <w:top w:val="none" w:sz="0" w:space="0" w:color="auto"/>
        <w:left w:val="none" w:sz="0" w:space="0" w:color="auto"/>
        <w:bottom w:val="none" w:sz="0" w:space="0" w:color="auto"/>
        <w:right w:val="none" w:sz="0" w:space="0" w:color="auto"/>
      </w:divBdr>
    </w:div>
    <w:div w:id="754715067">
      <w:bodyDiv w:val="1"/>
      <w:marLeft w:val="0"/>
      <w:marRight w:val="0"/>
      <w:marTop w:val="0"/>
      <w:marBottom w:val="0"/>
      <w:divBdr>
        <w:top w:val="none" w:sz="0" w:space="0" w:color="auto"/>
        <w:left w:val="none" w:sz="0" w:space="0" w:color="auto"/>
        <w:bottom w:val="none" w:sz="0" w:space="0" w:color="auto"/>
        <w:right w:val="none" w:sz="0" w:space="0" w:color="auto"/>
      </w:divBdr>
    </w:div>
    <w:div w:id="754789865">
      <w:bodyDiv w:val="1"/>
      <w:marLeft w:val="0"/>
      <w:marRight w:val="0"/>
      <w:marTop w:val="0"/>
      <w:marBottom w:val="0"/>
      <w:divBdr>
        <w:top w:val="none" w:sz="0" w:space="0" w:color="auto"/>
        <w:left w:val="none" w:sz="0" w:space="0" w:color="auto"/>
        <w:bottom w:val="none" w:sz="0" w:space="0" w:color="auto"/>
        <w:right w:val="none" w:sz="0" w:space="0" w:color="auto"/>
      </w:divBdr>
    </w:div>
    <w:div w:id="755132949">
      <w:bodyDiv w:val="1"/>
      <w:marLeft w:val="0"/>
      <w:marRight w:val="0"/>
      <w:marTop w:val="0"/>
      <w:marBottom w:val="0"/>
      <w:divBdr>
        <w:top w:val="none" w:sz="0" w:space="0" w:color="auto"/>
        <w:left w:val="none" w:sz="0" w:space="0" w:color="auto"/>
        <w:bottom w:val="none" w:sz="0" w:space="0" w:color="auto"/>
        <w:right w:val="none" w:sz="0" w:space="0" w:color="auto"/>
      </w:divBdr>
    </w:div>
    <w:div w:id="755368862">
      <w:bodyDiv w:val="1"/>
      <w:marLeft w:val="0"/>
      <w:marRight w:val="0"/>
      <w:marTop w:val="0"/>
      <w:marBottom w:val="0"/>
      <w:divBdr>
        <w:top w:val="none" w:sz="0" w:space="0" w:color="auto"/>
        <w:left w:val="none" w:sz="0" w:space="0" w:color="auto"/>
        <w:bottom w:val="none" w:sz="0" w:space="0" w:color="auto"/>
        <w:right w:val="none" w:sz="0" w:space="0" w:color="auto"/>
      </w:divBdr>
    </w:div>
    <w:div w:id="755591752">
      <w:bodyDiv w:val="1"/>
      <w:marLeft w:val="0"/>
      <w:marRight w:val="0"/>
      <w:marTop w:val="0"/>
      <w:marBottom w:val="0"/>
      <w:divBdr>
        <w:top w:val="none" w:sz="0" w:space="0" w:color="auto"/>
        <w:left w:val="none" w:sz="0" w:space="0" w:color="auto"/>
        <w:bottom w:val="none" w:sz="0" w:space="0" w:color="auto"/>
        <w:right w:val="none" w:sz="0" w:space="0" w:color="auto"/>
      </w:divBdr>
    </w:div>
    <w:div w:id="755592496">
      <w:bodyDiv w:val="1"/>
      <w:marLeft w:val="0"/>
      <w:marRight w:val="0"/>
      <w:marTop w:val="0"/>
      <w:marBottom w:val="0"/>
      <w:divBdr>
        <w:top w:val="none" w:sz="0" w:space="0" w:color="auto"/>
        <w:left w:val="none" w:sz="0" w:space="0" w:color="auto"/>
        <w:bottom w:val="none" w:sz="0" w:space="0" w:color="auto"/>
        <w:right w:val="none" w:sz="0" w:space="0" w:color="auto"/>
      </w:divBdr>
    </w:div>
    <w:div w:id="755631232">
      <w:bodyDiv w:val="1"/>
      <w:marLeft w:val="0"/>
      <w:marRight w:val="0"/>
      <w:marTop w:val="0"/>
      <w:marBottom w:val="0"/>
      <w:divBdr>
        <w:top w:val="none" w:sz="0" w:space="0" w:color="auto"/>
        <w:left w:val="none" w:sz="0" w:space="0" w:color="auto"/>
        <w:bottom w:val="none" w:sz="0" w:space="0" w:color="auto"/>
        <w:right w:val="none" w:sz="0" w:space="0" w:color="auto"/>
      </w:divBdr>
    </w:div>
    <w:div w:id="755633480">
      <w:bodyDiv w:val="1"/>
      <w:marLeft w:val="0"/>
      <w:marRight w:val="0"/>
      <w:marTop w:val="0"/>
      <w:marBottom w:val="0"/>
      <w:divBdr>
        <w:top w:val="none" w:sz="0" w:space="0" w:color="auto"/>
        <w:left w:val="none" w:sz="0" w:space="0" w:color="auto"/>
        <w:bottom w:val="none" w:sz="0" w:space="0" w:color="auto"/>
        <w:right w:val="none" w:sz="0" w:space="0" w:color="auto"/>
      </w:divBdr>
    </w:div>
    <w:div w:id="755903312">
      <w:bodyDiv w:val="1"/>
      <w:marLeft w:val="0"/>
      <w:marRight w:val="0"/>
      <w:marTop w:val="0"/>
      <w:marBottom w:val="0"/>
      <w:divBdr>
        <w:top w:val="none" w:sz="0" w:space="0" w:color="auto"/>
        <w:left w:val="none" w:sz="0" w:space="0" w:color="auto"/>
        <w:bottom w:val="none" w:sz="0" w:space="0" w:color="auto"/>
        <w:right w:val="none" w:sz="0" w:space="0" w:color="auto"/>
      </w:divBdr>
    </w:div>
    <w:div w:id="756170961">
      <w:bodyDiv w:val="1"/>
      <w:marLeft w:val="0"/>
      <w:marRight w:val="0"/>
      <w:marTop w:val="0"/>
      <w:marBottom w:val="0"/>
      <w:divBdr>
        <w:top w:val="none" w:sz="0" w:space="0" w:color="auto"/>
        <w:left w:val="none" w:sz="0" w:space="0" w:color="auto"/>
        <w:bottom w:val="none" w:sz="0" w:space="0" w:color="auto"/>
        <w:right w:val="none" w:sz="0" w:space="0" w:color="auto"/>
      </w:divBdr>
    </w:div>
    <w:div w:id="756632475">
      <w:bodyDiv w:val="1"/>
      <w:marLeft w:val="0"/>
      <w:marRight w:val="0"/>
      <w:marTop w:val="0"/>
      <w:marBottom w:val="0"/>
      <w:divBdr>
        <w:top w:val="none" w:sz="0" w:space="0" w:color="auto"/>
        <w:left w:val="none" w:sz="0" w:space="0" w:color="auto"/>
        <w:bottom w:val="none" w:sz="0" w:space="0" w:color="auto"/>
        <w:right w:val="none" w:sz="0" w:space="0" w:color="auto"/>
      </w:divBdr>
    </w:div>
    <w:div w:id="757293605">
      <w:bodyDiv w:val="1"/>
      <w:marLeft w:val="0"/>
      <w:marRight w:val="0"/>
      <w:marTop w:val="0"/>
      <w:marBottom w:val="0"/>
      <w:divBdr>
        <w:top w:val="none" w:sz="0" w:space="0" w:color="auto"/>
        <w:left w:val="none" w:sz="0" w:space="0" w:color="auto"/>
        <w:bottom w:val="none" w:sz="0" w:space="0" w:color="auto"/>
        <w:right w:val="none" w:sz="0" w:space="0" w:color="auto"/>
      </w:divBdr>
    </w:div>
    <w:div w:id="757747297">
      <w:bodyDiv w:val="1"/>
      <w:marLeft w:val="0"/>
      <w:marRight w:val="0"/>
      <w:marTop w:val="0"/>
      <w:marBottom w:val="0"/>
      <w:divBdr>
        <w:top w:val="none" w:sz="0" w:space="0" w:color="auto"/>
        <w:left w:val="none" w:sz="0" w:space="0" w:color="auto"/>
        <w:bottom w:val="none" w:sz="0" w:space="0" w:color="auto"/>
        <w:right w:val="none" w:sz="0" w:space="0" w:color="auto"/>
      </w:divBdr>
    </w:div>
    <w:div w:id="757753215">
      <w:bodyDiv w:val="1"/>
      <w:marLeft w:val="0"/>
      <w:marRight w:val="0"/>
      <w:marTop w:val="0"/>
      <w:marBottom w:val="0"/>
      <w:divBdr>
        <w:top w:val="none" w:sz="0" w:space="0" w:color="auto"/>
        <w:left w:val="none" w:sz="0" w:space="0" w:color="auto"/>
        <w:bottom w:val="none" w:sz="0" w:space="0" w:color="auto"/>
        <w:right w:val="none" w:sz="0" w:space="0" w:color="auto"/>
      </w:divBdr>
    </w:div>
    <w:div w:id="757874192">
      <w:bodyDiv w:val="1"/>
      <w:marLeft w:val="0"/>
      <w:marRight w:val="0"/>
      <w:marTop w:val="0"/>
      <w:marBottom w:val="0"/>
      <w:divBdr>
        <w:top w:val="none" w:sz="0" w:space="0" w:color="auto"/>
        <w:left w:val="none" w:sz="0" w:space="0" w:color="auto"/>
        <w:bottom w:val="none" w:sz="0" w:space="0" w:color="auto"/>
        <w:right w:val="none" w:sz="0" w:space="0" w:color="auto"/>
      </w:divBdr>
    </w:div>
    <w:div w:id="758328689">
      <w:bodyDiv w:val="1"/>
      <w:marLeft w:val="0"/>
      <w:marRight w:val="0"/>
      <w:marTop w:val="0"/>
      <w:marBottom w:val="0"/>
      <w:divBdr>
        <w:top w:val="none" w:sz="0" w:space="0" w:color="auto"/>
        <w:left w:val="none" w:sz="0" w:space="0" w:color="auto"/>
        <w:bottom w:val="none" w:sz="0" w:space="0" w:color="auto"/>
        <w:right w:val="none" w:sz="0" w:space="0" w:color="auto"/>
      </w:divBdr>
    </w:div>
    <w:div w:id="758602372">
      <w:bodyDiv w:val="1"/>
      <w:marLeft w:val="0"/>
      <w:marRight w:val="0"/>
      <w:marTop w:val="0"/>
      <w:marBottom w:val="0"/>
      <w:divBdr>
        <w:top w:val="none" w:sz="0" w:space="0" w:color="auto"/>
        <w:left w:val="none" w:sz="0" w:space="0" w:color="auto"/>
        <w:bottom w:val="none" w:sz="0" w:space="0" w:color="auto"/>
        <w:right w:val="none" w:sz="0" w:space="0" w:color="auto"/>
      </w:divBdr>
    </w:div>
    <w:div w:id="759107383">
      <w:bodyDiv w:val="1"/>
      <w:marLeft w:val="0"/>
      <w:marRight w:val="0"/>
      <w:marTop w:val="0"/>
      <w:marBottom w:val="0"/>
      <w:divBdr>
        <w:top w:val="none" w:sz="0" w:space="0" w:color="auto"/>
        <w:left w:val="none" w:sz="0" w:space="0" w:color="auto"/>
        <w:bottom w:val="none" w:sz="0" w:space="0" w:color="auto"/>
        <w:right w:val="none" w:sz="0" w:space="0" w:color="auto"/>
      </w:divBdr>
    </w:div>
    <w:div w:id="759525786">
      <w:bodyDiv w:val="1"/>
      <w:marLeft w:val="0"/>
      <w:marRight w:val="0"/>
      <w:marTop w:val="0"/>
      <w:marBottom w:val="0"/>
      <w:divBdr>
        <w:top w:val="none" w:sz="0" w:space="0" w:color="auto"/>
        <w:left w:val="none" w:sz="0" w:space="0" w:color="auto"/>
        <w:bottom w:val="none" w:sz="0" w:space="0" w:color="auto"/>
        <w:right w:val="none" w:sz="0" w:space="0" w:color="auto"/>
      </w:divBdr>
    </w:div>
    <w:div w:id="759527483">
      <w:bodyDiv w:val="1"/>
      <w:marLeft w:val="0"/>
      <w:marRight w:val="0"/>
      <w:marTop w:val="0"/>
      <w:marBottom w:val="0"/>
      <w:divBdr>
        <w:top w:val="none" w:sz="0" w:space="0" w:color="auto"/>
        <w:left w:val="none" w:sz="0" w:space="0" w:color="auto"/>
        <w:bottom w:val="none" w:sz="0" w:space="0" w:color="auto"/>
        <w:right w:val="none" w:sz="0" w:space="0" w:color="auto"/>
      </w:divBdr>
    </w:div>
    <w:div w:id="760105021">
      <w:bodyDiv w:val="1"/>
      <w:marLeft w:val="0"/>
      <w:marRight w:val="0"/>
      <w:marTop w:val="0"/>
      <w:marBottom w:val="0"/>
      <w:divBdr>
        <w:top w:val="none" w:sz="0" w:space="0" w:color="auto"/>
        <w:left w:val="none" w:sz="0" w:space="0" w:color="auto"/>
        <w:bottom w:val="none" w:sz="0" w:space="0" w:color="auto"/>
        <w:right w:val="none" w:sz="0" w:space="0" w:color="auto"/>
      </w:divBdr>
    </w:div>
    <w:div w:id="760643549">
      <w:bodyDiv w:val="1"/>
      <w:marLeft w:val="0"/>
      <w:marRight w:val="0"/>
      <w:marTop w:val="0"/>
      <w:marBottom w:val="0"/>
      <w:divBdr>
        <w:top w:val="none" w:sz="0" w:space="0" w:color="auto"/>
        <w:left w:val="none" w:sz="0" w:space="0" w:color="auto"/>
        <w:bottom w:val="none" w:sz="0" w:space="0" w:color="auto"/>
        <w:right w:val="none" w:sz="0" w:space="0" w:color="auto"/>
      </w:divBdr>
    </w:div>
    <w:div w:id="761071402">
      <w:bodyDiv w:val="1"/>
      <w:marLeft w:val="0"/>
      <w:marRight w:val="0"/>
      <w:marTop w:val="0"/>
      <w:marBottom w:val="0"/>
      <w:divBdr>
        <w:top w:val="none" w:sz="0" w:space="0" w:color="auto"/>
        <w:left w:val="none" w:sz="0" w:space="0" w:color="auto"/>
        <w:bottom w:val="none" w:sz="0" w:space="0" w:color="auto"/>
        <w:right w:val="none" w:sz="0" w:space="0" w:color="auto"/>
      </w:divBdr>
    </w:div>
    <w:div w:id="761217920">
      <w:bodyDiv w:val="1"/>
      <w:marLeft w:val="0"/>
      <w:marRight w:val="0"/>
      <w:marTop w:val="0"/>
      <w:marBottom w:val="0"/>
      <w:divBdr>
        <w:top w:val="none" w:sz="0" w:space="0" w:color="auto"/>
        <w:left w:val="none" w:sz="0" w:space="0" w:color="auto"/>
        <w:bottom w:val="none" w:sz="0" w:space="0" w:color="auto"/>
        <w:right w:val="none" w:sz="0" w:space="0" w:color="auto"/>
      </w:divBdr>
    </w:div>
    <w:div w:id="761295618">
      <w:bodyDiv w:val="1"/>
      <w:marLeft w:val="0"/>
      <w:marRight w:val="0"/>
      <w:marTop w:val="0"/>
      <w:marBottom w:val="0"/>
      <w:divBdr>
        <w:top w:val="none" w:sz="0" w:space="0" w:color="auto"/>
        <w:left w:val="none" w:sz="0" w:space="0" w:color="auto"/>
        <w:bottom w:val="none" w:sz="0" w:space="0" w:color="auto"/>
        <w:right w:val="none" w:sz="0" w:space="0" w:color="auto"/>
      </w:divBdr>
    </w:div>
    <w:div w:id="761485577">
      <w:bodyDiv w:val="1"/>
      <w:marLeft w:val="0"/>
      <w:marRight w:val="0"/>
      <w:marTop w:val="0"/>
      <w:marBottom w:val="0"/>
      <w:divBdr>
        <w:top w:val="none" w:sz="0" w:space="0" w:color="auto"/>
        <w:left w:val="none" w:sz="0" w:space="0" w:color="auto"/>
        <w:bottom w:val="none" w:sz="0" w:space="0" w:color="auto"/>
        <w:right w:val="none" w:sz="0" w:space="0" w:color="auto"/>
      </w:divBdr>
    </w:div>
    <w:div w:id="761606548">
      <w:bodyDiv w:val="1"/>
      <w:marLeft w:val="0"/>
      <w:marRight w:val="0"/>
      <w:marTop w:val="0"/>
      <w:marBottom w:val="0"/>
      <w:divBdr>
        <w:top w:val="none" w:sz="0" w:space="0" w:color="auto"/>
        <w:left w:val="none" w:sz="0" w:space="0" w:color="auto"/>
        <w:bottom w:val="none" w:sz="0" w:space="0" w:color="auto"/>
        <w:right w:val="none" w:sz="0" w:space="0" w:color="auto"/>
      </w:divBdr>
    </w:div>
    <w:div w:id="762724545">
      <w:bodyDiv w:val="1"/>
      <w:marLeft w:val="0"/>
      <w:marRight w:val="0"/>
      <w:marTop w:val="0"/>
      <w:marBottom w:val="0"/>
      <w:divBdr>
        <w:top w:val="none" w:sz="0" w:space="0" w:color="auto"/>
        <w:left w:val="none" w:sz="0" w:space="0" w:color="auto"/>
        <w:bottom w:val="none" w:sz="0" w:space="0" w:color="auto"/>
        <w:right w:val="none" w:sz="0" w:space="0" w:color="auto"/>
      </w:divBdr>
    </w:div>
    <w:div w:id="762845475">
      <w:bodyDiv w:val="1"/>
      <w:marLeft w:val="0"/>
      <w:marRight w:val="0"/>
      <w:marTop w:val="0"/>
      <w:marBottom w:val="0"/>
      <w:divBdr>
        <w:top w:val="none" w:sz="0" w:space="0" w:color="auto"/>
        <w:left w:val="none" w:sz="0" w:space="0" w:color="auto"/>
        <w:bottom w:val="none" w:sz="0" w:space="0" w:color="auto"/>
        <w:right w:val="none" w:sz="0" w:space="0" w:color="auto"/>
      </w:divBdr>
    </w:div>
    <w:div w:id="763190538">
      <w:bodyDiv w:val="1"/>
      <w:marLeft w:val="0"/>
      <w:marRight w:val="0"/>
      <w:marTop w:val="0"/>
      <w:marBottom w:val="0"/>
      <w:divBdr>
        <w:top w:val="none" w:sz="0" w:space="0" w:color="auto"/>
        <w:left w:val="none" w:sz="0" w:space="0" w:color="auto"/>
        <w:bottom w:val="none" w:sz="0" w:space="0" w:color="auto"/>
        <w:right w:val="none" w:sz="0" w:space="0" w:color="auto"/>
      </w:divBdr>
    </w:div>
    <w:div w:id="763495057">
      <w:bodyDiv w:val="1"/>
      <w:marLeft w:val="0"/>
      <w:marRight w:val="0"/>
      <w:marTop w:val="0"/>
      <w:marBottom w:val="0"/>
      <w:divBdr>
        <w:top w:val="none" w:sz="0" w:space="0" w:color="auto"/>
        <w:left w:val="none" w:sz="0" w:space="0" w:color="auto"/>
        <w:bottom w:val="none" w:sz="0" w:space="0" w:color="auto"/>
        <w:right w:val="none" w:sz="0" w:space="0" w:color="auto"/>
      </w:divBdr>
    </w:div>
    <w:div w:id="763571931">
      <w:bodyDiv w:val="1"/>
      <w:marLeft w:val="0"/>
      <w:marRight w:val="0"/>
      <w:marTop w:val="0"/>
      <w:marBottom w:val="0"/>
      <w:divBdr>
        <w:top w:val="none" w:sz="0" w:space="0" w:color="auto"/>
        <w:left w:val="none" w:sz="0" w:space="0" w:color="auto"/>
        <w:bottom w:val="none" w:sz="0" w:space="0" w:color="auto"/>
        <w:right w:val="none" w:sz="0" w:space="0" w:color="auto"/>
      </w:divBdr>
    </w:div>
    <w:div w:id="763843830">
      <w:bodyDiv w:val="1"/>
      <w:marLeft w:val="0"/>
      <w:marRight w:val="0"/>
      <w:marTop w:val="0"/>
      <w:marBottom w:val="0"/>
      <w:divBdr>
        <w:top w:val="none" w:sz="0" w:space="0" w:color="auto"/>
        <w:left w:val="none" w:sz="0" w:space="0" w:color="auto"/>
        <w:bottom w:val="none" w:sz="0" w:space="0" w:color="auto"/>
        <w:right w:val="none" w:sz="0" w:space="0" w:color="auto"/>
      </w:divBdr>
    </w:div>
    <w:div w:id="764230948">
      <w:bodyDiv w:val="1"/>
      <w:marLeft w:val="0"/>
      <w:marRight w:val="0"/>
      <w:marTop w:val="0"/>
      <w:marBottom w:val="0"/>
      <w:divBdr>
        <w:top w:val="none" w:sz="0" w:space="0" w:color="auto"/>
        <w:left w:val="none" w:sz="0" w:space="0" w:color="auto"/>
        <w:bottom w:val="none" w:sz="0" w:space="0" w:color="auto"/>
        <w:right w:val="none" w:sz="0" w:space="0" w:color="auto"/>
      </w:divBdr>
    </w:div>
    <w:div w:id="764349514">
      <w:bodyDiv w:val="1"/>
      <w:marLeft w:val="0"/>
      <w:marRight w:val="0"/>
      <w:marTop w:val="0"/>
      <w:marBottom w:val="0"/>
      <w:divBdr>
        <w:top w:val="none" w:sz="0" w:space="0" w:color="auto"/>
        <w:left w:val="none" w:sz="0" w:space="0" w:color="auto"/>
        <w:bottom w:val="none" w:sz="0" w:space="0" w:color="auto"/>
        <w:right w:val="none" w:sz="0" w:space="0" w:color="auto"/>
      </w:divBdr>
    </w:div>
    <w:div w:id="764690565">
      <w:bodyDiv w:val="1"/>
      <w:marLeft w:val="0"/>
      <w:marRight w:val="0"/>
      <w:marTop w:val="0"/>
      <w:marBottom w:val="0"/>
      <w:divBdr>
        <w:top w:val="none" w:sz="0" w:space="0" w:color="auto"/>
        <w:left w:val="none" w:sz="0" w:space="0" w:color="auto"/>
        <w:bottom w:val="none" w:sz="0" w:space="0" w:color="auto"/>
        <w:right w:val="none" w:sz="0" w:space="0" w:color="auto"/>
      </w:divBdr>
    </w:div>
    <w:div w:id="764762789">
      <w:bodyDiv w:val="1"/>
      <w:marLeft w:val="0"/>
      <w:marRight w:val="0"/>
      <w:marTop w:val="0"/>
      <w:marBottom w:val="0"/>
      <w:divBdr>
        <w:top w:val="none" w:sz="0" w:space="0" w:color="auto"/>
        <w:left w:val="none" w:sz="0" w:space="0" w:color="auto"/>
        <w:bottom w:val="none" w:sz="0" w:space="0" w:color="auto"/>
        <w:right w:val="none" w:sz="0" w:space="0" w:color="auto"/>
      </w:divBdr>
    </w:div>
    <w:div w:id="765075316">
      <w:bodyDiv w:val="1"/>
      <w:marLeft w:val="0"/>
      <w:marRight w:val="0"/>
      <w:marTop w:val="0"/>
      <w:marBottom w:val="0"/>
      <w:divBdr>
        <w:top w:val="none" w:sz="0" w:space="0" w:color="auto"/>
        <w:left w:val="none" w:sz="0" w:space="0" w:color="auto"/>
        <w:bottom w:val="none" w:sz="0" w:space="0" w:color="auto"/>
        <w:right w:val="none" w:sz="0" w:space="0" w:color="auto"/>
      </w:divBdr>
    </w:div>
    <w:div w:id="765225658">
      <w:bodyDiv w:val="1"/>
      <w:marLeft w:val="0"/>
      <w:marRight w:val="0"/>
      <w:marTop w:val="0"/>
      <w:marBottom w:val="0"/>
      <w:divBdr>
        <w:top w:val="none" w:sz="0" w:space="0" w:color="auto"/>
        <w:left w:val="none" w:sz="0" w:space="0" w:color="auto"/>
        <w:bottom w:val="none" w:sz="0" w:space="0" w:color="auto"/>
        <w:right w:val="none" w:sz="0" w:space="0" w:color="auto"/>
      </w:divBdr>
    </w:div>
    <w:div w:id="765230450">
      <w:bodyDiv w:val="1"/>
      <w:marLeft w:val="0"/>
      <w:marRight w:val="0"/>
      <w:marTop w:val="0"/>
      <w:marBottom w:val="0"/>
      <w:divBdr>
        <w:top w:val="none" w:sz="0" w:space="0" w:color="auto"/>
        <w:left w:val="none" w:sz="0" w:space="0" w:color="auto"/>
        <w:bottom w:val="none" w:sz="0" w:space="0" w:color="auto"/>
        <w:right w:val="none" w:sz="0" w:space="0" w:color="auto"/>
      </w:divBdr>
    </w:div>
    <w:div w:id="765736774">
      <w:bodyDiv w:val="1"/>
      <w:marLeft w:val="0"/>
      <w:marRight w:val="0"/>
      <w:marTop w:val="0"/>
      <w:marBottom w:val="0"/>
      <w:divBdr>
        <w:top w:val="none" w:sz="0" w:space="0" w:color="auto"/>
        <w:left w:val="none" w:sz="0" w:space="0" w:color="auto"/>
        <w:bottom w:val="none" w:sz="0" w:space="0" w:color="auto"/>
        <w:right w:val="none" w:sz="0" w:space="0" w:color="auto"/>
      </w:divBdr>
    </w:div>
    <w:div w:id="766195975">
      <w:bodyDiv w:val="1"/>
      <w:marLeft w:val="0"/>
      <w:marRight w:val="0"/>
      <w:marTop w:val="0"/>
      <w:marBottom w:val="0"/>
      <w:divBdr>
        <w:top w:val="none" w:sz="0" w:space="0" w:color="auto"/>
        <w:left w:val="none" w:sz="0" w:space="0" w:color="auto"/>
        <w:bottom w:val="none" w:sz="0" w:space="0" w:color="auto"/>
        <w:right w:val="none" w:sz="0" w:space="0" w:color="auto"/>
      </w:divBdr>
    </w:div>
    <w:div w:id="766274938">
      <w:bodyDiv w:val="1"/>
      <w:marLeft w:val="0"/>
      <w:marRight w:val="0"/>
      <w:marTop w:val="0"/>
      <w:marBottom w:val="0"/>
      <w:divBdr>
        <w:top w:val="none" w:sz="0" w:space="0" w:color="auto"/>
        <w:left w:val="none" w:sz="0" w:space="0" w:color="auto"/>
        <w:bottom w:val="none" w:sz="0" w:space="0" w:color="auto"/>
        <w:right w:val="none" w:sz="0" w:space="0" w:color="auto"/>
      </w:divBdr>
    </w:div>
    <w:div w:id="766315157">
      <w:bodyDiv w:val="1"/>
      <w:marLeft w:val="0"/>
      <w:marRight w:val="0"/>
      <w:marTop w:val="0"/>
      <w:marBottom w:val="0"/>
      <w:divBdr>
        <w:top w:val="none" w:sz="0" w:space="0" w:color="auto"/>
        <w:left w:val="none" w:sz="0" w:space="0" w:color="auto"/>
        <w:bottom w:val="none" w:sz="0" w:space="0" w:color="auto"/>
        <w:right w:val="none" w:sz="0" w:space="0" w:color="auto"/>
      </w:divBdr>
    </w:div>
    <w:div w:id="766583848">
      <w:bodyDiv w:val="1"/>
      <w:marLeft w:val="0"/>
      <w:marRight w:val="0"/>
      <w:marTop w:val="0"/>
      <w:marBottom w:val="0"/>
      <w:divBdr>
        <w:top w:val="none" w:sz="0" w:space="0" w:color="auto"/>
        <w:left w:val="none" w:sz="0" w:space="0" w:color="auto"/>
        <w:bottom w:val="none" w:sz="0" w:space="0" w:color="auto"/>
        <w:right w:val="none" w:sz="0" w:space="0" w:color="auto"/>
      </w:divBdr>
    </w:div>
    <w:div w:id="766847376">
      <w:bodyDiv w:val="1"/>
      <w:marLeft w:val="0"/>
      <w:marRight w:val="0"/>
      <w:marTop w:val="0"/>
      <w:marBottom w:val="0"/>
      <w:divBdr>
        <w:top w:val="none" w:sz="0" w:space="0" w:color="auto"/>
        <w:left w:val="none" w:sz="0" w:space="0" w:color="auto"/>
        <w:bottom w:val="none" w:sz="0" w:space="0" w:color="auto"/>
        <w:right w:val="none" w:sz="0" w:space="0" w:color="auto"/>
      </w:divBdr>
    </w:div>
    <w:div w:id="766851388">
      <w:bodyDiv w:val="1"/>
      <w:marLeft w:val="0"/>
      <w:marRight w:val="0"/>
      <w:marTop w:val="0"/>
      <w:marBottom w:val="0"/>
      <w:divBdr>
        <w:top w:val="none" w:sz="0" w:space="0" w:color="auto"/>
        <w:left w:val="none" w:sz="0" w:space="0" w:color="auto"/>
        <w:bottom w:val="none" w:sz="0" w:space="0" w:color="auto"/>
        <w:right w:val="none" w:sz="0" w:space="0" w:color="auto"/>
      </w:divBdr>
    </w:div>
    <w:div w:id="766928303">
      <w:bodyDiv w:val="1"/>
      <w:marLeft w:val="0"/>
      <w:marRight w:val="0"/>
      <w:marTop w:val="0"/>
      <w:marBottom w:val="0"/>
      <w:divBdr>
        <w:top w:val="none" w:sz="0" w:space="0" w:color="auto"/>
        <w:left w:val="none" w:sz="0" w:space="0" w:color="auto"/>
        <w:bottom w:val="none" w:sz="0" w:space="0" w:color="auto"/>
        <w:right w:val="none" w:sz="0" w:space="0" w:color="auto"/>
      </w:divBdr>
    </w:div>
    <w:div w:id="767048091">
      <w:bodyDiv w:val="1"/>
      <w:marLeft w:val="0"/>
      <w:marRight w:val="0"/>
      <w:marTop w:val="0"/>
      <w:marBottom w:val="0"/>
      <w:divBdr>
        <w:top w:val="none" w:sz="0" w:space="0" w:color="auto"/>
        <w:left w:val="none" w:sz="0" w:space="0" w:color="auto"/>
        <w:bottom w:val="none" w:sz="0" w:space="0" w:color="auto"/>
        <w:right w:val="none" w:sz="0" w:space="0" w:color="auto"/>
      </w:divBdr>
    </w:div>
    <w:div w:id="767193974">
      <w:bodyDiv w:val="1"/>
      <w:marLeft w:val="0"/>
      <w:marRight w:val="0"/>
      <w:marTop w:val="0"/>
      <w:marBottom w:val="0"/>
      <w:divBdr>
        <w:top w:val="none" w:sz="0" w:space="0" w:color="auto"/>
        <w:left w:val="none" w:sz="0" w:space="0" w:color="auto"/>
        <w:bottom w:val="none" w:sz="0" w:space="0" w:color="auto"/>
        <w:right w:val="none" w:sz="0" w:space="0" w:color="auto"/>
      </w:divBdr>
    </w:div>
    <w:div w:id="767195148">
      <w:bodyDiv w:val="1"/>
      <w:marLeft w:val="0"/>
      <w:marRight w:val="0"/>
      <w:marTop w:val="0"/>
      <w:marBottom w:val="0"/>
      <w:divBdr>
        <w:top w:val="none" w:sz="0" w:space="0" w:color="auto"/>
        <w:left w:val="none" w:sz="0" w:space="0" w:color="auto"/>
        <w:bottom w:val="none" w:sz="0" w:space="0" w:color="auto"/>
        <w:right w:val="none" w:sz="0" w:space="0" w:color="auto"/>
      </w:divBdr>
    </w:div>
    <w:div w:id="767625891">
      <w:bodyDiv w:val="1"/>
      <w:marLeft w:val="0"/>
      <w:marRight w:val="0"/>
      <w:marTop w:val="0"/>
      <w:marBottom w:val="0"/>
      <w:divBdr>
        <w:top w:val="none" w:sz="0" w:space="0" w:color="auto"/>
        <w:left w:val="none" w:sz="0" w:space="0" w:color="auto"/>
        <w:bottom w:val="none" w:sz="0" w:space="0" w:color="auto"/>
        <w:right w:val="none" w:sz="0" w:space="0" w:color="auto"/>
      </w:divBdr>
    </w:div>
    <w:div w:id="767702545">
      <w:bodyDiv w:val="1"/>
      <w:marLeft w:val="0"/>
      <w:marRight w:val="0"/>
      <w:marTop w:val="0"/>
      <w:marBottom w:val="0"/>
      <w:divBdr>
        <w:top w:val="none" w:sz="0" w:space="0" w:color="auto"/>
        <w:left w:val="none" w:sz="0" w:space="0" w:color="auto"/>
        <w:bottom w:val="none" w:sz="0" w:space="0" w:color="auto"/>
        <w:right w:val="none" w:sz="0" w:space="0" w:color="auto"/>
      </w:divBdr>
    </w:div>
    <w:div w:id="767892333">
      <w:bodyDiv w:val="1"/>
      <w:marLeft w:val="0"/>
      <w:marRight w:val="0"/>
      <w:marTop w:val="0"/>
      <w:marBottom w:val="0"/>
      <w:divBdr>
        <w:top w:val="none" w:sz="0" w:space="0" w:color="auto"/>
        <w:left w:val="none" w:sz="0" w:space="0" w:color="auto"/>
        <w:bottom w:val="none" w:sz="0" w:space="0" w:color="auto"/>
        <w:right w:val="none" w:sz="0" w:space="0" w:color="auto"/>
      </w:divBdr>
    </w:div>
    <w:div w:id="768358417">
      <w:bodyDiv w:val="1"/>
      <w:marLeft w:val="0"/>
      <w:marRight w:val="0"/>
      <w:marTop w:val="0"/>
      <w:marBottom w:val="0"/>
      <w:divBdr>
        <w:top w:val="none" w:sz="0" w:space="0" w:color="auto"/>
        <w:left w:val="none" w:sz="0" w:space="0" w:color="auto"/>
        <w:bottom w:val="none" w:sz="0" w:space="0" w:color="auto"/>
        <w:right w:val="none" w:sz="0" w:space="0" w:color="auto"/>
      </w:divBdr>
    </w:div>
    <w:div w:id="768426688">
      <w:bodyDiv w:val="1"/>
      <w:marLeft w:val="0"/>
      <w:marRight w:val="0"/>
      <w:marTop w:val="0"/>
      <w:marBottom w:val="0"/>
      <w:divBdr>
        <w:top w:val="none" w:sz="0" w:space="0" w:color="auto"/>
        <w:left w:val="none" w:sz="0" w:space="0" w:color="auto"/>
        <w:bottom w:val="none" w:sz="0" w:space="0" w:color="auto"/>
        <w:right w:val="none" w:sz="0" w:space="0" w:color="auto"/>
      </w:divBdr>
    </w:div>
    <w:div w:id="768500656">
      <w:bodyDiv w:val="1"/>
      <w:marLeft w:val="0"/>
      <w:marRight w:val="0"/>
      <w:marTop w:val="0"/>
      <w:marBottom w:val="0"/>
      <w:divBdr>
        <w:top w:val="none" w:sz="0" w:space="0" w:color="auto"/>
        <w:left w:val="none" w:sz="0" w:space="0" w:color="auto"/>
        <w:bottom w:val="none" w:sz="0" w:space="0" w:color="auto"/>
        <w:right w:val="none" w:sz="0" w:space="0" w:color="auto"/>
      </w:divBdr>
    </w:div>
    <w:div w:id="768819790">
      <w:bodyDiv w:val="1"/>
      <w:marLeft w:val="0"/>
      <w:marRight w:val="0"/>
      <w:marTop w:val="0"/>
      <w:marBottom w:val="0"/>
      <w:divBdr>
        <w:top w:val="none" w:sz="0" w:space="0" w:color="auto"/>
        <w:left w:val="none" w:sz="0" w:space="0" w:color="auto"/>
        <w:bottom w:val="none" w:sz="0" w:space="0" w:color="auto"/>
        <w:right w:val="none" w:sz="0" w:space="0" w:color="auto"/>
      </w:divBdr>
    </w:div>
    <w:div w:id="768887745">
      <w:bodyDiv w:val="1"/>
      <w:marLeft w:val="0"/>
      <w:marRight w:val="0"/>
      <w:marTop w:val="0"/>
      <w:marBottom w:val="0"/>
      <w:divBdr>
        <w:top w:val="none" w:sz="0" w:space="0" w:color="auto"/>
        <w:left w:val="none" w:sz="0" w:space="0" w:color="auto"/>
        <w:bottom w:val="none" w:sz="0" w:space="0" w:color="auto"/>
        <w:right w:val="none" w:sz="0" w:space="0" w:color="auto"/>
      </w:divBdr>
    </w:div>
    <w:div w:id="769207451">
      <w:bodyDiv w:val="1"/>
      <w:marLeft w:val="0"/>
      <w:marRight w:val="0"/>
      <w:marTop w:val="0"/>
      <w:marBottom w:val="0"/>
      <w:divBdr>
        <w:top w:val="none" w:sz="0" w:space="0" w:color="auto"/>
        <w:left w:val="none" w:sz="0" w:space="0" w:color="auto"/>
        <w:bottom w:val="none" w:sz="0" w:space="0" w:color="auto"/>
        <w:right w:val="none" w:sz="0" w:space="0" w:color="auto"/>
      </w:divBdr>
    </w:div>
    <w:div w:id="769353447">
      <w:bodyDiv w:val="1"/>
      <w:marLeft w:val="0"/>
      <w:marRight w:val="0"/>
      <w:marTop w:val="0"/>
      <w:marBottom w:val="0"/>
      <w:divBdr>
        <w:top w:val="none" w:sz="0" w:space="0" w:color="auto"/>
        <w:left w:val="none" w:sz="0" w:space="0" w:color="auto"/>
        <w:bottom w:val="none" w:sz="0" w:space="0" w:color="auto"/>
        <w:right w:val="none" w:sz="0" w:space="0" w:color="auto"/>
      </w:divBdr>
    </w:div>
    <w:div w:id="769424033">
      <w:bodyDiv w:val="1"/>
      <w:marLeft w:val="0"/>
      <w:marRight w:val="0"/>
      <w:marTop w:val="0"/>
      <w:marBottom w:val="0"/>
      <w:divBdr>
        <w:top w:val="none" w:sz="0" w:space="0" w:color="auto"/>
        <w:left w:val="none" w:sz="0" w:space="0" w:color="auto"/>
        <w:bottom w:val="none" w:sz="0" w:space="0" w:color="auto"/>
        <w:right w:val="none" w:sz="0" w:space="0" w:color="auto"/>
      </w:divBdr>
    </w:div>
    <w:div w:id="769859725">
      <w:bodyDiv w:val="1"/>
      <w:marLeft w:val="0"/>
      <w:marRight w:val="0"/>
      <w:marTop w:val="0"/>
      <w:marBottom w:val="0"/>
      <w:divBdr>
        <w:top w:val="none" w:sz="0" w:space="0" w:color="auto"/>
        <w:left w:val="none" w:sz="0" w:space="0" w:color="auto"/>
        <w:bottom w:val="none" w:sz="0" w:space="0" w:color="auto"/>
        <w:right w:val="none" w:sz="0" w:space="0" w:color="auto"/>
      </w:divBdr>
    </w:div>
    <w:div w:id="770080250">
      <w:bodyDiv w:val="1"/>
      <w:marLeft w:val="0"/>
      <w:marRight w:val="0"/>
      <w:marTop w:val="0"/>
      <w:marBottom w:val="0"/>
      <w:divBdr>
        <w:top w:val="none" w:sz="0" w:space="0" w:color="auto"/>
        <w:left w:val="none" w:sz="0" w:space="0" w:color="auto"/>
        <w:bottom w:val="none" w:sz="0" w:space="0" w:color="auto"/>
        <w:right w:val="none" w:sz="0" w:space="0" w:color="auto"/>
      </w:divBdr>
    </w:div>
    <w:div w:id="770276808">
      <w:bodyDiv w:val="1"/>
      <w:marLeft w:val="0"/>
      <w:marRight w:val="0"/>
      <w:marTop w:val="0"/>
      <w:marBottom w:val="0"/>
      <w:divBdr>
        <w:top w:val="none" w:sz="0" w:space="0" w:color="auto"/>
        <w:left w:val="none" w:sz="0" w:space="0" w:color="auto"/>
        <w:bottom w:val="none" w:sz="0" w:space="0" w:color="auto"/>
        <w:right w:val="none" w:sz="0" w:space="0" w:color="auto"/>
      </w:divBdr>
    </w:div>
    <w:div w:id="770276880">
      <w:bodyDiv w:val="1"/>
      <w:marLeft w:val="0"/>
      <w:marRight w:val="0"/>
      <w:marTop w:val="0"/>
      <w:marBottom w:val="0"/>
      <w:divBdr>
        <w:top w:val="none" w:sz="0" w:space="0" w:color="auto"/>
        <w:left w:val="none" w:sz="0" w:space="0" w:color="auto"/>
        <w:bottom w:val="none" w:sz="0" w:space="0" w:color="auto"/>
        <w:right w:val="none" w:sz="0" w:space="0" w:color="auto"/>
      </w:divBdr>
    </w:div>
    <w:div w:id="770315462">
      <w:bodyDiv w:val="1"/>
      <w:marLeft w:val="0"/>
      <w:marRight w:val="0"/>
      <w:marTop w:val="0"/>
      <w:marBottom w:val="0"/>
      <w:divBdr>
        <w:top w:val="none" w:sz="0" w:space="0" w:color="auto"/>
        <w:left w:val="none" w:sz="0" w:space="0" w:color="auto"/>
        <w:bottom w:val="none" w:sz="0" w:space="0" w:color="auto"/>
        <w:right w:val="none" w:sz="0" w:space="0" w:color="auto"/>
      </w:divBdr>
    </w:div>
    <w:div w:id="770861419">
      <w:bodyDiv w:val="1"/>
      <w:marLeft w:val="0"/>
      <w:marRight w:val="0"/>
      <w:marTop w:val="0"/>
      <w:marBottom w:val="0"/>
      <w:divBdr>
        <w:top w:val="none" w:sz="0" w:space="0" w:color="auto"/>
        <w:left w:val="none" w:sz="0" w:space="0" w:color="auto"/>
        <w:bottom w:val="none" w:sz="0" w:space="0" w:color="auto"/>
        <w:right w:val="none" w:sz="0" w:space="0" w:color="auto"/>
      </w:divBdr>
    </w:div>
    <w:div w:id="771052809">
      <w:bodyDiv w:val="1"/>
      <w:marLeft w:val="0"/>
      <w:marRight w:val="0"/>
      <w:marTop w:val="0"/>
      <w:marBottom w:val="0"/>
      <w:divBdr>
        <w:top w:val="none" w:sz="0" w:space="0" w:color="auto"/>
        <w:left w:val="none" w:sz="0" w:space="0" w:color="auto"/>
        <w:bottom w:val="none" w:sz="0" w:space="0" w:color="auto"/>
        <w:right w:val="none" w:sz="0" w:space="0" w:color="auto"/>
      </w:divBdr>
    </w:div>
    <w:div w:id="771240740">
      <w:bodyDiv w:val="1"/>
      <w:marLeft w:val="0"/>
      <w:marRight w:val="0"/>
      <w:marTop w:val="0"/>
      <w:marBottom w:val="0"/>
      <w:divBdr>
        <w:top w:val="none" w:sz="0" w:space="0" w:color="auto"/>
        <w:left w:val="none" w:sz="0" w:space="0" w:color="auto"/>
        <w:bottom w:val="none" w:sz="0" w:space="0" w:color="auto"/>
        <w:right w:val="none" w:sz="0" w:space="0" w:color="auto"/>
      </w:divBdr>
    </w:div>
    <w:div w:id="771783632">
      <w:bodyDiv w:val="1"/>
      <w:marLeft w:val="0"/>
      <w:marRight w:val="0"/>
      <w:marTop w:val="0"/>
      <w:marBottom w:val="0"/>
      <w:divBdr>
        <w:top w:val="none" w:sz="0" w:space="0" w:color="auto"/>
        <w:left w:val="none" w:sz="0" w:space="0" w:color="auto"/>
        <w:bottom w:val="none" w:sz="0" w:space="0" w:color="auto"/>
        <w:right w:val="none" w:sz="0" w:space="0" w:color="auto"/>
      </w:divBdr>
    </w:div>
    <w:div w:id="771902901">
      <w:bodyDiv w:val="1"/>
      <w:marLeft w:val="0"/>
      <w:marRight w:val="0"/>
      <w:marTop w:val="0"/>
      <w:marBottom w:val="0"/>
      <w:divBdr>
        <w:top w:val="none" w:sz="0" w:space="0" w:color="auto"/>
        <w:left w:val="none" w:sz="0" w:space="0" w:color="auto"/>
        <w:bottom w:val="none" w:sz="0" w:space="0" w:color="auto"/>
        <w:right w:val="none" w:sz="0" w:space="0" w:color="auto"/>
      </w:divBdr>
    </w:div>
    <w:div w:id="772475852">
      <w:bodyDiv w:val="1"/>
      <w:marLeft w:val="0"/>
      <w:marRight w:val="0"/>
      <w:marTop w:val="0"/>
      <w:marBottom w:val="0"/>
      <w:divBdr>
        <w:top w:val="none" w:sz="0" w:space="0" w:color="auto"/>
        <w:left w:val="none" w:sz="0" w:space="0" w:color="auto"/>
        <w:bottom w:val="none" w:sz="0" w:space="0" w:color="auto"/>
        <w:right w:val="none" w:sz="0" w:space="0" w:color="auto"/>
      </w:divBdr>
    </w:div>
    <w:div w:id="772476998">
      <w:bodyDiv w:val="1"/>
      <w:marLeft w:val="0"/>
      <w:marRight w:val="0"/>
      <w:marTop w:val="0"/>
      <w:marBottom w:val="0"/>
      <w:divBdr>
        <w:top w:val="none" w:sz="0" w:space="0" w:color="auto"/>
        <w:left w:val="none" w:sz="0" w:space="0" w:color="auto"/>
        <w:bottom w:val="none" w:sz="0" w:space="0" w:color="auto"/>
        <w:right w:val="none" w:sz="0" w:space="0" w:color="auto"/>
      </w:divBdr>
    </w:div>
    <w:div w:id="773093798">
      <w:bodyDiv w:val="1"/>
      <w:marLeft w:val="0"/>
      <w:marRight w:val="0"/>
      <w:marTop w:val="0"/>
      <w:marBottom w:val="0"/>
      <w:divBdr>
        <w:top w:val="none" w:sz="0" w:space="0" w:color="auto"/>
        <w:left w:val="none" w:sz="0" w:space="0" w:color="auto"/>
        <w:bottom w:val="none" w:sz="0" w:space="0" w:color="auto"/>
        <w:right w:val="none" w:sz="0" w:space="0" w:color="auto"/>
      </w:divBdr>
    </w:div>
    <w:div w:id="773398897">
      <w:bodyDiv w:val="1"/>
      <w:marLeft w:val="0"/>
      <w:marRight w:val="0"/>
      <w:marTop w:val="0"/>
      <w:marBottom w:val="0"/>
      <w:divBdr>
        <w:top w:val="none" w:sz="0" w:space="0" w:color="auto"/>
        <w:left w:val="none" w:sz="0" w:space="0" w:color="auto"/>
        <w:bottom w:val="none" w:sz="0" w:space="0" w:color="auto"/>
        <w:right w:val="none" w:sz="0" w:space="0" w:color="auto"/>
      </w:divBdr>
    </w:div>
    <w:div w:id="773790024">
      <w:bodyDiv w:val="1"/>
      <w:marLeft w:val="0"/>
      <w:marRight w:val="0"/>
      <w:marTop w:val="0"/>
      <w:marBottom w:val="0"/>
      <w:divBdr>
        <w:top w:val="none" w:sz="0" w:space="0" w:color="auto"/>
        <w:left w:val="none" w:sz="0" w:space="0" w:color="auto"/>
        <w:bottom w:val="none" w:sz="0" w:space="0" w:color="auto"/>
        <w:right w:val="none" w:sz="0" w:space="0" w:color="auto"/>
      </w:divBdr>
    </w:div>
    <w:div w:id="774440462">
      <w:bodyDiv w:val="1"/>
      <w:marLeft w:val="0"/>
      <w:marRight w:val="0"/>
      <w:marTop w:val="0"/>
      <w:marBottom w:val="0"/>
      <w:divBdr>
        <w:top w:val="none" w:sz="0" w:space="0" w:color="auto"/>
        <w:left w:val="none" w:sz="0" w:space="0" w:color="auto"/>
        <w:bottom w:val="none" w:sz="0" w:space="0" w:color="auto"/>
        <w:right w:val="none" w:sz="0" w:space="0" w:color="auto"/>
      </w:divBdr>
    </w:div>
    <w:div w:id="774521070">
      <w:bodyDiv w:val="1"/>
      <w:marLeft w:val="0"/>
      <w:marRight w:val="0"/>
      <w:marTop w:val="0"/>
      <w:marBottom w:val="0"/>
      <w:divBdr>
        <w:top w:val="none" w:sz="0" w:space="0" w:color="auto"/>
        <w:left w:val="none" w:sz="0" w:space="0" w:color="auto"/>
        <w:bottom w:val="none" w:sz="0" w:space="0" w:color="auto"/>
        <w:right w:val="none" w:sz="0" w:space="0" w:color="auto"/>
      </w:divBdr>
    </w:div>
    <w:div w:id="775372952">
      <w:bodyDiv w:val="1"/>
      <w:marLeft w:val="0"/>
      <w:marRight w:val="0"/>
      <w:marTop w:val="0"/>
      <w:marBottom w:val="0"/>
      <w:divBdr>
        <w:top w:val="none" w:sz="0" w:space="0" w:color="auto"/>
        <w:left w:val="none" w:sz="0" w:space="0" w:color="auto"/>
        <w:bottom w:val="none" w:sz="0" w:space="0" w:color="auto"/>
        <w:right w:val="none" w:sz="0" w:space="0" w:color="auto"/>
      </w:divBdr>
    </w:div>
    <w:div w:id="775445790">
      <w:bodyDiv w:val="1"/>
      <w:marLeft w:val="0"/>
      <w:marRight w:val="0"/>
      <w:marTop w:val="0"/>
      <w:marBottom w:val="0"/>
      <w:divBdr>
        <w:top w:val="none" w:sz="0" w:space="0" w:color="auto"/>
        <w:left w:val="none" w:sz="0" w:space="0" w:color="auto"/>
        <w:bottom w:val="none" w:sz="0" w:space="0" w:color="auto"/>
        <w:right w:val="none" w:sz="0" w:space="0" w:color="auto"/>
      </w:divBdr>
    </w:div>
    <w:div w:id="775632697">
      <w:bodyDiv w:val="1"/>
      <w:marLeft w:val="0"/>
      <w:marRight w:val="0"/>
      <w:marTop w:val="0"/>
      <w:marBottom w:val="0"/>
      <w:divBdr>
        <w:top w:val="none" w:sz="0" w:space="0" w:color="auto"/>
        <w:left w:val="none" w:sz="0" w:space="0" w:color="auto"/>
        <w:bottom w:val="none" w:sz="0" w:space="0" w:color="auto"/>
        <w:right w:val="none" w:sz="0" w:space="0" w:color="auto"/>
      </w:divBdr>
    </w:div>
    <w:div w:id="776221444">
      <w:bodyDiv w:val="1"/>
      <w:marLeft w:val="0"/>
      <w:marRight w:val="0"/>
      <w:marTop w:val="0"/>
      <w:marBottom w:val="0"/>
      <w:divBdr>
        <w:top w:val="none" w:sz="0" w:space="0" w:color="auto"/>
        <w:left w:val="none" w:sz="0" w:space="0" w:color="auto"/>
        <w:bottom w:val="none" w:sz="0" w:space="0" w:color="auto"/>
        <w:right w:val="none" w:sz="0" w:space="0" w:color="auto"/>
      </w:divBdr>
    </w:div>
    <w:div w:id="776221688">
      <w:bodyDiv w:val="1"/>
      <w:marLeft w:val="0"/>
      <w:marRight w:val="0"/>
      <w:marTop w:val="0"/>
      <w:marBottom w:val="0"/>
      <w:divBdr>
        <w:top w:val="none" w:sz="0" w:space="0" w:color="auto"/>
        <w:left w:val="none" w:sz="0" w:space="0" w:color="auto"/>
        <w:bottom w:val="none" w:sz="0" w:space="0" w:color="auto"/>
        <w:right w:val="none" w:sz="0" w:space="0" w:color="auto"/>
      </w:divBdr>
    </w:div>
    <w:div w:id="776407545">
      <w:bodyDiv w:val="1"/>
      <w:marLeft w:val="0"/>
      <w:marRight w:val="0"/>
      <w:marTop w:val="0"/>
      <w:marBottom w:val="0"/>
      <w:divBdr>
        <w:top w:val="none" w:sz="0" w:space="0" w:color="auto"/>
        <w:left w:val="none" w:sz="0" w:space="0" w:color="auto"/>
        <w:bottom w:val="none" w:sz="0" w:space="0" w:color="auto"/>
        <w:right w:val="none" w:sz="0" w:space="0" w:color="auto"/>
      </w:divBdr>
    </w:div>
    <w:div w:id="776414023">
      <w:bodyDiv w:val="1"/>
      <w:marLeft w:val="0"/>
      <w:marRight w:val="0"/>
      <w:marTop w:val="0"/>
      <w:marBottom w:val="0"/>
      <w:divBdr>
        <w:top w:val="none" w:sz="0" w:space="0" w:color="auto"/>
        <w:left w:val="none" w:sz="0" w:space="0" w:color="auto"/>
        <w:bottom w:val="none" w:sz="0" w:space="0" w:color="auto"/>
        <w:right w:val="none" w:sz="0" w:space="0" w:color="auto"/>
      </w:divBdr>
    </w:div>
    <w:div w:id="776606743">
      <w:bodyDiv w:val="1"/>
      <w:marLeft w:val="0"/>
      <w:marRight w:val="0"/>
      <w:marTop w:val="0"/>
      <w:marBottom w:val="0"/>
      <w:divBdr>
        <w:top w:val="none" w:sz="0" w:space="0" w:color="auto"/>
        <w:left w:val="none" w:sz="0" w:space="0" w:color="auto"/>
        <w:bottom w:val="none" w:sz="0" w:space="0" w:color="auto"/>
        <w:right w:val="none" w:sz="0" w:space="0" w:color="auto"/>
      </w:divBdr>
    </w:div>
    <w:div w:id="776684167">
      <w:bodyDiv w:val="1"/>
      <w:marLeft w:val="0"/>
      <w:marRight w:val="0"/>
      <w:marTop w:val="0"/>
      <w:marBottom w:val="0"/>
      <w:divBdr>
        <w:top w:val="none" w:sz="0" w:space="0" w:color="auto"/>
        <w:left w:val="none" w:sz="0" w:space="0" w:color="auto"/>
        <w:bottom w:val="none" w:sz="0" w:space="0" w:color="auto"/>
        <w:right w:val="none" w:sz="0" w:space="0" w:color="auto"/>
      </w:divBdr>
    </w:div>
    <w:div w:id="776759058">
      <w:bodyDiv w:val="1"/>
      <w:marLeft w:val="0"/>
      <w:marRight w:val="0"/>
      <w:marTop w:val="0"/>
      <w:marBottom w:val="0"/>
      <w:divBdr>
        <w:top w:val="none" w:sz="0" w:space="0" w:color="auto"/>
        <w:left w:val="none" w:sz="0" w:space="0" w:color="auto"/>
        <w:bottom w:val="none" w:sz="0" w:space="0" w:color="auto"/>
        <w:right w:val="none" w:sz="0" w:space="0" w:color="auto"/>
      </w:divBdr>
    </w:div>
    <w:div w:id="776826241">
      <w:bodyDiv w:val="1"/>
      <w:marLeft w:val="0"/>
      <w:marRight w:val="0"/>
      <w:marTop w:val="0"/>
      <w:marBottom w:val="0"/>
      <w:divBdr>
        <w:top w:val="none" w:sz="0" w:space="0" w:color="auto"/>
        <w:left w:val="none" w:sz="0" w:space="0" w:color="auto"/>
        <w:bottom w:val="none" w:sz="0" w:space="0" w:color="auto"/>
        <w:right w:val="none" w:sz="0" w:space="0" w:color="auto"/>
      </w:divBdr>
    </w:div>
    <w:div w:id="776945934">
      <w:bodyDiv w:val="1"/>
      <w:marLeft w:val="0"/>
      <w:marRight w:val="0"/>
      <w:marTop w:val="0"/>
      <w:marBottom w:val="0"/>
      <w:divBdr>
        <w:top w:val="none" w:sz="0" w:space="0" w:color="auto"/>
        <w:left w:val="none" w:sz="0" w:space="0" w:color="auto"/>
        <w:bottom w:val="none" w:sz="0" w:space="0" w:color="auto"/>
        <w:right w:val="none" w:sz="0" w:space="0" w:color="auto"/>
      </w:divBdr>
    </w:div>
    <w:div w:id="777220285">
      <w:bodyDiv w:val="1"/>
      <w:marLeft w:val="0"/>
      <w:marRight w:val="0"/>
      <w:marTop w:val="0"/>
      <w:marBottom w:val="0"/>
      <w:divBdr>
        <w:top w:val="none" w:sz="0" w:space="0" w:color="auto"/>
        <w:left w:val="none" w:sz="0" w:space="0" w:color="auto"/>
        <w:bottom w:val="none" w:sz="0" w:space="0" w:color="auto"/>
        <w:right w:val="none" w:sz="0" w:space="0" w:color="auto"/>
      </w:divBdr>
    </w:div>
    <w:div w:id="777531039">
      <w:bodyDiv w:val="1"/>
      <w:marLeft w:val="0"/>
      <w:marRight w:val="0"/>
      <w:marTop w:val="0"/>
      <w:marBottom w:val="0"/>
      <w:divBdr>
        <w:top w:val="none" w:sz="0" w:space="0" w:color="auto"/>
        <w:left w:val="none" w:sz="0" w:space="0" w:color="auto"/>
        <w:bottom w:val="none" w:sz="0" w:space="0" w:color="auto"/>
        <w:right w:val="none" w:sz="0" w:space="0" w:color="auto"/>
      </w:divBdr>
    </w:div>
    <w:div w:id="777791691">
      <w:bodyDiv w:val="1"/>
      <w:marLeft w:val="0"/>
      <w:marRight w:val="0"/>
      <w:marTop w:val="0"/>
      <w:marBottom w:val="0"/>
      <w:divBdr>
        <w:top w:val="none" w:sz="0" w:space="0" w:color="auto"/>
        <w:left w:val="none" w:sz="0" w:space="0" w:color="auto"/>
        <w:bottom w:val="none" w:sz="0" w:space="0" w:color="auto"/>
        <w:right w:val="none" w:sz="0" w:space="0" w:color="auto"/>
      </w:divBdr>
    </w:div>
    <w:div w:id="777912369">
      <w:bodyDiv w:val="1"/>
      <w:marLeft w:val="0"/>
      <w:marRight w:val="0"/>
      <w:marTop w:val="0"/>
      <w:marBottom w:val="0"/>
      <w:divBdr>
        <w:top w:val="none" w:sz="0" w:space="0" w:color="auto"/>
        <w:left w:val="none" w:sz="0" w:space="0" w:color="auto"/>
        <w:bottom w:val="none" w:sz="0" w:space="0" w:color="auto"/>
        <w:right w:val="none" w:sz="0" w:space="0" w:color="auto"/>
      </w:divBdr>
    </w:div>
    <w:div w:id="778529167">
      <w:bodyDiv w:val="1"/>
      <w:marLeft w:val="0"/>
      <w:marRight w:val="0"/>
      <w:marTop w:val="0"/>
      <w:marBottom w:val="0"/>
      <w:divBdr>
        <w:top w:val="none" w:sz="0" w:space="0" w:color="auto"/>
        <w:left w:val="none" w:sz="0" w:space="0" w:color="auto"/>
        <w:bottom w:val="none" w:sz="0" w:space="0" w:color="auto"/>
        <w:right w:val="none" w:sz="0" w:space="0" w:color="auto"/>
      </w:divBdr>
    </w:div>
    <w:div w:id="778791440">
      <w:bodyDiv w:val="1"/>
      <w:marLeft w:val="0"/>
      <w:marRight w:val="0"/>
      <w:marTop w:val="0"/>
      <w:marBottom w:val="0"/>
      <w:divBdr>
        <w:top w:val="none" w:sz="0" w:space="0" w:color="auto"/>
        <w:left w:val="none" w:sz="0" w:space="0" w:color="auto"/>
        <w:bottom w:val="none" w:sz="0" w:space="0" w:color="auto"/>
        <w:right w:val="none" w:sz="0" w:space="0" w:color="auto"/>
      </w:divBdr>
    </w:div>
    <w:div w:id="778917143">
      <w:bodyDiv w:val="1"/>
      <w:marLeft w:val="0"/>
      <w:marRight w:val="0"/>
      <w:marTop w:val="0"/>
      <w:marBottom w:val="0"/>
      <w:divBdr>
        <w:top w:val="none" w:sz="0" w:space="0" w:color="auto"/>
        <w:left w:val="none" w:sz="0" w:space="0" w:color="auto"/>
        <w:bottom w:val="none" w:sz="0" w:space="0" w:color="auto"/>
        <w:right w:val="none" w:sz="0" w:space="0" w:color="auto"/>
      </w:divBdr>
    </w:div>
    <w:div w:id="779299949">
      <w:bodyDiv w:val="1"/>
      <w:marLeft w:val="0"/>
      <w:marRight w:val="0"/>
      <w:marTop w:val="0"/>
      <w:marBottom w:val="0"/>
      <w:divBdr>
        <w:top w:val="none" w:sz="0" w:space="0" w:color="auto"/>
        <w:left w:val="none" w:sz="0" w:space="0" w:color="auto"/>
        <w:bottom w:val="none" w:sz="0" w:space="0" w:color="auto"/>
        <w:right w:val="none" w:sz="0" w:space="0" w:color="auto"/>
      </w:divBdr>
    </w:div>
    <w:div w:id="779495534">
      <w:bodyDiv w:val="1"/>
      <w:marLeft w:val="0"/>
      <w:marRight w:val="0"/>
      <w:marTop w:val="0"/>
      <w:marBottom w:val="0"/>
      <w:divBdr>
        <w:top w:val="none" w:sz="0" w:space="0" w:color="auto"/>
        <w:left w:val="none" w:sz="0" w:space="0" w:color="auto"/>
        <w:bottom w:val="none" w:sz="0" w:space="0" w:color="auto"/>
        <w:right w:val="none" w:sz="0" w:space="0" w:color="auto"/>
      </w:divBdr>
    </w:div>
    <w:div w:id="780152375">
      <w:bodyDiv w:val="1"/>
      <w:marLeft w:val="0"/>
      <w:marRight w:val="0"/>
      <w:marTop w:val="0"/>
      <w:marBottom w:val="0"/>
      <w:divBdr>
        <w:top w:val="none" w:sz="0" w:space="0" w:color="auto"/>
        <w:left w:val="none" w:sz="0" w:space="0" w:color="auto"/>
        <w:bottom w:val="none" w:sz="0" w:space="0" w:color="auto"/>
        <w:right w:val="none" w:sz="0" w:space="0" w:color="auto"/>
      </w:divBdr>
    </w:div>
    <w:div w:id="780802679">
      <w:bodyDiv w:val="1"/>
      <w:marLeft w:val="0"/>
      <w:marRight w:val="0"/>
      <w:marTop w:val="0"/>
      <w:marBottom w:val="0"/>
      <w:divBdr>
        <w:top w:val="none" w:sz="0" w:space="0" w:color="auto"/>
        <w:left w:val="none" w:sz="0" w:space="0" w:color="auto"/>
        <w:bottom w:val="none" w:sz="0" w:space="0" w:color="auto"/>
        <w:right w:val="none" w:sz="0" w:space="0" w:color="auto"/>
      </w:divBdr>
    </w:div>
    <w:div w:id="780802856">
      <w:bodyDiv w:val="1"/>
      <w:marLeft w:val="0"/>
      <w:marRight w:val="0"/>
      <w:marTop w:val="0"/>
      <w:marBottom w:val="0"/>
      <w:divBdr>
        <w:top w:val="none" w:sz="0" w:space="0" w:color="auto"/>
        <w:left w:val="none" w:sz="0" w:space="0" w:color="auto"/>
        <w:bottom w:val="none" w:sz="0" w:space="0" w:color="auto"/>
        <w:right w:val="none" w:sz="0" w:space="0" w:color="auto"/>
      </w:divBdr>
    </w:div>
    <w:div w:id="780805878">
      <w:bodyDiv w:val="1"/>
      <w:marLeft w:val="0"/>
      <w:marRight w:val="0"/>
      <w:marTop w:val="0"/>
      <w:marBottom w:val="0"/>
      <w:divBdr>
        <w:top w:val="none" w:sz="0" w:space="0" w:color="auto"/>
        <w:left w:val="none" w:sz="0" w:space="0" w:color="auto"/>
        <w:bottom w:val="none" w:sz="0" w:space="0" w:color="auto"/>
        <w:right w:val="none" w:sz="0" w:space="0" w:color="auto"/>
      </w:divBdr>
    </w:div>
    <w:div w:id="781149854">
      <w:bodyDiv w:val="1"/>
      <w:marLeft w:val="0"/>
      <w:marRight w:val="0"/>
      <w:marTop w:val="0"/>
      <w:marBottom w:val="0"/>
      <w:divBdr>
        <w:top w:val="none" w:sz="0" w:space="0" w:color="auto"/>
        <w:left w:val="none" w:sz="0" w:space="0" w:color="auto"/>
        <w:bottom w:val="none" w:sz="0" w:space="0" w:color="auto"/>
        <w:right w:val="none" w:sz="0" w:space="0" w:color="auto"/>
      </w:divBdr>
    </w:div>
    <w:div w:id="781462390">
      <w:bodyDiv w:val="1"/>
      <w:marLeft w:val="0"/>
      <w:marRight w:val="0"/>
      <w:marTop w:val="0"/>
      <w:marBottom w:val="0"/>
      <w:divBdr>
        <w:top w:val="none" w:sz="0" w:space="0" w:color="auto"/>
        <w:left w:val="none" w:sz="0" w:space="0" w:color="auto"/>
        <w:bottom w:val="none" w:sz="0" w:space="0" w:color="auto"/>
        <w:right w:val="none" w:sz="0" w:space="0" w:color="auto"/>
      </w:divBdr>
    </w:div>
    <w:div w:id="782311262">
      <w:bodyDiv w:val="1"/>
      <w:marLeft w:val="0"/>
      <w:marRight w:val="0"/>
      <w:marTop w:val="0"/>
      <w:marBottom w:val="0"/>
      <w:divBdr>
        <w:top w:val="none" w:sz="0" w:space="0" w:color="auto"/>
        <w:left w:val="none" w:sz="0" w:space="0" w:color="auto"/>
        <w:bottom w:val="none" w:sz="0" w:space="0" w:color="auto"/>
        <w:right w:val="none" w:sz="0" w:space="0" w:color="auto"/>
      </w:divBdr>
    </w:div>
    <w:div w:id="782460399">
      <w:bodyDiv w:val="1"/>
      <w:marLeft w:val="0"/>
      <w:marRight w:val="0"/>
      <w:marTop w:val="0"/>
      <w:marBottom w:val="0"/>
      <w:divBdr>
        <w:top w:val="none" w:sz="0" w:space="0" w:color="auto"/>
        <w:left w:val="none" w:sz="0" w:space="0" w:color="auto"/>
        <w:bottom w:val="none" w:sz="0" w:space="0" w:color="auto"/>
        <w:right w:val="none" w:sz="0" w:space="0" w:color="auto"/>
      </w:divBdr>
    </w:div>
    <w:div w:id="782653937">
      <w:bodyDiv w:val="1"/>
      <w:marLeft w:val="0"/>
      <w:marRight w:val="0"/>
      <w:marTop w:val="0"/>
      <w:marBottom w:val="0"/>
      <w:divBdr>
        <w:top w:val="none" w:sz="0" w:space="0" w:color="auto"/>
        <w:left w:val="none" w:sz="0" w:space="0" w:color="auto"/>
        <w:bottom w:val="none" w:sz="0" w:space="0" w:color="auto"/>
        <w:right w:val="none" w:sz="0" w:space="0" w:color="auto"/>
      </w:divBdr>
    </w:div>
    <w:div w:id="782722550">
      <w:bodyDiv w:val="1"/>
      <w:marLeft w:val="0"/>
      <w:marRight w:val="0"/>
      <w:marTop w:val="0"/>
      <w:marBottom w:val="0"/>
      <w:divBdr>
        <w:top w:val="none" w:sz="0" w:space="0" w:color="auto"/>
        <w:left w:val="none" w:sz="0" w:space="0" w:color="auto"/>
        <w:bottom w:val="none" w:sz="0" w:space="0" w:color="auto"/>
        <w:right w:val="none" w:sz="0" w:space="0" w:color="auto"/>
      </w:divBdr>
    </w:div>
    <w:div w:id="782842002">
      <w:bodyDiv w:val="1"/>
      <w:marLeft w:val="0"/>
      <w:marRight w:val="0"/>
      <w:marTop w:val="0"/>
      <w:marBottom w:val="0"/>
      <w:divBdr>
        <w:top w:val="none" w:sz="0" w:space="0" w:color="auto"/>
        <w:left w:val="none" w:sz="0" w:space="0" w:color="auto"/>
        <w:bottom w:val="none" w:sz="0" w:space="0" w:color="auto"/>
        <w:right w:val="none" w:sz="0" w:space="0" w:color="auto"/>
      </w:divBdr>
    </w:div>
    <w:div w:id="783041801">
      <w:bodyDiv w:val="1"/>
      <w:marLeft w:val="0"/>
      <w:marRight w:val="0"/>
      <w:marTop w:val="0"/>
      <w:marBottom w:val="0"/>
      <w:divBdr>
        <w:top w:val="none" w:sz="0" w:space="0" w:color="auto"/>
        <w:left w:val="none" w:sz="0" w:space="0" w:color="auto"/>
        <w:bottom w:val="none" w:sz="0" w:space="0" w:color="auto"/>
        <w:right w:val="none" w:sz="0" w:space="0" w:color="auto"/>
      </w:divBdr>
    </w:div>
    <w:div w:id="783041875">
      <w:bodyDiv w:val="1"/>
      <w:marLeft w:val="0"/>
      <w:marRight w:val="0"/>
      <w:marTop w:val="0"/>
      <w:marBottom w:val="0"/>
      <w:divBdr>
        <w:top w:val="none" w:sz="0" w:space="0" w:color="auto"/>
        <w:left w:val="none" w:sz="0" w:space="0" w:color="auto"/>
        <w:bottom w:val="none" w:sz="0" w:space="0" w:color="auto"/>
        <w:right w:val="none" w:sz="0" w:space="0" w:color="auto"/>
      </w:divBdr>
    </w:div>
    <w:div w:id="783307070">
      <w:bodyDiv w:val="1"/>
      <w:marLeft w:val="0"/>
      <w:marRight w:val="0"/>
      <w:marTop w:val="0"/>
      <w:marBottom w:val="0"/>
      <w:divBdr>
        <w:top w:val="none" w:sz="0" w:space="0" w:color="auto"/>
        <w:left w:val="none" w:sz="0" w:space="0" w:color="auto"/>
        <w:bottom w:val="none" w:sz="0" w:space="0" w:color="auto"/>
        <w:right w:val="none" w:sz="0" w:space="0" w:color="auto"/>
      </w:divBdr>
    </w:div>
    <w:div w:id="783498120">
      <w:bodyDiv w:val="1"/>
      <w:marLeft w:val="0"/>
      <w:marRight w:val="0"/>
      <w:marTop w:val="0"/>
      <w:marBottom w:val="0"/>
      <w:divBdr>
        <w:top w:val="none" w:sz="0" w:space="0" w:color="auto"/>
        <w:left w:val="none" w:sz="0" w:space="0" w:color="auto"/>
        <w:bottom w:val="none" w:sz="0" w:space="0" w:color="auto"/>
        <w:right w:val="none" w:sz="0" w:space="0" w:color="auto"/>
      </w:divBdr>
    </w:div>
    <w:div w:id="784274743">
      <w:bodyDiv w:val="1"/>
      <w:marLeft w:val="0"/>
      <w:marRight w:val="0"/>
      <w:marTop w:val="0"/>
      <w:marBottom w:val="0"/>
      <w:divBdr>
        <w:top w:val="none" w:sz="0" w:space="0" w:color="auto"/>
        <w:left w:val="none" w:sz="0" w:space="0" w:color="auto"/>
        <w:bottom w:val="none" w:sz="0" w:space="0" w:color="auto"/>
        <w:right w:val="none" w:sz="0" w:space="0" w:color="auto"/>
      </w:divBdr>
    </w:div>
    <w:div w:id="784424738">
      <w:bodyDiv w:val="1"/>
      <w:marLeft w:val="0"/>
      <w:marRight w:val="0"/>
      <w:marTop w:val="0"/>
      <w:marBottom w:val="0"/>
      <w:divBdr>
        <w:top w:val="none" w:sz="0" w:space="0" w:color="auto"/>
        <w:left w:val="none" w:sz="0" w:space="0" w:color="auto"/>
        <w:bottom w:val="none" w:sz="0" w:space="0" w:color="auto"/>
        <w:right w:val="none" w:sz="0" w:space="0" w:color="auto"/>
      </w:divBdr>
    </w:div>
    <w:div w:id="784891145">
      <w:bodyDiv w:val="1"/>
      <w:marLeft w:val="0"/>
      <w:marRight w:val="0"/>
      <w:marTop w:val="0"/>
      <w:marBottom w:val="0"/>
      <w:divBdr>
        <w:top w:val="none" w:sz="0" w:space="0" w:color="auto"/>
        <w:left w:val="none" w:sz="0" w:space="0" w:color="auto"/>
        <w:bottom w:val="none" w:sz="0" w:space="0" w:color="auto"/>
        <w:right w:val="none" w:sz="0" w:space="0" w:color="auto"/>
      </w:divBdr>
    </w:div>
    <w:div w:id="785080329">
      <w:bodyDiv w:val="1"/>
      <w:marLeft w:val="0"/>
      <w:marRight w:val="0"/>
      <w:marTop w:val="0"/>
      <w:marBottom w:val="0"/>
      <w:divBdr>
        <w:top w:val="none" w:sz="0" w:space="0" w:color="auto"/>
        <w:left w:val="none" w:sz="0" w:space="0" w:color="auto"/>
        <w:bottom w:val="none" w:sz="0" w:space="0" w:color="auto"/>
        <w:right w:val="none" w:sz="0" w:space="0" w:color="auto"/>
      </w:divBdr>
    </w:div>
    <w:div w:id="785082960">
      <w:bodyDiv w:val="1"/>
      <w:marLeft w:val="0"/>
      <w:marRight w:val="0"/>
      <w:marTop w:val="0"/>
      <w:marBottom w:val="0"/>
      <w:divBdr>
        <w:top w:val="none" w:sz="0" w:space="0" w:color="auto"/>
        <w:left w:val="none" w:sz="0" w:space="0" w:color="auto"/>
        <w:bottom w:val="none" w:sz="0" w:space="0" w:color="auto"/>
        <w:right w:val="none" w:sz="0" w:space="0" w:color="auto"/>
      </w:divBdr>
    </w:div>
    <w:div w:id="785151635">
      <w:bodyDiv w:val="1"/>
      <w:marLeft w:val="0"/>
      <w:marRight w:val="0"/>
      <w:marTop w:val="0"/>
      <w:marBottom w:val="0"/>
      <w:divBdr>
        <w:top w:val="none" w:sz="0" w:space="0" w:color="auto"/>
        <w:left w:val="none" w:sz="0" w:space="0" w:color="auto"/>
        <w:bottom w:val="none" w:sz="0" w:space="0" w:color="auto"/>
        <w:right w:val="none" w:sz="0" w:space="0" w:color="auto"/>
      </w:divBdr>
    </w:div>
    <w:div w:id="786461559">
      <w:bodyDiv w:val="1"/>
      <w:marLeft w:val="0"/>
      <w:marRight w:val="0"/>
      <w:marTop w:val="0"/>
      <w:marBottom w:val="0"/>
      <w:divBdr>
        <w:top w:val="none" w:sz="0" w:space="0" w:color="auto"/>
        <w:left w:val="none" w:sz="0" w:space="0" w:color="auto"/>
        <w:bottom w:val="none" w:sz="0" w:space="0" w:color="auto"/>
        <w:right w:val="none" w:sz="0" w:space="0" w:color="auto"/>
      </w:divBdr>
    </w:div>
    <w:div w:id="786847849">
      <w:bodyDiv w:val="1"/>
      <w:marLeft w:val="0"/>
      <w:marRight w:val="0"/>
      <w:marTop w:val="0"/>
      <w:marBottom w:val="0"/>
      <w:divBdr>
        <w:top w:val="none" w:sz="0" w:space="0" w:color="auto"/>
        <w:left w:val="none" w:sz="0" w:space="0" w:color="auto"/>
        <w:bottom w:val="none" w:sz="0" w:space="0" w:color="auto"/>
        <w:right w:val="none" w:sz="0" w:space="0" w:color="auto"/>
      </w:divBdr>
    </w:div>
    <w:div w:id="787509883">
      <w:bodyDiv w:val="1"/>
      <w:marLeft w:val="0"/>
      <w:marRight w:val="0"/>
      <w:marTop w:val="0"/>
      <w:marBottom w:val="0"/>
      <w:divBdr>
        <w:top w:val="none" w:sz="0" w:space="0" w:color="auto"/>
        <w:left w:val="none" w:sz="0" w:space="0" w:color="auto"/>
        <w:bottom w:val="none" w:sz="0" w:space="0" w:color="auto"/>
        <w:right w:val="none" w:sz="0" w:space="0" w:color="auto"/>
      </w:divBdr>
    </w:div>
    <w:div w:id="788159630">
      <w:bodyDiv w:val="1"/>
      <w:marLeft w:val="0"/>
      <w:marRight w:val="0"/>
      <w:marTop w:val="0"/>
      <w:marBottom w:val="0"/>
      <w:divBdr>
        <w:top w:val="none" w:sz="0" w:space="0" w:color="auto"/>
        <w:left w:val="none" w:sz="0" w:space="0" w:color="auto"/>
        <w:bottom w:val="none" w:sz="0" w:space="0" w:color="auto"/>
        <w:right w:val="none" w:sz="0" w:space="0" w:color="auto"/>
      </w:divBdr>
    </w:div>
    <w:div w:id="788285556">
      <w:bodyDiv w:val="1"/>
      <w:marLeft w:val="0"/>
      <w:marRight w:val="0"/>
      <w:marTop w:val="0"/>
      <w:marBottom w:val="0"/>
      <w:divBdr>
        <w:top w:val="none" w:sz="0" w:space="0" w:color="auto"/>
        <w:left w:val="none" w:sz="0" w:space="0" w:color="auto"/>
        <w:bottom w:val="none" w:sz="0" w:space="0" w:color="auto"/>
        <w:right w:val="none" w:sz="0" w:space="0" w:color="auto"/>
      </w:divBdr>
    </w:div>
    <w:div w:id="788470525">
      <w:bodyDiv w:val="1"/>
      <w:marLeft w:val="0"/>
      <w:marRight w:val="0"/>
      <w:marTop w:val="0"/>
      <w:marBottom w:val="0"/>
      <w:divBdr>
        <w:top w:val="none" w:sz="0" w:space="0" w:color="auto"/>
        <w:left w:val="none" w:sz="0" w:space="0" w:color="auto"/>
        <w:bottom w:val="none" w:sz="0" w:space="0" w:color="auto"/>
        <w:right w:val="none" w:sz="0" w:space="0" w:color="auto"/>
      </w:divBdr>
    </w:div>
    <w:div w:id="789474812">
      <w:bodyDiv w:val="1"/>
      <w:marLeft w:val="0"/>
      <w:marRight w:val="0"/>
      <w:marTop w:val="0"/>
      <w:marBottom w:val="0"/>
      <w:divBdr>
        <w:top w:val="none" w:sz="0" w:space="0" w:color="auto"/>
        <w:left w:val="none" w:sz="0" w:space="0" w:color="auto"/>
        <w:bottom w:val="none" w:sz="0" w:space="0" w:color="auto"/>
        <w:right w:val="none" w:sz="0" w:space="0" w:color="auto"/>
      </w:divBdr>
    </w:div>
    <w:div w:id="789670112">
      <w:bodyDiv w:val="1"/>
      <w:marLeft w:val="0"/>
      <w:marRight w:val="0"/>
      <w:marTop w:val="0"/>
      <w:marBottom w:val="0"/>
      <w:divBdr>
        <w:top w:val="none" w:sz="0" w:space="0" w:color="auto"/>
        <w:left w:val="none" w:sz="0" w:space="0" w:color="auto"/>
        <w:bottom w:val="none" w:sz="0" w:space="0" w:color="auto"/>
        <w:right w:val="none" w:sz="0" w:space="0" w:color="auto"/>
      </w:divBdr>
    </w:div>
    <w:div w:id="789787920">
      <w:bodyDiv w:val="1"/>
      <w:marLeft w:val="0"/>
      <w:marRight w:val="0"/>
      <w:marTop w:val="0"/>
      <w:marBottom w:val="0"/>
      <w:divBdr>
        <w:top w:val="none" w:sz="0" w:space="0" w:color="auto"/>
        <w:left w:val="none" w:sz="0" w:space="0" w:color="auto"/>
        <w:bottom w:val="none" w:sz="0" w:space="0" w:color="auto"/>
        <w:right w:val="none" w:sz="0" w:space="0" w:color="auto"/>
      </w:divBdr>
    </w:div>
    <w:div w:id="790051313">
      <w:bodyDiv w:val="1"/>
      <w:marLeft w:val="0"/>
      <w:marRight w:val="0"/>
      <w:marTop w:val="0"/>
      <w:marBottom w:val="0"/>
      <w:divBdr>
        <w:top w:val="none" w:sz="0" w:space="0" w:color="auto"/>
        <w:left w:val="none" w:sz="0" w:space="0" w:color="auto"/>
        <w:bottom w:val="none" w:sz="0" w:space="0" w:color="auto"/>
        <w:right w:val="none" w:sz="0" w:space="0" w:color="auto"/>
      </w:divBdr>
    </w:div>
    <w:div w:id="790251220">
      <w:bodyDiv w:val="1"/>
      <w:marLeft w:val="0"/>
      <w:marRight w:val="0"/>
      <w:marTop w:val="0"/>
      <w:marBottom w:val="0"/>
      <w:divBdr>
        <w:top w:val="none" w:sz="0" w:space="0" w:color="auto"/>
        <w:left w:val="none" w:sz="0" w:space="0" w:color="auto"/>
        <w:bottom w:val="none" w:sz="0" w:space="0" w:color="auto"/>
        <w:right w:val="none" w:sz="0" w:space="0" w:color="auto"/>
      </w:divBdr>
    </w:div>
    <w:div w:id="790365299">
      <w:bodyDiv w:val="1"/>
      <w:marLeft w:val="0"/>
      <w:marRight w:val="0"/>
      <w:marTop w:val="0"/>
      <w:marBottom w:val="0"/>
      <w:divBdr>
        <w:top w:val="none" w:sz="0" w:space="0" w:color="auto"/>
        <w:left w:val="none" w:sz="0" w:space="0" w:color="auto"/>
        <w:bottom w:val="none" w:sz="0" w:space="0" w:color="auto"/>
        <w:right w:val="none" w:sz="0" w:space="0" w:color="auto"/>
      </w:divBdr>
    </w:div>
    <w:div w:id="790900854">
      <w:bodyDiv w:val="1"/>
      <w:marLeft w:val="0"/>
      <w:marRight w:val="0"/>
      <w:marTop w:val="0"/>
      <w:marBottom w:val="0"/>
      <w:divBdr>
        <w:top w:val="none" w:sz="0" w:space="0" w:color="auto"/>
        <w:left w:val="none" w:sz="0" w:space="0" w:color="auto"/>
        <w:bottom w:val="none" w:sz="0" w:space="0" w:color="auto"/>
        <w:right w:val="none" w:sz="0" w:space="0" w:color="auto"/>
      </w:divBdr>
    </w:div>
    <w:div w:id="791091651">
      <w:bodyDiv w:val="1"/>
      <w:marLeft w:val="0"/>
      <w:marRight w:val="0"/>
      <w:marTop w:val="0"/>
      <w:marBottom w:val="0"/>
      <w:divBdr>
        <w:top w:val="none" w:sz="0" w:space="0" w:color="auto"/>
        <w:left w:val="none" w:sz="0" w:space="0" w:color="auto"/>
        <w:bottom w:val="none" w:sz="0" w:space="0" w:color="auto"/>
        <w:right w:val="none" w:sz="0" w:space="0" w:color="auto"/>
      </w:divBdr>
    </w:div>
    <w:div w:id="791092922">
      <w:bodyDiv w:val="1"/>
      <w:marLeft w:val="0"/>
      <w:marRight w:val="0"/>
      <w:marTop w:val="0"/>
      <w:marBottom w:val="0"/>
      <w:divBdr>
        <w:top w:val="none" w:sz="0" w:space="0" w:color="auto"/>
        <w:left w:val="none" w:sz="0" w:space="0" w:color="auto"/>
        <w:bottom w:val="none" w:sz="0" w:space="0" w:color="auto"/>
        <w:right w:val="none" w:sz="0" w:space="0" w:color="auto"/>
      </w:divBdr>
    </w:div>
    <w:div w:id="791830030">
      <w:bodyDiv w:val="1"/>
      <w:marLeft w:val="0"/>
      <w:marRight w:val="0"/>
      <w:marTop w:val="0"/>
      <w:marBottom w:val="0"/>
      <w:divBdr>
        <w:top w:val="none" w:sz="0" w:space="0" w:color="auto"/>
        <w:left w:val="none" w:sz="0" w:space="0" w:color="auto"/>
        <w:bottom w:val="none" w:sz="0" w:space="0" w:color="auto"/>
        <w:right w:val="none" w:sz="0" w:space="0" w:color="auto"/>
      </w:divBdr>
    </w:div>
    <w:div w:id="792092734">
      <w:bodyDiv w:val="1"/>
      <w:marLeft w:val="0"/>
      <w:marRight w:val="0"/>
      <w:marTop w:val="0"/>
      <w:marBottom w:val="0"/>
      <w:divBdr>
        <w:top w:val="none" w:sz="0" w:space="0" w:color="auto"/>
        <w:left w:val="none" w:sz="0" w:space="0" w:color="auto"/>
        <w:bottom w:val="none" w:sz="0" w:space="0" w:color="auto"/>
        <w:right w:val="none" w:sz="0" w:space="0" w:color="auto"/>
      </w:divBdr>
    </w:div>
    <w:div w:id="792095437">
      <w:bodyDiv w:val="1"/>
      <w:marLeft w:val="0"/>
      <w:marRight w:val="0"/>
      <w:marTop w:val="0"/>
      <w:marBottom w:val="0"/>
      <w:divBdr>
        <w:top w:val="none" w:sz="0" w:space="0" w:color="auto"/>
        <w:left w:val="none" w:sz="0" w:space="0" w:color="auto"/>
        <w:bottom w:val="none" w:sz="0" w:space="0" w:color="auto"/>
        <w:right w:val="none" w:sz="0" w:space="0" w:color="auto"/>
      </w:divBdr>
    </w:div>
    <w:div w:id="792138563">
      <w:bodyDiv w:val="1"/>
      <w:marLeft w:val="0"/>
      <w:marRight w:val="0"/>
      <w:marTop w:val="0"/>
      <w:marBottom w:val="0"/>
      <w:divBdr>
        <w:top w:val="none" w:sz="0" w:space="0" w:color="auto"/>
        <w:left w:val="none" w:sz="0" w:space="0" w:color="auto"/>
        <w:bottom w:val="none" w:sz="0" w:space="0" w:color="auto"/>
        <w:right w:val="none" w:sz="0" w:space="0" w:color="auto"/>
      </w:divBdr>
    </w:div>
    <w:div w:id="792283500">
      <w:bodyDiv w:val="1"/>
      <w:marLeft w:val="0"/>
      <w:marRight w:val="0"/>
      <w:marTop w:val="0"/>
      <w:marBottom w:val="0"/>
      <w:divBdr>
        <w:top w:val="none" w:sz="0" w:space="0" w:color="auto"/>
        <w:left w:val="none" w:sz="0" w:space="0" w:color="auto"/>
        <w:bottom w:val="none" w:sz="0" w:space="0" w:color="auto"/>
        <w:right w:val="none" w:sz="0" w:space="0" w:color="auto"/>
      </w:divBdr>
    </w:div>
    <w:div w:id="792554485">
      <w:bodyDiv w:val="1"/>
      <w:marLeft w:val="0"/>
      <w:marRight w:val="0"/>
      <w:marTop w:val="0"/>
      <w:marBottom w:val="0"/>
      <w:divBdr>
        <w:top w:val="none" w:sz="0" w:space="0" w:color="auto"/>
        <w:left w:val="none" w:sz="0" w:space="0" w:color="auto"/>
        <w:bottom w:val="none" w:sz="0" w:space="0" w:color="auto"/>
        <w:right w:val="none" w:sz="0" w:space="0" w:color="auto"/>
      </w:divBdr>
    </w:div>
    <w:div w:id="792558480">
      <w:bodyDiv w:val="1"/>
      <w:marLeft w:val="0"/>
      <w:marRight w:val="0"/>
      <w:marTop w:val="0"/>
      <w:marBottom w:val="0"/>
      <w:divBdr>
        <w:top w:val="none" w:sz="0" w:space="0" w:color="auto"/>
        <w:left w:val="none" w:sz="0" w:space="0" w:color="auto"/>
        <w:bottom w:val="none" w:sz="0" w:space="0" w:color="auto"/>
        <w:right w:val="none" w:sz="0" w:space="0" w:color="auto"/>
      </w:divBdr>
    </w:div>
    <w:div w:id="792598158">
      <w:bodyDiv w:val="1"/>
      <w:marLeft w:val="0"/>
      <w:marRight w:val="0"/>
      <w:marTop w:val="0"/>
      <w:marBottom w:val="0"/>
      <w:divBdr>
        <w:top w:val="none" w:sz="0" w:space="0" w:color="auto"/>
        <w:left w:val="none" w:sz="0" w:space="0" w:color="auto"/>
        <w:bottom w:val="none" w:sz="0" w:space="0" w:color="auto"/>
        <w:right w:val="none" w:sz="0" w:space="0" w:color="auto"/>
      </w:divBdr>
    </w:div>
    <w:div w:id="792598385">
      <w:bodyDiv w:val="1"/>
      <w:marLeft w:val="0"/>
      <w:marRight w:val="0"/>
      <w:marTop w:val="0"/>
      <w:marBottom w:val="0"/>
      <w:divBdr>
        <w:top w:val="none" w:sz="0" w:space="0" w:color="auto"/>
        <w:left w:val="none" w:sz="0" w:space="0" w:color="auto"/>
        <w:bottom w:val="none" w:sz="0" w:space="0" w:color="auto"/>
        <w:right w:val="none" w:sz="0" w:space="0" w:color="auto"/>
      </w:divBdr>
    </w:div>
    <w:div w:id="792678348">
      <w:bodyDiv w:val="1"/>
      <w:marLeft w:val="0"/>
      <w:marRight w:val="0"/>
      <w:marTop w:val="0"/>
      <w:marBottom w:val="0"/>
      <w:divBdr>
        <w:top w:val="none" w:sz="0" w:space="0" w:color="auto"/>
        <w:left w:val="none" w:sz="0" w:space="0" w:color="auto"/>
        <w:bottom w:val="none" w:sz="0" w:space="0" w:color="auto"/>
        <w:right w:val="none" w:sz="0" w:space="0" w:color="auto"/>
      </w:divBdr>
    </w:div>
    <w:div w:id="792988497">
      <w:bodyDiv w:val="1"/>
      <w:marLeft w:val="0"/>
      <w:marRight w:val="0"/>
      <w:marTop w:val="0"/>
      <w:marBottom w:val="0"/>
      <w:divBdr>
        <w:top w:val="none" w:sz="0" w:space="0" w:color="auto"/>
        <w:left w:val="none" w:sz="0" w:space="0" w:color="auto"/>
        <w:bottom w:val="none" w:sz="0" w:space="0" w:color="auto"/>
        <w:right w:val="none" w:sz="0" w:space="0" w:color="auto"/>
      </w:divBdr>
    </w:div>
    <w:div w:id="793063340">
      <w:bodyDiv w:val="1"/>
      <w:marLeft w:val="0"/>
      <w:marRight w:val="0"/>
      <w:marTop w:val="0"/>
      <w:marBottom w:val="0"/>
      <w:divBdr>
        <w:top w:val="none" w:sz="0" w:space="0" w:color="auto"/>
        <w:left w:val="none" w:sz="0" w:space="0" w:color="auto"/>
        <w:bottom w:val="none" w:sz="0" w:space="0" w:color="auto"/>
        <w:right w:val="none" w:sz="0" w:space="0" w:color="auto"/>
      </w:divBdr>
    </w:div>
    <w:div w:id="793334460">
      <w:bodyDiv w:val="1"/>
      <w:marLeft w:val="0"/>
      <w:marRight w:val="0"/>
      <w:marTop w:val="0"/>
      <w:marBottom w:val="0"/>
      <w:divBdr>
        <w:top w:val="none" w:sz="0" w:space="0" w:color="auto"/>
        <w:left w:val="none" w:sz="0" w:space="0" w:color="auto"/>
        <w:bottom w:val="none" w:sz="0" w:space="0" w:color="auto"/>
        <w:right w:val="none" w:sz="0" w:space="0" w:color="auto"/>
      </w:divBdr>
    </w:div>
    <w:div w:id="793402511">
      <w:bodyDiv w:val="1"/>
      <w:marLeft w:val="0"/>
      <w:marRight w:val="0"/>
      <w:marTop w:val="0"/>
      <w:marBottom w:val="0"/>
      <w:divBdr>
        <w:top w:val="none" w:sz="0" w:space="0" w:color="auto"/>
        <w:left w:val="none" w:sz="0" w:space="0" w:color="auto"/>
        <w:bottom w:val="none" w:sz="0" w:space="0" w:color="auto"/>
        <w:right w:val="none" w:sz="0" w:space="0" w:color="auto"/>
      </w:divBdr>
    </w:div>
    <w:div w:id="793603054">
      <w:bodyDiv w:val="1"/>
      <w:marLeft w:val="0"/>
      <w:marRight w:val="0"/>
      <w:marTop w:val="0"/>
      <w:marBottom w:val="0"/>
      <w:divBdr>
        <w:top w:val="none" w:sz="0" w:space="0" w:color="auto"/>
        <w:left w:val="none" w:sz="0" w:space="0" w:color="auto"/>
        <w:bottom w:val="none" w:sz="0" w:space="0" w:color="auto"/>
        <w:right w:val="none" w:sz="0" w:space="0" w:color="auto"/>
      </w:divBdr>
    </w:div>
    <w:div w:id="793718561">
      <w:bodyDiv w:val="1"/>
      <w:marLeft w:val="0"/>
      <w:marRight w:val="0"/>
      <w:marTop w:val="0"/>
      <w:marBottom w:val="0"/>
      <w:divBdr>
        <w:top w:val="none" w:sz="0" w:space="0" w:color="auto"/>
        <w:left w:val="none" w:sz="0" w:space="0" w:color="auto"/>
        <w:bottom w:val="none" w:sz="0" w:space="0" w:color="auto"/>
        <w:right w:val="none" w:sz="0" w:space="0" w:color="auto"/>
      </w:divBdr>
    </w:div>
    <w:div w:id="793982352">
      <w:bodyDiv w:val="1"/>
      <w:marLeft w:val="0"/>
      <w:marRight w:val="0"/>
      <w:marTop w:val="0"/>
      <w:marBottom w:val="0"/>
      <w:divBdr>
        <w:top w:val="none" w:sz="0" w:space="0" w:color="auto"/>
        <w:left w:val="none" w:sz="0" w:space="0" w:color="auto"/>
        <w:bottom w:val="none" w:sz="0" w:space="0" w:color="auto"/>
        <w:right w:val="none" w:sz="0" w:space="0" w:color="auto"/>
      </w:divBdr>
    </w:div>
    <w:div w:id="794249773">
      <w:bodyDiv w:val="1"/>
      <w:marLeft w:val="0"/>
      <w:marRight w:val="0"/>
      <w:marTop w:val="0"/>
      <w:marBottom w:val="0"/>
      <w:divBdr>
        <w:top w:val="none" w:sz="0" w:space="0" w:color="auto"/>
        <w:left w:val="none" w:sz="0" w:space="0" w:color="auto"/>
        <w:bottom w:val="none" w:sz="0" w:space="0" w:color="auto"/>
        <w:right w:val="none" w:sz="0" w:space="0" w:color="auto"/>
      </w:divBdr>
    </w:div>
    <w:div w:id="794251787">
      <w:bodyDiv w:val="1"/>
      <w:marLeft w:val="0"/>
      <w:marRight w:val="0"/>
      <w:marTop w:val="0"/>
      <w:marBottom w:val="0"/>
      <w:divBdr>
        <w:top w:val="none" w:sz="0" w:space="0" w:color="auto"/>
        <w:left w:val="none" w:sz="0" w:space="0" w:color="auto"/>
        <w:bottom w:val="none" w:sz="0" w:space="0" w:color="auto"/>
        <w:right w:val="none" w:sz="0" w:space="0" w:color="auto"/>
      </w:divBdr>
    </w:div>
    <w:div w:id="794713254">
      <w:bodyDiv w:val="1"/>
      <w:marLeft w:val="0"/>
      <w:marRight w:val="0"/>
      <w:marTop w:val="0"/>
      <w:marBottom w:val="0"/>
      <w:divBdr>
        <w:top w:val="none" w:sz="0" w:space="0" w:color="auto"/>
        <w:left w:val="none" w:sz="0" w:space="0" w:color="auto"/>
        <w:bottom w:val="none" w:sz="0" w:space="0" w:color="auto"/>
        <w:right w:val="none" w:sz="0" w:space="0" w:color="auto"/>
      </w:divBdr>
    </w:div>
    <w:div w:id="794755690">
      <w:bodyDiv w:val="1"/>
      <w:marLeft w:val="0"/>
      <w:marRight w:val="0"/>
      <w:marTop w:val="0"/>
      <w:marBottom w:val="0"/>
      <w:divBdr>
        <w:top w:val="none" w:sz="0" w:space="0" w:color="auto"/>
        <w:left w:val="none" w:sz="0" w:space="0" w:color="auto"/>
        <w:bottom w:val="none" w:sz="0" w:space="0" w:color="auto"/>
        <w:right w:val="none" w:sz="0" w:space="0" w:color="auto"/>
      </w:divBdr>
    </w:div>
    <w:div w:id="795297671">
      <w:bodyDiv w:val="1"/>
      <w:marLeft w:val="0"/>
      <w:marRight w:val="0"/>
      <w:marTop w:val="0"/>
      <w:marBottom w:val="0"/>
      <w:divBdr>
        <w:top w:val="none" w:sz="0" w:space="0" w:color="auto"/>
        <w:left w:val="none" w:sz="0" w:space="0" w:color="auto"/>
        <w:bottom w:val="none" w:sz="0" w:space="0" w:color="auto"/>
        <w:right w:val="none" w:sz="0" w:space="0" w:color="auto"/>
      </w:divBdr>
    </w:div>
    <w:div w:id="795371026">
      <w:bodyDiv w:val="1"/>
      <w:marLeft w:val="0"/>
      <w:marRight w:val="0"/>
      <w:marTop w:val="0"/>
      <w:marBottom w:val="0"/>
      <w:divBdr>
        <w:top w:val="none" w:sz="0" w:space="0" w:color="auto"/>
        <w:left w:val="none" w:sz="0" w:space="0" w:color="auto"/>
        <w:bottom w:val="none" w:sz="0" w:space="0" w:color="auto"/>
        <w:right w:val="none" w:sz="0" w:space="0" w:color="auto"/>
      </w:divBdr>
    </w:div>
    <w:div w:id="795410955">
      <w:bodyDiv w:val="1"/>
      <w:marLeft w:val="0"/>
      <w:marRight w:val="0"/>
      <w:marTop w:val="0"/>
      <w:marBottom w:val="0"/>
      <w:divBdr>
        <w:top w:val="none" w:sz="0" w:space="0" w:color="auto"/>
        <w:left w:val="none" w:sz="0" w:space="0" w:color="auto"/>
        <w:bottom w:val="none" w:sz="0" w:space="0" w:color="auto"/>
        <w:right w:val="none" w:sz="0" w:space="0" w:color="auto"/>
      </w:divBdr>
    </w:div>
    <w:div w:id="795830837">
      <w:bodyDiv w:val="1"/>
      <w:marLeft w:val="0"/>
      <w:marRight w:val="0"/>
      <w:marTop w:val="0"/>
      <w:marBottom w:val="0"/>
      <w:divBdr>
        <w:top w:val="none" w:sz="0" w:space="0" w:color="auto"/>
        <w:left w:val="none" w:sz="0" w:space="0" w:color="auto"/>
        <w:bottom w:val="none" w:sz="0" w:space="0" w:color="auto"/>
        <w:right w:val="none" w:sz="0" w:space="0" w:color="auto"/>
      </w:divBdr>
    </w:div>
    <w:div w:id="795877580">
      <w:bodyDiv w:val="1"/>
      <w:marLeft w:val="0"/>
      <w:marRight w:val="0"/>
      <w:marTop w:val="0"/>
      <w:marBottom w:val="0"/>
      <w:divBdr>
        <w:top w:val="none" w:sz="0" w:space="0" w:color="auto"/>
        <w:left w:val="none" w:sz="0" w:space="0" w:color="auto"/>
        <w:bottom w:val="none" w:sz="0" w:space="0" w:color="auto"/>
        <w:right w:val="none" w:sz="0" w:space="0" w:color="auto"/>
      </w:divBdr>
    </w:div>
    <w:div w:id="795953999">
      <w:bodyDiv w:val="1"/>
      <w:marLeft w:val="0"/>
      <w:marRight w:val="0"/>
      <w:marTop w:val="0"/>
      <w:marBottom w:val="0"/>
      <w:divBdr>
        <w:top w:val="none" w:sz="0" w:space="0" w:color="auto"/>
        <w:left w:val="none" w:sz="0" w:space="0" w:color="auto"/>
        <w:bottom w:val="none" w:sz="0" w:space="0" w:color="auto"/>
        <w:right w:val="none" w:sz="0" w:space="0" w:color="auto"/>
      </w:divBdr>
    </w:div>
    <w:div w:id="796340397">
      <w:bodyDiv w:val="1"/>
      <w:marLeft w:val="0"/>
      <w:marRight w:val="0"/>
      <w:marTop w:val="0"/>
      <w:marBottom w:val="0"/>
      <w:divBdr>
        <w:top w:val="none" w:sz="0" w:space="0" w:color="auto"/>
        <w:left w:val="none" w:sz="0" w:space="0" w:color="auto"/>
        <w:bottom w:val="none" w:sz="0" w:space="0" w:color="auto"/>
        <w:right w:val="none" w:sz="0" w:space="0" w:color="auto"/>
      </w:divBdr>
    </w:div>
    <w:div w:id="796795703">
      <w:bodyDiv w:val="1"/>
      <w:marLeft w:val="0"/>
      <w:marRight w:val="0"/>
      <w:marTop w:val="0"/>
      <w:marBottom w:val="0"/>
      <w:divBdr>
        <w:top w:val="none" w:sz="0" w:space="0" w:color="auto"/>
        <w:left w:val="none" w:sz="0" w:space="0" w:color="auto"/>
        <w:bottom w:val="none" w:sz="0" w:space="0" w:color="auto"/>
        <w:right w:val="none" w:sz="0" w:space="0" w:color="auto"/>
      </w:divBdr>
    </w:div>
    <w:div w:id="797338765">
      <w:bodyDiv w:val="1"/>
      <w:marLeft w:val="0"/>
      <w:marRight w:val="0"/>
      <w:marTop w:val="0"/>
      <w:marBottom w:val="0"/>
      <w:divBdr>
        <w:top w:val="none" w:sz="0" w:space="0" w:color="auto"/>
        <w:left w:val="none" w:sz="0" w:space="0" w:color="auto"/>
        <w:bottom w:val="none" w:sz="0" w:space="0" w:color="auto"/>
        <w:right w:val="none" w:sz="0" w:space="0" w:color="auto"/>
      </w:divBdr>
    </w:div>
    <w:div w:id="797722083">
      <w:bodyDiv w:val="1"/>
      <w:marLeft w:val="0"/>
      <w:marRight w:val="0"/>
      <w:marTop w:val="0"/>
      <w:marBottom w:val="0"/>
      <w:divBdr>
        <w:top w:val="none" w:sz="0" w:space="0" w:color="auto"/>
        <w:left w:val="none" w:sz="0" w:space="0" w:color="auto"/>
        <w:bottom w:val="none" w:sz="0" w:space="0" w:color="auto"/>
        <w:right w:val="none" w:sz="0" w:space="0" w:color="auto"/>
      </w:divBdr>
    </w:div>
    <w:div w:id="797801383">
      <w:bodyDiv w:val="1"/>
      <w:marLeft w:val="0"/>
      <w:marRight w:val="0"/>
      <w:marTop w:val="0"/>
      <w:marBottom w:val="0"/>
      <w:divBdr>
        <w:top w:val="none" w:sz="0" w:space="0" w:color="auto"/>
        <w:left w:val="none" w:sz="0" w:space="0" w:color="auto"/>
        <w:bottom w:val="none" w:sz="0" w:space="0" w:color="auto"/>
        <w:right w:val="none" w:sz="0" w:space="0" w:color="auto"/>
      </w:divBdr>
    </w:div>
    <w:div w:id="797913268">
      <w:bodyDiv w:val="1"/>
      <w:marLeft w:val="0"/>
      <w:marRight w:val="0"/>
      <w:marTop w:val="0"/>
      <w:marBottom w:val="0"/>
      <w:divBdr>
        <w:top w:val="none" w:sz="0" w:space="0" w:color="auto"/>
        <w:left w:val="none" w:sz="0" w:space="0" w:color="auto"/>
        <w:bottom w:val="none" w:sz="0" w:space="0" w:color="auto"/>
        <w:right w:val="none" w:sz="0" w:space="0" w:color="auto"/>
      </w:divBdr>
    </w:div>
    <w:div w:id="798650327">
      <w:bodyDiv w:val="1"/>
      <w:marLeft w:val="0"/>
      <w:marRight w:val="0"/>
      <w:marTop w:val="0"/>
      <w:marBottom w:val="0"/>
      <w:divBdr>
        <w:top w:val="none" w:sz="0" w:space="0" w:color="auto"/>
        <w:left w:val="none" w:sz="0" w:space="0" w:color="auto"/>
        <w:bottom w:val="none" w:sz="0" w:space="0" w:color="auto"/>
        <w:right w:val="none" w:sz="0" w:space="0" w:color="auto"/>
      </w:divBdr>
    </w:div>
    <w:div w:id="799036194">
      <w:bodyDiv w:val="1"/>
      <w:marLeft w:val="0"/>
      <w:marRight w:val="0"/>
      <w:marTop w:val="0"/>
      <w:marBottom w:val="0"/>
      <w:divBdr>
        <w:top w:val="none" w:sz="0" w:space="0" w:color="auto"/>
        <w:left w:val="none" w:sz="0" w:space="0" w:color="auto"/>
        <w:bottom w:val="none" w:sz="0" w:space="0" w:color="auto"/>
        <w:right w:val="none" w:sz="0" w:space="0" w:color="auto"/>
      </w:divBdr>
    </w:div>
    <w:div w:id="799305814">
      <w:bodyDiv w:val="1"/>
      <w:marLeft w:val="0"/>
      <w:marRight w:val="0"/>
      <w:marTop w:val="0"/>
      <w:marBottom w:val="0"/>
      <w:divBdr>
        <w:top w:val="none" w:sz="0" w:space="0" w:color="auto"/>
        <w:left w:val="none" w:sz="0" w:space="0" w:color="auto"/>
        <w:bottom w:val="none" w:sz="0" w:space="0" w:color="auto"/>
        <w:right w:val="none" w:sz="0" w:space="0" w:color="auto"/>
      </w:divBdr>
    </w:div>
    <w:div w:id="799420601">
      <w:bodyDiv w:val="1"/>
      <w:marLeft w:val="0"/>
      <w:marRight w:val="0"/>
      <w:marTop w:val="0"/>
      <w:marBottom w:val="0"/>
      <w:divBdr>
        <w:top w:val="none" w:sz="0" w:space="0" w:color="auto"/>
        <w:left w:val="none" w:sz="0" w:space="0" w:color="auto"/>
        <w:bottom w:val="none" w:sz="0" w:space="0" w:color="auto"/>
        <w:right w:val="none" w:sz="0" w:space="0" w:color="auto"/>
      </w:divBdr>
    </w:div>
    <w:div w:id="799690519">
      <w:bodyDiv w:val="1"/>
      <w:marLeft w:val="0"/>
      <w:marRight w:val="0"/>
      <w:marTop w:val="0"/>
      <w:marBottom w:val="0"/>
      <w:divBdr>
        <w:top w:val="none" w:sz="0" w:space="0" w:color="auto"/>
        <w:left w:val="none" w:sz="0" w:space="0" w:color="auto"/>
        <w:bottom w:val="none" w:sz="0" w:space="0" w:color="auto"/>
        <w:right w:val="none" w:sz="0" w:space="0" w:color="auto"/>
      </w:divBdr>
    </w:div>
    <w:div w:id="799764786">
      <w:bodyDiv w:val="1"/>
      <w:marLeft w:val="0"/>
      <w:marRight w:val="0"/>
      <w:marTop w:val="0"/>
      <w:marBottom w:val="0"/>
      <w:divBdr>
        <w:top w:val="none" w:sz="0" w:space="0" w:color="auto"/>
        <w:left w:val="none" w:sz="0" w:space="0" w:color="auto"/>
        <w:bottom w:val="none" w:sz="0" w:space="0" w:color="auto"/>
        <w:right w:val="none" w:sz="0" w:space="0" w:color="auto"/>
      </w:divBdr>
    </w:div>
    <w:div w:id="799767764">
      <w:bodyDiv w:val="1"/>
      <w:marLeft w:val="0"/>
      <w:marRight w:val="0"/>
      <w:marTop w:val="0"/>
      <w:marBottom w:val="0"/>
      <w:divBdr>
        <w:top w:val="none" w:sz="0" w:space="0" w:color="auto"/>
        <w:left w:val="none" w:sz="0" w:space="0" w:color="auto"/>
        <w:bottom w:val="none" w:sz="0" w:space="0" w:color="auto"/>
        <w:right w:val="none" w:sz="0" w:space="0" w:color="auto"/>
      </w:divBdr>
    </w:div>
    <w:div w:id="800195188">
      <w:bodyDiv w:val="1"/>
      <w:marLeft w:val="0"/>
      <w:marRight w:val="0"/>
      <w:marTop w:val="0"/>
      <w:marBottom w:val="0"/>
      <w:divBdr>
        <w:top w:val="none" w:sz="0" w:space="0" w:color="auto"/>
        <w:left w:val="none" w:sz="0" w:space="0" w:color="auto"/>
        <w:bottom w:val="none" w:sz="0" w:space="0" w:color="auto"/>
        <w:right w:val="none" w:sz="0" w:space="0" w:color="auto"/>
      </w:divBdr>
    </w:div>
    <w:div w:id="800801700">
      <w:bodyDiv w:val="1"/>
      <w:marLeft w:val="0"/>
      <w:marRight w:val="0"/>
      <w:marTop w:val="0"/>
      <w:marBottom w:val="0"/>
      <w:divBdr>
        <w:top w:val="none" w:sz="0" w:space="0" w:color="auto"/>
        <w:left w:val="none" w:sz="0" w:space="0" w:color="auto"/>
        <w:bottom w:val="none" w:sz="0" w:space="0" w:color="auto"/>
        <w:right w:val="none" w:sz="0" w:space="0" w:color="auto"/>
      </w:divBdr>
    </w:div>
    <w:div w:id="800926737">
      <w:bodyDiv w:val="1"/>
      <w:marLeft w:val="0"/>
      <w:marRight w:val="0"/>
      <w:marTop w:val="0"/>
      <w:marBottom w:val="0"/>
      <w:divBdr>
        <w:top w:val="none" w:sz="0" w:space="0" w:color="auto"/>
        <w:left w:val="none" w:sz="0" w:space="0" w:color="auto"/>
        <w:bottom w:val="none" w:sz="0" w:space="0" w:color="auto"/>
        <w:right w:val="none" w:sz="0" w:space="0" w:color="auto"/>
      </w:divBdr>
    </w:div>
    <w:div w:id="801004196">
      <w:bodyDiv w:val="1"/>
      <w:marLeft w:val="0"/>
      <w:marRight w:val="0"/>
      <w:marTop w:val="0"/>
      <w:marBottom w:val="0"/>
      <w:divBdr>
        <w:top w:val="none" w:sz="0" w:space="0" w:color="auto"/>
        <w:left w:val="none" w:sz="0" w:space="0" w:color="auto"/>
        <w:bottom w:val="none" w:sz="0" w:space="0" w:color="auto"/>
        <w:right w:val="none" w:sz="0" w:space="0" w:color="auto"/>
      </w:divBdr>
    </w:div>
    <w:div w:id="801265148">
      <w:bodyDiv w:val="1"/>
      <w:marLeft w:val="0"/>
      <w:marRight w:val="0"/>
      <w:marTop w:val="0"/>
      <w:marBottom w:val="0"/>
      <w:divBdr>
        <w:top w:val="none" w:sz="0" w:space="0" w:color="auto"/>
        <w:left w:val="none" w:sz="0" w:space="0" w:color="auto"/>
        <w:bottom w:val="none" w:sz="0" w:space="0" w:color="auto"/>
        <w:right w:val="none" w:sz="0" w:space="0" w:color="auto"/>
      </w:divBdr>
    </w:div>
    <w:div w:id="801919058">
      <w:bodyDiv w:val="1"/>
      <w:marLeft w:val="0"/>
      <w:marRight w:val="0"/>
      <w:marTop w:val="0"/>
      <w:marBottom w:val="0"/>
      <w:divBdr>
        <w:top w:val="none" w:sz="0" w:space="0" w:color="auto"/>
        <w:left w:val="none" w:sz="0" w:space="0" w:color="auto"/>
        <w:bottom w:val="none" w:sz="0" w:space="0" w:color="auto"/>
        <w:right w:val="none" w:sz="0" w:space="0" w:color="auto"/>
      </w:divBdr>
    </w:div>
    <w:div w:id="802230570">
      <w:bodyDiv w:val="1"/>
      <w:marLeft w:val="0"/>
      <w:marRight w:val="0"/>
      <w:marTop w:val="0"/>
      <w:marBottom w:val="0"/>
      <w:divBdr>
        <w:top w:val="none" w:sz="0" w:space="0" w:color="auto"/>
        <w:left w:val="none" w:sz="0" w:space="0" w:color="auto"/>
        <w:bottom w:val="none" w:sz="0" w:space="0" w:color="auto"/>
        <w:right w:val="none" w:sz="0" w:space="0" w:color="auto"/>
      </w:divBdr>
    </w:div>
    <w:div w:id="802235663">
      <w:bodyDiv w:val="1"/>
      <w:marLeft w:val="0"/>
      <w:marRight w:val="0"/>
      <w:marTop w:val="0"/>
      <w:marBottom w:val="0"/>
      <w:divBdr>
        <w:top w:val="none" w:sz="0" w:space="0" w:color="auto"/>
        <w:left w:val="none" w:sz="0" w:space="0" w:color="auto"/>
        <w:bottom w:val="none" w:sz="0" w:space="0" w:color="auto"/>
        <w:right w:val="none" w:sz="0" w:space="0" w:color="auto"/>
      </w:divBdr>
    </w:div>
    <w:div w:id="802425491">
      <w:bodyDiv w:val="1"/>
      <w:marLeft w:val="0"/>
      <w:marRight w:val="0"/>
      <w:marTop w:val="0"/>
      <w:marBottom w:val="0"/>
      <w:divBdr>
        <w:top w:val="none" w:sz="0" w:space="0" w:color="auto"/>
        <w:left w:val="none" w:sz="0" w:space="0" w:color="auto"/>
        <w:bottom w:val="none" w:sz="0" w:space="0" w:color="auto"/>
        <w:right w:val="none" w:sz="0" w:space="0" w:color="auto"/>
      </w:divBdr>
    </w:div>
    <w:div w:id="802502603">
      <w:bodyDiv w:val="1"/>
      <w:marLeft w:val="0"/>
      <w:marRight w:val="0"/>
      <w:marTop w:val="0"/>
      <w:marBottom w:val="0"/>
      <w:divBdr>
        <w:top w:val="none" w:sz="0" w:space="0" w:color="auto"/>
        <w:left w:val="none" w:sz="0" w:space="0" w:color="auto"/>
        <w:bottom w:val="none" w:sz="0" w:space="0" w:color="auto"/>
        <w:right w:val="none" w:sz="0" w:space="0" w:color="auto"/>
      </w:divBdr>
    </w:div>
    <w:div w:id="802697687">
      <w:bodyDiv w:val="1"/>
      <w:marLeft w:val="0"/>
      <w:marRight w:val="0"/>
      <w:marTop w:val="0"/>
      <w:marBottom w:val="0"/>
      <w:divBdr>
        <w:top w:val="none" w:sz="0" w:space="0" w:color="auto"/>
        <w:left w:val="none" w:sz="0" w:space="0" w:color="auto"/>
        <w:bottom w:val="none" w:sz="0" w:space="0" w:color="auto"/>
        <w:right w:val="none" w:sz="0" w:space="0" w:color="auto"/>
      </w:divBdr>
    </w:div>
    <w:div w:id="802893288">
      <w:bodyDiv w:val="1"/>
      <w:marLeft w:val="0"/>
      <w:marRight w:val="0"/>
      <w:marTop w:val="0"/>
      <w:marBottom w:val="0"/>
      <w:divBdr>
        <w:top w:val="none" w:sz="0" w:space="0" w:color="auto"/>
        <w:left w:val="none" w:sz="0" w:space="0" w:color="auto"/>
        <w:bottom w:val="none" w:sz="0" w:space="0" w:color="auto"/>
        <w:right w:val="none" w:sz="0" w:space="0" w:color="auto"/>
      </w:divBdr>
    </w:div>
    <w:div w:id="803043637">
      <w:bodyDiv w:val="1"/>
      <w:marLeft w:val="0"/>
      <w:marRight w:val="0"/>
      <w:marTop w:val="0"/>
      <w:marBottom w:val="0"/>
      <w:divBdr>
        <w:top w:val="none" w:sz="0" w:space="0" w:color="auto"/>
        <w:left w:val="none" w:sz="0" w:space="0" w:color="auto"/>
        <w:bottom w:val="none" w:sz="0" w:space="0" w:color="auto"/>
        <w:right w:val="none" w:sz="0" w:space="0" w:color="auto"/>
      </w:divBdr>
    </w:div>
    <w:div w:id="803081577">
      <w:bodyDiv w:val="1"/>
      <w:marLeft w:val="0"/>
      <w:marRight w:val="0"/>
      <w:marTop w:val="0"/>
      <w:marBottom w:val="0"/>
      <w:divBdr>
        <w:top w:val="none" w:sz="0" w:space="0" w:color="auto"/>
        <w:left w:val="none" w:sz="0" w:space="0" w:color="auto"/>
        <w:bottom w:val="none" w:sz="0" w:space="0" w:color="auto"/>
        <w:right w:val="none" w:sz="0" w:space="0" w:color="auto"/>
      </w:divBdr>
    </w:div>
    <w:div w:id="803549044">
      <w:bodyDiv w:val="1"/>
      <w:marLeft w:val="0"/>
      <w:marRight w:val="0"/>
      <w:marTop w:val="0"/>
      <w:marBottom w:val="0"/>
      <w:divBdr>
        <w:top w:val="none" w:sz="0" w:space="0" w:color="auto"/>
        <w:left w:val="none" w:sz="0" w:space="0" w:color="auto"/>
        <w:bottom w:val="none" w:sz="0" w:space="0" w:color="auto"/>
        <w:right w:val="none" w:sz="0" w:space="0" w:color="auto"/>
      </w:divBdr>
    </w:div>
    <w:div w:id="803620616">
      <w:bodyDiv w:val="1"/>
      <w:marLeft w:val="0"/>
      <w:marRight w:val="0"/>
      <w:marTop w:val="0"/>
      <w:marBottom w:val="0"/>
      <w:divBdr>
        <w:top w:val="none" w:sz="0" w:space="0" w:color="auto"/>
        <w:left w:val="none" w:sz="0" w:space="0" w:color="auto"/>
        <w:bottom w:val="none" w:sz="0" w:space="0" w:color="auto"/>
        <w:right w:val="none" w:sz="0" w:space="0" w:color="auto"/>
      </w:divBdr>
    </w:div>
    <w:div w:id="803691515">
      <w:bodyDiv w:val="1"/>
      <w:marLeft w:val="0"/>
      <w:marRight w:val="0"/>
      <w:marTop w:val="0"/>
      <w:marBottom w:val="0"/>
      <w:divBdr>
        <w:top w:val="none" w:sz="0" w:space="0" w:color="auto"/>
        <w:left w:val="none" w:sz="0" w:space="0" w:color="auto"/>
        <w:bottom w:val="none" w:sz="0" w:space="0" w:color="auto"/>
        <w:right w:val="none" w:sz="0" w:space="0" w:color="auto"/>
      </w:divBdr>
    </w:div>
    <w:div w:id="803960125">
      <w:bodyDiv w:val="1"/>
      <w:marLeft w:val="0"/>
      <w:marRight w:val="0"/>
      <w:marTop w:val="0"/>
      <w:marBottom w:val="0"/>
      <w:divBdr>
        <w:top w:val="none" w:sz="0" w:space="0" w:color="auto"/>
        <w:left w:val="none" w:sz="0" w:space="0" w:color="auto"/>
        <w:bottom w:val="none" w:sz="0" w:space="0" w:color="auto"/>
        <w:right w:val="none" w:sz="0" w:space="0" w:color="auto"/>
      </w:divBdr>
    </w:div>
    <w:div w:id="804278957">
      <w:bodyDiv w:val="1"/>
      <w:marLeft w:val="0"/>
      <w:marRight w:val="0"/>
      <w:marTop w:val="0"/>
      <w:marBottom w:val="0"/>
      <w:divBdr>
        <w:top w:val="none" w:sz="0" w:space="0" w:color="auto"/>
        <w:left w:val="none" w:sz="0" w:space="0" w:color="auto"/>
        <w:bottom w:val="none" w:sz="0" w:space="0" w:color="auto"/>
        <w:right w:val="none" w:sz="0" w:space="0" w:color="auto"/>
      </w:divBdr>
    </w:div>
    <w:div w:id="804587445">
      <w:bodyDiv w:val="1"/>
      <w:marLeft w:val="0"/>
      <w:marRight w:val="0"/>
      <w:marTop w:val="0"/>
      <w:marBottom w:val="0"/>
      <w:divBdr>
        <w:top w:val="none" w:sz="0" w:space="0" w:color="auto"/>
        <w:left w:val="none" w:sz="0" w:space="0" w:color="auto"/>
        <w:bottom w:val="none" w:sz="0" w:space="0" w:color="auto"/>
        <w:right w:val="none" w:sz="0" w:space="0" w:color="auto"/>
      </w:divBdr>
    </w:div>
    <w:div w:id="804738686">
      <w:bodyDiv w:val="1"/>
      <w:marLeft w:val="0"/>
      <w:marRight w:val="0"/>
      <w:marTop w:val="0"/>
      <w:marBottom w:val="0"/>
      <w:divBdr>
        <w:top w:val="none" w:sz="0" w:space="0" w:color="auto"/>
        <w:left w:val="none" w:sz="0" w:space="0" w:color="auto"/>
        <w:bottom w:val="none" w:sz="0" w:space="0" w:color="auto"/>
        <w:right w:val="none" w:sz="0" w:space="0" w:color="auto"/>
      </w:divBdr>
    </w:div>
    <w:div w:id="804808535">
      <w:bodyDiv w:val="1"/>
      <w:marLeft w:val="0"/>
      <w:marRight w:val="0"/>
      <w:marTop w:val="0"/>
      <w:marBottom w:val="0"/>
      <w:divBdr>
        <w:top w:val="none" w:sz="0" w:space="0" w:color="auto"/>
        <w:left w:val="none" w:sz="0" w:space="0" w:color="auto"/>
        <w:bottom w:val="none" w:sz="0" w:space="0" w:color="auto"/>
        <w:right w:val="none" w:sz="0" w:space="0" w:color="auto"/>
      </w:divBdr>
    </w:div>
    <w:div w:id="804808833">
      <w:bodyDiv w:val="1"/>
      <w:marLeft w:val="0"/>
      <w:marRight w:val="0"/>
      <w:marTop w:val="0"/>
      <w:marBottom w:val="0"/>
      <w:divBdr>
        <w:top w:val="none" w:sz="0" w:space="0" w:color="auto"/>
        <w:left w:val="none" w:sz="0" w:space="0" w:color="auto"/>
        <w:bottom w:val="none" w:sz="0" w:space="0" w:color="auto"/>
        <w:right w:val="none" w:sz="0" w:space="0" w:color="auto"/>
      </w:divBdr>
    </w:div>
    <w:div w:id="805707782">
      <w:bodyDiv w:val="1"/>
      <w:marLeft w:val="0"/>
      <w:marRight w:val="0"/>
      <w:marTop w:val="0"/>
      <w:marBottom w:val="0"/>
      <w:divBdr>
        <w:top w:val="none" w:sz="0" w:space="0" w:color="auto"/>
        <w:left w:val="none" w:sz="0" w:space="0" w:color="auto"/>
        <w:bottom w:val="none" w:sz="0" w:space="0" w:color="auto"/>
        <w:right w:val="none" w:sz="0" w:space="0" w:color="auto"/>
      </w:divBdr>
    </w:div>
    <w:div w:id="806049076">
      <w:bodyDiv w:val="1"/>
      <w:marLeft w:val="0"/>
      <w:marRight w:val="0"/>
      <w:marTop w:val="0"/>
      <w:marBottom w:val="0"/>
      <w:divBdr>
        <w:top w:val="none" w:sz="0" w:space="0" w:color="auto"/>
        <w:left w:val="none" w:sz="0" w:space="0" w:color="auto"/>
        <w:bottom w:val="none" w:sz="0" w:space="0" w:color="auto"/>
        <w:right w:val="none" w:sz="0" w:space="0" w:color="auto"/>
      </w:divBdr>
    </w:div>
    <w:div w:id="806312832">
      <w:bodyDiv w:val="1"/>
      <w:marLeft w:val="0"/>
      <w:marRight w:val="0"/>
      <w:marTop w:val="0"/>
      <w:marBottom w:val="0"/>
      <w:divBdr>
        <w:top w:val="none" w:sz="0" w:space="0" w:color="auto"/>
        <w:left w:val="none" w:sz="0" w:space="0" w:color="auto"/>
        <w:bottom w:val="none" w:sz="0" w:space="0" w:color="auto"/>
        <w:right w:val="none" w:sz="0" w:space="0" w:color="auto"/>
      </w:divBdr>
    </w:div>
    <w:div w:id="806316777">
      <w:bodyDiv w:val="1"/>
      <w:marLeft w:val="0"/>
      <w:marRight w:val="0"/>
      <w:marTop w:val="0"/>
      <w:marBottom w:val="0"/>
      <w:divBdr>
        <w:top w:val="none" w:sz="0" w:space="0" w:color="auto"/>
        <w:left w:val="none" w:sz="0" w:space="0" w:color="auto"/>
        <w:bottom w:val="none" w:sz="0" w:space="0" w:color="auto"/>
        <w:right w:val="none" w:sz="0" w:space="0" w:color="auto"/>
      </w:divBdr>
    </w:div>
    <w:div w:id="806774897">
      <w:bodyDiv w:val="1"/>
      <w:marLeft w:val="0"/>
      <w:marRight w:val="0"/>
      <w:marTop w:val="0"/>
      <w:marBottom w:val="0"/>
      <w:divBdr>
        <w:top w:val="none" w:sz="0" w:space="0" w:color="auto"/>
        <w:left w:val="none" w:sz="0" w:space="0" w:color="auto"/>
        <w:bottom w:val="none" w:sz="0" w:space="0" w:color="auto"/>
        <w:right w:val="none" w:sz="0" w:space="0" w:color="auto"/>
      </w:divBdr>
    </w:div>
    <w:div w:id="806777970">
      <w:bodyDiv w:val="1"/>
      <w:marLeft w:val="0"/>
      <w:marRight w:val="0"/>
      <w:marTop w:val="0"/>
      <w:marBottom w:val="0"/>
      <w:divBdr>
        <w:top w:val="none" w:sz="0" w:space="0" w:color="auto"/>
        <w:left w:val="none" w:sz="0" w:space="0" w:color="auto"/>
        <w:bottom w:val="none" w:sz="0" w:space="0" w:color="auto"/>
        <w:right w:val="none" w:sz="0" w:space="0" w:color="auto"/>
      </w:divBdr>
    </w:div>
    <w:div w:id="806976449">
      <w:bodyDiv w:val="1"/>
      <w:marLeft w:val="0"/>
      <w:marRight w:val="0"/>
      <w:marTop w:val="0"/>
      <w:marBottom w:val="0"/>
      <w:divBdr>
        <w:top w:val="none" w:sz="0" w:space="0" w:color="auto"/>
        <w:left w:val="none" w:sz="0" w:space="0" w:color="auto"/>
        <w:bottom w:val="none" w:sz="0" w:space="0" w:color="auto"/>
        <w:right w:val="none" w:sz="0" w:space="0" w:color="auto"/>
      </w:divBdr>
    </w:div>
    <w:div w:id="807361919">
      <w:bodyDiv w:val="1"/>
      <w:marLeft w:val="0"/>
      <w:marRight w:val="0"/>
      <w:marTop w:val="0"/>
      <w:marBottom w:val="0"/>
      <w:divBdr>
        <w:top w:val="none" w:sz="0" w:space="0" w:color="auto"/>
        <w:left w:val="none" w:sz="0" w:space="0" w:color="auto"/>
        <w:bottom w:val="none" w:sz="0" w:space="0" w:color="auto"/>
        <w:right w:val="none" w:sz="0" w:space="0" w:color="auto"/>
      </w:divBdr>
    </w:div>
    <w:div w:id="807748897">
      <w:bodyDiv w:val="1"/>
      <w:marLeft w:val="0"/>
      <w:marRight w:val="0"/>
      <w:marTop w:val="0"/>
      <w:marBottom w:val="0"/>
      <w:divBdr>
        <w:top w:val="none" w:sz="0" w:space="0" w:color="auto"/>
        <w:left w:val="none" w:sz="0" w:space="0" w:color="auto"/>
        <w:bottom w:val="none" w:sz="0" w:space="0" w:color="auto"/>
        <w:right w:val="none" w:sz="0" w:space="0" w:color="auto"/>
      </w:divBdr>
    </w:div>
    <w:div w:id="807940822">
      <w:bodyDiv w:val="1"/>
      <w:marLeft w:val="0"/>
      <w:marRight w:val="0"/>
      <w:marTop w:val="0"/>
      <w:marBottom w:val="0"/>
      <w:divBdr>
        <w:top w:val="none" w:sz="0" w:space="0" w:color="auto"/>
        <w:left w:val="none" w:sz="0" w:space="0" w:color="auto"/>
        <w:bottom w:val="none" w:sz="0" w:space="0" w:color="auto"/>
        <w:right w:val="none" w:sz="0" w:space="0" w:color="auto"/>
      </w:divBdr>
    </w:div>
    <w:div w:id="808203530">
      <w:bodyDiv w:val="1"/>
      <w:marLeft w:val="0"/>
      <w:marRight w:val="0"/>
      <w:marTop w:val="0"/>
      <w:marBottom w:val="0"/>
      <w:divBdr>
        <w:top w:val="none" w:sz="0" w:space="0" w:color="auto"/>
        <w:left w:val="none" w:sz="0" w:space="0" w:color="auto"/>
        <w:bottom w:val="none" w:sz="0" w:space="0" w:color="auto"/>
        <w:right w:val="none" w:sz="0" w:space="0" w:color="auto"/>
      </w:divBdr>
    </w:div>
    <w:div w:id="808589908">
      <w:bodyDiv w:val="1"/>
      <w:marLeft w:val="0"/>
      <w:marRight w:val="0"/>
      <w:marTop w:val="0"/>
      <w:marBottom w:val="0"/>
      <w:divBdr>
        <w:top w:val="none" w:sz="0" w:space="0" w:color="auto"/>
        <w:left w:val="none" w:sz="0" w:space="0" w:color="auto"/>
        <w:bottom w:val="none" w:sz="0" w:space="0" w:color="auto"/>
        <w:right w:val="none" w:sz="0" w:space="0" w:color="auto"/>
      </w:divBdr>
    </w:div>
    <w:div w:id="808671898">
      <w:bodyDiv w:val="1"/>
      <w:marLeft w:val="0"/>
      <w:marRight w:val="0"/>
      <w:marTop w:val="0"/>
      <w:marBottom w:val="0"/>
      <w:divBdr>
        <w:top w:val="none" w:sz="0" w:space="0" w:color="auto"/>
        <w:left w:val="none" w:sz="0" w:space="0" w:color="auto"/>
        <w:bottom w:val="none" w:sz="0" w:space="0" w:color="auto"/>
        <w:right w:val="none" w:sz="0" w:space="0" w:color="auto"/>
      </w:divBdr>
    </w:div>
    <w:div w:id="808983281">
      <w:bodyDiv w:val="1"/>
      <w:marLeft w:val="0"/>
      <w:marRight w:val="0"/>
      <w:marTop w:val="0"/>
      <w:marBottom w:val="0"/>
      <w:divBdr>
        <w:top w:val="none" w:sz="0" w:space="0" w:color="auto"/>
        <w:left w:val="none" w:sz="0" w:space="0" w:color="auto"/>
        <w:bottom w:val="none" w:sz="0" w:space="0" w:color="auto"/>
        <w:right w:val="none" w:sz="0" w:space="0" w:color="auto"/>
      </w:divBdr>
    </w:div>
    <w:div w:id="809323254">
      <w:bodyDiv w:val="1"/>
      <w:marLeft w:val="0"/>
      <w:marRight w:val="0"/>
      <w:marTop w:val="0"/>
      <w:marBottom w:val="0"/>
      <w:divBdr>
        <w:top w:val="none" w:sz="0" w:space="0" w:color="auto"/>
        <w:left w:val="none" w:sz="0" w:space="0" w:color="auto"/>
        <w:bottom w:val="none" w:sz="0" w:space="0" w:color="auto"/>
        <w:right w:val="none" w:sz="0" w:space="0" w:color="auto"/>
      </w:divBdr>
    </w:div>
    <w:div w:id="809595719">
      <w:bodyDiv w:val="1"/>
      <w:marLeft w:val="0"/>
      <w:marRight w:val="0"/>
      <w:marTop w:val="0"/>
      <w:marBottom w:val="0"/>
      <w:divBdr>
        <w:top w:val="none" w:sz="0" w:space="0" w:color="auto"/>
        <w:left w:val="none" w:sz="0" w:space="0" w:color="auto"/>
        <w:bottom w:val="none" w:sz="0" w:space="0" w:color="auto"/>
        <w:right w:val="none" w:sz="0" w:space="0" w:color="auto"/>
      </w:divBdr>
    </w:div>
    <w:div w:id="810287807">
      <w:bodyDiv w:val="1"/>
      <w:marLeft w:val="0"/>
      <w:marRight w:val="0"/>
      <w:marTop w:val="0"/>
      <w:marBottom w:val="0"/>
      <w:divBdr>
        <w:top w:val="none" w:sz="0" w:space="0" w:color="auto"/>
        <w:left w:val="none" w:sz="0" w:space="0" w:color="auto"/>
        <w:bottom w:val="none" w:sz="0" w:space="0" w:color="auto"/>
        <w:right w:val="none" w:sz="0" w:space="0" w:color="auto"/>
      </w:divBdr>
    </w:div>
    <w:div w:id="811294043">
      <w:bodyDiv w:val="1"/>
      <w:marLeft w:val="0"/>
      <w:marRight w:val="0"/>
      <w:marTop w:val="0"/>
      <w:marBottom w:val="0"/>
      <w:divBdr>
        <w:top w:val="none" w:sz="0" w:space="0" w:color="auto"/>
        <w:left w:val="none" w:sz="0" w:space="0" w:color="auto"/>
        <w:bottom w:val="none" w:sz="0" w:space="0" w:color="auto"/>
        <w:right w:val="none" w:sz="0" w:space="0" w:color="auto"/>
      </w:divBdr>
    </w:div>
    <w:div w:id="811942772">
      <w:bodyDiv w:val="1"/>
      <w:marLeft w:val="0"/>
      <w:marRight w:val="0"/>
      <w:marTop w:val="0"/>
      <w:marBottom w:val="0"/>
      <w:divBdr>
        <w:top w:val="none" w:sz="0" w:space="0" w:color="auto"/>
        <w:left w:val="none" w:sz="0" w:space="0" w:color="auto"/>
        <w:bottom w:val="none" w:sz="0" w:space="0" w:color="auto"/>
        <w:right w:val="none" w:sz="0" w:space="0" w:color="auto"/>
      </w:divBdr>
    </w:div>
    <w:div w:id="812064332">
      <w:bodyDiv w:val="1"/>
      <w:marLeft w:val="0"/>
      <w:marRight w:val="0"/>
      <w:marTop w:val="0"/>
      <w:marBottom w:val="0"/>
      <w:divBdr>
        <w:top w:val="none" w:sz="0" w:space="0" w:color="auto"/>
        <w:left w:val="none" w:sz="0" w:space="0" w:color="auto"/>
        <w:bottom w:val="none" w:sz="0" w:space="0" w:color="auto"/>
        <w:right w:val="none" w:sz="0" w:space="0" w:color="auto"/>
      </w:divBdr>
    </w:div>
    <w:div w:id="812480153">
      <w:bodyDiv w:val="1"/>
      <w:marLeft w:val="0"/>
      <w:marRight w:val="0"/>
      <w:marTop w:val="0"/>
      <w:marBottom w:val="0"/>
      <w:divBdr>
        <w:top w:val="none" w:sz="0" w:space="0" w:color="auto"/>
        <w:left w:val="none" w:sz="0" w:space="0" w:color="auto"/>
        <w:bottom w:val="none" w:sz="0" w:space="0" w:color="auto"/>
        <w:right w:val="none" w:sz="0" w:space="0" w:color="auto"/>
      </w:divBdr>
    </w:div>
    <w:div w:id="812521341">
      <w:bodyDiv w:val="1"/>
      <w:marLeft w:val="0"/>
      <w:marRight w:val="0"/>
      <w:marTop w:val="0"/>
      <w:marBottom w:val="0"/>
      <w:divBdr>
        <w:top w:val="none" w:sz="0" w:space="0" w:color="auto"/>
        <w:left w:val="none" w:sz="0" w:space="0" w:color="auto"/>
        <w:bottom w:val="none" w:sz="0" w:space="0" w:color="auto"/>
        <w:right w:val="none" w:sz="0" w:space="0" w:color="auto"/>
      </w:divBdr>
    </w:div>
    <w:div w:id="812723815">
      <w:bodyDiv w:val="1"/>
      <w:marLeft w:val="0"/>
      <w:marRight w:val="0"/>
      <w:marTop w:val="0"/>
      <w:marBottom w:val="0"/>
      <w:divBdr>
        <w:top w:val="none" w:sz="0" w:space="0" w:color="auto"/>
        <w:left w:val="none" w:sz="0" w:space="0" w:color="auto"/>
        <w:bottom w:val="none" w:sz="0" w:space="0" w:color="auto"/>
        <w:right w:val="none" w:sz="0" w:space="0" w:color="auto"/>
      </w:divBdr>
    </w:div>
    <w:div w:id="813445597">
      <w:bodyDiv w:val="1"/>
      <w:marLeft w:val="0"/>
      <w:marRight w:val="0"/>
      <w:marTop w:val="0"/>
      <w:marBottom w:val="0"/>
      <w:divBdr>
        <w:top w:val="none" w:sz="0" w:space="0" w:color="auto"/>
        <w:left w:val="none" w:sz="0" w:space="0" w:color="auto"/>
        <w:bottom w:val="none" w:sz="0" w:space="0" w:color="auto"/>
        <w:right w:val="none" w:sz="0" w:space="0" w:color="auto"/>
      </w:divBdr>
    </w:div>
    <w:div w:id="814103552">
      <w:bodyDiv w:val="1"/>
      <w:marLeft w:val="0"/>
      <w:marRight w:val="0"/>
      <w:marTop w:val="0"/>
      <w:marBottom w:val="0"/>
      <w:divBdr>
        <w:top w:val="none" w:sz="0" w:space="0" w:color="auto"/>
        <w:left w:val="none" w:sz="0" w:space="0" w:color="auto"/>
        <w:bottom w:val="none" w:sz="0" w:space="0" w:color="auto"/>
        <w:right w:val="none" w:sz="0" w:space="0" w:color="auto"/>
      </w:divBdr>
    </w:div>
    <w:div w:id="814562162">
      <w:bodyDiv w:val="1"/>
      <w:marLeft w:val="0"/>
      <w:marRight w:val="0"/>
      <w:marTop w:val="0"/>
      <w:marBottom w:val="0"/>
      <w:divBdr>
        <w:top w:val="none" w:sz="0" w:space="0" w:color="auto"/>
        <w:left w:val="none" w:sz="0" w:space="0" w:color="auto"/>
        <w:bottom w:val="none" w:sz="0" w:space="0" w:color="auto"/>
        <w:right w:val="none" w:sz="0" w:space="0" w:color="auto"/>
      </w:divBdr>
    </w:div>
    <w:div w:id="815219249">
      <w:bodyDiv w:val="1"/>
      <w:marLeft w:val="0"/>
      <w:marRight w:val="0"/>
      <w:marTop w:val="0"/>
      <w:marBottom w:val="0"/>
      <w:divBdr>
        <w:top w:val="none" w:sz="0" w:space="0" w:color="auto"/>
        <w:left w:val="none" w:sz="0" w:space="0" w:color="auto"/>
        <w:bottom w:val="none" w:sz="0" w:space="0" w:color="auto"/>
        <w:right w:val="none" w:sz="0" w:space="0" w:color="auto"/>
      </w:divBdr>
    </w:div>
    <w:div w:id="815413598">
      <w:bodyDiv w:val="1"/>
      <w:marLeft w:val="0"/>
      <w:marRight w:val="0"/>
      <w:marTop w:val="0"/>
      <w:marBottom w:val="0"/>
      <w:divBdr>
        <w:top w:val="none" w:sz="0" w:space="0" w:color="auto"/>
        <w:left w:val="none" w:sz="0" w:space="0" w:color="auto"/>
        <w:bottom w:val="none" w:sz="0" w:space="0" w:color="auto"/>
        <w:right w:val="none" w:sz="0" w:space="0" w:color="auto"/>
      </w:divBdr>
    </w:div>
    <w:div w:id="815608764">
      <w:bodyDiv w:val="1"/>
      <w:marLeft w:val="0"/>
      <w:marRight w:val="0"/>
      <w:marTop w:val="0"/>
      <w:marBottom w:val="0"/>
      <w:divBdr>
        <w:top w:val="none" w:sz="0" w:space="0" w:color="auto"/>
        <w:left w:val="none" w:sz="0" w:space="0" w:color="auto"/>
        <w:bottom w:val="none" w:sz="0" w:space="0" w:color="auto"/>
        <w:right w:val="none" w:sz="0" w:space="0" w:color="auto"/>
      </w:divBdr>
    </w:div>
    <w:div w:id="816149571">
      <w:bodyDiv w:val="1"/>
      <w:marLeft w:val="0"/>
      <w:marRight w:val="0"/>
      <w:marTop w:val="0"/>
      <w:marBottom w:val="0"/>
      <w:divBdr>
        <w:top w:val="none" w:sz="0" w:space="0" w:color="auto"/>
        <w:left w:val="none" w:sz="0" w:space="0" w:color="auto"/>
        <w:bottom w:val="none" w:sz="0" w:space="0" w:color="auto"/>
        <w:right w:val="none" w:sz="0" w:space="0" w:color="auto"/>
      </w:divBdr>
    </w:div>
    <w:div w:id="816382020">
      <w:bodyDiv w:val="1"/>
      <w:marLeft w:val="0"/>
      <w:marRight w:val="0"/>
      <w:marTop w:val="0"/>
      <w:marBottom w:val="0"/>
      <w:divBdr>
        <w:top w:val="none" w:sz="0" w:space="0" w:color="auto"/>
        <w:left w:val="none" w:sz="0" w:space="0" w:color="auto"/>
        <w:bottom w:val="none" w:sz="0" w:space="0" w:color="auto"/>
        <w:right w:val="none" w:sz="0" w:space="0" w:color="auto"/>
      </w:divBdr>
    </w:div>
    <w:div w:id="816460946">
      <w:bodyDiv w:val="1"/>
      <w:marLeft w:val="0"/>
      <w:marRight w:val="0"/>
      <w:marTop w:val="0"/>
      <w:marBottom w:val="0"/>
      <w:divBdr>
        <w:top w:val="none" w:sz="0" w:space="0" w:color="auto"/>
        <w:left w:val="none" w:sz="0" w:space="0" w:color="auto"/>
        <w:bottom w:val="none" w:sz="0" w:space="0" w:color="auto"/>
        <w:right w:val="none" w:sz="0" w:space="0" w:color="auto"/>
      </w:divBdr>
    </w:div>
    <w:div w:id="817262557">
      <w:bodyDiv w:val="1"/>
      <w:marLeft w:val="0"/>
      <w:marRight w:val="0"/>
      <w:marTop w:val="0"/>
      <w:marBottom w:val="0"/>
      <w:divBdr>
        <w:top w:val="none" w:sz="0" w:space="0" w:color="auto"/>
        <w:left w:val="none" w:sz="0" w:space="0" w:color="auto"/>
        <w:bottom w:val="none" w:sz="0" w:space="0" w:color="auto"/>
        <w:right w:val="none" w:sz="0" w:space="0" w:color="auto"/>
      </w:divBdr>
    </w:div>
    <w:div w:id="817305272">
      <w:bodyDiv w:val="1"/>
      <w:marLeft w:val="0"/>
      <w:marRight w:val="0"/>
      <w:marTop w:val="0"/>
      <w:marBottom w:val="0"/>
      <w:divBdr>
        <w:top w:val="none" w:sz="0" w:space="0" w:color="auto"/>
        <w:left w:val="none" w:sz="0" w:space="0" w:color="auto"/>
        <w:bottom w:val="none" w:sz="0" w:space="0" w:color="auto"/>
        <w:right w:val="none" w:sz="0" w:space="0" w:color="auto"/>
      </w:divBdr>
    </w:div>
    <w:div w:id="818039869">
      <w:bodyDiv w:val="1"/>
      <w:marLeft w:val="0"/>
      <w:marRight w:val="0"/>
      <w:marTop w:val="0"/>
      <w:marBottom w:val="0"/>
      <w:divBdr>
        <w:top w:val="none" w:sz="0" w:space="0" w:color="auto"/>
        <w:left w:val="none" w:sz="0" w:space="0" w:color="auto"/>
        <w:bottom w:val="none" w:sz="0" w:space="0" w:color="auto"/>
        <w:right w:val="none" w:sz="0" w:space="0" w:color="auto"/>
      </w:divBdr>
    </w:div>
    <w:div w:id="818379554">
      <w:bodyDiv w:val="1"/>
      <w:marLeft w:val="0"/>
      <w:marRight w:val="0"/>
      <w:marTop w:val="0"/>
      <w:marBottom w:val="0"/>
      <w:divBdr>
        <w:top w:val="none" w:sz="0" w:space="0" w:color="auto"/>
        <w:left w:val="none" w:sz="0" w:space="0" w:color="auto"/>
        <w:bottom w:val="none" w:sz="0" w:space="0" w:color="auto"/>
        <w:right w:val="none" w:sz="0" w:space="0" w:color="auto"/>
      </w:divBdr>
    </w:div>
    <w:div w:id="818494083">
      <w:bodyDiv w:val="1"/>
      <w:marLeft w:val="0"/>
      <w:marRight w:val="0"/>
      <w:marTop w:val="0"/>
      <w:marBottom w:val="0"/>
      <w:divBdr>
        <w:top w:val="none" w:sz="0" w:space="0" w:color="auto"/>
        <w:left w:val="none" w:sz="0" w:space="0" w:color="auto"/>
        <w:bottom w:val="none" w:sz="0" w:space="0" w:color="auto"/>
        <w:right w:val="none" w:sz="0" w:space="0" w:color="auto"/>
      </w:divBdr>
    </w:div>
    <w:div w:id="818881640">
      <w:bodyDiv w:val="1"/>
      <w:marLeft w:val="0"/>
      <w:marRight w:val="0"/>
      <w:marTop w:val="0"/>
      <w:marBottom w:val="0"/>
      <w:divBdr>
        <w:top w:val="none" w:sz="0" w:space="0" w:color="auto"/>
        <w:left w:val="none" w:sz="0" w:space="0" w:color="auto"/>
        <w:bottom w:val="none" w:sz="0" w:space="0" w:color="auto"/>
        <w:right w:val="none" w:sz="0" w:space="0" w:color="auto"/>
      </w:divBdr>
    </w:div>
    <w:div w:id="819686855">
      <w:bodyDiv w:val="1"/>
      <w:marLeft w:val="0"/>
      <w:marRight w:val="0"/>
      <w:marTop w:val="0"/>
      <w:marBottom w:val="0"/>
      <w:divBdr>
        <w:top w:val="none" w:sz="0" w:space="0" w:color="auto"/>
        <w:left w:val="none" w:sz="0" w:space="0" w:color="auto"/>
        <w:bottom w:val="none" w:sz="0" w:space="0" w:color="auto"/>
        <w:right w:val="none" w:sz="0" w:space="0" w:color="auto"/>
      </w:divBdr>
    </w:div>
    <w:div w:id="820973334">
      <w:bodyDiv w:val="1"/>
      <w:marLeft w:val="0"/>
      <w:marRight w:val="0"/>
      <w:marTop w:val="0"/>
      <w:marBottom w:val="0"/>
      <w:divBdr>
        <w:top w:val="none" w:sz="0" w:space="0" w:color="auto"/>
        <w:left w:val="none" w:sz="0" w:space="0" w:color="auto"/>
        <w:bottom w:val="none" w:sz="0" w:space="0" w:color="auto"/>
        <w:right w:val="none" w:sz="0" w:space="0" w:color="auto"/>
      </w:divBdr>
    </w:div>
    <w:div w:id="821049008">
      <w:bodyDiv w:val="1"/>
      <w:marLeft w:val="0"/>
      <w:marRight w:val="0"/>
      <w:marTop w:val="0"/>
      <w:marBottom w:val="0"/>
      <w:divBdr>
        <w:top w:val="none" w:sz="0" w:space="0" w:color="auto"/>
        <w:left w:val="none" w:sz="0" w:space="0" w:color="auto"/>
        <w:bottom w:val="none" w:sz="0" w:space="0" w:color="auto"/>
        <w:right w:val="none" w:sz="0" w:space="0" w:color="auto"/>
      </w:divBdr>
    </w:div>
    <w:div w:id="821197332">
      <w:bodyDiv w:val="1"/>
      <w:marLeft w:val="0"/>
      <w:marRight w:val="0"/>
      <w:marTop w:val="0"/>
      <w:marBottom w:val="0"/>
      <w:divBdr>
        <w:top w:val="none" w:sz="0" w:space="0" w:color="auto"/>
        <w:left w:val="none" w:sz="0" w:space="0" w:color="auto"/>
        <w:bottom w:val="none" w:sz="0" w:space="0" w:color="auto"/>
        <w:right w:val="none" w:sz="0" w:space="0" w:color="auto"/>
      </w:divBdr>
    </w:div>
    <w:div w:id="821772074">
      <w:bodyDiv w:val="1"/>
      <w:marLeft w:val="0"/>
      <w:marRight w:val="0"/>
      <w:marTop w:val="0"/>
      <w:marBottom w:val="0"/>
      <w:divBdr>
        <w:top w:val="none" w:sz="0" w:space="0" w:color="auto"/>
        <w:left w:val="none" w:sz="0" w:space="0" w:color="auto"/>
        <w:bottom w:val="none" w:sz="0" w:space="0" w:color="auto"/>
        <w:right w:val="none" w:sz="0" w:space="0" w:color="auto"/>
      </w:divBdr>
    </w:div>
    <w:div w:id="821773456">
      <w:bodyDiv w:val="1"/>
      <w:marLeft w:val="0"/>
      <w:marRight w:val="0"/>
      <w:marTop w:val="0"/>
      <w:marBottom w:val="0"/>
      <w:divBdr>
        <w:top w:val="none" w:sz="0" w:space="0" w:color="auto"/>
        <w:left w:val="none" w:sz="0" w:space="0" w:color="auto"/>
        <w:bottom w:val="none" w:sz="0" w:space="0" w:color="auto"/>
        <w:right w:val="none" w:sz="0" w:space="0" w:color="auto"/>
      </w:divBdr>
    </w:div>
    <w:div w:id="821850640">
      <w:bodyDiv w:val="1"/>
      <w:marLeft w:val="0"/>
      <w:marRight w:val="0"/>
      <w:marTop w:val="0"/>
      <w:marBottom w:val="0"/>
      <w:divBdr>
        <w:top w:val="none" w:sz="0" w:space="0" w:color="auto"/>
        <w:left w:val="none" w:sz="0" w:space="0" w:color="auto"/>
        <w:bottom w:val="none" w:sz="0" w:space="0" w:color="auto"/>
        <w:right w:val="none" w:sz="0" w:space="0" w:color="auto"/>
      </w:divBdr>
    </w:div>
    <w:div w:id="822310509">
      <w:bodyDiv w:val="1"/>
      <w:marLeft w:val="0"/>
      <w:marRight w:val="0"/>
      <w:marTop w:val="0"/>
      <w:marBottom w:val="0"/>
      <w:divBdr>
        <w:top w:val="none" w:sz="0" w:space="0" w:color="auto"/>
        <w:left w:val="none" w:sz="0" w:space="0" w:color="auto"/>
        <w:bottom w:val="none" w:sz="0" w:space="0" w:color="auto"/>
        <w:right w:val="none" w:sz="0" w:space="0" w:color="auto"/>
      </w:divBdr>
    </w:div>
    <w:div w:id="822697507">
      <w:bodyDiv w:val="1"/>
      <w:marLeft w:val="0"/>
      <w:marRight w:val="0"/>
      <w:marTop w:val="0"/>
      <w:marBottom w:val="0"/>
      <w:divBdr>
        <w:top w:val="none" w:sz="0" w:space="0" w:color="auto"/>
        <w:left w:val="none" w:sz="0" w:space="0" w:color="auto"/>
        <w:bottom w:val="none" w:sz="0" w:space="0" w:color="auto"/>
        <w:right w:val="none" w:sz="0" w:space="0" w:color="auto"/>
      </w:divBdr>
    </w:div>
    <w:div w:id="822818712">
      <w:bodyDiv w:val="1"/>
      <w:marLeft w:val="0"/>
      <w:marRight w:val="0"/>
      <w:marTop w:val="0"/>
      <w:marBottom w:val="0"/>
      <w:divBdr>
        <w:top w:val="none" w:sz="0" w:space="0" w:color="auto"/>
        <w:left w:val="none" w:sz="0" w:space="0" w:color="auto"/>
        <w:bottom w:val="none" w:sz="0" w:space="0" w:color="auto"/>
        <w:right w:val="none" w:sz="0" w:space="0" w:color="auto"/>
      </w:divBdr>
    </w:div>
    <w:div w:id="823160474">
      <w:bodyDiv w:val="1"/>
      <w:marLeft w:val="0"/>
      <w:marRight w:val="0"/>
      <w:marTop w:val="0"/>
      <w:marBottom w:val="0"/>
      <w:divBdr>
        <w:top w:val="none" w:sz="0" w:space="0" w:color="auto"/>
        <w:left w:val="none" w:sz="0" w:space="0" w:color="auto"/>
        <w:bottom w:val="none" w:sz="0" w:space="0" w:color="auto"/>
        <w:right w:val="none" w:sz="0" w:space="0" w:color="auto"/>
      </w:divBdr>
    </w:div>
    <w:div w:id="823548371">
      <w:bodyDiv w:val="1"/>
      <w:marLeft w:val="0"/>
      <w:marRight w:val="0"/>
      <w:marTop w:val="0"/>
      <w:marBottom w:val="0"/>
      <w:divBdr>
        <w:top w:val="none" w:sz="0" w:space="0" w:color="auto"/>
        <w:left w:val="none" w:sz="0" w:space="0" w:color="auto"/>
        <w:bottom w:val="none" w:sz="0" w:space="0" w:color="auto"/>
        <w:right w:val="none" w:sz="0" w:space="0" w:color="auto"/>
      </w:divBdr>
    </w:div>
    <w:div w:id="825169241">
      <w:bodyDiv w:val="1"/>
      <w:marLeft w:val="0"/>
      <w:marRight w:val="0"/>
      <w:marTop w:val="0"/>
      <w:marBottom w:val="0"/>
      <w:divBdr>
        <w:top w:val="none" w:sz="0" w:space="0" w:color="auto"/>
        <w:left w:val="none" w:sz="0" w:space="0" w:color="auto"/>
        <w:bottom w:val="none" w:sz="0" w:space="0" w:color="auto"/>
        <w:right w:val="none" w:sz="0" w:space="0" w:color="auto"/>
      </w:divBdr>
    </w:div>
    <w:div w:id="825247713">
      <w:bodyDiv w:val="1"/>
      <w:marLeft w:val="0"/>
      <w:marRight w:val="0"/>
      <w:marTop w:val="0"/>
      <w:marBottom w:val="0"/>
      <w:divBdr>
        <w:top w:val="none" w:sz="0" w:space="0" w:color="auto"/>
        <w:left w:val="none" w:sz="0" w:space="0" w:color="auto"/>
        <w:bottom w:val="none" w:sz="0" w:space="0" w:color="auto"/>
        <w:right w:val="none" w:sz="0" w:space="0" w:color="auto"/>
      </w:divBdr>
    </w:div>
    <w:div w:id="825321881">
      <w:bodyDiv w:val="1"/>
      <w:marLeft w:val="0"/>
      <w:marRight w:val="0"/>
      <w:marTop w:val="0"/>
      <w:marBottom w:val="0"/>
      <w:divBdr>
        <w:top w:val="none" w:sz="0" w:space="0" w:color="auto"/>
        <w:left w:val="none" w:sz="0" w:space="0" w:color="auto"/>
        <w:bottom w:val="none" w:sz="0" w:space="0" w:color="auto"/>
        <w:right w:val="none" w:sz="0" w:space="0" w:color="auto"/>
      </w:divBdr>
    </w:div>
    <w:div w:id="825391340">
      <w:bodyDiv w:val="1"/>
      <w:marLeft w:val="0"/>
      <w:marRight w:val="0"/>
      <w:marTop w:val="0"/>
      <w:marBottom w:val="0"/>
      <w:divBdr>
        <w:top w:val="none" w:sz="0" w:space="0" w:color="auto"/>
        <w:left w:val="none" w:sz="0" w:space="0" w:color="auto"/>
        <w:bottom w:val="none" w:sz="0" w:space="0" w:color="auto"/>
        <w:right w:val="none" w:sz="0" w:space="0" w:color="auto"/>
      </w:divBdr>
    </w:div>
    <w:div w:id="825824942">
      <w:bodyDiv w:val="1"/>
      <w:marLeft w:val="0"/>
      <w:marRight w:val="0"/>
      <w:marTop w:val="0"/>
      <w:marBottom w:val="0"/>
      <w:divBdr>
        <w:top w:val="none" w:sz="0" w:space="0" w:color="auto"/>
        <w:left w:val="none" w:sz="0" w:space="0" w:color="auto"/>
        <w:bottom w:val="none" w:sz="0" w:space="0" w:color="auto"/>
        <w:right w:val="none" w:sz="0" w:space="0" w:color="auto"/>
      </w:divBdr>
    </w:div>
    <w:div w:id="826019224">
      <w:bodyDiv w:val="1"/>
      <w:marLeft w:val="0"/>
      <w:marRight w:val="0"/>
      <w:marTop w:val="0"/>
      <w:marBottom w:val="0"/>
      <w:divBdr>
        <w:top w:val="none" w:sz="0" w:space="0" w:color="auto"/>
        <w:left w:val="none" w:sz="0" w:space="0" w:color="auto"/>
        <w:bottom w:val="none" w:sz="0" w:space="0" w:color="auto"/>
        <w:right w:val="none" w:sz="0" w:space="0" w:color="auto"/>
      </w:divBdr>
    </w:div>
    <w:div w:id="826171631">
      <w:bodyDiv w:val="1"/>
      <w:marLeft w:val="0"/>
      <w:marRight w:val="0"/>
      <w:marTop w:val="0"/>
      <w:marBottom w:val="0"/>
      <w:divBdr>
        <w:top w:val="none" w:sz="0" w:space="0" w:color="auto"/>
        <w:left w:val="none" w:sz="0" w:space="0" w:color="auto"/>
        <w:bottom w:val="none" w:sz="0" w:space="0" w:color="auto"/>
        <w:right w:val="none" w:sz="0" w:space="0" w:color="auto"/>
      </w:divBdr>
    </w:div>
    <w:div w:id="826214538">
      <w:bodyDiv w:val="1"/>
      <w:marLeft w:val="0"/>
      <w:marRight w:val="0"/>
      <w:marTop w:val="0"/>
      <w:marBottom w:val="0"/>
      <w:divBdr>
        <w:top w:val="none" w:sz="0" w:space="0" w:color="auto"/>
        <w:left w:val="none" w:sz="0" w:space="0" w:color="auto"/>
        <w:bottom w:val="none" w:sz="0" w:space="0" w:color="auto"/>
        <w:right w:val="none" w:sz="0" w:space="0" w:color="auto"/>
      </w:divBdr>
    </w:div>
    <w:div w:id="826481192">
      <w:bodyDiv w:val="1"/>
      <w:marLeft w:val="0"/>
      <w:marRight w:val="0"/>
      <w:marTop w:val="0"/>
      <w:marBottom w:val="0"/>
      <w:divBdr>
        <w:top w:val="none" w:sz="0" w:space="0" w:color="auto"/>
        <w:left w:val="none" w:sz="0" w:space="0" w:color="auto"/>
        <w:bottom w:val="none" w:sz="0" w:space="0" w:color="auto"/>
        <w:right w:val="none" w:sz="0" w:space="0" w:color="auto"/>
      </w:divBdr>
    </w:div>
    <w:div w:id="826628722">
      <w:bodyDiv w:val="1"/>
      <w:marLeft w:val="0"/>
      <w:marRight w:val="0"/>
      <w:marTop w:val="0"/>
      <w:marBottom w:val="0"/>
      <w:divBdr>
        <w:top w:val="none" w:sz="0" w:space="0" w:color="auto"/>
        <w:left w:val="none" w:sz="0" w:space="0" w:color="auto"/>
        <w:bottom w:val="none" w:sz="0" w:space="0" w:color="auto"/>
        <w:right w:val="none" w:sz="0" w:space="0" w:color="auto"/>
      </w:divBdr>
    </w:div>
    <w:div w:id="827089089">
      <w:bodyDiv w:val="1"/>
      <w:marLeft w:val="0"/>
      <w:marRight w:val="0"/>
      <w:marTop w:val="0"/>
      <w:marBottom w:val="0"/>
      <w:divBdr>
        <w:top w:val="none" w:sz="0" w:space="0" w:color="auto"/>
        <w:left w:val="none" w:sz="0" w:space="0" w:color="auto"/>
        <w:bottom w:val="none" w:sz="0" w:space="0" w:color="auto"/>
        <w:right w:val="none" w:sz="0" w:space="0" w:color="auto"/>
      </w:divBdr>
    </w:div>
    <w:div w:id="827209480">
      <w:bodyDiv w:val="1"/>
      <w:marLeft w:val="0"/>
      <w:marRight w:val="0"/>
      <w:marTop w:val="0"/>
      <w:marBottom w:val="0"/>
      <w:divBdr>
        <w:top w:val="none" w:sz="0" w:space="0" w:color="auto"/>
        <w:left w:val="none" w:sz="0" w:space="0" w:color="auto"/>
        <w:bottom w:val="none" w:sz="0" w:space="0" w:color="auto"/>
        <w:right w:val="none" w:sz="0" w:space="0" w:color="auto"/>
      </w:divBdr>
    </w:div>
    <w:div w:id="827482126">
      <w:bodyDiv w:val="1"/>
      <w:marLeft w:val="0"/>
      <w:marRight w:val="0"/>
      <w:marTop w:val="0"/>
      <w:marBottom w:val="0"/>
      <w:divBdr>
        <w:top w:val="none" w:sz="0" w:space="0" w:color="auto"/>
        <w:left w:val="none" w:sz="0" w:space="0" w:color="auto"/>
        <w:bottom w:val="none" w:sz="0" w:space="0" w:color="auto"/>
        <w:right w:val="none" w:sz="0" w:space="0" w:color="auto"/>
      </w:divBdr>
    </w:div>
    <w:div w:id="828131823">
      <w:bodyDiv w:val="1"/>
      <w:marLeft w:val="0"/>
      <w:marRight w:val="0"/>
      <w:marTop w:val="0"/>
      <w:marBottom w:val="0"/>
      <w:divBdr>
        <w:top w:val="none" w:sz="0" w:space="0" w:color="auto"/>
        <w:left w:val="none" w:sz="0" w:space="0" w:color="auto"/>
        <w:bottom w:val="none" w:sz="0" w:space="0" w:color="auto"/>
        <w:right w:val="none" w:sz="0" w:space="0" w:color="auto"/>
      </w:divBdr>
    </w:div>
    <w:div w:id="828135825">
      <w:bodyDiv w:val="1"/>
      <w:marLeft w:val="0"/>
      <w:marRight w:val="0"/>
      <w:marTop w:val="0"/>
      <w:marBottom w:val="0"/>
      <w:divBdr>
        <w:top w:val="none" w:sz="0" w:space="0" w:color="auto"/>
        <w:left w:val="none" w:sz="0" w:space="0" w:color="auto"/>
        <w:bottom w:val="none" w:sz="0" w:space="0" w:color="auto"/>
        <w:right w:val="none" w:sz="0" w:space="0" w:color="auto"/>
      </w:divBdr>
    </w:div>
    <w:div w:id="828324533">
      <w:bodyDiv w:val="1"/>
      <w:marLeft w:val="0"/>
      <w:marRight w:val="0"/>
      <w:marTop w:val="0"/>
      <w:marBottom w:val="0"/>
      <w:divBdr>
        <w:top w:val="none" w:sz="0" w:space="0" w:color="auto"/>
        <w:left w:val="none" w:sz="0" w:space="0" w:color="auto"/>
        <w:bottom w:val="none" w:sz="0" w:space="0" w:color="auto"/>
        <w:right w:val="none" w:sz="0" w:space="0" w:color="auto"/>
      </w:divBdr>
    </w:div>
    <w:div w:id="828331488">
      <w:bodyDiv w:val="1"/>
      <w:marLeft w:val="0"/>
      <w:marRight w:val="0"/>
      <w:marTop w:val="0"/>
      <w:marBottom w:val="0"/>
      <w:divBdr>
        <w:top w:val="none" w:sz="0" w:space="0" w:color="auto"/>
        <w:left w:val="none" w:sz="0" w:space="0" w:color="auto"/>
        <w:bottom w:val="none" w:sz="0" w:space="0" w:color="auto"/>
        <w:right w:val="none" w:sz="0" w:space="0" w:color="auto"/>
      </w:divBdr>
    </w:div>
    <w:div w:id="828834609">
      <w:bodyDiv w:val="1"/>
      <w:marLeft w:val="0"/>
      <w:marRight w:val="0"/>
      <w:marTop w:val="0"/>
      <w:marBottom w:val="0"/>
      <w:divBdr>
        <w:top w:val="none" w:sz="0" w:space="0" w:color="auto"/>
        <w:left w:val="none" w:sz="0" w:space="0" w:color="auto"/>
        <w:bottom w:val="none" w:sz="0" w:space="0" w:color="auto"/>
        <w:right w:val="none" w:sz="0" w:space="0" w:color="auto"/>
      </w:divBdr>
    </w:div>
    <w:div w:id="829054207">
      <w:bodyDiv w:val="1"/>
      <w:marLeft w:val="0"/>
      <w:marRight w:val="0"/>
      <w:marTop w:val="0"/>
      <w:marBottom w:val="0"/>
      <w:divBdr>
        <w:top w:val="none" w:sz="0" w:space="0" w:color="auto"/>
        <w:left w:val="none" w:sz="0" w:space="0" w:color="auto"/>
        <w:bottom w:val="none" w:sz="0" w:space="0" w:color="auto"/>
        <w:right w:val="none" w:sz="0" w:space="0" w:color="auto"/>
      </w:divBdr>
    </w:div>
    <w:div w:id="829292606">
      <w:bodyDiv w:val="1"/>
      <w:marLeft w:val="0"/>
      <w:marRight w:val="0"/>
      <w:marTop w:val="0"/>
      <w:marBottom w:val="0"/>
      <w:divBdr>
        <w:top w:val="none" w:sz="0" w:space="0" w:color="auto"/>
        <w:left w:val="none" w:sz="0" w:space="0" w:color="auto"/>
        <w:bottom w:val="none" w:sz="0" w:space="0" w:color="auto"/>
        <w:right w:val="none" w:sz="0" w:space="0" w:color="auto"/>
      </w:divBdr>
    </w:div>
    <w:div w:id="829296137">
      <w:bodyDiv w:val="1"/>
      <w:marLeft w:val="0"/>
      <w:marRight w:val="0"/>
      <w:marTop w:val="0"/>
      <w:marBottom w:val="0"/>
      <w:divBdr>
        <w:top w:val="none" w:sz="0" w:space="0" w:color="auto"/>
        <w:left w:val="none" w:sz="0" w:space="0" w:color="auto"/>
        <w:bottom w:val="none" w:sz="0" w:space="0" w:color="auto"/>
        <w:right w:val="none" w:sz="0" w:space="0" w:color="auto"/>
      </w:divBdr>
    </w:div>
    <w:div w:id="829446769">
      <w:bodyDiv w:val="1"/>
      <w:marLeft w:val="0"/>
      <w:marRight w:val="0"/>
      <w:marTop w:val="0"/>
      <w:marBottom w:val="0"/>
      <w:divBdr>
        <w:top w:val="none" w:sz="0" w:space="0" w:color="auto"/>
        <w:left w:val="none" w:sz="0" w:space="0" w:color="auto"/>
        <w:bottom w:val="none" w:sz="0" w:space="0" w:color="auto"/>
        <w:right w:val="none" w:sz="0" w:space="0" w:color="auto"/>
      </w:divBdr>
    </w:div>
    <w:div w:id="831022793">
      <w:bodyDiv w:val="1"/>
      <w:marLeft w:val="0"/>
      <w:marRight w:val="0"/>
      <w:marTop w:val="0"/>
      <w:marBottom w:val="0"/>
      <w:divBdr>
        <w:top w:val="none" w:sz="0" w:space="0" w:color="auto"/>
        <w:left w:val="none" w:sz="0" w:space="0" w:color="auto"/>
        <w:bottom w:val="none" w:sz="0" w:space="0" w:color="auto"/>
        <w:right w:val="none" w:sz="0" w:space="0" w:color="auto"/>
      </w:divBdr>
    </w:div>
    <w:div w:id="831070121">
      <w:bodyDiv w:val="1"/>
      <w:marLeft w:val="0"/>
      <w:marRight w:val="0"/>
      <w:marTop w:val="0"/>
      <w:marBottom w:val="0"/>
      <w:divBdr>
        <w:top w:val="none" w:sz="0" w:space="0" w:color="auto"/>
        <w:left w:val="none" w:sz="0" w:space="0" w:color="auto"/>
        <w:bottom w:val="none" w:sz="0" w:space="0" w:color="auto"/>
        <w:right w:val="none" w:sz="0" w:space="0" w:color="auto"/>
      </w:divBdr>
    </w:div>
    <w:div w:id="831487481">
      <w:bodyDiv w:val="1"/>
      <w:marLeft w:val="0"/>
      <w:marRight w:val="0"/>
      <w:marTop w:val="0"/>
      <w:marBottom w:val="0"/>
      <w:divBdr>
        <w:top w:val="none" w:sz="0" w:space="0" w:color="auto"/>
        <w:left w:val="none" w:sz="0" w:space="0" w:color="auto"/>
        <w:bottom w:val="none" w:sz="0" w:space="0" w:color="auto"/>
        <w:right w:val="none" w:sz="0" w:space="0" w:color="auto"/>
      </w:divBdr>
    </w:div>
    <w:div w:id="831676598">
      <w:bodyDiv w:val="1"/>
      <w:marLeft w:val="0"/>
      <w:marRight w:val="0"/>
      <w:marTop w:val="0"/>
      <w:marBottom w:val="0"/>
      <w:divBdr>
        <w:top w:val="none" w:sz="0" w:space="0" w:color="auto"/>
        <w:left w:val="none" w:sz="0" w:space="0" w:color="auto"/>
        <w:bottom w:val="none" w:sz="0" w:space="0" w:color="auto"/>
        <w:right w:val="none" w:sz="0" w:space="0" w:color="auto"/>
      </w:divBdr>
    </w:div>
    <w:div w:id="831722657">
      <w:bodyDiv w:val="1"/>
      <w:marLeft w:val="0"/>
      <w:marRight w:val="0"/>
      <w:marTop w:val="0"/>
      <w:marBottom w:val="0"/>
      <w:divBdr>
        <w:top w:val="none" w:sz="0" w:space="0" w:color="auto"/>
        <w:left w:val="none" w:sz="0" w:space="0" w:color="auto"/>
        <w:bottom w:val="none" w:sz="0" w:space="0" w:color="auto"/>
        <w:right w:val="none" w:sz="0" w:space="0" w:color="auto"/>
      </w:divBdr>
    </w:div>
    <w:div w:id="831868222">
      <w:bodyDiv w:val="1"/>
      <w:marLeft w:val="0"/>
      <w:marRight w:val="0"/>
      <w:marTop w:val="0"/>
      <w:marBottom w:val="0"/>
      <w:divBdr>
        <w:top w:val="none" w:sz="0" w:space="0" w:color="auto"/>
        <w:left w:val="none" w:sz="0" w:space="0" w:color="auto"/>
        <w:bottom w:val="none" w:sz="0" w:space="0" w:color="auto"/>
        <w:right w:val="none" w:sz="0" w:space="0" w:color="auto"/>
      </w:divBdr>
    </w:div>
    <w:div w:id="831874490">
      <w:bodyDiv w:val="1"/>
      <w:marLeft w:val="0"/>
      <w:marRight w:val="0"/>
      <w:marTop w:val="0"/>
      <w:marBottom w:val="0"/>
      <w:divBdr>
        <w:top w:val="none" w:sz="0" w:space="0" w:color="auto"/>
        <w:left w:val="none" w:sz="0" w:space="0" w:color="auto"/>
        <w:bottom w:val="none" w:sz="0" w:space="0" w:color="auto"/>
        <w:right w:val="none" w:sz="0" w:space="0" w:color="auto"/>
      </w:divBdr>
    </w:div>
    <w:div w:id="831990744">
      <w:bodyDiv w:val="1"/>
      <w:marLeft w:val="0"/>
      <w:marRight w:val="0"/>
      <w:marTop w:val="0"/>
      <w:marBottom w:val="0"/>
      <w:divBdr>
        <w:top w:val="none" w:sz="0" w:space="0" w:color="auto"/>
        <w:left w:val="none" w:sz="0" w:space="0" w:color="auto"/>
        <w:bottom w:val="none" w:sz="0" w:space="0" w:color="auto"/>
        <w:right w:val="none" w:sz="0" w:space="0" w:color="auto"/>
      </w:divBdr>
    </w:div>
    <w:div w:id="832186860">
      <w:bodyDiv w:val="1"/>
      <w:marLeft w:val="0"/>
      <w:marRight w:val="0"/>
      <w:marTop w:val="0"/>
      <w:marBottom w:val="0"/>
      <w:divBdr>
        <w:top w:val="none" w:sz="0" w:space="0" w:color="auto"/>
        <w:left w:val="none" w:sz="0" w:space="0" w:color="auto"/>
        <w:bottom w:val="none" w:sz="0" w:space="0" w:color="auto"/>
        <w:right w:val="none" w:sz="0" w:space="0" w:color="auto"/>
      </w:divBdr>
    </w:div>
    <w:div w:id="832530988">
      <w:bodyDiv w:val="1"/>
      <w:marLeft w:val="0"/>
      <w:marRight w:val="0"/>
      <w:marTop w:val="0"/>
      <w:marBottom w:val="0"/>
      <w:divBdr>
        <w:top w:val="none" w:sz="0" w:space="0" w:color="auto"/>
        <w:left w:val="none" w:sz="0" w:space="0" w:color="auto"/>
        <w:bottom w:val="none" w:sz="0" w:space="0" w:color="auto"/>
        <w:right w:val="none" w:sz="0" w:space="0" w:color="auto"/>
      </w:divBdr>
    </w:div>
    <w:div w:id="832991305">
      <w:bodyDiv w:val="1"/>
      <w:marLeft w:val="0"/>
      <w:marRight w:val="0"/>
      <w:marTop w:val="0"/>
      <w:marBottom w:val="0"/>
      <w:divBdr>
        <w:top w:val="none" w:sz="0" w:space="0" w:color="auto"/>
        <w:left w:val="none" w:sz="0" w:space="0" w:color="auto"/>
        <w:bottom w:val="none" w:sz="0" w:space="0" w:color="auto"/>
        <w:right w:val="none" w:sz="0" w:space="0" w:color="auto"/>
      </w:divBdr>
    </w:div>
    <w:div w:id="834342507">
      <w:bodyDiv w:val="1"/>
      <w:marLeft w:val="0"/>
      <w:marRight w:val="0"/>
      <w:marTop w:val="0"/>
      <w:marBottom w:val="0"/>
      <w:divBdr>
        <w:top w:val="none" w:sz="0" w:space="0" w:color="auto"/>
        <w:left w:val="none" w:sz="0" w:space="0" w:color="auto"/>
        <w:bottom w:val="none" w:sz="0" w:space="0" w:color="auto"/>
        <w:right w:val="none" w:sz="0" w:space="0" w:color="auto"/>
      </w:divBdr>
    </w:div>
    <w:div w:id="835609976">
      <w:bodyDiv w:val="1"/>
      <w:marLeft w:val="0"/>
      <w:marRight w:val="0"/>
      <w:marTop w:val="0"/>
      <w:marBottom w:val="0"/>
      <w:divBdr>
        <w:top w:val="none" w:sz="0" w:space="0" w:color="auto"/>
        <w:left w:val="none" w:sz="0" w:space="0" w:color="auto"/>
        <w:bottom w:val="none" w:sz="0" w:space="0" w:color="auto"/>
        <w:right w:val="none" w:sz="0" w:space="0" w:color="auto"/>
      </w:divBdr>
    </w:div>
    <w:div w:id="835613514">
      <w:bodyDiv w:val="1"/>
      <w:marLeft w:val="0"/>
      <w:marRight w:val="0"/>
      <w:marTop w:val="0"/>
      <w:marBottom w:val="0"/>
      <w:divBdr>
        <w:top w:val="none" w:sz="0" w:space="0" w:color="auto"/>
        <w:left w:val="none" w:sz="0" w:space="0" w:color="auto"/>
        <w:bottom w:val="none" w:sz="0" w:space="0" w:color="auto"/>
        <w:right w:val="none" w:sz="0" w:space="0" w:color="auto"/>
      </w:divBdr>
    </w:div>
    <w:div w:id="835731938">
      <w:bodyDiv w:val="1"/>
      <w:marLeft w:val="0"/>
      <w:marRight w:val="0"/>
      <w:marTop w:val="0"/>
      <w:marBottom w:val="0"/>
      <w:divBdr>
        <w:top w:val="none" w:sz="0" w:space="0" w:color="auto"/>
        <w:left w:val="none" w:sz="0" w:space="0" w:color="auto"/>
        <w:bottom w:val="none" w:sz="0" w:space="0" w:color="auto"/>
        <w:right w:val="none" w:sz="0" w:space="0" w:color="auto"/>
      </w:divBdr>
    </w:div>
    <w:div w:id="836119719">
      <w:bodyDiv w:val="1"/>
      <w:marLeft w:val="0"/>
      <w:marRight w:val="0"/>
      <w:marTop w:val="0"/>
      <w:marBottom w:val="0"/>
      <w:divBdr>
        <w:top w:val="none" w:sz="0" w:space="0" w:color="auto"/>
        <w:left w:val="none" w:sz="0" w:space="0" w:color="auto"/>
        <w:bottom w:val="none" w:sz="0" w:space="0" w:color="auto"/>
        <w:right w:val="none" w:sz="0" w:space="0" w:color="auto"/>
      </w:divBdr>
    </w:div>
    <w:div w:id="836385526">
      <w:bodyDiv w:val="1"/>
      <w:marLeft w:val="0"/>
      <w:marRight w:val="0"/>
      <w:marTop w:val="0"/>
      <w:marBottom w:val="0"/>
      <w:divBdr>
        <w:top w:val="none" w:sz="0" w:space="0" w:color="auto"/>
        <w:left w:val="none" w:sz="0" w:space="0" w:color="auto"/>
        <w:bottom w:val="none" w:sz="0" w:space="0" w:color="auto"/>
        <w:right w:val="none" w:sz="0" w:space="0" w:color="auto"/>
      </w:divBdr>
    </w:div>
    <w:div w:id="836574195">
      <w:bodyDiv w:val="1"/>
      <w:marLeft w:val="0"/>
      <w:marRight w:val="0"/>
      <w:marTop w:val="0"/>
      <w:marBottom w:val="0"/>
      <w:divBdr>
        <w:top w:val="none" w:sz="0" w:space="0" w:color="auto"/>
        <w:left w:val="none" w:sz="0" w:space="0" w:color="auto"/>
        <w:bottom w:val="none" w:sz="0" w:space="0" w:color="auto"/>
        <w:right w:val="none" w:sz="0" w:space="0" w:color="auto"/>
      </w:divBdr>
    </w:div>
    <w:div w:id="836657382">
      <w:bodyDiv w:val="1"/>
      <w:marLeft w:val="0"/>
      <w:marRight w:val="0"/>
      <w:marTop w:val="0"/>
      <w:marBottom w:val="0"/>
      <w:divBdr>
        <w:top w:val="none" w:sz="0" w:space="0" w:color="auto"/>
        <w:left w:val="none" w:sz="0" w:space="0" w:color="auto"/>
        <w:bottom w:val="none" w:sz="0" w:space="0" w:color="auto"/>
        <w:right w:val="none" w:sz="0" w:space="0" w:color="auto"/>
      </w:divBdr>
    </w:div>
    <w:div w:id="836728441">
      <w:bodyDiv w:val="1"/>
      <w:marLeft w:val="0"/>
      <w:marRight w:val="0"/>
      <w:marTop w:val="0"/>
      <w:marBottom w:val="0"/>
      <w:divBdr>
        <w:top w:val="none" w:sz="0" w:space="0" w:color="auto"/>
        <w:left w:val="none" w:sz="0" w:space="0" w:color="auto"/>
        <w:bottom w:val="none" w:sz="0" w:space="0" w:color="auto"/>
        <w:right w:val="none" w:sz="0" w:space="0" w:color="auto"/>
      </w:divBdr>
    </w:div>
    <w:div w:id="837159892">
      <w:bodyDiv w:val="1"/>
      <w:marLeft w:val="0"/>
      <w:marRight w:val="0"/>
      <w:marTop w:val="0"/>
      <w:marBottom w:val="0"/>
      <w:divBdr>
        <w:top w:val="none" w:sz="0" w:space="0" w:color="auto"/>
        <w:left w:val="none" w:sz="0" w:space="0" w:color="auto"/>
        <w:bottom w:val="none" w:sz="0" w:space="0" w:color="auto"/>
        <w:right w:val="none" w:sz="0" w:space="0" w:color="auto"/>
      </w:divBdr>
    </w:div>
    <w:div w:id="837228279">
      <w:bodyDiv w:val="1"/>
      <w:marLeft w:val="0"/>
      <w:marRight w:val="0"/>
      <w:marTop w:val="0"/>
      <w:marBottom w:val="0"/>
      <w:divBdr>
        <w:top w:val="none" w:sz="0" w:space="0" w:color="auto"/>
        <w:left w:val="none" w:sz="0" w:space="0" w:color="auto"/>
        <w:bottom w:val="none" w:sz="0" w:space="0" w:color="auto"/>
        <w:right w:val="none" w:sz="0" w:space="0" w:color="auto"/>
      </w:divBdr>
    </w:div>
    <w:div w:id="837428819">
      <w:bodyDiv w:val="1"/>
      <w:marLeft w:val="0"/>
      <w:marRight w:val="0"/>
      <w:marTop w:val="0"/>
      <w:marBottom w:val="0"/>
      <w:divBdr>
        <w:top w:val="none" w:sz="0" w:space="0" w:color="auto"/>
        <w:left w:val="none" w:sz="0" w:space="0" w:color="auto"/>
        <w:bottom w:val="none" w:sz="0" w:space="0" w:color="auto"/>
        <w:right w:val="none" w:sz="0" w:space="0" w:color="auto"/>
      </w:divBdr>
    </w:div>
    <w:div w:id="837814069">
      <w:bodyDiv w:val="1"/>
      <w:marLeft w:val="0"/>
      <w:marRight w:val="0"/>
      <w:marTop w:val="0"/>
      <w:marBottom w:val="0"/>
      <w:divBdr>
        <w:top w:val="none" w:sz="0" w:space="0" w:color="auto"/>
        <w:left w:val="none" w:sz="0" w:space="0" w:color="auto"/>
        <w:bottom w:val="none" w:sz="0" w:space="0" w:color="auto"/>
        <w:right w:val="none" w:sz="0" w:space="0" w:color="auto"/>
      </w:divBdr>
    </w:div>
    <w:div w:id="837883692">
      <w:bodyDiv w:val="1"/>
      <w:marLeft w:val="0"/>
      <w:marRight w:val="0"/>
      <w:marTop w:val="0"/>
      <w:marBottom w:val="0"/>
      <w:divBdr>
        <w:top w:val="none" w:sz="0" w:space="0" w:color="auto"/>
        <w:left w:val="none" w:sz="0" w:space="0" w:color="auto"/>
        <w:bottom w:val="none" w:sz="0" w:space="0" w:color="auto"/>
        <w:right w:val="none" w:sz="0" w:space="0" w:color="auto"/>
      </w:divBdr>
    </w:div>
    <w:div w:id="837960593">
      <w:bodyDiv w:val="1"/>
      <w:marLeft w:val="0"/>
      <w:marRight w:val="0"/>
      <w:marTop w:val="0"/>
      <w:marBottom w:val="0"/>
      <w:divBdr>
        <w:top w:val="none" w:sz="0" w:space="0" w:color="auto"/>
        <w:left w:val="none" w:sz="0" w:space="0" w:color="auto"/>
        <w:bottom w:val="none" w:sz="0" w:space="0" w:color="auto"/>
        <w:right w:val="none" w:sz="0" w:space="0" w:color="auto"/>
      </w:divBdr>
    </w:div>
    <w:div w:id="838694309">
      <w:bodyDiv w:val="1"/>
      <w:marLeft w:val="0"/>
      <w:marRight w:val="0"/>
      <w:marTop w:val="0"/>
      <w:marBottom w:val="0"/>
      <w:divBdr>
        <w:top w:val="none" w:sz="0" w:space="0" w:color="auto"/>
        <w:left w:val="none" w:sz="0" w:space="0" w:color="auto"/>
        <w:bottom w:val="none" w:sz="0" w:space="0" w:color="auto"/>
        <w:right w:val="none" w:sz="0" w:space="0" w:color="auto"/>
      </w:divBdr>
    </w:div>
    <w:div w:id="838732973">
      <w:bodyDiv w:val="1"/>
      <w:marLeft w:val="0"/>
      <w:marRight w:val="0"/>
      <w:marTop w:val="0"/>
      <w:marBottom w:val="0"/>
      <w:divBdr>
        <w:top w:val="none" w:sz="0" w:space="0" w:color="auto"/>
        <w:left w:val="none" w:sz="0" w:space="0" w:color="auto"/>
        <w:bottom w:val="none" w:sz="0" w:space="0" w:color="auto"/>
        <w:right w:val="none" w:sz="0" w:space="0" w:color="auto"/>
      </w:divBdr>
    </w:div>
    <w:div w:id="838734347">
      <w:bodyDiv w:val="1"/>
      <w:marLeft w:val="0"/>
      <w:marRight w:val="0"/>
      <w:marTop w:val="0"/>
      <w:marBottom w:val="0"/>
      <w:divBdr>
        <w:top w:val="none" w:sz="0" w:space="0" w:color="auto"/>
        <w:left w:val="none" w:sz="0" w:space="0" w:color="auto"/>
        <w:bottom w:val="none" w:sz="0" w:space="0" w:color="auto"/>
        <w:right w:val="none" w:sz="0" w:space="0" w:color="auto"/>
      </w:divBdr>
    </w:div>
    <w:div w:id="839202318">
      <w:bodyDiv w:val="1"/>
      <w:marLeft w:val="0"/>
      <w:marRight w:val="0"/>
      <w:marTop w:val="0"/>
      <w:marBottom w:val="0"/>
      <w:divBdr>
        <w:top w:val="none" w:sz="0" w:space="0" w:color="auto"/>
        <w:left w:val="none" w:sz="0" w:space="0" w:color="auto"/>
        <w:bottom w:val="none" w:sz="0" w:space="0" w:color="auto"/>
        <w:right w:val="none" w:sz="0" w:space="0" w:color="auto"/>
      </w:divBdr>
    </w:div>
    <w:div w:id="839202875">
      <w:bodyDiv w:val="1"/>
      <w:marLeft w:val="0"/>
      <w:marRight w:val="0"/>
      <w:marTop w:val="0"/>
      <w:marBottom w:val="0"/>
      <w:divBdr>
        <w:top w:val="none" w:sz="0" w:space="0" w:color="auto"/>
        <w:left w:val="none" w:sz="0" w:space="0" w:color="auto"/>
        <w:bottom w:val="none" w:sz="0" w:space="0" w:color="auto"/>
        <w:right w:val="none" w:sz="0" w:space="0" w:color="auto"/>
      </w:divBdr>
    </w:div>
    <w:div w:id="839278473">
      <w:bodyDiv w:val="1"/>
      <w:marLeft w:val="0"/>
      <w:marRight w:val="0"/>
      <w:marTop w:val="0"/>
      <w:marBottom w:val="0"/>
      <w:divBdr>
        <w:top w:val="none" w:sz="0" w:space="0" w:color="auto"/>
        <w:left w:val="none" w:sz="0" w:space="0" w:color="auto"/>
        <w:bottom w:val="none" w:sz="0" w:space="0" w:color="auto"/>
        <w:right w:val="none" w:sz="0" w:space="0" w:color="auto"/>
      </w:divBdr>
    </w:div>
    <w:div w:id="839387686">
      <w:bodyDiv w:val="1"/>
      <w:marLeft w:val="0"/>
      <w:marRight w:val="0"/>
      <w:marTop w:val="0"/>
      <w:marBottom w:val="0"/>
      <w:divBdr>
        <w:top w:val="none" w:sz="0" w:space="0" w:color="auto"/>
        <w:left w:val="none" w:sz="0" w:space="0" w:color="auto"/>
        <w:bottom w:val="none" w:sz="0" w:space="0" w:color="auto"/>
        <w:right w:val="none" w:sz="0" w:space="0" w:color="auto"/>
      </w:divBdr>
    </w:div>
    <w:div w:id="839389604">
      <w:bodyDiv w:val="1"/>
      <w:marLeft w:val="0"/>
      <w:marRight w:val="0"/>
      <w:marTop w:val="0"/>
      <w:marBottom w:val="0"/>
      <w:divBdr>
        <w:top w:val="none" w:sz="0" w:space="0" w:color="auto"/>
        <w:left w:val="none" w:sz="0" w:space="0" w:color="auto"/>
        <w:bottom w:val="none" w:sz="0" w:space="0" w:color="auto"/>
        <w:right w:val="none" w:sz="0" w:space="0" w:color="auto"/>
      </w:divBdr>
    </w:div>
    <w:div w:id="839466795">
      <w:bodyDiv w:val="1"/>
      <w:marLeft w:val="0"/>
      <w:marRight w:val="0"/>
      <w:marTop w:val="0"/>
      <w:marBottom w:val="0"/>
      <w:divBdr>
        <w:top w:val="none" w:sz="0" w:space="0" w:color="auto"/>
        <w:left w:val="none" w:sz="0" w:space="0" w:color="auto"/>
        <w:bottom w:val="none" w:sz="0" w:space="0" w:color="auto"/>
        <w:right w:val="none" w:sz="0" w:space="0" w:color="auto"/>
      </w:divBdr>
    </w:div>
    <w:div w:id="839614287">
      <w:bodyDiv w:val="1"/>
      <w:marLeft w:val="0"/>
      <w:marRight w:val="0"/>
      <w:marTop w:val="0"/>
      <w:marBottom w:val="0"/>
      <w:divBdr>
        <w:top w:val="none" w:sz="0" w:space="0" w:color="auto"/>
        <w:left w:val="none" w:sz="0" w:space="0" w:color="auto"/>
        <w:bottom w:val="none" w:sz="0" w:space="0" w:color="auto"/>
        <w:right w:val="none" w:sz="0" w:space="0" w:color="auto"/>
      </w:divBdr>
    </w:div>
    <w:div w:id="840433822">
      <w:bodyDiv w:val="1"/>
      <w:marLeft w:val="0"/>
      <w:marRight w:val="0"/>
      <w:marTop w:val="0"/>
      <w:marBottom w:val="0"/>
      <w:divBdr>
        <w:top w:val="none" w:sz="0" w:space="0" w:color="auto"/>
        <w:left w:val="none" w:sz="0" w:space="0" w:color="auto"/>
        <w:bottom w:val="none" w:sz="0" w:space="0" w:color="auto"/>
        <w:right w:val="none" w:sz="0" w:space="0" w:color="auto"/>
      </w:divBdr>
    </w:div>
    <w:div w:id="841311811">
      <w:bodyDiv w:val="1"/>
      <w:marLeft w:val="0"/>
      <w:marRight w:val="0"/>
      <w:marTop w:val="0"/>
      <w:marBottom w:val="0"/>
      <w:divBdr>
        <w:top w:val="none" w:sz="0" w:space="0" w:color="auto"/>
        <w:left w:val="none" w:sz="0" w:space="0" w:color="auto"/>
        <w:bottom w:val="none" w:sz="0" w:space="0" w:color="auto"/>
        <w:right w:val="none" w:sz="0" w:space="0" w:color="auto"/>
      </w:divBdr>
    </w:div>
    <w:div w:id="841434739">
      <w:bodyDiv w:val="1"/>
      <w:marLeft w:val="0"/>
      <w:marRight w:val="0"/>
      <w:marTop w:val="0"/>
      <w:marBottom w:val="0"/>
      <w:divBdr>
        <w:top w:val="none" w:sz="0" w:space="0" w:color="auto"/>
        <w:left w:val="none" w:sz="0" w:space="0" w:color="auto"/>
        <w:bottom w:val="none" w:sz="0" w:space="0" w:color="auto"/>
        <w:right w:val="none" w:sz="0" w:space="0" w:color="auto"/>
      </w:divBdr>
    </w:div>
    <w:div w:id="841555703">
      <w:bodyDiv w:val="1"/>
      <w:marLeft w:val="0"/>
      <w:marRight w:val="0"/>
      <w:marTop w:val="0"/>
      <w:marBottom w:val="0"/>
      <w:divBdr>
        <w:top w:val="none" w:sz="0" w:space="0" w:color="auto"/>
        <w:left w:val="none" w:sz="0" w:space="0" w:color="auto"/>
        <w:bottom w:val="none" w:sz="0" w:space="0" w:color="auto"/>
        <w:right w:val="none" w:sz="0" w:space="0" w:color="auto"/>
      </w:divBdr>
    </w:div>
    <w:div w:id="841627619">
      <w:bodyDiv w:val="1"/>
      <w:marLeft w:val="0"/>
      <w:marRight w:val="0"/>
      <w:marTop w:val="0"/>
      <w:marBottom w:val="0"/>
      <w:divBdr>
        <w:top w:val="none" w:sz="0" w:space="0" w:color="auto"/>
        <w:left w:val="none" w:sz="0" w:space="0" w:color="auto"/>
        <w:bottom w:val="none" w:sz="0" w:space="0" w:color="auto"/>
        <w:right w:val="none" w:sz="0" w:space="0" w:color="auto"/>
      </w:divBdr>
    </w:div>
    <w:div w:id="841629211">
      <w:bodyDiv w:val="1"/>
      <w:marLeft w:val="0"/>
      <w:marRight w:val="0"/>
      <w:marTop w:val="0"/>
      <w:marBottom w:val="0"/>
      <w:divBdr>
        <w:top w:val="none" w:sz="0" w:space="0" w:color="auto"/>
        <w:left w:val="none" w:sz="0" w:space="0" w:color="auto"/>
        <w:bottom w:val="none" w:sz="0" w:space="0" w:color="auto"/>
        <w:right w:val="none" w:sz="0" w:space="0" w:color="auto"/>
      </w:divBdr>
    </w:div>
    <w:div w:id="841703705">
      <w:bodyDiv w:val="1"/>
      <w:marLeft w:val="0"/>
      <w:marRight w:val="0"/>
      <w:marTop w:val="0"/>
      <w:marBottom w:val="0"/>
      <w:divBdr>
        <w:top w:val="none" w:sz="0" w:space="0" w:color="auto"/>
        <w:left w:val="none" w:sz="0" w:space="0" w:color="auto"/>
        <w:bottom w:val="none" w:sz="0" w:space="0" w:color="auto"/>
        <w:right w:val="none" w:sz="0" w:space="0" w:color="auto"/>
      </w:divBdr>
    </w:div>
    <w:div w:id="841746463">
      <w:bodyDiv w:val="1"/>
      <w:marLeft w:val="0"/>
      <w:marRight w:val="0"/>
      <w:marTop w:val="0"/>
      <w:marBottom w:val="0"/>
      <w:divBdr>
        <w:top w:val="none" w:sz="0" w:space="0" w:color="auto"/>
        <w:left w:val="none" w:sz="0" w:space="0" w:color="auto"/>
        <w:bottom w:val="none" w:sz="0" w:space="0" w:color="auto"/>
        <w:right w:val="none" w:sz="0" w:space="0" w:color="auto"/>
      </w:divBdr>
    </w:div>
    <w:div w:id="842092829">
      <w:bodyDiv w:val="1"/>
      <w:marLeft w:val="0"/>
      <w:marRight w:val="0"/>
      <w:marTop w:val="0"/>
      <w:marBottom w:val="0"/>
      <w:divBdr>
        <w:top w:val="none" w:sz="0" w:space="0" w:color="auto"/>
        <w:left w:val="none" w:sz="0" w:space="0" w:color="auto"/>
        <w:bottom w:val="none" w:sz="0" w:space="0" w:color="auto"/>
        <w:right w:val="none" w:sz="0" w:space="0" w:color="auto"/>
      </w:divBdr>
    </w:div>
    <w:div w:id="842208298">
      <w:bodyDiv w:val="1"/>
      <w:marLeft w:val="0"/>
      <w:marRight w:val="0"/>
      <w:marTop w:val="0"/>
      <w:marBottom w:val="0"/>
      <w:divBdr>
        <w:top w:val="none" w:sz="0" w:space="0" w:color="auto"/>
        <w:left w:val="none" w:sz="0" w:space="0" w:color="auto"/>
        <w:bottom w:val="none" w:sz="0" w:space="0" w:color="auto"/>
        <w:right w:val="none" w:sz="0" w:space="0" w:color="auto"/>
      </w:divBdr>
    </w:div>
    <w:div w:id="842478659">
      <w:bodyDiv w:val="1"/>
      <w:marLeft w:val="0"/>
      <w:marRight w:val="0"/>
      <w:marTop w:val="0"/>
      <w:marBottom w:val="0"/>
      <w:divBdr>
        <w:top w:val="none" w:sz="0" w:space="0" w:color="auto"/>
        <w:left w:val="none" w:sz="0" w:space="0" w:color="auto"/>
        <w:bottom w:val="none" w:sz="0" w:space="0" w:color="auto"/>
        <w:right w:val="none" w:sz="0" w:space="0" w:color="auto"/>
      </w:divBdr>
    </w:div>
    <w:div w:id="842816889">
      <w:bodyDiv w:val="1"/>
      <w:marLeft w:val="0"/>
      <w:marRight w:val="0"/>
      <w:marTop w:val="0"/>
      <w:marBottom w:val="0"/>
      <w:divBdr>
        <w:top w:val="none" w:sz="0" w:space="0" w:color="auto"/>
        <w:left w:val="none" w:sz="0" w:space="0" w:color="auto"/>
        <w:bottom w:val="none" w:sz="0" w:space="0" w:color="auto"/>
        <w:right w:val="none" w:sz="0" w:space="0" w:color="auto"/>
      </w:divBdr>
    </w:div>
    <w:div w:id="842937075">
      <w:bodyDiv w:val="1"/>
      <w:marLeft w:val="0"/>
      <w:marRight w:val="0"/>
      <w:marTop w:val="0"/>
      <w:marBottom w:val="0"/>
      <w:divBdr>
        <w:top w:val="none" w:sz="0" w:space="0" w:color="auto"/>
        <w:left w:val="none" w:sz="0" w:space="0" w:color="auto"/>
        <w:bottom w:val="none" w:sz="0" w:space="0" w:color="auto"/>
        <w:right w:val="none" w:sz="0" w:space="0" w:color="auto"/>
      </w:divBdr>
    </w:div>
    <w:div w:id="843132241">
      <w:bodyDiv w:val="1"/>
      <w:marLeft w:val="0"/>
      <w:marRight w:val="0"/>
      <w:marTop w:val="0"/>
      <w:marBottom w:val="0"/>
      <w:divBdr>
        <w:top w:val="none" w:sz="0" w:space="0" w:color="auto"/>
        <w:left w:val="none" w:sz="0" w:space="0" w:color="auto"/>
        <w:bottom w:val="none" w:sz="0" w:space="0" w:color="auto"/>
        <w:right w:val="none" w:sz="0" w:space="0" w:color="auto"/>
      </w:divBdr>
    </w:div>
    <w:div w:id="844245852">
      <w:bodyDiv w:val="1"/>
      <w:marLeft w:val="0"/>
      <w:marRight w:val="0"/>
      <w:marTop w:val="0"/>
      <w:marBottom w:val="0"/>
      <w:divBdr>
        <w:top w:val="none" w:sz="0" w:space="0" w:color="auto"/>
        <w:left w:val="none" w:sz="0" w:space="0" w:color="auto"/>
        <w:bottom w:val="none" w:sz="0" w:space="0" w:color="auto"/>
        <w:right w:val="none" w:sz="0" w:space="0" w:color="auto"/>
      </w:divBdr>
    </w:div>
    <w:div w:id="844251774">
      <w:bodyDiv w:val="1"/>
      <w:marLeft w:val="0"/>
      <w:marRight w:val="0"/>
      <w:marTop w:val="0"/>
      <w:marBottom w:val="0"/>
      <w:divBdr>
        <w:top w:val="none" w:sz="0" w:space="0" w:color="auto"/>
        <w:left w:val="none" w:sz="0" w:space="0" w:color="auto"/>
        <w:bottom w:val="none" w:sz="0" w:space="0" w:color="auto"/>
        <w:right w:val="none" w:sz="0" w:space="0" w:color="auto"/>
      </w:divBdr>
    </w:div>
    <w:div w:id="844366393">
      <w:bodyDiv w:val="1"/>
      <w:marLeft w:val="0"/>
      <w:marRight w:val="0"/>
      <w:marTop w:val="0"/>
      <w:marBottom w:val="0"/>
      <w:divBdr>
        <w:top w:val="none" w:sz="0" w:space="0" w:color="auto"/>
        <w:left w:val="none" w:sz="0" w:space="0" w:color="auto"/>
        <w:bottom w:val="none" w:sz="0" w:space="0" w:color="auto"/>
        <w:right w:val="none" w:sz="0" w:space="0" w:color="auto"/>
      </w:divBdr>
    </w:div>
    <w:div w:id="845242135">
      <w:bodyDiv w:val="1"/>
      <w:marLeft w:val="0"/>
      <w:marRight w:val="0"/>
      <w:marTop w:val="0"/>
      <w:marBottom w:val="0"/>
      <w:divBdr>
        <w:top w:val="none" w:sz="0" w:space="0" w:color="auto"/>
        <w:left w:val="none" w:sz="0" w:space="0" w:color="auto"/>
        <w:bottom w:val="none" w:sz="0" w:space="0" w:color="auto"/>
        <w:right w:val="none" w:sz="0" w:space="0" w:color="auto"/>
      </w:divBdr>
    </w:div>
    <w:div w:id="845248962">
      <w:bodyDiv w:val="1"/>
      <w:marLeft w:val="0"/>
      <w:marRight w:val="0"/>
      <w:marTop w:val="0"/>
      <w:marBottom w:val="0"/>
      <w:divBdr>
        <w:top w:val="none" w:sz="0" w:space="0" w:color="auto"/>
        <w:left w:val="none" w:sz="0" w:space="0" w:color="auto"/>
        <w:bottom w:val="none" w:sz="0" w:space="0" w:color="auto"/>
        <w:right w:val="none" w:sz="0" w:space="0" w:color="auto"/>
      </w:divBdr>
    </w:div>
    <w:div w:id="845512637">
      <w:bodyDiv w:val="1"/>
      <w:marLeft w:val="0"/>
      <w:marRight w:val="0"/>
      <w:marTop w:val="0"/>
      <w:marBottom w:val="0"/>
      <w:divBdr>
        <w:top w:val="none" w:sz="0" w:space="0" w:color="auto"/>
        <w:left w:val="none" w:sz="0" w:space="0" w:color="auto"/>
        <w:bottom w:val="none" w:sz="0" w:space="0" w:color="auto"/>
        <w:right w:val="none" w:sz="0" w:space="0" w:color="auto"/>
      </w:divBdr>
    </w:div>
    <w:div w:id="845898215">
      <w:bodyDiv w:val="1"/>
      <w:marLeft w:val="0"/>
      <w:marRight w:val="0"/>
      <w:marTop w:val="0"/>
      <w:marBottom w:val="0"/>
      <w:divBdr>
        <w:top w:val="none" w:sz="0" w:space="0" w:color="auto"/>
        <w:left w:val="none" w:sz="0" w:space="0" w:color="auto"/>
        <w:bottom w:val="none" w:sz="0" w:space="0" w:color="auto"/>
        <w:right w:val="none" w:sz="0" w:space="0" w:color="auto"/>
      </w:divBdr>
    </w:div>
    <w:div w:id="846136904">
      <w:bodyDiv w:val="1"/>
      <w:marLeft w:val="0"/>
      <w:marRight w:val="0"/>
      <w:marTop w:val="0"/>
      <w:marBottom w:val="0"/>
      <w:divBdr>
        <w:top w:val="none" w:sz="0" w:space="0" w:color="auto"/>
        <w:left w:val="none" w:sz="0" w:space="0" w:color="auto"/>
        <w:bottom w:val="none" w:sz="0" w:space="0" w:color="auto"/>
        <w:right w:val="none" w:sz="0" w:space="0" w:color="auto"/>
      </w:divBdr>
    </w:div>
    <w:div w:id="846139180">
      <w:bodyDiv w:val="1"/>
      <w:marLeft w:val="0"/>
      <w:marRight w:val="0"/>
      <w:marTop w:val="0"/>
      <w:marBottom w:val="0"/>
      <w:divBdr>
        <w:top w:val="none" w:sz="0" w:space="0" w:color="auto"/>
        <w:left w:val="none" w:sz="0" w:space="0" w:color="auto"/>
        <w:bottom w:val="none" w:sz="0" w:space="0" w:color="auto"/>
        <w:right w:val="none" w:sz="0" w:space="0" w:color="auto"/>
      </w:divBdr>
    </w:div>
    <w:div w:id="846746986">
      <w:bodyDiv w:val="1"/>
      <w:marLeft w:val="0"/>
      <w:marRight w:val="0"/>
      <w:marTop w:val="0"/>
      <w:marBottom w:val="0"/>
      <w:divBdr>
        <w:top w:val="none" w:sz="0" w:space="0" w:color="auto"/>
        <w:left w:val="none" w:sz="0" w:space="0" w:color="auto"/>
        <w:bottom w:val="none" w:sz="0" w:space="0" w:color="auto"/>
        <w:right w:val="none" w:sz="0" w:space="0" w:color="auto"/>
      </w:divBdr>
    </w:div>
    <w:div w:id="847133759">
      <w:bodyDiv w:val="1"/>
      <w:marLeft w:val="0"/>
      <w:marRight w:val="0"/>
      <w:marTop w:val="0"/>
      <w:marBottom w:val="0"/>
      <w:divBdr>
        <w:top w:val="none" w:sz="0" w:space="0" w:color="auto"/>
        <w:left w:val="none" w:sz="0" w:space="0" w:color="auto"/>
        <w:bottom w:val="none" w:sz="0" w:space="0" w:color="auto"/>
        <w:right w:val="none" w:sz="0" w:space="0" w:color="auto"/>
      </w:divBdr>
    </w:div>
    <w:div w:id="847141161">
      <w:bodyDiv w:val="1"/>
      <w:marLeft w:val="0"/>
      <w:marRight w:val="0"/>
      <w:marTop w:val="0"/>
      <w:marBottom w:val="0"/>
      <w:divBdr>
        <w:top w:val="none" w:sz="0" w:space="0" w:color="auto"/>
        <w:left w:val="none" w:sz="0" w:space="0" w:color="auto"/>
        <w:bottom w:val="none" w:sz="0" w:space="0" w:color="auto"/>
        <w:right w:val="none" w:sz="0" w:space="0" w:color="auto"/>
      </w:divBdr>
    </w:div>
    <w:div w:id="847404841">
      <w:bodyDiv w:val="1"/>
      <w:marLeft w:val="0"/>
      <w:marRight w:val="0"/>
      <w:marTop w:val="0"/>
      <w:marBottom w:val="0"/>
      <w:divBdr>
        <w:top w:val="none" w:sz="0" w:space="0" w:color="auto"/>
        <w:left w:val="none" w:sz="0" w:space="0" w:color="auto"/>
        <w:bottom w:val="none" w:sz="0" w:space="0" w:color="auto"/>
        <w:right w:val="none" w:sz="0" w:space="0" w:color="auto"/>
      </w:divBdr>
    </w:div>
    <w:div w:id="847789864">
      <w:bodyDiv w:val="1"/>
      <w:marLeft w:val="0"/>
      <w:marRight w:val="0"/>
      <w:marTop w:val="0"/>
      <w:marBottom w:val="0"/>
      <w:divBdr>
        <w:top w:val="none" w:sz="0" w:space="0" w:color="auto"/>
        <w:left w:val="none" w:sz="0" w:space="0" w:color="auto"/>
        <w:bottom w:val="none" w:sz="0" w:space="0" w:color="auto"/>
        <w:right w:val="none" w:sz="0" w:space="0" w:color="auto"/>
      </w:divBdr>
    </w:div>
    <w:div w:id="849222764">
      <w:bodyDiv w:val="1"/>
      <w:marLeft w:val="0"/>
      <w:marRight w:val="0"/>
      <w:marTop w:val="0"/>
      <w:marBottom w:val="0"/>
      <w:divBdr>
        <w:top w:val="none" w:sz="0" w:space="0" w:color="auto"/>
        <w:left w:val="none" w:sz="0" w:space="0" w:color="auto"/>
        <w:bottom w:val="none" w:sz="0" w:space="0" w:color="auto"/>
        <w:right w:val="none" w:sz="0" w:space="0" w:color="auto"/>
      </w:divBdr>
    </w:div>
    <w:div w:id="849567922">
      <w:bodyDiv w:val="1"/>
      <w:marLeft w:val="0"/>
      <w:marRight w:val="0"/>
      <w:marTop w:val="0"/>
      <w:marBottom w:val="0"/>
      <w:divBdr>
        <w:top w:val="none" w:sz="0" w:space="0" w:color="auto"/>
        <w:left w:val="none" w:sz="0" w:space="0" w:color="auto"/>
        <w:bottom w:val="none" w:sz="0" w:space="0" w:color="auto"/>
        <w:right w:val="none" w:sz="0" w:space="0" w:color="auto"/>
      </w:divBdr>
    </w:div>
    <w:div w:id="849635614">
      <w:bodyDiv w:val="1"/>
      <w:marLeft w:val="0"/>
      <w:marRight w:val="0"/>
      <w:marTop w:val="0"/>
      <w:marBottom w:val="0"/>
      <w:divBdr>
        <w:top w:val="none" w:sz="0" w:space="0" w:color="auto"/>
        <w:left w:val="none" w:sz="0" w:space="0" w:color="auto"/>
        <w:bottom w:val="none" w:sz="0" w:space="0" w:color="auto"/>
        <w:right w:val="none" w:sz="0" w:space="0" w:color="auto"/>
      </w:divBdr>
    </w:div>
    <w:div w:id="849681109">
      <w:bodyDiv w:val="1"/>
      <w:marLeft w:val="0"/>
      <w:marRight w:val="0"/>
      <w:marTop w:val="0"/>
      <w:marBottom w:val="0"/>
      <w:divBdr>
        <w:top w:val="none" w:sz="0" w:space="0" w:color="auto"/>
        <w:left w:val="none" w:sz="0" w:space="0" w:color="auto"/>
        <w:bottom w:val="none" w:sz="0" w:space="0" w:color="auto"/>
        <w:right w:val="none" w:sz="0" w:space="0" w:color="auto"/>
      </w:divBdr>
    </w:div>
    <w:div w:id="849681677">
      <w:bodyDiv w:val="1"/>
      <w:marLeft w:val="0"/>
      <w:marRight w:val="0"/>
      <w:marTop w:val="0"/>
      <w:marBottom w:val="0"/>
      <w:divBdr>
        <w:top w:val="none" w:sz="0" w:space="0" w:color="auto"/>
        <w:left w:val="none" w:sz="0" w:space="0" w:color="auto"/>
        <w:bottom w:val="none" w:sz="0" w:space="0" w:color="auto"/>
        <w:right w:val="none" w:sz="0" w:space="0" w:color="auto"/>
      </w:divBdr>
    </w:div>
    <w:div w:id="849762986">
      <w:bodyDiv w:val="1"/>
      <w:marLeft w:val="0"/>
      <w:marRight w:val="0"/>
      <w:marTop w:val="0"/>
      <w:marBottom w:val="0"/>
      <w:divBdr>
        <w:top w:val="none" w:sz="0" w:space="0" w:color="auto"/>
        <w:left w:val="none" w:sz="0" w:space="0" w:color="auto"/>
        <w:bottom w:val="none" w:sz="0" w:space="0" w:color="auto"/>
        <w:right w:val="none" w:sz="0" w:space="0" w:color="auto"/>
      </w:divBdr>
    </w:div>
    <w:div w:id="849873776">
      <w:bodyDiv w:val="1"/>
      <w:marLeft w:val="0"/>
      <w:marRight w:val="0"/>
      <w:marTop w:val="0"/>
      <w:marBottom w:val="0"/>
      <w:divBdr>
        <w:top w:val="none" w:sz="0" w:space="0" w:color="auto"/>
        <w:left w:val="none" w:sz="0" w:space="0" w:color="auto"/>
        <w:bottom w:val="none" w:sz="0" w:space="0" w:color="auto"/>
        <w:right w:val="none" w:sz="0" w:space="0" w:color="auto"/>
      </w:divBdr>
    </w:div>
    <w:div w:id="850025595">
      <w:bodyDiv w:val="1"/>
      <w:marLeft w:val="0"/>
      <w:marRight w:val="0"/>
      <w:marTop w:val="0"/>
      <w:marBottom w:val="0"/>
      <w:divBdr>
        <w:top w:val="none" w:sz="0" w:space="0" w:color="auto"/>
        <w:left w:val="none" w:sz="0" w:space="0" w:color="auto"/>
        <w:bottom w:val="none" w:sz="0" w:space="0" w:color="auto"/>
        <w:right w:val="none" w:sz="0" w:space="0" w:color="auto"/>
      </w:divBdr>
    </w:div>
    <w:div w:id="850031178">
      <w:bodyDiv w:val="1"/>
      <w:marLeft w:val="0"/>
      <w:marRight w:val="0"/>
      <w:marTop w:val="0"/>
      <w:marBottom w:val="0"/>
      <w:divBdr>
        <w:top w:val="none" w:sz="0" w:space="0" w:color="auto"/>
        <w:left w:val="none" w:sz="0" w:space="0" w:color="auto"/>
        <w:bottom w:val="none" w:sz="0" w:space="0" w:color="auto"/>
        <w:right w:val="none" w:sz="0" w:space="0" w:color="auto"/>
      </w:divBdr>
    </w:div>
    <w:div w:id="851184276">
      <w:bodyDiv w:val="1"/>
      <w:marLeft w:val="0"/>
      <w:marRight w:val="0"/>
      <w:marTop w:val="0"/>
      <w:marBottom w:val="0"/>
      <w:divBdr>
        <w:top w:val="none" w:sz="0" w:space="0" w:color="auto"/>
        <w:left w:val="none" w:sz="0" w:space="0" w:color="auto"/>
        <w:bottom w:val="none" w:sz="0" w:space="0" w:color="auto"/>
        <w:right w:val="none" w:sz="0" w:space="0" w:color="auto"/>
      </w:divBdr>
    </w:div>
    <w:div w:id="851184739">
      <w:bodyDiv w:val="1"/>
      <w:marLeft w:val="0"/>
      <w:marRight w:val="0"/>
      <w:marTop w:val="0"/>
      <w:marBottom w:val="0"/>
      <w:divBdr>
        <w:top w:val="none" w:sz="0" w:space="0" w:color="auto"/>
        <w:left w:val="none" w:sz="0" w:space="0" w:color="auto"/>
        <w:bottom w:val="none" w:sz="0" w:space="0" w:color="auto"/>
        <w:right w:val="none" w:sz="0" w:space="0" w:color="auto"/>
      </w:divBdr>
    </w:div>
    <w:div w:id="851531999">
      <w:bodyDiv w:val="1"/>
      <w:marLeft w:val="0"/>
      <w:marRight w:val="0"/>
      <w:marTop w:val="0"/>
      <w:marBottom w:val="0"/>
      <w:divBdr>
        <w:top w:val="none" w:sz="0" w:space="0" w:color="auto"/>
        <w:left w:val="none" w:sz="0" w:space="0" w:color="auto"/>
        <w:bottom w:val="none" w:sz="0" w:space="0" w:color="auto"/>
        <w:right w:val="none" w:sz="0" w:space="0" w:color="auto"/>
      </w:divBdr>
    </w:div>
    <w:div w:id="851643970">
      <w:bodyDiv w:val="1"/>
      <w:marLeft w:val="0"/>
      <w:marRight w:val="0"/>
      <w:marTop w:val="0"/>
      <w:marBottom w:val="0"/>
      <w:divBdr>
        <w:top w:val="none" w:sz="0" w:space="0" w:color="auto"/>
        <w:left w:val="none" w:sz="0" w:space="0" w:color="auto"/>
        <w:bottom w:val="none" w:sz="0" w:space="0" w:color="auto"/>
        <w:right w:val="none" w:sz="0" w:space="0" w:color="auto"/>
      </w:divBdr>
    </w:div>
    <w:div w:id="852232035">
      <w:bodyDiv w:val="1"/>
      <w:marLeft w:val="0"/>
      <w:marRight w:val="0"/>
      <w:marTop w:val="0"/>
      <w:marBottom w:val="0"/>
      <w:divBdr>
        <w:top w:val="none" w:sz="0" w:space="0" w:color="auto"/>
        <w:left w:val="none" w:sz="0" w:space="0" w:color="auto"/>
        <w:bottom w:val="none" w:sz="0" w:space="0" w:color="auto"/>
        <w:right w:val="none" w:sz="0" w:space="0" w:color="auto"/>
      </w:divBdr>
    </w:div>
    <w:div w:id="852307395">
      <w:bodyDiv w:val="1"/>
      <w:marLeft w:val="0"/>
      <w:marRight w:val="0"/>
      <w:marTop w:val="0"/>
      <w:marBottom w:val="0"/>
      <w:divBdr>
        <w:top w:val="none" w:sz="0" w:space="0" w:color="auto"/>
        <w:left w:val="none" w:sz="0" w:space="0" w:color="auto"/>
        <w:bottom w:val="none" w:sz="0" w:space="0" w:color="auto"/>
        <w:right w:val="none" w:sz="0" w:space="0" w:color="auto"/>
      </w:divBdr>
    </w:div>
    <w:div w:id="852571804">
      <w:bodyDiv w:val="1"/>
      <w:marLeft w:val="0"/>
      <w:marRight w:val="0"/>
      <w:marTop w:val="0"/>
      <w:marBottom w:val="0"/>
      <w:divBdr>
        <w:top w:val="none" w:sz="0" w:space="0" w:color="auto"/>
        <w:left w:val="none" w:sz="0" w:space="0" w:color="auto"/>
        <w:bottom w:val="none" w:sz="0" w:space="0" w:color="auto"/>
        <w:right w:val="none" w:sz="0" w:space="0" w:color="auto"/>
      </w:divBdr>
    </w:div>
    <w:div w:id="852649999">
      <w:bodyDiv w:val="1"/>
      <w:marLeft w:val="0"/>
      <w:marRight w:val="0"/>
      <w:marTop w:val="0"/>
      <w:marBottom w:val="0"/>
      <w:divBdr>
        <w:top w:val="none" w:sz="0" w:space="0" w:color="auto"/>
        <w:left w:val="none" w:sz="0" w:space="0" w:color="auto"/>
        <w:bottom w:val="none" w:sz="0" w:space="0" w:color="auto"/>
        <w:right w:val="none" w:sz="0" w:space="0" w:color="auto"/>
      </w:divBdr>
    </w:div>
    <w:div w:id="852958378">
      <w:bodyDiv w:val="1"/>
      <w:marLeft w:val="0"/>
      <w:marRight w:val="0"/>
      <w:marTop w:val="0"/>
      <w:marBottom w:val="0"/>
      <w:divBdr>
        <w:top w:val="none" w:sz="0" w:space="0" w:color="auto"/>
        <w:left w:val="none" w:sz="0" w:space="0" w:color="auto"/>
        <w:bottom w:val="none" w:sz="0" w:space="0" w:color="auto"/>
        <w:right w:val="none" w:sz="0" w:space="0" w:color="auto"/>
      </w:divBdr>
    </w:div>
    <w:div w:id="852960388">
      <w:bodyDiv w:val="1"/>
      <w:marLeft w:val="0"/>
      <w:marRight w:val="0"/>
      <w:marTop w:val="0"/>
      <w:marBottom w:val="0"/>
      <w:divBdr>
        <w:top w:val="none" w:sz="0" w:space="0" w:color="auto"/>
        <w:left w:val="none" w:sz="0" w:space="0" w:color="auto"/>
        <w:bottom w:val="none" w:sz="0" w:space="0" w:color="auto"/>
        <w:right w:val="none" w:sz="0" w:space="0" w:color="auto"/>
      </w:divBdr>
    </w:div>
    <w:div w:id="853149782">
      <w:bodyDiv w:val="1"/>
      <w:marLeft w:val="0"/>
      <w:marRight w:val="0"/>
      <w:marTop w:val="0"/>
      <w:marBottom w:val="0"/>
      <w:divBdr>
        <w:top w:val="none" w:sz="0" w:space="0" w:color="auto"/>
        <w:left w:val="none" w:sz="0" w:space="0" w:color="auto"/>
        <w:bottom w:val="none" w:sz="0" w:space="0" w:color="auto"/>
        <w:right w:val="none" w:sz="0" w:space="0" w:color="auto"/>
      </w:divBdr>
    </w:div>
    <w:div w:id="853349749">
      <w:bodyDiv w:val="1"/>
      <w:marLeft w:val="0"/>
      <w:marRight w:val="0"/>
      <w:marTop w:val="0"/>
      <w:marBottom w:val="0"/>
      <w:divBdr>
        <w:top w:val="none" w:sz="0" w:space="0" w:color="auto"/>
        <w:left w:val="none" w:sz="0" w:space="0" w:color="auto"/>
        <w:bottom w:val="none" w:sz="0" w:space="0" w:color="auto"/>
        <w:right w:val="none" w:sz="0" w:space="0" w:color="auto"/>
      </w:divBdr>
    </w:div>
    <w:div w:id="853496611">
      <w:bodyDiv w:val="1"/>
      <w:marLeft w:val="0"/>
      <w:marRight w:val="0"/>
      <w:marTop w:val="0"/>
      <w:marBottom w:val="0"/>
      <w:divBdr>
        <w:top w:val="none" w:sz="0" w:space="0" w:color="auto"/>
        <w:left w:val="none" w:sz="0" w:space="0" w:color="auto"/>
        <w:bottom w:val="none" w:sz="0" w:space="0" w:color="auto"/>
        <w:right w:val="none" w:sz="0" w:space="0" w:color="auto"/>
      </w:divBdr>
    </w:div>
    <w:div w:id="853568267">
      <w:bodyDiv w:val="1"/>
      <w:marLeft w:val="0"/>
      <w:marRight w:val="0"/>
      <w:marTop w:val="0"/>
      <w:marBottom w:val="0"/>
      <w:divBdr>
        <w:top w:val="none" w:sz="0" w:space="0" w:color="auto"/>
        <w:left w:val="none" w:sz="0" w:space="0" w:color="auto"/>
        <w:bottom w:val="none" w:sz="0" w:space="0" w:color="auto"/>
        <w:right w:val="none" w:sz="0" w:space="0" w:color="auto"/>
      </w:divBdr>
    </w:div>
    <w:div w:id="853686387">
      <w:bodyDiv w:val="1"/>
      <w:marLeft w:val="0"/>
      <w:marRight w:val="0"/>
      <w:marTop w:val="0"/>
      <w:marBottom w:val="0"/>
      <w:divBdr>
        <w:top w:val="none" w:sz="0" w:space="0" w:color="auto"/>
        <w:left w:val="none" w:sz="0" w:space="0" w:color="auto"/>
        <w:bottom w:val="none" w:sz="0" w:space="0" w:color="auto"/>
        <w:right w:val="none" w:sz="0" w:space="0" w:color="auto"/>
      </w:divBdr>
    </w:div>
    <w:div w:id="854152009">
      <w:bodyDiv w:val="1"/>
      <w:marLeft w:val="0"/>
      <w:marRight w:val="0"/>
      <w:marTop w:val="0"/>
      <w:marBottom w:val="0"/>
      <w:divBdr>
        <w:top w:val="none" w:sz="0" w:space="0" w:color="auto"/>
        <w:left w:val="none" w:sz="0" w:space="0" w:color="auto"/>
        <w:bottom w:val="none" w:sz="0" w:space="0" w:color="auto"/>
        <w:right w:val="none" w:sz="0" w:space="0" w:color="auto"/>
      </w:divBdr>
    </w:div>
    <w:div w:id="854153099">
      <w:bodyDiv w:val="1"/>
      <w:marLeft w:val="0"/>
      <w:marRight w:val="0"/>
      <w:marTop w:val="0"/>
      <w:marBottom w:val="0"/>
      <w:divBdr>
        <w:top w:val="none" w:sz="0" w:space="0" w:color="auto"/>
        <w:left w:val="none" w:sz="0" w:space="0" w:color="auto"/>
        <w:bottom w:val="none" w:sz="0" w:space="0" w:color="auto"/>
        <w:right w:val="none" w:sz="0" w:space="0" w:color="auto"/>
      </w:divBdr>
    </w:div>
    <w:div w:id="854460862">
      <w:bodyDiv w:val="1"/>
      <w:marLeft w:val="0"/>
      <w:marRight w:val="0"/>
      <w:marTop w:val="0"/>
      <w:marBottom w:val="0"/>
      <w:divBdr>
        <w:top w:val="none" w:sz="0" w:space="0" w:color="auto"/>
        <w:left w:val="none" w:sz="0" w:space="0" w:color="auto"/>
        <w:bottom w:val="none" w:sz="0" w:space="0" w:color="auto"/>
        <w:right w:val="none" w:sz="0" w:space="0" w:color="auto"/>
      </w:divBdr>
    </w:div>
    <w:div w:id="854922356">
      <w:bodyDiv w:val="1"/>
      <w:marLeft w:val="0"/>
      <w:marRight w:val="0"/>
      <w:marTop w:val="0"/>
      <w:marBottom w:val="0"/>
      <w:divBdr>
        <w:top w:val="none" w:sz="0" w:space="0" w:color="auto"/>
        <w:left w:val="none" w:sz="0" w:space="0" w:color="auto"/>
        <w:bottom w:val="none" w:sz="0" w:space="0" w:color="auto"/>
        <w:right w:val="none" w:sz="0" w:space="0" w:color="auto"/>
      </w:divBdr>
    </w:div>
    <w:div w:id="855342629">
      <w:bodyDiv w:val="1"/>
      <w:marLeft w:val="0"/>
      <w:marRight w:val="0"/>
      <w:marTop w:val="0"/>
      <w:marBottom w:val="0"/>
      <w:divBdr>
        <w:top w:val="none" w:sz="0" w:space="0" w:color="auto"/>
        <w:left w:val="none" w:sz="0" w:space="0" w:color="auto"/>
        <w:bottom w:val="none" w:sz="0" w:space="0" w:color="auto"/>
        <w:right w:val="none" w:sz="0" w:space="0" w:color="auto"/>
      </w:divBdr>
    </w:div>
    <w:div w:id="856694483">
      <w:bodyDiv w:val="1"/>
      <w:marLeft w:val="0"/>
      <w:marRight w:val="0"/>
      <w:marTop w:val="0"/>
      <w:marBottom w:val="0"/>
      <w:divBdr>
        <w:top w:val="none" w:sz="0" w:space="0" w:color="auto"/>
        <w:left w:val="none" w:sz="0" w:space="0" w:color="auto"/>
        <w:bottom w:val="none" w:sz="0" w:space="0" w:color="auto"/>
        <w:right w:val="none" w:sz="0" w:space="0" w:color="auto"/>
      </w:divBdr>
    </w:div>
    <w:div w:id="856894175">
      <w:bodyDiv w:val="1"/>
      <w:marLeft w:val="0"/>
      <w:marRight w:val="0"/>
      <w:marTop w:val="0"/>
      <w:marBottom w:val="0"/>
      <w:divBdr>
        <w:top w:val="none" w:sz="0" w:space="0" w:color="auto"/>
        <w:left w:val="none" w:sz="0" w:space="0" w:color="auto"/>
        <w:bottom w:val="none" w:sz="0" w:space="0" w:color="auto"/>
        <w:right w:val="none" w:sz="0" w:space="0" w:color="auto"/>
      </w:divBdr>
    </w:div>
    <w:div w:id="857041050">
      <w:bodyDiv w:val="1"/>
      <w:marLeft w:val="0"/>
      <w:marRight w:val="0"/>
      <w:marTop w:val="0"/>
      <w:marBottom w:val="0"/>
      <w:divBdr>
        <w:top w:val="none" w:sz="0" w:space="0" w:color="auto"/>
        <w:left w:val="none" w:sz="0" w:space="0" w:color="auto"/>
        <w:bottom w:val="none" w:sz="0" w:space="0" w:color="auto"/>
        <w:right w:val="none" w:sz="0" w:space="0" w:color="auto"/>
      </w:divBdr>
    </w:div>
    <w:div w:id="857276978">
      <w:bodyDiv w:val="1"/>
      <w:marLeft w:val="0"/>
      <w:marRight w:val="0"/>
      <w:marTop w:val="0"/>
      <w:marBottom w:val="0"/>
      <w:divBdr>
        <w:top w:val="none" w:sz="0" w:space="0" w:color="auto"/>
        <w:left w:val="none" w:sz="0" w:space="0" w:color="auto"/>
        <w:bottom w:val="none" w:sz="0" w:space="0" w:color="auto"/>
        <w:right w:val="none" w:sz="0" w:space="0" w:color="auto"/>
      </w:divBdr>
    </w:div>
    <w:div w:id="857814332">
      <w:bodyDiv w:val="1"/>
      <w:marLeft w:val="0"/>
      <w:marRight w:val="0"/>
      <w:marTop w:val="0"/>
      <w:marBottom w:val="0"/>
      <w:divBdr>
        <w:top w:val="none" w:sz="0" w:space="0" w:color="auto"/>
        <w:left w:val="none" w:sz="0" w:space="0" w:color="auto"/>
        <w:bottom w:val="none" w:sz="0" w:space="0" w:color="auto"/>
        <w:right w:val="none" w:sz="0" w:space="0" w:color="auto"/>
      </w:divBdr>
    </w:div>
    <w:div w:id="858012827">
      <w:bodyDiv w:val="1"/>
      <w:marLeft w:val="0"/>
      <w:marRight w:val="0"/>
      <w:marTop w:val="0"/>
      <w:marBottom w:val="0"/>
      <w:divBdr>
        <w:top w:val="none" w:sz="0" w:space="0" w:color="auto"/>
        <w:left w:val="none" w:sz="0" w:space="0" w:color="auto"/>
        <w:bottom w:val="none" w:sz="0" w:space="0" w:color="auto"/>
        <w:right w:val="none" w:sz="0" w:space="0" w:color="auto"/>
      </w:divBdr>
    </w:div>
    <w:div w:id="858541036">
      <w:bodyDiv w:val="1"/>
      <w:marLeft w:val="0"/>
      <w:marRight w:val="0"/>
      <w:marTop w:val="0"/>
      <w:marBottom w:val="0"/>
      <w:divBdr>
        <w:top w:val="none" w:sz="0" w:space="0" w:color="auto"/>
        <w:left w:val="none" w:sz="0" w:space="0" w:color="auto"/>
        <w:bottom w:val="none" w:sz="0" w:space="0" w:color="auto"/>
        <w:right w:val="none" w:sz="0" w:space="0" w:color="auto"/>
      </w:divBdr>
    </w:div>
    <w:div w:id="858932320">
      <w:bodyDiv w:val="1"/>
      <w:marLeft w:val="0"/>
      <w:marRight w:val="0"/>
      <w:marTop w:val="0"/>
      <w:marBottom w:val="0"/>
      <w:divBdr>
        <w:top w:val="none" w:sz="0" w:space="0" w:color="auto"/>
        <w:left w:val="none" w:sz="0" w:space="0" w:color="auto"/>
        <w:bottom w:val="none" w:sz="0" w:space="0" w:color="auto"/>
        <w:right w:val="none" w:sz="0" w:space="0" w:color="auto"/>
      </w:divBdr>
    </w:div>
    <w:div w:id="858936685">
      <w:bodyDiv w:val="1"/>
      <w:marLeft w:val="0"/>
      <w:marRight w:val="0"/>
      <w:marTop w:val="0"/>
      <w:marBottom w:val="0"/>
      <w:divBdr>
        <w:top w:val="none" w:sz="0" w:space="0" w:color="auto"/>
        <w:left w:val="none" w:sz="0" w:space="0" w:color="auto"/>
        <w:bottom w:val="none" w:sz="0" w:space="0" w:color="auto"/>
        <w:right w:val="none" w:sz="0" w:space="0" w:color="auto"/>
      </w:divBdr>
    </w:div>
    <w:div w:id="859395704">
      <w:bodyDiv w:val="1"/>
      <w:marLeft w:val="0"/>
      <w:marRight w:val="0"/>
      <w:marTop w:val="0"/>
      <w:marBottom w:val="0"/>
      <w:divBdr>
        <w:top w:val="none" w:sz="0" w:space="0" w:color="auto"/>
        <w:left w:val="none" w:sz="0" w:space="0" w:color="auto"/>
        <w:bottom w:val="none" w:sz="0" w:space="0" w:color="auto"/>
        <w:right w:val="none" w:sz="0" w:space="0" w:color="auto"/>
      </w:divBdr>
    </w:div>
    <w:div w:id="860356681">
      <w:bodyDiv w:val="1"/>
      <w:marLeft w:val="0"/>
      <w:marRight w:val="0"/>
      <w:marTop w:val="0"/>
      <w:marBottom w:val="0"/>
      <w:divBdr>
        <w:top w:val="none" w:sz="0" w:space="0" w:color="auto"/>
        <w:left w:val="none" w:sz="0" w:space="0" w:color="auto"/>
        <w:bottom w:val="none" w:sz="0" w:space="0" w:color="auto"/>
        <w:right w:val="none" w:sz="0" w:space="0" w:color="auto"/>
      </w:divBdr>
    </w:div>
    <w:div w:id="860513228">
      <w:bodyDiv w:val="1"/>
      <w:marLeft w:val="0"/>
      <w:marRight w:val="0"/>
      <w:marTop w:val="0"/>
      <w:marBottom w:val="0"/>
      <w:divBdr>
        <w:top w:val="none" w:sz="0" w:space="0" w:color="auto"/>
        <w:left w:val="none" w:sz="0" w:space="0" w:color="auto"/>
        <w:bottom w:val="none" w:sz="0" w:space="0" w:color="auto"/>
        <w:right w:val="none" w:sz="0" w:space="0" w:color="auto"/>
      </w:divBdr>
    </w:div>
    <w:div w:id="860625125">
      <w:bodyDiv w:val="1"/>
      <w:marLeft w:val="0"/>
      <w:marRight w:val="0"/>
      <w:marTop w:val="0"/>
      <w:marBottom w:val="0"/>
      <w:divBdr>
        <w:top w:val="none" w:sz="0" w:space="0" w:color="auto"/>
        <w:left w:val="none" w:sz="0" w:space="0" w:color="auto"/>
        <w:bottom w:val="none" w:sz="0" w:space="0" w:color="auto"/>
        <w:right w:val="none" w:sz="0" w:space="0" w:color="auto"/>
      </w:divBdr>
    </w:div>
    <w:div w:id="861015220">
      <w:bodyDiv w:val="1"/>
      <w:marLeft w:val="0"/>
      <w:marRight w:val="0"/>
      <w:marTop w:val="0"/>
      <w:marBottom w:val="0"/>
      <w:divBdr>
        <w:top w:val="none" w:sz="0" w:space="0" w:color="auto"/>
        <w:left w:val="none" w:sz="0" w:space="0" w:color="auto"/>
        <w:bottom w:val="none" w:sz="0" w:space="0" w:color="auto"/>
        <w:right w:val="none" w:sz="0" w:space="0" w:color="auto"/>
      </w:divBdr>
    </w:div>
    <w:div w:id="861476645">
      <w:bodyDiv w:val="1"/>
      <w:marLeft w:val="0"/>
      <w:marRight w:val="0"/>
      <w:marTop w:val="0"/>
      <w:marBottom w:val="0"/>
      <w:divBdr>
        <w:top w:val="none" w:sz="0" w:space="0" w:color="auto"/>
        <w:left w:val="none" w:sz="0" w:space="0" w:color="auto"/>
        <w:bottom w:val="none" w:sz="0" w:space="0" w:color="auto"/>
        <w:right w:val="none" w:sz="0" w:space="0" w:color="auto"/>
      </w:divBdr>
    </w:div>
    <w:div w:id="861671682">
      <w:bodyDiv w:val="1"/>
      <w:marLeft w:val="0"/>
      <w:marRight w:val="0"/>
      <w:marTop w:val="0"/>
      <w:marBottom w:val="0"/>
      <w:divBdr>
        <w:top w:val="none" w:sz="0" w:space="0" w:color="auto"/>
        <w:left w:val="none" w:sz="0" w:space="0" w:color="auto"/>
        <w:bottom w:val="none" w:sz="0" w:space="0" w:color="auto"/>
        <w:right w:val="none" w:sz="0" w:space="0" w:color="auto"/>
      </w:divBdr>
    </w:div>
    <w:div w:id="861746169">
      <w:bodyDiv w:val="1"/>
      <w:marLeft w:val="0"/>
      <w:marRight w:val="0"/>
      <w:marTop w:val="0"/>
      <w:marBottom w:val="0"/>
      <w:divBdr>
        <w:top w:val="none" w:sz="0" w:space="0" w:color="auto"/>
        <w:left w:val="none" w:sz="0" w:space="0" w:color="auto"/>
        <w:bottom w:val="none" w:sz="0" w:space="0" w:color="auto"/>
        <w:right w:val="none" w:sz="0" w:space="0" w:color="auto"/>
      </w:divBdr>
    </w:div>
    <w:div w:id="862551975">
      <w:bodyDiv w:val="1"/>
      <w:marLeft w:val="0"/>
      <w:marRight w:val="0"/>
      <w:marTop w:val="0"/>
      <w:marBottom w:val="0"/>
      <w:divBdr>
        <w:top w:val="none" w:sz="0" w:space="0" w:color="auto"/>
        <w:left w:val="none" w:sz="0" w:space="0" w:color="auto"/>
        <w:bottom w:val="none" w:sz="0" w:space="0" w:color="auto"/>
        <w:right w:val="none" w:sz="0" w:space="0" w:color="auto"/>
      </w:divBdr>
    </w:div>
    <w:div w:id="862666573">
      <w:bodyDiv w:val="1"/>
      <w:marLeft w:val="0"/>
      <w:marRight w:val="0"/>
      <w:marTop w:val="0"/>
      <w:marBottom w:val="0"/>
      <w:divBdr>
        <w:top w:val="none" w:sz="0" w:space="0" w:color="auto"/>
        <w:left w:val="none" w:sz="0" w:space="0" w:color="auto"/>
        <w:bottom w:val="none" w:sz="0" w:space="0" w:color="auto"/>
        <w:right w:val="none" w:sz="0" w:space="0" w:color="auto"/>
      </w:divBdr>
    </w:div>
    <w:div w:id="863250870">
      <w:bodyDiv w:val="1"/>
      <w:marLeft w:val="0"/>
      <w:marRight w:val="0"/>
      <w:marTop w:val="0"/>
      <w:marBottom w:val="0"/>
      <w:divBdr>
        <w:top w:val="none" w:sz="0" w:space="0" w:color="auto"/>
        <w:left w:val="none" w:sz="0" w:space="0" w:color="auto"/>
        <w:bottom w:val="none" w:sz="0" w:space="0" w:color="auto"/>
        <w:right w:val="none" w:sz="0" w:space="0" w:color="auto"/>
      </w:divBdr>
    </w:div>
    <w:div w:id="863321530">
      <w:bodyDiv w:val="1"/>
      <w:marLeft w:val="0"/>
      <w:marRight w:val="0"/>
      <w:marTop w:val="0"/>
      <w:marBottom w:val="0"/>
      <w:divBdr>
        <w:top w:val="none" w:sz="0" w:space="0" w:color="auto"/>
        <w:left w:val="none" w:sz="0" w:space="0" w:color="auto"/>
        <w:bottom w:val="none" w:sz="0" w:space="0" w:color="auto"/>
        <w:right w:val="none" w:sz="0" w:space="0" w:color="auto"/>
      </w:divBdr>
    </w:div>
    <w:div w:id="863447972">
      <w:bodyDiv w:val="1"/>
      <w:marLeft w:val="0"/>
      <w:marRight w:val="0"/>
      <w:marTop w:val="0"/>
      <w:marBottom w:val="0"/>
      <w:divBdr>
        <w:top w:val="none" w:sz="0" w:space="0" w:color="auto"/>
        <w:left w:val="none" w:sz="0" w:space="0" w:color="auto"/>
        <w:bottom w:val="none" w:sz="0" w:space="0" w:color="auto"/>
        <w:right w:val="none" w:sz="0" w:space="0" w:color="auto"/>
      </w:divBdr>
    </w:div>
    <w:div w:id="863707878">
      <w:bodyDiv w:val="1"/>
      <w:marLeft w:val="0"/>
      <w:marRight w:val="0"/>
      <w:marTop w:val="0"/>
      <w:marBottom w:val="0"/>
      <w:divBdr>
        <w:top w:val="none" w:sz="0" w:space="0" w:color="auto"/>
        <w:left w:val="none" w:sz="0" w:space="0" w:color="auto"/>
        <w:bottom w:val="none" w:sz="0" w:space="0" w:color="auto"/>
        <w:right w:val="none" w:sz="0" w:space="0" w:color="auto"/>
      </w:divBdr>
    </w:div>
    <w:div w:id="863791848">
      <w:bodyDiv w:val="1"/>
      <w:marLeft w:val="0"/>
      <w:marRight w:val="0"/>
      <w:marTop w:val="0"/>
      <w:marBottom w:val="0"/>
      <w:divBdr>
        <w:top w:val="none" w:sz="0" w:space="0" w:color="auto"/>
        <w:left w:val="none" w:sz="0" w:space="0" w:color="auto"/>
        <w:bottom w:val="none" w:sz="0" w:space="0" w:color="auto"/>
        <w:right w:val="none" w:sz="0" w:space="0" w:color="auto"/>
      </w:divBdr>
    </w:div>
    <w:div w:id="865173420">
      <w:bodyDiv w:val="1"/>
      <w:marLeft w:val="0"/>
      <w:marRight w:val="0"/>
      <w:marTop w:val="0"/>
      <w:marBottom w:val="0"/>
      <w:divBdr>
        <w:top w:val="none" w:sz="0" w:space="0" w:color="auto"/>
        <w:left w:val="none" w:sz="0" w:space="0" w:color="auto"/>
        <w:bottom w:val="none" w:sz="0" w:space="0" w:color="auto"/>
        <w:right w:val="none" w:sz="0" w:space="0" w:color="auto"/>
      </w:divBdr>
    </w:div>
    <w:div w:id="865294255">
      <w:bodyDiv w:val="1"/>
      <w:marLeft w:val="0"/>
      <w:marRight w:val="0"/>
      <w:marTop w:val="0"/>
      <w:marBottom w:val="0"/>
      <w:divBdr>
        <w:top w:val="none" w:sz="0" w:space="0" w:color="auto"/>
        <w:left w:val="none" w:sz="0" w:space="0" w:color="auto"/>
        <w:bottom w:val="none" w:sz="0" w:space="0" w:color="auto"/>
        <w:right w:val="none" w:sz="0" w:space="0" w:color="auto"/>
      </w:divBdr>
    </w:div>
    <w:div w:id="865605178">
      <w:bodyDiv w:val="1"/>
      <w:marLeft w:val="0"/>
      <w:marRight w:val="0"/>
      <w:marTop w:val="0"/>
      <w:marBottom w:val="0"/>
      <w:divBdr>
        <w:top w:val="none" w:sz="0" w:space="0" w:color="auto"/>
        <w:left w:val="none" w:sz="0" w:space="0" w:color="auto"/>
        <w:bottom w:val="none" w:sz="0" w:space="0" w:color="auto"/>
        <w:right w:val="none" w:sz="0" w:space="0" w:color="auto"/>
      </w:divBdr>
    </w:div>
    <w:div w:id="865751561">
      <w:bodyDiv w:val="1"/>
      <w:marLeft w:val="0"/>
      <w:marRight w:val="0"/>
      <w:marTop w:val="0"/>
      <w:marBottom w:val="0"/>
      <w:divBdr>
        <w:top w:val="none" w:sz="0" w:space="0" w:color="auto"/>
        <w:left w:val="none" w:sz="0" w:space="0" w:color="auto"/>
        <w:bottom w:val="none" w:sz="0" w:space="0" w:color="auto"/>
        <w:right w:val="none" w:sz="0" w:space="0" w:color="auto"/>
      </w:divBdr>
    </w:div>
    <w:div w:id="865753806">
      <w:bodyDiv w:val="1"/>
      <w:marLeft w:val="0"/>
      <w:marRight w:val="0"/>
      <w:marTop w:val="0"/>
      <w:marBottom w:val="0"/>
      <w:divBdr>
        <w:top w:val="none" w:sz="0" w:space="0" w:color="auto"/>
        <w:left w:val="none" w:sz="0" w:space="0" w:color="auto"/>
        <w:bottom w:val="none" w:sz="0" w:space="0" w:color="auto"/>
        <w:right w:val="none" w:sz="0" w:space="0" w:color="auto"/>
      </w:divBdr>
    </w:div>
    <w:div w:id="865943073">
      <w:bodyDiv w:val="1"/>
      <w:marLeft w:val="0"/>
      <w:marRight w:val="0"/>
      <w:marTop w:val="0"/>
      <w:marBottom w:val="0"/>
      <w:divBdr>
        <w:top w:val="none" w:sz="0" w:space="0" w:color="auto"/>
        <w:left w:val="none" w:sz="0" w:space="0" w:color="auto"/>
        <w:bottom w:val="none" w:sz="0" w:space="0" w:color="auto"/>
        <w:right w:val="none" w:sz="0" w:space="0" w:color="auto"/>
      </w:divBdr>
    </w:div>
    <w:div w:id="865950450">
      <w:bodyDiv w:val="1"/>
      <w:marLeft w:val="0"/>
      <w:marRight w:val="0"/>
      <w:marTop w:val="0"/>
      <w:marBottom w:val="0"/>
      <w:divBdr>
        <w:top w:val="none" w:sz="0" w:space="0" w:color="auto"/>
        <w:left w:val="none" w:sz="0" w:space="0" w:color="auto"/>
        <w:bottom w:val="none" w:sz="0" w:space="0" w:color="auto"/>
        <w:right w:val="none" w:sz="0" w:space="0" w:color="auto"/>
      </w:divBdr>
    </w:div>
    <w:div w:id="866025368">
      <w:bodyDiv w:val="1"/>
      <w:marLeft w:val="0"/>
      <w:marRight w:val="0"/>
      <w:marTop w:val="0"/>
      <w:marBottom w:val="0"/>
      <w:divBdr>
        <w:top w:val="none" w:sz="0" w:space="0" w:color="auto"/>
        <w:left w:val="none" w:sz="0" w:space="0" w:color="auto"/>
        <w:bottom w:val="none" w:sz="0" w:space="0" w:color="auto"/>
        <w:right w:val="none" w:sz="0" w:space="0" w:color="auto"/>
      </w:divBdr>
    </w:div>
    <w:div w:id="866404765">
      <w:bodyDiv w:val="1"/>
      <w:marLeft w:val="0"/>
      <w:marRight w:val="0"/>
      <w:marTop w:val="0"/>
      <w:marBottom w:val="0"/>
      <w:divBdr>
        <w:top w:val="none" w:sz="0" w:space="0" w:color="auto"/>
        <w:left w:val="none" w:sz="0" w:space="0" w:color="auto"/>
        <w:bottom w:val="none" w:sz="0" w:space="0" w:color="auto"/>
        <w:right w:val="none" w:sz="0" w:space="0" w:color="auto"/>
      </w:divBdr>
    </w:div>
    <w:div w:id="866600090">
      <w:bodyDiv w:val="1"/>
      <w:marLeft w:val="0"/>
      <w:marRight w:val="0"/>
      <w:marTop w:val="0"/>
      <w:marBottom w:val="0"/>
      <w:divBdr>
        <w:top w:val="none" w:sz="0" w:space="0" w:color="auto"/>
        <w:left w:val="none" w:sz="0" w:space="0" w:color="auto"/>
        <w:bottom w:val="none" w:sz="0" w:space="0" w:color="auto"/>
        <w:right w:val="none" w:sz="0" w:space="0" w:color="auto"/>
      </w:divBdr>
    </w:div>
    <w:div w:id="866873562">
      <w:bodyDiv w:val="1"/>
      <w:marLeft w:val="0"/>
      <w:marRight w:val="0"/>
      <w:marTop w:val="0"/>
      <w:marBottom w:val="0"/>
      <w:divBdr>
        <w:top w:val="none" w:sz="0" w:space="0" w:color="auto"/>
        <w:left w:val="none" w:sz="0" w:space="0" w:color="auto"/>
        <w:bottom w:val="none" w:sz="0" w:space="0" w:color="auto"/>
        <w:right w:val="none" w:sz="0" w:space="0" w:color="auto"/>
      </w:divBdr>
    </w:div>
    <w:div w:id="867186369">
      <w:bodyDiv w:val="1"/>
      <w:marLeft w:val="0"/>
      <w:marRight w:val="0"/>
      <w:marTop w:val="0"/>
      <w:marBottom w:val="0"/>
      <w:divBdr>
        <w:top w:val="none" w:sz="0" w:space="0" w:color="auto"/>
        <w:left w:val="none" w:sz="0" w:space="0" w:color="auto"/>
        <w:bottom w:val="none" w:sz="0" w:space="0" w:color="auto"/>
        <w:right w:val="none" w:sz="0" w:space="0" w:color="auto"/>
      </w:divBdr>
    </w:div>
    <w:div w:id="867597353">
      <w:bodyDiv w:val="1"/>
      <w:marLeft w:val="0"/>
      <w:marRight w:val="0"/>
      <w:marTop w:val="0"/>
      <w:marBottom w:val="0"/>
      <w:divBdr>
        <w:top w:val="none" w:sz="0" w:space="0" w:color="auto"/>
        <w:left w:val="none" w:sz="0" w:space="0" w:color="auto"/>
        <w:bottom w:val="none" w:sz="0" w:space="0" w:color="auto"/>
        <w:right w:val="none" w:sz="0" w:space="0" w:color="auto"/>
      </w:divBdr>
    </w:div>
    <w:div w:id="867838702">
      <w:bodyDiv w:val="1"/>
      <w:marLeft w:val="0"/>
      <w:marRight w:val="0"/>
      <w:marTop w:val="0"/>
      <w:marBottom w:val="0"/>
      <w:divBdr>
        <w:top w:val="none" w:sz="0" w:space="0" w:color="auto"/>
        <w:left w:val="none" w:sz="0" w:space="0" w:color="auto"/>
        <w:bottom w:val="none" w:sz="0" w:space="0" w:color="auto"/>
        <w:right w:val="none" w:sz="0" w:space="0" w:color="auto"/>
      </w:divBdr>
    </w:div>
    <w:div w:id="868107160">
      <w:bodyDiv w:val="1"/>
      <w:marLeft w:val="0"/>
      <w:marRight w:val="0"/>
      <w:marTop w:val="0"/>
      <w:marBottom w:val="0"/>
      <w:divBdr>
        <w:top w:val="none" w:sz="0" w:space="0" w:color="auto"/>
        <w:left w:val="none" w:sz="0" w:space="0" w:color="auto"/>
        <w:bottom w:val="none" w:sz="0" w:space="0" w:color="auto"/>
        <w:right w:val="none" w:sz="0" w:space="0" w:color="auto"/>
      </w:divBdr>
    </w:div>
    <w:div w:id="868639944">
      <w:bodyDiv w:val="1"/>
      <w:marLeft w:val="0"/>
      <w:marRight w:val="0"/>
      <w:marTop w:val="0"/>
      <w:marBottom w:val="0"/>
      <w:divBdr>
        <w:top w:val="none" w:sz="0" w:space="0" w:color="auto"/>
        <w:left w:val="none" w:sz="0" w:space="0" w:color="auto"/>
        <w:bottom w:val="none" w:sz="0" w:space="0" w:color="auto"/>
        <w:right w:val="none" w:sz="0" w:space="0" w:color="auto"/>
      </w:divBdr>
    </w:div>
    <w:div w:id="868684648">
      <w:bodyDiv w:val="1"/>
      <w:marLeft w:val="0"/>
      <w:marRight w:val="0"/>
      <w:marTop w:val="0"/>
      <w:marBottom w:val="0"/>
      <w:divBdr>
        <w:top w:val="none" w:sz="0" w:space="0" w:color="auto"/>
        <w:left w:val="none" w:sz="0" w:space="0" w:color="auto"/>
        <w:bottom w:val="none" w:sz="0" w:space="0" w:color="auto"/>
        <w:right w:val="none" w:sz="0" w:space="0" w:color="auto"/>
      </w:divBdr>
    </w:div>
    <w:div w:id="868878942">
      <w:bodyDiv w:val="1"/>
      <w:marLeft w:val="0"/>
      <w:marRight w:val="0"/>
      <w:marTop w:val="0"/>
      <w:marBottom w:val="0"/>
      <w:divBdr>
        <w:top w:val="none" w:sz="0" w:space="0" w:color="auto"/>
        <w:left w:val="none" w:sz="0" w:space="0" w:color="auto"/>
        <w:bottom w:val="none" w:sz="0" w:space="0" w:color="auto"/>
        <w:right w:val="none" w:sz="0" w:space="0" w:color="auto"/>
      </w:divBdr>
    </w:div>
    <w:div w:id="869414189">
      <w:bodyDiv w:val="1"/>
      <w:marLeft w:val="0"/>
      <w:marRight w:val="0"/>
      <w:marTop w:val="0"/>
      <w:marBottom w:val="0"/>
      <w:divBdr>
        <w:top w:val="none" w:sz="0" w:space="0" w:color="auto"/>
        <w:left w:val="none" w:sz="0" w:space="0" w:color="auto"/>
        <w:bottom w:val="none" w:sz="0" w:space="0" w:color="auto"/>
        <w:right w:val="none" w:sz="0" w:space="0" w:color="auto"/>
      </w:divBdr>
    </w:div>
    <w:div w:id="869607921">
      <w:bodyDiv w:val="1"/>
      <w:marLeft w:val="0"/>
      <w:marRight w:val="0"/>
      <w:marTop w:val="0"/>
      <w:marBottom w:val="0"/>
      <w:divBdr>
        <w:top w:val="none" w:sz="0" w:space="0" w:color="auto"/>
        <w:left w:val="none" w:sz="0" w:space="0" w:color="auto"/>
        <w:bottom w:val="none" w:sz="0" w:space="0" w:color="auto"/>
        <w:right w:val="none" w:sz="0" w:space="0" w:color="auto"/>
      </w:divBdr>
    </w:div>
    <w:div w:id="869757993">
      <w:bodyDiv w:val="1"/>
      <w:marLeft w:val="0"/>
      <w:marRight w:val="0"/>
      <w:marTop w:val="0"/>
      <w:marBottom w:val="0"/>
      <w:divBdr>
        <w:top w:val="none" w:sz="0" w:space="0" w:color="auto"/>
        <w:left w:val="none" w:sz="0" w:space="0" w:color="auto"/>
        <w:bottom w:val="none" w:sz="0" w:space="0" w:color="auto"/>
        <w:right w:val="none" w:sz="0" w:space="0" w:color="auto"/>
      </w:divBdr>
    </w:div>
    <w:div w:id="869996017">
      <w:bodyDiv w:val="1"/>
      <w:marLeft w:val="0"/>
      <w:marRight w:val="0"/>
      <w:marTop w:val="0"/>
      <w:marBottom w:val="0"/>
      <w:divBdr>
        <w:top w:val="none" w:sz="0" w:space="0" w:color="auto"/>
        <w:left w:val="none" w:sz="0" w:space="0" w:color="auto"/>
        <w:bottom w:val="none" w:sz="0" w:space="0" w:color="auto"/>
        <w:right w:val="none" w:sz="0" w:space="0" w:color="auto"/>
      </w:divBdr>
    </w:div>
    <w:div w:id="870000037">
      <w:bodyDiv w:val="1"/>
      <w:marLeft w:val="0"/>
      <w:marRight w:val="0"/>
      <w:marTop w:val="0"/>
      <w:marBottom w:val="0"/>
      <w:divBdr>
        <w:top w:val="none" w:sz="0" w:space="0" w:color="auto"/>
        <w:left w:val="none" w:sz="0" w:space="0" w:color="auto"/>
        <w:bottom w:val="none" w:sz="0" w:space="0" w:color="auto"/>
        <w:right w:val="none" w:sz="0" w:space="0" w:color="auto"/>
      </w:divBdr>
    </w:div>
    <w:div w:id="870339547">
      <w:bodyDiv w:val="1"/>
      <w:marLeft w:val="0"/>
      <w:marRight w:val="0"/>
      <w:marTop w:val="0"/>
      <w:marBottom w:val="0"/>
      <w:divBdr>
        <w:top w:val="none" w:sz="0" w:space="0" w:color="auto"/>
        <w:left w:val="none" w:sz="0" w:space="0" w:color="auto"/>
        <w:bottom w:val="none" w:sz="0" w:space="0" w:color="auto"/>
        <w:right w:val="none" w:sz="0" w:space="0" w:color="auto"/>
      </w:divBdr>
    </w:div>
    <w:div w:id="870340818">
      <w:bodyDiv w:val="1"/>
      <w:marLeft w:val="0"/>
      <w:marRight w:val="0"/>
      <w:marTop w:val="0"/>
      <w:marBottom w:val="0"/>
      <w:divBdr>
        <w:top w:val="none" w:sz="0" w:space="0" w:color="auto"/>
        <w:left w:val="none" w:sz="0" w:space="0" w:color="auto"/>
        <w:bottom w:val="none" w:sz="0" w:space="0" w:color="auto"/>
        <w:right w:val="none" w:sz="0" w:space="0" w:color="auto"/>
      </w:divBdr>
    </w:div>
    <w:div w:id="870411345">
      <w:bodyDiv w:val="1"/>
      <w:marLeft w:val="0"/>
      <w:marRight w:val="0"/>
      <w:marTop w:val="0"/>
      <w:marBottom w:val="0"/>
      <w:divBdr>
        <w:top w:val="none" w:sz="0" w:space="0" w:color="auto"/>
        <w:left w:val="none" w:sz="0" w:space="0" w:color="auto"/>
        <w:bottom w:val="none" w:sz="0" w:space="0" w:color="auto"/>
        <w:right w:val="none" w:sz="0" w:space="0" w:color="auto"/>
      </w:divBdr>
    </w:div>
    <w:div w:id="871920997">
      <w:bodyDiv w:val="1"/>
      <w:marLeft w:val="0"/>
      <w:marRight w:val="0"/>
      <w:marTop w:val="0"/>
      <w:marBottom w:val="0"/>
      <w:divBdr>
        <w:top w:val="none" w:sz="0" w:space="0" w:color="auto"/>
        <w:left w:val="none" w:sz="0" w:space="0" w:color="auto"/>
        <w:bottom w:val="none" w:sz="0" w:space="0" w:color="auto"/>
        <w:right w:val="none" w:sz="0" w:space="0" w:color="auto"/>
      </w:divBdr>
    </w:div>
    <w:div w:id="872301942">
      <w:bodyDiv w:val="1"/>
      <w:marLeft w:val="0"/>
      <w:marRight w:val="0"/>
      <w:marTop w:val="0"/>
      <w:marBottom w:val="0"/>
      <w:divBdr>
        <w:top w:val="none" w:sz="0" w:space="0" w:color="auto"/>
        <w:left w:val="none" w:sz="0" w:space="0" w:color="auto"/>
        <w:bottom w:val="none" w:sz="0" w:space="0" w:color="auto"/>
        <w:right w:val="none" w:sz="0" w:space="0" w:color="auto"/>
      </w:divBdr>
    </w:div>
    <w:div w:id="872573317">
      <w:bodyDiv w:val="1"/>
      <w:marLeft w:val="0"/>
      <w:marRight w:val="0"/>
      <w:marTop w:val="0"/>
      <w:marBottom w:val="0"/>
      <w:divBdr>
        <w:top w:val="none" w:sz="0" w:space="0" w:color="auto"/>
        <w:left w:val="none" w:sz="0" w:space="0" w:color="auto"/>
        <w:bottom w:val="none" w:sz="0" w:space="0" w:color="auto"/>
        <w:right w:val="none" w:sz="0" w:space="0" w:color="auto"/>
      </w:divBdr>
    </w:div>
    <w:div w:id="873347511">
      <w:bodyDiv w:val="1"/>
      <w:marLeft w:val="0"/>
      <w:marRight w:val="0"/>
      <w:marTop w:val="0"/>
      <w:marBottom w:val="0"/>
      <w:divBdr>
        <w:top w:val="none" w:sz="0" w:space="0" w:color="auto"/>
        <w:left w:val="none" w:sz="0" w:space="0" w:color="auto"/>
        <w:bottom w:val="none" w:sz="0" w:space="0" w:color="auto"/>
        <w:right w:val="none" w:sz="0" w:space="0" w:color="auto"/>
      </w:divBdr>
    </w:div>
    <w:div w:id="873924487">
      <w:bodyDiv w:val="1"/>
      <w:marLeft w:val="0"/>
      <w:marRight w:val="0"/>
      <w:marTop w:val="0"/>
      <w:marBottom w:val="0"/>
      <w:divBdr>
        <w:top w:val="none" w:sz="0" w:space="0" w:color="auto"/>
        <w:left w:val="none" w:sz="0" w:space="0" w:color="auto"/>
        <w:bottom w:val="none" w:sz="0" w:space="0" w:color="auto"/>
        <w:right w:val="none" w:sz="0" w:space="0" w:color="auto"/>
      </w:divBdr>
    </w:div>
    <w:div w:id="873998980">
      <w:bodyDiv w:val="1"/>
      <w:marLeft w:val="0"/>
      <w:marRight w:val="0"/>
      <w:marTop w:val="0"/>
      <w:marBottom w:val="0"/>
      <w:divBdr>
        <w:top w:val="none" w:sz="0" w:space="0" w:color="auto"/>
        <w:left w:val="none" w:sz="0" w:space="0" w:color="auto"/>
        <w:bottom w:val="none" w:sz="0" w:space="0" w:color="auto"/>
        <w:right w:val="none" w:sz="0" w:space="0" w:color="auto"/>
      </w:divBdr>
    </w:div>
    <w:div w:id="874075018">
      <w:bodyDiv w:val="1"/>
      <w:marLeft w:val="0"/>
      <w:marRight w:val="0"/>
      <w:marTop w:val="0"/>
      <w:marBottom w:val="0"/>
      <w:divBdr>
        <w:top w:val="none" w:sz="0" w:space="0" w:color="auto"/>
        <w:left w:val="none" w:sz="0" w:space="0" w:color="auto"/>
        <w:bottom w:val="none" w:sz="0" w:space="0" w:color="auto"/>
        <w:right w:val="none" w:sz="0" w:space="0" w:color="auto"/>
      </w:divBdr>
    </w:div>
    <w:div w:id="874124659">
      <w:bodyDiv w:val="1"/>
      <w:marLeft w:val="0"/>
      <w:marRight w:val="0"/>
      <w:marTop w:val="0"/>
      <w:marBottom w:val="0"/>
      <w:divBdr>
        <w:top w:val="none" w:sz="0" w:space="0" w:color="auto"/>
        <w:left w:val="none" w:sz="0" w:space="0" w:color="auto"/>
        <w:bottom w:val="none" w:sz="0" w:space="0" w:color="auto"/>
        <w:right w:val="none" w:sz="0" w:space="0" w:color="auto"/>
      </w:divBdr>
    </w:div>
    <w:div w:id="874199200">
      <w:bodyDiv w:val="1"/>
      <w:marLeft w:val="0"/>
      <w:marRight w:val="0"/>
      <w:marTop w:val="0"/>
      <w:marBottom w:val="0"/>
      <w:divBdr>
        <w:top w:val="none" w:sz="0" w:space="0" w:color="auto"/>
        <w:left w:val="none" w:sz="0" w:space="0" w:color="auto"/>
        <w:bottom w:val="none" w:sz="0" w:space="0" w:color="auto"/>
        <w:right w:val="none" w:sz="0" w:space="0" w:color="auto"/>
      </w:divBdr>
    </w:div>
    <w:div w:id="874272350">
      <w:bodyDiv w:val="1"/>
      <w:marLeft w:val="0"/>
      <w:marRight w:val="0"/>
      <w:marTop w:val="0"/>
      <w:marBottom w:val="0"/>
      <w:divBdr>
        <w:top w:val="none" w:sz="0" w:space="0" w:color="auto"/>
        <w:left w:val="none" w:sz="0" w:space="0" w:color="auto"/>
        <w:bottom w:val="none" w:sz="0" w:space="0" w:color="auto"/>
        <w:right w:val="none" w:sz="0" w:space="0" w:color="auto"/>
      </w:divBdr>
    </w:div>
    <w:div w:id="874729190">
      <w:bodyDiv w:val="1"/>
      <w:marLeft w:val="0"/>
      <w:marRight w:val="0"/>
      <w:marTop w:val="0"/>
      <w:marBottom w:val="0"/>
      <w:divBdr>
        <w:top w:val="none" w:sz="0" w:space="0" w:color="auto"/>
        <w:left w:val="none" w:sz="0" w:space="0" w:color="auto"/>
        <w:bottom w:val="none" w:sz="0" w:space="0" w:color="auto"/>
        <w:right w:val="none" w:sz="0" w:space="0" w:color="auto"/>
      </w:divBdr>
    </w:div>
    <w:div w:id="874776595">
      <w:bodyDiv w:val="1"/>
      <w:marLeft w:val="0"/>
      <w:marRight w:val="0"/>
      <w:marTop w:val="0"/>
      <w:marBottom w:val="0"/>
      <w:divBdr>
        <w:top w:val="none" w:sz="0" w:space="0" w:color="auto"/>
        <w:left w:val="none" w:sz="0" w:space="0" w:color="auto"/>
        <w:bottom w:val="none" w:sz="0" w:space="0" w:color="auto"/>
        <w:right w:val="none" w:sz="0" w:space="0" w:color="auto"/>
      </w:divBdr>
    </w:div>
    <w:div w:id="874852320">
      <w:bodyDiv w:val="1"/>
      <w:marLeft w:val="0"/>
      <w:marRight w:val="0"/>
      <w:marTop w:val="0"/>
      <w:marBottom w:val="0"/>
      <w:divBdr>
        <w:top w:val="none" w:sz="0" w:space="0" w:color="auto"/>
        <w:left w:val="none" w:sz="0" w:space="0" w:color="auto"/>
        <w:bottom w:val="none" w:sz="0" w:space="0" w:color="auto"/>
        <w:right w:val="none" w:sz="0" w:space="0" w:color="auto"/>
      </w:divBdr>
    </w:div>
    <w:div w:id="876039547">
      <w:bodyDiv w:val="1"/>
      <w:marLeft w:val="0"/>
      <w:marRight w:val="0"/>
      <w:marTop w:val="0"/>
      <w:marBottom w:val="0"/>
      <w:divBdr>
        <w:top w:val="none" w:sz="0" w:space="0" w:color="auto"/>
        <w:left w:val="none" w:sz="0" w:space="0" w:color="auto"/>
        <w:bottom w:val="none" w:sz="0" w:space="0" w:color="auto"/>
        <w:right w:val="none" w:sz="0" w:space="0" w:color="auto"/>
      </w:divBdr>
    </w:div>
    <w:div w:id="876048205">
      <w:bodyDiv w:val="1"/>
      <w:marLeft w:val="0"/>
      <w:marRight w:val="0"/>
      <w:marTop w:val="0"/>
      <w:marBottom w:val="0"/>
      <w:divBdr>
        <w:top w:val="none" w:sz="0" w:space="0" w:color="auto"/>
        <w:left w:val="none" w:sz="0" w:space="0" w:color="auto"/>
        <w:bottom w:val="none" w:sz="0" w:space="0" w:color="auto"/>
        <w:right w:val="none" w:sz="0" w:space="0" w:color="auto"/>
      </w:divBdr>
    </w:div>
    <w:div w:id="876232954">
      <w:bodyDiv w:val="1"/>
      <w:marLeft w:val="0"/>
      <w:marRight w:val="0"/>
      <w:marTop w:val="0"/>
      <w:marBottom w:val="0"/>
      <w:divBdr>
        <w:top w:val="none" w:sz="0" w:space="0" w:color="auto"/>
        <w:left w:val="none" w:sz="0" w:space="0" w:color="auto"/>
        <w:bottom w:val="none" w:sz="0" w:space="0" w:color="auto"/>
        <w:right w:val="none" w:sz="0" w:space="0" w:color="auto"/>
      </w:divBdr>
    </w:div>
    <w:div w:id="876434086">
      <w:bodyDiv w:val="1"/>
      <w:marLeft w:val="0"/>
      <w:marRight w:val="0"/>
      <w:marTop w:val="0"/>
      <w:marBottom w:val="0"/>
      <w:divBdr>
        <w:top w:val="none" w:sz="0" w:space="0" w:color="auto"/>
        <w:left w:val="none" w:sz="0" w:space="0" w:color="auto"/>
        <w:bottom w:val="none" w:sz="0" w:space="0" w:color="auto"/>
        <w:right w:val="none" w:sz="0" w:space="0" w:color="auto"/>
      </w:divBdr>
    </w:div>
    <w:div w:id="876507813">
      <w:bodyDiv w:val="1"/>
      <w:marLeft w:val="0"/>
      <w:marRight w:val="0"/>
      <w:marTop w:val="0"/>
      <w:marBottom w:val="0"/>
      <w:divBdr>
        <w:top w:val="none" w:sz="0" w:space="0" w:color="auto"/>
        <w:left w:val="none" w:sz="0" w:space="0" w:color="auto"/>
        <w:bottom w:val="none" w:sz="0" w:space="0" w:color="auto"/>
        <w:right w:val="none" w:sz="0" w:space="0" w:color="auto"/>
      </w:divBdr>
    </w:div>
    <w:div w:id="876894875">
      <w:bodyDiv w:val="1"/>
      <w:marLeft w:val="0"/>
      <w:marRight w:val="0"/>
      <w:marTop w:val="0"/>
      <w:marBottom w:val="0"/>
      <w:divBdr>
        <w:top w:val="none" w:sz="0" w:space="0" w:color="auto"/>
        <w:left w:val="none" w:sz="0" w:space="0" w:color="auto"/>
        <w:bottom w:val="none" w:sz="0" w:space="0" w:color="auto"/>
        <w:right w:val="none" w:sz="0" w:space="0" w:color="auto"/>
      </w:divBdr>
    </w:div>
    <w:div w:id="877006117">
      <w:bodyDiv w:val="1"/>
      <w:marLeft w:val="0"/>
      <w:marRight w:val="0"/>
      <w:marTop w:val="0"/>
      <w:marBottom w:val="0"/>
      <w:divBdr>
        <w:top w:val="none" w:sz="0" w:space="0" w:color="auto"/>
        <w:left w:val="none" w:sz="0" w:space="0" w:color="auto"/>
        <w:bottom w:val="none" w:sz="0" w:space="0" w:color="auto"/>
        <w:right w:val="none" w:sz="0" w:space="0" w:color="auto"/>
      </w:divBdr>
    </w:div>
    <w:div w:id="877471692">
      <w:bodyDiv w:val="1"/>
      <w:marLeft w:val="0"/>
      <w:marRight w:val="0"/>
      <w:marTop w:val="0"/>
      <w:marBottom w:val="0"/>
      <w:divBdr>
        <w:top w:val="none" w:sz="0" w:space="0" w:color="auto"/>
        <w:left w:val="none" w:sz="0" w:space="0" w:color="auto"/>
        <w:bottom w:val="none" w:sz="0" w:space="0" w:color="auto"/>
        <w:right w:val="none" w:sz="0" w:space="0" w:color="auto"/>
      </w:divBdr>
    </w:div>
    <w:div w:id="877593410">
      <w:bodyDiv w:val="1"/>
      <w:marLeft w:val="0"/>
      <w:marRight w:val="0"/>
      <w:marTop w:val="0"/>
      <w:marBottom w:val="0"/>
      <w:divBdr>
        <w:top w:val="none" w:sz="0" w:space="0" w:color="auto"/>
        <w:left w:val="none" w:sz="0" w:space="0" w:color="auto"/>
        <w:bottom w:val="none" w:sz="0" w:space="0" w:color="auto"/>
        <w:right w:val="none" w:sz="0" w:space="0" w:color="auto"/>
      </w:divBdr>
    </w:div>
    <w:div w:id="877662330">
      <w:bodyDiv w:val="1"/>
      <w:marLeft w:val="0"/>
      <w:marRight w:val="0"/>
      <w:marTop w:val="0"/>
      <w:marBottom w:val="0"/>
      <w:divBdr>
        <w:top w:val="none" w:sz="0" w:space="0" w:color="auto"/>
        <w:left w:val="none" w:sz="0" w:space="0" w:color="auto"/>
        <w:bottom w:val="none" w:sz="0" w:space="0" w:color="auto"/>
        <w:right w:val="none" w:sz="0" w:space="0" w:color="auto"/>
      </w:divBdr>
    </w:div>
    <w:div w:id="878007180">
      <w:bodyDiv w:val="1"/>
      <w:marLeft w:val="0"/>
      <w:marRight w:val="0"/>
      <w:marTop w:val="0"/>
      <w:marBottom w:val="0"/>
      <w:divBdr>
        <w:top w:val="none" w:sz="0" w:space="0" w:color="auto"/>
        <w:left w:val="none" w:sz="0" w:space="0" w:color="auto"/>
        <w:bottom w:val="none" w:sz="0" w:space="0" w:color="auto"/>
        <w:right w:val="none" w:sz="0" w:space="0" w:color="auto"/>
      </w:divBdr>
    </w:div>
    <w:div w:id="878082479">
      <w:bodyDiv w:val="1"/>
      <w:marLeft w:val="0"/>
      <w:marRight w:val="0"/>
      <w:marTop w:val="0"/>
      <w:marBottom w:val="0"/>
      <w:divBdr>
        <w:top w:val="none" w:sz="0" w:space="0" w:color="auto"/>
        <w:left w:val="none" w:sz="0" w:space="0" w:color="auto"/>
        <w:bottom w:val="none" w:sz="0" w:space="0" w:color="auto"/>
        <w:right w:val="none" w:sz="0" w:space="0" w:color="auto"/>
      </w:divBdr>
    </w:div>
    <w:div w:id="878278017">
      <w:bodyDiv w:val="1"/>
      <w:marLeft w:val="0"/>
      <w:marRight w:val="0"/>
      <w:marTop w:val="0"/>
      <w:marBottom w:val="0"/>
      <w:divBdr>
        <w:top w:val="none" w:sz="0" w:space="0" w:color="auto"/>
        <w:left w:val="none" w:sz="0" w:space="0" w:color="auto"/>
        <w:bottom w:val="none" w:sz="0" w:space="0" w:color="auto"/>
        <w:right w:val="none" w:sz="0" w:space="0" w:color="auto"/>
      </w:divBdr>
    </w:div>
    <w:div w:id="878280132">
      <w:bodyDiv w:val="1"/>
      <w:marLeft w:val="0"/>
      <w:marRight w:val="0"/>
      <w:marTop w:val="0"/>
      <w:marBottom w:val="0"/>
      <w:divBdr>
        <w:top w:val="none" w:sz="0" w:space="0" w:color="auto"/>
        <w:left w:val="none" w:sz="0" w:space="0" w:color="auto"/>
        <w:bottom w:val="none" w:sz="0" w:space="0" w:color="auto"/>
        <w:right w:val="none" w:sz="0" w:space="0" w:color="auto"/>
      </w:divBdr>
    </w:div>
    <w:div w:id="878975796">
      <w:bodyDiv w:val="1"/>
      <w:marLeft w:val="0"/>
      <w:marRight w:val="0"/>
      <w:marTop w:val="0"/>
      <w:marBottom w:val="0"/>
      <w:divBdr>
        <w:top w:val="none" w:sz="0" w:space="0" w:color="auto"/>
        <w:left w:val="none" w:sz="0" w:space="0" w:color="auto"/>
        <w:bottom w:val="none" w:sz="0" w:space="0" w:color="auto"/>
        <w:right w:val="none" w:sz="0" w:space="0" w:color="auto"/>
      </w:divBdr>
    </w:div>
    <w:div w:id="879558907">
      <w:bodyDiv w:val="1"/>
      <w:marLeft w:val="0"/>
      <w:marRight w:val="0"/>
      <w:marTop w:val="0"/>
      <w:marBottom w:val="0"/>
      <w:divBdr>
        <w:top w:val="none" w:sz="0" w:space="0" w:color="auto"/>
        <w:left w:val="none" w:sz="0" w:space="0" w:color="auto"/>
        <w:bottom w:val="none" w:sz="0" w:space="0" w:color="auto"/>
        <w:right w:val="none" w:sz="0" w:space="0" w:color="auto"/>
      </w:divBdr>
    </w:div>
    <w:div w:id="879703747">
      <w:bodyDiv w:val="1"/>
      <w:marLeft w:val="0"/>
      <w:marRight w:val="0"/>
      <w:marTop w:val="0"/>
      <w:marBottom w:val="0"/>
      <w:divBdr>
        <w:top w:val="none" w:sz="0" w:space="0" w:color="auto"/>
        <w:left w:val="none" w:sz="0" w:space="0" w:color="auto"/>
        <w:bottom w:val="none" w:sz="0" w:space="0" w:color="auto"/>
        <w:right w:val="none" w:sz="0" w:space="0" w:color="auto"/>
      </w:divBdr>
    </w:div>
    <w:div w:id="879705529">
      <w:bodyDiv w:val="1"/>
      <w:marLeft w:val="0"/>
      <w:marRight w:val="0"/>
      <w:marTop w:val="0"/>
      <w:marBottom w:val="0"/>
      <w:divBdr>
        <w:top w:val="none" w:sz="0" w:space="0" w:color="auto"/>
        <w:left w:val="none" w:sz="0" w:space="0" w:color="auto"/>
        <w:bottom w:val="none" w:sz="0" w:space="0" w:color="auto"/>
        <w:right w:val="none" w:sz="0" w:space="0" w:color="auto"/>
      </w:divBdr>
    </w:div>
    <w:div w:id="879827648">
      <w:bodyDiv w:val="1"/>
      <w:marLeft w:val="0"/>
      <w:marRight w:val="0"/>
      <w:marTop w:val="0"/>
      <w:marBottom w:val="0"/>
      <w:divBdr>
        <w:top w:val="none" w:sz="0" w:space="0" w:color="auto"/>
        <w:left w:val="none" w:sz="0" w:space="0" w:color="auto"/>
        <w:bottom w:val="none" w:sz="0" w:space="0" w:color="auto"/>
        <w:right w:val="none" w:sz="0" w:space="0" w:color="auto"/>
      </w:divBdr>
    </w:div>
    <w:div w:id="879904812">
      <w:bodyDiv w:val="1"/>
      <w:marLeft w:val="0"/>
      <w:marRight w:val="0"/>
      <w:marTop w:val="0"/>
      <w:marBottom w:val="0"/>
      <w:divBdr>
        <w:top w:val="none" w:sz="0" w:space="0" w:color="auto"/>
        <w:left w:val="none" w:sz="0" w:space="0" w:color="auto"/>
        <w:bottom w:val="none" w:sz="0" w:space="0" w:color="auto"/>
        <w:right w:val="none" w:sz="0" w:space="0" w:color="auto"/>
      </w:divBdr>
    </w:div>
    <w:div w:id="880289532">
      <w:bodyDiv w:val="1"/>
      <w:marLeft w:val="0"/>
      <w:marRight w:val="0"/>
      <w:marTop w:val="0"/>
      <w:marBottom w:val="0"/>
      <w:divBdr>
        <w:top w:val="none" w:sz="0" w:space="0" w:color="auto"/>
        <w:left w:val="none" w:sz="0" w:space="0" w:color="auto"/>
        <w:bottom w:val="none" w:sz="0" w:space="0" w:color="auto"/>
        <w:right w:val="none" w:sz="0" w:space="0" w:color="auto"/>
      </w:divBdr>
    </w:div>
    <w:div w:id="880481333">
      <w:bodyDiv w:val="1"/>
      <w:marLeft w:val="0"/>
      <w:marRight w:val="0"/>
      <w:marTop w:val="0"/>
      <w:marBottom w:val="0"/>
      <w:divBdr>
        <w:top w:val="none" w:sz="0" w:space="0" w:color="auto"/>
        <w:left w:val="none" w:sz="0" w:space="0" w:color="auto"/>
        <w:bottom w:val="none" w:sz="0" w:space="0" w:color="auto"/>
        <w:right w:val="none" w:sz="0" w:space="0" w:color="auto"/>
      </w:divBdr>
    </w:div>
    <w:div w:id="880749824">
      <w:bodyDiv w:val="1"/>
      <w:marLeft w:val="0"/>
      <w:marRight w:val="0"/>
      <w:marTop w:val="0"/>
      <w:marBottom w:val="0"/>
      <w:divBdr>
        <w:top w:val="none" w:sz="0" w:space="0" w:color="auto"/>
        <w:left w:val="none" w:sz="0" w:space="0" w:color="auto"/>
        <w:bottom w:val="none" w:sz="0" w:space="0" w:color="auto"/>
        <w:right w:val="none" w:sz="0" w:space="0" w:color="auto"/>
      </w:divBdr>
    </w:div>
    <w:div w:id="881674569">
      <w:bodyDiv w:val="1"/>
      <w:marLeft w:val="0"/>
      <w:marRight w:val="0"/>
      <w:marTop w:val="0"/>
      <w:marBottom w:val="0"/>
      <w:divBdr>
        <w:top w:val="none" w:sz="0" w:space="0" w:color="auto"/>
        <w:left w:val="none" w:sz="0" w:space="0" w:color="auto"/>
        <w:bottom w:val="none" w:sz="0" w:space="0" w:color="auto"/>
        <w:right w:val="none" w:sz="0" w:space="0" w:color="auto"/>
      </w:divBdr>
    </w:div>
    <w:div w:id="881675281">
      <w:bodyDiv w:val="1"/>
      <w:marLeft w:val="0"/>
      <w:marRight w:val="0"/>
      <w:marTop w:val="0"/>
      <w:marBottom w:val="0"/>
      <w:divBdr>
        <w:top w:val="none" w:sz="0" w:space="0" w:color="auto"/>
        <w:left w:val="none" w:sz="0" w:space="0" w:color="auto"/>
        <w:bottom w:val="none" w:sz="0" w:space="0" w:color="auto"/>
        <w:right w:val="none" w:sz="0" w:space="0" w:color="auto"/>
      </w:divBdr>
    </w:div>
    <w:div w:id="881746492">
      <w:bodyDiv w:val="1"/>
      <w:marLeft w:val="0"/>
      <w:marRight w:val="0"/>
      <w:marTop w:val="0"/>
      <w:marBottom w:val="0"/>
      <w:divBdr>
        <w:top w:val="none" w:sz="0" w:space="0" w:color="auto"/>
        <w:left w:val="none" w:sz="0" w:space="0" w:color="auto"/>
        <w:bottom w:val="none" w:sz="0" w:space="0" w:color="auto"/>
        <w:right w:val="none" w:sz="0" w:space="0" w:color="auto"/>
      </w:divBdr>
    </w:div>
    <w:div w:id="881752543">
      <w:bodyDiv w:val="1"/>
      <w:marLeft w:val="0"/>
      <w:marRight w:val="0"/>
      <w:marTop w:val="0"/>
      <w:marBottom w:val="0"/>
      <w:divBdr>
        <w:top w:val="none" w:sz="0" w:space="0" w:color="auto"/>
        <w:left w:val="none" w:sz="0" w:space="0" w:color="auto"/>
        <w:bottom w:val="none" w:sz="0" w:space="0" w:color="auto"/>
        <w:right w:val="none" w:sz="0" w:space="0" w:color="auto"/>
      </w:divBdr>
    </w:div>
    <w:div w:id="881945479">
      <w:bodyDiv w:val="1"/>
      <w:marLeft w:val="0"/>
      <w:marRight w:val="0"/>
      <w:marTop w:val="0"/>
      <w:marBottom w:val="0"/>
      <w:divBdr>
        <w:top w:val="none" w:sz="0" w:space="0" w:color="auto"/>
        <w:left w:val="none" w:sz="0" w:space="0" w:color="auto"/>
        <w:bottom w:val="none" w:sz="0" w:space="0" w:color="auto"/>
        <w:right w:val="none" w:sz="0" w:space="0" w:color="auto"/>
      </w:divBdr>
    </w:div>
    <w:div w:id="882405908">
      <w:bodyDiv w:val="1"/>
      <w:marLeft w:val="0"/>
      <w:marRight w:val="0"/>
      <w:marTop w:val="0"/>
      <w:marBottom w:val="0"/>
      <w:divBdr>
        <w:top w:val="none" w:sz="0" w:space="0" w:color="auto"/>
        <w:left w:val="none" w:sz="0" w:space="0" w:color="auto"/>
        <w:bottom w:val="none" w:sz="0" w:space="0" w:color="auto"/>
        <w:right w:val="none" w:sz="0" w:space="0" w:color="auto"/>
      </w:divBdr>
    </w:div>
    <w:div w:id="883172513">
      <w:bodyDiv w:val="1"/>
      <w:marLeft w:val="0"/>
      <w:marRight w:val="0"/>
      <w:marTop w:val="0"/>
      <w:marBottom w:val="0"/>
      <w:divBdr>
        <w:top w:val="none" w:sz="0" w:space="0" w:color="auto"/>
        <w:left w:val="none" w:sz="0" w:space="0" w:color="auto"/>
        <w:bottom w:val="none" w:sz="0" w:space="0" w:color="auto"/>
        <w:right w:val="none" w:sz="0" w:space="0" w:color="auto"/>
      </w:divBdr>
    </w:div>
    <w:div w:id="883298025">
      <w:bodyDiv w:val="1"/>
      <w:marLeft w:val="0"/>
      <w:marRight w:val="0"/>
      <w:marTop w:val="0"/>
      <w:marBottom w:val="0"/>
      <w:divBdr>
        <w:top w:val="none" w:sz="0" w:space="0" w:color="auto"/>
        <w:left w:val="none" w:sz="0" w:space="0" w:color="auto"/>
        <w:bottom w:val="none" w:sz="0" w:space="0" w:color="auto"/>
        <w:right w:val="none" w:sz="0" w:space="0" w:color="auto"/>
      </w:divBdr>
    </w:div>
    <w:div w:id="883326716">
      <w:bodyDiv w:val="1"/>
      <w:marLeft w:val="0"/>
      <w:marRight w:val="0"/>
      <w:marTop w:val="0"/>
      <w:marBottom w:val="0"/>
      <w:divBdr>
        <w:top w:val="none" w:sz="0" w:space="0" w:color="auto"/>
        <w:left w:val="none" w:sz="0" w:space="0" w:color="auto"/>
        <w:bottom w:val="none" w:sz="0" w:space="0" w:color="auto"/>
        <w:right w:val="none" w:sz="0" w:space="0" w:color="auto"/>
      </w:divBdr>
    </w:div>
    <w:div w:id="883447910">
      <w:bodyDiv w:val="1"/>
      <w:marLeft w:val="0"/>
      <w:marRight w:val="0"/>
      <w:marTop w:val="0"/>
      <w:marBottom w:val="0"/>
      <w:divBdr>
        <w:top w:val="none" w:sz="0" w:space="0" w:color="auto"/>
        <w:left w:val="none" w:sz="0" w:space="0" w:color="auto"/>
        <w:bottom w:val="none" w:sz="0" w:space="0" w:color="auto"/>
        <w:right w:val="none" w:sz="0" w:space="0" w:color="auto"/>
      </w:divBdr>
    </w:div>
    <w:div w:id="883715792">
      <w:bodyDiv w:val="1"/>
      <w:marLeft w:val="0"/>
      <w:marRight w:val="0"/>
      <w:marTop w:val="0"/>
      <w:marBottom w:val="0"/>
      <w:divBdr>
        <w:top w:val="none" w:sz="0" w:space="0" w:color="auto"/>
        <w:left w:val="none" w:sz="0" w:space="0" w:color="auto"/>
        <w:bottom w:val="none" w:sz="0" w:space="0" w:color="auto"/>
        <w:right w:val="none" w:sz="0" w:space="0" w:color="auto"/>
      </w:divBdr>
    </w:div>
    <w:div w:id="883828725">
      <w:bodyDiv w:val="1"/>
      <w:marLeft w:val="0"/>
      <w:marRight w:val="0"/>
      <w:marTop w:val="0"/>
      <w:marBottom w:val="0"/>
      <w:divBdr>
        <w:top w:val="none" w:sz="0" w:space="0" w:color="auto"/>
        <w:left w:val="none" w:sz="0" w:space="0" w:color="auto"/>
        <w:bottom w:val="none" w:sz="0" w:space="0" w:color="auto"/>
        <w:right w:val="none" w:sz="0" w:space="0" w:color="auto"/>
      </w:divBdr>
    </w:div>
    <w:div w:id="884214475">
      <w:bodyDiv w:val="1"/>
      <w:marLeft w:val="0"/>
      <w:marRight w:val="0"/>
      <w:marTop w:val="0"/>
      <w:marBottom w:val="0"/>
      <w:divBdr>
        <w:top w:val="none" w:sz="0" w:space="0" w:color="auto"/>
        <w:left w:val="none" w:sz="0" w:space="0" w:color="auto"/>
        <w:bottom w:val="none" w:sz="0" w:space="0" w:color="auto"/>
        <w:right w:val="none" w:sz="0" w:space="0" w:color="auto"/>
      </w:divBdr>
    </w:div>
    <w:div w:id="884677689">
      <w:bodyDiv w:val="1"/>
      <w:marLeft w:val="0"/>
      <w:marRight w:val="0"/>
      <w:marTop w:val="0"/>
      <w:marBottom w:val="0"/>
      <w:divBdr>
        <w:top w:val="none" w:sz="0" w:space="0" w:color="auto"/>
        <w:left w:val="none" w:sz="0" w:space="0" w:color="auto"/>
        <w:bottom w:val="none" w:sz="0" w:space="0" w:color="auto"/>
        <w:right w:val="none" w:sz="0" w:space="0" w:color="auto"/>
      </w:divBdr>
    </w:div>
    <w:div w:id="884877423">
      <w:bodyDiv w:val="1"/>
      <w:marLeft w:val="0"/>
      <w:marRight w:val="0"/>
      <w:marTop w:val="0"/>
      <w:marBottom w:val="0"/>
      <w:divBdr>
        <w:top w:val="none" w:sz="0" w:space="0" w:color="auto"/>
        <w:left w:val="none" w:sz="0" w:space="0" w:color="auto"/>
        <w:bottom w:val="none" w:sz="0" w:space="0" w:color="auto"/>
        <w:right w:val="none" w:sz="0" w:space="0" w:color="auto"/>
      </w:divBdr>
    </w:div>
    <w:div w:id="885027182">
      <w:bodyDiv w:val="1"/>
      <w:marLeft w:val="0"/>
      <w:marRight w:val="0"/>
      <w:marTop w:val="0"/>
      <w:marBottom w:val="0"/>
      <w:divBdr>
        <w:top w:val="none" w:sz="0" w:space="0" w:color="auto"/>
        <w:left w:val="none" w:sz="0" w:space="0" w:color="auto"/>
        <w:bottom w:val="none" w:sz="0" w:space="0" w:color="auto"/>
        <w:right w:val="none" w:sz="0" w:space="0" w:color="auto"/>
      </w:divBdr>
    </w:div>
    <w:div w:id="885873503">
      <w:bodyDiv w:val="1"/>
      <w:marLeft w:val="0"/>
      <w:marRight w:val="0"/>
      <w:marTop w:val="0"/>
      <w:marBottom w:val="0"/>
      <w:divBdr>
        <w:top w:val="none" w:sz="0" w:space="0" w:color="auto"/>
        <w:left w:val="none" w:sz="0" w:space="0" w:color="auto"/>
        <w:bottom w:val="none" w:sz="0" w:space="0" w:color="auto"/>
        <w:right w:val="none" w:sz="0" w:space="0" w:color="auto"/>
      </w:divBdr>
    </w:div>
    <w:div w:id="886262809">
      <w:bodyDiv w:val="1"/>
      <w:marLeft w:val="0"/>
      <w:marRight w:val="0"/>
      <w:marTop w:val="0"/>
      <w:marBottom w:val="0"/>
      <w:divBdr>
        <w:top w:val="none" w:sz="0" w:space="0" w:color="auto"/>
        <w:left w:val="none" w:sz="0" w:space="0" w:color="auto"/>
        <w:bottom w:val="none" w:sz="0" w:space="0" w:color="auto"/>
        <w:right w:val="none" w:sz="0" w:space="0" w:color="auto"/>
      </w:divBdr>
    </w:div>
    <w:div w:id="886912317">
      <w:bodyDiv w:val="1"/>
      <w:marLeft w:val="0"/>
      <w:marRight w:val="0"/>
      <w:marTop w:val="0"/>
      <w:marBottom w:val="0"/>
      <w:divBdr>
        <w:top w:val="none" w:sz="0" w:space="0" w:color="auto"/>
        <w:left w:val="none" w:sz="0" w:space="0" w:color="auto"/>
        <w:bottom w:val="none" w:sz="0" w:space="0" w:color="auto"/>
        <w:right w:val="none" w:sz="0" w:space="0" w:color="auto"/>
      </w:divBdr>
    </w:div>
    <w:div w:id="887181157">
      <w:bodyDiv w:val="1"/>
      <w:marLeft w:val="0"/>
      <w:marRight w:val="0"/>
      <w:marTop w:val="0"/>
      <w:marBottom w:val="0"/>
      <w:divBdr>
        <w:top w:val="none" w:sz="0" w:space="0" w:color="auto"/>
        <w:left w:val="none" w:sz="0" w:space="0" w:color="auto"/>
        <w:bottom w:val="none" w:sz="0" w:space="0" w:color="auto"/>
        <w:right w:val="none" w:sz="0" w:space="0" w:color="auto"/>
      </w:divBdr>
    </w:div>
    <w:div w:id="887424536">
      <w:bodyDiv w:val="1"/>
      <w:marLeft w:val="0"/>
      <w:marRight w:val="0"/>
      <w:marTop w:val="0"/>
      <w:marBottom w:val="0"/>
      <w:divBdr>
        <w:top w:val="none" w:sz="0" w:space="0" w:color="auto"/>
        <w:left w:val="none" w:sz="0" w:space="0" w:color="auto"/>
        <w:bottom w:val="none" w:sz="0" w:space="0" w:color="auto"/>
        <w:right w:val="none" w:sz="0" w:space="0" w:color="auto"/>
      </w:divBdr>
    </w:div>
    <w:div w:id="887453318">
      <w:bodyDiv w:val="1"/>
      <w:marLeft w:val="0"/>
      <w:marRight w:val="0"/>
      <w:marTop w:val="0"/>
      <w:marBottom w:val="0"/>
      <w:divBdr>
        <w:top w:val="none" w:sz="0" w:space="0" w:color="auto"/>
        <w:left w:val="none" w:sz="0" w:space="0" w:color="auto"/>
        <w:bottom w:val="none" w:sz="0" w:space="0" w:color="auto"/>
        <w:right w:val="none" w:sz="0" w:space="0" w:color="auto"/>
      </w:divBdr>
    </w:div>
    <w:div w:id="887575307">
      <w:bodyDiv w:val="1"/>
      <w:marLeft w:val="0"/>
      <w:marRight w:val="0"/>
      <w:marTop w:val="0"/>
      <w:marBottom w:val="0"/>
      <w:divBdr>
        <w:top w:val="none" w:sz="0" w:space="0" w:color="auto"/>
        <w:left w:val="none" w:sz="0" w:space="0" w:color="auto"/>
        <w:bottom w:val="none" w:sz="0" w:space="0" w:color="auto"/>
        <w:right w:val="none" w:sz="0" w:space="0" w:color="auto"/>
      </w:divBdr>
    </w:div>
    <w:div w:id="887760388">
      <w:bodyDiv w:val="1"/>
      <w:marLeft w:val="0"/>
      <w:marRight w:val="0"/>
      <w:marTop w:val="0"/>
      <w:marBottom w:val="0"/>
      <w:divBdr>
        <w:top w:val="none" w:sz="0" w:space="0" w:color="auto"/>
        <w:left w:val="none" w:sz="0" w:space="0" w:color="auto"/>
        <w:bottom w:val="none" w:sz="0" w:space="0" w:color="auto"/>
        <w:right w:val="none" w:sz="0" w:space="0" w:color="auto"/>
      </w:divBdr>
    </w:div>
    <w:div w:id="888146572">
      <w:bodyDiv w:val="1"/>
      <w:marLeft w:val="0"/>
      <w:marRight w:val="0"/>
      <w:marTop w:val="0"/>
      <w:marBottom w:val="0"/>
      <w:divBdr>
        <w:top w:val="none" w:sz="0" w:space="0" w:color="auto"/>
        <w:left w:val="none" w:sz="0" w:space="0" w:color="auto"/>
        <w:bottom w:val="none" w:sz="0" w:space="0" w:color="auto"/>
        <w:right w:val="none" w:sz="0" w:space="0" w:color="auto"/>
      </w:divBdr>
    </w:div>
    <w:div w:id="888414986">
      <w:bodyDiv w:val="1"/>
      <w:marLeft w:val="0"/>
      <w:marRight w:val="0"/>
      <w:marTop w:val="0"/>
      <w:marBottom w:val="0"/>
      <w:divBdr>
        <w:top w:val="none" w:sz="0" w:space="0" w:color="auto"/>
        <w:left w:val="none" w:sz="0" w:space="0" w:color="auto"/>
        <w:bottom w:val="none" w:sz="0" w:space="0" w:color="auto"/>
        <w:right w:val="none" w:sz="0" w:space="0" w:color="auto"/>
      </w:divBdr>
    </w:div>
    <w:div w:id="888759636">
      <w:bodyDiv w:val="1"/>
      <w:marLeft w:val="0"/>
      <w:marRight w:val="0"/>
      <w:marTop w:val="0"/>
      <w:marBottom w:val="0"/>
      <w:divBdr>
        <w:top w:val="none" w:sz="0" w:space="0" w:color="auto"/>
        <w:left w:val="none" w:sz="0" w:space="0" w:color="auto"/>
        <w:bottom w:val="none" w:sz="0" w:space="0" w:color="auto"/>
        <w:right w:val="none" w:sz="0" w:space="0" w:color="auto"/>
      </w:divBdr>
    </w:div>
    <w:div w:id="888800990">
      <w:bodyDiv w:val="1"/>
      <w:marLeft w:val="0"/>
      <w:marRight w:val="0"/>
      <w:marTop w:val="0"/>
      <w:marBottom w:val="0"/>
      <w:divBdr>
        <w:top w:val="none" w:sz="0" w:space="0" w:color="auto"/>
        <w:left w:val="none" w:sz="0" w:space="0" w:color="auto"/>
        <w:bottom w:val="none" w:sz="0" w:space="0" w:color="auto"/>
        <w:right w:val="none" w:sz="0" w:space="0" w:color="auto"/>
      </w:divBdr>
    </w:div>
    <w:div w:id="888801240">
      <w:bodyDiv w:val="1"/>
      <w:marLeft w:val="0"/>
      <w:marRight w:val="0"/>
      <w:marTop w:val="0"/>
      <w:marBottom w:val="0"/>
      <w:divBdr>
        <w:top w:val="none" w:sz="0" w:space="0" w:color="auto"/>
        <w:left w:val="none" w:sz="0" w:space="0" w:color="auto"/>
        <w:bottom w:val="none" w:sz="0" w:space="0" w:color="auto"/>
        <w:right w:val="none" w:sz="0" w:space="0" w:color="auto"/>
      </w:divBdr>
    </w:div>
    <w:div w:id="888956854">
      <w:bodyDiv w:val="1"/>
      <w:marLeft w:val="0"/>
      <w:marRight w:val="0"/>
      <w:marTop w:val="0"/>
      <w:marBottom w:val="0"/>
      <w:divBdr>
        <w:top w:val="none" w:sz="0" w:space="0" w:color="auto"/>
        <w:left w:val="none" w:sz="0" w:space="0" w:color="auto"/>
        <w:bottom w:val="none" w:sz="0" w:space="0" w:color="auto"/>
        <w:right w:val="none" w:sz="0" w:space="0" w:color="auto"/>
      </w:divBdr>
    </w:div>
    <w:div w:id="889224647">
      <w:bodyDiv w:val="1"/>
      <w:marLeft w:val="0"/>
      <w:marRight w:val="0"/>
      <w:marTop w:val="0"/>
      <w:marBottom w:val="0"/>
      <w:divBdr>
        <w:top w:val="none" w:sz="0" w:space="0" w:color="auto"/>
        <w:left w:val="none" w:sz="0" w:space="0" w:color="auto"/>
        <w:bottom w:val="none" w:sz="0" w:space="0" w:color="auto"/>
        <w:right w:val="none" w:sz="0" w:space="0" w:color="auto"/>
      </w:divBdr>
    </w:div>
    <w:div w:id="889224680">
      <w:bodyDiv w:val="1"/>
      <w:marLeft w:val="0"/>
      <w:marRight w:val="0"/>
      <w:marTop w:val="0"/>
      <w:marBottom w:val="0"/>
      <w:divBdr>
        <w:top w:val="none" w:sz="0" w:space="0" w:color="auto"/>
        <w:left w:val="none" w:sz="0" w:space="0" w:color="auto"/>
        <w:bottom w:val="none" w:sz="0" w:space="0" w:color="auto"/>
        <w:right w:val="none" w:sz="0" w:space="0" w:color="auto"/>
      </w:divBdr>
    </w:div>
    <w:div w:id="889267568">
      <w:bodyDiv w:val="1"/>
      <w:marLeft w:val="0"/>
      <w:marRight w:val="0"/>
      <w:marTop w:val="0"/>
      <w:marBottom w:val="0"/>
      <w:divBdr>
        <w:top w:val="none" w:sz="0" w:space="0" w:color="auto"/>
        <w:left w:val="none" w:sz="0" w:space="0" w:color="auto"/>
        <w:bottom w:val="none" w:sz="0" w:space="0" w:color="auto"/>
        <w:right w:val="none" w:sz="0" w:space="0" w:color="auto"/>
      </w:divBdr>
    </w:div>
    <w:div w:id="889338406">
      <w:bodyDiv w:val="1"/>
      <w:marLeft w:val="0"/>
      <w:marRight w:val="0"/>
      <w:marTop w:val="0"/>
      <w:marBottom w:val="0"/>
      <w:divBdr>
        <w:top w:val="none" w:sz="0" w:space="0" w:color="auto"/>
        <w:left w:val="none" w:sz="0" w:space="0" w:color="auto"/>
        <w:bottom w:val="none" w:sz="0" w:space="0" w:color="auto"/>
        <w:right w:val="none" w:sz="0" w:space="0" w:color="auto"/>
      </w:divBdr>
    </w:div>
    <w:div w:id="889808348">
      <w:bodyDiv w:val="1"/>
      <w:marLeft w:val="0"/>
      <w:marRight w:val="0"/>
      <w:marTop w:val="0"/>
      <w:marBottom w:val="0"/>
      <w:divBdr>
        <w:top w:val="none" w:sz="0" w:space="0" w:color="auto"/>
        <w:left w:val="none" w:sz="0" w:space="0" w:color="auto"/>
        <w:bottom w:val="none" w:sz="0" w:space="0" w:color="auto"/>
        <w:right w:val="none" w:sz="0" w:space="0" w:color="auto"/>
      </w:divBdr>
    </w:div>
    <w:div w:id="889878699">
      <w:bodyDiv w:val="1"/>
      <w:marLeft w:val="0"/>
      <w:marRight w:val="0"/>
      <w:marTop w:val="0"/>
      <w:marBottom w:val="0"/>
      <w:divBdr>
        <w:top w:val="none" w:sz="0" w:space="0" w:color="auto"/>
        <w:left w:val="none" w:sz="0" w:space="0" w:color="auto"/>
        <w:bottom w:val="none" w:sz="0" w:space="0" w:color="auto"/>
        <w:right w:val="none" w:sz="0" w:space="0" w:color="auto"/>
      </w:divBdr>
    </w:div>
    <w:div w:id="890505300">
      <w:bodyDiv w:val="1"/>
      <w:marLeft w:val="0"/>
      <w:marRight w:val="0"/>
      <w:marTop w:val="0"/>
      <w:marBottom w:val="0"/>
      <w:divBdr>
        <w:top w:val="none" w:sz="0" w:space="0" w:color="auto"/>
        <w:left w:val="none" w:sz="0" w:space="0" w:color="auto"/>
        <w:bottom w:val="none" w:sz="0" w:space="0" w:color="auto"/>
        <w:right w:val="none" w:sz="0" w:space="0" w:color="auto"/>
      </w:divBdr>
    </w:div>
    <w:div w:id="890963530">
      <w:bodyDiv w:val="1"/>
      <w:marLeft w:val="0"/>
      <w:marRight w:val="0"/>
      <w:marTop w:val="0"/>
      <w:marBottom w:val="0"/>
      <w:divBdr>
        <w:top w:val="none" w:sz="0" w:space="0" w:color="auto"/>
        <w:left w:val="none" w:sz="0" w:space="0" w:color="auto"/>
        <w:bottom w:val="none" w:sz="0" w:space="0" w:color="auto"/>
        <w:right w:val="none" w:sz="0" w:space="0" w:color="auto"/>
      </w:divBdr>
    </w:div>
    <w:div w:id="891036721">
      <w:bodyDiv w:val="1"/>
      <w:marLeft w:val="0"/>
      <w:marRight w:val="0"/>
      <w:marTop w:val="0"/>
      <w:marBottom w:val="0"/>
      <w:divBdr>
        <w:top w:val="none" w:sz="0" w:space="0" w:color="auto"/>
        <w:left w:val="none" w:sz="0" w:space="0" w:color="auto"/>
        <w:bottom w:val="none" w:sz="0" w:space="0" w:color="auto"/>
        <w:right w:val="none" w:sz="0" w:space="0" w:color="auto"/>
      </w:divBdr>
    </w:div>
    <w:div w:id="891116013">
      <w:bodyDiv w:val="1"/>
      <w:marLeft w:val="0"/>
      <w:marRight w:val="0"/>
      <w:marTop w:val="0"/>
      <w:marBottom w:val="0"/>
      <w:divBdr>
        <w:top w:val="none" w:sz="0" w:space="0" w:color="auto"/>
        <w:left w:val="none" w:sz="0" w:space="0" w:color="auto"/>
        <w:bottom w:val="none" w:sz="0" w:space="0" w:color="auto"/>
        <w:right w:val="none" w:sz="0" w:space="0" w:color="auto"/>
      </w:divBdr>
    </w:div>
    <w:div w:id="891160793">
      <w:bodyDiv w:val="1"/>
      <w:marLeft w:val="0"/>
      <w:marRight w:val="0"/>
      <w:marTop w:val="0"/>
      <w:marBottom w:val="0"/>
      <w:divBdr>
        <w:top w:val="none" w:sz="0" w:space="0" w:color="auto"/>
        <w:left w:val="none" w:sz="0" w:space="0" w:color="auto"/>
        <w:bottom w:val="none" w:sz="0" w:space="0" w:color="auto"/>
        <w:right w:val="none" w:sz="0" w:space="0" w:color="auto"/>
      </w:divBdr>
    </w:div>
    <w:div w:id="891304169">
      <w:bodyDiv w:val="1"/>
      <w:marLeft w:val="0"/>
      <w:marRight w:val="0"/>
      <w:marTop w:val="0"/>
      <w:marBottom w:val="0"/>
      <w:divBdr>
        <w:top w:val="none" w:sz="0" w:space="0" w:color="auto"/>
        <w:left w:val="none" w:sz="0" w:space="0" w:color="auto"/>
        <w:bottom w:val="none" w:sz="0" w:space="0" w:color="auto"/>
        <w:right w:val="none" w:sz="0" w:space="0" w:color="auto"/>
      </w:divBdr>
    </w:div>
    <w:div w:id="891624016">
      <w:bodyDiv w:val="1"/>
      <w:marLeft w:val="0"/>
      <w:marRight w:val="0"/>
      <w:marTop w:val="0"/>
      <w:marBottom w:val="0"/>
      <w:divBdr>
        <w:top w:val="none" w:sz="0" w:space="0" w:color="auto"/>
        <w:left w:val="none" w:sz="0" w:space="0" w:color="auto"/>
        <w:bottom w:val="none" w:sz="0" w:space="0" w:color="auto"/>
        <w:right w:val="none" w:sz="0" w:space="0" w:color="auto"/>
      </w:divBdr>
    </w:div>
    <w:div w:id="892233514">
      <w:bodyDiv w:val="1"/>
      <w:marLeft w:val="0"/>
      <w:marRight w:val="0"/>
      <w:marTop w:val="0"/>
      <w:marBottom w:val="0"/>
      <w:divBdr>
        <w:top w:val="none" w:sz="0" w:space="0" w:color="auto"/>
        <w:left w:val="none" w:sz="0" w:space="0" w:color="auto"/>
        <w:bottom w:val="none" w:sz="0" w:space="0" w:color="auto"/>
        <w:right w:val="none" w:sz="0" w:space="0" w:color="auto"/>
      </w:divBdr>
    </w:div>
    <w:div w:id="892236093">
      <w:bodyDiv w:val="1"/>
      <w:marLeft w:val="0"/>
      <w:marRight w:val="0"/>
      <w:marTop w:val="0"/>
      <w:marBottom w:val="0"/>
      <w:divBdr>
        <w:top w:val="none" w:sz="0" w:space="0" w:color="auto"/>
        <w:left w:val="none" w:sz="0" w:space="0" w:color="auto"/>
        <w:bottom w:val="none" w:sz="0" w:space="0" w:color="auto"/>
        <w:right w:val="none" w:sz="0" w:space="0" w:color="auto"/>
      </w:divBdr>
    </w:div>
    <w:div w:id="892279688">
      <w:bodyDiv w:val="1"/>
      <w:marLeft w:val="0"/>
      <w:marRight w:val="0"/>
      <w:marTop w:val="0"/>
      <w:marBottom w:val="0"/>
      <w:divBdr>
        <w:top w:val="none" w:sz="0" w:space="0" w:color="auto"/>
        <w:left w:val="none" w:sz="0" w:space="0" w:color="auto"/>
        <w:bottom w:val="none" w:sz="0" w:space="0" w:color="auto"/>
        <w:right w:val="none" w:sz="0" w:space="0" w:color="auto"/>
      </w:divBdr>
    </w:div>
    <w:div w:id="892545468">
      <w:bodyDiv w:val="1"/>
      <w:marLeft w:val="0"/>
      <w:marRight w:val="0"/>
      <w:marTop w:val="0"/>
      <w:marBottom w:val="0"/>
      <w:divBdr>
        <w:top w:val="none" w:sz="0" w:space="0" w:color="auto"/>
        <w:left w:val="none" w:sz="0" w:space="0" w:color="auto"/>
        <w:bottom w:val="none" w:sz="0" w:space="0" w:color="auto"/>
        <w:right w:val="none" w:sz="0" w:space="0" w:color="auto"/>
      </w:divBdr>
    </w:div>
    <w:div w:id="893470166">
      <w:bodyDiv w:val="1"/>
      <w:marLeft w:val="0"/>
      <w:marRight w:val="0"/>
      <w:marTop w:val="0"/>
      <w:marBottom w:val="0"/>
      <w:divBdr>
        <w:top w:val="none" w:sz="0" w:space="0" w:color="auto"/>
        <w:left w:val="none" w:sz="0" w:space="0" w:color="auto"/>
        <w:bottom w:val="none" w:sz="0" w:space="0" w:color="auto"/>
        <w:right w:val="none" w:sz="0" w:space="0" w:color="auto"/>
      </w:divBdr>
    </w:div>
    <w:div w:id="893472736">
      <w:bodyDiv w:val="1"/>
      <w:marLeft w:val="0"/>
      <w:marRight w:val="0"/>
      <w:marTop w:val="0"/>
      <w:marBottom w:val="0"/>
      <w:divBdr>
        <w:top w:val="none" w:sz="0" w:space="0" w:color="auto"/>
        <w:left w:val="none" w:sz="0" w:space="0" w:color="auto"/>
        <w:bottom w:val="none" w:sz="0" w:space="0" w:color="auto"/>
        <w:right w:val="none" w:sz="0" w:space="0" w:color="auto"/>
      </w:divBdr>
    </w:div>
    <w:div w:id="894780521">
      <w:bodyDiv w:val="1"/>
      <w:marLeft w:val="0"/>
      <w:marRight w:val="0"/>
      <w:marTop w:val="0"/>
      <w:marBottom w:val="0"/>
      <w:divBdr>
        <w:top w:val="none" w:sz="0" w:space="0" w:color="auto"/>
        <w:left w:val="none" w:sz="0" w:space="0" w:color="auto"/>
        <w:bottom w:val="none" w:sz="0" w:space="0" w:color="auto"/>
        <w:right w:val="none" w:sz="0" w:space="0" w:color="auto"/>
      </w:divBdr>
    </w:div>
    <w:div w:id="895815482">
      <w:bodyDiv w:val="1"/>
      <w:marLeft w:val="0"/>
      <w:marRight w:val="0"/>
      <w:marTop w:val="0"/>
      <w:marBottom w:val="0"/>
      <w:divBdr>
        <w:top w:val="none" w:sz="0" w:space="0" w:color="auto"/>
        <w:left w:val="none" w:sz="0" w:space="0" w:color="auto"/>
        <w:bottom w:val="none" w:sz="0" w:space="0" w:color="auto"/>
        <w:right w:val="none" w:sz="0" w:space="0" w:color="auto"/>
      </w:divBdr>
    </w:div>
    <w:div w:id="895966629">
      <w:bodyDiv w:val="1"/>
      <w:marLeft w:val="0"/>
      <w:marRight w:val="0"/>
      <w:marTop w:val="0"/>
      <w:marBottom w:val="0"/>
      <w:divBdr>
        <w:top w:val="none" w:sz="0" w:space="0" w:color="auto"/>
        <w:left w:val="none" w:sz="0" w:space="0" w:color="auto"/>
        <w:bottom w:val="none" w:sz="0" w:space="0" w:color="auto"/>
        <w:right w:val="none" w:sz="0" w:space="0" w:color="auto"/>
      </w:divBdr>
    </w:div>
    <w:div w:id="896473581">
      <w:bodyDiv w:val="1"/>
      <w:marLeft w:val="0"/>
      <w:marRight w:val="0"/>
      <w:marTop w:val="0"/>
      <w:marBottom w:val="0"/>
      <w:divBdr>
        <w:top w:val="none" w:sz="0" w:space="0" w:color="auto"/>
        <w:left w:val="none" w:sz="0" w:space="0" w:color="auto"/>
        <w:bottom w:val="none" w:sz="0" w:space="0" w:color="auto"/>
        <w:right w:val="none" w:sz="0" w:space="0" w:color="auto"/>
      </w:divBdr>
    </w:div>
    <w:div w:id="896477475">
      <w:bodyDiv w:val="1"/>
      <w:marLeft w:val="0"/>
      <w:marRight w:val="0"/>
      <w:marTop w:val="0"/>
      <w:marBottom w:val="0"/>
      <w:divBdr>
        <w:top w:val="none" w:sz="0" w:space="0" w:color="auto"/>
        <w:left w:val="none" w:sz="0" w:space="0" w:color="auto"/>
        <w:bottom w:val="none" w:sz="0" w:space="0" w:color="auto"/>
        <w:right w:val="none" w:sz="0" w:space="0" w:color="auto"/>
      </w:divBdr>
    </w:div>
    <w:div w:id="896547412">
      <w:bodyDiv w:val="1"/>
      <w:marLeft w:val="0"/>
      <w:marRight w:val="0"/>
      <w:marTop w:val="0"/>
      <w:marBottom w:val="0"/>
      <w:divBdr>
        <w:top w:val="none" w:sz="0" w:space="0" w:color="auto"/>
        <w:left w:val="none" w:sz="0" w:space="0" w:color="auto"/>
        <w:bottom w:val="none" w:sz="0" w:space="0" w:color="auto"/>
        <w:right w:val="none" w:sz="0" w:space="0" w:color="auto"/>
      </w:divBdr>
    </w:div>
    <w:div w:id="896554637">
      <w:bodyDiv w:val="1"/>
      <w:marLeft w:val="0"/>
      <w:marRight w:val="0"/>
      <w:marTop w:val="0"/>
      <w:marBottom w:val="0"/>
      <w:divBdr>
        <w:top w:val="none" w:sz="0" w:space="0" w:color="auto"/>
        <w:left w:val="none" w:sz="0" w:space="0" w:color="auto"/>
        <w:bottom w:val="none" w:sz="0" w:space="0" w:color="auto"/>
        <w:right w:val="none" w:sz="0" w:space="0" w:color="auto"/>
      </w:divBdr>
    </w:div>
    <w:div w:id="896744323">
      <w:bodyDiv w:val="1"/>
      <w:marLeft w:val="0"/>
      <w:marRight w:val="0"/>
      <w:marTop w:val="0"/>
      <w:marBottom w:val="0"/>
      <w:divBdr>
        <w:top w:val="none" w:sz="0" w:space="0" w:color="auto"/>
        <w:left w:val="none" w:sz="0" w:space="0" w:color="auto"/>
        <w:bottom w:val="none" w:sz="0" w:space="0" w:color="auto"/>
        <w:right w:val="none" w:sz="0" w:space="0" w:color="auto"/>
      </w:divBdr>
    </w:div>
    <w:div w:id="897083531">
      <w:bodyDiv w:val="1"/>
      <w:marLeft w:val="0"/>
      <w:marRight w:val="0"/>
      <w:marTop w:val="0"/>
      <w:marBottom w:val="0"/>
      <w:divBdr>
        <w:top w:val="none" w:sz="0" w:space="0" w:color="auto"/>
        <w:left w:val="none" w:sz="0" w:space="0" w:color="auto"/>
        <w:bottom w:val="none" w:sz="0" w:space="0" w:color="auto"/>
        <w:right w:val="none" w:sz="0" w:space="0" w:color="auto"/>
      </w:divBdr>
    </w:div>
    <w:div w:id="897202019">
      <w:bodyDiv w:val="1"/>
      <w:marLeft w:val="0"/>
      <w:marRight w:val="0"/>
      <w:marTop w:val="0"/>
      <w:marBottom w:val="0"/>
      <w:divBdr>
        <w:top w:val="none" w:sz="0" w:space="0" w:color="auto"/>
        <w:left w:val="none" w:sz="0" w:space="0" w:color="auto"/>
        <w:bottom w:val="none" w:sz="0" w:space="0" w:color="auto"/>
        <w:right w:val="none" w:sz="0" w:space="0" w:color="auto"/>
      </w:divBdr>
    </w:div>
    <w:div w:id="897327054">
      <w:bodyDiv w:val="1"/>
      <w:marLeft w:val="0"/>
      <w:marRight w:val="0"/>
      <w:marTop w:val="0"/>
      <w:marBottom w:val="0"/>
      <w:divBdr>
        <w:top w:val="none" w:sz="0" w:space="0" w:color="auto"/>
        <w:left w:val="none" w:sz="0" w:space="0" w:color="auto"/>
        <w:bottom w:val="none" w:sz="0" w:space="0" w:color="auto"/>
        <w:right w:val="none" w:sz="0" w:space="0" w:color="auto"/>
      </w:divBdr>
    </w:div>
    <w:div w:id="897395466">
      <w:bodyDiv w:val="1"/>
      <w:marLeft w:val="0"/>
      <w:marRight w:val="0"/>
      <w:marTop w:val="0"/>
      <w:marBottom w:val="0"/>
      <w:divBdr>
        <w:top w:val="none" w:sz="0" w:space="0" w:color="auto"/>
        <w:left w:val="none" w:sz="0" w:space="0" w:color="auto"/>
        <w:bottom w:val="none" w:sz="0" w:space="0" w:color="auto"/>
        <w:right w:val="none" w:sz="0" w:space="0" w:color="auto"/>
      </w:divBdr>
    </w:div>
    <w:div w:id="897472062">
      <w:bodyDiv w:val="1"/>
      <w:marLeft w:val="0"/>
      <w:marRight w:val="0"/>
      <w:marTop w:val="0"/>
      <w:marBottom w:val="0"/>
      <w:divBdr>
        <w:top w:val="none" w:sz="0" w:space="0" w:color="auto"/>
        <w:left w:val="none" w:sz="0" w:space="0" w:color="auto"/>
        <w:bottom w:val="none" w:sz="0" w:space="0" w:color="auto"/>
        <w:right w:val="none" w:sz="0" w:space="0" w:color="auto"/>
      </w:divBdr>
    </w:div>
    <w:div w:id="897666291">
      <w:bodyDiv w:val="1"/>
      <w:marLeft w:val="0"/>
      <w:marRight w:val="0"/>
      <w:marTop w:val="0"/>
      <w:marBottom w:val="0"/>
      <w:divBdr>
        <w:top w:val="none" w:sz="0" w:space="0" w:color="auto"/>
        <w:left w:val="none" w:sz="0" w:space="0" w:color="auto"/>
        <w:bottom w:val="none" w:sz="0" w:space="0" w:color="auto"/>
        <w:right w:val="none" w:sz="0" w:space="0" w:color="auto"/>
      </w:divBdr>
    </w:div>
    <w:div w:id="897785444">
      <w:bodyDiv w:val="1"/>
      <w:marLeft w:val="0"/>
      <w:marRight w:val="0"/>
      <w:marTop w:val="0"/>
      <w:marBottom w:val="0"/>
      <w:divBdr>
        <w:top w:val="none" w:sz="0" w:space="0" w:color="auto"/>
        <w:left w:val="none" w:sz="0" w:space="0" w:color="auto"/>
        <w:bottom w:val="none" w:sz="0" w:space="0" w:color="auto"/>
        <w:right w:val="none" w:sz="0" w:space="0" w:color="auto"/>
      </w:divBdr>
    </w:div>
    <w:div w:id="897864555">
      <w:bodyDiv w:val="1"/>
      <w:marLeft w:val="0"/>
      <w:marRight w:val="0"/>
      <w:marTop w:val="0"/>
      <w:marBottom w:val="0"/>
      <w:divBdr>
        <w:top w:val="none" w:sz="0" w:space="0" w:color="auto"/>
        <w:left w:val="none" w:sz="0" w:space="0" w:color="auto"/>
        <w:bottom w:val="none" w:sz="0" w:space="0" w:color="auto"/>
        <w:right w:val="none" w:sz="0" w:space="0" w:color="auto"/>
      </w:divBdr>
    </w:div>
    <w:div w:id="898436747">
      <w:bodyDiv w:val="1"/>
      <w:marLeft w:val="0"/>
      <w:marRight w:val="0"/>
      <w:marTop w:val="0"/>
      <w:marBottom w:val="0"/>
      <w:divBdr>
        <w:top w:val="none" w:sz="0" w:space="0" w:color="auto"/>
        <w:left w:val="none" w:sz="0" w:space="0" w:color="auto"/>
        <w:bottom w:val="none" w:sz="0" w:space="0" w:color="auto"/>
        <w:right w:val="none" w:sz="0" w:space="0" w:color="auto"/>
      </w:divBdr>
    </w:div>
    <w:div w:id="899095158">
      <w:bodyDiv w:val="1"/>
      <w:marLeft w:val="0"/>
      <w:marRight w:val="0"/>
      <w:marTop w:val="0"/>
      <w:marBottom w:val="0"/>
      <w:divBdr>
        <w:top w:val="none" w:sz="0" w:space="0" w:color="auto"/>
        <w:left w:val="none" w:sz="0" w:space="0" w:color="auto"/>
        <w:bottom w:val="none" w:sz="0" w:space="0" w:color="auto"/>
        <w:right w:val="none" w:sz="0" w:space="0" w:color="auto"/>
      </w:divBdr>
    </w:div>
    <w:div w:id="899555043">
      <w:bodyDiv w:val="1"/>
      <w:marLeft w:val="0"/>
      <w:marRight w:val="0"/>
      <w:marTop w:val="0"/>
      <w:marBottom w:val="0"/>
      <w:divBdr>
        <w:top w:val="none" w:sz="0" w:space="0" w:color="auto"/>
        <w:left w:val="none" w:sz="0" w:space="0" w:color="auto"/>
        <w:bottom w:val="none" w:sz="0" w:space="0" w:color="auto"/>
        <w:right w:val="none" w:sz="0" w:space="0" w:color="auto"/>
      </w:divBdr>
    </w:div>
    <w:div w:id="899563272">
      <w:bodyDiv w:val="1"/>
      <w:marLeft w:val="0"/>
      <w:marRight w:val="0"/>
      <w:marTop w:val="0"/>
      <w:marBottom w:val="0"/>
      <w:divBdr>
        <w:top w:val="none" w:sz="0" w:space="0" w:color="auto"/>
        <w:left w:val="none" w:sz="0" w:space="0" w:color="auto"/>
        <w:bottom w:val="none" w:sz="0" w:space="0" w:color="auto"/>
        <w:right w:val="none" w:sz="0" w:space="0" w:color="auto"/>
      </w:divBdr>
    </w:div>
    <w:div w:id="899710324">
      <w:bodyDiv w:val="1"/>
      <w:marLeft w:val="0"/>
      <w:marRight w:val="0"/>
      <w:marTop w:val="0"/>
      <w:marBottom w:val="0"/>
      <w:divBdr>
        <w:top w:val="none" w:sz="0" w:space="0" w:color="auto"/>
        <w:left w:val="none" w:sz="0" w:space="0" w:color="auto"/>
        <w:bottom w:val="none" w:sz="0" w:space="0" w:color="auto"/>
        <w:right w:val="none" w:sz="0" w:space="0" w:color="auto"/>
      </w:divBdr>
    </w:div>
    <w:div w:id="899943013">
      <w:bodyDiv w:val="1"/>
      <w:marLeft w:val="0"/>
      <w:marRight w:val="0"/>
      <w:marTop w:val="0"/>
      <w:marBottom w:val="0"/>
      <w:divBdr>
        <w:top w:val="none" w:sz="0" w:space="0" w:color="auto"/>
        <w:left w:val="none" w:sz="0" w:space="0" w:color="auto"/>
        <w:bottom w:val="none" w:sz="0" w:space="0" w:color="auto"/>
        <w:right w:val="none" w:sz="0" w:space="0" w:color="auto"/>
      </w:divBdr>
    </w:div>
    <w:div w:id="900215173">
      <w:bodyDiv w:val="1"/>
      <w:marLeft w:val="0"/>
      <w:marRight w:val="0"/>
      <w:marTop w:val="0"/>
      <w:marBottom w:val="0"/>
      <w:divBdr>
        <w:top w:val="none" w:sz="0" w:space="0" w:color="auto"/>
        <w:left w:val="none" w:sz="0" w:space="0" w:color="auto"/>
        <w:bottom w:val="none" w:sz="0" w:space="0" w:color="auto"/>
        <w:right w:val="none" w:sz="0" w:space="0" w:color="auto"/>
      </w:divBdr>
    </w:div>
    <w:div w:id="900943607">
      <w:bodyDiv w:val="1"/>
      <w:marLeft w:val="0"/>
      <w:marRight w:val="0"/>
      <w:marTop w:val="0"/>
      <w:marBottom w:val="0"/>
      <w:divBdr>
        <w:top w:val="none" w:sz="0" w:space="0" w:color="auto"/>
        <w:left w:val="none" w:sz="0" w:space="0" w:color="auto"/>
        <w:bottom w:val="none" w:sz="0" w:space="0" w:color="auto"/>
        <w:right w:val="none" w:sz="0" w:space="0" w:color="auto"/>
      </w:divBdr>
    </w:div>
    <w:div w:id="901067119">
      <w:bodyDiv w:val="1"/>
      <w:marLeft w:val="0"/>
      <w:marRight w:val="0"/>
      <w:marTop w:val="0"/>
      <w:marBottom w:val="0"/>
      <w:divBdr>
        <w:top w:val="none" w:sz="0" w:space="0" w:color="auto"/>
        <w:left w:val="none" w:sz="0" w:space="0" w:color="auto"/>
        <w:bottom w:val="none" w:sz="0" w:space="0" w:color="auto"/>
        <w:right w:val="none" w:sz="0" w:space="0" w:color="auto"/>
      </w:divBdr>
    </w:div>
    <w:div w:id="901716620">
      <w:bodyDiv w:val="1"/>
      <w:marLeft w:val="0"/>
      <w:marRight w:val="0"/>
      <w:marTop w:val="0"/>
      <w:marBottom w:val="0"/>
      <w:divBdr>
        <w:top w:val="none" w:sz="0" w:space="0" w:color="auto"/>
        <w:left w:val="none" w:sz="0" w:space="0" w:color="auto"/>
        <w:bottom w:val="none" w:sz="0" w:space="0" w:color="auto"/>
        <w:right w:val="none" w:sz="0" w:space="0" w:color="auto"/>
      </w:divBdr>
    </w:div>
    <w:div w:id="901872977">
      <w:bodyDiv w:val="1"/>
      <w:marLeft w:val="0"/>
      <w:marRight w:val="0"/>
      <w:marTop w:val="0"/>
      <w:marBottom w:val="0"/>
      <w:divBdr>
        <w:top w:val="none" w:sz="0" w:space="0" w:color="auto"/>
        <w:left w:val="none" w:sz="0" w:space="0" w:color="auto"/>
        <w:bottom w:val="none" w:sz="0" w:space="0" w:color="auto"/>
        <w:right w:val="none" w:sz="0" w:space="0" w:color="auto"/>
      </w:divBdr>
    </w:div>
    <w:div w:id="901982324">
      <w:bodyDiv w:val="1"/>
      <w:marLeft w:val="0"/>
      <w:marRight w:val="0"/>
      <w:marTop w:val="0"/>
      <w:marBottom w:val="0"/>
      <w:divBdr>
        <w:top w:val="none" w:sz="0" w:space="0" w:color="auto"/>
        <w:left w:val="none" w:sz="0" w:space="0" w:color="auto"/>
        <w:bottom w:val="none" w:sz="0" w:space="0" w:color="auto"/>
        <w:right w:val="none" w:sz="0" w:space="0" w:color="auto"/>
      </w:divBdr>
    </w:div>
    <w:div w:id="902451084">
      <w:bodyDiv w:val="1"/>
      <w:marLeft w:val="0"/>
      <w:marRight w:val="0"/>
      <w:marTop w:val="0"/>
      <w:marBottom w:val="0"/>
      <w:divBdr>
        <w:top w:val="none" w:sz="0" w:space="0" w:color="auto"/>
        <w:left w:val="none" w:sz="0" w:space="0" w:color="auto"/>
        <w:bottom w:val="none" w:sz="0" w:space="0" w:color="auto"/>
        <w:right w:val="none" w:sz="0" w:space="0" w:color="auto"/>
      </w:divBdr>
    </w:div>
    <w:div w:id="903027029">
      <w:bodyDiv w:val="1"/>
      <w:marLeft w:val="0"/>
      <w:marRight w:val="0"/>
      <w:marTop w:val="0"/>
      <w:marBottom w:val="0"/>
      <w:divBdr>
        <w:top w:val="none" w:sz="0" w:space="0" w:color="auto"/>
        <w:left w:val="none" w:sz="0" w:space="0" w:color="auto"/>
        <w:bottom w:val="none" w:sz="0" w:space="0" w:color="auto"/>
        <w:right w:val="none" w:sz="0" w:space="0" w:color="auto"/>
      </w:divBdr>
    </w:div>
    <w:div w:id="903249764">
      <w:bodyDiv w:val="1"/>
      <w:marLeft w:val="0"/>
      <w:marRight w:val="0"/>
      <w:marTop w:val="0"/>
      <w:marBottom w:val="0"/>
      <w:divBdr>
        <w:top w:val="none" w:sz="0" w:space="0" w:color="auto"/>
        <w:left w:val="none" w:sz="0" w:space="0" w:color="auto"/>
        <w:bottom w:val="none" w:sz="0" w:space="0" w:color="auto"/>
        <w:right w:val="none" w:sz="0" w:space="0" w:color="auto"/>
      </w:divBdr>
    </w:div>
    <w:div w:id="903493468">
      <w:bodyDiv w:val="1"/>
      <w:marLeft w:val="0"/>
      <w:marRight w:val="0"/>
      <w:marTop w:val="0"/>
      <w:marBottom w:val="0"/>
      <w:divBdr>
        <w:top w:val="none" w:sz="0" w:space="0" w:color="auto"/>
        <w:left w:val="none" w:sz="0" w:space="0" w:color="auto"/>
        <w:bottom w:val="none" w:sz="0" w:space="0" w:color="auto"/>
        <w:right w:val="none" w:sz="0" w:space="0" w:color="auto"/>
      </w:divBdr>
    </w:div>
    <w:div w:id="903834240">
      <w:bodyDiv w:val="1"/>
      <w:marLeft w:val="0"/>
      <w:marRight w:val="0"/>
      <w:marTop w:val="0"/>
      <w:marBottom w:val="0"/>
      <w:divBdr>
        <w:top w:val="none" w:sz="0" w:space="0" w:color="auto"/>
        <w:left w:val="none" w:sz="0" w:space="0" w:color="auto"/>
        <w:bottom w:val="none" w:sz="0" w:space="0" w:color="auto"/>
        <w:right w:val="none" w:sz="0" w:space="0" w:color="auto"/>
      </w:divBdr>
    </w:div>
    <w:div w:id="904336307">
      <w:bodyDiv w:val="1"/>
      <w:marLeft w:val="0"/>
      <w:marRight w:val="0"/>
      <w:marTop w:val="0"/>
      <w:marBottom w:val="0"/>
      <w:divBdr>
        <w:top w:val="none" w:sz="0" w:space="0" w:color="auto"/>
        <w:left w:val="none" w:sz="0" w:space="0" w:color="auto"/>
        <w:bottom w:val="none" w:sz="0" w:space="0" w:color="auto"/>
        <w:right w:val="none" w:sz="0" w:space="0" w:color="auto"/>
      </w:divBdr>
    </w:div>
    <w:div w:id="904341733">
      <w:bodyDiv w:val="1"/>
      <w:marLeft w:val="0"/>
      <w:marRight w:val="0"/>
      <w:marTop w:val="0"/>
      <w:marBottom w:val="0"/>
      <w:divBdr>
        <w:top w:val="none" w:sz="0" w:space="0" w:color="auto"/>
        <w:left w:val="none" w:sz="0" w:space="0" w:color="auto"/>
        <w:bottom w:val="none" w:sz="0" w:space="0" w:color="auto"/>
        <w:right w:val="none" w:sz="0" w:space="0" w:color="auto"/>
      </w:divBdr>
    </w:div>
    <w:div w:id="904413793">
      <w:bodyDiv w:val="1"/>
      <w:marLeft w:val="0"/>
      <w:marRight w:val="0"/>
      <w:marTop w:val="0"/>
      <w:marBottom w:val="0"/>
      <w:divBdr>
        <w:top w:val="none" w:sz="0" w:space="0" w:color="auto"/>
        <w:left w:val="none" w:sz="0" w:space="0" w:color="auto"/>
        <w:bottom w:val="none" w:sz="0" w:space="0" w:color="auto"/>
        <w:right w:val="none" w:sz="0" w:space="0" w:color="auto"/>
      </w:divBdr>
    </w:div>
    <w:div w:id="905335114">
      <w:bodyDiv w:val="1"/>
      <w:marLeft w:val="0"/>
      <w:marRight w:val="0"/>
      <w:marTop w:val="0"/>
      <w:marBottom w:val="0"/>
      <w:divBdr>
        <w:top w:val="none" w:sz="0" w:space="0" w:color="auto"/>
        <w:left w:val="none" w:sz="0" w:space="0" w:color="auto"/>
        <w:bottom w:val="none" w:sz="0" w:space="0" w:color="auto"/>
        <w:right w:val="none" w:sz="0" w:space="0" w:color="auto"/>
      </w:divBdr>
    </w:div>
    <w:div w:id="905527990">
      <w:bodyDiv w:val="1"/>
      <w:marLeft w:val="0"/>
      <w:marRight w:val="0"/>
      <w:marTop w:val="0"/>
      <w:marBottom w:val="0"/>
      <w:divBdr>
        <w:top w:val="none" w:sz="0" w:space="0" w:color="auto"/>
        <w:left w:val="none" w:sz="0" w:space="0" w:color="auto"/>
        <w:bottom w:val="none" w:sz="0" w:space="0" w:color="auto"/>
        <w:right w:val="none" w:sz="0" w:space="0" w:color="auto"/>
      </w:divBdr>
    </w:div>
    <w:div w:id="905647665">
      <w:bodyDiv w:val="1"/>
      <w:marLeft w:val="0"/>
      <w:marRight w:val="0"/>
      <w:marTop w:val="0"/>
      <w:marBottom w:val="0"/>
      <w:divBdr>
        <w:top w:val="none" w:sz="0" w:space="0" w:color="auto"/>
        <w:left w:val="none" w:sz="0" w:space="0" w:color="auto"/>
        <w:bottom w:val="none" w:sz="0" w:space="0" w:color="auto"/>
        <w:right w:val="none" w:sz="0" w:space="0" w:color="auto"/>
      </w:divBdr>
    </w:div>
    <w:div w:id="905870955">
      <w:bodyDiv w:val="1"/>
      <w:marLeft w:val="0"/>
      <w:marRight w:val="0"/>
      <w:marTop w:val="0"/>
      <w:marBottom w:val="0"/>
      <w:divBdr>
        <w:top w:val="none" w:sz="0" w:space="0" w:color="auto"/>
        <w:left w:val="none" w:sz="0" w:space="0" w:color="auto"/>
        <w:bottom w:val="none" w:sz="0" w:space="0" w:color="auto"/>
        <w:right w:val="none" w:sz="0" w:space="0" w:color="auto"/>
      </w:divBdr>
    </w:div>
    <w:div w:id="905996595">
      <w:bodyDiv w:val="1"/>
      <w:marLeft w:val="0"/>
      <w:marRight w:val="0"/>
      <w:marTop w:val="0"/>
      <w:marBottom w:val="0"/>
      <w:divBdr>
        <w:top w:val="none" w:sz="0" w:space="0" w:color="auto"/>
        <w:left w:val="none" w:sz="0" w:space="0" w:color="auto"/>
        <w:bottom w:val="none" w:sz="0" w:space="0" w:color="auto"/>
        <w:right w:val="none" w:sz="0" w:space="0" w:color="auto"/>
      </w:divBdr>
    </w:div>
    <w:div w:id="906459976">
      <w:bodyDiv w:val="1"/>
      <w:marLeft w:val="0"/>
      <w:marRight w:val="0"/>
      <w:marTop w:val="0"/>
      <w:marBottom w:val="0"/>
      <w:divBdr>
        <w:top w:val="none" w:sz="0" w:space="0" w:color="auto"/>
        <w:left w:val="none" w:sz="0" w:space="0" w:color="auto"/>
        <w:bottom w:val="none" w:sz="0" w:space="0" w:color="auto"/>
        <w:right w:val="none" w:sz="0" w:space="0" w:color="auto"/>
      </w:divBdr>
    </w:div>
    <w:div w:id="906643682">
      <w:bodyDiv w:val="1"/>
      <w:marLeft w:val="0"/>
      <w:marRight w:val="0"/>
      <w:marTop w:val="0"/>
      <w:marBottom w:val="0"/>
      <w:divBdr>
        <w:top w:val="none" w:sz="0" w:space="0" w:color="auto"/>
        <w:left w:val="none" w:sz="0" w:space="0" w:color="auto"/>
        <w:bottom w:val="none" w:sz="0" w:space="0" w:color="auto"/>
        <w:right w:val="none" w:sz="0" w:space="0" w:color="auto"/>
      </w:divBdr>
    </w:div>
    <w:div w:id="906764269">
      <w:bodyDiv w:val="1"/>
      <w:marLeft w:val="0"/>
      <w:marRight w:val="0"/>
      <w:marTop w:val="0"/>
      <w:marBottom w:val="0"/>
      <w:divBdr>
        <w:top w:val="none" w:sz="0" w:space="0" w:color="auto"/>
        <w:left w:val="none" w:sz="0" w:space="0" w:color="auto"/>
        <w:bottom w:val="none" w:sz="0" w:space="0" w:color="auto"/>
        <w:right w:val="none" w:sz="0" w:space="0" w:color="auto"/>
      </w:divBdr>
    </w:div>
    <w:div w:id="906917862">
      <w:bodyDiv w:val="1"/>
      <w:marLeft w:val="0"/>
      <w:marRight w:val="0"/>
      <w:marTop w:val="0"/>
      <w:marBottom w:val="0"/>
      <w:divBdr>
        <w:top w:val="none" w:sz="0" w:space="0" w:color="auto"/>
        <w:left w:val="none" w:sz="0" w:space="0" w:color="auto"/>
        <w:bottom w:val="none" w:sz="0" w:space="0" w:color="auto"/>
        <w:right w:val="none" w:sz="0" w:space="0" w:color="auto"/>
      </w:divBdr>
    </w:div>
    <w:div w:id="908460230">
      <w:bodyDiv w:val="1"/>
      <w:marLeft w:val="0"/>
      <w:marRight w:val="0"/>
      <w:marTop w:val="0"/>
      <w:marBottom w:val="0"/>
      <w:divBdr>
        <w:top w:val="none" w:sz="0" w:space="0" w:color="auto"/>
        <w:left w:val="none" w:sz="0" w:space="0" w:color="auto"/>
        <w:bottom w:val="none" w:sz="0" w:space="0" w:color="auto"/>
        <w:right w:val="none" w:sz="0" w:space="0" w:color="auto"/>
      </w:divBdr>
    </w:div>
    <w:div w:id="908464601">
      <w:bodyDiv w:val="1"/>
      <w:marLeft w:val="0"/>
      <w:marRight w:val="0"/>
      <w:marTop w:val="0"/>
      <w:marBottom w:val="0"/>
      <w:divBdr>
        <w:top w:val="none" w:sz="0" w:space="0" w:color="auto"/>
        <w:left w:val="none" w:sz="0" w:space="0" w:color="auto"/>
        <w:bottom w:val="none" w:sz="0" w:space="0" w:color="auto"/>
        <w:right w:val="none" w:sz="0" w:space="0" w:color="auto"/>
      </w:divBdr>
    </w:div>
    <w:div w:id="908658002">
      <w:bodyDiv w:val="1"/>
      <w:marLeft w:val="0"/>
      <w:marRight w:val="0"/>
      <w:marTop w:val="0"/>
      <w:marBottom w:val="0"/>
      <w:divBdr>
        <w:top w:val="none" w:sz="0" w:space="0" w:color="auto"/>
        <w:left w:val="none" w:sz="0" w:space="0" w:color="auto"/>
        <w:bottom w:val="none" w:sz="0" w:space="0" w:color="auto"/>
        <w:right w:val="none" w:sz="0" w:space="0" w:color="auto"/>
      </w:divBdr>
    </w:div>
    <w:div w:id="908881033">
      <w:bodyDiv w:val="1"/>
      <w:marLeft w:val="0"/>
      <w:marRight w:val="0"/>
      <w:marTop w:val="0"/>
      <w:marBottom w:val="0"/>
      <w:divBdr>
        <w:top w:val="none" w:sz="0" w:space="0" w:color="auto"/>
        <w:left w:val="none" w:sz="0" w:space="0" w:color="auto"/>
        <w:bottom w:val="none" w:sz="0" w:space="0" w:color="auto"/>
        <w:right w:val="none" w:sz="0" w:space="0" w:color="auto"/>
      </w:divBdr>
    </w:div>
    <w:div w:id="908885271">
      <w:bodyDiv w:val="1"/>
      <w:marLeft w:val="0"/>
      <w:marRight w:val="0"/>
      <w:marTop w:val="0"/>
      <w:marBottom w:val="0"/>
      <w:divBdr>
        <w:top w:val="none" w:sz="0" w:space="0" w:color="auto"/>
        <w:left w:val="none" w:sz="0" w:space="0" w:color="auto"/>
        <w:bottom w:val="none" w:sz="0" w:space="0" w:color="auto"/>
        <w:right w:val="none" w:sz="0" w:space="0" w:color="auto"/>
      </w:divBdr>
    </w:div>
    <w:div w:id="909267776">
      <w:bodyDiv w:val="1"/>
      <w:marLeft w:val="0"/>
      <w:marRight w:val="0"/>
      <w:marTop w:val="0"/>
      <w:marBottom w:val="0"/>
      <w:divBdr>
        <w:top w:val="none" w:sz="0" w:space="0" w:color="auto"/>
        <w:left w:val="none" w:sz="0" w:space="0" w:color="auto"/>
        <w:bottom w:val="none" w:sz="0" w:space="0" w:color="auto"/>
        <w:right w:val="none" w:sz="0" w:space="0" w:color="auto"/>
      </w:divBdr>
    </w:div>
    <w:div w:id="909534317">
      <w:bodyDiv w:val="1"/>
      <w:marLeft w:val="0"/>
      <w:marRight w:val="0"/>
      <w:marTop w:val="0"/>
      <w:marBottom w:val="0"/>
      <w:divBdr>
        <w:top w:val="none" w:sz="0" w:space="0" w:color="auto"/>
        <w:left w:val="none" w:sz="0" w:space="0" w:color="auto"/>
        <w:bottom w:val="none" w:sz="0" w:space="0" w:color="auto"/>
        <w:right w:val="none" w:sz="0" w:space="0" w:color="auto"/>
      </w:divBdr>
    </w:div>
    <w:div w:id="909580648">
      <w:bodyDiv w:val="1"/>
      <w:marLeft w:val="0"/>
      <w:marRight w:val="0"/>
      <w:marTop w:val="0"/>
      <w:marBottom w:val="0"/>
      <w:divBdr>
        <w:top w:val="none" w:sz="0" w:space="0" w:color="auto"/>
        <w:left w:val="none" w:sz="0" w:space="0" w:color="auto"/>
        <w:bottom w:val="none" w:sz="0" w:space="0" w:color="auto"/>
        <w:right w:val="none" w:sz="0" w:space="0" w:color="auto"/>
      </w:divBdr>
    </w:div>
    <w:div w:id="909729863">
      <w:bodyDiv w:val="1"/>
      <w:marLeft w:val="0"/>
      <w:marRight w:val="0"/>
      <w:marTop w:val="0"/>
      <w:marBottom w:val="0"/>
      <w:divBdr>
        <w:top w:val="none" w:sz="0" w:space="0" w:color="auto"/>
        <w:left w:val="none" w:sz="0" w:space="0" w:color="auto"/>
        <w:bottom w:val="none" w:sz="0" w:space="0" w:color="auto"/>
        <w:right w:val="none" w:sz="0" w:space="0" w:color="auto"/>
      </w:divBdr>
    </w:div>
    <w:div w:id="910043006">
      <w:bodyDiv w:val="1"/>
      <w:marLeft w:val="0"/>
      <w:marRight w:val="0"/>
      <w:marTop w:val="0"/>
      <w:marBottom w:val="0"/>
      <w:divBdr>
        <w:top w:val="none" w:sz="0" w:space="0" w:color="auto"/>
        <w:left w:val="none" w:sz="0" w:space="0" w:color="auto"/>
        <w:bottom w:val="none" w:sz="0" w:space="0" w:color="auto"/>
        <w:right w:val="none" w:sz="0" w:space="0" w:color="auto"/>
      </w:divBdr>
    </w:div>
    <w:div w:id="910045335">
      <w:bodyDiv w:val="1"/>
      <w:marLeft w:val="0"/>
      <w:marRight w:val="0"/>
      <w:marTop w:val="0"/>
      <w:marBottom w:val="0"/>
      <w:divBdr>
        <w:top w:val="none" w:sz="0" w:space="0" w:color="auto"/>
        <w:left w:val="none" w:sz="0" w:space="0" w:color="auto"/>
        <w:bottom w:val="none" w:sz="0" w:space="0" w:color="auto"/>
        <w:right w:val="none" w:sz="0" w:space="0" w:color="auto"/>
      </w:divBdr>
    </w:div>
    <w:div w:id="910240538">
      <w:bodyDiv w:val="1"/>
      <w:marLeft w:val="0"/>
      <w:marRight w:val="0"/>
      <w:marTop w:val="0"/>
      <w:marBottom w:val="0"/>
      <w:divBdr>
        <w:top w:val="none" w:sz="0" w:space="0" w:color="auto"/>
        <w:left w:val="none" w:sz="0" w:space="0" w:color="auto"/>
        <w:bottom w:val="none" w:sz="0" w:space="0" w:color="auto"/>
        <w:right w:val="none" w:sz="0" w:space="0" w:color="auto"/>
      </w:divBdr>
    </w:div>
    <w:div w:id="910626295">
      <w:bodyDiv w:val="1"/>
      <w:marLeft w:val="0"/>
      <w:marRight w:val="0"/>
      <w:marTop w:val="0"/>
      <w:marBottom w:val="0"/>
      <w:divBdr>
        <w:top w:val="none" w:sz="0" w:space="0" w:color="auto"/>
        <w:left w:val="none" w:sz="0" w:space="0" w:color="auto"/>
        <w:bottom w:val="none" w:sz="0" w:space="0" w:color="auto"/>
        <w:right w:val="none" w:sz="0" w:space="0" w:color="auto"/>
      </w:divBdr>
    </w:div>
    <w:div w:id="911046536">
      <w:bodyDiv w:val="1"/>
      <w:marLeft w:val="0"/>
      <w:marRight w:val="0"/>
      <w:marTop w:val="0"/>
      <w:marBottom w:val="0"/>
      <w:divBdr>
        <w:top w:val="none" w:sz="0" w:space="0" w:color="auto"/>
        <w:left w:val="none" w:sz="0" w:space="0" w:color="auto"/>
        <w:bottom w:val="none" w:sz="0" w:space="0" w:color="auto"/>
        <w:right w:val="none" w:sz="0" w:space="0" w:color="auto"/>
      </w:divBdr>
    </w:div>
    <w:div w:id="911163777">
      <w:bodyDiv w:val="1"/>
      <w:marLeft w:val="0"/>
      <w:marRight w:val="0"/>
      <w:marTop w:val="0"/>
      <w:marBottom w:val="0"/>
      <w:divBdr>
        <w:top w:val="none" w:sz="0" w:space="0" w:color="auto"/>
        <w:left w:val="none" w:sz="0" w:space="0" w:color="auto"/>
        <w:bottom w:val="none" w:sz="0" w:space="0" w:color="auto"/>
        <w:right w:val="none" w:sz="0" w:space="0" w:color="auto"/>
      </w:divBdr>
    </w:div>
    <w:div w:id="911231439">
      <w:bodyDiv w:val="1"/>
      <w:marLeft w:val="0"/>
      <w:marRight w:val="0"/>
      <w:marTop w:val="0"/>
      <w:marBottom w:val="0"/>
      <w:divBdr>
        <w:top w:val="none" w:sz="0" w:space="0" w:color="auto"/>
        <w:left w:val="none" w:sz="0" w:space="0" w:color="auto"/>
        <w:bottom w:val="none" w:sz="0" w:space="0" w:color="auto"/>
        <w:right w:val="none" w:sz="0" w:space="0" w:color="auto"/>
      </w:divBdr>
    </w:div>
    <w:div w:id="911619907">
      <w:bodyDiv w:val="1"/>
      <w:marLeft w:val="0"/>
      <w:marRight w:val="0"/>
      <w:marTop w:val="0"/>
      <w:marBottom w:val="0"/>
      <w:divBdr>
        <w:top w:val="none" w:sz="0" w:space="0" w:color="auto"/>
        <w:left w:val="none" w:sz="0" w:space="0" w:color="auto"/>
        <w:bottom w:val="none" w:sz="0" w:space="0" w:color="auto"/>
        <w:right w:val="none" w:sz="0" w:space="0" w:color="auto"/>
      </w:divBdr>
    </w:div>
    <w:div w:id="912276609">
      <w:bodyDiv w:val="1"/>
      <w:marLeft w:val="0"/>
      <w:marRight w:val="0"/>
      <w:marTop w:val="0"/>
      <w:marBottom w:val="0"/>
      <w:divBdr>
        <w:top w:val="none" w:sz="0" w:space="0" w:color="auto"/>
        <w:left w:val="none" w:sz="0" w:space="0" w:color="auto"/>
        <w:bottom w:val="none" w:sz="0" w:space="0" w:color="auto"/>
        <w:right w:val="none" w:sz="0" w:space="0" w:color="auto"/>
      </w:divBdr>
    </w:div>
    <w:div w:id="912858470">
      <w:bodyDiv w:val="1"/>
      <w:marLeft w:val="0"/>
      <w:marRight w:val="0"/>
      <w:marTop w:val="0"/>
      <w:marBottom w:val="0"/>
      <w:divBdr>
        <w:top w:val="none" w:sz="0" w:space="0" w:color="auto"/>
        <w:left w:val="none" w:sz="0" w:space="0" w:color="auto"/>
        <w:bottom w:val="none" w:sz="0" w:space="0" w:color="auto"/>
        <w:right w:val="none" w:sz="0" w:space="0" w:color="auto"/>
      </w:divBdr>
    </w:div>
    <w:div w:id="913053789">
      <w:bodyDiv w:val="1"/>
      <w:marLeft w:val="0"/>
      <w:marRight w:val="0"/>
      <w:marTop w:val="0"/>
      <w:marBottom w:val="0"/>
      <w:divBdr>
        <w:top w:val="none" w:sz="0" w:space="0" w:color="auto"/>
        <w:left w:val="none" w:sz="0" w:space="0" w:color="auto"/>
        <w:bottom w:val="none" w:sz="0" w:space="0" w:color="auto"/>
        <w:right w:val="none" w:sz="0" w:space="0" w:color="auto"/>
      </w:divBdr>
    </w:div>
    <w:div w:id="913514696">
      <w:bodyDiv w:val="1"/>
      <w:marLeft w:val="0"/>
      <w:marRight w:val="0"/>
      <w:marTop w:val="0"/>
      <w:marBottom w:val="0"/>
      <w:divBdr>
        <w:top w:val="none" w:sz="0" w:space="0" w:color="auto"/>
        <w:left w:val="none" w:sz="0" w:space="0" w:color="auto"/>
        <w:bottom w:val="none" w:sz="0" w:space="0" w:color="auto"/>
        <w:right w:val="none" w:sz="0" w:space="0" w:color="auto"/>
      </w:divBdr>
    </w:div>
    <w:div w:id="913855008">
      <w:bodyDiv w:val="1"/>
      <w:marLeft w:val="0"/>
      <w:marRight w:val="0"/>
      <w:marTop w:val="0"/>
      <w:marBottom w:val="0"/>
      <w:divBdr>
        <w:top w:val="none" w:sz="0" w:space="0" w:color="auto"/>
        <w:left w:val="none" w:sz="0" w:space="0" w:color="auto"/>
        <w:bottom w:val="none" w:sz="0" w:space="0" w:color="auto"/>
        <w:right w:val="none" w:sz="0" w:space="0" w:color="auto"/>
      </w:divBdr>
    </w:div>
    <w:div w:id="914390858">
      <w:bodyDiv w:val="1"/>
      <w:marLeft w:val="0"/>
      <w:marRight w:val="0"/>
      <w:marTop w:val="0"/>
      <w:marBottom w:val="0"/>
      <w:divBdr>
        <w:top w:val="none" w:sz="0" w:space="0" w:color="auto"/>
        <w:left w:val="none" w:sz="0" w:space="0" w:color="auto"/>
        <w:bottom w:val="none" w:sz="0" w:space="0" w:color="auto"/>
        <w:right w:val="none" w:sz="0" w:space="0" w:color="auto"/>
      </w:divBdr>
    </w:div>
    <w:div w:id="914783441">
      <w:bodyDiv w:val="1"/>
      <w:marLeft w:val="0"/>
      <w:marRight w:val="0"/>
      <w:marTop w:val="0"/>
      <w:marBottom w:val="0"/>
      <w:divBdr>
        <w:top w:val="none" w:sz="0" w:space="0" w:color="auto"/>
        <w:left w:val="none" w:sz="0" w:space="0" w:color="auto"/>
        <w:bottom w:val="none" w:sz="0" w:space="0" w:color="auto"/>
        <w:right w:val="none" w:sz="0" w:space="0" w:color="auto"/>
      </w:divBdr>
    </w:div>
    <w:div w:id="915167878">
      <w:bodyDiv w:val="1"/>
      <w:marLeft w:val="0"/>
      <w:marRight w:val="0"/>
      <w:marTop w:val="0"/>
      <w:marBottom w:val="0"/>
      <w:divBdr>
        <w:top w:val="none" w:sz="0" w:space="0" w:color="auto"/>
        <w:left w:val="none" w:sz="0" w:space="0" w:color="auto"/>
        <w:bottom w:val="none" w:sz="0" w:space="0" w:color="auto"/>
        <w:right w:val="none" w:sz="0" w:space="0" w:color="auto"/>
      </w:divBdr>
    </w:div>
    <w:div w:id="915822926">
      <w:bodyDiv w:val="1"/>
      <w:marLeft w:val="0"/>
      <w:marRight w:val="0"/>
      <w:marTop w:val="0"/>
      <w:marBottom w:val="0"/>
      <w:divBdr>
        <w:top w:val="none" w:sz="0" w:space="0" w:color="auto"/>
        <w:left w:val="none" w:sz="0" w:space="0" w:color="auto"/>
        <w:bottom w:val="none" w:sz="0" w:space="0" w:color="auto"/>
        <w:right w:val="none" w:sz="0" w:space="0" w:color="auto"/>
      </w:divBdr>
    </w:div>
    <w:div w:id="915945147">
      <w:bodyDiv w:val="1"/>
      <w:marLeft w:val="0"/>
      <w:marRight w:val="0"/>
      <w:marTop w:val="0"/>
      <w:marBottom w:val="0"/>
      <w:divBdr>
        <w:top w:val="none" w:sz="0" w:space="0" w:color="auto"/>
        <w:left w:val="none" w:sz="0" w:space="0" w:color="auto"/>
        <w:bottom w:val="none" w:sz="0" w:space="0" w:color="auto"/>
        <w:right w:val="none" w:sz="0" w:space="0" w:color="auto"/>
      </w:divBdr>
    </w:div>
    <w:div w:id="916211028">
      <w:bodyDiv w:val="1"/>
      <w:marLeft w:val="0"/>
      <w:marRight w:val="0"/>
      <w:marTop w:val="0"/>
      <w:marBottom w:val="0"/>
      <w:divBdr>
        <w:top w:val="none" w:sz="0" w:space="0" w:color="auto"/>
        <w:left w:val="none" w:sz="0" w:space="0" w:color="auto"/>
        <w:bottom w:val="none" w:sz="0" w:space="0" w:color="auto"/>
        <w:right w:val="none" w:sz="0" w:space="0" w:color="auto"/>
      </w:divBdr>
    </w:div>
    <w:div w:id="916406885">
      <w:bodyDiv w:val="1"/>
      <w:marLeft w:val="0"/>
      <w:marRight w:val="0"/>
      <w:marTop w:val="0"/>
      <w:marBottom w:val="0"/>
      <w:divBdr>
        <w:top w:val="none" w:sz="0" w:space="0" w:color="auto"/>
        <w:left w:val="none" w:sz="0" w:space="0" w:color="auto"/>
        <w:bottom w:val="none" w:sz="0" w:space="0" w:color="auto"/>
        <w:right w:val="none" w:sz="0" w:space="0" w:color="auto"/>
      </w:divBdr>
    </w:div>
    <w:div w:id="916861800">
      <w:bodyDiv w:val="1"/>
      <w:marLeft w:val="0"/>
      <w:marRight w:val="0"/>
      <w:marTop w:val="0"/>
      <w:marBottom w:val="0"/>
      <w:divBdr>
        <w:top w:val="none" w:sz="0" w:space="0" w:color="auto"/>
        <w:left w:val="none" w:sz="0" w:space="0" w:color="auto"/>
        <w:bottom w:val="none" w:sz="0" w:space="0" w:color="auto"/>
        <w:right w:val="none" w:sz="0" w:space="0" w:color="auto"/>
      </w:divBdr>
    </w:div>
    <w:div w:id="917518524">
      <w:bodyDiv w:val="1"/>
      <w:marLeft w:val="0"/>
      <w:marRight w:val="0"/>
      <w:marTop w:val="0"/>
      <w:marBottom w:val="0"/>
      <w:divBdr>
        <w:top w:val="none" w:sz="0" w:space="0" w:color="auto"/>
        <w:left w:val="none" w:sz="0" w:space="0" w:color="auto"/>
        <w:bottom w:val="none" w:sz="0" w:space="0" w:color="auto"/>
        <w:right w:val="none" w:sz="0" w:space="0" w:color="auto"/>
      </w:divBdr>
    </w:div>
    <w:div w:id="917711203">
      <w:bodyDiv w:val="1"/>
      <w:marLeft w:val="0"/>
      <w:marRight w:val="0"/>
      <w:marTop w:val="0"/>
      <w:marBottom w:val="0"/>
      <w:divBdr>
        <w:top w:val="none" w:sz="0" w:space="0" w:color="auto"/>
        <w:left w:val="none" w:sz="0" w:space="0" w:color="auto"/>
        <w:bottom w:val="none" w:sz="0" w:space="0" w:color="auto"/>
        <w:right w:val="none" w:sz="0" w:space="0" w:color="auto"/>
      </w:divBdr>
    </w:div>
    <w:div w:id="918439272">
      <w:bodyDiv w:val="1"/>
      <w:marLeft w:val="0"/>
      <w:marRight w:val="0"/>
      <w:marTop w:val="0"/>
      <w:marBottom w:val="0"/>
      <w:divBdr>
        <w:top w:val="none" w:sz="0" w:space="0" w:color="auto"/>
        <w:left w:val="none" w:sz="0" w:space="0" w:color="auto"/>
        <w:bottom w:val="none" w:sz="0" w:space="0" w:color="auto"/>
        <w:right w:val="none" w:sz="0" w:space="0" w:color="auto"/>
      </w:divBdr>
    </w:div>
    <w:div w:id="918751772">
      <w:bodyDiv w:val="1"/>
      <w:marLeft w:val="0"/>
      <w:marRight w:val="0"/>
      <w:marTop w:val="0"/>
      <w:marBottom w:val="0"/>
      <w:divBdr>
        <w:top w:val="none" w:sz="0" w:space="0" w:color="auto"/>
        <w:left w:val="none" w:sz="0" w:space="0" w:color="auto"/>
        <w:bottom w:val="none" w:sz="0" w:space="0" w:color="auto"/>
        <w:right w:val="none" w:sz="0" w:space="0" w:color="auto"/>
      </w:divBdr>
    </w:div>
    <w:div w:id="919143573">
      <w:bodyDiv w:val="1"/>
      <w:marLeft w:val="0"/>
      <w:marRight w:val="0"/>
      <w:marTop w:val="0"/>
      <w:marBottom w:val="0"/>
      <w:divBdr>
        <w:top w:val="none" w:sz="0" w:space="0" w:color="auto"/>
        <w:left w:val="none" w:sz="0" w:space="0" w:color="auto"/>
        <w:bottom w:val="none" w:sz="0" w:space="0" w:color="auto"/>
        <w:right w:val="none" w:sz="0" w:space="0" w:color="auto"/>
      </w:divBdr>
    </w:div>
    <w:div w:id="919601290">
      <w:bodyDiv w:val="1"/>
      <w:marLeft w:val="0"/>
      <w:marRight w:val="0"/>
      <w:marTop w:val="0"/>
      <w:marBottom w:val="0"/>
      <w:divBdr>
        <w:top w:val="none" w:sz="0" w:space="0" w:color="auto"/>
        <w:left w:val="none" w:sz="0" w:space="0" w:color="auto"/>
        <w:bottom w:val="none" w:sz="0" w:space="0" w:color="auto"/>
        <w:right w:val="none" w:sz="0" w:space="0" w:color="auto"/>
      </w:divBdr>
    </w:div>
    <w:div w:id="919944292">
      <w:bodyDiv w:val="1"/>
      <w:marLeft w:val="0"/>
      <w:marRight w:val="0"/>
      <w:marTop w:val="0"/>
      <w:marBottom w:val="0"/>
      <w:divBdr>
        <w:top w:val="none" w:sz="0" w:space="0" w:color="auto"/>
        <w:left w:val="none" w:sz="0" w:space="0" w:color="auto"/>
        <w:bottom w:val="none" w:sz="0" w:space="0" w:color="auto"/>
        <w:right w:val="none" w:sz="0" w:space="0" w:color="auto"/>
      </w:divBdr>
    </w:div>
    <w:div w:id="920216646">
      <w:bodyDiv w:val="1"/>
      <w:marLeft w:val="0"/>
      <w:marRight w:val="0"/>
      <w:marTop w:val="0"/>
      <w:marBottom w:val="0"/>
      <w:divBdr>
        <w:top w:val="none" w:sz="0" w:space="0" w:color="auto"/>
        <w:left w:val="none" w:sz="0" w:space="0" w:color="auto"/>
        <w:bottom w:val="none" w:sz="0" w:space="0" w:color="auto"/>
        <w:right w:val="none" w:sz="0" w:space="0" w:color="auto"/>
      </w:divBdr>
    </w:div>
    <w:div w:id="920681828">
      <w:bodyDiv w:val="1"/>
      <w:marLeft w:val="0"/>
      <w:marRight w:val="0"/>
      <w:marTop w:val="0"/>
      <w:marBottom w:val="0"/>
      <w:divBdr>
        <w:top w:val="none" w:sz="0" w:space="0" w:color="auto"/>
        <w:left w:val="none" w:sz="0" w:space="0" w:color="auto"/>
        <w:bottom w:val="none" w:sz="0" w:space="0" w:color="auto"/>
        <w:right w:val="none" w:sz="0" w:space="0" w:color="auto"/>
      </w:divBdr>
    </w:div>
    <w:div w:id="920797542">
      <w:bodyDiv w:val="1"/>
      <w:marLeft w:val="0"/>
      <w:marRight w:val="0"/>
      <w:marTop w:val="0"/>
      <w:marBottom w:val="0"/>
      <w:divBdr>
        <w:top w:val="none" w:sz="0" w:space="0" w:color="auto"/>
        <w:left w:val="none" w:sz="0" w:space="0" w:color="auto"/>
        <w:bottom w:val="none" w:sz="0" w:space="0" w:color="auto"/>
        <w:right w:val="none" w:sz="0" w:space="0" w:color="auto"/>
      </w:divBdr>
    </w:div>
    <w:div w:id="921447004">
      <w:bodyDiv w:val="1"/>
      <w:marLeft w:val="0"/>
      <w:marRight w:val="0"/>
      <w:marTop w:val="0"/>
      <w:marBottom w:val="0"/>
      <w:divBdr>
        <w:top w:val="none" w:sz="0" w:space="0" w:color="auto"/>
        <w:left w:val="none" w:sz="0" w:space="0" w:color="auto"/>
        <w:bottom w:val="none" w:sz="0" w:space="0" w:color="auto"/>
        <w:right w:val="none" w:sz="0" w:space="0" w:color="auto"/>
      </w:divBdr>
    </w:div>
    <w:div w:id="921842171">
      <w:bodyDiv w:val="1"/>
      <w:marLeft w:val="0"/>
      <w:marRight w:val="0"/>
      <w:marTop w:val="0"/>
      <w:marBottom w:val="0"/>
      <w:divBdr>
        <w:top w:val="none" w:sz="0" w:space="0" w:color="auto"/>
        <w:left w:val="none" w:sz="0" w:space="0" w:color="auto"/>
        <w:bottom w:val="none" w:sz="0" w:space="0" w:color="auto"/>
        <w:right w:val="none" w:sz="0" w:space="0" w:color="auto"/>
      </w:divBdr>
    </w:div>
    <w:div w:id="922451618">
      <w:bodyDiv w:val="1"/>
      <w:marLeft w:val="0"/>
      <w:marRight w:val="0"/>
      <w:marTop w:val="0"/>
      <w:marBottom w:val="0"/>
      <w:divBdr>
        <w:top w:val="none" w:sz="0" w:space="0" w:color="auto"/>
        <w:left w:val="none" w:sz="0" w:space="0" w:color="auto"/>
        <w:bottom w:val="none" w:sz="0" w:space="0" w:color="auto"/>
        <w:right w:val="none" w:sz="0" w:space="0" w:color="auto"/>
      </w:divBdr>
    </w:div>
    <w:div w:id="922643255">
      <w:bodyDiv w:val="1"/>
      <w:marLeft w:val="0"/>
      <w:marRight w:val="0"/>
      <w:marTop w:val="0"/>
      <w:marBottom w:val="0"/>
      <w:divBdr>
        <w:top w:val="none" w:sz="0" w:space="0" w:color="auto"/>
        <w:left w:val="none" w:sz="0" w:space="0" w:color="auto"/>
        <w:bottom w:val="none" w:sz="0" w:space="0" w:color="auto"/>
        <w:right w:val="none" w:sz="0" w:space="0" w:color="auto"/>
      </w:divBdr>
    </w:div>
    <w:div w:id="923298438">
      <w:bodyDiv w:val="1"/>
      <w:marLeft w:val="0"/>
      <w:marRight w:val="0"/>
      <w:marTop w:val="0"/>
      <w:marBottom w:val="0"/>
      <w:divBdr>
        <w:top w:val="none" w:sz="0" w:space="0" w:color="auto"/>
        <w:left w:val="none" w:sz="0" w:space="0" w:color="auto"/>
        <w:bottom w:val="none" w:sz="0" w:space="0" w:color="auto"/>
        <w:right w:val="none" w:sz="0" w:space="0" w:color="auto"/>
      </w:divBdr>
    </w:div>
    <w:div w:id="923344459">
      <w:bodyDiv w:val="1"/>
      <w:marLeft w:val="0"/>
      <w:marRight w:val="0"/>
      <w:marTop w:val="0"/>
      <w:marBottom w:val="0"/>
      <w:divBdr>
        <w:top w:val="none" w:sz="0" w:space="0" w:color="auto"/>
        <w:left w:val="none" w:sz="0" w:space="0" w:color="auto"/>
        <w:bottom w:val="none" w:sz="0" w:space="0" w:color="auto"/>
        <w:right w:val="none" w:sz="0" w:space="0" w:color="auto"/>
      </w:divBdr>
    </w:div>
    <w:div w:id="923496869">
      <w:bodyDiv w:val="1"/>
      <w:marLeft w:val="0"/>
      <w:marRight w:val="0"/>
      <w:marTop w:val="0"/>
      <w:marBottom w:val="0"/>
      <w:divBdr>
        <w:top w:val="none" w:sz="0" w:space="0" w:color="auto"/>
        <w:left w:val="none" w:sz="0" w:space="0" w:color="auto"/>
        <w:bottom w:val="none" w:sz="0" w:space="0" w:color="auto"/>
        <w:right w:val="none" w:sz="0" w:space="0" w:color="auto"/>
      </w:divBdr>
    </w:div>
    <w:div w:id="923562897">
      <w:bodyDiv w:val="1"/>
      <w:marLeft w:val="0"/>
      <w:marRight w:val="0"/>
      <w:marTop w:val="0"/>
      <w:marBottom w:val="0"/>
      <w:divBdr>
        <w:top w:val="none" w:sz="0" w:space="0" w:color="auto"/>
        <w:left w:val="none" w:sz="0" w:space="0" w:color="auto"/>
        <w:bottom w:val="none" w:sz="0" w:space="0" w:color="auto"/>
        <w:right w:val="none" w:sz="0" w:space="0" w:color="auto"/>
      </w:divBdr>
    </w:div>
    <w:div w:id="923732593">
      <w:bodyDiv w:val="1"/>
      <w:marLeft w:val="0"/>
      <w:marRight w:val="0"/>
      <w:marTop w:val="0"/>
      <w:marBottom w:val="0"/>
      <w:divBdr>
        <w:top w:val="none" w:sz="0" w:space="0" w:color="auto"/>
        <w:left w:val="none" w:sz="0" w:space="0" w:color="auto"/>
        <w:bottom w:val="none" w:sz="0" w:space="0" w:color="auto"/>
        <w:right w:val="none" w:sz="0" w:space="0" w:color="auto"/>
      </w:divBdr>
    </w:div>
    <w:div w:id="923757197">
      <w:bodyDiv w:val="1"/>
      <w:marLeft w:val="0"/>
      <w:marRight w:val="0"/>
      <w:marTop w:val="0"/>
      <w:marBottom w:val="0"/>
      <w:divBdr>
        <w:top w:val="none" w:sz="0" w:space="0" w:color="auto"/>
        <w:left w:val="none" w:sz="0" w:space="0" w:color="auto"/>
        <w:bottom w:val="none" w:sz="0" w:space="0" w:color="auto"/>
        <w:right w:val="none" w:sz="0" w:space="0" w:color="auto"/>
      </w:divBdr>
    </w:div>
    <w:div w:id="924067327">
      <w:bodyDiv w:val="1"/>
      <w:marLeft w:val="0"/>
      <w:marRight w:val="0"/>
      <w:marTop w:val="0"/>
      <w:marBottom w:val="0"/>
      <w:divBdr>
        <w:top w:val="none" w:sz="0" w:space="0" w:color="auto"/>
        <w:left w:val="none" w:sz="0" w:space="0" w:color="auto"/>
        <w:bottom w:val="none" w:sz="0" w:space="0" w:color="auto"/>
        <w:right w:val="none" w:sz="0" w:space="0" w:color="auto"/>
      </w:divBdr>
    </w:div>
    <w:div w:id="924075650">
      <w:bodyDiv w:val="1"/>
      <w:marLeft w:val="0"/>
      <w:marRight w:val="0"/>
      <w:marTop w:val="0"/>
      <w:marBottom w:val="0"/>
      <w:divBdr>
        <w:top w:val="none" w:sz="0" w:space="0" w:color="auto"/>
        <w:left w:val="none" w:sz="0" w:space="0" w:color="auto"/>
        <w:bottom w:val="none" w:sz="0" w:space="0" w:color="auto"/>
        <w:right w:val="none" w:sz="0" w:space="0" w:color="auto"/>
      </w:divBdr>
    </w:div>
    <w:div w:id="924388055">
      <w:bodyDiv w:val="1"/>
      <w:marLeft w:val="0"/>
      <w:marRight w:val="0"/>
      <w:marTop w:val="0"/>
      <w:marBottom w:val="0"/>
      <w:divBdr>
        <w:top w:val="none" w:sz="0" w:space="0" w:color="auto"/>
        <w:left w:val="none" w:sz="0" w:space="0" w:color="auto"/>
        <w:bottom w:val="none" w:sz="0" w:space="0" w:color="auto"/>
        <w:right w:val="none" w:sz="0" w:space="0" w:color="auto"/>
      </w:divBdr>
    </w:div>
    <w:div w:id="924458478">
      <w:bodyDiv w:val="1"/>
      <w:marLeft w:val="0"/>
      <w:marRight w:val="0"/>
      <w:marTop w:val="0"/>
      <w:marBottom w:val="0"/>
      <w:divBdr>
        <w:top w:val="none" w:sz="0" w:space="0" w:color="auto"/>
        <w:left w:val="none" w:sz="0" w:space="0" w:color="auto"/>
        <w:bottom w:val="none" w:sz="0" w:space="0" w:color="auto"/>
        <w:right w:val="none" w:sz="0" w:space="0" w:color="auto"/>
      </w:divBdr>
    </w:div>
    <w:div w:id="924920472">
      <w:bodyDiv w:val="1"/>
      <w:marLeft w:val="0"/>
      <w:marRight w:val="0"/>
      <w:marTop w:val="0"/>
      <w:marBottom w:val="0"/>
      <w:divBdr>
        <w:top w:val="none" w:sz="0" w:space="0" w:color="auto"/>
        <w:left w:val="none" w:sz="0" w:space="0" w:color="auto"/>
        <w:bottom w:val="none" w:sz="0" w:space="0" w:color="auto"/>
        <w:right w:val="none" w:sz="0" w:space="0" w:color="auto"/>
      </w:divBdr>
    </w:div>
    <w:div w:id="925115923">
      <w:bodyDiv w:val="1"/>
      <w:marLeft w:val="0"/>
      <w:marRight w:val="0"/>
      <w:marTop w:val="0"/>
      <w:marBottom w:val="0"/>
      <w:divBdr>
        <w:top w:val="none" w:sz="0" w:space="0" w:color="auto"/>
        <w:left w:val="none" w:sz="0" w:space="0" w:color="auto"/>
        <w:bottom w:val="none" w:sz="0" w:space="0" w:color="auto"/>
        <w:right w:val="none" w:sz="0" w:space="0" w:color="auto"/>
      </w:divBdr>
    </w:div>
    <w:div w:id="925455958">
      <w:bodyDiv w:val="1"/>
      <w:marLeft w:val="0"/>
      <w:marRight w:val="0"/>
      <w:marTop w:val="0"/>
      <w:marBottom w:val="0"/>
      <w:divBdr>
        <w:top w:val="none" w:sz="0" w:space="0" w:color="auto"/>
        <w:left w:val="none" w:sz="0" w:space="0" w:color="auto"/>
        <w:bottom w:val="none" w:sz="0" w:space="0" w:color="auto"/>
        <w:right w:val="none" w:sz="0" w:space="0" w:color="auto"/>
      </w:divBdr>
    </w:div>
    <w:div w:id="925531217">
      <w:bodyDiv w:val="1"/>
      <w:marLeft w:val="0"/>
      <w:marRight w:val="0"/>
      <w:marTop w:val="0"/>
      <w:marBottom w:val="0"/>
      <w:divBdr>
        <w:top w:val="none" w:sz="0" w:space="0" w:color="auto"/>
        <w:left w:val="none" w:sz="0" w:space="0" w:color="auto"/>
        <w:bottom w:val="none" w:sz="0" w:space="0" w:color="auto"/>
        <w:right w:val="none" w:sz="0" w:space="0" w:color="auto"/>
      </w:divBdr>
    </w:div>
    <w:div w:id="925770396">
      <w:bodyDiv w:val="1"/>
      <w:marLeft w:val="0"/>
      <w:marRight w:val="0"/>
      <w:marTop w:val="0"/>
      <w:marBottom w:val="0"/>
      <w:divBdr>
        <w:top w:val="none" w:sz="0" w:space="0" w:color="auto"/>
        <w:left w:val="none" w:sz="0" w:space="0" w:color="auto"/>
        <w:bottom w:val="none" w:sz="0" w:space="0" w:color="auto"/>
        <w:right w:val="none" w:sz="0" w:space="0" w:color="auto"/>
      </w:divBdr>
    </w:div>
    <w:div w:id="925961100">
      <w:bodyDiv w:val="1"/>
      <w:marLeft w:val="0"/>
      <w:marRight w:val="0"/>
      <w:marTop w:val="0"/>
      <w:marBottom w:val="0"/>
      <w:divBdr>
        <w:top w:val="none" w:sz="0" w:space="0" w:color="auto"/>
        <w:left w:val="none" w:sz="0" w:space="0" w:color="auto"/>
        <w:bottom w:val="none" w:sz="0" w:space="0" w:color="auto"/>
        <w:right w:val="none" w:sz="0" w:space="0" w:color="auto"/>
      </w:divBdr>
    </w:div>
    <w:div w:id="926427324">
      <w:bodyDiv w:val="1"/>
      <w:marLeft w:val="0"/>
      <w:marRight w:val="0"/>
      <w:marTop w:val="0"/>
      <w:marBottom w:val="0"/>
      <w:divBdr>
        <w:top w:val="none" w:sz="0" w:space="0" w:color="auto"/>
        <w:left w:val="none" w:sz="0" w:space="0" w:color="auto"/>
        <w:bottom w:val="none" w:sz="0" w:space="0" w:color="auto"/>
        <w:right w:val="none" w:sz="0" w:space="0" w:color="auto"/>
      </w:divBdr>
    </w:div>
    <w:div w:id="926570568">
      <w:bodyDiv w:val="1"/>
      <w:marLeft w:val="0"/>
      <w:marRight w:val="0"/>
      <w:marTop w:val="0"/>
      <w:marBottom w:val="0"/>
      <w:divBdr>
        <w:top w:val="none" w:sz="0" w:space="0" w:color="auto"/>
        <w:left w:val="none" w:sz="0" w:space="0" w:color="auto"/>
        <w:bottom w:val="none" w:sz="0" w:space="0" w:color="auto"/>
        <w:right w:val="none" w:sz="0" w:space="0" w:color="auto"/>
      </w:divBdr>
    </w:div>
    <w:div w:id="926695706">
      <w:bodyDiv w:val="1"/>
      <w:marLeft w:val="0"/>
      <w:marRight w:val="0"/>
      <w:marTop w:val="0"/>
      <w:marBottom w:val="0"/>
      <w:divBdr>
        <w:top w:val="none" w:sz="0" w:space="0" w:color="auto"/>
        <w:left w:val="none" w:sz="0" w:space="0" w:color="auto"/>
        <w:bottom w:val="none" w:sz="0" w:space="0" w:color="auto"/>
        <w:right w:val="none" w:sz="0" w:space="0" w:color="auto"/>
      </w:divBdr>
    </w:div>
    <w:div w:id="926697102">
      <w:bodyDiv w:val="1"/>
      <w:marLeft w:val="0"/>
      <w:marRight w:val="0"/>
      <w:marTop w:val="0"/>
      <w:marBottom w:val="0"/>
      <w:divBdr>
        <w:top w:val="none" w:sz="0" w:space="0" w:color="auto"/>
        <w:left w:val="none" w:sz="0" w:space="0" w:color="auto"/>
        <w:bottom w:val="none" w:sz="0" w:space="0" w:color="auto"/>
        <w:right w:val="none" w:sz="0" w:space="0" w:color="auto"/>
      </w:divBdr>
    </w:div>
    <w:div w:id="927158554">
      <w:bodyDiv w:val="1"/>
      <w:marLeft w:val="0"/>
      <w:marRight w:val="0"/>
      <w:marTop w:val="0"/>
      <w:marBottom w:val="0"/>
      <w:divBdr>
        <w:top w:val="none" w:sz="0" w:space="0" w:color="auto"/>
        <w:left w:val="none" w:sz="0" w:space="0" w:color="auto"/>
        <w:bottom w:val="none" w:sz="0" w:space="0" w:color="auto"/>
        <w:right w:val="none" w:sz="0" w:space="0" w:color="auto"/>
      </w:divBdr>
    </w:div>
    <w:div w:id="927233170">
      <w:bodyDiv w:val="1"/>
      <w:marLeft w:val="0"/>
      <w:marRight w:val="0"/>
      <w:marTop w:val="0"/>
      <w:marBottom w:val="0"/>
      <w:divBdr>
        <w:top w:val="none" w:sz="0" w:space="0" w:color="auto"/>
        <w:left w:val="none" w:sz="0" w:space="0" w:color="auto"/>
        <w:bottom w:val="none" w:sz="0" w:space="0" w:color="auto"/>
        <w:right w:val="none" w:sz="0" w:space="0" w:color="auto"/>
      </w:divBdr>
    </w:div>
    <w:div w:id="927807345">
      <w:bodyDiv w:val="1"/>
      <w:marLeft w:val="0"/>
      <w:marRight w:val="0"/>
      <w:marTop w:val="0"/>
      <w:marBottom w:val="0"/>
      <w:divBdr>
        <w:top w:val="none" w:sz="0" w:space="0" w:color="auto"/>
        <w:left w:val="none" w:sz="0" w:space="0" w:color="auto"/>
        <w:bottom w:val="none" w:sz="0" w:space="0" w:color="auto"/>
        <w:right w:val="none" w:sz="0" w:space="0" w:color="auto"/>
      </w:divBdr>
    </w:div>
    <w:div w:id="927887160">
      <w:bodyDiv w:val="1"/>
      <w:marLeft w:val="0"/>
      <w:marRight w:val="0"/>
      <w:marTop w:val="0"/>
      <w:marBottom w:val="0"/>
      <w:divBdr>
        <w:top w:val="none" w:sz="0" w:space="0" w:color="auto"/>
        <w:left w:val="none" w:sz="0" w:space="0" w:color="auto"/>
        <w:bottom w:val="none" w:sz="0" w:space="0" w:color="auto"/>
        <w:right w:val="none" w:sz="0" w:space="0" w:color="auto"/>
      </w:divBdr>
    </w:div>
    <w:div w:id="927927723">
      <w:bodyDiv w:val="1"/>
      <w:marLeft w:val="0"/>
      <w:marRight w:val="0"/>
      <w:marTop w:val="0"/>
      <w:marBottom w:val="0"/>
      <w:divBdr>
        <w:top w:val="none" w:sz="0" w:space="0" w:color="auto"/>
        <w:left w:val="none" w:sz="0" w:space="0" w:color="auto"/>
        <w:bottom w:val="none" w:sz="0" w:space="0" w:color="auto"/>
        <w:right w:val="none" w:sz="0" w:space="0" w:color="auto"/>
      </w:divBdr>
    </w:div>
    <w:div w:id="928194362">
      <w:bodyDiv w:val="1"/>
      <w:marLeft w:val="0"/>
      <w:marRight w:val="0"/>
      <w:marTop w:val="0"/>
      <w:marBottom w:val="0"/>
      <w:divBdr>
        <w:top w:val="none" w:sz="0" w:space="0" w:color="auto"/>
        <w:left w:val="none" w:sz="0" w:space="0" w:color="auto"/>
        <w:bottom w:val="none" w:sz="0" w:space="0" w:color="auto"/>
        <w:right w:val="none" w:sz="0" w:space="0" w:color="auto"/>
      </w:divBdr>
    </w:div>
    <w:div w:id="928808894">
      <w:bodyDiv w:val="1"/>
      <w:marLeft w:val="0"/>
      <w:marRight w:val="0"/>
      <w:marTop w:val="0"/>
      <w:marBottom w:val="0"/>
      <w:divBdr>
        <w:top w:val="none" w:sz="0" w:space="0" w:color="auto"/>
        <w:left w:val="none" w:sz="0" w:space="0" w:color="auto"/>
        <w:bottom w:val="none" w:sz="0" w:space="0" w:color="auto"/>
        <w:right w:val="none" w:sz="0" w:space="0" w:color="auto"/>
      </w:divBdr>
    </w:div>
    <w:div w:id="928924504">
      <w:bodyDiv w:val="1"/>
      <w:marLeft w:val="0"/>
      <w:marRight w:val="0"/>
      <w:marTop w:val="0"/>
      <w:marBottom w:val="0"/>
      <w:divBdr>
        <w:top w:val="none" w:sz="0" w:space="0" w:color="auto"/>
        <w:left w:val="none" w:sz="0" w:space="0" w:color="auto"/>
        <w:bottom w:val="none" w:sz="0" w:space="0" w:color="auto"/>
        <w:right w:val="none" w:sz="0" w:space="0" w:color="auto"/>
      </w:divBdr>
    </w:div>
    <w:div w:id="929315416">
      <w:bodyDiv w:val="1"/>
      <w:marLeft w:val="0"/>
      <w:marRight w:val="0"/>
      <w:marTop w:val="0"/>
      <w:marBottom w:val="0"/>
      <w:divBdr>
        <w:top w:val="none" w:sz="0" w:space="0" w:color="auto"/>
        <w:left w:val="none" w:sz="0" w:space="0" w:color="auto"/>
        <w:bottom w:val="none" w:sz="0" w:space="0" w:color="auto"/>
        <w:right w:val="none" w:sz="0" w:space="0" w:color="auto"/>
      </w:divBdr>
    </w:div>
    <w:div w:id="929852324">
      <w:bodyDiv w:val="1"/>
      <w:marLeft w:val="0"/>
      <w:marRight w:val="0"/>
      <w:marTop w:val="0"/>
      <w:marBottom w:val="0"/>
      <w:divBdr>
        <w:top w:val="none" w:sz="0" w:space="0" w:color="auto"/>
        <w:left w:val="none" w:sz="0" w:space="0" w:color="auto"/>
        <w:bottom w:val="none" w:sz="0" w:space="0" w:color="auto"/>
        <w:right w:val="none" w:sz="0" w:space="0" w:color="auto"/>
      </w:divBdr>
    </w:div>
    <w:div w:id="930045758">
      <w:bodyDiv w:val="1"/>
      <w:marLeft w:val="0"/>
      <w:marRight w:val="0"/>
      <w:marTop w:val="0"/>
      <w:marBottom w:val="0"/>
      <w:divBdr>
        <w:top w:val="none" w:sz="0" w:space="0" w:color="auto"/>
        <w:left w:val="none" w:sz="0" w:space="0" w:color="auto"/>
        <w:bottom w:val="none" w:sz="0" w:space="0" w:color="auto"/>
        <w:right w:val="none" w:sz="0" w:space="0" w:color="auto"/>
      </w:divBdr>
    </w:div>
    <w:div w:id="930966178">
      <w:bodyDiv w:val="1"/>
      <w:marLeft w:val="0"/>
      <w:marRight w:val="0"/>
      <w:marTop w:val="0"/>
      <w:marBottom w:val="0"/>
      <w:divBdr>
        <w:top w:val="none" w:sz="0" w:space="0" w:color="auto"/>
        <w:left w:val="none" w:sz="0" w:space="0" w:color="auto"/>
        <w:bottom w:val="none" w:sz="0" w:space="0" w:color="auto"/>
        <w:right w:val="none" w:sz="0" w:space="0" w:color="auto"/>
      </w:divBdr>
    </w:div>
    <w:div w:id="931161127">
      <w:bodyDiv w:val="1"/>
      <w:marLeft w:val="0"/>
      <w:marRight w:val="0"/>
      <w:marTop w:val="0"/>
      <w:marBottom w:val="0"/>
      <w:divBdr>
        <w:top w:val="none" w:sz="0" w:space="0" w:color="auto"/>
        <w:left w:val="none" w:sz="0" w:space="0" w:color="auto"/>
        <w:bottom w:val="none" w:sz="0" w:space="0" w:color="auto"/>
        <w:right w:val="none" w:sz="0" w:space="0" w:color="auto"/>
      </w:divBdr>
    </w:div>
    <w:div w:id="931162145">
      <w:bodyDiv w:val="1"/>
      <w:marLeft w:val="0"/>
      <w:marRight w:val="0"/>
      <w:marTop w:val="0"/>
      <w:marBottom w:val="0"/>
      <w:divBdr>
        <w:top w:val="none" w:sz="0" w:space="0" w:color="auto"/>
        <w:left w:val="none" w:sz="0" w:space="0" w:color="auto"/>
        <w:bottom w:val="none" w:sz="0" w:space="0" w:color="auto"/>
        <w:right w:val="none" w:sz="0" w:space="0" w:color="auto"/>
      </w:divBdr>
    </w:div>
    <w:div w:id="931166499">
      <w:bodyDiv w:val="1"/>
      <w:marLeft w:val="0"/>
      <w:marRight w:val="0"/>
      <w:marTop w:val="0"/>
      <w:marBottom w:val="0"/>
      <w:divBdr>
        <w:top w:val="none" w:sz="0" w:space="0" w:color="auto"/>
        <w:left w:val="none" w:sz="0" w:space="0" w:color="auto"/>
        <w:bottom w:val="none" w:sz="0" w:space="0" w:color="auto"/>
        <w:right w:val="none" w:sz="0" w:space="0" w:color="auto"/>
      </w:divBdr>
    </w:div>
    <w:div w:id="931353617">
      <w:bodyDiv w:val="1"/>
      <w:marLeft w:val="0"/>
      <w:marRight w:val="0"/>
      <w:marTop w:val="0"/>
      <w:marBottom w:val="0"/>
      <w:divBdr>
        <w:top w:val="none" w:sz="0" w:space="0" w:color="auto"/>
        <w:left w:val="none" w:sz="0" w:space="0" w:color="auto"/>
        <w:bottom w:val="none" w:sz="0" w:space="0" w:color="auto"/>
        <w:right w:val="none" w:sz="0" w:space="0" w:color="auto"/>
      </w:divBdr>
    </w:div>
    <w:div w:id="931357738">
      <w:bodyDiv w:val="1"/>
      <w:marLeft w:val="0"/>
      <w:marRight w:val="0"/>
      <w:marTop w:val="0"/>
      <w:marBottom w:val="0"/>
      <w:divBdr>
        <w:top w:val="none" w:sz="0" w:space="0" w:color="auto"/>
        <w:left w:val="none" w:sz="0" w:space="0" w:color="auto"/>
        <w:bottom w:val="none" w:sz="0" w:space="0" w:color="auto"/>
        <w:right w:val="none" w:sz="0" w:space="0" w:color="auto"/>
      </w:divBdr>
    </w:div>
    <w:div w:id="932013707">
      <w:bodyDiv w:val="1"/>
      <w:marLeft w:val="0"/>
      <w:marRight w:val="0"/>
      <w:marTop w:val="0"/>
      <w:marBottom w:val="0"/>
      <w:divBdr>
        <w:top w:val="none" w:sz="0" w:space="0" w:color="auto"/>
        <w:left w:val="none" w:sz="0" w:space="0" w:color="auto"/>
        <w:bottom w:val="none" w:sz="0" w:space="0" w:color="auto"/>
        <w:right w:val="none" w:sz="0" w:space="0" w:color="auto"/>
      </w:divBdr>
    </w:div>
    <w:div w:id="934702961">
      <w:bodyDiv w:val="1"/>
      <w:marLeft w:val="0"/>
      <w:marRight w:val="0"/>
      <w:marTop w:val="0"/>
      <w:marBottom w:val="0"/>
      <w:divBdr>
        <w:top w:val="none" w:sz="0" w:space="0" w:color="auto"/>
        <w:left w:val="none" w:sz="0" w:space="0" w:color="auto"/>
        <w:bottom w:val="none" w:sz="0" w:space="0" w:color="auto"/>
        <w:right w:val="none" w:sz="0" w:space="0" w:color="auto"/>
      </w:divBdr>
    </w:div>
    <w:div w:id="935165680">
      <w:bodyDiv w:val="1"/>
      <w:marLeft w:val="0"/>
      <w:marRight w:val="0"/>
      <w:marTop w:val="0"/>
      <w:marBottom w:val="0"/>
      <w:divBdr>
        <w:top w:val="none" w:sz="0" w:space="0" w:color="auto"/>
        <w:left w:val="none" w:sz="0" w:space="0" w:color="auto"/>
        <w:bottom w:val="none" w:sz="0" w:space="0" w:color="auto"/>
        <w:right w:val="none" w:sz="0" w:space="0" w:color="auto"/>
      </w:divBdr>
    </w:div>
    <w:div w:id="935208063">
      <w:bodyDiv w:val="1"/>
      <w:marLeft w:val="0"/>
      <w:marRight w:val="0"/>
      <w:marTop w:val="0"/>
      <w:marBottom w:val="0"/>
      <w:divBdr>
        <w:top w:val="none" w:sz="0" w:space="0" w:color="auto"/>
        <w:left w:val="none" w:sz="0" w:space="0" w:color="auto"/>
        <w:bottom w:val="none" w:sz="0" w:space="0" w:color="auto"/>
        <w:right w:val="none" w:sz="0" w:space="0" w:color="auto"/>
      </w:divBdr>
    </w:div>
    <w:div w:id="935751840">
      <w:bodyDiv w:val="1"/>
      <w:marLeft w:val="0"/>
      <w:marRight w:val="0"/>
      <w:marTop w:val="0"/>
      <w:marBottom w:val="0"/>
      <w:divBdr>
        <w:top w:val="none" w:sz="0" w:space="0" w:color="auto"/>
        <w:left w:val="none" w:sz="0" w:space="0" w:color="auto"/>
        <w:bottom w:val="none" w:sz="0" w:space="0" w:color="auto"/>
        <w:right w:val="none" w:sz="0" w:space="0" w:color="auto"/>
      </w:divBdr>
    </w:div>
    <w:div w:id="935819545">
      <w:bodyDiv w:val="1"/>
      <w:marLeft w:val="0"/>
      <w:marRight w:val="0"/>
      <w:marTop w:val="0"/>
      <w:marBottom w:val="0"/>
      <w:divBdr>
        <w:top w:val="none" w:sz="0" w:space="0" w:color="auto"/>
        <w:left w:val="none" w:sz="0" w:space="0" w:color="auto"/>
        <w:bottom w:val="none" w:sz="0" w:space="0" w:color="auto"/>
        <w:right w:val="none" w:sz="0" w:space="0" w:color="auto"/>
      </w:divBdr>
    </w:div>
    <w:div w:id="935866137">
      <w:bodyDiv w:val="1"/>
      <w:marLeft w:val="0"/>
      <w:marRight w:val="0"/>
      <w:marTop w:val="0"/>
      <w:marBottom w:val="0"/>
      <w:divBdr>
        <w:top w:val="none" w:sz="0" w:space="0" w:color="auto"/>
        <w:left w:val="none" w:sz="0" w:space="0" w:color="auto"/>
        <w:bottom w:val="none" w:sz="0" w:space="0" w:color="auto"/>
        <w:right w:val="none" w:sz="0" w:space="0" w:color="auto"/>
      </w:divBdr>
    </w:div>
    <w:div w:id="935986286">
      <w:bodyDiv w:val="1"/>
      <w:marLeft w:val="0"/>
      <w:marRight w:val="0"/>
      <w:marTop w:val="0"/>
      <w:marBottom w:val="0"/>
      <w:divBdr>
        <w:top w:val="none" w:sz="0" w:space="0" w:color="auto"/>
        <w:left w:val="none" w:sz="0" w:space="0" w:color="auto"/>
        <w:bottom w:val="none" w:sz="0" w:space="0" w:color="auto"/>
        <w:right w:val="none" w:sz="0" w:space="0" w:color="auto"/>
      </w:divBdr>
    </w:div>
    <w:div w:id="936250035">
      <w:bodyDiv w:val="1"/>
      <w:marLeft w:val="0"/>
      <w:marRight w:val="0"/>
      <w:marTop w:val="0"/>
      <w:marBottom w:val="0"/>
      <w:divBdr>
        <w:top w:val="none" w:sz="0" w:space="0" w:color="auto"/>
        <w:left w:val="none" w:sz="0" w:space="0" w:color="auto"/>
        <w:bottom w:val="none" w:sz="0" w:space="0" w:color="auto"/>
        <w:right w:val="none" w:sz="0" w:space="0" w:color="auto"/>
      </w:divBdr>
    </w:div>
    <w:div w:id="936400708">
      <w:bodyDiv w:val="1"/>
      <w:marLeft w:val="0"/>
      <w:marRight w:val="0"/>
      <w:marTop w:val="0"/>
      <w:marBottom w:val="0"/>
      <w:divBdr>
        <w:top w:val="none" w:sz="0" w:space="0" w:color="auto"/>
        <w:left w:val="none" w:sz="0" w:space="0" w:color="auto"/>
        <w:bottom w:val="none" w:sz="0" w:space="0" w:color="auto"/>
        <w:right w:val="none" w:sz="0" w:space="0" w:color="auto"/>
      </w:divBdr>
    </w:div>
    <w:div w:id="936594054">
      <w:bodyDiv w:val="1"/>
      <w:marLeft w:val="0"/>
      <w:marRight w:val="0"/>
      <w:marTop w:val="0"/>
      <w:marBottom w:val="0"/>
      <w:divBdr>
        <w:top w:val="none" w:sz="0" w:space="0" w:color="auto"/>
        <w:left w:val="none" w:sz="0" w:space="0" w:color="auto"/>
        <w:bottom w:val="none" w:sz="0" w:space="0" w:color="auto"/>
        <w:right w:val="none" w:sz="0" w:space="0" w:color="auto"/>
      </w:divBdr>
    </w:div>
    <w:div w:id="936792561">
      <w:bodyDiv w:val="1"/>
      <w:marLeft w:val="0"/>
      <w:marRight w:val="0"/>
      <w:marTop w:val="0"/>
      <w:marBottom w:val="0"/>
      <w:divBdr>
        <w:top w:val="none" w:sz="0" w:space="0" w:color="auto"/>
        <w:left w:val="none" w:sz="0" w:space="0" w:color="auto"/>
        <w:bottom w:val="none" w:sz="0" w:space="0" w:color="auto"/>
        <w:right w:val="none" w:sz="0" w:space="0" w:color="auto"/>
      </w:divBdr>
    </w:div>
    <w:div w:id="937253765">
      <w:bodyDiv w:val="1"/>
      <w:marLeft w:val="0"/>
      <w:marRight w:val="0"/>
      <w:marTop w:val="0"/>
      <w:marBottom w:val="0"/>
      <w:divBdr>
        <w:top w:val="none" w:sz="0" w:space="0" w:color="auto"/>
        <w:left w:val="none" w:sz="0" w:space="0" w:color="auto"/>
        <w:bottom w:val="none" w:sz="0" w:space="0" w:color="auto"/>
        <w:right w:val="none" w:sz="0" w:space="0" w:color="auto"/>
      </w:divBdr>
    </w:div>
    <w:div w:id="937519023">
      <w:bodyDiv w:val="1"/>
      <w:marLeft w:val="0"/>
      <w:marRight w:val="0"/>
      <w:marTop w:val="0"/>
      <w:marBottom w:val="0"/>
      <w:divBdr>
        <w:top w:val="none" w:sz="0" w:space="0" w:color="auto"/>
        <w:left w:val="none" w:sz="0" w:space="0" w:color="auto"/>
        <w:bottom w:val="none" w:sz="0" w:space="0" w:color="auto"/>
        <w:right w:val="none" w:sz="0" w:space="0" w:color="auto"/>
      </w:divBdr>
    </w:div>
    <w:div w:id="937644342">
      <w:bodyDiv w:val="1"/>
      <w:marLeft w:val="0"/>
      <w:marRight w:val="0"/>
      <w:marTop w:val="0"/>
      <w:marBottom w:val="0"/>
      <w:divBdr>
        <w:top w:val="none" w:sz="0" w:space="0" w:color="auto"/>
        <w:left w:val="none" w:sz="0" w:space="0" w:color="auto"/>
        <w:bottom w:val="none" w:sz="0" w:space="0" w:color="auto"/>
        <w:right w:val="none" w:sz="0" w:space="0" w:color="auto"/>
      </w:divBdr>
    </w:div>
    <w:div w:id="938679000">
      <w:bodyDiv w:val="1"/>
      <w:marLeft w:val="0"/>
      <w:marRight w:val="0"/>
      <w:marTop w:val="0"/>
      <w:marBottom w:val="0"/>
      <w:divBdr>
        <w:top w:val="none" w:sz="0" w:space="0" w:color="auto"/>
        <w:left w:val="none" w:sz="0" w:space="0" w:color="auto"/>
        <w:bottom w:val="none" w:sz="0" w:space="0" w:color="auto"/>
        <w:right w:val="none" w:sz="0" w:space="0" w:color="auto"/>
      </w:divBdr>
    </w:div>
    <w:div w:id="938875728">
      <w:bodyDiv w:val="1"/>
      <w:marLeft w:val="0"/>
      <w:marRight w:val="0"/>
      <w:marTop w:val="0"/>
      <w:marBottom w:val="0"/>
      <w:divBdr>
        <w:top w:val="none" w:sz="0" w:space="0" w:color="auto"/>
        <w:left w:val="none" w:sz="0" w:space="0" w:color="auto"/>
        <w:bottom w:val="none" w:sz="0" w:space="0" w:color="auto"/>
        <w:right w:val="none" w:sz="0" w:space="0" w:color="auto"/>
      </w:divBdr>
    </w:div>
    <w:div w:id="940066888">
      <w:bodyDiv w:val="1"/>
      <w:marLeft w:val="0"/>
      <w:marRight w:val="0"/>
      <w:marTop w:val="0"/>
      <w:marBottom w:val="0"/>
      <w:divBdr>
        <w:top w:val="none" w:sz="0" w:space="0" w:color="auto"/>
        <w:left w:val="none" w:sz="0" w:space="0" w:color="auto"/>
        <w:bottom w:val="none" w:sz="0" w:space="0" w:color="auto"/>
        <w:right w:val="none" w:sz="0" w:space="0" w:color="auto"/>
      </w:divBdr>
    </w:div>
    <w:div w:id="940377670">
      <w:bodyDiv w:val="1"/>
      <w:marLeft w:val="0"/>
      <w:marRight w:val="0"/>
      <w:marTop w:val="0"/>
      <w:marBottom w:val="0"/>
      <w:divBdr>
        <w:top w:val="none" w:sz="0" w:space="0" w:color="auto"/>
        <w:left w:val="none" w:sz="0" w:space="0" w:color="auto"/>
        <w:bottom w:val="none" w:sz="0" w:space="0" w:color="auto"/>
        <w:right w:val="none" w:sz="0" w:space="0" w:color="auto"/>
      </w:divBdr>
    </w:div>
    <w:div w:id="940574493">
      <w:bodyDiv w:val="1"/>
      <w:marLeft w:val="0"/>
      <w:marRight w:val="0"/>
      <w:marTop w:val="0"/>
      <w:marBottom w:val="0"/>
      <w:divBdr>
        <w:top w:val="none" w:sz="0" w:space="0" w:color="auto"/>
        <w:left w:val="none" w:sz="0" w:space="0" w:color="auto"/>
        <w:bottom w:val="none" w:sz="0" w:space="0" w:color="auto"/>
        <w:right w:val="none" w:sz="0" w:space="0" w:color="auto"/>
      </w:divBdr>
    </w:div>
    <w:div w:id="940603840">
      <w:bodyDiv w:val="1"/>
      <w:marLeft w:val="0"/>
      <w:marRight w:val="0"/>
      <w:marTop w:val="0"/>
      <w:marBottom w:val="0"/>
      <w:divBdr>
        <w:top w:val="none" w:sz="0" w:space="0" w:color="auto"/>
        <w:left w:val="none" w:sz="0" w:space="0" w:color="auto"/>
        <w:bottom w:val="none" w:sz="0" w:space="0" w:color="auto"/>
        <w:right w:val="none" w:sz="0" w:space="0" w:color="auto"/>
      </w:divBdr>
    </w:div>
    <w:div w:id="940842553">
      <w:bodyDiv w:val="1"/>
      <w:marLeft w:val="0"/>
      <w:marRight w:val="0"/>
      <w:marTop w:val="0"/>
      <w:marBottom w:val="0"/>
      <w:divBdr>
        <w:top w:val="none" w:sz="0" w:space="0" w:color="auto"/>
        <w:left w:val="none" w:sz="0" w:space="0" w:color="auto"/>
        <w:bottom w:val="none" w:sz="0" w:space="0" w:color="auto"/>
        <w:right w:val="none" w:sz="0" w:space="0" w:color="auto"/>
      </w:divBdr>
    </w:div>
    <w:div w:id="940844197">
      <w:bodyDiv w:val="1"/>
      <w:marLeft w:val="0"/>
      <w:marRight w:val="0"/>
      <w:marTop w:val="0"/>
      <w:marBottom w:val="0"/>
      <w:divBdr>
        <w:top w:val="none" w:sz="0" w:space="0" w:color="auto"/>
        <w:left w:val="none" w:sz="0" w:space="0" w:color="auto"/>
        <w:bottom w:val="none" w:sz="0" w:space="0" w:color="auto"/>
        <w:right w:val="none" w:sz="0" w:space="0" w:color="auto"/>
      </w:divBdr>
    </w:div>
    <w:div w:id="941106651">
      <w:bodyDiv w:val="1"/>
      <w:marLeft w:val="0"/>
      <w:marRight w:val="0"/>
      <w:marTop w:val="0"/>
      <w:marBottom w:val="0"/>
      <w:divBdr>
        <w:top w:val="none" w:sz="0" w:space="0" w:color="auto"/>
        <w:left w:val="none" w:sz="0" w:space="0" w:color="auto"/>
        <w:bottom w:val="none" w:sz="0" w:space="0" w:color="auto"/>
        <w:right w:val="none" w:sz="0" w:space="0" w:color="auto"/>
      </w:divBdr>
    </w:div>
    <w:div w:id="941647118">
      <w:bodyDiv w:val="1"/>
      <w:marLeft w:val="0"/>
      <w:marRight w:val="0"/>
      <w:marTop w:val="0"/>
      <w:marBottom w:val="0"/>
      <w:divBdr>
        <w:top w:val="none" w:sz="0" w:space="0" w:color="auto"/>
        <w:left w:val="none" w:sz="0" w:space="0" w:color="auto"/>
        <w:bottom w:val="none" w:sz="0" w:space="0" w:color="auto"/>
        <w:right w:val="none" w:sz="0" w:space="0" w:color="auto"/>
      </w:divBdr>
    </w:div>
    <w:div w:id="941691610">
      <w:bodyDiv w:val="1"/>
      <w:marLeft w:val="0"/>
      <w:marRight w:val="0"/>
      <w:marTop w:val="0"/>
      <w:marBottom w:val="0"/>
      <w:divBdr>
        <w:top w:val="none" w:sz="0" w:space="0" w:color="auto"/>
        <w:left w:val="none" w:sz="0" w:space="0" w:color="auto"/>
        <w:bottom w:val="none" w:sz="0" w:space="0" w:color="auto"/>
        <w:right w:val="none" w:sz="0" w:space="0" w:color="auto"/>
      </w:divBdr>
    </w:div>
    <w:div w:id="942687687">
      <w:bodyDiv w:val="1"/>
      <w:marLeft w:val="0"/>
      <w:marRight w:val="0"/>
      <w:marTop w:val="0"/>
      <w:marBottom w:val="0"/>
      <w:divBdr>
        <w:top w:val="none" w:sz="0" w:space="0" w:color="auto"/>
        <w:left w:val="none" w:sz="0" w:space="0" w:color="auto"/>
        <w:bottom w:val="none" w:sz="0" w:space="0" w:color="auto"/>
        <w:right w:val="none" w:sz="0" w:space="0" w:color="auto"/>
      </w:divBdr>
    </w:div>
    <w:div w:id="942958027">
      <w:bodyDiv w:val="1"/>
      <w:marLeft w:val="0"/>
      <w:marRight w:val="0"/>
      <w:marTop w:val="0"/>
      <w:marBottom w:val="0"/>
      <w:divBdr>
        <w:top w:val="none" w:sz="0" w:space="0" w:color="auto"/>
        <w:left w:val="none" w:sz="0" w:space="0" w:color="auto"/>
        <w:bottom w:val="none" w:sz="0" w:space="0" w:color="auto"/>
        <w:right w:val="none" w:sz="0" w:space="0" w:color="auto"/>
      </w:divBdr>
    </w:div>
    <w:div w:id="943224309">
      <w:bodyDiv w:val="1"/>
      <w:marLeft w:val="0"/>
      <w:marRight w:val="0"/>
      <w:marTop w:val="0"/>
      <w:marBottom w:val="0"/>
      <w:divBdr>
        <w:top w:val="none" w:sz="0" w:space="0" w:color="auto"/>
        <w:left w:val="none" w:sz="0" w:space="0" w:color="auto"/>
        <w:bottom w:val="none" w:sz="0" w:space="0" w:color="auto"/>
        <w:right w:val="none" w:sz="0" w:space="0" w:color="auto"/>
      </w:divBdr>
    </w:div>
    <w:div w:id="944071683">
      <w:bodyDiv w:val="1"/>
      <w:marLeft w:val="0"/>
      <w:marRight w:val="0"/>
      <w:marTop w:val="0"/>
      <w:marBottom w:val="0"/>
      <w:divBdr>
        <w:top w:val="none" w:sz="0" w:space="0" w:color="auto"/>
        <w:left w:val="none" w:sz="0" w:space="0" w:color="auto"/>
        <w:bottom w:val="none" w:sz="0" w:space="0" w:color="auto"/>
        <w:right w:val="none" w:sz="0" w:space="0" w:color="auto"/>
      </w:divBdr>
    </w:div>
    <w:div w:id="944113394">
      <w:bodyDiv w:val="1"/>
      <w:marLeft w:val="0"/>
      <w:marRight w:val="0"/>
      <w:marTop w:val="0"/>
      <w:marBottom w:val="0"/>
      <w:divBdr>
        <w:top w:val="none" w:sz="0" w:space="0" w:color="auto"/>
        <w:left w:val="none" w:sz="0" w:space="0" w:color="auto"/>
        <w:bottom w:val="none" w:sz="0" w:space="0" w:color="auto"/>
        <w:right w:val="none" w:sz="0" w:space="0" w:color="auto"/>
      </w:divBdr>
    </w:div>
    <w:div w:id="944187739">
      <w:bodyDiv w:val="1"/>
      <w:marLeft w:val="0"/>
      <w:marRight w:val="0"/>
      <w:marTop w:val="0"/>
      <w:marBottom w:val="0"/>
      <w:divBdr>
        <w:top w:val="none" w:sz="0" w:space="0" w:color="auto"/>
        <w:left w:val="none" w:sz="0" w:space="0" w:color="auto"/>
        <w:bottom w:val="none" w:sz="0" w:space="0" w:color="auto"/>
        <w:right w:val="none" w:sz="0" w:space="0" w:color="auto"/>
      </w:divBdr>
    </w:div>
    <w:div w:id="944266663">
      <w:bodyDiv w:val="1"/>
      <w:marLeft w:val="0"/>
      <w:marRight w:val="0"/>
      <w:marTop w:val="0"/>
      <w:marBottom w:val="0"/>
      <w:divBdr>
        <w:top w:val="none" w:sz="0" w:space="0" w:color="auto"/>
        <w:left w:val="none" w:sz="0" w:space="0" w:color="auto"/>
        <w:bottom w:val="none" w:sz="0" w:space="0" w:color="auto"/>
        <w:right w:val="none" w:sz="0" w:space="0" w:color="auto"/>
      </w:divBdr>
    </w:div>
    <w:div w:id="944651784">
      <w:bodyDiv w:val="1"/>
      <w:marLeft w:val="0"/>
      <w:marRight w:val="0"/>
      <w:marTop w:val="0"/>
      <w:marBottom w:val="0"/>
      <w:divBdr>
        <w:top w:val="none" w:sz="0" w:space="0" w:color="auto"/>
        <w:left w:val="none" w:sz="0" w:space="0" w:color="auto"/>
        <w:bottom w:val="none" w:sz="0" w:space="0" w:color="auto"/>
        <w:right w:val="none" w:sz="0" w:space="0" w:color="auto"/>
      </w:divBdr>
    </w:div>
    <w:div w:id="945044365">
      <w:bodyDiv w:val="1"/>
      <w:marLeft w:val="0"/>
      <w:marRight w:val="0"/>
      <w:marTop w:val="0"/>
      <w:marBottom w:val="0"/>
      <w:divBdr>
        <w:top w:val="none" w:sz="0" w:space="0" w:color="auto"/>
        <w:left w:val="none" w:sz="0" w:space="0" w:color="auto"/>
        <w:bottom w:val="none" w:sz="0" w:space="0" w:color="auto"/>
        <w:right w:val="none" w:sz="0" w:space="0" w:color="auto"/>
      </w:divBdr>
    </w:div>
    <w:div w:id="945507648">
      <w:bodyDiv w:val="1"/>
      <w:marLeft w:val="0"/>
      <w:marRight w:val="0"/>
      <w:marTop w:val="0"/>
      <w:marBottom w:val="0"/>
      <w:divBdr>
        <w:top w:val="none" w:sz="0" w:space="0" w:color="auto"/>
        <w:left w:val="none" w:sz="0" w:space="0" w:color="auto"/>
        <w:bottom w:val="none" w:sz="0" w:space="0" w:color="auto"/>
        <w:right w:val="none" w:sz="0" w:space="0" w:color="auto"/>
      </w:divBdr>
    </w:div>
    <w:div w:id="946542144">
      <w:bodyDiv w:val="1"/>
      <w:marLeft w:val="0"/>
      <w:marRight w:val="0"/>
      <w:marTop w:val="0"/>
      <w:marBottom w:val="0"/>
      <w:divBdr>
        <w:top w:val="none" w:sz="0" w:space="0" w:color="auto"/>
        <w:left w:val="none" w:sz="0" w:space="0" w:color="auto"/>
        <w:bottom w:val="none" w:sz="0" w:space="0" w:color="auto"/>
        <w:right w:val="none" w:sz="0" w:space="0" w:color="auto"/>
      </w:divBdr>
    </w:div>
    <w:div w:id="946622759">
      <w:bodyDiv w:val="1"/>
      <w:marLeft w:val="0"/>
      <w:marRight w:val="0"/>
      <w:marTop w:val="0"/>
      <w:marBottom w:val="0"/>
      <w:divBdr>
        <w:top w:val="none" w:sz="0" w:space="0" w:color="auto"/>
        <w:left w:val="none" w:sz="0" w:space="0" w:color="auto"/>
        <w:bottom w:val="none" w:sz="0" w:space="0" w:color="auto"/>
        <w:right w:val="none" w:sz="0" w:space="0" w:color="auto"/>
      </w:divBdr>
    </w:div>
    <w:div w:id="946810093">
      <w:bodyDiv w:val="1"/>
      <w:marLeft w:val="0"/>
      <w:marRight w:val="0"/>
      <w:marTop w:val="0"/>
      <w:marBottom w:val="0"/>
      <w:divBdr>
        <w:top w:val="none" w:sz="0" w:space="0" w:color="auto"/>
        <w:left w:val="none" w:sz="0" w:space="0" w:color="auto"/>
        <w:bottom w:val="none" w:sz="0" w:space="0" w:color="auto"/>
        <w:right w:val="none" w:sz="0" w:space="0" w:color="auto"/>
      </w:divBdr>
    </w:div>
    <w:div w:id="947126623">
      <w:bodyDiv w:val="1"/>
      <w:marLeft w:val="0"/>
      <w:marRight w:val="0"/>
      <w:marTop w:val="0"/>
      <w:marBottom w:val="0"/>
      <w:divBdr>
        <w:top w:val="none" w:sz="0" w:space="0" w:color="auto"/>
        <w:left w:val="none" w:sz="0" w:space="0" w:color="auto"/>
        <w:bottom w:val="none" w:sz="0" w:space="0" w:color="auto"/>
        <w:right w:val="none" w:sz="0" w:space="0" w:color="auto"/>
      </w:divBdr>
    </w:div>
    <w:div w:id="947127663">
      <w:bodyDiv w:val="1"/>
      <w:marLeft w:val="0"/>
      <w:marRight w:val="0"/>
      <w:marTop w:val="0"/>
      <w:marBottom w:val="0"/>
      <w:divBdr>
        <w:top w:val="none" w:sz="0" w:space="0" w:color="auto"/>
        <w:left w:val="none" w:sz="0" w:space="0" w:color="auto"/>
        <w:bottom w:val="none" w:sz="0" w:space="0" w:color="auto"/>
        <w:right w:val="none" w:sz="0" w:space="0" w:color="auto"/>
      </w:divBdr>
    </w:div>
    <w:div w:id="947203168">
      <w:bodyDiv w:val="1"/>
      <w:marLeft w:val="0"/>
      <w:marRight w:val="0"/>
      <w:marTop w:val="0"/>
      <w:marBottom w:val="0"/>
      <w:divBdr>
        <w:top w:val="none" w:sz="0" w:space="0" w:color="auto"/>
        <w:left w:val="none" w:sz="0" w:space="0" w:color="auto"/>
        <w:bottom w:val="none" w:sz="0" w:space="0" w:color="auto"/>
        <w:right w:val="none" w:sz="0" w:space="0" w:color="auto"/>
      </w:divBdr>
    </w:div>
    <w:div w:id="947271308">
      <w:bodyDiv w:val="1"/>
      <w:marLeft w:val="0"/>
      <w:marRight w:val="0"/>
      <w:marTop w:val="0"/>
      <w:marBottom w:val="0"/>
      <w:divBdr>
        <w:top w:val="none" w:sz="0" w:space="0" w:color="auto"/>
        <w:left w:val="none" w:sz="0" w:space="0" w:color="auto"/>
        <w:bottom w:val="none" w:sz="0" w:space="0" w:color="auto"/>
        <w:right w:val="none" w:sz="0" w:space="0" w:color="auto"/>
      </w:divBdr>
    </w:div>
    <w:div w:id="947589739">
      <w:bodyDiv w:val="1"/>
      <w:marLeft w:val="0"/>
      <w:marRight w:val="0"/>
      <w:marTop w:val="0"/>
      <w:marBottom w:val="0"/>
      <w:divBdr>
        <w:top w:val="none" w:sz="0" w:space="0" w:color="auto"/>
        <w:left w:val="none" w:sz="0" w:space="0" w:color="auto"/>
        <w:bottom w:val="none" w:sz="0" w:space="0" w:color="auto"/>
        <w:right w:val="none" w:sz="0" w:space="0" w:color="auto"/>
      </w:divBdr>
    </w:div>
    <w:div w:id="947856651">
      <w:bodyDiv w:val="1"/>
      <w:marLeft w:val="0"/>
      <w:marRight w:val="0"/>
      <w:marTop w:val="0"/>
      <w:marBottom w:val="0"/>
      <w:divBdr>
        <w:top w:val="none" w:sz="0" w:space="0" w:color="auto"/>
        <w:left w:val="none" w:sz="0" w:space="0" w:color="auto"/>
        <w:bottom w:val="none" w:sz="0" w:space="0" w:color="auto"/>
        <w:right w:val="none" w:sz="0" w:space="0" w:color="auto"/>
      </w:divBdr>
    </w:div>
    <w:div w:id="948270452">
      <w:bodyDiv w:val="1"/>
      <w:marLeft w:val="0"/>
      <w:marRight w:val="0"/>
      <w:marTop w:val="0"/>
      <w:marBottom w:val="0"/>
      <w:divBdr>
        <w:top w:val="none" w:sz="0" w:space="0" w:color="auto"/>
        <w:left w:val="none" w:sz="0" w:space="0" w:color="auto"/>
        <w:bottom w:val="none" w:sz="0" w:space="0" w:color="auto"/>
        <w:right w:val="none" w:sz="0" w:space="0" w:color="auto"/>
      </w:divBdr>
    </w:div>
    <w:div w:id="948656769">
      <w:bodyDiv w:val="1"/>
      <w:marLeft w:val="0"/>
      <w:marRight w:val="0"/>
      <w:marTop w:val="0"/>
      <w:marBottom w:val="0"/>
      <w:divBdr>
        <w:top w:val="none" w:sz="0" w:space="0" w:color="auto"/>
        <w:left w:val="none" w:sz="0" w:space="0" w:color="auto"/>
        <w:bottom w:val="none" w:sz="0" w:space="0" w:color="auto"/>
        <w:right w:val="none" w:sz="0" w:space="0" w:color="auto"/>
      </w:divBdr>
    </w:div>
    <w:div w:id="948705168">
      <w:bodyDiv w:val="1"/>
      <w:marLeft w:val="0"/>
      <w:marRight w:val="0"/>
      <w:marTop w:val="0"/>
      <w:marBottom w:val="0"/>
      <w:divBdr>
        <w:top w:val="none" w:sz="0" w:space="0" w:color="auto"/>
        <w:left w:val="none" w:sz="0" w:space="0" w:color="auto"/>
        <w:bottom w:val="none" w:sz="0" w:space="0" w:color="auto"/>
        <w:right w:val="none" w:sz="0" w:space="0" w:color="auto"/>
      </w:divBdr>
    </w:div>
    <w:div w:id="948779248">
      <w:bodyDiv w:val="1"/>
      <w:marLeft w:val="0"/>
      <w:marRight w:val="0"/>
      <w:marTop w:val="0"/>
      <w:marBottom w:val="0"/>
      <w:divBdr>
        <w:top w:val="none" w:sz="0" w:space="0" w:color="auto"/>
        <w:left w:val="none" w:sz="0" w:space="0" w:color="auto"/>
        <w:bottom w:val="none" w:sz="0" w:space="0" w:color="auto"/>
        <w:right w:val="none" w:sz="0" w:space="0" w:color="auto"/>
      </w:divBdr>
    </w:div>
    <w:div w:id="949510590">
      <w:bodyDiv w:val="1"/>
      <w:marLeft w:val="0"/>
      <w:marRight w:val="0"/>
      <w:marTop w:val="0"/>
      <w:marBottom w:val="0"/>
      <w:divBdr>
        <w:top w:val="none" w:sz="0" w:space="0" w:color="auto"/>
        <w:left w:val="none" w:sz="0" w:space="0" w:color="auto"/>
        <w:bottom w:val="none" w:sz="0" w:space="0" w:color="auto"/>
        <w:right w:val="none" w:sz="0" w:space="0" w:color="auto"/>
      </w:divBdr>
    </w:div>
    <w:div w:id="949513737">
      <w:bodyDiv w:val="1"/>
      <w:marLeft w:val="0"/>
      <w:marRight w:val="0"/>
      <w:marTop w:val="0"/>
      <w:marBottom w:val="0"/>
      <w:divBdr>
        <w:top w:val="none" w:sz="0" w:space="0" w:color="auto"/>
        <w:left w:val="none" w:sz="0" w:space="0" w:color="auto"/>
        <w:bottom w:val="none" w:sz="0" w:space="0" w:color="auto"/>
        <w:right w:val="none" w:sz="0" w:space="0" w:color="auto"/>
      </w:divBdr>
    </w:div>
    <w:div w:id="949701445">
      <w:bodyDiv w:val="1"/>
      <w:marLeft w:val="0"/>
      <w:marRight w:val="0"/>
      <w:marTop w:val="0"/>
      <w:marBottom w:val="0"/>
      <w:divBdr>
        <w:top w:val="none" w:sz="0" w:space="0" w:color="auto"/>
        <w:left w:val="none" w:sz="0" w:space="0" w:color="auto"/>
        <w:bottom w:val="none" w:sz="0" w:space="0" w:color="auto"/>
        <w:right w:val="none" w:sz="0" w:space="0" w:color="auto"/>
      </w:divBdr>
    </w:div>
    <w:div w:id="949748484">
      <w:bodyDiv w:val="1"/>
      <w:marLeft w:val="0"/>
      <w:marRight w:val="0"/>
      <w:marTop w:val="0"/>
      <w:marBottom w:val="0"/>
      <w:divBdr>
        <w:top w:val="none" w:sz="0" w:space="0" w:color="auto"/>
        <w:left w:val="none" w:sz="0" w:space="0" w:color="auto"/>
        <w:bottom w:val="none" w:sz="0" w:space="0" w:color="auto"/>
        <w:right w:val="none" w:sz="0" w:space="0" w:color="auto"/>
      </w:divBdr>
    </w:div>
    <w:div w:id="950471520">
      <w:bodyDiv w:val="1"/>
      <w:marLeft w:val="0"/>
      <w:marRight w:val="0"/>
      <w:marTop w:val="0"/>
      <w:marBottom w:val="0"/>
      <w:divBdr>
        <w:top w:val="none" w:sz="0" w:space="0" w:color="auto"/>
        <w:left w:val="none" w:sz="0" w:space="0" w:color="auto"/>
        <w:bottom w:val="none" w:sz="0" w:space="0" w:color="auto"/>
        <w:right w:val="none" w:sz="0" w:space="0" w:color="auto"/>
      </w:divBdr>
    </w:div>
    <w:div w:id="950476101">
      <w:bodyDiv w:val="1"/>
      <w:marLeft w:val="0"/>
      <w:marRight w:val="0"/>
      <w:marTop w:val="0"/>
      <w:marBottom w:val="0"/>
      <w:divBdr>
        <w:top w:val="none" w:sz="0" w:space="0" w:color="auto"/>
        <w:left w:val="none" w:sz="0" w:space="0" w:color="auto"/>
        <w:bottom w:val="none" w:sz="0" w:space="0" w:color="auto"/>
        <w:right w:val="none" w:sz="0" w:space="0" w:color="auto"/>
      </w:divBdr>
    </w:div>
    <w:div w:id="951012810">
      <w:bodyDiv w:val="1"/>
      <w:marLeft w:val="0"/>
      <w:marRight w:val="0"/>
      <w:marTop w:val="0"/>
      <w:marBottom w:val="0"/>
      <w:divBdr>
        <w:top w:val="none" w:sz="0" w:space="0" w:color="auto"/>
        <w:left w:val="none" w:sz="0" w:space="0" w:color="auto"/>
        <w:bottom w:val="none" w:sz="0" w:space="0" w:color="auto"/>
        <w:right w:val="none" w:sz="0" w:space="0" w:color="auto"/>
      </w:divBdr>
    </w:div>
    <w:div w:id="951127584">
      <w:bodyDiv w:val="1"/>
      <w:marLeft w:val="0"/>
      <w:marRight w:val="0"/>
      <w:marTop w:val="0"/>
      <w:marBottom w:val="0"/>
      <w:divBdr>
        <w:top w:val="none" w:sz="0" w:space="0" w:color="auto"/>
        <w:left w:val="none" w:sz="0" w:space="0" w:color="auto"/>
        <w:bottom w:val="none" w:sz="0" w:space="0" w:color="auto"/>
        <w:right w:val="none" w:sz="0" w:space="0" w:color="auto"/>
      </w:divBdr>
    </w:div>
    <w:div w:id="951130510">
      <w:bodyDiv w:val="1"/>
      <w:marLeft w:val="0"/>
      <w:marRight w:val="0"/>
      <w:marTop w:val="0"/>
      <w:marBottom w:val="0"/>
      <w:divBdr>
        <w:top w:val="none" w:sz="0" w:space="0" w:color="auto"/>
        <w:left w:val="none" w:sz="0" w:space="0" w:color="auto"/>
        <w:bottom w:val="none" w:sz="0" w:space="0" w:color="auto"/>
        <w:right w:val="none" w:sz="0" w:space="0" w:color="auto"/>
      </w:divBdr>
    </w:div>
    <w:div w:id="951207126">
      <w:bodyDiv w:val="1"/>
      <w:marLeft w:val="0"/>
      <w:marRight w:val="0"/>
      <w:marTop w:val="0"/>
      <w:marBottom w:val="0"/>
      <w:divBdr>
        <w:top w:val="none" w:sz="0" w:space="0" w:color="auto"/>
        <w:left w:val="none" w:sz="0" w:space="0" w:color="auto"/>
        <w:bottom w:val="none" w:sz="0" w:space="0" w:color="auto"/>
        <w:right w:val="none" w:sz="0" w:space="0" w:color="auto"/>
      </w:divBdr>
    </w:div>
    <w:div w:id="951283580">
      <w:bodyDiv w:val="1"/>
      <w:marLeft w:val="0"/>
      <w:marRight w:val="0"/>
      <w:marTop w:val="0"/>
      <w:marBottom w:val="0"/>
      <w:divBdr>
        <w:top w:val="none" w:sz="0" w:space="0" w:color="auto"/>
        <w:left w:val="none" w:sz="0" w:space="0" w:color="auto"/>
        <w:bottom w:val="none" w:sz="0" w:space="0" w:color="auto"/>
        <w:right w:val="none" w:sz="0" w:space="0" w:color="auto"/>
      </w:divBdr>
    </w:div>
    <w:div w:id="951327644">
      <w:bodyDiv w:val="1"/>
      <w:marLeft w:val="0"/>
      <w:marRight w:val="0"/>
      <w:marTop w:val="0"/>
      <w:marBottom w:val="0"/>
      <w:divBdr>
        <w:top w:val="none" w:sz="0" w:space="0" w:color="auto"/>
        <w:left w:val="none" w:sz="0" w:space="0" w:color="auto"/>
        <w:bottom w:val="none" w:sz="0" w:space="0" w:color="auto"/>
        <w:right w:val="none" w:sz="0" w:space="0" w:color="auto"/>
      </w:divBdr>
    </w:div>
    <w:div w:id="952438469">
      <w:bodyDiv w:val="1"/>
      <w:marLeft w:val="0"/>
      <w:marRight w:val="0"/>
      <w:marTop w:val="0"/>
      <w:marBottom w:val="0"/>
      <w:divBdr>
        <w:top w:val="none" w:sz="0" w:space="0" w:color="auto"/>
        <w:left w:val="none" w:sz="0" w:space="0" w:color="auto"/>
        <w:bottom w:val="none" w:sz="0" w:space="0" w:color="auto"/>
        <w:right w:val="none" w:sz="0" w:space="0" w:color="auto"/>
      </w:divBdr>
    </w:div>
    <w:div w:id="952859604">
      <w:bodyDiv w:val="1"/>
      <w:marLeft w:val="0"/>
      <w:marRight w:val="0"/>
      <w:marTop w:val="0"/>
      <w:marBottom w:val="0"/>
      <w:divBdr>
        <w:top w:val="none" w:sz="0" w:space="0" w:color="auto"/>
        <w:left w:val="none" w:sz="0" w:space="0" w:color="auto"/>
        <w:bottom w:val="none" w:sz="0" w:space="0" w:color="auto"/>
        <w:right w:val="none" w:sz="0" w:space="0" w:color="auto"/>
      </w:divBdr>
    </w:div>
    <w:div w:id="952900504">
      <w:bodyDiv w:val="1"/>
      <w:marLeft w:val="0"/>
      <w:marRight w:val="0"/>
      <w:marTop w:val="0"/>
      <w:marBottom w:val="0"/>
      <w:divBdr>
        <w:top w:val="none" w:sz="0" w:space="0" w:color="auto"/>
        <w:left w:val="none" w:sz="0" w:space="0" w:color="auto"/>
        <w:bottom w:val="none" w:sz="0" w:space="0" w:color="auto"/>
        <w:right w:val="none" w:sz="0" w:space="0" w:color="auto"/>
      </w:divBdr>
    </w:div>
    <w:div w:id="952974574">
      <w:bodyDiv w:val="1"/>
      <w:marLeft w:val="0"/>
      <w:marRight w:val="0"/>
      <w:marTop w:val="0"/>
      <w:marBottom w:val="0"/>
      <w:divBdr>
        <w:top w:val="none" w:sz="0" w:space="0" w:color="auto"/>
        <w:left w:val="none" w:sz="0" w:space="0" w:color="auto"/>
        <w:bottom w:val="none" w:sz="0" w:space="0" w:color="auto"/>
        <w:right w:val="none" w:sz="0" w:space="0" w:color="auto"/>
      </w:divBdr>
    </w:div>
    <w:div w:id="953177074">
      <w:bodyDiv w:val="1"/>
      <w:marLeft w:val="0"/>
      <w:marRight w:val="0"/>
      <w:marTop w:val="0"/>
      <w:marBottom w:val="0"/>
      <w:divBdr>
        <w:top w:val="none" w:sz="0" w:space="0" w:color="auto"/>
        <w:left w:val="none" w:sz="0" w:space="0" w:color="auto"/>
        <w:bottom w:val="none" w:sz="0" w:space="0" w:color="auto"/>
        <w:right w:val="none" w:sz="0" w:space="0" w:color="auto"/>
      </w:divBdr>
    </w:div>
    <w:div w:id="953287857">
      <w:bodyDiv w:val="1"/>
      <w:marLeft w:val="0"/>
      <w:marRight w:val="0"/>
      <w:marTop w:val="0"/>
      <w:marBottom w:val="0"/>
      <w:divBdr>
        <w:top w:val="none" w:sz="0" w:space="0" w:color="auto"/>
        <w:left w:val="none" w:sz="0" w:space="0" w:color="auto"/>
        <w:bottom w:val="none" w:sz="0" w:space="0" w:color="auto"/>
        <w:right w:val="none" w:sz="0" w:space="0" w:color="auto"/>
      </w:divBdr>
    </w:div>
    <w:div w:id="953557465">
      <w:bodyDiv w:val="1"/>
      <w:marLeft w:val="0"/>
      <w:marRight w:val="0"/>
      <w:marTop w:val="0"/>
      <w:marBottom w:val="0"/>
      <w:divBdr>
        <w:top w:val="none" w:sz="0" w:space="0" w:color="auto"/>
        <w:left w:val="none" w:sz="0" w:space="0" w:color="auto"/>
        <w:bottom w:val="none" w:sz="0" w:space="0" w:color="auto"/>
        <w:right w:val="none" w:sz="0" w:space="0" w:color="auto"/>
      </w:divBdr>
    </w:div>
    <w:div w:id="953638912">
      <w:bodyDiv w:val="1"/>
      <w:marLeft w:val="0"/>
      <w:marRight w:val="0"/>
      <w:marTop w:val="0"/>
      <w:marBottom w:val="0"/>
      <w:divBdr>
        <w:top w:val="none" w:sz="0" w:space="0" w:color="auto"/>
        <w:left w:val="none" w:sz="0" w:space="0" w:color="auto"/>
        <w:bottom w:val="none" w:sz="0" w:space="0" w:color="auto"/>
        <w:right w:val="none" w:sz="0" w:space="0" w:color="auto"/>
      </w:divBdr>
    </w:div>
    <w:div w:id="954215651">
      <w:bodyDiv w:val="1"/>
      <w:marLeft w:val="0"/>
      <w:marRight w:val="0"/>
      <w:marTop w:val="0"/>
      <w:marBottom w:val="0"/>
      <w:divBdr>
        <w:top w:val="none" w:sz="0" w:space="0" w:color="auto"/>
        <w:left w:val="none" w:sz="0" w:space="0" w:color="auto"/>
        <w:bottom w:val="none" w:sz="0" w:space="0" w:color="auto"/>
        <w:right w:val="none" w:sz="0" w:space="0" w:color="auto"/>
      </w:divBdr>
    </w:div>
    <w:div w:id="954362394">
      <w:bodyDiv w:val="1"/>
      <w:marLeft w:val="0"/>
      <w:marRight w:val="0"/>
      <w:marTop w:val="0"/>
      <w:marBottom w:val="0"/>
      <w:divBdr>
        <w:top w:val="none" w:sz="0" w:space="0" w:color="auto"/>
        <w:left w:val="none" w:sz="0" w:space="0" w:color="auto"/>
        <w:bottom w:val="none" w:sz="0" w:space="0" w:color="auto"/>
        <w:right w:val="none" w:sz="0" w:space="0" w:color="auto"/>
      </w:divBdr>
    </w:div>
    <w:div w:id="954751634">
      <w:bodyDiv w:val="1"/>
      <w:marLeft w:val="0"/>
      <w:marRight w:val="0"/>
      <w:marTop w:val="0"/>
      <w:marBottom w:val="0"/>
      <w:divBdr>
        <w:top w:val="none" w:sz="0" w:space="0" w:color="auto"/>
        <w:left w:val="none" w:sz="0" w:space="0" w:color="auto"/>
        <w:bottom w:val="none" w:sz="0" w:space="0" w:color="auto"/>
        <w:right w:val="none" w:sz="0" w:space="0" w:color="auto"/>
      </w:divBdr>
    </w:div>
    <w:div w:id="954753283">
      <w:bodyDiv w:val="1"/>
      <w:marLeft w:val="0"/>
      <w:marRight w:val="0"/>
      <w:marTop w:val="0"/>
      <w:marBottom w:val="0"/>
      <w:divBdr>
        <w:top w:val="none" w:sz="0" w:space="0" w:color="auto"/>
        <w:left w:val="none" w:sz="0" w:space="0" w:color="auto"/>
        <w:bottom w:val="none" w:sz="0" w:space="0" w:color="auto"/>
        <w:right w:val="none" w:sz="0" w:space="0" w:color="auto"/>
      </w:divBdr>
    </w:div>
    <w:div w:id="955479497">
      <w:bodyDiv w:val="1"/>
      <w:marLeft w:val="0"/>
      <w:marRight w:val="0"/>
      <w:marTop w:val="0"/>
      <w:marBottom w:val="0"/>
      <w:divBdr>
        <w:top w:val="none" w:sz="0" w:space="0" w:color="auto"/>
        <w:left w:val="none" w:sz="0" w:space="0" w:color="auto"/>
        <w:bottom w:val="none" w:sz="0" w:space="0" w:color="auto"/>
        <w:right w:val="none" w:sz="0" w:space="0" w:color="auto"/>
      </w:divBdr>
    </w:div>
    <w:div w:id="955602767">
      <w:bodyDiv w:val="1"/>
      <w:marLeft w:val="0"/>
      <w:marRight w:val="0"/>
      <w:marTop w:val="0"/>
      <w:marBottom w:val="0"/>
      <w:divBdr>
        <w:top w:val="none" w:sz="0" w:space="0" w:color="auto"/>
        <w:left w:val="none" w:sz="0" w:space="0" w:color="auto"/>
        <w:bottom w:val="none" w:sz="0" w:space="0" w:color="auto"/>
        <w:right w:val="none" w:sz="0" w:space="0" w:color="auto"/>
      </w:divBdr>
    </w:div>
    <w:div w:id="955602796">
      <w:bodyDiv w:val="1"/>
      <w:marLeft w:val="0"/>
      <w:marRight w:val="0"/>
      <w:marTop w:val="0"/>
      <w:marBottom w:val="0"/>
      <w:divBdr>
        <w:top w:val="none" w:sz="0" w:space="0" w:color="auto"/>
        <w:left w:val="none" w:sz="0" w:space="0" w:color="auto"/>
        <w:bottom w:val="none" w:sz="0" w:space="0" w:color="auto"/>
        <w:right w:val="none" w:sz="0" w:space="0" w:color="auto"/>
      </w:divBdr>
    </w:div>
    <w:div w:id="955792753">
      <w:bodyDiv w:val="1"/>
      <w:marLeft w:val="0"/>
      <w:marRight w:val="0"/>
      <w:marTop w:val="0"/>
      <w:marBottom w:val="0"/>
      <w:divBdr>
        <w:top w:val="none" w:sz="0" w:space="0" w:color="auto"/>
        <w:left w:val="none" w:sz="0" w:space="0" w:color="auto"/>
        <w:bottom w:val="none" w:sz="0" w:space="0" w:color="auto"/>
        <w:right w:val="none" w:sz="0" w:space="0" w:color="auto"/>
      </w:divBdr>
    </w:div>
    <w:div w:id="956251809">
      <w:bodyDiv w:val="1"/>
      <w:marLeft w:val="0"/>
      <w:marRight w:val="0"/>
      <w:marTop w:val="0"/>
      <w:marBottom w:val="0"/>
      <w:divBdr>
        <w:top w:val="none" w:sz="0" w:space="0" w:color="auto"/>
        <w:left w:val="none" w:sz="0" w:space="0" w:color="auto"/>
        <w:bottom w:val="none" w:sz="0" w:space="0" w:color="auto"/>
        <w:right w:val="none" w:sz="0" w:space="0" w:color="auto"/>
      </w:divBdr>
    </w:div>
    <w:div w:id="956444372">
      <w:bodyDiv w:val="1"/>
      <w:marLeft w:val="0"/>
      <w:marRight w:val="0"/>
      <w:marTop w:val="0"/>
      <w:marBottom w:val="0"/>
      <w:divBdr>
        <w:top w:val="none" w:sz="0" w:space="0" w:color="auto"/>
        <w:left w:val="none" w:sz="0" w:space="0" w:color="auto"/>
        <w:bottom w:val="none" w:sz="0" w:space="0" w:color="auto"/>
        <w:right w:val="none" w:sz="0" w:space="0" w:color="auto"/>
      </w:divBdr>
    </w:div>
    <w:div w:id="956566244">
      <w:bodyDiv w:val="1"/>
      <w:marLeft w:val="0"/>
      <w:marRight w:val="0"/>
      <w:marTop w:val="0"/>
      <w:marBottom w:val="0"/>
      <w:divBdr>
        <w:top w:val="none" w:sz="0" w:space="0" w:color="auto"/>
        <w:left w:val="none" w:sz="0" w:space="0" w:color="auto"/>
        <w:bottom w:val="none" w:sz="0" w:space="0" w:color="auto"/>
        <w:right w:val="none" w:sz="0" w:space="0" w:color="auto"/>
      </w:divBdr>
    </w:div>
    <w:div w:id="957293117">
      <w:bodyDiv w:val="1"/>
      <w:marLeft w:val="0"/>
      <w:marRight w:val="0"/>
      <w:marTop w:val="0"/>
      <w:marBottom w:val="0"/>
      <w:divBdr>
        <w:top w:val="none" w:sz="0" w:space="0" w:color="auto"/>
        <w:left w:val="none" w:sz="0" w:space="0" w:color="auto"/>
        <w:bottom w:val="none" w:sz="0" w:space="0" w:color="auto"/>
        <w:right w:val="none" w:sz="0" w:space="0" w:color="auto"/>
      </w:divBdr>
    </w:div>
    <w:div w:id="957952724">
      <w:bodyDiv w:val="1"/>
      <w:marLeft w:val="0"/>
      <w:marRight w:val="0"/>
      <w:marTop w:val="0"/>
      <w:marBottom w:val="0"/>
      <w:divBdr>
        <w:top w:val="none" w:sz="0" w:space="0" w:color="auto"/>
        <w:left w:val="none" w:sz="0" w:space="0" w:color="auto"/>
        <w:bottom w:val="none" w:sz="0" w:space="0" w:color="auto"/>
        <w:right w:val="none" w:sz="0" w:space="0" w:color="auto"/>
      </w:divBdr>
    </w:div>
    <w:div w:id="958218114">
      <w:bodyDiv w:val="1"/>
      <w:marLeft w:val="0"/>
      <w:marRight w:val="0"/>
      <w:marTop w:val="0"/>
      <w:marBottom w:val="0"/>
      <w:divBdr>
        <w:top w:val="none" w:sz="0" w:space="0" w:color="auto"/>
        <w:left w:val="none" w:sz="0" w:space="0" w:color="auto"/>
        <w:bottom w:val="none" w:sz="0" w:space="0" w:color="auto"/>
        <w:right w:val="none" w:sz="0" w:space="0" w:color="auto"/>
      </w:divBdr>
    </w:div>
    <w:div w:id="958489097">
      <w:bodyDiv w:val="1"/>
      <w:marLeft w:val="0"/>
      <w:marRight w:val="0"/>
      <w:marTop w:val="0"/>
      <w:marBottom w:val="0"/>
      <w:divBdr>
        <w:top w:val="none" w:sz="0" w:space="0" w:color="auto"/>
        <w:left w:val="none" w:sz="0" w:space="0" w:color="auto"/>
        <w:bottom w:val="none" w:sz="0" w:space="0" w:color="auto"/>
        <w:right w:val="none" w:sz="0" w:space="0" w:color="auto"/>
      </w:divBdr>
    </w:div>
    <w:div w:id="958535000">
      <w:bodyDiv w:val="1"/>
      <w:marLeft w:val="0"/>
      <w:marRight w:val="0"/>
      <w:marTop w:val="0"/>
      <w:marBottom w:val="0"/>
      <w:divBdr>
        <w:top w:val="none" w:sz="0" w:space="0" w:color="auto"/>
        <w:left w:val="none" w:sz="0" w:space="0" w:color="auto"/>
        <w:bottom w:val="none" w:sz="0" w:space="0" w:color="auto"/>
        <w:right w:val="none" w:sz="0" w:space="0" w:color="auto"/>
      </w:divBdr>
    </w:div>
    <w:div w:id="958606724">
      <w:bodyDiv w:val="1"/>
      <w:marLeft w:val="0"/>
      <w:marRight w:val="0"/>
      <w:marTop w:val="0"/>
      <w:marBottom w:val="0"/>
      <w:divBdr>
        <w:top w:val="none" w:sz="0" w:space="0" w:color="auto"/>
        <w:left w:val="none" w:sz="0" w:space="0" w:color="auto"/>
        <w:bottom w:val="none" w:sz="0" w:space="0" w:color="auto"/>
        <w:right w:val="none" w:sz="0" w:space="0" w:color="auto"/>
      </w:divBdr>
    </w:div>
    <w:div w:id="958996165">
      <w:bodyDiv w:val="1"/>
      <w:marLeft w:val="0"/>
      <w:marRight w:val="0"/>
      <w:marTop w:val="0"/>
      <w:marBottom w:val="0"/>
      <w:divBdr>
        <w:top w:val="none" w:sz="0" w:space="0" w:color="auto"/>
        <w:left w:val="none" w:sz="0" w:space="0" w:color="auto"/>
        <w:bottom w:val="none" w:sz="0" w:space="0" w:color="auto"/>
        <w:right w:val="none" w:sz="0" w:space="0" w:color="auto"/>
      </w:divBdr>
    </w:div>
    <w:div w:id="959452269">
      <w:bodyDiv w:val="1"/>
      <w:marLeft w:val="0"/>
      <w:marRight w:val="0"/>
      <w:marTop w:val="0"/>
      <w:marBottom w:val="0"/>
      <w:divBdr>
        <w:top w:val="none" w:sz="0" w:space="0" w:color="auto"/>
        <w:left w:val="none" w:sz="0" w:space="0" w:color="auto"/>
        <w:bottom w:val="none" w:sz="0" w:space="0" w:color="auto"/>
        <w:right w:val="none" w:sz="0" w:space="0" w:color="auto"/>
      </w:divBdr>
    </w:div>
    <w:div w:id="959798898">
      <w:bodyDiv w:val="1"/>
      <w:marLeft w:val="0"/>
      <w:marRight w:val="0"/>
      <w:marTop w:val="0"/>
      <w:marBottom w:val="0"/>
      <w:divBdr>
        <w:top w:val="none" w:sz="0" w:space="0" w:color="auto"/>
        <w:left w:val="none" w:sz="0" w:space="0" w:color="auto"/>
        <w:bottom w:val="none" w:sz="0" w:space="0" w:color="auto"/>
        <w:right w:val="none" w:sz="0" w:space="0" w:color="auto"/>
      </w:divBdr>
    </w:div>
    <w:div w:id="959840848">
      <w:bodyDiv w:val="1"/>
      <w:marLeft w:val="0"/>
      <w:marRight w:val="0"/>
      <w:marTop w:val="0"/>
      <w:marBottom w:val="0"/>
      <w:divBdr>
        <w:top w:val="none" w:sz="0" w:space="0" w:color="auto"/>
        <w:left w:val="none" w:sz="0" w:space="0" w:color="auto"/>
        <w:bottom w:val="none" w:sz="0" w:space="0" w:color="auto"/>
        <w:right w:val="none" w:sz="0" w:space="0" w:color="auto"/>
      </w:divBdr>
    </w:div>
    <w:div w:id="959917193">
      <w:bodyDiv w:val="1"/>
      <w:marLeft w:val="0"/>
      <w:marRight w:val="0"/>
      <w:marTop w:val="0"/>
      <w:marBottom w:val="0"/>
      <w:divBdr>
        <w:top w:val="none" w:sz="0" w:space="0" w:color="auto"/>
        <w:left w:val="none" w:sz="0" w:space="0" w:color="auto"/>
        <w:bottom w:val="none" w:sz="0" w:space="0" w:color="auto"/>
        <w:right w:val="none" w:sz="0" w:space="0" w:color="auto"/>
      </w:divBdr>
    </w:div>
    <w:div w:id="959993326">
      <w:bodyDiv w:val="1"/>
      <w:marLeft w:val="0"/>
      <w:marRight w:val="0"/>
      <w:marTop w:val="0"/>
      <w:marBottom w:val="0"/>
      <w:divBdr>
        <w:top w:val="none" w:sz="0" w:space="0" w:color="auto"/>
        <w:left w:val="none" w:sz="0" w:space="0" w:color="auto"/>
        <w:bottom w:val="none" w:sz="0" w:space="0" w:color="auto"/>
        <w:right w:val="none" w:sz="0" w:space="0" w:color="auto"/>
      </w:divBdr>
    </w:div>
    <w:div w:id="960185503">
      <w:bodyDiv w:val="1"/>
      <w:marLeft w:val="0"/>
      <w:marRight w:val="0"/>
      <w:marTop w:val="0"/>
      <w:marBottom w:val="0"/>
      <w:divBdr>
        <w:top w:val="none" w:sz="0" w:space="0" w:color="auto"/>
        <w:left w:val="none" w:sz="0" w:space="0" w:color="auto"/>
        <w:bottom w:val="none" w:sz="0" w:space="0" w:color="auto"/>
        <w:right w:val="none" w:sz="0" w:space="0" w:color="auto"/>
      </w:divBdr>
    </w:div>
    <w:div w:id="960458561">
      <w:bodyDiv w:val="1"/>
      <w:marLeft w:val="0"/>
      <w:marRight w:val="0"/>
      <w:marTop w:val="0"/>
      <w:marBottom w:val="0"/>
      <w:divBdr>
        <w:top w:val="none" w:sz="0" w:space="0" w:color="auto"/>
        <w:left w:val="none" w:sz="0" w:space="0" w:color="auto"/>
        <w:bottom w:val="none" w:sz="0" w:space="0" w:color="auto"/>
        <w:right w:val="none" w:sz="0" w:space="0" w:color="auto"/>
      </w:divBdr>
    </w:div>
    <w:div w:id="960527059">
      <w:bodyDiv w:val="1"/>
      <w:marLeft w:val="0"/>
      <w:marRight w:val="0"/>
      <w:marTop w:val="0"/>
      <w:marBottom w:val="0"/>
      <w:divBdr>
        <w:top w:val="none" w:sz="0" w:space="0" w:color="auto"/>
        <w:left w:val="none" w:sz="0" w:space="0" w:color="auto"/>
        <w:bottom w:val="none" w:sz="0" w:space="0" w:color="auto"/>
        <w:right w:val="none" w:sz="0" w:space="0" w:color="auto"/>
      </w:divBdr>
    </w:div>
    <w:div w:id="960576835">
      <w:bodyDiv w:val="1"/>
      <w:marLeft w:val="0"/>
      <w:marRight w:val="0"/>
      <w:marTop w:val="0"/>
      <w:marBottom w:val="0"/>
      <w:divBdr>
        <w:top w:val="none" w:sz="0" w:space="0" w:color="auto"/>
        <w:left w:val="none" w:sz="0" w:space="0" w:color="auto"/>
        <w:bottom w:val="none" w:sz="0" w:space="0" w:color="auto"/>
        <w:right w:val="none" w:sz="0" w:space="0" w:color="auto"/>
      </w:divBdr>
    </w:div>
    <w:div w:id="960577625">
      <w:bodyDiv w:val="1"/>
      <w:marLeft w:val="0"/>
      <w:marRight w:val="0"/>
      <w:marTop w:val="0"/>
      <w:marBottom w:val="0"/>
      <w:divBdr>
        <w:top w:val="none" w:sz="0" w:space="0" w:color="auto"/>
        <w:left w:val="none" w:sz="0" w:space="0" w:color="auto"/>
        <w:bottom w:val="none" w:sz="0" w:space="0" w:color="auto"/>
        <w:right w:val="none" w:sz="0" w:space="0" w:color="auto"/>
      </w:divBdr>
    </w:div>
    <w:div w:id="961229023">
      <w:bodyDiv w:val="1"/>
      <w:marLeft w:val="0"/>
      <w:marRight w:val="0"/>
      <w:marTop w:val="0"/>
      <w:marBottom w:val="0"/>
      <w:divBdr>
        <w:top w:val="none" w:sz="0" w:space="0" w:color="auto"/>
        <w:left w:val="none" w:sz="0" w:space="0" w:color="auto"/>
        <w:bottom w:val="none" w:sz="0" w:space="0" w:color="auto"/>
        <w:right w:val="none" w:sz="0" w:space="0" w:color="auto"/>
      </w:divBdr>
    </w:div>
    <w:div w:id="961574988">
      <w:bodyDiv w:val="1"/>
      <w:marLeft w:val="0"/>
      <w:marRight w:val="0"/>
      <w:marTop w:val="0"/>
      <w:marBottom w:val="0"/>
      <w:divBdr>
        <w:top w:val="none" w:sz="0" w:space="0" w:color="auto"/>
        <w:left w:val="none" w:sz="0" w:space="0" w:color="auto"/>
        <w:bottom w:val="none" w:sz="0" w:space="0" w:color="auto"/>
        <w:right w:val="none" w:sz="0" w:space="0" w:color="auto"/>
      </w:divBdr>
    </w:div>
    <w:div w:id="962224523">
      <w:bodyDiv w:val="1"/>
      <w:marLeft w:val="0"/>
      <w:marRight w:val="0"/>
      <w:marTop w:val="0"/>
      <w:marBottom w:val="0"/>
      <w:divBdr>
        <w:top w:val="none" w:sz="0" w:space="0" w:color="auto"/>
        <w:left w:val="none" w:sz="0" w:space="0" w:color="auto"/>
        <w:bottom w:val="none" w:sz="0" w:space="0" w:color="auto"/>
        <w:right w:val="none" w:sz="0" w:space="0" w:color="auto"/>
      </w:divBdr>
    </w:div>
    <w:div w:id="962271621">
      <w:bodyDiv w:val="1"/>
      <w:marLeft w:val="0"/>
      <w:marRight w:val="0"/>
      <w:marTop w:val="0"/>
      <w:marBottom w:val="0"/>
      <w:divBdr>
        <w:top w:val="none" w:sz="0" w:space="0" w:color="auto"/>
        <w:left w:val="none" w:sz="0" w:space="0" w:color="auto"/>
        <w:bottom w:val="none" w:sz="0" w:space="0" w:color="auto"/>
        <w:right w:val="none" w:sz="0" w:space="0" w:color="auto"/>
      </w:divBdr>
    </w:div>
    <w:div w:id="963078551">
      <w:bodyDiv w:val="1"/>
      <w:marLeft w:val="0"/>
      <w:marRight w:val="0"/>
      <w:marTop w:val="0"/>
      <w:marBottom w:val="0"/>
      <w:divBdr>
        <w:top w:val="none" w:sz="0" w:space="0" w:color="auto"/>
        <w:left w:val="none" w:sz="0" w:space="0" w:color="auto"/>
        <w:bottom w:val="none" w:sz="0" w:space="0" w:color="auto"/>
        <w:right w:val="none" w:sz="0" w:space="0" w:color="auto"/>
      </w:divBdr>
    </w:div>
    <w:div w:id="963586127">
      <w:bodyDiv w:val="1"/>
      <w:marLeft w:val="0"/>
      <w:marRight w:val="0"/>
      <w:marTop w:val="0"/>
      <w:marBottom w:val="0"/>
      <w:divBdr>
        <w:top w:val="none" w:sz="0" w:space="0" w:color="auto"/>
        <w:left w:val="none" w:sz="0" w:space="0" w:color="auto"/>
        <w:bottom w:val="none" w:sz="0" w:space="0" w:color="auto"/>
        <w:right w:val="none" w:sz="0" w:space="0" w:color="auto"/>
      </w:divBdr>
    </w:div>
    <w:div w:id="964773514">
      <w:bodyDiv w:val="1"/>
      <w:marLeft w:val="0"/>
      <w:marRight w:val="0"/>
      <w:marTop w:val="0"/>
      <w:marBottom w:val="0"/>
      <w:divBdr>
        <w:top w:val="none" w:sz="0" w:space="0" w:color="auto"/>
        <w:left w:val="none" w:sz="0" w:space="0" w:color="auto"/>
        <w:bottom w:val="none" w:sz="0" w:space="0" w:color="auto"/>
        <w:right w:val="none" w:sz="0" w:space="0" w:color="auto"/>
      </w:divBdr>
    </w:div>
    <w:div w:id="964778652">
      <w:bodyDiv w:val="1"/>
      <w:marLeft w:val="0"/>
      <w:marRight w:val="0"/>
      <w:marTop w:val="0"/>
      <w:marBottom w:val="0"/>
      <w:divBdr>
        <w:top w:val="none" w:sz="0" w:space="0" w:color="auto"/>
        <w:left w:val="none" w:sz="0" w:space="0" w:color="auto"/>
        <w:bottom w:val="none" w:sz="0" w:space="0" w:color="auto"/>
        <w:right w:val="none" w:sz="0" w:space="0" w:color="auto"/>
      </w:divBdr>
    </w:div>
    <w:div w:id="964848744">
      <w:bodyDiv w:val="1"/>
      <w:marLeft w:val="0"/>
      <w:marRight w:val="0"/>
      <w:marTop w:val="0"/>
      <w:marBottom w:val="0"/>
      <w:divBdr>
        <w:top w:val="none" w:sz="0" w:space="0" w:color="auto"/>
        <w:left w:val="none" w:sz="0" w:space="0" w:color="auto"/>
        <w:bottom w:val="none" w:sz="0" w:space="0" w:color="auto"/>
        <w:right w:val="none" w:sz="0" w:space="0" w:color="auto"/>
      </w:divBdr>
    </w:div>
    <w:div w:id="964967993">
      <w:bodyDiv w:val="1"/>
      <w:marLeft w:val="0"/>
      <w:marRight w:val="0"/>
      <w:marTop w:val="0"/>
      <w:marBottom w:val="0"/>
      <w:divBdr>
        <w:top w:val="none" w:sz="0" w:space="0" w:color="auto"/>
        <w:left w:val="none" w:sz="0" w:space="0" w:color="auto"/>
        <w:bottom w:val="none" w:sz="0" w:space="0" w:color="auto"/>
        <w:right w:val="none" w:sz="0" w:space="0" w:color="auto"/>
      </w:divBdr>
    </w:div>
    <w:div w:id="965040072">
      <w:bodyDiv w:val="1"/>
      <w:marLeft w:val="0"/>
      <w:marRight w:val="0"/>
      <w:marTop w:val="0"/>
      <w:marBottom w:val="0"/>
      <w:divBdr>
        <w:top w:val="none" w:sz="0" w:space="0" w:color="auto"/>
        <w:left w:val="none" w:sz="0" w:space="0" w:color="auto"/>
        <w:bottom w:val="none" w:sz="0" w:space="0" w:color="auto"/>
        <w:right w:val="none" w:sz="0" w:space="0" w:color="auto"/>
      </w:divBdr>
    </w:div>
    <w:div w:id="965545523">
      <w:bodyDiv w:val="1"/>
      <w:marLeft w:val="0"/>
      <w:marRight w:val="0"/>
      <w:marTop w:val="0"/>
      <w:marBottom w:val="0"/>
      <w:divBdr>
        <w:top w:val="none" w:sz="0" w:space="0" w:color="auto"/>
        <w:left w:val="none" w:sz="0" w:space="0" w:color="auto"/>
        <w:bottom w:val="none" w:sz="0" w:space="0" w:color="auto"/>
        <w:right w:val="none" w:sz="0" w:space="0" w:color="auto"/>
      </w:divBdr>
    </w:div>
    <w:div w:id="965817534">
      <w:bodyDiv w:val="1"/>
      <w:marLeft w:val="0"/>
      <w:marRight w:val="0"/>
      <w:marTop w:val="0"/>
      <w:marBottom w:val="0"/>
      <w:divBdr>
        <w:top w:val="none" w:sz="0" w:space="0" w:color="auto"/>
        <w:left w:val="none" w:sz="0" w:space="0" w:color="auto"/>
        <w:bottom w:val="none" w:sz="0" w:space="0" w:color="auto"/>
        <w:right w:val="none" w:sz="0" w:space="0" w:color="auto"/>
      </w:divBdr>
    </w:div>
    <w:div w:id="965889479">
      <w:bodyDiv w:val="1"/>
      <w:marLeft w:val="0"/>
      <w:marRight w:val="0"/>
      <w:marTop w:val="0"/>
      <w:marBottom w:val="0"/>
      <w:divBdr>
        <w:top w:val="none" w:sz="0" w:space="0" w:color="auto"/>
        <w:left w:val="none" w:sz="0" w:space="0" w:color="auto"/>
        <w:bottom w:val="none" w:sz="0" w:space="0" w:color="auto"/>
        <w:right w:val="none" w:sz="0" w:space="0" w:color="auto"/>
      </w:divBdr>
    </w:div>
    <w:div w:id="965963625">
      <w:bodyDiv w:val="1"/>
      <w:marLeft w:val="0"/>
      <w:marRight w:val="0"/>
      <w:marTop w:val="0"/>
      <w:marBottom w:val="0"/>
      <w:divBdr>
        <w:top w:val="none" w:sz="0" w:space="0" w:color="auto"/>
        <w:left w:val="none" w:sz="0" w:space="0" w:color="auto"/>
        <w:bottom w:val="none" w:sz="0" w:space="0" w:color="auto"/>
        <w:right w:val="none" w:sz="0" w:space="0" w:color="auto"/>
      </w:divBdr>
    </w:div>
    <w:div w:id="966201688">
      <w:bodyDiv w:val="1"/>
      <w:marLeft w:val="0"/>
      <w:marRight w:val="0"/>
      <w:marTop w:val="0"/>
      <w:marBottom w:val="0"/>
      <w:divBdr>
        <w:top w:val="none" w:sz="0" w:space="0" w:color="auto"/>
        <w:left w:val="none" w:sz="0" w:space="0" w:color="auto"/>
        <w:bottom w:val="none" w:sz="0" w:space="0" w:color="auto"/>
        <w:right w:val="none" w:sz="0" w:space="0" w:color="auto"/>
      </w:divBdr>
    </w:div>
    <w:div w:id="966203286">
      <w:bodyDiv w:val="1"/>
      <w:marLeft w:val="0"/>
      <w:marRight w:val="0"/>
      <w:marTop w:val="0"/>
      <w:marBottom w:val="0"/>
      <w:divBdr>
        <w:top w:val="none" w:sz="0" w:space="0" w:color="auto"/>
        <w:left w:val="none" w:sz="0" w:space="0" w:color="auto"/>
        <w:bottom w:val="none" w:sz="0" w:space="0" w:color="auto"/>
        <w:right w:val="none" w:sz="0" w:space="0" w:color="auto"/>
      </w:divBdr>
    </w:div>
    <w:div w:id="966273645">
      <w:bodyDiv w:val="1"/>
      <w:marLeft w:val="0"/>
      <w:marRight w:val="0"/>
      <w:marTop w:val="0"/>
      <w:marBottom w:val="0"/>
      <w:divBdr>
        <w:top w:val="none" w:sz="0" w:space="0" w:color="auto"/>
        <w:left w:val="none" w:sz="0" w:space="0" w:color="auto"/>
        <w:bottom w:val="none" w:sz="0" w:space="0" w:color="auto"/>
        <w:right w:val="none" w:sz="0" w:space="0" w:color="auto"/>
      </w:divBdr>
    </w:div>
    <w:div w:id="966395577">
      <w:bodyDiv w:val="1"/>
      <w:marLeft w:val="0"/>
      <w:marRight w:val="0"/>
      <w:marTop w:val="0"/>
      <w:marBottom w:val="0"/>
      <w:divBdr>
        <w:top w:val="none" w:sz="0" w:space="0" w:color="auto"/>
        <w:left w:val="none" w:sz="0" w:space="0" w:color="auto"/>
        <w:bottom w:val="none" w:sz="0" w:space="0" w:color="auto"/>
        <w:right w:val="none" w:sz="0" w:space="0" w:color="auto"/>
      </w:divBdr>
    </w:div>
    <w:div w:id="966928987">
      <w:bodyDiv w:val="1"/>
      <w:marLeft w:val="0"/>
      <w:marRight w:val="0"/>
      <w:marTop w:val="0"/>
      <w:marBottom w:val="0"/>
      <w:divBdr>
        <w:top w:val="none" w:sz="0" w:space="0" w:color="auto"/>
        <w:left w:val="none" w:sz="0" w:space="0" w:color="auto"/>
        <w:bottom w:val="none" w:sz="0" w:space="0" w:color="auto"/>
        <w:right w:val="none" w:sz="0" w:space="0" w:color="auto"/>
      </w:divBdr>
    </w:div>
    <w:div w:id="967512292">
      <w:bodyDiv w:val="1"/>
      <w:marLeft w:val="0"/>
      <w:marRight w:val="0"/>
      <w:marTop w:val="0"/>
      <w:marBottom w:val="0"/>
      <w:divBdr>
        <w:top w:val="none" w:sz="0" w:space="0" w:color="auto"/>
        <w:left w:val="none" w:sz="0" w:space="0" w:color="auto"/>
        <w:bottom w:val="none" w:sz="0" w:space="0" w:color="auto"/>
        <w:right w:val="none" w:sz="0" w:space="0" w:color="auto"/>
      </w:divBdr>
    </w:div>
    <w:div w:id="967591617">
      <w:bodyDiv w:val="1"/>
      <w:marLeft w:val="0"/>
      <w:marRight w:val="0"/>
      <w:marTop w:val="0"/>
      <w:marBottom w:val="0"/>
      <w:divBdr>
        <w:top w:val="none" w:sz="0" w:space="0" w:color="auto"/>
        <w:left w:val="none" w:sz="0" w:space="0" w:color="auto"/>
        <w:bottom w:val="none" w:sz="0" w:space="0" w:color="auto"/>
        <w:right w:val="none" w:sz="0" w:space="0" w:color="auto"/>
      </w:divBdr>
    </w:div>
    <w:div w:id="968317924">
      <w:bodyDiv w:val="1"/>
      <w:marLeft w:val="0"/>
      <w:marRight w:val="0"/>
      <w:marTop w:val="0"/>
      <w:marBottom w:val="0"/>
      <w:divBdr>
        <w:top w:val="none" w:sz="0" w:space="0" w:color="auto"/>
        <w:left w:val="none" w:sz="0" w:space="0" w:color="auto"/>
        <w:bottom w:val="none" w:sz="0" w:space="0" w:color="auto"/>
        <w:right w:val="none" w:sz="0" w:space="0" w:color="auto"/>
      </w:divBdr>
    </w:div>
    <w:div w:id="968361764">
      <w:bodyDiv w:val="1"/>
      <w:marLeft w:val="0"/>
      <w:marRight w:val="0"/>
      <w:marTop w:val="0"/>
      <w:marBottom w:val="0"/>
      <w:divBdr>
        <w:top w:val="none" w:sz="0" w:space="0" w:color="auto"/>
        <w:left w:val="none" w:sz="0" w:space="0" w:color="auto"/>
        <w:bottom w:val="none" w:sz="0" w:space="0" w:color="auto"/>
        <w:right w:val="none" w:sz="0" w:space="0" w:color="auto"/>
      </w:divBdr>
    </w:div>
    <w:div w:id="968585654">
      <w:bodyDiv w:val="1"/>
      <w:marLeft w:val="0"/>
      <w:marRight w:val="0"/>
      <w:marTop w:val="0"/>
      <w:marBottom w:val="0"/>
      <w:divBdr>
        <w:top w:val="none" w:sz="0" w:space="0" w:color="auto"/>
        <w:left w:val="none" w:sz="0" w:space="0" w:color="auto"/>
        <w:bottom w:val="none" w:sz="0" w:space="0" w:color="auto"/>
        <w:right w:val="none" w:sz="0" w:space="0" w:color="auto"/>
      </w:divBdr>
    </w:div>
    <w:div w:id="968970897">
      <w:bodyDiv w:val="1"/>
      <w:marLeft w:val="0"/>
      <w:marRight w:val="0"/>
      <w:marTop w:val="0"/>
      <w:marBottom w:val="0"/>
      <w:divBdr>
        <w:top w:val="none" w:sz="0" w:space="0" w:color="auto"/>
        <w:left w:val="none" w:sz="0" w:space="0" w:color="auto"/>
        <w:bottom w:val="none" w:sz="0" w:space="0" w:color="auto"/>
        <w:right w:val="none" w:sz="0" w:space="0" w:color="auto"/>
      </w:divBdr>
    </w:div>
    <w:div w:id="968972184">
      <w:bodyDiv w:val="1"/>
      <w:marLeft w:val="0"/>
      <w:marRight w:val="0"/>
      <w:marTop w:val="0"/>
      <w:marBottom w:val="0"/>
      <w:divBdr>
        <w:top w:val="none" w:sz="0" w:space="0" w:color="auto"/>
        <w:left w:val="none" w:sz="0" w:space="0" w:color="auto"/>
        <w:bottom w:val="none" w:sz="0" w:space="0" w:color="auto"/>
        <w:right w:val="none" w:sz="0" w:space="0" w:color="auto"/>
      </w:divBdr>
    </w:div>
    <w:div w:id="969093633">
      <w:bodyDiv w:val="1"/>
      <w:marLeft w:val="0"/>
      <w:marRight w:val="0"/>
      <w:marTop w:val="0"/>
      <w:marBottom w:val="0"/>
      <w:divBdr>
        <w:top w:val="none" w:sz="0" w:space="0" w:color="auto"/>
        <w:left w:val="none" w:sz="0" w:space="0" w:color="auto"/>
        <w:bottom w:val="none" w:sz="0" w:space="0" w:color="auto"/>
        <w:right w:val="none" w:sz="0" w:space="0" w:color="auto"/>
      </w:divBdr>
    </w:div>
    <w:div w:id="969239530">
      <w:bodyDiv w:val="1"/>
      <w:marLeft w:val="0"/>
      <w:marRight w:val="0"/>
      <w:marTop w:val="0"/>
      <w:marBottom w:val="0"/>
      <w:divBdr>
        <w:top w:val="none" w:sz="0" w:space="0" w:color="auto"/>
        <w:left w:val="none" w:sz="0" w:space="0" w:color="auto"/>
        <w:bottom w:val="none" w:sz="0" w:space="0" w:color="auto"/>
        <w:right w:val="none" w:sz="0" w:space="0" w:color="auto"/>
      </w:divBdr>
    </w:div>
    <w:div w:id="969362443">
      <w:bodyDiv w:val="1"/>
      <w:marLeft w:val="0"/>
      <w:marRight w:val="0"/>
      <w:marTop w:val="0"/>
      <w:marBottom w:val="0"/>
      <w:divBdr>
        <w:top w:val="none" w:sz="0" w:space="0" w:color="auto"/>
        <w:left w:val="none" w:sz="0" w:space="0" w:color="auto"/>
        <w:bottom w:val="none" w:sz="0" w:space="0" w:color="auto"/>
        <w:right w:val="none" w:sz="0" w:space="0" w:color="auto"/>
      </w:divBdr>
    </w:div>
    <w:div w:id="969752483">
      <w:bodyDiv w:val="1"/>
      <w:marLeft w:val="0"/>
      <w:marRight w:val="0"/>
      <w:marTop w:val="0"/>
      <w:marBottom w:val="0"/>
      <w:divBdr>
        <w:top w:val="none" w:sz="0" w:space="0" w:color="auto"/>
        <w:left w:val="none" w:sz="0" w:space="0" w:color="auto"/>
        <w:bottom w:val="none" w:sz="0" w:space="0" w:color="auto"/>
        <w:right w:val="none" w:sz="0" w:space="0" w:color="auto"/>
      </w:divBdr>
    </w:div>
    <w:div w:id="970017800">
      <w:bodyDiv w:val="1"/>
      <w:marLeft w:val="0"/>
      <w:marRight w:val="0"/>
      <w:marTop w:val="0"/>
      <w:marBottom w:val="0"/>
      <w:divBdr>
        <w:top w:val="none" w:sz="0" w:space="0" w:color="auto"/>
        <w:left w:val="none" w:sz="0" w:space="0" w:color="auto"/>
        <w:bottom w:val="none" w:sz="0" w:space="0" w:color="auto"/>
        <w:right w:val="none" w:sz="0" w:space="0" w:color="auto"/>
      </w:divBdr>
    </w:div>
    <w:div w:id="970094064">
      <w:bodyDiv w:val="1"/>
      <w:marLeft w:val="0"/>
      <w:marRight w:val="0"/>
      <w:marTop w:val="0"/>
      <w:marBottom w:val="0"/>
      <w:divBdr>
        <w:top w:val="none" w:sz="0" w:space="0" w:color="auto"/>
        <w:left w:val="none" w:sz="0" w:space="0" w:color="auto"/>
        <w:bottom w:val="none" w:sz="0" w:space="0" w:color="auto"/>
        <w:right w:val="none" w:sz="0" w:space="0" w:color="auto"/>
      </w:divBdr>
    </w:div>
    <w:div w:id="970332316">
      <w:bodyDiv w:val="1"/>
      <w:marLeft w:val="0"/>
      <w:marRight w:val="0"/>
      <w:marTop w:val="0"/>
      <w:marBottom w:val="0"/>
      <w:divBdr>
        <w:top w:val="none" w:sz="0" w:space="0" w:color="auto"/>
        <w:left w:val="none" w:sz="0" w:space="0" w:color="auto"/>
        <w:bottom w:val="none" w:sz="0" w:space="0" w:color="auto"/>
        <w:right w:val="none" w:sz="0" w:space="0" w:color="auto"/>
      </w:divBdr>
    </w:div>
    <w:div w:id="970480763">
      <w:bodyDiv w:val="1"/>
      <w:marLeft w:val="0"/>
      <w:marRight w:val="0"/>
      <w:marTop w:val="0"/>
      <w:marBottom w:val="0"/>
      <w:divBdr>
        <w:top w:val="none" w:sz="0" w:space="0" w:color="auto"/>
        <w:left w:val="none" w:sz="0" w:space="0" w:color="auto"/>
        <w:bottom w:val="none" w:sz="0" w:space="0" w:color="auto"/>
        <w:right w:val="none" w:sz="0" w:space="0" w:color="auto"/>
      </w:divBdr>
    </w:div>
    <w:div w:id="970750074">
      <w:bodyDiv w:val="1"/>
      <w:marLeft w:val="0"/>
      <w:marRight w:val="0"/>
      <w:marTop w:val="0"/>
      <w:marBottom w:val="0"/>
      <w:divBdr>
        <w:top w:val="none" w:sz="0" w:space="0" w:color="auto"/>
        <w:left w:val="none" w:sz="0" w:space="0" w:color="auto"/>
        <w:bottom w:val="none" w:sz="0" w:space="0" w:color="auto"/>
        <w:right w:val="none" w:sz="0" w:space="0" w:color="auto"/>
      </w:divBdr>
    </w:div>
    <w:div w:id="970790422">
      <w:bodyDiv w:val="1"/>
      <w:marLeft w:val="0"/>
      <w:marRight w:val="0"/>
      <w:marTop w:val="0"/>
      <w:marBottom w:val="0"/>
      <w:divBdr>
        <w:top w:val="none" w:sz="0" w:space="0" w:color="auto"/>
        <w:left w:val="none" w:sz="0" w:space="0" w:color="auto"/>
        <w:bottom w:val="none" w:sz="0" w:space="0" w:color="auto"/>
        <w:right w:val="none" w:sz="0" w:space="0" w:color="auto"/>
      </w:divBdr>
    </w:div>
    <w:div w:id="971054957">
      <w:bodyDiv w:val="1"/>
      <w:marLeft w:val="0"/>
      <w:marRight w:val="0"/>
      <w:marTop w:val="0"/>
      <w:marBottom w:val="0"/>
      <w:divBdr>
        <w:top w:val="none" w:sz="0" w:space="0" w:color="auto"/>
        <w:left w:val="none" w:sz="0" w:space="0" w:color="auto"/>
        <w:bottom w:val="none" w:sz="0" w:space="0" w:color="auto"/>
        <w:right w:val="none" w:sz="0" w:space="0" w:color="auto"/>
      </w:divBdr>
    </w:div>
    <w:div w:id="971397454">
      <w:bodyDiv w:val="1"/>
      <w:marLeft w:val="0"/>
      <w:marRight w:val="0"/>
      <w:marTop w:val="0"/>
      <w:marBottom w:val="0"/>
      <w:divBdr>
        <w:top w:val="none" w:sz="0" w:space="0" w:color="auto"/>
        <w:left w:val="none" w:sz="0" w:space="0" w:color="auto"/>
        <w:bottom w:val="none" w:sz="0" w:space="0" w:color="auto"/>
        <w:right w:val="none" w:sz="0" w:space="0" w:color="auto"/>
      </w:divBdr>
    </w:div>
    <w:div w:id="971790456">
      <w:bodyDiv w:val="1"/>
      <w:marLeft w:val="0"/>
      <w:marRight w:val="0"/>
      <w:marTop w:val="0"/>
      <w:marBottom w:val="0"/>
      <w:divBdr>
        <w:top w:val="none" w:sz="0" w:space="0" w:color="auto"/>
        <w:left w:val="none" w:sz="0" w:space="0" w:color="auto"/>
        <w:bottom w:val="none" w:sz="0" w:space="0" w:color="auto"/>
        <w:right w:val="none" w:sz="0" w:space="0" w:color="auto"/>
      </w:divBdr>
    </w:div>
    <w:div w:id="971792978">
      <w:bodyDiv w:val="1"/>
      <w:marLeft w:val="0"/>
      <w:marRight w:val="0"/>
      <w:marTop w:val="0"/>
      <w:marBottom w:val="0"/>
      <w:divBdr>
        <w:top w:val="none" w:sz="0" w:space="0" w:color="auto"/>
        <w:left w:val="none" w:sz="0" w:space="0" w:color="auto"/>
        <w:bottom w:val="none" w:sz="0" w:space="0" w:color="auto"/>
        <w:right w:val="none" w:sz="0" w:space="0" w:color="auto"/>
      </w:divBdr>
    </w:div>
    <w:div w:id="972251863">
      <w:bodyDiv w:val="1"/>
      <w:marLeft w:val="0"/>
      <w:marRight w:val="0"/>
      <w:marTop w:val="0"/>
      <w:marBottom w:val="0"/>
      <w:divBdr>
        <w:top w:val="none" w:sz="0" w:space="0" w:color="auto"/>
        <w:left w:val="none" w:sz="0" w:space="0" w:color="auto"/>
        <w:bottom w:val="none" w:sz="0" w:space="0" w:color="auto"/>
        <w:right w:val="none" w:sz="0" w:space="0" w:color="auto"/>
      </w:divBdr>
    </w:div>
    <w:div w:id="972366490">
      <w:bodyDiv w:val="1"/>
      <w:marLeft w:val="0"/>
      <w:marRight w:val="0"/>
      <w:marTop w:val="0"/>
      <w:marBottom w:val="0"/>
      <w:divBdr>
        <w:top w:val="none" w:sz="0" w:space="0" w:color="auto"/>
        <w:left w:val="none" w:sz="0" w:space="0" w:color="auto"/>
        <w:bottom w:val="none" w:sz="0" w:space="0" w:color="auto"/>
        <w:right w:val="none" w:sz="0" w:space="0" w:color="auto"/>
      </w:divBdr>
    </w:div>
    <w:div w:id="972521118">
      <w:bodyDiv w:val="1"/>
      <w:marLeft w:val="0"/>
      <w:marRight w:val="0"/>
      <w:marTop w:val="0"/>
      <w:marBottom w:val="0"/>
      <w:divBdr>
        <w:top w:val="none" w:sz="0" w:space="0" w:color="auto"/>
        <w:left w:val="none" w:sz="0" w:space="0" w:color="auto"/>
        <w:bottom w:val="none" w:sz="0" w:space="0" w:color="auto"/>
        <w:right w:val="none" w:sz="0" w:space="0" w:color="auto"/>
      </w:divBdr>
    </w:div>
    <w:div w:id="972757072">
      <w:bodyDiv w:val="1"/>
      <w:marLeft w:val="0"/>
      <w:marRight w:val="0"/>
      <w:marTop w:val="0"/>
      <w:marBottom w:val="0"/>
      <w:divBdr>
        <w:top w:val="none" w:sz="0" w:space="0" w:color="auto"/>
        <w:left w:val="none" w:sz="0" w:space="0" w:color="auto"/>
        <w:bottom w:val="none" w:sz="0" w:space="0" w:color="auto"/>
        <w:right w:val="none" w:sz="0" w:space="0" w:color="auto"/>
      </w:divBdr>
    </w:div>
    <w:div w:id="973097291">
      <w:bodyDiv w:val="1"/>
      <w:marLeft w:val="0"/>
      <w:marRight w:val="0"/>
      <w:marTop w:val="0"/>
      <w:marBottom w:val="0"/>
      <w:divBdr>
        <w:top w:val="none" w:sz="0" w:space="0" w:color="auto"/>
        <w:left w:val="none" w:sz="0" w:space="0" w:color="auto"/>
        <w:bottom w:val="none" w:sz="0" w:space="0" w:color="auto"/>
        <w:right w:val="none" w:sz="0" w:space="0" w:color="auto"/>
      </w:divBdr>
    </w:div>
    <w:div w:id="973103535">
      <w:bodyDiv w:val="1"/>
      <w:marLeft w:val="0"/>
      <w:marRight w:val="0"/>
      <w:marTop w:val="0"/>
      <w:marBottom w:val="0"/>
      <w:divBdr>
        <w:top w:val="none" w:sz="0" w:space="0" w:color="auto"/>
        <w:left w:val="none" w:sz="0" w:space="0" w:color="auto"/>
        <w:bottom w:val="none" w:sz="0" w:space="0" w:color="auto"/>
        <w:right w:val="none" w:sz="0" w:space="0" w:color="auto"/>
      </w:divBdr>
    </w:div>
    <w:div w:id="973219262">
      <w:bodyDiv w:val="1"/>
      <w:marLeft w:val="0"/>
      <w:marRight w:val="0"/>
      <w:marTop w:val="0"/>
      <w:marBottom w:val="0"/>
      <w:divBdr>
        <w:top w:val="none" w:sz="0" w:space="0" w:color="auto"/>
        <w:left w:val="none" w:sz="0" w:space="0" w:color="auto"/>
        <w:bottom w:val="none" w:sz="0" w:space="0" w:color="auto"/>
        <w:right w:val="none" w:sz="0" w:space="0" w:color="auto"/>
      </w:divBdr>
    </w:div>
    <w:div w:id="973364784">
      <w:bodyDiv w:val="1"/>
      <w:marLeft w:val="0"/>
      <w:marRight w:val="0"/>
      <w:marTop w:val="0"/>
      <w:marBottom w:val="0"/>
      <w:divBdr>
        <w:top w:val="none" w:sz="0" w:space="0" w:color="auto"/>
        <w:left w:val="none" w:sz="0" w:space="0" w:color="auto"/>
        <w:bottom w:val="none" w:sz="0" w:space="0" w:color="auto"/>
        <w:right w:val="none" w:sz="0" w:space="0" w:color="auto"/>
      </w:divBdr>
    </w:div>
    <w:div w:id="973408222">
      <w:bodyDiv w:val="1"/>
      <w:marLeft w:val="0"/>
      <w:marRight w:val="0"/>
      <w:marTop w:val="0"/>
      <w:marBottom w:val="0"/>
      <w:divBdr>
        <w:top w:val="none" w:sz="0" w:space="0" w:color="auto"/>
        <w:left w:val="none" w:sz="0" w:space="0" w:color="auto"/>
        <w:bottom w:val="none" w:sz="0" w:space="0" w:color="auto"/>
        <w:right w:val="none" w:sz="0" w:space="0" w:color="auto"/>
      </w:divBdr>
    </w:div>
    <w:div w:id="973483343">
      <w:bodyDiv w:val="1"/>
      <w:marLeft w:val="0"/>
      <w:marRight w:val="0"/>
      <w:marTop w:val="0"/>
      <w:marBottom w:val="0"/>
      <w:divBdr>
        <w:top w:val="none" w:sz="0" w:space="0" w:color="auto"/>
        <w:left w:val="none" w:sz="0" w:space="0" w:color="auto"/>
        <w:bottom w:val="none" w:sz="0" w:space="0" w:color="auto"/>
        <w:right w:val="none" w:sz="0" w:space="0" w:color="auto"/>
      </w:divBdr>
    </w:div>
    <w:div w:id="973750180">
      <w:bodyDiv w:val="1"/>
      <w:marLeft w:val="0"/>
      <w:marRight w:val="0"/>
      <w:marTop w:val="0"/>
      <w:marBottom w:val="0"/>
      <w:divBdr>
        <w:top w:val="none" w:sz="0" w:space="0" w:color="auto"/>
        <w:left w:val="none" w:sz="0" w:space="0" w:color="auto"/>
        <w:bottom w:val="none" w:sz="0" w:space="0" w:color="auto"/>
        <w:right w:val="none" w:sz="0" w:space="0" w:color="auto"/>
      </w:divBdr>
    </w:div>
    <w:div w:id="973952488">
      <w:bodyDiv w:val="1"/>
      <w:marLeft w:val="0"/>
      <w:marRight w:val="0"/>
      <w:marTop w:val="0"/>
      <w:marBottom w:val="0"/>
      <w:divBdr>
        <w:top w:val="none" w:sz="0" w:space="0" w:color="auto"/>
        <w:left w:val="none" w:sz="0" w:space="0" w:color="auto"/>
        <w:bottom w:val="none" w:sz="0" w:space="0" w:color="auto"/>
        <w:right w:val="none" w:sz="0" w:space="0" w:color="auto"/>
      </w:divBdr>
    </w:div>
    <w:div w:id="974211770">
      <w:bodyDiv w:val="1"/>
      <w:marLeft w:val="0"/>
      <w:marRight w:val="0"/>
      <w:marTop w:val="0"/>
      <w:marBottom w:val="0"/>
      <w:divBdr>
        <w:top w:val="none" w:sz="0" w:space="0" w:color="auto"/>
        <w:left w:val="none" w:sz="0" w:space="0" w:color="auto"/>
        <w:bottom w:val="none" w:sz="0" w:space="0" w:color="auto"/>
        <w:right w:val="none" w:sz="0" w:space="0" w:color="auto"/>
      </w:divBdr>
    </w:div>
    <w:div w:id="974406656">
      <w:bodyDiv w:val="1"/>
      <w:marLeft w:val="0"/>
      <w:marRight w:val="0"/>
      <w:marTop w:val="0"/>
      <w:marBottom w:val="0"/>
      <w:divBdr>
        <w:top w:val="none" w:sz="0" w:space="0" w:color="auto"/>
        <w:left w:val="none" w:sz="0" w:space="0" w:color="auto"/>
        <w:bottom w:val="none" w:sz="0" w:space="0" w:color="auto"/>
        <w:right w:val="none" w:sz="0" w:space="0" w:color="auto"/>
      </w:divBdr>
    </w:div>
    <w:div w:id="974719482">
      <w:bodyDiv w:val="1"/>
      <w:marLeft w:val="0"/>
      <w:marRight w:val="0"/>
      <w:marTop w:val="0"/>
      <w:marBottom w:val="0"/>
      <w:divBdr>
        <w:top w:val="none" w:sz="0" w:space="0" w:color="auto"/>
        <w:left w:val="none" w:sz="0" w:space="0" w:color="auto"/>
        <w:bottom w:val="none" w:sz="0" w:space="0" w:color="auto"/>
        <w:right w:val="none" w:sz="0" w:space="0" w:color="auto"/>
      </w:divBdr>
    </w:div>
    <w:div w:id="975570568">
      <w:bodyDiv w:val="1"/>
      <w:marLeft w:val="0"/>
      <w:marRight w:val="0"/>
      <w:marTop w:val="0"/>
      <w:marBottom w:val="0"/>
      <w:divBdr>
        <w:top w:val="none" w:sz="0" w:space="0" w:color="auto"/>
        <w:left w:val="none" w:sz="0" w:space="0" w:color="auto"/>
        <w:bottom w:val="none" w:sz="0" w:space="0" w:color="auto"/>
        <w:right w:val="none" w:sz="0" w:space="0" w:color="auto"/>
      </w:divBdr>
    </w:div>
    <w:div w:id="975837377">
      <w:bodyDiv w:val="1"/>
      <w:marLeft w:val="0"/>
      <w:marRight w:val="0"/>
      <w:marTop w:val="0"/>
      <w:marBottom w:val="0"/>
      <w:divBdr>
        <w:top w:val="none" w:sz="0" w:space="0" w:color="auto"/>
        <w:left w:val="none" w:sz="0" w:space="0" w:color="auto"/>
        <w:bottom w:val="none" w:sz="0" w:space="0" w:color="auto"/>
        <w:right w:val="none" w:sz="0" w:space="0" w:color="auto"/>
      </w:divBdr>
    </w:div>
    <w:div w:id="976952326">
      <w:bodyDiv w:val="1"/>
      <w:marLeft w:val="0"/>
      <w:marRight w:val="0"/>
      <w:marTop w:val="0"/>
      <w:marBottom w:val="0"/>
      <w:divBdr>
        <w:top w:val="none" w:sz="0" w:space="0" w:color="auto"/>
        <w:left w:val="none" w:sz="0" w:space="0" w:color="auto"/>
        <w:bottom w:val="none" w:sz="0" w:space="0" w:color="auto"/>
        <w:right w:val="none" w:sz="0" w:space="0" w:color="auto"/>
      </w:divBdr>
    </w:div>
    <w:div w:id="977227426">
      <w:bodyDiv w:val="1"/>
      <w:marLeft w:val="0"/>
      <w:marRight w:val="0"/>
      <w:marTop w:val="0"/>
      <w:marBottom w:val="0"/>
      <w:divBdr>
        <w:top w:val="none" w:sz="0" w:space="0" w:color="auto"/>
        <w:left w:val="none" w:sz="0" w:space="0" w:color="auto"/>
        <w:bottom w:val="none" w:sz="0" w:space="0" w:color="auto"/>
        <w:right w:val="none" w:sz="0" w:space="0" w:color="auto"/>
      </w:divBdr>
    </w:div>
    <w:div w:id="977304115">
      <w:bodyDiv w:val="1"/>
      <w:marLeft w:val="0"/>
      <w:marRight w:val="0"/>
      <w:marTop w:val="0"/>
      <w:marBottom w:val="0"/>
      <w:divBdr>
        <w:top w:val="none" w:sz="0" w:space="0" w:color="auto"/>
        <w:left w:val="none" w:sz="0" w:space="0" w:color="auto"/>
        <w:bottom w:val="none" w:sz="0" w:space="0" w:color="auto"/>
        <w:right w:val="none" w:sz="0" w:space="0" w:color="auto"/>
      </w:divBdr>
    </w:div>
    <w:div w:id="977805108">
      <w:bodyDiv w:val="1"/>
      <w:marLeft w:val="0"/>
      <w:marRight w:val="0"/>
      <w:marTop w:val="0"/>
      <w:marBottom w:val="0"/>
      <w:divBdr>
        <w:top w:val="none" w:sz="0" w:space="0" w:color="auto"/>
        <w:left w:val="none" w:sz="0" w:space="0" w:color="auto"/>
        <w:bottom w:val="none" w:sz="0" w:space="0" w:color="auto"/>
        <w:right w:val="none" w:sz="0" w:space="0" w:color="auto"/>
      </w:divBdr>
    </w:div>
    <w:div w:id="977958357">
      <w:bodyDiv w:val="1"/>
      <w:marLeft w:val="0"/>
      <w:marRight w:val="0"/>
      <w:marTop w:val="0"/>
      <w:marBottom w:val="0"/>
      <w:divBdr>
        <w:top w:val="none" w:sz="0" w:space="0" w:color="auto"/>
        <w:left w:val="none" w:sz="0" w:space="0" w:color="auto"/>
        <w:bottom w:val="none" w:sz="0" w:space="0" w:color="auto"/>
        <w:right w:val="none" w:sz="0" w:space="0" w:color="auto"/>
      </w:divBdr>
    </w:div>
    <w:div w:id="980117671">
      <w:bodyDiv w:val="1"/>
      <w:marLeft w:val="0"/>
      <w:marRight w:val="0"/>
      <w:marTop w:val="0"/>
      <w:marBottom w:val="0"/>
      <w:divBdr>
        <w:top w:val="none" w:sz="0" w:space="0" w:color="auto"/>
        <w:left w:val="none" w:sz="0" w:space="0" w:color="auto"/>
        <w:bottom w:val="none" w:sz="0" w:space="0" w:color="auto"/>
        <w:right w:val="none" w:sz="0" w:space="0" w:color="auto"/>
      </w:divBdr>
    </w:div>
    <w:div w:id="980235547">
      <w:bodyDiv w:val="1"/>
      <w:marLeft w:val="0"/>
      <w:marRight w:val="0"/>
      <w:marTop w:val="0"/>
      <w:marBottom w:val="0"/>
      <w:divBdr>
        <w:top w:val="none" w:sz="0" w:space="0" w:color="auto"/>
        <w:left w:val="none" w:sz="0" w:space="0" w:color="auto"/>
        <w:bottom w:val="none" w:sz="0" w:space="0" w:color="auto"/>
        <w:right w:val="none" w:sz="0" w:space="0" w:color="auto"/>
      </w:divBdr>
    </w:div>
    <w:div w:id="980379283">
      <w:bodyDiv w:val="1"/>
      <w:marLeft w:val="0"/>
      <w:marRight w:val="0"/>
      <w:marTop w:val="0"/>
      <w:marBottom w:val="0"/>
      <w:divBdr>
        <w:top w:val="none" w:sz="0" w:space="0" w:color="auto"/>
        <w:left w:val="none" w:sz="0" w:space="0" w:color="auto"/>
        <w:bottom w:val="none" w:sz="0" w:space="0" w:color="auto"/>
        <w:right w:val="none" w:sz="0" w:space="0" w:color="auto"/>
      </w:divBdr>
    </w:div>
    <w:div w:id="980427734">
      <w:bodyDiv w:val="1"/>
      <w:marLeft w:val="0"/>
      <w:marRight w:val="0"/>
      <w:marTop w:val="0"/>
      <w:marBottom w:val="0"/>
      <w:divBdr>
        <w:top w:val="none" w:sz="0" w:space="0" w:color="auto"/>
        <w:left w:val="none" w:sz="0" w:space="0" w:color="auto"/>
        <w:bottom w:val="none" w:sz="0" w:space="0" w:color="auto"/>
        <w:right w:val="none" w:sz="0" w:space="0" w:color="auto"/>
      </w:divBdr>
    </w:div>
    <w:div w:id="980572714">
      <w:bodyDiv w:val="1"/>
      <w:marLeft w:val="0"/>
      <w:marRight w:val="0"/>
      <w:marTop w:val="0"/>
      <w:marBottom w:val="0"/>
      <w:divBdr>
        <w:top w:val="none" w:sz="0" w:space="0" w:color="auto"/>
        <w:left w:val="none" w:sz="0" w:space="0" w:color="auto"/>
        <w:bottom w:val="none" w:sz="0" w:space="0" w:color="auto"/>
        <w:right w:val="none" w:sz="0" w:space="0" w:color="auto"/>
      </w:divBdr>
    </w:div>
    <w:div w:id="980622088">
      <w:bodyDiv w:val="1"/>
      <w:marLeft w:val="0"/>
      <w:marRight w:val="0"/>
      <w:marTop w:val="0"/>
      <w:marBottom w:val="0"/>
      <w:divBdr>
        <w:top w:val="none" w:sz="0" w:space="0" w:color="auto"/>
        <w:left w:val="none" w:sz="0" w:space="0" w:color="auto"/>
        <w:bottom w:val="none" w:sz="0" w:space="0" w:color="auto"/>
        <w:right w:val="none" w:sz="0" w:space="0" w:color="auto"/>
      </w:divBdr>
    </w:div>
    <w:div w:id="980772568">
      <w:bodyDiv w:val="1"/>
      <w:marLeft w:val="0"/>
      <w:marRight w:val="0"/>
      <w:marTop w:val="0"/>
      <w:marBottom w:val="0"/>
      <w:divBdr>
        <w:top w:val="none" w:sz="0" w:space="0" w:color="auto"/>
        <w:left w:val="none" w:sz="0" w:space="0" w:color="auto"/>
        <w:bottom w:val="none" w:sz="0" w:space="0" w:color="auto"/>
        <w:right w:val="none" w:sz="0" w:space="0" w:color="auto"/>
      </w:divBdr>
    </w:div>
    <w:div w:id="981537771">
      <w:bodyDiv w:val="1"/>
      <w:marLeft w:val="0"/>
      <w:marRight w:val="0"/>
      <w:marTop w:val="0"/>
      <w:marBottom w:val="0"/>
      <w:divBdr>
        <w:top w:val="none" w:sz="0" w:space="0" w:color="auto"/>
        <w:left w:val="none" w:sz="0" w:space="0" w:color="auto"/>
        <w:bottom w:val="none" w:sz="0" w:space="0" w:color="auto"/>
        <w:right w:val="none" w:sz="0" w:space="0" w:color="auto"/>
      </w:divBdr>
    </w:div>
    <w:div w:id="983236892">
      <w:bodyDiv w:val="1"/>
      <w:marLeft w:val="0"/>
      <w:marRight w:val="0"/>
      <w:marTop w:val="0"/>
      <w:marBottom w:val="0"/>
      <w:divBdr>
        <w:top w:val="none" w:sz="0" w:space="0" w:color="auto"/>
        <w:left w:val="none" w:sz="0" w:space="0" w:color="auto"/>
        <w:bottom w:val="none" w:sz="0" w:space="0" w:color="auto"/>
        <w:right w:val="none" w:sz="0" w:space="0" w:color="auto"/>
      </w:divBdr>
    </w:div>
    <w:div w:id="983509465">
      <w:bodyDiv w:val="1"/>
      <w:marLeft w:val="0"/>
      <w:marRight w:val="0"/>
      <w:marTop w:val="0"/>
      <w:marBottom w:val="0"/>
      <w:divBdr>
        <w:top w:val="none" w:sz="0" w:space="0" w:color="auto"/>
        <w:left w:val="none" w:sz="0" w:space="0" w:color="auto"/>
        <w:bottom w:val="none" w:sz="0" w:space="0" w:color="auto"/>
        <w:right w:val="none" w:sz="0" w:space="0" w:color="auto"/>
      </w:divBdr>
    </w:div>
    <w:div w:id="984240654">
      <w:bodyDiv w:val="1"/>
      <w:marLeft w:val="0"/>
      <w:marRight w:val="0"/>
      <w:marTop w:val="0"/>
      <w:marBottom w:val="0"/>
      <w:divBdr>
        <w:top w:val="none" w:sz="0" w:space="0" w:color="auto"/>
        <w:left w:val="none" w:sz="0" w:space="0" w:color="auto"/>
        <w:bottom w:val="none" w:sz="0" w:space="0" w:color="auto"/>
        <w:right w:val="none" w:sz="0" w:space="0" w:color="auto"/>
      </w:divBdr>
    </w:div>
    <w:div w:id="984628523">
      <w:bodyDiv w:val="1"/>
      <w:marLeft w:val="0"/>
      <w:marRight w:val="0"/>
      <w:marTop w:val="0"/>
      <w:marBottom w:val="0"/>
      <w:divBdr>
        <w:top w:val="none" w:sz="0" w:space="0" w:color="auto"/>
        <w:left w:val="none" w:sz="0" w:space="0" w:color="auto"/>
        <w:bottom w:val="none" w:sz="0" w:space="0" w:color="auto"/>
        <w:right w:val="none" w:sz="0" w:space="0" w:color="auto"/>
      </w:divBdr>
    </w:div>
    <w:div w:id="984697818">
      <w:bodyDiv w:val="1"/>
      <w:marLeft w:val="0"/>
      <w:marRight w:val="0"/>
      <w:marTop w:val="0"/>
      <w:marBottom w:val="0"/>
      <w:divBdr>
        <w:top w:val="none" w:sz="0" w:space="0" w:color="auto"/>
        <w:left w:val="none" w:sz="0" w:space="0" w:color="auto"/>
        <w:bottom w:val="none" w:sz="0" w:space="0" w:color="auto"/>
        <w:right w:val="none" w:sz="0" w:space="0" w:color="auto"/>
      </w:divBdr>
    </w:div>
    <w:div w:id="985082771">
      <w:bodyDiv w:val="1"/>
      <w:marLeft w:val="0"/>
      <w:marRight w:val="0"/>
      <w:marTop w:val="0"/>
      <w:marBottom w:val="0"/>
      <w:divBdr>
        <w:top w:val="none" w:sz="0" w:space="0" w:color="auto"/>
        <w:left w:val="none" w:sz="0" w:space="0" w:color="auto"/>
        <w:bottom w:val="none" w:sz="0" w:space="0" w:color="auto"/>
        <w:right w:val="none" w:sz="0" w:space="0" w:color="auto"/>
      </w:divBdr>
    </w:div>
    <w:div w:id="985285418">
      <w:bodyDiv w:val="1"/>
      <w:marLeft w:val="0"/>
      <w:marRight w:val="0"/>
      <w:marTop w:val="0"/>
      <w:marBottom w:val="0"/>
      <w:divBdr>
        <w:top w:val="none" w:sz="0" w:space="0" w:color="auto"/>
        <w:left w:val="none" w:sz="0" w:space="0" w:color="auto"/>
        <w:bottom w:val="none" w:sz="0" w:space="0" w:color="auto"/>
        <w:right w:val="none" w:sz="0" w:space="0" w:color="auto"/>
      </w:divBdr>
    </w:div>
    <w:div w:id="985400040">
      <w:bodyDiv w:val="1"/>
      <w:marLeft w:val="0"/>
      <w:marRight w:val="0"/>
      <w:marTop w:val="0"/>
      <w:marBottom w:val="0"/>
      <w:divBdr>
        <w:top w:val="none" w:sz="0" w:space="0" w:color="auto"/>
        <w:left w:val="none" w:sz="0" w:space="0" w:color="auto"/>
        <w:bottom w:val="none" w:sz="0" w:space="0" w:color="auto"/>
        <w:right w:val="none" w:sz="0" w:space="0" w:color="auto"/>
      </w:divBdr>
    </w:div>
    <w:div w:id="985626795">
      <w:bodyDiv w:val="1"/>
      <w:marLeft w:val="0"/>
      <w:marRight w:val="0"/>
      <w:marTop w:val="0"/>
      <w:marBottom w:val="0"/>
      <w:divBdr>
        <w:top w:val="none" w:sz="0" w:space="0" w:color="auto"/>
        <w:left w:val="none" w:sz="0" w:space="0" w:color="auto"/>
        <w:bottom w:val="none" w:sz="0" w:space="0" w:color="auto"/>
        <w:right w:val="none" w:sz="0" w:space="0" w:color="auto"/>
      </w:divBdr>
    </w:div>
    <w:div w:id="985739738">
      <w:bodyDiv w:val="1"/>
      <w:marLeft w:val="0"/>
      <w:marRight w:val="0"/>
      <w:marTop w:val="0"/>
      <w:marBottom w:val="0"/>
      <w:divBdr>
        <w:top w:val="none" w:sz="0" w:space="0" w:color="auto"/>
        <w:left w:val="none" w:sz="0" w:space="0" w:color="auto"/>
        <w:bottom w:val="none" w:sz="0" w:space="0" w:color="auto"/>
        <w:right w:val="none" w:sz="0" w:space="0" w:color="auto"/>
      </w:divBdr>
    </w:div>
    <w:div w:id="985863778">
      <w:bodyDiv w:val="1"/>
      <w:marLeft w:val="0"/>
      <w:marRight w:val="0"/>
      <w:marTop w:val="0"/>
      <w:marBottom w:val="0"/>
      <w:divBdr>
        <w:top w:val="none" w:sz="0" w:space="0" w:color="auto"/>
        <w:left w:val="none" w:sz="0" w:space="0" w:color="auto"/>
        <w:bottom w:val="none" w:sz="0" w:space="0" w:color="auto"/>
        <w:right w:val="none" w:sz="0" w:space="0" w:color="auto"/>
      </w:divBdr>
    </w:div>
    <w:div w:id="985940048">
      <w:bodyDiv w:val="1"/>
      <w:marLeft w:val="0"/>
      <w:marRight w:val="0"/>
      <w:marTop w:val="0"/>
      <w:marBottom w:val="0"/>
      <w:divBdr>
        <w:top w:val="none" w:sz="0" w:space="0" w:color="auto"/>
        <w:left w:val="none" w:sz="0" w:space="0" w:color="auto"/>
        <w:bottom w:val="none" w:sz="0" w:space="0" w:color="auto"/>
        <w:right w:val="none" w:sz="0" w:space="0" w:color="auto"/>
      </w:divBdr>
    </w:div>
    <w:div w:id="986057244">
      <w:bodyDiv w:val="1"/>
      <w:marLeft w:val="0"/>
      <w:marRight w:val="0"/>
      <w:marTop w:val="0"/>
      <w:marBottom w:val="0"/>
      <w:divBdr>
        <w:top w:val="none" w:sz="0" w:space="0" w:color="auto"/>
        <w:left w:val="none" w:sz="0" w:space="0" w:color="auto"/>
        <w:bottom w:val="none" w:sz="0" w:space="0" w:color="auto"/>
        <w:right w:val="none" w:sz="0" w:space="0" w:color="auto"/>
      </w:divBdr>
    </w:div>
    <w:div w:id="986283365">
      <w:bodyDiv w:val="1"/>
      <w:marLeft w:val="0"/>
      <w:marRight w:val="0"/>
      <w:marTop w:val="0"/>
      <w:marBottom w:val="0"/>
      <w:divBdr>
        <w:top w:val="none" w:sz="0" w:space="0" w:color="auto"/>
        <w:left w:val="none" w:sz="0" w:space="0" w:color="auto"/>
        <w:bottom w:val="none" w:sz="0" w:space="0" w:color="auto"/>
        <w:right w:val="none" w:sz="0" w:space="0" w:color="auto"/>
      </w:divBdr>
    </w:div>
    <w:div w:id="986474905">
      <w:bodyDiv w:val="1"/>
      <w:marLeft w:val="0"/>
      <w:marRight w:val="0"/>
      <w:marTop w:val="0"/>
      <w:marBottom w:val="0"/>
      <w:divBdr>
        <w:top w:val="none" w:sz="0" w:space="0" w:color="auto"/>
        <w:left w:val="none" w:sz="0" w:space="0" w:color="auto"/>
        <w:bottom w:val="none" w:sz="0" w:space="0" w:color="auto"/>
        <w:right w:val="none" w:sz="0" w:space="0" w:color="auto"/>
      </w:divBdr>
    </w:div>
    <w:div w:id="986595995">
      <w:bodyDiv w:val="1"/>
      <w:marLeft w:val="0"/>
      <w:marRight w:val="0"/>
      <w:marTop w:val="0"/>
      <w:marBottom w:val="0"/>
      <w:divBdr>
        <w:top w:val="none" w:sz="0" w:space="0" w:color="auto"/>
        <w:left w:val="none" w:sz="0" w:space="0" w:color="auto"/>
        <w:bottom w:val="none" w:sz="0" w:space="0" w:color="auto"/>
        <w:right w:val="none" w:sz="0" w:space="0" w:color="auto"/>
      </w:divBdr>
    </w:div>
    <w:div w:id="986859677">
      <w:bodyDiv w:val="1"/>
      <w:marLeft w:val="0"/>
      <w:marRight w:val="0"/>
      <w:marTop w:val="0"/>
      <w:marBottom w:val="0"/>
      <w:divBdr>
        <w:top w:val="none" w:sz="0" w:space="0" w:color="auto"/>
        <w:left w:val="none" w:sz="0" w:space="0" w:color="auto"/>
        <w:bottom w:val="none" w:sz="0" w:space="0" w:color="auto"/>
        <w:right w:val="none" w:sz="0" w:space="0" w:color="auto"/>
      </w:divBdr>
    </w:div>
    <w:div w:id="986979834">
      <w:bodyDiv w:val="1"/>
      <w:marLeft w:val="0"/>
      <w:marRight w:val="0"/>
      <w:marTop w:val="0"/>
      <w:marBottom w:val="0"/>
      <w:divBdr>
        <w:top w:val="none" w:sz="0" w:space="0" w:color="auto"/>
        <w:left w:val="none" w:sz="0" w:space="0" w:color="auto"/>
        <w:bottom w:val="none" w:sz="0" w:space="0" w:color="auto"/>
        <w:right w:val="none" w:sz="0" w:space="0" w:color="auto"/>
      </w:divBdr>
    </w:div>
    <w:div w:id="987592054">
      <w:bodyDiv w:val="1"/>
      <w:marLeft w:val="0"/>
      <w:marRight w:val="0"/>
      <w:marTop w:val="0"/>
      <w:marBottom w:val="0"/>
      <w:divBdr>
        <w:top w:val="none" w:sz="0" w:space="0" w:color="auto"/>
        <w:left w:val="none" w:sz="0" w:space="0" w:color="auto"/>
        <w:bottom w:val="none" w:sz="0" w:space="0" w:color="auto"/>
        <w:right w:val="none" w:sz="0" w:space="0" w:color="auto"/>
      </w:divBdr>
    </w:div>
    <w:div w:id="987712131">
      <w:bodyDiv w:val="1"/>
      <w:marLeft w:val="0"/>
      <w:marRight w:val="0"/>
      <w:marTop w:val="0"/>
      <w:marBottom w:val="0"/>
      <w:divBdr>
        <w:top w:val="none" w:sz="0" w:space="0" w:color="auto"/>
        <w:left w:val="none" w:sz="0" w:space="0" w:color="auto"/>
        <w:bottom w:val="none" w:sz="0" w:space="0" w:color="auto"/>
        <w:right w:val="none" w:sz="0" w:space="0" w:color="auto"/>
      </w:divBdr>
    </w:div>
    <w:div w:id="988168140">
      <w:bodyDiv w:val="1"/>
      <w:marLeft w:val="0"/>
      <w:marRight w:val="0"/>
      <w:marTop w:val="0"/>
      <w:marBottom w:val="0"/>
      <w:divBdr>
        <w:top w:val="none" w:sz="0" w:space="0" w:color="auto"/>
        <w:left w:val="none" w:sz="0" w:space="0" w:color="auto"/>
        <w:bottom w:val="none" w:sz="0" w:space="0" w:color="auto"/>
        <w:right w:val="none" w:sz="0" w:space="0" w:color="auto"/>
      </w:divBdr>
    </w:div>
    <w:div w:id="988285539">
      <w:bodyDiv w:val="1"/>
      <w:marLeft w:val="0"/>
      <w:marRight w:val="0"/>
      <w:marTop w:val="0"/>
      <w:marBottom w:val="0"/>
      <w:divBdr>
        <w:top w:val="none" w:sz="0" w:space="0" w:color="auto"/>
        <w:left w:val="none" w:sz="0" w:space="0" w:color="auto"/>
        <w:bottom w:val="none" w:sz="0" w:space="0" w:color="auto"/>
        <w:right w:val="none" w:sz="0" w:space="0" w:color="auto"/>
      </w:divBdr>
    </w:div>
    <w:div w:id="989019887">
      <w:bodyDiv w:val="1"/>
      <w:marLeft w:val="0"/>
      <w:marRight w:val="0"/>
      <w:marTop w:val="0"/>
      <w:marBottom w:val="0"/>
      <w:divBdr>
        <w:top w:val="none" w:sz="0" w:space="0" w:color="auto"/>
        <w:left w:val="none" w:sz="0" w:space="0" w:color="auto"/>
        <w:bottom w:val="none" w:sz="0" w:space="0" w:color="auto"/>
        <w:right w:val="none" w:sz="0" w:space="0" w:color="auto"/>
      </w:divBdr>
    </w:div>
    <w:div w:id="989754503">
      <w:bodyDiv w:val="1"/>
      <w:marLeft w:val="0"/>
      <w:marRight w:val="0"/>
      <w:marTop w:val="0"/>
      <w:marBottom w:val="0"/>
      <w:divBdr>
        <w:top w:val="none" w:sz="0" w:space="0" w:color="auto"/>
        <w:left w:val="none" w:sz="0" w:space="0" w:color="auto"/>
        <w:bottom w:val="none" w:sz="0" w:space="0" w:color="auto"/>
        <w:right w:val="none" w:sz="0" w:space="0" w:color="auto"/>
      </w:divBdr>
    </w:div>
    <w:div w:id="990064587">
      <w:bodyDiv w:val="1"/>
      <w:marLeft w:val="0"/>
      <w:marRight w:val="0"/>
      <w:marTop w:val="0"/>
      <w:marBottom w:val="0"/>
      <w:divBdr>
        <w:top w:val="none" w:sz="0" w:space="0" w:color="auto"/>
        <w:left w:val="none" w:sz="0" w:space="0" w:color="auto"/>
        <w:bottom w:val="none" w:sz="0" w:space="0" w:color="auto"/>
        <w:right w:val="none" w:sz="0" w:space="0" w:color="auto"/>
      </w:divBdr>
    </w:div>
    <w:div w:id="991060274">
      <w:bodyDiv w:val="1"/>
      <w:marLeft w:val="0"/>
      <w:marRight w:val="0"/>
      <w:marTop w:val="0"/>
      <w:marBottom w:val="0"/>
      <w:divBdr>
        <w:top w:val="none" w:sz="0" w:space="0" w:color="auto"/>
        <w:left w:val="none" w:sz="0" w:space="0" w:color="auto"/>
        <w:bottom w:val="none" w:sz="0" w:space="0" w:color="auto"/>
        <w:right w:val="none" w:sz="0" w:space="0" w:color="auto"/>
      </w:divBdr>
    </w:div>
    <w:div w:id="991257889">
      <w:bodyDiv w:val="1"/>
      <w:marLeft w:val="0"/>
      <w:marRight w:val="0"/>
      <w:marTop w:val="0"/>
      <w:marBottom w:val="0"/>
      <w:divBdr>
        <w:top w:val="none" w:sz="0" w:space="0" w:color="auto"/>
        <w:left w:val="none" w:sz="0" w:space="0" w:color="auto"/>
        <w:bottom w:val="none" w:sz="0" w:space="0" w:color="auto"/>
        <w:right w:val="none" w:sz="0" w:space="0" w:color="auto"/>
      </w:divBdr>
    </w:div>
    <w:div w:id="992097870">
      <w:bodyDiv w:val="1"/>
      <w:marLeft w:val="0"/>
      <w:marRight w:val="0"/>
      <w:marTop w:val="0"/>
      <w:marBottom w:val="0"/>
      <w:divBdr>
        <w:top w:val="none" w:sz="0" w:space="0" w:color="auto"/>
        <w:left w:val="none" w:sz="0" w:space="0" w:color="auto"/>
        <w:bottom w:val="none" w:sz="0" w:space="0" w:color="auto"/>
        <w:right w:val="none" w:sz="0" w:space="0" w:color="auto"/>
      </w:divBdr>
    </w:div>
    <w:div w:id="992216650">
      <w:bodyDiv w:val="1"/>
      <w:marLeft w:val="0"/>
      <w:marRight w:val="0"/>
      <w:marTop w:val="0"/>
      <w:marBottom w:val="0"/>
      <w:divBdr>
        <w:top w:val="none" w:sz="0" w:space="0" w:color="auto"/>
        <w:left w:val="none" w:sz="0" w:space="0" w:color="auto"/>
        <w:bottom w:val="none" w:sz="0" w:space="0" w:color="auto"/>
        <w:right w:val="none" w:sz="0" w:space="0" w:color="auto"/>
      </w:divBdr>
    </w:div>
    <w:div w:id="992218073">
      <w:bodyDiv w:val="1"/>
      <w:marLeft w:val="0"/>
      <w:marRight w:val="0"/>
      <w:marTop w:val="0"/>
      <w:marBottom w:val="0"/>
      <w:divBdr>
        <w:top w:val="none" w:sz="0" w:space="0" w:color="auto"/>
        <w:left w:val="none" w:sz="0" w:space="0" w:color="auto"/>
        <w:bottom w:val="none" w:sz="0" w:space="0" w:color="auto"/>
        <w:right w:val="none" w:sz="0" w:space="0" w:color="auto"/>
      </w:divBdr>
    </w:div>
    <w:div w:id="992685067">
      <w:bodyDiv w:val="1"/>
      <w:marLeft w:val="0"/>
      <w:marRight w:val="0"/>
      <w:marTop w:val="0"/>
      <w:marBottom w:val="0"/>
      <w:divBdr>
        <w:top w:val="none" w:sz="0" w:space="0" w:color="auto"/>
        <w:left w:val="none" w:sz="0" w:space="0" w:color="auto"/>
        <w:bottom w:val="none" w:sz="0" w:space="0" w:color="auto"/>
        <w:right w:val="none" w:sz="0" w:space="0" w:color="auto"/>
      </w:divBdr>
    </w:div>
    <w:div w:id="993068672">
      <w:bodyDiv w:val="1"/>
      <w:marLeft w:val="0"/>
      <w:marRight w:val="0"/>
      <w:marTop w:val="0"/>
      <w:marBottom w:val="0"/>
      <w:divBdr>
        <w:top w:val="none" w:sz="0" w:space="0" w:color="auto"/>
        <w:left w:val="none" w:sz="0" w:space="0" w:color="auto"/>
        <w:bottom w:val="none" w:sz="0" w:space="0" w:color="auto"/>
        <w:right w:val="none" w:sz="0" w:space="0" w:color="auto"/>
      </w:divBdr>
    </w:div>
    <w:div w:id="993414375">
      <w:bodyDiv w:val="1"/>
      <w:marLeft w:val="0"/>
      <w:marRight w:val="0"/>
      <w:marTop w:val="0"/>
      <w:marBottom w:val="0"/>
      <w:divBdr>
        <w:top w:val="none" w:sz="0" w:space="0" w:color="auto"/>
        <w:left w:val="none" w:sz="0" w:space="0" w:color="auto"/>
        <w:bottom w:val="none" w:sz="0" w:space="0" w:color="auto"/>
        <w:right w:val="none" w:sz="0" w:space="0" w:color="auto"/>
      </w:divBdr>
    </w:div>
    <w:div w:id="994066701">
      <w:bodyDiv w:val="1"/>
      <w:marLeft w:val="0"/>
      <w:marRight w:val="0"/>
      <w:marTop w:val="0"/>
      <w:marBottom w:val="0"/>
      <w:divBdr>
        <w:top w:val="none" w:sz="0" w:space="0" w:color="auto"/>
        <w:left w:val="none" w:sz="0" w:space="0" w:color="auto"/>
        <w:bottom w:val="none" w:sz="0" w:space="0" w:color="auto"/>
        <w:right w:val="none" w:sz="0" w:space="0" w:color="auto"/>
      </w:divBdr>
    </w:div>
    <w:div w:id="994259367">
      <w:bodyDiv w:val="1"/>
      <w:marLeft w:val="0"/>
      <w:marRight w:val="0"/>
      <w:marTop w:val="0"/>
      <w:marBottom w:val="0"/>
      <w:divBdr>
        <w:top w:val="none" w:sz="0" w:space="0" w:color="auto"/>
        <w:left w:val="none" w:sz="0" w:space="0" w:color="auto"/>
        <w:bottom w:val="none" w:sz="0" w:space="0" w:color="auto"/>
        <w:right w:val="none" w:sz="0" w:space="0" w:color="auto"/>
      </w:divBdr>
    </w:div>
    <w:div w:id="994840245">
      <w:bodyDiv w:val="1"/>
      <w:marLeft w:val="0"/>
      <w:marRight w:val="0"/>
      <w:marTop w:val="0"/>
      <w:marBottom w:val="0"/>
      <w:divBdr>
        <w:top w:val="none" w:sz="0" w:space="0" w:color="auto"/>
        <w:left w:val="none" w:sz="0" w:space="0" w:color="auto"/>
        <w:bottom w:val="none" w:sz="0" w:space="0" w:color="auto"/>
        <w:right w:val="none" w:sz="0" w:space="0" w:color="auto"/>
      </w:divBdr>
    </w:div>
    <w:div w:id="995112537">
      <w:bodyDiv w:val="1"/>
      <w:marLeft w:val="0"/>
      <w:marRight w:val="0"/>
      <w:marTop w:val="0"/>
      <w:marBottom w:val="0"/>
      <w:divBdr>
        <w:top w:val="none" w:sz="0" w:space="0" w:color="auto"/>
        <w:left w:val="none" w:sz="0" w:space="0" w:color="auto"/>
        <w:bottom w:val="none" w:sz="0" w:space="0" w:color="auto"/>
        <w:right w:val="none" w:sz="0" w:space="0" w:color="auto"/>
      </w:divBdr>
    </w:div>
    <w:div w:id="995262058">
      <w:bodyDiv w:val="1"/>
      <w:marLeft w:val="0"/>
      <w:marRight w:val="0"/>
      <w:marTop w:val="0"/>
      <w:marBottom w:val="0"/>
      <w:divBdr>
        <w:top w:val="none" w:sz="0" w:space="0" w:color="auto"/>
        <w:left w:val="none" w:sz="0" w:space="0" w:color="auto"/>
        <w:bottom w:val="none" w:sz="0" w:space="0" w:color="auto"/>
        <w:right w:val="none" w:sz="0" w:space="0" w:color="auto"/>
      </w:divBdr>
    </w:div>
    <w:div w:id="995768008">
      <w:bodyDiv w:val="1"/>
      <w:marLeft w:val="0"/>
      <w:marRight w:val="0"/>
      <w:marTop w:val="0"/>
      <w:marBottom w:val="0"/>
      <w:divBdr>
        <w:top w:val="none" w:sz="0" w:space="0" w:color="auto"/>
        <w:left w:val="none" w:sz="0" w:space="0" w:color="auto"/>
        <w:bottom w:val="none" w:sz="0" w:space="0" w:color="auto"/>
        <w:right w:val="none" w:sz="0" w:space="0" w:color="auto"/>
      </w:divBdr>
    </w:div>
    <w:div w:id="995887754">
      <w:bodyDiv w:val="1"/>
      <w:marLeft w:val="0"/>
      <w:marRight w:val="0"/>
      <w:marTop w:val="0"/>
      <w:marBottom w:val="0"/>
      <w:divBdr>
        <w:top w:val="none" w:sz="0" w:space="0" w:color="auto"/>
        <w:left w:val="none" w:sz="0" w:space="0" w:color="auto"/>
        <w:bottom w:val="none" w:sz="0" w:space="0" w:color="auto"/>
        <w:right w:val="none" w:sz="0" w:space="0" w:color="auto"/>
      </w:divBdr>
    </w:div>
    <w:div w:id="995914596">
      <w:bodyDiv w:val="1"/>
      <w:marLeft w:val="0"/>
      <w:marRight w:val="0"/>
      <w:marTop w:val="0"/>
      <w:marBottom w:val="0"/>
      <w:divBdr>
        <w:top w:val="none" w:sz="0" w:space="0" w:color="auto"/>
        <w:left w:val="none" w:sz="0" w:space="0" w:color="auto"/>
        <w:bottom w:val="none" w:sz="0" w:space="0" w:color="auto"/>
        <w:right w:val="none" w:sz="0" w:space="0" w:color="auto"/>
      </w:divBdr>
    </w:div>
    <w:div w:id="996104553">
      <w:bodyDiv w:val="1"/>
      <w:marLeft w:val="0"/>
      <w:marRight w:val="0"/>
      <w:marTop w:val="0"/>
      <w:marBottom w:val="0"/>
      <w:divBdr>
        <w:top w:val="none" w:sz="0" w:space="0" w:color="auto"/>
        <w:left w:val="none" w:sz="0" w:space="0" w:color="auto"/>
        <w:bottom w:val="none" w:sz="0" w:space="0" w:color="auto"/>
        <w:right w:val="none" w:sz="0" w:space="0" w:color="auto"/>
      </w:divBdr>
    </w:div>
    <w:div w:id="996765403">
      <w:bodyDiv w:val="1"/>
      <w:marLeft w:val="0"/>
      <w:marRight w:val="0"/>
      <w:marTop w:val="0"/>
      <w:marBottom w:val="0"/>
      <w:divBdr>
        <w:top w:val="none" w:sz="0" w:space="0" w:color="auto"/>
        <w:left w:val="none" w:sz="0" w:space="0" w:color="auto"/>
        <w:bottom w:val="none" w:sz="0" w:space="0" w:color="auto"/>
        <w:right w:val="none" w:sz="0" w:space="0" w:color="auto"/>
      </w:divBdr>
    </w:div>
    <w:div w:id="997073846">
      <w:bodyDiv w:val="1"/>
      <w:marLeft w:val="0"/>
      <w:marRight w:val="0"/>
      <w:marTop w:val="0"/>
      <w:marBottom w:val="0"/>
      <w:divBdr>
        <w:top w:val="none" w:sz="0" w:space="0" w:color="auto"/>
        <w:left w:val="none" w:sz="0" w:space="0" w:color="auto"/>
        <w:bottom w:val="none" w:sz="0" w:space="0" w:color="auto"/>
        <w:right w:val="none" w:sz="0" w:space="0" w:color="auto"/>
      </w:divBdr>
    </w:div>
    <w:div w:id="997422371">
      <w:bodyDiv w:val="1"/>
      <w:marLeft w:val="0"/>
      <w:marRight w:val="0"/>
      <w:marTop w:val="0"/>
      <w:marBottom w:val="0"/>
      <w:divBdr>
        <w:top w:val="none" w:sz="0" w:space="0" w:color="auto"/>
        <w:left w:val="none" w:sz="0" w:space="0" w:color="auto"/>
        <w:bottom w:val="none" w:sz="0" w:space="0" w:color="auto"/>
        <w:right w:val="none" w:sz="0" w:space="0" w:color="auto"/>
      </w:divBdr>
    </w:div>
    <w:div w:id="998079065">
      <w:bodyDiv w:val="1"/>
      <w:marLeft w:val="0"/>
      <w:marRight w:val="0"/>
      <w:marTop w:val="0"/>
      <w:marBottom w:val="0"/>
      <w:divBdr>
        <w:top w:val="none" w:sz="0" w:space="0" w:color="auto"/>
        <w:left w:val="none" w:sz="0" w:space="0" w:color="auto"/>
        <w:bottom w:val="none" w:sz="0" w:space="0" w:color="auto"/>
        <w:right w:val="none" w:sz="0" w:space="0" w:color="auto"/>
      </w:divBdr>
    </w:div>
    <w:div w:id="998116601">
      <w:bodyDiv w:val="1"/>
      <w:marLeft w:val="0"/>
      <w:marRight w:val="0"/>
      <w:marTop w:val="0"/>
      <w:marBottom w:val="0"/>
      <w:divBdr>
        <w:top w:val="none" w:sz="0" w:space="0" w:color="auto"/>
        <w:left w:val="none" w:sz="0" w:space="0" w:color="auto"/>
        <w:bottom w:val="none" w:sz="0" w:space="0" w:color="auto"/>
        <w:right w:val="none" w:sz="0" w:space="0" w:color="auto"/>
      </w:divBdr>
    </w:div>
    <w:div w:id="998189797">
      <w:bodyDiv w:val="1"/>
      <w:marLeft w:val="0"/>
      <w:marRight w:val="0"/>
      <w:marTop w:val="0"/>
      <w:marBottom w:val="0"/>
      <w:divBdr>
        <w:top w:val="none" w:sz="0" w:space="0" w:color="auto"/>
        <w:left w:val="none" w:sz="0" w:space="0" w:color="auto"/>
        <w:bottom w:val="none" w:sz="0" w:space="0" w:color="auto"/>
        <w:right w:val="none" w:sz="0" w:space="0" w:color="auto"/>
      </w:divBdr>
    </w:div>
    <w:div w:id="998340983">
      <w:bodyDiv w:val="1"/>
      <w:marLeft w:val="0"/>
      <w:marRight w:val="0"/>
      <w:marTop w:val="0"/>
      <w:marBottom w:val="0"/>
      <w:divBdr>
        <w:top w:val="none" w:sz="0" w:space="0" w:color="auto"/>
        <w:left w:val="none" w:sz="0" w:space="0" w:color="auto"/>
        <w:bottom w:val="none" w:sz="0" w:space="0" w:color="auto"/>
        <w:right w:val="none" w:sz="0" w:space="0" w:color="auto"/>
      </w:divBdr>
    </w:div>
    <w:div w:id="999117042">
      <w:bodyDiv w:val="1"/>
      <w:marLeft w:val="0"/>
      <w:marRight w:val="0"/>
      <w:marTop w:val="0"/>
      <w:marBottom w:val="0"/>
      <w:divBdr>
        <w:top w:val="none" w:sz="0" w:space="0" w:color="auto"/>
        <w:left w:val="none" w:sz="0" w:space="0" w:color="auto"/>
        <w:bottom w:val="none" w:sz="0" w:space="0" w:color="auto"/>
        <w:right w:val="none" w:sz="0" w:space="0" w:color="auto"/>
      </w:divBdr>
    </w:div>
    <w:div w:id="999193586">
      <w:bodyDiv w:val="1"/>
      <w:marLeft w:val="0"/>
      <w:marRight w:val="0"/>
      <w:marTop w:val="0"/>
      <w:marBottom w:val="0"/>
      <w:divBdr>
        <w:top w:val="none" w:sz="0" w:space="0" w:color="auto"/>
        <w:left w:val="none" w:sz="0" w:space="0" w:color="auto"/>
        <w:bottom w:val="none" w:sz="0" w:space="0" w:color="auto"/>
        <w:right w:val="none" w:sz="0" w:space="0" w:color="auto"/>
      </w:divBdr>
    </w:div>
    <w:div w:id="999578545">
      <w:bodyDiv w:val="1"/>
      <w:marLeft w:val="0"/>
      <w:marRight w:val="0"/>
      <w:marTop w:val="0"/>
      <w:marBottom w:val="0"/>
      <w:divBdr>
        <w:top w:val="none" w:sz="0" w:space="0" w:color="auto"/>
        <w:left w:val="none" w:sz="0" w:space="0" w:color="auto"/>
        <w:bottom w:val="none" w:sz="0" w:space="0" w:color="auto"/>
        <w:right w:val="none" w:sz="0" w:space="0" w:color="auto"/>
      </w:divBdr>
    </w:div>
    <w:div w:id="999583221">
      <w:bodyDiv w:val="1"/>
      <w:marLeft w:val="0"/>
      <w:marRight w:val="0"/>
      <w:marTop w:val="0"/>
      <w:marBottom w:val="0"/>
      <w:divBdr>
        <w:top w:val="none" w:sz="0" w:space="0" w:color="auto"/>
        <w:left w:val="none" w:sz="0" w:space="0" w:color="auto"/>
        <w:bottom w:val="none" w:sz="0" w:space="0" w:color="auto"/>
        <w:right w:val="none" w:sz="0" w:space="0" w:color="auto"/>
      </w:divBdr>
    </w:div>
    <w:div w:id="999696352">
      <w:bodyDiv w:val="1"/>
      <w:marLeft w:val="0"/>
      <w:marRight w:val="0"/>
      <w:marTop w:val="0"/>
      <w:marBottom w:val="0"/>
      <w:divBdr>
        <w:top w:val="none" w:sz="0" w:space="0" w:color="auto"/>
        <w:left w:val="none" w:sz="0" w:space="0" w:color="auto"/>
        <w:bottom w:val="none" w:sz="0" w:space="0" w:color="auto"/>
        <w:right w:val="none" w:sz="0" w:space="0" w:color="auto"/>
      </w:divBdr>
    </w:div>
    <w:div w:id="999769270">
      <w:bodyDiv w:val="1"/>
      <w:marLeft w:val="0"/>
      <w:marRight w:val="0"/>
      <w:marTop w:val="0"/>
      <w:marBottom w:val="0"/>
      <w:divBdr>
        <w:top w:val="none" w:sz="0" w:space="0" w:color="auto"/>
        <w:left w:val="none" w:sz="0" w:space="0" w:color="auto"/>
        <w:bottom w:val="none" w:sz="0" w:space="0" w:color="auto"/>
        <w:right w:val="none" w:sz="0" w:space="0" w:color="auto"/>
      </w:divBdr>
    </w:div>
    <w:div w:id="1000156885">
      <w:bodyDiv w:val="1"/>
      <w:marLeft w:val="0"/>
      <w:marRight w:val="0"/>
      <w:marTop w:val="0"/>
      <w:marBottom w:val="0"/>
      <w:divBdr>
        <w:top w:val="none" w:sz="0" w:space="0" w:color="auto"/>
        <w:left w:val="none" w:sz="0" w:space="0" w:color="auto"/>
        <w:bottom w:val="none" w:sz="0" w:space="0" w:color="auto"/>
        <w:right w:val="none" w:sz="0" w:space="0" w:color="auto"/>
      </w:divBdr>
    </w:div>
    <w:div w:id="1000158317">
      <w:bodyDiv w:val="1"/>
      <w:marLeft w:val="0"/>
      <w:marRight w:val="0"/>
      <w:marTop w:val="0"/>
      <w:marBottom w:val="0"/>
      <w:divBdr>
        <w:top w:val="none" w:sz="0" w:space="0" w:color="auto"/>
        <w:left w:val="none" w:sz="0" w:space="0" w:color="auto"/>
        <w:bottom w:val="none" w:sz="0" w:space="0" w:color="auto"/>
        <w:right w:val="none" w:sz="0" w:space="0" w:color="auto"/>
      </w:divBdr>
    </w:div>
    <w:div w:id="1000700265">
      <w:bodyDiv w:val="1"/>
      <w:marLeft w:val="0"/>
      <w:marRight w:val="0"/>
      <w:marTop w:val="0"/>
      <w:marBottom w:val="0"/>
      <w:divBdr>
        <w:top w:val="none" w:sz="0" w:space="0" w:color="auto"/>
        <w:left w:val="none" w:sz="0" w:space="0" w:color="auto"/>
        <w:bottom w:val="none" w:sz="0" w:space="0" w:color="auto"/>
        <w:right w:val="none" w:sz="0" w:space="0" w:color="auto"/>
      </w:divBdr>
    </w:div>
    <w:div w:id="1000736208">
      <w:bodyDiv w:val="1"/>
      <w:marLeft w:val="0"/>
      <w:marRight w:val="0"/>
      <w:marTop w:val="0"/>
      <w:marBottom w:val="0"/>
      <w:divBdr>
        <w:top w:val="none" w:sz="0" w:space="0" w:color="auto"/>
        <w:left w:val="none" w:sz="0" w:space="0" w:color="auto"/>
        <w:bottom w:val="none" w:sz="0" w:space="0" w:color="auto"/>
        <w:right w:val="none" w:sz="0" w:space="0" w:color="auto"/>
      </w:divBdr>
    </w:div>
    <w:div w:id="1001542592">
      <w:bodyDiv w:val="1"/>
      <w:marLeft w:val="0"/>
      <w:marRight w:val="0"/>
      <w:marTop w:val="0"/>
      <w:marBottom w:val="0"/>
      <w:divBdr>
        <w:top w:val="none" w:sz="0" w:space="0" w:color="auto"/>
        <w:left w:val="none" w:sz="0" w:space="0" w:color="auto"/>
        <w:bottom w:val="none" w:sz="0" w:space="0" w:color="auto"/>
        <w:right w:val="none" w:sz="0" w:space="0" w:color="auto"/>
      </w:divBdr>
    </w:div>
    <w:div w:id="1001618195">
      <w:bodyDiv w:val="1"/>
      <w:marLeft w:val="0"/>
      <w:marRight w:val="0"/>
      <w:marTop w:val="0"/>
      <w:marBottom w:val="0"/>
      <w:divBdr>
        <w:top w:val="none" w:sz="0" w:space="0" w:color="auto"/>
        <w:left w:val="none" w:sz="0" w:space="0" w:color="auto"/>
        <w:bottom w:val="none" w:sz="0" w:space="0" w:color="auto"/>
        <w:right w:val="none" w:sz="0" w:space="0" w:color="auto"/>
      </w:divBdr>
    </w:div>
    <w:div w:id="1001662126">
      <w:bodyDiv w:val="1"/>
      <w:marLeft w:val="0"/>
      <w:marRight w:val="0"/>
      <w:marTop w:val="0"/>
      <w:marBottom w:val="0"/>
      <w:divBdr>
        <w:top w:val="none" w:sz="0" w:space="0" w:color="auto"/>
        <w:left w:val="none" w:sz="0" w:space="0" w:color="auto"/>
        <w:bottom w:val="none" w:sz="0" w:space="0" w:color="auto"/>
        <w:right w:val="none" w:sz="0" w:space="0" w:color="auto"/>
      </w:divBdr>
    </w:div>
    <w:div w:id="1002006496">
      <w:bodyDiv w:val="1"/>
      <w:marLeft w:val="0"/>
      <w:marRight w:val="0"/>
      <w:marTop w:val="0"/>
      <w:marBottom w:val="0"/>
      <w:divBdr>
        <w:top w:val="none" w:sz="0" w:space="0" w:color="auto"/>
        <w:left w:val="none" w:sz="0" w:space="0" w:color="auto"/>
        <w:bottom w:val="none" w:sz="0" w:space="0" w:color="auto"/>
        <w:right w:val="none" w:sz="0" w:space="0" w:color="auto"/>
      </w:divBdr>
    </w:div>
    <w:div w:id="1002506455">
      <w:bodyDiv w:val="1"/>
      <w:marLeft w:val="0"/>
      <w:marRight w:val="0"/>
      <w:marTop w:val="0"/>
      <w:marBottom w:val="0"/>
      <w:divBdr>
        <w:top w:val="none" w:sz="0" w:space="0" w:color="auto"/>
        <w:left w:val="none" w:sz="0" w:space="0" w:color="auto"/>
        <w:bottom w:val="none" w:sz="0" w:space="0" w:color="auto"/>
        <w:right w:val="none" w:sz="0" w:space="0" w:color="auto"/>
      </w:divBdr>
    </w:div>
    <w:div w:id="1003051316">
      <w:bodyDiv w:val="1"/>
      <w:marLeft w:val="0"/>
      <w:marRight w:val="0"/>
      <w:marTop w:val="0"/>
      <w:marBottom w:val="0"/>
      <w:divBdr>
        <w:top w:val="none" w:sz="0" w:space="0" w:color="auto"/>
        <w:left w:val="none" w:sz="0" w:space="0" w:color="auto"/>
        <w:bottom w:val="none" w:sz="0" w:space="0" w:color="auto"/>
        <w:right w:val="none" w:sz="0" w:space="0" w:color="auto"/>
      </w:divBdr>
    </w:div>
    <w:div w:id="1003892505">
      <w:bodyDiv w:val="1"/>
      <w:marLeft w:val="0"/>
      <w:marRight w:val="0"/>
      <w:marTop w:val="0"/>
      <w:marBottom w:val="0"/>
      <w:divBdr>
        <w:top w:val="none" w:sz="0" w:space="0" w:color="auto"/>
        <w:left w:val="none" w:sz="0" w:space="0" w:color="auto"/>
        <w:bottom w:val="none" w:sz="0" w:space="0" w:color="auto"/>
        <w:right w:val="none" w:sz="0" w:space="0" w:color="auto"/>
      </w:divBdr>
    </w:div>
    <w:div w:id="1004086473">
      <w:bodyDiv w:val="1"/>
      <w:marLeft w:val="0"/>
      <w:marRight w:val="0"/>
      <w:marTop w:val="0"/>
      <w:marBottom w:val="0"/>
      <w:divBdr>
        <w:top w:val="none" w:sz="0" w:space="0" w:color="auto"/>
        <w:left w:val="none" w:sz="0" w:space="0" w:color="auto"/>
        <w:bottom w:val="none" w:sz="0" w:space="0" w:color="auto"/>
        <w:right w:val="none" w:sz="0" w:space="0" w:color="auto"/>
      </w:divBdr>
    </w:div>
    <w:div w:id="1004867045">
      <w:bodyDiv w:val="1"/>
      <w:marLeft w:val="0"/>
      <w:marRight w:val="0"/>
      <w:marTop w:val="0"/>
      <w:marBottom w:val="0"/>
      <w:divBdr>
        <w:top w:val="none" w:sz="0" w:space="0" w:color="auto"/>
        <w:left w:val="none" w:sz="0" w:space="0" w:color="auto"/>
        <w:bottom w:val="none" w:sz="0" w:space="0" w:color="auto"/>
        <w:right w:val="none" w:sz="0" w:space="0" w:color="auto"/>
      </w:divBdr>
    </w:div>
    <w:div w:id="1004943645">
      <w:bodyDiv w:val="1"/>
      <w:marLeft w:val="0"/>
      <w:marRight w:val="0"/>
      <w:marTop w:val="0"/>
      <w:marBottom w:val="0"/>
      <w:divBdr>
        <w:top w:val="none" w:sz="0" w:space="0" w:color="auto"/>
        <w:left w:val="none" w:sz="0" w:space="0" w:color="auto"/>
        <w:bottom w:val="none" w:sz="0" w:space="0" w:color="auto"/>
        <w:right w:val="none" w:sz="0" w:space="0" w:color="auto"/>
      </w:divBdr>
    </w:div>
    <w:div w:id="1005208607">
      <w:bodyDiv w:val="1"/>
      <w:marLeft w:val="0"/>
      <w:marRight w:val="0"/>
      <w:marTop w:val="0"/>
      <w:marBottom w:val="0"/>
      <w:divBdr>
        <w:top w:val="none" w:sz="0" w:space="0" w:color="auto"/>
        <w:left w:val="none" w:sz="0" w:space="0" w:color="auto"/>
        <w:bottom w:val="none" w:sz="0" w:space="0" w:color="auto"/>
        <w:right w:val="none" w:sz="0" w:space="0" w:color="auto"/>
      </w:divBdr>
    </w:div>
    <w:div w:id="1005325553">
      <w:bodyDiv w:val="1"/>
      <w:marLeft w:val="0"/>
      <w:marRight w:val="0"/>
      <w:marTop w:val="0"/>
      <w:marBottom w:val="0"/>
      <w:divBdr>
        <w:top w:val="none" w:sz="0" w:space="0" w:color="auto"/>
        <w:left w:val="none" w:sz="0" w:space="0" w:color="auto"/>
        <w:bottom w:val="none" w:sz="0" w:space="0" w:color="auto"/>
        <w:right w:val="none" w:sz="0" w:space="0" w:color="auto"/>
      </w:divBdr>
    </w:div>
    <w:div w:id="1005354410">
      <w:bodyDiv w:val="1"/>
      <w:marLeft w:val="0"/>
      <w:marRight w:val="0"/>
      <w:marTop w:val="0"/>
      <w:marBottom w:val="0"/>
      <w:divBdr>
        <w:top w:val="none" w:sz="0" w:space="0" w:color="auto"/>
        <w:left w:val="none" w:sz="0" w:space="0" w:color="auto"/>
        <w:bottom w:val="none" w:sz="0" w:space="0" w:color="auto"/>
        <w:right w:val="none" w:sz="0" w:space="0" w:color="auto"/>
      </w:divBdr>
    </w:div>
    <w:div w:id="1005354699">
      <w:bodyDiv w:val="1"/>
      <w:marLeft w:val="0"/>
      <w:marRight w:val="0"/>
      <w:marTop w:val="0"/>
      <w:marBottom w:val="0"/>
      <w:divBdr>
        <w:top w:val="none" w:sz="0" w:space="0" w:color="auto"/>
        <w:left w:val="none" w:sz="0" w:space="0" w:color="auto"/>
        <w:bottom w:val="none" w:sz="0" w:space="0" w:color="auto"/>
        <w:right w:val="none" w:sz="0" w:space="0" w:color="auto"/>
      </w:divBdr>
    </w:div>
    <w:div w:id="1005476093">
      <w:bodyDiv w:val="1"/>
      <w:marLeft w:val="0"/>
      <w:marRight w:val="0"/>
      <w:marTop w:val="0"/>
      <w:marBottom w:val="0"/>
      <w:divBdr>
        <w:top w:val="none" w:sz="0" w:space="0" w:color="auto"/>
        <w:left w:val="none" w:sz="0" w:space="0" w:color="auto"/>
        <w:bottom w:val="none" w:sz="0" w:space="0" w:color="auto"/>
        <w:right w:val="none" w:sz="0" w:space="0" w:color="auto"/>
      </w:divBdr>
    </w:div>
    <w:div w:id="1006637452">
      <w:bodyDiv w:val="1"/>
      <w:marLeft w:val="0"/>
      <w:marRight w:val="0"/>
      <w:marTop w:val="0"/>
      <w:marBottom w:val="0"/>
      <w:divBdr>
        <w:top w:val="none" w:sz="0" w:space="0" w:color="auto"/>
        <w:left w:val="none" w:sz="0" w:space="0" w:color="auto"/>
        <w:bottom w:val="none" w:sz="0" w:space="0" w:color="auto"/>
        <w:right w:val="none" w:sz="0" w:space="0" w:color="auto"/>
      </w:divBdr>
    </w:div>
    <w:div w:id="1007370970">
      <w:bodyDiv w:val="1"/>
      <w:marLeft w:val="0"/>
      <w:marRight w:val="0"/>
      <w:marTop w:val="0"/>
      <w:marBottom w:val="0"/>
      <w:divBdr>
        <w:top w:val="none" w:sz="0" w:space="0" w:color="auto"/>
        <w:left w:val="none" w:sz="0" w:space="0" w:color="auto"/>
        <w:bottom w:val="none" w:sz="0" w:space="0" w:color="auto"/>
        <w:right w:val="none" w:sz="0" w:space="0" w:color="auto"/>
      </w:divBdr>
    </w:div>
    <w:div w:id="1008143423">
      <w:bodyDiv w:val="1"/>
      <w:marLeft w:val="0"/>
      <w:marRight w:val="0"/>
      <w:marTop w:val="0"/>
      <w:marBottom w:val="0"/>
      <w:divBdr>
        <w:top w:val="none" w:sz="0" w:space="0" w:color="auto"/>
        <w:left w:val="none" w:sz="0" w:space="0" w:color="auto"/>
        <w:bottom w:val="none" w:sz="0" w:space="0" w:color="auto"/>
        <w:right w:val="none" w:sz="0" w:space="0" w:color="auto"/>
      </w:divBdr>
    </w:div>
    <w:div w:id="1008171082">
      <w:bodyDiv w:val="1"/>
      <w:marLeft w:val="0"/>
      <w:marRight w:val="0"/>
      <w:marTop w:val="0"/>
      <w:marBottom w:val="0"/>
      <w:divBdr>
        <w:top w:val="none" w:sz="0" w:space="0" w:color="auto"/>
        <w:left w:val="none" w:sz="0" w:space="0" w:color="auto"/>
        <w:bottom w:val="none" w:sz="0" w:space="0" w:color="auto"/>
        <w:right w:val="none" w:sz="0" w:space="0" w:color="auto"/>
      </w:divBdr>
    </w:div>
    <w:div w:id="1008212632">
      <w:bodyDiv w:val="1"/>
      <w:marLeft w:val="0"/>
      <w:marRight w:val="0"/>
      <w:marTop w:val="0"/>
      <w:marBottom w:val="0"/>
      <w:divBdr>
        <w:top w:val="none" w:sz="0" w:space="0" w:color="auto"/>
        <w:left w:val="none" w:sz="0" w:space="0" w:color="auto"/>
        <w:bottom w:val="none" w:sz="0" w:space="0" w:color="auto"/>
        <w:right w:val="none" w:sz="0" w:space="0" w:color="auto"/>
      </w:divBdr>
    </w:div>
    <w:div w:id="1008480914">
      <w:bodyDiv w:val="1"/>
      <w:marLeft w:val="0"/>
      <w:marRight w:val="0"/>
      <w:marTop w:val="0"/>
      <w:marBottom w:val="0"/>
      <w:divBdr>
        <w:top w:val="none" w:sz="0" w:space="0" w:color="auto"/>
        <w:left w:val="none" w:sz="0" w:space="0" w:color="auto"/>
        <w:bottom w:val="none" w:sz="0" w:space="0" w:color="auto"/>
        <w:right w:val="none" w:sz="0" w:space="0" w:color="auto"/>
      </w:divBdr>
    </w:div>
    <w:div w:id="1008751561">
      <w:bodyDiv w:val="1"/>
      <w:marLeft w:val="0"/>
      <w:marRight w:val="0"/>
      <w:marTop w:val="0"/>
      <w:marBottom w:val="0"/>
      <w:divBdr>
        <w:top w:val="none" w:sz="0" w:space="0" w:color="auto"/>
        <w:left w:val="none" w:sz="0" w:space="0" w:color="auto"/>
        <w:bottom w:val="none" w:sz="0" w:space="0" w:color="auto"/>
        <w:right w:val="none" w:sz="0" w:space="0" w:color="auto"/>
      </w:divBdr>
    </w:div>
    <w:div w:id="1009410075">
      <w:bodyDiv w:val="1"/>
      <w:marLeft w:val="0"/>
      <w:marRight w:val="0"/>
      <w:marTop w:val="0"/>
      <w:marBottom w:val="0"/>
      <w:divBdr>
        <w:top w:val="none" w:sz="0" w:space="0" w:color="auto"/>
        <w:left w:val="none" w:sz="0" w:space="0" w:color="auto"/>
        <w:bottom w:val="none" w:sz="0" w:space="0" w:color="auto"/>
        <w:right w:val="none" w:sz="0" w:space="0" w:color="auto"/>
      </w:divBdr>
    </w:div>
    <w:div w:id="1009483647">
      <w:bodyDiv w:val="1"/>
      <w:marLeft w:val="0"/>
      <w:marRight w:val="0"/>
      <w:marTop w:val="0"/>
      <w:marBottom w:val="0"/>
      <w:divBdr>
        <w:top w:val="none" w:sz="0" w:space="0" w:color="auto"/>
        <w:left w:val="none" w:sz="0" w:space="0" w:color="auto"/>
        <w:bottom w:val="none" w:sz="0" w:space="0" w:color="auto"/>
        <w:right w:val="none" w:sz="0" w:space="0" w:color="auto"/>
      </w:divBdr>
    </w:div>
    <w:div w:id="1010178776">
      <w:bodyDiv w:val="1"/>
      <w:marLeft w:val="0"/>
      <w:marRight w:val="0"/>
      <w:marTop w:val="0"/>
      <w:marBottom w:val="0"/>
      <w:divBdr>
        <w:top w:val="none" w:sz="0" w:space="0" w:color="auto"/>
        <w:left w:val="none" w:sz="0" w:space="0" w:color="auto"/>
        <w:bottom w:val="none" w:sz="0" w:space="0" w:color="auto"/>
        <w:right w:val="none" w:sz="0" w:space="0" w:color="auto"/>
      </w:divBdr>
    </w:div>
    <w:div w:id="1012218799">
      <w:bodyDiv w:val="1"/>
      <w:marLeft w:val="0"/>
      <w:marRight w:val="0"/>
      <w:marTop w:val="0"/>
      <w:marBottom w:val="0"/>
      <w:divBdr>
        <w:top w:val="none" w:sz="0" w:space="0" w:color="auto"/>
        <w:left w:val="none" w:sz="0" w:space="0" w:color="auto"/>
        <w:bottom w:val="none" w:sz="0" w:space="0" w:color="auto"/>
        <w:right w:val="none" w:sz="0" w:space="0" w:color="auto"/>
      </w:divBdr>
    </w:div>
    <w:div w:id="1012954485">
      <w:bodyDiv w:val="1"/>
      <w:marLeft w:val="0"/>
      <w:marRight w:val="0"/>
      <w:marTop w:val="0"/>
      <w:marBottom w:val="0"/>
      <w:divBdr>
        <w:top w:val="none" w:sz="0" w:space="0" w:color="auto"/>
        <w:left w:val="none" w:sz="0" w:space="0" w:color="auto"/>
        <w:bottom w:val="none" w:sz="0" w:space="0" w:color="auto"/>
        <w:right w:val="none" w:sz="0" w:space="0" w:color="auto"/>
      </w:divBdr>
    </w:div>
    <w:div w:id="1013143716">
      <w:bodyDiv w:val="1"/>
      <w:marLeft w:val="0"/>
      <w:marRight w:val="0"/>
      <w:marTop w:val="0"/>
      <w:marBottom w:val="0"/>
      <w:divBdr>
        <w:top w:val="none" w:sz="0" w:space="0" w:color="auto"/>
        <w:left w:val="none" w:sz="0" w:space="0" w:color="auto"/>
        <w:bottom w:val="none" w:sz="0" w:space="0" w:color="auto"/>
        <w:right w:val="none" w:sz="0" w:space="0" w:color="auto"/>
      </w:divBdr>
    </w:div>
    <w:div w:id="1013217668">
      <w:bodyDiv w:val="1"/>
      <w:marLeft w:val="0"/>
      <w:marRight w:val="0"/>
      <w:marTop w:val="0"/>
      <w:marBottom w:val="0"/>
      <w:divBdr>
        <w:top w:val="none" w:sz="0" w:space="0" w:color="auto"/>
        <w:left w:val="none" w:sz="0" w:space="0" w:color="auto"/>
        <w:bottom w:val="none" w:sz="0" w:space="0" w:color="auto"/>
        <w:right w:val="none" w:sz="0" w:space="0" w:color="auto"/>
      </w:divBdr>
    </w:div>
    <w:div w:id="1013384072">
      <w:bodyDiv w:val="1"/>
      <w:marLeft w:val="0"/>
      <w:marRight w:val="0"/>
      <w:marTop w:val="0"/>
      <w:marBottom w:val="0"/>
      <w:divBdr>
        <w:top w:val="none" w:sz="0" w:space="0" w:color="auto"/>
        <w:left w:val="none" w:sz="0" w:space="0" w:color="auto"/>
        <w:bottom w:val="none" w:sz="0" w:space="0" w:color="auto"/>
        <w:right w:val="none" w:sz="0" w:space="0" w:color="auto"/>
      </w:divBdr>
    </w:div>
    <w:div w:id="1014499261">
      <w:bodyDiv w:val="1"/>
      <w:marLeft w:val="0"/>
      <w:marRight w:val="0"/>
      <w:marTop w:val="0"/>
      <w:marBottom w:val="0"/>
      <w:divBdr>
        <w:top w:val="none" w:sz="0" w:space="0" w:color="auto"/>
        <w:left w:val="none" w:sz="0" w:space="0" w:color="auto"/>
        <w:bottom w:val="none" w:sz="0" w:space="0" w:color="auto"/>
        <w:right w:val="none" w:sz="0" w:space="0" w:color="auto"/>
      </w:divBdr>
    </w:div>
    <w:div w:id="1014724886">
      <w:bodyDiv w:val="1"/>
      <w:marLeft w:val="0"/>
      <w:marRight w:val="0"/>
      <w:marTop w:val="0"/>
      <w:marBottom w:val="0"/>
      <w:divBdr>
        <w:top w:val="none" w:sz="0" w:space="0" w:color="auto"/>
        <w:left w:val="none" w:sz="0" w:space="0" w:color="auto"/>
        <w:bottom w:val="none" w:sz="0" w:space="0" w:color="auto"/>
        <w:right w:val="none" w:sz="0" w:space="0" w:color="auto"/>
      </w:divBdr>
    </w:div>
    <w:div w:id="1015033918">
      <w:bodyDiv w:val="1"/>
      <w:marLeft w:val="0"/>
      <w:marRight w:val="0"/>
      <w:marTop w:val="0"/>
      <w:marBottom w:val="0"/>
      <w:divBdr>
        <w:top w:val="none" w:sz="0" w:space="0" w:color="auto"/>
        <w:left w:val="none" w:sz="0" w:space="0" w:color="auto"/>
        <w:bottom w:val="none" w:sz="0" w:space="0" w:color="auto"/>
        <w:right w:val="none" w:sz="0" w:space="0" w:color="auto"/>
      </w:divBdr>
    </w:div>
    <w:div w:id="1015182758">
      <w:bodyDiv w:val="1"/>
      <w:marLeft w:val="0"/>
      <w:marRight w:val="0"/>
      <w:marTop w:val="0"/>
      <w:marBottom w:val="0"/>
      <w:divBdr>
        <w:top w:val="none" w:sz="0" w:space="0" w:color="auto"/>
        <w:left w:val="none" w:sz="0" w:space="0" w:color="auto"/>
        <w:bottom w:val="none" w:sz="0" w:space="0" w:color="auto"/>
        <w:right w:val="none" w:sz="0" w:space="0" w:color="auto"/>
      </w:divBdr>
    </w:div>
    <w:div w:id="1015233258">
      <w:bodyDiv w:val="1"/>
      <w:marLeft w:val="0"/>
      <w:marRight w:val="0"/>
      <w:marTop w:val="0"/>
      <w:marBottom w:val="0"/>
      <w:divBdr>
        <w:top w:val="none" w:sz="0" w:space="0" w:color="auto"/>
        <w:left w:val="none" w:sz="0" w:space="0" w:color="auto"/>
        <w:bottom w:val="none" w:sz="0" w:space="0" w:color="auto"/>
        <w:right w:val="none" w:sz="0" w:space="0" w:color="auto"/>
      </w:divBdr>
    </w:div>
    <w:div w:id="1015768352">
      <w:bodyDiv w:val="1"/>
      <w:marLeft w:val="0"/>
      <w:marRight w:val="0"/>
      <w:marTop w:val="0"/>
      <w:marBottom w:val="0"/>
      <w:divBdr>
        <w:top w:val="none" w:sz="0" w:space="0" w:color="auto"/>
        <w:left w:val="none" w:sz="0" w:space="0" w:color="auto"/>
        <w:bottom w:val="none" w:sz="0" w:space="0" w:color="auto"/>
        <w:right w:val="none" w:sz="0" w:space="0" w:color="auto"/>
      </w:divBdr>
    </w:div>
    <w:div w:id="1015812009">
      <w:bodyDiv w:val="1"/>
      <w:marLeft w:val="0"/>
      <w:marRight w:val="0"/>
      <w:marTop w:val="0"/>
      <w:marBottom w:val="0"/>
      <w:divBdr>
        <w:top w:val="none" w:sz="0" w:space="0" w:color="auto"/>
        <w:left w:val="none" w:sz="0" w:space="0" w:color="auto"/>
        <w:bottom w:val="none" w:sz="0" w:space="0" w:color="auto"/>
        <w:right w:val="none" w:sz="0" w:space="0" w:color="auto"/>
      </w:divBdr>
    </w:div>
    <w:div w:id="1015839795">
      <w:bodyDiv w:val="1"/>
      <w:marLeft w:val="0"/>
      <w:marRight w:val="0"/>
      <w:marTop w:val="0"/>
      <w:marBottom w:val="0"/>
      <w:divBdr>
        <w:top w:val="none" w:sz="0" w:space="0" w:color="auto"/>
        <w:left w:val="none" w:sz="0" w:space="0" w:color="auto"/>
        <w:bottom w:val="none" w:sz="0" w:space="0" w:color="auto"/>
        <w:right w:val="none" w:sz="0" w:space="0" w:color="auto"/>
      </w:divBdr>
    </w:div>
    <w:div w:id="1016157632">
      <w:bodyDiv w:val="1"/>
      <w:marLeft w:val="0"/>
      <w:marRight w:val="0"/>
      <w:marTop w:val="0"/>
      <w:marBottom w:val="0"/>
      <w:divBdr>
        <w:top w:val="none" w:sz="0" w:space="0" w:color="auto"/>
        <w:left w:val="none" w:sz="0" w:space="0" w:color="auto"/>
        <w:bottom w:val="none" w:sz="0" w:space="0" w:color="auto"/>
        <w:right w:val="none" w:sz="0" w:space="0" w:color="auto"/>
      </w:divBdr>
    </w:div>
    <w:div w:id="1016275063">
      <w:bodyDiv w:val="1"/>
      <w:marLeft w:val="0"/>
      <w:marRight w:val="0"/>
      <w:marTop w:val="0"/>
      <w:marBottom w:val="0"/>
      <w:divBdr>
        <w:top w:val="none" w:sz="0" w:space="0" w:color="auto"/>
        <w:left w:val="none" w:sz="0" w:space="0" w:color="auto"/>
        <w:bottom w:val="none" w:sz="0" w:space="0" w:color="auto"/>
        <w:right w:val="none" w:sz="0" w:space="0" w:color="auto"/>
      </w:divBdr>
    </w:div>
    <w:div w:id="1016542626">
      <w:bodyDiv w:val="1"/>
      <w:marLeft w:val="0"/>
      <w:marRight w:val="0"/>
      <w:marTop w:val="0"/>
      <w:marBottom w:val="0"/>
      <w:divBdr>
        <w:top w:val="none" w:sz="0" w:space="0" w:color="auto"/>
        <w:left w:val="none" w:sz="0" w:space="0" w:color="auto"/>
        <w:bottom w:val="none" w:sz="0" w:space="0" w:color="auto"/>
        <w:right w:val="none" w:sz="0" w:space="0" w:color="auto"/>
      </w:divBdr>
    </w:div>
    <w:div w:id="1016661510">
      <w:bodyDiv w:val="1"/>
      <w:marLeft w:val="0"/>
      <w:marRight w:val="0"/>
      <w:marTop w:val="0"/>
      <w:marBottom w:val="0"/>
      <w:divBdr>
        <w:top w:val="none" w:sz="0" w:space="0" w:color="auto"/>
        <w:left w:val="none" w:sz="0" w:space="0" w:color="auto"/>
        <w:bottom w:val="none" w:sz="0" w:space="0" w:color="auto"/>
        <w:right w:val="none" w:sz="0" w:space="0" w:color="auto"/>
      </w:divBdr>
    </w:div>
    <w:div w:id="1016809649">
      <w:bodyDiv w:val="1"/>
      <w:marLeft w:val="0"/>
      <w:marRight w:val="0"/>
      <w:marTop w:val="0"/>
      <w:marBottom w:val="0"/>
      <w:divBdr>
        <w:top w:val="none" w:sz="0" w:space="0" w:color="auto"/>
        <w:left w:val="none" w:sz="0" w:space="0" w:color="auto"/>
        <w:bottom w:val="none" w:sz="0" w:space="0" w:color="auto"/>
        <w:right w:val="none" w:sz="0" w:space="0" w:color="auto"/>
      </w:divBdr>
    </w:div>
    <w:div w:id="1017461975">
      <w:bodyDiv w:val="1"/>
      <w:marLeft w:val="0"/>
      <w:marRight w:val="0"/>
      <w:marTop w:val="0"/>
      <w:marBottom w:val="0"/>
      <w:divBdr>
        <w:top w:val="none" w:sz="0" w:space="0" w:color="auto"/>
        <w:left w:val="none" w:sz="0" w:space="0" w:color="auto"/>
        <w:bottom w:val="none" w:sz="0" w:space="0" w:color="auto"/>
        <w:right w:val="none" w:sz="0" w:space="0" w:color="auto"/>
      </w:divBdr>
    </w:div>
    <w:div w:id="1017849651">
      <w:bodyDiv w:val="1"/>
      <w:marLeft w:val="0"/>
      <w:marRight w:val="0"/>
      <w:marTop w:val="0"/>
      <w:marBottom w:val="0"/>
      <w:divBdr>
        <w:top w:val="none" w:sz="0" w:space="0" w:color="auto"/>
        <w:left w:val="none" w:sz="0" w:space="0" w:color="auto"/>
        <w:bottom w:val="none" w:sz="0" w:space="0" w:color="auto"/>
        <w:right w:val="none" w:sz="0" w:space="0" w:color="auto"/>
      </w:divBdr>
    </w:div>
    <w:div w:id="1017997360">
      <w:bodyDiv w:val="1"/>
      <w:marLeft w:val="0"/>
      <w:marRight w:val="0"/>
      <w:marTop w:val="0"/>
      <w:marBottom w:val="0"/>
      <w:divBdr>
        <w:top w:val="none" w:sz="0" w:space="0" w:color="auto"/>
        <w:left w:val="none" w:sz="0" w:space="0" w:color="auto"/>
        <w:bottom w:val="none" w:sz="0" w:space="0" w:color="auto"/>
        <w:right w:val="none" w:sz="0" w:space="0" w:color="auto"/>
      </w:divBdr>
    </w:div>
    <w:div w:id="1018119050">
      <w:bodyDiv w:val="1"/>
      <w:marLeft w:val="0"/>
      <w:marRight w:val="0"/>
      <w:marTop w:val="0"/>
      <w:marBottom w:val="0"/>
      <w:divBdr>
        <w:top w:val="none" w:sz="0" w:space="0" w:color="auto"/>
        <w:left w:val="none" w:sz="0" w:space="0" w:color="auto"/>
        <w:bottom w:val="none" w:sz="0" w:space="0" w:color="auto"/>
        <w:right w:val="none" w:sz="0" w:space="0" w:color="auto"/>
      </w:divBdr>
    </w:div>
    <w:div w:id="1019044353">
      <w:bodyDiv w:val="1"/>
      <w:marLeft w:val="0"/>
      <w:marRight w:val="0"/>
      <w:marTop w:val="0"/>
      <w:marBottom w:val="0"/>
      <w:divBdr>
        <w:top w:val="none" w:sz="0" w:space="0" w:color="auto"/>
        <w:left w:val="none" w:sz="0" w:space="0" w:color="auto"/>
        <w:bottom w:val="none" w:sz="0" w:space="0" w:color="auto"/>
        <w:right w:val="none" w:sz="0" w:space="0" w:color="auto"/>
      </w:divBdr>
    </w:div>
    <w:div w:id="1019433541">
      <w:bodyDiv w:val="1"/>
      <w:marLeft w:val="0"/>
      <w:marRight w:val="0"/>
      <w:marTop w:val="0"/>
      <w:marBottom w:val="0"/>
      <w:divBdr>
        <w:top w:val="none" w:sz="0" w:space="0" w:color="auto"/>
        <w:left w:val="none" w:sz="0" w:space="0" w:color="auto"/>
        <w:bottom w:val="none" w:sz="0" w:space="0" w:color="auto"/>
        <w:right w:val="none" w:sz="0" w:space="0" w:color="auto"/>
      </w:divBdr>
    </w:div>
    <w:div w:id="1020353247">
      <w:bodyDiv w:val="1"/>
      <w:marLeft w:val="0"/>
      <w:marRight w:val="0"/>
      <w:marTop w:val="0"/>
      <w:marBottom w:val="0"/>
      <w:divBdr>
        <w:top w:val="none" w:sz="0" w:space="0" w:color="auto"/>
        <w:left w:val="none" w:sz="0" w:space="0" w:color="auto"/>
        <w:bottom w:val="none" w:sz="0" w:space="0" w:color="auto"/>
        <w:right w:val="none" w:sz="0" w:space="0" w:color="auto"/>
      </w:divBdr>
    </w:div>
    <w:div w:id="1020353455">
      <w:bodyDiv w:val="1"/>
      <w:marLeft w:val="0"/>
      <w:marRight w:val="0"/>
      <w:marTop w:val="0"/>
      <w:marBottom w:val="0"/>
      <w:divBdr>
        <w:top w:val="none" w:sz="0" w:space="0" w:color="auto"/>
        <w:left w:val="none" w:sz="0" w:space="0" w:color="auto"/>
        <w:bottom w:val="none" w:sz="0" w:space="0" w:color="auto"/>
        <w:right w:val="none" w:sz="0" w:space="0" w:color="auto"/>
      </w:divBdr>
    </w:div>
    <w:div w:id="1020592672">
      <w:bodyDiv w:val="1"/>
      <w:marLeft w:val="0"/>
      <w:marRight w:val="0"/>
      <w:marTop w:val="0"/>
      <w:marBottom w:val="0"/>
      <w:divBdr>
        <w:top w:val="none" w:sz="0" w:space="0" w:color="auto"/>
        <w:left w:val="none" w:sz="0" w:space="0" w:color="auto"/>
        <w:bottom w:val="none" w:sz="0" w:space="0" w:color="auto"/>
        <w:right w:val="none" w:sz="0" w:space="0" w:color="auto"/>
      </w:divBdr>
    </w:div>
    <w:div w:id="1020593957">
      <w:bodyDiv w:val="1"/>
      <w:marLeft w:val="0"/>
      <w:marRight w:val="0"/>
      <w:marTop w:val="0"/>
      <w:marBottom w:val="0"/>
      <w:divBdr>
        <w:top w:val="none" w:sz="0" w:space="0" w:color="auto"/>
        <w:left w:val="none" w:sz="0" w:space="0" w:color="auto"/>
        <w:bottom w:val="none" w:sz="0" w:space="0" w:color="auto"/>
        <w:right w:val="none" w:sz="0" w:space="0" w:color="auto"/>
      </w:divBdr>
    </w:div>
    <w:div w:id="1020741566">
      <w:bodyDiv w:val="1"/>
      <w:marLeft w:val="0"/>
      <w:marRight w:val="0"/>
      <w:marTop w:val="0"/>
      <w:marBottom w:val="0"/>
      <w:divBdr>
        <w:top w:val="none" w:sz="0" w:space="0" w:color="auto"/>
        <w:left w:val="none" w:sz="0" w:space="0" w:color="auto"/>
        <w:bottom w:val="none" w:sz="0" w:space="0" w:color="auto"/>
        <w:right w:val="none" w:sz="0" w:space="0" w:color="auto"/>
      </w:divBdr>
    </w:div>
    <w:div w:id="1021854417">
      <w:bodyDiv w:val="1"/>
      <w:marLeft w:val="0"/>
      <w:marRight w:val="0"/>
      <w:marTop w:val="0"/>
      <w:marBottom w:val="0"/>
      <w:divBdr>
        <w:top w:val="none" w:sz="0" w:space="0" w:color="auto"/>
        <w:left w:val="none" w:sz="0" w:space="0" w:color="auto"/>
        <w:bottom w:val="none" w:sz="0" w:space="0" w:color="auto"/>
        <w:right w:val="none" w:sz="0" w:space="0" w:color="auto"/>
      </w:divBdr>
    </w:div>
    <w:div w:id="1022122141">
      <w:bodyDiv w:val="1"/>
      <w:marLeft w:val="0"/>
      <w:marRight w:val="0"/>
      <w:marTop w:val="0"/>
      <w:marBottom w:val="0"/>
      <w:divBdr>
        <w:top w:val="none" w:sz="0" w:space="0" w:color="auto"/>
        <w:left w:val="none" w:sz="0" w:space="0" w:color="auto"/>
        <w:bottom w:val="none" w:sz="0" w:space="0" w:color="auto"/>
        <w:right w:val="none" w:sz="0" w:space="0" w:color="auto"/>
      </w:divBdr>
    </w:div>
    <w:div w:id="1022124475">
      <w:bodyDiv w:val="1"/>
      <w:marLeft w:val="0"/>
      <w:marRight w:val="0"/>
      <w:marTop w:val="0"/>
      <w:marBottom w:val="0"/>
      <w:divBdr>
        <w:top w:val="none" w:sz="0" w:space="0" w:color="auto"/>
        <w:left w:val="none" w:sz="0" w:space="0" w:color="auto"/>
        <w:bottom w:val="none" w:sz="0" w:space="0" w:color="auto"/>
        <w:right w:val="none" w:sz="0" w:space="0" w:color="auto"/>
      </w:divBdr>
    </w:div>
    <w:div w:id="1022971967">
      <w:bodyDiv w:val="1"/>
      <w:marLeft w:val="0"/>
      <w:marRight w:val="0"/>
      <w:marTop w:val="0"/>
      <w:marBottom w:val="0"/>
      <w:divBdr>
        <w:top w:val="none" w:sz="0" w:space="0" w:color="auto"/>
        <w:left w:val="none" w:sz="0" w:space="0" w:color="auto"/>
        <w:bottom w:val="none" w:sz="0" w:space="0" w:color="auto"/>
        <w:right w:val="none" w:sz="0" w:space="0" w:color="auto"/>
      </w:divBdr>
    </w:div>
    <w:div w:id="1023165153">
      <w:bodyDiv w:val="1"/>
      <w:marLeft w:val="0"/>
      <w:marRight w:val="0"/>
      <w:marTop w:val="0"/>
      <w:marBottom w:val="0"/>
      <w:divBdr>
        <w:top w:val="none" w:sz="0" w:space="0" w:color="auto"/>
        <w:left w:val="none" w:sz="0" w:space="0" w:color="auto"/>
        <w:bottom w:val="none" w:sz="0" w:space="0" w:color="auto"/>
        <w:right w:val="none" w:sz="0" w:space="0" w:color="auto"/>
      </w:divBdr>
    </w:div>
    <w:div w:id="1023241916">
      <w:bodyDiv w:val="1"/>
      <w:marLeft w:val="0"/>
      <w:marRight w:val="0"/>
      <w:marTop w:val="0"/>
      <w:marBottom w:val="0"/>
      <w:divBdr>
        <w:top w:val="none" w:sz="0" w:space="0" w:color="auto"/>
        <w:left w:val="none" w:sz="0" w:space="0" w:color="auto"/>
        <w:bottom w:val="none" w:sz="0" w:space="0" w:color="auto"/>
        <w:right w:val="none" w:sz="0" w:space="0" w:color="auto"/>
      </w:divBdr>
    </w:div>
    <w:div w:id="1023672657">
      <w:bodyDiv w:val="1"/>
      <w:marLeft w:val="0"/>
      <w:marRight w:val="0"/>
      <w:marTop w:val="0"/>
      <w:marBottom w:val="0"/>
      <w:divBdr>
        <w:top w:val="none" w:sz="0" w:space="0" w:color="auto"/>
        <w:left w:val="none" w:sz="0" w:space="0" w:color="auto"/>
        <w:bottom w:val="none" w:sz="0" w:space="0" w:color="auto"/>
        <w:right w:val="none" w:sz="0" w:space="0" w:color="auto"/>
      </w:divBdr>
    </w:div>
    <w:div w:id="1024402859">
      <w:bodyDiv w:val="1"/>
      <w:marLeft w:val="0"/>
      <w:marRight w:val="0"/>
      <w:marTop w:val="0"/>
      <w:marBottom w:val="0"/>
      <w:divBdr>
        <w:top w:val="none" w:sz="0" w:space="0" w:color="auto"/>
        <w:left w:val="none" w:sz="0" w:space="0" w:color="auto"/>
        <w:bottom w:val="none" w:sz="0" w:space="0" w:color="auto"/>
        <w:right w:val="none" w:sz="0" w:space="0" w:color="auto"/>
      </w:divBdr>
    </w:div>
    <w:div w:id="1025063095">
      <w:bodyDiv w:val="1"/>
      <w:marLeft w:val="0"/>
      <w:marRight w:val="0"/>
      <w:marTop w:val="0"/>
      <w:marBottom w:val="0"/>
      <w:divBdr>
        <w:top w:val="none" w:sz="0" w:space="0" w:color="auto"/>
        <w:left w:val="none" w:sz="0" w:space="0" w:color="auto"/>
        <w:bottom w:val="none" w:sz="0" w:space="0" w:color="auto"/>
        <w:right w:val="none" w:sz="0" w:space="0" w:color="auto"/>
      </w:divBdr>
    </w:div>
    <w:div w:id="1025403715">
      <w:bodyDiv w:val="1"/>
      <w:marLeft w:val="0"/>
      <w:marRight w:val="0"/>
      <w:marTop w:val="0"/>
      <w:marBottom w:val="0"/>
      <w:divBdr>
        <w:top w:val="none" w:sz="0" w:space="0" w:color="auto"/>
        <w:left w:val="none" w:sz="0" w:space="0" w:color="auto"/>
        <w:bottom w:val="none" w:sz="0" w:space="0" w:color="auto"/>
        <w:right w:val="none" w:sz="0" w:space="0" w:color="auto"/>
      </w:divBdr>
    </w:div>
    <w:div w:id="1025640727">
      <w:bodyDiv w:val="1"/>
      <w:marLeft w:val="0"/>
      <w:marRight w:val="0"/>
      <w:marTop w:val="0"/>
      <w:marBottom w:val="0"/>
      <w:divBdr>
        <w:top w:val="none" w:sz="0" w:space="0" w:color="auto"/>
        <w:left w:val="none" w:sz="0" w:space="0" w:color="auto"/>
        <w:bottom w:val="none" w:sz="0" w:space="0" w:color="auto"/>
        <w:right w:val="none" w:sz="0" w:space="0" w:color="auto"/>
      </w:divBdr>
    </w:div>
    <w:div w:id="1026441087">
      <w:bodyDiv w:val="1"/>
      <w:marLeft w:val="0"/>
      <w:marRight w:val="0"/>
      <w:marTop w:val="0"/>
      <w:marBottom w:val="0"/>
      <w:divBdr>
        <w:top w:val="none" w:sz="0" w:space="0" w:color="auto"/>
        <w:left w:val="none" w:sz="0" w:space="0" w:color="auto"/>
        <w:bottom w:val="none" w:sz="0" w:space="0" w:color="auto"/>
        <w:right w:val="none" w:sz="0" w:space="0" w:color="auto"/>
      </w:divBdr>
    </w:div>
    <w:div w:id="1026520685">
      <w:bodyDiv w:val="1"/>
      <w:marLeft w:val="0"/>
      <w:marRight w:val="0"/>
      <w:marTop w:val="0"/>
      <w:marBottom w:val="0"/>
      <w:divBdr>
        <w:top w:val="none" w:sz="0" w:space="0" w:color="auto"/>
        <w:left w:val="none" w:sz="0" w:space="0" w:color="auto"/>
        <w:bottom w:val="none" w:sz="0" w:space="0" w:color="auto"/>
        <w:right w:val="none" w:sz="0" w:space="0" w:color="auto"/>
      </w:divBdr>
    </w:div>
    <w:div w:id="1026758582">
      <w:bodyDiv w:val="1"/>
      <w:marLeft w:val="0"/>
      <w:marRight w:val="0"/>
      <w:marTop w:val="0"/>
      <w:marBottom w:val="0"/>
      <w:divBdr>
        <w:top w:val="none" w:sz="0" w:space="0" w:color="auto"/>
        <w:left w:val="none" w:sz="0" w:space="0" w:color="auto"/>
        <w:bottom w:val="none" w:sz="0" w:space="0" w:color="auto"/>
        <w:right w:val="none" w:sz="0" w:space="0" w:color="auto"/>
      </w:divBdr>
    </w:div>
    <w:div w:id="1027373145">
      <w:bodyDiv w:val="1"/>
      <w:marLeft w:val="0"/>
      <w:marRight w:val="0"/>
      <w:marTop w:val="0"/>
      <w:marBottom w:val="0"/>
      <w:divBdr>
        <w:top w:val="none" w:sz="0" w:space="0" w:color="auto"/>
        <w:left w:val="none" w:sz="0" w:space="0" w:color="auto"/>
        <w:bottom w:val="none" w:sz="0" w:space="0" w:color="auto"/>
        <w:right w:val="none" w:sz="0" w:space="0" w:color="auto"/>
      </w:divBdr>
    </w:div>
    <w:div w:id="1027408226">
      <w:bodyDiv w:val="1"/>
      <w:marLeft w:val="0"/>
      <w:marRight w:val="0"/>
      <w:marTop w:val="0"/>
      <w:marBottom w:val="0"/>
      <w:divBdr>
        <w:top w:val="none" w:sz="0" w:space="0" w:color="auto"/>
        <w:left w:val="none" w:sz="0" w:space="0" w:color="auto"/>
        <w:bottom w:val="none" w:sz="0" w:space="0" w:color="auto"/>
        <w:right w:val="none" w:sz="0" w:space="0" w:color="auto"/>
      </w:divBdr>
    </w:div>
    <w:div w:id="1027489836">
      <w:bodyDiv w:val="1"/>
      <w:marLeft w:val="0"/>
      <w:marRight w:val="0"/>
      <w:marTop w:val="0"/>
      <w:marBottom w:val="0"/>
      <w:divBdr>
        <w:top w:val="none" w:sz="0" w:space="0" w:color="auto"/>
        <w:left w:val="none" w:sz="0" w:space="0" w:color="auto"/>
        <w:bottom w:val="none" w:sz="0" w:space="0" w:color="auto"/>
        <w:right w:val="none" w:sz="0" w:space="0" w:color="auto"/>
      </w:divBdr>
    </w:div>
    <w:div w:id="1027684616">
      <w:bodyDiv w:val="1"/>
      <w:marLeft w:val="0"/>
      <w:marRight w:val="0"/>
      <w:marTop w:val="0"/>
      <w:marBottom w:val="0"/>
      <w:divBdr>
        <w:top w:val="none" w:sz="0" w:space="0" w:color="auto"/>
        <w:left w:val="none" w:sz="0" w:space="0" w:color="auto"/>
        <w:bottom w:val="none" w:sz="0" w:space="0" w:color="auto"/>
        <w:right w:val="none" w:sz="0" w:space="0" w:color="auto"/>
      </w:divBdr>
    </w:div>
    <w:div w:id="1028065546">
      <w:bodyDiv w:val="1"/>
      <w:marLeft w:val="0"/>
      <w:marRight w:val="0"/>
      <w:marTop w:val="0"/>
      <w:marBottom w:val="0"/>
      <w:divBdr>
        <w:top w:val="none" w:sz="0" w:space="0" w:color="auto"/>
        <w:left w:val="none" w:sz="0" w:space="0" w:color="auto"/>
        <w:bottom w:val="none" w:sz="0" w:space="0" w:color="auto"/>
        <w:right w:val="none" w:sz="0" w:space="0" w:color="auto"/>
      </w:divBdr>
    </w:div>
    <w:div w:id="1028094715">
      <w:bodyDiv w:val="1"/>
      <w:marLeft w:val="0"/>
      <w:marRight w:val="0"/>
      <w:marTop w:val="0"/>
      <w:marBottom w:val="0"/>
      <w:divBdr>
        <w:top w:val="none" w:sz="0" w:space="0" w:color="auto"/>
        <w:left w:val="none" w:sz="0" w:space="0" w:color="auto"/>
        <w:bottom w:val="none" w:sz="0" w:space="0" w:color="auto"/>
        <w:right w:val="none" w:sz="0" w:space="0" w:color="auto"/>
      </w:divBdr>
    </w:div>
    <w:div w:id="1028137869">
      <w:bodyDiv w:val="1"/>
      <w:marLeft w:val="0"/>
      <w:marRight w:val="0"/>
      <w:marTop w:val="0"/>
      <w:marBottom w:val="0"/>
      <w:divBdr>
        <w:top w:val="none" w:sz="0" w:space="0" w:color="auto"/>
        <w:left w:val="none" w:sz="0" w:space="0" w:color="auto"/>
        <w:bottom w:val="none" w:sz="0" w:space="0" w:color="auto"/>
        <w:right w:val="none" w:sz="0" w:space="0" w:color="auto"/>
      </w:divBdr>
    </w:div>
    <w:div w:id="1028262814">
      <w:bodyDiv w:val="1"/>
      <w:marLeft w:val="0"/>
      <w:marRight w:val="0"/>
      <w:marTop w:val="0"/>
      <w:marBottom w:val="0"/>
      <w:divBdr>
        <w:top w:val="none" w:sz="0" w:space="0" w:color="auto"/>
        <w:left w:val="none" w:sz="0" w:space="0" w:color="auto"/>
        <w:bottom w:val="none" w:sz="0" w:space="0" w:color="auto"/>
        <w:right w:val="none" w:sz="0" w:space="0" w:color="auto"/>
      </w:divBdr>
    </w:div>
    <w:div w:id="1028486552">
      <w:bodyDiv w:val="1"/>
      <w:marLeft w:val="0"/>
      <w:marRight w:val="0"/>
      <w:marTop w:val="0"/>
      <w:marBottom w:val="0"/>
      <w:divBdr>
        <w:top w:val="none" w:sz="0" w:space="0" w:color="auto"/>
        <w:left w:val="none" w:sz="0" w:space="0" w:color="auto"/>
        <w:bottom w:val="none" w:sz="0" w:space="0" w:color="auto"/>
        <w:right w:val="none" w:sz="0" w:space="0" w:color="auto"/>
      </w:divBdr>
    </w:div>
    <w:div w:id="1028675317">
      <w:bodyDiv w:val="1"/>
      <w:marLeft w:val="0"/>
      <w:marRight w:val="0"/>
      <w:marTop w:val="0"/>
      <w:marBottom w:val="0"/>
      <w:divBdr>
        <w:top w:val="none" w:sz="0" w:space="0" w:color="auto"/>
        <w:left w:val="none" w:sz="0" w:space="0" w:color="auto"/>
        <w:bottom w:val="none" w:sz="0" w:space="0" w:color="auto"/>
        <w:right w:val="none" w:sz="0" w:space="0" w:color="auto"/>
      </w:divBdr>
    </w:div>
    <w:div w:id="1029179015">
      <w:bodyDiv w:val="1"/>
      <w:marLeft w:val="0"/>
      <w:marRight w:val="0"/>
      <w:marTop w:val="0"/>
      <w:marBottom w:val="0"/>
      <w:divBdr>
        <w:top w:val="none" w:sz="0" w:space="0" w:color="auto"/>
        <w:left w:val="none" w:sz="0" w:space="0" w:color="auto"/>
        <w:bottom w:val="none" w:sz="0" w:space="0" w:color="auto"/>
        <w:right w:val="none" w:sz="0" w:space="0" w:color="auto"/>
      </w:divBdr>
    </w:div>
    <w:div w:id="1029182811">
      <w:bodyDiv w:val="1"/>
      <w:marLeft w:val="0"/>
      <w:marRight w:val="0"/>
      <w:marTop w:val="0"/>
      <w:marBottom w:val="0"/>
      <w:divBdr>
        <w:top w:val="none" w:sz="0" w:space="0" w:color="auto"/>
        <w:left w:val="none" w:sz="0" w:space="0" w:color="auto"/>
        <w:bottom w:val="none" w:sz="0" w:space="0" w:color="auto"/>
        <w:right w:val="none" w:sz="0" w:space="0" w:color="auto"/>
      </w:divBdr>
    </w:div>
    <w:div w:id="1029332077">
      <w:bodyDiv w:val="1"/>
      <w:marLeft w:val="0"/>
      <w:marRight w:val="0"/>
      <w:marTop w:val="0"/>
      <w:marBottom w:val="0"/>
      <w:divBdr>
        <w:top w:val="none" w:sz="0" w:space="0" w:color="auto"/>
        <w:left w:val="none" w:sz="0" w:space="0" w:color="auto"/>
        <w:bottom w:val="none" w:sz="0" w:space="0" w:color="auto"/>
        <w:right w:val="none" w:sz="0" w:space="0" w:color="auto"/>
      </w:divBdr>
    </w:div>
    <w:div w:id="1029912376">
      <w:bodyDiv w:val="1"/>
      <w:marLeft w:val="0"/>
      <w:marRight w:val="0"/>
      <w:marTop w:val="0"/>
      <w:marBottom w:val="0"/>
      <w:divBdr>
        <w:top w:val="none" w:sz="0" w:space="0" w:color="auto"/>
        <w:left w:val="none" w:sz="0" w:space="0" w:color="auto"/>
        <w:bottom w:val="none" w:sz="0" w:space="0" w:color="auto"/>
        <w:right w:val="none" w:sz="0" w:space="0" w:color="auto"/>
      </w:divBdr>
    </w:div>
    <w:div w:id="1030103745">
      <w:bodyDiv w:val="1"/>
      <w:marLeft w:val="0"/>
      <w:marRight w:val="0"/>
      <w:marTop w:val="0"/>
      <w:marBottom w:val="0"/>
      <w:divBdr>
        <w:top w:val="none" w:sz="0" w:space="0" w:color="auto"/>
        <w:left w:val="none" w:sz="0" w:space="0" w:color="auto"/>
        <w:bottom w:val="none" w:sz="0" w:space="0" w:color="auto"/>
        <w:right w:val="none" w:sz="0" w:space="0" w:color="auto"/>
      </w:divBdr>
    </w:div>
    <w:div w:id="1030111966">
      <w:bodyDiv w:val="1"/>
      <w:marLeft w:val="0"/>
      <w:marRight w:val="0"/>
      <w:marTop w:val="0"/>
      <w:marBottom w:val="0"/>
      <w:divBdr>
        <w:top w:val="none" w:sz="0" w:space="0" w:color="auto"/>
        <w:left w:val="none" w:sz="0" w:space="0" w:color="auto"/>
        <w:bottom w:val="none" w:sz="0" w:space="0" w:color="auto"/>
        <w:right w:val="none" w:sz="0" w:space="0" w:color="auto"/>
      </w:divBdr>
    </w:div>
    <w:div w:id="1030491136">
      <w:bodyDiv w:val="1"/>
      <w:marLeft w:val="0"/>
      <w:marRight w:val="0"/>
      <w:marTop w:val="0"/>
      <w:marBottom w:val="0"/>
      <w:divBdr>
        <w:top w:val="none" w:sz="0" w:space="0" w:color="auto"/>
        <w:left w:val="none" w:sz="0" w:space="0" w:color="auto"/>
        <w:bottom w:val="none" w:sz="0" w:space="0" w:color="auto"/>
        <w:right w:val="none" w:sz="0" w:space="0" w:color="auto"/>
      </w:divBdr>
    </w:div>
    <w:div w:id="1030690414">
      <w:bodyDiv w:val="1"/>
      <w:marLeft w:val="0"/>
      <w:marRight w:val="0"/>
      <w:marTop w:val="0"/>
      <w:marBottom w:val="0"/>
      <w:divBdr>
        <w:top w:val="none" w:sz="0" w:space="0" w:color="auto"/>
        <w:left w:val="none" w:sz="0" w:space="0" w:color="auto"/>
        <w:bottom w:val="none" w:sz="0" w:space="0" w:color="auto"/>
        <w:right w:val="none" w:sz="0" w:space="0" w:color="auto"/>
      </w:divBdr>
    </w:div>
    <w:div w:id="1031104763">
      <w:bodyDiv w:val="1"/>
      <w:marLeft w:val="0"/>
      <w:marRight w:val="0"/>
      <w:marTop w:val="0"/>
      <w:marBottom w:val="0"/>
      <w:divBdr>
        <w:top w:val="none" w:sz="0" w:space="0" w:color="auto"/>
        <w:left w:val="none" w:sz="0" w:space="0" w:color="auto"/>
        <w:bottom w:val="none" w:sz="0" w:space="0" w:color="auto"/>
        <w:right w:val="none" w:sz="0" w:space="0" w:color="auto"/>
      </w:divBdr>
    </w:div>
    <w:div w:id="1031343316">
      <w:bodyDiv w:val="1"/>
      <w:marLeft w:val="0"/>
      <w:marRight w:val="0"/>
      <w:marTop w:val="0"/>
      <w:marBottom w:val="0"/>
      <w:divBdr>
        <w:top w:val="none" w:sz="0" w:space="0" w:color="auto"/>
        <w:left w:val="none" w:sz="0" w:space="0" w:color="auto"/>
        <w:bottom w:val="none" w:sz="0" w:space="0" w:color="auto"/>
        <w:right w:val="none" w:sz="0" w:space="0" w:color="auto"/>
      </w:divBdr>
    </w:div>
    <w:div w:id="1031344523">
      <w:bodyDiv w:val="1"/>
      <w:marLeft w:val="0"/>
      <w:marRight w:val="0"/>
      <w:marTop w:val="0"/>
      <w:marBottom w:val="0"/>
      <w:divBdr>
        <w:top w:val="none" w:sz="0" w:space="0" w:color="auto"/>
        <w:left w:val="none" w:sz="0" w:space="0" w:color="auto"/>
        <w:bottom w:val="none" w:sz="0" w:space="0" w:color="auto"/>
        <w:right w:val="none" w:sz="0" w:space="0" w:color="auto"/>
      </w:divBdr>
    </w:div>
    <w:div w:id="1031951435">
      <w:bodyDiv w:val="1"/>
      <w:marLeft w:val="0"/>
      <w:marRight w:val="0"/>
      <w:marTop w:val="0"/>
      <w:marBottom w:val="0"/>
      <w:divBdr>
        <w:top w:val="none" w:sz="0" w:space="0" w:color="auto"/>
        <w:left w:val="none" w:sz="0" w:space="0" w:color="auto"/>
        <w:bottom w:val="none" w:sz="0" w:space="0" w:color="auto"/>
        <w:right w:val="none" w:sz="0" w:space="0" w:color="auto"/>
      </w:divBdr>
    </w:div>
    <w:div w:id="1032389036">
      <w:bodyDiv w:val="1"/>
      <w:marLeft w:val="0"/>
      <w:marRight w:val="0"/>
      <w:marTop w:val="0"/>
      <w:marBottom w:val="0"/>
      <w:divBdr>
        <w:top w:val="none" w:sz="0" w:space="0" w:color="auto"/>
        <w:left w:val="none" w:sz="0" w:space="0" w:color="auto"/>
        <w:bottom w:val="none" w:sz="0" w:space="0" w:color="auto"/>
        <w:right w:val="none" w:sz="0" w:space="0" w:color="auto"/>
      </w:divBdr>
    </w:div>
    <w:div w:id="1032418502">
      <w:bodyDiv w:val="1"/>
      <w:marLeft w:val="0"/>
      <w:marRight w:val="0"/>
      <w:marTop w:val="0"/>
      <w:marBottom w:val="0"/>
      <w:divBdr>
        <w:top w:val="none" w:sz="0" w:space="0" w:color="auto"/>
        <w:left w:val="none" w:sz="0" w:space="0" w:color="auto"/>
        <w:bottom w:val="none" w:sz="0" w:space="0" w:color="auto"/>
        <w:right w:val="none" w:sz="0" w:space="0" w:color="auto"/>
      </w:divBdr>
    </w:div>
    <w:div w:id="1032457489">
      <w:bodyDiv w:val="1"/>
      <w:marLeft w:val="0"/>
      <w:marRight w:val="0"/>
      <w:marTop w:val="0"/>
      <w:marBottom w:val="0"/>
      <w:divBdr>
        <w:top w:val="none" w:sz="0" w:space="0" w:color="auto"/>
        <w:left w:val="none" w:sz="0" w:space="0" w:color="auto"/>
        <w:bottom w:val="none" w:sz="0" w:space="0" w:color="auto"/>
        <w:right w:val="none" w:sz="0" w:space="0" w:color="auto"/>
      </w:divBdr>
    </w:div>
    <w:div w:id="1033379444">
      <w:bodyDiv w:val="1"/>
      <w:marLeft w:val="0"/>
      <w:marRight w:val="0"/>
      <w:marTop w:val="0"/>
      <w:marBottom w:val="0"/>
      <w:divBdr>
        <w:top w:val="none" w:sz="0" w:space="0" w:color="auto"/>
        <w:left w:val="none" w:sz="0" w:space="0" w:color="auto"/>
        <w:bottom w:val="none" w:sz="0" w:space="0" w:color="auto"/>
        <w:right w:val="none" w:sz="0" w:space="0" w:color="auto"/>
      </w:divBdr>
    </w:div>
    <w:div w:id="1033577787">
      <w:bodyDiv w:val="1"/>
      <w:marLeft w:val="0"/>
      <w:marRight w:val="0"/>
      <w:marTop w:val="0"/>
      <w:marBottom w:val="0"/>
      <w:divBdr>
        <w:top w:val="none" w:sz="0" w:space="0" w:color="auto"/>
        <w:left w:val="none" w:sz="0" w:space="0" w:color="auto"/>
        <w:bottom w:val="none" w:sz="0" w:space="0" w:color="auto"/>
        <w:right w:val="none" w:sz="0" w:space="0" w:color="auto"/>
      </w:divBdr>
    </w:div>
    <w:div w:id="1034114343">
      <w:bodyDiv w:val="1"/>
      <w:marLeft w:val="0"/>
      <w:marRight w:val="0"/>
      <w:marTop w:val="0"/>
      <w:marBottom w:val="0"/>
      <w:divBdr>
        <w:top w:val="none" w:sz="0" w:space="0" w:color="auto"/>
        <w:left w:val="none" w:sz="0" w:space="0" w:color="auto"/>
        <w:bottom w:val="none" w:sz="0" w:space="0" w:color="auto"/>
        <w:right w:val="none" w:sz="0" w:space="0" w:color="auto"/>
      </w:divBdr>
    </w:div>
    <w:div w:id="1034307196">
      <w:bodyDiv w:val="1"/>
      <w:marLeft w:val="0"/>
      <w:marRight w:val="0"/>
      <w:marTop w:val="0"/>
      <w:marBottom w:val="0"/>
      <w:divBdr>
        <w:top w:val="none" w:sz="0" w:space="0" w:color="auto"/>
        <w:left w:val="none" w:sz="0" w:space="0" w:color="auto"/>
        <w:bottom w:val="none" w:sz="0" w:space="0" w:color="auto"/>
        <w:right w:val="none" w:sz="0" w:space="0" w:color="auto"/>
      </w:divBdr>
    </w:div>
    <w:div w:id="1034501172">
      <w:bodyDiv w:val="1"/>
      <w:marLeft w:val="0"/>
      <w:marRight w:val="0"/>
      <w:marTop w:val="0"/>
      <w:marBottom w:val="0"/>
      <w:divBdr>
        <w:top w:val="none" w:sz="0" w:space="0" w:color="auto"/>
        <w:left w:val="none" w:sz="0" w:space="0" w:color="auto"/>
        <w:bottom w:val="none" w:sz="0" w:space="0" w:color="auto"/>
        <w:right w:val="none" w:sz="0" w:space="0" w:color="auto"/>
      </w:divBdr>
    </w:div>
    <w:div w:id="1035422974">
      <w:bodyDiv w:val="1"/>
      <w:marLeft w:val="0"/>
      <w:marRight w:val="0"/>
      <w:marTop w:val="0"/>
      <w:marBottom w:val="0"/>
      <w:divBdr>
        <w:top w:val="none" w:sz="0" w:space="0" w:color="auto"/>
        <w:left w:val="none" w:sz="0" w:space="0" w:color="auto"/>
        <w:bottom w:val="none" w:sz="0" w:space="0" w:color="auto"/>
        <w:right w:val="none" w:sz="0" w:space="0" w:color="auto"/>
      </w:divBdr>
    </w:div>
    <w:div w:id="1035469937">
      <w:bodyDiv w:val="1"/>
      <w:marLeft w:val="0"/>
      <w:marRight w:val="0"/>
      <w:marTop w:val="0"/>
      <w:marBottom w:val="0"/>
      <w:divBdr>
        <w:top w:val="none" w:sz="0" w:space="0" w:color="auto"/>
        <w:left w:val="none" w:sz="0" w:space="0" w:color="auto"/>
        <w:bottom w:val="none" w:sz="0" w:space="0" w:color="auto"/>
        <w:right w:val="none" w:sz="0" w:space="0" w:color="auto"/>
      </w:divBdr>
    </w:div>
    <w:div w:id="1035807764">
      <w:bodyDiv w:val="1"/>
      <w:marLeft w:val="0"/>
      <w:marRight w:val="0"/>
      <w:marTop w:val="0"/>
      <w:marBottom w:val="0"/>
      <w:divBdr>
        <w:top w:val="none" w:sz="0" w:space="0" w:color="auto"/>
        <w:left w:val="none" w:sz="0" w:space="0" w:color="auto"/>
        <w:bottom w:val="none" w:sz="0" w:space="0" w:color="auto"/>
        <w:right w:val="none" w:sz="0" w:space="0" w:color="auto"/>
      </w:divBdr>
    </w:div>
    <w:div w:id="1035960201">
      <w:bodyDiv w:val="1"/>
      <w:marLeft w:val="0"/>
      <w:marRight w:val="0"/>
      <w:marTop w:val="0"/>
      <w:marBottom w:val="0"/>
      <w:divBdr>
        <w:top w:val="none" w:sz="0" w:space="0" w:color="auto"/>
        <w:left w:val="none" w:sz="0" w:space="0" w:color="auto"/>
        <w:bottom w:val="none" w:sz="0" w:space="0" w:color="auto"/>
        <w:right w:val="none" w:sz="0" w:space="0" w:color="auto"/>
      </w:divBdr>
    </w:div>
    <w:div w:id="1036082472">
      <w:bodyDiv w:val="1"/>
      <w:marLeft w:val="0"/>
      <w:marRight w:val="0"/>
      <w:marTop w:val="0"/>
      <w:marBottom w:val="0"/>
      <w:divBdr>
        <w:top w:val="none" w:sz="0" w:space="0" w:color="auto"/>
        <w:left w:val="none" w:sz="0" w:space="0" w:color="auto"/>
        <w:bottom w:val="none" w:sz="0" w:space="0" w:color="auto"/>
        <w:right w:val="none" w:sz="0" w:space="0" w:color="auto"/>
      </w:divBdr>
    </w:div>
    <w:div w:id="1036198802">
      <w:bodyDiv w:val="1"/>
      <w:marLeft w:val="0"/>
      <w:marRight w:val="0"/>
      <w:marTop w:val="0"/>
      <w:marBottom w:val="0"/>
      <w:divBdr>
        <w:top w:val="none" w:sz="0" w:space="0" w:color="auto"/>
        <w:left w:val="none" w:sz="0" w:space="0" w:color="auto"/>
        <w:bottom w:val="none" w:sz="0" w:space="0" w:color="auto"/>
        <w:right w:val="none" w:sz="0" w:space="0" w:color="auto"/>
      </w:divBdr>
    </w:div>
    <w:div w:id="1036270521">
      <w:bodyDiv w:val="1"/>
      <w:marLeft w:val="0"/>
      <w:marRight w:val="0"/>
      <w:marTop w:val="0"/>
      <w:marBottom w:val="0"/>
      <w:divBdr>
        <w:top w:val="none" w:sz="0" w:space="0" w:color="auto"/>
        <w:left w:val="none" w:sz="0" w:space="0" w:color="auto"/>
        <w:bottom w:val="none" w:sz="0" w:space="0" w:color="auto"/>
        <w:right w:val="none" w:sz="0" w:space="0" w:color="auto"/>
      </w:divBdr>
    </w:div>
    <w:div w:id="1036274136">
      <w:bodyDiv w:val="1"/>
      <w:marLeft w:val="0"/>
      <w:marRight w:val="0"/>
      <w:marTop w:val="0"/>
      <w:marBottom w:val="0"/>
      <w:divBdr>
        <w:top w:val="none" w:sz="0" w:space="0" w:color="auto"/>
        <w:left w:val="none" w:sz="0" w:space="0" w:color="auto"/>
        <w:bottom w:val="none" w:sz="0" w:space="0" w:color="auto"/>
        <w:right w:val="none" w:sz="0" w:space="0" w:color="auto"/>
      </w:divBdr>
    </w:div>
    <w:div w:id="1036463120">
      <w:bodyDiv w:val="1"/>
      <w:marLeft w:val="0"/>
      <w:marRight w:val="0"/>
      <w:marTop w:val="0"/>
      <w:marBottom w:val="0"/>
      <w:divBdr>
        <w:top w:val="none" w:sz="0" w:space="0" w:color="auto"/>
        <w:left w:val="none" w:sz="0" w:space="0" w:color="auto"/>
        <w:bottom w:val="none" w:sz="0" w:space="0" w:color="auto"/>
        <w:right w:val="none" w:sz="0" w:space="0" w:color="auto"/>
      </w:divBdr>
    </w:div>
    <w:div w:id="1036658132">
      <w:bodyDiv w:val="1"/>
      <w:marLeft w:val="0"/>
      <w:marRight w:val="0"/>
      <w:marTop w:val="0"/>
      <w:marBottom w:val="0"/>
      <w:divBdr>
        <w:top w:val="none" w:sz="0" w:space="0" w:color="auto"/>
        <w:left w:val="none" w:sz="0" w:space="0" w:color="auto"/>
        <w:bottom w:val="none" w:sz="0" w:space="0" w:color="auto"/>
        <w:right w:val="none" w:sz="0" w:space="0" w:color="auto"/>
      </w:divBdr>
    </w:div>
    <w:div w:id="1036732198">
      <w:bodyDiv w:val="1"/>
      <w:marLeft w:val="0"/>
      <w:marRight w:val="0"/>
      <w:marTop w:val="0"/>
      <w:marBottom w:val="0"/>
      <w:divBdr>
        <w:top w:val="none" w:sz="0" w:space="0" w:color="auto"/>
        <w:left w:val="none" w:sz="0" w:space="0" w:color="auto"/>
        <w:bottom w:val="none" w:sz="0" w:space="0" w:color="auto"/>
        <w:right w:val="none" w:sz="0" w:space="0" w:color="auto"/>
      </w:divBdr>
    </w:div>
    <w:div w:id="1036737489">
      <w:bodyDiv w:val="1"/>
      <w:marLeft w:val="0"/>
      <w:marRight w:val="0"/>
      <w:marTop w:val="0"/>
      <w:marBottom w:val="0"/>
      <w:divBdr>
        <w:top w:val="none" w:sz="0" w:space="0" w:color="auto"/>
        <w:left w:val="none" w:sz="0" w:space="0" w:color="auto"/>
        <w:bottom w:val="none" w:sz="0" w:space="0" w:color="auto"/>
        <w:right w:val="none" w:sz="0" w:space="0" w:color="auto"/>
      </w:divBdr>
    </w:div>
    <w:div w:id="1036927701">
      <w:bodyDiv w:val="1"/>
      <w:marLeft w:val="0"/>
      <w:marRight w:val="0"/>
      <w:marTop w:val="0"/>
      <w:marBottom w:val="0"/>
      <w:divBdr>
        <w:top w:val="none" w:sz="0" w:space="0" w:color="auto"/>
        <w:left w:val="none" w:sz="0" w:space="0" w:color="auto"/>
        <w:bottom w:val="none" w:sz="0" w:space="0" w:color="auto"/>
        <w:right w:val="none" w:sz="0" w:space="0" w:color="auto"/>
      </w:divBdr>
    </w:div>
    <w:div w:id="1037314768">
      <w:bodyDiv w:val="1"/>
      <w:marLeft w:val="0"/>
      <w:marRight w:val="0"/>
      <w:marTop w:val="0"/>
      <w:marBottom w:val="0"/>
      <w:divBdr>
        <w:top w:val="none" w:sz="0" w:space="0" w:color="auto"/>
        <w:left w:val="none" w:sz="0" w:space="0" w:color="auto"/>
        <w:bottom w:val="none" w:sz="0" w:space="0" w:color="auto"/>
        <w:right w:val="none" w:sz="0" w:space="0" w:color="auto"/>
      </w:divBdr>
    </w:div>
    <w:div w:id="1037697870">
      <w:bodyDiv w:val="1"/>
      <w:marLeft w:val="0"/>
      <w:marRight w:val="0"/>
      <w:marTop w:val="0"/>
      <w:marBottom w:val="0"/>
      <w:divBdr>
        <w:top w:val="none" w:sz="0" w:space="0" w:color="auto"/>
        <w:left w:val="none" w:sz="0" w:space="0" w:color="auto"/>
        <w:bottom w:val="none" w:sz="0" w:space="0" w:color="auto"/>
        <w:right w:val="none" w:sz="0" w:space="0" w:color="auto"/>
      </w:divBdr>
    </w:div>
    <w:div w:id="1037969370">
      <w:bodyDiv w:val="1"/>
      <w:marLeft w:val="0"/>
      <w:marRight w:val="0"/>
      <w:marTop w:val="0"/>
      <w:marBottom w:val="0"/>
      <w:divBdr>
        <w:top w:val="none" w:sz="0" w:space="0" w:color="auto"/>
        <w:left w:val="none" w:sz="0" w:space="0" w:color="auto"/>
        <w:bottom w:val="none" w:sz="0" w:space="0" w:color="auto"/>
        <w:right w:val="none" w:sz="0" w:space="0" w:color="auto"/>
      </w:divBdr>
    </w:div>
    <w:div w:id="1037975233">
      <w:bodyDiv w:val="1"/>
      <w:marLeft w:val="0"/>
      <w:marRight w:val="0"/>
      <w:marTop w:val="0"/>
      <w:marBottom w:val="0"/>
      <w:divBdr>
        <w:top w:val="none" w:sz="0" w:space="0" w:color="auto"/>
        <w:left w:val="none" w:sz="0" w:space="0" w:color="auto"/>
        <w:bottom w:val="none" w:sz="0" w:space="0" w:color="auto"/>
        <w:right w:val="none" w:sz="0" w:space="0" w:color="auto"/>
      </w:divBdr>
    </w:div>
    <w:div w:id="1038041538">
      <w:bodyDiv w:val="1"/>
      <w:marLeft w:val="0"/>
      <w:marRight w:val="0"/>
      <w:marTop w:val="0"/>
      <w:marBottom w:val="0"/>
      <w:divBdr>
        <w:top w:val="none" w:sz="0" w:space="0" w:color="auto"/>
        <w:left w:val="none" w:sz="0" w:space="0" w:color="auto"/>
        <w:bottom w:val="none" w:sz="0" w:space="0" w:color="auto"/>
        <w:right w:val="none" w:sz="0" w:space="0" w:color="auto"/>
      </w:divBdr>
    </w:div>
    <w:div w:id="1038244062">
      <w:bodyDiv w:val="1"/>
      <w:marLeft w:val="0"/>
      <w:marRight w:val="0"/>
      <w:marTop w:val="0"/>
      <w:marBottom w:val="0"/>
      <w:divBdr>
        <w:top w:val="none" w:sz="0" w:space="0" w:color="auto"/>
        <w:left w:val="none" w:sz="0" w:space="0" w:color="auto"/>
        <w:bottom w:val="none" w:sz="0" w:space="0" w:color="auto"/>
        <w:right w:val="none" w:sz="0" w:space="0" w:color="auto"/>
      </w:divBdr>
    </w:div>
    <w:div w:id="1038355607">
      <w:bodyDiv w:val="1"/>
      <w:marLeft w:val="0"/>
      <w:marRight w:val="0"/>
      <w:marTop w:val="0"/>
      <w:marBottom w:val="0"/>
      <w:divBdr>
        <w:top w:val="none" w:sz="0" w:space="0" w:color="auto"/>
        <w:left w:val="none" w:sz="0" w:space="0" w:color="auto"/>
        <w:bottom w:val="none" w:sz="0" w:space="0" w:color="auto"/>
        <w:right w:val="none" w:sz="0" w:space="0" w:color="auto"/>
      </w:divBdr>
    </w:div>
    <w:div w:id="1038749141">
      <w:bodyDiv w:val="1"/>
      <w:marLeft w:val="0"/>
      <w:marRight w:val="0"/>
      <w:marTop w:val="0"/>
      <w:marBottom w:val="0"/>
      <w:divBdr>
        <w:top w:val="none" w:sz="0" w:space="0" w:color="auto"/>
        <w:left w:val="none" w:sz="0" w:space="0" w:color="auto"/>
        <w:bottom w:val="none" w:sz="0" w:space="0" w:color="auto"/>
        <w:right w:val="none" w:sz="0" w:space="0" w:color="auto"/>
      </w:divBdr>
    </w:div>
    <w:div w:id="1039205729">
      <w:bodyDiv w:val="1"/>
      <w:marLeft w:val="0"/>
      <w:marRight w:val="0"/>
      <w:marTop w:val="0"/>
      <w:marBottom w:val="0"/>
      <w:divBdr>
        <w:top w:val="none" w:sz="0" w:space="0" w:color="auto"/>
        <w:left w:val="none" w:sz="0" w:space="0" w:color="auto"/>
        <w:bottom w:val="none" w:sz="0" w:space="0" w:color="auto"/>
        <w:right w:val="none" w:sz="0" w:space="0" w:color="auto"/>
      </w:divBdr>
    </w:div>
    <w:div w:id="1039547824">
      <w:bodyDiv w:val="1"/>
      <w:marLeft w:val="0"/>
      <w:marRight w:val="0"/>
      <w:marTop w:val="0"/>
      <w:marBottom w:val="0"/>
      <w:divBdr>
        <w:top w:val="none" w:sz="0" w:space="0" w:color="auto"/>
        <w:left w:val="none" w:sz="0" w:space="0" w:color="auto"/>
        <w:bottom w:val="none" w:sz="0" w:space="0" w:color="auto"/>
        <w:right w:val="none" w:sz="0" w:space="0" w:color="auto"/>
      </w:divBdr>
    </w:div>
    <w:div w:id="1039890939">
      <w:bodyDiv w:val="1"/>
      <w:marLeft w:val="0"/>
      <w:marRight w:val="0"/>
      <w:marTop w:val="0"/>
      <w:marBottom w:val="0"/>
      <w:divBdr>
        <w:top w:val="none" w:sz="0" w:space="0" w:color="auto"/>
        <w:left w:val="none" w:sz="0" w:space="0" w:color="auto"/>
        <w:bottom w:val="none" w:sz="0" w:space="0" w:color="auto"/>
        <w:right w:val="none" w:sz="0" w:space="0" w:color="auto"/>
      </w:divBdr>
    </w:div>
    <w:div w:id="1041512329">
      <w:bodyDiv w:val="1"/>
      <w:marLeft w:val="0"/>
      <w:marRight w:val="0"/>
      <w:marTop w:val="0"/>
      <w:marBottom w:val="0"/>
      <w:divBdr>
        <w:top w:val="none" w:sz="0" w:space="0" w:color="auto"/>
        <w:left w:val="none" w:sz="0" w:space="0" w:color="auto"/>
        <w:bottom w:val="none" w:sz="0" w:space="0" w:color="auto"/>
        <w:right w:val="none" w:sz="0" w:space="0" w:color="auto"/>
      </w:divBdr>
    </w:div>
    <w:div w:id="1042632001">
      <w:bodyDiv w:val="1"/>
      <w:marLeft w:val="0"/>
      <w:marRight w:val="0"/>
      <w:marTop w:val="0"/>
      <w:marBottom w:val="0"/>
      <w:divBdr>
        <w:top w:val="none" w:sz="0" w:space="0" w:color="auto"/>
        <w:left w:val="none" w:sz="0" w:space="0" w:color="auto"/>
        <w:bottom w:val="none" w:sz="0" w:space="0" w:color="auto"/>
        <w:right w:val="none" w:sz="0" w:space="0" w:color="auto"/>
      </w:divBdr>
    </w:div>
    <w:div w:id="1042948562">
      <w:bodyDiv w:val="1"/>
      <w:marLeft w:val="0"/>
      <w:marRight w:val="0"/>
      <w:marTop w:val="0"/>
      <w:marBottom w:val="0"/>
      <w:divBdr>
        <w:top w:val="none" w:sz="0" w:space="0" w:color="auto"/>
        <w:left w:val="none" w:sz="0" w:space="0" w:color="auto"/>
        <w:bottom w:val="none" w:sz="0" w:space="0" w:color="auto"/>
        <w:right w:val="none" w:sz="0" w:space="0" w:color="auto"/>
      </w:divBdr>
    </w:div>
    <w:div w:id="1043484530">
      <w:bodyDiv w:val="1"/>
      <w:marLeft w:val="0"/>
      <w:marRight w:val="0"/>
      <w:marTop w:val="0"/>
      <w:marBottom w:val="0"/>
      <w:divBdr>
        <w:top w:val="none" w:sz="0" w:space="0" w:color="auto"/>
        <w:left w:val="none" w:sz="0" w:space="0" w:color="auto"/>
        <w:bottom w:val="none" w:sz="0" w:space="0" w:color="auto"/>
        <w:right w:val="none" w:sz="0" w:space="0" w:color="auto"/>
      </w:divBdr>
    </w:div>
    <w:div w:id="1043946071">
      <w:bodyDiv w:val="1"/>
      <w:marLeft w:val="0"/>
      <w:marRight w:val="0"/>
      <w:marTop w:val="0"/>
      <w:marBottom w:val="0"/>
      <w:divBdr>
        <w:top w:val="none" w:sz="0" w:space="0" w:color="auto"/>
        <w:left w:val="none" w:sz="0" w:space="0" w:color="auto"/>
        <w:bottom w:val="none" w:sz="0" w:space="0" w:color="auto"/>
        <w:right w:val="none" w:sz="0" w:space="0" w:color="auto"/>
      </w:divBdr>
    </w:div>
    <w:div w:id="1044603090">
      <w:bodyDiv w:val="1"/>
      <w:marLeft w:val="0"/>
      <w:marRight w:val="0"/>
      <w:marTop w:val="0"/>
      <w:marBottom w:val="0"/>
      <w:divBdr>
        <w:top w:val="none" w:sz="0" w:space="0" w:color="auto"/>
        <w:left w:val="none" w:sz="0" w:space="0" w:color="auto"/>
        <w:bottom w:val="none" w:sz="0" w:space="0" w:color="auto"/>
        <w:right w:val="none" w:sz="0" w:space="0" w:color="auto"/>
      </w:divBdr>
    </w:div>
    <w:div w:id="1044672527">
      <w:bodyDiv w:val="1"/>
      <w:marLeft w:val="0"/>
      <w:marRight w:val="0"/>
      <w:marTop w:val="0"/>
      <w:marBottom w:val="0"/>
      <w:divBdr>
        <w:top w:val="none" w:sz="0" w:space="0" w:color="auto"/>
        <w:left w:val="none" w:sz="0" w:space="0" w:color="auto"/>
        <w:bottom w:val="none" w:sz="0" w:space="0" w:color="auto"/>
        <w:right w:val="none" w:sz="0" w:space="0" w:color="auto"/>
      </w:divBdr>
    </w:div>
    <w:div w:id="1044788942">
      <w:bodyDiv w:val="1"/>
      <w:marLeft w:val="0"/>
      <w:marRight w:val="0"/>
      <w:marTop w:val="0"/>
      <w:marBottom w:val="0"/>
      <w:divBdr>
        <w:top w:val="none" w:sz="0" w:space="0" w:color="auto"/>
        <w:left w:val="none" w:sz="0" w:space="0" w:color="auto"/>
        <w:bottom w:val="none" w:sz="0" w:space="0" w:color="auto"/>
        <w:right w:val="none" w:sz="0" w:space="0" w:color="auto"/>
      </w:divBdr>
    </w:div>
    <w:div w:id="1044869705">
      <w:bodyDiv w:val="1"/>
      <w:marLeft w:val="0"/>
      <w:marRight w:val="0"/>
      <w:marTop w:val="0"/>
      <w:marBottom w:val="0"/>
      <w:divBdr>
        <w:top w:val="none" w:sz="0" w:space="0" w:color="auto"/>
        <w:left w:val="none" w:sz="0" w:space="0" w:color="auto"/>
        <w:bottom w:val="none" w:sz="0" w:space="0" w:color="auto"/>
        <w:right w:val="none" w:sz="0" w:space="0" w:color="auto"/>
      </w:divBdr>
    </w:div>
    <w:div w:id="1045370685">
      <w:bodyDiv w:val="1"/>
      <w:marLeft w:val="0"/>
      <w:marRight w:val="0"/>
      <w:marTop w:val="0"/>
      <w:marBottom w:val="0"/>
      <w:divBdr>
        <w:top w:val="none" w:sz="0" w:space="0" w:color="auto"/>
        <w:left w:val="none" w:sz="0" w:space="0" w:color="auto"/>
        <w:bottom w:val="none" w:sz="0" w:space="0" w:color="auto"/>
        <w:right w:val="none" w:sz="0" w:space="0" w:color="auto"/>
      </w:divBdr>
    </w:div>
    <w:div w:id="1045522573">
      <w:bodyDiv w:val="1"/>
      <w:marLeft w:val="0"/>
      <w:marRight w:val="0"/>
      <w:marTop w:val="0"/>
      <w:marBottom w:val="0"/>
      <w:divBdr>
        <w:top w:val="none" w:sz="0" w:space="0" w:color="auto"/>
        <w:left w:val="none" w:sz="0" w:space="0" w:color="auto"/>
        <w:bottom w:val="none" w:sz="0" w:space="0" w:color="auto"/>
        <w:right w:val="none" w:sz="0" w:space="0" w:color="auto"/>
      </w:divBdr>
    </w:div>
    <w:div w:id="1045561595">
      <w:bodyDiv w:val="1"/>
      <w:marLeft w:val="0"/>
      <w:marRight w:val="0"/>
      <w:marTop w:val="0"/>
      <w:marBottom w:val="0"/>
      <w:divBdr>
        <w:top w:val="none" w:sz="0" w:space="0" w:color="auto"/>
        <w:left w:val="none" w:sz="0" w:space="0" w:color="auto"/>
        <w:bottom w:val="none" w:sz="0" w:space="0" w:color="auto"/>
        <w:right w:val="none" w:sz="0" w:space="0" w:color="auto"/>
      </w:divBdr>
    </w:div>
    <w:div w:id="1045759536">
      <w:bodyDiv w:val="1"/>
      <w:marLeft w:val="0"/>
      <w:marRight w:val="0"/>
      <w:marTop w:val="0"/>
      <w:marBottom w:val="0"/>
      <w:divBdr>
        <w:top w:val="none" w:sz="0" w:space="0" w:color="auto"/>
        <w:left w:val="none" w:sz="0" w:space="0" w:color="auto"/>
        <w:bottom w:val="none" w:sz="0" w:space="0" w:color="auto"/>
        <w:right w:val="none" w:sz="0" w:space="0" w:color="auto"/>
      </w:divBdr>
    </w:div>
    <w:div w:id="1046174528">
      <w:bodyDiv w:val="1"/>
      <w:marLeft w:val="0"/>
      <w:marRight w:val="0"/>
      <w:marTop w:val="0"/>
      <w:marBottom w:val="0"/>
      <w:divBdr>
        <w:top w:val="none" w:sz="0" w:space="0" w:color="auto"/>
        <w:left w:val="none" w:sz="0" w:space="0" w:color="auto"/>
        <w:bottom w:val="none" w:sz="0" w:space="0" w:color="auto"/>
        <w:right w:val="none" w:sz="0" w:space="0" w:color="auto"/>
      </w:divBdr>
    </w:div>
    <w:div w:id="1046221474">
      <w:bodyDiv w:val="1"/>
      <w:marLeft w:val="0"/>
      <w:marRight w:val="0"/>
      <w:marTop w:val="0"/>
      <w:marBottom w:val="0"/>
      <w:divBdr>
        <w:top w:val="none" w:sz="0" w:space="0" w:color="auto"/>
        <w:left w:val="none" w:sz="0" w:space="0" w:color="auto"/>
        <w:bottom w:val="none" w:sz="0" w:space="0" w:color="auto"/>
        <w:right w:val="none" w:sz="0" w:space="0" w:color="auto"/>
      </w:divBdr>
    </w:div>
    <w:div w:id="1046678013">
      <w:bodyDiv w:val="1"/>
      <w:marLeft w:val="0"/>
      <w:marRight w:val="0"/>
      <w:marTop w:val="0"/>
      <w:marBottom w:val="0"/>
      <w:divBdr>
        <w:top w:val="none" w:sz="0" w:space="0" w:color="auto"/>
        <w:left w:val="none" w:sz="0" w:space="0" w:color="auto"/>
        <w:bottom w:val="none" w:sz="0" w:space="0" w:color="auto"/>
        <w:right w:val="none" w:sz="0" w:space="0" w:color="auto"/>
      </w:divBdr>
    </w:div>
    <w:div w:id="1047023155">
      <w:bodyDiv w:val="1"/>
      <w:marLeft w:val="0"/>
      <w:marRight w:val="0"/>
      <w:marTop w:val="0"/>
      <w:marBottom w:val="0"/>
      <w:divBdr>
        <w:top w:val="none" w:sz="0" w:space="0" w:color="auto"/>
        <w:left w:val="none" w:sz="0" w:space="0" w:color="auto"/>
        <w:bottom w:val="none" w:sz="0" w:space="0" w:color="auto"/>
        <w:right w:val="none" w:sz="0" w:space="0" w:color="auto"/>
      </w:divBdr>
    </w:div>
    <w:div w:id="1047412759">
      <w:bodyDiv w:val="1"/>
      <w:marLeft w:val="0"/>
      <w:marRight w:val="0"/>
      <w:marTop w:val="0"/>
      <w:marBottom w:val="0"/>
      <w:divBdr>
        <w:top w:val="none" w:sz="0" w:space="0" w:color="auto"/>
        <w:left w:val="none" w:sz="0" w:space="0" w:color="auto"/>
        <w:bottom w:val="none" w:sz="0" w:space="0" w:color="auto"/>
        <w:right w:val="none" w:sz="0" w:space="0" w:color="auto"/>
      </w:divBdr>
    </w:div>
    <w:div w:id="1047493082">
      <w:bodyDiv w:val="1"/>
      <w:marLeft w:val="0"/>
      <w:marRight w:val="0"/>
      <w:marTop w:val="0"/>
      <w:marBottom w:val="0"/>
      <w:divBdr>
        <w:top w:val="none" w:sz="0" w:space="0" w:color="auto"/>
        <w:left w:val="none" w:sz="0" w:space="0" w:color="auto"/>
        <w:bottom w:val="none" w:sz="0" w:space="0" w:color="auto"/>
        <w:right w:val="none" w:sz="0" w:space="0" w:color="auto"/>
      </w:divBdr>
    </w:div>
    <w:div w:id="1048188287">
      <w:bodyDiv w:val="1"/>
      <w:marLeft w:val="0"/>
      <w:marRight w:val="0"/>
      <w:marTop w:val="0"/>
      <w:marBottom w:val="0"/>
      <w:divBdr>
        <w:top w:val="none" w:sz="0" w:space="0" w:color="auto"/>
        <w:left w:val="none" w:sz="0" w:space="0" w:color="auto"/>
        <w:bottom w:val="none" w:sz="0" w:space="0" w:color="auto"/>
        <w:right w:val="none" w:sz="0" w:space="0" w:color="auto"/>
      </w:divBdr>
    </w:div>
    <w:div w:id="1048257249">
      <w:bodyDiv w:val="1"/>
      <w:marLeft w:val="0"/>
      <w:marRight w:val="0"/>
      <w:marTop w:val="0"/>
      <w:marBottom w:val="0"/>
      <w:divBdr>
        <w:top w:val="none" w:sz="0" w:space="0" w:color="auto"/>
        <w:left w:val="none" w:sz="0" w:space="0" w:color="auto"/>
        <w:bottom w:val="none" w:sz="0" w:space="0" w:color="auto"/>
        <w:right w:val="none" w:sz="0" w:space="0" w:color="auto"/>
      </w:divBdr>
    </w:div>
    <w:div w:id="1048257852">
      <w:bodyDiv w:val="1"/>
      <w:marLeft w:val="0"/>
      <w:marRight w:val="0"/>
      <w:marTop w:val="0"/>
      <w:marBottom w:val="0"/>
      <w:divBdr>
        <w:top w:val="none" w:sz="0" w:space="0" w:color="auto"/>
        <w:left w:val="none" w:sz="0" w:space="0" w:color="auto"/>
        <w:bottom w:val="none" w:sz="0" w:space="0" w:color="auto"/>
        <w:right w:val="none" w:sz="0" w:space="0" w:color="auto"/>
      </w:divBdr>
    </w:div>
    <w:div w:id="1048916800">
      <w:bodyDiv w:val="1"/>
      <w:marLeft w:val="0"/>
      <w:marRight w:val="0"/>
      <w:marTop w:val="0"/>
      <w:marBottom w:val="0"/>
      <w:divBdr>
        <w:top w:val="none" w:sz="0" w:space="0" w:color="auto"/>
        <w:left w:val="none" w:sz="0" w:space="0" w:color="auto"/>
        <w:bottom w:val="none" w:sz="0" w:space="0" w:color="auto"/>
        <w:right w:val="none" w:sz="0" w:space="0" w:color="auto"/>
      </w:divBdr>
    </w:div>
    <w:div w:id="1049525567">
      <w:bodyDiv w:val="1"/>
      <w:marLeft w:val="0"/>
      <w:marRight w:val="0"/>
      <w:marTop w:val="0"/>
      <w:marBottom w:val="0"/>
      <w:divBdr>
        <w:top w:val="none" w:sz="0" w:space="0" w:color="auto"/>
        <w:left w:val="none" w:sz="0" w:space="0" w:color="auto"/>
        <w:bottom w:val="none" w:sz="0" w:space="0" w:color="auto"/>
        <w:right w:val="none" w:sz="0" w:space="0" w:color="auto"/>
      </w:divBdr>
    </w:div>
    <w:div w:id="1049568327">
      <w:bodyDiv w:val="1"/>
      <w:marLeft w:val="0"/>
      <w:marRight w:val="0"/>
      <w:marTop w:val="0"/>
      <w:marBottom w:val="0"/>
      <w:divBdr>
        <w:top w:val="none" w:sz="0" w:space="0" w:color="auto"/>
        <w:left w:val="none" w:sz="0" w:space="0" w:color="auto"/>
        <w:bottom w:val="none" w:sz="0" w:space="0" w:color="auto"/>
        <w:right w:val="none" w:sz="0" w:space="0" w:color="auto"/>
      </w:divBdr>
    </w:div>
    <w:div w:id="1049845299">
      <w:bodyDiv w:val="1"/>
      <w:marLeft w:val="0"/>
      <w:marRight w:val="0"/>
      <w:marTop w:val="0"/>
      <w:marBottom w:val="0"/>
      <w:divBdr>
        <w:top w:val="none" w:sz="0" w:space="0" w:color="auto"/>
        <w:left w:val="none" w:sz="0" w:space="0" w:color="auto"/>
        <w:bottom w:val="none" w:sz="0" w:space="0" w:color="auto"/>
        <w:right w:val="none" w:sz="0" w:space="0" w:color="auto"/>
      </w:divBdr>
    </w:div>
    <w:div w:id="1049914411">
      <w:bodyDiv w:val="1"/>
      <w:marLeft w:val="0"/>
      <w:marRight w:val="0"/>
      <w:marTop w:val="0"/>
      <w:marBottom w:val="0"/>
      <w:divBdr>
        <w:top w:val="none" w:sz="0" w:space="0" w:color="auto"/>
        <w:left w:val="none" w:sz="0" w:space="0" w:color="auto"/>
        <w:bottom w:val="none" w:sz="0" w:space="0" w:color="auto"/>
        <w:right w:val="none" w:sz="0" w:space="0" w:color="auto"/>
      </w:divBdr>
    </w:div>
    <w:div w:id="1050424893">
      <w:bodyDiv w:val="1"/>
      <w:marLeft w:val="0"/>
      <w:marRight w:val="0"/>
      <w:marTop w:val="0"/>
      <w:marBottom w:val="0"/>
      <w:divBdr>
        <w:top w:val="none" w:sz="0" w:space="0" w:color="auto"/>
        <w:left w:val="none" w:sz="0" w:space="0" w:color="auto"/>
        <w:bottom w:val="none" w:sz="0" w:space="0" w:color="auto"/>
        <w:right w:val="none" w:sz="0" w:space="0" w:color="auto"/>
      </w:divBdr>
    </w:div>
    <w:div w:id="1050500549">
      <w:bodyDiv w:val="1"/>
      <w:marLeft w:val="0"/>
      <w:marRight w:val="0"/>
      <w:marTop w:val="0"/>
      <w:marBottom w:val="0"/>
      <w:divBdr>
        <w:top w:val="none" w:sz="0" w:space="0" w:color="auto"/>
        <w:left w:val="none" w:sz="0" w:space="0" w:color="auto"/>
        <w:bottom w:val="none" w:sz="0" w:space="0" w:color="auto"/>
        <w:right w:val="none" w:sz="0" w:space="0" w:color="auto"/>
      </w:divBdr>
    </w:div>
    <w:div w:id="1050692582">
      <w:bodyDiv w:val="1"/>
      <w:marLeft w:val="0"/>
      <w:marRight w:val="0"/>
      <w:marTop w:val="0"/>
      <w:marBottom w:val="0"/>
      <w:divBdr>
        <w:top w:val="none" w:sz="0" w:space="0" w:color="auto"/>
        <w:left w:val="none" w:sz="0" w:space="0" w:color="auto"/>
        <w:bottom w:val="none" w:sz="0" w:space="0" w:color="auto"/>
        <w:right w:val="none" w:sz="0" w:space="0" w:color="auto"/>
      </w:divBdr>
    </w:div>
    <w:div w:id="1051075050">
      <w:bodyDiv w:val="1"/>
      <w:marLeft w:val="0"/>
      <w:marRight w:val="0"/>
      <w:marTop w:val="0"/>
      <w:marBottom w:val="0"/>
      <w:divBdr>
        <w:top w:val="none" w:sz="0" w:space="0" w:color="auto"/>
        <w:left w:val="none" w:sz="0" w:space="0" w:color="auto"/>
        <w:bottom w:val="none" w:sz="0" w:space="0" w:color="auto"/>
        <w:right w:val="none" w:sz="0" w:space="0" w:color="auto"/>
      </w:divBdr>
    </w:div>
    <w:div w:id="1051424999">
      <w:bodyDiv w:val="1"/>
      <w:marLeft w:val="0"/>
      <w:marRight w:val="0"/>
      <w:marTop w:val="0"/>
      <w:marBottom w:val="0"/>
      <w:divBdr>
        <w:top w:val="none" w:sz="0" w:space="0" w:color="auto"/>
        <w:left w:val="none" w:sz="0" w:space="0" w:color="auto"/>
        <w:bottom w:val="none" w:sz="0" w:space="0" w:color="auto"/>
        <w:right w:val="none" w:sz="0" w:space="0" w:color="auto"/>
      </w:divBdr>
    </w:div>
    <w:div w:id="1051809454">
      <w:bodyDiv w:val="1"/>
      <w:marLeft w:val="0"/>
      <w:marRight w:val="0"/>
      <w:marTop w:val="0"/>
      <w:marBottom w:val="0"/>
      <w:divBdr>
        <w:top w:val="none" w:sz="0" w:space="0" w:color="auto"/>
        <w:left w:val="none" w:sz="0" w:space="0" w:color="auto"/>
        <w:bottom w:val="none" w:sz="0" w:space="0" w:color="auto"/>
        <w:right w:val="none" w:sz="0" w:space="0" w:color="auto"/>
      </w:divBdr>
    </w:div>
    <w:div w:id="1051926952">
      <w:bodyDiv w:val="1"/>
      <w:marLeft w:val="0"/>
      <w:marRight w:val="0"/>
      <w:marTop w:val="0"/>
      <w:marBottom w:val="0"/>
      <w:divBdr>
        <w:top w:val="none" w:sz="0" w:space="0" w:color="auto"/>
        <w:left w:val="none" w:sz="0" w:space="0" w:color="auto"/>
        <w:bottom w:val="none" w:sz="0" w:space="0" w:color="auto"/>
        <w:right w:val="none" w:sz="0" w:space="0" w:color="auto"/>
      </w:divBdr>
    </w:div>
    <w:div w:id="1052147197">
      <w:bodyDiv w:val="1"/>
      <w:marLeft w:val="0"/>
      <w:marRight w:val="0"/>
      <w:marTop w:val="0"/>
      <w:marBottom w:val="0"/>
      <w:divBdr>
        <w:top w:val="none" w:sz="0" w:space="0" w:color="auto"/>
        <w:left w:val="none" w:sz="0" w:space="0" w:color="auto"/>
        <w:bottom w:val="none" w:sz="0" w:space="0" w:color="auto"/>
        <w:right w:val="none" w:sz="0" w:space="0" w:color="auto"/>
      </w:divBdr>
    </w:div>
    <w:div w:id="1052311708">
      <w:bodyDiv w:val="1"/>
      <w:marLeft w:val="0"/>
      <w:marRight w:val="0"/>
      <w:marTop w:val="0"/>
      <w:marBottom w:val="0"/>
      <w:divBdr>
        <w:top w:val="none" w:sz="0" w:space="0" w:color="auto"/>
        <w:left w:val="none" w:sz="0" w:space="0" w:color="auto"/>
        <w:bottom w:val="none" w:sz="0" w:space="0" w:color="auto"/>
        <w:right w:val="none" w:sz="0" w:space="0" w:color="auto"/>
      </w:divBdr>
    </w:div>
    <w:div w:id="1053043790">
      <w:bodyDiv w:val="1"/>
      <w:marLeft w:val="0"/>
      <w:marRight w:val="0"/>
      <w:marTop w:val="0"/>
      <w:marBottom w:val="0"/>
      <w:divBdr>
        <w:top w:val="none" w:sz="0" w:space="0" w:color="auto"/>
        <w:left w:val="none" w:sz="0" w:space="0" w:color="auto"/>
        <w:bottom w:val="none" w:sz="0" w:space="0" w:color="auto"/>
        <w:right w:val="none" w:sz="0" w:space="0" w:color="auto"/>
      </w:divBdr>
    </w:div>
    <w:div w:id="1053122108">
      <w:bodyDiv w:val="1"/>
      <w:marLeft w:val="0"/>
      <w:marRight w:val="0"/>
      <w:marTop w:val="0"/>
      <w:marBottom w:val="0"/>
      <w:divBdr>
        <w:top w:val="none" w:sz="0" w:space="0" w:color="auto"/>
        <w:left w:val="none" w:sz="0" w:space="0" w:color="auto"/>
        <w:bottom w:val="none" w:sz="0" w:space="0" w:color="auto"/>
        <w:right w:val="none" w:sz="0" w:space="0" w:color="auto"/>
      </w:divBdr>
    </w:div>
    <w:div w:id="1053694257">
      <w:bodyDiv w:val="1"/>
      <w:marLeft w:val="0"/>
      <w:marRight w:val="0"/>
      <w:marTop w:val="0"/>
      <w:marBottom w:val="0"/>
      <w:divBdr>
        <w:top w:val="none" w:sz="0" w:space="0" w:color="auto"/>
        <w:left w:val="none" w:sz="0" w:space="0" w:color="auto"/>
        <w:bottom w:val="none" w:sz="0" w:space="0" w:color="auto"/>
        <w:right w:val="none" w:sz="0" w:space="0" w:color="auto"/>
      </w:divBdr>
    </w:div>
    <w:div w:id="1053961958">
      <w:bodyDiv w:val="1"/>
      <w:marLeft w:val="0"/>
      <w:marRight w:val="0"/>
      <w:marTop w:val="0"/>
      <w:marBottom w:val="0"/>
      <w:divBdr>
        <w:top w:val="none" w:sz="0" w:space="0" w:color="auto"/>
        <w:left w:val="none" w:sz="0" w:space="0" w:color="auto"/>
        <w:bottom w:val="none" w:sz="0" w:space="0" w:color="auto"/>
        <w:right w:val="none" w:sz="0" w:space="0" w:color="auto"/>
      </w:divBdr>
    </w:div>
    <w:div w:id="1054081961">
      <w:bodyDiv w:val="1"/>
      <w:marLeft w:val="0"/>
      <w:marRight w:val="0"/>
      <w:marTop w:val="0"/>
      <w:marBottom w:val="0"/>
      <w:divBdr>
        <w:top w:val="none" w:sz="0" w:space="0" w:color="auto"/>
        <w:left w:val="none" w:sz="0" w:space="0" w:color="auto"/>
        <w:bottom w:val="none" w:sz="0" w:space="0" w:color="auto"/>
        <w:right w:val="none" w:sz="0" w:space="0" w:color="auto"/>
      </w:divBdr>
    </w:div>
    <w:div w:id="1054617956">
      <w:bodyDiv w:val="1"/>
      <w:marLeft w:val="0"/>
      <w:marRight w:val="0"/>
      <w:marTop w:val="0"/>
      <w:marBottom w:val="0"/>
      <w:divBdr>
        <w:top w:val="none" w:sz="0" w:space="0" w:color="auto"/>
        <w:left w:val="none" w:sz="0" w:space="0" w:color="auto"/>
        <w:bottom w:val="none" w:sz="0" w:space="0" w:color="auto"/>
        <w:right w:val="none" w:sz="0" w:space="0" w:color="auto"/>
      </w:divBdr>
    </w:div>
    <w:div w:id="1054963577">
      <w:bodyDiv w:val="1"/>
      <w:marLeft w:val="0"/>
      <w:marRight w:val="0"/>
      <w:marTop w:val="0"/>
      <w:marBottom w:val="0"/>
      <w:divBdr>
        <w:top w:val="none" w:sz="0" w:space="0" w:color="auto"/>
        <w:left w:val="none" w:sz="0" w:space="0" w:color="auto"/>
        <w:bottom w:val="none" w:sz="0" w:space="0" w:color="auto"/>
        <w:right w:val="none" w:sz="0" w:space="0" w:color="auto"/>
      </w:divBdr>
    </w:div>
    <w:div w:id="1055472528">
      <w:bodyDiv w:val="1"/>
      <w:marLeft w:val="0"/>
      <w:marRight w:val="0"/>
      <w:marTop w:val="0"/>
      <w:marBottom w:val="0"/>
      <w:divBdr>
        <w:top w:val="none" w:sz="0" w:space="0" w:color="auto"/>
        <w:left w:val="none" w:sz="0" w:space="0" w:color="auto"/>
        <w:bottom w:val="none" w:sz="0" w:space="0" w:color="auto"/>
        <w:right w:val="none" w:sz="0" w:space="0" w:color="auto"/>
      </w:divBdr>
    </w:div>
    <w:div w:id="1056049058">
      <w:bodyDiv w:val="1"/>
      <w:marLeft w:val="0"/>
      <w:marRight w:val="0"/>
      <w:marTop w:val="0"/>
      <w:marBottom w:val="0"/>
      <w:divBdr>
        <w:top w:val="none" w:sz="0" w:space="0" w:color="auto"/>
        <w:left w:val="none" w:sz="0" w:space="0" w:color="auto"/>
        <w:bottom w:val="none" w:sz="0" w:space="0" w:color="auto"/>
        <w:right w:val="none" w:sz="0" w:space="0" w:color="auto"/>
      </w:divBdr>
    </w:div>
    <w:div w:id="1056244642">
      <w:bodyDiv w:val="1"/>
      <w:marLeft w:val="0"/>
      <w:marRight w:val="0"/>
      <w:marTop w:val="0"/>
      <w:marBottom w:val="0"/>
      <w:divBdr>
        <w:top w:val="none" w:sz="0" w:space="0" w:color="auto"/>
        <w:left w:val="none" w:sz="0" w:space="0" w:color="auto"/>
        <w:bottom w:val="none" w:sz="0" w:space="0" w:color="auto"/>
        <w:right w:val="none" w:sz="0" w:space="0" w:color="auto"/>
      </w:divBdr>
    </w:div>
    <w:div w:id="1056582499">
      <w:bodyDiv w:val="1"/>
      <w:marLeft w:val="0"/>
      <w:marRight w:val="0"/>
      <w:marTop w:val="0"/>
      <w:marBottom w:val="0"/>
      <w:divBdr>
        <w:top w:val="none" w:sz="0" w:space="0" w:color="auto"/>
        <w:left w:val="none" w:sz="0" w:space="0" w:color="auto"/>
        <w:bottom w:val="none" w:sz="0" w:space="0" w:color="auto"/>
        <w:right w:val="none" w:sz="0" w:space="0" w:color="auto"/>
      </w:divBdr>
    </w:div>
    <w:div w:id="1056969752">
      <w:bodyDiv w:val="1"/>
      <w:marLeft w:val="0"/>
      <w:marRight w:val="0"/>
      <w:marTop w:val="0"/>
      <w:marBottom w:val="0"/>
      <w:divBdr>
        <w:top w:val="none" w:sz="0" w:space="0" w:color="auto"/>
        <w:left w:val="none" w:sz="0" w:space="0" w:color="auto"/>
        <w:bottom w:val="none" w:sz="0" w:space="0" w:color="auto"/>
        <w:right w:val="none" w:sz="0" w:space="0" w:color="auto"/>
      </w:divBdr>
    </w:div>
    <w:div w:id="1057051806">
      <w:bodyDiv w:val="1"/>
      <w:marLeft w:val="0"/>
      <w:marRight w:val="0"/>
      <w:marTop w:val="0"/>
      <w:marBottom w:val="0"/>
      <w:divBdr>
        <w:top w:val="none" w:sz="0" w:space="0" w:color="auto"/>
        <w:left w:val="none" w:sz="0" w:space="0" w:color="auto"/>
        <w:bottom w:val="none" w:sz="0" w:space="0" w:color="auto"/>
        <w:right w:val="none" w:sz="0" w:space="0" w:color="auto"/>
      </w:divBdr>
    </w:div>
    <w:div w:id="1057164341">
      <w:bodyDiv w:val="1"/>
      <w:marLeft w:val="0"/>
      <w:marRight w:val="0"/>
      <w:marTop w:val="0"/>
      <w:marBottom w:val="0"/>
      <w:divBdr>
        <w:top w:val="none" w:sz="0" w:space="0" w:color="auto"/>
        <w:left w:val="none" w:sz="0" w:space="0" w:color="auto"/>
        <w:bottom w:val="none" w:sz="0" w:space="0" w:color="auto"/>
        <w:right w:val="none" w:sz="0" w:space="0" w:color="auto"/>
      </w:divBdr>
    </w:div>
    <w:div w:id="1057626089">
      <w:bodyDiv w:val="1"/>
      <w:marLeft w:val="0"/>
      <w:marRight w:val="0"/>
      <w:marTop w:val="0"/>
      <w:marBottom w:val="0"/>
      <w:divBdr>
        <w:top w:val="none" w:sz="0" w:space="0" w:color="auto"/>
        <w:left w:val="none" w:sz="0" w:space="0" w:color="auto"/>
        <w:bottom w:val="none" w:sz="0" w:space="0" w:color="auto"/>
        <w:right w:val="none" w:sz="0" w:space="0" w:color="auto"/>
      </w:divBdr>
    </w:div>
    <w:div w:id="1057701114">
      <w:bodyDiv w:val="1"/>
      <w:marLeft w:val="0"/>
      <w:marRight w:val="0"/>
      <w:marTop w:val="0"/>
      <w:marBottom w:val="0"/>
      <w:divBdr>
        <w:top w:val="none" w:sz="0" w:space="0" w:color="auto"/>
        <w:left w:val="none" w:sz="0" w:space="0" w:color="auto"/>
        <w:bottom w:val="none" w:sz="0" w:space="0" w:color="auto"/>
        <w:right w:val="none" w:sz="0" w:space="0" w:color="auto"/>
      </w:divBdr>
    </w:div>
    <w:div w:id="1058166566">
      <w:bodyDiv w:val="1"/>
      <w:marLeft w:val="0"/>
      <w:marRight w:val="0"/>
      <w:marTop w:val="0"/>
      <w:marBottom w:val="0"/>
      <w:divBdr>
        <w:top w:val="none" w:sz="0" w:space="0" w:color="auto"/>
        <w:left w:val="none" w:sz="0" w:space="0" w:color="auto"/>
        <w:bottom w:val="none" w:sz="0" w:space="0" w:color="auto"/>
        <w:right w:val="none" w:sz="0" w:space="0" w:color="auto"/>
      </w:divBdr>
    </w:div>
    <w:div w:id="1058212729">
      <w:bodyDiv w:val="1"/>
      <w:marLeft w:val="0"/>
      <w:marRight w:val="0"/>
      <w:marTop w:val="0"/>
      <w:marBottom w:val="0"/>
      <w:divBdr>
        <w:top w:val="none" w:sz="0" w:space="0" w:color="auto"/>
        <w:left w:val="none" w:sz="0" w:space="0" w:color="auto"/>
        <w:bottom w:val="none" w:sz="0" w:space="0" w:color="auto"/>
        <w:right w:val="none" w:sz="0" w:space="0" w:color="auto"/>
      </w:divBdr>
    </w:div>
    <w:div w:id="1059135075">
      <w:bodyDiv w:val="1"/>
      <w:marLeft w:val="0"/>
      <w:marRight w:val="0"/>
      <w:marTop w:val="0"/>
      <w:marBottom w:val="0"/>
      <w:divBdr>
        <w:top w:val="none" w:sz="0" w:space="0" w:color="auto"/>
        <w:left w:val="none" w:sz="0" w:space="0" w:color="auto"/>
        <w:bottom w:val="none" w:sz="0" w:space="0" w:color="auto"/>
        <w:right w:val="none" w:sz="0" w:space="0" w:color="auto"/>
      </w:divBdr>
    </w:div>
    <w:div w:id="1059548241">
      <w:bodyDiv w:val="1"/>
      <w:marLeft w:val="0"/>
      <w:marRight w:val="0"/>
      <w:marTop w:val="0"/>
      <w:marBottom w:val="0"/>
      <w:divBdr>
        <w:top w:val="none" w:sz="0" w:space="0" w:color="auto"/>
        <w:left w:val="none" w:sz="0" w:space="0" w:color="auto"/>
        <w:bottom w:val="none" w:sz="0" w:space="0" w:color="auto"/>
        <w:right w:val="none" w:sz="0" w:space="0" w:color="auto"/>
      </w:divBdr>
    </w:div>
    <w:div w:id="1060592036">
      <w:bodyDiv w:val="1"/>
      <w:marLeft w:val="0"/>
      <w:marRight w:val="0"/>
      <w:marTop w:val="0"/>
      <w:marBottom w:val="0"/>
      <w:divBdr>
        <w:top w:val="none" w:sz="0" w:space="0" w:color="auto"/>
        <w:left w:val="none" w:sz="0" w:space="0" w:color="auto"/>
        <w:bottom w:val="none" w:sz="0" w:space="0" w:color="auto"/>
        <w:right w:val="none" w:sz="0" w:space="0" w:color="auto"/>
      </w:divBdr>
    </w:div>
    <w:div w:id="1060906319">
      <w:bodyDiv w:val="1"/>
      <w:marLeft w:val="0"/>
      <w:marRight w:val="0"/>
      <w:marTop w:val="0"/>
      <w:marBottom w:val="0"/>
      <w:divBdr>
        <w:top w:val="none" w:sz="0" w:space="0" w:color="auto"/>
        <w:left w:val="none" w:sz="0" w:space="0" w:color="auto"/>
        <w:bottom w:val="none" w:sz="0" w:space="0" w:color="auto"/>
        <w:right w:val="none" w:sz="0" w:space="0" w:color="auto"/>
      </w:divBdr>
    </w:div>
    <w:div w:id="1061097859">
      <w:bodyDiv w:val="1"/>
      <w:marLeft w:val="0"/>
      <w:marRight w:val="0"/>
      <w:marTop w:val="0"/>
      <w:marBottom w:val="0"/>
      <w:divBdr>
        <w:top w:val="none" w:sz="0" w:space="0" w:color="auto"/>
        <w:left w:val="none" w:sz="0" w:space="0" w:color="auto"/>
        <w:bottom w:val="none" w:sz="0" w:space="0" w:color="auto"/>
        <w:right w:val="none" w:sz="0" w:space="0" w:color="auto"/>
      </w:divBdr>
    </w:div>
    <w:div w:id="1061947487">
      <w:bodyDiv w:val="1"/>
      <w:marLeft w:val="0"/>
      <w:marRight w:val="0"/>
      <w:marTop w:val="0"/>
      <w:marBottom w:val="0"/>
      <w:divBdr>
        <w:top w:val="none" w:sz="0" w:space="0" w:color="auto"/>
        <w:left w:val="none" w:sz="0" w:space="0" w:color="auto"/>
        <w:bottom w:val="none" w:sz="0" w:space="0" w:color="auto"/>
        <w:right w:val="none" w:sz="0" w:space="0" w:color="auto"/>
      </w:divBdr>
    </w:div>
    <w:div w:id="1062024915">
      <w:bodyDiv w:val="1"/>
      <w:marLeft w:val="0"/>
      <w:marRight w:val="0"/>
      <w:marTop w:val="0"/>
      <w:marBottom w:val="0"/>
      <w:divBdr>
        <w:top w:val="none" w:sz="0" w:space="0" w:color="auto"/>
        <w:left w:val="none" w:sz="0" w:space="0" w:color="auto"/>
        <w:bottom w:val="none" w:sz="0" w:space="0" w:color="auto"/>
        <w:right w:val="none" w:sz="0" w:space="0" w:color="auto"/>
      </w:divBdr>
    </w:div>
    <w:div w:id="1062827805">
      <w:bodyDiv w:val="1"/>
      <w:marLeft w:val="0"/>
      <w:marRight w:val="0"/>
      <w:marTop w:val="0"/>
      <w:marBottom w:val="0"/>
      <w:divBdr>
        <w:top w:val="none" w:sz="0" w:space="0" w:color="auto"/>
        <w:left w:val="none" w:sz="0" w:space="0" w:color="auto"/>
        <w:bottom w:val="none" w:sz="0" w:space="0" w:color="auto"/>
        <w:right w:val="none" w:sz="0" w:space="0" w:color="auto"/>
      </w:divBdr>
    </w:div>
    <w:div w:id="1063258058">
      <w:bodyDiv w:val="1"/>
      <w:marLeft w:val="0"/>
      <w:marRight w:val="0"/>
      <w:marTop w:val="0"/>
      <w:marBottom w:val="0"/>
      <w:divBdr>
        <w:top w:val="none" w:sz="0" w:space="0" w:color="auto"/>
        <w:left w:val="none" w:sz="0" w:space="0" w:color="auto"/>
        <w:bottom w:val="none" w:sz="0" w:space="0" w:color="auto"/>
        <w:right w:val="none" w:sz="0" w:space="0" w:color="auto"/>
      </w:divBdr>
    </w:div>
    <w:div w:id="1063258678">
      <w:bodyDiv w:val="1"/>
      <w:marLeft w:val="0"/>
      <w:marRight w:val="0"/>
      <w:marTop w:val="0"/>
      <w:marBottom w:val="0"/>
      <w:divBdr>
        <w:top w:val="none" w:sz="0" w:space="0" w:color="auto"/>
        <w:left w:val="none" w:sz="0" w:space="0" w:color="auto"/>
        <w:bottom w:val="none" w:sz="0" w:space="0" w:color="auto"/>
        <w:right w:val="none" w:sz="0" w:space="0" w:color="auto"/>
      </w:divBdr>
    </w:div>
    <w:div w:id="1064985842">
      <w:bodyDiv w:val="1"/>
      <w:marLeft w:val="0"/>
      <w:marRight w:val="0"/>
      <w:marTop w:val="0"/>
      <w:marBottom w:val="0"/>
      <w:divBdr>
        <w:top w:val="none" w:sz="0" w:space="0" w:color="auto"/>
        <w:left w:val="none" w:sz="0" w:space="0" w:color="auto"/>
        <w:bottom w:val="none" w:sz="0" w:space="0" w:color="auto"/>
        <w:right w:val="none" w:sz="0" w:space="0" w:color="auto"/>
      </w:divBdr>
    </w:div>
    <w:div w:id="1065034209">
      <w:bodyDiv w:val="1"/>
      <w:marLeft w:val="0"/>
      <w:marRight w:val="0"/>
      <w:marTop w:val="0"/>
      <w:marBottom w:val="0"/>
      <w:divBdr>
        <w:top w:val="none" w:sz="0" w:space="0" w:color="auto"/>
        <w:left w:val="none" w:sz="0" w:space="0" w:color="auto"/>
        <w:bottom w:val="none" w:sz="0" w:space="0" w:color="auto"/>
        <w:right w:val="none" w:sz="0" w:space="0" w:color="auto"/>
      </w:divBdr>
    </w:div>
    <w:div w:id="1065177494">
      <w:bodyDiv w:val="1"/>
      <w:marLeft w:val="0"/>
      <w:marRight w:val="0"/>
      <w:marTop w:val="0"/>
      <w:marBottom w:val="0"/>
      <w:divBdr>
        <w:top w:val="none" w:sz="0" w:space="0" w:color="auto"/>
        <w:left w:val="none" w:sz="0" w:space="0" w:color="auto"/>
        <w:bottom w:val="none" w:sz="0" w:space="0" w:color="auto"/>
        <w:right w:val="none" w:sz="0" w:space="0" w:color="auto"/>
      </w:divBdr>
    </w:div>
    <w:div w:id="1065253586">
      <w:bodyDiv w:val="1"/>
      <w:marLeft w:val="0"/>
      <w:marRight w:val="0"/>
      <w:marTop w:val="0"/>
      <w:marBottom w:val="0"/>
      <w:divBdr>
        <w:top w:val="none" w:sz="0" w:space="0" w:color="auto"/>
        <w:left w:val="none" w:sz="0" w:space="0" w:color="auto"/>
        <w:bottom w:val="none" w:sz="0" w:space="0" w:color="auto"/>
        <w:right w:val="none" w:sz="0" w:space="0" w:color="auto"/>
      </w:divBdr>
    </w:div>
    <w:div w:id="1066076038">
      <w:bodyDiv w:val="1"/>
      <w:marLeft w:val="0"/>
      <w:marRight w:val="0"/>
      <w:marTop w:val="0"/>
      <w:marBottom w:val="0"/>
      <w:divBdr>
        <w:top w:val="none" w:sz="0" w:space="0" w:color="auto"/>
        <w:left w:val="none" w:sz="0" w:space="0" w:color="auto"/>
        <w:bottom w:val="none" w:sz="0" w:space="0" w:color="auto"/>
        <w:right w:val="none" w:sz="0" w:space="0" w:color="auto"/>
      </w:divBdr>
    </w:div>
    <w:div w:id="1066761377">
      <w:bodyDiv w:val="1"/>
      <w:marLeft w:val="0"/>
      <w:marRight w:val="0"/>
      <w:marTop w:val="0"/>
      <w:marBottom w:val="0"/>
      <w:divBdr>
        <w:top w:val="none" w:sz="0" w:space="0" w:color="auto"/>
        <w:left w:val="none" w:sz="0" w:space="0" w:color="auto"/>
        <w:bottom w:val="none" w:sz="0" w:space="0" w:color="auto"/>
        <w:right w:val="none" w:sz="0" w:space="0" w:color="auto"/>
      </w:divBdr>
    </w:div>
    <w:div w:id="1067074714">
      <w:bodyDiv w:val="1"/>
      <w:marLeft w:val="0"/>
      <w:marRight w:val="0"/>
      <w:marTop w:val="0"/>
      <w:marBottom w:val="0"/>
      <w:divBdr>
        <w:top w:val="none" w:sz="0" w:space="0" w:color="auto"/>
        <w:left w:val="none" w:sz="0" w:space="0" w:color="auto"/>
        <w:bottom w:val="none" w:sz="0" w:space="0" w:color="auto"/>
        <w:right w:val="none" w:sz="0" w:space="0" w:color="auto"/>
      </w:divBdr>
    </w:div>
    <w:div w:id="1067610928">
      <w:bodyDiv w:val="1"/>
      <w:marLeft w:val="0"/>
      <w:marRight w:val="0"/>
      <w:marTop w:val="0"/>
      <w:marBottom w:val="0"/>
      <w:divBdr>
        <w:top w:val="none" w:sz="0" w:space="0" w:color="auto"/>
        <w:left w:val="none" w:sz="0" w:space="0" w:color="auto"/>
        <w:bottom w:val="none" w:sz="0" w:space="0" w:color="auto"/>
        <w:right w:val="none" w:sz="0" w:space="0" w:color="auto"/>
      </w:divBdr>
    </w:div>
    <w:div w:id="1067654064">
      <w:bodyDiv w:val="1"/>
      <w:marLeft w:val="0"/>
      <w:marRight w:val="0"/>
      <w:marTop w:val="0"/>
      <w:marBottom w:val="0"/>
      <w:divBdr>
        <w:top w:val="none" w:sz="0" w:space="0" w:color="auto"/>
        <w:left w:val="none" w:sz="0" w:space="0" w:color="auto"/>
        <w:bottom w:val="none" w:sz="0" w:space="0" w:color="auto"/>
        <w:right w:val="none" w:sz="0" w:space="0" w:color="auto"/>
      </w:divBdr>
    </w:div>
    <w:div w:id="1067916749">
      <w:bodyDiv w:val="1"/>
      <w:marLeft w:val="0"/>
      <w:marRight w:val="0"/>
      <w:marTop w:val="0"/>
      <w:marBottom w:val="0"/>
      <w:divBdr>
        <w:top w:val="none" w:sz="0" w:space="0" w:color="auto"/>
        <w:left w:val="none" w:sz="0" w:space="0" w:color="auto"/>
        <w:bottom w:val="none" w:sz="0" w:space="0" w:color="auto"/>
        <w:right w:val="none" w:sz="0" w:space="0" w:color="auto"/>
      </w:divBdr>
    </w:div>
    <w:div w:id="1068309734">
      <w:bodyDiv w:val="1"/>
      <w:marLeft w:val="0"/>
      <w:marRight w:val="0"/>
      <w:marTop w:val="0"/>
      <w:marBottom w:val="0"/>
      <w:divBdr>
        <w:top w:val="none" w:sz="0" w:space="0" w:color="auto"/>
        <w:left w:val="none" w:sz="0" w:space="0" w:color="auto"/>
        <w:bottom w:val="none" w:sz="0" w:space="0" w:color="auto"/>
        <w:right w:val="none" w:sz="0" w:space="0" w:color="auto"/>
      </w:divBdr>
    </w:div>
    <w:div w:id="1068848611">
      <w:bodyDiv w:val="1"/>
      <w:marLeft w:val="0"/>
      <w:marRight w:val="0"/>
      <w:marTop w:val="0"/>
      <w:marBottom w:val="0"/>
      <w:divBdr>
        <w:top w:val="none" w:sz="0" w:space="0" w:color="auto"/>
        <w:left w:val="none" w:sz="0" w:space="0" w:color="auto"/>
        <w:bottom w:val="none" w:sz="0" w:space="0" w:color="auto"/>
        <w:right w:val="none" w:sz="0" w:space="0" w:color="auto"/>
      </w:divBdr>
    </w:div>
    <w:div w:id="1068919460">
      <w:bodyDiv w:val="1"/>
      <w:marLeft w:val="0"/>
      <w:marRight w:val="0"/>
      <w:marTop w:val="0"/>
      <w:marBottom w:val="0"/>
      <w:divBdr>
        <w:top w:val="none" w:sz="0" w:space="0" w:color="auto"/>
        <w:left w:val="none" w:sz="0" w:space="0" w:color="auto"/>
        <w:bottom w:val="none" w:sz="0" w:space="0" w:color="auto"/>
        <w:right w:val="none" w:sz="0" w:space="0" w:color="auto"/>
      </w:divBdr>
    </w:div>
    <w:div w:id="1068921994">
      <w:bodyDiv w:val="1"/>
      <w:marLeft w:val="0"/>
      <w:marRight w:val="0"/>
      <w:marTop w:val="0"/>
      <w:marBottom w:val="0"/>
      <w:divBdr>
        <w:top w:val="none" w:sz="0" w:space="0" w:color="auto"/>
        <w:left w:val="none" w:sz="0" w:space="0" w:color="auto"/>
        <w:bottom w:val="none" w:sz="0" w:space="0" w:color="auto"/>
        <w:right w:val="none" w:sz="0" w:space="0" w:color="auto"/>
      </w:divBdr>
    </w:div>
    <w:div w:id="1069032658">
      <w:bodyDiv w:val="1"/>
      <w:marLeft w:val="0"/>
      <w:marRight w:val="0"/>
      <w:marTop w:val="0"/>
      <w:marBottom w:val="0"/>
      <w:divBdr>
        <w:top w:val="none" w:sz="0" w:space="0" w:color="auto"/>
        <w:left w:val="none" w:sz="0" w:space="0" w:color="auto"/>
        <w:bottom w:val="none" w:sz="0" w:space="0" w:color="auto"/>
        <w:right w:val="none" w:sz="0" w:space="0" w:color="auto"/>
      </w:divBdr>
    </w:div>
    <w:div w:id="1069037191">
      <w:bodyDiv w:val="1"/>
      <w:marLeft w:val="0"/>
      <w:marRight w:val="0"/>
      <w:marTop w:val="0"/>
      <w:marBottom w:val="0"/>
      <w:divBdr>
        <w:top w:val="none" w:sz="0" w:space="0" w:color="auto"/>
        <w:left w:val="none" w:sz="0" w:space="0" w:color="auto"/>
        <w:bottom w:val="none" w:sz="0" w:space="0" w:color="auto"/>
        <w:right w:val="none" w:sz="0" w:space="0" w:color="auto"/>
      </w:divBdr>
    </w:div>
    <w:div w:id="1069113067">
      <w:bodyDiv w:val="1"/>
      <w:marLeft w:val="0"/>
      <w:marRight w:val="0"/>
      <w:marTop w:val="0"/>
      <w:marBottom w:val="0"/>
      <w:divBdr>
        <w:top w:val="none" w:sz="0" w:space="0" w:color="auto"/>
        <w:left w:val="none" w:sz="0" w:space="0" w:color="auto"/>
        <w:bottom w:val="none" w:sz="0" w:space="0" w:color="auto"/>
        <w:right w:val="none" w:sz="0" w:space="0" w:color="auto"/>
      </w:divBdr>
    </w:div>
    <w:div w:id="1069114957">
      <w:bodyDiv w:val="1"/>
      <w:marLeft w:val="0"/>
      <w:marRight w:val="0"/>
      <w:marTop w:val="0"/>
      <w:marBottom w:val="0"/>
      <w:divBdr>
        <w:top w:val="none" w:sz="0" w:space="0" w:color="auto"/>
        <w:left w:val="none" w:sz="0" w:space="0" w:color="auto"/>
        <w:bottom w:val="none" w:sz="0" w:space="0" w:color="auto"/>
        <w:right w:val="none" w:sz="0" w:space="0" w:color="auto"/>
      </w:divBdr>
    </w:div>
    <w:div w:id="1069115522">
      <w:bodyDiv w:val="1"/>
      <w:marLeft w:val="0"/>
      <w:marRight w:val="0"/>
      <w:marTop w:val="0"/>
      <w:marBottom w:val="0"/>
      <w:divBdr>
        <w:top w:val="none" w:sz="0" w:space="0" w:color="auto"/>
        <w:left w:val="none" w:sz="0" w:space="0" w:color="auto"/>
        <w:bottom w:val="none" w:sz="0" w:space="0" w:color="auto"/>
        <w:right w:val="none" w:sz="0" w:space="0" w:color="auto"/>
      </w:divBdr>
    </w:div>
    <w:div w:id="1069230491">
      <w:bodyDiv w:val="1"/>
      <w:marLeft w:val="0"/>
      <w:marRight w:val="0"/>
      <w:marTop w:val="0"/>
      <w:marBottom w:val="0"/>
      <w:divBdr>
        <w:top w:val="none" w:sz="0" w:space="0" w:color="auto"/>
        <w:left w:val="none" w:sz="0" w:space="0" w:color="auto"/>
        <w:bottom w:val="none" w:sz="0" w:space="0" w:color="auto"/>
        <w:right w:val="none" w:sz="0" w:space="0" w:color="auto"/>
      </w:divBdr>
    </w:div>
    <w:div w:id="1069302813">
      <w:bodyDiv w:val="1"/>
      <w:marLeft w:val="0"/>
      <w:marRight w:val="0"/>
      <w:marTop w:val="0"/>
      <w:marBottom w:val="0"/>
      <w:divBdr>
        <w:top w:val="none" w:sz="0" w:space="0" w:color="auto"/>
        <w:left w:val="none" w:sz="0" w:space="0" w:color="auto"/>
        <w:bottom w:val="none" w:sz="0" w:space="0" w:color="auto"/>
        <w:right w:val="none" w:sz="0" w:space="0" w:color="auto"/>
      </w:divBdr>
    </w:div>
    <w:div w:id="1069694394">
      <w:bodyDiv w:val="1"/>
      <w:marLeft w:val="0"/>
      <w:marRight w:val="0"/>
      <w:marTop w:val="0"/>
      <w:marBottom w:val="0"/>
      <w:divBdr>
        <w:top w:val="none" w:sz="0" w:space="0" w:color="auto"/>
        <w:left w:val="none" w:sz="0" w:space="0" w:color="auto"/>
        <w:bottom w:val="none" w:sz="0" w:space="0" w:color="auto"/>
        <w:right w:val="none" w:sz="0" w:space="0" w:color="auto"/>
      </w:divBdr>
    </w:div>
    <w:div w:id="1069697365">
      <w:bodyDiv w:val="1"/>
      <w:marLeft w:val="0"/>
      <w:marRight w:val="0"/>
      <w:marTop w:val="0"/>
      <w:marBottom w:val="0"/>
      <w:divBdr>
        <w:top w:val="none" w:sz="0" w:space="0" w:color="auto"/>
        <w:left w:val="none" w:sz="0" w:space="0" w:color="auto"/>
        <w:bottom w:val="none" w:sz="0" w:space="0" w:color="auto"/>
        <w:right w:val="none" w:sz="0" w:space="0" w:color="auto"/>
      </w:divBdr>
    </w:div>
    <w:div w:id="1069772749">
      <w:bodyDiv w:val="1"/>
      <w:marLeft w:val="0"/>
      <w:marRight w:val="0"/>
      <w:marTop w:val="0"/>
      <w:marBottom w:val="0"/>
      <w:divBdr>
        <w:top w:val="none" w:sz="0" w:space="0" w:color="auto"/>
        <w:left w:val="none" w:sz="0" w:space="0" w:color="auto"/>
        <w:bottom w:val="none" w:sz="0" w:space="0" w:color="auto"/>
        <w:right w:val="none" w:sz="0" w:space="0" w:color="auto"/>
      </w:divBdr>
    </w:div>
    <w:div w:id="1069839002">
      <w:bodyDiv w:val="1"/>
      <w:marLeft w:val="0"/>
      <w:marRight w:val="0"/>
      <w:marTop w:val="0"/>
      <w:marBottom w:val="0"/>
      <w:divBdr>
        <w:top w:val="none" w:sz="0" w:space="0" w:color="auto"/>
        <w:left w:val="none" w:sz="0" w:space="0" w:color="auto"/>
        <w:bottom w:val="none" w:sz="0" w:space="0" w:color="auto"/>
        <w:right w:val="none" w:sz="0" w:space="0" w:color="auto"/>
      </w:divBdr>
    </w:div>
    <w:div w:id="1070082442">
      <w:bodyDiv w:val="1"/>
      <w:marLeft w:val="0"/>
      <w:marRight w:val="0"/>
      <w:marTop w:val="0"/>
      <w:marBottom w:val="0"/>
      <w:divBdr>
        <w:top w:val="none" w:sz="0" w:space="0" w:color="auto"/>
        <w:left w:val="none" w:sz="0" w:space="0" w:color="auto"/>
        <w:bottom w:val="none" w:sz="0" w:space="0" w:color="auto"/>
        <w:right w:val="none" w:sz="0" w:space="0" w:color="auto"/>
      </w:divBdr>
    </w:div>
    <w:div w:id="1070228671">
      <w:bodyDiv w:val="1"/>
      <w:marLeft w:val="0"/>
      <w:marRight w:val="0"/>
      <w:marTop w:val="0"/>
      <w:marBottom w:val="0"/>
      <w:divBdr>
        <w:top w:val="none" w:sz="0" w:space="0" w:color="auto"/>
        <w:left w:val="none" w:sz="0" w:space="0" w:color="auto"/>
        <w:bottom w:val="none" w:sz="0" w:space="0" w:color="auto"/>
        <w:right w:val="none" w:sz="0" w:space="0" w:color="auto"/>
      </w:divBdr>
    </w:div>
    <w:div w:id="1070272387">
      <w:bodyDiv w:val="1"/>
      <w:marLeft w:val="0"/>
      <w:marRight w:val="0"/>
      <w:marTop w:val="0"/>
      <w:marBottom w:val="0"/>
      <w:divBdr>
        <w:top w:val="none" w:sz="0" w:space="0" w:color="auto"/>
        <w:left w:val="none" w:sz="0" w:space="0" w:color="auto"/>
        <w:bottom w:val="none" w:sz="0" w:space="0" w:color="auto"/>
        <w:right w:val="none" w:sz="0" w:space="0" w:color="auto"/>
      </w:divBdr>
    </w:div>
    <w:div w:id="1070689557">
      <w:bodyDiv w:val="1"/>
      <w:marLeft w:val="0"/>
      <w:marRight w:val="0"/>
      <w:marTop w:val="0"/>
      <w:marBottom w:val="0"/>
      <w:divBdr>
        <w:top w:val="none" w:sz="0" w:space="0" w:color="auto"/>
        <w:left w:val="none" w:sz="0" w:space="0" w:color="auto"/>
        <w:bottom w:val="none" w:sz="0" w:space="0" w:color="auto"/>
        <w:right w:val="none" w:sz="0" w:space="0" w:color="auto"/>
      </w:divBdr>
    </w:div>
    <w:div w:id="1071002391">
      <w:bodyDiv w:val="1"/>
      <w:marLeft w:val="0"/>
      <w:marRight w:val="0"/>
      <w:marTop w:val="0"/>
      <w:marBottom w:val="0"/>
      <w:divBdr>
        <w:top w:val="none" w:sz="0" w:space="0" w:color="auto"/>
        <w:left w:val="none" w:sz="0" w:space="0" w:color="auto"/>
        <w:bottom w:val="none" w:sz="0" w:space="0" w:color="auto"/>
        <w:right w:val="none" w:sz="0" w:space="0" w:color="auto"/>
      </w:divBdr>
    </w:div>
    <w:div w:id="1071076587">
      <w:bodyDiv w:val="1"/>
      <w:marLeft w:val="0"/>
      <w:marRight w:val="0"/>
      <w:marTop w:val="0"/>
      <w:marBottom w:val="0"/>
      <w:divBdr>
        <w:top w:val="none" w:sz="0" w:space="0" w:color="auto"/>
        <w:left w:val="none" w:sz="0" w:space="0" w:color="auto"/>
        <w:bottom w:val="none" w:sz="0" w:space="0" w:color="auto"/>
        <w:right w:val="none" w:sz="0" w:space="0" w:color="auto"/>
      </w:divBdr>
    </w:div>
    <w:div w:id="1071806104">
      <w:bodyDiv w:val="1"/>
      <w:marLeft w:val="0"/>
      <w:marRight w:val="0"/>
      <w:marTop w:val="0"/>
      <w:marBottom w:val="0"/>
      <w:divBdr>
        <w:top w:val="none" w:sz="0" w:space="0" w:color="auto"/>
        <w:left w:val="none" w:sz="0" w:space="0" w:color="auto"/>
        <w:bottom w:val="none" w:sz="0" w:space="0" w:color="auto"/>
        <w:right w:val="none" w:sz="0" w:space="0" w:color="auto"/>
      </w:divBdr>
    </w:div>
    <w:div w:id="1072198702">
      <w:bodyDiv w:val="1"/>
      <w:marLeft w:val="0"/>
      <w:marRight w:val="0"/>
      <w:marTop w:val="0"/>
      <w:marBottom w:val="0"/>
      <w:divBdr>
        <w:top w:val="none" w:sz="0" w:space="0" w:color="auto"/>
        <w:left w:val="none" w:sz="0" w:space="0" w:color="auto"/>
        <w:bottom w:val="none" w:sz="0" w:space="0" w:color="auto"/>
        <w:right w:val="none" w:sz="0" w:space="0" w:color="auto"/>
      </w:divBdr>
    </w:div>
    <w:div w:id="1072312201">
      <w:bodyDiv w:val="1"/>
      <w:marLeft w:val="0"/>
      <w:marRight w:val="0"/>
      <w:marTop w:val="0"/>
      <w:marBottom w:val="0"/>
      <w:divBdr>
        <w:top w:val="none" w:sz="0" w:space="0" w:color="auto"/>
        <w:left w:val="none" w:sz="0" w:space="0" w:color="auto"/>
        <w:bottom w:val="none" w:sz="0" w:space="0" w:color="auto"/>
        <w:right w:val="none" w:sz="0" w:space="0" w:color="auto"/>
      </w:divBdr>
    </w:div>
    <w:div w:id="1072315960">
      <w:bodyDiv w:val="1"/>
      <w:marLeft w:val="0"/>
      <w:marRight w:val="0"/>
      <w:marTop w:val="0"/>
      <w:marBottom w:val="0"/>
      <w:divBdr>
        <w:top w:val="none" w:sz="0" w:space="0" w:color="auto"/>
        <w:left w:val="none" w:sz="0" w:space="0" w:color="auto"/>
        <w:bottom w:val="none" w:sz="0" w:space="0" w:color="auto"/>
        <w:right w:val="none" w:sz="0" w:space="0" w:color="auto"/>
      </w:divBdr>
    </w:div>
    <w:div w:id="1072507973">
      <w:bodyDiv w:val="1"/>
      <w:marLeft w:val="0"/>
      <w:marRight w:val="0"/>
      <w:marTop w:val="0"/>
      <w:marBottom w:val="0"/>
      <w:divBdr>
        <w:top w:val="none" w:sz="0" w:space="0" w:color="auto"/>
        <w:left w:val="none" w:sz="0" w:space="0" w:color="auto"/>
        <w:bottom w:val="none" w:sz="0" w:space="0" w:color="auto"/>
        <w:right w:val="none" w:sz="0" w:space="0" w:color="auto"/>
      </w:divBdr>
    </w:div>
    <w:div w:id="1072652864">
      <w:bodyDiv w:val="1"/>
      <w:marLeft w:val="0"/>
      <w:marRight w:val="0"/>
      <w:marTop w:val="0"/>
      <w:marBottom w:val="0"/>
      <w:divBdr>
        <w:top w:val="none" w:sz="0" w:space="0" w:color="auto"/>
        <w:left w:val="none" w:sz="0" w:space="0" w:color="auto"/>
        <w:bottom w:val="none" w:sz="0" w:space="0" w:color="auto"/>
        <w:right w:val="none" w:sz="0" w:space="0" w:color="auto"/>
      </w:divBdr>
    </w:div>
    <w:div w:id="1072699312">
      <w:bodyDiv w:val="1"/>
      <w:marLeft w:val="0"/>
      <w:marRight w:val="0"/>
      <w:marTop w:val="0"/>
      <w:marBottom w:val="0"/>
      <w:divBdr>
        <w:top w:val="none" w:sz="0" w:space="0" w:color="auto"/>
        <w:left w:val="none" w:sz="0" w:space="0" w:color="auto"/>
        <w:bottom w:val="none" w:sz="0" w:space="0" w:color="auto"/>
        <w:right w:val="none" w:sz="0" w:space="0" w:color="auto"/>
      </w:divBdr>
    </w:div>
    <w:div w:id="1072699963">
      <w:bodyDiv w:val="1"/>
      <w:marLeft w:val="0"/>
      <w:marRight w:val="0"/>
      <w:marTop w:val="0"/>
      <w:marBottom w:val="0"/>
      <w:divBdr>
        <w:top w:val="none" w:sz="0" w:space="0" w:color="auto"/>
        <w:left w:val="none" w:sz="0" w:space="0" w:color="auto"/>
        <w:bottom w:val="none" w:sz="0" w:space="0" w:color="auto"/>
        <w:right w:val="none" w:sz="0" w:space="0" w:color="auto"/>
      </w:divBdr>
    </w:div>
    <w:div w:id="1073048605">
      <w:bodyDiv w:val="1"/>
      <w:marLeft w:val="0"/>
      <w:marRight w:val="0"/>
      <w:marTop w:val="0"/>
      <w:marBottom w:val="0"/>
      <w:divBdr>
        <w:top w:val="none" w:sz="0" w:space="0" w:color="auto"/>
        <w:left w:val="none" w:sz="0" w:space="0" w:color="auto"/>
        <w:bottom w:val="none" w:sz="0" w:space="0" w:color="auto"/>
        <w:right w:val="none" w:sz="0" w:space="0" w:color="auto"/>
      </w:divBdr>
    </w:div>
    <w:div w:id="1074006734">
      <w:bodyDiv w:val="1"/>
      <w:marLeft w:val="0"/>
      <w:marRight w:val="0"/>
      <w:marTop w:val="0"/>
      <w:marBottom w:val="0"/>
      <w:divBdr>
        <w:top w:val="none" w:sz="0" w:space="0" w:color="auto"/>
        <w:left w:val="none" w:sz="0" w:space="0" w:color="auto"/>
        <w:bottom w:val="none" w:sz="0" w:space="0" w:color="auto"/>
        <w:right w:val="none" w:sz="0" w:space="0" w:color="auto"/>
      </w:divBdr>
    </w:div>
    <w:div w:id="1074011554">
      <w:bodyDiv w:val="1"/>
      <w:marLeft w:val="0"/>
      <w:marRight w:val="0"/>
      <w:marTop w:val="0"/>
      <w:marBottom w:val="0"/>
      <w:divBdr>
        <w:top w:val="none" w:sz="0" w:space="0" w:color="auto"/>
        <w:left w:val="none" w:sz="0" w:space="0" w:color="auto"/>
        <w:bottom w:val="none" w:sz="0" w:space="0" w:color="auto"/>
        <w:right w:val="none" w:sz="0" w:space="0" w:color="auto"/>
      </w:divBdr>
    </w:div>
    <w:div w:id="1074158809">
      <w:bodyDiv w:val="1"/>
      <w:marLeft w:val="0"/>
      <w:marRight w:val="0"/>
      <w:marTop w:val="0"/>
      <w:marBottom w:val="0"/>
      <w:divBdr>
        <w:top w:val="none" w:sz="0" w:space="0" w:color="auto"/>
        <w:left w:val="none" w:sz="0" w:space="0" w:color="auto"/>
        <w:bottom w:val="none" w:sz="0" w:space="0" w:color="auto"/>
        <w:right w:val="none" w:sz="0" w:space="0" w:color="auto"/>
      </w:divBdr>
    </w:div>
    <w:div w:id="1074208899">
      <w:bodyDiv w:val="1"/>
      <w:marLeft w:val="0"/>
      <w:marRight w:val="0"/>
      <w:marTop w:val="0"/>
      <w:marBottom w:val="0"/>
      <w:divBdr>
        <w:top w:val="none" w:sz="0" w:space="0" w:color="auto"/>
        <w:left w:val="none" w:sz="0" w:space="0" w:color="auto"/>
        <w:bottom w:val="none" w:sz="0" w:space="0" w:color="auto"/>
        <w:right w:val="none" w:sz="0" w:space="0" w:color="auto"/>
      </w:divBdr>
    </w:div>
    <w:div w:id="1074744603">
      <w:bodyDiv w:val="1"/>
      <w:marLeft w:val="0"/>
      <w:marRight w:val="0"/>
      <w:marTop w:val="0"/>
      <w:marBottom w:val="0"/>
      <w:divBdr>
        <w:top w:val="none" w:sz="0" w:space="0" w:color="auto"/>
        <w:left w:val="none" w:sz="0" w:space="0" w:color="auto"/>
        <w:bottom w:val="none" w:sz="0" w:space="0" w:color="auto"/>
        <w:right w:val="none" w:sz="0" w:space="0" w:color="auto"/>
      </w:divBdr>
    </w:div>
    <w:div w:id="1075787835">
      <w:bodyDiv w:val="1"/>
      <w:marLeft w:val="0"/>
      <w:marRight w:val="0"/>
      <w:marTop w:val="0"/>
      <w:marBottom w:val="0"/>
      <w:divBdr>
        <w:top w:val="none" w:sz="0" w:space="0" w:color="auto"/>
        <w:left w:val="none" w:sz="0" w:space="0" w:color="auto"/>
        <w:bottom w:val="none" w:sz="0" w:space="0" w:color="auto"/>
        <w:right w:val="none" w:sz="0" w:space="0" w:color="auto"/>
      </w:divBdr>
    </w:div>
    <w:div w:id="1075929997">
      <w:bodyDiv w:val="1"/>
      <w:marLeft w:val="0"/>
      <w:marRight w:val="0"/>
      <w:marTop w:val="0"/>
      <w:marBottom w:val="0"/>
      <w:divBdr>
        <w:top w:val="none" w:sz="0" w:space="0" w:color="auto"/>
        <w:left w:val="none" w:sz="0" w:space="0" w:color="auto"/>
        <w:bottom w:val="none" w:sz="0" w:space="0" w:color="auto"/>
        <w:right w:val="none" w:sz="0" w:space="0" w:color="auto"/>
      </w:divBdr>
    </w:div>
    <w:div w:id="1075937069">
      <w:bodyDiv w:val="1"/>
      <w:marLeft w:val="0"/>
      <w:marRight w:val="0"/>
      <w:marTop w:val="0"/>
      <w:marBottom w:val="0"/>
      <w:divBdr>
        <w:top w:val="none" w:sz="0" w:space="0" w:color="auto"/>
        <w:left w:val="none" w:sz="0" w:space="0" w:color="auto"/>
        <w:bottom w:val="none" w:sz="0" w:space="0" w:color="auto"/>
        <w:right w:val="none" w:sz="0" w:space="0" w:color="auto"/>
      </w:divBdr>
    </w:div>
    <w:div w:id="1075971876">
      <w:bodyDiv w:val="1"/>
      <w:marLeft w:val="0"/>
      <w:marRight w:val="0"/>
      <w:marTop w:val="0"/>
      <w:marBottom w:val="0"/>
      <w:divBdr>
        <w:top w:val="none" w:sz="0" w:space="0" w:color="auto"/>
        <w:left w:val="none" w:sz="0" w:space="0" w:color="auto"/>
        <w:bottom w:val="none" w:sz="0" w:space="0" w:color="auto"/>
        <w:right w:val="none" w:sz="0" w:space="0" w:color="auto"/>
      </w:divBdr>
    </w:div>
    <w:div w:id="1076198484">
      <w:bodyDiv w:val="1"/>
      <w:marLeft w:val="0"/>
      <w:marRight w:val="0"/>
      <w:marTop w:val="0"/>
      <w:marBottom w:val="0"/>
      <w:divBdr>
        <w:top w:val="none" w:sz="0" w:space="0" w:color="auto"/>
        <w:left w:val="none" w:sz="0" w:space="0" w:color="auto"/>
        <w:bottom w:val="none" w:sz="0" w:space="0" w:color="auto"/>
        <w:right w:val="none" w:sz="0" w:space="0" w:color="auto"/>
      </w:divBdr>
    </w:div>
    <w:div w:id="1076364862">
      <w:bodyDiv w:val="1"/>
      <w:marLeft w:val="0"/>
      <w:marRight w:val="0"/>
      <w:marTop w:val="0"/>
      <w:marBottom w:val="0"/>
      <w:divBdr>
        <w:top w:val="none" w:sz="0" w:space="0" w:color="auto"/>
        <w:left w:val="none" w:sz="0" w:space="0" w:color="auto"/>
        <w:bottom w:val="none" w:sz="0" w:space="0" w:color="auto"/>
        <w:right w:val="none" w:sz="0" w:space="0" w:color="auto"/>
      </w:divBdr>
    </w:div>
    <w:div w:id="1076779343">
      <w:bodyDiv w:val="1"/>
      <w:marLeft w:val="0"/>
      <w:marRight w:val="0"/>
      <w:marTop w:val="0"/>
      <w:marBottom w:val="0"/>
      <w:divBdr>
        <w:top w:val="none" w:sz="0" w:space="0" w:color="auto"/>
        <w:left w:val="none" w:sz="0" w:space="0" w:color="auto"/>
        <w:bottom w:val="none" w:sz="0" w:space="0" w:color="auto"/>
        <w:right w:val="none" w:sz="0" w:space="0" w:color="auto"/>
      </w:divBdr>
    </w:div>
    <w:div w:id="1077172248">
      <w:bodyDiv w:val="1"/>
      <w:marLeft w:val="0"/>
      <w:marRight w:val="0"/>
      <w:marTop w:val="0"/>
      <w:marBottom w:val="0"/>
      <w:divBdr>
        <w:top w:val="none" w:sz="0" w:space="0" w:color="auto"/>
        <w:left w:val="none" w:sz="0" w:space="0" w:color="auto"/>
        <w:bottom w:val="none" w:sz="0" w:space="0" w:color="auto"/>
        <w:right w:val="none" w:sz="0" w:space="0" w:color="auto"/>
      </w:divBdr>
    </w:div>
    <w:div w:id="1077902854">
      <w:bodyDiv w:val="1"/>
      <w:marLeft w:val="0"/>
      <w:marRight w:val="0"/>
      <w:marTop w:val="0"/>
      <w:marBottom w:val="0"/>
      <w:divBdr>
        <w:top w:val="none" w:sz="0" w:space="0" w:color="auto"/>
        <w:left w:val="none" w:sz="0" w:space="0" w:color="auto"/>
        <w:bottom w:val="none" w:sz="0" w:space="0" w:color="auto"/>
        <w:right w:val="none" w:sz="0" w:space="0" w:color="auto"/>
      </w:divBdr>
    </w:div>
    <w:div w:id="1077946014">
      <w:bodyDiv w:val="1"/>
      <w:marLeft w:val="0"/>
      <w:marRight w:val="0"/>
      <w:marTop w:val="0"/>
      <w:marBottom w:val="0"/>
      <w:divBdr>
        <w:top w:val="none" w:sz="0" w:space="0" w:color="auto"/>
        <w:left w:val="none" w:sz="0" w:space="0" w:color="auto"/>
        <w:bottom w:val="none" w:sz="0" w:space="0" w:color="auto"/>
        <w:right w:val="none" w:sz="0" w:space="0" w:color="auto"/>
      </w:divBdr>
    </w:div>
    <w:div w:id="1078092525">
      <w:bodyDiv w:val="1"/>
      <w:marLeft w:val="0"/>
      <w:marRight w:val="0"/>
      <w:marTop w:val="0"/>
      <w:marBottom w:val="0"/>
      <w:divBdr>
        <w:top w:val="none" w:sz="0" w:space="0" w:color="auto"/>
        <w:left w:val="none" w:sz="0" w:space="0" w:color="auto"/>
        <w:bottom w:val="none" w:sz="0" w:space="0" w:color="auto"/>
        <w:right w:val="none" w:sz="0" w:space="0" w:color="auto"/>
      </w:divBdr>
    </w:div>
    <w:div w:id="1078329357">
      <w:bodyDiv w:val="1"/>
      <w:marLeft w:val="0"/>
      <w:marRight w:val="0"/>
      <w:marTop w:val="0"/>
      <w:marBottom w:val="0"/>
      <w:divBdr>
        <w:top w:val="none" w:sz="0" w:space="0" w:color="auto"/>
        <w:left w:val="none" w:sz="0" w:space="0" w:color="auto"/>
        <w:bottom w:val="none" w:sz="0" w:space="0" w:color="auto"/>
        <w:right w:val="none" w:sz="0" w:space="0" w:color="auto"/>
      </w:divBdr>
    </w:div>
    <w:div w:id="1079134873">
      <w:bodyDiv w:val="1"/>
      <w:marLeft w:val="0"/>
      <w:marRight w:val="0"/>
      <w:marTop w:val="0"/>
      <w:marBottom w:val="0"/>
      <w:divBdr>
        <w:top w:val="none" w:sz="0" w:space="0" w:color="auto"/>
        <w:left w:val="none" w:sz="0" w:space="0" w:color="auto"/>
        <w:bottom w:val="none" w:sz="0" w:space="0" w:color="auto"/>
        <w:right w:val="none" w:sz="0" w:space="0" w:color="auto"/>
      </w:divBdr>
    </w:div>
    <w:div w:id="1079251733">
      <w:bodyDiv w:val="1"/>
      <w:marLeft w:val="0"/>
      <w:marRight w:val="0"/>
      <w:marTop w:val="0"/>
      <w:marBottom w:val="0"/>
      <w:divBdr>
        <w:top w:val="none" w:sz="0" w:space="0" w:color="auto"/>
        <w:left w:val="none" w:sz="0" w:space="0" w:color="auto"/>
        <w:bottom w:val="none" w:sz="0" w:space="0" w:color="auto"/>
        <w:right w:val="none" w:sz="0" w:space="0" w:color="auto"/>
      </w:divBdr>
    </w:div>
    <w:div w:id="1079255769">
      <w:bodyDiv w:val="1"/>
      <w:marLeft w:val="0"/>
      <w:marRight w:val="0"/>
      <w:marTop w:val="0"/>
      <w:marBottom w:val="0"/>
      <w:divBdr>
        <w:top w:val="none" w:sz="0" w:space="0" w:color="auto"/>
        <w:left w:val="none" w:sz="0" w:space="0" w:color="auto"/>
        <w:bottom w:val="none" w:sz="0" w:space="0" w:color="auto"/>
        <w:right w:val="none" w:sz="0" w:space="0" w:color="auto"/>
      </w:divBdr>
    </w:div>
    <w:div w:id="1079640866">
      <w:bodyDiv w:val="1"/>
      <w:marLeft w:val="0"/>
      <w:marRight w:val="0"/>
      <w:marTop w:val="0"/>
      <w:marBottom w:val="0"/>
      <w:divBdr>
        <w:top w:val="none" w:sz="0" w:space="0" w:color="auto"/>
        <w:left w:val="none" w:sz="0" w:space="0" w:color="auto"/>
        <w:bottom w:val="none" w:sz="0" w:space="0" w:color="auto"/>
        <w:right w:val="none" w:sz="0" w:space="0" w:color="auto"/>
      </w:divBdr>
    </w:div>
    <w:div w:id="1080256989">
      <w:bodyDiv w:val="1"/>
      <w:marLeft w:val="0"/>
      <w:marRight w:val="0"/>
      <w:marTop w:val="0"/>
      <w:marBottom w:val="0"/>
      <w:divBdr>
        <w:top w:val="none" w:sz="0" w:space="0" w:color="auto"/>
        <w:left w:val="none" w:sz="0" w:space="0" w:color="auto"/>
        <w:bottom w:val="none" w:sz="0" w:space="0" w:color="auto"/>
        <w:right w:val="none" w:sz="0" w:space="0" w:color="auto"/>
      </w:divBdr>
    </w:div>
    <w:div w:id="1080521848">
      <w:bodyDiv w:val="1"/>
      <w:marLeft w:val="0"/>
      <w:marRight w:val="0"/>
      <w:marTop w:val="0"/>
      <w:marBottom w:val="0"/>
      <w:divBdr>
        <w:top w:val="none" w:sz="0" w:space="0" w:color="auto"/>
        <w:left w:val="none" w:sz="0" w:space="0" w:color="auto"/>
        <w:bottom w:val="none" w:sz="0" w:space="0" w:color="auto"/>
        <w:right w:val="none" w:sz="0" w:space="0" w:color="auto"/>
      </w:divBdr>
    </w:div>
    <w:div w:id="1081290307">
      <w:bodyDiv w:val="1"/>
      <w:marLeft w:val="0"/>
      <w:marRight w:val="0"/>
      <w:marTop w:val="0"/>
      <w:marBottom w:val="0"/>
      <w:divBdr>
        <w:top w:val="none" w:sz="0" w:space="0" w:color="auto"/>
        <w:left w:val="none" w:sz="0" w:space="0" w:color="auto"/>
        <w:bottom w:val="none" w:sz="0" w:space="0" w:color="auto"/>
        <w:right w:val="none" w:sz="0" w:space="0" w:color="auto"/>
      </w:divBdr>
    </w:div>
    <w:div w:id="1081295343">
      <w:bodyDiv w:val="1"/>
      <w:marLeft w:val="0"/>
      <w:marRight w:val="0"/>
      <w:marTop w:val="0"/>
      <w:marBottom w:val="0"/>
      <w:divBdr>
        <w:top w:val="none" w:sz="0" w:space="0" w:color="auto"/>
        <w:left w:val="none" w:sz="0" w:space="0" w:color="auto"/>
        <w:bottom w:val="none" w:sz="0" w:space="0" w:color="auto"/>
        <w:right w:val="none" w:sz="0" w:space="0" w:color="auto"/>
      </w:divBdr>
    </w:div>
    <w:div w:id="1081370466">
      <w:bodyDiv w:val="1"/>
      <w:marLeft w:val="0"/>
      <w:marRight w:val="0"/>
      <w:marTop w:val="0"/>
      <w:marBottom w:val="0"/>
      <w:divBdr>
        <w:top w:val="none" w:sz="0" w:space="0" w:color="auto"/>
        <w:left w:val="none" w:sz="0" w:space="0" w:color="auto"/>
        <w:bottom w:val="none" w:sz="0" w:space="0" w:color="auto"/>
        <w:right w:val="none" w:sz="0" w:space="0" w:color="auto"/>
      </w:divBdr>
    </w:div>
    <w:div w:id="1081952390">
      <w:bodyDiv w:val="1"/>
      <w:marLeft w:val="0"/>
      <w:marRight w:val="0"/>
      <w:marTop w:val="0"/>
      <w:marBottom w:val="0"/>
      <w:divBdr>
        <w:top w:val="none" w:sz="0" w:space="0" w:color="auto"/>
        <w:left w:val="none" w:sz="0" w:space="0" w:color="auto"/>
        <w:bottom w:val="none" w:sz="0" w:space="0" w:color="auto"/>
        <w:right w:val="none" w:sz="0" w:space="0" w:color="auto"/>
      </w:divBdr>
    </w:div>
    <w:div w:id="1082484858">
      <w:bodyDiv w:val="1"/>
      <w:marLeft w:val="0"/>
      <w:marRight w:val="0"/>
      <w:marTop w:val="0"/>
      <w:marBottom w:val="0"/>
      <w:divBdr>
        <w:top w:val="none" w:sz="0" w:space="0" w:color="auto"/>
        <w:left w:val="none" w:sz="0" w:space="0" w:color="auto"/>
        <w:bottom w:val="none" w:sz="0" w:space="0" w:color="auto"/>
        <w:right w:val="none" w:sz="0" w:space="0" w:color="auto"/>
      </w:divBdr>
    </w:div>
    <w:div w:id="1082870103">
      <w:bodyDiv w:val="1"/>
      <w:marLeft w:val="0"/>
      <w:marRight w:val="0"/>
      <w:marTop w:val="0"/>
      <w:marBottom w:val="0"/>
      <w:divBdr>
        <w:top w:val="none" w:sz="0" w:space="0" w:color="auto"/>
        <w:left w:val="none" w:sz="0" w:space="0" w:color="auto"/>
        <w:bottom w:val="none" w:sz="0" w:space="0" w:color="auto"/>
        <w:right w:val="none" w:sz="0" w:space="0" w:color="auto"/>
      </w:divBdr>
    </w:div>
    <w:div w:id="1082874588">
      <w:bodyDiv w:val="1"/>
      <w:marLeft w:val="0"/>
      <w:marRight w:val="0"/>
      <w:marTop w:val="0"/>
      <w:marBottom w:val="0"/>
      <w:divBdr>
        <w:top w:val="none" w:sz="0" w:space="0" w:color="auto"/>
        <w:left w:val="none" w:sz="0" w:space="0" w:color="auto"/>
        <w:bottom w:val="none" w:sz="0" w:space="0" w:color="auto"/>
        <w:right w:val="none" w:sz="0" w:space="0" w:color="auto"/>
      </w:divBdr>
    </w:div>
    <w:div w:id="1083145738">
      <w:bodyDiv w:val="1"/>
      <w:marLeft w:val="0"/>
      <w:marRight w:val="0"/>
      <w:marTop w:val="0"/>
      <w:marBottom w:val="0"/>
      <w:divBdr>
        <w:top w:val="none" w:sz="0" w:space="0" w:color="auto"/>
        <w:left w:val="none" w:sz="0" w:space="0" w:color="auto"/>
        <w:bottom w:val="none" w:sz="0" w:space="0" w:color="auto"/>
        <w:right w:val="none" w:sz="0" w:space="0" w:color="auto"/>
      </w:divBdr>
    </w:div>
    <w:div w:id="1083333320">
      <w:bodyDiv w:val="1"/>
      <w:marLeft w:val="0"/>
      <w:marRight w:val="0"/>
      <w:marTop w:val="0"/>
      <w:marBottom w:val="0"/>
      <w:divBdr>
        <w:top w:val="none" w:sz="0" w:space="0" w:color="auto"/>
        <w:left w:val="none" w:sz="0" w:space="0" w:color="auto"/>
        <w:bottom w:val="none" w:sz="0" w:space="0" w:color="auto"/>
        <w:right w:val="none" w:sz="0" w:space="0" w:color="auto"/>
      </w:divBdr>
    </w:div>
    <w:div w:id="1083451180">
      <w:bodyDiv w:val="1"/>
      <w:marLeft w:val="0"/>
      <w:marRight w:val="0"/>
      <w:marTop w:val="0"/>
      <w:marBottom w:val="0"/>
      <w:divBdr>
        <w:top w:val="none" w:sz="0" w:space="0" w:color="auto"/>
        <w:left w:val="none" w:sz="0" w:space="0" w:color="auto"/>
        <w:bottom w:val="none" w:sz="0" w:space="0" w:color="auto"/>
        <w:right w:val="none" w:sz="0" w:space="0" w:color="auto"/>
      </w:divBdr>
    </w:div>
    <w:div w:id="1083453116">
      <w:bodyDiv w:val="1"/>
      <w:marLeft w:val="0"/>
      <w:marRight w:val="0"/>
      <w:marTop w:val="0"/>
      <w:marBottom w:val="0"/>
      <w:divBdr>
        <w:top w:val="none" w:sz="0" w:space="0" w:color="auto"/>
        <w:left w:val="none" w:sz="0" w:space="0" w:color="auto"/>
        <w:bottom w:val="none" w:sz="0" w:space="0" w:color="auto"/>
        <w:right w:val="none" w:sz="0" w:space="0" w:color="auto"/>
      </w:divBdr>
    </w:div>
    <w:div w:id="1083912453">
      <w:bodyDiv w:val="1"/>
      <w:marLeft w:val="0"/>
      <w:marRight w:val="0"/>
      <w:marTop w:val="0"/>
      <w:marBottom w:val="0"/>
      <w:divBdr>
        <w:top w:val="none" w:sz="0" w:space="0" w:color="auto"/>
        <w:left w:val="none" w:sz="0" w:space="0" w:color="auto"/>
        <w:bottom w:val="none" w:sz="0" w:space="0" w:color="auto"/>
        <w:right w:val="none" w:sz="0" w:space="0" w:color="auto"/>
      </w:divBdr>
    </w:div>
    <w:div w:id="1084258756">
      <w:bodyDiv w:val="1"/>
      <w:marLeft w:val="0"/>
      <w:marRight w:val="0"/>
      <w:marTop w:val="0"/>
      <w:marBottom w:val="0"/>
      <w:divBdr>
        <w:top w:val="none" w:sz="0" w:space="0" w:color="auto"/>
        <w:left w:val="none" w:sz="0" w:space="0" w:color="auto"/>
        <w:bottom w:val="none" w:sz="0" w:space="0" w:color="auto"/>
        <w:right w:val="none" w:sz="0" w:space="0" w:color="auto"/>
      </w:divBdr>
    </w:div>
    <w:div w:id="1084302205">
      <w:bodyDiv w:val="1"/>
      <w:marLeft w:val="0"/>
      <w:marRight w:val="0"/>
      <w:marTop w:val="0"/>
      <w:marBottom w:val="0"/>
      <w:divBdr>
        <w:top w:val="none" w:sz="0" w:space="0" w:color="auto"/>
        <w:left w:val="none" w:sz="0" w:space="0" w:color="auto"/>
        <w:bottom w:val="none" w:sz="0" w:space="0" w:color="auto"/>
        <w:right w:val="none" w:sz="0" w:space="0" w:color="auto"/>
      </w:divBdr>
    </w:div>
    <w:div w:id="1084498282">
      <w:bodyDiv w:val="1"/>
      <w:marLeft w:val="0"/>
      <w:marRight w:val="0"/>
      <w:marTop w:val="0"/>
      <w:marBottom w:val="0"/>
      <w:divBdr>
        <w:top w:val="none" w:sz="0" w:space="0" w:color="auto"/>
        <w:left w:val="none" w:sz="0" w:space="0" w:color="auto"/>
        <w:bottom w:val="none" w:sz="0" w:space="0" w:color="auto"/>
        <w:right w:val="none" w:sz="0" w:space="0" w:color="auto"/>
      </w:divBdr>
    </w:div>
    <w:div w:id="1085423822">
      <w:bodyDiv w:val="1"/>
      <w:marLeft w:val="0"/>
      <w:marRight w:val="0"/>
      <w:marTop w:val="0"/>
      <w:marBottom w:val="0"/>
      <w:divBdr>
        <w:top w:val="none" w:sz="0" w:space="0" w:color="auto"/>
        <w:left w:val="none" w:sz="0" w:space="0" w:color="auto"/>
        <w:bottom w:val="none" w:sz="0" w:space="0" w:color="auto"/>
        <w:right w:val="none" w:sz="0" w:space="0" w:color="auto"/>
      </w:divBdr>
    </w:div>
    <w:div w:id="1085683366">
      <w:bodyDiv w:val="1"/>
      <w:marLeft w:val="0"/>
      <w:marRight w:val="0"/>
      <w:marTop w:val="0"/>
      <w:marBottom w:val="0"/>
      <w:divBdr>
        <w:top w:val="none" w:sz="0" w:space="0" w:color="auto"/>
        <w:left w:val="none" w:sz="0" w:space="0" w:color="auto"/>
        <w:bottom w:val="none" w:sz="0" w:space="0" w:color="auto"/>
        <w:right w:val="none" w:sz="0" w:space="0" w:color="auto"/>
      </w:divBdr>
    </w:div>
    <w:div w:id="1085882795">
      <w:bodyDiv w:val="1"/>
      <w:marLeft w:val="0"/>
      <w:marRight w:val="0"/>
      <w:marTop w:val="0"/>
      <w:marBottom w:val="0"/>
      <w:divBdr>
        <w:top w:val="none" w:sz="0" w:space="0" w:color="auto"/>
        <w:left w:val="none" w:sz="0" w:space="0" w:color="auto"/>
        <w:bottom w:val="none" w:sz="0" w:space="0" w:color="auto"/>
        <w:right w:val="none" w:sz="0" w:space="0" w:color="auto"/>
      </w:divBdr>
    </w:div>
    <w:div w:id="1085998833">
      <w:bodyDiv w:val="1"/>
      <w:marLeft w:val="0"/>
      <w:marRight w:val="0"/>
      <w:marTop w:val="0"/>
      <w:marBottom w:val="0"/>
      <w:divBdr>
        <w:top w:val="none" w:sz="0" w:space="0" w:color="auto"/>
        <w:left w:val="none" w:sz="0" w:space="0" w:color="auto"/>
        <w:bottom w:val="none" w:sz="0" w:space="0" w:color="auto"/>
        <w:right w:val="none" w:sz="0" w:space="0" w:color="auto"/>
      </w:divBdr>
    </w:div>
    <w:div w:id="1086225792">
      <w:bodyDiv w:val="1"/>
      <w:marLeft w:val="0"/>
      <w:marRight w:val="0"/>
      <w:marTop w:val="0"/>
      <w:marBottom w:val="0"/>
      <w:divBdr>
        <w:top w:val="none" w:sz="0" w:space="0" w:color="auto"/>
        <w:left w:val="none" w:sz="0" w:space="0" w:color="auto"/>
        <w:bottom w:val="none" w:sz="0" w:space="0" w:color="auto"/>
        <w:right w:val="none" w:sz="0" w:space="0" w:color="auto"/>
      </w:divBdr>
    </w:div>
    <w:div w:id="1086463387">
      <w:bodyDiv w:val="1"/>
      <w:marLeft w:val="0"/>
      <w:marRight w:val="0"/>
      <w:marTop w:val="0"/>
      <w:marBottom w:val="0"/>
      <w:divBdr>
        <w:top w:val="none" w:sz="0" w:space="0" w:color="auto"/>
        <w:left w:val="none" w:sz="0" w:space="0" w:color="auto"/>
        <w:bottom w:val="none" w:sz="0" w:space="0" w:color="auto"/>
        <w:right w:val="none" w:sz="0" w:space="0" w:color="auto"/>
      </w:divBdr>
    </w:div>
    <w:div w:id="1086540801">
      <w:bodyDiv w:val="1"/>
      <w:marLeft w:val="0"/>
      <w:marRight w:val="0"/>
      <w:marTop w:val="0"/>
      <w:marBottom w:val="0"/>
      <w:divBdr>
        <w:top w:val="none" w:sz="0" w:space="0" w:color="auto"/>
        <w:left w:val="none" w:sz="0" w:space="0" w:color="auto"/>
        <w:bottom w:val="none" w:sz="0" w:space="0" w:color="auto"/>
        <w:right w:val="none" w:sz="0" w:space="0" w:color="auto"/>
      </w:divBdr>
    </w:div>
    <w:div w:id="1086927601">
      <w:bodyDiv w:val="1"/>
      <w:marLeft w:val="0"/>
      <w:marRight w:val="0"/>
      <w:marTop w:val="0"/>
      <w:marBottom w:val="0"/>
      <w:divBdr>
        <w:top w:val="none" w:sz="0" w:space="0" w:color="auto"/>
        <w:left w:val="none" w:sz="0" w:space="0" w:color="auto"/>
        <w:bottom w:val="none" w:sz="0" w:space="0" w:color="auto"/>
        <w:right w:val="none" w:sz="0" w:space="0" w:color="auto"/>
      </w:divBdr>
    </w:div>
    <w:div w:id="1087111872">
      <w:bodyDiv w:val="1"/>
      <w:marLeft w:val="0"/>
      <w:marRight w:val="0"/>
      <w:marTop w:val="0"/>
      <w:marBottom w:val="0"/>
      <w:divBdr>
        <w:top w:val="none" w:sz="0" w:space="0" w:color="auto"/>
        <w:left w:val="none" w:sz="0" w:space="0" w:color="auto"/>
        <w:bottom w:val="none" w:sz="0" w:space="0" w:color="auto"/>
        <w:right w:val="none" w:sz="0" w:space="0" w:color="auto"/>
      </w:divBdr>
    </w:div>
    <w:div w:id="1087534136">
      <w:bodyDiv w:val="1"/>
      <w:marLeft w:val="0"/>
      <w:marRight w:val="0"/>
      <w:marTop w:val="0"/>
      <w:marBottom w:val="0"/>
      <w:divBdr>
        <w:top w:val="none" w:sz="0" w:space="0" w:color="auto"/>
        <w:left w:val="none" w:sz="0" w:space="0" w:color="auto"/>
        <w:bottom w:val="none" w:sz="0" w:space="0" w:color="auto"/>
        <w:right w:val="none" w:sz="0" w:space="0" w:color="auto"/>
      </w:divBdr>
    </w:div>
    <w:div w:id="1087650747">
      <w:bodyDiv w:val="1"/>
      <w:marLeft w:val="0"/>
      <w:marRight w:val="0"/>
      <w:marTop w:val="0"/>
      <w:marBottom w:val="0"/>
      <w:divBdr>
        <w:top w:val="none" w:sz="0" w:space="0" w:color="auto"/>
        <w:left w:val="none" w:sz="0" w:space="0" w:color="auto"/>
        <w:bottom w:val="none" w:sz="0" w:space="0" w:color="auto"/>
        <w:right w:val="none" w:sz="0" w:space="0" w:color="auto"/>
      </w:divBdr>
    </w:div>
    <w:div w:id="1088311279">
      <w:bodyDiv w:val="1"/>
      <w:marLeft w:val="0"/>
      <w:marRight w:val="0"/>
      <w:marTop w:val="0"/>
      <w:marBottom w:val="0"/>
      <w:divBdr>
        <w:top w:val="none" w:sz="0" w:space="0" w:color="auto"/>
        <w:left w:val="none" w:sz="0" w:space="0" w:color="auto"/>
        <w:bottom w:val="none" w:sz="0" w:space="0" w:color="auto"/>
        <w:right w:val="none" w:sz="0" w:space="0" w:color="auto"/>
      </w:divBdr>
    </w:div>
    <w:div w:id="1088380781">
      <w:bodyDiv w:val="1"/>
      <w:marLeft w:val="0"/>
      <w:marRight w:val="0"/>
      <w:marTop w:val="0"/>
      <w:marBottom w:val="0"/>
      <w:divBdr>
        <w:top w:val="none" w:sz="0" w:space="0" w:color="auto"/>
        <w:left w:val="none" w:sz="0" w:space="0" w:color="auto"/>
        <w:bottom w:val="none" w:sz="0" w:space="0" w:color="auto"/>
        <w:right w:val="none" w:sz="0" w:space="0" w:color="auto"/>
      </w:divBdr>
    </w:div>
    <w:div w:id="1089304571">
      <w:bodyDiv w:val="1"/>
      <w:marLeft w:val="0"/>
      <w:marRight w:val="0"/>
      <w:marTop w:val="0"/>
      <w:marBottom w:val="0"/>
      <w:divBdr>
        <w:top w:val="none" w:sz="0" w:space="0" w:color="auto"/>
        <w:left w:val="none" w:sz="0" w:space="0" w:color="auto"/>
        <w:bottom w:val="none" w:sz="0" w:space="0" w:color="auto"/>
        <w:right w:val="none" w:sz="0" w:space="0" w:color="auto"/>
      </w:divBdr>
    </w:div>
    <w:div w:id="1089498866">
      <w:bodyDiv w:val="1"/>
      <w:marLeft w:val="0"/>
      <w:marRight w:val="0"/>
      <w:marTop w:val="0"/>
      <w:marBottom w:val="0"/>
      <w:divBdr>
        <w:top w:val="none" w:sz="0" w:space="0" w:color="auto"/>
        <w:left w:val="none" w:sz="0" w:space="0" w:color="auto"/>
        <w:bottom w:val="none" w:sz="0" w:space="0" w:color="auto"/>
        <w:right w:val="none" w:sz="0" w:space="0" w:color="auto"/>
      </w:divBdr>
    </w:div>
    <w:div w:id="1089741242">
      <w:bodyDiv w:val="1"/>
      <w:marLeft w:val="0"/>
      <w:marRight w:val="0"/>
      <w:marTop w:val="0"/>
      <w:marBottom w:val="0"/>
      <w:divBdr>
        <w:top w:val="none" w:sz="0" w:space="0" w:color="auto"/>
        <w:left w:val="none" w:sz="0" w:space="0" w:color="auto"/>
        <w:bottom w:val="none" w:sz="0" w:space="0" w:color="auto"/>
        <w:right w:val="none" w:sz="0" w:space="0" w:color="auto"/>
      </w:divBdr>
    </w:div>
    <w:div w:id="1090008558">
      <w:bodyDiv w:val="1"/>
      <w:marLeft w:val="0"/>
      <w:marRight w:val="0"/>
      <w:marTop w:val="0"/>
      <w:marBottom w:val="0"/>
      <w:divBdr>
        <w:top w:val="none" w:sz="0" w:space="0" w:color="auto"/>
        <w:left w:val="none" w:sz="0" w:space="0" w:color="auto"/>
        <w:bottom w:val="none" w:sz="0" w:space="0" w:color="auto"/>
        <w:right w:val="none" w:sz="0" w:space="0" w:color="auto"/>
      </w:divBdr>
    </w:div>
    <w:div w:id="1090543743">
      <w:bodyDiv w:val="1"/>
      <w:marLeft w:val="0"/>
      <w:marRight w:val="0"/>
      <w:marTop w:val="0"/>
      <w:marBottom w:val="0"/>
      <w:divBdr>
        <w:top w:val="none" w:sz="0" w:space="0" w:color="auto"/>
        <w:left w:val="none" w:sz="0" w:space="0" w:color="auto"/>
        <w:bottom w:val="none" w:sz="0" w:space="0" w:color="auto"/>
        <w:right w:val="none" w:sz="0" w:space="0" w:color="auto"/>
      </w:divBdr>
    </w:div>
    <w:div w:id="1090663743">
      <w:bodyDiv w:val="1"/>
      <w:marLeft w:val="0"/>
      <w:marRight w:val="0"/>
      <w:marTop w:val="0"/>
      <w:marBottom w:val="0"/>
      <w:divBdr>
        <w:top w:val="none" w:sz="0" w:space="0" w:color="auto"/>
        <w:left w:val="none" w:sz="0" w:space="0" w:color="auto"/>
        <w:bottom w:val="none" w:sz="0" w:space="0" w:color="auto"/>
        <w:right w:val="none" w:sz="0" w:space="0" w:color="auto"/>
      </w:divBdr>
    </w:div>
    <w:div w:id="1090930712">
      <w:bodyDiv w:val="1"/>
      <w:marLeft w:val="0"/>
      <w:marRight w:val="0"/>
      <w:marTop w:val="0"/>
      <w:marBottom w:val="0"/>
      <w:divBdr>
        <w:top w:val="none" w:sz="0" w:space="0" w:color="auto"/>
        <w:left w:val="none" w:sz="0" w:space="0" w:color="auto"/>
        <w:bottom w:val="none" w:sz="0" w:space="0" w:color="auto"/>
        <w:right w:val="none" w:sz="0" w:space="0" w:color="auto"/>
      </w:divBdr>
    </w:div>
    <w:div w:id="1091665109">
      <w:bodyDiv w:val="1"/>
      <w:marLeft w:val="0"/>
      <w:marRight w:val="0"/>
      <w:marTop w:val="0"/>
      <w:marBottom w:val="0"/>
      <w:divBdr>
        <w:top w:val="none" w:sz="0" w:space="0" w:color="auto"/>
        <w:left w:val="none" w:sz="0" w:space="0" w:color="auto"/>
        <w:bottom w:val="none" w:sz="0" w:space="0" w:color="auto"/>
        <w:right w:val="none" w:sz="0" w:space="0" w:color="auto"/>
      </w:divBdr>
    </w:div>
    <w:div w:id="1091707515">
      <w:bodyDiv w:val="1"/>
      <w:marLeft w:val="0"/>
      <w:marRight w:val="0"/>
      <w:marTop w:val="0"/>
      <w:marBottom w:val="0"/>
      <w:divBdr>
        <w:top w:val="none" w:sz="0" w:space="0" w:color="auto"/>
        <w:left w:val="none" w:sz="0" w:space="0" w:color="auto"/>
        <w:bottom w:val="none" w:sz="0" w:space="0" w:color="auto"/>
        <w:right w:val="none" w:sz="0" w:space="0" w:color="auto"/>
      </w:divBdr>
    </w:div>
    <w:div w:id="1091974835">
      <w:bodyDiv w:val="1"/>
      <w:marLeft w:val="0"/>
      <w:marRight w:val="0"/>
      <w:marTop w:val="0"/>
      <w:marBottom w:val="0"/>
      <w:divBdr>
        <w:top w:val="none" w:sz="0" w:space="0" w:color="auto"/>
        <w:left w:val="none" w:sz="0" w:space="0" w:color="auto"/>
        <w:bottom w:val="none" w:sz="0" w:space="0" w:color="auto"/>
        <w:right w:val="none" w:sz="0" w:space="0" w:color="auto"/>
      </w:divBdr>
    </w:div>
    <w:div w:id="1092777463">
      <w:bodyDiv w:val="1"/>
      <w:marLeft w:val="0"/>
      <w:marRight w:val="0"/>
      <w:marTop w:val="0"/>
      <w:marBottom w:val="0"/>
      <w:divBdr>
        <w:top w:val="none" w:sz="0" w:space="0" w:color="auto"/>
        <w:left w:val="none" w:sz="0" w:space="0" w:color="auto"/>
        <w:bottom w:val="none" w:sz="0" w:space="0" w:color="auto"/>
        <w:right w:val="none" w:sz="0" w:space="0" w:color="auto"/>
      </w:divBdr>
    </w:div>
    <w:div w:id="1093282027">
      <w:bodyDiv w:val="1"/>
      <w:marLeft w:val="0"/>
      <w:marRight w:val="0"/>
      <w:marTop w:val="0"/>
      <w:marBottom w:val="0"/>
      <w:divBdr>
        <w:top w:val="none" w:sz="0" w:space="0" w:color="auto"/>
        <w:left w:val="none" w:sz="0" w:space="0" w:color="auto"/>
        <w:bottom w:val="none" w:sz="0" w:space="0" w:color="auto"/>
        <w:right w:val="none" w:sz="0" w:space="0" w:color="auto"/>
      </w:divBdr>
    </w:div>
    <w:div w:id="1093934755">
      <w:bodyDiv w:val="1"/>
      <w:marLeft w:val="0"/>
      <w:marRight w:val="0"/>
      <w:marTop w:val="0"/>
      <w:marBottom w:val="0"/>
      <w:divBdr>
        <w:top w:val="none" w:sz="0" w:space="0" w:color="auto"/>
        <w:left w:val="none" w:sz="0" w:space="0" w:color="auto"/>
        <w:bottom w:val="none" w:sz="0" w:space="0" w:color="auto"/>
        <w:right w:val="none" w:sz="0" w:space="0" w:color="auto"/>
      </w:divBdr>
    </w:div>
    <w:div w:id="1094058546">
      <w:bodyDiv w:val="1"/>
      <w:marLeft w:val="0"/>
      <w:marRight w:val="0"/>
      <w:marTop w:val="0"/>
      <w:marBottom w:val="0"/>
      <w:divBdr>
        <w:top w:val="none" w:sz="0" w:space="0" w:color="auto"/>
        <w:left w:val="none" w:sz="0" w:space="0" w:color="auto"/>
        <w:bottom w:val="none" w:sz="0" w:space="0" w:color="auto"/>
        <w:right w:val="none" w:sz="0" w:space="0" w:color="auto"/>
      </w:divBdr>
    </w:div>
    <w:div w:id="1094203736">
      <w:bodyDiv w:val="1"/>
      <w:marLeft w:val="0"/>
      <w:marRight w:val="0"/>
      <w:marTop w:val="0"/>
      <w:marBottom w:val="0"/>
      <w:divBdr>
        <w:top w:val="none" w:sz="0" w:space="0" w:color="auto"/>
        <w:left w:val="none" w:sz="0" w:space="0" w:color="auto"/>
        <w:bottom w:val="none" w:sz="0" w:space="0" w:color="auto"/>
        <w:right w:val="none" w:sz="0" w:space="0" w:color="auto"/>
      </w:divBdr>
    </w:div>
    <w:div w:id="1094397402">
      <w:bodyDiv w:val="1"/>
      <w:marLeft w:val="0"/>
      <w:marRight w:val="0"/>
      <w:marTop w:val="0"/>
      <w:marBottom w:val="0"/>
      <w:divBdr>
        <w:top w:val="none" w:sz="0" w:space="0" w:color="auto"/>
        <w:left w:val="none" w:sz="0" w:space="0" w:color="auto"/>
        <w:bottom w:val="none" w:sz="0" w:space="0" w:color="auto"/>
        <w:right w:val="none" w:sz="0" w:space="0" w:color="auto"/>
      </w:divBdr>
    </w:div>
    <w:div w:id="1094588803">
      <w:bodyDiv w:val="1"/>
      <w:marLeft w:val="0"/>
      <w:marRight w:val="0"/>
      <w:marTop w:val="0"/>
      <w:marBottom w:val="0"/>
      <w:divBdr>
        <w:top w:val="none" w:sz="0" w:space="0" w:color="auto"/>
        <w:left w:val="none" w:sz="0" w:space="0" w:color="auto"/>
        <w:bottom w:val="none" w:sz="0" w:space="0" w:color="auto"/>
        <w:right w:val="none" w:sz="0" w:space="0" w:color="auto"/>
      </w:divBdr>
    </w:div>
    <w:div w:id="1095174492">
      <w:bodyDiv w:val="1"/>
      <w:marLeft w:val="0"/>
      <w:marRight w:val="0"/>
      <w:marTop w:val="0"/>
      <w:marBottom w:val="0"/>
      <w:divBdr>
        <w:top w:val="none" w:sz="0" w:space="0" w:color="auto"/>
        <w:left w:val="none" w:sz="0" w:space="0" w:color="auto"/>
        <w:bottom w:val="none" w:sz="0" w:space="0" w:color="auto"/>
        <w:right w:val="none" w:sz="0" w:space="0" w:color="auto"/>
      </w:divBdr>
    </w:div>
    <w:div w:id="1095250849">
      <w:bodyDiv w:val="1"/>
      <w:marLeft w:val="0"/>
      <w:marRight w:val="0"/>
      <w:marTop w:val="0"/>
      <w:marBottom w:val="0"/>
      <w:divBdr>
        <w:top w:val="none" w:sz="0" w:space="0" w:color="auto"/>
        <w:left w:val="none" w:sz="0" w:space="0" w:color="auto"/>
        <w:bottom w:val="none" w:sz="0" w:space="0" w:color="auto"/>
        <w:right w:val="none" w:sz="0" w:space="0" w:color="auto"/>
      </w:divBdr>
    </w:div>
    <w:div w:id="1095393954">
      <w:bodyDiv w:val="1"/>
      <w:marLeft w:val="0"/>
      <w:marRight w:val="0"/>
      <w:marTop w:val="0"/>
      <w:marBottom w:val="0"/>
      <w:divBdr>
        <w:top w:val="none" w:sz="0" w:space="0" w:color="auto"/>
        <w:left w:val="none" w:sz="0" w:space="0" w:color="auto"/>
        <w:bottom w:val="none" w:sz="0" w:space="0" w:color="auto"/>
        <w:right w:val="none" w:sz="0" w:space="0" w:color="auto"/>
      </w:divBdr>
    </w:div>
    <w:div w:id="1095438253">
      <w:bodyDiv w:val="1"/>
      <w:marLeft w:val="0"/>
      <w:marRight w:val="0"/>
      <w:marTop w:val="0"/>
      <w:marBottom w:val="0"/>
      <w:divBdr>
        <w:top w:val="none" w:sz="0" w:space="0" w:color="auto"/>
        <w:left w:val="none" w:sz="0" w:space="0" w:color="auto"/>
        <w:bottom w:val="none" w:sz="0" w:space="0" w:color="auto"/>
        <w:right w:val="none" w:sz="0" w:space="0" w:color="auto"/>
      </w:divBdr>
    </w:div>
    <w:div w:id="1095706422">
      <w:bodyDiv w:val="1"/>
      <w:marLeft w:val="0"/>
      <w:marRight w:val="0"/>
      <w:marTop w:val="0"/>
      <w:marBottom w:val="0"/>
      <w:divBdr>
        <w:top w:val="none" w:sz="0" w:space="0" w:color="auto"/>
        <w:left w:val="none" w:sz="0" w:space="0" w:color="auto"/>
        <w:bottom w:val="none" w:sz="0" w:space="0" w:color="auto"/>
        <w:right w:val="none" w:sz="0" w:space="0" w:color="auto"/>
      </w:divBdr>
    </w:div>
    <w:div w:id="1096056675">
      <w:bodyDiv w:val="1"/>
      <w:marLeft w:val="0"/>
      <w:marRight w:val="0"/>
      <w:marTop w:val="0"/>
      <w:marBottom w:val="0"/>
      <w:divBdr>
        <w:top w:val="none" w:sz="0" w:space="0" w:color="auto"/>
        <w:left w:val="none" w:sz="0" w:space="0" w:color="auto"/>
        <w:bottom w:val="none" w:sz="0" w:space="0" w:color="auto"/>
        <w:right w:val="none" w:sz="0" w:space="0" w:color="auto"/>
      </w:divBdr>
    </w:div>
    <w:div w:id="1096291917">
      <w:bodyDiv w:val="1"/>
      <w:marLeft w:val="0"/>
      <w:marRight w:val="0"/>
      <w:marTop w:val="0"/>
      <w:marBottom w:val="0"/>
      <w:divBdr>
        <w:top w:val="none" w:sz="0" w:space="0" w:color="auto"/>
        <w:left w:val="none" w:sz="0" w:space="0" w:color="auto"/>
        <w:bottom w:val="none" w:sz="0" w:space="0" w:color="auto"/>
        <w:right w:val="none" w:sz="0" w:space="0" w:color="auto"/>
      </w:divBdr>
    </w:div>
    <w:div w:id="1096630864">
      <w:bodyDiv w:val="1"/>
      <w:marLeft w:val="0"/>
      <w:marRight w:val="0"/>
      <w:marTop w:val="0"/>
      <w:marBottom w:val="0"/>
      <w:divBdr>
        <w:top w:val="none" w:sz="0" w:space="0" w:color="auto"/>
        <w:left w:val="none" w:sz="0" w:space="0" w:color="auto"/>
        <w:bottom w:val="none" w:sz="0" w:space="0" w:color="auto"/>
        <w:right w:val="none" w:sz="0" w:space="0" w:color="auto"/>
      </w:divBdr>
    </w:div>
    <w:div w:id="1096828335">
      <w:bodyDiv w:val="1"/>
      <w:marLeft w:val="0"/>
      <w:marRight w:val="0"/>
      <w:marTop w:val="0"/>
      <w:marBottom w:val="0"/>
      <w:divBdr>
        <w:top w:val="none" w:sz="0" w:space="0" w:color="auto"/>
        <w:left w:val="none" w:sz="0" w:space="0" w:color="auto"/>
        <w:bottom w:val="none" w:sz="0" w:space="0" w:color="auto"/>
        <w:right w:val="none" w:sz="0" w:space="0" w:color="auto"/>
      </w:divBdr>
    </w:div>
    <w:div w:id="1096904814">
      <w:bodyDiv w:val="1"/>
      <w:marLeft w:val="0"/>
      <w:marRight w:val="0"/>
      <w:marTop w:val="0"/>
      <w:marBottom w:val="0"/>
      <w:divBdr>
        <w:top w:val="none" w:sz="0" w:space="0" w:color="auto"/>
        <w:left w:val="none" w:sz="0" w:space="0" w:color="auto"/>
        <w:bottom w:val="none" w:sz="0" w:space="0" w:color="auto"/>
        <w:right w:val="none" w:sz="0" w:space="0" w:color="auto"/>
      </w:divBdr>
    </w:div>
    <w:div w:id="1096944814">
      <w:bodyDiv w:val="1"/>
      <w:marLeft w:val="0"/>
      <w:marRight w:val="0"/>
      <w:marTop w:val="0"/>
      <w:marBottom w:val="0"/>
      <w:divBdr>
        <w:top w:val="none" w:sz="0" w:space="0" w:color="auto"/>
        <w:left w:val="none" w:sz="0" w:space="0" w:color="auto"/>
        <w:bottom w:val="none" w:sz="0" w:space="0" w:color="auto"/>
        <w:right w:val="none" w:sz="0" w:space="0" w:color="auto"/>
      </w:divBdr>
    </w:div>
    <w:div w:id="1097555722">
      <w:bodyDiv w:val="1"/>
      <w:marLeft w:val="0"/>
      <w:marRight w:val="0"/>
      <w:marTop w:val="0"/>
      <w:marBottom w:val="0"/>
      <w:divBdr>
        <w:top w:val="none" w:sz="0" w:space="0" w:color="auto"/>
        <w:left w:val="none" w:sz="0" w:space="0" w:color="auto"/>
        <w:bottom w:val="none" w:sz="0" w:space="0" w:color="auto"/>
        <w:right w:val="none" w:sz="0" w:space="0" w:color="auto"/>
      </w:divBdr>
    </w:div>
    <w:div w:id="1097871116">
      <w:bodyDiv w:val="1"/>
      <w:marLeft w:val="0"/>
      <w:marRight w:val="0"/>
      <w:marTop w:val="0"/>
      <w:marBottom w:val="0"/>
      <w:divBdr>
        <w:top w:val="none" w:sz="0" w:space="0" w:color="auto"/>
        <w:left w:val="none" w:sz="0" w:space="0" w:color="auto"/>
        <w:bottom w:val="none" w:sz="0" w:space="0" w:color="auto"/>
        <w:right w:val="none" w:sz="0" w:space="0" w:color="auto"/>
      </w:divBdr>
    </w:div>
    <w:div w:id="1097941919">
      <w:bodyDiv w:val="1"/>
      <w:marLeft w:val="0"/>
      <w:marRight w:val="0"/>
      <w:marTop w:val="0"/>
      <w:marBottom w:val="0"/>
      <w:divBdr>
        <w:top w:val="none" w:sz="0" w:space="0" w:color="auto"/>
        <w:left w:val="none" w:sz="0" w:space="0" w:color="auto"/>
        <w:bottom w:val="none" w:sz="0" w:space="0" w:color="auto"/>
        <w:right w:val="none" w:sz="0" w:space="0" w:color="auto"/>
      </w:divBdr>
    </w:div>
    <w:div w:id="1098405297">
      <w:bodyDiv w:val="1"/>
      <w:marLeft w:val="0"/>
      <w:marRight w:val="0"/>
      <w:marTop w:val="0"/>
      <w:marBottom w:val="0"/>
      <w:divBdr>
        <w:top w:val="none" w:sz="0" w:space="0" w:color="auto"/>
        <w:left w:val="none" w:sz="0" w:space="0" w:color="auto"/>
        <w:bottom w:val="none" w:sz="0" w:space="0" w:color="auto"/>
        <w:right w:val="none" w:sz="0" w:space="0" w:color="auto"/>
      </w:divBdr>
    </w:div>
    <w:div w:id="1098478978">
      <w:bodyDiv w:val="1"/>
      <w:marLeft w:val="0"/>
      <w:marRight w:val="0"/>
      <w:marTop w:val="0"/>
      <w:marBottom w:val="0"/>
      <w:divBdr>
        <w:top w:val="none" w:sz="0" w:space="0" w:color="auto"/>
        <w:left w:val="none" w:sz="0" w:space="0" w:color="auto"/>
        <w:bottom w:val="none" w:sz="0" w:space="0" w:color="auto"/>
        <w:right w:val="none" w:sz="0" w:space="0" w:color="auto"/>
      </w:divBdr>
    </w:div>
    <w:div w:id="1098601697">
      <w:bodyDiv w:val="1"/>
      <w:marLeft w:val="0"/>
      <w:marRight w:val="0"/>
      <w:marTop w:val="0"/>
      <w:marBottom w:val="0"/>
      <w:divBdr>
        <w:top w:val="none" w:sz="0" w:space="0" w:color="auto"/>
        <w:left w:val="none" w:sz="0" w:space="0" w:color="auto"/>
        <w:bottom w:val="none" w:sz="0" w:space="0" w:color="auto"/>
        <w:right w:val="none" w:sz="0" w:space="0" w:color="auto"/>
      </w:divBdr>
    </w:div>
    <w:div w:id="1098796901">
      <w:bodyDiv w:val="1"/>
      <w:marLeft w:val="0"/>
      <w:marRight w:val="0"/>
      <w:marTop w:val="0"/>
      <w:marBottom w:val="0"/>
      <w:divBdr>
        <w:top w:val="none" w:sz="0" w:space="0" w:color="auto"/>
        <w:left w:val="none" w:sz="0" w:space="0" w:color="auto"/>
        <w:bottom w:val="none" w:sz="0" w:space="0" w:color="auto"/>
        <w:right w:val="none" w:sz="0" w:space="0" w:color="auto"/>
      </w:divBdr>
    </w:div>
    <w:div w:id="1099060899">
      <w:bodyDiv w:val="1"/>
      <w:marLeft w:val="0"/>
      <w:marRight w:val="0"/>
      <w:marTop w:val="0"/>
      <w:marBottom w:val="0"/>
      <w:divBdr>
        <w:top w:val="none" w:sz="0" w:space="0" w:color="auto"/>
        <w:left w:val="none" w:sz="0" w:space="0" w:color="auto"/>
        <w:bottom w:val="none" w:sz="0" w:space="0" w:color="auto"/>
        <w:right w:val="none" w:sz="0" w:space="0" w:color="auto"/>
      </w:divBdr>
    </w:div>
    <w:div w:id="1099326461">
      <w:bodyDiv w:val="1"/>
      <w:marLeft w:val="0"/>
      <w:marRight w:val="0"/>
      <w:marTop w:val="0"/>
      <w:marBottom w:val="0"/>
      <w:divBdr>
        <w:top w:val="none" w:sz="0" w:space="0" w:color="auto"/>
        <w:left w:val="none" w:sz="0" w:space="0" w:color="auto"/>
        <w:bottom w:val="none" w:sz="0" w:space="0" w:color="auto"/>
        <w:right w:val="none" w:sz="0" w:space="0" w:color="auto"/>
      </w:divBdr>
    </w:div>
    <w:div w:id="1099717643">
      <w:bodyDiv w:val="1"/>
      <w:marLeft w:val="0"/>
      <w:marRight w:val="0"/>
      <w:marTop w:val="0"/>
      <w:marBottom w:val="0"/>
      <w:divBdr>
        <w:top w:val="none" w:sz="0" w:space="0" w:color="auto"/>
        <w:left w:val="none" w:sz="0" w:space="0" w:color="auto"/>
        <w:bottom w:val="none" w:sz="0" w:space="0" w:color="auto"/>
        <w:right w:val="none" w:sz="0" w:space="0" w:color="auto"/>
      </w:divBdr>
    </w:div>
    <w:div w:id="1099835409">
      <w:bodyDiv w:val="1"/>
      <w:marLeft w:val="0"/>
      <w:marRight w:val="0"/>
      <w:marTop w:val="0"/>
      <w:marBottom w:val="0"/>
      <w:divBdr>
        <w:top w:val="none" w:sz="0" w:space="0" w:color="auto"/>
        <w:left w:val="none" w:sz="0" w:space="0" w:color="auto"/>
        <w:bottom w:val="none" w:sz="0" w:space="0" w:color="auto"/>
        <w:right w:val="none" w:sz="0" w:space="0" w:color="auto"/>
      </w:divBdr>
    </w:div>
    <w:div w:id="1100029982">
      <w:bodyDiv w:val="1"/>
      <w:marLeft w:val="0"/>
      <w:marRight w:val="0"/>
      <w:marTop w:val="0"/>
      <w:marBottom w:val="0"/>
      <w:divBdr>
        <w:top w:val="none" w:sz="0" w:space="0" w:color="auto"/>
        <w:left w:val="none" w:sz="0" w:space="0" w:color="auto"/>
        <w:bottom w:val="none" w:sz="0" w:space="0" w:color="auto"/>
        <w:right w:val="none" w:sz="0" w:space="0" w:color="auto"/>
      </w:divBdr>
    </w:div>
    <w:div w:id="1100107413">
      <w:bodyDiv w:val="1"/>
      <w:marLeft w:val="0"/>
      <w:marRight w:val="0"/>
      <w:marTop w:val="0"/>
      <w:marBottom w:val="0"/>
      <w:divBdr>
        <w:top w:val="none" w:sz="0" w:space="0" w:color="auto"/>
        <w:left w:val="none" w:sz="0" w:space="0" w:color="auto"/>
        <w:bottom w:val="none" w:sz="0" w:space="0" w:color="auto"/>
        <w:right w:val="none" w:sz="0" w:space="0" w:color="auto"/>
      </w:divBdr>
    </w:div>
    <w:div w:id="1100250526">
      <w:bodyDiv w:val="1"/>
      <w:marLeft w:val="0"/>
      <w:marRight w:val="0"/>
      <w:marTop w:val="0"/>
      <w:marBottom w:val="0"/>
      <w:divBdr>
        <w:top w:val="none" w:sz="0" w:space="0" w:color="auto"/>
        <w:left w:val="none" w:sz="0" w:space="0" w:color="auto"/>
        <w:bottom w:val="none" w:sz="0" w:space="0" w:color="auto"/>
        <w:right w:val="none" w:sz="0" w:space="0" w:color="auto"/>
      </w:divBdr>
    </w:div>
    <w:div w:id="1101031557">
      <w:bodyDiv w:val="1"/>
      <w:marLeft w:val="0"/>
      <w:marRight w:val="0"/>
      <w:marTop w:val="0"/>
      <w:marBottom w:val="0"/>
      <w:divBdr>
        <w:top w:val="none" w:sz="0" w:space="0" w:color="auto"/>
        <w:left w:val="none" w:sz="0" w:space="0" w:color="auto"/>
        <w:bottom w:val="none" w:sz="0" w:space="0" w:color="auto"/>
        <w:right w:val="none" w:sz="0" w:space="0" w:color="auto"/>
      </w:divBdr>
    </w:div>
    <w:div w:id="1101297973">
      <w:bodyDiv w:val="1"/>
      <w:marLeft w:val="0"/>
      <w:marRight w:val="0"/>
      <w:marTop w:val="0"/>
      <w:marBottom w:val="0"/>
      <w:divBdr>
        <w:top w:val="none" w:sz="0" w:space="0" w:color="auto"/>
        <w:left w:val="none" w:sz="0" w:space="0" w:color="auto"/>
        <w:bottom w:val="none" w:sz="0" w:space="0" w:color="auto"/>
        <w:right w:val="none" w:sz="0" w:space="0" w:color="auto"/>
      </w:divBdr>
    </w:div>
    <w:div w:id="1101339833">
      <w:bodyDiv w:val="1"/>
      <w:marLeft w:val="0"/>
      <w:marRight w:val="0"/>
      <w:marTop w:val="0"/>
      <w:marBottom w:val="0"/>
      <w:divBdr>
        <w:top w:val="none" w:sz="0" w:space="0" w:color="auto"/>
        <w:left w:val="none" w:sz="0" w:space="0" w:color="auto"/>
        <w:bottom w:val="none" w:sz="0" w:space="0" w:color="auto"/>
        <w:right w:val="none" w:sz="0" w:space="0" w:color="auto"/>
      </w:divBdr>
    </w:div>
    <w:div w:id="1101410510">
      <w:bodyDiv w:val="1"/>
      <w:marLeft w:val="0"/>
      <w:marRight w:val="0"/>
      <w:marTop w:val="0"/>
      <w:marBottom w:val="0"/>
      <w:divBdr>
        <w:top w:val="none" w:sz="0" w:space="0" w:color="auto"/>
        <w:left w:val="none" w:sz="0" w:space="0" w:color="auto"/>
        <w:bottom w:val="none" w:sz="0" w:space="0" w:color="auto"/>
        <w:right w:val="none" w:sz="0" w:space="0" w:color="auto"/>
      </w:divBdr>
    </w:div>
    <w:div w:id="1101608039">
      <w:bodyDiv w:val="1"/>
      <w:marLeft w:val="0"/>
      <w:marRight w:val="0"/>
      <w:marTop w:val="0"/>
      <w:marBottom w:val="0"/>
      <w:divBdr>
        <w:top w:val="none" w:sz="0" w:space="0" w:color="auto"/>
        <w:left w:val="none" w:sz="0" w:space="0" w:color="auto"/>
        <w:bottom w:val="none" w:sz="0" w:space="0" w:color="auto"/>
        <w:right w:val="none" w:sz="0" w:space="0" w:color="auto"/>
      </w:divBdr>
    </w:div>
    <w:div w:id="1101682007">
      <w:bodyDiv w:val="1"/>
      <w:marLeft w:val="0"/>
      <w:marRight w:val="0"/>
      <w:marTop w:val="0"/>
      <w:marBottom w:val="0"/>
      <w:divBdr>
        <w:top w:val="none" w:sz="0" w:space="0" w:color="auto"/>
        <w:left w:val="none" w:sz="0" w:space="0" w:color="auto"/>
        <w:bottom w:val="none" w:sz="0" w:space="0" w:color="auto"/>
        <w:right w:val="none" w:sz="0" w:space="0" w:color="auto"/>
      </w:divBdr>
    </w:div>
    <w:div w:id="1102530596">
      <w:bodyDiv w:val="1"/>
      <w:marLeft w:val="0"/>
      <w:marRight w:val="0"/>
      <w:marTop w:val="0"/>
      <w:marBottom w:val="0"/>
      <w:divBdr>
        <w:top w:val="none" w:sz="0" w:space="0" w:color="auto"/>
        <w:left w:val="none" w:sz="0" w:space="0" w:color="auto"/>
        <w:bottom w:val="none" w:sz="0" w:space="0" w:color="auto"/>
        <w:right w:val="none" w:sz="0" w:space="0" w:color="auto"/>
      </w:divBdr>
    </w:div>
    <w:div w:id="1103185602">
      <w:bodyDiv w:val="1"/>
      <w:marLeft w:val="0"/>
      <w:marRight w:val="0"/>
      <w:marTop w:val="0"/>
      <w:marBottom w:val="0"/>
      <w:divBdr>
        <w:top w:val="none" w:sz="0" w:space="0" w:color="auto"/>
        <w:left w:val="none" w:sz="0" w:space="0" w:color="auto"/>
        <w:bottom w:val="none" w:sz="0" w:space="0" w:color="auto"/>
        <w:right w:val="none" w:sz="0" w:space="0" w:color="auto"/>
      </w:divBdr>
    </w:div>
    <w:div w:id="1103694420">
      <w:bodyDiv w:val="1"/>
      <w:marLeft w:val="0"/>
      <w:marRight w:val="0"/>
      <w:marTop w:val="0"/>
      <w:marBottom w:val="0"/>
      <w:divBdr>
        <w:top w:val="none" w:sz="0" w:space="0" w:color="auto"/>
        <w:left w:val="none" w:sz="0" w:space="0" w:color="auto"/>
        <w:bottom w:val="none" w:sz="0" w:space="0" w:color="auto"/>
        <w:right w:val="none" w:sz="0" w:space="0" w:color="auto"/>
      </w:divBdr>
    </w:div>
    <w:div w:id="1103839263">
      <w:bodyDiv w:val="1"/>
      <w:marLeft w:val="0"/>
      <w:marRight w:val="0"/>
      <w:marTop w:val="0"/>
      <w:marBottom w:val="0"/>
      <w:divBdr>
        <w:top w:val="none" w:sz="0" w:space="0" w:color="auto"/>
        <w:left w:val="none" w:sz="0" w:space="0" w:color="auto"/>
        <w:bottom w:val="none" w:sz="0" w:space="0" w:color="auto"/>
        <w:right w:val="none" w:sz="0" w:space="0" w:color="auto"/>
      </w:divBdr>
    </w:div>
    <w:div w:id="1103918390">
      <w:bodyDiv w:val="1"/>
      <w:marLeft w:val="0"/>
      <w:marRight w:val="0"/>
      <w:marTop w:val="0"/>
      <w:marBottom w:val="0"/>
      <w:divBdr>
        <w:top w:val="none" w:sz="0" w:space="0" w:color="auto"/>
        <w:left w:val="none" w:sz="0" w:space="0" w:color="auto"/>
        <w:bottom w:val="none" w:sz="0" w:space="0" w:color="auto"/>
        <w:right w:val="none" w:sz="0" w:space="0" w:color="auto"/>
      </w:divBdr>
    </w:div>
    <w:div w:id="1104034139">
      <w:bodyDiv w:val="1"/>
      <w:marLeft w:val="0"/>
      <w:marRight w:val="0"/>
      <w:marTop w:val="0"/>
      <w:marBottom w:val="0"/>
      <w:divBdr>
        <w:top w:val="none" w:sz="0" w:space="0" w:color="auto"/>
        <w:left w:val="none" w:sz="0" w:space="0" w:color="auto"/>
        <w:bottom w:val="none" w:sz="0" w:space="0" w:color="auto"/>
        <w:right w:val="none" w:sz="0" w:space="0" w:color="auto"/>
      </w:divBdr>
    </w:div>
    <w:div w:id="1104225992">
      <w:bodyDiv w:val="1"/>
      <w:marLeft w:val="0"/>
      <w:marRight w:val="0"/>
      <w:marTop w:val="0"/>
      <w:marBottom w:val="0"/>
      <w:divBdr>
        <w:top w:val="none" w:sz="0" w:space="0" w:color="auto"/>
        <w:left w:val="none" w:sz="0" w:space="0" w:color="auto"/>
        <w:bottom w:val="none" w:sz="0" w:space="0" w:color="auto"/>
        <w:right w:val="none" w:sz="0" w:space="0" w:color="auto"/>
      </w:divBdr>
    </w:div>
    <w:div w:id="1104306082">
      <w:bodyDiv w:val="1"/>
      <w:marLeft w:val="0"/>
      <w:marRight w:val="0"/>
      <w:marTop w:val="0"/>
      <w:marBottom w:val="0"/>
      <w:divBdr>
        <w:top w:val="none" w:sz="0" w:space="0" w:color="auto"/>
        <w:left w:val="none" w:sz="0" w:space="0" w:color="auto"/>
        <w:bottom w:val="none" w:sz="0" w:space="0" w:color="auto"/>
        <w:right w:val="none" w:sz="0" w:space="0" w:color="auto"/>
      </w:divBdr>
    </w:div>
    <w:div w:id="1104425515">
      <w:bodyDiv w:val="1"/>
      <w:marLeft w:val="0"/>
      <w:marRight w:val="0"/>
      <w:marTop w:val="0"/>
      <w:marBottom w:val="0"/>
      <w:divBdr>
        <w:top w:val="none" w:sz="0" w:space="0" w:color="auto"/>
        <w:left w:val="none" w:sz="0" w:space="0" w:color="auto"/>
        <w:bottom w:val="none" w:sz="0" w:space="0" w:color="auto"/>
        <w:right w:val="none" w:sz="0" w:space="0" w:color="auto"/>
      </w:divBdr>
    </w:div>
    <w:div w:id="1104763254">
      <w:bodyDiv w:val="1"/>
      <w:marLeft w:val="0"/>
      <w:marRight w:val="0"/>
      <w:marTop w:val="0"/>
      <w:marBottom w:val="0"/>
      <w:divBdr>
        <w:top w:val="none" w:sz="0" w:space="0" w:color="auto"/>
        <w:left w:val="none" w:sz="0" w:space="0" w:color="auto"/>
        <w:bottom w:val="none" w:sz="0" w:space="0" w:color="auto"/>
        <w:right w:val="none" w:sz="0" w:space="0" w:color="auto"/>
      </w:divBdr>
    </w:div>
    <w:div w:id="1105149214">
      <w:bodyDiv w:val="1"/>
      <w:marLeft w:val="0"/>
      <w:marRight w:val="0"/>
      <w:marTop w:val="0"/>
      <w:marBottom w:val="0"/>
      <w:divBdr>
        <w:top w:val="none" w:sz="0" w:space="0" w:color="auto"/>
        <w:left w:val="none" w:sz="0" w:space="0" w:color="auto"/>
        <w:bottom w:val="none" w:sz="0" w:space="0" w:color="auto"/>
        <w:right w:val="none" w:sz="0" w:space="0" w:color="auto"/>
      </w:divBdr>
    </w:div>
    <w:div w:id="1105538134">
      <w:bodyDiv w:val="1"/>
      <w:marLeft w:val="0"/>
      <w:marRight w:val="0"/>
      <w:marTop w:val="0"/>
      <w:marBottom w:val="0"/>
      <w:divBdr>
        <w:top w:val="none" w:sz="0" w:space="0" w:color="auto"/>
        <w:left w:val="none" w:sz="0" w:space="0" w:color="auto"/>
        <w:bottom w:val="none" w:sz="0" w:space="0" w:color="auto"/>
        <w:right w:val="none" w:sz="0" w:space="0" w:color="auto"/>
      </w:divBdr>
    </w:div>
    <w:div w:id="1105807716">
      <w:bodyDiv w:val="1"/>
      <w:marLeft w:val="0"/>
      <w:marRight w:val="0"/>
      <w:marTop w:val="0"/>
      <w:marBottom w:val="0"/>
      <w:divBdr>
        <w:top w:val="none" w:sz="0" w:space="0" w:color="auto"/>
        <w:left w:val="none" w:sz="0" w:space="0" w:color="auto"/>
        <w:bottom w:val="none" w:sz="0" w:space="0" w:color="auto"/>
        <w:right w:val="none" w:sz="0" w:space="0" w:color="auto"/>
      </w:divBdr>
    </w:div>
    <w:div w:id="1106075213">
      <w:bodyDiv w:val="1"/>
      <w:marLeft w:val="0"/>
      <w:marRight w:val="0"/>
      <w:marTop w:val="0"/>
      <w:marBottom w:val="0"/>
      <w:divBdr>
        <w:top w:val="none" w:sz="0" w:space="0" w:color="auto"/>
        <w:left w:val="none" w:sz="0" w:space="0" w:color="auto"/>
        <w:bottom w:val="none" w:sz="0" w:space="0" w:color="auto"/>
        <w:right w:val="none" w:sz="0" w:space="0" w:color="auto"/>
      </w:divBdr>
    </w:div>
    <w:div w:id="1106271691">
      <w:bodyDiv w:val="1"/>
      <w:marLeft w:val="0"/>
      <w:marRight w:val="0"/>
      <w:marTop w:val="0"/>
      <w:marBottom w:val="0"/>
      <w:divBdr>
        <w:top w:val="none" w:sz="0" w:space="0" w:color="auto"/>
        <w:left w:val="none" w:sz="0" w:space="0" w:color="auto"/>
        <w:bottom w:val="none" w:sz="0" w:space="0" w:color="auto"/>
        <w:right w:val="none" w:sz="0" w:space="0" w:color="auto"/>
      </w:divBdr>
    </w:div>
    <w:div w:id="1106582060">
      <w:bodyDiv w:val="1"/>
      <w:marLeft w:val="0"/>
      <w:marRight w:val="0"/>
      <w:marTop w:val="0"/>
      <w:marBottom w:val="0"/>
      <w:divBdr>
        <w:top w:val="none" w:sz="0" w:space="0" w:color="auto"/>
        <w:left w:val="none" w:sz="0" w:space="0" w:color="auto"/>
        <w:bottom w:val="none" w:sz="0" w:space="0" w:color="auto"/>
        <w:right w:val="none" w:sz="0" w:space="0" w:color="auto"/>
      </w:divBdr>
    </w:div>
    <w:div w:id="1106584320">
      <w:bodyDiv w:val="1"/>
      <w:marLeft w:val="0"/>
      <w:marRight w:val="0"/>
      <w:marTop w:val="0"/>
      <w:marBottom w:val="0"/>
      <w:divBdr>
        <w:top w:val="none" w:sz="0" w:space="0" w:color="auto"/>
        <w:left w:val="none" w:sz="0" w:space="0" w:color="auto"/>
        <w:bottom w:val="none" w:sz="0" w:space="0" w:color="auto"/>
        <w:right w:val="none" w:sz="0" w:space="0" w:color="auto"/>
      </w:divBdr>
    </w:div>
    <w:div w:id="1107000944">
      <w:bodyDiv w:val="1"/>
      <w:marLeft w:val="0"/>
      <w:marRight w:val="0"/>
      <w:marTop w:val="0"/>
      <w:marBottom w:val="0"/>
      <w:divBdr>
        <w:top w:val="none" w:sz="0" w:space="0" w:color="auto"/>
        <w:left w:val="none" w:sz="0" w:space="0" w:color="auto"/>
        <w:bottom w:val="none" w:sz="0" w:space="0" w:color="auto"/>
        <w:right w:val="none" w:sz="0" w:space="0" w:color="auto"/>
      </w:divBdr>
    </w:div>
    <w:div w:id="1107845929">
      <w:bodyDiv w:val="1"/>
      <w:marLeft w:val="0"/>
      <w:marRight w:val="0"/>
      <w:marTop w:val="0"/>
      <w:marBottom w:val="0"/>
      <w:divBdr>
        <w:top w:val="none" w:sz="0" w:space="0" w:color="auto"/>
        <w:left w:val="none" w:sz="0" w:space="0" w:color="auto"/>
        <w:bottom w:val="none" w:sz="0" w:space="0" w:color="auto"/>
        <w:right w:val="none" w:sz="0" w:space="0" w:color="auto"/>
      </w:divBdr>
    </w:div>
    <w:div w:id="1108353696">
      <w:bodyDiv w:val="1"/>
      <w:marLeft w:val="0"/>
      <w:marRight w:val="0"/>
      <w:marTop w:val="0"/>
      <w:marBottom w:val="0"/>
      <w:divBdr>
        <w:top w:val="none" w:sz="0" w:space="0" w:color="auto"/>
        <w:left w:val="none" w:sz="0" w:space="0" w:color="auto"/>
        <w:bottom w:val="none" w:sz="0" w:space="0" w:color="auto"/>
        <w:right w:val="none" w:sz="0" w:space="0" w:color="auto"/>
      </w:divBdr>
    </w:div>
    <w:div w:id="1108620941">
      <w:bodyDiv w:val="1"/>
      <w:marLeft w:val="0"/>
      <w:marRight w:val="0"/>
      <w:marTop w:val="0"/>
      <w:marBottom w:val="0"/>
      <w:divBdr>
        <w:top w:val="none" w:sz="0" w:space="0" w:color="auto"/>
        <w:left w:val="none" w:sz="0" w:space="0" w:color="auto"/>
        <w:bottom w:val="none" w:sz="0" w:space="0" w:color="auto"/>
        <w:right w:val="none" w:sz="0" w:space="0" w:color="auto"/>
      </w:divBdr>
    </w:div>
    <w:div w:id="1108699565">
      <w:bodyDiv w:val="1"/>
      <w:marLeft w:val="0"/>
      <w:marRight w:val="0"/>
      <w:marTop w:val="0"/>
      <w:marBottom w:val="0"/>
      <w:divBdr>
        <w:top w:val="none" w:sz="0" w:space="0" w:color="auto"/>
        <w:left w:val="none" w:sz="0" w:space="0" w:color="auto"/>
        <w:bottom w:val="none" w:sz="0" w:space="0" w:color="auto"/>
        <w:right w:val="none" w:sz="0" w:space="0" w:color="auto"/>
      </w:divBdr>
    </w:div>
    <w:div w:id="1108890380">
      <w:bodyDiv w:val="1"/>
      <w:marLeft w:val="0"/>
      <w:marRight w:val="0"/>
      <w:marTop w:val="0"/>
      <w:marBottom w:val="0"/>
      <w:divBdr>
        <w:top w:val="none" w:sz="0" w:space="0" w:color="auto"/>
        <w:left w:val="none" w:sz="0" w:space="0" w:color="auto"/>
        <w:bottom w:val="none" w:sz="0" w:space="0" w:color="auto"/>
        <w:right w:val="none" w:sz="0" w:space="0" w:color="auto"/>
      </w:divBdr>
    </w:div>
    <w:div w:id="1109394159">
      <w:bodyDiv w:val="1"/>
      <w:marLeft w:val="0"/>
      <w:marRight w:val="0"/>
      <w:marTop w:val="0"/>
      <w:marBottom w:val="0"/>
      <w:divBdr>
        <w:top w:val="none" w:sz="0" w:space="0" w:color="auto"/>
        <w:left w:val="none" w:sz="0" w:space="0" w:color="auto"/>
        <w:bottom w:val="none" w:sz="0" w:space="0" w:color="auto"/>
        <w:right w:val="none" w:sz="0" w:space="0" w:color="auto"/>
      </w:divBdr>
    </w:div>
    <w:div w:id="1109929508">
      <w:bodyDiv w:val="1"/>
      <w:marLeft w:val="0"/>
      <w:marRight w:val="0"/>
      <w:marTop w:val="0"/>
      <w:marBottom w:val="0"/>
      <w:divBdr>
        <w:top w:val="none" w:sz="0" w:space="0" w:color="auto"/>
        <w:left w:val="none" w:sz="0" w:space="0" w:color="auto"/>
        <w:bottom w:val="none" w:sz="0" w:space="0" w:color="auto"/>
        <w:right w:val="none" w:sz="0" w:space="0" w:color="auto"/>
      </w:divBdr>
    </w:div>
    <w:div w:id="1110010066">
      <w:bodyDiv w:val="1"/>
      <w:marLeft w:val="0"/>
      <w:marRight w:val="0"/>
      <w:marTop w:val="0"/>
      <w:marBottom w:val="0"/>
      <w:divBdr>
        <w:top w:val="none" w:sz="0" w:space="0" w:color="auto"/>
        <w:left w:val="none" w:sz="0" w:space="0" w:color="auto"/>
        <w:bottom w:val="none" w:sz="0" w:space="0" w:color="auto"/>
        <w:right w:val="none" w:sz="0" w:space="0" w:color="auto"/>
      </w:divBdr>
    </w:div>
    <w:div w:id="1110125230">
      <w:bodyDiv w:val="1"/>
      <w:marLeft w:val="0"/>
      <w:marRight w:val="0"/>
      <w:marTop w:val="0"/>
      <w:marBottom w:val="0"/>
      <w:divBdr>
        <w:top w:val="none" w:sz="0" w:space="0" w:color="auto"/>
        <w:left w:val="none" w:sz="0" w:space="0" w:color="auto"/>
        <w:bottom w:val="none" w:sz="0" w:space="0" w:color="auto"/>
        <w:right w:val="none" w:sz="0" w:space="0" w:color="auto"/>
      </w:divBdr>
    </w:div>
    <w:div w:id="1110129507">
      <w:bodyDiv w:val="1"/>
      <w:marLeft w:val="0"/>
      <w:marRight w:val="0"/>
      <w:marTop w:val="0"/>
      <w:marBottom w:val="0"/>
      <w:divBdr>
        <w:top w:val="none" w:sz="0" w:space="0" w:color="auto"/>
        <w:left w:val="none" w:sz="0" w:space="0" w:color="auto"/>
        <w:bottom w:val="none" w:sz="0" w:space="0" w:color="auto"/>
        <w:right w:val="none" w:sz="0" w:space="0" w:color="auto"/>
      </w:divBdr>
    </w:div>
    <w:div w:id="1110271991">
      <w:bodyDiv w:val="1"/>
      <w:marLeft w:val="0"/>
      <w:marRight w:val="0"/>
      <w:marTop w:val="0"/>
      <w:marBottom w:val="0"/>
      <w:divBdr>
        <w:top w:val="none" w:sz="0" w:space="0" w:color="auto"/>
        <w:left w:val="none" w:sz="0" w:space="0" w:color="auto"/>
        <w:bottom w:val="none" w:sz="0" w:space="0" w:color="auto"/>
        <w:right w:val="none" w:sz="0" w:space="0" w:color="auto"/>
      </w:divBdr>
    </w:div>
    <w:div w:id="1110273875">
      <w:bodyDiv w:val="1"/>
      <w:marLeft w:val="0"/>
      <w:marRight w:val="0"/>
      <w:marTop w:val="0"/>
      <w:marBottom w:val="0"/>
      <w:divBdr>
        <w:top w:val="none" w:sz="0" w:space="0" w:color="auto"/>
        <w:left w:val="none" w:sz="0" w:space="0" w:color="auto"/>
        <w:bottom w:val="none" w:sz="0" w:space="0" w:color="auto"/>
        <w:right w:val="none" w:sz="0" w:space="0" w:color="auto"/>
      </w:divBdr>
    </w:div>
    <w:div w:id="1110508338">
      <w:bodyDiv w:val="1"/>
      <w:marLeft w:val="0"/>
      <w:marRight w:val="0"/>
      <w:marTop w:val="0"/>
      <w:marBottom w:val="0"/>
      <w:divBdr>
        <w:top w:val="none" w:sz="0" w:space="0" w:color="auto"/>
        <w:left w:val="none" w:sz="0" w:space="0" w:color="auto"/>
        <w:bottom w:val="none" w:sz="0" w:space="0" w:color="auto"/>
        <w:right w:val="none" w:sz="0" w:space="0" w:color="auto"/>
      </w:divBdr>
    </w:div>
    <w:div w:id="1110584196">
      <w:bodyDiv w:val="1"/>
      <w:marLeft w:val="0"/>
      <w:marRight w:val="0"/>
      <w:marTop w:val="0"/>
      <w:marBottom w:val="0"/>
      <w:divBdr>
        <w:top w:val="none" w:sz="0" w:space="0" w:color="auto"/>
        <w:left w:val="none" w:sz="0" w:space="0" w:color="auto"/>
        <w:bottom w:val="none" w:sz="0" w:space="0" w:color="auto"/>
        <w:right w:val="none" w:sz="0" w:space="0" w:color="auto"/>
      </w:divBdr>
    </w:div>
    <w:div w:id="1111585561">
      <w:bodyDiv w:val="1"/>
      <w:marLeft w:val="0"/>
      <w:marRight w:val="0"/>
      <w:marTop w:val="0"/>
      <w:marBottom w:val="0"/>
      <w:divBdr>
        <w:top w:val="none" w:sz="0" w:space="0" w:color="auto"/>
        <w:left w:val="none" w:sz="0" w:space="0" w:color="auto"/>
        <w:bottom w:val="none" w:sz="0" w:space="0" w:color="auto"/>
        <w:right w:val="none" w:sz="0" w:space="0" w:color="auto"/>
      </w:divBdr>
    </w:div>
    <w:div w:id="1111899610">
      <w:bodyDiv w:val="1"/>
      <w:marLeft w:val="0"/>
      <w:marRight w:val="0"/>
      <w:marTop w:val="0"/>
      <w:marBottom w:val="0"/>
      <w:divBdr>
        <w:top w:val="none" w:sz="0" w:space="0" w:color="auto"/>
        <w:left w:val="none" w:sz="0" w:space="0" w:color="auto"/>
        <w:bottom w:val="none" w:sz="0" w:space="0" w:color="auto"/>
        <w:right w:val="none" w:sz="0" w:space="0" w:color="auto"/>
      </w:divBdr>
    </w:div>
    <w:div w:id="1112090282">
      <w:bodyDiv w:val="1"/>
      <w:marLeft w:val="0"/>
      <w:marRight w:val="0"/>
      <w:marTop w:val="0"/>
      <w:marBottom w:val="0"/>
      <w:divBdr>
        <w:top w:val="none" w:sz="0" w:space="0" w:color="auto"/>
        <w:left w:val="none" w:sz="0" w:space="0" w:color="auto"/>
        <w:bottom w:val="none" w:sz="0" w:space="0" w:color="auto"/>
        <w:right w:val="none" w:sz="0" w:space="0" w:color="auto"/>
      </w:divBdr>
    </w:div>
    <w:div w:id="1112167445">
      <w:bodyDiv w:val="1"/>
      <w:marLeft w:val="0"/>
      <w:marRight w:val="0"/>
      <w:marTop w:val="0"/>
      <w:marBottom w:val="0"/>
      <w:divBdr>
        <w:top w:val="none" w:sz="0" w:space="0" w:color="auto"/>
        <w:left w:val="none" w:sz="0" w:space="0" w:color="auto"/>
        <w:bottom w:val="none" w:sz="0" w:space="0" w:color="auto"/>
        <w:right w:val="none" w:sz="0" w:space="0" w:color="auto"/>
      </w:divBdr>
    </w:div>
    <w:div w:id="1112823304">
      <w:bodyDiv w:val="1"/>
      <w:marLeft w:val="0"/>
      <w:marRight w:val="0"/>
      <w:marTop w:val="0"/>
      <w:marBottom w:val="0"/>
      <w:divBdr>
        <w:top w:val="none" w:sz="0" w:space="0" w:color="auto"/>
        <w:left w:val="none" w:sz="0" w:space="0" w:color="auto"/>
        <w:bottom w:val="none" w:sz="0" w:space="0" w:color="auto"/>
        <w:right w:val="none" w:sz="0" w:space="0" w:color="auto"/>
      </w:divBdr>
    </w:div>
    <w:div w:id="1112938914">
      <w:bodyDiv w:val="1"/>
      <w:marLeft w:val="0"/>
      <w:marRight w:val="0"/>
      <w:marTop w:val="0"/>
      <w:marBottom w:val="0"/>
      <w:divBdr>
        <w:top w:val="none" w:sz="0" w:space="0" w:color="auto"/>
        <w:left w:val="none" w:sz="0" w:space="0" w:color="auto"/>
        <w:bottom w:val="none" w:sz="0" w:space="0" w:color="auto"/>
        <w:right w:val="none" w:sz="0" w:space="0" w:color="auto"/>
      </w:divBdr>
    </w:div>
    <w:div w:id="1113091922">
      <w:bodyDiv w:val="1"/>
      <w:marLeft w:val="0"/>
      <w:marRight w:val="0"/>
      <w:marTop w:val="0"/>
      <w:marBottom w:val="0"/>
      <w:divBdr>
        <w:top w:val="none" w:sz="0" w:space="0" w:color="auto"/>
        <w:left w:val="none" w:sz="0" w:space="0" w:color="auto"/>
        <w:bottom w:val="none" w:sz="0" w:space="0" w:color="auto"/>
        <w:right w:val="none" w:sz="0" w:space="0" w:color="auto"/>
      </w:divBdr>
    </w:div>
    <w:div w:id="1113205792">
      <w:bodyDiv w:val="1"/>
      <w:marLeft w:val="0"/>
      <w:marRight w:val="0"/>
      <w:marTop w:val="0"/>
      <w:marBottom w:val="0"/>
      <w:divBdr>
        <w:top w:val="none" w:sz="0" w:space="0" w:color="auto"/>
        <w:left w:val="none" w:sz="0" w:space="0" w:color="auto"/>
        <w:bottom w:val="none" w:sz="0" w:space="0" w:color="auto"/>
        <w:right w:val="none" w:sz="0" w:space="0" w:color="auto"/>
      </w:divBdr>
    </w:div>
    <w:div w:id="1113403933">
      <w:bodyDiv w:val="1"/>
      <w:marLeft w:val="0"/>
      <w:marRight w:val="0"/>
      <w:marTop w:val="0"/>
      <w:marBottom w:val="0"/>
      <w:divBdr>
        <w:top w:val="none" w:sz="0" w:space="0" w:color="auto"/>
        <w:left w:val="none" w:sz="0" w:space="0" w:color="auto"/>
        <w:bottom w:val="none" w:sz="0" w:space="0" w:color="auto"/>
        <w:right w:val="none" w:sz="0" w:space="0" w:color="auto"/>
      </w:divBdr>
    </w:div>
    <w:div w:id="1113793559">
      <w:bodyDiv w:val="1"/>
      <w:marLeft w:val="0"/>
      <w:marRight w:val="0"/>
      <w:marTop w:val="0"/>
      <w:marBottom w:val="0"/>
      <w:divBdr>
        <w:top w:val="none" w:sz="0" w:space="0" w:color="auto"/>
        <w:left w:val="none" w:sz="0" w:space="0" w:color="auto"/>
        <w:bottom w:val="none" w:sz="0" w:space="0" w:color="auto"/>
        <w:right w:val="none" w:sz="0" w:space="0" w:color="auto"/>
      </w:divBdr>
    </w:div>
    <w:div w:id="1113867150">
      <w:bodyDiv w:val="1"/>
      <w:marLeft w:val="0"/>
      <w:marRight w:val="0"/>
      <w:marTop w:val="0"/>
      <w:marBottom w:val="0"/>
      <w:divBdr>
        <w:top w:val="none" w:sz="0" w:space="0" w:color="auto"/>
        <w:left w:val="none" w:sz="0" w:space="0" w:color="auto"/>
        <w:bottom w:val="none" w:sz="0" w:space="0" w:color="auto"/>
        <w:right w:val="none" w:sz="0" w:space="0" w:color="auto"/>
      </w:divBdr>
    </w:div>
    <w:div w:id="1114403571">
      <w:bodyDiv w:val="1"/>
      <w:marLeft w:val="0"/>
      <w:marRight w:val="0"/>
      <w:marTop w:val="0"/>
      <w:marBottom w:val="0"/>
      <w:divBdr>
        <w:top w:val="none" w:sz="0" w:space="0" w:color="auto"/>
        <w:left w:val="none" w:sz="0" w:space="0" w:color="auto"/>
        <w:bottom w:val="none" w:sz="0" w:space="0" w:color="auto"/>
        <w:right w:val="none" w:sz="0" w:space="0" w:color="auto"/>
      </w:divBdr>
    </w:div>
    <w:div w:id="1114441117">
      <w:bodyDiv w:val="1"/>
      <w:marLeft w:val="0"/>
      <w:marRight w:val="0"/>
      <w:marTop w:val="0"/>
      <w:marBottom w:val="0"/>
      <w:divBdr>
        <w:top w:val="none" w:sz="0" w:space="0" w:color="auto"/>
        <w:left w:val="none" w:sz="0" w:space="0" w:color="auto"/>
        <w:bottom w:val="none" w:sz="0" w:space="0" w:color="auto"/>
        <w:right w:val="none" w:sz="0" w:space="0" w:color="auto"/>
      </w:divBdr>
    </w:div>
    <w:div w:id="1114519542">
      <w:bodyDiv w:val="1"/>
      <w:marLeft w:val="0"/>
      <w:marRight w:val="0"/>
      <w:marTop w:val="0"/>
      <w:marBottom w:val="0"/>
      <w:divBdr>
        <w:top w:val="none" w:sz="0" w:space="0" w:color="auto"/>
        <w:left w:val="none" w:sz="0" w:space="0" w:color="auto"/>
        <w:bottom w:val="none" w:sz="0" w:space="0" w:color="auto"/>
        <w:right w:val="none" w:sz="0" w:space="0" w:color="auto"/>
      </w:divBdr>
    </w:div>
    <w:div w:id="1115364283">
      <w:bodyDiv w:val="1"/>
      <w:marLeft w:val="0"/>
      <w:marRight w:val="0"/>
      <w:marTop w:val="0"/>
      <w:marBottom w:val="0"/>
      <w:divBdr>
        <w:top w:val="none" w:sz="0" w:space="0" w:color="auto"/>
        <w:left w:val="none" w:sz="0" w:space="0" w:color="auto"/>
        <w:bottom w:val="none" w:sz="0" w:space="0" w:color="auto"/>
        <w:right w:val="none" w:sz="0" w:space="0" w:color="auto"/>
      </w:divBdr>
    </w:div>
    <w:div w:id="1115825968">
      <w:bodyDiv w:val="1"/>
      <w:marLeft w:val="0"/>
      <w:marRight w:val="0"/>
      <w:marTop w:val="0"/>
      <w:marBottom w:val="0"/>
      <w:divBdr>
        <w:top w:val="none" w:sz="0" w:space="0" w:color="auto"/>
        <w:left w:val="none" w:sz="0" w:space="0" w:color="auto"/>
        <w:bottom w:val="none" w:sz="0" w:space="0" w:color="auto"/>
        <w:right w:val="none" w:sz="0" w:space="0" w:color="auto"/>
      </w:divBdr>
    </w:div>
    <w:div w:id="1116173232">
      <w:bodyDiv w:val="1"/>
      <w:marLeft w:val="0"/>
      <w:marRight w:val="0"/>
      <w:marTop w:val="0"/>
      <w:marBottom w:val="0"/>
      <w:divBdr>
        <w:top w:val="none" w:sz="0" w:space="0" w:color="auto"/>
        <w:left w:val="none" w:sz="0" w:space="0" w:color="auto"/>
        <w:bottom w:val="none" w:sz="0" w:space="0" w:color="auto"/>
        <w:right w:val="none" w:sz="0" w:space="0" w:color="auto"/>
      </w:divBdr>
    </w:div>
    <w:div w:id="1116215550">
      <w:bodyDiv w:val="1"/>
      <w:marLeft w:val="0"/>
      <w:marRight w:val="0"/>
      <w:marTop w:val="0"/>
      <w:marBottom w:val="0"/>
      <w:divBdr>
        <w:top w:val="none" w:sz="0" w:space="0" w:color="auto"/>
        <w:left w:val="none" w:sz="0" w:space="0" w:color="auto"/>
        <w:bottom w:val="none" w:sz="0" w:space="0" w:color="auto"/>
        <w:right w:val="none" w:sz="0" w:space="0" w:color="auto"/>
      </w:divBdr>
    </w:div>
    <w:div w:id="1116755112">
      <w:bodyDiv w:val="1"/>
      <w:marLeft w:val="0"/>
      <w:marRight w:val="0"/>
      <w:marTop w:val="0"/>
      <w:marBottom w:val="0"/>
      <w:divBdr>
        <w:top w:val="none" w:sz="0" w:space="0" w:color="auto"/>
        <w:left w:val="none" w:sz="0" w:space="0" w:color="auto"/>
        <w:bottom w:val="none" w:sz="0" w:space="0" w:color="auto"/>
        <w:right w:val="none" w:sz="0" w:space="0" w:color="auto"/>
      </w:divBdr>
    </w:div>
    <w:div w:id="1116827571">
      <w:bodyDiv w:val="1"/>
      <w:marLeft w:val="0"/>
      <w:marRight w:val="0"/>
      <w:marTop w:val="0"/>
      <w:marBottom w:val="0"/>
      <w:divBdr>
        <w:top w:val="none" w:sz="0" w:space="0" w:color="auto"/>
        <w:left w:val="none" w:sz="0" w:space="0" w:color="auto"/>
        <w:bottom w:val="none" w:sz="0" w:space="0" w:color="auto"/>
        <w:right w:val="none" w:sz="0" w:space="0" w:color="auto"/>
      </w:divBdr>
    </w:div>
    <w:div w:id="1117213827">
      <w:bodyDiv w:val="1"/>
      <w:marLeft w:val="0"/>
      <w:marRight w:val="0"/>
      <w:marTop w:val="0"/>
      <w:marBottom w:val="0"/>
      <w:divBdr>
        <w:top w:val="none" w:sz="0" w:space="0" w:color="auto"/>
        <w:left w:val="none" w:sz="0" w:space="0" w:color="auto"/>
        <w:bottom w:val="none" w:sz="0" w:space="0" w:color="auto"/>
        <w:right w:val="none" w:sz="0" w:space="0" w:color="auto"/>
      </w:divBdr>
    </w:div>
    <w:div w:id="1117524804">
      <w:bodyDiv w:val="1"/>
      <w:marLeft w:val="0"/>
      <w:marRight w:val="0"/>
      <w:marTop w:val="0"/>
      <w:marBottom w:val="0"/>
      <w:divBdr>
        <w:top w:val="none" w:sz="0" w:space="0" w:color="auto"/>
        <w:left w:val="none" w:sz="0" w:space="0" w:color="auto"/>
        <w:bottom w:val="none" w:sz="0" w:space="0" w:color="auto"/>
        <w:right w:val="none" w:sz="0" w:space="0" w:color="auto"/>
      </w:divBdr>
    </w:div>
    <w:div w:id="1117992759">
      <w:bodyDiv w:val="1"/>
      <w:marLeft w:val="0"/>
      <w:marRight w:val="0"/>
      <w:marTop w:val="0"/>
      <w:marBottom w:val="0"/>
      <w:divBdr>
        <w:top w:val="none" w:sz="0" w:space="0" w:color="auto"/>
        <w:left w:val="none" w:sz="0" w:space="0" w:color="auto"/>
        <w:bottom w:val="none" w:sz="0" w:space="0" w:color="auto"/>
        <w:right w:val="none" w:sz="0" w:space="0" w:color="auto"/>
      </w:divBdr>
    </w:div>
    <w:div w:id="1118068586">
      <w:bodyDiv w:val="1"/>
      <w:marLeft w:val="0"/>
      <w:marRight w:val="0"/>
      <w:marTop w:val="0"/>
      <w:marBottom w:val="0"/>
      <w:divBdr>
        <w:top w:val="none" w:sz="0" w:space="0" w:color="auto"/>
        <w:left w:val="none" w:sz="0" w:space="0" w:color="auto"/>
        <w:bottom w:val="none" w:sz="0" w:space="0" w:color="auto"/>
        <w:right w:val="none" w:sz="0" w:space="0" w:color="auto"/>
      </w:divBdr>
    </w:div>
    <w:div w:id="1118136412">
      <w:bodyDiv w:val="1"/>
      <w:marLeft w:val="0"/>
      <w:marRight w:val="0"/>
      <w:marTop w:val="0"/>
      <w:marBottom w:val="0"/>
      <w:divBdr>
        <w:top w:val="none" w:sz="0" w:space="0" w:color="auto"/>
        <w:left w:val="none" w:sz="0" w:space="0" w:color="auto"/>
        <w:bottom w:val="none" w:sz="0" w:space="0" w:color="auto"/>
        <w:right w:val="none" w:sz="0" w:space="0" w:color="auto"/>
      </w:divBdr>
    </w:div>
    <w:div w:id="1118379119">
      <w:bodyDiv w:val="1"/>
      <w:marLeft w:val="0"/>
      <w:marRight w:val="0"/>
      <w:marTop w:val="0"/>
      <w:marBottom w:val="0"/>
      <w:divBdr>
        <w:top w:val="none" w:sz="0" w:space="0" w:color="auto"/>
        <w:left w:val="none" w:sz="0" w:space="0" w:color="auto"/>
        <w:bottom w:val="none" w:sz="0" w:space="0" w:color="auto"/>
        <w:right w:val="none" w:sz="0" w:space="0" w:color="auto"/>
      </w:divBdr>
    </w:div>
    <w:div w:id="1118573222">
      <w:bodyDiv w:val="1"/>
      <w:marLeft w:val="0"/>
      <w:marRight w:val="0"/>
      <w:marTop w:val="0"/>
      <w:marBottom w:val="0"/>
      <w:divBdr>
        <w:top w:val="none" w:sz="0" w:space="0" w:color="auto"/>
        <w:left w:val="none" w:sz="0" w:space="0" w:color="auto"/>
        <w:bottom w:val="none" w:sz="0" w:space="0" w:color="auto"/>
        <w:right w:val="none" w:sz="0" w:space="0" w:color="auto"/>
      </w:divBdr>
    </w:div>
    <w:div w:id="1119833329">
      <w:bodyDiv w:val="1"/>
      <w:marLeft w:val="0"/>
      <w:marRight w:val="0"/>
      <w:marTop w:val="0"/>
      <w:marBottom w:val="0"/>
      <w:divBdr>
        <w:top w:val="none" w:sz="0" w:space="0" w:color="auto"/>
        <w:left w:val="none" w:sz="0" w:space="0" w:color="auto"/>
        <w:bottom w:val="none" w:sz="0" w:space="0" w:color="auto"/>
        <w:right w:val="none" w:sz="0" w:space="0" w:color="auto"/>
      </w:divBdr>
    </w:div>
    <w:div w:id="1120224497">
      <w:bodyDiv w:val="1"/>
      <w:marLeft w:val="0"/>
      <w:marRight w:val="0"/>
      <w:marTop w:val="0"/>
      <w:marBottom w:val="0"/>
      <w:divBdr>
        <w:top w:val="none" w:sz="0" w:space="0" w:color="auto"/>
        <w:left w:val="none" w:sz="0" w:space="0" w:color="auto"/>
        <w:bottom w:val="none" w:sz="0" w:space="0" w:color="auto"/>
        <w:right w:val="none" w:sz="0" w:space="0" w:color="auto"/>
      </w:divBdr>
    </w:div>
    <w:div w:id="1120535188">
      <w:bodyDiv w:val="1"/>
      <w:marLeft w:val="0"/>
      <w:marRight w:val="0"/>
      <w:marTop w:val="0"/>
      <w:marBottom w:val="0"/>
      <w:divBdr>
        <w:top w:val="none" w:sz="0" w:space="0" w:color="auto"/>
        <w:left w:val="none" w:sz="0" w:space="0" w:color="auto"/>
        <w:bottom w:val="none" w:sz="0" w:space="0" w:color="auto"/>
        <w:right w:val="none" w:sz="0" w:space="0" w:color="auto"/>
      </w:divBdr>
    </w:div>
    <w:div w:id="1120614718">
      <w:bodyDiv w:val="1"/>
      <w:marLeft w:val="0"/>
      <w:marRight w:val="0"/>
      <w:marTop w:val="0"/>
      <w:marBottom w:val="0"/>
      <w:divBdr>
        <w:top w:val="none" w:sz="0" w:space="0" w:color="auto"/>
        <w:left w:val="none" w:sz="0" w:space="0" w:color="auto"/>
        <w:bottom w:val="none" w:sz="0" w:space="0" w:color="auto"/>
        <w:right w:val="none" w:sz="0" w:space="0" w:color="auto"/>
      </w:divBdr>
    </w:div>
    <w:div w:id="1121729514">
      <w:bodyDiv w:val="1"/>
      <w:marLeft w:val="0"/>
      <w:marRight w:val="0"/>
      <w:marTop w:val="0"/>
      <w:marBottom w:val="0"/>
      <w:divBdr>
        <w:top w:val="none" w:sz="0" w:space="0" w:color="auto"/>
        <w:left w:val="none" w:sz="0" w:space="0" w:color="auto"/>
        <w:bottom w:val="none" w:sz="0" w:space="0" w:color="auto"/>
        <w:right w:val="none" w:sz="0" w:space="0" w:color="auto"/>
      </w:divBdr>
    </w:div>
    <w:div w:id="1122043383">
      <w:bodyDiv w:val="1"/>
      <w:marLeft w:val="0"/>
      <w:marRight w:val="0"/>
      <w:marTop w:val="0"/>
      <w:marBottom w:val="0"/>
      <w:divBdr>
        <w:top w:val="none" w:sz="0" w:space="0" w:color="auto"/>
        <w:left w:val="none" w:sz="0" w:space="0" w:color="auto"/>
        <w:bottom w:val="none" w:sz="0" w:space="0" w:color="auto"/>
        <w:right w:val="none" w:sz="0" w:space="0" w:color="auto"/>
      </w:divBdr>
    </w:div>
    <w:div w:id="1122453568">
      <w:bodyDiv w:val="1"/>
      <w:marLeft w:val="0"/>
      <w:marRight w:val="0"/>
      <w:marTop w:val="0"/>
      <w:marBottom w:val="0"/>
      <w:divBdr>
        <w:top w:val="none" w:sz="0" w:space="0" w:color="auto"/>
        <w:left w:val="none" w:sz="0" w:space="0" w:color="auto"/>
        <w:bottom w:val="none" w:sz="0" w:space="0" w:color="auto"/>
        <w:right w:val="none" w:sz="0" w:space="0" w:color="auto"/>
      </w:divBdr>
    </w:div>
    <w:div w:id="1122649382">
      <w:bodyDiv w:val="1"/>
      <w:marLeft w:val="0"/>
      <w:marRight w:val="0"/>
      <w:marTop w:val="0"/>
      <w:marBottom w:val="0"/>
      <w:divBdr>
        <w:top w:val="none" w:sz="0" w:space="0" w:color="auto"/>
        <w:left w:val="none" w:sz="0" w:space="0" w:color="auto"/>
        <w:bottom w:val="none" w:sz="0" w:space="0" w:color="auto"/>
        <w:right w:val="none" w:sz="0" w:space="0" w:color="auto"/>
      </w:divBdr>
    </w:div>
    <w:div w:id="1122698119">
      <w:bodyDiv w:val="1"/>
      <w:marLeft w:val="0"/>
      <w:marRight w:val="0"/>
      <w:marTop w:val="0"/>
      <w:marBottom w:val="0"/>
      <w:divBdr>
        <w:top w:val="none" w:sz="0" w:space="0" w:color="auto"/>
        <w:left w:val="none" w:sz="0" w:space="0" w:color="auto"/>
        <w:bottom w:val="none" w:sz="0" w:space="0" w:color="auto"/>
        <w:right w:val="none" w:sz="0" w:space="0" w:color="auto"/>
      </w:divBdr>
    </w:div>
    <w:div w:id="1122847748">
      <w:bodyDiv w:val="1"/>
      <w:marLeft w:val="0"/>
      <w:marRight w:val="0"/>
      <w:marTop w:val="0"/>
      <w:marBottom w:val="0"/>
      <w:divBdr>
        <w:top w:val="none" w:sz="0" w:space="0" w:color="auto"/>
        <w:left w:val="none" w:sz="0" w:space="0" w:color="auto"/>
        <w:bottom w:val="none" w:sz="0" w:space="0" w:color="auto"/>
        <w:right w:val="none" w:sz="0" w:space="0" w:color="auto"/>
      </w:divBdr>
    </w:div>
    <w:div w:id="1122967567">
      <w:bodyDiv w:val="1"/>
      <w:marLeft w:val="0"/>
      <w:marRight w:val="0"/>
      <w:marTop w:val="0"/>
      <w:marBottom w:val="0"/>
      <w:divBdr>
        <w:top w:val="none" w:sz="0" w:space="0" w:color="auto"/>
        <w:left w:val="none" w:sz="0" w:space="0" w:color="auto"/>
        <w:bottom w:val="none" w:sz="0" w:space="0" w:color="auto"/>
        <w:right w:val="none" w:sz="0" w:space="0" w:color="auto"/>
      </w:divBdr>
    </w:div>
    <w:div w:id="1123378952">
      <w:bodyDiv w:val="1"/>
      <w:marLeft w:val="0"/>
      <w:marRight w:val="0"/>
      <w:marTop w:val="0"/>
      <w:marBottom w:val="0"/>
      <w:divBdr>
        <w:top w:val="none" w:sz="0" w:space="0" w:color="auto"/>
        <w:left w:val="none" w:sz="0" w:space="0" w:color="auto"/>
        <w:bottom w:val="none" w:sz="0" w:space="0" w:color="auto"/>
        <w:right w:val="none" w:sz="0" w:space="0" w:color="auto"/>
      </w:divBdr>
    </w:div>
    <w:div w:id="1123578565">
      <w:bodyDiv w:val="1"/>
      <w:marLeft w:val="0"/>
      <w:marRight w:val="0"/>
      <w:marTop w:val="0"/>
      <w:marBottom w:val="0"/>
      <w:divBdr>
        <w:top w:val="none" w:sz="0" w:space="0" w:color="auto"/>
        <w:left w:val="none" w:sz="0" w:space="0" w:color="auto"/>
        <w:bottom w:val="none" w:sz="0" w:space="0" w:color="auto"/>
        <w:right w:val="none" w:sz="0" w:space="0" w:color="auto"/>
      </w:divBdr>
    </w:div>
    <w:div w:id="1124226952">
      <w:bodyDiv w:val="1"/>
      <w:marLeft w:val="0"/>
      <w:marRight w:val="0"/>
      <w:marTop w:val="0"/>
      <w:marBottom w:val="0"/>
      <w:divBdr>
        <w:top w:val="none" w:sz="0" w:space="0" w:color="auto"/>
        <w:left w:val="none" w:sz="0" w:space="0" w:color="auto"/>
        <w:bottom w:val="none" w:sz="0" w:space="0" w:color="auto"/>
        <w:right w:val="none" w:sz="0" w:space="0" w:color="auto"/>
      </w:divBdr>
    </w:div>
    <w:div w:id="1124890522">
      <w:bodyDiv w:val="1"/>
      <w:marLeft w:val="0"/>
      <w:marRight w:val="0"/>
      <w:marTop w:val="0"/>
      <w:marBottom w:val="0"/>
      <w:divBdr>
        <w:top w:val="none" w:sz="0" w:space="0" w:color="auto"/>
        <w:left w:val="none" w:sz="0" w:space="0" w:color="auto"/>
        <w:bottom w:val="none" w:sz="0" w:space="0" w:color="auto"/>
        <w:right w:val="none" w:sz="0" w:space="0" w:color="auto"/>
      </w:divBdr>
    </w:div>
    <w:div w:id="1124930735">
      <w:bodyDiv w:val="1"/>
      <w:marLeft w:val="0"/>
      <w:marRight w:val="0"/>
      <w:marTop w:val="0"/>
      <w:marBottom w:val="0"/>
      <w:divBdr>
        <w:top w:val="none" w:sz="0" w:space="0" w:color="auto"/>
        <w:left w:val="none" w:sz="0" w:space="0" w:color="auto"/>
        <w:bottom w:val="none" w:sz="0" w:space="0" w:color="auto"/>
        <w:right w:val="none" w:sz="0" w:space="0" w:color="auto"/>
      </w:divBdr>
    </w:div>
    <w:div w:id="1125275919">
      <w:bodyDiv w:val="1"/>
      <w:marLeft w:val="0"/>
      <w:marRight w:val="0"/>
      <w:marTop w:val="0"/>
      <w:marBottom w:val="0"/>
      <w:divBdr>
        <w:top w:val="none" w:sz="0" w:space="0" w:color="auto"/>
        <w:left w:val="none" w:sz="0" w:space="0" w:color="auto"/>
        <w:bottom w:val="none" w:sz="0" w:space="0" w:color="auto"/>
        <w:right w:val="none" w:sz="0" w:space="0" w:color="auto"/>
      </w:divBdr>
    </w:div>
    <w:div w:id="1125466761">
      <w:bodyDiv w:val="1"/>
      <w:marLeft w:val="0"/>
      <w:marRight w:val="0"/>
      <w:marTop w:val="0"/>
      <w:marBottom w:val="0"/>
      <w:divBdr>
        <w:top w:val="none" w:sz="0" w:space="0" w:color="auto"/>
        <w:left w:val="none" w:sz="0" w:space="0" w:color="auto"/>
        <w:bottom w:val="none" w:sz="0" w:space="0" w:color="auto"/>
        <w:right w:val="none" w:sz="0" w:space="0" w:color="auto"/>
      </w:divBdr>
    </w:div>
    <w:div w:id="1125585781">
      <w:bodyDiv w:val="1"/>
      <w:marLeft w:val="0"/>
      <w:marRight w:val="0"/>
      <w:marTop w:val="0"/>
      <w:marBottom w:val="0"/>
      <w:divBdr>
        <w:top w:val="none" w:sz="0" w:space="0" w:color="auto"/>
        <w:left w:val="none" w:sz="0" w:space="0" w:color="auto"/>
        <w:bottom w:val="none" w:sz="0" w:space="0" w:color="auto"/>
        <w:right w:val="none" w:sz="0" w:space="0" w:color="auto"/>
      </w:divBdr>
    </w:div>
    <w:div w:id="1125655854">
      <w:bodyDiv w:val="1"/>
      <w:marLeft w:val="0"/>
      <w:marRight w:val="0"/>
      <w:marTop w:val="0"/>
      <w:marBottom w:val="0"/>
      <w:divBdr>
        <w:top w:val="none" w:sz="0" w:space="0" w:color="auto"/>
        <w:left w:val="none" w:sz="0" w:space="0" w:color="auto"/>
        <w:bottom w:val="none" w:sz="0" w:space="0" w:color="auto"/>
        <w:right w:val="none" w:sz="0" w:space="0" w:color="auto"/>
      </w:divBdr>
    </w:div>
    <w:div w:id="1126197640">
      <w:bodyDiv w:val="1"/>
      <w:marLeft w:val="0"/>
      <w:marRight w:val="0"/>
      <w:marTop w:val="0"/>
      <w:marBottom w:val="0"/>
      <w:divBdr>
        <w:top w:val="none" w:sz="0" w:space="0" w:color="auto"/>
        <w:left w:val="none" w:sz="0" w:space="0" w:color="auto"/>
        <w:bottom w:val="none" w:sz="0" w:space="0" w:color="auto"/>
        <w:right w:val="none" w:sz="0" w:space="0" w:color="auto"/>
      </w:divBdr>
    </w:div>
    <w:div w:id="1127045301">
      <w:bodyDiv w:val="1"/>
      <w:marLeft w:val="0"/>
      <w:marRight w:val="0"/>
      <w:marTop w:val="0"/>
      <w:marBottom w:val="0"/>
      <w:divBdr>
        <w:top w:val="none" w:sz="0" w:space="0" w:color="auto"/>
        <w:left w:val="none" w:sz="0" w:space="0" w:color="auto"/>
        <w:bottom w:val="none" w:sz="0" w:space="0" w:color="auto"/>
        <w:right w:val="none" w:sz="0" w:space="0" w:color="auto"/>
      </w:divBdr>
    </w:div>
    <w:div w:id="1127046937">
      <w:bodyDiv w:val="1"/>
      <w:marLeft w:val="0"/>
      <w:marRight w:val="0"/>
      <w:marTop w:val="0"/>
      <w:marBottom w:val="0"/>
      <w:divBdr>
        <w:top w:val="none" w:sz="0" w:space="0" w:color="auto"/>
        <w:left w:val="none" w:sz="0" w:space="0" w:color="auto"/>
        <w:bottom w:val="none" w:sz="0" w:space="0" w:color="auto"/>
        <w:right w:val="none" w:sz="0" w:space="0" w:color="auto"/>
      </w:divBdr>
    </w:div>
    <w:div w:id="1127309276">
      <w:bodyDiv w:val="1"/>
      <w:marLeft w:val="0"/>
      <w:marRight w:val="0"/>
      <w:marTop w:val="0"/>
      <w:marBottom w:val="0"/>
      <w:divBdr>
        <w:top w:val="none" w:sz="0" w:space="0" w:color="auto"/>
        <w:left w:val="none" w:sz="0" w:space="0" w:color="auto"/>
        <w:bottom w:val="none" w:sz="0" w:space="0" w:color="auto"/>
        <w:right w:val="none" w:sz="0" w:space="0" w:color="auto"/>
      </w:divBdr>
    </w:div>
    <w:div w:id="1128669203">
      <w:bodyDiv w:val="1"/>
      <w:marLeft w:val="0"/>
      <w:marRight w:val="0"/>
      <w:marTop w:val="0"/>
      <w:marBottom w:val="0"/>
      <w:divBdr>
        <w:top w:val="none" w:sz="0" w:space="0" w:color="auto"/>
        <w:left w:val="none" w:sz="0" w:space="0" w:color="auto"/>
        <w:bottom w:val="none" w:sz="0" w:space="0" w:color="auto"/>
        <w:right w:val="none" w:sz="0" w:space="0" w:color="auto"/>
      </w:divBdr>
    </w:div>
    <w:div w:id="1128935931">
      <w:bodyDiv w:val="1"/>
      <w:marLeft w:val="0"/>
      <w:marRight w:val="0"/>
      <w:marTop w:val="0"/>
      <w:marBottom w:val="0"/>
      <w:divBdr>
        <w:top w:val="none" w:sz="0" w:space="0" w:color="auto"/>
        <w:left w:val="none" w:sz="0" w:space="0" w:color="auto"/>
        <w:bottom w:val="none" w:sz="0" w:space="0" w:color="auto"/>
        <w:right w:val="none" w:sz="0" w:space="0" w:color="auto"/>
      </w:divBdr>
    </w:div>
    <w:div w:id="1129085918">
      <w:bodyDiv w:val="1"/>
      <w:marLeft w:val="0"/>
      <w:marRight w:val="0"/>
      <w:marTop w:val="0"/>
      <w:marBottom w:val="0"/>
      <w:divBdr>
        <w:top w:val="none" w:sz="0" w:space="0" w:color="auto"/>
        <w:left w:val="none" w:sz="0" w:space="0" w:color="auto"/>
        <w:bottom w:val="none" w:sz="0" w:space="0" w:color="auto"/>
        <w:right w:val="none" w:sz="0" w:space="0" w:color="auto"/>
      </w:divBdr>
    </w:div>
    <w:div w:id="1129663910">
      <w:bodyDiv w:val="1"/>
      <w:marLeft w:val="0"/>
      <w:marRight w:val="0"/>
      <w:marTop w:val="0"/>
      <w:marBottom w:val="0"/>
      <w:divBdr>
        <w:top w:val="none" w:sz="0" w:space="0" w:color="auto"/>
        <w:left w:val="none" w:sz="0" w:space="0" w:color="auto"/>
        <w:bottom w:val="none" w:sz="0" w:space="0" w:color="auto"/>
        <w:right w:val="none" w:sz="0" w:space="0" w:color="auto"/>
      </w:divBdr>
    </w:div>
    <w:div w:id="1129737995">
      <w:bodyDiv w:val="1"/>
      <w:marLeft w:val="0"/>
      <w:marRight w:val="0"/>
      <w:marTop w:val="0"/>
      <w:marBottom w:val="0"/>
      <w:divBdr>
        <w:top w:val="none" w:sz="0" w:space="0" w:color="auto"/>
        <w:left w:val="none" w:sz="0" w:space="0" w:color="auto"/>
        <w:bottom w:val="none" w:sz="0" w:space="0" w:color="auto"/>
        <w:right w:val="none" w:sz="0" w:space="0" w:color="auto"/>
      </w:divBdr>
    </w:div>
    <w:div w:id="1129933179">
      <w:bodyDiv w:val="1"/>
      <w:marLeft w:val="0"/>
      <w:marRight w:val="0"/>
      <w:marTop w:val="0"/>
      <w:marBottom w:val="0"/>
      <w:divBdr>
        <w:top w:val="none" w:sz="0" w:space="0" w:color="auto"/>
        <w:left w:val="none" w:sz="0" w:space="0" w:color="auto"/>
        <w:bottom w:val="none" w:sz="0" w:space="0" w:color="auto"/>
        <w:right w:val="none" w:sz="0" w:space="0" w:color="auto"/>
      </w:divBdr>
    </w:div>
    <w:div w:id="1130241527">
      <w:bodyDiv w:val="1"/>
      <w:marLeft w:val="0"/>
      <w:marRight w:val="0"/>
      <w:marTop w:val="0"/>
      <w:marBottom w:val="0"/>
      <w:divBdr>
        <w:top w:val="none" w:sz="0" w:space="0" w:color="auto"/>
        <w:left w:val="none" w:sz="0" w:space="0" w:color="auto"/>
        <w:bottom w:val="none" w:sz="0" w:space="0" w:color="auto"/>
        <w:right w:val="none" w:sz="0" w:space="0" w:color="auto"/>
      </w:divBdr>
    </w:div>
    <w:div w:id="1130245542">
      <w:bodyDiv w:val="1"/>
      <w:marLeft w:val="0"/>
      <w:marRight w:val="0"/>
      <w:marTop w:val="0"/>
      <w:marBottom w:val="0"/>
      <w:divBdr>
        <w:top w:val="none" w:sz="0" w:space="0" w:color="auto"/>
        <w:left w:val="none" w:sz="0" w:space="0" w:color="auto"/>
        <w:bottom w:val="none" w:sz="0" w:space="0" w:color="auto"/>
        <w:right w:val="none" w:sz="0" w:space="0" w:color="auto"/>
      </w:divBdr>
    </w:div>
    <w:div w:id="1130434803">
      <w:bodyDiv w:val="1"/>
      <w:marLeft w:val="0"/>
      <w:marRight w:val="0"/>
      <w:marTop w:val="0"/>
      <w:marBottom w:val="0"/>
      <w:divBdr>
        <w:top w:val="none" w:sz="0" w:space="0" w:color="auto"/>
        <w:left w:val="none" w:sz="0" w:space="0" w:color="auto"/>
        <w:bottom w:val="none" w:sz="0" w:space="0" w:color="auto"/>
        <w:right w:val="none" w:sz="0" w:space="0" w:color="auto"/>
      </w:divBdr>
    </w:div>
    <w:div w:id="1130586222">
      <w:bodyDiv w:val="1"/>
      <w:marLeft w:val="0"/>
      <w:marRight w:val="0"/>
      <w:marTop w:val="0"/>
      <w:marBottom w:val="0"/>
      <w:divBdr>
        <w:top w:val="none" w:sz="0" w:space="0" w:color="auto"/>
        <w:left w:val="none" w:sz="0" w:space="0" w:color="auto"/>
        <w:bottom w:val="none" w:sz="0" w:space="0" w:color="auto"/>
        <w:right w:val="none" w:sz="0" w:space="0" w:color="auto"/>
      </w:divBdr>
    </w:div>
    <w:div w:id="1130588826">
      <w:bodyDiv w:val="1"/>
      <w:marLeft w:val="0"/>
      <w:marRight w:val="0"/>
      <w:marTop w:val="0"/>
      <w:marBottom w:val="0"/>
      <w:divBdr>
        <w:top w:val="none" w:sz="0" w:space="0" w:color="auto"/>
        <w:left w:val="none" w:sz="0" w:space="0" w:color="auto"/>
        <w:bottom w:val="none" w:sz="0" w:space="0" w:color="auto"/>
        <w:right w:val="none" w:sz="0" w:space="0" w:color="auto"/>
      </w:divBdr>
    </w:div>
    <w:div w:id="1130589381">
      <w:bodyDiv w:val="1"/>
      <w:marLeft w:val="0"/>
      <w:marRight w:val="0"/>
      <w:marTop w:val="0"/>
      <w:marBottom w:val="0"/>
      <w:divBdr>
        <w:top w:val="none" w:sz="0" w:space="0" w:color="auto"/>
        <w:left w:val="none" w:sz="0" w:space="0" w:color="auto"/>
        <w:bottom w:val="none" w:sz="0" w:space="0" w:color="auto"/>
        <w:right w:val="none" w:sz="0" w:space="0" w:color="auto"/>
      </w:divBdr>
    </w:div>
    <w:div w:id="1130781142">
      <w:bodyDiv w:val="1"/>
      <w:marLeft w:val="0"/>
      <w:marRight w:val="0"/>
      <w:marTop w:val="0"/>
      <w:marBottom w:val="0"/>
      <w:divBdr>
        <w:top w:val="none" w:sz="0" w:space="0" w:color="auto"/>
        <w:left w:val="none" w:sz="0" w:space="0" w:color="auto"/>
        <w:bottom w:val="none" w:sz="0" w:space="0" w:color="auto"/>
        <w:right w:val="none" w:sz="0" w:space="0" w:color="auto"/>
      </w:divBdr>
    </w:div>
    <w:div w:id="1131090355">
      <w:bodyDiv w:val="1"/>
      <w:marLeft w:val="0"/>
      <w:marRight w:val="0"/>
      <w:marTop w:val="0"/>
      <w:marBottom w:val="0"/>
      <w:divBdr>
        <w:top w:val="none" w:sz="0" w:space="0" w:color="auto"/>
        <w:left w:val="none" w:sz="0" w:space="0" w:color="auto"/>
        <w:bottom w:val="none" w:sz="0" w:space="0" w:color="auto"/>
        <w:right w:val="none" w:sz="0" w:space="0" w:color="auto"/>
      </w:divBdr>
    </w:div>
    <w:div w:id="1131095024">
      <w:bodyDiv w:val="1"/>
      <w:marLeft w:val="0"/>
      <w:marRight w:val="0"/>
      <w:marTop w:val="0"/>
      <w:marBottom w:val="0"/>
      <w:divBdr>
        <w:top w:val="none" w:sz="0" w:space="0" w:color="auto"/>
        <w:left w:val="none" w:sz="0" w:space="0" w:color="auto"/>
        <w:bottom w:val="none" w:sz="0" w:space="0" w:color="auto"/>
        <w:right w:val="none" w:sz="0" w:space="0" w:color="auto"/>
      </w:divBdr>
    </w:div>
    <w:div w:id="1131170427">
      <w:bodyDiv w:val="1"/>
      <w:marLeft w:val="0"/>
      <w:marRight w:val="0"/>
      <w:marTop w:val="0"/>
      <w:marBottom w:val="0"/>
      <w:divBdr>
        <w:top w:val="none" w:sz="0" w:space="0" w:color="auto"/>
        <w:left w:val="none" w:sz="0" w:space="0" w:color="auto"/>
        <w:bottom w:val="none" w:sz="0" w:space="0" w:color="auto"/>
        <w:right w:val="none" w:sz="0" w:space="0" w:color="auto"/>
      </w:divBdr>
    </w:div>
    <w:div w:id="1131365742">
      <w:bodyDiv w:val="1"/>
      <w:marLeft w:val="0"/>
      <w:marRight w:val="0"/>
      <w:marTop w:val="0"/>
      <w:marBottom w:val="0"/>
      <w:divBdr>
        <w:top w:val="none" w:sz="0" w:space="0" w:color="auto"/>
        <w:left w:val="none" w:sz="0" w:space="0" w:color="auto"/>
        <w:bottom w:val="none" w:sz="0" w:space="0" w:color="auto"/>
        <w:right w:val="none" w:sz="0" w:space="0" w:color="auto"/>
      </w:divBdr>
    </w:div>
    <w:div w:id="1131634738">
      <w:bodyDiv w:val="1"/>
      <w:marLeft w:val="0"/>
      <w:marRight w:val="0"/>
      <w:marTop w:val="0"/>
      <w:marBottom w:val="0"/>
      <w:divBdr>
        <w:top w:val="none" w:sz="0" w:space="0" w:color="auto"/>
        <w:left w:val="none" w:sz="0" w:space="0" w:color="auto"/>
        <w:bottom w:val="none" w:sz="0" w:space="0" w:color="auto"/>
        <w:right w:val="none" w:sz="0" w:space="0" w:color="auto"/>
      </w:divBdr>
    </w:div>
    <w:div w:id="1132403518">
      <w:bodyDiv w:val="1"/>
      <w:marLeft w:val="0"/>
      <w:marRight w:val="0"/>
      <w:marTop w:val="0"/>
      <w:marBottom w:val="0"/>
      <w:divBdr>
        <w:top w:val="none" w:sz="0" w:space="0" w:color="auto"/>
        <w:left w:val="none" w:sz="0" w:space="0" w:color="auto"/>
        <w:bottom w:val="none" w:sz="0" w:space="0" w:color="auto"/>
        <w:right w:val="none" w:sz="0" w:space="0" w:color="auto"/>
      </w:divBdr>
    </w:div>
    <w:div w:id="1132678503">
      <w:bodyDiv w:val="1"/>
      <w:marLeft w:val="0"/>
      <w:marRight w:val="0"/>
      <w:marTop w:val="0"/>
      <w:marBottom w:val="0"/>
      <w:divBdr>
        <w:top w:val="none" w:sz="0" w:space="0" w:color="auto"/>
        <w:left w:val="none" w:sz="0" w:space="0" w:color="auto"/>
        <w:bottom w:val="none" w:sz="0" w:space="0" w:color="auto"/>
        <w:right w:val="none" w:sz="0" w:space="0" w:color="auto"/>
      </w:divBdr>
    </w:div>
    <w:div w:id="1132792673">
      <w:bodyDiv w:val="1"/>
      <w:marLeft w:val="0"/>
      <w:marRight w:val="0"/>
      <w:marTop w:val="0"/>
      <w:marBottom w:val="0"/>
      <w:divBdr>
        <w:top w:val="none" w:sz="0" w:space="0" w:color="auto"/>
        <w:left w:val="none" w:sz="0" w:space="0" w:color="auto"/>
        <w:bottom w:val="none" w:sz="0" w:space="0" w:color="auto"/>
        <w:right w:val="none" w:sz="0" w:space="0" w:color="auto"/>
      </w:divBdr>
    </w:div>
    <w:div w:id="1132867294">
      <w:bodyDiv w:val="1"/>
      <w:marLeft w:val="0"/>
      <w:marRight w:val="0"/>
      <w:marTop w:val="0"/>
      <w:marBottom w:val="0"/>
      <w:divBdr>
        <w:top w:val="none" w:sz="0" w:space="0" w:color="auto"/>
        <w:left w:val="none" w:sz="0" w:space="0" w:color="auto"/>
        <w:bottom w:val="none" w:sz="0" w:space="0" w:color="auto"/>
        <w:right w:val="none" w:sz="0" w:space="0" w:color="auto"/>
      </w:divBdr>
    </w:div>
    <w:div w:id="1133056762">
      <w:bodyDiv w:val="1"/>
      <w:marLeft w:val="0"/>
      <w:marRight w:val="0"/>
      <w:marTop w:val="0"/>
      <w:marBottom w:val="0"/>
      <w:divBdr>
        <w:top w:val="none" w:sz="0" w:space="0" w:color="auto"/>
        <w:left w:val="none" w:sz="0" w:space="0" w:color="auto"/>
        <w:bottom w:val="none" w:sz="0" w:space="0" w:color="auto"/>
        <w:right w:val="none" w:sz="0" w:space="0" w:color="auto"/>
      </w:divBdr>
    </w:div>
    <w:div w:id="1134329730">
      <w:bodyDiv w:val="1"/>
      <w:marLeft w:val="0"/>
      <w:marRight w:val="0"/>
      <w:marTop w:val="0"/>
      <w:marBottom w:val="0"/>
      <w:divBdr>
        <w:top w:val="none" w:sz="0" w:space="0" w:color="auto"/>
        <w:left w:val="none" w:sz="0" w:space="0" w:color="auto"/>
        <w:bottom w:val="none" w:sz="0" w:space="0" w:color="auto"/>
        <w:right w:val="none" w:sz="0" w:space="0" w:color="auto"/>
      </w:divBdr>
    </w:div>
    <w:div w:id="1134447328">
      <w:bodyDiv w:val="1"/>
      <w:marLeft w:val="0"/>
      <w:marRight w:val="0"/>
      <w:marTop w:val="0"/>
      <w:marBottom w:val="0"/>
      <w:divBdr>
        <w:top w:val="none" w:sz="0" w:space="0" w:color="auto"/>
        <w:left w:val="none" w:sz="0" w:space="0" w:color="auto"/>
        <w:bottom w:val="none" w:sz="0" w:space="0" w:color="auto"/>
        <w:right w:val="none" w:sz="0" w:space="0" w:color="auto"/>
      </w:divBdr>
    </w:div>
    <w:div w:id="1134759323">
      <w:bodyDiv w:val="1"/>
      <w:marLeft w:val="0"/>
      <w:marRight w:val="0"/>
      <w:marTop w:val="0"/>
      <w:marBottom w:val="0"/>
      <w:divBdr>
        <w:top w:val="none" w:sz="0" w:space="0" w:color="auto"/>
        <w:left w:val="none" w:sz="0" w:space="0" w:color="auto"/>
        <w:bottom w:val="none" w:sz="0" w:space="0" w:color="auto"/>
        <w:right w:val="none" w:sz="0" w:space="0" w:color="auto"/>
      </w:divBdr>
    </w:div>
    <w:div w:id="1134832305">
      <w:bodyDiv w:val="1"/>
      <w:marLeft w:val="0"/>
      <w:marRight w:val="0"/>
      <w:marTop w:val="0"/>
      <w:marBottom w:val="0"/>
      <w:divBdr>
        <w:top w:val="none" w:sz="0" w:space="0" w:color="auto"/>
        <w:left w:val="none" w:sz="0" w:space="0" w:color="auto"/>
        <w:bottom w:val="none" w:sz="0" w:space="0" w:color="auto"/>
        <w:right w:val="none" w:sz="0" w:space="0" w:color="auto"/>
      </w:divBdr>
    </w:div>
    <w:div w:id="1135374708">
      <w:bodyDiv w:val="1"/>
      <w:marLeft w:val="0"/>
      <w:marRight w:val="0"/>
      <w:marTop w:val="0"/>
      <w:marBottom w:val="0"/>
      <w:divBdr>
        <w:top w:val="none" w:sz="0" w:space="0" w:color="auto"/>
        <w:left w:val="none" w:sz="0" w:space="0" w:color="auto"/>
        <w:bottom w:val="none" w:sz="0" w:space="0" w:color="auto"/>
        <w:right w:val="none" w:sz="0" w:space="0" w:color="auto"/>
      </w:divBdr>
    </w:div>
    <w:div w:id="1136679514">
      <w:bodyDiv w:val="1"/>
      <w:marLeft w:val="0"/>
      <w:marRight w:val="0"/>
      <w:marTop w:val="0"/>
      <w:marBottom w:val="0"/>
      <w:divBdr>
        <w:top w:val="none" w:sz="0" w:space="0" w:color="auto"/>
        <w:left w:val="none" w:sz="0" w:space="0" w:color="auto"/>
        <w:bottom w:val="none" w:sz="0" w:space="0" w:color="auto"/>
        <w:right w:val="none" w:sz="0" w:space="0" w:color="auto"/>
      </w:divBdr>
    </w:div>
    <w:div w:id="1136723375">
      <w:bodyDiv w:val="1"/>
      <w:marLeft w:val="0"/>
      <w:marRight w:val="0"/>
      <w:marTop w:val="0"/>
      <w:marBottom w:val="0"/>
      <w:divBdr>
        <w:top w:val="none" w:sz="0" w:space="0" w:color="auto"/>
        <w:left w:val="none" w:sz="0" w:space="0" w:color="auto"/>
        <w:bottom w:val="none" w:sz="0" w:space="0" w:color="auto"/>
        <w:right w:val="none" w:sz="0" w:space="0" w:color="auto"/>
      </w:divBdr>
    </w:div>
    <w:div w:id="1137993257">
      <w:bodyDiv w:val="1"/>
      <w:marLeft w:val="0"/>
      <w:marRight w:val="0"/>
      <w:marTop w:val="0"/>
      <w:marBottom w:val="0"/>
      <w:divBdr>
        <w:top w:val="none" w:sz="0" w:space="0" w:color="auto"/>
        <w:left w:val="none" w:sz="0" w:space="0" w:color="auto"/>
        <w:bottom w:val="none" w:sz="0" w:space="0" w:color="auto"/>
        <w:right w:val="none" w:sz="0" w:space="0" w:color="auto"/>
      </w:divBdr>
    </w:div>
    <w:div w:id="1138569182">
      <w:bodyDiv w:val="1"/>
      <w:marLeft w:val="0"/>
      <w:marRight w:val="0"/>
      <w:marTop w:val="0"/>
      <w:marBottom w:val="0"/>
      <w:divBdr>
        <w:top w:val="none" w:sz="0" w:space="0" w:color="auto"/>
        <w:left w:val="none" w:sz="0" w:space="0" w:color="auto"/>
        <w:bottom w:val="none" w:sz="0" w:space="0" w:color="auto"/>
        <w:right w:val="none" w:sz="0" w:space="0" w:color="auto"/>
      </w:divBdr>
    </w:div>
    <w:div w:id="1138764629">
      <w:bodyDiv w:val="1"/>
      <w:marLeft w:val="0"/>
      <w:marRight w:val="0"/>
      <w:marTop w:val="0"/>
      <w:marBottom w:val="0"/>
      <w:divBdr>
        <w:top w:val="none" w:sz="0" w:space="0" w:color="auto"/>
        <w:left w:val="none" w:sz="0" w:space="0" w:color="auto"/>
        <w:bottom w:val="none" w:sz="0" w:space="0" w:color="auto"/>
        <w:right w:val="none" w:sz="0" w:space="0" w:color="auto"/>
      </w:divBdr>
    </w:div>
    <w:div w:id="1139496992">
      <w:bodyDiv w:val="1"/>
      <w:marLeft w:val="0"/>
      <w:marRight w:val="0"/>
      <w:marTop w:val="0"/>
      <w:marBottom w:val="0"/>
      <w:divBdr>
        <w:top w:val="none" w:sz="0" w:space="0" w:color="auto"/>
        <w:left w:val="none" w:sz="0" w:space="0" w:color="auto"/>
        <w:bottom w:val="none" w:sz="0" w:space="0" w:color="auto"/>
        <w:right w:val="none" w:sz="0" w:space="0" w:color="auto"/>
      </w:divBdr>
    </w:div>
    <w:div w:id="1139690130">
      <w:bodyDiv w:val="1"/>
      <w:marLeft w:val="0"/>
      <w:marRight w:val="0"/>
      <w:marTop w:val="0"/>
      <w:marBottom w:val="0"/>
      <w:divBdr>
        <w:top w:val="none" w:sz="0" w:space="0" w:color="auto"/>
        <w:left w:val="none" w:sz="0" w:space="0" w:color="auto"/>
        <w:bottom w:val="none" w:sz="0" w:space="0" w:color="auto"/>
        <w:right w:val="none" w:sz="0" w:space="0" w:color="auto"/>
      </w:divBdr>
    </w:div>
    <w:div w:id="1139956672">
      <w:bodyDiv w:val="1"/>
      <w:marLeft w:val="0"/>
      <w:marRight w:val="0"/>
      <w:marTop w:val="0"/>
      <w:marBottom w:val="0"/>
      <w:divBdr>
        <w:top w:val="none" w:sz="0" w:space="0" w:color="auto"/>
        <w:left w:val="none" w:sz="0" w:space="0" w:color="auto"/>
        <w:bottom w:val="none" w:sz="0" w:space="0" w:color="auto"/>
        <w:right w:val="none" w:sz="0" w:space="0" w:color="auto"/>
      </w:divBdr>
    </w:div>
    <w:div w:id="1139959661">
      <w:bodyDiv w:val="1"/>
      <w:marLeft w:val="0"/>
      <w:marRight w:val="0"/>
      <w:marTop w:val="0"/>
      <w:marBottom w:val="0"/>
      <w:divBdr>
        <w:top w:val="none" w:sz="0" w:space="0" w:color="auto"/>
        <w:left w:val="none" w:sz="0" w:space="0" w:color="auto"/>
        <w:bottom w:val="none" w:sz="0" w:space="0" w:color="auto"/>
        <w:right w:val="none" w:sz="0" w:space="0" w:color="auto"/>
      </w:divBdr>
    </w:div>
    <w:div w:id="1140225253">
      <w:bodyDiv w:val="1"/>
      <w:marLeft w:val="0"/>
      <w:marRight w:val="0"/>
      <w:marTop w:val="0"/>
      <w:marBottom w:val="0"/>
      <w:divBdr>
        <w:top w:val="none" w:sz="0" w:space="0" w:color="auto"/>
        <w:left w:val="none" w:sz="0" w:space="0" w:color="auto"/>
        <w:bottom w:val="none" w:sz="0" w:space="0" w:color="auto"/>
        <w:right w:val="none" w:sz="0" w:space="0" w:color="auto"/>
      </w:divBdr>
    </w:div>
    <w:div w:id="1140268570">
      <w:bodyDiv w:val="1"/>
      <w:marLeft w:val="0"/>
      <w:marRight w:val="0"/>
      <w:marTop w:val="0"/>
      <w:marBottom w:val="0"/>
      <w:divBdr>
        <w:top w:val="none" w:sz="0" w:space="0" w:color="auto"/>
        <w:left w:val="none" w:sz="0" w:space="0" w:color="auto"/>
        <w:bottom w:val="none" w:sz="0" w:space="0" w:color="auto"/>
        <w:right w:val="none" w:sz="0" w:space="0" w:color="auto"/>
      </w:divBdr>
    </w:div>
    <w:div w:id="1141312464">
      <w:bodyDiv w:val="1"/>
      <w:marLeft w:val="0"/>
      <w:marRight w:val="0"/>
      <w:marTop w:val="0"/>
      <w:marBottom w:val="0"/>
      <w:divBdr>
        <w:top w:val="none" w:sz="0" w:space="0" w:color="auto"/>
        <w:left w:val="none" w:sz="0" w:space="0" w:color="auto"/>
        <w:bottom w:val="none" w:sz="0" w:space="0" w:color="auto"/>
        <w:right w:val="none" w:sz="0" w:space="0" w:color="auto"/>
      </w:divBdr>
    </w:div>
    <w:div w:id="1141381283">
      <w:bodyDiv w:val="1"/>
      <w:marLeft w:val="0"/>
      <w:marRight w:val="0"/>
      <w:marTop w:val="0"/>
      <w:marBottom w:val="0"/>
      <w:divBdr>
        <w:top w:val="none" w:sz="0" w:space="0" w:color="auto"/>
        <w:left w:val="none" w:sz="0" w:space="0" w:color="auto"/>
        <w:bottom w:val="none" w:sz="0" w:space="0" w:color="auto"/>
        <w:right w:val="none" w:sz="0" w:space="0" w:color="auto"/>
      </w:divBdr>
    </w:div>
    <w:div w:id="1141457637">
      <w:bodyDiv w:val="1"/>
      <w:marLeft w:val="0"/>
      <w:marRight w:val="0"/>
      <w:marTop w:val="0"/>
      <w:marBottom w:val="0"/>
      <w:divBdr>
        <w:top w:val="none" w:sz="0" w:space="0" w:color="auto"/>
        <w:left w:val="none" w:sz="0" w:space="0" w:color="auto"/>
        <w:bottom w:val="none" w:sz="0" w:space="0" w:color="auto"/>
        <w:right w:val="none" w:sz="0" w:space="0" w:color="auto"/>
      </w:divBdr>
    </w:div>
    <w:div w:id="1141577810">
      <w:bodyDiv w:val="1"/>
      <w:marLeft w:val="0"/>
      <w:marRight w:val="0"/>
      <w:marTop w:val="0"/>
      <w:marBottom w:val="0"/>
      <w:divBdr>
        <w:top w:val="none" w:sz="0" w:space="0" w:color="auto"/>
        <w:left w:val="none" w:sz="0" w:space="0" w:color="auto"/>
        <w:bottom w:val="none" w:sz="0" w:space="0" w:color="auto"/>
        <w:right w:val="none" w:sz="0" w:space="0" w:color="auto"/>
      </w:divBdr>
    </w:div>
    <w:div w:id="1142381491">
      <w:bodyDiv w:val="1"/>
      <w:marLeft w:val="0"/>
      <w:marRight w:val="0"/>
      <w:marTop w:val="0"/>
      <w:marBottom w:val="0"/>
      <w:divBdr>
        <w:top w:val="none" w:sz="0" w:space="0" w:color="auto"/>
        <w:left w:val="none" w:sz="0" w:space="0" w:color="auto"/>
        <w:bottom w:val="none" w:sz="0" w:space="0" w:color="auto"/>
        <w:right w:val="none" w:sz="0" w:space="0" w:color="auto"/>
      </w:divBdr>
    </w:div>
    <w:div w:id="1142506516">
      <w:bodyDiv w:val="1"/>
      <w:marLeft w:val="0"/>
      <w:marRight w:val="0"/>
      <w:marTop w:val="0"/>
      <w:marBottom w:val="0"/>
      <w:divBdr>
        <w:top w:val="none" w:sz="0" w:space="0" w:color="auto"/>
        <w:left w:val="none" w:sz="0" w:space="0" w:color="auto"/>
        <w:bottom w:val="none" w:sz="0" w:space="0" w:color="auto"/>
        <w:right w:val="none" w:sz="0" w:space="0" w:color="auto"/>
      </w:divBdr>
    </w:div>
    <w:div w:id="1142621986">
      <w:bodyDiv w:val="1"/>
      <w:marLeft w:val="0"/>
      <w:marRight w:val="0"/>
      <w:marTop w:val="0"/>
      <w:marBottom w:val="0"/>
      <w:divBdr>
        <w:top w:val="none" w:sz="0" w:space="0" w:color="auto"/>
        <w:left w:val="none" w:sz="0" w:space="0" w:color="auto"/>
        <w:bottom w:val="none" w:sz="0" w:space="0" w:color="auto"/>
        <w:right w:val="none" w:sz="0" w:space="0" w:color="auto"/>
      </w:divBdr>
    </w:div>
    <w:div w:id="1142699895">
      <w:bodyDiv w:val="1"/>
      <w:marLeft w:val="0"/>
      <w:marRight w:val="0"/>
      <w:marTop w:val="0"/>
      <w:marBottom w:val="0"/>
      <w:divBdr>
        <w:top w:val="none" w:sz="0" w:space="0" w:color="auto"/>
        <w:left w:val="none" w:sz="0" w:space="0" w:color="auto"/>
        <w:bottom w:val="none" w:sz="0" w:space="0" w:color="auto"/>
        <w:right w:val="none" w:sz="0" w:space="0" w:color="auto"/>
      </w:divBdr>
    </w:div>
    <w:div w:id="1143039857">
      <w:bodyDiv w:val="1"/>
      <w:marLeft w:val="0"/>
      <w:marRight w:val="0"/>
      <w:marTop w:val="0"/>
      <w:marBottom w:val="0"/>
      <w:divBdr>
        <w:top w:val="none" w:sz="0" w:space="0" w:color="auto"/>
        <w:left w:val="none" w:sz="0" w:space="0" w:color="auto"/>
        <w:bottom w:val="none" w:sz="0" w:space="0" w:color="auto"/>
        <w:right w:val="none" w:sz="0" w:space="0" w:color="auto"/>
      </w:divBdr>
    </w:div>
    <w:div w:id="1143545919">
      <w:bodyDiv w:val="1"/>
      <w:marLeft w:val="0"/>
      <w:marRight w:val="0"/>
      <w:marTop w:val="0"/>
      <w:marBottom w:val="0"/>
      <w:divBdr>
        <w:top w:val="none" w:sz="0" w:space="0" w:color="auto"/>
        <w:left w:val="none" w:sz="0" w:space="0" w:color="auto"/>
        <w:bottom w:val="none" w:sz="0" w:space="0" w:color="auto"/>
        <w:right w:val="none" w:sz="0" w:space="0" w:color="auto"/>
      </w:divBdr>
    </w:div>
    <w:div w:id="1143548380">
      <w:bodyDiv w:val="1"/>
      <w:marLeft w:val="0"/>
      <w:marRight w:val="0"/>
      <w:marTop w:val="0"/>
      <w:marBottom w:val="0"/>
      <w:divBdr>
        <w:top w:val="none" w:sz="0" w:space="0" w:color="auto"/>
        <w:left w:val="none" w:sz="0" w:space="0" w:color="auto"/>
        <w:bottom w:val="none" w:sz="0" w:space="0" w:color="auto"/>
        <w:right w:val="none" w:sz="0" w:space="0" w:color="auto"/>
      </w:divBdr>
    </w:div>
    <w:div w:id="1143618464">
      <w:bodyDiv w:val="1"/>
      <w:marLeft w:val="0"/>
      <w:marRight w:val="0"/>
      <w:marTop w:val="0"/>
      <w:marBottom w:val="0"/>
      <w:divBdr>
        <w:top w:val="none" w:sz="0" w:space="0" w:color="auto"/>
        <w:left w:val="none" w:sz="0" w:space="0" w:color="auto"/>
        <w:bottom w:val="none" w:sz="0" w:space="0" w:color="auto"/>
        <w:right w:val="none" w:sz="0" w:space="0" w:color="auto"/>
      </w:divBdr>
    </w:div>
    <w:div w:id="1144665459">
      <w:bodyDiv w:val="1"/>
      <w:marLeft w:val="0"/>
      <w:marRight w:val="0"/>
      <w:marTop w:val="0"/>
      <w:marBottom w:val="0"/>
      <w:divBdr>
        <w:top w:val="none" w:sz="0" w:space="0" w:color="auto"/>
        <w:left w:val="none" w:sz="0" w:space="0" w:color="auto"/>
        <w:bottom w:val="none" w:sz="0" w:space="0" w:color="auto"/>
        <w:right w:val="none" w:sz="0" w:space="0" w:color="auto"/>
      </w:divBdr>
    </w:div>
    <w:div w:id="1145005930">
      <w:bodyDiv w:val="1"/>
      <w:marLeft w:val="0"/>
      <w:marRight w:val="0"/>
      <w:marTop w:val="0"/>
      <w:marBottom w:val="0"/>
      <w:divBdr>
        <w:top w:val="none" w:sz="0" w:space="0" w:color="auto"/>
        <w:left w:val="none" w:sz="0" w:space="0" w:color="auto"/>
        <w:bottom w:val="none" w:sz="0" w:space="0" w:color="auto"/>
        <w:right w:val="none" w:sz="0" w:space="0" w:color="auto"/>
      </w:divBdr>
    </w:div>
    <w:div w:id="1145243497">
      <w:bodyDiv w:val="1"/>
      <w:marLeft w:val="0"/>
      <w:marRight w:val="0"/>
      <w:marTop w:val="0"/>
      <w:marBottom w:val="0"/>
      <w:divBdr>
        <w:top w:val="none" w:sz="0" w:space="0" w:color="auto"/>
        <w:left w:val="none" w:sz="0" w:space="0" w:color="auto"/>
        <w:bottom w:val="none" w:sz="0" w:space="0" w:color="auto"/>
        <w:right w:val="none" w:sz="0" w:space="0" w:color="auto"/>
      </w:divBdr>
    </w:div>
    <w:div w:id="1145388673">
      <w:bodyDiv w:val="1"/>
      <w:marLeft w:val="0"/>
      <w:marRight w:val="0"/>
      <w:marTop w:val="0"/>
      <w:marBottom w:val="0"/>
      <w:divBdr>
        <w:top w:val="none" w:sz="0" w:space="0" w:color="auto"/>
        <w:left w:val="none" w:sz="0" w:space="0" w:color="auto"/>
        <w:bottom w:val="none" w:sz="0" w:space="0" w:color="auto"/>
        <w:right w:val="none" w:sz="0" w:space="0" w:color="auto"/>
      </w:divBdr>
    </w:div>
    <w:div w:id="1145392876">
      <w:bodyDiv w:val="1"/>
      <w:marLeft w:val="0"/>
      <w:marRight w:val="0"/>
      <w:marTop w:val="0"/>
      <w:marBottom w:val="0"/>
      <w:divBdr>
        <w:top w:val="none" w:sz="0" w:space="0" w:color="auto"/>
        <w:left w:val="none" w:sz="0" w:space="0" w:color="auto"/>
        <w:bottom w:val="none" w:sz="0" w:space="0" w:color="auto"/>
        <w:right w:val="none" w:sz="0" w:space="0" w:color="auto"/>
      </w:divBdr>
    </w:div>
    <w:div w:id="1145466080">
      <w:bodyDiv w:val="1"/>
      <w:marLeft w:val="0"/>
      <w:marRight w:val="0"/>
      <w:marTop w:val="0"/>
      <w:marBottom w:val="0"/>
      <w:divBdr>
        <w:top w:val="none" w:sz="0" w:space="0" w:color="auto"/>
        <w:left w:val="none" w:sz="0" w:space="0" w:color="auto"/>
        <w:bottom w:val="none" w:sz="0" w:space="0" w:color="auto"/>
        <w:right w:val="none" w:sz="0" w:space="0" w:color="auto"/>
      </w:divBdr>
    </w:div>
    <w:div w:id="1145700513">
      <w:bodyDiv w:val="1"/>
      <w:marLeft w:val="0"/>
      <w:marRight w:val="0"/>
      <w:marTop w:val="0"/>
      <w:marBottom w:val="0"/>
      <w:divBdr>
        <w:top w:val="none" w:sz="0" w:space="0" w:color="auto"/>
        <w:left w:val="none" w:sz="0" w:space="0" w:color="auto"/>
        <w:bottom w:val="none" w:sz="0" w:space="0" w:color="auto"/>
        <w:right w:val="none" w:sz="0" w:space="0" w:color="auto"/>
      </w:divBdr>
    </w:div>
    <w:div w:id="1145701032">
      <w:bodyDiv w:val="1"/>
      <w:marLeft w:val="0"/>
      <w:marRight w:val="0"/>
      <w:marTop w:val="0"/>
      <w:marBottom w:val="0"/>
      <w:divBdr>
        <w:top w:val="none" w:sz="0" w:space="0" w:color="auto"/>
        <w:left w:val="none" w:sz="0" w:space="0" w:color="auto"/>
        <w:bottom w:val="none" w:sz="0" w:space="0" w:color="auto"/>
        <w:right w:val="none" w:sz="0" w:space="0" w:color="auto"/>
      </w:divBdr>
    </w:div>
    <w:div w:id="1145929165">
      <w:bodyDiv w:val="1"/>
      <w:marLeft w:val="0"/>
      <w:marRight w:val="0"/>
      <w:marTop w:val="0"/>
      <w:marBottom w:val="0"/>
      <w:divBdr>
        <w:top w:val="none" w:sz="0" w:space="0" w:color="auto"/>
        <w:left w:val="none" w:sz="0" w:space="0" w:color="auto"/>
        <w:bottom w:val="none" w:sz="0" w:space="0" w:color="auto"/>
        <w:right w:val="none" w:sz="0" w:space="0" w:color="auto"/>
      </w:divBdr>
    </w:div>
    <w:div w:id="1146167139">
      <w:bodyDiv w:val="1"/>
      <w:marLeft w:val="0"/>
      <w:marRight w:val="0"/>
      <w:marTop w:val="0"/>
      <w:marBottom w:val="0"/>
      <w:divBdr>
        <w:top w:val="none" w:sz="0" w:space="0" w:color="auto"/>
        <w:left w:val="none" w:sz="0" w:space="0" w:color="auto"/>
        <w:bottom w:val="none" w:sz="0" w:space="0" w:color="auto"/>
        <w:right w:val="none" w:sz="0" w:space="0" w:color="auto"/>
      </w:divBdr>
    </w:div>
    <w:div w:id="1146629400">
      <w:bodyDiv w:val="1"/>
      <w:marLeft w:val="0"/>
      <w:marRight w:val="0"/>
      <w:marTop w:val="0"/>
      <w:marBottom w:val="0"/>
      <w:divBdr>
        <w:top w:val="none" w:sz="0" w:space="0" w:color="auto"/>
        <w:left w:val="none" w:sz="0" w:space="0" w:color="auto"/>
        <w:bottom w:val="none" w:sz="0" w:space="0" w:color="auto"/>
        <w:right w:val="none" w:sz="0" w:space="0" w:color="auto"/>
      </w:divBdr>
    </w:div>
    <w:div w:id="1146899170">
      <w:bodyDiv w:val="1"/>
      <w:marLeft w:val="0"/>
      <w:marRight w:val="0"/>
      <w:marTop w:val="0"/>
      <w:marBottom w:val="0"/>
      <w:divBdr>
        <w:top w:val="none" w:sz="0" w:space="0" w:color="auto"/>
        <w:left w:val="none" w:sz="0" w:space="0" w:color="auto"/>
        <w:bottom w:val="none" w:sz="0" w:space="0" w:color="auto"/>
        <w:right w:val="none" w:sz="0" w:space="0" w:color="auto"/>
      </w:divBdr>
    </w:div>
    <w:div w:id="1146973986">
      <w:bodyDiv w:val="1"/>
      <w:marLeft w:val="0"/>
      <w:marRight w:val="0"/>
      <w:marTop w:val="0"/>
      <w:marBottom w:val="0"/>
      <w:divBdr>
        <w:top w:val="none" w:sz="0" w:space="0" w:color="auto"/>
        <w:left w:val="none" w:sz="0" w:space="0" w:color="auto"/>
        <w:bottom w:val="none" w:sz="0" w:space="0" w:color="auto"/>
        <w:right w:val="none" w:sz="0" w:space="0" w:color="auto"/>
      </w:divBdr>
    </w:div>
    <w:div w:id="1147240283">
      <w:bodyDiv w:val="1"/>
      <w:marLeft w:val="0"/>
      <w:marRight w:val="0"/>
      <w:marTop w:val="0"/>
      <w:marBottom w:val="0"/>
      <w:divBdr>
        <w:top w:val="none" w:sz="0" w:space="0" w:color="auto"/>
        <w:left w:val="none" w:sz="0" w:space="0" w:color="auto"/>
        <w:bottom w:val="none" w:sz="0" w:space="0" w:color="auto"/>
        <w:right w:val="none" w:sz="0" w:space="0" w:color="auto"/>
      </w:divBdr>
    </w:div>
    <w:div w:id="1147361104">
      <w:bodyDiv w:val="1"/>
      <w:marLeft w:val="0"/>
      <w:marRight w:val="0"/>
      <w:marTop w:val="0"/>
      <w:marBottom w:val="0"/>
      <w:divBdr>
        <w:top w:val="none" w:sz="0" w:space="0" w:color="auto"/>
        <w:left w:val="none" w:sz="0" w:space="0" w:color="auto"/>
        <w:bottom w:val="none" w:sz="0" w:space="0" w:color="auto"/>
        <w:right w:val="none" w:sz="0" w:space="0" w:color="auto"/>
      </w:divBdr>
    </w:div>
    <w:div w:id="1147938375">
      <w:bodyDiv w:val="1"/>
      <w:marLeft w:val="0"/>
      <w:marRight w:val="0"/>
      <w:marTop w:val="0"/>
      <w:marBottom w:val="0"/>
      <w:divBdr>
        <w:top w:val="none" w:sz="0" w:space="0" w:color="auto"/>
        <w:left w:val="none" w:sz="0" w:space="0" w:color="auto"/>
        <w:bottom w:val="none" w:sz="0" w:space="0" w:color="auto"/>
        <w:right w:val="none" w:sz="0" w:space="0" w:color="auto"/>
      </w:divBdr>
    </w:div>
    <w:div w:id="1148672050">
      <w:bodyDiv w:val="1"/>
      <w:marLeft w:val="0"/>
      <w:marRight w:val="0"/>
      <w:marTop w:val="0"/>
      <w:marBottom w:val="0"/>
      <w:divBdr>
        <w:top w:val="none" w:sz="0" w:space="0" w:color="auto"/>
        <w:left w:val="none" w:sz="0" w:space="0" w:color="auto"/>
        <w:bottom w:val="none" w:sz="0" w:space="0" w:color="auto"/>
        <w:right w:val="none" w:sz="0" w:space="0" w:color="auto"/>
      </w:divBdr>
    </w:div>
    <w:div w:id="1149395702">
      <w:bodyDiv w:val="1"/>
      <w:marLeft w:val="0"/>
      <w:marRight w:val="0"/>
      <w:marTop w:val="0"/>
      <w:marBottom w:val="0"/>
      <w:divBdr>
        <w:top w:val="none" w:sz="0" w:space="0" w:color="auto"/>
        <w:left w:val="none" w:sz="0" w:space="0" w:color="auto"/>
        <w:bottom w:val="none" w:sz="0" w:space="0" w:color="auto"/>
        <w:right w:val="none" w:sz="0" w:space="0" w:color="auto"/>
      </w:divBdr>
    </w:div>
    <w:div w:id="1149636710">
      <w:bodyDiv w:val="1"/>
      <w:marLeft w:val="0"/>
      <w:marRight w:val="0"/>
      <w:marTop w:val="0"/>
      <w:marBottom w:val="0"/>
      <w:divBdr>
        <w:top w:val="none" w:sz="0" w:space="0" w:color="auto"/>
        <w:left w:val="none" w:sz="0" w:space="0" w:color="auto"/>
        <w:bottom w:val="none" w:sz="0" w:space="0" w:color="auto"/>
        <w:right w:val="none" w:sz="0" w:space="0" w:color="auto"/>
      </w:divBdr>
    </w:div>
    <w:div w:id="1149830408">
      <w:bodyDiv w:val="1"/>
      <w:marLeft w:val="0"/>
      <w:marRight w:val="0"/>
      <w:marTop w:val="0"/>
      <w:marBottom w:val="0"/>
      <w:divBdr>
        <w:top w:val="none" w:sz="0" w:space="0" w:color="auto"/>
        <w:left w:val="none" w:sz="0" w:space="0" w:color="auto"/>
        <w:bottom w:val="none" w:sz="0" w:space="0" w:color="auto"/>
        <w:right w:val="none" w:sz="0" w:space="0" w:color="auto"/>
      </w:divBdr>
    </w:div>
    <w:div w:id="1149830411">
      <w:bodyDiv w:val="1"/>
      <w:marLeft w:val="0"/>
      <w:marRight w:val="0"/>
      <w:marTop w:val="0"/>
      <w:marBottom w:val="0"/>
      <w:divBdr>
        <w:top w:val="none" w:sz="0" w:space="0" w:color="auto"/>
        <w:left w:val="none" w:sz="0" w:space="0" w:color="auto"/>
        <w:bottom w:val="none" w:sz="0" w:space="0" w:color="auto"/>
        <w:right w:val="none" w:sz="0" w:space="0" w:color="auto"/>
      </w:divBdr>
    </w:div>
    <w:div w:id="1149981632">
      <w:bodyDiv w:val="1"/>
      <w:marLeft w:val="0"/>
      <w:marRight w:val="0"/>
      <w:marTop w:val="0"/>
      <w:marBottom w:val="0"/>
      <w:divBdr>
        <w:top w:val="none" w:sz="0" w:space="0" w:color="auto"/>
        <w:left w:val="none" w:sz="0" w:space="0" w:color="auto"/>
        <w:bottom w:val="none" w:sz="0" w:space="0" w:color="auto"/>
        <w:right w:val="none" w:sz="0" w:space="0" w:color="auto"/>
      </w:divBdr>
    </w:div>
    <w:div w:id="1150558640">
      <w:bodyDiv w:val="1"/>
      <w:marLeft w:val="0"/>
      <w:marRight w:val="0"/>
      <w:marTop w:val="0"/>
      <w:marBottom w:val="0"/>
      <w:divBdr>
        <w:top w:val="none" w:sz="0" w:space="0" w:color="auto"/>
        <w:left w:val="none" w:sz="0" w:space="0" w:color="auto"/>
        <w:bottom w:val="none" w:sz="0" w:space="0" w:color="auto"/>
        <w:right w:val="none" w:sz="0" w:space="0" w:color="auto"/>
      </w:divBdr>
    </w:div>
    <w:div w:id="1150713457">
      <w:bodyDiv w:val="1"/>
      <w:marLeft w:val="0"/>
      <w:marRight w:val="0"/>
      <w:marTop w:val="0"/>
      <w:marBottom w:val="0"/>
      <w:divBdr>
        <w:top w:val="none" w:sz="0" w:space="0" w:color="auto"/>
        <w:left w:val="none" w:sz="0" w:space="0" w:color="auto"/>
        <w:bottom w:val="none" w:sz="0" w:space="0" w:color="auto"/>
        <w:right w:val="none" w:sz="0" w:space="0" w:color="auto"/>
      </w:divBdr>
    </w:div>
    <w:div w:id="1150948279">
      <w:bodyDiv w:val="1"/>
      <w:marLeft w:val="0"/>
      <w:marRight w:val="0"/>
      <w:marTop w:val="0"/>
      <w:marBottom w:val="0"/>
      <w:divBdr>
        <w:top w:val="none" w:sz="0" w:space="0" w:color="auto"/>
        <w:left w:val="none" w:sz="0" w:space="0" w:color="auto"/>
        <w:bottom w:val="none" w:sz="0" w:space="0" w:color="auto"/>
        <w:right w:val="none" w:sz="0" w:space="0" w:color="auto"/>
      </w:divBdr>
    </w:div>
    <w:div w:id="1151404286">
      <w:bodyDiv w:val="1"/>
      <w:marLeft w:val="0"/>
      <w:marRight w:val="0"/>
      <w:marTop w:val="0"/>
      <w:marBottom w:val="0"/>
      <w:divBdr>
        <w:top w:val="none" w:sz="0" w:space="0" w:color="auto"/>
        <w:left w:val="none" w:sz="0" w:space="0" w:color="auto"/>
        <w:bottom w:val="none" w:sz="0" w:space="0" w:color="auto"/>
        <w:right w:val="none" w:sz="0" w:space="0" w:color="auto"/>
      </w:divBdr>
    </w:div>
    <w:div w:id="1151412503">
      <w:bodyDiv w:val="1"/>
      <w:marLeft w:val="0"/>
      <w:marRight w:val="0"/>
      <w:marTop w:val="0"/>
      <w:marBottom w:val="0"/>
      <w:divBdr>
        <w:top w:val="none" w:sz="0" w:space="0" w:color="auto"/>
        <w:left w:val="none" w:sz="0" w:space="0" w:color="auto"/>
        <w:bottom w:val="none" w:sz="0" w:space="0" w:color="auto"/>
        <w:right w:val="none" w:sz="0" w:space="0" w:color="auto"/>
      </w:divBdr>
    </w:div>
    <w:div w:id="1151479635">
      <w:bodyDiv w:val="1"/>
      <w:marLeft w:val="0"/>
      <w:marRight w:val="0"/>
      <w:marTop w:val="0"/>
      <w:marBottom w:val="0"/>
      <w:divBdr>
        <w:top w:val="none" w:sz="0" w:space="0" w:color="auto"/>
        <w:left w:val="none" w:sz="0" w:space="0" w:color="auto"/>
        <w:bottom w:val="none" w:sz="0" w:space="0" w:color="auto"/>
        <w:right w:val="none" w:sz="0" w:space="0" w:color="auto"/>
      </w:divBdr>
    </w:div>
    <w:div w:id="1151599608">
      <w:bodyDiv w:val="1"/>
      <w:marLeft w:val="0"/>
      <w:marRight w:val="0"/>
      <w:marTop w:val="0"/>
      <w:marBottom w:val="0"/>
      <w:divBdr>
        <w:top w:val="none" w:sz="0" w:space="0" w:color="auto"/>
        <w:left w:val="none" w:sz="0" w:space="0" w:color="auto"/>
        <w:bottom w:val="none" w:sz="0" w:space="0" w:color="auto"/>
        <w:right w:val="none" w:sz="0" w:space="0" w:color="auto"/>
      </w:divBdr>
    </w:div>
    <w:div w:id="1152059098">
      <w:bodyDiv w:val="1"/>
      <w:marLeft w:val="0"/>
      <w:marRight w:val="0"/>
      <w:marTop w:val="0"/>
      <w:marBottom w:val="0"/>
      <w:divBdr>
        <w:top w:val="none" w:sz="0" w:space="0" w:color="auto"/>
        <w:left w:val="none" w:sz="0" w:space="0" w:color="auto"/>
        <w:bottom w:val="none" w:sz="0" w:space="0" w:color="auto"/>
        <w:right w:val="none" w:sz="0" w:space="0" w:color="auto"/>
      </w:divBdr>
    </w:div>
    <w:div w:id="1152213678">
      <w:bodyDiv w:val="1"/>
      <w:marLeft w:val="0"/>
      <w:marRight w:val="0"/>
      <w:marTop w:val="0"/>
      <w:marBottom w:val="0"/>
      <w:divBdr>
        <w:top w:val="none" w:sz="0" w:space="0" w:color="auto"/>
        <w:left w:val="none" w:sz="0" w:space="0" w:color="auto"/>
        <w:bottom w:val="none" w:sz="0" w:space="0" w:color="auto"/>
        <w:right w:val="none" w:sz="0" w:space="0" w:color="auto"/>
      </w:divBdr>
    </w:div>
    <w:div w:id="1153642125">
      <w:bodyDiv w:val="1"/>
      <w:marLeft w:val="0"/>
      <w:marRight w:val="0"/>
      <w:marTop w:val="0"/>
      <w:marBottom w:val="0"/>
      <w:divBdr>
        <w:top w:val="none" w:sz="0" w:space="0" w:color="auto"/>
        <w:left w:val="none" w:sz="0" w:space="0" w:color="auto"/>
        <w:bottom w:val="none" w:sz="0" w:space="0" w:color="auto"/>
        <w:right w:val="none" w:sz="0" w:space="0" w:color="auto"/>
      </w:divBdr>
    </w:div>
    <w:div w:id="1154183717">
      <w:bodyDiv w:val="1"/>
      <w:marLeft w:val="0"/>
      <w:marRight w:val="0"/>
      <w:marTop w:val="0"/>
      <w:marBottom w:val="0"/>
      <w:divBdr>
        <w:top w:val="none" w:sz="0" w:space="0" w:color="auto"/>
        <w:left w:val="none" w:sz="0" w:space="0" w:color="auto"/>
        <w:bottom w:val="none" w:sz="0" w:space="0" w:color="auto"/>
        <w:right w:val="none" w:sz="0" w:space="0" w:color="auto"/>
      </w:divBdr>
    </w:div>
    <w:div w:id="1154448091">
      <w:bodyDiv w:val="1"/>
      <w:marLeft w:val="0"/>
      <w:marRight w:val="0"/>
      <w:marTop w:val="0"/>
      <w:marBottom w:val="0"/>
      <w:divBdr>
        <w:top w:val="none" w:sz="0" w:space="0" w:color="auto"/>
        <w:left w:val="none" w:sz="0" w:space="0" w:color="auto"/>
        <w:bottom w:val="none" w:sz="0" w:space="0" w:color="auto"/>
        <w:right w:val="none" w:sz="0" w:space="0" w:color="auto"/>
      </w:divBdr>
    </w:div>
    <w:div w:id="1154492666">
      <w:bodyDiv w:val="1"/>
      <w:marLeft w:val="0"/>
      <w:marRight w:val="0"/>
      <w:marTop w:val="0"/>
      <w:marBottom w:val="0"/>
      <w:divBdr>
        <w:top w:val="none" w:sz="0" w:space="0" w:color="auto"/>
        <w:left w:val="none" w:sz="0" w:space="0" w:color="auto"/>
        <w:bottom w:val="none" w:sz="0" w:space="0" w:color="auto"/>
        <w:right w:val="none" w:sz="0" w:space="0" w:color="auto"/>
      </w:divBdr>
    </w:div>
    <w:div w:id="1154684218">
      <w:bodyDiv w:val="1"/>
      <w:marLeft w:val="0"/>
      <w:marRight w:val="0"/>
      <w:marTop w:val="0"/>
      <w:marBottom w:val="0"/>
      <w:divBdr>
        <w:top w:val="none" w:sz="0" w:space="0" w:color="auto"/>
        <w:left w:val="none" w:sz="0" w:space="0" w:color="auto"/>
        <w:bottom w:val="none" w:sz="0" w:space="0" w:color="auto"/>
        <w:right w:val="none" w:sz="0" w:space="0" w:color="auto"/>
      </w:divBdr>
    </w:div>
    <w:div w:id="1154880459">
      <w:bodyDiv w:val="1"/>
      <w:marLeft w:val="0"/>
      <w:marRight w:val="0"/>
      <w:marTop w:val="0"/>
      <w:marBottom w:val="0"/>
      <w:divBdr>
        <w:top w:val="none" w:sz="0" w:space="0" w:color="auto"/>
        <w:left w:val="none" w:sz="0" w:space="0" w:color="auto"/>
        <w:bottom w:val="none" w:sz="0" w:space="0" w:color="auto"/>
        <w:right w:val="none" w:sz="0" w:space="0" w:color="auto"/>
      </w:divBdr>
    </w:div>
    <w:div w:id="1155025996">
      <w:bodyDiv w:val="1"/>
      <w:marLeft w:val="0"/>
      <w:marRight w:val="0"/>
      <w:marTop w:val="0"/>
      <w:marBottom w:val="0"/>
      <w:divBdr>
        <w:top w:val="none" w:sz="0" w:space="0" w:color="auto"/>
        <w:left w:val="none" w:sz="0" w:space="0" w:color="auto"/>
        <w:bottom w:val="none" w:sz="0" w:space="0" w:color="auto"/>
        <w:right w:val="none" w:sz="0" w:space="0" w:color="auto"/>
      </w:divBdr>
    </w:div>
    <w:div w:id="1155301250">
      <w:bodyDiv w:val="1"/>
      <w:marLeft w:val="0"/>
      <w:marRight w:val="0"/>
      <w:marTop w:val="0"/>
      <w:marBottom w:val="0"/>
      <w:divBdr>
        <w:top w:val="none" w:sz="0" w:space="0" w:color="auto"/>
        <w:left w:val="none" w:sz="0" w:space="0" w:color="auto"/>
        <w:bottom w:val="none" w:sz="0" w:space="0" w:color="auto"/>
        <w:right w:val="none" w:sz="0" w:space="0" w:color="auto"/>
      </w:divBdr>
    </w:div>
    <w:div w:id="1155756481">
      <w:bodyDiv w:val="1"/>
      <w:marLeft w:val="0"/>
      <w:marRight w:val="0"/>
      <w:marTop w:val="0"/>
      <w:marBottom w:val="0"/>
      <w:divBdr>
        <w:top w:val="none" w:sz="0" w:space="0" w:color="auto"/>
        <w:left w:val="none" w:sz="0" w:space="0" w:color="auto"/>
        <w:bottom w:val="none" w:sz="0" w:space="0" w:color="auto"/>
        <w:right w:val="none" w:sz="0" w:space="0" w:color="auto"/>
      </w:divBdr>
    </w:div>
    <w:div w:id="1156066858">
      <w:bodyDiv w:val="1"/>
      <w:marLeft w:val="0"/>
      <w:marRight w:val="0"/>
      <w:marTop w:val="0"/>
      <w:marBottom w:val="0"/>
      <w:divBdr>
        <w:top w:val="none" w:sz="0" w:space="0" w:color="auto"/>
        <w:left w:val="none" w:sz="0" w:space="0" w:color="auto"/>
        <w:bottom w:val="none" w:sz="0" w:space="0" w:color="auto"/>
        <w:right w:val="none" w:sz="0" w:space="0" w:color="auto"/>
      </w:divBdr>
    </w:div>
    <w:div w:id="1156067711">
      <w:bodyDiv w:val="1"/>
      <w:marLeft w:val="0"/>
      <w:marRight w:val="0"/>
      <w:marTop w:val="0"/>
      <w:marBottom w:val="0"/>
      <w:divBdr>
        <w:top w:val="none" w:sz="0" w:space="0" w:color="auto"/>
        <w:left w:val="none" w:sz="0" w:space="0" w:color="auto"/>
        <w:bottom w:val="none" w:sz="0" w:space="0" w:color="auto"/>
        <w:right w:val="none" w:sz="0" w:space="0" w:color="auto"/>
      </w:divBdr>
    </w:div>
    <w:div w:id="1156148048">
      <w:bodyDiv w:val="1"/>
      <w:marLeft w:val="0"/>
      <w:marRight w:val="0"/>
      <w:marTop w:val="0"/>
      <w:marBottom w:val="0"/>
      <w:divBdr>
        <w:top w:val="none" w:sz="0" w:space="0" w:color="auto"/>
        <w:left w:val="none" w:sz="0" w:space="0" w:color="auto"/>
        <w:bottom w:val="none" w:sz="0" w:space="0" w:color="auto"/>
        <w:right w:val="none" w:sz="0" w:space="0" w:color="auto"/>
      </w:divBdr>
    </w:div>
    <w:div w:id="1156606164">
      <w:bodyDiv w:val="1"/>
      <w:marLeft w:val="0"/>
      <w:marRight w:val="0"/>
      <w:marTop w:val="0"/>
      <w:marBottom w:val="0"/>
      <w:divBdr>
        <w:top w:val="none" w:sz="0" w:space="0" w:color="auto"/>
        <w:left w:val="none" w:sz="0" w:space="0" w:color="auto"/>
        <w:bottom w:val="none" w:sz="0" w:space="0" w:color="auto"/>
        <w:right w:val="none" w:sz="0" w:space="0" w:color="auto"/>
      </w:divBdr>
    </w:div>
    <w:div w:id="1157112213">
      <w:bodyDiv w:val="1"/>
      <w:marLeft w:val="0"/>
      <w:marRight w:val="0"/>
      <w:marTop w:val="0"/>
      <w:marBottom w:val="0"/>
      <w:divBdr>
        <w:top w:val="none" w:sz="0" w:space="0" w:color="auto"/>
        <w:left w:val="none" w:sz="0" w:space="0" w:color="auto"/>
        <w:bottom w:val="none" w:sz="0" w:space="0" w:color="auto"/>
        <w:right w:val="none" w:sz="0" w:space="0" w:color="auto"/>
      </w:divBdr>
    </w:div>
    <w:div w:id="1157379556">
      <w:bodyDiv w:val="1"/>
      <w:marLeft w:val="0"/>
      <w:marRight w:val="0"/>
      <w:marTop w:val="0"/>
      <w:marBottom w:val="0"/>
      <w:divBdr>
        <w:top w:val="none" w:sz="0" w:space="0" w:color="auto"/>
        <w:left w:val="none" w:sz="0" w:space="0" w:color="auto"/>
        <w:bottom w:val="none" w:sz="0" w:space="0" w:color="auto"/>
        <w:right w:val="none" w:sz="0" w:space="0" w:color="auto"/>
      </w:divBdr>
    </w:div>
    <w:div w:id="1157454357">
      <w:bodyDiv w:val="1"/>
      <w:marLeft w:val="0"/>
      <w:marRight w:val="0"/>
      <w:marTop w:val="0"/>
      <w:marBottom w:val="0"/>
      <w:divBdr>
        <w:top w:val="none" w:sz="0" w:space="0" w:color="auto"/>
        <w:left w:val="none" w:sz="0" w:space="0" w:color="auto"/>
        <w:bottom w:val="none" w:sz="0" w:space="0" w:color="auto"/>
        <w:right w:val="none" w:sz="0" w:space="0" w:color="auto"/>
      </w:divBdr>
    </w:div>
    <w:div w:id="1157526576">
      <w:bodyDiv w:val="1"/>
      <w:marLeft w:val="0"/>
      <w:marRight w:val="0"/>
      <w:marTop w:val="0"/>
      <w:marBottom w:val="0"/>
      <w:divBdr>
        <w:top w:val="none" w:sz="0" w:space="0" w:color="auto"/>
        <w:left w:val="none" w:sz="0" w:space="0" w:color="auto"/>
        <w:bottom w:val="none" w:sz="0" w:space="0" w:color="auto"/>
        <w:right w:val="none" w:sz="0" w:space="0" w:color="auto"/>
      </w:divBdr>
    </w:div>
    <w:div w:id="1158112038">
      <w:bodyDiv w:val="1"/>
      <w:marLeft w:val="0"/>
      <w:marRight w:val="0"/>
      <w:marTop w:val="0"/>
      <w:marBottom w:val="0"/>
      <w:divBdr>
        <w:top w:val="none" w:sz="0" w:space="0" w:color="auto"/>
        <w:left w:val="none" w:sz="0" w:space="0" w:color="auto"/>
        <w:bottom w:val="none" w:sz="0" w:space="0" w:color="auto"/>
        <w:right w:val="none" w:sz="0" w:space="0" w:color="auto"/>
      </w:divBdr>
    </w:div>
    <w:div w:id="1158112159">
      <w:bodyDiv w:val="1"/>
      <w:marLeft w:val="0"/>
      <w:marRight w:val="0"/>
      <w:marTop w:val="0"/>
      <w:marBottom w:val="0"/>
      <w:divBdr>
        <w:top w:val="none" w:sz="0" w:space="0" w:color="auto"/>
        <w:left w:val="none" w:sz="0" w:space="0" w:color="auto"/>
        <w:bottom w:val="none" w:sz="0" w:space="0" w:color="auto"/>
        <w:right w:val="none" w:sz="0" w:space="0" w:color="auto"/>
      </w:divBdr>
    </w:div>
    <w:div w:id="1158308523">
      <w:bodyDiv w:val="1"/>
      <w:marLeft w:val="0"/>
      <w:marRight w:val="0"/>
      <w:marTop w:val="0"/>
      <w:marBottom w:val="0"/>
      <w:divBdr>
        <w:top w:val="none" w:sz="0" w:space="0" w:color="auto"/>
        <w:left w:val="none" w:sz="0" w:space="0" w:color="auto"/>
        <w:bottom w:val="none" w:sz="0" w:space="0" w:color="auto"/>
        <w:right w:val="none" w:sz="0" w:space="0" w:color="auto"/>
      </w:divBdr>
    </w:div>
    <w:div w:id="1158571913">
      <w:bodyDiv w:val="1"/>
      <w:marLeft w:val="0"/>
      <w:marRight w:val="0"/>
      <w:marTop w:val="0"/>
      <w:marBottom w:val="0"/>
      <w:divBdr>
        <w:top w:val="none" w:sz="0" w:space="0" w:color="auto"/>
        <w:left w:val="none" w:sz="0" w:space="0" w:color="auto"/>
        <w:bottom w:val="none" w:sz="0" w:space="0" w:color="auto"/>
        <w:right w:val="none" w:sz="0" w:space="0" w:color="auto"/>
      </w:divBdr>
    </w:div>
    <w:div w:id="1158612016">
      <w:bodyDiv w:val="1"/>
      <w:marLeft w:val="0"/>
      <w:marRight w:val="0"/>
      <w:marTop w:val="0"/>
      <w:marBottom w:val="0"/>
      <w:divBdr>
        <w:top w:val="none" w:sz="0" w:space="0" w:color="auto"/>
        <w:left w:val="none" w:sz="0" w:space="0" w:color="auto"/>
        <w:bottom w:val="none" w:sz="0" w:space="0" w:color="auto"/>
        <w:right w:val="none" w:sz="0" w:space="0" w:color="auto"/>
      </w:divBdr>
    </w:div>
    <w:div w:id="1158882145">
      <w:bodyDiv w:val="1"/>
      <w:marLeft w:val="0"/>
      <w:marRight w:val="0"/>
      <w:marTop w:val="0"/>
      <w:marBottom w:val="0"/>
      <w:divBdr>
        <w:top w:val="none" w:sz="0" w:space="0" w:color="auto"/>
        <w:left w:val="none" w:sz="0" w:space="0" w:color="auto"/>
        <w:bottom w:val="none" w:sz="0" w:space="0" w:color="auto"/>
        <w:right w:val="none" w:sz="0" w:space="0" w:color="auto"/>
      </w:divBdr>
    </w:div>
    <w:div w:id="1159030601">
      <w:bodyDiv w:val="1"/>
      <w:marLeft w:val="0"/>
      <w:marRight w:val="0"/>
      <w:marTop w:val="0"/>
      <w:marBottom w:val="0"/>
      <w:divBdr>
        <w:top w:val="none" w:sz="0" w:space="0" w:color="auto"/>
        <w:left w:val="none" w:sz="0" w:space="0" w:color="auto"/>
        <w:bottom w:val="none" w:sz="0" w:space="0" w:color="auto"/>
        <w:right w:val="none" w:sz="0" w:space="0" w:color="auto"/>
      </w:divBdr>
    </w:div>
    <w:div w:id="1159077429">
      <w:bodyDiv w:val="1"/>
      <w:marLeft w:val="0"/>
      <w:marRight w:val="0"/>
      <w:marTop w:val="0"/>
      <w:marBottom w:val="0"/>
      <w:divBdr>
        <w:top w:val="none" w:sz="0" w:space="0" w:color="auto"/>
        <w:left w:val="none" w:sz="0" w:space="0" w:color="auto"/>
        <w:bottom w:val="none" w:sz="0" w:space="0" w:color="auto"/>
        <w:right w:val="none" w:sz="0" w:space="0" w:color="auto"/>
      </w:divBdr>
    </w:div>
    <w:div w:id="1159153157">
      <w:bodyDiv w:val="1"/>
      <w:marLeft w:val="0"/>
      <w:marRight w:val="0"/>
      <w:marTop w:val="0"/>
      <w:marBottom w:val="0"/>
      <w:divBdr>
        <w:top w:val="none" w:sz="0" w:space="0" w:color="auto"/>
        <w:left w:val="none" w:sz="0" w:space="0" w:color="auto"/>
        <w:bottom w:val="none" w:sz="0" w:space="0" w:color="auto"/>
        <w:right w:val="none" w:sz="0" w:space="0" w:color="auto"/>
      </w:divBdr>
    </w:div>
    <w:div w:id="1159926381">
      <w:bodyDiv w:val="1"/>
      <w:marLeft w:val="0"/>
      <w:marRight w:val="0"/>
      <w:marTop w:val="0"/>
      <w:marBottom w:val="0"/>
      <w:divBdr>
        <w:top w:val="none" w:sz="0" w:space="0" w:color="auto"/>
        <w:left w:val="none" w:sz="0" w:space="0" w:color="auto"/>
        <w:bottom w:val="none" w:sz="0" w:space="0" w:color="auto"/>
        <w:right w:val="none" w:sz="0" w:space="0" w:color="auto"/>
      </w:divBdr>
    </w:div>
    <w:div w:id="1159954419">
      <w:bodyDiv w:val="1"/>
      <w:marLeft w:val="0"/>
      <w:marRight w:val="0"/>
      <w:marTop w:val="0"/>
      <w:marBottom w:val="0"/>
      <w:divBdr>
        <w:top w:val="none" w:sz="0" w:space="0" w:color="auto"/>
        <w:left w:val="none" w:sz="0" w:space="0" w:color="auto"/>
        <w:bottom w:val="none" w:sz="0" w:space="0" w:color="auto"/>
        <w:right w:val="none" w:sz="0" w:space="0" w:color="auto"/>
      </w:divBdr>
    </w:div>
    <w:div w:id="1160078092">
      <w:bodyDiv w:val="1"/>
      <w:marLeft w:val="0"/>
      <w:marRight w:val="0"/>
      <w:marTop w:val="0"/>
      <w:marBottom w:val="0"/>
      <w:divBdr>
        <w:top w:val="none" w:sz="0" w:space="0" w:color="auto"/>
        <w:left w:val="none" w:sz="0" w:space="0" w:color="auto"/>
        <w:bottom w:val="none" w:sz="0" w:space="0" w:color="auto"/>
        <w:right w:val="none" w:sz="0" w:space="0" w:color="auto"/>
      </w:divBdr>
    </w:div>
    <w:div w:id="1160271751">
      <w:bodyDiv w:val="1"/>
      <w:marLeft w:val="0"/>
      <w:marRight w:val="0"/>
      <w:marTop w:val="0"/>
      <w:marBottom w:val="0"/>
      <w:divBdr>
        <w:top w:val="none" w:sz="0" w:space="0" w:color="auto"/>
        <w:left w:val="none" w:sz="0" w:space="0" w:color="auto"/>
        <w:bottom w:val="none" w:sz="0" w:space="0" w:color="auto"/>
        <w:right w:val="none" w:sz="0" w:space="0" w:color="auto"/>
      </w:divBdr>
    </w:div>
    <w:div w:id="1160388795">
      <w:bodyDiv w:val="1"/>
      <w:marLeft w:val="0"/>
      <w:marRight w:val="0"/>
      <w:marTop w:val="0"/>
      <w:marBottom w:val="0"/>
      <w:divBdr>
        <w:top w:val="none" w:sz="0" w:space="0" w:color="auto"/>
        <w:left w:val="none" w:sz="0" w:space="0" w:color="auto"/>
        <w:bottom w:val="none" w:sz="0" w:space="0" w:color="auto"/>
        <w:right w:val="none" w:sz="0" w:space="0" w:color="auto"/>
      </w:divBdr>
    </w:div>
    <w:div w:id="1160652229">
      <w:bodyDiv w:val="1"/>
      <w:marLeft w:val="0"/>
      <w:marRight w:val="0"/>
      <w:marTop w:val="0"/>
      <w:marBottom w:val="0"/>
      <w:divBdr>
        <w:top w:val="none" w:sz="0" w:space="0" w:color="auto"/>
        <w:left w:val="none" w:sz="0" w:space="0" w:color="auto"/>
        <w:bottom w:val="none" w:sz="0" w:space="0" w:color="auto"/>
        <w:right w:val="none" w:sz="0" w:space="0" w:color="auto"/>
      </w:divBdr>
    </w:div>
    <w:div w:id="1160929598">
      <w:bodyDiv w:val="1"/>
      <w:marLeft w:val="0"/>
      <w:marRight w:val="0"/>
      <w:marTop w:val="0"/>
      <w:marBottom w:val="0"/>
      <w:divBdr>
        <w:top w:val="none" w:sz="0" w:space="0" w:color="auto"/>
        <w:left w:val="none" w:sz="0" w:space="0" w:color="auto"/>
        <w:bottom w:val="none" w:sz="0" w:space="0" w:color="auto"/>
        <w:right w:val="none" w:sz="0" w:space="0" w:color="auto"/>
      </w:divBdr>
    </w:div>
    <w:div w:id="1161309590">
      <w:bodyDiv w:val="1"/>
      <w:marLeft w:val="0"/>
      <w:marRight w:val="0"/>
      <w:marTop w:val="0"/>
      <w:marBottom w:val="0"/>
      <w:divBdr>
        <w:top w:val="none" w:sz="0" w:space="0" w:color="auto"/>
        <w:left w:val="none" w:sz="0" w:space="0" w:color="auto"/>
        <w:bottom w:val="none" w:sz="0" w:space="0" w:color="auto"/>
        <w:right w:val="none" w:sz="0" w:space="0" w:color="auto"/>
      </w:divBdr>
    </w:div>
    <w:div w:id="1161430710">
      <w:bodyDiv w:val="1"/>
      <w:marLeft w:val="0"/>
      <w:marRight w:val="0"/>
      <w:marTop w:val="0"/>
      <w:marBottom w:val="0"/>
      <w:divBdr>
        <w:top w:val="none" w:sz="0" w:space="0" w:color="auto"/>
        <w:left w:val="none" w:sz="0" w:space="0" w:color="auto"/>
        <w:bottom w:val="none" w:sz="0" w:space="0" w:color="auto"/>
        <w:right w:val="none" w:sz="0" w:space="0" w:color="auto"/>
      </w:divBdr>
    </w:div>
    <w:div w:id="1161458341">
      <w:bodyDiv w:val="1"/>
      <w:marLeft w:val="0"/>
      <w:marRight w:val="0"/>
      <w:marTop w:val="0"/>
      <w:marBottom w:val="0"/>
      <w:divBdr>
        <w:top w:val="none" w:sz="0" w:space="0" w:color="auto"/>
        <w:left w:val="none" w:sz="0" w:space="0" w:color="auto"/>
        <w:bottom w:val="none" w:sz="0" w:space="0" w:color="auto"/>
        <w:right w:val="none" w:sz="0" w:space="0" w:color="auto"/>
      </w:divBdr>
    </w:div>
    <w:div w:id="1161696799">
      <w:bodyDiv w:val="1"/>
      <w:marLeft w:val="0"/>
      <w:marRight w:val="0"/>
      <w:marTop w:val="0"/>
      <w:marBottom w:val="0"/>
      <w:divBdr>
        <w:top w:val="none" w:sz="0" w:space="0" w:color="auto"/>
        <w:left w:val="none" w:sz="0" w:space="0" w:color="auto"/>
        <w:bottom w:val="none" w:sz="0" w:space="0" w:color="auto"/>
        <w:right w:val="none" w:sz="0" w:space="0" w:color="auto"/>
      </w:divBdr>
    </w:div>
    <w:div w:id="1162047328">
      <w:bodyDiv w:val="1"/>
      <w:marLeft w:val="0"/>
      <w:marRight w:val="0"/>
      <w:marTop w:val="0"/>
      <w:marBottom w:val="0"/>
      <w:divBdr>
        <w:top w:val="none" w:sz="0" w:space="0" w:color="auto"/>
        <w:left w:val="none" w:sz="0" w:space="0" w:color="auto"/>
        <w:bottom w:val="none" w:sz="0" w:space="0" w:color="auto"/>
        <w:right w:val="none" w:sz="0" w:space="0" w:color="auto"/>
      </w:divBdr>
    </w:div>
    <w:div w:id="1162157621">
      <w:bodyDiv w:val="1"/>
      <w:marLeft w:val="0"/>
      <w:marRight w:val="0"/>
      <w:marTop w:val="0"/>
      <w:marBottom w:val="0"/>
      <w:divBdr>
        <w:top w:val="none" w:sz="0" w:space="0" w:color="auto"/>
        <w:left w:val="none" w:sz="0" w:space="0" w:color="auto"/>
        <w:bottom w:val="none" w:sz="0" w:space="0" w:color="auto"/>
        <w:right w:val="none" w:sz="0" w:space="0" w:color="auto"/>
      </w:divBdr>
    </w:div>
    <w:div w:id="1163013854">
      <w:bodyDiv w:val="1"/>
      <w:marLeft w:val="0"/>
      <w:marRight w:val="0"/>
      <w:marTop w:val="0"/>
      <w:marBottom w:val="0"/>
      <w:divBdr>
        <w:top w:val="none" w:sz="0" w:space="0" w:color="auto"/>
        <w:left w:val="none" w:sz="0" w:space="0" w:color="auto"/>
        <w:bottom w:val="none" w:sz="0" w:space="0" w:color="auto"/>
        <w:right w:val="none" w:sz="0" w:space="0" w:color="auto"/>
      </w:divBdr>
    </w:div>
    <w:div w:id="1163155964">
      <w:bodyDiv w:val="1"/>
      <w:marLeft w:val="0"/>
      <w:marRight w:val="0"/>
      <w:marTop w:val="0"/>
      <w:marBottom w:val="0"/>
      <w:divBdr>
        <w:top w:val="none" w:sz="0" w:space="0" w:color="auto"/>
        <w:left w:val="none" w:sz="0" w:space="0" w:color="auto"/>
        <w:bottom w:val="none" w:sz="0" w:space="0" w:color="auto"/>
        <w:right w:val="none" w:sz="0" w:space="0" w:color="auto"/>
      </w:divBdr>
    </w:div>
    <w:div w:id="1163162637">
      <w:bodyDiv w:val="1"/>
      <w:marLeft w:val="0"/>
      <w:marRight w:val="0"/>
      <w:marTop w:val="0"/>
      <w:marBottom w:val="0"/>
      <w:divBdr>
        <w:top w:val="none" w:sz="0" w:space="0" w:color="auto"/>
        <w:left w:val="none" w:sz="0" w:space="0" w:color="auto"/>
        <w:bottom w:val="none" w:sz="0" w:space="0" w:color="auto"/>
        <w:right w:val="none" w:sz="0" w:space="0" w:color="auto"/>
      </w:divBdr>
    </w:div>
    <w:div w:id="1163201717">
      <w:bodyDiv w:val="1"/>
      <w:marLeft w:val="0"/>
      <w:marRight w:val="0"/>
      <w:marTop w:val="0"/>
      <w:marBottom w:val="0"/>
      <w:divBdr>
        <w:top w:val="none" w:sz="0" w:space="0" w:color="auto"/>
        <w:left w:val="none" w:sz="0" w:space="0" w:color="auto"/>
        <w:bottom w:val="none" w:sz="0" w:space="0" w:color="auto"/>
        <w:right w:val="none" w:sz="0" w:space="0" w:color="auto"/>
      </w:divBdr>
    </w:div>
    <w:div w:id="1163426389">
      <w:bodyDiv w:val="1"/>
      <w:marLeft w:val="0"/>
      <w:marRight w:val="0"/>
      <w:marTop w:val="0"/>
      <w:marBottom w:val="0"/>
      <w:divBdr>
        <w:top w:val="none" w:sz="0" w:space="0" w:color="auto"/>
        <w:left w:val="none" w:sz="0" w:space="0" w:color="auto"/>
        <w:bottom w:val="none" w:sz="0" w:space="0" w:color="auto"/>
        <w:right w:val="none" w:sz="0" w:space="0" w:color="auto"/>
      </w:divBdr>
    </w:div>
    <w:div w:id="1164469141">
      <w:bodyDiv w:val="1"/>
      <w:marLeft w:val="0"/>
      <w:marRight w:val="0"/>
      <w:marTop w:val="0"/>
      <w:marBottom w:val="0"/>
      <w:divBdr>
        <w:top w:val="none" w:sz="0" w:space="0" w:color="auto"/>
        <w:left w:val="none" w:sz="0" w:space="0" w:color="auto"/>
        <w:bottom w:val="none" w:sz="0" w:space="0" w:color="auto"/>
        <w:right w:val="none" w:sz="0" w:space="0" w:color="auto"/>
      </w:divBdr>
    </w:div>
    <w:div w:id="1165241171">
      <w:bodyDiv w:val="1"/>
      <w:marLeft w:val="0"/>
      <w:marRight w:val="0"/>
      <w:marTop w:val="0"/>
      <w:marBottom w:val="0"/>
      <w:divBdr>
        <w:top w:val="none" w:sz="0" w:space="0" w:color="auto"/>
        <w:left w:val="none" w:sz="0" w:space="0" w:color="auto"/>
        <w:bottom w:val="none" w:sz="0" w:space="0" w:color="auto"/>
        <w:right w:val="none" w:sz="0" w:space="0" w:color="auto"/>
      </w:divBdr>
    </w:div>
    <w:div w:id="1165244010">
      <w:bodyDiv w:val="1"/>
      <w:marLeft w:val="0"/>
      <w:marRight w:val="0"/>
      <w:marTop w:val="0"/>
      <w:marBottom w:val="0"/>
      <w:divBdr>
        <w:top w:val="none" w:sz="0" w:space="0" w:color="auto"/>
        <w:left w:val="none" w:sz="0" w:space="0" w:color="auto"/>
        <w:bottom w:val="none" w:sz="0" w:space="0" w:color="auto"/>
        <w:right w:val="none" w:sz="0" w:space="0" w:color="auto"/>
      </w:divBdr>
    </w:div>
    <w:div w:id="1165515411">
      <w:bodyDiv w:val="1"/>
      <w:marLeft w:val="0"/>
      <w:marRight w:val="0"/>
      <w:marTop w:val="0"/>
      <w:marBottom w:val="0"/>
      <w:divBdr>
        <w:top w:val="none" w:sz="0" w:space="0" w:color="auto"/>
        <w:left w:val="none" w:sz="0" w:space="0" w:color="auto"/>
        <w:bottom w:val="none" w:sz="0" w:space="0" w:color="auto"/>
        <w:right w:val="none" w:sz="0" w:space="0" w:color="auto"/>
      </w:divBdr>
    </w:div>
    <w:div w:id="1165517478">
      <w:bodyDiv w:val="1"/>
      <w:marLeft w:val="0"/>
      <w:marRight w:val="0"/>
      <w:marTop w:val="0"/>
      <w:marBottom w:val="0"/>
      <w:divBdr>
        <w:top w:val="none" w:sz="0" w:space="0" w:color="auto"/>
        <w:left w:val="none" w:sz="0" w:space="0" w:color="auto"/>
        <w:bottom w:val="none" w:sz="0" w:space="0" w:color="auto"/>
        <w:right w:val="none" w:sz="0" w:space="0" w:color="auto"/>
      </w:divBdr>
    </w:div>
    <w:div w:id="1165784697">
      <w:bodyDiv w:val="1"/>
      <w:marLeft w:val="0"/>
      <w:marRight w:val="0"/>
      <w:marTop w:val="0"/>
      <w:marBottom w:val="0"/>
      <w:divBdr>
        <w:top w:val="none" w:sz="0" w:space="0" w:color="auto"/>
        <w:left w:val="none" w:sz="0" w:space="0" w:color="auto"/>
        <w:bottom w:val="none" w:sz="0" w:space="0" w:color="auto"/>
        <w:right w:val="none" w:sz="0" w:space="0" w:color="auto"/>
      </w:divBdr>
    </w:div>
    <w:div w:id="1165977462">
      <w:bodyDiv w:val="1"/>
      <w:marLeft w:val="0"/>
      <w:marRight w:val="0"/>
      <w:marTop w:val="0"/>
      <w:marBottom w:val="0"/>
      <w:divBdr>
        <w:top w:val="none" w:sz="0" w:space="0" w:color="auto"/>
        <w:left w:val="none" w:sz="0" w:space="0" w:color="auto"/>
        <w:bottom w:val="none" w:sz="0" w:space="0" w:color="auto"/>
        <w:right w:val="none" w:sz="0" w:space="0" w:color="auto"/>
      </w:divBdr>
    </w:div>
    <w:div w:id="1166168725">
      <w:bodyDiv w:val="1"/>
      <w:marLeft w:val="0"/>
      <w:marRight w:val="0"/>
      <w:marTop w:val="0"/>
      <w:marBottom w:val="0"/>
      <w:divBdr>
        <w:top w:val="none" w:sz="0" w:space="0" w:color="auto"/>
        <w:left w:val="none" w:sz="0" w:space="0" w:color="auto"/>
        <w:bottom w:val="none" w:sz="0" w:space="0" w:color="auto"/>
        <w:right w:val="none" w:sz="0" w:space="0" w:color="auto"/>
      </w:divBdr>
    </w:div>
    <w:div w:id="1166673122">
      <w:bodyDiv w:val="1"/>
      <w:marLeft w:val="0"/>
      <w:marRight w:val="0"/>
      <w:marTop w:val="0"/>
      <w:marBottom w:val="0"/>
      <w:divBdr>
        <w:top w:val="none" w:sz="0" w:space="0" w:color="auto"/>
        <w:left w:val="none" w:sz="0" w:space="0" w:color="auto"/>
        <w:bottom w:val="none" w:sz="0" w:space="0" w:color="auto"/>
        <w:right w:val="none" w:sz="0" w:space="0" w:color="auto"/>
      </w:divBdr>
    </w:div>
    <w:div w:id="1166703872">
      <w:bodyDiv w:val="1"/>
      <w:marLeft w:val="0"/>
      <w:marRight w:val="0"/>
      <w:marTop w:val="0"/>
      <w:marBottom w:val="0"/>
      <w:divBdr>
        <w:top w:val="none" w:sz="0" w:space="0" w:color="auto"/>
        <w:left w:val="none" w:sz="0" w:space="0" w:color="auto"/>
        <w:bottom w:val="none" w:sz="0" w:space="0" w:color="auto"/>
        <w:right w:val="none" w:sz="0" w:space="0" w:color="auto"/>
      </w:divBdr>
    </w:div>
    <w:div w:id="1166749354">
      <w:bodyDiv w:val="1"/>
      <w:marLeft w:val="0"/>
      <w:marRight w:val="0"/>
      <w:marTop w:val="0"/>
      <w:marBottom w:val="0"/>
      <w:divBdr>
        <w:top w:val="none" w:sz="0" w:space="0" w:color="auto"/>
        <w:left w:val="none" w:sz="0" w:space="0" w:color="auto"/>
        <w:bottom w:val="none" w:sz="0" w:space="0" w:color="auto"/>
        <w:right w:val="none" w:sz="0" w:space="0" w:color="auto"/>
      </w:divBdr>
    </w:div>
    <w:div w:id="1167206543">
      <w:bodyDiv w:val="1"/>
      <w:marLeft w:val="0"/>
      <w:marRight w:val="0"/>
      <w:marTop w:val="0"/>
      <w:marBottom w:val="0"/>
      <w:divBdr>
        <w:top w:val="none" w:sz="0" w:space="0" w:color="auto"/>
        <w:left w:val="none" w:sz="0" w:space="0" w:color="auto"/>
        <w:bottom w:val="none" w:sz="0" w:space="0" w:color="auto"/>
        <w:right w:val="none" w:sz="0" w:space="0" w:color="auto"/>
      </w:divBdr>
    </w:div>
    <w:div w:id="1167525643">
      <w:bodyDiv w:val="1"/>
      <w:marLeft w:val="0"/>
      <w:marRight w:val="0"/>
      <w:marTop w:val="0"/>
      <w:marBottom w:val="0"/>
      <w:divBdr>
        <w:top w:val="none" w:sz="0" w:space="0" w:color="auto"/>
        <w:left w:val="none" w:sz="0" w:space="0" w:color="auto"/>
        <w:bottom w:val="none" w:sz="0" w:space="0" w:color="auto"/>
        <w:right w:val="none" w:sz="0" w:space="0" w:color="auto"/>
      </w:divBdr>
    </w:div>
    <w:div w:id="1168255802">
      <w:bodyDiv w:val="1"/>
      <w:marLeft w:val="0"/>
      <w:marRight w:val="0"/>
      <w:marTop w:val="0"/>
      <w:marBottom w:val="0"/>
      <w:divBdr>
        <w:top w:val="none" w:sz="0" w:space="0" w:color="auto"/>
        <w:left w:val="none" w:sz="0" w:space="0" w:color="auto"/>
        <w:bottom w:val="none" w:sz="0" w:space="0" w:color="auto"/>
        <w:right w:val="none" w:sz="0" w:space="0" w:color="auto"/>
      </w:divBdr>
    </w:div>
    <w:div w:id="1168328780">
      <w:bodyDiv w:val="1"/>
      <w:marLeft w:val="0"/>
      <w:marRight w:val="0"/>
      <w:marTop w:val="0"/>
      <w:marBottom w:val="0"/>
      <w:divBdr>
        <w:top w:val="none" w:sz="0" w:space="0" w:color="auto"/>
        <w:left w:val="none" w:sz="0" w:space="0" w:color="auto"/>
        <w:bottom w:val="none" w:sz="0" w:space="0" w:color="auto"/>
        <w:right w:val="none" w:sz="0" w:space="0" w:color="auto"/>
      </w:divBdr>
    </w:div>
    <w:div w:id="1168516565">
      <w:bodyDiv w:val="1"/>
      <w:marLeft w:val="0"/>
      <w:marRight w:val="0"/>
      <w:marTop w:val="0"/>
      <w:marBottom w:val="0"/>
      <w:divBdr>
        <w:top w:val="none" w:sz="0" w:space="0" w:color="auto"/>
        <w:left w:val="none" w:sz="0" w:space="0" w:color="auto"/>
        <w:bottom w:val="none" w:sz="0" w:space="0" w:color="auto"/>
        <w:right w:val="none" w:sz="0" w:space="0" w:color="auto"/>
      </w:divBdr>
    </w:div>
    <w:div w:id="1168522992">
      <w:bodyDiv w:val="1"/>
      <w:marLeft w:val="0"/>
      <w:marRight w:val="0"/>
      <w:marTop w:val="0"/>
      <w:marBottom w:val="0"/>
      <w:divBdr>
        <w:top w:val="none" w:sz="0" w:space="0" w:color="auto"/>
        <w:left w:val="none" w:sz="0" w:space="0" w:color="auto"/>
        <w:bottom w:val="none" w:sz="0" w:space="0" w:color="auto"/>
        <w:right w:val="none" w:sz="0" w:space="0" w:color="auto"/>
      </w:divBdr>
    </w:div>
    <w:div w:id="1168667859">
      <w:bodyDiv w:val="1"/>
      <w:marLeft w:val="0"/>
      <w:marRight w:val="0"/>
      <w:marTop w:val="0"/>
      <w:marBottom w:val="0"/>
      <w:divBdr>
        <w:top w:val="none" w:sz="0" w:space="0" w:color="auto"/>
        <w:left w:val="none" w:sz="0" w:space="0" w:color="auto"/>
        <w:bottom w:val="none" w:sz="0" w:space="0" w:color="auto"/>
        <w:right w:val="none" w:sz="0" w:space="0" w:color="auto"/>
      </w:divBdr>
    </w:div>
    <w:div w:id="1168712467">
      <w:bodyDiv w:val="1"/>
      <w:marLeft w:val="0"/>
      <w:marRight w:val="0"/>
      <w:marTop w:val="0"/>
      <w:marBottom w:val="0"/>
      <w:divBdr>
        <w:top w:val="none" w:sz="0" w:space="0" w:color="auto"/>
        <w:left w:val="none" w:sz="0" w:space="0" w:color="auto"/>
        <w:bottom w:val="none" w:sz="0" w:space="0" w:color="auto"/>
        <w:right w:val="none" w:sz="0" w:space="0" w:color="auto"/>
      </w:divBdr>
    </w:div>
    <w:div w:id="1168792257">
      <w:bodyDiv w:val="1"/>
      <w:marLeft w:val="0"/>
      <w:marRight w:val="0"/>
      <w:marTop w:val="0"/>
      <w:marBottom w:val="0"/>
      <w:divBdr>
        <w:top w:val="none" w:sz="0" w:space="0" w:color="auto"/>
        <w:left w:val="none" w:sz="0" w:space="0" w:color="auto"/>
        <w:bottom w:val="none" w:sz="0" w:space="0" w:color="auto"/>
        <w:right w:val="none" w:sz="0" w:space="0" w:color="auto"/>
      </w:divBdr>
    </w:div>
    <w:div w:id="1169103411">
      <w:bodyDiv w:val="1"/>
      <w:marLeft w:val="0"/>
      <w:marRight w:val="0"/>
      <w:marTop w:val="0"/>
      <w:marBottom w:val="0"/>
      <w:divBdr>
        <w:top w:val="none" w:sz="0" w:space="0" w:color="auto"/>
        <w:left w:val="none" w:sz="0" w:space="0" w:color="auto"/>
        <w:bottom w:val="none" w:sz="0" w:space="0" w:color="auto"/>
        <w:right w:val="none" w:sz="0" w:space="0" w:color="auto"/>
      </w:divBdr>
    </w:div>
    <w:div w:id="1169296518">
      <w:bodyDiv w:val="1"/>
      <w:marLeft w:val="0"/>
      <w:marRight w:val="0"/>
      <w:marTop w:val="0"/>
      <w:marBottom w:val="0"/>
      <w:divBdr>
        <w:top w:val="none" w:sz="0" w:space="0" w:color="auto"/>
        <w:left w:val="none" w:sz="0" w:space="0" w:color="auto"/>
        <w:bottom w:val="none" w:sz="0" w:space="0" w:color="auto"/>
        <w:right w:val="none" w:sz="0" w:space="0" w:color="auto"/>
      </w:divBdr>
    </w:div>
    <w:div w:id="1170214506">
      <w:bodyDiv w:val="1"/>
      <w:marLeft w:val="0"/>
      <w:marRight w:val="0"/>
      <w:marTop w:val="0"/>
      <w:marBottom w:val="0"/>
      <w:divBdr>
        <w:top w:val="none" w:sz="0" w:space="0" w:color="auto"/>
        <w:left w:val="none" w:sz="0" w:space="0" w:color="auto"/>
        <w:bottom w:val="none" w:sz="0" w:space="0" w:color="auto"/>
        <w:right w:val="none" w:sz="0" w:space="0" w:color="auto"/>
      </w:divBdr>
    </w:div>
    <w:div w:id="1170605517">
      <w:bodyDiv w:val="1"/>
      <w:marLeft w:val="0"/>
      <w:marRight w:val="0"/>
      <w:marTop w:val="0"/>
      <w:marBottom w:val="0"/>
      <w:divBdr>
        <w:top w:val="none" w:sz="0" w:space="0" w:color="auto"/>
        <w:left w:val="none" w:sz="0" w:space="0" w:color="auto"/>
        <w:bottom w:val="none" w:sz="0" w:space="0" w:color="auto"/>
        <w:right w:val="none" w:sz="0" w:space="0" w:color="auto"/>
      </w:divBdr>
    </w:div>
    <w:div w:id="1171795779">
      <w:bodyDiv w:val="1"/>
      <w:marLeft w:val="0"/>
      <w:marRight w:val="0"/>
      <w:marTop w:val="0"/>
      <w:marBottom w:val="0"/>
      <w:divBdr>
        <w:top w:val="none" w:sz="0" w:space="0" w:color="auto"/>
        <w:left w:val="none" w:sz="0" w:space="0" w:color="auto"/>
        <w:bottom w:val="none" w:sz="0" w:space="0" w:color="auto"/>
        <w:right w:val="none" w:sz="0" w:space="0" w:color="auto"/>
      </w:divBdr>
    </w:div>
    <w:div w:id="1171875080">
      <w:bodyDiv w:val="1"/>
      <w:marLeft w:val="0"/>
      <w:marRight w:val="0"/>
      <w:marTop w:val="0"/>
      <w:marBottom w:val="0"/>
      <w:divBdr>
        <w:top w:val="none" w:sz="0" w:space="0" w:color="auto"/>
        <w:left w:val="none" w:sz="0" w:space="0" w:color="auto"/>
        <w:bottom w:val="none" w:sz="0" w:space="0" w:color="auto"/>
        <w:right w:val="none" w:sz="0" w:space="0" w:color="auto"/>
      </w:divBdr>
    </w:div>
    <w:div w:id="1171916662">
      <w:bodyDiv w:val="1"/>
      <w:marLeft w:val="0"/>
      <w:marRight w:val="0"/>
      <w:marTop w:val="0"/>
      <w:marBottom w:val="0"/>
      <w:divBdr>
        <w:top w:val="none" w:sz="0" w:space="0" w:color="auto"/>
        <w:left w:val="none" w:sz="0" w:space="0" w:color="auto"/>
        <w:bottom w:val="none" w:sz="0" w:space="0" w:color="auto"/>
        <w:right w:val="none" w:sz="0" w:space="0" w:color="auto"/>
      </w:divBdr>
    </w:div>
    <w:div w:id="1172378424">
      <w:bodyDiv w:val="1"/>
      <w:marLeft w:val="0"/>
      <w:marRight w:val="0"/>
      <w:marTop w:val="0"/>
      <w:marBottom w:val="0"/>
      <w:divBdr>
        <w:top w:val="none" w:sz="0" w:space="0" w:color="auto"/>
        <w:left w:val="none" w:sz="0" w:space="0" w:color="auto"/>
        <w:bottom w:val="none" w:sz="0" w:space="0" w:color="auto"/>
        <w:right w:val="none" w:sz="0" w:space="0" w:color="auto"/>
      </w:divBdr>
    </w:div>
    <w:div w:id="1172452307">
      <w:bodyDiv w:val="1"/>
      <w:marLeft w:val="0"/>
      <w:marRight w:val="0"/>
      <w:marTop w:val="0"/>
      <w:marBottom w:val="0"/>
      <w:divBdr>
        <w:top w:val="none" w:sz="0" w:space="0" w:color="auto"/>
        <w:left w:val="none" w:sz="0" w:space="0" w:color="auto"/>
        <w:bottom w:val="none" w:sz="0" w:space="0" w:color="auto"/>
        <w:right w:val="none" w:sz="0" w:space="0" w:color="auto"/>
      </w:divBdr>
    </w:div>
    <w:div w:id="1172525428">
      <w:bodyDiv w:val="1"/>
      <w:marLeft w:val="0"/>
      <w:marRight w:val="0"/>
      <w:marTop w:val="0"/>
      <w:marBottom w:val="0"/>
      <w:divBdr>
        <w:top w:val="none" w:sz="0" w:space="0" w:color="auto"/>
        <w:left w:val="none" w:sz="0" w:space="0" w:color="auto"/>
        <w:bottom w:val="none" w:sz="0" w:space="0" w:color="auto"/>
        <w:right w:val="none" w:sz="0" w:space="0" w:color="auto"/>
      </w:divBdr>
    </w:div>
    <w:div w:id="1172991422">
      <w:bodyDiv w:val="1"/>
      <w:marLeft w:val="0"/>
      <w:marRight w:val="0"/>
      <w:marTop w:val="0"/>
      <w:marBottom w:val="0"/>
      <w:divBdr>
        <w:top w:val="none" w:sz="0" w:space="0" w:color="auto"/>
        <w:left w:val="none" w:sz="0" w:space="0" w:color="auto"/>
        <w:bottom w:val="none" w:sz="0" w:space="0" w:color="auto"/>
        <w:right w:val="none" w:sz="0" w:space="0" w:color="auto"/>
      </w:divBdr>
    </w:div>
    <w:div w:id="1173034319">
      <w:bodyDiv w:val="1"/>
      <w:marLeft w:val="0"/>
      <w:marRight w:val="0"/>
      <w:marTop w:val="0"/>
      <w:marBottom w:val="0"/>
      <w:divBdr>
        <w:top w:val="none" w:sz="0" w:space="0" w:color="auto"/>
        <w:left w:val="none" w:sz="0" w:space="0" w:color="auto"/>
        <w:bottom w:val="none" w:sz="0" w:space="0" w:color="auto"/>
        <w:right w:val="none" w:sz="0" w:space="0" w:color="auto"/>
      </w:divBdr>
    </w:div>
    <w:div w:id="1173371513">
      <w:bodyDiv w:val="1"/>
      <w:marLeft w:val="0"/>
      <w:marRight w:val="0"/>
      <w:marTop w:val="0"/>
      <w:marBottom w:val="0"/>
      <w:divBdr>
        <w:top w:val="none" w:sz="0" w:space="0" w:color="auto"/>
        <w:left w:val="none" w:sz="0" w:space="0" w:color="auto"/>
        <w:bottom w:val="none" w:sz="0" w:space="0" w:color="auto"/>
        <w:right w:val="none" w:sz="0" w:space="0" w:color="auto"/>
      </w:divBdr>
    </w:div>
    <w:div w:id="1173449049">
      <w:bodyDiv w:val="1"/>
      <w:marLeft w:val="0"/>
      <w:marRight w:val="0"/>
      <w:marTop w:val="0"/>
      <w:marBottom w:val="0"/>
      <w:divBdr>
        <w:top w:val="none" w:sz="0" w:space="0" w:color="auto"/>
        <w:left w:val="none" w:sz="0" w:space="0" w:color="auto"/>
        <w:bottom w:val="none" w:sz="0" w:space="0" w:color="auto"/>
        <w:right w:val="none" w:sz="0" w:space="0" w:color="auto"/>
      </w:divBdr>
    </w:div>
    <w:div w:id="1174340602">
      <w:bodyDiv w:val="1"/>
      <w:marLeft w:val="0"/>
      <w:marRight w:val="0"/>
      <w:marTop w:val="0"/>
      <w:marBottom w:val="0"/>
      <w:divBdr>
        <w:top w:val="none" w:sz="0" w:space="0" w:color="auto"/>
        <w:left w:val="none" w:sz="0" w:space="0" w:color="auto"/>
        <w:bottom w:val="none" w:sz="0" w:space="0" w:color="auto"/>
        <w:right w:val="none" w:sz="0" w:space="0" w:color="auto"/>
      </w:divBdr>
    </w:div>
    <w:div w:id="1174414957">
      <w:bodyDiv w:val="1"/>
      <w:marLeft w:val="0"/>
      <w:marRight w:val="0"/>
      <w:marTop w:val="0"/>
      <w:marBottom w:val="0"/>
      <w:divBdr>
        <w:top w:val="none" w:sz="0" w:space="0" w:color="auto"/>
        <w:left w:val="none" w:sz="0" w:space="0" w:color="auto"/>
        <w:bottom w:val="none" w:sz="0" w:space="0" w:color="auto"/>
        <w:right w:val="none" w:sz="0" w:space="0" w:color="auto"/>
      </w:divBdr>
    </w:div>
    <w:div w:id="1174492170">
      <w:bodyDiv w:val="1"/>
      <w:marLeft w:val="0"/>
      <w:marRight w:val="0"/>
      <w:marTop w:val="0"/>
      <w:marBottom w:val="0"/>
      <w:divBdr>
        <w:top w:val="none" w:sz="0" w:space="0" w:color="auto"/>
        <w:left w:val="none" w:sz="0" w:space="0" w:color="auto"/>
        <w:bottom w:val="none" w:sz="0" w:space="0" w:color="auto"/>
        <w:right w:val="none" w:sz="0" w:space="0" w:color="auto"/>
      </w:divBdr>
    </w:div>
    <w:div w:id="1174950455">
      <w:bodyDiv w:val="1"/>
      <w:marLeft w:val="0"/>
      <w:marRight w:val="0"/>
      <w:marTop w:val="0"/>
      <w:marBottom w:val="0"/>
      <w:divBdr>
        <w:top w:val="none" w:sz="0" w:space="0" w:color="auto"/>
        <w:left w:val="none" w:sz="0" w:space="0" w:color="auto"/>
        <w:bottom w:val="none" w:sz="0" w:space="0" w:color="auto"/>
        <w:right w:val="none" w:sz="0" w:space="0" w:color="auto"/>
      </w:divBdr>
    </w:div>
    <w:div w:id="1175268708">
      <w:bodyDiv w:val="1"/>
      <w:marLeft w:val="0"/>
      <w:marRight w:val="0"/>
      <w:marTop w:val="0"/>
      <w:marBottom w:val="0"/>
      <w:divBdr>
        <w:top w:val="none" w:sz="0" w:space="0" w:color="auto"/>
        <w:left w:val="none" w:sz="0" w:space="0" w:color="auto"/>
        <w:bottom w:val="none" w:sz="0" w:space="0" w:color="auto"/>
        <w:right w:val="none" w:sz="0" w:space="0" w:color="auto"/>
      </w:divBdr>
    </w:div>
    <w:div w:id="1175458729">
      <w:bodyDiv w:val="1"/>
      <w:marLeft w:val="0"/>
      <w:marRight w:val="0"/>
      <w:marTop w:val="0"/>
      <w:marBottom w:val="0"/>
      <w:divBdr>
        <w:top w:val="none" w:sz="0" w:space="0" w:color="auto"/>
        <w:left w:val="none" w:sz="0" w:space="0" w:color="auto"/>
        <w:bottom w:val="none" w:sz="0" w:space="0" w:color="auto"/>
        <w:right w:val="none" w:sz="0" w:space="0" w:color="auto"/>
      </w:divBdr>
    </w:div>
    <w:div w:id="1175610864">
      <w:bodyDiv w:val="1"/>
      <w:marLeft w:val="0"/>
      <w:marRight w:val="0"/>
      <w:marTop w:val="0"/>
      <w:marBottom w:val="0"/>
      <w:divBdr>
        <w:top w:val="none" w:sz="0" w:space="0" w:color="auto"/>
        <w:left w:val="none" w:sz="0" w:space="0" w:color="auto"/>
        <w:bottom w:val="none" w:sz="0" w:space="0" w:color="auto"/>
        <w:right w:val="none" w:sz="0" w:space="0" w:color="auto"/>
      </w:divBdr>
    </w:div>
    <w:div w:id="1175879250">
      <w:bodyDiv w:val="1"/>
      <w:marLeft w:val="0"/>
      <w:marRight w:val="0"/>
      <w:marTop w:val="0"/>
      <w:marBottom w:val="0"/>
      <w:divBdr>
        <w:top w:val="none" w:sz="0" w:space="0" w:color="auto"/>
        <w:left w:val="none" w:sz="0" w:space="0" w:color="auto"/>
        <w:bottom w:val="none" w:sz="0" w:space="0" w:color="auto"/>
        <w:right w:val="none" w:sz="0" w:space="0" w:color="auto"/>
      </w:divBdr>
    </w:div>
    <w:div w:id="1175923658">
      <w:bodyDiv w:val="1"/>
      <w:marLeft w:val="0"/>
      <w:marRight w:val="0"/>
      <w:marTop w:val="0"/>
      <w:marBottom w:val="0"/>
      <w:divBdr>
        <w:top w:val="none" w:sz="0" w:space="0" w:color="auto"/>
        <w:left w:val="none" w:sz="0" w:space="0" w:color="auto"/>
        <w:bottom w:val="none" w:sz="0" w:space="0" w:color="auto"/>
        <w:right w:val="none" w:sz="0" w:space="0" w:color="auto"/>
      </w:divBdr>
    </w:div>
    <w:div w:id="1176457004">
      <w:bodyDiv w:val="1"/>
      <w:marLeft w:val="0"/>
      <w:marRight w:val="0"/>
      <w:marTop w:val="0"/>
      <w:marBottom w:val="0"/>
      <w:divBdr>
        <w:top w:val="none" w:sz="0" w:space="0" w:color="auto"/>
        <w:left w:val="none" w:sz="0" w:space="0" w:color="auto"/>
        <w:bottom w:val="none" w:sz="0" w:space="0" w:color="auto"/>
        <w:right w:val="none" w:sz="0" w:space="0" w:color="auto"/>
      </w:divBdr>
    </w:div>
    <w:div w:id="1176458449">
      <w:bodyDiv w:val="1"/>
      <w:marLeft w:val="0"/>
      <w:marRight w:val="0"/>
      <w:marTop w:val="0"/>
      <w:marBottom w:val="0"/>
      <w:divBdr>
        <w:top w:val="none" w:sz="0" w:space="0" w:color="auto"/>
        <w:left w:val="none" w:sz="0" w:space="0" w:color="auto"/>
        <w:bottom w:val="none" w:sz="0" w:space="0" w:color="auto"/>
        <w:right w:val="none" w:sz="0" w:space="0" w:color="auto"/>
      </w:divBdr>
    </w:div>
    <w:div w:id="1176461212">
      <w:bodyDiv w:val="1"/>
      <w:marLeft w:val="0"/>
      <w:marRight w:val="0"/>
      <w:marTop w:val="0"/>
      <w:marBottom w:val="0"/>
      <w:divBdr>
        <w:top w:val="none" w:sz="0" w:space="0" w:color="auto"/>
        <w:left w:val="none" w:sz="0" w:space="0" w:color="auto"/>
        <w:bottom w:val="none" w:sz="0" w:space="0" w:color="auto"/>
        <w:right w:val="none" w:sz="0" w:space="0" w:color="auto"/>
      </w:divBdr>
    </w:div>
    <w:div w:id="1177114156">
      <w:bodyDiv w:val="1"/>
      <w:marLeft w:val="0"/>
      <w:marRight w:val="0"/>
      <w:marTop w:val="0"/>
      <w:marBottom w:val="0"/>
      <w:divBdr>
        <w:top w:val="none" w:sz="0" w:space="0" w:color="auto"/>
        <w:left w:val="none" w:sz="0" w:space="0" w:color="auto"/>
        <w:bottom w:val="none" w:sz="0" w:space="0" w:color="auto"/>
        <w:right w:val="none" w:sz="0" w:space="0" w:color="auto"/>
      </w:divBdr>
    </w:div>
    <w:div w:id="1177502594">
      <w:bodyDiv w:val="1"/>
      <w:marLeft w:val="0"/>
      <w:marRight w:val="0"/>
      <w:marTop w:val="0"/>
      <w:marBottom w:val="0"/>
      <w:divBdr>
        <w:top w:val="none" w:sz="0" w:space="0" w:color="auto"/>
        <w:left w:val="none" w:sz="0" w:space="0" w:color="auto"/>
        <w:bottom w:val="none" w:sz="0" w:space="0" w:color="auto"/>
        <w:right w:val="none" w:sz="0" w:space="0" w:color="auto"/>
      </w:divBdr>
    </w:div>
    <w:div w:id="1178034142">
      <w:bodyDiv w:val="1"/>
      <w:marLeft w:val="0"/>
      <w:marRight w:val="0"/>
      <w:marTop w:val="0"/>
      <w:marBottom w:val="0"/>
      <w:divBdr>
        <w:top w:val="none" w:sz="0" w:space="0" w:color="auto"/>
        <w:left w:val="none" w:sz="0" w:space="0" w:color="auto"/>
        <w:bottom w:val="none" w:sz="0" w:space="0" w:color="auto"/>
        <w:right w:val="none" w:sz="0" w:space="0" w:color="auto"/>
      </w:divBdr>
    </w:div>
    <w:div w:id="1178042072">
      <w:bodyDiv w:val="1"/>
      <w:marLeft w:val="0"/>
      <w:marRight w:val="0"/>
      <w:marTop w:val="0"/>
      <w:marBottom w:val="0"/>
      <w:divBdr>
        <w:top w:val="none" w:sz="0" w:space="0" w:color="auto"/>
        <w:left w:val="none" w:sz="0" w:space="0" w:color="auto"/>
        <w:bottom w:val="none" w:sz="0" w:space="0" w:color="auto"/>
        <w:right w:val="none" w:sz="0" w:space="0" w:color="auto"/>
      </w:divBdr>
    </w:div>
    <w:div w:id="1178697266">
      <w:bodyDiv w:val="1"/>
      <w:marLeft w:val="0"/>
      <w:marRight w:val="0"/>
      <w:marTop w:val="0"/>
      <w:marBottom w:val="0"/>
      <w:divBdr>
        <w:top w:val="none" w:sz="0" w:space="0" w:color="auto"/>
        <w:left w:val="none" w:sz="0" w:space="0" w:color="auto"/>
        <w:bottom w:val="none" w:sz="0" w:space="0" w:color="auto"/>
        <w:right w:val="none" w:sz="0" w:space="0" w:color="auto"/>
      </w:divBdr>
    </w:div>
    <w:div w:id="1178733850">
      <w:bodyDiv w:val="1"/>
      <w:marLeft w:val="0"/>
      <w:marRight w:val="0"/>
      <w:marTop w:val="0"/>
      <w:marBottom w:val="0"/>
      <w:divBdr>
        <w:top w:val="none" w:sz="0" w:space="0" w:color="auto"/>
        <w:left w:val="none" w:sz="0" w:space="0" w:color="auto"/>
        <w:bottom w:val="none" w:sz="0" w:space="0" w:color="auto"/>
        <w:right w:val="none" w:sz="0" w:space="0" w:color="auto"/>
      </w:divBdr>
    </w:div>
    <w:div w:id="1178812073">
      <w:bodyDiv w:val="1"/>
      <w:marLeft w:val="0"/>
      <w:marRight w:val="0"/>
      <w:marTop w:val="0"/>
      <w:marBottom w:val="0"/>
      <w:divBdr>
        <w:top w:val="none" w:sz="0" w:space="0" w:color="auto"/>
        <w:left w:val="none" w:sz="0" w:space="0" w:color="auto"/>
        <w:bottom w:val="none" w:sz="0" w:space="0" w:color="auto"/>
        <w:right w:val="none" w:sz="0" w:space="0" w:color="auto"/>
      </w:divBdr>
    </w:div>
    <w:div w:id="1179270240">
      <w:bodyDiv w:val="1"/>
      <w:marLeft w:val="0"/>
      <w:marRight w:val="0"/>
      <w:marTop w:val="0"/>
      <w:marBottom w:val="0"/>
      <w:divBdr>
        <w:top w:val="none" w:sz="0" w:space="0" w:color="auto"/>
        <w:left w:val="none" w:sz="0" w:space="0" w:color="auto"/>
        <w:bottom w:val="none" w:sz="0" w:space="0" w:color="auto"/>
        <w:right w:val="none" w:sz="0" w:space="0" w:color="auto"/>
      </w:divBdr>
    </w:div>
    <w:div w:id="1179659496">
      <w:bodyDiv w:val="1"/>
      <w:marLeft w:val="0"/>
      <w:marRight w:val="0"/>
      <w:marTop w:val="0"/>
      <w:marBottom w:val="0"/>
      <w:divBdr>
        <w:top w:val="none" w:sz="0" w:space="0" w:color="auto"/>
        <w:left w:val="none" w:sz="0" w:space="0" w:color="auto"/>
        <w:bottom w:val="none" w:sz="0" w:space="0" w:color="auto"/>
        <w:right w:val="none" w:sz="0" w:space="0" w:color="auto"/>
      </w:divBdr>
    </w:div>
    <w:div w:id="1180660131">
      <w:bodyDiv w:val="1"/>
      <w:marLeft w:val="0"/>
      <w:marRight w:val="0"/>
      <w:marTop w:val="0"/>
      <w:marBottom w:val="0"/>
      <w:divBdr>
        <w:top w:val="none" w:sz="0" w:space="0" w:color="auto"/>
        <w:left w:val="none" w:sz="0" w:space="0" w:color="auto"/>
        <w:bottom w:val="none" w:sz="0" w:space="0" w:color="auto"/>
        <w:right w:val="none" w:sz="0" w:space="0" w:color="auto"/>
      </w:divBdr>
    </w:div>
    <w:div w:id="1180893754">
      <w:bodyDiv w:val="1"/>
      <w:marLeft w:val="0"/>
      <w:marRight w:val="0"/>
      <w:marTop w:val="0"/>
      <w:marBottom w:val="0"/>
      <w:divBdr>
        <w:top w:val="none" w:sz="0" w:space="0" w:color="auto"/>
        <w:left w:val="none" w:sz="0" w:space="0" w:color="auto"/>
        <w:bottom w:val="none" w:sz="0" w:space="0" w:color="auto"/>
        <w:right w:val="none" w:sz="0" w:space="0" w:color="auto"/>
      </w:divBdr>
    </w:div>
    <w:div w:id="1181043092">
      <w:bodyDiv w:val="1"/>
      <w:marLeft w:val="0"/>
      <w:marRight w:val="0"/>
      <w:marTop w:val="0"/>
      <w:marBottom w:val="0"/>
      <w:divBdr>
        <w:top w:val="none" w:sz="0" w:space="0" w:color="auto"/>
        <w:left w:val="none" w:sz="0" w:space="0" w:color="auto"/>
        <w:bottom w:val="none" w:sz="0" w:space="0" w:color="auto"/>
        <w:right w:val="none" w:sz="0" w:space="0" w:color="auto"/>
      </w:divBdr>
    </w:div>
    <w:div w:id="1181511572">
      <w:bodyDiv w:val="1"/>
      <w:marLeft w:val="0"/>
      <w:marRight w:val="0"/>
      <w:marTop w:val="0"/>
      <w:marBottom w:val="0"/>
      <w:divBdr>
        <w:top w:val="none" w:sz="0" w:space="0" w:color="auto"/>
        <w:left w:val="none" w:sz="0" w:space="0" w:color="auto"/>
        <w:bottom w:val="none" w:sz="0" w:space="0" w:color="auto"/>
        <w:right w:val="none" w:sz="0" w:space="0" w:color="auto"/>
      </w:divBdr>
    </w:div>
    <w:div w:id="1181701375">
      <w:bodyDiv w:val="1"/>
      <w:marLeft w:val="0"/>
      <w:marRight w:val="0"/>
      <w:marTop w:val="0"/>
      <w:marBottom w:val="0"/>
      <w:divBdr>
        <w:top w:val="none" w:sz="0" w:space="0" w:color="auto"/>
        <w:left w:val="none" w:sz="0" w:space="0" w:color="auto"/>
        <w:bottom w:val="none" w:sz="0" w:space="0" w:color="auto"/>
        <w:right w:val="none" w:sz="0" w:space="0" w:color="auto"/>
      </w:divBdr>
    </w:div>
    <w:div w:id="1181748473">
      <w:bodyDiv w:val="1"/>
      <w:marLeft w:val="0"/>
      <w:marRight w:val="0"/>
      <w:marTop w:val="0"/>
      <w:marBottom w:val="0"/>
      <w:divBdr>
        <w:top w:val="none" w:sz="0" w:space="0" w:color="auto"/>
        <w:left w:val="none" w:sz="0" w:space="0" w:color="auto"/>
        <w:bottom w:val="none" w:sz="0" w:space="0" w:color="auto"/>
        <w:right w:val="none" w:sz="0" w:space="0" w:color="auto"/>
      </w:divBdr>
    </w:div>
    <w:div w:id="1181890361">
      <w:bodyDiv w:val="1"/>
      <w:marLeft w:val="0"/>
      <w:marRight w:val="0"/>
      <w:marTop w:val="0"/>
      <w:marBottom w:val="0"/>
      <w:divBdr>
        <w:top w:val="none" w:sz="0" w:space="0" w:color="auto"/>
        <w:left w:val="none" w:sz="0" w:space="0" w:color="auto"/>
        <w:bottom w:val="none" w:sz="0" w:space="0" w:color="auto"/>
        <w:right w:val="none" w:sz="0" w:space="0" w:color="auto"/>
      </w:divBdr>
    </w:div>
    <w:div w:id="1181894502">
      <w:bodyDiv w:val="1"/>
      <w:marLeft w:val="0"/>
      <w:marRight w:val="0"/>
      <w:marTop w:val="0"/>
      <w:marBottom w:val="0"/>
      <w:divBdr>
        <w:top w:val="none" w:sz="0" w:space="0" w:color="auto"/>
        <w:left w:val="none" w:sz="0" w:space="0" w:color="auto"/>
        <w:bottom w:val="none" w:sz="0" w:space="0" w:color="auto"/>
        <w:right w:val="none" w:sz="0" w:space="0" w:color="auto"/>
      </w:divBdr>
    </w:div>
    <w:div w:id="1182359365">
      <w:bodyDiv w:val="1"/>
      <w:marLeft w:val="0"/>
      <w:marRight w:val="0"/>
      <w:marTop w:val="0"/>
      <w:marBottom w:val="0"/>
      <w:divBdr>
        <w:top w:val="none" w:sz="0" w:space="0" w:color="auto"/>
        <w:left w:val="none" w:sz="0" w:space="0" w:color="auto"/>
        <w:bottom w:val="none" w:sz="0" w:space="0" w:color="auto"/>
        <w:right w:val="none" w:sz="0" w:space="0" w:color="auto"/>
      </w:divBdr>
    </w:div>
    <w:div w:id="1182431669">
      <w:bodyDiv w:val="1"/>
      <w:marLeft w:val="0"/>
      <w:marRight w:val="0"/>
      <w:marTop w:val="0"/>
      <w:marBottom w:val="0"/>
      <w:divBdr>
        <w:top w:val="none" w:sz="0" w:space="0" w:color="auto"/>
        <w:left w:val="none" w:sz="0" w:space="0" w:color="auto"/>
        <w:bottom w:val="none" w:sz="0" w:space="0" w:color="auto"/>
        <w:right w:val="none" w:sz="0" w:space="0" w:color="auto"/>
      </w:divBdr>
    </w:div>
    <w:div w:id="1182666176">
      <w:bodyDiv w:val="1"/>
      <w:marLeft w:val="0"/>
      <w:marRight w:val="0"/>
      <w:marTop w:val="0"/>
      <w:marBottom w:val="0"/>
      <w:divBdr>
        <w:top w:val="none" w:sz="0" w:space="0" w:color="auto"/>
        <w:left w:val="none" w:sz="0" w:space="0" w:color="auto"/>
        <w:bottom w:val="none" w:sz="0" w:space="0" w:color="auto"/>
        <w:right w:val="none" w:sz="0" w:space="0" w:color="auto"/>
      </w:divBdr>
    </w:div>
    <w:div w:id="1182740185">
      <w:bodyDiv w:val="1"/>
      <w:marLeft w:val="0"/>
      <w:marRight w:val="0"/>
      <w:marTop w:val="0"/>
      <w:marBottom w:val="0"/>
      <w:divBdr>
        <w:top w:val="none" w:sz="0" w:space="0" w:color="auto"/>
        <w:left w:val="none" w:sz="0" w:space="0" w:color="auto"/>
        <w:bottom w:val="none" w:sz="0" w:space="0" w:color="auto"/>
        <w:right w:val="none" w:sz="0" w:space="0" w:color="auto"/>
      </w:divBdr>
    </w:div>
    <w:div w:id="1183203212">
      <w:bodyDiv w:val="1"/>
      <w:marLeft w:val="0"/>
      <w:marRight w:val="0"/>
      <w:marTop w:val="0"/>
      <w:marBottom w:val="0"/>
      <w:divBdr>
        <w:top w:val="none" w:sz="0" w:space="0" w:color="auto"/>
        <w:left w:val="none" w:sz="0" w:space="0" w:color="auto"/>
        <w:bottom w:val="none" w:sz="0" w:space="0" w:color="auto"/>
        <w:right w:val="none" w:sz="0" w:space="0" w:color="auto"/>
      </w:divBdr>
    </w:div>
    <w:div w:id="1184053753">
      <w:bodyDiv w:val="1"/>
      <w:marLeft w:val="0"/>
      <w:marRight w:val="0"/>
      <w:marTop w:val="0"/>
      <w:marBottom w:val="0"/>
      <w:divBdr>
        <w:top w:val="none" w:sz="0" w:space="0" w:color="auto"/>
        <w:left w:val="none" w:sz="0" w:space="0" w:color="auto"/>
        <w:bottom w:val="none" w:sz="0" w:space="0" w:color="auto"/>
        <w:right w:val="none" w:sz="0" w:space="0" w:color="auto"/>
      </w:divBdr>
    </w:div>
    <w:div w:id="1184324925">
      <w:bodyDiv w:val="1"/>
      <w:marLeft w:val="0"/>
      <w:marRight w:val="0"/>
      <w:marTop w:val="0"/>
      <w:marBottom w:val="0"/>
      <w:divBdr>
        <w:top w:val="none" w:sz="0" w:space="0" w:color="auto"/>
        <w:left w:val="none" w:sz="0" w:space="0" w:color="auto"/>
        <w:bottom w:val="none" w:sz="0" w:space="0" w:color="auto"/>
        <w:right w:val="none" w:sz="0" w:space="0" w:color="auto"/>
      </w:divBdr>
    </w:div>
    <w:div w:id="1184519285">
      <w:bodyDiv w:val="1"/>
      <w:marLeft w:val="0"/>
      <w:marRight w:val="0"/>
      <w:marTop w:val="0"/>
      <w:marBottom w:val="0"/>
      <w:divBdr>
        <w:top w:val="none" w:sz="0" w:space="0" w:color="auto"/>
        <w:left w:val="none" w:sz="0" w:space="0" w:color="auto"/>
        <w:bottom w:val="none" w:sz="0" w:space="0" w:color="auto"/>
        <w:right w:val="none" w:sz="0" w:space="0" w:color="auto"/>
      </w:divBdr>
    </w:div>
    <w:div w:id="1184634790">
      <w:bodyDiv w:val="1"/>
      <w:marLeft w:val="0"/>
      <w:marRight w:val="0"/>
      <w:marTop w:val="0"/>
      <w:marBottom w:val="0"/>
      <w:divBdr>
        <w:top w:val="none" w:sz="0" w:space="0" w:color="auto"/>
        <w:left w:val="none" w:sz="0" w:space="0" w:color="auto"/>
        <w:bottom w:val="none" w:sz="0" w:space="0" w:color="auto"/>
        <w:right w:val="none" w:sz="0" w:space="0" w:color="auto"/>
      </w:divBdr>
    </w:div>
    <w:div w:id="1184706086">
      <w:bodyDiv w:val="1"/>
      <w:marLeft w:val="0"/>
      <w:marRight w:val="0"/>
      <w:marTop w:val="0"/>
      <w:marBottom w:val="0"/>
      <w:divBdr>
        <w:top w:val="none" w:sz="0" w:space="0" w:color="auto"/>
        <w:left w:val="none" w:sz="0" w:space="0" w:color="auto"/>
        <w:bottom w:val="none" w:sz="0" w:space="0" w:color="auto"/>
        <w:right w:val="none" w:sz="0" w:space="0" w:color="auto"/>
      </w:divBdr>
    </w:div>
    <w:div w:id="1184906613">
      <w:bodyDiv w:val="1"/>
      <w:marLeft w:val="0"/>
      <w:marRight w:val="0"/>
      <w:marTop w:val="0"/>
      <w:marBottom w:val="0"/>
      <w:divBdr>
        <w:top w:val="none" w:sz="0" w:space="0" w:color="auto"/>
        <w:left w:val="none" w:sz="0" w:space="0" w:color="auto"/>
        <w:bottom w:val="none" w:sz="0" w:space="0" w:color="auto"/>
        <w:right w:val="none" w:sz="0" w:space="0" w:color="auto"/>
      </w:divBdr>
    </w:div>
    <w:div w:id="1185291444">
      <w:bodyDiv w:val="1"/>
      <w:marLeft w:val="0"/>
      <w:marRight w:val="0"/>
      <w:marTop w:val="0"/>
      <w:marBottom w:val="0"/>
      <w:divBdr>
        <w:top w:val="none" w:sz="0" w:space="0" w:color="auto"/>
        <w:left w:val="none" w:sz="0" w:space="0" w:color="auto"/>
        <w:bottom w:val="none" w:sz="0" w:space="0" w:color="auto"/>
        <w:right w:val="none" w:sz="0" w:space="0" w:color="auto"/>
      </w:divBdr>
    </w:div>
    <w:div w:id="1185749005">
      <w:bodyDiv w:val="1"/>
      <w:marLeft w:val="0"/>
      <w:marRight w:val="0"/>
      <w:marTop w:val="0"/>
      <w:marBottom w:val="0"/>
      <w:divBdr>
        <w:top w:val="none" w:sz="0" w:space="0" w:color="auto"/>
        <w:left w:val="none" w:sz="0" w:space="0" w:color="auto"/>
        <w:bottom w:val="none" w:sz="0" w:space="0" w:color="auto"/>
        <w:right w:val="none" w:sz="0" w:space="0" w:color="auto"/>
      </w:divBdr>
    </w:div>
    <w:div w:id="1185749590">
      <w:bodyDiv w:val="1"/>
      <w:marLeft w:val="0"/>
      <w:marRight w:val="0"/>
      <w:marTop w:val="0"/>
      <w:marBottom w:val="0"/>
      <w:divBdr>
        <w:top w:val="none" w:sz="0" w:space="0" w:color="auto"/>
        <w:left w:val="none" w:sz="0" w:space="0" w:color="auto"/>
        <w:bottom w:val="none" w:sz="0" w:space="0" w:color="auto"/>
        <w:right w:val="none" w:sz="0" w:space="0" w:color="auto"/>
      </w:divBdr>
    </w:div>
    <w:div w:id="1186021962">
      <w:bodyDiv w:val="1"/>
      <w:marLeft w:val="0"/>
      <w:marRight w:val="0"/>
      <w:marTop w:val="0"/>
      <w:marBottom w:val="0"/>
      <w:divBdr>
        <w:top w:val="none" w:sz="0" w:space="0" w:color="auto"/>
        <w:left w:val="none" w:sz="0" w:space="0" w:color="auto"/>
        <w:bottom w:val="none" w:sz="0" w:space="0" w:color="auto"/>
        <w:right w:val="none" w:sz="0" w:space="0" w:color="auto"/>
      </w:divBdr>
    </w:div>
    <w:div w:id="1186023494">
      <w:bodyDiv w:val="1"/>
      <w:marLeft w:val="0"/>
      <w:marRight w:val="0"/>
      <w:marTop w:val="0"/>
      <w:marBottom w:val="0"/>
      <w:divBdr>
        <w:top w:val="none" w:sz="0" w:space="0" w:color="auto"/>
        <w:left w:val="none" w:sz="0" w:space="0" w:color="auto"/>
        <w:bottom w:val="none" w:sz="0" w:space="0" w:color="auto"/>
        <w:right w:val="none" w:sz="0" w:space="0" w:color="auto"/>
      </w:divBdr>
    </w:div>
    <w:div w:id="1186090544">
      <w:bodyDiv w:val="1"/>
      <w:marLeft w:val="0"/>
      <w:marRight w:val="0"/>
      <w:marTop w:val="0"/>
      <w:marBottom w:val="0"/>
      <w:divBdr>
        <w:top w:val="none" w:sz="0" w:space="0" w:color="auto"/>
        <w:left w:val="none" w:sz="0" w:space="0" w:color="auto"/>
        <w:bottom w:val="none" w:sz="0" w:space="0" w:color="auto"/>
        <w:right w:val="none" w:sz="0" w:space="0" w:color="auto"/>
      </w:divBdr>
    </w:div>
    <w:div w:id="1186213596">
      <w:bodyDiv w:val="1"/>
      <w:marLeft w:val="0"/>
      <w:marRight w:val="0"/>
      <w:marTop w:val="0"/>
      <w:marBottom w:val="0"/>
      <w:divBdr>
        <w:top w:val="none" w:sz="0" w:space="0" w:color="auto"/>
        <w:left w:val="none" w:sz="0" w:space="0" w:color="auto"/>
        <w:bottom w:val="none" w:sz="0" w:space="0" w:color="auto"/>
        <w:right w:val="none" w:sz="0" w:space="0" w:color="auto"/>
      </w:divBdr>
    </w:div>
    <w:div w:id="1186292024">
      <w:bodyDiv w:val="1"/>
      <w:marLeft w:val="0"/>
      <w:marRight w:val="0"/>
      <w:marTop w:val="0"/>
      <w:marBottom w:val="0"/>
      <w:divBdr>
        <w:top w:val="none" w:sz="0" w:space="0" w:color="auto"/>
        <w:left w:val="none" w:sz="0" w:space="0" w:color="auto"/>
        <w:bottom w:val="none" w:sz="0" w:space="0" w:color="auto"/>
        <w:right w:val="none" w:sz="0" w:space="0" w:color="auto"/>
      </w:divBdr>
    </w:div>
    <w:div w:id="1187135063">
      <w:bodyDiv w:val="1"/>
      <w:marLeft w:val="0"/>
      <w:marRight w:val="0"/>
      <w:marTop w:val="0"/>
      <w:marBottom w:val="0"/>
      <w:divBdr>
        <w:top w:val="none" w:sz="0" w:space="0" w:color="auto"/>
        <w:left w:val="none" w:sz="0" w:space="0" w:color="auto"/>
        <w:bottom w:val="none" w:sz="0" w:space="0" w:color="auto"/>
        <w:right w:val="none" w:sz="0" w:space="0" w:color="auto"/>
      </w:divBdr>
    </w:div>
    <w:div w:id="1187327869">
      <w:bodyDiv w:val="1"/>
      <w:marLeft w:val="0"/>
      <w:marRight w:val="0"/>
      <w:marTop w:val="0"/>
      <w:marBottom w:val="0"/>
      <w:divBdr>
        <w:top w:val="none" w:sz="0" w:space="0" w:color="auto"/>
        <w:left w:val="none" w:sz="0" w:space="0" w:color="auto"/>
        <w:bottom w:val="none" w:sz="0" w:space="0" w:color="auto"/>
        <w:right w:val="none" w:sz="0" w:space="0" w:color="auto"/>
      </w:divBdr>
    </w:div>
    <w:div w:id="1187447073">
      <w:bodyDiv w:val="1"/>
      <w:marLeft w:val="0"/>
      <w:marRight w:val="0"/>
      <w:marTop w:val="0"/>
      <w:marBottom w:val="0"/>
      <w:divBdr>
        <w:top w:val="none" w:sz="0" w:space="0" w:color="auto"/>
        <w:left w:val="none" w:sz="0" w:space="0" w:color="auto"/>
        <w:bottom w:val="none" w:sz="0" w:space="0" w:color="auto"/>
        <w:right w:val="none" w:sz="0" w:space="0" w:color="auto"/>
      </w:divBdr>
    </w:div>
    <w:div w:id="1187912656">
      <w:bodyDiv w:val="1"/>
      <w:marLeft w:val="0"/>
      <w:marRight w:val="0"/>
      <w:marTop w:val="0"/>
      <w:marBottom w:val="0"/>
      <w:divBdr>
        <w:top w:val="none" w:sz="0" w:space="0" w:color="auto"/>
        <w:left w:val="none" w:sz="0" w:space="0" w:color="auto"/>
        <w:bottom w:val="none" w:sz="0" w:space="0" w:color="auto"/>
        <w:right w:val="none" w:sz="0" w:space="0" w:color="auto"/>
      </w:divBdr>
    </w:div>
    <w:div w:id="1188062069">
      <w:bodyDiv w:val="1"/>
      <w:marLeft w:val="0"/>
      <w:marRight w:val="0"/>
      <w:marTop w:val="0"/>
      <w:marBottom w:val="0"/>
      <w:divBdr>
        <w:top w:val="none" w:sz="0" w:space="0" w:color="auto"/>
        <w:left w:val="none" w:sz="0" w:space="0" w:color="auto"/>
        <w:bottom w:val="none" w:sz="0" w:space="0" w:color="auto"/>
        <w:right w:val="none" w:sz="0" w:space="0" w:color="auto"/>
      </w:divBdr>
    </w:div>
    <w:div w:id="1189100576">
      <w:bodyDiv w:val="1"/>
      <w:marLeft w:val="0"/>
      <w:marRight w:val="0"/>
      <w:marTop w:val="0"/>
      <w:marBottom w:val="0"/>
      <w:divBdr>
        <w:top w:val="none" w:sz="0" w:space="0" w:color="auto"/>
        <w:left w:val="none" w:sz="0" w:space="0" w:color="auto"/>
        <w:bottom w:val="none" w:sz="0" w:space="0" w:color="auto"/>
        <w:right w:val="none" w:sz="0" w:space="0" w:color="auto"/>
      </w:divBdr>
    </w:div>
    <w:div w:id="1189178749">
      <w:bodyDiv w:val="1"/>
      <w:marLeft w:val="0"/>
      <w:marRight w:val="0"/>
      <w:marTop w:val="0"/>
      <w:marBottom w:val="0"/>
      <w:divBdr>
        <w:top w:val="none" w:sz="0" w:space="0" w:color="auto"/>
        <w:left w:val="none" w:sz="0" w:space="0" w:color="auto"/>
        <w:bottom w:val="none" w:sz="0" w:space="0" w:color="auto"/>
        <w:right w:val="none" w:sz="0" w:space="0" w:color="auto"/>
      </w:divBdr>
    </w:div>
    <w:div w:id="1189298973">
      <w:bodyDiv w:val="1"/>
      <w:marLeft w:val="0"/>
      <w:marRight w:val="0"/>
      <w:marTop w:val="0"/>
      <w:marBottom w:val="0"/>
      <w:divBdr>
        <w:top w:val="none" w:sz="0" w:space="0" w:color="auto"/>
        <w:left w:val="none" w:sz="0" w:space="0" w:color="auto"/>
        <w:bottom w:val="none" w:sz="0" w:space="0" w:color="auto"/>
        <w:right w:val="none" w:sz="0" w:space="0" w:color="auto"/>
      </w:divBdr>
    </w:div>
    <w:div w:id="1189373503">
      <w:bodyDiv w:val="1"/>
      <w:marLeft w:val="0"/>
      <w:marRight w:val="0"/>
      <w:marTop w:val="0"/>
      <w:marBottom w:val="0"/>
      <w:divBdr>
        <w:top w:val="none" w:sz="0" w:space="0" w:color="auto"/>
        <w:left w:val="none" w:sz="0" w:space="0" w:color="auto"/>
        <w:bottom w:val="none" w:sz="0" w:space="0" w:color="auto"/>
        <w:right w:val="none" w:sz="0" w:space="0" w:color="auto"/>
      </w:divBdr>
    </w:div>
    <w:div w:id="1189761013">
      <w:bodyDiv w:val="1"/>
      <w:marLeft w:val="0"/>
      <w:marRight w:val="0"/>
      <w:marTop w:val="0"/>
      <w:marBottom w:val="0"/>
      <w:divBdr>
        <w:top w:val="none" w:sz="0" w:space="0" w:color="auto"/>
        <w:left w:val="none" w:sz="0" w:space="0" w:color="auto"/>
        <w:bottom w:val="none" w:sz="0" w:space="0" w:color="auto"/>
        <w:right w:val="none" w:sz="0" w:space="0" w:color="auto"/>
      </w:divBdr>
    </w:div>
    <w:div w:id="1190332857">
      <w:bodyDiv w:val="1"/>
      <w:marLeft w:val="0"/>
      <w:marRight w:val="0"/>
      <w:marTop w:val="0"/>
      <w:marBottom w:val="0"/>
      <w:divBdr>
        <w:top w:val="none" w:sz="0" w:space="0" w:color="auto"/>
        <w:left w:val="none" w:sz="0" w:space="0" w:color="auto"/>
        <w:bottom w:val="none" w:sz="0" w:space="0" w:color="auto"/>
        <w:right w:val="none" w:sz="0" w:space="0" w:color="auto"/>
      </w:divBdr>
    </w:div>
    <w:div w:id="1190989292">
      <w:bodyDiv w:val="1"/>
      <w:marLeft w:val="0"/>
      <w:marRight w:val="0"/>
      <w:marTop w:val="0"/>
      <w:marBottom w:val="0"/>
      <w:divBdr>
        <w:top w:val="none" w:sz="0" w:space="0" w:color="auto"/>
        <w:left w:val="none" w:sz="0" w:space="0" w:color="auto"/>
        <w:bottom w:val="none" w:sz="0" w:space="0" w:color="auto"/>
        <w:right w:val="none" w:sz="0" w:space="0" w:color="auto"/>
      </w:divBdr>
    </w:div>
    <w:div w:id="1190990074">
      <w:bodyDiv w:val="1"/>
      <w:marLeft w:val="0"/>
      <w:marRight w:val="0"/>
      <w:marTop w:val="0"/>
      <w:marBottom w:val="0"/>
      <w:divBdr>
        <w:top w:val="none" w:sz="0" w:space="0" w:color="auto"/>
        <w:left w:val="none" w:sz="0" w:space="0" w:color="auto"/>
        <w:bottom w:val="none" w:sz="0" w:space="0" w:color="auto"/>
        <w:right w:val="none" w:sz="0" w:space="0" w:color="auto"/>
      </w:divBdr>
    </w:div>
    <w:div w:id="1190995537">
      <w:bodyDiv w:val="1"/>
      <w:marLeft w:val="0"/>
      <w:marRight w:val="0"/>
      <w:marTop w:val="0"/>
      <w:marBottom w:val="0"/>
      <w:divBdr>
        <w:top w:val="none" w:sz="0" w:space="0" w:color="auto"/>
        <w:left w:val="none" w:sz="0" w:space="0" w:color="auto"/>
        <w:bottom w:val="none" w:sz="0" w:space="0" w:color="auto"/>
        <w:right w:val="none" w:sz="0" w:space="0" w:color="auto"/>
      </w:divBdr>
    </w:div>
    <w:div w:id="1191607732">
      <w:bodyDiv w:val="1"/>
      <w:marLeft w:val="0"/>
      <w:marRight w:val="0"/>
      <w:marTop w:val="0"/>
      <w:marBottom w:val="0"/>
      <w:divBdr>
        <w:top w:val="none" w:sz="0" w:space="0" w:color="auto"/>
        <w:left w:val="none" w:sz="0" w:space="0" w:color="auto"/>
        <w:bottom w:val="none" w:sz="0" w:space="0" w:color="auto"/>
        <w:right w:val="none" w:sz="0" w:space="0" w:color="auto"/>
      </w:divBdr>
    </w:div>
    <w:div w:id="1191839624">
      <w:bodyDiv w:val="1"/>
      <w:marLeft w:val="0"/>
      <w:marRight w:val="0"/>
      <w:marTop w:val="0"/>
      <w:marBottom w:val="0"/>
      <w:divBdr>
        <w:top w:val="none" w:sz="0" w:space="0" w:color="auto"/>
        <w:left w:val="none" w:sz="0" w:space="0" w:color="auto"/>
        <w:bottom w:val="none" w:sz="0" w:space="0" w:color="auto"/>
        <w:right w:val="none" w:sz="0" w:space="0" w:color="auto"/>
      </w:divBdr>
    </w:div>
    <w:div w:id="1192184424">
      <w:bodyDiv w:val="1"/>
      <w:marLeft w:val="0"/>
      <w:marRight w:val="0"/>
      <w:marTop w:val="0"/>
      <w:marBottom w:val="0"/>
      <w:divBdr>
        <w:top w:val="none" w:sz="0" w:space="0" w:color="auto"/>
        <w:left w:val="none" w:sz="0" w:space="0" w:color="auto"/>
        <w:bottom w:val="none" w:sz="0" w:space="0" w:color="auto"/>
        <w:right w:val="none" w:sz="0" w:space="0" w:color="auto"/>
      </w:divBdr>
    </w:div>
    <w:div w:id="1192499996">
      <w:bodyDiv w:val="1"/>
      <w:marLeft w:val="0"/>
      <w:marRight w:val="0"/>
      <w:marTop w:val="0"/>
      <w:marBottom w:val="0"/>
      <w:divBdr>
        <w:top w:val="none" w:sz="0" w:space="0" w:color="auto"/>
        <w:left w:val="none" w:sz="0" w:space="0" w:color="auto"/>
        <w:bottom w:val="none" w:sz="0" w:space="0" w:color="auto"/>
        <w:right w:val="none" w:sz="0" w:space="0" w:color="auto"/>
      </w:divBdr>
    </w:div>
    <w:div w:id="1192573022">
      <w:bodyDiv w:val="1"/>
      <w:marLeft w:val="0"/>
      <w:marRight w:val="0"/>
      <w:marTop w:val="0"/>
      <w:marBottom w:val="0"/>
      <w:divBdr>
        <w:top w:val="none" w:sz="0" w:space="0" w:color="auto"/>
        <w:left w:val="none" w:sz="0" w:space="0" w:color="auto"/>
        <w:bottom w:val="none" w:sz="0" w:space="0" w:color="auto"/>
        <w:right w:val="none" w:sz="0" w:space="0" w:color="auto"/>
      </w:divBdr>
    </w:div>
    <w:div w:id="1192719999">
      <w:bodyDiv w:val="1"/>
      <w:marLeft w:val="0"/>
      <w:marRight w:val="0"/>
      <w:marTop w:val="0"/>
      <w:marBottom w:val="0"/>
      <w:divBdr>
        <w:top w:val="none" w:sz="0" w:space="0" w:color="auto"/>
        <w:left w:val="none" w:sz="0" w:space="0" w:color="auto"/>
        <w:bottom w:val="none" w:sz="0" w:space="0" w:color="auto"/>
        <w:right w:val="none" w:sz="0" w:space="0" w:color="auto"/>
      </w:divBdr>
    </w:div>
    <w:div w:id="1193111793">
      <w:bodyDiv w:val="1"/>
      <w:marLeft w:val="0"/>
      <w:marRight w:val="0"/>
      <w:marTop w:val="0"/>
      <w:marBottom w:val="0"/>
      <w:divBdr>
        <w:top w:val="none" w:sz="0" w:space="0" w:color="auto"/>
        <w:left w:val="none" w:sz="0" w:space="0" w:color="auto"/>
        <w:bottom w:val="none" w:sz="0" w:space="0" w:color="auto"/>
        <w:right w:val="none" w:sz="0" w:space="0" w:color="auto"/>
      </w:divBdr>
    </w:div>
    <w:div w:id="1193179719">
      <w:bodyDiv w:val="1"/>
      <w:marLeft w:val="0"/>
      <w:marRight w:val="0"/>
      <w:marTop w:val="0"/>
      <w:marBottom w:val="0"/>
      <w:divBdr>
        <w:top w:val="none" w:sz="0" w:space="0" w:color="auto"/>
        <w:left w:val="none" w:sz="0" w:space="0" w:color="auto"/>
        <w:bottom w:val="none" w:sz="0" w:space="0" w:color="auto"/>
        <w:right w:val="none" w:sz="0" w:space="0" w:color="auto"/>
      </w:divBdr>
    </w:div>
    <w:div w:id="1193416792">
      <w:bodyDiv w:val="1"/>
      <w:marLeft w:val="0"/>
      <w:marRight w:val="0"/>
      <w:marTop w:val="0"/>
      <w:marBottom w:val="0"/>
      <w:divBdr>
        <w:top w:val="none" w:sz="0" w:space="0" w:color="auto"/>
        <w:left w:val="none" w:sz="0" w:space="0" w:color="auto"/>
        <w:bottom w:val="none" w:sz="0" w:space="0" w:color="auto"/>
        <w:right w:val="none" w:sz="0" w:space="0" w:color="auto"/>
      </w:divBdr>
    </w:div>
    <w:div w:id="1193422679">
      <w:bodyDiv w:val="1"/>
      <w:marLeft w:val="0"/>
      <w:marRight w:val="0"/>
      <w:marTop w:val="0"/>
      <w:marBottom w:val="0"/>
      <w:divBdr>
        <w:top w:val="none" w:sz="0" w:space="0" w:color="auto"/>
        <w:left w:val="none" w:sz="0" w:space="0" w:color="auto"/>
        <w:bottom w:val="none" w:sz="0" w:space="0" w:color="auto"/>
        <w:right w:val="none" w:sz="0" w:space="0" w:color="auto"/>
      </w:divBdr>
    </w:div>
    <w:div w:id="1193763822">
      <w:bodyDiv w:val="1"/>
      <w:marLeft w:val="0"/>
      <w:marRight w:val="0"/>
      <w:marTop w:val="0"/>
      <w:marBottom w:val="0"/>
      <w:divBdr>
        <w:top w:val="none" w:sz="0" w:space="0" w:color="auto"/>
        <w:left w:val="none" w:sz="0" w:space="0" w:color="auto"/>
        <w:bottom w:val="none" w:sz="0" w:space="0" w:color="auto"/>
        <w:right w:val="none" w:sz="0" w:space="0" w:color="auto"/>
      </w:divBdr>
    </w:div>
    <w:div w:id="1193886824">
      <w:bodyDiv w:val="1"/>
      <w:marLeft w:val="0"/>
      <w:marRight w:val="0"/>
      <w:marTop w:val="0"/>
      <w:marBottom w:val="0"/>
      <w:divBdr>
        <w:top w:val="none" w:sz="0" w:space="0" w:color="auto"/>
        <w:left w:val="none" w:sz="0" w:space="0" w:color="auto"/>
        <w:bottom w:val="none" w:sz="0" w:space="0" w:color="auto"/>
        <w:right w:val="none" w:sz="0" w:space="0" w:color="auto"/>
      </w:divBdr>
    </w:div>
    <w:div w:id="1194419282">
      <w:bodyDiv w:val="1"/>
      <w:marLeft w:val="0"/>
      <w:marRight w:val="0"/>
      <w:marTop w:val="0"/>
      <w:marBottom w:val="0"/>
      <w:divBdr>
        <w:top w:val="none" w:sz="0" w:space="0" w:color="auto"/>
        <w:left w:val="none" w:sz="0" w:space="0" w:color="auto"/>
        <w:bottom w:val="none" w:sz="0" w:space="0" w:color="auto"/>
        <w:right w:val="none" w:sz="0" w:space="0" w:color="auto"/>
      </w:divBdr>
    </w:div>
    <w:div w:id="1194809336">
      <w:bodyDiv w:val="1"/>
      <w:marLeft w:val="0"/>
      <w:marRight w:val="0"/>
      <w:marTop w:val="0"/>
      <w:marBottom w:val="0"/>
      <w:divBdr>
        <w:top w:val="none" w:sz="0" w:space="0" w:color="auto"/>
        <w:left w:val="none" w:sz="0" w:space="0" w:color="auto"/>
        <w:bottom w:val="none" w:sz="0" w:space="0" w:color="auto"/>
        <w:right w:val="none" w:sz="0" w:space="0" w:color="auto"/>
      </w:divBdr>
    </w:div>
    <w:div w:id="1194884214">
      <w:bodyDiv w:val="1"/>
      <w:marLeft w:val="0"/>
      <w:marRight w:val="0"/>
      <w:marTop w:val="0"/>
      <w:marBottom w:val="0"/>
      <w:divBdr>
        <w:top w:val="none" w:sz="0" w:space="0" w:color="auto"/>
        <w:left w:val="none" w:sz="0" w:space="0" w:color="auto"/>
        <w:bottom w:val="none" w:sz="0" w:space="0" w:color="auto"/>
        <w:right w:val="none" w:sz="0" w:space="0" w:color="auto"/>
      </w:divBdr>
    </w:div>
    <w:div w:id="1195315771">
      <w:bodyDiv w:val="1"/>
      <w:marLeft w:val="0"/>
      <w:marRight w:val="0"/>
      <w:marTop w:val="0"/>
      <w:marBottom w:val="0"/>
      <w:divBdr>
        <w:top w:val="none" w:sz="0" w:space="0" w:color="auto"/>
        <w:left w:val="none" w:sz="0" w:space="0" w:color="auto"/>
        <w:bottom w:val="none" w:sz="0" w:space="0" w:color="auto"/>
        <w:right w:val="none" w:sz="0" w:space="0" w:color="auto"/>
      </w:divBdr>
    </w:div>
    <w:div w:id="1195382781">
      <w:bodyDiv w:val="1"/>
      <w:marLeft w:val="0"/>
      <w:marRight w:val="0"/>
      <w:marTop w:val="0"/>
      <w:marBottom w:val="0"/>
      <w:divBdr>
        <w:top w:val="none" w:sz="0" w:space="0" w:color="auto"/>
        <w:left w:val="none" w:sz="0" w:space="0" w:color="auto"/>
        <w:bottom w:val="none" w:sz="0" w:space="0" w:color="auto"/>
        <w:right w:val="none" w:sz="0" w:space="0" w:color="auto"/>
      </w:divBdr>
    </w:div>
    <w:div w:id="1195459508">
      <w:bodyDiv w:val="1"/>
      <w:marLeft w:val="0"/>
      <w:marRight w:val="0"/>
      <w:marTop w:val="0"/>
      <w:marBottom w:val="0"/>
      <w:divBdr>
        <w:top w:val="none" w:sz="0" w:space="0" w:color="auto"/>
        <w:left w:val="none" w:sz="0" w:space="0" w:color="auto"/>
        <w:bottom w:val="none" w:sz="0" w:space="0" w:color="auto"/>
        <w:right w:val="none" w:sz="0" w:space="0" w:color="auto"/>
      </w:divBdr>
    </w:div>
    <w:div w:id="1195919024">
      <w:bodyDiv w:val="1"/>
      <w:marLeft w:val="0"/>
      <w:marRight w:val="0"/>
      <w:marTop w:val="0"/>
      <w:marBottom w:val="0"/>
      <w:divBdr>
        <w:top w:val="none" w:sz="0" w:space="0" w:color="auto"/>
        <w:left w:val="none" w:sz="0" w:space="0" w:color="auto"/>
        <w:bottom w:val="none" w:sz="0" w:space="0" w:color="auto"/>
        <w:right w:val="none" w:sz="0" w:space="0" w:color="auto"/>
      </w:divBdr>
    </w:div>
    <w:div w:id="1196042217">
      <w:bodyDiv w:val="1"/>
      <w:marLeft w:val="0"/>
      <w:marRight w:val="0"/>
      <w:marTop w:val="0"/>
      <w:marBottom w:val="0"/>
      <w:divBdr>
        <w:top w:val="none" w:sz="0" w:space="0" w:color="auto"/>
        <w:left w:val="none" w:sz="0" w:space="0" w:color="auto"/>
        <w:bottom w:val="none" w:sz="0" w:space="0" w:color="auto"/>
        <w:right w:val="none" w:sz="0" w:space="0" w:color="auto"/>
      </w:divBdr>
    </w:div>
    <w:div w:id="1196234818">
      <w:bodyDiv w:val="1"/>
      <w:marLeft w:val="0"/>
      <w:marRight w:val="0"/>
      <w:marTop w:val="0"/>
      <w:marBottom w:val="0"/>
      <w:divBdr>
        <w:top w:val="none" w:sz="0" w:space="0" w:color="auto"/>
        <w:left w:val="none" w:sz="0" w:space="0" w:color="auto"/>
        <w:bottom w:val="none" w:sz="0" w:space="0" w:color="auto"/>
        <w:right w:val="none" w:sz="0" w:space="0" w:color="auto"/>
      </w:divBdr>
    </w:div>
    <w:div w:id="1197080647">
      <w:bodyDiv w:val="1"/>
      <w:marLeft w:val="0"/>
      <w:marRight w:val="0"/>
      <w:marTop w:val="0"/>
      <w:marBottom w:val="0"/>
      <w:divBdr>
        <w:top w:val="none" w:sz="0" w:space="0" w:color="auto"/>
        <w:left w:val="none" w:sz="0" w:space="0" w:color="auto"/>
        <w:bottom w:val="none" w:sz="0" w:space="0" w:color="auto"/>
        <w:right w:val="none" w:sz="0" w:space="0" w:color="auto"/>
      </w:divBdr>
    </w:div>
    <w:div w:id="1197111783">
      <w:bodyDiv w:val="1"/>
      <w:marLeft w:val="0"/>
      <w:marRight w:val="0"/>
      <w:marTop w:val="0"/>
      <w:marBottom w:val="0"/>
      <w:divBdr>
        <w:top w:val="none" w:sz="0" w:space="0" w:color="auto"/>
        <w:left w:val="none" w:sz="0" w:space="0" w:color="auto"/>
        <w:bottom w:val="none" w:sz="0" w:space="0" w:color="auto"/>
        <w:right w:val="none" w:sz="0" w:space="0" w:color="auto"/>
      </w:divBdr>
    </w:div>
    <w:div w:id="1197541395">
      <w:bodyDiv w:val="1"/>
      <w:marLeft w:val="0"/>
      <w:marRight w:val="0"/>
      <w:marTop w:val="0"/>
      <w:marBottom w:val="0"/>
      <w:divBdr>
        <w:top w:val="none" w:sz="0" w:space="0" w:color="auto"/>
        <w:left w:val="none" w:sz="0" w:space="0" w:color="auto"/>
        <w:bottom w:val="none" w:sz="0" w:space="0" w:color="auto"/>
        <w:right w:val="none" w:sz="0" w:space="0" w:color="auto"/>
      </w:divBdr>
    </w:div>
    <w:div w:id="1197812634">
      <w:bodyDiv w:val="1"/>
      <w:marLeft w:val="0"/>
      <w:marRight w:val="0"/>
      <w:marTop w:val="0"/>
      <w:marBottom w:val="0"/>
      <w:divBdr>
        <w:top w:val="none" w:sz="0" w:space="0" w:color="auto"/>
        <w:left w:val="none" w:sz="0" w:space="0" w:color="auto"/>
        <w:bottom w:val="none" w:sz="0" w:space="0" w:color="auto"/>
        <w:right w:val="none" w:sz="0" w:space="0" w:color="auto"/>
      </w:divBdr>
    </w:div>
    <w:div w:id="1198002579">
      <w:bodyDiv w:val="1"/>
      <w:marLeft w:val="0"/>
      <w:marRight w:val="0"/>
      <w:marTop w:val="0"/>
      <w:marBottom w:val="0"/>
      <w:divBdr>
        <w:top w:val="none" w:sz="0" w:space="0" w:color="auto"/>
        <w:left w:val="none" w:sz="0" w:space="0" w:color="auto"/>
        <w:bottom w:val="none" w:sz="0" w:space="0" w:color="auto"/>
        <w:right w:val="none" w:sz="0" w:space="0" w:color="auto"/>
      </w:divBdr>
    </w:div>
    <w:div w:id="1198469388">
      <w:bodyDiv w:val="1"/>
      <w:marLeft w:val="0"/>
      <w:marRight w:val="0"/>
      <w:marTop w:val="0"/>
      <w:marBottom w:val="0"/>
      <w:divBdr>
        <w:top w:val="none" w:sz="0" w:space="0" w:color="auto"/>
        <w:left w:val="none" w:sz="0" w:space="0" w:color="auto"/>
        <w:bottom w:val="none" w:sz="0" w:space="0" w:color="auto"/>
        <w:right w:val="none" w:sz="0" w:space="0" w:color="auto"/>
      </w:divBdr>
    </w:div>
    <w:div w:id="1199197995">
      <w:bodyDiv w:val="1"/>
      <w:marLeft w:val="0"/>
      <w:marRight w:val="0"/>
      <w:marTop w:val="0"/>
      <w:marBottom w:val="0"/>
      <w:divBdr>
        <w:top w:val="none" w:sz="0" w:space="0" w:color="auto"/>
        <w:left w:val="none" w:sz="0" w:space="0" w:color="auto"/>
        <w:bottom w:val="none" w:sz="0" w:space="0" w:color="auto"/>
        <w:right w:val="none" w:sz="0" w:space="0" w:color="auto"/>
      </w:divBdr>
    </w:div>
    <w:div w:id="1199389134">
      <w:bodyDiv w:val="1"/>
      <w:marLeft w:val="0"/>
      <w:marRight w:val="0"/>
      <w:marTop w:val="0"/>
      <w:marBottom w:val="0"/>
      <w:divBdr>
        <w:top w:val="none" w:sz="0" w:space="0" w:color="auto"/>
        <w:left w:val="none" w:sz="0" w:space="0" w:color="auto"/>
        <w:bottom w:val="none" w:sz="0" w:space="0" w:color="auto"/>
        <w:right w:val="none" w:sz="0" w:space="0" w:color="auto"/>
      </w:divBdr>
    </w:div>
    <w:div w:id="1199659020">
      <w:bodyDiv w:val="1"/>
      <w:marLeft w:val="0"/>
      <w:marRight w:val="0"/>
      <w:marTop w:val="0"/>
      <w:marBottom w:val="0"/>
      <w:divBdr>
        <w:top w:val="none" w:sz="0" w:space="0" w:color="auto"/>
        <w:left w:val="none" w:sz="0" w:space="0" w:color="auto"/>
        <w:bottom w:val="none" w:sz="0" w:space="0" w:color="auto"/>
        <w:right w:val="none" w:sz="0" w:space="0" w:color="auto"/>
      </w:divBdr>
    </w:div>
    <w:div w:id="1199854464">
      <w:bodyDiv w:val="1"/>
      <w:marLeft w:val="0"/>
      <w:marRight w:val="0"/>
      <w:marTop w:val="0"/>
      <w:marBottom w:val="0"/>
      <w:divBdr>
        <w:top w:val="none" w:sz="0" w:space="0" w:color="auto"/>
        <w:left w:val="none" w:sz="0" w:space="0" w:color="auto"/>
        <w:bottom w:val="none" w:sz="0" w:space="0" w:color="auto"/>
        <w:right w:val="none" w:sz="0" w:space="0" w:color="auto"/>
      </w:divBdr>
    </w:div>
    <w:div w:id="1200125158">
      <w:bodyDiv w:val="1"/>
      <w:marLeft w:val="0"/>
      <w:marRight w:val="0"/>
      <w:marTop w:val="0"/>
      <w:marBottom w:val="0"/>
      <w:divBdr>
        <w:top w:val="none" w:sz="0" w:space="0" w:color="auto"/>
        <w:left w:val="none" w:sz="0" w:space="0" w:color="auto"/>
        <w:bottom w:val="none" w:sz="0" w:space="0" w:color="auto"/>
        <w:right w:val="none" w:sz="0" w:space="0" w:color="auto"/>
      </w:divBdr>
    </w:div>
    <w:div w:id="1200975640">
      <w:bodyDiv w:val="1"/>
      <w:marLeft w:val="0"/>
      <w:marRight w:val="0"/>
      <w:marTop w:val="0"/>
      <w:marBottom w:val="0"/>
      <w:divBdr>
        <w:top w:val="none" w:sz="0" w:space="0" w:color="auto"/>
        <w:left w:val="none" w:sz="0" w:space="0" w:color="auto"/>
        <w:bottom w:val="none" w:sz="0" w:space="0" w:color="auto"/>
        <w:right w:val="none" w:sz="0" w:space="0" w:color="auto"/>
      </w:divBdr>
    </w:div>
    <w:div w:id="1200976868">
      <w:bodyDiv w:val="1"/>
      <w:marLeft w:val="0"/>
      <w:marRight w:val="0"/>
      <w:marTop w:val="0"/>
      <w:marBottom w:val="0"/>
      <w:divBdr>
        <w:top w:val="none" w:sz="0" w:space="0" w:color="auto"/>
        <w:left w:val="none" w:sz="0" w:space="0" w:color="auto"/>
        <w:bottom w:val="none" w:sz="0" w:space="0" w:color="auto"/>
        <w:right w:val="none" w:sz="0" w:space="0" w:color="auto"/>
      </w:divBdr>
    </w:div>
    <w:div w:id="1201019976">
      <w:bodyDiv w:val="1"/>
      <w:marLeft w:val="0"/>
      <w:marRight w:val="0"/>
      <w:marTop w:val="0"/>
      <w:marBottom w:val="0"/>
      <w:divBdr>
        <w:top w:val="none" w:sz="0" w:space="0" w:color="auto"/>
        <w:left w:val="none" w:sz="0" w:space="0" w:color="auto"/>
        <w:bottom w:val="none" w:sz="0" w:space="0" w:color="auto"/>
        <w:right w:val="none" w:sz="0" w:space="0" w:color="auto"/>
      </w:divBdr>
    </w:div>
    <w:div w:id="1201091471">
      <w:bodyDiv w:val="1"/>
      <w:marLeft w:val="0"/>
      <w:marRight w:val="0"/>
      <w:marTop w:val="0"/>
      <w:marBottom w:val="0"/>
      <w:divBdr>
        <w:top w:val="none" w:sz="0" w:space="0" w:color="auto"/>
        <w:left w:val="none" w:sz="0" w:space="0" w:color="auto"/>
        <w:bottom w:val="none" w:sz="0" w:space="0" w:color="auto"/>
        <w:right w:val="none" w:sz="0" w:space="0" w:color="auto"/>
      </w:divBdr>
    </w:div>
    <w:div w:id="1201281707">
      <w:bodyDiv w:val="1"/>
      <w:marLeft w:val="0"/>
      <w:marRight w:val="0"/>
      <w:marTop w:val="0"/>
      <w:marBottom w:val="0"/>
      <w:divBdr>
        <w:top w:val="none" w:sz="0" w:space="0" w:color="auto"/>
        <w:left w:val="none" w:sz="0" w:space="0" w:color="auto"/>
        <w:bottom w:val="none" w:sz="0" w:space="0" w:color="auto"/>
        <w:right w:val="none" w:sz="0" w:space="0" w:color="auto"/>
      </w:divBdr>
    </w:div>
    <w:div w:id="1202018805">
      <w:bodyDiv w:val="1"/>
      <w:marLeft w:val="0"/>
      <w:marRight w:val="0"/>
      <w:marTop w:val="0"/>
      <w:marBottom w:val="0"/>
      <w:divBdr>
        <w:top w:val="none" w:sz="0" w:space="0" w:color="auto"/>
        <w:left w:val="none" w:sz="0" w:space="0" w:color="auto"/>
        <w:bottom w:val="none" w:sz="0" w:space="0" w:color="auto"/>
        <w:right w:val="none" w:sz="0" w:space="0" w:color="auto"/>
      </w:divBdr>
    </w:div>
    <w:div w:id="1202128367">
      <w:bodyDiv w:val="1"/>
      <w:marLeft w:val="0"/>
      <w:marRight w:val="0"/>
      <w:marTop w:val="0"/>
      <w:marBottom w:val="0"/>
      <w:divBdr>
        <w:top w:val="none" w:sz="0" w:space="0" w:color="auto"/>
        <w:left w:val="none" w:sz="0" w:space="0" w:color="auto"/>
        <w:bottom w:val="none" w:sz="0" w:space="0" w:color="auto"/>
        <w:right w:val="none" w:sz="0" w:space="0" w:color="auto"/>
      </w:divBdr>
    </w:div>
    <w:div w:id="1202355004">
      <w:bodyDiv w:val="1"/>
      <w:marLeft w:val="0"/>
      <w:marRight w:val="0"/>
      <w:marTop w:val="0"/>
      <w:marBottom w:val="0"/>
      <w:divBdr>
        <w:top w:val="none" w:sz="0" w:space="0" w:color="auto"/>
        <w:left w:val="none" w:sz="0" w:space="0" w:color="auto"/>
        <w:bottom w:val="none" w:sz="0" w:space="0" w:color="auto"/>
        <w:right w:val="none" w:sz="0" w:space="0" w:color="auto"/>
      </w:divBdr>
    </w:div>
    <w:div w:id="1202399464">
      <w:bodyDiv w:val="1"/>
      <w:marLeft w:val="0"/>
      <w:marRight w:val="0"/>
      <w:marTop w:val="0"/>
      <w:marBottom w:val="0"/>
      <w:divBdr>
        <w:top w:val="none" w:sz="0" w:space="0" w:color="auto"/>
        <w:left w:val="none" w:sz="0" w:space="0" w:color="auto"/>
        <w:bottom w:val="none" w:sz="0" w:space="0" w:color="auto"/>
        <w:right w:val="none" w:sz="0" w:space="0" w:color="auto"/>
      </w:divBdr>
    </w:div>
    <w:div w:id="1202934545">
      <w:bodyDiv w:val="1"/>
      <w:marLeft w:val="0"/>
      <w:marRight w:val="0"/>
      <w:marTop w:val="0"/>
      <w:marBottom w:val="0"/>
      <w:divBdr>
        <w:top w:val="none" w:sz="0" w:space="0" w:color="auto"/>
        <w:left w:val="none" w:sz="0" w:space="0" w:color="auto"/>
        <w:bottom w:val="none" w:sz="0" w:space="0" w:color="auto"/>
        <w:right w:val="none" w:sz="0" w:space="0" w:color="auto"/>
      </w:divBdr>
    </w:div>
    <w:div w:id="1202982713">
      <w:bodyDiv w:val="1"/>
      <w:marLeft w:val="0"/>
      <w:marRight w:val="0"/>
      <w:marTop w:val="0"/>
      <w:marBottom w:val="0"/>
      <w:divBdr>
        <w:top w:val="none" w:sz="0" w:space="0" w:color="auto"/>
        <w:left w:val="none" w:sz="0" w:space="0" w:color="auto"/>
        <w:bottom w:val="none" w:sz="0" w:space="0" w:color="auto"/>
        <w:right w:val="none" w:sz="0" w:space="0" w:color="auto"/>
      </w:divBdr>
    </w:div>
    <w:div w:id="1203589061">
      <w:bodyDiv w:val="1"/>
      <w:marLeft w:val="0"/>
      <w:marRight w:val="0"/>
      <w:marTop w:val="0"/>
      <w:marBottom w:val="0"/>
      <w:divBdr>
        <w:top w:val="none" w:sz="0" w:space="0" w:color="auto"/>
        <w:left w:val="none" w:sz="0" w:space="0" w:color="auto"/>
        <w:bottom w:val="none" w:sz="0" w:space="0" w:color="auto"/>
        <w:right w:val="none" w:sz="0" w:space="0" w:color="auto"/>
      </w:divBdr>
    </w:div>
    <w:div w:id="1203785754">
      <w:bodyDiv w:val="1"/>
      <w:marLeft w:val="0"/>
      <w:marRight w:val="0"/>
      <w:marTop w:val="0"/>
      <w:marBottom w:val="0"/>
      <w:divBdr>
        <w:top w:val="none" w:sz="0" w:space="0" w:color="auto"/>
        <w:left w:val="none" w:sz="0" w:space="0" w:color="auto"/>
        <w:bottom w:val="none" w:sz="0" w:space="0" w:color="auto"/>
        <w:right w:val="none" w:sz="0" w:space="0" w:color="auto"/>
      </w:divBdr>
    </w:div>
    <w:div w:id="1203979855">
      <w:bodyDiv w:val="1"/>
      <w:marLeft w:val="0"/>
      <w:marRight w:val="0"/>
      <w:marTop w:val="0"/>
      <w:marBottom w:val="0"/>
      <w:divBdr>
        <w:top w:val="none" w:sz="0" w:space="0" w:color="auto"/>
        <w:left w:val="none" w:sz="0" w:space="0" w:color="auto"/>
        <w:bottom w:val="none" w:sz="0" w:space="0" w:color="auto"/>
        <w:right w:val="none" w:sz="0" w:space="0" w:color="auto"/>
      </w:divBdr>
    </w:div>
    <w:div w:id="1204053180">
      <w:bodyDiv w:val="1"/>
      <w:marLeft w:val="0"/>
      <w:marRight w:val="0"/>
      <w:marTop w:val="0"/>
      <w:marBottom w:val="0"/>
      <w:divBdr>
        <w:top w:val="none" w:sz="0" w:space="0" w:color="auto"/>
        <w:left w:val="none" w:sz="0" w:space="0" w:color="auto"/>
        <w:bottom w:val="none" w:sz="0" w:space="0" w:color="auto"/>
        <w:right w:val="none" w:sz="0" w:space="0" w:color="auto"/>
      </w:divBdr>
    </w:div>
    <w:div w:id="1204057415">
      <w:bodyDiv w:val="1"/>
      <w:marLeft w:val="0"/>
      <w:marRight w:val="0"/>
      <w:marTop w:val="0"/>
      <w:marBottom w:val="0"/>
      <w:divBdr>
        <w:top w:val="none" w:sz="0" w:space="0" w:color="auto"/>
        <w:left w:val="none" w:sz="0" w:space="0" w:color="auto"/>
        <w:bottom w:val="none" w:sz="0" w:space="0" w:color="auto"/>
        <w:right w:val="none" w:sz="0" w:space="0" w:color="auto"/>
      </w:divBdr>
    </w:div>
    <w:div w:id="1204290890">
      <w:bodyDiv w:val="1"/>
      <w:marLeft w:val="0"/>
      <w:marRight w:val="0"/>
      <w:marTop w:val="0"/>
      <w:marBottom w:val="0"/>
      <w:divBdr>
        <w:top w:val="none" w:sz="0" w:space="0" w:color="auto"/>
        <w:left w:val="none" w:sz="0" w:space="0" w:color="auto"/>
        <w:bottom w:val="none" w:sz="0" w:space="0" w:color="auto"/>
        <w:right w:val="none" w:sz="0" w:space="0" w:color="auto"/>
      </w:divBdr>
    </w:div>
    <w:div w:id="1204514348">
      <w:bodyDiv w:val="1"/>
      <w:marLeft w:val="0"/>
      <w:marRight w:val="0"/>
      <w:marTop w:val="0"/>
      <w:marBottom w:val="0"/>
      <w:divBdr>
        <w:top w:val="none" w:sz="0" w:space="0" w:color="auto"/>
        <w:left w:val="none" w:sz="0" w:space="0" w:color="auto"/>
        <w:bottom w:val="none" w:sz="0" w:space="0" w:color="auto"/>
        <w:right w:val="none" w:sz="0" w:space="0" w:color="auto"/>
      </w:divBdr>
    </w:div>
    <w:div w:id="1204632149">
      <w:bodyDiv w:val="1"/>
      <w:marLeft w:val="0"/>
      <w:marRight w:val="0"/>
      <w:marTop w:val="0"/>
      <w:marBottom w:val="0"/>
      <w:divBdr>
        <w:top w:val="none" w:sz="0" w:space="0" w:color="auto"/>
        <w:left w:val="none" w:sz="0" w:space="0" w:color="auto"/>
        <w:bottom w:val="none" w:sz="0" w:space="0" w:color="auto"/>
        <w:right w:val="none" w:sz="0" w:space="0" w:color="auto"/>
      </w:divBdr>
    </w:div>
    <w:div w:id="1204715175">
      <w:bodyDiv w:val="1"/>
      <w:marLeft w:val="0"/>
      <w:marRight w:val="0"/>
      <w:marTop w:val="0"/>
      <w:marBottom w:val="0"/>
      <w:divBdr>
        <w:top w:val="none" w:sz="0" w:space="0" w:color="auto"/>
        <w:left w:val="none" w:sz="0" w:space="0" w:color="auto"/>
        <w:bottom w:val="none" w:sz="0" w:space="0" w:color="auto"/>
        <w:right w:val="none" w:sz="0" w:space="0" w:color="auto"/>
      </w:divBdr>
    </w:div>
    <w:div w:id="1204753661">
      <w:bodyDiv w:val="1"/>
      <w:marLeft w:val="0"/>
      <w:marRight w:val="0"/>
      <w:marTop w:val="0"/>
      <w:marBottom w:val="0"/>
      <w:divBdr>
        <w:top w:val="none" w:sz="0" w:space="0" w:color="auto"/>
        <w:left w:val="none" w:sz="0" w:space="0" w:color="auto"/>
        <w:bottom w:val="none" w:sz="0" w:space="0" w:color="auto"/>
        <w:right w:val="none" w:sz="0" w:space="0" w:color="auto"/>
      </w:divBdr>
    </w:div>
    <w:div w:id="1204944929">
      <w:bodyDiv w:val="1"/>
      <w:marLeft w:val="0"/>
      <w:marRight w:val="0"/>
      <w:marTop w:val="0"/>
      <w:marBottom w:val="0"/>
      <w:divBdr>
        <w:top w:val="none" w:sz="0" w:space="0" w:color="auto"/>
        <w:left w:val="none" w:sz="0" w:space="0" w:color="auto"/>
        <w:bottom w:val="none" w:sz="0" w:space="0" w:color="auto"/>
        <w:right w:val="none" w:sz="0" w:space="0" w:color="auto"/>
      </w:divBdr>
    </w:div>
    <w:div w:id="1204948913">
      <w:bodyDiv w:val="1"/>
      <w:marLeft w:val="0"/>
      <w:marRight w:val="0"/>
      <w:marTop w:val="0"/>
      <w:marBottom w:val="0"/>
      <w:divBdr>
        <w:top w:val="none" w:sz="0" w:space="0" w:color="auto"/>
        <w:left w:val="none" w:sz="0" w:space="0" w:color="auto"/>
        <w:bottom w:val="none" w:sz="0" w:space="0" w:color="auto"/>
        <w:right w:val="none" w:sz="0" w:space="0" w:color="auto"/>
      </w:divBdr>
    </w:div>
    <w:div w:id="1205214239">
      <w:bodyDiv w:val="1"/>
      <w:marLeft w:val="0"/>
      <w:marRight w:val="0"/>
      <w:marTop w:val="0"/>
      <w:marBottom w:val="0"/>
      <w:divBdr>
        <w:top w:val="none" w:sz="0" w:space="0" w:color="auto"/>
        <w:left w:val="none" w:sz="0" w:space="0" w:color="auto"/>
        <w:bottom w:val="none" w:sz="0" w:space="0" w:color="auto"/>
        <w:right w:val="none" w:sz="0" w:space="0" w:color="auto"/>
      </w:divBdr>
    </w:div>
    <w:div w:id="1205560976">
      <w:bodyDiv w:val="1"/>
      <w:marLeft w:val="0"/>
      <w:marRight w:val="0"/>
      <w:marTop w:val="0"/>
      <w:marBottom w:val="0"/>
      <w:divBdr>
        <w:top w:val="none" w:sz="0" w:space="0" w:color="auto"/>
        <w:left w:val="none" w:sz="0" w:space="0" w:color="auto"/>
        <w:bottom w:val="none" w:sz="0" w:space="0" w:color="auto"/>
        <w:right w:val="none" w:sz="0" w:space="0" w:color="auto"/>
      </w:divBdr>
    </w:div>
    <w:div w:id="1205680387">
      <w:bodyDiv w:val="1"/>
      <w:marLeft w:val="0"/>
      <w:marRight w:val="0"/>
      <w:marTop w:val="0"/>
      <w:marBottom w:val="0"/>
      <w:divBdr>
        <w:top w:val="none" w:sz="0" w:space="0" w:color="auto"/>
        <w:left w:val="none" w:sz="0" w:space="0" w:color="auto"/>
        <w:bottom w:val="none" w:sz="0" w:space="0" w:color="auto"/>
        <w:right w:val="none" w:sz="0" w:space="0" w:color="auto"/>
      </w:divBdr>
    </w:div>
    <w:div w:id="1207255875">
      <w:bodyDiv w:val="1"/>
      <w:marLeft w:val="0"/>
      <w:marRight w:val="0"/>
      <w:marTop w:val="0"/>
      <w:marBottom w:val="0"/>
      <w:divBdr>
        <w:top w:val="none" w:sz="0" w:space="0" w:color="auto"/>
        <w:left w:val="none" w:sz="0" w:space="0" w:color="auto"/>
        <w:bottom w:val="none" w:sz="0" w:space="0" w:color="auto"/>
        <w:right w:val="none" w:sz="0" w:space="0" w:color="auto"/>
      </w:divBdr>
    </w:div>
    <w:div w:id="1207450332">
      <w:bodyDiv w:val="1"/>
      <w:marLeft w:val="0"/>
      <w:marRight w:val="0"/>
      <w:marTop w:val="0"/>
      <w:marBottom w:val="0"/>
      <w:divBdr>
        <w:top w:val="none" w:sz="0" w:space="0" w:color="auto"/>
        <w:left w:val="none" w:sz="0" w:space="0" w:color="auto"/>
        <w:bottom w:val="none" w:sz="0" w:space="0" w:color="auto"/>
        <w:right w:val="none" w:sz="0" w:space="0" w:color="auto"/>
      </w:divBdr>
    </w:div>
    <w:div w:id="1207834517">
      <w:bodyDiv w:val="1"/>
      <w:marLeft w:val="0"/>
      <w:marRight w:val="0"/>
      <w:marTop w:val="0"/>
      <w:marBottom w:val="0"/>
      <w:divBdr>
        <w:top w:val="none" w:sz="0" w:space="0" w:color="auto"/>
        <w:left w:val="none" w:sz="0" w:space="0" w:color="auto"/>
        <w:bottom w:val="none" w:sz="0" w:space="0" w:color="auto"/>
        <w:right w:val="none" w:sz="0" w:space="0" w:color="auto"/>
      </w:divBdr>
    </w:div>
    <w:div w:id="1207910262">
      <w:bodyDiv w:val="1"/>
      <w:marLeft w:val="0"/>
      <w:marRight w:val="0"/>
      <w:marTop w:val="0"/>
      <w:marBottom w:val="0"/>
      <w:divBdr>
        <w:top w:val="none" w:sz="0" w:space="0" w:color="auto"/>
        <w:left w:val="none" w:sz="0" w:space="0" w:color="auto"/>
        <w:bottom w:val="none" w:sz="0" w:space="0" w:color="auto"/>
        <w:right w:val="none" w:sz="0" w:space="0" w:color="auto"/>
      </w:divBdr>
    </w:div>
    <w:div w:id="1208251557">
      <w:bodyDiv w:val="1"/>
      <w:marLeft w:val="0"/>
      <w:marRight w:val="0"/>
      <w:marTop w:val="0"/>
      <w:marBottom w:val="0"/>
      <w:divBdr>
        <w:top w:val="none" w:sz="0" w:space="0" w:color="auto"/>
        <w:left w:val="none" w:sz="0" w:space="0" w:color="auto"/>
        <w:bottom w:val="none" w:sz="0" w:space="0" w:color="auto"/>
        <w:right w:val="none" w:sz="0" w:space="0" w:color="auto"/>
      </w:divBdr>
    </w:div>
    <w:div w:id="1208878675">
      <w:bodyDiv w:val="1"/>
      <w:marLeft w:val="0"/>
      <w:marRight w:val="0"/>
      <w:marTop w:val="0"/>
      <w:marBottom w:val="0"/>
      <w:divBdr>
        <w:top w:val="none" w:sz="0" w:space="0" w:color="auto"/>
        <w:left w:val="none" w:sz="0" w:space="0" w:color="auto"/>
        <w:bottom w:val="none" w:sz="0" w:space="0" w:color="auto"/>
        <w:right w:val="none" w:sz="0" w:space="0" w:color="auto"/>
      </w:divBdr>
    </w:div>
    <w:div w:id="1208881953">
      <w:bodyDiv w:val="1"/>
      <w:marLeft w:val="0"/>
      <w:marRight w:val="0"/>
      <w:marTop w:val="0"/>
      <w:marBottom w:val="0"/>
      <w:divBdr>
        <w:top w:val="none" w:sz="0" w:space="0" w:color="auto"/>
        <w:left w:val="none" w:sz="0" w:space="0" w:color="auto"/>
        <w:bottom w:val="none" w:sz="0" w:space="0" w:color="auto"/>
        <w:right w:val="none" w:sz="0" w:space="0" w:color="auto"/>
      </w:divBdr>
    </w:div>
    <w:div w:id="1209297907">
      <w:bodyDiv w:val="1"/>
      <w:marLeft w:val="0"/>
      <w:marRight w:val="0"/>
      <w:marTop w:val="0"/>
      <w:marBottom w:val="0"/>
      <w:divBdr>
        <w:top w:val="none" w:sz="0" w:space="0" w:color="auto"/>
        <w:left w:val="none" w:sz="0" w:space="0" w:color="auto"/>
        <w:bottom w:val="none" w:sz="0" w:space="0" w:color="auto"/>
        <w:right w:val="none" w:sz="0" w:space="0" w:color="auto"/>
      </w:divBdr>
    </w:div>
    <w:div w:id="1209301482">
      <w:bodyDiv w:val="1"/>
      <w:marLeft w:val="0"/>
      <w:marRight w:val="0"/>
      <w:marTop w:val="0"/>
      <w:marBottom w:val="0"/>
      <w:divBdr>
        <w:top w:val="none" w:sz="0" w:space="0" w:color="auto"/>
        <w:left w:val="none" w:sz="0" w:space="0" w:color="auto"/>
        <w:bottom w:val="none" w:sz="0" w:space="0" w:color="auto"/>
        <w:right w:val="none" w:sz="0" w:space="0" w:color="auto"/>
      </w:divBdr>
    </w:div>
    <w:div w:id="1209804304">
      <w:bodyDiv w:val="1"/>
      <w:marLeft w:val="0"/>
      <w:marRight w:val="0"/>
      <w:marTop w:val="0"/>
      <w:marBottom w:val="0"/>
      <w:divBdr>
        <w:top w:val="none" w:sz="0" w:space="0" w:color="auto"/>
        <w:left w:val="none" w:sz="0" w:space="0" w:color="auto"/>
        <w:bottom w:val="none" w:sz="0" w:space="0" w:color="auto"/>
        <w:right w:val="none" w:sz="0" w:space="0" w:color="auto"/>
      </w:divBdr>
    </w:div>
    <w:div w:id="1210067579">
      <w:bodyDiv w:val="1"/>
      <w:marLeft w:val="0"/>
      <w:marRight w:val="0"/>
      <w:marTop w:val="0"/>
      <w:marBottom w:val="0"/>
      <w:divBdr>
        <w:top w:val="none" w:sz="0" w:space="0" w:color="auto"/>
        <w:left w:val="none" w:sz="0" w:space="0" w:color="auto"/>
        <w:bottom w:val="none" w:sz="0" w:space="0" w:color="auto"/>
        <w:right w:val="none" w:sz="0" w:space="0" w:color="auto"/>
      </w:divBdr>
    </w:div>
    <w:div w:id="1210336497">
      <w:bodyDiv w:val="1"/>
      <w:marLeft w:val="0"/>
      <w:marRight w:val="0"/>
      <w:marTop w:val="0"/>
      <w:marBottom w:val="0"/>
      <w:divBdr>
        <w:top w:val="none" w:sz="0" w:space="0" w:color="auto"/>
        <w:left w:val="none" w:sz="0" w:space="0" w:color="auto"/>
        <w:bottom w:val="none" w:sz="0" w:space="0" w:color="auto"/>
        <w:right w:val="none" w:sz="0" w:space="0" w:color="auto"/>
      </w:divBdr>
    </w:div>
    <w:div w:id="1210797209">
      <w:bodyDiv w:val="1"/>
      <w:marLeft w:val="0"/>
      <w:marRight w:val="0"/>
      <w:marTop w:val="0"/>
      <w:marBottom w:val="0"/>
      <w:divBdr>
        <w:top w:val="none" w:sz="0" w:space="0" w:color="auto"/>
        <w:left w:val="none" w:sz="0" w:space="0" w:color="auto"/>
        <w:bottom w:val="none" w:sz="0" w:space="0" w:color="auto"/>
        <w:right w:val="none" w:sz="0" w:space="0" w:color="auto"/>
      </w:divBdr>
    </w:div>
    <w:div w:id="1210803677">
      <w:bodyDiv w:val="1"/>
      <w:marLeft w:val="0"/>
      <w:marRight w:val="0"/>
      <w:marTop w:val="0"/>
      <w:marBottom w:val="0"/>
      <w:divBdr>
        <w:top w:val="none" w:sz="0" w:space="0" w:color="auto"/>
        <w:left w:val="none" w:sz="0" w:space="0" w:color="auto"/>
        <w:bottom w:val="none" w:sz="0" w:space="0" w:color="auto"/>
        <w:right w:val="none" w:sz="0" w:space="0" w:color="auto"/>
      </w:divBdr>
    </w:div>
    <w:div w:id="1211379915">
      <w:bodyDiv w:val="1"/>
      <w:marLeft w:val="0"/>
      <w:marRight w:val="0"/>
      <w:marTop w:val="0"/>
      <w:marBottom w:val="0"/>
      <w:divBdr>
        <w:top w:val="none" w:sz="0" w:space="0" w:color="auto"/>
        <w:left w:val="none" w:sz="0" w:space="0" w:color="auto"/>
        <w:bottom w:val="none" w:sz="0" w:space="0" w:color="auto"/>
        <w:right w:val="none" w:sz="0" w:space="0" w:color="auto"/>
      </w:divBdr>
    </w:div>
    <w:div w:id="1211380217">
      <w:bodyDiv w:val="1"/>
      <w:marLeft w:val="0"/>
      <w:marRight w:val="0"/>
      <w:marTop w:val="0"/>
      <w:marBottom w:val="0"/>
      <w:divBdr>
        <w:top w:val="none" w:sz="0" w:space="0" w:color="auto"/>
        <w:left w:val="none" w:sz="0" w:space="0" w:color="auto"/>
        <w:bottom w:val="none" w:sz="0" w:space="0" w:color="auto"/>
        <w:right w:val="none" w:sz="0" w:space="0" w:color="auto"/>
      </w:divBdr>
    </w:div>
    <w:div w:id="1211453473">
      <w:bodyDiv w:val="1"/>
      <w:marLeft w:val="0"/>
      <w:marRight w:val="0"/>
      <w:marTop w:val="0"/>
      <w:marBottom w:val="0"/>
      <w:divBdr>
        <w:top w:val="none" w:sz="0" w:space="0" w:color="auto"/>
        <w:left w:val="none" w:sz="0" w:space="0" w:color="auto"/>
        <w:bottom w:val="none" w:sz="0" w:space="0" w:color="auto"/>
        <w:right w:val="none" w:sz="0" w:space="0" w:color="auto"/>
      </w:divBdr>
    </w:div>
    <w:div w:id="1211570439">
      <w:bodyDiv w:val="1"/>
      <w:marLeft w:val="0"/>
      <w:marRight w:val="0"/>
      <w:marTop w:val="0"/>
      <w:marBottom w:val="0"/>
      <w:divBdr>
        <w:top w:val="none" w:sz="0" w:space="0" w:color="auto"/>
        <w:left w:val="none" w:sz="0" w:space="0" w:color="auto"/>
        <w:bottom w:val="none" w:sz="0" w:space="0" w:color="auto"/>
        <w:right w:val="none" w:sz="0" w:space="0" w:color="auto"/>
      </w:divBdr>
    </w:div>
    <w:div w:id="1211649327">
      <w:bodyDiv w:val="1"/>
      <w:marLeft w:val="0"/>
      <w:marRight w:val="0"/>
      <w:marTop w:val="0"/>
      <w:marBottom w:val="0"/>
      <w:divBdr>
        <w:top w:val="none" w:sz="0" w:space="0" w:color="auto"/>
        <w:left w:val="none" w:sz="0" w:space="0" w:color="auto"/>
        <w:bottom w:val="none" w:sz="0" w:space="0" w:color="auto"/>
        <w:right w:val="none" w:sz="0" w:space="0" w:color="auto"/>
      </w:divBdr>
    </w:div>
    <w:div w:id="1211770110">
      <w:bodyDiv w:val="1"/>
      <w:marLeft w:val="0"/>
      <w:marRight w:val="0"/>
      <w:marTop w:val="0"/>
      <w:marBottom w:val="0"/>
      <w:divBdr>
        <w:top w:val="none" w:sz="0" w:space="0" w:color="auto"/>
        <w:left w:val="none" w:sz="0" w:space="0" w:color="auto"/>
        <w:bottom w:val="none" w:sz="0" w:space="0" w:color="auto"/>
        <w:right w:val="none" w:sz="0" w:space="0" w:color="auto"/>
      </w:divBdr>
    </w:div>
    <w:div w:id="1211962825">
      <w:bodyDiv w:val="1"/>
      <w:marLeft w:val="0"/>
      <w:marRight w:val="0"/>
      <w:marTop w:val="0"/>
      <w:marBottom w:val="0"/>
      <w:divBdr>
        <w:top w:val="none" w:sz="0" w:space="0" w:color="auto"/>
        <w:left w:val="none" w:sz="0" w:space="0" w:color="auto"/>
        <w:bottom w:val="none" w:sz="0" w:space="0" w:color="auto"/>
        <w:right w:val="none" w:sz="0" w:space="0" w:color="auto"/>
      </w:divBdr>
    </w:div>
    <w:div w:id="1212500256">
      <w:bodyDiv w:val="1"/>
      <w:marLeft w:val="0"/>
      <w:marRight w:val="0"/>
      <w:marTop w:val="0"/>
      <w:marBottom w:val="0"/>
      <w:divBdr>
        <w:top w:val="none" w:sz="0" w:space="0" w:color="auto"/>
        <w:left w:val="none" w:sz="0" w:space="0" w:color="auto"/>
        <w:bottom w:val="none" w:sz="0" w:space="0" w:color="auto"/>
        <w:right w:val="none" w:sz="0" w:space="0" w:color="auto"/>
      </w:divBdr>
    </w:div>
    <w:div w:id="1212691054">
      <w:bodyDiv w:val="1"/>
      <w:marLeft w:val="0"/>
      <w:marRight w:val="0"/>
      <w:marTop w:val="0"/>
      <w:marBottom w:val="0"/>
      <w:divBdr>
        <w:top w:val="none" w:sz="0" w:space="0" w:color="auto"/>
        <w:left w:val="none" w:sz="0" w:space="0" w:color="auto"/>
        <w:bottom w:val="none" w:sz="0" w:space="0" w:color="auto"/>
        <w:right w:val="none" w:sz="0" w:space="0" w:color="auto"/>
      </w:divBdr>
    </w:div>
    <w:div w:id="1213425237">
      <w:bodyDiv w:val="1"/>
      <w:marLeft w:val="0"/>
      <w:marRight w:val="0"/>
      <w:marTop w:val="0"/>
      <w:marBottom w:val="0"/>
      <w:divBdr>
        <w:top w:val="none" w:sz="0" w:space="0" w:color="auto"/>
        <w:left w:val="none" w:sz="0" w:space="0" w:color="auto"/>
        <w:bottom w:val="none" w:sz="0" w:space="0" w:color="auto"/>
        <w:right w:val="none" w:sz="0" w:space="0" w:color="auto"/>
      </w:divBdr>
    </w:div>
    <w:div w:id="1213998247">
      <w:bodyDiv w:val="1"/>
      <w:marLeft w:val="0"/>
      <w:marRight w:val="0"/>
      <w:marTop w:val="0"/>
      <w:marBottom w:val="0"/>
      <w:divBdr>
        <w:top w:val="none" w:sz="0" w:space="0" w:color="auto"/>
        <w:left w:val="none" w:sz="0" w:space="0" w:color="auto"/>
        <w:bottom w:val="none" w:sz="0" w:space="0" w:color="auto"/>
        <w:right w:val="none" w:sz="0" w:space="0" w:color="auto"/>
      </w:divBdr>
    </w:div>
    <w:div w:id="1214075183">
      <w:bodyDiv w:val="1"/>
      <w:marLeft w:val="0"/>
      <w:marRight w:val="0"/>
      <w:marTop w:val="0"/>
      <w:marBottom w:val="0"/>
      <w:divBdr>
        <w:top w:val="none" w:sz="0" w:space="0" w:color="auto"/>
        <w:left w:val="none" w:sz="0" w:space="0" w:color="auto"/>
        <w:bottom w:val="none" w:sz="0" w:space="0" w:color="auto"/>
        <w:right w:val="none" w:sz="0" w:space="0" w:color="auto"/>
      </w:divBdr>
    </w:div>
    <w:div w:id="1214349252">
      <w:bodyDiv w:val="1"/>
      <w:marLeft w:val="0"/>
      <w:marRight w:val="0"/>
      <w:marTop w:val="0"/>
      <w:marBottom w:val="0"/>
      <w:divBdr>
        <w:top w:val="none" w:sz="0" w:space="0" w:color="auto"/>
        <w:left w:val="none" w:sz="0" w:space="0" w:color="auto"/>
        <w:bottom w:val="none" w:sz="0" w:space="0" w:color="auto"/>
        <w:right w:val="none" w:sz="0" w:space="0" w:color="auto"/>
      </w:divBdr>
    </w:div>
    <w:div w:id="1214659631">
      <w:bodyDiv w:val="1"/>
      <w:marLeft w:val="0"/>
      <w:marRight w:val="0"/>
      <w:marTop w:val="0"/>
      <w:marBottom w:val="0"/>
      <w:divBdr>
        <w:top w:val="none" w:sz="0" w:space="0" w:color="auto"/>
        <w:left w:val="none" w:sz="0" w:space="0" w:color="auto"/>
        <w:bottom w:val="none" w:sz="0" w:space="0" w:color="auto"/>
        <w:right w:val="none" w:sz="0" w:space="0" w:color="auto"/>
      </w:divBdr>
    </w:div>
    <w:div w:id="1214923324">
      <w:bodyDiv w:val="1"/>
      <w:marLeft w:val="0"/>
      <w:marRight w:val="0"/>
      <w:marTop w:val="0"/>
      <w:marBottom w:val="0"/>
      <w:divBdr>
        <w:top w:val="none" w:sz="0" w:space="0" w:color="auto"/>
        <w:left w:val="none" w:sz="0" w:space="0" w:color="auto"/>
        <w:bottom w:val="none" w:sz="0" w:space="0" w:color="auto"/>
        <w:right w:val="none" w:sz="0" w:space="0" w:color="auto"/>
      </w:divBdr>
    </w:div>
    <w:div w:id="1214972913">
      <w:bodyDiv w:val="1"/>
      <w:marLeft w:val="0"/>
      <w:marRight w:val="0"/>
      <w:marTop w:val="0"/>
      <w:marBottom w:val="0"/>
      <w:divBdr>
        <w:top w:val="none" w:sz="0" w:space="0" w:color="auto"/>
        <w:left w:val="none" w:sz="0" w:space="0" w:color="auto"/>
        <w:bottom w:val="none" w:sz="0" w:space="0" w:color="auto"/>
        <w:right w:val="none" w:sz="0" w:space="0" w:color="auto"/>
      </w:divBdr>
    </w:div>
    <w:div w:id="1215045365">
      <w:bodyDiv w:val="1"/>
      <w:marLeft w:val="0"/>
      <w:marRight w:val="0"/>
      <w:marTop w:val="0"/>
      <w:marBottom w:val="0"/>
      <w:divBdr>
        <w:top w:val="none" w:sz="0" w:space="0" w:color="auto"/>
        <w:left w:val="none" w:sz="0" w:space="0" w:color="auto"/>
        <w:bottom w:val="none" w:sz="0" w:space="0" w:color="auto"/>
        <w:right w:val="none" w:sz="0" w:space="0" w:color="auto"/>
      </w:divBdr>
    </w:div>
    <w:div w:id="1215236323">
      <w:bodyDiv w:val="1"/>
      <w:marLeft w:val="0"/>
      <w:marRight w:val="0"/>
      <w:marTop w:val="0"/>
      <w:marBottom w:val="0"/>
      <w:divBdr>
        <w:top w:val="none" w:sz="0" w:space="0" w:color="auto"/>
        <w:left w:val="none" w:sz="0" w:space="0" w:color="auto"/>
        <w:bottom w:val="none" w:sz="0" w:space="0" w:color="auto"/>
        <w:right w:val="none" w:sz="0" w:space="0" w:color="auto"/>
      </w:divBdr>
    </w:div>
    <w:div w:id="1215502399">
      <w:bodyDiv w:val="1"/>
      <w:marLeft w:val="0"/>
      <w:marRight w:val="0"/>
      <w:marTop w:val="0"/>
      <w:marBottom w:val="0"/>
      <w:divBdr>
        <w:top w:val="none" w:sz="0" w:space="0" w:color="auto"/>
        <w:left w:val="none" w:sz="0" w:space="0" w:color="auto"/>
        <w:bottom w:val="none" w:sz="0" w:space="0" w:color="auto"/>
        <w:right w:val="none" w:sz="0" w:space="0" w:color="auto"/>
      </w:divBdr>
    </w:div>
    <w:div w:id="1215656973">
      <w:bodyDiv w:val="1"/>
      <w:marLeft w:val="0"/>
      <w:marRight w:val="0"/>
      <w:marTop w:val="0"/>
      <w:marBottom w:val="0"/>
      <w:divBdr>
        <w:top w:val="none" w:sz="0" w:space="0" w:color="auto"/>
        <w:left w:val="none" w:sz="0" w:space="0" w:color="auto"/>
        <w:bottom w:val="none" w:sz="0" w:space="0" w:color="auto"/>
        <w:right w:val="none" w:sz="0" w:space="0" w:color="auto"/>
      </w:divBdr>
    </w:div>
    <w:div w:id="1215890826">
      <w:bodyDiv w:val="1"/>
      <w:marLeft w:val="0"/>
      <w:marRight w:val="0"/>
      <w:marTop w:val="0"/>
      <w:marBottom w:val="0"/>
      <w:divBdr>
        <w:top w:val="none" w:sz="0" w:space="0" w:color="auto"/>
        <w:left w:val="none" w:sz="0" w:space="0" w:color="auto"/>
        <w:bottom w:val="none" w:sz="0" w:space="0" w:color="auto"/>
        <w:right w:val="none" w:sz="0" w:space="0" w:color="auto"/>
      </w:divBdr>
    </w:div>
    <w:div w:id="1216618822">
      <w:bodyDiv w:val="1"/>
      <w:marLeft w:val="0"/>
      <w:marRight w:val="0"/>
      <w:marTop w:val="0"/>
      <w:marBottom w:val="0"/>
      <w:divBdr>
        <w:top w:val="none" w:sz="0" w:space="0" w:color="auto"/>
        <w:left w:val="none" w:sz="0" w:space="0" w:color="auto"/>
        <w:bottom w:val="none" w:sz="0" w:space="0" w:color="auto"/>
        <w:right w:val="none" w:sz="0" w:space="0" w:color="auto"/>
      </w:divBdr>
    </w:div>
    <w:div w:id="1216964941">
      <w:bodyDiv w:val="1"/>
      <w:marLeft w:val="0"/>
      <w:marRight w:val="0"/>
      <w:marTop w:val="0"/>
      <w:marBottom w:val="0"/>
      <w:divBdr>
        <w:top w:val="none" w:sz="0" w:space="0" w:color="auto"/>
        <w:left w:val="none" w:sz="0" w:space="0" w:color="auto"/>
        <w:bottom w:val="none" w:sz="0" w:space="0" w:color="auto"/>
        <w:right w:val="none" w:sz="0" w:space="0" w:color="auto"/>
      </w:divBdr>
    </w:div>
    <w:div w:id="1217157234">
      <w:bodyDiv w:val="1"/>
      <w:marLeft w:val="0"/>
      <w:marRight w:val="0"/>
      <w:marTop w:val="0"/>
      <w:marBottom w:val="0"/>
      <w:divBdr>
        <w:top w:val="none" w:sz="0" w:space="0" w:color="auto"/>
        <w:left w:val="none" w:sz="0" w:space="0" w:color="auto"/>
        <w:bottom w:val="none" w:sz="0" w:space="0" w:color="auto"/>
        <w:right w:val="none" w:sz="0" w:space="0" w:color="auto"/>
      </w:divBdr>
    </w:div>
    <w:div w:id="1217400285">
      <w:bodyDiv w:val="1"/>
      <w:marLeft w:val="0"/>
      <w:marRight w:val="0"/>
      <w:marTop w:val="0"/>
      <w:marBottom w:val="0"/>
      <w:divBdr>
        <w:top w:val="none" w:sz="0" w:space="0" w:color="auto"/>
        <w:left w:val="none" w:sz="0" w:space="0" w:color="auto"/>
        <w:bottom w:val="none" w:sz="0" w:space="0" w:color="auto"/>
        <w:right w:val="none" w:sz="0" w:space="0" w:color="auto"/>
      </w:divBdr>
    </w:div>
    <w:div w:id="1217547192">
      <w:bodyDiv w:val="1"/>
      <w:marLeft w:val="0"/>
      <w:marRight w:val="0"/>
      <w:marTop w:val="0"/>
      <w:marBottom w:val="0"/>
      <w:divBdr>
        <w:top w:val="none" w:sz="0" w:space="0" w:color="auto"/>
        <w:left w:val="none" w:sz="0" w:space="0" w:color="auto"/>
        <w:bottom w:val="none" w:sz="0" w:space="0" w:color="auto"/>
        <w:right w:val="none" w:sz="0" w:space="0" w:color="auto"/>
      </w:divBdr>
    </w:div>
    <w:div w:id="1217937149">
      <w:bodyDiv w:val="1"/>
      <w:marLeft w:val="0"/>
      <w:marRight w:val="0"/>
      <w:marTop w:val="0"/>
      <w:marBottom w:val="0"/>
      <w:divBdr>
        <w:top w:val="none" w:sz="0" w:space="0" w:color="auto"/>
        <w:left w:val="none" w:sz="0" w:space="0" w:color="auto"/>
        <w:bottom w:val="none" w:sz="0" w:space="0" w:color="auto"/>
        <w:right w:val="none" w:sz="0" w:space="0" w:color="auto"/>
      </w:divBdr>
    </w:div>
    <w:div w:id="1219053809">
      <w:bodyDiv w:val="1"/>
      <w:marLeft w:val="0"/>
      <w:marRight w:val="0"/>
      <w:marTop w:val="0"/>
      <w:marBottom w:val="0"/>
      <w:divBdr>
        <w:top w:val="none" w:sz="0" w:space="0" w:color="auto"/>
        <w:left w:val="none" w:sz="0" w:space="0" w:color="auto"/>
        <w:bottom w:val="none" w:sz="0" w:space="0" w:color="auto"/>
        <w:right w:val="none" w:sz="0" w:space="0" w:color="auto"/>
      </w:divBdr>
    </w:div>
    <w:div w:id="1219170329">
      <w:bodyDiv w:val="1"/>
      <w:marLeft w:val="0"/>
      <w:marRight w:val="0"/>
      <w:marTop w:val="0"/>
      <w:marBottom w:val="0"/>
      <w:divBdr>
        <w:top w:val="none" w:sz="0" w:space="0" w:color="auto"/>
        <w:left w:val="none" w:sz="0" w:space="0" w:color="auto"/>
        <w:bottom w:val="none" w:sz="0" w:space="0" w:color="auto"/>
        <w:right w:val="none" w:sz="0" w:space="0" w:color="auto"/>
      </w:divBdr>
    </w:div>
    <w:div w:id="1220896107">
      <w:bodyDiv w:val="1"/>
      <w:marLeft w:val="0"/>
      <w:marRight w:val="0"/>
      <w:marTop w:val="0"/>
      <w:marBottom w:val="0"/>
      <w:divBdr>
        <w:top w:val="none" w:sz="0" w:space="0" w:color="auto"/>
        <w:left w:val="none" w:sz="0" w:space="0" w:color="auto"/>
        <w:bottom w:val="none" w:sz="0" w:space="0" w:color="auto"/>
        <w:right w:val="none" w:sz="0" w:space="0" w:color="auto"/>
      </w:divBdr>
    </w:div>
    <w:div w:id="1221019707">
      <w:bodyDiv w:val="1"/>
      <w:marLeft w:val="0"/>
      <w:marRight w:val="0"/>
      <w:marTop w:val="0"/>
      <w:marBottom w:val="0"/>
      <w:divBdr>
        <w:top w:val="none" w:sz="0" w:space="0" w:color="auto"/>
        <w:left w:val="none" w:sz="0" w:space="0" w:color="auto"/>
        <w:bottom w:val="none" w:sz="0" w:space="0" w:color="auto"/>
        <w:right w:val="none" w:sz="0" w:space="0" w:color="auto"/>
      </w:divBdr>
      <w:divsChild>
        <w:div w:id="1737586631">
          <w:marLeft w:val="0"/>
          <w:marRight w:val="0"/>
          <w:marTop w:val="0"/>
          <w:marBottom w:val="0"/>
          <w:divBdr>
            <w:top w:val="none" w:sz="0" w:space="0" w:color="auto"/>
            <w:left w:val="none" w:sz="0" w:space="0" w:color="auto"/>
            <w:bottom w:val="none" w:sz="0" w:space="0" w:color="auto"/>
            <w:right w:val="none" w:sz="0" w:space="0" w:color="auto"/>
          </w:divBdr>
          <w:divsChild>
            <w:div w:id="1880702793">
              <w:marLeft w:val="0"/>
              <w:marRight w:val="0"/>
              <w:marTop w:val="0"/>
              <w:marBottom w:val="0"/>
              <w:divBdr>
                <w:top w:val="none" w:sz="0" w:space="0" w:color="auto"/>
                <w:left w:val="none" w:sz="0" w:space="0" w:color="auto"/>
                <w:bottom w:val="none" w:sz="0" w:space="0" w:color="auto"/>
                <w:right w:val="none" w:sz="0" w:space="0" w:color="auto"/>
              </w:divBdr>
              <w:divsChild>
                <w:div w:id="138714502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21093797">
      <w:bodyDiv w:val="1"/>
      <w:marLeft w:val="0"/>
      <w:marRight w:val="0"/>
      <w:marTop w:val="0"/>
      <w:marBottom w:val="0"/>
      <w:divBdr>
        <w:top w:val="none" w:sz="0" w:space="0" w:color="auto"/>
        <w:left w:val="none" w:sz="0" w:space="0" w:color="auto"/>
        <w:bottom w:val="none" w:sz="0" w:space="0" w:color="auto"/>
        <w:right w:val="none" w:sz="0" w:space="0" w:color="auto"/>
      </w:divBdr>
    </w:div>
    <w:div w:id="1221552010">
      <w:bodyDiv w:val="1"/>
      <w:marLeft w:val="0"/>
      <w:marRight w:val="0"/>
      <w:marTop w:val="0"/>
      <w:marBottom w:val="0"/>
      <w:divBdr>
        <w:top w:val="none" w:sz="0" w:space="0" w:color="auto"/>
        <w:left w:val="none" w:sz="0" w:space="0" w:color="auto"/>
        <w:bottom w:val="none" w:sz="0" w:space="0" w:color="auto"/>
        <w:right w:val="none" w:sz="0" w:space="0" w:color="auto"/>
      </w:divBdr>
    </w:div>
    <w:div w:id="1221793302">
      <w:bodyDiv w:val="1"/>
      <w:marLeft w:val="0"/>
      <w:marRight w:val="0"/>
      <w:marTop w:val="0"/>
      <w:marBottom w:val="0"/>
      <w:divBdr>
        <w:top w:val="none" w:sz="0" w:space="0" w:color="auto"/>
        <w:left w:val="none" w:sz="0" w:space="0" w:color="auto"/>
        <w:bottom w:val="none" w:sz="0" w:space="0" w:color="auto"/>
        <w:right w:val="none" w:sz="0" w:space="0" w:color="auto"/>
      </w:divBdr>
    </w:div>
    <w:div w:id="1221794452">
      <w:bodyDiv w:val="1"/>
      <w:marLeft w:val="0"/>
      <w:marRight w:val="0"/>
      <w:marTop w:val="0"/>
      <w:marBottom w:val="0"/>
      <w:divBdr>
        <w:top w:val="none" w:sz="0" w:space="0" w:color="auto"/>
        <w:left w:val="none" w:sz="0" w:space="0" w:color="auto"/>
        <w:bottom w:val="none" w:sz="0" w:space="0" w:color="auto"/>
        <w:right w:val="none" w:sz="0" w:space="0" w:color="auto"/>
      </w:divBdr>
    </w:div>
    <w:div w:id="1222445240">
      <w:bodyDiv w:val="1"/>
      <w:marLeft w:val="0"/>
      <w:marRight w:val="0"/>
      <w:marTop w:val="0"/>
      <w:marBottom w:val="0"/>
      <w:divBdr>
        <w:top w:val="none" w:sz="0" w:space="0" w:color="auto"/>
        <w:left w:val="none" w:sz="0" w:space="0" w:color="auto"/>
        <w:bottom w:val="none" w:sz="0" w:space="0" w:color="auto"/>
        <w:right w:val="none" w:sz="0" w:space="0" w:color="auto"/>
      </w:divBdr>
    </w:div>
    <w:div w:id="1222598525">
      <w:bodyDiv w:val="1"/>
      <w:marLeft w:val="0"/>
      <w:marRight w:val="0"/>
      <w:marTop w:val="0"/>
      <w:marBottom w:val="0"/>
      <w:divBdr>
        <w:top w:val="none" w:sz="0" w:space="0" w:color="auto"/>
        <w:left w:val="none" w:sz="0" w:space="0" w:color="auto"/>
        <w:bottom w:val="none" w:sz="0" w:space="0" w:color="auto"/>
        <w:right w:val="none" w:sz="0" w:space="0" w:color="auto"/>
      </w:divBdr>
    </w:div>
    <w:div w:id="1222600639">
      <w:bodyDiv w:val="1"/>
      <w:marLeft w:val="0"/>
      <w:marRight w:val="0"/>
      <w:marTop w:val="0"/>
      <w:marBottom w:val="0"/>
      <w:divBdr>
        <w:top w:val="none" w:sz="0" w:space="0" w:color="auto"/>
        <w:left w:val="none" w:sz="0" w:space="0" w:color="auto"/>
        <w:bottom w:val="none" w:sz="0" w:space="0" w:color="auto"/>
        <w:right w:val="none" w:sz="0" w:space="0" w:color="auto"/>
      </w:divBdr>
    </w:div>
    <w:div w:id="1222643681">
      <w:bodyDiv w:val="1"/>
      <w:marLeft w:val="0"/>
      <w:marRight w:val="0"/>
      <w:marTop w:val="0"/>
      <w:marBottom w:val="0"/>
      <w:divBdr>
        <w:top w:val="none" w:sz="0" w:space="0" w:color="auto"/>
        <w:left w:val="none" w:sz="0" w:space="0" w:color="auto"/>
        <w:bottom w:val="none" w:sz="0" w:space="0" w:color="auto"/>
        <w:right w:val="none" w:sz="0" w:space="0" w:color="auto"/>
      </w:divBdr>
    </w:div>
    <w:div w:id="1222790618">
      <w:bodyDiv w:val="1"/>
      <w:marLeft w:val="0"/>
      <w:marRight w:val="0"/>
      <w:marTop w:val="0"/>
      <w:marBottom w:val="0"/>
      <w:divBdr>
        <w:top w:val="none" w:sz="0" w:space="0" w:color="auto"/>
        <w:left w:val="none" w:sz="0" w:space="0" w:color="auto"/>
        <w:bottom w:val="none" w:sz="0" w:space="0" w:color="auto"/>
        <w:right w:val="none" w:sz="0" w:space="0" w:color="auto"/>
      </w:divBdr>
    </w:div>
    <w:div w:id="1223246800">
      <w:bodyDiv w:val="1"/>
      <w:marLeft w:val="0"/>
      <w:marRight w:val="0"/>
      <w:marTop w:val="0"/>
      <w:marBottom w:val="0"/>
      <w:divBdr>
        <w:top w:val="none" w:sz="0" w:space="0" w:color="auto"/>
        <w:left w:val="none" w:sz="0" w:space="0" w:color="auto"/>
        <w:bottom w:val="none" w:sz="0" w:space="0" w:color="auto"/>
        <w:right w:val="none" w:sz="0" w:space="0" w:color="auto"/>
      </w:divBdr>
    </w:div>
    <w:div w:id="1223251930">
      <w:bodyDiv w:val="1"/>
      <w:marLeft w:val="0"/>
      <w:marRight w:val="0"/>
      <w:marTop w:val="0"/>
      <w:marBottom w:val="0"/>
      <w:divBdr>
        <w:top w:val="none" w:sz="0" w:space="0" w:color="auto"/>
        <w:left w:val="none" w:sz="0" w:space="0" w:color="auto"/>
        <w:bottom w:val="none" w:sz="0" w:space="0" w:color="auto"/>
        <w:right w:val="none" w:sz="0" w:space="0" w:color="auto"/>
      </w:divBdr>
    </w:div>
    <w:div w:id="1223298912">
      <w:bodyDiv w:val="1"/>
      <w:marLeft w:val="0"/>
      <w:marRight w:val="0"/>
      <w:marTop w:val="0"/>
      <w:marBottom w:val="0"/>
      <w:divBdr>
        <w:top w:val="none" w:sz="0" w:space="0" w:color="auto"/>
        <w:left w:val="none" w:sz="0" w:space="0" w:color="auto"/>
        <w:bottom w:val="none" w:sz="0" w:space="0" w:color="auto"/>
        <w:right w:val="none" w:sz="0" w:space="0" w:color="auto"/>
      </w:divBdr>
    </w:div>
    <w:div w:id="1223951376">
      <w:bodyDiv w:val="1"/>
      <w:marLeft w:val="0"/>
      <w:marRight w:val="0"/>
      <w:marTop w:val="0"/>
      <w:marBottom w:val="0"/>
      <w:divBdr>
        <w:top w:val="none" w:sz="0" w:space="0" w:color="auto"/>
        <w:left w:val="none" w:sz="0" w:space="0" w:color="auto"/>
        <w:bottom w:val="none" w:sz="0" w:space="0" w:color="auto"/>
        <w:right w:val="none" w:sz="0" w:space="0" w:color="auto"/>
      </w:divBdr>
    </w:div>
    <w:div w:id="1224213624">
      <w:bodyDiv w:val="1"/>
      <w:marLeft w:val="0"/>
      <w:marRight w:val="0"/>
      <w:marTop w:val="0"/>
      <w:marBottom w:val="0"/>
      <w:divBdr>
        <w:top w:val="none" w:sz="0" w:space="0" w:color="auto"/>
        <w:left w:val="none" w:sz="0" w:space="0" w:color="auto"/>
        <w:bottom w:val="none" w:sz="0" w:space="0" w:color="auto"/>
        <w:right w:val="none" w:sz="0" w:space="0" w:color="auto"/>
      </w:divBdr>
    </w:div>
    <w:div w:id="1225069815">
      <w:bodyDiv w:val="1"/>
      <w:marLeft w:val="0"/>
      <w:marRight w:val="0"/>
      <w:marTop w:val="0"/>
      <w:marBottom w:val="0"/>
      <w:divBdr>
        <w:top w:val="none" w:sz="0" w:space="0" w:color="auto"/>
        <w:left w:val="none" w:sz="0" w:space="0" w:color="auto"/>
        <w:bottom w:val="none" w:sz="0" w:space="0" w:color="auto"/>
        <w:right w:val="none" w:sz="0" w:space="0" w:color="auto"/>
      </w:divBdr>
    </w:div>
    <w:div w:id="1227494851">
      <w:bodyDiv w:val="1"/>
      <w:marLeft w:val="0"/>
      <w:marRight w:val="0"/>
      <w:marTop w:val="0"/>
      <w:marBottom w:val="0"/>
      <w:divBdr>
        <w:top w:val="none" w:sz="0" w:space="0" w:color="auto"/>
        <w:left w:val="none" w:sz="0" w:space="0" w:color="auto"/>
        <w:bottom w:val="none" w:sz="0" w:space="0" w:color="auto"/>
        <w:right w:val="none" w:sz="0" w:space="0" w:color="auto"/>
      </w:divBdr>
    </w:div>
    <w:div w:id="1228109544">
      <w:bodyDiv w:val="1"/>
      <w:marLeft w:val="0"/>
      <w:marRight w:val="0"/>
      <w:marTop w:val="0"/>
      <w:marBottom w:val="0"/>
      <w:divBdr>
        <w:top w:val="none" w:sz="0" w:space="0" w:color="auto"/>
        <w:left w:val="none" w:sz="0" w:space="0" w:color="auto"/>
        <w:bottom w:val="none" w:sz="0" w:space="0" w:color="auto"/>
        <w:right w:val="none" w:sz="0" w:space="0" w:color="auto"/>
      </w:divBdr>
    </w:div>
    <w:div w:id="1228373386">
      <w:bodyDiv w:val="1"/>
      <w:marLeft w:val="0"/>
      <w:marRight w:val="0"/>
      <w:marTop w:val="0"/>
      <w:marBottom w:val="0"/>
      <w:divBdr>
        <w:top w:val="none" w:sz="0" w:space="0" w:color="auto"/>
        <w:left w:val="none" w:sz="0" w:space="0" w:color="auto"/>
        <w:bottom w:val="none" w:sz="0" w:space="0" w:color="auto"/>
        <w:right w:val="none" w:sz="0" w:space="0" w:color="auto"/>
      </w:divBdr>
    </w:div>
    <w:div w:id="1228609436">
      <w:bodyDiv w:val="1"/>
      <w:marLeft w:val="0"/>
      <w:marRight w:val="0"/>
      <w:marTop w:val="0"/>
      <w:marBottom w:val="0"/>
      <w:divBdr>
        <w:top w:val="none" w:sz="0" w:space="0" w:color="auto"/>
        <w:left w:val="none" w:sz="0" w:space="0" w:color="auto"/>
        <w:bottom w:val="none" w:sz="0" w:space="0" w:color="auto"/>
        <w:right w:val="none" w:sz="0" w:space="0" w:color="auto"/>
      </w:divBdr>
    </w:div>
    <w:div w:id="1228616339">
      <w:bodyDiv w:val="1"/>
      <w:marLeft w:val="0"/>
      <w:marRight w:val="0"/>
      <w:marTop w:val="0"/>
      <w:marBottom w:val="0"/>
      <w:divBdr>
        <w:top w:val="none" w:sz="0" w:space="0" w:color="auto"/>
        <w:left w:val="none" w:sz="0" w:space="0" w:color="auto"/>
        <w:bottom w:val="none" w:sz="0" w:space="0" w:color="auto"/>
        <w:right w:val="none" w:sz="0" w:space="0" w:color="auto"/>
      </w:divBdr>
    </w:div>
    <w:div w:id="1229684284">
      <w:bodyDiv w:val="1"/>
      <w:marLeft w:val="0"/>
      <w:marRight w:val="0"/>
      <w:marTop w:val="0"/>
      <w:marBottom w:val="0"/>
      <w:divBdr>
        <w:top w:val="none" w:sz="0" w:space="0" w:color="auto"/>
        <w:left w:val="none" w:sz="0" w:space="0" w:color="auto"/>
        <w:bottom w:val="none" w:sz="0" w:space="0" w:color="auto"/>
        <w:right w:val="none" w:sz="0" w:space="0" w:color="auto"/>
      </w:divBdr>
    </w:div>
    <w:div w:id="1230726548">
      <w:bodyDiv w:val="1"/>
      <w:marLeft w:val="0"/>
      <w:marRight w:val="0"/>
      <w:marTop w:val="0"/>
      <w:marBottom w:val="0"/>
      <w:divBdr>
        <w:top w:val="none" w:sz="0" w:space="0" w:color="auto"/>
        <w:left w:val="none" w:sz="0" w:space="0" w:color="auto"/>
        <w:bottom w:val="none" w:sz="0" w:space="0" w:color="auto"/>
        <w:right w:val="none" w:sz="0" w:space="0" w:color="auto"/>
      </w:divBdr>
    </w:div>
    <w:div w:id="1231111216">
      <w:bodyDiv w:val="1"/>
      <w:marLeft w:val="0"/>
      <w:marRight w:val="0"/>
      <w:marTop w:val="0"/>
      <w:marBottom w:val="0"/>
      <w:divBdr>
        <w:top w:val="none" w:sz="0" w:space="0" w:color="auto"/>
        <w:left w:val="none" w:sz="0" w:space="0" w:color="auto"/>
        <w:bottom w:val="none" w:sz="0" w:space="0" w:color="auto"/>
        <w:right w:val="none" w:sz="0" w:space="0" w:color="auto"/>
      </w:divBdr>
    </w:div>
    <w:div w:id="1231161141">
      <w:bodyDiv w:val="1"/>
      <w:marLeft w:val="0"/>
      <w:marRight w:val="0"/>
      <w:marTop w:val="0"/>
      <w:marBottom w:val="0"/>
      <w:divBdr>
        <w:top w:val="none" w:sz="0" w:space="0" w:color="auto"/>
        <w:left w:val="none" w:sz="0" w:space="0" w:color="auto"/>
        <w:bottom w:val="none" w:sz="0" w:space="0" w:color="auto"/>
        <w:right w:val="none" w:sz="0" w:space="0" w:color="auto"/>
      </w:divBdr>
    </w:div>
    <w:div w:id="1232228384">
      <w:bodyDiv w:val="1"/>
      <w:marLeft w:val="0"/>
      <w:marRight w:val="0"/>
      <w:marTop w:val="0"/>
      <w:marBottom w:val="0"/>
      <w:divBdr>
        <w:top w:val="none" w:sz="0" w:space="0" w:color="auto"/>
        <w:left w:val="none" w:sz="0" w:space="0" w:color="auto"/>
        <w:bottom w:val="none" w:sz="0" w:space="0" w:color="auto"/>
        <w:right w:val="none" w:sz="0" w:space="0" w:color="auto"/>
      </w:divBdr>
    </w:div>
    <w:div w:id="1232815789">
      <w:bodyDiv w:val="1"/>
      <w:marLeft w:val="0"/>
      <w:marRight w:val="0"/>
      <w:marTop w:val="0"/>
      <w:marBottom w:val="0"/>
      <w:divBdr>
        <w:top w:val="none" w:sz="0" w:space="0" w:color="auto"/>
        <w:left w:val="none" w:sz="0" w:space="0" w:color="auto"/>
        <w:bottom w:val="none" w:sz="0" w:space="0" w:color="auto"/>
        <w:right w:val="none" w:sz="0" w:space="0" w:color="auto"/>
      </w:divBdr>
    </w:div>
    <w:div w:id="1233197955">
      <w:bodyDiv w:val="1"/>
      <w:marLeft w:val="0"/>
      <w:marRight w:val="0"/>
      <w:marTop w:val="0"/>
      <w:marBottom w:val="0"/>
      <w:divBdr>
        <w:top w:val="none" w:sz="0" w:space="0" w:color="auto"/>
        <w:left w:val="none" w:sz="0" w:space="0" w:color="auto"/>
        <w:bottom w:val="none" w:sz="0" w:space="0" w:color="auto"/>
        <w:right w:val="none" w:sz="0" w:space="0" w:color="auto"/>
      </w:divBdr>
    </w:div>
    <w:div w:id="1233590125">
      <w:bodyDiv w:val="1"/>
      <w:marLeft w:val="0"/>
      <w:marRight w:val="0"/>
      <w:marTop w:val="0"/>
      <w:marBottom w:val="0"/>
      <w:divBdr>
        <w:top w:val="none" w:sz="0" w:space="0" w:color="auto"/>
        <w:left w:val="none" w:sz="0" w:space="0" w:color="auto"/>
        <w:bottom w:val="none" w:sz="0" w:space="0" w:color="auto"/>
        <w:right w:val="none" w:sz="0" w:space="0" w:color="auto"/>
      </w:divBdr>
    </w:div>
    <w:div w:id="1233735669">
      <w:bodyDiv w:val="1"/>
      <w:marLeft w:val="0"/>
      <w:marRight w:val="0"/>
      <w:marTop w:val="0"/>
      <w:marBottom w:val="0"/>
      <w:divBdr>
        <w:top w:val="none" w:sz="0" w:space="0" w:color="auto"/>
        <w:left w:val="none" w:sz="0" w:space="0" w:color="auto"/>
        <w:bottom w:val="none" w:sz="0" w:space="0" w:color="auto"/>
        <w:right w:val="none" w:sz="0" w:space="0" w:color="auto"/>
      </w:divBdr>
    </w:div>
    <w:div w:id="1233810233">
      <w:bodyDiv w:val="1"/>
      <w:marLeft w:val="0"/>
      <w:marRight w:val="0"/>
      <w:marTop w:val="0"/>
      <w:marBottom w:val="0"/>
      <w:divBdr>
        <w:top w:val="none" w:sz="0" w:space="0" w:color="auto"/>
        <w:left w:val="none" w:sz="0" w:space="0" w:color="auto"/>
        <w:bottom w:val="none" w:sz="0" w:space="0" w:color="auto"/>
        <w:right w:val="none" w:sz="0" w:space="0" w:color="auto"/>
      </w:divBdr>
    </w:div>
    <w:div w:id="1233857851">
      <w:bodyDiv w:val="1"/>
      <w:marLeft w:val="0"/>
      <w:marRight w:val="0"/>
      <w:marTop w:val="0"/>
      <w:marBottom w:val="0"/>
      <w:divBdr>
        <w:top w:val="none" w:sz="0" w:space="0" w:color="auto"/>
        <w:left w:val="none" w:sz="0" w:space="0" w:color="auto"/>
        <w:bottom w:val="none" w:sz="0" w:space="0" w:color="auto"/>
        <w:right w:val="none" w:sz="0" w:space="0" w:color="auto"/>
      </w:divBdr>
    </w:div>
    <w:div w:id="1234000939">
      <w:bodyDiv w:val="1"/>
      <w:marLeft w:val="0"/>
      <w:marRight w:val="0"/>
      <w:marTop w:val="0"/>
      <w:marBottom w:val="0"/>
      <w:divBdr>
        <w:top w:val="none" w:sz="0" w:space="0" w:color="auto"/>
        <w:left w:val="none" w:sz="0" w:space="0" w:color="auto"/>
        <w:bottom w:val="none" w:sz="0" w:space="0" w:color="auto"/>
        <w:right w:val="none" w:sz="0" w:space="0" w:color="auto"/>
      </w:divBdr>
    </w:div>
    <w:div w:id="1234008104">
      <w:bodyDiv w:val="1"/>
      <w:marLeft w:val="0"/>
      <w:marRight w:val="0"/>
      <w:marTop w:val="0"/>
      <w:marBottom w:val="0"/>
      <w:divBdr>
        <w:top w:val="none" w:sz="0" w:space="0" w:color="auto"/>
        <w:left w:val="none" w:sz="0" w:space="0" w:color="auto"/>
        <w:bottom w:val="none" w:sz="0" w:space="0" w:color="auto"/>
        <w:right w:val="none" w:sz="0" w:space="0" w:color="auto"/>
      </w:divBdr>
    </w:div>
    <w:div w:id="1235314625">
      <w:bodyDiv w:val="1"/>
      <w:marLeft w:val="0"/>
      <w:marRight w:val="0"/>
      <w:marTop w:val="0"/>
      <w:marBottom w:val="0"/>
      <w:divBdr>
        <w:top w:val="none" w:sz="0" w:space="0" w:color="auto"/>
        <w:left w:val="none" w:sz="0" w:space="0" w:color="auto"/>
        <w:bottom w:val="none" w:sz="0" w:space="0" w:color="auto"/>
        <w:right w:val="none" w:sz="0" w:space="0" w:color="auto"/>
      </w:divBdr>
    </w:div>
    <w:div w:id="1235358407">
      <w:bodyDiv w:val="1"/>
      <w:marLeft w:val="0"/>
      <w:marRight w:val="0"/>
      <w:marTop w:val="0"/>
      <w:marBottom w:val="0"/>
      <w:divBdr>
        <w:top w:val="none" w:sz="0" w:space="0" w:color="auto"/>
        <w:left w:val="none" w:sz="0" w:space="0" w:color="auto"/>
        <w:bottom w:val="none" w:sz="0" w:space="0" w:color="auto"/>
        <w:right w:val="none" w:sz="0" w:space="0" w:color="auto"/>
      </w:divBdr>
      <w:divsChild>
        <w:div w:id="1667828098">
          <w:marLeft w:val="0"/>
          <w:marRight w:val="0"/>
          <w:marTop w:val="0"/>
          <w:marBottom w:val="0"/>
          <w:divBdr>
            <w:top w:val="none" w:sz="0" w:space="0" w:color="auto"/>
            <w:left w:val="none" w:sz="0" w:space="0" w:color="auto"/>
            <w:bottom w:val="none" w:sz="0" w:space="0" w:color="auto"/>
            <w:right w:val="none" w:sz="0" w:space="0" w:color="auto"/>
          </w:divBdr>
          <w:divsChild>
            <w:div w:id="1769882404">
              <w:marLeft w:val="0"/>
              <w:marRight w:val="0"/>
              <w:marTop w:val="0"/>
              <w:marBottom w:val="0"/>
              <w:divBdr>
                <w:top w:val="single" w:sz="6" w:space="0" w:color="CCCCCC"/>
                <w:left w:val="none" w:sz="0" w:space="0" w:color="auto"/>
                <w:bottom w:val="single" w:sz="6" w:space="0" w:color="FFFFFF"/>
                <w:right w:val="none" w:sz="0" w:space="0" w:color="auto"/>
              </w:divBdr>
              <w:divsChild>
                <w:div w:id="40598186">
                  <w:marLeft w:val="0"/>
                  <w:marRight w:val="0"/>
                  <w:marTop w:val="100"/>
                  <w:marBottom w:val="100"/>
                  <w:divBdr>
                    <w:top w:val="none" w:sz="0" w:space="0" w:color="auto"/>
                    <w:left w:val="none" w:sz="0" w:space="0" w:color="auto"/>
                    <w:bottom w:val="none" w:sz="0" w:space="0" w:color="auto"/>
                    <w:right w:val="none" w:sz="0" w:space="0" w:color="auto"/>
                  </w:divBdr>
                  <w:divsChild>
                    <w:div w:id="10585164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5433712">
      <w:bodyDiv w:val="1"/>
      <w:marLeft w:val="0"/>
      <w:marRight w:val="0"/>
      <w:marTop w:val="0"/>
      <w:marBottom w:val="0"/>
      <w:divBdr>
        <w:top w:val="none" w:sz="0" w:space="0" w:color="auto"/>
        <w:left w:val="none" w:sz="0" w:space="0" w:color="auto"/>
        <w:bottom w:val="none" w:sz="0" w:space="0" w:color="auto"/>
        <w:right w:val="none" w:sz="0" w:space="0" w:color="auto"/>
      </w:divBdr>
    </w:div>
    <w:div w:id="1235579418">
      <w:bodyDiv w:val="1"/>
      <w:marLeft w:val="0"/>
      <w:marRight w:val="0"/>
      <w:marTop w:val="0"/>
      <w:marBottom w:val="0"/>
      <w:divBdr>
        <w:top w:val="none" w:sz="0" w:space="0" w:color="auto"/>
        <w:left w:val="none" w:sz="0" w:space="0" w:color="auto"/>
        <w:bottom w:val="none" w:sz="0" w:space="0" w:color="auto"/>
        <w:right w:val="none" w:sz="0" w:space="0" w:color="auto"/>
      </w:divBdr>
    </w:div>
    <w:div w:id="1235579727">
      <w:bodyDiv w:val="1"/>
      <w:marLeft w:val="0"/>
      <w:marRight w:val="0"/>
      <w:marTop w:val="0"/>
      <w:marBottom w:val="0"/>
      <w:divBdr>
        <w:top w:val="none" w:sz="0" w:space="0" w:color="auto"/>
        <w:left w:val="none" w:sz="0" w:space="0" w:color="auto"/>
        <w:bottom w:val="none" w:sz="0" w:space="0" w:color="auto"/>
        <w:right w:val="none" w:sz="0" w:space="0" w:color="auto"/>
      </w:divBdr>
    </w:div>
    <w:div w:id="1235772669">
      <w:bodyDiv w:val="1"/>
      <w:marLeft w:val="0"/>
      <w:marRight w:val="0"/>
      <w:marTop w:val="0"/>
      <w:marBottom w:val="0"/>
      <w:divBdr>
        <w:top w:val="none" w:sz="0" w:space="0" w:color="auto"/>
        <w:left w:val="none" w:sz="0" w:space="0" w:color="auto"/>
        <w:bottom w:val="none" w:sz="0" w:space="0" w:color="auto"/>
        <w:right w:val="none" w:sz="0" w:space="0" w:color="auto"/>
      </w:divBdr>
    </w:div>
    <w:div w:id="1235820944">
      <w:bodyDiv w:val="1"/>
      <w:marLeft w:val="0"/>
      <w:marRight w:val="0"/>
      <w:marTop w:val="0"/>
      <w:marBottom w:val="0"/>
      <w:divBdr>
        <w:top w:val="none" w:sz="0" w:space="0" w:color="auto"/>
        <w:left w:val="none" w:sz="0" w:space="0" w:color="auto"/>
        <w:bottom w:val="none" w:sz="0" w:space="0" w:color="auto"/>
        <w:right w:val="none" w:sz="0" w:space="0" w:color="auto"/>
      </w:divBdr>
    </w:div>
    <w:div w:id="1236546263">
      <w:bodyDiv w:val="1"/>
      <w:marLeft w:val="0"/>
      <w:marRight w:val="0"/>
      <w:marTop w:val="0"/>
      <w:marBottom w:val="0"/>
      <w:divBdr>
        <w:top w:val="none" w:sz="0" w:space="0" w:color="auto"/>
        <w:left w:val="none" w:sz="0" w:space="0" w:color="auto"/>
        <w:bottom w:val="none" w:sz="0" w:space="0" w:color="auto"/>
        <w:right w:val="none" w:sz="0" w:space="0" w:color="auto"/>
      </w:divBdr>
    </w:div>
    <w:div w:id="1236625244">
      <w:bodyDiv w:val="1"/>
      <w:marLeft w:val="0"/>
      <w:marRight w:val="0"/>
      <w:marTop w:val="0"/>
      <w:marBottom w:val="0"/>
      <w:divBdr>
        <w:top w:val="none" w:sz="0" w:space="0" w:color="auto"/>
        <w:left w:val="none" w:sz="0" w:space="0" w:color="auto"/>
        <w:bottom w:val="none" w:sz="0" w:space="0" w:color="auto"/>
        <w:right w:val="none" w:sz="0" w:space="0" w:color="auto"/>
      </w:divBdr>
    </w:div>
    <w:div w:id="1237402921">
      <w:bodyDiv w:val="1"/>
      <w:marLeft w:val="0"/>
      <w:marRight w:val="0"/>
      <w:marTop w:val="0"/>
      <w:marBottom w:val="0"/>
      <w:divBdr>
        <w:top w:val="none" w:sz="0" w:space="0" w:color="auto"/>
        <w:left w:val="none" w:sz="0" w:space="0" w:color="auto"/>
        <w:bottom w:val="none" w:sz="0" w:space="0" w:color="auto"/>
        <w:right w:val="none" w:sz="0" w:space="0" w:color="auto"/>
      </w:divBdr>
    </w:div>
    <w:div w:id="1237469653">
      <w:bodyDiv w:val="1"/>
      <w:marLeft w:val="0"/>
      <w:marRight w:val="0"/>
      <w:marTop w:val="0"/>
      <w:marBottom w:val="0"/>
      <w:divBdr>
        <w:top w:val="none" w:sz="0" w:space="0" w:color="auto"/>
        <w:left w:val="none" w:sz="0" w:space="0" w:color="auto"/>
        <w:bottom w:val="none" w:sz="0" w:space="0" w:color="auto"/>
        <w:right w:val="none" w:sz="0" w:space="0" w:color="auto"/>
      </w:divBdr>
    </w:div>
    <w:div w:id="1237545520">
      <w:bodyDiv w:val="1"/>
      <w:marLeft w:val="0"/>
      <w:marRight w:val="0"/>
      <w:marTop w:val="0"/>
      <w:marBottom w:val="0"/>
      <w:divBdr>
        <w:top w:val="none" w:sz="0" w:space="0" w:color="auto"/>
        <w:left w:val="none" w:sz="0" w:space="0" w:color="auto"/>
        <w:bottom w:val="none" w:sz="0" w:space="0" w:color="auto"/>
        <w:right w:val="none" w:sz="0" w:space="0" w:color="auto"/>
      </w:divBdr>
    </w:div>
    <w:div w:id="1237784245">
      <w:bodyDiv w:val="1"/>
      <w:marLeft w:val="0"/>
      <w:marRight w:val="0"/>
      <w:marTop w:val="0"/>
      <w:marBottom w:val="0"/>
      <w:divBdr>
        <w:top w:val="none" w:sz="0" w:space="0" w:color="auto"/>
        <w:left w:val="none" w:sz="0" w:space="0" w:color="auto"/>
        <w:bottom w:val="none" w:sz="0" w:space="0" w:color="auto"/>
        <w:right w:val="none" w:sz="0" w:space="0" w:color="auto"/>
      </w:divBdr>
    </w:div>
    <w:div w:id="1238057801">
      <w:bodyDiv w:val="1"/>
      <w:marLeft w:val="0"/>
      <w:marRight w:val="0"/>
      <w:marTop w:val="0"/>
      <w:marBottom w:val="0"/>
      <w:divBdr>
        <w:top w:val="none" w:sz="0" w:space="0" w:color="auto"/>
        <w:left w:val="none" w:sz="0" w:space="0" w:color="auto"/>
        <w:bottom w:val="none" w:sz="0" w:space="0" w:color="auto"/>
        <w:right w:val="none" w:sz="0" w:space="0" w:color="auto"/>
      </w:divBdr>
    </w:div>
    <w:div w:id="1238441599">
      <w:bodyDiv w:val="1"/>
      <w:marLeft w:val="0"/>
      <w:marRight w:val="0"/>
      <w:marTop w:val="0"/>
      <w:marBottom w:val="0"/>
      <w:divBdr>
        <w:top w:val="none" w:sz="0" w:space="0" w:color="auto"/>
        <w:left w:val="none" w:sz="0" w:space="0" w:color="auto"/>
        <w:bottom w:val="none" w:sz="0" w:space="0" w:color="auto"/>
        <w:right w:val="none" w:sz="0" w:space="0" w:color="auto"/>
      </w:divBdr>
    </w:div>
    <w:div w:id="1238594031">
      <w:bodyDiv w:val="1"/>
      <w:marLeft w:val="0"/>
      <w:marRight w:val="0"/>
      <w:marTop w:val="0"/>
      <w:marBottom w:val="0"/>
      <w:divBdr>
        <w:top w:val="none" w:sz="0" w:space="0" w:color="auto"/>
        <w:left w:val="none" w:sz="0" w:space="0" w:color="auto"/>
        <w:bottom w:val="none" w:sz="0" w:space="0" w:color="auto"/>
        <w:right w:val="none" w:sz="0" w:space="0" w:color="auto"/>
      </w:divBdr>
    </w:div>
    <w:div w:id="1238713746">
      <w:bodyDiv w:val="1"/>
      <w:marLeft w:val="0"/>
      <w:marRight w:val="0"/>
      <w:marTop w:val="0"/>
      <w:marBottom w:val="0"/>
      <w:divBdr>
        <w:top w:val="none" w:sz="0" w:space="0" w:color="auto"/>
        <w:left w:val="none" w:sz="0" w:space="0" w:color="auto"/>
        <w:bottom w:val="none" w:sz="0" w:space="0" w:color="auto"/>
        <w:right w:val="none" w:sz="0" w:space="0" w:color="auto"/>
      </w:divBdr>
    </w:div>
    <w:div w:id="1239168187">
      <w:bodyDiv w:val="1"/>
      <w:marLeft w:val="0"/>
      <w:marRight w:val="0"/>
      <w:marTop w:val="0"/>
      <w:marBottom w:val="0"/>
      <w:divBdr>
        <w:top w:val="none" w:sz="0" w:space="0" w:color="auto"/>
        <w:left w:val="none" w:sz="0" w:space="0" w:color="auto"/>
        <w:bottom w:val="none" w:sz="0" w:space="0" w:color="auto"/>
        <w:right w:val="none" w:sz="0" w:space="0" w:color="auto"/>
      </w:divBdr>
    </w:div>
    <w:div w:id="1239286786">
      <w:bodyDiv w:val="1"/>
      <w:marLeft w:val="0"/>
      <w:marRight w:val="0"/>
      <w:marTop w:val="0"/>
      <w:marBottom w:val="0"/>
      <w:divBdr>
        <w:top w:val="none" w:sz="0" w:space="0" w:color="auto"/>
        <w:left w:val="none" w:sz="0" w:space="0" w:color="auto"/>
        <w:bottom w:val="none" w:sz="0" w:space="0" w:color="auto"/>
        <w:right w:val="none" w:sz="0" w:space="0" w:color="auto"/>
      </w:divBdr>
    </w:div>
    <w:div w:id="1239293536">
      <w:bodyDiv w:val="1"/>
      <w:marLeft w:val="0"/>
      <w:marRight w:val="0"/>
      <w:marTop w:val="0"/>
      <w:marBottom w:val="0"/>
      <w:divBdr>
        <w:top w:val="none" w:sz="0" w:space="0" w:color="auto"/>
        <w:left w:val="none" w:sz="0" w:space="0" w:color="auto"/>
        <w:bottom w:val="none" w:sz="0" w:space="0" w:color="auto"/>
        <w:right w:val="none" w:sz="0" w:space="0" w:color="auto"/>
      </w:divBdr>
    </w:div>
    <w:div w:id="1241254762">
      <w:bodyDiv w:val="1"/>
      <w:marLeft w:val="0"/>
      <w:marRight w:val="0"/>
      <w:marTop w:val="0"/>
      <w:marBottom w:val="0"/>
      <w:divBdr>
        <w:top w:val="none" w:sz="0" w:space="0" w:color="auto"/>
        <w:left w:val="none" w:sz="0" w:space="0" w:color="auto"/>
        <w:bottom w:val="none" w:sz="0" w:space="0" w:color="auto"/>
        <w:right w:val="none" w:sz="0" w:space="0" w:color="auto"/>
      </w:divBdr>
    </w:div>
    <w:div w:id="1241676139">
      <w:bodyDiv w:val="1"/>
      <w:marLeft w:val="0"/>
      <w:marRight w:val="0"/>
      <w:marTop w:val="0"/>
      <w:marBottom w:val="0"/>
      <w:divBdr>
        <w:top w:val="none" w:sz="0" w:space="0" w:color="auto"/>
        <w:left w:val="none" w:sz="0" w:space="0" w:color="auto"/>
        <w:bottom w:val="none" w:sz="0" w:space="0" w:color="auto"/>
        <w:right w:val="none" w:sz="0" w:space="0" w:color="auto"/>
      </w:divBdr>
    </w:div>
    <w:div w:id="1241913083">
      <w:bodyDiv w:val="1"/>
      <w:marLeft w:val="0"/>
      <w:marRight w:val="0"/>
      <w:marTop w:val="0"/>
      <w:marBottom w:val="0"/>
      <w:divBdr>
        <w:top w:val="none" w:sz="0" w:space="0" w:color="auto"/>
        <w:left w:val="none" w:sz="0" w:space="0" w:color="auto"/>
        <w:bottom w:val="none" w:sz="0" w:space="0" w:color="auto"/>
        <w:right w:val="none" w:sz="0" w:space="0" w:color="auto"/>
      </w:divBdr>
    </w:div>
    <w:div w:id="1242106595">
      <w:bodyDiv w:val="1"/>
      <w:marLeft w:val="0"/>
      <w:marRight w:val="0"/>
      <w:marTop w:val="0"/>
      <w:marBottom w:val="0"/>
      <w:divBdr>
        <w:top w:val="none" w:sz="0" w:space="0" w:color="auto"/>
        <w:left w:val="none" w:sz="0" w:space="0" w:color="auto"/>
        <w:bottom w:val="none" w:sz="0" w:space="0" w:color="auto"/>
        <w:right w:val="none" w:sz="0" w:space="0" w:color="auto"/>
      </w:divBdr>
    </w:div>
    <w:div w:id="1242179854">
      <w:bodyDiv w:val="1"/>
      <w:marLeft w:val="0"/>
      <w:marRight w:val="0"/>
      <w:marTop w:val="0"/>
      <w:marBottom w:val="0"/>
      <w:divBdr>
        <w:top w:val="none" w:sz="0" w:space="0" w:color="auto"/>
        <w:left w:val="none" w:sz="0" w:space="0" w:color="auto"/>
        <w:bottom w:val="none" w:sz="0" w:space="0" w:color="auto"/>
        <w:right w:val="none" w:sz="0" w:space="0" w:color="auto"/>
      </w:divBdr>
    </w:div>
    <w:div w:id="1242249808">
      <w:bodyDiv w:val="1"/>
      <w:marLeft w:val="0"/>
      <w:marRight w:val="0"/>
      <w:marTop w:val="0"/>
      <w:marBottom w:val="0"/>
      <w:divBdr>
        <w:top w:val="none" w:sz="0" w:space="0" w:color="auto"/>
        <w:left w:val="none" w:sz="0" w:space="0" w:color="auto"/>
        <w:bottom w:val="none" w:sz="0" w:space="0" w:color="auto"/>
        <w:right w:val="none" w:sz="0" w:space="0" w:color="auto"/>
      </w:divBdr>
    </w:div>
    <w:div w:id="1242253743">
      <w:bodyDiv w:val="1"/>
      <w:marLeft w:val="0"/>
      <w:marRight w:val="0"/>
      <w:marTop w:val="0"/>
      <w:marBottom w:val="0"/>
      <w:divBdr>
        <w:top w:val="none" w:sz="0" w:space="0" w:color="auto"/>
        <w:left w:val="none" w:sz="0" w:space="0" w:color="auto"/>
        <w:bottom w:val="none" w:sz="0" w:space="0" w:color="auto"/>
        <w:right w:val="none" w:sz="0" w:space="0" w:color="auto"/>
      </w:divBdr>
    </w:div>
    <w:div w:id="1242371673">
      <w:bodyDiv w:val="1"/>
      <w:marLeft w:val="0"/>
      <w:marRight w:val="0"/>
      <w:marTop w:val="0"/>
      <w:marBottom w:val="0"/>
      <w:divBdr>
        <w:top w:val="none" w:sz="0" w:space="0" w:color="auto"/>
        <w:left w:val="none" w:sz="0" w:space="0" w:color="auto"/>
        <w:bottom w:val="none" w:sz="0" w:space="0" w:color="auto"/>
        <w:right w:val="none" w:sz="0" w:space="0" w:color="auto"/>
      </w:divBdr>
    </w:div>
    <w:div w:id="1242644118">
      <w:bodyDiv w:val="1"/>
      <w:marLeft w:val="0"/>
      <w:marRight w:val="0"/>
      <w:marTop w:val="0"/>
      <w:marBottom w:val="0"/>
      <w:divBdr>
        <w:top w:val="none" w:sz="0" w:space="0" w:color="auto"/>
        <w:left w:val="none" w:sz="0" w:space="0" w:color="auto"/>
        <w:bottom w:val="none" w:sz="0" w:space="0" w:color="auto"/>
        <w:right w:val="none" w:sz="0" w:space="0" w:color="auto"/>
      </w:divBdr>
    </w:div>
    <w:div w:id="1243293177">
      <w:bodyDiv w:val="1"/>
      <w:marLeft w:val="0"/>
      <w:marRight w:val="0"/>
      <w:marTop w:val="0"/>
      <w:marBottom w:val="0"/>
      <w:divBdr>
        <w:top w:val="none" w:sz="0" w:space="0" w:color="auto"/>
        <w:left w:val="none" w:sz="0" w:space="0" w:color="auto"/>
        <w:bottom w:val="none" w:sz="0" w:space="0" w:color="auto"/>
        <w:right w:val="none" w:sz="0" w:space="0" w:color="auto"/>
      </w:divBdr>
    </w:div>
    <w:div w:id="1243836544">
      <w:bodyDiv w:val="1"/>
      <w:marLeft w:val="0"/>
      <w:marRight w:val="0"/>
      <w:marTop w:val="0"/>
      <w:marBottom w:val="0"/>
      <w:divBdr>
        <w:top w:val="none" w:sz="0" w:space="0" w:color="auto"/>
        <w:left w:val="none" w:sz="0" w:space="0" w:color="auto"/>
        <w:bottom w:val="none" w:sz="0" w:space="0" w:color="auto"/>
        <w:right w:val="none" w:sz="0" w:space="0" w:color="auto"/>
      </w:divBdr>
    </w:div>
    <w:div w:id="1244024015">
      <w:bodyDiv w:val="1"/>
      <w:marLeft w:val="0"/>
      <w:marRight w:val="0"/>
      <w:marTop w:val="0"/>
      <w:marBottom w:val="0"/>
      <w:divBdr>
        <w:top w:val="none" w:sz="0" w:space="0" w:color="auto"/>
        <w:left w:val="none" w:sz="0" w:space="0" w:color="auto"/>
        <w:bottom w:val="none" w:sz="0" w:space="0" w:color="auto"/>
        <w:right w:val="none" w:sz="0" w:space="0" w:color="auto"/>
      </w:divBdr>
    </w:div>
    <w:div w:id="1244071659">
      <w:bodyDiv w:val="1"/>
      <w:marLeft w:val="0"/>
      <w:marRight w:val="0"/>
      <w:marTop w:val="0"/>
      <w:marBottom w:val="0"/>
      <w:divBdr>
        <w:top w:val="none" w:sz="0" w:space="0" w:color="auto"/>
        <w:left w:val="none" w:sz="0" w:space="0" w:color="auto"/>
        <w:bottom w:val="none" w:sz="0" w:space="0" w:color="auto"/>
        <w:right w:val="none" w:sz="0" w:space="0" w:color="auto"/>
      </w:divBdr>
    </w:div>
    <w:div w:id="1244102063">
      <w:bodyDiv w:val="1"/>
      <w:marLeft w:val="0"/>
      <w:marRight w:val="0"/>
      <w:marTop w:val="0"/>
      <w:marBottom w:val="0"/>
      <w:divBdr>
        <w:top w:val="none" w:sz="0" w:space="0" w:color="auto"/>
        <w:left w:val="none" w:sz="0" w:space="0" w:color="auto"/>
        <w:bottom w:val="none" w:sz="0" w:space="0" w:color="auto"/>
        <w:right w:val="none" w:sz="0" w:space="0" w:color="auto"/>
      </w:divBdr>
    </w:div>
    <w:div w:id="1244298830">
      <w:bodyDiv w:val="1"/>
      <w:marLeft w:val="0"/>
      <w:marRight w:val="0"/>
      <w:marTop w:val="0"/>
      <w:marBottom w:val="0"/>
      <w:divBdr>
        <w:top w:val="none" w:sz="0" w:space="0" w:color="auto"/>
        <w:left w:val="none" w:sz="0" w:space="0" w:color="auto"/>
        <w:bottom w:val="none" w:sz="0" w:space="0" w:color="auto"/>
        <w:right w:val="none" w:sz="0" w:space="0" w:color="auto"/>
      </w:divBdr>
    </w:div>
    <w:div w:id="1244339180">
      <w:bodyDiv w:val="1"/>
      <w:marLeft w:val="0"/>
      <w:marRight w:val="0"/>
      <w:marTop w:val="0"/>
      <w:marBottom w:val="0"/>
      <w:divBdr>
        <w:top w:val="none" w:sz="0" w:space="0" w:color="auto"/>
        <w:left w:val="none" w:sz="0" w:space="0" w:color="auto"/>
        <w:bottom w:val="none" w:sz="0" w:space="0" w:color="auto"/>
        <w:right w:val="none" w:sz="0" w:space="0" w:color="auto"/>
      </w:divBdr>
    </w:div>
    <w:div w:id="1245184695">
      <w:bodyDiv w:val="1"/>
      <w:marLeft w:val="0"/>
      <w:marRight w:val="0"/>
      <w:marTop w:val="0"/>
      <w:marBottom w:val="0"/>
      <w:divBdr>
        <w:top w:val="none" w:sz="0" w:space="0" w:color="auto"/>
        <w:left w:val="none" w:sz="0" w:space="0" w:color="auto"/>
        <w:bottom w:val="none" w:sz="0" w:space="0" w:color="auto"/>
        <w:right w:val="none" w:sz="0" w:space="0" w:color="auto"/>
      </w:divBdr>
    </w:div>
    <w:div w:id="1245644779">
      <w:bodyDiv w:val="1"/>
      <w:marLeft w:val="0"/>
      <w:marRight w:val="0"/>
      <w:marTop w:val="0"/>
      <w:marBottom w:val="0"/>
      <w:divBdr>
        <w:top w:val="none" w:sz="0" w:space="0" w:color="auto"/>
        <w:left w:val="none" w:sz="0" w:space="0" w:color="auto"/>
        <w:bottom w:val="none" w:sz="0" w:space="0" w:color="auto"/>
        <w:right w:val="none" w:sz="0" w:space="0" w:color="auto"/>
      </w:divBdr>
    </w:div>
    <w:div w:id="1246722082">
      <w:bodyDiv w:val="1"/>
      <w:marLeft w:val="0"/>
      <w:marRight w:val="0"/>
      <w:marTop w:val="0"/>
      <w:marBottom w:val="0"/>
      <w:divBdr>
        <w:top w:val="none" w:sz="0" w:space="0" w:color="auto"/>
        <w:left w:val="none" w:sz="0" w:space="0" w:color="auto"/>
        <w:bottom w:val="none" w:sz="0" w:space="0" w:color="auto"/>
        <w:right w:val="none" w:sz="0" w:space="0" w:color="auto"/>
      </w:divBdr>
    </w:div>
    <w:div w:id="1246840205">
      <w:bodyDiv w:val="1"/>
      <w:marLeft w:val="0"/>
      <w:marRight w:val="0"/>
      <w:marTop w:val="0"/>
      <w:marBottom w:val="0"/>
      <w:divBdr>
        <w:top w:val="none" w:sz="0" w:space="0" w:color="auto"/>
        <w:left w:val="none" w:sz="0" w:space="0" w:color="auto"/>
        <w:bottom w:val="none" w:sz="0" w:space="0" w:color="auto"/>
        <w:right w:val="none" w:sz="0" w:space="0" w:color="auto"/>
      </w:divBdr>
    </w:div>
    <w:div w:id="1246915993">
      <w:bodyDiv w:val="1"/>
      <w:marLeft w:val="0"/>
      <w:marRight w:val="0"/>
      <w:marTop w:val="0"/>
      <w:marBottom w:val="0"/>
      <w:divBdr>
        <w:top w:val="none" w:sz="0" w:space="0" w:color="auto"/>
        <w:left w:val="none" w:sz="0" w:space="0" w:color="auto"/>
        <w:bottom w:val="none" w:sz="0" w:space="0" w:color="auto"/>
        <w:right w:val="none" w:sz="0" w:space="0" w:color="auto"/>
      </w:divBdr>
    </w:div>
    <w:div w:id="1247108353">
      <w:bodyDiv w:val="1"/>
      <w:marLeft w:val="0"/>
      <w:marRight w:val="0"/>
      <w:marTop w:val="0"/>
      <w:marBottom w:val="0"/>
      <w:divBdr>
        <w:top w:val="none" w:sz="0" w:space="0" w:color="auto"/>
        <w:left w:val="none" w:sz="0" w:space="0" w:color="auto"/>
        <w:bottom w:val="none" w:sz="0" w:space="0" w:color="auto"/>
        <w:right w:val="none" w:sz="0" w:space="0" w:color="auto"/>
      </w:divBdr>
    </w:div>
    <w:div w:id="1247180897">
      <w:bodyDiv w:val="1"/>
      <w:marLeft w:val="0"/>
      <w:marRight w:val="0"/>
      <w:marTop w:val="0"/>
      <w:marBottom w:val="0"/>
      <w:divBdr>
        <w:top w:val="none" w:sz="0" w:space="0" w:color="auto"/>
        <w:left w:val="none" w:sz="0" w:space="0" w:color="auto"/>
        <w:bottom w:val="none" w:sz="0" w:space="0" w:color="auto"/>
        <w:right w:val="none" w:sz="0" w:space="0" w:color="auto"/>
      </w:divBdr>
    </w:div>
    <w:div w:id="1247225818">
      <w:bodyDiv w:val="1"/>
      <w:marLeft w:val="0"/>
      <w:marRight w:val="0"/>
      <w:marTop w:val="0"/>
      <w:marBottom w:val="0"/>
      <w:divBdr>
        <w:top w:val="none" w:sz="0" w:space="0" w:color="auto"/>
        <w:left w:val="none" w:sz="0" w:space="0" w:color="auto"/>
        <w:bottom w:val="none" w:sz="0" w:space="0" w:color="auto"/>
        <w:right w:val="none" w:sz="0" w:space="0" w:color="auto"/>
      </w:divBdr>
    </w:div>
    <w:div w:id="1247954000">
      <w:bodyDiv w:val="1"/>
      <w:marLeft w:val="0"/>
      <w:marRight w:val="0"/>
      <w:marTop w:val="0"/>
      <w:marBottom w:val="0"/>
      <w:divBdr>
        <w:top w:val="none" w:sz="0" w:space="0" w:color="auto"/>
        <w:left w:val="none" w:sz="0" w:space="0" w:color="auto"/>
        <w:bottom w:val="none" w:sz="0" w:space="0" w:color="auto"/>
        <w:right w:val="none" w:sz="0" w:space="0" w:color="auto"/>
      </w:divBdr>
    </w:div>
    <w:div w:id="1248878466">
      <w:bodyDiv w:val="1"/>
      <w:marLeft w:val="0"/>
      <w:marRight w:val="0"/>
      <w:marTop w:val="0"/>
      <w:marBottom w:val="0"/>
      <w:divBdr>
        <w:top w:val="none" w:sz="0" w:space="0" w:color="auto"/>
        <w:left w:val="none" w:sz="0" w:space="0" w:color="auto"/>
        <w:bottom w:val="none" w:sz="0" w:space="0" w:color="auto"/>
        <w:right w:val="none" w:sz="0" w:space="0" w:color="auto"/>
      </w:divBdr>
    </w:div>
    <w:div w:id="1249382823">
      <w:bodyDiv w:val="1"/>
      <w:marLeft w:val="0"/>
      <w:marRight w:val="0"/>
      <w:marTop w:val="0"/>
      <w:marBottom w:val="0"/>
      <w:divBdr>
        <w:top w:val="none" w:sz="0" w:space="0" w:color="auto"/>
        <w:left w:val="none" w:sz="0" w:space="0" w:color="auto"/>
        <w:bottom w:val="none" w:sz="0" w:space="0" w:color="auto"/>
        <w:right w:val="none" w:sz="0" w:space="0" w:color="auto"/>
      </w:divBdr>
    </w:div>
    <w:div w:id="1249462885">
      <w:bodyDiv w:val="1"/>
      <w:marLeft w:val="0"/>
      <w:marRight w:val="0"/>
      <w:marTop w:val="0"/>
      <w:marBottom w:val="0"/>
      <w:divBdr>
        <w:top w:val="none" w:sz="0" w:space="0" w:color="auto"/>
        <w:left w:val="none" w:sz="0" w:space="0" w:color="auto"/>
        <w:bottom w:val="none" w:sz="0" w:space="0" w:color="auto"/>
        <w:right w:val="none" w:sz="0" w:space="0" w:color="auto"/>
      </w:divBdr>
    </w:div>
    <w:div w:id="1249803216">
      <w:bodyDiv w:val="1"/>
      <w:marLeft w:val="0"/>
      <w:marRight w:val="0"/>
      <w:marTop w:val="0"/>
      <w:marBottom w:val="0"/>
      <w:divBdr>
        <w:top w:val="none" w:sz="0" w:space="0" w:color="auto"/>
        <w:left w:val="none" w:sz="0" w:space="0" w:color="auto"/>
        <w:bottom w:val="none" w:sz="0" w:space="0" w:color="auto"/>
        <w:right w:val="none" w:sz="0" w:space="0" w:color="auto"/>
      </w:divBdr>
    </w:div>
    <w:div w:id="1249853237">
      <w:bodyDiv w:val="1"/>
      <w:marLeft w:val="0"/>
      <w:marRight w:val="0"/>
      <w:marTop w:val="0"/>
      <w:marBottom w:val="0"/>
      <w:divBdr>
        <w:top w:val="none" w:sz="0" w:space="0" w:color="auto"/>
        <w:left w:val="none" w:sz="0" w:space="0" w:color="auto"/>
        <w:bottom w:val="none" w:sz="0" w:space="0" w:color="auto"/>
        <w:right w:val="none" w:sz="0" w:space="0" w:color="auto"/>
      </w:divBdr>
    </w:div>
    <w:div w:id="1249971839">
      <w:bodyDiv w:val="1"/>
      <w:marLeft w:val="0"/>
      <w:marRight w:val="0"/>
      <w:marTop w:val="0"/>
      <w:marBottom w:val="0"/>
      <w:divBdr>
        <w:top w:val="none" w:sz="0" w:space="0" w:color="auto"/>
        <w:left w:val="none" w:sz="0" w:space="0" w:color="auto"/>
        <w:bottom w:val="none" w:sz="0" w:space="0" w:color="auto"/>
        <w:right w:val="none" w:sz="0" w:space="0" w:color="auto"/>
      </w:divBdr>
    </w:div>
    <w:div w:id="1250038679">
      <w:bodyDiv w:val="1"/>
      <w:marLeft w:val="0"/>
      <w:marRight w:val="0"/>
      <w:marTop w:val="0"/>
      <w:marBottom w:val="0"/>
      <w:divBdr>
        <w:top w:val="none" w:sz="0" w:space="0" w:color="auto"/>
        <w:left w:val="none" w:sz="0" w:space="0" w:color="auto"/>
        <w:bottom w:val="none" w:sz="0" w:space="0" w:color="auto"/>
        <w:right w:val="none" w:sz="0" w:space="0" w:color="auto"/>
      </w:divBdr>
    </w:div>
    <w:div w:id="1250119194">
      <w:bodyDiv w:val="1"/>
      <w:marLeft w:val="0"/>
      <w:marRight w:val="0"/>
      <w:marTop w:val="0"/>
      <w:marBottom w:val="0"/>
      <w:divBdr>
        <w:top w:val="none" w:sz="0" w:space="0" w:color="auto"/>
        <w:left w:val="none" w:sz="0" w:space="0" w:color="auto"/>
        <w:bottom w:val="none" w:sz="0" w:space="0" w:color="auto"/>
        <w:right w:val="none" w:sz="0" w:space="0" w:color="auto"/>
      </w:divBdr>
    </w:div>
    <w:div w:id="1250307650">
      <w:bodyDiv w:val="1"/>
      <w:marLeft w:val="0"/>
      <w:marRight w:val="0"/>
      <w:marTop w:val="0"/>
      <w:marBottom w:val="0"/>
      <w:divBdr>
        <w:top w:val="none" w:sz="0" w:space="0" w:color="auto"/>
        <w:left w:val="none" w:sz="0" w:space="0" w:color="auto"/>
        <w:bottom w:val="none" w:sz="0" w:space="0" w:color="auto"/>
        <w:right w:val="none" w:sz="0" w:space="0" w:color="auto"/>
      </w:divBdr>
    </w:div>
    <w:div w:id="1250383631">
      <w:bodyDiv w:val="1"/>
      <w:marLeft w:val="0"/>
      <w:marRight w:val="0"/>
      <w:marTop w:val="0"/>
      <w:marBottom w:val="0"/>
      <w:divBdr>
        <w:top w:val="none" w:sz="0" w:space="0" w:color="auto"/>
        <w:left w:val="none" w:sz="0" w:space="0" w:color="auto"/>
        <w:bottom w:val="none" w:sz="0" w:space="0" w:color="auto"/>
        <w:right w:val="none" w:sz="0" w:space="0" w:color="auto"/>
      </w:divBdr>
    </w:div>
    <w:div w:id="1251156162">
      <w:bodyDiv w:val="1"/>
      <w:marLeft w:val="0"/>
      <w:marRight w:val="0"/>
      <w:marTop w:val="0"/>
      <w:marBottom w:val="0"/>
      <w:divBdr>
        <w:top w:val="none" w:sz="0" w:space="0" w:color="auto"/>
        <w:left w:val="none" w:sz="0" w:space="0" w:color="auto"/>
        <w:bottom w:val="none" w:sz="0" w:space="0" w:color="auto"/>
        <w:right w:val="none" w:sz="0" w:space="0" w:color="auto"/>
      </w:divBdr>
    </w:div>
    <w:div w:id="1251232187">
      <w:bodyDiv w:val="1"/>
      <w:marLeft w:val="0"/>
      <w:marRight w:val="0"/>
      <w:marTop w:val="0"/>
      <w:marBottom w:val="0"/>
      <w:divBdr>
        <w:top w:val="none" w:sz="0" w:space="0" w:color="auto"/>
        <w:left w:val="none" w:sz="0" w:space="0" w:color="auto"/>
        <w:bottom w:val="none" w:sz="0" w:space="0" w:color="auto"/>
        <w:right w:val="none" w:sz="0" w:space="0" w:color="auto"/>
      </w:divBdr>
    </w:div>
    <w:div w:id="1251506791">
      <w:bodyDiv w:val="1"/>
      <w:marLeft w:val="0"/>
      <w:marRight w:val="0"/>
      <w:marTop w:val="0"/>
      <w:marBottom w:val="0"/>
      <w:divBdr>
        <w:top w:val="none" w:sz="0" w:space="0" w:color="auto"/>
        <w:left w:val="none" w:sz="0" w:space="0" w:color="auto"/>
        <w:bottom w:val="none" w:sz="0" w:space="0" w:color="auto"/>
        <w:right w:val="none" w:sz="0" w:space="0" w:color="auto"/>
      </w:divBdr>
    </w:div>
    <w:div w:id="1251619533">
      <w:bodyDiv w:val="1"/>
      <w:marLeft w:val="0"/>
      <w:marRight w:val="0"/>
      <w:marTop w:val="0"/>
      <w:marBottom w:val="0"/>
      <w:divBdr>
        <w:top w:val="none" w:sz="0" w:space="0" w:color="auto"/>
        <w:left w:val="none" w:sz="0" w:space="0" w:color="auto"/>
        <w:bottom w:val="none" w:sz="0" w:space="0" w:color="auto"/>
        <w:right w:val="none" w:sz="0" w:space="0" w:color="auto"/>
      </w:divBdr>
    </w:div>
    <w:div w:id="1251695658">
      <w:bodyDiv w:val="1"/>
      <w:marLeft w:val="0"/>
      <w:marRight w:val="0"/>
      <w:marTop w:val="0"/>
      <w:marBottom w:val="0"/>
      <w:divBdr>
        <w:top w:val="none" w:sz="0" w:space="0" w:color="auto"/>
        <w:left w:val="none" w:sz="0" w:space="0" w:color="auto"/>
        <w:bottom w:val="none" w:sz="0" w:space="0" w:color="auto"/>
        <w:right w:val="none" w:sz="0" w:space="0" w:color="auto"/>
      </w:divBdr>
    </w:div>
    <w:div w:id="1252279008">
      <w:bodyDiv w:val="1"/>
      <w:marLeft w:val="0"/>
      <w:marRight w:val="0"/>
      <w:marTop w:val="0"/>
      <w:marBottom w:val="0"/>
      <w:divBdr>
        <w:top w:val="none" w:sz="0" w:space="0" w:color="auto"/>
        <w:left w:val="none" w:sz="0" w:space="0" w:color="auto"/>
        <w:bottom w:val="none" w:sz="0" w:space="0" w:color="auto"/>
        <w:right w:val="none" w:sz="0" w:space="0" w:color="auto"/>
      </w:divBdr>
    </w:div>
    <w:div w:id="1252467173">
      <w:bodyDiv w:val="1"/>
      <w:marLeft w:val="0"/>
      <w:marRight w:val="0"/>
      <w:marTop w:val="0"/>
      <w:marBottom w:val="0"/>
      <w:divBdr>
        <w:top w:val="none" w:sz="0" w:space="0" w:color="auto"/>
        <w:left w:val="none" w:sz="0" w:space="0" w:color="auto"/>
        <w:bottom w:val="none" w:sz="0" w:space="0" w:color="auto"/>
        <w:right w:val="none" w:sz="0" w:space="0" w:color="auto"/>
      </w:divBdr>
    </w:div>
    <w:div w:id="1252547147">
      <w:bodyDiv w:val="1"/>
      <w:marLeft w:val="0"/>
      <w:marRight w:val="0"/>
      <w:marTop w:val="0"/>
      <w:marBottom w:val="0"/>
      <w:divBdr>
        <w:top w:val="none" w:sz="0" w:space="0" w:color="auto"/>
        <w:left w:val="none" w:sz="0" w:space="0" w:color="auto"/>
        <w:bottom w:val="none" w:sz="0" w:space="0" w:color="auto"/>
        <w:right w:val="none" w:sz="0" w:space="0" w:color="auto"/>
      </w:divBdr>
    </w:div>
    <w:div w:id="1252739533">
      <w:bodyDiv w:val="1"/>
      <w:marLeft w:val="0"/>
      <w:marRight w:val="0"/>
      <w:marTop w:val="0"/>
      <w:marBottom w:val="0"/>
      <w:divBdr>
        <w:top w:val="none" w:sz="0" w:space="0" w:color="auto"/>
        <w:left w:val="none" w:sz="0" w:space="0" w:color="auto"/>
        <w:bottom w:val="none" w:sz="0" w:space="0" w:color="auto"/>
        <w:right w:val="none" w:sz="0" w:space="0" w:color="auto"/>
      </w:divBdr>
    </w:div>
    <w:div w:id="1252857513">
      <w:bodyDiv w:val="1"/>
      <w:marLeft w:val="0"/>
      <w:marRight w:val="0"/>
      <w:marTop w:val="0"/>
      <w:marBottom w:val="0"/>
      <w:divBdr>
        <w:top w:val="none" w:sz="0" w:space="0" w:color="auto"/>
        <w:left w:val="none" w:sz="0" w:space="0" w:color="auto"/>
        <w:bottom w:val="none" w:sz="0" w:space="0" w:color="auto"/>
        <w:right w:val="none" w:sz="0" w:space="0" w:color="auto"/>
      </w:divBdr>
    </w:div>
    <w:div w:id="1252931765">
      <w:bodyDiv w:val="1"/>
      <w:marLeft w:val="0"/>
      <w:marRight w:val="0"/>
      <w:marTop w:val="0"/>
      <w:marBottom w:val="0"/>
      <w:divBdr>
        <w:top w:val="none" w:sz="0" w:space="0" w:color="auto"/>
        <w:left w:val="none" w:sz="0" w:space="0" w:color="auto"/>
        <w:bottom w:val="none" w:sz="0" w:space="0" w:color="auto"/>
        <w:right w:val="none" w:sz="0" w:space="0" w:color="auto"/>
      </w:divBdr>
    </w:div>
    <w:div w:id="1253011832">
      <w:bodyDiv w:val="1"/>
      <w:marLeft w:val="0"/>
      <w:marRight w:val="0"/>
      <w:marTop w:val="0"/>
      <w:marBottom w:val="0"/>
      <w:divBdr>
        <w:top w:val="none" w:sz="0" w:space="0" w:color="auto"/>
        <w:left w:val="none" w:sz="0" w:space="0" w:color="auto"/>
        <w:bottom w:val="none" w:sz="0" w:space="0" w:color="auto"/>
        <w:right w:val="none" w:sz="0" w:space="0" w:color="auto"/>
      </w:divBdr>
    </w:div>
    <w:div w:id="1253473768">
      <w:bodyDiv w:val="1"/>
      <w:marLeft w:val="0"/>
      <w:marRight w:val="0"/>
      <w:marTop w:val="0"/>
      <w:marBottom w:val="0"/>
      <w:divBdr>
        <w:top w:val="none" w:sz="0" w:space="0" w:color="auto"/>
        <w:left w:val="none" w:sz="0" w:space="0" w:color="auto"/>
        <w:bottom w:val="none" w:sz="0" w:space="0" w:color="auto"/>
        <w:right w:val="none" w:sz="0" w:space="0" w:color="auto"/>
      </w:divBdr>
    </w:div>
    <w:div w:id="1253586042">
      <w:bodyDiv w:val="1"/>
      <w:marLeft w:val="0"/>
      <w:marRight w:val="0"/>
      <w:marTop w:val="0"/>
      <w:marBottom w:val="0"/>
      <w:divBdr>
        <w:top w:val="none" w:sz="0" w:space="0" w:color="auto"/>
        <w:left w:val="none" w:sz="0" w:space="0" w:color="auto"/>
        <w:bottom w:val="none" w:sz="0" w:space="0" w:color="auto"/>
        <w:right w:val="none" w:sz="0" w:space="0" w:color="auto"/>
      </w:divBdr>
    </w:div>
    <w:div w:id="1253856866">
      <w:bodyDiv w:val="1"/>
      <w:marLeft w:val="0"/>
      <w:marRight w:val="0"/>
      <w:marTop w:val="0"/>
      <w:marBottom w:val="0"/>
      <w:divBdr>
        <w:top w:val="none" w:sz="0" w:space="0" w:color="auto"/>
        <w:left w:val="none" w:sz="0" w:space="0" w:color="auto"/>
        <w:bottom w:val="none" w:sz="0" w:space="0" w:color="auto"/>
        <w:right w:val="none" w:sz="0" w:space="0" w:color="auto"/>
      </w:divBdr>
    </w:div>
    <w:div w:id="1254049634">
      <w:bodyDiv w:val="1"/>
      <w:marLeft w:val="0"/>
      <w:marRight w:val="0"/>
      <w:marTop w:val="0"/>
      <w:marBottom w:val="0"/>
      <w:divBdr>
        <w:top w:val="none" w:sz="0" w:space="0" w:color="auto"/>
        <w:left w:val="none" w:sz="0" w:space="0" w:color="auto"/>
        <w:bottom w:val="none" w:sz="0" w:space="0" w:color="auto"/>
        <w:right w:val="none" w:sz="0" w:space="0" w:color="auto"/>
      </w:divBdr>
    </w:div>
    <w:div w:id="1254509807">
      <w:bodyDiv w:val="1"/>
      <w:marLeft w:val="0"/>
      <w:marRight w:val="0"/>
      <w:marTop w:val="0"/>
      <w:marBottom w:val="0"/>
      <w:divBdr>
        <w:top w:val="none" w:sz="0" w:space="0" w:color="auto"/>
        <w:left w:val="none" w:sz="0" w:space="0" w:color="auto"/>
        <w:bottom w:val="none" w:sz="0" w:space="0" w:color="auto"/>
        <w:right w:val="none" w:sz="0" w:space="0" w:color="auto"/>
      </w:divBdr>
    </w:div>
    <w:div w:id="1254819618">
      <w:bodyDiv w:val="1"/>
      <w:marLeft w:val="0"/>
      <w:marRight w:val="0"/>
      <w:marTop w:val="0"/>
      <w:marBottom w:val="0"/>
      <w:divBdr>
        <w:top w:val="none" w:sz="0" w:space="0" w:color="auto"/>
        <w:left w:val="none" w:sz="0" w:space="0" w:color="auto"/>
        <w:bottom w:val="none" w:sz="0" w:space="0" w:color="auto"/>
        <w:right w:val="none" w:sz="0" w:space="0" w:color="auto"/>
      </w:divBdr>
    </w:div>
    <w:div w:id="1255866713">
      <w:bodyDiv w:val="1"/>
      <w:marLeft w:val="0"/>
      <w:marRight w:val="0"/>
      <w:marTop w:val="0"/>
      <w:marBottom w:val="0"/>
      <w:divBdr>
        <w:top w:val="none" w:sz="0" w:space="0" w:color="auto"/>
        <w:left w:val="none" w:sz="0" w:space="0" w:color="auto"/>
        <w:bottom w:val="none" w:sz="0" w:space="0" w:color="auto"/>
        <w:right w:val="none" w:sz="0" w:space="0" w:color="auto"/>
      </w:divBdr>
    </w:div>
    <w:div w:id="1255938843">
      <w:bodyDiv w:val="1"/>
      <w:marLeft w:val="0"/>
      <w:marRight w:val="0"/>
      <w:marTop w:val="0"/>
      <w:marBottom w:val="0"/>
      <w:divBdr>
        <w:top w:val="none" w:sz="0" w:space="0" w:color="auto"/>
        <w:left w:val="none" w:sz="0" w:space="0" w:color="auto"/>
        <w:bottom w:val="none" w:sz="0" w:space="0" w:color="auto"/>
        <w:right w:val="none" w:sz="0" w:space="0" w:color="auto"/>
      </w:divBdr>
    </w:div>
    <w:div w:id="1256014219">
      <w:bodyDiv w:val="1"/>
      <w:marLeft w:val="0"/>
      <w:marRight w:val="0"/>
      <w:marTop w:val="0"/>
      <w:marBottom w:val="0"/>
      <w:divBdr>
        <w:top w:val="none" w:sz="0" w:space="0" w:color="auto"/>
        <w:left w:val="none" w:sz="0" w:space="0" w:color="auto"/>
        <w:bottom w:val="none" w:sz="0" w:space="0" w:color="auto"/>
        <w:right w:val="none" w:sz="0" w:space="0" w:color="auto"/>
      </w:divBdr>
    </w:div>
    <w:div w:id="1256132864">
      <w:bodyDiv w:val="1"/>
      <w:marLeft w:val="0"/>
      <w:marRight w:val="0"/>
      <w:marTop w:val="0"/>
      <w:marBottom w:val="0"/>
      <w:divBdr>
        <w:top w:val="none" w:sz="0" w:space="0" w:color="auto"/>
        <w:left w:val="none" w:sz="0" w:space="0" w:color="auto"/>
        <w:bottom w:val="none" w:sz="0" w:space="0" w:color="auto"/>
        <w:right w:val="none" w:sz="0" w:space="0" w:color="auto"/>
      </w:divBdr>
    </w:div>
    <w:div w:id="1256327984">
      <w:bodyDiv w:val="1"/>
      <w:marLeft w:val="0"/>
      <w:marRight w:val="0"/>
      <w:marTop w:val="0"/>
      <w:marBottom w:val="0"/>
      <w:divBdr>
        <w:top w:val="none" w:sz="0" w:space="0" w:color="auto"/>
        <w:left w:val="none" w:sz="0" w:space="0" w:color="auto"/>
        <w:bottom w:val="none" w:sz="0" w:space="0" w:color="auto"/>
        <w:right w:val="none" w:sz="0" w:space="0" w:color="auto"/>
      </w:divBdr>
    </w:div>
    <w:div w:id="1256866261">
      <w:bodyDiv w:val="1"/>
      <w:marLeft w:val="0"/>
      <w:marRight w:val="0"/>
      <w:marTop w:val="0"/>
      <w:marBottom w:val="0"/>
      <w:divBdr>
        <w:top w:val="none" w:sz="0" w:space="0" w:color="auto"/>
        <w:left w:val="none" w:sz="0" w:space="0" w:color="auto"/>
        <w:bottom w:val="none" w:sz="0" w:space="0" w:color="auto"/>
        <w:right w:val="none" w:sz="0" w:space="0" w:color="auto"/>
      </w:divBdr>
    </w:div>
    <w:div w:id="1257447216">
      <w:bodyDiv w:val="1"/>
      <w:marLeft w:val="0"/>
      <w:marRight w:val="0"/>
      <w:marTop w:val="0"/>
      <w:marBottom w:val="0"/>
      <w:divBdr>
        <w:top w:val="none" w:sz="0" w:space="0" w:color="auto"/>
        <w:left w:val="none" w:sz="0" w:space="0" w:color="auto"/>
        <w:bottom w:val="none" w:sz="0" w:space="0" w:color="auto"/>
        <w:right w:val="none" w:sz="0" w:space="0" w:color="auto"/>
      </w:divBdr>
    </w:div>
    <w:div w:id="1257522690">
      <w:bodyDiv w:val="1"/>
      <w:marLeft w:val="0"/>
      <w:marRight w:val="0"/>
      <w:marTop w:val="0"/>
      <w:marBottom w:val="0"/>
      <w:divBdr>
        <w:top w:val="none" w:sz="0" w:space="0" w:color="auto"/>
        <w:left w:val="none" w:sz="0" w:space="0" w:color="auto"/>
        <w:bottom w:val="none" w:sz="0" w:space="0" w:color="auto"/>
        <w:right w:val="none" w:sz="0" w:space="0" w:color="auto"/>
      </w:divBdr>
    </w:div>
    <w:div w:id="1257593105">
      <w:bodyDiv w:val="1"/>
      <w:marLeft w:val="0"/>
      <w:marRight w:val="0"/>
      <w:marTop w:val="0"/>
      <w:marBottom w:val="0"/>
      <w:divBdr>
        <w:top w:val="none" w:sz="0" w:space="0" w:color="auto"/>
        <w:left w:val="none" w:sz="0" w:space="0" w:color="auto"/>
        <w:bottom w:val="none" w:sz="0" w:space="0" w:color="auto"/>
        <w:right w:val="none" w:sz="0" w:space="0" w:color="auto"/>
      </w:divBdr>
    </w:div>
    <w:div w:id="1257638496">
      <w:bodyDiv w:val="1"/>
      <w:marLeft w:val="0"/>
      <w:marRight w:val="0"/>
      <w:marTop w:val="0"/>
      <w:marBottom w:val="0"/>
      <w:divBdr>
        <w:top w:val="none" w:sz="0" w:space="0" w:color="auto"/>
        <w:left w:val="none" w:sz="0" w:space="0" w:color="auto"/>
        <w:bottom w:val="none" w:sz="0" w:space="0" w:color="auto"/>
        <w:right w:val="none" w:sz="0" w:space="0" w:color="auto"/>
      </w:divBdr>
    </w:div>
    <w:div w:id="1257860799">
      <w:bodyDiv w:val="1"/>
      <w:marLeft w:val="0"/>
      <w:marRight w:val="0"/>
      <w:marTop w:val="0"/>
      <w:marBottom w:val="0"/>
      <w:divBdr>
        <w:top w:val="none" w:sz="0" w:space="0" w:color="auto"/>
        <w:left w:val="none" w:sz="0" w:space="0" w:color="auto"/>
        <w:bottom w:val="none" w:sz="0" w:space="0" w:color="auto"/>
        <w:right w:val="none" w:sz="0" w:space="0" w:color="auto"/>
      </w:divBdr>
    </w:div>
    <w:div w:id="1258246799">
      <w:bodyDiv w:val="1"/>
      <w:marLeft w:val="0"/>
      <w:marRight w:val="0"/>
      <w:marTop w:val="0"/>
      <w:marBottom w:val="0"/>
      <w:divBdr>
        <w:top w:val="none" w:sz="0" w:space="0" w:color="auto"/>
        <w:left w:val="none" w:sz="0" w:space="0" w:color="auto"/>
        <w:bottom w:val="none" w:sz="0" w:space="0" w:color="auto"/>
        <w:right w:val="none" w:sz="0" w:space="0" w:color="auto"/>
      </w:divBdr>
    </w:div>
    <w:div w:id="1258320765">
      <w:bodyDiv w:val="1"/>
      <w:marLeft w:val="0"/>
      <w:marRight w:val="0"/>
      <w:marTop w:val="0"/>
      <w:marBottom w:val="0"/>
      <w:divBdr>
        <w:top w:val="none" w:sz="0" w:space="0" w:color="auto"/>
        <w:left w:val="none" w:sz="0" w:space="0" w:color="auto"/>
        <w:bottom w:val="none" w:sz="0" w:space="0" w:color="auto"/>
        <w:right w:val="none" w:sz="0" w:space="0" w:color="auto"/>
      </w:divBdr>
    </w:div>
    <w:div w:id="1258367594">
      <w:bodyDiv w:val="1"/>
      <w:marLeft w:val="0"/>
      <w:marRight w:val="0"/>
      <w:marTop w:val="0"/>
      <w:marBottom w:val="0"/>
      <w:divBdr>
        <w:top w:val="none" w:sz="0" w:space="0" w:color="auto"/>
        <w:left w:val="none" w:sz="0" w:space="0" w:color="auto"/>
        <w:bottom w:val="none" w:sz="0" w:space="0" w:color="auto"/>
        <w:right w:val="none" w:sz="0" w:space="0" w:color="auto"/>
      </w:divBdr>
    </w:div>
    <w:div w:id="1258949010">
      <w:bodyDiv w:val="1"/>
      <w:marLeft w:val="0"/>
      <w:marRight w:val="0"/>
      <w:marTop w:val="0"/>
      <w:marBottom w:val="0"/>
      <w:divBdr>
        <w:top w:val="none" w:sz="0" w:space="0" w:color="auto"/>
        <w:left w:val="none" w:sz="0" w:space="0" w:color="auto"/>
        <w:bottom w:val="none" w:sz="0" w:space="0" w:color="auto"/>
        <w:right w:val="none" w:sz="0" w:space="0" w:color="auto"/>
      </w:divBdr>
    </w:div>
    <w:div w:id="1259411850">
      <w:bodyDiv w:val="1"/>
      <w:marLeft w:val="0"/>
      <w:marRight w:val="0"/>
      <w:marTop w:val="0"/>
      <w:marBottom w:val="0"/>
      <w:divBdr>
        <w:top w:val="none" w:sz="0" w:space="0" w:color="auto"/>
        <w:left w:val="none" w:sz="0" w:space="0" w:color="auto"/>
        <w:bottom w:val="none" w:sz="0" w:space="0" w:color="auto"/>
        <w:right w:val="none" w:sz="0" w:space="0" w:color="auto"/>
      </w:divBdr>
    </w:div>
    <w:div w:id="1259560792">
      <w:bodyDiv w:val="1"/>
      <w:marLeft w:val="0"/>
      <w:marRight w:val="0"/>
      <w:marTop w:val="0"/>
      <w:marBottom w:val="0"/>
      <w:divBdr>
        <w:top w:val="none" w:sz="0" w:space="0" w:color="auto"/>
        <w:left w:val="none" w:sz="0" w:space="0" w:color="auto"/>
        <w:bottom w:val="none" w:sz="0" w:space="0" w:color="auto"/>
        <w:right w:val="none" w:sz="0" w:space="0" w:color="auto"/>
      </w:divBdr>
    </w:div>
    <w:div w:id="1259602634">
      <w:bodyDiv w:val="1"/>
      <w:marLeft w:val="0"/>
      <w:marRight w:val="0"/>
      <w:marTop w:val="0"/>
      <w:marBottom w:val="0"/>
      <w:divBdr>
        <w:top w:val="none" w:sz="0" w:space="0" w:color="auto"/>
        <w:left w:val="none" w:sz="0" w:space="0" w:color="auto"/>
        <w:bottom w:val="none" w:sz="0" w:space="0" w:color="auto"/>
        <w:right w:val="none" w:sz="0" w:space="0" w:color="auto"/>
      </w:divBdr>
    </w:div>
    <w:div w:id="1259798839">
      <w:bodyDiv w:val="1"/>
      <w:marLeft w:val="0"/>
      <w:marRight w:val="0"/>
      <w:marTop w:val="0"/>
      <w:marBottom w:val="0"/>
      <w:divBdr>
        <w:top w:val="none" w:sz="0" w:space="0" w:color="auto"/>
        <w:left w:val="none" w:sz="0" w:space="0" w:color="auto"/>
        <w:bottom w:val="none" w:sz="0" w:space="0" w:color="auto"/>
        <w:right w:val="none" w:sz="0" w:space="0" w:color="auto"/>
      </w:divBdr>
    </w:div>
    <w:div w:id="1260262632">
      <w:bodyDiv w:val="1"/>
      <w:marLeft w:val="0"/>
      <w:marRight w:val="0"/>
      <w:marTop w:val="0"/>
      <w:marBottom w:val="0"/>
      <w:divBdr>
        <w:top w:val="none" w:sz="0" w:space="0" w:color="auto"/>
        <w:left w:val="none" w:sz="0" w:space="0" w:color="auto"/>
        <w:bottom w:val="none" w:sz="0" w:space="0" w:color="auto"/>
        <w:right w:val="none" w:sz="0" w:space="0" w:color="auto"/>
      </w:divBdr>
    </w:div>
    <w:div w:id="1260528734">
      <w:bodyDiv w:val="1"/>
      <w:marLeft w:val="0"/>
      <w:marRight w:val="0"/>
      <w:marTop w:val="0"/>
      <w:marBottom w:val="0"/>
      <w:divBdr>
        <w:top w:val="none" w:sz="0" w:space="0" w:color="auto"/>
        <w:left w:val="none" w:sz="0" w:space="0" w:color="auto"/>
        <w:bottom w:val="none" w:sz="0" w:space="0" w:color="auto"/>
        <w:right w:val="none" w:sz="0" w:space="0" w:color="auto"/>
      </w:divBdr>
    </w:div>
    <w:div w:id="1260673844">
      <w:bodyDiv w:val="1"/>
      <w:marLeft w:val="0"/>
      <w:marRight w:val="0"/>
      <w:marTop w:val="0"/>
      <w:marBottom w:val="0"/>
      <w:divBdr>
        <w:top w:val="none" w:sz="0" w:space="0" w:color="auto"/>
        <w:left w:val="none" w:sz="0" w:space="0" w:color="auto"/>
        <w:bottom w:val="none" w:sz="0" w:space="0" w:color="auto"/>
        <w:right w:val="none" w:sz="0" w:space="0" w:color="auto"/>
      </w:divBdr>
    </w:div>
    <w:div w:id="1260681382">
      <w:bodyDiv w:val="1"/>
      <w:marLeft w:val="0"/>
      <w:marRight w:val="0"/>
      <w:marTop w:val="0"/>
      <w:marBottom w:val="0"/>
      <w:divBdr>
        <w:top w:val="none" w:sz="0" w:space="0" w:color="auto"/>
        <w:left w:val="none" w:sz="0" w:space="0" w:color="auto"/>
        <w:bottom w:val="none" w:sz="0" w:space="0" w:color="auto"/>
        <w:right w:val="none" w:sz="0" w:space="0" w:color="auto"/>
      </w:divBdr>
    </w:div>
    <w:div w:id="1260866956">
      <w:bodyDiv w:val="1"/>
      <w:marLeft w:val="0"/>
      <w:marRight w:val="0"/>
      <w:marTop w:val="0"/>
      <w:marBottom w:val="0"/>
      <w:divBdr>
        <w:top w:val="none" w:sz="0" w:space="0" w:color="auto"/>
        <w:left w:val="none" w:sz="0" w:space="0" w:color="auto"/>
        <w:bottom w:val="none" w:sz="0" w:space="0" w:color="auto"/>
        <w:right w:val="none" w:sz="0" w:space="0" w:color="auto"/>
      </w:divBdr>
    </w:div>
    <w:div w:id="1260990458">
      <w:bodyDiv w:val="1"/>
      <w:marLeft w:val="0"/>
      <w:marRight w:val="0"/>
      <w:marTop w:val="0"/>
      <w:marBottom w:val="0"/>
      <w:divBdr>
        <w:top w:val="none" w:sz="0" w:space="0" w:color="auto"/>
        <w:left w:val="none" w:sz="0" w:space="0" w:color="auto"/>
        <w:bottom w:val="none" w:sz="0" w:space="0" w:color="auto"/>
        <w:right w:val="none" w:sz="0" w:space="0" w:color="auto"/>
      </w:divBdr>
    </w:div>
    <w:div w:id="1261176997">
      <w:bodyDiv w:val="1"/>
      <w:marLeft w:val="0"/>
      <w:marRight w:val="0"/>
      <w:marTop w:val="0"/>
      <w:marBottom w:val="0"/>
      <w:divBdr>
        <w:top w:val="none" w:sz="0" w:space="0" w:color="auto"/>
        <w:left w:val="none" w:sz="0" w:space="0" w:color="auto"/>
        <w:bottom w:val="none" w:sz="0" w:space="0" w:color="auto"/>
        <w:right w:val="none" w:sz="0" w:space="0" w:color="auto"/>
      </w:divBdr>
    </w:div>
    <w:div w:id="1261379080">
      <w:bodyDiv w:val="1"/>
      <w:marLeft w:val="0"/>
      <w:marRight w:val="0"/>
      <w:marTop w:val="0"/>
      <w:marBottom w:val="0"/>
      <w:divBdr>
        <w:top w:val="none" w:sz="0" w:space="0" w:color="auto"/>
        <w:left w:val="none" w:sz="0" w:space="0" w:color="auto"/>
        <w:bottom w:val="none" w:sz="0" w:space="0" w:color="auto"/>
        <w:right w:val="none" w:sz="0" w:space="0" w:color="auto"/>
      </w:divBdr>
    </w:div>
    <w:div w:id="1262027761">
      <w:bodyDiv w:val="1"/>
      <w:marLeft w:val="0"/>
      <w:marRight w:val="0"/>
      <w:marTop w:val="0"/>
      <w:marBottom w:val="0"/>
      <w:divBdr>
        <w:top w:val="none" w:sz="0" w:space="0" w:color="auto"/>
        <w:left w:val="none" w:sz="0" w:space="0" w:color="auto"/>
        <w:bottom w:val="none" w:sz="0" w:space="0" w:color="auto"/>
        <w:right w:val="none" w:sz="0" w:space="0" w:color="auto"/>
      </w:divBdr>
    </w:div>
    <w:div w:id="1262058600">
      <w:bodyDiv w:val="1"/>
      <w:marLeft w:val="0"/>
      <w:marRight w:val="0"/>
      <w:marTop w:val="0"/>
      <w:marBottom w:val="0"/>
      <w:divBdr>
        <w:top w:val="none" w:sz="0" w:space="0" w:color="auto"/>
        <w:left w:val="none" w:sz="0" w:space="0" w:color="auto"/>
        <w:bottom w:val="none" w:sz="0" w:space="0" w:color="auto"/>
        <w:right w:val="none" w:sz="0" w:space="0" w:color="auto"/>
      </w:divBdr>
    </w:div>
    <w:div w:id="1262688604">
      <w:bodyDiv w:val="1"/>
      <w:marLeft w:val="0"/>
      <w:marRight w:val="0"/>
      <w:marTop w:val="0"/>
      <w:marBottom w:val="0"/>
      <w:divBdr>
        <w:top w:val="none" w:sz="0" w:space="0" w:color="auto"/>
        <w:left w:val="none" w:sz="0" w:space="0" w:color="auto"/>
        <w:bottom w:val="none" w:sz="0" w:space="0" w:color="auto"/>
        <w:right w:val="none" w:sz="0" w:space="0" w:color="auto"/>
      </w:divBdr>
    </w:div>
    <w:div w:id="1262836372">
      <w:bodyDiv w:val="1"/>
      <w:marLeft w:val="0"/>
      <w:marRight w:val="0"/>
      <w:marTop w:val="0"/>
      <w:marBottom w:val="0"/>
      <w:divBdr>
        <w:top w:val="none" w:sz="0" w:space="0" w:color="auto"/>
        <w:left w:val="none" w:sz="0" w:space="0" w:color="auto"/>
        <w:bottom w:val="none" w:sz="0" w:space="0" w:color="auto"/>
        <w:right w:val="none" w:sz="0" w:space="0" w:color="auto"/>
      </w:divBdr>
    </w:div>
    <w:div w:id="1262907007">
      <w:bodyDiv w:val="1"/>
      <w:marLeft w:val="0"/>
      <w:marRight w:val="0"/>
      <w:marTop w:val="0"/>
      <w:marBottom w:val="0"/>
      <w:divBdr>
        <w:top w:val="none" w:sz="0" w:space="0" w:color="auto"/>
        <w:left w:val="none" w:sz="0" w:space="0" w:color="auto"/>
        <w:bottom w:val="none" w:sz="0" w:space="0" w:color="auto"/>
        <w:right w:val="none" w:sz="0" w:space="0" w:color="auto"/>
      </w:divBdr>
    </w:div>
    <w:div w:id="1263416885">
      <w:bodyDiv w:val="1"/>
      <w:marLeft w:val="0"/>
      <w:marRight w:val="0"/>
      <w:marTop w:val="0"/>
      <w:marBottom w:val="0"/>
      <w:divBdr>
        <w:top w:val="none" w:sz="0" w:space="0" w:color="auto"/>
        <w:left w:val="none" w:sz="0" w:space="0" w:color="auto"/>
        <w:bottom w:val="none" w:sz="0" w:space="0" w:color="auto"/>
        <w:right w:val="none" w:sz="0" w:space="0" w:color="auto"/>
      </w:divBdr>
    </w:div>
    <w:div w:id="1263680499">
      <w:bodyDiv w:val="1"/>
      <w:marLeft w:val="0"/>
      <w:marRight w:val="0"/>
      <w:marTop w:val="0"/>
      <w:marBottom w:val="0"/>
      <w:divBdr>
        <w:top w:val="none" w:sz="0" w:space="0" w:color="auto"/>
        <w:left w:val="none" w:sz="0" w:space="0" w:color="auto"/>
        <w:bottom w:val="none" w:sz="0" w:space="0" w:color="auto"/>
        <w:right w:val="none" w:sz="0" w:space="0" w:color="auto"/>
      </w:divBdr>
    </w:div>
    <w:div w:id="1264145008">
      <w:bodyDiv w:val="1"/>
      <w:marLeft w:val="0"/>
      <w:marRight w:val="0"/>
      <w:marTop w:val="0"/>
      <w:marBottom w:val="0"/>
      <w:divBdr>
        <w:top w:val="none" w:sz="0" w:space="0" w:color="auto"/>
        <w:left w:val="none" w:sz="0" w:space="0" w:color="auto"/>
        <w:bottom w:val="none" w:sz="0" w:space="0" w:color="auto"/>
        <w:right w:val="none" w:sz="0" w:space="0" w:color="auto"/>
      </w:divBdr>
    </w:div>
    <w:div w:id="1264339382">
      <w:bodyDiv w:val="1"/>
      <w:marLeft w:val="0"/>
      <w:marRight w:val="0"/>
      <w:marTop w:val="0"/>
      <w:marBottom w:val="0"/>
      <w:divBdr>
        <w:top w:val="none" w:sz="0" w:space="0" w:color="auto"/>
        <w:left w:val="none" w:sz="0" w:space="0" w:color="auto"/>
        <w:bottom w:val="none" w:sz="0" w:space="0" w:color="auto"/>
        <w:right w:val="none" w:sz="0" w:space="0" w:color="auto"/>
      </w:divBdr>
    </w:div>
    <w:div w:id="1264411066">
      <w:bodyDiv w:val="1"/>
      <w:marLeft w:val="0"/>
      <w:marRight w:val="0"/>
      <w:marTop w:val="0"/>
      <w:marBottom w:val="0"/>
      <w:divBdr>
        <w:top w:val="none" w:sz="0" w:space="0" w:color="auto"/>
        <w:left w:val="none" w:sz="0" w:space="0" w:color="auto"/>
        <w:bottom w:val="none" w:sz="0" w:space="0" w:color="auto"/>
        <w:right w:val="none" w:sz="0" w:space="0" w:color="auto"/>
      </w:divBdr>
    </w:div>
    <w:div w:id="1264461339">
      <w:bodyDiv w:val="1"/>
      <w:marLeft w:val="0"/>
      <w:marRight w:val="0"/>
      <w:marTop w:val="0"/>
      <w:marBottom w:val="0"/>
      <w:divBdr>
        <w:top w:val="none" w:sz="0" w:space="0" w:color="auto"/>
        <w:left w:val="none" w:sz="0" w:space="0" w:color="auto"/>
        <w:bottom w:val="none" w:sz="0" w:space="0" w:color="auto"/>
        <w:right w:val="none" w:sz="0" w:space="0" w:color="auto"/>
      </w:divBdr>
    </w:div>
    <w:div w:id="1264917346">
      <w:bodyDiv w:val="1"/>
      <w:marLeft w:val="0"/>
      <w:marRight w:val="0"/>
      <w:marTop w:val="0"/>
      <w:marBottom w:val="0"/>
      <w:divBdr>
        <w:top w:val="none" w:sz="0" w:space="0" w:color="auto"/>
        <w:left w:val="none" w:sz="0" w:space="0" w:color="auto"/>
        <w:bottom w:val="none" w:sz="0" w:space="0" w:color="auto"/>
        <w:right w:val="none" w:sz="0" w:space="0" w:color="auto"/>
      </w:divBdr>
    </w:div>
    <w:div w:id="1265654266">
      <w:bodyDiv w:val="1"/>
      <w:marLeft w:val="0"/>
      <w:marRight w:val="0"/>
      <w:marTop w:val="0"/>
      <w:marBottom w:val="0"/>
      <w:divBdr>
        <w:top w:val="none" w:sz="0" w:space="0" w:color="auto"/>
        <w:left w:val="none" w:sz="0" w:space="0" w:color="auto"/>
        <w:bottom w:val="none" w:sz="0" w:space="0" w:color="auto"/>
        <w:right w:val="none" w:sz="0" w:space="0" w:color="auto"/>
      </w:divBdr>
    </w:div>
    <w:div w:id="1266037893">
      <w:bodyDiv w:val="1"/>
      <w:marLeft w:val="0"/>
      <w:marRight w:val="0"/>
      <w:marTop w:val="0"/>
      <w:marBottom w:val="0"/>
      <w:divBdr>
        <w:top w:val="none" w:sz="0" w:space="0" w:color="auto"/>
        <w:left w:val="none" w:sz="0" w:space="0" w:color="auto"/>
        <w:bottom w:val="none" w:sz="0" w:space="0" w:color="auto"/>
        <w:right w:val="none" w:sz="0" w:space="0" w:color="auto"/>
      </w:divBdr>
    </w:div>
    <w:div w:id="1266039837">
      <w:bodyDiv w:val="1"/>
      <w:marLeft w:val="0"/>
      <w:marRight w:val="0"/>
      <w:marTop w:val="0"/>
      <w:marBottom w:val="0"/>
      <w:divBdr>
        <w:top w:val="none" w:sz="0" w:space="0" w:color="auto"/>
        <w:left w:val="none" w:sz="0" w:space="0" w:color="auto"/>
        <w:bottom w:val="none" w:sz="0" w:space="0" w:color="auto"/>
        <w:right w:val="none" w:sz="0" w:space="0" w:color="auto"/>
      </w:divBdr>
    </w:div>
    <w:div w:id="1266233713">
      <w:bodyDiv w:val="1"/>
      <w:marLeft w:val="0"/>
      <w:marRight w:val="0"/>
      <w:marTop w:val="0"/>
      <w:marBottom w:val="0"/>
      <w:divBdr>
        <w:top w:val="none" w:sz="0" w:space="0" w:color="auto"/>
        <w:left w:val="none" w:sz="0" w:space="0" w:color="auto"/>
        <w:bottom w:val="none" w:sz="0" w:space="0" w:color="auto"/>
        <w:right w:val="none" w:sz="0" w:space="0" w:color="auto"/>
      </w:divBdr>
    </w:div>
    <w:div w:id="1266501751">
      <w:bodyDiv w:val="1"/>
      <w:marLeft w:val="0"/>
      <w:marRight w:val="0"/>
      <w:marTop w:val="0"/>
      <w:marBottom w:val="0"/>
      <w:divBdr>
        <w:top w:val="none" w:sz="0" w:space="0" w:color="auto"/>
        <w:left w:val="none" w:sz="0" w:space="0" w:color="auto"/>
        <w:bottom w:val="none" w:sz="0" w:space="0" w:color="auto"/>
        <w:right w:val="none" w:sz="0" w:space="0" w:color="auto"/>
      </w:divBdr>
    </w:div>
    <w:div w:id="1266571931">
      <w:bodyDiv w:val="1"/>
      <w:marLeft w:val="0"/>
      <w:marRight w:val="0"/>
      <w:marTop w:val="0"/>
      <w:marBottom w:val="0"/>
      <w:divBdr>
        <w:top w:val="none" w:sz="0" w:space="0" w:color="auto"/>
        <w:left w:val="none" w:sz="0" w:space="0" w:color="auto"/>
        <w:bottom w:val="none" w:sz="0" w:space="0" w:color="auto"/>
        <w:right w:val="none" w:sz="0" w:space="0" w:color="auto"/>
      </w:divBdr>
    </w:div>
    <w:div w:id="1267036979">
      <w:bodyDiv w:val="1"/>
      <w:marLeft w:val="0"/>
      <w:marRight w:val="0"/>
      <w:marTop w:val="0"/>
      <w:marBottom w:val="0"/>
      <w:divBdr>
        <w:top w:val="none" w:sz="0" w:space="0" w:color="auto"/>
        <w:left w:val="none" w:sz="0" w:space="0" w:color="auto"/>
        <w:bottom w:val="none" w:sz="0" w:space="0" w:color="auto"/>
        <w:right w:val="none" w:sz="0" w:space="0" w:color="auto"/>
      </w:divBdr>
    </w:div>
    <w:div w:id="1267739262">
      <w:bodyDiv w:val="1"/>
      <w:marLeft w:val="0"/>
      <w:marRight w:val="0"/>
      <w:marTop w:val="0"/>
      <w:marBottom w:val="0"/>
      <w:divBdr>
        <w:top w:val="none" w:sz="0" w:space="0" w:color="auto"/>
        <w:left w:val="none" w:sz="0" w:space="0" w:color="auto"/>
        <w:bottom w:val="none" w:sz="0" w:space="0" w:color="auto"/>
        <w:right w:val="none" w:sz="0" w:space="0" w:color="auto"/>
      </w:divBdr>
    </w:div>
    <w:div w:id="1267807883">
      <w:bodyDiv w:val="1"/>
      <w:marLeft w:val="0"/>
      <w:marRight w:val="0"/>
      <w:marTop w:val="0"/>
      <w:marBottom w:val="0"/>
      <w:divBdr>
        <w:top w:val="none" w:sz="0" w:space="0" w:color="auto"/>
        <w:left w:val="none" w:sz="0" w:space="0" w:color="auto"/>
        <w:bottom w:val="none" w:sz="0" w:space="0" w:color="auto"/>
        <w:right w:val="none" w:sz="0" w:space="0" w:color="auto"/>
      </w:divBdr>
    </w:div>
    <w:div w:id="1268343664">
      <w:bodyDiv w:val="1"/>
      <w:marLeft w:val="0"/>
      <w:marRight w:val="0"/>
      <w:marTop w:val="0"/>
      <w:marBottom w:val="0"/>
      <w:divBdr>
        <w:top w:val="none" w:sz="0" w:space="0" w:color="auto"/>
        <w:left w:val="none" w:sz="0" w:space="0" w:color="auto"/>
        <w:bottom w:val="none" w:sz="0" w:space="0" w:color="auto"/>
        <w:right w:val="none" w:sz="0" w:space="0" w:color="auto"/>
      </w:divBdr>
    </w:div>
    <w:div w:id="1269046259">
      <w:bodyDiv w:val="1"/>
      <w:marLeft w:val="0"/>
      <w:marRight w:val="0"/>
      <w:marTop w:val="0"/>
      <w:marBottom w:val="0"/>
      <w:divBdr>
        <w:top w:val="none" w:sz="0" w:space="0" w:color="auto"/>
        <w:left w:val="none" w:sz="0" w:space="0" w:color="auto"/>
        <w:bottom w:val="none" w:sz="0" w:space="0" w:color="auto"/>
        <w:right w:val="none" w:sz="0" w:space="0" w:color="auto"/>
      </w:divBdr>
    </w:div>
    <w:div w:id="1269191242">
      <w:bodyDiv w:val="1"/>
      <w:marLeft w:val="0"/>
      <w:marRight w:val="0"/>
      <w:marTop w:val="0"/>
      <w:marBottom w:val="0"/>
      <w:divBdr>
        <w:top w:val="none" w:sz="0" w:space="0" w:color="auto"/>
        <w:left w:val="none" w:sz="0" w:space="0" w:color="auto"/>
        <w:bottom w:val="none" w:sz="0" w:space="0" w:color="auto"/>
        <w:right w:val="none" w:sz="0" w:space="0" w:color="auto"/>
      </w:divBdr>
    </w:div>
    <w:div w:id="1269584897">
      <w:bodyDiv w:val="1"/>
      <w:marLeft w:val="0"/>
      <w:marRight w:val="0"/>
      <w:marTop w:val="0"/>
      <w:marBottom w:val="0"/>
      <w:divBdr>
        <w:top w:val="none" w:sz="0" w:space="0" w:color="auto"/>
        <w:left w:val="none" w:sz="0" w:space="0" w:color="auto"/>
        <w:bottom w:val="none" w:sz="0" w:space="0" w:color="auto"/>
        <w:right w:val="none" w:sz="0" w:space="0" w:color="auto"/>
      </w:divBdr>
    </w:div>
    <w:div w:id="1269660698">
      <w:bodyDiv w:val="1"/>
      <w:marLeft w:val="0"/>
      <w:marRight w:val="0"/>
      <w:marTop w:val="0"/>
      <w:marBottom w:val="0"/>
      <w:divBdr>
        <w:top w:val="none" w:sz="0" w:space="0" w:color="auto"/>
        <w:left w:val="none" w:sz="0" w:space="0" w:color="auto"/>
        <w:bottom w:val="none" w:sz="0" w:space="0" w:color="auto"/>
        <w:right w:val="none" w:sz="0" w:space="0" w:color="auto"/>
      </w:divBdr>
    </w:div>
    <w:div w:id="1269973455">
      <w:bodyDiv w:val="1"/>
      <w:marLeft w:val="0"/>
      <w:marRight w:val="0"/>
      <w:marTop w:val="0"/>
      <w:marBottom w:val="0"/>
      <w:divBdr>
        <w:top w:val="none" w:sz="0" w:space="0" w:color="auto"/>
        <w:left w:val="none" w:sz="0" w:space="0" w:color="auto"/>
        <w:bottom w:val="none" w:sz="0" w:space="0" w:color="auto"/>
        <w:right w:val="none" w:sz="0" w:space="0" w:color="auto"/>
      </w:divBdr>
    </w:div>
    <w:div w:id="1270238689">
      <w:bodyDiv w:val="1"/>
      <w:marLeft w:val="0"/>
      <w:marRight w:val="0"/>
      <w:marTop w:val="0"/>
      <w:marBottom w:val="0"/>
      <w:divBdr>
        <w:top w:val="none" w:sz="0" w:space="0" w:color="auto"/>
        <w:left w:val="none" w:sz="0" w:space="0" w:color="auto"/>
        <w:bottom w:val="none" w:sz="0" w:space="0" w:color="auto"/>
        <w:right w:val="none" w:sz="0" w:space="0" w:color="auto"/>
      </w:divBdr>
    </w:div>
    <w:div w:id="1270351316">
      <w:bodyDiv w:val="1"/>
      <w:marLeft w:val="0"/>
      <w:marRight w:val="0"/>
      <w:marTop w:val="0"/>
      <w:marBottom w:val="0"/>
      <w:divBdr>
        <w:top w:val="none" w:sz="0" w:space="0" w:color="auto"/>
        <w:left w:val="none" w:sz="0" w:space="0" w:color="auto"/>
        <w:bottom w:val="none" w:sz="0" w:space="0" w:color="auto"/>
        <w:right w:val="none" w:sz="0" w:space="0" w:color="auto"/>
      </w:divBdr>
    </w:div>
    <w:div w:id="1271860000">
      <w:bodyDiv w:val="1"/>
      <w:marLeft w:val="0"/>
      <w:marRight w:val="0"/>
      <w:marTop w:val="0"/>
      <w:marBottom w:val="0"/>
      <w:divBdr>
        <w:top w:val="none" w:sz="0" w:space="0" w:color="auto"/>
        <w:left w:val="none" w:sz="0" w:space="0" w:color="auto"/>
        <w:bottom w:val="none" w:sz="0" w:space="0" w:color="auto"/>
        <w:right w:val="none" w:sz="0" w:space="0" w:color="auto"/>
      </w:divBdr>
    </w:div>
    <w:div w:id="1272014901">
      <w:bodyDiv w:val="1"/>
      <w:marLeft w:val="0"/>
      <w:marRight w:val="0"/>
      <w:marTop w:val="0"/>
      <w:marBottom w:val="0"/>
      <w:divBdr>
        <w:top w:val="none" w:sz="0" w:space="0" w:color="auto"/>
        <w:left w:val="none" w:sz="0" w:space="0" w:color="auto"/>
        <w:bottom w:val="none" w:sz="0" w:space="0" w:color="auto"/>
        <w:right w:val="none" w:sz="0" w:space="0" w:color="auto"/>
      </w:divBdr>
    </w:div>
    <w:div w:id="1272129285">
      <w:bodyDiv w:val="1"/>
      <w:marLeft w:val="0"/>
      <w:marRight w:val="0"/>
      <w:marTop w:val="0"/>
      <w:marBottom w:val="0"/>
      <w:divBdr>
        <w:top w:val="none" w:sz="0" w:space="0" w:color="auto"/>
        <w:left w:val="none" w:sz="0" w:space="0" w:color="auto"/>
        <w:bottom w:val="none" w:sz="0" w:space="0" w:color="auto"/>
        <w:right w:val="none" w:sz="0" w:space="0" w:color="auto"/>
      </w:divBdr>
    </w:div>
    <w:div w:id="1272400890">
      <w:bodyDiv w:val="1"/>
      <w:marLeft w:val="0"/>
      <w:marRight w:val="0"/>
      <w:marTop w:val="0"/>
      <w:marBottom w:val="0"/>
      <w:divBdr>
        <w:top w:val="none" w:sz="0" w:space="0" w:color="auto"/>
        <w:left w:val="none" w:sz="0" w:space="0" w:color="auto"/>
        <w:bottom w:val="none" w:sz="0" w:space="0" w:color="auto"/>
        <w:right w:val="none" w:sz="0" w:space="0" w:color="auto"/>
      </w:divBdr>
    </w:div>
    <w:div w:id="1273124108">
      <w:bodyDiv w:val="1"/>
      <w:marLeft w:val="0"/>
      <w:marRight w:val="0"/>
      <w:marTop w:val="0"/>
      <w:marBottom w:val="0"/>
      <w:divBdr>
        <w:top w:val="none" w:sz="0" w:space="0" w:color="auto"/>
        <w:left w:val="none" w:sz="0" w:space="0" w:color="auto"/>
        <w:bottom w:val="none" w:sz="0" w:space="0" w:color="auto"/>
        <w:right w:val="none" w:sz="0" w:space="0" w:color="auto"/>
      </w:divBdr>
    </w:div>
    <w:div w:id="1273249814">
      <w:bodyDiv w:val="1"/>
      <w:marLeft w:val="0"/>
      <w:marRight w:val="0"/>
      <w:marTop w:val="0"/>
      <w:marBottom w:val="0"/>
      <w:divBdr>
        <w:top w:val="none" w:sz="0" w:space="0" w:color="auto"/>
        <w:left w:val="none" w:sz="0" w:space="0" w:color="auto"/>
        <w:bottom w:val="none" w:sz="0" w:space="0" w:color="auto"/>
        <w:right w:val="none" w:sz="0" w:space="0" w:color="auto"/>
      </w:divBdr>
    </w:div>
    <w:div w:id="1273785199">
      <w:bodyDiv w:val="1"/>
      <w:marLeft w:val="0"/>
      <w:marRight w:val="0"/>
      <w:marTop w:val="0"/>
      <w:marBottom w:val="0"/>
      <w:divBdr>
        <w:top w:val="none" w:sz="0" w:space="0" w:color="auto"/>
        <w:left w:val="none" w:sz="0" w:space="0" w:color="auto"/>
        <w:bottom w:val="none" w:sz="0" w:space="0" w:color="auto"/>
        <w:right w:val="none" w:sz="0" w:space="0" w:color="auto"/>
      </w:divBdr>
    </w:div>
    <w:div w:id="1274480111">
      <w:bodyDiv w:val="1"/>
      <w:marLeft w:val="0"/>
      <w:marRight w:val="0"/>
      <w:marTop w:val="0"/>
      <w:marBottom w:val="0"/>
      <w:divBdr>
        <w:top w:val="none" w:sz="0" w:space="0" w:color="auto"/>
        <w:left w:val="none" w:sz="0" w:space="0" w:color="auto"/>
        <w:bottom w:val="none" w:sz="0" w:space="0" w:color="auto"/>
        <w:right w:val="none" w:sz="0" w:space="0" w:color="auto"/>
      </w:divBdr>
    </w:div>
    <w:div w:id="1274675528">
      <w:bodyDiv w:val="1"/>
      <w:marLeft w:val="0"/>
      <w:marRight w:val="0"/>
      <w:marTop w:val="0"/>
      <w:marBottom w:val="0"/>
      <w:divBdr>
        <w:top w:val="none" w:sz="0" w:space="0" w:color="auto"/>
        <w:left w:val="none" w:sz="0" w:space="0" w:color="auto"/>
        <w:bottom w:val="none" w:sz="0" w:space="0" w:color="auto"/>
        <w:right w:val="none" w:sz="0" w:space="0" w:color="auto"/>
      </w:divBdr>
    </w:div>
    <w:div w:id="1275333311">
      <w:bodyDiv w:val="1"/>
      <w:marLeft w:val="0"/>
      <w:marRight w:val="0"/>
      <w:marTop w:val="0"/>
      <w:marBottom w:val="0"/>
      <w:divBdr>
        <w:top w:val="none" w:sz="0" w:space="0" w:color="auto"/>
        <w:left w:val="none" w:sz="0" w:space="0" w:color="auto"/>
        <w:bottom w:val="none" w:sz="0" w:space="0" w:color="auto"/>
        <w:right w:val="none" w:sz="0" w:space="0" w:color="auto"/>
      </w:divBdr>
    </w:div>
    <w:div w:id="1275408223">
      <w:bodyDiv w:val="1"/>
      <w:marLeft w:val="0"/>
      <w:marRight w:val="0"/>
      <w:marTop w:val="0"/>
      <w:marBottom w:val="0"/>
      <w:divBdr>
        <w:top w:val="none" w:sz="0" w:space="0" w:color="auto"/>
        <w:left w:val="none" w:sz="0" w:space="0" w:color="auto"/>
        <w:bottom w:val="none" w:sz="0" w:space="0" w:color="auto"/>
        <w:right w:val="none" w:sz="0" w:space="0" w:color="auto"/>
      </w:divBdr>
    </w:div>
    <w:div w:id="1275408931">
      <w:bodyDiv w:val="1"/>
      <w:marLeft w:val="0"/>
      <w:marRight w:val="0"/>
      <w:marTop w:val="0"/>
      <w:marBottom w:val="0"/>
      <w:divBdr>
        <w:top w:val="none" w:sz="0" w:space="0" w:color="auto"/>
        <w:left w:val="none" w:sz="0" w:space="0" w:color="auto"/>
        <w:bottom w:val="none" w:sz="0" w:space="0" w:color="auto"/>
        <w:right w:val="none" w:sz="0" w:space="0" w:color="auto"/>
      </w:divBdr>
    </w:div>
    <w:div w:id="1275936931">
      <w:bodyDiv w:val="1"/>
      <w:marLeft w:val="0"/>
      <w:marRight w:val="0"/>
      <w:marTop w:val="0"/>
      <w:marBottom w:val="0"/>
      <w:divBdr>
        <w:top w:val="none" w:sz="0" w:space="0" w:color="auto"/>
        <w:left w:val="none" w:sz="0" w:space="0" w:color="auto"/>
        <w:bottom w:val="none" w:sz="0" w:space="0" w:color="auto"/>
        <w:right w:val="none" w:sz="0" w:space="0" w:color="auto"/>
      </w:divBdr>
    </w:div>
    <w:div w:id="1277102958">
      <w:bodyDiv w:val="1"/>
      <w:marLeft w:val="0"/>
      <w:marRight w:val="0"/>
      <w:marTop w:val="0"/>
      <w:marBottom w:val="0"/>
      <w:divBdr>
        <w:top w:val="none" w:sz="0" w:space="0" w:color="auto"/>
        <w:left w:val="none" w:sz="0" w:space="0" w:color="auto"/>
        <w:bottom w:val="none" w:sz="0" w:space="0" w:color="auto"/>
        <w:right w:val="none" w:sz="0" w:space="0" w:color="auto"/>
      </w:divBdr>
    </w:div>
    <w:div w:id="1277758114">
      <w:bodyDiv w:val="1"/>
      <w:marLeft w:val="0"/>
      <w:marRight w:val="0"/>
      <w:marTop w:val="0"/>
      <w:marBottom w:val="0"/>
      <w:divBdr>
        <w:top w:val="none" w:sz="0" w:space="0" w:color="auto"/>
        <w:left w:val="none" w:sz="0" w:space="0" w:color="auto"/>
        <w:bottom w:val="none" w:sz="0" w:space="0" w:color="auto"/>
        <w:right w:val="none" w:sz="0" w:space="0" w:color="auto"/>
      </w:divBdr>
    </w:div>
    <w:div w:id="1278027056">
      <w:bodyDiv w:val="1"/>
      <w:marLeft w:val="0"/>
      <w:marRight w:val="0"/>
      <w:marTop w:val="0"/>
      <w:marBottom w:val="0"/>
      <w:divBdr>
        <w:top w:val="none" w:sz="0" w:space="0" w:color="auto"/>
        <w:left w:val="none" w:sz="0" w:space="0" w:color="auto"/>
        <w:bottom w:val="none" w:sz="0" w:space="0" w:color="auto"/>
        <w:right w:val="none" w:sz="0" w:space="0" w:color="auto"/>
      </w:divBdr>
    </w:div>
    <w:div w:id="1278027358">
      <w:bodyDiv w:val="1"/>
      <w:marLeft w:val="0"/>
      <w:marRight w:val="0"/>
      <w:marTop w:val="0"/>
      <w:marBottom w:val="0"/>
      <w:divBdr>
        <w:top w:val="none" w:sz="0" w:space="0" w:color="auto"/>
        <w:left w:val="none" w:sz="0" w:space="0" w:color="auto"/>
        <w:bottom w:val="none" w:sz="0" w:space="0" w:color="auto"/>
        <w:right w:val="none" w:sz="0" w:space="0" w:color="auto"/>
      </w:divBdr>
    </w:div>
    <w:div w:id="1278103063">
      <w:bodyDiv w:val="1"/>
      <w:marLeft w:val="0"/>
      <w:marRight w:val="0"/>
      <w:marTop w:val="0"/>
      <w:marBottom w:val="0"/>
      <w:divBdr>
        <w:top w:val="none" w:sz="0" w:space="0" w:color="auto"/>
        <w:left w:val="none" w:sz="0" w:space="0" w:color="auto"/>
        <w:bottom w:val="none" w:sz="0" w:space="0" w:color="auto"/>
        <w:right w:val="none" w:sz="0" w:space="0" w:color="auto"/>
      </w:divBdr>
    </w:div>
    <w:div w:id="1278104548">
      <w:bodyDiv w:val="1"/>
      <w:marLeft w:val="0"/>
      <w:marRight w:val="0"/>
      <w:marTop w:val="0"/>
      <w:marBottom w:val="0"/>
      <w:divBdr>
        <w:top w:val="none" w:sz="0" w:space="0" w:color="auto"/>
        <w:left w:val="none" w:sz="0" w:space="0" w:color="auto"/>
        <w:bottom w:val="none" w:sz="0" w:space="0" w:color="auto"/>
        <w:right w:val="none" w:sz="0" w:space="0" w:color="auto"/>
      </w:divBdr>
    </w:div>
    <w:div w:id="1278559228">
      <w:bodyDiv w:val="1"/>
      <w:marLeft w:val="0"/>
      <w:marRight w:val="0"/>
      <w:marTop w:val="0"/>
      <w:marBottom w:val="0"/>
      <w:divBdr>
        <w:top w:val="none" w:sz="0" w:space="0" w:color="auto"/>
        <w:left w:val="none" w:sz="0" w:space="0" w:color="auto"/>
        <w:bottom w:val="none" w:sz="0" w:space="0" w:color="auto"/>
        <w:right w:val="none" w:sz="0" w:space="0" w:color="auto"/>
      </w:divBdr>
    </w:div>
    <w:div w:id="1278827662">
      <w:bodyDiv w:val="1"/>
      <w:marLeft w:val="0"/>
      <w:marRight w:val="0"/>
      <w:marTop w:val="0"/>
      <w:marBottom w:val="0"/>
      <w:divBdr>
        <w:top w:val="none" w:sz="0" w:space="0" w:color="auto"/>
        <w:left w:val="none" w:sz="0" w:space="0" w:color="auto"/>
        <w:bottom w:val="none" w:sz="0" w:space="0" w:color="auto"/>
        <w:right w:val="none" w:sz="0" w:space="0" w:color="auto"/>
      </w:divBdr>
    </w:div>
    <w:div w:id="1278876346">
      <w:bodyDiv w:val="1"/>
      <w:marLeft w:val="0"/>
      <w:marRight w:val="0"/>
      <w:marTop w:val="0"/>
      <w:marBottom w:val="0"/>
      <w:divBdr>
        <w:top w:val="none" w:sz="0" w:space="0" w:color="auto"/>
        <w:left w:val="none" w:sz="0" w:space="0" w:color="auto"/>
        <w:bottom w:val="none" w:sz="0" w:space="0" w:color="auto"/>
        <w:right w:val="none" w:sz="0" w:space="0" w:color="auto"/>
      </w:divBdr>
    </w:div>
    <w:div w:id="1279222440">
      <w:bodyDiv w:val="1"/>
      <w:marLeft w:val="0"/>
      <w:marRight w:val="0"/>
      <w:marTop w:val="0"/>
      <w:marBottom w:val="0"/>
      <w:divBdr>
        <w:top w:val="none" w:sz="0" w:space="0" w:color="auto"/>
        <w:left w:val="none" w:sz="0" w:space="0" w:color="auto"/>
        <w:bottom w:val="none" w:sz="0" w:space="0" w:color="auto"/>
        <w:right w:val="none" w:sz="0" w:space="0" w:color="auto"/>
      </w:divBdr>
    </w:div>
    <w:div w:id="1279409351">
      <w:bodyDiv w:val="1"/>
      <w:marLeft w:val="0"/>
      <w:marRight w:val="0"/>
      <w:marTop w:val="0"/>
      <w:marBottom w:val="0"/>
      <w:divBdr>
        <w:top w:val="none" w:sz="0" w:space="0" w:color="auto"/>
        <w:left w:val="none" w:sz="0" w:space="0" w:color="auto"/>
        <w:bottom w:val="none" w:sz="0" w:space="0" w:color="auto"/>
        <w:right w:val="none" w:sz="0" w:space="0" w:color="auto"/>
      </w:divBdr>
    </w:div>
    <w:div w:id="1279483476">
      <w:bodyDiv w:val="1"/>
      <w:marLeft w:val="0"/>
      <w:marRight w:val="0"/>
      <w:marTop w:val="0"/>
      <w:marBottom w:val="0"/>
      <w:divBdr>
        <w:top w:val="none" w:sz="0" w:space="0" w:color="auto"/>
        <w:left w:val="none" w:sz="0" w:space="0" w:color="auto"/>
        <w:bottom w:val="none" w:sz="0" w:space="0" w:color="auto"/>
        <w:right w:val="none" w:sz="0" w:space="0" w:color="auto"/>
      </w:divBdr>
    </w:div>
    <w:div w:id="1279488172">
      <w:bodyDiv w:val="1"/>
      <w:marLeft w:val="0"/>
      <w:marRight w:val="0"/>
      <w:marTop w:val="0"/>
      <w:marBottom w:val="0"/>
      <w:divBdr>
        <w:top w:val="none" w:sz="0" w:space="0" w:color="auto"/>
        <w:left w:val="none" w:sz="0" w:space="0" w:color="auto"/>
        <w:bottom w:val="none" w:sz="0" w:space="0" w:color="auto"/>
        <w:right w:val="none" w:sz="0" w:space="0" w:color="auto"/>
      </w:divBdr>
    </w:div>
    <w:div w:id="1279873280">
      <w:bodyDiv w:val="1"/>
      <w:marLeft w:val="0"/>
      <w:marRight w:val="0"/>
      <w:marTop w:val="0"/>
      <w:marBottom w:val="0"/>
      <w:divBdr>
        <w:top w:val="none" w:sz="0" w:space="0" w:color="auto"/>
        <w:left w:val="none" w:sz="0" w:space="0" w:color="auto"/>
        <w:bottom w:val="none" w:sz="0" w:space="0" w:color="auto"/>
        <w:right w:val="none" w:sz="0" w:space="0" w:color="auto"/>
      </w:divBdr>
    </w:div>
    <w:div w:id="1280378455">
      <w:bodyDiv w:val="1"/>
      <w:marLeft w:val="0"/>
      <w:marRight w:val="0"/>
      <w:marTop w:val="0"/>
      <w:marBottom w:val="0"/>
      <w:divBdr>
        <w:top w:val="none" w:sz="0" w:space="0" w:color="auto"/>
        <w:left w:val="none" w:sz="0" w:space="0" w:color="auto"/>
        <w:bottom w:val="none" w:sz="0" w:space="0" w:color="auto"/>
        <w:right w:val="none" w:sz="0" w:space="0" w:color="auto"/>
      </w:divBdr>
    </w:div>
    <w:div w:id="1280910508">
      <w:bodyDiv w:val="1"/>
      <w:marLeft w:val="0"/>
      <w:marRight w:val="0"/>
      <w:marTop w:val="0"/>
      <w:marBottom w:val="0"/>
      <w:divBdr>
        <w:top w:val="none" w:sz="0" w:space="0" w:color="auto"/>
        <w:left w:val="none" w:sz="0" w:space="0" w:color="auto"/>
        <w:bottom w:val="none" w:sz="0" w:space="0" w:color="auto"/>
        <w:right w:val="none" w:sz="0" w:space="0" w:color="auto"/>
      </w:divBdr>
    </w:div>
    <w:div w:id="1281033328">
      <w:bodyDiv w:val="1"/>
      <w:marLeft w:val="0"/>
      <w:marRight w:val="0"/>
      <w:marTop w:val="0"/>
      <w:marBottom w:val="0"/>
      <w:divBdr>
        <w:top w:val="none" w:sz="0" w:space="0" w:color="auto"/>
        <w:left w:val="none" w:sz="0" w:space="0" w:color="auto"/>
        <w:bottom w:val="none" w:sz="0" w:space="0" w:color="auto"/>
        <w:right w:val="none" w:sz="0" w:space="0" w:color="auto"/>
      </w:divBdr>
    </w:div>
    <w:div w:id="1281181807">
      <w:bodyDiv w:val="1"/>
      <w:marLeft w:val="0"/>
      <w:marRight w:val="0"/>
      <w:marTop w:val="0"/>
      <w:marBottom w:val="0"/>
      <w:divBdr>
        <w:top w:val="none" w:sz="0" w:space="0" w:color="auto"/>
        <w:left w:val="none" w:sz="0" w:space="0" w:color="auto"/>
        <w:bottom w:val="none" w:sz="0" w:space="0" w:color="auto"/>
        <w:right w:val="none" w:sz="0" w:space="0" w:color="auto"/>
      </w:divBdr>
    </w:div>
    <w:div w:id="1281761967">
      <w:bodyDiv w:val="1"/>
      <w:marLeft w:val="0"/>
      <w:marRight w:val="0"/>
      <w:marTop w:val="0"/>
      <w:marBottom w:val="0"/>
      <w:divBdr>
        <w:top w:val="none" w:sz="0" w:space="0" w:color="auto"/>
        <w:left w:val="none" w:sz="0" w:space="0" w:color="auto"/>
        <w:bottom w:val="none" w:sz="0" w:space="0" w:color="auto"/>
        <w:right w:val="none" w:sz="0" w:space="0" w:color="auto"/>
      </w:divBdr>
    </w:div>
    <w:div w:id="1282031640">
      <w:bodyDiv w:val="1"/>
      <w:marLeft w:val="0"/>
      <w:marRight w:val="0"/>
      <w:marTop w:val="0"/>
      <w:marBottom w:val="0"/>
      <w:divBdr>
        <w:top w:val="none" w:sz="0" w:space="0" w:color="auto"/>
        <w:left w:val="none" w:sz="0" w:space="0" w:color="auto"/>
        <w:bottom w:val="none" w:sz="0" w:space="0" w:color="auto"/>
        <w:right w:val="none" w:sz="0" w:space="0" w:color="auto"/>
      </w:divBdr>
    </w:div>
    <w:div w:id="1282303237">
      <w:bodyDiv w:val="1"/>
      <w:marLeft w:val="0"/>
      <w:marRight w:val="0"/>
      <w:marTop w:val="0"/>
      <w:marBottom w:val="0"/>
      <w:divBdr>
        <w:top w:val="none" w:sz="0" w:space="0" w:color="auto"/>
        <w:left w:val="none" w:sz="0" w:space="0" w:color="auto"/>
        <w:bottom w:val="none" w:sz="0" w:space="0" w:color="auto"/>
        <w:right w:val="none" w:sz="0" w:space="0" w:color="auto"/>
      </w:divBdr>
    </w:div>
    <w:div w:id="1282304371">
      <w:bodyDiv w:val="1"/>
      <w:marLeft w:val="0"/>
      <w:marRight w:val="0"/>
      <w:marTop w:val="0"/>
      <w:marBottom w:val="0"/>
      <w:divBdr>
        <w:top w:val="none" w:sz="0" w:space="0" w:color="auto"/>
        <w:left w:val="none" w:sz="0" w:space="0" w:color="auto"/>
        <w:bottom w:val="none" w:sz="0" w:space="0" w:color="auto"/>
        <w:right w:val="none" w:sz="0" w:space="0" w:color="auto"/>
      </w:divBdr>
    </w:div>
    <w:div w:id="1282570267">
      <w:bodyDiv w:val="1"/>
      <w:marLeft w:val="0"/>
      <w:marRight w:val="0"/>
      <w:marTop w:val="0"/>
      <w:marBottom w:val="0"/>
      <w:divBdr>
        <w:top w:val="none" w:sz="0" w:space="0" w:color="auto"/>
        <w:left w:val="none" w:sz="0" w:space="0" w:color="auto"/>
        <w:bottom w:val="none" w:sz="0" w:space="0" w:color="auto"/>
        <w:right w:val="none" w:sz="0" w:space="0" w:color="auto"/>
      </w:divBdr>
    </w:div>
    <w:div w:id="1282685362">
      <w:bodyDiv w:val="1"/>
      <w:marLeft w:val="0"/>
      <w:marRight w:val="0"/>
      <w:marTop w:val="0"/>
      <w:marBottom w:val="0"/>
      <w:divBdr>
        <w:top w:val="none" w:sz="0" w:space="0" w:color="auto"/>
        <w:left w:val="none" w:sz="0" w:space="0" w:color="auto"/>
        <w:bottom w:val="none" w:sz="0" w:space="0" w:color="auto"/>
        <w:right w:val="none" w:sz="0" w:space="0" w:color="auto"/>
      </w:divBdr>
    </w:div>
    <w:div w:id="1283145662">
      <w:bodyDiv w:val="1"/>
      <w:marLeft w:val="0"/>
      <w:marRight w:val="0"/>
      <w:marTop w:val="0"/>
      <w:marBottom w:val="0"/>
      <w:divBdr>
        <w:top w:val="none" w:sz="0" w:space="0" w:color="auto"/>
        <w:left w:val="none" w:sz="0" w:space="0" w:color="auto"/>
        <w:bottom w:val="none" w:sz="0" w:space="0" w:color="auto"/>
        <w:right w:val="none" w:sz="0" w:space="0" w:color="auto"/>
      </w:divBdr>
    </w:div>
    <w:div w:id="1283994827">
      <w:bodyDiv w:val="1"/>
      <w:marLeft w:val="0"/>
      <w:marRight w:val="0"/>
      <w:marTop w:val="0"/>
      <w:marBottom w:val="0"/>
      <w:divBdr>
        <w:top w:val="none" w:sz="0" w:space="0" w:color="auto"/>
        <w:left w:val="none" w:sz="0" w:space="0" w:color="auto"/>
        <w:bottom w:val="none" w:sz="0" w:space="0" w:color="auto"/>
        <w:right w:val="none" w:sz="0" w:space="0" w:color="auto"/>
      </w:divBdr>
    </w:div>
    <w:div w:id="1284311545">
      <w:bodyDiv w:val="1"/>
      <w:marLeft w:val="0"/>
      <w:marRight w:val="0"/>
      <w:marTop w:val="0"/>
      <w:marBottom w:val="0"/>
      <w:divBdr>
        <w:top w:val="none" w:sz="0" w:space="0" w:color="auto"/>
        <w:left w:val="none" w:sz="0" w:space="0" w:color="auto"/>
        <w:bottom w:val="none" w:sz="0" w:space="0" w:color="auto"/>
        <w:right w:val="none" w:sz="0" w:space="0" w:color="auto"/>
      </w:divBdr>
    </w:div>
    <w:div w:id="1284533980">
      <w:bodyDiv w:val="1"/>
      <w:marLeft w:val="0"/>
      <w:marRight w:val="0"/>
      <w:marTop w:val="0"/>
      <w:marBottom w:val="0"/>
      <w:divBdr>
        <w:top w:val="none" w:sz="0" w:space="0" w:color="auto"/>
        <w:left w:val="none" w:sz="0" w:space="0" w:color="auto"/>
        <w:bottom w:val="none" w:sz="0" w:space="0" w:color="auto"/>
        <w:right w:val="none" w:sz="0" w:space="0" w:color="auto"/>
      </w:divBdr>
    </w:div>
    <w:div w:id="1284575383">
      <w:bodyDiv w:val="1"/>
      <w:marLeft w:val="0"/>
      <w:marRight w:val="0"/>
      <w:marTop w:val="0"/>
      <w:marBottom w:val="0"/>
      <w:divBdr>
        <w:top w:val="none" w:sz="0" w:space="0" w:color="auto"/>
        <w:left w:val="none" w:sz="0" w:space="0" w:color="auto"/>
        <w:bottom w:val="none" w:sz="0" w:space="0" w:color="auto"/>
        <w:right w:val="none" w:sz="0" w:space="0" w:color="auto"/>
      </w:divBdr>
    </w:div>
    <w:div w:id="1284650651">
      <w:bodyDiv w:val="1"/>
      <w:marLeft w:val="0"/>
      <w:marRight w:val="0"/>
      <w:marTop w:val="0"/>
      <w:marBottom w:val="0"/>
      <w:divBdr>
        <w:top w:val="none" w:sz="0" w:space="0" w:color="auto"/>
        <w:left w:val="none" w:sz="0" w:space="0" w:color="auto"/>
        <w:bottom w:val="none" w:sz="0" w:space="0" w:color="auto"/>
        <w:right w:val="none" w:sz="0" w:space="0" w:color="auto"/>
      </w:divBdr>
    </w:div>
    <w:div w:id="1285113688">
      <w:bodyDiv w:val="1"/>
      <w:marLeft w:val="0"/>
      <w:marRight w:val="0"/>
      <w:marTop w:val="0"/>
      <w:marBottom w:val="0"/>
      <w:divBdr>
        <w:top w:val="none" w:sz="0" w:space="0" w:color="auto"/>
        <w:left w:val="none" w:sz="0" w:space="0" w:color="auto"/>
        <w:bottom w:val="none" w:sz="0" w:space="0" w:color="auto"/>
        <w:right w:val="none" w:sz="0" w:space="0" w:color="auto"/>
      </w:divBdr>
    </w:div>
    <w:div w:id="1285423296">
      <w:bodyDiv w:val="1"/>
      <w:marLeft w:val="0"/>
      <w:marRight w:val="0"/>
      <w:marTop w:val="0"/>
      <w:marBottom w:val="0"/>
      <w:divBdr>
        <w:top w:val="none" w:sz="0" w:space="0" w:color="auto"/>
        <w:left w:val="none" w:sz="0" w:space="0" w:color="auto"/>
        <w:bottom w:val="none" w:sz="0" w:space="0" w:color="auto"/>
        <w:right w:val="none" w:sz="0" w:space="0" w:color="auto"/>
      </w:divBdr>
    </w:div>
    <w:div w:id="1285573744">
      <w:bodyDiv w:val="1"/>
      <w:marLeft w:val="0"/>
      <w:marRight w:val="0"/>
      <w:marTop w:val="0"/>
      <w:marBottom w:val="0"/>
      <w:divBdr>
        <w:top w:val="none" w:sz="0" w:space="0" w:color="auto"/>
        <w:left w:val="none" w:sz="0" w:space="0" w:color="auto"/>
        <w:bottom w:val="none" w:sz="0" w:space="0" w:color="auto"/>
        <w:right w:val="none" w:sz="0" w:space="0" w:color="auto"/>
      </w:divBdr>
    </w:div>
    <w:div w:id="1285692583">
      <w:bodyDiv w:val="1"/>
      <w:marLeft w:val="0"/>
      <w:marRight w:val="0"/>
      <w:marTop w:val="0"/>
      <w:marBottom w:val="0"/>
      <w:divBdr>
        <w:top w:val="none" w:sz="0" w:space="0" w:color="auto"/>
        <w:left w:val="none" w:sz="0" w:space="0" w:color="auto"/>
        <w:bottom w:val="none" w:sz="0" w:space="0" w:color="auto"/>
        <w:right w:val="none" w:sz="0" w:space="0" w:color="auto"/>
      </w:divBdr>
    </w:div>
    <w:div w:id="1285968717">
      <w:bodyDiv w:val="1"/>
      <w:marLeft w:val="0"/>
      <w:marRight w:val="0"/>
      <w:marTop w:val="0"/>
      <w:marBottom w:val="0"/>
      <w:divBdr>
        <w:top w:val="none" w:sz="0" w:space="0" w:color="auto"/>
        <w:left w:val="none" w:sz="0" w:space="0" w:color="auto"/>
        <w:bottom w:val="none" w:sz="0" w:space="0" w:color="auto"/>
        <w:right w:val="none" w:sz="0" w:space="0" w:color="auto"/>
      </w:divBdr>
    </w:div>
    <w:div w:id="1286082902">
      <w:bodyDiv w:val="1"/>
      <w:marLeft w:val="0"/>
      <w:marRight w:val="0"/>
      <w:marTop w:val="0"/>
      <w:marBottom w:val="0"/>
      <w:divBdr>
        <w:top w:val="none" w:sz="0" w:space="0" w:color="auto"/>
        <w:left w:val="none" w:sz="0" w:space="0" w:color="auto"/>
        <w:bottom w:val="none" w:sz="0" w:space="0" w:color="auto"/>
        <w:right w:val="none" w:sz="0" w:space="0" w:color="auto"/>
      </w:divBdr>
    </w:div>
    <w:div w:id="1286159843">
      <w:bodyDiv w:val="1"/>
      <w:marLeft w:val="0"/>
      <w:marRight w:val="0"/>
      <w:marTop w:val="0"/>
      <w:marBottom w:val="0"/>
      <w:divBdr>
        <w:top w:val="none" w:sz="0" w:space="0" w:color="auto"/>
        <w:left w:val="none" w:sz="0" w:space="0" w:color="auto"/>
        <w:bottom w:val="none" w:sz="0" w:space="0" w:color="auto"/>
        <w:right w:val="none" w:sz="0" w:space="0" w:color="auto"/>
      </w:divBdr>
    </w:div>
    <w:div w:id="1287202095">
      <w:bodyDiv w:val="1"/>
      <w:marLeft w:val="0"/>
      <w:marRight w:val="0"/>
      <w:marTop w:val="0"/>
      <w:marBottom w:val="0"/>
      <w:divBdr>
        <w:top w:val="none" w:sz="0" w:space="0" w:color="auto"/>
        <w:left w:val="none" w:sz="0" w:space="0" w:color="auto"/>
        <w:bottom w:val="none" w:sz="0" w:space="0" w:color="auto"/>
        <w:right w:val="none" w:sz="0" w:space="0" w:color="auto"/>
      </w:divBdr>
    </w:div>
    <w:div w:id="1287351656">
      <w:bodyDiv w:val="1"/>
      <w:marLeft w:val="0"/>
      <w:marRight w:val="0"/>
      <w:marTop w:val="0"/>
      <w:marBottom w:val="0"/>
      <w:divBdr>
        <w:top w:val="none" w:sz="0" w:space="0" w:color="auto"/>
        <w:left w:val="none" w:sz="0" w:space="0" w:color="auto"/>
        <w:bottom w:val="none" w:sz="0" w:space="0" w:color="auto"/>
        <w:right w:val="none" w:sz="0" w:space="0" w:color="auto"/>
      </w:divBdr>
    </w:div>
    <w:div w:id="1287544558">
      <w:bodyDiv w:val="1"/>
      <w:marLeft w:val="0"/>
      <w:marRight w:val="0"/>
      <w:marTop w:val="0"/>
      <w:marBottom w:val="0"/>
      <w:divBdr>
        <w:top w:val="none" w:sz="0" w:space="0" w:color="auto"/>
        <w:left w:val="none" w:sz="0" w:space="0" w:color="auto"/>
        <w:bottom w:val="none" w:sz="0" w:space="0" w:color="auto"/>
        <w:right w:val="none" w:sz="0" w:space="0" w:color="auto"/>
      </w:divBdr>
    </w:div>
    <w:div w:id="1287931621">
      <w:bodyDiv w:val="1"/>
      <w:marLeft w:val="0"/>
      <w:marRight w:val="0"/>
      <w:marTop w:val="0"/>
      <w:marBottom w:val="0"/>
      <w:divBdr>
        <w:top w:val="none" w:sz="0" w:space="0" w:color="auto"/>
        <w:left w:val="none" w:sz="0" w:space="0" w:color="auto"/>
        <w:bottom w:val="none" w:sz="0" w:space="0" w:color="auto"/>
        <w:right w:val="none" w:sz="0" w:space="0" w:color="auto"/>
      </w:divBdr>
    </w:div>
    <w:div w:id="1288388446">
      <w:bodyDiv w:val="1"/>
      <w:marLeft w:val="0"/>
      <w:marRight w:val="0"/>
      <w:marTop w:val="0"/>
      <w:marBottom w:val="0"/>
      <w:divBdr>
        <w:top w:val="none" w:sz="0" w:space="0" w:color="auto"/>
        <w:left w:val="none" w:sz="0" w:space="0" w:color="auto"/>
        <w:bottom w:val="none" w:sz="0" w:space="0" w:color="auto"/>
        <w:right w:val="none" w:sz="0" w:space="0" w:color="auto"/>
      </w:divBdr>
    </w:div>
    <w:div w:id="1288391484">
      <w:bodyDiv w:val="1"/>
      <w:marLeft w:val="0"/>
      <w:marRight w:val="0"/>
      <w:marTop w:val="0"/>
      <w:marBottom w:val="0"/>
      <w:divBdr>
        <w:top w:val="none" w:sz="0" w:space="0" w:color="auto"/>
        <w:left w:val="none" w:sz="0" w:space="0" w:color="auto"/>
        <w:bottom w:val="none" w:sz="0" w:space="0" w:color="auto"/>
        <w:right w:val="none" w:sz="0" w:space="0" w:color="auto"/>
      </w:divBdr>
    </w:div>
    <w:div w:id="1288777527">
      <w:bodyDiv w:val="1"/>
      <w:marLeft w:val="0"/>
      <w:marRight w:val="0"/>
      <w:marTop w:val="0"/>
      <w:marBottom w:val="0"/>
      <w:divBdr>
        <w:top w:val="none" w:sz="0" w:space="0" w:color="auto"/>
        <w:left w:val="none" w:sz="0" w:space="0" w:color="auto"/>
        <w:bottom w:val="none" w:sz="0" w:space="0" w:color="auto"/>
        <w:right w:val="none" w:sz="0" w:space="0" w:color="auto"/>
      </w:divBdr>
    </w:div>
    <w:div w:id="1288849557">
      <w:bodyDiv w:val="1"/>
      <w:marLeft w:val="0"/>
      <w:marRight w:val="0"/>
      <w:marTop w:val="0"/>
      <w:marBottom w:val="0"/>
      <w:divBdr>
        <w:top w:val="none" w:sz="0" w:space="0" w:color="auto"/>
        <w:left w:val="none" w:sz="0" w:space="0" w:color="auto"/>
        <w:bottom w:val="none" w:sz="0" w:space="0" w:color="auto"/>
        <w:right w:val="none" w:sz="0" w:space="0" w:color="auto"/>
      </w:divBdr>
    </w:div>
    <w:div w:id="1288854861">
      <w:bodyDiv w:val="1"/>
      <w:marLeft w:val="0"/>
      <w:marRight w:val="0"/>
      <w:marTop w:val="0"/>
      <w:marBottom w:val="0"/>
      <w:divBdr>
        <w:top w:val="none" w:sz="0" w:space="0" w:color="auto"/>
        <w:left w:val="none" w:sz="0" w:space="0" w:color="auto"/>
        <w:bottom w:val="none" w:sz="0" w:space="0" w:color="auto"/>
        <w:right w:val="none" w:sz="0" w:space="0" w:color="auto"/>
      </w:divBdr>
    </w:div>
    <w:div w:id="1289094052">
      <w:bodyDiv w:val="1"/>
      <w:marLeft w:val="0"/>
      <w:marRight w:val="0"/>
      <w:marTop w:val="0"/>
      <w:marBottom w:val="0"/>
      <w:divBdr>
        <w:top w:val="none" w:sz="0" w:space="0" w:color="auto"/>
        <w:left w:val="none" w:sz="0" w:space="0" w:color="auto"/>
        <w:bottom w:val="none" w:sz="0" w:space="0" w:color="auto"/>
        <w:right w:val="none" w:sz="0" w:space="0" w:color="auto"/>
      </w:divBdr>
    </w:div>
    <w:div w:id="1289504374">
      <w:bodyDiv w:val="1"/>
      <w:marLeft w:val="0"/>
      <w:marRight w:val="0"/>
      <w:marTop w:val="0"/>
      <w:marBottom w:val="0"/>
      <w:divBdr>
        <w:top w:val="none" w:sz="0" w:space="0" w:color="auto"/>
        <w:left w:val="none" w:sz="0" w:space="0" w:color="auto"/>
        <w:bottom w:val="none" w:sz="0" w:space="0" w:color="auto"/>
        <w:right w:val="none" w:sz="0" w:space="0" w:color="auto"/>
      </w:divBdr>
    </w:div>
    <w:div w:id="1289700680">
      <w:bodyDiv w:val="1"/>
      <w:marLeft w:val="0"/>
      <w:marRight w:val="0"/>
      <w:marTop w:val="0"/>
      <w:marBottom w:val="0"/>
      <w:divBdr>
        <w:top w:val="none" w:sz="0" w:space="0" w:color="auto"/>
        <w:left w:val="none" w:sz="0" w:space="0" w:color="auto"/>
        <w:bottom w:val="none" w:sz="0" w:space="0" w:color="auto"/>
        <w:right w:val="none" w:sz="0" w:space="0" w:color="auto"/>
      </w:divBdr>
    </w:div>
    <w:div w:id="1290891889">
      <w:bodyDiv w:val="1"/>
      <w:marLeft w:val="0"/>
      <w:marRight w:val="0"/>
      <w:marTop w:val="0"/>
      <w:marBottom w:val="0"/>
      <w:divBdr>
        <w:top w:val="none" w:sz="0" w:space="0" w:color="auto"/>
        <w:left w:val="none" w:sz="0" w:space="0" w:color="auto"/>
        <w:bottom w:val="none" w:sz="0" w:space="0" w:color="auto"/>
        <w:right w:val="none" w:sz="0" w:space="0" w:color="auto"/>
      </w:divBdr>
    </w:div>
    <w:div w:id="1291326449">
      <w:bodyDiv w:val="1"/>
      <w:marLeft w:val="0"/>
      <w:marRight w:val="0"/>
      <w:marTop w:val="0"/>
      <w:marBottom w:val="0"/>
      <w:divBdr>
        <w:top w:val="none" w:sz="0" w:space="0" w:color="auto"/>
        <w:left w:val="none" w:sz="0" w:space="0" w:color="auto"/>
        <w:bottom w:val="none" w:sz="0" w:space="0" w:color="auto"/>
        <w:right w:val="none" w:sz="0" w:space="0" w:color="auto"/>
      </w:divBdr>
    </w:div>
    <w:div w:id="1292398143">
      <w:bodyDiv w:val="1"/>
      <w:marLeft w:val="0"/>
      <w:marRight w:val="0"/>
      <w:marTop w:val="0"/>
      <w:marBottom w:val="0"/>
      <w:divBdr>
        <w:top w:val="none" w:sz="0" w:space="0" w:color="auto"/>
        <w:left w:val="none" w:sz="0" w:space="0" w:color="auto"/>
        <w:bottom w:val="none" w:sz="0" w:space="0" w:color="auto"/>
        <w:right w:val="none" w:sz="0" w:space="0" w:color="auto"/>
      </w:divBdr>
    </w:div>
    <w:div w:id="1292400916">
      <w:bodyDiv w:val="1"/>
      <w:marLeft w:val="0"/>
      <w:marRight w:val="0"/>
      <w:marTop w:val="0"/>
      <w:marBottom w:val="0"/>
      <w:divBdr>
        <w:top w:val="none" w:sz="0" w:space="0" w:color="auto"/>
        <w:left w:val="none" w:sz="0" w:space="0" w:color="auto"/>
        <w:bottom w:val="none" w:sz="0" w:space="0" w:color="auto"/>
        <w:right w:val="none" w:sz="0" w:space="0" w:color="auto"/>
      </w:divBdr>
    </w:div>
    <w:div w:id="1292633836">
      <w:bodyDiv w:val="1"/>
      <w:marLeft w:val="0"/>
      <w:marRight w:val="0"/>
      <w:marTop w:val="0"/>
      <w:marBottom w:val="0"/>
      <w:divBdr>
        <w:top w:val="none" w:sz="0" w:space="0" w:color="auto"/>
        <w:left w:val="none" w:sz="0" w:space="0" w:color="auto"/>
        <w:bottom w:val="none" w:sz="0" w:space="0" w:color="auto"/>
        <w:right w:val="none" w:sz="0" w:space="0" w:color="auto"/>
      </w:divBdr>
    </w:div>
    <w:div w:id="1292707816">
      <w:bodyDiv w:val="1"/>
      <w:marLeft w:val="0"/>
      <w:marRight w:val="0"/>
      <w:marTop w:val="0"/>
      <w:marBottom w:val="0"/>
      <w:divBdr>
        <w:top w:val="none" w:sz="0" w:space="0" w:color="auto"/>
        <w:left w:val="none" w:sz="0" w:space="0" w:color="auto"/>
        <w:bottom w:val="none" w:sz="0" w:space="0" w:color="auto"/>
        <w:right w:val="none" w:sz="0" w:space="0" w:color="auto"/>
      </w:divBdr>
    </w:div>
    <w:div w:id="1293099341">
      <w:bodyDiv w:val="1"/>
      <w:marLeft w:val="0"/>
      <w:marRight w:val="0"/>
      <w:marTop w:val="0"/>
      <w:marBottom w:val="0"/>
      <w:divBdr>
        <w:top w:val="none" w:sz="0" w:space="0" w:color="auto"/>
        <w:left w:val="none" w:sz="0" w:space="0" w:color="auto"/>
        <w:bottom w:val="none" w:sz="0" w:space="0" w:color="auto"/>
        <w:right w:val="none" w:sz="0" w:space="0" w:color="auto"/>
      </w:divBdr>
    </w:div>
    <w:div w:id="1293243119">
      <w:bodyDiv w:val="1"/>
      <w:marLeft w:val="0"/>
      <w:marRight w:val="0"/>
      <w:marTop w:val="0"/>
      <w:marBottom w:val="0"/>
      <w:divBdr>
        <w:top w:val="none" w:sz="0" w:space="0" w:color="auto"/>
        <w:left w:val="none" w:sz="0" w:space="0" w:color="auto"/>
        <w:bottom w:val="none" w:sz="0" w:space="0" w:color="auto"/>
        <w:right w:val="none" w:sz="0" w:space="0" w:color="auto"/>
      </w:divBdr>
    </w:div>
    <w:div w:id="1293436933">
      <w:bodyDiv w:val="1"/>
      <w:marLeft w:val="0"/>
      <w:marRight w:val="0"/>
      <w:marTop w:val="0"/>
      <w:marBottom w:val="0"/>
      <w:divBdr>
        <w:top w:val="none" w:sz="0" w:space="0" w:color="auto"/>
        <w:left w:val="none" w:sz="0" w:space="0" w:color="auto"/>
        <w:bottom w:val="none" w:sz="0" w:space="0" w:color="auto"/>
        <w:right w:val="none" w:sz="0" w:space="0" w:color="auto"/>
      </w:divBdr>
    </w:div>
    <w:div w:id="1293516625">
      <w:bodyDiv w:val="1"/>
      <w:marLeft w:val="0"/>
      <w:marRight w:val="0"/>
      <w:marTop w:val="0"/>
      <w:marBottom w:val="0"/>
      <w:divBdr>
        <w:top w:val="none" w:sz="0" w:space="0" w:color="auto"/>
        <w:left w:val="none" w:sz="0" w:space="0" w:color="auto"/>
        <w:bottom w:val="none" w:sz="0" w:space="0" w:color="auto"/>
        <w:right w:val="none" w:sz="0" w:space="0" w:color="auto"/>
      </w:divBdr>
    </w:div>
    <w:div w:id="1293632655">
      <w:bodyDiv w:val="1"/>
      <w:marLeft w:val="0"/>
      <w:marRight w:val="0"/>
      <w:marTop w:val="0"/>
      <w:marBottom w:val="0"/>
      <w:divBdr>
        <w:top w:val="none" w:sz="0" w:space="0" w:color="auto"/>
        <w:left w:val="none" w:sz="0" w:space="0" w:color="auto"/>
        <w:bottom w:val="none" w:sz="0" w:space="0" w:color="auto"/>
        <w:right w:val="none" w:sz="0" w:space="0" w:color="auto"/>
      </w:divBdr>
    </w:div>
    <w:div w:id="1293828385">
      <w:bodyDiv w:val="1"/>
      <w:marLeft w:val="0"/>
      <w:marRight w:val="0"/>
      <w:marTop w:val="0"/>
      <w:marBottom w:val="0"/>
      <w:divBdr>
        <w:top w:val="none" w:sz="0" w:space="0" w:color="auto"/>
        <w:left w:val="none" w:sz="0" w:space="0" w:color="auto"/>
        <w:bottom w:val="none" w:sz="0" w:space="0" w:color="auto"/>
        <w:right w:val="none" w:sz="0" w:space="0" w:color="auto"/>
      </w:divBdr>
    </w:div>
    <w:div w:id="1293906882">
      <w:bodyDiv w:val="1"/>
      <w:marLeft w:val="0"/>
      <w:marRight w:val="0"/>
      <w:marTop w:val="0"/>
      <w:marBottom w:val="0"/>
      <w:divBdr>
        <w:top w:val="none" w:sz="0" w:space="0" w:color="auto"/>
        <w:left w:val="none" w:sz="0" w:space="0" w:color="auto"/>
        <w:bottom w:val="none" w:sz="0" w:space="0" w:color="auto"/>
        <w:right w:val="none" w:sz="0" w:space="0" w:color="auto"/>
      </w:divBdr>
    </w:div>
    <w:div w:id="1294486927">
      <w:bodyDiv w:val="1"/>
      <w:marLeft w:val="0"/>
      <w:marRight w:val="0"/>
      <w:marTop w:val="0"/>
      <w:marBottom w:val="0"/>
      <w:divBdr>
        <w:top w:val="none" w:sz="0" w:space="0" w:color="auto"/>
        <w:left w:val="none" w:sz="0" w:space="0" w:color="auto"/>
        <w:bottom w:val="none" w:sz="0" w:space="0" w:color="auto"/>
        <w:right w:val="none" w:sz="0" w:space="0" w:color="auto"/>
      </w:divBdr>
    </w:div>
    <w:div w:id="1294600146">
      <w:bodyDiv w:val="1"/>
      <w:marLeft w:val="0"/>
      <w:marRight w:val="0"/>
      <w:marTop w:val="0"/>
      <w:marBottom w:val="0"/>
      <w:divBdr>
        <w:top w:val="none" w:sz="0" w:space="0" w:color="auto"/>
        <w:left w:val="none" w:sz="0" w:space="0" w:color="auto"/>
        <w:bottom w:val="none" w:sz="0" w:space="0" w:color="auto"/>
        <w:right w:val="none" w:sz="0" w:space="0" w:color="auto"/>
      </w:divBdr>
    </w:div>
    <w:div w:id="1294602476">
      <w:bodyDiv w:val="1"/>
      <w:marLeft w:val="0"/>
      <w:marRight w:val="0"/>
      <w:marTop w:val="0"/>
      <w:marBottom w:val="0"/>
      <w:divBdr>
        <w:top w:val="none" w:sz="0" w:space="0" w:color="auto"/>
        <w:left w:val="none" w:sz="0" w:space="0" w:color="auto"/>
        <w:bottom w:val="none" w:sz="0" w:space="0" w:color="auto"/>
        <w:right w:val="none" w:sz="0" w:space="0" w:color="auto"/>
      </w:divBdr>
    </w:div>
    <w:div w:id="1294822181">
      <w:bodyDiv w:val="1"/>
      <w:marLeft w:val="0"/>
      <w:marRight w:val="0"/>
      <w:marTop w:val="0"/>
      <w:marBottom w:val="0"/>
      <w:divBdr>
        <w:top w:val="none" w:sz="0" w:space="0" w:color="auto"/>
        <w:left w:val="none" w:sz="0" w:space="0" w:color="auto"/>
        <w:bottom w:val="none" w:sz="0" w:space="0" w:color="auto"/>
        <w:right w:val="none" w:sz="0" w:space="0" w:color="auto"/>
      </w:divBdr>
    </w:div>
    <w:div w:id="1294949248">
      <w:bodyDiv w:val="1"/>
      <w:marLeft w:val="0"/>
      <w:marRight w:val="0"/>
      <w:marTop w:val="0"/>
      <w:marBottom w:val="0"/>
      <w:divBdr>
        <w:top w:val="none" w:sz="0" w:space="0" w:color="auto"/>
        <w:left w:val="none" w:sz="0" w:space="0" w:color="auto"/>
        <w:bottom w:val="none" w:sz="0" w:space="0" w:color="auto"/>
        <w:right w:val="none" w:sz="0" w:space="0" w:color="auto"/>
      </w:divBdr>
    </w:div>
    <w:div w:id="1295330389">
      <w:bodyDiv w:val="1"/>
      <w:marLeft w:val="0"/>
      <w:marRight w:val="0"/>
      <w:marTop w:val="0"/>
      <w:marBottom w:val="0"/>
      <w:divBdr>
        <w:top w:val="none" w:sz="0" w:space="0" w:color="auto"/>
        <w:left w:val="none" w:sz="0" w:space="0" w:color="auto"/>
        <w:bottom w:val="none" w:sz="0" w:space="0" w:color="auto"/>
        <w:right w:val="none" w:sz="0" w:space="0" w:color="auto"/>
      </w:divBdr>
    </w:div>
    <w:div w:id="1295331456">
      <w:bodyDiv w:val="1"/>
      <w:marLeft w:val="0"/>
      <w:marRight w:val="0"/>
      <w:marTop w:val="0"/>
      <w:marBottom w:val="0"/>
      <w:divBdr>
        <w:top w:val="none" w:sz="0" w:space="0" w:color="auto"/>
        <w:left w:val="none" w:sz="0" w:space="0" w:color="auto"/>
        <w:bottom w:val="none" w:sz="0" w:space="0" w:color="auto"/>
        <w:right w:val="none" w:sz="0" w:space="0" w:color="auto"/>
      </w:divBdr>
    </w:div>
    <w:div w:id="1295451045">
      <w:bodyDiv w:val="1"/>
      <w:marLeft w:val="0"/>
      <w:marRight w:val="0"/>
      <w:marTop w:val="0"/>
      <w:marBottom w:val="0"/>
      <w:divBdr>
        <w:top w:val="none" w:sz="0" w:space="0" w:color="auto"/>
        <w:left w:val="none" w:sz="0" w:space="0" w:color="auto"/>
        <w:bottom w:val="none" w:sz="0" w:space="0" w:color="auto"/>
        <w:right w:val="none" w:sz="0" w:space="0" w:color="auto"/>
      </w:divBdr>
    </w:div>
    <w:div w:id="1295600268">
      <w:bodyDiv w:val="1"/>
      <w:marLeft w:val="0"/>
      <w:marRight w:val="0"/>
      <w:marTop w:val="0"/>
      <w:marBottom w:val="0"/>
      <w:divBdr>
        <w:top w:val="none" w:sz="0" w:space="0" w:color="auto"/>
        <w:left w:val="none" w:sz="0" w:space="0" w:color="auto"/>
        <w:bottom w:val="none" w:sz="0" w:space="0" w:color="auto"/>
        <w:right w:val="none" w:sz="0" w:space="0" w:color="auto"/>
      </w:divBdr>
    </w:div>
    <w:div w:id="1295678651">
      <w:bodyDiv w:val="1"/>
      <w:marLeft w:val="0"/>
      <w:marRight w:val="0"/>
      <w:marTop w:val="0"/>
      <w:marBottom w:val="0"/>
      <w:divBdr>
        <w:top w:val="none" w:sz="0" w:space="0" w:color="auto"/>
        <w:left w:val="none" w:sz="0" w:space="0" w:color="auto"/>
        <w:bottom w:val="none" w:sz="0" w:space="0" w:color="auto"/>
        <w:right w:val="none" w:sz="0" w:space="0" w:color="auto"/>
      </w:divBdr>
    </w:div>
    <w:div w:id="1295872506">
      <w:bodyDiv w:val="1"/>
      <w:marLeft w:val="0"/>
      <w:marRight w:val="0"/>
      <w:marTop w:val="0"/>
      <w:marBottom w:val="0"/>
      <w:divBdr>
        <w:top w:val="none" w:sz="0" w:space="0" w:color="auto"/>
        <w:left w:val="none" w:sz="0" w:space="0" w:color="auto"/>
        <w:bottom w:val="none" w:sz="0" w:space="0" w:color="auto"/>
        <w:right w:val="none" w:sz="0" w:space="0" w:color="auto"/>
      </w:divBdr>
    </w:div>
    <w:div w:id="1296645953">
      <w:bodyDiv w:val="1"/>
      <w:marLeft w:val="0"/>
      <w:marRight w:val="0"/>
      <w:marTop w:val="0"/>
      <w:marBottom w:val="0"/>
      <w:divBdr>
        <w:top w:val="none" w:sz="0" w:space="0" w:color="auto"/>
        <w:left w:val="none" w:sz="0" w:space="0" w:color="auto"/>
        <w:bottom w:val="none" w:sz="0" w:space="0" w:color="auto"/>
        <w:right w:val="none" w:sz="0" w:space="0" w:color="auto"/>
      </w:divBdr>
    </w:div>
    <w:div w:id="1296791780">
      <w:bodyDiv w:val="1"/>
      <w:marLeft w:val="0"/>
      <w:marRight w:val="0"/>
      <w:marTop w:val="0"/>
      <w:marBottom w:val="0"/>
      <w:divBdr>
        <w:top w:val="none" w:sz="0" w:space="0" w:color="auto"/>
        <w:left w:val="none" w:sz="0" w:space="0" w:color="auto"/>
        <w:bottom w:val="none" w:sz="0" w:space="0" w:color="auto"/>
        <w:right w:val="none" w:sz="0" w:space="0" w:color="auto"/>
      </w:divBdr>
    </w:div>
    <w:div w:id="1296832677">
      <w:bodyDiv w:val="1"/>
      <w:marLeft w:val="0"/>
      <w:marRight w:val="0"/>
      <w:marTop w:val="0"/>
      <w:marBottom w:val="0"/>
      <w:divBdr>
        <w:top w:val="none" w:sz="0" w:space="0" w:color="auto"/>
        <w:left w:val="none" w:sz="0" w:space="0" w:color="auto"/>
        <w:bottom w:val="none" w:sz="0" w:space="0" w:color="auto"/>
        <w:right w:val="none" w:sz="0" w:space="0" w:color="auto"/>
      </w:divBdr>
    </w:div>
    <w:div w:id="1297101200">
      <w:bodyDiv w:val="1"/>
      <w:marLeft w:val="0"/>
      <w:marRight w:val="0"/>
      <w:marTop w:val="0"/>
      <w:marBottom w:val="0"/>
      <w:divBdr>
        <w:top w:val="none" w:sz="0" w:space="0" w:color="auto"/>
        <w:left w:val="none" w:sz="0" w:space="0" w:color="auto"/>
        <w:bottom w:val="none" w:sz="0" w:space="0" w:color="auto"/>
        <w:right w:val="none" w:sz="0" w:space="0" w:color="auto"/>
      </w:divBdr>
    </w:div>
    <w:div w:id="1297221065">
      <w:bodyDiv w:val="1"/>
      <w:marLeft w:val="0"/>
      <w:marRight w:val="0"/>
      <w:marTop w:val="0"/>
      <w:marBottom w:val="0"/>
      <w:divBdr>
        <w:top w:val="none" w:sz="0" w:space="0" w:color="auto"/>
        <w:left w:val="none" w:sz="0" w:space="0" w:color="auto"/>
        <w:bottom w:val="none" w:sz="0" w:space="0" w:color="auto"/>
        <w:right w:val="none" w:sz="0" w:space="0" w:color="auto"/>
      </w:divBdr>
    </w:div>
    <w:div w:id="1298335940">
      <w:bodyDiv w:val="1"/>
      <w:marLeft w:val="0"/>
      <w:marRight w:val="0"/>
      <w:marTop w:val="0"/>
      <w:marBottom w:val="0"/>
      <w:divBdr>
        <w:top w:val="none" w:sz="0" w:space="0" w:color="auto"/>
        <w:left w:val="none" w:sz="0" w:space="0" w:color="auto"/>
        <w:bottom w:val="none" w:sz="0" w:space="0" w:color="auto"/>
        <w:right w:val="none" w:sz="0" w:space="0" w:color="auto"/>
      </w:divBdr>
    </w:div>
    <w:div w:id="1298413656">
      <w:bodyDiv w:val="1"/>
      <w:marLeft w:val="0"/>
      <w:marRight w:val="0"/>
      <w:marTop w:val="0"/>
      <w:marBottom w:val="0"/>
      <w:divBdr>
        <w:top w:val="none" w:sz="0" w:space="0" w:color="auto"/>
        <w:left w:val="none" w:sz="0" w:space="0" w:color="auto"/>
        <w:bottom w:val="none" w:sz="0" w:space="0" w:color="auto"/>
        <w:right w:val="none" w:sz="0" w:space="0" w:color="auto"/>
      </w:divBdr>
    </w:div>
    <w:div w:id="1298880540">
      <w:bodyDiv w:val="1"/>
      <w:marLeft w:val="0"/>
      <w:marRight w:val="0"/>
      <w:marTop w:val="0"/>
      <w:marBottom w:val="0"/>
      <w:divBdr>
        <w:top w:val="none" w:sz="0" w:space="0" w:color="auto"/>
        <w:left w:val="none" w:sz="0" w:space="0" w:color="auto"/>
        <w:bottom w:val="none" w:sz="0" w:space="0" w:color="auto"/>
        <w:right w:val="none" w:sz="0" w:space="0" w:color="auto"/>
      </w:divBdr>
    </w:div>
    <w:div w:id="1299528684">
      <w:bodyDiv w:val="1"/>
      <w:marLeft w:val="0"/>
      <w:marRight w:val="0"/>
      <w:marTop w:val="0"/>
      <w:marBottom w:val="0"/>
      <w:divBdr>
        <w:top w:val="none" w:sz="0" w:space="0" w:color="auto"/>
        <w:left w:val="none" w:sz="0" w:space="0" w:color="auto"/>
        <w:bottom w:val="none" w:sz="0" w:space="0" w:color="auto"/>
        <w:right w:val="none" w:sz="0" w:space="0" w:color="auto"/>
      </w:divBdr>
    </w:div>
    <w:div w:id="1299534249">
      <w:bodyDiv w:val="1"/>
      <w:marLeft w:val="0"/>
      <w:marRight w:val="0"/>
      <w:marTop w:val="0"/>
      <w:marBottom w:val="0"/>
      <w:divBdr>
        <w:top w:val="none" w:sz="0" w:space="0" w:color="auto"/>
        <w:left w:val="none" w:sz="0" w:space="0" w:color="auto"/>
        <w:bottom w:val="none" w:sz="0" w:space="0" w:color="auto"/>
        <w:right w:val="none" w:sz="0" w:space="0" w:color="auto"/>
      </w:divBdr>
    </w:div>
    <w:div w:id="1299844576">
      <w:bodyDiv w:val="1"/>
      <w:marLeft w:val="0"/>
      <w:marRight w:val="0"/>
      <w:marTop w:val="0"/>
      <w:marBottom w:val="0"/>
      <w:divBdr>
        <w:top w:val="none" w:sz="0" w:space="0" w:color="auto"/>
        <w:left w:val="none" w:sz="0" w:space="0" w:color="auto"/>
        <w:bottom w:val="none" w:sz="0" w:space="0" w:color="auto"/>
        <w:right w:val="none" w:sz="0" w:space="0" w:color="auto"/>
      </w:divBdr>
    </w:div>
    <w:div w:id="1299989935">
      <w:bodyDiv w:val="1"/>
      <w:marLeft w:val="0"/>
      <w:marRight w:val="0"/>
      <w:marTop w:val="0"/>
      <w:marBottom w:val="0"/>
      <w:divBdr>
        <w:top w:val="none" w:sz="0" w:space="0" w:color="auto"/>
        <w:left w:val="none" w:sz="0" w:space="0" w:color="auto"/>
        <w:bottom w:val="none" w:sz="0" w:space="0" w:color="auto"/>
        <w:right w:val="none" w:sz="0" w:space="0" w:color="auto"/>
      </w:divBdr>
    </w:div>
    <w:div w:id="1300305913">
      <w:bodyDiv w:val="1"/>
      <w:marLeft w:val="0"/>
      <w:marRight w:val="0"/>
      <w:marTop w:val="0"/>
      <w:marBottom w:val="0"/>
      <w:divBdr>
        <w:top w:val="none" w:sz="0" w:space="0" w:color="auto"/>
        <w:left w:val="none" w:sz="0" w:space="0" w:color="auto"/>
        <w:bottom w:val="none" w:sz="0" w:space="0" w:color="auto"/>
        <w:right w:val="none" w:sz="0" w:space="0" w:color="auto"/>
      </w:divBdr>
    </w:div>
    <w:div w:id="1300451501">
      <w:bodyDiv w:val="1"/>
      <w:marLeft w:val="0"/>
      <w:marRight w:val="0"/>
      <w:marTop w:val="0"/>
      <w:marBottom w:val="0"/>
      <w:divBdr>
        <w:top w:val="none" w:sz="0" w:space="0" w:color="auto"/>
        <w:left w:val="none" w:sz="0" w:space="0" w:color="auto"/>
        <w:bottom w:val="none" w:sz="0" w:space="0" w:color="auto"/>
        <w:right w:val="none" w:sz="0" w:space="0" w:color="auto"/>
      </w:divBdr>
    </w:div>
    <w:div w:id="1300644463">
      <w:bodyDiv w:val="1"/>
      <w:marLeft w:val="0"/>
      <w:marRight w:val="0"/>
      <w:marTop w:val="0"/>
      <w:marBottom w:val="0"/>
      <w:divBdr>
        <w:top w:val="none" w:sz="0" w:space="0" w:color="auto"/>
        <w:left w:val="none" w:sz="0" w:space="0" w:color="auto"/>
        <w:bottom w:val="none" w:sz="0" w:space="0" w:color="auto"/>
        <w:right w:val="none" w:sz="0" w:space="0" w:color="auto"/>
      </w:divBdr>
    </w:div>
    <w:div w:id="1300650905">
      <w:bodyDiv w:val="1"/>
      <w:marLeft w:val="0"/>
      <w:marRight w:val="0"/>
      <w:marTop w:val="0"/>
      <w:marBottom w:val="0"/>
      <w:divBdr>
        <w:top w:val="none" w:sz="0" w:space="0" w:color="auto"/>
        <w:left w:val="none" w:sz="0" w:space="0" w:color="auto"/>
        <w:bottom w:val="none" w:sz="0" w:space="0" w:color="auto"/>
        <w:right w:val="none" w:sz="0" w:space="0" w:color="auto"/>
      </w:divBdr>
    </w:div>
    <w:div w:id="1300650929">
      <w:bodyDiv w:val="1"/>
      <w:marLeft w:val="0"/>
      <w:marRight w:val="0"/>
      <w:marTop w:val="0"/>
      <w:marBottom w:val="0"/>
      <w:divBdr>
        <w:top w:val="none" w:sz="0" w:space="0" w:color="auto"/>
        <w:left w:val="none" w:sz="0" w:space="0" w:color="auto"/>
        <w:bottom w:val="none" w:sz="0" w:space="0" w:color="auto"/>
        <w:right w:val="none" w:sz="0" w:space="0" w:color="auto"/>
      </w:divBdr>
    </w:div>
    <w:div w:id="1300914949">
      <w:bodyDiv w:val="1"/>
      <w:marLeft w:val="0"/>
      <w:marRight w:val="0"/>
      <w:marTop w:val="0"/>
      <w:marBottom w:val="0"/>
      <w:divBdr>
        <w:top w:val="none" w:sz="0" w:space="0" w:color="auto"/>
        <w:left w:val="none" w:sz="0" w:space="0" w:color="auto"/>
        <w:bottom w:val="none" w:sz="0" w:space="0" w:color="auto"/>
        <w:right w:val="none" w:sz="0" w:space="0" w:color="auto"/>
      </w:divBdr>
    </w:div>
    <w:div w:id="1301157864">
      <w:bodyDiv w:val="1"/>
      <w:marLeft w:val="0"/>
      <w:marRight w:val="0"/>
      <w:marTop w:val="0"/>
      <w:marBottom w:val="0"/>
      <w:divBdr>
        <w:top w:val="none" w:sz="0" w:space="0" w:color="auto"/>
        <w:left w:val="none" w:sz="0" w:space="0" w:color="auto"/>
        <w:bottom w:val="none" w:sz="0" w:space="0" w:color="auto"/>
        <w:right w:val="none" w:sz="0" w:space="0" w:color="auto"/>
      </w:divBdr>
    </w:div>
    <w:div w:id="1301303332">
      <w:bodyDiv w:val="1"/>
      <w:marLeft w:val="0"/>
      <w:marRight w:val="0"/>
      <w:marTop w:val="0"/>
      <w:marBottom w:val="0"/>
      <w:divBdr>
        <w:top w:val="none" w:sz="0" w:space="0" w:color="auto"/>
        <w:left w:val="none" w:sz="0" w:space="0" w:color="auto"/>
        <w:bottom w:val="none" w:sz="0" w:space="0" w:color="auto"/>
        <w:right w:val="none" w:sz="0" w:space="0" w:color="auto"/>
      </w:divBdr>
    </w:div>
    <w:div w:id="1301308165">
      <w:bodyDiv w:val="1"/>
      <w:marLeft w:val="0"/>
      <w:marRight w:val="0"/>
      <w:marTop w:val="0"/>
      <w:marBottom w:val="0"/>
      <w:divBdr>
        <w:top w:val="none" w:sz="0" w:space="0" w:color="auto"/>
        <w:left w:val="none" w:sz="0" w:space="0" w:color="auto"/>
        <w:bottom w:val="none" w:sz="0" w:space="0" w:color="auto"/>
        <w:right w:val="none" w:sz="0" w:space="0" w:color="auto"/>
      </w:divBdr>
    </w:div>
    <w:div w:id="1302272114">
      <w:bodyDiv w:val="1"/>
      <w:marLeft w:val="0"/>
      <w:marRight w:val="0"/>
      <w:marTop w:val="0"/>
      <w:marBottom w:val="0"/>
      <w:divBdr>
        <w:top w:val="none" w:sz="0" w:space="0" w:color="auto"/>
        <w:left w:val="none" w:sz="0" w:space="0" w:color="auto"/>
        <w:bottom w:val="none" w:sz="0" w:space="0" w:color="auto"/>
        <w:right w:val="none" w:sz="0" w:space="0" w:color="auto"/>
      </w:divBdr>
    </w:div>
    <w:div w:id="1302688428">
      <w:bodyDiv w:val="1"/>
      <w:marLeft w:val="0"/>
      <w:marRight w:val="0"/>
      <w:marTop w:val="0"/>
      <w:marBottom w:val="0"/>
      <w:divBdr>
        <w:top w:val="none" w:sz="0" w:space="0" w:color="auto"/>
        <w:left w:val="none" w:sz="0" w:space="0" w:color="auto"/>
        <w:bottom w:val="none" w:sz="0" w:space="0" w:color="auto"/>
        <w:right w:val="none" w:sz="0" w:space="0" w:color="auto"/>
      </w:divBdr>
    </w:div>
    <w:div w:id="1303118945">
      <w:bodyDiv w:val="1"/>
      <w:marLeft w:val="0"/>
      <w:marRight w:val="0"/>
      <w:marTop w:val="0"/>
      <w:marBottom w:val="0"/>
      <w:divBdr>
        <w:top w:val="none" w:sz="0" w:space="0" w:color="auto"/>
        <w:left w:val="none" w:sz="0" w:space="0" w:color="auto"/>
        <w:bottom w:val="none" w:sz="0" w:space="0" w:color="auto"/>
        <w:right w:val="none" w:sz="0" w:space="0" w:color="auto"/>
      </w:divBdr>
    </w:div>
    <w:div w:id="1303729199">
      <w:bodyDiv w:val="1"/>
      <w:marLeft w:val="0"/>
      <w:marRight w:val="0"/>
      <w:marTop w:val="0"/>
      <w:marBottom w:val="0"/>
      <w:divBdr>
        <w:top w:val="none" w:sz="0" w:space="0" w:color="auto"/>
        <w:left w:val="none" w:sz="0" w:space="0" w:color="auto"/>
        <w:bottom w:val="none" w:sz="0" w:space="0" w:color="auto"/>
        <w:right w:val="none" w:sz="0" w:space="0" w:color="auto"/>
      </w:divBdr>
    </w:div>
    <w:div w:id="1303928699">
      <w:bodyDiv w:val="1"/>
      <w:marLeft w:val="0"/>
      <w:marRight w:val="0"/>
      <w:marTop w:val="0"/>
      <w:marBottom w:val="0"/>
      <w:divBdr>
        <w:top w:val="none" w:sz="0" w:space="0" w:color="auto"/>
        <w:left w:val="none" w:sz="0" w:space="0" w:color="auto"/>
        <w:bottom w:val="none" w:sz="0" w:space="0" w:color="auto"/>
        <w:right w:val="none" w:sz="0" w:space="0" w:color="auto"/>
      </w:divBdr>
    </w:div>
    <w:div w:id="1303996592">
      <w:bodyDiv w:val="1"/>
      <w:marLeft w:val="0"/>
      <w:marRight w:val="0"/>
      <w:marTop w:val="0"/>
      <w:marBottom w:val="0"/>
      <w:divBdr>
        <w:top w:val="none" w:sz="0" w:space="0" w:color="auto"/>
        <w:left w:val="none" w:sz="0" w:space="0" w:color="auto"/>
        <w:bottom w:val="none" w:sz="0" w:space="0" w:color="auto"/>
        <w:right w:val="none" w:sz="0" w:space="0" w:color="auto"/>
      </w:divBdr>
    </w:div>
    <w:div w:id="1304002544">
      <w:bodyDiv w:val="1"/>
      <w:marLeft w:val="0"/>
      <w:marRight w:val="0"/>
      <w:marTop w:val="0"/>
      <w:marBottom w:val="0"/>
      <w:divBdr>
        <w:top w:val="none" w:sz="0" w:space="0" w:color="auto"/>
        <w:left w:val="none" w:sz="0" w:space="0" w:color="auto"/>
        <w:bottom w:val="none" w:sz="0" w:space="0" w:color="auto"/>
        <w:right w:val="none" w:sz="0" w:space="0" w:color="auto"/>
      </w:divBdr>
    </w:div>
    <w:div w:id="1304501841">
      <w:bodyDiv w:val="1"/>
      <w:marLeft w:val="0"/>
      <w:marRight w:val="0"/>
      <w:marTop w:val="0"/>
      <w:marBottom w:val="0"/>
      <w:divBdr>
        <w:top w:val="none" w:sz="0" w:space="0" w:color="auto"/>
        <w:left w:val="none" w:sz="0" w:space="0" w:color="auto"/>
        <w:bottom w:val="none" w:sz="0" w:space="0" w:color="auto"/>
        <w:right w:val="none" w:sz="0" w:space="0" w:color="auto"/>
      </w:divBdr>
    </w:div>
    <w:div w:id="1304626257">
      <w:bodyDiv w:val="1"/>
      <w:marLeft w:val="0"/>
      <w:marRight w:val="0"/>
      <w:marTop w:val="0"/>
      <w:marBottom w:val="0"/>
      <w:divBdr>
        <w:top w:val="none" w:sz="0" w:space="0" w:color="auto"/>
        <w:left w:val="none" w:sz="0" w:space="0" w:color="auto"/>
        <w:bottom w:val="none" w:sz="0" w:space="0" w:color="auto"/>
        <w:right w:val="none" w:sz="0" w:space="0" w:color="auto"/>
      </w:divBdr>
    </w:div>
    <w:div w:id="1304896212">
      <w:bodyDiv w:val="1"/>
      <w:marLeft w:val="0"/>
      <w:marRight w:val="0"/>
      <w:marTop w:val="0"/>
      <w:marBottom w:val="0"/>
      <w:divBdr>
        <w:top w:val="none" w:sz="0" w:space="0" w:color="auto"/>
        <w:left w:val="none" w:sz="0" w:space="0" w:color="auto"/>
        <w:bottom w:val="none" w:sz="0" w:space="0" w:color="auto"/>
        <w:right w:val="none" w:sz="0" w:space="0" w:color="auto"/>
      </w:divBdr>
    </w:div>
    <w:div w:id="1305040845">
      <w:bodyDiv w:val="1"/>
      <w:marLeft w:val="0"/>
      <w:marRight w:val="0"/>
      <w:marTop w:val="0"/>
      <w:marBottom w:val="0"/>
      <w:divBdr>
        <w:top w:val="none" w:sz="0" w:space="0" w:color="auto"/>
        <w:left w:val="none" w:sz="0" w:space="0" w:color="auto"/>
        <w:bottom w:val="none" w:sz="0" w:space="0" w:color="auto"/>
        <w:right w:val="none" w:sz="0" w:space="0" w:color="auto"/>
      </w:divBdr>
    </w:div>
    <w:div w:id="1305504268">
      <w:bodyDiv w:val="1"/>
      <w:marLeft w:val="0"/>
      <w:marRight w:val="0"/>
      <w:marTop w:val="0"/>
      <w:marBottom w:val="0"/>
      <w:divBdr>
        <w:top w:val="none" w:sz="0" w:space="0" w:color="auto"/>
        <w:left w:val="none" w:sz="0" w:space="0" w:color="auto"/>
        <w:bottom w:val="none" w:sz="0" w:space="0" w:color="auto"/>
        <w:right w:val="none" w:sz="0" w:space="0" w:color="auto"/>
      </w:divBdr>
    </w:div>
    <w:div w:id="1306085820">
      <w:bodyDiv w:val="1"/>
      <w:marLeft w:val="0"/>
      <w:marRight w:val="0"/>
      <w:marTop w:val="0"/>
      <w:marBottom w:val="0"/>
      <w:divBdr>
        <w:top w:val="none" w:sz="0" w:space="0" w:color="auto"/>
        <w:left w:val="none" w:sz="0" w:space="0" w:color="auto"/>
        <w:bottom w:val="none" w:sz="0" w:space="0" w:color="auto"/>
        <w:right w:val="none" w:sz="0" w:space="0" w:color="auto"/>
      </w:divBdr>
    </w:div>
    <w:div w:id="1306205615">
      <w:bodyDiv w:val="1"/>
      <w:marLeft w:val="0"/>
      <w:marRight w:val="0"/>
      <w:marTop w:val="0"/>
      <w:marBottom w:val="0"/>
      <w:divBdr>
        <w:top w:val="none" w:sz="0" w:space="0" w:color="auto"/>
        <w:left w:val="none" w:sz="0" w:space="0" w:color="auto"/>
        <w:bottom w:val="none" w:sz="0" w:space="0" w:color="auto"/>
        <w:right w:val="none" w:sz="0" w:space="0" w:color="auto"/>
      </w:divBdr>
    </w:div>
    <w:div w:id="1306472977">
      <w:bodyDiv w:val="1"/>
      <w:marLeft w:val="0"/>
      <w:marRight w:val="0"/>
      <w:marTop w:val="0"/>
      <w:marBottom w:val="0"/>
      <w:divBdr>
        <w:top w:val="none" w:sz="0" w:space="0" w:color="auto"/>
        <w:left w:val="none" w:sz="0" w:space="0" w:color="auto"/>
        <w:bottom w:val="none" w:sz="0" w:space="0" w:color="auto"/>
        <w:right w:val="none" w:sz="0" w:space="0" w:color="auto"/>
      </w:divBdr>
    </w:div>
    <w:div w:id="1306621109">
      <w:bodyDiv w:val="1"/>
      <w:marLeft w:val="0"/>
      <w:marRight w:val="0"/>
      <w:marTop w:val="0"/>
      <w:marBottom w:val="0"/>
      <w:divBdr>
        <w:top w:val="none" w:sz="0" w:space="0" w:color="auto"/>
        <w:left w:val="none" w:sz="0" w:space="0" w:color="auto"/>
        <w:bottom w:val="none" w:sz="0" w:space="0" w:color="auto"/>
        <w:right w:val="none" w:sz="0" w:space="0" w:color="auto"/>
      </w:divBdr>
    </w:div>
    <w:div w:id="1306660529">
      <w:bodyDiv w:val="1"/>
      <w:marLeft w:val="0"/>
      <w:marRight w:val="0"/>
      <w:marTop w:val="0"/>
      <w:marBottom w:val="0"/>
      <w:divBdr>
        <w:top w:val="none" w:sz="0" w:space="0" w:color="auto"/>
        <w:left w:val="none" w:sz="0" w:space="0" w:color="auto"/>
        <w:bottom w:val="none" w:sz="0" w:space="0" w:color="auto"/>
        <w:right w:val="none" w:sz="0" w:space="0" w:color="auto"/>
      </w:divBdr>
    </w:div>
    <w:div w:id="1306810526">
      <w:bodyDiv w:val="1"/>
      <w:marLeft w:val="0"/>
      <w:marRight w:val="0"/>
      <w:marTop w:val="0"/>
      <w:marBottom w:val="0"/>
      <w:divBdr>
        <w:top w:val="none" w:sz="0" w:space="0" w:color="auto"/>
        <w:left w:val="none" w:sz="0" w:space="0" w:color="auto"/>
        <w:bottom w:val="none" w:sz="0" w:space="0" w:color="auto"/>
        <w:right w:val="none" w:sz="0" w:space="0" w:color="auto"/>
      </w:divBdr>
    </w:div>
    <w:div w:id="1307003867">
      <w:bodyDiv w:val="1"/>
      <w:marLeft w:val="0"/>
      <w:marRight w:val="0"/>
      <w:marTop w:val="0"/>
      <w:marBottom w:val="0"/>
      <w:divBdr>
        <w:top w:val="none" w:sz="0" w:space="0" w:color="auto"/>
        <w:left w:val="none" w:sz="0" w:space="0" w:color="auto"/>
        <w:bottom w:val="none" w:sz="0" w:space="0" w:color="auto"/>
        <w:right w:val="none" w:sz="0" w:space="0" w:color="auto"/>
      </w:divBdr>
    </w:div>
    <w:div w:id="1307246960">
      <w:bodyDiv w:val="1"/>
      <w:marLeft w:val="0"/>
      <w:marRight w:val="0"/>
      <w:marTop w:val="0"/>
      <w:marBottom w:val="0"/>
      <w:divBdr>
        <w:top w:val="none" w:sz="0" w:space="0" w:color="auto"/>
        <w:left w:val="none" w:sz="0" w:space="0" w:color="auto"/>
        <w:bottom w:val="none" w:sz="0" w:space="0" w:color="auto"/>
        <w:right w:val="none" w:sz="0" w:space="0" w:color="auto"/>
      </w:divBdr>
    </w:div>
    <w:div w:id="1307316140">
      <w:bodyDiv w:val="1"/>
      <w:marLeft w:val="0"/>
      <w:marRight w:val="0"/>
      <w:marTop w:val="0"/>
      <w:marBottom w:val="0"/>
      <w:divBdr>
        <w:top w:val="none" w:sz="0" w:space="0" w:color="auto"/>
        <w:left w:val="none" w:sz="0" w:space="0" w:color="auto"/>
        <w:bottom w:val="none" w:sz="0" w:space="0" w:color="auto"/>
        <w:right w:val="none" w:sz="0" w:space="0" w:color="auto"/>
      </w:divBdr>
    </w:div>
    <w:div w:id="1307470308">
      <w:bodyDiv w:val="1"/>
      <w:marLeft w:val="0"/>
      <w:marRight w:val="0"/>
      <w:marTop w:val="0"/>
      <w:marBottom w:val="0"/>
      <w:divBdr>
        <w:top w:val="none" w:sz="0" w:space="0" w:color="auto"/>
        <w:left w:val="none" w:sz="0" w:space="0" w:color="auto"/>
        <w:bottom w:val="none" w:sz="0" w:space="0" w:color="auto"/>
        <w:right w:val="none" w:sz="0" w:space="0" w:color="auto"/>
      </w:divBdr>
    </w:div>
    <w:div w:id="1307512903">
      <w:bodyDiv w:val="1"/>
      <w:marLeft w:val="0"/>
      <w:marRight w:val="0"/>
      <w:marTop w:val="0"/>
      <w:marBottom w:val="0"/>
      <w:divBdr>
        <w:top w:val="none" w:sz="0" w:space="0" w:color="auto"/>
        <w:left w:val="none" w:sz="0" w:space="0" w:color="auto"/>
        <w:bottom w:val="none" w:sz="0" w:space="0" w:color="auto"/>
        <w:right w:val="none" w:sz="0" w:space="0" w:color="auto"/>
      </w:divBdr>
    </w:div>
    <w:div w:id="1308049431">
      <w:bodyDiv w:val="1"/>
      <w:marLeft w:val="0"/>
      <w:marRight w:val="0"/>
      <w:marTop w:val="0"/>
      <w:marBottom w:val="0"/>
      <w:divBdr>
        <w:top w:val="none" w:sz="0" w:space="0" w:color="auto"/>
        <w:left w:val="none" w:sz="0" w:space="0" w:color="auto"/>
        <w:bottom w:val="none" w:sz="0" w:space="0" w:color="auto"/>
        <w:right w:val="none" w:sz="0" w:space="0" w:color="auto"/>
      </w:divBdr>
    </w:div>
    <w:div w:id="1308128697">
      <w:bodyDiv w:val="1"/>
      <w:marLeft w:val="0"/>
      <w:marRight w:val="0"/>
      <w:marTop w:val="0"/>
      <w:marBottom w:val="0"/>
      <w:divBdr>
        <w:top w:val="none" w:sz="0" w:space="0" w:color="auto"/>
        <w:left w:val="none" w:sz="0" w:space="0" w:color="auto"/>
        <w:bottom w:val="none" w:sz="0" w:space="0" w:color="auto"/>
        <w:right w:val="none" w:sz="0" w:space="0" w:color="auto"/>
      </w:divBdr>
    </w:div>
    <w:div w:id="1308589307">
      <w:bodyDiv w:val="1"/>
      <w:marLeft w:val="0"/>
      <w:marRight w:val="0"/>
      <w:marTop w:val="0"/>
      <w:marBottom w:val="0"/>
      <w:divBdr>
        <w:top w:val="none" w:sz="0" w:space="0" w:color="auto"/>
        <w:left w:val="none" w:sz="0" w:space="0" w:color="auto"/>
        <w:bottom w:val="none" w:sz="0" w:space="0" w:color="auto"/>
        <w:right w:val="none" w:sz="0" w:space="0" w:color="auto"/>
      </w:divBdr>
    </w:div>
    <w:div w:id="1308972922">
      <w:bodyDiv w:val="1"/>
      <w:marLeft w:val="0"/>
      <w:marRight w:val="0"/>
      <w:marTop w:val="0"/>
      <w:marBottom w:val="0"/>
      <w:divBdr>
        <w:top w:val="none" w:sz="0" w:space="0" w:color="auto"/>
        <w:left w:val="none" w:sz="0" w:space="0" w:color="auto"/>
        <w:bottom w:val="none" w:sz="0" w:space="0" w:color="auto"/>
        <w:right w:val="none" w:sz="0" w:space="0" w:color="auto"/>
      </w:divBdr>
    </w:div>
    <w:div w:id="1308978046">
      <w:bodyDiv w:val="1"/>
      <w:marLeft w:val="0"/>
      <w:marRight w:val="0"/>
      <w:marTop w:val="0"/>
      <w:marBottom w:val="0"/>
      <w:divBdr>
        <w:top w:val="none" w:sz="0" w:space="0" w:color="auto"/>
        <w:left w:val="none" w:sz="0" w:space="0" w:color="auto"/>
        <w:bottom w:val="none" w:sz="0" w:space="0" w:color="auto"/>
        <w:right w:val="none" w:sz="0" w:space="0" w:color="auto"/>
      </w:divBdr>
    </w:div>
    <w:div w:id="1309555867">
      <w:bodyDiv w:val="1"/>
      <w:marLeft w:val="0"/>
      <w:marRight w:val="0"/>
      <w:marTop w:val="0"/>
      <w:marBottom w:val="0"/>
      <w:divBdr>
        <w:top w:val="none" w:sz="0" w:space="0" w:color="auto"/>
        <w:left w:val="none" w:sz="0" w:space="0" w:color="auto"/>
        <w:bottom w:val="none" w:sz="0" w:space="0" w:color="auto"/>
        <w:right w:val="none" w:sz="0" w:space="0" w:color="auto"/>
      </w:divBdr>
    </w:div>
    <w:div w:id="1309818344">
      <w:bodyDiv w:val="1"/>
      <w:marLeft w:val="0"/>
      <w:marRight w:val="0"/>
      <w:marTop w:val="0"/>
      <w:marBottom w:val="0"/>
      <w:divBdr>
        <w:top w:val="none" w:sz="0" w:space="0" w:color="auto"/>
        <w:left w:val="none" w:sz="0" w:space="0" w:color="auto"/>
        <w:bottom w:val="none" w:sz="0" w:space="0" w:color="auto"/>
        <w:right w:val="none" w:sz="0" w:space="0" w:color="auto"/>
      </w:divBdr>
    </w:div>
    <w:div w:id="1310283646">
      <w:bodyDiv w:val="1"/>
      <w:marLeft w:val="0"/>
      <w:marRight w:val="0"/>
      <w:marTop w:val="0"/>
      <w:marBottom w:val="0"/>
      <w:divBdr>
        <w:top w:val="none" w:sz="0" w:space="0" w:color="auto"/>
        <w:left w:val="none" w:sz="0" w:space="0" w:color="auto"/>
        <w:bottom w:val="none" w:sz="0" w:space="0" w:color="auto"/>
        <w:right w:val="none" w:sz="0" w:space="0" w:color="auto"/>
      </w:divBdr>
    </w:div>
    <w:div w:id="1310284038">
      <w:bodyDiv w:val="1"/>
      <w:marLeft w:val="0"/>
      <w:marRight w:val="0"/>
      <w:marTop w:val="0"/>
      <w:marBottom w:val="0"/>
      <w:divBdr>
        <w:top w:val="none" w:sz="0" w:space="0" w:color="auto"/>
        <w:left w:val="none" w:sz="0" w:space="0" w:color="auto"/>
        <w:bottom w:val="none" w:sz="0" w:space="0" w:color="auto"/>
        <w:right w:val="none" w:sz="0" w:space="0" w:color="auto"/>
      </w:divBdr>
    </w:div>
    <w:div w:id="1310670912">
      <w:bodyDiv w:val="1"/>
      <w:marLeft w:val="0"/>
      <w:marRight w:val="0"/>
      <w:marTop w:val="0"/>
      <w:marBottom w:val="0"/>
      <w:divBdr>
        <w:top w:val="none" w:sz="0" w:space="0" w:color="auto"/>
        <w:left w:val="none" w:sz="0" w:space="0" w:color="auto"/>
        <w:bottom w:val="none" w:sz="0" w:space="0" w:color="auto"/>
        <w:right w:val="none" w:sz="0" w:space="0" w:color="auto"/>
      </w:divBdr>
    </w:div>
    <w:div w:id="1310743128">
      <w:bodyDiv w:val="1"/>
      <w:marLeft w:val="0"/>
      <w:marRight w:val="0"/>
      <w:marTop w:val="0"/>
      <w:marBottom w:val="0"/>
      <w:divBdr>
        <w:top w:val="none" w:sz="0" w:space="0" w:color="auto"/>
        <w:left w:val="none" w:sz="0" w:space="0" w:color="auto"/>
        <w:bottom w:val="none" w:sz="0" w:space="0" w:color="auto"/>
        <w:right w:val="none" w:sz="0" w:space="0" w:color="auto"/>
      </w:divBdr>
    </w:div>
    <w:div w:id="1310859864">
      <w:bodyDiv w:val="1"/>
      <w:marLeft w:val="0"/>
      <w:marRight w:val="0"/>
      <w:marTop w:val="0"/>
      <w:marBottom w:val="0"/>
      <w:divBdr>
        <w:top w:val="none" w:sz="0" w:space="0" w:color="auto"/>
        <w:left w:val="none" w:sz="0" w:space="0" w:color="auto"/>
        <w:bottom w:val="none" w:sz="0" w:space="0" w:color="auto"/>
        <w:right w:val="none" w:sz="0" w:space="0" w:color="auto"/>
      </w:divBdr>
    </w:div>
    <w:div w:id="1311061527">
      <w:bodyDiv w:val="1"/>
      <w:marLeft w:val="0"/>
      <w:marRight w:val="0"/>
      <w:marTop w:val="0"/>
      <w:marBottom w:val="0"/>
      <w:divBdr>
        <w:top w:val="none" w:sz="0" w:space="0" w:color="auto"/>
        <w:left w:val="none" w:sz="0" w:space="0" w:color="auto"/>
        <w:bottom w:val="none" w:sz="0" w:space="0" w:color="auto"/>
        <w:right w:val="none" w:sz="0" w:space="0" w:color="auto"/>
      </w:divBdr>
    </w:div>
    <w:div w:id="1311592623">
      <w:bodyDiv w:val="1"/>
      <w:marLeft w:val="0"/>
      <w:marRight w:val="0"/>
      <w:marTop w:val="0"/>
      <w:marBottom w:val="0"/>
      <w:divBdr>
        <w:top w:val="none" w:sz="0" w:space="0" w:color="auto"/>
        <w:left w:val="none" w:sz="0" w:space="0" w:color="auto"/>
        <w:bottom w:val="none" w:sz="0" w:space="0" w:color="auto"/>
        <w:right w:val="none" w:sz="0" w:space="0" w:color="auto"/>
      </w:divBdr>
    </w:div>
    <w:div w:id="1311641341">
      <w:bodyDiv w:val="1"/>
      <w:marLeft w:val="0"/>
      <w:marRight w:val="0"/>
      <w:marTop w:val="0"/>
      <w:marBottom w:val="0"/>
      <w:divBdr>
        <w:top w:val="none" w:sz="0" w:space="0" w:color="auto"/>
        <w:left w:val="none" w:sz="0" w:space="0" w:color="auto"/>
        <w:bottom w:val="none" w:sz="0" w:space="0" w:color="auto"/>
        <w:right w:val="none" w:sz="0" w:space="0" w:color="auto"/>
      </w:divBdr>
    </w:div>
    <w:div w:id="1311861340">
      <w:bodyDiv w:val="1"/>
      <w:marLeft w:val="0"/>
      <w:marRight w:val="0"/>
      <w:marTop w:val="0"/>
      <w:marBottom w:val="0"/>
      <w:divBdr>
        <w:top w:val="none" w:sz="0" w:space="0" w:color="auto"/>
        <w:left w:val="none" w:sz="0" w:space="0" w:color="auto"/>
        <w:bottom w:val="none" w:sz="0" w:space="0" w:color="auto"/>
        <w:right w:val="none" w:sz="0" w:space="0" w:color="auto"/>
      </w:divBdr>
    </w:div>
    <w:div w:id="1312516401">
      <w:bodyDiv w:val="1"/>
      <w:marLeft w:val="0"/>
      <w:marRight w:val="0"/>
      <w:marTop w:val="0"/>
      <w:marBottom w:val="0"/>
      <w:divBdr>
        <w:top w:val="none" w:sz="0" w:space="0" w:color="auto"/>
        <w:left w:val="none" w:sz="0" w:space="0" w:color="auto"/>
        <w:bottom w:val="none" w:sz="0" w:space="0" w:color="auto"/>
        <w:right w:val="none" w:sz="0" w:space="0" w:color="auto"/>
      </w:divBdr>
    </w:div>
    <w:div w:id="1312714538">
      <w:bodyDiv w:val="1"/>
      <w:marLeft w:val="0"/>
      <w:marRight w:val="0"/>
      <w:marTop w:val="0"/>
      <w:marBottom w:val="0"/>
      <w:divBdr>
        <w:top w:val="none" w:sz="0" w:space="0" w:color="auto"/>
        <w:left w:val="none" w:sz="0" w:space="0" w:color="auto"/>
        <w:bottom w:val="none" w:sz="0" w:space="0" w:color="auto"/>
        <w:right w:val="none" w:sz="0" w:space="0" w:color="auto"/>
      </w:divBdr>
    </w:div>
    <w:div w:id="1312908836">
      <w:bodyDiv w:val="1"/>
      <w:marLeft w:val="0"/>
      <w:marRight w:val="0"/>
      <w:marTop w:val="0"/>
      <w:marBottom w:val="0"/>
      <w:divBdr>
        <w:top w:val="none" w:sz="0" w:space="0" w:color="auto"/>
        <w:left w:val="none" w:sz="0" w:space="0" w:color="auto"/>
        <w:bottom w:val="none" w:sz="0" w:space="0" w:color="auto"/>
        <w:right w:val="none" w:sz="0" w:space="0" w:color="auto"/>
      </w:divBdr>
    </w:div>
    <w:div w:id="1312910352">
      <w:bodyDiv w:val="1"/>
      <w:marLeft w:val="0"/>
      <w:marRight w:val="0"/>
      <w:marTop w:val="0"/>
      <w:marBottom w:val="0"/>
      <w:divBdr>
        <w:top w:val="none" w:sz="0" w:space="0" w:color="auto"/>
        <w:left w:val="none" w:sz="0" w:space="0" w:color="auto"/>
        <w:bottom w:val="none" w:sz="0" w:space="0" w:color="auto"/>
        <w:right w:val="none" w:sz="0" w:space="0" w:color="auto"/>
      </w:divBdr>
    </w:div>
    <w:div w:id="1313103638">
      <w:bodyDiv w:val="1"/>
      <w:marLeft w:val="0"/>
      <w:marRight w:val="0"/>
      <w:marTop w:val="0"/>
      <w:marBottom w:val="0"/>
      <w:divBdr>
        <w:top w:val="none" w:sz="0" w:space="0" w:color="auto"/>
        <w:left w:val="none" w:sz="0" w:space="0" w:color="auto"/>
        <w:bottom w:val="none" w:sz="0" w:space="0" w:color="auto"/>
        <w:right w:val="none" w:sz="0" w:space="0" w:color="auto"/>
      </w:divBdr>
    </w:div>
    <w:div w:id="1313559615">
      <w:bodyDiv w:val="1"/>
      <w:marLeft w:val="0"/>
      <w:marRight w:val="0"/>
      <w:marTop w:val="0"/>
      <w:marBottom w:val="0"/>
      <w:divBdr>
        <w:top w:val="none" w:sz="0" w:space="0" w:color="auto"/>
        <w:left w:val="none" w:sz="0" w:space="0" w:color="auto"/>
        <w:bottom w:val="none" w:sz="0" w:space="0" w:color="auto"/>
        <w:right w:val="none" w:sz="0" w:space="0" w:color="auto"/>
      </w:divBdr>
    </w:div>
    <w:div w:id="1313832390">
      <w:bodyDiv w:val="1"/>
      <w:marLeft w:val="0"/>
      <w:marRight w:val="0"/>
      <w:marTop w:val="0"/>
      <w:marBottom w:val="0"/>
      <w:divBdr>
        <w:top w:val="none" w:sz="0" w:space="0" w:color="auto"/>
        <w:left w:val="none" w:sz="0" w:space="0" w:color="auto"/>
        <w:bottom w:val="none" w:sz="0" w:space="0" w:color="auto"/>
        <w:right w:val="none" w:sz="0" w:space="0" w:color="auto"/>
      </w:divBdr>
    </w:div>
    <w:div w:id="1314750433">
      <w:bodyDiv w:val="1"/>
      <w:marLeft w:val="0"/>
      <w:marRight w:val="0"/>
      <w:marTop w:val="0"/>
      <w:marBottom w:val="0"/>
      <w:divBdr>
        <w:top w:val="none" w:sz="0" w:space="0" w:color="auto"/>
        <w:left w:val="none" w:sz="0" w:space="0" w:color="auto"/>
        <w:bottom w:val="none" w:sz="0" w:space="0" w:color="auto"/>
        <w:right w:val="none" w:sz="0" w:space="0" w:color="auto"/>
      </w:divBdr>
    </w:div>
    <w:div w:id="1315142413">
      <w:bodyDiv w:val="1"/>
      <w:marLeft w:val="0"/>
      <w:marRight w:val="0"/>
      <w:marTop w:val="0"/>
      <w:marBottom w:val="0"/>
      <w:divBdr>
        <w:top w:val="none" w:sz="0" w:space="0" w:color="auto"/>
        <w:left w:val="none" w:sz="0" w:space="0" w:color="auto"/>
        <w:bottom w:val="none" w:sz="0" w:space="0" w:color="auto"/>
        <w:right w:val="none" w:sz="0" w:space="0" w:color="auto"/>
      </w:divBdr>
    </w:div>
    <w:div w:id="1315529598">
      <w:bodyDiv w:val="1"/>
      <w:marLeft w:val="0"/>
      <w:marRight w:val="0"/>
      <w:marTop w:val="0"/>
      <w:marBottom w:val="0"/>
      <w:divBdr>
        <w:top w:val="none" w:sz="0" w:space="0" w:color="auto"/>
        <w:left w:val="none" w:sz="0" w:space="0" w:color="auto"/>
        <w:bottom w:val="none" w:sz="0" w:space="0" w:color="auto"/>
        <w:right w:val="none" w:sz="0" w:space="0" w:color="auto"/>
      </w:divBdr>
    </w:div>
    <w:div w:id="1315984690">
      <w:bodyDiv w:val="1"/>
      <w:marLeft w:val="0"/>
      <w:marRight w:val="0"/>
      <w:marTop w:val="0"/>
      <w:marBottom w:val="0"/>
      <w:divBdr>
        <w:top w:val="none" w:sz="0" w:space="0" w:color="auto"/>
        <w:left w:val="none" w:sz="0" w:space="0" w:color="auto"/>
        <w:bottom w:val="none" w:sz="0" w:space="0" w:color="auto"/>
        <w:right w:val="none" w:sz="0" w:space="0" w:color="auto"/>
      </w:divBdr>
    </w:div>
    <w:div w:id="1316956561">
      <w:bodyDiv w:val="1"/>
      <w:marLeft w:val="0"/>
      <w:marRight w:val="0"/>
      <w:marTop w:val="0"/>
      <w:marBottom w:val="0"/>
      <w:divBdr>
        <w:top w:val="none" w:sz="0" w:space="0" w:color="auto"/>
        <w:left w:val="none" w:sz="0" w:space="0" w:color="auto"/>
        <w:bottom w:val="none" w:sz="0" w:space="0" w:color="auto"/>
        <w:right w:val="none" w:sz="0" w:space="0" w:color="auto"/>
      </w:divBdr>
    </w:div>
    <w:div w:id="1317294247">
      <w:bodyDiv w:val="1"/>
      <w:marLeft w:val="0"/>
      <w:marRight w:val="0"/>
      <w:marTop w:val="0"/>
      <w:marBottom w:val="0"/>
      <w:divBdr>
        <w:top w:val="none" w:sz="0" w:space="0" w:color="auto"/>
        <w:left w:val="none" w:sz="0" w:space="0" w:color="auto"/>
        <w:bottom w:val="none" w:sz="0" w:space="0" w:color="auto"/>
        <w:right w:val="none" w:sz="0" w:space="0" w:color="auto"/>
      </w:divBdr>
    </w:div>
    <w:div w:id="1318798573">
      <w:bodyDiv w:val="1"/>
      <w:marLeft w:val="0"/>
      <w:marRight w:val="0"/>
      <w:marTop w:val="0"/>
      <w:marBottom w:val="0"/>
      <w:divBdr>
        <w:top w:val="none" w:sz="0" w:space="0" w:color="auto"/>
        <w:left w:val="none" w:sz="0" w:space="0" w:color="auto"/>
        <w:bottom w:val="none" w:sz="0" w:space="0" w:color="auto"/>
        <w:right w:val="none" w:sz="0" w:space="0" w:color="auto"/>
      </w:divBdr>
    </w:div>
    <w:div w:id="1318806882">
      <w:bodyDiv w:val="1"/>
      <w:marLeft w:val="0"/>
      <w:marRight w:val="0"/>
      <w:marTop w:val="0"/>
      <w:marBottom w:val="0"/>
      <w:divBdr>
        <w:top w:val="none" w:sz="0" w:space="0" w:color="auto"/>
        <w:left w:val="none" w:sz="0" w:space="0" w:color="auto"/>
        <w:bottom w:val="none" w:sz="0" w:space="0" w:color="auto"/>
        <w:right w:val="none" w:sz="0" w:space="0" w:color="auto"/>
      </w:divBdr>
    </w:div>
    <w:div w:id="1319112019">
      <w:bodyDiv w:val="1"/>
      <w:marLeft w:val="0"/>
      <w:marRight w:val="0"/>
      <w:marTop w:val="0"/>
      <w:marBottom w:val="0"/>
      <w:divBdr>
        <w:top w:val="none" w:sz="0" w:space="0" w:color="auto"/>
        <w:left w:val="none" w:sz="0" w:space="0" w:color="auto"/>
        <w:bottom w:val="none" w:sz="0" w:space="0" w:color="auto"/>
        <w:right w:val="none" w:sz="0" w:space="0" w:color="auto"/>
      </w:divBdr>
    </w:div>
    <w:div w:id="1319116148">
      <w:bodyDiv w:val="1"/>
      <w:marLeft w:val="0"/>
      <w:marRight w:val="0"/>
      <w:marTop w:val="0"/>
      <w:marBottom w:val="0"/>
      <w:divBdr>
        <w:top w:val="none" w:sz="0" w:space="0" w:color="auto"/>
        <w:left w:val="none" w:sz="0" w:space="0" w:color="auto"/>
        <w:bottom w:val="none" w:sz="0" w:space="0" w:color="auto"/>
        <w:right w:val="none" w:sz="0" w:space="0" w:color="auto"/>
      </w:divBdr>
    </w:div>
    <w:div w:id="1319844972">
      <w:bodyDiv w:val="1"/>
      <w:marLeft w:val="0"/>
      <w:marRight w:val="0"/>
      <w:marTop w:val="0"/>
      <w:marBottom w:val="0"/>
      <w:divBdr>
        <w:top w:val="none" w:sz="0" w:space="0" w:color="auto"/>
        <w:left w:val="none" w:sz="0" w:space="0" w:color="auto"/>
        <w:bottom w:val="none" w:sz="0" w:space="0" w:color="auto"/>
        <w:right w:val="none" w:sz="0" w:space="0" w:color="auto"/>
      </w:divBdr>
    </w:div>
    <w:div w:id="1320621707">
      <w:bodyDiv w:val="1"/>
      <w:marLeft w:val="0"/>
      <w:marRight w:val="0"/>
      <w:marTop w:val="0"/>
      <w:marBottom w:val="0"/>
      <w:divBdr>
        <w:top w:val="none" w:sz="0" w:space="0" w:color="auto"/>
        <w:left w:val="none" w:sz="0" w:space="0" w:color="auto"/>
        <w:bottom w:val="none" w:sz="0" w:space="0" w:color="auto"/>
        <w:right w:val="none" w:sz="0" w:space="0" w:color="auto"/>
      </w:divBdr>
    </w:div>
    <w:div w:id="1321274874">
      <w:bodyDiv w:val="1"/>
      <w:marLeft w:val="0"/>
      <w:marRight w:val="0"/>
      <w:marTop w:val="0"/>
      <w:marBottom w:val="0"/>
      <w:divBdr>
        <w:top w:val="none" w:sz="0" w:space="0" w:color="auto"/>
        <w:left w:val="none" w:sz="0" w:space="0" w:color="auto"/>
        <w:bottom w:val="none" w:sz="0" w:space="0" w:color="auto"/>
        <w:right w:val="none" w:sz="0" w:space="0" w:color="auto"/>
      </w:divBdr>
    </w:div>
    <w:div w:id="1321275566">
      <w:bodyDiv w:val="1"/>
      <w:marLeft w:val="0"/>
      <w:marRight w:val="0"/>
      <w:marTop w:val="0"/>
      <w:marBottom w:val="0"/>
      <w:divBdr>
        <w:top w:val="none" w:sz="0" w:space="0" w:color="auto"/>
        <w:left w:val="none" w:sz="0" w:space="0" w:color="auto"/>
        <w:bottom w:val="none" w:sz="0" w:space="0" w:color="auto"/>
        <w:right w:val="none" w:sz="0" w:space="0" w:color="auto"/>
      </w:divBdr>
    </w:div>
    <w:div w:id="1321537893">
      <w:bodyDiv w:val="1"/>
      <w:marLeft w:val="0"/>
      <w:marRight w:val="0"/>
      <w:marTop w:val="0"/>
      <w:marBottom w:val="0"/>
      <w:divBdr>
        <w:top w:val="none" w:sz="0" w:space="0" w:color="auto"/>
        <w:left w:val="none" w:sz="0" w:space="0" w:color="auto"/>
        <w:bottom w:val="none" w:sz="0" w:space="0" w:color="auto"/>
        <w:right w:val="none" w:sz="0" w:space="0" w:color="auto"/>
      </w:divBdr>
    </w:div>
    <w:div w:id="1322276436">
      <w:bodyDiv w:val="1"/>
      <w:marLeft w:val="0"/>
      <w:marRight w:val="0"/>
      <w:marTop w:val="0"/>
      <w:marBottom w:val="0"/>
      <w:divBdr>
        <w:top w:val="none" w:sz="0" w:space="0" w:color="auto"/>
        <w:left w:val="none" w:sz="0" w:space="0" w:color="auto"/>
        <w:bottom w:val="none" w:sz="0" w:space="0" w:color="auto"/>
        <w:right w:val="none" w:sz="0" w:space="0" w:color="auto"/>
      </w:divBdr>
    </w:div>
    <w:div w:id="1322347329">
      <w:bodyDiv w:val="1"/>
      <w:marLeft w:val="0"/>
      <w:marRight w:val="0"/>
      <w:marTop w:val="0"/>
      <w:marBottom w:val="0"/>
      <w:divBdr>
        <w:top w:val="none" w:sz="0" w:space="0" w:color="auto"/>
        <w:left w:val="none" w:sz="0" w:space="0" w:color="auto"/>
        <w:bottom w:val="none" w:sz="0" w:space="0" w:color="auto"/>
        <w:right w:val="none" w:sz="0" w:space="0" w:color="auto"/>
      </w:divBdr>
    </w:div>
    <w:div w:id="1322661031">
      <w:bodyDiv w:val="1"/>
      <w:marLeft w:val="0"/>
      <w:marRight w:val="0"/>
      <w:marTop w:val="0"/>
      <w:marBottom w:val="0"/>
      <w:divBdr>
        <w:top w:val="none" w:sz="0" w:space="0" w:color="auto"/>
        <w:left w:val="none" w:sz="0" w:space="0" w:color="auto"/>
        <w:bottom w:val="none" w:sz="0" w:space="0" w:color="auto"/>
        <w:right w:val="none" w:sz="0" w:space="0" w:color="auto"/>
      </w:divBdr>
    </w:div>
    <w:div w:id="1323116493">
      <w:bodyDiv w:val="1"/>
      <w:marLeft w:val="0"/>
      <w:marRight w:val="0"/>
      <w:marTop w:val="0"/>
      <w:marBottom w:val="0"/>
      <w:divBdr>
        <w:top w:val="none" w:sz="0" w:space="0" w:color="auto"/>
        <w:left w:val="none" w:sz="0" w:space="0" w:color="auto"/>
        <w:bottom w:val="none" w:sz="0" w:space="0" w:color="auto"/>
        <w:right w:val="none" w:sz="0" w:space="0" w:color="auto"/>
      </w:divBdr>
    </w:div>
    <w:div w:id="1323394407">
      <w:bodyDiv w:val="1"/>
      <w:marLeft w:val="0"/>
      <w:marRight w:val="0"/>
      <w:marTop w:val="0"/>
      <w:marBottom w:val="0"/>
      <w:divBdr>
        <w:top w:val="none" w:sz="0" w:space="0" w:color="auto"/>
        <w:left w:val="none" w:sz="0" w:space="0" w:color="auto"/>
        <w:bottom w:val="none" w:sz="0" w:space="0" w:color="auto"/>
        <w:right w:val="none" w:sz="0" w:space="0" w:color="auto"/>
      </w:divBdr>
    </w:div>
    <w:div w:id="1324241571">
      <w:bodyDiv w:val="1"/>
      <w:marLeft w:val="0"/>
      <w:marRight w:val="0"/>
      <w:marTop w:val="0"/>
      <w:marBottom w:val="0"/>
      <w:divBdr>
        <w:top w:val="none" w:sz="0" w:space="0" w:color="auto"/>
        <w:left w:val="none" w:sz="0" w:space="0" w:color="auto"/>
        <w:bottom w:val="none" w:sz="0" w:space="0" w:color="auto"/>
        <w:right w:val="none" w:sz="0" w:space="0" w:color="auto"/>
      </w:divBdr>
    </w:div>
    <w:div w:id="1324318676">
      <w:bodyDiv w:val="1"/>
      <w:marLeft w:val="0"/>
      <w:marRight w:val="0"/>
      <w:marTop w:val="0"/>
      <w:marBottom w:val="0"/>
      <w:divBdr>
        <w:top w:val="none" w:sz="0" w:space="0" w:color="auto"/>
        <w:left w:val="none" w:sz="0" w:space="0" w:color="auto"/>
        <w:bottom w:val="none" w:sz="0" w:space="0" w:color="auto"/>
        <w:right w:val="none" w:sz="0" w:space="0" w:color="auto"/>
      </w:divBdr>
    </w:div>
    <w:div w:id="1324360790">
      <w:bodyDiv w:val="1"/>
      <w:marLeft w:val="0"/>
      <w:marRight w:val="0"/>
      <w:marTop w:val="0"/>
      <w:marBottom w:val="0"/>
      <w:divBdr>
        <w:top w:val="none" w:sz="0" w:space="0" w:color="auto"/>
        <w:left w:val="none" w:sz="0" w:space="0" w:color="auto"/>
        <w:bottom w:val="none" w:sz="0" w:space="0" w:color="auto"/>
        <w:right w:val="none" w:sz="0" w:space="0" w:color="auto"/>
      </w:divBdr>
    </w:div>
    <w:div w:id="1324744864">
      <w:bodyDiv w:val="1"/>
      <w:marLeft w:val="0"/>
      <w:marRight w:val="0"/>
      <w:marTop w:val="0"/>
      <w:marBottom w:val="0"/>
      <w:divBdr>
        <w:top w:val="none" w:sz="0" w:space="0" w:color="auto"/>
        <w:left w:val="none" w:sz="0" w:space="0" w:color="auto"/>
        <w:bottom w:val="none" w:sz="0" w:space="0" w:color="auto"/>
        <w:right w:val="none" w:sz="0" w:space="0" w:color="auto"/>
      </w:divBdr>
    </w:div>
    <w:div w:id="1324897206">
      <w:bodyDiv w:val="1"/>
      <w:marLeft w:val="0"/>
      <w:marRight w:val="0"/>
      <w:marTop w:val="0"/>
      <w:marBottom w:val="0"/>
      <w:divBdr>
        <w:top w:val="none" w:sz="0" w:space="0" w:color="auto"/>
        <w:left w:val="none" w:sz="0" w:space="0" w:color="auto"/>
        <w:bottom w:val="none" w:sz="0" w:space="0" w:color="auto"/>
        <w:right w:val="none" w:sz="0" w:space="0" w:color="auto"/>
      </w:divBdr>
    </w:div>
    <w:div w:id="1325276430">
      <w:bodyDiv w:val="1"/>
      <w:marLeft w:val="0"/>
      <w:marRight w:val="0"/>
      <w:marTop w:val="0"/>
      <w:marBottom w:val="0"/>
      <w:divBdr>
        <w:top w:val="none" w:sz="0" w:space="0" w:color="auto"/>
        <w:left w:val="none" w:sz="0" w:space="0" w:color="auto"/>
        <w:bottom w:val="none" w:sz="0" w:space="0" w:color="auto"/>
        <w:right w:val="none" w:sz="0" w:space="0" w:color="auto"/>
      </w:divBdr>
    </w:div>
    <w:div w:id="1325471204">
      <w:bodyDiv w:val="1"/>
      <w:marLeft w:val="0"/>
      <w:marRight w:val="0"/>
      <w:marTop w:val="0"/>
      <w:marBottom w:val="0"/>
      <w:divBdr>
        <w:top w:val="none" w:sz="0" w:space="0" w:color="auto"/>
        <w:left w:val="none" w:sz="0" w:space="0" w:color="auto"/>
        <w:bottom w:val="none" w:sz="0" w:space="0" w:color="auto"/>
        <w:right w:val="none" w:sz="0" w:space="0" w:color="auto"/>
      </w:divBdr>
    </w:div>
    <w:div w:id="1326322205">
      <w:bodyDiv w:val="1"/>
      <w:marLeft w:val="0"/>
      <w:marRight w:val="0"/>
      <w:marTop w:val="0"/>
      <w:marBottom w:val="0"/>
      <w:divBdr>
        <w:top w:val="none" w:sz="0" w:space="0" w:color="auto"/>
        <w:left w:val="none" w:sz="0" w:space="0" w:color="auto"/>
        <w:bottom w:val="none" w:sz="0" w:space="0" w:color="auto"/>
        <w:right w:val="none" w:sz="0" w:space="0" w:color="auto"/>
      </w:divBdr>
    </w:div>
    <w:div w:id="1326395676">
      <w:bodyDiv w:val="1"/>
      <w:marLeft w:val="0"/>
      <w:marRight w:val="0"/>
      <w:marTop w:val="0"/>
      <w:marBottom w:val="0"/>
      <w:divBdr>
        <w:top w:val="none" w:sz="0" w:space="0" w:color="auto"/>
        <w:left w:val="none" w:sz="0" w:space="0" w:color="auto"/>
        <w:bottom w:val="none" w:sz="0" w:space="0" w:color="auto"/>
        <w:right w:val="none" w:sz="0" w:space="0" w:color="auto"/>
      </w:divBdr>
    </w:div>
    <w:div w:id="1326397596">
      <w:bodyDiv w:val="1"/>
      <w:marLeft w:val="0"/>
      <w:marRight w:val="0"/>
      <w:marTop w:val="0"/>
      <w:marBottom w:val="0"/>
      <w:divBdr>
        <w:top w:val="none" w:sz="0" w:space="0" w:color="auto"/>
        <w:left w:val="none" w:sz="0" w:space="0" w:color="auto"/>
        <w:bottom w:val="none" w:sz="0" w:space="0" w:color="auto"/>
        <w:right w:val="none" w:sz="0" w:space="0" w:color="auto"/>
      </w:divBdr>
    </w:div>
    <w:div w:id="1326592006">
      <w:bodyDiv w:val="1"/>
      <w:marLeft w:val="0"/>
      <w:marRight w:val="0"/>
      <w:marTop w:val="0"/>
      <w:marBottom w:val="0"/>
      <w:divBdr>
        <w:top w:val="none" w:sz="0" w:space="0" w:color="auto"/>
        <w:left w:val="none" w:sz="0" w:space="0" w:color="auto"/>
        <w:bottom w:val="none" w:sz="0" w:space="0" w:color="auto"/>
        <w:right w:val="none" w:sz="0" w:space="0" w:color="auto"/>
      </w:divBdr>
    </w:div>
    <w:div w:id="1326741127">
      <w:bodyDiv w:val="1"/>
      <w:marLeft w:val="0"/>
      <w:marRight w:val="0"/>
      <w:marTop w:val="0"/>
      <w:marBottom w:val="0"/>
      <w:divBdr>
        <w:top w:val="none" w:sz="0" w:space="0" w:color="auto"/>
        <w:left w:val="none" w:sz="0" w:space="0" w:color="auto"/>
        <w:bottom w:val="none" w:sz="0" w:space="0" w:color="auto"/>
        <w:right w:val="none" w:sz="0" w:space="0" w:color="auto"/>
      </w:divBdr>
    </w:div>
    <w:div w:id="1327129780">
      <w:bodyDiv w:val="1"/>
      <w:marLeft w:val="0"/>
      <w:marRight w:val="0"/>
      <w:marTop w:val="0"/>
      <w:marBottom w:val="0"/>
      <w:divBdr>
        <w:top w:val="none" w:sz="0" w:space="0" w:color="auto"/>
        <w:left w:val="none" w:sz="0" w:space="0" w:color="auto"/>
        <w:bottom w:val="none" w:sz="0" w:space="0" w:color="auto"/>
        <w:right w:val="none" w:sz="0" w:space="0" w:color="auto"/>
      </w:divBdr>
    </w:div>
    <w:div w:id="1327326194">
      <w:bodyDiv w:val="1"/>
      <w:marLeft w:val="0"/>
      <w:marRight w:val="0"/>
      <w:marTop w:val="0"/>
      <w:marBottom w:val="0"/>
      <w:divBdr>
        <w:top w:val="none" w:sz="0" w:space="0" w:color="auto"/>
        <w:left w:val="none" w:sz="0" w:space="0" w:color="auto"/>
        <w:bottom w:val="none" w:sz="0" w:space="0" w:color="auto"/>
        <w:right w:val="none" w:sz="0" w:space="0" w:color="auto"/>
      </w:divBdr>
    </w:div>
    <w:div w:id="1327442912">
      <w:bodyDiv w:val="1"/>
      <w:marLeft w:val="0"/>
      <w:marRight w:val="0"/>
      <w:marTop w:val="0"/>
      <w:marBottom w:val="0"/>
      <w:divBdr>
        <w:top w:val="none" w:sz="0" w:space="0" w:color="auto"/>
        <w:left w:val="none" w:sz="0" w:space="0" w:color="auto"/>
        <w:bottom w:val="none" w:sz="0" w:space="0" w:color="auto"/>
        <w:right w:val="none" w:sz="0" w:space="0" w:color="auto"/>
      </w:divBdr>
    </w:div>
    <w:div w:id="1327633454">
      <w:bodyDiv w:val="1"/>
      <w:marLeft w:val="0"/>
      <w:marRight w:val="0"/>
      <w:marTop w:val="0"/>
      <w:marBottom w:val="0"/>
      <w:divBdr>
        <w:top w:val="none" w:sz="0" w:space="0" w:color="auto"/>
        <w:left w:val="none" w:sz="0" w:space="0" w:color="auto"/>
        <w:bottom w:val="none" w:sz="0" w:space="0" w:color="auto"/>
        <w:right w:val="none" w:sz="0" w:space="0" w:color="auto"/>
      </w:divBdr>
    </w:div>
    <w:div w:id="1327981049">
      <w:bodyDiv w:val="1"/>
      <w:marLeft w:val="0"/>
      <w:marRight w:val="0"/>
      <w:marTop w:val="0"/>
      <w:marBottom w:val="0"/>
      <w:divBdr>
        <w:top w:val="none" w:sz="0" w:space="0" w:color="auto"/>
        <w:left w:val="none" w:sz="0" w:space="0" w:color="auto"/>
        <w:bottom w:val="none" w:sz="0" w:space="0" w:color="auto"/>
        <w:right w:val="none" w:sz="0" w:space="0" w:color="auto"/>
      </w:divBdr>
    </w:div>
    <w:div w:id="1329164421">
      <w:bodyDiv w:val="1"/>
      <w:marLeft w:val="0"/>
      <w:marRight w:val="0"/>
      <w:marTop w:val="0"/>
      <w:marBottom w:val="0"/>
      <w:divBdr>
        <w:top w:val="none" w:sz="0" w:space="0" w:color="auto"/>
        <w:left w:val="none" w:sz="0" w:space="0" w:color="auto"/>
        <w:bottom w:val="none" w:sz="0" w:space="0" w:color="auto"/>
        <w:right w:val="none" w:sz="0" w:space="0" w:color="auto"/>
      </w:divBdr>
    </w:div>
    <w:div w:id="1329284907">
      <w:bodyDiv w:val="1"/>
      <w:marLeft w:val="0"/>
      <w:marRight w:val="0"/>
      <w:marTop w:val="0"/>
      <w:marBottom w:val="0"/>
      <w:divBdr>
        <w:top w:val="none" w:sz="0" w:space="0" w:color="auto"/>
        <w:left w:val="none" w:sz="0" w:space="0" w:color="auto"/>
        <w:bottom w:val="none" w:sz="0" w:space="0" w:color="auto"/>
        <w:right w:val="none" w:sz="0" w:space="0" w:color="auto"/>
      </w:divBdr>
    </w:div>
    <w:div w:id="1329409207">
      <w:bodyDiv w:val="1"/>
      <w:marLeft w:val="0"/>
      <w:marRight w:val="0"/>
      <w:marTop w:val="0"/>
      <w:marBottom w:val="0"/>
      <w:divBdr>
        <w:top w:val="none" w:sz="0" w:space="0" w:color="auto"/>
        <w:left w:val="none" w:sz="0" w:space="0" w:color="auto"/>
        <w:bottom w:val="none" w:sz="0" w:space="0" w:color="auto"/>
        <w:right w:val="none" w:sz="0" w:space="0" w:color="auto"/>
      </w:divBdr>
    </w:div>
    <w:div w:id="1329484948">
      <w:bodyDiv w:val="1"/>
      <w:marLeft w:val="0"/>
      <w:marRight w:val="0"/>
      <w:marTop w:val="0"/>
      <w:marBottom w:val="0"/>
      <w:divBdr>
        <w:top w:val="none" w:sz="0" w:space="0" w:color="auto"/>
        <w:left w:val="none" w:sz="0" w:space="0" w:color="auto"/>
        <w:bottom w:val="none" w:sz="0" w:space="0" w:color="auto"/>
        <w:right w:val="none" w:sz="0" w:space="0" w:color="auto"/>
      </w:divBdr>
    </w:div>
    <w:div w:id="1329942806">
      <w:bodyDiv w:val="1"/>
      <w:marLeft w:val="0"/>
      <w:marRight w:val="0"/>
      <w:marTop w:val="0"/>
      <w:marBottom w:val="0"/>
      <w:divBdr>
        <w:top w:val="none" w:sz="0" w:space="0" w:color="auto"/>
        <w:left w:val="none" w:sz="0" w:space="0" w:color="auto"/>
        <w:bottom w:val="none" w:sz="0" w:space="0" w:color="auto"/>
        <w:right w:val="none" w:sz="0" w:space="0" w:color="auto"/>
      </w:divBdr>
    </w:div>
    <w:div w:id="1330215472">
      <w:bodyDiv w:val="1"/>
      <w:marLeft w:val="0"/>
      <w:marRight w:val="0"/>
      <w:marTop w:val="0"/>
      <w:marBottom w:val="0"/>
      <w:divBdr>
        <w:top w:val="none" w:sz="0" w:space="0" w:color="auto"/>
        <w:left w:val="none" w:sz="0" w:space="0" w:color="auto"/>
        <w:bottom w:val="none" w:sz="0" w:space="0" w:color="auto"/>
        <w:right w:val="none" w:sz="0" w:space="0" w:color="auto"/>
      </w:divBdr>
    </w:div>
    <w:div w:id="1330906664">
      <w:bodyDiv w:val="1"/>
      <w:marLeft w:val="0"/>
      <w:marRight w:val="0"/>
      <w:marTop w:val="0"/>
      <w:marBottom w:val="0"/>
      <w:divBdr>
        <w:top w:val="none" w:sz="0" w:space="0" w:color="auto"/>
        <w:left w:val="none" w:sz="0" w:space="0" w:color="auto"/>
        <w:bottom w:val="none" w:sz="0" w:space="0" w:color="auto"/>
        <w:right w:val="none" w:sz="0" w:space="0" w:color="auto"/>
      </w:divBdr>
    </w:div>
    <w:div w:id="1331106259">
      <w:bodyDiv w:val="1"/>
      <w:marLeft w:val="0"/>
      <w:marRight w:val="0"/>
      <w:marTop w:val="0"/>
      <w:marBottom w:val="0"/>
      <w:divBdr>
        <w:top w:val="none" w:sz="0" w:space="0" w:color="auto"/>
        <w:left w:val="none" w:sz="0" w:space="0" w:color="auto"/>
        <w:bottom w:val="none" w:sz="0" w:space="0" w:color="auto"/>
        <w:right w:val="none" w:sz="0" w:space="0" w:color="auto"/>
      </w:divBdr>
    </w:div>
    <w:div w:id="1331644082">
      <w:bodyDiv w:val="1"/>
      <w:marLeft w:val="0"/>
      <w:marRight w:val="0"/>
      <w:marTop w:val="0"/>
      <w:marBottom w:val="0"/>
      <w:divBdr>
        <w:top w:val="none" w:sz="0" w:space="0" w:color="auto"/>
        <w:left w:val="none" w:sz="0" w:space="0" w:color="auto"/>
        <w:bottom w:val="none" w:sz="0" w:space="0" w:color="auto"/>
        <w:right w:val="none" w:sz="0" w:space="0" w:color="auto"/>
      </w:divBdr>
    </w:div>
    <w:div w:id="1331955138">
      <w:bodyDiv w:val="1"/>
      <w:marLeft w:val="0"/>
      <w:marRight w:val="0"/>
      <w:marTop w:val="0"/>
      <w:marBottom w:val="0"/>
      <w:divBdr>
        <w:top w:val="none" w:sz="0" w:space="0" w:color="auto"/>
        <w:left w:val="none" w:sz="0" w:space="0" w:color="auto"/>
        <w:bottom w:val="none" w:sz="0" w:space="0" w:color="auto"/>
        <w:right w:val="none" w:sz="0" w:space="0" w:color="auto"/>
      </w:divBdr>
    </w:div>
    <w:div w:id="1331980626">
      <w:bodyDiv w:val="1"/>
      <w:marLeft w:val="0"/>
      <w:marRight w:val="0"/>
      <w:marTop w:val="0"/>
      <w:marBottom w:val="0"/>
      <w:divBdr>
        <w:top w:val="none" w:sz="0" w:space="0" w:color="auto"/>
        <w:left w:val="none" w:sz="0" w:space="0" w:color="auto"/>
        <w:bottom w:val="none" w:sz="0" w:space="0" w:color="auto"/>
        <w:right w:val="none" w:sz="0" w:space="0" w:color="auto"/>
      </w:divBdr>
    </w:div>
    <w:div w:id="1332180927">
      <w:bodyDiv w:val="1"/>
      <w:marLeft w:val="0"/>
      <w:marRight w:val="0"/>
      <w:marTop w:val="0"/>
      <w:marBottom w:val="0"/>
      <w:divBdr>
        <w:top w:val="none" w:sz="0" w:space="0" w:color="auto"/>
        <w:left w:val="none" w:sz="0" w:space="0" w:color="auto"/>
        <w:bottom w:val="none" w:sz="0" w:space="0" w:color="auto"/>
        <w:right w:val="none" w:sz="0" w:space="0" w:color="auto"/>
      </w:divBdr>
    </w:div>
    <w:div w:id="1332219052">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832200">
      <w:bodyDiv w:val="1"/>
      <w:marLeft w:val="0"/>
      <w:marRight w:val="0"/>
      <w:marTop w:val="0"/>
      <w:marBottom w:val="0"/>
      <w:divBdr>
        <w:top w:val="none" w:sz="0" w:space="0" w:color="auto"/>
        <w:left w:val="none" w:sz="0" w:space="0" w:color="auto"/>
        <w:bottom w:val="none" w:sz="0" w:space="0" w:color="auto"/>
        <w:right w:val="none" w:sz="0" w:space="0" w:color="auto"/>
      </w:divBdr>
    </w:div>
    <w:div w:id="1332875307">
      <w:bodyDiv w:val="1"/>
      <w:marLeft w:val="0"/>
      <w:marRight w:val="0"/>
      <w:marTop w:val="0"/>
      <w:marBottom w:val="0"/>
      <w:divBdr>
        <w:top w:val="none" w:sz="0" w:space="0" w:color="auto"/>
        <w:left w:val="none" w:sz="0" w:space="0" w:color="auto"/>
        <w:bottom w:val="none" w:sz="0" w:space="0" w:color="auto"/>
        <w:right w:val="none" w:sz="0" w:space="0" w:color="auto"/>
      </w:divBdr>
    </w:div>
    <w:div w:id="1333216647">
      <w:bodyDiv w:val="1"/>
      <w:marLeft w:val="0"/>
      <w:marRight w:val="0"/>
      <w:marTop w:val="0"/>
      <w:marBottom w:val="0"/>
      <w:divBdr>
        <w:top w:val="none" w:sz="0" w:space="0" w:color="auto"/>
        <w:left w:val="none" w:sz="0" w:space="0" w:color="auto"/>
        <w:bottom w:val="none" w:sz="0" w:space="0" w:color="auto"/>
        <w:right w:val="none" w:sz="0" w:space="0" w:color="auto"/>
      </w:divBdr>
    </w:div>
    <w:div w:id="1333873905">
      <w:bodyDiv w:val="1"/>
      <w:marLeft w:val="0"/>
      <w:marRight w:val="0"/>
      <w:marTop w:val="0"/>
      <w:marBottom w:val="0"/>
      <w:divBdr>
        <w:top w:val="none" w:sz="0" w:space="0" w:color="auto"/>
        <w:left w:val="none" w:sz="0" w:space="0" w:color="auto"/>
        <w:bottom w:val="none" w:sz="0" w:space="0" w:color="auto"/>
        <w:right w:val="none" w:sz="0" w:space="0" w:color="auto"/>
      </w:divBdr>
    </w:div>
    <w:div w:id="1334335094">
      <w:bodyDiv w:val="1"/>
      <w:marLeft w:val="0"/>
      <w:marRight w:val="0"/>
      <w:marTop w:val="0"/>
      <w:marBottom w:val="0"/>
      <w:divBdr>
        <w:top w:val="none" w:sz="0" w:space="0" w:color="auto"/>
        <w:left w:val="none" w:sz="0" w:space="0" w:color="auto"/>
        <w:bottom w:val="none" w:sz="0" w:space="0" w:color="auto"/>
        <w:right w:val="none" w:sz="0" w:space="0" w:color="auto"/>
      </w:divBdr>
    </w:div>
    <w:div w:id="1334380138">
      <w:bodyDiv w:val="1"/>
      <w:marLeft w:val="0"/>
      <w:marRight w:val="0"/>
      <w:marTop w:val="0"/>
      <w:marBottom w:val="0"/>
      <w:divBdr>
        <w:top w:val="none" w:sz="0" w:space="0" w:color="auto"/>
        <w:left w:val="none" w:sz="0" w:space="0" w:color="auto"/>
        <w:bottom w:val="none" w:sz="0" w:space="0" w:color="auto"/>
        <w:right w:val="none" w:sz="0" w:space="0" w:color="auto"/>
      </w:divBdr>
    </w:div>
    <w:div w:id="1334407128">
      <w:bodyDiv w:val="1"/>
      <w:marLeft w:val="0"/>
      <w:marRight w:val="0"/>
      <w:marTop w:val="0"/>
      <w:marBottom w:val="0"/>
      <w:divBdr>
        <w:top w:val="none" w:sz="0" w:space="0" w:color="auto"/>
        <w:left w:val="none" w:sz="0" w:space="0" w:color="auto"/>
        <w:bottom w:val="none" w:sz="0" w:space="0" w:color="auto"/>
        <w:right w:val="none" w:sz="0" w:space="0" w:color="auto"/>
      </w:divBdr>
    </w:div>
    <w:div w:id="1334458416">
      <w:bodyDiv w:val="1"/>
      <w:marLeft w:val="0"/>
      <w:marRight w:val="0"/>
      <w:marTop w:val="0"/>
      <w:marBottom w:val="0"/>
      <w:divBdr>
        <w:top w:val="none" w:sz="0" w:space="0" w:color="auto"/>
        <w:left w:val="none" w:sz="0" w:space="0" w:color="auto"/>
        <w:bottom w:val="none" w:sz="0" w:space="0" w:color="auto"/>
        <w:right w:val="none" w:sz="0" w:space="0" w:color="auto"/>
      </w:divBdr>
    </w:div>
    <w:div w:id="1334794229">
      <w:bodyDiv w:val="1"/>
      <w:marLeft w:val="0"/>
      <w:marRight w:val="0"/>
      <w:marTop w:val="0"/>
      <w:marBottom w:val="0"/>
      <w:divBdr>
        <w:top w:val="none" w:sz="0" w:space="0" w:color="auto"/>
        <w:left w:val="none" w:sz="0" w:space="0" w:color="auto"/>
        <w:bottom w:val="none" w:sz="0" w:space="0" w:color="auto"/>
        <w:right w:val="none" w:sz="0" w:space="0" w:color="auto"/>
      </w:divBdr>
    </w:div>
    <w:div w:id="1334843322">
      <w:bodyDiv w:val="1"/>
      <w:marLeft w:val="0"/>
      <w:marRight w:val="0"/>
      <w:marTop w:val="0"/>
      <w:marBottom w:val="0"/>
      <w:divBdr>
        <w:top w:val="none" w:sz="0" w:space="0" w:color="auto"/>
        <w:left w:val="none" w:sz="0" w:space="0" w:color="auto"/>
        <w:bottom w:val="none" w:sz="0" w:space="0" w:color="auto"/>
        <w:right w:val="none" w:sz="0" w:space="0" w:color="auto"/>
      </w:divBdr>
    </w:div>
    <w:div w:id="1335258917">
      <w:bodyDiv w:val="1"/>
      <w:marLeft w:val="0"/>
      <w:marRight w:val="0"/>
      <w:marTop w:val="0"/>
      <w:marBottom w:val="0"/>
      <w:divBdr>
        <w:top w:val="none" w:sz="0" w:space="0" w:color="auto"/>
        <w:left w:val="none" w:sz="0" w:space="0" w:color="auto"/>
        <w:bottom w:val="none" w:sz="0" w:space="0" w:color="auto"/>
        <w:right w:val="none" w:sz="0" w:space="0" w:color="auto"/>
      </w:divBdr>
    </w:div>
    <w:div w:id="1336148387">
      <w:bodyDiv w:val="1"/>
      <w:marLeft w:val="0"/>
      <w:marRight w:val="0"/>
      <w:marTop w:val="0"/>
      <w:marBottom w:val="0"/>
      <w:divBdr>
        <w:top w:val="none" w:sz="0" w:space="0" w:color="auto"/>
        <w:left w:val="none" w:sz="0" w:space="0" w:color="auto"/>
        <w:bottom w:val="none" w:sz="0" w:space="0" w:color="auto"/>
        <w:right w:val="none" w:sz="0" w:space="0" w:color="auto"/>
      </w:divBdr>
    </w:div>
    <w:div w:id="1336571983">
      <w:bodyDiv w:val="1"/>
      <w:marLeft w:val="0"/>
      <w:marRight w:val="0"/>
      <w:marTop w:val="0"/>
      <w:marBottom w:val="0"/>
      <w:divBdr>
        <w:top w:val="none" w:sz="0" w:space="0" w:color="auto"/>
        <w:left w:val="none" w:sz="0" w:space="0" w:color="auto"/>
        <w:bottom w:val="none" w:sz="0" w:space="0" w:color="auto"/>
        <w:right w:val="none" w:sz="0" w:space="0" w:color="auto"/>
      </w:divBdr>
    </w:div>
    <w:div w:id="1336689460">
      <w:bodyDiv w:val="1"/>
      <w:marLeft w:val="0"/>
      <w:marRight w:val="0"/>
      <w:marTop w:val="0"/>
      <w:marBottom w:val="0"/>
      <w:divBdr>
        <w:top w:val="none" w:sz="0" w:space="0" w:color="auto"/>
        <w:left w:val="none" w:sz="0" w:space="0" w:color="auto"/>
        <w:bottom w:val="none" w:sz="0" w:space="0" w:color="auto"/>
        <w:right w:val="none" w:sz="0" w:space="0" w:color="auto"/>
      </w:divBdr>
    </w:div>
    <w:div w:id="1336690398">
      <w:bodyDiv w:val="1"/>
      <w:marLeft w:val="0"/>
      <w:marRight w:val="0"/>
      <w:marTop w:val="0"/>
      <w:marBottom w:val="0"/>
      <w:divBdr>
        <w:top w:val="none" w:sz="0" w:space="0" w:color="auto"/>
        <w:left w:val="none" w:sz="0" w:space="0" w:color="auto"/>
        <w:bottom w:val="none" w:sz="0" w:space="0" w:color="auto"/>
        <w:right w:val="none" w:sz="0" w:space="0" w:color="auto"/>
      </w:divBdr>
    </w:div>
    <w:div w:id="1337029438">
      <w:bodyDiv w:val="1"/>
      <w:marLeft w:val="0"/>
      <w:marRight w:val="0"/>
      <w:marTop w:val="0"/>
      <w:marBottom w:val="0"/>
      <w:divBdr>
        <w:top w:val="none" w:sz="0" w:space="0" w:color="auto"/>
        <w:left w:val="none" w:sz="0" w:space="0" w:color="auto"/>
        <w:bottom w:val="none" w:sz="0" w:space="0" w:color="auto"/>
        <w:right w:val="none" w:sz="0" w:space="0" w:color="auto"/>
      </w:divBdr>
    </w:div>
    <w:div w:id="1337462928">
      <w:bodyDiv w:val="1"/>
      <w:marLeft w:val="0"/>
      <w:marRight w:val="0"/>
      <w:marTop w:val="0"/>
      <w:marBottom w:val="0"/>
      <w:divBdr>
        <w:top w:val="none" w:sz="0" w:space="0" w:color="auto"/>
        <w:left w:val="none" w:sz="0" w:space="0" w:color="auto"/>
        <w:bottom w:val="none" w:sz="0" w:space="0" w:color="auto"/>
        <w:right w:val="none" w:sz="0" w:space="0" w:color="auto"/>
      </w:divBdr>
    </w:div>
    <w:div w:id="1337659046">
      <w:bodyDiv w:val="1"/>
      <w:marLeft w:val="0"/>
      <w:marRight w:val="0"/>
      <w:marTop w:val="0"/>
      <w:marBottom w:val="0"/>
      <w:divBdr>
        <w:top w:val="none" w:sz="0" w:space="0" w:color="auto"/>
        <w:left w:val="none" w:sz="0" w:space="0" w:color="auto"/>
        <w:bottom w:val="none" w:sz="0" w:space="0" w:color="auto"/>
        <w:right w:val="none" w:sz="0" w:space="0" w:color="auto"/>
      </w:divBdr>
    </w:div>
    <w:div w:id="1339045475">
      <w:bodyDiv w:val="1"/>
      <w:marLeft w:val="0"/>
      <w:marRight w:val="0"/>
      <w:marTop w:val="0"/>
      <w:marBottom w:val="0"/>
      <w:divBdr>
        <w:top w:val="none" w:sz="0" w:space="0" w:color="auto"/>
        <w:left w:val="none" w:sz="0" w:space="0" w:color="auto"/>
        <w:bottom w:val="none" w:sz="0" w:space="0" w:color="auto"/>
        <w:right w:val="none" w:sz="0" w:space="0" w:color="auto"/>
      </w:divBdr>
    </w:div>
    <w:div w:id="1339457238">
      <w:bodyDiv w:val="1"/>
      <w:marLeft w:val="0"/>
      <w:marRight w:val="0"/>
      <w:marTop w:val="0"/>
      <w:marBottom w:val="0"/>
      <w:divBdr>
        <w:top w:val="none" w:sz="0" w:space="0" w:color="auto"/>
        <w:left w:val="none" w:sz="0" w:space="0" w:color="auto"/>
        <w:bottom w:val="none" w:sz="0" w:space="0" w:color="auto"/>
        <w:right w:val="none" w:sz="0" w:space="0" w:color="auto"/>
      </w:divBdr>
    </w:div>
    <w:div w:id="1339774590">
      <w:bodyDiv w:val="1"/>
      <w:marLeft w:val="0"/>
      <w:marRight w:val="0"/>
      <w:marTop w:val="0"/>
      <w:marBottom w:val="0"/>
      <w:divBdr>
        <w:top w:val="none" w:sz="0" w:space="0" w:color="auto"/>
        <w:left w:val="none" w:sz="0" w:space="0" w:color="auto"/>
        <w:bottom w:val="none" w:sz="0" w:space="0" w:color="auto"/>
        <w:right w:val="none" w:sz="0" w:space="0" w:color="auto"/>
      </w:divBdr>
    </w:div>
    <w:div w:id="1340307791">
      <w:bodyDiv w:val="1"/>
      <w:marLeft w:val="0"/>
      <w:marRight w:val="0"/>
      <w:marTop w:val="0"/>
      <w:marBottom w:val="0"/>
      <w:divBdr>
        <w:top w:val="none" w:sz="0" w:space="0" w:color="auto"/>
        <w:left w:val="none" w:sz="0" w:space="0" w:color="auto"/>
        <w:bottom w:val="none" w:sz="0" w:space="0" w:color="auto"/>
        <w:right w:val="none" w:sz="0" w:space="0" w:color="auto"/>
      </w:divBdr>
    </w:div>
    <w:div w:id="1340422088">
      <w:bodyDiv w:val="1"/>
      <w:marLeft w:val="0"/>
      <w:marRight w:val="0"/>
      <w:marTop w:val="0"/>
      <w:marBottom w:val="0"/>
      <w:divBdr>
        <w:top w:val="none" w:sz="0" w:space="0" w:color="auto"/>
        <w:left w:val="none" w:sz="0" w:space="0" w:color="auto"/>
        <w:bottom w:val="none" w:sz="0" w:space="0" w:color="auto"/>
        <w:right w:val="none" w:sz="0" w:space="0" w:color="auto"/>
      </w:divBdr>
    </w:div>
    <w:div w:id="1340498558">
      <w:bodyDiv w:val="1"/>
      <w:marLeft w:val="0"/>
      <w:marRight w:val="0"/>
      <w:marTop w:val="0"/>
      <w:marBottom w:val="0"/>
      <w:divBdr>
        <w:top w:val="none" w:sz="0" w:space="0" w:color="auto"/>
        <w:left w:val="none" w:sz="0" w:space="0" w:color="auto"/>
        <w:bottom w:val="none" w:sz="0" w:space="0" w:color="auto"/>
        <w:right w:val="none" w:sz="0" w:space="0" w:color="auto"/>
      </w:divBdr>
    </w:div>
    <w:div w:id="1340884611">
      <w:bodyDiv w:val="1"/>
      <w:marLeft w:val="0"/>
      <w:marRight w:val="0"/>
      <w:marTop w:val="0"/>
      <w:marBottom w:val="0"/>
      <w:divBdr>
        <w:top w:val="none" w:sz="0" w:space="0" w:color="auto"/>
        <w:left w:val="none" w:sz="0" w:space="0" w:color="auto"/>
        <w:bottom w:val="none" w:sz="0" w:space="0" w:color="auto"/>
        <w:right w:val="none" w:sz="0" w:space="0" w:color="auto"/>
      </w:divBdr>
    </w:div>
    <w:div w:id="1340892872">
      <w:bodyDiv w:val="1"/>
      <w:marLeft w:val="0"/>
      <w:marRight w:val="0"/>
      <w:marTop w:val="0"/>
      <w:marBottom w:val="0"/>
      <w:divBdr>
        <w:top w:val="none" w:sz="0" w:space="0" w:color="auto"/>
        <w:left w:val="none" w:sz="0" w:space="0" w:color="auto"/>
        <w:bottom w:val="none" w:sz="0" w:space="0" w:color="auto"/>
        <w:right w:val="none" w:sz="0" w:space="0" w:color="auto"/>
      </w:divBdr>
    </w:div>
    <w:div w:id="1341812178">
      <w:bodyDiv w:val="1"/>
      <w:marLeft w:val="0"/>
      <w:marRight w:val="0"/>
      <w:marTop w:val="0"/>
      <w:marBottom w:val="0"/>
      <w:divBdr>
        <w:top w:val="none" w:sz="0" w:space="0" w:color="auto"/>
        <w:left w:val="none" w:sz="0" w:space="0" w:color="auto"/>
        <w:bottom w:val="none" w:sz="0" w:space="0" w:color="auto"/>
        <w:right w:val="none" w:sz="0" w:space="0" w:color="auto"/>
      </w:divBdr>
    </w:div>
    <w:div w:id="1342003304">
      <w:bodyDiv w:val="1"/>
      <w:marLeft w:val="0"/>
      <w:marRight w:val="0"/>
      <w:marTop w:val="0"/>
      <w:marBottom w:val="0"/>
      <w:divBdr>
        <w:top w:val="none" w:sz="0" w:space="0" w:color="auto"/>
        <w:left w:val="none" w:sz="0" w:space="0" w:color="auto"/>
        <w:bottom w:val="none" w:sz="0" w:space="0" w:color="auto"/>
        <w:right w:val="none" w:sz="0" w:space="0" w:color="auto"/>
      </w:divBdr>
    </w:div>
    <w:div w:id="1342004119">
      <w:bodyDiv w:val="1"/>
      <w:marLeft w:val="0"/>
      <w:marRight w:val="0"/>
      <w:marTop w:val="0"/>
      <w:marBottom w:val="0"/>
      <w:divBdr>
        <w:top w:val="none" w:sz="0" w:space="0" w:color="auto"/>
        <w:left w:val="none" w:sz="0" w:space="0" w:color="auto"/>
        <w:bottom w:val="none" w:sz="0" w:space="0" w:color="auto"/>
        <w:right w:val="none" w:sz="0" w:space="0" w:color="auto"/>
      </w:divBdr>
    </w:div>
    <w:div w:id="1342121387">
      <w:bodyDiv w:val="1"/>
      <w:marLeft w:val="0"/>
      <w:marRight w:val="0"/>
      <w:marTop w:val="0"/>
      <w:marBottom w:val="0"/>
      <w:divBdr>
        <w:top w:val="none" w:sz="0" w:space="0" w:color="auto"/>
        <w:left w:val="none" w:sz="0" w:space="0" w:color="auto"/>
        <w:bottom w:val="none" w:sz="0" w:space="0" w:color="auto"/>
        <w:right w:val="none" w:sz="0" w:space="0" w:color="auto"/>
      </w:divBdr>
    </w:div>
    <w:div w:id="1342320503">
      <w:bodyDiv w:val="1"/>
      <w:marLeft w:val="0"/>
      <w:marRight w:val="0"/>
      <w:marTop w:val="0"/>
      <w:marBottom w:val="0"/>
      <w:divBdr>
        <w:top w:val="none" w:sz="0" w:space="0" w:color="auto"/>
        <w:left w:val="none" w:sz="0" w:space="0" w:color="auto"/>
        <w:bottom w:val="none" w:sz="0" w:space="0" w:color="auto"/>
        <w:right w:val="none" w:sz="0" w:space="0" w:color="auto"/>
      </w:divBdr>
    </w:div>
    <w:div w:id="1342468284">
      <w:bodyDiv w:val="1"/>
      <w:marLeft w:val="0"/>
      <w:marRight w:val="0"/>
      <w:marTop w:val="0"/>
      <w:marBottom w:val="0"/>
      <w:divBdr>
        <w:top w:val="none" w:sz="0" w:space="0" w:color="auto"/>
        <w:left w:val="none" w:sz="0" w:space="0" w:color="auto"/>
        <w:bottom w:val="none" w:sz="0" w:space="0" w:color="auto"/>
        <w:right w:val="none" w:sz="0" w:space="0" w:color="auto"/>
      </w:divBdr>
    </w:div>
    <w:div w:id="1342780830">
      <w:bodyDiv w:val="1"/>
      <w:marLeft w:val="0"/>
      <w:marRight w:val="0"/>
      <w:marTop w:val="0"/>
      <w:marBottom w:val="0"/>
      <w:divBdr>
        <w:top w:val="none" w:sz="0" w:space="0" w:color="auto"/>
        <w:left w:val="none" w:sz="0" w:space="0" w:color="auto"/>
        <w:bottom w:val="none" w:sz="0" w:space="0" w:color="auto"/>
        <w:right w:val="none" w:sz="0" w:space="0" w:color="auto"/>
      </w:divBdr>
    </w:div>
    <w:div w:id="1342853893">
      <w:bodyDiv w:val="1"/>
      <w:marLeft w:val="0"/>
      <w:marRight w:val="0"/>
      <w:marTop w:val="0"/>
      <w:marBottom w:val="0"/>
      <w:divBdr>
        <w:top w:val="none" w:sz="0" w:space="0" w:color="auto"/>
        <w:left w:val="none" w:sz="0" w:space="0" w:color="auto"/>
        <w:bottom w:val="none" w:sz="0" w:space="0" w:color="auto"/>
        <w:right w:val="none" w:sz="0" w:space="0" w:color="auto"/>
      </w:divBdr>
    </w:div>
    <w:div w:id="1343051486">
      <w:bodyDiv w:val="1"/>
      <w:marLeft w:val="0"/>
      <w:marRight w:val="0"/>
      <w:marTop w:val="0"/>
      <w:marBottom w:val="0"/>
      <w:divBdr>
        <w:top w:val="none" w:sz="0" w:space="0" w:color="auto"/>
        <w:left w:val="none" w:sz="0" w:space="0" w:color="auto"/>
        <w:bottom w:val="none" w:sz="0" w:space="0" w:color="auto"/>
        <w:right w:val="none" w:sz="0" w:space="0" w:color="auto"/>
      </w:divBdr>
    </w:div>
    <w:div w:id="1343165760">
      <w:bodyDiv w:val="1"/>
      <w:marLeft w:val="0"/>
      <w:marRight w:val="0"/>
      <w:marTop w:val="0"/>
      <w:marBottom w:val="0"/>
      <w:divBdr>
        <w:top w:val="none" w:sz="0" w:space="0" w:color="auto"/>
        <w:left w:val="none" w:sz="0" w:space="0" w:color="auto"/>
        <w:bottom w:val="none" w:sz="0" w:space="0" w:color="auto"/>
        <w:right w:val="none" w:sz="0" w:space="0" w:color="auto"/>
      </w:divBdr>
    </w:div>
    <w:div w:id="1343553881">
      <w:bodyDiv w:val="1"/>
      <w:marLeft w:val="0"/>
      <w:marRight w:val="0"/>
      <w:marTop w:val="0"/>
      <w:marBottom w:val="0"/>
      <w:divBdr>
        <w:top w:val="none" w:sz="0" w:space="0" w:color="auto"/>
        <w:left w:val="none" w:sz="0" w:space="0" w:color="auto"/>
        <w:bottom w:val="none" w:sz="0" w:space="0" w:color="auto"/>
        <w:right w:val="none" w:sz="0" w:space="0" w:color="auto"/>
      </w:divBdr>
    </w:div>
    <w:div w:id="1343624560">
      <w:bodyDiv w:val="1"/>
      <w:marLeft w:val="0"/>
      <w:marRight w:val="0"/>
      <w:marTop w:val="0"/>
      <w:marBottom w:val="0"/>
      <w:divBdr>
        <w:top w:val="none" w:sz="0" w:space="0" w:color="auto"/>
        <w:left w:val="none" w:sz="0" w:space="0" w:color="auto"/>
        <w:bottom w:val="none" w:sz="0" w:space="0" w:color="auto"/>
        <w:right w:val="none" w:sz="0" w:space="0" w:color="auto"/>
      </w:divBdr>
    </w:div>
    <w:div w:id="1343821387">
      <w:bodyDiv w:val="1"/>
      <w:marLeft w:val="0"/>
      <w:marRight w:val="0"/>
      <w:marTop w:val="0"/>
      <w:marBottom w:val="0"/>
      <w:divBdr>
        <w:top w:val="none" w:sz="0" w:space="0" w:color="auto"/>
        <w:left w:val="none" w:sz="0" w:space="0" w:color="auto"/>
        <w:bottom w:val="none" w:sz="0" w:space="0" w:color="auto"/>
        <w:right w:val="none" w:sz="0" w:space="0" w:color="auto"/>
      </w:divBdr>
    </w:div>
    <w:div w:id="1343972801">
      <w:bodyDiv w:val="1"/>
      <w:marLeft w:val="0"/>
      <w:marRight w:val="0"/>
      <w:marTop w:val="0"/>
      <w:marBottom w:val="0"/>
      <w:divBdr>
        <w:top w:val="none" w:sz="0" w:space="0" w:color="auto"/>
        <w:left w:val="none" w:sz="0" w:space="0" w:color="auto"/>
        <w:bottom w:val="none" w:sz="0" w:space="0" w:color="auto"/>
        <w:right w:val="none" w:sz="0" w:space="0" w:color="auto"/>
      </w:divBdr>
    </w:div>
    <w:div w:id="1344165542">
      <w:bodyDiv w:val="1"/>
      <w:marLeft w:val="0"/>
      <w:marRight w:val="0"/>
      <w:marTop w:val="0"/>
      <w:marBottom w:val="0"/>
      <w:divBdr>
        <w:top w:val="none" w:sz="0" w:space="0" w:color="auto"/>
        <w:left w:val="none" w:sz="0" w:space="0" w:color="auto"/>
        <w:bottom w:val="none" w:sz="0" w:space="0" w:color="auto"/>
        <w:right w:val="none" w:sz="0" w:space="0" w:color="auto"/>
      </w:divBdr>
    </w:div>
    <w:div w:id="1344429640">
      <w:bodyDiv w:val="1"/>
      <w:marLeft w:val="0"/>
      <w:marRight w:val="0"/>
      <w:marTop w:val="0"/>
      <w:marBottom w:val="0"/>
      <w:divBdr>
        <w:top w:val="none" w:sz="0" w:space="0" w:color="auto"/>
        <w:left w:val="none" w:sz="0" w:space="0" w:color="auto"/>
        <w:bottom w:val="none" w:sz="0" w:space="0" w:color="auto"/>
        <w:right w:val="none" w:sz="0" w:space="0" w:color="auto"/>
      </w:divBdr>
    </w:div>
    <w:div w:id="1344940095">
      <w:bodyDiv w:val="1"/>
      <w:marLeft w:val="0"/>
      <w:marRight w:val="0"/>
      <w:marTop w:val="0"/>
      <w:marBottom w:val="0"/>
      <w:divBdr>
        <w:top w:val="none" w:sz="0" w:space="0" w:color="auto"/>
        <w:left w:val="none" w:sz="0" w:space="0" w:color="auto"/>
        <w:bottom w:val="none" w:sz="0" w:space="0" w:color="auto"/>
        <w:right w:val="none" w:sz="0" w:space="0" w:color="auto"/>
      </w:divBdr>
    </w:div>
    <w:div w:id="1345091532">
      <w:bodyDiv w:val="1"/>
      <w:marLeft w:val="0"/>
      <w:marRight w:val="0"/>
      <w:marTop w:val="0"/>
      <w:marBottom w:val="0"/>
      <w:divBdr>
        <w:top w:val="none" w:sz="0" w:space="0" w:color="auto"/>
        <w:left w:val="none" w:sz="0" w:space="0" w:color="auto"/>
        <w:bottom w:val="none" w:sz="0" w:space="0" w:color="auto"/>
        <w:right w:val="none" w:sz="0" w:space="0" w:color="auto"/>
      </w:divBdr>
    </w:div>
    <w:div w:id="1345591968">
      <w:bodyDiv w:val="1"/>
      <w:marLeft w:val="0"/>
      <w:marRight w:val="0"/>
      <w:marTop w:val="0"/>
      <w:marBottom w:val="0"/>
      <w:divBdr>
        <w:top w:val="none" w:sz="0" w:space="0" w:color="auto"/>
        <w:left w:val="none" w:sz="0" w:space="0" w:color="auto"/>
        <w:bottom w:val="none" w:sz="0" w:space="0" w:color="auto"/>
        <w:right w:val="none" w:sz="0" w:space="0" w:color="auto"/>
      </w:divBdr>
    </w:div>
    <w:div w:id="1345936350">
      <w:bodyDiv w:val="1"/>
      <w:marLeft w:val="0"/>
      <w:marRight w:val="0"/>
      <w:marTop w:val="0"/>
      <w:marBottom w:val="0"/>
      <w:divBdr>
        <w:top w:val="none" w:sz="0" w:space="0" w:color="auto"/>
        <w:left w:val="none" w:sz="0" w:space="0" w:color="auto"/>
        <w:bottom w:val="none" w:sz="0" w:space="0" w:color="auto"/>
        <w:right w:val="none" w:sz="0" w:space="0" w:color="auto"/>
      </w:divBdr>
    </w:div>
    <w:div w:id="1346057202">
      <w:bodyDiv w:val="1"/>
      <w:marLeft w:val="0"/>
      <w:marRight w:val="0"/>
      <w:marTop w:val="0"/>
      <w:marBottom w:val="0"/>
      <w:divBdr>
        <w:top w:val="none" w:sz="0" w:space="0" w:color="auto"/>
        <w:left w:val="none" w:sz="0" w:space="0" w:color="auto"/>
        <w:bottom w:val="none" w:sz="0" w:space="0" w:color="auto"/>
        <w:right w:val="none" w:sz="0" w:space="0" w:color="auto"/>
      </w:divBdr>
    </w:div>
    <w:div w:id="1346130190">
      <w:bodyDiv w:val="1"/>
      <w:marLeft w:val="0"/>
      <w:marRight w:val="0"/>
      <w:marTop w:val="0"/>
      <w:marBottom w:val="0"/>
      <w:divBdr>
        <w:top w:val="none" w:sz="0" w:space="0" w:color="auto"/>
        <w:left w:val="none" w:sz="0" w:space="0" w:color="auto"/>
        <w:bottom w:val="none" w:sz="0" w:space="0" w:color="auto"/>
        <w:right w:val="none" w:sz="0" w:space="0" w:color="auto"/>
      </w:divBdr>
    </w:div>
    <w:div w:id="1346710904">
      <w:bodyDiv w:val="1"/>
      <w:marLeft w:val="0"/>
      <w:marRight w:val="0"/>
      <w:marTop w:val="0"/>
      <w:marBottom w:val="0"/>
      <w:divBdr>
        <w:top w:val="none" w:sz="0" w:space="0" w:color="auto"/>
        <w:left w:val="none" w:sz="0" w:space="0" w:color="auto"/>
        <w:bottom w:val="none" w:sz="0" w:space="0" w:color="auto"/>
        <w:right w:val="none" w:sz="0" w:space="0" w:color="auto"/>
      </w:divBdr>
    </w:div>
    <w:div w:id="1347094940">
      <w:bodyDiv w:val="1"/>
      <w:marLeft w:val="0"/>
      <w:marRight w:val="0"/>
      <w:marTop w:val="0"/>
      <w:marBottom w:val="0"/>
      <w:divBdr>
        <w:top w:val="none" w:sz="0" w:space="0" w:color="auto"/>
        <w:left w:val="none" w:sz="0" w:space="0" w:color="auto"/>
        <w:bottom w:val="none" w:sz="0" w:space="0" w:color="auto"/>
        <w:right w:val="none" w:sz="0" w:space="0" w:color="auto"/>
      </w:divBdr>
    </w:div>
    <w:div w:id="1347713262">
      <w:bodyDiv w:val="1"/>
      <w:marLeft w:val="0"/>
      <w:marRight w:val="0"/>
      <w:marTop w:val="0"/>
      <w:marBottom w:val="0"/>
      <w:divBdr>
        <w:top w:val="none" w:sz="0" w:space="0" w:color="auto"/>
        <w:left w:val="none" w:sz="0" w:space="0" w:color="auto"/>
        <w:bottom w:val="none" w:sz="0" w:space="0" w:color="auto"/>
        <w:right w:val="none" w:sz="0" w:space="0" w:color="auto"/>
      </w:divBdr>
    </w:div>
    <w:div w:id="1347825712">
      <w:bodyDiv w:val="1"/>
      <w:marLeft w:val="0"/>
      <w:marRight w:val="0"/>
      <w:marTop w:val="0"/>
      <w:marBottom w:val="0"/>
      <w:divBdr>
        <w:top w:val="none" w:sz="0" w:space="0" w:color="auto"/>
        <w:left w:val="none" w:sz="0" w:space="0" w:color="auto"/>
        <w:bottom w:val="none" w:sz="0" w:space="0" w:color="auto"/>
        <w:right w:val="none" w:sz="0" w:space="0" w:color="auto"/>
      </w:divBdr>
    </w:div>
    <w:div w:id="1347830844">
      <w:bodyDiv w:val="1"/>
      <w:marLeft w:val="0"/>
      <w:marRight w:val="0"/>
      <w:marTop w:val="0"/>
      <w:marBottom w:val="0"/>
      <w:divBdr>
        <w:top w:val="none" w:sz="0" w:space="0" w:color="auto"/>
        <w:left w:val="none" w:sz="0" w:space="0" w:color="auto"/>
        <w:bottom w:val="none" w:sz="0" w:space="0" w:color="auto"/>
        <w:right w:val="none" w:sz="0" w:space="0" w:color="auto"/>
      </w:divBdr>
    </w:div>
    <w:div w:id="1347905714">
      <w:bodyDiv w:val="1"/>
      <w:marLeft w:val="0"/>
      <w:marRight w:val="0"/>
      <w:marTop w:val="0"/>
      <w:marBottom w:val="0"/>
      <w:divBdr>
        <w:top w:val="none" w:sz="0" w:space="0" w:color="auto"/>
        <w:left w:val="none" w:sz="0" w:space="0" w:color="auto"/>
        <w:bottom w:val="none" w:sz="0" w:space="0" w:color="auto"/>
        <w:right w:val="none" w:sz="0" w:space="0" w:color="auto"/>
      </w:divBdr>
    </w:div>
    <w:div w:id="1348024020">
      <w:bodyDiv w:val="1"/>
      <w:marLeft w:val="0"/>
      <w:marRight w:val="0"/>
      <w:marTop w:val="0"/>
      <w:marBottom w:val="0"/>
      <w:divBdr>
        <w:top w:val="none" w:sz="0" w:space="0" w:color="auto"/>
        <w:left w:val="none" w:sz="0" w:space="0" w:color="auto"/>
        <w:bottom w:val="none" w:sz="0" w:space="0" w:color="auto"/>
        <w:right w:val="none" w:sz="0" w:space="0" w:color="auto"/>
      </w:divBdr>
    </w:div>
    <w:div w:id="1348167751">
      <w:bodyDiv w:val="1"/>
      <w:marLeft w:val="0"/>
      <w:marRight w:val="0"/>
      <w:marTop w:val="0"/>
      <w:marBottom w:val="0"/>
      <w:divBdr>
        <w:top w:val="none" w:sz="0" w:space="0" w:color="auto"/>
        <w:left w:val="none" w:sz="0" w:space="0" w:color="auto"/>
        <w:bottom w:val="none" w:sz="0" w:space="0" w:color="auto"/>
        <w:right w:val="none" w:sz="0" w:space="0" w:color="auto"/>
      </w:divBdr>
    </w:div>
    <w:div w:id="1348558424">
      <w:bodyDiv w:val="1"/>
      <w:marLeft w:val="0"/>
      <w:marRight w:val="0"/>
      <w:marTop w:val="0"/>
      <w:marBottom w:val="0"/>
      <w:divBdr>
        <w:top w:val="none" w:sz="0" w:space="0" w:color="auto"/>
        <w:left w:val="none" w:sz="0" w:space="0" w:color="auto"/>
        <w:bottom w:val="none" w:sz="0" w:space="0" w:color="auto"/>
        <w:right w:val="none" w:sz="0" w:space="0" w:color="auto"/>
      </w:divBdr>
    </w:div>
    <w:div w:id="1348602879">
      <w:bodyDiv w:val="1"/>
      <w:marLeft w:val="0"/>
      <w:marRight w:val="0"/>
      <w:marTop w:val="0"/>
      <w:marBottom w:val="0"/>
      <w:divBdr>
        <w:top w:val="none" w:sz="0" w:space="0" w:color="auto"/>
        <w:left w:val="none" w:sz="0" w:space="0" w:color="auto"/>
        <w:bottom w:val="none" w:sz="0" w:space="0" w:color="auto"/>
        <w:right w:val="none" w:sz="0" w:space="0" w:color="auto"/>
      </w:divBdr>
    </w:div>
    <w:div w:id="1349333059">
      <w:bodyDiv w:val="1"/>
      <w:marLeft w:val="0"/>
      <w:marRight w:val="0"/>
      <w:marTop w:val="0"/>
      <w:marBottom w:val="0"/>
      <w:divBdr>
        <w:top w:val="none" w:sz="0" w:space="0" w:color="auto"/>
        <w:left w:val="none" w:sz="0" w:space="0" w:color="auto"/>
        <w:bottom w:val="none" w:sz="0" w:space="0" w:color="auto"/>
        <w:right w:val="none" w:sz="0" w:space="0" w:color="auto"/>
      </w:divBdr>
    </w:div>
    <w:div w:id="1349404982">
      <w:bodyDiv w:val="1"/>
      <w:marLeft w:val="0"/>
      <w:marRight w:val="0"/>
      <w:marTop w:val="0"/>
      <w:marBottom w:val="0"/>
      <w:divBdr>
        <w:top w:val="none" w:sz="0" w:space="0" w:color="auto"/>
        <w:left w:val="none" w:sz="0" w:space="0" w:color="auto"/>
        <w:bottom w:val="none" w:sz="0" w:space="0" w:color="auto"/>
        <w:right w:val="none" w:sz="0" w:space="0" w:color="auto"/>
      </w:divBdr>
    </w:div>
    <w:div w:id="1349675213">
      <w:bodyDiv w:val="1"/>
      <w:marLeft w:val="0"/>
      <w:marRight w:val="0"/>
      <w:marTop w:val="0"/>
      <w:marBottom w:val="0"/>
      <w:divBdr>
        <w:top w:val="none" w:sz="0" w:space="0" w:color="auto"/>
        <w:left w:val="none" w:sz="0" w:space="0" w:color="auto"/>
        <w:bottom w:val="none" w:sz="0" w:space="0" w:color="auto"/>
        <w:right w:val="none" w:sz="0" w:space="0" w:color="auto"/>
      </w:divBdr>
    </w:div>
    <w:div w:id="1350370304">
      <w:bodyDiv w:val="1"/>
      <w:marLeft w:val="0"/>
      <w:marRight w:val="0"/>
      <w:marTop w:val="0"/>
      <w:marBottom w:val="0"/>
      <w:divBdr>
        <w:top w:val="none" w:sz="0" w:space="0" w:color="auto"/>
        <w:left w:val="none" w:sz="0" w:space="0" w:color="auto"/>
        <w:bottom w:val="none" w:sz="0" w:space="0" w:color="auto"/>
        <w:right w:val="none" w:sz="0" w:space="0" w:color="auto"/>
      </w:divBdr>
    </w:div>
    <w:div w:id="1350371387">
      <w:bodyDiv w:val="1"/>
      <w:marLeft w:val="0"/>
      <w:marRight w:val="0"/>
      <w:marTop w:val="0"/>
      <w:marBottom w:val="0"/>
      <w:divBdr>
        <w:top w:val="none" w:sz="0" w:space="0" w:color="auto"/>
        <w:left w:val="none" w:sz="0" w:space="0" w:color="auto"/>
        <w:bottom w:val="none" w:sz="0" w:space="0" w:color="auto"/>
        <w:right w:val="none" w:sz="0" w:space="0" w:color="auto"/>
      </w:divBdr>
    </w:div>
    <w:div w:id="1350568323">
      <w:bodyDiv w:val="1"/>
      <w:marLeft w:val="0"/>
      <w:marRight w:val="0"/>
      <w:marTop w:val="0"/>
      <w:marBottom w:val="0"/>
      <w:divBdr>
        <w:top w:val="none" w:sz="0" w:space="0" w:color="auto"/>
        <w:left w:val="none" w:sz="0" w:space="0" w:color="auto"/>
        <w:bottom w:val="none" w:sz="0" w:space="0" w:color="auto"/>
        <w:right w:val="none" w:sz="0" w:space="0" w:color="auto"/>
      </w:divBdr>
    </w:div>
    <w:div w:id="1350716852">
      <w:bodyDiv w:val="1"/>
      <w:marLeft w:val="0"/>
      <w:marRight w:val="0"/>
      <w:marTop w:val="0"/>
      <w:marBottom w:val="0"/>
      <w:divBdr>
        <w:top w:val="none" w:sz="0" w:space="0" w:color="auto"/>
        <w:left w:val="none" w:sz="0" w:space="0" w:color="auto"/>
        <w:bottom w:val="none" w:sz="0" w:space="0" w:color="auto"/>
        <w:right w:val="none" w:sz="0" w:space="0" w:color="auto"/>
      </w:divBdr>
    </w:div>
    <w:div w:id="1350789401">
      <w:bodyDiv w:val="1"/>
      <w:marLeft w:val="0"/>
      <w:marRight w:val="0"/>
      <w:marTop w:val="0"/>
      <w:marBottom w:val="0"/>
      <w:divBdr>
        <w:top w:val="none" w:sz="0" w:space="0" w:color="auto"/>
        <w:left w:val="none" w:sz="0" w:space="0" w:color="auto"/>
        <w:bottom w:val="none" w:sz="0" w:space="0" w:color="auto"/>
        <w:right w:val="none" w:sz="0" w:space="0" w:color="auto"/>
      </w:divBdr>
    </w:div>
    <w:div w:id="1350834474">
      <w:bodyDiv w:val="1"/>
      <w:marLeft w:val="0"/>
      <w:marRight w:val="0"/>
      <w:marTop w:val="0"/>
      <w:marBottom w:val="0"/>
      <w:divBdr>
        <w:top w:val="none" w:sz="0" w:space="0" w:color="auto"/>
        <w:left w:val="none" w:sz="0" w:space="0" w:color="auto"/>
        <w:bottom w:val="none" w:sz="0" w:space="0" w:color="auto"/>
        <w:right w:val="none" w:sz="0" w:space="0" w:color="auto"/>
      </w:divBdr>
    </w:div>
    <w:div w:id="1351057188">
      <w:bodyDiv w:val="1"/>
      <w:marLeft w:val="0"/>
      <w:marRight w:val="0"/>
      <w:marTop w:val="0"/>
      <w:marBottom w:val="0"/>
      <w:divBdr>
        <w:top w:val="none" w:sz="0" w:space="0" w:color="auto"/>
        <w:left w:val="none" w:sz="0" w:space="0" w:color="auto"/>
        <w:bottom w:val="none" w:sz="0" w:space="0" w:color="auto"/>
        <w:right w:val="none" w:sz="0" w:space="0" w:color="auto"/>
      </w:divBdr>
    </w:div>
    <w:div w:id="1351298717">
      <w:bodyDiv w:val="1"/>
      <w:marLeft w:val="0"/>
      <w:marRight w:val="0"/>
      <w:marTop w:val="0"/>
      <w:marBottom w:val="0"/>
      <w:divBdr>
        <w:top w:val="none" w:sz="0" w:space="0" w:color="auto"/>
        <w:left w:val="none" w:sz="0" w:space="0" w:color="auto"/>
        <w:bottom w:val="none" w:sz="0" w:space="0" w:color="auto"/>
        <w:right w:val="none" w:sz="0" w:space="0" w:color="auto"/>
      </w:divBdr>
    </w:div>
    <w:div w:id="1351301733">
      <w:bodyDiv w:val="1"/>
      <w:marLeft w:val="0"/>
      <w:marRight w:val="0"/>
      <w:marTop w:val="0"/>
      <w:marBottom w:val="0"/>
      <w:divBdr>
        <w:top w:val="none" w:sz="0" w:space="0" w:color="auto"/>
        <w:left w:val="none" w:sz="0" w:space="0" w:color="auto"/>
        <w:bottom w:val="none" w:sz="0" w:space="0" w:color="auto"/>
        <w:right w:val="none" w:sz="0" w:space="0" w:color="auto"/>
      </w:divBdr>
    </w:div>
    <w:div w:id="1351564152">
      <w:bodyDiv w:val="1"/>
      <w:marLeft w:val="0"/>
      <w:marRight w:val="0"/>
      <w:marTop w:val="0"/>
      <w:marBottom w:val="0"/>
      <w:divBdr>
        <w:top w:val="none" w:sz="0" w:space="0" w:color="auto"/>
        <w:left w:val="none" w:sz="0" w:space="0" w:color="auto"/>
        <w:bottom w:val="none" w:sz="0" w:space="0" w:color="auto"/>
        <w:right w:val="none" w:sz="0" w:space="0" w:color="auto"/>
      </w:divBdr>
    </w:div>
    <w:div w:id="1352032177">
      <w:bodyDiv w:val="1"/>
      <w:marLeft w:val="0"/>
      <w:marRight w:val="0"/>
      <w:marTop w:val="0"/>
      <w:marBottom w:val="0"/>
      <w:divBdr>
        <w:top w:val="none" w:sz="0" w:space="0" w:color="auto"/>
        <w:left w:val="none" w:sz="0" w:space="0" w:color="auto"/>
        <w:bottom w:val="none" w:sz="0" w:space="0" w:color="auto"/>
        <w:right w:val="none" w:sz="0" w:space="0" w:color="auto"/>
      </w:divBdr>
    </w:div>
    <w:div w:id="1352754779">
      <w:bodyDiv w:val="1"/>
      <w:marLeft w:val="0"/>
      <w:marRight w:val="0"/>
      <w:marTop w:val="0"/>
      <w:marBottom w:val="0"/>
      <w:divBdr>
        <w:top w:val="none" w:sz="0" w:space="0" w:color="auto"/>
        <w:left w:val="none" w:sz="0" w:space="0" w:color="auto"/>
        <w:bottom w:val="none" w:sz="0" w:space="0" w:color="auto"/>
        <w:right w:val="none" w:sz="0" w:space="0" w:color="auto"/>
      </w:divBdr>
    </w:div>
    <w:div w:id="1353258864">
      <w:bodyDiv w:val="1"/>
      <w:marLeft w:val="0"/>
      <w:marRight w:val="0"/>
      <w:marTop w:val="0"/>
      <w:marBottom w:val="0"/>
      <w:divBdr>
        <w:top w:val="none" w:sz="0" w:space="0" w:color="auto"/>
        <w:left w:val="none" w:sz="0" w:space="0" w:color="auto"/>
        <w:bottom w:val="none" w:sz="0" w:space="0" w:color="auto"/>
        <w:right w:val="none" w:sz="0" w:space="0" w:color="auto"/>
      </w:divBdr>
    </w:div>
    <w:div w:id="1353261331">
      <w:bodyDiv w:val="1"/>
      <w:marLeft w:val="0"/>
      <w:marRight w:val="0"/>
      <w:marTop w:val="0"/>
      <w:marBottom w:val="0"/>
      <w:divBdr>
        <w:top w:val="none" w:sz="0" w:space="0" w:color="auto"/>
        <w:left w:val="none" w:sz="0" w:space="0" w:color="auto"/>
        <w:bottom w:val="none" w:sz="0" w:space="0" w:color="auto"/>
        <w:right w:val="none" w:sz="0" w:space="0" w:color="auto"/>
      </w:divBdr>
    </w:div>
    <w:div w:id="1353337230">
      <w:bodyDiv w:val="1"/>
      <w:marLeft w:val="0"/>
      <w:marRight w:val="0"/>
      <w:marTop w:val="0"/>
      <w:marBottom w:val="0"/>
      <w:divBdr>
        <w:top w:val="none" w:sz="0" w:space="0" w:color="auto"/>
        <w:left w:val="none" w:sz="0" w:space="0" w:color="auto"/>
        <w:bottom w:val="none" w:sz="0" w:space="0" w:color="auto"/>
        <w:right w:val="none" w:sz="0" w:space="0" w:color="auto"/>
      </w:divBdr>
    </w:div>
    <w:div w:id="1354108003">
      <w:bodyDiv w:val="1"/>
      <w:marLeft w:val="0"/>
      <w:marRight w:val="0"/>
      <w:marTop w:val="0"/>
      <w:marBottom w:val="0"/>
      <w:divBdr>
        <w:top w:val="none" w:sz="0" w:space="0" w:color="auto"/>
        <w:left w:val="none" w:sz="0" w:space="0" w:color="auto"/>
        <w:bottom w:val="none" w:sz="0" w:space="0" w:color="auto"/>
        <w:right w:val="none" w:sz="0" w:space="0" w:color="auto"/>
      </w:divBdr>
    </w:div>
    <w:div w:id="1354651450">
      <w:bodyDiv w:val="1"/>
      <w:marLeft w:val="0"/>
      <w:marRight w:val="0"/>
      <w:marTop w:val="0"/>
      <w:marBottom w:val="0"/>
      <w:divBdr>
        <w:top w:val="none" w:sz="0" w:space="0" w:color="auto"/>
        <w:left w:val="none" w:sz="0" w:space="0" w:color="auto"/>
        <w:bottom w:val="none" w:sz="0" w:space="0" w:color="auto"/>
        <w:right w:val="none" w:sz="0" w:space="0" w:color="auto"/>
      </w:divBdr>
    </w:div>
    <w:div w:id="1355033841">
      <w:bodyDiv w:val="1"/>
      <w:marLeft w:val="0"/>
      <w:marRight w:val="0"/>
      <w:marTop w:val="0"/>
      <w:marBottom w:val="0"/>
      <w:divBdr>
        <w:top w:val="none" w:sz="0" w:space="0" w:color="auto"/>
        <w:left w:val="none" w:sz="0" w:space="0" w:color="auto"/>
        <w:bottom w:val="none" w:sz="0" w:space="0" w:color="auto"/>
        <w:right w:val="none" w:sz="0" w:space="0" w:color="auto"/>
      </w:divBdr>
    </w:div>
    <w:div w:id="1355037047">
      <w:bodyDiv w:val="1"/>
      <w:marLeft w:val="0"/>
      <w:marRight w:val="0"/>
      <w:marTop w:val="0"/>
      <w:marBottom w:val="0"/>
      <w:divBdr>
        <w:top w:val="none" w:sz="0" w:space="0" w:color="auto"/>
        <w:left w:val="none" w:sz="0" w:space="0" w:color="auto"/>
        <w:bottom w:val="none" w:sz="0" w:space="0" w:color="auto"/>
        <w:right w:val="none" w:sz="0" w:space="0" w:color="auto"/>
      </w:divBdr>
    </w:div>
    <w:div w:id="1355038142">
      <w:bodyDiv w:val="1"/>
      <w:marLeft w:val="0"/>
      <w:marRight w:val="0"/>
      <w:marTop w:val="0"/>
      <w:marBottom w:val="0"/>
      <w:divBdr>
        <w:top w:val="none" w:sz="0" w:space="0" w:color="auto"/>
        <w:left w:val="none" w:sz="0" w:space="0" w:color="auto"/>
        <w:bottom w:val="none" w:sz="0" w:space="0" w:color="auto"/>
        <w:right w:val="none" w:sz="0" w:space="0" w:color="auto"/>
      </w:divBdr>
    </w:div>
    <w:div w:id="1355381313">
      <w:bodyDiv w:val="1"/>
      <w:marLeft w:val="0"/>
      <w:marRight w:val="0"/>
      <w:marTop w:val="0"/>
      <w:marBottom w:val="0"/>
      <w:divBdr>
        <w:top w:val="none" w:sz="0" w:space="0" w:color="auto"/>
        <w:left w:val="none" w:sz="0" w:space="0" w:color="auto"/>
        <w:bottom w:val="none" w:sz="0" w:space="0" w:color="auto"/>
        <w:right w:val="none" w:sz="0" w:space="0" w:color="auto"/>
      </w:divBdr>
    </w:div>
    <w:div w:id="1355690541">
      <w:bodyDiv w:val="1"/>
      <w:marLeft w:val="0"/>
      <w:marRight w:val="0"/>
      <w:marTop w:val="0"/>
      <w:marBottom w:val="0"/>
      <w:divBdr>
        <w:top w:val="none" w:sz="0" w:space="0" w:color="auto"/>
        <w:left w:val="none" w:sz="0" w:space="0" w:color="auto"/>
        <w:bottom w:val="none" w:sz="0" w:space="0" w:color="auto"/>
        <w:right w:val="none" w:sz="0" w:space="0" w:color="auto"/>
      </w:divBdr>
    </w:div>
    <w:div w:id="1355765685">
      <w:bodyDiv w:val="1"/>
      <w:marLeft w:val="0"/>
      <w:marRight w:val="0"/>
      <w:marTop w:val="0"/>
      <w:marBottom w:val="0"/>
      <w:divBdr>
        <w:top w:val="none" w:sz="0" w:space="0" w:color="auto"/>
        <w:left w:val="none" w:sz="0" w:space="0" w:color="auto"/>
        <w:bottom w:val="none" w:sz="0" w:space="0" w:color="auto"/>
        <w:right w:val="none" w:sz="0" w:space="0" w:color="auto"/>
      </w:divBdr>
    </w:div>
    <w:div w:id="1355811411">
      <w:bodyDiv w:val="1"/>
      <w:marLeft w:val="0"/>
      <w:marRight w:val="0"/>
      <w:marTop w:val="0"/>
      <w:marBottom w:val="0"/>
      <w:divBdr>
        <w:top w:val="none" w:sz="0" w:space="0" w:color="auto"/>
        <w:left w:val="none" w:sz="0" w:space="0" w:color="auto"/>
        <w:bottom w:val="none" w:sz="0" w:space="0" w:color="auto"/>
        <w:right w:val="none" w:sz="0" w:space="0" w:color="auto"/>
      </w:divBdr>
    </w:div>
    <w:div w:id="1355837642">
      <w:bodyDiv w:val="1"/>
      <w:marLeft w:val="0"/>
      <w:marRight w:val="0"/>
      <w:marTop w:val="0"/>
      <w:marBottom w:val="0"/>
      <w:divBdr>
        <w:top w:val="none" w:sz="0" w:space="0" w:color="auto"/>
        <w:left w:val="none" w:sz="0" w:space="0" w:color="auto"/>
        <w:bottom w:val="none" w:sz="0" w:space="0" w:color="auto"/>
        <w:right w:val="none" w:sz="0" w:space="0" w:color="auto"/>
      </w:divBdr>
    </w:div>
    <w:div w:id="1356687781">
      <w:bodyDiv w:val="1"/>
      <w:marLeft w:val="0"/>
      <w:marRight w:val="0"/>
      <w:marTop w:val="0"/>
      <w:marBottom w:val="0"/>
      <w:divBdr>
        <w:top w:val="none" w:sz="0" w:space="0" w:color="auto"/>
        <w:left w:val="none" w:sz="0" w:space="0" w:color="auto"/>
        <w:bottom w:val="none" w:sz="0" w:space="0" w:color="auto"/>
        <w:right w:val="none" w:sz="0" w:space="0" w:color="auto"/>
      </w:divBdr>
    </w:div>
    <w:div w:id="1357006364">
      <w:bodyDiv w:val="1"/>
      <w:marLeft w:val="0"/>
      <w:marRight w:val="0"/>
      <w:marTop w:val="0"/>
      <w:marBottom w:val="0"/>
      <w:divBdr>
        <w:top w:val="none" w:sz="0" w:space="0" w:color="auto"/>
        <w:left w:val="none" w:sz="0" w:space="0" w:color="auto"/>
        <w:bottom w:val="none" w:sz="0" w:space="0" w:color="auto"/>
        <w:right w:val="none" w:sz="0" w:space="0" w:color="auto"/>
      </w:divBdr>
    </w:div>
    <w:div w:id="1357075412">
      <w:bodyDiv w:val="1"/>
      <w:marLeft w:val="0"/>
      <w:marRight w:val="0"/>
      <w:marTop w:val="0"/>
      <w:marBottom w:val="0"/>
      <w:divBdr>
        <w:top w:val="none" w:sz="0" w:space="0" w:color="auto"/>
        <w:left w:val="none" w:sz="0" w:space="0" w:color="auto"/>
        <w:bottom w:val="none" w:sz="0" w:space="0" w:color="auto"/>
        <w:right w:val="none" w:sz="0" w:space="0" w:color="auto"/>
      </w:divBdr>
    </w:div>
    <w:div w:id="1357079599">
      <w:bodyDiv w:val="1"/>
      <w:marLeft w:val="0"/>
      <w:marRight w:val="0"/>
      <w:marTop w:val="0"/>
      <w:marBottom w:val="0"/>
      <w:divBdr>
        <w:top w:val="none" w:sz="0" w:space="0" w:color="auto"/>
        <w:left w:val="none" w:sz="0" w:space="0" w:color="auto"/>
        <w:bottom w:val="none" w:sz="0" w:space="0" w:color="auto"/>
        <w:right w:val="none" w:sz="0" w:space="0" w:color="auto"/>
      </w:divBdr>
    </w:div>
    <w:div w:id="1357271042">
      <w:bodyDiv w:val="1"/>
      <w:marLeft w:val="0"/>
      <w:marRight w:val="0"/>
      <w:marTop w:val="0"/>
      <w:marBottom w:val="0"/>
      <w:divBdr>
        <w:top w:val="none" w:sz="0" w:space="0" w:color="auto"/>
        <w:left w:val="none" w:sz="0" w:space="0" w:color="auto"/>
        <w:bottom w:val="none" w:sz="0" w:space="0" w:color="auto"/>
        <w:right w:val="none" w:sz="0" w:space="0" w:color="auto"/>
      </w:divBdr>
    </w:div>
    <w:div w:id="1357653412">
      <w:bodyDiv w:val="1"/>
      <w:marLeft w:val="0"/>
      <w:marRight w:val="0"/>
      <w:marTop w:val="0"/>
      <w:marBottom w:val="0"/>
      <w:divBdr>
        <w:top w:val="none" w:sz="0" w:space="0" w:color="auto"/>
        <w:left w:val="none" w:sz="0" w:space="0" w:color="auto"/>
        <w:bottom w:val="none" w:sz="0" w:space="0" w:color="auto"/>
        <w:right w:val="none" w:sz="0" w:space="0" w:color="auto"/>
      </w:divBdr>
    </w:div>
    <w:div w:id="1358313624">
      <w:bodyDiv w:val="1"/>
      <w:marLeft w:val="0"/>
      <w:marRight w:val="0"/>
      <w:marTop w:val="0"/>
      <w:marBottom w:val="0"/>
      <w:divBdr>
        <w:top w:val="none" w:sz="0" w:space="0" w:color="auto"/>
        <w:left w:val="none" w:sz="0" w:space="0" w:color="auto"/>
        <w:bottom w:val="none" w:sz="0" w:space="0" w:color="auto"/>
        <w:right w:val="none" w:sz="0" w:space="0" w:color="auto"/>
      </w:divBdr>
    </w:div>
    <w:div w:id="1358383592">
      <w:bodyDiv w:val="1"/>
      <w:marLeft w:val="0"/>
      <w:marRight w:val="0"/>
      <w:marTop w:val="0"/>
      <w:marBottom w:val="0"/>
      <w:divBdr>
        <w:top w:val="none" w:sz="0" w:space="0" w:color="auto"/>
        <w:left w:val="none" w:sz="0" w:space="0" w:color="auto"/>
        <w:bottom w:val="none" w:sz="0" w:space="0" w:color="auto"/>
        <w:right w:val="none" w:sz="0" w:space="0" w:color="auto"/>
      </w:divBdr>
    </w:div>
    <w:div w:id="1358384426">
      <w:bodyDiv w:val="1"/>
      <w:marLeft w:val="0"/>
      <w:marRight w:val="0"/>
      <w:marTop w:val="0"/>
      <w:marBottom w:val="0"/>
      <w:divBdr>
        <w:top w:val="none" w:sz="0" w:space="0" w:color="auto"/>
        <w:left w:val="none" w:sz="0" w:space="0" w:color="auto"/>
        <w:bottom w:val="none" w:sz="0" w:space="0" w:color="auto"/>
        <w:right w:val="none" w:sz="0" w:space="0" w:color="auto"/>
      </w:divBdr>
    </w:div>
    <w:div w:id="1358702404">
      <w:bodyDiv w:val="1"/>
      <w:marLeft w:val="0"/>
      <w:marRight w:val="0"/>
      <w:marTop w:val="0"/>
      <w:marBottom w:val="0"/>
      <w:divBdr>
        <w:top w:val="none" w:sz="0" w:space="0" w:color="auto"/>
        <w:left w:val="none" w:sz="0" w:space="0" w:color="auto"/>
        <w:bottom w:val="none" w:sz="0" w:space="0" w:color="auto"/>
        <w:right w:val="none" w:sz="0" w:space="0" w:color="auto"/>
      </w:divBdr>
    </w:div>
    <w:div w:id="1358778236">
      <w:bodyDiv w:val="1"/>
      <w:marLeft w:val="0"/>
      <w:marRight w:val="0"/>
      <w:marTop w:val="0"/>
      <w:marBottom w:val="0"/>
      <w:divBdr>
        <w:top w:val="none" w:sz="0" w:space="0" w:color="auto"/>
        <w:left w:val="none" w:sz="0" w:space="0" w:color="auto"/>
        <w:bottom w:val="none" w:sz="0" w:space="0" w:color="auto"/>
        <w:right w:val="none" w:sz="0" w:space="0" w:color="auto"/>
      </w:divBdr>
    </w:div>
    <w:div w:id="1359161037">
      <w:bodyDiv w:val="1"/>
      <w:marLeft w:val="0"/>
      <w:marRight w:val="0"/>
      <w:marTop w:val="0"/>
      <w:marBottom w:val="0"/>
      <w:divBdr>
        <w:top w:val="none" w:sz="0" w:space="0" w:color="auto"/>
        <w:left w:val="none" w:sz="0" w:space="0" w:color="auto"/>
        <w:bottom w:val="none" w:sz="0" w:space="0" w:color="auto"/>
        <w:right w:val="none" w:sz="0" w:space="0" w:color="auto"/>
      </w:divBdr>
    </w:div>
    <w:div w:id="1359817065">
      <w:bodyDiv w:val="1"/>
      <w:marLeft w:val="0"/>
      <w:marRight w:val="0"/>
      <w:marTop w:val="0"/>
      <w:marBottom w:val="0"/>
      <w:divBdr>
        <w:top w:val="none" w:sz="0" w:space="0" w:color="auto"/>
        <w:left w:val="none" w:sz="0" w:space="0" w:color="auto"/>
        <w:bottom w:val="none" w:sz="0" w:space="0" w:color="auto"/>
        <w:right w:val="none" w:sz="0" w:space="0" w:color="auto"/>
      </w:divBdr>
    </w:div>
    <w:div w:id="1359963355">
      <w:bodyDiv w:val="1"/>
      <w:marLeft w:val="0"/>
      <w:marRight w:val="0"/>
      <w:marTop w:val="0"/>
      <w:marBottom w:val="0"/>
      <w:divBdr>
        <w:top w:val="none" w:sz="0" w:space="0" w:color="auto"/>
        <w:left w:val="none" w:sz="0" w:space="0" w:color="auto"/>
        <w:bottom w:val="none" w:sz="0" w:space="0" w:color="auto"/>
        <w:right w:val="none" w:sz="0" w:space="0" w:color="auto"/>
      </w:divBdr>
    </w:div>
    <w:div w:id="1360398020">
      <w:bodyDiv w:val="1"/>
      <w:marLeft w:val="0"/>
      <w:marRight w:val="0"/>
      <w:marTop w:val="0"/>
      <w:marBottom w:val="0"/>
      <w:divBdr>
        <w:top w:val="none" w:sz="0" w:space="0" w:color="auto"/>
        <w:left w:val="none" w:sz="0" w:space="0" w:color="auto"/>
        <w:bottom w:val="none" w:sz="0" w:space="0" w:color="auto"/>
        <w:right w:val="none" w:sz="0" w:space="0" w:color="auto"/>
      </w:divBdr>
    </w:div>
    <w:div w:id="1360424231">
      <w:bodyDiv w:val="1"/>
      <w:marLeft w:val="0"/>
      <w:marRight w:val="0"/>
      <w:marTop w:val="0"/>
      <w:marBottom w:val="0"/>
      <w:divBdr>
        <w:top w:val="none" w:sz="0" w:space="0" w:color="auto"/>
        <w:left w:val="none" w:sz="0" w:space="0" w:color="auto"/>
        <w:bottom w:val="none" w:sz="0" w:space="0" w:color="auto"/>
        <w:right w:val="none" w:sz="0" w:space="0" w:color="auto"/>
      </w:divBdr>
    </w:div>
    <w:div w:id="1360471650">
      <w:bodyDiv w:val="1"/>
      <w:marLeft w:val="0"/>
      <w:marRight w:val="0"/>
      <w:marTop w:val="0"/>
      <w:marBottom w:val="0"/>
      <w:divBdr>
        <w:top w:val="none" w:sz="0" w:space="0" w:color="auto"/>
        <w:left w:val="none" w:sz="0" w:space="0" w:color="auto"/>
        <w:bottom w:val="none" w:sz="0" w:space="0" w:color="auto"/>
        <w:right w:val="none" w:sz="0" w:space="0" w:color="auto"/>
      </w:divBdr>
    </w:div>
    <w:div w:id="1360544020">
      <w:bodyDiv w:val="1"/>
      <w:marLeft w:val="0"/>
      <w:marRight w:val="0"/>
      <w:marTop w:val="0"/>
      <w:marBottom w:val="0"/>
      <w:divBdr>
        <w:top w:val="none" w:sz="0" w:space="0" w:color="auto"/>
        <w:left w:val="none" w:sz="0" w:space="0" w:color="auto"/>
        <w:bottom w:val="none" w:sz="0" w:space="0" w:color="auto"/>
        <w:right w:val="none" w:sz="0" w:space="0" w:color="auto"/>
      </w:divBdr>
    </w:div>
    <w:div w:id="1360625127">
      <w:bodyDiv w:val="1"/>
      <w:marLeft w:val="0"/>
      <w:marRight w:val="0"/>
      <w:marTop w:val="0"/>
      <w:marBottom w:val="0"/>
      <w:divBdr>
        <w:top w:val="none" w:sz="0" w:space="0" w:color="auto"/>
        <w:left w:val="none" w:sz="0" w:space="0" w:color="auto"/>
        <w:bottom w:val="none" w:sz="0" w:space="0" w:color="auto"/>
        <w:right w:val="none" w:sz="0" w:space="0" w:color="auto"/>
      </w:divBdr>
    </w:div>
    <w:div w:id="1361129292">
      <w:bodyDiv w:val="1"/>
      <w:marLeft w:val="0"/>
      <w:marRight w:val="0"/>
      <w:marTop w:val="0"/>
      <w:marBottom w:val="0"/>
      <w:divBdr>
        <w:top w:val="none" w:sz="0" w:space="0" w:color="auto"/>
        <w:left w:val="none" w:sz="0" w:space="0" w:color="auto"/>
        <w:bottom w:val="none" w:sz="0" w:space="0" w:color="auto"/>
        <w:right w:val="none" w:sz="0" w:space="0" w:color="auto"/>
      </w:divBdr>
    </w:div>
    <w:div w:id="1361321752">
      <w:bodyDiv w:val="1"/>
      <w:marLeft w:val="0"/>
      <w:marRight w:val="0"/>
      <w:marTop w:val="0"/>
      <w:marBottom w:val="0"/>
      <w:divBdr>
        <w:top w:val="none" w:sz="0" w:space="0" w:color="auto"/>
        <w:left w:val="none" w:sz="0" w:space="0" w:color="auto"/>
        <w:bottom w:val="none" w:sz="0" w:space="0" w:color="auto"/>
        <w:right w:val="none" w:sz="0" w:space="0" w:color="auto"/>
      </w:divBdr>
    </w:div>
    <w:div w:id="1361666071">
      <w:bodyDiv w:val="1"/>
      <w:marLeft w:val="0"/>
      <w:marRight w:val="0"/>
      <w:marTop w:val="0"/>
      <w:marBottom w:val="0"/>
      <w:divBdr>
        <w:top w:val="none" w:sz="0" w:space="0" w:color="auto"/>
        <w:left w:val="none" w:sz="0" w:space="0" w:color="auto"/>
        <w:bottom w:val="none" w:sz="0" w:space="0" w:color="auto"/>
        <w:right w:val="none" w:sz="0" w:space="0" w:color="auto"/>
      </w:divBdr>
    </w:div>
    <w:div w:id="1361785732">
      <w:bodyDiv w:val="1"/>
      <w:marLeft w:val="0"/>
      <w:marRight w:val="0"/>
      <w:marTop w:val="0"/>
      <w:marBottom w:val="0"/>
      <w:divBdr>
        <w:top w:val="none" w:sz="0" w:space="0" w:color="auto"/>
        <w:left w:val="none" w:sz="0" w:space="0" w:color="auto"/>
        <w:bottom w:val="none" w:sz="0" w:space="0" w:color="auto"/>
        <w:right w:val="none" w:sz="0" w:space="0" w:color="auto"/>
      </w:divBdr>
    </w:div>
    <w:div w:id="1361786725">
      <w:bodyDiv w:val="1"/>
      <w:marLeft w:val="0"/>
      <w:marRight w:val="0"/>
      <w:marTop w:val="0"/>
      <w:marBottom w:val="0"/>
      <w:divBdr>
        <w:top w:val="none" w:sz="0" w:space="0" w:color="auto"/>
        <w:left w:val="none" w:sz="0" w:space="0" w:color="auto"/>
        <w:bottom w:val="none" w:sz="0" w:space="0" w:color="auto"/>
        <w:right w:val="none" w:sz="0" w:space="0" w:color="auto"/>
      </w:divBdr>
    </w:div>
    <w:div w:id="1361935153">
      <w:bodyDiv w:val="1"/>
      <w:marLeft w:val="0"/>
      <w:marRight w:val="0"/>
      <w:marTop w:val="0"/>
      <w:marBottom w:val="0"/>
      <w:divBdr>
        <w:top w:val="none" w:sz="0" w:space="0" w:color="auto"/>
        <w:left w:val="none" w:sz="0" w:space="0" w:color="auto"/>
        <w:bottom w:val="none" w:sz="0" w:space="0" w:color="auto"/>
        <w:right w:val="none" w:sz="0" w:space="0" w:color="auto"/>
      </w:divBdr>
    </w:div>
    <w:div w:id="1362173240">
      <w:bodyDiv w:val="1"/>
      <w:marLeft w:val="0"/>
      <w:marRight w:val="0"/>
      <w:marTop w:val="0"/>
      <w:marBottom w:val="0"/>
      <w:divBdr>
        <w:top w:val="none" w:sz="0" w:space="0" w:color="auto"/>
        <w:left w:val="none" w:sz="0" w:space="0" w:color="auto"/>
        <w:bottom w:val="none" w:sz="0" w:space="0" w:color="auto"/>
        <w:right w:val="none" w:sz="0" w:space="0" w:color="auto"/>
      </w:divBdr>
    </w:div>
    <w:div w:id="1362322811">
      <w:bodyDiv w:val="1"/>
      <w:marLeft w:val="0"/>
      <w:marRight w:val="0"/>
      <w:marTop w:val="0"/>
      <w:marBottom w:val="0"/>
      <w:divBdr>
        <w:top w:val="none" w:sz="0" w:space="0" w:color="auto"/>
        <w:left w:val="none" w:sz="0" w:space="0" w:color="auto"/>
        <w:bottom w:val="none" w:sz="0" w:space="0" w:color="auto"/>
        <w:right w:val="none" w:sz="0" w:space="0" w:color="auto"/>
      </w:divBdr>
    </w:div>
    <w:div w:id="1362589623">
      <w:bodyDiv w:val="1"/>
      <w:marLeft w:val="0"/>
      <w:marRight w:val="0"/>
      <w:marTop w:val="0"/>
      <w:marBottom w:val="0"/>
      <w:divBdr>
        <w:top w:val="none" w:sz="0" w:space="0" w:color="auto"/>
        <w:left w:val="none" w:sz="0" w:space="0" w:color="auto"/>
        <w:bottom w:val="none" w:sz="0" w:space="0" w:color="auto"/>
        <w:right w:val="none" w:sz="0" w:space="0" w:color="auto"/>
      </w:divBdr>
    </w:div>
    <w:div w:id="1362635487">
      <w:bodyDiv w:val="1"/>
      <w:marLeft w:val="0"/>
      <w:marRight w:val="0"/>
      <w:marTop w:val="0"/>
      <w:marBottom w:val="0"/>
      <w:divBdr>
        <w:top w:val="none" w:sz="0" w:space="0" w:color="auto"/>
        <w:left w:val="none" w:sz="0" w:space="0" w:color="auto"/>
        <w:bottom w:val="none" w:sz="0" w:space="0" w:color="auto"/>
        <w:right w:val="none" w:sz="0" w:space="0" w:color="auto"/>
      </w:divBdr>
    </w:div>
    <w:div w:id="1362821599">
      <w:bodyDiv w:val="1"/>
      <w:marLeft w:val="0"/>
      <w:marRight w:val="0"/>
      <w:marTop w:val="0"/>
      <w:marBottom w:val="0"/>
      <w:divBdr>
        <w:top w:val="none" w:sz="0" w:space="0" w:color="auto"/>
        <w:left w:val="none" w:sz="0" w:space="0" w:color="auto"/>
        <w:bottom w:val="none" w:sz="0" w:space="0" w:color="auto"/>
        <w:right w:val="none" w:sz="0" w:space="0" w:color="auto"/>
      </w:divBdr>
    </w:div>
    <w:div w:id="1363894690">
      <w:bodyDiv w:val="1"/>
      <w:marLeft w:val="0"/>
      <w:marRight w:val="0"/>
      <w:marTop w:val="0"/>
      <w:marBottom w:val="0"/>
      <w:divBdr>
        <w:top w:val="none" w:sz="0" w:space="0" w:color="auto"/>
        <w:left w:val="none" w:sz="0" w:space="0" w:color="auto"/>
        <w:bottom w:val="none" w:sz="0" w:space="0" w:color="auto"/>
        <w:right w:val="none" w:sz="0" w:space="0" w:color="auto"/>
      </w:divBdr>
    </w:div>
    <w:div w:id="1364138016">
      <w:bodyDiv w:val="1"/>
      <w:marLeft w:val="0"/>
      <w:marRight w:val="0"/>
      <w:marTop w:val="0"/>
      <w:marBottom w:val="0"/>
      <w:divBdr>
        <w:top w:val="none" w:sz="0" w:space="0" w:color="auto"/>
        <w:left w:val="none" w:sz="0" w:space="0" w:color="auto"/>
        <w:bottom w:val="none" w:sz="0" w:space="0" w:color="auto"/>
        <w:right w:val="none" w:sz="0" w:space="0" w:color="auto"/>
      </w:divBdr>
    </w:div>
    <w:div w:id="1365401348">
      <w:bodyDiv w:val="1"/>
      <w:marLeft w:val="0"/>
      <w:marRight w:val="0"/>
      <w:marTop w:val="0"/>
      <w:marBottom w:val="0"/>
      <w:divBdr>
        <w:top w:val="none" w:sz="0" w:space="0" w:color="auto"/>
        <w:left w:val="none" w:sz="0" w:space="0" w:color="auto"/>
        <w:bottom w:val="none" w:sz="0" w:space="0" w:color="auto"/>
        <w:right w:val="none" w:sz="0" w:space="0" w:color="auto"/>
      </w:divBdr>
    </w:div>
    <w:div w:id="1365404463">
      <w:bodyDiv w:val="1"/>
      <w:marLeft w:val="0"/>
      <w:marRight w:val="0"/>
      <w:marTop w:val="0"/>
      <w:marBottom w:val="0"/>
      <w:divBdr>
        <w:top w:val="none" w:sz="0" w:space="0" w:color="auto"/>
        <w:left w:val="none" w:sz="0" w:space="0" w:color="auto"/>
        <w:bottom w:val="none" w:sz="0" w:space="0" w:color="auto"/>
        <w:right w:val="none" w:sz="0" w:space="0" w:color="auto"/>
      </w:divBdr>
    </w:div>
    <w:div w:id="1366365644">
      <w:bodyDiv w:val="1"/>
      <w:marLeft w:val="0"/>
      <w:marRight w:val="0"/>
      <w:marTop w:val="0"/>
      <w:marBottom w:val="0"/>
      <w:divBdr>
        <w:top w:val="none" w:sz="0" w:space="0" w:color="auto"/>
        <w:left w:val="none" w:sz="0" w:space="0" w:color="auto"/>
        <w:bottom w:val="none" w:sz="0" w:space="0" w:color="auto"/>
        <w:right w:val="none" w:sz="0" w:space="0" w:color="auto"/>
      </w:divBdr>
    </w:div>
    <w:div w:id="1366522510">
      <w:bodyDiv w:val="1"/>
      <w:marLeft w:val="0"/>
      <w:marRight w:val="0"/>
      <w:marTop w:val="0"/>
      <w:marBottom w:val="0"/>
      <w:divBdr>
        <w:top w:val="none" w:sz="0" w:space="0" w:color="auto"/>
        <w:left w:val="none" w:sz="0" w:space="0" w:color="auto"/>
        <w:bottom w:val="none" w:sz="0" w:space="0" w:color="auto"/>
        <w:right w:val="none" w:sz="0" w:space="0" w:color="auto"/>
      </w:divBdr>
    </w:div>
    <w:div w:id="1366641951">
      <w:bodyDiv w:val="1"/>
      <w:marLeft w:val="0"/>
      <w:marRight w:val="0"/>
      <w:marTop w:val="0"/>
      <w:marBottom w:val="0"/>
      <w:divBdr>
        <w:top w:val="none" w:sz="0" w:space="0" w:color="auto"/>
        <w:left w:val="none" w:sz="0" w:space="0" w:color="auto"/>
        <w:bottom w:val="none" w:sz="0" w:space="0" w:color="auto"/>
        <w:right w:val="none" w:sz="0" w:space="0" w:color="auto"/>
      </w:divBdr>
    </w:div>
    <w:div w:id="1367099612">
      <w:bodyDiv w:val="1"/>
      <w:marLeft w:val="0"/>
      <w:marRight w:val="0"/>
      <w:marTop w:val="0"/>
      <w:marBottom w:val="0"/>
      <w:divBdr>
        <w:top w:val="none" w:sz="0" w:space="0" w:color="auto"/>
        <w:left w:val="none" w:sz="0" w:space="0" w:color="auto"/>
        <w:bottom w:val="none" w:sz="0" w:space="0" w:color="auto"/>
        <w:right w:val="none" w:sz="0" w:space="0" w:color="auto"/>
      </w:divBdr>
    </w:div>
    <w:div w:id="1367102082">
      <w:bodyDiv w:val="1"/>
      <w:marLeft w:val="0"/>
      <w:marRight w:val="0"/>
      <w:marTop w:val="0"/>
      <w:marBottom w:val="0"/>
      <w:divBdr>
        <w:top w:val="none" w:sz="0" w:space="0" w:color="auto"/>
        <w:left w:val="none" w:sz="0" w:space="0" w:color="auto"/>
        <w:bottom w:val="none" w:sz="0" w:space="0" w:color="auto"/>
        <w:right w:val="none" w:sz="0" w:space="0" w:color="auto"/>
      </w:divBdr>
    </w:div>
    <w:div w:id="1367215237">
      <w:bodyDiv w:val="1"/>
      <w:marLeft w:val="0"/>
      <w:marRight w:val="0"/>
      <w:marTop w:val="0"/>
      <w:marBottom w:val="0"/>
      <w:divBdr>
        <w:top w:val="none" w:sz="0" w:space="0" w:color="auto"/>
        <w:left w:val="none" w:sz="0" w:space="0" w:color="auto"/>
        <w:bottom w:val="none" w:sz="0" w:space="0" w:color="auto"/>
        <w:right w:val="none" w:sz="0" w:space="0" w:color="auto"/>
      </w:divBdr>
    </w:div>
    <w:div w:id="1368525165">
      <w:bodyDiv w:val="1"/>
      <w:marLeft w:val="0"/>
      <w:marRight w:val="0"/>
      <w:marTop w:val="0"/>
      <w:marBottom w:val="0"/>
      <w:divBdr>
        <w:top w:val="none" w:sz="0" w:space="0" w:color="auto"/>
        <w:left w:val="none" w:sz="0" w:space="0" w:color="auto"/>
        <w:bottom w:val="none" w:sz="0" w:space="0" w:color="auto"/>
        <w:right w:val="none" w:sz="0" w:space="0" w:color="auto"/>
      </w:divBdr>
    </w:div>
    <w:div w:id="1369179915">
      <w:bodyDiv w:val="1"/>
      <w:marLeft w:val="0"/>
      <w:marRight w:val="0"/>
      <w:marTop w:val="0"/>
      <w:marBottom w:val="0"/>
      <w:divBdr>
        <w:top w:val="none" w:sz="0" w:space="0" w:color="auto"/>
        <w:left w:val="none" w:sz="0" w:space="0" w:color="auto"/>
        <w:bottom w:val="none" w:sz="0" w:space="0" w:color="auto"/>
        <w:right w:val="none" w:sz="0" w:space="0" w:color="auto"/>
      </w:divBdr>
    </w:div>
    <w:div w:id="1369260847">
      <w:bodyDiv w:val="1"/>
      <w:marLeft w:val="0"/>
      <w:marRight w:val="0"/>
      <w:marTop w:val="0"/>
      <w:marBottom w:val="0"/>
      <w:divBdr>
        <w:top w:val="none" w:sz="0" w:space="0" w:color="auto"/>
        <w:left w:val="none" w:sz="0" w:space="0" w:color="auto"/>
        <w:bottom w:val="none" w:sz="0" w:space="0" w:color="auto"/>
        <w:right w:val="none" w:sz="0" w:space="0" w:color="auto"/>
      </w:divBdr>
    </w:div>
    <w:div w:id="1369333520">
      <w:bodyDiv w:val="1"/>
      <w:marLeft w:val="0"/>
      <w:marRight w:val="0"/>
      <w:marTop w:val="0"/>
      <w:marBottom w:val="0"/>
      <w:divBdr>
        <w:top w:val="none" w:sz="0" w:space="0" w:color="auto"/>
        <w:left w:val="none" w:sz="0" w:space="0" w:color="auto"/>
        <w:bottom w:val="none" w:sz="0" w:space="0" w:color="auto"/>
        <w:right w:val="none" w:sz="0" w:space="0" w:color="auto"/>
      </w:divBdr>
    </w:div>
    <w:div w:id="1369572670">
      <w:bodyDiv w:val="1"/>
      <w:marLeft w:val="0"/>
      <w:marRight w:val="0"/>
      <w:marTop w:val="0"/>
      <w:marBottom w:val="0"/>
      <w:divBdr>
        <w:top w:val="none" w:sz="0" w:space="0" w:color="auto"/>
        <w:left w:val="none" w:sz="0" w:space="0" w:color="auto"/>
        <w:bottom w:val="none" w:sz="0" w:space="0" w:color="auto"/>
        <w:right w:val="none" w:sz="0" w:space="0" w:color="auto"/>
      </w:divBdr>
    </w:div>
    <w:div w:id="1369985733">
      <w:bodyDiv w:val="1"/>
      <w:marLeft w:val="0"/>
      <w:marRight w:val="0"/>
      <w:marTop w:val="0"/>
      <w:marBottom w:val="0"/>
      <w:divBdr>
        <w:top w:val="none" w:sz="0" w:space="0" w:color="auto"/>
        <w:left w:val="none" w:sz="0" w:space="0" w:color="auto"/>
        <w:bottom w:val="none" w:sz="0" w:space="0" w:color="auto"/>
        <w:right w:val="none" w:sz="0" w:space="0" w:color="auto"/>
      </w:divBdr>
    </w:div>
    <w:div w:id="1370375880">
      <w:bodyDiv w:val="1"/>
      <w:marLeft w:val="0"/>
      <w:marRight w:val="0"/>
      <w:marTop w:val="0"/>
      <w:marBottom w:val="0"/>
      <w:divBdr>
        <w:top w:val="none" w:sz="0" w:space="0" w:color="auto"/>
        <w:left w:val="none" w:sz="0" w:space="0" w:color="auto"/>
        <w:bottom w:val="none" w:sz="0" w:space="0" w:color="auto"/>
        <w:right w:val="none" w:sz="0" w:space="0" w:color="auto"/>
      </w:divBdr>
    </w:div>
    <w:div w:id="1370454986">
      <w:bodyDiv w:val="1"/>
      <w:marLeft w:val="0"/>
      <w:marRight w:val="0"/>
      <w:marTop w:val="0"/>
      <w:marBottom w:val="0"/>
      <w:divBdr>
        <w:top w:val="none" w:sz="0" w:space="0" w:color="auto"/>
        <w:left w:val="none" w:sz="0" w:space="0" w:color="auto"/>
        <w:bottom w:val="none" w:sz="0" w:space="0" w:color="auto"/>
        <w:right w:val="none" w:sz="0" w:space="0" w:color="auto"/>
      </w:divBdr>
    </w:div>
    <w:div w:id="1370494258">
      <w:bodyDiv w:val="1"/>
      <w:marLeft w:val="0"/>
      <w:marRight w:val="0"/>
      <w:marTop w:val="0"/>
      <w:marBottom w:val="0"/>
      <w:divBdr>
        <w:top w:val="none" w:sz="0" w:space="0" w:color="auto"/>
        <w:left w:val="none" w:sz="0" w:space="0" w:color="auto"/>
        <w:bottom w:val="none" w:sz="0" w:space="0" w:color="auto"/>
        <w:right w:val="none" w:sz="0" w:space="0" w:color="auto"/>
      </w:divBdr>
    </w:div>
    <w:div w:id="1370567221">
      <w:bodyDiv w:val="1"/>
      <w:marLeft w:val="0"/>
      <w:marRight w:val="0"/>
      <w:marTop w:val="0"/>
      <w:marBottom w:val="0"/>
      <w:divBdr>
        <w:top w:val="none" w:sz="0" w:space="0" w:color="auto"/>
        <w:left w:val="none" w:sz="0" w:space="0" w:color="auto"/>
        <w:bottom w:val="none" w:sz="0" w:space="0" w:color="auto"/>
        <w:right w:val="none" w:sz="0" w:space="0" w:color="auto"/>
      </w:divBdr>
    </w:div>
    <w:div w:id="1370716523">
      <w:bodyDiv w:val="1"/>
      <w:marLeft w:val="0"/>
      <w:marRight w:val="0"/>
      <w:marTop w:val="0"/>
      <w:marBottom w:val="0"/>
      <w:divBdr>
        <w:top w:val="none" w:sz="0" w:space="0" w:color="auto"/>
        <w:left w:val="none" w:sz="0" w:space="0" w:color="auto"/>
        <w:bottom w:val="none" w:sz="0" w:space="0" w:color="auto"/>
        <w:right w:val="none" w:sz="0" w:space="0" w:color="auto"/>
      </w:divBdr>
    </w:div>
    <w:div w:id="1370838621">
      <w:bodyDiv w:val="1"/>
      <w:marLeft w:val="0"/>
      <w:marRight w:val="0"/>
      <w:marTop w:val="0"/>
      <w:marBottom w:val="0"/>
      <w:divBdr>
        <w:top w:val="none" w:sz="0" w:space="0" w:color="auto"/>
        <w:left w:val="none" w:sz="0" w:space="0" w:color="auto"/>
        <w:bottom w:val="none" w:sz="0" w:space="0" w:color="auto"/>
        <w:right w:val="none" w:sz="0" w:space="0" w:color="auto"/>
      </w:divBdr>
    </w:div>
    <w:div w:id="1371104757">
      <w:bodyDiv w:val="1"/>
      <w:marLeft w:val="0"/>
      <w:marRight w:val="0"/>
      <w:marTop w:val="0"/>
      <w:marBottom w:val="0"/>
      <w:divBdr>
        <w:top w:val="none" w:sz="0" w:space="0" w:color="auto"/>
        <w:left w:val="none" w:sz="0" w:space="0" w:color="auto"/>
        <w:bottom w:val="none" w:sz="0" w:space="0" w:color="auto"/>
        <w:right w:val="none" w:sz="0" w:space="0" w:color="auto"/>
      </w:divBdr>
    </w:div>
    <w:div w:id="1371109837">
      <w:bodyDiv w:val="1"/>
      <w:marLeft w:val="0"/>
      <w:marRight w:val="0"/>
      <w:marTop w:val="0"/>
      <w:marBottom w:val="0"/>
      <w:divBdr>
        <w:top w:val="none" w:sz="0" w:space="0" w:color="auto"/>
        <w:left w:val="none" w:sz="0" w:space="0" w:color="auto"/>
        <w:bottom w:val="none" w:sz="0" w:space="0" w:color="auto"/>
        <w:right w:val="none" w:sz="0" w:space="0" w:color="auto"/>
      </w:divBdr>
    </w:div>
    <w:div w:id="1371224748">
      <w:bodyDiv w:val="1"/>
      <w:marLeft w:val="0"/>
      <w:marRight w:val="0"/>
      <w:marTop w:val="0"/>
      <w:marBottom w:val="0"/>
      <w:divBdr>
        <w:top w:val="none" w:sz="0" w:space="0" w:color="auto"/>
        <w:left w:val="none" w:sz="0" w:space="0" w:color="auto"/>
        <w:bottom w:val="none" w:sz="0" w:space="0" w:color="auto"/>
        <w:right w:val="none" w:sz="0" w:space="0" w:color="auto"/>
      </w:divBdr>
    </w:div>
    <w:div w:id="1371225559">
      <w:bodyDiv w:val="1"/>
      <w:marLeft w:val="0"/>
      <w:marRight w:val="0"/>
      <w:marTop w:val="0"/>
      <w:marBottom w:val="0"/>
      <w:divBdr>
        <w:top w:val="none" w:sz="0" w:space="0" w:color="auto"/>
        <w:left w:val="none" w:sz="0" w:space="0" w:color="auto"/>
        <w:bottom w:val="none" w:sz="0" w:space="0" w:color="auto"/>
        <w:right w:val="none" w:sz="0" w:space="0" w:color="auto"/>
      </w:divBdr>
    </w:div>
    <w:div w:id="1371229302">
      <w:bodyDiv w:val="1"/>
      <w:marLeft w:val="0"/>
      <w:marRight w:val="0"/>
      <w:marTop w:val="0"/>
      <w:marBottom w:val="0"/>
      <w:divBdr>
        <w:top w:val="none" w:sz="0" w:space="0" w:color="auto"/>
        <w:left w:val="none" w:sz="0" w:space="0" w:color="auto"/>
        <w:bottom w:val="none" w:sz="0" w:space="0" w:color="auto"/>
        <w:right w:val="none" w:sz="0" w:space="0" w:color="auto"/>
      </w:divBdr>
    </w:div>
    <w:div w:id="1371685941">
      <w:bodyDiv w:val="1"/>
      <w:marLeft w:val="0"/>
      <w:marRight w:val="0"/>
      <w:marTop w:val="0"/>
      <w:marBottom w:val="0"/>
      <w:divBdr>
        <w:top w:val="none" w:sz="0" w:space="0" w:color="auto"/>
        <w:left w:val="none" w:sz="0" w:space="0" w:color="auto"/>
        <w:bottom w:val="none" w:sz="0" w:space="0" w:color="auto"/>
        <w:right w:val="none" w:sz="0" w:space="0" w:color="auto"/>
      </w:divBdr>
    </w:div>
    <w:div w:id="1371956534">
      <w:bodyDiv w:val="1"/>
      <w:marLeft w:val="0"/>
      <w:marRight w:val="0"/>
      <w:marTop w:val="0"/>
      <w:marBottom w:val="0"/>
      <w:divBdr>
        <w:top w:val="none" w:sz="0" w:space="0" w:color="auto"/>
        <w:left w:val="none" w:sz="0" w:space="0" w:color="auto"/>
        <w:bottom w:val="none" w:sz="0" w:space="0" w:color="auto"/>
        <w:right w:val="none" w:sz="0" w:space="0" w:color="auto"/>
      </w:divBdr>
    </w:div>
    <w:div w:id="1372415282">
      <w:bodyDiv w:val="1"/>
      <w:marLeft w:val="0"/>
      <w:marRight w:val="0"/>
      <w:marTop w:val="0"/>
      <w:marBottom w:val="0"/>
      <w:divBdr>
        <w:top w:val="none" w:sz="0" w:space="0" w:color="auto"/>
        <w:left w:val="none" w:sz="0" w:space="0" w:color="auto"/>
        <w:bottom w:val="none" w:sz="0" w:space="0" w:color="auto"/>
        <w:right w:val="none" w:sz="0" w:space="0" w:color="auto"/>
      </w:divBdr>
    </w:div>
    <w:div w:id="1372879530">
      <w:bodyDiv w:val="1"/>
      <w:marLeft w:val="0"/>
      <w:marRight w:val="0"/>
      <w:marTop w:val="0"/>
      <w:marBottom w:val="0"/>
      <w:divBdr>
        <w:top w:val="none" w:sz="0" w:space="0" w:color="auto"/>
        <w:left w:val="none" w:sz="0" w:space="0" w:color="auto"/>
        <w:bottom w:val="none" w:sz="0" w:space="0" w:color="auto"/>
        <w:right w:val="none" w:sz="0" w:space="0" w:color="auto"/>
      </w:divBdr>
    </w:div>
    <w:div w:id="1373186525">
      <w:bodyDiv w:val="1"/>
      <w:marLeft w:val="0"/>
      <w:marRight w:val="0"/>
      <w:marTop w:val="0"/>
      <w:marBottom w:val="0"/>
      <w:divBdr>
        <w:top w:val="none" w:sz="0" w:space="0" w:color="auto"/>
        <w:left w:val="none" w:sz="0" w:space="0" w:color="auto"/>
        <w:bottom w:val="none" w:sz="0" w:space="0" w:color="auto"/>
        <w:right w:val="none" w:sz="0" w:space="0" w:color="auto"/>
      </w:divBdr>
    </w:div>
    <w:div w:id="1373379739">
      <w:bodyDiv w:val="1"/>
      <w:marLeft w:val="0"/>
      <w:marRight w:val="0"/>
      <w:marTop w:val="0"/>
      <w:marBottom w:val="0"/>
      <w:divBdr>
        <w:top w:val="none" w:sz="0" w:space="0" w:color="auto"/>
        <w:left w:val="none" w:sz="0" w:space="0" w:color="auto"/>
        <w:bottom w:val="none" w:sz="0" w:space="0" w:color="auto"/>
        <w:right w:val="none" w:sz="0" w:space="0" w:color="auto"/>
      </w:divBdr>
    </w:div>
    <w:div w:id="1373654508">
      <w:bodyDiv w:val="1"/>
      <w:marLeft w:val="0"/>
      <w:marRight w:val="0"/>
      <w:marTop w:val="0"/>
      <w:marBottom w:val="0"/>
      <w:divBdr>
        <w:top w:val="none" w:sz="0" w:space="0" w:color="auto"/>
        <w:left w:val="none" w:sz="0" w:space="0" w:color="auto"/>
        <w:bottom w:val="none" w:sz="0" w:space="0" w:color="auto"/>
        <w:right w:val="none" w:sz="0" w:space="0" w:color="auto"/>
      </w:divBdr>
    </w:div>
    <w:div w:id="1373844639">
      <w:bodyDiv w:val="1"/>
      <w:marLeft w:val="0"/>
      <w:marRight w:val="0"/>
      <w:marTop w:val="0"/>
      <w:marBottom w:val="0"/>
      <w:divBdr>
        <w:top w:val="none" w:sz="0" w:space="0" w:color="auto"/>
        <w:left w:val="none" w:sz="0" w:space="0" w:color="auto"/>
        <w:bottom w:val="none" w:sz="0" w:space="0" w:color="auto"/>
        <w:right w:val="none" w:sz="0" w:space="0" w:color="auto"/>
      </w:divBdr>
    </w:div>
    <w:div w:id="1374118681">
      <w:bodyDiv w:val="1"/>
      <w:marLeft w:val="0"/>
      <w:marRight w:val="0"/>
      <w:marTop w:val="0"/>
      <w:marBottom w:val="0"/>
      <w:divBdr>
        <w:top w:val="none" w:sz="0" w:space="0" w:color="auto"/>
        <w:left w:val="none" w:sz="0" w:space="0" w:color="auto"/>
        <w:bottom w:val="none" w:sz="0" w:space="0" w:color="auto"/>
        <w:right w:val="none" w:sz="0" w:space="0" w:color="auto"/>
      </w:divBdr>
    </w:div>
    <w:div w:id="1374229622">
      <w:bodyDiv w:val="1"/>
      <w:marLeft w:val="0"/>
      <w:marRight w:val="0"/>
      <w:marTop w:val="0"/>
      <w:marBottom w:val="0"/>
      <w:divBdr>
        <w:top w:val="none" w:sz="0" w:space="0" w:color="auto"/>
        <w:left w:val="none" w:sz="0" w:space="0" w:color="auto"/>
        <w:bottom w:val="none" w:sz="0" w:space="0" w:color="auto"/>
        <w:right w:val="none" w:sz="0" w:space="0" w:color="auto"/>
      </w:divBdr>
    </w:div>
    <w:div w:id="1374883032">
      <w:bodyDiv w:val="1"/>
      <w:marLeft w:val="0"/>
      <w:marRight w:val="0"/>
      <w:marTop w:val="0"/>
      <w:marBottom w:val="0"/>
      <w:divBdr>
        <w:top w:val="none" w:sz="0" w:space="0" w:color="auto"/>
        <w:left w:val="none" w:sz="0" w:space="0" w:color="auto"/>
        <w:bottom w:val="none" w:sz="0" w:space="0" w:color="auto"/>
        <w:right w:val="none" w:sz="0" w:space="0" w:color="auto"/>
      </w:divBdr>
    </w:div>
    <w:div w:id="1375889157">
      <w:bodyDiv w:val="1"/>
      <w:marLeft w:val="0"/>
      <w:marRight w:val="0"/>
      <w:marTop w:val="0"/>
      <w:marBottom w:val="0"/>
      <w:divBdr>
        <w:top w:val="none" w:sz="0" w:space="0" w:color="auto"/>
        <w:left w:val="none" w:sz="0" w:space="0" w:color="auto"/>
        <w:bottom w:val="none" w:sz="0" w:space="0" w:color="auto"/>
        <w:right w:val="none" w:sz="0" w:space="0" w:color="auto"/>
      </w:divBdr>
    </w:div>
    <w:div w:id="1376000642">
      <w:bodyDiv w:val="1"/>
      <w:marLeft w:val="0"/>
      <w:marRight w:val="0"/>
      <w:marTop w:val="0"/>
      <w:marBottom w:val="0"/>
      <w:divBdr>
        <w:top w:val="none" w:sz="0" w:space="0" w:color="auto"/>
        <w:left w:val="none" w:sz="0" w:space="0" w:color="auto"/>
        <w:bottom w:val="none" w:sz="0" w:space="0" w:color="auto"/>
        <w:right w:val="none" w:sz="0" w:space="0" w:color="auto"/>
      </w:divBdr>
    </w:div>
    <w:div w:id="1376277867">
      <w:bodyDiv w:val="1"/>
      <w:marLeft w:val="0"/>
      <w:marRight w:val="0"/>
      <w:marTop w:val="0"/>
      <w:marBottom w:val="0"/>
      <w:divBdr>
        <w:top w:val="none" w:sz="0" w:space="0" w:color="auto"/>
        <w:left w:val="none" w:sz="0" w:space="0" w:color="auto"/>
        <w:bottom w:val="none" w:sz="0" w:space="0" w:color="auto"/>
        <w:right w:val="none" w:sz="0" w:space="0" w:color="auto"/>
      </w:divBdr>
    </w:div>
    <w:div w:id="1376731410">
      <w:bodyDiv w:val="1"/>
      <w:marLeft w:val="0"/>
      <w:marRight w:val="0"/>
      <w:marTop w:val="0"/>
      <w:marBottom w:val="0"/>
      <w:divBdr>
        <w:top w:val="none" w:sz="0" w:space="0" w:color="auto"/>
        <w:left w:val="none" w:sz="0" w:space="0" w:color="auto"/>
        <w:bottom w:val="none" w:sz="0" w:space="0" w:color="auto"/>
        <w:right w:val="none" w:sz="0" w:space="0" w:color="auto"/>
      </w:divBdr>
    </w:div>
    <w:div w:id="1378240507">
      <w:bodyDiv w:val="1"/>
      <w:marLeft w:val="0"/>
      <w:marRight w:val="0"/>
      <w:marTop w:val="0"/>
      <w:marBottom w:val="0"/>
      <w:divBdr>
        <w:top w:val="none" w:sz="0" w:space="0" w:color="auto"/>
        <w:left w:val="none" w:sz="0" w:space="0" w:color="auto"/>
        <w:bottom w:val="none" w:sz="0" w:space="0" w:color="auto"/>
        <w:right w:val="none" w:sz="0" w:space="0" w:color="auto"/>
      </w:divBdr>
    </w:div>
    <w:div w:id="1378549979">
      <w:bodyDiv w:val="1"/>
      <w:marLeft w:val="0"/>
      <w:marRight w:val="0"/>
      <w:marTop w:val="0"/>
      <w:marBottom w:val="0"/>
      <w:divBdr>
        <w:top w:val="none" w:sz="0" w:space="0" w:color="auto"/>
        <w:left w:val="none" w:sz="0" w:space="0" w:color="auto"/>
        <w:bottom w:val="none" w:sz="0" w:space="0" w:color="auto"/>
        <w:right w:val="none" w:sz="0" w:space="0" w:color="auto"/>
      </w:divBdr>
    </w:div>
    <w:div w:id="1378697631">
      <w:bodyDiv w:val="1"/>
      <w:marLeft w:val="0"/>
      <w:marRight w:val="0"/>
      <w:marTop w:val="0"/>
      <w:marBottom w:val="0"/>
      <w:divBdr>
        <w:top w:val="none" w:sz="0" w:space="0" w:color="auto"/>
        <w:left w:val="none" w:sz="0" w:space="0" w:color="auto"/>
        <w:bottom w:val="none" w:sz="0" w:space="0" w:color="auto"/>
        <w:right w:val="none" w:sz="0" w:space="0" w:color="auto"/>
      </w:divBdr>
    </w:div>
    <w:div w:id="1379280380">
      <w:bodyDiv w:val="1"/>
      <w:marLeft w:val="0"/>
      <w:marRight w:val="0"/>
      <w:marTop w:val="0"/>
      <w:marBottom w:val="0"/>
      <w:divBdr>
        <w:top w:val="none" w:sz="0" w:space="0" w:color="auto"/>
        <w:left w:val="none" w:sz="0" w:space="0" w:color="auto"/>
        <w:bottom w:val="none" w:sz="0" w:space="0" w:color="auto"/>
        <w:right w:val="none" w:sz="0" w:space="0" w:color="auto"/>
      </w:divBdr>
    </w:div>
    <w:div w:id="1379864599">
      <w:bodyDiv w:val="1"/>
      <w:marLeft w:val="0"/>
      <w:marRight w:val="0"/>
      <w:marTop w:val="0"/>
      <w:marBottom w:val="0"/>
      <w:divBdr>
        <w:top w:val="none" w:sz="0" w:space="0" w:color="auto"/>
        <w:left w:val="none" w:sz="0" w:space="0" w:color="auto"/>
        <w:bottom w:val="none" w:sz="0" w:space="0" w:color="auto"/>
        <w:right w:val="none" w:sz="0" w:space="0" w:color="auto"/>
      </w:divBdr>
    </w:div>
    <w:div w:id="1380546537">
      <w:bodyDiv w:val="1"/>
      <w:marLeft w:val="0"/>
      <w:marRight w:val="0"/>
      <w:marTop w:val="0"/>
      <w:marBottom w:val="0"/>
      <w:divBdr>
        <w:top w:val="none" w:sz="0" w:space="0" w:color="auto"/>
        <w:left w:val="none" w:sz="0" w:space="0" w:color="auto"/>
        <w:bottom w:val="none" w:sz="0" w:space="0" w:color="auto"/>
        <w:right w:val="none" w:sz="0" w:space="0" w:color="auto"/>
      </w:divBdr>
    </w:div>
    <w:div w:id="1380592854">
      <w:bodyDiv w:val="1"/>
      <w:marLeft w:val="0"/>
      <w:marRight w:val="0"/>
      <w:marTop w:val="0"/>
      <w:marBottom w:val="0"/>
      <w:divBdr>
        <w:top w:val="none" w:sz="0" w:space="0" w:color="auto"/>
        <w:left w:val="none" w:sz="0" w:space="0" w:color="auto"/>
        <w:bottom w:val="none" w:sz="0" w:space="0" w:color="auto"/>
        <w:right w:val="none" w:sz="0" w:space="0" w:color="auto"/>
      </w:divBdr>
    </w:div>
    <w:div w:id="1380712806">
      <w:bodyDiv w:val="1"/>
      <w:marLeft w:val="0"/>
      <w:marRight w:val="0"/>
      <w:marTop w:val="0"/>
      <w:marBottom w:val="0"/>
      <w:divBdr>
        <w:top w:val="none" w:sz="0" w:space="0" w:color="auto"/>
        <w:left w:val="none" w:sz="0" w:space="0" w:color="auto"/>
        <w:bottom w:val="none" w:sz="0" w:space="0" w:color="auto"/>
        <w:right w:val="none" w:sz="0" w:space="0" w:color="auto"/>
      </w:divBdr>
    </w:div>
    <w:div w:id="1380787253">
      <w:bodyDiv w:val="1"/>
      <w:marLeft w:val="0"/>
      <w:marRight w:val="0"/>
      <w:marTop w:val="0"/>
      <w:marBottom w:val="0"/>
      <w:divBdr>
        <w:top w:val="none" w:sz="0" w:space="0" w:color="auto"/>
        <w:left w:val="none" w:sz="0" w:space="0" w:color="auto"/>
        <w:bottom w:val="none" w:sz="0" w:space="0" w:color="auto"/>
        <w:right w:val="none" w:sz="0" w:space="0" w:color="auto"/>
      </w:divBdr>
    </w:div>
    <w:div w:id="1380787286">
      <w:bodyDiv w:val="1"/>
      <w:marLeft w:val="0"/>
      <w:marRight w:val="0"/>
      <w:marTop w:val="0"/>
      <w:marBottom w:val="0"/>
      <w:divBdr>
        <w:top w:val="none" w:sz="0" w:space="0" w:color="auto"/>
        <w:left w:val="none" w:sz="0" w:space="0" w:color="auto"/>
        <w:bottom w:val="none" w:sz="0" w:space="0" w:color="auto"/>
        <w:right w:val="none" w:sz="0" w:space="0" w:color="auto"/>
      </w:divBdr>
    </w:div>
    <w:div w:id="1380862187">
      <w:bodyDiv w:val="1"/>
      <w:marLeft w:val="0"/>
      <w:marRight w:val="0"/>
      <w:marTop w:val="0"/>
      <w:marBottom w:val="0"/>
      <w:divBdr>
        <w:top w:val="none" w:sz="0" w:space="0" w:color="auto"/>
        <w:left w:val="none" w:sz="0" w:space="0" w:color="auto"/>
        <w:bottom w:val="none" w:sz="0" w:space="0" w:color="auto"/>
        <w:right w:val="none" w:sz="0" w:space="0" w:color="auto"/>
      </w:divBdr>
    </w:div>
    <w:div w:id="1381175327">
      <w:bodyDiv w:val="1"/>
      <w:marLeft w:val="0"/>
      <w:marRight w:val="0"/>
      <w:marTop w:val="0"/>
      <w:marBottom w:val="0"/>
      <w:divBdr>
        <w:top w:val="none" w:sz="0" w:space="0" w:color="auto"/>
        <w:left w:val="none" w:sz="0" w:space="0" w:color="auto"/>
        <w:bottom w:val="none" w:sz="0" w:space="0" w:color="auto"/>
        <w:right w:val="none" w:sz="0" w:space="0" w:color="auto"/>
      </w:divBdr>
    </w:div>
    <w:div w:id="1381317497">
      <w:bodyDiv w:val="1"/>
      <w:marLeft w:val="0"/>
      <w:marRight w:val="0"/>
      <w:marTop w:val="0"/>
      <w:marBottom w:val="0"/>
      <w:divBdr>
        <w:top w:val="none" w:sz="0" w:space="0" w:color="auto"/>
        <w:left w:val="none" w:sz="0" w:space="0" w:color="auto"/>
        <w:bottom w:val="none" w:sz="0" w:space="0" w:color="auto"/>
        <w:right w:val="none" w:sz="0" w:space="0" w:color="auto"/>
      </w:divBdr>
    </w:div>
    <w:div w:id="1381513030">
      <w:bodyDiv w:val="1"/>
      <w:marLeft w:val="0"/>
      <w:marRight w:val="0"/>
      <w:marTop w:val="0"/>
      <w:marBottom w:val="0"/>
      <w:divBdr>
        <w:top w:val="none" w:sz="0" w:space="0" w:color="auto"/>
        <w:left w:val="none" w:sz="0" w:space="0" w:color="auto"/>
        <w:bottom w:val="none" w:sz="0" w:space="0" w:color="auto"/>
        <w:right w:val="none" w:sz="0" w:space="0" w:color="auto"/>
      </w:divBdr>
    </w:div>
    <w:div w:id="1381515192">
      <w:bodyDiv w:val="1"/>
      <w:marLeft w:val="0"/>
      <w:marRight w:val="0"/>
      <w:marTop w:val="0"/>
      <w:marBottom w:val="0"/>
      <w:divBdr>
        <w:top w:val="none" w:sz="0" w:space="0" w:color="auto"/>
        <w:left w:val="none" w:sz="0" w:space="0" w:color="auto"/>
        <w:bottom w:val="none" w:sz="0" w:space="0" w:color="auto"/>
        <w:right w:val="none" w:sz="0" w:space="0" w:color="auto"/>
      </w:divBdr>
    </w:div>
    <w:div w:id="1382097333">
      <w:bodyDiv w:val="1"/>
      <w:marLeft w:val="0"/>
      <w:marRight w:val="0"/>
      <w:marTop w:val="0"/>
      <w:marBottom w:val="0"/>
      <w:divBdr>
        <w:top w:val="none" w:sz="0" w:space="0" w:color="auto"/>
        <w:left w:val="none" w:sz="0" w:space="0" w:color="auto"/>
        <w:bottom w:val="none" w:sz="0" w:space="0" w:color="auto"/>
        <w:right w:val="none" w:sz="0" w:space="0" w:color="auto"/>
      </w:divBdr>
    </w:div>
    <w:div w:id="1382443368">
      <w:bodyDiv w:val="1"/>
      <w:marLeft w:val="0"/>
      <w:marRight w:val="0"/>
      <w:marTop w:val="0"/>
      <w:marBottom w:val="0"/>
      <w:divBdr>
        <w:top w:val="none" w:sz="0" w:space="0" w:color="auto"/>
        <w:left w:val="none" w:sz="0" w:space="0" w:color="auto"/>
        <w:bottom w:val="none" w:sz="0" w:space="0" w:color="auto"/>
        <w:right w:val="none" w:sz="0" w:space="0" w:color="auto"/>
      </w:divBdr>
    </w:div>
    <w:div w:id="1382904021">
      <w:bodyDiv w:val="1"/>
      <w:marLeft w:val="0"/>
      <w:marRight w:val="0"/>
      <w:marTop w:val="0"/>
      <w:marBottom w:val="0"/>
      <w:divBdr>
        <w:top w:val="none" w:sz="0" w:space="0" w:color="auto"/>
        <w:left w:val="none" w:sz="0" w:space="0" w:color="auto"/>
        <w:bottom w:val="none" w:sz="0" w:space="0" w:color="auto"/>
        <w:right w:val="none" w:sz="0" w:space="0" w:color="auto"/>
      </w:divBdr>
    </w:div>
    <w:div w:id="1383286386">
      <w:bodyDiv w:val="1"/>
      <w:marLeft w:val="0"/>
      <w:marRight w:val="0"/>
      <w:marTop w:val="0"/>
      <w:marBottom w:val="0"/>
      <w:divBdr>
        <w:top w:val="none" w:sz="0" w:space="0" w:color="auto"/>
        <w:left w:val="none" w:sz="0" w:space="0" w:color="auto"/>
        <w:bottom w:val="none" w:sz="0" w:space="0" w:color="auto"/>
        <w:right w:val="none" w:sz="0" w:space="0" w:color="auto"/>
      </w:divBdr>
    </w:div>
    <w:div w:id="1383596446">
      <w:bodyDiv w:val="1"/>
      <w:marLeft w:val="0"/>
      <w:marRight w:val="0"/>
      <w:marTop w:val="0"/>
      <w:marBottom w:val="0"/>
      <w:divBdr>
        <w:top w:val="none" w:sz="0" w:space="0" w:color="auto"/>
        <w:left w:val="none" w:sz="0" w:space="0" w:color="auto"/>
        <w:bottom w:val="none" w:sz="0" w:space="0" w:color="auto"/>
        <w:right w:val="none" w:sz="0" w:space="0" w:color="auto"/>
      </w:divBdr>
    </w:div>
    <w:div w:id="1383674990">
      <w:bodyDiv w:val="1"/>
      <w:marLeft w:val="0"/>
      <w:marRight w:val="0"/>
      <w:marTop w:val="0"/>
      <w:marBottom w:val="0"/>
      <w:divBdr>
        <w:top w:val="none" w:sz="0" w:space="0" w:color="auto"/>
        <w:left w:val="none" w:sz="0" w:space="0" w:color="auto"/>
        <w:bottom w:val="none" w:sz="0" w:space="0" w:color="auto"/>
        <w:right w:val="none" w:sz="0" w:space="0" w:color="auto"/>
      </w:divBdr>
    </w:div>
    <w:div w:id="1384215842">
      <w:bodyDiv w:val="1"/>
      <w:marLeft w:val="0"/>
      <w:marRight w:val="0"/>
      <w:marTop w:val="0"/>
      <w:marBottom w:val="0"/>
      <w:divBdr>
        <w:top w:val="none" w:sz="0" w:space="0" w:color="auto"/>
        <w:left w:val="none" w:sz="0" w:space="0" w:color="auto"/>
        <w:bottom w:val="none" w:sz="0" w:space="0" w:color="auto"/>
        <w:right w:val="none" w:sz="0" w:space="0" w:color="auto"/>
      </w:divBdr>
    </w:div>
    <w:div w:id="1384283321">
      <w:bodyDiv w:val="1"/>
      <w:marLeft w:val="0"/>
      <w:marRight w:val="0"/>
      <w:marTop w:val="0"/>
      <w:marBottom w:val="0"/>
      <w:divBdr>
        <w:top w:val="none" w:sz="0" w:space="0" w:color="auto"/>
        <w:left w:val="none" w:sz="0" w:space="0" w:color="auto"/>
        <w:bottom w:val="none" w:sz="0" w:space="0" w:color="auto"/>
        <w:right w:val="none" w:sz="0" w:space="0" w:color="auto"/>
      </w:divBdr>
    </w:div>
    <w:div w:id="1384521668">
      <w:bodyDiv w:val="1"/>
      <w:marLeft w:val="0"/>
      <w:marRight w:val="0"/>
      <w:marTop w:val="0"/>
      <w:marBottom w:val="0"/>
      <w:divBdr>
        <w:top w:val="none" w:sz="0" w:space="0" w:color="auto"/>
        <w:left w:val="none" w:sz="0" w:space="0" w:color="auto"/>
        <w:bottom w:val="none" w:sz="0" w:space="0" w:color="auto"/>
        <w:right w:val="none" w:sz="0" w:space="0" w:color="auto"/>
      </w:divBdr>
    </w:div>
    <w:div w:id="1384908758">
      <w:bodyDiv w:val="1"/>
      <w:marLeft w:val="0"/>
      <w:marRight w:val="0"/>
      <w:marTop w:val="0"/>
      <w:marBottom w:val="0"/>
      <w:divBdr>
        <w:top w:val="none" w:sz="0" w:space="0" w:color="auto"/>
        <w:left w:val="none" w:sz="0" w:space="0" w:color="auto"/>
        <w:bottom w:val="none" w:sz="0" w:space="0" w:color="auto"/>
        <w:right w:val="none" w:sz="0" w:space="0" w:color="auto"/>
      </w:divBdr>
    </w:div>
    <w:div w:id="1384988557">
      <w:bodyDiv w:val="1"/>
      <w:marLeft w:val="0"/>
      <w:marRight w:val="0"/>
      <w:marTop w:val="0"/>
      <w:marBottom w:val="0"/>
      <w:divBdr>
        <w:top w:val="none" w:sz="0" w:space="0" w:color="auto"/>
        <w:left w:val="none" w:sz="0" w:space="0" w:color="auto"/>
        <w:bottom w:val="none" w:sz="0" w:space="0" w:color="auto"/>
        <w:right w:val="none" w:sz="0" w:space="0" w:color="auto"/>
      </w:divBdr>
    </w:div>
    <w:div w:id="1385524331">
      <w:bodyDiv w:val="1"/>
      <w:marLeft w:val="0"/>
      <w:marRight w:val="0"/>
      <w:marTop w:val="0"/>
      <w:marBottom w:val="0"/>
      <w:divBdr>
        <w:top w:val="none" w:sz="0" w:space="0" w:color="auto"/>
        <w:left w:val="none" w:sz="0" w:space="0" w:color="auto"/>
        <w:bottom w:val="none" w:sz="0" w:space="0" w:color="auto"/>
        <w:right w:val="none" w:sz="0" w:space="0" w:color="auto"/>
      </w:divBdr>
    </w:div>
    <w:div w:id="1385639975">
      <w:bodyDiv w:val="1"/>
      <w:marLeft w:val="0"/>
      <w:marRight w:val="0"/>
      <w:marTop w:val="0"/>
      <w:marBottom w:val="0"/>
      <w:divBdr>
        <w:top w:val="none" w:sz="0" w:space="0" w:color="auto"/>
        <w:left w:val="none" w:sz="0" w:space="0" w:color="auto"/>
        <w:bottom w:val="none" w:sz="0" w:space="0" w:color="auto"/>
        <w:right w:val="none" w:sz="0" w:space="0" w:color="auto"/>
      </w:divBdr>
    </w:div>
    <w:div w:id="1385644507">
      <w:bodyDiv w:val="1"/>
      <w:marLeft w:val="0"/>
      <w:marRight w:val="0"/>
      <w:marTop w:val="0"/>
      <w:marBottom w:val="0"/>
      <w:divBdr>
        <w:top w:val="none" w:sz="0" w:space="0" w:color="auto"/>
        <w:left w:val="none" w:sz="0" w:space="0" w:color="auto"/>
        <w:bottom w:val="none" w:sz="0" w:space="0" w:color="auto"/>
        <w:right w:val="none" w:sz="0" w:space="0" w:color="auto"/>
      </w:divBdr>
    </w:div>
    <w:div w:id="1385787004">
      <w:bodyDiv w:val="1"/>
      <w:marLeft w:val="0"/>
      <w:marRight w:val="0"/>
      <w:marTop w:val="0"/>
      <w:marBottom w:val="0"/>
      <w:divBdr>
        <w:top w:val="none" w:sz="0" w:space="0" w:color="auto"/>
        <w:left w:val="none" w:sz="0" w:space="0" w:color="auto"/>
        <w:bottom w:val="none" w:sz="0" w:space="0" w:color="auto"/>
        <w:right w:val="none" w:sz="0" w:space="0" w:color="auto"/>
      </w:divBdr>
    </w:div>
    <w:div w:id="1386366638">
      <w:bodyDiv w:val="1"/>
      <w:marLeft w:val="0"/>
      <w:marRight w:val="0"/>
      <w:marTop w:val="0"/>
      <w:marBottom w:val="0"/>
      <w:divBdr>
        <w:top w:val="none" w:sz="0" w:space="0" w:color="auto"/>
        <w:left w:val="none" w:sz="0" w:space="0" w:color="auto"/>
        <w:bottom w:val="none" w:sz="0" w:space="0" w:color="auto"/>
        <w:right w:val="none" w:sz="0" w:space="0" w:color="auto"/>
      </w:divBdr>
    </w:div>
    <w:div w:id="1386372499">
      <w:bodyDiv w:val="1"/>
      <w:marLeft w:val="0"/>
      <w:marRight w:val="0"/>
      <w:marTop w:val="0"/>
      <w:marBottom w:val="0"/>
      <w:divBdr>
        <w:top w:val="none" w:sz="0" w:space="0" w:color="auto"/>
        <w:left w:val="none" w:sz="0" w:space="0" w:color="auto"/>
        <w:bottom w:val="none" w:sz="0" w:space="0" w:color="auto"/>
        <w:right w:val="none" w:sz="0" w:space="0" w:color="auto"/>
      </w:divBdr>
    </w:div>
    <w:div w:id="1386681106">
      <w:bodyDiv w:val="1"/>
      <w:marLeft w:val="0"/>
      <w:marRight w:val="0"/>
      <w:marTop w:val="0"/>
      <w:marBottom w:val="0"/>
      <w:divBdr>
        <w:top w:val="none" w:sz="0" w:space="0" w:color="auto"/>
        <w:left w:val="none" w:sz="0" w:space="0" w:color="auto"/>
        <w:bottom w:val="none" w:sz="0" w:space="0" w:color="auto"/>
        <w:right w:val="none" w:sz="0" w:space="0" w:color="auto"/>
      </w:divBdr>
    </w:div>
    <w:div w:id="1386949833">
      <w:bodyDiv w:val="1"/>
      <w:marLeft w:val="0"/>
      <w:marRight w:val="0"/>
      <w:marTop w:val="0"/>
      <w:marBottom w:val="0"/>
      <w:divBdr>
        <w:top w:val="none" w:sz="0" w:space="0" w:color="auto"/>
        <w:left w:val="none" w:sz="0" w:space="0" w:color="auto"/>
        <w:bottom w:val="none" w:sz="0" w:space="0" w:color="auto"/>
        <w:right w:val="none" w:sz="0" w:space="0" w:color="auto"/>
      </w:divBdr>
    </w:div>
    <w:div w:id="1387491741">
      <w:bodyDiv w:val="1"/>
      <w:marLeft w:val="0"/>
      <w:marRight w:val="0"/>
      <w:marTop w:val="0"/>
      <w:marBottom w:val="0"/>
      <w:divBdr>
        <w:top w:val="none" w:sz="0" w:space="0" w:color="auto"/>
        <w:left w:val="none" w:sz="0" w:space="0" w:color="auto"/>
        <w:bottom w:val="none" w:sz="0" w:space="0" w:color="auto"/>
        <w:right w:val="none" w:sz="0" w:space="0" w:color="auto"/>
      </w:divBdr>
    </w:div>
    <w:div w:id="1387533891">
      <w:bodyDiv w:val="1"/>
      <w:marLeft w:val="0"/>
      <w:marRight w:val="0"/>
      <w:marTop w:val="0"/>
      <w:marBottom w:val="0"/>
      <w:divBdr>
        <w:top w:val="none" w:sz="0" w:space="0" w:color="auto"/>
        <w:left w:val="none" w:sz="0" w:space="0" w:color="auto"/>
        <w:bottom w:val="none" w:sz="0" w:space="0" w:color="auto"/>
        <w:right w:val="none" w:sz="0" w:space="0" w:color="auto"/>
      </w:divBdr>
    </w:div>
    <w:div w:id="1387726548">
      <w:bodyDiv w:val="1"/>
      <w:marLeft w:val="0"/>
      <w:marRight w:val="0"/>
      <w:marTop w:val="0"/>
      <w:marBottom w:val="0"/>
      <w:divBdr>
        <w:top w:val="none" w:sz="0" w:space="0" w:color="auto"/>
        <w:left w:val="none" w:sz="0" w:space="0" w:color="auto"/>
        <w:bottom w:val="none" w:sz="0" w:space="0" w:color="auto"/>
        <w:right w:val="none" w:sz="0" w:space="0" w:color="auto"/>
      </w:divBdr>
    </w:div>
    <w:div w:id="1387988464">
      <w:bodyDiv w:val="1"/>
      <w:marLeft w:val="0"/>
      <w:marRight w:val="0"/>
      <w:marTop w:val="0"/>
      <w:marBottom w:val="0"/>
      <w:divBdr>
        <w:top w:val="none" w:sz="0" w:space="0" w:color="auto"/>
        <w:left w:val="none" w:sz="0" w:space="0" w:color="auto"/>
        <w:bottom w:val="none" w:sz="0" w:space="0" w:color="auto"/>
        <w:right w:val="none" w:sz="0" w:space="0" w:color="auto"/>
      </w:divBdr>
    </w:div>
    <w:div w:id="1387988735">
      <w:bodyDiv w:val="1"/>
      <w:marLeft w:val="0"/>
      <w:marRight w:val="0"/>
      <w:marTop w:val="0"/>
      <w:marBottom w:val="0"/>
      <w:divBdr>
        <w:top w:val="none" w:sz="0" w:space="0" w:color="auto"/>
        <w:left w:val="none" w:sz="0" w:space="0" w:color="auto"/>
        <w:bottom w:val="none" w:sz="0" w:space="0" w:color="auto"/>
        <w:right w:val="none" w:sz="0" w:space="0" w:color="auto"/>
      </w:divBdr>
    </w:div>
    <w:div w:id="1387991893">
      <w:bodyDiv w:val="1"/>
      <w:marLeft w:val="0"/>
      <w:marRight w:val="0"/>
      <w:marTop w:val="0"/>
      <w:marBottom w:val="0"/>
      <w:divBdr>
        <w:top w:val="none" w:sz="0" w:space="0" w:color="auto"/>
        <w:left w:val="none" w:sz="0" w:space="0" w:color="auto"/>
        <w:bottom w:val="none" w:sz="0" w:space="0" w:color="auto"/>
        <w:right w:val="none" w:sz="0" w:space="0" w:color="auto"/>
      </w:divBdr>
    </w:div>
    <w:div w:id="1388183650">
      <w:bodyDiv w:val="1"/>
      <w:marLeft w:val="0"/>
      <w:marRight w:val="0"/>
      <w:marTop w:val="0"/>
      <w:marBottom w:val="0"/>
      <w:divBdr>
        <w:top w:val="none" w:sz="0" w:space="0" w:color="auto"/>
        <w:left w:val="none" w:sz="0" w:space="0" w:color="auto"/>
        <w:bottom w:val="none" w:sz="0" w:space="0" w:color="auto"/>
        <w:right w:val="none" w:sz="0" w:space="0" w:color="auto"/>
      </w:divBdr>
    </w:div>
    <w:div w:id="1388256865">
      <w:bodyDiv w:val="1"/>
      <w:marLeft w:val="0"/>
      <w:marRight w:val="0"/>
      <w:marTop w:val="0"/>
      <w:marBottom w:val="0"/>
      <w:divBdr>
        <w:top w:val="none" w:sz="0" w:space="0" w:color="auto"/>
        <w:left w:val="none" w:sz="0" w:space="0" w:color="auto"/>
        <w:bottom w:val="none" w:sz="0" w:space="0" w:color="auto"/>
        <w:right w:val="none" w:sz="0" w:space="0" w:color="auto"/>
      </w:divBdr>
    </w:div>
    <w:div w:id="1388843722">
      <w:bodyDiv w:val="1"/>
      <w:marLeft w:val="0"/>
      <w:marRight w:val="0"/>
      <w:marTop w:val="0"/>
      <w:marBottom w:val="0"/>
      <w:divBdr>
        <w:top w:val="none" w:sz="0" w:space="0" w:color="auto"/>
        <w:left w:val="none" w:sz="0" w:space="0" w:color="auto"/>
        <w:bottom w:val="none" w:sz="0" w:space="0" w:color="auto"/>
        <w:right w:val="none" w:sz="0" w:space="0" w:color="auto"/>
      </w:divBdr>
    </w:div>
    <w:div w:id="1389065866">
      <w:bodyDiv w:val="1"/>
      <w:marLeft w:val="0"/>
      <w:marRight w:val="0"/>
      <w:marTop w:val="0"/>
      <w:marBottom w:val="0"/>
      <w:divBdr>
        <w:top w:val="none" w:sz="0" w:space="0" w:color="auto"/>
        <w:left w:val="none" w:sz="0" w:space="0" w:color="auto"/>
        <w:bottom w:val="none" w:sz="0" w:space="0" w:color="auto"/>
        <w:right w:val="none" w:sz="0" w:space="0" w:color="auto"/>
      </w:divBdr>
    </w:div>
    <w:div w:id="1389260685">
      <w:bodyDiv w:val="1"/>
      <w:marLeft w:val="0"/>
      <w:marRight w:val="0"/>
      <w:marTop w:val="0"/>
      <w:marBottom w:val="0"/>
      <w:divBdr>
        <w:top w:val="none" w:sz="0" w:space="0" w:color="auto"/>
        <w:left w:val="none" w:sz="0" w:space="0" w:color="auto"/>
        <w:bottom w:val="none" w:sz="0" w:space="0" w:color="auto"/>
        <w:right w:val="none" w:sz="0" w:space="0" w:color="auto"/>
      </w:divBdr>
    </w:div>
    <w:div w:id="1389378337">
      <w:bodyDiv w:val="1"/>
      <w:marLeft w:val="0"/>
      <w:marRight w:val="0"/>
      <w:marTop w:val="0"/>
      <w:marBottom w:val="0"/>
      <w:divBdr>
        <w:top w:val="none" w:sz="0" w:space="0" w:color="auto"/>
        <w:left w:val="none" w:sz="0" w:space="0" w:color="auto"/>
        <w:bottom w:val="none" w:sz="0" w:space="0" w:color="auto"/>
        <w:right w:val="none" w:sz="0" w:space="0" w:color="auto"/>
      </w:divBdr>
    </w:div>
    <w:div w:id="1389843931">
      <w:bodyDiv w:val="1"/>
      <w:marLeft w:val="0"/>
      <w:marRight w:val="0"/>
      <w:marTop w:val="0"/>
      <w:marBottom w:val="0"/>
      <w:divBdr>
        <w:top w:val="none" w:sz="0" w:space="0" w:color="auto"/>
        <w:left w:val="none" w:sz="0" w:space="0" w:color="auto"/>
        <w:bottom w:val="none" w:sz="0" w:space="0" w:color="auto"/>
        <w:right w:val="none" w:sz="0" w:space="0" w:color="auto"/>
      </w:divBdr>
    </w:div>
    <w:div w:id="1390038428">
      <w:bodyDiv w:val="1"/>
      <w:marLeft w:val="0"/>
      <w:marRight w:val="0"/>
      <w:marTop w:val="0"/>
      <w:marBottom w:val="0"/>
      <w:divBdr>
        <w:top w:val="none" w:sz="0" w:space="0" w:color="auto"/>
        <w:left w:val="none" w:sz="0" w:space="0" w:color="auto"/>
        <w:bottom w:val="none" w:sz="0" w:space="0" w:color="auto"/>
        <w:right w:val="none" w:sz="0" w:space="0" w:color="auto"/>
      </w:divBdr>
    </w:div>
    <w:div w:id="1390611514">
      <w:bodyDiv w:val="1"/>
      <w:marLeft w:val="0"/>
      <w:marRight w:val="0"/>
      <w:marTop w:val="0"/>
      <w:marBottom w:val="0"/>
      <w:divBdr>
        <w:top w:val="none" w:sz="0" w:space="0" w:color="auto"/>
        <w:left w:val="none" w:sz="0" w:space="0" w:color="auto"/>
        <w:bottom w:val="none" w:sz="0" w:space="0" w:color="auto"/>
        <w:right w:val="none" w:sz="0" w:space="0" w:color="auto"/>
      </w:divBdr>
    </w:div>
    <w:div w:id="1390691732">
      <w:bodyDiv w:val="1"/>
      <w:marLeft w:val="0"/>
      <w:marRight w:val="0"/>
      <w:marTop w:val="0"/>
      <w:marBottom w:val="0"/>
      <w:divBdr>
        <w:top w:val="none" w:sz="0" w:space="0" w:color="auto"/>
        <w:left w:val="none" w:sz="0" w:space="0" w:color="auto"/>
        <w:bottom w:val="none" w:sz="0" w:space="0" w:color="auto"/>
        <w:right w:val="none" w:sz="0" w:space="0" w:color="auto"/>
      </w:divBdr>
    </w:div>
    <w:div w:id="1391466346">
      <w:bodyDiv w:val="1"/>
      <w:marLeft w:val="0"/>
      <w:marRight w:val="0"/>
      <w:marTop w:val="0"/>
      <w:marBottom w:val="0"/>
      <w:divBdr>
        <w:top w:val="none" w:sz="0" w:space="0" w:color="auto"/>
        <w:left w:val="none" w:sz="0" w:space="0" w:color="auto"/>
        <w:bottom w:val="none" w:sz="0" w:space="0" w:color="auto"/>
        <w:right w:val="none" w:sz="0" w:space="0" w:color="auto"/>
      </w:divBdr>
    </w:div>
    <w:div w:id="1391921537">
      <w:bodyDiv w:val="1"/>
      <w:marLeft w:val="0"/>
      <w:marRight w:val="0"/>
      <w:marTop w:val="0"/>
      <w:marBottom w:val="0"/>
      <w:divBdr>
        <w:top w:val="none" w:sz="0" w:space="0" w:color="auto"/>
        <w:left w:val="none" w:sz="0" w:space="0" w:color="auto"/>
        <w:bottom w:val="none" w:sz="0" w:space="0" w:color="auto"/>
        <w:right w:val="none" w:sz="0" w:space="0" w:color="auto"/>
      </w:divBdr>
    </w:div>
    <w:div w:id="1392190900">
      <w:bodyDiv w:val="1"/>
      <w:marLeft w:val="0"/>
      <w:marRight w:val="0"/>
      <w:marTop w:val="0"/>
      <w:marBottom w:val="0"/>
      <w:divBdr>
        <w:top w:val="none" w:sz="0" w:space="0" w:color="auto"/>
        <w:left w:val="none" w:sz="0" w:space="0" w:color="auto"/>
        <w:bottom w:val="none" w:sz="0" w:space="0" w:color="auto"/>
        <w:right w:val="none" w:sz="0" w:space="0" w:color="auto"/>
      </w:divBdr>
    </w:div>
    <w:div w:id="1392382503">
      <w:bodyDiv w:val="1"/>
      <w:marLeft w:val="0"/>
      <w:marRight w:val="0"/>
      <w:marTop w:val="0"/>
      <w:marBottom w:val="0"/>
      <w:divBdr>
        <w:top w:val="none" w:sz="0" w:space="0" w:color="auto"/>
        <w:left w:val="none" w:sz="0" w:space="0" w:color="auto"/>
        <w:bottom w:val="none" w:sz="0" w:space="0" w:color="auto"/>
        <w:right w:val="none" w:sz="0" w:space="0" w:color="auto"/>
      </w:divBdr>
    </w:div>
    <w:div w:id="1392657139">
      <w:bodyDiv w:val="1"/>
      <w:marLeft w:val="0"/>
      <w:marRight w:val="0"/>
      <w:marTop w:val="0"/>
      <w:marBottom w:val="0"/>
      <w:divBdr>
        <w:top w:val="none" w:sz="0" w:space="0" w:color="auto"/>
        <w:left w:val="none" w:sz="0" w:space="0" w:color="auto"/>
        <w:bottom w:val="none" w:sz="0" w:space="0" w:color="auto"/>
        <w:right w:val="none" w:sz="0" w:space="0" w:color="auto"/>
      </w:divBdr>
    </w:div>
    <w:div w:id="1393306026">
      <w:bodyDiv w:val="1"/>
      <w:marLeft w:val="0"/>
      <w:marRight w:val="0"/>
      <w:marTop w:val="0"/>
      <w:marBottom w:val="0"/>
      <w:divBdr>
        <w:top w:val="none" w:sz="0" w:space="0" w:color="auto"/>
        <w:left w:val="none" w:sz="0" w:space="0" w:color="auto"/>
        <w:bottom w:val="none" w:sz="0" w:space="0" w:color="auto"/>
        <w:right w:val="none" w:sz="0" w:space="0" w:color="auto"/>
      </w:divBdr>
    </w:div>
    <w:div w:id="1393695546">
      <w:bodyDiv w:val="1"/>
      <w:marLeft w:val="0"/>
      <w:marRight w:val="0"/>
      <w:marTop w:val="0"/>
      <w:marBottom w:val="0"/>
      <w:divBdr>
        <w:top w:val="none" w:sz="0" w:space="0" w:color="auto"/>
        <w:left w:val="none" w:sz="0" w:space="0" w:color="auto"/>
        <w:bottom w:val="none" w:sz="0" w:space="0" w:color="auto"/>
        <w:right w:val="none" w:sz="0" w:space="0" w:color="auto"/>
      </w:divBdr>
    </w:div>
    <w:div w:id="1393845655">
      <w:bodyDiv w:val="1"/>
      <w:marLeft w:val="0"/>
      <w:marRight w:val="0"/>
      <w:marTop w:val="0"/>
      <w:marBottom w:val="0"/>
      <w:divBdr>
        <w:top w:val="none" w:sz="0" w:space="0" w:color="auto"/>
        <w:left w:val="none" w:sz="0" w:space="0" w:color="auto"/>
        <w:bottom w:val="none" w:sz="0" w:space="0" w:color="auto"/>
        <w:right w:val="none" w:sz="0" w:space="0" w:color="auto"/>
      </w:divBdr>
    </w:div>
    <w:div w:id="1393894494">
      <w:bodyDiv w:val="1"/>
      <w:marLeft w:val="0"/>
      <w:marRight w:val="0"/>
      <w:marTop w:val="0"/>
      <w:marBottom w:val="0"/>
      <w:divBdr>
        <w:top w:val="none" w:sz="0" w:space="0" w:color="auto"/>
        <w:left w:val="none" w:sz="0" w:space="0" w:color="auto"/>
        <w:bottom w:val="none" w:sz="0" w:space="0" w:color="auto"/>
        <w:right w:val="none" w:sz="0" w:space="0" w:color="auto"/>
      </w:divBdr>
    </w:div>
    <w:div w:id="1393961164">
      <w:bodyDiv w:val="1"/>
      <w:marLeft w:val="0"/>
      <w:marRight w:val="0"/>
      <w:marTop w:val="0"/>
      <w:marBottom w:val="0"/>
      <w:divBdr>
        <w:top w:val="none" w:sz="0" w:space="0" w:color="auto"/>
        <w:left w:val="none" w:sz="0" w:space="0" w:color="auto"/>
        <w:bottom w:val="none" w:sz="0" w:space="0" w:color="auto"/>
        <w:right w:val="none" w:sz="0" w:space="0" w:color="auto"/>
      </w:divBdr>
    </w:div>
    <w:div w:id="1394112642">
      <w:bodyDiv w:val="1"/>
      <w:marLeft w:val="0"/>
      <w:marRight w:val="0"/>
      <w:marTop w:val="0"/>
      <w:marBottom w:val="0"/>
      <w:divBdr>
        <w:top w:val="none" w:sz="0" w:space="0" w:color="auto"/>
        <w:left w:val="none" w:sz="0" w:space="0" w:color="auto"/>
        <w:bottom w:val="none" w:sz="0" w:space="0" w:color="auto"/>
        <w:right w:val="none" w:sz="0" w:space="0" w:color="auto"/>
      </w:divBdr>
    </w:div>
    <w:div w:id="1394542820">
      <w:bodyDiv w:val="1"/>
      <w:marLeft w:val="0"/>
      <w:marRight w:val="0"/>
      <w:marTop w:val="0"/>
      <w:marBottom w:val="0"/>
      <w:divBdr>
        <w:top w:val="none" w:sz="0" w:space="0" w:color="auto"/>
        <w:left w:val="none" w:sz="0" w:space="0" w:color="auto"/>
        <w:bottom w:val="none" w:sz="0" w:space="0" w:color="auto"/>
        <w:right w:val="none" w:sz="0" w:space="0" w:color="auto"/>
      </w:divBdr>
    </w:div>
    <w:div w:id="1394619200">
      <w:bodyDiv w:val="1"/>
      <w:marLeft w:val="0"/>
      <w:marRight w:val="0"/>
      <w:marTop w:val="0"/>
      <w:marBottom w:val="0"/>
      <w:divBdr>
        <w:top w:val="none" w:sz="0" w:space="0" w:color="auto"/>
        <w:left w:val="none" w:sz="0" w:space="0" w:color="auto"/>
        <w:bottom w:val="none" w:sz="0" w:space="0" w:color="auto"/>
        <w:right w:val="none" w:sz="0" w:space="0" w:color="auto"/>
      </w:divBdr>
    </w:div>
    <w:div w:id="1394809295">
      <w:bodyDiv w:val="1"/>
      <w:marLeft w:val="0"/>
      <w:marRight w:val="0"/>
      <w:marTop w:val="0"/>
      <w:marBottom w:val="0"/>
      <w:divBdr>
        <w:top w:val="none" w:sz="0" w:space="0" w:color="auto"/>
        <w:left w:val="none" w:sz="0" w:space="0" w:color="auto"/>
        <w:bottom w:val="none" w:sz="0" w:space="0" w:color="auto"/>
        <w:right w:val="none" w:sz="0" w:space="0" w:color="auto"/>
      </w:divBdr>
    </w:div>
    <w:div w:id="1395084417">
      <w:bodyDiv w:val="1"/>
      <w:marLeft w:val="0"/>
      <w:marRight w:val="0"/>
      <w:marTop w:val="0"/>
      <w:marBottom w:val="0"/>
      <w:divBdr>
        <w:top w:val="none" w:sz="0" w:space="0" w:color="auto"/>
        <w:left w:val="none" w:sz="0" w:space="0" w:color="auto"/>
        <w:bottom w:val="none" w:sz="0" w:space="0" w:color="auto"/>
        <w:right w:val="none" w:sz="0" w:space="0" w:color="auto"/>
      </w:divBdr>
    </w:div>
    <w:div w:id="1395395830">
      <w:bodyDiv w:val="1"/>
      <w:marLeft w:val="0"/>
      <w:marRight w:val="0"/>
      <w:marTop w:val="0"/>
      <w:marBottom w:val="0"/>
      <w:divBdr>
        <w:top w:val="none" w:sz="0" w:space="0" w:color="auto"/>
        <w:left w:val="none" w:sz="0" w:space="0" w:color="auto"/>
        <w:bottom w:val="none" w:sz="0" w:space="0" w:color="auto"/>
        <w:right w:val="none" w:sz="0" w:space="0" w:color="auto"/>
      </w:divBdr>
    </w:div>
    <w:div w:id="1395740811">
      <w:bodyDiv w:val="1"/>
      <w:marLeft w:val="0"/>
      <w:marRight w:val="0"/>
      <w:marTop w:val="0"/>
      <w:marBottom w:val="0"/>
      <w:divBdr>
        <w:top w:val="none" w:sz="0" w:space="0" w:color="auto"/>
        <w:left w:val="none" w:sz="0" w:space="0" w:color="auto"/>
        <w:bottom w:val="none" w:sz="0" w:space="0" w:color="auto"/>
        <w:right w:val="none" w:sz="0" w:space="0" w:color="auto"/>
      </w:divBdr>
    </w:div>
    <w:div w:id="1396079237">
      <w:bodyDiv w:val="1"/>
      <w:marLeft w:val="0"/>
      <w:marRight w:val="0"/>
      <w:marTop w:val="0"/>
      <w:marBottom w:val="0"/>
      <w:divBdr>
        <w:top w:val="none" w:sz="0" w:space="0" w:color="auto"/>
        <w:left w:val="none" w:sz="0" w:space="0" w:color="auto"/>
        <w:bottom w:val="none" w:sz="0" w:space="0" w:color="auto"/>
        <w:right w:val="none" w:sz="0" w:space="0" w:color="auto"/>
      </w:divBdr>
    </w:div>
    <w:div w:id="1396859920">
      <w:bodyDiv w:val="1"/>
      <w:marLeft w:val="0"/>
      <w:marRight w:val="0"/>
      <w:marTop w:val="0"/>
      <w:marBottom w:val="0"/>
      <w:divBdr>
        <w:top w:val="none" w:sz="0" w:space="0" w:color="auto"/>
        <w:left w:val="none" w:sz="0" w:space="0" w:color="auto"/>
        <w:bottom w:val="none" w:sz="0" w:space="0" w:color="auto"/>
        <w:right w:val="none" w:sz="0" w:space="0" w:color="auto"/>
      </w:divBdr>
    </w:div>
    <w:div w:id="1397122411">
      <w:bodyDiv w:val="1"/>
      <w:marLeft w:val="0"/>
      <w:marRight w:val="0"/>
      <w:marTop w:val="0"/>
      <w:marBottom w:val="0"/>
      <w:divBdr>
        <w:top w:val="none" w:sz="0" w:space="0" w:color="auto"/>
        <w:left w:val="none" w:sz="0" w:space="0" w:color="auto"/>
        <w:bottom w:val="none" w:sz="0" w:space="0" w:color="auto"/>
        <w:right w:val="none" w:sz="0" w:space="0" w:color="auto"/>
      </w:divBdr>
    </w:div>
    <w:div w:id="1397123109">
      <w:bodyDiv w:val="1"/>
      <w:marLeft w:val="0"/>
      <w:marRight w:val="0"/>
      <w:marTop w:val="0"/>
      <w:marBottom w:val="0"/>
      <w:divBdr>
        <w:top w:val="none" w:sz="0" w:space="0" w:color="auto"/>
        <w:left w:val="none" w:sz="0" w:space="0" w:color="auto"/>
        <w:bottom w:val="none" w:sz="0" w:space="0" w:color="auto"/>
        <w:right w:val="none" w:sz="0" w:space="0" w:color="auto"/>
      </w:divBdr>
    </w:div>
    <w:div w:id="1397514220">
      <w:bodyDiv w:val="1"/>
      <w:marLeft w:val="0"/>
      <w:marRight w:val="0"/>
      <w:marTop w:val="0"/>
      <w:marBottom w:val="0"/>
      <w:divBdr>
        <w:top w:val="none" w:sz="0" w:space="0" w:color="auto"/>
        <w:left w:val="none" w:sz="0" w:space="0" w:color="auto"/>
        <w:bottom w:val="none" w:sz="0" w:space="0" w:color="auto"/>
        <w:right w:val="none" w:sz="0" w:space="0" w:color="auto"/>
      </w:divBdr>
    </w:div>
    <w:div w:id="1397777119">
      <w:bodyDiv w:val="1"/>
      <w:marLeft w:val="0"/>
      <w:marRight w:val="0"/>
      <w:marTop w:val="0"/>
      <w:marBottom w:val="0"/>
      <w:divBdr>
        <w:top w:val="none" w:sz="0" w:space="0" w:color="auto"/>
        <w:left w:val="none" w:sz="0" w:space="0" w:color="auto"/>
        <w:bottom w:val="none" w:sz="0" w:space="0" w:color="auto"/>
        <w:right w:val="none" w:sz="0" w:space="0" w:color="auto"/>
      </w:divBdr>
    </w:div>
    <w:div w:id="1398167545">
      <w:bodyDiv w:val="1"/>
      <w:marLeft w:val="0"/>
      <w:marRight w:val="0"/>
      <w:marTop w:val="0"/>
      <w:marBottom w:val="0"/>
      <w:divBdr>
        <w:top w:val="none" w:sz="0" w:space="0" w:color="auto"/>
        <w:left w:val="none" w:sz="0" w:space="0" w:color="auto"/>
        <w:bottom w:val="none" w:sz="0" w:space="0" w:color="auto"/>
        <w:right w:val="none" w:sz="0" w:space="0" w:color="auto"/>
      </w:divBdr>
    </w:div>
    <w:div w:id="1398631240">
      <w:bodyDiv w:val="1"/>
      <w:marLeft w:val="0"/>
      <w:marRight w:val="0"/>
      <w:marTop w:val="0"/>
      <w:marBottom w:val="0"/>
      <w:divBdr>
        <w:top w:val="none" w:sz="0" w:space="0" w:color="auto"/>
        <w:left w:val="none" w:sz="0" w:space="0" w:color="auto"/>
        <w:bottom w:val="none" w:sz="0" w:space="0" w:color="auto"/>
        <w:right w:val="none" w:sz="0" w:space="0" w:color="auto"/>
      </w:divBdr>
    </w:div>
    <w:div w:id="1398820421">
      <w:bodyDiv w:val="1"/>
      <w:marLeft w:val="0"/>
      <w:marRight w:val="0"/>
      <w:marTop w:val="0"/>
      <w:marBottom w:val="0"/>
      <w:divBdr>
        <w:top w:val="none" w:sz="0" w:space="0" w:color="auto"/>
        <w:left w:val="none" w:sz="0" w:space="0" w:color="auto"/>
        <w:bottom w:val="none" w:sz="0" w:space="0" w:color="auto"/>
        <w:right w:val="none" w:sz="0" w:space="0" w:color="auto"/>
      </w:divBdr>
    </w:div>
    <w:div w:id="1399281415">
      <w:bodyDiv w:val="1"/>
      <w:marLeft w:val="0"/>
      <w:marRight w:val="0"/>
      <w:marTop w:val="0"/>
      <w:marBottom w:val="0"/>
      <w:divBdr>
        <w:top w:val="none" w:sz="0" w:space="0" w:color="auto"/>
        <w:left w:val="none" w:sz="0" w:space="0" w:color="auto"/>
        <w:bottom w:val="none" w:sz="0" w:space="0" w:color="auto"/>
        <w:right w:val="none" w:sz="0" w:space="0" w:color="auto"/>
      </w:divBdr>
    </w:div>
    <w:div w:id="1399282645">
      <w:bodyDiv w:val="1"/>
      <w:marLeft w:val="0"/>
      <w:marRight w:val="0"/>
      <w:marTop w:val="0"/>
      <w:marBottom w:val="0"/>
      <w:divBdr>
        <w:top w:val="none" w:sz="0" w:space="0" w:color="auto"/>
        <w:left w:val="none" w:sz="0" w:space="0" w:color="auto"/>
        <w:bottom w:val="none" w:sz="0" w:space="0" w:color="auto"/>
        <w:right w:val="none" w:sz="0" w:space="0" w:color="auto"/>
      </w:divBdr>
    </w:div>
    <w:div w:id="1399669106">
      <w:bodyDiv w:val="1"/>
      <w:marLeft w:val="0"/>
      <w:marRight w:val="0"/>
      <w:marTop w:val="0"/>
      <w:marBottom w:val="0"/>
      <w:divBdr>
        <w:top w:val="none" w:sz="0" w:space="0" w:color="auto"/>
        <w:left w:val="none" w:sz="0" w:space="0" w:color="auto"/>
        <w:bottom w:val="none" w:sz="0" w:space="0" w:color="auto"/>
        <w:right w:val="none" w:sz="0" w:space="0" w:color="auto"/>
      </w:divBdr>
    </w:div>
    <w:div w:id="1399934166">
      <w:bodyDiv w:val="1"/>
      <w:marLeft w:val="0"/>
      <w:marRight w:val="0"/>
      <w:marTop w:val="0"/>
      <w:marBottom w:val="0"/>
      <w:divBdr>
        <w:top w:val="none" w:sz="0" w:space="0" w:color="auto"/>
        <w:left w:val="none" w:sz="0" w:space="0" w:color="auto"/>
        <w:bottom w:val="none" w:sz="0" w:space="0" w:color="auto"/>
        <w:right w:val="none" w:sz="0" w:space="0" w:color="auto"/>
      </w:divBdr>
    </w:div>
    <w:div w:id="1400058229">
      <w:bodyDiv w:val="1"/>
      <w:marLeft w:val="0"/>
      <w:marRight w:val="0"/>
      <w:marTop w:val="0"/>
      <w:marBottom w:val="0"/>
      <w:divBdr>
        <w:top w:val="none" w:sz="0" w:space="0" w:color="auto"/>
        <w:left w:val="none" w:sz="0" w:space="0" w:color="auto"/>
        <w:bottom w:val="none" w:sz="0" w:space="0" w:color="auto"/>
        <w:right w:val="none" w:sz="0" w:space="0" w:color="auto"/>
      </w:divBdr>
    </w:div>
    <w:div w:id="1400326505">
      <w:bodyDiv w:val="1"/>
      <w:marLeft w:val="0"/>
      <w:marRight w:val="0"/>
      <w:marTop w:val="0"/>
      <w:marBottom w:val="0"/>
      <w:divBdr>
        <w:top w:val="none" w:sz="0" w:space="0" w:color="auto"/>
        <w:left w:val="none" w:sz="0" w:space="0" w:color="auto"/>
        <w:bottom w:val="none" w:sz="0" w:space="0" w:color="auto"/>
        <w:right w:val="none" w:sz="0" w:space="0" w:color="auto"/>
      </w:divBdr>
    </w:div>
    <w:div w:id="1400592661">
      <w:bodyDiv w:val="1"/>
      <w:marLeft w:val="0"/>
      <w:marRight w:val="0"/>
      <w:marTop w:val="0"/>
      <w:marBottom w:val="0"/>
      <w:divBdr>
        <w:top w:val="none" w:sz="0" w:space="0" w:color="auto"/>
        <w:left w:val="none" w:sz="0" w:space="0" w:color="auto"/>
        <w:bottom w:val="none" w:sz="0" w:space="0" w:color="auto"/>
        <w:right w:val="none" w:sz="0" w:space="0" w:color="auto"/>
      </w:divBdr>
    </w:div>
    <w:div w:id="1400906063">
      <w:bodyDiv w:val="1"/>
      <w:marLeft w:val="0"/>
      <w:marRight w:val="0"/>
      <w:marTop w:val="0"/>
      <w:marBottom w:val="0"/>
      <w:divBdr>
        <w:top w:val="none" w:sz="0" w:space="0" w:color="auto"/>
        <w:left w:val="none" w:sz="0" w:space="0" w:color="auto"/>
        <w:bottom w:val="none" w:sz="0" w:space="0" w:color="auto"/>
        <w:right w:val="none" w:sz="0" w:space="0" w:color="auto"/>
      </w:divBdr>
    </w:div>
    <w:div w:id="1401252651">
      <w:bodyDiv w:val="1"/>
      <w:marLeft w:val="0"/>
      <w:marRight w:val="0"/>
      <w:marTop w:val="0"/>
      <w:marBottom w:val="0"/>
      <w:divBdr>
        <w:top w:val="none" w:sz="0" w:space="0" w:color="auto"/>
        <w:left w:val="none" w:sz="0" w:space="0" w:color="auto"/>
        <w:bottom w:val="none" w:sz="0" w:space="0" w:color="auto"/>
        <w:right w:val="none" w:sz="0" w:space="0" w:color="auto"/>
      </w:divBdr>
    </w:div>
    <w:div w:id="1401253465">
      <w:bodyDiv w:val="1"/>
      <w:marLeft w:val="0"/>
      <w:marRight w:val="0"/>
      <w:marTop w:val="0"/>
      <w:marBottom w:val="0"/>
      <w:divBdr>
        <w:top w:val="none" w:sz="0" w:space="0" w:color="auto"/>
        <w:left w:val="none" w:sz="0" w:space="0" w:color="auto"/>
        <w:bottom w:val="none" w:sz="0" w:space="0" w:color="auto"/>
        <w:right w:val="none" w:sz="0" w:space="0" w:color="auto"/>
      </w:divBdr>
    </w:div>
    <w:div w:id="1401439181">
      <w:bodyDiv w:val="1"/>
      <w:marLeft w:val="0"/>
      <w:marRight w:val="0"/>
      <w:marTop w:val="0"/>
      <w:marBottom w:val="0"/>
      <w:divBdr>
        <w:top w:val="none" w:sz="0" w:space="0" w:color="auto"/>
        <w:left w:val="none" w:sz="0" w:space="0" w:color="auto"/>
        <w:bottom w:val="none" w:sz="0" w:space="0" w:color="auto"/>
        <w:right w:val="none" w:sz="0" w:space="0" w:color="auto"/>
      </w:divBdr>
    </w:div>
    <w:div w:id="1401562993">
      <w:bodyDiv w:val="1"/>
      <w:marLeft w:val="0"/>
      <w:marRight w:val="0"/>
      <w:marTop w:val="0"/>
      <w:marBottom w:val="0"/>
      <w:divBdr>
        <w:top w:val="none" w:sz="0" w:space="0" w:color="auto"/>
        <w:left w:val="none" w:sz="0" w:space="0" w:color="auto"/>
        <w:bottom w:val="none" w:sz="0" w:space="0" w:color="auto"/>
        <w:right w:val="none" w:sz="0" w:space="0" w:color="auto"/>
      </w:divBdr>
    </w:div>
    <w:div w:id="1401824508">
      <w:bodyDiv w:val="1"/>
      <w:marLeft w:val="0"/>
      <w:marRight w:val="0"/>
      <w:marTop w:val="0"/>
      <w:marBottom w:val="0"/>
      <w:divBdr>
        <w:top w:val="none" w:sz="0" w:space="0" w:color="auto"/>
        <w:left w:val="none" w:sz="0" w:space="0" w:color="auto"/>
        <w:bottom w:val="none" w:sz="0" w:space="0" w:color="auto"/>
        <w:right w:val="none" w:sz="0" w:space="0" w:color="auto"/>
      </w:divBdr>
    </w:div>
    <w:div w:id="1401978206">
      <w:bodyDiv w:val="1"/>
      <w:marLeft w:val="0"/>
      <w:marRight w:val="0"/>
      <w:marTop w:val="0"/>
      <w:marBottom w:val="0"/>
      <w:divBdr>
        <w:top w:val="none" w:sz="0" w:space="0" w:color="auto"/>
        <w:left w:val="none" w:sz="0" w:space="0" w:color="auto"/>
        <w:bottom w:val="none" w:sz="0" w:space="0" w:color="auto"/>
        <w:right w:val="none" w:sz="0" w:space="0" w:color="auto"/>
      </w:divBdr>
    </w:div>
    <w:div w:id="1402102067">
      <w:bodyDiv w:val="1"/>
      <w:marLeft w:val="0"/>
      <w:marRight w:val="0"/>
      <w:marTop w:val="0"/>
      <w:marBottom w:val="0"/>
      <w:divBdr>
        <w:top w:val="none" w:sz="0" w:space="0" w:color="auto"/>
        <w:left w:val="none" w:sz="0" w:space="0" w:color="auto"/>
        <w:bottom w:val="none" w:sz="0" w:space="0" w:color="auto"/>
        <w:right w:val="none" w:sz="0" w:space="0" w:color="auto"/>
      </w:divBdr>
    </w:div>
    <w:div w:id="1402944380">
      <w:bodyDiv w:val="1"/>
      <w:marLeft w:val="0"/>
      <w:marRight w:val="0"/>
      <w:marTop w:val="0"/>
      <w:marBottom w:val="0"/>
      <w:divBdr>
        <w:top w:val="none" w:sz="0" w:space="0" w:color="auto"/>
        <w:left w:val="none" w:sz="0" w:space="0" w:color="auto"/>
        <w:bottom w:val="none" w:sz="0" w:space="0" w:color="auto"/>
        <w:right w:val="none" w:sz="0" w:space="0" w:color="auto"/>
      </w:divBdr>
    </w:div>
    <w:div w:id="1403018666">
      <w:bodyDiv w:val="1"/>
      <w:marLeft w:val="0"/>
      <w:marRight w:val="0"/>
      <w:marTop w:val="0"/>
      <w:marBottom w:val="0"/>
      <w:divBdr>
        <w:top w:val="none" w:sz="0" w:space="0" w:color="auto"/>
        <w:left w:val="none" w:sz="0" w:space="0" w:color="auto"/>
        <w:bottom w:val="none" w:sz="0" w:space="0" w:color="auto"/>
        <w:right w:val="none" w:sz="0" w:space="0" w:color="auto"/>
      </w:divBdr>
    </w:div>
    <w:div w:id="1403137680">
      <w:bodyDiv w:val="1"/>
      <w:marLeft w:val="0"/>
      <w:marRight w:val="0"/>
      <w:marTop w:val="0"/>
      <w:marBottom w:val="0"/>
      <w:divBdr>
        <w:top w:val="none" w:sz="0" w:space="0" w:color="auto"/>
        <w:left w:val="none" w:sz="0" w:space="0" w:color="auto"/>
        <w:bottom w:val="none" w:sz="0" w:space="0" w:color="auto"/>
        <w:right w:val="none" w:sz="0" w:space="0" w:color="auto"/>
      </w:divBdr>
    </w:div>
    <w:div w:id="1403212576">
      <w:bodyDiv w:val="1"/>
      <w:marLeft w:val="0"/>
      <w:marRight w:val="0"/>
      <w:marTop w:val="0"/>
      <w:marBottom w:val="0"/>
      <w:divBdr>
        <w:top w:val="none" w:sz="0" w:space="0" w:color="auto"/>
        <w:left w:val="none" w:sz="0" w:space="0" w:color="auto"/>
        <w:bottom w:val="none" w:sz="0" w:space="0" w:color="auto"/>
        <w:right w:val="none" w:sz="0" w:space="0" w:color="auto"/>
      </w:divBdr>
    </w:div>
    <w:div w:id="1403408269">
      <w:bodyDiv w:val="1"/>
      <w:marLeft w:val="0"/>
      <w:marRight w:val="0"/>
      <w:marTop w:val="0"/>
      <w:marBottom w:val="0"/>
      <w:divBdr>
        <w:top w:val="none" w:sz="0" w:space="0" w:color="auto"/>
        <w:left w:val="none" w:sz="0" w:space="0" w:color="auto"/>
        <w:bottom w:val="none" w:sz="0" w:space="0" w:color="auto"/>
        <w:right w:val="none" w:sz="0" w:space="0" w:color="auto"/>
      </w:divBdr>
    </w:div>
    <w:div w:id="1403914346">
      <w:bodyDiv w:val="1"/>
      <w:marLeft w:val="0"/>
      <w:marRight w:val="0"/>
      <w:marTop w:val="0"/>
      <w:marBottom w:val="0"/>
      <w:divBdr>
        <w:top w:val="none" w:sz="0" w:space="0" w:color="auto"/>
        <w:left w:val="none" w:sz="0" w:space="0" w:color="auto"/>
        <w:bottom w:val="none" w:sz="0" w:space="0" w:color="auto"/>
        <w:right w:val="none" w:sz="0" w:space="0" w:color="auto"/>
      </w:divBdr>
    </w:div>
    <w:div w:id="1403991292">
      <w:bodyDiv w:val="1"/>
      <w:marLeft w:val="0"/>
      <w:marRight w:val="0"/>
      <w:marTop w:val="0"/>
      <w:marBottom w:val="0"/>
      <w:divBdr>
        <w:top w:val="none" w:sz="0" w:space="0" w:color="auto"/>
        <w:left w:val="none" w:sz="0" w:space="0" w:color="auto"/>
        <w:bottom w:val="none" w:sz="0" w:space="0" w:color="auto"/>
        <w:right w:val="none" w:sz="0" w:space="0" w:color="auto"/>
      </w:divBdr>
    </w:div>
    <w:div w:id="1404184543">
      <w:bodyDiv w:val="1"/>
      <w:marLeft w:val="0"/>
      <w:marRight w:val="0"/>
      <w:marTop w:val="0"/>
      <w:marBottom w:val="0"/>
      <w:divBdr>
        <w:top w:val="none" w:sz="0" w:space="0" w:color="auto"/>
        <w:left w:val="none" w:sz="0" w:space="0" w:color="auto"/>
        <w:bottom w:val="none" w:sz="0" w:space="0" w:color="auto"/>
        <w:right w:val="none" w:sz="0" w:space="0" w:color="auto"/>
      </w:divBdr>
    </w:div>
    <w:div w:id="1404723257">
      <w:bodyDiv w:val="1"/>
      <w:marLeft w:val="0"/>
      <w:marRight w:val="0"/>
      <w:marTop w:val="0"/>
      <w:marBottom w:val="0"/>
      <w:divBdr>
        <w:top w:val="none" w:sz="0" w:space="0" w:color="auto"/>
        <w:left w:val="none" w:sz="0" w:space="0" w:color="auto"/>
        <w:bottom w:val="none" w:sz="0" w:space="0" w:color="auto"/>
        <w:right w:val="none" w:sz="0" w:space="0" w:color="auto"/>
      </w:divBdr>
    </w:div>
    <w:div w:id="1405225863">
      <w:bodyDiv w:val="1"/>
      <w:marLeft w:val="0"/>
      <w:marRight w:val="0"/>
      <w:marTop w:val="0"/>
      <w:marBottom w:val="0"/>
      <w:divBdr>
        <w:top w:val="none" w:sz="0" w:space="0" w:color="auto"/>
        <w:left w:val="none" w:sz="0" w:space="0" w:color="auto"/>
        <w:bottom w:val="none" w:sz="0" w:space="0" w:color="auto"/>
        <w:right w:val="none" w:sz="0" w:space="0" w:color="auto"/>
      </w:divBdr>
    </w:div>
    <w:div w:id="1405251932">
      <w:bodyDiv w:val="1"/>
      <w:marLeft w:val="0"/>
      <w:marRight w:val="0"/>
      <w:marTop w:val="0"/>
      <w:marBottom w:val="0"/>
      <w:divBdr>
        <w:top w:val="none" w:sz="0" w:space="0" w:color="auto"/>
        <w:left w:val="none" w:sz="0" w:space="0" w:color="auto"/>
        <w:bottom w:val="none" w:sz="0" w:space="0" w:color="auto"/>
        <w:right w:val="none" w:sz="0" w:space="0" w:color="auto"/>
      </w:divBdr>
    </w:div>
    <w:div w:id="1405448628">
      <w:bodyDiv w:val="1"/>
      <w:marLeft w:val="0"/>
      <w:marRight w:val="0"/>
      <w:marTop w:val="0"/>
      <w:marBottom w:val="0"/>
      <w:divBdr>
        <w:top w:val="none" w:sz="0" w:space="0" w:color="auto"/>
        <w:left w:val="none" w:sz="0" w:space="0" w:color="auto"/>
        <w:bottom w:val="none" w:sz="0" w:space="0" w:color="auto"/>
        <w:right w:val="none" w:sz="0" w:space="0" w:color="auto"/>
      </w:divBdr>
    </w:div>
    <w:div w:id="1405686101">
      <w:bodyDiv w:val="1"/>
      <w:marLeft w:val="0"/>
      <w:marRight w:val="0"/>
      <w:marTop w:val="0"/>
      <w:marBottom w:val="0"/>
      <w:divBdr>
        <w:top w:val="none" w:sz="0" w:space="0" w:color="auto"/>
        <w:left w:val="none" w:sz="0" w:space="0" w:color="auto"/>
        <w:bottom w:val="none" w:sz="0" w:space="0" w:color="auto"/>
        <w:right w:val="none" w:sz="0" w:space="0" w:color="auto"/>
      </w:divBdr>
    </w:div>
    <w:div w:id="1405834845">
      <w:bodyDiv w:val="1"/>
      <w:marLeft w:val="0"/>
      <w:marRight w:val="0"/>
      <w:marTop w:val="0"/>
      <w:marBottom w:val="0"/>
      <w:divBdr>
        <w:top w:val="none" w:sz="0" w:space="0" w:color="auto"/>
        <w:left w:val="none" w:sz="0" w:space="0" w:color="auto"/>
        <w:bottom w:val="none" w:sz="0" w:space="0" w:color="auto"/>
        <w:right w:val="none" w:sz="0" w:space="0" w:color="auto"/>
      </w:divBdr>
    </w:div>
    <w:div w:id="1406411927">
      <w:bodyDiv w:val="1"/>
      <w:marLeft w:val="0"/>
      <w:marRight w:val="0"/>
      <w:marTop w:val="0"/>
      <w:marBottom w:val="0"/>
      <w:divBdr>
        <w:top w:val="none" w:sz="0" w:space="0" w:color="auto"/>
        <w:left w:val="none" w:sz="0" w:space="0" w:color="auto"/>
        <w:bottom w:val="none" w:sz="0" w:space="0" w:color="auto"/>
        <w:right w:val="none" w:sz="0" w:space="0" w:color="auto"/>
      </w:divBdr>
    </w:div>
    <w:div w:id="1406949889">
      <w:bodyDiv w:val="1"/>
      <w:marLeft w:val="0"/>
      <w:marRight w:val="0"/>
      <w:marTop w:val="0"/>
      <w:marBottom w:val="0"/>
      <w:divBdr>
        <w:top w:val="none" w:sz="0" w:space="0" w:color="auto"/>
        <w:left w:val="none" w:sz="0" w:space="0" w:color="auto"/>
        <w:bottom w:val="none" w:sz="0" w:space="0" w:color="auto"/>
        <w:right w:val="none" w:sz="0" w:space="0" w:color="auto"/>
      </w:divBdr>
    </w:div>
    <w:div w:id="1406951788">
      <w:bodyDiv w:val="1"/>
      <w:marLeft w:val="0"/>
      <w:marRight w:val="0"/>
      <w:marTop w:val="0"/>
      <w:marBottom w:val="0"/>
      <w:divBdr>
        <w:top w:val="none" w:sz="0" w:space="0" w:color="auto"/>
        <w:left w:val="none" w:sz="0" w:space="0" w:color="auto"/>
        <w:bottom w:val="none" w:sz="0" w:space="0" w:color="auto"/>
        <w:right w:val="none" w:sz="0" w:space="0" w:color="auto"/>
      </w:divBdr>
    </w:div>
    <w:div w:id="1407268198">
      <w:bodyDiv w:val="1"/>
      <w:marLeft w:val="0"/>
      <w:marRight w:val="0"/>
      <w:marTop w:val="0"/>
      <w:marBottom w:val="0"/>
      <w:divBdr>
        <w:top w:val="none" w:sz="0" w:space="0" w:color="auto"/>
        <w:left w:val="none" w:sz="0" w:space="0" w:color="auto"/>
        <w:bottom w:val="none" w:sz="0" w:space="0" w:color="auto"/>
        <w:right w:val="none" w:sz="0" w:space="0" w:color="auto"/>
      </w:divBdr>
    </w:div>
    <w:div w:id="1407919337">
      <w:bodyDiv w:val="1"/>
      <w:marLeft w:val="0"/>
      <w:marRight w:val="0"/>
      <w:marTop w:val="0"/>
      <w:marBottom w:val="0"/>
      <w:divBdr>
        <w:top w:val="none" w:sz="0" w:space="0" w:color="auto"/>
        <w:left w:val="none" w:sz="0" w:space="0" w:color="auto"/>
        <w:bottom w:val="none" w:sz="0" w:space="0" w:color="auto"/>
        <w:right w:val="none" w:sz="0" w:space="0" w:color="auto"/>
      </w:divBdr>
    </w:div>
    <w:div w:id="1408305346">
      <w:bodyDiv w:val="1"/>
      <w:marLeft w:val="0"/>
      <w:marRight w:val="0"/>
      <w:marTop w:val="0"/>
      <w:marBottom w:val="0"/>
      <w:divBdr>
        <w:top w:val="none" w:sz="0" w:space="0" w:color="auto"/>
        <w:left w:val="none" w:sz="0" w:space="0" w:color="auto"/>
        <w:bottom w:val="none" w:sz="0" w:space="0" w:color="auto"/>
        <w:right w:val="none" w:sz="0" w:space="0" w:color="auto"/>
      </w:divBdr>
    </w:div>
    <w:div w:id="1408920935">
      <w:bodyDiv w:val="1"/>
      <w:marLeft w:val="0"/>
      <w:marRight w:val="0"/>
      <w:marTop w:val="0"/>
      <w:marBottom w:val="0"/>
      <w:divBdr>
        <w:top w:val="none" w:sz="0" w:space="0" w:color="auto"/>
        <w:left w:val="none" w:sz="0" w:space="0" w:color="auto"/>
        <w:bottom w:val="none" w:sz="0" w:space="0" w:color="auto"/>
        <w:right w:val="none" w:sz="0" w:space="0" w:color="auto"/>
      </w:divBdr>
    </w:div>
    <w:div w:id="1409307850">
      <w:bodyDiv w:val="1"/>
      <w:marLeft w:val="0"/>
      <w:marRight w:val="0"/>
      <w:marTop w:val="0"/>
      <w:marBottom w:val="0"/>
      <w:divBdr>
        <w:top w:val="none" w:sz="0" w:space="0" w:color="auto"/>
        <w:left w:val="none" w:sz="0" w:space="0" w:color="auto"/>
        <w:bottom w:val="none" w:sz="0" w:space="0" w:color="auto"/>
        <w:right w:val="none" w:sz="0" w:space="0" w:color="auto"/>
      </w:divBdr>
    </w:div>
    <w:div w:id="1409763975">
      <w:bodyDiv w:val="1"/>
      <w:marLeft w:val="0"/>
      <w:marRight w:val="0"/>
      <w:marTop w:val="0"/>
      <w:marBottom w:val="0"/>
      <w:divBdr>
        <w:top w:val="none" w:sz="0" w:space="0" w:color="auto"/>
        <w:left w:val="none" w:sz="0" w:space="0" w:color="auto"/>
        <w:bottom w:val="none" w:sz="0" w:space="0" w:color="auto"/>
        <w:right w:val="none" w:sz="0" w:space="0" w:color="auto"/>
      </w:divBdr>
    </w:div>
    <w:div w:id="1410033619">
      <w:bodyDiv w:val="1"/>
      <w:marLeft w:val="0"/>
      <w:marRight w:val="0"/>
      <w:marTop w:val="0"/>
      <w:marBottom w:val="0"/>
      <w:divBdr>
        <w:top w:val="none" w:sz="0" w:space="0" w:color="auto"/>
        <w:left w:val="none" w:sz="0" w:space="0" w:color="auto"/>
        <w:bottom w:val="none" w:sz="0" w:space="0" w:color="auto"/>
        <w:right w:val="none" w:sz="0" w:space="0" w:color="auto"/>
      </w:divBdr>
    </w:div>
    <w:div w:id="1411081890">
      <w:bodyDiv w:val="1"/>
      <w:marLeft w:val="0"/>
      <w:marRight w:val="0"/>
      <w:marTop w:val="0"/>
      <w:marBottom w:val="0"/>
      <w:divBdr>
        <w:top w:val="none" w:sz="0" w:space="0" w:color="auto"/>
        <w:left w:val="none" w:sz="0" w:space="0" w:color="auto"/>
        <w:bottom w:val="none" w:sz="0" w:space="0" w:color="auto"/>
        <w:right w:val="none" w:sz="0" w:space="0" w:color="auto"/>
      </w:divBdr>
    </w:div>
    <w:div w:id="1411350404">
      <w:bodyDiv w:val="1"/>
      <w:marLeft w:val="0"/>
      <w:marRight w:val="0"/>
      <w:marTop w:val="0"/>
      <w:marBottom w:val="0"/>
      <w:divBdr>
        <w:top w:val="none" w:sz="0" w:space="0" w:color="auto"/>
        <w:left w:val="none" w:sz="0" w:space="0" w:color="auto"/>
        <w:bottom w:val="none" w:sz="0" w:space="0" w:color="auto"/>
        <w:right w:val="none" w:sz="0" w:space="0" w:color="auto"/>
      </w:divBdr>
    </w:div>
    <w:div w:id="1411459990">
      <w:bodyDiv w:val="1"/>
      <w:marLeft w:val="0"/>
      <w:marRight w:val="0"/>
      <w:marTop w:val="0"/>
      <w:marBottom w:val="0"/>
      <w:divBdr>
        <w:top w:val="none" w:sz="0" w:space="0" w:color="auto"/>
        <w:left w:val="none" w:sz="0" w:space="0" w:color="auto"/>
        <w:bottom w:val="none" w:sz="0" w:space="0" w:color="auto"/>
        <w:right w:val="none" w:sz="0" w:space="0" w:color="auto"/>
      </w:divBdr>
    </w:div>
    <w:div w:id="1412039984">
      <w:bodyDiv w:val="1"/>
      <w:marLeft w:val="0"/>
      <w:marRight w:val="0"/>
      <w:marTop w:val="0"/>
      <w:marBottom w:val="0"/>
      <w:divBdr>
        <w:top w:val="none" w:sz="0" w:space="0" w:color="auto"/>
        <w:left w:val="none" w:sz="0" w:space="0" w:color="auto"/>
        <w:bottom w:val="none" w:sz="0" w:space="0" w:color="auto"/>
        <w:right w:val="none" w:sz="0" w:space="0" w:color="auto"/>
      </w:divBdr>
    </w:div>
    <w:div w:id="1412384239">
      <w:bodyDiv w:val="1"/>
      <w:marLeft w:val="0"/>
      <w:marRight w:val="0"/>
      <w:marTop w:val="0"/>
      <w:marBottom w:val="0"/>
      <w:divBdr>
        <w:top w:val="none" w:sz="0" w:space="0" w:color="auto"/>
        <w:left w:val="none" w:sz="0" w:space="0" w:color="auto"/>
        <w:bottom w:val="none" w:sz="0" w:space="0" w:color="auto"/>
        <w:right w:val="none" w:sz="0" w:space="0" w:color="auto"/>
      </w:divBdr>
    </w:div>
    <w:div w:id="1412435423">
      <w:bodyDiv w:val="1"/>
      <w:marLeft w:val="0"/>
      <w:marRight w:val="0"/>
      <w:marTop w:val="0"/>
      <w:marBottom w:val="0"/>
      <w:divBdr>
        <w:top w:val="none" w:sz="0" w:space="0" w:color="auto"/>
        <w:left w:val="none" w:sz="0" w:space="0" w:color="auto"/>
        <w:bottom w:val="none" w:sz="0" w:space="0" w:color="auto"/>
        <w:right w:val="none" w:sz="0" w:space="0" w:color="auto"/>
      </w:divBdr>
    </w:div>
    <w:div w:id="1413087327">
      <w:bodyDiv w:val="1"/>
      <w:marLeft w:val="0"/>
      <w:marRight w:val="0"/>
      <w:marTop w:val="0"/>
      <w:marBottom w:val="0"/>
      <w:divBdr>
        <w:top w:val="none" w:sz="0" w:space="0" w:color="auto"/>
        <w:left w:val="none" w:sz="0" w:space="0" w:color="auto"/>
        <w:bottom w:val="none" w:sz="0" w:space="0" w:color="auto"/>
        <w:right w:val="none" w:sz="0" w:space="0" w:color="auto"/>
      </w:divBdr>
    </w:div>
    <w:div w:id="1413166214">
      <w:bodyDiv w:val="1"/>
      <w:marLeft w:val="0"/>
      <w:marRight w:val="0"/>
      <w:marTop w:val="0"/>
      <w:marBottom w:val="0"/>
      <w:divBdr>
        <w:top w:val="none" w:sz="0" w:space="0" w:color="auto"/>
        <w:left w:val="none" w:sz="0" w:space="0" w:color="auto"/>
        <w:bottom w:val="none" w:sz="0" w:space="0" w:color="auto"/>
        <w:right w:val="none" w:sz="0" w:space="0" w:color="auto"/>
      </w:divBdr>
    </w:div>
    <w:div w:id="1413506917">
      <w:bodyDiv w:val="1"/>
      <w:marLeft w:val="0"/>
      <w:marRight w:val="0"/>
      <w:marTop w:val="0"/>
      <w:marBottom w:val="0"/>
      <w:divBdr>
        <w:top w:val="none" w:sz="0" w:space="0" w:color="auto"/>
        <w:left w:val="none" w:sz="0" w:space="0" w:color="auto"/>
        <w:bottom w:val="none" w:sz="0" w:space="0" w:color="auto"/>
        <w:right w:val="none" w:sz="0" w:space="0" w:color="auto"/>
      </w:divBdr>
    </w:div>
    <w:div w:id="1413546530">
      <w:bodyDiv w:val="1"/>
      <w:marLeft w:val="0"/>
      <w:marRight w:val="0"/>
      <w:marTop w:val="0"/>
      <w:marBottom w:val="0"/>
      <w:divBdr>
        <w:top w:val="none" w:sz="0" w:space="0" w:color="auto"/>
        <w:left w:val="none" w:sz="0" w:space="0" w:color="auto"/>
        <w:bottom w:val="none" w:sz="0" w:space="0" w:color="auto"/>
        <w:right w:val="none" w:sz="0" w:space="0" w:color="auto"/>
      </w:divBdr>
    </w:div>
    <w:div w:id="1413694795">
      <w:bodyDiv w:val="1"/>
      <w:marLeft w:val="0"/>
      <w:marRight w:val="0"/>
      <w:marTop w:val="0"/>
      <w:marBottom w:val="0"/>
      <w:divBdr>
        <w:top w:val="none" w:sz="0" w:space="0" w:color="auto"/>
        <w:left w:val="none" w:sz="0" w:space="0" w:color="auto"/>
        <w:bottom w:val="none" w:sz="0" w:space="0" w:color="auto"/>
        <w:right w:val="none" w:sz="0" w:space="0" w:color="auto"/>
      </w:divBdr>
    </w:div>
    <w:div w:id="1415200330">
      <w:bodyDiv w:val="1"/>
      <w:marLeft w:val="0"/>
      <w:marRight w:val="0"/>
      <w:marTop w:val="0"/>
      <w:marBottom w:val="0"/>
      <w:divBdr>
        <w:top w:val="none" w:sz="0" w:space="0" w:color="auto"/>
        <w:left w:val="none" w:sz="0" w:space="0" w:color="auto"/>
        <w:bottom w:val="none" w:sz="0" w:space="0" w:color="auto"/>
        <w:right w:val="none" w:sz="0" w:space="0" w:color="auto"/>
      </w:divBdr>
    </w:div>
    <w:div w:id="1415514689">
      <w:bodyDiv w:val="1"/>
      <w:marLeft w:val="0"/>
      <w:marRight w:val="0"/>
      <w:marTop w:val="0"/>
      <w:marBottom w:val="0"/>
      <w:divBdr>
        <w:top w:val="none" w:sz="0" w:space="0" w:color="auto"/>
        <w:left w:val="none" w:sz="0" w:space="0" w:color="auto"/>
        <w:bottom w:val="none" w:sz="0" w:space="0" w:color="auto"/>
        <w:right w:val="none" w:sz="0" w:space="0" w:color="auto"/>
      </w:divBdr>
    </w:div>
    <w:div w:id="1415592978">
      <w:bodyDiv w:val="1"/>
      <w:marLeft w:val="0"/>
      <w:marRight w:val="0"/>
      <w:marTop w:val="0"/>
      <w:marBottom w:val="0"/>
      <w:divBdr>
        <w:top w:val="none" w:sz="0" w:space="0" w:color="auto"/>
        <w:left w:val="none" w:sz="0" w:space="0" w:color="auto"/>
        <w:bottom w:val="none" w:sz="0" w:space="0" w:color="auto"/>
        <w:right w:val="none" w:sz="0" w:space="0" w:color="auto"/>
      </w:divBdr>
    </w:div>
    <w:div w:id="1415784225">
      <w:bodyDiv w:val="1"/>
      <w:marLeft w:val="0"/>
      <w:marRight w:val="0"/>
      <w:marTop w:val="0"/>
      <w:marBottom w:val="0"/>
      <w:divBdr>
        <w:top w:val="none" w:sz="0" w:space="0" w:color="auto"/>
        <w:left w:val="none" w:sz="0" w:space="0" w:color="auto"/>
        <w:bottom w:val="none" w:sz="0" w:space="0" w:color="auto"/>
        <w:right w:val="none" w:sz="0" w:space="0" w:color="auto"/>
      </w:divBdr>
    </w:div>
    <w:div w:id="1415855249">
      <w:bodyDiv w:val="1"/>
      <w:marLeft w:val="0"/>
      <w:marRight w:val="0"/>
      <w:marTop w:val="0"/>
      <w:marBottom w:val="0"/>
      <w:divBdr>
        <w:top w:val="none" w:sz="0" w:space="0" w:color="auto"/>
        <w:left w:val="none" w:sz="0" w:space="0" w:color="auto"/>
        <w:bottom w:val="none" w:sz="0" w:space="0" w:color="auto"/>
        <w:right w:val="none" w:sz="0" w:space="0" w:color="auto"/>
      </w:divBdr>
    </w:div>
    <w:div w:id="1417483503">
      <w:bodyDiv w:val="1"/>
      <w:marLeft w:val="0"/>
      <w:marRight w:val="0"/>
      <w:marTop w:val="0"/>
      <w:marBottom w:val="0"/>
      <w:divBdr>
        <w:top w:val="none" w:sz="0" w:space="0" w:color="auto"/>
        <w:left w:val="none" w:sz="0" w:space="0" w:color="auto"/>
        <w:bottom w:val="none" w:sz="0" w:space="0" w:color="auto"/>
        <w:right w:val="none" w:sz="0" w:space="0" w:color="auto"/>
      </w:divBdr>
    </w:div>
    <w:div w:id="1418133687">
      <w:bodyDiv w:val="1"/>
      <w:marLeft w:val="0"/>
      <w:marRight w:val="0"/>
      <w:marTop w:val="0"/>
      <w:marBottom w:val="0"/>
      <w:divBdr>
        <w:top w:val="none" w:sz="0" w:space="0" w:color="auto"/>
        <w:left w:val="none" w:sz="0" w:space="0" w:color="auto"/>
        <w:bottom w:val="none" w:sz="0" w:space="0" w:color="auto"/>
        <w:right w:val="none" w:sz="0" w:space="0" w:color="auto"/>
      </w:divBdr>
    </w:div>
    <w:div w:id="1419060712">
      <w:bodyDiv w:val="1"/>
      <w:marLeft w:val="0"/>
      <w:marRight w:val="0"/>
      <w:marTop w:val="0"/>
      <w:marBottom w:val="0"/>
      <w:divBdr>
        <w:top w:val="none" w:sz="0" w:space="0" w:color="auto"/>
        <w:left w:val="none" w:sz="0" w:space="0" w:color="auto"/>
        <w:bottom w:val="none" w:sz="0" w:space="0" w:color="auto"/>
        <w:right w:val="none" w:sz="0" w:space="0" w:color="auto"/>
      </w:divBdr>
    </w:div>
    <w:div w:id="1419249643">
      <w:bodyDiv w:val="1"/>
      <w:marLeft w:val="0"/>
      <w:marRight w:val="0"/>
      <w:marTop w:val="0"/>
      <w:marBottom w:val="0"/>
      <w:divBdr>
        <w:top w:val="none" w:sz="0" w:space="0" w:color="auto"/>
        <w:left w:val="none" w:sz="0" w:space="0" w:color="auto"/>
        <w:bottom w:val="none" w:sz="0" w:space="0" w:color="auto"/>
        <w:right w:val="none" w:sz="0" w:space="0" w:color="auto"/>
      </w:divBdr>
    </w:div>
    <w:div w:id="1419325484">
      <w:bodyDiv w:val="1"/>
      <w:marLeft w:val="0"/>
      <w:marRight w:val="0"/>
      <w:marTop w:val="0"/>
      <w:marBottom w:val="0"/>
      <w:divBdr>
        <w:top w:val="none" w:sz="0" w:space="0" w:color="auto"/>
        <w:left w:val="none" w:sz="0" w:space="0" w:color="auto"/>
        <w:bottom w:val="none" w:sz="0" w:space="0" w:color="auto"/>
        <w:right w:val="none" w:sz="0" w:space="0" w:color="auto"/>
      </w:divBdr>
    </w:div>
    <w:div w:id="1419328813">
      <w:bodyDiv w:val="1"/>
      <w:marLeft w:val="0"/>
      <w:marRight w:val="0"/>
      <w:marTop w:val="0"/>
      <w:marBottom w:val="0"/>
      <w:divBdr>
        <w:top w:val="none" w:sz="0" w:space="0" w:color="auto"/>
        <w:left w:val="none" w:sz="0" w:space="0" w:color="auto"/>
        <w:bottom w:val="none" w:sz="0" w:space="0" w:color="auto"/>
        <w:right w:val="none" w:sz="0" w:space="0" w:color="auto"/>
      </w:divBdr>
    </w:div>
    <w:div w:id="1419867174">
      <w:bodyDiv w:val="1"/>
      <w:marLeft w:val="0"/>
      <w:marRight w:val="0"/>
      <w:marTop w:val="0"/>
      <w:marBottom w:val="0"/>
      <w:divBdr>
        <w:top w:val="none" w:sz="0" w:space="0" w:color="auto"/>
        <w:left w:val="none" w:sz="0" w:space="0" w:color="auto"/>
        <w:bottom w:val="none" w:sz="0" w:space="0" w:color="auto"/>
        <w:right w:val="none" w:sz="0" w:space="0" w:color="auto"/>
      </w:divBdr>
    </w:div>
    <w:div w:id="1419983004">
      <w:bodyDiv w:val="1"/>
      <w:marLeft w:val="0"/>
      <w:marRight w:val="0"/>
      <w:marTop w:val="0"/>
      <w:marBottom w:val="0"/>
      <w:divBdr>
        <w:top w:val="none" w:sz="0" w:space="0" w:color="auto"/>
        <w:left w:val="none" w:sz="0" w:space="0" w:color="auto"/>
        <w:bottom w:val="none" w:sz="0" w:space="0" w:color="auto"/>
        <w:right w:val="none" w:sz="0" w:space="0" w:color="auto"/>
      </w:divBdr>
    </w:div>
    <w:div w:id="1420129983">
      <w:bodyDiv w:val="1"/>
      <w:marLeft w:val="0"/>
      <w:marRight w:val="0"/>
      <w:marTop w:val="0"/>
      <w:marBottom w:val="0"/>
      <w:divBdr>
        <w:top w:val="none" w:sz="0" w:space="0" w:color="auto"/>
        <w:left w:val="none" w:sz="0" w:space="0" w:color="auto"/>
        <w:bottom w:val="none" w:sz="0" w:space="0" w:color="auto"/>
        <w:right w:val="none" w:sz="0" w:space="0" w:color="auto"/>
      </w:divBdr>
    </w:div>
    <w:div w:id="1420564888">
      <w:bodyDiv w:val="1"/>
      <w:marLeft w:val="0"/>
      <w:marRight w:val="0"/>
      <w:marTop w:val="0"/>
      <w:marBottom w:val="0"/>
      <w:divBdr>
        <w:top w:val="none" w:sz="0" w:space="0" w:color="auto"/>
        <w:left w:val="none" w:sz="0" w:space="0" w:color="auto"/>
        <w:bottom w:val="none" w:sz="0" w:space="0" w:color="auto"/>
        <w:right w:val="none" w:sz="0" w:space="0" w:color="auto"/>
      </w:divBdr>
    </w:div>
    <w:div w:id="1420709049">
      <w:bodyDiv w:val="1"/>
      <w:marLeft w:val="0"/>
      <w:marRight w:val="0"/>
      <w:marTop w:val="0"/>
      <w:marBottom w:val="0"/>
      <w:divBdr>
        <w:top w:val="none" w:sz="0" w:space="0" w:color="auto"/>
        <w:left w:val="none" w:sz="0" w:space="0" w:color="auto"/>
        <w:bottom w:val="none" w:sz="0" w:space="0" w:color="auto"/>
        <w:right w:val="none" w:sz="0" w:space="0" w:color="auto"/>
      </w:divBdr>
    </w:div>
    <w:div w:id="1420712311">
      <w:bodyDiv w:val="1"/>
      <w:marLeft w:val="0"/>
      <w:marRight w:val="0"/>
      <w:marTop w:val="0"/>
      <w:marBottom w:val="0"/>
      <w:divBdr>
        <w:top w:val="none" w:sz="0" w:space="0" w:color="auto"/>
        <w:left w:val="none" w:sz="0" w:space="0" w:color="auto"/>
        <w:bottom w:val="none" w:sz="0" w:space="0" w:color="auto"/>
        <w:right w:val="none" w:sz="0" w:space="0" w:color="auto"/>
      </w:divBdr>
    </w:div>
    <w:div w:id="1420784538">
      <w:bodyDiv w:val="1"/>
      <w:marLeft w:val="0"/>
      <w:marRight w:val="0"/>
      <w:marTop w:val="0"/>
      <w:marBottom w:val="0"/>
      <w:divBdr>
        <w:top w:val="none" w:sz="0" w:space="0" w:color="auto"/>
        <w:left w:val="none" w:sz="0" w:space="0" w:color="auto"/>
        <w:bottom w:val="none" w:sz="0" w:space="0" w:color="auto"/>
        <w:right w:val="none" w:sz="0" w:space="0" w:color="auto"/>
      </w:divBdr>
    </w:div>
    <w:div w:id="1421176002">
      <w:bodyDiv w:val="1"/>
      <w:marLeft w:val="0"/>
      <w:marRight w:val="0"/>
      <w:marTop w:val="0"/>
      <w:marBottom w:val="0"/>
      <w:divBdr>
        <w:top w:val="none" w:sz="0" w:space="0" w:color="auto"/>
        <w:left w:val="none" w:sz="0" w:space="0" w:color="auto"/>
        <w:bottom w:val="none" w:sz="0" w:space="0" w:color="auto"/>
        <w:right w:val="none" w:sz="0" w:space="0" w:color="auto"/>
      </w:divBdr>
    </w:div>
    <w:div w:id="1421177566">
      <w:bodyDiv w:val="1"/>
      <w:marLeft w:val="0"/>
      <w:marRight w:val="0"/>
      <w:marTop w:val="0"/>
      <w:marBottom w:val="0"/>
      <w:divBdr>
        <w:top w:val="none" w:sz="0" w:space="0" w:color="auto"/>
        <w:left w:val="none" w:sz="0" w:space="0" w:color="auto"/>
        <w:bottom w:val="none" w:sz="0" w:space="0" w:color="auto"/>
        <w:right w:val="none" w:sz="0" w:space="0" w:color="auto"/>
      </w:divBdr>
    </w:div>
    <w:div w:id="1422141654">
      <w:bodyDiv w:val="1"/>
      <w:marLeft w:val="0"/>
      <w:marRight w:val="0"/>
      <w:marTop w:val="0"/>
      <w:marBottom w:val="0"/>
      <w:divBdr>
        <w:top w:val="none" w:sz="0" w:space="0" w:color="auto"/>
        <w:left w:val="none" w:sz="0" w:space="0" w:color="auto"/>
        <w:bottom w:val="none" w:sz="0" w:space="0" w:color="auto"/>
        <w:right w:val="none" w:sz="0" w:space="0" w:color="auto"/>
      </w:divBdr>
    </w:div>
    <w:div w:id="1422752703">
      <w:bodyDiv w:val="1"/>
      <w:marLeft w:val="0"/>
      <w:marRight w:val="0"/>
      <w:marTop w:val="0"/>
      <w:marBottom w:val="0"/>
      <w:divBdr>
        <w:top w:val="none" w:sz="0" w:space="0" w:color="auto"/>
        <w:left w:val="none" w:sz="0" w:space="0" w:color="auto"/>
        <w:bottom w:val="none" w:sz="0" w:space="0" w:color="auto"/>
        <w:right w:val="none" w:sz="0" w:space="0" w:color="auto"/>
      </w:divBdr>
    </w:div>
    <w:div w:id="1422918259">
      <w:bodyDiv w:val="1"/>
      <w:marLeft w:val="0"/>
      <w:marRight w:val="0"/>
      <w:marTop w:val="0"/>
      <w:marBottom w:val="0"/>
      <w:divBdr>
        <w:top w:val="none" w:sz="0" w:space="0" w:color="auto"/>
        <w:left w:val="none" w:sz="0" w:space="0" w:color="auto"/>
        <w:bottom w:val="none" w:sz="0" w:space="0" w:color="auto"/>
        <w:right w:val="none" w:sz="0" w:space="0" w:color="auto"/>
      </w:divBdr>
    </w:div>
    <w:div w:id="1422993616">
      <w:bodyDiv w:val="1"/>
      <w:marLeft w:val="0"/>
      <w:marRight w:val="0"/>
      <w:marTop w:val="0"/>
      <w:marBottom w:val="0"/>
      <w:divBdr>
        <w:top w:val="none" w:sz="0" w:space="0" w:color="auto"/>
        <w:left w:val="none" w:sz="0" w:space="0" w:color="auto"/>
        <w:bottom w:val="none" w:sz="0" w:space="0" w:color="auto"/>
        <w:right w:val="none" w:sz="0" w:space="0" w:color="auto"/>
      </w:divBdr>
    </w:div>
    <w:div w:id="1423408913">
      <w:bodyDiv w:val="1"/>
      <w:marLeft w:val="0"/>
      <w:marRight w:val="0"/>
      <w:marTop w:val="0"/>
      <w:marBottom w:val="0"/>
      <w:divBdr>
        <w:top w:val="none" w:sz="0" w:space="0" w:color="auto"/>
        <w:left w:val="none" w:sz="0" w:space="0" w:color="auto"/>
        <w:bottom w:val="none" w:sz="0" w:space="0" w:color="auto"/>
        <w:right w:val="none" w:sz="0" w:space="0" w:color="auto"/>
      </w:divBdr>
    </w:div>
    <w:div w:id="1423716743">
      <w:bodyDiv w:val="1"/>
      <w:marLeft w:val="0"/>
      <w:marRight w:val="0"/>
      <w:marTop w:val="0"/>
      <w:marBottom w:val="0"/>
      <w:divBdr>
        <w:top w:val="none" w:sz="0" w:space="0" w:color="auto"/>
        <w:left w:val="none" w:sz="0" w:space="0" w:color="auto"/>
        <w:bottom w:val="none" w:sz="0" w:space="0" w:color="auto"/>
        <w:right w:val="none" w:sz="0" w:space="0" w:color="auto"/>
      </w:divBdr>
    </w:div>
    <w:div w:id="1423719318">
      <w:bodyDiv w:val="1"/>
      <w:marLeft w:val="0"/>
      <w:marRight w:val="0"/>
      <w:marTop w:val="0"/>
      <w:marBottom w:val="0"/>
      <w:divBdr>
        <w:top w:val="none" w:sz="0" w:space="0" w:color="auto"/>
        <w:left w:val="none" w:sz="0" w:space="0" w:color="auto"/>
        <w:bottom w:val="none" w:sz="0" w:space="0" w:color="auto"/>
        <w:right w:val="none" w:sz="0" w:space="0" w:color="auto"/>
      </w:divBdr>
    </w:div>
    <w:div w:id="1423724723">
      <w:bodyDiv w:val="1"/>
      <w:marLeft w:val="0"/>
      <w:marRight w:val="0"/>
      <w:marTop w:val="0"/>
      <w:marBottom w:val="0"/>
      <w:divBdr>
        <w:top w:val="none" w:sz="0" w:space="0" w:color="auto"/>
        <w:left w:val="none" w:sz="0" w:space="0" w:color="auto"/>
        <w:bottom w:val="none" w:sz="0" w:space="0" w:color="auto"/>
        <w:right w:val="none" w:sz="0" w:space="0" w:color="auto"/>
      </w:divBdr>
    </w:div>
    <w:div w:id="1423835241">
      <w:bodyDiv w:val="1"/>
      <w:marLeft w:val="0"/>
      <w:marRight w:val="0"/>
      <w:marTop w:val="0"/>
      <w:marBottom w:val="0"/>
      <w:divBdr>
        <w:top w:val="none" w:sz="0" w:space="0" w:color="auto"/>
        <w:left w:val="none" w:sz="0" w:space="0" w:color="auto"/>
        <w:bottom w:val="none" w:sz="0" w:space="0" w:color="auto"/>
        <w:right w:val="none" w:sz="0" w:space="0" w:color="auto"/>
      </w:divBdr>
    </w:div>
    <w:div w:id="1423989828">
      <w:bodyDiv w:val="1"/>
      <w:marLeft w:val="0"/>
      <w:marRight w:val="0"/>
      <w:marTop w:val="0"/>
      <w:marBottom w:val="0"/>
      <w:divBdr>
        <w:top w:val="none" w:sz="0" w:space="0" w:color="auto"/>
        <w:left w:val="none" w:sz="0" w:space="0" w:color="auto"/>
        <w:bottom w:val="none" w:sz="0" w:space="0" w:color="auto"/>
        <w:right w:val="none" w:sz="0" w:space="0" w:color="auto"/>
      </w:divBdr>
    </w:div>
    <w:div w:id="1424842707">
      <w:bodyDiv w:val="1"/>
      <w:marLeft w:val="0"/>
      <w:marRight w:val="0"/>
      <w:marTop w:val="0"/>
      <w:marBottom w:val="0"/>
      <w:divBdr>
        <w:top w:val="none" w:sz="0" w:space="0" w:color="auto"/>
        <w:left w:val="none" w:sz="0" w:space="0" w:color="auto"/>
        <w:bottom w:val="none" w:sz="0" w:space="0" w:color="auto"/>
        <w:right w:val="none" w:sz="0" w:space="0" w:color="auto"/>
      </w:divBdr>
    </w:div>
    <w:div w:id="1425297672">
      <w:bodyDiv w:val="1"/>
      <w:marLeft w:val="0"/>
      <w:marRight w:val="0"/>
      <w:marTop w:val="0"/>
      <w:marBottom w:val="0"/>
      <w:divBdr>
        <w:top w:val="none" w:sz="0" w:space="0" w:color="auto"/>
        <w:left w:val="none" w:sz="0" w:space="0" w:color="auto"/>
        <w:bottom w:val="none" w:sz="0" w:space="0" w:color="auto"/>
        <w:right w:val="none" w:sz="0" w:space="0" w:color="auto"/>
      </w:divBdr>
    </w:div>
    <w:div w:id="1425689807">
      <w:bodyDiv w:val="1"/>
      <w:marLeft w:val="0"/>
      <w:marRight w:val="0"/>
      <w:marTop w:val="0"/>
      <w:marBottom w:val="0"/>
      <w:divBdr>
        <w:top w:val="none" w:sz="0" w:space="0" w:color="auto"/>
        <w:left w:val="none" w:sz="0" w:space="0" w:color="auto"/>
        <w:bottom w:val="none" w:sz="0" w:space="0" w:color="auto"/>
        <w:right w:val="none" w:sz="0" w:space="0" w:color="auto"/>
      </w:divBdr>
    </w:div>
    <w:div w:id="1425803128">
      <w:bodyDiv w:val="1"/>
      <w:marLeft w:val="0"/>
      <w:marRight w:val="0"/>
      <w:marTop w:val="0"/>
      <w:marBottom w:val="0"/>
      <w:divBdr>
        <w:top w:val="none" w:sz="0" w:space="0" w:color="auto"/>
        <w:left w:val="none" w:sz="0" w:space="0" w:color="auto"/>
        <w:bottom w:val="none" w:sz="0" w:space="0" w:color="auto"/>
        <w:right w:val="none" w:sz="0" w:space="0" w:color="auto"/>
      </w:divBdr>
    </w:div>
    <w:div w:id="1426413733">
      <w:bodyDiv w:val="1"/>
      <w:marLeft w:val="0"/>
      <w:marRight w:val="0"/>
      <w:marTop w:val="0"/>
      <w:marBottom w:val="0"/>
      <w:divBdr>
        <w:top w:val="none" w:sz="0" w:space="0" w:color="auto"/>
        <w:left w:val="none" w:sz="0" w:space="0" w:color="auto"/>
        <w:bottom w:val="none" w:sz="0" w:space="0" w:color="auto"/>
        <w:right w:val="none" w:sz="0" w:space="0" w:color="auto"/>
      </w:divBdr>
    </w:div>
    <w:div w:id="1426922502">
      <w:bodyDiv w:val="1"/>
      <w:marLeft w:val="0"/>
      <w:marRight w:val="0"/>
      <w:marTop w:val="0"/>
      <w:marBottom w:val="0"/>
      <w:divBdr>
        <w:top w:val="none" w:sz="0" w:space="0" w:color="auto"/>
        <w:left w:val="none" w:sz="0" w:space="0" w:color="auto"/>
        <w:bottom w:val="none" w:sz="0" w:space="0" w:color="auto"/>
        <w:right w:val="none" w:sz="0" w:space="0" w:color="auto"/>
      </w:divBdr>
    </w:div>
    <w:div w:id="1427310154">
      <w:bodyDiv w:val="1"/>
      <w:marLeft w:val="0"/>
      <w:marRight w:val="0"/>
      <w:marTop w:val="0"/>
      <w:marBottom w:val="0"/>
      <w:divBdr>
        <w:top w:val="none" w:sz="0" w:space="0" w:color="auto"/>
        <w:left w:val="none" w:sz="0" w:space="0" w:color="auto"/>
        <w:bottom w:val="none" w:sz="0" w:space="0" w:color="auto"/>
        <w:right w:val="none" w:sz="0" w:space="0" w:color="auto"/>
      </w:divBdr>
    </w:div>
    <w:div w:id="1427340873">
      <w:bodyDiv w:val="1"/>
      <w:marLeft w:val="0"/>
      <w:marRight w:val="0"/>
      <w:marTop w:val="0"/>
      <w:marBottom w:val="0"/>
      <w:divBdr>
        <w:top w:val="none" w:sz="0" w:space="0" w:color="auto"/>
        <w:left w:val="none" w:sz="0" w:space="0" w:color="auto"/>
        <w:bottom w:val="none" w:sz="0" w:space="0" w:color="auto"/>
        <w:right w:val="none" w:sz="0" w:space="0" w:color="auto"/>
      </w:divBdr>
    </w:div>
    <w:div w:id="1427651904">
      <w:bodyDiv w:val="1"/>
      <w:marLeft w:val="0"/>
      <w:marRight w:val="0"/>
      <w:marTop w:val="0"/>
      <w:marBottom w:val="0"/>
      <w:divBdr>
        <w:top w:val="none" w:sz="0" w:space="0" w:color="auto"/>
        <w:left w:val="none" w:sz="0" w:space="0" w:color="auto"/>
        <w:bottom w:val="none" w:sz="0" w:space="0" w:color="auto"/>
        <w:right w:val="none" w:sz="0" w:space="0" w:color="auto"/>
      </w:divBdr>
    </w:div>
    <w:div w:id="1427844453">
      <w:bodyDiv w:val="1"/>
      <w:marLeft w:val="0"/>
      <w:marRight w:val="0"/>
      <w:marTop w:val="0"/>
      <w:marBottom w:val="0"/>
      <w:divBdr>
        <w:top w:val="none" w:sz="0" w:space="0" w:color="auto"/>
        <w:left w:val="none" w:sz="0" w:space="0" w:color="auto"/>
        <w:bottom w:val="none" w:sz="0" w:space="0" w:color="auto"/>
        <w:right w:val="none" w:sz="0" w:space="0" w:color="auto"/>
      </w:divBdr>
    </w:div>
    <w:div w:id="1428308971">
      <w:bodyDiv w:val="1"/>
      <w:marLeft w:val="0"/>
      <w:marRight w:val="0"/>
      <w:marTop w:val="0"/>
      <w:marBottom w:val="0"/>
      <w:divBdr>
        <w:top w:val="none" w:sz="0" w:space="0" w:color="auto"/>
        <w:left w:val="none" w:sz="0" w:space="0" w:color="auto"/>
        <w:bottom w:val="none" w:sz="0" w:space="0" w:color="auto"/>
        <w:right w:val="none" w:sz="0" w:space="0" w:color="auto"/>
      </w:divBdr>
    </w:div>
    <w:div w:id="1428500049">
      <w:bodyDiv w:val="1"/>
      <w:marLeft w:val="0"/>
      <w:marRight w:val="0"/>
      <w:marTop w:val="0"/>
      <w:marBottom w:val="0"/>
      <w:divBdr>
        <w:top w:val="none" w:sz="0" w:space="0" w:color="auto"/>
        <w:left w:val="none" w:sz="0" w:space="0" w:color="auto"/>
        <w:bottom w:val="none" w:sz="0" w:space="0" w:color="auto"/>
        <w:right w:val="none" w:sz="0" w:space="0" w:color="auto"/>
      </w:divBdr>
    </w:div>
    <w:div w:id="1429303703">
      <w:bodyDiv w:val="1"/>
      <w:marLeft w:val="0"/>
      <w:marRight w:val="0"/>
      <w:marTop w:val="0"/>
      <w:marBottom w:val="0"/>
      <w:divBdr>
        <w:top w:val="none" w:sz="0" w:space="0" w:color="auto"/>
        <w:left w:val="none" w:sz="0" w:space="0" w:color="auto"/>
        <w:bottom w:val="none" w:sz="0" w:space="0" w:color="auto"/>
        <w:right w:val="none" w:sz="0" w:space="0" w:color="auto"/>
      </w:divBdr>
    </w:div>
    <w:div w:id="1429616660">
      <w:bodyDiv w:val="1"/>
      <w:marLeft w:val="0"/>
      <w:marRight w:val="0"/>
      <w:marTop w:val="0"/>
      <w:marBottom w:val="0"/>
      <w:divBdr>
        <w:top w:val="none" w:sz="0" w:space="0" w:color="auto"/>
        <w:left w:val="none" w:sz="0" w:space="0" w:color="auto"/>
        <w:bottom w:val="none" w:sz="0" w:space="0" w:color="auto"/>
        <w:right w:val="none" w:sz="0" w:space="0" w:color="auto"/>
      </w:divBdr>
    </w:div>
    <w:div w:id="1429809765">
      <w:bodyDiv w:val="1"/>
      <w:marLeft w:val="0"/>
      <w:marRight w:val="0"/>
      <w:marTop w:val="0"/>
      <w:marBottom w:val="0"/>
      <w:divBdr>
        <w:top w:val="none" w:sz="0" w:space="0" w:color="auto"/>
        <w:left w:val="none" w:sz="0" w:space="0" w:color="auto"/>
        <w:bottom w:val="none" w:sz="0" w:space="0" w:color="auto"/>
        <w:right w:val="none" w:sz="0" w:space="0" w:color="auto"/>
      </w:divBdr>
    </w:div>
    <w:div w:id="1429892072">
      <w:bodyDiv w:val="1"/>
      <w:marLeft w:val="0"/>
      <w:marRight w:val="0"/>
      <w:marTop w:val="0"/>
      <w:marBottom w:val="0"/>
      <w:divBdr>
        <w:top w:val="none" w:sz="0" w:space="0" w:color="auto"/>
        <w:left w:val="none" w:sz="0" w:space="0" w:color="auto"/>
        <w:bottom w:val="none" w:sz="0" w:space="0" w:color="auto"/>
        <w:right w:val="none" w:sz="0" w:space="0" w:color="auto"/>
      </w:divBdr>
    </w:div>
    <w:div w:id="1430736572">
      <w:bodyDiv w:val="1"/>
      <w:marLeft w:val="0"/>
      <w:marRight w:val="0"/>
      <w:marTop w:val="0"/>
      <w:marBottom w:val="0"/>
      <w:divBdr>
        <w:top w:val="none" w:sz="0" w:space="0" w:color="auto"/>
        <w:left w:val="none" w:sz="0" w:space="0" w:color="auto"/>
        <w:bottom w:val="none" w:sz="0" w:space="0" w:color="auto"/>
        <w:right w:val="none" w:sz="0" w:space="0" w:color="auto"/>
      </w:divBdr>
    </w:div>
    <w:div w:id="1431311194">
      <w:bodyDiv w:val="1"/>
      <w:marLeft w:val="0"/>
      <w:marRight w:val="0"/>
      <w:marTop w:val="0"/>
      <w:marBottom w:val="0"/>
      <w:divBdr>
        <w:top w:val="none" w:sz="0" w:space="0" w:color="auto"/>
        <w:left w:val="none" w:sz="0" w:space="0" w:color="auto"/>
        <w:bottom w:val="none" w:sz="0" w:space="0" w:color="auto"/>
        <w:right w:val="none" w:sz="0" w:space="0" w:color="auto"/>
      </w:divBdr>
    </w:div>
    <w:div w:id="1432748651">
      <w:bodyDiv w:val="1"/>
      <w:marLeft w:val="0"/>
      <w:marRight w:val="0"/>
      <w:marTop w:val="0"/>
      <w:marBottom w:val="0"/>
      <w:divBdr>
        <w:top w:val="none" w:sz="0" w:space="0" w:color="auto"/>
        <w:left w:val="none" w:sz="0" w:space="0" w:color="auto"/>
        <w:bottom w:val="none" w:sz="0" w:space="0" w:color="auto"/>
        <w:right w:val="none" w:sz="0" w:space="0" w:color="auto"/>
      </w:divBdr>
    </w:div>
    <w:div w:id="1432817545">
      <w:bodyDiv w:val="1"/>
      <w:marLeft w:val="0"/>
      <w:marRight w:val="0"/>
      <w:marTop w:val="0"/>
      <w:marBottom w:val="0"/>
      <w:divBdr>
        <w:top w:val="none" w:sz="0" w:space="0" w:color="auto"/>
        <w:left w:val="none" w:sz="0" w:space="0" w:color="auto"/>
        <w:bottom w:val="none" w:sz="0" w:space="0" w:color="auto"/>
        <w:right w:val="none" w:sz="0" w:space="0" w:color="auto"/>
      </w:divBdr>
    </w:div>
    <w:div w:id="1432891064">
      <w:bodyDiv w:val="1"/>
      <w:marLeft w:val="0"/>
      <w:marRight w:val="0"/>
      <w:marTop w:val="0"/>
      <w:marBottom w:val="0"/>
      <w:divBdr>
        <w:top w:val="none" w:sz="0" w:space="0" w:color="auto"/>
        <w:left w:val="none" w:sz="0" w:space="0" w:color="auto"/>
        <w:bottom w:val="none" w:sz="0" w:space="0" w:color="auto"/>
        <w:right w:val="none" w:sz="0" w:space="0" w:color="auto"/>
      </w:divBdr>
    </w:div>
    <w:div w:id="1432899841">
      <w:bodyDiv w:val="1"/>
      <w:marLeft w:val="0"/>
      <w:marRight w:val="0"/>
      <w:marTop w:val="0"/>
      <w:marBottom w:val="0"/>
      <w:divBdr>
        <w:top w:val="none" w:sz="0" w:space="0" w:color="auto"/>
        <w:left w:val="none" w:sz="0" w:space="0" w:color="auto"/>
        <w:bottom w:val="none" w:sz="0" w:space="0" w:color="auto"/>
        <w:right w:val="none" w:sz="0" w:space="0" w:color="auto"/>
      </w:divBdr>
    </w:div>
    <w:div w:id="1433092992">
      <w:bodyDiv w:val="1"/>
      <w:marLeft w:val="0"/>
      <w:marRight w:val="0"/>
      <w:marTop w:val="0"/>
      <w:marBottom w:val="0"/>
      <w:divBdr>
        <w:top w:val="none" w:sz="0" w:space="0" w:color="auto"/>
        <w:left w:val="none" w:sz="0" w:space="0" w:color="auto"/>
        <w:bottom w:val="none" w:sz="0" w:space="0" w:color="auto"/>
        <w:right w:val="none" w:sz="0" w:space="0" w:color="auto"/>
      </w:divBdr>
    </w:div>
    <w:div w:id="1433629474">
      <w:bodyDiv w:val="1"/>
      <w:marLeft w:val="0"/>
      <w:marRight w:val="0"/>
      <w:marTop w:val="0"/>
      <w:marBottom w:val="0"/>
      <w:divBdr>
        <w:top w:val="none" w:sz="0" w:space="0" w:color="auto"/>
        <w:left w:val="none" w:sz="0" w:space="0" w:color="auto"/>
        <w:bottom w:val="none" w:sz="0" w:space="0" w:color="auto"/>
        <w:right w:val="none" w:sz="0" w:space="0" w:color="auto"/>
      </w:divBdr>
    </w:div>
    <w:div w:id="1435007445">
      <w:bodyDiv w:val="1"/>
      <w:marLeft w:val="0"/>
      <w:marRight w:val="0"/>
      <w:marTop w:val="0"/>
      <w:marBottom w:val="0"/>
      <w:divBdr>
        <w:top w:val="none" w:sz="0" w:space="0" w:color="auto"/>
        <w:left w:val="none" w:sz="0" w:space="0" w:color="auto"/>
        <w:bottom w:val="none" w:sz="0" w:space="0" w:color="auto"/>
        <w:right w:val="none" w:sz="0" w:space="0" w:color="auto"/>
      </w:divBdr>
    </w:div>
    <w:div w:id="1435514832">
      <w:bodyDiv w:val="1"/>
      <w:marLeft w:val="0"/>
      <w:marRight w:val="0"/>
      <w:marTop w:val="0"/>
      <w:marBottom w:val="0"/>
      <w:divBdr>
        <w:top w:val="none" w:sz="0" w:space="0" w:color="auto"/>
        <w:left w:val="none" w:sz="0" w:space="0" w:color="auto"/>
        <w:bottom w:val="none" w:sz="0" w:space="0" w:color="auto"/>
        <w:right w:val="none" w:sz="0" w:space="0" w:color="auto"/>
      </w:divBdr>
    </w:div>
    <w:div w:id="1435593842">
      <w:bodyDiv w:val="1"/>
      <w:marLeft w:val="0"/>
      <w:marRight w:val="0"/>
      <w:marTop w:val="0"/>
      <w:marBottom w:val="0"/>
      <w:divBdr>
        <w:top w:val="none" w:sz="0" w:space="0" w:color="auto"/>
        <w:left w:val="none" w:sz="0" w:space="0" w:color="auto"/>
        <w:bottom w:val="none" w:sz="0" w:space="0" w:color="auto"/>
        <w:right w:val="none" w:sz="0" w:space="0" w:color="auto"/>
      </w:divBdr>
    </w:div>
    <w:div w:id="1435631700">
      <w:bodyDiv w:val="1"/>
      <w:marLeft w:val="0"/>
      <w:marRight w:val="0"/>
      <w:marTop w:val="0"/>
      <w:marBottom w:val="0"/>
      <w:divBdr>
        <w:top w:val="none" w:sz="0" w:space="0" w:color="auto"/>
        <w:left w:val="none" w:sz="0" w:space="0" w:color="auto"/>
        <w:bottom w:val="none" w:sz="0" w:space="0" w:color="auto"/>
        <w:right w:val="none" w:sz="0" w:space="0" w:color="auto"/>
      </w:divBdr>
    </w:div>
    <w:div w:id="1435781957">
      <w:bodyDiv w:val="1"/>
      <w:marLeft w:val="0"/>
      <w:marRight w:val="0"/>
      <w:marTop w:val="0"/>
      <w:marBottom w:val="0"/>
      <w:divBdr>
        <w:top w:val="none" w:sz="0" w:space="0" w:color="auto"/>
        <w:left w:val="none" w:sz="0" w:space="0" w:color="auto"/>
        <w:bottom w:val="none" w:sz="0" w:space="0" w:color="auto"/>
        <w:right w:val="none" w:sz="0" w:space="0" w:color="auto"/>
      </w:divBdr>
    </w:div>
    <w:div w:id="1436055575">
      <w:bodyDiv w:val="1"/>
      <w:marLeft w:val="0"/>
      <w:marRight w:val="0"/>
      <w:marTop w:val="0"/>
      <w:marBottom w:val="0"/>
      <w:divBdr>
        <w:top w:val="none" w:sz="0" w:space="0" w:color="auto"/>
        <w:left w:val="none" w:sz="0" w:space="0" w:color="auto"/>
        <w:bottom w:val="none" w:sz="0" w:space="0" w:color="auto"/>
        <w:right w:val="none" w:sz="0" w:space="0" w:color="auto"/>
      </w:divBdr>
    </w:div>
    <w:div w:id="1436171562">
      <w:bodyDiv w:val="1"/>
      <w:marLeft w:val="0"/>
      <w:marRight w:val="0"/>
      <w:marTop w:val="0"/>
      <w:marBottom w:val="0"/>
      <w:divBdr>
        <w:top w:val="none" w:sz="0" w:space="0" w:color="auto"/>
        <w:left w:val="none" w:sz="0" w:space="0" w:color="auto"/>
        <w:bottom w:val="none" w:sz="0" w:space="0" w:color="auto"/>
        <w:right w:val="none" w:sz="0" w:space="0" w:color="auto"/>
      </w:divBdr>
    </w:div>
    <w:div w:id="1436249119">
      <w:bodyDiv w:val="1"/>
      <w:marLeft w:val="0"/>
      <w:marRight w:val="0"/>
      <w:marTop w:val="0"/>
      <w:marBottom w:val="0"/>
      <w:divBdr>
        <w:top w:val="none" w:sz="0" w:space="0" w:color="auto"/>
        <w:left w:val="none" w:sz="0" w:space="0" w:color="auto"/>
        <w:bottom w:val="none" w:sz="0" w:space="0" w:color="auto"/>
        <w:right w:val="none" w:sz="0" w:space="0" w:color="auto"/>
      </w:divBdr>
    </w:div>
    <w:div w:id="1436364005">
      <w:bodyDiv w:val="1"/>
      <w:marLeft w:val="0"/>
      <w:marRight w:val="0"/>
      <w:marTop w:val="0"/>
      <w:marBottom w:val="0"/>
      <w:divBdr>
        <w:top w:val="none" w:sz="0" w:space="0" w:color="auto"/>
        <w:left w:val="none" w:sz="0" w:space="0" w:color="auto"/>
        <w:bottom w:val="none" w:sz="0" w:space="0" w:color="auto"/>
        <w:right w:val="none" w:sz="0" w:space="0" w:color="auto"/>
      </w:divBdr>
    </w:div>
    <w:div w:id="1436511794">
      <w:bodyDiv w:val="1"/>
      <w:marLeft w:val="0"/>
      <w:marRight w:val="0"/>
      <w:marTop w:val="0"/>
      <w:marBottom w:val="0"/>
      <w:divBdr>
        <w:top w:val="none" w:sz="0" w:space="0" w:color="auto"/>
        <w:left w:val="none" w:sz="0" w:space="0" w:color="auto"/>
        <w:bottom w:val="none" w:sz="0" w:space="0" w:color="auto"/>
        <w:right w:val="none" w:sz="0" w:space="0" w:color="auto"/>
      </w:divBdr>
    </w:div>
    <w:div w:id="1436821884">
      <w:bodyDiv w:val="1"/>
      <w:marLeft w:val="0"/>
      <w:marRight w:val="0"/>
      <w:marTop w:val="0"/>
      <w:marBottom w:val="0"/>
      <w:divBdr>
        <w:top w:val="none" w:sz="0" w:space="0" w:color="auto"/>
        <w:left w:val="none" w:sz="0" w:space="0" w:color="auto"/>
        <w:bottom w:val="none" w:sz="0" w:space="0" w:color="auto"/>
        <w:right w:val="none" w:sz="0" w:space="0" w:color="auto"/>
      </w:divBdr>
    </w:div>
    <w:div w:id="1436897833">
      <w:bodyDiv w:val="1"/>
      <w:marLeft w:val="0"/>
      <w:marRight w:val="0"/>
      <w:marTop w:val="0"/>
      <w:marBottom w:val="0"/>
      <w:divBdr>
        <w:top w:val="none" w:sz="0" w:space="0" w:color="auto"/>
        <w:left w:val="none" w:sz="0" w:space="0" w:color="auto"/>
        <w:bottom w:val="none" w:sz="0" w:space="0" w:color="auto"/>
        <w:right w:val="none" w:sz="0" w:space="0" w:color="auto"/>
      </w:divBdr>
    </w:div>
    <w:div w:id="1436903289">
      <w:bodyDiv w:val="1"/>
      <w:marLeft w:val="0"/>
      <w:marRight w:val="0"/>
      <w:marTop w:val="0"/>
      <w:marBottom w:val="0"/>
      <w:divBdr>
        <w:top w:val="none" w:sz="0" w:space="0" w:color="auto"/>
        <w:left w:val="none" w:sz="0" w:space="0" w:color="auto"/>
        <w:bottom w:val="none" w:sz="0" w:space="0" w:color="auto"/>
        <w:right w:val="none" w:sz="0" w:space="0" w:color="auto"/>
      </w:divBdr>
    </w:div>
    <w:div w:id="1437020385">
      <w:bodyDiv w:val="1"/>
      <w:marLeft w:val="0"/>
      <w:marRight w:val="0"/>
      <w:marTop w:val="0"/>
      <w:marBottom w:val="0"/>
      <w:divBdr>
        <w:top w:val="none" w:sz="0" w:space="0" w:color="auto"/>
        <w:left w:val="none" w:sz="0" w:space="0" w:color="auto"/>
        <w:bottom w:val="none" w:sz="0" w:space="0" w:color="auto"/>
        <w:right w:val="none" w:sz="0" w:space="0" w:color="auto"/>
      </w:divBdr>
    </w:div>
    <w:div w:id="1438258376">
      <w:bodyDiv w:val="1"/>
      <w:marLeft w:val="0"/>
      <w:marRight w:val="0"/>
      <w:marTop w:val="0"/>
      <w:marBottom w:val="0"/>
      <w:divBdr>
        <w:top w:val="none" w:sz="0" w:space="0" w:color="auto"/>
        <w:left w:val="none" w:sz="0" w:space="0" w:color="auto"/>
        <w:bottom w:val="none" w:sz="0" w:space="0" w:color="auto"/>
        <w:right w:val="none" w:sz="0" w:space="0" w:color="auto"/>
      </w:divBdr>
    </w:div>
    <w:div w:id="1438794972">
      <w:bodyDiv w:val="1"/>
      <w:marLeft w:val="0"/>
      <w:marRight w:val="0"/>
      <w:marTop w:val="0"/>
      <w:marBottom w:val="0"/>
      <w:divBdr>
        <w:top w:val="none" w:sz="0" w:space="0" w:color="auto"/>
        <w:left w:val="none" w:sz="0" w:space="0" w:color="auto"/>
        <w:bottom w:val="none" w:sz="0" w:space="0" w:color="auto"/>
        <w:right w:val="none" w:sz="0" w:space="0" w:color="auto"/>
      </w:divBdr>
    </w:div>
    <w:div w:id="1438981476">
      <w:bodyDiv w:val="1"/>
      <w:marLeft w:val="0"/>
      <w:marRight w:val="0"/>
      <w:marTop w:val="0"/>
      <w:marBottom w:val="0"/>
      <w:divBdr>
        <w:top w:val="none" w:sz="0" w:space="0" w:color="auto"/>
        <w:left w:val="none" w:sz="0" w:space="0" w:color="auto"/>
        <w:bottom w:val="none" w:sz="0" w:space="0" w:color="auto"/>
        <w:right w:val="none" w:sz="0" w:space="0" w:color="auto"/>
      </w:divBdr>
    </w:div>
    <w:div w:id="1439176124">
      <w:bodyDiv w:val="1"/>
      <w:marLeft w:val="0"/>
      <w:marRight w:val="0"/>
      <w:marTop w:val="0"/>
      <w:marBottom w:val="0"/>
      <w:divBdr>
        <w:top w:val="none" w:sz="0" w:space="0" w:color="auto"/>
        <w:left w:val="none" w:sz="0" w:space="0" w:color="auto"/>
        <w:bottom w:val="none" w:sz="0" w:space="0" w:color="auto"/>
        <w:right w:val="none" w:sz="0" w:space="0" w:color="auto"/>
      </w:divBdr>
    </w:div>
    <w:div w:id="1439258745">
      <w:bodyDiv w:val="1"/>
      <w:marLeft w:val="0"/>
      <w:marRight w:val="0"/>
      <w:marTop w:val="0"/>
      <w:marBottom w:val="0"/>
      <w:divBdr>
        <w:top w:val="none" w:sz="0" w:space="0" w:color="auto"/>
        <w:left w:val="none" w:sz="0" w:space="0" w:color="auto"/>
        <w:bottom w:val="none" w:sz="0" w:space="0" w:color="auto"/>
        <w:right w:val="none" w:sz="0" w:space="0" w:color="auto"/>
      </w:divBdr>
    </w:div>
    <w:div w:id="1439760512">
      <w:bodyDiv w:val="1"/>
      <w:marLeft w:val="0"/>
      <w:marRight w:val="0"/>
      <w:marTop w:val="0"/>
      <w:marBottom w:val="0"/>
      <w:divBdr>
        <w:top w:val="none" w:sz="0" w:space="0" w:color="auto"/>
        <w:left w:val="none" w:sz="0" w:space="0" w:color="auto"/>
        <w:bottom w:val="none" w:sz="0" w:space="0" w:color="auto"/>
        <w:right w:val="none" w:sz="0" w:space="0" w:color="auto"/>
      </w:divBdr>
    </w:div>
    <w:div w:id="1440225552">
      <w:bodyDiv w:val="1"/>
      <w:marLeft w:val="0"/>
      <w:marRight w:val="0"/>
      <w:marTop w:val="0"/>
      <w:marBottom w:val="0"/>
      <w:divBdr>
        <w:top w:val="none" w:sz="0" w:space="0" w:color="auto"/>
        <w:left w:val="none" w:sz="0" w:space="0" w:color="auto"/>
        <w:bottom w:val="none" w:sz="0" w:space="0" w:color="auto"/>
        <w:right w:val="none" w:sz="0" w:space="0" w:color="auto"/>
      </w:divBdr>
    </w:div>
    <w:div w:id="1440293535">
      <w:bodyDiv w:val="1"/>
      <w:marLeft w:val="0"/>
      <w:marRight w:val="0"/>
      <w:marTop w:val="0"/>
      <w:marBottom w:val="0"/>
      <w:divBdr>
        <w:top w:val="none" w:sz="0" w:space="0" w:color="auto"/>
        <w:left w:val="none" w:sz="0" w:space="0" w:color="auto"/>
        <w:bottom w:val="none" w:sz="0" w:space="0" w:color="auto"/>
        <w:right w:val="none" w:sz="0" w:space="0" w:color="auto"/>
      </w:divBdr>
    </w:div>
    <w:div w:id="1440300971">
      <w:bodyDiv w:val="1"/>
      <w:marLeft w:val="0"/>
      <w:marRight w:val="0"/>
      <w:marTop w:val="0"/>
      <w:marBottom w:val="0"/>
      <w:divBdr>
        <w:top w:val="none" w:sz="0" w:space="0" w:color="auto"/>
        <w:left w:val="none" w:sz="0" w:space="0" w:color="auto"/>
        <w:bottom w:val="none" w:sz="0" w:space="0" w:color="auto"/>
        <w:right w:val="none" w:sz="0" w:space="0" w:color="auto"/>
      </w:divBdr>
    </w:div>
    <w:div w:id="1440444513">
      <w:bodyDiv w:val="1"/>
      <w:marLeft w:val="0"/>
      <w:marRight w:val="0"/>
      <w:marTop w:val="0"/>
      <w:marBottom w:val="0"/>
      <w:divBdr>
        <w:top w:val="none" w:sz="0" w:space="0" w:color="auto"/>
        <w:left w:val="none" w:sz="0" w:space="0" w:color="auto"/>
        <w:bottom w:val="none" w:sz="0" w:space="0" w:color="auto"/>
        <w:right w:val="none" w:sz="0" w:space="0" w:color="auto"/>
      </w:divBdr>
    </w:div>
    <w:div w:id="1440874560">
      <w:bodyDiv w:val="1"/>
      <w:marLeft w:val="0"/>
      <w:marRight w:val="0"/>
      <w:marTop w:val="0"/>
      <w:marBottom w:val="0"/>
      <w:divBdr>
        <w:top w:val="none" w:sz="0" w:space="0" w:color="auto"/>
        <w:left w:val="none" w:sz="0" w:space="0" w:color="auto"/>
        <w:bottom w:val="none" w:sz="0" w:space="0" w:color="auto"/>
        <w:right w:val="none" w:sz="0" w:space="0" w:color="auto"/>
      </w:divBdr>
    </w:div>
    <w:div w:id="1442332994">
      <w:bodyDiv w:val="1"/>
      <w:marLeft w:val="0"/>
      <w:marRight w:val="0"/>
      <w:marTop w:val="0"/>
      <w:marBottom w:val="0"/>
      <w:divBdr>
        <w:top w:val="none" w:sz="0" w:space="0" w:color="auto"/>
        <w:left w:val="none" w:sz="0" w:space="0" w:color="auto"/>
        <w:bottom w:val="none" w:sz="0" w:space="0" w:color="auto"/>
        <w:right w:val="none" w:sz="0" w:space="0" w:color="auto"/>
      </w:divBdr>
    </w:div>
    <w:div w:id="1442412400">
      <w:bodyDiv w:val="1"/>
      <w:marLeft w:val="0"/>
      <w:marRight w:val="0"/>
      <w:marTop w:val="0"/>
      <w:marBottom w:val="0"/>
      <w:divBdr>
        <w:top w:val="none" w:sz="0" w:space="0" w:color="auto"/>
        <w:left w:val="none" w:sz="0" w:space="0" w:color="auto"/>
        <w:bottom w:val="none" w:sz="0" w:space="0" w:color="auto"/>
        <w:right w:val="none" w:sz="0" w:space="0" w:color="auto"/>
      </w:divBdr>
    </w:div>
    <w:div w:id="1443307036">
      <w:bodyDiv w:val="1"/>
      <w:marLeft w:val="0"/>
      <w:marRight w:val="0"/>
      <w:marTop w:val="0"/>
      <w:marBottom w:val="0"/>
      <w:divBdr>
        <w:top w:val="none" w:sz="0" w:space="0" w:color="auto"/>
        <w:left w:val="none" w:sz="0" w:space="0" w:color="auto"/>
        <w:bottom w:val="none" w:sz="0" w:space="0" w:color="auto"/>
        <w:right w:val="none" w:sz="0" w:space="0" w:color="auto"/>
      </w:divBdr>
    </w:div>
    <w:div w:id="1444032578">
      <w:bodyDiv w:val="1"/>
      <w:marLeft w:val="0"/>
      <w:marRight w:val="0"/>
      <w:marTop w:val="0"/>
      <w:marBottom w:val="0"/>
      <w:divBdr>
        <w:top w:val="none" w:sz="0" w:space="0" w:color="auto"/>
        <w:left w:val="none" w:sz="0" w:space="0" w:color="auto"/>
        <w:bottom w:val="none" w:sz="0" w:space="0" w:color="auto"/>
        <w:right w:val="none" w:sz="0" w:space="0" w:color="auto"/>
      </w:divBdr>
    </w:div>
    <w:div w:id="1444154705">
      <w:bodyDiv w:val="1"/>
      <w:marLeft w:val="0"/>
      <w:marRight w:val="0"/>
      <w:marTop w:val="0"/>
      <w:marBottom w:val="0"/>
      <w:divBdr>
        <w:top w:val="none" w:sz="0" w:space="0" w:color="auto"/>
        <w:left w:val="none" w:sz="0" w:space="0" w:color="auto"/>
        <w:bottom w:val="none" w:sz="0" w:space="0" w:color="auto"/>
        <w:right w:val="none" w:sz="0" w:space="0" w:color="auto"/>
      </w:divBdr>
    </w:div>
    <w:div w:id="1444226697">
      <w:bodyDiv w:val="1"/>
      <w:marLeft w:val="0"/>
      <w:marRight w:val="0"/>
      <w:marTop w:val="0"/>
      <w:marBottom w:val="0"/>
      <w:divBdr>
        <w:top w:val="none" w:sz="0" w:space="0" w:color="auto"/>
        <w:left w:val="none" w:sz="0" w:space="0" w:color="auto"/>
        <w:bottom w:val="none" w:sz="0" w:space="0" w:color="auto"/>
        <w:right w:val="none" w:sz="0" w:space="0" w:color="auto"/>
      </w:divBdr>
    </w:div>
    <w:div w:id="1444573874">
      <w:bodyDiv w:val="1"/>
      <w:marLeft w:val="0"/>
      <w:marRight w:val="0"/>
      <w:marTop w:val="0"/>
      <w:marBottom w:val="0"/>
      <w:divBdr>
        <w:top w:val="none" w:sz="0" w:space="0" w:color="auto"/>
        <w:left w:val="none" w:sz="0" w:space="0" w:color="auto"/>
        <w:bottom w:val="none" w:sz="0" w:space="0" w:color="auto"/>
        <w:right w:val="none" w:sz="0" w:space="0" w:color="auto"/>
      </w:divBdr>
    </w:div>
    <w:div w:id="1444575204">
      <w:bodyDiv w:val="1"/>
      <w:marLeft w:val="0"/>
      <w:marRight w:val="0"/>
      <w:marTop w:val="0"/>
      <w:marBottom w:val="0"/>
      <w:divBdr>
        <w:top w:val="none" w:sz="0" w:space="0" w:color="auto"/>
        <w:left w:val="none" w:sz="0" w:space="0" w:color="auto"/>
        <w:bottom w:val="none" w:sz="0" w:space="0" w:color="auto"/>
        <w:right w:val="none" w:sz="0" w:space="0" w:color="auto"/>
      </w:divBdr>
    </w:div>
    <w:div w:id="1444879031">
      <w:bodyDiv w:val="1"/>
      <w:marLeft w:val="0"/>
      <w:marRight w:val="0"/>
      <w:marTop w:val="0"/>
      <w:marBottom w:val="0"/>
      <w:divBdr>
        <w:top w:val="none" w:sz="0" w:space="0" w:color="auto"/>
        <w:left w:val="none" w:sz="0" w:space="0" w:color="auto"/>
        <w:bottom w:val="none" w:sz="0" w:space="0" w:color="auto"/>
        <w:right w:val="none" w:sz="0" w:space="0" w:color="auto"/>
      </w:divBdr>
    </w:div>
    <w:div w:id="1445342942">
      <w:bodyDiv w:val="1"/>
      <w:marLeft w:val="0"/>
      <w:marRight w:val="0"/>
      <w:marTop w:val="0"/>
      <w:marBottom w:val="0"/>
      <w:divBdr>
        <w:top w:val="none" w:sz="0" w:space="0" w:color="auto"/>
        <w:left w:val="none" w:sz="0" w:space="0" w:color="auto"/>
        <w:bottom w:val="none" w:sz="0" w:space="0" w:color="auto"/>
        <w:right w:val="none" w:sz="0" w:space="0" w:color="auto"/>
      </w:divBdr>
    </w:div>
    <w:div w:id="1445465567">
      <w:bodyDiv w:val="1"/>
      <w:marLeft w:val="0"/>
      <w:marRight w:val="0"/>
      <w:marTop w:val="0"/>
      <w:marBottom w:val="0"/>
      <w:divBdr>
        <w:top w:val="none" w:sz="0" w:space="0" w:color="auto"/>
        <w:left w:val="none" w:sz="0" w:space="0" w:color="auto"/>
        <w:bottom w:val="none" w:sz="0" w:space="0" w:color="auto"/>
        <w:right w:val="none" w:sz="0" w:space="0" w:color="auto"/>
      </w:divBdr>
    </w:div>
    <w:div w:id="1445614739">
      <w:bodyDiv w:val="1"/>
      <w:marLeft w:val="0"/>
      <w:marRight w:val="0"/>
      <w:marTop w:val="0"/>
      <w:marBottom w:val="0"/>
      <w:divBdr>
        <w:top w:val="none" w:sz="0" w:space="0" w:color="auto"/>
        <w:left w:val="none" w:sz="0" w:space="0" w:color="auto"/>
        <w:bottom w:val="none" w:sz="0" w:space="0" w:color="auto"/>
        <w:right w:val="none" w:sz="0" w:space="0" w:color="auto"/>
      </w:divBdr>
    </w:div>
    <w:div w:id="1445616247">
      <w:bodyDiv w:val="1"/>
      <w:marLeft w:val="0"/>
      <w:marRight w:val="0"/>
      <w:marTop w:val="0"/>
      <w:marBottom w:val="0"/>
      <w:divBdr>
        <w:top w:val="none" w:sz="0" w:space="0" w:color="auto"/>
        <w:left w:val="none" w:sz="0" w:space="0" w:color="auto"/>
        <w:bottom w:val="none" w:sz="0" w:space="0" w:color="auto"/>
        <w:right w:val="none" w:sz="0" w:space="0" w:color="auto"/>
      </w:divBdr>
    </w:div>
    <w:div w:id="1445884704">
      <w:bodyDiv w:val="1"/>
      <w:marLeft w:val="0"/>
      <w:marRight w:val="0"/>
      <w:marTop w:val="0"/>
      <w:marBottom w:val="0"/>
      <w:divBdr>
        <w:top w:val="none" w:sz="0" w:space="0" w:color="auto"/>
        <w:left w:val="none" w:sz="0" w:space="0" w:color="auto"/>
        <w:bottom w:val="none" w:sz="0" w:space="0" w:color="auto"/>
        <w:right w:val="none" w:sz="0" w:space="0" w:color="auto"/>
      </w:divBdr>
    </w:div>
    <w:div w:id="1446191411">
      <w:bodyDiv w:val="1"/>
      <w:marLeft w:val="0"/>
      <w:marRight w:val="0"/>
      <w:marTop w:val="0"/>
      <w:marBottom w:val="0"/>
      <w:divBdr>
        <w:top w:val="none" w:sz="0" w:space="0" w:color="auto"/>
        <w:left w:val="none" w:sz="0" w:space="0" w:color="auto"/>
        <w:bottom w:val="none" w:sz="0" w:space="0" w:color="auto"/>
        <w:right w:val="none" w:sz="0" w:space="0" w:color="auto"/>
      </w:divBdr>
    </w:div>
    <w:div w:id="1446194495">
      <w:bodyDiv w:val="1"/>
      <w:marLeft w:val="0"/>
      <w:marRight w:val="0"/>
      <w:marTop w:val="0"/>
      <w:marBottom w:val="0"/>
      <w:divBdr>
        <w:top w:val="none" w:sz="0" w:space="0" w:color="auto"/>
        <w:left w:val="none" w:sz="0" w:space="0" w:color="auto"/>
        <w:bottom w:val="none" w:sz="0" w:space="0" w:color="auto"/>
        <w:right w:val="none" w:sz="0" w:space="0" w:color="auto"/>
      </w:divBdr>
    </w:div>
    <w:div w:id="1446264792">
      <w:bodyDiv w:val="1"/>
      <w:marLeft w:val="0"/>
      <w:marRight w:val="0"/>
      <w:marTop w:val="0"/>
      <w:marBottom w:val="0"/>
      <w:divBdr>
        <w:top w:val="none" w:sz="0" w:space="0" w:color="auto"/>
        <w:left w:val="none" w:sz="0" w:space="0" w:color="auto"/>
        <w:bottom w:val="none" w:sz="0" w:space="0" w:color="auto"/>
        <w:right w:val="none" w:sz="0" w:space="0" w:color="auto"/>
      </w:divBdr>
    </w:div>
    <w:div w:id="1446577730">
      <w:bodyDiv w:val="1"/>
      <w:marLeft w:val="0"/>
      <w:marRight w:val="0"/>
      <w:marTop w:val="0"/>
      <w:marBottom w:val="0"/>
      <w:divBdr>
        <w:top w:val="none" w:sz="0" w:space="0" w:color="auto"/>
        <w:left w:val="none" w:sz="0" w:space="0" w:color="auto"/>
        <w:bottom w:val="none" w:sz="0" w:space="0" w:color="auto"/>
        <w:right w:val="none" w:sz="0" w:space="0" w:color="auto"/>
      </w:divBdr>
    </w:div>
    <w:div w:id="1446727559">
      <w:bodyDiv w:val="1"/>
      <w:marLeft w:val="0"/>
      <w:marRight w:val="0"/>
      <w:marTop w:val="0"/>
      <w:marBottom w:val="0"/>
      <w:divBdr>
        <w:top w:val="none" w:sz="0" w:space="0" w:color="auto"/>
        <w:left w:val="none" w:sz="0" w:space="0" w:color="auto"/>
        <w:bottom w:val="none" w:sz="0" w:space="0" w:color="auto"/>
        <w:right w:val="none" w:sz="0" w:space="0" w:color="auto"/>
      </w:divBdr>
    </w:div>
    <w:div w:id="1447506895">
      <w:bodyDiv w:val="1"/>
      <w:marLeft w:val="0"/>
      <w:marRight w:val="0"/>
      <w:marTop w:val="0"/>
      <w:marBottom w:val="0"/>
      <w:divBdr>
        <w:top w:val="none" w:sz="0" w:space="0" w:color="auto"/>
        <w:left w:val="none" w:sz="0" w:space="0" w:color="auto"/>
        <w:bottom w:val="none" w:sz="0" w:space="0" w:color="auto"/>
        <w:right w:val="none" w:sz="0" w:space="0" w:color="auto"/>
      </w:divBdr>
    </w:div>
    <w:div w:id="1447576719">
      <w:bodyDiv w:val="1"/>
      <w:marLeft w:val="0"/>
      <w:marRight w:val="0"/>
      <w:marTop w:val="0"/>
      <w:marBottom w:val="0"/>
      <w:divBdr>
        <w:top w:val="none" w:sz="0" w:space="0" w:color="auto"/>
        <w:left w:val="none" w:sz="0" w:space="0" w:color="auto"/>
        <w:bottom w:val="none" w:sz="0" w:space="0" w:color="auto"/>
        <w:right w:val="none" w:sz="0" w:space="0" w:color="auto"/>
      </w:divBdr>
    </w:div>
    <w:div w:id="1447579652">
      <w:bodyDiv w:val="1"/>
      <w:marLeft w:val="0"/>
      <w:marRight w:val="0"/>
      <w:marTop w:val="0"/>
      <w:marBottom w:val="0"/>
      <w:divBdr>
        <w:top w:val="none" w:sz="0" w:space="0" w:color="auto"/>
        <w:left w:val="none" w:sz="0" w:space="0" w:color="auto"/>
        <w:bottom w:val="none" w:sz="0" w:space="0" w:color="auto"/>
        <w:right w:val="none" w:sz="0" w:space="0" w:color="auto"/>
      </w:divBdr>
    </w:div>
    <w:div w:id="1447701817">
      <w:bodyDiv w:val="1"/>
      <w:marLeft w:val="0"/>
      <w:marRight w:val="0"/>
      <w:marTop w:val="0"/>
      <w:marBottom w:val="0"/>
      <w:divBdr>
        <w:top w:val="none" w:sz="0" w:space="0" w:color="auto"/>
        <w:left w:val="none" w:sz="0" w:space="0" w:color="auto"/>
        <w:bottom w:val="none" w:sz="0" w:space="0" w:color="auto"/>
        <w:right w:val="none" w:sz="0" w:space="0" w:color="auto"/>
      </w:divBdr>
    </w:div>
    <w:div w:id="1448087031">
      <w:bodyDiv w:val="1"/>
      <w:marLeft w:val="0"/>
      <w:marRight w:val="0"/>
      <w:marTop w:val="0"/>
      <w:marBottom w:val="0"/>
      <w:divBdr>
        <w:top w:val="none" w:sz="0" w:space="0" w:color="auto"/>
        <w:left w:val="none" w:sz="0" w:space="0" w:color="auto"/>
        <w:bottom w:val="none" w:sz="0" w:space="0" w:color="auto"/>
        <w:right w:val="none" w:sz="0" w:space="0" w:color="auto"/>
      </w:divBdr>
    </w:div>
    <w:div w:id="1448695641">
      <w:bodyDiv w:val="1"/>
      <w:marLeft w:val="0"/>
      <w:marRight w:val="0"/>
      <w:marTop w:val="0"/>
      <w:marBottom w:val="0"/>
      <w:divBdr>
        <w:top w:val="none" w:sz="0" w:space="0" w:color="auto"/>
        <w:left w:val="none" w:sz="0" w:space="0" w:color="auto"/>
        <w:bottom w:val="none" w:sz="0" w:space="0" w:color="auto"/>
        <w:right w:val="none" w:sz="0" w:space="0" w:color="auto"/>
      </w:divBdr>
    </w:div>
    <w:div w:id="1448743681">
      <w:bodyDiv w:val="1"/>
      <w:marLeft w:val="0"/>
      <w:marRight w:val="0"/>
      <w:marTop w:val="0"/>
      <w:marBottom w:val="0"/>
      <w:divBdr>
        <w:top w:val="none" w:sz="0" w:space="0" w:color="auto"/>
        <w:left w:val="none" w:sz="0" w:space="0" w:color="auto"/>
        <w:bottom w:val="none" w:sz="0" w:space="0" w:color="auto"/>
        <w:right w:val="none" w:sz="0" w:space="0" w:color="auto"/>
      </w:divBdr>
    </w:div>
    <w:div w:id="1449206317">
      <w:bodyDiv w:val="1"/>
      <w:marLeft w:val="0"/>
      <w:marRight w:val="0"/>
      <w:marTop w:val="0"/>
      <w:marBottom w:val="0"/>
      <w:divBdr>
        <w:top w:val="none" w:sz="0" w:space="0" w:color="auto"/>
        <w:left w:val="none" w:sz="0" w:space="0" w:color="auto"/>
        <w:bottom w:val="none" w:sz="0" w:space="0" w:color="auto"/>
        <w:right w:val="none" w:sz="0" w:space="0" w:color="auto"/>
      </w:divBdr>
    </w:div>
    <w:div w:id="1449425823">
      <w:bodyDiv w:val="1"/>
      <w:marLeft w:val="0"/>
      <w:marRight w:val="0"/>
      <w:marTop w:val="0"/>
      <w:marBottom w:val="0"/>
      <w:divBdr>
        <w:top w:val="none" w:sz="0" w:space="0" w:color="auto"/>
        <w:left w:val="none" w:sz="0" w:space="0" w:color="auto"/>
        <w:bottom w:val="none" w:sz="0" w:space="0" w:color="auto"/>
        <w:right w:val="none" w:sz="0" w:space="0" w:color="auto"/>
      </w:divBdr>
    </w:div>
    <w:div w:id="1450008188">
      <w:bodyDiv w:val="1"/>
      <w:marLeft w:val="0"/>
      <w:marRight w:val="0"/>
      <w:marTop w:val="0"/>
      <w:marBottom w:val="0"/>
      <w:divBdr>
        <w:top w:val="none" w:sz="0" w:space="0" w:color="auto"/>
        <w:left w:val="none" w:sz="0" w:space="0" w:color="auto"/>
        <w:bottom w:val="none" w:sz="0" w:space="0" w:color="auto"/>
        <w:right w:val="none" w:sz="0" w:space="0" w:color="auto"/>
      </w:divBdr>
    </w:div>
    <w:div w:id="1450277544">
      <w:bodyDiv w:val="1"/>
      <w:marLeft w:val="0"/>
      <w:marRight w:val="0"/>
      <w:marTop w:val="0"/>
      <w:marBottom w:val="0"/>
      <w:divBdr>
        <w:top w:val="none" w:sz="0" w:space="0" w:color="auto"/>
        <w:left w:val="none" w:sz="0" w:space="0" w:color="auto"/>
        <w:bottom w:val="none" w:sz="0" w:space="0" w:color="auto"/>
        <w:right w:val="none" w:sz="0" w:space="0" w:color="auto"/>
      </w:divBdr>
    </w:div>
    <w:div w:id="1450316493">
      <w:bodyDiv w:val="1"/>
      <w:marLeft w:val="0"/>
      <w:marRight w:val="0"/>
      <w:marTop w:val="0"/>
      <w:marBottom w:val="0"/>
      <w:divBdr>
        <w:top w:val="none" w:sz="0" w:space="0" w:color="auto"/>
        <w:left w:val="none" w:sz="0" w:space="0" w:color="auto"/>
        <w:bottom w:val="none" w:sz="0" w:space="0" w:color="auto"/>
        <w:right w:val="none" w:sz="0" w:space="0" w:color="auto"/>
      </w:divBdr>
    </w:div>
    <w:div w:id="1450394090">
      <w:bodyDiv w:val="1"/>
      <w:marLeft w:val="0"/>
      <w:marRight w:val="0"/>
      <w:marTop w:val="0"/>
      <w:marBottom w:val="0"/>
      <w:divBdr>
        <w:top w:val="none" w:sz="0" w:space="0" w:color="auto"/>
        <w:left w:val="none" w:sz="0" w:space="0" w:color="auto"/>
        <w:bottom w:val="none" w:sz="0" w:space="0" w:color="auto"/>
        <w:right w:val="none" w:sz="0" w:space="0" w:color="auto"/>
      </w:divBdr>
    </w:div>
    <w:div w:id="1450471026">
      <w:bodyDiv w:val="1"/>
      <w:marLeft w:val="0"/>
      <w:marRight w:val="0"/>
      <w:marTop w:val="0"/>
      <w:marBottom w:val="0"/>
      <w:divBdr>
        <w:top w:val="none" w:sz="0" w:space="0" w:color="auto"/>
        <w:left w:val="none" w:sz="0" w:space="0" w:color="auto"/>
        <w:bottom w:val="none" w:sz="0" w:space="0" w:color="auto"/>
        <w:right w:val="none" w:sz="0" w:space="0" w:color="auto"/>
      </w:divBdr>
    </w:div>
    <w:div w:id="1450708613">
      <w:bodyDiv w:val="1"/>
      <w:marLeft w:val="0"/>
      <w:marRight w:val="0"/>
      <w:marTop w:val="0"/>
      <w:marBottom w:val="0"/>
      <w:divBdr>
        <w:top w:val="none" w:sz="0" w:space="0" w:color="auto"/>
        <w:left w:val="none" w:sz="0" w:space="0" w:color="auto"/>
        <w:bottom w:val="none" w:sz="0" w:space="0" w:color="auto"/>
        <w:right w:val="none" w:sz="0" w:space="0" w:color="auto"/>
      </w:divBdr>
    </w:div>
    <w:div w:id="1450735739">
      <w:bodyDiv w:val="1"/>
      <w:marLeft w:val="0"/>
      <w:marRight w:val="0"/>
      <w:marTop w:val="0"/>
      <w:marBottom w:val="0"/>
      <w:divBdr>
        <w:top w:val="none" w:sz="0" w:space="0" w:color="auto"/>
        <w:left w:val="none" w:sz="0" w:space="0" w:color="auto"/>
        <w:bottom w:val="none" w:sz="0" w:space="0" w:color="auto"/>
        <w:right w:val="none" w:sz="0" w:space="0" w:color="auto"/>
      </w:divBdr>
    </w:div>
    <w:div w:id="1450853404">
      <w:bodyDiv w:val="1"/>
      <w:marLeft w:val="0"/>
      <w:marRight w:val="0"/>
      <w:marTop w:val="0"/>
      <w:marBottom w:val="0"/>
      <w:divBdr>
        <w:top w:val="none" w:sz="0" w:space="0" w:color="auto"/>
        <w:left w:val="none" w:sz="0" w:space="0" w:color="auto"/>
        <w:bottom w:val="none" w:sz="0" w:space="0" w:color="auto"/>
        <w:right w:val="none" w:sz="0" w:space="0" w:color="auto"/>
      </w:divBdr>
    </w:div>
    <w:div w:id="1451238364">
      <w:bodyDiv w:val="1"/>
      <w:marLeft w:val="0"/>
      <w:marRight w:val="0"/>
      <w:marTop w:val="0"/>
      <w:marBottom w:val="0"/>
      <w:divBdr>
        <w:top w:val="none" w:sz="0" w:space="0" w:color="auto"/>
        <w:left w:val="none" w:sz="0" w:space="0" w:color="auto"/>
        <w:bottom w:val="none" w:sz="0" w:space="0" w:color="auto"/>
        <w:right w:val="none" w:sz="0" w:space="0" w:color="auto"/>
      </w:divBdr>
    </w:div>
    <w:div w:id="1451784720">
      <w:bodyDiv w:val="1"/>
      <w:marLeft w:val="0"/>
      <w:marRight w:val="0"/>
      <w:marTop w:val="0"/>
      <w:marBottom w:val="0"/>
      <w:divBdr>
        <w:top w:val="none" w:sz="0" w:space="0" w:color="auto"/>
        <w:left w:val="none" w:sz="0" w:space="0" w:color="auto"/>
        <w:bottom w:val="none" w:sz="0" w:space="0" w:color="auto"/>
        <w:right w:val="none" w:sz="0" w:space="0" w:color="auto"/>
      </w:divBdr>
    </w:div>
    <w:div w:id="1451897737">
      <w:bodyDiv w:val="1"/>
      <w:marLeft w:val="0"/>
      <w:marRight w:val="0"/>
      <w:marTop w:val="0"/>
      <w:marBottom w:val="0"/>
      <w:divBdr>
        <w:top w:val="none" w:sz="0" w:space="0" w:color="auto"/>
        <w:left w:val="none" w:sz="0" w:space="0" w:color="auto"/>
        <w:bottom w:val="none" w:sz="0" w:space="0" w:color="auto"/>
        <w:right w:val="none" w:sz="0" w:space="0" w:color="auto"/>
      </w:divBdr>
    </w:div>
    <w:div w:id="1452168213">
      <w:bodyDiv w:val="1"/>
      <w:marLeft w:val="0"/>
      <w:marRight w:val="0"/>
      <w:marTop w:val="0"/>
      <w:marBottom w:val="0"/>
      <w:divBdr>
        <w:top w:val="none" w:sz="0" w:space="0" w:color="auto"/>
        <w:left w:val="none" w:sz="0" w:space="0" w:color="auto"/>
        <w:bottom w:val="none" w:sz="0" w:space="0" w:color="auto"/>
        <w:right w:val="none" w:sz="0" w:space="0" w:color="auto"/>
      </w:divBdr>
    </w:div>
    <w:div w:id="1452747212">
      <w:bodyDiv w:val="1"/>
      <w:marLeft w:val="0"/>
      <w:marRight w:val="0"/>
      <w:marTop w:val="0"/>
      <w:marBottom w:val="0"/>
      <w:divBdr>
        <w:top w:val="none" w:sz="0" w:space="0" w:color="auto"/>
        <w:left w:val="none" w:sz="0" w:space="0" w:color="auto"/>
        <w:bottom w:val="none" w:sz="0" w:space="0" w:color="auto"/>
        <w:right w:val="none" w:sz="0" w:space="0" w:color="auto"/>
      </w:divBdr>
    </w:div>
    <w:div w:id="1452940367">
      <w:bodyDiv w:val="1"/>
      <w:marLeft w:val="0"/>
      <w:marRight w:val="0"/>
      <w:marTop w:val="0"/>
      <w:marBottom w:val="0"/>
      <w:divBdr>
        <w:top w:val="none" w:sz="0" w:space="0" w:color="auto"/>
        <w:left w:val="none" w:sz="0" w:space="0" w:color="auto"/>
        <w:bottom w:val="none" w:sz="0" w:space="0" w:color="auto"/>
        <w:right w:val="none" w:sz="0" w:space="0" w:color="auto"/>
      </w:divBdr>
    </w:div>
    <w:div w:id="1453016437">
      <w:bodyDiv w:val="1"/>
      <w:marLeft w:val="0"/>
      <w:marRight w:val="0"/>
      <w:marTop w:val="0"/>
      <w:marBottom w:val="0"/>
      <w:divBdr>
        <w:top w:val="none" w:sz="0" w:space="0" w:color="auto"/>
        <w:left w:val="none" w:sz="0" w:space="0" w:color="auto"/>
        <w:bottom w:val="none" w:sz="0" w:space="0" w:color="auto"/>
        <w:right w:val="none" w:sz="0" w:space="0" w:color="auto"/>
      </w:divBdr>
    </w:div>
    <w:div w:id="1453279882">
      <w:bodyDiv w:val="1"/>
      <w:marLeft w:val="0"/>
      <w:marRight w:val="0"/>
      <w:marTop w:val="0"/>
      <w:marBottom w:val="0"/>
      <w:divBdr>
        <w:top w:val="none" w:sz="0" w:space="0" w:color="auto"/>
        <w:left w:val="none" w:sz="0" w:space="0" w:color="auto"/>
        <w:bottom w:val="none" w:sz="0" w:space="0" w:color="auto"/>
        <w:right w:val="none" w:sz="0" w:space="0" w:color="auto"/>
      </w:divBdr>
    </w:div>
    <w:div w:id="1453401670">
      <w:bodyDiv w:val="1"/>
      <w:marLeft w:val="0"/>
      <w:marRight w:val="0"/>
      <w:marTop w:val="0"/>
      <w:marBottom w:val="0"/>
      <w:divBdr>
        <w:top w:val="none" w:sz="0" w:space="0" w:color="auto"/>
        <w:left w:val="none" w:sz="0" w:space="0" w:color="auto"/>
        <w:bottom w:val="none" w:sz="0" w:space="0" w:color="auto"/>
        <w:right w:val="none" w:sz="0" w:space="0" w:color="auto"/>
      </w:divBdr>
    </w:div>
    <w:div w:id="1453750148">
      <w:bodyDiv w:val="1"/>
      <w:marLeft w:val="0"/>
      <w:marRight w:val="0"/>
      <w:marTop w:val="0"/>
      <w:marBottom w:val="0"/>
      <w:divBdr>
        <w:top w:val="none" w:sz="0" w:space="0" w:color="auto"/>
        <w:left w:val="none" w:sz="0" w:space="0" w:color="auto"/>
        <w:bottom w:val="none" w:sz="0" w:space="0" w:color="auto"/>
        <w:right w:val="none" w:sz="0" w:space="0" w:color="auto"/>
      </w:divBdr>
    </w:div>
    <w:div w:id="1453935885">
      <w:bodyDiv w:val="1"/>
      <w:marLeft w:val="0"/>
      <w:marRight w:val="0"/>
      <w:marTop w:val="0"/>
      <w:marBottom w:val="0"/>
      <w:divBdr>
        <w:top w:val="none" w:sz="0" w:space="0" w:color="auto"/>
        <w:left w:val="none" w:sz="0" w:space="0" w:color="auto"/>
        <w:bottom w:val="none" w:sz="0" w:space="0" w:color="auto"/>
        <w:right w:val="none" w:sz="0" w:space="0" w:color="auto"/>
      </w:divBdr>
    </w:div>
    <w:div w:id="1454061721">
      <w:bodyDiv w:val="1"/>
      <w:marLeft w:val="0"/>
      <w:marRight w:val="0"/>
      <w:marTop w:val="0"/>
      <w:marBottom w:val="0"/>
      <w:divBdr>
        <w:top w:val="none" w:sz="0" w:space="0" w:color="auto"/>
        <w:left w:val="none" w:sz="0" w:space="0" w:color="auto"/>
        <w:bottom w:val="none" w:sz="0" w:space="0" w:color="auto"/>
        <w:right w:val="none" w:sz="0" w:space="0" w:color="auto"/>
      </w:divBdr>
    </w:div>
    <w:div w:id="1454443171">
      <w:bodyDiv w:val="1"/>
      <w:marLeft w:val="0"/>
      <w:marRight w:val="0"/>
      <w:marTop w:val="0"/>
      <w:marBottom w:val="0"/>
      <w:divBdr>
        <w:top w:val="none" w:sz="0" w:space="0" w:color="auto"/>
        <w:left w:val="none" w:sz="0" w:space="0" w:color="auto"/>
        <w:bottom w:val="none" w:sz="0" w:space="0" w:color="auto"/>
        <w:right w:val="none" w:sz="0" w:space="0" w:color="auto"/>
      </w:divBdr>
    </w:div>
    <w:div w:id="1454640996">
      <w:bodyDiv w:val="1"/>
      <w:marLeft w:val="0"/>
      <w:marRight w:val="0"/>
      <w:marTop w:val="0"/>
      <w:marBottom w:val="0"/>
      <w:divBdr>
        <w:top w:val="none" w:sz="0" w:space="0" w:color="auto"/>
        <w:left w:val="none" w:sz="0" w:space="0" w:color="auto"/>
        <w:bottom w:val="none" w:sz="0" w:space="0" w:color="auto"/>
        <w:right w:val="none" w:sz="0" w:space="0" w:color="auto"/>
      </w:divBdr>
    </w:div>
    <w:div w:id="1454865013">
      <w:bodyDiv w:val="1"/>
      <w:marLeft w:val="0"/>
      <w:marRight w:val="0"/>
      <w:marTop w:val="0"/>
      <w:marBottom w:val="0"/>
      <w:divBdr>
        <w:top w:val="none" w:sz="0" w:space="0" w:color="auto"/>
        <w:left w:val="none" w:sz="0" w:space="0" w:color="auto"/>
        <w:bottom w:val="none" w:sz="0" w:space="0" w:color="auto"/>
        <w:right w:val="none" w:sz="0" w:space="0" w:color="auto"/>
      </w:divBdr>
    </w:div>
    <w:div w:id="1455127698">
      <w:bodyDiv w:val="1"/>
      <w:marLeft w:val="0"/>
      <w:marRight w:val="0"/>
      <w:marTop w:val="0"/>
      <w:marBottom w:val="0"/>
      <w:divBdr>
        <w:top w:val="none" w:sz="0" w:space="0" w:color="auto"/>
        <w:left w:val="none" w:sz="0" w:space="0" w:color="auto"/>
        <w:bottom w:val="none" w:sz="0" w:space="0" w:color="auto"/>
        <w:right w:val="none" w:sz="0" w:space="0" w:color="auto"/>
      </w:divBdr>
    </w:div>
    <w:div w:id="1455757749">
      <w:bodyDiv w:val="1"/>
      <w:marLeft w:val="0"/>
      <w:marRight w:val="0"/>
      <w:marTop w:val="0"/>
      <w:marBottom w:val="0"/>
      <w:divBdr>
        <w:top w:val="none" w:sz="0" w:space="0" w:color="auto"/>
        <w:left w:val="none" w:sz="0" w:space="0" w:color="auto"/>
        <w:bottom w:val="none" w:sz="0" w:space="0" w:color="auto"/>
        <w:right w:val="none" w:sz="0" w:space="0" w:color="auto"/>
      </w:divBdr>
    </w:div>
    <w:div w:id="1455975827">
      <w:bodyDiv w:val="1"/>
      <w:marLeft w:val="0"/>
      <w:marRight w:val="0"/>
      <w:marTop w:val="0"/>
      <w:marBottom w:val="0"/>
      <w:divBdr>
        <w:top w:val="none" w:sz="0" w:space="0" w:color="auto"/>
        <w:left w:val="none" w:sz="0" w:space="0" w:color="auto"/>
        <w:bottom w:val="none" w:sz="0" w:space="0" w:color="auto"/>
        <w:right w:val="none" w:sz="0" w:space="0" w:color="auto"/>
      </w:divBdr>
    </w:div>
    <w:div w:id="1456482340">
      <w:bodyDiv w:val="1"/>
      <w:marLeft w:val="0"/>
      <w:marRight w:val="0"/>
      <w:marTop w:val="0"/>
      <w:marBottom w:val="0"/>
      <w:divBdr>
        <w:top w:val="none" w:sz="0" w:space="0" w:color="auto"/>
        <w:left w:val="none" w:sz="0" w:space="0" w:color="auto"/>
        <w:bottom w:val="none" w:sz="0" w:space="0" w:color="auto"/>
        <w:right w:val="none" w:sz="0" w:space="0" w:color="auto"/>
      </w:divBdr>
    </w:div>
    <w:div w:id="1456826777">
      <w:bodyDiv w:val="1"/>
      <w:marLeft w:val="0"/>
      <w:marRight w:val="0"/>
      <w:marTop w:val="0"/>
      <w:marBottom w:val="0"/>
      <w:divBdr>
        <w:top w:val="none" w:sz="0" w:space="0" w:color="auto"/>
        <w:left w:val="none" w:sz="0" w:space="0" w:color="auto"/>
        <w:bottom w:val="none" w:sz="0" w:space="0" w:color="auto"/>
        <w:right w:val="none" w:sz="0" w:space="0" w:color="auto"/>
      </w:divBdr>
    </w:div>
    <w:div w:id="1457262064">
      <w:bodyDiv w:val="1"/>
      <w:marLeft w:val="0"/>
      <w:marRight w:val="0"/>
      <w:marTop w:val="0"/>
      <w:marBottom w:val="0"/>
      <w:divBdr>
        <w:top w:val="none" w:sz="0" w:space="0" w:color="auto"/>
        <w:left w:val="none" w:sz="0" w:space="0" w:color="auto"/>
        <w:bottom w:val="none" w:sz="0" w:space="0" w:color="auto"/>
        <w:right w:val="none" w:sz="0" w:space="0" w:color="auto"/>
      </w:divBdr>
    </w:div>
    <w:div w:id="1457523307">
      <w:bodyDiv w:val="1"/>
      <w:marLeft w:val="0"/>
      <w:marRight w:val="0"/>
      <w:marTop w:val="0"/>
      <w:marBottom w:val="0"/>
      <w:divBdr>
        <w:top w:val="none" w:sz="0" w:space="0" w:color="auto"/>
        <w:left w:val="none" w:sz="0" w:space="0" w:color="auto"/>
        <w:bottom w:val="none" w:sz="0" w:space="0" w:color="auto"/>
        <w:right w:val="none" w:sz="0" w:space="0" w:color="auto"/>
      </w:divBdr>
    </w:div>
    <w:div w:id="1457874007">
      <w:bodyDiv w:val="1"/>
      <w:marLeft w:val="0"/>
      <w:marRight w:val="0"/>
      <w:marTop w:val="0"/>
      <w:marBottom w:val="0"/>
      <w:divBdr>
        <w:top w:val="none" w:sz="0" w:space="0" w:color="auto"/>
        <w:left w:val="none" w:sz="0" w:space="0" w:color="auto"/>
        <w:bottom w:val="none" w:sz="0" w:space="0" w:color="auto"/>
        <w:right w:val="none" w:sz="0" w:space="0" w:color="auto"/>
      </w:divBdr>
    </w:div>
    <w:div w:id="1458260663">
      <w:bodyDiv w:val="1"/>
      <w:marLeft w:val="0"/>
      <w:marRight w:val="0"/>
      <w:marTop w:val="0"/>
      <w:marBottom w:val="0"/>
      <w:divBdr>
        <w:top w:val="none" w:sz="0" w:space="0" w:color="auto"/>
        <w:left w:val="none" w:sz="0" w:space="0" w:color="auto"/>
        <w:bottom w:val="none" w:sz="0" w:space="0" w:color="auto"/>
        <w:right w:val="none" w:sz="0" w:space="0" w:color="auto"/>
      </w:divBdr>
    </w:div>
    <w:div w:id="1458793372">
      <w:bodyDiv w:val="1"/>
      <w:marLeft w:val="0"/>
      <w:marRight w:val="0"/>
      <w:marTop w:val="0"/>
      <w:marBottom w:val="0"/>
      <w:divBdr>
        <w:top w:val="none" w:sz="0" w:space="0" w:color="auto"/>
        <w:left w:val="none" w:sz="0" w:space="0" w:color="auto"/>
        <w:bottom w:val="none" w:sz="0" w:space="0" w:color="auto"/>
        <w:right w:val="none" w:sz="0" w:space="0" w:color="auto"/>
      </w:divBdr>
    </w:div>
    <w:div w:id="1458909027">
      <w:bodyDiv w:val="1"/>
      <w:marLeft w:val="0"/>
      <w:marRight w:val="0"/>
      <w:marTop w:val="0"/>
      <w:marBottom w:val="0"/>
      <w:divBdr>
        <w:top w:val="none" w:sz="0" w:space="0" w:color="auto"/>
        <w:left w:val="none" w:sz="0" w:space="0" w:color="auto"/>
        <w:bottom w:val="none" w:sz="0" w:space="0" w:color="auto"/>
        <w:right w:val="none" w:sz="0" w:space="0" w:color="auto"/>
      </w:divBdr>
    </w:div>
    <w:div w:id="1459106036">
      <w:bodyDiv w:val="1"/>
      <w:marLeft w:val="0"/>
      <w:marRight w:val="0"/>
      <w:marTop w:val="0"/>
      <w:marBottom w:val="0"/>
      <w:divBdr>
        <w:top w:val="none" w:sz="0" w:space="0" w:color="auto"/>
        <w:left w:val="none" w:sz="0" w:space="0" w:color="auto"/>
        <w:bottom w:val="none" w:sz="0" w:space="0" w:color="auto"/>
        <w:right w:val="none" w:sz="0" w:space="0" w:color="auto"/>
      </w:divBdr>
    </w:div>
    <w:div w:id="1459563226">
      <w:bodyDiv w:val="1"/>
      <w:marLeft w:val="0"/>
      <w:marRight w:val="0"/>
      <w:marTop w:val="0"/>
      <w:marBottom w:val="0"/>
      <w:divBdr>
        <w:top w:val="none" w:sz="0" w:space="0" w:color="auto"/>
        <w:left w:val="none" w:sz="0" w:space="0" w:color="auto"/>
        <w:bottom w:val="none" w:sz="0" w:space="0" w:color="auto"/>
        <w:right w:val="none" w:sz="0" w:space="0" w:color="auto"/>
      </w:divBdr>
    </w:div>
    <w:div w:id="1459642188">
      <w:bodyDiv w:val="1"/>
      <w:marLeft w:val="0"/>
      <w:marRight w:val="0"/>
      <w:marTop w:val="0"/>
      <w:marBottom w:val="0"/>
      <w:divBdr>
        <w:top w:val="none" w:sz="0" w:space="0" w:color="auto"/>
        <w:left w:val="none" w:sz="0" w:space="0" w:color="auto"/>
        <w:bottom w:val="none" w:sz="0" w:space="0" w:color="auto"/>
        <w:right w:val="none" w:sz="0" w:space="0" w:color="auto"/>
      </w:divBdr>
    </w:div>
    <w:div w:id="1459644473">
      <w:bodyDiv w:val="1"/>
      <w:marLeft w:val="0"/>
      <w:marRight w:val="0"/>
      <w:marTop w:val="0"/>
      <w:marBottom w:val="0"/>
      <w:divBdr>
        <w:top w:val="none" w:sz="0" w:space="0" w:color="auto"/>
        <w:left w:val="none" w:sz="0" w:space="0" w:color="auto"/>
        <w:bottom w:val="none" w:sz="0" w:space="0" w:color="auto"/>
        <w:right w:val="none" w:sz="0" w:space="0" w:color="auto"/>
      </w:divBdr>
    </w:div>
    <w:div w:id="1459644620">
      <w:bodyDiv w:val="1"/>
      <w:marLeft w:val="0"/>
      <w:marRight w:val="0"/>
      <w:marTop w:val="0"/>
      <w:marBottom w:val="0"/>
      <w:divBdr>
        <w:top w:val="none" w:sz="0" w:space="0" w:color="auto"/>
        <w:left w:val="none" w:sz="0" w:space="0" w:color="auto"/>
        <w:bottom w:val="none" w:sz="0" w:space="0" w:color="auto"/>
        <w:right w:val="none" w:sz="0" w:space="0" w:color="auto"/>
      </w:divBdr>
    </w:div>
    <w:div w:id="1459714129">
      <w:bodyDiv w:val="1"/>
      <w:marLeft w:val="0"/>
      <w:marRight w:val="0"/>
      <w:marTop w:val="0"/>
      <w:marBottom w:val="0"/>
      <w:divBdr>
        <w:top w:val="none" w:sz="0" w:space="0" w:color="auto"/>
        <w:left w:val="none" w:sz="0" w:space="0" w:color="auto"/>
        <w:bottom w:val="none" w:sz="0" w:space="0" w:color="auto"/>
        <w:right w:val="none" w:sz="0" w:space="0" w:color="auto"/>
      </w:divBdr>
    </w:div>
    <w:div w:id="1459910895">
      <w:bodyDiv w:val="1"/>
      <w:marLeft w:val="0"/>
      <w:marRight w:val="0"/>
      <w:marTop w:val="0"/>
      <w:marBottom w:val="0"/>
      <w:divBdr>
        <w:top w:val="none" w:sz="0" w:space="0" w:color="auto"/>
        <w:left w:val="none" w:sz="0" w:space="0" w:color="auto"/>
        <w:bottom w:val="none" w:sz="0" w:space="0" w:color="auto"/>
        <w:right w:val="none" w:sz="0" w:space="0" w:color="auto"/>
      </w:divBdr>
    </w:div>
    <w:div w:id="1459955226">
      <w:bodyDiv w:val="1"/>
      <w:marLeft w:val="0"/>
      <w:marRight w:val="0"/>
      <w:marTop w:val="0"/>
      <w:marBottom w:val="0"/>
      <w:divBdr>
        <w:top w:val="none" w:sz="0" w:space="0" w:color="auto"/>
        <w:left w:val="none" w:sz="0" w:space="0" w:color="auto"/>
        <w:bottom w:val="none" w:sz="0" w:space="0" w:color="auto"/>
        <w:right w:val="none" w:sz="0" w:space="0" w:color="auto"/>
      </w:divBdr>
    </w:div>
    <w:div w:id="1459958914">
      <w:bodyDiv w:val="1"/>
      <w:marLeft w:val="0"/>
      <w:marRight w:val="0"/>
      <w:marTop w:val="0"/>
      <w:marBottom w:val="0"/>
      <w:divBdr>
        <w:top w:val="none" w:sz="0" w:space="0" w:color="auto"/>
        <w:left w:val="none" w:sz="0" w:space="0" w:color="auto"/>
        <w:bottom w:val="none" w:sz="0" w:space="0" w:color="auto"/>
        <w:right w:val="none" w:sz="0" w:space="0" w:color="auto"/>
      </w:divBdr>
    </w:div>
    <w:div w:id="1460227652">
      <w:bodyDiv w:val="1"/>
      <w:marLeft w:val="0"/>
      <w:marRight w:val="0"/>
      <w:marTop w:val="0"/>
      <w:marBottom w:val="0"/>
      <w:divBdr>
        <w:top w:val="none" w:sz="0" w:space="0" w:color="auto"/>
        <w:left w:val="none" w:sz="0" w:space="0" w:color="auto"/>
        <w:bottom w:val="none" w:sz="0" w:space="0" w:color="auto"/>
        <w:right w:val="none" w:sz="0" w:space="0" w:color="auto"/>
      </w:divBdr>
    </w:div>
    <w:div w:id="1460296229">
      <w:bodyDiv w:val="1"/>
      <w:marLeft w:val="0"/>
      <w:marRight w:val="0"/>
      <w:marTop w:val="0"/>
      <w:marBottom w:val="0"/>
      <w:divBdr>
        <w:top w:val="none" w:sz="0" w:space="0" w:color="auto"/>
        <w:left w:val="none" w:sz="0" w:space="0" w:color="auto"/>
        <w:bottom w:val="none" w:sz="0" w:space="0" w:color="auto"/>
        <w:right w:val="none" w:sz="0" w:space="0" w:color="auto"/>
      </w:divBdr>
    </w:div>
    <w:div w:id="1460299427">
      <w:bodyDiv w:val="1"/>
      <w:marLeft w:val="0"/>
      <w:marRight w:val="0"/>
      <w:marTop w:val="0"/>
      <w:marBottom w:val="0"/>
      <w:divBdr>
        <w:top w:val="none" w:sz="0" w:space="0" w:color="auto"/>
        <w:left w:val="none" w:sz="0" w:space="0" w:color="auto"/>
        <w:bottom w:val="none" w:sz="0" w:space="0" w:color="auto"/>
        <w:right w:val="none" w:sz="0" w:space="0" w:color="auto"/>
      </w:divBdr>
    </w:div>
    <w:div w:id="1460609210">
      <w:bodyDiv w:val="1"/>
      <w:marLeft w:val="0"/>
      <w:marRight w:val="0"/>
      <w:marTop w:val="0"/>
      <w:marBottom w:val="0"/>
      <w:divBdr>
        <w:top w:val="none" w:sz="0" w:space="0" w:color="auto"/>
        <w:left w:val="none" w:sz="0" w:space="0" w:color="auto"/>
        <w:bottom w:val="none" w:sz="0" w:space="0" w:color="auto"/>
        <w:right w:val="none" w:sz="0" w:space="0" w:color="auto"/>
      </w:divBdr>
    </w:div>
    <w:div w:id="1460610259">
      <w:bodyDiv w:val="1"/>
      <w:marLeft w:val="0"/>
      <w:marRight w:val="0"/>
      <w:marTop w:val="0"/>
      <w:marBottom w:val="0"/>
      <w:divBdr>
        <w:top w:val="none" w:sz="0" w:space="0" w:color="auto"/>
        <w:left w:val="none" w:sz="0" w:space="0" w:color="auto"/>
        <w:bottom w:val="none" w:sz="0" w:space="0" w:color="auto"/>
        <w:right w:val="none" w:sz="0" w:space="0" w:color="auto"/>
      </w:divBdr>
    </w:div>
    <w:div w:id="1461650582">
      <w:bodyDiv w:val="1"/>
      <w:marLeft w:val="0"/>
      <w:marRight w:val="0"/>
      <w:marTop w:val="0"/>
      <w:marBottom w:val="0"/>
      <w:divBdr>
        <w:top w:val="none" w:sz="0" w:space="0" w:color="auto"/>
        <w:left w:val="none" w:sz="0" w:space="0" w:color="auto"/>
        <w:bottom w:val="none" w:sz="0" w:space="0" w:color="auto"/>
        <w:right w:val="none" w:sz="0" w:space="0" w:color="auto"/>
      </w:divBdr>
    </w:div>
    <w:div w:id="1461804316">
      <w:bodyDiv w:val="1"/>
      <w:marLeft w:val="0"/>
      <w:marRight w:val="0"/>
      <w:marTop w:val="0"/>
      <w:marBottom w:val="0"/>
      <w:divBdr>
        <w:top w:val="none" w:sz="0" w:space="0" w:color="auto"/>
        <w:left w:val="none" w:sz="0" w:space="0" w:color="auto"/>
        <w:bottom w:val="none" w:sz="0" w:space="0" w:color="auto"/>
        <w:right w:val="none" w:sz="0" w:space="0" w:color="auto"/>
      </w:divBdr>
    </w:div>
    <w:div w:id="1463158244">
      <w:bodyDiv w:val="1"/>
      <w:marLeft w:val="0"/>
      <w:marRight w:val="0"/>
      <w:marTop w:val="0"/>
      <w:marBottom w:val="0"/>
      <w:divBdr>
        <w:top w:val="none" w:sz="0" w:space="0" w:color="auto"/>
        <w:left w:val="none" w:sz="0" w:space="0" w:color="auto"/>
        <w:bottom w:val="none" w:sz="0" w:space="0" w:color="auto"/>
        <w:right w:val="none" w:sz="0" w:space="0" w:color="auto"/>
      </w:divBdr>
    </w:div>
    <w:div w:id="1463842139">
      <w:bodyDiv w:val="1"/>
      <w:marLeft w:val="0"/>
      <w:marRight w:val="0"/>
      <w:marTop w:val="0"/>
      <w:marBottom w:val="0"/>
      <w:divBdr>
        <w:top w:val="none" w:sz="0" w:space="0" w:color="auto"/>
        <w:left w:val="none" w:sz="0" w:space="0" w:color="auto"/>
        <w:bottom w:val="none" w:sz="0" w:space="0" w:color="auto"/>
        <w:right w:val="none" w:sz="0" w:space="0" w:color="auto"/>
      </w:divBdr>
    </w:div>
    <w:div w:id="1463962112">
      <w:bodyDiv w:val="1"/>
      <w:marLeft w:val="0"/>
      <w:marRight w:val="0"/>
      <w:marTop w:val="0"/>
      <w:marBottom w:val="0"/>
      <w:divBdr>
        <w:top w:val="none" w:sz="0" w:space="0" w:color="auto"/>
        <w:left w:val="none" w:sz="0" w:space="0" w:color="auto"/>
        <w:bottom w:val="none" w:sz="0" w:space="0" w:color="auto"/>
        <w:right w:val="none" w:sz="0" w:space="0" w:color="auto"/>
      </w:divBdr>
    </w:div>
    <w:div w:id="1463964587">
      <w:bodyDiv w:val="1"/>
      <w:marLeft w:val="0"/>
      <w:marRight w:val="0"/>
      <w:marTop w:val="0"/>
      <w:marBottom w:val="0"/>
      <w:divBdr>
        <w:top w:val="none" w:sz="0" w:space="0" w:color="auto"/>
        <w:left w:val="none" w:sz="0" w:space="0" w:color="auto"/>
        <w:bottom w:val="none" w:sz="0" w:space="0" w:color="auto"/>
        <w:right w:val="none" w:sz="0" w:space="0" w:color="auto"/>
      </w:divBdr>
    </w:div>
    <w:div w:id="1464731473">
      <w:bodyDiv w:val="1"/>
      <w:marLeft w:val="0"/>
      <w:marRight w:val="0"/>
      <w:marTop w:val="0"/>
      <w:marBottom w:val="0"/>
      <w:divBdr>
        <w:top w:val="none" w:sz="0" w:space="0" w:color="auto"/>
        <w:left w:val="none" w:sz="0" w:space="0" w:color="auto"/>
        <w:bottom w:val="none" w:sz="0" w:space="0" w:color="auto"/>
        <w:right w:val="none" w:sz="0" w:space="0" w:color="auto"/>
      </w:divBdr>
    </w:div>
    <w:div w:id="1464885477">
      <w:bodyDiv w:val="1"/>
      <w:marLeft w:val="0"/>
      <w:marRight w:val="0"/>
      <w:marTop w:val="0"/>
      <w:marBottom w:val="0"/>
      <w:divBdr>
        <w:top w:val="none" w:sz="0" w:space="0" w:color="auto"/>
        <w:left w:val="none" w:sz="0" w:space="0" w:color="auto"/>
        <w:bottom w:val="none" w:sz="0" w:space="0" w:color="auto"/>
        <w:right w:val="none" w:sz="0" w:space="0" w:color="auto"/>
      </w:divBdr>
    </w:div>
    <w:div w:id="1465469839">
      <w:bodyDiv w:val="1"/>
      <w:marLeft w:val="0"/>
      <w:marRight w:val="0"/>
      <w:marTop w:val="0"/>
      <w:marBottom w:val="0"/>
      <w:divBdr>
        <w:top w:val="none" w:sz="0" w:space="0" w:color="auto"/>
        <w:left w:val="none" w:sz="0" w:space="0" w:color="auto"/>
        <w:bottom w:val="none" w:sz="0" w:space="0" w:color="auto"/>
        <w:right w:val="none" w:sz="0" w:space="0" w:color="auto"/>
      </w:divBdr>
    </w:div>
    <w:div w:id="1465586239">
      <w:bodyDiv w:val="1"/>
      <w:marLeft w:val="0"/>
      <w:marRight w:val="0"/>
      <w:marTop w:val="0"/>
      <w:marBottom w:val="0"/>
      <w:divBdr>
        <w:top w:val="none" w:sz="0" w:space="0" w:color="auto"/>
        <w:left w:val="none" w:sz="0" w:space="0" w:color="auto"/>
        <w:bottom w:val="none" w:sz="0" w:space="0" w:color="auto"/>
        <w:right w:val="none" w:sz="0" w:space="0" w:color="auto"/>
      </w:divBdr>
    </w:div>
    <w:div w:id="1465735269">
      <w:bodyDiv w:val="1"/>
      <w:marLeft w:val="0"/>
      <w:marRight w:val="0"/>
      <w:marTop w:val="0"/>
      <w:marBottom w:val="0"/>
      <w:divBdr>
        <w:top w:val="none" w:sz="0" w:space="0" w:color="auto"/>
        <w:left w:val="none" w:sz="0" w:space="0" w:color="auto"/>
        <w:bottom w:val="none" w:sz="0" w:space="0" w:color="auto"/>
        <w:right w:val="none" w:sz="0" w:space="0" w:color="auto"/>
      </w:divBdr>
    </w:div>
    <w:div w:id="1466194060">
      <w:bodyDiv w:val="1"/>
      <w:marLeft w:val="0"/>
      <w:marRight w:val="0"/>
      <w:marTop w:val="0"/>
      <w:marBottom w:val="0"/>
      <w:divBdr>
        <w:top w:val="none" w:sz="0" w:space="0" w:color="auto"/>
        <w:left w:val="none" w:sz="0" w:space="0" w:color="auto"/>
        <w:bottom w:val="none" w:sz="0" w:space="0" w:color="auto"/>
        <w:right w:val="none" w:sz="0" w:space="0" w:color="auto"/>
      </w:divBdr>
    </w:div>
    <w:div w:id="1466240986">
      <w:bodyDiv w:val="1"/>
      <w:marLeft w:val="0"/>
      <w:marRight w:val="0"/>
      <w:marTop w:val="0"/>
      <w:marBottom w:val="0"/>
      <w:divBdr>
        <w:top w:val="none" w:sz="0" w:space="0" w:color="auto"/>
        <w:left w:val="none" w:sz="0" w:space="0" w:color="auto"/>
        <w:bottom w:val="none" w:sz="0" w:space="0" w:color="auto"/>
        <w:right w:val="none" w:sz="0" w:space="0" w:color="auto"/>
      </w:divBdr>
    </w:div>
    <w:div w:id="1466581852">
      <w:bodyDiv w:val="1"/>
      <w:marLeft w:val="0"/>
      <w:marRight w:val="0"/>
      <w:marTop w:val="0"/>
      <w:marBottom w:val="0"/>
      <w:divBdr>
        <w:top w:val="none" w:sz="0" w:space="0" w:color="auto"/>
        <w:left w:val="none" w:sz="0" w:space="0" w:color="auto"/>
        <w:bottom w:val="none" w:sz="0" w:space="0" w:color="auto"/>
        <w:right w:val="none" w:sz="0" w:space="0" w:color="auto"/>
      </w:divBdr>
    </w:div>
    <w:div w:id="1466850314">
      <w:bodyDiv w:val="1"/>
      <w:marLeft w:val="0"/>
      <w:marRight w:val="0"/>
      <w:marTop w:val="0"/>
      <w:marBottom w:val="0"/>
      <w:divBdr>
        <w:top w:val="none" w:sz="0" w:space="0" w:color="auto"/>
        <w:left w:val="none" w:sz="0" w:space="0" w:color="auto"/>
        <w:bottom w:val="none" w:sz="0" w:space="0" w:color="auto"/>
        <w:right w:val="none" w:sz="0" w:space="0" w:color="auto"/>
      </w:divBdr>
    </w:div>
    <w:div w:id="1466922117">
      <w:bodyDiv w:val="1"/>
      <w:marLeft w:val="0"/>
      <w:marRight w:val="0"/>
      <w:marTop w:val="0"/>
      <w:marBottom w:val="0"/>
      <w:divBdr>
        <w:top w:val="none" w:sz="0" w:space="0" w:color="auto"/>
        <w:left w:val="none" w:sz="0" w:space="0" w:color="auto"/>
        <w:bottom w:val="none" w:sz="0" w:space="0" w:color="auto"/>
        <w:right w:val="none" w:sz="0" w:space="0" w:color="auto"/>
      </w:divBdr>
    </w:div>
    <w:div w:id="1467043132">
      <w:bodyDiv w:val="1"/>
      <w:marLeft w:val="0"/>
      <w:marRight w:val="0"/>
      <w:marTop w:val="0"/>
      <w:marBottom w:val="0"/>
      <w:divBdr>
        <w:top w:val="none" w:sz="0" w:space="0" w:color="auto"/>
        <w:left w:val="none" w:sz="0" w:space="0" w:color="auto"/>
        <w:bottom w:val="none" w:sz="0" w:space="0" w:color="auto"/>
        <w:right w:val="none" w:sz="0" w:space="0" w:color="auto"/>
      </w:divBdr>
    </w:div>
    <w:div w:id="1467316992">
      <w:bodyDiv w:val="1"/>
      <w:marLeft w:val="0"/>
      <w:marRight w:val="0"/>
      <w:marTop w:val="0"/>
      <w:marBottom w:val="0"/>
      <w:divBdr>
        <w:top w:val="none" w:sz="0" w:space="0" w:color="auto"/>
        <w:left w:val="none" w:sz="0" w:space="0" w:color="auto"/>
        <w:bottom w:val="none" w:sz="0" w:space="0" w:color="auto"/>
        <w:right w:val="none" w:sz="0" w:space="0" w:color="auto"/>
      </w:divBdr>
    </w:div>
    <w:div w:id="1467968660">
      <w:bodyDiv w:val="1"/>
      <w:marLeft w:val="0"/>
      <w:marRight w:val="0"/>
      <w:marTop w:val="0"/>
      <w:marBottom w:val="0"/>
      <w:divBdr>
        <w:top w:val="none" w:sz="0" w:space="0" w:color="auto"/>
        <w:left w:val="none" w:sz="0" w:space="0" w:color="auto"/>
        <w:bottom w:val="none" w:sz="0" w:space="0" w:color="auto"/>
        <w:right w:val="none" w:sz="0" w:space="0" w:color="auto"/>
      </w:divBdr>
    </w:div>
    <w:div w:id="1468477141">
      <w:bodyDiv w:val="1"/>
      <w:marLeft w:val="0"/>
      <w:marRight w:val="0"/>
      <w:marTop w:val="0"/>
      <w:marBottom w:val="0"/>
      <w:divBdr>
        <w:top w:val="none" w:sz="0" w:space="0" w:color="auto"/>
        <w:left w:val="none" w:sz="0" w:space="0" w:color="auto"/>
        <w:bottom w:val="none" w:sz="0" w:space="0" w:color="auto"/>
        <w:right w:val="none" w:sz="0" w:space="0" w:color="auto"/>
      </w:divBdr>
    </w:div>
    <w:div w:id="1469055616">
      <w:bodyDiv w:val="1"/>
      <w:marLeft w:val="0"/>
      <w:marRight w:val="0"/>
      <w:marTop w:val="0"/>
      <w:marBottom w:val="0"/>
      <w:divBdr>
        <w:top w:val="none" w:sz="0" w:space="0" w:color="auto"/>
        <w:left w:val="none" w:sz="0" w:space="0" w:color="auto"/>
        <w:bottom w:val="none" w:sz="0" w:space="0" w:color="auto"/>
        <w:right w:val="none" w:sz="0" w:space="0" w:color="auto"/>
      </w:divBdr>
    </w:div>
    <w:div w:id="1469202821">
      <w:bodyDiv w:val="1"/>
      <w:marLeft w:val="0"/>
      <w:marRight w:val="0"/>
      <w:marTop w:val="0"/>
      <w:marBottom w:val="0"/>
      <w:divBdr>
        <w:top w:val="none" w:sz="0" w:space="0" w:color="auto"/>
        <w:left w:val="none" w:sz="0" w:space="0" w:color="auto"/>
        <w:bottom w:val="none" w:sz="0" w:space="0" w:color="auto"/>
        <w:right w:val="none" w:sz="0" w:space="0" w:color="auto"/>
      </w:divBdr>
    </w:div>
    <w:div w:id="1469322416">
      <w:bodyDiv w:val="1"/>
      <w:marLeft w:val="0"/>
      <w:marRight w:val="0"/>
      <w:marTop w:val="0"/>
      <w:marBottom w:val="0"/>
      <w:divBdr>
        <w:top w:val="none" w:sz="0" w:space="0" w:color="auto"/>
        <w:left w:val="none" w:sz="0" w:space="0" w:color="auto"/>
        <w:bottom w:val="none" w:sz="0" w:space="0" w:color="auto"/>
        <w:right w:val="none" w:sz="0" w:space="0" w:color="auto"/>
      </w:divBdr>
    </w:div>
    <w:div w:id="1469400013">
      <w:bodyDiv w:val="1"/>
      <w:marLeft w:val="0"/>
      <w:marRight w:val="0"/>
      <w:marTop w:val="0"/>
      <w:marBottom w:val="0"/>
      <w:divBdr>
        <w:top w:val="none" w:sz="0" w:space="0" w:color="auto"/>
        <w:left w:val="none" w:sz="0" w:space="0" w:color="auto"/>
        <w:bottom w:val="none" w:sz="0" w:space="0" w:color="auto"/>
        <w:right w:val="none" w:sz="0" w:space="0" w:color="auto"/>
      </w:divBdr>
    </w:div>
    <w:div w:id="1469400221">
      <w:bodyDiv w:val="1"/>
      <w:marLeft w:val="0"/>
      <w:marRight w:val="0"/>
      <w:marTop w:val="0"/>
      <w:marBottom w:val="0"/>
      <w:divBdr>
        <w:top w:val="none" w:sz="0" w:space="0" w:color="auto"/>
        <w:left w:val="none" w:sz="0" w:space="0" w:color="auto"/>
        <w:bottom w:val="none" w:sz="0" w:space="0" w:color="auto"/>
        <w:right w:val="none" w:sz="0" w:space="0" w:color="auto"/>
      </w:divBdr>
    </w:div>
    <w:div w:id="1469587867">
      <w:bodyDiv w:val="1"/>
      <w:marLeft w:val="0"/>
      <w:marRight w:val="0"/>
      <w:marTop w:val="0"/>
      <w:marBottom w:val="0"/>
      <w:divBdr>
        <w:top w:val="none" w:sz="0" w:space="0" w:color="auto"/>
        <w:left w:val="none" w:sz="0" w:space="0" w:color="auto"/>
        <w:bottom w:val="none" w:sz="0" w:space="0" w:color="auto"/>
        <w:right w:val="none" w:sz="0" w:space="0" w:color="auto"/>
      </w:divBdr>
    </w:div>
    <w:div w:id="1469737842">
      <w:bodyDiv w:val="1"/>
      <w:marLeft w:val="0"/>
      <w:marRight w:val="0"/>
      <w:marTop w:val="0"/>
      <w:marBottom w:val="0"/>
      <w:divBdr>
        <w:top w:val="none" w:sz="0" w:space="0" w:color="auto"/>
        <w:left w:val="none" w:sz="0" w:space="0" w:color="auto"/>
        <w:bottom w:val="none" w:sz="0" w:space="0" w:color="auto"/>
        <w:right w:val="none" w:sz="0" w:space="0" w:color="auto"/>
      </w:divBdr>
    </w:div>
    <w:div w:id="1470368002">
      <w:bodyDiv w:val="1"/>
      <w:marLeft w:val="0"/>
      <w:marRight w:val="0"/>
      <w:marTop w:val="0"/>
      <w:marBottom w:val="0"/>
      <w:divBdr>
        <w:top w:val="none" w:sz="0" w:space="0" w:color="auto"/>
        <w:left w:val="none" w:sz="0" w:space="0" w:color="auto"/>
        <w:bottom w:val="none" w:sz="0" w:space="0" w:color="auto"/>
        <w:right w:val="none" w:sz="0" w:space="0" w:color="auto"/>
      </w:divBdr>
    </w:div>
    <w:div w:id="1470708945">
      <w:bodyDiv w:val="1"/>
      <w:marLeft w:val="0"/>
      <w:marRight w:val="0"/>
      <w:marTop w:val="0"/>
      <w:marBottom w:val="0"/>
      <w:divBdr>
        <w:top w:val="none" w:sz="0" w:space="0" w:color="auto"/>
        <w:left w:val="none" w:sz="0" w:space="0" w:color="auto"/>
        <w:bottom w:val="none" w:sz="0" w:space="0" w:color="auto"/>
        <w:right w:val="none" w:sz="0" w:space="0" w:color="auto"/>
      </w:divBdr>
    </w:div>
    <w:div w:id="1471708690">
      <w:bodyDiv w:val="1"/>
      <w:marLeft w:val="0"/>
      <w:marRight w:val="0"/>
      <w:marTop w:val="0"/>
      <w:marBottom w:val="0"/>
      <w:divBdr>
        <w:top w:val="none" w:sz="0" w:space="0" w:color="auto"/>
        <w:left w:val="none" w:sz="0" w:space="0" w:color="auto"/>
        <w:bottom w:val="none" w:sz="0" w:space="0" w:color="auto"/>
        <w:right w:val="none" w:sz="0" w:space="0" w:color="auto"/>
      </w:divBdr>
    </w:div>
    <w:div w:id="1472557280">
      <w:bodyDiv w:val="1"/>
      <w:marLeft w:val="0"/>
      <w:marRight w:val="0"/>
      <w:marTop w:val="0"/>
      <w:marBottom w:val="0"/>
      <w:divBdr>
        <w:top w:val="none" w:sz="0" w:space="0" w:color="auto"/>
        <w:left w:val="none" w:sz="0" w:space="0" w:color="auto"/>
        <w:bottom w:val="none" w:sz="0" w:space="0" w:color="auto"/>
        <w:right w:val="none" w:sz="0" w:space="0" w:color="auto"/>
      </w:divBdr>
    </w:div>
    <w:div w:id="1472598774">
      <w:bodyDiv w:val="1"/>
      <w:marLeft w:val="0"/>
      <w:marRight w:val="0"/>
      <w:marTop w:val="0"/>
      <w:marBottom w:val="0"/>
      <w:divBdr>
        <w:top w:val="none" w:sz="0" w:space="0" w:color="auto"/>
        <w:left w:val="none" w:sz="0" w:space="0" w:color="auto"/>
        <w:bottom w:val="none" w:sz="0" w:space="0" w:color="auto"/>
        <w:right w:val="none" w:sz="0" w:space="0" w:color="auto"/>
      </w:divBdr>
    </w:div>
    <w:div w:id="1472944659">
      <w:bodyDiv w:val="1"/>
      <w:marLeft w:val="0"/>
      <w:marRight w:val="0"/>
      <w:marTop w:val="0"/>
      <w:marBottom w:val="0"/>
      <w:divBdr>
        <w:top w:val="none" w:sz="0" w:space="0" w:color="auto"/>
        <w:left w:val="none" w:sz="0" w:space="0" w:color="auto"/>
        <w:bottom w:val="none" w:sz="0" w:space="0" w:color="auto"/>
        <w:right w:val="none" w:sz="0" w:space="0" w:color="auto"/>
      </w:divBdr>
    </w:div>
    <w:div w:id="1473012549">
      <w:bodyDiv w:val="1"/>
      <w:marLeft w:val="0"/>
      <w:marRight w:val="0"/>
      <w:marTop w:val="0"/>
      <w:marBottom w:val="0"/>
      <w:divBdr>
        <w:top w:val="none" w:sz="0" w:space="0" w:color="auto"/>
        <w:left w:val="none" w:sz="0" w:space="0" w:color="auto"/>
        <w:bottom w:val="none" w:sz="0" w:space="0" w:color="auto"/>
        <w:right w:val="none" w:sz="0" w:space="0" w:color="auto"/>
      </w:divBdr>
    </w:div>
    <w:div w:id="1473056515">
      <w:bodyDiv w:val="1"/>
      <w:marLeft w:val="0"/>
      <w:marRight w:val="0"/>
      <w:marTop w:val="0"/>
      <w:marBottom w:val="0"/>
      <w:divBdr>
        <w:top w:val="none" w:sz="0" w:space="0" w:color="auto"/>
        <w:left w:val="none" w:sz="0" w:space="0" w:color="auto"/>
        <w:bottom w:val="none" w:sz="0" w:space="0" w:color="auto"/>
        <w:right w:val="none" w:sz="0" w:space="0" w:color="auto"/>
      </w:divBdr>
    </w:div>
    <w:div w:id="1473524192">
      <w:bodyDiv w:val="1"/>
      <w:marLeft w:val="0"/>
      <w:marRight w:val="0"/>
      <w:marTop w:val="0"/>
      <w:marBottom w:val="0"/>
      <w:divBdr>
        <w:top w:val="none" w:sz="0" w:space="0" w:color="auto"/>
        <w:left w:val="none" w:sz="0" w:space="0" w:color="auto"/>
        <w:bottom w:val="none" w:sz="0" w:space="0" w:color="auto"/>
        <w:right w:val="none" w:sz="0" w:space="0" w:color="auto"/>
      </w:divBdr>
    </w:div>
    <w:div w:id="1474371904">
      <w:bodyDiv w:val="1"/>
      <w:marLeft w:val="0"/>
      <w:marRight w:val="0"/>
      <w:marTop w:val="0"/>
      <w:marBottom w:val="0"/>
      <w:divBdr>
        <w:top w:val="none" w:sz="0" w:space="0" w:color="auto"/>
        <w:left w:val="none" w:sz="0" w:space="0" w:color="auto"/>
        <w:bottom w:val="none" w:sz="0" w:space="0" w:color="auto"/>
        <w:right w:val="none" w:sz="0" w:space="0" w:color="auto"/>
      </w:divBdr>
    </w:div>
    <w:div w:id="1474639033">
      <w:bodyDiv w:val="1"/>
      <w:marLeft w:val="0"/>
      <w:marRight w:val="0"/>
      <w:marTop w:val="0"/>
      <w:marBottom w:val="0"/>
      <w:divBdr>
        <w:top w:val="none" w:sz="0" w:space="0" w:color="auto"/>
        <w:left w:val="none" w:sz="0" w:space="0" w:color="auto"/>
        <w:bottom w:val="none" w:sz="0" w:space="0" w:color="auto"/>
        <w:right w:val="none" w:sz="0" w:space="0" w:color="auto"/>
      </w:divBdr>
    </w:div>
    <w:div w:id="1474785150">
      <w:bodyDiv w:val="1"/>
      <w:marLeft w:val="0"/>
      <w:marRight w:val="0"/>
      <w:marTop w:val="0"/>
      <w:marBottom w:val="0"/>
      <w:divBdr>
        <w:top w:val="none" w:sz="0" w:space="0" w:color="auto"/>
        <w:left w:val="none" w:sz="0" w:space="0" w:color="auto"/>
        <w:bottom w:val="none" w:sz="0" w:space="0" w:color="auto"/>
        <w:right w:val="none" w:sz="0" w:space="0" w:color="auto"/>
      </w:divBdr>
    </w:div>
    <w:div w:id="1474985123">
      <w:bodyDiv w:val="1"/>
      <w:marLeft w:val="0"/>
      <w:marRight w:val="0"/>
      <w:marTop w:val="0"/>
      <w:marBottom w:val="0"/>
      <w:divBdr>
        <w:top w:val="none" w:sz="0" w:space="0" w:color="auto"/>
        <w:left w:val="none" w:sz="0" w:space="0" w:color="auto"/>
        <w:bottom w:val="none" w:sz="0" w:space="0" w:color="auto"/>
        <w:right w:val="none" w:sz="0" w:space="0" w:color="auto"/>
      </w:divBdr>
    </w:div>
    <w:div w:id="1475291234">
      <w:bodyDiv w:val="1"/>
      <w:marLeft w:val="0"/>
      <w:marRight w:val="0"/>
      <w:marTop w:val="0"/>
      <w:marBottom w:val="0"/>
      <w:divBdr>
        <w:top w:val="none" w:sz="0" w:space="0" w:color="auto"/>
        <w:left w:val="none" w:sz="0" w:space="0" w:color="auto"/>
        <w:bottom w:val="none" w:sz="0" w:space="0" w:color="auto"/>
        <w:right w:val="none" w:sz="0" w:space="0" w:color="auto"/>
      </w:divBdr>
    </w:div>
    <w:div w:id="1475487004">
      <w:bodyDiv w:val="1"/>
      <w:marLeft w:val="0"/>
      <w:marRight w:val="0"/>
      <w:marTop w:val="0"/>
      <w:marBottom w:val="0"/>
      <w:divBdr>
        <w:top w:val="none" w:sz="0" w:space="0" w:color="auto"/>
        <w:left w:val="none" w:sz="0" w:space="0" w:color="auto"/>
        <w:bottom w:val="none" w:sz="0" w:space="0" w:color="auto"/>
        <w:right w:val="none" w:sz="0" w:space="0" w:color="auto"/>
      </w:divBdr>
    </w:div>
    <w:div w:id="1475757751">
      <w:bodyDiv w:val="1"/>
      <w:marLeft w:val="0"/>
      <w:marRight w:val="0"/>
      <w:marTop w:val="0"/>
      <w:marBottom w:val="0"/>
      <w:divBdr>
        <w:top w:val="none" w:sz="0" w:space="0" w:color="auto"/>
        <w:left w:val="none" w:sz="0" w:space="0" w:color="auto"/>
        <w:bottom w:val="none" w:sz="0" w:space="0" w:color="auto"/>
        <w:right w:val="none" w:sz="0" w:space="0" w:color="auto"/>
      </w:divBdr>
    </w:div>
    <w:div w:id="1475757886">
      <w:bodyDiv w:val="1"/>
      <w:marLeft w:val="0"/>
      <w:marRight w:val="0"/>
      <w:marTop w:val="0"/>
      <w:marBottom w:val="0"/>
      <w:divBdr>
        <w:top w:val="none" w:sz="0" w:space="0" w:color="auto"/>
        <w:left w:val="none" w:sz="0" w:space="0" w:color="auto"/>
        <w:bottom w:val="none" w:sz="0" w:space="0" w:color="auto"/>
        <w:right w:val="none" w:sz="0" w:space="0" w:color="auto"/>
      </w:divBdr>
    </w:div>
    <w:div w:id="1475948316">
      <w:bodyDiv w:val="1"/>
      <w:marLeft w:val="0"/>
      <w:marRight w:val="0"/>
      <w:marTop w:val="0"/>
      <w:marBottom w:val="0"/>
      <w:divBdr>
        <w:top w:val="none" w:sz="0" w:space="0" w:color="auto"/>
        <w:left w:val="none" w:sz="0" w:space="0" w:color="auto"/>
        <w:bottom w:val="none" w:sz="0" w:space="0" w:color="auto"/>
        <w:right w:val="none" w:sz="0" w:space="0" w:color="auto"/>
      </w:divBdr>
    </w:div>
    <w:div w:id="1476337869">
      <w:bodyDiv w:val="1"/>
      <w:marLeft w:val="0"/>
      <w:marRight w:val="0"/>
      <w:marTop w:val="0"/>
      <w:marBottom w:val="0"/>
      <w:divBdr>
        <w:top w:val="none" w:sz="0" w:space="0" w:color="auto"/>
        <w:left w:val="none" w:sz="0" w:space="0" w:color="auto"/>
        <w:bottom w:val="none" w:sz="0" w:space="0" w:color="auto"/>
        <w:right w:val="none" w:sz="0" w:space="0" w:color="auto"/>
      </w:divBdr>
    </w:div>
    <w:div w:id="1476408449">
      <w:bodyDiv w:val="1"/>
      <w:marLeft w:val="0"/>
      <w:marRight w:val="0"/>
      <w:marTop w:val="0"/>
      <w:marBottom w:val="0"/>
      <w:divBdr>
        <w:top w:val="none" w:sz="0" w:space="0" w:color="auto"/>
        <w:left w:val="none" w:sz="0" w:space="0" w:color="auto"/>
        <w:bottom w:val="none" w:sz="0" w:space="0" w:color="auto"/>
        <w:right w:val="none" w:sz="0" w:space="0" w:color="auto"/>
      </w:divBdr>
    </w:div>
    <w:div w:id="1476415547">
      <w:bodyDiv w:val="1"/>
      <w:marLeft w:val="0"/>
      <w:marRight w:val="0"/>
      <w:marTop w:val="0"/>
      <w:marBottom w:val="0"/>
      <w:divBdr>
        <w:top w:val="none" w:sz="0" w:space="0" w:color="auto"/>
        <w:left w:val="none" w:sz="0" w:space="0" w:color="auto"/>
        <w:bottom w:val="none" w:sz="0" w:space="0" w:color="auto"/>
        <w:right w:val="none" w:sz="0" w:space="0" w:color="auto"/>
      </w:divBdr>
    </w:div>
    <w:div w:id="1476486078">
      <w:bodyDiv w:val="1"/>
      <w:marLeft w:val="0"/>
      <w:marRight w:val="0"/>
      <w:marTop w:val="0"/>
      <w:marBottom w:val="0"/>
      <w:divBdr>
        <w:top w:val="none" w:sz="0" w:space="0" w:color="auto"/>
        <w:left w:val="none" w:sz="0" w:space="0" w:color="auto"/>
        <w:bottom w:val="none" w:sz="0" w:space="0" w:color="auto"/>
        <w:right w:val="none" w:sz="0" w:space="0" w:color="auto"/>
      </w:divBdr>
    </w:div>
    <w:div w:id="1476531266">
      <w:bodyDiv w:val="1"/>
      <w:marLeft w:val="0"/>
      <w:marRight w:val="0"/>
      <w:marTop w:val="0"/>
      <w:marBottom w:val="0"/>
      <w:divBdr>
        <w:top w:val="none" w:sz="0" w:space="0" w:color="auto"/>
        <w:left w:val="none" w:sz="0" w:space="0" w:color="auto"/>
        <w:bottom w:val="none" w:sz="0" w:space="0" w:color="auto"/>
        <w:right w:val="none" w:sz="0" w:space="0" w:color="auto"/>
      </w:divBdr>
    </w:div>
    <w:div w:id="1476725570">
      <w:bodyDiv w:val="1"/>
      <w:marLeft w:val="0"/>
      <w:marRight w:val="0"/>
      <w:marTop w:val="0"/>
      <w:marBottom w:val="0"/>
      <w:divBdr>
        <w:top w:val="none" w:sz="0" w:space="0" w:color="auto"/>
        <w:left w:val="none" w:sz="0" w:space="0" w:color="auto"/>
        <w:bottom w:val="none" w:sz="0" w:space="0" w:color="auto"/>
        <w:right w:val="none" w:sz="0" w:space="0" w:color="auto"/>
      </w:divBdr>
    </w:div>
    <w:div w:id="1476796880">
      <w:bodyDiv w:val="1"/>
      <w:marLeft w:val="0"/>
      <w:marRight w:val="0"/>
      <w:marTop w:val="0"/>
      <w:marBottom w:val="0"/>
      <w:divBdr>
        <w:top w:val="none" w:sz="0" w:space="0" w:color="auto"/>
        <w:left w:val="none" w:sz="0" w:space="0" w:color="auto"/>
        <w:bottom w:val="none" w:sz="0" w:space="0" w:color="auto"/>
        <w:right w:val="none" w:sz="0" w:space="0" w:color="auto"/>
      </w:divBdr>
    </w:div>
    <w:div w:id="1476873322">
      <w:bodyDiv w:val="1"/>
      <w:marLeft w:val="0"/>
      <w:marRight w:val="0"/>
      <w:marTop w:val="0"/>
      <w:marBottom w:val="0"/>
      <w:divBdr>
        <w:top w:val="none" w:sz="0" w:space="0" w:color="auto"/>
        <w:left w:val="none" w:sz="0" w:space="0" w:color="auto"/>
        <w:bottom w:val="none" w:sz="0" w:space="0" w:color="auto"/>
        <w:right w:val="none" w:sz="0" w:space="0" w:color="auto"/>
      </w:divBdr>
    </w:div>
    <w:div w:id="1476920358">
      <w:bodyDiv w:val="1"/>
      <w:marLeft w:val="0"/>
      <w:marRight w:val="0"/>
      <w:marTop w:val="0"/>
      <w:marBottom w:val="0"/>
      <w:divBdr>
        <w:top w:val="none" w:sz="0" w:space="0" w:color="auto"/>
        <w:left w:val="none" w:sz="0" w:space="0" w:color="auto"/>
        <w:bottom w:val="none" w:sz="0" w:space="0" w:color="auto"/>
        <w:right w:val="none" w:sz="0" w:space="0" w:color="auto"/>
      </w:divBdr>
    </w:div>
    <w:div w:id="1477454558">
      <w:bodyDiv w:val="1"/>
      <w:marLeft w:val="0"/>
      <w:marRight w:val="0"/>
      <w:marTop w:val="0"/>
      <w:marBottom w:val="0"/>
      <w:divBdr>
        <w:top w:val="none" w:sz="0" w:space="0" w:color="auto"/>
        <w:left w:val="none" w:sz="0" w:space="0" w:color="auto"/>
        <w:bottom w:val="none" w:sz="0" w:space="0" w:color="auto"/>
        <w:right w:val="none" w:sz="0" w:space="0" w:color="auto"/>
      </w:divBdr>
    </w:div>
    <w:div w:id="1477532441">
      <w:bodyDiv w:val="1"/>
      <w:marLeft w:val="0"/>
      <w:marRight w:val="0"/>
      <w:marTop w:val="0"/>
      <w:marBottom w:val="0"/>
      <w:divBdr>
        <w:top w:val="none" w:sz="0" w:space="0" w:color="auto"/>
        <w:left w:val="none" w:sz="0" w:space="0" w:color="auto"/>
        <w:bottom w:val="none" w:sz="0" w:space="0" w:color="auto"/>
        <w:right w:val="none" w:sz="0" w:space="0" w:color="auto"/>
      </w:divBdr>
    </w:div>
    <w:div w:id="1477533238">
      <w:bodyDiv w:val="1"/>
      <w:marLeft w:val="0"/>
      <w:marRight w:val="0"/>
      <w:marTop w:val="0"/>
      <w:marBottom w:val="0"/>
      <w:divBdr>
        <w:top w:val="none" w:sz="0" w:space="0" w:color="auto"/>
        <w:left w:val="none" w:sz="0" w:space="0" w:color="auto"/>
        <w:bottom w:val="none" w:sz="0" w:space="0" w:color="auto"/>
        <w:right w:val="none" w:sz="0" w:space="0" w:color="auto"/>
      </w:divBdr>
    </w:div>
    <w:div w:id="1477720996">
      <w:bodyDiv w:val="1"/>
      <w:marLeft w:val="0"/>
      <w:marRight w:val="0"/>
      <w:marTop w:val="0"/>
      <w:marBottom w:val="0"/>
      <w:divBdr>
        <w:top w:val="none" w:sz="0" w:space="0" w:color="auto"/>
        <w:left w:val="none" w:sz="0" w:space="0" w:color="auto"/>
        <w:bottom w:val="none" w:sz="0" w:space="0" w:color="auto"/>
        <w:right w:val="none" w:sz="0" w:space="0" w:color="auto"/>
      </w:divBdr>
    </w:div>
    <w:div w:id="1477795724">
      <w:bodyDiv w:val="1"/>
      <w:marLeft w:val="0"/>
      <w:marRight w:val="0"/>
      <w:marTop w:val="0"/>
      <w:marBottom w:val="0"/>
      <w:divBdr>
        <w:top w:val="none" w:sz="0" w:space="0" w:color="auto"/>
        <w:left w:val="none" w:sz="0" w:space="0" w:color="auto"/>
        <w:bottom w:val="none" w:sz="0" w:space="0" w:color="auto"/>
        <w:right w:val="none" w:sz="0" w:space="0" w:color="auto"/>
      </w:divBdr>
    </w:div>
    <w:div w:id="1478495632">
      <w:bodyDiv w:val="1"/>
      <w:marLeft w:val="0"/>
      <w:marRight w:val="0"/>
      <w:marTop w:val="0"/>
      <w:marBottom w:val="0"/>
      <w:divBdr>
        <w:top w:val="none" w:sz="0" w:space="0" w:color="auto"/>
        <w:left w:val="none" w:sz="0" w:space="0" w:color="auto"/>
        <w:bottom w:val="none" w:sz="0" w:space="0" w:color="auto"/>
        <w:right w:val="none" w:sz="0" w:space="0" w:color="auto"/>
      </w:divBdr>
    </w:div>
    <w:div w:id="1478718652">
      <w:bodyDiv w:val="1"/>
      <w:marLeft w:val="0"/>
      <w:marRight w:val="0"/>
      <w:marTop w:val="0"/>
      <w:marBottom w:val="0"/>
      <w:divBdr>
        <w:top w:val="none" w:sz="0" w:space="0" w:color="auto"/>
        <w:left w:val="none" w:sz="0" w:space="0" w:color="auto"/>
        <w:bottom w:val="none" w:sz="0" w:space="0" w:color="auto"/>
        <w:right w:val="none" w:sz="0" w:space="0" w:color="auto"/>
      </w:divBdr>
    </w:div>
    <w:div w:id="1478841164">
      <w:bodyDiv w:val="1"/>
      <w:marLeft w:val="0"/>
      <w:marRight w:val="0"/>
      <w:marTop w:val="0"/>
      <w:marBottom w:val="0"/>
      <w:divBdr>
        <w:top w:val="none" w:sz="0" w:space="0" w:color="auto"/>
        <w:left w:val="none" w:sz="0" w:space="0" w:color="auto"/>
        <w:bottom w:val="none" w:sz="0" w:space="0" w:color="auto"/>
        <w:right w:val="none" w:sz="0" w:space="0" w:color="auto"/>
      </w:divBdr>
    </w:div>
    <w:div w:id="1478843545">
      <w:bodyDiv w:val="1"/>
      <w:marLeft w:val="0"/>
      <w:marRight w:val="0"/>
      <w:marTop w:val="0"/>
      <w:marBottom w:val="0"/>
      <w:divBdr>
        <w:top w:val="none" w:sz="0" w:space="0" w:color="auto"/>
        <w:left w:val="none" w:sz="0" w:space="0" w:color="auto"/>
        <w:bottom w:val="none" w:sz="0" w:space="0" w:color="auto"/>
        <w:right w:val="none" w:sz="0" w:space="0" w:color="auto"/>
      </w:divBdr>
    </w:div>
    <w:div w:id="1479110876">
      <w:bodyDiv w:val="1"/>
      <w:marLeft w:val="0"/>
      <w:marRight w:val="0"/>
      <w:marTop w:val="0"/>
      <w:marBottom w:val="0"/>
      <w:divBdr>
        <w:top w:val="none" w:sz="0" w:space="0" w:color="auto"/>
        <w:left w:val="none" w:sz="0" w:space="0" w:color="auto"/>
        <w:bottom w:val="none" w:sz="0" w:space="0" w:color="auto"/>
        <w:right w:val="none" w:sz="0" w:space="0" w:color="auto"/>
      </w:divBdr>
    </w:div>
    <w:div w:id="1479304214">
      <w:bodyDiv w:val="1"/>
      <w:marLeft w:val="0"/>
      <w:marRight w:val="0"/>
      <w:marTop w:val="0"/>
      <w:marBottom w:val="0"/>
      <w:divBdr>
        <w:top w:val="none" w:sz="0" w:space="0" w:color="auto"/>
        <w:left w:val="none" w:sz="0" w:space="0" w:color="auto"/>
        <w:bottom w:val="none" w:sz="0" w:space="0" w:color="auto"/>
        <w:right w:val="none" w:sz="0" w:space="0" w:color="auto"/>
      </w:divBdr>
      <w:divsChild>
        <w:div w:id="75640113">
          <w:marLeft w:val="0"/>
          <w:marRight w:val="0"/>
          <w:marTop w:val="0"/>
          <w:marBottom w:val="0"/>
          <w:divBdr>
            <w:top w:val="none" w:sz="0" w:space="0" w:color="auto"/>
            <w:left w:val="none" w:sz="0" w:space="0" w:color="auto"/>
            <w:bottom w:val="none" w:sz="0" w:space="0" w:color="auto"/>
            <w:right w:val="none" w:sz="0" w:space="0" w:color="auto"/>
          </w:divBdr>
          <w:divsChild>
            <w:div w:id="494613885">
              <w:marLeft w:val="0"/>
              <w:marRight w:val="0"/>
              <w:marTop w:val="0"/>
              <w:marBottom w:val="0"/>
              <w:divBdr>
                <w:top w:val="none" w:sz="0" w:space="0" w:color="auto"/>
                <w:left w:val="none" w:sz="0" w:space="0" w:color="auto"/>
                <w:bottom w:val="none" w:sz="0" w:space="0" w:color="auto"/>
                <w:right w:val="none" w:sz="0" w:space="0" w:color="auto"/>
              </w:divBdr>
              <w:divsChild>
                <w:div w:id="2071997614">
                  <w:marLeft w:val="-225"/>
                  <w:marRight w:val="-225"/>
                  <w:marTop w:val="0"/>
                  <w:marBottom w:val="0"/>
                  <w:divBdr>
                    <w:top w:val="none" w:sz="0" w:space="0" w:color="auto"/>
                    <w:left w:val="none" w:sz="0" w:space="0" w:color="auto"/>
                    <w:bottom w:val="none" w:sz="0" w:space="0" w:color="auto"/>
                    <w:right w:val="none" w:sz="0" w:space="0" w:color="auto"/>
                  </w:divBdr>
                  <w:divsChild>
                    <w:div w:id="2010134752">
                      <w:marLeft w:val="0"/>
                      <w:marRight w:val="0"/>
                      <w:marTop w:val="0"/>
                      <w:marBottom w:val="0"/>
                      <w:divBdr>
                        <w:top w:val="none" w:sz="0" w:space="0" w:color="auto"/>
                        <w:left w:val="none" w:sz="0" w:space="0" w:color="auto"/>
                        <w:bottom w:val="none" w:sz="0" w:space="0" w:color="auto"/>
                        <w:right w:val="none" w:sz="0" w:space="0" w:color="auto"/>
                      </w:divBdr>
                      <w:divsChild>
                        <w:div w:id="1514564772">
                          <w:marLeft w:val="0"/>
                          <w:marRight w:val="0"/>
                          <w:marTop w:val="0"/>
                          <w:marBottom w:val="0"/>
                          <w:divBdr>
                            <w:top w:val="none" w:sz="0" w:space="0" w:color="auto"/>
                            <w:left w:val="none" w:sz="0" w:space="0" w:color="auto"/>
                            <w:bottom w:val="none" w:sz="0" w:space="0" w:color="auto"/>
                            <w:right w:val="none" w:sz="0" w:space="0" w:color="auto"/>
                          </w:divBdr>
                          <w:divsChild>
                            <w:div w:id="164122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9418339">
      <w:bodyDiv w:val="1"/>
      <w:marLeft w:val="0"/>
      <w:marRight w:val="0"/>
      <w:marTop w:val="0"/>
      <w:marBottom w:val="0"/>
      <w:divBdr>
        <w:top w:val="none" w:sz="0" w:space="0" w:color="auto"/>
        <w:left w:val="none" w:sz="0" w:space="0" w:color="auto"/>
        <w:bottom w:val="none" w:sz="0" w:space="0" w:color="auto"/>
        <w:right w:val="none" w:sz="0" w:space="0" w:color="auto"/>
      </w:divBdr>
    </w:div>
    <w:div w:id="1480877601">
      <w:bodyDiv w:val="1"/>
      <w:marLeft w:val="0"/>
      <w:marRight w:val="0"/>
      <w:marTop w:val="0"/>
      <w:marBottom w:val="0"/>
      <w:divBdr>
        <w:top w:val="none" w:sz="0" w:space="0" w:color="auto"/>
        <w:left w:val="none" w:sz="0" w:space="0" w:color="auto"/>
        <w:bottom w:val="none" w:sz="0" w:space="0" w:color="auto"/>
        <w:right w:val="none" w:sz="0" w:space="0" w:color="auto"/>
      </w:divBdr>
    </w:div>
    <w:div w:id="1481967732">
      <w:bodyDiv w:val="1"/>
      <w:marLeft w:val="0"/>
      <w:marRight w:val="0"/>
      <w:marTop w:val="0"/>
      <w:marBottom w:val="0"/>
      <w:divBdr>
        <w:top w:val="none" w:sz="0" w:space="0" w:color="auto"/>
        <w:left w:val="none" w:sz="0" w:space="0" w:color="auto"/>
        <w:bottom w:val="none" w:sz="0" w:space="0" w:color="auto"/>
        <w:right w:val="none" w:sz="0" w:space="0" w:color="auto"/>
      </w:divBdr>
    </w:div>
    <w:div w:id="1482044198">
      <w:bodyDiv w:val="1"/>
      <w:marLeft w:val="0"/>
      <w:marRight w:val="0"/>
      <w:marTop w:val="0"/>
      <w:marBottom w:val="0"/>
      <w:divBdr>
        <w:top w:val="none" w:sz="0" w:space="0" w:color="auto"/>
        <w:left w:val="none" w:sz="0" w:space="0" w:color="auto"/>
        <w:bottom w:val="none" w:sz="0" w:space="0" w:color="auto"/>
        <w:right w:val="none" w:sz="0" w:space="0" w:color="auto"/>
      </w:divBdr>
    </w:div>
    <w:div w:id="1482188212">
      <w:bodyDiv w:val="1"/>
      <w:marLeft w:val="0"/>
      <w:marRight w:val="0"/>
      <w:marTop w:val="0"/>
      <w:marBottom w:val="0"/>
      <w:divBdr>
        <w:top w:val="none" w:sz="0" w:space="0" w:color="auto"/>
        <w:left w:val="none" w:sz="0" w:space="0" w:color="auto"/>
        <w:bottom w:val="none" w:sz="0" w:space="0" w:color="auto"/>
        <w:right w:val="none" w:sz="0" w:space="0" w:color="auto"/>
      </w:divBdr>
    </w:div>
    <w:div w:id="1482774134">
      <w:bodyDiv w:val="1"/>
      <w:marLeft w:val="0"/>
      <w:marRight w:val="0"/>
      <w:marTop w:val="0"/>
      <w:marBottom w:val="0"/>
      <w:divBdr>
        <w:top w:val="none" w:sz="0" w:space="0" w:color="auto"/>
        <w:left w:val="none" w:sz="0" w:space="0" w:color="auto"/>
        <w:bottom w:val="none" w:sz="0" w:space="0" w:color="auto"/>
        <w:right w:val="none" w:sz="0" w:space="0" w:color="auto"/>
      </w:divBdr>
    </w:div>
    <w:div w:id="1483736312">
      <w:bodyDiv w:val="1"/>
      <w:marLeft w:val="0"/>
      <w:marRight w:val="0"/>
      <w:marTop w:val="0"/>
      <w:marBottom w:val="0"/>
      <w:divBdr>
        <w:top w:val="none" w:sz="0" w:space="0" w:color="auto"/>
        <w:left w:val="none" w:sz="0" w:space="0" w:color="auto"/>
        <w:bottom w:val="none" w:sz="0" w:space="0" w:color="auto"/>
        <w:right w:val="none" w:sz="0" w:space="0" w:color="auto"/>
      </w:divBdr>
    </w:div>
    <w:div w:id="1483742136">
      <w:bodyDiv w:val="1"/>
      <w:marLeft w:val="0"/>
      <w:marRight w:val="0"/>
      <w:marTop w:val="0"/>
      <w:marBottom w:val="0"/>
      <w:divBdr>
        <w:top w:val="none" w:sz="0" w:space="0" w:color="auto"/>
        <w:left w:val="none" w:sz="0" w:space="0" w:color="auto"/>
        <w:bottom w:val="none" w:sz="0" w:space="0" w:color="auto"/>
        <w:right w:val="none" w:sz="0" w:space="0" w:color="auto"/>
      </w:divBdr>
    </w:div>
    <w:div w:id="1484392464">
      <w:bodyDiv w:val="1"/>
      <w:marLeft w:val="0"/>
      <w:marRight w:val="0"/>
      <w:marTop w:val="0"/>
      <w:marBottom w:val="0"/>
      <w:divBdr>
        <w:top w:val="none" w:sz="0" w:space="0" w:color="auto"/>
        <w:left w:val="none" w:sz="0" w:space="0" w:color="auto"/>
        <w:bottom w:val="none" w:sz="0" w:space="0" w:color="auto"/>
        <w:right w:val="none" w:sz="0" w:space="0" w:color="auto"/>
      </w:divBdr>
    </w:div>
    <w:div w:id="1484465908">
      <w:bodyDiv w:val="1"/>
      <w:marLeft w:val="0"/>
      <w:marRight w:val="0"/>
      <w:marTop w:val="0"/>
      <w:marBottom w:val="0"/>
      <w:divBdr>
        <w:top w:val="none" w:sz="0" w:space="0" w:color="auto"/>
        <w:left w:val="none" w:sz="0" w:space="0" w:color="auto"/>
        <w:bottom w:val="none" w:sz="0" w:space="0" w:color="auto"/>
        <w:right w:val="none" w:sz="0" w:space="0" w:color="auto"/>
      </w:divBdr>
    </w:div>
    <w:div w:id="1485658365">
      <w:bodyDiv w:val="1"/>
      <w:marLeft w:val="0"/>
      <w:marRight w:val="0"/>
      <w:marTop w:val="0"/>
      <w:marBottom w:val="0"/>
      <w:divBdr>
        <w:top w:val="none" w:sz="0" w:space="0" w:color="auto"/>
        <w:left w:val="none" w:sz="0" w:space="0" w:color="auto"/>
        <w:bottom w:val="none" w:sz="0" w:space="0" w:color="auto"/>
        <w:right w:val="none" w:sz="0" w:space="0" w:color="auto"/>
      </w:divBdr>
    </w:div>
    <w:div w:id="1485774875">
      <w:bodyDiv w:val="1"/>
      <w:marLeft w:val="0"/>
      <w:marRight w:val="0"/>
      <w:marTop w:val="0"/>
      <w:marBottom w:val="0"/>
      <w:divBdr>
        <w:top w:val="none" w:sz="0" w:space="0" w:color="auto"/>
        <w:left w:val="none" w:sz="0" w:space="0" w:color="auto"/>
        <w:bottom w:val="none" w:sz="0" w:space="0" w:color="auto"/>
        <w:right w:val="none" w:sz="0" w:space="0" w:color="auto"/>
      </w:divBdr>
    </w:div>
    <w:div w:id="1486048395">
      <w:bodyDiv w:val="1"/>
      <w:marLeft w:val="0"/>
      <w:marRight w:val="0"/>
      <w:marTop w:val="0"/>
      <w:marBottom w:val="0"/>
      <w:divBdr>
        <w:top w:val="none" w:sz="0" w:space="0" w:color="auto"/>
        <w:left w:val="none" w:sz="0" w:space="0" w:color="auto"/>
        <w:bottom w:val="none" w:sz="0" w:space="0" w:color="auto"/>
        <w:right w:val="none" w:sz="0" w:space="0" w:color="auto"/>
      </w:divBdr>
    </w:div>
    <w:div w:id="1486051547">
      <w:bodyDiv w:val="1"/>
      <w:marLeft w:val="0"/>
      <w:marRight w:val="0"/>
      <w:marTop w:val="0"/>
      <w:marBottom w:val="0"/>
      <w:divBdr>
        <w:top w:val="none" w:sz="0" w:space="0" w:color="auto"/>
        <w:left w:val="none" w:sz="0" w:space="0" w:color="auto"/>
        <w:bottom w:val="none" w:sz="0" w:space="0" w:color="auto"/>
        <w:right w:val="none" w:sz="0" w:space="0" w:color="auto"/>
      </w:divBdr>
    </w:div>
    <w:div w:id="1487236149">
      <w:bodyDiv w:val="1"/>
      <w:marLeft w:val="0"/>
      <w:marRight w:val="0"/>
      <w:marTop w:val="0"/>
      <w:marBottom w:val="0"/>
      <w:divBdr>
        <w:top w:val="none" w:sz="0" w:space="0" w:color="auto"/>
        <w:left w:val="none" w:sz="0" w:space="0" w:color="auto"/>
        <w:bottom w:val="none" w:sz="0" w:space="0" w:color="auto"/>
        <w:right w:val="none" w:sz="0" w:space="0" w:color="auto"/>
      </w:divBdr>
    </w:div>
    <w:div w:id="1487284835">
      <w:bodyDiv w:val="1"/>
      <w:marLeft w:val="0"/>
      <w:marRight w:val="0"/>
      <w:marTop w:val="0"/>
      <w:marBottom w:val="0"/>
      <w:divBdr>
        <w:top w:val="none" w:sz="0" w:space="0" w:color="auto"/>
        <w:left w:val="none" w:sz="0" w:space="0" w:color="auto"/>
        <w:bottom w:val="none" w:sz="0" w:space="0" w:color="auto"/>
        <w:right w:val="none" w:sz="0" w:space="0" w:color="auto"/>
      </w:divBdr>
    </w:div>
    <w:div w:id="1487287070">
      <w:bodyDiv w:val="1"/>
      <w:marLeft w:val="0"/>
      <w:marRight w:val="0"/>
      <w:marTop w:val="0"/>
      <w:marBottom w:val="0"/>
      <w:divBdr>
        <w:top w:val="none" w:sz="0" w:space="0" w:color="auto"/>
        <w:left w:val="none" w:sz="0" w:space="0" w:color="auto"/>
        <w:bottom w:val="none" w:sz="0" w:space="0" w:color="auto"/>
        <w:right w:val="none" w:sz="0" w:space="0" w:color="auto"/>
      </w:divBdr>
    </w:div>
    <w:div w:id="1487672402">
      <w:bodyDiv w:val="1"/>
      <w:marLeft w:val="0"/>
      <w:marRight w:val="0"/>
      <w:marTop w:val="0"/>
      <w:marBottom w:val="0"/>
      <w:divBdr>
        <w:top w:val="none" w:sz="0" w:space="0" w:color="auto"/>
        <w:left w:val="none" w:sz="0" w:space="0" w:color="auto"/>
        <w:bottom w:val="none" w:sz="0" w:space="0" w:color="auto"/>
        <w:right w:val="none" w:sz="0" w:space="0" w:color="auto"/>
      </w:divBdr>
    </w:div>
    <w:div w:id="1487742887">
      <w:bodyDiv w:val="1"/>
      <w:marLeft w:val="0"/>
      <w:marRight w:val="0"/>
      <w:marTop w:val="0"/>
      <w:marBottom w:val="0"/>
      <w:divBdr>
        <w:top w:val="none" w:sz="0" w:space="0" w:color="auto"/>
        <w:left w:val="none" w:sz="0" w:space="0" w:color="auto"/>
        <w:bottom w:val="none" w:sz="0" w:space="0" w:color="auto"/>
        <w:right w:val="none" w:sz="0" w:space="0" w:color="auto"/>
      </w:divBdr>
    </w:div>
    <w:div w:id="1487937611">
      <w:bodyDiv w:val="1"/>
      <w:marLeft w:val="0"/>
      <w:marRight w:val="0"/>
      <w:marTop w:val="0"/>
      <w:marBottom w:val="0"/>
      <w:divBdr>
        <w:top w:val="none" w:sz="0" w:space="0" w:color="auto"/>
        <w:left w:val="none" w:sz="0" w:space="0" w:color="auto"/>
        <w:bottom w:val="none" w:sz="0" w:space="0" w:color="auto"/>
        <w:right w:val="none" w:sz="0" w:space="0" w:color="auto"/>
      </w:divBdr>
    </w:div>
    <w:div w:id="1488864636">
      <w:bodyDiv w:val="1"/>
      <w:marLeft w:val="0"/>
      <w:marRight w:val="0"/>
      <w:marTop w:val="0"/>
      <w:marBottom w:val="0"/>
      <w:divBdr>
        <w:top w:val="none" w:sz="0" w:space="0" w:color="auto"/>
        <w:left w:val="none" w:sz="0" w:space="0" w:color="auto"/>
        <w:bottom w:val="none" w:sz="0" w:space="0" w:color="auto"/>
        <w:right w:val="none" w:sz="0" w:space="0" w:color="auto"/>
      </w:divBdr>
    </w:div>
    <w:div w:id="1488979041">
      <w:bodyDiv w:val="1"/>
      <w:marLeft w:val="0"/>
      <w:marRight w:val="0"/>
      <w:marTop w:val="0"/>
      <w:marBottom w:val="0"/>
      <w:divBdr>
        <w:top w:val="none" w:sz="0" w:space="0" w:color="auto"/>
        <w:left w:val="none" w:sz="0" w:space="0" w:color="auto"/>
        <w:bottom w:val="none" w:sz="0" w:space="0" w:color="auto"/>
        <w:right w:val="none" w:sz="0" w:space="0" w:color="auto"/>
      </w:divBdr>
    </w:div>
    <w:div w:id="1489054914">
      <w:bodyDiv w:val="1"/>
      <w:marLeft w:val="0"/>
      <w:marRight w:val="0"/>
      <w:marTop w:val="0"/>
      <w:marBottom w:val="0"/>
      <w:divBdr>
        <w:top w:val="none" w:sz="0" w:space="0" w:color="auto"/>
        <w:left w:val="none" w:sz="0" w:space="0" w:color="auto"/>
        <w:bottom w:val="none" w:sz="0" w:space="0" w:color="auto"/>
        <w:right w:val="none" w:sz="0" w:space="0" w:color="auto"/>
      </w:divBdr>
    </w:div>
    <w:div w:id="1489665490">
      <w:bodyDiv w:val="1"/>
      <w:marLeft w:val="0"/>
      <w:marRight w:val="0"/>
      <w:marTop w:val="0"/>
      <w:marBottom w:val="0"/>
      <w:divBdr>
        <w:top w:val="none" w:sz="0" w:space="0" w:color="auto"/>
        <w:left w:val="none" w:sz="0" w:space="0" w:color="auto"/>
        <w:bottom w:val="none" w:sz="0" w:space="0" w:color="auto"/>
        <w:right w:val="none" w:sz="0" w:space="0" w:color="auto"/>
      </w:divBdr>
    </w:div>
    <w:div w:id="1490363237">
      <w:bodyDiv w:val="1"/>
      <w:marLeft w:val="0"/>
      <w:marRight w:val="0"/>
      <w:marTop w:val="0"/>
      <w:marBottom w:val="0"/>
      <w:divBdr>
        <w:top w:val="none" w:sz="0" w:space="0" w:color="auto"/>
        <w:left w:val="none" w:sz="0" w:space="0" w:color="auto"/>
        <w:bottom w:val="none" w:sz="0" w:space="0" w:color="auto"/>
        <w:right w:val="none" w:sz="0" w:space="0" w:color="auto"/>
      </w:divBdr>
    </w:div>
    <w:div w:id="1490706606">
      <w:bodyDiv w:val="1"/>
      <w:marLeft w:val="0"/>
      <w:marRight w:val="0"/>
      <w:marTop w:val="0"/>
      <w:marBottom w:val="0"/>
      <w:divBdr>
        <w:top w:val="none" w:sz="0" w:space="0" w:color="auto"/>
        <w:left w:val="none" w:sz="0" w:space="0" w:color="auto"/>
        <w:bottom w:val="none" w:sz="0" w:space="0" w:color="auto"/>
        <w:right w:val="none" w:sz="0" w:space="0" w:color="auto"/>
      </w:divBdr>
    </w:div>
    <w:div w:id="1490753048">
      <w:bodyDiv w:val="1"/>
      <w:marLeft w:val="0"/>
      <w:marRight w:val="0"/>
      <w:marTop w:val="0"/>
      <w:marBottom w:val="0"/>
      <w:divBdr>
        <w:top w:val="none" w:sz="0" w:space="0" w:color="auto"/>
        <w:left w:val="none" w:sz="0" w:space="0" w:color="auto"/>
        <w:bottom w:val="none" w:sz="0" w:space="0" w:color="auto"/>
        <w:right w:val="none" w:sz="0" w:space="0" w:color="auto"/>
      </w:divBdr>
    </w:div>
    <w:div w:id="1490944416">
      <w:bodyDiv w:val="1"/>
      <w:marLeft w:val="0"/>
      <w:marRight w:val="0"/>
      <w:marTop w:val="0"/>
      <w:marBottom w:val="0"/>
      <w:divBdr>
        <w:top w:val="none" w:sz="0" w:space="0" w:color="auto"/>
        <w:left w:val="none" w:sz="0" w:space="0" w:color="auto"/>
        <w:bottom w:val="none" w:sz="0" w:space="0" w:color="auto"/>
        <w:right w:val="none" w:sz="0" w:space="0" w:color="auto"/>
      </w:divBdr>
    </w:div>
    <w:div w:id="1491020501">
      <w:bodyDiv w:val="1"/>
      <w:marLeft w:val="0"/>
      <w:marRight w:val="0"/>
      <w:marTop w:val="0"/>
      <w:marBottom w:val="0"/>
      <w:divBdr>
        <w:top w:val="none" w:sz="0" w:space="0" w:color="auto"/>
        <w:left w:val="none" w:sz="0" w:space="0" w:color="auto"/>
        <w:bottom w:val="none" w:sz="0" w:space="0" w:color="auto"/>
        <w:right w:val="none" w:sz="0" w:space="0" w:color="auto"/>
      </w:divBdr>
    </w:div>
    <w:div w:id="1491600267">
      <w:bodyDiv w:val="1"/>
      <w:marLeft w:val="0"/>
      <w:marRight w:val="0"/>
      <w:marTop w:val="0"/>
      <w:marBottom w:val="0"/>
      <w:divBdr>
        <w:top w:val="none" w:sz="0" w:space="0" w:color="auto"/>
        <w:left w:val="none" w:sz="0" w:space="0" w:color="auto"/>
        <w:bottom w:val="none" w:sz="0" w:space="0" w:color="auto"/>
        <w:right w:val="none" w:sz="0" w:space="0" w:color="auto"/>
      </w:divBdr>
    </w:div>
    <w:div w:id="1491750804">
      <w:bodyDiv w:val="1"/>
      <w:marLeft w:val="0"/>
      <w:marRight w:val="0"/>
      <w:marTop w:val="0"/>
      <w:marBottom w:val="0"/>
      <w:divBdr>
        <w:top w:val="none" w:sz="0" w:space="0" w:color="auto"/>
        <w:left w:val="none" w:sz="0" w:space="0" w:color="auto"/>
        <w:bottom w:val="none" w:sz="0" w:space="0" w:color="auto"/>
        <w:right w:val="none" w:sz="0" w:space="0" w:color="auto"/>
      </w:divBdr>
    </w:div>
    <w:div w:id="1492600550">
      <w:bodyDiv w:val="1"/>
      <w:marLeft w:val="0"/>
      <w:marRight w:val="0"/>
      <w:marTop w:val="0"/>
      <w:marBottom w:val="0"/>
      <w:divBdr>
        <w:top w:val="none" w:sz="0" w:space="0" w:color="auto"/>
        <w:left w:val="none" w:sz="0" w:space="0" w:color="auto"/>
        <w:bottom w:val="none" w:sz="0" w:space="0" w:color="auto"/>
        <w:right w:val="none" w:sz="0" w:space="0" w:color="auto"/>
      </w:divBdr>
    </w:div>
    <w:div w:id="1492985489">
      <w:bodyDiv w:val="1"/>
      <w:marLeft w:val="0"/>
      <w:marRight w:val="0"/>
      <w:marTop w:val="0"/>
      <w:marBottom w:val="0"/>
      <w:divBdr>
        <w:top w:val="none" w:sz="0" w:space="0" w:color="auto"/>
        <w:left w:val="none" w:sz="0" w:space="0" w:color="auto"/>
        <w:bottom w:val="none" w:sz="0" w:space="0" w:color="auto"/>
        <w:right w:val="none" w:sz="0" w:space="0" w:color="auto"/>
      </w:divBdr>
    </w:div>
    <w:div w:id="1493836131">
      <w:bodyDiv w:val="1"/>
      <w:marLeft w:val="0"/>
      <w:marRight w:val="0"/>
      <w:marTop w:val="0"/>
      <w:marBottom w:val="0"/>
      <w:divBdr>
        <w:top w:val="none" w:sz="0" w:space="0" w:color="auto"/>
        <w:left w:val="none" w:sz="0" w:space="0" w:color="auto"/>
        <w:bottom w:val="none" w:sz="0" w:space="0" w:color="auto"/>
        <w:right w:val="none" w:sz="0" w:space="0" w:color="auto"/>
      </w:divBdr>
    </w:div>
    <w:div w:id="1494636628">
      <w:bodyDiv w:val="1"/>
      <w:marLeft w:val="0"/>
      <w:marRight w:val="0"/>
      <w:marTop w:val="0"/>
      <w:marBottom w:val="0"/>
      <w:divBdr>
        <w:top w:val="none" w:sz="0" w:space="0" w:color="auto"/>
        <w:left w:val="none" w:sz="0" w:space="0" w:color="auto"/>
        <w:bottom w:val="none" w:sz="0" w:space="0" w:color="auto"/>
        <w:right w:val="none" w:sz="0" w:space="0" w:color="auto"/>
      </w:divBdr>
    </w:div>
    <w:div w:id="1494831194">
      <w:bodyDiv w:val="1"/>
      <w:marLeft w:val="0"/>
      <w:marRight w:val="0"/>
      <w:marTop w:val="0"/>
      <w:marBottom w:val="0"/>
      <w:divBdr>
        <w:top w:val="none" w:sz="0" w:space="0" w:color="auto"/>
        <w:left w:val="none" w:sz="0" w:space="0" w:color="auto"/>
        <w:bottom w:val="none" w:sz="0" w:space="0" w:color="auto"/>
        <w:right w:val="none" w:sz="0" w:space="0" w:color="auto"/>
      </w:divBdr>
    </w:div>
    <w:div w:id="1494879162">
      <w:bodyDiv w:val="1"/>
      <w:marLeft w:val="0"/>
      <w:marRight w:val="0"/>
      <w:marTop w:val="0"/>
      <w:marBottom w:val="0"/>
      <w:divBdr>
        <w:top w:val="none" w:sz="0" w:space="0" w:color="auto"/>
        <w:left w:val="none" w:sz="0" w:space="0" w:color="auto"/>
        <w:bottom w:val="none" w:sz="0" w:space="0" w:color="auto"/>
        <w:right w:val="none" w:sz="0" w:space="0" w:color="auto"/>
      </w:divBdr>
    </w:div>
    <w:div w:id="1495146290">
      <w:bodyDiv w:val="1"/>
      <w:marLeft w:val="0"/>
      <w:marRight w:val="0"/>
      <w:marTop w:val="0"/>
      <w:marBottom w:val="0"/>
      <w:divBdr>
        <w:top w:val="none" w:sz="0" w:space="0" w:color="auto"/>
        <w:left w:val="none" w:sz="0" w:space="0" w:color="auto"/>
        <w:bottom w:val="none" w:sz="0" w:space="0" w:color="auto"/>
        <w:right w:val="none" w:sz="0" w:space="0" w:color="auto"/>
      </w:divBdr>
    </w:div>
    <w:div w:id="1495217464">
      <w:bodyDiv w:val="1"/>
      <w:marLeft w:val="0"/>
      <w:marRight w:val="0"/>
      <w:marTop w:val="0"/>
      <w:marBottom w:val="0"/>
      <w:divBdr>
        <w:top w:val="none" w:sz="0" w:space="0" w:color="auto"/>
        <w:left w:val="none" w:sz="0" w:space="0" w:color="auto"/>
        <w:bottom w:val="none" w:sz="0" w:space="0" w:color="auto"/>
        <w:right w:val="none" w:sz="0" w:space="0" w:color="auto"/>
      </w:divBdr>
    </w:div>
    <w:div w:id="1495222626">
      <w:bodyDiv w:val="1"/>
      <w:marLeft w:val="0"/>
      <w:marRight w:val="0"/>
      <w:marTop w:val="0"/>
      <w:marBottom w:val="0"/>
      <w:divBdr>
        <w:top w:val="none" w:sz="0" w:space="0" w:color="auto"/>
        <w:left w:val="none" w:sz="0" w:space="0" w:color="auto"/>
        <w:bottom w:val="none" w:sz="0" w:space="0" w:color="auto"/>
        <w:right w:val="none" w:sz="0" w:space="0" w:color="auto"/>
      </w:divBdr>
    </w:div>
    <w:div w:id="1495411427">
      <w:bodyDiv w:val="1"/>
      <w:marLeft w:val="0"/>
      <w:marRight w:val="0"/>
      <w:marTop w:val="0"/>
      <w:marBottom w:val="0"/>
      <w:divBdr>
        <w:top w:val="none" w:sz="0" w:space="0" w:color="auto"/>
        <w:left w:val="none" w:sz="0" w:space="0" w:color="auto"/>
        <w:bottom w:val="none" w:sz="0" w:space="0" w:color="auto"/>
        <w:right w:val="none" w:sz="0" w:space="0" w:color="auto"/>
      </w:divBdr>
    </w:div>
    <w:div w:id="1495489261">
      <w:bodyDiv w:val="1"/>
      <w:marLeft w:val="0"/>
      <w:marRight w:val="0"/>
      <w:marTop w:val="0"/>
      <w:marBottom w:val="0"/>
      <w:divBdr>
        <w:top w:val="none" w:sz="0" w:space="0" w:color="auto"/>
        <w:left w:val="none" w:sz="0" w:space="0" w:color="auto"/>
        <w:bottom w:val="none" w:sz="0" w:space="0" w:color="auto"/>
        <w:right w:val="none" w:sz="0" w:space="0" w:color="auto"/>
      </w:divBdr>
    </w:div>
    <w:div w:id="1495993134">
      <w:bodyDiv w:val="1"/>
      <w:marLeft w:val="0"/>
      <w:marRight w:val="0"/>
      <w:marTop w:val="0"/>
      <w:marBottom w:val="0"/>
      <w:divBdr>
        <w:top w:val="none" w:sz="0" w:space="0" w:color="auto"/>
        <w:left w:val="none" w:sz="0" w:space="0" w:color="auto"/>
        <w:bottom w:val="none" w:sz="0" w:space="0" w:color="auto"/>
        <w:right w:val="none" w:sz="0" w:space="0" w:color="auto"/>
      </w:divBdr>
    </w:div>
    <w:div w:id="1496187090">
      <w:bodyDiv w:val="1"/>
      <w:marLeft w:val="0"/>
      <w:marRight w:val="0"/>
      <w:marTop w:val="0"/>
      <w:marBottom w:val="0"/>
      <w:divBdr>
        <w:top w:val="none" w:sz="0" w:space="0" w:color="auto"/>
        <w:left w:val="none" w:sz="0" w:space="0" w:color="auto"/>
        <w:bottom w:val="none" w:sz="0" w:space="0" w:color="auto"/>
        <w:right w:val="none" w:sz="0" w:space="0" w:color="auto"/>
      </w:divBdr>
    </w:div>
    <w:div w:id="1496650956">
      <w:bodyDiv w:val="1"/>
      <w:marLeft w:val="0"/>
      <w:marRight w:val="0"/>
      <w:marTop w:val="0"/>
      <w:marBottom w:val="0"/>
      <w:divBdr>
        <w:top w:val="none" w:sz="0" w:space="0" w:color="auto"/>
        <w:left w:val="none" w:sz="0" w:space="0" w:color="auto"/>
        <w:bottom w:val="none" w:sz="0" w:space="0" w:color="auto"/>
        <w:right w:val="none" w:sz="0" w:space="0" w:color="auto"/>
      </w:divBdr>
    </w:div>
    <w:div w:id="1496653743">
      <w:bodyDiv w:val="1"/>
      <w:marLeft w:val="0"/>
      <w:marRight w:val="0"/>
      <w:marTop w:val="0"/>
      <w:marBottom w:val="0"/>
      <w:divBdr>
        <w:top w:val="none" w:sz="0" w:space="0" w:color="auto"/>
        <w:left w:val="none" w:sz="0" w:space="0" w:color="auto"/>
        <w:bottom w:val="none" w:sz="0" w:space="0" w:color="auto"/>
        <w:right w:val="none" w:sz="0" w:space="0" w:color="auto"/>
      </w:divBdr>
    </w:div>
    <w:div w:id="1496801737">
      <w:bodyDiv w:val="1"/>
      <w:marLeft w:val="0"/>
      <w:marRight w:val="0"/>
      <w:marTop w:val="0"/>
      <w:marBottom w:val="0"/>
      <w:divBdr>
        <w:top w:val="none" w:sz="0" w:space="0" w:color="auto"/>
        <w:left w:val="none" w:sz="0" w:space="0" w:color="auto"/>
        <w:bottom w:val="none" w:sz="0" w:space="0" w:color="auto"/>
        <w:right w:val="none" w:sz="0" w:space="0" w:color="auto"/>
      </w:divBdr>
    </w:div>
    <w:div w:id="1496994229">
      <w:bodyDiv w:val="1"/>
      <w:marLeft w:val="0"/>
      <w:marRight w:val="0"/>
      <w:marTop w:val="0"/>
      <w:marBottom w:val="0"/>
      <w:divBdr>
        <w:top w:val="none" w:sz="0" w:space="0" w:color="auto"/>
        <w:left w:val="none" w:sz="0" w:space="0" w:color="auto"/>
        <w:bottom w:val="none" w:sz="0" w:space="0" w:color="auto"/>
        <w:right w:val="none" w:sz="0" w:space="0" w:color="auto"/>
      </w:divBdr>
    </w:div>
    <w:div w:id="1496996160">
      <w:bodyDiv w:val="1"/>
      <w:marLeft w:val="0"/>
      <w:marRight w:val="0"/>
      <w:marTop w:val="0"/>
      <w:marBottom w:val="0"/>
      <w:divBdr>
        <w:top w:val="none" w:sz="0" w:space="0" w:color="auto"/>
        <w:left w:val="none" w:sz="0" w:space="0" w:color="auto"/>
        <w:bottom w:val="none" w:sz="0" w:space="0" w:color="auto"/>
        <w:right w:val="none" w:sz="0" w:space="0" w:color="auto"/>
      </w:divBdr>
    </w:div>
    <w:div w:id="1497452359">
      <w:bodyDiv w:val="1"/>
      <w:marLeft w:val="0"/>
      <w:marRight w:val="0"/>
      <w:marTop w:val="0"/>
      <w:marBottom w:val="0"/>
      <w:divBdr>
        <w:top w:val="none" w:sz="0" w:space="0" w:color="auto"/>
        <w:left w:val="none" w:sz="0" w:space="0" w:color="auto"/>
        <w:bottom w:val="none" w:sz="0" w:space="0" w:color="auto"/>
        <w:right w:val="none" w:sz="0" w:space="0" w:color="auto"/>
      </w:divBdr>
    </w:div>
    <w:div w:id="1497571630">
      <w:bodyDiv w:val="1"/>
      <w:marLeft w:val="0"/>
      <w:marRight w:val="0"/>
      <w:marTop w:val="0"/>
      <w:marBottom w:val="0"/>
      <w:divBdr>
        <w:top w:val="none" w:sz="0" w:space="0" w:color="auto"/>
        <w:left w:val="none" w:sz="0" w:space="0" w:color="auto"/>
        <w:bottom w:val="none" w:sz="0" w:space="0" w:color="auto"/>
        <w:right w:val="none" w:sz="0" w:space="0" w:color="auto"/>
      </w:divBdr>
    </w:div>
    <w:div w:id="1497575412">
      <w:bodyDiv w:val="1"/>
      <w:marLeft w:val="0"/>
      <w:marRight w:val="0"/>
      <w:marTop w:val="0"/>
      <w:marBottom w:val="0"/>
      <w:divBdr>
        <w:top w:val="none" w:sz="0" w:space="0" w:color="auto"/>
        <w:left w:val="none" w:sz="0" w:space="0" w:color="auto"/>
        <w:bottom w:val="none" w:sz="0" w:space="0" w:color="auto"/>
        <w:right w:val="none" w:sz="0" w:space="0" w:color="auto"/>
      </w:divBdr>
    </w:div>
    <w:div w:id="1497575587">
      <w:bodyDiv w:val="1"/>
      <w:marLeft w:val="0"/>
      <w:marRight w:val="0"/>
      <w:marTop w:val="0"/>
      <w:marBottom w:val="0"/>
      <w:divBdr>
        <w:top w:val="none" w:sz="0" w:space="0" w:color="auto"/>
        <w:left w:val="none" w:sz="0" w:space="0" w:color="auto"/>
        <w:bottom w:val="none" w:sz="0" w:space="0" w:color="auto"/>
        <w:right w:val="none" w:sz="0" w:space="0" w:color="auto"/>
      </w:divBdr>
    </w:div>
    <w:div w:id="1497645456">
      <w:bodyDiv w:val="1"/>
      <w:marLeft w:val="0"/>
      <w:marRight w:val="0"/>
      <w:marTop w:val="0"/>
      <w:marBottom w:val="0"/>
      <w:divBdr>
        <w:top w:val="none" w:sz="0" w:space="0" w:color="auto"/>
        <w:left w:val="none" w:sz="0" w:space="0" w:color="auto"/>
        <w:bottom w:val="none" w:sz="0" w:space="0" w:color="auto"/>
        <w:right w:val="none" w:sz="0" w:space="0" w:color="auto"/>
      </w:divBdr>
    </w:div>
    <w:div w:id="1497764625">
      <w:bodyDiv w:val="1"/>
      <w:marLeft w:val="0"/>
      <w:marRight w:val="0"/>
      <w:marTop w:val="0"/>
      <w:marBottom w:val="0"/>
      <w:divBdr>
        <w:top w:val="none" w:sz="0" w:space="0" w:color="auto"/>
        <w:left w:val="none" w:sz="0" w:space="0" w:color="auto"/>
        <w:bottom w:val="none" w:sz="0" w:space="0" w:color="auto"/>
        <w:right w:val="none" w:sz="0" w:space="0" w:color="auto"/>
      </w:divBdr>
    </w:div>
    <w:div w:id="1498034567">
      <w:bodyDiv w:val="1"/>
      <w:marLeft w:val="0"/>
      <w:marRight w:val="0"/>
      <w:marTop w:val="0"/>
      <w:marBottom w:val="0"/>
      <w:divBdr>
        <w:top w:val="none" w:sz="0" w:space="0" w:color="auto"/>
        <w:left w:val="none" w:sz="0" w:space="0" w:color="auto"/>
        <w:bottom w:val="none" w:sz="0" w:space="0" w:color="auto"/>
        <w:right w:val="none" w:sz="0" w:space="0" w:color="auto"/>
      </w:divBdr>
    </w:div>
    <w:div w:id="1498112590">
      <w:bodyDiv w:val="1"/>
      <w:marLeft w:val="0"/>
      <w:marRight w:val="0"/>
      <w:marTop w:val="0"/>
      <w:marBottom w:val="0"/>
      <w:divBdr>
        <w:top w:val="none" w:sz="0" w:space="0" w:color="auto"/>
        <w:left w:val="none" w:sz="0" w:space="0" w:color="auto"/>
        <w:bottom w:val="none" w:sz="0" w:space="0" w:color="auto"/>
        <w:right w:val="none" w:sz="0" w:space="0" w:color="auto"/>
      </w:divBdr>
    </w:div>
    <w:div w:id="1498157208">
      <w:bodyDiv w:val="1"/>
      <w:marLeft w:val="0"/>
      <w:marRight w:val="0"/>
      <w:marTop w:val="0"/>
      <w:marBottom w:val="0"/>
      <w:divBdr>
        <w:top w:val="none" w:sz="0" w:space="0" w:color="auto"/>
        <w:left w:val="none" w:sz="0" w:space="0" w:color="auto"/>
        <w:bottom w:val="none" w:sz="0" w:space="0" w:color="auto"/>
        <w:right w:val="none" w:sz="0" w:space="0" w:color="auto"/>
      </w:divBdr>
    </w:div>
    <w:div w:id="1499005771">
      <w:bodyDiv w:val="1"/>
      <w:marLeft w:val="0"/>
      <w:marRight w:val="0"/>
      <w:marTop w:val="0"/>
      <w:marBottom w:val="0"/>
      <w:divBdr>
        <w:top w:val="none" w:sz="0" w:space="0" w:color="auto"/>
        <w:left w:val="none" w:sz="0" w:space="0" w:color="auto"/>
        <w:bottom w:val="none" w:sz="0" w:space="0" w:color="auto"/>
        <w:right w:val="none" w:sz="0" w:space="0" w:color="auto"/>
      </w:divBdr>
    </w:div>
    <w:div w:id="1499425963">
      <w:bodyDiv w:val="1"/>
      <w:marLeft w:val="0"/>
      <w:marRight w:val="0"/>
      <w:marTop w:val="0"/>
      <w:marBottom w:val="0"/>
      <w:divBdr>
        <w:top w:val="none" w:sz="0" w:space="0" w:color="auto"/>
        <w:left w:val="none" w:sz="0" w:space="0" w:color="auto"/>
        <w:bottom w:val="none" w:sz="0" w:space="0" w:color="auto"/>
        <w:right w:val="none" w:sz="0" w:space="0" w:color="auto"/>
      </w:divBdr>
    </w:div>
    <w:div w:id="1499661025">
      <w:bodyDiv w:val="1"/>
      <w:marLeft w:val="0"/>
      <w:marRight w:val="0"/>
      <w:marTop w:val="0"/>
      <w:marBottom w:val="0"/>
      <w:divBdr>
        <w:top w:val="none" w:sz="0" w:space="0" w:color="auto"/>
        <w:left w:val="none" w:sz="0" w:space="0" w:color="auto"/>
        <w:bottom w:val="none" w:sz="0" w:space="0" w:color="auto"/>
        <w:right w:val="none" w:sz="0" w:space="0" w:color="auto"/>
      </w:divBdr>
    </w:div>
    <w:div w:id="1499728991">
      <w:bodyDiv w:val="1"/>
      <w:marLeft w:val="0"/>
      <w:marRight w:val="0"/>
      <w:marTop w:val="0"/>
      <w:marBottom w:val="0"/>
      <w:divBdr>
        <w:top w:val="none" w:sz="0" w:space="0" w:color="auto"/>
        <w:left w:val="none" w:sz="0" w:space="0" w:color="auto"/>
        <w:bottom w:val="none" w:sz="0" w:space="0" w:color="auto"/>
        <w:right w:val="none" w:sz="0" w:space="0" w:color="auto"/>
      </w:divBdr>
    </w:div>
    <w:div w:id="1499807767">
      <w:bodyDiv w:val="1"/>
      <w:marLeft w:val="0"/>
      <w:marRight w:val="0"/>
      <w:marTop w:val="0"/>
      <w:marBottom w:val="0"/>
      <w:divBdr>
        <w:top w:val="none" w:sz="0" w:space="0" w:color="auto"/>
        <w:left w:val="none" w:sz="0" w:space="0" w:color="auto"/>
        <w:bottom w:val="none" w:sz="0" w:space="0" w:color="auto"/>
        <w:right w:val="none" w:sz="0" w:space="0" w:color="auto"/>
      </w:divBdr>
    </w:div>
    <w:div w:id="1499998301">
      <w:bodyDiv w:val="1"/>
      <w:marLeft w:val="0"/>
      <w:marRight w:val="0"/>
      <w:marTop w:val="0"/>
      <w:marBottom w:val="0"/>
      <w:divBdr>
        <w:top w:val="none" w:sz="0" w:space="0" w:color="auto"/>
        <w:left w:val="none" w:sz="0" w:space="0" w:color="auto"/>
        <w:bottom w:val="none" w:sz="0" w:space="0" w:color="auto"/>
        <w:right w:val="none" w:sz="0" w:space="0" w:color="auto"/>
      </w:divBdr>
    </w:div>
    <w:div w:id="1500073724">
      <w:bodyDiv w:val="1"/>
      <w:marLeft w:val="0"/>
      <w:marRight w:val="0"/>
      <w:marTop w:val="0"/>
      <w:marBottom w:val="0"/>
      <w:divBdr>
        <w:top w:val="none" w:sz="0" w:space="0" w:color="auto"/>
        <w:left w:val="none" w:sz="0" w:space="0" w:color="auto"/>
        <w:bottom w:val="none" w:sz="0" w:space="0" w:color="auto"/>
        <w:right w:val="none" w:sz="0" w:space="0" w:color="auto"/>
      </w:divBdr>
    </w:div>
    <w:div w:id="1500996088">
      <w:bodyDiv w:val="1"/>
      <w:marLeft w:val="0"/>
      <w:marRight w:val="0"/>
      <w:marTop w:val="0"/>
      <w:marBottom w:val="0"/>
      <w:divBdr>
        <w:top w:val="none" w:sz="0" w:space="0" w:color="auto"/>
        <w:left w:val="none" w:sz="0" w:space="0" w:color="auto"/>
        <w:bottom w:val="none" w:sz="0" w:space="0" w:color="auto"/>
        <w:right w:val="none" w:sz="0" w:space="0" w:color="auto"/>
      </w:divBdr>
    </w:div>
    <w:div w:id="1501192019">
      <w:bodyDiv w:val="1"/>
      <w:marLeft w:val="0"/>
      <w:marRight w:val="0"/>
      <w:marTop w:val="0"/>
      <w:marBottom w:val="0"/>
      <w:divBdr>
        <w:top w:val="none" w:sz="0" w:space="0" w:color="auto"/>
        <w:left w:val="none" w:sz="0" w:space="0" w:color="auto"/>
        <w:bottom w:val="none" w:sz="0" w:space="0" w:color="auto"/>
        <w:right w:val="none" w:sz="0" w:space="0" w:color="auto"/>
      </w:divBdr>
    </w:div>
    <w:div w:id="1501508618">
      <w:bodyDiv w:val="1"/>
      <w:marLeft w:val="0"/>
      <w:marRight w:val="0"/>
      <w:marTop w:val="0"/>
      <w:marBottom w:val="0"/>
      <w:divBdr>
        <w:top w:val="none" w:sz="0" w:space="0" w:color="auto"/>
        <w:left w:val="none" w:sz="0" w:space="0" w:color="auto"/>
        <w:bottom w:val="none" w:sz="0" w:space="0" w:color="auto"/>
        <w:right w:val="none" w:sz="0" w:space="0" w:color="auto"/>
      </w:divBdr>
    </w:div>
    <w:div w:id="1501696414">
      <w:bodyDiv w:val="1"/>
      <w:marLeft w:val="0"/>
      <w:marRight w:val="0"/>
      <w:marTop w:val="0"/>
      <w:marBottom w:val="0"/>
      <w:divBdr>
        <w:top w:val="none" w:sz="0" w:space="0" w:color="auto"/>
        <w:left w:val="none" w:sz="0" w:space="0" w:color="auto"/>
        <w:bottom w:val="none" w:sz="0" w:space="0" w:color="auto"/>
        <w:right w:val="none" w:sz="0" w:space="0" w:color="auto"/>
      </w:divBdr>
    </w:div>
    <w:div w:id="1502114505">
      <w:bodyDiv w:val="1"/>
      <w:marLeft w:val="0"/>
      <w:marRight w:val="0"/>
      <w:marTop w:val="0"/>
      <w:marBottom w:val="0"/>
      <w:divBdr>
        <w:top w:val="none" w:sz="0" w:space="0" w:color="auto"/>
        <w:left w:val="none" w:sz="0" w:space="0" w:color="auto"/>
        <w:bottom w:val="none" w:sz="0" w:space="0" w:color="auto"/>
        <w:right w:val="none" w:sz="0" w:space="0" w:color="auto"/>
      </w:divBdr>
    </w:div>
    <w:div w:id="1502160708">
      <w:bodyDiv w:val="1"/>
      <w:marLeft w:val="0"/>
      <w:marRight w:val="0"/>
      <w:marTop w:val="0"/>
      <w:marBottom w:val="0"/>
      <w:divBdr>
        <w:top w:val="none" w:sz="0" w:space="0" w:color="auto"/>
        <w:left w:val="none" w:sz="0" w:space="0" w:color="auto"/>
        <w:bottom w:val="none" w:sz="0" w:space="0" w:color="auto"/>
        <w:right w:val="none" w:sz="0" w:space="0" w:color="auto"/>
      </w:divBdr>
    </w:div>
    <w:div w:id="1502698108">
      <w:bodyDiv w:val="1"/>
      <w:marLeft w:val="0"/>
      <w:marRight w:val="0"/>
      <w:marTop w:val="0"/>
      <w:marBottom w:val="0"/>
      <w:divBdr>
        <w:top w:val="none" w:sz="0" w:space="0" w:color="auto"/>
        <w:left w:val="none" w:sz="0" w:space="0" w:color="auto"/>
        <w:bottom w:val="none" w:sz="0" w:space="0" w:color="auto"/>
        <w:right w:val="none" w:sz="0" w:space="0" w:color="auto"/>
      </w:divBdr>
    </w:div>
    <w:div w:id="1502938128">
      <w:bodyDiv w:val="1"/>
      <w:marLeft w:val="0"/>
      <w:marRight w:val="0"/>
      <w:marTop w:val="0"/>
      <w:marBottom w:val="0"/>
      <w:divBdr>
        <w:top w:val="none" w:sz="0" w:space="0" w:color="auto"/>
        <w:left w:val="none" w:sz="0" w:space="0" w:color="auto"/>
        <w:bottom w:val="none" w:sz="0" w:space="0" w:color="auto"/>
        <w:right w:val="none" w:sz="0" w:space="0" w:color="auto"/>
      </w:divBdr>
    </w:div>
    <w:div w:id="1503088337">
      <w:bodyDiv w:val="1"/>
      <w:marLeft w:val="0"/>
      <w:marRight w:val="0"/>
      <w:marTop w:val="0"/>
      <w:marBottom w:val="0"/>
      <w:divBdr>
        <w:top w:val="none" w:sz="0" w:space="0" w:color="auto"/>
        <w:left w:val="none" w:sz="0" w:space="0" w:color="auto"/>
        <w:bottom w:val="none" w:sz="0" w:space="0" w:color="auto"/>
        <w:right w:val="none" w:sz="0" w:space="0" w:color="auto"/>
      </w:divBdr>
    </w:div>
    <w:div w:id="1503273625">
      <w:bodyDiv w:val="1"/>
      <w:marLeft w:val="0"/>
      <w:marRight w:val="0"/>
      <w:marTop w:val="0"/>
      <w:marBottom w:val="0"/>
      <w:divBdr>
        <w:top w:val="none" w:sz="0" w:space="0" w:color="auto"/>
        <w:left w:val="none" w:sz="0" w:space="0" w:color="auto"/>
        <w:bottom w:val="none" w:sz="0" w:space="0" w:color="auto"/>
        <w:right w:val="none" w:sz="0" w:space="0" w:color="auto"/>
      </w:divBdr>
    </w:div>
    <w:div w:id="1503280933">
      <w:bodyDiv w:val="1"/>
      <w:marLeft w:val="0"/>
      <w:marRight w:val="0"/>
      <w:marTop w:val="0"/>
      <w:marBottom w:val="0"/>
      <w:divBdr>
        <w:top w:val="none" w:sz="0" w:space="0" w:color="auto"/>
        <w:left w:val="none" w:sz="0" w:space="0" w:color="auto"/>
        <w:bottom w:val="none" w:sz="0" w:space="0" w:color="auto"/>
        <w:right w:val="none" w:sz="0" w:space="0" w:color="auto"/>
      </w:divBdr>
    </w:div>
    <w:div w:id="1503282442">
      <w:bodyDiv w:val="1"/>
      <w:marLeft w:val="0"/>
      <w:marRight w:val="0"/>
      <w:marTop w:val="0"/>
      <w:marBottom w:val="0"/>
      <w:divBdr>
        <w:top w:val="none" w:sz="0" w:space="0" w:color="auto"/>
        <w:left w:val="none" w:sz="0" w:space="0" w:color="auto"/>
        <w:bottom w:val="none" w:sz="0" w:space="0" w:color="auto"/>
        <w:right w:val="none" w:sz="0" w:space="0" w:color="auto"/>
      </w:divBdr>
    </w:div>
    <w:div w:id="1503353336">
      <w:bodyDiv w:val="1"/>
      <w:marLeft w:val="0"/>
      <w:marRight w:val="0"/>
      <w:marTop w:val="0"/>
      <w:marBottom w:val="0"/>
      <w:divBdr>
        <w:top w:val="none" w:sz="0" w:space="0" w:color="auto"/>
        <w:left w:val="none" w:sz="0" w:space="0" w:color="auto"/>
        <w:bottom w:val="none" w:sz="0" w:space="0" w:color="auto"/>
        <w:right w:val="none" w:sz="0" w:space="0" w:color="auto"/>
      </w:divBdr>
    </w:div>
    <w:div w:id="1503593300">
      <w:bodyDiv w:val="1"/>
      <w:marLeft w:val="0"/>
      <w:marRight w:val="0"/>
      <w:marTop w:val="0"/>
      <w:marBottom w:val="0"/>
      <w:divBdr>
        <w:top w:val="none" w:sz="0" w:space="0" w:color="auto"/>
        <w:left w:val="none" w:sz="0" w:space="0" w:color="auto"/>
        <w:bottom w:val="none" w:sz="0" w:space="0" w:color="auto"/>
        <w:right w:val="none" w:sz="0" w:space="0" w:color="auto"/>
      </w:divBdr>
    </w:div>
    <w:div w:id="1504542706">
      <w:bodyDiv w:val="1"/>
      <w:marLeft w:val="0"/>
      <w:marRight w:val="0"/>
      <w:marTop w:val="0"/>
      <w:marBottom w:val="0"/>
      <w:divBdr>
        <w:top w:val="none" w:sz="0" w:space="0" w:color="auto"/>
        <w:left w:val="none" w:sz="0" w:space="0" w:color="auto"/>
        <w:bottom w:val="none" w:sz="0" w:space="0" w:color="auto"/>
        <w:right w:val="none" w:sz="0" w:space="0" w:color="auto"/>
      </w:divBdr>
    </w:div>
    <w:div w:id="1504785715">
      <w:bodyDiv w:val="1"/>
      <w:marLeft w:val="0"/>
      <w:marRight w:val="0"/>
      <w:marTop w:val="0"/>
      <w:marBottom w:val="0"/>
      <w:divBdr>
        <w:top w:val="none" w:sz="0" w:space="0" w:color="auto"/>
        <w:left w:val="none" w:sz="0" w:space="0" w:color="auto"/>
        <w:bottom w:val="none" w:sz="0" w:space="0" w:color="auto"/>
        <w:right w:val="none" w:sz="0" w:space="0" w:color="auto"/>
      </w:divBdr>
    </w:div>
    <w:div w:id="1504976951">
      <w:bodyDiv w:val="1"/>
      <w:marLeft w:val="0"/>
      <w:marRight w:val="0"/>
      <w:marTop w:val="0"/>
      <w:marBottom w:val="0"/>
      <w:divBdr>
        <w:top w:val="none" w:sz="0" w:space="0" w:color="auto"/>
        <w:left w:val="none" w:sz="0" w:space="0" w:color="auto"/>
        <w:bottom w:val="none" w:sz="0" w:space="0" w:color="auto"/>
        <w:right w:val="none" w:sz="0" w:space="0" w:color="auto"/>
      </w:divBdr>
    </w:div>
    <w:div w:id="1505393610">
      <w:bodyDiv w:val="1"/>
      <w:marLeft w:val="0"/>
      <w:marRight w:val="0"/>
      <w:marTop w:val="0"/>
      <w:marBottom w:val="0"/>
      <w:divBdr>
        <w:top w:val="none" w:sz="0" w:space="0" w:color="auto"/>
        <w:left w:val="none" w:sz="0" w:space="0" w:color="auto"/>
        <w:bottom w:val="none" w:sz="0" w:space="0" w:color="auto"/>
        <w:right w:val="none" w:sz="0" w:space="0" w:color="auto"/>
      </w:divBdr>
    </w:div>
    <w:div w:id="1505589390">
      <w:bodyDiv w:val="1"/>
      <w:marLeft w:val="0"/>
      <w:marRight w:val="0"/>
      <w:marTop w:val="0"/>
      <w:marBottom w:val="0"/>
      <w:divBdr>
        <w:top w:val="none" w:sz="0" w:space="0" w:color="auto"/>
        <w:left w:val="none" w:sz="0" w:space="0" w:color="auto"/>
        <w:bottom w:val="none" w:sz="0" w:space="0" w:color="auto"/>
        <w:right w:val="none" w:sz="0" w:space="0" w:color="auto"/>
      </w:divBdr>
    </w:div>
    <w:div w:id="1505779369">
      <w:bodyDiv w:val="1"/>
      <w:marLeft w:val="0"/>
      <w:marRight w:val="0"/>
      <w:marTop w:val="0"/>
      <w:marBottom w:val="0"/>
      <w:divBdr>
        <w:top w:val="none" w:sz="0" w:space="0" w:color="auto"/>
        <w:left w:val="none" w:sz="0" w:space="0" w:color="auto"/>
        <w:bottom w:val="none" w:sz="0" w:space="0" w:color="auto"/>
        <w:right w:val="none" w:sz="0" w:space="0" w:color="auto"/>
      </w:divBdr>
    </w:div>
    <w:div w:id="1505977524">
      <w:bodyDiv w:val="1"/>
      <w:marLeft w:val="0"/>
      <w:marRight w:val="0"/>
      <w:marTop w:val="0"/>
      <w:marBottom w:val="0"/>
      <w:divBdr>
        <w:top w:val="none" w:sz="0" w:space="0" w:color="auto"/>
        <w:left w:val="none" w:sz="0" w:space="0" w:color="auto"/>
        <w:bottom w:val="none" w:sz="0" w:space="0" w:color="auto"/>
        <w:right w:val="none" w:sz="0" w:space="0" w:color="auto"/>
      </w:divBdr>
    </w:div>
    <w:div w:id="1506895007">
      <w:bodyDiv w:val="1"/>
      <w:marLeft w:val="0"/>
      <w:marRight w:val="0"/>
      <w:marTop w:val="0"/>
      <w:marBottom w:val="0"/>
      <w:divBdr>
        <w:top w:val="none" w:sz="0" w:space="0" w:color="auto"/>
        <w:left w:val="none" w:sz="0" w:space="0" w:color="auto"/>
        <w:bottom w:val="none" w:sz="0" w:space="0" w:color="auto"/>
        <w:right w:val="none" w:sz="0" w:space="0" w:color="auto"/>
      </w:divBdr>
    </w:div>
    <w:div w:id="1506895783">
      <w:bodyDiv w:val="1"/>
      <w:marLeft w:val="0"/>
      <w:marRight w:val="0"/>
      <w:marTop w:val="0"/>
      <w:marBottom w:val="0"/>
      <w:divBdr>
        <w:top w:val="none" w:sz="0" w:space="0" w:color="auto"/>
        <w:left w:val="none" w:sz="0" w:space="0" w:color="auto"/>
        <w:bottom w:val="none" w:sz="0" w:space="0" w:color="auto"/>
        <w:right w:val="none" w:sz="0" w:space="0" w:color="auto"/>
      </w:divBdr>
    </w:div>
    <w:div w:id="1506943578">
      <w:bodyDiv w:val="1"/>
      <w:marLeft w:val="0"/>
      <w:marRight w:val="0"/>
      <w:marTop w:val="0"/>
      <w:marBottom w:val="0"/>
      <w:divBdr>
        <w:top w:val="none" w:sz="0" w:space="0" w:color="auto"/>
        <w:left w:val="none" w:sz="0" w:space="0" w:color="auto"/>
        <w:bottom w:val="none" w:sz="0" w:space="0" w:color="auto"/>
        <w:right w:val="none" w:sz="0" w:space="0" w:color="auto"/>
      </w:divBdr>
    </w:div>
    <w:div w:id="1507674845">
      <w:bodyDiv w:val="1"/>
      <w:marLeft w:val="0"/>
      <w:marRight w:val="0"/>
      <w:marTop w:val="0"/>
      <w:marBottom w:val="0"/>
      <w:divBdr>
        <w:top w:val="none" w:sz="0" w:space="0" w:color="auto"/>
        <w:left w:val="none" w:sz="0" w:space="0" w:color="auto"/>
        <w:bottom w:val="none" w:sz="0" w:space="0" w:color="auto"/>
        <w:right w:val="none" w:sz="0" w:space="0" w:color="auto"/>
      </w:divBdr>
    </w:div>
    <w:div w:id="1508474654">
      <w:bodyDiv w:val="1"/>
      <w:marLeft w:val="0"/>
      <w:marRight w:val="0"/>
      <w:marTop w:val="0"/>
      <w:marBottom w:val="0"/>
      <w:divBdr>
        <w:top w:val="none" w:sz="0" w:space="0" w:color="auto"/>
        <w:left w:val="none" w:sz="0" w:space="0" w:color="auto"/>
        <w:bottom w:val="none" w:sz="0" w:space="0" w:color="auto"/>
        <w:right w:val="none" w:sz="0" w:space="0" w:color="auto"/>
      </w:divBdr>
    </w:div>
    <w:div w:id="1508598327">
      <w:bodyDiv w:val="1"/>
      <w:marLeft w:val="0"/>
      <w:marRight w:val="0"/>
      <w:marTop w:val="0"/>
      <w:marBottom w:val="0"/>
      <w:divBdr>
        <w:top w:val="none" w:sz="0" w:space="0" w:color="auto"/>
        <w:left w:val="none" w:sz="0" w:space="0" w:color="auto"/>
        <w:bottom w:val="none" w:sz="0" w:space="0" w:color="auto"/>
        <w:right w:val="none" w:sz="0" w:space="0" w:color="auto"/>
      </w:divBdr>
    </w:div>
    <w:div w:id="1509058703">
      <w:bodyDiv w:val="1"/>
      <w:marLeft w:val="0"/>
      <w:marRight w:val="0"/>
      <w:marTop w:val="0"/>
      <w:marBottom w:val="0"/>
      <w:divBdr>
        <w:top w:val="none" w:sz="0" w:space="0" w:color="auto"/>
        <w:left w:val="none" w:sz="0" w:space="0" w:color="auto"/>
        <w:bottom w:val="none" w:sz="0" w:space="0" w:color="auto"/>
        <w:right w:val="none" w:sz="0" w:space="0" w:color="auto"/>
      </w:divBdr>
    </w:div>
    <w:div w:id="1509439133">
      <w:bodyDiv w:val="1"/>
      <w:marLeft w:val="0"/>
      <w:marRight w:val="0"/>
      <w:marTop w:val="0"/>
      <w:marBottom w:val="0"/>
      <w:divBdr>
        <w:top w:val="none" w:sz="0" w:space="0" w:color="auto"/>
        <w:left w:val="none" w:sz="0" w:space="0" w:color="auto"/>
        <w:bottom w:val="none" w:sz="0" w:space="0" w:color="auto"/>
        <w:right w:val="none" w:sz="0" w:space="0" w:color="auto"/>
      </w:divBdr>
    </w:div>
    <w:div w:id="1509708174">
      <w:bodyDiv w:val="1"/>
      <w:marLeft w:val="0"/>
      <w:marRight w:val="0"/>
      <w:marTop w:val="0"/>
      <w:marBottom w:val="0"/>
      <w:divBdr>
        <w:top w:val="none" w:sz="0" w:space="0" w:color="auto"/>
        <w:left w:val="none" w:sz="0" w:space="0" w:color="auto"/>
        <w:bottom w:val="none" w:sz="0" w:space="0" w:color="auto"/>
        <w:right w:val="none" w:sz="0" w:space="0" w:color="auto"/>
      </w:divBdr>
    </w:div>
    <w:div w:id="1511215643">
      <w:bodyDiv w:val="1"/>
      <w:marLeft w:val="0"/>
      <w:marRight w:val="0"/>
      <w:marTop w:val="0"/>
      <w:marBottom w:val="0"/>
      <w:divBdr>
        <w:top w:val="none" w:sz="0" w:space="0" w:color="auto"/>
        <w:left w:val="none" w:sz="0" w:space="0" w:color="auto"/>
        <w:bottom w:val="none" w:sz="0" w:space="0" w:color="auto"/>
        <w:right w:val="none" w:sz="0" w:space="0" w:color="auto"/>
      </w:divBdr>
    </w:div>
    <w:div w:id="1511522731">
      <w:bodyDiv w:val="1"/>
      <w:marLeft w:val="0"/>
      <w:marRight w:val="0"/>
      <w:marTop w:val="0"/>
      <w:marBottom w:val="0"/>
      <w:divBdr>
        <w:top w:val="none" w:sz="0" w:space="0" w:color="auto"/>
        <w:left w:val="none" w:sz="0" w:space="0" w:color="auto"/>
        <w:bottom w:val="none" w:sz="0" w:space="0" w:color="auto"/>
        <w:right w:val="none" w:sz="0" w:space="0" w:color="auto"/>
      </w:divBdr>
    </w:div>
    <w:div w:id="1512254066">
      <w:bodyDiv w:val="1"/>
      <w:marLeft w:val="0"/>
      <w:marRight w:val="0"/>
      <w:marTop w:val="0"/>
      <w:marBottom w:val="0"/>
      <w:divBdr>
        <w:top w:val="none" w:sz="0" w:space="0" w:color="auto"/>
        <w:left w:val="none" w:sz="0" w:space="0" w:color="auto"/>
        <w:bottom w:val="none" w:sz="0" w:space="0" w:color="auto"/>
        <w:right w:val="none" w:sz="0" w:space="0" w:color="auto"/>
      </w:divBdr>
    </w:div>
    <w:div w:id="1512524478">
      <w:bodyDiv w:val="1"/>
      <w:marLeft w:val="0"/>
      <w:marRight w:val="0"/>
      <w:marTop w:val="0"/>
      <w:marBottom w:val="0"/>
      <w:divBdr>
        <w:top w:val="none" w:sz="0" w:space="0" w:color="auto"/>
        <w:left w:val="none" w:sz="0" w:space="0" w:color="auto"/>
        <w:bottom w:val="none" w:sz="0" w:space="0" w:color="auto"/>
        <w:right w:val="none" w:sz="0" w:space="0" w:color="auto"/>
      </w:divBdr>
    </w:div>
    <w:div w:id="1512528460">
      <w:bodyDiv w:val="1"/>
      <w:marLeft w:val="0"/>
      <w:marRight w:val="0"/>
      <w:marTop w:val="0"/>
      <w:marBottom w:val="0"/>
      <w:divBdr>
        <w:top w:val="none" w:sz="0" w:space="0" w:color="auto"/>
        <w:left w:val="none" w:sz="0" w:space="0" w:color="auto"/>
        <w:bottom w:val="none" w:sz="0" w:space="0" w:color="auto"/>
        <w:right w:val="none" w:sz="0" w:space="0" w:color="auto"/>
      </w:divBdr>
    </w:div>
    <w:div w:id="1512641475">
      <w:bodyDiv w:val="1"/>
      <w:marLeft w:val="0"/>
      <w:marRight w:val="0"/>
      <w:marTop w:val="0"/>
      <w:marBottom w:val="0"/>
      <w:divBdr>
        <w:top w:val="none" w:sz="0" w:space="0" w:color="auto"/>
        <w:left w:val="none" w:sz="0" w:space="0" w:color="auto"/>
        <w:bottom w:val="none" w:sz="0" w:space="0" w:color="auto"/>
        <w:right w:val="none" w:sz="0" w:space="0" w:color="auto"/>
      </w:divBdr>
    </w:div>
    <w:div w:id="1512841123">
      <w:bodyDiv w:val="1"/>
      <w:marLeft w:val="0"/>
      <w:marRight w:val="0"/>
      <w:marTop w:val="0"/>
      <w:marBottom w:val="0"/>
      <w:divBdr>
        <w:top w:val="none" w:sz="0" w:space="0" w:color="auto"/>
        <w:left w:val="none" w:sz="0" w:space="0" w:color="auto"/>
        <w:bottom w:val="none" w:sz="0" w:space="0" w:color="auto"/>
        <w:right w:val="none" w:sz="0" w:space="0" w:color="auto"/>
      </w:divBdr>
    </w:div>
    <w:div w:id="1513497234">
      <w:bodyDiv w:val="1"/>
      <w:marLeft w:val="0"/>
      <w:marRight w:val="0"/>
      <w:marTop w:val="0"/>
      <w:marBottom w:val="0"/>
      <w:divBdr>
        <w:top w:val="none" w:sz="0" w:space="0" w:color="auto"/>
        <w:left w:val="none" w:sz="0" w:space="0" w:color="auto"/>
        <w:bottom w:val="none" w:sz="0" w:space="0" w:color="auto"/>
        <w:right w:val="none" w:sz="0" w:space="0" w:color="auto"/>
      </w:divBdr>
    </w:div>
    <w:div w:id="1513957281">
      <w:bodyDiv w:val="1"/>
      <w:marLeft w:val="0"/>
      <w:marRight w:val="0"/>
      <w:marTop w:val="0"/>
      <w:marBottom w:val="0"/>
      <w:divBdr>
        <w:top w:val="none" w:sz="0" w:space="0" w:color="auto"/>
        <w:left w:val="none" w:sz="0" w:space="0" w:color="auto"/>
        <w:bottom w:val="none" w:sz="0" w:space="0" w:color="auto"/>
        <w:right w:val="none" w:sz="0" w:space="0" w:color="auto"/>
      </w:divBdr>
    </w:div>
    <w:div w:id="1515143367">
      <w:bodyDiv w:val="1"/>
      <w:marLeft w:val="0"/>
      <w:marRight w:val="0"/>
      <w:marTop w:val="0"/>
      <w:marBottom w:val="0"/>
      <w:divBdr>
        <w:top w:val="none" w:sz="0" w:space="0" w:color="auto"/>
        <w:left w:val="none" w:sz="0" w:space="0" w:color="auto"/>
        <w:bottom w:val="none" w:sz="0" w:space="0" w:color="auto"/>
        <w:right w:val="none" w:sz="0" w:space="0" w:color="auto"/>
      </w:divBdr>
    </w:div>
    <w:div w:id="1515996219">
      <w:bodyDiv w:val="1"/>
      <w:marLeft w:val="0"/>
      <w:marRight w:val="0"/>
      <w:marTop w:val="0"/>
      <w:marBottom w:val="0"/>
      <w:divBdr>
        <w:top w:val="none" w:sz="0" w:space="0" w:color="auto"/>
        <w:left w:val="none" w:sz="0" w:space="0" w:color="auto"/>
        <w:bottom w:val="none" w:sz="0" w:space="0" w:color="auto"/>
        <w:right w:val="none" w:sz="0" w:space="0" w:color="auto"/>
      </w:divBdr>
    </w:div>
    <w:div w:id="1516142560">
      <w:bodyDiv w:val="1"/>
      <w:marLeft w:val="0"/>
      <w:marRight w:val="0"/>
      <w:marTop w:val="0"/>
      <w:marBottom w:val="0"/>
      <w:divBdr>
        <w:top w:val="none" w:sz="0" w:space="0" w:color="auto"/>
        <w:left w:val="none" w:sz="0" w:space="0" w:color="auto"/>
        <w:bottom w:val="none" w:sz="0" w:space="0" w:color="auto"/>
        <w:right w:val="none" w:sz="0" w:space="0" w:color="auto"/>
      </w:divBdr>
    </w:div>
    <w:div w:id="1516336427">
      <w:bodyDiv w:val="1"/>
      <w:marLeft w:val="0"/>
      <w:marRight w:val="0"/>
      <w:marTop w:val="0"/>
      <w:marBottom w:val="0"/>
      <w:divBdr>
        <w:top w:val="none" w:sz="0" w:space="0" w:color="auto"/>
        <w:left w:val="none" w:sz="0" w:space="0" w:color="auto"/>
        <w:bottom w:val="none" w:sz="0" w:space="0" w:color="auto"/>
        <w:right w:val="none" w:sz="0" w:space="0" w:color="auto"/>
      </w:divBdr>
    </w:div>
    <w:div w:id="1516336478">
      <w:bodyDiv w:val="1"/>
      <w:marLeft w:val="0"/>
      <w:marRight w:val="0"/>
      <w:marTop w:val="0"/>
      <w:marBottom w:val="0"/>
      <w:divBdr>
        <w:top w:val="none" w:sz="0" w:space="0" w:color="auto"/>
        <w:left w:val="none" w:sz="0" w:space="0" w:color="auto"/>
        <w:bottom w:val="none" w:sz="0" w:space="0" w:color="auto"/>
        <w:right w:val="none" w:sz="0" w:space="0" w:color="auto"/>
      </w:divBdr>
    </w:div>
    <w:div w:id="1516458179">
      <w:bodyDiv w:val="1"/>
      <w:marLeft w:val="0"/>
      <w:marRight w:val="0"/>
      <w:marTop w:val="0"/>
      <w:marBottom w:val="0"/>
      <w:divBdr>
        <w:top w:val="none" w:sz="0" w:space="0" w:color="auto"/>
        <w:left w:val="none" w:sz="0" w:space="0" w:color="auto"/>
        <w:bottom w:val="none" w:sz="0" w:space="0" w:color="auto"/>
        <w:right w:val="none" w:sz="0" w:space="0" w:color="auto"/>
      </w:divBdr>
    </w:div>
    <w:div w:id="1516648686">
      <w:bodyDiv w:val="1"/>
      <w:marLeft w:val="0"/>
      <w:marRight w:val="0"/>
      <w:marTop w:val="0"/>
      <w:marBottom w:val="0"/>
      <w:divBdr>
        <w:top w:val="none" w:sz="0" w:space="0" w:color="auto"/>
        <w:left w:val="none" w:sz="0" w:space="0" w:color="auto"/>
        <w:bottom w:val="none" w:sz="0" w:space="0" w:color="auto"/>
        <w:right w:val="none" w:sz="0" w:space="0" w:color="auto"/>
      </w:divBdr>
    </w:div>
    <w:div w:id="1516770696">
      <w:bodyDiv w:val="1"/>
      <w:marLeft w:val="0"/>
      <w:marRight w:val="0"/>
      <w:marTop w:val="0"/>
      <w:marBottom w:val="0"/>
      <w:divBdr>
        <w:top w:val="none" w:sz="0" w:space="0" w:color="auto"/>
        <w:left w:val="none" w:sz="0" w:space="0" w:color="auto"/>
        <w:bottom w:val="none" w:sz="0" w:space="0" w:color="auto"/>
        <w:right w:val="none" w:sz="0" w:space="0" w:color="auto"/>
      </w:divBdr>
    </w:div>
    <w:div w:id="1517036156">
      <w:bodyDiv w:val="1"/>
      <w:marLeft w:val="0"/>
      <w:marRight w:val="0"/>
      <w:marTop w:val="0"/>
      <w:marBottom w:val="0"/>
      <w:divBdr>
        <w:top w:val="none" w:sz="0" w:space="0" w:color="auto"/>
        <w:left w:val="none" w:sz="0" w:space="0" w:color="auto"/>
        <w:bottom w:val="none" w:sz="0" w:space="0" w:color="auto"/>
        <w:right w:val="none" w:sz="0" w:space="0" w:color="auto"/>
      </w:divBdr>
    </w:div>
    <w:div w:id="1517190132">
      <w:bodyDiv w:val="1"/>
      <w:marLeft w:val="0"/>
      <w:marRight w:val="0"/>
      <w:marTop w:val="0"/>
      <w:marBottom w:val="0"/>
      <w:divBdr>
        <w:top w:val="none" w:sz="0" w:space="0" w:color="auto"/>
        <w:left w:val="none" w:sz="0" w:space="0" w:color="auto"/>
        <w:bottom w:val="none" w:sz="0" w:space="0" w:color="auto"/>
        <w:right w:val="none" w:sz="0" w:space="0" w:color="auto"/>
      </w:divBdr>
    </w:div>
    <w:div w:id="1517233324">
      <w:bodyDiv w:val="1"/>
      <w:marLeft w:val="0"/>
      <w:marRight w:val="0"/>
      <w:marTop w:val="0"/>
      <w:marBottom w:val="0"/>
      <w:divBdr>
        <w:top w:val="none" w:sz="0" w:space="0" w:color="auto"/>
        <w:left w:val="none" w:sz="0" w:space="0" w:color="auto"/>
        <w:bottom w:val="none" w:sz="0" w:space="0" w:color="auto"/>
        <w:right w:val="none" w:sz="0" w:space="0" w:color="auto"/>
      </w:divBdr>
    </w:div>
    <w:div w:id="1517427487">
      <w:bodyDiv w:val="1"/>
      <w:marLeft w:val="0"/>
      <w:marRight w:val="0"/>
      <w:marTop w:val="0"/>
      <w:marBottom w:val="0"/>
      <w:divBdr>
        <w:top w:val="none" w:sz="0" w:space="0" w:color="auto"/>
        <w:left w:val="none" w:sz="0" w:space="0" w:color="auto"/>
        <w:bottom w:val="none" w:sz="0" w:space="0" w:color="auto"/>
        <w:right w:val="none" w:sz="0" w:space="0" w:color="auto"/>
      </w:divBdr>
    </w:div>
    <w:div w:id="1517570660">
      <w:bodyDiv w:val="1"/>
      <w:marLeft w:val="0"/>
      <w:marRight w:val="0"/>
      <w:marTop w:val="0"/>
      <w:marBottom w:val="0"/>
      <w:divBdr>
        <w:top w:val="none" w:sz="0" w:space="0" w:color="auto"/>
        <w:left w:val="none" w:sz="0" w:space="0" w:color="auto"/>
        <w:bottom w:val="none" w:sz="0" w:space="0" w:color="auto"/>
        <w:right w:val="none" w:sz="0" w:space="0" w:color="auto"/>
      </w:divBdr>
    </w:div>
    <w:div w:id="1517647657">
      <w:bodyDiv w:val="1"/>
      <w:marLeft w:val="0"/>
      <w:marRight w:val="0"/>
      <w:marTop w:val="0"/>
      <w:marBottom w:val="0"/>
      <w:divBdr>
        <w:top w:val="none" w:sz="0" w:space="0" w:color="auto"/>
        <w:left w:val="none" w:sz="0" w:space="0" w:color="auto"/>
        <w:bottom w:val="none" w:sz="0" w:space="0" w:color="auto"/>
        <w:right w:val="none" w:sz="0" w:space="0" w:color="auto"/>
      </w:divBdr>
    </w:div>
    <w:div w:id="1518346413">
      <w:bodyDiv w:val="1"/>
      <w:marLeft w:val="0"/>
      <w:marRight w:val="0"/>
      <w:marTop w:val="0"/>
      <w:marBottom w:val="0"/>
      <w:divBdr>
        <w:top w:val="none" w:sz="0" w:space="0" w:color="auto"/>
        <w:left w:val="none" w:sz="0" w:space="0" w:color="auto"/>
        <w:bottom w:val="none" w:sz="0" w:space="0" w:color="auto"/>
        <w:right w:val="none" w:sz="0" w:space="0" w:color="auto"/>
      </w:divBdr>
    </w:div>
    <w:div w:id="1518537369">
      <w:bodyDiv w:val="1"/>
      <w:marLeft w:val="0"/>
      <w:marRight w:val="0"/>
      <w:marTop w:val="0"/>
      <w:marBottom w:val="0"/>
      <w:divBdr>
        <w:top w:val="none" w:sz="0" w:space="0" w:color="auto"/>
        <w:left w:val="none" w:sz="0" w:space="0" w:color="auto"/>
        <w:bottom w:val="none" w:sz="0" w:space="0" w:color="auto"/>
        <w:right w:val="none" w:sz="0" w:space="0" w:color="auto"/>
      </w:divBdr>
    </w:div>
    <w:div w:id="1518543513">
      <w:bodyDiv w:val="1"/>
      <w:marLeft w:val="0"/>
      <w:marRight w:val="0"/>
      <w:marTop w:val="0"/>
      <w:marBottom w:val="0"/>
      <w:divBdr>
        <w:top w:val="none" w:sz="0" w:space="0" w:color="auto"/>
        <w:left w:val="none" w:sz="0" w:space="0" w:color="auto"/>
        <w:bottom w:val="none" w:sz="0" w:space="0" w:color="auto"/>
        <w:right w:val="none" w:sz="0" w:space="0" w:color="auto"/>
      </w:divBdr>
    </w:div>
    <w:div w:id="1518931648">
      <w:bodyDiv w:val="1"/>
      <w:marLeft w:val="0"/>
      <w:marRight w:val="0"/>
      <w:marTop w:val="0"/>
      <w:marBottom w:val="0"/>
      <w:divBdr>
        <w:top w:val="none" w:sz="0" w:space="0" w:color="auto"/>
        <w:left w:val="none" w:sz="0" w:space="0" w:color="auto"/>
        <w:bottom w:val="none" w:sz="0" w:space="0" w:color="auto"/>
        <w:right w:val="none" w:sz="0" w:space="0" w:color="auto"/>
      </w:divBdr>
    </w:div>
    <w:div w:id="1518958525">
      <w:bodyDiv w:val="1"/>
      <w:marLeft w:val="0"/>
      <w:marRight w:val="0"/>
      <w:marTop w:val="0"/>
      <w:marBottom w:val="0"/>
      <w:divBdr>
        <w:top w:val="none" w:sz="0" w:space="0" w:color="auto"/>
        <w:left w:val="none" w:sz="0" w:space="0" w:color="auto"/>
        <w:bottom w:val="none" w:sz="0" w:space="0" w:color="auto"/>
        <w:right w:val="none" w:sz="0" w:space="0" w:color="auto"/>
      </w:divBdr>
    </w:div>
    <w:div w:id="1519583713">
      <w:bodyDiv w:val="1"/>
      <w:marLeft w:val="0"/>
      <w:marRight w:val="0"/>
      <w:marTop w:val="0"/>
      <w:marBottom w:val="0"/>
      <w:divBdr>
        <w:top w:val="none" w:sz="0" w:space="0" w:color="auto"/>
        <w:left w:val="none" w:sz="0" w:space="0" w:color="auto"/>
        <w:bottom w:val="none" w:sz="0" w:space="0" w:color="auto"/>
        <w:right w:val="none" w:sz="0" w:space="0" w:color="auto"/>
      </w:divBdr>
    </w:div>
    <w:div w:id="1519738971">
      <w:bodyDiv w:val="1"/>
      <w:marLeft w:val="0"/>
      <w:marRight w:val="0"/>
      <w:marTop w:val="0"/>
      <w:marBottom w:val="0"/>
      <w:divBdr>
        <w:top w:val="none" w:sz="0" w:space="0" w:color="auto"/>
        <w:left w:val="none" w:sz="0" w:space="0" w:color="auto"/>
        <w:bottom w:val="none" w:sz="0" w:space="0" w:color="auto"/>
        <w:right w:val="none" w:sz="0" w:space="0" w:color="auto"/>
      </w:divBdr>
    </w:div>
    <w:div w:id="1519929646">
      <w:bodyDiv w:val="1"/>
      <w:marLeft w:val="0"/>
      <w:marRight w:val="0"/>
      <w:marTop w:val="0"/>
      <w:marBottom w:val="0"/>
      <w:divBdr>
        <w:top w:val="none" w:sz="0" w:space="0" w:color="auto"/>
        <w:left w:val="none" w:sz="0" w:space="0" w:color="auto"/>
        <w:bottom w:val="none" w:sz="0" w:space="0" w:color="auto"/>
        <w:right w:val="none" w:sz="0" w:space="0" w:color="auto"/>
      </w:divBdr>
    </w:div>
    <w:div w:id="1520047113">
      <w:bodyDiv w:val="1"/>
      <w:marLeft w:val="0"/>
      <w:marRight w:val="0"/>
      <w:marTop w:val="0"/>
      <w:marBottom w:val="0"/>
      <w:divBdr>
        <w:top w:val="none" w:sz="0" w:space="0" w:color="auto"/>
        <w:left w:val="none" w:sz="0" w:space="0" w:color="auto"/>
        <w:bottom w:val="none" w:sz="0" w:space="0" w:color="auto"/>
        <w:right w:val="none" w:sz="0" w:space="0" w:color="auto"/>
      </w:divBdr>
    </w:div>
    <w:div w:id="1520119226">
      <w:bodyDiv w:val="1"/>
      <w:marLeft w:val="0"/>
      <w:marRight w:val="0"/>
      <w:marTop w:val="0"/>
      <w:marBottom w:val="0"/>
      <w:divBdr>
        <w:top w:val="none" w:sz="0" w:space="0" w:color="auto"/>
        <w:left w:val="none" w:sz="0" w:space="0" w:color="auto"/>
        <w:bottom w:val="none" w:sz="0" w:space="0" w:color="auto"/>
        <w:right w:val="none" w:sz="0" w:space="0" w:color="auto"/>
      </w:divBdr>
    </w:div>
    <w:div w:id="1520240139">
      <w:bodyDiv w:val="1"/>
      <w:marLeft w:val="0"/>
      <w:marRight w:val="0"/>
      <w:marTop w:val="0"/>
      <w:marBottom w:val="0"/>
      <w:divBdr>
        <w:top w:val="none" w:sz="0" w:space="0" w:color="auto"/>
        <w:left w:val="none" w:sz="0" w:space="0" w:color="auto"/>
        <w:bottom w:val="none" w:sz="0" w:space="0" w:color="auto"/>
        <w:right w:val="none" w:sz="0" w:space="0" w:color="auto"/>
      </w:divBdr>
    </w:div>
    <w:div w:id="1520309759">
      <w:bodyDiv w:val="1"/>
      <w:marLeft w:val="0"/>
      <w:marRight w:val="0"/>
      <w:marTop w:val="0"/>
      <w:marBottom w:val="0"/>
      <w:divBdr>
        <w:top w:val="none" w:sz="0" w:space="0" w:color="auto"/>
        <w:left w:val="none" w:sz="0" w:space="0" w:color="auto"/>
        <w:bottom w:val="none" w:sz="0" w:space="0" w:color="auto"/>
        <w:right w:val="none" w:sz="0" w:space="0" w:color="auto"/>
      </w:divBdr>
    </w:div>
    <w:div w:id="1521626506">
      <w:bodyDiv w:val="1"/>
      <w:marLeft w:val="0"/>
      <w:marRight w:val="0"/>
      <w:marTop w:val="0"/>
      <w:marBottom w:val="0"/>
      <w:divBdr>
        <w:top w:val="none" w:sz="0" w:space="0" w:color="auto"/>
        <w:left w:val="none" w:sz="0" w:space="0" w:color="auto"/>
        <w:bottom w:val="none" w:sz="0" w:space="0" w:color="auto"/>
        <w:right w:val="none" w:sz="0" w:space="0" w:color="auto"/>
      </w:divBdr>
    </w:div>
    <w:div w:id="1521702118">
      <w:bodyDiv w:val="1"/>
      <w:marLeft w:val="0"/>
      <w:marRight w:val="0"/>
      <w:marTop w:val="0"/>
      <w:marBottom w:val="0"/>
      <w:divBdr>
        <w:top w:val="none" w:sz="0" w:space="0" w:color="auto"/>
        <w:left w:val="none" w:sz="0" w:space="0" w:color="auto"/>
        <w:bottom w:val="none" w:sz="0" w:space="0" w:color="auto"/>
        <w:right w:val="none" w:sz="0" w:space="0" w:color="auto"/>
      </w:divBdr>
    </w:div>
    <w:div w:id="1521894656">
      <w:bodyDiv w:val="1"/>
      <w:marLeft w:val="0"/>
      <w:marRight w:val="0"/>
      <w:marTop w:val="0"/>
      <w:marBottom w:val="0"/>
      <w:divBdr>
        <w:top w:val="none" w:sz="0" w:space="0" w:color="auto"/>
        <w:left w:val="none" w:sz="0" w:space="0" w:color="auto"/>
        <w:bottom w:val="none" w:sz="0" w:space="0" w:color="auto"/>
        <w:right w:val="none" w:sz="0" w:space="0" w:color="auto"/>
      </w:divBdr>
    </w:div>
    <w:div w:id="1522282859">
      <w:bodyDiv w:val="1"/>
      <w:marLeft w:val="0"/>
      <w:marRight w:val="0"/>
      <w:marTop w:val="0"/>
      <w:marBottom w:val="0"/>
      <w:divBdr>
        <w:top w:val="none" w:sz="0" w:space="0" w:color="auto"/>
        <w:left w:val="none" w:sz="0" w:space="0" w:color="auto"/>
        <w:bottom w:val="none" w:sz="0" w:space="0" w:color="auto"/>
        <w:right w:val="none" w:sz="0" w:space="0" w:color="auto"/>
      </w:divBdr>
    </w:div>
    <w:div w:id="1522668527">
      <w:bodyDiv w:val="1"/>
      <w:marLeft w:val="0"/>
      <w:marRight w:val="0"/>
      <w:marTop w:val="0"/>
      <w:marBottom w:val="0"/>
      <w:divBdr>
        <w:top w:val="none" w:sz="0" w:space="0" w:color="auto"/>
        <w:left w:val="none" w:sz="0" w:space="0" w:color="auto"/>
        <w:bottom w:val="none" w:sz="0" w:space="0" w:color="auto"/>
        <w:right w:val="none" w:sz="0" w:space="0" w:color="auto"/>
      </w:divBdr>
    </w:div>
    <w:div w:id="1522815664">
      <w:bodyDiv w:val="1"/>
      <w:marLeft w:val="0"/>
      <w:marRight w:val="0"/>
      <w:marTop w:val="0"/>
      <w:marBottom w:val="0"/>
      <w:divBdr>
        <w:top w:val="none" w:sz="0" w:space="0" w:color="auto"/>
        <w:left w:val="none" w:sz="0" w:space="0" w:color="auto"/>
        <w:bottom w:val="none" w:sz="0" w:space="0" w:color="auto"/>
        <w:right w:val="none" w:sz="0" w:space="0" w:color="auto"/>
      </w:divBdr>
    </w:div>
    <w:div w:id="1523129219">
      <w:bodyDiv w:val="1"/>
      <w:marLeft w:val="0"/>
      <w:marRight w:val="0"/>
      <w:marTop w:val="0"/>
      <w:marBottom w:val="0"/>
      <w:divBdr>
        <w:top w:val="none" w:sz="0" w:space="0" w:color="auto"/>
        <w:left w:val="none" w:sz="0" w:space="0" w:color="auto"/>
        <w:bottom w:val="none" w:sz="0" w:space="0" w:color="auto"/>
        <w:right w:val="none" w:sz="0" w:space="0" w:color="auto"/>
      </w:divBdr>
    </w:div>
    <w:div w:id="1523326424">
      <w:bodyDiv w:val="1"/>
      <w:marLeft w:val="0"/>
      <w:marRight w:val="0"/>
      <w:marTop w:val="0"/>
      <w:marBottom w:val="0"/>
      <w:divBdr>
        <w:top w:val="none" w:sz="0" w:space="0" w:color="auto"/>
        <w:left w:val="none" w:sz="0" w:space="0" w:color="auto"/>
        <w:bottom w:val="none" w:sz="0" w:space="0" w:color="auto"/>
        <w:right w:val="none" w:sz="0" w:space="0" w:color="auto"/>
      </w:divBdr>
    </w:div>
    <w:div w:id="1523543498">
      <w:bodyDiv w:val="1"/>
      <w:marLeft w:val="0"/>
      <w:marRight w:val="0"/>
      <w:marTop w:val="0"/>
      <w:marBottom w:val="0"/>
      <w:divBdr>
        <w:top w:val="none" w:sz="0" w:space="0" w:color="auto"/>
        <w:left w:val="none" w:sz="0" w:space="0" w:color="auto"/>
        <w:bottom w:val="none" w:sz="0" w:space="0" w:color="auto"/>
        <w:right w:val="none" w:sz="0" w:space="0" w:color="auto"/>
      </w:divBdr>
    </w:div>
    <w:div w:id="1523738593">
      <w:bodyDiv w:val="1"/>
      <w:marLeft w:val="0"/>
      <w:marRight w:val="0"/>
      <w:marTop w:val="0"/>
      <w:marBottom w:val="0"/>
      <w:divBdr>
        <w:top w:val="none" w:sz="0" w:space="0" w:color="auto"/>
        <w:left w:val="none" w:sz="0" w:space="0" w:color="auto"/>
        <w:bottom w:val="none" w:sz="0" w:space="0" w:color="auto"/>
        <w:right w:val="none" w:sz="0" w:space="0" w:color="auto"/>
      </w:divBdr>
    </w:div>
    <w:div w:id="1524591772">
      <w:bodyDiv w:val="1"/>
      <w:marLeft w:val="0"/>
      <w:marRight w:val="0"/>
      <w:marTop w:val="0"/>
      <w:marBottom w:val="0"/>
      <w:divBdr>
        <w:top w:val="none" w:sz="0" w:space="0" w:color="auto"/>
        <w:left w:val="none" w:sz="0" w:space="0" w:color="auto"/>
        <w:bottom w:val="none" w:sz="0" w:space="0" w:color="auto"/>
        <w:right w:val="none" w:sz="0" w:space="0" w:color="auto"/>
      </w:divBdr>
    </w:div>
    <w:div w:id="1524712412">
      <w:bodyDiv w:val="1"/>
      <w:marLeft w:val="0"/>
      <w:marRight w:val="0"/>
      <w:marTop w:val="0"/>
      <w:marBottom w:val="0"/>
      <w:divBdr>
        <w:top w:val="none" w:sz="0" w:space="0" w:color="auto"/>
        <w:left w:val="none" w:sz="0" w:space="0" w:color="auto"/>
        <w:bottom w:val="none" w:sz="0" w:space="0" w:color="auto"/>
        <w:right w:val="none" w:sz="0" w:space="0" w:color="auto"/>
      </w:divBdr>
    </w:div>
    <w:div w:id="1525054036">
      <w:bodyDiv w:val="1"/>
      <w:marLeft w:val="0"/>
      <w:marRight w:val="0"/>
      <w:marTop w:val="0"/>
      <w:marBottom w:val="0"/>
      <w:divBdr>
        <w:top w:val="none" w:sz="0" w:space="0" w:color="auto"/>
        <w:left w:val="none" w:sz="0" w:space="0" w:color="auto"/>
        <w:bottom w:val="none" w:sz="0" w:space="0" w:color="auto"/>
        <w:right w:val="none" w:sz="0" w:space="0" w:color="auto"/>
      </w:divBdr>
    </w:div>
    <w:div w:id="1525364610">
      <w:bodyDiv w:val="1"/>
      <w:marLeft w:val="0"/>
      <w:marRight w:val="0"/>
      <w:marTop w:val="0"/>
      <w:marBottom w:val="0"/>
      <w:divBdr>
        <w:top w:val="none" w:sz="0" w:space="0" w:color="auto"/>
        <w:left w:val="none" w:sz="0" w:space="0" w:color="auto"/>
        <w:bottom w:val="none" w:sz="0" w:space="0" w:color="auto"/>
        <w:right w:val="none" w:sz="0" w:space="0" w:color="auto"/>
      </w:divBdr>
    </w:div>
    <w:div w:id="1525628635">
      <w:bodyDiv w:val="1"/>
      <w:marLeft w:val="0"/>
      <w:marRight w:val="0"/>
      <w:marTop w:val="0"/>
      <w:marBottom w:val="0"/>
      <w:divBdr>
        <w:top w:val="none" w:sz="0" w:space="0" w:color="auto"/>
        <w:left w:val="none" w:sz="0" w:space="0" w:color="auto"/>
        <w:bottom w:val="none" w:sz="0" w:space="0" w:color="auto"/>
        <w:right w:val="none" w:sz="0" w:space="0" w:color="auto"/>
      </w:divBdr>
    </w:div>
    <w:div w:id="1525632324">
      <w:bodyDiv w:val="1"/>
      <w:marLeft w:val="0"/>
      <w:marRight w:val="0"/>
      <w:marTop w:val="0"/>
      <w:marBottom w:val="0"/>
      <w:divBdr>
        <w:top w:val="none" w:sz="0" w:space="0" w:color="auto"/>
        <w:left w:val="none" w:sz="0" w:space="0" w:color="auto"/>
        <w:bottom w:val="none" w:sz="0" w:space="0" w:color="auto"/>
        <w:right w:val="none" w:sz="0" w:space="0" w:color="auto"/>
      </w:divBdr>
    </w:div>
    <w:div w:id="1526096222">
      <w:bodyDiv w:val="1"/>
      <w:marLeft w:val="0"/>
      <w:marRight w:val="0"/>
      <w:marTop w:val="0"/>
      <w:marBottom w:val="0"/>
      <w:divBdr>
        <w:top w:val="none" w:sz="0" w:space="0" w:color="auto"/>
        <w:left w:val="none" w:sz="0" w:space="0" w:color="auto"/>
        <w:bottom w:val="none" w:sz="0" w:space="0" w:color="auto"/>
        <w:right w:val="none" w:sz="0" w:space="0" w:color="auto"/>
      </w:divBdr>
    </w:div>
    <w:div w:id="1526096228">
      <w:bodyDiv w:val="1"/>
      <w:marLeft w:val="0"/>
      <w:marRight w:val="0"/>
      <w:marTop w:val="0"/>
      <w:marBottom w:val="0"/>
      <w:divBdr>
        <w:top w:val="none" w:sz="0" w:space="0" w:color="auto"/>
        <w:left w:val="none" w:sz="0" w:space="0" w:color="auto"/>
        <w:bottom w:val="none" w:sz="0" w:space="0" w:color="auto"/>
        <w:right w:val="none" w:sz="0" w:space="0" w:color="auto"/>
      </w:divBdr>
    </w:div>
    <w:div w:id="1526366169">
      <w:bodyDiv w:val="1"/>
      <w:marLeft w:val="0"/>
      <w:marRight w:val="0"/>
      <w:marTop w:val="0"/>
      <w:marBottom w:val="0"/>
      <w:divBdr>
        <w:top w:val="none" w:sz="0" w:space="0" w:color="auto"/>
        <w:left w:val="none" w:sz="0" w:space="0" w:color="auto"/>
        <w:bottom w:val="none" w:sz="0" w:space="0" w:color="auto"/>
        <w:right w:val="none" w:sz="0" w:space="0" w:color="auto"/>
      </w:divBdr>
    </w:div>
    <w:div w:id="1526670874">
      <w:bodyDiv w:val="1"/>
      <w:marLeft w:val="0"/>
      <w:marRight w:val="0"/>
      <w:marTop w:val="0"/>
      <w:marBottom w:val="0"/>
      <w:divBdr>
        <w:top w:val="none" w:sz="0" w:space="0" w:color="auto"/>
        <w:left w:val="none" w:sz="0" w:space="0" w:color="auto"/>
        <w:bottom w:val="none" w:sz="0" w:space="0" w:color="auto"/>
        <w:right w:val="none" w:sz="0" w:space="0" w:color="auto"/>
      </w:divBdr>
    </w:div>
    <w:div w:id="1526747987">
      <w:bodyDiv w:val="1"/>
      <w:marLeft w:val="0"/>
      <w:marRight w:val="0"/>
      <w:marTop w:val="0"/>
      <w:marBottom w:val="0"/>
      <w:divBdr>
        <w:top w:val="none" w:sz="0" w:space="0" w:color="auto"/>
        <w:left w:val="none" w:sz="0" w:space="0" w:color="auto"/>
        <w:bottom w:val="none" w:sz="0" w:space="0" w:color="auto"/>
        <w:right w:val="none" w:sz="0" w:space="0" w:color="auto"/>
      </w:divBdr>
    </w:div>
    <w:div w:id="1527020499">
      <w:bodyDiv w:val="1"/>
      <w:marLeft w:val="0"/>
      <w:marRight w:val="0"/>
      <w:marTop w:val="0"/>
      <w:marBottom w:val="0"/>
      <w:divBdr>
        <w:top w:val="none" w:sz="0" w:space="0" w:color="auto"/>
        <w:left w:val="none" w:sz="0" w:space="0" w:color="auto"/>
        <w:bottom w:val="none" w:sz="0" w:space="0" w:color="auto"/>
        <w:right w:val="none" w:sz="0" w:space="0" w:color="auto"/>
      </w:divBdr>
    </w:div>
    <w:div w:id="1527406097">
      <w:bodyDiv w:val="1"/>
      <w:marLeft w:val="0"/>
      <w:marRight w:val="0"/>
      <w:marTop w:val="0"/>
      <w:marBottom w:val="0"/>
      <w:divBdr>
        <w:top w:val="none" w:sz="0" w:space="0" w:color="auto"/>
        <w:left w:val="none" w:sz="0" w:space="0" w:color="auto"/>
        <w:bottom w:val="none" w:sz="0" w:space="0" w:color="auto"/>
        <w:right w:val="none" w:sz="0" w:space="0" w:color="auto"/>
      </w:divBdr>
    </w:div>
    <w:div w:id="1527478807">
      <w:bodyDiv w:val="1"/>
      <w:marLeft w:val="0"/>
      <w:marRight w:val="0"/>
      <w:marTop w:val="0"/>
      <w:marBottom w:val="0"/>
      <w:divBdr>
        <w:top w:val="none" w:sz="0" w:space="0" w:color="auto"/>
        <w:left w:val="none" w:sz="0" w:space="0" w:color="auto"/>
        <w:bottom w:val="none" w:sz="0" w:space="0" w:color="auto"/>
        <w:right w:val="none" w:sz="0" w:space="0" w:color="auto"/>
      </w:divBdr>
    </w:div>
    <w:div w:id="1527718979">
      <w:bodyDiv w:val="1"/>
      <w:marLeft w:val="0"/>
      <w:marRight w:val="0"/>
      <w:marTop w:val="0"/>
      <w:marBottom w:val="0"/>
      <w:divBdr>
        <w:top w:val="none" w:sz="0" w:space="0" w:color="auto"/>
        <w:left w:val="none" w:sz="0" w:space="0" w:color="auto"/>
        <w:bottom w:val="none" w:sz="0" w:space="0" w:color="auto"/>
        <w:right w:val="none" w:sz="0" w:space="0" w:color="auto"/>
      </w:divBdr>
    </w:div>
    <w:div w:id="1527788362">
      <w:bodyDiv w:val="1"/>
      <w:marLeft w:val="0"/>
      <w:marRight w:val="0"/>
      <w:marTop w:val="0"/>
      <w:marBottom w:val="0"/>
      <w:divBdr>
        <w:top w:val="none" w:sz="0" w:space="0" w:color="auto"/>
        <w:left w:val="none" w:sz="0" w:space="0" w:color="auto"/>
        <w:bottom w:val="none" w:sz="0" w:space="0" w:color="auto"/>
        <w:right w:val="none" w:sz="0" w:space="0" w:color="auto"/>
      </w:divBdr>
    </w:div>
    <w:div w:id="1527906418">
      <w:bodyDiv w:val="1"/>
      <w:marLeft w:val="0"/>
      <w:marRight w:val="0"/>
      <w:marTop w:val="0"/>
      <w:marBottom w:val="0"/>
      <w:divBdr>
        <w:top w:val="none" w:sz="0" w:space="0" w:color="auto"/>
        <w:left w:val="none" w:sz="0" w:space="0" w:color="auto"/>
        <w:bottom w:val="none" w:sz="0" w:space="0" w:color="auto"/>
        <w:right w:val="none" w:sz="0" w:space="0" w:color="auto"/>
      </w:divBdr>
    </w:div>
    <w:div w:id="1528057311">
      <w:bodyDiv w:val="1"/>
      <w:marLeft w:val="0"/>
      <w:marRight w:val="0"/>
      <w:marTop w:val="0"/>
      <w:marBottom w:val="0"/>
      <w:divBdr>
        <w:top w:val="none" w:sz="0" w:space="0" w:color="auto"/>
        <w:left w:val="none" w:sz="0" w:space="0" w:color="auto"/>
        <w:bottom w:val="none" w:sz="0" w:space="0" w:color="auto"/>
        <w:right w:val="none" w:sz="0" w:space="0" w:color="auto"/>
      </w:divBdr>
    </w:div>
    <w:div w:id="1528566043">
      <w:bodyDiv w:val="1"/>
      <w:marLeft w:val="0"/>
      <w:marRight w:val="0"/>
      <w:marTop w:val="0"/>
      <w:marBottom w:val="0"/>
      <w:divBdr>
        <w:top w:val="none" w:sz="0" w:space="0" w:color="auto"/>
        <w:left w:val="none" w:sz="0" w:space="0" w:color="auto"/>
        <w:bottom w:val="none" w:sz="0" w:space="0" w:color="auto"/>
        <w:right w:val="none" w:sz="0" w:space="0" w:color="auto"/>
      </w:divBdr>
    </w:div>
    <w:div w:id="1529564073">
      <w:bodyDiv w:val="1"/>
      <w:marLeft w:val="0"/>
      <w:marRight w:val="0"/>
      <w:marTop w:val="0"/>
      <w:marBottom w:val="0"/>
      <w:divBdr>
        <w:top w:val="none" w:sz="0" w:space="0" w:color="auto"/>
        <w:left w:val="none" w:sz="0" w:space="0" w:color="auto"/>
        <w:bottom w:val="none" w:sz="0" w:space="0" w:color="auto"/>
        <w:right w:val="none" w:sz="0" w:space="0" w:color="auto"/>
      </w:divBdr>
    </w:div>
    <w:div w:id="1529952767">
      <w:bodyDiv w:val="1"/>
      <w:marLeft w:val="0"/>
      <w:marRight w:val="0"/>
      <w:marTop w:val="0"/>
      <w:marBottom w:val="0"/>
      <w:divBdr>
        <w:top w:val="none" w:sz="0" w:space="0" w:color="auto"/>
        <w:left w:val="none" w:sz="0" w:space="0" w:color="auto"/>
        <w:bottom w:val="none" w:sz="0" w:space="0" w:color="auto"/>
        <w:right w:val="none" w:sz="0" w:space="0" w:color="auto"/>
      </w:divBdr>
    </w:div>
    <w:div w:id="1530072170">
      <w:bodyDiv w:val="1"/>
      <w:marLeft w:val="0"/>
      <w:marRight w:val="0"/>
      <w:marTop w:val="0"/>
      <w:marBottom w:val="0"/>
      <w:divBdr>
        <w:top w:val="none" w:sz="0" w:space="0" w:color="auto"/>
        <w:left w:val="none" w:sz="0" w:space="0" w:color="auto"/>
        <w:bottom w:val="none" w:sz="0" w:space="0" w:color="auto"/>
        <w:right w:val="none" w:sz="0" w:space="0" w:color="auto"/>
      </w:divBdr>
    </w:div>
    <w:div w:id="1530096632">
      <w:bodyDiv w:val="1"/>
      <w:marLeft w:val="0"/>
      <w:marRight w:val="0"/>
      <w:marTop w:val="0"/>
      <w:marBottom w:val="0"/>
      <w:divBdr>
        <w:top w:val="none" w:sz="0" w:space="0" w:color="auto"/>
        <w:left w:val="none" w:sz="0" w:space="0" w:color="auto"/>
        <w:bottom w:val="none" w:sz="0" w:space="0" w:color="auto"/>
        <w:right w:val="none" w:sz="0" w:space="0" w:color="auto"/>
      </w:divBdr>
    </w:div>
    <w:div w:id="1530294814">
      <w:bodyDiv w:val="1"/>
      <w:marLeft w:val="0"/>
      <w:marRight w:val="0"/>
      <w:marTop w:val="0"/>
      <w:marBottom w:val="0"/>
      <w:divBdr>
        <w:top w:val="none" w:sz="0" w:space="0" w:color="auto"/>
        <w:left w:val="none" w:sz="0" w:space="0" w:color="auto"/>
        <w:bottom w:val="none" w:sz="0" w:space="0" w:color="auto"/>
        <w:right w:val="none" w:sz="0" w:space="0" w:color="auto"/>
      </w:divBdr>
    </w:div>
    <w:div w:id="1530332729">
      <w:bodyDiv w:val="1"/>
      <w:marLeft w:val="0"/>
      <w:marRight w:val="0"/>
      <w:marTop w:val="0"/>
      <w:marBottom w:val="0"/>
      <w:divBdr>
        <w:top w:val="none" w:sz="0" w:space="0" w:color="auto"/>
        <w:left w:val="none" w:sz="0" w:space="0" w:color="auto"/>
        <w:bottom w:val="none" w:sz="0" w:space="0" w:color="auto"/>
        <w:right w:val="none" w:sz="0" w:space="0" w:color="auto"/>
      </w:divBdr>
    </w:div>
    <w:div w:id="1530491126">
      <w:bodyDiv w:val="1"/>
      <w:marLeft w:val="0"/>
      <w:marRight w:val="0"/>
      <w:marTop w:val="0"/>
      <w:marBottom w:val="0"/>
      <w:divBdr>
        <w:top w:val="none" w:sz="0" w:space="0" w:color="auto"/>
        <w:left w:val="none" w:sz="0" w:space="0" w:color="auto"/>
        <w:bottom w:val="none" w:sz="0" w:space="0" w:color="auto"/>
        <w:right w:val="none" w:sz="0" w:space="0" w:color="auto"/>
      </w:divBdr>
    </w:div>
    <w:div w:id="1530796900">
      <w:bodyDiv w:val="1"/>
      <w:marLeft w:val="0"/>
      <w:marRight w:val="0"/>
      <w:marTop w:val="0"/>
      <w:marBottom w:val="0"/>
      <w:divBdr>
        <w:top w:val="none" w:sz="0" w:space="0" w:color="auto"/>
        <w:left w:val="none" w:sz="0" w:space="0" w:color="auto"/>
        <w:bottom w:val="none" w:sz="0" w:space="0" w:color="auto"/>
        <w:right w:val="none" w:sz="0" w:space="0" w:color="auto"/>
      </w:divBdr>
    </w:div>
    <w:div w:id="1531408381">
      <w:bodyDiv w:val="1"/>
      <w:marLeft w:val="0"/>
      <w:marRight w:val="0"/>
      <w:marTop w:val="0"/>
      <w:marBottom w:val="0"/>
      <w:divBdr>
        <w:top w:val="none" w:sz="0" w:space="0" w:color="auto"/>
        <w:left w:val="none" w:sz="0" w:space="0" w:color="auto"/>
        <w:bottom w:val="none" w:sz="0" w:space="0" w:color="auto"/>
        <w:right w:val="none" w:sz="0" w:space="0" w:color="auto"/>
      </w:divBdr>
    </w:div>
    <w:div w:id="1531842383">
      <w:bodyDiv w:val="1"/>
      <w:marLeft w:val="0"/>
      <w:marRight w:val="0"/>
      <w:marTop w:val="0"/>
      <w:marBottom w:val="0"/>
      <w:divBdr>
        <w:top w:val="none" w:sz="0" w:space="0" w:color="auto"/>
        <w:left w:val="none" w:sz="0" w:space="0" w:color="auto"/>
        <w:bottom w:val="none" w:sz="0" w:space="0" w:color="auto"/>
        <w:right w:val="none" w:sz="0" w:space="0" w:color="auto"/>
      </w:divBdr>
    </w:div>
    <w:div w:id="1531993462">
      <w:bodyDiv w:val="1"/>
      <w:marLeft w:val="0"/>
      <w:marRight w:val="0"/>
      <w:marTop w:val="0"/>
      <w:marBottom w:val="0"/>
      <w:divBdr>
        <w:top w:val="none" w:sz="0" w:space="0" w:color="auto"/>
        <w:left w:val="none" w:sz="0" w:space="0" w:color="auto"/>
        <w:bottom w:val="none" w:sz="0" w:space="0" w:color="auto"/>
        <w:right w:val="none" w:sz="0" w:space="0" w:color="auto"/>
      </w:divBdr>
    </w:div>
    <w:div w:id="1532375477">
      <w:bodyDiv w:val="1"/>
      <w:marLeft w:val="0"/>
      <w:marRight w:val="0"/>
      <w:marTop w:val="0"/>
      <w:marBottom w:val="0"/>
      <w:divBdr>
        <w:top w:val="none" w:sz="0" w:space="0" w:color="auto"/>
        <w:left w:val="none" w:sz="0" w:space="0" w:color="auto"/>
        <w:bottom w:val="none" w:sz="0" w:space="0" w:color="auto"/>
        <w:right w:val="none" w:sz="0" w:space="0" w:color="auto"/>
      </w:divBdr>
    </w:div>
    <w:div w:id="1532571385">
      <w:bodyDiv w:val="1"/>
      <w:marLeft w:val="0"/>
      <w:marRight w:val="0"/>
      <w:marTop w:val="0"/>
      <w:marBottom w:val="0"/>
      <w:divBdr>
        <w:top w:val="none" w:sz="0" w:space="0" w:color="auto"/>
        <w:left w:val="none" w:sz="0" w:space="0" w:color="auto"/>
        <w:bottom w:val="none" w:sz="0" w:space="0" w:color="auto"/>
        <w:right w:val="none" w:sz="0" w:space="0" w:color="auto"/>
      </w:divBdr>
    </w:div>
    <w:div w:id="1532913462">
      <w:bodyDiv w:val="1"/>
      <w:marLeft w:val="0"/>
      <w:marRight w:val="0"/>
      <w:marTop w:val="0"/>
      <w:marBottom w:val="0"/>
      <w:divBdr>
        <w:top w:val="none" w:sz="0" w:space="0" w:color="auto"/>
        <w:left w:val="none" w:sz="0" w:space="0" w:color="auto"/>
        <w:bottom w:val="none" w:sz="0" w:space="0" w:color="auto"/>
        <w:right w:val="none" w:sz="0" w:space="0" w:color="auto"/>
      </w:divBdr>
    </w:div>
    <w:div w:id="1532919788">
      <w:bodyDiv w:val="1"/>
      <w:marLeft w:val="0"/>
      <w:marRight w:val="0"/>
      <w:marTop w:val="0"/>
      <w:marBottom w:val="0"/>
      <w:divBdr>
        <w:top w:val="none" w:sz="0" w:space="0" w:color="auto"/>
        <w:left w:val="none" w:sz="0" w:space="0" w:color="auto"/>
        <w:bottom w:val="none" w:sz="0" w:space="0" w:color="auto"/>
        <w:right w:val="none" w:sz="0" w:space="0" w:color="auto"/>
      </w:divBdr>
    </w:div>
    <w:div w:id="1533034757">
      <w:bodyDiv w:val="1"/>
      <w:marLeft w:val="0"/>
      <w:marRight w:val="0"/>
      <w:marTop w:val="0"/>
      <w:marBottom w:val="0"/>
      <w:divBdr>
        <w:top w:val="none" w:sz="0" w:space="0" w:color="auto"/>
        <w:left w:val="none" w:sz="0" w:space="0" w:color="auto"/>
        <w:bottom w:val="none" w:sz="0" w:space="0" w:color="auto"/>
        <w:right w:val="none" w:sz="0" w:space="0" w:color="auto"/>
      </w:divBdr>
    </w:div>
    <w:div w:id="1533105840">
      <w:bodyDiv w:val="1"/>
      <w:marLeft w:val="0"/>
      <w:marRight w:val="0"/>
      <w:marTop w:val="0"/>
      <w:marBottom w:val="0"/>
      <w:divBdr>
        <w:top w:val="none" w:sz="0" w:space="0" w:color="auto"/>
        <w:left w:val="none" w:sz="0" w:space="0" w:color="auto"/>
        <w:bottom w:val="none" w:sz="0" w:space="0" w:color="auto"/>
        <w:right w:val="none" w:sz="0" w:space="0" w:color="auto"/>
      </w:divBdr>
    </w:div>
    <w:div w:id="1533223308">
      <w:bodyDiv w:val="1"/>
      <w:marLeft w:val="0"/>
      <w:marRight w:val="0"/>
      <w:marTop w:val="0"/>
      <w:marBottom w:val="0"/>
      <w:divBdr>
        <w:top w:val="none" w:sz="0" w:space="0" w:color="auto"/>
        <w:left w:val="none" w:sz="0" w:space="0" w:color="auto"/>
        <w:bottom w:val="none" w:sz="0" w:space="0" w:color="auto"/>
        <w:right w:val="none" w:sz="0" w:space="0" w:color="auto"/>
      </w:divBdr>
    </w:div>
    <w:div w:id="1533301471">
      <w:bodyDiv w:val="1"/>
      <w:marLeft w:val="0"/>
      <w:marRight w:val="0"/>
      <w:marTop w:val="0"/>
      <w:marBottom w:val="0"/>
      <w:divBdr>
        <w:top w:val="none" w:sz="0" w:space="0" w:color="auto"/>
        <w:left w:val="none" w:sz="0" w:space="0" w:color="auto"/>
        <w:bottom w:val="none" w:sz="0" w:space="0" w:color="auto"/>
        <w:right w:val="none" w:sz="0" w:space="0" w:color="auto"/>
      </w:divBdr>
    </w:div>
    <w:div w:id="1533346188">
      <w:bodyDiv w:val="1"/>
      <w:marLeft w:val="0"/>
      <w:marRight w:val="0"/>
      <w:marTop w:val="0"/>
      <w:marBottom w:val="0"/>
      <w:divBdr>
        <w:top w:val="none" w:sz="0" w:space="0" w:color="auto"/>
        <w:left w:val="none" w:sz="0" w:space="0" w:color="auto"/>
        <w:bottom w:val="none" w:sz="0" w:space="0" w:color="auto"/>
        <w:right w:val="none" w:sz="0" w:space="0" w:color="auto"/>
      </w:divBdr>
    </w:div>
    <w:div w:id="1533377181">
      <w:bodyDiv w:val="1"/>
      <w:marLeft w:val="0"/>
      <w:marRight w:val="0"/>
      <w:marTop w:val="0"/>
      <w:marBottom w:val="0"/>
      <w:divBdr>
        <w:top w:val="none" w:sz="0" w:space="0" w:color="auto"/>
        <w:left w:val="none" w:sz="0" w:space="0" w:color="auto"/>
        <w:bottom w:val="none" w:sz="0" w:space="0" w:color="auto"/>
        <w:right w:val="none" w:sz="0" w:space="0" w:color="auto"/>
      </w:divBdr>
    </w:div>
    <w:div w:id="1533421926">
      <w:bodyDiv w:val="1"/>
      <w:marLeft w:val="0"/>
      <w:marRight w:val="0"/>
      <w:marTop w:val="0"/>
      <w:marBottom w:val="0"/>
      <w:divBdr>
        <w:top w:val="none" w:sz="0" w:space="0" w:color="auto"/>
        <w:left w:val="none" w:sz="0" w:space="0" w:color="auto"/>
        <w:bottom w:val="none" w:sz="0" w:space="0" w:color="auto"/>
        <w:right w:val="none" w:sz="0" w:space="0" w:color="auto"/>
      </w:divBdr>
    </w:div>
    <w:div w:id="1533568570">
      <w:bodyDiv w:val="1"/>
      <w:marLeft w:val="0"/>
      <w:marRight w:val="0"/>
      <w:marTop w:val="0"/>
      <w:marBottom w:val="0"/>
      <w:divBdr>
        <w:top w:val="none" w:sz="0" w:space="0" w:color="auto"/>
        <w:left w:val="none" w:sz="0" w:space="0" w:color="auto"/>
        <w:bottom w:val="none" w:sz="0" w:space="0" w:color="auto"/>
        <w:right w:val="none" w:sz="0" w:space="0" w:color="auto"/>
      </w:divBdr>
    </w:div>
    <w:div w:id="1534264766">
      <w:bodyDiv w:val="1"/>
      <w:marLeft w:val="0"/>
      <w:marRight w:val="0"/>
      <w:marTop w:val="0"/>
      <w:marBottom w:val="0"/>
      <w:divBdr>
        <w:top w:val="none" w:sz="0" w:space="0" w:color="auto"/>
        <w:left w:val="none" w:sz="0" w:space="0" w:color="auto"/>
        <w:bottom w:val="none" w:sz="0" w:space="0" w:color="auto"/>
        <w:right w:val="none" w:sz="0" w:space="0" w:color="auto"/>
      </w:divBdr>
    </w:div>
    <w:div w:id="1534419096">
      <w:bodyDiv w:val="1"/>
      <w:marLeft w:val="0"/>
      <w:marRight w:val="0"/>
      <w:marTop w:val="0"/>
      <w:marBottom w:val="0"/>
      <w:divBdr>
        <w:top w:val="none" w:sz="0" w:space="0" w:color="auto"/>
        <w:left w:val="none" w:sz="0" w:space="0" w:color="auto"/>
        <w:bottom w:val="none" w:sz="0" w:space="0" w:color="auto"/>
        <w:right w:val="none" w:sz="0" w:space="0" w:color="auto"/>
      </w:divBdr>
    </w:div>
    <w:div w:id="1534728038">
      <w:bodyDiv w:val="1"/>
      <w:marLeft w:val="0"/>
      <w:marRight w:val="0"/>
      <w:marTop w:val="0"/>
      <w:marBottom w:val="0"/>
      <w:divBdr>
        <w:top w:val="none" w:sz="0" w:space="0" w:color="auto"/>
        <w:left w:val="none" w:sz="0" w:space="0" w:color="auto"/>
        <w:bottom w:val="none" w:sz="0" w:space="0" w:color="auto"/>
        <w:right w:val="none" w:sz="0" w:space="0" w:color="auto"/>
      </w:divBdr>
    </w:div>
    <w:div w:id="1535071604">
      <w:bodyDiv w:val="1"/>
      <w:marLeft w:val="0"/>
      <w:marRight w:val="0"/>
      <w:marTop w:val="0"/>
      <w:marBottom w:val="0"/>
      <w:divBdr>
        <w:top w:val="none" w:sz="0" w:space="0" w:color="auto"/>
        <w:left w:val="none" w:sz="0" w:space="0" w:color="auto"/>
        <w:bottom w:val="none" w:sz="0" w:space="0" w:color="auto"/>
        <w:right w:val="none" w:sz="0" w:space="0" w:color="auto"/>
      </w:divBdr>
    </w:div>
    <w:div w:id="1535343456">
      <w:bodyDiv w:val="1"/>
      <w:marLeft w:val="0"/>
      <w:marRight w:val="0"/>
      <w:marTop w:val="0"/>
      <w:marBottom w:val="0"/>
      <w:divBdr>
        <w:top w:val="none" w:sz="0" w:space="0" w:color="auto"/>
        <w:left w:val="none" w:sz="0" w:space="0" w:color="auto"/>
        <w:bottom w:val="none" w:sz="0" w:space="0" w:color="auto"/>
        <w:right w:val="none" w:sz="0" w:space="0" w:color="auto"/>
      </w:divBdr>
    </w:div>
    <w:div w:id="1535725164">
      <w:bodyDiv w:val="1"/>
      <w:marLeft w:val="0"/>
      <w:marRight w:val="0"/>
      <w:marTop w:val="0"/>
      <w:marBottom w:val="0"/>
      <w:divBdr>
        <w:top w:val="none" w:sz="0" w:space="0" w:color="auto"/>
        <w:left w:val="none" w:sz="0" w:space="0" w:color="auto"/>
        <w:bottom w:val="none" w:sz="0" w:space="0" w:color="auto"/>
        <w:right w:val="none" w:sz="0" w:space="0" w:color="auto"/>
      </w:divBdr>
    </w:div>
    <w:div w:id="1535776422">
      <w:bodyDiv w:val="1"/>
      <w:marLeft w:val="0"/>
      <w:marRight w:val="0"/>
      <w:marTop w:val="0"/>
      <w:marBottom w:val="0"/>
      <w:divBdr>
        <w:top w:val="none" w:sz="0" w:space="0" w:color="auto"/>
        <w:left w:val="none" w:sz="0" w:space="0" w:color="auto"/>
        <w:bottom w:val="none" w:sz="0" w:space="0" w:color="auto"/>
        <w:right w:val="none" w:sz="0" w:space="0" w:color="auto"/>
      </w:divBdr>
    </w:div>
    <w:div w:id="1535994929">
      <w:bodyDiv w:val="1"/>
      <w:marLeft w:val="0"/>
      <w:marRight w:val="0"/>
      <w:marTop w:val="0"/>
      <w:marBottom w:val="0"/>
      <w:divBdr>
        <w:top w:val="none" w:sz="0" w:space="0" w:color="auto"/>
        <w:left w:val="none" w:sz="0" w:space="0" w:color="auto"/>
        <w:bottom w:val="none" w:sz="0" w:space="0" w:color="auto"/>
        <w:right w:val="none" w:sz="0" w:space="0" w:color="auto"/>
      </w:divBdr>
    </w:div>
    <w:div w:id="1536574768">
      <w:bodyDiv w:val="1"/>
      <w:marLeft w:val="0"/>
      <w:marRight w:val="0"/>
      <w:marTop w:val="0"/>
      <w:marBottom w:val="0"/>
      <w:divBdr>
        <w:top w:val="none" w:sz="0" w:space="0" w:color="auto"/>
        <w:left w:val="none" w:sz="0" w:space="0" w:color="auto"/>
        <w:bottom w:val="none" w:sz="0" w:space="0" w:color="auto"/>
        <w:right w:val="none" w:sz="0" w:space="0" w:color="auto"/>
      </w:divBdr>
    </w:div>
    <w:div w:id="1536651371">
      <w:bodyDiv w:val="1"/>
      <w:marLeft w:val="0"/>
      <w:marRight w:val="0"/>
      <w:marTop w:val="0"/>
      <w:marBottom w:val="0"/>
      <w:divBdr>
        <w:top w:val="none" w:sz="0" w:space="0" w:color="auto"/>
        <w:left w:val="none" w:sz="0" w:space="0" w:color="auto"/>
        <w:bottom w:val="none" w:sz="0" w:space="0" w:color="auto"/>
        <w:right w:val="none" w:sz="0" w:space="0" w:color="auto"/>
      </w:divBdr>
    </w:div>
    <w:div w:id="1538085429">
      <w:bodyDiv w:val="1"/>
      <w:marLeft w:val="0"/>
      <w:marRight w:val="0"/>
      <w:marTop w:val="0"/>
      <w:marBottom w:val="0"/>
      <w:divBdr>
        <w:top w:val="none" w:sz="0" w:space="0" w:color="auto"/>
        <w:left w:val="none" w:sz="0" w:space="0" w:color="auto"/>
        <w:bottom w:val="none" w:sz="0" w:space="0" w:color="auto"/>
        <w:right w:val="none" w:sz="0" w:space="0" w:color="auto"/>
      </w:divBdr>
    </w:div>
    <w:div w:id="1538466356">
      <w:bodyDiv w:val="1"/>
      <w:marLeft w:val="0"/>
      <w:marRight w:val="0"/>
      <w:marTop w:val="0"/>
      <w:marBottom w:val="0"/>
      <w:divBdr>
        <w:top w:val="none" w:sz="0" w:space="0" w:color="auto"/>
        <w:left w:val="none" w:sz="0" w:space="0" w:color="auto"/>
        <w:bottom w:val="none" w:sz="0" w:space="0" w:color="auto"/>
        <w:right w:val="none" w:sz="0" w:space="0" w:color="auto"/>
      </w:divBdr>
    </w:div>
    <w:div w:id="1539047641">
      <w:bodyDiv w:val="1"/>
      <w:marLeft w:val="0"/>
      <w:marRight w:val="0"/>
      <w:marTop w:val="0"/>
      <w:marBottom w:val="0"/>
      <w:divBdr>
        <w:top w:val="none" w:sz="0" w:space="0" w:color="auto"/>
        <w:left w:val="none" w:sz="0" w:space="0" w:color="auto"/>
        <w:bottom w:val="none" w:sz="0" w:space="0" w:color="auto"/>
        <w:right w:val="none" w:sz="0" w:space="0" w:color="auto"/>
      </w:divBdr>
    </w:div>
    <w:div w:id="1539589986">
      <w:bodyDiv w:val="1"/>
      <w:marLeft w:val="0"/>
      <w:marRight w:val="0"/>
      <w:marTop w:val="0"/>
      <w:marBottom w:val="0"/>
      <w:divBdr>
        <w:top w:val="none" w:sz="0" w:space="0" w:color="auto"/>
        <w:left w:val="none" w:sz="0" w:space="0" w:color="auto"/>
        <w:bottom w:val="none" w:sz="0" w:space="0" w:color="auto"/>
        <w:right w:val="none" w:sz="0" w:space="0" w:color="auto"/>
      </w:divBdr>
    </w:div>
    <w:div w:id="1540128262">
      <w:bodyDiv w:val="1"/>
      <w:marLeft w:val="0"/>
      <w:marRight w:val="0"/>
      <w:marTop w:val="0"/>
      <w:marBottom w:val="0"/>
      <w:divBdr>
        <w:top w:val="none" w:sz="0" w:space="0" w:color="auto"/>
        <w:left w:val="none" w:sz="0" w:space="0" w:color="auto"/>
        <w:bottom w:val="none" w:sz="0" w:space="0" w:color="auto"/>
        <w:right w:val="none" w:sz="0" w:space="0" w:color="auto"/>
      </w:divBdr>
    </w:div>
    <w:div w:id="1540895880">
      <w:bodyDiv w:val="1"/>
      <w:marLeft w:val="0"/>
      <w:marRight w:val="0"/>
      <w:marTop w:val="0"/>
      <w:marBottom w:val="0"/>
      <w:divBdr>
        <w:top w:val="none" w:sz="0" w:space="0" w:color="auto"/>
        <w:left w:val="none" w:sz="0" w:space="0" w:color="auto"/>
        <w:bottom w:val="none" w:sz="0" w:space="0" w:color="auto"/>
        <w:right w:val="none" w:sz="0" w:space="0" w:color="auto"/>
      </w:divBdr>
    </w:div>
    <w:div w:id="1541362972">
      <w:bodyDiv w:val="1"/>
      <w:marLeft w:val="0"/>
      <w:marRight w:val="0"/>
      <w:marTop w:val="0"/>
      <w:marBottom w:val="0"/>
      <w:divBdr>
        <w:top w:val="none" w:sz="0" w:space="0" w:color="auto"/>
        <w:left w:val="none" w:sz="0" w:space="0" w:color="auto"/>
        <w:bottom w:val="none" w:sz="0" w:space="0" w:color="auto"/>
        <w:right w:val="none" w:sz="0" w:space="0" w:color="auto"/>
      </w:divBdr>
    </w:div>
    <w:div w:id="1541479096">
      <w:bodyDiv w:val="1"/>
      <w:marLeft w:val="0"/>
      <w:marRight w:val="0"/>
      <w:marTop w:val="0"/>
      <w:marBottom w:val="0"/>
      <w:divBdr>
        <w:top w:val="none" w:sz="0" w:space="0" w:color="auto"/>
        <w:left w:val="none" w:sz="0" w:space="0" w:color="auto"/>
        <w:bottom w:val="none" w:sz="0" w:space="0" w:color="auto"/>
        <w:right w:val="none" w:sz="0" w:space="0" w:color="auto"/>
      </w:divBdr>
    </w:div>
    <w:div w:id="1541554166">
      <w:bodyDiv w:val="1"/>
      <w:marLeft w:val="0"/>
      <w:marRight w:val="0"/>
      <w:marTop w:val="0"/>
      <w:marBottom w:val="0"/>
      <w:divBdr>
        <w:top w:val="none" w:sz="0" w:space="0" w:color="auto"/>
        <w:left w:val="none" w:sz="0" w:space="0" w:color="auto"/>
        <w:bottom w:val="none" w:sz="0" w:space="0" w:color="auto"/>
        <w:right w:val="none" w:sz="0" w:space="0" w:color="auto"/>
      </w:divBdr>
    </w:div>
    <w:div w:id="1541625678">
      <w:bodyDiv w:val="1"/>
      <w:marLeft w:val="0"/>
      <w:marRight w:val="0"/>
      <w:marTop w:val="0"/>
      <w:marBottom w:val="0"/>
      <w:divBdr>
        <w:top w:val="none" w:sz="0" w:space="0" w:color="auto"/>
        <w:left w:val="none" w:sz="0" w:space="0" w:color="auto"/>
        <w:bottom w:val="none" w:sz="0" w:space="0" w:color="auto"/>
        <w:right w:val="none" w:sz="0" w:space="0" w:color="auto"/>
      </w:divBdr>
    </w:div>
    <w:div w:id="1542279848">
      <w:bodyDiv w:val="1"/>
      <w:marLeft w:val="0"/>
      <w:marRight w:val="0"/>
      <w:marTop w:val="0"/>
      <w:marBottom w:val="0"/>
      <w:divBdr>
        <w:top w:val="none" w:sz="0" w:space="0" w:color="auto"/>
        <w:left w:val="none" w:sz="0" w:space="0" w:color="auto"/>
        <w:bottom w:val="none" w:sz="0" w:space="0" w:color="auto"/>
        <w:right w:val="none" w:sz="0" w:space="0" w:color="auto"/>
      </w:divBdr>
    </w:div>
    <w:div w:id="1542479347">
      <w:bodyDiv w:val="1"/>
      <w:marLeft w:val="0"/>
      <w:marRight w:val="0"/>
      <w:marTop w:val="0"/>
      <w:marBottom w:val="0"/>
      <w:divBdr>
        <w:top w:val="none" w:sz="0" w:space="0" w:color="auto"/>
        <w:left w:val="none" w:sz="0" w:space="0" w:color="auto"/>
        <w:bottom w:val="none" w:sz="0" w:space="0" w:color="auto"/>
        <w:right w:val="none" w:sz="0" w:space="0" w:color="auto"/>
      </w:divBdr>
    </w:div>
    <w:div w:id="1542741547">
      <w:bodyDiv w:val="1"/>
      <w:marLeft w:val="0"/>
      <w:marRight w:val="0"/>
      <w:marTop w:val="0"/>
      <w:marBottom w:val="0"/>
      <w:divBdr>
        <w:top w:val="none" w:sz="0" w:space="0" w:color="auto"/>
        <w:left w:val="none" w:sz="0" w:space="0" w:color="auto"/>
        <w:bottom w:val="none" w:sz="0" w:space="0" w:color="auto"/>
        <w:right w:val="none" w:sz="0" w:space="0" w:color="auto"/>
      </w:divBdr>
    </w:div>
    <w:div w:id="1543202103">
      <w:bodyDiv w:val="1"/>
      <w:marLeft w:val="0"/>
      <w:marRight w:val="0"/>
      <w:marTop w:val="0"/>
      <w:marBottom w:val="0"/>
      <w:divBdr>
        <w:top w:val="none" w:sz="0" w:space="0" w:color="auto"/>
        <w:left w:val="none" w:sz="0" w:space="0" w:color="auto"/>
        <w:bottom w:val="none" w:sz="0" w:space="0" w:color="auto"/>
        <w:right w:val="none" w:sz="0" w:space="0" w:color="auto"/>
      </w:divBdr>
    </w:div>
    <w:div w:id="1543206064">
      <w:bodyDiv w:val="1"/>
      <w:marLeft w:val="0"/>
      <w:marRight w:val="0"/>
      <w:marTop w:val="0"/>
      <w:marBottom w:val="0"/>
      <w:divBdr>
        <w:top w:val="none" w:sz="0" w:space="0" w:color="auto"/>
        <w:left w:val="none" w:sz="0" w:space="0" w:color="auto"/>
        <w:bottom w:val="none" w:sz="0" w:space="0" w:color="auto"/>
        <w:right w:val="none" w:sz="0" w:space="0" w:color="auto"/>
      </w:divBdr>
    </w:div>
    <w:div w:id="1543861653">
      <w:bodyDiv w:val="1"/>
      <w:marLeft w:val="0"/>
      <w:marRight w:val="0"/>
      <w:marTop w:val="0"/>
      <w:marBottom w:val="0"/>
      <w:divBdr>
        <w:top w:val="none" w:sz="0" w:space="0" w:color="auto"/>
        <w:left w:val="none" w:sz="0" w:space="0" w:color="auto"/>
        <w:bottom w:val="none" w:sz="0" w:space="0" w:color="auto"/>
        <w:right w:val="none" w:sz="0" w:space="0" w:color="auto"/>
      </w:divBdr>
    </w:div>
    <w:div w:id="1544711328">
      <w:bodyDiv w:val="1"/>
      <w:marLeft w:val="0"/>
      <w:marRight w:val="0"/>
      <w:marTop w:val="0"/>
      <w:marBottom w:val="0"/>
      <w:divBdr>
        <w:top w:val="none" w:sz="0" w:space="0" w:color="auto"/>
        <w:left w:val="none" w:sz="0" w:space="0" w:color="auto"/>
        <w:bottom w:val="none" w:sz="0" w:space="0" w:color="auto"/>
        <w:right w:val="none" w:sz="0" w:space="0" w:color="auto"/>
      </w:divBdr>
    </w:div>
    <w:div w:id="1544754225">
      <w:bodyDiv w:val="1"/>
      <w:marLeft w:val="0"/>
      <w:marRight w:val="0"/>
      <w:marTop w:val="0"/>
      <w:marBottom w:val="0"/>
      <w:divBdr>
        <w:top w:val="none" w:sz="0" w:space="0" w:color="auto"/>
        <w:left w:val="none" w:sz="0" w:space="0" w:color="auto"/>
        <w:bottom w:val="none" w:sz="0" w:space="0" w:color="auto"/>
        <w:right w:val="none" w:sz="0" w:space="0" w:color="auto"/>
      </w:divBdr>
    </w:div>
    <w:div w:id="1545023887">
      <w:bodyDiv w:val="1"/>
      <w:marLeft w:val="0"/>
      <w:marRight w:val="0"/>
      <w:marTop w:val="0"/>
      <w:marBottom w:val="0"/>
      <w:divBdr>
        <w:top w:val="none" w:sz="0" w:space="0" w:color="auto"/>
        <w:left w:val="none" w:sz="0" w:space="0" w:color="auto"/>
        <w:bottom w:val="none" w:sz="0" w:space="0" w:color="auto"/>
        <w:right w:val="none" w:sz="0" w:space="0" w:color="auto"/>
      </w:divBdr>
    </w:div>
    <w:div w:id="1545405158">
      <w:bodyDiv w:val="1"/>
      <w:marLeft w:val="0"/>
      <w:marRight w:val="0"/>
      <w:marTop w:val="0"/>
      <w:marBottom w:val="0"/>
      <w:divBdr>
        <w:top w:val="none" w:sz="0" w:space="0" w:color="auto"/>
        <w:left w:val="none" w:sz="0" w:space="0" w:color="auto"/>
        <w:bottom w:val="none" w:sz="0" w:space="0" w:color="auto"/>
        <w:right w:val="none" w:sz="0" w:space="0" w:color="auto"/>
      </w:divBdr>
    </w:div>
    <w:div w:id="1545560446">
      <w:bodyDiv w:val="1"/>
      <w:marLeft w:val="0"/>
      <w:marRight w:val="0"/>
      <w:marTop w:val="0"/>
      <w:marBottom w:val="0"/>
      <w:divBdr>
        <w:top w:val="none" w:sz="0" w:space="0" w:color="auto"/>
        <w:left w:val="none" w:sz="0" w:space="0" w:color="auto"/>
        <w:bottom w:val="none" w:sz="0" w:space="0" w:color="auto"/>
        <w:right w:val="none" w:sz="0" w:space="0" w:color="auto"/>
      </w:divBdr>
    </w:div>
    <w:div w:id="1545943846">
      <w:bodyDiv w:val="1"/>
      <w:marLeft w:val="0"/>
      <w:marRight w:val="0"/>
      <w:marTop w:val="0"/>
      <w:marBottom w:val="0"/>
      <w:divBdr>
        <w:top w:val="none" w:sz="0" w:space="0" w:color="auto"/>
        <w:left w:val="none" w:sz="0" w:space="0" w:color="auto"/>
        <w:bottom w:val="none" w:sz="0" w:space="0" w:color="auto"/>
        <w:right w:val="none" w:sz="0" w:space="0" w:color="auto"/>
      </w:divBdr>
    </w:div>
    <w:div w:id="1546797437">
      <w:bodyDiv w:val="1"/>
      <w:marLeft w:val="0"/>
      <w:marRight w:val="0"/>
      <w:marTop w:val="0"/>
      <w:marBottom w:val="0"/>
      <w:divBdr>
        <w:top w:val="none" w:sz="0" w:space="0" w:color="auto"/>
        <w:left w:val="none" w:sz="0" w:space="0" w:color="auto"/>
        <w:bottom w:val="none" w:sz="0" w:space="0" w:color="auto"/>
        <w:right w:val="none" w:sz="0" w:space="0" w:color="auto"/>
      </w:divBdr>
    </w:div>
    <w:div w:id="1547137519">
      <w:bodyDiv w:val="1"/>
      <w:marLeft w:val="0"/>
      <w:marRight w:val="0"/>
      <w:marTop w:val="0"/>
      <w:marBottom w:val="0"/>
      <w:divBdr>
        <w:top w:val="none" w:sz="0" w:space="0" w:color="auto"/>
        <w:left w:val="none" w:sz="0" w:space="0" w:color="auto"/>
        <w:bottom w:val="none" w:sz="0" w:space="0" w:color="auto"/>
        <w:right w:val="none" w:sz="0" w:space="0" w:color="auto"/>
      </w:divBdr>
    </w:div>
    <w:div w:id="1547259217">
      <w:bodyDiv w:val="1"/>
      <w:marLeft w:val="0"/>
      <w:marRight w:val="0"/>
      <w:marTop w:val="0"/>
      <w:marBottom w:val="0"/>
      <w:divBdr>
        <w:top w:val="none" w:sz="0" w:space="0" w:color="auto"/>
        <w:left w:val="none" w:sz="0" w:space="0" w:color="auto"/>
        <w:bottom w:val="none" w:sz="0" w:space="0" w:color="auto"/>
        <w:right w:val="none" w:sz="0" w:space="0" w:color="auto"/>
      </w:divBdr>
    </w:div>
    <w:div w:id="1547333789">
      <w:bodyDiv w:val="1"/>
      <w:marLeft w:val="0"/>
      <w:marRight w:val="0"/>
      <w:marTop w:val="0"/>
      <w:marBottom w:val="0"/>
      <w:divBdr>
        <w:top w:val="none" w:sz="0" w:space="0" w:color="auto"/>
        <w:left w:val="none" w:sz="0" w:space="0" w:color="auto"/>
        <w:bottom w:val="none" w:sz="0" w:space="0" w:color="auto"/>
        <w:right w:val="none" w:sz="0" w:space="0" w:color="auto"/>
      </w:divBdr>
    </w:div>
    <w:div w:id="1547449289">
      <w:bodyDiv w:val="1"/>
      <w:marLeft w:val="0"/>
      <w:marRight w:val="0"/>
      <w:marTop w:val="0"/>
      <w:marBottom w:val="0"/>
      <w:divBdr>
        <w:top w:val="none" w:sz="0" w:space="0" w:color="auto"/>
        <w:left w:val="none" w:sz="0" w:space="0" w:color="auto"/>
        <w:bottom w:val="none" w:sz="0" w:space="0" w:color="auto"/>
        <w:right w:val="none" w:sz="0" w:space="0" w:color="auto"/>
      </w:divBdr>
    </w:div>
    <w:div w:id="1548180505">
      <w:bodyDiv w:val="1"/>
      <w:marLeft w:val="0"/>
      <w:marRight w:val="0"/>
      <w:marTop w:val="0"/>
      <w:marBottom w:val="0"/>
      <w:divBdr>
        <w:top w:val="none" w:sz="0" w:space="0" w:color="auto"/>
        <w:left w:val="none" w:sz="0" w:space="0" w:color="auto"/>
        <w:bottom w:val="none" w:sz="0" w:space="0" w:color="auto"/>
        <w:right w:val="none" w:sz="0" w:space="0" w:color="auto"/>
      </w:divBdr>
    </w:div>
    <w:div w:id="1548224478">
      <w:bodyDiv w:val="1"/>
      <w:marLeft w:val="0"/>
      <w:marRight w:val="0"/>
      <w:marTop w:val="0"/>
      <w:marBottom w:val="0"/>
      <w:divBdr>
        <w:top w:val="none" w:sz="0" w:space="0" w:color="auto"/>
        <w:left w:val="none" w:sz="0" w:space="0" w:color="auto"/>
        <w:bottom w:val="none" w:sz="0" w:space="0" w:color="auto"/>
        <w:right w:val="none" w:sz="0" w:space="0" w:color="auto"/>
      </w:divBdr>
    </w:div>
    <w:div w:id="1548374272">
      <w:bodyDiv w:val="1"/>
      <w:marLeft w:val="0"/>
      <w:marRight w:val="0"/>
      <w:marTop w:val="0"/>
      <w:marBottom w:val="0"/>
      <w:divBdr>
        <w:top w:val="none" w:sz="0" w:space="0" w:color="auto"/>
        <w:left w:val="none" w:sz="0" w:space="0" w:color="auto"/>
        <w:bottom w:val="none" w:sz="0" w:space="0" w:color="auto"/>
        <w:right w:val="none" w:sz="0" w:space="0" w:color="auto"/>
      </w:divBdr>
    </w:div>
    <w:div w:id="1548374819">
      <w:bodyDiv w:val="1"/>
      <w:marLeft w:val="0"/>
      <w:marRight w:val="0"/>
      <w:marTop w:val="0"/>
      <w:marBottom w:val="0"/>
      <w:divBdr>
        <w:top w:val="none" w:sz="0" w:space="0" w:color="auto"/>
        <w:left w:val="none" w:sz="0" w:space="0" w:color="auto"/>
        <w:bottom w:val="none" w:sz="0" w:space="0" w:color="auto"/>
        <w:right w:val="none" w:sz="0" w:space="0" w:color="auto"/>
      </w:divBdr>
    </w:div>
    <w:div w:id="1548638526">
      <w:bodyDiv w:val="1"/>
      <w:marLeft w:val="0"/>
      <w:marRight w:val="0"/>
      <w:marTop w:val="0"/>
      <w:marBottom w:val="0"/>
      <w:divBdr>
        <w:top w:val="none" w:sz="0" w:space="0" w:color="auto"/>
        <w:left w:val="none" w:sz="0" w:space="0" w:color="auto"/>
        <w:bottom w:val="none" w:sz="0" w:space="0" w:color="auto"/>
        <w:right w:val="none" w:sz="0" w:space="0" w:color="auto"/>
      </w:divBdr>
    </w:div>
    <w:div w:id="1549026944">
      <w:bodyDiv w:val="1"/>
      <w:marLeft w:val="0"/>
      <w:marRight w:val="0"/>
      <w:marTop w:val="0"/>
      <w:marBottom w:val="0"/>
      <w:divBdr>
        <w:top w:val="none" w:sz="0" w:space="0" w:color="auto"/>
        <w:left w:val="none" w:sz="0" w:space="0" w:color="auto"/>
        <w:bottom w:val="none" w:sz="0" w:space="0" w:color="auto"/>
        <w:right w:val="none" w:sz="0" w:space="0" w:color="auto"/>
      </w:divBdr>
    </w:div>
    <w:div w:id="1549030426">
      <w:bodyDiv w:val="1"/>
      <w:marLeft w:val="0"/>
      <w:marRight w:val="0"/>
      <w:marTop w:val="0"/>
      <w:marBottom w:val="0"/>
      <w:divBdr>
        <w:top w:val="none" w:sz="0" w:space="0" w:color="auto"/>
        <w:left w:val="none" w:sz="0" w:space="0" w:color="auto"/>
        <w:bottom w:val="none" w:sz="0" w:space="0" w:color="auto"/>
        <w:right w:val="none" w:sz="0" w:space="0" w:color="auto"/>
      </w:divBdr>
    </w:div>
    <w:div w:id="1550142072">
      <w:bodyDiv w:val="1"/>
      <w:marLeft w:val="0"/>
      <w:marRight w:val="0"/>
      <w:marTop w:val="0"/>
      <w:marBottom w:val="0"/>
      <w:divBdr>
        <w:top w:val="none" w:sz="0" w:space="0" w:color="auto"/>
        <w:left w:val="none" w:sz="0" w:space="0" w:color="auto"/>
        <w:bottom w:val="none" w:sz="0" w:space="0" w:color="auto"/>
        <w:right w:val="none" w:sz="0" w:space="0" w:color="auto"/>
      </w:divBdr>
    </w:div>
    <w:div w:id="1550260125">
      <w:bodyDiv w:val="1"/>
      <w:marLeft w:val="0"/>
      <w:marRight w:val="0"/>
      <w:marTop w:val="0"/>
      <w:marBottom w:val="0"/>
      <w:divBdr>
        <w:top w:val="none" w:sz="0" w:space="0" w:color="auto"/>
        <w:left w:val="none" w:sz="0" w:space="0" w:color="auto"/>
        <w:bottom w:val="none" w:sz="0" w:space="0" w:color="auto"/>
        <w:right w:val="none" w:sz="0" w:space="0" w:color="auto"/>
      </w:divBdr>
    </w:div>
    <w:div w:id="1550461660">
      <w:bodyDiv w:val="1"/>
      <w:marLeft w:val="0"/>
      <w:marRight w:val="0"/>
      <w:marTop w:val="0"/>
      <w:marBottom w:val="0"/>
      <w:divBdr>
        <w:top w:val="none" w:sz="0" w:space="0" w:color="auto"/>
        <w:left w:val="none" w:sz="0" w:space="0" w:color="auto"/>
        <w:bottom w:val="none" w:sz="0" w:space="0" w:color="auto"/>
        <w:right w:val="none" w:sz="0" w:space="0" w:color="auto"/>
      </w:divBdr>
    </w:div>
    <w:div w:id="1550531152">
      <w:bodyDiv w:val="1"/>
      <w:marLeft w:val="0"/>
      <w:marRight w:val="0"/>
      <w:marTop w:val="0"/>
      <w:marBottom w:val="0"/>
      <w:divBdr>
        <w:top w:val="none" w:sz="0" w:space="0" w:color="auto"/>
        <w:left w:val="none" w:sz="0" w:space="0" w:color="auto"/>
        <w:bottom w:val="none" w:sz="0" w:space="0" w:color="auto"/>
        <w:right w:val="none" w:sz="0" w:space="0" w:color="auto"/>
      </w:divBdr>
    </w:div>
    <w:div w:id="1550847428">
      <w:bodyDiv w:val="1"/>
      <w:marLeft w:val="0"/>
      <w:marRight w:val="0"/>
      <w:marTop w:val="0"/>
      <w:marBottom w:val="0"/>
      <w:divBdr>
        <w:top w:val="none" w:sz="0" w:space="0" w:color="auto"/>
        <w:left w:val="none" w:sz="0" w:space="0" w:color="auto"/>
        <w:bottom w:val="none" w:sz="0" w:space="0" w:color="auto"/>
        <w:right w:val="none" w:sz="0" w:space="0" w:color="auto"/>
      </w:divBdr>
    </w:div>
    <w:div w:id="1551110532">
      <w:bodyDiv w:val="1"/>
      <w:marLeft w:val="0"/>
      <w:marRight w:val="0"/>
      <w:marTop w:val="0"/>
      <w:marBottom w:val="0"/>
      <w:divBdr>
        <w:top w:val="none" w:sz="0" w:space="0" w:color="auto"/>
        <w:left w:val="none" w:sz="0" w:space="0" w:color="auto"/>
        <w:bottom w:val="none" w:sz="0" w:space="0" w:color="auto"/>
        <w:right w:val="none" w:sz="0" w:space="0" w:color="auto"/>
      </w:divBdr>
    </w:div>
    <w:div w:id="1551531986">
      <w:bodyDiv w:val="1"/>
      <w:marLeft w:val="0"/>
      <w:marRight w:val="0"/>
      <w:marTop w:val="0"/>
      <w:marBottom w:val="0"/>
      <w:divBdr>
        <w:top w:val="none" w:sz="0" w:space="0" w:color="auto"/>
        <w:left w:val="none" w:sz="0" w:space="0" w:color="auto"/>
        <w:bottom w:val="none" w:sz="0" w:space="0" w:color="auto"/>
        <w:right w:val="none" w:sz="0" w:space="0" w:color="auto"/>
      </w:divBdr>
    </w:div>
    <w:div w:id="1551570396">
      <w:bodyDiv w:val="1"/>
      <w:marLeft w:val="0"/>
      <w:marRight w:val="0"/>
      <w:marTop w:val="0"/>
      <w:marBottom w:val="0"/>
      <w:divBdr>
        <w:top w:val="none" w:sz="0" w:space="0" w:color="auto"/>
        <w:left w:val="none" w:sz="0" w:space="0" w:color="auto"/>
        <w:bottom w:val="none" w:sz="0" w:space="0" w:color="auto"/>
        <w:right w:val="none" w:sz="0" w:space="0" w:color="auto"/>
      </w:divBdr>
    </w:div>
    <w:div w:id="1551723479">
      <w:bodyDiv w:val="1"/>
      <w:marLeft w:val="0"/>
      <w:marRight w:val="0"/>
      <w:marTop w:val="0"/>
      <w:marBottom w:val="0"/>
      <w:divBdr>
        <w:top w:val="none" w:sz="0" w:space="0" w:color="auto"/>
        <w:left w:val="none" w:sz="0" w:space="0" w:color="auto"/>
        <w:bottom w:val="none" w:sz="0" w:space="0" w:color="auto"/>
        <w:right w:val="none" w:sz="0" w:space="0" w:color="auto"/>
      </w:divBdr>
    </w:div>
    <w:div w:id="1551919338">
      <w:bodyDiv w:val="1"/>
      <w:marLeft w:val="0"/>
      <w:marRight w:val="0"/>
      <w:marTop w:val="0"/>
      <w:marBottom w:val="0"/>
      <w:divBdr>
        <w:top w:val="none" w:sz="0" w:space="0" w:color="auto"/>
        <w:left w:val="none" w:sz="0" w:space="0" w:color="auto"/>
        <w:bottom w:val="none" w:sz="0" w:space="0" w:color="auto"/>
        <w:right w:val="none" w:sz="0" w:space="0" w:color="auto"/>
      </w:divBdr>
    </w:div>
    <w:div w:id="1552039062">
      <w:bodyDiv w:val="1"/>
      <w:marLeft w:val="0"/>
      <w:marRight w:val="0"/>
      <w:marTop w:val="0"/>
      <w:marBottom w:val="0"/>
      <w:divBdr>
        <w:top w:val="none" w:sz="0" w:space="0" w:color="auto"/>
        <w:left w:val="none" w:sz="0" w:space="0" w:color="auto"/>
        <w:bottom w:val="none" w:sz="0" w:space="0" w:color="auto"/>
        <w:right w:val="none" w:sz="0" w:space="0" w:color="auto"/>
      </w:divBdr>
    </w:div>
    <w:div w:id="1552689265">
      <w:bodyDiv w:val="1"/>
      <w:marLeft w:val="0"/>
      <w:marRight w:val="0"/>
      <w:marTop w:val="0"/>
      <w:marBottom w:val="0"/>
      <w:divBdr>
        <w:top w:val="none" w:sz="0" w:space="0" w:color="auto"/>
        <w:left w:val="none" w:sz="0" w:space="0" w:color="auto"/>
        <w:bottom w:val="none" w:sz="0" w:space="0" w:color="auto"/>
        <w:right w:val="none" w:sz="0" w:space="0" w:color="auto"/>
      </w:divBdr>
    </w:div>
    <w:div w:id="1552886463">
      <w:bodyDiv w:val="1"/>
      <w:marLeft w:val="0"/>
      <w:marRight w:val="0"/>
      <w:marTop w:val="0"/>
      <w:marBottom w:val="0"/>
      <w:divBdr>
        <w:top w:val="none" w:sz="0" w:space="0" w:color="auto"/>
        <w:left w:val="none" w:sz="0" w:space="0" w:color="auto"/>
        <w:bottom w:val="none" w:sz="0" w:space="0" w:color="auto"/>
        <w:right w:val="none" w:sz="0" w:space="0" w:color="auto"/>
      </w:divBdr>
    </w:div>
    <w:div w:id="1552957065">
      <w:bodyDiv w:val="1"/>
      <w:marLeft w:val="0"/>
      <w:marRight w:val="0"/>
      <w:marTop w:val="0"/>
      <w:marBottom w:val="0"/>
      <w:divBdr>
        <w:top w:val="none" w:sz="0" w:space="0" w:color="auto"/>
        <w:left w:val="none" w:sz="0" w:space="0" w:color="auto"/>
        <w:bottom w:val="none" w:sz="0" w:space="0" w:color="auto"/>
        <w:right w:val="none" w:sz="0" w:space="0" w:color="auto"/>
      </w:divBdr>
    </w:div>
    <w:div w:id="1553228239">
      <w:bodyDiv w:val="1"/>
      <w:marLeft w:val="0"/>
      <w:marRight w:val="0"/>
      <w:marTop w:val="0"/>
      <w:marBottom w:val="0"/>
      <w:divBdr>
        <w:top w:val="none" w:sz="0" w:space="0" w:color="auto"/>
        <w:left w:val="none" w:sz="0" w:space="0" w:color="auto"/>
        <w:bottom w:val="none" w:sz="0" w:space="0" w:color="auto"/>
        <w:right w:val="none" w:sz="0" w:space="0" w:color="auto"/>
      </w:divBdr>
    </w:div>
    <w:div w:id="1553418163">
      <w:bodyDiv w:val="1"/>
      <w:marLeft w:val="0"/>
      <w:marRight w:val="0"/>
      <w:marTop w:val="0"/>
      <w:marBottom w:val="0"/>
      <w:divBdr>
        <w:top w:val="none" w:sz="0" w:space="0" w:color="auto"/>
        <w:left w:val="none" w:sz="0" w:space="0" w:color="auto"/>
        <w:bottom w:val="none" w:sz="0" w:space="0" w:color="auto"/>
        <w:right w:val="none" w:sz="0" w:space="0" w:color="auto"/>
      </w:divBdr>
    </w:div>
    <w:div w:id="1553420086">
      <w:bodyDiv w:val="1"/>
      <w:marLeft w:val="0"/>
      <w:marRight w:val="0"/>
      <w:marTop w:val="0"/>
      <w:marBottom w:val="0"/>
      <w:divBdr>
        <w:top w:val="none" w:sz="0" w:space="0" w:color="auto"/>
        <w:left w:val="none" w:sz="0" w:space="0" w:color="auto"/>
        <w:bottom w:val="none" w:sz="0" w:space="0" w:color="auto"/>
        <w:right w:val="none" w:sz="0" w:space="0" w:color="auto"/>
      </w:divBdr>
    </w:div>
    <w:div w:id="1553493449">
      <w:bodyDiv w:val="1"/>
      <w:marLeft w:val="0"/>
      <w:marRight w:val="0"/>
      <w:marTop w:val="0"/>
      <w:marBottom w:val="0"/>
      <w:divBdr>
        <w:top w:val="none" w:sz="0" w:space="0" w:color="auto"/>
        <w:left w:val="none" w:sz="0" w:space="0" w:color="auto"/>
        <w:bottom w:val="none" w:sz="0" w:space="0" w:color="auto"/>
        <w:right w:val="none" w:sz="0" w:space="0" w:color="auto"/>
      </w:divBdr>
    </w:div>
    <w:div w:id="1553999155">
      <w:bodyDiv w:val="1"/>
      <w:marLeft w:val="0"/>
      <w:marRight w:val="0"/>
      <w:marTop w:val="0"/>
      <w:marBottom w:val="0"/>
      <w:divBdr>
        <w:top w:val="none" w:sz="0" w:space="0" w:color="auto"/>
        <w:left w:val="none" w:sz="0" w:space="0" w:color="auto"/>
        <w:bottom w:val="none" w:sz="0" w:space="0" w:color="auto"/>
        <w:right w:val="none" w:sz="0" w:space="0" w:color="auto"/>
      </w:divBdr>
    </w:div>
    <w:div w:id="1554194326">
      <w:bodyDiv w:val="1"/>
      <w:marLeft w:val="0"/>
      <w:marRight w:val="0"/>
      <w:marTop w:val="0"/>
      <w:marBottom w:val="0"/>
      <w:divBdr>
        <w:top w:val="none" w:sz="0" w:space="0" w:color="auto"/>
        <w:left w:val="none" w:sz="0" w:space="0" w:color="auto"/>
        <w:bottom w:val="none" w:sz="0" w:space="0" w:color="auto"/>
        <w:right w:val="none" w:sz="0" w:space="0" w:color="auto"/>
      </w:divBdr>
    </w:div>
    <w:div w:id="1554610930">
      <w:bodyDiv w:val="1"/>
      <w:marLeft w:val="0"/>
      <w:marRight w:val="0"/>
      <w:marTop w:val="0"/>
      <w:marBottom w:val="0"/>
      <w:divBdr>
        <w:top w:val="none" w:sz="0" w:space="0" w:color="auto"/>
        <w:left w:val="none" w:sz="0" w:space="0" w:color="auto"/>
        <w:bottom w:val="none" w:sz="0" w:space="0" w:color="auto"/>
        <w:right w:val="none" w:sz="0" w:space="0" w:color="auto"/>
      </w:divBdr>
    </w:div>
    <w:div w:id="1554778787">
      <w:bodyDiv w:val="1"/>
      <w:marLeft w:val="0"/>
      <w:marRight w:val="0"/>
      <w:marTop w:val="0"/>
      <w:marBottom w:val="0"/>
      <w:divBdr>
        <w:top w:val="none" w:sz="0" w:space="0" w:color="auto"/>
        <w:left w:val="none" w:sz="0" w:space="0" w:color="auto"/>
        <w:bottom w:val="none" w:sz="0" w:space="0" w:color="auto"/>
        <w:right w:val="none" w:sz="0" w:space="0" w:color="auto"/>
      </w:divBdr>
    </w:div>
    <w:div w:id="1554922277">
      <w:bodyDiv w:val="1"/>
      <w:marLeft w:val="0"/>
      <w:marRight w:val="0"/>
      <w:marTop w:val="0"/>
      <w:marBottom w:val="0"/>
      <w:divBdr>
        <w:top w:val="none" w:sz="0" w:space="0" w:color="auto"/>
        <w:left w:val="none" w:sz="0" w:space="0" w:color="auto"/>
        <w:bottom w:val="none" w:sz="0" w:space="0" w:color="auto"/>
        <w:right w:val="none" w:sz="0" w:space="0" w:color="auto"/>
      </w:divBdr>
    </w:div>
    <w:div w:id="1554997127">
      <w:bodyDiv w:val="1"/>
      <w:marLeft w:val="0"/>
      <w:marRight w:val="0"/>
      <w:marTop w:val="0"/>
      <w:marBottom w:val="0"/>
      <w:divBdr>
        <w:top w:val="none" w:sz="0" w:space="0" w:color="auto"/>
        <w:left w:val="none" w:sz="0" w:space="0" w:color="auto"/>
        <w:bottom w:val="none" w:sz="0" w:space="0" w:color="auto"/>
        <w:right w:val="none" w:sz="0" w:space="0" w:color="auto"/>
      </w:divBdr>
    </w:div>
    <w:div w:id="1555189887">
      <w:bodyDiv w:val="1"/>
      <w:marLeft w:val="0"/>
      <w:marRight w:val="0"/>
      <w:marTop w:val="0"/>
      <w:marBottom w:val="0"/>
      <w:divBdr>
        <w:top w:val="none" w:sz="0" w:space="0" w:color="auto"/>
        <w:left w:val="none" w:sz="0" w:space="0" w:color="auto"/>
        <w:bottom w:val="none" w:sz="0" w:space="0" w:color="auto"/>
        <w:right w:val="none" w:sz="0" w:space="0" w:color="auto"/>
      </w:divBdr>
    </w:div>
    <w:div w:id="1555656008">
      <w:bodyDiv w:val="1"/>
      <w:marLeft w:val="0"/>
      <w:marRight w:val="0"/>
      <w:marTop w:val="0"/>
      <w:marBottom w:val="0"/>
      <w:divBdr>
        <w:top w:val="none" w:sz="0" w:space="0" w:color="auto"/>
        <w:left w:val="none" w:sz="0" w:space="0" w:color="auto"/>
        <w:bottom w:val="none" w:sz="0" w:space="0" w:color="auto"/>
        <w:right w:val="none" w:sz="0" w:space="0" w:color="auto"/>
      </w:divBdr>
    </w:div>
    <w:div w:id="1555699587">
      <w:bodyDiv w:val="1"/>
      <w:marLeft w:val="0"/>
      <w:marRight w:val="0"/>
      <w:marTop w:val="0"/>
      <w:marBottom w:val="0"/>
      <w:divBdr>
        <w:top w:val="none" w:sz="0" w:space="0" w:color="auto"/>
        <w:left w:val="none" w:sz="0" w:space="0" w:color="auto"/>
        <w:bottom w:val="none" w:sz="0" w:space="0" w:color="auto"/>
        <w:right w:val="none" w:sz="0" w:space="0" w:color="auto"/>
      </w:divBdr>
    </w:div>
    <w:div w:id="1557204095">
      <w:bodyDiv w:val="1"/>
      <w:marLeft w:val="0"/>
      <w:marRight w:val="0"/>
      <w:marTop w:val="0"/>
      <w:marBottom w:val="0"/>
      <w:divBdr>
        <w:top w:val="none" w:sz="0" w:space="0" w:color="auto"/>
        <w:left w:val="none" w:sz="0" w:space="0" w:color="auto"/>
        <w:bottom w:val="none" w:sz="0" w:space="0" w:color="auto"/>
        <w:right w:val="none" w:sz="0" w:space="0" w:color="auto"/>
      </w:divBdr>
    </w:div>
    <w:div w:id="1557473497">
      <w:bodyDiv w:val="1"/>
      <w:marLeft w:val="0"/>
      <w:marRight w:val="0"/>
      <w:marTop w:val="0"/>
      <w:marBottom w:val="0"/>
      <w:divBdr>
        <w:top w:val="none" w:sz="0" w:space="0" w:color="auto"/>
        <w:left w:val="none" w:sz="0" w:space="0" w:color="auto"/>
        <w:bottom w:val="none" w:sz="0" w:space="0" w:color="auto"/>
        <w:right w:val="none" w:sz="0" w:space="0" w:color="auto"/>
      </w:divBdr>
    </w:div>
    <w:div w:id="1557594396">
      <w:bodyDiv w:val="1"/>
      <w:marLeft w:val="0"/>
      <w:marRight w:val="0"/>
      <w:marTop w:val="0"/>
      <w:marBottom w:val="0"/>
      <w:divBdr>
        <w:top w:val="none" w:sz="0" w:space="0" w:color="auto"/>
        <w:left w:val="none" w:sz="0" w:space="0" w:color="auto"/>
        <w:bottom w:val="none" w:sz="0" w:space="0" w:color="auto"/>
        <w:right w:val="none" w:sz="0" w:space="0" w:color="auto"/>
      </w:divBdr>
    </w:div>
    <w:div w:id="1557594421">
      <w:bodyDiv w:val="1"/>
      <w:marLeft w:val="0"/>
      <w:marRight w:val="0"/>
      <w:marTop w:val="0"/>
      <w:marBottom w:val="0"/>
      <w:divBdr>
        <w:top w:val="none" w:sz="0" w:space="0" w:color="auto"/>
        <w:left w:val="none" w:sz="0" w:space="0" w:color="auto"/>
        <w:bottom w:val="none" w:sz="0" w:space="0" w:color="auto"/>
        <w:right w:val="none" w:sz="0" w:space="0" w:color="auto"/>
      </w:divBdr>
    </w:div>
    <w:div w:id="1557622507">
      <w:bodyDiv w:val="1"/>
      <w:marLeft w:val="0"/>
      <w:marRight w:val="0"/>
      <w:marTop w:val="0"/>
      <w:marBottom w:val="0"/>
      <w:divBdr>
        <w:top w:val="none" w:sz="0" w:space="0" w:color="auto"/>
        <w:left w:val="none" w:sz="0" w:space="0" w:color="auto"/>
        <w:bottom w:val="none" w:sz="0" w:space="0" w:color="auto"/>
        <w:right w:val="none" w:sz="0" w:space="0" w:color="auto"/>
      </w:divBdr>
    </w:div>
    <w:div w:id="1557856596">
      <w:bodyDiv w:val="1"/>
      <w:marLeft w:val="0"/>
      <w:marRight w:val="0"/>
      <w:marTop w:val="0"/>
      <w:marBottom w:val="0"/>
      <w:divBdr>
        <w:top w:val="none" w:sz="0" w:space="0" w:color="auto"/>
        <w:left w:val="none" w:sz="0" w:space="0" w:color="auto"/>
        <w:bottom w:val="none" w:sz="0" w:space="0" w:color="auto"/>
        <w:right w:val="none" w:sz="0" w:space="0" w:color="auto"/>
      </w:divBdr>
    </w:div>
    <w:div w:id="1557934501">
      <w:bodyDiv w:val="1"/>
      <w:marLeft w:val="0"/>
      <w:marRight w:val="0"/>
      <w:marTop w:val="0"/>
      <w:marBottom w:val="0"/>
      <w:divBdr>
        <w:top w:val="none" w:sz="0" w:space="0" w:color="auto"/>
        <w:left w:val="none" w:sz="0" w:space="0" w:color="auto"/>
        <w:bottom w:val="none" w:sz="0" w:space="0" w:color="auto"/>
        <w:right w:val="none" w:sz="0" w:space="0" w:color="auto"/>
      </w:divBdr>
    </w:div>
    <w:div w:id="1558198398">
      <w:bodyDiv w:val="1"/>
      <w:marLeft w:val="0"/>
      <w:marRight w:val="0"/>
      <w:marTop w:val="0"/>
      <w:marBottom w:val="0"/>
      <w:divBdr>
        <w:top w:val="none" w:sz="0" w:space="0" w:color="auto"/>
        <w:left w:val="none" w:sz="0" w:space="0" w:color="auto"/>
        <w:bottom w:val="none" w:sz="0" w:space="0" w:color="auto"/>
        <w:right w:val="none" w:sz="0" w:space="0" w:color="auto"/>
      </w:divBdr>
    </w:div>
    <w:div w:id="1558399180">
      <w:bodyDiv w:val="1"/>
      <w:marLeft w:val="0"/>
      <w:marRight w:val="0"/>
      <w:marTop w:val="0"/>
      <w:marBottom w:val="0"/>
      <w:divBdr>
        <w:top w:val="none" w:sz="0" w:space="0" w:color="auto"/>
        <w:left w:val="none" w:sz="0" w:space="0" w:color="auto"/>
        <w:bottom w:val="none" w:sz="0" w:space="0" w:color="auto"/>
        <w:right w:val="none" w:sz="0" w:space="0" w:color="auto"/>
      </w:divBdr>
    </w:div>
    <w:div w:id="1558740755">
      <w:bodyDiv w:val="1"/>
      <w:marLeft w:val="0"/>
      <w:marRight w:val="0"/>
      <w:marTop w:val="0"/>
      <w:marBottom w:val="0"/>
      <w:divBdr>
        <w:top w:val="none" w:sz="0" w:space="0" w:color="auto"/>
        <w:left w:val="none" w:sz="0" w:space="0" w:color="auto"/>
        <w:bottom w:val="none" w:sz="0" w:space="0" w:color="auto"/>
        <w:right w:val="none" w:sz="0" w:space="0" w:color="auto"/>
      </w:divBdr>
    </w:div>
    <w:div w:id="1560095388">
      <w:bodyDiv w:val="1"/>
      <w:marLeft w:val="0"/>
      <w:marRight w:val="0"/>
      <w:marTop w:val="0"/>
      <w:marBottom w:val="0"/>
      <w:divBdr>
        <w:top w:val="none" w:sz="0" w:space="0" w:color="auto"/>
        <w:left w:val="none" w:sz="0" w:space="0" w:color="auto"/>
        <w:bottom w:val="none" w:sz="0" w:space="0" w:color="auto"/>
        <w:right w:val="none" w:sz="0" w:space="0" w:color="auto"/>
      </w:divBdr>
    </w:div>
    <w:div w:id="1560241968">
      <w:bodyDiv w:val="1"/>
      <w:marLeft w:val="0"/>
      <w:marRight w:val="0"/>
      <w:marTop w:val="0"/>
      <w:marBottom w:val="0"/>
      <w:divBdr>
        <w:top w:val="none" w:sz="0" w:space="0" w:color="auto"/>
        <w:left w:val="none" w:sz="0" w:space="0" w:color="auto"/>
        <w:bottom w:val="none" w:sz="0" w:space="0" w:color="auto"/>
        <w:right w:val="none" w:sz="0" w:space="0" w:color="auto"/>
      </w:divBdr>
    </w:div>
    <w:div w:id="1561210132">
      <w:bodyDiv w:val="1"/>
      <w:marLeft w:val="0"/>
      <w:marRight w:val="0"/>
      <w:marTop w:val="0"/>
      <w:marBottom w:val="0"/>
      <w:divBdr>
        <w:top w:val="none" w:sz="0" w:space="0" w:color="auto"/>
        <w:left w:val="none" w:sz="0" w:space="0" w:color="auto"/>
        <w:bottom w:val="none" w:sz="0" w:space="0" w:color="auto"/>
        <w:right w:val="none" w:sz="0" w:space="0" w:color="auto"/>
      </w:divBdr>
    </w:div>
    <w:div w:id="1561404987">
      <w:bodyDiv w:val="1"/>
      <w:marLeft w:val="0"/>
      <w:marRight w:val="0"/>
      <w:marTop w:val="0"/>
      <w:marBottom w:val="0"/>
      <w:divBdr>
        <w:top w:val="none" w:sz="0" w:space="0" w:color="auto"/>
        <w:left w:val="none" w:sz="0" w:space="0" w:color="auto"/>
        <w:bottom w:val="none" w:sz="0" w:space="0" w:color="auto"/>
        <w:right w:val="none" w:sz="0" w:space="0" w:color="auto"/>
      </w:divBdr>
    </w:div>
    <w:div w:id="1561406786">
      <w:bodyDiv w:val="1"/>
      <w:marLeft w:val="0"/>
      <w:marRight w:val="0"/>
      <w:marTop w:val="0"/>
      <w:marBottom w:val="0"/>
      <w:divBdr>
        <w:top w:val="none" w:sz="0" w:space="0" w:color="auto"/>
        <w:left w:val="none" w:sz="0" w:space="0" w:color="auto"/>
        <w:bottom w:val="none" w:sz="0" w:space="0" w:color="auto"/>
        <w:right w:val="none" w:sz="0" w:space="0" w:color="auto"/>
      </w:divBdr>
    </w:div>
    <w:div w:id="1562326856">
      <w:bodyDiv w:val="1"/>
      <w:marLeft w:val="0"/>
      <w:marRight w:val="0"/>
      <w:marTop w:val="0"/>
      <w:marBottom w:val="0"/>
      <w:divBdr>
        <w:top w:val="none" w:sz="0" w:space="0" w:color="auto"/>
        <w:left w:val="none" w:sz="0" w:space="0" w:color="auto"/>
        <w:bottom w:val="none" w:sz="0" w:space="0" w:color="auto"/>
        <w:right w:val="none" w:sz="0" w:space="0" w:color="auto"/>
      </w:divBdr>
    </w:div>
    <w:div w:id="1562935130">
      <w:bodyDiv w:val="1"/>
      <w:marLeft w:val="0"/>
      <w:marRight w:val="0"/>
      <w:marTop w:val="0"/>
      <w:marBottom w:val="0"/>
      <w:divBdr>
        <w:top w:val="none" w:sz="0" w:space="0" w:color="auto"/>
        <w:left w:val="none" w:sz="0" w:space="0" w:color="auto"/>
        <w:bottom w:val="none" w:sz="0" w:space="0" w:color="auto"/>
        <w:right w:val="none" w:sz="0" w:space="0" w:color="auto"/>
      </w:divBdr>
    </w:div>
    <w:div w:id="1563563461">
      <w:bodyDiv w:val="1"/>
      <w:marLeft w:val="0"/>
      <w:marRight w:val="0"/>
      <w:marTop w:val="0"/>
      <w:marBottom w:val="0"/>
      <w:divBdr>
        <w:top w:val="none" w:sz="0" w:space="0" w:color="auto"/>
        <w:left w:val="none" w:sz="0" w:space="0" w:color="auto"/>
        <w:bottom w:val="none" w:sz="0" w:space="0" w:color="auto"/>
        <w:right w:val="none" w:sz="0" w:space="0" w:color="auto"/>
      </w:divBdr>
    </w:div>
    <w:div w:id="1563828356">
      <w:bodyDiv w:val="1"/>
      <w:marLeft w:val="0"/>
      <w:marRight w:val="0"/>
      <w:marTop w:val="0"/>
      <w:marBottom w:val="0"/>
      <w:divBdr>
        <w:top w:val="none" w:sz="0" w:space="0" w:color="auto"/>
        <w:left w:val="none" w:sz="0" w:space="0" w:color="auto"/>
        <w:bottom w:val="none" w:sz="0" w:space="0" w:color="auto"/>
        <w:right w:val="none" w:sz="0" w:space="0" w:color="auto"/>
      </w:divBdr>
    </w:div>
    <w:div w:id="1563906710">
      <w:bodyDiv w:val="1"/>
      <w:marLeft w:val="0"/>
      <w:marRight w:val="0"/>
      <w:marTop w:val="0"/>
      <w:marBottom w:val="0"/>
      <w:divBdr>
        <w:top w:val="none" w:sz="0" w:space="0" w:color="auto"/>
        <w:left w:val="none" w:sz="0" w:space="0" w:color="auto"/>
        <w:bottom w:val="none" w:sz="0" w:space="0" w:color="auto"/>
        <w:right w:val="none" w:sz="0" w:space="0" w:color="auto"/>
      </w:divBdr>
    </w:div>
    <w:div w:id="1564100409">
      <w:bodyDiv w:val="1"/>
      <w:marLeft w:val="0"/>
      <w:marRight w:val="0"/>
      <w:marTop w:val="0"/>
      <w:marBottom w:val="0"/>
      <w:divBdr>
        <w:top w:val="none" w:sz="0" w:space="0" w:color="auto"/>
        <w:left w:val="none" w:sz="0" w:space="0" w:color="auto"/>
        <w:bottom w:val="none" w:sz="0" w:space="0" w:color="auto"/>
        <w:right w:val="none" w:sz="0" w:space="0" w:color="auto"/>
      </w:divBdr>
    </w:div>
    <w:div w:id="1565022352">
      <w:bodyDiv w:val="1"/>
      <w:marLeft w:val="0"/>
      <w:marRight w:val="0"/>
      <w:marTop w:val="0"/>
      <w:marBottom w:val="0"/>
      <w:divBdr>
        <w:top w:val="none" w:sz="0" w:space="0" w:color="auto"/>
        <w:left w:val="none" w:sz="0" w:space="0" w:color="auto"/>
        <w:bottom w:val="none" w:sz="0" w:space="0" w:color="auto"/>
        <w:right w:val="none" w:sz="0" w:space="0" w:color="auto"/>
      </w:divBdr>
    </w:div>
    <w:div w:id="1565065933">
      <w:bodyDiv w:val="1"/>
      <w:marLeft w:val="0"/>
      <w:marRight w:val="0"/>
      <w:marTop w:val="0"/>
      <w:marBottom w:val="0"/>
      <w:divBdr>
        <w:top w:val="none" w:sz="0" w:space="0" w:color="auto"/>
        <w:left w:val="none" w:sz="0" w:space="0" w:color="auto"/>
        <w:bottom w:val="none" w:sz="0" w:space="0" w:color="auto"/>
        <w:right w:val="none" w:sz="0" w:space="0" w:color="auto"/>
      </w:divBdr>
    </w:div>
    <w:div w:id="1565406485">
      <w:bodyDiv w:val="1"/>
      <w:marLeft w:val="0"/>
      <w:marRight w:val="0"/>
      <w:marTop w:val="0"/>
      <w:marBottom w:val="0"/>
      <w:divBdr>
        <w:top w:val="none" w:sz="0" w:space="0" w:color="auto"/>
        <w:left w:val="none" w:sz="0" w:space="0" w:color="auto"/>
        <w:bottom w:val="none" w:sz="0" w:space="0" w:color="auto"/>
        <w:right w:val="none" w:sz="0" w:space="0" w:color="auto"/>
      </w:divBdr>
    </w:div>
    <w:div w:id="1565675473">
      <w:bodyDiv w:val="1"/>
      <w:marLeft w:val="0"/>
      <w:marRight w:val="0"/>
      <w:marTop w:val="0"/>
      <w:marBottom w:val="0"/>
      <w:divBdr>
        <w:top w:val="none" w:sz="0" w:space="0" w:color="auto"/>
        <w:left w:val="none" w:sz="0" w:space="0" w:color="auto"/>
        <w:bottom w:val="none" w:sz="0" w:space="0" w:color="auto"/>
        <w:right w:val="none" w:sz="0" w:space="0" w:color="auto"/>
      </w:divBdr>
    </w:div>
    <w:div w:id="1566332604">
      <w:bodyDiv w:val="1"/>
      <w:marLeft w:val="0"/>
      <w:marRight w:val="0"/>
      <w:marTop w:val="0"/>
      <w:marBottom w:val="0"/>
      <w:divBdr>
        <w:top w:val="none" w:sz="0" w:space="0" w:color="auto"/>
        <w:left w:val="none" w:sz="0" w:space="0" w:color="auto"/>
        <w:bottom w:val="none" w:sz="0" w:space="0" w:color="auto"/>
        <w:right w:val="none" w:sz="0" w:space="0" w:color="auto"/>
      </w:divBdr>
    </w:div>
    <w:div w:id="1567762872">
      <w:bodyDiv w:val="1"/>
      <w:marLeft w:val="0"/>
      <w:marRight w:val="0"/>
      <w:marTop w:val="0"/>
      <w:marBottom w:val="0"/>
      <w:divBdr>
        <w:top w:val="none" w:sz="0" w:space="0" w:color="auto"/>
        <w:left w:val="none" w:sz="0" w:space="0" w:color="auto"/>
        <w:bottom w:val="none" w:sz="0" w:space="0" w:color="auto"/>
        <w:right w:val="none" w:sz="0" w:space="0" w:color="auto"/>
      </w:divBdr>
    </w:div>
    <w:div w:id="1568108666">
      <w:bodyDiv w:val="1"/>
      <w:marLeft w:val="0"/>
      <w:marRight w:val="0"/>
      <w:marTop w:val="0"/>
      <w:marBottom w:val="0"/>
      <w:divBdr>
        <w:top w:val="none" w:sz="0" w:space="0" w:color="auto"/>
        <w:left w:val="none" w:sz="0" w:space="0" w:color="auto"/>
        <w:bottom w:val="none" w:sz="0" w:space="0" w:color="auto"/>
        <w:right w:val="none" w:sz="0" w:space="0" w:color="auto"/>
      </w:divBdr>
    </w:div>
    <w:div w:id="1568295249">
      <w:bodyDiv w:val="1"/>
      <w:marLeft w:val="0"/>
      <w:marRight w:val="0"/>
      <w:marTop w:val="0"/>
      <w:marBottom w:val="0"/>
      <w:divBdr>
        <w:top w:val="none" w:sz="0" w:space="0" w:color="auto"/>
        <w:left w:val="none" w:sz="0" w:space="0" w:color="auto"/>
        <w:bottom w:val="none" w:sz="0" w:space="0" w:color="auto"/>
        <w:right w:val="none" w:sz="0" w:space="0" w:color="auto"/>
      </w:divBdr>
    </w:div>
    <w:div w:id="1568342553">
      <w:bodyDiv w:val="1"/>
      <w:marLeft w:val="0"/>
      <w:marRight w:val="0"/>
      <w:marTop w:val="0"/>
      <w:marBottom w:val="0"/>
      <w:divBdr>
        <w:top w:val="none" w:sz="0" w:space="0" w:color="auto"/>
        <w:left w:val="none" w:sz="0" w:space="0" w:color="auto"/>
        <w:bottom w:val="none" w:sz="0" w:space="0" w:color="auto"/>
        <w:right w:val="none" w:sz="0" w:space="0" w:color="auto"/>
      </w:divBdr>
    </w:div>
    <w:div w:id="1568609518">
      <w:bodyDiv w:val="1"/>
      <w:marLeft w:val="0"/>
      <w:marRight w:val="0"/>
      <w:marTop w:val="0"/>
      <w:marBottom w:val="0"/>
      <w:divBdr>
        <w:top w:val="none" w:sz="0" w:space="0" w:color="auto"/>
        <w:left w:val="none" w:sz="0" w:space="0" w:color="auto"/>
        <w:bottom w:val="none" w:sz="0" w:space="0" w:color="auto"/>
        <w:right w:val="none" w:sz="0" w:space="0" w:color="auto"/>
      </w:divBdr>
    </w:div>
    <w:div w:id="1568762856">
      <w:bodyDiv w:val="1"/>
      <w:marLeft w:val="0"/>
      <w:marRight w:val="0"/>
      <w:marTop w:val="0"/>
      <w:marBottom w:val="0"/>
      <w:divBdr>
        <w:top w:val="none" w:sz="0" w:space="0" w:color="auto"/>
        <w:left w:val="none" w:sz="0" w:space="0" w:color="auto"/>
        <w:bottom w:val="none" w:sz="0" w:space="0" w:color="auto"/>
        <w:right w:val="none" w:sz="0" w:space="0" w:color="auto"/>
      </w:divBdr>
    </w:div>
    <w:div w:id="1569877862">
      <w:bodyDiv w:val="1"/>
      <w:marLeft w:val="0"/>
      <w:marRight w:val="0"/>
      <w:marTop w:val="0"/>
      <w:marBottom w:val="0"/>
      <w:divBdr>
        <w:top w:val="none" w:sz="0" w:space="0" w:color="auto"/>
        <w:left w:val="none" w:sz="0" w:space="0" w:color="auto"/>
        <w:bottom w:val="none" w:sz="0" w:space="0" w:color="auto"/>
        <w:right w:val="none" w:sz="0" w:space="0" w:color="auto"/>
      </w:divBdr>
    </w:div>
    <w:div w:id="1569997965">
      <w:bodyDiv w:val="1"/>
      <w:marLeft w:val="0"/>
      <w:marRight w:val="0"/>
      <w:marTop w:val="0"/>
      <w:marBottom w:val="0"/>
      <w:divBdr>
        <w:top w:val="none" w:sz="0" w:space="0" w:color="auto"/>
        <w:left w:val="none" w:sz="0" w:space="0" w:color="auto"/>
        <w:bottom w:val="none" w:sz="0" w:space="0" w:color="auto"/>
        <w:right w:val="none" w:sz="0" w:space="0" w:color="auto"/>
      </w:divBdr>
    </w:div>
    <w:div w:id="1570850182">
      <w:bodyDiv w:val="1"/>
      <w:marLeft w:val="0"/>
      <w:marRight w:val="0"/>
      <w:marTop w:val="0"/>
      <w:marBottom w:val="0"/>
      <w:divBdr>
        <w:top w:val="none" w:sz="0" w:space="0" w:color="auto"/>
        <w:left w:val="none" w:sz="0" w:space="0" w:color="auto"/>
        <w:bottom w:val="none" w:sz="0" w:space="0" w:color="auto"/>
        <w:right w:val="none" w:sz="0" w:space="0" w:color="auto"/>
      </w:divBdr>
    </w:div>
    <w:div w:id="1570923247">
      <w:bodyDiv w:val="1"/>
      <w:marLeft w:val="0"/>
      <w:marRight w:val="0"/>
      <w:marTop w:val="0"/>
      <w:marBottom w:val="0"/>
      <w:divBdr>
        <w:top w:val="none" w:sz="0" w:space="0" w:color="auto"/>
        <w:left w:val="none" w:sz="0" w:space="0" w:color="auto"/>
        <w:bottom w:val="none" w:sz="0" w:space="0" w:color="auto"/>
        <w:right w:val="none" w:sz="0" w:space="0" w:color="auto"/>
      </w:divBdr>
    </w:div>
    <w:div w:id="1571498518">
      <w:bodyDiv w:val="1"/>
      <w:marLeft w:val="0"/>
      <w:marRight w:val="0"/>
      <w:marTop w:val="0"/>
      <w:marBottom w:val="0"/>
      <w:divBdr>
        <w:top w:val="none" w:sz="0" w:space="0" w:color="auto"/>
        <w:left w:val="none" w:sz="0" w:space="0" w:color="auto"/>
        <w:bottom w:val="none" w:sz="0" w:space="0" w:color="auto"/>
        <w:right w:val="none" w:sz="0" w:space="0" w:color="auto"/>
      </w:divBdr>
    </w:div>
    <w:div w:id="1571575349">
      <w:bodyDiv w:val="1"/>
      <w:marLeft w:val="0"/>
      <w:marRight w:val="0"/>
      <w:marTop w:val="0"/>
      <w:marBottom w:val="0"/>
      <w:divBdr>
        <w:top w:val="none" w:sz="0" w:space="0" w:color="auto"/>
        <w:left w:val="none" w:sz="0" w:space="0" w:color="auto"/>
        <w:bottom w:val="none" w:sz="0" w:space="0" w:color="auto"/>
        <w:right w:val="none" w:sz="0" w:space="0" w:color="auto"/>
      </w:divBdr>
    </w:div>
    <w:div w:id="1571622009">
      <w:bodyDiv w:val="1"/>
      <w:marLeft w:val="0"/>
      <w:marRight w:val="0"/>
      <w:marTop w:val="0"/>
      <w:marBottom w:val="0"/>
      <w:divBdr>
        <w:top w:val="none" w:sz="0" w:space="0" w:color="auto"/>
        <w:left w:val="none" w:sz="0" w:space="0" w:color="auto"/>
        <w:bottom w:val="none" w:sz="0" w:space="0" w:color="auto"/>
        <w:right w:val="none" w:sz="0" w:space="0" w:color="auto"/>
      </w:divBdr>
    </w:div>
    <w:div w:id="1571651429">
      <w:bodyDiv w:val="1"/>
      <w:marLeft w:val="0"/>
      <w:marRight w:val="0"/>
      <w:marTop w:val="0"/>
      <w:marBottom w:val="0"/>
      <w:divBdr>
        <w:top w:val="none" w:sz="0" w:space="0" w:color="auto"/>
        <w:left w:val="none" w:sz="0" w:space="0" w:color="auto"/>
        <w:bottom w:val="none" w:sz="0" w:space="0" w:color="auto"/>
        <w:right w:val="none" w:sz="0" w:space="0" w:color="auto"/>
      </w:divBdr>
    </w:div>
    <w:div w:id="1571773870">
      <w:bodyDiv w:val="1"/>
      <w:marLeft w:val="0"/>
      <w:marRight w:val="0"/>
      <w:marTop w:val="0"/>
      <w:marBottom w:val="0"/>
      <w:divBdr>
        <w:top w:val="none" w:sz="0" w:space="0" w:color="auto"/>
        <w:left w:val="none" w:sz="0" w:space="0" w:color="auto"/>
        <w:bottom w:val="none" w:sz="0" w:space="0" w:color="auto"/>
        <w:right w:val="none" w:sz="0" w:space="0" w:color="auto"/>
      </w:divBdr>
    </w:div>
    <w:div w:id="1571961612">
      <w:bodyDiv w:val="1"/>
      <w:marLeft w:val="0"/>
      <w:marRight w:val="0"/>
      <w:marTop w:val="0"/>
      <w:marBottom w:val="0"/>
      <w:divBdr>
        <w:top w:val="none" w:sz="0" w:space="0" w:color="auto"/>
        <w:left w:val="none" w:sz="0" w:space="0" w:color="auto"/>
        <w:bottom w:val="none" w:sz="0" w:space="0" w:color="auto"/>
        <w:right w:val="none" w:sz="0" w:space="0" w:color="auto"/>
      </w:divBdr>
    </w:div>
    <w:div w:id="1571966336">
      <w:bodyDiv w:val="1"/>
      <w:marLeft w:val="0"/>
      <w:marRight w:val="0"/>
      <w:marTop w:val="0"/>
      <w:marBottom w:val="0"/>
      <w:divBdr>
        <w:top w:val="none" w:sz="0" w:space="0" w:color="auto"/>
        <w:left w:val="none" w:sz="0" w:space="0" w:color="auto"/>
        <w:bottom w:val="none" w:sz="0" w:space="0" w:color="auto"/>
        <w:right w:val="none" w:sz="0" w:space="0" w:color="auto"/>
      </w:divBdr>
    </w:div>
    <w:div w:id="1572227149">
      <w:bodyDiv w:val="1"/>
      <w:marLeft w:val="0"/>
      <w:marRight w:val="0"/>
      <w:marTop w:val="0"/>
      <w:marBottom w:val="0"/>
      <w:divBdr>
        <w:top w:val="none" w:sz="0" w:space="0" w:color="auto"/>
        <w:left w:val="none" w:sz="0" w:space="0" w:color="auto"/>
        <w:bottom w:val="none" w:sz="0" w:space="0" w:color="auto"/>
        <w:right w:val="none" w:sz="0" w:space="0" w:color="auto"/>
      </w:divBdr>
    </w:div>
    <w:div w:id="1572232485">
      <w:bodyDiv w:val="1"/>
      <w:marLeft w:val="0"/>
      <w:marRight w:val="0"/>
      <w:marTop w:val="0"/>
      <w:marBottom w:val="0"/>
      <w:divBdr>
        <w:top w:val="none" w:sz="0" w:space="0" w:color="auto"/>
        <w:left w:val="none" w:sz="0" w:space="0" w:color="auto"/>
        <w:bottom w:val="none" w:sz="0" w:space="0" w:color="auto"/>
        <w:right w:val="none" w:sz="0" w:space="0" w:color="auto"/>
      </w:divBdr>
    </w:div>
    <w:div w:id="1572930467">
      <w:bodyDiv w:val="1"/>
      <w:marLeft w:val="0"/>
      <w:marRight w:val="0"/>
      <w:marTop w:val="0"/>
      <w:marBottom w:val="0"/>
      <w:divBdr>
        <w:top w:val="none" w:sz="0" w:space="0" w:color="auto"/>
        <w:left w:val="none" w:sz="0" w:space="0" w:color="auto"/>
        <w:bottom w:val="none" w:sz="0" w:space="0" w:color="auto"/>
        <w:right w:val="none" w:sz="0" w:space="0" w:color="auto"/>
      </w:divBdr>
    </w:div>
    <w:div w:id="1573005104">
      <w:bodyDiv w:val="1"/>
      <w:marLeft w:val="0"/>
      <w:marRight w:val="0"/>
      <w:marTop w:val="0"/>
      <w:marBottom w:val="0"/>
      <w:divBdr>
        <w:top w:val="none" w:sz="0" w:space="0" w:color="auto"/>
        <w:left w:val="none" w:sz="0" w:space="0" w:color="auto"/>
        <w:bottom w:val="none" w:sz="0" w:space="0" w:color="auto"/>
        <w:right w:val="none" w:sz="0" w:space="0" w:color="auto"/>
      </w:divBdr>
    </w:div>
    <w:div w:id="1573193989">
      <w:bodyDiv w:val="1"/>
      <w:marLeft w:val="0"/>
      <w:marRight w:val="0"/>
      <w:marTop w:val="0"/>
      <w:marBottom w:val="0"/>
      <w:divBdr>
        <w:top w:val="none" w:sz="0" w:space="0" w:color="auto"/>
        <w:left w:val="none" w:sz="0" w:space="0" w:color="auto"/>
        <w:bottom w:val="none" w:sz="0" w:space="0" w:color="auto"/>
        <w:right w:val="none" w:sz="0" w:space="0" w:color="auto"/>
      </w:divBdr>
    </w:div>
    <w:div w:id="1573197866">
      <w:bodyDiv w:val="1"/>
      <w:marLeft w:val="0"/>
      <w:marRight w:val="0"/>
      <w:marTop w:val="0"/>
      <w:marBottom w:val="0"/>
      <w:divBdr>
        <w:top w:val="none" w:sz="0" w:space="0" w:color="auto"/>
        <w:left w:val="none" w:sz="0" w:space="0" w:color="auto"/>
        <w:bottom w:val="none" w:sz="0" w:space="0" w:color="auto"/>
        <w:right w:val="none" w:sz="0" w:space="0" w:color="auto"/>
      </w:divBdr>
    </w:div>
    <w:div w:id="1573736998">
      <w:bodyDiv w:val="1"/>
      <w:marLeft w:val="0"/>
      <w:marRight w:val="0"/>
      <w:marTop w:val="0"/>
      <w:marBottom w:val="0"/>
      <w:divBdr>
        <w:top w:val="none" w:sz="0" w:space="0" w:color="auto"/>
        <w:left w:val="none" w:sz="0" w:space="0" w:color="auto"/>
        <w:bottom w:val="none" w:sz="0" w:space="0" w:color="auto"/>
        <w:right w:val="none" w:sz="0" w:space="0" w:color="auto"/>
      </w:divBdr>
    </w:div>
    <w:div w:id="1573738570">
      <w:bodyDiv w:val="1"/>
      <w:marLeft w:val="0"/>
      <w:marRight w:val="0"/>
      <w:marTop w:val="0"/>
      <w:marBottom w:val="0"/>
      <w:divBdr>
        <w:top w:val="none" w:sz="0" w:space="0" w:color="auto"/>
        <w:left w:val="none" w:sz="0" w:space="0" w:color="auto"/>
        <w:bottom w:val="none" w:sz="0" w:space="0" w:color="auto"/>
        <w:right w:val="none" w:sz="0" w:space="0" w:color="auto"/>
      </w:divBdr>
    </w:div>
    <w:div w:id="1573929134">
      <w:bodyDiv w:val="1"/>
      <w:marLeft w:val="0"/>
      <w:marRight w:val="0"/>
      <w:marTop w:val="0"/>
      <w:marBottom w:val="0"/>
      <w:divBdr>
        <w:top w:val="none" w:sz="0" w:space="0" w:color="auto"/>
        <w:left w:val="none" w:sz="0" w:space="0" w:color="auto"/>
        <w:bottom w:val="none" w:sz="0" w:space="0" w:color="auto"/>
        <w:right w:val="none" w:sz="0" w:space="0" w:color="auto"/>
      </w:divBdr>
    </w:div>
    <w:div w:id="1574704954">
      <w:bodyDiv w:val="1"/>
      <w:marLeft w:val="0"/>
      <w:marRight w:val="0"/>
      <w:marTop w:val="0"/>
      <w:marBottom w:val="0"/>
      <w:divBdr>
        <w:top w:val="none" w:sz="0" w:space="0" w:color="auto"/>
        <w:left w:val="none" w:sz="0" w:space="0" w:color="auto"/>
        <w:bottom w:val="none" w:sz="0" w:space="0" w:color="auto"/>
        <w:right w:val="none" w:sz="0" w:space="0" w:color="auto"/>
      </w:divBdr>
    </w:div>
    <w:div w:id="1574729846">
      <w:bodyDiv w:val="1"/>
      <w:marLeft w:val="0"/>
      <w:marRight w:val="0"/>
      <w:marTop w:val="0"/>
      <w:marBottom w:val="0"/>
      <w:divBdr>
        <w:top w:val="none" w:sz="0" w:space="0" w:color="auto"/>
        <w:left w:val="none" w:sz="0" w:space="0" w:color="auto"/>
        <w:bottom w:val="none" w:sz="0" w:space="0" w:color="auto"/>
        <w:right w:val="none" w:sz="0" w:space="0" w:color="auto"/>
      </w:divBdr>
    </w:div>
    <w:div w:id="1575046751">
      <w:bodyDiv w:val="1"/>
      <w:marLeft w:val="0"/>
      <w:marRight w:val="0"/>
      <w:marTop w:val="0"/>
      <w:marBottom w:val="0"/>
      <w:divBdr>
        <w:top w:val="none" w:sz="0" w:space="0" w:color="auto"/>
        <w:left w:val="none" w:sz="0" w:space="0" w:color="auto"/>
        <w:bottom w:val="none" w:sz="0" w:space="0" w:color="auto"/>
        <w:right w:val="none" w:sz="0" w:space="0" w:color="auto"/>
      </w:divBdr>
    </w:div>
    <w:div w:id="1575627982">
      <w:bodyDiv w:val="1"/>
      <w:marLeft w:val="0"/>
      <w:marRight w:val="0"/>
      <w:marTop w:val="0"/>
      <w:marBottom w:val="0"/>
      <w:divBdr>
        <w:top w:val="none" w:sz="0" w:space="0" w:color="auto"/>
        <w:left w:val="none" w:sz="0" w:space="0" w:color="auto"/>
        <w:bottom w:val="none" w:sz="0" w:space="0" w:color="auto"/>
        <w:right w:val="none" w:sz="0" w:space="0" w:color="auto"/>
      </w:divBdr>
    </w:div>
    <w:div w:id="1575815113">
      <w:bodyDiv w:val="1"/>
      <w:marLeft w:val="0"/>
      <w:marRight w:val="0"/>
      <w:marTop w:val="0"/>
      <w:marBottom w:val="0"/>
      <w:divBdr>
        <w:top w:val="none" w:sz="0" w:space="0" w:color="auto"/>
        <w:left w:val="none" w:sz="0" w:space="0" w:color="auto"/>
        <w:bottom w:val="none" w:sz="0" w:space="0" w:color="auto"/>
        <w:right w:val="none" w:sz="0" w:space="0" w:color="auto"/>
      </w:divBdr>
    </w:div>
    <w:div w:id="1575897872">
      <w:bodyDiv w:val="1"/>
      <w:marLeft w:val="0"/>
      <w:marRight w:val="0"/>
      <w:marTop w:val="0"/>
      <w:marBottom w:val="0"/>
      <w:divBdr>
        <w:top w:val="none" w:sz="0" w:space="0" w:color="auto"/>
        <w:left w:val="none" w:sz="0" w:space="0" w:color="auto"/>
        <w:bottom w:val="none" w:sz="0" w:space="0" w:color="auto"/>
        <w:right w:val="none" w:sz="0" w:space="0" w:color="auto"/>
      </w:divBdr>
    </w:div>
    <w:div w:id="1576016246">
      <w:bodyDiv w:val="1"/>
      <w:marLeft w:val="0"/>
      <w:marRight w:val="0"/>
      <w:marTop w:val="0"/>
      <w:marBottom w:val="0"/>
      <w:divBdr>
        <w:top w:val="none" w:sz="0" w:space="0" w:color="auto"/>
        <w:left w:val="none" w:sz="0" w:space="0" w:color="auto"/>
        <w:bottom w:val="none" w:sz="0" w:space="0" w:color="auto"/>
        <w:right w:val="none" w:sz="0" w:space="0" w:color="auto"/>
      </w:divBdr>
    </w:div>
    <w:div w:id="1576208033">
      <w:bodyDiv w:val="1"/>
      <w:marLeft w:val="0"/>
      <w:marRight w:val="0"/>
      <w:marTop w:val="0"/>
      <w:marBottom w:val="0"/>
      <w:divBdr>
        <w:top w:val="none" w:sz="0" w:space="0" w:color="auto"/>
        <w:left w:val="none" w:sz="0" w:space="0" w:color="auto"/>
        <w:bottom w:val="none" w:sz="0" w:space="0" w:color="auto"/>
        <w:right w:val="none" w:sz="0" w:space="0" w:color="auto"/>
      </w:divBdr>
    </w:div>
    <w:div w:id="1576208846">
      <w:bodyDiv w:val="1"/>
      <w:marLeft w:val="0"/>
      <w:marRight w:val="0"/>
      <w:marTop w:val="0"/>
      <w:marBottom w:val="0"/>
      <w:divBdr>
        <w:top w:val="none" w:sz="0" w:space="0" w:color="auto"/>
        <w:left w:val="none" w:sz="0" w:space="0" w:color="auto"/>
        <w:bottom w:val="none" w:sz="0" w:space="0" w:color="auto"/>
        <w:right w:val="none" w:sz="0" w:space="0" w:color="auto"/>
      </w:divBdr>
    </w:div>
    <w:div w:id="1576814164">
      <w:bodyDiv w:val="1"/>
      <w:marLeft w:val="0"/>
      <w:marRight w:val="0"/>
      <w:marTop w:val="0"/>
      <w:marBottom w:val="0"/>
      <w:divBdr>
        <w:top w:val="none" w:sz="0" w:space="0" w:color="auto"/>
        <w:left w:val="none" w:sz="0" w:space="0" w:color="auto"/>
        <w:bottom w:val="none" w:sz="0" w:space="0" w:color="auto"/>
        <w:right w:val="none" w:sz="0" w:space="0" w:color="auto"/>
      </w:divBdr>
    </w:div>
    <w:div w:id="1576889278">
      <w:bodyDiv w:val="1"/>
      <w:marLeft w:val="0"/>
      <w:marRight w:val="0"/>
      <w:marTop w:val="0"/>
      <w:marBottom w:val="0"/>
      <w:divBdr>
        <w:top w:val="none" w:sz="0" w:space="0" w:color="auto"/>
        <w:left w:val="none" w:sz="0" w:space="0" w:color="auto"/>
        <w:bottom w:val="none" w:sz="0" w:space="0" w:color="auto"/>
        <w:right w:val="none" w:sz="0" w:space="0" w:color="auto"/>
      </w:divBdr>
    </w:div>
    <w:div w:id="1577326149">
      <w:bodyDiv w:val="1"/>
      <w:marLeft w:val="0"/>
      <w:marRight w:val="0"/>
      <w:marTop w:val="0"/>
      <w:marBottom w:val="0"/>
      <w:divBdr>
        <w:top w:val="none" w:sz="0" w:space="0" w:color="auto"/>
        <w:left w:val="none" w:sz="0" w:space="0" w:color="auto"/>
        <w:bottom w:val="none" w:sz="0" w:space="0" w:color="auto"/>
        <w:right w:val="none" w:sz="0" w:space="0" w:color="auto"/>
      </w:divBdr>
    </w:div>
    <w:div w:id="1577549344">
      <w:bodyDiv w:val="1"/>
      <w:marLeft w:val="0"/>
      <w:marRight w:val="0"/>
      <w:marTop w:val="0"/>
      <w:marBottom w:val="0"/>
      <w:divBdr>
        <w:top w:val="none" w:sz="0" w:space="0" w:color="auto"/>
        <w:left w:val="none" w:sz="0" w:space="0" w:color="auto"/>
        <w:bottom w:val="none" w:sz="0" w:space="0" w:color="auto"/>
        <w:right w:val="none" w:sz="0" w:space="0" w:color="auto"/>
      </w:divBdr>
    </w:div>
    <w:div w:id="1577664739">
      <w:bodyDiv w:val="1"/>
      <w:marLeft w:val="0"/>
      <w:marRight w:val="0"/>
      <w:marTop w:val="0"/>
      <w:marBottom w:val="0"/>
      <w:divBdr>
        <w:top w:val="none" w:sz="0" w:space="0" w:color="auto"/>
        <w:left w:val="none" w:sz="0" w:space="0" w:color="auto"/>
        <w:bottom w:val="none" w:sz="0" w:space="0" w:color="auto"/>
        <w:right w:val="none" w:sz="0" w:space="0" w:color="auto"/>
      </w:divBdr>
    </w:div>
    <w:div w:id="1578249731">
      <w:bodyDiv w:val="1"/>
      <w:marLeft w:val="0"/>
      <w:marRight w:val="0"/>
      <w:marTop w:val="0"/>
      <w:marBottom w:val="0"/>
      <w:divBdr>
        <w:top w:val="none" w:sz="0" w:space="0" w:color="auto"/>
        <w:left w:val="none" w:sz="0" w:space="0" w:color="auto"/>
        <w:bottom w:val="none" w:sz="0" w:space="0" w:color="auto"/>
        <w:right w:val="none" w:sz="0" w:space="0" w:color="auto"/>
      </w:divBdr>
    </w:div>
    <w:div w:id="1578637130">
      <w:bodyDiv w:val="1"/>
      <w:marLeft w:val="0"/>
      <w:marRight w:val="0"/>
      <w:marTop w:val="0"/>
      <w:marBottom w:val="0"/>
      <w:divBdr>
        <w:top w:val="none" w:sz="0" w:space="0" w:color="auto"/>
        <w:left w:val="none" w:sz="0" w:space="0" w:color="auto"/>
        <w:bottom w:val="none" w:sz="0" w:space="0" w:color="auto"/>
        <w:right w:val="none" w:sz="0" w:space="0" w:color="auto"/>
      </w:divBdr>
    </w:div>
    <w:div w:id="1579248583">
      <w:bodyDiv w:val="1"/>
      <w:marLeft w:val="0"/>
      <w:marRight w:val="0"/>
      <w:marTop w:val="0"/>
      <w:marBottom w:val="0"/>
      <w:divBdr>
        <w:top w:val="none" w:sz="0" w:space="0" w:color="auto"/>
        <w:left w:val="none" w:sz="0" w:space="0" w:color="auto"/>
        <w:bottom w:val="none" w:sz="0" w:space="0" w:color="auto"/>
        <w:right w:val="none" w:sz="0" w:space="0" w:color="auto"/>
      </w:divBdr>
    </w:div>
    <w:div w:id="1579363549">
      <w:bodyDiv w:val="1"/>
      <w:marLeft w:val="0"/>
      <w:marRight w:val="0"/>
      <w:marTop w:val="0"/>
      <w:marBottom w:val="0"/>
      <w:divBdr>
        <w:top w:val="none" w:sz="0" w:space="0" w:color="auto"/>
        <w:left w:val="none" w:sz="0" w:space="0" w:color="auto"/>
        <w:bottom w:val="none" w:sz="0" w:space="0" w:color="auto"/>
        <w:right w:val="none" w:sz="0" w:space="0" w:color="auto"/>
      </w:divBdr>
    </w:div>
    <w:div w:id="1579946617">
      <w:bodyDiv w:val="1"/>
      <w:marLeft w:val="0"/>
      <w:marRight w:val="0"/>
      <w:marTop w:val="0"/>
      <w:marBottom w:val="0"/>
      <w:divBdr>
        <w:top w:val="none" w:sz="0" w:space="0" w:color="auto"/>
        <w:left w:val="none" w:sz="0" w:space="0" w:color="auto"/>
        <w:bottom w:val="none" w:sz="0" w:space="0" w:color="auto"/>
        <w:right w:val="none" w:sz="0" w:space="0" w:color="auto"/>
      </w:divBdr>
    </w:div>
    <w:div w:id="1579971931">
      <w:bodyDiv w:val="1"/>
      <w:marLeft w:val="0"/>
      <w:marRight w:val="0"/>
      <w:marTop w:val="0"/>
      <w:marBottom w:val="0"/>
      <w:divBdr>
        <w:top w:val="none" w:sz="0" w:space="0" w:color="auto"/>
        <w:left w:val="none" w:sz="0" w:space="0" w:color="auto"/>
        <w:bottom w:val="none" w:sz="0" w:space="0" w:color="auto"/>
        <w:right w:val="none" w:sz="0" w:space="0" w:color="auto"/>
      </w:divBdr>
    </w:div>
    <w:div w:id="1580406753">
      <w:bodyDiv w:val="1"/>
      <w:marLeft w:val="0"/>
      <w:marRight w:val="0"/>
      <w:marTop w:val="0"/>
      <w:marBottom w:val="0"/>
      <w:divBdr>
        <w:top w:val="none" w:sz="0" w:space="0" w:color="auto"/>
        <w:left w:val="none" w:sz="0" w:space="0" w:color="auto"/>
        <w:bottom w:val="none" w:sz="0" w:space="0" w:color="auto"/>
        <w:right w:val="none" w:sz="0" w:space="0" w:color="auto"/>
      </w:divBdr>
    </w:div>
    <w:div w:id="1580745749">
      <w:bodyDiv w:val="1"/>
      <w:marLeft w:val="0"/>
      <w:marRight w:val="0"/>
      <w:marTop w:val="0"/>
      <w:marBottom w:val="0"/>
      <w:divBdr>
        <w:top w:val="none" w:sz="0" w:space="0" w:color="auto"/>
        <w:left w:val="none" w:sz="0" w:space="0" w:color="auto"/>
        <w:bottom w:val="none" w:sz="0" w:space="0" w:color="auto"/>
        <w:right w:val="none" w:sz="0" w:space="0" w:color="auto"/>
      </w:divBdr>
    </w:div>
    <w:div w:id="1580754568">
      <w:bodyDiv w:val="1"/>
      <w:marLeft w:val="0"/>
      <w:marRight w:val="0"/>
      <w:marTop w:val="0"/>
      <w:marBottom w:val="0"/>
      <w:divBdr>
        <w:top w:val="none" w:sz="0" w:space="0" w:color="auto"/>
        <w:left w:val="none" w:sz="0" w:space="0" w:color="auto"/>
        <w:bottom w:val="none" w:sz="0" w:space="0" w:color="auto"/>
        <w:right w:val="none" w:sz="0" w:space="0" w:color="auto"/>
      </w:divBdr>
    </w:div>
    <w:div w:id="1580946397">
      <w:bodyDiv w:val="1"/>
      <w:marLeft w:val="0"/>
      <w:marRight w:val="0"/>
      <w:marTop w:val="0"/>
      <w:marBottom w:val="0"/>
      <w:divBdr>
        <w:top w:val="none" w:sz="0" w:space="0" w:color="auto"/>
        <w:left w:val="none" w:sz="0" w:space="0" w:color="auto"/>
        <w:bottom w:val="none" w:sz="0" w:space="0" w:color="auto"/>
        <w:right w:val="none" w:sz="0" w:space="0" w:color="auto"/>
      </w:divBdr>
    </w:div>
    <w:div w:id="1581409355">
      <w:bodyDiv w:val="1"/>
      <w:marLeft w:val="0"/>
      <w:marRight w:val="0"/>
      <w:marTop w:val="0"/>
      <w:marBottom w:val="0"/>
      <w:divBdr>
        <w:top w:val="none" w:sz="0" w:space="0" w:color="auto"/>
        <w:left w:val="none" w:sz="0" w:space="0" w:color="auto"/>
        <w:bottom w:val="none" w:sz="0" w:space="0" w:color="auto"/>
        <w:right w:val="none" w:sz="0" w:space="0" w:color="auto"/>
      </w:divBdr>
    </w:div>
    <w:div w:id="1582251218">
      <w:bodyDiv w:val="1"/>
      <w:marLeft w:val="0"/>
      <w:marRight w:val="0"/>
      <w:marTop w:val="0"/>
      <w:marBottom w:val="0"/>
      <w:divBdr>
        <w:top w:val="none" w:sz="0" w:space="0" w:color="auto"/>
        <w:left w:val="none" w:sz="0" w:space="0" w:color="auto"/>
        <w:bottom w:val="none" w:sz="0" w:space="0" w:color="auto"/>
        <w:right w:val="none" w:sz="0" w:space="0" w:color="auto"/>
      </w:divBdr>
    </w:div>
    <w:div w:id="1582642078">
      <w:bodyDiv w:val="1"/>
      <w:marLeft w:val="0"/>
      <w:marRight w:val="0"/>
      <w:marTop w:val="0"/>
      <w:marBottom w:val="0"/>
      <w:divBdr>
        <w:top w:val="none" w:sz="0" w:space="0" w:color="auto"/>
        <w:left w:val="none" w:sz="0" w:space="0" w:color="auto"/>
        <w:bottom w:val="none" w:sz="0" w:space="0" w:color="auto"/>
        <w:right w:val="none" w:sz="0" w:space="0" w:color="auto"/>
      </w:divBdr>
    </w:div>
    <w:div w:id="1582837479">
      <w:bodyDiv w:val="1"/>
      <w:marLeft w:val="0"/>
      <w:marRight w:val="0"/>
      <w:marTop w:val="0"/>
      <w:marBottom w:val="0"/>
      <w:divBdr>
        <w:top w:val="none" w:sz="0" w:space="0" w:color="auto"/>
        <w:left w:val="none" w:sz="0" w:space="0" w:color="auto"/>
        <w:bottom w:val="none" w:sz="0" w:space="0" w:color="auto"/>
        <w:right w:val="none" w:sz="0" w:space="0" w:color="auto"/>
      </w:divBdr>
    </w:div>
    <w:div w:id="1583487495">
      <w:bodyDiv w:val="1"/>
      <w:marLeft w:val="0"/>
      <w:marRight w:val="0"/>
      <w:marTop w:val="0"/>
      <w:marBottom w:val="0"/>
      <w:divBdr>
        <w:top w:val="none" w:sz="0" w:space="0" w:color="auto"/>
        <w:left w:val="none" w:sz="0" w:space="0" w:color="auto"/>
        <w:bottom w:val="none" w:sz="0" w:space="0" w:color="auto"/>
        <w:right w:val="none" w:sz="0" w:space="0" w:color="auto"/>
      </w:divBdr>
    </w:div>
    <w:div w:id="1583644650">
      <w:bodyDiv w:val="1"/>
      <w:marLeft w:val="0"/>
      <w:marRight w:val="0"/>
      <w:marTop w:val="0"/>
      <w:marBottom w:val="0"/>
      <w:divBdr>
        <w:top w:val="none" w:sz="0" w:space="0" w:color="auto"/>
        <w:left w:val="none" w:sz="0" w:space="0" w:color="auto"/>
        <w:bottom w:val="none" w:sz="0" w:space="0" w:color="auto"/>
        <w:right w:val="none" w:sz="0" w:space="0" w:color="auto"/>
      </w:divBdr>
    </w:div>
    <w:div w:id="1583836875">
      <w:bodyDiv w:val="1"/>
      <w:marLeft w:val="0"/>
      <w:marRight w:val="0"/>
      <w:marTop w:val="0"/>
      <w:marBottom w:val="0"/>
      <w:divBdr>
        <w:top w:val="none" w:sz="0" w:space="0" w:color="auto"/>
        <w:left w:val="none" w:sz="0" w:space="0" w:color="auto"/>
        <w:bottom w:val="none" w:sz="0" w:space="0" w:color="auto"/>
        <w:right w:val="none" w:sz="0" w:space="0" w:color="auto"/>
      </w:divBdr>
    </w:div>
    <w:div w:id="1584023548">
      <w:bodyDiv w:val="1"/>
      <w:marLeft w:val="0"/>
      <w:marRight w:val="0"/>
      <w:marTop w:val="0"/>
      <w:marBottom w:val="0"/>
      <w:divBdr>
        <w:top w:val="none" w:sz="0" w:space="0" w:color="auto"/>
        <w:left w:val="none" w:sz="0" w:space="0" w:color="auto"/>
        <w:bottom w:val="none" w:sz="0" w:space="0" w:color="auto"/>
        <w:right w:val="none" w:sz="0" w:space="0" w:color="auto"/>
      </w:divBdr>
    </w:div>
    <w:div w:id="1584139742">
      <w:bodyDiv w:val="1"/>
      <w:marLeft w:val="0"/>
      <w:marRight w:val="0"/>
      <w:marTop w:val="0"/>
      <w:marBottom w:val="0"/>
      <w:divBdr>
        <w:top w:val="none" w:sz="0" w:space="0" w:color="auto"/>
        <w:left w:val="none" w:sz="0" w:space="0" w:color="auto"/>
        <w:bottom w:val="none" w:sz="0" w:space="0" w:color="auto"/>
        <w:right w:val="none" w:sz="0" w:space="0" w:color="auto"/>
      </w:divBdr>
    </w:div>
    <w:div w:id="1584142210">
      <w:bodyDiv w:val="1"/>
      <w:marLeft w:val="0"/>
      <w:marRight w:val="0"/>
      <w:marTop w:val="0"/>
      <w:marBottom w:val="0"/>
      <w:divBdr>
        <w:top w:val="none" w:sz="0" w:space="0" w:color="auto"/>
        <w:left w:val="none" w:sz="0" w:space="0" w:color="auto"/>
        <w:bottom w:val="none" w:sz="0" w:space="0" w:color="auto"/>
        <w:right w:val="none" w:sz="0" w:space="0" w:color="auto"/>
      </w:divBdr>
    </w:div>
    <w:div w:id="1584752313">
      <w:bodyDiv w:val="1"/>
      <w:marLeft w:val="0"/>
      <w:marRight w:val="0"/>
      <w:marTop w:val="0"/>
      <w:marBottom w:val="0"/>
      <w:divBdr>
        <w:top w:val="none" w:sz="0" w:space="0" w:color="auto"/>
        <w:left w:val="none" w:sz="0" w:space="0" w:color="auto"/>
        <w:bottom w:val="none" w:sz="0" w:space="0" w:color="auto"/>
        <w:right w:val="none" w:sz="0" w:space="0" w:color="auto"/>
      </w:divBdr>
    </w:div>
    <w:div w:id="1584755188">
      <w:bodyDiv w:val="1"/>
      <w:marLeft w:val="0"/>
      <w:marRight w:val="0"/>
      <w:marTop w:val="0"/>
      <w:marBottom w:val="0"/>
      <w:divBdr>
        <w:top w:val="none" w:sz="0" w:space="0" w:color="auto"/>
        <w:left w:val="none" w:sz="0" w:space="0" w:color="auto"/>
        <w:bottom w:val="none" w:sz="0" w:space="0" w:color="auto"/>
        <w:right w:val="none" w:sz="0" w:space="0" w:color="auto"/>
      </w:divBdr>
    </w:div>
    <w:div w:id="1585064956">
      <w:bodyDiv w:val="1"/>
      <w:marLeft w:val="0"/>
      <w:marRight w:val="0"/>
      <w:marTop w:val="0"/>
      <w:marBottom w:val="0"/>
      <w:divBdr>
        <w:top w:val="none" w:sz="0" w:space="0" w:color="auto"/>
        <w:left w:val="none" w:sz="0" w:space="0" w:color="auto"/>
        <w:bottom w:val="none" w:sz="0" w:space="0" w:color="auto"/>
        <w:right w:val="none" w:sz="0" w:space="0" w:color="auto"/>
      </w:divBdr>
    </w:div>
    <w:div w:id="1585071384">
      <w:bodyDiv w:val="1"/>
      <w:marLeft w:val="0"/>
      <w:marRight w:val="0"/>
      <w:marTop w:val="0"/>
      <w:marBottom w:val="0"/>
      <w:divBdr>
        <w:top w:val="none" w:sz="0" w:space="0" w:color="auto"/>
        <w:left w:val="none" w:sz="0" w:space="0" w:color="auto"/>
        <w:bottom w:val="none" w:sz="0" w:space="0" w:color="auto"/>
        <w:right w:val="none" w:sz="0" w:space="0" w:color="auto"/>
      </w:divBdr>
    </w:div>
    <w:div w:id="1585340203">
      <w:bodyDiv w:val="1"/>
      <w:marLeft w:val="0"/>
      <w:marRight w:val="0"/>
      <w:marTop w:val="0"/>
      <w:marBottom w:val="0"/>
      <w:divBdr>
        <w:top w:val="none" w:sz="0" w:space="0" w:color="auto"/>
        <w:left w:val="none" w:sz="0" w:space="0" w:color="auto"/>
        <w:bottom w:val="none" w:sz="0" w:space="0" w:color="auto"/>
        <w:right w:val="none" w:sz="0" w:space="0" w:color="auto"/>
      </w:divBdr>
    </w:div>
    <w:div w:id="1587032351">
      <w:bodyDiv w:val="1"/>
      <w:marLeft w:val="0"/>
      <w:marRight w:val="0"/>
      <w:marTop w:val="0"/>
      <w:marBottom w:val="0"/>
      <w:divBdr>
        <w:top w:val="none" w:sz="0" w:space="0" w:color="auto"/>
        <w:left w:val="none" w:sz="0" w:space="0" w:color="auto"/>
        <w:bottom w:val="none" w:sz="0" w:space="0" w:color="auto"/>
        <w:right w:val="none" w:sz="0" w:space="0" w:color="auto"/>
      </w:divBdr>
    </w:div>
    <w:div w:id="1587228025">
      <w:bodyDiv w:val="1"/>
      <w:marLeft w:val="0"/>
      <w:marRight w:val="0"/>
      <w:marTop w:val="0"/>
      <w:marBottom w:val="0"/>
      <w:divBdr>
        <w:top w:val="none" w:sz="0" w:space="0" w:color="auto"/>
        <w:left w:val="none" w:sz="0" w:space="0" w:color="auto"/>
        <w:bottom w:val="none" w:sz="0" w:space="0" w:color="auto"/>
        <w:right w:val="none" w:sz="0" w:space="0" w:color="auto"/>
      </w:divBdr>
    </w:div>
    <w:div w:id="1587373692">
      <w:bodyDiv w:val="1"/>
      <w:marLeft w:val="0"/>
      <w:marRight w:val="0"/>
      <w:marTop w:val="0"/>
      <w:marBottom w:val="0"/>
      <w:divBdr>
        <w:top w:val="none" w:sz="0" w:space="0" w:color="auto"/>
        <w:left w:val="none" w:sz="0" w:space="0" w:color="auto"/>
        <w:bottom w:val="none" w:sz="0" w:space="0" w:color="auto"/>
        <w:right w:val="none" w:sz="0" w:space="0" w:color="auto"/>
      </w:divBdr>
    </w:div>
    <w:div w:id="1587493317">
      <w:bodyDiv w:val="1"/>
      <w:marLeft w:val="0"/>
      <w:marRight w:val="0"/>
      <w:marTop w:val="0"/>
      <w:marBottom w:val="0"/>
      <w:divBdr>
        <w:top w:val="none" w:sz="0" w:space="0" w:color="auto"/>
        <w:left w:val="none" w:sz="0" w:space="0" w:color="auto"/>
        <w:bottom w:val="none" w:sz="0" w:space="0" w:color="auto"/>
        <w:right w:val="none" w:sz="0" w:space="0" w:color="auto"/>
      </w:divBdr>
    </w:div>
    <w:div w:id="1588616071">
      <w:bodyDiv w:val="1"/>
      <w:marLeft w:val="0"/>
      <w:marRight w:val="0"/>
      <w:marTop w:val="0"/>
      <w:marBottom w:val="0"/>
      <w:divBdr>
        <w:top w:val="none" w:sz="0" w:space="0" w:color="auto"/>
        <w:left w:val="none" w:sz="0" w:space="0" w:color="auto"/>
        <w:bottom w:val="none" w:sz="0" w:space="0" w:color="auto"/>
        <w:right w:val="none" w:sz="0" w:space="0" w:color="auto"/>
      </w:divBdr>
    </w:div>
    <w:div w:id="1588728589">
      <w:bodyDiv w:val="1"/>
      <w:marLeft w:val="0"/>
      <w:marRight w:val="0"/>
      <w:marTop w:val="0"/>
      <w:marBottom w:val="0"/>
      <w:divBdr>
        <w:top w:val="none" w:sz="0" w:space="0" w:color="auto"/>
        <w:left w:val="none" w:sz="0" w:space="0" w:color="auto"/>
        <w:bottom w:val="none" w:sz="0" w:space="0" w:color="auto"/>
        <w:right w:val="none" w:sz="0" w:space="0" w:color="auto"/>
      </w:divBdr>
    </w:div>
    <w:div w:id="1589460112">
      <w:bodyDiv w:val="1"/>
      <w:marLeft w:val="0"/>
      <w:marRight w:val="0"/>
      <w:marTop w:val="0"/>
      <w:marBottom w:val="0"/>
      <w:divBdr>
        <w:top w:val="none" w:sz="0" w:space="0" w:color="auto"/>
        <w:left w:val="none" w:sz="0" w:space="0" w:color="auto"/>
        <w:bottom w:val="none" w:sz="0" w:space="0" w:color="auto"/>
        <w:right w:val="none" w:sz="0" w:space="0" w:color="auto"/>
      </w:divBdr>
    </w:div>
    <w:div w:id="1589607877">
      <w:bodyDiv w:val="1"/>
      <w:marLeft w:val="0"/>
      <w:marRight w:val="0"/>
      <w:marTop w:val="0"/>
      <w:marBottom w:val="0"/>
      <w:divBdr>
        <w:top w:val="none" w:sz="0" w:space="0" w:color="auto"/>
        <w:left w:val="none" w:sz="0" w:space="0" w:color="auto"/>
        <w:bottom w:val="none" w:sz="0" w:space="0" w:color="auto"/>
        <w:right w:val="none" w:sz="0" w:space="0" w:color="auto"/>
      </w:divBdr>
    </w:div>
    <w:div w:id="1589847303">
      <w:bodyDiv w:val="1"/>
      <w:marLeft w:val="0"/>
      <w:marRight w:val="0"/>
      <w:marTop w:val="0"/>
      <w:marBottom w:val="0"/>
      <w:divBdr>
        <w:top w:val="none" w:sz="0" w:space="0" w:color="auto"/>
        <w:left w:val="none" w:sz="0" w:space="0" w:color="auto"/>
        <w:bottom w:val="none" w:sz="0" w:space="0" w:color="auto"/>
        <w:right w:val="none" w:sz="0" w:space="0" w:color="auto"/>
      </w:divBdr>
    </w:div>
    <w:div w:id="1590045130">
      <w:bodyDiv w:val="1"/>
      <w:marLeft w:val="0"/>
      <w:marRight w:val="0"/>
      <w:marTop w:val="0"/>
      <w:marBottom w:val="0"/>
      <w:divBdr>
        <w:top w:val="none" w:sz="0" w:space="0" w:color="auto"/>
        <w:left w:val="none" w:sz="0" w:space="0" w:color="auto"/>
        <w:bottom w:val="none" w:sz="0" w:space="0" w:color="auto"/>
        <w:right w:val="none" w:sz="0" w:space="0" w:color="auto"/>
      </w:divBdr>
    </w:div>
    <w:div w:id="1590235269">
      <w:bodyDiv w:val="1"/>
      <w:marLeft w:val="0"/>
      <w:marRight w:val="0"/>
      <w:marTop w:val="0"/>
      <w:marBottom w:val="0"/>
      <w:divBdr>
        <w:top w:val="none" w:sz="0" w:space="0" w:color="auto"/>
        <w:left w:val="none" w:sz="0" w:space="0" w:color="auto"/>
        <w:bottom w:val="none" w:sz="0" w:space="0" w:color="auto"/>
        <w:right w:val="none" w:sz="0" w:space="0" w:color="auto"/>
      </w:divBdr>
    </w:div>
    <w:div w:id="1590700048">
      <w:bodyDiv w:val="1"/>
      <w:marLeft w:val="0"/>
      <w:marRight w:val="0"/>
      <w:marTop w:val="0"/>
      <w:marBottom w:val="0"/>
      <w:divBdr>
        <w:top w:val="none" w:sz="0" w:space="0" w:color="auto"/>
        <w:left w:val="none" w:sz="0" w:space="0" w:color="auto"/>
        <w:bottom w:val="none" w:sz="0" w:space="0" w:color="auto"/>
        <w:right w:val="none" w:sz="0" w:space="0" w:color="auto"/>
      </w:divBdr>
    </w:div>
    <w:div w:id="1591230600">
      <w:bodyDiv w:val="1"/>
      <w:marLeft w:val="0"/>
      <w:marRight w:val="0"/>
      <w:marTop w:val="0"/>
      <w:marBottom w:val="0"/>
      <w:divBdr>
        <w:top w:val="none" w:sz="0" w:space="0" w:color="auto"/>
        <w:left w:val="none" w:sz="0" w:space="0" w:color="auto"/>
        <w:bottom w:val="none" w:sz="0" w:space="0" w:color="auto"/>
        <w:right w:val="none" w:sz="0" w:space="0" w:color="auto"/>
      </w:divBdr>
    </w:div>
    <w:div w:id="1591622069">
      <w:bodyDiv w:val="1"/>
      <w:marLeft w:val="0"/>
      <w:marRight w:val="0"/>
      <w:marTop w:val="0"/>
      <w:marBottom w:val="0"/>
      <w:divBdr>
        <w:top w:val="none" w:sz="0" w:space="0" w:color="auto"/>
        <w:left w:val="none" w:sz="0" w:space="0" w:color="auto"/>
        <w:bottom w:val="none" w:sz="0" w:space="0" w:color="auto"/>
        <w:right w:val="none" w:sz="0" w:space="0" w:color="auto"/>
      </w:divBdr>
    </w:div>
    <w:div w:id="1591738937">
      <w:bodyDiv w:val="1"/>
      <w:marLeft w:val="0"/>
      <w:marRight w:val="0"/>
      <w:marTop w:val="0"/>
      <w:marBottom w:val="0"/>
      <w:divBdr>
        <w:top w:val="none" w:sz="0" w:space="0" w:color="auto"/>
        <w:left w:val="none" w:sz="0" w:space="0" w:color="auto"/>
        <w:bottom w:val="none" w:sz="0" w:space="0" w:color="auto"/>
        <w:right w:val="none" w:sz="0" w:space="0" w:color="auto"/>
      </w:divBdr>
    </w:div>
    <w:div w:id="1592078037">
      <w:bodyDiv w:val="1"/>
      <w:marLeft w:val="0"/>
      <w:marRight w:val="0"/>
      <w:marTop w:val="0"/>
      <w:marBottom w:val="0"/>
      <w:divBdr>
        <w:top w:val="none" w:sz="0" w:space="0" w:color="auto"/>
        <w:left w:val="none" w:sz="0" w:space="0" w:color="auto"/>
        <w:bottom w:val="none" w:sz="0" w:space="0" w:color="auto"/>
        <w:right w:val="none" w:sz="0" w:space="0" w:color="auto"/>
      </w:divBdr>
    </w:div>
    <w:div w:id="1592084655">
      <w:bodyDiv w:val="1"/>
      <w:marLeft w:val="0"/>
      <w:marRight w:val="0"/>
      <w:marTop w:val="0"/>
      <w:marBottom w:val="0"/>
      <w:divBdr>
        <w:top w:val="none" w:sz="0" w:space="0" w:color="auto"/>
        <w:left w:val="none" w:sz="0" w:space="0" w:color="auto"/>
        <w:bottom w:val="none" w:sz="0" w:space="0" w:color="auto"/>
        <w:right w:val="none" w:sz="0" w:space="0" w:color="auto"/>
      </w:divBdr>
    </w:div>
    <w:div w:id="1592591024">
      <w:bodyDiv w:val="1"/>
      <w:marLeft w:val="0"/>
      <w:marRight w:val="0"/>
      <w:marTop w:val="0"/>
      <w:marBottom w:val="0"/>
      <w:divBdr>
        <w:top w:val="none" w:sz="0" w:space="0" w:color="auto"/>
        <w:left w:val="none" w:sz="0" w:space="0" w:color="auto"/>
        <w:bottom w:val="none" w:sz="0" w:space="0" w:color="auto"/>
        <w:right w:val="none" w:sz="0" w:space="0" w:color="auto"/>
      </w:divBdr>
    </w:div>
    <w:div w:id="1592616697">
      <w:bodyDiv w:val="1"/>
      <w:marLeft w:val="0"/>
      <w:marRight w:val="0"/>
      <w:marTop w:val="0"/>
      <w:marBottom w:val="0"/>
      <w:divBdr>
        <w:top w:val="none" w:sz="0" w:space="0" w:color="auto"/>
        <w:left w:val="none" w:sz="0" w:space="0" w:color="auto"/>
        <w:bottom w:val="none" w:sz="0" w:space="0" w:color="auto"/>
        <w:right w:val="none" w:sz="0" w:space="0" w:color="auto"/>
      </w:divBdr>
    </w:div>
    <w:div w:id="1593511475">
      <w:bodyDiv w:val="1"/>
      <w:marLeft w:val="0"/>
      <w:marRight w:val="0"/>
      <w:marTop w:val="0"/>
      <w:marBottom w:val="0"/>
      <w:divBdr>
        <w:top w:val="none" w:sz="0" w:space="0" w:color="auto"/>
        <w:left w:val="none" w:sz="0" w:space="0" w:color="auto"/>
        <w:bottom w:val="none" w:sz="0" w:space="0" w:color="auto"/>
        <w:right w:val="none" w:sz="0" w:space="0" w:color="auto"/>
      </w:divBdr>
    </w:div>
    <w:div w:id="1593587649">
      <w:bodyDiv w:val="1"/>
      <w:marLeft w:val="0"/>
      <w:marRight w:val="0"/>
      <w:marTop w:val="0"/>
      <w:marBottom w:val="0"/>
      <w:divBdr>
        <w:top w:val="none" w:sz="0" w:space="0" w:color="auto"/>
        <w:left w:val="none" w:sz="0" w:space="0" w:color="auto"/>
        <w:bottom w:val="none" w:sz="0" w:space="0" w:color="auto"/>
        <w:right w:val="none" w:sz="0" w:space="0" w:color="auto"/>
      </w:divBdr>
    </w:div>
    <w:div w:id="1593663216">
      <w:bodyDiv w:val="1"/>
      <w:marLeft w:val="0"/>
      <w:marRight w:val="0"/>
      <w:marTop w:val="0"/>
      <w:marBottom w:val="0"/>
      <w:divBdr>
        <w:top w:val="none" w:sz="0" w:space="0" w:color="auto"/>
        <w:left w:val="none" w:sz="0" w:space="0" w:color="auto"/>
        <w:bottom w:val="none" w:sz="0" w:space="0" w:color="auto"/>
        <w:right w:val="none" w:sz="0" w:space="0" w:color="auto"/>
      </w:divBdr>
    </w:div>
    <w:div w:id="1593663654">
      <w:bodyDiv w:val="1"/>
      <w:marLeft w:val="0"/>
      <w:marRight w:val="0"/>
      <w:marTop w:val="0"/>
      <w:marBottom w:val="0"/>
      <w:divBdr>
        <w:top w:val="none" w:sz="0" w:space="0" w:color="auto"/>
        <w:left w:val="none" w:sz="0" w:space="0" w:color="auto"/>
        <w:bottom w:val="none" w:sz="0" w:space="0" w:color="auto"/>
        <w:right w:val="none" w:sz="0" w:space="0" w:color="auto"/>
      </w:divBdr>
    </w:div>
    <w:div w:id="1593705036">
      <w:bodyDiv w:val="1"/>
      <w:marLeft w:val="0"/>
      <w:marRight w:val="0"/>
      <w:marTop w:val="0"/>
      <w:marBottom w:val="0"/>
      <w:divBdr>
        <w:top w:val="none" w:sz="0" w:space="0" w:color="auto"/>
        <w:left w:val="none" w:sz="0" w:space="0" w:color="auto"/>
        <w:bottom w:val="none" w:sz="0" w:space="0" w:color="auto"/>
        <w:right w:val="none" w:sz="0" w:space="0" w:color="auto"/>
      </w:divBdr>
    </w:div>
    <w:div w:id="1593782043">
      <w:bodyDiv w:val="1"/>
      <w:marLeft w:val="0"/>
      <w:marRight w:val="0"/>
      <w:marTop w:val="0"/>
      <w:marBottom w:val="0"/>
      <w:divBdr>
        <w:top w:val="none" w:sz="0" w:space="0" w:color="auto"/>
        <w:left w:val="none" w:sz="0" w:space="0" w:color="auto"/>
        <w:bottom w:val="none" w:sz="0" w:space="0" w:color="auto"/>
        <w:right w:val="none" w:sz="0" w:space="0" w:color="auto"/>
      </w:divBdr>
    </w:div>
    <w:div w:id="1593971436">
      <w:bodyDiv w:val="1"/>
      <w:marLeft w:val="0"/>
      <w:marRight w:val="0"/>
      <w:marTop w:val="0"/>
      <w:marBottom w:val="0"/>
      <w:divBdr>
        <w:top w:val="none" w:sz="0" w:space="0" w:color="auto"/>
        <w:left w:val="none" w:sz="0" w:space="0" w:color="auto"/>
        <w:bottom w:val="none" w:sz="0" w:space="0" w:color="auto"/>
        <w:right w:val="none" w:sz="0" w:space="0" w:color="auto"/>
      </w:divBdr>
    </w:div>
    <w:div w:id="1594438606">
      <w:bodyDiv w:val="1"/>
      <w:marLeft w:val="0"/>
      <w:marRight w:val="0"/>
      <w:marTop w:val="0"/>
      <w:marBottom w:val="0"/>
      <w:divBdr>
        <w:top w:val="none" w:sz="0" w:space="0" w:color="auto"/>
        <w:left w:val="none" w:sz="0" w:space="0" w:color="auto"/>
        <w:bottom w:val="none" w:sz="0" w:space="0" w:color="auto"/>
        <w:right w:val="none" w:sz="0" w:space="0" w:color="auto"/>
      </w:divBdr>
    </w:div>
    <w:div w:id="1594508214">
      <w:bodyDiv w:val="1"/>
      <w:marLeft w:val="0"/>
      <w:marRight w:val="0"/>
      <w:marTop w:val="0"/>
      <w:marBottom w:val="0"/>
      <w:divBdr>
        <w:top w:val="none" w:sz="0" w:space="0" w:color="auto"/>
        <w:left w:val="none" w:sz="0" w:space="0" w:color="auto"/>
        <w:bottom w:val="none" w:sz="0" w:space="0" w:color="auto"/>
        <w:right w:val="none" w:sz="0" w:space="0" w:color="auto"/>
      </w:divBdr>
    </w:div>
    <w:div w:id="1595279437">
      <w:bodyDiv w:val="1"/>
      <w:marLeft w:val="0"/>
      <w:marRight w:val="0"/>
      <w:marTop w:val="0"/>
      <w:marBottom w:val="0"/>
      <w:divBdr>
        <w:top w:val="none" w:sz="0" w:space="0" w:color="auto"/>
        <w:left w:val="none" w:sz="0" w:space="0" w:color="auto"/>
        <w:bottom w:val="none" w:sz="0" w:space="0" w:color="auto"/>
        <w:right w:val="none" w:sz="0" w:space="0" w:color="auto"/>
      </w:divBdr>
    </w:div>
    <w:div w:id="1595432357">
      <w:bodyDiv w:val="1"/>
      <w:marLeft w:val="0"/>
      <w:marRight w:val="0"/>
      <w:marTop w:val="0"/>
      <w:marBottom w:val="0"/>
      <w:divBdr>
        <w:top w:val="none" w:sz="0" w:space="0" w:color="auto"/>
        <w:left w:val="none" w:sz="0" w:space="0" w:color="auto"/>
        <w:bottom w:val="none" w:sz="0" w:space="0" w:color="auto"/>
        <w:right w:val="none" w:sz="0" w:space="0" w:color="auto"/>
      </w:divBdr>
    </w:div>
    <w:div w:id="1595474112">
      <w:bodyDiv w:val="1"/>
      <w:marLeft w:val="0"/>
      <w:marRight w:val="0"/>
      <w:marTop w:val="0"/>
      <w:marBottom w:val="0"/>
      <w:divBdr>
        <w:top w:val="none" w:sz="0" w:space="0" w:color="auto"/>
        <w:left w:val="none" w:sz="0" w:space="0" w:color="auto"/>
        <w:bottom w:val="none" w:sz="0" w:space="0" w:color="auto"/>
        <w:right w:val="none" w:sz="0" w:space="0" w:color="auto"/>
      </w:divBdr>
    </w:div>
    <w:div w:id="1595747196">
      <w:bodyDiv w:val="1"/>
      <w:marLeft w:val="0"/>
      <w:marRight w:val="0"/>
      <w:marTop w:val="0"/>
      <w:marBottom w:val="0"/>
      <w:divBdr>
        <w:top w:val="none" w:sz="0" w:space="0" w:color="auto"/>
        <w:left w:val="none" w:sz="0" w:space="0" w:color="auto"/>
        <w:bottom w:val="none" w:sz="0" w:space="0" w:color="auto"/>
        <w:right w:val="none" w:sz="0" w:space="0" w:color="auto"/>
      </w:divBdr>
    </w:div>
    <w:div w:id="1596130323">
      <w:bodyDiv w:val="1"/>
      <w:marLeft w:val="0"/>
      <w:marRight w:val="0"/>
      <w:marTop w:val="0"/>
      <w:marBottom w:val="0"/>
      <w:divBdr>
        <w:top w:val="none" w:sz="0" w:space="0" w:color="auto"/>
        <w:left w:val="none" w:sz="0" w:space="0" w:color="auto"/>
        <w:bottom w:val="none" w:sz="0" w:space="0" w:color="auto"/>
        <w:right w:val="none" w:sz="0" w:space="0" w:color="auto"/>
      </w:divBdr>
    </w:div>
    <w:div w:id="1596205257">
      <w:bodyDiv w:val="1"/>
      <w:marLeft w:val="0"/>
      <w:marRight w:val="0"/>
      <w:marTop w:val="0"/>
      <w:marBottom w:val="0"/>
      <w:divBdr>
        <w:top w:val="none" w:sz="0" w:space="0" w:color="auto"/>
        <w:left w:val="none" w:sz="0" w:space="0" w:color="auto"/>
        <w:bottom w:val="none" w:sz="0" w:space="0" w:color="auto"/>
        <w:right w:val="none" w:sz="0" w:space="0" w:color="auto"/>
      </w:divBdr>
    </w:div>
    <w:div w:id="1596209183">
      <w:bodyDiv w:val="1"/>
      <w:marLeft w:val="0"/>
      <w:marRight w:val="0"/>
      <w:marTop w:val="0"/>
      <w:marBottom w:val="0"/>
      <w:divBdr>
        <w:top w:val="none" w:sz="0" w:space="0" w:color="auto"/>
        <w:left w:val="none" w:sz="0" w:space="0" w:color="auto"/>
        <w:bottom w:val="none" w:sz="0" w:space="0" w:color="auto"/>
        <w:right w:val="none" w:sz="0" w:space="0" w:color="auto"/>
      </w:divBdr>
    </w:div>
    <w:div w:id="1596287121">
      <w:bodyDiv w:val="1"/>
      <w:marLeft w:val="0"/>
      <w:marRight w:val="0"/>
      <w:marTop w:val="0"/>
      <w:marBottom w:val="0"/>
      <w:divBdr>
        <w:top w:val="none" w:sz="0" w:space="0" w:color="auto"/>
        <w:left w:val="none" w:sz="0" w:space="0" w:color="auto"/>
        <w:bottom w:val="none" w:sz="0" w:space="0" w:color="auto"/>
        <w:right w:val="none" w:sz="0" w:space="0" w:color="auto"/>
      </w:divBdr>
    </w:div>
    <w:div w:id="1596790655">
      <w:bodyDiv w:val="1"/>
      <w:marLeft w:val="0"/>
      <w:marRight w:val="0"/>
      <w:marTop w:val="0"/>
      <w:marBottom w:val="0"/>
      <w:divBdr>
        <w:top w:val="none" w:sz="0" w:space="0" w:color="auto"/>
        <w:left w:val="none" w:sz="0" w:space="0" w:color="auto"/>
        <w:bottom w:val="none" w:sz="0" w:space="0" w:color="auto"/>
        <w:right w:val="none" w:sz="0" w:space="0" w:color="auto"/>
      </w:divBdr>
    </w:div>
    <w:div w:id="1596936101">
      <w:bodyDiv w:val="1"/>
      <w:marLeft w:val="0"/>
      <w:marRight w:val="0"/>
      <w:marTop w:val="0"/>
      <w:marBottom w:val="0"/>
      <w:divBdr>
        <w:top w:val="none" w:sz="0" w:space="0" w:color="auto"/>
        <w:left w:val="none" w:sz="0" w:space="0" w:color="auto"/>
        <w:bottom w:val="none" w:sz="0" w:space="0" w:color="auto"/>
        <w:right w:val="none" w:sz="0" w:space="0" w:color="auto"/>
      </w:divBdr>
    </w:div>
    <w:div w:id="1597010261">
      <w:bodyDiv w:val="1"/>
      <w:marLeft w:val="0"/>
      <w:marRight w:val="0"/>
      <w:marTop w:val="0"/>
      <w:marBottom w:val="0"/>
      <w:divBdr>
        <w:top w:val="none" w:sz="0" w:space="0" w:color="auto"/>
        <w:left w:val="none" w:sz="0" w:space="0" w:color="auto"/>
        <w:bottom w:val="none" w:sz="0" w:space="0" w:color="auto"/>
        <w:right w:val="none" w:sz="0" w:space="0" w:color="auto"/>
      </w:divBdr>
    </w:div>
    <w:div w:id="1597325785">
      <w:bodyDiv w:val="1"/>
      <w:marLeft w:val="0"/>
      <w:marRight w:val="0"/>
      <w:marTop w:val="0"/>
      <w:marBottom w:val="0"/>
      <w:divBdr>
        <w:top w:val="none" w:sz="0" w:space="0" w:color="auto"/>
        <w:left w:val="none" w:sz="0" w:space="0" w:color="auto"/>
        <w:bottom w:val="none" w:sz="0" w:space="0" w:color="auto"/>
        <w:right w:val="none" w:sz="0" w:space="0" w:color="auto"/>
      </w:divBdr>
    </w:div>
    <w:div w:id="1598052659">
      <w:bodyDiv w:val="1"/>
      <w:marLeft w:val="0"/>
      <w:marRight w:val="0"/>
      <w:marTop w:val="0"/>
      <w:marBottom w:val="0"/>
      <w:divBdr>
        <w:top w:val="none" w:sz="0" w:space="0" w:color="auto"/>
        <w:left w:val="none" w:sz="0" w:space="0" w:color="auto"/>
        <w:bottom w:val="none" w:sz="0" w:space="0" w:color="auto"/>
        <w:right w:val="none" w:sz="0" w:space="0" w:color="auto"/>
      </w:divBdr>
    </w:div>
    <w:div w:id="1599022835">
      <w:bodyDiv w:val="1"/>
      <w:marLeft w:val="0"/>
      <w:marRight w:val="0"/>
      <w:marTop w:val="0"/>
      <w:marBottom w:val="0"/>
      <w:divBdr>
        <w:top w:val="none" w:sz="0" w:space="0" w:color="auto"/>
        <w:left w:val="none" w:sz="0" w:space="0" w:color="auto"/>
        <w:bottom w:val="none" w:sz="0" w:space="0" w:color="auto"/>
        <w:right w:val="none" w:sz="0" w:space="0" w:color="auto"/>
      </w:divBdr>
    </w:div>
    <w:div w:id="1599799427">
      <w:bodyDiv w:val="1"/>
      <w:marLeft w:val="0"/>
      <w:marRight w:val="0"/>
      <w:marTop w:val="0"/>
      <w:marBottom w:val="0"/>
      <w:divBdr>
        <w:top w:val="none" w:sz="0" w:space="0" w:color="auto"/>
        <w:left w:val="none" w:sz="0" w:space="0" w:color="auto"/>
        <w:bottom w:val="none" w:sz="0" w:space="0" w:color="auto"/>
        <w:right w:val="none" w:sz="0" w:space="0" w:color="auto"/>
      </w:divBdr>
    </w:div>
    <w:div w:id="1600141041">
      <w:bodyDiv w:val="1"/>
      <w:marLeft w:val="0"/>
      <w:marRight w:val="0"/>
      <w:marTop w:val="0"/>
      <w:marBottom w:val="0"/>
      <w:divBdr>
        <w:top w:val="none" w:sz="0" w:space="0" w:color="auto"/>
        <w:left w:val="none" w:sz="0" w:space="0" w:color="auto"/>
        <w:bottom w:val="none" w:sz="0" w:space="0" w:color="auto"/>
        <w:right w:val="none" w:sz="0" w:space="0" w:color="auto"/>
      </w:divBdr>
    </w:div>
    <w:div w:id="1600479942">
      <w:bodyDiv w:val="1"/>
      <w:marLeft w:val="0"/>
      <w:marRight w:val="0"/>
      <w:marTop w:val="0"/>
      <w:marBottom w:val="0"/>
      <w:divBdr>
        <w:top w:val="none" w:sz="0" w:space="0" w:color="auto"/>
        <w:left w:val="none" w:sz="0" w:space="0" w:color="auto"/>
        <w:bottom w:val="none" w:sz="0" w:space="0" w:color="auto"/>
        <w:right w:val="none" w:sz="0" w:space="0" w:color="auto"/>
      </w:divBdr>
    </w:div>
    <w:div w:id="1600990318">
      <w:bodyDiv w:val="1"/>
      <w:marLeft w:val="0"/>
      <w:marRight w:val="0"/>
      <w:marTop w:val="0"/>
      <w:marBottom w:val="0"/>
      <w:divBdr>
        <w:top w:val="none" w:sz="0" w:space="0" w:color="auto"/>
        <w:left w:val="none" w:sz="0" w:space="0" w:color="auto"/>
        <w:bottom w:val="none" w:sz="0" w:space="0" w:color="auto"/>
        <w:right w:val="none" w:sz="0" w:space="0" w:color="auto"/>
      </w:divBdr>
    </w:div>
    <w:div w:id="1601139674">
      <w:bodyDiv w:val="1"/>
      <w:marLeft w:val="0"/>
      <w:marRight w:val="0"/>
      <w:marTop w:val="0"/>
      <w:marBottom w:val="0"/>
      <w:divBdr>
        <w:top w:val="none" w:sz="0" w:space="0" w:color="auto"/>
        <w:left w:val="none" w:sz="0" w:space="0" w:color="auto"/>
        <w:bottom w:val="none" w:sz="0" w:space="0" w:color="auto"/>
        <w:right w:val="none" w:sz="0" w:space="0" w:color="auto"/>
      </w:divBdr>
    </w:div>
    <w:div w:id="1601180683">
      <w:bodyDiv w:val="1"/>
      <w:marLeft w:val="0"/>
      <w:marRight w:val="0"/>
      <w:marTop w:val="0"/>
      <w:marBottom w:val="0"/>
      <w:divBdr>
        <w:top w:val="none" w:sz="0" w:space="0" w:color="auto"/>
        <w:left w:val="none" w:sz="0" w:space="0" w:color="auto"/>
        <w:bottom w:val="none" w:sz="0" w:space="0" w:color="auto"/>
        <w:right w:val="none" w:sz="0" w:space="0" w:color="auto"/>
      </w:divBdr>
    </w:div>
    <w:div w:id="1601253792">
      <w:bodyDiv w:val="1"/>
      <w:marLeft w:val="0"/>
      <w:marRight w:val="0"/>
      <w:marTop w:val="0"/>
      <w:marBottom w:val="0"/>
      <w:divBdr>
        <w:top w:val="none" w:sz="0" w:space="0" w:color="auto"/>
        <w:left w:val="none" w:sz="0" w:space="0" w:color="auto"/>
        <w:bottom w:val="none" w:sz="0" w:space="0" w:color="auto"/>
        <w:right w:val="none" w:sz="0" w:space="0" w:color="auto"/>
      </w:divBdr>
    </w:div>
    <w:div w:id="1601839182">
      <w:bodyDiv w:val="1"/>
      <w:marLeft w:val="0"/>
      <w:marRight w:val="0"/>
      <w:marTop w:val="0"/>
      <w:marBottom w:val="0"/>
      <w:divBdr>
        <w:top w:val="none" w:sz="0" w:space="0" w:color="auto"/>
        <w:left w:val="none" w:sz="0" w:space="0" w:color="auto"/>
        <w:bottom w:val="none" w:sz="0" w:space="0" w:color="auto"/>
        <w:right w:val="none" w:sz="0" w:space="0" w:color="auto"/>
      </w:divBdr>
    </w:div>
    <w:div w:id="1602638077">
      <w:bodyDiv w:val="1"/>
      <w:marLeft w:val="0"/>
      <w:marRight w:val="0"/>
      <w:marTop w:val="0"/>
      <w:marBottom w:val="0"/>
      <w:divBdr>
        <w:top w:val="none" w:sz="0" w:space="0" w:color="auto"/>
        <w:left w:val="none" w:sz="0" w:space="0" w:color="auto"/>
        <w:bottom w:val="none" w:sz="0" w:space="0" w:color="auto"/>
        <w:right w:val="none" w:sz="0" w:space="0" w:color="auto"/>
      </w:divBdr>
    </w:div>
    <w:div w:id="1602646605">
      <w:bodyDiv w:val="1"/>
      <w:marLeft w:val="0"/>
      <w:marRight w:val="0"/>
      <w:marTop w:val="0"/>
      <w:marBottom w:val="0"/>
      <w:divBdr>
        <w:top w:val="none" w:sz="0" w:space="0" w:color="auto"/>
        <w:left w:val="none" w:sz="0" w:space="0" w:color="auto"/>
        <w:bottom w:val="none" w:sz="0" w:space="0" w:color="auto"/>
        <w:right w:val="none" w:sz="0" w:space="0" w:color="auto"/>
      </w:divBdr>
    </w:div>
    <w:div w:id="1603147854">
      <w:bodyDiv w:val="1"/>
      <w:marLeft w:val="0"/>
      <w:marRight w:val="0"/>
      <w:marTop w:val="0"/>
      <w:marBottom w:val="0"/>
      <w:divBdr>
        <w:top w:val="none" w:sz="0" w:space="0" w:color="auto"/>
        <w:left w:val="none" w:sz="0" w:space="0" w:color="auto"/>
        <w:bottom w:val="none" w:sz="0" w:space="0" w:color="auto"/>
        <w:right w:val="none" w:sz="0" w:space="0" w:color="auto"/>
      </w:divBdr>
    </w:div>
    <w:div w:id="1603218150">
      <w:bodyDiv w:val="1"/>
      <w:marLeft w:val="0"/>
      <w:marRight w:val="0"/>
      <w:marTop w:val="0"/>
      <w:marBottom w:val="0"/>
      <w:divBdr>
        <w:top w:val="none" w:sz="0" w:space="0" w:color="auto"/>
        <w:left w:val="none" w:sz="0" w:space="0" w:color="auto"/>
        <w:bottom w:val="none" w:sz="0" w:space="0" w:color="auto"/>
        <w:right w:val="none" w:sz="0" w:space="0" w:color="auto"/>
      </w:divBdr>
    </w:div>
    <w:div w:id="1603486376">
      <w:bodyDiv w:val="1"/>
      <w:marLeft w:val="0"/>
      <w:marRight w:val="0"/>
      <w:marTop w:val="0"/>
      <w:marBottom w:val="0"/>
      <w:divBdr>
        <w:top w:val="none" w:sz="0" w:space="0" w:color="auto"/>
        <w:left w:val="none" w:sz="0" w:space="0" w:color="auto"/>
        <w:bottom w:val="none" w:sz="0" w:space="0" w:color="auto"/>
        <w:right w:val="none" w:sz="0" w:space="0" w:color="auto"/>
      </w:divBdr>
    </w:div>
    <w:div w:id="1603801846">
      <w:bodyDiv w:val="1"/>
      <w:marLeft w:val="0"/>
      <w:marRight w:val="0"/>
      <w:marTop w:val="0"/>
      <w:marBottom w:val="0"/>
      <w:divBdr>
        <w:top w:val="none" w:sz="0" w:space="0" w:color="auto"/>
        <w:left w:val="none" w:sz="0" w:space="0" w:color="auto"/>
        <w:bottom w:val="none" w:sz="0" w:space="0" w:color="auto"/>
        <w:right w:val="none" w:sz="0" w:space="0" w:color="auto"/>
      </w:divBdr>
    </w:div>
    <w:div w:id="1603998400">
      <w:bodyDiv w:val="1"/>
      <w:marLeft w:val="0"/>
      <w:marRight w:val="0"/>
      <w:marTop w:val="0"/>
      <w:marBottom w:val="0"/>
      <w:divBdr>
        <w:top w:val="none" w:sz="0" w:space="0" w:color="auto"/>
        <w:left w:val="none" w:sz="0" w:space="0" w:color="auto"/>
        <w:bottom w:val="none" w:sz="0" w:space="0" w:color="auto"/>
        <w:right w:val="none" w:sz="0" w:space="0" w:color="auto"/>
      </w:divBdr>
    </w:div>
    <w:div w:id="1604024809">
      <w:bodyDiv w:val="1"/>
      <w:marLeft w:val="0"/>
      <w:marRight w:val="0"/>
      <w:marTop w:val="0"/>
      <w:marBottom w:val="0"/>
      <w:divBdr>
        <w:top w:val="none" w:sz="0" w:space="0" w:color="auto"/>
        <w:left w:val="none" w:sz="0" w:space="0" w:color="auto"/>
        <w:bottom w:val="none" w:sz="0" w:space="0" w:color="auto"/>
        <w:right w:val="none" w:sz="0" w:space="0" w:color="auto"/>
      </w:divBdr>
    </w:div>
    <w:div w:id="1604266113">
      <w:bodyDiv w:val="1"/>
      <w:marLeft w:val="0"/>
      <w:marRight w:val="0"/>
      <w:marTop w:val="0"/>
      <w:marBottom w:val="0"/>
      <w:divBdr>
        <w:top w:val="none" w:sz="0" w:space="0" w:color="auto"/>
        <w:left w:val="none" w:sz="0" w:space="0" w:color="auto"/>
        <w:bottom w:val="none" w:sz="0" w:space="0" w:color="auto"/>
        <w:right w:val="none" w:sz="0" w:space="0" w:color="auto"/>
      </w:divBdr>
    </w:div>
    <w:div w:id="1604338293">
      <w:bodyDiv w:val="1"/>
      <w:marLeft w:val="0"/>
      <w:marRight w:val="0"/>
      <w:marTop w:val="0"/>
      <w:marBottom w:val="0"/>
      <w:divBdr>
        <w:top w:val="none" w:sz="0" w:space="0" w:color="auto"/>
        <w:left w:val="none" w:sz="0" w:space="0" w:color="auto"/>
        <w:bottom w:val="none" w:sz="0" w:space="0" w:color="auto"/>
        <w:right w:val="none" w:sz="0" w:space="0" w:color="auto"/>
      </w:divBdr>
    </w:div>
    <w:div w:id="1604454245">
      <w:bodyDiv w:val="1"/>
      <w:marLeft w:val="0"/>
      <w:marRight w:val="0"/>
      <w:marTop w:val="0"/>
      <w:marBottom w:val="0"/>
      <w:divBdr>
        <w:top w:val="none" w:sz="0" w:space="0" w:color="auto"/>
        <w:left w:val="none" w:sz="0" w:space="0" w:color="auto"/>
        <w:bottom w:val="none" w:sz="0" w:space="0" w:color="auto"/>
        <w:right w:val="none" w:sz="0" w:space="0" w:color="auto"/>
      </w:divBdr>
    </w:div>
    <w:div w:id="1604799735">
      <w:bodyDiv w:val="1"/>
      <w:marLeft w:val="0"/>
      <w:marRight w:val="0"/>
      <w:marTop w:val="0"/>
      <w:marBottom w:val="0"/>
      <w:divBdr>
        <w:top w:val="none" w:sz="0" w:space="0" w:color="auto"/>
        <w:left w:val="none" w:sz="0" w:space="0" w:color="auto"/>
        <w:bottom w:val="none" w:sz="0" w:space="0" w:color="auto"/>
        <w:right w:val="none" w:sz="0" w:space="0" w:color="auto"/>
      </w:divBdr>
    </w:div>
    <w:div w:id="1604873072">
      <w:bodyDiv w:val="1"/>
      <w:marLeft w:val="0"/>
      <w:marRight w:val="0"/>
      <w:marTop w:val="0"/>
      <w:marBottom w:val="0"/>
      <w:divBdr>
        <w:top w:val="none" w:sz="0" w:space="0" w:color="auto"/>
        <w:left w:val="none" w:sz="0" w:space="0" w:color="auto"/>
        <w:bottom w:val="none" w:sz="0" w:space="0" w:color="auto"/>
        <w:right w:val="none" w:sz="0" w:space="0" w:color="auto"/>
      </w:divBdr>
    </w:div>
    <w:div w:id="1604874822">
      <w:bodyDiv w:val="1"/>
      <w:marLeft w:val="0"/>
      <w:marRight w:val="0"/>
      <w:marTop w:val="0"/>
      <w:marBottom w:val="0"/>
      <w:divBdr>
        <w:top w:val="none" w:sz="0" w:space="0" w:color="auto"/>
        <w:left w:val="none" w:sz="0" w:space="0" w:color="auto"/>
        <w:bottom w:val="none" w:sz="0" w:space="0" w:color="auto"/>
        <w:right w:val="none" w:sz="0" w:space="0" w:color="auto"/>
      </w:divBdr>
    </w:div>
    <w:div w:id="1604919391">
      <w:bodyDiv w:val="1"/>
      <w:marLeft w:val="0"/>
      <w:marRight w:val="0"/>
      <w:marTop w:val="0"/>
      <w:marBottom w:val="0"/>
      <w:divBdr>
        <w:top w:val="none" w:sz="0" w:space="0" w:color="auto"/>
        <w:left w:val="none" w:sz="0" w:space="0" w:color="auto"/>
        <w:bottom w:val="none" w:sz="0" w:space="0" w:color="auto"/>
        <w:right w:val="none" w:sz="0" w:space="0" w:color="auto"/>
      </w:divBdr>
    </w:div>
    <w:div w:id="1605990113">
      <w:bodyDiv w:val="1"/>
      <w:marLeft w:val="0"/>
      <w:marRight w:val="0"/>
      <w:marTop w:val="0"/>
      <w:marBottom w:val="0"/>
      <w:divBdr>
        <w:top w:val="none" w:sz="0" w:space="0" w:color="auto"/>
        <w:left w:val="none" w:sz="0" w:space="0" w:color="auto"/>
        <w:bottom w:val="none" w:sz="0" w:space="0" w:color="auto"/>
        <w:right w:val="none" w:sz="0" w:space="0" w:color="auto"/>
      </w:divBdr>
    </w:div>
    <w:div w:id="1606500107">
      <w:bodyDiv w:val="1"/>
      <w:marLeft w:val="0"/>
      <w:marRight w:val="0"/>
      <w:marTop w:val="0"/>
      <w:marBottom w:val="0"/>
      <w:divBdr>
        <w:top w:val="none" w:sz="0" w:space="0" w:color="auto"/>
        <w:left w:val="none" w:sz="0" w:space="0" w:color="auto"/>
        <w:bottom w:val="none" w:sz="0" w:space="0" w:color="auto"/>
        <w:right w:val="none" w:sz="0" w:space="0" w:color="auto"/>
      </w:divBdr>
    </w:div>
    <w:div w:id="1606570821">
      <w:bodyDiv w:val="1"/>
      <w:marLeft w:val="0"/>
      <w:marRight w:val="0"/>
      <w:marTop w:val="0"/>
      <w:marBottom w:val="0"/>
      <w:divBdr>
        <w:top w:val="none" w:sz="0" w:space="0" w:color="auto"/>
        <w:left w:val="none" w:sz="0" w:space="0" w:color="auto"/>
        <w:bottom w:val="none" w:sz="0" w:space="0" w:color="auto"/>
        <w:right w:val="none" w:sz="0" w:space="0" w:color="auto"/>
      </w:divBdr>
    </w:div>
    <w:div w:id="1606617213">
      <w:bodyDiv w:val="1"/>
      <w:marLeft w:val="0"/>
      <w:marRight w:val="0"/>
      <w:marTop w:val="0"/>
      <w:marBottom w:val="0"/>
      <w:divBdr>
        <w:top w:val="none" w:sz="0" w:space="0" w:color="auto"/>
        <w:left w:val="none" w:sz="0" w:space="0" w:color="auto"/>
        <w:bottom w:val="none" w:sz="0" w:space="0" w:color="auto"/>
        <w:right w:val="none" w:sz="0" w:space="0" w:color="auto"/>
      </w:divBdr>
    </w:div>
    <w:div w:id="1606687422">
      <w:bodyDiv w:val="1"/>
      <w:marLeft w:val="0"/>
      <w:marRight w:val="0"/>
      <w:marTop w:val="0"/>
      <w:marBottom w:val="0"/>
      <w:divBdr>
        <w:top w:val="none" w:sz="0" w:space="0" w:color="auto"/>
        <w:left w:val="none" w:sz="0" w:space="0" w:color="auto"/>
        <w:bottom w:val="none" w:sz="0" w:space="0" w:color="auto"/>
        <w:right w:val="none" w:sz="0" w:space="0" w:color="auto"/>
      </w:divBdr>
    </w:div>
    <w:div w:id="1606843470">
      <w:bodyDiv w:val="1"/>
      <w:marLeft w:val="0"/>
      <w:marRight w:val="0"/>
      <w:marTop w:val="0"/>
      <w:marBottom w:val="0"/>
      <w:divBdr>
        <w:top w:val="none" w:sz="0" w:space="0" w:color="auto"/>
        <w:left w:val="none" w:sz="0" w:space="0" w:color="auto"/>
        <w:bottom w:val="none" w:sz="0" w:space="0" w:color="auto"/>
        <w:right w:val="none" w:sz="0" w:space="0" w:color="auto"/>
      </w:divBdr>
    </w:div>
    <w:div w:id="1607536351">
      <w:bodyDiv w:val="1"/>
      <w:marLeft w:val="0"/>
      <w:marRight w:val="0"/>
      <w:marTop w:val="0"/>
      <w:marBottom w:val="0"/>
      <w:divBdr>
        <w:top w:val="none" w:sz="0" w:space="0" w:color="auto"/>
        <w:left w:val="none" w:sz="0" w:space="0" w:color="auto"/>
        <w:bottom w:val="none" w:sz="0" w:space="0" w:color="auto"/>
        <w:right w:val="none" w:sz="0" w:space="0" w:color="auto"/>
      </w:divBdr>
    </w:div>
    <w:div w:id="1607617291">
      <w:bodyDiv w:val="1"/>
      <w:marLeft w:val="0"/>
      <w:marRight w:val="0"/>
      <w:marTop w:val="0"/>
      <w:marBottom w:val="0"/>
      <w:divBdr>
        <w:top w:val="none" w:sz="0" w:space="0" w:color="auto"/>
        <w:left w:val="none" w:sz="0" w:space="0" w:color="auto"/>
        <w:bottom w:val="none" w:sz="0" w:space="0" w:color="auto"/>
        <w:right w:val="none" w:sz="0" w:space="0" w:color="auto"/>
      </w:divBdr>
    </w:div>
    <w:div w:id="1608124816">
      <w:bodyDiv w:val="1"/>
      <w:marLeft w:val="0"/>
      <w:marRight w:val="0"/>
      <w:marTop w:val="0"/>
      <w:marBottom w:val="0"/>
      <w:divBdr>
        <w:top w:val="none" w:sz="0" w:space="0" w:color="auto"/>
        <w:left w:val="none" w:sz="0" w:space="0" w:color="auto"/>
        <w:bottom w:val="none" w:sz="0" w:space="0" w:color="auto"/>
        <w:right w:val="none" w:sz="0" w:space="0" w:color="auto"/>
      </w:divBdr>
    </w:div>
    <w:div w:id="1608537972">
      <w:bodyDiv w:val="1"/>
      <w:marLeft w:val="0"/>
      <w:marRight w:val="0"/>
      <w:marTop w:val="0"/>
      <w:marBottom w:val="0"/>
      <w:divBdr>
        <w:top w:val="none" w:sz="0" w:space="0" w:color="auto"/>
        <w:left w:val="none" w:sz="0" w:space="0" w:color="auto"/>
        <w:bottom w:val="none" w:sz="0" w:space="0" w:color="auto"/>
        <w:right w:val="none" w:sz="0" w:space="0" w:color="auto"/>
      </w:divBdr>
    </w:div>
    <w:div w:id="1608541296">
      <w:bodyDiv w:val="1"/>
      <w:marLeft w:val="0"/>
      <w:marRight w:val="0"/>
      <w:marTop w:val="0"/>
      <w:marBottom w:val="0"/>
      <w:divBdr>
        <w:top w:val="none" w:sz="0" w:space="0" w:color="auto"/>
        <w:left w:val="none" w:sz="0" w:space="0" w:color="auto"/>
        <w:bottom w:val="none" w:sz="0" w:space="0" w:color="auto"/>
        <w:right w:val="none" w:sz="0" w:space="0" w:color="auto"/>
      </w:divBdr>
    </w:div>
    <w:div w:id="1608846934">
      <w:bodyDiv w:val="1"/>
      <w:marLeft w:val="0"/>
      <w:marRight w:val="0"/>
      <w:marTop w:val="0"/>
      <w:marBottom w:val="0"/>
      <w:divBdr>
        <w:top w:val="none" w:sz="0" w:space="0" w:color="auto"/>
        <w:left w:val="none" w:sz="0" w:space="0" w:color="auto"/>
        <w:bottom w:val="none" w:sz="0" w:space="0" w:color="auto"/>
        <w:right w:val="none" w:sz="0" w:space="0" w:color="auto"/>
      </w:divBdr>
    </w:div>
    <w:div w:id="1608928894">
      <w:bodyDiv w:val="1"/>
      <w:marLeft w:val="0"/>
      <w:marRight w:val="0"/>
      <w:marTop w:val="0"/>
      <w:marBottom w:val="0"/>
      <w:divBdr>
        <w:top w:val="none" w:sz="0" w:space="0" w:color="auto"/>
        <w:left w:val="none" w:sz="0" w:space="0" w:color="auto"/>
        <w:bottom w:val="none" w:sz="0" w:space="0" w:color="auto"/>
        <w:right w:val="none" w:sz="0" w:space="0" w:color="auto"/>
      </w:divBdr>
    </w:div>
    <w:div w:id="1608999291">
      <w:bodyDiv w:val="1"/>
      <w:marLeft w:val="0"/>
      <w:marRight w:val="0"/>
      <w:marTop w:val="0"/>
      <w:marBottom w:val="0"/>
      <w:divBdr>
        <w:top w:val="none" w:sz="0" w:space="0" w:color="auto"/>
        <w:left w:val="none" w:sz="0" w:space="0" w:color="auto"/>
        <w:bottom w:val="none" w:sz="0" w:space="0" w:color="auto"/>
        <w:right w:val="none" w:sz="0" w:space="0" w:color="auto"/>
      </w:divBdr>
    </w:div>
    <w:div w:id="1609388043">
      <w:bodyDiv w:val="1"/>
      <w:marLeft w:val="0"/>
      <w:marRight w:val="0"/>
      <w:marTop w:val="0"/>
      <w:marBottom w:val="0"/>
      <w:divBdr>
        <w:top w:val="none" w:sz="0" w:space="0" w:color="auto"/>
        <w:left w:val="none" w:sz="0" w:space="0" w:color="auto"/>
        <w:bottom w:val="none" w:sz="0" w:space="0" w:color="auto"/>
        <w:right w:val="none" w:sz="0" w:space="0" w:color="auto"/>
      </w:divBdr>
    </w:div>
    <w:div w:id="1609654386">
      <w:bodyDiv w:val="1"/>
      <w:marLeft w:val="0"/>
      <w:marRight w:val="0"/>
      <w:marTop w:val="0"/>
      <w:marBottom w:val="0"/>
      <w:divBdr>
        <w:top w:val="none" w:sz="0" w:space="0" w:color="auto"/>
        <w:left w:val="none" w:sz="0" w:space="0" w:color="auto"/>
        <w:bottom w:val="none" w:sz="0" w:space="0" w:color="auto"/>
        <w:right w:val="none" w:sz="0" w:space="0" w:color="auto"/>
      </w:divBdr>
    </w:div>
    <w:div w:id="1609699242">
      <w:bodyDiv w:val="1"/>
      <w:marLeft w:val="0"/>
      <w:marRight w:val="0"/>
      <w:marTop w:val="0"/>
      <w:marBottom w:val="0"/>
      <w:divBdr>
        <w:top w:val="none" w:sz="0" w:space="0" w:color="auto"/>
        <w:left w:val="none" w:sz="0" w:space="0" w:color="auto"/>
        <w:bottom w:val="none" w:sz="0" w:space="0" w:color="auto"/>
        <w:right w:val="none" w:sz="0" w:space="0" w:color="auto"/>
      </w:divBdr>
    </w:div>
    <w:div w:id="1610354575">
      <w:bodyDiv w:val="1"/>
      <w:marLeft w:val="0"/>
      <w:marRight w:val="0"/>
      <w:marTop w:val="0"/>
      <w:marBottom w:val="0"/>
      <w:divBdr>
        <w:top w:val="none" w:sz="0" w:space="0" w:color="auto"/>
        <w:left w:val="none" w:sz="0" w:space="0" w:color="auto"/>
        <w:bottom w:val="none" w:sz="0" w:space="0" w:color="auto"/>
        <w:right w:val="none" w:sz="0" w:space="0" w:color="auto"/>
      </w:divBdr>
    </w:div>
    <w:div w:id="1612055634">
      <w:bodyDiv w:val="1"/>
      <w:marLeft w:val="0"/>
      <w:marRight w:val="0"/>
      <w:marTop w:val="0"/>
      <w:marBottom w:val="0"/>
      <w:divBdr>
        <w:top w:val="none" w:sz="0" w:space="0" w:color="auto"/>
        <w:left w:val="none" w:sz="0" w:space="0" w:color="auto"/>
        <w:bottom w:val="none" w:sz="0" w:space="0" w:color="auto"/>
        <w:right w:val="none" w:sz="0" w:space="0" w:color="auto"/>
      </w:divBdr>
    </w:div>
    <w:div w:id="1612206039">
      <w:bodyDiv w:val="1"/>
      <w:marLeft w:val="0"/>
      <w:marRight w:val="0"/>
      <w:marTop w:val="0"/>
      <w:marBottom w:val="0"/>
      <w:divBdr>
        <w:top w:val="none" w:sz="0" w:space="0" w:color="auto"/>
        <w:left w:val="none" w:sz="0" w:space="0" w:color="auto"/>
        <w:bottom w:val="none" w:sz="0" w:space="0" w:color="auto"/>
        <w:right w:val="none" w:sz="0" w:space="0" w:color="auto"/>
      </w:divBdr>
    </w:div>
    <w:div w:id="1612742365">
      <w:bodyDiv w:val="1"/>
      <w:marLeft w:val="0"/>
      <w:marRight w:val="0"/>
      <w:marTop w:val="0"/>
      <w:marBottom w:val="0"/>
      <w:divBdr>
        <w:top w:val="none" w:sz="0" w:space="0" w:color="auto"/>
        <w:left w:val="none" w:sz="0" w:space="0" w:color="auto"/>
        <w:bottom w:val="none" w:sz="0" w:space="0" w:color="auto"/>
        <w:right w:val="none" w:sz="0" w:space="0" w:color="auto"/>
      </w:divBdr>
    </w:div>
    <w:div w:id="1612975669">
      <w:bodyDiv w:val="1"/>
      <w:marLeft w:val="0"/>
      <w:marRight w:val="0"/>
      <w:marTop w:val="0"/>
      <w:marBottom w:val="0"/>
      <w:divBdr>
        <w:top w:val="none" w:sz="0" w:space="0" w:color="auto"/>
        <w:left w:val="none" w:sz="0" w:space="0" w:color="auto"/>
        <w:bottom w:val="none" w:sz="0" w:space="0" w:color="auto"/>
        <w:right w:val="none" w:sz="0" w:space="0" w:color="auto"/>
      </w:divBdr>
    </w:div>
    <w:div w:id="1613051420">
      <w:bodyDiv w:val="1"/>
      <w:marLeft w:val="0"/>
      <w:marRight w:val="0"/>
      <w:marTop w:val="0"/>
      <w:marBottom w:val="0"/>
      <w:divBdr>
        <w:top w:val="none" w:sz="0" w:space="0" w:color="auto"/>
        <w:left w:val="none" w:sz="0" w:space="0" w:color="auto"/>
        <w:bottom w:val="none" w:sz="0" w:space="0" w:color="auto"/>
        <w:right w:val="none" w:sz="0" w:space="0" w:color="auto"/>
      </w:divBdr>
    </w:div>
    <w:div w:id="1613128778">
      <w:bodyDiv w:val="1"/>
      <w:marLeft w:val="0"/>
      <w:marRight w:val="0"/>
      <w:marTop w:val="0"/>
      <w:marBottom w:val="0"/>
      <w:divBdr>
        <w:top w:val="none" w:sz="0" w:space="0" w:color="auto"/>
        <w:left w:val="none" w:sz="0" w:space="0" w:color="auto"/>
        <w:bottom w:val="none" w:sz="0" w:space="0" w:color="auto"/>
        <w:right w:val="none" w:sz="0" w:space="0" w:color="auto"/>
      </w:divBdr>
    </w:div>
    <w:div w:id="1613515398">
      <w:bodyDiv w:val="1"/>
      <w:marLeft w:val="0"/>
      <w:marRight w:val="0"/>
      <w:marTop w:val="0"/>
      <w:marBottom w:val="0"/>
      <w:divBdr>
        <w:top w:val="none" w:sz="0" w:space="0" w:color="auto"/>
        <w:left w:val="none" w:sz="0" w:space="0" w:color="auto"/>
        <w:bottom w:val="none" w:sz="0" w:space="0" w:color="auto"/>
        <w:right w:val="none" w:sz="0" w:space="0" w:color="auto"/>
      </w:divBdr>
    </w:div>
    <w:div w:id="1613632710">
      <w:bodyDiv w:val="1"/>
      <w:marLeft w:val="0"/>
      <w:marRight w:val="0"/>
      <w:marTop w:val="0"/>
      <w:marBottom w:val="0"/>
      <w:divBdr>
        <w:top w:val="none" w:sz="0" w:space="0" w:color="auto"/>
        <w:left w:val="none" w:sz="0" w:space="0" w:color="auto"/>
        <w:bottom w:val="none" w:sz="0" w:space="0" w:color="auto"/>
        <w:right w:val="none" w:sz="0" w:space="0" w:color="auto"/>
      </w:divBdr>
    </w:div>
    <w:div w:id="1614364922">
      <w:bodyDiv w:val="1"/>
      <w:marLeft w:val="0"/>
      <w:marRight w:val="0"/>
      <w:marTop w:val="0"/>
      <w:marBottom w:val="0"/>
      <w:divBdr>
        <w:top w:val="none" w:sz="0" w:space="0" w:color="auto"/>
        <w:left w:val="none" w:sz="0" w:space="0" w:color="auto"/>
        <w:bottom w:val="none" w:sz="0" w:space="0" w:color="auto"/>
        <w:right w:val="none" w:sz="0" w:space="0" w:color="auto"/>
      </w:divBdr>
    </w:div>
    <w:div w:id="1614508062">
      <w:bodyDiv w:val="1"/>
      <w:marLeft w:val="0"/>
      <w:marRight w:val="0"/>
      <w:marTop w:val="0"/>
      <w:marBottom w:val="0"/>
      <w:divBdr>
        <w:top w:val="none" w:sz="0" w:space="0" w:color="auto"/>
        <w:left w:val="none" w:sz="0" w:space="0" w:color="auto"/>
        <w:bottom w:val="none" w:sz="0" w:space="0" w:color="auto"/>
        <w:right w:val="none" w:sz="0" w:space="0" w:color="auto"/>
      </w:divBdr>
    </w:div>
    <w:div w:id="1615094024">
      <w:bodyDiv w:val="1"/>
      <w:marLeft w:val="0"/>
      <w:marRight w:val="0"/>
      <w:marTop w:val="0"/>
      <w:marBottom w:val="0"/>
      <w:divBdr>
        <w:top w:val="none" w:sz="0" w:space="0" w:color="auto"/>
        <w:left w:val="none" w:sz="0" w:space="0" w:color="auto"/>
        <w:bottom w:val="none" w:sz="0" w:space="0" w:color="auto"/>
        <w:right w:val="none" w:sz="0" w:space="0" w:color="auto"/>
      </w:divBdr>
    </w:div>
    <w:div w:id="1615165542">
      <w:bodyDiv w:val="1"/>
      <w:marLeft w:val="0"/>
      <w:marRight w:val="0"/>
      <w:marTop w:val="0"/>
      <w:marBottom w:val="0"/>
      <w:divBdr>
        <w:top w:val="none" w:sz="0" w:space="0" w:color="auto"/>
        <w:left w:val="none" w:sz="0" w:space="0" w:color="auto"/>
        <w:bottom w:val="none" w:sz="0" w:space="0" w:color="auto"/>
        <w:right w:val="none" w:sz="0" w:space="0" w:color="auto"/>
      </w:divBdr>
    </w:div>
    <w:div w:id="1615208371">
      <w:bodyDiv w:val="1"/>
      <w:marLeft w:val="0"/>
      <w:marRight w:val="0"/>
      <w:marTop w:val="0"/>
      <w:marBottom w:val="0"/>
      <w:divBdr>
        <w:top w:val="none" w:sz="0" w:space="0" w:color="auto"/>
        <w:left w:val="none" w:sz="0" w:space="0" w:color="auto"/>
        <w:bottom w:val="none" w:sz="0" w:space="0" w:color="auto"/>
        <w:right w:val="none" w:sz="0" w:space="0" w:color="auto"/>
      </w:divBdr>
    </w:div>
    <w:div w:id="1615286979">
      <w:bodyDiv w:val="1"/>
      <w:marLeft w:val="0"/>
      <w:marRight w:val="0"/>
      <w:marTop w:val="0"/>
      <w:marBottom w:val="0"/>
      <w:divBdr>
        <w:top w:val="none" w:sz="0" w:space="0" w:color="auto"/>
        <w:left w:val="none" w:sz="0" w:space="0" w:color="auto"/>
        <w:bottom w:val="none" w:sz="0" w:space="0" w:color="auto"/>
        <w:right w:val="none" w:sz="0" w:space="0" w:color="auto"/>
      </w:divBdr>
    </w:div>
    <w:div w:id="1615357313">
      <w:bodyDiv w:val="1"/>
      <w:marLeft w:val="0"/>
      <w:marRight w:val="0"/>
      <w:marTop w:val="0"/>
      <w:marBottom w:val="0"/>
      <w:divBdr>
        <w:top w:val="none" w:sz="0" w:space="0" w:color="auto"/>
        <w:left w:val="none" w:sz="0" w:space="0" w:color="auto"/>
        <w:bottom w:val="none" w:sz="0" w:space="0" w:color="auto"/>
        <w:right w:val="none" w:sz="0" w:space="0" w:color="auto"/>
      </w:divBdr>
    </w:div>
    <w:div w:id="1615357479">
      <w:bodyDiv w:val="1"/>
      <w:marLeft w:val="0"/>
      <w:marRight w:val="0"/>
      <w:marTop w:val="0"/>
      <w:marBottom w:val="0"/>
      <w:divBdr>
        <w:top w:val="none" w:sz="0" w:space="0" w:color="auto"/>
        <w:left w:val="none" w:sz="0" w:space="0" w:color="auto"/>
        <w:bottom w:val="none" w:sz="0" w:space="0" w:color="auto"/>
        <w:right w:val="none" w:sz="0" w:space="0" w:color="auto"/>
      </w:divBdr>
    </w:div>
    <w:div w:id="1615477169">
      <w:bodyDiv w:val="1"/>
      <w:marLeft w:val="0"/>
      <w:marRight w:val="0"/>
      <w:marTop w:val="0"/>
      <w:marBottom w:val="0"/>
      <w:divBdr>
        <w:top w:val="none" w:sz="0" w:space="0" w:color="auto"/>
        <w:left w:val="none" w:sz="0" w:space="0" w:color="auto"/>
        <w:bottom w:val="none" w:sz="0" w:space="0" w:color="auto"/>
        <w:right w:val="none" w:sz="0" w:space="0" w:color="auto"/>
      </w:divBdr>
    </w:div>
    <w:div w:id="1615482241">
      <w:bodyDiv w:val="1"/>
      <w:marLeft w:val="0"/>
      <w:marRight w:val="0"/>
      <w:marTop w:val="0"/>
      <w:marBottom w:val="0"/>
      <w:divBdr>
        <w:top w:val="none" w:sz="0" w:space="0" w:color="auto"/>
        <w:left w:val="none" w:sz="0" w:space="0" w:color="auto"/>
        <w:bottom w:val="none" w:sz="0" w:space="0" w:color="auto"/>
        <w:right w:val="none" w:sz="0" w:space="0" w:color="auto"/>
      </w:divBdr>
    </w:div>
    <w:div w:id="1615670331">
      <w:bodyDiv w:val="1"/>
      <w:marLeft w:val="0"/>
      <w:marRight w:val="0"/>
      <w:marTop w:val="0"/>
      <w:marBottom w:val="0"/>
      <w:divBdr>
        <w:top w:val="none" w:sz="0" w:space="0" w:color="auto"/>
        <w:left w:val="none" w:sz="0" w:space="0" w:color="auto"/>
        <w:bottom w:val="none" w:sz="0" w:space="0" w:color="auto"/>
        <w:right w:val="none" w:sz="0" w:space="0" w:color="auto"/>
      </w:divBdr>
    </w:div>
    <w:div w:id="1615820615">
      <w:bodyDiv w:val="1"/>
      <w:marLeft w:val="0"/>
      <w:marRight w:val="0"/>
      <w:marTop w:val="0"/>
      <w:marBottom w:val="0"/>
      <w:divBdr>
        <w:top w:val="none" w:sz="0" w:space="0" w:color="auto"/>
        <w:left w:val="none" w:sz="0" w:space="0" w:color="auto"/>
        <w:bottom w:val="none" w:sz="0" w:space="0" w:color="auto"/>
        <w:right w:val="none" w:sz="0" w:space="0" w:color="auto"/>
      </w:divBdr>
    </w:div>
    <w:div w:id="1616327999">
      <w:bodyDiv w:val="1"/>
      <w:marLeft w:val="0"/>
      <w:marRight w:val="0"/>
      <w:marTop w:val="0"/>
      <w:marBottom w:val="0"/>
      <w:divBdr>
        <w:top w:val="none" w:sz="0" w:space="0" w:color="auto"/>
        <w:left w:val="none" w:sz="0" w:space="0" w:color="auto"/>
        <w:bottom w:val="none" w:sz="0" w:space="0" w:color="auto"/>
        <w:right w:val="none" w:sz="0" w:space="0" w:color="auto"/>
      </w:divBdr>
    </w:div>
    <w:div w:id="1616711811">
      <w:bodyDiv w:val="1"/>
      <w:marLeft w:val="0"/>
      <w:marRight w:val="0"/>
      <w:marTop w:val="0"/>
      <w:marBottom w:val="0"/>
      <w:divBdr>
        <w:top w:val="none" w:sz="0" w:space="0" w:color="auto"/>
        <w:left w:val="none" w:sz="0" w:space="0" w:color="auto"/>
        <w:bottom w:val="none" w:sz="0" w:space="0" w:color="auto"/>
        <w:right w:val="none" w:sz="0" w:space="0" w:color="auto"/>
      </w:divBdr>
    </w:div>
    <w:div w:id="1617129028">
      <w:bodyDiv w:val="1"/>
      <w:marLeft w:val="0"/>
      <w:marRight w:val="0"/>
      <w:marTop w:val="0"/>
      <w:marBottom w:val="0"/>
      <w:divBdr>
        <w:top w:val="none" w:sz="0" w:space="0" w:color="auto"/>
        <w:left w:val="none" w:sz="0" w:space="0" w:color="auto"/>
        <w:bottom w:val="none" w:sz="0" w:space="0" w:color="auto"/>
        <w:right w:val="none" w:sz="0" w:space="0" w:color="auto"/>
      </w:divBdr>
    </w:div>
    <w:div w:id="1617130376">
      <w:bodyDiv w:val="1"/>
      <w:marLeft w:val="0"/>
      <w:marRight w:val="0"/>
      <w:marTop w:val="0"/>
      <w:marBottom w:val="0"/>
      <w:divBdr>
        <w:top w:val="none" w:sz="0" w:space="0" w:color="auto"/>
        <w:left w:val="none" w:sz="0" w:space="0" w:color="auto"/>
        <w:bottom w:val="none" w:sz="0" w:space="0" w:color="auto"/>
        <w:right w:val="none" w:sz="0" w:space="0" w:color="auto"/>
      </w:divBdr>
    </w:div>
    <w:div w:id="1617365113">
      <w:bodyDiv w:val="1"/>
      <w:marLeft w:val="0"/>
      <w:marRight w:val="0"/>
      <w:marTop w:val="0"/>
      <w:marBottom w:val="0"/>
      <w:divBdr>
        <w:top w:val="none" w:sz="0" w:space="0" w:color="auto"/>
        <w:left w:val="none" w:sz="0" w:space="0" w:color="auto"/>
        <w:bottom w:val="none" w:sz="0" w:space="0" w:color="auto"/>
        <w:right w:val="none" w:sz="0" w:space="0" w:color="auto"/>
      </w:divBdr>
    </w:div>
    <w:div w:id="1617716124">
      <w:bodyDiv w:val="1"/>
      <w:marLeft w:val="0"/>
      <w:marRight w:val="0"/>
      <w:marTop w:val="0"/>
      <w:marBottom w:val="0"/>
      <w:divBdr>
        <w:top w:val="none" w:sz="0" w:space="0" w:color="auto"/>
        <w:left w:val="none" w:sz="0" w:space="0" w:color="auto"/>
        <w:bottom w:val="none" w:sz="0" w:space="0" w:color="auto"/>
        <w:right w:val="none" w:sz="0" w:space="0" w:color="auto"/>
      </w:divBdr>
    </w:div>
    <w:div w:id="1618021400">
      <w:bodyDiv w:val="1"/>
      <w:marLeft w:val="0"/>
      <w:marRight w:val="0"/>
      <w:marTop w:val="0"/>
      <w:marBottom w:val="0"/>
      <w:divBdr>
        <w:top w:val="none" w:sz="0" w:space="0" w:color="auto"/>
        <w:left w:val="none" w:sz="0" w:space="0" w:color="auto"/>
        <w:bottom w:val="none" w:sz="0" w:space="0" w:color="auto"/>
        <w:right w:val="none" w:sz="0" w:space="0" w:color="auto"/>
      </w:divBdr>
    </w:div>
    <w:div w:id="1618177288">
      <w:bodyDiv w:val="1"/>
      <w:marLeft w:val="0"/>
      <w:marRight w:val="0"/>
      <w:marTop w:val="0"/>
      <w:marBottom w:val="0"/>
      <w:divBdr>
        <w:top w:val="none" w:sz="0" w:space="0" w:color="auto"/>
        <w:left w:val="none" w:sz="0" w:space="0" w:color="auto"/>
        <w:bottom w:val="none" w:sz="0" w:space="0" w:color="auto"/>
        <w:right w:val="none" w:sz="0" w:space="0" w:color="auto"/>
      </w:divBdr>
    </w:div>
    <w:div w:id="1618678702">
      <w:bodyDiv w:val="1"/>
      <w:marLeft w:val="0"/>
      <w:marRight w:val="0"/>
      <w:marTop w:val="0"/>
      <w:marBottom w:val="0"/>
      <w:divBdr>
        <w:top w:val="none" w:sz="0" w:space="0" w:color="auto"/>
        <w:left w:val="none" w:sz="0" w:space="0" w:color="auto"/>
        <w:bottom w:val="none" w:sz="0" w:space="0" w:color="auto"/>
        <w:right w:val="none" w:sz="0" w:space="0" w:color="auto"/>
      </w:divBdr>
    </w:div>
    <w:div w:id="1618871714">
      <w:bodyDiv w:val="1"/>
      <w:marLeft w:val="0"/>
      <w:marRight w:val="0"/>
      <w:marTop w:val="0"/>
      <w:marBottom w:val="0"/>
      <w:divBdr>
        <w:top w:val="none" w:sz="0" w:space="0" w:color="auto"/>
        <w:left w:val="none" w:sz="0" w:space="0" w:color="auto"/>
        <w:bottom w:val="none" w:sz="0" w:space="0" w:color="auto"/>
        <w:right w:val="none" w:sz="0" w:space="0" w:color="auto"/>
      </w:divBdr>
    </w:div>
    <w:div w:id="1619019686">
      <w:bodyDiv w:val="1"/>
      <w:marLeft w:val="0"/>
      <w:marRight w:val="0"/>
      <w:marTop w:val="0"/>
      <w:marBottom w:val="0"/>
      <w:divBdr>
        <w:top w:val="none" w:sz="0" w:space="0" w:color="auto"/>
        <w:left w:val="none" w:sz="0" w:space="0" w:color="auto"/>
        <w:bottom w:val="none" w:sz="0" w:space="0" w:color="auto"/>
        <w:right w:val="none" w:sz="0" w:space="0" w:color="auto"/>
      </w:divBdr>
    </w:div>
    <w:div w:id="1619797542">
      <w:bodyDiv w:val="1"/>
      <w:marLeft w:val="0"/>
      <w:marRight w:val="0"/>
      <w:marTop w:val="0"/>
      <w:marBottom w:val="0"/>
      <w:divBdr>
        <w:top w:val="none" w:sz="0" w:space="0" w:color="auto"/>
        <w:left w:val="none" w:sz="0" w:space="0" w:color="auto"/>
        <w:bottom w:val="none" w:sz="0" w:space="0" w:color="auto"/>
        <w:right w:val="none" w:sz="0" w:space="0" w:color="auto"/>
      </w:divBdr>
    </w:div>
    <w:div w:id="1620065524">
      <w:bodyDiv w:val="1"/>
      <w:marLeft w:val="0"/>
      <w:marRight w:val="0"/>
      <w:marTop w:val="0"/>
      <w:marBottom w:val="0"/>
      <w:divBdr>
        <w:top w:val="none" w:sz="0" w:space="0" w:color="auto"/>
        <w:left w:val="none" w:sz="0" w:space="0" w:color="auto"/>
        <w:bottom w:val="none" w:sz="0" w:space="0" w:color="auto"/>
        <w:right w:val="none" w:sz="0" w:space="0" w:color="auto"/>
      </w:divBdr>
    </w:div>
    <w:div w:id="1620598717">
      <w:bodyDiv w:val="1"/>
      <w:marLeft w:val="0"/>
      <w:marRight w:val="0"/>
      <w:marTop w:val="0"/>
      <w:marBottom w:val="0"/>
      <w:divBdr>
        <w:top w:val="none" w:sz="0" w:space="0" w:color="auto"/>
        <w:left w:val="none" w:sz="0" w:space="0" w:color="auto"/>
        <w:bottom w:val="none" w:sz="0" w:space="0" w:color="auto"/>
        <w:right w:val="none" w:sz="0" w:space="0" w:color="auto"/>
      </w:divBdr>
    </w:div>
    <w:div w:id="1620604147">
      <w:bodyDiv w:val="1"/>
      <w:marLeft w:val="0"/>
      <w:marRight w:val="0"/>
      <w:marTop w:val="0"/>
      <w:marBottom w:val="0"/>
      <w:divBdr>
        <w:top w:val="none" w:sz="0" w:space="0" w:color="auto"/>
        <w:left w:val="none" w:sz="0" w:space="0" w:color="auto"/>
        <w:bottom w:val="none" w:sz="0" w:space="0" w:color="auto"/>
        <w:right w:val="none" w:sz="0" w:space="0" w:color="auto"/>
      </w:divBdr>
    </w:div>
    <w:div w:id="1620719000">
      <w:bodyDiv w:val="1"/>
      <w:marLeft w:val="0"/>
      <w:marRight w:val="0"/>
      <w:marTop w:val="0"/>
      <w:marBottom w:val="0"/>
      <w:divBdr>
        <w:top w:val="none" w:sz="0" w:space="0" w:color="auto"/>
        <w:left w:val="none" w:sz="0" w:space="0" w:color="auto"/>
        <w:bottom w:val="none" w:sz="0" w:space="0" w:color="auto"/>
        <w:right w:val="none" w:sz="0" w:space="0" w:color="auto"/>
      </w:divBdr>
    </w:div>
    <w:div w:id="1620868565">
      <w:bodyDiv w:val="1"/>
      <w:marLeft w:val="0"/>
      <w:marRight w:val="0"/>
      <w:marTop w:val="0"/>
      <w:marBottom w:val="0"/>
      <w:divBdr>
        <w:top w:val="none" w:sz="0" w:space="0" w:color="auto"/>
        <w:left w:val="none" w:sz="0" w:space="0" w:color="auto"/>
        <w:bottom w:val="none" w:sz="0" w:space="0" w:color="auto"/>
        <w:right w:val="none" w:sz="0" w:space="0" w:color="auto"/>
      </w:divBdr>
    </w:div>
    <w:div w:id="1621496805">
      <w:bodyDiv w:val="1"/>
      <w:marLeft w:val="0"/>
      <w:marRight w:val="0"/>
      <w:marTop w:val="0"/>
      <w:marBottom w:val="0"/>
      <w:divBdr>
        <w:top w:val="none" w:sz="0" w:space="0" w:color="auto"/>
        <w:left w:val="none" w:sz="0" w:space="0" w:color="auto"/>
        <w:bottom w:val="none" w:sz="0" w:space="0" w:color="auto"/>
        <w:right w:val="none" w:sz="0" w:space="0" w:color="auto"/>
      </w:divBdr>
    </w:div>
    <w:div w:id="1621649814">
      <w:bodyDiv w:val="1"/>
      <w:marLeft w:val="0"/>
      <w:marRight w:val="0"/>
      <w:marTop w:val="0"/>
      <w:marBottom w:val="0"/>
      <w:divBdr>
        <w:top w:val="none" w:sz="0" w:space="0" w:color="auto"/>
        <w:left w:val="none" w:sz="0" w:space="0" w:color="auto"/>
        <w:bottom w:val="none" w:sz="0" w:space="0" w:color="auto"/>
        <w:right w:val="none" w:sz="0" w:space="0" w:color="auto"/>
      </w:divBdr>
    </w:div>
    <w:div w:id="1621718346">
      <w:bodyDiv w:val="1"/>
      <w:marLeft w:val="0"/>
      <w:marRight w:val="0"/>
      <w:marTop w:val="0"/>
      <w:marBottom w:val="0"/>
      <w:divBdr>
        <w:top w:val="none" w:sz="0" w:space="0" w:color="auto"/>
        <w:left w:val="none" w:sz="0" w:space="0" w:color="auto"/>
        <w:bottom w:val="none" w:sz="0" w:space="0" w:color="auto"/>
        <w:right w:val="none" w:sz="0" w:space="0" w:color="auto"/>
      </w:divBdr>
    </w:div>
    <w:div w:id="1622106774">
      <w:bodyDiv w:val="1"/>
      <w:marLeft w:val="0"/>
      <w:marRight w:val="0"/>
      <w:marTop w:val="0"/>
      <w:marBottom w:val="0"/>
      <w:divBdr>
        <w:top w:val="none" w:sz="0" w:space="0" w:color="auto"/>
        <w:left w:val="none" w:sz="0" w:space="0" w:color="auto"/>
        <w:bottom w:val="none" w:sz="0" w:space="0" w:color="auto"/>
        <w:right w:val="none" w:sz="0" w:space="0" w:color="auto"/>
      </w:divBdr>
    </w:div>
    <w:div w:id="1622415293">
      <w:bodyDiv w:val="1"/>
      <w:marLeft w:val="0"/>
      <w:marRight w:val="0"/>
      <w:marTop w:val="0"/>
      <w:marBottom w:val="0"/>
      <w:divBdr>
        <w:top w:val="none" w:sz="0" w:space="0" w:color="auto"/>
        <w:left w:val="none" w:sz="0" w:space="0" w:color="auto"/>
        <w:bottom w:val="none" w:sz="0" w:space="0" w:color="auto"/>
        <w:right w:val="none" w:sz="0" w:space="0" w:color="auto"/>
      </w:divBdr>
    </w:div>
    <w:div w:id="1622491014">
      <w:bodyDiv w:val="1"/>
      <w:marLeft w:val="0"/>
      <w:marRight w:val="0"/>
      <w:marTop w:val="0"/>
      <w:marBottom w:val="0"/>
      <w:divBdr>
        <w:top w:val="none" w:sz="0" w:space="0" w:color="auto"/>
        <w:left w:val="none" w:sz="0" w:space="0" w:color="auto"/>
        <w:bottom w:val="none" w:sz="0" w:space="0" w:color="auto"/>
        <w:right w:val="none" w:sz="0" w:space="0" w:color="auto"/>
      </w:divBdr>
    </w:div>
    <w:div w:id="1622691258">
      <w:bodyDiv w:val="1"/>
      <w:marLeft w:val="0"/>
      <w:marRight w:val="0"/>
      <w:marTop w:val="0"/>
      <w:marBottom w:val="0"/>
      <w:divBdr>
        <w:top w:val="none" w:sz="0" w:space="0" w:color="auto"/>
        <w:left w:val="none" w:sz="0" w:space="0" w:color="auto"/>
        <w:bottom w:val="none" w:sz="0" w:space="0" w:color="auto"/>
        <w:right w:val="none" w:sz="0" w:space="0" w:color="auto"/>
      </w:divBdr>
    </w:div>
    <w:div w:id="1623414751">
      <w:bodyDiv w:val="1"/>
      <w:marLeft w:val="0"/>
      <w:marRight w:val="0"/>
      <w:marTop w:val="0"/>
      <w:marBottom w:val="0"/>
      <w:divBdr>
        <w:top w:val="none" w:sz="0" w:space="0" w:color="auto"/>
        <w:left w:val="none" w:sz="0" w:space="0" w:color="auto"/>
        <w:bottom w:val="none" w:sz="0" w:space="0" w:color="auto"/>
        <w:right w:val="none" w:sz="0" w:space="0" w:color="auto"/>
      </w:divBdr>
    </w:div>
    <w:div w:id="1623537232">
      <w:bodyDiv w:val="1"/>
      <w:marLeft w:val="0"/>
      <w:marRight w:val="0"/>
      <w:marTop w:val="0"/>
      <w:marBottom w:val="0"/>
      <w:divBdr>
        <w:top w:val="none" w:sz="0" w:space="0" w:color="auto"/>
        <w:left w:val="none" w:sz="0" w:space="0" w:color="auto"/>
        <w:bottom w:val="none" w:sz="0" w:space="0" w:color="auto"/>
        <w:right w:val="none" w:sz="0" w:space="0" w:color="auto"/>
      </w:divBdr>
    </w:div>
    <w:div w:id="1624192600">
      <w:bodyDiv w:val="1"/>
      <w:marLeft w:val="0"/>
      <w:marRight w:val="0"/>
      <w:marTop w:val="0"/>
      <w:marBottom w:val="0"/>
      <w:divBdr>
        <w:top w:val="none" w:sz="0" w:space="0" w:color="auto"/>
        <w:left w:val="none" w:sz="0" w:space="0" w:color="auto"/>
        <w:bottom w:val="none" w:sz="0" w:space="0" w:color="auto"/>
        <w:right w:val="none" w:sz="0" w:space="0" w:color="auto"/>
      </w:divBdr>
    </w:div>
    <w:div w:id="1624195117">
      <w:bodyDiv w:val="1"/>
      <w:marLeft w:val="0"/>
      <w:marRight w:val="0"/>
      <w:marTop w:val="0"/>
      <w:marBottom w:val="0"/>
      <w:divBdr>
        <w:top w:val="none" w:sz="0" w:space="0" w:color="auto"/>
        <w:left w:val="none" w:sz="0" w:space="0" w:color="auto"/>
        <w:bottom w:val="none" w:sz="0" w:space="0" w:color="auto"/>
        <w:right w:val="none" w:sz="0" w:space="0" w:color="auto"/>
      </w:divBdr>
    </w:div>
    <w:div w:id="1624575910">
      <w:bodyDiv w:val="1"/>
      <w:marLeft w:val="0"/>
      <w:marRight w:val="0"/>
      <w:marTop w:val="0"/>
      <w:marBottom w:val="0"/>
      <w:divBdr>
        <w:top w:val="none" w:sz="0" w:space="0" w:color="auto"/>
        <w:left w:val="none" w:sz="0" w:space="0" w:color="auto"/>
        <w:bottom w:val="none" w:sz="0" w:space="0" w:color="auto"/>
        <w:right w:val="none" w:sz="0" w:space="0" w:color="auto"/>
      </w:divBdr>
    </w:div>
    <w:div w:id="1624799600">
      <w:bodyDiv w:val="1"/>
      <w:marLeft w:val="0"/>
      <w:marRight w:val="0"/>
      <w:marTop w:val="0"/>
      <w:marBottom w:val="0"/>
      <w:divBdr>
        <w:top w:val="none" w:sz="0" w:space="0" w:color="auto"/>
        <w:left w:val="none" w:sz="0" w:space="0" w:color="auto"/>
        <w:bottom w:val="none" w:sz="0" w:space="0" w:color="auto"/>
        <w:right w:val="none" w:sz="0" w:space="0" w:color="auto"/>
      </w:divBdr>
    </w:div>
    <w:div w:id="1624967598">
      <w:bodyDiv w:val="1"/>
      <w:marLeft w:val="0"/>
      <w:marRight w:val="0"/>
      <w:marTop w:val="0"/>
      <w:marBottom w:val="0"/>
      <w:divBdr>
        <w:top w:val="none" w:sz="0" w:space="0" w:color="auto"/>
        <w:left w:val="none" w:sz="0" w:space="0" w:color="auto"/>
        <w:bottom w:val="none" w:sz="0" w:space="0" w:color="auto"/>
        <w:right w:val="none" w:sz="0" w:space="0" w:color="auto"/>
      </w:divBdr>
    </w:div>
    <w:div w:id="1624995293">
      <w:bodyDiv w:val="1"/>
      <w:marLeft w:val="0"/>
      <w:marRight w:val="0"/>
      <w:marTop w:val="0"/>
      <w:marBottom w:val="0"/>
      <w:divBdr>
        <w:top w:val="none" w:sz="0" w:space="0" w:color="auto"/>
        <w:left w:val="none" w:sz="0" w:space="0" w:color="auto"/>
        <w:bottom w:val="none" w:sz="0" w:space="0" w:color="auto"/>
        <w:right w:val="none" w:sz="0" w:space="0" w:color="auto"/>
      </w:divBdr>
    </w:div>
    <w:div w:id="1625311834">
      <w:bodyDiv w:val="1"/>
      <w:marLeft w:val="0"/>
      <w:marRight w:val="0"/>
      <w:marTop w:val="0"/>
      <w:marBottom w:val="0"/>
      <w:divBdr>
        <w:top w:val="none" w:sz="0" w:space="0" w:color="auto"/>
        <w:left w:val="none" w:sz="0" w:space="0" w:color="auto"/>
        <w:bottom w:val="none" w:sz="0" w:space="0" w:color="auto"/>
        <w:right w:val="none" w:sz="0" w:space="0" w:color="auto"/>
      </w:divBdr>
    </w:div>
    <w:div w:id="1625387468">
      <w:bodyDiv w:val="1"/>
      <w:marLeft w:val="0"/>
      <w:marRight w:val="0"/>
      <w:marTop w:val="0"/>
      <w:marBottom w:val="0"/>
      <w:divBdr>
        <w:top w:val="none" w:sz="0" w:space="0" w:color="auto"/>
        <w:left w:val="none" w:sz="0" w:space="0" w:color="auto"/>
        <w:bottom w:val="none" w:sz="0" w:space="0" w:color="auto"/>
        <w:right w:val="none" w:sz="0" w:space="0" w:color="auto"/>
      </w:divBdr>
    </w:div>
    <w:div w:id="1625505109">
      <w:bodyDiv w:val="1"/>
      <w:marLeft w:val="0"/>
      <w:marRight w:val="0"/>
      <w:marTop w:val="0"/>
      <w:marBottom w:val="0"/>
      <w:divBdr>
        <w:top w:val="none" w:sz="0" w:space="0" w:color="auto"/>
        <w:left w:val="none" w:sz="0" w:space="0" w:color="auto"/>
        <w:bottom w:val="none" w:sz="0" w:space="0" w:color="auto"/>
        <w:right w:val="none" w:sz="0" w:space="0" w:color="auto"/>
      </w:divBdr>
    </w:div>
    <w:div w:id="1625577476">
      <w:bodyDiv w:val="1"/>
      <w:marLeft w:val="0"/>
      <w:marRight w:val="0"/>
      <w:marTop w:val="0"/>
      <w:marBottom w:val="0"/>
      <w:divBdr>
        <w:top w:val="none" w:sz="0" w:space="0" w:color="auto"/>
        <w:left w:val="none" w:sz="0" w:space="0" w:color="auto"/>
        <w:bottom w:val="none" w:sz="0" w:space="0" w:color="auto"/>
        <w:right w:val="none" w:sz="0" w:space="0" w:color="auto"/>
      </w:divBdr>
    </w:div>
    <w:div w:id="1625771778">
      <w:bodyDiv w:val="1"/>
      <w:marLeft w:val="0"/>
      <w:marRight w:val="0"/>
      <w:marTop w:val="0"/>
      <w:marBottom w:val="0"/>
      <w:divBdr>
        <w:top w:val="none" w:sz="0" w:space="0" w:color="auto"/>
        <w:left w:val="none" w:sz="0" w:space="0" w:color="auto"/>
        <w:bottom w:val="none" w:sz="0" w:space="0" w:color="auto"/>
        <w:right w:val="none" w:sz="0" w:space="0" w:color="auto"/>
      </w:divBdr>
    </w:div>
    <w:div w:id="1626040114">
      <w:bodyDiv w:val="1"/>
      <w:marLeft w:val="0"/>
      <w:marRight w:val="0"/>
      <w:marTop w:val="0"/>
      <w:marBottom w:val="0"/>
      <w:divBdr>
        <w:top w:val="none" w:sz="0" w:space="0" w:color="auto"/>
        <w:left w:val="none" w:sz="0" w:space="0" w:color="auto"/>
        <w:bottom w:val="none" w:sz="0" w:space="0" w:color="auto"/>
        <w:right w:val="none" w:sz="0" w:space="0" w:color="auto"/>
      </w:divBdr>
    </w:div>
    <w:div w:id="1626083183">
      <w:bodyDiv w:val="1"/>
      <w:marLeft w:val="0"/>
      <w:marRight w:val="0"/>
      <w:marTop w:val="0"/>
      <w:marBottom w:val="0"/>
      <w:divBdr>
        <w:top w:val="none" w:sz="0" w:space="0" w:color="auto"/>
        <w:left w:val="none" w:sz="0" w:space="0" w:color="auto"/>
        <w:bottom w:val="none" w:sz="0" w:space="0" w:color="auto"/>
        <w:right w:val="none" w:sz="0" w:space="0" w:color="auto"/>
      </w:divBdr>
    </w:div>
    <w:div w:id="1627271460">
      <w:bodyDiv w:val="1"/>
      <w:marLeft w:val="0"/>
      <w:marRight w:val="0"/>
      <w:marTop w:val="0"/>
      <w:marBottom w:val="0"/>
      <w:divBdr>
        <w:top w:val="none" w:sz="0" w:space="0" w:color="auto"/>
        <w:left w:val="none" w:sz="0" w:space="0" w:color="auto"/>
        <w:bottom w:val="none" w:sz="0" w:space="0" w:color="auto"/>
        <w:right w:val="none" w:sz="0" w:space="0" w:color="auto"/>
      </w:divBdr>
    </w:div>
    <w:div w:id="1627735064">
      <w:bodyDiv w:val="1"/>
      <w:marLeft w:val="0"/>
      <w:marRight w:val="0"/>
      <w:marTop w:val="0"/>
      <w:marBottom w:val="0"/>
      <w:divBdr>
        <w:top w:val="none" w:sz="0" w:space="0" w:color="auto"/>
        <w:left w:val="none" w:sz="0" w:space="0" w:color="auto"/>
        <w:bottom w:val="none" w:sz="0" w:space="0" w:color="auto"/>
        <w:right w:val="none" w:sz="0" w:space="0" w:color="auto"/>
      </w:divBdr>
    </w:div>
    <w:div w:id="1627811468">
      <w:bodyDiv w:val="1"/>
      <w:marLeft w:val="0"/>
      <w:marRight w:val="0"/>
      <w:marTop w:val="0"/>
      <w:marBottom w:val="0"/>
      <w:divBdr>
        <w:top w:val="none" w:sz="0" w:space="0" w:color="auto"/>
        <w:left w:val="none" w:sz="0" w:space="0" w:color="auto"/>
        <w:bottom w:val="none" w:sz="0" w:space="0" w:color="auto"/>
        <w:right w:val="none" w:sz="0" w:space="0" w:color="auto"/>
      </w:divBdr>
    </w:div>
    <w:div w:id="1627849693">
      <w:bodyDiv w:val="1"/>
      <w:marLeft w:val="0"/>
      <w:marRight w:val="0"/>
      <w:marTop w:val="0"/>
      <w:marBottom w:val="0"/>
      <w:divBdr>
        <w:top w:val="none" w:sz="0" w:space="0" w:color="auto"/>
        <w:left w:val="none" w:sz="0" w:space="0" w:color="auto"/>
        <w:bottom w:val="none" w:sz="0" w:space="0" w:color="auto"/>
        <w:right w:val="none" w:sz="0" w:space="0" w:color="auto"/>
      </w:divBdr>
    </w:div>
    <w:div w:id="1627925173">
      <w:bodyDiv w:val="1"/>
      <w:marLeft w:val="0"/>
      <w:marRight w:val="0"/>
      <w:marTop w:val="0"/>
      <w:marBottom w:val="0"/>
      <w:divBdr>
        <w:top w:val="none" w:sz="0" w:space="0" w:color="auto"/>
        <w:left w:val="none" w:sz="0" w:space="0" w:color="auto"/>
        <w:bottom w:val="none" w:sz="0" w:space="0" w:color="auto"/>
        <w:right w:val="none" w:sz="0" w:space="0" w:color="auto"/>
      </w:divBdr>
    </w:div>
    <w:div w:id="1628045518">
      <w:bodyDiv w:val="1"/>
      <w:marLeft w:val="0"/>
      <w:marRight w:val="0"/>
      <w:marTop w:val="0"/>
      <w:marBottom w:val="0"/>
      <w:divBdr>
        <w:top w:val="none" w:sz="0" w:space="0" w:color="auto"/>
        <w:left w:val="none" w:sz="0" w:space="0" w:color="auto"/>
        <w:bottom w:val="none" w:sz="0" w:space="0" w:color="auto"/>
        <w:right w:val="none" w:sz="0" w:space="0" w:color="auto"/>
      </w:divBdr>
    </w:div>
    <w:div w:id="1628315654">
      <w:bodyDiv w:val="1"/>
      <w:marLeft w:val="0"/>
      <w:marRight w:val="0"/>
      <w:marTop w:val="0"/>
      <w:marBottom w:val="0"/>
      <w:divBdr>
        <w:top w:val="none" w:sz="0" w:space="0" w:color="auto"/>
        <w:left w:val="none" w:sz="0" w:space="0" w:color="auto"/>
        <w:bottom w:val="none" w:sz="0" w:space="0" w:color="auto"/>
        <w:right w:val="none" w:sz="0" w:space="0" w:color="auto"/>
      </w:divBdr>
    </w:div>
    <w:div w:id="1629125431">
      <w:bodyDiv w:val="1"/>
      <w:marLeft w:val="0"/>
      <w:marRight w:val="0"/>
      <w:marTop w:val="0"/>
      <w:marBottom w:val="0"/>
      <w:divBdr>
        <w:top w:val="none" w:sz="0" w:space="0" w:color="auto"/>
        <w:left w:val="none" w:sz="0" w:space="0" w:color="auto"/>
        <w:bottom w:val="none" w:sz="0" w:space="0" w:color="auto"/>
        <w:right w:val="none" w:sz="0" w:space="0" w:color="auto"/>
      </w:divBdr>
    </w:div>
    <w:div w:id="1630280665">
      <w:bodyDiv w:val="1"/>
      <w:marLeft w:val="0"/>
      <w:marRight w:val="0"/>
      <w:marTop w:val="0"/>
      <w:marBottom w:val="0"/>
      <w:divBdr>
        <w:top w:val="none" w:sz="0" w:space="0" w:color="auto"/>
        <w:left w:val="none" w:sz="0" w:space="0" w:color="auto"/>
        <w:bottom w:val="none" w:sz="0" w:space="0" w:color="auto"/>
        <w:right w:val="none" w:sz="0" w:space="0" w:color="auto"/>
      </w:divBdr>
    </w:div>
    <w:div w:id="1630283422">
      <w:bodyDiv w:val="1"/>
      <w:marLeft w:val="0"/>
      <w:marRight w:val="0"/>
      <w:marTop w:val="0"/>
      <w:marBottom w:val="0"/>
      <w:divBdr>
        <w:top w:val="none" w:sz="0" w:space="0" w:color="auto"/>
        <w:left w:val="none" w:sz="0" w:space="0" w:color="auto"/>
        <w:bottom w:val="none" w:sz="0" w:space="0" w:color="auto"/>
        <w:right w:val="none" w:sz="0" w:space="0" w:color="auto"/>
      </w:divBdr>
    </w:div>
    <w:div w:id="1630471882">
      <w:bodyDiv w:val="1"/>
      <w:marLeft w:val="0"/>
      <w:marRight w:val="0"/>
      <w:marTop w:val="0"/>
      <w:marBottom w:val="0"/>
      <w:divBdr>
        <w:top w:val="none" w:sz="0" w:space="0" w:color="auto"/>
        <w:left w:val="none" w:sz="0" w:space="0" w:color="auto"/>
        <w:bottom w:val="none" w:sz="0" w:space="0" w:color="auto"/>
        <w:right w:val="none" w:sz="0" w:space="0" w:color="auto"/>
      </w:divBdr>
    </w:div>
    <w:div w:id="1630670040">
      <w:bodyDiv w:val="1"/>
      <w:marLeft w:val="0"/>
      <w:marRight w:val="0"/>
      <w:marTop w:val="0"/>
      <w:marBottom w:val="0"/>
      <w:divBdr>
        <w:top w:val="none" w:sz="0" w:space="0" w:color="auto"/>
        <w:left w:val="none" w:sz="0" w:space="0" w:color="auto"/>
        <w:bottom w:val="none" w:sz="0" w:space="0" w:color="auto"/>
        <w:right w:val="none" w:sz="0" w:space="0" w:color="auto"/>
      </w:divBdr>
    </w:div>
    <w:div w:id="1631014330">
      <w:bodyDiv w:val="1"/>
      <w:marLeft w:val="0"/>
      <w:marRight w:val="0"/>
      <w:marTop w:val="0"/>
      <w:marBottom w:val="0"/>
      <w:divBdr>
        <w:top w:val="none" w:sz="0" w:space="0" w:color="auto"/>
        <w:left w:val="none" w:sz="0" w:space="0" w:color="auto"/>
        <w:bottom w:val="none" w:sz="0" w:space="0" w:color="auto"/>
        <w:right w:val="none" w:sz="0" w:space="0" w:color="auto"/>
      </w:divBdr>
    </w:div>
    <w:div w:id="1631399208">
      <w:bodyDiv w:val="1"/>
      <w:marLeft w:val="0"/>
      <w:marRight w:val="0"/>
      <w:marTop w:val="0"/>
      <w:marBottom w:val="0"/>
      <w:divBdr>
        <w:top w:val="none" w:sz="0" w:space="0" w:color="auto"/>
        <w:left w:val="none" w:sz="0" w:space="0" w:color="auto"/>
        <w:bottom w:val="none" w:sz="0" w:space="0" w:color="auto"/>
        <w:right w:val="none" w:sz="0" w:space="0" w:color="auto"/>
      </w:divBdr>
    </w:div>
    <w:div w:id="1631401518">
      <w:bodyDiv w:val="1"/>
      <w:marLeft w:val="0"/>
      <w:marRight w:val="0"/>
      <w:marTop w:val="0"/>
      <w:marBottom w:val="0"/>
      <w:divBdr>
        <w:top w:val="none" w:sz="0" w:space="0" w:color="auto"/>
        <w:left w:val="none" w:sz="0" w:space="0" w:color="auto"/>
        <w:bottom w:val="none" w:sz="0" w:space="0" w:color="auto"/>
        <w:right w:val="none" w:sz="0" w:space="0" w:color="auto"/>
      </w:divBdr>
    </w:div>
    <w:div w:id="1631595589">
      <w:bodyDiv w:val="1"/>
      <w:marLeft w:val="0"/>
      <w:marRight w:val="0"/>
      <w:marTop w:val="0"/>
      <w:marBottom w:val="0"/>
      <w:divBdr>
        <w:top w:val="none" w:sz="0" w:space="0" w:color="auto"/>
        <w:left w:val="none" w:sz="0" w:space="0" w:color="auto"/>
        <w:bottom w:val="none" w:sz="0" w:space="0" w:color="auto"/>
        <w:right w:val="none" w:sz="0" w:space="0" w:color="auto"/>
      </w:divBdr>
    </w:div>
    <w:div w:id="1631782516">
      <w:bodyDiv w:val="1"/>
      <w:marLeft w:val="0"/>
      <w:marRight w:val="0"/>
      <w:marTop w:val="0"/>
      <w:marBottom w:val="0"/>
      <w:divBdr>
        <w:top w:val="none" w:sz="0" w:space="0" w:color="auto"/>
        <w:left w:val="none" w:sz="0" w:space="0" w:color="auto"/>
        <w:bottom w:val="none" w:sz="0" w:space="0" w:color="auto"/>
        <w:right w:val="none" w:sz="0" w:space="0" w:color="auto"/>
      </w:divBdr>
    </w:div>
    <w:div w:id="1632246460">
      <w:bodyDiv w:val="1"/>
      <w:marLeft w:val="0"/>
      <w:marRight w:val="0"/>
      <w:marTop w:val="0"/>
      <w:marBottom w:val="0"/>
      <w:divBdr>
        <w:top w:val="none" w:sz="0" w:space="0" w:color="auto"/>
        <w:left w:val="none" w:sz="0" w:space="0" w:color="auto"/>
        <w:bottom w:val="none" w:sz="0" w:space="0" w:color="auto"/>
        <w:right w:val="none" w:sz="0" w:space="0" w:color="auto"/>
      </w:divBdr>
    </w:div>
    <w:div w:id="1632247095">
      <w:bodyDiv w:val="1"/>
      <w:marLeft w:val="0"/>
      <w:marRight w:val="0"/>
      <w:marTop w:val="0"/>
      <w:marBottom w:val="0"/>
      <w:divBdr>
        <w:top w:val="none" w:sz="0" w:space="0" w:color="auto"/>
        <w:left w:val="none" w:sz="0" w:space="0" w:color="auto"/>
        <w:bottom w:val="none" w:sz="0" w:space="0" w:color="auto"/>
        <w:right w:val="none" w:sz="0" w:space="0" w:color="auto"/>
      </w:divBdr>
    </w:div>
    <w:div w:id="1632248556">
      <w:bodyDiv w:val="1"/>
      <w:marLeft w:val="0"/>
      <w:marRight w:val="0"/>
      <w:marTop w:val="0"/>
      <w:marBottom w:val="0"/>
      <w:divBdr>
        <w:top w:val="none" w:sz="0" w:space="0" w:color="auto"/>
        <w:left w:val="none" w:sz="0" w:space="0" w:color="auto"/>
        <w:bottom w:val="none" w:sz="0" w:space="0" w:color="auto"/>
        <w:right w:val="none" w:sz="0" w:space="0" w:color="auto"/>
      </w:divBdr>
    </w:div>
    <w:div w:id="1632395047">
      <w:bodyDiv w:val="1"/>
      <w:marLeft w:val="0"/>
      <w:marRight w:val="0"/>
      <w:marTop w:val="0"/>
      <w:marBottom w:val="0"/>
      <w:divBdr>
        <w:top w:val="none" w:sz="0" w:space="0" w:color="auto"/>
        <w:left w:val="none" w:sz="0" w:space="0" w:color="auto"/>
        <w:bottom w:val="none" w:sz="0" w:space="0" w:color="auto"/>
        <w:right w:val="none" w:sz="0" w:space="0" w:color="auto"/>
      </w:divBdr>
    </w:div>
    <w:div w:id="1632899526">
      <w:bodyDiv w:val="1"/>
      <w:marLeft w:val="0"/>
      <w:marRight w:val="0"/>
      <w:marTop w:val="0"/>
      <w:marBottom w:val="0"/>
      <w:divBdr>
        <w:top w:val="none" w:sz="0" w:space="0" w:color="auto"/>
        <w:left w:val="none" w:sz="0" w:space="0" w:color="auto"/>
        <w:bottom w:val="none" w:sz="0" w:space="0" w:color="auto"/>
        <w:right w:val="none" w:sz="0" w:space="0" w:color="auto"/>
      </w:divBdr>
    </w:div>
    <w:div w:id="1633365128">
      <w:bodyDiv w:val="1"/>
      <w:marLeft w:val="0"/>
      <w:marRight w:val="0"/>
      <w:marTop w:val="0"/>
      <w:marBottom w:val="0"/>
      <w:divBdr>
        <w:top w:val="none" w:sz="0" w:space="0" w:color="auto"/>
        <w:left w:val="none" w:sz="0" w:space="0" w:color="auto"/>
        <w:bottom w:val="none" w:sz="0" w:space="0" w:color="auto"/>
        <w:right w:val="none" w:sz="0" w:space="0" w:color="auto"/>
      </w:divBdr>
    </w:div>
    <w:div w:id="1633553704">
      <w:bodyDiv w:val="1"/>
      <w:marLeft w:val="0"/>
      <w:marRight w:val="0"/>
      <w:marTop w:val="0"/>
      <w:marBottom w:val="0"/>
      <w:divBdr>
        <w:top w:val="none" w:sz="0" w:space="0" w:color="auto"/>
        <w:left w:val="none" w:sz="0" w:space="0" w:color="auto"/>
        <w:bottom w:val="none" w:sz="0" w:space="0" w:color="auto"/>
        <w:right w:val="none" w:sz="0" w:space="0" w:color="auto"/>
      </w:divBdr>
    </w:div>
    <w:div w:id="1633706570">
      <w:bodyDiv w:val="1"/>
      <w:marLeft w:val="0"/>
      <w:marRight w:val="0"/>
      <w:marTop w:val="0"/>
      <w:marBottom w:val="0"/>
      <w:divBdr>
        <w:top w:val="none" w:sz="0" w:space="0" w:color="auto"/>
        <w:left w:val="none" w:sz="0" w:space="0" w:color="auto"/>
        <w:bottom w:val="none" w:sz="0" w:space="0" w:color="auto"/>
        <w:right w:val="none" w:sz="0" w:space="0" w:color="auto"/>
      </w:divBdr>
    </w:div>
    <w:div w:id="1633750352">
      <w:bodyDiv w:val="1"/>
      <w:marLeft w:val="0"/>
      <w:marRight w:val="0"/>
      <w:marTop w:val="0"/>
      <w:marBottom w:val="0"/>
      <w:divBdr>
        <w:top w:val="none" w:sz="0" w:space="0" w:color="auto"/>
        <w:left w:val="none" w:sz="0" w:space="0" w:color="auto"/>
        <w:bottom w:val="none" w:sz="0" w:space="0" w:color="auto"/>
        <w:right w:val="none" w:sz="0" w:space="0" w:color="auto"/>
      </w:divBdr>
    </w:div>
    <w:div w:id="1634022887">
      <w:bodyDiv w:val="1"/>
      <w:marLeft w:val="0"/>
      <w:marRight w:val="0"/>
      <w:marTop w:val="0"/>
      <w:marBottom w:val="0"/>
      <w:divBdr>
        <w:top w:val="none" w:sz="0" w:space="0" w:color="auto"/>
        <w:left w:val="none" w:sz="0" w:space="0" w:color="auto"/>
        <w:bottom w:val="none" w:sz="0" w:space="0" w:color="auto"/>
        <w:right w:val="none" w:sz="0" w:space="0" w:color="auto"/>
      </w:divBdr>
    </w:div>
    <w:div w:id="1634366286">
      <w:bodyDiv w:val="1"/>
      <w:marLeft w:val="0"/>
      <w:marRight w:val="0"/>
      <w:marTop w:val="0"/>
      <w:marBottom w:val="0"/>
      <w:divBdr>
        <w:top w:val="none" w:sz="0" w:space="0" w:color="auto"/>
        <w:left w:val="none" w:sz="0" w:space="0" w:color="auto"/>
        <w:bottom w:val="none" w:sz="0" w:space="0" w:color="auto"/>
        <w:right w:val="none" w:sz="0" w:space="0" w:color="auto"/>
      </w:divBdr>
    </w:div>
    <w:div w:id="1634559052">
      <w:bodyDiv w:val="1"/>
      <w:marLeft w:val="0"/>
      <w:marRight w:val="0"/>
      <w:marTop w:val="0"/>
      <w:marBottom w:val="0"/>
      <w:divBdr>
        <w:top w:val="none" w:sz="0" w:space="0" w:color="auto"/>
        <w:left w:val="none" w:sz="0" w:space="0" w:color="auto"/>
        <w:bottom w:val="none" w:sz="0" w:space="0" w:color="auto"/>
        <w:right w:val="none" w:sz="0" w:space="0" w:color="auto"/>
      </w:divBdr>
    </w:div>
    <w:div w:id="1635594691">
      <w:bodyDiv w:val="1"/>
      <w:marLeft w:val="0"/>
      <w:marRight w:val="0"/>
      <w:marTop w:val="0"/>
      <w:marBottom w:val="0"/>
      <w:divBdr>
        <w:top w:val="none" w:sz="0" w:space="0" w:color="auto"/>
        <w:left w:val="none" w:sz="0" w:space="0" w:color="auto"/>
        <w:bottom w:val="none" w:sz="0" w:space="0" w:color="auto"/>
        <w:right w:val="none" w:sz="0" w:space="0" w:color="auto"/>
      </w:divBdr>
    </w:div>
    <w:div w:id="1635864978">
      <w:bodyDiv w:val="1"/>
      <w:marLeft w:val="0"/>
      <w:marRight w:val="0"/>
      <w:marTop w:val="0"/>
      <w:marBottom w:val="0"/>
      <w:divBdr>
        <w:top w:val="none" w:sz="0" w:space="0" w:color="auto"/>
        <w:left w:val="none" w:sz="0" w:space="0" w:color="auto"/>
        <w:bottom w:val="none" w:sz="0" w:space="0" w:color="auto"/>
        <w:right w:val="none" w:sz="0" w:space="0" w:color="auto"/>
      </w:divBdr>
    </w:div>
    <w:div w:id="1636178356">
      <w:bodyDiv w:val="1"/>
      <w:marLeft w:val="0"/>
      <w:marRight w:val="0"/>
      <w:marTop w:val="0"/>
      <w:marBottom w:val="0"/>
      <w:divBdr>
        <w:top w:val="none" w:sz="0" w:space="0" w:color="auto"/>
        <w:left w:val="none" w:sz="0" w:space="0" w:color="auto"/>
        <w:bottom w:val="none" w:sz="0" w:space="0" w:color="auto"/>
        <w:right w:val="none" w:sz="0" w:space="0" w:color="auto"/>
      </w:divBdr>
    </w:div>
    <w:div w:id="1636327071">
      <w:bodyDiv w:val="1"/>
      <w:marLeft w:val="0"/>
      <w:marRight w:val="0"/>
      <w:marTop w:val="0"/>
      <w:marBottom w:val="0"/>
      <w:divBdr>
        <w:top w:val="none" w:sz="0" w:space="0" w:color="auto"/>
        <w:left w:val="none" w:sz="0" w:space="0" w:color="auto"/>
        <w:bottom w:val="none" w:sz="0" w:space="0" w:color="auto"/>
        <w:right w:val="none" w:sz="0" w:space="0" w:color="auto"/>
      </w:divBdr>
    </w:div>
    <w:div w:id="1636527565">
      <w:bodyDiv w:val="1"/>
      <w:marLeft w:val="0"/>
      <w:marRight w:val="0"/>
      <w:marTop w:val="0"/>
      <w:marBottom w:val="0"/>
      <w:divBdr>
        <w:top w:val="none" w:sz="0" w:space="0" w:color="auto"/>
        <w:left w:val="none" w:sz="0" w:space="0" w:color="auto"/>
        <w:bottom w:val="none" w:sz="0" w:space="0" w:color="auto"/>
        <w:right w:val="none" w:sz="0" w:space="0" w:color="auto"/>
      </w:divBdr>
    </w:div>
    <w:div w:id="1637030336">
      <w:bodyDiv w:val="1"/>
      <w:marLeft w:val="0"/>
      <w:marRight w:val="0"/>
      <w:marTop w:val="0"/>
      <w:marBottom w:val="0"/>
      <w:divBdr>
        <w:top w:val="none" w:sz="0" w:space="0" w:color="auto"/>
        <w:left w:val="none" w:sz="0" w:space="0" w:color="auto"/>
        <w:bottom w:val="none" w:sz="0" w:space="0" w:color="auto"/>
        <w:right w:val="none" w:sz="0" w:space="0" w:color="auto"/>
      </w:divBdr>
    </w:div>
    <w:div w:id="1637293907">
      <w:bodyDiv w:val="1"/>
      <w:marLeft w:val="0"/>
      <w:marRight w:val="0"/>
      <w:marTop w:val="0"/>
      <w:marBottom w:val="0"/>
      <w:divBdr>
        <w:top w:val="none" w:sz="0" w:space="0" w:color="auto"/>
        <w:left w:val="none" w:sz="0" w:space="0" w:color="auto"/>
        <w:bottom w:val="none" w:sz="0" w:space="0" w:color="auto"/>
        <w:right w:val="none" w:sz="0" w:space="0" w:color="auto"/>
      </w:divBdr>
    </w:div>
    <w:div w:id="1637711149">
      <w:bodyDiv w:val="1"/>
      <w:marLeft w:val="0"/>
      <w:marRight w:val="0"/>
      <w:marTop w:val="0"/>
      <w:marBottom w:val="0"/>
      <w:divBdr>
        <w:top w:val="none" w:sz="0" w:space="0" w:color="auto"/>
        <w:left w:val="none" w:sz="0" w:space="0" w:color="auto"/>
        <w:bottom w:val="none" w:sz="0" w:space="0" w:color="auto"/>
        <w:right w:val="none" w:sz="0" w:space="0" w:color="auto"/>
      </w:divBdr>
    </w:div>
    <w:div w:id="1638293745">
      <w:bodyDiv w:val="1"/>
      <w:marLeft w:val="0"/>
      <w:marRight w:val="0"/>
      <w:marTop w:val="0"/>
      <w:marBottom w:val="0"/>
      <w:divBdr>
        <w:top w:val="none" w:sz="0" w:space="0" w:color="auto"/>
        <w:left w:val="none" w:sz="0" w:space="0" w:color="auto"/>
        <w:bottom w:val="none" w:sz="0" w:space="0" w:color="auto"/>
        <w:right w:val="none" w:sz="0" w:space="0" w:color="auto"/>
      </w:divBdr>
    </w:div>
    <w:div w:id="1638799160">
      <w:bodyDiv w:val="1"/>
      <w:marLeft w:val="0"/>
      <w:marRight w:val="0"/>
      <w:marTop w:val="0"/>
      <w:marBottom w:val="0"/>
      <w:divBdr>
        <w:top w:val="none" w:sz="0" w:space="0" w:color="auto"/>
        <w:left w:val="none" w:sz="0" w:space="0" w:color="auto"/>
        <w:bottom w:val="none" w:sz="0" w:space="0" w:color="auto"/>
        <w:right w:val="none" w:sz="0" w:space="0" w:color="auto"/>
      </w:divBdr>
    </w:div>
    <w:div w:id="1638878495">
      <w:bodyDiv w:val="1"/>
      <w:marLeft w:val="0"/>
      <w:marRight w:val="0"/>
      <w:marTop w:val="0"/>
      <w:marBottom w:val="0"/>
      <w:divBdr>
        <w:top w:val="none" w:sz="0" w:space="0" w:color="auto"/>
        <w:left w:val="none" w:sz="0" w:space="0" w:color="auto"/>
        <w:bottom w:val="none" w:sz="0" w:space="0" w:color="auto"/>
        <w:right w:val="none" w:sz="0" w:space="0" w:color="auto"/>
      </w:divBdr>
    </w:div>
    <w:div w:id="1638950815">
      <w:bodyDiv w:val="1"/>
      <w:marLeft w:val="0"/>
      <w:marRight w:val="0"/>
      <w:marTop w:val="0"/>
      <w:marBottom w:val="0"/>
      <w:divBdr>
        <w:top w:val="none" w:sz="0" w:space="0" w:color="auto"/>
        <w:left w:val="none" w:sz="0" w:space="0" w:color="auto"/>
        <w:bottom w:val="none" w:sz="0" w:space="0" w:color="auto"/>
        <w:right w:val="none" w:sz="0" w:space="0" w:color="auto"/>
      </w:divBdr>
    </w:div>
    <w:div w:id="1639528922">
      <w:bodyDiv w:val="1"/>
      <w:marLeft w:val="0"/>
      <w:marRight w:val="0"/>
      <w:marTop w:val="0"/>
      <w:marBottom w:val="0"/>
      <w:divBdr>
        <w:top w:val="none" w:sz="0" w:space="0" w:color="auto"/>
        <w:left w:val="none" w:sz="0" w:space="0" w:color="auto"/>
        <w:bottom w:val="none" w:sz="0" w:space="0" w:color="auto"/>
        <w:right w:val="none" w:sz="0" w:space="0" w:color="auto"/>
      </w:divBdr>
    </w:div>
    <w:div w:id="1639652936">
      <w:bodyDiv w:val="1"/>
      <w:marLeft w:val="0"/>
      <w:marRight w:val="0"/>
      <w:marTop w:val="0"/>
      <w:marBottom w:val="0"/>
      <w:divBdr>
        <w:top w:val="none" w:sz="0" w:space="0" w:color="auto"/>
        <w:left w:val="none" w:sz="0" w:space="0" w:color="auto"/>
        <w:bottom w:val="none" w:sz="0" w:space="0" w:color="auto"/>
        <w:right w:val="none" w:sz="0" w:space="0" w:color="auto"/>
      </w:divBdr>
    </w:div>
    <w:div w:id="1640039253">
      <w:bodyDiv w:val="1"/>
      <w:marLeft w:val="0"/>
      <w:marRight w:val="0"/>
      <w:marTop w:val="0"/>
      <w:marBottom w:val="0"/>
      <w:divBdr>
        <w:top w:val="none" w:sz="0" w:space="0" w:color="auto"/>
        <w:left w:val="none" w:sz="0" w:space="0" w:color="auto"/>
        <w:bottom w:val="none" w:sz="0" w:space="0" w:color="auto"/>
        <w:right w:val="none" w:sz="0" w:space="0" w:color="auto"/>
      </w:divBdr>
    </w:div>
    <w:div w:id="1640332029">
      <w:bodyDiv w:val="1"/>
      <w:marLeft w:val="0"/>
      <w:marRight w:val="0"/>
      <w:marTop w:val="0"/>
      <w:marBottom w:val="0"/>
      <w:divBdr>
        <w:top w:val="none" w:sz="0" w:space="0" w:color="auto"/>
        <w:left w:val="none" w:sz="0" w:space="0" w:color="auto"/>
        <w:bottom w:val="none" w:sz="0" w:space="0" w:color="auto"/>
        <w:right w:val="none" w:sz="0" w:space="0" w:color="auto"/>
      </w:divBdr>
    </w:div>
    <w:div w:id="1640456222">
      <w:bodyDiv w:val="1"/>
      <w:marLeft w:val="0"/>
      <w:marRight w:val="0"/>
      <w:marTop w:val="0"/>
      <w:marBottom w:val="0"/>
      <w:divBdr>
        <w:top w:val="none" w:sz="0" w:space="0" w:color="auto"/>
        <w:left w:val="none" w:sz="0" w:space="0" w:color="auto"/>
        <w:bottom w:val="none" w:sz="0" w:space="0" w:color="auto"/>
        <w:right w:val="none" w:sz="0" w:space="0" w:color="auto"/>
      </w:divBdr>
    </w:div>
    <w:div w:id="1640761778">
      <w:bodyDiv w:val="1"/>
      <w:marLeft w:val="0"/>
      <w:marRight w:val="0"/>
      <w:marTop w:val="0"/>
      <w:marBottom w:val="0"/>
      <w:divBdr>
        <w:top w:val="none" w:sz="0" w:space="0" w:color="auto"/>
        <w:left w:val="none" w:sz="0" w:space="0" w:color="auto"/>
        <w:bottom w:val="none" w:sz="0" w:space="0" w:color="auto"/>
        <w:right w:val="none" w:sz="0" w:space="0" w:color="auto"/>
      </w:divBdr>
    </w:div>
    <w:div w:id="1640840069">
      <w:bodyDiv w:val="1"/>
      <w:marLeft w:val="0"/>
      <w:marRight w:val="0"/>
      <w:marTop w:val="0"/>
      <w:marBottom w:val="0"/>
      <w:divBdr>
        <w:top w:val="none" w:sz="0" w:space="0" w:color="auto"/>
        <w:left w:val="none" w:sz="0" w:space="0" w:color="auto"/>
        <w:bottom w:val="none" w:sz="0" w:space="0" w:color="auto"/>
        <w:right w:val="none" w:sz="0" w:space="0" w:color="auto"/>
      </w:divBdr>
    </w:div>
    <w:div w:id="1641114772">
      <w:bodyDiv w:val="1"/>
      <w:marLeft w:val="0"/>
      <w:marRight w:val="0"/>
      <w:marTop w:val="0"/>
      <w:marBottom w:val="0"/>
      <w:divBdr>
        <w:top w:val="none" w:sz="0" w:space="0" w:color="auto"/>
        <w:left w:val="none" w:sz="0" w:space="0" w:color="auto"/>
        <w:bottom w:val="none" w:sz="0" w:space="0" w:color="auto"/>
        <w:right w:val="none" w:sz="0" w:space="0" w:color="auto"/>
      </w:divBdr>
    </w:div>
    <w:div w:id="1641183872">
      <w:bodyDiv w:val="1"/>
      <w:marLeft w:val="0"/>
      <w:marRight w:val="0"/>
      <w:marTop w:val="0"/>
      <w:marBottom w:val="0"/>
      <w:divBdr>
        <w:top w:val="none" w:sz="0" w:space="0" w:color="auto"/>
        <w:left w:val="none" w:sz="0" w:space="0" w:color="auto"/>
        <w:bottom w:val="none" w:sz="0" w:space="0" w:color="auto"/>
        <w:right w:val="none" w:sz="0" w:space="0" w:color="auto"/>
      </w:divBdr>
    </w:div>
    <w:div w:id="1641229058">
      <w:bodyDiv w:val="1"/>
      <w:marLeft w:val="0"/>
      <w:marRight w:val="0"/>
      <w:marTop w:val="0"/>
      <w:marBottom w:val="0"/>
      <w:divBdr>
        <w:top w:val="none" w:sz="0" w:space="0" w:color="auto"/>
        <w:left w:val="none" w:sz="0" w:space="0" w:color="auto"/>
        <w:bottom w:val="none" w:sz="0" w:space="0" w:color="auto"/>
        <w:right w:val="none" w:sz="0" w:space="0" w:color="auto"/>
      </w:divBdr>
    </w:div>
    <w:div w:id="1641375707">
      <w:bodyDiv w:val="1"/>
      <w:marLeft w:val="0"/>
      <w:marRight w:val="0"/>
      <w:marTop w:val="0"/>
      <w:marBottom w:val="0"/>
      <w:divBdr>
        <w:top w:val="none" w:sz="0" w:space="0" w:color="auto"/>
        <w:left w:val="none" w:sz="0" w:space="0" w:color="auto"/>
        <w:bottom w:val="none" w:sz="0" w:space="0" w:color="auto"/>
        <w:right w:val="none" w:sz="0" w:space="0" w:color="auto"/>
      </w:divBdr>
    </w:div>
    <w:div w:id="1641575274">
      <w:bodyDiv w:val="1"/>
      <w:marLeft w:val="0"/>
      <w:marRight w:val="0"/>
      <w:marTop w:val="0"/>
      <w:marBottom w:val="0"/>
      <w:divBdr>
        <w:top w:val="none" w:sz="0" w:space="0" w:color="auto"/>
        <w:left w:val="none" w:sz="0" w:space="0" w:color="auto"/>
        <w:bottom w:val="none" w:sz="0" w:space="0" w:color="auto"/>
        <w:right w:val="none" w:sz="0" w:space="0" w:color="auto"/>
      </w:divBdr>
    </w:div>
    <w:div w:id="1641687344">
      <w:bodyDiv w:val="1"/>
      <w:marLeft w:val="0"/>
      <w:marRight w:val="0"/>
      <w:marTop w:val="0"/>
      <w:marBottom w:val="0"/>
      <w:divBdr>
        <w:top w:val="none" w:sz="0" w:space="0" w:color="auto"/>
        <w:left w:val="none" w:sz="0" w:space="0" w:color="auto"/>
        <w:bottom w:val="none" w:sz="0" w:space="0" w:color="auto"/>
        <w:right w:val="none" w:sz="0" w:space="0" w:color="auto"/>
      </w:divBdr>
    </w:div>
    <w:div w:id="1641688255">
      <w:bodyDiv w:val="1"/>
      <w:marLeft w:val="0"/>
      <w:marRight w:val="0"/>
      <w:marTop w:val="0"/>
      <w:marBottom w:val="0"/>
      <w:divBdr>
        <w:top w:val="none" w:sz="0" w:space="0" w:color="auto"/>
        <w:left w:val="none" w:sz="0" w:space="0" w:color="auto"/>
        <w:bottom w:val="none" w:sz="0" w:space="0" w:color="auto"/>
        <w:right w:val="none" w:sz="0" w:space="0" w:color="auto"/>
      </w:divBdr>
    </w:div>
    <w:div w:id="1641694623">
      <w:bodyDiv w:val="1"/>
      <w:marLeft w:val="0"/>
      <w:marRight w:val="0"/>
      <w:marTop w:val="0"/>
      <w:marBottom w:val="0"/>
      <w:divBdr>
        <w:top w:val="none" w:sz="0" w:space="0" w:color="auto"/>
        <w:left w:val="none" w:sz="0" w:space="0" w:color="auto"/>
        <w:bottom w:val="none" w:sz="0" w:space="0" w:color="auto"/>
        <w:right w:val="none" w:sz="0" w:space="0" w:color="auto"/>
      </w:divBdr>
    </w:div>
    <w:div w:id="1642077508">
      <w:bodyDiv w:val="1"/>
      <w:marLeft w:val="0"/>
      <w:marRight w:val="0"/>
      <w:marTop w:val="0"/>
      <w:marBottom w:val="0"/>
      <w:divBdr>
        <w:top w:val="none" w:sz="0" w:space="0" w:color="auto"/>
        <w:left w:val="none" w:sz="0" w:space="0" w:color="auto"/>
        <w:bottom w:val="none" w:sz="0" w:space="0" w:color="auto"/>
        <w:right w:val="none" w:sz="0" w:space="0" w:color="auto"/>
      </w:divBdr>
    </w:div>
    <w:div w:id="1642269523">
      <w:bodyDiv w:val="1"/>
      <w:marLeft w:val="0"/>
      <w:marRight w:val="0"/>
      <w:marTop w:val="0"/>
      <w:marBottom w:val="0"/>
      <w:divBdr>
        <w:top w:val="none" w:sz="0" w:space="0" w:color="auto"/>
        <w:left w:val="none" w:sz="0" w:space="0" w:color="auto"/>
        <w:bottom w:val="none" w:sz="0" w:space="0" w:color="auto"/>
        <w:right w:val="none" w:sz="0" w:space="0" w:color="auto"/>
      </w:divBdr>
    </w:div>
    <w:div w:id="1642418436">
      <w:bodyDiv w:val="1"/>
      <w:marLeft w:val="0"/>
      <w:marRight w:val="0"/>
      <w:marTop w:val="0"/>
      <w:marBottom w:val="0"/>
      <w:divBdr>
        <w:top w:val="none" w:sz="0" w:space="0" w:color="auto"/>
        <w:left w:val="none" w:sz="0" w:space="0" w:color="auto"/>
        <w:bottom w:val="none" w:sz="0" w:space="0" w:color="auto"/>
        <w:right w:val="none" w:sz="0" w:space="0" w:color="auto"/>
      </w:divBdr>
    </w:div>
    <w:div w:id="1642689671">
      <w:bodyDiv w:val="1"/>
      <w:marLeft w:val="0"/>
      <w:marRight w:val="0"/>
      <w:marTop w:val="0"/>
      <w:marBottom w:val="0"/>
      <w:divBdr>
        <w:top w:val="none" w:sz="0" w:space="0" w:color="auto"/>
        <w:left w:val="none" w:sz="0" w:space="0" w:color="auto"/>
        <w:bottom w:val="none" w:sz="0" w:space="0" w:color="auto"/>
        <w:right w:val="none" w:sz="0" w:space="0" w:color="auto"/>
      </w:divBdr>
    </w:div>
    <w:div w:id="1642802948">
      <w:bodyDiv w:val="1"/>
      <w:marLeft w:val="0"/>
      <w:marRight w:val="0"/>
      <w:marTop w:val="0"/>
      <w:marBottom w:val="0"/>
      <w:divBdr>
        <w:top w:val="none" w:sz="0" w:space="0" w:color="auto"/>
        <w:left w:val="none" w:sz="0" w:space="0" w:color="auto"/>
        <w:bottom w:val="none" w:sz="0" w:space="0" w:color="auto"/>
        <w:right w:val="none" w:sz="0" w:space="0" w:color="auto"/>
      </w:divBdr>
    </w:div>
    <w:div w:id="1642924672">
      <w:bodyDiv w:val="1"/>
      <w:marLeft w:val="0"/>
      <w:marRight w:val="0"/>
      <w:marTop w:val="0"/>
      <w:marBottom w:val="0"/>
      <w:divBdr>
        <w:top w:val="none" w:sz="0" w:space="0" w:color="auto"/>
        <w:left w:val="none" w:sz="0" w:space="0" w:color="auto"/>
        <w:bottom w:val="none" w:sz="0" w:space="0" w:color="auto"/>
        <w:right w:val="none" w:sz="0" w:space="0" w:color="auto"/>
      </w:divBdr>
    </w:div>
    <w:div w:id="1643072298">
      <w:bodyDiv w:val="1"/>
      <w:marLeft w:val="0"/>
      <w:marRight w:val="0"/>
      <w:marTop w:val="0"/>
      <w:marBottom w:val="0"/>
      <w:divBdr>
        <w:top w:val="none" w:sz="0" w:space="0" w:color="auto"/>
        <w:left w:val="none" w:sz="0" w:space="0" w:color="auto"/>
        <w:bottom w:val="none" w:sz="0" w:space="0" w:color="auto"/>
        <w:right w:val="none" w:sz="0" w:space="0" w:color="auto"/>
      </w:divBdr>
    </w:div>
    <w:div w:id="1643383377">
      <w:bodyDiv w:val="1"/>
      <w:marLeft w:val="0"/>
      <w:marRight w:val="0"/>
      <w:marTop w:val="0"/>
      <w:marBottom w:val="0"/>
      <w:divBdr>
        <w:top w:val="none" w:sz="0" w:space="0" w:color="auto"/>
        <w:left w:val="none" w:sz="0" w:space="0" w:color="auto"/>
        <w:bottom w:val="none" w:sz="0" w:space="0" w:color="auto"/>
        <w:right w:val="none" w:sz="0" w:space="0" w:color="auto"/>
      </w:divBdr>
    </w:div>
    <w:div w:id="1644043307">
      <w:bodyDiv w:val="1"/>
      <w:marLeft w:val="0"/>
      <w:marRight w:val="0"/>
      <w:marTop w:val="0"/>
      <w:marBottom w:val="0"/>
      <w:divBdr>
        <w:top w:val="none" w:sz="0" w:space="0" w:color="auto"/>
        <w:left w:val="none" w:sz="0" w:space="0" w:color="auto"/>
        <w:bottom w:val="none" w:sz="0" w:space="0" w:color="auto"/>
        <w:right w:val="none" w:sz="0" w:space="0" w:color="auto"/>
      </w:divBdr>
    </w:div>
    <w:div w:id="1644118066">
      <w:bodyDiv w:val="1"/>
      <w:marLeft w:val="0"/>
      <w:marRight w:val="0"/>
      <w:marTop w:val="0"/>
      <w:marBottom w:val="0"/>
      <w:divBdr>
        <w:top w:val="none" w:sz="0" w:space="0" w:color="auto"/>
        <w:left w:val="none" w:sz="0" w:space="0" w:color="auto"/>
        <w:bottom w:val="none" w:sz="0" w:space="0" w:color="auto"/>
        <w:right w:val="none" w:sz="0" w:space="0" w:color="auto"/>
      </w:divBdr>
    </w:div>
    <w:div w:id="1644239794">
      <w:bodyDiv w:val="1"/>
      <w:marLeft w:val="0"/>
      <w:marRight w:val="0"/>
      <w:marTop w:val="0"/>
      <w:marBottom w:val="0"/>
      <w:divBdr>
        <w:top w:val="none" w:sz="0" w:space="0" w:color="auto"/>
        <w:left w:val="none" w:sz="0" w:space="0" w:color="auto"/>
        <w:bottom w:val="none" w:sz="0" w:space="0" w:color="auto"/>
        <w:right w:val="none" w:sz="0" w:space="0" w:color="auto"/>
      </w:divBdr>
    </w:div>
    <w:div w:id="1644315127">
      <w:bodyDiv w:val="1"/>
      <w:marLeft w:val="0"/>
      <w:marRight w:val="0"/>
      <w:marTop w:val="0"/>
      <w:marBottom w:val="0"/>
      <w:divBdr>
        <w:top w:val="none" w:sz="0" w:space="0" w:color="auto"/>
        <w:left w:val="none" w:sz="0" w:space="0" w:color="auto"/>
        <w:bottom w:val="none" w:sz="0" w:space="0" w:color="auto"/>
        <w:right w:val="none" w:sz="0" w:space="0" w:color="auto"/>
      </w:divBdr>
    </w:div>
    <w:div w:id="1644429905">
      <w:bodyDiv w:val="1"/>
      <w:marLeft w:val="0"/>
      <w:marRight w:val="0"/>
      <w:marTop w:val="0"/>
      <w:marBottom w:val="0"/>
      <w:divBdr>
        <w:top w:val="none" w:sz="0" w:space="0" w:color="auto"/>
        <w:left w:val="none" w:sz="0" w:space="0" w:color="auto"/>
        <w:bottom w:val="none" w:sz="0" w:space="0" w:color="auto"/>
        <w:right w:val="none" w:sz="0" w:space="0" w:color="auto"/>
      </w:divBdr>
    </w:div>
    <w:div w:id="1644969666">
      <w:bodyDiv w:val="1"/>
      <w:marLeft w:val="0"/>
      <w:marRight w:val="0"/>
      <w:marTop w:val="0"/>
      <w:marBottom w:val="0"/>
      <w:divBdr>
        <w:top w:val="none" w:sz="0" w:space="0" w:color="auto"/>
        <w:left w:val="none" w:sz="0" w:space="0" w:color="auto"/>
        <w:bottom w:val="none" w:sz="0" w:space="0" w:color="auto"/>
        <w:right w:val="none" w:sz="0" w:space="0" w:color="auto"/>
      </w:divBdr>
    </w:div>
    <w:div w:id="1645282281">
      <w:bodyDiv w:val="1"/>
      <w:marLeft w:val="0"/>
      <w:marRight w:val="0"/>
      <w:marTop w:val="0"/>
      <w:marBottom w:val="0"/>
      <w:divBdr>
        <w:top w:val="none" w:sz="0" w:space="0" w:color="auto"/>
        <w:left w:val="none" w:sz="0" w:space="0" w:color="auto"/>
        <w:bottom w:val="none" w:sz="0" w:space="0" w:color="auto"/>
        <w:right w:val="none" w:sz="0" w:space="0" w:color="auto"/>
      </w:divBdr>
    </w:div>
    <w:div w:id="1645310293">
      <w:bodyDiv w:val="1"/>
      <w:marLeft w:val="0"/>
      <w:marRight w:val="0"/>
      <w:marTop w:val="0"/>
      <w:marBottom w:val="0"/>
      <w:divBdr>
        <w:top w:val="none" w:sz="0" w:space="0" w:color="auto"/>
        <w:left w:val="none" w:sz="0" w:space="0" w:color="auto"/>
        <w:bottom w:val="none" w:sz="0" w:space="0" w:color="auto"/>
        <w:right w:val="none" w:sz="0" w:space="0" w:color="auto"/>
      </w:divBdr>
    </w:div>
    <w:div w:id="1645624170">
      <w:bodyDiv w:val="1"/>
      <w:marLeft w:val="0"/>
      <w:marRight w:val="0"/>
      <w:marTop w:val="0"/>
      <w:marBottom w:val="0"/>
      <w:divBdr>
        <w:top w:val="none" w:sz="0" w:space="0" w:color="auto"/>
        <w:left w:val="none" w:sz="0" w:space="0" w:color="auto"/>
        <w:bottom w:val="none" w:sz="0" w:space="0" w:color="auto"/>
        <w:right w:val="none" w:sz="0" w:space="0" w:color="auto"/>
      </w:divBdr>
    </w:div>
    <w:div w:id="1645966768">
      <w:bodyDiv w:val="1"/>
      <w:marLeft w:val="0"/>
      <w:marRight w:val="0"/>
      <w:marTop w:val="0"/>
      <w:marBottom w:val="0"/>
      <w:divBdr>
        <w:top w:val="none" w:sz="0" w:space="0" w:color="auto"/>
        <w:left w:val="none" w:sz="0" w:space="0" w:color="auto"/>
        <w:bottom w:val="none" w:sz="0" w:space="0" w:color="auto"/>
        <w:right w:val="none" w:sz="0" w:space="0" w:color="auto"/>
      </w:divBdr>
    </w:div>
    <w:div w:id="1646549682">
      <w:bodyDiv w:val="1"/>
      <w:marLeft w:val="0"/>
      <w:marRight w:val="0"/>
      <w:marTop w:val="0"/>
      <w:marBottom w:val="0"/>
      <w:divBdr>
        <w:top w:val="none" w:sz="0" w:space="0" w:color="auto"/>
        <w:left w:val="none" w:sz="0" w:space="0" w:color="auto"/>
        <w:bottom w:val="none" w:sz="0" w:space="0" w:color="auto"/>
        <w:right w:val="none" w:sz="0" w:space="0" w:color="auto"/>
      </w:divBdr>
    </w:div>
    <w:div w:id="1646809385">
      <w:bodyDiv w:val="1"/>
      <w:marLeft w:val="0"/>
      <w:marRight w:val="0"/>
      <w:marTop w:val="0"/>
      <w:marBottom w:val="0"/>
      <w:divBdr>
        <w:top w:val="none" w:sz="0" w:space="0" w:color="auto"/>
        <w:left w:val="none" w:sz="0" w:space="0" w:color="auto"/>
        <w:bottom w:val="none" w:sz="0" w:space="0" w:color="auto"/>
        <w:right w:val="none" w:sz="0" w:space="0" w:color="auto"/>
      </w:divBdr>
    </w:div>
    <w:div w:id="1647007061">
      <w:bodyDiv w:val="1"/>
      <w:marLeft w:val="0"/>
      <w:marRight w:val="0"/>
      <w:marTop w:val="0"/>
      <w:marBottom w:val="0"/>
      <w:divBdr>
        <w:top w:val="none" w:sz="0" w:space="0" w:color="auto"/>
        <w:left w:val="none" w:sz="0" w:space="0" w:color="auto"/>
        <w:bottom w:val="none" w:sz="0" w:space="0" w:color="auto"/>
        <w:right w:val="none" w:sz="0" w:space="0" w:color="auto"/>
      </w:divBdr>
    </w:div>
    <w:div w:id="1647082157">
      <w:bodyDiv w:val="1"/>
      <w:marLeft w:val="0"/>
      <w:marRight w:val="0"/>
      <w:marTop w:val="0"/>
      <w:marBottom w:val="0"/>
      <w:divBdr>
        <w:top w:val="none" w:sz="0" w:space="0" w:color="auto"/>
        <w:left w:val="none" w:sz="0" w:space="0" w:color="auto"/>
        <w:bottom w:val="none" w:sz="0" w:space="0" w:color="auto"/>
        <w:right w:val="none" w:sz="0" w:space="0" w:color="auto"/>
      </w:divBdr>
    </w:div>
    <w:div w:id="1647122518">
      <w:bodyDiv w:val="1"/>
      <w:marLeft w:val="0"/>
      <w:marRight w:val="0"/>
      <w:marTop w:val="0"/>
      <w:marBottom w:val="0"/>
      <w:divBdr>
        <w:top w:val="none" w:sz="0" w:space="0" w:color="auto"/>
        <w:left w:val="none" w:sz="0" w:space="0" w:color="auto"/>
        <w:bottom w:val="none" w:sz="0" w:space="0" w:color="auto"/>
        <w:right w:val="none" w:sz="0" w:space="0" w:color="auto"/>
      </w:divBdr>
    </w:div>
    <w:div w:id="1647126690">
      <w:bodyDiv w:val="1"/>
      <w:marLeft w:val="0"/>
      <w:marRight w:val="0"/>
      <w:marTop w:val="0"/>
      <w:marBottom w:val="0"/>
      <w:divBdr>
        <w:top w:val="none" w:sz="0" w:space="0" w:color="auto"/>
        <w:left w:val="none" w:sz="0" w:space="0" w:color="auto"/>
        <w:bottom w:val="none" w:sz="0" w:space="0" w:color="auto"/>
        <w:right w:val="none" w:sz="0" w:space="0" w:color="auto"/>
      </w:divBdr>
    </w:div>
    <w:div w:id="1647469753">
      <w:bodyDiv w:val="1"/>
      <w:marLeft w:val="0"/>
      <w:marRight w:val="0"/>
      <w:marTop w:val="0"/>
      <w:marBottom w:val="0"/>
      <w:divBdr>
        <w:top w:val="none" w:sz="0" w:space="0" w:color="auto"/>
        <w:left w:val="none" w:sz="0" w:space="0" w:color="auto"/>
        <w:bottom w:val="none" w:sz="0" w:space="0" w:color="auto"/>
        <w:right w:val="none" w:sz="0" w:space="0" w:color="auto"/>
      </w:divBdr>
    </w:div>
    <w:div w:id="1647778815">
      <w:bodyDiv w:val="1"/>
      <w:marLeft w:val="0"/>
      <w:marRight w:val="0"/>
      <w:marTop w:val="0"/>
      <w:marBottom w:val="0"/>
      <w:divBdr>
        <w:top w:val="none" w:sz="0" w:space="0" w:color="auto"/>
        <w:left w:val="none" w:sz="0" w:space="0" w:color="auto"/>
        <w:bottom w:val="none" w:sz="0" w:space="0" w:color="auto"/>
        <w:right w:val="none" w:sz="0" w:space="0" w:color="auto"/>
      </w:divBdr>
    </w:div>
    <w:div w:id="1647902760">
      <w:bodyDiv w:val="1"/>
      <w:marLeft w:val="0"/>
      <w:marRight w:val="0"/>
      <w:marTop w:val="0"/>
      <w:marBottom w:val="0"/>
      <w:divBdr>
        <w:top w:val="none" w:sz="0" w:space="0" w:color="auto"/>
        <w:left w:val="none" w:sz="0" w:space="0" w:color="auto"/>
        <w:bottom w:val="none" w:sz="0" w:space="0" w:color="auto"/>
        <w:right w:val="none" w:sz="0" w:space="0" w:color="auto"/>
      </w:divBdr>
    </w:div>
    <w:div w:id="1648120919">
      <w:bodyDiv w:val="1"/>
      <w:marLeft w:val="0"/>
      <w:marRight w:val="0"/>
      <w:marTop w:val="0"/>
      <w:marBottom w:val="0"/>
      <w:divBdr>
        <w:top w:val="none" w:sz="0" w:space="0" w:color="auto"/>
        <w:left w:val="none" w:sz="0" w:space="0" w:color="auto"/>
        <w:bottom w:val="none" w:sz="0" w:space="0" w:color="auto"/>
        <w:right w:val="none" w:sz="0" w:space="0" w:color="auto"/>
      </w:divBdr>
    </w:div>
    <w:div w:id="1648512536">
      <w:bodyDiv w:val="1"/>
      <w:marLeft w:val="0"/>
      <w:marRight w:val="0"/>
      <w:marTop w:val="0"/>
      <w:marBottom w:val="0"/>
      <w:divBdr>
        <w:top w:val="none" w:sz="0" w:space="0" w:color="auto"/>
        <w:left w:val="none" w:sz="0" w:space="0" w:color="auto"/>
        <w:bottom w:val="none" w:sz="0" w:space="0" w:color="auto"/>
        <w:right w:val="none" w:sz="0" w:space="0" w:color="auto"/>
      </w:divBdr>
    </w:div>
    <w:div w:id="1648627371">
      <w:bodyDiv w:val="1"/>
      <w:marLeft w:val="0"/>
      <w:marRight w:val="0"/>
      <w:marTop w:val="0"/>
      <w:marBottom w:val="0"/>
      <w:divBdr>
        <w:top w:val="none" w:sz="0" w:space="0" w:color="auto"/>
        <w:left w:val="none" w:sz="0" w:space="0" w:color="auto"/>
        <w:bottom w:val="none" w:sz="0" w:space="0" w:color="auto"/>
        <w:right w:val="none" w:sz="0" w:space="0" w:color="auto"/>
      </w:divBdr>
    </w:div>
    <w:div w:id="1648707199">
      <w:bodyDiv w:val="1"/>
      <w:marLeft w:val="0"/>
      <w:marRight w:val="0"/>
      <w:marTop w:val="0"/>
      <w:marBottom w:val="0"/>
      <w:divBdr>
        <w:top w:val="none" w:sz="0" w:space="0" w:color="auto"/>
        <w:left w:val="none" w:sz="0" w:space="0" w:color="auto"/>
        <w:bottom w:val="none" w:sz="0" w:space="0" w:color="auto"/>
        <w:right w:val="none" w:sz="0" w:space="0" w:color="auto"/>
      </w:divBdr>
    </w:div>
    <w:div w:id="1648776128">
      <w:bodyDiv w:val="1"/>
      <w:marLeft w:val="0"/>
      <w:marRight w:val="0"/>
      <w:marTop w:val="0"/>
      <w:marBottom w:val="0"/>
      <w:divBdr>
        <w:top w:val="none" w:sz="0" w:space="0" w:color="auto"/>
        <w:left w:val="none" w:sz="0" w:space="0" w:color="auto"/>
        <w:bottom w:val="none" w:sz="0" w:space="0" w:color="auto"/>
        <w:right w:val="none" w:sz="0" w:space="0" w:color="auto"/>
      </w:divBdr>
    </w:div>
    <w:div w:id="1648777655">
      <w:bodyDiv w:val="1"/>
      <w:marLeft w:val="0"/>
      <w:marRight w:val="0"/>
      <w:marTop w:val="0"/>
      <w:marBottom w:val="0"/>
      <w:divBdr>
        <w:top w:val="none" w:sz="0" w:space="0" w:color="auto"/>
        <w:left w:val="none" w:sz="0" w:space="0" w:color="auto"/>
        <w:bottom w:val="none" w:sz="0" w:space="0" w:color="auto"/>
        <w:right w:val="none" w:sz="0" w:space="0" w:color="auto"/>
      </w:divBdr>
    </w:div>
    <w:div w:id="1649436442">
      <w:bodyDiv w:val="1"/>
      <w:marLeft w:val="0"/>
      <w:marRight w:val="0"/>
      <w:marTop w:val="0"/>
      <w:marBottom w:val="0"/>
      <w:divBdr>
        <w:top w:val="none" w:sz="0" w:space="0" w:color="auto"/>
        <w:left w:val="none" w:sz="0" w:space="0" w:color="auto"/>
        <w:bottom w:val="none" w:sz="0" w:space="0" w:color="auto"/>
        <w:right w:val="none" w:sz="0" w:space="0" w:color="auto"/>
      </w:divBdr>
    </w:div>
    <w:div w:id="1649938339">
      <w:bodyDiv w:val="1"/>
      <w:marLeft w:val="0"/>
      <w:marRight w:val="0"/>
      <w:marTop w:val="0"/>
      <w:marBottom w:val="0"/>
      <w:divBdr>
        <w:top w:val="none" w:sz="0" w:space="0" w:color="auto"/>
        <w:left w:val="none" w:sz="0" w:space="0" w:color="auto"/>
        <w:bottom w:val="none" w:sz="0" w:space="0" w:color="auto"/>
        <w:right w:val="none" w:sz="0" w:space="0" w:color="auto"/>
      </w:divBdr>
    </w:div>
    <w:div w:id="1650864372">
      <w:bodyDiv w:val="1"/>
      <w:marLeft w:val="0"/>
      <w:marRight w:val="0"/>
      <w:marTop w:val="0"/>
      <w:marBottom w:val="0"/>
      <w:divBdr>
        <w:top w:val="none" w:sz="0" w:space="0" w:color="auto"/>
        <w:left w:val="none" w:sz="0" w:space="0" w:color="auto"/>
        <w:bottom w:val="none" w:sz="0" w:space="0" w:color="auto"/>
        <w:right w:val="none" w:sz="0" w:space="0" w:color="auto"/>
      </w:divBdr>
    </w:div>
    <w:div w:id="1650867806">
      <w:bodyDiv w:val="1"/>
      <w:marLeft w:val="0"/>
      <w:marRight w:val="0"/>
      <w:marTop w:val="0"/>
      <w:marBottom w:val="0"/>
      <w:divBdr>
        <w:top w:val="none" w:sz="0" w:space="0" w:color="auto"/>
        <w:left w:val="none" w:sz="0" w:space="0" w:color="auto"/>
        <w:bottom w:val="none" w:sz="0" w:space="0" w:color="auto"/>
        <w:right w:val="none" w:sz="0" w:space="0" w:color="auto"/>
      </w:divBdr>
    </w:div>
    <w:div w:id="1650985494">
      <w:bodyDiv w:val="1"/>
      <w:marLeft w:val="0"/>
      <w:marRight w:val="0"/>
      <w:marTop w:val="0"/>
      <w:marBottom w:val="0"/>
      <w:divBdr>
        <w:top w:val="none" w:sz="0" w:space="0" w:color="auto"/>
        <w:left w:val="none" w:sz="0" w:space="0" w:color="auto"/>
        <w:bottom w:val="none" w:sz="0" w:space="0" w:color="auto"/>
        <w:right w:val="none" w:sz="0" w:space="0" w:color="auto"/>
      </w:divBdr>
    </w:div>
    <w:div w:id="1651860912">
      <w:bodyDiv w:val="1"/>
      <w:marLeft w:val="0"/>
      <w:marRight w:val="0"/>
      <w:marTop w:val="0"/>
      <w:marBottom w:val="0"/>
      <w:divBdr>
        <w:top w:val="none" w:sz="0" w:space="0" w:color="auto"/>
        <w:left w:val="none" w:sz="0" w:space="0" w:color="auto"/>
        <w:bottom w:val="none" w:sz="0" w:space="0" w:color="auto"/>
        <w:right w:val="none" w:sz="0" w:space="0" w:color="auto"/>
      </w:divBdr>
    </w:div>
    <w:div w:id="1652057606">
      <w:bodyDiv w:val="1"/>
      <w:marLeft w:val="0"/>
      <w:marRight w:val="0"/>
      <w:marTop w:val="0"/>
      <w:marBottom w:val="0"/>
      <w:divBdr>
        <w:top w:val="none" w:sz="0" w:space="0" w:color="auto"/>
        <w:left w:val="none" w:sz="0" w:space="0" w:color="auto"/>
        <w:bottom w:val="none" w:sz="0" w:space="0" w:color="auto"/>
        <w:right w:val="none" w:sz="0" w:space="0" w:color="auto"/>
      </w:divBdr>
    </w:div>
    <w:div w:id="1652249373">
      <w:bodyDiv w:val="1"/>
      <w:marLeft w:val="0"/>
      <w:marRight w:val="0"/>
      <w:marTop w:val="0"/>
      <w:marBottom w:val="0"/>
      <w:divBdr>
        <w:top w:val="none" w:sz="0" w:space="0" w:color="auto"/>
        <w:left w:val="none" w:sz="0" w:space="0" w:color="auto"/>
        <w:bottom w:val="none" w:sz="0" w:space="0" w:color="auto"/>
        <w:right w:val="none" w:sz="0" w:space="0" w:color="auto"/>
      </w:divBdr>
    </w:div>
    <w:div w:id="1652251996">
      <w:bodyDiv w:val="1"/>
      <w:marLeft w:val="0"/>
      <w:marRight w:val="0"/>
      <w:marTop w:val="0"/>
      <w:marBottom w:val="0"/>
      <w:divBdr>
        <w:top w:val="none" w:sz="0" w:space="0" w:color="auto"/>
        <w:left w:val="none" w:sz="0" w:space="0" w:color="auto"/>
        <w:bottom w:val="none" w:sz="0" w:space="0" w:color="auto"/>
        <w:right w:val="none" w:sz="0" w:space="0" w:color="auto"/>
      </w:divBdr>
    </w:div>
    <w:div w:id="1652364185">
      <w:bodyDiv w:val="1"/>
      <w:marLeft w:val="0"/>
      <w:marRight w:val="0"/>
      <w:marTop w:val="0"/>
      <w:marBottom w:val="0"/>
      <w:divBdr>
        <w:top w:val="none" w:sz="0" w:space="0" w:color="auto"/>
        <w:left w:val="none" w:sz="0" w:space="0" w:color="auto"/>
        <w:bottom w:val="none" w:sz="0" w:space="0" w:color="auto"/>
        <w:right w:val="none" w:sz="0" w:space="0" w:color="auto"/>
      </w:divBdr>
    </w:div>
    <w:div w:id="1652370831">
      <w:bodyDiv w:val="1"/>
      <w:marLeft w:val="0"/>
      <w:marRight w:val="0"/>
      <w:marTop w:val="0"/>
      <w:marBottom w:val="0"/>
      <w:divBdr>
        <w:top w:val="none" w:sz="0" w:space="0" w:color="auto"/>
        <w:left w:val="none" w:sz="0" w:space="0" w:color="auto"/>
        <w:bottom w:val="none" w:sz="0" w:space="0" w:color="auto"/>
        <w:right w:val="none" w:sz="0" w:space="0" w:color="auto"/>
      </w:divBdr>
    </w:div>
    <w:div w:id="1652556370">
      <w:bodyDiv w:val="1"/>
      <w:marLeft w:val="0"/>
      <w:marRight w:val="0"/>
      <w:marTop w:val="0"/>
      <w:marBottom w:val="0"/>
      <w:divBdr>
        <w:top w:val="none" w:sz="0" w:space="0" w:color="auto"/>
        <w:left w:val="none" w:sz="0" w:space="0" w:color="auto"/>
        <w:bottom w:val="none" w:sz="0" w:space="0" w:color="auto"/>
        <w:right w:val="none" w:sz="0" w:space="0" w:color="auto"/>
      </w:divBdr>
    </w:div>
    <w:div w:id="1653286800">
      <w:bodyDiv w:val="1"/>
      <w:marLeft w:val="0"/>
      <w:marRight w:val="0"/>
      <w:marTop w:val="0"/>
      <w:marBottom w:val="0"/>
      <w:divBdr>
        <w:top w:val="none" w:sz="0" w:space="0" w:color="auto"/>
        <w:left w:val="none" w:sz="0" w:space="0" w:color="auto"/>
        <w:bottom w:val="none" w:sz="0" w:space="0" w:color="auto"/>
        <w:right w:val="none" w:sz="0" w:space="0" w:color="auto"/>
      </w:divBdr>
    </w:div>
    <w:div w:id="1653486240">
      <w:bodyDiv w:val="1"/>
      <w:marLeft w:val="0"/>
      <w:marRight w:val="0"/>
      <w:marTop w:val="0"/>
      <w:marBottom w:val="0"/>
      <w:divBdr>
        <w:top w:val="none" w:sz="0" w:space="0" w:color="auto"/>
        <w:left w:val="none" w:sz="0" w:space="0" w:color="auto"/>
        <w:bottom w:val="none" w:sz="0" w:space="0" w:color="auto"/>
        <w:right w:val="none" w:sz="0" w:space="0" w:color="auto"/>
      </w:divBdr>
    </w:div>
    <w:div w:id="1653564428">
      <w:bodyDiv w:val="1"/>
      <w:marLeft w:val="0"/>
      <w:marRight w:val="0"/>
      <w:marTop w:val="0"/>
      <w:marBottom w:val="0"/>
      <w:divBdr>
        <w:top w:val="none" w:sz="0" w:space="0" w:color="auto"/>
        <w:left w:val="none" w:sz="0" w:space="0" w:color="auto"/>
        <w:bottom w:val="none" w:sz="0" w:space="0" w:color="auto"/>
        <w:right w:val="none" w:sz="0" w:space="0" w:color="auto"/>
      </w:divBdr>
    </w:div>
    <w:div w:id="1653681577">
      <w:bodyDiv w:val="1"/>
      <w:marLeft w:val="0"/>
      <w:marRight w:val="0"/>
      <w:marTop w:val="0"/>
      <w:marBottom w:val="0"/>
      <w:divBdr>
        <w:top w:val="none" w:sz="0" w:space="0" w:color="auto"/>
        <w:left w:val="none" w:sz="0" w:space="0" w:color="auto"/>
        <w:bottom w:val="none" w:sz="0" w:space="0" w:color="auto"/>
        <w:right w:val="none" w:sz="0" w:space="0" w:color="auto"/>
      </w:divBdr>
    </w:div>
    <w:div w:id="1654530370">
      <w:bodyDiv w:val="1"/>
      <w:marLeft w:val="0"/>
      <w:marRight w:val="0"/>
      <w:marTop w:val="0"/>
      <w:marBottom w:val="0"/>
      <w:divBdr>
        <w:top w:val="none" w:sz="0" w:space="0" w:color="auto"/>
        <w:left w:val="none" w:sz="0" w:space="0" w:color="auto"/>
        <w:bottom w:val="none" w:sz="0" w:space="0" w:color="auto"/>
        <w:right w:val="none" w:sz="0" w:space="0" w:color="auto"/>
      </w:divBdr>
    </w:div>
    <w:div w:id="1654597963">
      <w:bodyDiv w:val="1"/>
      <w:marLeft w:val="0"/>
      <w:marRight w:val="0"/>
      <w:marTop w:val="0"/>
      <w:marBottom w:val="0"/>
      <w:divBdr>
        <w:top w:val="none" w:sz="0" w:space="0" w:color="auto"/>
        <w:left w:val="none" w:sz="0" w:space="0" w:color="auto"/>
        <w:bottom w:val="none" w:sz="0" w:space="0" w:color="auto"/>
        <w:right w:val="none" w:sz="0" w:space="0" w:color="auto"/>
      </w:divBdr>
    </w:div>
    <w:div w:id="1655377663">
      <w:bodyDiv w:val="1"/>
      <w:marLeft w:val="0"/>
      <w:marRight w:val="0"/>
      <w:marTop w:val="0"/>
      <w:marBottom w:val="0"/>
      <w:divBdr>
        <w:top w:val="none" w:sz="0" w:space="0" w:color="auto"/>
        <w:left w:val="none" w:sz="0" w:space="0" w:color="auto"/>
        <w:bottom w:val="none" w:sz="0" w:space="0" w:color="auto"/>
        <w:right w:val="none" w:sz="0" w:space="0" w:color="auto"/>
      </w:divBdr>
    </w:div>
    <w:div w:id="1655521933">
      <w:bodyDiv w:val="1"/>
      <w:marLeft w:val="0"/>
      <w:marRight w:val="0"/>
      <w:marTop w:val="0"/>
      <w:marBottom w:val="0"/>
      <w:divBdr>
        <w:top w:val="none" w:sz="0" w:space="0" w:color="auto"/>
        <w:left w:val="none" w:sz="0" w:space="0" w:color="auto"/>
        <w:bottom w:val="none" w:sz="0" w:space="0" w:color="auto"/>
        <w:right w:val="none" w:sz="0" w:space="0" w:color="auto"/>
      </w:divBdr>
    </w:div>
    <w:div w:id="1655987889">
      <w:bodyDiv w:val="1"/>
      <w:marLeft w:val="0"/>
      <w:marRight w:val="0"/>
      <w:marTop w:val="0"/>
      <w:marBottom w:val="0"/>
      <w:divBdr>
        <w:top w:val="none" w:sz="0" w:space="0" w:color="auto"/>
        <w:left w:val="none" w:sz="0" w:space="0" w:color="auto"/>
        <w:bottom w:val="none" w:sz="0" w:space="0" w:color="auto"/>
        <w:right w:val="none" w:sz="0" w:space="0" w:color="auto"/>
      </w:divBdr>
    </w:div>
    <w:div w:id="1656032922">
      <w:bodyDiv w:val="1"/>
      <w:marLeft w:val="0"/>
      <w:marRight w:val="0"/>
      <w:marTop w:val="0"/>
      <w:marBottom w:val="0"/>
      <w:divBdr>
        <w:top w:val="none" w:sz="0" w:space="0" w:color="auto"/>
        <w:left w:val="none" w:sz="0" w:space="0" w:color="auto"/>
        <w:bottom w:val="none" w:sz="0" w:space="0" w:color="auto"/>
        <w:right w:val="none" w:sz="0" w:space="0" w:color="auto"/>
      </w:divBdr>
    </w:div>
    <w:div w:id="1656686789">
      <w:bodyDiv w:val="1"/>
      <w:marLeft w:val="0"/>
      <w:marRight w:val="0"/>
      <w:marTop w:val="0"/>
      <w:marBottom w:val="0"/>
      <w:divBdr>
        <w:top w:val="none" w:sz="0" w:space="0" w:color="auto"/>
        <w:left w:val="none" w:sz="0" w:space="0" w:color="auto"/>
        <w:bottom w:val="none" w:sz="0" w:space="0" w:color="auto"/>
        <w:right w:val="none" w:sz="0" w:space="0" w:color="auto"/>
      </w:divBdr>
    </w:div>
    <w:div w:id="1656760387">
      <w:bodyDiv w:val="1"/>
      <w:marLeft w:val="0"/>
      <w:marRight w:val="0"/>
      <w:marTop w:val="0"/>
      <w:marBottom w:val="0"/>
      <w:divBdr>
        <w:top w:val="none" w:sz="0" w:space="0" w:color="auto"/>
        <w:left w:val="none" w:sz="0" w:space="0" w:color="auto"/>
        <w:bottom w:val="none" w:sz="0" w:space="0" w:color="auto"/>
        <w:right w:val="none" w:sz="0" w:space="0" w:color="auto"/>
      </w:divBdr>
    </w:div>
    <w:div w:id="1656762967">
      <w:bodyDiv w:val="1"/>
      <w:marLeft w:val="0"/>
      <w:marRight w:val="0"/>
      <w:marTop w:val="0"/>
      <w:marBottom w:val="0"/>
      <w:divBdr>
        <w:top w:val="none" w:sz="0" w:space="0" w:color="auto"/>
        <w:left w:val="none" w:sz="0" w:space="0" w:color="auto"/>
        <w:bottom w:val="none" w:sz="0" w:space="0" w:color="auto"/>
        <w:right w:val="none" w:sz="0" w:space="0" w:color="auto"/>
      </w:divBdr>
    </w:div>
    <w:div w:id="1658529752">
      <w:bodyDiv w:val="1"/>
      <w:marLeft w:val="0"/>
      <w:marRight w:val="0"/>
      <w:marTop w:val="0"/>
      <w:marBottom w:val="0"/>
      <w:divBdr>
        <w:top w:val="none" w:sz="0" w:space="0" w:color="auto"/>
        <w:left w:val="none" w:sz="0" w:space="0" w:color="auto"/>
        <w:bottom w:val="none" w:sz="0" w:space="0" w:color="auto"/>
        <w:right w:val="none" w:sz="0" w:space="0" w:color="auto"/>
      </w:divBdr>
    </w:div>
    <w:div w:id="1658532287">
      <w:bodyDiv w:val="1"/>
      <w:marLeft w:val="0"/>
      <w:marRight w:val="0"/>
      <w:marTop w:val="0"/>
      <w:marBottom w:val="0"/>
      <w:divBdr>
        <w:top w:val="none" w:sz="0" w:space="0" w:color="auto"/>
        <w:left w:val="none" w:sz="0" w:space="0" w:color="auto"/>
        <w:bottom w:val="none" w:sz="0" w:space="0" w:color="auto"/>
        <w:right w:val="none" w:sz="0" w:space="0" w:color="auto"/>
      </w:divBdr>
    </w:div>
    <w:div w:id="1658728436">
      <w:bodyDiv w:val="1"/>
      <w:marLeft w:val="0"/>
      <w:marRight w:val="0"/>
      <w:marTop w:val="0"/>
      <w:marBottom w:val="0"/>
      <w:divBdr>
        <w:top w:val="none" w:sz="0" w:space="0" w:color="auto"/>
        <w:left w:val="none" w:sz="0" w:space="0" w:color="auto"/>
        <w:bottom w:val="none" w:sz="0" w:space="0" w:color="auto"/>
        <w:right w:val="none" w:sz="0" w:space="0" w:color="auto"/>
      </w:divBdr>
    </w:div>
    <w:div w:id="1658731232">
      <w:bodyDiv w:val="1"/>
      <w:marLeft w:val="0"/>
      <w:marRight w:val="0"/>
      <w:marTop w:val="0"/>
      <w:marBottom w:val="0"/>
      <w:divBdr>
        <w:top w:val="none" w:sz="0" w:space="0" w:color="auto"/>
        <w:left w:val="none" w:sz="0" w:space="0" w:color="auto"/>
        <w:bottom w:val="none" w:sz="0" w:space="0" w:color="auto"/>
        <w:right w:val="none" w:sz="0" w:space="0" w:color="auto"/>
      </w:divBdr>
    </w:div>
    <w:div w:id="1659068743">
      <w:bodyDiv w:val="1"/>
      <w:marLeft w:val="0"/>
      <w:marRight w:val="0"/>
      <w:marTop w:val="0"/>
      <w:marBottom w:val="0"/>
      <w:divBdr>
        <w:top w:val="none" w:sz="0" w:space="0" w:color="auto"/>
        <w:left w:val="none" w:sz="0" w:space="0" w:color="auto"/>
        <w:bottom w:val="none" w:sz="0" w:space="0" w:color="auto"/>
        <w:right w:val="none" w:sz="0" w:space="0" w:color="auto"/>
      </w:divBdr>
    </w:div>
    <w:div w:id="1659268707">
      <w:bodyDiv w:val="1"/>
      <w:marLeft w:val="0"/>
      <w:marRight w:val="0"/>
      <w:marTop w:val="0"/>
      <w:marBottom w:val="0"/>
      <w:divBdr>
        <w:top w:val="none" w:sz="0" w:space="0" w:color="auto"/>
        <w:left w:val="none" w:sz="0" w:space="0" w:color="auto"/>
        <w:bottom w:val="none" w:sz="0" w:space="0" w:color="auto"/>
        <w:right w:val="none" w:sz="0" w:space="0" w:color="auto"/>
      </w:divBdr>
    </w:div>
    <w:div w:id="1659724437">
      <w:bodyDiv w:val="1"/>
      <w:marLeft w:val="0"/>
      <w:marRight w:val="0"/>
      <w:marTop w:val="0"/>
      <w:marBottom w:val="0"/>
      <w:divBdr>
        <w:top w:val="none" w:sz="0" w:space="0" w:color="auto"/>
        <w:left w:val="none" w:sz="0" w:space="0" w:color="auto"/>
        <w:bottom w:val="none" w:sz="0" w:space="0" w:color="auto"/>
        <w:right w:val="none" w:sz="0" w:space="0" w:color="auto"/>
      </w:divBdr>
    </w:div>
    <w:div w:id="1660111022">
      <w:bodyDiv w:val="1"/>
      <w:marLeft w:val="0"/>
      <w:marRight w:val="0"/>
      <w:marTop w:val="0"/>
      <w:marBottom w:val="0"/>
      <w:divBdr>
        <w:top w:val="none" w:sz="0" w:space="0" w:color="auto"/>
        <w:left w:val="none" w:sz="0" w:space="0" w:color="auto"/>
        <w:bottom w:val="none" w:sz="0" w:space="0" w:color="auto"/>
        <w:right w:val="none" w:sz="0" w:space="0" w:color="auto"/>
      </w:divBdr>
    </w:div>
    <w:div w:id="1660306608">
      <w:bodyDiv w:val="1"/>
      <w:marLeft w:val="0"/>
      <w:marRight w:val="0"/>
      <w:marTop w:val="0"/>
      <w:marBottom w:val="0"/>
      <w:divBdr>
        <w:top w:val="none" w:sz="0" w:space="0" w:color="auto"/>
        <w:left w:val="none" w:sz="0" w:space="0" w:color="auto"/>
        <w:bottom w:val="none" w:sz="0" w:space="0" w:color="auto"/>
        <w:right w:val="none" w:sz="0" w:space="0" w:color="auto"/>
      </w:divBdr>
    </w:div>
    <w:div w:id="1660308372">
      <w:bodyDiv w:val="1"/>
      <w:marLeft w:val="0"/>
      <w:marRight w:val="0"/>
      <w:marTop w:val="0"/>
      <w:marBottom w:val="0"/>
      <w:divBdr>
        <w:top w:val="none" w:sz="0" w:space="0" w:color="auto"/>
        <w:left w:val="none" w:sz="0" w:space="0" w:color="auto"/>
        <w:bottom w:val="none" w:sz="0" w:space="0" w:color="auto"/>
        <w:right w:val="none" w:sz="0" w:space="0" w:color="auto"/>
      </w:divBdr>
    </w:div>
    <w:div w:id="1660765177">
      <w:bodyDiv w:val="1"/>
      <w:marLeft w:val="0"/>
      <w:marRight w:val="0"/>
      <w:marTop w:val="0"/>
      <w:marBottom w:val="0"/>
      <w:divBdr>
        <w:top w:val="none" w:sz="0" w:space="0" w:color="auto"/>
        <w:left w:val="none" w:sz="0" w:space="0" w:color="auto"/>
        <w:bottom w:val="none" w:sz="0" w:space="0" w:color="auto"/>
        <w:right w:val="none" w:sz="0" w:space="0" w:color="auto"/>
      </w:divBdr>
    </w:div>
    <w:div w:id="1660889381">
      <w:bodyDiv w:val="1"/>
      <w:marLeft w:val="0"/>
      <w:marRight w:val="0"/>
      <w:marTop w:val="0"/>
      <w:marBottom w:val="0"/>
      <w:divBdr>
        <w:top w:val="none" w:sz="0" w:space="0" w:color="auto"/>
        <w:left w:val="none" w:sz="0" w:space="0" w:color="auto"/>
        <w:bottom w:val="none" w:sz="0" w:space="0" w:color="auto"/>
        <w:right w:val="none" w:sz="0" w:space="0" w:color="auto"/>
      </w:divBdr>
    </w:div>
    <w:div w:id="1661034799">
      <w:bodyDiv w:val="1"/>
      <w:marLeft w:val="0"/>
      <w:marRight w:val="0"/>
      <w:marTop w:val="0"/>
      <w:marBottom w:val="0"/>
      <w:divBdr>
        <w:top w:val="none" w:sz="0" w:space="0" w:color="auto"/>
        <w:left w:val="none" w:sz="0" w:space="0" w:color="auto"/>
        <w:bottom w:val="none" w:sz="0" w:space="0" w:color="auto"/>
        <w:right w:val="none" w:sz="0" w:space="0" w:color="auto"/>
      </w:divBdr>
    </w:div>
    <w:div w:id="1661423011">
      <w:bodyDiv w:val="1"/>
      <w:marLeft w:val="0"/>
      <w:marRight w:val="0"/>
      <w:marTop w:val="0"/>
      <w:marBottom w:val="0"/>
      <w:divBdr>
        <w:top w:val="none" w:sz="0" w:space="0" w:color="auto"/>
        <w:left w:val="none" w:sz="0" w:space="0" w:color="auto"/>
        <w:bottom w:val="none" w:sz="0" w:space="0" w:color="auto"/>
        <w:right w:val="none" w:sz="0" w:space="0" w:color="auto"/>
      </w:divBdr>
    </w:div>
    <w:div w:id="1661696908">
      <w:bodyDiv w:val="1"/>
      <w:marLeft w:val="0"/>
      <w:marRight w:val="0"/>
      <w:marTop w:val="0"/>
      <w:marBottom w:val="0"/>
      <w:divBdr>
        <w:top w:val="none" w:sz="0" w:space="0" w:color="auto"/>
        <w:left w:val="none" w:sz="0" w:space="0" w:color="auto"/>
        <w:bottom w:val="none" w:sz="0" w:space="0" w:color="auto"/>
        <w:right w:val="none" w:sz="0" w:space="0" w:color="auto"/>
      </w:divBdr>
    </w:div>
    <w:div w:id="1663199462">
      <w:bodyDiv w:val="1"/>
      <w:marLeft w:val="0"/>
      <w:marRight w:val="0"/>
      <w:marTop w:val="0"/>
      <w:marBottom w:val="0"/>
      <w:divBdr>
        <w:top w:val="none" w:sz="0" w:space="0" w:color="auto"/>
        <w:left w:val="none" w:sz="0" w:space="0" w:color="auto"/>
        <w:bottom w:val="none" w:sz="0" w:space="0" w:color="auto"/>
        <w:right w:val="none" w:sz="0" w:space="0" w:color="auto"/>
      </w:divBdr>
    </w:div>
    <w:div w:id="1663467419">
      <w:bodyDiv w:val="1"/>
      <w:marLeft w:val="0"/>
      <w:marRight w:val="0"/>
      <w:marTop w:val="0"/>
      <w:marBottom w:val="0"/>
      <w:divBdr>
        <w:top w:val="none" w:sz="0" w:space="0" w:color="auto"/>
        <w:left w:val="none" w:sz="0" w:space="0" w:color="auto"/>
        <w:bottom w:val="none" w:sz="0" w:space="0" w:color="auto"/>
        <w:right w:val="none" w:sz="0" w:space="0" w:color="auto"/>
      </w:divBdr>
    </w:div>
    <w:div w:id="1663583519">
      <w:bodyDiv w:val="1"/>
      <w:marLeft w:val="0"/>
      <w:marRight w:val="0"/>
      <w:marTop w:val="0"/>
      <w:marBottom w:val="0"/>
      <w:divBdr>
        <w:top w:val="none" w:sz="0" w:space="0" w:color="auto"/>
        <w:left w:val="none" w:sz="0" w:space="0" w:color="auto"/>
        <w:bottom w:val="none" w:sz="0" w:space="0" w:color="auto"/>
        <w:right w:val="none" w:sz="0" w:space="0" w:color="auto"/>
      </w:divBdr>
    </w:div>
    <w:div w:id="1663701934">
      <w:bodyDiv w:val="1"/>
      <w:marLeft w:val="0"/>
      <w:marRight w:val="0"/>
      <w:marTop w:val="0"/>
      <w:marBottom w:val="0"/>
      <w:divBdr>
        <w:top w:val="none" w:sz="0" w:space="0" w:color="auto"/>
        <w:left w:val="none" w:sz="0" w:space="0" w:color="auto"/>
        <w:bottom w:val="none" w:sz="0" w:space="0" w:color="auto"/>
        <w:right w:val="none" w:sz="0" w:space="0" w:color="auto"/>
      </w:divBdr>
    </w:div>
    <w:div w:id="1663894523">
      <w:bodyDiv w:val="1"/>
      <w:marLeft w:val="0"/>
      <w:marRight w:val="0"/>
      <w:marTop w:val="0"/>
      <w:marBottom w:val="0"/>
      <w:divBdr>
        <w:top w:val="none" w:sz="0" w:space="0" w:color="auto"/>
        <w:left w:val="none" w:sz="0" w:space="0" w:color="auto"/>
        <w:bottom w:val="none" w:sz="0" w:space="0" w:color="auto"/>
        <w:right w:val="none" w:sz="0" w:space="0" w:color="auto"/>
      </w:divBdr>
    </w:div>
    <w:div w:id="1664162103">
      <w:bodyDiv w:val="1"/>
      <w:marLeft w:val="0"/>
      <w:marRight w:val="0"/>
      <w:marTop w:val="0"/>
      <w:marBottom w:val="0"/>
      <w:divBdr>
        <w:top w:val="none" w:sz="0" w:space="0" w:color="auto"/>
        <w:left w:val="none" w:sz="0" w:space="0" w:color="auto"/>
        <w:bottom w:val="none" w:sz="0" w:space="0" w:color="auto"/>
        <w:right w:val="none" w:sz="0" w:space="0" w:color="auto"/>
      </w:divBdr>
    </w:div>
    <w:div w:id="1664163509">
      <w:bodyDiv w:val="1"/>
      <w:marLeft w:val="0"/>
      <w:marRight w:val="0"/>
      <w:marTop w:val="0"/>
      <w:marBottom w:val="0"/>
      <w:divBdr>
        <w:top w:val="none" w:sz="0" w:space="0" w:color="auto"/>
        <w:left w:val="none" w:sz="0" w:space="0" w:color="auto"/>
        <w:bottom w:val="none" w:sz="0" w:space="0" w:color="auto"/>
        <w:right w:val="none" w:sz="0" w:space="0" w:color="auto"/>
      </w:divBdr>
    </w:div>
    <w:div w:id="1664355031">
      <w:bodyDiv w:val="1"/>
      <w:marLeft w:val="0"/>
      <w:marRight w:val="0"/>
      <w:marTop w:val="0"/>
      <w:marBottom w:val="0"/>
      <w:divBdr>
        <w:top w:val="none" w:sz="0" w:space="0" w:color="auto"/>
        <w:left w:val="none" w:sz="0" w:space="0" w:color="auto"/>
        <w:bottom w:val="none" w:sz="0" w:space="0" w:color="auto"/>
        <w:right w:val="none" w:sz="0" w:space="0" w:color="auto"/>
      </w:divBdr>
    </w:div>
    <w:div w:id="1664577699">
      <w:bodyDiv w:val="1"/>
      <w:marLeft w:val="0"/>
      <w:marRight w:val="0"/>
      <w:marTop w:val="0"/>
      <w:marBottom w:val="0"/>
      <w:divBdr>
        <w:top w:val="none" w:sz="0" w:space="0" w:color="auto"/>
        <w:left w:val="none" w:sz="0" w:space="0" w:color="auto"/>
        <w:bottom w:val="none" w:sz="0" w:space="0" w:color="auto"/>
        <w:right w:val="none" w:sz="0" w:space="0" w:color="auto"/>
      </w:divBdr>
    </w:div>
    <w:div w:id="1665082664">
      <w:bodyDiv w:val="1"/>
      <w:marLeft w:val="0"/>
      <w:marRight w:val="0"/>
      <w:marTop w:val="0"/>
      <w:marBottom w:val="0"/>
      <w:divBdr>
        <w:top w:val="none" w:sz="0" w:space="0" w:color="auto"/>
        <w:left w:val="none" w:sz="0" w:space="0" w:color="auto"/>
        <w:bottom w:val="none" w:sz="0" w:space="0" w:color="auto"/>
        <w:right w:val="none" w:sz="0" w:space="0" w:color="auto"/>
      </w:divBdr>
    </w:div>
    <w:div w:id="1666130403">
      <w:bodyDiv w:val="1"/>
      <w:marLeft w:val="0"/>
      <w:marRight w:val="0"/>
      <w:marTop w:val="0"/>
      <w:marBottom w:val="0"/>
      <w:divBdr>
        <w:top w:val="none" w:sz="0" w:space="0" w:color="auto"/>
        <w:left w:val="none" w:sz="0" w:space="0" w:color="auto"/>
        <w:bottom w:val="none" w:sz="0" w:space="0" w:color="auto"/>
        <w:right w:val="none" w:sz="0" w:space="0" w:color="auto"/>
      </w:divBdr>
    </w:div>
    <w:div w:id="1666397770">
      <w:bodyDiv w:val="1"/>
      <w:marLeft w:val="0"/>
      <w:marRight w:val="0"/>
      <w:marTop w:val="0"/>
      <w:marBottom w:val="0"/>
      <w:divBdr>
        <w:top w:val="none" w:sz="0" w:space="0" w:color="auto"/>
        <w:left w:val="none" w:sz="0" w:space="0" w:color="auto"/>
        <w:bottom w:val="none" w:sz="0" w:space="0" w:color="auto"/>
        <w:right w:val="none" w:sz="0" w:space="0" w:color="auto"/>
      </w:divBdr>
    </w:div>
    <w:div w:id="1666667060">
      <w:bodyDiv w:val="1"/>
      <w:marLeft w:val="0"/>
      <w:marRight w:val="0"/>
      <w:marTop w:val="0"/>
      <w:marBottom w:val="0"/>
      <w:divBdr>
        <w:top w:val="none" w:sz="0" w:space="0" w:color="auto"/>
        <w:left w:val="none" w:sz="0" w:space="0" w:color="auto"/>
        <w:bottom w:val="none" w:sz="0" w:space="0" w:color="auto"/>
        <w:right w:val="none" w:sz="0" w:space="0" w:color="auto"/>
      </w:divBdr>
    </w:div>
    <w:div w:id="1667244241">
      <w:bodyDiv w:val="1"/>
      <w:marLeft w:val="0"/>
      <w:marRight w:val="0"/>
      <w:marTop w:val="0"/>
      <w:marBottom w:val="0"/>
      <w:divBdr>
        <w:top w:val="none" w:sz="0" w:space="0" w:color="auto"/>
        <w:left w:val="none" w:sz="0" w:space="0" w:color="auto"/>
        <w:bottom w:val="none" w:sz="0" w:space="0" w:color="auto"/>
        <w:right w:val="none" w:sz="0" w:space="0" w:color="auto"/>
      </w:divBdr>
    </w:div>
    <w:div w:id="1667367451">
      <w:bodyDiv w:val="1"/>
      <w:marLeft w:val="0"/>
      <w:marRight w:val="0"/>
      <w:marTop w:val="0"/>
      <w:marBottom w:val="0"/>
      <w:divBdr>
        <w:top w:val="none" w:sz="0" w:space="0" w:color="auto"/>
        <w:left w:val="none" w:sz="0" w:space="0" w:color="auto"/>
        <w:bottom w:val="none" w:sz="0" w:space="0" w:color="auto"/>
        <w:right w:val="none" w:sz="0" w:space="0" w:color="auto"/>
      </w:divBdr>
    </w:div>
    <w:div w:id="1667443087">
      <w:bodyDiv w:val="1"/>
      <w:marLeft w:val="0"/>
      <w:marRight w:val="0"/>
      <w:marTop w:val="0"/>
      <w:marBottom w:val="0"/>
      <w:divBdr>
        <w:top w:val="none" w:sz="0" w:space="0" w:color="auto"/>
        <w:left w:val="none" w:sz="0" w:space="0" w:color="auto"/>
        <w:bottom w:val="none" w:sz="0" w:space="0" w:color="auto"/>
        <w:right w:val="none" w:sz="0" w:space="0" w:color="auto"/>
      </w:divBdr>
    </w:div>
    <w:div w:id="1667634846">
      <w:bodyDiv w:val="1"/>
      <w:marLeft w:val="0"/>
      <w:marRight w:val="0"/>
      <w:marTop w:val="0"/>
      <w:marBottom w:val="0"/>
      <w:divBdr>
        <w:top w:val="none" w:sz="0" w:space="0" w:color="auto"/>
        <w:left w:val="none" w:sz="0" w:space="0" w:color="auto"/>
        <w:bottom w:val="none" w:sz="0" w:space="0" w:color="auto"/>
        <w:right w:val="none" w:sz="0" w:space="0" w:color="auto"/>
      </w:divBdr>
    </w:div>
    <w:div w:id="1668170026">
      <w:bodyDiv w:val="1"/>
      <w:marLeft w:val="0"/>
      <w:marRight w:val="0"/>
      <w:marTop w:val="0"/>
      <w:marBottom w:val="0"/>
      <w:divBdr>
        <w:top w:val="none" w:sz="0" w:space="0" w:color="auto"/>
        <w:left w:val="none" w:sz="0" w:space="0" w:color="auto"/>
        <w:bottom w:val="none" w:sz="0" w:space="0" w:color="auto"/>
        <w:right w:val="none" w:sz="0" w:space="0" w:color="auto"/>
      </w:divBdr>
    </w:div>
    <w:div w:id="1668285344">
      <w:bodyDiv w:val="1"/>
      <w:marLeft w:val="0"/>
      <w:marRight w:val="0"/>
      <w:marTop w:val="0"/>
      <w:marBottom w:val="0"/>
      <w:divBdr>
        <w:top w:val="none" w:sz="0" w:space="0" w:color="auto"/>
        <w:left w:val="none" w:sz="0" w:space="0" w:color="auto"/>
        <w:bottom w:val="none" w:sz="0" w:space="0" w:color="auto"/>
        <w:right w:val="none" w:sz="0" w:space="0" w:color="auto"/>
      </w:divBdr>
    </w:div>
    <w:div w:id="1668946982">
      <w:bodyDiv w:val="1"/>
      <w:marLeft w:val="0"/>
      <w:marRight w:val="0"/>
      <w:marTop w:val="0"/>
      <w:marBottom w:val="0"/>
      <w:divBdr>
        <w:top w:val="none" w:sz="0" w:space="0" w:color="auto"/>
        <w:left w:val="none" w:sz="0" w:space="0" w:color="auto"/>
        <w:bottom w:val="none" w:sz="0" w:space="0" w:color="auto"/>
        <w:right w:val="none" w:sz="0" w:space="0" w:color="auto"/>
      </w:divBdr>
    </w:div>
    <w:div w:id="1669599506">
      <w:bodyDiv w:val="1"/>
      <w:marLeft w:val="0"/>
      <w:marRight w:val="0"/>
      <w:marTop w:val="0"/>
      <w:marBottom w:val="0"/>
      <w:divBdr>
        <w:top w:val="none" w:sz="0" w:space="0" w:color="auto"/>
        <w:left w:val="none" w:sz="0" w:space="0" w:color="auto"/>
        <w:bottom w:val="none" w:sz="0" w:space="0" w:color="auto"/>
        <w:right w:val="none" w:sz="0" w:space="0" w:color="auto"/>
      </w:divBdr>
    </w:div>
    <w:div w:id="1670133700">
      <w:bodyDiv w:val="1"/>
      <w:marLeft w:val="0"/>
      <w:marRight w:val="0"/>
      <w:marTop w:val="0"/>
      <w:marBottom w:val="0"/>
      <w:divBdr>
        <w:top w:val="none" w:sz="0" w:space="0" w:color="auto"/>
        <w:left w:val="none" w:sz="0" w:space="0" w:color="auto"/>
        <w:bottom w:val="none" w:sz="0" w:space="0" w:color="auto"/>
        <w:right w:val="none" w:sz="0" w:space="0" w:color="auto"/>
      </w:divBdr>
    </w:div>
    <w:div w:id="1670138264">
      <w:bodyDiv w:val="1"/>
      <w:marLeft w:val="0"/>
      <w:marRight w:val="0"/>
      <w:marTop w:val="0"/>
      <w:marBottom w:val="0"/>
      <w:divBdr>
        <w:top w:val="none" w:sz="0" w:space="0" w:color="auto"/>
        <w:left w:val="none" w:sz="0" w:space="0" w:color="auto"/>
        <w:bottom w:val="none" w:sz="0" w:space="0" w:color="auto"/>
        <w:right w:val="none" w:sz="0" w:space="0" w:color="auto"/>
      </w:divBdr>
    </w:div>
    <w:div w:id="1670214376">
      <w:bodyDiv w:val="1"/>
      <w:marLeft w:val="0"/>
      <w:marRight w:val="0"/>
      <w:marTop w:val="0"/>
      <w:marBottom w:val="0"/>
      <w:divBdr>
        <w:top w:val="none" w:sz="0" w:space="0" w:color="auto"/>
        <w:left w:val="none" w:sz="0" w:space="0" w:color="auto"/>
        <w:bottom w:val="none" w:sz="0" w:space="0" w:color="auto"/>
        <w:right w:val="none" w:sz="0" w:space="0" w:color="auto"/>
      </w:divBdr>
    </w:div>
    <w:div w:id="1670592353">
      <w:bodyDiv w:val="1"/>
      <w:marLeft w:val="0"/>
      <w:marRight w:val="0"/>
      <w:marTop w:val="0"/>
      <w:marBottom w:val="0"/>
      <w:divBdr>
        <w:top w:val="none" w:sz="0" w:space="0" w:color="auto"/>
        <w:left w:val="none" w:sz="0" w:space="0" w:color="auto"/>
        <w:bottom w:val="none" w:sz="0" w:space="0" w:color="auto"/>
        <w:right w:val="none" w:sz="0" w:space="0" w:color="auto"/>
      </w:divBdr>
    </w:div>
    <w:div w:id="1670937866">
      <w:bodyDiv w:val="1"/>
      <w:marLeft w:val="0"/>
      <w:marRight w:val="0"/>
      <w:marTop w:val="0"/>
      <w:marBottom w:val="0"/>
      <w:divBdr>
        <w:top w:val="none" w:sz="0" w:space="0" w:color="auto"/>
        <w:left w:val="none" w:sz="0" w:space="0" w:color="auto"/>
        <w:bottom w:val="none" w:sz="0" w:space="0" w:color="auto"/>
        <w:right w:val="none" w:sz="0" w:space="0" w:color="auto"/>
      </w:divBdr>
    </w:div>
    <w:div w:id="1671172521">
      <w:bodyDiv w:val="1"/>
      <w:marLeft w:val="0"/>
      <w:marRight w:val="0"/>
      <w:marTop w:val="0"/>
      <w:marBottom w:val="0"/>
      <w:divBdr>
        <w:top w:val="none" w:sz="0" w:space="0" w:color="auto"/>
        <w:left w:val="none" w:sz="0" w:space="0" w:color="auto"/>
        <w:bottom w:val="none" w:sz="0" w:space="0" w:color="auto"/>
        <w:right w:val="none" w:sz="0" w:space="0" w:color="auto"/>
      </w:divBdr>
    </w:div>
    <w:div w:id="1671254998">
      <w:bodyDiv w:val="1"/>
      <w:marLeft w:val="0"/>
      <w:marRight w:val="0"/>
      <w:marTop w:val="0"/>
      <w:marBottom w:val="0"/>
      <w:divBdr>
        <w:top w:val="none" w:sz="0" w:space="0" w:color="auto"/>
        <w:left w:val="none" w:sz="0" w:space="0" w:color="auto"/>
        <w:bottom w:val="none" w:sz="0" w:space="0" w:color="auto"/>
        <w:right w:val="none" w:sz="0" w:space="0" w:color="auto"/>
      </w:divBdr>
    </w:div>
    <w:div w:id="1671448273">
      <w:bodyDiv w:val="1"/>
      <w:marLeft w:val="0"/>
      <w:marRight w:val="0"/>
      <w:marTop w:val="0"/>
      <w:marBottom w:val="0"/>
      <w:divBdr>
        <w:top w:val="none" w:sz="0" w:space="0" w:color="auto"/>
        <w:left w:val="none" w:sz="0" w:space="0" w:color="auto"/>
        <w:bottom w:val="none" w:sz="0" w:space="0" w:color="auto"/>
        <w:right w:val="none" w:sz="0" w:space="0" w:color="auto"/>
      </w:divBdr>
    </w:div>
    <w:div w:id="1671448998">
      <w:bodyDiv w:val="1"/>
      <w:marLeft w:val="0"/>
      <w:marRight w:val="0"/>
      <w:marTop w:val="0"/>
      <w:marBottom w:val="0"/>
      <w:divBdr>
        <w:top w:val="none" w:sz="0" w:space="0" w:color="auto"/>
        <w:left w:val="none" w:sz="0" w:space="0" w:color="auto"/>
        <w:bottom w:val="none" w:sz="0" w:space="0" w:color="auto"/>
        <w:right w:val="none" w:sz="0" w:space="0" w:color="auto"/>
      </w:divBdr>
    </w:div>
    <w:div w:id="1672029104">
      <w:bodyDiv w:val="1"/>
      <w:marLeft w:val="0"/>
      <w:marRight w:val="0"/>
      <w:marTop w:val="0"/>
      <w:marBottom w:val="0"/>
      <w:divBdr>
        <w:top w:val="none" w:sz="0" w:space="0" w:color="auto"/>
        <w:left w:val="none" w:sz="0" w:space="0" w:color="auto"/>
        <w:bottom w:val="none" w:sz="0" w:space="0" w:color="auto"/>
        <w:right w:val="none" w:sz="0" w:space="0" w:color="auto"/>
      </w:divBdr>
    </w:div>
    <w:div w:id="1672101082">
      <w:bodyDiv w:val="1"/>
      <w:marLeft w:val="0"/>
      <w:marRight w:val="0"/>
      <w:marTop w:val="0"/>
      <w:marBottom w:val="0"/>
      <w:divBdr>
        <w:top w:val="none" w:sz="0" w:space="0" w:color="auto"/>
        <w:left w:val="none" w:sz="0" w:space="0" w:color="auto"/>
        <w:bottom w:val="none" w:sz="0" w:space="0" w:color="auto"/>
        <w:right w:val="none" w:sz="0" w:space="0" w:color="auto"/>
      </w:divBdr>
    </w:div>
    <w:div w:id="1672103743">
      <w:bodyDiv w:val="1"/>
      <w:marLeft w:val="0"/>
      <w:marRight w:val="0"/>
      <w:marTop w:val="0"/>
      <w:marBottom w:val="0"/>
      <w:divBdr>
        <w:top w:val="none" w:sz="0" w:space="0" w:color="auto"/>
        <w:left w:val="none" w:sz="0" w:space="0" w:color="auto"/>
        <w:bottom w:val="none" w:sz="0" w:space="0" w:color="auto"/>
        <w:right w:val="none" w:sz="0" w:space="0" w:color="auto"/>
      </w:divBdr>
    </w:div>
    <w:div w:id="1672103863">
      <w:bodyDiv w:val="1"/>
      <w:marLeft w:val="0"/>
      <w:marRight w:val="0"/>
      <w:marTop w:val="0"/>
      <w:marBottom w:val="0"/>
      <w:divBdr>
        <w:top w:val="none" w:sz="0" w:space="0" w:color="auto"/>
        <w:left w:val="none" w:sz="0" w:space="0" w:color="auto"/>
        <w:bottom w:val="none" w:sz="0" w:space="0" w:color="auto"/>
        <w:right w:val="none" w:sz="0" w:space="0" w:color="auto"/>
      </w:divBdr>
    </w:div>
    <w:div w:id="1672370555">
      <w:bodyDiv w:val="1"/>
      <w:marLeft w:val="0"/>
      <w:marRight w:val="0"/>
      <w:marTop w:val="0"/>
      <w:marBottom w:val="0"/>
      <w:divBdr>
        <w:top w:val="none" w:sz="0" w:space="0" w:color="auto"/>
        <w:left w:val="none" w:sz="0" w:space="0" w:color="auto"/>
        <w:bottom w:val="none" w:sz="0" w:space="0" w:color="auto"/>
        <w:right w:val="none" w:sz="0" w:space="0" w:color="auto"/>
      </w:divBdr>
    </w:div>
    <w:div w:id="1672491796">
      <w:bodyDiv w:val="1"/>
      <w:marLeft w:val="0"/>
      <w:marRight w:val="0"/>
      <w:marTop w:val="0"/>
      <w:marBottom w:val="0"/>
      <w:divBdr>
        <w:top w:val="none" w:sz="0" w:space="0" w:color="auto"/>
        <w:left w:val="none" w:sz="0" w:space="0" w:color="auto"/>
        <w:bottom w:val="none" w:sz="0" w:space="0" w:color="auto"/>
        <w:right w:val="none" w:sz="0" w:space="0" w:color="auto"/>
      </w:divBdr>
    </w:div>
    <w:div w:id="1672635321">
      <w:bodyDiv w:val="1"/>
      <w:marLeft w:val="0"/>
      <w:marRight w:val="0"/>
      <w:marTop w:val="0"/>
      <w:marBottom w:val="0"/>
      <w:divBdr>
        <w:top w:val="none" w:sz="0" w:space="0" w:color="auto"/>
        <w:left w:val="none" w:sz="0" w:space="0" w:color="auto"/>
        <w:bottom w:val="none" w:sz="0" w:space="0" w:color="auto"/>
        <w:right w:val="none" w:sz="0" w:space="0" w:color="auto"/>
      </w:divBdr>
    </w:div>
    <w:div w:id="1672641900">
      <w:bodyDiv w:val="1"/>
      <w:marLeft w:val="0"/>
      <w:marRight w:val="0"/>
      <w:marTop w:val="0"/>
      <w:marBottom w:val="0"/>
      <w:divBdr>
        <w:top w:val="none" w:sz="0" w:space="0" w:color="auto"/>
        <w:left w:val="none" w:sz="0" w:space="0" w:color="auto"/>
        <w:bottom w:val="none" w:sz="0" w:space="0" w:color="auto"/>
        <w:right w:val="none" w:sz="0" w:space="0" w:color="auto"/>
      </w:divBdr>
    </w:div>
    <w:div w:id="1672903611">
      <w:bodyDiv w:val="1"/>
      <w:marLeft w:val="0"/>
      <w:marRight w:val="0"/>
      <w:marTop w:val="0"/>
      <w:marBottom w:val="0"/>
      <w:divBdr>
        <w:top w:val="none" w:sz="0" w:space="0" w:color="auto"/>
        <w:left w:val="none" w:sz="0" w:space="0" w:color="auto"/>
        <w:bottom w:val="none" w:sz="0" w:space="0" w:color="auto"/>
        <w:right w:val="none" w:sz="0" w:space="0" w:color="auto"/>
      </w:divBdr>
    </w:div>
    <w:div w:id="1673332179">
      <w:bodyDiv w:val="1"/>
      <w:marLeft w:val="0"/>
      <w:marRight w:val="0"/>
      <w:marTop w:val="0"/>
      <w:marBottom w:val="0"/>
      <w:divBdr>
        <w:top w:val="none" w:sz="0" w:space="0" w:color="auto"/>
        <w:left w:val="none" w:sz="0" w:space="0" w:color="auto"/>
        <w:bottom w:val="none" w:sz="0" w:space="0" w:color="auto"/>
        <w:right w:val="none" w:sz="0" w:space="0" w:color="auto"/>
      </w:divBdr>
    </w:div>
    <w:div w:id="1673752147">
      <w:bodyDiv w:val="1"/>
      <w:marLeft w:val="0"/>
      <w:marRight w:val="0"/>
      <w:marTop w:val="0"/>
      <w:marBottom w:val="0"/>
      <w:divBdr>
        <w:top w:val="none" w:sz="0" w:space="0" w:color="auto"/>
        <w:left w:val="none" w:sz="0" w:space="0" w:color="auto"/>
        <w:bottom w:val="none" w:sz="0" w:space="0" w:color="auto"/>
        <w:right w:val="none" w:sz="0" w:space="0" w:color="auto"/>
      </w:divBdr>
    </w:div>
    <w:div w:id="1673797140">
      <w:bodyDiv w:val="1"/>
      <w:marLeft w:val="0"/>
      <w:marRight w:val="0"/>
      <w:marTop w:val="0"/>
      <w:marBottom w:val="0"/>
      <w:divBdr>
        <w:top w:val="none" w:sz="0" w:space="0" w:color="auto"/>
        <w:left w:val="none" w:sz="0" w:space="0" w:color="auto"/>
        <w:bottom w:val="none" w:sz="0" w:space="0" w:color="auto"/>
        <w:right w:val="none" w:sz="0" w:space="0" w:color="auto"/>
      </w:divBdr>
    </w:div>
    <w:div w:id="1674186016">
      <w:bodyDiv w:val="1"/>
      <w:marLeft w:val="0"/>
      <w:marRight w:val="0"/>
      <w:marTop w:val="0"/>
      <w:marBottom w:val="0"/>
      <w:divBdr>
        <w:top w:val="none" w:sz="0" w:space="0" w:color="auto"/>
        <w:left w:val="none" w:sz="0" w:space="0" w:color="auto"/>
        <w:bottom w:val="none" w:sz="0" w:space="0" w:color="auto"/>
        <w:right w:val="none" w:sz="0" w:space="0" w:color="auto"/>
      </w:divBdr>
    </w:div>
    <w:div w:id="1674796180">
      <w:bodyDiv w:val="1"/>
      <w:marLeft w:val="0"/>
      <w:marRight w:val="0"/>
      <w:marTop w:val="0"/>
      <w:marBottom w:val="0"/>
      <w:divBdr>
        <w:top w:val="none" w:sz="0" w:space="0" w:color="auto"/>
        <w:left w:val="none" w:sz="0" w:space="0" w:color="auto"/>
        <w:bottom w:val="none" w:sz="0" w:space="0" w:color="auto"/>
        <w:right w:val="none" w:sz="0" w:space="0" w:color="auto"/>
      </w:divBdr>
    </w:div>
    <w:div w:id="1674992541">
      <w:bodyDiv w:val="1"/>
      <w:marLeft w:val="0"/>
      <w:marRight w:val="0"/>
      <w:marTop w:val="0"/>
      <w:marBottom w:val="0"/>
      <w:divBdr>
        <w:top w:val="none" w:sz="0" w:space="0" w:color="auto"/>
        <w:left w:val="none" w:sz="0" w:space="0" w:color="auto"/>
        <w:bottom w:val="none" w:sz="0" w:space="0" w:color="auto"/>
        <w:right w:val="none" w:sz="0" w:space="0" w:color="auto"/>
      </w:divBdr>
    </w:div>
    <w:div w:id="1675188382">
      <w:bodyDiv w:val="1"/>
      <w:marLeft w:val="0"/>
      <w:marRight w:val="0"/>
      <w:marTop w:val="0"/>
      <w:marBottom w:val="0"/>
      <w:divBdr>
        <w:top w:val="none" w:sz="0" w:space="0" w:color="auto"/>
        <w:left w:val="none" w:sz="0" w:space="0" w:color="auto"/>
        <w:bottom w:val="none" w:sz="0" w:space="0" w:color="auto"/>
        <w:right w:val="none" w:sz="0" w:space="0" w:color="auto"/>
      </w:divBdr>
    </w:div>
    <w:div w:id="1675257171">
      <w:bodyDiv w:val="1"/>
      <w:marLeft w:val="0"/>
      <w:marRight w:val="0"/>
      <w:marTop w:val="0"/>
      <w:marBottom w:val="0"/>
      <w:divBdr>
        <w:top w:val="none" w:sz="0" w:space="0" w:color="auto"/>
        <w:left w:val="none" w:sz="0" w:space="0" w:color="auto"/>
        <w:bottom w:val="none" w:sz="0" w:space="0" w:color="auto"/>
        <w:right w:val="none" w:sz="0" w:space="0" w:color="auto"/>
      </w:divBdr>
    </w:div>
    <w:div w:id="1675297732">
      <w:bodyDiv w:val="1"/>
      <w:marLeft w:val="0"/>
      <w:marRight w:val="0"/>
      <w:marTop w:val="0"/>
      <w:marBottom w:val="0"/>
      <w:divBdr>
        <w:top w:val="none" w:sz="0" w:space="0" w:color="auto"/>
        <w:left w:val="none" w:sz="0" w:space="0" w:color="auto"/>
        <w:bottom w:val="none" w:sz="0" w:space="0" w:color="auto"/>
        <w:right w:val="none" w:sz="0" w:space="0" w:color="auto"/>
      </w:divBdr>
    </w:div>
    <w:div w:id="1675457189">
      <w:bodyDiv w:val="1"/>
      <w:marLeft w:val="0"/>
      <w:marRight w:val="0"/>
      <w:marTop w:val="0"/>
      <w:marBottom w:val="0"/>
      <w:divBdr>
        <w:top w:val="none" w:sz="0" w:space="0" w:color="auto"/>
        <w:left w:val="none" w:sz="0" w:space="0" w:color="auto"/>
        <w:bottom w:val="none" w:sz="0" w:space="0" w:color="auto"/>
        <w:right w:val="none" w:sz="0" w:space="0" w:color="auto"/>
      </w:divBdr>
    </w:div>
    <w:div w:id="1675497509">
      <w:bodyDiv w:val="1"/>
      <w:marLeft w:val="0"/>
      <w:marRight w:val="0"/>
      <w:marTop w:val="0"/>
      <w:marBottom w:val="0"/>
      <w:divBdr>
        <w:top w:val="none" w:sz="0" w:space="0" w:color="auto"/>
        <w:left w:val="none" w:sz="0" w:space="0" w:color="auto"/>
        <w:bottom w:val="none" w:sz="0" w:space="0" w:color="auto"/>
        <w:right w:val="none" w:sz="0" w:space="0" w:color="auto"/>
      </w:divBdr>
    </w:div>
    <w:div w:id="1675692452">
      <w:bodyDiv w:val="1"/>
      <w:marLeft w:val="0"/>
      <w:marRight w:val="0"/>
      <w:marTop w:val="0"/>
      <w:marBottom w:val="0"/>
      <w:divBdr>
        <w:top w:val="none" w:sz="0" w:space="0" w:color="auto"/>
        <w:left w:val="none" w:sz="0" w:space="0" w:color="auto"/>
        <w:bottom w:val="none" w:sz="0" w:space="0" w:color="auto"/>
        <w:right w:val="none" w:sz="0" w:space="0" w:color="auto"/>
      </w:divBdr>
    </w:div>
    <w:div w:id="1675762711">
      <w:bodyDiv w:val="1"/>
      <w:marLeft w:val="0"/>
      <w:marRight w:val="0"/>
      <w:marTop w:val="0"/>
      <w:marBottom w:val="0"/>
      <w:divBdr>
        <w:top w:val="none" w:sz="0" w:space="0" w:color="auto"/>
        <w:left w:val="none" w:sz="0" w:space="0" w:color="auto"/>
        <w:bottom w:val="none" w:sz="0" w:space="0" w:color="auto"/>
        <w:right w:val="none" w:sz="0" w:space="0" w:color="auto"/>
      </w:divBdr>
    </w:div>
    <w:div w:id="1676347633">
      <w:bodyDiv w:val="1"/>
      <w:marLeft w:val="0"/>
      <w:marRight w:val="0"/>
      <w:marTop w:val="0"/>
      <w:marBottom w:val="0"/>
      <w:divBdr>
        <w:top w:val="none" w:sz="0" w:space="0" w:color="auto"/>
        <w:left w:val="none" w:sz="0" w:space="0" w:color="auto"/>
        <w:bottom w:val="none" w:sz="0" w:space="0" w:color="auto"/>
        <w:right w:val="none" w:sz="0" w:space="0" w:color="auto"/>
      </w:divBdr>
    </w:div>
    <w:div w:id="1677027099">
      <w:bodyDiv w:val="1"/>
      <w:marLeft w:val="0"/>
      <w:marRight w:val="0"/>
      <w:marTop w:val="0"/>
      <w:marBottom w:val="0"/>
      <w:divBdr>
        <w:top w:val="none" w:sz="0" w:space="0" w:color="auto"/>
        <w:left w:val="none" w:sz="0" w:space="0" w:color="auto"/>
        <w:bottom w:val="none" w:sz="0" w:space="0" w:color="auto"/>
        <w:right w:val="none" w:sz="0" w:space="0" w:color="auto"/>
      </w:divBdr>
    </w:div>
    <w:div w:id="1677343445">
      <w:bodyDiv w:val="1"/>
      <w:marLeft w:val="0"/>
      <w:marRight w:val="0"/>
      <w:marTop w:val="0"/>
      <w:marBottom w:val="0"/>
      <w:divBdr>
        <w:top w:val="none" w:sz="0" w:space="0" w:color="auto"/>
        <w:left w:val="none" w:sz="0" w:space="0" w:color="auto"/>
        <w:bottom w:val="none" w:sz="0" w:space="0" w:color="auto"/>
        <w:right w:val="none" w:sz="0" w:space="0" w:color="auto"/>
      </w:divBdr>
    </w:div>
    <w:div w:id="1678072765">
      <w:bodyDiv w:val="1"/>
      <w:marLeft w:val="0"/>
      <w:marRight w:val="0"/>
      <w:marTop w:val="0"/>
      <w:marBottom w:val="0"/>
      <w:divBdr>
        <w:top w:val="none" w:sz="0" w:space="0" w:color="auto"/>
        <w:left w:val="none" w:sz="0" w:space="0" w:color="auto"/>
        <w:bottom w:val="none" w:sz="0" w:space="0" w:color="auto"/>
        <w:right w:val="none" w:sz="0" w:space="0" w:color="auto"/>
      </w:divBdr>
    </w:div>
    <w:div w:id="1678263663">
      <w:bodyDiv w:val="1"/>
      <w:marLeft w:val="0"/>
      <w:marRight w:val="0"/>
      <w:marTop w:val="0"/>
      <w:marBottom w:val="0"/>
      <w:divBdr>
        <w:top w:val="none" w:sz="0" w:space="0" w:color="auto"/>
        <w:left w:val="none" w:sz="0" w:space="0" w:color="auto"/>
        <w:bottom w:val="none" w:sz="0" w:space="0" w:color="auto"/>
        <w:right w:val="none" w:sz="0" w:space="0" w:color="auto"/>
      </w:divBdr>
    </w:div>
    <w:div w:id="1678730080">
      <w:bodyDiv w:val="1"/>
      <w:marLeft w:val="0"/>
      <w:marRight w:val="0"/>
      <w:marTop w:val="0"/>
      <w:marBottom w:val="0"/>
      <w:divBdr>
        <w:top w:val="none" w:sz="0" w:space="0" w:color="auto"/>
        <w:left w:val="none" w:sz="0" w:space="0" w:color="auto"/>
        <w:bottom w:val="none" w:sz="0" w:space="0" w:color="auto"/>
        <w:right w:val="none" w:sz="0" w:space="0" w:color="auto"/>
      </w:divBdr>
    </w:div>
    <w:div w:id="1679386124">
      <w:bodyDiv w:val="1"/>
      <w:marLeft w:val="0"/>
      <w:marRight w:val="0"/>
      <w:marTop w:val="0"/>
      <w:marBottom w:val="0"/>
      <w:divBdr>
        <w:top w:val="none" w:sz="0" w:space="0" w:color="auto"/>
        <w:left w:val="none" w:sz="0" w:space="0" w:color="auto"/>
        <w:bottom w:val="none" w:sz="0" w:space="0" w:color="auto"/>
        <w:right w:val="none" w:sz="0" w:space="0" w:color="auto"/>
      </w:divBdr>
    </w:div>
    <w:div w:id="1679574192">
      <w:bodyDiv w:val="1"/>
      <w:marLeft w:val="0"/>
      <w:marRight w:val="0"/>
      <w:marTop w:val="0"/>
      <w:marBottom w:val="0"/>
      <w:divBdr>
        <w:top w:val="none" w:sz="0" w:space="0" w:color="auto"/>
        <w:left w:val="none" w:sz="0" w:space="0" w:color="auto"/>
        <w:bottom w:val="none" w:sz="0" w:space="0" w:color="auto"/>
        <w:right w:val="none" w:sz="0" w:space="0" w:color="auto"/>
      </w:divBdr>
    </w:div>
    <w:div w:id="1680623647">
      <w:bodyDiv w:val="1"/>
      <w:marLeft w:val="0"/>
      <w:marRight w:val="0"/>
      <w:marTop w:val="0"/>
      <w:marBottom w:val="0"/>
      <w:divBdr>
        <w:top w:val="none" w:sz="0" w:space="0" w:color="auto"/>
        <w:left w:val="none" w:sz="0" w:space="0" w:color="auto"/>
        <w:bottom w:val="none" w:sz="0" w:space="0" w:color="auto"/>
        <w:right w:val="none" w:sz="0" w:space="0" w:color="auto"/>
      </w:divBdr>
    </w:div>
    <w:div w:id="1681196530">
      <w:bodyDiv w:val="1"/>
      <w:marLeft w:val="0"/>
      <w:marRight w:val="0"/>
      <w:marTop w:val="0"/>
      <w:marBottom w:val="0"/>
      <w:divBdr>
        <w:top w:val="none" w:sz="0" w:space="0" w:color="auto"/>
        <w:left w:val="none" w:sz="0" w:space="0" w:color="auto"/>
        <w:bottom w:val="none" w:sz="0" w:space="0" w:color="auto"/>
        <w:right w:val="none" w:sz="0" w:space="0" w:color="auto"/>
      </w:divBdr>
    </w:div>
    <w:div w:id="1681354340">
      <w:bodyDiv w:val="1"/>
      <w:marLeft w:val="0"/>
      <w:marRight w:val="0"/>
      <w:marTop w:val="0"/>
      <w:marBottom w:val="0"/>
      <w:divBdr>
        <w:top w:val="none" w:sz="0" w:space="0" w:color="auto"/>
        <w:left w:val="none" w:sz="0" w:space="0" w:color="auto"/>
        <w:bottom w:val="none" w:sz="0" w:space="0" w:color="auto"/>
        <w:right w:val="none" w:sz="0" w:space="0" w:color="auto"/>
      </w:divBdr>
    </w:div>
    <w:div w:id="1681546959">
      <w:bodyDiv w:val="1"/>
      <w:marLeft w:val="0"/>
      <w:marRight w:val="0"/>
      <w:marTop w:val="0"/>
      <w:marBottom w:val="0"/>
      <w:divBdr>
        <w:top w:val="none" w:sz="0" w:space="0" w:color="auto"/>
        <w:left w:val="none" w:sz="0" w:space="0" w:color="auto"/>
        <w:bottom w:val="none" w:sz="0" w:space="0" w:color="auto"/>
        <w:right w:val="none" w:sz="0" w:space="0" w:color="auto"/>
      </w:divBdr>
    </w:div>
    <w:div w:id="1681589726">
      <w:bodyDiv w:val="1"/>
      <w:marLeft w:val="0"/>
      <w:marRight w:val="0"/>
      <w:marTop w:val="0"/>
      <w:marBottom w:val="0"/>
      <w:divBdr>
        <w:top w:val="none" w:sz="0" w:space="0" w:color="auto"/>
        <w:left w:val="none" w:sz="0" w:space="0" w:color="auto"/>
        <w:bottom w:val="none" w:sz="0" w:space="0" w:color="auto"/>
        <w:right w:val="none" w:sz="0" w:space="0" w:color="auto"/>
      </w:divBdr>
    </w:div>
    <w:div w:id="1681811299">
      <w:bodyDiv w:val="1"/>
      <w:marLeft w:val="0"/>
      <w:marRight w:val="0"/>
      <w:marTop w:val="0"/>
      <w:marBottom w:val="0"/>
      <w:divBdr>
        <w:top w:val="none" w:sz="0" w:space="0" w:color="auto"/>
        <w:left w:val="none" w:sz="0" w:space="0" w:color="auto"/>
        <w:bottom w:val="none" w:sz="0" w:space="0" w:color="auto"/>
        <w:right w:val="none" w:sz="0" w:space="0" w:color="auto"/>
      </w:divBdr>
    </w:div>
    <w:div w:id="1682275151">
      <w:bodyDiv w:val="1"/>
      <w:marLeft w:val="0"/>
      <w:marRight w:val="0"/>
      <w:marTop w:val="0"/>
      <w:marBottom w:val="0"/>
      <w:divBdr>
        <w:top w:val="none" w:sz="0" w:space="0" w:color="auto"/>
        <w:left w:val="none" w:sz="0" w:space="0" w:color="auto"/>
        <w:bottom w:val="none" w:sz="0" w:space="0" w:color="auto"/>
        <w:right w:val="none" w:sz="0" w:space="0" w:color="auto"/>
      </w:divBdr>
    </w:div>
    <w:div w:id="1682971691">
      <w:bodyDiv w:val="1"/>
      <w:marLeft w:val="0"/>
      <w:marRight w:val="0"/>
      <w:marTop w:val="0"/>
      <w:marBottom w:val="0"/>
      <w:divBdr>
        <w:top w:val="none" w:sz="0" w:space="0" w:color="auto"/>
        <w:left w:val="none" w:sz="0" w:space="0" w:color="auto"/>
        <w:bottom w:val="none" w:sz="0" w:space="0" w:color="auto"/>
        <w:right w:val="none" w:sz="0" w:space="0" w:color="auto"/>
      </w:divBdr>
    </w:div>
    <w:div w:id="1683386781">
      <w:bodyDiv w:val="1"/>
      <w:marLeft w:val="0"/>
      <w:marRight w:val="0"/>
      <w:marTop w:val="0"/>
      <w:marBottom w:val="0"/>
      <w:divBdr>
        <w:top w:val="none" w:sz="0" w:space="0" w:color="auto"/>
        <w:left w:val="none" w:sz="0" w:space="0" w:color="auto"/>
        <w:bottom w:val="none" w:sz="0" w:space="0" w:color="auto"/>
        <w:right w:val="none" w:sz="0" w:space="0" w:color="auto"/>
      </w:divBdr>
    </w:div>
    <w:div w:id="1683969792">
      <w:bodyDiv w:val="1"/>
      <w:marLeft w:val="0"/>
      <w:marRight w:val="0"/>
      <w:marTop w:val="0"/>
      <w:marBottom w:val="0"/>
      <w:divBdr>
        <w:top w:val="none" w:sz="0" w:space="0" w:color="auto"/>
        <w:left w:val="none" w:sz="0" w:space="0" w:color="auto"/>
        <w:bottom w:val="none" w:sz="0" w:space="0" w:color="auto"/>
        <w:right w:val="none" w:sz="0" w:space="0" w:color="auto"/>
      </w:divBdr>
    </w:div>
    <w:div w:id="1684093370">
      <w:bodyDiv w:val="1"/>
      <w:marLeft w:val="0"/>
      <w:marRight w:val="0"/>
      <w:marTop w:val="0"/>
      <w:marBottom w:val="0"/>
      <w:divBdr>
        <w:top w:val="none" w:sz="0" w:space="0" w:color="auto"/>
        <w:left w:val="none" w:sz="0" w:space="0" w:color="auto"/>
        <w:bottom w:val="none" w:sz="0" w:space="0" w:color="auto"/>
        <w:right w:val="none" w:sz="0" w:space="0" w:color="auto"/>
      </w:divBdr>
    </w:div>
    <w:div w:id="1684280181">
      <w:bodyDiv w:val="1"/>
      <w:marLeft w:val="0"/>
      <w:marRight w:val="0"/>
      <w:marTop w:val="0"/>
      <w:marBottom w:val="0"/>
      <w:divBdr>
        <w:top w:val="none" w:sz="0" w:space="0" w:color="auto"/>
        <w:left w:val="none" w:sz="0" w:space="0" w:color="auto"/>
        <w:bottom w:val="none" w:sz="0" w:space="0" w:color="auto"/>
        <w:right w:val="none" w:sz="0" w:space="0" w:color="auto"/>
      </w:divBdr>
    </w:div>
    <w:div w:id="1684355244">
      <w:bodyDiv w:val="1"/>
      <w:marLeft w:val="0"/>
      <w:marRight w:val="0"/>
      <w:marTop w:val="0"/>
      <w:marBottom w:val="0"/>
      <w:divBdr>
        <w:top w:val="none" w:sz="0" w:space="0" w:color="auto"/>
        <w:left w:val="none" w:sz="0" w:space="0" w:color="auto"/>
        <w:bottom w:val="none" w:sz="0" w:space="0" w:color="auto"/>
        <w:right w:val="none" w:sz="0" w:space="0" w:color="auto"/>
      </w:divBdr>
    </w:div>
    <w:div w:id="1684669578">
      <w:bodyDiv w:val="1"/>
      <w:marLeft w:val="0"/>
      <w:marRight w:val="0"/>
      <w:marTop w:val="0"/>
      <w:marBottom w:val="0"/>
      <w:divBdr>
        <w:top w:val="none" w:sz="0" w:space="0" w:color="auto"/>
        <w:left w:val="none" w:sz="0" w:space="0" w:color="auto"/>
        <w:bottom w:val="none" w:sz="0" w:space="0" w:color="auto"/>
        <w:right w:val="none" w:sz="0" w:space="0" w:color="auto"/>
      </w:divBdr>
    </w:div>
    <w:div w:id="1684672691">
      <w:bodyDiv w:val="1"/>
      <w:marLeft w:val="0"/>
      <w:marRight w:val="0"/>
      <w:marTop w:val="0"/>
      <w:marBottom w:val="0"/>
      <w:divBdr>
        <w:top w:val="none" w:sz="0" w:space="0" w:color="auto"/>
        <w:left w:val="none" w:sz="0" w:space="0" w:color="auto"/>
        <w:bottom w:val="none" w:sz="0" w:space="0" w:color="auto"/>
        <w:right w:val="none" w:sz="0" w:space="0" w:color="auto"/>
      </w:divBdr>
    </w:div>
    <w:div w:id="1685089837">
      <w:bodyDiv w:val="1"/>
      <w:marLeft w:val="0"/>
      <w:marRight w:val="0"/>
      <w:marTop w:val="0"/>
      <w:marBottom w:val="0"/>
      <w:divBdr>
        <w:top w:val="none" w:sz="0" w:space="0" w:color="auto"/>
        <w:left w:val="none" w:sz="0" w:space="0" w:color="auto"/>
        <w:bottom w:val="none" w:sz="0" w:space="0" w:color="auto"/>
        <w:right w:val="none" w:sz="0" w:space="0" w:color="auto"/>
      </w:divBdr>
    </w:div>
    <w:div w:id="1685208636">
      <w:bodyDiv w:val="1"/>
      <w:marLeft w:val="0"/>
      <w:marRight w:val="0"/>
      <w:marTop w:val="0"/>
      <w:marBottom w:val="0"/>
      <w:divBdr>
        <w:top w:val="none" w:sz="0" w:space="0" w:color="auto"/>
        <w:left w:val="none" w:sz="0" w:space="0" w:color="auto"/>
        <w:bottom w:val="none" w:sz="0" w:space="0" w:color="auto"/>
        <w:right w:val="none" w:sz="0" w:space="0" w:color="auto"/>
      </w:divBdr>
    </w:div>
    <w:div w:id="1685398040">
      <w:bodyDiv w:val="1"/>
      <w:marLeft w:val="0"/>
      <w:marRight w:val="0"/>
      <w:marTop w:val="0"/>
      <w:marBottom w:val="0"/>
      <w:divBdr>
        <w:top w:val="none" w:sz="0" w:space="0" w:color="auto"/>
        <w:left w:val="none" w:sz="0" w:space="0" w:color="auto"/>
        <w:bottom w:val="none" w:sz="0" w:space="0" w:color="auto"/>
        <w:right w:val="none" w:sz="0" w:space="0" w:color="auto"/>
      </w:divBdr>
    </w:div>
    <w:div w:id="1685980092">
      <w:bodyDiv w:val="1"/>
      <w:marLeft w:val="0"/>
      <w:marRight w:val="0"/>
      <w:marTop w:val="0"/>
      <w:marBottom w:val="0"/>
      <w:divBdr>
        <w:top w:val="none" w:sz="0" w:space="0" w:color="auto"/>
        <w:left w:val="none" w:sz="0" w:space="0" w:color="auto"/>
        <w:bottom w:val="none" w:sz="0" w:space="0" w:color="auto"/>
        <w:right w:val="none" w:sz="0" w:space="0" w:color="auto"/>
      </w:divBdr>
    </w:div>
    <w:div w:id="1686251487">
      <w:bodyDiv w:val="1"/>
      <w:marLeft w:val="0"/>
      <w:marRight w:val="0"/>
      <w:marTop w:val="0"/>
      <w:marBottom w:val="0"/>
      <w:divBdr>
        <w:top w:val="none" w:sz="0" w:space="0" w:color="auto"/>
        <w:left w:val="none" w:sz="0" w:space="0" w:color="auto"/>
        <w:bottom w:val="none" w:sz="0" w:space="0" w:color="auto"/>
        <w:right w:val="none" w:sz="0" w:space="0" w:color="auto"/>
      </w:divBdr>
    </w:div>
    <w:div w:id="1686709759">
      <w:bodyDiv w:val="1"/>
      <w:marLeft w:val="0"/>
      <w:marRight w:val="0"/>
      <w:marTop w:val="0"/>
      <w:marBottom w:val="0"/>
      <w:divBdr>
        <w:top w:val="none" w:sz="0" w:space="0" w:color="auto"/>
        <w:left w:val="none" w:sz="0" w:space="0" w:color="auto"/>
        <w:bottom w:val="none" w:sz="0" w:space="0" w:color="auto"/>
        <w:right w:val="none" w:sz="0" w:space="0" w:color="auto"/>
      </w:divBdr>
    </w:div>
    <w:div w:id="1686780941">
      <w:bodyDiv w:val="1"/>
      <w:marLeft w:val="0"/>
      <w:marRight w:val="0"/>
      <w:marTop w:val="0"/>
      <w:marBottom w:val="0"/>
      <w:divBdr>
        <w:top w:val="none" w:sz="0" w:space="0" w:color="auto"/>
        <w:left w:val="none" w:sz="0" w:space="0" w:color="auto"/>
        <w:bottom w:val="none" w:sz="0" w:space="0" w:color="auto"/>
        <w:right w:val="none" w:sz="0" w:space="0" w:color="auto"/>
      </w:divBdr>
    </w:div>
    <w:div w:id="1686832724">
      <w:bodyDiv w:val="1"/>
      <w:marLeft w:val="0"/>
      <w:marRight w:val="0"/>
      <w:marTop w:val="0"/>
      <w:marBottom w:val="0"/>
      <w:divBdr>
        <w:top w:val="none" w:sz="0" w:space="0" w:color="auto"/>
        <w:left w:val="none" w:sz="0" w:space="0" w:color="auto"/>
        <w:bottom w:val="none" w:sz="0" w:space="0" w:color="auto"/>
        <w:right w:val="none" w:sz="0" w:space="0" w:color="auto"/>
      </w:divBdr>
    </w:div>
    <w:div w:id="1686863679">
      <w:bodyDiv w:val="1"/>
      <w:marLeft w:val="0"/>
      <w:marRight w:val="0"/>
      <w:marTop w:val="0"/>
      <w:marBottom w:val="0"/>
      <w:divBdr>
        <w:top w:val="none" w:sz="0" w:space="0" w:color="auto"/>
        <w:left w:val="none" w:sz="0" w:space="0" w:color="auto"/>
        <w:bottom w:val="none" w:sz="0" w:space="0" w:color="auto"/>
        <w:right w:val="none" w:sz="0" w:space="0" w:color="auto"/>
      </w:divBdr>
    </w:div>
    <w:div w:id="1687318825">
      <w:bodyDiv w:val="1"/>
      <w:marLeft w:val="0"/>
      <w:marRight w:val="0"/>
      <w:marTop w:val="0"/>
      <w:marBottom w:val="0"/>
      <w:divBdr>
        <w:top w:val="none" w:sz="0" w:space="0" w:color="auto"/>
        <w:left w:val="none" w:sz="0" w:space="0" w:color="auto"/>
        <w:bottom w:val="none" w:sz="0" w:space="0" w:color="auto"/>
        <w:right w:val="none" w:sz="0" w:space="0" w:color="auto"/>
      </w:divBdr>
    </w:div>
    <w:div w:id="1687709837">
      <w:bodyDiv w:val="1"/>
      <w:marLeft w:val="0"/>
      <w:marRight w:val="0"/>
      <w:marTop w:val="0"/>
      <w:marBottom w:val="0"/>
      <w:divBdr>
        <w:top w:val="none" w:sz="0" w:space="0" w:color="auto"/>
        <w:left w:val="none" w:sz="0" w:space="0" w:color="auto"/>
        <w:bottom w:val="none" w:sz="0" w:space="0" w:color="auto"/>
        <w:right w:val="none" w:sz="0" w:space="0" w:color="auto"/>
      </w:divBdr>
    </w:div>
    <w:div w:id="1687825847">
      <w:bodyDiv w:val="1"/>
      <w:marLeft w:val="0"/>
      <w:marRight w:val="0"/>
      <w:marTop w:val="0"/>
      <w:marBottom w:val="0"/>
      <w:divBdr>
        <w:top w:val="none" w:sz="0" w:space="0" w:color="auto"/>
        <w:left w:val="none" w:sz="0" w:space="0" w:color="auto"/>
        <w:bottom w:val="none" w:sz="0" w:space="0" w:color="auto"/>
        <w:right w:val="none" w:sz="0" w:space="0" w:color="auto"/>
      </w:divBdr>
    </w:div>
    <w:div w:id="1687903746">
      <w:bodyDiv w:val="1"/>
      <w:marLeft w:val="0"/>
      <w:marRight w:val="0"/>
      <w:marTop w:val="0"/>
      <w:marBottom w:val="0"/>
      <w:divBdr>
        <w:top w:val="none" w:sz="0" w:space="0" w:color="auto"/>
        <w:left w:val="none" w:sz="0" w:space="0" w:color="auto"/>
        <w:bottom w:val="none" w:sz="0" w:space="0" w:color="auto"/>
        <w:right w:val="none" w:sz="0" w:space="0" w:color="auto"/>
      </w:divBdr>
    </w:div>
    <w:div w:id="1688021434">
      <w:bodyDiv w:val="1"/>
      <w:marLeft w:val="0"/>
      <w:marRight w:val="0"/>
      <w:marTop w:val="0"/>
      <w:marBottom w:val="0"/>
      <w:divBdr>
        <w:top w:val="none" w:sz="0" w:space="0" w:color="auto"/>
        <w:left w:val="none" w:sz="0" w:space="0" w:color="auto"/>
        <w:bottom w:val="none" w:sz="0" w:space="0" w:color="auto"/>
        <w:right w:val="none" w:sz="0" w:space="0" w:color="auto"/>
      </w:divBdr>
    </w:div>
    <w:div w:id="1688097827">
      <w:bodyDiv w:val="1"/>
      <w:marLeft w:val="0"/>
      <w:marRight w:val="0"/>
      <w:marTop w:val="0"/>
      <w:marBottom w:val="0"/>
      <w:divBdr>
        <w:top w:val="none" w:sz="0" w:space="0" w:color="auto"/>
        <w:left w:val="none" w:sz="0" w:space="0" w:color="auto"/>
        <w:bottom w:val="none" w:sz="0" w:space="0" w:color="auto"/>
        <w:right w:val="none" w:sz="0" w:space="0" w:color="auto"/>
      </w:divBdr>
    </w:div>
    <w:div w:id="1688097957">
      <w:bodyDiv w:val="1"/>
      <w:marLeft w:val="0"/>
      <w:marRight w:val="0"/>
      <w:marTop w:val="0"/>
      <w:marBottom w:val="0"/>
      <w:divBdr>
        <w:top w:val="none" w:sz="0" w:space="0" w:color="auto"/>
        <w:left w:val="none" w:sz="0" w:space="0" w:color="auto"/>
        <w:bottom w:val="none" w:sz="0" w:space="0" w:color="auto"/>
        <w:right w:val="none" w:sz="0" w:space="0" w:color="auto"/>
      </w:divBdr>
    </w:div>
    <w:div w:id="1688098204">
      <w:bodyDiv w:val="1"/>
      <w:marLeft w:val="0"/>
      <w:marRight w:val="0"/>
      <w:marTop w:val="0"/>
      <w:marBottom w:val="0"/>
      <w:divBdr>
        <w:top w:val="none" w:sz="0" w:space="0" w:color="auto"/>
        <w:left w:val="none" w:sz="0" w:space="0" w:color="auto"/>
        <w:bottom w:val="none" w:sz="0" w:space="0" w:color="auto"/>
        <w:right w:val="none" w:sz="0" w:space="0" w:color="auto"/>
      </w:divBdr>
    </w:div>
    <w:div w:id="1688286785">
      <w:bodyDiv w:val="1"/>
      <w:marLeft w:val="0"/>
      <w:marRight w:val="0"/>
      <w:marTop w:val="0"/>
      <w:marBottom w:val="0"/>
      <w:divBdr>
        <w:top w:val="none" w:sz="0" w:space="0" w:color="auto"/>
        <w:left w:val="none" w:sz="0" w:space="0" w:color="auto"/>
        <w:bottom w:val="none" w:sz="0" w:space="0" w:color="auto"/>
        <w:right w:val="none" w:sz="0" w:space="0" w:color="auto"/>
      </w:divBdr>
    </w:div>
    <w:div w:id="1688407557">
      <w:bodyDiv w:val="1"/>
      <w:marLeft w:val="0"/>
      <w:marRight w:val="0"/>
      <w:marTop w:val="0"/>
      <w:marBottom w:val="0"/>
      <w:divBdr>
        <w:top w:val="none" w:sz="0" w:space="0" w:color="auto"/>
        <w:left w:val="none" w:sz="0" w:space="0" w:color="auto"/>
        <w:bottom w:val="none" w:sz="0" w:space="0" w:color="auto"/>
        <w:right w:val="none" w:sz="0" w:space="0" w:color="auto"/>
      </w:divBdr>
    </w:div>
    <w:div w:id="1690061006">
      <w:bodyDiv w:val="1"/>
      <w:marLeft w:val="0"/>
      <w:marRight w:val="0"/>
      <w:marTop w:val="0"/>
      <w:marBottom w:val="0"/>
      <w:divBdr>
        <w:top w:val="none" w:sz="0" w:space="0" w:color="auto"/>
        <w:left w:val="none" w:sz="0" w:space="0" w:color="auto"/>
        <w:bottom w:val="none" w:sz="0" w:space="0" w:color="auto"/>
        <w:right w:val="none" w:sz="0" w:space="0" w:color="auto"/>
      </w:divBdr>
    </w:div>
    <w:div w:id="1690066284">
      <w:bodyDiv w:val="1"/>
      <w:marLeft w:val="0"/>
      <w:marRight w:val="0"/>
      <w:marTop w:val="0"/>
      <w:marBottom w:val="0"/>
      <w:divBdr>
        <w:top w:val="none" w:sz="0" w:space="0" w:color="auto"/>
        <w:left w:val="none" w:sz="0" w:space="0" w:color="auto"/>
        <w:bottom w:val="none" w:sz="0" w:space="0" w:color="auto"/>
        <w:right w:val="none" w:sz="0" w:space="0" w:color="auto"/>
      </w:divBdr>
    </w:div>
    <w:div w:id="1690376874">
      <w:bodyDiv w:val="1"/>
      <w:marLeft w:val="0"/>
      <w:marRight w:val="0"/>
      <w:marTop w:val="0"/>
      <w:marBottom w:val="0"/>
      <w:divBdr>
        <w:top w:val="none" w:sz="0" w:space="0" w:color="auto"/>
        <w:left w:val="none" w:sz="0" w:space="0" w:color="auto"/>
        <w:bottom w:val="none" w:sz="0" w:space="0" w:color="auto"/>
        <w:right w:val="none" w:sz="0" w:space="0" w:color="auto"/>
      </w:divBdr>
    </w:div>
    <w:div w:id="1690524000">
      <w:bodyDiv w:val="1"/>
      <w:marLeft w:val="0"/>
      <w:marRight w:val="0"/>
      <w:marTop w:val="0"/>
      <w:marBottom w:val="0"/>
      <w:divBdr>
        <w:top w:val="none" w:sz="0" w:space="0" w:color="auto"/>
        <w:left w:val="none" w:sz="0" w:space="0" w:color="auto"/>
        <w:bottom w:val="none" w:sz="0" w:space="0" w:color="auto"/>
        <w:right w:val="none" w:sz="0" w:space="0" w:color="auto"/>
      </w:divBdr>
    </w:div>
    <w:div w:id="1690837503">
      <w:bodyDiv w:val="1"/>
      <w:marLeft w:val="0"/>
      <w:marRight w:val="0"/>
      <w:marTop w:val="0"/>
      <w:marBottom w:val="0"/>
      <w:divBdr>
        <w:top w:val="none" w:sz="0" w:space="0" w:color="auto"/>
        <w:left w:val="none" w:sz="0" w:space="0" w:color="auto"/>
        <w:bottom w:val="none" w:sz="0" w:space="0" w:color="auto"/>
        <w:right w:val="none" w:sz="0" w:space="0" w:color="auto"/>
      </w:divBdr>
    </w:div>
    <w:div w:id="1690839389">
      <w:bodyDiv w:val="1"/>
      <w:marLeft w:val="0"/>
      <w:marRight w:val="0"/>
      <w:marTop w:val="0"/>
      <w:marBottom w:val="0"/>
      <w:divBdr>
        <w:top w:val="none" w:sz="0" w:space="0" w:color="auto"/>
        <w:left w:val="none" w:sz="0" w:space="0" w:color="auto"/>
        <w:bottom w:val="none" w:sz="0" w:space="0" w:color="auto"/>
        <w:right w:val="none" w:sz="0" w:space="0" w:color="auto"/>
      </w:divBdr>
    </w:div>
    <w:div w:id="1690839635">
      <w:bodyDiv w:val="1"/>
      <w:marLeft w:val="0"/>
      <w:marRight w:val="0"/>
      <w:marTop w:val="0"/>
      <w:marBottom w:val="0"/>
      <w:divBdr>
        <w:top w:val="none" w:sz="0" w:space="0" w:color="auto"/>
        <w:left w:val="none" w:sz="0" w:space="0" w:color="auto"/>
        <w:bottom w:val="none" w:sz="0" w:space="0" w:color="auto"/>
        <w:right w:val="none" w:sz="0" w:space="0" w:color="auto"/>
      </w:divBdr>
    </w:div>
    <w:div w:id="1690982767">
      <w:bodyDiv w:val="1"/>
      <w:marLeft w:val="0"/>
      <w:marRight w:val="0"/>
      <w:marTop w:val="0"/>
      <w:marBottom w:val="0"/>
      <w:divBdr>
        <w:top w:val="none" w:sz="0" w:space="0" w:color="auto"/>
        <w:left w:val="none" w:sz="0" w:space="0" w:color="auto"/>
        <w:bottom w:val="none" w:sz="0" w:space="0" w:color="auto"/>
        <w:right w:val="none" w:sz="0" w:space="0" w:color="auto"/>
      </w:divBdr>
    </w:div>
    <w:div w:id="1691026202">
      <w:bodyDiv w:val="1"/>
      <w:marLeft w:val="0"/>
      <w:marRight w:val="0"/>
      <w:marTop w:val="0"/>
      <w:marBottom w:val="0"/>
      <w:divBdr>
        <w:top w:val="none" w:sz="0" w:space="0" w:color="auto"/>
        <w:left w:val="none" w:sz="0" w:space="0" w:color="auto"/>
        <w:bottom w:val="none" w:sz="0" w:space="0" w:color="auto"/>
        <w:right w:val="none" w:sz="0" w:space="0" w:color="auto"/>
      </w:divBdr>
    </w:div>
    <w:div w:id="1691057011">
      <w:bodyDiv w:val="1"/>
      <w:marLeft w:val="0"/>
      <w:marRight w:val="0"/>
      <w:marTop w:val="0"/>
      <w:marBottom w:val="0"/>
      <w:divBdr>
        <w:top w:val="none" w:sz="0" w:space="0" w:color="auto"/>
        <w:left w:val="none" w:sz="0" w:space="0" w:color="auto"/>
        <w:bottom w:val="none" w:sz="0" w:space="0" w:color="auto"/>
        <w:right w:val="none" w:sz="0" w:space="0" w:color="auto"/>
      </w:divBdr>
    </w:div>
    <w:div w:id="1691299736">
      <w:bodyDiv w:val="1"/>
      <w:marLeft w:val="0"/>
      <w:marRight w:val="0"/>
      <w:marTop w:val="0"/>
      <w:marBottom w:val="0"/>
      <w:divBdr>
        <w:top w:val="none" w:sz="0" w:space="0" w:color="auto"/>
        <w:left w:val="none" w:sz="0" w:space="0" w:color="auto"/>
        <w:bottom w:val="none" w:sz="0" w:space="0" w:color="auto"/>
        <w:right w:val="none" w:sz="0" w:space="0" w:color="auto"/>
      </w:divBdr>
    </w:div>
    <w:div w:id="1691832904">
      <w:bodyDiv w:val="1"/>
      <w:marLeft w:val="0"/>
      <w:marRight w:val="0"/>
      <w:marTop w:val="0"/>
      <w:marBottom w:val="0"/>
      <w:divBdr>
        <w:top w:val="none" w:sz="0" w:space="0" w:color="auto"/>
        <w:left w:val="none" w:sz="0" w:space="0" w:color="auto"/>
        <w:bottom w:val="none" w:sz="0" w:space="0" w:color="auto"/>
        <w:right w:val="none" w:sz="0" w:space="0" w:color="auto"/>
      </w:divBdr>
    </w:div>
    <w:div w:id="1692030704">
      <w:bodyDiv w:val="1"/>
      <w:marLeft w:val="0"/>
      <w:marRight w:val="0"/>
      <w:marTop w:val="0"/>
      <w:marBottom w:val="0"/>
      <w:divBdr>
        <w:top w:val="none" w:sz="0" w:space="0" w:color="auto"/>
        <w:left w:val="none" w:sz="0" w:space="0" w:color="auto"/>
        <w:bottom w:val="none" w:sz="0" w:space="0" w:color="auto"/>
        <w:right w:val="none" w:sz="0" w:space="0" w:color="auto"/>
      </w:divBdr>
    </w:div>
    <w:div w:id="1692074917">
      <w:bodyDiv w:val="1"/>
      <w:marLeft w:val="0"/>
      <w:marRight w:val="0"/>
      <w:marTop w:val="0"/>
      <w:marBottom w:val="0"/>
      <w:divBdr>
        <w:top w:val="none" w:sz="0" w:space="0" w:color="auto"/>
        <w:left w:val="none" w:sz="0" w:space="0" w:color="auto"/>
        <w:bottom w:val="none" w:sz="0" w:space="0" w:color="auto"/>
        <w:right w:val="none" w:sz="0" w:space="0" w:color="auto"/>
      </w:divBdr>
    </w:div>
    <w:div w:id="1692679158">
      <w:bodyDiv w:val="1"/>
      <w:marLeft w:val="0"/>
      <w:marRight w:val="0"/>
      <w:marTop w:val="0"/>
      <w:marBottom w:val="0"/>
      <w:divBdr>
        <w:top w:val="none" w:sz="0" w:space="0" w:color="auto"/>
        <w:left w:val="none" w:sz="0" w:space="0" w:color="auto"/>
        <w:bottom w:val="none" w:sz="0" w:space="0" w:color="auto"/>
        <w:right w:val="none" w:sz="0" w:space="0" w:color="auto"/>
      </w:divBdr>
    </w:div>
    <w:div w:id="1692800791">
      <w:bodyDiv w:val="1"/>
      <w:marLeft w:val="0"/>
      <w:marRight w:val="0"/>
      <w:marTop w:val="0"/>
      <w:marBottom w:val="0"/>
      <w:divBdr>
        <w:top w:val="none" w:sz="0" w:space="0" w:color="auto"/>
        <w:left w:val="none" w:sz="0" w:space="0" w:color="auto"/>
        <w:bottom w:val="none" w:sz="0" w:space="0" w:color="auto"/>
        <w:right w:val="none" w:sz="0" w:space="0" w:color="auto"/>
      </w:divBdr>
    </w:div>
    <w:div w:id="1692801613">
      <w:bodyDiv w:val="1"/>
      <w:marLeft w:val="0"/>
      <w:marRight w:val="0"/>
      <w:marTop w:val="0"/>
      <w:marBottom w:val="0"/>
      <w:divBdr>
        <w:top w:val="none" w:sz="0" w:space="0" w:color="auto"/>
        <w:left w:val="none" w:sz="0" w:space="0" w:color="auto"/>
        <w:bottom w:val="none" w:sz="0" w:space="0" w:color="auto"/>
        <w:right w:val="none" w:sz="0" w:space="0" w:color="auto"/>
      </w:divBdr>
    </w:div>
    <w:div w:id="1693147548">
      <w:bodyDiv w:val="1"/>
      <w:marLeft w:val="0"/>
      <w:marRight w:val="0"/>
      <w:marTop w:val="0"/>
      <w:marBottom w:val="0"/>
      <w:divBdr>
        <w:top w:val="none" w:sz="0" w:space="0" w:color="auto"/>
        <w:left w:val="none" w:sz="0" w:space="0" w:color="auto"/>
        <w:bottom w:val="none" w:sz="0" w:space="0" w:color="auto"/>
        <w:right w:val="none" w:sz="0" w:space="0" w:color="auto"/>
      </w:divBdr>
    </w:div>
    <w:div w:id="1693219155">
      <w:bodyDiv w:val="1"/>
      <w:marLeft w:val="0"/>
      <w:marRight w:val="0"/>
      <w:marTop w:val="0"/>
      <w:marBottom w:val="0"/>
      <w:divBdr>
        <w:top w:val="none" w:sz="0" w:space="0" w:color="auto"/>
        <w:left w:val="none" w:sz="0" w:space="0" w:color="auto"/>
        <w:bottom w:val="none" w:sz="0" w:space="0" w:color="auto"/>
        <w:right w:val="none" w:sz="0" w:space="0" w:color="auto"/>
      </w:divBdr>
    </w:div>
    <w:div w:id="1694333880">
      <w:bodyDiv w:val="1"/>
      <w:marLeft w:val="0"/>
      <w:marRight w:val="0"/>
      <w:marTop w:val="0"/>
      <w:marBottom w:val="0"/>
      <w:divBdr>
        <w:top w:val="none" w:sz="0" w:space="0" w:color="auto"/>
        <w:left w:val="none" w:sz="0" w:space="0" w:color="auto"/>
        <w:bottom w:val="none" w:sz="0" w:space="0" w:color="auto"/>
        <w:right w:val="none" w:sz="0" w:space="0" w:color="auto"/>
      </w:divBdr>
    </w:div>
    <w:div w:id="1694574532">
      <w:bodyDiv w:val="1"/>
      <w:marLeft w:val="0"/>
      <w:marRight w:val="0"/>
      <w:marTop w:val="0"/>
      <w:marBottom w:val="0"/>
      <w:divBdr>
        <w:top w:val="none" w:sz="0" w:space="0" w:color="auto"/>
        <w:left w:val="none" w:sz="0" w:space="0" w:color="auto"/>
        <w:bottom w:val="none" w:sz="0" w:space="0" w:color="auto"/>
        <w:right w:val="none" w:sz="0" w:space="0" w:color="auto"/>
      </w:divBdr>
    </w:div>
    <w:div w:id="1694646539">
      <w:bodyDiv w:val="1"/>
      <w:marLeft w:val="0"/>
      <w:marRight w:val="0"/>
      <w:marTop w:val="0"/>
      <w:marBottom w:val="0"/>
      <w:divBdr>
        <w:top w:val="none" w:sz="0" w:space="0" w:color="auto"/>
        <w:left w:val="none" w:sz="0" w:space="0" w:color="auto"/>
        <w:bottom w:val="none" w:sz="0" w:space="0" w:color="auto"/>
        <w:right w:val="none" w:sz="0" w:space="0" w:color="auto"/>
      </w:divBdr>
    </w:div>
    <w:div w:id="1695034036">
      <w:bodyDiv w:val="1"/>
      <w:marLeft w:val="0"/>
      <w:marRight w:val="0"/>
      <w:marTop w:val="0"/>
      <w:marBottom w:val="0"/>
      <w:divBdr>
        <w:top w:val="none" w:sz="0" w:space="0" w:color="auto"/>
        <w:left w:val="none" w:sz="0" w:space="0" w:color="auto"/>
        <w:bottom w:val="none" w:sz="0" w:space="0" w:color="auto"/>
        <w:right w:val="none" w:sz="0" w:space="0" w:color="auto"/>
      </w:divBdr>
    </w:div>
    <w:div w:id="1695308717">
      <w:bodyDiv w:val="1"/>
      <w:marLeft w:val="0"/>
      <w:marRight w:val="0"/>
      <w:marTop w:val="0"/>
      <w:marBottom w:val="0"/>
      <w:divBdr>
        <w:top w:val="none" w:sz="0" w:space="0" w:color="auto"/>
        <w:left w:val="none" w:sz="0" w:space="0" w:color="auto"/>
        <w:bottom w:val="none" w:sz="0" w:space="0" w:color="auto"/>
        <w:right w:val="none" w:sz="0" w:space="0" w:color="auto"/>
      </w:divBdr>
    </w:div>
    <w:div w:id="1696031926">
      <w:bodyDiv w:val="1"/>
      <w:marLeft w:val="0"/>
      <w:marRight w:val="0"/>
      <w:marTop w:val="0"/>
      <w:marBottom w:val="0"/>
      <w:divBdr>
        <w:top w:val="none" w:sz="0" w:space="0" w:color="auto"/>
        <w:left w:val="none" w:sz="0" w:space="0" w:color="auto"/>
        <w:bottom w:val="none" w:sz="0" w:space="0" w:color="auto"/>
        <w:right w:val="none" w:sz="0" w:space="0" w:color="auto"/>
      </w:divBdr>
    </w:div>
    <w:div w:id="1696350864">
      <w:bodyDiv w:val="1"/>
      <w:marLeft w:val="0"/>
      <w:marRight w:val="0"/>
      <w:marTop w:val="0"/>
      <w:marBottom w:val="0"/>
      <w:divBdr>
        <w:top w:val="none" w:sz="0" w:space="0" w:color="auto"/>
        <w:left w:val="none" w:sz="0" w:space="0" w:color="auto"/>
        <w:bottom w:val="none" w:sz="0" w:space="0" w:color="auto"/>
        <w:right w:val="none" w:sz="0" w:space="0" w:color="auto"/>
      </w:divBdr>
    </w:div>
    <w:div w:id="1696420604">
      <w:bodyDiv w:val="1"/>
      <w:marLeft w:val="0"/>
      <w:marRight w:val="0"/>
      <w:marTop w:val="0"/>
      <w:marBottom w:val="0"/>
      <w:divBdr>
        <w:top w:val="none" w:sz="0" w:space="0" w:color="auto"/>
        <w:left w:val="none" w:sz="0" w:space="0" w:color="auto"/>
        <w:bottom w:val="none" w:sz="0" w:space="0" w:color="auto"/>
        <w:right w:val="none" w:sz="0" w:space="0" w:color="auto"/>
      </w:divBdr>
    </w:div>
    <w:div w:id="1697072229">
      <w:bodyDiv w:val="1"/>
      <w:marLeft w:val="0"/>
      <w:marRight w:val="0"/>
      <w:marTop w:val="0"/>
      <w:marBottom w:val="0"/>
      <w:divBdr>
        <w:top w:val="none" w:sz="0" w:space="0" w:color="auto"/>
        <w:left w:val="none" w:sz="0" w:space="0" w:color="auto"/>
        <w:bottom w:val="none" w:sz="0" w:space="0" w:color="auto"/>
        <w:right w:val="none" w:sz="0" w:space="0" w:color="auto"/>
      </w:divBdr>
    </w:div>
    <w:div w:id="1697078419">
      <w:bodyDiv w:val="1"/>
      <w:marLeft w:val="0"/>
      <w:marRight w:val="0"/>
      <w:marTop w:val="0"/>
      <w:marBottom w:val="0"/>
      <w:divBdr>
        <w:top w:val="none" w:sz="0" w:space="0" w:color="auto"/>
        <w:left w:val="none" w:sz="0" w:space="0" w:color="auto"/>
        <w:bottom w:val="none" w:sz="0" w:space="0" w:color="auto"/>
        <w:right w:val="none" w:sz="0" w:space="0" w:color="auto"/>
      </w:divBdr>
    </w:div>
    <w:div w:id="1697343073">
      <w:bodyDiv w:val="1"/>
      <w:marLeft w:val="0"/>
      <w:marRight w:val="0"/>
      <w:marTop w:val="0"/>
      <w:marBottom w:val="0"/>
      <w:divBdr>
        <w:top w:val="none" w:sz="0" w:space="0" w:color="auto"/>
        <w:left w:val="none" w:sz="0" w:space="0" w:color="auto"/>
        <w:bottom w:val="none" w:sz="0" w:space="0" w:color="auto"/>
        <w:right w:val="none" w:sz="0" w:space="0" w:color="auto"/>
      </w:divBdr>
    </w:div>
    <w:div w:id="1697583218">
      <w:bodyDiv w:val="1"/>
      <w:marLeft w:val="0"/>
      <w:marRight w:val="0"/>
      <w:marTop w:val="0"/>
      <w:marBottom w:val="0"/>
      <w:divBdr>
        <w:top w:val="none" w:sz="0" w:space="0" w:color="auto"/>
        <w:left w:val="none" w:sz="0" w:space="0" w:color="auto"/>
        <w:bottom w:val="none" w:sz="0" w:space="0" w:color="auto"/>
        <w:right w:val="none" w:sz="0" w:space="0" w:color="auto"/>
      </w:divBdr>
    </w:div>
    <w:div w:id="1697728587">
      <w:bodyDiv w:val="1"/>
      <w:marLeft w:val="0"/>
      <w:marRight w:val="0"/>
      <w:marTop w:val="0"/>
      <w:marBottom w:val="0"/>
      <w:divBdr>
        <w:top w:val="none" w:sz="0" w:space="0" w:color="auto"/>
        <w:left w:val="none" w:sz="0" w:space="0" w:color="auto"/>
        <w:bottom w:val="none" w:sz="0" w:space="0" w:color="auto"/>
        <w:right w:val="none" w:sz="0" w:space="0" w:color="auto"/>
      </w:divBdr>
    </w:div>
    <w:div w:id="1697732015">
      <w:bodyDiv w:val="1"/>
      <w:marLeft w:val="0"/>
      <w:marRight w:val="0"/>
      <w:marTop w:val="0"/>
      <w:marBottom w:val="0"/>
      <w:divBdr>
        <w:top w:val="none" w:sz="0" w:space="0" w:color="auto"/>
        <w:left w:val="none" w:sz="0" w:space="0" w:color="auto"/>
        <w:bottom w:val="none" w:sz="0" w:space="0" w:color="auto"/>
        <w:right w:val="none" w:sz="0" w:space="0" w:color="auto"/>
      </w:divBdr>
    </w:div>
    <w:div w:id="1697852342">
      <w:bodyDiv w:val="1"/>
      <w:marLeft w:val="0"/>
      <w:marRight w:val="0"/>
      <w:marTop w:val="0"/>
      <w:marBottom w:val="0"/>
      <w:divBdr>
        <w:top w:val="none" w:sz="0" w:space="0" w:color="auto"/>
        <w:left w:val="none" w:sz="0" w:space="0" w:color="auto"/>
        <w:bottom w:val="none" w:sz="0" w:space="0" w:color="auto"/>
        <w:right w:val="none" w:sz="0" w:space="0" w:color="auto"/>
      </w:divBdr>
    </w:div>
    <w:div w:id="1698119140">
      <w:bodyDiv w:val="1"/>
      <w:marLeft w:val="0"/>
      <w:marRight w:val="0"/>
      <w:marTop w:val="0"/>
      <w:marBottom w:val="0"/>
      <w:divBdr>
        <w:top w:val="none" w:sz="0" w:space="0" w:color="auto"/>
        <w:left w:val="none" w:sz="0" w:space="0" w:color="auto"/>
        <w:bottom w:val="none" w:sz="0" w:space="0" w:color="auto"/>
        <w:right w:val="none" w:sz="0" w:space="0" w:color="auto"/>
      </w:divBdr>
    </w:div>
    <w:div w:id="1698382540">
      <w:bodyDiv w:val="1"/>
      <w:marLeft w:val="0"/>
      <w:marRight w:val="0"/>
      <w:marTop w:val="0"/>
      <w:marBottom w:val="0"/>
      <w:divBdr>
        <w:top w:val="none" w:sz="0" w:space="0" w:color="auto"/>
        <w:left w:val="none" w:sz="0" w:space="0" w:color="auto"/>
        <w:bottom w:val="none" w:sz="0" w:space="0" w:color="auto"/>
        <w:right w:val="none" w:sz="0" w:space="0" w:color="auto"/>
      </w:divBdr>
    </w:div>
    <w:div w:id="1698391718">
      <w:bodyDiv w:val="1"/>
      <w:marLeft w:val="0"/>
      <w:marRight w:val="0"/>
      <w:marTop w:val="0"/>
      <w:marBottom w:val="0"/>
      <w:divBdr>
        <w:top w:val="none" w:sz="0" w:space="0" w:color="auto"/>
        <w:left w:val="none" w:sz="0" w:space="0" w:color="auto"/>
        <w:bottom w:val="none" w:sz="0" w:space="0" w:color="auto"/>
        <w:right w:val="none" w:sz="0" w:space="0" w:color="auto"/>
      </w:divBdr>
    </w:div>
    <w:div w:id="1698850924">
      <w:bodyDiv w:val="1"/>
      <w:marLeft w:val="0"/>
      <w:marRight w:val="0"/>
      <w:marTop w:val="0"/>
      <w:marBottom w:val="0"/>
      <w:divBdr>
        <w:top w:val="none" w:sz="0" w:space="0" w:color="auto"/>
        <w:left w:val="none" w:sz="0" w:space="0" w:color="auto"/>
        <w:bottom w:val="none" w:sz="0" w:space="0" w:color="auto"/>
        <w:right w:val="none" w:sz="0" w:space="0" w:color="auto"/>
      </w:divBdr>
    </w:div>
    <w:div w:id="1699115566">
      <w:bodyDiv w:val="1"/>
      <w:marLeft w:val="0"/>
      <w:marRight w:val="0"/>
      <w:marTop w:val="0"/>
      <w:marBottom w:val="0"/>
      <w:divBdr>
        <w:top w:val="none" w:sz="0" w:space="0" w:color="auto"/>
        <w:left w:val="none" w:sz="0" w:space="0" w:color="auto"/>
        <w:bottom w:val="none" w:sz="0" w:space="0" w:color="auto"/>
        <w:right w:val="none" w:sz="0" w:space="0" w:color="auto"/>
      </w:divBdr>
    </w:div>
    <w:div w:id="1700857756">
      <w:bodyDiv w:val="1"/>
      <w:marLeft w:val="0"/>
      <w:marRight w:val="0"/>
      <w:marTop w:val="0"/>
      <w:marBottom w:val="0"/>
      <w:divBdr>
        <w:top w:val="none" w:sz="0" w:space="0" w:color="auto"/>
        <w:left w:val="none" w:sz="0" w:space="0" w:color="auto"/>
        <w:bottom w:val="none" w:sz="0" w:space="0" w:color="auto"/>
        <w:right w:val="none" w:sz="0" w:space="0" w:color="auto"/>
      </w:divBdr>
    </w:div>
    <w:div w:id="1700887365">
      <w:bodyDiv w:val="1"/>
      <w:marLeft w:val="0"/>
      <w:marRight w:val="0"/>
      <w:marTop w:val="0"/>
      <w:marBottom w:val="0"/>
      <w:divBdr>
        <w:top w:val="none" w:sz="0" w:space="0" w:color="auto"/>
        <w:left w:val="none" w:sz="0" w:space="0" w:color="auto"/>
        <w:bottom w:val="none" w:sz="0" w:space="0" w:color="auto"/>
        <w:right w:val="none" w:sz="0" w:space="0" w:color="auto"/>
      </w:divBdr>
    </w:div>
    <w:div w:id="1701123706">
      <w:bodyDiv w:val="1"/>
      <w:marLeft w:val="0"/>
      <w:marRight w:val="0"/>
      <w:marTop w:val="0"/>
      <w:marBottom w:val="0"/>
      <w:divBdr>
        <w:top w:val="none" w:sz="0" w:space="0" w:color="auto"/>
        <w:left w:val="none" w:sz="0" w:space="0" w:color="auto"/>
        <w:bottom w:val="none" w:sz="0" w:space="0" w:color="auto"/>
        <w:right w:val="none" w:sz="0" w:space="0" w:color="auto"/>
      </w:divBdr>
    </w:div>
    <w:div w:id="1701782215">
      <w:bodyDiv w:val="1"/>
      <w:marLeft w:val="0"/>
      <w:marRight w:val="0"/>
      <w:marTop w:val="0"/>
      <w:marBottom w:val="0"/>
      <w:divBdr>
        <w:top w:val="none" w:sz="0" w:space="0" w:color="auto"/>
        <w:left w:val="none" w:sz="0" w:space="0" w:color="auto"/>
        <w:bottom w:val="none" w:sz="0" w:space="0" w:color="auto"/>
        <w:right w:val="none" w:sz="0" w:space="0" w:color="auto"/>
      </w:divBdr>
    </w:div>
    <w:div w:id="1701934643">
      <w:bodyDiv w:val="1"/>
      <w:marLeft w:val="0"/>
      <w:marRight w:val="0"/>
      <w:marTop w:val="0"/>
      <w:marBottom w:val="0"/>
      <w:divBdr>
        <w:top w:val="none" w:sz="0" w:space="0" w:color="auto"/>
        <w:left w:val="none" w:sz="0" w:space="0" w:color="auto"/>
        <w:bottom w:val="none" w:sz="0" w:space="0" w:color="auto"/>
        <w:right w:val="none" w:sz="0" w:space="0" w:color="auto"/>
      </w:divBdr>
    </w:div>
    <w:div w:id="1701936277">
      <w:bodyDiv w:val="1"/>
      <w:marLeft w:val="0"/>
      <w:marRight w:val="0"/>
      <w:marTop w:val="0"/>
      <w:marBottom w:val="0"/>
      <w:divBdr>
        <w:top w:val="none" w:sz="0" w:space="0" w:color="auto"/>
        <w:left w:val="none" w:sz="0" w:space="0" w:color="auto"/>
        <w:bottom w:val="none" w:sz="0" w:space="0" w:color="auto"/>
        <w:right w:val="none" w:sz="0" w:space="0" w:color="auto"/>
      </w:divBdr>
    </w:div>
    <w:div w:id="1702047981">
      <w:bodyDiv w:val="1"/>
      <w:marLeft w:val="0"/>
      <w:marRight w:val="0"/>
      <w:marTop w:val="0"/>
      <w:marBottom w:val="0"/>
      <w:divBdr>
        <w:top w:val="none" w:sz="0" w:space="0" w:color="auto"/>
        <w:left w:val="none" w:sz="0" w:space="0" w:color="auto"/>
        <w:bottom w:val="none" w:sz="0" w:space="0" w:color="auto"/>
        <w:right w:val="none" w:sz="0" w:space="0" w:color="auto"/>
      </w:divBdr>
    </w:div>
    <w:div w:id="1702241807">
      <w:bodyDiv w:val="1"/>
      <w:marLeft w:val="0"/>
      <w:marRight w:val="0"/>
      <w:marTop w:val="0"/>
      <w:marBottom w:val="0"/>
      <w:divBdr>
        <w:top w:val="none" w:sz="0" w:space="0" w:color="auto"/>
        <w:left w:val="none" w:sz="0" w:space="0" w:color="auto"/>
        <w:bottom w:val="none" w:sz="0" w:space="0" w:color="auto"/>
        <w:right w:val="none" w:sz="0" w:space="0" w:color="auto"/>
      </w:divBdr>
    </w:div>
    <w:div w:id="1702510700">
      <w:bodyDiv w:val="1"/>
      <w:marLeft w:val="0"/>
      <w:marRight w:val="0"/>
      <w:marTop w:val="0"/>
      <w:marBottom w:val="0"/>
      <w:divBdr>
        <w:top w:val="none" w:sz="0" w:space="0" w:color="auto"/>
        <w:left w:val="none" w:sz="0" w:space="0" w:color="auto"/>
        <w:bottom w:val="none" w:sz="0" w:space="0" w:color="auto"/>
        <w:right w:val="none" w:sz="0" w:space="0" w:color="auto"/>
      </w:divBdr>
    </w:div>
    <w:div w:id="1702779109">
      <w:bodyDiv w:val="1"/>
      <w:marLeft w:val="0"/>
      <w:marRight w:val="0"/>
      <w:marTop w:val="0"/>
      <w:marBottom w:val="0"/>
      <w:divBdr>
        <w:top w:val="none" w:sz="0" w:space="0" w:color="auto"/>
        <w:left w:val="none" w:sz="0" w:space="0" w:color="auto"/>
        <w:bottom w:val="none" w:sz="0" w:space="0" w:color="auto"/>
        <w:right w:val="none" w:sz="0" w:space="0" w:color="auto"/>
      </w:divBdr>
    </w:div>
    <w:div w:id="1703288228">
      <w:bodyDiv w:val="1"/>
      <w:marLeft w:val="0"/>
      <w:marRight w:val="0"/>
      <w:marTop w:val="0"/>
      <w:marBottom w:val="0"/>
      <w:divBdr>
        <w:top w:val="none" w:sz="0" w:space="0" w:color="auto"/>
        <w:left w:val="none" w:sz="0" w:space="0" w:color="auto"/>
        <w:bottom w:val="none" w:sz="0" w:space="0" w:color="auto"/>
        <w:right w:val="none" w:sz="0" w:space="0" w:color="auto"/>
      </w:divBdr>
    </w:div>
    <w:div w:id="1704937878">
      <w:bodyDiv w:val="1"/>
      <w:marLeft w:val="0"/>
      <w:marRight w:val="0"/>
      <w:marTop w:val="0"/>
      <w:marBottom w:val="0"/>
      <w:divBdr>
        <w:top w:val="none" w:sz="0" w:space="0" w:color="auto"/>
        <w:left w:val="none" w:sz="0" w:space="0" w:color="auto"/>
        <w:bottom w:val="none" w:sz="0" w:space="0" w:color="auto"/>
        <w:right w:val="none" w:sz="0" w:space="0" w:color="auto"/>
      </w:divBdr>
    </w:div>
    <w:div w:id="1705129617">
      <w:bodyDiv w:val="1"/>
      <w:marLeft w:val="0"/>
      <w:marRight w:val="0"/>
      <w:marTop w:val="0"/>
      <w:marBottom w:val="0"/>
      <w:divBdr>
        <w:top w:val="none" w:sz="0" w:space="0" w:color="auto"/>
        <w:left w:val="none" w:sz="0" w:space="0" w:color="auto"/>
        <w:bottom w:val="none" w:sz="0" w:space="0" w:color="auto"/>
        <w:right w:val="none" w:sz="0" w:space="0" w:color="auto"/>
      </w:divBdr>
    </w:div>
    <w:div w:id="1705131140">
      <w:bodyDiv w:val="1"/>
      <w:marLeft w:val="0"/>
      <w:marRight w:val="0"/>
      <w:marTop w:val="0"/>
      <w:marBottom w:val="0"/>
      <w:divBdr>
        <w:top w:val="none" w:sz="0" w:space="0" w:color="auto"/>
        <w:left w:val="none" w:sz="0" w:space="0" w:color="auto"/>
        <w:bottom w:val="none" w:sz="0" w:space="0" w:color="auto"/>
        <w:right w:val="none" w:sz="0" w:space="0" w:color="auto"/>
      </w:divBdr>
    </w:div>
    <w:div w:id="1705255960">
      <w:bodyDiv w:val="1"/>
      <w:marLeft w:val="0"/>
      <w:marRight w:val="0"/>
      <w:marTop w:val="0"/>
      <w:marBottom w:val="0"/>
      <w:divBdr>
        <w:top w:val="none" w:sz="0" w:space="0" w:color="auto"/>
        <w:left w:val="none" w:sz="0" w:space="0" w:color="auto"/>
        <w:bottom w:val="none" w:sz="0" w:space="0" w:color="auto"/>
        <w:right w:val="none" w:sz="0" w:space="0" w:color="auto"/>
      </w:divBdr>
    </w:div>
    <w:div w:id="1705866558">
      <w:bodyDiv w:val="1"/>
      <w:marLeft w:val="0"/>
      <w:marRight w:val="0"/>
      <w:marTop w:val="0"/>
      <w:marBottom w:val="0"/>
      <w:divBdr>
        <w:top w:val="none" w:sz="0" w:space="0" w:color="auto"/>
        <w:left w:val="none" w:sz="0" w:space="0" w:color="auto"/>
        <w:bottom w:val="none" w:sz="0" w:space="0" w:color="auto"/>
        <w:right w:val="none" w:sz="0" w:space="0" w:color="auto"/>
      </w:divBdr>
    </w:div>
    <w:div w:id="1706100719">
      <w:bodyDiv w:val="1"/>
      <w:marLeft w:val="0"/>
      <w:marRight w:val="0"/>
      <w:marTop w:val="0"/>
      <w:marBottom w:val="0"/>
      <w:divBdr>
        <w:top w:val="none" w:sz="0" w:space="0" w:color="auto"/>
        <w:left w:val="none" w:sz="0" w:space="0" w:color="auto"/>
        <w:bottom w:val="none" w:sz="0" w:space="0" w:color="auto"/>
        <w:right w:val="none" w:sz="0" w:space="0" w:color="auto"/>
      </w:divBdr>
    </w:div>
    <w:div w:id="1706632613">
      <w:bodyDiv w:val="1"/>
      <w:marLeft w:val="0"/>
      <w:marRight w:val="0"/>
      <w:marTop w:val="0"/>
      <w:marBottom w:val="0"/>
      <w:divBdr>
        <w:top w:val="none" w:sz="0" w:space="0" w:color="auto"/>
        <w:left w:val="none" w:sz="0" w:space="0" w:color="auto"/>
        <w:bottom w:val="none" w:sz="0" w:space="0" w:color="auto"/>
        <w:right w:val="none" w:sz="0" w:space="0" w:color="auto"/>
      </w:divBdr>
    </w:div>
    <w:div w:id="1707216091">
      <w:bodyDiv w:val="1"/>
      <w:marLeft w:val="0"/>
      <w:marRight w:val="0"/>
      <w:marTop w:val="0"/>
      <w:marBottom w:val="0"/>
      <w:divBdr>
        <w:top w:val="none" w:sz="0" w:space="0" w:color="auto"/>
        <w:left w:val="none" w:sz="0" w:space="0" w:color="auto"/>
        <w:bottom w:val="none" w:sz="0" w:space="0" w:color="auto"/>
        <w:right w:val="none" w:sz="0" w:space="0" w:color="auto"/>
      </w:divBdr>
    </w:div>
    <w:div w:id="1708682251">
      <w:bodyDiv w:val="1"/>
      <w:marLeft w:val="0"/>
      <w:marRight w:val="0"/>
      <w:marTop w:val="0"/>
      <w:marBottom w:val="0"/>
      <w:divBdr>
        <w:top w:val="none" w:sz="0" w:space="0" w:color="auto"/>
        <w:left w:val="none" w:sz="0" w:space="0" w:color="auto"/>
        <w:bottom w:val="none" w:sz="0" w:space="0" w:color="auto"/>
        <w:right w:val="none" w:sz="0" w:space="0" w:color="auto"/>
      </w:divBdr>
    </w:div>
    <w:div w:id="1708867009">
      <w:bodyDiv w:val="1"/>
      <w:marLeft w:val="0"/>
      <w:marRight w:val="0"/>
      <w:marTop w:val="0"/>
      <w:marBottom w:val="0"/>
      <w:divBdr>
        <w:top w:val="none" w:sz="0" w:space="0" w:color="auto"/>
        <w:left w:val="none" w:sz="0" w:space="0" w:color="auto"/>
        <w:bottom w:val="none" w:sz="0" w:space="0" w:color="auto"/>
        <w:right w:val="none" w:sz="0" w:space="0" w:color="auto"/>
      </w:divBdr>
    </w:div>
    <w:div w:id="1709603794">
      <w:bodyDiv w:val="1"/>
      <w:marLeft w:val="0"/>
      <w:marRight w:val="0"/>
      <w:marTop w:val="0"/>
      <w:marBottom w:val="0"/>
      <w:divBdr>
        <w:top w:val="none" w:sz="0" w:space="0" w:color="auto"/>
        <w:left w:val="none" w:sz="0" w:space="0" w:color="auto"/>
        <w:bottom w:val="none" w:sz="0" w:space="0" w:color="auto"/>
        <w:right w:val="none" w:sz="0" w:space="0" w:color="auto"/>
      </w:divBdr>
    </w:div>
    <w:div w:id="1710569068">
      <w:bodyDiv w:val="1"/>
      <w:marLeft w:val="0"/>
      <w:marRight w:val="0"/>
      <w:marTop w:val="0"/>
      <w:marBottom w:val="0"/>
      <w:divBdr>
        <w:top w:val="none" w:sz="0" w:space="0" w:color="auto"/>
        <w:left w:val="none" w:sz="0" w:space="0" w:color="auto"/>
        <w:bottom w:val="none" w:sz="0" w:space="0" w:color="auto"/>
        <w:right w:val="none" w:sz="0" w:space="0" w:color="auto"/>
      </w:divBdr>
    </w:div>
    <w:div w:id="1710835598">
      <w:bodyDiv w:val="1"/>
      <w:marLeft w:val="0"/>
      <w:marRight w:val="0"/>
      <w:marTop w:val="0"/>
      <w:marBottom w:val="0"/>
      <w:divBdr>
        <w:top w:val="none" w:sz="0" w:space="0" w:color="auto"/>
        <w:left w:val="none" w:sz="0" w:space="0" w:color="auto"/>
        <w:bottom w:val="none" w:sz="0" w:space="0" w:color="auto"/>
        <w:right w:val="none" w:sz="0" w:space="0" w:color="auto"/>
      </w:divBdr>
    </w:div>
    <w:div w:id="1711031517">
      <w:bodyDiv w:val="1"/>
      <w:marLeft w:val="0"/>
      <w:marRight w:val="0"/>
      <w:marTop w:val="0"/>
      <w:marBottom w:val="0"/>
      <w:divBdr>
        <w:top w:val="none" w:sz="0" w:space="0" w:color="auto"/>
        <w:left w:val="none" w:sz="0" w:space="0" w:color="auto"/>
        <w:bottom w:val="none" w:sz="0" w:space="0" w:color="auto"/>
        <w:right w:val="none" w:sz="0" w:space="0" w:color="auto"/>
      </w:divBdr>
    </w:div>
    <w:div w:id="1711805407">
      <w:bodyDiv w:val="1"/>
      <w:marLeft w:val="0"/>
      <w:marRight w:val="0"/>
      <w:marTop w:val="0"/>
      <w:marBottom w:val="0"/>
      <w:divBdr>
        <w:top w:val="none" w:sz="0" w:space="0" w:color="auto"/>
        <w:left w:val="none" w:sz="0" w:space="0" w:color="auto"/>
        <w:bottom w:val="none" w:sz="0" w:space="0" w:color="auto"/>
        <w:right w:val="none" w:sz="0" w:space="0" w:color="auto"/>
      </w:divBdr>
    </w:div>
    <w:div w:id="1712806813">
      <w:bodyDiv w:val="1"/>
      <w:marLeft w:val="0"/>
      <w:marRight w:val="0"/>
      <w:marTop w:val="0"/>
      <w:marBottom w:val="0"/>
      <w:divBdr>
        <w:top w:val="none" w:sz="0" w:space="0" w:color="auto"/>
        <w:left w:val="none" w:sz="0" w:space="0" w:color="auto"/>
        <w:bottom w:val="none" w:sz="0" w:space="0" w:color="auto"/>
        <w:right w:val="none" w:sz="0" w:space="0" w:color="auto"/>
      </w:divBdr>
    </w:div>
    <w:div w:id="1712806988">
      <w:bodyDiv w:val="1"/>
      <w:marLeft w:val="0"/>
      <w:marRight w:val="0"/>
      <w:marTop w:val="0"/>
      <w:marBottom w:val="0"/>
      <w:divBdr>
        <w:top w:val="none" w:sz="0" w:space="0" w:color="auto"/>
        <w:left w:val="none" w:sz="0" w:space="0" w:color="auto"/>
        <w:bottom w:val="none" w:sz="0" w:space="0" w:color="auto"/>
        <w:right w:val="none" w:sz="0" w:space="0" w:color="auto"/>
      </w:divBdr>
    </w:div>
    <w:div w:id="1712925955">
      <w:bodyDiv w:val="1"/>
      <w:marLeft w:val="0"/>
      <w:marRight w:val="0"/>
      <w:marTop w:val="0"/>
      <w:marBottom w:val="0"/>
      <w:divBdr>
        <w:top w:val="none" w:sz="0" w:space="0" w:color="auto"/>
        <w:left w:val="none" w:sz="0" w:space="0" w:color="auto"/>
        <w:bottom w:val="none" w:sz="0" w:space="0" w:color="auto"/>
        <w:right w:val="none" w:sz="0" w:space="0" w:color="auto"/>
      </w:divBdr>
    </w:div>
    <w:div w:id="1713265383">
      <w:bodyDiv w:val="1"/>
      <w:marLeft w:val="0"/>
      <w:marRight w:val="0"/>
      <w:marTop w:val="0"/>
      <w:marBottom w:val="0"/>
      <w:divBdr>
        <w:top w:val="none" w:sz="0" w:space="0" w:color="auto"/>
        <w:left w:val="none" w:sz="0" w:space="0" w:color="auto"/>
        <w:bottom w:val="none" w:sz="0" w:space="0" w:color="auto"/>
        <w:right w:val="none" w:sz="0" w:space="0" w:color="auto"/>
      </w:divBdr>
    </w:div>
    <w:div w:id="1713577666">
      <w:bodyDiv w:val="1"/>
      <w:marLeft w:val="0"/>
      <w:marRight w:val="0"/>
      <w:marTop w:val="0"/>
      <w:marBottom w:val="0"/>
      <w:divBdr>
        <w:top w:val="none" w:sz="0" w:space="0" w:color="auto"/>
        <w:left w:val="none" w:sz="0" w:space="0" w:color="auto"/>
        <w:bottom w:val="none" w:sz="0" w:space="0" w:color="auto"/>
        <w:right w:val="none" w:sz="0" w:space="0" w:color="auto"/>
      </w:divBdr>
    </w:div>
    <w:div w:id="1713653534">
      <w:bodyDiv w:val="1"/>
      <w:marLeft w:val="0"/>
      <w:marRight w:val="0"/>
      <w:marTop w:val="0"/>
      <w:marBottom w:val="0"/>
      <w:divBdr>
        <w:top w:val="none" w:sz="0" w:space="0" w:color="auto"/>
        <w:left w:val="none" w:sz="0" w:space="0" w:color="auto"/>
        <w:bottom w:val="none" w:sz="0" w:space="0" w:color="auto"/>
        <w:right w:val="none" w:sz="0" w:space="0" w:color="auto"/>
      </w:divBdr>
    </w:div>
    <w:div w:id="1713725307">
      <w:bodyDiv w:val="1"/>
      <w:marLeft w:val="0"/>
      <w:marRight w:val="0"/>
      <w:marTop w:val="0"/>
      <w:marBottom w:val="0"/>
      <w:divBdr>
        <w:top w:val="none" w:sz="0" w:space="0" w:color="auto"/>
        <w:left w:val="none" w:sz="0" w:space="0" w:color="auto"/>
        <w:bottom w:val="none" w:sz="0" w:space="0" w:color="auto"/>
        <w:right w:val="none" w:sz="0" w:space="0" w:color="auto"/>
      </w:divBdr>
    </w:div>
    <w:div w:id="1713728831">
      <w:bodyDiv w:val="1"/>
      <w:marLeft w:val="0"/>
      <w:marRight w:val="0"/>
      <w:marTop w:val="0"/>
      <w:marBottom w:val="0"/>
      <w:divBdr>
        <w:top w:val="none" w:sz="0" w:space="0" w:color="auto"/>
        <w:left w:val="none" w:sz="0" w:space="0" w:color="auto"/>
        <w:bottom w:val="none" w:sz="0" w:space="0" w:color="auto"/>
        <w:right w:val="none" w:sz="0" w:space="0" w:color="auto"/>
      </w:divBdr>
    </w:div>
    <w:div w:id="1713769269">
      <w:bodyDiv w:val="1"/>
      <w:marLeft w:val="0"/>
      <w:marRight w:val="0"/>
      <w:marTop w:val="0"/>
      <w:marBottom w:val="0"/>
      <w:divBdr>
        <w:top w:val="none" w:sz="0" w:space="0" w:color="auto"/>
        <w:left w:val="none" w:sz="0" w:space="0" w:color="auto"/>
        <w:bottom w:val="none" w:sz="0" w:space="0" w:color="auto"/>
        <w:right w:val="none" w:sz="0" w:space="0" w:color="auto"/>
      </w:divBdr>
    </w:div>
    <w:div w:id="1713965373">
      <w:bodyDiv w:val="1"/>
      <w:marLeft w:val="0"/>
      <w:marRight w:val="0"/>
      <w:marTop w:val="0"/>
      <w:marBottom w:val="0"/>
      <w:divBdr>
        <w:top w:val="none" w:sz="0" w:space="0" w:color="auto"/>
        <w:left w:val="none" w:sz="0" w:space="0" w:color="auto"/>
        <w:bottom w:val="none" w:sz="0" w:space="0" w:color="auto"/>
        <w:right w:val="none" w:sz="0" w:space="0" w:color="auto"/>
      </w:divBdr>
    </w:div>
    <w:div w:id="1714495398">
      <w:bodyDiv w:val="1"/>
      <w:marLeft w:val="0"/>
      <w:marRight w:val="0"/>
      <w:marTop w:val="0"/>
      <w:marBottom w:val="0"/>
      <w:divBdr>
        <w:top w:val="none" w:sz="0" w:space="0" w:color="auto"/>
        <w:left w:val="none" w:sz="0" w:space="0" w:color="auto"/>
        <w:bottom w:val="none" w:sz="0" w:space="0" w:color="auto"/>
        <w:right w:val="none" w:sz="0" w:space="0" w:color="auto"/>
      </w:divBdr>
    </w:div>
    <w:div w:id="1714500667">
      <w:bodyDiv w:val="1"/>
      <w:marLeft w:val="0"/>
      <w:marRight w:val="0"/>
      <w:marTop w:val="0"/>
      <w:marBottom w:val="0"/>
      <w:divBdr>
        <w:top w:val="none" w:sz="0" w:space="0" w:color="auto"/>
        <w:left w:val="none" w:sz="0" w:space="0" w:color="auto"/>
        <w:bottom w:val="none" w:sz="0" w:space="0" w:color="auto"/>
        <w:right w:val="none" w:sz="0" w:space="0" w:color="auto"/>
      </w:divBdr>
    </w:div>
    <w:div w:id="1715233278">
      <w:bodyDiv w:val="1"/>
      <w:marLeft w:val="0"/>
      <w:marRight w:val="0"/>
      <w:marTop w:val="0"/>
      <w:marBottom w:val="0"/>
      <w:divBdr>
        <w:top w:val="none" w:sz="0" w:space="0" w:color="auto"/>
        <w:left w:val="none" w:sz="0" w:space="0" w:color="auto"/>
        <w:bottom w:val="none" w:sz="0" w:space="0" w:color="auto"/>
        <w:right w:val="none" w:sz="0" w:space="0" w:color="auto"/>
      </w:divBdr>
    </w:div>
    <w:div w:id="1716924027">
      <w:bodyDiv w:val="1"/>
      <w:marLeft w:val="0"/>
      <w:marRight w:val="0"/>
      <w:marTop w:val="0"/>
      <w:marBottom w:val="0"/>
      <w:divBdr>
        <w:top w:val="none" w:sz="0" w:space="0" w:color="auto"/>
        <w:left w:val="none" w:sz="0" w:space="0" w:color="auto"/>
        <w:bottom w:val="none" w:sz="0" w:space="0" w:color="auto"/>
        <w:right w:val="none" w:sz="0" w:space="0" w:color="auto"/>
      </w:divBdr>
    </w:div>
    <w:div w:id="1717116833">
      <w:bodyDiv w:val="1"/>
      <w:marLeft w:val="0"/>
      <w:marRight w:val="0"/>
      <w:marTop w:val="0"/>
      <w:marBottom w:val="0"/>
      <w:divBdr>
        <w:top w:val="none" w:sz="0" w:space="0" w:color="auto"/>
        <w:left w:val="none" w:sz="0" w:space="0" w:color="auto"/>
        <w:bottom w:val="none" w:sz="0" w:space="0" w:color="auto"/>
        <w:right w:val="none" w:sz="0" w:space="0" w:color="auto"/>
      </w:divBdr>
    </w:div>
    <w:div w:id="1717120470">
      <w:bodyDiv w:val="1"/>
      <w:marLeft w:val="0"/>
      <w:marRight w:val="0"/>
      <w:marTop w:val="0"/>
      <w:marBottom w:val="0"/>
      <w:divBdr>
        <w:top w:val="none" w:sz="0" w:space="0" w:color="auto"/>
        <w:left w:val="none" w:sz="0" w:space="0" w:color="auto"/>
        <w:bottom w:val="none" w:sz="0" w:space="0" w:color="auto"/>
        <w:right w:val="none" w:sz="0" w:space="0" w:color="auto"/>
      </w:divBdr>
    </w:div>
    <w:div w:id="1717319233">
      <w:bodyDiv w:val="1"/>
      <w:marLeft w:val="0"/>
      <w:marRight w:val="0"/>
      <w:marTop w:val="0"/>
      <w:marBottom w:val="0"/>
      <w:divBdr>
        <w:top w:val="none" w:sz="0" w:space="0" w:color="auto"/>
        <w:left w:val="none" w:sz="0" w:space="0" w:color="auto"/>
        <w:bottom w:val="none" w:sz="0" w:space="0" w:color="auto"/>
        <w:right w:val="none" w:sz="0" w:space="0" w:color="auto"/>
      </w:divBdr>
    </w:div>
    <w:div w:id="1717772426">
      <w:bodyDiv w:val="1"/>
      <w:marLeft w:val="0"/>
      <w:marRight w:val="0"/>
      <w:marTop w:val="0"/>
      <w:marBottom w:val="0"/>
      <w:divBdr>
        <w:top w:val="none" w:sz="0" w:space="0" w:color="auto"/>
        <w:left w:val="none" w:sz="0" w:space="0" w:color="auto"/>
        <w:bottom w:val="none" w:sz="0" w:space="0" w:color="auto"/>
        <w:right w:val="none" w:sz="0" w:space="0" w:color="auto"/>
      </w:divBdr>
    </w:div>
    <w:div w:id="1717849992">
      <w:bodyDiv w:val="1"/>
      <w:marLeft w:val="0"/>
      <w:marRight w:val="0"/>
      <w:marTop w:val="0"/>
      <w:marBottom w:val="0"/>
      <w:divBdr>
        <w:top w:val="none" w:sz="0" w:space="0" w:color="auto"/>
        <w:left w:val="none" w:sz="0" w:space="0" w:color="auto"/>
        <w:bottom w:val="none" w:sz="0" w:space="0" w:color="auto"/>
        <w:right w:val="none" w:sz="0" w:space="0" w:color="auto"/>
      </w:divBdr>
    </w:div>
    <w:div w:id="1717922648">
      <w:bodyDiv w:val="1"/>
      <w:marLeft w:val="0"/>
      <w:marRight w:val="0"/>
      <w:marTop w:val="0"/>
      <w:marBottom w:val="0"/>
      <w:divBdr>
        <w:top w:val="none" w:sz="0" w:space="0" w:color="auto"/>
        <w:left w:val="none" w:sz="0" w:space="0" w:color="auto"/>
        <w:bottom w:val="none" w:sz="0" w:space="0" w:color="auto"/>
        <w:right w:val="none" w:sz="0" w:space="0" w:color="auto"/>
      </w:divBdr>
    </w:div>
    <w:div w:id="1718433395">
      <w:bodyDiv w:val="1"/>
      <w:marLeft w:val="0"/>
      <w:marRight w:val="0"/>
      <w:marTop w:val="0"/>
      <w:marBottom w:val="0"/>
      <w:divBdr>
        <w:top w:val="none" w:sz="0" w:space="0" w:color="auto"/>
        <w:left w:val="none" w:sz="0" w:space="0" w:color="auto"/>
        <w:bottom w:val="none" w:sz="0" w:space="0" w:color="auto"/>
        <w:right w:val="none" w:sz="0" w:space="0" w:color="auto"/>
      </w:divBdr>
    </w:div>
    <w:div w:id="1718623869">
      <w:bodyDiv w:val="1"/>
      <w:marLeft w:val="0"/>
      <w:marRight w:val="0"/>
      <w:marTop w:val="0"/>
      <w:marBottom w:val="0"/>
      <w:divBdr>
        <w:top w:val="none" w:sz="0" w:space="0" w:color="auto"/>
        <w:left w:val="none" w:sz="0" w:space="0" w:color="auto"/>
        <w:bottom w:val="none" w:sz="0" w:space="0" w:color="auto"/>
        <w:right w:val="none" w:sz="0" w:space="0" w:color="auto"/>
      </w:divBdr>
    </w:div>
    <w:div w:id="1719161950">
      <w:bodyDiv w:val="1"/>
      <w:marLeft w:val="0"/>
      <w:marRight w:val="0"/>
      <w:marTop w:val="0"/>
      <w:marBottom w:val="0"/>
      <w:divBdr>
        <w:top w:val="none" w:sz="0" w:space="0" w:color="auto"/>
        <w:left w:val="none" w:sz="0" w:space="0" w:color="auto"/>
        <w:bottom w:val="none" w:sz="0" w:space="0" w:color="auto"/>
        <w:right w:val="none" w:sz="0" w:space="0" w:color="auto"/>
      </w:divBdr>
    </w:div>
    <w:div w:id="1719547091">
      <w:bodyDiv w:val="1"/>
      <w:marLeft w:val="0"/>
      <w:marRight w:val="0"/>
      <w:marTop w:val="0"/>
      <w:marBottom w:val="0"/>
      <w:divBdr>
        <w:top w:val="none" w:sz="0" w:space="0" w:color="auto"/>
        <w:left w:val="none" w:sz="0" w:space="0" w:color="auto"/>
        <w:bottom w:val="none" w:sz="0" w:space="0" w:color="auto"/>
        <w:right w:val="none" w:sz="0" w:space="0" w:color="auto"/>
      </w:divBdr>
    </w:div>
    <w:div w:id="1719552326">
      <w:bodyDiv w:val="1"/>
      <w:marLeft w:val="0"/>
      <w:marRight w:val="0"/>
      <w:marTop w:val="0"/>
      <w:marBottom w:val="0"/>
      <w:divBdr>
        <w:top w:val="none" w:sz="0" w:space="0" w:color="auto"/>
        <w:left w:val="none" w:sz="0" w:space="0" w:color="auto"/>
        <w:bottom w:val="none" w:sz="0" w:space="0" w:color="auto"/>
        <w:right w:val="none" w:sz="0" w:space="0" w:color="auto"/>
      </w:divBdr>
    </w:div>
    <w:div w:id="1719619627">
      <w:bodyDiv w:val="1"/>
      <w:marLeft w:val="0"/>
      <w:marRight w:val="0"/>
      <w:marTop w:val="0"/>
      <w:marBottom w:val="0"/>
      <w:divBdr>
        <w:top w:val="none" w:sz="0" w:space="0" w:color="auto"/>
        <w:left w:val="none" w:sz="0" w:space="0" w:color="auto"/>
        <w:bottom w:val="none" w:sz="0" w:space="0" w:color="auto"/>
        <w:right w:val="none" w:sz="0" w:space="0" w:color="auto"/>
      </w:divBdr>
    </w:div>
    <w:div w:id="1719625354">
      <w:bodyDiv w:val="1"/>
      <w:marLeft w:val="0"/>
      <w:marRight w:val="0"/>
      <w:marTop w:val="0"/>
      <w:marBottom w:val="0"/>
      <w:divBdr>
        <w:top w:val="none" w:sz="0" w:space="0" w:color="auto"/>
        <w:left w:val="none" w:sz="0" w:space="0" w:color="auto"/>
        <w:bottom w:val="none" w:sz="0" w:space="0" w:color="auto"/>
        <w:right w:val="none" w:sz="0" w:space="0" w:color="auto"/>
      </w:divBdr>
    </w:div>
    <w:div w:id="1720086723">
      <w:bodyDiv w:val="1"/>
      <w:marLeft w:val="0"/>
      <w:marRight w:val="0"/>
      <w:marTop w:val="0"/>
      <w:marBottom w:val="0"/>
      <w:divBdr>
        <w:top w:val="none" w:sz="0" w:space="0" w:color="auto"/>
        <w:left w:val="none" w:sz="0" w:space="0" w:color="auto"/>
        <w:bottom w:val="none" w:sz="0" w:space="0" w:color="auto"/>
        <w:right w:val="none" w:sz="0" w:space="0" w:color="auto"/>
      </w:divBdr>
    </w:div>
    <w:div w:id="1720132537">
      <w:bodyDiv w:val="1"/>
      <w:marLeft w:val="0"/>
      <w:marRight w:val="0"/>
      <w:marTop w:val="0"/>
      <w:marBottom w:val="0"/>
      <w:divBdr>
        <w:top w:val="none" w:sz="0" w:space="0" w:color="auto"/>
        <w:left w:val="none" w:sz="0" w:space="0" w:color="auto"/>
        <w:bottom w:val="none" w:sz="0" w:space="0" w:color="auto"/>
        <w:right w:val="none" w:sz="0" w:space="0" w:color="auto"/>
      </w:divBdr>
    </w:div>
    <w:div w:id="1720203414">
      <w:bodyDiv w:val="1"/>
      <w:marLeft w:val="0"/>
      <w:marRight w:val="0"/>
      <w:marTop w:val="0"/>
      <w:marBottom w:val="0"/>
      <w:divBdr>
        <w:top w:val="none" w:sz="0" w:space="0" w:color="auto"/>
        <w:left w:val="none" w:sz="0" w:space="0" w:color="auto"/>
        <w:bottom w:val="none" w:sz="0" w:space="0" w:color="auto"/>
        <w:right w:val="none" w:sz="0" w:space="0" w:color="auto"/>
      </w:divBdr>
    </w:div>
    <w:div w:id="1720206577">
      <w:bodyDiv w:val="1"/>
      <w:marLeft w:val="0"/>
      <w:marRight w:val="0"/>
      <w:marTop w:val="0"/>
      <w:marBottom w:val="0"/>
      <w:divBdr>
        <w:top w:val="none" w:sz="0" w:space="0" w:color="auto"/>
        <w:left w:val="none" w:sz="0" w:space="0" w:color="auto"/>
        <w:bottom w:val="none" w:sz="0" w:space="0" w:color="auto"/>
        <w:right w:val="none" w:sz="0" w:space="0" w:color="auto"/>
      </w:divBdr>
    </w:div>
    <w:div w:id="1720468817">
      <w:bodyDiv w:val="1"/>
      <w:marLeft w:val="0"/>
      <w:marRight w:val="0"/>
      <w:marTop w:val="0"/>
      <w:marBottom w:val="0"/>
      <w:divBdr>
        <w:top w:val="none" w:sz="0" w:space="0" w:color="auto"/>
        <w:left w:val="none" w:sz="0" w:space="0" w:color="auto"/>
        <w:bottom w:val="none" w:sz="0" w:space="0" w:color="auto"/>
        <w:right w:val="none" w:sz="0" w:space="0" w:color="auto"/>
      </w:divBdr>
    </w:div>
    <w:div w:id="1720781958">
      <w:bodyDiv w:val="1"/>
      <w:marLeft w:val="0"/>
      <w:marRight w:val="0"/>
      <w:marTop w:val="0"/>
      <w:marBottom w:val="0"/>
      <w:divBdr>
        <w:top w:val="none" w:sz="0" w:space="0" w:color="auto"/>
        <w:left w:val="none" w:sz="0" w:space="0" w:color="auto"/>
        <w:bottom w:val="none" w:sz="0" w:space="0" w:color="auto"/>
        <w:right w:val="none" w:sz="0" w:space="0" w:color="auto"/>
      </w:divBdr>
    </w:div>
    <w:div w:id="1720785997">
      <w:bodyDiv w:val="1"/>
      <w:marLeft w:val="0"/>
      <w:marRight w:val="0"/>
      <w:marTop w:val="0"/>
      <w:marBottom w:val="0"/>
      <w:divBdr>
        <w:top w:val="none" w:sz="0" w:space="0" w:color="auto"/>
        <w:left w:val="none" w:sz="0" w:space="0" w:color="auto"/>
        <w:bottom w:val="none" w:sz="0" w:space="0" w:color="auto"/>
        <w:right w:val="none" w:sz="0" w:space="0" w:color="auto"/>
      </w:divBdr>
    </w:div>
    <w:div w:id="1721057839">
      <w:bodyDiv w:val="1"/>
      <w:marLeft w:val="0"/>
      <w:marRight w:val="0"/>
      <w:marTop w:val="0"/>
      <w:marBottom w:val="0"/>
      <w:divBdr>
        <w:top w:val="none" w:sz="0" w:space="0" w:color="auto"/>
        <w:left w:val="none" w:sz="0" w:space="0" w:color="auto"/>
        <w:bottom w:val="none" w:sz="0" w:space="0" w:color="auto"/>
        <w:right w:val="none" w:sz="0" w:space="0" w:color="auto"/>
      </w:divBdr>
    </w:div>
    <w:div w:id="1721631162">
      <w:bodyDiv w:val="1"/>
      <w:marLeft w:val="0"/>
      <w:marRight w:val="0"/>
      <w:marTop w:val="0"/>
      <w:marBottom w:val="0"/>
      <w:divBdr>
        <w:top w:val="none" w:sz="0" w:space="0" w:color="auto"/>
        <w:left w:val="none" w:sz="0" w:space="0" w:color="auto"/>
        <w:bottom w:val="none" w:sz="0" w:space="0" w:color="auto"/>
        <w:right w:val="none" w:sz="0" w:space="0" w:color="auto"/>
      </w:divBdr>
    </w:div>
    <w:div w:id="1721905323">
      <w:bodyDiv w:val="1"/>
      <w:marLeft w:val="0"/>
      <w:marRight w:val="0"/>
      <w:marTop w:val="0"/>
      <w:marBottom w:val="0"/>
      <w:divBdr>
        <w:top w:val="none" w:sz="0" w:space="0" w:color="auto"/>
        <w:left w:val="none" w:sz="0" w:space="0" w:color="auto"/>
        <w:bottom w:val="none" w:sz="0" w:space="0" w:color="auto"/>
        <w:right w:val="none" w:sz="0" w:space="0" w:color="auto"/>
      </w:divBdr>
    </w:div>
    <w:div w:id="1721978152">
      <w:bodyDiv w:val="1"/>
      <w:marLeft w:val="0"/>
      <w:marRight w:val="0"/>
      <w:marTop w:val="0"/>
      <w:marBottom w:val="0"/>
      <w:divBdr>
        <w:top w:val="none" w:sz="0" w:space="0" w:color="auto"/>
        <w:left w:val="none" w:sz="0" w:space="0" w:color="auto"/>
        <w:bottom w:val="none" w:sz="0" w:space="0" w:color="auto"/>
        <w:right w:val="none" w:sz="0" w:space="0" w:color="auto"/>
      </w:divBdr>
    </w:div>
    <w:div w:id="1722170789">
      <w:bodyDiv w:val="1"/>
      <w:marLeft w:val="0"/>
      <w:marRight w:val="0"/>
      <w:marTop w:val="0"/>
      <w:marBottom w:val="0"/>
      <w:divBdr>
        <w:top w:val="none" w:sz="0" w:space="0" w:color="auto"/>
        <w:left w:val="none" w:sz="0" w:space="0" w:color="auto"/>
        <w:bottom w:val="none" w:sz="0" w:space="0" w:color="auto"/>
        <w:right w:val="none" w:sz="0" w:space="0" w:color="auto"/>
      </w:divBdr>
    </w:div>
    <w:div w:id="1722440136">
      <w:bodyDiv w:val="1"/>
      <w:marLeft w:val="0"/>
      <w:marRight w:val="0"/>
      <w:marTop w:val="0"/>
      <w:marBottom w:val="0"/>
      <w:divBdr>
        <w:top w:val="none" w:sz="0" w:space="0" w:color="auto"/>
        <w:left w:val="none" w:sz="0" w:space="0" w:color="auto"/>
        <w:bottom w:val="none" w:sz="0" w:space="0" w:color="auto"/>
        <w:right w:val="none" w:sz="0" w:space="0" w:color="auto"/>
      </w:divBdr>
    </w:div>
    <w:div w:id="1723406805">
      <w:bodyDiv w:val="1"/>
      <w:marLeft w:val="0"/>
      <w:marRight w:val="0"/>
      <w:marTop w:val="0"/>
      <w:marBottom w:val="0"/>
      <w:divBdr>
        <w:top w:val="none" w:sz="0" w:space="0" w:color="auto"/>
        <w:left w:val="none" w:sz="0" w:space="0" w:color="auto"/>
        <w:bottom w:val="none" w:sz="0" w:space="0" w:color="auto"/>
        <w:right w:val="none" w:sz="0" w:space="0" w:color="auto"/>
      </w:divBdr>
    </w:div>
    <w:div w:id="1723601864">
      <w:bodyDiv w:val="1"/>
      <w:marLeft w:val="0"/>
      <w:marRight w:val="0"/>
      <w:marTop w:val="0"/>
      <w:marBottom w:val="0"/>
      <w:divBdr>
        <w:top w:val="none" w:sz="0" w:space="0" w:color="auto"/>
        <w:left w:val="none" w:sz="0" w:space="0" w:color="auto"/>
        <w:bottom w:val="none" w:sz="0" w:space="0" w:color="auto"/>
        <w:right w:val="none" w:sz="0" w:space="0" w:color="auto"/>
      </w:divBdr>
    </w:div>
    <w:div w:id="1723752048">
      <w:bodyDiv w:val="1"/>
      <w:marLeft w:val="0"/>
      <w:marRight w:val="0"/>
      <w:marTop w:val="0"/>
      <w:marBottom w:val="0"/>
      <w:divBdr>
        <w:top w:val="none" w:sz="0" w:space="0" w:color="auto"/>
        <w:left w:val="none" w:sz="0" w:space="0" w:color="auto"/>
        <w:bottom w:val="none" w:sz="0" w:space="0" w:color="auto"/>
        <w:right w:val="none" w:sz="0" w:space="0" w:color="auto"/>
      </w:divBdr>
    </w:div>
    <w:div w:id="1724407874">
      <w:bodyDiv w:val="1"/>
      <w:marLeft w:val="0"/>
      <w:marRight w:val="0"/>
      <w:marTop w:val="0"/>
      <w:marBottom w:val="0"/>
      <w:divBdr>
        <w:top w:val="none" w:sz="0" w:space="0" w:color="auto"/>
        <w:left w:val="none" w:sz="0" w:space="0" w:color="auto"/>
        <w:bottom w:val="none" w:sz="0" w:space="0" w:color="auto"/>
        <w:right w:val="none" w:sz="0" w:space="0" w:color="auto"/>
      </w:divBdr>
    </w:div>
    <w:div w:id="1724408909">
      <w:bodyDiv w:val="1"/>
      <w:marLeft w:val="0"/>
      <w:marRight w:val="0"/>
      <w:marTop w:val="0"/>
      <w:marBottom w:val="0"/>
      <w:divBdr>
        <w:top w:val="none" w:sz="0" w:space="0" w:color="auto"/>
        <w:left w:val="none" w:sz="0" w:space="0" w:color="auto"/>
        <w:bottom w:val="none" w:sz="0" w:space="0" w:color="auto"/>
        <w:right w:val="none" w:sz="0" w:space="0" w:color="auto"/>
      </w:divBdr>
    </w:div>
    <w:div w:id="1724520532">
      <w:bodyDiv w:val="1"/>
      <w:marLeft w:val="0"/>
      <w:marRight w:val="0"/>
      <w:marTop w:val="0"/>
      <w:marBottom w:val="0"/>
      <w:divBdr>
        <w:top w:val="none" w:sz="0" w:space="0" w:color="auto"/>
        <w:left w:val="none" w:sz="0" w:space="0" w:color="auto"/>
        <w:bottom w:val="none" w:sz="0" w:space="0" w:color="auto"/>
        <w:right w:val="none" w:sz="0" w:space="0" w:color="auto"/>
      </w:divBdr>
    </w:div>
    <w:div w:id="1724863366">
      <w:bodyDiv w:val="1"/>
      <w:marLeft w:val="0"/>
      <w:marRight w:val="0"/>
      <w:marTop w:val="0"/>
      <w:marBottom w:val="0"/>
      <w:divBdr>
        <w:top w:val="none" w:sz="0" w:space="0" w:color="auto"/>
        <w:left w:val="none" w:sz="0" w:space="0" w:color="auto"/>
        <w:bottom w:val="none" w:sz="0" w:space="0" w:color="auto"/>
        <w:right w:val="none" w:sz="0" w:space="0" w:color="auto"/>
      </w:divBdr>
    </w:div>
    <w:div w:id="1725253930">
      <w:bodyDiv w:val="1"/>
      <w:marLeft w:val="0"/>
      <w:marRight w:val="0"/>
      <w:marTop w:val="0"/>
      <w:marBottom w:val="0"/>
      <w:divBdr>
        <w:top w:val="none" w:sz="0" w:space="0" w:color="auto"/>
        <w:left w:val="none" w:sz="0" w:space="0" w:color="auto"/>
        <w:bottom w:val="none" w:sz="0" w:space="0" w:color="auto"/>
        <w:right w:val="none" w:sz="0" w:space="0" w:color="auto"/>
      </w:divBdr>
    </w:div>
    <w:div w:id="1725563808">
      <w:bodyDiv w:val="1"/>
      <w:marLeft w:val="0"/>
      <w:marRight w:val="0"/>
      <w:marTop w:val="0"/>
      <w:marBottom w:val="0"/>
      <w:divBdr>
        <w:top w:val="none" w:sz="0" w:space="0" w:color="auto"/>
        <w:left w:val="none" w:sz="0" w:space="0" w:color="auto"/>
        <w:bottom w:val="none" w:sz="0" w:space="0" w:color="auto"/>
        <w:right w:val="none" w:sz="0" w:space="0" w:color="auto"/>
      </w:divBdr>
    </w:div>
    <w:div w:id="1725829617">
      <w:bodyDiv w:val="1"/>
      <w:marLeft w:val="0"/>
      <w:marRight w:val="0"/>
      <w:marTop w:val="0"/>
      <w:marBottom w:val="0"/>
      <w:divBdr>
        <w:top w:val="none" w:sz="0" w:space="0" w:color="auto"/>
        <w:left w:val="none" w:sz="0" w:space="0" w:color="auto"/>
        <w:bottom w:val="none" w:sz="0" w:space="0" w:color="auto"/>
        <w:right w:val="none" w:sz="0" w:space="0" w:color="auto"/>
      </w:divBdr>
    </w:div>
    <w:div w:id="1725906918">
      <w:bodyDiv w:val="1"/>
      <w:marLeft w:val="0"/>
      <w:marRight w:val="0"/>
      <w:marTop w:val="0"/>
      <w:marBottom w:val="0"/>
      <w:divBdr>
        <w:top w:val="none" w:sz="0" w:space="0" w:color="auto"/>
        <w:left w:val="none" w:sz="0" w:space="0" w:color="auto"/>
        <w:bottom w:val="none" w:sz="0" w:space="0" w:color="auto"/>
        <w:right w:val="none" w:sz="0" w:space="0" w:color="auto"/>
      </w:divBdr>
    </w:div>
    <w:div w:id="1726022887">
      <w:bodyDiv w:val="1"/>
      <w:marLeft w:val="0"/>
      <w:marRight w:val="0"/>
      <w:marTop w:val="0"/>
      <w:marBottom w:val="0"/>
      <w:divBdr>
        <w:top w:val="none" w:sz="0" w:space="0" w:color="auto"/>
        <w:left w:val="none" w:sz="0" w:space="0" w:color="auto"/>
        <w:bottom w:val="none" w:sz="0" w:space="0" w:color="auto"/>
        <w:right w:val="none" w:sz="0" w:space="0" w:color="auto"/>
      </w:divBdr>
    </w:div>
    <w:div w:id="1726248272">
      <w:bodyDiv w:val="1"/>
      <w:marLeft w:val="0"/>
      <w:marRight w:val="0"/>
      <w:marTop w:val="0"/>
      <w:marBottom w:val="0"/>
      <w:divBdr>
        <w:top w:val="none" w:sz="0" w:space="0" w:color="auto"/>
        <w:left w:val="none" w:sz="0" w:space="0" w:color="auto"/>
        <w:bottom w:val="none" w:sz="0" w:space="0" w:color="auto"/>
        <w:right w:val="none" w:sz="0" w:space="0" w:color="auto"/>
      </w:divBdr>
    </w:div>
    <w:div w:id="1726566356">
      <w:bodyDiv w:val="1"/>
      <w:marLeft w:val="0"/>
      <w:marRight w:val="0"/>
      <w:marTop w:val="0"/>
      <w:marBottom w:val="0"/>
      <w:divBdr>
        <w:top w:val="none" w:sz="0" w:space="0" w:color="auto"/>
        <w:left w:val="none" w:sz="0" w:space="0" w:color="auto"/>
        <w:bottom w:val="none" w:sz="0" w:space="0" w:color="auto"/>
        <w:right w:val="none" w:sz="0" w:space="0" w:color="auto"/>
      </w:divBdr>
    </w:div>
    <w:div w:id="1727340263">
      <w:bodyDiv w:val="1"/>
      <w:marLeft w:val="0"/>
      <w:marRight w:val="0"/>
      <w:marTop w:val="0"/>
      <w:marBottom w:val="0"/>
      <w:divBdr>
        <w:top w:val="none" w:sz="0" w:space="0" w:color="auto"/>
        <w:left w:val="none" w:sz="0" w:space="0" w:color="auto"/>
        <w:bottom w:val="none" w:sz="0" w:space="0" w:color="auto"/>
        <w:right w:val="none" w:sz="0" w:space="0" w:color="auto"/>
      </w:divBdr>
    </w:div>
    <w:div w:id="1727488061">
      <w:bodyDiv w:val="1"/>
      <w:marLeft w:val="0"/>
      <w:marRight w:val="0"/>
      <w:marTop w:val="0"/>
      <w:marBottom w:val="0"/>
      <w:divBdr>
        <w:top w:val="none" w:sz="0" w:space="0" w:color="auto"/>
        <w:left w:val="none" w:sz="0" w:space="0" w:color="auto"/>
        <w:bottom w:val="none" w:sz="0" w:space="0" w:color="auto"/>
        <w:right w:val="none" w:sz="0" w:space="0" w:color="auto"/>
      </w:divBdr>
    </w:div>
    <w:div w:id="1727603124">
      <w:bodyDiv w:val="1"/>
      <w:marLeft w:val="0"/>
      <w:marRight w:val="0"/>
      <w:marTop w:val="0"/>
      <w:marBottom w:val="0"/>
      <w:divBdr>
        <w:top w:val="none" w:sz="0" w:space="0" w:color="auto"/>
        <w:left w:val="none" w:sz="0" w:space="0" w:color="auto"/>
        <w:bottom w:val="none" w:sz="0" w:space="0" w:color="auto"/>
        <w:right w:val="none" w:sz="0" w:space="0" w:color="auto"/>
      </w:divBdr>
    </w:div>
    <w:div w:id="1727801583">
      <w:bodyDiv w:val="1"/>
      <w:marLeft w:val="0"/>
      <w:marRight w:val="0"/>
      <w:marTop w:val="0"/>
      <w:marBottom w:val="0"/>
      <w:divBdr>
        <w:top w:val="none" w:sz="0" w:space="0" w:color="auto"/>
        <w:left w:val="none" w:sz="0" w:space="0" w:color="auto"/>
        <w:bottom w:val="none" w:sz="0" w:space="0" w:color="auto"/>
        <w:right w:val="none" w:sz="0" w:space="0" w:color="auto"/>
      </w:divBdr>
    </w:div>
    <w:div w:id="1728141703">
      <w:bodyDiv w:val="1"/>
      <w:marLeft w:val="0"/>
      <w:marRight w:val="0"/>
      <w:marTop w:val="0"/>
      <w:marBottom w:val="0"/>
      <w:divBdr>
        <w:top w:val="none" w:sz="0" w:space="0" w:color="auto"/>
        <w:left w:val="none" w:sz="0" w:space="0" w:color="auto"/>
        <w:bottom w:val="none" w:sz="0" w:space="0" w:color="auto"/>
        <w:right w:val="none" w:sz="0" w:space="0" w:color="auto"/>
      </w:divBdr>
    </w:div>
    <w:div w:id="1728144631">
      <w:bodyDiv w:val="1"/>
      <w:marLeft w:val="0"/>
      <w:marRight w:val="0"/>
      <w:marTop w:val="0"/>
      <w:marBottom w:val="0"/>
      <w:divBdr>
        <w:top w:val="none" w:sz="0" w:space="0" w:color="auto"/>
        <w:left w:val="none" w:sz="0" w:space="0" w:color="auto"/>
        <w:bottom w:val="none" w:sz="0" w:space="0" w:color="auto"/>
        <w:right w:val="none" w:sz="0" w:space="0" w:color="auto"/>
      </w:divBdr>
    </w:div>
    <w:div w:id="1728452088">
      <w:bodyDiv w:val="1"/>
      <w:marLeft w:val="0"/>
      <w:marRight w:val="0"/>
      <w:marTop w:val="0"/>
      <w:marBottom w:val="0"/>
      <w:divBdr>
        <w:top w:val="none" w:sz="0" w:space="0" w:color="auto"/>
        <w:left w:val="none" w:sz="0" w:space="0" w:color="auto"/>
        <w:bottom w:val="none" w:sz="0" w:space="0" w:color="auto"/>
        <w:right w:val="none" w:sz="0" w:space="0" w:color="auto"/>
      </w:divBdr>
    </w:div>
    <w:div w:id="1728648837">
      <w:bodyDiv w:val="1"/>
      <w:marLeft w:val="0"/>
      <w:marRight w:val="0"/>
      <w:marTop w:val="0"/>
      <w:marBottom w:val="0"/>
      <w:divBdr>
        <w:top w:val="none" w:sz="0" w:space="0" w:color="auto"/>
        <w:left w:val="none" w:sz="0" w:space="0" w:color="auto"/>
        <w:bottom w:val="none" w:sz="0" w:space="0" w:color="auto"/>
        <w:right w:val="none" w:sz="0" w:space="0" w:color="auto"/>
      </w:divBdr>
    </w:div>
    <w:div w:id="1728845625">
      <w:bodyDiv w:val="1"/>
      <w:marLeft w:val="0"/>
      <w:marRight w:val="0"/>
      <w:marTop w:val="0"/>
      <w:marBottom w:val="0"/>
      <w:divBdr>
        <w:top w:val="none" w:sz="0" w:space="0" w:color="auto"/>
        <w:left w:val="none" w:sz="0" w:space="0" w:color="auto"/>
        <w:bottom w:val="none" w:sz="0" w:space="0" w:color="auto"/>
        <w:right w:val="none" w:sz="0" w:space="0" w:color="auto"/>
      </w:divBdr>
    </w:div>
    <w:div w:id="1729260989">
      <w:bodyDiv w:val="1"/>
      <w:marLeft w:val="0"/>
      <w:marRight w:val="0"/>
      <w:marTop w:val="0"/>
      <w:marBottom w:val="0"/>
      <w:divBdr>
        <w:top w:val="none" w:sz="0" w:space="0" w:color="auto"/>
        <w:left w:val="none" w:sz="0" w:space="0" w:color="auto"/>
        <w:bottom w:val="none" w:sz="0" w:space="0" w:color="auto"/>
        <w:right w:val="none" w:sz="0" w:space="0" w:color="auto"/>
      </w:divBdr>
    </w:div>
    <w:div w:id="1729376943">
      <w:bodyDiv w:val="1"/>
      <w:marLeft w:val="0"/>
      <w:marRight w:val="0"/>
      <w:marTop w:val="0"/>
      <w:marBottom w:val="0"/>
      <w:divBdr>
        <w:top w:val="none" w:sz="0" w:space="0" w:color="auto"/>
        <w:left w:val="none" w:sz="0" w:space="0" w:color="auto"/>
        <w:bottom w:val="none" w:sz="0" w:space="0" w:color="auto"/>
        <w:right w:val="none" w:sz="0" w:space="0" w:color="auto"/>
      </w:divBdr>
    </w:div>
    <w:div w:id="1729453424">
      <w:bodyDiv w:val="1"/>
      <w:marLeft w:val="0"/>
      <w:marRight w:val="0"/>
      <w:marTop w:val="0"/>
      <w:marBottom w:val="0"/>
      <w:divBdr>
        <w:top w:val="none" w:sz="0" w:space="0" w:color="auto"/>
        <w:left w:val="none" w:sz="0" w:space="0" w:color="auto"/>
        <w:bottom w:val="none" w:sz="0" w:space="0" w:color="auto"/>
        <w:right w:val="none" w:sz="0" w:space="0" w:color="auto"/>
      </w:divBdr>
    </w:div>
    <w:div w:id="1729567813">
      <w:bodyDiv w:val="1"/>
      <w:marLeft w:val="0"/>
      <w:marRight w:val="0"/>
      <w:marTop w:val="0"/>
      <w:marBottom w:val="0"/>
      <w:divBdr>
        <w:top w:val="none" w:sz="0" w:space="0" w:color="auto"/>
        <w:left w:val="none" w:sz="0" w:space="0" w:color="auto"/>
        <w:bottom w:val="none" w:sz="0" w:space="0" w:color="auto"/>
        <w:right w:val="none" w:sz="0" w:space="0" w:color="auto"/>
      </w:divBdr>
    </w:div>
    <w:div w:id="1729570073">
      <w:bodyDiv w:val="1"/>
      <w:marLeft w:val="0"/>
      <w:marRight w:val="0"/>
      <w:marTop w:val="0"/>
      <w:marBottom w:val="0"/>
      <w:divBdr>
        <w:top w:val="none" w:sz="0" w:space="0" w:color="auto"/>
        <w:left w:val="none" w:sz="0" w:space="0" w:color="auto"/>
        <w:bottom w:val="none" w:sz="0" w:space="0" w:color="auto"/>
        <w:right w:val="none" w:sz="0" w:space="0" w:color="auto"/>
      </w:divBdr>
    </w:div>
    <w:div w:id="1729574834">
      <w:bodyDiv w:val="1"/>
      <w:marLeft w:val="0"/>
      <w:marRight w:val="0"/>
      <w:marTop w:val="0"/>
      <w:marBottom w:val="0"/>
      <w:divBdr>
        <w:top w:val="none" w:sz="0" w:space="0" w:color="auto"/>
        <w:left w:val="none" w:sz="0" w:space="0" w:color="auto"/>
        <w:bottom w:val="none" w:sz="0" w:space="0" w:color="auto"/>
        <w:right w:val="none" w:sz="0" w:space="0" w:color="auto"/>
      </w:divBdr>
    </w:div>
    <w:div w:id="1729646992">
      <w:bodyDiv w:val="1"/>
      <w:marLeft w:val="0"/>
      <w:marRight w:val="0"/>
      <w:marTop w:val="0"/>
      <w:marBottom w:val="0"/>
      <w:divBdr>
        <w:top w:val="none" w:sz="0" w:space="0" w:color="auto"/>
        <w:left w:val="none" w:sz="0" w:space="0" w:color="auto"/>
        <w:bottom w:val="none" w:sz="0" w:space="0" w:color="auto"/>
        <w:right w:val="none" w:sz="0" w:space="0" w:color="auto"/>
      </w:divBdr>
    </w:div>
    <w:div w:id="1729760508">
      <w:bodyDiv w:val="1"/>
      <w:marLeft w:val="0"/>
      <w:marRight w:val="0"/>
      <w:marTop w:val="0"/>
      <w:marBottom w:val="0"/>
      <w:divBdr>
        <w:top w:val="none" w:sz="0" w:space="0" w:color="auto"/>
        <w:left w:val="none" w:sz="0" w:space="0" w:color="auto"/>
        <w:bottom w:val="none" w:sz="0" w:space="0" w:color="auto"/>
        <w:right w:val="none" w:sz="0" w:space="0" w:color="auto"/>
      </w:divBdr>
    </w:div>
    <w:div w:id="1730298180">
      <w:bodyDiv w:val="1"/>
      <w:marLeft w:val="0"/>
      <w:marRight w:val="0"/>
      <w:marTop w:val="0"/>
      <w:marBottom w:val="0"/>
      <w:divBdr>
        <w:top w:val="none" w:sz="0" w:space="0" w:color="auto"/>
        <w:left w:val="none" w:sz="0" w:space="0" w:color="auto"/>
        <w:bottom w:val="none" w:sz="0" w:space="0" w:color="auto"/>
        <w:right w:val="none" w:sz="0" w:space="0" w:color="auto"/>
      </w:divBdr>
    </w:div>
    <w:div w:id="1730768448">
      <w:bodyDiv w:val="1"/>
      <w:marLeft w:val="0"/>
      <w:marRight w:val="0"/>
      <w:marTop w:val="0"/>
      <w:marBottom w:val="0"/>
      <w:divBdr>
        <w:top w:val="none" w:sz="0" w:space="0" w:color="auto"/>
        <w:left w:val="none" w:sz="0" w:space="0" w:color="auto"/>
        <w:bottom w:val="none" w:sz="0" w:space="0" w:color="auto"/>
        <w:right w:val="none" w:sz="0" w:space="0" w:color="auto"/>
      </w:divBdr>
    </w:div>
    <w:div w:id="1731149933">
      <w:bodyDiv w:val="1"/>
      <w:marLeft w:val="0"/>
      <w:marRight w:val="0"/>
      <w:marTop w:val="0"/>
      <w:marBottom w:val="0"/>
      <w:divBdr>
        <w:top w:val="none" w:sz="0" w:space="0" w:color="auto"/>
        <w:left w:val="none" w:sz="0" w:space="0" w:color="auto"/>
        <w:bottom w:val="none" w:sz="0" w:space="0" w:color="auto"/>
        <w:right w:val="none" w:sz="0" w:space="0" w:color="auto"/>
      </w:divBdr>
    </w:div>
    <w:div w:id="1731343396">
      <w:bodyDiv w:val="1"/>
      <w:marLeft w:val="0"/>
      <w:marRight w:val="0"/>
      <w:marTop w:val="0"/>
      <w:marBottom w:val="0"/>
      <w:divBdr>
        <w:top w:val="none" w:sz="0" w:space="0" w:color="auto"/>
        <w:left w:val="none" w:sz="0" w:space="0" w:color="auto"/>
        <w:bottom w:val="none" w:sz="0" w:space="0" w:color="auto"/>
        <w:right w:val="none" w:sz="0" w:space="0" w:color="auto"/>
      </w:divBdr>
    </w:div>
    <w:div w:id="1731538697">
      <w:bodyDiv w:val="1"/>
      <w:marLeft w:val="0"/>
      <w:marRight w:val="0"/>
      <w:marTop w:val="0"/>
      <w:marBottom w:val="0"/>
      <w:divBdr>
        <w:top w:val="none" w:sz="0" w:space="0" w:color="auto"/>
        <w:left w:val="none" w:sz="0" w:space="0" w:color="auto"/>
        <w:bottom w:val="none" w:sz="0" w:space="0" w:color="auto"/>
        <w:right w:val="none" w:sz="0" w:space="0" w:color="auto"/>
      </w:divBdr>
    </w:div>
    <w:div w:id="1731734789">
      <w:bodyDiv w:val="1"/>
      <w:marLeft w:val="0"/>
      <w:marRight w:val="0"/>
      <w:marTop w:val="0"/>
      <w:marBottom w:val="0"/>
      <w:divBdr>
        <w:top w:val="none" w:sz="0" w:space="0" w:color="auto"/>
        <w:left w:val="none" w:sz="0" w:space="0" w:color="auto"/>
        <w:bottom w:val="none" w:sz="0" w:space="0" w:color="auto"/>
        <w:right w:val="none" w:sz="0" w:space="0" w:color="auto"/>
      </w:divBdr>
    </w:div>
    <w:div w:id="1732652753">
      <w:bodyDiv w:val="1"/>
      <w:marLeft w:val="0"/>
      <w:marRight w:val="0"/>
      <w:marTop w:val="0"/>
      <w:marBottom w:val="0"/>
      <w:divBdr>
        <w:top w:val="none" w:sz="0" w:space="0" w:color="auto"/>
        <w:left w:val="none" w:sz="0" w:space="0" w:color="auto"/>
        <w:bottom w:val="none" w:sz="0" w:space="0" w:color="auto"/>
        <w:right w:val="none" w:sz="0" w:space="0" w:color="auto"/>
      </w:divBdr>
    </w:div>
    <w:div w:id="1732776750">
      <w:bodyDiv w:val="1"/>
      <w:marLeft w:val="0"/>
      <w:marRight w:val="0"/>
      <w:marTop w:val="0"/>
      <w:marBottom w:val="0"/>
      <w:divBdr>
        <w:top w:val="none" w:sz="0" w:space="0" w:color="auto"/>
        <w:left w:val="none" w:sz="0" w:space="0" w:color="auto"/>
        <w:bottom w:val="none" w:sz="0" w:space="0" w:color="auto"/>
        <w:right w:val="none" w:sz="0" w:space="0" w:color="auto"/>
      </w:divBdr>
    </w:div>
    <w:div w:id="1733575757">
      <w:bodyDiv w:val="1"/>
      <w:marLeft w:val="0"/>
      <w:marRight w:val="0"/>
      <w:marTop w:val="0"/>
      <w:marBottom w:val="0"/>
      <w:divBdr>
        <w:top w:val="none" w:sz="0" w:space="0" w:color="auto"/>
        <w:left w:val="none" w:sz="0" w:space="0" w:color="auto"/>
        <w:bottom w:val="none" w:sz="0" w:space="0" w:color="auto"/>
        <w:right w:val="none" w:sz="0" w:space="0" w:color="auto"/>
      </w:divBdr>
    </w:div>
    <w:div w:id="1734041858">
      <w:bodyDiv w:val="1"/>
      <w:marLeft w:val="0"/>
      <w:marRight w:val="0"/>
      <w:marTop w:val="0"/>
      <w:marBottom w:val="0"/>
      <w:divBdr>
        <w:top w:val="none" w:sz="0" w:space="0" w:color="auto"/>
        <w:left w:val="none" w:sz="0" w:space="0" w:color="auto"/>
        <w:bottom w:val="none" w:sz="0" w:space="0" w:color="auto"/>
        <w:right w:val="none" w:sz="0" w:space="0" w:color="auto"/>
      </w:divBdr>
    </w:div>
    <w:div w:id="1734160310">
      <w:bodyDiv w:val="1"/>
      <w:marLeft w:val="0"/>
      <w:marRight w:val="0"/>
      <w:marTop w:val="0"/>
      <w:marBottom w:val="0"/>
      <w:divBdr>
        <w:top w:val="none" w:sz="0" w:space="0" w:color="auto"/>
        <w:left w:val="none" w:sz="0" w:space="0" w:color="auto"/>
        <w:bottom w:val="none" w:sz="0" w:space="0" w:color="auto"/>
        <w:right w:val="none" w:sz="0" w:space="0" w:color="auto"/>
      </w:divBdr>
    </w:div>
    <w:div w:id="1734542513">
      <w:bodyDiv w:val="1"/>
      <w:marLeft w:val="0"/>
      <w:marRight w:val="0"/>
      <w:marTop w:val="0"/>
      <w:marBottom w:val="0"/>
      <w:divBdr>
        <w:top w:val="none" w:sz="0" w:space="0" w:color="auto"/>
        <w:left w:val="none" w:sz="0" w:space="0" w:color="auto"/>
        <w:bottom w:val="none" w:sz="0" w:space="0" w:color="auto"/>
        <w:right w:val="none" w:sz="0" w:space="0" w:color="auto"/>
      </w:divBdr>
    </w:div>
    <w:div w:id="1734698447">
      <w:bodyDiv w:val="1"/>
      <w:marLeft w:val="0"/>
      <w:marRight w:val="0"/>
      <w:marTop w:val="0"/>
      <w:marBottom w:val="0"/>
      <w:divBdr>
        <w:top w:val="none" w:sz="0" w:space="0" w:color="auto"/>
        <w:left w:val="none" w:sz="0" w:space="0" w:color="auto"/>
        <w:bottom w:val="none" w:sz="0" w:space="0" w:color="auto"/>
        <w:right w:val="none" w:sz="0" w:space="0" w:color="auto"/>
      </w:divBdr>
    </w:div>
    <w:div w:id="1735010967">
      <w:bodyDiv w:val="1"/>
      <w:marLeft w:val="0"/>
      <w:marRight w:val="0"/>
      <w:marTop w:val="0"/>
      <w:marBottom w:val="0"/>
      <w:divBdr>
        <w:top w:val="none" w:sz="0" w:space="0" w:color="auto"/>
        <w:left w:val="none" w:sz="0" w:space="0" w:color="auto"/>
        <w:bottom w:val="none" w:sz="0" w:space="0" w:color="auto"/>
        <w:right w:val="none" w:sz="0" w:space="0" w:color="auto"/>
      </w:divBdr>
    </w:div>
    <w:div w:id="1735348586">
      <w:bodyDiv w:val="1"/>
      <w:marLeft w:val="0"/>
      <w:marRight w:val="0"/>
      <w:marTop w:val="0"/>
      <w:marBottom w:val="0"/>
      <w:divBdr>
        <w:top w:val="none" w:sz="0" w:space="0" w:color="auto"/>
        <w:left w:val="none" w:sz="0" w:space="0" w:color="auto"/>
        <w:bottom w:val="none" w:sz="0" w:space="0" w:color="auto"/>
        <w:right w:val="none" w:sz="0" w:space="0" w:color="auto"/>
      </w:divBdr>
    </w:div>
    <w:div w:id="1735352819">
      <w:bodyDiv w:val="1"/>
      <w:marLeft w:val="0"/>
      <w:marRight w:val="0"/>
      <w:marTop w:val="0"/>
      <w:marBottom w:val="0"/>
      <w:divBdr>
        <w:top w:val="none" w:sz="0" w:space="0" w:color="auto"/>
        <w:left w:val="none" w:sz="0" w:space="0" w:color="auto"/>
        <w:bottom w:val="none" w:sz="0" w:space="0" w:color="auto"/>
        <w:right w:val="none" w:sz="0" w:space="0" w:color="auto"/>
      </w:divBdr>
    </w:div>
    <w:div w:id="1735423575">
      <w:bodyDiv w:val="1"/>
      <w:marLeft w:val="0"/>
      <w:marRight w:val="0"/>
      <w:marTop w:val="0"/>
      <w:marBottom w:val="0"/>
      <w:divBdr>
        <w:top w:val="none" w:sz="0" w:space="0" w:color="auto"/>
        <w:left w:val="none" w:sz="0" w:space="0" w:color="auto"/>
        <w:bottom w:val="none" w:sz="0" w:space="0" w:color="auto"/>
        <w:right w:val="none" w:sz="0" w:space="0" w:color="auto"/>
      </w:divBdr>
    </w:div>
    <w:div w:id="1735591450">
      <w:bodyDiv w:val="1"/>
      <w:marLeft w:val="0"/>
      <w:marRight w:val="0"/>
      <w:marTop w:val="0"/>
      <w:marBottom w:val="0"/>
      <w:divBdr>
        <w:top w:val="none" w:sz="0" w:space="0" w:color="auto"/>
        <w:left w:val="none" w:sz="0" w:space="0" w:color="auto"/>
        <w:bottom w:val="none" w:sz="0" w:space="0" w:color="auto"/>
        <w:right w:val="none" w:sz="0" w:space="0" w:color="auto"/>
      </w:divBdr>
    </w:div>
    <w:div w:id="1735741162">
      <w:bodyDiv w:val="1"/>
      <w:marLeft w:val="0"/>
      <w:marRight w:val="0"/>
      <w:marTop w:val="0"/>
      <w:marBottom w:val="0"/>
      <w:divBdr>
        <w:top w:val="none" w:sz="0" w:space="0" w:color="auto"/>
        <w:left w:val="none" w:sz="0" w:space="0" w:color="auto"/>
        <w:bottom w:val="none" w:sz="0" w:space="0" w:color="auto"/>
        <w:right w:val="none" w:sz="0" w:space="0" w:color="auto"/>
      </w:divBdr>
    </w:div>
    <w:div w:id="1735927810">
      <w:bodyDiv w:val="1"/>
      <w:marLeft w:val="0"/>
      <w:marRight w:val="0"/>
      <w:marTop w:val="0"/>
      <w:marBottom w:val="0"/>
      <w:divBdr>
        <w:top w:val="none" w:sz="0" w:space="0" w:color="auto"/>
        <w:left w:val="none" w:sz="0" w:space="0" w:color="auto"/>
        <w:bottom w:val="none" w:sz="0" w:space="0" w:color="auto"/>
        <w:right w:val="none" w:sz="0" w:space="0" w:color="auto"/>
      </w:divBdr>
    </w:div>
    <w:div w:id="1736009576">
      <w:bodyDiv w:val="1"/>
      <w:marLeft w:val="0"/>
      <w:marRight w:val="0"/>
      <w:marTop w:val="0"/>
      <w:marBottom w:val="0"/>
      <w:divBdr>
        <w:top w:val="none" w:sz="0" w:space="0" w:color="auto"/>
        <w:left w:val="none" w:sz="0" w:space="0" w:color="auto"/>
        <w:bottom w:val="none" w:sz="0" w:space="0" w:color="auto"/>
        <w:right w:val="none" w:sz="0" w:space="0" w:color="auto"/>
      </w:divBdr>
    </w:div>
    <w:div w:id="1736078704">
      <w:bodyDiv w:val="1"/>
      <w:marLeft w:val="0"/>
      <w:marRight w:val="0"/>
      <w:marTop w:val="0"/>
      <w:marBottom w:val="0"/>
      <w:divBdr>
        <w:top w:val="none" w:sz="0" w:space="0" w:color="auto"/>
        <w:left w:val="none" w:sz="0" w:space="0" w:color="auto"/>
        <w:bottom w:val="none" w:sz="0" w:space="0" w:color="auto"/>
        <w:right w:val="none" w:sz="0" w:space="0" w:color="auto"/>
      </w:divBdr>
    </w:div>
    <w:div w:id="1736128545">
      <w:bodyDiv w:val="1"/>
      <w:marLeft w:val="0"/>
      <w:marRight w:val="0"/>
      <w:marTop w:val="0"/>
      <w:marBottom w:val="0"/>
      <w:divBdr>
        <w:top w:val="none" w:sz="0" w:space="0" w:color="auto"/>
        <w:left w:val="none" w:sz="0" w:space="0" w:color="auto"/>
        <w:bottom w:val="none" w:sz="0" w:space="0" w:color="auto"/>
        <w:right w:val="none" w:sz="0" w:space="0" w:color="auto"/>
      </w:divBdr>
    </w:div>
    <w:div w:id="1736389774">
      <w:bodyDiv w:val="1"/>
      <w:marLeft w:val="0"/>
      <w:marRight w:val="0"/>
      <w:marTop w:val="0"/>
      <w:marBottom w:val="0"/>
      <w:divBdr>
        <w:top w:val="none" w:sz="0" w:space="0" w:color="auto"/>
        <w:left w:val="none" w:sz="0" w:space="0" w:color="auto"/>
        <w:bottom w:val="none" w:sz="0" w:space="0" w:color="auto"/>
        <w:right w:val="none" w:sz="0" w:space="0" w:color="auto"/>
      </w:divBdr>
    </w:div>
    <w:div w:id="1737050415">
      <w:bodyDiv w:val="1"/>
      <w:marLeft w:val="0"/>
      <w:marRight w:val="0"/>
      <w:marTop w:val="0"/>
      <w:marBottom w:val="0"/>
      <w:divBdr>
        <w:top w:val="none" w:sz="0" w:space="0" w:color="auto"/>
        <w:left w:val="none" w:sz="0" w:space="0" w:color="auto"/>
        <w:bottom w:val="none" w:sz="0" w:space="0" w:color="auto"/>
        <w:right w:val="none" w:sz="0" w:space="0" w:color="auto"/>
      </w:divBdr>
    </w:div>
    <w:div w:id="1737585502">
      <w:bodyDiv w:val="1"/>
      <w:marLeft w:val="0"/>
      <w:marRight w:val="0"/>
      <w:marTop w:val="0"/>
      <w:marBottom w:val="0"/>
      <w:divBdr>
        <w:top w:val="none" w:sz="0" w:space="0" w:color="auto"/>
        <w:left w:val="none" w:sz="0" w:space="0" w:color="auto"/>
        <w:bottom w:val="none" w:sz="0" w:space="0" w:color="auto"/>
        <w:right w:val="none" w:sz="0" w:space="0" w:color="auto"/>
      </w:divBdr>
    </w:div>
    <w:div w:id="1737777536">
      <w:bodyDiv w:val="1"/>
      <w:marLeft w:val="0"/>
      <w:marRight w:val="0"/>
      <w:marTop w:val="0"/>
      <w:marBottom w:val="0"/>
      <w:divBdr>
        <w:top w:val="none" w:sz="0" w:space="0" w:color="auto"/>
        <w:left w:val="none" w:sz="0" w:space="0" w:color="auto"/>
        <w:bottom w:val="none" w:sz="0" w:space="0" w:color="auto"/>
        <w:right w:val="none" w:sz="0" w:space="0" w:color="auto"/>
      </w:divBdr>
    </w:div>
    <w:div w:id="1738242140">
      <w:bodyDiv w:val="1"/>
      <w:marLeft w:val="0"/>
      <w:marRight w:val="0"/>
      <w:marTop w:val="0"/>
      <w:marBottom w:val="0"/>
      <w:divBdr>
        <w:top w:val="none" w:sz="0" w:space="0" w:color="auto"/>
        <w:left w:val="none" w:sz="0" w:space="0" w:color="auto"/>
        <w:bottom w:val="none" w:sz="0" w:space="0" w:color="auto"/>
        <w:right w:val="none" w:sz="0" w:space="0" w:color="auto"/>
      </w:divBdr>
    </w:div>
    <w:div w:id="1738283070">
      <w:bodyDiv w:val="1"/>
      <w:marLeft w:val="0"/>
      <w:marRight w:val="0"/>
      <w:marTop w:val="0"/>
      <w:marBottom w:val="0"/>
      <w:divBdr>
        <w:top w:val="none" w:sz="0" w:space="0" w:color="auto"/>
        <w:left w:val="none" w:sz="0" w:space="0" w:color="auto"/>
        <w:bottom w:val="none" w:sz="0" w:space="0" w:color="auto"/>
        <w:right w:val="none" w:sz="0" w:space="0" w:color="auto"/>
      </w:divBdr>
    </w:div>
    <w:div w:id="1738623842">
      <w:bodyDiv w:val="1"/>
      <w:marLeft w:val="0"/>
      <w:marRight w:val="0"/>
      <w:marTop w:val="0"/>
      <w:marBottom w:val="0"/>
      <w:divBdr>
        <w:top w:val="none" w:sz="0" w:space="0" w:color="auto"/>
        <w:left w:val="none" w:sz="0" w:space="0" w:color="auto"/>
        <w:bottom w:val="none" w:sz="0" w:space="0" w:color="auto"/>
        <w:right w:val="none" w:sz="0" w:space="0" w:color="auto"/>
      </w:divBdr>
    </w:div>
    <w:div w:id="1738631229">
      <w:bodyDiv w:val="1"/>
      <w:marLeft w:val="0"/>
      <w:marRight w:val="0"/>
      <w:marTop w:val="0"/>
      <w:marBottom w:val="0"/>
      <w:divBdr>
        <w:top w:val="none" w:sz="0" w:space="0" w:color="auto"/>
        <w:left w:val="none" w:sz="0" w:space="0" w:color="auto"/>
        <w:bottom w:val="none" w:sz="0" w:space="0" w:color="auto"/>
        <w:right w:val="none" w:sz="0" w:space="0" w:color="auto"/>
      </w:divBdr>
    </w:div>
    <w:div w:id="1739357973">
      <w:bodyDiv w:val="1"/>
      <w:marLeft w:val="0"/>
      <w:marRight w:val="0"/>
      <w:marTop w:val="0"/>
      <w:marBottom w:val="0"/>
      <w:divBdr>
        <w:top w:val="none" w:sz="0" w:space="0" w:color="auto"/>
        <w:left w:val="none" w:sz="0" w:space="0" w:color="auto"/>
        <w:bottom w:val="none" w:sz="0" w:space="0" w:color="auto"/>
        <w:right w:val="none" w:sz="0" w:space="0" w:color="auto"/>
      </w:divBdr>
    </w:div>
    <w:div w:id="1739863034">
      <w:bodyDiv w:val="1"/>
      <w:marLeft w:val="0"/>
      <w:marRight w:val="0"/>
      <w:marTop w:val="0"/>
      <w:marBottom w:val="0"/>
      <w:divBdr>
        <w:top w:val="none" w:sz="0" w:space="0" w:color="auto"/>
        <w:left w:val="none" w:sz="0" w:space="0" w:color="auto"/>
        <w:bottom w:val="none" w:sz="0" w:space="0" w:color="auto"/>
        <w:right w:val="none" w:sz="0" w:space="0" w:color="auto"/>
      </w:divBdr>
    </w:div>
    <w:div w:id="1740053016">
      <w:bodyDiv w:val="1"/>
      <w:marLeft w:val="0"/>
      <w:marRight w:val="0"/>
      <w:marTop w:val="0"/>
      <w:marBottom w:val="0"/>
      <w:divBdr>
        <w:top w:val="none" w:sz="0" w:space="0" w:color="auto"/>
        <w:left w:val="none" w:sz="0" w:space="0" w:color="auto"/>
        <w:bottom w:val="none" w:sz="0" w:space="0" w:color="auto"/>
        <w:right w:val="none" w:sz="0" w:space="0" w:color="auto"/>
      </w:divBdr>
    </w:div>
    <w:div w:id="1740054932">
      <w:bodyDiv w:val="1"/>
      <w:marLeft w:val="0"/>
      <w:marRight w:val="0"/>
      <w:marTop w:val="0"/>
      <w:marBottom w:val="0"/>
      <w:divBdr>
        <w:top w:val="none" w:sz="0" w:space="0" w:color="auto"/>
        <w:left w:val="none" w:sz="0" w:space="0" w:color="auto"/>
        <w:bottom w:val="none" w:sz="0" w:space="0" w:color="auto"/>
        <w:right w:val="none" w:sz="0" w:space="0" w:color="auto"/>
      </w:divBdr>
    </w:div>
    <w:div w:id="1741252976">
      <w:bodyDiv w:val="1"/>
      <w:marLeft w:val="0"/>
      <w:marRight w:val="0"/>
      <w:marTop w:val="0"/>
      <w:marBottom w:val="0"/>
      <w:divBdr>
        <w:top w:val="none" w:sz="0" w:space="0" w:color="auto"/>
        <w:left w:val="none" w:sz="0" w:space="0" w:color="auto"/>
        <w:bottom w:val="none" w:sz="0" w:space="0" w:color="auto"/>
        <w:right w:val="none" w:sz="0" w:space="0" w:color="auto"/>
      </w:divBdr>
    </w:div>
    <w:div w:id="1741437381">
      <w:bodyDiv w:val="1"/>
      <w:marLeft w:val="0"/>
      <w:marRight w:val="0"/>
      <w:marTop w:val="0"/>
      <w:marBottom w:val="0"/>
      <w:divBdr>
        <w:top w:val="none" w:sz="0" w:space="0" w:color="auto"/>
        <w:left w:val="none" w:sz="0" w:space="0" w:color="auto"/>
        <w:bottom w:val="none" w:sz="0" w:space="0" w:color="auto"/>
        <w:right w:val="none" w:sz="0" w:space="0" w:color="auto"/>
      </w:divBdr>
    </w:div>
    <w:div w:id="1742167961">
      <w:bodyDiv w:val="1"/>
      <w:marLeft w:val="0"/>
      <w:marRight w:val="0"/>
      <w:marTop w:val="0"/>
      <w:marBottom w:val="0"/>
      <w:divBdr>
        <w:top w:val="none" w:sz="0" w:space="0" w:color="auto"/>
        <w:left w:val="none" w:sz="0" w:space="0" w:color="auto"/>
        <w:bottom w:val="none" w:sz="0" w:space="0" w:color="auto"/>
        <w:right w:val="none" w:sz="0" w:space="0" w:color="auto"/>
      </w:divBdr>
    </w:div>
    <w:div w:id="1742211776">
      <w:bodyDiv w:val="1"/>
      <w:marLeft w:val="0"/>
      <w:marRight w:val="0"/>
      <w:marTop w:val="0"/>
      <w:marBottom w:val="0"/>
      <w:divBdr>
        <w:top w:val="none" w:sz="0" w:space="0" w:color="auto"/>
        <w:left w:val="none" w:sz="0" w:space="0" w:color="auto"/>
        <w:bottom w:val="none" w:sz="0" w:space="0" w:color="auto"/>
        <w:right w:val="none" w:sz="0" w:space="0" w:color="auto"/>
      </w:divBdr>
    </w:div>
    <w:div w:id="1742632855">
      <w:bodyDiv w:val="1"/>
      <w:marLeft w:val="0"/>
      <w:marRight w:val="0"/>
      <w:marTop w:val="0"/>
      <w:marBottom w:val="0"/>
      <w:divBdr>
        <w:top w:val="none" w:sz="0" w:space="0" w:color="auto"/>
        <w:left w:val="none" w:sz="0" w:space="0" w:color="auto"/>
        <w:bottom w:val="none" w:sz="0" w:space="0" w:color="auto"/>
        <w:right w:val="none" w:sz="0" w:space="0" w:color="auto"/>
      </w:divBdr>
    </w:div>
    <w:div w:id="1743212319">
      <w:bodyDiv w:val="1"/>
      <w:marLeft w:val="0"/>
      <w:marRight w:val="0"/>
      <w:marTop w:val="0"/>
      <w:marBottom w:val="0"/>
      <w:divBdr>
        <w:top w:val="none" w:sz="0" w:space="0" w:color="auto"/>
        <w:left w:val="none" w:sz="0" w:space="0" w:color="auto"/>
        <w:bottom w:val="none" w:sz="0" w:space="0" w:color="auto"/>
        <w:right w:val="none" w:sz="0" w:space="0" w:color="auto"/>
      </w:divBdr>
    </w:div>
    <w:div w:id="1743410017">
      <w:bodyDiv w:val="1"/>
      <w:marLeft w:val="0"/>
      <w:marRight w:val="0"/>
      <w:marTop w:val="0"/>
      <w:marBottom w:val="0"/>
      <w:divBdr>
        <w:top w:val="none" w:sz="0" w:space="0" w:color="auto"/>
        <w:left w:val="none" w:sz="0" w:space="0" w:color="auto"/>
        <w:bottom w:val="none" w:sz="0" w:space="0" w:color="auto"/>
        <w:right w:val="none" w:sz="0" w:space="0" w:color="auto"/>
      </w:divBdr>
    </w:div>
    <w:div w:id="1743485734">
      <w:bodyDiv w:val="1"/>
      <w:marLeft w:val="0"/>
      <w:marRight w:val="0"/>
      <w:marTop w:val="0"/>
      <w:marBottom w:val="0"/>
      <w:divBdr>
        <w:top w:val="none" w:sz="0" w:space="0" w:color="auto"/>
        <w:left w:val="none" w:sz="0" w:space="0" w:color="auto"/>
        <w:bottom w:val="none" w:sz="0" w:space="0" w:color="auto"/>
        <w:right w:val="none" w:sz="0" w:space="0" w:color="auto"/>
      </w:divBdr>
    </w:div>
    <w:div w:id="1743605166">
      <w:bodyDiv w:val="1"/>
      <w:marLeft w:val="0"/>
      <w:marRight w:val="0"/>
      <w:marTop w:val="0"/>
      <w:marBottom w:val="0"/>
      <w:divBdr>
        <w:top w:val="none" w:sz="0" w:space="0" w:color="auto"/>
        <w:left w:val="none" w:sz="0" w:space="0" w:color="auto"/>
        <w:bottom w:val="none" w:sz="0" w:space="0" w:color="auto"/>
        <w:right w:val="none" w:sz="0" w:space="0" w:color="auto"/>
      </w:divBdr>
    </w:div>
    <w:div w:id="1743941393">
      <w:bodyDiv w:val="1"/>
      <w:marLeft w:val="0"/>
      <w:marRight w:val="0"/>
      <w:marTop w:val="0"/>
      <w:marBottom w:val="0"/>
      <w:divBdr>
        <w:top w:val="none" w:sz="0" w:space="0" w:color="auto"/>
        <w:left w:val="none" w:sz="0" w:space="0" w:color="auto"/>
        <w:bottom w:val="none" w:sz="0" w:space="0" w:color="auto"/>
        <w:right w:val="none" w:sz="0" w:space="0" w:color="auto"/>
      </w:divBdr>
    </w:div>
    <w:div w:id="1744059128">
      <w:bodyDiv w:val="1"/>
      <w:marLeft w:val="0"/>
      <w:marRight w:val="0"/>
      <w:marTop w:val="0"/>
      <w:marBottom w:val="0"/>
      <w:divBdr>
        <w:top w:val="none" w:sz="0" w:space="0" w:color="auto"/>
        <w:left w:val="none" w:sz="0" w:space="0" w:color="auto"/>
        <w:bottom w:val="none" w:sz="0" w:space="0" w:color="auto"/>
        <w:right w:val="none" w:sz="0" w:space="0" w:color="auto"/>
      </w:divBdr>
    </w:div>
    <w:div w:id="1744060527">
      <w:bodyDiv w:val="1"/>
      <w:marLeft w:val="0"/>
      <w:marRight w:val="0"/>
      <w:marTop w:val="0"/>
      <w:marBottom w:val="0"/>
      <w:divBdr>
        <w:top w:val="none" w:sz="0" w:space="0" w:color="auto"/>
        <w:left w:val="none" w:sz="0" w:space="0" w:color="auto"/>
        <w:bottom w:val="none" w:sz="0" w:space="0" w:color="auto"/>
        <w:right w:val="none" w:sz="0" w:space="0" w:color="auto"/>
      </w:divBdr>
    </w:div>
    <w:div w:id="1744185063">
      <w:bodyDiv w:val="1"/>
      <w:marLeft w:val="0"/>
      <w:marRight w:val="0"/>
      <w:marTop w:val="0"/>
      <w:marBottom w:val="0"/>
      <w:divBdr>
        <w:top w:val="none" w:sz="0" w:space="0" w:color="auto"/>
        <w:left w:val="none" w:sz="0" w:space="0" w:color="auto"/>
        <w:bottom w:val="none" w:sz="0" w:space="0" w:color="auto"/>
        <w:right w:val="none" w:sz="0" w:space="0" w:color="auto"/>
      </w:divBdr>
    </w:div>
    <w:div w:id="1744251971">
      <w:bodyDiv w:val="1"/>
      <w:marLeft w:val="0"/>
      <w:marRight w:val="0"/>
      <w:marTop w:val="0"/>
      <w:marBottom w:val="0"/>
      <w:divBdr>
        <w:top w:val="none" w:sz="0" w:space="0" w:color="auto"/>
        <w:left w:val="none" w:sz="0" w:space="0" w:color="auto"/>
        <w:bottom w:val="none" w:sz="0" w:space="0" w:color="auto"/>
        <w:right w:val="none" w:sz="0" w:space="0" w:color="auto"/>
      </w:divBdr>
    </w:div>
    <w:div w:id="1744335333">
      <w:bodyDiv w:val="1"/>
      <w:marLeft w:val="0"/>
      <w:marRight w:val="0"/>
      <w:marTop w:val="0"/>
      <w:marBottom w:val="0"/>
      <w:divBdr>
        <w:top w:val="none" w:sz="0" w:space="0" w:color="auto"/>
        <w:left w:val="none" w:sz="0" w:space="0" w:color="auto"/>
        <w:bottom w:val="none" w:sz="0" w:space="0" w:color="auto"/>
        <w:right w:val="none" w:sz="0" w:space="0" w:color="auto"/>
      </w:divBdr>
    </w:div>
    <w:div w:id="1744640982">
      <w:bodyDiv w:val="1"/>
      <w:marLeft w:val="0"/>
      <w:marRight w:val="0"/>
      <w:marTop w:val="0"/>
      <w:marBottom w:val="0"/>
      <w:divBdr>
        <w:top w:val="none" w:sz="0" w:space="0" w:color="auto"/>
        <w:left w:val="none" w:sz="0" w:space="0" w:color="auto"/>
        <w:bottom w:val="none" w:sz="0" w:space="0" w:color="auto"/>
        <w:right w:val="none" w:sz="0" w:space="0" w:color="auto"/>
      </w:divBdr>
    </w:div>
    <w:div w:id="1744790788">
      <w:bodyDiv w:val="1"/>
      <w:marLeft w:val="0"/>
      <w:marRight w:val="0"/>
      <w:marTop w:val="0"/>
      <w:marBottom w:val="0"/>
      <w:divBdr>
        <w:top w:val="none" w:sz="0" w:space="0" w:color="auto"/>
        <w:left w:val="none" w:sz="0" w:space="0" w:color="auto"/>
        <w:bottom w:val="none" w:sz="0" w:space="0" w:color="auto"/>
        <w:right w:val="none" w:sz="0" w:space="0" w:color="auto"/>
      </w:divBdr>
    </w:div>
    <w:div w:id="1744839735">
      <w:bodyDiv w:val="1"/>
      <w:marLeft w:val="0"/>
      <w:marRight w:val="0"/>
      <w:marTop w:val="0"/>
      <w:marBottom w:val="0"/>
      <w:divBdr>
        <w:top w:val="none" w:sz="0" w:space="0" w:color="auto"/>
        <w:left w:val="none" w:sz="0" w:space="0" w:color="auto"/>
        <w:bottom w:val="none" w:sz="0" w:space="0" w:color="auto"/>
        <w:right w:val="none" w:sz="0" w:space="0" w:color="auto"/>
      </w:divBdr>
    </w:div>
    <w:div w:id="1745568696">
      <w:bodyDiv w:val="1"/>
      <w:marLeft w:val="0"/>
      <w:marRight w:val="0"/>
      <w:marTop w:val="0"/>
      <w:marBottom w:val="0"/>
      <w:divBdr>
        <w:top w:val="none" w:sz="0" w:space="0" w:color="auto"/>
        <w:left w:val="none" w:sz="0" w:space="0" w:color="auto"/>
        <w:bottom w:val="none" w:sz="0" w:space="0" w:color="auto"/>
        <w:right w:val="none" w:sz="0" w:space="0" w:color="auto"/>
      </w:divBdr>
    </w:div>
    <w:div w:id="1745948906">
      <w:bodyDiv w:val="1"/>
      <w:marLeft w:val="0"/>
      <w:marRight w:val="0"/>
      <w:marTop w:val="0"/>
      <w:marBottom w:val="0"/>
      <w:divBdr>
        <w:top w:val="none" w:sz="0" w:space="0" w:color="auto"/>
        <w:left w:val="none" w:sz="0" w:space="0" w:color="auto"/>
        <w:bottom w:val="none" w:sz="0" w:space="0" w:color="auto"/>
        <w:right w:val="none" w:sz="0" w:space="0" w:color="auto"/>
      </w:divBdr>
    </w:div>
    <w:div w:id="1746340746">
      <w:bodyDiv w:val="1"/>
      <w:marLeft w:val="0"/>
      <w:marRight w:val="0"/>
      <w:marTop w:val="0"/>
      <w:marBottom w:val="0"/>
      <w:divBdr>
        <w:top w:val="none" w:sz="0" w:space="0" w:color="auto"/>
        <w:left w:val="none" w:sz="0" w:space="0" w:color="auto"/>
        <w:bottom w:val="none" w:sz="0" w:space="0" w:color="auto"/>
        <w:right w:val="none" w:sz="0" w:space="0" w:color="auto"/>
      </w:divBdr>
    </w:div>
    <w:div w:id="1746606961">
      <w:bodyDiv w:val="1"/>
      <w:marLeft w:val="0"/>
      <w:marRight w:val="0"/>
      <w:marTop w:val="0"/>
      <w:marBottom w:val="0"/>
      <w:divBdr>
        <w:top w:val="none" w:sz="0" w:space="0" w:color="auto"/>
        <w:left w:val="none" w:sz="0" w:space="0" w:color="auto"/>
        <w:bottom w:val="none" w:sz="0" w:space="0" w:color="auto"/>
        <w:right w:val="none" w:sz="0" w:space="0" w:color="auto"/>
      </w:divBdr>
    </w:div>
    <w:div w:id="1746872919">
      <w:bodyDiv w:val="1"/>
      <w:marLeft w:val="0"/>
      <w:marRight w:val="0"/>
      <w:marTop w:val="0"/>
      <w:marBottom w:val="0"/>
      <w:divBdr>
        <w:top w:val="none" w:sz="0" w:space="0" w:color="auto"/>
        <w:left w:val="none" w:sz="0" w:space="0" w:color="auto"/>
        <w:bottom w:val="none" w:sz="0" w:space="0" w:color="auto"/>
        <w:right w:val="none" w:sz="0" w:space="0" w:color="auto"/>
      </w:divBdr>
    </w:div>
    <w:div w:id="1748308550">
      <w:bodyDiv w:val="1"/>
      <w:marLeft w:val="0"/>
      <w:marRight w:val="0"/>
      <w:marTop w:val="0"/>
      <w:marBottom w:val="0"/>
      <w:divBdr>
        <w:top w:val="none" w:sz="0" w:space="0" w:color="auto"/>
        <w:left w:val="none" w:sz="0" w:space="0" w:color="auto"/>
        <w:bottom w:val="none" w:sz="0" w:space="0" w:color="auto"/>
        <w:right w:val="none" w:sz="0" w:space="0" w:color="auto"/>
      </w:divBdr>
    </w:div>
    <w:div w:id="1749425865">
      <w:bodyDiv w:val="1"/>
      <w:marLeft w:val="0"/>
      <w:marRight w:val="0"/>
      <w:marTop w:val="0"/>
      <w:marBottom w:val="0"/>
      <w:divBdr>
        <w:top w:val="none" w:sz="0" w:space="0" w:color="auto"/>
        <w:left w:val="none" w:sz="0" w:space="0" w:color="auto"/>
        <w:bottom w:val="none" w:sz="0" w:space="0" w:color="auto"/>
        <w:right w:val="none" w:sz="0" w:space="0" w:color="auto"/>
      </w:divBdr>
    </w:div>
    <w:div w:id="1749495883">
      <w:bodyDiv w:val="1"/>
      <w:marLeft w:val="0"/>
      <w:marRight w:val="0"/>
      <w:marTop w:val="0"/>
      <w:marBottom w:val="0"/>
      <w:divBdr>
        <w:top w:val="none" w:sz="0" w:space="0" w:color="auto"/>
        <w:left w:val="none" w:sz="0" w:space="0" w:color="auto"/>
        <w:bottom w:val="none" w:sz="0" w:space="0" w:color="auto"/>
        <w:right w:val="none" w:sz="0" w:space="0" w:color="auto"/>
      </w:divBdr>
    </w:div>
    <w:div w:id="1749498352">
      <w:bodyDiv w:val="1"/>
      <w:marLeft w:val="0"/>
      <w:marRight w:val="0"/>
      <w:marTop w:val="0"/>
      <w:marBottom w:val="0"/>
      <w:divBdr>
        <w:top w:val="none" w:sz="0" w:space="0" w:color="auto"/>
        <w:left w:val="none" w:sz="0" w:space="0" w:color="auto"/>
        <w:bottom w:val="none" w:sz="0" w:space="0" w:color="auto"/>
        <w:right w:val="none" w:sz="0" w:space="0" w:color="auto"/>
      </w:divBdr>
    </w:div>
    <w:div w:id="1749964560">
      <w:bodyDiv w:val="1"/>
      <w:marLeft w:val="0"/>
      <w:marRight w:val="0"/>
      <w:marTop w:val="0"/>
      <w:marBottom w:val="0"/>
      <w:divBdr>
        <w:top w:val="none" w:sz="0" w:space="0" w:color="auto"/>
        <w:left w:val="none" w:sz="0" w:space="0" w:color="auto"/>
        <w:bottom w:val="none" w:sz="0" w:space="0" w:color="auto"/>
        <w:right w:val="none" w:sz="0" w:space="0" w:color="auto"/>
      </w:divBdr>
    </w:div>
    <w:div w:id="1750426161">
      <w:bodyDiv w:val="1"/>
      <w:marLeft w:val="0"/>
      <w:marRight w:val="0"/>
      <w:marTop w:val="0"/>
      <w:marBottom w:val="0"/>
      <w:divBdr>
        <w:top w:val="none" w:sz="0" w:space="0" w:color="auto"/>
        <w:left w:val="none" w:sz="0" w:space="0" w:color="auto"/>
        <w:bottom w:val="none" w:sz="0" w:space="0" w:color="auto"/>
        <w:right w:val="none" w:sz="0" w:space="0" w:color="auto"/>
      </w:divBdr>
    </w:div>
    <w:div w:id="1750805643">
      <w:bodyDiv w:val="1"/>
      <w:marLeft w:val="0"/>
      <w:marRight w:val="0"/>
      <w:marTop w:val="0"/>
      <w:marBottom w:val="0"/>
      <w:divBdr>
        <w:top w:val="none" w:sz="0" w:space="0" w:color="auto"/>
        <w:left w:val="none" w:sz="0" w:space="0" w:color="auto"/>
        <w:bottom w:val="none" w:sz="0" w:space="0" w:color="auto"/>
        <w:right w:val="none" w:sz="0" w:space="0" w:color="auto"/>
      </w:divBdr>
    </w:div>
    <w:div w:id="1751152400">
      <w:bodyDiv w:val="1"/>
      <w:marLeft w:val="0"/>
      <w:marRight w:val="0"/>
      <w:marTop w:val="0"/>
      <w:marBottom w:val="0"/>
      <w:divBdr>
        <w:top w:val="none" w:sz="0" w:space="0" w:color="auto"/>
        <w:left w:val="none" w:sz="0" w:space="0" w:color="auto"/>
        <w:bottom w:val="none" w:sz="0" w:space="0" w:color="auto"/>
        <w:right w:val="none" w:sz="0" w:space="0" w:color="auto"/>
      </w:divBdr>
    </w:div>
    <w:div w:id="1751348365">
      <w:bodyDiv w:val="1"/>
      <w:marLeft w:val="0"/>
      <w:marRight w:val="0"/>
      <w:marTop w:val="0"/>
      <w:marBottom w:val="0"/>
      <w:divBdr>
        <w:top w:val="none" w:sz="0" w:space="0" w:color="auto"/>
        <w:left w:val="none" w:sz="0" w:space="0" w:color="auto"/>
        <w:bottom w:val="none" w:sz="0" w:space="0" w:color="auto"/>
        <w:right w:val="none" w:sz="0" w:space="0" w:color="auto"/>
      </w:divBdr>
    </w:div>
    <w:div w:id="1751468492">
      <w:bodyDiv w:val="1"/>
      <w:marLeft w:val="0"/>
      <w:marRight w:val="0"/>
      <w:marTop w:val="0"/>
      <w:marBottom w:val="0"/>
      <w:divBdr>
        <w:top w:val="none" w:sz="0" w:space="0" w:color="auto"/>
        <w:left w:val="none" w:sz="0" w:space="0" w:color="auto"/>
        <w:bottom w:val="none" w:sz="0" w:space="0" w:color="auto"/>
        <w:right w:val="none" w:sz="0" w:space="0" w:color="auto"/>
      </w:divBdr>
    </w:div>
    <w:div w:id="1752046034">
      <w:bodyDiv w:val="1"/>
      <w:marLeft w:val="0"/>
      <w:marRight w:val="0"/>
      <w:marTop w:val="0"/>
      <w:marBottom w:val="0"/>
      <w:divBdr>
        <w:top w:val="none" w:sz="0" w:space="0" w:color="auto"/>
        <w:left w:val="none" w:sz="0" w:space="0" w:color="auto"/>
        <w:bottom w:val="none" w:sz="0" w:space="0" w:color="auto"/>
        <w:right w:val="none" w:sz="0" w:space="0" w:color="auto"/>
      </w:divBdr>
    </w:div>
    <w:div w:id="1752117960">
      <w:bodyDiv w:val="1"/>
      <w:marLeft w:val="0"/>
      <w:marRight w:val="0"/>
      <w:marTop w:val="0"/>
      <w:marBottom w:val="0"/>
      <w:divBdr>
        <w:top w:val="none" w:sz="0" w:space="0" w:color="auto"/>
        <w:left w:val="none" w:sz="0" w:space="0" w:color="auto"/>
        <w:bottom w:val="none" w:sz="0" w:space="0" w:color="auto"/>
        <w:right w:val="none" w:sz="0" w:space="0" w:color="auto"/>
      </w:divBdr>
    </w:div>
    <w:div w:id="1753551629">
      <w:bodyDiv w:val="1"/>
      <w:marLeft w:val="0"/>
      <w:marRight w:val="0"/>
      <w:marTop w:val="0"/>
      <w:marBottom w:val="0"/>
      <w:divBdr>
        <w:top w:val="none" w:sz="0" w:space="0" w:color="auto"/>
        <w:left w:val="none" w:sz="0" w:space="0" w:color="auto"/>
        <w:bottom w:val="none" w:sz="0" w:space="0" w:color="auto"/>
        <w:right w:val="none" w:sz="0" w:space="0" w:color="auto"/>
      </w:divBdr>
    </w:div>
    <w:div w:id="1753576405">
      <w:bodyDiv w:val="1"/>
      <w:marLeft w:val="0"/>
      <w:marRight w:val="0"/>
      <w:marTop w:val="0"/>
      <w:marBottom w:val="0"/>
      <w:divBdr>
        <w:top w:val="none" w:sz="0" w:space="0" w:color="auto"/>
        <w:left w:val="none" w:sz="0" w:space="0" w:color="auto"/>
        <w:bottom w:val="none" w:sz="0" w:space="0" w:color="auto"/>
        <w:right w:val="none" w:sz="0" w:space="0" w:color="auto"/>
      </w:divBdr>
    </w:div>
    <w:div w:id="1753967891">
      <w:bodyDiv w:val="1"/>
      <w:marLeft w:val="0"/>
      <w:marRight w:val="0"/>
      <w:marTop w:val="0"/>
      <w:marBottom w:val="0"/>
      <w:divBdr>
        <w:top w:val="none" w:sz="0" w:space="0" w:color="auto"/>
        <w:left w:val="none" w:sz="0" w:space="0" w:color="auto"/>
        <w:bottom w:val="none" w:sz="0" w:space="0" w:color="auto"/>
        <w:right w:val="none" w:sz="0" w:space="0" w:color="auto"/>
      </w:divBdr>
    </w:div>
    <w:div w:id="1754621401">
      <w:bodyDiv w:val="1"/>
      <w:marLeft w:val="0"/>
      <w:marRight w:val="0"/>
      <w:marTop w:val="0"/>
      <w:marBottom w:val="0"/>
      <w:divBdr>
        <w:top w:val="none" w:sz="0" w:space="0" w:color="auto"/>
        <w:left w:val="none" w:sz="0" w:space="0" w:color="auto"/>
        <w:bottom w:val="none" w:sz="0" w:space="0" w:color="auto"/>
        <w:right w:val="none" w:sz="0" w:space="0" w:color="auto"/>
      </w:divBdr>
    </w:div>
    <w:div w:id="1754739964">
      <w:bodyDiv w:val="1"/>
      <w:marLeft w:val="0"/>
      <w:marRight w:val="0"/>
      <w:marTop w:val="0"/>
      <w:marBottom w:val="0"/>
      <w:divBdr>
        <w:top w:val="none" w:sz="0" w:space="0" w:color="auto"/>
        <w:left w:val="none" w:sz="0" w:space="0" w:color="auto"/>
        <w:bottom w:val="none" w:sz="0" w:space="0" w:color="auto"/>
        <w:right w:val="none" w:sz="0" w:space="0" w:color="auto"/>
      </w:divBdr>
    </w:div>
    <w:div w:id="1754859190">
      <w:bodyDiv w:val="1"/>
      <w:marLeft w:val="0"/>
      <w:marRight w:val="0"/>
      <w:marTop w:val="0"/>
      <w:marBottom w:val="0"/>
      <w:divBdr>
        <w:top w:val="none" w:sz="0" w:space="0" w:color="auto"/>
        <w:left w:val="none" w:sz="0" w:space="0" w:color="auto"/>
        <w:bottom w:val="none" w:sz="0" w:space="0" w:color="auto"/>
        <w:right w:val="none" w:sz="0" w:space="0" w:color="auto"/>
      </w:divBdr>
    </w:div>
    <w:div w:id="1755080270">
      <w:bodyDiv w:val="1"/>
      <w:marLeft w:val="0"/>
      <w:marRight w:val="0"/>
      <w:marTop w:val="0"/>
      <w:marBottom w:val="0"/>
      <w:divBdr>
        <w:top w:val="none" w:sz="0" w:space="0" w:color="auto"/>
        <w:left w:val="none" w:sz="0" w:space="0" w:color="auto"/>
        <w:bottom w:val="none" w:sz="0" w:space="0" w:color="auto"/>
        <w:right w:val="none" w:sz="0" w:space="0" w:color="auto"/>
      </w:divBdr>
    </w:div>
    <w:div w:id="1755281663">
      <w:bodyDiv w:val="1"/>
      <w:marLeft w:val="0"/>
      <w:marRight w:val="0"/>
      <w:marTop w:val="0"/>
      <w:marBottom w:val="0"/>
      <w:divBdr>
        <w:top w:val="none" w:sz="0" w:space="0" w:color="auto"/>
        <w:left w:val="none" w:sz="0" w:space="0" w:color="auto"/>
        <w:bottom w:val="none" w:sz="0" w:space="0" w:color="auto"/>
        <w:right w:val="none" w:sz="0" w:space="0" w:color="auto"/>
      </w:divBdr>
    </w:div>
    <w:div w:id="1755472811">
      <w:bodyDiv w:val="1"/>
      <w:marLeft w:val="0"/>
      <w:marRight w:val="0"/>
      <w:marTop w:val="0"/>
      <w:marBottom w:val="0"/>
      <w:divBdr>
        <w:top w:val="none" w:sz="0" w:space="0" w:color="auto"/>
        <w:left w:val="none" w:sz="0" w:space="0" w:color="auto"/>
        <w:bottom w:val="none" w:sz="0" w:space="0" w:color="auto"/>
        <w:right w:val="none" w:sz="0" w:space="0" w:color="auto"/>
      </w:divBdr>
    </w:div>
    <w:div w:id="1755737206">
      <w:bodyDiv w:val="1"/>
      <w:marLeft w:val="0"/>
      <w:marRight w:val="0"/>
      <w:marTop w:val="0"/>
      <w:marBottom w:val="0"/>
      <w:divBdr>
        <w:top w:val="none" w:sz="0" w:space="0" w:color="auto"/>
        <w:left w:val="none" w:sz="0" w:space="0" w:color="auto"/>
        <w:bottom w:val="none" w:sz="0" w:space="0" w:color="auto"/>
        <w:right w:val="none" w:sz="0" w:space="0" w:color="auto"/>
      </w:divBdr>
    </w:div>
    <w:div w:id="1755855712">
      <w:bodyDiv w:val="1"/>
      <w:marLeft w:val="0"/>
      <w:marRight w:val="0"/>
      <w:marTop w:val="0"/>
      <w:marBottom w:val="0"/>
      <w:divBdr>
        <w:top w:val="none" w:sz="0" w:space="0" w:color="auto"/>
        <w:left w:val="none" w:sz="0" w:space="0" w:color="auto"/>
        <w:bottom w:val="none" w:sz="0" w:space="0" w:color="auto"/>
        <w:right w:val="none" w:sz="0" w:space="0" w:color="auto"/>
      </w:divBdr>
    </w:div>
    <w:div w:id="1756129541">
      <w:bodyDiv w:val="1"/>
      <w:marLeft w:val="0"/>
      <w:marRight w:val="0"/>
      <w:marTop w:val="0"/>
      <w:marBottom w:val="0"/>
      <w:divBdr>
        <w:top w:val="none" w:sz="0" w:space="0" w:color="auto"/>
        <w:left w:val="none" w:sz="0" w:space="0" w:color="auto"/>
        <w:bottom w:val="none" w:sz="0" w:space="0" w:color="auto"/>
        <w:right w:val="none" w:sz="0" w:space="0" w:color="auto"/>
      </w:divBdr>
    </w:div>
    <w:div w:id="1756628548">
      <w:bodyDiv w:val="1"/>
      <w:marLeft w:val="0"/>
      <w:marRight w:val="0"/>
      <w:marTop w:val="0"/>
      <w:marBottom w:val="0"/>
      <w:divBdr>
        <w:top w:val="none" w:sz="0" w:space="0" w:color="auto"/>
        <w:left w:val="none" w:sz="0" w:space="0" w:color="auto"/>
        <w:bottom w:val="none" w:sz="0" w:space="0" w:color="auto"/>
        <w:right w:val="none" w:sz="0" w:space="0" w:color="auto"/>
      </w:divBdr>
    </w:div>
    <w:div w:id="1756704707">
      <w:bodyDiv w:val="1"/>
      <w:marLeft w:val="0"/>
      <w:marRight w:val="0"/>
      <w:marTop w:val="0"/>
      <w:marBottom w:val="0"/>
      <w:divBdr>
        <w:top w:val="none" w:sz="0" w:space="0" w:color="auto"/>
        <w:left w:val="none" w:sz="0" w:space="0" w:color="auto"/>
        <w:bottom w:val="none" w:sz="0" w:space="0" w:color="auto"/>
        <w:right w:val="none" w:sz="0" w:space="0" w:color="auto"/>
      </w:divBdr>
    </w:div>
    <w:div w:id="1756853933">
      <w:bodyDiv w:val="1"/>
      <w:marLeft w:val="0"/>
      <w:marRight w:val="0"/>
      <w:marTop w:val="0"/>
      <w:marBottom w:val="0"/>
      <w:divBdr>
        <w:top w:val="none" w:sz="0" w:space="0" w:color="auto"/>
        <w:left w:val="none" w:sz="0" w:space="0" w:color="auto"/>
        <w:bottom w:val="none" w:sz="0" w:space="0" w:color="auto"/>
        <w:right w:val="none" w:sz="0" w:space="0" w:color="auto"/>
      </w:divBdr>
    </w:div>
    <w:div w:id="1757091870">
      <w:bodyDiv w:val="1"/>
      <w:marLeft w:val="0"/>
      <w:marRight w:val="0"/>
      <w:marTop w:val="0"/>
      <w:marBottom w:val="0"/>
      <w:divBdr>
        <w:top w:val="none" w:sz="0" w:space="0" w:color="auto"/>
        <w:left w:val="none" w:sz="0" w:space="0" w:color="auto"/>
        <w:bottom w:val="none" w:sz="0" w:space="0" w:color="auto"/>
        <w:right w:val="none" w:sz="0" w:space="0" w:color="auto"/>
      </w:divBdr>
    </w:div>
    <w:div w:id="1757095929">
      <w:bodyDiv w:val="1"/>
      <w:marLeft w:val="0"/>
      <w:marRight w:val="0"/>
      <w:marTop w:val="0"/>
      <w:marBottom w:val="0"/>
      <w:divBdr>
        <w:top w:val="none" w:sz="0" w:space="0" w:color="auto"/>
        <w:left w:val="none" w:sz="0" w:space="0" w:color="auto"/>
        <w:bottom w:val="none" w:sz="0" w:space="0" w:color="auto"/>
        <w:right w:val="none" w:sz="0" w:space="0" w:color="auto"/>
      </w:divBdr>
    </w:div>
    <w:div w:id="1757244265">
      <w:bodyDiv w:val="1"/>
      <w:marLeft w:val="0"/>
      <w:marRight w:val="0"/>
      <w:marTop w:val="0"/>
      <w:marBottom w:val="0"/>
      <w:divBdr>
        <w:top w:val="none" w:sz="0" w:space="0" w:color="auto"/>
        <w:left w:val="none" w:sz="0" w:space="0" w:color="auto"/>
        <w:bottom w:val="none" w:sz="0" w:space="0" w:color="auto"/>
        <w:right w:val="none" w:sz="0" w:space="0" w:color="auto"/>
      </w:divBdr>
    </w:div>
    <w:div w:id="1757752571">
      <w:bodyDiv w:val="1"/>
      <w:marLeft w:val="0"/>
      <w:marRight w:val="0"/>
      <w:marTop w:val="0"/>
      <w:marBottom w:val="0"/>
      <w:divBdr>
        <w:top w:val="none" w:sz="0" w:space="0" w:color="auto"/>
        <w:left w:val="none" w:sz="0" w:space="0" w:color="auto"/>
        <w:bottom w:val="none" w:sz="0" w:space="0" w:color="auto"/>
        <w:right w:val="none" w:sz="0" w:space="0" w:color="auto"/>
      </w:divBdr>
    </w:div>
    <w:div w:id="1758088186">
      <w:bodyDiv w:val="1"/>
      <w:marLeft w:val="0"/>
      <w:marRight w:val="0"/>
      <w:marTop w:val="0"/>
      <w:marBottom w:val="0"/>
      <w:divBdr>
        <w:top w:val="none" w:sz="0" w:space="0" w:color="auto"/>
        <w:left w:val="none" w:sz="0" w:space="0" w:color="auto"/>
        <w:bottom w:val="none" w:sz="0" w:space="0" w:color="auto"/>
        <w:right w:val="none" w:sz="0" w:space="0" w:color="auto"/>
      </w:divBdr>
    </w:div>
    <w:div w:id="1759404574">
      <w:bodyDiv w:val="1"/>
      <w:marLeft w:val="0"/>
      <w:marRight w:val="0"/>
      <w:marTop w:val="0"/>
      <w:marBottom w:val="0"/>
      <w:divBdr>
        <w:top w:val="none" w:sz="0" w:space="0" w:color="auto"/>
        <w:left w:val="none" w:sz="0" w:space="0" w:color="auto"/>
        <w:bottom w:val="none" w:sz="0" w:space="0" w:color="auto"/>
        <w:right w:val="none" w:sz="0" w:space="0" w:color="auto"/>
      </w:divBdr>
    </w:div>
    <w:div w:id="1759673487">
      <w:bodyDiv w:val="1"/>
      <w:marLeft w:val="0"/>
      <w:marRight w:val="0"/>
      <w:marTop w:val="0"/>
      <w:marBottom w:val="0"/>
      <w:divBdr>
        <w:top w:val="none" w:sz="0" w:space="0" w:color="auto"/>
        <w:left w:val="none" w:sz="0" w:space="0" w:color="auto"/>
        <w:bottom w:val="none" w:sz="0" w:space="0" w:color="auto"/>
        <w:right w:val="none" w:sz="0" w:space="0" w:color="auto"/>
      </w:divBdr>
    </w:div>
    <w:div w:id="1759863780">
      <w:bodyDiv w:val="1"/>
      <w:marLeft w:val="0"/>
      <w:marRight w:val="0"/>
      <w:marTop w:val="0"/>
      <w:marBottom w:val="0"/>
      <w:divBdr>
        <w:top w:val="none" w:sz="0" w:space="0" w:color="auto"/>
        <w:left w:val="none" w:sz="0" w:space="0" w:color="auto"/>
        <w:bottom w:val="none" w:sz="0" w:space="0" w:color="auto"/>
        <w:right w:val="none" w:sz="0" w:space="0" w:color="auto"/>
      </w:divBdr>
    </w:div>
    <w:div w:id="1760059514">
      <w:bodyDiv w:val="1"/>
      <w:marLeft w:val="0"/>
      <w:marRight w:val="0"/>
      <w:marTop w:val="0"/>
      <w:marBottom w:val="0"/>
      <w:divBdr>
        <w:top w:val="none" w:sz="0" w:space="0" w:color="auto"/>
        <w:left w:val="none" w:sz="0" w:space="0" w:color="auto"/>
        <w:bottom w:val="none" w:sz="0" w:space="0" w:color="auto"/>
        <w:right w:val="none" w:sz="0" w:space="0" w:color="auto"/>
      </w:divBdr>
    </w:div>
    <w:div w:id="1760172416">
      <w:bodyDiv w:val="1"/>
      <w:marLeft w:val="0"/>
      <w:marRight w:val="0"/>
      <w:marTop w:val="0"/>
      <w:marBottom w:val="0"/>
      <w:divBdr>
        <w:top w:val="none" w:sz="0" w:space="0" w:color="auto"/>
        <w:left w:val="none" w:sz="0" w:space="0" w:color="auto"/>
        <w:bottom w:val="none" w:sz="0" w:space="0" w:color="auto"/>
        <w:right w:val="none" w:sz="0" w:space="0" w:color="auto"/>
      </w:divBdr>
    </w:div>
    <w:div w:id="1760364310">
      <w:bodyDiv w:val="1"/>
      <w:marLeft w:val="0"/>
      <w:marRight w:val="0"/>
      <w:marTop w:val="0"/>
      <w:marBottom w:val="0"/>
      <w:divBdr>
        <w:top w:val="none" w:sz="0" w:space="0" w:color="auto"/>
        <w:left w:val="none" w:sz="0" w:space="0" w:color="auto"/>
        <w:bottom w:val="none" w:sz="0" w:space="0" w:color="auto"/>
        <w:right w:val="none" w:sz="0" w:space="0" w:color="auto"/>
      </w:divBdr>
    </w:div>
    <w:div w:id="1760372759">
      <w:bodyDiv w:val="1"/>
      <w:marLeft w:val="0"/>
      <w:marRight w:val="0"/>
      <w:marTop w:val="0"/>
      <w:marBottom w:val="0"/>
      <w:divBdr>
        <w:top w:val="none" w:sz="0" w:space="0" w:color="auto"/>
        <w:left w:val="none" w:sz="0" w:space="0" w:color="auto"/>
        <w:bottom w:val="none" w:sz="0" w:space="0" w:color="auto"/>
        <w:right w:val="none" w:sz="0" w:space="0" w:color="auto"/>
      </w:divBdr>
    </w:div>
    <w:div w:id="1761103859">
      <w:bodyDiv w:val="1"/>
      <w:marLeft w:val="0"/>
      <w:marRight w:val="0"/>
      <w:marTop w:val="0"/>
      <w:marBottom w:val="0"/>
      <w:divBdr>
        <w:top w:val="none" w:sz="0" w:space="0" w:color="auto"/>
        <w:left w:val="none" w:sz="0" w:space="0" w:color="auto"/>
        <w:bottom w:val="none" w:sz="0" w:space="0" w:color="auto"/>
        <w:right w:val="none" w:sz="0" w:space="0" w:color="auto"/>
      </w:divBdr>
    </w:div>
    <w:div w:id="1761294617">
      <w:bodyDiv w:val="1"/>
      <w:marLeft w:val="0"/>
      <w:marRight w:val="0"/>
      <w:marTop w:val="0"/>
      <w:marBottom w:val="0"/>
      <w:divBdr>
        <w:top w:val="none" w:sz="0" w:space="0" w:color="auto"/>
        <w:left w:val="none" w:sz="0" w:space="0" w:color="auto"/>
        <w:bottom w:val="none" w:sz="0" w:space="0" w:color="auto"/>
        <w:right w:val="none" w:sz="0" w:space="0" w:color="auto"/>
      </w:divBdr>
    </w:div>
    <w:div w:id="1761411457">
      <w:bodyDiv w:val="1"/>
      <w:marLeft w:val="0"/>
      <w:marRight w:val="0"/>
      <w:marTop w:val="0"/>
      <w:marBottom w:val="0"/>
      <w:divBdr>
        <w:top w:val="none" w:sz="0" w:space="0" w:color="auto"/>
        <w:left w:val="none" w:sz="0" w:space="0" w:color="auto"/>
        <w:bottom w:val="none" w:sz="0" w:space="0" w:color="auto"/>
        <w:right w:val="none" w:sz="0" w:space="0" w:color="auto"/>
      </w:divBdr>
    </w:div>
    <w:div w:id="1762141288">
      <w:bodyDiv w:val="1"/>
      <w:marLeft w:val="0"/>
      <w:marRight w:val="0"/>
      <w:marTop w:val="0"/>
      <w:marBottom w:val="0"/>
      <w:divBdr>
        <w:top w:val="none" w:sz="0" w:space="0" w:color="auto"/>
        <w:left w:val="none" w:sz="0" w:space="0" w:color="auto"/>
        <w:bottom w:val="none" w:sz="0" w:space="0" w:color="auto"/>
        <w:right w:val="none" w:sz="0" w:space="0" w:color="auto"/>
      </w:divBdr>
    </w:div>
    <w:div w:id="1763329980">
      <w:bodyDiv w:val="1"/>
      <w:marLeft w:val="0"/>
      <w:marRight w:val="0"/>
      <w:marTop w:val="0"/>
      <w:marBottom w:val="0"/>
      <w:divBdr>
        <w:top w:val="none" w:sz="0" w:space="0" w:color="auto"/>
        <w:left w:val="none" w:sz="0" w:space="0" w:color="auto"/>
        <w:bottom w:val="none" w:sz="0" w:space="0" w:color="auto"/>
        <w:right w:val="none" w:sz="0" w:space="0" w:color="auto"/>
      </w:divBdr>
    </w:div>
    <w:div w:id="1763716993">
      <w:bodyDiv w:val="1"/>
      <w:marLeft w:val="0"/>
      <w:marRight w:val="0"/>
      <w:marTop w:val="0"/>
      <w:marBottom w:val="0"/>
      <w:divBdr>
        <w:top w:val="none" w:sz="0" w:space="0" w:color="auto"/>
        <w:left w:val="none" w:sz="0" w:space="0" w:color="auto"/>
        <w:bottom w:val="none" w:sz="0" w:space="0" w:color="auto"/>
        <w:right w:val="none" w:sz="0" w:space="0" w:color="auto"/>
      </w:divBdr>
    </w:div>
    <w:div w:id="1763722454">
      <w:bodyDiv w:val="1"/>
      <w:marLeft w:val="0"/>
      <w:marRight w:val="0"/>
      <w:marTop w:val="0"/>
      <w:marBottom w:val="0"/>
      <w:divBdr>
        <w:top w:val="none" w:sz="0" w:space="0" w:color="auto"/>
        <w:left w:val="none" w:sz="0" w:space="0" w:color="auto"/>
        <w:bottom w:val="none" w:sz="0" w:space="0" w:color="auto"/>
        <w:right w:val="none" w:sz="0" w:space="0" w:color="auto"/>
      </w:divBdr>
    </w:div>
    <w:div w:id="1763985665">
      <w:bodyDiv w:val="1"/>
      <w:marLeft w:val="0"/>
      <w:marRight w:val="0"/>
      <w:marTop w:val="0"/>
      <w:marBottom w:val="0"/>
      <w:divBdr>
        <w:top w:val="none" w:sz="0" w:space="0" w:color="auto"/>
        <w:left w:val="none" w:sz="0" w:space="0" w:color="auto"/>
        <w:bottom w:val="none" w:sz="0" w:space="0" w:color="auto"/>
        <w:right w:val="none" w:sz="0" w:space="0" w:color="auto"/>
      </w:divBdr>
    </w:div>
    <w:div w:id="1764256413">
      <w:bodyDiv w:val="1"/>
      <w:marLeft w:val="0"/>
      <w:marRight w:val="0"/>
      <w:marTop w:val="0"/>
      <w:marBottom w:val="0"/>
      <w:divBdr>
        <w:top w:val="none" w:sz="0" w:space="0" w:color="auto"/>
        <w:left w:val="none" w:sz="0" w:space="0" w:color="auto"/>
        <w:bottom w:val="none" w:sz="0" w:space="0" w:color="auto"/>
        <w:right w:val="none" w:sz="0" w:space="0" w:color="auto"/>
      </w:divBdr>
    </w:div>
    <w:div w:id="1764523583">
      <w:bodyDiv w:val="1"/>
      <w:marLeft w:val="0"/>
      <w:marRight w:val="0"/>
      <w:marTop w:val="0"/>
      <w:marBottom w:val="0"/>
      <w:divBdr>
        <w:top w:val="none" w:sz="0" w:space="0" w:color="auto"/>
        <w:left w:val="none" w:sz="0" w:space="0" w:color="auto"/>
        <w:bottom w:val="none" w:sz="0" w:space="0" w:color="auto"/>
        <w:right w:val="none" w:sz="0" w:space="0" w:color="auto"/>
      </w:divBdr>
    </w:div>
    <w:div w:id="1764640565">
      <w:bodyDiv w:val="1"/>
      <w:marLeft w:val="0"/>
      <w:marRight w:val="0"/>
      <w:marTop w:val="0"/>
      <w:marBottom w:val="0"/>
      <w:divBdr>
        <w:top w:val="none" w:sz="0" w:space="0" w:color="auto"/>
        <w:left w:val="none" w:sz="0" w:space="0" w:color="auto"/>
        <w:bottom w:val="none" w:sz="0" w:space="0" w:color="auto"/>
        <w:right w:val="none" w:sz="0" w:space="0" w:color="auto"/>
      </w:divBdr>
    </w:div>
    <w:div w:id="1764767498">
      <w:bodyDiv w:val="1"/>
      <w:marLeft w:val="0"/>
      <w:marRight w:val="0"/>
      <w:marTop w:val="0"/>
      <w:marBottom w:val="0"/>
      <w:divBdr>
        <w:top w:val="none" w:sz="0" w:space="0" w:color="auto"/>
        <w:left w:val="none" w:sz="0" w:space="0" w:color="auto"/>
        <w:bottom w:val="none" w:sz="0" w:space="0" w:color="auto"/>
        <w:right w:val="none" w:sz="0" w:space="0" w:color="auto"/>
      </w:divBdr>
    </w:div>
    <w:div w:id="1764840130">
      <w:bodyDiv w:val="1"/>
      <w:marLeft w:val="0"/>
      <w:marRight w:val="0"/>
      <w:marTop w:val="0"/>
      <w:marBottom w:val="0"/>
      <w:divBdr>
        <w:top w:val="none" w:sz="0" w:space="0" w:color="auto"/>
        <w:left w:val="none" w:sz="0" w:space="0" w:color="auto"/>
        <w:bottom w:val="none" w:sz="0" w:space="0" w:color="auto"/>
        <w:right w:val="none" w:sz="0" w:space="0" w:color="auto"/>
      </w:divBdr>
    </w:div>
    <w:div w:id="1765299436">
      <w:bodyDiv w:val="1"/>
      <w:marLeft w:val="0"/>
      <w:marRight w:val="0"/>
      <w:marTop w:val="0"/>
      <w:marBottom w:val="0"/>
      <w:divBdr>
        <w:top w:val="none" w:sz="0" w:space="0" w:color="auto"/>
        <w:left w:val="none" w:sz="0" w:space="0" w:color="auto"/>
        <w:bottom w:val="none" w:sz="0" w:space="0" w:color="auto"/>
        <w:right w:val="none" w:sz="0" w:space="0" w:color="auto"/>
      </w:divBdr>
    </w:div>
    <w:div w:id="1765303835">
      <w:bodyDiv w:val="1"/>
      <w:marLeft w:val="0"/>
      <w:marRight w:val="0"/>
      <w:marTop w:val="0"/>
      <w:marBottom w:val="0"/>
      <w:divBdr>
        <w:top w:val="none" w:sz="0" w:space="0" w:color="auto"/>
        <w:left w:val="none" w:sz="0" w:space="0" w:color="auto"/>
        <w:bottom w:val="none" w:sz="0" w:space="0" w:color="auto"/>
        <w:right w:val="none" w:sz="0" w:space="0" w:color="auto"/>
      </w:divBdr>
    </w:div>
    <w:div w:id="1765343300">
      <w:bodyDiv w:val="1"/>
      <w:marLeft w:val="0"/>
      <w:marRight w:val="0"/>
      <w:marTop w:val="0"/>
      <w:marBottom w:val="0"/>
      <w:divBdr>
        <w:top w:val="none" w:sz="0" w:space="0" w:color="auto"/>
        <w:left w:val="none" w:sz="0" w:space="0" w:color="auto"/>
        <w:bottom w:val="none" w:sz="0" w:space="0" w:color="auto"/>
        <w:right w:val="none" w:sz="0" w:space="0" w:color="auto"/>
      </w:divBdr>
    </w:div>
    <w:div w:id="1765413549">
      <w:bodyDiv w:val="1"/>
      <w:marLeft w:val="0"/>
      <w:marRight w:val="0"/>
      <w:marTop w:val="0"/>
      <w:marBottom w:val="0"/>
      <w:divBdr>
        <w:top w:val="none" w:sz="0" w:space="0" w:color="auto"/>
        <w:left w:val="none" w:sz="0" w:space="0" w:color="auto"/>
        <w:bottom w:val="none" w:sz="0" w:space="0" w:color="auto"/>
        <w:right w:val="none" w:sz="0" w:space="0" w:color="auto"/>
      </w:divBdr>
    </w:div>
    <w:div w:id="1765884451">
      <w:bodyDiv w:val="1"/>
      <w:marLeft w:val="0"/>
      <w:marRight w:val="0"/>
      <w:marTop w:val="0"/>
      <w:marBottom w:val="0"/>
      <w:divBdr>
        <w:top w:val="none" w:sz="0" w:space="0" w:color="auto"/>
        <w:left w:val="none" w:sz="0" w:space="0" w:color="auto"/>
        <w:bottom w:val="none" w:sz="0" w:space="0" w:color="auto"/>
        <w:right w:val="none" w:sz="0" w:space="0" w:color="auto"/>
      </w:divBdr>
    </w:div>
    <w:div w:id="1766723762">
      <w:bodyDiv w:val="1"/>
      <w:marLeft w:val="0"/>
      <w:marRight w:val="0"/>
      <w:marTop w:val="0"/>
      <w:marBottom w:val="0"/>
      <w:divBdr>
        <w:top w:val="none" w:sz="0" w:space="0" w:color="auto"/>
        <w:left w:val="none" w:sz="0" w:space="0" w:color="auto"/>
        <w:bottom w:val="none" w:sz="0" w:space="0" w:color="auto"/>
        <w:right w:val="none" w:sz="0" w:space="0" w:color="auto"/>
      </w:divBdr>
    </w:div>
    <w:div w:id="1766918472">
      <w:bodyDiv w:val="1"/>
      <w:marLeft w:val="0"/>
      <w:marRight w:val="0"/>
      <w:marTop w:val="0"/>
      <w:marBottom w:val="0"/>
      <w:divBdr>
        <w:top w:val="none" w:sz="0" w:space="0" w:color="auto"/>
        <w:left w:val="none" w:sz="0" w:space="0" w:color="auto"/>
        <w:bottom w:val="none" w:sz="0" w:space="0" w:color="auto"/>
        <w:right w:val="none" w:sz="0" w:space="0" w:color="auto"/>
      </w:divBdr>
    </w:div>
    <w:div w:id="1767067767">
      <w:bodyDiv w:val="1"/>
      <w:marLeft w:val="0"/>
      <w:marRight w:val="0"/>
      <w:marTop w:val="0"/>
      <w:marBottom w:val="0"/>
      <w:divBdr>
        <w:top w:val="none" w:sz="0" w:space="0" w:color="auto"/>
        <w:left w:val="none" w:sz="0" w:space="0" w:color="auto"/>
        <w:bottom w:val="none" w:sz="0" w:space="0" w:color="auto"/>
        <w:right w:val="none" w:sz="0" w:space="0" w:color="auto"/>
      </w:divBdr>
    </w:div>
    <w:div w:id="1767118054">
      <w:bodyDiv w:val="1"/>
      <w:marLeft w:val="0"/>
      <w:marRight w:val="0"/>
      <w:marTop w:val="0"/>
      <w:marBottom w:val="0"/>
      <w:divBdr>
        <w:top w:val="none" w:sz="0" w:space="0" w:color="auto"/>
        <w:left w:val="none" w:sz="0" w:space="0" w:color="auto"/>
        <w:bottom w:val="none" w:sz="0" w:space="0" w:color="auto"/>
        <w:right w:val="none" w:sz="0" w:space="0" w:color="auto"/>
      </w:divBdr>
    </w:div>
    <w:div w:id="1767193264">
      <w:bodyDiv w:val="1"/>
      <w:marLeft w:val="0"/>
      <w:marRight w:val="0"/>
      <w:marTop w:val="0"/>
      <w:marBottom w:val="0"/>
      <w:divBdr>
        <w:top w:val="none" w:sz="0" w:space="0" w:color="auto"/>
        <w:left w:val="none" w:sz="0" w:space="0" w:color="auto"/>
        <w:bottom w:val="none" w:sz="0" w:space="0" w:color="auto"/>
        <w:right w:val="none" w:sz="0" w:space="0" w:color="auto"/>
      </w:divBdr>
    </w:div>
    <w:div w:id="1767338963">
      <w:bodyDiv w:val="1"/>
      <w:marLeft w:val="0"/>
      <w:marRight w:val="0"/>
      <w:marTop w:val="0"/>
      <w:marBottom w:val="0"/>
      <w:divBdr>
        <w:top w:val="none" w:sz="0" w:space="0" w:color="auto"/>
        <w:left w:val="none" w:sz="0" w:space="0" w:color="auto"/>
        <w:bottom w:val="none" w:sz="0" w:space="0" w:color="auto"/>
        <w:right w:val="none" w:sz="0" w:space="0" w:color="auto"/>
      </w:divBdr>
    </w:div>
    <w:div w:id="1767529773">
      <w:bodyDiv w:val="1"/>
      <w:marLeft w:val="0"/>
      <w:marRight w:val="0"/>
      <w:marTop w:val="0"/>
      <w:marBottom w:val="0"/>
      <w:divBdr>
        <w:top w:val="none" w:sz="0" w:space="0" w:color="auto"/>
        <w:left w:val="none" w:sz="0" w:space="0" w:color="auto"/>
        <w:bottom w:val="none" w:sz="0" w:space="0" w:color="auto"/>
        <w:right w:val="none" w:sz="0" w:space="0" w:color="auto"/>
      </w:divBdr>
    </w:div>
    <w:div w:id="1767656259">
      <w:bodyDiv w:val="1"/>
      <w:marLeft w:val="0"/>
      <w:marRight w:val="0"/>
      <w:marTop w:val="0"/>
      <w:marBottom w:val="0"/>
      <w:divBdr>
        <w:top w:val="none" w:sz="0" w:space="0" w:color="auto"/>
        <w:left w:val="none" w:sz="0" w:space="0" w:color="auto"/>
        <w:bottom w:val="none" w:sz="0" w:space="0" w:color="auto"/>
        <w:right w:val="none" w:sz="0" w:space="0" w:color="auto"/>
      </w:divBdr>
    </w:div>
    <w:div w:id="1767842800">
      <w:bodyDiv w:val="1"/>
      <w:marLeft w:val="0"/>
      <w:marRight w:val="0"/>
      <w:marTop w:val="0"/>
      <w:marBottom w:val="0"/>
      <w:divBdr>
        <w:top w:val="none" w:sz="0" w:space="0" w:color="auto"/>
        <w:left w:val="none" w:sz="0" w:space="0" w:color="auto"/>
        <w:bottom w:val="none" w:sz="0" w:space="0" w:color="auto"/>
        <w:right w:val="none" w:sz="0" w:space="0" w:color="auto"/>
      </w:divBdr>
    </w:div>
    <w:div w:id="1768378418">
      <w:bodyDiv w:val="1"/>
      <w:marLeft w:val="0"/>
      <w:marRight w:val="0"/>
      <w:marTop w:val="0"/>
      <w:marBottom w:val="0"/>
      <w:divBdr>
        <w:top w:val="none" w:sz="0" w:space="0" w:color="auto"/>
        <w:left w:val="none" w:sz="0" w:space="0" w:color="auto"/>
        <w:bottom w:val="none" w:sz="0" w:space="0" w:color="auto"/>
        <w:right w:val="none" w:sz="0" w:space="0" w:color="auto"/>
      </w:divBdr>
    </w:div>
    <w:div w:id="1769034056">
      <w:bodyDiv w:val="1"/>
      <w:marLeft w:val="0"/>
      <w:marRight w:val="0"/>
      <w:marTop w:val="0"/>
      <w:marBottom w:val="0"/>
      <w:divBdr>
        <w:top w:val="none" w:sz="0" w:space="0" w:color="auto"/>
        <w:left w:val="none" w:sz="0" w:space="0" w:color="auto"/>
        <w:bottom w:val="none" w:sz="0" w:space="0" w:color="auto"/>
        <w:right w:val="none" w:sz="0" w:space="0" w:color="auto"/>
      </w:divBdr>
    </w:div>
    <w:div w:id="1769081248">
      <w:bodyDiv w:val="1"/>
      <w:marLeft w:val="0"/>
      <w:marRight w:val="0"/>
      <w:marTop w:val="0"/>
      <w:marBottom w:val="0"/>
      <w:divBdr>
        <w:top w:val="none" w:sz="0" w:space="0" w:color="auto"/>
        <w:left w:val="none" w:sz="0" w:space="0" w:color="auto"/>
        <w:bottom w:val="none" w:sz="0" w:space="0" w:color="auto"/>
        <w:right w:val="none" w:sz="0" w:space="0" w:color="auto"/>
      </w:divBdr>
    </w:div>
    <w:div w:id="1769153847">
      <w:bodyDiv w:val="1"/>
      <w:marLeft w:val="0"/>
      <w:marRight w:val="0"/>
      <w:marTop w:val="0"/>
      <w:marBottom w:val="0"/>
      <w:divBdr>
        <w:top w:val="none" w:sz="0" w:space="0" w:color="auto"/>
        <w:left w:val="none" w:sz="0" w:space="0" w:color="auto"/>
        <w:bottom w:val="none" w:sz="0" w:space="0" w:color="auto"/>
        <w:right w:val="none" w:sz="0" w:space="0" w:color="auto"/>
      </w:divBdr>
    </w:div>
    <w:div w:id="1769230119">
      <w:bodyDiv w:val="1"/>
      <w:marLeft w:val="0"/>
      <w:marRight w:val="0"/>
      <w:marTop w:val="0"/>
      <w:marBottom w:val="0"/>
      <w:divBdr>
        <w:top w:val="none" w:sz="0" w:space="0" w:color="auto"/>
        <w:left w:val="none" w:sz="0" w:space="0" w:color="auto"/>
        <w:bottom w:val="none" w:sz="0" w:space="0" w:color="auto"/>
        <w:right w:val="none" w:sz="0" w:space="0" w:color="auto"/>
      </w:divBdr>
    </w:div>
    <w:div w:id="1769502368">
      <w:bodyDiv w:val="1"/>
      <w:marLeft w:val="0"/>
      <w:marRight w:val="0"/>
      <w:marTop w:val="0"/>
      <w:marBottom w:val="0"/>
      <w:divBdr>
        <w:top w:val="none" w:sz="0" w:space="0" w:color="auto"/>
        <w:left w:val="none" w:sz="0" w:space="0" w:color="auto"/>
        <w:bottom w:val="none" w:sz="0" w:space="0" w:color="auto"/>
        <w:right w:val="none" w:sz="0" w:space="0" w:color="auto"/>
      </w:divBdr>
    </w:div>
    <w:div w:id="1769933827">
      <w:bodyDiv w:val="1"/>
      <w:marLeft w:val="0"/>
      <w:marRight w:val="0"/>
      <w:marTop w:val="0"/>
      <w:marBottom w:val="0"/>
      <w:divBdr>
        <w:top w:val="none" w:sz="0" w:space="0" w:color="auto"/>
        <w:left w:val="none" w:sz="0" w:space="0" w:color="auto"/>
        <w:bottom w:val="none" w:sz="0" w:space="0" w:color="auto"/>
        <w:right w:val="none" w:sz="0" w:space="0" w:color="auto"/>
      </w:divBdr>
    </w:div>
    <w:div w:id="1770079658">
      <w:bodyDiv w:val="1"/>
      <w:marLeft w:val="0"/>
      <w:marRight w:val="0"/>
      <w:marTop w:val="0"/>
      <w:marBottom w:val="0"/>
      <w:divBdr>
        <w:top w:val="none" w:sz="0" w:space="0" w:color="auto"/>
        <w:left w:val="none" w:sz="0" w:space="0" w:color="auto"/>
        <w:bottom w:val="none" w:sz="0" w:space="0" w:color="auto"/>
        <w:right w:val="none" w:sz="0" w:space="0" w:color="auto"/>
      </w:divBdr>
    </w:div>
    <w:div w:id="1770278058">
      <w:bodyDiv w:val="1"/>
      <w:marLeft w:val="0"/>
      <w:marRight w:val="0"/>
      <w:marTop w:val="0"/>
      <w:marBottom w:val="0"/>
      <w:divBdr>
        <w:top w:val="none" w:sz="0" w:space="0" w:color="auto"/>
        <w:left w:val="none" w:sz="0" w:space="0" w:color="auto"/>
        <w:bottom w:val="none" w:sz="0" w:space="0" w:color="auto"/>
        <w:right w:val="none" w:sz="0" w:space="0" w:color="auto"/>
      </w:divBdr>
    </w:div>
    <w:div w:id="1771706320">
      <w:bodyDiv w:val="1"/>
      <w:marLeft w:val="0"/>
      <w:marRight w:val="0"/>
      <w:marTop w:val="0"/>
      <w:marBottom w:val="0"/>
      <w:divBdr>
        <w:top w:val="none" w:sz="0" w:space="0" w:color="auto"/>
        <w:left w:val="none" w:sz="0" w:space="0" w:color="auto"/>
        <w:bottom w:val="none" w:sz="0" w:space="0" w:color="auto"/>
        <w:right w:val="none" w:sz="0" w:space="0" w:color="auto"/>
      </w:divBdr>
    </w:div>
    <w:div w:id="1771851964">
      <w:bodyDiv w:val="1"/>
      <w:marLeft w:val="0"/>
      <w:marRight w:val="0"/>
      <w:marTop w:val="0"/>
      <w:marBottom w:val="0"/>
      <w:divBdr>
        <w:top w:val="none" w:sz="0" w:space="0" w:color="auto"/>
        <w:left w:val="none" w:sz="0" w:space="0" w:color="auto"/>
        <w:bottom w:val="none" w:sz="0" w:space="0" w:color="auto"/>
        <w:right w:val="none" w:sz="0" w:space="0" w:color="auto"/>
      </w:divBdr>
    </w:div>
    <w:div w:id="1771897242">
      <w:bodyDiv w:val="1"/>
      <w:marLeft w:val="0"/>
      <w:marRight w:val="0"/>
      <w:marTop w:val="0"/>
      <w:marBottom w:val="0"/>
      <w:divBdr>
        <w:top w:val="none" w:sz="0" w:space="0" w:color="auto"/>
        <w:left w:val="none" w:sz="0" w:space="0" w:color="auto"/>
        <w:bottom w:val="none" w:sz="0" w:space="0" w:color="auto"/>
        <w:right w:val="none" w:sz="0" w:space="0" w:color="auto"/>
      </w:divBdr>
    </w:div>
    <w:div w:id="1771926206">
      <w:bodyDiv w:val="1"/>
      <w:marLeft w:val="0"/>
      <w:marRight w:val="0"/>
      <w:marTop w:val="0"/>
      <w:marBottom w:val="0"/>
      <w:divBdr>
        <w:top w:val="none" w:sz="0" w:space="0" w:color="auto"/>
        <w:left w:val="none" w:sz="0" w:space="0" w:color="auto"/>
        <w:bottom w:val="none" w:sz="0" w:space="0" w:color="auto"/>
        <w:right w:val="none" w:sz="0" w:space="0" w:color="auto"/>
      </w:divBdr>
    </w:div>
    <w:div w:id="1772317030">
      <w:bodyDiv w:val="1"/>
      <w:marLeft w:val="0"/>
      <w:marRight w:val="0"/>
      <w:marTop w:val="0"/>
      <w:marBottom w:val="0"/>
      <w:divBdr>
        <w:top w:val="none" w:sz="0" w:space="0" w:color="auto"/>
        <w:left w:val="none" w:sz="0" w:space="0" w:color="auto"/>
        <w:bottom w:val="none" w:sz="0" w:space="0" w:color="auto"/>
        <w:right w:val="none" w:sz="0" w:space="0" w:color="auto"/>
      </w:divBdr>
    </w:div>
    <w:div w:id="1773042969">
      <w:bodyDiv w:val="1"/>
      <w:marLeft w:val="0"/>
      <w:marRight w:val="0"/>
      <w:marTop w:val="0"/>
      <w:marBottom w:val="0"/>
      <w:divBdr>
        <w:top w:val="none" w:sz="0" w:space="0" w:color="auto"/>
        <w:left w:val="none" w:sz="0" w:space="0" w:color="auto"/>
        <w:bottom w:val="none" w:sz="0" w:space="0" w:color="auto"/>
        <w:right w:val="none" w:sz="0" w:space="0" w:color="auto"/>
      </w:divBdr>
    </w:div>
    <w:div w:id="1773936547">
      <w:bodyDiv w:val="1"/>
      <w:marLeft w:val="0"/>
      <w:marRight w:val="0"/>
      <w:marTop w:val="0"/>
      <w:marBottom w:val="0"/>
      <w:divBdr>
        <w:top w:val="none" w:sz="0" w:space="0" w:color="auto"/>
        <w:left w:val="none" w:sz="0" w:space="0" w:color="auto"/>
        <w:bottom w:val="none" w:sz="0" w:space="0" w:color="auto"/>
        <w:right w:val="none" w:sz="0" w:space="0" w:color="auto"/>
      </w:divBdr>
    </w:div>
    <w:div w:id="1774087770">
      <w:bodyDiv w:val="1"/>
      <w:marLeft w:val="0"/>
      <w:marRight w:val="0"/>
      <w:marTop w:val="0"/>
      <w:marBottom w:val="0"/>
      <w:divBdr>
        <w:top w:val="none" w:sz="0" w:space="0" w:color="auto"/>
        <w:left w:val="none" w:sz="0" w:space="0" w:color="auto"/>
        <w:bottom w:val="none" w:sz="0" w:space="0" w:color="auto"/>
        <w:right w:val="none" w:sz="0" w:space="0" w:color="auto"/>
      </w:divBdr>
    </w:div>
    <w:div w:id="1774472723">
      <w:bodyDiv w:val="1"/>
      <w:marLeft w:val="0"/>
      <w:marRight w:val="0"/>
      <w:marTop w:val="0"/>
      <w:marBottom w:val="0"/>
      <w:divBdr>
        <w:top w:val="none" w:sz="0" w:space="0" w:color="auto"/>
        <w:left w:val="none" w:sz="0" w:space="0" w:color="auto"/>
        <w:bottom w:val="none" w:sz="0" w:space="0" w:color="auto"/>
        <w:right w:val="none" w:sz="0" w:space="0" w:color="auto"/>
      </w:divBdr>
    </w:div>
    <w:div w:id="1775125052">
      <w:bodyDiv w:val="1"/>
      <w:marLeft w:val="0"/>
      <w:marRight w:val="0"/>
      <w:marTop w:val="0"/>
      <w:marBottom w:val="0"/>
      <w:divBdr>
        <w:top w:val="none" w:sz="0" w:space="0" w:color="auto"/>
        <w:left w:val="none" w:sz="0" w:space="0" w:color="auto"/>
        <w:bottom w:val="none" w:sz="0" w:space="0" w:color="auto"/>
        <w:right w:val="none" w:sz="0" w:space="0" w:color="auto"/>
      </w:divBdr>
    </w:div>
    <w:div w:id="1775519106">
      <w:bodyDiv w:val="1"/>
      <w:marLeft w:val="0"/>
      <w:marRight w:val="0"/>
      <w:marTop w:val="0"/>
      <w:marBottom w:val="0"/>
      <w:divBdr>
        <w:top w:val="none" w:sz="0" w:space="0" w:color="auto"/>
        <w:left w:val="none" w:sz="0" w:space="0" w:color="auto"/>
        <w:bottom w:val="none" w:sz="0" w:space="0" w:color="auto"/>
        <w:right w:val="none" w:sz="0" w:space="0" w:color="auto"/>
      </w:divBdr>
    </w:div>
    <w:div w:id="1775632892">
      <w:bodyDiv w:val="1"/>
      <w:marLeft w:val="0"/>
      <w:marRight w:val="0"/>
      <w:marTop w:val="0"/>
      <w:marBottom w:val="0"/>
      <w:divBdr>
        <w:top w:val="none" w:sz="0" w:space="0" w:color="auto"/>
        <w:left w:val="none" w:sz="0" w:space="0" w:color="auto"/>
        <w:bottom w:val="none" w:sz="0" w:space="0" w:color="auto"/>
        <w:right w:val="none" w:sz="0" w:space="0" w:color="auto"/>
      </w:divBdr>
    </w:div>
    <w:div w:id="1775782622">
      <w:bodyDiv w:val="1"/>
      <w:marLeft w:val="0"/>
      <w:marRight w:val="0"/>
      <w:marTop w:val="0"/>
      <w:marBottom w:val="0"/>
      <w:divBdr>
        <w:top w:val="none" w:sz="0" w:space="0" w:color="auto"/>
        <w:left w:val="none" w:sz="0" w:space="0" w:color="auto"/>
        <w:bottom w:val="none" w:sz="0" w:space="0" w:color="auto"/>
        <w:right w:val="none" w:sz="0" w:space="0" w:color="auto"/>
      </w:divBdr>
    </w:div>
    <w:div w:id="1776440108">
      <w:bodyDiv w:val="1"/>
      <w:marLeft w:val="0"/>
      <w:marRight w:val="0"/>
      <w:marTop w:val="0"/>
      <w:marBottom w:val="0"/>
      <w:divBdr>
        <w:top w:val="none" w:sz="0" w:space="0" w:color="auto"/>
        <w:left w:val="none" w:sz="0" w:space="0" w:color="auto"/>
        <w:bottom w:val="none" w:sz="0" w:space="0" w:color="auto"/>
        <w:right w:val="none" w:sz="0" w:space="0" w:color="auto"/>
      </w:divBdr>
    </w:div>
    <w:div w:id="1776554990">
      <w:bodyDiv w:val="1"/>
      <w:marLeft w:val="0"/>
      <w:marRight w:val="0"/>
      <w:marTop w:val="0"/>
      <w:marBottom w:val="0"/>
      <w:divBdr>
        <w:top w:val="none" w:sz="0" w:space="0" w:color="auto"/>
        <w:left w:val="none" w:sz="0" w:space="0" w:color="auto"/>
        <w:bottom w:val="none" w:sz="0" w:space="0" w:color="auto"/>
        <w:right w:val="none" w:sz="0" w:space="0" w:color="auto"/>
      </w:divBdr>
    </w:div>
    <w:div w:id="1776897794">
      <w:bodyDiv w:val="1"/>
      <w:marLeft w:val="0"/>
      <w:marRight w:val="0"/>
      <w:marTop w:val="0"/>
      <w:marBottom w:val="0"/>
      <w:divBdr>
        <w:top w:val="none" w:sz="0" w:space="0" w:color="auto"/>
        <w:left w:val="none" w:sz="0" w:space="0" w:color="auto"/>
        <w:bottom w:val="none" w:sz="0" w:space="0" w:color="auto"/>
        <w:right w:val="none" w:sz="0" w:space="0" w:color="auto"/>
      </w:divBdr>
    </w:div>
    <w:div w:id="1777022917">
      <w:bodyDiv w:val="1"/>
      <w:marLeft w:val="0"/>
      <w:marRight w:val="0"/>
      <w:marTop w:val="0"/>
      <w:marBottom w:val="0"/>
      <w:divBdr>
        <w:top w:val="none" w:sz="0" w:space="0" w:color="auto"/>
        <w:left w:val="none" w:sz="0" w:space="0" w:color="auto"/>
        <w:bottom w:val="none" w:sz="0" w:space="0" w:color="auto"/>
        <w:right w:val="none" w:sz="0" w:space="0" w:color="auto"/>
      </w:divBdr>
    </w:div>
    <w:div w:id="1777023607">
      <w:bodyDiv w:val="1"/>
      <w:marLeft w:val="0"/>
      <w:marRight w:val="0"/>
      <w:marTop w:val="0"/>
      <w:marBottom w:val="0"/>
      <w:divBdr>
        <w:top w:val="none" w:sz="0" w:space="0" w:color="auto"/>
        <w:left w:val="none" w:sz="0" w:space="0" w:color="auto"/>
        <w:bottom w:val="none" w:sz="0" w:space="0" w:color="auto"/>
        <w:right w:val="none" w:sz="0" w:space="0" w:color="auto"/>
      </w:divBdr>
    </w:div>
    <w:div w:id="1777483091">
      <w:bodyDiv w:val="1"/>
      <w:marLeft w:val="0"/>
      <w:marRight w:val="0"/>
      <w:marTop w:val="0"/>
      <w:marBottom w:val="0"/>
      <w:divBdr>
        <w:top w:val="none" w:sz="0" w:space="0" w:color="auto"/>
        <w:left w:val="none" w:sz="0" w:space="0" w:color="auto"/>
        <w:bottom w:val="none" w:sz="0" w:space="0" w:color="auto"/>
        <w:right w:val="none" w:sz="0" w:space="0" w:color="auto"/>
      </w:divBdr>
    </w:div>
    <w:div w:id="1778400648">
      <w:bodyDiv w:val="1"/>
      <w:marLeft w:val="0"/>
      <w:marRight w:val="0"/>
      <w:marTop w:val="0"/>
      <w:marBottom w:val="0"/>
      <w:divBdr>
        <w:top w:val="none" w:sz="0" w:space="0" w:color="auto"/>
        <w:left w:val="none" w:sz="0" w:space="0" w:color="auto"/>
        <w:bottom w:val="none" w:sz="0" w:space="0" w:color="auto"/>
        <w:right w:val="none" w:sz="0" w:space="0" w:color="auto"/>
      </w:divBdr>
    </w:div>
    <w:div w:id="1778408978">
      <w:bodyDiv w:val="1"/>
      <w:marLeft w:val="0"/>
      <w:marRight w:val="0"/>
      <w:marTop w:val="0"/>
      <w:marBottom w:val="0"/>
      <w:divBdr>
        <w:top w:val="none" w:sz="0" w:space="0" w:color="auto"/>
        <w:left w:val="none" w:sz="0" w:space="0" w:color="auto"/>
        <w:bottom w:val="none" w:sz="0" w:space="0" w:color="auto"/>
        <w:right w:val="none" w:sz="0" w:space="0" w:color="auto"/>
      </w:divBdr>
    </w:div>
    <w:div w:id="1778477017">
      <w:bodyDiv w:val="1"/>
      <w:marLeft w:val="0"/>
      <w:marRight w:val="0"/>
      <w:marTop w:val="0"/>
      <w:marBottom w:val="0"/>
      <w:divBdr>
        <w:top w:val="none" w:sz="0" w:space="0" w:color="auto"/>
        <w:left w:val="none" w:sz="0" w:space="0" w:color="auto"/>
        <w:bottom w:val="none" w:sz="0" w:space="0" w:color="auto"/>
        <w:right w:val="none" w:sz="0" w:space="0" w:color="auto"/>
      </w:divBdr>
    </w:div>
    <w:div w:id="1778525282">
      <w:bodyDiv w:val="1"/>
      <w:marLeft w:val="0"/>
      <w:marRight w:val="0"/>
      <w:marTop w:val="0"/>
      <w:marBottom w:val="0"/>
      <w:divBdr>
        <w:top w:val="none" w:sz="0" w:space="0" w:color="auto"/>
        <w:left w:val="none" w:sz="0" w:space="0" w:color="auto"/>
        <w:bottom w:val="none" w:sz="0" w:space="0" w:color="auto"/>
        <w:right w:val="none" w:sz="0" w:space="0" w:color="auto"/>
      </w:divBdr>
    </w:div>
    <w:div w:id="1778986670">
      <w:bodyDiv w:val="1"/>
      <w:marLeft w:val="0"/>
      <w:marRight w:val="0"/>
      <w:marTop w:val="0"/>
      <w:marBottom w:val="0"/>
      <w:divBdr>
        <w:top w:val="none" w:sz="0" w:space="0" w:color="auto"/>
        <w:left w:val="none" w:sz="0" w:space="0" w:color="auto"/>
        <w:bottom w:val="none" w:sz="0" w:space="0" w:color="auto"/>
        <w:right w:val="none" w:sz="0" w:space="0" w:color="auto"/>
      </w:divBdr>
    </w:div>
    <w:div w:id="1779058046">
      <w:bodyDiv w:val="1"/>
      <w:marLeft w:val="0"/>
      <w:marRight w:val="0"/>
      <w:marTop w:val="0"/>
      <w:marBottom w:val="0"/>
      <w:divBdr>
        <w:top w:val="none" w:sz="0" w:space="0" w:color="auto"/>
        <w:left w:val="none" w:sz="0" w:space="0" w:color="auto"/>
        <w:bottom w:val="none" w:sz="0" w:space="0" w:color="auto"/>
        <w:right w:val="none" w:sz="0" w:space="0" w:color="auto"/>
      </w:divBdr>
    </w:div>
    <w:div w:id="1779064607">
      <w:bodyDiv w:val="1"/>
      <w:marLeft w:val="0"/>
      <w:marRight w:val="0"/>
      <w:marTop w:val="0"/>
      <w:marBottom w:val="0"/>
      <w:divBdr>
        <w:top w:val="none" w:sz="0" w:space="0" w:color="auto"/>
        <w:left w:val="none" w:sz="0" w:space="0" w:color="auto"/>
        <w:bottom w:val="none" w:sz="0" w:space="0" w:color="auto"/>
        <w:right w:val="none" w:sz="0" w:space="0" w:color="auto"/>
      </w:divBdr>
    </w:div>
    <w:div w:id="1779448094">
      <w:bodyDiv w:val="1"/>
      <w:marLeft w:val="0"/>
      <w:marRight w:val="0"/>
      <w:marTop w:val="0"/>
      <w:marBottom w:val="0"/>
      <w:divBdr>
        <w:top w:val="none" w:sz="0" w:space="0" w:color="auto"/>
        <w:left w:val="none" w:sz="0" w:space="0" w:color="auto"/>
        <w:bottom w:val="none" w:sz="0" w:space="0" w:color="auto"/>
        <w:right w:val="none" w:sz="0" w:space="0" w:color="auto"/>
      </w:divBdr>
    </w:div>
    <w:div w:id="1779449557">
      <w:bodyDiv w:val="1"/>
      <w:marLeft w:val="0"/>
      <w:marRight w:val="0"/>
      <w:marTop w:val="0"/>
      <w:marBottom w:val="0"/>
      <w:divBdr>
        <w:top w:val="none" w:sz="0" w:space="0" w:color="auto"/>
        <w:left w:val="none" w:sz="0" w:space="0" w:color="auto"/>
        <w:bottom w:val="none" w:sz="0" w:space="0" w:color="auto"/>
        <w:right w:val="none" w:sz="0" w:space="0" w:color="auto"/>
      </w:divBdr>
    </w:div>
    <w:div w:id="1779643266">
      <w:bodyDiv w:val="1"/>
      <w:marLeft w:val="0"/>
      <w:marRight w:val="0"/>
      <w:marTop w:val="0"/>
      <w:marBottom w:val="0"/>
      <w:divBdr>
        <w:top w:val="none" w:sz="0" w:space="0" w:color="auto"/>
        <w:left w:val="none" w:sz="0" w:space="0" w:color="auto"/>
        <w:bottom w:val="none" w:sz="0" w:space="0" w:color="auto"/>
        <w:right w:val="none" w:sz="0" w:space="0" w:color="auto"/>
      </w:divBdr>
    </w:div>
    <w:div w:id="1780564018">
      <w:bodyDiv w:val="1"/>
      <w:marLeft w:val="0"/>
      <w:marRight w:val="0"/>
      <w:marTop w:val="0"/>
      <w:marBottom w:val="0"/>
      <w:divBdr>
        <w:top w:val="none" w:sz="0" w:space="0" w:color="auto"/>
        <w:left w:val="none" w:sz="0" w:space="0" w:color="auto"/>
        <w:bottom w:val="none" w:sz="0" w:space="0" w:color="auto"/>
        <w:right w:val="none" w:sz="0" w:space="0" w:color="auto"/>
      </w:divBdr>
    </w:div>
    <w:div w:id="1780638924">
      <w:bodyDiv w:val="1"/>
      <w:marLeft w:val="0"/>
      <w:marRight w:val="0"/>
      <w:marTop w:val="0"/>
      <w:marBottom w:val="0"/>
      <w:divBdr>
        <w:top w:val="none" w:sz="0" w:space="0" w:color="auto"/>
        <w:left w:val="none" w:sz="0" w:space="0" w:color="auto"/>
        <w:bottom w:val="none" w:sz="0" w:space="0" w:color="auto"/>
        <w:right w:val="none" w:sz="0" w:space="0" w:color="auto"/>
      </w:divBdr>
    </w:div>
    <w:div w:id="1781412724">
      <w:bodyDiv w:val="1"/>
      <w:marLeft w:val="0"/>
      <w:marRight w:val="0"/>
      <w:marTop w:val="0"/>
      <w:marBottom w:val="0"/>
      <w:divBdr>
        <w:top w:val="none" w:sz="0" w:space="0" w:color="auto"/>
        <w:left w:val="none" w:sz="0" w:space="0" w:color="auto"/>
        <w:bottom w:val="none" w:sz="0" w:space="0" w:color="auto"/>
        <w:right w:val="none" w:sz="0" w:space="0" w:color="auto"/>
      </w:divBdr>
    </w:div>
    <w:div w:id="1781491680">
      <w:bodyDiv w:val="1"/>
      <w:marLeft w:val="0"/>
      <w:marRight w:val="0"/>
      <w:marTop w:val="0"/>
      <w:marBottom w:val="0"/>
      <w:divBdr>
        <w:top w:val="none" w:sz="0" w:space="0" w:color="auto"/>
        <w:left w:val="none" w:sz="0" w:space="0" w:color="auto"/>
        <w:bottom w:val="none" w:sz="0" w:space="0" w:color="auto"/>
        <w:right w:val="none" w:sz="0" w:space="0" w:color="auto"/>
      </w:divBdr>
    </w:div>
    <w:div w:id="1781684772">
      <w:bodyDiv w:val="1"/>
      <w:marLeft w:val="0"/>
      <w:marRight w:val="0"/>
      <w:marTop w:val="0"/>
      <w:marBottom w:val="0"/>
      <w:divBdr>
        <w:top w:val="none" w:sz="0" w:space="0" w:color="auto"/>
        <w:left w:val="none" w:sz="0" w:space="0" w:color="auto"/>
        <w:bottom w:val="none" w:sz="0" w:space="0" w:color="auto"/>
        <w:right w:val="none" w:sz="0" w:space="0" w:color="auto"/>
      </w:divBdr>
    </w:div>
    <w:div w:id="1782415225">
      <w:bodyDiv w:val="1"/>
      <w:marLeft w:val="0"/>
      <w:marRight w:val="0"/>
      <w:marTop w:val="0"/>
      <w:marBottom w:val="0"/>
      <w:divBdr>
        <w:top w:val="none" w:sz="0" w:space="0" w:color="auto"/>
        <w:left w:val="none" w:sz="0" w:space="0" w:color="auto"/>
        <w:bottom w:val="none" w:sz="0" w:space="0" w:color="auto"/>
        <w:right w:val="none" w:sz="0" w:space="0" w:color="auto"/>
      </w:divBdr>
    </w:div>
    <w:div w:id="1782647571">
      <w:bodyDiv w:val="1"/>
      <w:marLeft w:val="0"/>
      <w:marRight w:val="0"/>
      <w:marTop w:val="0"/>
      <w:marBottom w:val="0"/>
      <w:divBdr>
        <w:top w:val="none" w:sz="0" w:space="0" w:color="auto"/>
        <w:left w:val="none" w:sz="0" w:space="0" w:color="auto"/>
        <w:bottom w:val="none" w:sz="0" w:space="0" w:color="auto"/>
        <w:right w:val="none" w:sz="0" w:space="0" w:color="auto"/>
      </w:divBdr>
    </w:div>
    <w:div w:id="1782648016">
      <w:bodyDiv w:val="1"/>
      <w:marLeft w:val="0"/>
      <w:marRight w:val="0"/>
      <w:marTop w:val="0"/>
      <w:marBottom w:val="0"/>
      <w:divBdr>
        <w:top w:val="none" w:sz="0" w:space="0" w:color="auto"/>
        <w:left w:val="none" w:sz="0" w:space="0" w:color="auto"/>
        <w:bottom w:val="none" w:sz="0" w:space="0" w:color="auto"/>
        <w:right w:val="none" w:sz="0" w:space="0" w:color="auto"/>
      </w:divBdr>
    </w:div>
    <w:div w:id="1783112502">
      <w:bodyDiv w:val="1"/>
      <w:marLeft w:val="0"/>
      <w:marRight w:val="0"/>
      <w:marTop w:val="0"/>
      <w:marBottom w:val="0"/>
      <w:divBdr>
        <w:top w:val="none" w:sz="0" w:space="0" w:color="auto"/>
        <w:left w:val="none" w:sz="0" w:space="0" w:color="auto"/>
        <w:bottom w:val="none" w:sz="0" w:space="0" w:color="auto"/>
        <w:right w:val="none" w:sz="0" w:space="0" w:color="auto"/>
      </w:divBdr>
    </w:div>
    <w:div w:id="1783188244">
      <w:bodyDiv w:val="1"/>
      <w:marLeft w:val="0"/>
      <w:marRight w:val="0"/>
      <w:marTop w:val="0"/>
      <w:marBottom w:val="0"/>
      <w:divBdr>
        <w:top w:val="none" w:sz="0" w:space="0" w:color="auto"/>
        <w:left w:val="none" w:sz="0" w:space="0" w:color="auto"/>
        <w:bottom w:val="none" w:sz="0" w:space="0" w:color="auto"/>
        <w:right w:val="none" w:sz="0" w:space="0" w:color="auto"/>
      </w:divBdr>
    </w:div>
    <w:div w:id="1783529025">
      <w:bodyDiv w:val="1"/>
      <w:marLeft w:val="0"/>
      <w:marRight w:val="0"/>
      <w:marTop w:val="0"/>
      <w:marBottom w:val="0"/>
      <w:divBdr>
        <w:top w:val="none" w:sz="0" w:space="0" w:color="auto"/>
        <w:left w:val="none" w:sz="0" w:space="0" w:color="auto"/>
        <w:bottom w:val="none" w:sz="0" w:space="0" w:color="auto"/>
        <w:right w:val="none" w:sz="0" w:space="0" w:color="auto"/>
      </w:divBdr>
    </w:div>
    <w:div w:id="1784378769">
      <w:bodyDiv w:val="1"/>
      <w:marLeft w:val="0"/>
      <w:marRight w:val="0"/>
      <w:marTop w:val="0"/>
      <w:marBottom w:val="0"/>
      <w:divBdr>
        <w:top w:val="none" w:sz="0" w:space="0" w:color="auto"/>
        <w:left w:val="none" w:sz="0" w:space="0" w:color="auto"/>
        <w:bottom w:val="none" w:sz="0" w:space="0" w:color="auto"/>
        <w:right w:val="none" w:sz="0" w:space="0" w:color="auto"/>
      </w:divBdr>
    </w:div>
    <w:div w:id="1784569542">
      <w:bodyDiv w:val="1"/>
      <w:marLeft w:val="0"/>
      <w:marRight w:val="0"/>
      <w:marTop w:val="0"/>
      <w:marBottom w:val="0"/>
      <w:divBdr>
        <w:top w:val="none" w:sz="0" w:space="0" w:color="auto"/>
        <w:left w:val="none" w:sz="0" w:space="0" w:color="auto"/>
        <w:bottom w:val="none" w:sz="0" w:space="0" w:color="auto"/>
        <w:right w:val="none" w:sz="0" w:space="0" w:color="auto"/>
      </w:divBdr>
    </w:div>
    <w:div w:id="1785274201">
      <w:bodyDiv w:val="1"/>
      <w:marLeft w:val="0"/>
      <w:marRight w:val="0"/>
      <w:marTop w:val="0"/>
      <w:marBottom w:val="0"/>
      <w:divBdr>
        <w:top w:val="none" w:sz="0" w:space="0" w:color="auto"/>
        <w:left w:val="none" w:sz="0" w:space="0" w:color="auto"/>
        <w:bottom w:val="none" w:sz="0" w:space="0" w:color="auto"/>
        <w:right w:val="none" w:sz="0" w:space="0" w:color="auto"/>
      </w:divBdr>
    </w:div>
    <w:div w:id="1785424878">
      <w:bodyDiv w:val="1"/>
      <w:marLeft w:val="0"/>
      <w:marRight w:val="0"/>
      <w:marTop w:val="0"/>
      <w:marBottom w:val="0"/>
      <w:divBdr>
        <w:top w:val="none" w:sz="0" w:space="0" w:color="auto"/>
        <w:left w:val="none" w:sz="0" w:space="0" w:color="auto"/>
        <w:bottom w:val="none" w:sz="0" w:space="0" w:color="auto"/>
        <w:right w:val="none" w:sz="0" w:space="0" w:color="auto"/>
      </w:divBdr>
    </w:div>
    <w:div w:id="1785615479">
      <w:bodyDiv w:val="1"/>
      <w:marLeft w:val="0"/>
      <w:marRight w:val="0"/>
      <w:marTop w:val="0"/>
      <w:marBottom w:val="0"/>
      <w:divBdr>
        <w:top w:val="none" w:sz="0" w:space="0" w:color="auto"/>
        <w:left w:val="none" w:sz="0" w:space="0" w:color="auto"/>
        <w:bottom w:val="none" w:sz="0" w:space="0" w:color="auto"/>
        <w:right w:val="none" w:sz="0" w:space="0" w:color="auto"/>
      </w:divBdr>
    </w:div>
    <w:div w:id="1786342454">
      <w:bodyDiv w:val="1"/>
      <w:marLeft w:val="0"/>
      <w:marRight w:val="0"/>
      <w:marTop w:val="0"/>
      <w:marBottom w:val="0"/>
      <w:divBdr>
        <w:top w:val="none" w:sz="0" w:space="0" w:color="auto"/>
        <w:left w:val="none" w:sz="0" w:space="0" w:color="auto"/>
        <w:bottom w:val="none" w:sz="0" w:space="0" w:color="auto"/>
        <w:right w:val="none" w:sz="0" w:space="0" w:color="auto"/>
      </w:divBdr>
    </w:div>
    <w:div w:id="1786607759">
      <w:bodyDiv w:val="1"/>
      <w:marLeft w:val="0"/>
      <w:marRight w:val="0"/>
      <w:marTop w:val="0"/>
      <w:marBottom w:val="0"/>
      <w:divBdr>
        <w:top w:val="none" w:sz="0" w:space="0" w:color="auto"/>
        <w:left w:val="none" w:sz="0" w:space="0" w:color="auto"/>
        <w:bottom w:val="none" w:sz="0" w:space="0" w:color="auto"/>
        <w:right w:val="none" w:sz="0" w:space="0" w:color="auto"/>
      </w:divBdr>
    </w:div>
    <w:div w:id="1786657833">
      <w:bodyDiv w:val="1"/>
      <w:marLeft w:val="0"/>
      <w:marRight w:val="0"/>
      <w:marTop w:val="0"/>
      <w:marBottom w:val="0"/>
      <w:divBdr>
        <w:top w:val="none" w:sz="0" w:space="0" w:color="auto"/>
        <w:left w:val="none" w:sz="0" w:space="0" w:color="auto"/>
        <w:bottom w:val="none" w:sz="0" w:space="0" w:color="auto"/>
        <w:right w:val="none" w:sz="0" w:space="0" w:color="auto"/>
      </w:divBdr>
    </w:div>
    <w:div w:id="1786776444">
      <w:bodyDiv w:val="1"/>
      <w:marLeft w:val="0"/>
      <w:marRight w:val="0"/>
      <w:marTop w:val="0"/>
      <w:marBottom w:val="0"/>
      <w:divBdr>
        <w:top w:val="none" w:sz="0" w:space="0" w:color="auto"/>
        <w:left w:val="none" w:sz="0" w:space="0" w:color="auto"/>
        <w:bottom w:val="none" w:sz="0" w:space="0" w:color="auto"/>
        <w:right w:val="none" w:sz="0" w:space="0" w:color="auto"/>
      </w:divBdr>
    </w:div>
    <w:div w:id="1786996598">
      <w:bodyDiv w:val="1"/>
      <w:marLeft w:val="0"/>
      <w:marRight w:val="0"/>
      <w:marTop w:val="0"/>
      <w:marBottom w:val="0"/>
      <w:divBdr>
        <w:top w:val="none" w:sz="0" w:space="0" w:color="auto"/>
        <w:left w:val="none" w:sz="0" w:space="0" w:color="auto"/>
        <w:bottom w:val="none" w:sz="0" w:space="0" w:color="auto"/>
        <w:right w:val="none" w:sz="0" w:space="0" w:color="auto"/>
      </w:divBdr>
    </w:div>
    <w:div w:id="1786998756">
      <w:bodyDiv w:val="1"/>
      <w:marLeft w:val="0"/>
      <w:marRight w:val="0"/>
      <w:marTop w:val="0"/>
      <w:marBottom w:val="0"/>
      <w:divBdr>
        <w:top w:val="none" w:sz="0" w:space="0" w:color="auto"/>
        <w:left w:val="none" w:sz="0" w:space="0" w:color="auto"/>
        <w:bottom w:val="none" w:sz="0" w:space="0" w:color="auto"/>
        <w:right w:val="none" w:sz="0" w:space="0" w:color="auto"/>
      </w:divBdr>
    </w:div>
    <w:div w:id="1787117687">
      <w:bodyDiv w:val="1"/>
      <w:marLeft w:val="0"/>
      <w:marRight w:val="0"/>
      <w:marTop w:val="0"/>
      <w:marBottom w:val="0"/>
      <w:divBdr>
        <w:top w:val="none" w:sz="0" w:space="0" w:color="auto"/>
        <w:left w:val="none" w:sz="0" w:space="0" w:color="auto"/>
        <w:bottom w:val="none" w:sz="0" w:space="0" w:color="auto"/>
        <w:right w:val="none" w:sz="0" w:space="0" w:color="auto"/>
      </w:divBdr>
    </w:div>
    <w:div w:id="1787429084">
      <w:bodyDiv w:val="1"/>
      <w:marLeft w:val="0"/>
      <w:marRight w:val="0"/>
      <w:marTop w:val="0"/>
      <w:marBottom w:val="0"/>
      <w:divBdr>
        <w:top w:val="none" w:sz="0" w:space="0" w:color="auto"/>
        <w:left w:val="none" w:sz="0" w:space="0" w:color="auto"/>
        <w:bottom w:val="none" w:sz="0" w:space="0" w:color="auto"/>
        <w:right w:val="none" w:sz="0" w:space="0" w:color="auto"/>
      </w:divBdr>
    </w:div>
    <w:div w:id="1787584037">
      <w:bodyDiv w:val="1"/>
      <w:marLeft w:val="0"/>
      <w:marRight w:val="0"/>
      <w:marTop w:val="0"/>
      <w:marBottom w:val="0"/>
      <w:divBdr>
        <w:top w:val="none" w:sz="0" w:space="0" w:color="auto"/>
        <w:left w:val="none" w:sz="0" w:space="0" w:color="auto"/>
        <w:bottom w:val="none" w:sz="0" w:space="0" w:color="auto"/>
        <w:right w:val="none" w:sz="0" w:space="0" w:color="auto"/>
      </w:divBdr>
    </w:div>
    <w:div w:id="1787889266">
      <w:bodyDiv w:val="1"/>
      <w:marLeft w:val="0"/>
      <w:marRight w:val="0"/>
      <w:marTop w:val="0"/>
      <w:marBottom w:val="0"/>
      <w:divBdr>
        <w:top w:val="none" w:sz="0" w:space="0" w:color="auto"/>
        <w:left w:val="none" w:sz="0" w:space="0" w:color="auto"/>
        <w:bottom w:val="none" w:sz="0" w:space="0" w:color="auto"/>
        <w:right w:val="none" w:sz="0" w:space="0" w:color="auto"/>
      </w:divBdr>
    </w:div>
    <w:div w:id="1788037379">
      <w:bodyDiv w:val="1"/>
      <w:marLeft w:val="0"/>
      <w:marRight w:val="0"/>
      <w:marTop w:val="0"/>
      <w:marBottom w:val="0"/>
      <w:divBdr>
        <w:top w:val="none" w:sz="0" w:space="0" w:color="auto"/>
        <w:left w:val="none" w:sz="0" w:space="0" w:color="auto"/>
        <w:bottom w:val="none" w:sz="0" w:space="0" w:color="auto"/>
        <w:right w:val="none" w:sz="0" w:space="0" w:color="auto"/>
      </w:divBdr>
    </w:div>
    <w:div w:id="1788694651">
      <w:bodyDiv w:val="1"/>
      <w:marLeft w:val="0"/>
      <w:marRight w:val="0"/>
      <w:marTop w:val="0"/>
      <w:marBottom w:val="0"/>
      <w:divBdr>
        <w:top w:val="none" w:sz="0" w:space="0" w:color="auto"/>
        <w:left w:val="none" w:sz="0" w:space="0" w:color="auto"/>
        <w:bottom w:val="none" w:sz="0" w:space="0" w:color="auto"/>
        <w:right w:val="none" w:sz="0" w:space="0" w:color="auto"/>
      </w:divBdr>
    </w:div>
    <w:div w:id="1788960758">
      <w:bodyDiv w:val="1"/>
      <w:marLeft w:val="0"/>
      <w:marRight w:val="0"/>
      <w:marTop w:val="0"/>
      <w:marBottom w:val="0"/>
      <w:divBdr>
        <w:top w:val="none" w:sz="0" w:space="0" w:color="auto"/>
        <w:left w:val="none" w:sz="0" w:space="0" w:color="auto"/>
        <w:bottom w:val="none" w:sz="0" w:space="0" w:color="auto"/>
        <w:right w:val="none" w:sz="0" w:space="0" w:color="auto"/>
      </w:divBdr>
    </w:div>
    <w:div w:id="1789395232">
      <w:bodyDiv w:val="1"/>
      <w:marLeft w:val="0"/>
      <w:marRight w:val="0"/>
      <w:marTop w:val="0"/>
      <w:marBottom w:val="0"/>
      <w:divBdr>
        <w:top w:val="none" w:sz="0" w:space="0" w:color="auto"/>
        <w:left w:val="none" w:sz="0" w:space="0" w:color="auto"/>
        <w:bottom w:val="none" w:sz="0" w:space="0" w:color="auto"/>
        <w:right w:val="none" w:sz="0" w:space="0" w:color="auto"/>
      </w:divBdr>
    </w:div>
    <w:div w:id="1789469489">
      <w:bodyDiv w:val="1"/>
      <w:marLeft w:val="0"/>
      <w:marRight w:val="0"/>
      <w:marTop w:val="0"/>
      <w:marBottom w:val="0"/>
      <w:divBdr>
        <w:top w:val="none" w:sz="0" w:space="0" w:color="auto"/>
        <w:left w:val="none" w:sz="0" w:space="0" w:color="auto"/>
        <w:bottom w:val="none" w:sz="0" w:space="0" w:color="auto"/>
        <w:right w:val="none" w:sz="0" w:space="0" w:color="auto"/>
      </w:divBdr>
    </w:div>
    <w:div w:id="1789736287">
      <w:bodyDiv w:val="1"/>
      <w:marLeft w:val="0"/>
      <w:marRight w:val="0"/>
      <w:marTop w:val="0"/>
      <w:marBottom w:val="0"/>
      <w:divBdr>
        <w:top w:val="none" w:sz="0" w:space="0" w:color="auto"/>
        <w:left w:val="none" w:sz="0" w:space="0" w:color="auto"/>
        <w:bottom w:val="none" w:sz="0" w:space="0" w:color="auto"/>
        <w:right w:val="none" w:sz="0" w:space="0" w:color="auto"/>
      </w:divBdr>
    </w:div>
    <w:div w:id="1789855615">
      <w:bodyDiv w:val="1"/>
      <w:marLeft w:val="0"/>
      <w:marRight w:val="0"/>
      <w:marTop w:val="0"/>
      <w:marBottom w:val="0"/>
      <w:divBdr>
        <w:top w:val="none" w:sz="0" w:space="0" w:color="auto"/>
        <w:left w:val="none" w:sz="0" w:space="0" w:color="auto"/>
        <w:bottom w:val="none" w:sz="0" w:space="0" w:color="auto"/>
        <w:right w:val="none" w:sz="0" w:space="0" w:color="auto"/>
      </w:divBdr>
    </w:div>
    <w:div w:id="1790467387">
      <w:bodyDiv w:val="1"/>
      <w:marLeft w:val="0"/>
      <w:marRight w:val="0"/>
      <w:marTop w:val="0"/>
      <w:marBottom w:val="0"/>
      <w:divBdr>
        <w:top w:val="none" w:sz="0" w:space="0" w:color="auto"/>
        <w:left w:val="none" w:sz="0" w:space="0" w:color="auto"/>
        <w:bottom w:val="none" w:sz="0" w:space="0" w:color="auto"/>
        <w:right w:val="none" w:sz="0" w:space="0" w:color="auto"/>
      </w:divBdr>
    </w:div>
    <w:div w:id="1790851419">
      <w:bodyDiv w:val="1"/>
      <w:marLeft w:val="0"/>
      <w:marRight w:val="0"/>
      <w:marTop w:val="0"/>
      <w:marBottom w:val="0"/>
      <w:divBdr>
        <w:top w:val="none" w:sz="0" w:space="0" w:color="auto"/>
        <w:left w:val="none" w:sz="0" w:space="0" w:color="auto"/>
        <w:bottom w:val="none" w:sz="0" w:space="0" w:color="auto"/>
        <w:right w:val="none" w:sz="0" w:space="0" w:color="auto"/>
      </w:divBdr>
    </w:div>
    <w:div w:id="1790902657">
      <w:bodyDiv w:val="1"/>
      <w:marLeft w:val="0"/>
      <w:marRight w:val="0"/>
      <w:marTop w:val="0"/>
      <w:marBottom w:val="0"/>
      <w:divBdr>
        <w:top w:val="none" w:sz="0" w:space="0" w:color="auto"/>
        <w:left w:val="none" w:sz="0" w:space="0" w:color="auto"/>
        <w:bottom w:val="none" w:sz="0" w:space="0" w:color="auto"/>
        <w:right w:val="none" w:sz="0" w:space="0" w:color="auto"/>
      </w:divBdr>
    </w:div>
    <w:div w:id="1791244484">
      <w:bodyDiv w:val="1"/>
      <w:marLeft w:val="0"/>
      <w:marRight w:val="0"/>
      <w:marTop w:val="0"/>
      <w:marBottom w:val="0"/>
      <w:divBdr>
        <w:top w:val="none" w:sz="0" w:space="0" w:color="auto"/>
        <w:left w:val="none" w:sz="0" w:space="0" w:color="auto"/>
        <w:bottom w:val="none" w:sz="0" w:space="0" w:color="auto"/>
        <w:right w:val="none" w:sz="0" w:space="0" w:color="auto"/>
      </w:divBdr>
    </w:div>
    <w:div w:id="1792087830">
      <w:bodyDiv w:val="1"/>
      <w:marLeft w:val="0"/>
      <w:marRight w:val="0"/>
      <w:marTop w:val="0"/>
      <w:marBottom w:val="0"/>
      <w:divBdr>
        <w:top w:val="none" w:sz="0" w:space="0" w:color="auto"/>
        <w:left w:val="none" w:sz="0" w:space="0" w:color="auto"/>
        <w:bottom w:val="none" w:sz="0" w:space="0" w:color="auto"/>
        <w:right w:val="none" w:sz="0" w:space="0" w:color="auto"/>
      </w:divBdr>
    </w:div>
    <w:div w:id="1792242124">
      <w:bodyDiv w:val="1"/>
      <w:marLeft w:val="0"/>
      <w:marRight w:val="0"/>
      <w:marTop w:val="0"/>
      <w:marBottom w:val="0"/>
      <w:divBdr>
        <w:top w:val="none" w:sz="0" w:space="0" w:color="auto"/>
        <w:left w:val="none" w:sz="0" w:space="0" w:color="auto"/>
        <w:bottom w:val="none" w:sz="0" w:space="0" w:color="auto"/>
        <w:right w:val="none" w:sz="0" w:space="0" w:color="auto"/>
      </w:divBdr>
    </w:div>
    <w:div w:id="1792357799">
      <w:bodyDiv w:val="1"/>
      <w:marLeft w:val="0"/>
      <w:marRight w:val="0"/>
      <w:marTop w:val="0"/>
      <w:marBottom w:val="0"/>
      <w:divBdr>
        <w:top w:val="none" w:sz="0" w:space="0" w:color="auto"/>
        <w:left w:val="none" w:sz="0" w:space="0" w:color="auto"/>
        <w:bottom w:val="none" w:sz="0" w:space="0" w:color="auto"/>
        <w:right w:val="none" w:sz="0" w:space="0" w:color="auto"/>
      </w:divBdr>
    </w:div>
    <w:div w:id="1792436852">
      <w:bodyDiv w:val="1"/>
      <w:marLeft w:val="0"/>
      <w:marRight w:val="0"/>
      <w:marTop w:val="0"/>
      <w:marBottom w:val="0"/>
      <w:divBdr>
        <w:top w:val="none" w:sz="0" w:space="0" w:color="auto"/>
        <w:left w:val="none" w:sz="0" w:space="0" w:color="auto"/>
        <w:bottom w:val="none" w:sz="0" w:space="0" w:color="auto"/>
        <w:right w:val="none" w:sz="0" w:space="0" w:color="auto"/>
      </w:divBdr>
    </w:div>
    <w:div w:id="1792749120">
      <w:bodyDiv w:val="1"/>
      <w:marLeft w:val="0"/>
      <w:marRight w:val="0"/>
      <w:marTop w:val="0"/>
      <w:marBottom w:val="0"/>
      <w:divBdr>
        <w:top w:val="none" w:sz="0" w:space="0" w:color="auto"/>
        <w:left w:val="none" w:sz="0" w:space="0" w:color="auto"/>
        <w:bottom w:val="none" w:sz="0" w:space="0" w:color="auto"/>
        <w:right w:val="none" w:sz="0" w:space="0" w:color="auto"/>
      </w:divBdr>
    </w:div>
    <w:div w:id="1792817323">
      <w:bodyDiv w:val="1"/>
      <w:marLeft w:val="0"/>
      <w:marRight w:val="0"/>
      <w:marTop w:val="0"/>
      <w:marBottom w:val="0"/>
      <w:divBdr>
        <w:top w:val="none" w:sz="0" w:space="0" w:color="auto"/>
        <w:left w:val="none" w:sz="0" w:space="0" w:color="auto"/>
        <w:bottom w:val="none" w:sz="0" w:space="0" w:color="auto"/>
        <w:right w:val="none" w:sz="0" w:space="0" w:color="auto"/>
      </w:divBdr>
    </w:div>
    <w:div w:id="1792939159">
      <w:bodyDiv w:val="1"/>
      <w:marLeft w:val="0"/>
      <w:marRight w:val="0"/>
      <w:marTop w:val="0"/>
      <w:marBottom w:val="0"/>
      <w:divBdr>
        <w:top w:val="none" w:sz="0" w:space="0" w:color="auto"/>
        <w:left w:val="none" w:sz="0" w:space="0" w:color="auto"/>
        <w:bottom w:val="none" w:sz="0" w:space="0" w:color="auto"/>
        <w:right w:val="none" w:sz="0" w:space="0" w:color="auto"/>
      </w:divBdr>
    </w:div>
    <w:div w:id="1793327622">
      <w:bodyDiv w:val="1"/>
      <w:marLeft w:val="0"/>
      <w:marRight w:val="0"/>
      <w:marTop w:val="0"/>
      <w:marBottom w:val="0"/>
      <w:divBdr>
        <w:top w:val="none" w:sz="0" w:space="0" w:color="auto"/>
        <w:left w:val="none" w:sz="0" w:space="0" w:color="auto"/>
        <w:bottom w:val="none" w:sz="0" w:space="0" w:color="auto"/>
        <w:right w:val="none" w:sz="0" w:space="0" w:color="auto"/>
      </w:divBdr>
    </w:div>
    <w:div w:id="1793329784">
      <w:bodyDiv w:val="1"/>
      <w:marLeft w:val="0"/>
      <w:marRight w:val="0"/>
      <w:marTop w:val="0"/>
      <w:marBottom w:val="0"/>
      <w:divBdr>
        <w:top w:val="none" w:sz="0" w:space="0" w:color="auto"/>
        <w:left w:val="none" w:sz="0" w:space="0" w:color="auto"/>
        <w:bottom w:val="none" w:sz="0" w:space="0" w:color="auto"/>
        <w:right w:val="none" w:sz="0" w:space="0" w:color="auto"/>
      </w:divBdr>
    </w:div>
    <w:div w:id="1793399375">
      <w:bodyDiv w:val="1"/>
      <w:marLeft w:val="0"/>
      <w:marRight w:val="0"/>
      <w:marTop w:val="0"/>
      <w:marBottom w:val="0"/>
      <w:divBdr>
        <w:top w:val="none" w:sz="0" w:space="0" w:color="auto"/>
        <w:left w:val="none" w:sz="0" w:space="0" w:color="auto"/>
        <w:bottom w:val="none" w:sz="0" w:space="0" w:color="auto"/>
        <w:right w:val="none" w:sz="0" w:space="0" w:color="auto"/>
      </w:divBdr>
    </w:div>
    <w:div w:id="1794247310">
      <w:bodyDiv w:val="1"/>
      <w:marLeft w:val="0"/>
      <w:marRight w:val="0"/>
      <w:marTop w:val="0"/>
      <w:marBottom w:val="0"/>
      <w:divBdr>
        <w:top w:val="none" w:sz="0" w:space="0" w:color="auto"/>
        <w:left w:val="none" w:sz="0" w:space="0" w:color="auto"/>
        <w:bottom w:val="none" w:sz="0" w:space="0" w:color="auto"/>
        <w:right w:val="none" w:sz="0" w:space="0" w:color="auto"/>
      </w:divBdr>
    </w:div>
    <w:div w:id="1794444004">
      <w:bodyDiv w:val="1"/>
      <w:marLeft w:val="0"/>
      <w:marRight w:val="0"/>
      <w:marTop w:val="0"/>
      <w:marBottom w:val="0"/>
      <w:divBdr>
        <w:top w:val="none" w:sz="0" w:space="0" w:color="auto"/>
        <w:left w:val="none" w:sz="0" w:space="0" w:color="auto"/>
        <w:bottom w:val="none" w:sz="0" w:space="0" w:color="auto"/>
        <w:right w:val="none" w:sz="0" w:space="0" w:color="auto"/>
      </w:divBdr>
    </w:div>
    <w:div w:id="1794786796">
      <w:bodyDiv w:val="1"/>
      <w:marLeft w:val="0"/>
      <w:marRight w:val="0"/>
      <w:marTop w:val="0"/>
      <w:marBottom w:val="0"/>
      <w:divBdr>
        <w:top w:val="none" w:sz="0" w:space="0" w:color="auto"/>
        <w:left w:val="none" w:sz="0" w:space="0" w:color="auto"/>
        <w:bottom w:val="none" w:sz="0" w:space="0" w:color="auto"/>
        <w:right w:val="none" w:sz="0" w:space="0" w:color="auto"/>
      </w:divBdr>
    </w:div>
    <w:div w:id="1794860677">
      <w:bodyDiv w:val="1"/>
      <w:marLeft w:val="0"/>
      <w:marRight w:val="0"/>
      <w:marTop w:val="0"/>
      <w:marBottom w:val="0"/>
      <w:divBdr>
        <w:top w:val="none" w:sz="0" w:space="0" w:color="auto"/>
        <w:left w:val="none" w:sz="0" w:space="0" w:color="auto"/>
        <w:bottom w:val="none" w:sz="0" w:space="0" w:color="auto"/>
        <w:right w:val="none" w:sz="0" w:space="0" w:color="auto"/>
      </w:divBdr>
    </w:div>
    <w:div w:id="1795365770">
      <w:bodyDiv w:val="1"/>
      <w:marLeft w:val="0"/>
      <w:marRight w:val="0"/>
      <w:marTop w:val="0"/>
      <w:marBottom w:val="0"/>
      <w:divBdr>
        <w:top w:val="none" w:sz="0" w:space="0" w:color="auto"/>
        <w:left w:val="none" w:sz="0" w:space="0" w:color="auto"/>
        <w:bottom w:val="none" w:sz="0" w:space="0" w:color="auto"/>
        <w:right w:val="none" w:sz="0" w:space="0" w:color="auto"/>
      </w:divBdr>
    </w:div>
    <w:div w:id="1795519383">
      <w:bodyDiv w:val="1"/>
      <w:marLeft w:val="0"/>
      <w:marRight w:val="0"/>
      <w:marTop w:val="0"/>
      <w:marBottom w:val="0"/>
      <w:divBdr>
        <w:top w:val="none" w:sz="0" w:space="0" w:color="auto"/>
        <w:left w:val="none" w:sz="0" w:space="0" w:color="auto"/>
        <w:bottom w:val="none" w:sz="0" w:space="0" w:color="auto"/>
        <w:right w:val="none" w:sz="0" w:space="0" w:color="auto"/>
      </w:divBdr>
    </w:div>
    <w:div w:id="1795559575">
      <w:bodyDiv w:val="1"/>
      <w:marLeft w:val="0"/>
      <w:marRight w:val="0"/>
      <w:marTop w:val="0"/>
      <w:marBottom w:val="0"/>
      <w:divBdr>
        <w:top w:val="none" w:sz="0" w:space="0" w:color="auto"/>
        <w:left w:val="none" w:sz="0" w:space="0" w:color="auto"/>
        <w:bottom w:val="none" w:sz="0" w:space="0" w:color="auto"/>
        <w:right w:val="none" w:sz="0" w:space="0" w:color="auto"/>
      </w:divBdr>
    </w:div>
    <w:div w:id="1796212122">
      <w:bodyDiv w:val="1"/>
      <w:marLeft w:val="0"/>
      <w:marRight w:val="0"/>
      <w:marTop w:val="0"/>
      <w:marBottom w:val="0"/>
      <w:divBdr>
        <w:top w:val="none" w:sz="0" w:space="0" w:color="auto"/>
        <w:left w:val="none" w:sz="0" w:space="0" w:color="auto"/>
        <w:bottom w:val="none" w:sz="0" w:space="0" w:color="auto"/>
        <w:right w:val="none" w:sz="0" w:space="0" w:color="auto"/>
      </w:divBdr>
    </w:div>
    <w:div w:id="1797291470">
      <w:bodyDiv w:val="1"/>
      <w:marLeft w:val="0"/>
      <w:marRight w:val="0"/>
      <w:marTop w:val="0"/>
      <w:marBottom w:val="0"/>
      <w:divBdr>
        <w:top w:val="none" w:sz="0" w:space="0" w:color="auto"/>
        <w:left w:val="none" w:sz="0" w:space="0" w:color="auto"/>
        <w:bottom w:val="none" w:sz="0" w:space="0" w:color="auto"/>
        <w:right w:val="none" w:sz="0" w:space="0" w:color="auto"/>
      </w:divBdr>
    </w:div>
    <w:div w:id="1797602642">
      <w:bodyDiv w:val="1"/>
      <w:marLeft w:val="0"/>
      <w:marRight w:val="0"/>
      <w:marTop w:val="0"/>
      <w:marBottom w:val="0"/>
      <w:divBdr>
        <w:top w:val="none" w:sz="0" w:space="0" w:color="auto"/>
        <w:left w:val="none" w:sz="0" w:space="0" w:color="auto"/>
        <w:bottom w:val="none" w:sz="0" w:space="0" w:color="auto"/>
        <w:right w:val="none" w:sz="0" w:space="0" w:color="auto"/>
      </w:divBdr>
    </w:div>
    <w:div w:id="1798066635">
      <w:bodyDiv w:val="1"/>
      <w:marLeft w:val="0"/>
      <w:marRight w:val="0"/>
      <w:marTop w:val="0"/>
      <w:marBottom w:val="0"/>
      <w:divBdr>
        <w:top w:val="none" w:sz="0" w:space="0" w:color="auto"/>
        <w:left w:val="none" w:sz="0" w:space="0" w:color="auto"/>
        <w:bottom w:val="none" w:sz="0" w:space="0" w:color="auto"/>
        <w:right w:val="none" w:sz="0" w:space="0" w:color="auto"/>
      </w:divBdr>
    </w:div>
    <w:div w:id="1798256216">
      <w:bodyDiv w:val="1"/>
      <w:marLeft w:val="0"/>
      <w:marRight w:val="0"/>
      <w:marTop w:val="0"/>
      <w:marBottom w:val="0"/>
      <w:divBdr>
        <w:top w:val="none" w:sz="0" w:space="0" w:color="auto"/>
        <w:left w:val="none" w:sz="0" w:space="0" w:color="auto"/>
        <w:bottom w:val="none" w:sz="0" w:space="0" w:color="auto"/>
        <w:right w:val="none" w:sz="0" w:space="0" w:color="auto"/>
      </w:divBdr>
    </w:div>
    <w:div w:id="1798332593">
      <w:bodyDiv w:val="1"/>
      <w:marLeft w:val="0"/>
      <w:marRight w:val="0"/>
      <w:marTop w:val="0"/>
      <w:marBottom w:val="0"/>
      <w:divBdr>
        <w:top w:val="none" w:sz="0" w:space="0" w:color="auto"/>
        <w:left w:val="none" w:sz="0" w:space="0" w:color="auto"/>
        <w:bottom w:val="none" w:sz="0" w:space="0" w:color="auto"/>
        <w:right w:val="none" w:sz="0" w:space="0" w:color="auto"/>
      </w:divBdr>
    </w:div>
    <w:div w:id="1798985162">
      <w:bodyDiv w:val="1"/>
      <w:marLeft w:val="0"/>
      <w:marRight w:val="0"/>
      <w:marTop w:val="0"/>
      <w:marBottom w:val="0"/>
      <w:divBdr>
        <w:top w:val="none" w:sz="0" w:space="0" w:color="auto"/>
        <w:left w:val="none" w:sz="0" w:space="0" w:color="auto"/>
        <w:bottom w:val="none" w:sz="0" w:space="0" w:color="auto"/>
        <w:right w:val="none" w:sz="0" w:space="0" w:color="auto"/>
      </w:divBdr>
    </w:div>
    <w:div w:id="1798987052">
      <w:bodyDiv w:val="1"/>
      <w:marLeft w:val="0"/>
      <w:marRight w:val="0"/>
      <w:marTop w:val="0"/>
      <w:marBottom w:val="0"/>
      <w:divBdr>
        <w:top w:val="none" w:sz="0" w:space="0" w:color="auto"/>
        <w:left w:val="none" w:sz="0" w:space="0" w:color="auto"/>
        <w:bottom w:val="none" w:sz="0" w:space="0" w:color="auto"/>
        <w:right w:val="none" w:sz="0" w:space="0" w:color="auto"/>
      </w:divBdr>
    </w:div>
    <w:div w:id="1799294146">
      <w:bodyDiv w:val="1"/>
      <w:marLeft w:val="0"/>
      <w:marRight w:val="0"/>
      <w:marTop w:val="0"/>
      <w:marBottom w:val="0"/>
      <w:divBdr>
        <w:top w:val="none" w:sz="0" w:space="0" w:color="auto"/>
        <w:left w:val="none" w:sz="0" w:space="0" w:color="auto"/>
        <w:bottom w:val="none" w:sz="0" w:space="0" w:color="auto"/>
        <w:right w:val="none" w:sz="0" w:space="0" w:color="auto"/>
      </w:divBdr>
    </w:div>
    <w:div w:id="1799378165">
      <w:bodyDiv w:val="1"/>
      <w:marLeft w:val="0"/>
      <w:marRight w:val="0"/>
      <w:marTop w:val="0"/>
      <w:marBottom w:val="0"/>
      <w:divBdr>
        <w:top w:val="none" w:sz="0" w:space="0" w:color="auto"/>
        <w:left w:val="none" w:sz="0" w:space="0" w:color="auto"/>
        <w:bottom w:val="none" w:sz="0" w:space="0" w:color="auto"/>
        <w:right w:val="none" w:sz="0" w:space="0" w:color="auto"/>
      </w:divBdr>
    </w:div>
    <w:div w:id="1799638655">
      <w:bodyDiv w:val="1"/>
      <w:marLeft w:val="0"/>
      <w:marRight w:val="0"/>
      <w:marTop w:val="0"/>
      <w:marBottom w:val="0"/>
      <w:divBdr>
        <w:top w:val="none" w:sz="0" w:space="0" w:color="auto"/>
        <w:left w:val="none" w:sz="0" w:space="0" w:color="auto"/>
        <w:bottom w:val="none" w:sz="0" w:space="0" w:color="auto"/>
        <w:right w:val="none" w:sz="0" w:space="0" w:color="auto"/>
      </w:divBdr>
    </w:div>
    <w:div w:id="1799951210">
      <w:bodyDiv w:val="1"/>
      <w:marLeft w:val="0"/>
      <w:marRight w:val="0"/>
      <w:marTop w:val="0"/>
      <w:marBottom w:val="0"/>
      <w:divBdr>
        <w:top w:val="none" w:sz="0" w:space="0" w:color="auto"/>
        <w:left w:val="none" w:sz="0" w:space="0" w:color="auto"/>
        <w:bottom w:val="none" w:sz="0" w:space="0" w:color="auto"/>
        <w:right w:val="none" w:sz="0" w:space="0" w:color="auto"/>
      </w:divBdr>
    </w:div>
    <w:div w:id="1800224568">
      <w:bodyDiv w:val="1"/>
      <w:marLeft w:val="0"/>
      <w:marRight w:val="0"/>
      <w:marTop w:val="0"/>
      <w:marBottom w:val="0"/>
      <w:divBdr>
        <w:top w:val="none" w:sz="0" w:space="0" w:color="auto"/>
        <w:left w:val="none" w:sz="0" w:space="0" w:color="auto"/>
        <w:bottom w:val="none" w:sz="0" w:space="0" w:color="auto"/>
        <w:right w:val="none" w:sz="0" w:space="0" w:color="auto"/>
      </w:divBdr>
    </w:div>
    <w:div w:id="1800755045">
      <w:bodyDiv w:val="1"/>
      <w:marLeft w:val="0"/>
      <w:marRight w:val="0"/>
      <w:marTop w:val="0"/>
      <w:marBottom w:val="0"/>
      <w:divBdr>
        <w:top w:val="none" w:sz="0" w:space="0" w:color="auto"/>
        <w:left w:val="none" w:sz="0" w:space="0" w:color="auto"/>
        <w:bottom w:val="none" w:sz="0" w:space="0" w:color="auto"/>
        <w:right w:val="none" w:sz="0" w:space="0" w:color="auto"/>
      </w:divBdr>
    </w:div>
    <w:div w:id="1800882733">
      <w:bodyDiv w:val="1"/>
      <w:marLeft w:val="0"/>
      <w:marRight w:val="0"/>
      <w:marTop w:val="0"/>
      <w:marBottom w:val="0"/>
      <w:divBdr>
        <w:top w:val="none" w:sz="0" w:space="0" w:color="auto"/>
        <w:left w:val="none" w:sz="0" w:space="0" w:color="auto"/>
        <w:bottom w:val="none" w:sz="0" w:space="0" w:color="auto"/>
        <w:right w:val="none" w:sz="0" w:space="0" w:color="auto"/>
      </w:divBdr>
    </w:div>
    <w:div w:id="1800956248">
      <w:bodyDiv w:val="1"/>
      <w:marLeft w:val="0"/>
      <w:marRight w:val="0"/>
      <w:marTop w:val="0"/>
      <w:marBottom w:val="0"/>
      <w:divBdr>
        <w:top w:val="none" w:sz="0" w:space="0" w:color="auto"/>
        <w:left w:val="none" w:sz="0" w:space="0" w:color="auto"/>
        <w:bottom w:val="none" w:sz="0" w:space="0" w:color="auto"/>
        <w:right w:val="none" w:sz="0" w:space="0" w:color="auto"/>
      </w:divBdr>
    </w:div>
    <w:div w:id="1801219667">
      <w:bodyDiv w:val="1"/>
      <w:marLeft w:val="0"/>
      <w:marRight w:val="0"/>
      <w:marTop w:val="0"/>
      <w:marBottom w:val="0"/>
      <w:divBdr>
        <w:top w:val="none" w:sz="0" w:space="0" w:color="auto"/>
        <w:left w:val="none" w:sz="0" w:space="0" w:color="auto"/>
        <w:bottom w:val="none" w:sz="0" w:space="0" w:color="auto"/>
        <w:right w:val="none" w:sz="0" w:space="0" w:color="auto"/>
      </w:divBdr>
    </w:div>
    <w:div w:id="1801806561">
      <w:bodyDiv w:val="1"/>
      <w:marLeft w:val="0"/>
      <w:marRight w:val="0"/>
      <w:marTop w:val="0"/>
      <w:marBottom w:val="0"/>
      <w:divBdr>
        <w:top w:val="none" w:sz="0" w:space="0" w:color="auto"/>
        <w:left w:val="none" w:sz="0" w:space="0" w:color="auto"/>
        <w:bottom w:val="none" w:sz="0" w:space="0" w:color="auto"/>
        <w:right w:val="none" w:sz="0" w:space="0" w:color="auto"/>
      </w:divBdr>
    </w:div>
    <w:div w:id="1801873477">
      <w:bodyDiv w:val="1"/>
      <w:marLeft w:val="0"/>
      <w:marRight w:val="0"/>
      <w:marTop w:val="0"/>
      <w:marBottom w:val="0"/>
      <w:divBdr>
        <w:top w:val="none" w:sz="0" w:space="0" w:color="auto"/>
        <w:left w:val="none" w:sz="0" w:space="0" w:color="auto"/>
        <w:bottom w:val="none" w:sz="0" w:space="0" w:color="auto"/>
        <w:right w:val="none" w:sz="0" w:space="0" w:color="auto"/>
      </w:divBdr>
    </w:div>
    <w:div w:id="1801915935">
      <w:bodyDiv w:val="1"/>
      <w:marLeft w:val="0"/>
      <w:marRight w:val="0"/>
      <w:marTop w:val="0"/>
      <w:marBottom w:val="0"/>
      <w:divBdr>
        <w:top w:val="none" w:sz="0" w:space="0" w:color="auto"/>
        <w:left w:val="none" w:sz="0" w:space="0" w:color="auto"/>
        <w:bottom w:val="none" w:sz="0" w:space="0" w:color="auto"/>
        <w:right w:val="none" w:sz="0" w:space="0" w:color="auto"/>
      </w:divBdr>
    </w:div>
    <w:div w:id="1802074817">
      <w:bodyDiv w:val="1"/>
      <w:marLeft w:val="0"/>
      <w:marRight w:val="0"/>
      <w:marTop w:val="0"/>
      <w:marBottom w:val="0"/>
      <w:divBdr>
        <w:top w:val="none" w:sz="0" w:space="0" w:color="auto"/>
        <w:left w:val="none" w:sz="0" w:space="0" w:color="auto"/>
        <w:bottom w:val="none" w:sz="0" w:space="0" w:color="auto"/>
        <w:right w:val="none" w:sz="0" w:space="0" w:color="auto"/>
      </w:divBdr>
    </w:div>
    <w:div w:id="1802380882">
      <w:bodyDiv w:val="1"/>
      <w:marLeft w:val="0"/>
      <w:marRight w:val="0"/>
      <w:marTop w:val="0"/>
      <w:marBottom w:val="0"/>
      <w:divBdr>
        <w:top w:val="none" w:sz="0" w:space="0" w:color="auto"/>
        <w:left w:val="none" w:sz="0" w:space="0" w:color="auto"/>
        <w:bottom w:val="none" w:sz="0" w:space="0" w:color="auto"/>
        <w:right w:val="none" w:sz="0" w:space="0" w:color="auto"/>
      </w:divBdr>
    </w:div>
    <w:div w:id="1803115937">
      <w:bodyDiv w:val="1"/>
      <w:marLeft w:val="0"/>
      <w:marRight w:val="0"/>
      <w:marTop w:val="0"/>
      <w:marBottom w:val="0"/>
      <w:divBdr>
        <w:top w:val="none" w:sz="0" w:space="0" w:color="auto"/>
        <w:left w:val="none" w:sz="0" w:space="0" w:color="auto"/>
        <w:bottom w:val="none" w:sz="0" w:space="0" w:color="auto"/>
        <w:right w:val="none" w:sz="0" w:space="0" w:color="auto"/>
      </w:divBdr>
    </w:div>
    <w:div w:id="1803383635">
      <w:bodyDiv w:val="1"/>
      <w:marLeft w:val="0"/>
      <w:marRight w:val="0"/>
      <w:marTop w:val="0"/>
      <w:marBottom w:val="0"/>
      <w:divBdr>
        <w:top w:val="none" w:sz="0" w:space="0" w:color="auto"/>
        <w:left w:val="none" w:sz="0" w:space="0" w:color="auto"/>
        <w:bottom w:val="none" w:sz="0" w:space="0" w:color="auto"/>
        <w:right w:val="none" w:sz="0" w:space="0" w:color="auto"/>
      </w:divBdr>
    </w:div>
    <w:div w:id="1803763723">
      <w:bodyDiv w:val="1"/>
      <w:marLeft w:val="0"/>
      <w:marRight w:val="0"/>
      <w:marTop w:val="0"/>
      <w:marBottom w:val="0"/>
      <w:divBdr>
        <w:top w:val="none" w:sz="0" w:space="0" w:color="auto"/>
        <w:left w:val="none" w:sz="0" w:space="0" w:color="auto"/>
        <w:bottom w:val="none" w:sz="0" w:space="0" w:color="auto"/>
        <w:right w:val="none" w:sz="0" w:space="0" w:color="auto"/>
      </w:divBdr>
    </w:div>
    <w:div w:id="1803886804">
      <w:bodyDiv w:val="1"/>
      <w:marLeft w:val="0"/>
      <w:marRight w:val="0"/>
      <w:marTop w:val="0"/>
      <w:marBottom w:val="0"/>
      <w:divBdr>
        <w:top w:val="none" w:sz="0" w:space="0" w:color="auto"/>
        <w:left w:val="none" w:sz="0" w:space="0" w:color="auto"/>
        <w:bottom w:val="none" w:sz="0" w:space="0" w:color="auto"/>
        <w:right w:val="none" w:sz="0" w:space="0" w:color="auto"/>
      </w:divBdr>
    </w:div>
    <w:div w:id="1804696385">
      <w:bodyDiv w:val="1"/>
      <w:marLeft w:val="0"/>
      <w:marRight w:val="0"/>
      <w:marTop w:val="0"/>
      <w:marBottom w:val="0"/>
      <w:divBdr>
        <w:top w:val="none" w:sz="0" w:space="0" w:color="auto"/>
        <w:left w:val="none" w:sz="0" w:space="0" w:color="auto"/>
        <w:bottom w:val="none" w:sz="0" w:space="0" w:color="auto"/>
        <w:right w:val="none" w:sz="0" w:space="0" w:color="auto"/>
      </w:divBdr>
    </w:div>
    <w:div w:id="1804885548">
      <w:bodyDiv w:val="1"/>
      <w:marLeft w:val="0"/>
      <w:marRight w:val="0"/>
      <w:marTop w:val="0"/>
      <w:marBottom w:val="0"/>
      <w:divBdr>
        <w:top w:val="none" w:sz="0" w:space="0" w:color="auto"/>
        <w:left w:val="none" w:sz="0" w:space="0" w:color="auto"/>
        <w:bottom w:val="none" w:sz="0" w:space="0" w:color="auto"/>
        <w:right w:val="none" w:sz="0" w:space="0" w:color="auto"/>
      </w:divBdr>
    </w:div>
    <w:div w:id="1805007272">
      <w:bodyDiv w:val="1"/>
      <w:marLeft w:val="0"/>
      <w:marRight w:val="0"/>
      <w:marTop w:val="0"/>
      <w:marBottom w:val="0"/>
      <w:divBdr>
        <w:top w:val="none" w:sz="0" w:space="0" w:color="auto"/>
        <w:left w:val="none" w:sz="0" w:space="0" w:color="auto"/>
        <w:bottom w:val="none" w:sz="0" w:space="0" w:color="auto"/>
        <w:right w:val="none" w:sz="0" w:space="0" w:color="auto"/>
      </w:divBdr>
    </w:div>
    <w:div w:id="1805196995">
      <w:bodyDiv w:val="1"/>
      <w:marLeft w:val="0"/>
      <w:marRight w:val="0"/>
      <w:marTop w:val="0"/>
      <w:marBottom w:val="0"/>
      <w:divBdr>
        <w:top w:val="none" w:sz="0" w:space="0" w:color="auto"/>
        <w:left w:val="none" w:sz="0" w:space="0" w:color="auto"/>
        <w:bottom w:val="none" w:sz="0" w:space="0" w:color="auto"/>
        <w:right w:val="none" w:sz="0" w:space="0" w:color="auto"/>
      </w:divBdr>
    </w:div>
    <w:div w:id="1806192500">
      <w:bodyDiv w:val="1"/>
      <w:marLeft w:val="0"/>
      <w:marRight w:val="0"/>
      <w:marTop w:val="0"/>
      <w:marBottom w:val="0"/>
      <w:divBdr>
        <w:top w:val="none" w:sz="0" w:space="0" w:color="auto"/>
        <w:left w:val="none" w:sz="0" w:space="0" w:color="auto"/>
        <w:bottom w:val="none" w:sz="0" w:space="0" w:color="auto"/>
        <w:right w:val="none" w:sz="0" w:space="0" w:color="auto"/>
      </w:divBdr>
    </w:div>
    <w:div w:id="1806195633">
      <w:bodyDiv w:val="1"/>
      <w:marLeft w:val="0"/>
      <w:marRight w:val="0"/>
      <w:marTop w:val="0"/>
      <w:marBottom w:val="0"/>
      <w:divBdr>
        <w:top w:val="none" w:sz="0" w:space="0" w:color="auto"/>
        <w:left w:val="none" w:sz="0" w:space="0" w:color="auto"/>
        <w:bottom w:val="none" w:sz="0" w:space="0" w:color="auto"/>
        <w:right w:val="none" w:sz="0" w:space="0" w:color="auto"/>
      </w:divBdr>
    </w:div>
    <w:div w:id="1806577332">
      <w:bodyDiv w:val="1"/>
      <w:marLeft w:val="0"/>
      <w:marRight w:val="0"/>
      <w:marTop w:val="0"/>
      <w:marBottom w:val="0"/>
      <w:divBdr>
        <w:top w:val="none" w:sz="0" w:space="0" w:color="auto"/>
        <w:left w:val="none" w:sz="0" w:space="0" w:color="auto"/>
        <w:bottom w:val="none" w:sz="0" w:space="0" w:color="auto"/>
        <w:right w:val="none" w:sz="0" w:space="0" w:color="auto"/>
      </w:divBdr>
    </w:div>
    <w:div w:id="1807045269">
      <w:bodyDiv w:val="1"/>
      <w:marLeft w:val="0"/>
      <w:marRight w:val="0"/>
      <w:marTop w:val="0"/>
      <w:marBottom w:val="0"/>
      <w:divBdr>
        <w:top w:val="none" w:sz="0" w:space="0" w:color="auto"/>
        <w:left w:val="none" w:sz="0" w:space="0" w:color="auto"/>
        <w:bottom w:val="none" w:sz="0" w:space="0" w:color="auto"/>
        <w:right w:val="none" w:sz="0" w:space="0" w:color="auto"/>
      </w:divBdr>
    </w:div>
    <w:div w:id="1807817351">
      <w:bodyDiv w:val="1"/>
      <w:marLeft w:val="0"/>
      <w:marRight w:val="0"/>
      <w:marTop w:val="0"/>
      <w:marBottom w:val="0"/>
      <w:divBdr>
        <w:top w:val="none" w:sz="0" w:space="0" w:color="auto"/>
        <w:left w:val="none" w:sz="0" w:space="0" w:color="auto"/>
        <w:bottom w:val="none" w:sz="0" w:space="0" w:color="auto"/>
        <w:right w:val="none" w:sz="0" w:space="0" w:color="auto"/>
      </w:divBdr>
    </w:div>
    <w:div w:id="1808234080">
      <w:bodyDiv w:val="1"/>
      <w:marLeft w:val="0"/>
      <w:marRight w:val="0"/>
      <w:marTop w:val="0"/>
      <w:marBottom w:val="0"/>
      <w:divBdr>
        <w:top w:val="none" w:sz="0" w:space="0" w:color="auto"/>
        <w:left w:val="none" w:sz="0" w:space="0" w:color="auto"/>
        <w:bottom w:val="none" w:sz="0" w:space="0" w:color="auto"/>
        <w:right w:val="none" w:sz="0" w:space="0" w:color="auto"/>
      </w:divBdr>
    </w:div>
    <w:div w:id="1808401240">
      <w:bodyDiv w:val="1"/>
      <w:marLeft w:val="0"/>
      <w:marRight w:val="0"/>
      <w:marTop w:val="0"/>
      <w:marBottom w:val="0"/>
      <w:divBdr>
        <w:top w:val="none" w:sz="0" w:space="0" w:color="auto"/>
        <w:left w:val="none" w:sz="0" w:space="0" w:color="auto"/>
        <w:bottom w:val="none" w:sz="0" w:space="0" w:color="auto"/>
        <w:right w:val="none" w:sz="0" w:space="0" w:color="auto"/>
      </w:divBdr>
    </w:div>
    <w:div w:id="1808468401">
      <w:bodyDiv w:val="1"/>
      <w:marLeft w:val="0"/>
      <w:marRight w:val="0"/>
      <w:marTop w:val="0"/>
      <w:marBottom w:val="0"/>
      <w:divBdr>
        <w:top w:val="none" w:sz="0" w:space="0" w:color="auto"/>
        <w:left w:val="none" w:sz="0" w:space="0" w:color="auto"/>
        <w:bottom w:val="none" w:sz="0" w:space="0" w:color="auto"/>
        <w:right w:val="none" w:sz="0" w:space="0" w:color="auto"/>
      </w:divBdr>
    </w:div>
    <w:div w:id="1808667280">
      <w:bodyDiv w:val="1"/>
      <w:marLeft w:val="0"/>
      <w:marRight w:val="0"/>
      <w:marTop w:val="0"/>
      <w:marBottom w:val="0"/>
      <w:divBdr>
        <w:top w:val="none" w:sz="0" w:space="0" w:color="auto"/>
        <w:left w:val="none" w:sz="0" w:space="0" w:color="auto"/>
        <w:bottom w:val="none" w:sz="0" w:space="0" w:color="auto"/>
        <w:right w:val="none" w:sz="0" w:space="0" w:color="auto"/>
      </w:divBdr>
    </w:div>
    <w:div w:id="1808668046">
      <w:bodyDiv w:val="1"/>
      <w:marLeft w:val="0"/>
      <w:marRight w:val="0"/>
      <w:marTop w:val="0"/>
      <w:marBottom w:val="0"/>
      <w:divBdr>
        <w:top w:val="none" w:sz="0" w:space="0" w:color="auto"/>
        <w:left w:val="none" w:sz="0" w:space="0" w:color="auto"/>
        <w:bottom w:val="none" w:sz="0" w:space="0" w:color="auto"/>
        <w:right w:val="none" w:sz="0" w:space="0" w:color="auto"/>
      </w:divBdr>
    </w:div>
    <w:div w:id="1808745376">
      <w:bodyDiv w:val="1"/>
      <w:marLeft w:val="0"/>
      <w:marRight w:val="0"/>
      <w:marTop w:val="0"/>
      <w:marBottom w:val="0"/>
      <w:divBdr>
        <w:top w:val="none" w:sz="0" w:space="0" w:color="auto"/>
        <w:left w:val="none" w:sz="0" w:space="0" w:color="auto"/>
        <w:bottom w:val="none" w:sz="0" w:space="0" w:color="auto"/>
        <w:right w:val="none" w:sz="0" w:space="0" w:color="auto"/>
      </w:divBdr>
    </w:div>
    <w:div w:id="1808890066">
      <w:bodyDiv w:val="1"/>
      <w:marLeft w:val="0"/>
      <w:marRight w:val="0"/>
      <w:marTop w:val="0"/>
      <w:marBottom w:val="0"/>
      <w:divBdr>
        <w:top w:val="none" w:sz="0" w:space="0" w:color="auto"/>
        <w:left w:val="none" w:sz="0" w:space="0" w:color="auto"/>
        <w:bottom w:val="none" w:sz="0" w:space="0" w:color="auto"/>
        <w:right w:val="none" w:sz="0" w:space="0" w:color="auto"/>
      </w:divBdr>
    </w:div>
    <w:div w:id="1809739640">
      <w:bodyDiv w:val="1"/>
      <w:marLeft w:val="0"/>
      <w:marRight w:val="0"/>
      <w:marTop w:val="0"/>
      <w:marBottom w:val="0"/>
      <w:divBdr>
        <w:top w:val="none" w:sz="0" w:space="0" w:color="auto"/>
        <w:left w:val="none" w:sz="0" w:space="0" w:color="auto"/>
        <w:bottom w:val="none" w:sz="0" w:space="0" w:color="auto"/>
        <w:right w:val="none" w:sz="0" w:space="0" w:color="auto"/>
      </w:divBdr>
    </w:div>
    <w:div w:id="1810398345">
      <w:bodyDiv w:val="1"/>
      <w:marLeft w:val="0"/>
      <w:marRight w:val="0"/>
      <w:marTop w:val="0"/>
      <w:marBottom w:val="0"/>
      <w:divBdr>
        <w:top w:val="none" w:sz="0" w:space="0" w:color="auto"/>
        <w:left w:val="none" w:sz="0" w:space="0" w:color="auto"/>
        <w:bottom w:val="none" w:sz="0" w:space="0" w:color="auto"/>
        <w:right w:val="none" w:sz="0" w:space="0" w:color="auto"/>
      </w:divBdr>
    </w:div>
    <w:div w:id="1810514680">
      <w:bodyDiv w:val="1"/>
      <w:marLeft w:val="0"/>
      <w:marRight w:val="0"/>
      <w:marTop w:val="0"/>
      <w:marBottom w:val="0"/>
      <w:divBdr>
        <w:top w:val="none" w:sz="0" w:space="0" w:color="auto"/>
        <w:left w:val="none" w:sz="0" w:space="0" w:color="auto"/>
        <w:bottom w:val="none" w:sz="0" w:space="0" w:color="auto"/>
        <w:right w:val="none" w:sz="0" w:space="0" w:color="auto"/>
      </w:divBdr>
    </w:div>
    <w:div w:id="1810973741">
      <w:bodyDiv w:val="1"/>
      <w:marLeft w:val="0"/>
      <w:marRight w:val="0"/>
      <w:marTop w:val="0"/>
      <w:marBottom w:val="0"/>
      <w:divBdr>
        <w:top w:val="none" w:sz="0" w:space="0" w:color="auto"/>
        <w:left w:val="none" w:sz="0" w:space="0" w:color="auto"/>
        <w:bottom w:val="none" w:sz="0" w:space="0" w:color="auto"/>
        <w:right w:val="none" w:sz="0" w:space="0" w:color="auto"/>
      </w:divBdr>
    </w:div>
    <w:div w:id="1811897830">
      <w:bodyDiv w:val="1"/>
      <w:marLeft w:val="0"/>
      <w:marRight w:val="0"/>
      <w:marTop w:val="0"/>
      <w:marBottom w:val="0"/>
      <w:divBdr>
        <w:top w:val="none" w:sz="0" w:space="0" w:color="auto"/>
        <w:left w:val="none" w:sz="0" w:space="0" w:color="auto"/>
        <w:bottom w:val="none" w:sz="0" w:space="0" w:color="auto"/>
        <w:right w:val="none" w:sz="0" w:space="0" w:color="auto"/>
      </w:divBdr>
    </w:div>
    <w:div w:id="1812092982">
      <w:bodyDiv w:val="1"/>
      <w:marLeft w:val="0"/>
      <w:marRight w:val="0"/>
      <w:marTop w:val="0"/>
      <w:marBottom w:val="0"/>
      <w:divBdr>
        <w:top w:val="none" w:sz="0" w:space="0" w:color="auto"/>
        <w:left w:val="none" w:sz="0" w:space="0" w:color="auto"/>
        <w:bottom w:val="none" w:sz="0" w:space="0" w:color="auto"/>
        <w:right w:val="none" w:sz="0" w:space="0" w:color="auto"/>
      </w:divBdr>
    </w:div>
    <w:div w:id="1812138395">
      <w:bodyDiv w:val="1"/>
      <w:marLeft w:val="0"/>
      <w:marRight w:val="0"/>
      <w:marTop w:val="0"/>
      <w:marBottom w:val="0"/>
      <w:divBdr>
        <w:top w:val="none" w:sz="0" w:space="0" w:color="auto"/>
        <w:left w:val="none" w:sz="0" w:space="0" w:color="auto"/>
        <w:bottom w:val="none" w:sz="0" w:space="0" w:color="auto"/>
        <w:right w:val="none" w:sz="0" w:space="0" w:color="auto"/>
      </w:divBdr>
    </w:div>
    <w:div w:id="1812478681">
      <w:bodyDiv w:val="1"/>
      <w:marLeft w:val="0"/>
      <w:marRight w:val="0"/>
      <w:marTop w:val="0"/>
      <w:marBottom w:val="0"/>
      <w:divBdr>
        <w:top w:val="none" w:sz="0" w:space="0" w:color="auto"/>
        <w:left w:val="none" w:sz="0" w:space="0" w:color="auto"/>
        <w:bottom w:val="none" w:sz="0" w:space="0" w:color="auto"/>
        <w:right w:val="none" w:sz="0" w:space="0" w:color="auto"/>
      </w:divBdr>
    </w:div>
    <w:div w:id="1812559470">
      <w:bodyDiv w:val="1"/>
      <w:marLeft w:val="0"/>
      <w:marRight w:val="0"/>
      <w:marTop w:val="0"/>
      <w:marBottom w:val="0"/>
      <w:divBdr>
        <w:top w:val="none" w:sz="0" w:space="0" w:color="auto"/>
        <w:left w:val="none" w:sz="0" w:space="0" w:color="auto"/>
        <w:bottom w:val="none" w:sz="0" w:space="0" w:color="auto"/>
        <w:right w:val="none" w:sz="0" w:space="0" w:color="auto"/>
      </w:divBdr>
    </w:div>
    <w:div w:id="1812601754">
      <w:bodyDiv w:val="1"/>
      <w:marLeft w:val="0"/>
      <w:marRight w:val="0"/>
      <w:marTop w:val="0"/>
      <w:marBottom w:val="0"/>
      <w:divBdr>
        <w:top w:val="none" w:sz="0" w:space="0" w:color="auto"/>
        <w:left w:val="none" w:sz="0" w:space="0" w:color="auto"/>
        <w:bottom w:val="none" w:sz="0" w:space="0" w:color="auto"/>
        <w:right w:val="none" w:sz="0" w:space="0" w:color="auto"/>
      </w:divBdr>
    </w:div>
    <w:div w:id="1812820479">
      <w:bodyDiv w:val="1"/>
      <w:marLeft w:val="0"/>
      <w:marRight w:val="0"/>
      <w:marTop w:val="0"/>
      <w:marBottom w:val="0"/>
      <w:divBdr>
        <w:top w:val="none" w:sz="0" w:space="0" w:color="auto"/>
        <w:left w:val="none" w:sz="0" w:space="0" w:color="auto"/>
        <w:bottom w:val="none" w:sz="0" w:space="0" w:color="auto"/>
        <w:right w:val="none" w:sz="0" w:space="0" w:color="auto"/>
      </w:divBdr>
    </w:div>
    <w:div w:id="1814059791">
      <w:bodyDiv w:val="1"/>
      <w:marLeft w:val="0"/>
      <w:marRight w:val="0"/>
      <w:marTop w:val="0"/>
      <w:marBottom w:val="0"/>
      <w:divBdr>
        <w:top w:val="none" w:sz="0" w:space="0" w:color="auto"/>
        <w:left w:val="none" w:sz="0" w:space="0" w:color="auto"/>
        <w:bottom w:val="none" w:sz="0" w:space="0" w:color="auto"/>
        <w:right w:val="none" w:sz="0" w:space="0" w:color="auto"/>
      </w:divBdr>
    </w:div>
    <w:div w:id="1814641413">
      <w:bodyDiv w:val="1"/>
      <w:marLeft w:val="0"/>
      <w:marRight w:val="0"/>
      <w:marTop w:val="0"/>
      <w:marBottom w:val="0"/>
      <w:divBdr>
        <w:top w:val="none" w:sz="0" w:space="0" w:color="auto"/>
        <w:left w:val="none" w:sz="0" w:space="0" w:color="auto"/>
        <w:bottom w:val="none" w:sz="0" w:space="0" w:color="auto"/>
        <w:right w:val="none" w:sz="0" w:space="0" w:color="auto"/>
      </w:divBdr>
    </w:div>
    <w:div w:id="1814641498">
      <w:bodyDiv w:val="1"/>
      <w:marLeft w:val="0"/>
      <w:marRight w:val="0"/>
      <w:marTop w:val="0"/>
      <w:marBottom w:val="0"/>
      <w:divBdr>
        <w:top w:val="none" w:sz="0" w:space="0" w:color="auto"/>
        <w:left w:val="none" w:sz="0" w:space="0" w:color="auto"/>
        <w:bottom w:val="none" w:sz="0" w:space="0" w:color="auto"/>
        <w:right w:val="none" w:sz="0" w:space="0" w:color="auto"/>
      </w:divBdr>
    </w:div>
    <w:div w:id="1815217290">
      <w:bodyDiv w:val="1"/>
      <w:marLeft w:val="0"/>
      <w:marRight w:val="0"/>
      <w:marTop w:val="0"/>
      <w:marBottom w:val="0"/>
      <w:divBdr>
        <w:top w:val="none" w:sz="0" w:space="0" w:color="auto"/>
        <w:left w:val="none" w:sz="0" w:space="0" w:color="auto"/>
        <w:bottom w:val="none" w:sz="0" w:space="0" w:color="auto"/>
        <w:right w:val="none" w:sz="0" w:space="0" w:color="auto"/>
      </w:divBdr>
    </w:div>
    <w:div w:id="1815218721">
      <w:bodyDiv w:val="1"/>
      <w:marLeft w:val="0"/>
      <w:marRight w:val="0"/>
      <w:marTop w:val="0"/>
      <w:marBottom w:val="0"/>
      <w:divBdr>
        <w:top w:val="none" w:sz="0" w:space="0" w:color="auto"/>
        <w:left w:val="none" w:sz="0" w:space="0" w:color="auto"/>
        <w:bottom w:val="none" w:sz="0" w:space="0" w:color="auto"/>
        <w:right w:val="none" w:sz="0" w:space="0" w:color="auto"/>
      </w:divBdr>
    </w:div>
    <w:div w:id="1815294551">
      <w:bodyDiv w:val="1"/>
      <w:marLeft w:val="0"/>
      <w:marRight w:val="0"/>
      <w:marTop w:val="0"/>
      <w:marBottom w:val="0"/>
      <w:divBdr>
        <w:top w:val="none" w:sz="0" w:space="0" w:color="auto"/>
        <w:left w:val="none" w:sz="0" w:space="0" w:color="auto"/>
        <w:bottom w:val="none" w:sz="0" w:space="0" w:color="auto"/>
        <w:right w:val="none" w:sz="0" w:space="0" w:color="auto"/>
      </w:divBdr>
    </w:div>
    <w:div w:id="1816022166">
      <w:bodyDiv w:val="1"/>
      <w:marLeft w:val="0"/>
      <w:marRight w:val="0"/>
      <w:marTop w:val="0"/>
      <w:marBottom w:val="0"/>
      <w:divBdr>
        <w:top w:val="none" w:sz="0" w:space="0" w:color="auto"/>
        <w:left w:val="none" w:sz="0" w:space="0" w:color="auto"/>
        <w:bottom w:val="none" w:sz="0" w:space="0" w:color="auto"/>
        <w:right w:val="none" w:sz="0" w:space="0" w:color="auto"/>
      </w:divBdr>
    </w:div>
    <w:div w:id="1816490433">
      <w:bodyDiv w:val="1"/>
      <w:marLeft w:val="0"/>
      <w:marRight w:val="0"/>
      <w:marTop w:val="0"/>
      <w:marBottom w:val="0"/>
      <w:divBdr>
        <w:top w:val="none" w:sz="0" w:space="0" w:color="auto"/>
        <w:left w:val="none" w:sz="0" w:space="0" w:color="auto"/>
        <w:bottom w:val="none" w:sz="0" w:space="0" w:color="auto"/>
        <w:right w:val="none" w:sz="0" w:space="0" w:color="auto"/>
      </w:divBdr>
    </w:div>
    <w:div w:id="1816992262">
      <w:bodyDiv w:val="1"/>
      <w:marLeft w:val="0"/>
      <w:marRight w:val="0"/>
      <w:marTop w:val="0"/>
      <w:marBottom w:val="0"/>
      <w:divBdr>
        <w:top w:val="none" w:sz="0" w:space="0" w:color="auto"/>
        <w:left w:val="none" w:sz="0" w:space="0" w:color="auto"/>
        <w:bottom w:val="none" w:sz="0" w:space="0" w:color="auto"/>
        <w:right w:val="none" w:sz="0" w:space="0" w:color="auto"/>
      </w:divBdr>
    </w:div>
    <w:div w:id="1817066770">
      <w:bodyDiv w:val="1"/>
      <w:marLeft w:val="0"/>
      <w:marRight w:val="0"/>
      <w:marTop w:val="0"/>
      <w:marBottom w:val="0"/>
      <w:divBdr>
        <w:top w:val="none" w:sz="0" w:space="0" w:color="auto"/>
        <w:left w:val="none" w:sz="0" w:space="0" w:color="auto"/>
        <w:bottom w:val="none" w:sz="0" w:space="0" w:color="auto"/>
        <w:right w:val="none" w:sz="0" w:space="0" w:color="auto"/>
      </w:divBdr>
    </w:div>
    <w:div w:id="1817142242">
      <w:bodyDiv w:val="1"/>
      <w:marLeft w:val="0"/>
      <w:marRight w:val="0"/>
      <w:marTop w:val="0"/>
      <w:marBottom w:val="0"/>
      <w:divBdr>
        <w:top w:val="none" w:sz="0" w:space="0" w:color="auto"/>
        <w:left w:val="none" w:sz="0" w:space="0" w:color="auto"/>
        <w:bottom w:val="none" w:sz="0" w:space="0" w:color="auto"/>
        <w:right w:val="none" w:sz="0" w:space="0" w:color="auto"/>
      </w:divBdr>
    </w:div>
    <w:div w:id="1817261755">
      <w:bodyDiv w:val="1"/>
      <w:marLeft w:val="0"/>
      <w:marRight w:val="0"/>
      <w:marTop w:val="0"/>
      <w:marBottom w:val="0"/>
      <w:divBdr>
        <w:top w:val="none" w:sz="0" w:space="0" w:color="auto"/>
        <w:left w:val="none" w:sz="0" w:space="0" w:color="auto"/>
        <w:bottom w:val="none" w:sz="0" w:space="0" w:color="auto"/>
        <w:right w:val="none" w:sz="0" w:space="0" w:color="auto"/>
      </w:divBdr>
    </w:div>
    <w:div w:id="1817600916">
      <w:bodyDiv w:val="1"/>
      <w:marLeft w:val="0"/>
      <w:marRight w:val="0"/>
      <w:marTop w:val="0"/>
      <w:marBottom w:val="0"/>
      <w:divBdr>
        <w:top w:val="none" w:sz="0" w:space="0" w:color="auto"/>
        <w:left w:val="none" w:sz="0" w:space="0" w:color="auto"/>
        <w:bottom w:val="none" w:sz="0" w:space="0" w:color="auto"/>
        <w:right w:val="none" w:sz="0" w:space="0" w:color="auto"/>
      </w:divBdr>
    </w:div>
    <w:div w:id="1817794277">
      <w:bodyDiv w:val="1"/>
      <w:marLeft w:val="0"/>
      <w:marRight w:val="0"/>
      <w:marTop w:val="0"/>
      <w:marBottom w:val="0"/>
      <w:divBdr>
        <w:top w:val="none" w:sz="0" w:space="0" w:color="auto"/>
        <w:left w:val="none" w:sz="0" w:space="0" w:color="auto"/>
        <w:bottom w:val="none" w:sz="0" w:space="0" w:color="auto"/>
        <w:right w:val="none" w:sz="0" w:space="0" w:color="auto"/>
      </w:divBdr>
    </w:div>
    <w:div w:id="1818105143">
      <w:bodyDiv w:val="1"/>
      <w:marLeft w:val="0"/>
      <w:marRight w:val="0"/>
      <w:marTop w:val="0"/>
      <w:marBottom w:val="0"/>
      <w:divBdr>
        <w:top w:val="none" w:sz="0" w:space="0" w:color="auto"/>
        <w:left w:val="none" w:sz="0" w:space="0" w:color="auto"/>
        <w:bottom w:val="none" w:sz="0" w:space="0" w:color="auto"/>
        <w:right w:val="none" w:sz="0" w:space="0" w:color="auto"/>
      </w:divBdr>
    </w:div>
    <w:div w:id="1818304258">
      <w:bodyDiv w:val="1"/>
      <w:marLeft w:val="0"/>
      <w:marRight w:val="0"/>
      <w:marTop w:val="0"/>
      <w:marBottom w:val="0"/>
      <w:divBdr>
        <w:top w:val="none" w:sz="0" w:space="0" w:color="auto"/>
        <w:left w:val="none" w:sz="0" w:space="0" w:color="auto"/>
        <w:bottom w:val="none" w:sz="0" w:space="0" w:color="auto"/>
        <w:right w:val="none" w:sz="0" w:space="0" w:color="auto"/>
      </w:divBdr>
    </w:div>
    <w:div w:id="1818377276">
      <w:bodyDiv w:val="1"/>
      <w:marLeft w:val="0"/>
      <w:marRight w:val="0"/>
      <w:marTop w:val="0"/>
      <w:marBottom w:val="0"/>
      <w:divBdr>
        <w:top w:val="none" w:sz="0" w:space="0" w:color="auto"/>
        <w:left w:val="none" w:sz="0" w:space="0" w:color="auto"/>
        <w:bottom w:val="none" w:sz="0" w:space="0" w:color="auto"/>
        <w:right w:val="none" w:sz="0" w:space="0" w:color="auto"/>
      </w:divBdr>
    </w:div>
    <w:div w:id="1818649991">
      <w:bodyDiv w:val="1"/>
      <w:marLeft w:val="0"/>
      <w:marRight w:val="0"/>
      <w:marTop w:val="0"/>
      <w:marBottom w:val="0"/>
      <w:divBdr>
        <w:top w:val="none" w:sz="0" w:space="0" w:color="auto"/>
        <w:left w:val="none" w:sz="0" w:space="0" w:color="auto"/>
        <w:bottom w:val="none" w:sz="0" w:space="0" w:color="auto"/>
        <w:right w:val="none" w:sz="0" w:space="0" w:color="auto"/>
      </w:divBdr>
    </w:div>
    <w:div w:id="1819345074">
      <w:bodyDiv w:val="1"/>
      <w:marLeft w:val="0"/>
      <w:marRight w:val="0"/>
      <w:marTop w:val="0"/>
      <w:marBottom w:val="0"/>
      <w:divBdr>
        <w:top w:val="none" w:sz="0" w:space="0" w:color="auto"/>
        <w:left w:val="none" w:sz="0" w:space="0" w:color="auto"/>
        <w:bottom w:val="none" w:sz="0" w:space="0" w:color="auto"/>
        <w:right w:val="none" w:sz="0" w:space="0" w:color="auto"/>
      </w:divBdr>
    </w:div>
    <w:div w:id="1819414351">
      <w:bodyDiv w:val="1"/>
      <w:marLeft w:val="0"/>
      <w:marRight w:val="0"/>
      <w:marTop w:val="0"/>
      <w:marBottom w:val="0"/>
      <w:divBdr>
        <w:top w:val="none" w:sz="0" w:space="0" w:color="auto"/>
        <w:left w:val="none" w:sz="0" w:space="0" w:color="auto"/>
        <w:bottom w:val="none" w:sz="0" w:space="0" w:color="auto"/>
        <w:right w:val="none" w:sz="0" w:space="0" w:color="auto"/>
      </w:divBdr>
    </w:div>
    <w:div w:id="1819496244">
      <w:bodyDiv w:val="1"/>
      <w:marLeft w:val="0"/>
      <w:marRight w:val="0"/>
      <w:marTop w:val="0"/>
      <w:marBottom w:val="0"/>
      <w:divBdr>
        <w:top w:val="none" w:sz="0" w:space="0" w:color="auto"/>
        <w:left w:val="none" w:sz="0" w:space="0" w:color="auto"/>
        <w:bottom w:val="none" w:sz="0" w:space="0" w:color="auto"/>
        <w:right w:val="none" w:sz="0" w:space="0" w:color="auto"/>
      </w:divBdr>
    </w:div>
    <w:div w:id="1820076365">
      <w:bodyDiv w:val="1"/>
      <w:marLeft w:val="0"/>
      <w:marRight w:val="0"/>
      <w:marTop w:val="0"/>
      <w:marBottom w:val="0"/>
      <w:divBdr>
        <w:top w:val="none" w:sz="0" w:space="0" w:color="auto"/>
        <w:left w:val="none" w:sz="0" w:space="0" w:color="auto"/>
        <w:bottom w:val="none" w:sz="0" w:space="0" w:color="auto"/>
        <w:right w:val="none" w:sz="0" w:space="0" w:color="auto"/>
      </w:divBdr>
    </w:div>
    <w:div w:id="1820223323">
      <w:bodyDiv w:val="1"/>
      <w:marLeft w:val="0"/>
      <w:marRight w:val="0"/>
      <w:marTop w:val="0"/>
      <w:marBottom w:val="0"/>
      <w:divBdr>
        <w:top w:val="none" w:sz="0" w:space="0" w:color="auto"/>
        <w:left w:val="none" w:sz="0" w:space="0" w:color="auto"/>
        <w:bottom w:val="none" w:sz="0" w:space="0" w:color="auto"/>
        <w:right w:val="none" w:sz="0" w:space="0" w:color="auto"/>
      </w:divBdr>
    </w:div>
    <w:div w:id="1820266601">
      <w:bodyDiv w:val="1"/>
      <w:marLeft w:val="0"/>
      <w:marRight w:val="0"/>
      <w:marTop w:val="0"/>
      <w:marBottom w:val="0"/>
      <w:divBdr>
        <w:top w:val="none" w:sz="0" w:space="0" w:color="auto"/>
        <w:left w:val="none" w:sz="0" w:space="0" w:color="auto"/>
        <w:bottom w:val="none" w:sz="0" w:space="0" w:color="auto"/>
        <w:right w:val="none" w:sz="0" w:space="0" w:color="auto"/>
      </w:divBdr>
    </w:div>
    <w:div w:id="1820422585">
      <w:bodyDiv w:val="1"/>
      <w:marLeft w:val="0"/>
      <w:marRight w:val="0"/>
      <w:marTop w:val="0"/>
      <w:marBottom w:val="0"/>
      <w:divBdr>
        <w:top w:val="none" w:sz="0" w:space="0" w:color="auto"/>
        <w:left w:val="none" w:sz="0" w:space="0" w:color="auto"/>
        <w:bottom w:val="none" w:sz="0" w:space="0" w:color="auto"/>
        <w:right w:val="none" w:sz="0" w:space="0" w:color="auto"/>
      </w:divBdr>
    </w:div>
    <w:div w:id="1820535615">
      <w:bodyDiv w:val="1"/>
      <w:marLeft w:val="0"/>
      <w:marRight w:val="0"/>
      <w:marTop w:val="0"/>
      <w:marBottom w:val="0"/>
      <w:divBdr>
        <w:top w:val="none" w:sz="0" w:space="0" w:color="auto"/>
        <w:left w:val="none" w:sz="0" w:space="0" w:color="auto"/>
        <w:bottom w:val="none" w:sz="0" w:space="0" w:color="auto"/>
        <w:right w:val="none" w:sz="0" w:space="0" w:color="auto"/>
      </w:divBdr>
    </w:div>
    <w:div w:id="1821115269">
      <w:bodyDiv w:val="1"/>
      <w:marLeft w:val="0"/>
      <w:marRight w:val="0"/>
      <w:marTop w:val="0"/>
      <w:marBottom w:val="0"/>
      <w:divBdr>
        <w:top w:val="none" w:sz="0" w:space="0" w:color="auto"/>
        <w:left w:val="none" w:sz="0" w:space="0" w:color="auto"/>
        <w:bottom w:val="none" w:sz="0" w:space="0" w:color="auto"/>
        <w:right w:val="none" w:sz="0" w:space="0" w:color="auto"/>
      </w:divBdr>
    </w:div>
    <w:div w:id="1821337281">
      <w:bodyDiv w:val="1"/>
      <w:marLeft w:val="0"/>
      <w:marRight w:val="0"/>
      <w:marTop w:val="0"/>
      <w:marBottom w:val="0"/>
      <w:divBdr>
        <w:top w:val="none" w:sz="0" w:space="0" w:color="auto"/>
        <w:left w:val="none" w:sz="0" w:space="0" w:color="auto"/>
        <w:bottom w:val="none" w:sz="0" w:space="0" w:color="auto"/>
        <w:right w:val="none" w:sz="0" w:space="0" w:color="auto"/>
      </w:divBdr>
    </w:div>
    <w:div w:id="1821730609">
      <w:bodyDiv w:val="1"/>
      <w:marLeft w:val="0"/>
      <w:marRight w:val="0"/>
      <w:marTop w:val="0"/>
      <w:marBottom w:val="0"/>
      <w:divBdr>
        <w:top w:val="none" w:sz="0" w:space="0" w:color="auto"/>
        <w:left w:val="none" w:sz="0" w:space="0" w:color="auto"/>
        <w:bottom w:val="none" w:sz="0" w:space="0" w:color="auto"/>
        <w:right w:val="none" w:sz="0" w:space="0" w:color="auto"/>
      </w:divBdr>
    </w:div>
    <w:div w:id="1821848002">
      <w:bodyDiv w:val="1"/>
      <w:marLeft w:val="0"/>
      <w:marRight w:val="0"/>
      <w:marTop w:val="0"/>
      <w:marBottom w:val="0"/>
      <w:divBdr>
        <w:top w:val="none" w:sz="0" w:space="0" w:color="auto"/>
        <w:left w:val="none" w:sz="0" w:space="0" w:color="auto"/>
        <w:bottom w:val="none" w:sz="0" w:space="0" w:color="auto"/>
        <w:right w:val="none" w:sz="0" w:space="0" w:color="auto"/>
      </w:divBdr>
    </w:div>
    <w:div w:id="1821849673">
      <w:bodyDiv w:val="1"/>
      <w:marLeft w:val="0"/>
      <w:marRight w:val="0"/>
      <w:marTop w:val="0"/>
      <w:marBottom w:val="0"/>
      <w:divBdr>
        <w:top w:val="none" w:sz="0" w:space="0" w:color="auto"/>
        <w:left w:val="none" w:sz="0" w:space="0" w:color="auto"/>
        <w:bottom w:val="none" w:sz="0" w:space="0" w:color="auto"/>
        <w:right w:val="none" w:sz="0" w:space="0" w:color="auto"/>
      </w:divBdr>
    </w:div>
    <w:div w:id="1822114855">
      <w:bodyDiv w:val="1"/>
      <w:marLeft w:val="0"/>
      <w:marRight w:val="0"/>
      <w:marTop w:val="0"/>
      <w:marBottom w:val="0"/>
      <w:divBdr>
        <w:top w:val="none" w:sz="0" w:space="0" w:color="auto"/>
        <w:left w:val="none" w:sz="0" w:space="0" w:color="auto"/>
        <w:bottom w:val="none" w:sz="0" w:space="0" w:color="auto"/>
        <w:right w:val="none" w:sz="0" w:space="0" w:color="auto"/>
      </w:divBdr>
    </w:div>
    <w:div w:id="1822192561">
      <w:bodyDiv w:val="1"/>
      <w:marLeft w:val="0"/>
      <w:marRight w:val="0"/>
      <w:marTop w:val="0"/>
      <w:marBottom w:val="0"/>
      <w:divBdr>
        <w:top w:val="none" w:sz="0" w:space="0" w:color="auto"/>
        <w:left w:val="none" w:sz="0" w:space="0" w:color="auto"/>
        <w:bottom w:val="none" w:sz="0" w:space="0" w:color="auto"/>
        <w:right w:val="none" w:sz="0" w:space="0" w:color="auto"/>
      </w:divBdr>
    </w:div>
    <w:div w:id="1822380380">
      <w:bodyDiv w:val="1"/>
      <w:marLeft w:val="0"/>
      <w:marRight w:val="0"/>
      <w:marTop w:val="0"/>
      <w:marBottom w:val="0"/>
      <w:divBdr>
        <w:top w:val="none" w:sz="0" w:space="0" w:color="auto"/>
        <w:left w:val="none" w:sz="0" w:space="0" w:color="auto"/>
        <w:bottom w:val="none" w:sz="0" w:space="0" w:color="auto"/>
        <w:right w:val="none" w:sz="0" w:space="0" w:color="auto"/>
      </w:divBdr>
    </w:div>
    <w:div w:id="1822427428">
      <w:bodyDiv w:val="1"/>
      <w:marLeft w:val="0"/>
      <w:marRight w:val="0"/>
      <w:marTop w:val="0"/>
      <w:marBottom w:val="0"/>
      <w:divBdr>
        <w:top w:val="none" w:sz="0" w:space="0" w:color="auto"/>
        <w:left w:val="none" w:sz="0" w:space="0" w:color="auto"/>
        <w:bottom w:val="none" w:sz="0" w:space="0" w:color="auto"/>
        <w:right w:val="none" w:sz="0" w:space="0" w:color="auto"/>
      </w:divBdr>
    </w:div>
    <w:div w:id="1823346933">
      <w:bodyDiv w:val="1"/>
      <w:marLeft w:val="0"/>
      <w:marRight w:val="0"/>
      <w:marTop w:val="0"/>
      <w:marBottom w:val="0"/>
      <w:divBdr>
        <w:top w:val="none" w:sz="0" w:space="0" w:color="auto"/>
        <w:left w:val="none" w:sz="0" w:space="0" w:color="auto"/>
        <w:bottom w:val="none" w:sz="0" w:space="0" w:color="auto"/>
        <w:right w:val="none" w:sz="0" w:space="0" w:color="auto"/>
      </w:divBdr>
    </w:div>
    <w:div w:id="1824590201">
      <w:bodyDiv w:val="1"/>
      <w:marLeft w:val="0"/>
      <w:marRight w:val="0"/>
      <w:marTop w:val="0"/>
      <w:marBottom w:val="0"/>
      <w:divBdr>
        <w:top w:val="none" w:sz="0" w:space="0" w:color="auto"/>
        <w:left w:val="none" w:sz="0" w:space="0" w:color="auto"/>
        <w:bottom w:val="none" w:sz="0" w:space="0" w:color="auto"/>
        <w:right w:val="none" w:sz="0" w:space="0" w:color="auto"/>
      </w:divBdr>
    </w:div>
    <w:div w:id="1824925294">
      <w:bodyDiv w:val="1"/>
      <w:marLeft w:val="0"/>
      <w:marRight w:val="0"/>
      <w:marTop w:val="0"/>
      <w:marBottom w:val="0"/>
      <w:divBdr>
        <w:top w:val="none" w:sz="0" w:space="0" w:color="auto"/>
        <w:left w:val="none" w:sz="0" w:space="0" w:color="auto"/>
        <w:bottom w:val="none" w:sz="0" w:space="0" w:color="auto"/>
        <w:right w:val="none" w:sz="0" w:space="0" w:color="auto"/>
      </w:divBdr>
    </w:div>
    <w:div w:id="1824928685">
      <w:bodyDiv w:val="1"/>
      <w:marLeft w:val="0"/>
      <w:marRight w:val="0"/>
      <w:marTop w:val="0"/>
      <w:marBottom w:val="0"/>
      <w:divBdr>
        <w:top w:val="none" w:sz="0" w:space="0" w:color="auto"/>
        <w:left w:val="none" w:sz="0" w:space="0" w:color="auto"/>
        <w:bottom w:val="none" w:sz="0" w:space="0" w:color="auto"/>
        <w:right w:val="none" w:sz="0" w:space="0" w:color="auto"/>
      </w:divBdr>
    </w:div>
    <w:div w:id="1824934144">
      <w:bodyDiv w:val="1"/>
      <w:marLeft w:val="0"/>
      <w:marRight w:val="0"/>
      <w:marTop w:val="0"/>
      <w:marBottom w:val="0"/>
      <w:divBdr>
        <w:top w:val="none" w:sz="0" w:space="0" w:color="auto"/>
        <w:left w:val="none" w:sz="0" w:space="0" w:color="auto"/>
        <w:bottom w:val="none" w:sz="0" w:space="0" w:color="auto"/>
        <w:right w:val="none" w:sz="0" w:space="0" w:color="auto"/>
      </w:divBdr>
    </w:div>
    <w:div w:id="1825388510">
      <w:bodyDiv w:val="1"/>
      <w:marLeft w:val="0"/>
      <w:marRight w:val="0"/>
      <w:marTop w:val="0"/>
      <w:marBottom w:val="0"/>
      <w:divBdr>
        <w:top w:val="none" w:sz="0" w:space="0" w:color="auto"/>
        <w:left w:val="none" w:sz="0" w:space="0" w:color="auto"/>
        <w:bottom w:val="none" w:sz="0" w:space="0" w:color="auto"/>
        <w:right w:val="none" w:sz="0" w:space="0" w:color="auto"/>
      </w:divBdr>
    </w:div>
    <w:div w:id="1825581890">
      <w:bodyDiv w:val="1"/>
      <w:marLeft w:val="0"/>
      <w:marRight w:val="0"/>
      <w:marTop w:val="0"/>
      <w:marBottom w:val="0"/>
      <w:divBdr>
        <w:top w:val="none" w:sz="0" w:space="0" w:color="auto"/>
        <w:left w:val="none" w:sz="0" w:space="0" w:color="auto"/>
        <w:bottom w:val="none" w:sz="0" w:space="0" w:color="auto"/>
        <w:right w:val="none" w:sz="0" w:space="0" w:color="auto"/>
      </w:divBdr>
    </w:div>
    <w:div w:id="1826124628">
      <w:bodyDiv w:val="1"/>
      <w:marLeft w:val="0"/>
      <w:marRight w:val="0"/>
      <w:marTop w:val="0"/>
      <w:marBottom w:val="0"/>
      <w:divBdr>
        <w:top w:val="none" w:sz="0" w:space="0" w:color="auto"/>
        <w:left w:val="none" w:sz="0" w:space="0" w:color="auto"/>
        <w:bottom w:val="none" w:sz="0" w:space="0" w:color="auto"/>
        <w:right w:val="none" w:sz="0" w:space="0" w:color="auto"/>
      </w:divBdr>
    </w:div>
    <w:div w:id="1826241747">
      <w:bodyDiv w:val="1"/>
      <w:marLeft w:val="0"/>
      <w:marRight w:val="0"/>
      <w:marTop w:val="0"/>
      <w:marBottom w:val="0"/>
      <w:divBdr>
        <w:top w:val="none" w:sz="0" w:space="0" w:color="auto"/>
        <w:left w:val="none" w:sz="0" w:space="0" w:color="auto"/>
        <w:bottom w:val="none" w:sz="0" w:space="0" w:color="auto"/>
        <w:right w:val="none" w:sz="0" w:space="0" w:color="auto"/>
      </w:divBdr>
    </w:div>
    <w:div w:id="1826313348">
      <w:bodyDiv w:val="1"/>
      <w:marLeft w:val="0"/>
      <w:marRight w:val="0"/>
      <w:marTop w:val="0"/>
      <w:marBottom w:val="0"/>
      <w:divBdr>
        <w:top w:val="none" w:sz="0" w:space="0" w:color="auto"/>
        <w:left w:val="none" w:sz="0" w:space="0" w:color="auto"/>
        <w:bottom w:val="none" w:sz="0" w:space="0" w:color="auto"/>
        <w:right w:val="none" w:sz="0" w:space="0" w:color="auto"/>
      </w:divBdr>
    </w:div>
    <w:div w:id="1827478251">
      <w:bodyDiv w:val="1"/>
      <w:marLeft w:val="0"/>
      <w:marRight w:val="0"/>
      <w:marTop w:val="0"/>
      <w:marBottom w:val="0"/>
      <w:divBdr>
        <w:top w:val="none" w:sz="0" w:space="0" w:color="auto"/>
        <w:left w:val="none" w:sz="0" w:space="0" w:color="auto"/>
        <w:bottom w:val="none" w:sz="0" w:space="0" w:color="auto"/>
        <w:right w:val="none" w:sz="0" w:space="0" w:color="auto"/>
      </w:divBdr>
    </w:div>
    <w:div w:id="1828745786">
      <w:bodyDiv w:val="1"/>
      <w:marLeft w:val="0"/>
      <w:marRight w:val="0"/>
      <w:marTop w:val="0"/>
      <w:marBottom w:val="0"/>
      <w:divBdr>
        <w:top w:val="none" w:sz="0" w:space="0" w:color="auto"/>
        <w:left w:val="none" w:sz="0" w:space="0" w:color="auto"/>
        <w:bottom w:val="none" w:sz="0" w:space="0" w:color="auto"/>
        <w:right w:val="none" w:sz="0" w:space="0" w:color="auto"/>
      </w:divBdr>
    </w:div>
    <w:div w:id="1828932975">
      <w:bodyDiv w:val="1"/>
      <w:marLeft w:val="0"/>
      <w:marRight w:val="0"/>
      <w:marTop w:val="0"/>
      <w:marBottom w:val="0"/>
      <w:divBdr>
        <w:top w:val="none" w:sz="0" w:space="0" w:color="auto"/>
        <w:left w:val="none" w:sz="0" w:space="0" w:color="auto"/>
        <w:bottom w:val="none" w:sz="0" w:space="0" w:color="auto"/>
        <w:right w:val="none" w:sz="0" w:space="0" w:color="auto"/>
      </w:divBdr>
    </w:div>
    <w:div w:id="1828981973">
      <w:bodyDiv w:val="1"/>
      <w:marLeft w:val="0"/>
      <w:marRight w:val="0"/>
      <w:marTop w:val="0"/>
      <w:marBottom w:val="0"/>
      <w:divBdr>
        <w:top w:val="none" w:sz="0" w:space="0" w:color="auto"/>
        <w:left w:val="none" w:sz="0" w:space="0" w:color="auto"/>
        <w:bottom w:val="none" w:sz="0" w:space="0" w:color="auto"/>
        <w:right w:val="none" w:sz="0" w:space="0" w:color="auto"/>
      </w:divBdr>
    </w:div>
    <w:div w:id="1829175369">
      <w:bodyDiv w:val="1"/>
      <w:marLeft w:val="0"/>
      <w:marRight w:val="0"/>
      <w:marTop w:val="0"/>
      <w:marBottom w:val="0"/>
      <w:divBdr>
        <w:top w:val="none" w:sz="0" w:space="0" w:color="auto"/>
        <w:left w:val="none" w:sz="0" w:space="0" w:color="auto"/>
        <w:bottom w:val="none" w:sz="0" w:space="0" w:color="auto"/>
        <w:right w:val="none" w:sz="0" w:space="0" w:color="auto"/>
      </w:divBdr>
    </w:div>
    <w:div w:id="1829589648">
      <w:bodyDiv w:val="1"/>
      <w:marLeft w:val="0"/>
      <w:marRight w:val="0"/>
      <w:marTop w:val="0"/>
      <w:marBottom w:val="0"/>
      <w:divBdr>
        <w:top w:val="none" w:sz="0" w:space="0" w:color="auto"/>
        <w:left w:val="none" w:sz="0" w:space="0" w:color="auto"/>
        <w:bottom w:val="none" w:sz="0" w:space="0" w:color="auto"/>
        <w:right w:val="none" w:sz="0" w:space="0" w:color="auto"/>
      </w:divBdr>
    </w:div>
    <w:div w:id="1829664797">
      <w:bodyDiv w:val="1"/>
      <w:marLeft w:val="0"/>
      <w:marRight w:val="0"/>
      <w:marTop w:val="0"/>
      <w:marBottom w:val="0"/>
      <w:divBdr>
        <w:top w:val="none" w:sz="0" w:space="0" w:color="auto"/>
        <w:left w:val="none" w:sz="0" w:space="0" w:color="auto"/>
        <w:bottom w:val="none" w:sz="0" w:space="0" w:color="auto"/>
        <w:right w:val="none" w:sz="0" w:space="0" w:color="auto"/>
      </w:divBdr>
    </w:div>
    <w:div w:id="1829857493">
      <w:bodyDiv w:val="1"/>
      <w:marLeft w:val="0"/>
      <w:marRight w:val="0"/>
      <w:marTop w:val="0"/>
      <w:marBottom w:val="0"/>
      <w:divBdr>
        <w:top w:val="none" w:sz="0" w:space="0" w:color="auto"/>
        <w:left w:val="none" w:sz="0" w:space="0" w:color="auto"/>
        <w:bottom w:val="none" w:sz="0" w:space="0" w:color="auto"/>
        <w:right w:val="none" w:sz="0" w:space="0" w:color="auto"/>
      </w:divBdr>
    </w:div>
    <w:div w:id="1830100974">
      <w:bodyDiv w:val="1"/>
      <w:marLeft w:val="0"/>
      <w:marRight w:val="0"/>
      <w:marTop w:val="0"/>
      <w:marBottom w:val="0"/>
      <w:divBdr>
        <w:top w:val="none" w:sz="0" w:space="0" w:color="auto"/>
        <w:left w:val="none" w:sz="0" w:space="0" w:color="auto"/>
        <w:bottom w:val="none" w:sz="0" w:space="0" w:color="auto"/>
        <w:right w:val="none" w:sz="0" w:space="0" w:color="auto"/>
      </w:divBdr>
    </w:div>
    <w:div w:id="1830369000">
      <w:bodyDiv w:val="1"/>
      <w:marLeft w:val="0"/>
      <w:marRight w:val="0"/>
      <w:marTop w:val="0"/>
      <w:marBottom w:val="0"/>
      <w:divBdr>
        <w:top w:val="none" w:sz="0" w:space="0" w:color="auto"/>
        <w:left w:val="none" w:sz="0" w:space="0" w:color="auto"/>
        <w:bottom w:val="none" w:sz="0" w:space="0" w:color="auto"/>
        <w:right w:val="none" w:sz="0" w:space="0" w:color="auto"/>
      </w:divBdr>
    </w:div>
    <w:div w:id="1830513377">
      <w:bodyDiv w:val="1"/>
      <w:marLeft w:val="0"/>
      <w:marRight w:val="0"/>
      <w:marTop w:val="0"/>
      <w:marBottom w:val="0"/>
      <w:divBdr>
        <w:top w:val="none" w:sz="0" w:space="0" w:color="auto"/>
        <w:left w:val="none" w:sz="0" w:space="0" w:color="auto"/>
        <w:bottom w:val="none" w:sz="0" w:space="0" w:color="auto"/>
        <w:right w:val="none" w:sz="0" w:space="0" w:color="auto"/>
      </w:divBdr>
    </w:div>
    <w:div w:id="1831213489">
      <w:bodyDiv w:val="1"/>
      <w:marLeft w:val="0"/>
      <w:marRight w:val="0"/>
      <w:marTop w:val="0"/>
      <w:marBottom w:val="0"/>
      <w:divBdr>
        <w:top w:val="none" w:sz="0" w:space="0" w:color="auto"/>
        <w:left w:val="none" w:sz="0" w:space="0" w:color="auto"/>
        <w:bottom w:val="none" w:sz="0" w:space="0" w:color="auto"/>
        <w:right w:val="none" w:sz="0" w:space="0" w:color="auto"/>
      </w:divBdr>
    </w:div>
    <w:div w:id="1831555677">
      <w:bodyDiv w:val="1"/>
      <w:marLeft w:val="0"/>
      <w:marRight w:val="0"/>
      <w:marTop w:val="0"/>
      <w:marBottom w:val="0"/>
      <w:divBdr>
        <w:top w:val="none" w:sz="0" w:space="0" w:color="auto"/>
        <w:left w:val="none" w:sz="0" w:space="0" w:color="auto"/>
        <w:bottom w:val="none" w:sz="0" w:space="0" w:color="auto"/>
        <w:right w:val="none" w:sz="0" w:space="0" w:color="auto"/>
      </w:divBdr>
    </w:div>
    <w:div w:id="1831671549">
      <w:bodyDiv w:val="1"/>
      <w:marLeft w:val="0"/>
      <w:marRight w:val="0"/>
      <w:marTop w:val="0"/>
      <w:marBottom w:val="0"/>
      <w:divBdr>
        <w:top w:val="none" w:sz="0" w:space="0" w:color="auto"/>
        <w:left w:val="none" w:sz="0" w:space="0" w:color="auto"/>
        <w:bottom w:val="none" w:sz="0" w:space="0" w:color="auto"/>
        <w:right w:val="none" w:sz="0" w:space="0" w:color="auto"/>
      </w:divBdr>
    </w:div>
    <w:div w:id="1831827676">
      <w:bodyDiv w:val="1"/>
      <w:marLeft w:val="0"/>
      <w:marRight w:val="0"/>
      <w:marTop w:val="0"/>
      <w:marBottom w:val="0"/>
      <w:divBdr>
        <w:top w:val="none" w:sz="0" w:space="0" w:color="auto"/>
        <w:left w:val="none" w:sz="0" w:space="0" w:color="auto"/>
        <w:bottom w:val="none" w:sz="0" w:space="0" w:color="auto"/>
        <w:right w:val="none" w:sz="0" w:space="0" w:color="auto"/>
      </w:divBdr>
    </w:div>
    <w:div w:id="1831866213">
      <w:bodyDiv w:val="1"/>
      <w:marLeft w:val="0"/>
      <w:marRight w:val="0"/>
      <w:marTop w:val="0"/>
      <w:marBottom w:val="0"/>
      <w:divBdr>
        <w:top w:val="none" w:sz="0" w:space="0" w:color="auto"/>
        <w:left w:val="none" w:sz="0" w:space="0" w:color="auto"/>
        <w:bottom w:val="none" w:sz="0" w:space="0" w:color="auto"/>
        <w:right w:val="none" w:sz="0" w:space="0" w:color="auto"/>
      </w:divBdr>
    </w:div>
    <w:div w:id="1831948540">
      <w:bodyDiv w:val="1"/>
      <w:marLeft w:val="0"/>
      <w:marRight w:val="0"/>
      <w:marTop w:val="0"/>
      <w:marBottom w:val="0"/>
      <w:divBdr>
        <w:top w:val="none" w:sz="0" w:space="0" w:color="auto"/>
        <w:left w:val="none" w:sz="0" w:space="0" w:color="auto"/>
        <w:bottom w:val="none" w:sz="0" w:space="0" w:color="auto"/>
        <w:right w:val="none" w:sz="0" w:space="0" w:color="auto"/>
      </w:divBdr>
    </w:div>
    <w:div w:id="1832208806">
      <w:bodyDiv w:val="1"/>
      <w:marLeft w:val="0"/>
      <w:marRight w:val="0"/>
      <w:marTop w:val="0"/>
      <w:marBottom w:val="0"/>
      <w:divBdr>
        <w:top w:val="none" w:sz="0" w:space="0" w:color="auto"/>
        <w:left w:val="none" w:sz="0" w:space="0" w:color="auto"/>
        <w:bottom w:val="none" w:sz="0" w:space="0" w:color="auto"/>
        <w:right w:val="none" w:sz="0" w:space="0" w:color="auto"/>
      </w:divBdr>
    </w:div>
    <w:div w:id="1832676323">
      <w:bodyDiv w:val="1"/>
      <w:marLeft w:val="0"/>
      <w:marRight w:val="0"/>
      <w:marTop w:val="0"/>
      <w:marBottom w:val="0"/>
      <w:divBdr>
        <w:top w:val="none" w:sz="0" w:space="0" w:color="auto"/>
        <w:left w:val="none" w:sz="0" w:space="0" w:color="auto"/>
        <w:bottom w:val="none" w:sz="0" w:space="0" w:color="auto"/>
        <w:right w:val="none" w:sz="0" w:space="0" w:color="auto"/>
      </w:divBdr>
    </w:div>
    <w:div w:id="1833330401">
      <w:bodyDiv w:val="1"/>
      <w:marLeft w:val="0"/>
      <w:marRight w:val="0"/>
      <w:marTop w:val="0"/>
      <w:marBottom w:val="0"/>
      <w:divBdr>
        <w:top w:val="none" w:sz="0" w:space="0" w:color="auto"/>
        <w:left w:val="none" w:sz="0" w:space="0" w:color="auto"/>
        <w:bottom w:val="none" w:sz="0" w:space="0" w:color="auto"/>
        <w:right w:val="none" w:sz="0" w:space="0" w:color="auto"/>
      </w:divBdr>
    </w:div>
    <w:div w:id="1833332925">
      <w:bodyDiv w:val="1"/>
      <w:marLeft w:val="0"/>
      <w:marRight w:val="0"/>
      <w:marTop w:val="0"/>
      <w:marBottom w:val="0"/>
      <w:divBdr>
        <w:top w:val="none" w:sz="0" w:space="0" w:color="auto"/>
        <w:left w:val="none" w:sz="0" w:space="0" w:color="auto"/>
        <w:bottom w:val="none" w:sz="0" w:space="0" w:color="auto"/>
        <w:right w:val="none" w:sz="0" w:space="0" w:color="auto"/>
      </w:divBdr>
    </w:div>
    <w:div w:id="1833521374">
      <w:bodyDiv w:val="1"/>
      <w:marLeft w:val="0"/>
      <w:marRight w:val="0"/>
      <w:marTop w:val="0"/>
      <w:marBottom w:val="0"/>
      <w:divBdr>
        <w:top w:val="none" w:sz="0" w:space="0" w:color="auto"/>
        <w:left w:val="none" w:sz="0" w:space="0" w:color="auto"/>
        <w:bottom w:val="none" w:sz="0" w:space="0" w:color="auto"/>
        <w:right w:val="none" w:sz="0" w:space="0" w:color="auto"/>
      </w:divBdr>
    </w:div>
    <w:div w:id="1833596225">
      <w:bodyDiv w:val="1"/>
      <w:marLeft w:val="0"/>
      <w:marRight w:val="0"/>
      <w:marTop w:val="0"/>
      <w:marBottom w:val="0"/>
      <w:divBdr>
        <w:top w:val="none" w:sz="0" w:space="0" w:color="auto"/>
        <w:left w:val="none" w:sz="0" w:space="0" w:color="auto"/>
        <w:bottom w:val="none" w:sz="0" w:space="0" w:color="auto"/>
        <w:right w:val="none" w:sz="0" w:space="0" w:color="auto"/>
      </w:divBdr>
    </w:div>
    <w:div w:id="1833838663">
      <w:bodyDiv w:val="1"/>
      <w:marLeft w:val="0"/>
      <w:marRight w:val="0"/>
      <w:marTop w:val="0"/>
      <w:marBottom w:val="0"/>
      <w:divBdr>
        <w:top w:val="none" w:sz="0" w:space="0" w:color="auto"/>
        <w:left w:val="none" w:sz="0" w:space="0" w:color="auto"/>
        <w:bottom w:val="none" w:sz="0" w:space="0" w:color="auto"/>
        <w:right w:val="none" w:sz="0" w:space="0" w:color="auto"/>
      </w:divBdr>
    </w:div>
    <w:div w:id="1833906263">
      <w:bodyDiv w:val="1"/>
      <w:marLeft w:val="0"/>
      <w:marRight w:val="0"/>
      <w:marTop w:val="0"/>
      <w:marBottom w:val="0"/>
      <w:divBdr>
        <w:top w:val="none" w:sz="0" w:space="0" w:color="auto"/>
        <w:left w:val="none" w:sz="0" w:space="0" w:color="auto"/>
        <w:bottom w:val="none" w:sz="0" w:space="0" w:color="auto"/>
        <w:right w:val="none" w:sz="0" w:space="0" w:color="auto"/>
      </w:divBdr>
    </w:div>
    <w:div w:id="1834099439">
      <w:bodyDiv w:val="1"/>
      <w:marLeft w:val="0"/>
      <w:marRight w:val="0"/>
      <w:marTop w:val="0"/>
      <w:marBottom w:val="0"/>
      <w:divBdr>
        <w:top w:val="none" w:sz="0" w:space="0" w:color="auto"/>
        <w:left w:val="none" w:sz="0" w:space="0" w:color="auto"/>
        <w:bottom w:val="none" w:sz="0" w:space="0" w:color="auto"/>
        <w:right w:val="none" w:sz="0" w:space="0" w:color="auto"/>
      </w:divBdr>
    </w:div>
    <w:div w:id="1834759461">
      <w:bodyDiv w:val="1"/>
      <w:marLeft w:val="0"/>
      <w:marRight w:val="0"/>
      <w:marTop w:val="0"/>
      <w:marBottom w:val="0"/>
      <w:divBdr>
        <w:top w:val="none" w:sz="0" w:space="0" w:color="auto"/>
        <w:left w:val="none" w:sz="0" w:space="0" w:color="auto"/>
        <w:bottom w:val="none" w:sz="0" w:space="0" w:color="auto"/>
        <w:right w:val="none" w:sz="0" w:space="0" w:color="auto"/>
      </w:divBdr>
    </w:div>
    <w:div w:id="1834763258">
      <w:bodyDiv w:val="1"/>
      <w:marLeft w:val="0"/>
      <w:marRight w:val="0"/>
      <w:marTop w:val="0"/>
      <w:marBottom w:val="0"/>
      <w:divBdr>
        <w:top w:val="none" w:sz="0" w:space="0" w:color="auto"/>
        <w:left w:val="none" w:sz="0" w:space="0" w:color="auto"/>
        <w:bottom w:val="none" w:sz="0" w:space="0" w:color="auto"/>
        <w:right w:val="none" w:sz="0" w:space="0" w:color="auto"/>
      </w:divBdr>
    </w:div>
    <w:div w:id="1834951947">
      <w:bodyDiv w:val="1"/>
      <w:marLeft w:val="0"/>
      <w:marRight w:val="0"/>
      <w:marTop w:val="0"/>
      <w:marBottom w:val="0"/>
      <w:divBdr>
        <w:top w:val="none" w:sz="0" w:space="0" w:color="auto"/>
        <w:left w:val="none" w:sz="0" w:space="0" w:color="auto"/>
        <w:bottom w:val="none" w:sz="0" w:space="0" w:color="auto"/>
        <w:right w:val="none" w:sz="0" w:space="0" w:color="auto"/>
      </w:divBdr>
    </w:div>
    <w:div w:id="1835367982">
      <w:bodyDiv w:val="1"/>
      <w:marLeft w:val="0"/>
      <w:marRight w:val="0"/>
      <w:marTop w:val="0"/>
      <w:marBottom w:val="0"/>
      <w:divBdr>
        <w:top w:val="none" w:sz="0" w:space="0" w:color="auto"/>
        <w:left w:val="none" w:sz="0" w:space="0" w:color="auto"/>
        <w:bottom w:val="none" w:sz="0" w:space="0" w:color="auto"/>
        <w:right w:val="none" w:sz="0" w:space="0" w:color="auto"/>
      </w:divBdr>
    </w:div>
    <w:div w:id="1835414181">
      <w:bodyDiv w:val="1"/>
      <w:marLeft w:val="0"/>
      <w:marRight w:val="0"/>
      <w:marTop w:val="0"/>
      <w:marBottom w:val="0"/>
      <w:divBdr>
        <w:top w:val="none" w:sz="0" w:space="0" w:color="auto"/>
        <w:left w:val="none" w:sz="0" w:space="0" w:color="auto"/>
        <w:bottom w:val="none" w:sz="0" w:space="0" w:color="auto"/>
        <w:right w:val="none" w:sz="0" w:space="0" w:color="auto"/>
      </w:divBdr>
    </w:div>
    <w:div w:id="1835415071">
      <w:bodyDiv w:val="1"/>
      <w:marLeft w:val="0"/>
      <w:marRight w:val="0"/>
      <w:marTop w:val="0"/>
      <w:marBottom w:val="0"/>
      <w:divBdr>
        <w:top w:val="none" w:sz="0" w:space="0" w:color="auto"/>
        <w:left w:val="none" w:sz="0" w:space="0" w:color="auto"/>
        <w:bottom w:val="none" w:sz="0" w:space="0" w:color="auto"/>
        <w:right w:val="none" w:sz="0" w:space="0" w:color="auto"/>
      </w:divBdr>
    </w:div>
    <w:div w:id="1835729442">
      <w:bodyDiv w:val="1"/>
      <w:marLeft w:val="0"/>
      <w:marRight w:val="0"/>
      <w:marTop w:val="0"/>
      <w:marBottom w:val="0"/>
      <w:divBdr>
        <w:top w:val="none" w:sz="0" w:space="0" w:color="auto"/>
        <w:left w:val="none" w:sz="0" w:space="0" w:color="auto"/>
        <w:bottom w:val="none" w:sz="0" w:space="0" w:color="auto"/>
        <w:right w:val="none" w:sz="0" w:space="0" w:color="auto"/>
      </w:divBdr>
    </w:div>
    <w:div w:id="1835800634">
      <w:bodyDiv w:val="1"/>
      <w:marLeft w:val="0"/>
      <w:marRight w:val="0"/>
      <w:marTop w:val="0"/>
      <w:marBottom w:val="0"/>
      <w:divBdr>
        <w:top w:val="none" w:sz="0" w:space="0" w:color="auto"/>
        <w:left w:val="none" w:sz="0" w:space="0" w:color="auto"/>
        <w:bottom w:val="none" w:sz="0" w:space="0" w:color="auto"/>
        <w:right w:val="none" w:sz="0" w:space="0" w:color="auto"/>
      </w:divBdr>
    </w:div>
    <w:div w:id="1835994587">
      <w:bodyDiv w:val="1"/>
      <w:marLeft w:val="0"/>
      <w:marRight w:val="0"/>
      <w:marTop w:val="0"/>
      <w:marBottom w:val="0"/>
      <w:divBdr>
        <w:top w:val="none" w:sz="0" w:space="0" w:color="auto"/>
        <w:left w:val="none" w:sz="0" w:space="0" w:color="auto"/>
        <w:bottom w:val="none" w:sz="0" w:space="0" w:color="auto"/>
        <w:right w:val="none" w:sz="0" w:space="0" w:color="auto"/>
      </w:divBdr>
    </w:div>
    <w:div w:id="1836415957">
      <w:bodyDiv w:val="1"/>
      <w:marLeft w:val="0"/>
      <w:marRight w:val="0"/>
      <w:marTop w:val="0"/>
      <w:marBottom w:val="0"/>
      <w:divBdr>
        <w:top w:val="none" w:sz="0" w:space="0" w:color="auto"/>
        <w:left w:val="none" w:sz="0" w:space="0" w:color="auto"/>
        <w:bottom w:val="none" w:sz="0" w:space="0" w:color="auto"/>
        <w:right w:val="none" w:sz="0" w:space="0" w:color="auto"/>
      </w:divBdr>
    </w:div>
    <w:div w:id="1836610378">
      <w:bodyDiv w:val="1"/>
      <w:marLeft w:val="0"/>
      <w:marRight w:val="0"/>
      <w:marTop w:val="0"/>
      <w:marBottom w:val="0"/>
      <w:divBdr>
        <w:top w:val="none" w:sz="0" w:space="0" w:color="auto"/>
        <w:left w:val="none" w:sz="0" w:space="0" w:color="auto"/>
        <w:bottom w:val="none" w:sz="0" w:space="0" w:color="auto"/>
        <w:right w:val="none" w:sz="0" w:space="0" w:color="auto"/>
      </w:divBdr>
    </w:div>
    <w:div w:id="1836651388">
      <w:bodyDiv w:val="1"/>
      <w:marLeft w:val="0"/>
      <w:marRight w:val="0"/>
      <w:marTop w:val="0"/>
      <w:marBottom w:val="0"/>
      <w:divBdr>
        <w:top w:val="none" w:sz="0" w:space="0" w:color="auto"/>
        <w:left w:val="none" w:sz="0" w:space="0" w:color="auto"/>
        <w:bottom w:val="none" w:sz="0" w:space="0" w:color="auto"/>
        <w:right w:val="none" w:sz="0" w:space="0" w:color="auto"/>
      </w:divBdr>
    </w:div>
    <w:div w:id="1836724446">
      <w:bodyDiv w:val="1"/>
      <w:marLeft w:val="0"/>
      <w:marRight w:val="0"/>
      <w:marTop w:val="0"/>
      <w:marBottom w:val="0"/>
      <w:divBdr>
        <w:top w:val="none" w:sz="0" w:space="0" w:color="auto"/>
        <w:left w:val="none" w:sz="0" w:space="0" w:color="auto"/>
        <w:bottom w:val="none" w:sz="0" w:space="0" w:color="auto"/>
        <w:right w:val="none" w:sz="0" w:space="0" w:color="auto"/>
      </w:divBdr>
    </w:div>
    <w:div w:id="1837308091">
      <w:bodyDiv w:val="1"/>
      <w:marLeft w:val="0"/>
      <w:marRight w:val="0"/>
      <w:marTop w:val="0"/>
      <w:marBottom w:val="0"/>
      <w:divBdr>
        <w:top w:val="none" w:sz="0" w:space="0" w:color="auto"/>
        <w:left w:val="none" w:sz="0" w:space="0" w:color="auto"/>
        <w:bottom w:val="none" w:sz="0" w:space="0" w:color="auto"/>
        <w:right w:val="none" w:sz="0" w:space="0" w:color="auto"/>
      </w:divBdr>
    </w:div>
    <w:div w:id="1837380563">
      <w:bodyDiv w:val="1"/>
      <w:marLeft w:val="0"/>
      <w:marRight w:val="0"/>
      <w:marTop w:val="0"/>
      <w:marBottom w:val="0"/>
      <w:divBdr>
        <w:top w:val="none" w:sz="0" w:space="0" w:color="auto"/>
        <w:left w:val="none" w:sz="0" w:space="0" w:color="auto"/>
        <w:bottom w:val="none" w:sz="0" w:space="0" w:color="auto"/>
        <w:right w:val="none" w:sz="0" w:space="0" w:color="auto"/>
      </w:divBdr>
    </w:div>
    <w:div w:id="1837500088">
      <w:bodyDiv w:val="1"/>
      <w:marLeft w:val="0"/>
      <w:marRight w:val="0"/>
      <w:marTop w:val="0"/>
      <w:marBottom w:val="0"/>
      <w:divBdr>
        <w:top w:val="none" w:sz="0" w:space="0" w:color="auto"/>
        <w:left w:val="none" w:sz="0" w:space="0" w:color="auto"/>
        <w:bottom w:val="none" w:sz="0" w:space="0" w:color="auto"/>
        <w:right w:val="none" w:sz="0" w:space="0" w:color="auto"/>
      </w:divBdr>
    </w:div>
    <w:div w:id="1838499217">
      <w:bodyDiv w:val="1"/>
      <w:marLeft w:val="0"/>
      <w:marRight w:val="0"/>
      <w:marTop w:val="0"/>
      <w:marBottom w:val="0"/>
      <w:divBdr>
        <w:top w:val="none" w:sz="0" w:space="0" w:color="auto"/>
        <w:left w:val="none" w:sz="0" w:space="0" w:color="auto"/>
        <w:bottom w:val="none" w:sz="0" w:space="0" w:color="auto"/>
        <w:right w:val="none" w:sz="0" w:space="0" w:color="auto"/>
      </w:divBdr>
    </w:div>
    <w:div w:id="1838884661">
      <w:bodyDiv w:val="1"/>
      <w:marLeft w:val="0"/>
      <w:marRight w:val="0"/>
      <w:marTop w:val="0"/>
      <w:marBottom w:val="0"/>
      <w:divBdr>
        <w:top w:val="none" w:sz="0" w:space="0" w:color="auto"/>
        <w:left w:val="none" w:sz="0" w:space="0" w:color="auto"/>
        <w:bottom w:val="none" w:sz="0" w:space="0" w:color="auto"/>
        <w:right w:val="none" w:sz="0" w:space="0" w:color="auto"/>
      </w:divBdr>
    </w:div>
    <w:div w:id="1839073471">
      <w:bodyDiv w:val="1"/>
      <w:marLeft w:val="0"/>
      <w:marRight w:val="0"/>
      <w:marTop w:val="0"/>
      <w:marBottom w:val="0"/>
      <w:divBdr>
        <w:top w:val="none" w:sz="0" w:space="0" w:color="auto"/>
        <w:left w:val="none" w:sz="0" w:space="0" w:color="auto"/>
        <w:bottom w:val="none" w:sz="0" w:space="0" w:color="auto"/>
        <w:right w:val="none" w:sz="0" w:space="0" w:color="auto"/>
      </w:divBdr>
    </w:div>
    <w:div w:id="1839299022">
      <w:bodyDiv w:val="1"/>
      <w:marLeft w:val="0"/>
      <w:marRight w:val="0"/>
      <w:marTop w:val="0"/>
      <w:marBottom w:val="0"/>
      <w:divBdr>
        <w:top w:val="none" w:sz="0" w:space="0" w:color="auto"/>
        <w:left w:val="none" w:sz="0" w:space="0" w:color="auto"/>
        <w:bottom w:val="none" w:sz="0" w:space="0" w:color="auto"/>
        <w:right w:val="none" w:sz="0" w:space="0" w:color="auto"/>
      </w:divBdr>
    </w:div>
    <w:div w:id="1839805448">
      <w:bodyDiv w:val="1"/>
      <w:marLeft w:val="0"/>
      <w:marRight w:val="0"/>
      <w:marTop w:val="0"/>
      <w:marBottom w:val="0"/>
      <w:divBdr>
        <w:top w:val="none" w:sz="0" w:space="0" w:color="auto"/>
        <w:left w:val="none" w:sz="0" w:space="0" w:color="auto"/>
        <w:bottom w:val="none" w:sz="0" w:space="0" w:color="auto"/>
        <w:right w:val="none" w:sz="0" w:space="0" w:color="auto"/>
      </w:divBdr>
    </w:div>
    <w:div w:id="1840149705">
      <w:bodyDiv w:val="1"/>
      <w:marLeft w:val="0"/>
      <w:marRight w:val="0"/>
      <w:marTop w:val="0"/>
      <w:marBottom w:val="0"/>
      <w:divBdr>
        <w:top w:val="none" w:sz="0" w:space="0" w:color="auto"/>
        <w:left w:val="none" w:sz="0" w:space="0" w:color="auto"/>
        <w:bottom w:val="none" w:sz="0" w:space="0" w:color="auto"/>
        <w:right w:val="none" w:sz="0" w:space="0" w:color="auto"/>
      </w:divBdr>
    </w:div>
    <w:div w:id="1840461115">
      <w:bodyDiv w:val="1"/>
      <w:marLeft w:val="0"/>
      <w:marRight w:val="0"/>
      <w:marTop w:val="0"/>
      <w:marBottom w:val="0"/>
      <w:divBdr>
        <w:top w:val="none" w:sz="0" w:space="0" w:color="auto"/>
        <w:left w:val="none" w:sz="0" w:space="0" w:color="auto"/>
        <w:bottom w:val="none" w:sz="0" w:space="0" w:color="auto"/>
        <w:right w:val="none" w:sz="0" w:space="0" w:color="auto"/>
      </w:divBdr>
    </w:div>
    <w:div w:id="1840582600">
      <w:bodyDiv w:val="1"/>
      <w:marLeft w:val="0"/>
      <w:marRight w:val="0"/>
      <w:marTop w:val="0"/>
      <w:marBottom w:val="0"/>
      <w:divBdr>
        <w:top w:val="none" w:sz="0" w:space="0" w:color="auto"/>
        <w:left w:val="none" w:sz="0" w:space="0" w:color="auto"/>
        <w:bottom w:val="none" w:sz="0" w:space="0" w:color="auto"/>
        <w:right w:val="none" w:sz="0" w:space="0" w:color="auto"/>
      </w:divBdr>
    </w:div>
    <w:div w:id="1840926762">
      <w:bodyDiv w:val="1"/>
      <w:marLeft w:val="0"/>
      <w:marRight w:val="0"/>
      <w:marTop w:val="0"/>
      <w:marBottom w:val="0"/>
      <w:divBdr>
        <w:top w:val="none" w:sz="0" w:space="0" w:color="auto"/>
        <w:left w:val="none" w:sz="0" w:space="0" w:color="auto"/>
        <w:bottom w:val="none" w:sz="0" w:space="0" w:color="auto"/>
        <w:right w:val="none" w:sz="0" w:space="0" w:color="auto"/>
      </w:divBdr>
    </w:div>
    <w:div w:id="1840997134">
      <w:bodyDiv w:val="1"/>
      <w:marLeft w:val="0"/>
      <w:marRight w:val="0"/>
      <w:marTop w:val="0"/>
      <w:marBottom w:val="0"/>
      <w:divBdr>
        <w:top w:val="none" w:sz="0" w:space="0" w:color="auto"/>
        <w:left w:val="none" w:sz="0" w:space="0" w:color="auto"/>
        <w:bottom w:val="none" w:sz="0" w:space="0" w:color="auto"/>
        <w:right w:val="none" w:sz="0" w:space="0" w:color="auto"/>
      </w:divBdr>
    </w:div>
    <w:div w:id="1841504597">
      <w:bodyDiv w:val="1"/>
      <w:marLeft w:val="0"/>
      <w:marRight w:val="0"/>
      <w:marTop w:val="0"/>
      <w:marBottom w:val="0"/>
      <w:divBdr>
        <w:top w:val="none" w:sz="0" w:space="0" w:color="auto"/>
        <w:left w:val="none" w:sz="0" w:space="0" w:color="auto"/>
        <w:bottom w:val="none" w:sz="0" w:space="0" w:color="auto"/>
        <w:right w:val="none" w:sz="0" w:space="0" w:color="auto"/>
      </w:divBdr>
    </w:div>
    <w:div w:id="1841966298">
      <w:bodyDiv w:val="1"/>
      <w:marLeft w:val="0"/>
      <w:marRight w:val="0"/>
      <w:marTop w:val="0"/>
      <w:marBottom w:val="0"/>
      <w:divBdr>
        <w:top w:val="none" w:sz="0" w:space="0" w:color="auto"/>
        <w:left w:val="none" w:sz="0" w:space="0" w:color="auto"/>
        <w:bottom w:val="none" w:sz="0" w:space="0" w:color="auto"/>
        <w:right w:val="none" w:sz="0" w:space="0" w:color="auto"/>
      </w:divBdr>
    </w:div>
    <w:div w:id="1841967459">
      <w:bodyDiv w:val="1"/>
      <w:marLeft w:val="0"/>
      <w:marRight w:val="0"/>
      <w:marTop w:val="0"/>
      <w:marBottom w:val="0"/>
      <w:divBdr>
        <w:top w:val="none" w:sz="0" w:space="0" w:color="auto"/>
        <w:left w:val="none" w:sz="0" w:space="0" w:color="auto"/>
        <w:bottom w:val="none" w:sz="0" w:space="0" w:color="auto"/>
        <w:right w:val="none" w:sz="0" w:space="0" w:color="auto"/>
      </w:divBdr>
    </w:div>
    <w:div w:id="1842044788">
      <w:bodyDiv w:val="1"/>
      <w:marLeft w:val="0"/>
      <w:marRight w:val="0"/>
      <w:marTop w:val="0"/>
      <w:marBottom w:val="0"/>
      <w:divBdr>
        <w:top w:val="none" w:sz="0" w:space="0" w:color="auto"/>
        <w:left w:val="none" w:sz="0" w:space="0" w:color="auto"/>
        <w:bottom w:val="none" w:sz="0" w:space="0" w:color="auto"/>
        <w:right w:val="none" w:sz="0" w:space="0" w:color="auto"/>
      </w:divBdr>
    </w:div>
    <w:div w:id="1842163626">
      <w:bodyDiv w:val="1"/>
      <w:marLeft w:val="0"/>
      <w:marRight w:val="0"/>
      <w:marTop w:val="0"/>
      <w:marBottom w:val="0"/>
      <w:divBdr>
        <w:top w:val="none" w:sz="0" w:space="0" w:color="auto"/>
        <w:left w:val="none" w:sz="0" w:space="0" w:color="auto"/>
        <w:bottom w:val="none" w:sz="0" w:space="0" w:color="auto"/>
        <w:right w:val="none" w:sz="0" w:space="0" w:color="auto"/>
      </w:divBdr>
    </w:div>
    <w:div w:id="1842549230">
      <w:bodyDiv w:val="1"/>
      <w:marLeft w:val="0"/>
      <w:marRight w:val="0"/>
      <w:marTop w:val="0"/>
      <w:marBottom w:val="0"/>
      <w:divBdr>
        <w:top w:val="none" w:sz="0" w:space="0" w:color="auto"/>
        <w:left w:val="none" w:sz="0" w:space="0" w:color="auto"/>
        <w:bottom w:val="none" w:sz="0" w:space="0" w:color="auto"/>
        <w:right w:val="none" w:sz="0" w:space="0" w:color="auto"/>
      </w:divBdr>
    </w:div>
    <w:div w:id="1842772552">
      <w:bodyDiv w:val="1"/>
      <w:marLeft w:val="0"/>
      <w:marRight w:val="0"/>
      <w:marTop w:val="0"/>
      <w:marBottom w:val="0"/>
      <w:divBdr>
        <w:top w:val="none" w:sz="0" w:space="0" w:color="auto"/>
        <w:left w:val="none" w:sz="0" w:space="0" w:color="auto"/>
        <w:bottom w:val="none" w:sz="0" w:space="0" w:color="auto"/>
        <w:right w:val="none" w:sz="0" w:space="0" w:color="auto"/>
      </w:divBdr>
    </w:div>
    <w:div w:id="1842968267">
      <w:bodyDiv w:val="1"/>
      <w:marLeft w:val="0"/>
      <w:marRight w:val="0"/>
      <w:marTop w:val="0"/>
      <w:marBottom w:val="0"/>
      <w:divBdr>
        <w:top w:val="none" w:sz="0" w:space="0" w:color="auto"/>
        <w:left w:val="none" w:sz="0" w:space="0" w:color="auto"/>
        <w:bottom w:val="none" w:sz="0" w:space="0" w:color="auto"/>
        <w:right w:val="none" w:sz="0" w:space="0" w:color="auto"/>
      </w:divBdr>
    </w:div>
    <w:div w:id="1843741014">
      <w:bodyDiv w:val="1"/>
      <w:marLeft w:val="0"/>
      <w:marRight w:val="0"/>
      <w:marTop w:val="0"/>
      <w:marBottom w:val="0"/>
      <w:divBdr>
        <w:top w:val="none" w:sz="0" w:space="0" w:color="auto"/>
        <w:left w:val="none" w:sz="0" w:space="0" w:color="auto"/>
        <w:bottom w:val="none" w:sz="0" w:space="0" w:color="auto"/>
        <w:right w:val="none" w:sz="0" w:space="0" w:color="auto"/>
      </w:divBdr>
    </w:div>
    <w:div w:id="1843856817">
      <w:bodyDiv w:val="1"/>
      <w:marLeft w:val="0"/>
      <w:marRight w:val="0"/>
      <w:marTop w:val="0"/>
      <w:marBottom w:val="0"/>
      <w:divBdr>
        <w:top w:val="none" w:sz="0" w:space="0" w:color="auto"/>
        <w:left w:val="none" w:sz="0" w:space="0" w:color="auto"/>
        <w:bottom w:val="none" w:sz="0" w:space="0" w:color="auto"/>
        <w:right w:val="none" w:sz="0" w:space="0" w:color="auto"/>
      </w:divBdr>
    </w:div>
    <w:div w:id="1844205592">
      <w:bodyDiv w:val="1"/>
      <w:marLeft w:val="0"/>
      <w:marRight w:val="0"/>
      <w:marTop w:val="0"/>
      <w:marBottom w:val="0"/>
      <w:divBdr>
        <w:top w:val="none" w:sz="0" w:space="0" w:color="auto"/>
        <w:left w:val="none" w:sz="0" w:space="0" w:color="auto"/>
        <w:bottom w:val="none" w:sz="0" w:space="0" w:color="auto"/>
        <w:right w:val="none" w:sz="0" w:space="0" w:color="auto"/>
      </w:divBdr>
    </w:div>
    <w:div w:id="1844273477">
      <w:bodyDiv w:val="1"/>
      <w:marLeft w:val="0"/>
      <w:marRight w:val="0"/>
      <w:marTop w:val="0"/>
      <w:marBottom w:val="0"/>
      <w:divBdr>
        <w:top w:val="none" w:sz="0" w:space="0" w:color="auto"/>
        <w:left w:val="none" w:sz="0" w:space="0" w:color="auto"/>
        <w:bottom w:val="none" w:sz="0" w:space="0" w:color="auto"/>
        <w:right w:val="none" w:sz="0" w:space="0" w:color="auto"/>
      </w:divBdr>
    </w:div>
    <w:div w:id="1844471016">
      <w:bodyDiv w:val="1"/>
      <w:marLeft w:val="0"/>
      <w:marRight w:val="0"/>
      <w:marTop w:val="0"/>
      <w:marBottom w:val="0"/>
      <w:divBdr>
        <w:top w:val="none" w:sz="0" w:space="0" w:color="auto"/>
        <w:left w:val="none" w:sz="0" w:space="0" w:color="auto"/>
        <w:bottom w:val="none" w:sz="0" w:space="0" w:color="auto"/>
        <w:right w:val="none" w:sz="0" w:space="0" w:color="auto"/>
      </w:divBdr>
    </w:div>
    <w:div w:id="1844663374">
      <w:bodyDiv w:val="1"/>
      <w:marLeft w:val="0"/>
      <w:marRight w:val="0"/>
      <w:marTop w:val="0"/>
      <w:marBottom w:val="0"/>
      <w:divBdr>
        <w:top w:val="none" w:sz="0" w:space="0" w:color="auto"/>
        <w:left w:val="none" w:sz="0" w:space="0" w:color="auto"/>
        <w:bottom w:val="none" w:sz="0" w:space="0" w:color="auto"/>
        <w:right w:val="none" w:sz="0" w:space="0" w:color="auto"/>
      </w:divBdr>
    </w:div>
    <w:div w:id="1844859385">
      <w:bodyDiv w:val="1"/>
      <w:marLeft w:val="0"/>
      <w:marRight w:val="0"/>
      <w:marTop w:val="0"/>
      <w:marBottom w:val="0"/>
      <w:divBdr>
        <w:top w:val="none" w:sz="0" w:space="0" w:color="auto"/>
        <w:left w:val="none" w:sz="0" w:space="0" w:color="auto"/>
        <w:bottom w:val="none" w:sz="0" w:space="0" w:color="auto"/>
        <w:right w:val="none" w:sz="0" w:space="0" w:color="auto"/>
      </w:divBdr>
    </w:div>
    <w:div w:id="1845129385">
      <w:bodyDiv w:val="1"/>
      <w:marLeft w:val="0"/>
      <w:marRight w:val="0"/>
      <w:marTop w:val="0"/>
      <w:marBottom w:val="0"/>
      <w:divBdr>
        <w:top w:val="none" w:sz="0" w:space="0" w:color="auto"/>
        <w:left w:val="none" w:sz="0" w:space="0" w:color="auto"/>
        <w:bottom w:val="none" w:sz="0" w:space="0" w:color="auto"/>
        <w:right w:val="none" w:sz="0" w:space="0" w:color="auto"/>
      </w:divBdr>
    </w:div>
    <w:div w:id="1845321206">
      <w:bodyDiv w:val="1"/>
      <w:marLeft w:val="0"/>
      <w:marRight w:val="0"/>
      <w:marTop w:val="0"/>
      <w:marBottom w:val="0"/>
      <w:divBdr>
        <w:top w:val="none" w:sz="0" w:space="0" w:color="auto"/>
        <w:left w:val="none" w:sz="0" w:space="0" w:color="auto"/>
        <w:bottom w:val="none" w:sz="0" w:space="0" w:color="auto"/>
        <w:right w:val="none" w:sz="0" w:space="0" w:color="auto"/>
      </w:divBdr>
    </w:div>
    <w:div w:id="1845508379">
      <w:bodyDiv w:val="1"/>
      <w:marLeft w:val="0"/>
      <w:marRight w:val="0"/>
      <w:marTop w:val="0"/>
      <w:marBottom w:val="0"/>
      <w:divBdr>
        <w:top w:val="none" w:sz="0" w:space="0" w:color="auto"/>
        <w:left w:val="none" w:sz="0" w:space="0" w:color="auto"/>
        <w:bottom w:val="none" w:sz="0" w:space="0" w:color="auto"/>
        <w:right w:val="none" w:sz="0" w:space="0" w:color="auto"/>
      </w:divBdr>
    </w:div>
    <w:div w:id="1845509335">
      <w:bodyDiv w:val="1"/>
      <w:marLeft w:val="0"/>
      <w:marRight w:val="0"/>
      <w:marTop w:val="0"/>
      <w:marBottom w:val="0"/>
      <w:divBdr>
        <w:top w:val="none" w:sz="0" w:space="0" w:color="auto"/>
        <w:left w:val="none" w:sz="0" w:space="0" w:color="auto"/>
        <w:bottom w:val="none" w:sz="0" w:space="0" w:color="auto"/>
        <w:right w:val="none" w:sz="0" w:space="0" w:color="auto"/>
      </w:divBdr>
    </w:div>
    <w:div w:id="1845853305">
      <w:bodyDiv w:val="1"/>
      <w:marLeft w:val="0"/>
      <w:marRight w:val="0"/>
      <w:marTop w:val="0"/>
      <w:marBottom w:val="0"/>
      <w:divBdr>
        <w:top w:val="none" w:sz="0" w:space="0" w:color="auto"/>
        <w:left w:val="none" w:sz="0" w:space="0" w:color="auto"/>
        <w:bottom w:val="none" w:sz="0" w:space="0" w:color="auto"/>
        <w:right w:val="none" w:sz="0" w:space="0" w:color="auto"/>
      </w:divBdr>
    </w:div>
    <w:div w:id="1846018539">
      <w:bodyDiv w:val="1"/>
      <w:marLeft w:val="0"/>
      <w:marRight w:val="0"/>
      <w:marTop w:val="0"/>
      <w:marBottom w:val="0"/>
      <w:divBdr>
        <w:top w:val="none" w:sz="0" w:space="0" w:color="auto"/>
        <w:left w:val="none" w:sz="0" w:space="0" w:color="auto"/>
        <w:bottom w:val="none" w:sz="0" w:space="0" w:color="auto"/>
        <w:right w:val="none" w:sz="0" w:space="0" w:color="auto"/>
      </w:divBdr>
    </w:div>
    <w:div w:id="1846047616">
      <w:bodyDiv w:val="1"/>
      <w:marLeft w:val="0"/>
      <w:marRight w:val="0"/>
      <w:marTop w:val="0"/>
      <w:marBottom w:val="0"/>
      <w:divBdr>
        <w:top w:val="none" w:sz="0" w:space="0" w:color="auto"/>
        <w:left w:val="none" w:sz="0" w:space="0" w:color="auto"/>
        <w:bottom w:val="none" w:sz="0" w:space="0" w:color="auto"/>
        <w:right w:val="none" w:sz="0" w:space="0" w:color="auto"/>
      </w:divBdr>
    </w:div>
    <w:div w:id="1846434811">
      <w:bodyDiv w:val="1"/>
      <w:marLeft w:val="0"/>
      <w:marRight w:val="0"/>
      <w:marTop w:val="0"/>
      <w:marBottom w:val="0"/>
      <w:divBdr>
        <w:top w:val="none" w:sz="0" w:space="0" w:color="auto"/>
        <w:left w:val="none" w:sz="0" w:space="0" w:color="auto"/>
        <w:bottom w:val="none" w:sz="0" w:space="0" w:color="auto"/>
        <w:right w:val="none" w:sz="0" w:space="0" w:color="auto"/>
      </w:divBdr>
    </w:div>
    <w:div w:id="1846742497">
      <w:bodyDiv w:val="1"/>
      <w:marLeft w:val="0"/>
      <w:marRight w:val="0"/>
      <w:marTop w:val="0"/>
      <w:marBottom w:val="0"/>
      <w:divBdr>
        <w:top w:val="none" w:sz="0" w:space="0" w:color="auto"/>
        <w:left w:val="none" w:sz="0" w:space="0" w:color="auto"/>
        <w:bottom w:val="none" w:sz="0" w:space="0" w:color="auto"/>
        <w:right w:val="none" w:sz="0" w:space="0" w:color="auto"/>
      </w:divBdr>
    </w:div>
    <w:div w:id="1848325612">
      <w:bodyDiv w:val="1"/>
      <w:marLeft w:val="0"/>
      <w:marRight w:val="0"/>
      <w:marTop w:val="0"/>
      <w:marBottom w:val="0"/>
      <w:divBdr>
        <w:top w:val="none" w:sz="0" w:space="0" w:color="auto"/>
        <w:left w:val="none" w:sz="0" w:space="0" w:color="auto"/>
        <w:bottom w:val="none" w:sz="0" w:space="0" w:color="auto"/>
        <w:right w:val="none" w:sz="0" w:space="0" w:color="auto"/>
      </w:divBdr>
    </w:div>
    <w:div w:id="1849170991">
      <w:bodyDiv w:val="1"/>
      <w:marLeft w:val="0"/>
      <w:marRight w:val="0"/>
      <w:marTop w:val="0"/>
      <w:marBottom w:val="0"/>
      <w:divBdr>
        <w:top w:val="none" w:sz="0" w:space="0" w:color="auto"/>
        <w:left w:val="none" w:sz="0" w:space="0" w:color="auto"/>
        <w:bottom w:val="none" w:sz="0" w:space="0" w:color="auto"/>
        <w:right w:val="none" w:sz="0" w:space="0" w:color="auto"/>
      </w:divBdr>
    </w:div>
    <w:div w:id="1849443021">
      <w:bodyDiv w:val="1"/>
      <w:marLeft w:val="0"/>
      <w:marRight w:val="0"/>
      <w:marTop w:val="0"/>
      <w:marBottom w:val="0"/>
      <w:divBdr>
        <w:top w:val="none" w:sz="0" w:space="0" w:color="auto"/>
        <w:left w:val="none" w:sz="0" w:space="0" w:color="auto"/>
        <w:bottom w:val="none" w:sz="0" w:space="0" w:color="auto"/>
        <w:right w:val="none" w:sz="0" w:space="0" w:color="auto"/>
      </w:divBdr>
    </w:div>
    <w:div w:id="1849754400">
      <w:bodyDiv w:val="1"/>
      <w:marLeft w:val="0"/>
      <w:marRight w:val="0"/>
      <w:marTop w:val="0"/>
      <w:marBottom w:val="0"/>
      <w:divBdr>
        <w:top w:val="none" w:sz="0" w:space="0" w:color="auto"/>
        <w:left w:val="none" w:sz="0" w:space="0" w:color="auto"/>
        <w:bottom w:val="none" w:sz="0" w:space="0" w:color="auto"/>
        <w:right w:val="none" w:sz="0" w:space="0" w:color="auto"/>
      </w:divBdr>
    </w:div>
    <w:div w:id="1849833043">
      <w:bodyDiv w:val="1"/>
      <w:marLeft w:val="0"/>
      <w:marRight w:val="0"/>
      <w:marTop w:val="0"/>
      <w:marBottom w:val="0"/>
      <w:divBdr>
        <w:top w:val="none" w:sz="0" w:space="0" w:color="auto"/>
        <w:left w:val="none" w:sz="0" w:space="0" w:color="auto"/>
        <w:bottom w:val="none" w:sz="0" w:space="0" w:color="auto"/>
        <w:right w:val="none" w:sz="0" w:space="0" w:color="auto"/>
      </w:divBdr>
    </w:div>
    <w:div w:id="1850832219">
      <w:bodyDiv w:val="1"/>
      <w:marLeft w:val="0"/>
      <w:marRight w:val="0"/>
      <w:marTop w:val="0"/>
      <w:marBottom w:val="0"/>
      <w:divBdr>
        <w:top w:val="none" w:sz="0" w:space="0" w:color="auto"/>
        <w:left w:val="none" w:sz="0" w:space="0" w:color="auto"/>
        <w:bottom w:val="none" w:sz="0" w:space="0" w:color="auto"/>
        <w:right w:val="none" w:sz="0" w:space="0" w:color="auto"/>
      </w:divBdr>
    </w:div>
    <w:div w:id="1851137246">
      <w:bodyDiv w:val="1"/>
      <w:marLeft w:val="0"/>
      <w:marRight w:val="0"/>
      <w:marTop w:val="0"/>
      <w:marBottom w:val="0"/>
      <w:divBdr>
        <w:top w:val="none" w:sz="0" w:space="0" w:color="auto"/>
        <w:left w:val="none" w:sz="0" w:space="0" w:color="auto"/>
        <w:bottom w:val="none" w:sz="0" w:space="0" w:color="auto"/>
        <w:right w:val="none" w:sz="0" w:space="0" w:color="auto"/>
      </w:divBdr>
    </w:div>
    <w:div w:id="1851412625">
      <w:bodyDiv w:val="1"/>
      <w:marLeft w:val="0"/>
      <w:marRight w:val="0"/>
      <w:marTop w:val="0"/>
      <w:marBottom w:val="0"/>
      <w:divBdr>
        <w:top w:val="none" w:sz="0" w:space="0" w:color="auto"/>
        <w:left w:val="none" w:sz="0" w:space="0" w:color="auto"/>
        <w:bottom w:val="none" w:sz="0" w:space="0" w:color="auto"/>
        <w:right w:val="none" w:sz="0" w:space="0" w:color="auto"/>
      </w:divBdr>
    </w:div>
    <w:div w:id="1851482295">
      <w:bodyDiv w:val="1"/>
      <w:marLeft w:val="0"/>
      <w:marRight w:val="0"/>
      <w:marTop w:val="0"/>
      <w:marBottom w:val="0"/>
      <w:divBdr>
        <w:top w:val="none" w:sz="0" w:space="0" w:color="auto"/>
        <w:left w:val="none" w:sz="0" w:space="0" w:color="auto"/>
        <w:bottom w:val="none" w:sz="0" w:space="0" w:color="auto"/>
        <w:right w:val="none" w:sz="0" w:space="0" w:color="auto"/>
      </w:divBdr>
    </w:div>
    <w:div w:id="1852142144">
      <w:bodyDiv w:val="1"/>
      <w:marLeft w:val="0"/>
      <w:marRight w:val="0"/>
      <w:marTop w:val="0"/>
      <w:marBottom w:val="0"/>
      <w:divBdr>
        <w:top w:val="none" w:sz="0" w:space="0" w:color="auto"/>
        <w:left w:val="none" w:sz="0" w:space="0" w:color="auto"/>
        <w:bottom w:val="none" w:sz="0" w:space="0" w:color="auto"/>
        <w:right w:val="none" w:sz="0" w:space="0" w:color="auto"/>
      </w:divBdr>
    </w:div>
    <w:div w:id="1852602785">
      <w:bodyDiv w:val="1"/>
      <w:marLeft w:val="0"/>
      <w:marRight w:val="0"/>
      <w:marTop w:val="0"/>
      <w:marBottom w:val="0"/>
      <w:divBdr>
        <w:top w:val="none" w:sz="0" w:space="0" w:color="auto"/>
        <w:left w:val="none" w:sz="0" w:space="0" w:color="auto"/>
        <w:bottom w:val="none" w:sz="0" w:space="0" w:color="auto"/>
        <w:right w:val="none" w:sz="0" w:space="0" w:color="auto"/>
      </w:divBdr>
    </w:div>
    <w:div w:id="1852910241">
      <w:bodyDiv w:val="1"/>
      <w:marLeft w:val="0"/>
      <w:marRight w:val="0"/>
      <w:marTop w:val="0"/>
      <w:marBottom w:val="0"/>
      <w:divBdr>
        <w:top w:val="none" w:sz="0" w:space="0" w:color="auto"/>
        <w:left w:val="none" w:sz="0" w:space="0" w:color="auto"/>
        <w:bottom w:val="none" w:sz="0" w:space="0" w:color="auto"/>
        <w:right w:val="none" w:sz="0" w:space="0" w:color="auto"/>
      </w:divBdr>
    </w:div>
    <w:div w:id="1852911074">
      <w:bodyDiv w:val="1"/>
      <w:marLeft w:val="0"/>
      <w:marRight w:val="0"/>
      <w:marTop w:val="0"/>
      <w:marBottom w:val="0"/>
      <w:divBdr>
        <w:top w:val="none" w:sz="0" w:space="0" w:color="auto"/>
        <w:left w:val="none" w:sz="0" w:space="0" w:color="auto"/>
        <w:bottom w:val="none" w:sz="0" w:space="0" w:color="auto"/>
        <w:right w:val="none" w:sz="0" w:space="0" w:color="auto"/>
      </w:divBdr>
    </w:div>
    <w:div w:id="1853186197">
      <w:bodyDiv w:val="1"/>
      <w:marLeft w:val="0"/>
      <w:marRight w:val="0"/>
      <w:marTop w:val="0"/>
      <w:marBottom w:val="0"/>
      <w:divBdr>
        <w:top w:val="none" w:sz="0" w:space="0" w:color="auto"/>
        <w:left w:val="none" w:sz="0" w:space="0" w:color="auto"/>
        <w:bottom w:val="none" w:sz="0" w:space="0" w:color="auto"/>
        <w:right w:val="none" w:sz="0" w:space="0" w:color="auto"/>
      </w:divBdr>
    </w:div>
    <w:div w:id="1853447114">
      <w:bodyDiv w:val="1"/>
      <w:marLeft w:val="0"/>
      <w:marRight w:val="0"/>
      <w:marTop w:val="0"/>
      <w:marBottom w:val="0"/>
      <w:divBdr>
        <w:top w:val="none" w:sz="0" w:space="0" w:color="auto"/>
        <w:left w:val="none" w:sz="0" w:space="0" w:color="auto"/>
        <w:bottom w:val="none" w:sz="0" w:space="0" w:color="auto"/>
        <w:right w:val="none" w:sz="0" w:space="0" w:color="auto"/>
      </w:divBdr>
    </w:div>
    <w:div w:id="1853451404">
      <w:bodyDiv w:val="1"/>
      <w:marLeft w:val="0"/>
      <w:marRight w:val="0"/>
      <w:marTop w:val="0"/>
      <w:marBottom w:val="0"/>
      <w:divBdr>
        <w:top w:val="none" w:sz="0" w:space="0" w:color="auto"/>
        <w:left w:val="none" w:sz="0" w:space="0" w:color="auto"/>
        <w:bottom w:val="none" w:sz="0" w:space="0" w:color="auto"/>
        <w:right w:val="none" w:sz="0" w:space="0" w:color="auto"/>
      </w:divBdr>
    </w:div>
    <w:div w:id="1853834328">
      <w:bodyDiv w:val="1"/>
      <w:marLeft w:val="0"/>
      <w:marRight w:val="0"/>
      <w:marTop w:val="0"/>
      <w:marBottom w:val="0"/>
      <w:divBdr>
        <w:top w:val="none" w:sz="0" w:space="0" w:color="auto"/>
        <w:left w:val="none" w:sz="0" w:space="0" w:color="auto"/>
        <w:bottom w:val="none" w:sz="0" w:space="0" w:color="auto"/>
        <w:right w:val="none" w:sz="0" w:space="0" w:color="auto"/>
      </w:divBdr>
    </w:div>
    <w:div w:id="1853835605">
      <w:bodyDiv w:val="1"/>
      <w:marLeft w:val="0"/>
      <w:marRight w:val="0"/>
      <w:marTop w:val="0"/>
      <w:marBottom w:val="0"/>
      <w:divBdr>
        <w:top w:val="none" w:sz="0" w:space="0" w:color="auto"/>
        <w:left w:val="none" w:sz="0" w:space="0" w:color="auto"/>
        <w:bottom w:val="none" w:sz="0" w:space="0" w:color="auto"/>
        <w:right w:val="none" w:sz="0" w:space="0" w:color="auto"/>
      </w:divBdr>
    </w:div>
    <w:div w:id="1853913943">
      <w:bodyDiv w:val="1"/>
      <w:marLeft w:val="0"/>
      <w:marRight w:val="0"/>
      <w:marTop w:val="0"/>
      <w:marBottom w:val="0"/>
      <w:divBdr>
        <w:top w:val="none" w:sz="0" w:space="0" w:color="auto"/>
        <w:left w:val="none" w:sz="0" w:space="0" w:color="auto"/>
        <w:bottom w:val="none" w:sz="0" w:space="0" w:color="auto"/>
        <w:right w:val="none" w:sz="0" w:space="0" w:color="auto"/>
      </w:divBdr>
    </w:div>
    <w:div w:id="1853950213">
      <w:bodyDiv w:val="1"/>
      <w:marLeft w:val="0"/>
      <w:marRight w:val="0"/>
      <w:marTop w:val="0"/>
      <w:marBottom w:val="0"/>
      <w:divBdr>
        <w:top w:val="none" w:sz="0" w:space="0" w:color="auto"/>
        <w:left w:val="none" w:sz="0" w:space="0" w:color="auto"/>
        <w:bottom w:val="none" w:sz="0" w:space="0" w:color="auto"/>
        <w:right w:val="none" w:sz="0" w:space="0" w:color="auto"/>
      </w:divBdr>
    </w:div>
    <w:div w:id="1854031664">
      <w:bodyDiv w:val="1"/>
      <w:marLeft w:val="0"/>
      <w:marRight w:val="0"/>
      <w:marTop w:val="0"/>
      <w:marBottom w:val="0"/>
      <w:divBdr>
        <w:top w:val="none" w:sz="0" w:space="0" w:color="auto"/>
        <w:left w:val="none" w:sz="0" w:space="0" w:color="auto"/>
        <w:bottom w:val="none" w:sz="0" w:space="0" w:color="auto"/>
        <w:right w:val="none" w:sz="0" w:space="0" w:color="auto"/>
      </w:divBdr>
    </w:div>
    <w:div w:id="1854342238">
      <w:bodyDiv w:val="1"/>
      <w:marLeft w:val="0"/>
      <w:marRight w:val="0"/>
      <w:marTop w:val="0"/>
      <w:marBottom w:val="0"/>
      <w:divBdr>
        <w:top w:val="none" w:sz="0" w:space="0" w:color="auto"/>
        <w:left w:val="none" w:sz="0" w:space="0" w:color="auto"/>
        <w:bottom w:val="none" w:sz="0" w:space="0" w:color="auto"/>
        <w:right w:val="none" w:sz="0" w:space="0" w:color="auto"/>
      </w:divBdr>
    </w:div>
    <w:div w:id="1854609344">
      <w:bodyDiv w:val="1"/>
      <w:marLeft w:val="0"/>
      <w:marRight w:val="0"/>
      <w:marTop w:val="0"/>
      <w:marBottom w:val="0"/>
      <w:divBdr>
        <w:top w:val="none" w:sz="0" w:space="0" w:color="auto"/>
        <w:left w:val="none" w:sz="0" w:space="0" w:color="auto"/>
        <w:bottom w:val="none" w:sz="0" w:space="0" w:color="auto"/>
        <w:right w:val="none" w:sz="0" w:space="0" w:color="auto"/>
      </w:divBdr>
    </w:div>
    <w:div w:id="1854801960">
      <w:bodyDiv w:val="1"/>
      <w:marLeft w:val="0"/>
      <w:marRight w:val="0"/>
      <w:marTop w:val="0"/>
      <w:marBottom w:val="0"/>
      <w:divBdr>
        <w:top w:val="none" w:sz="0" w:space="0" w:color="auto"/>
        <w:left w:val="none" w:sz="0" w:space="0" w:color="auto"/>
        <w:bottom w:val="none" w:sz="0" w:space="0" w:color="auto"/>
        <w:right w:val="none" w:sz="0" w:space="0" w:color="auto"/>
      </w:divBdr>
    </w:div>
    <w:div w:id="1855339765">
      <w:bodyDiv w:val="1"/>
      <w:marLeft w:val="0"/>
      <w:marRight w:val="0"/>
      <w:marTop w:val="0"/>
      <w:marBottom w:val="0"/>
      <w:divBdr>
        <w:top w:val="none" w:sz="0" w:space="0" w:color="auto"/>
        <w:left w:val="none" w:sz="0" w:space="0" w:color="auto"/>
        <w:bottom w:val="none" w:sz="0" w:space="0" w:color="auto"/>
        <w:right w:val="none" w:sz="0" w:space="0" w:color="auto"/>
      </w:divBdr>
    </w:div>
    <w:div w:id="1855412695">
      <w:bodyDiv w:val="1"/>
      <w:marLeft w:val="0"/>
      <w:marRight w:val="0"/>
      <w:marTop w:val="0"/>
      <w:marBottom w:val="0"/>
      <w:divBdr>
        <w:top w:val="none" w:sz="0" w:space="0" w:color="auto"/>
        <w:left w:val="none" w:sz="0" w:space="0" w:color="auto"/>
        <w:bottom w:val="none" w:sz="0" w:space="0" w:color="auto"/>
        <w:right w:val="none" w:sz="0" w:space="0" w:color="auto"/>
      </w:divBdr>
    </w:div>
    <w:div w:id="1855418783">
      <w:bodyDiv w:val="1"/>
      <w:marLeft w:val="0"/>
      <w:marRight w:val="0"/>
      <w:marTop w:val="0"/>
      <w:marBottom w:val="0"/>
      <w:divBdr>
        <w:top w:val="none" w:sz="0" w:space="0" w:color="auto"/>
        <w:left w:val="none" w:sz="0" w:space="0" w:color="auto"/>
        <w:bottom w:val="none" w:sz="0" w:space="0" w:color="auto"/>
        <w:right w:val="none" w:sz="0" w:space="0" w:color="auto"/>
      </w:divBdr>
    </w:div>
    <w:div w:id="1855803365">
      <w:bodyDiv w:val="1"/>
      <w:marLeft w:val="0"/>
      <w:marRight w:val="0"/>
      <w:marTop w:val="0"/>
      <w:marBottom w:val="0"/>
      <w:divBdr>
        <w:top w:val="none" w:sz="0" w:space="0" w:color="auto"/>
        <w:left w:val="none" w:sz="0" w:space="0" w:color="auto"/>
        <w:bottom w:val="none" w:sz="0" w:space="0" w:color="auto"/>
        <w:right w:val="none" w:sz="0" w:space="0" w:color="auto"/>
      </w:divBdr>
    </w:div>
    <w:div w:id="1856336982">
      <w:bodyDiv w:val="1"/>
      <w:marLeft w:val="0"/>
      <w:marRight w:val="0"/>
      <w:marTop w:val="0"/>
      <w:marBottom w:val="0"/>
      <w:divBdr>
        <w:top w:val="none" w:sz="0" w:space="0" w:color="auto"/>
        <w:left w:val="none" w:sz="0" w:space="0" w:color="auto"/>
        <w:bottom w:val="none" w:sz="0" w:space="0" w:color="auto"/>
        <w:right w:val="none" w:sz="0" w:space="0" w:color="auto"/>
      </w:divBdr>
    </w:div>
    <w:div w:id="1856337144">
      <w:bodyDiv w:val="1"/>
      <w:marLeft w:val="0"/>
      <w:marRight w:val="0"/>
      <w:marTop w:val="0"/>
      <w:marBottom w:val="0"/>
      <w:divBdr>
        <w:top w:val="none" w:sz="0" w:space="0" w:color="auto"/>
        <w:left w:val="none" w:sz="0" w:space="0" w:color="auto"/>
        <w:bottom w:val="none" w:sz="0" w:space="0" w:color="auto"/>
        <w:right w:val="none" w:sz="0" w:space="0" w:color="auto"/>
      </w:divBdr>
    </w:div>
    <w:div w:id="1856460134">
      <w:bodyDiv w:val="1"/>
      <w:marLeft w:val="0"/>
      <w:marRight w:val="0"/>
      <w:marTop w:val="0"/>
      <w:marBottom w:val="0"/>
      <w:divBdr>
        <w:top w:val="none" w:sz="0" w:space="0" w:color="auto"/>
        <w:left w:val="none" w:sz="0" w:space="0" w:color="auto"/>
        <w:bottom w:val="none" w:sz="0" w:space="0" w:color="auto"/>
        <w:right w:val="none" w:sz="0" w:space="0" w:color="auto"/>
      </w:divBdr>
    </w:div>
    <w:div w:id="1856728414">
      <w:bodyDiv w:val="1"/>
      <w:marLeft w:val="0"/>
      <w:marRight w:val="0"/>
      <w:marTop w:val="0"/>
      <w:marBottom w:val="0"/>
      <w:divBdr>
        <w:top w:val="none" w:sz="0" w:space="0" w:color="auto"/>
        <w:left w:val="none" w:sz="0" w:space="0" w:color="auto"/>
        <w:bottom w:val="none" w:sz="0" w:space="0" w:color="auto"/>
        <w:right w:val="none" w:sz="0" w:space="0" w:color="auto"/>
      </w:divBdr>
    </w:div>
    <w:div w:id="1857033479">
      <w:bodyDiv w:val="1"/>
      <w:marLeft w:val="0"/>
      <w:marRight w:val="0"/>
      <w:marTop w:val="0"/>
      <w:marBottom w:val="0"/>
      <w:divBdr>
        <w:top w:val="none" w:sz="0" w:space="0" w:color="auto"/>
        <w:left w:val="none" w:sz="0" w:space="0" w:color="auto"/>
        <w:bottom w:val="none" w:sz="0" w:space="0" w:color="auto"/>
        <w:right w:val="none" w:sz="0" w:space="0" w:color="auto"/>
      </w:divBdr>
    </w:div>
    <w:div w:id="1857159666">
      <w:bodyDiv w:val="1"/>
      <w:marLeft w:val="0"/>
      <w:marRight w:val="0"/>
      <w:marTop w:val="0"/>
      <w:marBottom w:val="0"/>
      <w:divBdr>
        <w:top w:val="none" w:sz="0" w:space="0" w:color="auto"/>
        <w:left w:val="none" w:sz="0" w:space="0" w:color="auto"/>
        <w:bottom w:val="none" w:sz="0" w:space="0" w:color="auto"/>
        <w:right w:val="none" w:sz="0" w:space="0" w:color="auto"/>
      </w:divBdr>
    </w:div>
    <w:div w:id="1857184108">
      <w:bodyDiv w:val="1"/>
      <w:marLeft w:val="0"/>
      <w:marRight w:val="0"/>
      <w:marTop w:val="0"/>
      <w:marBottom w:val="0"/>
      <w:divBdr>
        <w:top w:val="none" w:sz="0" w:space="0" w:color="auto"/>
        <w:left w:val="none" w:sz="0" w:space="0" w:color="auto"/>
        <w:bottom w:val="none" w:sz="0" w:space="0" w:color="auto"/>
        <w:right w:val="none" w:sz="0" w:space="0" w:color="auto"/>
      </w:divBdr>
    </w:div>
    <w:div w:id="1857227749">
      <w:bodyDiv w:val="1"/>
      <w:marLeft w:val="0"/>
      <w:marRight w:val="0"/>
      <w:marTop w:val="0"/>
      <w:marBottom w:val="0"/>
      <w:divBdr>
        <w:top w:val="none" w:sz="0" w:space="0" w:color="auto"/>
        <w:left w:val="none" w:sz="0" w:space="0" w:color="auto"/>
        <w:bottom w:val="none" w:sz="0" w:space="0" w:color="auto"/>
        <w:right w:val="none" w:sz="0" w:space="0" w:color="auto"/>
      </w:divBdr>
    </w:div>
    <w:div w:id="1857233897">
      <w:bodyDiv w:val="1"/>
      <w:marLeft w:val="0"/>
      <w:marRight w:val="0"/>
      <w:marTop w:val="0"/>
      <w:marBottom w:val="0"/>
      <w:divBdr>
        <w:top w:val="none" w:sz="0" w:space="0" w:color="auto"/>
        <w:left w:val="none" w:sz="0" w:space="0" w:color="auto"/>
        <w:bottom w:val="none" w:sz="0" w:space="0" w:color="auto"/>
        <w:right w:val="none" w:sz="0" w:space="0" w:color="auto"/>
      </w:divBdr>
    </w:div>
    <w:div w:id="1857499927">
      <w:bodyDiv w:val="1"/>
      <w:marLeft w:val="0"/>
      <w:marRight w:val="0"/>
      <w:marTop w:val="0"/>
      <w:marBottom w:val="0"/>
      <w:divBdr>
        <w:top w:val="none" w:sz="0" w:space="0" w:color="auto"/>
        <w:left w:val="none" w:sz="0" w:space="0" w:color="auto"/>
        <w:bottom w:val="none" w:sz="0" w:space="0" w:color="auto"/>
        <w:right w:val="none" w:sz="0" w:space="0" w:color="auto"/>
      </w:divBdr>
    </w:div>
    <w:div w:id="1857572258">
      <w:bodyDiv w:val="1"/>
      <w:marLeft w:val="0"/>
      <w:marRight w:val="0"/>
      <w:marTop w:val="0"/>
      <w:marBottom w:val="0"/>
      <w:divBdr>
        <w:top w:val="none" w:sz="0" w:space="0" w:color="auto"/>
        <w:left w:val="none" w:sz="0" w:space="0" w:color="auto"/>
        <w:bottom w:val="none" w:sz="0" w:space="0" w:color="auto"/>
        <w:right w:val="none" w:sz="0" w:space="0" w:color="auto"/>
      </w:divBdr>
    </w:div>
    <w:div w:id="1857766573">
      <w:bodyDiv w:val="1"/>
      <w:marLeft w:val="0"/>
      <w:marRight w:val="0"/>
      <w:marTop w:val="0"/>
      <w:marBottom w:val="0"/>
      <w:divBdr>
        <w:top w:val="none" w:sz="0" w:space="0" w:color="auto"/>
        <w:left w:val="none" w:sz="0" w:space="0" w:color="auto"/>
        <w:bottom w:val="none" w:sz="0" w:space="0" w:color="auto"/>
        <w:right w:val="none" w:sz="0" w:space="0" w:color="auto"/>
      </w:divBdr>
    </w:div>
    <w:div w:id="1857882447">
      <w:bodyDiv w:val="1"/>
      <w:marLeft w:val="0"/>
      <w:marRight w:val="0"/>
      <w:marTop w:val="0"/>
      <w:marBottom w:val="0"/>
      <w:divBdr>
        <w:top w:val="none" w:sz="0" w:space="0" w:color="auto"/>
        <w:left w:val="none" w:sz="0" w:space="0" w:color="auto"/>
        <w:bottom w:val="none" w:sz="0" w:space="0" w:color="auto"/>
        <w:right w:val="none" w:sz="0" w:space="0" w:color="auto"/>
      </w:divBdr>
    </w:div>
    <w:div w:id="1858305322">
      <w:bodyDiv w:val="1"/>
      <w:marLeft w:val="0"/>
      <w:marRight w:val="0"/>
      <w:marTop w:val="0"/>
      <w:marBottom w:val="0"/>
      <w:divBdr>
        <w:top w:val="none" w:sz="0" w:space="0" w:color="auto"/>
        <w:left w:val="none" w:sz="0" w:space="0" w:color="auto"/>
        <w:bottom w:val="none" w:sz="0" w:space="0" w:color="auto"/>
        <w:right w:val="none" w:sz="0" w:space="0" w:color="auto"/>
      </w:divBdr>
    </w:div>
    <w:div w:id="1858960892">
      <w:bodyDiv w:val="1"/>
      <w:marLeft w:val="0"/>
      <w:marRight w:val="0"/>
      <w:marTop w:val="0"/>
      <w:marBottom w:val="0"/>
      <w:divBdr>
        <w:top w:val="none" w:sz="0" w:space="0" w:color="auto"/>
        <w:left w:val="none" w:sz="0" w:space="0" w:color="auto"/>
        <w:bottom w:val="none" w:sz="0" w:space="0" w:color="auto"/>
        <w:right w:val="none" w:sz="0" w:space="0" w:color="auto"/>
      </w:divBdr>
    </w:div>
    <w:div w:id="1859125307">
      <w:bodyDiv w:val="1"/>
      <w:marLeft w:val="0"/>
      <w:marRight w:val="0"/>
      <w:marTop w:val="0"/>
      <w:marBottom w:val="0"/>
      <w:divBdr>
        <w:top w:val="none" w:sz="0" w:space="0" w:color="auto"/>
        <w:left w:val="none" w:sz="0" w:space="0" w:color="auto"/>
        <w:bottom w:val="none" w:sz="0" w:space="0" w:color="auto"/>
        <w:right w:val="none" w:sz="0" w:space="0" w:color="auto"/>
      </w:divBdr>
    </w:div>
    <w:div w:id="1859270445">
      <w:bodyDiv w:val="1"/>
      <w:marLeft w:val="0"/>
      <w:marRight w:val="0"/>
      <w:marTop w:val="0"/>
      <w:marBottom w:val="0"/>
      <w:divBdr>
        <w:top w:val="none" w:sz="0" w:space="0" w:color="auto"/>
        <w:left w:val="none" w:sz="0" w:space="0" w:color="auto"/>
        <w:bottom w:val="none" w:sz="0" w:space="0" w:color="auto"/>
        <w:right w:val="none" w:sz="0" w:space="0" w:color="auto"/>
      </w:divBdr>
    </w:div>
    <w:div w:id="1859271007">
      <w:bodyDiv w:val="1"/>
      <w:marLeft w:val="0"/>
      <w:marRight w:val="0"/>
      <w:marTop w:val="0"/>
      <w:marBottom w:val="0"/>
      <w:divBdr>
        <w:top w:val="none" w:sz="0" w:space="0" w:color="auto"/>
        <w:left w:val="none" w:sz="0" w:space="0" w:color="auto"/>
        <w:bottom w:val="none" w:sz="0" w:space="0" w:color="auto"/>
        <w:right w:val="none" w:sz="0" w:space="0" w:color="auto"/>
      </w:divBdr>
    </w:div>
    <w:div w:id="1859350107">
      <w:bodyDiv w:val="1"/>
      <w:marLeft w:val="0"/>
      <w:marRight w:val="0"/>
      <w:marTop w:val="0"/>
      <w:marBottom w:val="0"/>
      <w:divBdr>
        <w:top w:val="none" w:sz="0" w:space="0" w:color="auto"/>
        <w:left w:val="none" w:sz="0" w:space="0" w:color="auto"/>
        <w:bottom w:val="none" w:sz="0" w:space="0" w:color="auto"/>
        <w:right w:val="none" w:sz="0" w:space="0" w:color="auto"/>
      </w:divBdr>
    </w:div>
    <w:div w:id="1859469814">
      <w:bodyDiv w:val="1"/>
      <w:marLeft w:val="0"/>
      <w:marRight w:val="0"/>
      <w:marTop w:val="0"/>
      <w:marBottom w:val="0"/>
      <w:divBdr>
        <w:top w:val="none" w:sz="0" w:space="0" w:color="auto"/>
        <w:left w:val="none" w:sz="0" w:space="0" w:color="auto"/>
        <w:bottom w:val="none" w:sz="0" w:space="0" w:color="auto"/>
        <w:right w:val="none" w:sz="0" w:space="0" w:color="auto"/>
      </w:divBdr>
    </w:div>
    <w:div w:id="1859848215">
      <w:bodyDiv w:val="1"/>
      <w:marLeft w:val="0"/>
      <w:marRight w:val="0"/>
      <w:marTop w:val="0"/>
      <w:marBottom w:val="0"/>
      <w:divBdr>
        <w:top w:val="none" w:sz="0" w:space="0" w:color="auto"/>
        <w:left w:val="none" w:sz="0" w:space="0" w:color="auto"/>
        <w:bottom w:val="none" w:sz="0" w:space="0" w:color="auto"/>
        <w:right w:val="none" w:sz="0" w:space="0" w:color="auto"/>
      </w:divBdr>
    </w:div>
    <w:div w:id="1860464290">
      <w:bodyDiv w:val="1"/>
      <w:marLeft w:val="0"/>
      <w:marRight w:val="0"/>
      <w:marTop w:val="0"/>
      <w:marBottom w:val="0"/>
      <w:divBdr>
        <w:top w:val="none" w:sz="0" w:space="0" w:color="auto"/>
        <w:left w:val="none" w:sz="0" w:space="0" w:color="auto"/>
        <w:bottom w:val="none" w:sz="0" w:space="0" w:color="auto"/>
        <w:right w:val="none" w:sz="0" w:space="0" w:color="auto"/>
      </w:divBdr>
    </w:div>
    <w:div w:id="1860504866">
      <w:bodyDiv w:val="1"/>
      <w:marLeft w:val="0"/>
      <w:marRight w:val="0"/>
      <w:marTop w:val="0"/>
      <w:marBottom w:val="0"/>
      <w:divBdr>
        <w:top w:val="none" w:sz="0" w:space="0" w:color="auto"/>
        <w:left w:val="none" w:sz="0" w:space="0" w:color="auto"/>
        <w:bottom w:val="none" w:sz="0" w:space="0" w:color="auto"/>
        <w:right w:val="none" w:sz="0" w:space="0" w:color="auto"/>
      </w:divBdr>
    </w:div>
    <w:div w:id="1860775297">
      <w:bodyDiv w:val="1"/>
      <w:marLeft w:val="0"/>
      <w:marRight w:val="0"/>
      <w:marTop w:val="0"/>
      <w:marBottom w:val="0"/>
      <w:divBdr>
        <w:top w:val="none" w:sz="0" w:space="0" w:color="auto"/>
        <w:left w:val="none" w:sz="0" w:space="0" w:color="auto"/>
        <w:bottom w:val="none" w:sz="0" w:space="0" w:color="auto"/>
        <w:right w:val="none" w:sz="0" w:space="0" w:color="auto"/>
      </w:divBdr>
    </w:div>
    <w:div w:id="1861123458">
      <w:bodyDiv w:val="1"/>
      <w:marLeft w:val="0"/>
      <w:marRight w:val="0"/>
      <w:marTop w:val="0"/>
      <w:marBottom w:val="0"/>
      <w:divBdr>
        <w:top w:val="none" w:sz="0" w:space="0" w:color="auto"/>
        <w:left w:val="none" w:sz="0" w:space="0" w:color="auto"/>
        <w:bottom w:val="none" w:sz="0" w:space="0" w:color="auto"/>
        <w:right w:val="none" w:sz="0" w:space="0" w:color="auto"/>
      </w:divBdr>
    </w:div>
    <w:div w:id="1861313088">
      <w:bodyDiv w:val="1"/>
      <w:marLeft w:val="0"/>
      <w:marRight w:val="0"/>
      <w:marTop w:val="0"/>
      <w:marBottom w:val="0"/>
      <w:divBdr>
        <w:top w:val="none" w:sz="0" w:space="0" w:color="auto"/>
        <w:left w:val="none" w:sz="0" w:space="0" w:color="auto"/>
        <w:bottom w:val="none" w:sz="0" w:space="0" w:color="auto"/>
        <w:right w:val="none" w:sz="0" w:space="0" w:color="auto"/>
      </w:divBdr>
    </w:div>
    <w:div w:id="1861359043">
      <w:bodyDiv w:val="1"/>
      <w:marLeft w:val="0"/>
      <w:marRight w:val="0"/>
      <w:marTop w:val="0"/>
      <w:marBottom w:val="0"/>
      <w:divBdr>
        <w:top w:val="none" w:sz="0" w:space="0" w:color="auto"/>
        <w:left w:val="none" w:sz="0" w:space="0" w:color="auto"/>
        <w:bottom w:val="none" w:sz="0" w:space="0" w:color="auto"/>
        <w:right w:val="none" w:sz="0" w:space="0" w:color="auto"/>
      </w:divBdr>
    </w:div>
    <w:div w:id="1861579994">
      <w:bodyDiv w:val="1"/>
      <w:marLeft w:val="0"/>
      <w:marRight w:val="0"/>
      <w:marTop w:val="0"/>
      <w:marBottom w:val="0"/>
      <w:divBdr>
        <w:top w:val="none" w:sz="0" w:space="0" w:color="auto"/>
        <w:left w:val="none" w:sz="0" w:space="0" w:color="auto"/>
        <w:bottom w:val="none" w:sz="0" w:space="0" w:color="auto"/>
        <w:right w:val="none" w:sz="0" w:space="0" w:color="auto"/>
      </w:divBdr>
    </w:div>
    <w:div w:id="1861623895">
      <w:bodyDiv w:val="1"/>
      <w:marLeft w:val="0"/>
      <w:marRight w:val="0"/>
      <w:marTop w:val="0"/>
      <w:marBottom w:val="0"/>
      <w:divBdr>
        <w:top w:val="none" w:sz="0" w:space="0" w:color="auto"/>
        <w:left w:val="none" w:sz="0" w:space="0" w:color="auto"/>
        <w:bottom w:val="none" w:sz="0" w:space="0" w:color="auto"/>
        <w:right w:val="none" w:sz="0" w:space="0" w:color="auto"/>
      </w:divBdr>
    </w:div>
    <w:div w:id="1861775239">
      <w:bodyDiv w:val="1"/>
      <w:marLeft w:val="0"/>
      <w:marRight w:val="0"/>
      <w:marTop w:val="0"/>
      <w:marBottom w:val="0"/>
      <w:divBdr>
        <w:top w:val="none" w:sz="0" w:space="0" w:color="auto"/>
        <w:left w:val="none" w:sz="0" w:space="0" w:color="auto"/>
        <w:bottom w:val="none" w:sz="0" w:space="0" w:color="auto"/>
        <w:right w:val="none" w:sz="0" w:space="0" w:color="auto"/>
      </w:divBdr>
    </w:div>
    <w:div w:id="1861821813">
      <w:bodyDiv w:val="1"/>
      <w:marLeft w:val="0"/>
      <w:marRight w:val="0"/>
      <w:marTop w:val="0"/>
      <w:marBottom w:val="0"/>
      <w:divBdr>
        <w:top w:val="none" w:sz="0" w:space="0" w:color="auto"/>
        <w:left w:val="none" w:sz="0" w:space="0" w:color="auto"/>
        <w:bottom w:val="none" w:sz="0" w:space="0" w:color="auto"/>
        <w:right w:val="none" w:sz="0" w:space="0" w:color="auto"/>
      </w:divBdr>
    </w:div>
    <w:div w:id="1862280450">
      <w:bodyDiv w:val="1"/>
      <w:marLeft w:val="0"/>
      <w:marRight w:val="0"/>
      <w:marTop w:val="0"/>
      <w:marBottom w:val="0"/>
      <w:divBdr>
        <w:top w:val="none" w:sz="0" w:space="0" w:color="auto"/>
        <w:left w:val="none" w:sz="0" w:space="0" w:color="auto"/>
        <w:bottom w:val="none" w:sz="0" w:space="0" w:color="auto"/>
        <w:right w:val="none" w:sz="0" w:space="0" w:color="auto"/>
      </w:divBdr>
    </w:div>
    <w:div w:id="1862889779">
      <w:bodyDiv w:val="1"/>
      <w:marLeft w:val="0"/>
      <w:marRight w:val="0"/>
      <w:marTop w:val="0"/>
      <w:marBottom w:val="0"/>
      <w:divBdr>
        <w:top w:val="none" w:sz="0" w:space="0" w:color="auto"/>
        <w:left w:val="none" w:sz="0" w:space="0" w:color="auto"/>
        <w:bottom w:val="none" w:sz="0" w:space="0" w:color="auto"/>
        <w:right w:val="none" w:sz="0" w:space="0" w:color="auto"/>
      </w:divBdr>
    </w:div>
    <w:div w:id="1862891347">
      <w:bodyDiv w:val="1"/>
      <w:marLeft w:val="0"/>
      <w:marRight w:val="0"/>
      <w:marTop w:val="0"/>
      <w:marBottom w:val="0"/>
      <w:divBdr>
        <w:top w:val="none" w:sz="0" w:space="0" w:color="auto"/>
        <w:left w:val="none" w:sz="0" w:space="0" w:color="auto"/>
        <w:bottom w:val="none" w:sz="0" w:space="0" w:color="auto"/>
        <w:right w:val="none" w:sz="0" w:space="0" w:color="auto"/>
      </w:divBdr>
    </w:div>
    <w:div w:id="1863014720">
      <w:bodyDiv w:val="1"/>
      <w:marLeft w:val="0"/>
      <w:marRight w:val="0"/>
      <w:marTop w:val="0"/>
      <w:marBottom w:val="0"/>
      <w:divBdr>
        <w:top w:val="none" w:sz="0" w:space="0" w:color="auto"/>
        <w:left w:val="none" w:sz="0" w:space="0" w:color="auto"/>
        <w:bottom w:val="none" w:sz="0" w:space="0" w:color="auto"/>
        <w:right w:val="none" w:sz="0" w:space="0" w:color="auto"/>
      </w:divBdr>
    </w:div>
    <w:div w:id="1863082372">
      <w:bodyDiv w:val="1"/>
      <w:marLeft w:val="0"/>
      <w:marRight w:val="0"/>
      <w:marTop w:val="0"/>
      <w:marBottom w:val="0"/>
      <w:divBdr>
        <w:top w:val="none" w:sz="0" w:space="0" w:color="auto"/>
        <w:left w:val="none" w:sz="0" w:space="0" w:color="auto"/>
        <w:bottom w:val="none" w:sz="0" w:space="0" w:color="auto"/>
        <w:right w:val="none" w:sz="0" w:space="0" w:color="auto"/>
      </w:divBdr>
    </w:div>
    <w:div w:id="1863588999">
      <w:bodyDiv w:val="1"/>
      <w:marLeft w:val="0"/>
      <w:marRight w:val="0"/>
      <w:marTop w:val="0"/>
      <w:marBottom w:val="0"/>
      <w:divBdr>
        <w:top w:val="none" w:sz="0" w:space="0" w:color="auto"/>
        <w:left w:val="none" w:sz="0" w:space="0" w:color="auto"/>
        <w:bottom w:val="none" w:sz="0" w:space="0" w:color="auto"/>
        <w:right w:val="none" w:sz="0" w:space="0" w:color="auto"/>
      </w:divBdr>
    </w:div>
    <w:div w:id="1863977044">
      <w:bodyDiv w:val="1"/>
      <w:marLeft w:val="0"/>
      <w:marRight w:val="0"/>
      <w:marTop w:val="0"/>
      <w:marBottom w:val="0"/>
      <w:divBdr>
        <w:top w:val="none" w:sz="0" w:space="0" w:color="auto"/>
        <w:left w:val="none" w:sz="0" w:space="0" w:color="auto"/>
        <w:bottom w:val="none" w:sz="0" w:space="0" w:color="auto"/>
        <w:right w:val="none" w:sz="0" w:space="0" w:color="auto"/>
      </w:divBdr>
    </w:div>
    <w:div w:id="1863978982">
      <w:bodyDiv w:val="1"/>
      <w:marLeft w:val="0"/>
      <w:marRight w:val="0"/>
      <w:marTop w:val="0"/>
      <w:marBottom w:val="0"/>
      <w:divBdr>
        <w:top w:val="none" w:sz="0" w:space="0" w:color="auto"/>
        <w:left w:val="none" w:sz="0" w:space="0" w:color="auto"/>
        <w:bottom w:val="none" w:sz="0" w:space="0" w:color="auto"/>
        <w:right w:val="none" w:sz="0" w:space="0" w:color="auto"/>
      </w:divBdr>
    </w:div>
    <w:div w:id="1864005515">
      <w:bodyDiv w:val="1"/>
      <w:marLeft w:val="0"/>
      <w:marRight w:val="0"/>
      <w:marTop w:val="0"/>
      <w:marBottom w:val="0"/>
      <w:divBdr>
        <w:top w:val="none" w:sz="0" w:space="0" w:color="auto"/>
        <w:left w:val="none" w:sz="0" w:space="0" w:color="auto"/>
        <w:bottom w:val="none" w:sz="0" w:space="0" w:color="auto"/>
        <w:right w:val="none" w:sz="0" w:space="0" w:color="auto"/>
      </w:divBdr>
    </w:div>
    <w:div w:id="1864124726">
      <w:bodyDiv w:val="1"/>
      <w:marLeft w:val="0"/>
      <w:marRight w:val="0"/>
      <w:marTop w:val="0"/>
      <w:marBottom w:val="0"/>
      <w:divBdr>
        <w:top w:val="none" w:sz="0" w:space="0" w:color="auto"/>
        <w:left w:val="none" w:sz="0" w:space="0" w:color="auto"/>
        <w:bottom w:val="none" w:sz="0" w:space="0" w:color="auto"/>
        <w:right w:val="none" w:sz="0" w:space="0" w:color="auto"/>
      </w:divBdr>
    </w:div>
    <w:div w:id="1864200206">
      <w:bodyDiv w:val="1"/>
      <w:marLeft w:val="0"/>
      <w:marRight w:val="0"/>
      <w:marTop w:val="0"/>
      <w:marBottom w:val="0"/>
      <w:divBdr>
        <w:top w:val="none" w:sz="0" w:space="0" w:color="auto"/>
        <w:left w:val="none" w:sz="0" w:space="0" w:color="auto"/>
        <w:bottom w:val="none" w:sz="0" w:space="0" w:color="auto"/>
        <w:right w:val="none" w:sz="0" w:space="0" w:color="auto"/>
      </w:divBdr>
    </w:div>
    <w:div w:id="1864324891">
      <w:bodyDiv w:val="1"/>
      <w:marLeft w:val="0"/>
      <w:marRight w:val="0"/>
      <w:marTop w:val="0"/>
      <w:marBottom w:val="0"/>
      <w:divBdr>
        <w:top w:val="none" w:sz="0" w:space="0" w:color="auto"/>
        <w:left w:val="none" w:sz="0" w:space="0" w:color="auto"/>
        <w:bottom w:val="none" w:sz="0" w:space="0" w:color="auto"/>
        <w:right w:val="none" w:sz="0" w:space="0" w:color="auto"/>
      </w:divBdr>
    </w:div>
    <w:div w:id="1864437911">
      <w:bodyDiv w:val="1"/>
      <w:marLeft w:val="0"/>
      <w:marRight w:val="0"/>
      <w:marTop w:val="0"/>
      <w:marBottom w:val="0"/>
      <w:divBdr>
        <w:top w:val="none" w:sz="0" w:space="0" w:color="auto"/>
        <w:left w:val="none" w:sz="0" w:space="0" w:color="auto"/>
        <w:bottom w:val="none" w:sz="0" w:space="0" w:color="auto"/>
        <w:right w:val="none" w:sz="0" w:space="0" w:color="auto"/>
      </w:divBdr>
    </w:div>
    <w:div w:id="1864591377">
      <w:bodyDiv w:val="1"/>
      <w:marLeft w:val="0"/>
      <w:marRight w:val="0"/>
      <w:marTop w:val="0"/>
      <w:marBottom w:val="0"/>
      <w:divBdr>
        <w:top w:val="none" w:sz="0" w:space="0" w:color="auto"/>
        <w:left w:val="none" w:sz="0" w:space="0" w:color="auto"/>
        <w:bottom w:val="none" w:sz="0" w:space="0" w:color="auto"/>
        <w:right w:val="none" w:sz="0" w:space="0" w:color="auto"/>
      </w:divBdr>
    </w:div>
    <w:div w:id="1865511596">
      <w:bodyDiv w:val="1"/>
      <w:marLeft w:val="0"/>
      <w:marRight w:val="0"/>
      <w:marTop w:val="0"/>
      <w:marBottom w:val="0"/>
      <w:divBdr>
        <w:top w:val="none" w:sz="0" w:space="0" w:color="auto"/>
        <w:left w:val="none" w:sz="0" w:space="0" w:color="auto"/>
        <w:bottom w:val="none" w:sz="0" w:space="0" w:color="auto"/>
        <w:right w:val="none" w:sz="0" w:space="0" w:color="auto"/>
      </w:divBdr>
    </w:div>
    <w:div w:id="1866213200">
      <w:bodyDiv w:val="1"/>
      <w:marLeft w:val="0"/>
      <w:marRight w:val="0"/>
      <w:marTop w:val="0"/>
      <w:marBottom w:val="0"/>
      <w:divBdr>
        <w:top w:val="none" w:sz="0" w:space="0" w:color="auto"/>
        <w:left w:val="none" w:sz="0" w:space="0" w:color="auto"/>
        <w:bottom w:val="none" w:sz="0" w:space="0" w:color="auto"/>
        <w:right w:val="none" w:sz="0" w:space="0" w:color="auto"/>
      </w:divBdr>
    </w:div>
    <w:div w:id="1867135506">
      <w:bodyDiv w:val="1"/>
      <w:marLeft w:val="0"/>
      <w:marRight w:val="0"/>
      <w:marTop w:val="0"/>
      <w:marBottom w:val="0"/>
      <w:divBdr>
        <w:top w:val="none" w:sz="0" w:space="0" w:color="auto"/>
        <w:left w:val="none" w:sz="0" w:space="0" w:color="auto"/>
        <w:bottom w:val="none" w:sz="0" w:space="0" w:color="auto"/>
        <w:right w:val="none" w:sz="0" w:space="0" w:color="auto"/>
      </w:divBdr>
    </w:div>
    <w:div w:id="1867332567">
      <w:bodyDiv w:val="1"/>
      <w:marLeft w:val="0"/>
      <w:marRight w:val="0"/>
      <w:marTop w:val="0"/>
      <w:marBottom w:val="0"/>
      <w:divBdr>
        <w:top w:val="none" w:sz="0" w:space="0" w:color="auto"/>
        <w:left w:val="none" w:sz="0" w:space="0" w:color="auto"/>
        <w:bottom w:val="none" w:sz="0" w:space="0" w:color="auto"/>
        <w:right w:val="none" w:sz="0" w:space="0" w:color="auto"/>
      </w:divBdr>
    </w:div>
    <w:div w:id="1867333386">
      <w:bodyDiv w:val="1"/>
      <w:marLeft w:val="0"/>
      <w:marRight w:val="0"/>
      <w:marTop w:val="0"/>
      <w:marBottom w:val="0"/>
      <w:divBdr>
        <w:top w:val="none" w:sz="0" w:space="0" w:color="auto"/>
        <w:left w:val="none" w:sz="0" w:space="0" w:color="auto"/>
        <w:bottom w:val="none" w:sz="0" w:space="0" w:color="auto"/>
        <w:right w:val="none" w:sz="0" w:space="0" w:color="auto"/>
      </w:divBdr>
    </w:div>
    <w:div w:id="1867939747">
      <w:bodyDiv w:val="1"/>
      <w:marLeft w:val="0"/>
      <w:marRight w:val="0"/>
      <w:marTop w:val="0"/>
      <w:marBottom w:val="0"/>
      <w:divBdr>
        <w:top w:val="none" w:sz="0" w:space="0" w:color="auto"/>
        <w:left w:val="none" w:sz="0" w:space="0" w:color="auto"/>
        <w:bottom w:val="none" w:sz="0" w:space="0" w:color="auto"/>
        <w:right w:val="none" w:sz="0" w:space="0" w:color="auto"/>
      </w:divBdr>
    </w:div>
    <w:div w:id="1868180432">
      <w:bodyDiv w:val="1"/>
      <w:marLeft w:val="0"/>
      <w:marRight w:val="0"/>
      <w:marTop w:val="0"/>
      <w:marBottom w:val="0"/>
      <w:divBdr>
        <w:top w:val="none" w:sz="0" w:space="0" w:color="auto"/>
        <w:left w:val="none" w:sz="0" w:space="0" w:color="auto"/>
        <w:bottom w:val="none" w:sz="0" w:space="0" w:color="auto"/>
        <w:right w:val="none" w:sz="0" w:space="0" w:color="auto"/>
      </w:divBdr>
    </w:div>
    <w:div w:id="1868448529">
      <w:bodyDiv w:val="1"/>
      <w:marLeft w:val="0"/>
      <w:marRight w:val="0"/>
      <w:marTop w:val="0"/>
      <w:marBottom w:val="0"/>
      <w:divBdr>
        <w:top w:val="none" w:sz="0" w:space="0" w:color="auto"/>
        <w:left w:val="none" w:sz="0" w:space="0" w:color="auto"/>
        <w:bottom w:val="none" w:sz="0" w:space="0" w:color="auto"/>
        <w:right w:val="none" w:sz="0" w:space="0" w:color="auto"/>
      </w:divBdr>
    </w:div>
    <w:div w:id="1869096396">
      <w:bodyDiv w:val="1"/>
      <w:marLeft w:val="0"/>
      <w:marRight w:val="0"/>
      <w:marTop w:val="0"/>
      <w:marBottom w:val="0"/>
      <w:divBdr>
        <w:top w:val="none" w:sz="0" w:space="0" w:color="auto"/>
        <w:left w:val="none" w:sz="0" w:space="0" w:color="auto"/>
        <w:bottom w:val="none" w:sz="0" w:space="0" w:color="auto"/>
        <w:right w:val="none" w:sz="0" w:space="0" w:color="auto"/>
      </w:divBdr>
    </w:div>
    <w:div w:id="1870029184">
      <w:bodyDiv w:val="1"/>
      <w:marLeft w:val="0"/>
      <w:marRight w:val="0"/>
      <w:marTop w:val="0"/>
      <w:marBottom w:val="0"/>
      <w:divBdr>
        <w:top w:val="none" w:sz="0" w:space="0" w:color="auto"/>
        <w:left w:val="none" w:sz="0" w:space="0" w:color="auto"/>
        <w:bottom w:val="none" w:sz="0" w:space="0" w:color="auto"/>
        <w:right w:val="none" w:sz="0" w:space="0" w:color="auto"/>
      </w:divBdr>
    </w:div>
    <w:div w:id="1870413122">
      <w:bodyDiv w:val="1"/>
      <w:marLeft w:val="0"/>
      <w:marRight w:val="0"/>
      <w:marTop w:val="0"/>
      <w:marBottom w:val="0"/>
      <w:divBdr>
        <w:top w:val="none" w:sz="0" w:space="0" w:color="auto"/>
        <w:left w:val="none" w:sz="0" w:space="0" w:color="auto"/>
        <w:bottom w:val="none" w:sz="0" w:space="0" w:color="auto"/>
        <w:right w:val="none" w:sz="0" w:space="0" w:color="auto"/>
      </w:divBdr>
    </w:div>
    <w:div w:id="1870876522">
      <w:bodyDiv w:val="1"/>
      <w:marLeft w:val="0"/>
      <w:marRight w:val="0"/>
      <w:marTop w:val="0"/>
      <w:marBottom w:val="0"/>
      <w:divBdr>
        <w:top w:val="none" w:sz="0" w:space="0" w:color="auto"/>
        <w:left w:val="none" w:sz="0" w:space="0" w:color="auto"/>
        <w:bottom w:val="none" w:sz="0" w:space="0" w:color="auto"/>
        <w:right w:val="none" w:sz="0" w:space="0" w:color="auto"/>
      </w:divBdr>
    </w:div>
    <w:div w:id="1871334983">
      <w:bodyDiv w:val="1"/>
      <w:marLeft w:val="0"/>
      <w:marRight w:val="0"/>
      <w:marTop w:val="0"/>
      <w:marBottom w:val="0"/>
      <w:divBdr>
        <w:top w:val="none" w:sz="0" w:space="0" w:color="auto"/>
        <w:left w:val="none" w:sz="0" w:space="0" w:color="auto"/>
        <w:bottom w:val="none" w:sz="0" w:space="0" w:color="auto"/>
        <w:right w:val="none" w:sz="0" w:space="0" w:color="auto"/>
      </w:divBdr>
    </w:div>
    <w:div w:id="1871607897">
      <w:bodyDiv w:val="1"/>
      <w:marLeft w:val="0"/>
      <w:marRight w:val="0"/>
      <w:marTop w:val="0"/>
      <w:marBottom w:val="0"/>
      <w:divBdr>
        <w:top w:val="none" w:sz="0" w:space="0" w:color="auto"/>
        <w:left w:val="none" w:sz="0" w:space="0" w:color="auto"/>
        <w:bottom w:val="none" w:sz="0" w:space="0" w:color="auto"/>
        <w:right w:val="none" w:sz="0" w:space="0" w:color="auto"/>
      </w:divBdr>
    </w:div>
    <w:div w:id="1872917804">
      <w:bodyDiv w:val="1"/>
      <w:marLeft w:val="0"/>
      <w:marRight w:val="0"/>
      <w:marTop w:val="0"/>
      <w:marBottom w:val="0"/>
      <w:divBdr>
        <w:top w:val="none" w:sz="0" w:space="0" w:color="auto"/>
        <w:left w:val="none" w:sz="0" w:space="0" w:color="auto"/>
        <w:bottom w:val="none" w:sz="0" w:space="0" w:color="auto"/>
        <w:right w:val="none" w:sz="0" w:space="0" w:color="auto"/>
      </w:divBdr>
    </w:div>
    <w:div w:id="1873037273">
      <w:bodyDiv w:val="1"/>
      <w:marLeft w:val="0"/>
      <w:marRight w:val="0"/>
      <w:marTop w:val="0"/>
      <w:marBottom w:val="0"/>
      <w:divBdr>
        <w:top w:val="none" w:sz="0" w:space="0" w:color="auto"/>
        <w:left w:val="none" w:sz="0" w:space="0" w:color="auto"/>
        <w:bottom w:val="none" w:sz="0" w:space="0" w:color="auto"/>
        <w:right w:val="none" w:sz="0" w:space="0" w:color="auto"/>
      </w:divBdr>
      <w:divsChild>
        <w:div w:id="1624120505">
          <w:marLeft w:val="0"/>
          <w:marRight w:val="0"/>
          <w:marTop w:val="0"/>
          <w:marBottom w:val="0"/>
          <w:divBdr>
            <w:top w:val="none" w:sz="0" w:space="0" w:color="auto"/>
            <w:left w:val="none" w:sz="0" w:space="0" w:color="auto"/>
            <w:bottom w:val="none" w:sz="0" w:space="0" w:color="auto"/>
            <w:right w:val="none" w:sz="0" w:space="0" w:color="auto"/>
          </w:divBdr>
          <w:divsChild>
            <w:div w:id="1530336346">
              <w:marLeft w:val="0"/>
              <w:marRight w:val="0"/>
              <w:marTop w:val="0"/>
              <w:marBottom w:val="0"/>
              <w:divBdr>
                <w:top w:val="none" w:sz="0" w:space="0" w:color="auto"/>
                <w:left w:val="none" w:sz="0" w:space="0" w:color="auto"/>
                <w:bottom w:val="none" w:sz="0" w:space="0" w:color="auto"/>
                <w:right w:val="none" w:sz="0" w:space="0" w:color="auto"/>
              </w:divBdr>
              <w:divsChild>
                <w:div w:id="1653025804">
                  <w:marLeft w:val="0"/>
                  <w:marRight w:val="0"/>
                  <w:marTop w:val="0"/>
                  <w:marBottom w:val="0"/>
                  <w:divBdr>
                    <w:top w:val="none" w:sz="0" w:space="0" w:color="auto"/>
                    <w:left w:val="none" w:sz="0" w:space="0" w:color="auto"/>
                    <w:bottom w:val="none" w:sz="0" w:space="0" w:color="auto"/>
                    <w:right w:val="none" w:sz="0" w:space="0" w:color="auto"/>
                  </w:divBdr>
                  <w:divsChild>
                    <w:div w:id="916133328">
                      <w:marLeft w:val="0"/>
                      <w:marRight w:val="0"/>
                      <w:marTop w:val="0"/>
                      <w:marBottom w:val="0"/>
                      <w:divBdr>
                        <w:top w:val="none" w:sz="0" w:space="0" w:color="auto"/>
                        <w:left w:val="none" w:sz="0" w:space="0" w:color="auto"/>
                        <w:bottom w:val="none" w:sz="0" w:space="0" w:color="auto"/>
                        <w:right w:val="none" w:sz="0" w:space="0" w:color="auto"/>
                      </w:divBdr>
                      <w:divsChild>
                        <w:div w:id="422145250">
                          <w:marLeft w:val="13380"/>
                          <w:marRight w:val="0"/>
                          <w:marTop w:val="0"/>
                          <w:marBottom w:val="0"/>
                          <w:divBdr>
                            <w:top w:val="none" w:sz="0" w:space="0" w:color="auto"/>
                            <w:left w:val="none" w:sz="0" w:space="0" w:color="auto"/>
                            <w:bottom w:val="none" w:sz="0" w:space="0" w:color="auto"/>
                            <w:right w:val="none" w:sz="0" w:space="0" w:color="auto"/>
                          </w:divBdr>
                          <w:divsChild>
                            <w:div w:id="309138874">
                              <w:marLeft w:val="0"/>
                              <w:marRight w:val="0"/>
                              <w:marTop w:val="0"/>
                              <w:marBottom w:val="0"/>
                              <w:divBdr>
                                <w:top w:val="none" w:sz="0" w:space="0" w:color="auto"/>
                                <w:left w:val="none" w:sz="0" w:space="0" w:color="auto"/>
                                <w:bottom w:val="none" w:sz="0" w:space="0" w:color="auto"/>
                                <w:right w:val="none" w:sz="0" w:space="0" w:color="auto"/>
                              </w:divBdr>
                              <w:divsChild>
                                <w:div w:id="1562642460">
                                  <w:marLeft w:val="0"/>
                                  <w:marRight w:val="0"/>
                                  <w:marTop w:val="0"/>
                                  <w:marBottom w:val="0"/>
                                  <w:divBdr>
                                    <w:top w:val="none" w:sz="0" w:space="0" w:color="auto"/>
                                    <w:left w:val="none" w:sz="0" w:space="0" w:color="auto"/>
                                    <w:bottom w:val="none" w:sz="0" w:space="0" w:color="auto"/>
                                    <w:right w:val="none" w:sz="0" w:space="0" w:color="auto"/>
                                  </w:divBdr>
                                  <w:divsChild>
                                    <w:div w:id="1277061520">
                                      <w:marLeft w:val="0"/>
                                      <w:marRight w:val="0"/>
                                      <w:marTop w:val="0"/>
                                      <w:marBottom w:val="0"/>
                                      <w:divBdr>
                                        <w:top w:val="none" w:sz="0" w:space="0" w:color="auto"/>
                                        <w:left w:val="none" w:sz="0" w:space="0" w:color="auto"/>
                                        <w:bottom w:val="none" w:sz="0" w:space="0" w:color="auto"/>
                                        <w:right w:val="none" w:sz="0" w:space="0" w:color="auto"/>
                                      </w:divBdr>
                                      <w:divsChild>
                                        <w:div w:id="1277523101">
                                          <w:marLeft w:val="0"/>
                                          <w:marRight w:val="0"/>
                                          <w:marTop w:val="0"/>
                                          <w:marBottom w:val="0"/>
                                          <w:divBdr>
                                            <w:top w:val="none" w:sz="0" w:space="0" w:color="auto"/>
                                            <w:left w:val="none" w:sz="0" w:space="0" w:color="auto"/>
                                            <w:bottom w:val="none" w:sz="0" w:space="0" w:color="auto"/>
                                            <w:right w:val="none" w:sz="0" w:space="0" w:color="auto"/>
                                          </w:divBdr>
                                          <w:divsChild>
                                            <w:div w:id="1618829190">
                                              <w:marLeft w:val="0"/>
                                              <w:marRight w:val="0"/>
                                              <w:marTop w:val="0"/>
                                              <w:marBottom w:val="0"/>
                                              <w:divBdr>
                                                <w:top w:val="none" w:sz="0" w:space="0" w:color="auto"/>
                                                <w:left w:val="none" w:sz="0" w:space="0" w:color="auto"/>
                                                <w:bottom w:val="none" w:sz="0" w:space="0" w:color="auto"/>
                                                <w:right w:val="none" w:sz="0" w:space="0" w:color="auto"/>
                                              </w:divBdr>
                                              <w:divsChild>
                                                <w:div w:id="892735251">
                                                  <w:marLeft w:val="0"/>
                                                  <w:marRight w:val="0"/>
                                                  <w:marTop w:val="0"/>
                                                  <w:marBottom w:val="0"/>
                                                  <w:divBdr>
                                                    <w:top w:val="none" w:sz="0" w:space="0" w:color="auto"/>
                                                    <w:left w:val="none" w:sz="0" w:space="0" w:color="auto"/>
                                                    <w:bottom w:val="none" w:sz="0" w:space="0" w:color="auto"/>
                                                    <w:right w:val="none" w:sz="0" w:space="0" w:color="auto"/>
                                                  </w:divBdr>
                                                  <w:divsChild>
                                                    <w:div w:id="1428623903">
                                                      <w:marLeft w:val="0"/>
                                                      <w:marRight w:val="0"/>
                                                      <w:marTop w:val="0"/>
                                                      <w:marBottom w:val="0"/>
                                                      <w:divBdr>
                                                        <w:top w:val="none" w:sz="0" w:space="0" w:color="auto"/>
                                                        <w:left w:val="none" w:sz="0" w:space="0" w:color="auto"/>
                                                        <w:bottom w:val="none" w:sz="0" w:space="0" w:color="auto"/>
                                                        <w:right w:val="none" w:sz="0" w:space="0" w:color="auto"/>
                                                      </w:divBdr>
                                                      <w:divsChild>
                                                        <w:div w:id="1800175347">
                                                          <w:marLeft w:val="0"/>
                                                          <w:marRight w:val="0"/>
                                                          <w:marTop w:val="0"/>
                                                          <w:marBottom w:val="0"/>
                                                          <w:divBdr>
                                                            <w:top w:val="none" w:sz="0" w:space="0" w:color="auto"/>
                                                            <w:left w:val="none" w:sz="0" w:space="0" w:color="auto"/>
                                                            <w:bottom w:val="none" w:sz="0" w:space="0" w:color="auto"/>
                                                            <w:right w:val="none" w:sz="0" w:space="0" w:color="auto"/>
                                                          </w:divBdr>
                                                          <w:divsChild>
                                                            <w:div w:id="578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74271043">
      <w:bodyDiv w:val="1"/>
      <w:marLeft w:val="0"/>
      <w:marRight w:val="0"/>
      <w:marTop w:val="0"/>
      <w:marBottom w:val="0"/>
      <w:divBdr>
        <w:top w:val="none" w:sz="0" w:space="0" w:color="auto"/>
        <w:left w:val="none" w:sz="0" w:space="0" w:color="auto"/>
        <w:bottom w:val="none" w:sz="0" w:space="0" w:color="auto"/>
        <w:right w:val="none" w:sz="0" w:space="0" w:color="auto"/>
      </w:divBdr>
    </w:div>
    <w:div w:id="1875078476">
      <w:bodyDiv w:val="1"/>
      <w:marLeft w:val="0"/>
      <w:marRight w:val="0"/>
      <w:marTop w:val="0"/>
      <w:marBottom w:val="0"/>
      <w:divBdr>
        <w:top w:val="none" w:sz="0" w:space="0" w:color="auto"/>
        <w:left w:val="none" w:sz="0" w:space="0" w:color="auto"/>
        <w:bottom w:val="none" w:sz="0" w:space="0" w:color="auto"/>
        <w:right w:val="none" w:sz="0" w:space="0" w:color="auto"/>
      </w:divBdr>
    </w:div>
    <w:div w:id="1875265674">
      <w:bodyDiv w:val="1"/>
      <w:marLeft w:val="0"/>
      <w:marRight w:val="0"/>
      <w:marTop w:val="0"/>
      <w:marBottom w:val="0"/>
      <w:divBdr>
        <w:top w:val="none" w:sz="0" w:space="0" w:color="auto"/>
        <w:left w:val="none" w:sz="0" w:space="0" w:color="auto"/>
        <w:bottom w:val="none" w:sz="0" w:space="0" w:color="auto"/>
        <w:right w:val="none" w:sz="0" w:space="0" w:color="auto"/>
      </w:divBdr>
    </w:div>
    <w:div w:id="1875464244">
      <w:bodyDiv w:val="1"/>
      <w:marLeft w:val="0"/>
      <w:marRight w:val="0"/>
      <w:marTop w:val="0"/>
      <w:marBottom w:val="0"/>
      <w:divBdr>
        <w:top w:val="none" w:sz="0" w:space="0" w:color="auto"/>
        <w:left w:val="none" w:sz="0" w:space="0" w:color="auto"/>
        <w:bottom w:val="none" w:sz="0" w:space="0" w:color="auto"/>
        <w:right w:val="none" w:sz="0" w:space="0" w:color="auto"/>
      </w:divBdr>
    </w:div>
    <w:div w:id="1875465280">
      <w:bodyDiv w:val="1"/>
      <w:marLeft w:val="0"/>
      <w:marRight w:val="0"/>
      <w:marTop w:val="0"/>
      <w:marBottom w:val="0"/>
      <w:divBdr>
        <w:top w:val="none" w:sz="0" w:space="0" w:color="auto"/>
        <w:left w:val="none" w:sz="0" w:space="0" w:color="auto"/>
        <w:bottom w:val="none" w:sz="0" w:space="0" w:color="auto"/>
        <w:right w:val="none" w:sz="0" w:space="0" w:color="auto"/>
      </w:divBdr>
    </w:div>
    <w:div w:id="1875649094">
      <w:bodyDiv w:val="1"/>
      <w:marLeft w:val="0"/>
      <w:marRight w:val="0"/>
      <w:marTop w:val="0"/>
      <w:marBottom w:val="0"/>
      <w:divBdr>
        <w:top w:val="none" w:sz="0" w:space="0" w:color="auto"/>
        <w:left w:val="none" w:sz="0" w:space="0" w:color="auto"/>
        <w:bottom w:val="none" w:sz="0" w:space="0" w:color="auto"/>
        <w:right w:val="none" w:sz="0" w:space="0" w:color="auto"/>
      </w:divBdr>
    </w:div>
    <w:div w:id="1875651478">
      <w:bodyDiv w:val="1"/>
      <w:marLeft w:val="0"/>
      <w:marRight w:val="0"/>
      <w:marTop w:val="0"/>
      <w:marBottom w:val="0"/>
      <w:divBdr>
        <w:top w:val="none" w:sz="0" w:space="0" w:color="auto"/>
        <w:left w:val="none" w:sz="0" w:space="0" w:color="auto"/>
        <w:bottom w:val="none" w:sz="0" w:space="0" w:color="auto"/>
        <w:right w:val="none" w:sz="0" w:space="0" w:color="auto"/>
      </w:divBdr>
    </w:div>
    <w:div w:id="1875995882">
      <w:bodyDiv w:val="1"/>
      <w:marLeft w:val="0"/>
      <w:marRight w:val="0"/>
      <w:marTop w:val="0"/>
      <w:marBottom w:val="0"/>
      <w:divBdr>
        <w:top w:val="none" w:sz="0" w:space="0" w:color="auto"/>
        <w:left w:val="none" w:sz="0" w:space="0" w:color="auto"/>
        <w:bottom w:val="none" w:sz="0" w:space="0" w:color="auto"/>
        <w:right w:val="none" w:sz="0" w:space="0" w:color="auto"/>
      </w:divBdr>
    </w:div>
    <w:div w:id="1876384419">
      <w:bodyDiv w:val="1"/>
      <w:marLeft w:val="0"/>
      <w:marRight w:val="0"/>
      <w:marTop w:val="0"/>
      <w:marBottom w:val="0"/>
      <w:divBdr>
        <w:top w:val="none" w:sz="0" w:space="0" w:color="auto"/>
        <w:left w:val="none" w:sz="0" w:space="0" w:color="auto"/>
        <w:bottom w:val="none" w:sz="0" w:space="0" w:color="auto"/>
        <w:right w:val="none" w:sz="0" w:space="0" w:color="auto"/>
      </w:divBdr>
    </w:div>
    <w:div w:id="1876501212">
      <w:bodyDiv w:val="1"/>
      <w:marLeft w:val="0"/>
      <w:marRight w:val="0"/>
      <w:marTop w:val="0"/>
      <w:marBottom w:val="0"/>
      <w:divBdr>
        <w:top w:val="none" w:sz="0" w:space="0" w:color="auto"/>
        <w:left w:val="none" w:sz="0" w:space="0" w:color="auto"/>
        <w:bottom w:val="none" w:sz="0" w:space="0" w:color="auto"/>
        <w:right w:val="none" w:sz="0" w:space="0" w:color="auto"/>
      </w:divBdr>
    </w:div>
    <w:div w:id="1876573392">
      <w:bodyDiv w:val="1"/>
      <w:marLeft w:val="0"/>
      <w:marRight w:val="0"/>
      <w:marTop w:val="0"/>
      <w:marBottom w:val="0"/>
      <w:divBdr>
        <w:top w:val="none" w:sz="0" w:space="0" w:color="auto"/>
        <w:left w:val="none" w:sz="0" w:space="0" w:color="auto"/>
        <w:bottom w:val="none" w:sz="0" w:space="0" w:color="auto"/>
        <w:right w:val="none" w:sz="0" w:space="0" w:color="auto"/>
      </w:divBdr>
    </w:div>
    <w:div w:id="1876773522">
      <w:bodyDiv w:val="1"/>
      <w:marLeft w:val="0"/>
      <w:marRight w:val="0"/>
      <w:marTop w:val="0"/>
      <w:marBottom w:val="0"/>
      <w:divBdr>
        <w:top w:val="none" w:sz="0" w:space="0" w:color="auto"/>
        <w:left w:val="none" w:sz="0" w:space="0" w:color="auto"/>
        <w:bottom w:val="none" w:sz="0" w:space="0" w:color="auto"/>
        <w:right w:val="none" w:sz="0" w:space="0" w:color="auto"/>
      </w:divBdr>
    </w:div>
    <w:div w:id="1876889059">
      <w:bodyDiv w:val="1"/>
      <w:marLeft w:val="0"/>
      <w:marRight w:val="0"/>
      <w:marTop w:val="0"/>
      <w:marBottom w:val="0"/>
      <w:divBdr>
        <w:top w:val="none" w:sz="0" w:space="0" w:color="auto"/>
        <w:left w:val="none" w:sz="0" w:space="0" w:color="auto"/>
        <w:bottom w:val="none" w:sz="0" w:space="0" w:color="auto"/>
        <w:right w:val="none" w:sz="0" w:space="0" w:color="auto"/>
      </w:divBdr>
    </w:div>
    <w:div w:id="1877350086">
      <w:bodyDiv w:val="1"/>
      <w:marLeft w:val="0"/>
      <w:marRight w:val="0"/>
      <w:marTop w:val="0"/>
      <w:marBottom w:val="0"/>
      <w:divBdr>
        <w:top w:val="none" w:sz="0" w:space="0" w:color="auto"/>
        <w:left w:val="none" w:sz="0" w:space="0" w:color="auto"/>
        <w:bottom w:val="none" w:sz="0" w:space="0" w:color="auto"/>
        <w:right w:val="none" w:sz="0" w:space="0" w:color="auto"/>
      </w:divBdr>
    </w:div>
    <w:div w:id="1877350223">
      <w:bodyDiv w:val="1"/>
      <w:marLeft w:val="0"/>
      <w:marRight w:val="0"/>
      <w:marTop w:val="0"/>
      <w:marBottom w:val="0"/>
      <w:divBdr>
        <w:top w:val="none" w:sz="0" w:space="0" w:color="auto"/>
        <w:left w:val="none" w:sz="0" w:space="0" w:color="auto"/>
        <w:bottom w:val="none" w:sz="0" w:space="0" w:color="auto"/>
        <w:right w:val="none" w:sz="0" w:space="0" w:color="auto"/>
      </w:divBdr>
    </w:div>
    <w:div w:id="1878153277">
      <w:bodyDiv w:val="1"/>
      <w:marLeft w:val="0"/>
      <w:marRight w:val="0"/>
      <w:marTop w:val="0"/>
      <w:marBottom w:val="0"/>
      <w:divBdr>
        <w:top w:val="none" w:sz="0" w:space="0" w:color="auto"/>
        <w:left w:val="none" w:sz="0" w:space="0" w:color="auto"/>
        <w:bottom w:val="none" w:sz="0" w:space="0" w:color="auto"/>
        <w:right w:val="none" w:sz="0" w:space="0" w:color="auto"/>
      </w:divBdr>
    </w:div>
    <w:div w:id="1878161120">
      <w:bodyDiv w:val="1"/>
      <w:marLeft w:val="0"/>
      <w:marRight w:val="0"/>
      <w:marTop w:val="0"/>
      <w:marBottom w:val="0"/>
      <w:divBdr>
        <w:top w:val="none" w:sz="0" w:space="0" w:color="auto"/>
        <w:left w:val="none" w:sz="0" w:space="0" w:color="auto"/>
        <w:bottom w:val="none" w:sz="0" w:space="0" w:color="auto"/>
        <w:right w:val="none" w:sz="0" w:space="0" w:color="auto"/>
      </w:divBdr>
    </w:div>
    <w:div w:id="1878349404">
      <w:bodyDiv w:val="1"/>
      <w:marLeft w:val="0"/>
      <w:marRight w:val="0"/>
      <w:marTop w:val="0"/>
      <w:marBottom w:val="0"/>
      <w:divBdr>
        <w:top w:val="none" w:sz="0" w:space="0" w:color="auto"/>
        <w:left w:val="none" w:sz="0" w:space="0" w:color="auto"/>
        <w:bottom w:val="none" w:sz="0" w:space="0" w:color="auto"/>
        <w:right w:val="none" w:sz="0" w:space="0" w:color="auto"/>
      </w:divBdr>
    </w:div>
    <w:div w:id="1879319631">
      <w:bodyDiv w:val="1"/>
      <w:marLeft w:val="0"/>
      <w:marRight w:val="0"/>
      <w:marTop w:val="0"/>
      <w:marBottom w:val="0"/>
      <w:divBdr>
        <w:top w:val="none" w:sz="0" w:space="0" w:color="auto"/>
        <w:left w:val="none" w:sz="0" w:space="0" w:color="auto"/>
        <w:bottom w:val="none" w:sz="0" w:space="0" w:color="auto"/>
        <w:right w:val="none" w:sz="0" w:space="0" w:color="auto"/>
      </w:divBdr>
    </w:div>
    <w:div w:id="1879392975">
      <w:bodyDiv w:val="1"/>
      <w:marLeft w:val="0"/>
      <w:marRight w:val="0"/>
      <w:marTop w:val="0"/>
      <w:marBottom w:val="0"/>
      <w:divBdr>
        <w:top w:val="none" w:sz="0" w:space="0" w:color="auto"/>
        <w:left w:val="none" w:sz="0" w:space="0" w:color="auto"/>
        <w:bottom w:val="none" w:sz="0" w:space="0" w:color="auto"/>
        <w:right w:val="none" w:sz="0" w:space="0" w:color="auto"/>
      </w:divBdr>
    </w:div>
    <w:div w:id="1879395642">
      <w:bodyDiv w:val="1"/>
      <w:marLeft w:val="0"/>
      <w:marRight w:val="0"/>
      <w:marTop w:val="0"/>
      <w:marBottom w:val="0"/>
      <w:divBdr>
        <w:top w:val="none" w:sz="0" w:space="0" w:color="auto"/>
        <w:left w:val="none" w:sz="0" w:space="0" w:color="auto"/>
        <w:bottom w:val="none" w:sz="0" w:space="0" w:color="auto"/>
        <w:right w:val="none" w:sz="0" w:space="0" w:color="auto"/>
      </w:divBdr>
    </w:div>
    <w:div w:id="1879470026">
      <w:bodyDiv w:val="1"/>
      <w:marLeft w:val="0"/>
      <w:marRight w:val="0"/>
      <w:marTop w:val="0"/>
      <w:marBottom w:val="0"/>
      <w:divBdr>
        <w:top w:val="none" w:sz="0" w:space="0" w:color="auto"/>
        <w:left w:val="none" w:sz="0" w:space="0" w:color="auto"/>
        <w:bottom w:val="none" w:sz="0" w:space="0" w:color="auto"/>
        <w:right w:val="none" w:sz="0" w:space="0" w:color="auto"/>
      </w:divBdr>
    </w:div>
    <w:div w:id="1879659346">
      <w:bodyDiv w:val="1"/>
      <w:marLeft w:val="0"/>
      <w:marRight w:val="0"/>
      <w:marTop w:val="0"/>
      <w:marBottom w:val="0"/>
      <w:divBdr>
        <w:top w:val="none" w:sz="0" w:space="0" w:color="auto"/>
        <w:left w:val="none" w:sz="0" w:space="0" w:color="auto"/>
        <w:bottom w:val="none" w:sz="0" w:space="0" w:color="auto"/>
        <w:right w:val="none" w:sz="0" w:space="0" w:color="auto"/>
      </w:divBdr>
    </w:div>
    <w:div w:id="1880124850">
      <w:bodyDiv w:val="1"/>
      <w:marLeft w:val="0"/>
      <w:marRight w:val="0"/>
      <w:marTop w:val="0"/>
      <w:marBottom w:val="0"/>
      <w:divBdr>
        <w:top w:val="none" w:sz="0" w:space="0" w:color="auto"/>
        <w:left w:val="none" w:sz="0" w:space="0" w:color="auto"/>
        <w:bottom w:val="none" w:sz="0" w:space="0" w:color="auto"/>
        <w:right w:val="none" w:sz="0" w:space="0" w:color="auto"/>
      </w:divBdr>
    </w:div>
    <w:div w:id="1880169500">
      <w:bodyDiv w:val="1"/>
      <w:marLeft w:val="0"/>
      <w:marRight w:val="0"/>
      <w:marTop w:val="0"/>
      <w:marBottom w:val="0"/>
      <w:divBdr>
        <w:top w:val="none" w:sz="0" w:space="0" w:color="auto"/>
        <w:left w:val="none" w:sz="0" w:space="0" w:color="auto"/>
        <w:bottom w:val="none" w:sz="0" w:space="0" w:color="auto"/>
        <w:right w:val="none" w:sz="0" w:space="0" w:color="auto"/>
      </w:divBdr>
    </w:div>
    <w:div w:id="1880314070">
      <w:bodyDiv w:val="1"/>
      <w:marLeft w:val="0"/>
      <w:marRight w:val="0"/>
      <w:marTop w:val="0"/>
      <w:marBottom w:val="0"/>
      <w:divBdr>
        <w:top w:val="none" w:sz="0" w:space="0" w:color="auto"/>
        <w:left w:val="none" w:sz="0" w:space="0" w:color="auto"/>
        <w:bottom w:val="none" w:sz="0" w:space="0" w:color="auto"/>
        <w:right w:val="none" w:sz="0" w:space="0" w:color="auto"/>
      </w:divBdr>
    </w:div>
    <w:div w:id="1880702981">
      <w:bodyDiv w:val="1"/>
      <w:marLeft w:val="0"/>
      <w:marRight w:val="0"/>
      <w:marTop w:val="0"/>
      <w:marBottom w:val="0"/>
      <w:divBdr>
        <w:top w:val="none" w:sz="0" w:space="0" w:color="auto"/>
        <w:left w:val="none" w:sz="0" w:space="0" w:color="auto"/>
        <w:bottom w:val="none" w:sz="0" w:space="0" w:color="auto"/>
        <w:right w:val="none" w:sz="0" w:space="0" w:color="auto"/>
      </w:divBdr>
    </w:div>
    <w:div w:id="1880782810">
      <w:bodyDiv w:val="1"/>
      <w:marLeft w:val="0"/>
      <w:marRight w:val="0"/>
      <w:marTop w:val="0"/>
      <w:marBottom w:val="0"/>
      <w:divBdr>
        <w:top w:val="none" w:sz="0" w:space="0" w:color="auto"/>
        <w:left w:val="none" w:sz="0" w:space="0" w:color="auto"/>
        <w:bottom w:val="none" w:sz="0" w:space="0" w:color="auto"/>
        <w:right w:val="none" w:sz="0" w:space="0" w:color="auto"/>
      </w:divBdr>
    </w:div>
    <w:div w:id="1881042866">
      <w:bodyDiv w:val="1"/>
      <w:marLeft w:val="0"/>
      <w:marRight w:val="0"/>
      <w:marTop w:val="0"/>
      <w:marBottom w:val="0"/>
      <w:divBdr>
        <w:top w:val="none" w:sz="0" w:space="0" w:color="auto"/>
        <w:left w:val="none" w:sz="0" w:space="0" w:color="auto"/>
        <w:bottom w:val="none" w:sz="0" w:space="0" w:color="auto"/>
        <w:right w:val="none" w:sz="0" w:space="0" w:color="auto"/>
      </w:divBdr>
    </w:div>
    <w:div w:id="1881742628">
      <w:bodyDiv w:val="1"/>
      <w:marLeft w:val="0"/>
      <w:marRight w:val="0"/>
      <w:marTop w:val="0"/>
      <w:marBottom w:val="0"/>
      <w:divBdr>
        <w:top w:val="none" w:sz="0" w:space="0" w:color="auto"/>
        <w:left w:val="none" w:sz="0" w:space="0" w:color="auto"/>
        <w:bottom w:val="none" w:sz="0" w:space="0" w:color="auto"/>
        <w:right w:val="none" w:sz="0" w:space="0" w:color="auto"/>
      </w:divBdr>
    </w:div>
    <w:div w:id="1881896783">
      <w:bodyDiv w:val="1"/>
      <w:marLeft w:val="0"/>
      <w:marRight w:val="0"/>
      <w:marTop w:val="0"/>
      <w:marBottom w:val="0"/>
      <w:divBdr>
        <w:top w:val="none" w:sz="0" w:space="0" w:color="auto"/>
        <w:left w:val="none" w:sz="0" w:space="0" w:color="auto"/>
        <w:bottom w:val="none" w:sz="0" w:space="0" w:color="auto"/>
        <w:right w:val="none" w:sz="0" w:space="0" w:color="auto"/>
      </w:divBdr>
    </w:div>
    <w:div w:id="1882130489">
      <w:bodyDiv w:val="1"/>
      <w:marLeft w:val="0"/>
      <w:marRight w:val="0"/>
      <w:marTop w:val="0"/>
      <w:marBottom w:val="0"/>
      <w:divBdr>
        <w:top w:val="none" w:sz="0" w:space="0" w:color="auto"/>
        <w:left w:val="none" w:sz="0" w:space="0" w:color="auto"/>
        <w:bottom w:val="none" w:sz="0" w:space="0" w:color="auto"/>
        <w:right w:val="none" w:sz="0" w:space="0" w:color="auto"/>
      </w:divBdr>
    </w:div>
    <w:div w:id="1882597227">
      <w:bodyDiv w:val="1"/>
      <w:marLeft w:val="0"/>
      <w:marRight w:val="0"/>
      <w:marTop w:val="0"/>
      <w:marBottom w:val="0"/>
      <w:divBdr>
        <w:top w:val="none" w:sz="0" w:space="0" w:color="auto"/>
        <w:left w:val="none" w:sz="0" w:space="0" w:color="auto"/>
        <w:bottom w:val="none" w:sz="0" w:space="0" w:color="auto"/>
        <w:right w:val="none" w:sz="0" w:space="0" w:color="auto"/>
      </w:divBdr>
    </w:div>
    <w:div w:id="1882743977">
      <w:bodyDiv w:val="1"/>
      <w:marLeft w:val="0"/>
      <w:marRight w:val="0"/>
      <w:marTop w:val="0"/>
      <w:marBottom w:val="0"/>
      <w:divBdr>
        <w:top w:val="none" w:sz="0" w:space="0" w:color="auto"/>
        <w:left w:val="none" w:sz="0" w:space="0" w:color="auto"/>
        <w:bottom w:val="none" w:sz="0" w:space="0" w:color="auto"/>
        <w:right w:val="none" w:sz="0" w:space="0" w:color="auto"/>
      </w:divBdr>
    </w:div>
    <w:div w:id="1883251870">
      <w:bodyDiv w:val="1"/>
      <w:marLeft w:val="0"/>
      <w:marRight w:val="0"/>
      <w:marTop w:val="0"/>
      <w:marBottom w:val="0"/>
      <w:divBdr>
        <w:top w:val="none" w:sz="0" w:space="0" w:color="auto"/>
        <w:left w:val="none" w:sz="0" w:space="0" w:color="auto"/>
        <w:bottom w:val="none" w:sz="0" w:space="0" w:color="auto"/>
        <w:right w:val="none" w:sz="0" w:space="0" w:color="auto"/>
      </w:divBdr>
    </w:div>
    <w:div w:id="1883637071">
      <w:bodyDiv w:val="1"/>
      <w:marLeft w:val="0"/>
      <w:marRight w:val="0"/>
      <w:marTop w:val="0"/>
      <w:marBottom w:val="0"/>
      <w:divBdr>
        <w:top w:val="none" w:sz="0" w:space="0" w:color="auto"/>
        <w:left w:val="none" w:sz="0" w:space="0" w:color="auto"/>
        <w:bottom w:val="none" w:sz="0" w:space="0" w:color="auto"/>
        <w:right w:val="none" w:sz="0" w:space="0" w:color="auto"/>
      </w:divBdr>
    </w:div>
    <w:div w:id="1883713049">
      <w:bodyDiv w:val="1"/>
      <w:marLeft w:val="0"/>
      <w:marRight w:val="0"/>
      <w:marTop w:val="0"/>
      <w:marBottom w:val="0"/>
      <w:divBdr>
        <w:top w:val="none" w:sz="0" w:space="0" w:color="auto"/>
        <w:left w:val="none" w:sz="0" w:space="0" w:color="auto"/>
        <w:bottom w:val="none" w:sz="0" w:space="0" w:color="auto"/>
        <w:right w:val="none" w:sz="0" w:space="0" w:color="auto"/>
      </w:divBdr>
    </w:div>
    <w:div w:id="1883714434">
      <w:bodyDiv w:val="1"/>
      <w:marLeft w:val="0"/>
      <w:marRight w:val="0"/>
      <w:marTop w:val="0"/>
      <w:marBottom w:val="0"/>
      <w:divBdr>
        <w:top w:val="none" w:sz="0" w:space="0" w:color="auto"/>
        <w:left w:val="none" w:sz="0" w:space="0" w:color="auto"/>
        <w:bottom w:val="none" w:sz="0" w:space="0" w:color="auto"/>
        <w:right w:val="none" w:sz="0" w:space="0" w:color="auto"/>
      </w:divBdr>
    </w:div>
    <w:div w:id="1884054897">
      <w:bodyDiv w:val="1"/>
      <w:marLeft w:val="0"/>
      <w:marRight w:val="0"/>
      <w:marTop w:val="0"/>
      <w:marBottom w:val="0"/>
      <w:divBdr>
        <w:top w:val="none" w:sz="0" w:space="0" w:color="auto"/>
        <w:left w:val="none" w:sz="0" w:space="0" w:color="auto"/>
        <w:bottom w:val="none" w:sz="0" w:space="0" w:color="auto"/>
        <w:right w:val="none" w:sz="0" w:space="0" w:color="auto"/>
      </w:divBdr>
    </w:div>
    <w:div w:id="1884171740">
      <w:bodyDiv w:val="1"/>
      <w:marLeft w:val="0"/>
      <w:marRight w:val="0"/>
      <w:marTop w:val="0"/>
      <w:marBottom w:val="0"/>
      <w:divBdr>
        <w:top w:val="none" w:sz="0" w:space="0" w:color="auto"/>
        <w:left w:val="none" w:sz="0" w:space="0" w:color="auto"/>
        <w:bottom w:val="none" w:sz="0" w:space="0" w:color="auto"/>
        <w:right w:val="none" w:sz="0" w:space="0" w:color="auto"/>
      </w:divBdr>
    </w:div>
    <w:div w:id="1884321384">
      <w:bodyDiv w:val="1"/>
      <w:marLeft w:val="0"/>
      <w:marRight w:val="0"/>
      <w:marTop w:val="0"/>
      <w:marBottom w:val="0"/>
      <w:divBdr>
        <w:top w:val="none" w:sz="0" w:space="0" w:color="auto"/>
        <w:left w:val="none" w:sz="0" w:space="0" w:color="auto"/>
        <w:bottom w:val="none" w:sz="0" w:space="0" w:color="auto"/>
        <w:right w:val="none" w:sz="0" w:space="0" w:color="auto"/>
      </w:divBdr>
    </w:div>
    <w:div w:id="1884363199">
      <w:bodyDiv w:val="1"/>
      <w:marLeft w:val="0"/>
      <w:marRight w:val="0"/>
      <w:marTop w:val="0"/>
      <w:marBottom w:val="0"/>
      <w:divBdr>
        <w:top w:val="none" w:sz="0" w:space="0" w:color="auto"/>
        <w:left w:val="none" w:sz="0" w:space="0" w:color="auto"/>
        <w:bottom w:val="none" w:sz="0" w:space="0" w:color="auto"/>
        <w:right w:val="none" w:sz="0" w:space="0" w:color="auto"/>
      </w:divBdr>
    </w:div>
    <w:div w:id="1884367957">
      <w:bodyDiv w:val="1"/>
      <w:marLeft w:val="0"/>
      <w:marRight w:val="0"/>
      <w:marTop w:val="0"/>
      <w:marBottom w:val="0"/>
      <w:divBdr>
        <w:top w:val="none" w:sz="0" w:space="0" w:color="auto"/>
        <w:left w:val="none" w:sz="0" w:space="0" w:color="auto"/>
        <w:bottom w:val="none" w:sz="0" w:space="0" w:color="auto"/>
        <w:right w:val="none" w:sz="0" w:space="0" w:color="auto"/>
      </w:divBdr>
    </w:div>
    <w:div w:id="1884517071">
      <w:bodyDiv w:val="1"/>
      <w:marLeft w:val="0"/>
      <w:marRight w:val="0"/>
      <w:marTop w:val="0"/>
      <w:marBottom w:val="0"/>
      <w:divBdr>
        <w:top w:val="none" w:sz="0" w:space="0" w:color="auto"/>
        <w:left w:val="none" w:sz="0" w:space="0" w:color="auto"/>
        <w:bottom w:val="none" w:sz="0" w:space="0" w:color="auto"/>
        <w:right w:val="none" w:sz="0" w:space="0" w:color="auto"/>
      </w:divBdr>
    </w:div>
    <w:div w:id="1884905857">
      <w:bodyDiv w:val="1"/>
      <w:marLeft w:val="0"/>
      <w:marRight w:val="0"/>
      <w:marTop w:val="0"/>
      <w:marBottom w:val="0"/>
      <w:divBdr>
        <w:top w:val="none" w:sz="0" w:space="0" w:color="auto"/>
        <w:left w:val="none" w:sz="0" w:space="0" w:color="auto"/>
        <w:bottom w:val="none" w:sz="0" w:space="0" w:color="auto"/>
        <w:right w:val="none" w:sz="0" w:space="0" w:color="auto"/>
      </w:divBdr>
    </w:div>
    <w:div w:id="1885093319">
      <w:bodyDiv w:val="1"/>
      <w:marLeft w:val="0"/>
      <w:marRight w:val="0"/>
      <w:marTop w:val="0"/>
      <w:marBottom w:val="0"/>
      <w:divBdr>
        <w:top w:val="none" w:sz="0" w:space="0" w:color="auto"/>
        <w:left w:val="none" w:sz="0" w:space="0" w:color="auto"/>
        <w:bottom w:val="none" w:sz="0" w:space="0" w:color="auto"/>
        <w:right w:val="none" w:sz="0" w:space="0" w:color="auto"/>
      </w:divBdr>
    </w:div>
    <w:div w:id="1885285836">
      <w:bodyDiv w:val="1"/>
      <w:marLeft w:val="0"/>
      <w:marRight w:val="0"/>
      <w:marTop w:val="0"/>
      <w:marBottom w:val="0"/>
      <w:divBdr>
        <w:top w:val="none" w:sz="0" w:space="0" w:color="auto"/>
        <w:left w:val="none" w:sz="0" w:space="0" w:color="auto"/>
        <w:bottom w:val="none" w:sz="0" w:space="0" w:color="auto"/>
        <w:right w:val="none" w:sz="0" w:space="0" w:color="auto"/>
      </w:divBdr>
    </w:div>
    <w:div w:id="1886091666">
      <w:bodyDiv w:val="1"/>
      <w:marLeft w:val="0"/>
      <w:marRight w:val="0"/>
      <w:marTop w:val="0"/>
      <w:marBottom w:val="0"/>
      <w:divBdr>
        <w:top w:val="none" w:sz="0" w:space="0" w:color="auto"/>
        <w:left w:val="none" w:sz="0" w:space="0" w:color="auto"/>
        <w:bottom w:val="none" w:sz="0" w:space="0" w:color="auto"/>
        <w:right w:val="none" w:sz="0" w:space="0" w:color="auto"/>
      </w:divBdr>
    </w:div>
    <w:div w:id="1886521273">
      <w:bodyDiv w:val="1"/>
      <w:marLeft w:val="0"/>
      <w:marRight w:val="0"/>
      <w:marTop w:val="0"/>
      <w:marBottom w:val="0"/>
      <w:divBdr>
        <w:top w:val="none" w:sz="0" w:space="0" w:color="auto"/>
        <w:left w:val="none" w:sz="0" w:space="0" w:color="auto"/>
        <w:bottom w:val="none" w:sz="0" w:space="0" w:color="auto"/>
        <w:right w:val="none" w:sz="0" w:space="0" w:color="auto"/>
      </w:divBdr>
    </w:div>
    <w:div w:id="1886596129">
      <w:bodyDiv w:val="1"/>
      <w:marLeft w:val="0"/>
      <w:marRight w:val="0"/>
      <w:marTop w:val="0"/>
      <w:marBottom w:val="0"/>
      <w:divBdr>
        <w:top w:val="none" w:sz="0" w:space="0" w:color="auto"/>
        <w:left w:val="none" w:sz="0" w:space="0" w:color="auto"/>
        <w:bottom w:val="none" w:sz="0" w:space="0" w:color="auto"/>
        <w:right w:val="none" w:sz="0" w:space="0" w:color="auto"/>
      </w:divBdr>
    </w:div>
    <w:div w:id="1886913852">
      <w:bodyDiv w:val="1"/>
      <w:marLeft w:val="0"/>
      <w:marRight w:val="0"/>
      <w:marTop w:val="0"/>
      <w:marBottom w:val="0"/>
      <w:divBdr>
        <w:top w:val="none" w:sz="0" w:space="0" w:color="auto"/>
        <w:left w:val="none" w:sz="0" w:space="0" w:color="auto"/>
        <w:bottom w:val="none" w:sz="0" w:space="0" w:color="auto"/>
        <w:right w:val="none" w:sz="0" w:space="0" w:color="auto"/>
      </w:divBdr>
    </w:div>
    <w:div w:id="1887253243">
      <w:bodyDiv w:val="1"/>
      <w:marLeft w:val="0"/>
      <w:marRight w:val="0"/>
      <w:marTop w:val="0"/>
      <w:marBottom w:val="0"/>
      <w:divBdr>
        <w:top w:val="none" w:sz="0" w:space="0" w:color="auto"/>
        <w:left w:val="none" w:sz="0" w:space="0" w:color="auto"/>
        <w:bottom w:val="none" w:sz="0" w:space="0" w:color="auto"/>
        <w:right w:val="none" w:sz="0" w:space="0" w:color="auto"/>
      </w:divBdr>
    </w:div>
    <w:div w:id="1887376074">
      <w:bodyDiv w:val="1"/>
      <w:marLeft w:val="0"/>
      <w:marRight w:val="0"/>
      <w:marTop w:val="0"/>
      <w:marBottom w:val="0"/>
      <w:divBdr>
        <w:top w:val="none" w:sz="0" w:space="0" w:color="auto"/>
        <w:left w:val="none" w:sz="0" w:space="0" w:color="auto"/>
        <w:bottom w:val="none" w:sz="0" w:space="0" w:color="auto"/>
        <w:right w:val="none" w:sz="0" w:space="0" w:color="auto"/>
      </w:divBdr>
    </w:div>
    <w:div w:id="1887450766">
      <w:bodyDiv w:val="1"/>
      <w:marLeft w:val="0"/>
      <w:marRight w:val="0"/>
      <w:marTop w:val="0"/>
      <w:marBottom w:val="0"/>
      <w:divBdr>
        <w:top w:val="none" w:sz="0" w:space="0" w:color="auto"/>
        <w:left w:val="none" w:sz="0" w:space="0" w:color="auto"/>
        <w:bottom w:val="none" w:sz="0" w:space="0" w:color="auto"/>
        <w:right w:val="none" w:sz="0" w:space="0" w:color="auto"/>
      </w:divBdr>
    </w:div>
    <w:div w:id="1888182543">
      <w:bodyDiv w:val="1"/>
      <w:marLeft w:val="0"/>
      <w:marRight w:val="0"/>
      <w:marTop w:val="0"/>
      <w:marBottom w:val="0"/>
      <w:divBdr>
        <w:top w:val="none" w:sz="0" w:space="0" w:color="auto"/>
        <w:left w:val="none" w:sz="0" w:space="0" w:color="auto"/>
        <w:bottom w:val="none" w:sz="0" w:space="0" w:color="auto"/>
        <w:right w:val="none" w:sz="0" w:space="0" w:color="auto"/>
      </w:divBdr>
    </w:div>
    <w:div w:id="1888562882">
      <w:bodyDiv w:val="1"/>
      <w:marLeft w:val="0"/>
      <w:marRight w:val="0"/>
      <w:marTop w:val="0"/>
      <w:marBottom w:val="0"/>
      <w:divBdr>
        <w:top w:val="none" w:sz="0" w:space="0" w:color="auto"/>
        <w:left w:val="none" w:sz="0" w:space="0" w:color="auto"/>
        <w:bottom w:val="none" w:sz="0" w:space="0" w:color="auto"/>
        <w:right w:val="none" w:sz="0" w:space="0" w:color="auto"/>
      </w:divBdr>
    </w:div>
    <w:div w:id="1889338368">
      <w:bodyDiv w:val="1"/>
      <w:marLeft w:val="0"/>
      <w:marRight w:val="0"/>
      <w:marTop w:val="0"/>
      <w:marBottom w:val="0"/>
      <w:divBdr>
        <w:top w:val="none" w:sz="0" w:space="0" w:color="auto"/>
        <w:left w:val="none" w:sz="0" w:space="0" w:color="auto"/>
        <w:bottom w:val="none" w:sz="0" w:space="0" w:color="auto"/>
        <w:right w:val="none" w:sz="0" w:space="0" w:color="auto"/>
      </w:divBdr>
    </w:div>
    <w:div w:id="1889683550">
      <w:bodyDiv w:val="1"/>
      <w:marLeft w:val="0"/>
      <w:marRight w:val="0"/>
      <w:marTop w:val="0"/>
      <w:marBottom w:val="0"/>
      <w:divBdr>
        <w:top w:val="none" w:sz="0" w:space="0" w:color="auto"/>
        <w:left w:val="none" w:sz="0" w:space="0" w:color="auto"/>
        <w:bottom w:val="none" w:sz="0" w:space="0" w:color="auto"/>
        <w:right w:val="none" w:sz="0" w:space="0" w:color="auto"/>
      </w:divBdr>
    </w:div>
    <w:div w:id="1889873440">
      <w:bodyDiv w:val="1"/>
      <w:marLeft w:val="0"/>
      <w:marRight w:val="0"/>
      <w:marTop w:val="0"/>
      <w:marBottom w:val="0"/>
      <w:divBdr>
        <w:top w:val="none" w:sz="0" w:space="0" w:color="auto"/>
        <w:left w:val="none" w:sz="0" w:space="0" w:color="auto"/>
        <w:bottom w:val="none" w:sz="0" w:space="0" w:color="auto"/>
        <w:right w:val="none" w:sz="0" w:space="0" w:color="auto"/>
      </w:divBdr>
    </w:div>
    <w:div w:id="1890192187">
      <w:bodyDiv w:val="1"/>
      <w:marLeft w:val="0"/>
      <w:marRight w:val="0"/>
      <w:marTop w:val="0"/>
      <w:marBottom w:val="0"/>
      <w:divBdr>
        <w:top w:val="none" w:sz="0" w:space="0" w:color="auto"/>
        <w:left w:val="none" w:sz="0" w:space="0" w:color="auto"/>
        <w:bottom w:val="none" w:sz="0" w:space="0" w:color="auto"/>
        <w:right w:val="none" w:sz="0" w:space="0" w:color="auto"/>
      </w:divBdr>
    </w:div>
    <w:div w:id="1890413336">
      <w:bodyDiv w:val="1"/>
      <w:marLeft w:val="0"/>
      <w:marRight w:val="0"/>
      <w:marTop w:val="0"/>
      <w:marBottom w:val="0"/>
      <w:divBdr>
        <w:top w:val="none" w:sz="0" w:space="0" w:color="auto"/>
        <w:left w:val="none" w:sz="0" w:space="0" w:color="auto"/>
        <w:bottom w:val="none" w:sz="0" w:space="0" w:color="auto"/>
        <w:right w:val="none" w:sz="0" w:space="0" w:color="auto"/>
      </w:divBdr>
    </w:div>
    <w:div w:id="1890458158">
      <w:bodyDiv w:val="1"/>
      <w:marLeft w:val="0"/>
      <w:marRight w:val="0"/>
      <w:marTop w:val="0"/>
      <w:marBottom w:val="0"/>
      <w:divBdr>
        <w:top w:val="none" w:sz="0" w:space="0" w:color="auto"/>
        <w:left w:val="none" w:sz="0" w:space="0" w:color="auto"/>
        <w:bottom w:val="none" w:sz="0" w:space="0" w:color="auto"/>
        <w:right w:val="none" w:sz="0" w:space="0" w:color="auto"/>
      </w:divBdr>
    </w:div>
    <w:div w:id="1890609291">
      <w:bodyDiv w:val="1"/>
      <w:marLeft w:val="0"/>
      <w:marRight w:val="0"/>
      <w:marTop w:val="0"/>
      <w:marBottom w:val="0"/>
      <w:divBdr>
        <w:top w:val="none" w:sz="0" w:space="0" w:color="auto"/>
        <w:left w:val="none" w:sz="0" w:space="0" w:color="auto"/>
        <w:bottom w:val="none" w:sz="0" w:space="0" w:color="auto"/>
        <w:right w:val="none" w:sz="0" w:space="0" w:color="auto"/>
      </w:divBdr>
    </w:div>
    <w:div w:id="1890799066">
      <w:bodyDiv w:val="1"/>
      <w:marLeft w:val="0"/>
      <w:marRight w:val="0"/>
      <w:marTop w:val="0"/>
      <w:marBottom w:val="0"/>
      <w:divBdr>
        <w:top w:val="none" w:sz="0" w:space="0" w:color="auto"/>
        <w:left w:val="none" w:sz="0" w:space="0" w:color="auto"/>
        <w:bottom w:val="none" w:sz="0" w:space="0" w:color="auto"/>
        <w:right w:val="none" w:sz="0" w:space="0" w:color="auto"/>
      </w:divBdr>
    </w:div>
    <w:div w:id="1890804511">
      <w:bodyDiv w:val="1"/>
      <w:marLeft w:val="0"/>
      <w:marRight w:val="0"/>
      <w:marTop w:val="0"/>
      <w:marBottom w:val="0"/>
      <w:divBdr>
        <w:top w:val="none" w:sz="0" w:space="0" w:color="auto"/>
        <w:left w:val="none" w:sz="0" w:space="0" w:color="auto"/>
        <w:bottom w:val="none" w:sz="0" w:space="0" w:color="auto"/>
        <w:right w:val="none" w:sz="0" w:space="0" w:color="auto"/>
      </w:divBdr>
    </w:div>
    <w:div w:id="1890875734">
      <w:bodyDiv w:val="1"/>
      <w:marLeft w:val="0"/>
      <w:marRight w:val="0"/>
      <w:marTop w:val="0"/>
      <w:marBottom w:val="0"/>
      <w:divBdr>
        <w:top w:val="none" w:sz="0" w:space="0" w:color="auto"/>
        <w:left w:val="none" w:sz="0" w:space="0" w:color="auto"/>
        <w:bottom w:val="none" w:sz="0" w:space="0" w:color="auto"/>
        <w:right w:val="none" w:sz="0" w:space="0" w:color="auto"/>
      </w:divBdr>
    </w:div>
    <w:div w:id="1891263069">
      <w:bodyDiv w:val="1"/>
      <w:marLeft w:val="0"/>
      <w:marRight w:val="0"/>
      <w:marTop w:val="0"/>
      <w:marBottom w:val="0"/>
      <w:divBdr>
        <w:top w:val="none" w:sz="0" w:space="0" w:color="auto"/>
        <w:left w:val="none" w:sz="0" w:space="0" w:color="auto"/>
        <w:bottom w:val="none" w:sz="0" w:space="0" w:color="auto"/>
        <w:right w:val="none" w:sz="0" w:space="0" w:color="auto"/>
      </w:divBdr>
    </w:div>
    <w:div w:id="1891334861">
      <w:bodyDiv w:val="1"/>
      <w:marLeft w:val="0"/>
      <w:marRight w:val="0"/>
      <w:marTop w:val="0"/>
      <w:marBottom w:val="0"/>
      <w:divBdr>
        <w:top w:val="none" w:sz="0" w:space="0" w:color="auto"/>
        <w:left w:val="none" w:sz="0" w:space="0" w:color="auto"/>
        <w:bottom w:val="none" w:sz="0" w:space="0" w:color="auto"/>
        <w:right w:val="none" w:sz="0" w:space="0" w:color="auto"/>
      </w:divBdr>
    </w:div>
    <w:div w:id="1891383170">
      <w:bodyDiv w:val="1"/>
      <w:marLeft w:val="0"/>
      <w:marRight w:val="0"/>
      <w:marTop w:val="0"/>
      <w:marBottom w:val="0"/>
      <w:divBdr>
        <w:top w:val="none" w:sz="0" w:space="0" w:color="auto"/>
        <w:left w:val="none" w:sz="0" w:space="0" w:color="auto"/>
        <w:bottom w:val="none" w:sz="0" w:space="0" w:color="auto"/>
        <w:right w:val="none" w:sz="0" w:space="0" w:color="auto"/>
      </w:divBdr>
    </w:div>
    <w:div w:id="1891456147">
      <w:bodyDiv w:val="1"/>
      <w:marLeft w:val="0"/>
      <w:marRight w:val="0"/>
      <w:marTop w:val="0"/>
      <w:marBottom w:val="0"/>
      <w:divBdr>
        <w:top w:val="none" w:sz="0" w:space="0" w:color="auto"/>
        <w:left w:val="none" w:sz="0" w:space="0" w:color="auto"/>
        <w:bottom w:val="none" w:sz="0" w:space="0" w:color="auto"/>
        <w:right w:val="none" w:sz="0" w:space="0" w:color="auto"/>
      </w:divBdr>
    </w:div>
    <w:div w:id="1891502269">
      <w:bodyDiv w:val="1"/>
      <w:marLeft w:val="0"/>
      <w:marRight w:val="0"/>
      <w:marTop w:val="0"/>
      <w:marBottom w:val="0"/>
      <w:divBdr>
        <w:top w:val="none" w:sz="0" w:space="0" w:color="auto"/>
        <w:left w:val="none" w:sz="0" w:space="0" w:color="auto"/>
        <w:bottom w:val="none" w:sz="0" w:space="0" w:color="auto"/>
        <w:right w:val="none" w:sz="0" w:space="0" w:color="auto"/>
      </w:divBdr>
    </w:div>
    <w:div w:id="1891838447">
      <w:bodyDiv w:val="1"/>
      <w:marLeft w:val="0"/>
      <w:marRight w:val="0"/>
      <w:marTop w:val="0"/>
      <w:marBottom w:val="0"/>
      <w:divBdr>
        <w:top w:val="none" w:sz="0" w:space="0" w:color="auto"/>
        <w:left w:val="none" w:sz="0" w:space="0" w:color="auto"/>
        <w:bottom w:val="none" w:sz="0" w:space="0" w:color="auto"/>
        <w:right w:val="none" w:sz="0" w:space="0" w:color="auto"/>
      </w:divBdr>
    </w:div>
    <w:div w:id="1891847054">
      <w:bodyDiv w:val="1"/>
      <w:marLeft w:val="0"/>
      <w:marRight w:val="0"/>
      <w:marTop w:val="0"/>
      <w:marBottom w:val="0"/>
      <w:divBdr>
        <w:top w:val="none" w:sz="0" w:space="0" w:color="auto"/>
        <w:left w:val="none" w:sz="0" w:space="0" w:color="auto"/>
        <w:bottom w:val="none" w:sz="0" w:space="0" w:color="auto"/>
        <w:right w:val="none" w:sz="0" w:space="0" w:color="auto"/>
      </w:divBdr>
    </w:div>
    <w:div w:id="1892040401">
      <w:bodyDiv w:val="1"/>
      <w:marLeft w:val="0"/>
      <w:marRight w:val="0"/>
      <w:marTop w:val="0"/>
      <w:marBottom w:val="0"/>
      <w:divBdr>
        <w:top w:val="none" w:sz="0" w:space="0" w:color="auto"/>
        <w:left w:val="none" w:sz="0" w:space="0" w:color="auto"/>
        <w:bottom w:val="none" w:sz="0" w:space="0" w:color="auto"/>
        <w:right w:val="none" w:sz="0" w:space="0" w:color="auto"/>
      </w:divBdr>
    </w:div>
    <w:div w:id="1892229787">
      <w:bodyDiv w:val="1"/>
      <w:marLeft w:val="0"/>
      <w:marRight w:val="0"/>
      <w:marTop w:val="0"/>
      <w:marBottom w:val="0"/>
      <w:divBdr>
        <w:top w:val="none" w:sz="0" w:space="0" w:color="auto"/>
        <w:left w:val="none" w:sz="0" w:space="0" w:color="auto"/>
        <w:bottom w:val="none" w:sz="0" w:space="0" w:color="auto"/>
        <w:right w:val="none" w:sz="0" w:space="0" w:color="auto"/>
      </w:divBdr>
    </w:div>
    <w:div w:id="1893151550">
      <w:bodyDiv w:val="1"/>
      <w:marLeft w:val="0"/>
      <w:marRight w:val="0"/>
      <w:marTop w:val="0"/>
      <w:marBottom w:val="0"/>
      <w:divBdr>
        <w:top w:val="none" w:sz="0" w:space="0" w:color="auto"/>
        <w:left w:val="none" w:sz="0" w:space="0" w:color="auto"/>
        <w:bottom w:val="none" w:sz="0" w:space="0" w:color="auto"/>
        <w:right w:val="none" w:sz="0" w:space="0" w:color="auto"/>
      </w:divBdr>
    </w:div>
    <w:div w:id="1893229870">
      <w:bodyDiv w:val="1"/>
      <w:marLeft w:val="0"/>
      <w:marRight w:val="0"/>
      <w:marTop w:val="0"/>
      <w:marBottom w:val="0"/>
      <w:divBdr>
        <w:top w:val="none" w:sz="0" w:space="0" w:color="auto"/>
        <w:left w:val="none" w:sz="0" w:space="0" w:color="auto"/>
        <w:bottom w:val="none" w:sz="0" w:space="0" w:color="auto"/>
        <w:right w:val="none" w:sz="0" w:space="0" w:color="auto"/>
      </w:divBdr>
    </w:div>
    <w:div w:id="1893999384">
      <w:bodyDiv w:val="1"/>
      <w:marLeft w:val="0"/>
      <w:marRight w:val="0"/>
      <w:marTop w:val="0"/>
      <w:marBottom w:val="0"/>
      <w:divBdr>
        <w:top w:val="none" w:sz="0" w:space="0" w:color="auto"/>
        <w:left w:val="none" w:sz="0" w:space="0" w:color="auto"/>
        <w:bottom w:val="none" w:sz="0" w:space="0" w:color="auto"/>
        <w:right w:val="none" w:sz="0" w:space="0" w:color="auto"/>
      </w:divBdr>
    </w:div>
    <w:div w:id="1894191055">
      <w:bodyDiv w:val="1"/>
      <w:marLeft w:val="0"/>
      <w:marRight w:val="0"/>
      <w:marTop w:val="0"/>
      <w:marBottom w:val="0"/>
      <w:divBdr>
        <w:top w:val="none" w:sz="0" w:space="0" w:color="auto"/>
        <w:left w:val="none" w:sz="0" w:space="0" w:color="auto"/>
        <w:bottom w:val="none" w:sz="0" w:space="0" w:color="auto"/>
        <w:right w:val="none" w:sz="0" w:space="0" w:color="auto"/>
      </w:divBdr>
    </w:div>
    <w:div w:id="1894272005">
      <w:bodyDiv w:val="1"/>
      <w:marLeft w:val="0"/>
      <w:marRight w:val="0"/>
      <w:marTop w:val="0"/>
      <w:marBottom w:val="0"/>
      <w:divBdr>
        <w:top w:val="none" w:sz="0" w:space="0" w:color="auto"/>
        <w:left w:val="none" w:sz="0" w:space="0" w:color="auto"/>
        <w:bottom w:val="none" w:sz="0" w:space="0" w:color="auto"/>
        <w:right w:val="none" w:sz="0" w:space="0" w:color="auto"/>
      </w:divBdr>
    </w:div>
    <w:div w:id="1894415978">
      <w:bodyDiv w:val="1"/>
      <w:marLeft w:val="0"/>
      <w:marRight w:val="0"/>
      <w:marTop w:val="0"/>
      <w:marBottom w:val="0"/>
      <w:divBdr>
        <w:top w:val="none" w:sz="0" w:space="0" w:color="auto"/>
        <w:left w:val="none" w:sz="0" w:space="0" w:color="auto"/>
        <w:bottom w:val="none" w:sz="0" w:space="0" w:color="auto"/>
        <w:right w:val="none" w:sz="0" w:space="0" w:color="auto"/>
      </w:divBdr>
    </w:div>
    <w:div w:id="1894779240">
      <w:bodyDiv w:val="1"/>
      <w:marLeft w:val="0"/>
      <w:marRight w:val="0"/>
      <w:marTop w:val="0"/>
      <w:marBottom w:val="0"/>
      <w:divBdr>
        <w:top w:val="none" w:sz="0" w:space="0" w:color="auto"/>
        <w:left w:val="none" w:sz="0" w:space="0" w:color="auto"/>
        <w:bottom w:val="none" w:sz="0" w:space="0" w:color="auto"/>
        <w:right w:val="none" w:sz="0" w:space="0" w:color="auto"/>
      </w:divBdr>
    </w:div>
    <w:div w:id="1895047101">
      <w:bodyDiv w:val="1"/>
      <w:marLeft w:val="0"/>
      <w:marRight w:val="0"/>
      <w:marTop w:val="0"/>
      <w:marBottom w:val="0"/>
      <w:divBdr>
        <w:top w:val="none" w:sz="0" w:space="0" w:color="auto"/>
        <w:left w:val="none" w:sz="0" w:space="0" w:color="auto"/>
        <w:bottom w:val="none" w:sz="0" w:space="0" w:color="auto"/>
        <w:right w:val="none" w:sz="0" w:space="0" w:color="auto"/>
      </w:divBdr>
    </w:div>
    <w:div w:id="1895892933">
      <w:bodyDiv w:val="1"/>
      <w:marLeft w:val="0"/>
      <w:marRight w:val="0"/>
      <w:marTop w:val="0"/>
      <w:marBottom w:val="0"/>
      <w:divBdr>
        <w:top w:val="none" w:sz="0" w:space="0" w:color="auto"/>
        <w:left w:val="none" w:sz="0" w:space="0" w:color="auto"/>
        <w:bottom w:val="none" w:sz="0" w:space="0" w:color="auto"/>
        <w:right w:val="none" w:sz="0" w:space="0" w:color="auto"/>
      </w:divBdr>
    </w:div>
    <w:div w:id="1895964463">
      <w:bodyDiv w:val="1"/>
      <w:marLeft w:val="0"/>
      <w:marRight w:val="0"/>
      <w:marTop w:val="0"/>
      <w:marBottom w:val="0"/>
      <w:divBdr>
        <w:top w:val="none" w:sz="0" w:space="0" w:color="auto"/>
        <w:left w:val="none" w:sz="0" w:space="0" w:color="auto"/>
        <w:bottom w:val="none" w:sz="0" w:space="0" w:color="auto"/>
        <w:right w:val="none" w:sz="0" w:space="0" w:color="auto"/>
      </w:divBdr>
    </w:div>
    <w:div w:id="1896087944">
      <w:bodyDiv w:val="1"/>
      <w:marLeft w:val="0"/>
      <w:marRight w:val="0"/>
      <w:marTop w:val="0"/>
      <w:marBottom w:val="0"/>
      <w:divBdr>
        <w:top w:val="none" w:sz="0" w:space="0" w:color="auto"/>
        <w:left w:val="none" w:sz="0" w:space="0" w:color="auto"/>
        <w:bottom w:val="none" w:sz="0" w:space="0" w:color="auto"/>
        <w:right w:val="none" w:sz="0" w:space="0" w:color="auto"/>
      </w:divBdr>
    </w:div>
    <w:div w:id="1896115997">
      <w:bodyDiv w:val="1"/>
      <w:marLeft w:val="0"/>
      <w:marRight w:val="0"/>
      <w:marTop w:val="0"/>
      <w:marBottom w:val="0"/>
      <w:divBdr>
        <w:top w:val="none" w:sz="0" w:space="0" w:color="auto"/>
        <w:left w:val="none" w:sz="0" w:space="0" w:color="auto"/>
        <w:bottom w:val="none" w:sz="0" w:space="0" w:color="auto"/>
        <w:right w:val="none" w:sz="0" w:space="0" w:color="auto"/>
      </w:divBdr>
    </w:div>
    <w:div w:id="1896158596">
      <w:bodyDiv w:val="1"/>
      <w:marLeft w:val="0"/>
      <w:marRight w:val="0"/>
      <w:marTop w:val="0"/>
      <w:marBottom w:val="0"/>
      <w:divBdr>
        <w:top w:val="none" w:sz="0" w:space="0" w:color="auto"/>
        <w:left w:val="none" w:sz="0" w:space="0" w:color="auto"/>
        <w:bottom w:val="none" w:sz="0" w:space="0" w:color="auto"/>
        <w:right w:val="none" w:sz="0" w:space="0" w:color="auto"/>
      </w:divBdr>
    </w:div>
    <w:div w:id="1896314193">
      <w:bodyDiv w:val="1"/>
      <w:marLeft w:val="0"/>
      <w:marRight w:val="0"/>
      <w:marTop w:val="0"/>
      <w:marBottom w:val="0"/>
      <w:divBdr>
        <w:top w:val="none" w:sz="0" w:space="0" w:color="auto"/>
        <w:left w:val="none" w:sz="0" w:space="0" w:color="auto"/>
        <w:bottom w:val="none" w:sz="0" w:space="0" w:color="auto"/>
        <w:right w:val="none" w:sz="0" w:space="0" w:color="auto"/>
      </w:divBdr>
    </w:div>
    <w:div w:id="1896507242">
      <w:bodyDiv w:val="1"/>
      <w:marLeft w:val="0"/>
      <w:marRight w:val="0"/>
      <w:marTop w:val="0"/>
      <w:marBottom w:val="0"/>
      <w:divBdr>
        <w:top w:val="none" w:sz="0" w:space="0" w:color="auto"/>
        <w:left w:val="none" w:sz="0" w:space="0" w:color="auto"/>
        <w:bottom w:val="none" w:sz="0" w:space="0" w:color="auto"/>
        <w:right w:val="none" w:sz="0" w:space="0" w:color="auto"/>
      </w:divBdr>
    </w:div>
    <w:div w:id="1896700635">
      <w:bodyDiv w:val="1"/>
      <w:marLeft w:val="0"/>
      <w:marRight w:val="0"/>
      <w:marTop w:val="0"/>
      <w:marBottom w:val="0"/>
      <w:divBdr>
        <w:top w:val="none" w:sz="0" w:space="0" w:color="auto"/>
        <w:left w:val="none" w:sz="0" w:space="0" w:color="auto"/>
        <w:bottom w:val="none" w:sz="0" w:space="0" w:color="auto"/>
        <w:right w:val="none" w:sz="0" w:space="0" w:color="auto"/>
      </w:divBdr>
    </w:div>
    <w:div w:id="1897737485">
      <w:bodyDiv w:val="1"/>
      <w:marLeft w:val="0"/>
      <w:marRight w:val="0"/>
      <w:marTop w:val="0"/>
      <w:marBottom w:val="0"/>
      <w:divBdr>
        <w:top w:val="none" w:sz="0" w:space="0" w:color="auto"/>
        <w:left w:val="none" w:sz="0" w:space="0" w:color="auto"/>
        <w:bottom w:val="none" w:sz="0" w:space="0" w:color="auto"/>
        <w:right w:val="none" w:sz="0" w:space="0" w:color="auto"/>
      </w:divBdr>
    </w:div>
    <w:div w:id="1897932098">
      <w:bodyDiv w:val="1"/>
      <w:marLeft w:val="0"/>
      <w:marRight w:val="0"/>
      <w:marTop w:val="0"/>
      <w:marBottom w:val="0"/>
      <w:divBdr>
        <w:top w:val="none" w:sz="0" w:space="0" w:color="auto"/>
        <w:left w:val="none" w:sz="0" w:space="0" w:color="auto"/>
        <w:bottom w:val="none" w:sz="0" w:space="0" w:color="auto"/>
        <w:right w:val="none" w:sz="0" w:space="0" w:color="auto"/>
      </w:divBdr>
    </w:div>
    <w:div w:id="1898540935">
      <w:bodyDiv w:val="1"/>
      <w:marLeft w:val="0"/>
      <w:marRight w:val="0"/>
      <w:marTop w:val="0"/>
      <w:marBottom w:val="0"/>
      <w:divBdr>
        <w:top w:val="none" w:sz="0" w:space="0" w:color="auto"/>
        <w:left w:val="none" w:sz="0" w:space="0" w:color="auto"/>
        <w:bottom w:val="none" w:sz="0" w:space="0" w:color="auto"/>
        <w:right w:val="none" w:sz="0" w:space="0" w:color="auto"/>
      </w:divBdr>
    </w:div>
    <w:div w:id="1899239977">
      <w:bodyDiv w:val="1"/>
      <w:marLeft w:val="0"/>
      <w:marRight w:val="0"/>
      <w:marTop w:val="0"/>
      <w:marBottom w:val="0"/>
      <w:divBdr>
        <w:top w:val="none" w:sz="0" w:space="0" w:color="auto"/>
        <w:left w:val="none" w:sz="0" w:space="0" w:color="auto"/>
        <w:bottom w:val="none" w:sz="0" w:space="0" w:color="auto"/>
        <w:right w:val="none" w:sz="0" w:space="0" w:color="auto"/>
      </w:divBdr>
    </w:div>
    <w:div w:id="1900048247">
      <w:bodyDiv w:val="1"/>
      <w:marLeft w:val="0"/>
      <w:marRight w:val="0"/>
      <w:marTop w:val="0"/>
      <w:marBottom w:val="0"/>
      <w:divBdr>
        <w:top w:val="none" w:sz="0" w:space="0" w:color="auto"/>
        <w:left w:val="none" w:sz="0" w:space="0" w:color="auto"/>
        <w:bottom w:val="none" w:sz="0" w:space="0" w:color="auto"/>
        <w:right w:val="none" w:sz="0" w:space="0" w:color="auto"/>
      </w:divBdr>
    </w:div>
    <w:div w:id="1900172229">
      <w:bodyDiv w:val="1"/>
      <w:marLeft w:val="0"/>
      <w:marRight w:val="0"/>
      <w:marTop w:val="0"/>
      <w:marBottom w:val="0"/>
      <w:divBdr>
        <w:top w:val="none" w:sz="0" w:space="0" w:color="auto"/>
        <w:left w:val="none" w:sz="0" w:space="0" w:color="auto"/>
        <w:bottom w:val="none" w:sz="0" w:space="0" w:color="auto"/>
        <w:right w:val="none" w:sz="0" w:space="0" w:color="auto"/>
      </w:divBdr>
    </w:div>
    <w:div w:id="1900246489">
      <w:bodyDiv w:val="1"/>
      <w:marLeft w:val="0"/>
      <w:marRight w:val="0"/>
      <w:marTop w:val="0"/>
      <w:marBottom w:val="0"/>
      <w:divBdr>
        <w:top w:val="none" w:sz="0" w:space="0" w:color="auto"/>
        <w:left w:val="none" w:sz="0" w:space="0" w:color="auto"/>
        <w:bottom w:val="none" w:sz="0" w:space="0" w:color="auto"/>
        <w:right w:val="none" w:sz="0" w:space="0" w:color="auto"/>
      </w:divBdr>
    </w:div>
    <w:div w:id="1900314150">
      <w:bodyDiv w:val="1"/>
      <w:marLeft w:val="0"/>
      <w:marRight w:val="0"/>
      <w:marTop w:val="0"/>
      <w:marBottom w:val="0"/>
      <w:divBdr>
        <w:top w:val="none" w:sz="0" w:space="0" w:color="auto"/>
        <w:left w:val="none" w:sz="0" w:space="0" w:color="auto"/>
        <w:bottom w:val="none" w:sz="0" w:space="0" w:color="auto"/>
        <w:right w:val="none" w:sz="0" w:space="0" w:color="auto"/>
      </w:divBdr>
    </w:div>
    <w:div w:id="1900364130">
      <w:bodyDiv w:val="1"/>
      <w:marLeft w:val="0"/>
      <w:marRight w:val="0"/>
      <w:marTop w:val="0"/>
      <w:marBottom w:val="0"/>
      <w:divBdr>
        <w:top w:val="none" w:sz="0" w:space="0" w:color="auto"/>
        <w:left w:val="none" w:sz="0" w:space="0" w:color="auto"/>
        <w:bottom w:val="none" w:sz="0" w:space="0" w:color="auto"/>
        <w:right w:val="none" w:sz="0" w:space="0" w:color="auto"/>
      </w:divBdr>
    </w:div>
    <w:div w:id="1900436040">
      <w:bodyDiv w:val="1"/>
      <w:marLeft w:val="0"/>
      <w:marRight w:val="0"/>
      <w:marTop w:val="0"/>
      <w:marBottom w:val="0"/>
      <w:divBdr>
        <w:top w:val="none" w:sz="0" w:space="0" w:color="auto"/>
        <w:left w:val="none" w:sz="0" w:space="0" w:color="auto"/>
        <w:bottom w:val="none" w:sz="0" w:space="0" w:color="auto"/>
        <w:right w:val="none" w:sz="0" w:space="0" w:color="auto"/>
      </w:divBdr>
    </w:div>
    <w:div w:id="1900558723">
      <w:bodyDiv w:val="1"/>
      <w:marLeft w:val="0"/>
      <w:marRight w:val="0"/>
      <w:marTop w:val="0"/>
      <w:marBottom w:val="0"/>
      <w:divBdr>
        <w:top w:val="none" w:sz="0" w:space="0" w:color="auto"/>
        <w:left w:val="none" w:sz="0" w:space="0" w:color="auto"/>
        <w:bottom w:val="none" w:sz="0" w:space="0" w:color="auto"/>
        <w:right w:val="none" w:sz="0" w:space="0" w:color="auto"/>
      </w:divBdr>
    </w:div>
    <w:div w:id="1901093446">
      <w:bodyDiv w:val="1"/>
      <w:marLeft w:val="0"/>
      <w:marRight w:val="0"/>
      <w:marTop w:val="0"/>
      <w:marBottom w:val="0"/>
      <w:divBdr>
        <w:top w:val="none" w:sz="0" w:space="0" w:color="auto"/>
        <w:left w:val="none" w:sz="0" w:space="0" w:color="auto"/>
        <w:bottom w:val="none" w:sz="0" w:space="0" w:color="auto"/>
        <w:right w:val="none" w:sz="0" w:space="0" w:color="auto"/>
      </w:divBdr>
    </w:div>
    <w:div w:id="1901135584">
      <w:bodyDiv w:val="1"/>
      <w:marLeft w:val="0"/>
      <w:marRight w:val="0"/>
      <w:marTop w:val="0"/>
      <w:marBottom w:val="0"/>
      <w:divBdr>
        <w:top w:val="none" w:sz="0" w:space="0" w:color="auto"/>
        <w:left w:val="none" w:sz="0" w:space="0" w:color="auto"/>
        <w:bottom w:val="none" w:sz="0" w:space="0" w:color="auto"/>
        <w:right w:val="none" w:sz="0" w:space="0" w:color="auto"/>
      </w:divBdr>
    </w:div>
    <w:div w:id="1901555344">
      <w:bodyDiv w:val="1"/>
      <w:marLeft w:val="0"/>
      <w:marRight w:val="0"/>
      <w:marTop w:val="0"/>
      <w:marBottom w:val="0"/>
      <w:divBdr>
        <w:top w:val="none" w:sz="0" w:space="0" w:color="auto"/>
        <w:left w:val="none" w:sz="0" w:space="0" w:color="auto"/>
        <w:bottom w:val="none" w:sz="0" w:space="0" w:color="auto"/>
        <w:right w:val="none" w:sz="0" w:space="0" w:color="auto"/>
      </w:divBdr>
    </w:div>
    <w:div w:id="1901667090">
      <w:bodyDiv w:val="1"/>
      <w:marLeft w:val="0"/>
      <w:marRight w:val="0"/>
      <w:marTop w:val="0"/>
      <w:marBottom w:val="0"/>
      <w:divBdr>
        <w:top w:val="none" w:sz="0" w:space="0" w:color="auto"/>
        <w:left w:val="none" w:sz="0" w:space="0" w:color="auto"/>
        <w:bottom w:val="none" w:sz="0" w:space="0" w:color="auto"/>
        <w:right w:val="none" w:sz="0" w:space="0" w:color="auto"/>
      </w:divBdr>
    </w:div>
    <w:div w:id="1901794079">
      <w:bodyDiv w:val="1"/>
      <w:marLeft w:val="0"/>
      <w:marRight w:val="0"/>
      <w:marTop w:val="0"/>
      <w:marBottom w:val="0"/>
      <w:divBdr>
        <w:top w:val="none" w:sz="0" w:space="0" w:color="auto"/>
        <w:left w:val="none" w:sz="0" w:space="0" w:color="auto"/>
        <w:bottom w:val="none" w:sz="0" w:space="0" w:color="auto"/>
        <w:right w:val="none" w:sz="0" w:space="0" w:color="auto"/>
      </w:divBdr>
    </w:div>
    <w:div w:id="1901938556">
      <w:bodyDiv w:val="1"/>
      <w:marLeft w:val="0"/>
      <w:marRight w:val="0"/>
      <w:marTop w:val="0"/>
      <w:marBottom w:val="0"/>
      <w:divBdr>
        <w:top w:val="none" w:sz="0" w:space="0" w:color="auto"/>
        <w:left w:val="none" w:sz="0" w:space="0" w:color="auto"/>
        <w:bottom w:val="none" w:sz="0" w:space="0" w:color="auto"/>
        <w:right w:val="none" w:sz="0" w:space="0" w:color="auto"/>
      </w:divBdr>
    </w:div>
    <w:div w:id="1902016382">
      <w:bodyDiv w:val="1"/>
      <w:marLeft w:val="0"/>
      <w:marRight w:val="0"/>
      <w:marTop w:val="0"/>
      <w:marBottom w:val="0"/>
      <w:divBdr>
        <w:top w:val="none" w:sz="0" w:space="0" w:color="auto"/>
        <w:left w:val="none" w:sz="0" w:space="0" w:color="auto"/>
        <w:bottom w:val="none" w:sz="0" w:space="0" w:color="auto"/>
        <w:right w:val="none" w:sz="0" w:space="0" w:color="auto"/>
      </w:divBdr>
    </w:div>
    <w:div w:id="1902405934">
      <w:bodyDiv w:val="1"/>
      <w:marLeft w:val="0"/>
      <w:marRight w:val="0"/>
      <w:marTop w:val="0"/>
      <w:marBottom w:val="0"/>
      <w:divBdr>
        <w:top w:val="none" w:sz="0" w:space="0" w:color="auto"/>
        <w:left w:val="none" w:sz="0" w:space="0" w:color="auto"/>
        <w:bottom w:val="none" w:sz="0" w:space="0" w:color="auto"/>
        <w:right w:val="none" w:sz="0" w:space="0" w:color="auto"/>
      </w:divBdr>
    </w:div>
    <w:div w:id="1902520317">
      <w:bodyDiv w:val="1"/>
      <w:marLeft w:val="0"/>
      <w:marRight w:val="0"/>
      <w:marTop w:val="0"/>
      <w:marBottom w:val="0"/>
      <w:divBdr>
        <w:top w:val="none" w:sz="0" w:space="0" w:color="auto"/>
        <w:left w:val="none" w:sz="0" w:space="0" w:color="auto"/>
        <w:bottom w:val="none" w:sz="0" w:space="0" w:color="auto"/>
        <w:right w:val="none" w:sz="0" w:space="0" w:color="auto"/>
      </w:divBdr>
    </w:div>
    <w:div w:id="1903175024">
      <w:bodyDiv w:val="1"/>
      <w:marLeft w:val="0"/>
      <w:marRight w:val="0"/>
      <w:marTop w:val="0"/>
      <w:marBottom w:val="0"/>
      <w:divBdr>
        <w:top w:val="none" w:sz="0" w:space="0" w:color="auto"/>
        <w:left w:val="none" w:sz="0" w:space="0" w:color="auto"/>
        <w:bottom w:val="none" w:sz="0" w:space="0" w:color="auto"/>
        <w:right w:val="none" w:sz="0" w:space="0" w:color="auto"/>
      </w:divBdr>
    </w:div>
    <w:div w:id="1903175352">
      <w:bodyDiv w:val="1"/>
      <w:marLeft w:val="0"/>
      <w:marRight w:val="0"/>
      <w:marTop w:val="0"/>
      <w:marBottom w:val="0"/>
      <w:divBdr>
        <w:top w:val="none" w:sz="0" w:space="0" w:color="auto"/>
        <w:left w:val="none" w:sz="0" w:space="0" w:color="auto"/>
        <w:bottom w:val="none" w:sz="0" w:space="0" w:color="auto"/>
        <w:right w:val="none" w:sz="0" w:space="0" w:color="auto"/>
      </w:divBdr>
    </w:div>
    <w:div w:id="1903325687">
      <w:bodyDiv w:val="1"/>
      <w:marLeft w:val="0"/>
      <w:marRight w:val="0"/>
      <w:marTop w:val="0"/>
      <w:marBottom w:val="0"/>
      <w:divBdr>
        <w:top w:val="none" w:sz="0" w:space="0" w:color="auto"/>
        <w:left w:val="none" w:sz="0" w:space="0" w:color="auto"/>
        <w:bottom w:val="none" w:sz="0" w:space="0" w:color="auto"/>
        <w:right w:val="none" w:sz="0" w:space="0" w:color="auto"/>
      </w:divBdr>
    </w:div>
    <w:div w:id="1903560448">
      <w:bodyDiv w:val="1"/>
      <w:marLeft w:val="0"/>
      <w:marRight w:val="0"/>
      <w:marTop w:val="0"/>
      <w:marBottom w:val="0"/>
      <w:divBdr>
        <w:top w:val="none" w:sz="0" w:space="0" w:color="auto"/>
        <w:left w:val="none" w:sz="0" w:space="0" w:color="auto"/>
        <w:bottom w:val="none" w:sz="0" w:space="0" w:color="auto"/>
        <w:right w:val="none" w:sz="0" w:space="0" w:color="auto"/>
      </w:divBdr>
    </w:div>
    <w:div w:id="1903641368">
      <w:bodyDiv w:val="1"/>
      <w:marLeft w:val="0"/>
      <w:marRight w:val="0"/>
      <w:marTop w:val="0"/>
      <w:marBottom w:val="0"/>
      <w:divBdr>
        <w:top w:val="none" w:sz="0" w:space="0" w:color="auto"/>
        <w:left w:val="none" w:sz="0" w:space="0" w:color="auto"/>
        <w:bottom w:val="none" w:sz="0" w:space="0" w:color="auto"/>
        <w:right w:val="none" w:sz="0" w:space="0" w:color="auto"/>
      </w:divBdr>
    </w:div>
    <w:div w:id="1903830481">
      <w:bodyDiv w:val="1"/>
      <w:marLeft w:val="0"/>
      <w:marRight w:val="0"/>
      <w:marTop w:val="0"/>
      <w:marBottom w:val="0"/>
      <w:divBdr>
        <w:top w:val="none" w:sz="0" w:space="0" w:color="auto"/>
        <w:left w:val="none" w:sz="0" w:space="0" w:color="auto"/>
        <w:bottom w:val="none" w:sz="0" w:space="0" w:color="auto"/>
        <w:right w:val="none" w:sz="0" w:space="0" w:color="auto"/>
      </w:divBdr>
    </w:div>
    <w:div w:id="1903903179">
      <w:bodyDiv w:val="1"/>
      <w:marLeft w:val="0"/>
      <w:marRight w:val="0"/>
      <w:marTop w:val="0"/>
      <w:marBottom w:val="0"/>
      <w:divBdr>
        <w:top w:val="none" w:sz="0" w:space="0" w:color="auto"/>
        <w:left w:val="none" w:sz="0" w:space="0" w:color="auto"/>
        <w:bottom w:val="none" w:sz="0" w:space="0" w:color="auto"/>
        <w:right w:val="none" w:sz="0" w:space="0" w:color="auto"/>
      </w:divBdr>
    </w:div>
    <w:div w:id="1904174450">
      <w:bodyDiv w:val="1"/>
      <w:marLeft w:val="0"/>
      <w:marRight w:val="0"/>
      <w:marTop w:val="0"/>
      <w:marBottom w:val="0"/>
      <w:divBdr>
        <w:top w:val="none" w:sz="0" w:space="0" w:color="auto"/>
        <w:left w:val="none" w:sz="0" w:space="0" w:color="auto"/>
        <w:bottom w:val="none" w:sz="0" w:space="0" w:color="auto"/>
        <w:right w:val="none" w:sz="0" w:space="0" w:color="auto"/>
      </w:divBdr>
    </w:div>
    <w:div w:id="1904174575">
      <w:bodyDiv w:val="1"/>
      <w:marLeft w:val="0"/>
      <w:marRight w:val="0"/>
      <w:marTop w:val="0"/>
      <w:marBottom w:val="0"/>
      <w:divBdr>
        <w:top w:val="none" w:sz="0" w:space="0" w:color="auto"/>
        <w:left w:val="none" w:sz="0" w:space="0" w:color="auto"/>
        <w:bottom w:val="none" w:sz="0" w:space="0" w:color="auto"/>
        <w:right w:val="none" w:sz="0" w:space="0" w:color="auto"/>
      </w:divBdr>
    </w:div>
    <w:div w:id="1904484283">
      <w:bodyDiv w:val="1"/>
      <w:marLeft w:val="0"/>
      <w:marRight w:val="0"/>
      <w:marTop w:val="0"/>
      <w:marBottom w:val="0"/>
      <w:divBdr>
        <w:top w:val="none" w:sz="0" w:space="0" w:color="auto"/>
        <w:left w:val="none" w:sz="0" w:space="0" w:color="auto"/>
        <w:bottom w:val="none" w:sz="0" w:space="0" w:color="auto"/>
        <w:right w:val="none" w:sz="0" w:space="0" w:color="auto"/>
      </w:divBdr>
    </w:div>
    <w:div w:id="1904558927">
      <w:bodyDiv w:val="1"/>
      <w:marLeft w:val="0"/>
      <w:marRight w:val="0"/>
      <w:marTop w:val="0"/>
      <w:marBottom w:val="0"/>
      <w:divBdr>
        <w:top w:val="none" w:sz="0" w:space="0" w:color="auto"/>
        <w:left w:val="none" w:sz="0" w:space="0" w:color="auto"/>
        <w:bottom w:val="none" w:sz="0" w:space="0" w:color="auto"/>
        <w:right w:val="none" w:sz="0" w:space="0" w:color="auto"/>
      </w:divBdr>
    </w:div>
    <w:div w:id="1904563389">
      <w:bodyDiv w:val="1"/>
      <w:marLeft w:val="0"/>
      <w:marRight w:val="0"/>
      <w:marTop w:val="0"/>
      <w:marBottom w:val="0"/>
      <w:divBdr>
        <w:top w:val="none" w:sz="0" w:space="0" w:color="auto"/>
        <w:left w:val="none" w:sz="0" w:space="0" w:color="auto"/>
        <w:bottom w:val="none" w:sz="0" w:space="0" w:color="auto"/>
        <w:right w:val="none" w:sz="0" w:space="0" w:color="auto"/>
      </w:divBdr>
    </w:div>
    <w:div w:id="1905020123">
      <w:bodyDiv w:val="1"/>
      <w:marLeft w:val="0"/>
      <w:marRight w:val="0"/>
      <w:marTop w:val="0"/>
      <w:marBottom w:val="0"/>
      <w:divBdr>
        <w:top w:val="none" w:sz="0" w:space="0" w:color="auto"/>
        <w:left w:val="none" w:sz="0" w:space="0" w:color="auto"/>
        <w:bottom w:val="none" w:sz="0" w:space="0" w:color="auto"/>
        <w:right w:val="none" w:sz="0" w:space="0" w:color="auto"/>
      </w:divBdr>
    </w:div>
    <w:div w:id="1905294101">
      <w:bodyDiv w:val="1"/>
      <w:marLeft w:val="0"/>
      <w:marRight w:val="0"/>
      <w:marTop w:val="0"/>
      <w:marBottom w:val="0"/>
      <w:divBdr>
        <w:top w:val="none" w:sz="0" w:space="0" w:color="auto"/>
        <w:left w:val="none" w:sz="0" w:space="0" w:color="auto"/>
        <w:bottom w:val="none" w:sz="0" w:space="0" w:color="auto"/>
        <w:right w:val="none" w:sz="0" w:space="0" w:color="auto"/>
      </w:divBdr>
    </w:div>
    <w:div w:id="1905526560">
      <w:bodyDiv w:val="1"/>
      <w:marLeft w:val="0"/>
      <w:marRight w:val="0"/>
      <w:marTop w:val="0"/>
      <w:marBottom w:val="0"/>
      <w:divBdr>
        <w:top w:val="none" w:sz="0" w:space="0" w:color="auto"/>
        <w:left w:val="none" w:sz="0" w:space="0" w:color="auto"/>
        <w:bottom w:val="none" w:sz="0" w:space="0" w:color="auto"/>
        <w:right w:val="none" w:sz="0" w:space="0" w:color="auto"/>
      </w:divBdr>
    </w:div>
    <w:div w:id="1906182310">
      <w:bodyDiv w:val="1"/>
      <w:marLeft w:val="0"/>
      <w:marRight w:val="0"/>
      <w:marTop w:val="0"/>
      <w:marBottom w:val="0"/>
      <w:divBdr>
        <w:top w:val="none" w:sz="0" w:space="0" w:color="auto"/>
        <w:left w:val="none" w:sz="0" w:space="0" w:color="auto"/>
        <w:bottom w:val="none" w:sz="0" w:space="0" w:color="auto"/>
        <w:right w:val="none" w:sz="0" w:space="0" w:color="auto"/>
      </w:divBdr>
    </w:div>
    <w:div w:id="1906530159">
      <w:bodyDiv w:val="1"/>
      <w:marLeft w:val="0"/>
      <w:marRight w:val="0"/>
      <w:marTop w:val="0"/>
      <w:marBottom w:val="0"/>
      <w:divBdr>
        <w:top w:val="none" w:sz="0" w:space="0" w:color="auto"/>
        <w:left w:val="none" w:sz="0" w:space="0" w:color="auto"/>
        <w:bottom w:val="none" w:sz="0" w:space="0" w:color="auto"/>
        <w:right w:val="none" w:sz="0" w:space="0" w:color="auto"/>
      </w:divBdr>
    </w:div>
    <w:div w:id="1906721406">
      <w:bodyDiv w:val="1"/>
      <w:marLeft w:val="0"/>
      <w:marRight w:val="0"/>
      <w:marTop w:val="0"/>
      <w:marBottom w:val="0"/>
      <w:divBdr>
        <w:top w:val="none" w:sz="0" w:space="0" w:color="auto"/>
        <w:left w:val="none" w:sz="0" w:space="0" w:color="auto"/>
        <w:bottom w:val="none" w:sz="0" w:space="0" w:color="auto"/>
        <w:right w:val="none" w:sz="0" w:space="0" w:color="auto"/>
      </w:divBdr>
    </w:div>
    <w:div w:id="1906866771">
      <w:bodyDiv w:val="1"/>
      <w:marLeft w:val="0"/>
      <w:marRight w:val="0"/>
      <w:marTop w:val="0"/>
      <w:marBottom w:val="0"/>
      <w:divBdr>
        <w:top w:val="none" w:sz="0" w:space="0" w:color="auto"/>
        <w:left w:val="none" w:sz="0" w:space="0" w:color="auto"/>
        <w:bottom w:val="none" w:sz="0" w:space="0" w:color="auto"/>
        <w:right w:val="none" w:sz="0" w:space="0" w:color="auto"/>
      </w:divBdr>
    </w:div>
    <w:div w:id="1907297693">
      <w:bodyDiv w:val="1"/>
      <w:marLeft w:val="0"/>
      <w:marRight w:val="0"/>
      <w:marTop w:val="0"/>
      <w:marBottom w:val="0"/>
      <w:divBdr>
        <w:top w:val="none" w:sz="0" w:space="0" w:color="auto"/>
        <w:left w:val="none" w:sz="0" w:space="0" w:color="auto"/>
        <w:bottom w:val="none" w:sz="0" w:space="0" w:color="auto"/>
        <w:right w:val="none" w:sz="0" w:space="0" w:color="auto"/>
      </w:divBdr>
    </w:div>
    <w:div w:id="1907299186">
      <w:bodyDiv w:val="1"/>
      <w:marLeft w:val="0"/>
      <w:marRight w:val="0"/>
      <w:marTop w:val="0"/>
      <w:marBottom w:val="0"/>
      <w:divBdr>
        <w:top w:val="none" w:sz="0" w:space="0" w:color="auto"/>
        <w:left w:val="none" w:sz="0" w:space="0" w:color="auto"/>
        <w:bottom w:val="none" w:sz="0" w:space="0" w:color="auto"/>
        <w:right w:val="none" w:sz="0" w:space="0" w:color="auto"/>
      </w:divBdr>
    </w:div>
    <w:div w:id="1907913058">
      <w:bodyDiv w:val="1"/>
      <w:marLeft w:val="0"/>
      <w:marRight w:val="0"/>
      <w:marTop w:val="0"/>
      <w:marBottom w:val="0"/>
      <w:divBdr>
        <w:top w:val="none" w:sz="0" w:space="0" w:color="auto"/>
        <w:left w:val="none" w:sz="0" w:space="0" w:color="auto"/>
        <w:bottom w:val="none" w:sz="0" w:space="0" w:color="auto"/>
        <w:right w:val="none" w:sz="0" w:space="0" w:color="auto"/>
      </w:divBdr>
    </w:div>
    <w:div w:id="1908373106">
      <w:bodyDiv w:val="1"/>
      <w:marLeft w:val="0"/>
      <w:marRight w:val="0"/>
      <w:marTop w:val="0"/>
      <w:marBottom w:val="0"/>
      <w:divBdr>
        <w:top w:val="none" w:sz="0" w:space="0" w:color="auto"/>
        <w:left w:val="none" w:sz="0" w:space="0" w:color="auto"/>
        <w:bottom w:val="none" w:sz="0" w:space="0" w:color="auto"/>
        <w:right w:val="none" w:sz="0" w:space="0" w:color="auto"/>
      </w:divBdr>
    </w:div>
    <w:div w:id="1908420440">
      <w:bodyDiv w:val="1"/>
      <w:marLeft w:val="0"/>
      <w:marRight w:val="0"/>
      <w:marTop w:val="0"/>
      <w:marBottom w:val="0"/>
      <w:divBdr>
        <w:top w:val="none" w:sz="0" w:space="0" w:color="auto"/>
        <w:left w:val="none" w:sz="0" w:space="0" w:color="auto"/>
        <w:bottom w:val="none" w:sz="0" w:space="0" w:color="auto"/>
        <w:right w:val="none" w:sz="0" w:space="0" w:color="auto"/>
      </w:divBdr>
    </w:div>
    <w:div w:id="1908487818">
      <w:bodyDiv w:val="1"/>
      <w:marLeft w:val="0"/>
      <w:marRight w:val="0"/>
      <w:marTop w:val="0"/>
      <w:marBottom w:val="0"/>
      <w:divBdr>
        <w:top w:val="none" w:sz="0" w:space="0" w:color="auto"/>
        <w:left w:val="none" w:sz="0" w:space="0" w:color="auto"/>
        <w:bottom w:val="none" w:sz="0" w:space="0" w:color="auto"/>
        <w:right w:val="none" w:sz="0" w:space="0" w:color="auto"/>
      </w:divBdr>
    </w:div>
    <w:div w:id="1908569343">
      <w:bodyDiv w:val="1"/>
      <w:marLeft w:val="0"/>
      <w:marRight w:val="0"/>
      <w:marTop w:val="0"/>
      <w:marBottom w:val="0"/>
      <w:divBdr>
        <w:top w:val="none" w:sz="0" w:space="0" w:color="auto"/>
        <w:left w:val="none" w:sz="0" w:space="0" w:color="auto"/>
        <w:bottom w:val="none" w:sz="0" w:space="0" w:color="auto"/>
        <w:right w:val="none" w:sz="0" w:space="0" w:color="auto"/>
      </w:divBdr>
    </w:div>
    <w:div w:id="1909267878">
      <w:bodyDiv w:val="1"/>
      <w:marLeft w:val="0"/>
      <w:marRight w:val="0"/>
      <w:marTop w:val="0"/>
      <w:marBottom w:val="0"/>
      <w:divBdr>
        <w:top w:val="none" w:sz="0" w:space="0" w:color="auto"/>
        <w:left w:val="none" w:sz="0" w:space="0" w:color="auto"/>
        <w:bottom w:val="none" w:sz="0" w:space="0" w:color="auto"/>
        <w:right w:val="none" w:sz="0" w:space="0" w:color="auto"/>
      </w:divBdr>
    </w:div>
    <w:div w:id="1909345936">
      <w:bodyDiv w:val="1"/>
      <w:marLeft w:val="0"/>
      <w:marRight w:val="0"/>
      <w:marTop w:val="0"/>
      <w:marBottom w:val="0"/>
      <w:divBdr>
        <w:top w:val="none" w:sz="0" w:space="0" w:color="auto"/>
        <w:left w:val="none" w:sz="0" w:space="0" w:color="auto"/>
        <w:bottom w:val="none" w:sz="0" w:space="0" w:color="auto"/>
        <w:right w:val="none" w:sz="0" w:space="0" w:color="auto"/>
      </w:divBdr>
    </w:div>
    <w:div w:id="1909533095">
      <w:bodyDiv w:val="1"/>
      <w:marLeft w:val="0"/>
      <w:marRight w:val="0"/>
      <w:marTop w:val="0"/>
      <w:marBottom w:val="0"/>
      <w:divBdr>
        <w:top w:val="none" w:sz="0" w:space="0" w:color="auto"/>
        <w:left w:val="none" w:sz="0" w:space="0" w:color="auto"/>
        <w:bottom w:val="none" w:sz="0" w:space="0" w:color="auto"/>
        <w:right w:val="none" w:sz="0" w:space="0" w:color="auto"/>
      </w:divBdr>
    </w:div>
    <w:div w:id="1909879200">
      <w:bodyDiv w:val="1"/>
      <w:marLeft w:val="0"/>
      <w:marRight w:val="0"/>
      <w:marTop w:val="0"/>
      <w:marBottom w:val="0"/>
      <w:divBdr>
        <w:top w:val="none" w:sz="0" w:space="0" w:color="auto"/>
        <w:left w:val="none" w:sz="0" w:space="0" w:color="auto"/>
        <w:bottom w:val="none" w:sz="0" w:space="0" w:color="auto"/>
        <w:right w:val="none" w:sz="0" w:space="0" w:color="auto"/>
      </w:divBdr>
    </w:div>
    <w:div w:id="1909992655">
      <w:bodyDiv w:val="1"/>
      <w:marLeft w:val="0"/>
      <w:marRight w:val="0"/>
      <w:marTop w:val="0"/>
      <w:marBottom w:val="0"/>
      <w:divBdr>
        <w:top w:val="none" w:sz="0" w:space="0" w:color="auto"/>
        <w:left w:val="none" w:sz="0" w:space="0" w:color="auto"/>
        <w:bottom w:val="none" w:sz="0" w:space="0" w:color="auto"/>
        <w:right w:val="none" w:sz="0" w:space="0" w:color="auto"/>
      </w:divBdr>
    </w:div>
    <w:div w:id="1910076401">
      <w:bodyDiv w:val="1"/>
      <w:marLeft w:val="0"/>
      <w:marRight w:val="0"/>
      <w:marTop w:val="0"/>
      <w:marBottom w:val="0"/>
      <w:divBdr>
        <w:top w:val="none" w:sz="0" w:space="0" w:color="auto"/>
        <w:left w:val="none" w:sz="0" w:space="0" w:color="auto"/>
        <w:bottom w:val="none" w:sz="0" w:space="0" w:color="auto"/>
        <w:right w:val="none" w:sz="0" w:space="0" w:color="auto"/>
      </w:divBdr>
    </w:div>
    <w:div w:id="1910337573">
      <w:bodyDiv w:val="1"/>
      <w:marLeft w:val="0"/>
      <w:marRight w:val="0"/>
      <w:marTop w:val="0"/>
      <w:marBottom w:val="0"/>
      <w:divBdr>
        <w:top w:val="none" w:sz="0" w:space="0" w:color="auto"/>
        <w:left w:val="none" w:sz="0" w:space="0" w:color="auto"/>
        <w:bottom w:val="none" w:sz="0" w:space="0" w:color="auto"/>
        <w:right w:val="none" w:sz="0" w:space="0" w:color="auto"/>
      </w:divBdr>
    </w:div>
    <w:div w:id="1910462060">
      <w:bodyDiv w:val="1"/>
      <w:marLeft w:val="0"/>
      <w:marRight w:val="0"/>
      <w:marTop w:val="0"/>
      <w:marBottom w:val="0"/>
      <w:divBdr>
        <w:top w:val="none" w:sz="0" w:space="0" w:color="auto"/>
        <w:left w:val="none" w:sz="0" w:space="0" w:color="auto"/>
        <w:bottom w:val="none" w:sz="0" w:space="0" w:color="auto"/>
        <w:right w:val="none" w:sz="0" w:space="0" w:color="auto"/>
      </w:divBdr>
    </w:div>
    <w:div w:id="1911498388">
      <w:bodyDiv w:val="1"/>
      <w:marLeft w:val="0"/>
      <w:marRight w:val="0"/>
      <w:marTop w:val="0"/>
      <w:marBottom w:val="0"/>
      <w:divBdr>
        <w:top w:val="none" w:sz="0" w:space="0" w:color="auto"/>
        <w:left w:val="none" w:sz="0" w:space="0" w:color="auto"/>
        <w:bottom w:val="none" w:sz="0" w:space="0" w:color="auto"/>
        <w:right w:val="none" w:sz="0" w:space="0" w:color="auto"/>
      </w:divBdr>
    </w:div>
    <w:div w:id="1911504558">
      <w:bodyDiv w:val="1"/>
      <w:marLeft w:val="0"/>
      <w:marRight w:val="0"/>
      <w:marTop w:val="0"/>
      <w:marBottom w:val="0"/>
      <w:divBdr>
        <w:top w:val="none" w:sz="0" w:space="0" w:color="auto"/>
        <w:left w:val="none" w:sz="0" w:space="0" w:color="auto"/>
        <w:bottom w:val="none" w:sz="0" w:space="0" w:color="auto"/>
        <w:right w:val="none" w:sz="0" w:space="0" w:color="auto"/>
      </w:divBdr>
    </w:div>
    <w:div w:id="1911647962">
      <w:bodyDiv w:val="1"/>
      <w:marLeft w:val="0"/>
      <w:marRight w:val="0"/>
      <w:marTop w:val="0"/>
      <w:marBottom w:val="0"/>
      <w:divBdr>
        <w:top w:val="none" w:sz="0" w:space="0" w:color="auto"/>
        <w:left w:val="none" w:sz="0" w:space="0" w:color="auto"/>
        <w:bottom w:val="none" w:sz="0" w:space="0" w:color="auto"/>
        <w:right w:val="none" w:sz="0" w:space="0" w:color="auto"/>
      </w:divBdr>
    </w:div>
    <w:div w:id="1911963012">
      <w:bodyDiv w:val="1"/>
      <w:marLeft w:val="0"/>
      <w:marRight w:val="0"/>
      <w:marTop w:val="0"/>
      <w:marBottom w:val="0"/>
      <w:divBdr>
        <w:top w:val="none" w:sz="0" w:space="0" w:color="auto"/>
        <w:left w:val="none" w:sz="0" w:space="0" w:color="auto"/>
        <w:bottom w:val="none" w:sz="0" w:space="0" w:color="auto"/>
        <w:right w:val="none" w:sz="0" w:space="0" w:color="auto"/>
      </w:divBdr>
    </w:div>
    <w:div w:id="1912036217">
      <w:bodyDiv w:val="1"/>
      <w:marLeft w:val="0"/>
      <w:marRight w:val="0"/>
      <w:marTop w:val="0"/>
      <w:marBottom w:val="0"/>
      <w:divBdr>
        <w:top w:val="none" w:sz="0" w:space="0" w:color="auto"/>
        <w:left w:val="none" w:sz="0" w:space="0" w:color="auto"/>
        <w:bottom w:val="none" w:sz="0" w:space="0" w:color="auto"/>
        <w:right w:val="none" w:sz="0" w:space="0" w:color="auto"/>
      </w:divBdr>
    </w:div>
    <w:div w:id="1912502410">
      <w:bodyDiv w:val="1"/>
      <w:marLeft w:val="0"/>
      <w:marRight w:val="0"/>
      <w:marTop w:val="0"/>
      <w:marBottom w:val="0"/>
      <w:divBdr>
        <w:top w:val="none" w:sz="0" w:space="0" w:color="auto"/>
        <w:left w:val="none" w:sz="0" w:space="0" w:color="auto"/>
        <w:bottom w:val="none" w:sz="0" w:space="0" w:color="auto"/>
        <w:right w:val="none" w:sz="0" w:space="0" w:color="auto"/>
      </w:divBdr>
    </w:div>
    <w:div w:id="1912692045">
      <w:bodyDiv w:val="1"/>
      <w:marLeft w:val="0"/>
      <w:marRight w:val="0"/>
      <w:marTop w:val="0"/>
      <w:marBottom w:val="0"/>
      <w:divBdr>
        <w:top w:val="none" w:sz="0" w:space="0" w:color="auto"/>
        <w:left w:val="none" w:sz="0" w:space="0" w:color="auto"/>
        <w:bottom w:val="none" w:sz="0" w:space="0" w:color="auto"/>
        <w:right w:val="none" w:sz="0" w:space="0" w:color="auto"/>
      </w:divBdr>
    </w:div>
    <w:div w:id="1912692833">
      <w:bodyDiv w:val="1"/>
      <w:marLeft w:val="0"/>
      <w:marRight w:val="0"/>
      <w:marTop w:val="0"/>
      <w:marBottom w:val="0"/>
      <w:divBdr>
        <w:top w:val="none" w:sz="0" w:space="0" w:color="auto"/>
        <w:left w:val="none" w:sz="0" w:space="0" w:color="auto"/>
        <w:bottom w:val="none" w:sz="0" w:space="0" w:color="auto"/>
        <w:right w:val="none" w:sz="0" w:space="0" w:color="auto"/>
      </w:divBdr>
    </w:div>
    <w:div w:id="1913155641">
      <w:bodyDiv w:val="1"/>
      <w:marLeft w:val="0"/>
      <w:marRight w:val="0"/>
      <w:marTop w:val="0"/>
      <w:marBottom w:val="0"/>
      <w:divBdr>
        <w:top w:val="none" w:sz="0" w:space="0" w:color="auto"/>
        <w:left w:val="none" w:sz="0" w:space="0" w:color="auto"/>
        <w:bottom w:val="none" w:sz="0" w:space="0" w:color="auto"/>
        <w:right w:val="none" w:sz="0" w:space="0" w:color="auto"/>
      </w:divBdr>
    </w:div>
    <w:div w:id="1913350138">
      <w:bodyDiv w:val="1"/>
      <w:marLeft w:val="0"/>
      <w:marRight w:val="0"/>
      <w:marTop w:val="0"/>
      <w:marBottom w:val="0"/>
      <w:divBdr>
        <w:top w:val="none" w:sz="0" w:space="0" w:color="auto"/>
        <w:left w:val="none" w:sz="0" w:space="0" w:color="auto"/>
        <w:bottom w:val="none" w:sz="0" w:space="0" w:color="auto"/>
        <w:right w:val="none" w:sz="0" w:space="0" w:color="auto"/>
      </w:divBdr>
    </w:div>
    <w:div w:id="1913734890">
      <w:bodyDiv w:val="1"/>
      <w:marLeft w:val="0"/>
      <w:marRight w:val="0"/>
      <w:marTop w:val="0"/>
      <w:marBottom w:val="0"/>
      <w:divBdr>
        <w:top w:val="none" w:sz="0" w:space="0" w:color="auto"/>
        <w:left w:val="none" w:sz="0" w:space="0" w:color="auto"/>
        <w:bottom w:val="none" w:sz="0" w:space="0" w:color="auto"/>
        <w:right w:val="none" w:sz="0" w:space="0" w:color="auto"/>
      </w:divBdr>
    </w:div>
    <w:div w:id="1913807327">
      <w:bodyDiv w:val="1"/>
      <w:marLeft w:val="0"/>
      <w:marRight w:val="0"/>
      <w:marTop w:val="0"/>
      <w:marBottom w:val="0"/>
      <w:divBdr>
        <w:top w:val="none" w:sz="0" w:space="0" w:color="auto"/>
        <w:left w:val="none" w:sz="0" w:space="0" w:color="auto"/>
        <w:bottom w:val="none" w:sz="0" w:space="0" w:color="auto"/>
        <w:right w:val="none" w:sz="0" w:space="0" w:color="auto"/>
      </w:divBdr>
    </w:div>
    <w:div w:id="1913855944">
      <w:bodyDiv w:val="1"/>
      <w:marLeft w:val="0"/>
      <w:marRight w:val="0"/>
      <w:marTop w:val="0"/>
      <w:marBottom w:val="0"/>
      <w:divBdr>
        <w:top w:val="none" w:sz="0" w:space="0" w:color="auto"/>
        <w:left w:val="none" w:sz="0" w:space="0" w:color="auto"/>
        <w:bottom w:val="none" w:sz="0" w:space="0" w:color="auto"/>
        <w:right w:val="none" w:sz="0" w:space="0" w:color="auto"/>
      </w:divBdr>
    </w:div>
    <w:div w:id="1913931356">
      <w:bodyDiv w:val="1"/>
      <w:marLeft w:val="0"/>
      <w:marRight w:val="0"/>
      <w:marTop w:val="0"/>
      <w:marBottom w:val="0"/>
      <w:divBdr>
        <w:top w:val="none" w:sz="0" w:space="0" w:color="auto"/>
        <w:left w:val="none" w:sz="0" w:space="0" w:color="auto"/>
        <w:bottom w:val="none" w:sz="0" w:space="0" w:color="auto"/>
        <w:right w:val="none" w:sz="0" w:space="0" w:color="auto"/>
      </w:divBdr>
    </w:div>
    <w:div w:id="1914123989">
      <w:bodyDiv w:val="1"/>
      <w:marLeft w:val="0"/>
      <w:marRight w:val="0"/>
      <w:marTop w:val="0"/>
      <w:marBottom w:val="0"/>
      <w:divBdr>
        <w:top w:val="none" w:sz="0" w:space="0" w:color="auto"/>
        <w:left w:val="none" w:sz="0" w:space="0" w:color="auto"/>
        <w:bottom w:val="none" w:sz="0" w:space="0" w:color="auto"/>
        <w:right w:val="none" w:sz="0" w:space="0" w:color="auto"/>
      </w:divBdr>
    </w:div>
    <w:div w:id="1914270153">
      <w:bodyDiv w:val="1"/>
      <w:marLeft w:val="0"/>
      <w:marRight w:val="0"/>
      <w:marTop w:val="0"/>
      <w:marBottom w:val="0"/>
      <w:divBdr>
        <w:top w:val="none" w:sz="0" w:space="0" w:color="auto"/>
        <w:left w:val="none" w:sz="0" w:space="0" w:color="auto"/>
        <w:bottom w:val="none" w:sz="0" w:space="0" w:color="auto"/>
        <w:right w:val="none" w:sz="0" w:space="0" w:color="auto"/>
      </w:divBdr>
    </w:div>
    <w:div w:id="1916012148">
      <w:bodyDiv w:val="1"/>
      <w:marLeft w:val="0"/>
      <w:marRight w:val="0"/>
      <w:marTop w:val="0"/>
      <w:marBottom w:val="0"/>
      <w:divBdr>
        <w:top w:val="none" w:sz="0" w:space="0" w:color="auto"/>
        <w:left w:val="none" w:sz="0" w:space="0" w:color="auto"/>
        <w:bottom w:val="none" w:sz="0" w:space="0" w:color="auto"/>
        <w:right w:val="none" w:sz="0" w:space="0" w:color="auto"/>
      </w:divBdr>
    </w:div>
    <w:div w:id="1916621217">
      <w:bodyDiv w:val="1"/>
      <w:marLeft w:val="0"/>
      <w:marRight w:val="0"/>
      <w:marTop w:val="0"/>
      <w:marBottom w:val="0"/>
      <w:divBdr>
        <w:top w:val="none" w:sz="0" w:space="0" w:color="auto"/>
        <w:left w:val="none" w:sz="0" w:space="0" w:color="auto"/>
        <w:bottom w:val="none" w:sz="0" w:space="0" w:color="auto"/>
        <w:right w:val="none" w:sz="0" w:space="0" w:color="auto"/>
      </w:divBdr>
    </w:div>
    <w:div w:id="1917083018">
      <w:bodyDiv w:val="1"/>
      <w:marLeft w:val="0"/>
      <w:marRight w:val="0"/>
      <w:marTop w:val="0"/>
      <w:marBottom w:val="0"/>
      <w:divBdr>
        <w:top w:val="none" w:sz="0" w:space="0" w:color="auto"/>
        <w:left w:val="none" w:sz="0" w:space="0" w:color="auto"/>
        <w:bottom w:val="none" w:sz="0" w:space="0" w:color="auto"/>
        <w:right w:val="none" w:sz="0" w:space="0" w:color="auto"/>
      </w:divBdr>
    </w:div>
    <w:div w:id="1917127136">
      <w:bodyDiv w:val="1"/>
      <w:marLeft w:val="0"/>
      <w:marRight w:val="0"/>
      <w:marTop w:val="0"/>
      <w:marBottom w:val="0"/>
      <w:divBdr>
        <w:top w:val="none" w:sz="0" w:space="0" w:color="auto"/>
        <w:left w:val="none" w:sz="0" w:space="0" w:color="auto"/>
        <w:bottom w:val="none" w:sz="0" w:space="0" w:color="auto"/>
        <w:right w:val="none" w:sz="0" w:space="0" w:color="auto"/>
      </w:divBdr>
    </w:div>
    <w:div w:id="1917207418">
      <w:bodyDiv w:val="1"/>
      <w:marLeft w:val="0"/>
      <w:marRight w:val="0"/>
      <w:marTop w:val="0"/>
      <w:marBottom w:val="0"/>
      <w:divBdr>
        <w:top w:val="none" w:sz="0" w:space="0" w:color="auto"/>
        <w:left w:val="none" w:sz="0" w:space="0" w:color="auto"/>
        <w:bottom w:val="none" w:sz="0" w:space="0" w:color="auto"/>
        <w:right w:val="none" w:sz="0" w:space="0" w:color="auto"/>
      </w:divBdr>
    </w:div>
    <w:div w:id="1917546003">
      <w:bodyDiv w:val="1"/>
      <w:marLeft w:val="0"/>
      <w:marRight w:val="0"/>
      <w:marTop w:val="0"/>
      <w:marBottom w:val="0"/>
      <w:divBdr>
        <w:top w:val="none" w:sz="0" w:space="0" w:color="auto"/>
        <w:left w:val="none" w:sz="0" w:space="0" w:color="auto"/>
        <w:bottom w:val="none" w:sz="0" w:space="0" w:color="auto"/>
        <w:right w:val="none" w:sz="0" w:space="0" w:color="auto"/>
      </w:divBdr>
    </w:div>
    <w:div w:id="1917665853">
      <w:bodyDiv w:val="1"/>
      <w:marLeft w:val="0"/>
      <w:marRight w:val="0"/>
      <w:marTop w:val="0"/>
      <w:marBottom w:val="0"/>
      <w:divBdr>
        <w:top w:val="none" w:sz="0" w:space="0" w:color="auto"/>
        <w:left w:val="none" w:sz="0" w:space="0" w:color="auto"/>
        <w:bottom w:val="none" w:sz="0" w:space="0" w:color="auto"/>
        <w:right w:val="none" w:sz="0" w:space="0" w:color="auto"/>
      </w:divBdr>
    </w:div>
    <w:div w:id="1918049657">
      <w:bodyDiv w:val="1"/>
      <w:marLeft w:val="0"/>
      <w:marRight w:val="0"/>
      <w:marTop w:val="0"/>
      <w:marBottom w:val="0"/>
      <w:divBdr>
        <w:top w:val="none" w:sz="0" w:space="0" w:color="auto"/>
        <w:left w:val="none" w:sz="0" w:space="0" w:color="auto"/>
        <w:bottom w:val="none" w:sz="0" w:space="0" w:color="auto"/>
        <w:right w:val="none" w:sz="0" w:space="0" w:color="auto"/>
      </w:divBdr>
    </w:div>
    <w:div w:id="1918241514">
      <w:bodyDiv w:val="1"/>
      <w:marLeft w:val="0"/>
      <w:marRight w:val="0"/>
      <w:marTop w:val="0"/>
      <w:marBottom w:val="0"/>
      <w:divBdr>
        <w:top w:val="none" w:sz="0" w:space="0" w:color="auto"/>
        <w:left w:val="none" w:sz="0" w:space="0" w:color="auto"/>
        <w:bottom w:val="none" w:sz="0" w:space="0" w:color="auto"/>
        <w:right w:val="none" w:sz="0" w:space="0" w:color="auto"/>
      </w:divBdr>
    </w:div>
    <w:div w:id="1918510383">
      <w:bodyDiv w:val="1"/>
      <w:marLeft w:val="0"/>
      <w:marRight w:val="0"/>
      <w:marTop w:val="0"/>
      <w:marBottom w:val="0"/>
      <w:divBdr>
        <w:top w:val="none" w:sz="0" w:space="0" w:color="auto"/>
        <w:left w:val="none" w:sz="0" w:space="0" w:color="auto"/>
        <w:bottom w:val="none" w:sz="0" w:space="0" w:color="auto"/>
        <w:right w:val="none" w:sz="0" w:space="0" w:color="auto"/>
      </w:divBdr>
    </w:div>
    <w:div w:id="1919091063">
      <w:bodyDiv w:val="1"/>
      <w:marLeft w:val="0"/>
      <w:marRight w:val="0"/>
      <w:marTop w:val="0"/>
      <w:marBottom w:val="0"/>
      <w:divBdr>
        <w:top w:val="none" w:sz="0" w:space="0" w:color="auto"/>
        <w:left w:val="none" w:sz="0" w:space="0" w:color="auto"/>
        <w:bottom w:val="none" w:sz="0" w:space="0" w:color="auto"/>
        <w:right w:val="none" w:sz="0" w:space="0" w:color="auto"/>
      </w:divBdr>
    </w:div>
    <w:div w:id="1919552104">
      <w:bodyDiv w:val="1"/>
      <w:marLeft w:val="0"/>
      <w:marRight w:val="0"/>
      <w:marTop w:val="0"/>
      <w:marBottom w:val="0"/>
      <w:divBdr>
        <w:top w:val="none" w:sz="0" w:space="0" w:color="auto"/>
        <w:left w:val="none" w:sz="0" w:space="0" w:color="auto"/>
        <w:bottom w:val="none" w:sz="0" w:space="0" w:color="auto"/>
        <w:right w:val="none" w:sz="0" w:space="0" w:color="auto"/>
      </w:divBdr>
    </w:div>
    <w:div w:id="1920560858">
      <w:bodyDiv w:val="1"/>
      <w:marLeft w:val="0"/>
      <w:marRight w:val="0"/>
      <w:marTop w:val="0"/>
      <w:marBottom w:val="0"/>
      <w:divBdr>
        <w:top w:val="none" w:sz="0" w:space="0" w:color="auto"/>
        <w:left w:val="none" w:sz="0" w:space="0" w:color="auto"/>
        <w:bottom w:val="none" w:sz="0" w:space="0" w:color="auto"/>
        <w:right w:val="none" w:sz="0" w:space="0" w:color="auto"/>
      </w:divBdr>
    </w:div>
    <w:div w:id="1920673552">
      <w:bodyDiv w:val="1"/>
      <w:marLeft w:val="0"/>
      <w:marRight w:val="0"/>
      <w:marTop w:val="0"/>
      <w:marBottom w:val="0"/>
      <w:divBdr>
        <w:top w:val="none" w:sz="0" w:space="0" w:color="auto"/>
        <w:left w:val="none" w:sz="0" w:space="0" w:color="auto"/>
        <w:bottom w:val="none" w:sz="0" w:space="0" w:color="auto"/>
        <w:right w:val="none" w:sz="0" w:space="0" w:color="auto"/>
      </w:divBdr>
    </w:div>
    <w:div w:id="1920826686">
      <w:bodyDiv w:val="1"/>
      <w:marLeft w:val="0"/>
      <w:marRight w:val="0"/>
      <w:marTop w:val="0"/>
      <w:marBottom w:val="0"/>
      <w:divBdr>
        <w:top w:val="none" w:sz="0" w:space="0" w:color="auto"/>
        <w:left w:val="none" w:sz="0" w:space="0" w:color="auto"/>
        <w:bottom w:val="none" w:sz="0" w:space="0" w:color="auto"/>
        <w:right w:val="none" w:sz="0" w:space="0" w:color="auto"/>
      </w:divBdr>
    </w:div>
    <w:div w:id="1921673524">
      <w:bodyDiv w:val="1"/>
      <w:marLeft w:val="0"/>
      <w:marRight w:val="0"/>
      <w:marTop w:val="0"/>
      <w:marBottom w:val="0"/>
      <w:divBdr>
        <w:top w:val="none" w:sz="0" w:space="0" w:color="auto"/>
        <w:left w:val="none" w:sz="0" w:space="0" w:color="auto"/>
        <w:bottom w:val="none" w:sz="0" w:space="0" w:color="auto"/>
        <w:right w:val="none" w:sz="0" w:space="0" w:color="auto"/>
      </w:divBdr>
    </w:div>
    <w:div w:id="1922133751">
      <w:bodyDiv w:val="1"/>
      <w:marLeft w:val="0"/>
      <w:marRight w:val="0"/>
      <w:marTop w:val="0"/>
      <w:marBottom w:val="0"/>
      <w:divBdr>
        <w:top w:val="none" w:sz="0" w:space="0" w:color="auto"/>
        <w:left w:val="none" w:sz="0" w:space="0" w:color="auto"/>
        <w:bottom w:val="none" w:sz="0" w:space="0" w:color="auto"/>
        <w:right w:val="none" w:sz="0" w:space="0" w:color="auto"/>
      </w:divBdr>
    </w:div>
    <w:div w:id="1922133805">
      <w:bodyDiv w:val="1"/>
      <w:marLeft w:val="0"/>
      <w:marRight w:val="0"/>
      <w:marTop w:val="0"/>
      <w:marBottom w:val="0"/>
      <w:divBdr>
        <w:top w:val="none" w:sz="0" w:space="0" w:color="auto"/>
        <w:left w:val="none" w:sz="0" w:space="0" w:color="auto"/>
        <w:bottom w:val="none" w:sz="0" w:space="0" w:color="auto"/>
        <w:right w:val="none" w:sz="0" w:space="0" w:color="auto"/>
      </w:divBdr>
    </w:div>
    <w:div w:id="1922451486">
      <w:bodyDiv w:val="1"/>
      <w:marLeft w:val="0"/>
      <w:marRight w:val="0"/>
      <w:marTop w:val="0"/>
      <w:marBottom w:val="0"/>
      <w:divBdr>
        <w:top w:val="none" w:sz="0" w:space="0" w:color="auto"/>
        <w:left w:val="none" w:sz="0" w:space="0" w:color="auto"/>
        <w:bottom w:val="none" w:sz="0" w:space="0" w:color="auto"/>
        <w:right w:val="none" w:sz="0" w:space="0" w:color="auto"/>
      </w:divBdr>
    </w:div>
    <w:div w:id="1923221910">
      <w:bodyDiv w:val="1"/>
      <w:marLeft w:val="0"/>
      <w:marRight w:val="0"/>
      <w:marTop w:val="0"/>
      <w:marBottom w:val="0"/>
      <w:divBdr>
        <w:top w:val="none" w:sz="0" w:space="0" w:color="auto"/>
        <w:left w:val="none" w:sz="0" w:space="0" w:color="auto"/>
        <w:bottom w:val="none" w:sz="0" w:space="0" w:color="auto"/>
        <w:right w:val="none" w:sz="0" w:space="0" w:color="auto"/>
      </w:divBdr>
    </w:div>
    <w:div w:id="1923292389">
      <w:bodyDiv w:val="1"/>
      <w:marLeft w:val="0"/>
      <w:marRight w:val="0"/>
      <w:marTop w:val="0"/>
      <w:marBottom w:val="0"/>
      <w:divBdr>
        <w:top w:val="none" w:sz="0" w:space="0" w:color="auto"/>
        <w:left w:val="none" w:sz="0" w:space="0" w:color="auto"/>
        <w:bottom w:val="none" w:sz="0" w:space="0" w:color="auto"/>
        <w:right w:val="none" w:sz="0" w:space="0" w:color="auto"/>
      </w:divBdr>
    </w:div>
    <w:div w:id="1923686554">
      <w:bodyDiv w:val="1"/>
      <w:marLeft w:val="0"/>
      <w:marRight w:val="0"/>
      <w:marTop w:val="0"/>
      <w:marBottom w:val="0"/>
      <w:divBdr>
        <w:top w:val="none" w:sz="0" w:space="0" w:color="auto"/>
        <w:left w:val="none" w:sz="0" w:space="0" w:color="auto"/>
        <w:bottom w:val="none" w:sz="0" w:space="0" w:color="auto"/>
        <w:right w:val="none" w:sz="0" w:space="0" w:color="auto"/>
      </w:divBdr>
    </w:div>
    <w:div w:id="1924218508">
      <w:bodyDiv w:val="1"/>
      <w:marLeft w:val="0"/>
      <w:marRight w:val="0"/>
      <w:marTop w:val="0"/>
      <w:marBottom w:val="0"/>
      <w:divBdr>
        <w:top w:val="none" w:sz="0" w:space="0" w:color="auto"/>
        <w:left w:val="none" w:sz="0" w:space="0" w:color="auto"/>
        <w:bottom w:val="none" w:sz="0" w:space="0" w:color="auto"/>
        <w:right w:val="none" w:sz="0" w:space="0" w:color="auto"/>
      </w:divBdr>
    </w:div>
    <w:div w:id="1924680050">
      <w:bodyDiv w:val="1"/>
      <w:marLeft w:val="0"/>
      <w:marRight w:val="0"/>
      <w:marTop w:val="0"/>
      <w:marBottom w:val="0"/>
      <w:divBdr>
        <w:top w:val="none" w:sz="0" w:space="0" w:color="auto"/>
        <w:left w:val="none" w:sz="0" w:space="0" w:color="auto"/>
        <w:bottom w:val="none" w:sz="0" w:space="0" w:color="auto"/>
        <w:right w:val="none" w:sz="0" w:space="0" w:color="auto"/>
      </w:divBdr>
    </w:div>
    <w:div w:id="1924754362">
      <w:bodyDiv w:val="1"/>
      <w:marLeft w:val="0"/>
      <w:marRight w:val="0"/>
      <w:marTop w:val="0"/>
      <w:marBottom w:val="0"/>
      <w:divBdr>
        <w:top w:val="none" w:sz="0" w:space="0" w:color="auto"/>
        <w:left w:val="none" w:sz="0" w:space="0" w:color="auto"/>
        <w:bottom w:val="none" w:sz="0" w:space="0" w:color="auto"/>
        <w:right w:val="none" w:sz="0" w:space="0" w:color="auto"/>
      </w:divBdr>
    </w:div>
    <w:div w:id="1924803813">
      <w:bodyDiv w:val="1"/>
      <w:marLeft w:val="0"/>
      <w:marRight w:val="0"/>
      <w:marTop w:val="0"/>
      <w:marBottom w:val="0"/>
      <w:divBdr>
        <w:top w:val="none" w:sz="0" w:space="0" w:color="auto"/>
        <w:left w:val="none" w:sz="0" w:space="0" w:color="auto"/>
        <w:bottom w:val="none" w:sz="0" w:space="0" w:color="auto"/>
        <w:right w:val="none" w:sz="0" w:space="0" w:color="auto"/>
      </w:divBdr>
    </w:div>
    <w:div w:id="1924996435">
      <w:bodyDiv w:val="1"/>
      <w:marLeft w:val="0"/>
      <w:marRight w:val="0"/>
      <w:marTop w:val="0"/>
      <w:marBottom w:val="0"/>
      <w:divBdr>
        <w:top w:val="none" w:sz="0" w:space="0" w:color="auto"/>
        <w:left w:val="none" w:sz="0" w:space="0" w:color="auto"/>
        <w:bottom w:val="none" w:sz="0" w:space="0" w:color="auto"/>
        <w:right w:val="none" w:sz="0" w:space="0" w:color="auto"/>
      </w:divBdr>
    </w:div>
    <w:div w:id="1925145738">
      <w:bodyDiv w:val="1"/>
      <w:marLeft w:val="0"/>
      <w:marRight w:val="0"/>
      <w:marTop w:val="0"/>
      <w:marBottom w:val="0"/>
      <w:divBdr>
        <w:top w:val="none" w:sz="0" w:space="0" w:color="auto"/>
        <w:left w:val="none" w:sz="0" w:space="0" w:color="auto"/>
        <w:bottom w:val="none" w:sz="0" w:space="0" w:color="auto"/>
        <w:right w:val="none" w:sz="0" w:space="0" w:color="auto"/>
      </w:divBdr>
    </w:div>
    <w:div w:id="1925189618">
      <w:bodyDiv w:val="1"/>
      <w:marLeft w:val="0"/>
      <w:marRight w:val="0"/>
      <w:marTop w:val="0"/>
      <w:marBottom w:val="0"/>
      <w:divBdr>
        <w:top w:val="none" w:sz="0" w:space="0" w:color="auto"/>
        <w:left w:val="none" w:sz="0" w:space="0" w:color="auto"/>
        <w:bottom w:val="none" w:sz="0" w:space="0" w:color="auto"/>
        <w:right w:val="none" w:sz="0" w:space="0" w:color="auto"/>
      </w:divBdr>
    </w:div>
    <w:div w:id="1925603275">
      <w:bodyDiv w:val="1"/>
      <w:marLeft w:val="0"/>
      <w:marRight w:val="0"/>
      <w:marTop w:val="0"/>
      <w:marBottom w:val="0"/>
      <w:divBdr>
        <w:top w:val="none" w:sz="0" w:space="0" w:color="auto"/>
        <w:left w:val="none" w:sz="0" w:space="0" w:color="auto"/>
        <w:bottom w:val="none" w:sz="0" w:space="0" w:color="auto"/>
        <w:right w:val="none" w:sz="0" w:space="0" w:color="auto"/>
      </w:divBdr>
    </w:div>
    <w:div w:id="1925604842">
      <w:bodyDiv w:val="1"/>
      <w:marLeft w:val="0"/>
      <w:marRight w:val="0"/>
      <w:marTop w:val="0"/>
      <w:marBottom w:val="0"/>
      <w:divBdr>
        <w:top w:val="none" w:sz="0" w:space="0" w:color="auto"/>
        <w:left w:val="none" w:sz="0" w:space="0" w:color="auto"/>
        <w:bottom w:val="none" w:sz="0" w:space="0" w:color="auto"/>
        <w:right w:val="none" w:sz="0" w:space="0" w:color="auto"/>
      </w:divBdr>
    </w:div>
    <w:div w:id="1926257472">
      <w:bodyDiv w:val="1"/>
      <w:marLeft w:val="0"/>
      <w:marRight w:val="0"/>
      <w:marTop w:val="0"/>
      <w:marBottom w:val="0"/>
      <w:divBdr>
        <w:top w:val="none" w:sz="0" w:space="0" w:color="auto"/>
        <w:left w:val="none" w:sz="0" w:space="0" w:color="auto"/>
        <w:bottom w:val="none" w:sz="0" w:space="0" w:color="auto"/>
        <w:right w:val="none" w:sz="0" w:space="0" w:color="auto"/>
      </w:divBdr>
    </w:div>
    <w:div w:id="1926300246">
      <w:bodyDiv w:val="1"/>
      <w:marLeft w:val="0"/>
      <w:marRight w:val="0"/>
      <w:marTop w:val="0"/>
      <w:marBottom w:val="0"/>
      <w:divBdr>
        <w:top w:val="none" w:sz="0" w:space="0" w:color="auto"/>
        <w:left w:val="none" w:sz="0" w:space="0" w:color="auto"/>
        <w:bottom w:val="none" w:sz="0" w:space="0" w:color="auto"/>
        <w:right w:val="none" w:sz="0" w:space="0" w:color="auto"/>
      </w:divBdr>
    </w:div>
    <w:div w:id="1926450225">
      <w:bodyDiv w:val="1"/>
      <w:marLeft w:val="0"/>
      <w:marRight w:val="0"/>
      <w:marTop w:val="0"/>
      <w:marBottom w:val="0"/>
      <w:divBdr>
        <w:top w:val="none" w:sz="0" w:space="0" w:color="auto"/>
        <w:left w:val="none" w:sz="0" w:space="0" w:color="auto"/>
        <w:bottom w:val="none" w:sz="0" w:space="0" w:color="auto"/>
        <w:right w:val="none" w:sz="0" w:space="0" w:color="auto"/>
      </w:divBdr>
    </w:div>
    <w:div w:id="1926835800">
      <w:bodyDiv w:val="1"/>
      <w:marLeft w:val="0"/>
      <w:marRight w:val="0"/>
      <w:marTop w:val="0"/>
      <w:marBottom w:val="0"/>
      <w:divBdr>
        <w:top w:val="none" w:sz="0" w:space="0" w:color="auto"/>
        <w:left w:val="none" w:sz="0" w:space="0" w:color="auto"/>
        <w:bottom w:val="none" w:sz="0" w:space="0" w:color="auto"/>
        <w:right w:val="none" w:sz="0" w:space="0" w:color="auto"/>
      </w:divBdr>
    </w:div>
    <w:div w:id="1926842414">
      <w:bodyDiv w:val="1"/>
      <w:marLeft w:val="0"/>
      <w:marRight w:val="0"/>
      <w:marTop w:val="0"/>
      <w:marBottom w:val="0"/>
      <w:divBdr>
        <w:top w:val="none" w:sz="0" w:space="0" w:color="auto"/>
        <w:left w:val="none" w:sz="0" w:space="0" w:color="auto"/>
        <w:bottom w:val="none" w:sz="0" w:space="0" w:color="auto"/>
        <w:right w:val="none" w:sz="0" w:space="0" w:color="auto"/>
      </w:divBdr>
    </w:div>
    <w:div w:id="1927374349">
      <w:bodyDiv w:val="1"/>
      <w:marLeft w:val="0"/>
      <w:marRight w:val="0"/>
      <w:marTop w:val="0"/>
      <w:marBottom w:val="0"/>
      <w:divBdr>
        <w:top w:val="none" w:sz="0" w:space="0" w:color="auto"/>
        <w:left w:val="none" w:sz="0" w:space="0" w:color="auto"/>
        <w:bottom w:val="none" w:sz="0" w:space="0" w:color="auto"/>
        <w:right w:val="none" w:sz="0" w:space="0" w:color="auto"/>
      </w:divBdr>
    </w:div>
    <w:div w:id="1927422301">
      <w:bodyDiv w:val="1"/>
      <w:marLeft w:val="0"/>
      <w:marRight w:val="0"/>
      <w:marTop w:val="0"/>
      <w:marBottom w:val="0"/>
      <w:divBdr>
        <w:top w:val="none" w:sz="0" w:space="0" w:color="auto"/>
        <w:left w:val="none" w:sz="0" w:space="0" w:color="auto"/>
        <w:bottom w:val="none" w:sz="0" w:space="0" w:color="auto"/>
        <w:right w:val="none" w:sz="0" w:space="0" w:color="auto"/>
      </w:divBdr>
    </w:div>
    <w:div w:id="1927422905">
      <w:bodyDiv w:val="1"/>
      <w:marLeft w:val="0"/>
      <w:marRight w:val="0"/>
      <w:marTop w:val="0"/>
      <w:marBottom w:val="0"/>
      <w:divBdr>
        <w:top w:val="none" w:sz="0" w:space="0" w:color="auto"/>
        <w:left w:val="none" w:sz="0" w:space="0" w:color="auto"/>
        <w:bottom w:val="none" w:sz="0" w:space="0" w:color="auto"/>
        <w:right w:val="none" w:sz="0" w:space="0" w:color="auto"/>
      </w:divBdr>
    </w:div>
    <w:div w:id="1927572576">
      <w:bodyDiv w:val="1"/>
      <w:marLeft w:val="0"/>
      <w:marRight w:val="0"/>
      <w:marTop w:val="0"/>
      <w:marBottom w:val="0"/>
      <w:divBdr>
        <w:top w:val="none" w:sz="0" w:space="0" w:color="auto"/>
        <w:left w:val="none" w:sz="0" w:space="0" w:color="auto"/>
        <w:bottom w:val="none" w:sz="0" w:space="0" w:color="auto"/>
        <w:right w:val="none" w:sz="0" w:space="0" w:color="auto"/>
      </w:divBdr>
    </w:div>
    <w:div w:id="1927808237">
      <w:bodyDiv w:val="1"/>
      <w:marLeft w:val="0"/>
      <w:marRight w:val="0"/>
      <w:marTop w:val="0"/>
      <w:marBottom w:val="0"/>
      <w:divBdr>
        <w:top w:val="none" w:sz="0" w:space="0" w:color="auto"/>
        <w:left w:val="none" w:sz="0" w:space="0" w:color="auto"/>
        <w:bottom w:val="none" w:sz="0" w:space="0" w:color="auto"/>
        <w:right w:val="none" w:sz="0" w:space="0" w:color="auto"/>
      </w:divBdr>
    </w:div>
    <w:div w:id="1927957497">
      <w:bodyDiv w:val="1"/>
      <w:marLeft w:val="0"/>
      <w:marRight w:val="0"/>
      <w:marTop w:val="0"/>
      <w:marBottom w:val="0"/>
      <w:divBdr>
        <w:top w:val="none" w:sz="0" w:space="0" w:color="auto"/>
        <w:left w:val="none" w:sz="0" w:space="0" w:color="auto"/>
        <w:bottom w:val="none" w:sz="0" w:space="0" w:color="auto"/>
        <w:right w:val="none" w:sz="0" w:space="0" w:color="auto"/>
      </w:divBdr>
    </w:div>
    <w:div w:id="1928341923">
      <w:bodyDiv w:val="1"/>
      <w:marLeft w:val="0"/>
      <w:marRight w:val="0"/>
      <w:marTop w:val="0"/>
      <w:marBottom w:val="0"/>
      <w:divBdr>
        <w:top w:val="none" w:sz="0" w:space="0" w:color="auto"/>
        <w:left w:val="none" w:sz="0" w:space="0" w:color="auto"/>
        <w:bottom w:val="none" w:sz="0" w:space="0" w:color="auto"/>
        <w:right w:val="none" w:sz="0" w:space="0" w:color="auto"/>
      </w:divBdr>
    </w:div>
    <w:div w:id="1928535482">
      <w:bodyDiv w:val="1"/>
      <w:marLeft w:val="0"/>
      <w:marRight w:val="0"/>
      <w:marTop w:val="0"/>
      <w:marBottom w:val="0"/>
      <w:divBdr>
        <w:top w:val="none" w:sz="0" w:space="0" w:color="auto"/>
        <w:left w:val="none" w:sz="0" w:space="0" w:color="auto"/>
        <w:bottom w:val="none" w:sz="0" w:space="0" w:color="auto"/>
        <w:right w:val="none" w:sz="0" w:space="0" w:color="auto"/>
      </w:divBdr>
    </w:div>
    <w:div w:id="1928610579">
      <w:bodyDiv w:val="1"/>
      <w:marLeft w:val="0"/>
      <w:marRight w:val="0"/>
      <w:marTop w:val="0"/>
      <w:marBottom w:val="0"/>
      <w:divBdr>
        <w:top w:val="none" w:sz="0" w:space="0" w:color="auto"/>
        <w:left w:val="none" w:sz="0" w:space="0" w:color="auto"/>
        <w:bottom w:val="none" w:sz="0" w:space="0" w:color="auto"/>
        <w:right w:val="none" w:sz="0" w:space="0" w:color="auto"/>
      </w:divBdr>
    </w:div>
    <w:div w:id="1929382611">
      <w:bodyDiv w:val="1"/>
      <w:marLeft w:val="0"/>
      <w:marRight w:val="0"/>
      <w:marTop w:val="0"/>
      <w:marBottom w:val="0"/>
      <w:divBdr>
        <w:top w:val="none" w:sz="0" w:space="0" w:color="auto"/>
        <w:left w:val="none" w:sz="0" w:space="0" w:color="auto"/>
        <w:bottom w:val="none" w:sz="0" w:space="0" w:color="auto"/>
        <w:right w:val="none" w:sz="0" w:space="0" w:color="auto"/>
      </w:divBdr>
    </w:div>
    <w:div w:id="1929390445">
      <w:bodyDiv w:val="1"/>
      <w:marLeft w:val="0"/>
      <w:marRight w:val="0"/>
      <w:marTop w:val="0"/>
      <w:marBottom w:val="0"/>
      <w:divBdr>
        <w:top w:val="none" w:sz="0" w:space="0" w:color="auto"/>
        <w:left w:val="none" w:sz="0" w:space="0" w:color="auto"/>
        <w:bottom w:val="none" w:sz="0" w:space="0" w:color="auto"/>
        <w:right w:val="none" w:sz="0" w:space="0" w:color="auto"/>
      </w:divBdr>
    </w:div>
    <w:div w:id="1929995296">
      <w:bodyDiv w:val="1"/>
      <w:marLeft w:val="0"/>
      <w:marRight w:val="0"/>
      <w:marTop w:val="0"/>
      <w:marBottom w:val="0"/>
      <w:divBdr>
        <w:top w:val="none" w:sz="0" w:space="0" w:color="auto"/>
        <w:left w:val="none" w:sz="0" w:space="0" w:color="auto"/>
        <w:bottom w:val="none" w:sz="0" w:space="0" w:color="auto"/>
        <w:right w:val="none" w:sz="0" w:space="0" w:color="auto"/>
      </w:divBdr>
    </w:div>
    <w:div w:id="1930851448">
      <w:bodyDiv w:val="1"/>
      <w:marLeft w:val="0"/>
      <w:marRight w:val="0"/>
      <w:marTop w:val="0"/>
      <w:marBottom w:val="0"/>
      <w:divBdr>
        <w:top w:val="none" w:sz="0" w:space="0" w:color="auto"/>
        <w:left w:val="none" w:sz="0" w:space="0" w:color="auto"/>
        <w:bottom w:val="none" w:sz="0" w:space="0" w:color="auto"/>
        <w:right w:val="none" w:sz="0" w:space="0" w:color="auto"/>
      </w:divBdr>
    </w:div>
    <w:div w:id="1931506806">
      <w:bodyDiv w:val="1"/>
      <w:marLeft w:val="0"/>
      <w:marRight w:val="0"/>
      <w:marTop w:val="0"/>
      <w:marBottom w:val="0"/>
      <w:divBdr>
        <w:top w:val="none" w:sz="0" w:space="0" w:color="auto"/>
        <w:left w:val="none" w:sz="0" w:space="0" w:color="auto"/>
        <w:bottom w:val="none" w:sz="0" w:space="0" w:color="auto"/>
        <w:right w:val="none" w:sz="0" w:space="0" w:color="auto"/>
      </w:divBdr>
    </w:div>
    <w:div w:id="1931695610">
      <w:bodyDiv w:val="1"/>
      <w:marLeft w:val="0"/>
      <w:marRight w:val="0"/>
      <w:marTop w:val="0"/>
      <w:marBottom w:val="0"/>
      <w:divBdr>
        <w:top w:val="none" w:sz="0" w:space="0" w:color="auto"/>
        <w:left w:val="none" w:sz="0" w:space="0" w:color="auto"/>
        <w:bottom w:val="none" w:sz="0" w:space="0" w:color="auto"/>
        <w:right w:val="none" w:sz="0" w:space="0" w:color="auto"/>
      </w:divBdr>
    </w:div>
    <w:div w:id="1931768327">
      <w:bodyDiv w:val="1"/>
      <w:marLeft w:val="0"/>
      <w:marRight w:val="0"/>
      <w:marTop w:val="0"/>
      <w:marBottom w:val="0"/>
      <w:divBdr>
        <w:top w:val="none" w:sz="0" w:space="0" w:color="auto"/>
        <w:left w:val="none" w:sz="0" w:space="0" w:color="auto"/>
        <w:bottom w:val="none" w:sz="0" w:space="0" w:color="auto"/>
        <w:right w:val="none" w:sz="0" w:space="0" w:color="auto"/>
      </w:divBdr>
    </w:div>
    <w:div w:id="1931964461">
      <w:bodyDiv w:val="1"/>
      <w:marLeft w:val="0"/>
      <w:marRight w:val="0"/>
      <w:marTop w:val="0"/>
      <w:marBottom w:val="0"/>
      <w:divBdr>
        <w:top w:val="none" w:sz="0" w:space="0" w:color="auto"/>
        <w:left w:val="none" w:sz="0" w:space="0" w:color="auto"/>
        <w:bottom w:val="none" w:sz="0" w:space="0" w:color="auto"/>
        <w:right w:val="none" w:sz="0" w:space="0" w:color="auto"/>
      </w:divBdr>
    </w:div>
    <w:div w:id="1932204418">
      <w:bodyDiv w:val="1"/>
      <w:marLeft w:val="0"/>
      <w:marRight w:val="0"/>
      <w:marTop w:val="0"/>
      <w:marBottom w:val="0"/>
      <w:divBdr>
        <w:top w:val="none" w:sz="0" w:space="0" w:color="auto"/>
        <w:left w:val="none" w:sz="0" w:space="0" w:color="auto"/>
        <w:bottom w:val="none" w:sz="0" w:space="0" w:color="auto"/>
        <w:right w:val="none" w:sz="0" w:space="0" w:color="auto"/>
      </w:divBdr>
    </w:div>
    <w:div w:id="1932621440">
      <w:bodyDiv w:val="1"/>
      <w:marLeft w:val="0"/>
      <w:marRight w:val="0"/>
      <w:marTop w:val="0"/>
      <w:marBottom w:val="0"/>
      <w:divBdr>
        <w:top w:val="none" w:sz="0" w:space="0" w:color="auto"/>
        <w:left w:val="none" w:sz="0" w:space="0" w:color="auto"/>
        <w:bottom w:val="none" w:sz="0" w:space="0" w:color="auto"/>
        <w:right w:val="none" w:sz="0" w:space="0" w:color="auto"/>
      </w:divBdr>
    </w:div>
    <w:div w:id="1933003910">
      <w:bodyDiv w:val="1"/>
      <w:marLeft w:val="0"/>
      <w:marRight w:val="0"/>
      <w:marTop w:val="0"/>
      <w:marBottom w:val="0"/>
      <w:divBdr>
        <w:top w:val="none" w:sz="0" w:space="0" w:color="auto"/>
        <w:left w:val="none" w:sz="0" w:space="0" w:color="auto"/>
        <w:bottom w:val="none" w:sz="0" w:space="0" w:color="auto"/>
        <w:right w:val="none" w:sz="0" w:space="0" w:color="auto"/>
      </w:divBdr>
    </w:div>
    <w:div w:id="1933080703">
      <w:bodyDiv w:val="1"/>
      <w:marLeft w:val="0"/>
      <w:marRight w:val="0"/>
      <w:marTop w:val="0"/>
      <w:marBottom w:val="0"/>
      <w:divBdr>
        <w:top w:val="none" w:sz="0" w:space="0" w:color="auto"/>
        <w:left w:val="none" w:sz="0" w:space="0" w:color="auto"/>
        <w:bottom w:val="none" w:sz="0" w:space="0" w:color="auto"/>
        <w:right w:val="none" w:sz="0" w:space="0" w:color="auto"/>
      </w:divBdr>
    </w:div>
    <w:div w:id="1933665329">
      <w:bodyDiv w:val="1"/>
      <w:marLeft w:val="0"/>
      <w:marRight w:val="0"/>
      <w:marTop w:val="0"/>
      <w:marBottom w:val="0"/>
      <w:divBdr>
        <w:top w:val="none" w:sz="0" w:space="0" w:color="auto"/>
        <w:left w:val="none" w:sz="0" w:space="0" w:color="auto"/>
        <w:bottom w:val="none" w:sz="0" w:space="0" w:color="auto"/>
        <w:right w:val="none" w:sz="0" w:space="0" w:color="auto"/>
      </w:divBdr>
    </w:div>
    <w:div w:id="1933925311">
      <w:bodyDiv w:val="1"/>
      <w:marLeft w:val="0"/>
      <w:marRight w:val="0"/>
      <w:marTop w:val="0"/>
      <w:marBottom w:val="0"/>
      <w:divBdr>
        <w:top w:val="none" w:sz="0" w:space="0" w:color="auto"/>
        <w:left w:val="none" w:sz="0" w:space="0" w:color="auto"/>
        <w:bottom w:val="none" w:sz="0" w:space="0" w:color="auto"/>
        <w:right w:val="none" w:sz="0" w:space="0" w:color="auto"/>
      </w:divBdr>
    </w:div>
    <w:div w:id="1933929276">
      <w:bodyDiv w:val="1"/>
      <w:marLeft w:val="0"/>
      <w:marRight w:val="0"/>
      <w:marTop w:val="0"/>
      <w:marBottom w:val="0"/>
      <w:divBdr>
        <w:top w:val="none" w:sz="0" w:space="0" w:color="auto"/>
        <w:left w:val="none" w:sz="0" w:space="0" w:color="auto"/>
        <w:bottom w:val="none" w:sz="0" w:space="0" w:color="auto"/>
        <w:right w:val="none" w:sz="0" w:space="0" w:color="auto"/>
      </w:divBdr>
    </w:div>
    <w:div w:id="1934242910">
      <w:bodyDiv w:val="1"/>
      <w:marLeft w:val="0"/>
      <w:marRight w:val="0"/>
      <w:marTop w:val="0"/>
      <w:marBottom w:val="0"/>
      <w:divBdr>
        <w:top w:val="none" w:sz="0" w:space="0" w:color="auto"/>
        <w:left w:val="none" w:sz="0" w:space="0" w:color="auto"/>
        <w:bottom w:val="none" w:sz="0" w:space="0" w:color="auto"/>
        <w:right w:val="none" w:sz="0" w:space="0" w:color="auto"/>
      </w:divBdr>
    </w:div>
    <w:div w:id="1934243742">
      <w:bodyDiv w:val="1"/>
      <w:marLeft w:val="0"/>
      <w:marRight w:val="0"/>
      <w:marTop w:val="0"/>
      <w:marBottom w:val="0"/>
      <w:divBdr>
        <w:top w:val="none" w:sz="0" w:space="0" w:color="auto"/>
        <w:left w:val="none" w:sz="0" w:space="0" w:color="auto"/>
        <w:bottom w:val="none" w:sz="0" w:space="0" w:color="auto"/>
        <w:right w:val="none" w:sz="0" w:space="0" w:color="auto"/>
      </w:divBdr>
    </w:div>
    <w:div w:id="1934246132">
      <w:bodyDiv w:val="1"/>
      <w:marLeft w:val="0"/>
      <w:marRight w:val="0"/>
      <w:marTop w:val="0"/>
      <w:marBottom w:val="0"/>
      <w:divBdr>
        <w:top w:val="none" w:sz="0" w:space="0" w:color="auto"/>
        <w:left w:val="none" w:sz="0" w:space="0" w:color="auto"/>
        <w:bottom w:val="none" w:sz="0" w:space="0" w:color="auto"/>
        <w:right w:val="none" w:sz="0" w:space="0" w:color="auto"/>
      </w:divBdr>
    </w:div>
    <w:div w:id="1934313630">
      <w:bodyDiv w:val="1"/>
      <w:marLeft w:val="0"/>
      <w:marRight w:val="0"/>
      <w:marTop w:val="0"/>
      <w:marBottom w:val="0"/>
      <w:divBdr>
        <w:top w:val="none" w:sz="0" w:space="0" w:color="auto"/>
        <w:left w:val="none" w:sz="0" w:space="0" w:color="auto"/>
        <w:bottom w:val="none" w:sz="0" w:space="0" w:color="auto"/>
        <w:right w:val="none" w:sz="0" w:space="0" w:color="auto"/>
      </w:divBdr>
    </w:div>
    <w:div w:id="1934581529">
      <w:bodyDiv w:val="1"/>
      <w:marLeft w:val="0"/>
      <w:marRight w:val="0"/>
      <w:marTop w:val="0"/>
      <w:marBottom w:val="0"/>
      <w:divBdr>
        <w:top w:val="none" w:sz="0" w:space="0" w:color="auto"/>
        <w:left w:val="none" w:sz="0" w:space="0" w:color="auto"/>
        <w:bottom w:val="none" w:sz="0" w:space="0" w:color="auto"/>
        <w:right w:val="none" w:sz="0" w:space="0" w:color="auto"/>
      </w:divBdr>
    </w:div>
    <w:div w:id="1934851537">
      <w:bodyDiv w:val="1"/>
      <w:marLeft w:val="0"/>
      <w:marRight w:val="0"/>
      <w:marTop w:val="0"/>
      <w:marBottom w:val="0"/>
      <w:divBdr>
        <w:top w:val="none" w:sz="0" w:space="0" w:color="auto"/>
        <w:left w:val="none" w:sz="0" w:space="0" w:color="auto"/>
        <w:bottom w:val="none" w:sz="0" w:space="0" w:color="auto"/>
        <w:right w:val="none" w:sz="0" w:space="0" w:color="auto"/>
      </w:divBdr>
    </w:div>
    <w:div w:id="1934976912">
      <w:bodyDiv w:val="1"/>
      <w:marLeft w:val="0"/>
      <w:marRight w:val="0"/>
      <w:marTop w:val="0"/>
      <w:marBottom w:val="0"/>
      <w:divBdr>
        <w:top w:val="none" w:sz="0" w:space="0" w:color="auto"/>
        <w:left w:val="none" w:sz="0" w:space="0" w:color="auto"/>
        <w:bottom w:val="none" w:sz="0" w:space="0" w:color="auto"/>
        <w:right w:val="none" w:sz="0" w:space="0" w:color="auto"/>
      </w:divBdr>
    </w:div>
    <w:div w:id="1935043218">
      <w:bodyDiv w:val="1"/>
      <w:marLeft w:val="0"/>
      <w:marRight w:val="0"/>
      <w:marTop w:val="0"/>
      <w:marBottom w:val="0"/>
      <w:divBdr>
        <w:top w:val="none" w:sz="0" w:space="0" w:color="auto"/>
        <w:left w:val="none" w:sz="0" w:space="0" w:color="auto"/>
        <w:bottom w:val="none" w:sz="0" w:space="0" w:color="auto"/>
        <w:right w:val="none" w:sz="0" w:space="0" w:color="auto"/>
      </w:divBdr>
    </w:div>
    <w:div w:id="1935045743">
      <w:bodyDiv w:val="1"/>
      <w:marLeft w:val="0"/>
      <w:marRight w:val="0"/>
      <w:marTop w:val="0"/>
      <w:marBottom w:val="0"/>
      <w:divBdr>
        <w:top w:val="none" w:sz="0" w:space="0" w:color="auto"/>
        <w:left w:val="none" w:sz="0" w:space="0" w:color="auto"/>
        <w:bottom w:val="none" w:sz="0" w:space="0" w:color="auto"/>
        <w:right w:val="none" w:sz="0" w:space="0" w:color="auto"/>
      </w:divBdr>
    </w:div>
    <w:div w:id="1935086900">
      <w:bodyDiv w:val="1"/>
      <w:marLeft w:val="0"/>
      <w:marRight w:val="0"/>
      <w:marTop w:val="0"/>
      <w:marBottom w:val="0"/>
      <w:divBdr>
        <w:top w:val="none" w:sz="0" w:space="0" w:color="auto"/>
        <w:left w:val="none" w:sz="0" w:space="0" w:color="auto"/>
        <w:bottom w:val="none" w:sz="0" w:space="0" w:color="auto"/>
        <w:right w:val="none" w:sz="0" w:space="0" w:color="auto"/>
      </w:divBdr>
    </w:div>
    <w:div w:id="1935475895">
      <w:bodyDiv w:val="1"/>
      <w:marLeft w:val="0"/>
      <w:marRight w:val="0"/>
      <w:marTop w:val="0"/>
      <w:marBottom w:val="0"/>
      <w:divBdr>
        <w:top w:val="none" w:sz="0" w:space="0" w:color="auto"/>
        <w:left w:val="none" w:sz="0" w:space="0" w:color="auto"/>
        <w:bottom w:val="none" w:sz="0" w:space="0" w:color="auto"/>
        <w:right w:val="none" w:sz="0" w:space="0" w:color="auto"/>
      </w:divBdr>
    </w:div>
    <w:div w:id="1935891854">
      <w:bodyDiv w:val="1"/>
      <w:marLeft w:val="0"/>
      <w:marRight w:val="0"/>
      <w:marTop w:val="0"/>
      <w:marBottom w:val="0"/>
      <w:divBdr>
        <w:top w:val="none" w:sz="0" w:space="0" w:color="auto"/>
        <w:left w:val="none" w:sz="0" w:space="0" w:color="auto"/>
        <w:bottom w:val="none" w:sz="0" w:space="0" w:color="auto"/>
        <w:right w:val="none" w:sz="0" w:space="0" w:color="auto"/>
      </w:divBdr>
    </w:div>
    <w:div w:id="1936279605">
      <w:bodyDiv w:val="1"/>
      <w:marLeft w:val="0"/>
      <w:marRight w:val="0"/>
      <w:marTop w:val="0"/>
      <w:marBottom w:val="0"/>
      <w:divBdr>
        <w:top w:val="none" w:sz="0" w:space="0" w:color="auto"/>
        <w:left w:val="none" w:sz="0" w:space="0" w:color="auto"/>
        <w:bottom w:val="none" w:sz="0" w:space="0" w:color="auto"/>
        <w:right w:val="none" w:sz="0" w:space="0" w:color="auto"/>
      </w:divBdr>
    </w:div>
    <w:div w:id="1936664627">
      <w:bodyDiv w:val="1"/>
      <w:marLeft w:val="0"/>
      <w:marRight w:val="0"/>
      <w:marTop w:val="0"/>
      <w:marBottom w:val="0"/>
      <w:divBdr>
        <w:top w:val="none" w:sz="0" w:space="0" w:color="auto"/>
        <w:left w:val="none" w:sz="0" w:space="0" w:color="auto"/>
        <w:bottom w:val="none" w:sz="0" w:space="0" w:color="auto"/>
        <w:right w:val="none" w:sz="0" w:space="0" w:color="auto"/>
      </w:divBdr>
    </w:div>
    <w:div w:id="1936859660">
      <w:bodyDiv w:val="1"/>
      <w:marLeft w:val="0"/>
      <w:marRight w:val="0"/>
      <w:marTop w:val="0"/>
      <w:marBottom w:val="0"/>
      <w:divBdr>
        <w:top w:val="none" w:sz="0" w:space="0" w:color="auto"/>
        <w:left w:val="none" w:sz="0" w:space="0" w:color="auto"/>
        <w:bottom w:val="none" w:sz="0" w:space="0" w:color="auto"/>
        <w:right w:val="none" w:sz="0" w:space="0" w:color="auto"/>
      </w:divBdr>
    </w:div>
    <w:div w:id="1937011987">
      <w:bodyDiv w:val="1"/>
      <w:marLeft w:val="0"/>
      <w:marRight w:val="0"/>
      <w:marTop w:val="0"/>
      <w:marBottom w:val="0"/>
      <w:divBdr>
        <w:top w:val="none" w:sz="0" w:space="0" w:color="auto"/>
        <w:left w:val="none" w:sz="0" w:space="0" w:color="auto"/>
        <w:bottom w:val="none" w:sz="0" w:space="0" w:color="auto"/>
        <w:right w:val="none" w:sz="0" w:space="0" w:color="auto"/>
      </w:divBdr>
    </w:div>
    <w:div w:id="1938054169">
      <w:bodyDiv w:val="1"/>
      <w:marLeft w:val="0"/>
      <w:marRight w:val="0"/>
      <w:marTop w:val="0"/>
      <w:marBottom w:val="0"/>
      <w:divBdr>
        <w:top w:val="none" w:sz="0" w:space="0" w:color="auto"/>
        <w:left w:val="none" w:sz="0" w:space="0" w:color="auto"/>
        <w:bottom w:val="none" w:sz="0" w:space="0" w:color="auto"/>
        <w:right w:val="none" w:sz="0" w:space="0" w:color="auto"/>
      </w:divBdr>
    </w:div>
    <w:div w:id="1938102221">
      <w:bodyDiv w:val="1"/>
      <w:marLeft w:val="0"/>
      <w:marRight w:val="0"/>
      <w:marTop w:val="0"/>
      <w:marBottom w:val="0"/>
      <w:divBdr>
        <w:top w:val="none" w:sz="0" w:space="0" w:color="auto"/>
        <w:left w:val="none" w:sz="0" w:space="0" w:color="auto"/>
        <w:bottom w:val="none" w:sz="0" w:space="0" w:color="auto"/>
        <w:right w:val="none" w:sz="0" w:space="0" w:color="auto"/>
      </w:divBdr>
    </w:div>
    <w:div w:id="1938249072">
      <w:bodyDiv w:val="1"/>
      <w:marLeft w:val="0"/>
      <w:marRight w:val="0"/>
      <w:marTop w:val="0"/>
      <w:marBottom w:val="0"/>
      <w:divBdr>
        <w:top w:val="none" w:sz="0" w:space="0" w:color="auto"/>
        <w:left w:val="none" w:sz="0" w:space="0" w:color="auto"/>
        <w:bottom w:val="none" w:sz="0" w:space="0" w:color="auto"/>
        <w:right w:val="none" w:sz="0" w:space="0" w:color="auto"/>
      </w:divBdr>
    </w:div>
    <w:div w:id="1938437078">
      <w:bodyDiv w:val="1"/>
      <w:marLeft w:val="0"/>
      <w:marRight w:val="0"/>
      <w:marTop w:val="0"/>
      <w:marBottom w:val="0"/>
      <w:divBdr>
        <w:top w:val="none" w:sz="0" w:space="0" w:color="auto"/>
        <w:left w:val="none" w:sz="0" w:space="0" w:color="auto"/>
        <w:bottom w:val="none" w:sz="0" w:space="0" w:color="auto"/>
        <w:right w:val="none" w:sz="0" w:space="0" w:color="auto"/>
      </w:divBdr>
    </w:div>
    <w:div w:id="1938637069">
      <w:bodyDiv w:val="1"/>
      <w:marLeft w:val="0"/>
      <w:marRight w:val="0"/>
      <w:marTop w:val="0"/>
      <w:marBottom w:val="0"/>
      <w:divBdr>
        <w:top w:val="none" w:sz="0" w:space="0" w:color="auto"/>
        <w:left w:val="none" w:sz="0" w:space="0" w:color="auto"/>
        <w:bottom w:val="none" w:sz="0" w:space="0" w:color="auto"/>
        <w:right w:val="none" w:sz="0" w:space="0" w:color="auto"/>
      </w:divBdr>
    </w:div>
    <w:div w:id="1938949385">
      <w:bodyDiv w:val="1"/>
      <w:marLeft w:val="0"/>
      <w:marRight w:val="0"/>
      <w:marTop w:val="0"/>
      <w:marBottom w:val="0"/>
      <w:divBdr>
        <w:top w:val="none" w:sz="0" w:space="0" w:color="auto"/>
        <w:left w:val="none" w:sz="0" w:space="0" w:color="auto"/>
        <w:bottom w:val="none" w:sz="0" w:space="0" w:color="auto"/>
        <w:right w:val="none" w:sz="0" w:space="0" w:color="auto"/>
      </w:divBdr>
    </w:div>
    <w:div w:id="1939017430">
      <w:bodyDiv w:val="1"/>
      <w:marLeft w:val="0"/>
      <w:marRight w:val="0"/>
      <w:marTop w:val="0"/>
      <w:marBottom w:val="0"/>
      <w:divBdr>
        <w:top w:val="none" w:sz="0" w:space="0" w:color="auto"/>
        <w:left w:val="none" w:sz="0" w:space="0" w:color="auto"/>
        <w:bottom w:val="none" w:sz="0" w:space="0" w:color="auto"/>
        <w:right w:val="none" w:sz="0" w:space="0" w:color="auto"/>
      </w:divBdr>
    </w:div>
    <w:div w:id="1939870719">
      <w:bodyDiv w:val="1"/>
      <w:marLeft w:val="0"/>
      <w:marRight w:val="0"/>
      <w:marTop w:val="0"/>
      <w:marBottom w:val="0"/>
      <w:divBdr>
        <w:top w:val="none" w:sz="0" w:space="0" w:color="auto"/>
        <w:left w:val="none" w:sz="0" w:space="0" w:color="auto"/>
        <w:bottom w:val="none" w:sz="0" w:space="0" w:color="auto"/>
        <w:right w:val="none" w:sz="0" w:space="0" w:color="auto"/>
      </w:divBdr>
    </w:div>
    <w:div w:id="1940334902">
      <w:bodyDiv w:val="1"/>
      <w:marLeft w:val="0"/>
      <w:marRight w:val="0"/>
      <w:marTop w:val="0"/>
      <w:marBottom w:val="0"/>
      <w:divBdr>
        <w:top w:val="none" w:sz="0" w:space="0" w:color="auto"/>
        <w:left w:val="none" w:sz="0" w:space="0" w:color="auto"/>
        <w:bottom w:val="none" w:sz="0" w:space="0" w:color="auto"/>
        <w:right w:val="none" w:sz="0" w:space="0" w:color="auto"/>
      </w:divBdr>
    </w:div>
    <w:div w:id="1940721781">
      <w:bodyDiv w:val="1"/>
      <w:marLeft w:val="0"/>
      <w:marRight w:val="0"/>
      <w:marTop w:val="0"/>
      <w:marBottom w:val="0"/>
      <w:divBdr>
        <w:top w:val="none" w:sz="0" w:space="0" w:color="auto"/>
        <w:left w:val="none" w:sz="0" w:space="0" w:color="auto"/>
        <w:bottom w:val="none" w:sz="0" w:space="0" w:color="auto"/>
        <w:right w:val="none" w:sz="0" w:space="0" w:color="auto"/>
      </w:divBdr>
    </w:div>
    <w:div w:id="1942297880">
      <w:bodyDiv w:val="1"/>
      <w:marLeft w:val="0"/>
      <w:marRight w:val="0"/>
      <w:marTop w:val="0"/>
      <w:marBottom w:val="0"/>
      <w:divBdr>
        <w:top w:val="none" w:sz="0" w:space="0" w:color="auto"/>
        <w:left w:val="none" w:sz="0" w:space="0" w:color="auto"/>
        <w:bottom w:val="none" w:sz="0" w:space="0" w:color="auto"/>
        <w:right w:val="none" w:sz="0" w:space="0" w:color="auto"/>
      </w:divBdr>
    </w:div>
    <w:div w:id="1942568290">
      <w:bodyDiv w:val="1"/>
      <w:marLeft w:val="0"/>
      <w:marRight w:val="0"/>
      <w:marTop w:val="0"/>
      <w:marBottom w:val="0"/>
      <w:divBdr>
        <w:top w:val="none" w:sz="0" w:space="0" w:color="auto"/>
        <w:left w:val="none" w:sz="0" w:space="0" w:color="auto"/>
        <w:bottom w:val="none" w:sz="0" w:space="0" w:color="auto"/>
        <w:right w:val="none" w:sz="0" w:space="0" w:color="auto"/>
      </w:divBdr>
    </w:div>
    <w:div w:id="1943027378">
      <w:bodyDiv w:val="1"/>
      <w:marLeft w:val="0"/>
      <w:marRight w:val="0"/>
      <w:marTop w:val="0"/>
      <w:marBottom w:val="0"/>
      <w:divBdr>
        <w:top w:val="none" w:sz="0" w:space="0" w:color="auto"/>
        <w:left w:val="none" w:sz="0" w:space="0" w:color="auto"/>
        <w:bottom w:val="none" w:sz="0" w:space="0" w:color="auto"/>
        <w:right w:val="none" w:sz="0" w:space="0" w:color="auto"/>
      </w:divBdr>
    </w:div>
    <w:div w:id="1943150936">
      <w:bodyDiv w:val="1"/>
      <w:marLeft w:val="0"/>
      <w:marRight w:val="0"/>
      <w:marTop w:val="0"/>
      <w:marBottom w:val="0"/>
      <w:divBdr>
        <w:top w:val="none" w:sz="0" w:space="0" w:color="auto"/>
        <w:left w:val="none" w:sz="0" w:space="0" w:color="auto"/>
        <w:bottom w:val="none" w:sz="0" w:space="0" w:color="auto"/>
        <w:right w:val="none" w:sz="0" w:space="0" w:color="auto"/>
      </w:divBdr>
    </w:div>
    <w:div w:id="1943612381">
      <w:bodyDiv w:val="1"/>
      <w:marLeft w:val="0"/>
      <w:marRight w:val="0"/>
      <w:marTop w:val="0"/>
      <w:marBottom w:val="0"/>
      <w:divBdr>
        <w:top w:val="none" w:sz="0" w:space="0" w:color="auto"/>
        <w:left w:val="none" w:sz="0" w:space="0" w:color="auto"/>
        <w:bottom w:val="none" w:sz="0" w:space="0" w:color="auto"/>
        <w:right w:val="none" w:sz="0" w:space="0" w:color="auto"/>
      </w:divBdr>
    </w:div>
    <w:div w:id="1943949005">
      <w:bodyDiv w:val="1"/>
      <w:marLeft w:val="0"/>
      <w:marRight w:val="0"/>
      <w:marTop w:val="0"/>
      <w:marBottom w:val="0"/>
      <w:divBdr>
        <w:top w:val="none" w:sz="0" w:space="0" w:color="auto"/>
        <w:left w:val="none" w:sz="0" w:space="0" w:color="auto"/>
        <w:bottom w:val="none" w:sz="0" w:space="0" w:color="auto"/>
        <w:right w:val="none" w:sz="0" w:space="0" w:color="auto"/>
      </w:divBdr>
    </w:div>
    <w:div w:id="1944067991">
      <w:bodyDiv w:val="1"/>
      <w:marLeft w:val="0"/>
      <w:marRight w:val="0"/>
      <w:marTop w:val="0"/>
      <w:marBottom w:val="0"/>
      <w:divBdr>
        <w:top w:val="none" w:sz="0" w:space="0" w:color="auto"/>
        <w:left w:val="none" w:sz="0" w:space="0" w:color="auto"/>
        <w:bottom w:val="none" w:sz="0" w:space="0" w:color="auto"/>
        <w:right w:val="none" w:sz="0" w:space="0" w:color="auto"/>
      </w:divBdr>
    </w:div>
    <w:div w:id="1944872629">
      <w:bodyDiv w:val="1"/>
      <w:marLeft w:val="0"/>
      <w:marRight w:val="0"/>
      <w:marTop w:val="0"/>
      <w:marBottom w:val="0"/>
      <w:divBdr>
        <w:top w:val="none" w:sz="0" w:space="0" w:color="auto"/>
        <w:left w:val="none" w:sz="0" w:space="0" w:color="auto"/>
        <w:bottom w:val="none" w:sz="0" w:space="0" w:color="auto"/>
        <w:right w:val="none" w:sz="0" w:space="0" w:color="auto"/>
      </w:divBdr>
    </w:div>
    <w:div w:id="1945188842">
      <w:bodyDiv w:val="1"/>
      <w:marLeft w:val="0"/>
      <w:marRight w:val="0"/>
      <w:marTop w:val="0"/>
      <w:marBottom w:val="0"/>
      <w:divBdr>
        <w:top w:val="none" w:sz="0" w:space="0" w:color="auto"/>
        <w:left w:val="none" w:sz="0" w:space="0" w:color="auto"/>
        <w:bottom w:val="none" w:sz="0" w:space="0" w:color="auto"/>
        <w:right w:val="none" w:sz="0" w:space="0" w:color="auto"/>
      </w:divBdr>
    </w:div>
    <w:div w:id="1945533508">
      <w:bodyDiv w:val="1"/>
      <w:marLeft w:val="0"/>
      <w:marRight w:val="0"/>
      <w:marTop w:val="0"/>
      <w:marBottom w:val="0"/>
      <w:divBdr>
        <w:top w:val="none" w:sz="0" w:space="0" w:color="auto"/>
        <w:left w:val="none" w:sz="0" w:space="0" w:color="auto"/>
        <w:bottom w:val="none" w:sz="0" w:space="0" w:color="auto"/>
        <w:right w:val="none" w:sz="0" w:space="0" w:color="auto"/>
      </w:divBdr>
    </w:div>
    <w:div w:id="1945646187">
      <w:bodyDiv w:val="1"/>
      <w:marLeft w:val="0"/>
      <w:marRight w:val="0"/>
      <w:marTop w:val="0"/>
      <w:marBottom w:val="0"/>
      <w:divBdr>
        <w:top w:val="none" w:sz="0" w:space="0" w:color="auto"/>
        <w:left w:val="none" w:sz="0" w:space="0" w:color="auto"/>
        <w:bottom w:val="none" w:sz="0" w:space="0" w:color="auto"/>
        <w:right w:val="none" w:sz="0" w:space="0" w:color="auto"/>
      </w:divBdr>
    </w:div>
    <w:div w:id="1945918558">
      <w:bodyDiv w:val="1"/>
      <w:marLeft w:val="0"/>
      <w:marRight w:val="0"/>
      <w:marTop w:val="0"/>
      <w:marBottom w:val="0"/>
      <w:divBdr>
        <w:top w:val="none" w:sz="0" w:space="0" w:color="auto"/>
        <w:left w:val="none" w:sz="0" w:space="0" w:color="auto"/>
        <w:bottom w:val="none" w:sz="0" w:space="0" w:color="auto"/>
        <w:right w:val="none" w:sz="0" w:space="0" w:color="auto"/>
      </w:divBdr>
    </w:div>
    <w:div w:id="1946116432">
      <w:bodyDiv w:val="1"/>
      <w:marLeft w:val="0"/>
      <w:marRight w:val="0"/>
      <w:marTop w:val="0"/>
      <w:marBottom w:val="0"/>
      <w:divBdr>
        <w:top w:val="none" w:sz="0" w:space="0" w:color="auto"/>
        <w:left w:val="none" w:sz="0" w:space="0" w:color="auto"/>
        <w:bottom w:val="none" w:sz="0" w:space="0" w:color="auto"/>
        <w:right w:val="none" w:sz="0" w:space="0" w:color="auto"/>
      </w:divBdr>
    </w:div>
    <w:div w:id="1946157544">
      <w:bodyDiv w:val="1"/>
      <w:marLeft w:val="0"/>
      <w:marRight w:val="0"/>
      <w:marTop w:val="0"/>
      <w:marBottom w:val="0"/>
      <w:divBdr>
        <w:top w:val="none" w:sz="0" w:space="0" w:color="auto"/>
        <w:left w:val="none" w:sz="0" w:space="0" w:color="auto"/>
        <w:bottom w:val="none" w:sz="0" w:space="0" w:color="auto"/>
        <w:right w:val="none" w:sz="0" w:space="0" w:color="auto"/>
      </w:divBdr>
    </w:div>
    <w:div w:id="1946380915">
      <w:bodyDiv w:val="1"/>
      <w:marLeft w:val="0"/>
      <w:marRight w:val="0"/>
      <w:marTop w:val="0"/>
      <w:marBottom w:val="0"/>
      <w:divBdr>
        <w:top w:val="none" w:sz="0" w:space="0" w:color="auto"/>
        <w:left w:val="none" w:sz="0" w:space="0" w:color="auto"/>
        <w:bottom w:val="none" w:sz="0" w:space="0" w:color="auto"/>
        <w:right w:val="none" w:sz="0" w:space="0" w:color="auto"/>
      </w:divBdr>
    </w:div>
    <w:div w:id="1946420964">
      <w:bodyDiv w:val="1"/>
      <w:marLeft w:val="0"/>
      <w:marRight w:val="0"/>
      <w:marTop w:val="0"/>
      <w:marBottom w:val="0"/>
      <w:divBdr>
        <w:top w:val="none" w:sz="0" w:space="0" w:color="auto"/>
        <w:left w:val="none" w:sz="0" w:space="0" w:color="auto"/>
        <w:bottom w:val="none" w:sz="0" w:space="0" w:color="auto"/>
        <w:right w:val="none" w:sz="0" w:space="0" w:color="auto"/>
      </w:divBdr>
    </w:div>
    <w:div w:id="1946763764">
      <w:bodyDiv w:val="1"/>
      <w:marLeft w:val="0"/>
      <w:marRight w:val="0"/>
      <w:marTop w:val="0"/>
      <w:marBottom w:val="0"/>
      <w:divBdr>
        <w:top w:val="none" w:sz="0" w:space="0" w:color="auto"/>
        <w:left w:val="none" w:sz="0" w:space="0" w:color="auto"/>
        <w:bottom w:val="none" w:sz="0" w:space="0" w:color="auto"/>
        <w:right w:val="none" w:sz="0" w:space="0" w:color="auto"/>
      </w:divBdr>
    </w:div>
    <w:div w:id="1946768933">
      <w:bodyDiv w:val="1"/>
      <w:marLeft w:val="0"/>
      <w:marRight w:val="0"/>
      <w:marTop w:val="0"/>
      <w:marBottom w:val="0"/>
      <w:divBdr>
        <w:top w:val="none" w:sz="0" w:space="0" w:color="auto"/>
        <w:left w:val="none" w:sz="0" w:space="0" w:color="auto"/>
        <w:bottom w:val="none" w:sz="0" w:space="0" w:color="auto"/>
        <w:right w:val="none" w:sz="0" w:space="0" w:color="auto"/>
      </w:divBdr>
    </w:div>
    <w:div w:id="1946882516">
      <w:bodyDiv w:val="1"/>
      <w:marLeft w:val="0"/>
      <w:marRight w:val="0"/>
      <w:marTop w:val="0"/>
      <w:marBottom w:val="0"/>
      <w:divBdr>
        <w:top w:val="none" w:sz="0" w:space="0" w:color="auto"/>
        <w:left w:val="none" w:sz="0" w:space="0" w:color="auto"/>
        <w:bottom w:val="none" w:sz="0" w:space="0" w:color="auto"/>
        <w:right w:val="none" w:sz="0" w:space="0" w:color="auto"/>
      </w:divBdr>
    </w:div>
    <w:div w:id="1946957700">
      <w:bodyDiv w:val="1"/>
      <w:marLeft w:val="0"/>
      <w:marRight w:val="0"/>
      <w:marTop w:val="0"/>
      <w:marBottom w:val="0"/>
      <w:divBdr>
        <w:top w:val="none" w:sz="0" w:space="0" w:color="auto"/>
        <w:left w:val="none" w:sz="0" w:space="0" w:color="auto"/>
        <w:bottom w:val="none" w:sz="0" w:space="0" w:color="auto"/>
        <w:right w:val="none" w:sz="0" w:space="0" w:color="auto"/>
      </w:divBdr>
    </w:div>
    <w:div w:id="1947156150">
      <w:bodyDiv w:val="1"/>
      <w:marLeft w:val="0"/>
      <w:marRight w:val="0"/>
      <w:marTop w:val="0"/>
      <w:marBottom w:val="0"/>
      <w:divBdr>
        <w:top w:val="none" w:sz="0" w:space="0" w:color="auto"/>
        <w:left w:val="none" w:sz="0" w:space="0" w:color="auto"/>
        <w:bottom w:val="none" w:sz="0" w:space="0" w:color="auto"/>
        <w:right w:val="none" w:sz="0" w:space="0" w:color="auto"/>
      </w:divBdr>
    </w:div>
    <w:div w:id="1947344308">
      <w:bodyDiv w:val="1"/>
      <w:marLeft w:val="0"/>
      <w:marRight w:val="0"/>
      <w:marTop w:val="0"/>
      <w:marBottom w:val="0"/>
      <w:divBdr>
        <w:top w:val="none" w:sz="0" w:space="0" w:color="auto"/>
        <w:left w:val="none" w:sz="0" w:space="0" w:color="auto"/>
        <w:bottom w:val="none" w:sz="0" w:space="0" w:color="auto"/>
        <w:right w:val="none" w:sz="0" w:space="0" w:color="auto"/>
      </w:divBdr>
    </w:div>
    <w:div w:id="1947736240">
      <w:bodyDiv w:val="1"/>
      <w:marLeft w:val="0"/>
      <w:marRight w:val="0"/>
      <w:marTop w:val="0"/>
      <w:marBottom w:val="0"/>
      <w:divBdr>
        <w:top w:val="none" w:sz="0" w:space="0" w:color="auto"/>
        <w:left w:val="none" w:sz="0" w:space="0" w:color="auto"/>
        <w:bottom w:val="none" w:sz="0" w:space="0" w:color="auto"/>
        <w:right w:val="none" w:sz="0" w:space="0" w:color="auto"/>
      </w:divBdr>
    </w:div>
    <w:div w:id="1947805393">
      <w:bodyDiv w:val="1"/>
      <w:marLeft w:val="0"/>
      <w:marRight w:val="0"/>
      <w:marTop w:val="0"/>
      <w:marBottom w:val="0"/>
      <w:divBdr>
        <w:top w:val="none" w:sz="0" w:space="0" w:color="auto"/>
        <w:left w:val="none" w:sz="0" w:space="0" w:color="auto"/>
        <w:bottom w:val="none" w:sz="0" w:space="0" w:color="auto"/>
        <w:right w:val="none" w:sz="0" w:space="0" w:color="auto"/>
      </w:divBdr>
    </w:div>
    <w:div w:id="1947886637">
      <w:bodyDiv w:val="1"/>
      <w:marLeft w:val="0"/>
      <w:marRight w:val="0"/>
      <w:marTop w:val="0"/>
      <w:marBottom w:val="0"/>
      <w:divBdr>
        <w:top w:val="none" w:sz="0" w:space="0" w:color="auto"/>
        <w:left w:val="none" w:sz="0" w:space="0" w:color="auto"/>
        <w:bottom w:val="none" w:sz="0" w:space="0" w:color="auto"/>
        <w:right w:val="none" w:sz="0" w:space="0" w:color="auto"/>
      </w:divBdr>
    </w:div>
    <w:div w:id="1947928265">
      <w:bodyDiv w:val="1"/>
      <w:marLeft w:val="0"/>
      <w:marRight w:val="0"/>
      <w:marTop w:val="0"/>
      <w:marBottom w:val="0"/>
      <w:divBdr>
        <w:top w:val="none" w:sz="0" w:space="0" w:color="auto"/>
        <w:left w:val="none" w:sz="0" w:space="0" w:color="auto"/>
        <w:bottom w:val="none" w:sz="0" w:space="0" w:color="auto"/>
        <w:right w:val="none" w:sz="0" w:space="0" w:color="auto"/>
      </w:divBdr>
    </w:div>
    <w:div w:id="1948460460">
      <w:bodyDiv w:val="1"/>
      <w:marLeft w:val="0"/>
      <w:marRight w:val="0"/>
      <w:marTop w:val="0"/>
      <w:marBottom w:val="0"/>
      <w:divBdr>
        <w:top w:val="none" w:sz="0" w:space="0" w:color="auto"/>
        <w:left w:val="none" w:sz="0" w:space="0" w:color="auto"/>
        <w:bottom w:val="none" w:sz="0" w:space="0" w:color="auto"/>
        <w:right w:val="none" w:sz="0" w:space="0" w:color="auto"/>
      </w:divBdr>
    </w:div>
    <w:div w:id="1948850785">
      <w:bodyDiv w:val="1"/>
      <w:marLeft w:val="0"/>
      <w:marRight w:val="0"/>
      <w:marTop w:val="0"/>
      <w:marBottom w:val="0"/>
      <w:divBdr>
        <w:top w:val="none" w:sz="0" w:space="0" w:color="auto"/>
        <w:left w:val="none" w:sz="0" w:space="0" w:color="auto"/>
        <w:bottom w:val="none" w:sz="0" w:space="0" w:color="auto"/>
        <w:right w:val="none" w:sz="0" w:space="0" w:color="auto"/>
      </w:divBdr>
    </w:div>
    <w:div w:id="1949005115">
      <w:bodyDiv w:val="1"/>
      <w:marLeft w:val="0"/>
      <w:marRight w:val="0"/>
      <w:marTop w:val="0"/>
      <w:marBottom w:val="0"/>
      <w:divBdr>
        <w:top w:val="none" w:sz="0" w:space="0" w:color="auto"/>
        <w:left w:val="none" w:sz="0" w:space="0" w:color="auto"/>
        <w:bottom w:val="none" w:sz="0" w:space="0" w:color="auto"/>
        <w:right w:val="none" w:sz="0" w:space="0" w:color="auto"/>
      </w:divBdr>
    </w:div>
    <w:div w:id="1949122237">
      <w:bodyDiv w:val="1"/>
      <w:marLeft w:val="0"/>
      <w:marRight w:val="0"/>
      <w:marTop w:val="0"/>
      <w:marBottom w:val="0"/>
      <w:divBdr>
        <w:top w:val="none" w:sz="0" w:space="0" w:color="auto"/>
        <w:left w:val="none" w:sz="0" w:space="0" w:color="auto"/>
        <w:bottom w:val="none" w:sz="0" w:space="0" w:color="auto"/>
        <w:right w:val="none" w:sz="0" w:space="0" w:color="auto"/>
      </w:divBdr>
    </w:div>
    <w:div w:id="1949582316">
      <w:bodyDiv w:val="1"/>
      <w:marLeft w:val="0"/>
      <w:marRight w:val="0"/>
      <w:marTop w:val="0"/>
      <w:marBottom w:val="0"/>
      <w:divBdr>
        <w:top w:val="none" w:sz="0" w:space="0" w:color="auto"/>
        <w:left w:val="none" w:sz="0" w:space="0" w:color="auto"/>
        <w:bottom w:val="none" w:sz="0" w:space="0" w:color="auto"/>
        <w:right w:val="none" w:sz="0" w:space="0" w:color="auto"/>
      </w:divBdr>
    </w:div>
    <w:div w:id="1949654123">
      <w:bodyDiv w:val="1"/>
      <w:marLeft w:val="0"/>
      <w:marRight w:val="0"/>
      <w:marTop w:val="0"/>
      <w:marBottom w:val="0"/>
      <w:divBdr>
        <w:top w:val="none" w:sz="0" w:space="0" w:color="auto"/>
        <w:left w:val="none" w:sz="0" w:space="0" w:color="auto"/>
        <w:bottom w:val="none" w:sz="0" w:space="0" w:color="auto"/>
        <w:right w:val="none" w:sz="0" w:space="0" w:color="auto"/>
      </w:divBdr>
    </w:div>
    <w:div w:id="1950121275">
      <w:bodyDiv w:val="1"/>
      <w:marLeft w:val="0"/>
      <w:marRight w:val="0"/>
      <w:marTop w:val="0"/>
      <w:marBottom w:val="0"/>
      <w:divBdr>
        <w:top w:val="none" w:sz="0" w:space="0" w:color="auto"/>
        <w:left w:val="none" w:sz="0" w:space="0" w:color="auto"/>
        <w:bottom w:val="none" w:sz="0" w:space="0" w:color="auto"/>
        <w:right w:val="none" w:sz="0" w:space="0" w:color="auto"/>
      </w:divBdr>
    </w:div>
    <w:div w:id="1950234646">
      <w:bodyDiv w:val="1"/>
      <w:marLeft w:val="0"/>
      <w:marRight w:val="0"/>
      <w:marTop w:val="0"/>
      <w:marBottom w:val="0"/>
      <w:divBdr>
        <w:top w:val="none" w:sz="0" w:space="0" w:color="auto"/>
        <w:left w:val="none" w:sz="0" w:space="0" w:color="auto"/>
        <w:bottom w:val="none" w:sz="0" w:space="0" w:color="auto"/>
        <w:right w:val="none" w:sz="0" w:space="0" w:color="auto"/>
      </w:divBdr>
    </w:div>
    <w:div w:id="1950968136">
      <w:bodyDiv w:val="1"/>
      <w:marLeft w:val="0"/>
      <w:marRight w:val="0"/>
      <w:marTop w:val="0"/>
      <w:marBottom w:val="0"/>
      <w:divBdr>
        <w:top w:val="none" w:sz="0" w:space="0" w:color="auto"/>
        <w:left w:val="none" w:sz="0" w:space="0" w:color="auto"/>
        <w:bottom w:val="none" w:sz="0" w:space="0" w:color="auto"/>
        <w:right w:val="none" w:sz="0" w:space="0" w:color="auto"/>
      </w:divBdr>
    </w:div>
    <w:div w:id="1951014350">
      <w:bodyDiv w:val="1"/>
      <w:marLeft w:val="0"/>
      <w:marRight w:val="0"/>
      <w:marTop w:val="0"/>
      <w:marBottom w:val="0"/>
      <w:divBdr>
        <w:top w:val="none" w:sz="0" w:space="0" w:color="auto"/>
        <w:left w:val="none" w:sz="0" w:space="0" w:color="auto"/>
        <w:bottom w:val="none" w:sz="0" w:space="0" w:color="auto"/>
        <w:right w:val="none" w:sz="0" w:space="0" w:color="auto"/>
      </w:divBdr>
    </w:div>
    <w:div w:id="1951236048">
      <w:bodyDiv w:val="1"/>
      <w:marLeft w:val="0"/>
      <w:marRight w:val="0"/>
      <w:marTop w:val="0"/>
      <w:marBottom w:val="0"/>
      <w:divBdr>
        <w:top w:val="none" w:sz="0" w:space="0" w:color="auto"/>
        <w:left w:val="none" w:sz="0" w:space="0" w:color="auto"/>
        <w:bottom w:val="none" w:sz="0" w:space="0" w:color="auto"/>
        <w:right w:val="none" w:sz="0" w:space="0" w:color="auto"/>
      </w:divBdr>
    </w:div>
    <w:div w:id="1951273943">
      <w:bodyDiv w:val="1"/>
      <w:marLeft w:val="0"/>
      <w:marRight w:val="0"/>
      <w:marTop w:val="0"/>
      <w:marBottom w:val="0"/>
      <w:divBdr>
        <w:top w:val="none" w:sz="0" w:space="0" w:color="auto"/>
        <w:left w:val="none" w:sz="0" w:space="0" w:color="auto"/>
        <w:bottom w:val="none" w:sz="0" w:space="0" w:color="auto"/>
        <w:right w:val="none" w:sz="0" w:space="0" w:color="auto"/>
      </w:divBdr>
    </w:div>
    <w:div w:id="1951424354">
      <w:bodyDiv w:val="1"/>
      <w:marLeft w:val="0"/>
      <w:marRight w:val="0"/>
      <w:marTop w:val="0"/>
      <w:marBottom w:val="0"/>
      <w:divBdr>
        <w:top w:val="none" w:sz="0" w:space="0" w:color="auto"/>
        <w:left w:val="none" w:sz="0" w:space="0" w:color="auto"/>
        <w:bottom w:val="none" w:sz="0" w:space="0" w:color="auto"/>
        <w:right w:val="none" w:sz="0" w:space="0" w:color="auto"/>
      </w:divBdr>
    </w:div>
    <w:div w:id="1951542589">
      <w:bodyDiv w:val="1"/>
      <w:marLeft w:val="0"/>
      <w:marRight w:val="0"/>
      <w:marTop w:val="0"/>
      <w:marBottom w:val="0"/>
      <w:divBdr>
        <w:top w:val="none" w:sz="0" w:space="0" w:color="auto"/>
        <w:left w:val="none" w:sz="0" w:space="0" w:color="auto"/>
        <w:bottom w:val="none" w:sz="0" w:space="0" w:color="auto"/>
        <w:right w:val="none" w:sz="0" w:space="0" w:color="auto"/>
      </w:divBdr>
    </w:div>
    <w:div w:id="1951546160">
      <w:bodyDiv w:val="1"/>
      <w:marLeft w:val="0"/>
      <w:marRight w:val="0"/>
      <w:marTop w:val="0"/>
      <w:marBottom w:val="0"/>
      <w:divBdr>
        <w:top w:val="none" w:sz="0" w:space="0" w:color="auto"/>
        <w:left w:val="none" w:sz="0" w:space="0" w:color="auto"/>
        <w:bottom w:val="none" w:sz="0" w:space="0" w:color="auto"/>
        <w:right w:val="none" w:sz="0" w:space="0" w:color="auto"/>
      </w:divBdr>
    </w:div>
    <w:div w:id="1952006557">
      <w:bodyDiv w:val="1"/>
      <w:marLeft w:val="0"/>
      <w:marRight w:val="0"/>
      <w:marTop w:val="0"/>
      <w:marBottom w:val="0"/>
      <w:divBdr>
        <w:top w:val="none" w:sz="0" w:space="0" w:color="auto"/>
        <w:left w:val="none" w:sz="0" w:space="0" w:color="auto"/>
        <w:bottom w:val="none" w:sz="0" w:space="0" w:color="auto"/>
        <w:right w:val="none" w:sz="0" w:space="0" w:color="auto"/>
      </w:divBdr>
    </w:div>
    <w:div w:id="1952587031">
      <w:bodyDiv w:val="1"/>
      <w:marLeft w:val="0"/>
      <w:marRight w:val="0"/>
      <w:marTop w:val="0"/>
      <w:marBottom w:val="0"/>
      <w:divBdr>
        <w:top w:val="none" w:sz="0" w:space="0" w:color="auto"/>
        <w:left w:val="none" w:sz="0" w:space="0" w:color="auto"/>
        <w:bottom w:val="none" w:sz="0" w:space="0" w:color="auto"/>
        <w:right w:val="none" w:sz="0" w:space="0" w:color="auto"/>
      </w:divBdr>
    </w:div>
    <w:div w:id="1952590640">
      <w:bodyDiv w:val="1"/>
      <w:marLeft w:val="0"/>
      <w:marRight w:val="0"/>
      <w:marTop w:val="0"/>
      <w:marBottom w:val="0"/>
      <w:divBdr>
        <w:top w:val="none" w:sz="0" w:space="0" w:color="auto"/>
        <w:left w:val="none" w:sz="0" w:space="0" w:color="auto"/>
        <w:bottom w:val="none" w:sz="0" w:space="0" w:color="auto"/>
        <w:right w:val="none" w:sz="0" w:space="0" w:color="auto"/>
      </w:divBdr>
    </w:div>
    <w:div w:id="1953585231">
      <w:bodyDiv w:val="1"/>
      <w:marLeft w:val="0"/>
      <w:marRight w:val="0"/>
      <w:marTop w:val="0"/>
      <w:marBottom w:val="0"/>
      <w:divBdr>
        <w:top w:val="none" w:sz="0" w:space="0" w:color="auto"/>
        <w:left w:val="none" w:sz="0" w:space="0" w:color="auto"/>
        <w:bottom w:val="none" w:sz="0" w:space="0" w:color="auto"/>
        <w:right w:val="none" w:sz="0" w:space="0" w:color="auto"/>
      </w:divBdr>
    </w:div>
    <w:div w:id="1953828417">
      <w:bodyDiv w:val="1"/>
      <w:marLeft w:val="0"/>
      <w:marRight w:val="0"/>
      <w:marTop w:val="0"/>
      <w:marBottom w:val="0"/>
      <w:divBdr>
        <w:top w:val="none" w:sz="0" w:space="0" w:color="auto"/>
        <w:left w:val="none" w:sz="0" w:space="0" w:color="auto"/>
        <w:bottom w:val="none" w:sz="0" w:space="0" w:color="auto"/>
        <w:right w:val="none" w:sz="0" w:space="0" w:color="auto"/>
      </w:divBdr>
    </w:div>
    <w:div w:id="1953854558">
      <w:bodyDiv w:val="1"/>
      <w:marLeft w:val="0"/>
      <w:marRight w:val="0"/>
      <w:marTop w:val="0"/>
      <w:marBottom w:val="0"/>
      <w:divBdr>
        <w:top w:val="none" w:sz="0" w:space="0" w:color="auto"/>
        <w:left w:val="none" w:sz="0" w:space="0" w:color="auto"/>
        <w:bottom w:val="none" w:sz="0" w:space="0" w:color="auto"/>
        <w:right w:val="none" w:sz="0" w:space="0" w:color="auto"/>
      </w:divBdr>
    </w:div>
    <w:div w:id="1954285872">
      <w:bodyDiv w:val="1"/>
      <w:marLeft w:val="0"/>
      <w:marRight w:val="0"/>
      <w:marTop w:val="0"/>
      <w:marBottom w:val="0"/>
      <w:divBdr>
        <w:top w:val="none" w:sz="0" w:space="0" w:color="auto"/>
        <w:left w:val="none" w:sz="0" w:space="0" w:color="auto"/>
        <w:bottom w:val="none" w:sz="0" w:space="0" w:color="auto"/>
        <w:right w:val="none" w:sz="0" w:space="0" w:color="auto"/>
      </w:divBdr>
    </w:div>
    <w:div w:id="1954288507">
      <w:bodyDiv w:val="1"/>
      <w:marLeft w:val="0"/>
      <w:marRight w:val="0"/>
      <w:marTop w:val="0"/>
      <w:marBottom w:val="0"/>
      <w:divBdr>
        <w:top w:val="none" w:sz="0" w:space="0" w:color="auto"/>
        <w:left w:val="none" w:sz="0" w:space="0" w:color="auto"/>
        <w:bottom w:val="none" w:sz="0" w:space="0" w:color="auto"/>
        <w:right w:val="none" w:sz="0" w:space="0" w:color="auto"/>
      </w:divBdr>
    </w:div>
    <w:div w:id="1954507330">
      <w:bodyDiv w:val="1"/>
      <w:marLeft w:val="0"/>
      <w:marRight w:val="0"/>
      <w:marTop w:val="0"/>
      <w:marBottom w:val="0"/>
      <w:divBdr>
        <w:top w:val="none" w:sz="0" w:space="0" w:color="auto"/>
        <w:left w:val="none" w:sz="0" w:space="0" w:color="auto"/>
        <w:bottom w:val="none" w:sz="0" w:space="0" w:color="auto"/>
        <w:right w:val="none" w:sz="0" w:space="0" w:color="auto"/>
      </w:divBdr>
    </w:div>
    <w:div w:id="1954508974">
      <w:bodyDiv w:val="1"/>
      <w:marLeft w:val="0"/>
      <w:marRight w:val="0"/>
      <w:marTop w:val="0"/>
      <w:marBottom w:val="0"/>
      <w:divBdr>
        <w:top w:val="none" w:sz="0" w:space="0" w:color="auto"/>
        <w:left w:val="none" w:sz="0" w:space="0" w:color="auto"/>
        <w:bottom w:val="none" w:sz="0" w:space="0" w:color="auto"/>
        <w:right w:val="none" w:sz="0" w:space="0" w:color="auto"/>
      </w:divBdr>
    </w:div>
    <w:div w:id="1954705726">
      <w:bodyDiv w:val="1"/>
      <w:marLeft w:val="0"/>
      <w:marRight w:val="0"/>
      <w:marTop w:val="0"/>
      <w:marBottom w:val="0"/>
      <w:divBdr>
        <w:top w:val="none" w:sz="0" w:space="0" w:color="auto"/>
        <w:left w:val="none" w:sz="0" w:space="0" w:color="auto"/>
        <w:bottom w:val="none" w:sz="0" w:space="0" w:color="auto"/>
        <w:right w:val="none" w:sz="0" w:space="0" w:color="auto"/>
      </w:divBdr>
    </w:div>
    <w:div w:id="1955207762">
      <w:bodyDiv w:val="1"/>
      <w:marLeft w:val="0"/>
      <w:marRight w:val="0"/>
      <w:marTop w:val="0"/>
      <w:marBottom w:val="0"/>
      <w:divBdr>
        <w:top w:val="none" w:sz="0" w:space="0" w:color="auto"/>
        <w:left w:val="none" w:sz="0" w:space="0" w:color="auto"/>
        <w:bottom w:val="none" w:sz="0" w:space="0" w:color="auto"/>
        <w:right w:val="none" w:sz="0" w:space="0" w:color="auto"/>
      </w:divBdr>
    </w:div>
    <w:div w:id="1955209526">
      <w:bodyDiv w:val="1"/>
      <w:marLeft w:val="0"/>
      <w:marRight w:val="0"/>
      <w:marTop w:val="0"/>
      <w:marBottom w:val="0"/>
      <w:divBdr>
        <w:top w:val="none" w:sz="0" w:space="0" w:color="auto"/>
        <w:left w:val="none" w:sz="0" w:space="0" w:color="auto"/>
        <w:bottom w:val="none" w:sz="0" w:space="0" w:color="auto"/>
        <w:right w:val="none" w:sz="0" w:space="0" w:color="auto"/>
      </w:divBdr>
    </w:div>
    <w:div w:id="1955407934">
      <w:bodyDiv w:val="1"/>
      <w:marLeft w:val="0"/>
      <w:marRight w:val="0"/>
      <w:marTop w:val="0"/>
      <w:marBottom w:val="0"/>
      <w:divBdr>
        <w:top w:val="none" w:sz="0" w:space="0" w:color="auto"/>
        <w:left w:val="none" w:sz="0" w:space="0" w:color="auto"/>
        <w:bottom w:val="none" w:sz="0" w:space="0" w:color="auto"/>
        <w:right w:val="none" w:sz="0" w:space="0" w:color="auto"/>
      </w:divBdr>
    </w:div>
    <w:div w:id="1955793744">
      <w:bodyDiv w:val="1"/>
      <w:marLeft w:val="0"/>
      <w:marRight w:val="0"/>
      <w:marTop w:val="0"/>
      <w:marBottom w:val="0"/>
      <w:divBdr>
        <w:top w:val="none" w:sz="0" w:space="0" w:color="auto"/>
        <w:left w:val="none" w:sz="0" w:space="0" w:color="auto"/>
        <w:bottom w:val="none" w:sz="0" w:space="0" w:color="auto"/>
        <w:right w:val="none" w:sz="0" w:space="0" w:color="auto"/>
      </w:divBdr>
    </w:div>
    <w:div w:id="1956015235">
      <w:bodyDiv w:val="1"/>
      <w:marLeft w:val="0"/>
      <w:marRight w:val="0"/>
      <w:marTop w:val="0"/>
      <w:marBottom w:val="0"/>
      <w:divBdr>
        <w:top w:val="none" w:sz="0" w:space="0" w:color="auto"/>
        <w:left w:val="none" w:sz="0" w:space="0" w:color="auto"/>
        <w:bottom w:val="none" w:sz="0" w:space="0" w:color="auto"/>
        <w:right w:val="none" w:sz="0" w:space="0" w:color="auto"/>
      </w:divBdr>
    </w:div>
    <w:div w:id="1956019309">
      <w:bodyDiv w:val="1"/>
      <w:marLeft w:val="0"/>
      <w:marRight w:val="0"/>
      <w:marTop w:val="0"/>
      <w:marBottom w:val="0"/>
      <w:divBdr>
        <w:top w:val="none" w:sz="0" w:space="0" w:color="auto"/>
        <w:left w:val="none" w:sz="0" w:space="0" w:color="auto"/>
        <w:bottom w:val="none" w:sz="0" w:space="0" w:color="auto"/>
        <w:right w:val="none" w:sz="0" w:space="0" w:color="auto"/>
      </w:divBdr>
    </w:div>
    <w:div w:id="1956132027">
      <w:bodyDiv w:val="1"/>
      <w:marLeft w:val="0"/>
      <w:marRight w:val="0"/>
      <w:marTop w:val="0"/>
      <w:marBottom w:val="0"/>
      <w:divBdr>
        <w:top w:val="none" w:sz="0" w:space="0" w:color="auto"/>
        <w:left w:val="none" w:sz="0" w:space="0" w:color="auto"/>
        <w:bottom w:val="none" w:sz="0" w:space="0" w:color="auto"/>
        <w:right w:val="none" w:sz="0" w:space="0" w:color="auto"/>
      </w:divBdr>
    </w:div>
    <w:div w:id="1956399108">
      <w:bodyDiv w:val="1"/>
      <w:marLeft w:val="0"/>
      <w:marRight w:val="0"/>
      <w:marTop w:val="0"/>
      <w:marBottom w:val="0"/>
      <w:divBdr>
        <w:top w:val="none" w:sz="0" w:space="0" w:color="auto"/>
        <w:left w:val="none" w:sz="0" w:space="0" w:color="auto"/>
        <w:bottom w:val="none" w:sz="0" w:space="0" w:color="auto"/>
        <w:right w:val="none" w:sz="0" w:space="0" w:color="auto"/>
      </w:divBdr>
    </w:div>
    <w:div w:id="1956595603">
      <w:bodyDiv w:val="1"/>
      <w:marLeft w:val="0"/>
      <w:marRight w:val="0"/>
      <w:marTop w:val="0"/>
      <w:marBottom w:val="0"/>
      <w:divBdr>
        <w:top w:val="none" w:sz="0" w:space="0" w:color="auto"/>
        <w:left w:val="none" w:sz="0" w:space="0" w:color="auto"/>
        <w:bottom w:val="none" w:sz="0" w:space="0" w:color="auto"/>
        <w:right w:val="none" w:sz="0" w:space="0" w:color="auto"/>
      </w:divBdr>
    </w:div>
    <w:div w:id="1956787707">
      <w:bodyDiv w:val="1"/>
      <w:marLeft w:val="0"/>
      <w:marRight w:val="0"/>
      <w:marTop w:val="0"/>
      <w:marBottom w:val="0"/>
      <w:divBdr>
        <w:top w:val="none" w:sz="0" w:space="0" w:color="auto"/>
        <w:left w:val="none" w:sz="0" w:space="0" w:color="auto"/>
        <w:bottom w:val="none" w:sz="0" w:space="0" w:color="auto"/>
        <w:right w:val="none" w:sz="0" w:space="0" w:color="auto"/>
      </w:divBdr>
    </w:div>
    <w:div w:id="1956982609">
      <w:bodyDiv w:val="1"/>
      <w:marLeft w:val="0"/>
      <w:marRight w:val="0"/>
      <w:marTop w:val="0"/>
      <w:marBottom w:val="0"/>
      <w:divBdr>
        <w:top w:val="none" w:sz="0" w:space="0" w:color="auto"/>
        <w:left w:val="none" w:sz="0" w:space="0" w:color="auto"/>
        <w:bottom w:val="none" w:sz="0" w:space="0" w:color="auto"/>
        <w:right w:val="none" w:sz="0" w:space="0" w:color="auto"/>
      </w:divBdr>
    </w:div>
    <w:div w:id="1957641140">
      <w:bodyDiv w:val="1"/>
      <w:marLeft w:val="0"/>
      <w:marRight w:val="0"/>
      <w:marTop w:val="0"/>
      <w:marBottom w:val="0"/>
      <w:divBdr>
        <w:top w:val="none" w:sz="0" w:space="0" w:color="auto"/>
        <w:left w:val="none" w:sz="0" w:space="0" w:color="auto"/>
        <w:bottom w:val="none" w:sz="0" w:space="0" w:color="auto"/>
        <w:right w:val="none" w:sz="0" w:space="0" w:color="auto"/>
      </w:divBdr>
    </w:div>
    <w:div w:id="1957641462">
      <w:bodyDiv w:val="1"/>
      <w:marLeft w:val="0"/>
      <w:marRight w:val="0"/>
      <w:marTop w:val="0"/>
      <w:marBottom w:val="0"/>
      <w:divBdr>
        <w:top w:val="none" w:sz="0" w:space="0" w:color="auto"/>
        <w:left w:val="none" w:sz="0" w:space="0" w:color="auto"/>
        <w:bottom w:val="none" w:sz="0" w:space="0" w:color="auto"/>
        <w:right w:val="none" w:sz="0" w:space="0" w:color="auto"/>
      </w:divBdr>
    </w:div>
    <w:div w:id="1957712376">
      <w:bodyDiv w:val="1"/>
      <w:marLeft w:val="0"/>
      <w:marRight w:val="0"/>
      <w:marTop w:val="0"/>
      <w:marBottom w:val="0"/>
      <w:divBdr>
        <w:top w:val="none" w:sz="0" w:space="0" w:color="auto"/>
        <w:left w:val="none" w:sz="0" w:space="0" w:color="auto"/>
        <w:bottom w:val="none" w:sz="0" w:space="0" w:color="auto"/>
        <w:right w:val="none" w:sz="0" w:space="0" w:color="auto"/>
      </w:divBdr>
    </w:div>
    <w:div w:id="1957757630">
      <w:bodyDiv w:val="1"/>
      <w:marLeft w:val="0"/>
      <w:marRight w:val="0"/>
      <w:marTop w:val="0"/>
      <w:marBottom w:val="0"/>
      <w:divBdr>
        <w:top w:val="none" w:sz="0" w:space="0" w:color="auto"/>
        <w:left w:val="none" w:sz="0" w:space="0" w:color="auto"/>
        <w:bottom w:val="none" w:sz="0" w:space="0" w:color="auto"/>
        <w:right w:val="none" w:sz="0" w:space="0" w:color="auto"/>
      </w:divBdr>
    </w:div>
    <w:div w:id="1957978098">
      <w:bodyDiv w:val="1"/>
      <w:marLeft w:val="0"/>
      <w:marRight w:val="0"/>
      <w:marTop w:val="0"/>
      <w:marBottom w:val="0"/>
      <w:divBdr>
        <w:top w:val="none" w:sz="0" w:space="0" w:color="auto"/>
        <w:left w:val="none" w:sz="0" w:space="0" w:color="auto"/>
        <w:bottom w:val="none" w:sz="0" w:space="0" w:color="auto"/>
        <w:right w:val="none" w:sz="0" w:space="0" w:color="auto"/>
      </w:divBdr>
    </w:div>
    <w:div w:id="1958296855">
      <w:bodyDiv w:val="1"/>
      <w:marLeft w:val="0"/>
      <w:marRight w:val="0"/>
      <w:marTop w:val="0"/>
      <w:marBottom w:val="0"/>
      <w:divBdr>
        <w:top w:val="none" w:sz="0" w:space="0" w:color="auto"/>
        <w:left w:val="none" w:sz="0" w:space="0" w:color="auto"/>
        <w:bottom w:val="none" w:sz="0" w:space="0" w:color="auto"/>
        <w:right w:val="none" w:sz="0" w:space="0" w:color="auto"/>
      </w:divBdr>
    </w:div>
    <w:div w:id="1958370515">
      <w:bodyDiv w:val="1"/>
      <w:marLeft w:val="0"/>
      <w:marRight w:val="0"/>
      <w:marTop w:val="0"/>
      <w:marBottom w:val="0"/>
      <w:divBdr>
        <w:top w:val="none" w:sz="0" w:space="0" w:color="auto"/>
        <w:left w:val="none" w:sz="0" w:space="0" w:color="auto"/>
        <w:bottom w:val="none" w:sz="0" w:space="0" w:color="auto"/>
        <w:right w:val="none" w:sz="0" w:space="0" w:color="auto"/>
      </w:divBdr>
    </w:div>
    <w:div w:id="1958829729">
      <w:bodyDiv w:val="1"/>
      <w:marLeft w:val="0"/>
      <w:marRight w:val="0"/>
      <w:marTop w:val="0"/>
      <w:marBottom w:val="0"/>
      <w:divBdr>
        <w:top w:val="none" w:sz="0" w:space="0" w:color="auto"/>
        <w:left w:val="none" w:sz="0" w:space="0" w:color="auto"/>
        <w:bottom w:val="none" w:sz="0" w:space="0" w:color="auto"/>
        <w:right w:val="none" w:sz="0" w:space="0" w:color="auto"/>
      </w:divBdr>
    </w:div>
    <w:div w:id="1959146231">
      <w:bodyDiv w:val="1"/>
      <w:marLeft w:val="0"/>
      <w:marRight w:val="0"/>
      <w:marTop w:val="0"/>
      <w:marBottom w:val="0"/>
      <w:divBdr>
        <w:top w:val="none" w:sz="0" w:space="0" w:color="auto"/>
        <w:left w:val="none" w:sz="0" w:space="0" w:color="auto"/>
        <w:bottom w:val="none" w:sz="0" w:space="0" w:color="auto"/>
        <w:right w:val="none" w:sz="0" w:space="0" w:color="auto"/>
      </w:divBdr>
    </w:div>
    <w:div w:id="1959219516">
      <w:bodyDiv w:val="1"/>
      <w:marLeft w:val="0"/>
      <w:marRight w:val="0"/>
      <w:marTop w:val="0"/>
      <w:marBottom w:val="0"/>
      <w:divBdr>
        <w:top w:val="none" w:sz="0" w:space="0" w:color="auto"/>
        <w:left w:val="none" w:sz="0" w:space="0" w:color="auto"/>
        <w:bottom w:val="none" w:sz="0" w:space="0" w:color="auto"/>
        <w:right w:val="none" w:sz="0" w:space="0" w:color="auto"/>
      </w:divBdr>
    </w:div>
    <w:div w:id="1959799387">
      <w:bodyDiv w:val="1"/>
      <w:marLeft w:val="0"/>
      <w:marRight w:val="0"/>
      <w:marTop w:val="0"/>
      <w:marBottom w:val="0"/>
      <w:divBdr>
        <w:top w:val="none" w:sz="0" w:space="0" w:color="auto"/>
        <w:left w:val="none" w:sz="0" w:space="0" w:color="auto"/>
        <w:bottom w:val="none" w:sz="0" w:space="0" w:color="auto"/>
        <w:right w:val="none" w:sz="0" w:space="0" w:color="auto"/>
      </w:divBdr>
    </w:div>
    <w:div w:id="1960140674">
      <w:bodyDiv w:val="1"/>
      <w:marLeft w:val="0"/>
      <w:marRight w:val="0"/>
      <w:marTop w:val="0"/>
      <w:marBottom w:val="0"/>
      <w:divBdr>
        <w:top w:val="none" w:sz="0" w:space="0" w:color="auto"/>
        <w:left w:val="none" w:sz="0" w:space="0" w:color="auto"/>
        <w:bottom w:val="none" w:sz="0" w:space="0" w:color="auto"/>
        <w:right w:val="none" w:sz="0" w:space="0" w:color="auto"/>
      </w:divBdr>
    </w:div>
    <w:div w:id="1960793987">
      <w:bodyDiv w:val="1"/>
      <w:marLeft w:val="0"/>
      <w:marRight w:val="0"/>
      <w:marTop w:val="0"/>
      <w:marBottom w:val="0"/>
      <w:divBdr>
        <w:top w:val="none" w:sz="0" w:space="0" w:color="auto"/>
        <w:left w:val="none" w:sz="0" w:space="0" w:color="auto"/>
        <w:bottom w:val="none" w:sz="0" w:space="0" w:color="auto"/>
        <w:right w:val="none" w:sz="0" w:space="0" w:color="auto"/>
      </w:divBdr>
    </w:div>
    <w:div w:id="1960914647">
      <w:bodyDiv w:val="1"/>
      <w:marLeft w:val="0"/>
      <w:marRight w:val="0"/>
      <w:marTop w:val="0"/>
      <w:marBottom w:val="0"/>
      <w:divBdr>
        <w:top w:val="none" w:sz="0" w:space="0" w:color="auto"/>
        <w:left w:val="none" w:sz="0" w:space="0" w:color="auto"/>
        <w:bottom w:val="none" w:sz="0" w:space="0" w:color="auto"/>
        <w:right w:val="none" w:sz="0" w:space="0" w:color="auto"/>
      </w:divBdr>
    </w:div>
    <w:div w:id="1961455318">
      <w:bodyDiv w:val="1"/>
      <w:marLeft w:val="0"/>
      <w:marRight w:val="0"/>
      <w:marTop w:val="0"/>
      <w:marBottom w:val="0"/>
      <w:divBdr>
        <w:top w:val="none" w:sz="0" w:space="0" w:color="auto"/>
        <w:left w:val="none" w:sz="0" w:space="0" w:color="auto"/>
        <w:bottom w:val="none" w:sz="0" w:space="0" w:color="auto"/>
        <w:right w:val="none" w:sz="0" w:space="0" w:color="auto"/>
      </w:divBdr>
    </w:div>
    <w:div w:id="1961758312">
      <w:bodyDiv w:val="1"/>
      <w:marLeft w:val="0"/>
      <w:marRight w:val="0"/>
      <w:marTop w:val="0"/>
      <w:marBottom w:val="0"/>
      <w:divBdr>
        <w:top w:val="none" w:sz="0" w:space="0" w:color="auto"/>
        <w:left w:val="none" w:sz="0" w:space="0" w:color="auto"/>
        <w:bottom w:val="none" w:sz="0" w:space="0" w:color="auto"/>
        <w:right w:val="none" w:sz="0" w:space="0" w:color="auto"/>
      </w:divBdr>
    </w:div>
    <w:div w:id="1961909420">
      <w:bodyDiv w:val="1"/>
      <w:marLeft w:val="0"/>
      <w:marRight w:val="0"/>
      <w:marTop w:val="0"/>
      <w:marBottom w:val="0"/>
      <w:divBdr>
        <w:top w:val="none" w:sz="0" w:space="0" w:color="auto"/>
        <w:left w:val="none" w:sz="0" w:space="0" w:color="auto"/>
        <w:bottom w:val="none" w:sz="0" w:space="0" w:color="auto"/>
        <w:right w:val="none" w:sz="0" w:space="0" w:color="auto"/>
      </w:divBdr>
    </w:div>
    <w:div w:id="1962110514">
      <w:bodyDiv w:val="1"/>
      <w:marLeft w:val="0"/>
      <w:marRight w:val="0"/>
      <w:marTop w:val="0"/>
      <w:marBottom w:val="0"/>
      <w:divBdr>
        <w:top w:val="none" w:sz="0" w:space="0" w:color="auto"/>
        <w:left w:val="none" w:sz="0" w:space="0" w:color="auto"/>
        <w:bottom w:val="none" w:sz="0" w:space="0" w:color="auto"/>
        <w:right w:val="none" w:sz="0" w:space="0" w:color="auto"/>
      </w:divBdr>
    </w:div>
    <w:div w:id="1962304597">
      <w:bodyDiv w:val="1"/>
      <w:marLeft w:val="0"/>
      <w:marRight w:val="0"/>
      <w:marTop w:val="0"/>
      <w:marBottom w:val="0"/>
      <w:divBdr>
        <w:top w:val="none" w:sz="0" w:space="0" w:color="auto"/>
        <w:left w:val="none" w:sz="0" w:space="0" w:color="auto"/>
        <w:bottom w:val="none" w:sz="0" w:space="0" w:color="auto"/>
        <w:right w:val="none" w:sz="0" w:space="0" w:color="auto"/>
      </w:divBdr>
    </w:div>
    <w:div w:id="1962417216">
      <w:bodyDiv w:val="1"/>
      <w:marLeft w:val="0"/>
      <w:marRight w:val="0"/>
      <w:marTop w:val="0"/>
      <w:marBottom w:val="0"/>
      <w:divBdr>
        <w:top w:val="none" w:sz="0" w:space="0" w:color="auto"/>
        <w:left w:val="none" w:sz="0" w:space="0" w:color="auto"/>
        <w:bottom w:val="none" w:sz="0" w:space="0" w:color="auto"/>
        <w:right w:val="none" w:sz="0" w:space="0" w:color="auto"/>
      </w:divBdr>
    </w:div>
    <w:div w:id="1962571514">
      <w:bodyDiv w:val="1"/>
      <w:marLeft w:val="0"/>
      <w:marRight w:val="0"/>
      <w:marTop w:val="0"/>
      <w:marBottom w:val="0"/>
      <w:divBdr>
        <w:top w:val="none" w:sz="0" w:space="0" w:color="auto"/>
        <w:left w:val="none" w:sz="0" w:space="0" w:color="auto"/>
        <w:bottom w:val="none" w:sz="0" w:space="0" w:color="auto"/>
        <w:right w:val="none" w:sz="0" w:space="0" w:color="auto"/>
      </w:divBdr>
    </w:div>
    <w:div w:id="1963001478">
      <w:bodyDiv w:val="1"/>
      <w:marLeft w:val="0"/>
      <w:marRight w:val="0"/>
      <w:marTop w:val="0"/>
      <w:marBottom w:val="0"/>
      <w:divBdr>
        <w:top w:val="none" w:sz="0" w:space="0" w:color="auto"/>
        <w:left w:val="none" w:sz="0" w:space="0" w:color="auto"/>
        <w:bottom w:val="none" w:sz="0" w:space="0" w:color="auto"/>
        <w:right w:val="none" w:sz="0" w:space="0" w:color="auto"/>
      </w:divBdr>
    </w:div>
    <w:div w:id="1963270441">
      <w:bodyDiv w:val="1"/>
      <w:marLeft w:val="0"/>
      <w:marRight w:val="0"/>
      <w:marTop w:val="0"/>
      <w:marBottom w:val="0"/>
      <w:divBdr>
        <w:top w:val="none" w:sz="0" w:space="0" w:color="auto"/>
        <w:left w:val="none" w:sz="0" w:space="0" w:color="auto"/>
        <w:bottom w:val="none" w:sz="0" w:space="0" w:color="auto"/>
        <w:right w:val="none" w:sz="0" w:space="0" w:color="auto"/>
      </w:divBdr>
    </w:div>
    <w:div w:id="1963345202">
      <w:bodyDiv w:val="1"/>
      <w:marLeft w:val="0"/>
      <w:marRight w:val="0"/>
      <w:marTop w:val="0"/>
      <w:marBottom w:val="0"/>
      <w:divBdr>
        <w:top w:val="none" w:sz="0" w:space="0" w:color="auto"/>
        <w:left w:val="none" w:sz="0" w:space="0" w:color="auto"/>
        <w:bottom w:val="none" w:sz="0" w:space="0" w:color="auto"/>
        <w:right w:val="none" w:sz="0" w:space="0" w:color="auto"/>
      </w:divBdr>
    </w:div>
    <w:div w:id="1964337629">
      <w:bodyDiv w:val="1"/>
      <w:marLeft w:val="0"/>
      <w:marRight w:val="0"/>
      <w:marTop w:val="0"/>
      <w:marBottom w:val="0"/>
      <w:divBdr>
        <w:top w:val="none" w:sz="0" w:space="0" w:color="auto"/>
        <w:left w:val="none" w:sz="0" w:space="0" w:color="auto"/>
        <w:bottom w:val="none" w:sz="0" w:space="0" w:color="auto"/>
        <w:right w:val="none" w:sz="0" w:space="0" w:color="auto"/>
      </w:divBdr>
    </w:div>
    <w:div w:id="1964340504">
      <w:bodyDiv w:val="1"/>
      <w:marLeft w:val="0"/>
      <w:marRight w:val="0"/>
      <w:marTop w:val="0"/>
      <w:marBottom w:val="0"/>
      <w:divBdr>
        <w:top w:val="none" w:sz="0" w:space="0" w:color="auto"/>
        <w:left w:val="none" w:sz="0" w:space="0" w:color="auto"/>
        <w:bottom w:val="none" w:sz="0" w:space="0" w:color="auto"/>
        <w:right w:val="none" w:sz="0" w:space="0" w:color="auto"/>
      </w:divBdr>
    </w:div>
    <w:div w:id="1964379428">
      <w:bodyDiv w:val="1"/>
      <w:marLeft w:val="0"/>
      <w:marRight w:val="0"/>
      <w:marTop w:val="0"/>
      <w:marBottom w:val="0"/>
      <w:divBdr>
        <w:top w:val="none" w:sz="0" w:space="0" w:color="auto"/>
        <w:left w:val="none" w:sz="0" w:space="0" w:color="auto"/>
        <w:bottom w:val="none" w:sz="0" w:space="0" w:color="auto"/>
        <w:right w:val="none" w:sz="0" w:space="0" w:color="auto"/>
      </w:divBdr>
    </w:div>
    <w:div w:id="1964576230">
      <w:bodyDiv w:val="1"/>
      <w:marLeft w:val="0"/>
      <w:marRight w:val="0"/>
      <w:marTop w:val="0"/>
      <w:marBottom w:val="0"/>
      <w:divBdr>
        <w:top w:val="none" w:sz="0" w:space="0" w:color="auto"/>
        <w:left w:val="none" w:sz="0" w:space="0" w:color="auto"/>
        <w:bottom w:val="none" w:sz="0" w:space="0" w:color="auto"/>
        <w:right w:val="none" w:sz="0" w:space="0" w:color="auto"/>
      </w:divBdr>
    </w:div>
    <w:div w:id="1964730665">
      <w:bodyDiv w:val="1"/>
      <w:marLeft w:val="0"/>
      <w:marRight w:val="0"/>
      <w:marTop w:val="0"/>
      <w:marBottom w:val="0"/>
      <w:divBdr>
        <w:top w:val="none" w:sz="0" w:space="0" w:color="auto"/>
        <w:left w:val="none" w:sz="0" w:space="0" w:color="auto"/>
        <w:bottom w:val="none" w:sz="0" w:space="0" w:color="auto"/>
        <w:right w:val="none" w:sz="0" w:space="0" w:color="auto"/>
      </w:divBdr>
    </w:div>
    <w:div w:id="1966228844">
      <w:bodyDiv w:val="1"/>
      <w:marLeft w:val="0"/>
      <w:marRight w:val="0"/>
      <w:marTop w:val="0"/>
      <w:marBottom w:val="0"/>
      <w:divBdr>
        <w:top w:val="none" w:sz="0" w:space="0" w:color="auto"/>
        <w:left w:val="none" w:sz="0" w:space="0" w:color="auto"/>
        <w:bottom w:val="none" w:sz="0" w:space="0" w:color="auto"/>
        <w:right w:val="none" w:sz="0" w:space="0" w:color="auto"/>
      </w:divBdr>
    </w:div>
    <w:div w:id="1966229165">
      <w:bodyDiv w:val="1"/>
      <w:marLeft w:val="0"/>
      <w:marRight w:val="0"/>
      <w:marTop w:val="0"/>
      <w:marBottom w:val="0"/>
      <w:divBdr>
        <w:top w:val="none" w:sz="0" w:space="0" w:color="auto"/>
        <w:left w:val="none" w:sz="0" w:space="0" w:color="auto"/>
        <w:bottom w:val="none" w:sz="0" w:space="0" w:color="auto"/>
        <w:right w:val="none" w:sz="0" w:space="0" w:color="auto"/>
      </w:divBdr>
    </w:div>
    <w:div w:id="1966231524">
      <w:bodyDiv w:val="1"/>
      <w:marLeft w:val="0"/>
      <w:marRight w:val="0"/>
      <w:marTop w:val="0"/>
      <w:marBottom w:val="0"/>
      <w:divBdr>
        <w:top w:val="none" w:sz="0" w:space="0" w:color="auto"/>
        <w:left w:val="none" w:sz="0" w:space="0" w:color="auto"/>
        <w:bottom w:val="none" w:sz="0" w:space="0" w:color="auto"/>
        <w:right w:val="none" w:sz="0" w:space="0" w:color="auto"/>
      </w:divBdr>
    </w:div>
    <w:div w:id="1966932153">
      <w:bodyDiv w:val="1"/>
      <w:marLeft w:val="0"/>
      <w:marRight w:val="0"/>
      <w:marTop w:val="0"/>
      <w:marBottom w:val="0"/>
      <w:divBdr>
        <w:top w:val="none" w:sz="0" w:space="0" w:color="auto"/>
        <w:left w:val="none" w:sz="0" w:space="0" w:color="auto"/>
        <w:bottom w:val="none" w:sz="0" w:space="0" w:color="auto"/>
        <w:right w:val="none" w:sz="0" w:space="0" w:color="auto"/>
      </w:divBdr>
    </w:div>
    <w:div w:id="1967349190">
      <w:bodyDiv w:val="1"/>
      <w:marLeft w:val="0"/>
      <w:marRight w:val="0"/>
      <w:marTop w:val="0"/>
      <w:marBottom w:val="0"/>
      <w:divBdr>
        <w:top w:val="none" w:sz="0" w:space="0" w:color="auto"/>
        <w:left w:val="none" w:sz="0" w:space="0" w:color="auto"/>
        <w:bottom w:val="none" w:sz="0" w:space="0" w:color="auto"/>
        <w:right w:val="none" w:sz="0" w:space="0" w:color="auto"/>
      </w:divBdr>
    </w:div>
    <w:div w:id="1967659753">
      <w:bodyDiv w:val="1"/>
      <w:marLeft w:val="0"/>
      <w:marRight w:val="0"/>
      <w:marTop w:val="0"/>
      <w:marBottom w:val="0"/>
      <w:divBdr>
        <w:top w:val="none" w:sz="0" w:space="0" w:color="auto"/>
        <w:left w:val="none" w:sz="0" w:space="0" w:color="auto"/>
        <w:bottom w:val="none" w:sz="0" w:space="0" w:color="auto"/>
        <w:right w:val="none" w:sz="0" w:space="0" w:color="auto"/>
      </w:divBdr>
    </w:div>
    <w:div w:id="1968849400">
      <w:bodyDiv w:val="1"/>
      <w:marLeft w:val="0"/>
      <w:marRight w:val="0"/>
      <w:marTop w:val="0"/>
      <w:marBottom w:val="0"/>
      <w:divBdr>
        <w:top w:val="none" w:sz="0" w:space="0" w:color="auto"/>
        <w:left w:val="none" w:sz="0" w:space="0" w:color="auto"/>
        <w:bottom w:val="none" w:sz="0" w:space="0" w:color="auto"/>
        <w:right w:val="none" w:sz="0" w:space="0" w:color="auto"/>
      </w:divBdr>
    </w:div>
    <w:div w:id="1969236167">
      <w:bodyDiv w:val="1"/>
      <w:marLeft w:val="0"/>
      <w:marRight w:val="0"/>
      <w:marTop w:val="0"/>
      <w:marBottom w:val="0"/>
      <w:divBdr>
        <w:top w:val="none" w:sz="0" w:space="0" w:color="auto"/>
        <w:left w:val="none" w:sz="0" w:space="0" w:color="auto"/>
        <w:bottom w:val="none" w:sz="0" w:space="0" w:color="auto"/>
        <w:right w:val="none" w:sz="0" w:space="0" w:color="auto"/>
      </w:divBdr>
    </w:div>
    <w:div w:id="1969435962">
      <w:bodyDiv w:val="1"/>
      <w:marLeft w:val="0"/>
      <w:marRight w:val="0"/>
      <w:marTop w:val="0"/>
      <w:marBottom w:val="0"/>
      <w:divBdr>
        <w:top w:val="none" w:sz="0" w:space="0" w:color="auto"/>
        <w:left w:val="none" w:sz="0" w:space="0" w:color="auto"/>
        <w:bottom w:val="none" w:sz="0" w:space="0" w:color="auto"/>
        <w:right w:val="none" w:sz="0" w:space="0" w:color="auto"/>
      </w:divBdr>
    </w:div>
    <w:div w:id="1969970332">
      <w:bodyDiv w:val="1"/>
      <w:marLeft w:val="0"/>
      <w:marRight w:val="0"/>
      <w:marTop w:val="0"/>
      <w:marBottom w:val="0"/>
      <w:divBdr>
        <w:top w:val="none" w:sz="0" w:space="0" w:color="auto"/>
        <w:left w:val="none" w:sz="0" w:space="0" w:color="auto"/>
        <w:bottom w:val="none" w:sz="0" w:space="0" w:color="auto"/>
        <w:right w:val="none" w:sz="0" w:space="0" w:color="auto"/>
      </w:divBdr>
    </w:div>
    <w:div w:id="1970013449">
      <w:bodyDiv w:val="1"/>
      <w:marLeft w:val="0"/>
      <w:marRight w:val="0"/>
      <w:marTop w:val="0"/>
      <w:marBottom w:val="0"/>
      <w:divBdr>
        <w:top w:val="none" w:sz="0" w:space="0" w:color="auto"/>
        <w:left w:val="none" w:sz="0" w:space="0" w:color="auto"/>
        <w:bottom w:val="none" w:sz="0" w:space="0" w:color="auto"/>
        <w:right w:val="none" w:sz="0" w:space="0" w:color="auto"/>
      </w:divBdr>
    </w:div>
    <w:div w:id="1970166380">
      <w:bodyDiv w:val="1"/>
      <w:marLeft w:val="0"/>
      <w:marRight w:val="0"/>
      <w:marTop w:val="0"/>
      <w:marBottom w:val="0"/>
      <w:divBdr>
        <w:top w:val="none" w:sz="0" w:space="0" w:color="auto"/>
        <w:left w:val="none" w:sz="0" w:space="0" w:color="auto"/>
        <w:bottom w:val="none" w:sz="0" w:space="0" w:color="auto"/>
        <w:right w:val="none" w:sz="0" w:space="0" w:color="auto"/>
      </w:divBdr>
    </w:div>
    <w:div w:id="1970209104">
      <w:bodyDiv w:val="1"/>
      <w:marLeft w:val="0"/>
      <w:marRight w:val="0"/>
      <w:marTop w:val="0"/>
      <w:marBottom w:val="0"/>
      <w:divBdr>
        <w:top w:val="none" w:sz="0" w:space="0" w:color="auto"/>
        <w:left w:val="none" w:sz="0" w:space="0" w:color="auto"/>
        <w:bottom w:val="none" w:sz="0" w:space="0" w:color="auto"/>
        <w:right w:val="none" w:sz="0" w:space="0" w:color="auto"/>
      </w:divBdr>
    </w:div>
    <w:div w:id="1970477950">
      <w:bodyDiv w:val="1"/>
      <w:marLeft w:val="0"/>
      <w:marRight w:val="0"/>
      <w:marTop w:val="0"/>
      <w:marBottom w:val="0"/>
      <w:divBdr>
        <w:top w:val="none" w:sz="0" w:space="0" w:color="auto"/>
        <w:left w:val="none" w:sz="0" w:space="0" w:color="auto"/>
        <w:bottom w:val="none" w:sz="0" w:space="0" w:color="auto"/>
        <w:right w:val="none" w:sz="0" w:space="0" w:color="auto"/>
      </w:divBdr>
    </w:div>
    <w:div w:id="1970628110">
      <w:bodyDiv w:val="1"/>
      <w:marLeft w:val="0"/>
      <w:marRight w:val="0"/>
      <w:marTop w:val="0"/>
      <w:marBottom w:val="0"/>
      <w:divBdr>
        <w:top w:val="none" w:sz="0" w:space="0" w:color="auto"/>
        <w:left w:val="none" w:sz="0" w:space="0" w:color="auto"/>
        <w:bottom w:val="none" w:sz="0" w:space="0" w:color="auto"/>
        <w:right w:val="none" w:sz="0" w:space="0" w:color="auto"/>
      </w:divBdr>
    </w:div>
    <w:div w:id="1970815112">
      <w:bodyDiv w:val="1"/>
      <w:marLeft w:val="0"/>
      <w:marRight w:val="0"/>
      <w:marTop w:val="0"/>
      <w:marBottom w:val="0"/>
      <w:divBdr>
        <w:top w:val="none" w:sz="0" w:space="0" w:color="auto"/>
        <w:left w:val="none" w:sz="0" w:space="0" w:color="auto"/>
        <w:bottom w:val="none" w:sz="0" w:space="0" w:color="auto"/>
        <w:right w:val="none" w:sz="0" w:space="0" w:color="auto"/>
      </w:divBdr>
    </w:div>
    <w:div w:id="1971739100">
      <w:bodyDiv w:val="1"/>
      <w:marLeft w:val="0"/>
      <w:marRight w:val="0"/>
      <w:marTop w:val="0"/>
      <w:marBottom w:val="0"/>
      <w:divBdr>
        <w:top w:val="none" w:sz="0" w:space="0" w:color="auto"/>
        <w:left w:val="none" w:sz="0" w:space="0" w:color="auto"/>
        <w:bottom w:val="none" w:sz="0" w:space="0" w:color="auto"/>
        <w:right w:val="none" w:sz="0" w:space="0" w:color="auto"/>
      </w:divBdr>
    </w:div>
    <w:div w:id="1972054099">
      <w:bodyDiv w:val="1"/>
      <w:marLeft w:val="0"/>
      <w:marRight w:val="0"/>
      <w:marTop w:val="0"/>
      <w:marBottom w:val="0"/>
      <w:divBdr>
        <w:top w:val="none" w:sz="0" w:space="0" w:color="auto"/>
        <w:left w:val="none" w:sz="0" w:space="0" w:color="auto"/>
        <w:bottom w:val="none" w:sz="0" w:space="0" w:color="auto"/>
        <w:right w:val="none" w:sz="0" w:space="0" w:color="auto"/>
      </w:divBdr>
    </w:div>
    <w:div w:id="1972397909">
      <w:bodyDiv w:val="1"/>
      <w:marLeft w:val="0"/>
      <w:marRight w:val="0"/>
      <w:marTop w:val="0"/>
      <w:marBottom w:val="0"/>
      <w:divBdr>
        <w:top w:val="none" w:sz="0" w:space="0" w:color="auto"/>
        <w:left w:val="none" w:sz="0" w:space="0" w:color="auto"/>
        <w:bottom w:val="none" w:sz="0" w:space="0" w:color="auto"/>
        <w:right w:val="none" w:sz="0" w:space="0" w:color="auto"/>
      </w:divBdr>
    </w:div>
    <w:div w:id="1972900041">
      <w:bodyDiv w:val="1"/>
      <w:marLeft w:val="0"/>
      <w:marRight w:val="0"/>
      <w:marTop w:val="0"/>
      <w:marBottom w:val="0"/>
      <w:divBdr>
        <w:top w:val="none" w:sz="0" w:space="0" w:color="auto"/>
        <w:left w:val="none" w:sz="0" w:space="0" w:color="auto"/>
        <w:bottom w:val="none" w:sz="0" w:space="0" w:color="auto"/>
        <w:right w:val="none" w:sz="0" w:space="0" w:color="auto"/>
      </w:divBdr>
    </w:div>
    <w:div w:id="1972981984">
      <w:bodyDiv w:val="1"/>
      <w:marLeft w:val="0"/>
      <w:marRight w:val="0"/>
      <w:marTop w:val="0"/>
      <w:marBottom w:val="0"/>
      <w:divBdr>
        <w:top w:val="none" w:sz="0" w:space="0" w:color="auto"/>
        <w:left w:val="none" w:sz="0" w:space="0" w:color="auto"/>
        <w:bottom w:val="none" w:sz="0" w:space="0" w:color="auto"/>
        <w:right w:val="none" w:sz="0" w:space="0" w:color="auto"/>
      </w:divBdr>
    </w:div>
    <w:div w:id="1973056494">
      <w:bodyDiv w:val="1"/>
      <w:marLeft w:val="0"/>
      <w:marRight w:val="0"/>
      <w:marTop w:val="0"/>
      <w:marBottom w:val="0"/>
      <w:divBdr>
        <w:top w:val="none" w:sz="0" w:space="0" w:color="auto"/>
        <w:left w:val="none" w:sz="0" w:space="0" w:color="auto"/>
        <w:bottom w:val="none" w:sz="0" w:space="0" w:color="auto"/>
        <w:right w:val="none" w:sz="0" w:space="0" w:color="auto"/>
      </w:divBdr>
    </w:div>
    <w:div w:id="1973289607">
      <w:bodyDiv w:val="1"/>
      <w:marLeft w:val="0"/>
      <w:marRight w:val="0"/>
      <w:marTop w:val="0"/>
      <w:marBottom w:val="0"/>
      <w:divBdr>
        <w:top w:val="none" w:sz="0" w:space="0" w:color="auto"/>
        <w:left w:val="none" w:sz="0" w:space="0" w:color="auto"/>
        <w:bottom w:val="none" w:sz="0" w:space="0" w:color="auto"/>
        <w:right w:val="none" w:sz="0" w:space="0" w:color="auto"/>
      </w:divBdr>
    </w:div>
    <w:div w:id="1973558985">
      <w:bodyDiv w:val="1"/>
      <w:marLeft w:val="0"/>
      <w:marRight w:val="0"/>
      <w:marTop w:val="0"/>
      <w:marBottom w:val="0"/>
      <w:divBdr>
        <w:top w:val="none" w:sz="0" w:space="0" w:color="auto"/>
        <w:left w:val="none" w:sz="0" w:space="0" w:color="auto"/>
        <w:bottom w:val="none" w:sz="0" w:space="0" w:color="auto"/>
        <w:right w:val="none" w:sz="0" w:space="0" w:color="auto"/>
      </w:divBdr>
    </w:div>
    <w:div w:id="1974747507">
      <w:bodyDiv w:val="1"/>
      <w:marLeft w:val="0"/>
      <w:marRight w:val="0"/>
      <w:marTop w:val="0"/>
      <w:marBottom w:val="0"/>
      <w:divBdr>
        <w:top w:val="none" w:sz="0" w:space="0" w:color="auto"/>
        <w:left w:val="none" w:sz="0" w:space="0" w:color="auto"/>
        <w:bottom w:val="none" w:sz="0" w:space="0" w:color="auto"/>
        <w:right w:val="none" w:sz="0" w:space="0" w:color="auto"/>
      </w:divBdr>
    </w:div>
    <w:div w:id="1975139533">
      <w:bodyDiv w:val="1"/>
      <w:marLeft w:val="0"/>
      <w:marRight w:val="0"/>
      <w:marTop w:val="0"/>
      <w:marBottom w:val="0"/>
      <w:divBdr>
        <w:top w:val="none" w:sz="0" w:space="0" w:color="auto"/>
        <w:left w:val="none" w:sz="0" w:space="0" w:color="auto"/>
        <w:bottom w:val="none" w:sz="0" w:space="0" w:color="auto"/>
        <w:right w:val="none" w:sz="0" w:space="0" w:color="auto"/>
      </w:divBdr>
    </w:div>
    <w:div w:id="1975405491">
      <w:bodyDiv w:val="1"/>
      <w:marLeft w:val="0"/>
      <w:marRight w:val="0"/>
      <w:marTop w:val="0"/>
      <w:marBottom w:val="0"/>
      <w:divBdr>
        <w:top w:val="none" w:sz="0" w:space="0" w:color="auto"/>
        <w:left w:val="none" w:sz="0" w:space="0" w:color="auto"/>
        <w:bottom w:val="none" w:sz="0" w:space="0" w:color="auto"/>
        <w:right w:val="none" w:sz="0" w:space="0" w:color="auto"/>
      </w:divBdr>
    </w:div>
    <w:div w:id="1975718718">
      <w:bodyDiv w:val="1"/>
      <w:marLeft w:val="0"/>
      <w:marRight w:val="0"/>
      <w:marTop w:val="0"/>
      <w:marBottom w:val="0"/>
      <w:divBdr>
        <w:top w:val="none" w:sz="0" w:space="0" w:color="auto"/>
        <w:left w:val="none" w:sz="0" w:space="0" w:color="auto"/>
        <w:bottom w:val="none" w:sz="0" w:space="0" w:color="auto"/>
        <w:right w:val="none" w:sz="0" w:space="0" w:color="auto"/>
      </w:divBdr>
    </w:div>
    <w:div w:id="1975866307">
      <w:bodyDiv w:val="1"/>
      <w:marLeft w:val="0"/>
      <w:marRight w:val="0"/>
      <w:marTop w:val="0"/>
      <w:marBottom w:val="0"/>
      <w:divBdr>
        <w:top w:val="none" w:sz="0" w:space="0" w:color="auto"/>
        <w:left w:val="none" w:sz="0" w:space="0" w:color="auto"/>
        <w:bottom w:val="none" w:sz="0" w:space="0" w:color="auto"/>
        <w:right w:val="none" w:sz="0" w:space="0" w:color="auto"/>
      </w:divBdr>
    </w:div>
    <w:div w:id="1976374147">
      <w:bodyDiv w:val="1"/>
      <w:marLeft w:val="0"/>
      <w:marRight w:val="0"/>
      <w:marTop w:val="0"/>
      <w:marBottom w:val="0"/>
      <w:divBdr>
        <w:top w:val="none" w:sz="0" w:space="0" w:color="auto"/>
        <w:left w:val="none" w:sz="0" w:space="0" w:color="auto"/>
        <w:bottom w:val="none" w:sz="0" w:space="0" w:color="auto"/>
        <w:right w:val="none" w:sz="0" w:space="0" w:color="auto"/>
      </w:divBdr>
    </w:div>
    <w:div w:id="1976831296">
      <w:bodyDiv w:val="1"/>
      <w:marLeft w:val="0"/>
      <w:marRight w:val="0"/>
      <w:marTop w:val="0"/>
      <w:marBottom w:val="0"/>
      <w:divBdr>
        <w:top w:val="none" w:sz="0" w:space="0" w:color="auto"/>
        <w:left w:val="none" w:sz="0" w:space="0" w:color="auto"/>
        <w:bottom w:val="none" w:sz="0" w:space="0" w:color="auto"/>
        <w:right w:val="none" w:sz="0" w:space="0" w:color="auto"/>
      </w:divBdr>
    </w:div>
    <w:div w:id="1977105487">
      <w:bodyDiv w:val="1"/>
      <w:marLeft w:val="0"/>
      <w:marRight w:val="0"/>
      <w:marTop w:val="0"/>
      <w:marBottom w:val="0"/>
      <w:divBdr>
        <w:top w:val="none" w:sz="0" w:space="0" w:color="auto"/>
        <w:left w:val="none" w:sz="0" w:space="0" w:color="auto"/>
        <w:bottom w:val="none" w:sz="0" w:space="0" w:color="auto"/>
        <w:right w:val="none" w:sz="0" w:space="0" w:color="auto"/>
      </w:divBdr>
    </w:div>
    <w:div w:id="1977877103">
      <w:bodyDiv w:val="1"/>
      <w:marLeft w:val="0"/>
      <w:marRight w:val="0"/>
      <w:marTop w:val="0"/>
      <w:marBottom w:val="0"/>
      <w:divBdr>
        <w:top w:val="none" w:sz="0" w:space="0" w:color="auto"/>
        <w:left w:val="none" w:sz="0" w:space="0" w:color="auto"/>
        <w:bottom w:val="none" w:sz="0" w:space="0" w:color="auto"/>
        <w:right w:val="none" w:sz="0" w:space="0" w:color="auto"/>
      </w:divBdr>
    </w:div>
    <w:div w:id="1978493306">
      <w:bodyDiv w:val="1"/>
      <w:marLeft w:val="0"/>
      <w:marRight w:val="0"/>
      <w:marTop w:val="0"/>
      <w:marBottom w:val="0"/>
      <w:divBdr>
        <w:top w:val="none" w:sz="0" w:space="0" w:color="auto"/>
        <w:left w:val="none" w:sz="0" w:space="0" w:color="auto"/>
        <w:bottom w:val="none" w:sz="0" w:space="0" w:color="auto"/>
        <w:right w:val="none" w:sz="0" w:space="0" w:color="auto"/>
      </w:divBdr>
    </w:div>
    <w:div w:id="1979070195">
      <w:bodyDiv w:val="1"/>
      <w:marLeft w:val="0"/>
      <w:marRight w:val="0"/>
      <w:marTop w:val="0"/>
      <w:marBottom w:val="0"/>
      <w:divBdr>
        <w:top w:val="none" w:sz="0" w:space="0" w:color="auto"/>
        <w:left w:val="none" w:sz="0" w:space="0" w:color="auto"/>
        <w:bottom w:val="none" w:sz="0" w:space="0" w:color="auto"/>
        <w:right w:val="none" w:sz="0" w:space="0" w:color="auto"/>
      </w:divBdr>
    </w:div>
    <w:div w:id="1979187615">
      <w:bodyDiv w:val="1"/>
      <w:marLeft w:val="0"/>
      <w:marRight w:val="0"/>
      <w:marTop w:val="0"/>
      <w:marBottom w:val="0"/>
      <w:divBdr>
        <w:top w:val="none" w:sz="0" w:space="0" w:color="auto"/>
        <w:left w:val="none" w:sz="0" w:space="0" w:color="auto"/>
        <w:bottom w:val="none" w:sz="0" w:space="0" w:color="auto"/>
        <w:right w:val="none" w:sz="0" w:space="0" w:color="auto"/>
      </w:divBdr>
    </w:div>
    <w:div w:id="1979218047">
      <w:bodyDiv w:val="1"/>
      <w:marLeft w:val="0"/>
      <w:marRight w:val="0"/>
      <w:marTop w:val="0"/>
      <w:marBottom w:val="0"/>
      <w:divBdr>
        <w:top w:val="none" w:sz="0" w:space="0" w:color="auto"/>
        <w:left w:val="none" w:sz="0" w:space="0" w:color="auto"/>
        <w:bottom w:val="none" w:sz="0" w:space="0" w:color="auto"/>
        <w:right w:val="none" w:sz="0" w:space="0" w:color="auto"/>
      </w:divBdr>
    </w:div>
    <w:div w:id="1979457910">
      <w:bodyDiv w:val="1"/>
      <w:marLeft w:val="0"/>
      <w:marRight w:val="0"/>
      <w:marTop w:val="0"/>
      <w:marBottom w:val="0"/>
      <w:divBdr>
        <w:top w:val="none" w:sz="0" w:space="0" w:color="auto"/>
        <w:left w:val="none" w:sz="0" w:space="0" w:color="auto"/>
        <w:bottom w:val="none" w:sz="0" w:space="0" w:color="auto"/>
        <w:right w:val="none" w:sz="0" w:space="0" w:color="auto"/>
      </w:divBdr>
    </w:div>
    <w:div w:id="1979727031">
      <w:bodyDiv w:val="1"/>
      <w:marLeft w:val="0"/>
      <w:marRight w:val="0"/>
      <w:marTop w:val="0"/>
      <w:marBottom w:val="0"/>
      <w:divBdr>
        <w:top w:val="none" w:sz="0" w:space="0" w:color="auto"/>
        <w:left w:val="none" w:sz="0" w:space="0" w:color="auto"/>
        <w:bottom w:val="none" w:sz="0" w:space="0" w:color="auto"/>
        <w:right w:val="none" w:sz="0" w:space="0" w:color="auto"/>
      </w:divBdr>
    </w:div>
    <w:div w:id="1979843820">
      <w:bodyDiv w:val="1"/>
      <w:marLeft w:val="0"/>
      <w:marRight w:val="0"/>
      <w:marTop w:val="0"/>
      <w:marBottom w:val="0"/>
      <w:divBdr>
        <w:top w:val="none" w:sz="0" w:space="0" w:color="auto"/>
        <w:left w:val="none" w:sz="0" w:space="0" w:color="auto"/>
        <w:bottom w:val="none" w:sz="0" w:space="0" w:color="auto"/>
        <w:right w:val="none" w:sz="0" w:space="0" w:color="auto"/>
      </w:divBdr>
    </w:div>
    <w:div w:id="1979914217">
      <w:bodyDiv w:val="1"/>
      <w:marLeft w:val="0"/>
      <w:marRight w:val="0"/>
      <w:marTop w:val="0"/>
      <w:marBottom w:val="0"/>
      <w:divBdr>
        <w:top w:val="none" w:sz="0" w:space="0" w:color="auto"/>
        <w:left w:val="none" w:sz="0" w:space="0" w:color="auto"/>
        <w:bottom w:val="none" w:sz="0" w:space="0" w:color="auto"/>
        <w:right w:val="none" w:sz="0" w:space="0" w:color="auto"/>
      </w:divBdr>
    </w:div>
    <w:div w:id="1980111363">
      <w:bodyDiv w:val="1"/>
      <w:marLeft w:val="0"/>
      <w:marRight w:val="0"/>
      <w:marTop w:val="0"/>
      <w:marBottom w:val="0"/>
      <w:divBdr>
        <w:top w:val="none" w:sz="0" w:space="0" w:color="auto"/>
        <w:left w:val="none" w:sz="0" w:space="0" w:color="auto"/>
        <w:bottom w:val="none" w:sz="0" w:space="0" w:color="auto"/>
        <w:right w:val="none" w:sz="0" w:space="0" w:color="auto"/>
      </w:divBdr>
    </w:div>
    <w:div w:id="1980114423">
      <w:bodyDiv w:val="1"/>
      <w:marLeft w:val="0"/>
      <w:marRight w:val="0"/>
      <w:marTop w:val="0"/>
      <w:marBottom w:val="0"/>
      <w:divBdr>
        <w:top w:val="none" w:sz="0" w:space="0" w:color="auto"/>
        <w:left w:val="none" w:sz="0" w:space="0" w:color="auto"/>
        <w:bottom w:val="none" w:sz="0" w:space="0" w:color="auto"/>
        <w:right w:val="none" w:sz="0" w:space="0" w:color="auto"/>
      </w:divBdr>
    </w:div>
    <w:div w:id="1980567930">
      <w:bodyDiv w:val="1"/>
      <w:marLeft w:val="0"/>
      <w:marRight w:val="0"/>
      <w:marTop w:val="0"/>
      <w:marBottom w:val="0"/>
      <w:divBdr>
        <w:top w:val="none" w:sz="0" w:space="0" w:color="auto"/>
        <w:left w:val="none" w:sz="0" w:space="0" w:color="auto"/>
        <w:bottom w:val="none" w:sz="0" w:space="0" w:color="auto"/>
        <w:right w:val="none" w:sz="0" w:space="0" w:color="auto"/>
      </w:divBdr>
    </w:div>
    <w:div w:id="1980572939">
      <w:bodyDiv w:val="1"/>
      <w:marLeft w:val="0"/>
      <w:marRight w:val="0"/>
      <w:marTop w:val="0"/>
      <w:marBottom w:val="0"/>
      <w:divBdr>
        <w:top w:val="none" w:sz="0" w:space="0" w:color="auto"/>
        <w:left w:val="none" w:sz="0" w:space="0" w:color="auto"/>
        <w:bottom w:val="none" w:sz="0" w:space="0" w:color="auto"/>
        <w:right w:val="none" w:sz="0" w:space="0" w:color="auto"/>
      </w:divBdr>
    </w:div>
    <w:div w:id="1980646676">
      <w:bodyDiv w:val="1"/>
      <w:marLeft w:val="0"/>
      <w:marRight w:val="0"/>
      <w:marTop w:val="0"/>
      <w:marBottom w:val="0"/>
      <w:divBdr>
        <w:top w:val="none" w:sz="0" w:space="0" w:color="auto"/>
        <w:left w:val="none" w:sz="0" w:space="0" w:color="auto"/>
        <w:bottom w:val="none" w:sz="0" w:space="0" w:color="auto"/>
        <w:right w:val="none" w:sz="0" w:space="0" w:color="auto"/>
      </w:divBdr>
    </w:div>
    <w:div w:id="1980765823">
      <w:bodyDiv w:val="1"/>
      <w:marLeft w:val="0"/>
      <w:marRight w:val="0"/>
      <w:marTop w:val="0"/>
      <w:marBottom w:val="0"/>
      <w:divBdr>
        <w:top w:val="none" w:sz="0" w:space="0" w:color="auto"/>
        <w:left w:val="none" w:sz="0" w:space="0" w:color="auto"/>
        <w:bottom w:val="none" w:sz="0" w:space="0" w:color="auto"/>
        <w:right w:val="none" w:sz="0" w:space="0" w:color="auto"/>
      </w:divBdr>
    </w:div>
    <w:div w:id="1980959243">
      <w:bodyDiv w:val="1"/>
      <w:marLeft w:val="0"/>
      <w:marRight w:val="0"/>
      <w:marTop w:val="0"/>
      <w:marBottom w:val="0"/>
      <w:divBdr>
        <w:top w:val="none" w:sz="0" w:space="0" w:color="auto"/>
        <w:left w:val="none" w:sz="0" w:space="0" w:color="auto"/>
        <w:bottom w:val="none" w:sz="0" w:space="0" w:color="auto"/>
        <w:right w:val="none" w:sz="0" w:space="0" w:color="auto"/>
      </w:divBdr>
    </w:div>
    <w:div w:id="1980960043">
      <w:bodyDiv w:val="1"/>
      <w:marLeft w:val="0"/>
      <w:marRight w:val="0"/>
      <w:marTop w:val="0"/>
      <w:marBottom w:val="0"/>
      <w:divBdr>
        <w:top w:val="none" w:sz="0" w:space="0" w:color="auto"/>
        <w:left w:val="none" w:sz="0" w:space="0" w:color="auto"/>
        <w:bottom w:val="none" w:sz="0" w:space="0" w:color="auto"/>
        <w:right w:val="none" w:sz="0" w:space="0" w:color="auto"/>
      </w:divBdr>
    </w:div>
    <w:div w:id="1981614277">
      <w:bodyDiv w:val="1"/>
      <w:marLeft w:val="0"/>
      <w:marRight w:val="0"/>
      <w:marTop w:val="0"/>
      <w:marBottom w:val="0"/>
      <w:divBdr>
        <w:top w:val="none" w:sz="0" w:space="0" w:color="auto"/>
        <w:left w:val="none" w:sz="0" w:space="0" w:color="auto"/>
        <w:bottom w:val="none" w:sz="0" w:space="0" w:color="auto"/>
        <w:right w:val="none" w:sz="0" w:space="0" w:color="auto"/>
      </w:divBdr>
    </w:div>
    <w:div w:id="1981810754">
      <w:bodyDiv w:val="1"/>
      <w:marLeft w:val="0"/>
      <w:marRight w:val="0"/>
      <w:marTop w:val="0"/>
      <w:marBottom w:val="0"/>
      <w:divBdr>
        <w:top w:val="none" w:sz="0" w:space="0" w:color="auto"/>
        <w:left w:val="none" w:sz="0" w:space="0" w:color="auto"/>
        <w:bottom w:val="none" w:sz="0" w:space="0" w:color="auto"/>
        <w:right w:val="none" w:sz="0" w:space="0" w:color="auto"/>
      </w:divBdr>
    </w:div>
    <w:div w:id="1981883529">
      <w:bodyDiv w:val="1"/>
      <w:marLeft w:val="0"/>
      <w:marRight w:val="0"/>
      <w:marTop w:val="0"/>
      <w:marBottom w:val="0"/>
      <w:divBdr>
        <w:top w:val="none" w:sz="0" w:space="0" w:color="auto"/>
        <w:left w:val="none" w:sz="0" w:space="0" w:color="auto"/>
        <w:bottom w:val="none" w:sz="0" w:space="0" w:color="auto"/>
        <w:right w:val="none" w:sz="0" w:space="0" w:color="auto"/>
      </w:divBdr>
    </w:div>
    <w:div w:id="1982077519">
      <w:bodyDiv w:val="1"/>
      <w:marLeft w:val="0"/>
      <w:marRight w:val="0"/>
      <w:marTop w:val="0"/>
      <w:marBottom w:val="0"/>
      <w:divBdr>
        <w:top w:val="none" w:sz="0" w:space="0" w:color="auto"/>
        <w:left w:val="none" w:sz="0" w:space="0" w:color="auto"/>
        <w:bottom w:val="none" w:sz="0" w:space="0" w:color="auto"/>
        <w:right w:val="none" w:sz="0" w:space="0" w:color="auto"/>
      </w:divBdr>
    </w:div>
    <w:div w:id="1982151074">
      <w:bodyDiv w:val="1"/>
      <w:marLeft w:val="0"/>
      <w:marRight w:val="0"/>
      <w:marTop w:val="0"/>
      <w:marBottom w:val="0"/>
      <w:divBdr>
        <w:top w:val="none" w:sz="0" w:space="0" w:color="auto"/>
        <w:left w:val="none" w:sz="0" w:space="0" w:color="auto"/>
        <w:bottom w:val="none" w:sz="0" w:space="0" w:color="auto"/>
        <w:right w:val="none" w:sz="0" w:space="0" w:color="auto"/>
      </w:divBdr>
    </w:div>
    <w:div w:id="1982152765">
      <w:bodyDiv w:val="1"/>
      <w:marLeft w:val="0"/>
      <w:marRight w:val="0"/>
      <w:marTop w:val="0"/>
      <w:marBottom w:val="0"/>
      <w:divBdr>
        <w:top w:val="none" w:sz="0" w:space="0" w:color="auto"/>
        <w:left w:val="none" w:sz="0" w:space="0" w:color="auto"/>
        <w:bottom w:val="none" w:sz="0" w:space="0" w:color="auto"/>
        <w:right w:val="none" w:sz="0" w:space="0" w:color="auto"/>
      </w:divBdr>
    </w:div>
    <w:div w:id="1982341915">
      <w:bodyDiv w:val="1"/>
      <w:marLeft w:val="0"/>
      <w:marRight w:val="0"/>
      <w:marTop w:val="0"/>
      <w:marBottom w:val="0"/>
      <w:divBdr>
        <w:top w:val="none" w:sz="0" w:space="0" w:color="auto"/>
        <w:left w:val="none" w:sz="0" w:space="0" w:color="auto"/>
        <w:bottom w:val="none" w:sz="0" w:space="0" w:color="auto"/>
        <w:right w:val="none" w:sz="0" w:space="0" w:color="auto"/>
      </w:divBdr>
    </w:div>
    <w:div w:id="1982686563">
      <w:bodyDiv w:val="1"/>
      <w:marLeft w:val="0"/>
      <w:marRight w:val="0"/>
      <w:marTop w:val="0"/>
      <w:marBottom w:val="0"/>
      <w:divBdr>
        <w:top w:val="none" w:sz="0" w:space="0" w:color="auto"/>
        <w:left w:val="none" w:sz="0" w:space="0" w:color="auto"/>
        <w:bottom w:val="none" w:sz="0" w:space="0" w:color="auto"/>
        <w:right w:val="none" w:sz="0" w:space="0" w:color="auto"/>
      </w:divBdr>
    </w:div>
    <w:div w:id="1983070603">
      <w:bodyDiv w:val="1"/>
      <w:marLeft w:val="0"/>
      <w:marRight w:val="0"/>
      <w:marTop w:val="0"/>
      <w:marBottom w:val="0"/>
      <w:divBdr>
        <w:top w:val="none" w:sz="0" w:space="0" w:color="auto"/>
        <w:left w:val="none" w:sz="0" w:space="0" w:color="auto"/>
        <w:bottom w:val="none" w:sz="0" w:space="0" w:color="auto"/>
        <w:right w:val="none" w:sz="0" w:space="0" w:color="auto"/>
      </w:divBdr>
    </w:div>
    <w:div w:id="1983078357">
      <w:bodyDiv w:val="1"/>
      <w:marLeft w:val="0"/>
      <w:marRight w:val="0"/>
      <w:marTop w:val="0"/>
      <w:marBottom w:val="0"/>
      <w:divBdr>
        <w:top w:val="none" w:sz="0" w:space="0" w:color="auto"/>
        <w:left w:val="none" w:sz="0" w:space="0" w:color="auto"/>
        <w:bottom w:val="none" w:sz="0" w:space="0" w:color="auto"/>
        <w:right w:val="none" w:sz="0" w:space="0" w:color="auto"/>
      </w:divBdr>
    </w:div>
    <w:div w:id="1983271989">
      <w:bodyDiv w:val="1"/>
      <w:marLeft w:val="0"/>
      <w:marRight w:val="0"/>
      <w:marTop w:val="0"/>
      <w:marBottom w:val="0"/>
      <w:divBdr>
        <w:top w:val="none" w:sz="0" w:space="0" w:color="auto"/>
        <w:left w:val="none" w:sz="0" w:space="0" w:color="auto"/>
        <w:bottom w:val="none" w:sz="0" w:space="0" w:color="auto"/>
        <w:right w:val="none" w:sz="0" w:space="0" w:color="auto"/>
      </w:divBdr>
    </w:div>
    <w:div w:id="1983539656">
      <w:bodyDiv w:val="1"/>
      <w:marLeft w:val="0"/>
      <w:marRight w:val="0"/>
      <w:marTop w:val="0"/>
      <w:marBottom w:val="0"/>
      <w:divBdr>
        <w:top w:val="none" w:sz="0" w:space="0" w:color="auto"/>
        <w:left w:val="none" w:sz="0" w:space="0" w:color="auto"/>
        <w:bottom w:val="none" w:sz="0" w:space="0" w:color="auto"/>
        <w:right w:val="none" w:sz="0" w:space="0" w:color="auto"/>
      </w:divBdr>
    </w:div>
    <w:div w:id="1983578731">
      <w:bodyDiv w:val="1"/>
      <w:marLeft w:val="0"/>
      <w:marRight w:val="0"/>
      <w:marTop w:val="0"/>
      <w:marBottom w:val="0"/>
      <w:divBdr>
        <w:top w:val="none" w:sz="0" w:space="0" w:color="auto"/>
        <w:left w:val="none" w:sz="0" w:space="0" w:color="auto"/>
        <w:bottom w:val="none" w:sz="0" w:space="0" w:color="auto"/>
        <w:right w:val="none" w:sz="0" w:space="0" w:color="auto"/>
      </w:divBdr>
    </w:div>
    <w:div w:id="1983775835">
      <w:bodyDiv w:val="1"/>
      <w:marLeft w:val="0"/>
      <w:marRight w:val="0"/>
      <w:marTop w:val="0"/>
      <w:marBottom w:val="0"/>
      <w:divBdr>
        <w:top w:val="none" w:sz="0" w:space="0" w:color="auto"/>
        <w:left w:val="none" w:sz="0" w:space="0" w:color="auto"/>
        <w:bottom w:val="none" w:sz="0" w:space="0" w:color="auto"/>
        <w:right w:val="none" w:sz="0" w:space="0" w:color="auto"/>
      </w:divBdr>
    </w:div>
    <w:div w:id="1983801093">
      <w:bodyDiv w:val="1"/>
      <w:marLeft w:val="0"/>
      <w:marRight w:val="0"/>
      <w:marTop w:val="0"/>
      <w:marBottom w:val="0"/>
      <w:divBdr>
        <w:top w:val="none" w:sz="0" w:space="0" w:color="auto"/>
        <w:left w:val="none" w:sz="0" w:space="0" w:color="auto"/>
        <w:bottom w:val="none" w:sz="0" w:space="0" w:color="auto"/>
        <w:right w:val="none" w:sz="0" w:space="0" w:color="auto"/>
      </w:divBdr>
    </w:div>
    <w:div w:id="1984193729">
      <w:bodyDiv w:val="1"/>
      <w:marLeft w:val="0"/>
      <w:marRight w:val="0"/>
      <w:marTop w:val="0"/>
      <w:marBottom w:val="0"/>
      <w:divBdr>
        <w:top w:val="none" w:sz="0" w:space="0" w:color="auto"/>
        <w:left w:val="none" w:sz="0" w:space="0" w:color="auto"/>
        <w:bottom w:val="none" w:sz="0" w:space="0" w:color="auto"/>
        <w:right w:val="none" w:sz="0" w:space="0" w:color="auto"/>
      </w:divBdr>
    </w:div>
    <w:div w:id="1984501544">
      <w:bodyDiv w:val="1"/>
      <w:marLeft w:val="0"/>
      <w:marRight w:val="0"/>
      <w:marTop w:val="0"/>
      <w:marBottom w:val="0"/>
      <w:divBdr>
        <w:top w:val="none" w:sz="0" w:space="0" w:color="auto"/>
        <w:left w:val="none" w:sz="0" w:space="0" w:color="auto"/>
        <w:bottom w:val="none" w:sz="0" w:space="0" w:color="auto"/>
        <w:right w:val="none" w:sz="0" w:space="0" w:color="auto"/>
      </w:divBdr>
    </w:div>
    <w:div w:id="1984775834">
      <w:bodyDiv w:val="1"/>
      <w:marLeft w:val="0"/>
      <w:marRight w:val="0"/>
      <w:marTop w:val="0"/>
      <w:marBottom w:val="0"/>
      <w:divBdr>
        <w:top w:val="none" w:sz="0" w:space="0" w:color="auto"/>
        <w:left w:val="none" w:sz="0" w:space="0" w:color="auto"/>
        <w:bottom w:val="none" w:sz="0" w:space="0" w:color="auto"/>
        <w:right w:val="none" w:sz="0" w:space="0" w:color="auto"/>
      </w:divBdr>
    </w:div>
    <w:div w:id="1985112214">
      <w:bodyDiv w:val="1"/>
      <w:marLeft w:val="0"/>
      <w:marRight w:val="0"/>
      <w:marTop w:val="0"/>
      <w:marBottom w:val="0"/>
      <w:divBdr>
        <w:top w:val="none" w:sz="0" w:space="0" w:color="auto"/>
        <w:left w:val="none" w:sz="0" w:space="0" w:color="auto"/>
        <w:bottom w:val="none" w:sz="0" w:space="0" w:color="auto"/>
        <w:right w:val="none" w:sz="0" w:space="0" w:color="auto"/>
      </w:divBdr>
    </w:div>
    <w:div w:id="1985307453">
      <w:bodyDiv w:val="1"/>
      <w:marLeft w:val="0"/>
      <w:marRight w:val="0"/>
      <w:marTop w:val="0"/>
      <w:marBottom w:val="0"/>
      <w:divBdr>
        <w:top w:val="none" w:sz="0" w:space="0" w:color="auto"/>
        <w:left w:val="none" w:sz="0" w:space="0" w:color="auto"/>
        <w:bottom w:val="none" w:sz="0" w:space="0" w:color="auto"/>
        <w:right w:val="none" w:sz="0" w:space="0" w:color="auto"/>
      </w:divBdr>
    </w:div>
    <w:div w:id="1985310395">
      <w:bodyDiv w:val="1"/>
      <w:marLeft w:val="0"/>
      <w:marRight w:val="0"/>
      <w:marTop w:val="0"/>
      <w:marBottom w:val="0"/>
      <w:divBdr>
        <w:top w:val="none" w:sz="0" w:space="0" w:color="auto"/>
        <w:left w:val="none" w:sz="0" w:space="0" w:color="auto"/>
        <w:bottom w:val="none" w:sz="0" w:space="0" w:color="auto"/>
        <w:right w:val="none" w:sz="0" w:space="0" w:color="auto"/>
      </w:divBdr>
    </w:div>
    <w:div w:id="1986278955">
      <w:bodyDiv w:val="1"/>
      <w:marLeft w:val="0"/>
      <w:marRight w:val="0"/>
      <w:marTop w:val="0"/>
      <w:marBottom w:val="0"/>
      <w:divBdr>
        <w:top w:val="none" w:sz="0" w:space="0" w:color="auto"/>
        <w:left w:val="none" w:sz="0" w:space="0" w:color="auto"/>
        <w:bottom w:val="none" w:sz="0" w:space="0" w:color="auto"/>
        <w:right w:val="none" w:sz="0" w:space="0" w:color="auto"/>
      </w:divBdr>
    </w:div>
    <w:div w:id="1986355372">
      <w:bodyDiv w:val="1"/>
      <w:marLeft w:val="0"/>
      <w:marRight w:val="0"/>
      <w:marTop w:val="0"/>
      <w:marBottom w:val="0"/>
      <w:divBdr>
        <w:top w:val="none" w:sz="0" w:space="0" w:color="auto"/>
        <w:left w:val="none" w:sz="0" w:space="0" w:color="auto"/>
        <w:bottom w:val="none" w:sz="0" w:space="0" w:color="auto"/>
        <w:right w:val="none" w:sz="0" w:space="0" w:color="auto"/>
      </w:divBdr>
    </w:div>
    <w:div w:id="1986468816">
      <w:bodyDiv w:val="1"/>
      <w:marLeft w:val="0"/>
      <w:marRight w:val="0"/>
      <w:marTop w:val="0"/>
      <w:marBottom w:val="0"/>
      <w:divBdr>
        <w:top w:val="none" w:sz="0" w:space="0" w:color="auto"/>
        <w:left w:val="none" w:sz="0" w:space="0" w:color="auto"/>
        <w:bottom w:val="none" w:sz="0" w:space="0" w:color="auto"/>
        <w:right w:val="none" w:sz="0" w:space="0" w:color="auto"/>
      </w:divBdr>
    </w:div>
    <w:div w:id="1986620628">
      <w:bodyDiv w:val="1"/>
      <w:marLeft w:val="0"/>
      <w:marRight w:val="0"/>
      <w:marTop w:val="0"/>
      <w:marBottom w:val="0"/>
      <w:divBdr>
        <w:top w:val="none" w:sz="0" w:space="0" w:color="auto"/>
        <w:left w:val="none" w:sz="0" w:space="0" w:color="auto"/>
        <w:bottom w:val="none" w:sz="0" w:space="0" w:color="auto"/>
        <w:right w:val="none" w:sz="0" w:space="0" w:color="auto"/>
      </w:divBdr>
    </w:div>
    <w:div w:id="1986665351">
      <w:bodyDiv w:val="1"/>
      <w:marLeft w:val="0"/>
      <w:marRight w:val="0"/>
      <w:marTop w:val="0"/>
      <w:marBottom w:val="0"/>
      <w:divBdr>
        <w:top w:val="none" w:sz="0" w:space="0" w:color="auto"/>
        <w:left w:val="none" w:sz="0" w:space="0" w:color="auto"/>
        <w:bottom w:val="none" w:sz="0" w:space="0" w:color="auto"/>
        <w:right w:val="none" w:sz="0" w:space="0" w:color="auto"/>
      </w:divBdr>
    </w:div>
    <w:div w:id="1986887250">
      <w:bodyDiv w:val="1"/>
      <w:marLeft w:val="0"/>
      <w:marRight w:val="0"/>
      <w:marTop w:val="0"/>
      <w:marBottom w:val="0"/>
      <w:divBdr>
        <w:top w:val="none" w:sz="0" w:space="0" w:color="auto"/>
        <w:left w:val="none" w:sz="0" w:space="0" w:color="auto"/>
        <w:bottom w:val="none" w:sz="0" w:space="0" w:color="auto"/>
        <w:right w:val="none" w:sz="0" w:space="0" w:color="auto"/>
      </w:divBdr>
    </w:div>
    <w:div w:id="1987973688">
      <w:bodyDiv w:val="1"/>
      <w:marLeft w:val="0"/>
      <w:marRight w:val="0"/>
      <w:marTop w:val="0"/>
      <w:marBottom w:val="0"/>
      <w:divBdr>
        <w:top w:val="none" w:sz="0" w:space="0" w:color="auto"/>
        <w:left w:val="none" w:sz="0" w:space="0" w:color="auto"/>
        <w:bottom w:val="none" w:sz="0" w:space="0" w:color="auto"/>
        <w:right w:val="none" w:sz="0" w:space="0" w:color="auto"/>
      </w:divBdr>
    </w:div>
    <w:div w:id="1987977458">
      <w:bodyDiv w:val="1"/>
      <w:marLeft w:val="0"/>
      <w:marRight w:val="0"/>
      <w:marTop w:val="0"/>
      <w:marBottom w:val="0"/>
      <w:divBdr>
        <w:top w:val="none" w:sz="0" w:space="0" w:color="auto"/>
        <w:left w:val="none" w:sz="0" w:space="0" w:color="auto"/>
        <w:bottom w:val="none" w:sz="0" w:space="0" w:color="auto"/>
        <w:right w:val="none" w:sz="0" w:space="0" w:color="auto"/>
      </w:divBdr>
    </w:div>
    <w:div w:id="1988167475">
      <w:bodyDiv w:val="1"/>
      <w:marLeft w:val="0"/>
      <w:marRight w:val="0"/>
      <w:marTop w:val="0"/>
      <w:marBottom w:val="0"/>
      <w:divBdr>
        <w:top w:val="none" w:sz="0" w:space="0" w:color="auto"/>
        <w:left w:val="none" w:sz="0" w:space="0" w:color="auto"/>
        <w:bottom w:val="none" w:sz="0" w:space="0" w:color="auto"/>
        <w:right w:val="none" w:sz="0" w:space="0" w:color="auto"/>
      </w:divBdr>
    </w:div>
    <w:div w:id="1988438433">
      <w:bodyDiv w:val="1"/>
      <w:marLeft w:val="0"/>
      <w:marRight w:val="0"/>
      <w:marTop w:val="0"/>
      <w:marBottom w:val="0"/>
      <w:divBdr>
        <w:top w:val="none" w:sz="0" w:space="0" w:color="auto"/>
        <w:left w:val="none" w:sz="0" w:space="0" w:color="auto"/>
        <w:bottom w:val="none" w:sz="0" w:space="0" w:color="auto"/>
        <w:right w:val="none" w:sz="0" w:space="0" w:color="auto"/>
      </w:divBdr>
    </w:div>
    <w:div w:id="1988506970">
      <w:bodyDiv w:val="1"/>
      <w:marLeft w:val="0"/>
      <w:marRight w:val="0"/>
      <w:marTop w:val="0"/>
      <w:marBottom w:val="0"/>
      <w:divBdr>
        <w:top w:val="none" w:sz="0" w:space="0" w:color="auto"/>
        <w:left w:val="none" w:sz="0" w:space="0" w:color="auto"/>
        <w:bottom w:val="none" w:sz="0" w:space="0" w:color="auto"/>
        <w:right w:val="none" w:sz="0" w:space="0" w:color="auto"/>
      </w:divBdr>
    </w:div>
    <w:div w:id="1988826496">
      <w:bodyDiv w:val="1"/>
      <w:marLeft w:val="0"/>
      <w:marRight w:val="0"/>
      <w:marTop w:val="0"/>
      <w:marBottom w:val="0"/>
      <w:divBdr>
        <w:top w:val="none" w:sz="0" w:space="0" w:color="auto"/>
        <w:left w:val="none" w:sz="0" w:space="0" w:color="auto"/>
        <w:bottom w:val="none" w:sz="0" w:space="0" w:color="auto"/>
        <w:right w:val="none" w:sz="0" w:space="0" w:color="auto"/>
      </w:divBdr>
    </w:div>
    <w:div w:id="1989019856">
      <w:bodyDiv w:val="1"/>
      <w:marLeft w:val="0"/>
      <w:marRight w:val="0"/>
      <w:marTop w:val="0"/>
      <w:marBottom w:val="0"/>
      <w:divBdr>
        <w:top w:val="none" w:sz="0" w:space="0" w:color="auto"/>
        <w:left w:val="none" w:sz="0" w:space="0" w:color="auto"/>
        <w:bottom w:val="none" w:sz="0" w:space="0" w:color="auto"/>
        <w:right w:val="none" w:sz="0" w:space="0" w:color="auto"/>
      </w:divBdr>
    </w:div>
    <w:div w:id="1989701027">
      <w:bodyDiv w:val="1"/>
      <w:marLeft w:val="0"/>
      <w:marRight w:val="0"/>
      <w:marTop w:val="0"/>
      <w:marBottom w:val="0"/>
      <w:divBdr>
        <w:top w:val="none" w:sz="0" w:space="0" w:color="auto"/>
        <w:left w:val="none" w:sz="0" w:space="0" w:color="auto"/>
        <w:bottom w:val="none" w:sz="0" w:space="0" w:color="auto"/>
        <w:right w:val="none" w:sz="0" w:space="0" w:color="auto"/>
      </w:divBdr>
    </w:div>
    <w:div w:id="1990091798">
      <w:bodyDiv w:val="1"/>
      <w:marLeft w:val="0"/>
      <w:marRight w:val="0"/>
      <w:marTop w:val="0"/>
      <w:marBottom w:val="0"/>
      <w:divBdr>
        <w:top w:val="none" w:sz="0" w:space="0" w:color="auto"/>
        <w:left w:val="none" w:sz="0" w:space="0" w:color="auto"/>
        <w:bottom w:val="none" w:sz="0" w:space="0" w:color="auto"/>
        <w:right w:val="none" w:sz="0" w:space="0" w:color="auto"/>
      </w:divBdr>
    </w:div>
    <w:div w:id="1990550136">
      <w:bodyDiv w:val="1"/>
      <w:marLeft w:val="0"/>
      <w:marRight w:val="0"/>
      <w:marTop w:val="0"/>
      <w:marBottom w:val="0"/>
      <w:divBdr>
        <w:top w:val="none" w:sz="0" w:space="0" w:color="auto"/>
        <w:left w:val="none" w:sz="0" w:space="0" w:color="auto"/>
        <w:bottom w:val="none" w:sz="0" w:space="0" w:color="auto"/>
        <w:right w:val="none" w:sz="0" w:space="0" w:color="auto"/>
      </w:divBdr>
    </w:div>
    <w:div w:id="1990863434">
      <w:bodyDiv w:val="1"/>
      <w:marLeft w:val="0"/>
      <w:marRight w:val="0"/>
      <w:marTop w:val="0"/>
      <w:marBottom w:val="0"/>
      <w:divBdr>
        <w:top w:val="none" w:sz="0" w:space="0" w:color="auto"/>
        <w:left w:val="none" w:sz="0" w:space="0" w:color="auto"/>
        <w:bottom w:val="none" w:sz="0" w:space="0" w:color="auto"/>
        <w:right w:val="none" w:sz="0" w:space="0" w:color="auto"/>
      </w:divBdr>
    </w:div>
    <w:div w:id="1991405295">
      <w:bodyDiv w:val="1"/>
      <w:marLeft w:val="0"/>
      <w:marRight w:val="0"/>
      <w:marTop w:val="0"/>
      <w:marBottom w:val="0"/>
      <w:divBdr>
        <w:top w:val="none" w:sz="0" w:space="0" w:color="auto"/>
        <w:left w:val="none" w:sz="0" w:space="0" w:color="auto"/>
        <w:bottom w:val="none" w:sz="0" w:space="0" w:color="auto"/>
        <w:right w:val="none" w:sz="0" w:space="0" w:color="auto"/>
      </w:divBdr>
    </w:div>
    <w:div w:id="1991707584">
      <w:bodyDiv w:val="1"/>
      <w:marLeft w:val="0"/>
      <w:marRight w:val="0"/>
      <w:marTop w:val="0"/>
      <w:marBottom w:val="0"/>
      <w:divBdr>
        <w:top w:val="none" w:sz="0" w:space="0" w:color="auto"/>
        <w:left w:val="none" w:sz="0" w:space="0" w:color="auto"/>
        <w:bottom w:val="none" w:sz="0" w:space="0" w:color="auto"/>
        <w:right w:val="none" w:sz="0" w:space="0" w:color="auto"/>
      </w:divBdr>
    </w:div>
    <w:div w:id="1991859808">
      <w:bodyDiv w:val="1"/>
      <w:marLeft w:val="0"/>
      <w:marRight w:val="0"/>
      <w:marTop w:val="0"/>
      <w:marBottom w:val="0"/>
      <w:divBdr>
        <w:top w:val="none" w:sz="0" w:space="0" w:color="auto"/>
        <w:left w:val="none" w:sz="0" w:space="0" w:color="auto"/>
        <w:bottom w:val="none" w:sz="0" w:space="0" w:color="auto"/>
        <w:right w:val="none" w:sz="0" w:space="0" w:color="auto"/>
      </w:divBdr>
    </w:div>
    <w:div w:id="1992249759">
      <w:bodyDiv w:val="1"/>
      <w:marLeft w:val="0"/>
      <w:marRight w:val="0"/>
      <w:marTop w:val="0"/>
      <w:marBottom w:val="0"/>
      <w:divBdr>
        <w:top w:val="none" w:sz="0" w:space="0" w:color="auto"/>
        <w:left w:val="none" w:sz="0" w:space="0" w:color="auto"/>
        <w:bottom w:val="none" w:sz="0" w:space="0" w:color="auto"/>
        <w:right w:val="none" w:sz="0" w:space="0" w:color="auto"/>
      </w:divBdr>
    </w:div>
    <w:div w:id="1992706769">
      <w:bodyDiv w:val="1"/>
      <w:marLeft w:val="0"/>
      <w:marRight w:val="0"/>
      <w:marTop w:val="0"/>
      <w:marBottom w:val="0"/>
      <w:divBdr>
        <w:top w:val="none" w:sz="0" w:space="0" w:color="auto"/>
        <w:left w:val="none" w:sz="0" w:space="0" w:color="auto"/>
        <w:bottom w:val="none" w:sz="0" w:space="0" w:color="auto"/>
        <w:right w:val="none" w:sz="0" w:space="0" w:color="auto"/>
      </w:divBdr>
    </w:div>
    <w:div w:id="1992950138">
      <w:bodyDiv w:val="1"/>
      <w:marLeft w:val="0"/>
      <w:marRight w:val="0"/>
      <w:marTop w:val="0"/>
      <w:marBottom w:val="0"/>
      <w:divBdr>
        <w:top w:val="none" w:sz="0" w:space="0" w:color="auto"/>
        <w:left w:val="none" w:sz="0" w:space="0" w:color="auto"/>
        <w:bottom w:val="none" w:sz="0" w:space="0" w:color="auto"/>
        <w:right w:val="none" w:sz="0" w:space="0" w:color="auto"/>
      </w:divBdr>
    </w:div>
    <w:div w:id="1993291524">
      <w:bodyDiv w:val="1"/>
      <w:marLeft w:val="0"/>
      <w:marRight w:val="0"/>
      <w:marTop w:val="0"/>
      <w:marBottom w:val="0"/>
      <w:divBdr>
        <w:top w:val="none" w:sz="0" w:space="0" w:color="auto"/>
        <w:left w:val="none" w:sz="0" w:space="0" w:color="auto"/>
        <w:bottom w:val="none" w:sz="0" w:space="0" w:color="auto"/>
        <w:right w:val="none" w:sz="0" w:space="0" w:color="auto"/>
      </w:divBdr>
    </w:div>
    <w:div w:id="1993294902">
      <w:bodyDiv w:val="1"/>
      <w:marLeft w:val="0"/>
      <w:marRight w:val="0"/>
      <w:marTop w:val="0"/>
      <w:marBottom w:val="0"/>
      <w:divBdr>
        <w:top w:val="none" w:sz="0" w:space="0" w:color="auto"/>
        <w:left w:val="none" w:sz="0" w:space="0" w:color="auto"/>
        <w:bottom w:val="none" w:sz="0" w:space="0" w:color="auto"/>
        <w:right w:val="none" w:sz="0" w:space="0" w:color="auto"/>
      </w:divBdr>
    </w:div>
    <w:div w:id="1993756322">
      <w:bodyDiv w:val="1"/>
      <w:marLeft w:val="0"/>
      <w:marRight w:val="0"/>
      <w:marTop w:val="0"/>
      <w:marBottom w:val="0"/>
      <w:divBdr>
        <w:top w:val="none" w:sz="0" w:space="0" w:color="auto"/>
        <w:left w:val="none" w:sz="0" w:space="0" w:color="auto"/>
        <w:bottom w:val="none" w:sz="0" w:space="0" w:color="auto"/>
        <w:right w:val="none" w:sz="0" w:space="0" w:color="auto"/>
      </w:divBdr>
    </w:div>
    <w:div w:id="1993868921">
      <w:bodyDiv w:val="1"/>
      <w:marLeft w:val="0"/>
      <w:marRight w:val="0"/>
      <w:marTop w:val="0"/>
      <w:marBottom w:val="0"/>
      <w:divBdr>
        <w:top w:val="none" w:sz="0" w:space="0" w:color="auto"/>
        <w:left w:val="none" w:sz="0" w:space="0" w:color="auto"/>
        <w:bottom w:val="none" w:sz="0" w:space="0" w:color="auto"/>
        <w:right w:val="none" w:sz="0" w:space="0" w:color="auto"/>
      </w:divBdr>
    </w:div>
    <w:div w:id="1994142787">
      <w:bodyDiv w:val="1"/>
      <w:marLeft w:val="0"/>
      <w:marRight w:val="0"/>
      <w:marTop w:val="0"/>
      <w:marBottom w:val="0"/>
      <w:divBdr>
        <w:top w:val="none" w:sz="0" w:space="0" w:color="auto"/>
        <w:left w:val="none" w:sz="0" w:space="0" w:color="auto"/>
        <w:bottom w:val="none" w:sz="0" w:space="0" w:color="auto"/>
        <w:right w:val="none" w:sz="0" w:space="0" w:color="auto"/>
      </w:divBdr>
    </w:div>
    <w:div w:id="1994337055">
      <w:bodyDiv w:val="1"/>
      <w:marLeft w:val="0"/>
      <w:marRight w:val="0"/>
      <w:marTop w:val="0"/>
      <w:marBottom w:val="0"/>
      <w:divBdr>
        <w:top w:val="none" w:sz="0" w:space="0" w:color="auto"/>
        <w:left w:val="none" w:sz="0" w:space="0" w:color="auto"/>
        <w:bottom w:val="none" w:sz="0" w:space="0" w:color="auto"/>
        <w:right w:val="none" w:sz="0" w:space="0" w:color="auto"/>
      </w:divBdr>
    </w:div>
    <w:div w:id="1994748286">
      <w:bodyDiv w:val="1"/>
      <w:marLeft w:val="0"/>
      <w:marRight w:val="0"/>
      <w:marTop w:val="0"/>
      <w:marBottom w:val="0"/>
      <w:divBdr>
        <w:top w:val="none" w:sz="0" w:space="0" w:color="auto"/>
        <w:left w:val="none" w:sz="0" w:space="0" w:color="auto"/>
        <w:bottom w:val="none" w:sz="0" w:space="0" w:color="auto"/>
        <w:right w:val="none" w:sz="0" w:space="0" w:color="auto"/>
      </w:divBdr>
    </w:div>
    <w:div w:id="1994870637">
      <w:bodyDiv w:val="1"/>
      <w:marLeft w:val="0"/>
      <w:marRight w:val="0"/>
      <w:marTop w:val="0"/>
      <w:marBottom w:val="0"/>
      <w:divBdr>
        <w:top w:val="none" w:sz="0" w:space="0" w:color="auto"/>
        <w:left w:val="none" w:sz="0" w:space="0" w:color="auto"/>
        <w:bottom w:val="none" w:sz="0" w:space="0" w:color="auto"/>
        <w:right w:val="none" w:sz="0" w:space="0" w:color="auto"/>
      </w:divBdr>
    </w:div>
    <w:div w:id="1994944138">
      <w:bodyDiv w:val="1"/>
      <w:marLeft w:val="0"/>
      <w:marRight w:val="0"/>
      <w:marTop w:val="0"/>
      <w:marBottom w:val="0"/>
      <w:divBdr>
        <w:top w:val="none" w:sz="0" w:space="0" w:color="auto"/>
        <w:left w:val="none" w:sz="0" w:space="0" w:color="auto"/>
        <w:bottom w:val="none" w:sz="0" w:space="0" w:color="auto"/>
        <w:right w:val="none" w:sz="0" w:space="0" w:color="auto"/>
      </w:divBdr>
    </w:div>
    <w:div w:id="1994990069">
      <w:bodyDiv w:val="1"/>
      <w:marLeft w:val="0"/>
      <w:marRight w:val="0"/>
      <w:marTop w:val="0"/>
      <w:marBottom w:val="0"/>
      <w:divBdr>
        <w:top w:val="none" w:sz="0" w:space="0" w:color="auto"/>
        <w:left w:val="none" w:sz="0" w:space="0" w:color="auto"/>
        <w:bottom w:val="none" w:sz="0" w:space="0" w:color="auto"/>
        <w:right w:val="none" w:sz="0" w:space="0" w:color="auto"/>
      </w:divBdr>
    </w:div>
    <w:div w:id="1995257343">
      <w:bodyDiv w:val="1"/>
      <w:marLeft w:val="0"/>
      <w:marRight w:val="0"/>
      <w:marTop w:val="0"/>
      <w:marBottom w:val="0"/>
      <w:divBdr>
        <w:top w:val="none" w:sz="0" w:space="0" w:color="auto"/>
        <w:left w:val="none" w:sz="0" w:space="0" w:color="auto"/>
        <w:bottom w:val="none" w:sz="0" w:space="0" w:color="auto"/>
        <w:right w:val="none" w:sz="0" w:space="0" w:color="auto"/>
      </w:divBdr>
    </w:div>
    <w:div w:id="1995334002">
      <w:bodyDiv w:val="1"/>
      <w:marLeft w:val="0"/>
      <w:marRight w:val="0"/>
      <w:marTop w:val="0"/>
      <w:marBottom w:val="0"/>
      <w:divBdr>
        <w:top w:val="none" w:sz="0" w:space="0" w:color="auto"/>
        <w:left w:val="none" w:sz="0" w:space="0" w:color="auto"/>
        <w:bottom w:val="none" w:sz="0" w:space="0" w:color="auto"/>
        <w:right w:val="none" w:sz="0" w:space="0" w:color="auto"/>
      </w:divBdr>
    </w:div>
    <w:div w:id="1995524291">
      <w:bodyDiv w:val="1"/>
      <w:marLeft w:val="0"/>
      <w:marRight w:val="0"/>
      <w:marTop w:val="0"/>
      <w:marBottom w:val="0"/>
      <w:divBdr>
        <w:top w:val="none" w:sz="0" w:space="0" w:color="auto"/>
        <w:left w:val="none" w:sz="0" w:space="0" w:color="auto"/>
        <w:bottom w:val="none" w:sz="0" w:space="0" w:color="auto"/>
        <w:right w:val="none" w:sz="0" w:space="0" w:color="auto"/>
      </w:divBdr>
    </w:div>
    <w:div w:id="1995647561">
      <w:bodyDiv w:val="1"/>
      <w:marLeft w:val="0"/>
      <w:marRight w:val="0"/>
      <w:marTop w:val="0"/>
      <w:marBottom w:val="0"/>
      <w:divBdr>
        <w:top w:val="none" w:sz="0" w:space="0" w:color="auto"/>
        <w:left w:val="none" w:sz="0" w:space="0" w:color="auto"/>
        <w:bottom w:val="none" w:sz="0" w:space="0" w:color="auto"/>
        <w:right w:val="none" w:sz="0" w:space="0" w:color="auto"/>
      </w:divBdr>
    </w:div>
    <w:div w:id="1995910857">
      <w:bodyDiv w:val="1"/>
      <w:marLeft w:val="0"/>
      <w:marRight w:val="0"/>
      <w:marTop w:val="0"/>
      <w:marBottom w:val="0"/>
      <w:divBdr>
        <w:top w:val="none" w:sz="0" w:space="0" w:color="auto"/>
        <w:left w:val="none" w:sz="0" w:space="0" w:color="auto"/>
        <w:bottom w:val="none" w:sz="0" w:space="0" w:color="auto"/>
        <w:right w:val="none" w:sz="0" w:space="0" w:color="auto"/>
      </w:divBdr>
    </w:div>
    <w:div w:id="1996178399">
      <w:bodyDiv w:val="1"/>
      <w:marLeft w:val="0"/>
      <w:marRight w:val="0"/>
      <w:marTop w:val="0"/>
      <w:marBottom w:val="0"/>
      <w:divBdr>
        <w:top w:val="none" w:sz="0" w:space="0" w:color="auto"/>
        <w:left w:val="none" w:sz="0" w:space="0" w:color="auto"/>
        <w:bottom w:val="none" w:sz="0" w:space="0" w:color="auto"/>
        <w:right w:val="none" w:sz="0" w:space="0" w:color="auto"/>
      </w:divBdr>
    </w:div>
    <w:div w:id="1996257143">
      <w:bodyDiv w:val="1"/>
      <w:marLeft w:val="0"/>
      <w:marRight w:val="0"/>
      <w:marTop w:val="0"/>
      <w:marBottom w:val="0"/>
      <w:divBdr>
        <w:top w:val="none" w:sz="0" w:space="0" w:color="auto"/>
        <w:left w:val="none" w:sz="0" w:space="0" w:color="auto"/>
        <w:bottom w:val="none" w:sz="0" w:space="0" w:color="auto"/>
        <w:right w:val="none" w:sz="0" w:space="0" w:color="auto"/>
      </w:divBdr>
    </w:div>
    <w:div w:id="1996258421">
      <w:bodyDiv w:val="1"/>
      <w:marLeft w:val="0"/>
      <w:marRight w:val="0"/>
      <w:marTop w:val="0"/>
      <w:marBottom w:val="0"/>
      <w:divBdr>
        <w:top w:val="none" w:sz="0" w:space="0" w:color="auto"/>
        <w:left w:val="none" w:sz="0" w:space="0" w:color="auto"/>
        <w:bottom w:val="none" w:sz="0" w:space="0" w:color="auto"/>
        <w:right w:val="none" w:sz="0" w:space="0" w:color="auto"/>
      </w:divBdr>
    </w:div>
    <w:div w:id="1996446570">
      <w:bodyDiv w:val="1"/>
      <w:marLeft w:val="0"/>
      <w:marRight w:val="0"/>
      <w:marTop w:val="0"/>
      <w:marBottom w:val="0"/>
      <w:divBdr>
        <w:top w:val="none" w:sz="0" w:space="0" w:color="auto"/>
        <w:left w:val="none" w:sz="0" w:space="0" w:color="auto"/>
        <w:bottom w:val="none" w:sz="0" w:space="0" w:color="auto"/>
        <w:right w:val="none" w:sz="0" w:space="0" w:color="auto"/>
      </w:divBdr>
    </w:div>
    <w:div w:id="1997343013">
      <w:bodyDiv w:val="1"/>
      <w:marLeft w:val="0"/>
      <w:marRight w:val="0"/>
      <w:marTop w:val="0"/>
      <w:marBottom w:val="0"/>
      <w:divBdr>
        <w:top w:val="none" w:sz="0" w:space="0" w:color="auto"/>
        <w:left w:val="none" w:sz="0" w:space="0" w:color="auto"/>
        <w:bottom w:val="none" w:sz="0" w:space="0" w:color="auto"/>
        <w:right w:val="none" w:sz="0" w:space="0" w:color="auto"/>
      </w:divBdr>
    </w:div>
    <w:div w:id="1997416529">
      <w:bodyDiv w:val="1"/>
      <w:marLeft w:val="0"/>
      <w:marRight w:val="0"/>
      <w:marTop w:val="0"/>
      <w:marBottom w:val="0"/>
      <w:divBdr>
        <w:top w:val="none" w:sz="0" w:space="0" w:color="auto"/>
        <w:left w:val="none" w:sz="0" w:space="0" w:color="auto"/>
        <w:bottom w:val="none" w:sz="0" w:space="0" w:color="auto"/>
        <w:right w:val="none" w:sz="0" w:space="0" w:color="auto"/>
      </w:divBdr>
    </w:div>
    <w:div w:id="1997954278">
      <w:bodyDiv w:val="1"/>
      <w:marLeft w:val="0"/>
      <w:marRight w:val="0"/>
      <w:marTop w:val="0"/>
      <w:marBottom w:val="0"/>
      <w:divBdr>
        <w:top w:val="none" w:sz="0" w:space="0" w:color="auto"/>
        <w:left w:val="none" w:sz="0" w:space="0" w:color="auto"/>
        <w:bottom w:val="none" w:sz="0" w:space="0" w:color="auto"/>
        <w:right w:val="none" w:sz="0" w:space="0" w:color="auto"/>
      </w:divBdr>
    </w:div>
    <w:div w:id="1998265907">
      <w:bodyDiv w:val="1"/>
      <w:marLeft w:val="0"/>
      <w:marRight w:val="0"/>
      <w:marTop w:val="0"/>
      <w:marBottom w:val="0"/>
      <w:divBdr>
        <w:top w:val="none" w:sz="0" w:space="0" w:color="auto"/>
        <w:left w:val="none" w:sz="0" w:space="0" w:color="auto"/>
        <w:bottom w:val="none" w:sz="0" w:space="0" w:color="auto"/>
        <w:right w:val="none" w:sz="0" w:space="0" w:color="auto"/>
      </w:divBdr>
    </w:div>
    <w:div w:id="1999072141">
      <w:bodyDiv w:val="1"/>
      <w:marLeft w:val="0"/>
      <w:marRight w:val="0"/>
      <w:marTop w:val="0"/>
      <w:marBottom w:val="0"/>
      <w:divBdr>
        <w:top w:val="none" w:sz="0" w:space="0" w:color="auto"/>
        <w:left w:val="none" w:sz="0" w:space="0" w:color="auto"/>
        <w:bottom w:val="none" w:sz="0" w:space="0" w:color="auto"/>
        <w:right w:val="none" w:sz="0" w:space="0" w:color="auto"/>
      </w:divBdr>
    </w:div>
    <w:div w:id="1999458507">
      <w:bodyDiv w:val="1"/>
      <w:marLeft w:val="0"/>
      <w:marRight w:val="0"/>
      <w:marTop w:val="0"/>
      <w:marBottom w:val="0"/>
      <w:divBdr>
        <w:top w:val="none" w:sz="0" w:space="0" w:color="auto"/>
        <w:left w:val="none" w:sz="0" w:space="0" w:color="auto"/>
        <w:bottom w:val="none" w:sz="0" w:space="0" w:color="auto"/>
        <w:right w:val="none" w:sz="0" w:space="0" w:color="auto"/>
      </w:divBdr>
    </w:div>
    <w:div w:id="1999527980">
      <w:bodyDiv w:val="1"/>
      <w:marLeft w:val="0"/>
      <w:marRight w:val="0"/>
      <w:marTop w:val="0"/>
      <w:marBottom w:val="0"/>
      <w:divBdr>
        <w:top w:val="none" w:sz="0" w:space="0" w:color="auto"/>
        <w:left w:val="none" w:sz="0" w:space="0" w:color="auto"/>
        <w:bottom w:val="none" w:sz="0" w:space="0" w:color="auto"/>
        <w:right w:val="none" w:sz="0" w:space="0" w:color="auto"/>
      </w:divBdr>
    </w:div>
    <w:div w:id="1999646468">
      <w:bodyDiv w:val="1"/>
      <w:marLeft w:val="0"/>
      <w:marRight w:val="0"/>
      <w:marTop w:val="0"/>
      <w:marBottom w:val="0"/>
      <w:divBdr>
        <w:top w:val="none" w:sz="0" w:space="0" w:color="auto"/>
        <w:left w:val="none" w:sz="0" w:space="0" w:color="auto"/>
        <w:bottom w:val="none" w:sz="0" w:space="0" w:color="auto"/>
        <w:right w:val="none" w:sz="0" w:space="0" w:color="auto"/>
      </w:divBdr>
    </w:div>
    <w:div w:id="1999768331">
      <w:bodyDiv w:val="1"/>
      <w:marLeft w:val="0"/>
      <w:marRight w:val="0"/>
      <w:marTop w:val="0"/>
      <w:marBottom w:val="0"/>
      <w:divBdr>
        <w:top w:val="none" w:sz="0" w:space="0" w:color="auto"/>
        <w:left w:val="none" w:sz="0" w:space="0" w:color="auto"/>
        <w:bottom w:val="none" w:sz="0" w:space="0" w:color="auto"/>
        <w:right w:val="none" w:sz="0" w:space="0" w:color="auto"/>
      </w:divBdr>
    </w:div>
    <w:div w:id="2000233012">
      <w:bodyDiv w:val="1"/>
      <w:marLeft w:val="0"/>
      <w:marRight w:val="0"/>
      <w:marTop w:val="0"/>
      <w:marBottom w:val="0"/>
      <w:divBdr>
        <w:top w:val="none" w:sz="0" w:space="0" w:color="auto"/>
        <w:left w:val="none" w:sz="0" w:space="0" w:color="auto"/>
        <w:bottom w:val="none" w:sz="0" w:space="0" w:color="auto"/>
        <w:right w:val="none" w:sz="0" w:space="0" w:color="auto"/>
      </w:divBdr>
    </w:div>
    <w:div w:id="2000234376">
      <w:bodyDiv w:val="1"/>
      <w:marLeft w:val="0"/>
      <w:marRight w:val="0"/>
      <w:marTop w:val="0"/>
      <w:marBottom w:val="0"/>
      <w:divBdr>
        <w:top w:val="none" w:sz="0" w:space="0" w:color="auto"/>
        <w:left w:val="none" w:sz="0" w:space="0" w:color="auto"/>
        <w:bottom w:val="none" w:sz="0" w:space="0" w:color="auto"/>
        <w:right w:val="none" w:sz="0" w:space="0" w:color="auto"/>
      </w:divBdr>
    </w:div>
    <w:div w:id="2000308427">
      <w:bodyDiv w:val="1"/>
      <w:marLeft w:val="0"/>
      <w:marRight w:val="0"/>
      <w:marTop w:val="0"/>
      <w:marBottom w:val="0"/>
      <w:divBdr>
        <w:top w:val="none" w:sz="0" w:space="0" w:color="auto"/>
        <w:left w:val="none" w:sz="0" w:space="0" w:color="auto"/>
        <w:bottom w:val="none" w:sz="0" w:space="0" w:color="auto"/>
        <w:right w:val="none" w:sz="0" w:space="0" w:color="auto"/>
      </w:divBdr>
    </w:div>
    <w:div w:id="2000572418">
      <w:bodyDiv w:val="1"/>
      <w:marLeft w:val="0"/>
      <w:marRight w:val="0"/>
      <w:marTop w:val="0"/>
      <w:marBottom w:val="0"/>
      <w:divBdr>
        <w:top w:val="none" w:sz="0" w:space="0" w:color="auto"/>
        <w:left w:val="none" w:sz="0" w:space="0" w:color="auto"/>
        <w:bottom w:val="none" w:sz="0" w:space="0" w:color="auto"/>
        <w:right w:val="none" w:sz="0" w:space="0" w:color="auto"/>
      </w:divBdr>
    </w:div>
    <w:div w:id="2000840883">
      <w:bodyDiv w:val="1"/>
      <w:marLeft w:val="0"/>
      <w:marRight w:val="0"/>
      <w:marTop w:val="0"/>
      <w:marBottom w:val="0"/>
      <w:divBdr>
        <w:top w:val="none" w:sz="0" w:space="0" w:color="auto"/>
        <w:left w:val="none" w:sz="0" w:space="0" w:color="auto"/>
        <w:bottom w:val="none" w:sz="0" w:space="0" w:color="auto"/>
        <w:right w:val="none" w:sz="0" w:space="0" w:color="auto"/>
      </w:divBdr>
    </w:div>
    <w:div w:id="2000964751">
      <w:bodyDiv w:val="1"/>
      <w:marLeft w:val="0"/>
      <w:marRight w:val="0"/>
      <w:marTop w:val="0"/>
      <w:marBottom w:val="0"/>
      <w:divBdr>
        <w:top w:val="none" w:sz="0" w:space="0" w:color="auto"/>
        <w:left w:val="none" w:sz="0" w:space="0" w:color="auto"/>
        <w:bottom w:val="none" w:sz="0" w:space="0" w:color="auto"/>
        <w:right w:val="none" w:sz="0" w:space="0" w:color="auto"/>
      </w:divBdr>
    </w:div>
    <w:div w:id="2001107192">
      <w:bodyDiv w:val="1"/>
      <w:marLeft w:val="0"/>
      <w:marRight w:val="0"/>
      <w:marTop w:val="0"/>
      <w:marBottom w:val="0"/>
      <w:divBdr>
        <w:top w:val="none" w:sz="0" w:space="0" w:color="auto"/>
        <w:left w:val="none" w:sz="0" w:space="0" w:color="auto"/>
        <w:bottom w:val="none" w:sz="0" w:space="0" w:color="auto"/>
        <w:right w:val="none" w:sz="0" w:space="0" w:color="auto"/>
      </w:divBdr>
    </w:div>
    <w:div w:id="2001272998">
      <w:bodyDiv w:val="1"/>
      <w:marLeft w:val="0"/>
      <w:marRight w:val="0"/>
      <w:marTop w:val="0"/>
      <w:marBottom w:val="0"/>
      <w:divBdr>
        <w:top w:val="none" w:sz="0" w:space="0" w:color="auto"/>
        <w:left w:val="none" w:sz="0" w:space="0" w:color="auto"/>
        <w:bottom w:val="none" w:sz="0" w:space="0" w:color="auto"/>
        <w:right w:val="none" w:sz="0" w:space="0" w:color="auto"/>
      </w:divBdr>
    </w:div>
    <w:div w:id="2001419002">
      <w:bodyDiv w:val="1"/>
      <w:marLeft w:val="0"/>
      <w:marRight w:val="0"/>
      <w:marTop w:val="0"/>
      <w:marBottom w:val="0"/>
      <w:divBdr>
        <w:top w:val="none" w:sz="0" w:space="0" w:color="auto"/>
        <w:left w:val="none" w:sz="0" w:space="0" w:color="auto"/>
        <w:bottom w:val="none" w:sz="0" w:space="0" w:color="auto"/>
        <w:right w:val="none" w:sz="0" w:space="0" w:color="auto"/>
      </w:divBdr>
    </w:div>
    <w:div w:id="2001544473">
      <w:bodyDiv w:val="1"/>
      <w:marLeft w:val="0"/>
      <w:marRight w:val="0"/>
      <w:marTop w:val="0"/>
      <w:marBottom w:val="0"/>
      <w:divBdr>
        <w:top w:val="none" w:sz="0" w:space="0" w:color="auto"/>
        <w:left w:val="none" w:sz="0" w:space="0" w:color="auto"/>
        <w:bottom w:val="none" w:sz="0" w:space="0" w:color="auto"/>
        <w:right w:val="none" w:sz="0" w:space="0" w:color="auto"/>
      </w:divBdr>
    </w:div>
    <w:div w:id="2001998221">
      <w:bodyDiv w:val="1"/>
      <w:marLeft w:val="0"/>
      <w:marRight w:val="0"/>
      <w:marTop w:val="0"/>
      <w:marBottom w:val="0"/>
      <w:divBdr>
        <w:top w:val="none" w:sz="0" w:space="0" w:color="auto"/>
        <w:left w:val="none" w:sz="0" w:space="0" w:color="auto"/>
        <w:bottom w:val="none" w:sz="0" w:space="0" w:color="auto"/>
        <w:right w:val="none" w:sz="0" w:space="0" w:color="auto"/>
      </w:divBdr>
    </w:div>
    <w:div w:id="2002001498">
      <w:bodyDiv w:val="1"/>
      <w:marLeft w:val="0"/>
      <w:marRight w:val="0"/>
      <w:marTop w:val="0"/>
      <w:marBottom w:val="0"/>
      <w:divBdr>
        <w:top w:val="none" w:sz="0" w:space="0" w:color="auto"/>
        <w:left w:val="none" w:sz="0" w:space="0" w:color="auto"/>
        <w:bottom w:val="none" w:sz="0" w:space="0" w:color="auto"/>
        <w:right w:val="none" w:sz="0" w:space="0" w:color="auto"/>
      </w:divBdr>
    </w:div>
    <w:div w:id="2002149805">
      <w:bodyDiv w:val="1"/>
      <w:marLeft w:val="0"/>
      <w:marRight w:val="0"/>
      <w:marTop w:val="0"/>
      <w:marBottom w:val="0"/>
      <w:divBdr>
        <w:top w:val="none" w:sz="0" w:space="0" w:color="auto"/>
        <w:left w:val="none" w:sz="0" w:space="0" w:color="auto"/>
        <w:bottom w:val="none" w:sz="0" w:space="0" w:color="auto"/>
        <w:right w:val="none" w:sz="0" w:space="0" w:color="auto"/>
      </w:divBdr>
    </w:div>
    <w:div w:id="2002417724">
      <w:bodyDiv w:val="1"/>
      <w:marLeft w:val="0"/>
      <w:marRight w:val="0"/>
      <w:marTop w:val="0"/>
      <w:marBottom w:val="0"/>
      <w:divBdr>
        <w:top w:val="none" w:sz="0" w:space="0" w:color="auto"/>
        <w:left w:val="none" w:sz="0" w:space="0" w:color="auto"/>
        <w:bottom w:val="none" w:sz="0" w:space="0" w:color="auto"/>
        <w:right w:val="none" w:sz="0" w:space="0" w:color="auto"/>
      </w:divBdr>
    </w:div>
    <w:div w:id="2002660173">
      <w:bodyDiv w:val="1"/>
      <w:marLeft w:val="0"/>
      <w:marRight w:val="0"/>
      <w:marTop w:val="0"/>
      <w:marBottom w:val="0"/>
      <w:divBdr>
        <w:top w:val="none" w:sz="0" w:space="0" w:color="auto"/>
        <w:left w:val="none" w:sz="0" w:space="0" w:color="auto"/>
        <w:bottom w:val="none" w:sz="0" w:space="0" w:color="auto"/>
        <w:right w:val="none" w:sz="0" w:space="0" w:color="auto"/>
      </w:divBdr>
    </w:div>
    <w:div w:id="2002807262">
      <w:bodyDiv w:val="1"/>
      <w:marLeft w:val="0"/>
      <w:marRight w:val="0"/>
      <w:marTop w:val="0"/>
      <w:marBottom w:val="0"/>
      <w:divBdr>
        <w:top w:val="none" w:sz="0" w:space="0" w:color="auto"/>
        <w:left w:val="none" w:sz="0" w:space="0" w:color="auto"/>
        <w:bottom w:val="none" w:sz="0" w:space="0" w:color="auto"/>
        <w:right w:val="none" w:sz="0" w:space="0" w:color="auto"/>
      </w:divBdr>
    </w:div>
    <w:div w:id="2002847833">
      <w:bodyDiv w:val="1"/>
      <w:marLeft w:val="0"/>
      <w:marRight w:val="0"/>
      <w:marTop w:val="0"/>
      <w:marBottom w:val="0"/>
      <w:divBdr>
        <w:top w:val="none" w:sz="0" w:space="0" w:color="auto"/>
        <w:left w:val="none" w:sz="0" w:space="0" w:color="auto"/>
        <w:bottom w:val="none" w:sz="0" w:space="0" w:color="auto"/>
        <w:right w:val="none" w:sz="0" w:space="0" w:color="auto"/>
      </w:divBdr>
    </w:div>
    <w:div w:id="2002924784">
      <w:bodyDiv w:val="1"/>
      <w:marLeft w:val="0"/>
      <w:marRight w:val="0"/>
      <w:marTop w:val="0"/>
      <w:marBottom w:val="0"/>
      <w:divBdr>
        <w:top w:val="none" w:sz="0" w:space="0" w:color="auto"/>
        <w:left w:val="none" w:sz="0" w:space="0" w:color="auto"/>
        <w:bottom w:val="none" w:sz="0" w:space="0" w:color="auto"/>
        <w:right w:val="none" w:sz="0" w:space="0" w:color="auto"/>
      </w:divBdr>
    </w:div>
    <w:div w:id="2003925242">
      <w:bodyDiv w:val="1"/>
      <w:marLeft w:val="0"/>
      <w:marRight w:val="0"/>
      <w:marTop w:val="0"/>
      <w:marBottom w:val="0"/>
      <w:divBdr>
        <w:top w:val="none" w:sz="0" w:space="0" w:color="auto"/>
        <w:left w:val="none" w:sz="0" w:space="0" w:color="auto"/>
        <w:bottom w:val="none" w:sz="0" w:space="0" w:color="auto"/>
        <w:right w:val="none" w:sz="0" w:space="0" w:color="auto"/>
      </w:divBdr>
    </w:div>
    <w:div w:id="2004040949">
      <w:bodyDiv w:val="1"/>
      <w:marLeft w:val="0"/>
      <w:marRight w:val="0"/>
      <w:marTop w:val="0"/>
      <w:marBottom w:val="0"/>
      <w:divBdr>
        <w:top w:val="none" w:sz="0" w:space="0" w:color="auto"/>
        <w:left w:val="none" w:sz="0" w:space="0" w:color="auto"/>
        <w:bottom w:val="none" w:sz="0" w:space="0" w:color="auto"/>
        <w:right w:val="none" w:sz="0" w:space="0" w:color="auto"/>
      </w:divBdr>
    </w:div>
    <w:div w:id="2005163714">
      <w:bodyDiv w:val="1"/>
      <w:marLeft w:val="0"/>
      <w:marRight w:val="0"/>
      <w:marTop w:val="0"/>
      <w:marBottom w:val="0"/>
      <w:divBdr>
        <w:top w:val="none" w:sz="0" w:space="0" w:color="auto"/>
        <w:left w:val="none" w:sz="0" w:space="0" w:color="auto"/>
        <w:bottom w:val="none" w:sz="0" w:space="0" w:color="auto"/>
        <w:right w:val="none" w:sz="0" w:space="0" w:color="auto"/>
      </w:divBdr>
    </w:div>
    <w:div w:id="2005278164">
      <w:bodyDiv w:val="1"/>
      <w:marLeft w:val="0"/>
      <w:marRight w:val="0"/>
      <w:marTop w:val="0"/>
      <w:marBottom w:val="0"/>
      <w:divBdr>
        <w:top w:val="none" w:sz="0" w:space="0" w:color="auto"/>
        <w:left w:val="none" w:sz="0" w:space="0" w:color="auto"/>
        <w:bottom w:val="none" w:sz="0" w:space="0" w:color="auto"/>
        <w:right w:val="none" w:sz="0" w:space="0" w:color="auto"/>
      </w:divBdr>
    </w:div>
    <w:div w:id="2006279316">
      <w:bodyDiv w:val="1"/>
      <w:marLeft w:val="0"/>
      <w:marRight w:val="0"/>
      <w:marTop w:val="0"/>
      <w:marBottom w:val="0"/>
      <w:divBdr>
        <w:top w:val="none" w:sz="0" w:space="0" w:color="auto"/>
        <w:left w:val="none" w:sz="0" w:space="0" w:color="auto"/>
        <w:bottom w:val="none" w:sz="0" w:space="0" w:color="auto"/>
        <w:right w:val="none" w:sz="0" w:space="0" w:color="auto"/>
      </w:divBdr>
    </w:div>
    <w:div w:id="2006470140">
      <w:bodyDiv w:val="1"/>
      <w:marLeft w:val="0"/>
      <w:marRight w:val="0"/>
      <w:marTop w:val="0"/>
      <w:marBottom w:val="0"/>
      <w:divBdr>
        <w:top w:val="none" w:sz="0" w:space="0" w:color="auto"/>
        <w:left w:val="none" w:sz="0" w:space="0" w:color="auto"/>
        <w:bottom w:val="none" w:sz="0" w:space="0" w:color="auto"/>
        <w:right w:val="none" w:sz="0" w:space="0" w:color="auto"/>
      </w:divBdr>
    </w:div>
    <w:div w:id="2006935496">
      <w:bodyDiv w:val="1"/>
      <w:marLeft w:val="0"/>
      <w:marRight w:val="0"/>
      <w:marTop w:val="0"/>
      <w:marBottom w:val="0"/>
      <w:divBdr>
        <w:top w:val="none" w:sz="0" w:space="0" w:color="auto"/>
        <w:left w:val="none" w:sz="0" w:space="0" w:color="auto"/>
        <w:bottom w:val="none" w:sz="0" w:space="0" w:color="auto"/>
        <w:right w:val="none" w:sz="0" w:space="0" w:color="auto"/>
      </w:divBdr>
    </w:div>
    <w:div w:id="2006974717">
      <w:bodyDiv w:val="1"/>
      <w:marLeft w:val="0"/>
      <w:marRight w:val="0"/>
      <w:marTop w:val="0"/>
      <w:marBottom w:val="0"/>
      <w:divBdr>
        <w:top w:val="none" w:sz="0" w:space="0" w:color="auto"/>
        <w:left w:val="none" w:sz="0" w:space="0" w:color="auto"/>
        <w:bottom w:val="none" w:sz="0" w:space="0" w:color="auto"/>
        <w:right w:val="none" w:sz="0" w:space="0" w:color="auto"/>
      </w:divBdr>
    </w:div>
    <w:div w:id="2007123266">
      <w:bodyDiv w:val="1"/>
      <w:marLeft w:val="0"/>
      <w:marRight w:val="0"/>
      <w:marTop w:val="0"/>
      <w:marBottom w:val="0"/>
      <w:divBdr>
        <w:top w:val="none" w:sz="0" w:space="0" w:color="auto"/>
        <w:left w:val="none" w:sz="0" w:space="0" w:color="auto"/>
        <w:bottom w:val="none" w:sz="0" w:space="0" w:color="auto"/>
        <w:right w:val="none" w:sz="0" w:space="0" w:color="auto"/>
      </w:divBdr>
    </w:div>
    <w:div w:id="2007393472">
      <w:bodyDiv w:val="1"/>
      <w:marLeft w:val="0"/>
      <w:marRight w:val="0"/>
      <w:marTop w:val="0"/>
      <w:marBottom w:val="0"/>
      <w:divBdr>
        <w:top w:val="none" w:sz="0" w:space="0" w:color="auto"/>
        <w:left w:val="none" w:sz="0" w:space="0" w:color="auto"/>
        <w:bottom w:val="none" w:sz="0" w:space="0" w:color="auto"/>
        <w:right w:val="none" w:sz="0" w:space="0" w:color="auto"/>
      </w:divBdr>
    </w:div>
    <w:div w:id="2007785177">
      <w:bodyDiv w:val="1"/>
      <w:marLeft w:val="0"/>
      <w:marRight w:val="0"/>
      <w:marTop w:val="0"/>
      <w:marBottom w:val="0"/>
      <w:divBdr>
        <w:top w:val="none" w:sz="0" w:space="0" w:color="auto"/>
        <w:left w:val="none" w:sz="0" w:space="0" w:color="auto"/>
        <w:bottom w:val="none" w:sz="0" w:space="0" w:color="auto"/>
        <w:right w:val="none" w:sz="0" w:space="0" w:color="auto"/>
      </w:divBdr>
    </w:div>
    <w:div w:id="2008097143">
      <w:bodyDiv w:val="1"/>
      <w:marLeft w:val="0"/>
      <w:marRight w:val="0"/>
      <w:marTop w:val="0"/>
      <w:marBottom w:val="0"/>
      <w:divBdr>
        <w:top w:val="none" w:sz="0" w:space="0" w:color="auto"/>
        <w:left w:val="none" w:sz="0" w:space="0" w:color="auto"/>
        <w:bottom w:val="none" w:sz="0" w:space="0" w:color="auto"/>
        <w:right w:val="none" w:sz="0" w:space="0" w:color="auto"/>
      </w:divBdr>
    </w:div>
    <w:div w:id="2008240305">
      <w:bodyDiv w:val="1"/>
      <w:marLeft w:val="0"/>
      <w:marRight w:val="0"/>
      <w:marTop w:val="0"/>
      <w:marBottom w:val="0"/>
      <w:divBdr>
        <w:top w:val="none" w:sz="0" w:space="0" w:color="auto"/>
        <w:left w:val="none" w:sz="0" w:space="0" w:color="auto"/>
        <w:bottom w:val="none" w:sz="0" w:space="0" w:color="auto"/>
        <w:right w:val="none" w:sz="0" w:space="0" w:color="auto"/>
      </w:divBdr>
    </w:div>
    <w:div w:id="2008360505">
      <w:bodyDiv w:val="1"/>
      <w:marLeft w:val="0"/>
      <w:marRight w:val="0"/>
      <w:marTop w:val="0"/>
      <w:marBottom w:val="0"/>
      <w:divBdr>
        <w:top w:val="none" w:sz="0" w:space="0" w:color="auto"/>
        <w:left w:val="none" w:sz="0" w:space="0" w:color="auto"/>
        <w:bottom w:val="none" w:sz="0" w:space="0" w:color="auto"/>
        <w:right w:val="none" w:sz="0" w:space="0" w:color="auto"/>
      </w:divBdr>
    </w:div>
    <w:div w:id="2008634958">
      <w:bodyDiv w:val="1"/>
      <w:marLeft w:val="0"/>
      <w:marRight w:val="0"/>
      <w:marTop w:val="0"/>
      <w:marBottom w:val="0"/>
      <w:divBdr>
        <w:top w:val="none" w:sz="0" w:space="0" w:color="auto"/>
        <w:left w:val="none" w:sz="0" w:space="0" w:color="auto"/>
        <w:bottom w:val="none" w:sz="0" w:space="0" w:color="auto"/>
        <w:right w:val="none" w:sz="0" w:space="0" w:color="auto"/>
      </w:divBdr>
    </w:div>
    <w:div w:id="2008744020">
      <w:bodyDiv w:val="1"/>
      <w:marLeft w:val="0"/>
      <w:marRight w:val="0"/>
      <w:marTop w:val="0"/>
      <w:marBottom w:val="0"/>
      <w:divBdr>
        <w:top w:val="none" w:sz="0" w:space="0" w:color="auto"/>
        <w:left w:val="none" w:sz="0" w:space="0" w:color="auto"/>
        <w:bottom w:val="none" w:sz="0" w:space="0" w:color="auto"/>
        <w:right w:val="none" w:sz="0" w:space="0" w:color="auto"/>
      </w:divBdr>
    </w:div>
    <w:div w:id="2009362917">
      <w:bodyDiv w:val="1"/>
      <w:marLeft w:val="0"/>
      <w:marRight w:val="0"/>
      <w:marTop w:val="0"/>
      <w:marBottom w:val="0"/>
      <w:divBdr>
        <w:top w:val="none" w:sz="0" w:space="0" w:color="auto"/>
        <w:left w:val="none" w:sz="0" w:space="0" w:color="auto"/>
        <w:bottom w:val="none" w:sz="0" w:space="0" w:color="auto"/>
        <w:right w:val="none" w:sz="0" w:space="0" w:color="auto"/>
      </w:divBdr>
    </w:div>
    <w:div w:id="2009668150">
      <w:bodyDiv w:val="1"/>
      <w:marLeft w:val="0"/>
      <w:marRight w:val="0"/>
      <w:marTop w:val="0"/>
      <w:marBottom w:val="0"/>
      <w:divBdr>
        <w:top w:val="none" w:sz="0" w:space="0" w:color="auto"/>
        <w:left w:val="none" w:sz="0" w:space="0" w:color="auto"/>
        <w:bottom w:val="none" w:sz="0" w:space="0" w:color="auto"/>
        <w:right w:val="none" w:sz="0" w:space="0" w:color="auto"/>
      </w:divBdr>
    </w:div>
    <w:div w:id="2010478363">
      <w:bodyDiv w:val="1"/>
      <w:marLeft w:val="0"/>
      <w:marRight w:val="0"/>
      <w:marTop w:val="0"/>
      <w:marBottom w:val="0"/>
      <w:divBdr>
        <w:top w:val="none" w:sz="0" w:space="0" w:color="auto"/>
        <w:left w:val="none" w:sz="0" w:space="0" w:color="auto"/>
        <w:bottom w:val="none" w:sz="0" w:space="0" w:color="auto"/>
        <w:right w:val="none" w:sz="0" w:space="0" w:color="auto"/>
      </w:divBdr>
    </w:div>
    <w:div w:id="2010979136">
      <w:bodyDiv w:val="1"/>
      <w:marLeft w:val="0"/>
      <w:marRight w:val="0"/>
      <w:marTop w:val="0"/>
      <w:marBottom w:val="0"/>
      <w:divBdr>
        <w:top w:val="none" w:sz="0" w:space="0" w:color="auto"/>
        <w:left w:val="none" w:sz="0" w:space="0" w:color="auto"/>
        <w:bottom w:val="none" w:sz="0" w:space="0" w:color="auto"/>
        <w:right w:val="none" w:sz="0" w:space="0" w:color="auto"/>
      </w:divBdr>
    </w:div>
    <w:div w:id="2011330029">
      <w:bodyDiv w:val="1"/>
      <w:marLeft w:val="0"/>
      <w:marRight w:val="0"/>
      <w:marTop w:val="0"/>
      <w:marBottom w:val="0"/>
      <w:divBdr>
        <w:top w:val="none" w:sz="0" w:space="0" w:color="auto"/>
        <w:left w:val="none" w:sz="0" w:space="0" w:color="auto"/>
        <w:bottom w:val="none" w:sz="0" w:space="0" w:color="auto"/>
        <w:right w:val="none" w:sz="0" w:space="0" w:color="auto"/>
      </w:divBdr>
    </w:div>
    <w:div w:id="2011709300">
      <w:bodyDiv w:val="1"/>
      <w:marLeft w:val="0"/>
      <w:marRight w:val="0"/>
      <w:marTop w:val="0"/>
      <w:marBottom w:val="0"/>
      <w:divBdr>
        <w:top w:val="none" w:sz="0" w:space="0" w:color="auto"/>
        <w:left w:val="none" w:sz="0" w:space="0" w:color="auto"/>
        <w:bottom w:val="none" w:sz="0" w:space="0" w:color="auto"/>
        <w:right w:val="none" w:sz="0" w:space="0" w:color="auto"/>
      </w:divBdr>
    </w:div>
    <w:div w:id="2012291086">
      <w:bodyDiv w:val="1"/>
      <w:marLeft w:val="0"/>
      <w:marRight w:val="0"/>
      <w:marTop w:val="0"/>
      <w:marBottom w:val="0"/>
      <w:divBdr>
        <w:top w:val="none" w:sz="0" w:space="0" w:color="auto"/>
        <w:left w:val="none" w:sz="0" w:space="0" w:color="auto"/>
        <w:bottom w:val="none" w:sz="0" w:space="0" w:color="auto"/>
        <w:right w:val="none" w:sz="0" w:space="0" w:color="auto"/>
      </w:divBdr>
    </w:div>
    <w:div w:id="2012372026">
      <w:bodyDiv w:val="1"/>
      <w:marLeft w:val="0"/>
      <w:marRight w:val="0"/>
      <w:marTop w:val="0"/>
      <w:marBottom w:val="0"/>
      <w:divBdr>
        <w:top w:val="none" w:sz="0" w:space="0" w:color="auto"/>
        <w:left w:val="none" w:sz="0" w:space="0" w:color="auto"/>
        <w:bottom w:val="none" w:sz="0" w:space="0" w:color="auto"/>
        <w:right w:val="none" w:sz="0" w:space="0" w:color="auto"/>
      </w:divBdr>
    </w:div>
    <w:div w:id="2012831366">
      <w:bodyDiv w:val="1"/>
      <w:marLeft w:val="0"/>
      <w:marRight w:val="0"/>
      <w:marTop w:val="0"/>
      <w:marBottom w:val="0"/>
      <w:divBdr>
        <w:top w:val="none" w:sz="0" w:space="0" w:color="auto"/>
        <w:left w:val="none" w:sz="0" w:space="0" w:color="auto"/>
        <w:bottom w:val="none" w:sz="0" w:space="0" w:color="auto"/>
        <w:right w:val="none" w:sz="0" w:space="0" w:color="auto"/>
      </w:divBdr>
    </w:div>
    <w:div w:id="2013020276">
      <w:bodyDiv w:val="1"/>
      <w:marLeft w:val="0"/>
      <w:marRight w:val="0"/>
      <w:marTop w:val="0"/>
      <w:marBottom w:val="0"/>
      <w:divBdr>
        <w:top w:val="none" w:sz="0" w:space="0" w:color="auto"/>
        <w:left w:val="none" w:sz="0" w:space="0" w:color="auto"/>
        <w:bottom w:val="none" w:sz="0" w:space="0" w:color="auto"/>
        <w:right w:val="none" w:sz="0" w:space="0" w:color="auto"/>
      </w:divBdr>
    </w:div>
    <w:div w:id="2013215331">
      <w:bodyDiv w:val="1"/>
      <w:marLeft w:val="0"/>
      <w:marRight w:val="0"/>
      <w:marTop w:val="0"/>
      <w:marBottom w:val="0"/>
      <w:divBdr>
        <w:top w:val="none" w:sz="0" w:space="0" w:color="auto"/>
        <w:left w:val="none" w:sz="0" w:space="0" w:color="auto"/>
        <w:bottom w:val="none" w:sz="0" w:space="0" w:color="auto"/>
        <w:right w:val="none" w:sz="0" w:space="0" w:color="auto"/>
      </w:divBdr>
    </w:div>
    <w:div w:id="2013560030">
      <w:bodyDiv w:val="1"/>
      <w:marLeft w:val="0"/>
      <w:marRight w:val="0"/>
      <w:marTop w:val="0"/>
      <w:marBottom w:val="0"/>
      <w:divBdr>
        <w:top w:val="none" w:sz="0" w:space="0" w:color="auto"/>
        <w:left w:val="none" w:sz="0" w:space="0" w:color="auto"/>
        <w:bottom w:val="none" w:sz="0" w:space="0" w:color="auto"/>
        <w:right w:val="none" w:sz="0" w:space="0" w:color="auto"/>
      </w:divBdr>
    </w:div>
    <w:div w:id="2013601991">
      <w:bodyDiv w:val="1"/>
      <w:marLeft w:val="0"/>
      <w:marRight w:val="0"/>
      <w:marTop w:val="0"/>
      <w:marBottom w:val="0"/>
      <w:divBdr>
        <w:top w:val="none" w:sz="0" w:space="0" w:color="auto"/>
        <w:left w:val="none" w:sz="0" w:space="0" w:color="auto"/>
        <w:bottom w:val="none" w:sz="0" w:space="0" w:color="auto"/>
        <w:right w:val="none" w:sz="0" w:space="0" w:color="auto"/>
      </w:divBdr>
    </w:div>
    <w:div w:id="2013793302">
      <w:bodyDiv w:val="1"/>
      <w:marLeft w:val="0"/>
      <w:marRight w:val="0"/>
      <w:marTop w:val="0"/>
      <w:marBottom w:val="0"/>
      <w:divBdr>
        <w:top w:val="none" w:sz="0" w:space="0" w:color="auto"/>
        <w:left w:val="none" w:sz="0" w:space="0" w:color="auto"/>
        <w:bottom w:val="none" w:sz="0" w:space="0" w:color="auto"/>
        <w:right w:val="none" w:sz="0" w:space="0" w:color="auto"/>
      </w:divBdr>
    </w:div>
    <w:div w:id="2014261812">
      <w:bodyDiv w:val="1"/>
      <w:marLeft w:val="0"/>
      <w:marRight w:val="0"/>
      <w:marTop w:val="0"/>
      <w:marBottom w:val="0"/>
      <w:divBdr>
        <w:top w:val="none" w:sz="0" w:space="0" w:color="auto"/>
        <w:left w:val="none" w:sz="0" w:space="0" w:color="auto"/>
        <w:bottom w:val="none" w:sz="0" w:space="0" w:color="auto"/>
        <w:right w:val="none" w:sz="0" w:space="0" w:color="auto"/>
      </w:divBdr>
    </w:div>
    <w:div w:id="2015573628">
      <w:bodyDiv w:val="1"/>
      <w:marLeft w:val="0"/>
      <w:marRight w:val="0"/>
      <w:marTop w:val="0"/>
      <w:marBottom w:val="0"/>
      <w:divBdr>
        <w:top w:val="none" w:sz="0" w:space="0" w:color="auto"/>
        <w:left w:val="none" w:sz="0" w:space="0" w:color="auto"/>
        <w:bottom w:val="none" w:sz="0" w:space="0" w:color="auto"/>
        <w:right w:val="none" w:sz="0" w:space="0" w:color="auto"/>
      </w:divBdr>
    </w:div>
    <w:div w:id="2015722473">
      <w:bodyDiv w:val="1"/>
      <w:marLeft w:val="0"/>
      <w:marRight w:val="0"/>
      <w:marTop w:val="0"/>
      <w:marBottom w:val="0"/>
      <w:divBdr>
        <w:top w:val="none" w:sz="0" w:space="0" w:color="auto"/>
        <w:left w:val="none" w:sz="0" w:space="0" w:color="auto"/>
        <w:bottom w:val="none" w:sz="0" w:space="0" w:color="auto"/>
        <w:right w:val="none" w:sz="0" w:space="0" w:color="auto"/>
      </w:divBdr>
    </w:div>
    <w:div w:id="2015764082">
      <w:bodyDiv w:val="1"/>
      <w:marLeft w:val="0"/>
      <w:marRight w:val="0"/>
      <w:marTop w:val="0"/>
      <w:marBottom w:val="0"/>
      <w:divBdr>
        <w:top w:val="none" w:sz="0" w:space="0" w:color="auto"/>
        <w:left w:val="none" w:sz="0" w:space="0" w:color="auto"/>
        <w:bottom w:val="none" w:sz="0" w:space="0" w:color="auto"/>
        <w:right w:val="none" w:sz="0" w:space="0" w:color="auto"/>
      </w:divBdr>
    </w:div>
    <w:div w:id="2015916742">
      <w:bodyDiv w:val="1"/>
      <w:marLeft w:val="0"/>
      <w:marRight w:val="0"/>
      <w:marTop w:val="0"/>
      <w:marBottom w:val="0"/>
      <w:divBdr>
        <w:top w:val="none" w:sz="0" w:space="0" w:color="auto"/>
        <w:left w:val="none" w:sz="0" w:space="0" w:color="auto"/>
        <w:bottom w:val="none" w:sz="0" w:space="0" w:color="auto"/>
        <w:right w:val="none" w:sz="0" w:space="0" w:color="auto"/>
      </w:divBdr>
    </w:div>
    <w:div w:id="2016414523">
      <w:bodyDiv w:val="1"/>
      <w:marLeft w:val="0"/>
      <w:marRight w:val="0"/>
      <w:marTop w:val="0"/>
      <w:marBottom w:val="0"/>
      <w:divBdr>
        <w:top w:val="none" w:sz="0" w:space="0" w:color="auto"/>
        <w:left w:val="none" w:sz="0" w:space="0" w:color="auto"/>
        <w:bottom w:val="none" w:sz="0" w:space="0" w:color="auto"/>
        <w:right w:val="none" w:sz="0" w:space="0" w:color="auto"/>
      </w:divBdr>
    </w:div>
    <w:div w:id="2016421305">
      <w:bodyDiv w:val="1"/>
      <w:marLeft w:val="0"/>
      <w:marRight w:val="0"/>
      <w:marTop w:val="0"/>
      <w:marBottom w:val="0"/>
      <w:divBdr>
        <w:top w:val="none" w:sz="0" w:space="0" w:color="auto"/>
        <w:left w:val="none" w:sz="0" w:space="0" w:color="auto"/>
        <w:bottom w:val="none" w:sz="0" w:space="0" w:color="auto"/>
        <w:right w:val="none" w:sz="0" w:space="0" w:color="auto"/>
      </w:divBdr>
    </w:div>
    <w:div w:id="2016960277">
      <w:bodyDiv w:val="1"/>
      <w:marLeft w:val="0"/>
      <w:marRight w:val="0"/>
      <w:marTop w:val="0"/>
      <w:marBottom w:val="0"/>
      <w:divBdr>
        <w:top w:val="none" w:sz="0" w:space="0" w:color="auto"/>
        <w:left w:val="none" w:sz="0" w:space="0" w:color="auto"/>
        <w:bottom w:val="none" w:sz="0" w:space="0" w:color="auto"/>
        <w:right w:val="none" w:sz="0" w:space="0" w:color="auto"/>
      </w:divBdr>
    </w:div>
    <w:div w:id="2017146936">
      <w:bodyDiv w:val="1"/>
      <w:marLeft w:val="0"/>
      <w:marRight w:val="0"/>
      <w:marTop w:val="0"/>
      <w:marBottom w:val="0"/>
      <w:divBdr>
        <w:top w:val="none" w:sz="0" w:space="0" w:color="auto"/>
        <w:left w:val="none" w:sz="0" w:space="0" w:color="auto"/>
        <w:bottom w:val="none" w:sz="0" w:space="0" w:color="auto"/>
        <w:right w:val="none" w:sz="0" w:space="0" w:color="auto"/>
      </w:divBdr>
    </w:div>
    <w:div w:id="2017228174">
      <w:bodyDiv w:val="1"/>
      <w:marLeft w:val="0"/>
      <w:marRight w:val="0"/>
      <w:marTop w:val="0"/>
      <w:marBottom w:val="0"/>
      <w:divBdr>
        <w:top w:val="none" w:sz="0" w:space="0" w:color="auto"/>
        <w:left w:val="none" w:sz="0" w:space="0" w:color="auto"/>
        <w:bottom w:val="none" w:sz="0" w:space="0" w:color="auto"/>
        <w:right w:val="none" w:sz="0" w:space="0" w:color="auto"/>
      </w:divBdr>
    </w:div>
    <w:div w:id="2017539381">
      <w:bodyDiv w:val="1"/>
      <w:marLeft w:val="0"/>
      <w:marRight w:val="0"/>
      <w:marTop w:val="0"/>
      <w:marBottom w:val="0"/>
      <w:divBdr>
        <w:top w:val="none" w:sz="0" w:space="0" w:color="auto"/>
        <w:left w:val="none" w:sz="0" w:space="0" w:color="auto"/>
        <w:bottom w:val="none" w:sz="0" w:space="0" w:color="auto"/>
        <w:right w:val="none" w:sz="0" w:space="0" w:color="auto"/>
      </w:divBdr>
    </w:div>
    <w:div w:id="2017730252">
      <w:bodyDiv w:val="1"/>
      <w:marLeft w:val="0"/>
      <w:marRight w:val="0"/>
      <w:marTop w:val="0"/>
      <w:marBottom w:val="0"/>
      <w:divBdr>
        <w:top w:val="none" w:sz="0" w:space="0" w:color="auto"/>
        <w:left w:val="none" w:sz="0" w:space="0" w:color="auto"/>
        <w:bottom w:val="none" w:sz="0" w:space="0" w:color="auto"/>
        <w:right w:val="none" w:sz="0" w:space="0" w:color="auto"/>
      </w:divBdr>
    </w:div>
    <w:div w:id="2018145123">
      <w:bodyDiv w:val="1"/>
      <w:marLeft w:val="0"/>
      <w:marRight w:val="0"/>
      <w:marTop w:val="0"/>
      <w:marBottom w:val="0"/>
      <w:divBdr>
        <w:top w:val="none" w:sz="0" w:space="0" w:color="auto"/>
        <w:left w:val="none" w:sz="0" w:space="0" w:color="auto"/>
        <w:bottom w:val="none" w:sz="0" w:space="0" w:color="auto"/>
        <w:right w:val="none" w:sz="0" w:space="0" w:color="auto"/>
      </w:divBdr>
    </w:div>
    <w:div w:id="2018653709">
      <w:bodyDiv w:val="1"/>
      <w:marLeft w:val="0"/>
      <w:marRight w:val="0"/>
      <w:marTop w:val="0"/>
      <w:marBottom w:val="0"/>
      <w:divBdr>
        <w:top w:val="none" w:sz="0" w:space="0" w:color="auto"/>
        <w:left w:val="none" w:sz="0" w:space="0" w:color="auto"/>
        <w:bottom w:val="none" w:sz="0" w:space="0" w:color="auto"/>
        <w:right w:val="none" w:sz="0" w:space="0" w:color="auto"/>
      </w:divBdr>
    </w:div>
    <w:div w:id="2018845529">
      <w:bodyDiv w:val="1"/>
      <w:marLeft w:val="0"/>
      <w:marRight w:val="0"/>
      <w:marTop w:val="0"/>
      <w:marBottom w:val="0"/>
      <w:divBdr>
        <w:top w:val="none" w:sz="0" w:space="0" w:color="auto"/>
        <w:left w:val="none" w:sz="0" w:space="0" w:color="auto"/>
        <w:bottom w:val="none" w:sz="0" w:space="0" w:color="auto"/>
        <w:right w:val="none" w:sz="0" w:space="0" w:color="auto"/>
      </w:divBdr>
    </w:div>
    <w:div w:id="2018920455">
      <w:bodyDiv w:val="1"/>
      <w:marLeft w:val="0"/>
      <w:marRight w:val="0"/>
      <w:marTop w:val="0"/>
      <w:marBottom w:val="0"/>
      <w:divBdr>
        <w:top w:val="none" w:sz="0" w:space="0" w:color="auto"/>
        <w:left w:val="none" w:sz="0" w:space="0" w:color="auto"/>
        <w:bottom w:val="none" w:sz="0" w:space="0" w:color="auto"/>
        <w:right w:val="none" w:sz="0" w:space="0" w:color="auto"/>
      </w:divBdr>
    </w:div>
    <w:div w:id="2020307020">
      <w:bodyDiv w:val="1"/>
      <w:marLeft w:val="0"/>
      <w:marRight w:val="0"/>
      <w:marTop w:val="0"/>
      <w:marBottom w:val="0"/>
      <w:divBdr>
        <w:top w:val="none" w:sz="0" w:space="0" w:color="auto"/>
        <w:left w:val="none" w:sz="0" w:space="0" w:color="auto"/>
        <w:bottom w:val="none" w:sz="0" w:space="0" w:color="auto"/>
        <w:right w:val="none" w:sz="0" w:space="0" w:color="auto"/>
      </w:divBdr>
    </w:div>
    <w:div w:id="2020505844">
      <w:bodyDiv w:val="1"/>
      <w:marLeft w:val="0"/>
      <w:marRight w:val="0"/>
      <w:marTop w:val="0"/>
      <w:marBottom w:val="0"/>
      <w:divBdr>
        <w:top w:val="none" w:sz="0" w:space="0" w:color="auto"/>
        <w:left w:val="none" w:sz="0" w:space="0" w:color="auto"/>
        <w:bottom w:val="none" w:sz="0" w:space="0" w:color="auto"/>
        <w:right w:val="none" w:sz="0" w:space="0" w:color="auto"/>
      </w:divBdr>
    </w:div>
    <w:div w:id="2020764916">
      <w:bodyDiv w:val="1"/>
      <w:marLeft w:val="0"/>
      <w:marRight w:val="0"/>
      <w:marTop w:val="0"/>
      <w:marBottom w:val="0"/>
      <w:divBdr>
        <w:top w:val="none" w:sz="0" w:space="0" w:color="auto"/>
        <w:left w:val="none" w:sz="0" w:space="0" w:color="auto"/>
        <w:bottom w:val="none" w:sz="0" w:space="0" w:color="auto"/>
        <w:right w:val="none" w:sz="0" w:space="0" w:color="auto"/>
      </w:divBdr>
    </w:div>
    <w:div w:id="2020964024">
      <w:bodyDiv w:val="1"/>
      <w:marLeft w:val="0"/>
      <w:marRight w:val="0"/>
      <w:marTop w:val="0"/>
      <w:marBottom w:val="0"/>
      <w:divBdr>
        <w:top w:val="none" w:sz="0" w:space="0" w:color="auto"/>
        <w:left w:val="none" w:sz="0" w:space="0" w:color="auto"/>
        <w:bottom w:val="none" w:sz="0" w:space="0" w:color="auto"/>
        <w:right w:val="none" w:sz="0" w:space="0" w:color="auto"/>
      </w:divBdr>
    </w:div>
    <w:div w:id="2021618585">
      <w:bodyDiv w:val="1"/>
      <w:marLeft w:val="0"/>
      <w:marRight w:val="0"/>
      <w:marTop w:val="0"/>
      <w:marBottom w:val="0"/>
      <w:divBdr>
        <w:top w:val="none" w:sz="0" w:space="0" w:color="auto"/>
        <w:left w:val="none" w:sz="0" w:space="0" w:color="auto"/>
        <w:bottom w:val="none" w:sz="0" w:space="0" w:color="auto"/>
        <w:right w:val="none" w:sz="0" w:space="0" w:color="auto"/>
      </w:divBdr>
    </w:div>
    <w:div w:id="2022002225">
      <w:bodyDiv w:val="1"/>
      <w:marLeft w:val="0"/>
      <w:marRight w:val="0"/>
      <w:marTop w:val="0"/>
      <w:marBottom w:val="0"/>
      <w:divBdr>
        <w:top w:val="none" w:sz="0" w:space="0" w:color="auto"/>
        <w:left w:val="none" w:sz="0" w:space="0" w:color="auto"/>
        <w:bottom w:val="none" w:sz="0" w:space="0" w:color="auto"/>
        <w:right w:val="none" w:sz="0" w:space="0" w:color="auto"/>
      </w:divBdr>
    </w:div>
    <w:div w:id="2022075899">
      <w:bodyDiv w:val="1"/>
      <w:marLeft w:val="0"/>
      <w:marRight w:val="0"/>
      <w:marTop w:val="0"/>
      <w:marBottom w:val="0"/>
      <w:divBdr>
        <w:top w:val="none" w:sz="0" w:space="0" w:color="auto"/>
        <w:left w:val="none" w:sz="0" w:space="0" w:color="auto"/>
        <w:bottom w:val="none" w:sz="0" w:space="0" w:color="auto"/>
        <w:right w:val="none" w:sz="0" w:space="0" w:color="auto"/>
      </w:divBdr>
    </w:div>
    <w:div w:id="2022195614">
      <w:bodyDiv w:val="1"/>
      <w:marLeft w:val="0"/>
      <w:marRight w:val="0"/>
      <w:marTop w:val="0"/>
      <w:marBottom w:val="0"/>
      <w:divBdr>
        <w:top w:val="none" w:sz="0" w:space="0" w:color="auto"/>
        <w:left w:val="none" w:sz="0" w:space="0" w:color="auto"/>
        <w:bottom w:val="none" w:sz="0" w:space="0" w:color="auto"/>
        <w:right w:val="none" w:sz="0" w:space="0" w:color="auto"/>
      </w:divBdr>
    </w:div>
    <w:div w:id="2022538170">
      <w:bodyDiv w:val="1"/>
      <w:marLeft w:val="0"/>
      <w:marRight w:val="0"/>
      <w:marTop w:val="0"/>
      <w:marBottom w:val="0"/>
      <w:divBdr>
        <w:top w:val="none" w:sz="0" w:space="0" w:color="auto"/>
        <w:left w:val="none" w:sz="0" w:space="0" w:color="auto"/>
        <w:bottom w:val="none" w:sz="0" w:space="0" w:color="auto"/>
        <w:right w:val="none" w:sz="0" w:space="0" w:color="auto"/>
      </w:divBdr>
    </w:div>
    <w:div w:id="2022657632">
      <w:bodyDiv w:val="1"/>
      <w:marLeft w:val="0"/>
      <w:marRight w:val="0"/>
      <w:marTop w:val="0"/>
      <w:marBottom w:val="0"/>
      <w:divBdr>
        <w:top w:val="none" w:sz="0" w:space="0" w:color="auto"/>
        <w:left w:val="none" w:sz="0" w:space="0" w:color="auto"/>
        <w:bottom w:val="none" w:sz="0" w:space="0" w:color="auto"/>
        <w:right w:val="none" w:sz="0" w:space="0" w:color="auto"/>
      </w:divBdr>
    </w:div>
    <w:div w:id="2022927230">
      <w:bodyDiv w:val="1"/>
      <w:marLeft w:val="0"/>
      <w:marRight w:val="0"/>
      <w:marTop w:val="0"/>
      <w:marBottom w:val="0"/>
      <w:divBdr>
        <w:top w:val="none" w:sz="0" w:space="0" w:color="auto"/>
        <w:left w:val="none" w:sz="0" w:space="0" w:color="auto"/>
        <w:bottom w:val="none" w:sz="0" w:space="0" w:color="auto"/>
        <w:right w:val="none" w:sz="0" w:space="0" w:color="auto"/>
      </w:divBdr>
    </w:div>
    <w:div w:id="2022969810">
      <w:bodyDiv w:val="1"/>
      <w:marLeft w:val="0"/>
      <w:marRight w:val="0"/>
      <w:marTop w:val="0"/>
      <w:marBottom w:val="0"/>
      <w:divBdr>
        <w:top w:val="none" w:sz="0" w:space="0" w:color="auto"/>
        <w:left w:val="none" w:sz="0" w:space="0" w:color="auto"/>
        <w:bottom w:val="none" w:sz="0" w:space="0" w:color="auto"/>
        <w:right w:val="none" w:sz="0" w:space="0" w:color="auto"/>
      </w:divBdr>
    </w:div>
    <w:div w:id="2023120618">
      <w:bodyDiv w:val="1"/>
      <w:marLeft w:val="0"/>
      <w:marRight w:val="0"/>
      <w:marTop w:val="0"/>
      <w:marBottom w:val="0"/>
      <w:divBdr>
        <w:top w:val="none" w:sz="0" w:space="0" w:color="auto"/>
        <w:left w:val="none" w:sz="0" w:space="0" w:color="auto"/>
        <w:bottom w:val="none" w:sz="0" w:space="0" w:color="auto"/>
        <w:right w:val="none" w:sz="0" w:space="0" w:color="auto"/>
      </w:divBdr>
    </w:div>
    <w:div w:id="2023240516">
      <w:bodyDiv w:val="1"/>
      <w:marLeft w:val="0"/>
      <w:marRight w:val="0"/>
      <w:marTop w:val="0"/>
      <w:marBottom w:val="0"/>
      <w:divBdr>
        <w:top w:val="none" w:sz="0" w:space="0" w:color="auto"/>
        <w:left w:val="none" w:sz="0" w:space="0" w:color="auto"/>
        <w:bottom w:val="none" w:sz="0" w:space="0" w:color="auto"/>
        <w:right w:val="none" w:sz="0" w:space="0" w:color="auto"/>
      </w:divBdr>
    </w:div>
    <w:div w:id="2023386012">
      <w:bodyDiv w:val="1"/>
      <w:marLeft w:val="0"/>
      <w:marRight w:val="0"/>
      <w:marTop w:val="0"/>
      <w:marBottom w:val="0"/>
      <w:divBdr>
        <w:top w:val="none" w:sz="0" w:space="0" w:color="auto"/>
        <w:left w:val="none" w:sz="0" w:space="0" w:color="auto"/>
        <w:bottom w:val="none" w:sz="0" w:space="0" w:color="auto"/>
        <w:right w:val="none" w:sz="0" w:space="0" w:color="auto"/>
      </w:divBdr>
    </w:div>
    <w:div w:id="2023390255">
      <w:bodyDiv w:val="1"/>
      <w:marLeft w:val="0"/>
      <w:marRight w:val="0"/>
      <w:marTop w:val="0"/>
      <w:marBottom w:val="0"/>
      <w:divBdr>
        <w:top w:val="none" w:sz="0" w:space="0" w:color="auto"/>
        <w:left w:val="none" w:sz="0" w:space="0" w:color="auto"/>
        <w:bottom w:val="none" w:sz="0" w:space="0" w:color="auto"/>
        <w:right w:val="none" w:sz="0" w:space="0" w:color="auto"/>
      </w:divBdr>
    </w:div>
    <w:div w:id="2023507421">
      <w:bodyDiv w:val="1"/>
      <w:marLeft w:val="0"/>
      <w:marRight w:val="0"/>
      <w:marTop w:val="0"/>
      <w:marBottom w:val="0"/>
      <w:divBdr>
        <w:top w:val="none" w:sz="0" w:space="0" w:color="auto"/>
        <w:left w:val="none" w:sz="0" w:space="0" w:color="auto"/>
        <w:bottom w:val="none" w:sz="0" w:space="0" w:color="auto"/>
        <w:right w:val="none" w:sz="0" w:space="0" w:color="auto"/>
      </w:divBdr>
    </w:div>
    <w:div w:id="2023779569">
      <w:bodyDiv w:val="1"/>
      <w:marLeft w:val="0"/>
      <w:marRight w:val="0"/>
      <w:marTop w:val="0"/>
      <w:marBottom w:val="0"/>
      <w:divBdr>
        <w:top w:val="none" w:sz="0" w:space="0" w:color="auto"/>
        <w:left w:val="none" w:sz="0" w:space="0" w:color="auto"/>
        <w:bottom w:val="none" w:sz="0" w:space="0" w:color="auto"/>
        <w:right w:val="none" w:sz="0" w:space="0" w:color="auto"/>
      </w:divBdr>
    </w:div>
    <w:div w:id="2023817315">
      <w:bodyDiv w:val="1"/>
      <w:marLeft w:val="0"/>
      <w:marRight w:val="0"/>
      <w:marTop w:val="0"/>
      <w:marBottom w:val="0"/>
      <w:divBdr>
        <w:top w:val="none" w:sz="0" w:space="0" w:color="auto"/>
        <w:left w:val="none" w:sz="0" w:space="0" w:color="auto"/>
        <w:bottom w:val="none" w:sz="0" w:space="0" w:color="auto"/>
        <w:right w:val="none" w:sz="0" w:space="0" w:color="auto"/>
      </w:divBdr>
    </w:div>
    <w:div w:id="2023822130">
      <w:bodyDiv w:val="1"/>
      <w:marLeft w:val="0"/>
      <w:marRight w:val="0"/>
      <w:marTop w:val="0"/>
      <w:marBottom w:val="0"/>
      <w:divBdr>
        <w:top w:val="none" w:sz="0" w:space="0" w:color="auto"/>
        <w:left w:val="none" w:sz="0" w:space="0" w:color="auto"/>
        <w:bottom w:val="none" w:sz="0" w:space="0" w:color="auto"/>
        <w:right w:val="none" w:sz="0" w:space="0" w:color="auto"/>
      </w:divBdr>
    </w:div>
    <w:div w:id="2024546983">
      <w:bodyDiv w:val="1"/>
      <w:marLeft w:val="0"/>
      <w:marRight w:val="0"/>
      <w:marTop w:val="0"/>
      <w:marBottom w:val="0"/>
      <w:divBdr>
        <w:top w:val="none" w:sz="0" w:space="0" w:color="auto"/>
        <w:left w:val="none" w:sz="0" w:space="0" w:color="auto"/>
        <w:bottom w:val="none" w:sz="0" w:space="0" w:color="auto"/>
        <w:right w:val="none" w:sz="0" w:space="0" w:color="auto"/>
      </w:divBdr>
    </w:div>
    <w:div w:id="2024625349">
      <w:bodyDiv w:val="1"/>
      <w:marLeft w:val="0"/>
      <w:marRight w:val="0"/>
      <w:marTop w:val="0"/>
      <w:marBottom w:val="0"/>
      <w:divBdr>
        <w:top w:val="none" w:sz="0" w:space="0" w:color="auto"/>
        <w:left w:val="none" w:sz="0" w:space="0" w:color="auto"/>
        <w:bottom w:val="none" w:sz="0" w:space="0" w:color="auto"/>
        <w:right w:val="none" w:sz="0" w:space="0" w:color="auto"/>
      </w:divBdr>
    </w:div>
    <w:div w:id="2024697251">
      <w:bodyDiv w:val="1"/>
      <w:marLeft w:val="0"/>
      <w:marRight w:val="0"/>
      <w:marTop w:val="0"/>
      <w:marBottom w:val="0"/>
      <w:divBdr>
        <w:top w:val="none" w:sz="0" w:space="0" w:color="auto"/>
        <w:left w:val="none" w:sz="0" w:space="0" w:color="auto"/>
        <w:bottom w:val="none" w:sz="0" w:space="0" w:color="auto"/>
        <w:right w:val="none" w:sz="0" w:space="0" w:color="auto"/>
      </w:divBdr>
    </w:div>
    <w:div w:id="2024892689">
      <w:bodyDiv w:val="1"/>
      <w:marLeft w:val="0"/>
      <w:marRight w:val="0"/>
      <w:marTop w:val="0"/>
      <w:marBottom w:val="0"/>
      <w:divBdr>
        <w:top w:val="none" w:sz="0" w:space="0" w:color="auto"/>
        <w:left w:val="none" w:sz="0" w:space="0" w:color="auto"/>
        <w:bottom w:val="none" w:sz="0" w:space="0" w:color="auto"/>
        <w:right w:val="none" w:sz="0" w:space="0" w:color="auto"/>
      </w:divBdr>
    </w:div>
    <w:div w:id="2025201407">
      <w:bodyDiv w:val="1"/>
      <w:marLeft w:val="0"/>
      <w:marRight w:val="0"/>
      <w:marTop w:val="0"/>
      <w:marBottom w:val="0"/>
      <w:divBdr>
        <w:top w:val="none" w:sz="0" w:space="0" w:color="auto"/>
        <w:left w:val="none" w:sz="0" w:space="0" w:color="auto"/>
        <w:bottom w:val="none" w:sz="0" w:space="0" w:color="auto"/>
        <w:right w:val="none" w:sz="0" w:space="0" w:color="auto"/>
      </w:divBdr>
    </w:div>
    <w:div w:id="2025476057">
      <w:bodyDiv w:val="1"/>
      <w:marLeft w:val="0"/>
      <w:marRight w:val="0"/>
      <w:marTop w:val="0"/>
      <w:marBottom w:val="0"/>
      <w:divBdr>
        <w:top w:val="none" w:sz="0" w:space="0" w:color="auto"/>
        <w:left w:val="none" w:sz="0" w:space="0" w:color="auto"/>
        <w:bottom w:val="none" w:sz="0" w:space="0" w:color="auto"/>
        <w:right w:val="none" w:sz="0" w:space="0" w:color="auto"/>
      </w:divBdr>
    </w:div>
    <w:div w:id="2025664497">
      <w:bodyDiv w:val="1"/>
      <w:marLeft w:val="0"/>
      <w:marRight w:val="0"/>
      <w:marTop w:val="0"/>
      <w:marBottom w:val="0"/>
      <w:divBdr>
        <w:top w:val="none" w:sz="0" w:space="0" w:color="auto"/>
        <w:left w:val="none" w:sz="0" w:space="0" w:color="auto"/>
        <w:bottom w:val="none" w:sz="0" w:space="0" w:color="auto"/>
        <w:right w:val="none" w:sz="0" w:space="0" w:color="auto"/>
      </w:divBdr>
    </w:div>
    <w:div w:id="2025981248">
      <w:bodyDiv w:val="1"/>
      <w:marLeft w:val="0"/>
      <w:marRight w:val="0"/>
      <w:marTop w:val="0"/>
      <w:marBottom w:val="0"/>
      <w:divBdr>
        <w:top w:val="none" w:sz="0" w:space="0" w:color="auto"/>
        <w:left w:val="none" w:sz="0" w:space="0" w:color="auto"/>
        <w:bottom w:val="none" w:sz="0" w:space="0" w:color="auto"/>
        <w:right w:val="none" w:sz="0" w:space="0" w:color="auto"/>
      </w:divBdr>
    </w:div>
    <w:div w:id="2026050710">
      <w:bodyDiv w:val="1"/>
      <w:marLeft w:val="0"/>
      <w:marRight w:val="0"/>
      <w:marTop w:val="0"/>
      <w:marBottom w:val="0"/>
      <w:divBdr>
        <w:top w:val="none" w:sz="0" w:space="0" w:color="auto"/>
        <w:left w:val="none" w:sz="0" w:space="0" w:color="auto"/>
        <w:bottom w:val="none" w:sz="0" w:space="0" w:color="auto"/>
        <w:right w:val="none" w:sz="0" w:space="0" w:color="auto"/>
      </w:divBdr>
    </w:div>
    <w:div w:id="2026205944">
      <w:bodyDiv w:val="1"/>
      <w:marLeft w:val="0"/>
      <w:marRight w:val="0"/>
      <w:marTop w:val="0"/>
      <w:marBottom w:val="0"/>
      <w:divBdr>
        <w:top w:val="none" w:sz="0" w:space="0" w:color="auto"/>
        <w:left w:val="none" w:sz="0" w:space="0" w:color="auto"/>
        <w:bottom w:val="none" w:sz="0" w:space="0" w:color="auto"/>
        <w:right w:val="none" w:sz="0" w:space="0" w:color="auto"/>
      </w:divBdr>
    </w:div>
    <w:div w:id="2026395363">
      <w:bodyDiv w:val="1"/>
      <w:marLeft w:val="0"/>
      <w:marRight w:val="0"/>
      <w:marTop w:val="0"/>
      <w:marBottom w:val="0"/>
      <w:divBdr>
        <w:top w:val="none" w:sz="0" w:space="0" w:color="auto"/>
        <w:left w:val="none" w:sz="0" w:space="0" w:color="auto"/>
        <w:bottom w:val="none" w:sz="0" w:space="0" w:color="auto"/>
        <w:right w:val="none" w:sz="0" w:space="0" w:color="auto"/>
      </w:divBdr>
    </w:div>
    <w:div w:id="2026398867">
      <w:bodyDiv w:val="1"/>
      <w:marLeft w:val="0"/>
      <w:marRight w:val="0"/>
      <w:marTop w:val="0"/>
      <w:marBottom w:val="0"/>
      <w:divBdr>
        <w:top w:val="none" w:sz="0" w:space="0" w:color="auto"/>
        <w:left w:val="none" w:sz="0" w:space="0" w:color="auto"/>
        <w:bottom w:val="none" w:sz="0" w:space="0" w:color="auto"/>
        <w:right w:val="none" w:sz="0" w:space="0" w:color="auto"/>
      </w:divBdr>
    </w:div>
    <w:div w:id="2026519334">
      <w:bodyDiv w:val="1"/>
      <w:marLeft w:val="0"/>
      <w:marRight w:val="0"/>
      <w:marTop w:val="0"/>
      <w:marBottom w:val="0"/>
      <w:divBdr>
        <w:top w:val="none" w:sz="0" w:space="0" w:color="auto"/>
        <w:left w:val="none" w:sz="0" w:space="0" w:color="auto"/>
        <w:bottom w:val="none" w:sz="0" w:space="0" w:color="auto"/>
        <w:right w:val="none" w:sz="0" w:space="0" w:color="auto"/>
      </w:divBdr>
    </w:div>
    <w:div w:id="2027167030">
      <w:bodyDiv w:val="1"/>
      <w:marLeft w:val="0"/>
      <w:marRight w:val="0"/>
      <w:marTop w:val="0"/>
      <w:marBottom w:val="0"/>
      <w:divBdr>
        <w:top w:val="none" w:sz="0" w:space="0" w:color="auto"/>
        <w:left w:val="none" w:sz="0" w:space="0" w:color="auto"/>
        <w:bottom w:val="none" w:sz="0" w:space="0" w:color="auto"/>
        <w:right w:val="none" w:sz="0" w:space="0" w:color="auto"/>
      </w:divBdr>
    </w:div>
    <w:div w:id="2028870523">
      <w:bodyDiv w:val="1"/>
      <w:marLeft w:val="0"/>
      <w:marRight w:val="0"/>
      <w:marTop w:val="0"/>
      <w:marBottom w:val="0"/>
      <w:divBdr>
        <w:top w:val="none" w:sz="0" w:space="0" w:color="auto"/>
        <w:left w:val="none" w:sz="0" w:space="0" w:color="auto"/>
        <w:bottom w:val="none" w:sz="0" w:space="0" w:color="auto"/>
        <w:right w:val="none" w:sz="0" w:space="0" w:color="auto"/>
      </w:divBdr>
    </w:div>
    <w:div w:id="2029521715">
      <w:bodyDiv w:val="1"/>
      <w:marLeft w:val="0"/>
      <w:marRight w:val="0"/>
      <w:marTop w:val="0"/>
      <w:marBottom w:val="0"/>
      <w:divBdr>
        <w:top w:val="none" w:sz="0" w:space="0" w:color="auto"/>
        <w:left w:val="none" w:sz="0" w:space="0" w:color="auto"/>
        <w:bottom w:val="none" w:sz="0" w:space="0" w:color="auto"/>
        <w:right w:val="none" w:sz="0" w:space="0" w:color="auto"/>
      </w:divBdr>
    </w:div>
    <w:div w:id="2029915514">
      <w:bodyDiv w:val="1"/>
      <w:marLeft w:val="0"/>
      <w:marRight w:val="0"/>
      <w:marTop w:val="0"/>
      <w:marBottom w:val="0"/>
      <w:divBdr>
        <w:top w:val="none" w:sz="0" w:space="0" w:color="auto"/>
        <w:left w:val="none" w:sz="0" w:space="0" w:color="auto"/>
        <w:bottom w:val="none" w:sz="0" w:space="0" w:color="auto"/>
        <w:right w:val="none" w:sz="0" w:space="0" w:color="auto"/>
      </w:divBdr>
    </w:div>
    <w:div w:id="2030180819">
      <w:bodyDiv w:val="1"/>
      <w:marLeft w:val="0"/>
      <w:marRight w:val="0"/>
      <w:marTop w:val="0"/>
      <w:marBottom w:val="0"/>
      <w:divBdr>
        <w:top w:val="none" w:sz="0" w:space="0" w:color="auto"/>
        <w:left w:val="none" w:sz="0" w:space="0" w:color="auto"/>
        <w:bottom w:val="none" w:sz="0" w:space="0" w:color="auto"/>
        <w:right w:val="none" w:sz="0" w:space="0" w:color="auto"/>
      </w:divBdr>
    </w:div>
    <w:div w:id="2030444813">
      <w:bodyDiv w:val="1"/>
      <w:marLeft w:val="0"/>
      <w:marRight w:val="0"/>
      <w:marTop w:val="0"/>
      <w:marBottom w:val="0"/>
      <w:divBdr>
        <w:top w:val="none" w:sz="0" w:space="0" w:color="auto"/>
        <w:left w:val="none" w:sz="0" w:space="0" w:color="auto"/>
        <w:bottom w:val="none" w:sz="0" w:space="0" w:color="auto"/>
        <w:right w:val="none" w:sz="0" w:space="0" w:color="auto"/>
      </w:divBdr>
    </w:div>
    <w:div w:id="2030644452">
      <w:bodyDiv w:val="1"/>
      <w:marLeft w:val="0"/>
      <w:marRight w:val="0"/>
      <w:marTop w:val="0"/>
      <w:marBottom w:val="0"/>
      <w:divBdr>
        <w:top w:val="none" w:sz="0" w:space="0" w:color="auto"/>
        <w:left w:val="none" w:sz="0" w:space="0" w:color="auto"/>
        <w:bottom w:val="none" w:sz="0" w:space="0" w:color="auto"/>
        <w:right w:val="none" w:sz="0" w:space="0" w:color="auto"/>
      </w:divBdr>
    </w:div>
    <w:div w:id="2031293310">
      <w:bodyDiv w:val="1"/>
      <w:marLeft w:val="0"/>
      <w:marRight w:val="0"/>
      <w:marTop w:val="0"/>
      <w:marBottom w:val="0"/>
      <w:divBdr>
        <w:top w:val="none" w:sz="0" w:space="0" w:color="auto"/>
        <w:left w:val="none" w:sz="0" w:space="0" w:color="auto"/>
        <w:bottom w:val="none" w:sz="0" w:space="0" w:color="auto"/>
        <w:right w:val="none" w:sz="0" w:space="0" w:color="auto"/>
      </w:divBdr>
    </w:div>
    <w:div w:id="2031447236">
      <w:bodyDiv w:val="1"/>
      <w:marLeft w:val="0"/>
      <w:marRight w:val="0"/>
      <w:marTop w:val="0"/>
      <w:marBottom w:val="0"/>
      <w:divBdr>
        <w:top w:val="none" w:sz="0" w:space="0" w:color="auto"/>
        <w:left w:val="none" w:sz="0" w:space="0" w:color="auto"/>
        <w:bottom w:val="none" w:sz="0" w:space="0" w:color="auto"/>
        <w:right w:val="none" w:sz="0" w:space="0" w:color="auto"/>
      </w:divBdr>
    </w:div>
    <w:div w:id="2031644364">
      <w:bodyDiv w:val="1"/>
      <w:marLeft w:val="0"/>
      <w:marRight w:val="0"/>
      <w:marTop w:val="0"/>
      <w:marBottom w:val="0"/>
      <w:divBdr>
        <w:top w:val="none" w:sz="0" w:space="0" w:color="auto"/>
        <w:left w:val="none" w:sz="0" w:space="0" w:color="auto"/>
        <w:bottom w:val="none" w:sz="0" w:space="0" w:color="auto"/>
        <w:right w:val="none" w:sz="0" w:space="0" w:color="auto"/>
      </w:divBdr>
    </w:div>
    <w:div w:id="2032141221">
      <w:bodyDiv w:val="1"/>
      <w:marLeft w:val="0"/>
      <w:marRight w:val="0"/>
      <w:marTop w:val="0"/>
      <w:marBottom w:val="0"/>
      <w:divBdr>
        <w:top w:val="none" w:sz="0" w:space="0" w:color="auto"/>
        <w:left w:val="none" w:sz="0" w:space="0" w:color="auto"/>
        <w:bottom w:val="none" w:sz="0" w:space="0" w:color="auto"/>
        <w:right w:val="none" w:sz="0" w:space="0" w:color="auto"/>
      </w:divBdr>
    </w:div>
    <w:div w:id="2032142198">
      <w:bodyDiv w:val="1"/>
      <w:marLeft w:val="0"/>
      <w:marRight w:val="0"/>
      <w:marTop w:val="0"/>
      <w:marBottom w:val="0"/>
      <w:divBdr>
        <w:top w:val="none" w:sz="0" w:space="0" w:color="auto"/>
        <w:left w:val="none" w:sz="0" w:space="0" w:color="auto"/>
        <w:bottom w:val="none" w:sz="0" w:space="0" w:color="auto"/>
        <w:right w:val="none" w:sz="0" w:space="0" w:color="auto"/>
      </w:divBdr>
    </w:div>
    <w:div w:id="2032291765">
      <w:bodyDiv w:val="1"/>
      <w:marLeft w:val="0"/>
      <w:marRight w:val="0"/>
      <w:marTop w:val="0"/>
      <w:marBottom w:val="0"/>
      <w:divBdr>
        <w:top w:val="none" w:sz="0" w:space="0" w:color="auto"/>
        <w:left w:val="none" w:sz="0" w:space="0" w:color="auto"/>
        <w:bottom w:val="none" w:sz="0" w:space="0" w:color="auto"/>
        <w:right w:val="none" w:sz="0" w:space="0" w:color="auto"/>
      </w:divBdr>
    </w:div>
    <w:div w:id="2032340698">
      <w:bodyDiv w:val="1"/>
      <w:marLeft w:val="0"/>
      <w:marRight w:val="0"/>
      <w:marTop w:val="0"/>
      <w:marBottom w:val="0"/>
      <w:divBdr>
        <w:top w:val="none" w:sz="0" w:space="0" w:color="auto"/>
        <w:left w:val="none" w:sz="0" w:space="0" w:color="auto"/>
        <w:bottom w:val="none" w:sz="0" w:space="0" w:color="auto"/>
        <w:right w:val="none" w:sz="0" w:space="0" w:color="auto"/>
      </w:divBdr>
    </w:div>
    <w:div w:id="2032413404">
      <w:bodyDiv w:val="1"/>
      <w:marLeft w:val="0"/>
      <w:marRight w:val="0"/>
      <w:marTop w:val="0"/>
      <w:marBottom w:val="0"/>
      <w:divBdr>
        <w:top w:val="none" w:sz="0" w:space="0" w:color="auto"/>
        <w:left w:val="none" w:sz="0" w:space="0" w:color="auto"/>
        <w:bottom w:val="none" w:sz="0" w:space="0" w:color="auto"/>
        <w:right w:val="none" w:sz="0" w:space="0" w:color="auto"/>
      </w:divBdr>
    </w:div>
    <w:div w:id="2032954196">
      <w:bodyDiv w:val="1"/>
      <w:marLeft w:val="0"/>
      <w:marRight w:val="0"/>
      <w:marTop w:val="0"/>
      <w:marBottom w:val="0"/>
      <w:divBdr>
        <w:top w:val="none" w:sz="0" w:space="0" w:color="auto"/>
        <w:left w:val="none" w:sz="0" w:space="0" w:color="auto"/>
        <w:bottom w:val="none" w:sz="0" w:space="0" w:color="auto"/>
        <w:right w:val="none" w:sz="0" w:space="0" w:color="auto"/>
      </w:divBdr>
    </w:div>
    <w:div w:id="2034184691">
      <w:bodyDiv w:val="1"/>
      <w:marLeft w:val="0"/>
      <w:marRight w:val="0"/>
      <w:marTop w:val="0"/>
      <w:marBottom w:val="0"/>
      <w:divBdr>
        <w:top w:val="none" w:sz="0" w:space="0" w:color="auto"/>
        <w:left w:val="none" w:sz="0" w:space="0" w:color="auto"/>
        <w:bottom w:val="none" w:sz="0" w:space="0" w:color="auto"/>
        <w:right w:val="none" w:sz="0" w:space="0" w:color="auto"/>
      </w:divBdr>
    </w:div>
    <w:div w:id="2034266393">
      <w:bodyDiv w:val="1"/>
      <w:marLeft w:val="0"/>
      <w:marRight w:val="0"/>
      <w:marTop w:val="0"/>
      <w:marBottom w:val="0"/>
      <w:divBdr>
        <w:top w:val="none" w:sz="0" w:space="0" w:color="auto"/>
        <w:left w:val="none" w:sz="0" w:space="0" w:color="auto"/>
        <w:bottom w:val="none" w:sz="0" w:space="0" w:color="auto"/>
        <w:right w:val="none" w:sz="0" w:space="0" w:color="auto"/>
      </w:divBdr>
    </w:div>
    <w:div w:id="2034333151">
      <w:bodyDiv w:val="1"/>
      <w:marLeft w:val="0"/>
      <w:marRight w:val="0"/>
      <w:marTop w:val="0"/>
      <w:marBottom w:val="0"/>
      <w:divBdr>
        <w:top w:val="none" w:sz="0" w:space="0" w:color="auto"/>
        <w:left w:val="none" w:sz="0" w:space="0" w:color="auto"/>
        <w:bottom w:val="none" w:sz="0" w:space="0" w:color="auto"/>
        <w:right w:val="none" w:sz="0" w:space="0" w:color="auto"/>
      </w:divBdr>
    </w:div>
    <w:div w:id="2034577517">
      <w:bodyDiv w:val="1"/>
      <w:marLeft w:val="0"/>
      <w:marRight w:val="0"/>
      <w:marTop w:val="0"/>
      <w:marBottom w:val="0"/>
      <w:divBdr>
        <w:top w:val="none" w:sz="0" w:space="0" w:color="auto"/>
        <w:left w:val="none" w:sz="0" w:space="0" w:color="auto"/>
        <w:bottom w:val="none" w:sz="0" w:space="0" w:color="auto"/>
        <w:right w:val="none" w:sz="0" w:space="0" w:color="auto"/>
      </w:divBdr>
    </w:div>
    <w:div w:id="2034958338">
      <w:bodyDiv w:val="1"/>
      <w:marLeft w:val="0"/>
      <w:marRight w:val="0"/>
      <w:marTop w:val="0"/>
      <w:marBottom w:val="0"/>
      <w:divBdr>
        <w:top w:val="none" w:sz="0" w:space="0" w:color="auto"/>
        <w:left w:val="none" w:sz="0" w:space="0" w:color="auto"/>
        <w:bottom w:val="none" w:sz="0" w:space="0" w:color="auto"/>
        <w:right w:val="none" w:sz="0" w:space="0" w:color="auto"/>
      </w:divBdr>
    </w:div>
    <w:div w:id="2035306783">
      <w:bodyDiv w:val="1"/>
      <w:marLeft w:val="0"/>
      <w:marRight w:val="0"/>
      <w:marTop w:val="0"/>
      <w:marBottom w:val="0"/>
      <w:divBdr>
        <w:top w:val="none" w:sz="0" w:space="0" w:color="auto"/>
        <w:left w:val="none" w:sz="0" w:space="0" w:color="auto"/>
        <w:bottom w:val="none" w:sz="0" w:space="0" w:color="auto"/>
        <w:right w:val="none" w:sz="0" w:space="0" w:color="auto"/>
      </w:divBdr>
    </w:div>
    <w:div w:id="2035375450">
      <w:bodyDiv w:val="1"/>
      <w:marLeft w:val="0"/>
      <w:marRight w:val="0"/>
      <w:marTop w:val="0"/>
      <w:marBottom w:val="0"/>
      <w:divBdr>
        <w:top w:val="none" w:sz="0" w:space="0" w:color="auto"/>
        <w:left w:val="none" w:sz="0" w:space="0" w:color="auto"/>
        <w:bottom w:val="none" w:sz="0" w:space="0" w:color="auto"/>
        <w:right w:val="none" w:sz="0" w:space="0" w:color="auto"/>
      </w:divBdr>
    </w:div>
    <w:div w:id="2035840186">
      <w:bodyDiv w:val="1"/>
      <w:marLeft w:val="0"/>
      <w:marRight w:val="0"/>
      <w:marTop w:val="0"/>
      <w:marBottom w:val="0"/>
      <w:divBdr>
        <w:top w:val="none" w:sz="0" w:space="0" w:color="auto"/>
        <w:left w:val="none" w:sz="0" w:space="0" w:color="auto"/>
        <w:bottom w:val="none" w:sz="0" w:space="0" w:color="auto"/>
        <w:right w:val="none" w:sz="0" w:space="0" w:color="auto"/>
      </w:divBdr>
    </w:div>
    <w:div w:id="2035955677">
      <w:bodyDiv w:val="1"/>
      <w:marLeft w:val="0"/>
      <w:marRight w:val="0"/>
      <w:marTop w:val="0"/>
      <w:marBottom w:val="0"/>
      <w:divBdr>
        <w:top w:val="none" w:sz="0" w:space="0" w:color="auto"/>
        <w:left w:val="none" w:sz="0" w:space="0" w:color="auto"/>
        <w:bottom w:val="none" w:sz="0" w:space="0" w:color="auto"/>
        <w:right w:val="none" w:sz="0" w:space="0" w:color="auto"/>
      </w:divBdr>
    </w:div>
    <w:div w:id="2036148131">
      <w:bodyDiv w:val="1"/>
      <w:marLeft w:val="0"/>
      <w:marRight w:val="0"/>
      <w:marTop w:val="0"/>
      <w:marBottom w:val="0"/>
      <w:divBdr>
        <w:top w:val="none" w:sz="0" w:space="0" w:color="auto"/>
        <w:left w:val="none" w:sz="0" w:space="0" w:color="auto"/>
        <w:bottom w:val="none" w:sz="0" w:space="0" w:color="auto"/>
        <w:right w:val="none" w:sz="0" w:space="0" w:color="auto"/>
      </w:divBdr>
    </w:div>
    <w:div w:id="2037539750">
      <w:bodyDiv w:val="1"/>
      <w:marLeft w:val="0"/>
      <w:marRight w:val="0"/>
      <w:marTop w:val="0"/>
      <w:marBottom w:val="0"/>
      <w:divBdr>
        <w:top w:val="none" w:sz="0" w:space="0" w:color="auto"/>
        <w:left w:val="none" w:sz="0" w:space="0" w:color="auto"/>
        <w:bottom w:val="none" w:sz="0" w:space="0" w:color="auto"/>
        <w:right w:val="none" w:sz="0" w:space="0" w:color="auto"/>
      </w:divBdr>
    </w:div>
    <w:div w:id="2037608966">
      <w:bodyDiv w:val="1"/>
      <w:marLeft w:val="0"/>
      <w:marRight w:val="0"/>
      <w:marTop w:val="0"/>
      <w:marBottom w:val="0"/>
      <w:divBdr>
        <w:top w:val="none" w:sz="0" w:space="0" w:color="auto"/>
        <w:left w:val="none" w:sz="0" w:space="0" w:color="auto"/>
        <w:bottom w:val="none" w:sz="0" w:space="0" w:color="auto"/>
        <w:right w:val="none" w:sz="0" w:space="0" w:color="auto"/>
      </w:divBdr>
    </w:div>
    <w:div w:id="2037845131">
      <w:bodyDiv w:val="1"/>
      <w:marLeft w:val="0"/>
      <w:marRight w:val="0"/>
      <w:marTop w:val="0"/>
      <w:marBottom w:val="0"/>
      <w:divBdr>
        <w:top w:val="none" w:sz="0" w:space="0" w:color="auto"/>
        <w:left w:val="none" w:sz="0" w:space="0" w:color="auto"/>
        <w:bottom w:val="none" w:sz="0" w:space="0" w:color="auto"/>
        <w:right w:val="none" w:sz="0" w:space="0" w:color="auto"/>
      </w:divBdr>
    </w:div>
    <w:div w:id="2038002137">
      <w:bodyDiv w:val="1"/>
      <w:marLeft w:val="0"/>
      <w:marRight w:val="0"/>
      <w:marTop w:val="0"/>
      <w:marBottom w:val="0"/>
      <w:divBdr>
        <w:top w:val="none" w:sz="0" w:space="0" w:color="auto"/>
        <w:left w:val="none" w:sz="0" w:space="0" w:color="auto"/>
        <w:bottom w:val="none" w:sz="0" w:space="0" w:color="auto"/>
        <w:right w:val="none" w:sz="0" w:space="0" w:color="auto"/>
      </w:divBdr>
    </w:div>
    <w:div w:id="2038043286">
      <w:bodyDiv w:val="1"/>
      <w:marLeft w:val="0"/>
      <w:marRight w:val="0"/>
      <w:marTop w:val="0"/>
      <w:marBottom w:val="0"/>
      <w:divBdr>
        <w:top w:val="none" w:sz="0" w:space="0" w:color="auto"/>
        <w:left w:val="none" w:sz="0" w:space="0" w:color="auto"/>
        <w:bottom w:val="none" w:sz="0" w:space="0" w:color="auto"/>
        <w:right w:val="none" w:sz="0" w:space="0" w:color="auto"/>
      </w:divBdr>
    </w:div>
    <w:div w:id="2038190748">
      <w:bodyDiv w:val="1"/>
      <w:marLeft w:val="0"/>
      <w:marRight w:val="0"/>
      <w:marTop w:val="0"/>
      <w:marBottom w:val="0"/>
      <w:divBdr>
        <w:top w:val="none" w:sz="0" w:space="0" w:color="auto"/>
        <w:left w:val="none" w:sz="0" w:space="0" w:color="auto"/>
        <w:bottom w:val="none" w:sz="0" w:space="0" w:color="auto"/>
        <w:right w:val="none" w:sz="0" w:space="0" w:color="auto"/>
      </w:divBdr>
    </w:div>
    <w:div w:id="2038383720">
      <w:bodyDiv w:val="1"/>
      <w:marLeft w:val="0"/>
      <w:marRight w:val="0"/>
      <w:marTop w:val="0"/>
      <w:marBottom w:val="0"/>
      <w:divBdr>
        <w:top w:val="none" w:sz="0" w:space="0" w:color="auto"/>
        <w:left w:val="none" w:sz="0" w:space="0" w:color="auto"/>
        <w:bottom w:val="none" w:sz="0" w:space="0" w:color="auto"/>
        <w:right w:val="none" w:sz="0" w:space="0" w:color="auto"/>
      </w:divBdr>
    </w:div>
    <w:div w:id="2038844102">
      <w:bodyDiv w:val="1"/>
      <w:marLeft w:val="0"/>
      <w:marRight w:val="0"/>
      <w:marTop w:val="0"/>
      <w:marBottom w:val="0"/>
      <w:divBdr>
        <w:top w:val="none" w:sz="0" w:space="0" w:color="auto"/>
        <w:left w:val="none" w:sz="0" w:space="0" w:color="auto"/>
        <w:bottom w:val="none" w:sz="0" w:space="0" w:color="auto"/>
        <w:right w:val="none" w:sz="0" w:space="0" w:color="auto"/>
      </w:divBdr>
    </w:div>
    <w:div w:id="2039157233">
      <w:bodyDiv w:val="1"/>
      <w:marLeft w:val="0"/>
      <w:marRight w:val="0"/>
      <w:marTop w:val="0"/>
      <w:marBottom w:val="0"/>
      <w:divBdr>
        <w:top w:val="none" w:sz="0" w:space="0" w:color="auto"/>
        <w:left w:val="none" w:sz="0" w:space="0" w:color="auto"/>
        <w:bottom w:val="none" w:sz="0" w:space="0" w:color="auto"/>
        <w:right w:val="none" w:sz="0" w:space="0" w:color="auto"/>
      </w:divBdr>
    </w:div>
    <w:div w:id="2039306175">
      <w:bodyDiv w:val="1"/>
      <w:marLeft w:val="0"/>
      <w:marRight w:val="0"/>
      <w:marTop w:val="0"/>
      <w:marBottom w:val="0"/>
      <w:divBdr>
        <w:top w:val="none" w:sz="0" w:space="0" w:color="auto"/>
        <w:left w:val="none" w:sz="0" w:space="0" w:color="auto"/>
        <w:bottom w:val="none" w:sz="0" w:space="0" w:color="auto"/>
        <w:right w:val="none" w:sz="0" w:space="0" w:color="auto"/>
      </w:divBdr>
    </w:div>
    <w:div w:id="2039314061">
      <w:bodyDiv w:val="1"/>
      <w:marLeft w:val="0"/>
      <w:marRight w:val="0"/>
      <w:marTop w:val="0"/>
      <w:marBottom w:val="0"/>
      <w:divBdr>
        <w:top w:val="none" w:sz="0" w:space="0" w:color="auto"/>
        <w:left w:val="none" w:sz="0" w:space="0" w:color="auto"/>
        <w:bottom w:val="none" w:sz="0" w:space="0" w:color="auto"/>
        <w:right w:val="none" w:sz="0" w:space="0" w:color="auto"/>
      </w:divBdr>
    </w:div>
    <w:div w:id="2039549277">
      <w:bodyDiv w:val="1"/>
      <w:marLeft w:val="0"/>
      <w:marRight w:val="0"/>
      <w:marTop w:val="0"/>
      <w:marBottom w:val="0"/>
      <w:divBdr>
        <w:top w:val="none" w:sz="0" w:space="0" w:color="auto"/>
        <w:left w:val="none" w:sz="0" w:space="0" w:color="auto"/>
        <w:bottom w:val="none" w:sz="0" w:space="0" w:color="auto"/>
        <w:right w:val="none" w:sz="0" w:space="0" w:color="auto"/>
      </w:divBdr>
    </w:div>
    <w:div w:id="2039769883">
      <w:bodyDiv w:val="1"/>
      <w:marLeft w:val="0"/>
      <w:marRight w:val="0"/>
      <w:marTop w:val="0"/>
      <w:marBottom w:val="0"/>
      <w:divBdr>
        <w:top w:val="none" w:sz="0" w:space="0" w:color="auto"/>
        <w:left w:val="none" w:sz="0" w:space="0" w:color="auto"/>
        <w:bottom w:val="none" w:sz="0" w:space="0" w:color="auto"/>
        <w:right w:val="none" w:sz="0" w:space="0" w:color="auto"/>
      </w:divBdr>
    </w:div>
    <w:div w:id="2040007657">
      <w:bodyDiv w:val="1"/>
      <w:marLeft w:val="0"/>
      <w:marRight w:val="0"/>
      <w:marTop w:val="0"/>
      <w:marBottom w:val="0"/>
      <w:divBdr>
        <w:top w:val="none" w:sz="0" w:space="0" w:color="auto"/>
        <w:left w:val="none" w:sz="0" w:space="0" w:color="auto"/>
        <w:bottom w:val="none" w:sz="0" w:space="0" w:color="auto"/>
        <w:right w:val="none" w:sz="0" w:space="0" w:color="auto"/>
      </w:divBdr>
    </w:div>
    <w:div w:id="2040818551">
      <w:bodyDiv w:val="1"/>
      <w:marLeft w:val="0"/>
      <w:marRight w:val="0"/>
      <w:marTop w:val="0"/>
      <w:marBottom w:val="0"/>
      <w:divBdr>
        <w:top w:val="none" w:sz="0" w:space="0" w:color="auto"/>
        <w:left w:val="none" w:sz="0" w:space="0" w:color="auto"/>
        <w:bottom w:val="none" w:sz="0" w:space="0" w:color="auto"/>
        <w:right w:val="none" w:sz="0" w:space="0" w:color="auto"/>
      </w:divBdr>
    </w:div>
    <w:div w:id="2041008624">
      <w:bodyDiv w:val="1"/>
      <w:marLeft w:val="0"/>
      <w:marRight w:val="0"/>
      <w:marTop w:val="0"/>
      <w:marBottom w:val="0"/>
      <w:divBdr>
        <w:top w:val="none" w:sz="0" w:space="0" w:color="auto"/>
        <w:left w:val="none" w:sz="0" w:space="0" w:color="auto"/>
        <w:bottom w:val="none" w:sz="0" w:space="0" w:color="auto"/>
        <w:right w:val="none" w:sz="0" w:space="0" w:color="auto"/>
      </w:divBdr>
    </w:div>
    <w:div w:id="2041127997">
      <w:bodyDiv w:val="1"/>
      <w:marLeft w:val="0"/>
      <w:marRight w:val="0"/>
      <w:marTop w:val="0"/>
      <w:marBottom w:val="0"/>
      <w:divBdr>
        <w:top w:val="none" w:sz="0" w:space="0" w:color="auto"/>
        <w:left w:val="none" w:sz="0" w:space="0" w:color="auto"/>
        <w:bottom w:val="none" w:sz="0" w:space="0" w:color="auto"/>
        <w:right w:val="none" w:sz="0" w:space="0" w:color="auto"/>
      </w:divBdr>
    </w:div>
    <w:div w:id="2041280481">
      <w:bodyDiv w:val="1"/>
      <w:marLeft w:val="0"/>
      <w:marRight w:val="0"/>
      <w:marTop w:val="0"/>
      <w:marBottom w:val="0"/>
      <w:divBdr>
        <w:top w:val="none" w:sz="0" w:space="0" w:color="auto"/>
        <w:left w:val="none" w:sz="0" w:space="0" w:color="auto"/>
        <w:bottom w:val="none" w:sz="0" w:space="0" w:color="auto"/>
        <w:right w:val="none" w:sz="0" w:space="0" w:color="auto"/>
      </w:divBdr>
    </w:div>
    <w:div w:id="2041710115">
      <w:bodyDiv w:val="1"/>
      <w:marLeft w:val="0"/>
      <w:marRight w:val="0"/>
      <w:marTop w:val="0"/>
      <w:marBottom w:val="0"/>
      <w:divBdr>
        <w:top w:val="none" w:sz="0" w:space="0" w:color="auto"/>
        <w:left w:val="none" w:sz="0" w:space="0" w:color="auto"/>
        <w:bottom w:val="none" w:sz="0" w:space="0" w:color="auto"/>
        <w:right w:val="none" w:sz="0" w:space="0" w:color="auto"/>
      </w:divBdr>
    </w:div>
    <w:div w:id="2042247211">
      <w:bodyDiv w:val="1"/>
      <w:marLeft w:val="0"/>
      <w:marRight w:val="0"/>
      <w:marTop w:val="0"/>
      <w:marBottom w:val="0"/>
      <w:divBdr>
        <w:top w:val="none" w:sz="0" w:space="0" w:color="auto"/>
        <w:left w:val="none" w:sz="0" w:space="0" w:color="auto"/>
        <w:bottom w:val="none" w:sz="0" w:space="0" w:color="auto"/>
        <w:right w:val="none" w:sz="0" w:space="0" w:color="auto"/>
      </w:divBdr>
    </w:div>
    <w:div w:id="2043086678">
      <w:bodyDiv w:val="1"/>
      <w:marLeft w:val="0"/>
      <w:marRight w:val="0"/>
      <w:marTop w:val="0"/>
      <w:marBottom w:val="0"/>
      <w:divBdr>
        <w:top w:val="none" w:sz="0" w:space="0" w:color="auto"/>
        <w:left w:val="none" w:sz="0" w:space="0" w:color="auto"/>
        <w:bottom w:val="none" w:sz="0" w:space="0" w:color="auto"/>
        <w:right w:val="none" w:sz="0" w:space="0" w:color="auto"/>
      </w:divBdr>
    </w:div>
    <w:div w:id="2043164762">
      <w:bodyDiv w:val="1"/>
      <w:marLeft w:val="0"/>
      <w:marRight w:val="0"/>
      <w:marTop w:val="0"/>
      <w:marBottom w:val="0"/>
      <w:divBdr>
        <w:top w:val="none" w:sz="0" w:space="0" w:color="auto"/>
        <w:left w:val="none" w:sz="0" w:space="0" w:color="auto"/>
        <w:bottom w:val="none" w:sz="0" w:space="0" w:color="auto"/>
        <w:right w:val="none" w:sz="0" w:space="0" w:color="auto"/>
      </w:divBdr>
    </w:div>
    <w:div w:id="2043282081">
      <w:bodyDiv w:val="1"/>
      <w:marLeft w:val="0"/>
      <w:marRight w:val="0"/>
      <w:marTop w:val="0"/>
      <w:marBottom w:val="0"/>
      <w:divBdr>
        <w:top w:val="none" w:sz="0" w:space="0" w:color="auto"/>
        <w:left w:val="none" w:sz="0" w:space="0" w:color="auto"/>
        <w:bottom w:val="none" w:sz="0" w:space="0" w:color="auto"/>
        <w:right w:val="none" w:sz="0" w:space="0" w:color="auto"/>
      </w:divBdr>
    </w:div>
    <w:div w:id="2043286043">
      <w:bodyDiv w:val="1"/>
      <w:marLeft w:val="0"/>
      <w:marRight w:val="0"/>
      <w:marTop w:val="0"/>
      <w:marBottom w:val="0"/>
      <w:divBdr>
        <w:top w:val="none" w:sz="0" w:space="0" w:color="auto"/>
        <w:left w:val="none" w:sz="0" w:space="0" w:color="auto"/>
        <w:bottom w:val="none" w:sz="0" w:space="0" w:color="auto"/>
        <w:right w:val="none" w:sz="0" w:space="0" w:color="auto"/>
      </w:divBdr>
    </w:div>
    <w:div w:id="2043675408">
      <w:bodyDiv w:val="1"/>
      <w:marLeft w:val="0"/>
      <w:marRight w:val="0"/>
      <w:marTop w:val="0"/>
      <w:marBottom w:val="0"/>
      <w:divBdr>
        <w:top w:val="none" w:sz="0" w:space="0" w:color="auto"/>
        <w:left w:val="none" w:sz="0" w:space="0" w:color="auto"/>
        <w:bottom w:val="none" w:sz="0" w:space="0" w:color="auto"/>
        <w:right w:val="none" w:sz="0" w:space="0" w:color="auto"/>
      </w:divBdr>
    </w:div>
    <w:div w:id="2043751138">
      <w:bodyDiv w:val="1"/>
      <w:marLeft w:val="0"/>
      <w:marRight w:val="0"/>
      <w:marTop w:val="0"/>
      <w:marBottom w:val="0"/>
      <w:divBdr>
        <w:top w:val="none" w:sz="0" w:space="0" w:color="auto"/>
        <w:left w:val="none" w:sz="0" w:space="0" w:color="auto"/>
        <w:bottom w:val="none" w:sz="0" w:space="0" w:color="auto"/>
        <w:right w:val="none" w:sz="0" w:space="0" w:color="auto"/>
      </w:divBdr>
    </w:div>
    <w:div w:id="2043820531">
      <w:bodyDiv w:val="1"/>
      <w:marLeft w:val="0"/>
      <w:marRight w:val="0"/>
      <w:marTop w:val="0"/>
      <w:marBottom w:val="0"/>
      <w:divBdr>
        <w:top w:val="none" w:sz="0" w:space="0" w:color="auto"/>
        <w:left w:val="none" w:sz="0" w:space="0" w:color="auto"/>
        <w:bottom w:val="none" w:sz="0" w:space="0" w:color="auto"/>
        <w:right w:val="none" w:sz="0" w:space="0" w:color="auto"/>
      </w:divBdr>
    </w:div>
    <w:div w:id="2044133894">
      <w:bodyDiv w:val="1"/>
      <w:marLeft w:val="0"/>
      <w:marRight w:val="0"/>
      <w:marTop w:val="0"/>
      <w:marBottom w:val="0"/>
      <w:divBdr>
        <w:top w:val="none" w:sz="0" w:space="0" w:color="auto"/>
        <w:left w:val="none" w:sz="0" w:space="0" w:color="auto"/>
        <w:bottom w:val="none" w:sz="0" w:space="0" w:color="auto"/>
        <w:right w:val="none" w:sz="0" w:space="0" w:color="auto"/>
      </w:divBdr>
    </w:div>
    <w:div w:id="2044359493">
      <w:bodyDiv w:val="1"/>
      <w:marLeft w:val="0"/>
      <w:marRight w:val="0"/>
      <w:marTop w:val="0"/>
      <w:marBottom w:val="0"/>
      <w:divBdr>
        <w:top w:val="none" w:sz="0" w:space="0" w:color="auto"/>
        <w:left w:val="none" w:sz="0" w:space="0" w:color="auto"/>
        <w:bottom w:val="none" w:sz="0" w:space="0" w:color="auto"/>
        <w:right w:val="none" w:sz="0" w:space="0" w:color="auto"/>
      </w:divBdr>
    </w:div>
    <w:div w:id="2044555492">
      <w:bodyDiv w:val="1"/>
      <w:marLeft w:val="0"/>
      <w:marRight w:val="0"/>
      <w:marTop w:val="0"/>
      <w:marBottom w:val="0"/>
      <w:divBdr>
        <w:top w:val="none" w:sz="0" w:space="0" w:color="auto"/>
        <w:left w:val="none" w:sz="0" w:space="0" w:color="auto"/>
        <w:bottom w:val="none" w:sz="0" w:space="0" w:color="auto"/>
        <w:right w:val="none" w:sz="0" w:space="0" w:color="auto"/>
      </w:divBdr>
    </w:div>
    <w:div w:id="2044789787">
      <w:bodyDiv w:val="1"/>
      <w:marLeft w:val="0"/>
      <w:marRight w:val="0"/>
      <w:marTop w:val="0"/>
      <w:marBottom w:val="0"/>
      <w:divBdr>
        <w:top w:val="none" w:sz="0" w:space="0" w:color="auto"/>
        <w:left w:val="none" w:sz="0" w:space="0" w:color="auto"/>
        <w:bottom w:val="none" w:sz="0" w:space="0" w:color="auto"/>
        <w:right w:val="none" w:sz="0" w:space="0" w:color="auto"/>
      </w:divBdr>
    </w:div>
    <w:div w:id="2044864821">
      <w:bodyDiv w:val="1"/>
      <w:marLeft w:val="0"/>
      <w:marRight w:val="0"/>
      <w:marTop w:val="0"/>
      <w:marBottom w:val="0"/>
      <w:divBdr>
        <w:top w:val="none" w:sz="0" w:space="0" w:color="auto"/>
        <w:left w:val="none" w:sz="0" w:space="0" w:color="auto"/>
        <w:bottom w:val="none" w:sz="0" w:space="0" w:color="auto"/>
        <w:right w:val="none" w:sz="0" w:space="0" w:color="auto"/>
      </w:divBdr>
    </w:div>
    <w:div w:id="2045474370">
      <w:bodyDiv w:val="1"/>
      <w:marLeft w:val="0"/>
      <w:marRight w:val="0"/>
      <w:marTop w:val="0"/>
      <w:marBottom w:val="0"/>
      <w:divBdr>
        <w:top w:val="none" w:sz="0" w:space="0" w:color="auto"/>
        <w:left w:val="none" w:sz="0" w:space="0" w:color="auto"/>
        <w:bottom w:val="none" w:sz="0" w:space="0" w:color="auto"/>
        <w:right w:val="none" w:sz="0" w:space="0" w:color="auto"/>
      </w:divBdr>
    </w:div>
    <w:div w:id="2046632699">
      <w:bodyDiv w:val="1"/>
      <w:marLeft w:val="0"/>
      <w:marRight w:val="0"/>
      <w:marTop w:val="0"/>
      <w:marBottom w:val="0"/>
      <w:divBdr>
        <w:top w:val="none" w:sz="0" w:space="0" w:color="auto"/>
        <w:left w:val="none" w:sz="0" w:space="0" w:color="auto"/>
        <w:bottom w:val="none" w:sz="0" w:space="0" w:color="auto"/>
        <w:right w:val="none" w:sz="0" w:space="0" w:color="auto"/>
      </w:divBdr>
    </w:div>
    <w:div w:id="2047488724">
      <w:bodyDiv w:val="1"/>
      <w:marLeft w:val="0"/>
      <w:marRight w:val="0"/>
      <w:marTop w:val="0"/>
      <w:marBottom w:val="0"/>
      <w:divBdr>
        <w:top w:val="none" w:sz="0" w:space="0" w:color="auto"/>
        <w:left w:val="none" w:sz="0" w:space="0" w:color="auto"/>
        <w:bottom w:val="none" w:sz="0" w:space="0" w:color="auto"/>
        <w:right w:val="none" w:sz="0" w:space="0" w:color="auto"/>
      </w:divBdr>
    </w:div>
    <w:div w:id="2047632870">
      <w:bodyDiv w:val="1"/>
      <w:marLeft w:val="0"/>
      <w:marRight w:val="0"/>
      <w:marTop w:val="0"/>
      <w:marBottom w:val="0"/>
      <w:divBdr>
        <w:top w:val="none" w:sz="0" w:space="0" w:color="auto"/>
        <w:left w:val="none" w:sz="0" w:space="0" w:color="auto"/>
        <w:bottom w:val="none" w:sz="0" w:space="0" w:color="auto"/>
        <w:right w:val="none" w:sz="0" w:space="0" w:color="auto"/>
      </w:divBdr>
    </w:div>
    <w:div w:id="2047750477">
      <w:bodyDiv w:val="1"/>
      <w:marLeft w:val="0"/>
      <w:marRight w:val="0"/>
      <w:marTop w:val="0"/>
      <w:marBottom w:val="0"/>
      <w:divBdr>
        <w:top w:val="none" w:sz="0" w:space="0" w:color="auto"/>
        <w:left w:val="none" w:sz="0" w:space="0" w:color="auto"/>
        <w:bottom w:val="none" w:sz="0" w:space="0" w:color="auto"/>
        <w:right w:val="none" w:sz="0" w:space="0" w:color="auto"/>
      </w:divBdr>
    </w:div>
    <w:div w:id="2048139042">
      <w:bodyDiv w:val="1"/>
      <w:marLeft w:val="0"/>
      <w:marRight w:val="0"/>
      <w:marTop w:val="0"/>
      <w:marBottom w:val="0"/>
      <w:divBdr>
        <w:top w:val="none" w:sz="0" w:space="0" w:color="auto"/>
        <w:left w:val="none" w:sz="0" w:space="0" w:color="auto"/>
        <w:bottom w:val="none" w:sz="0" w:space="0" w:color="auto"/>
        <w:right w:val="none" w:sz="0" w:space="0" w:color="auto"/>
      </w:divBdr>
    </w:div>
    <w:div w:id="2048293348">
      <w:bodyDiv w:val="1"/>
      <w:marLeft w:val="0"/>
      <w:marRight w:val="0"/>
      <w:marTop w:val="0"/>
      <w:marBottom w:val="0"/>
      <w:divBdr>
        <w:top w:val="none" w:sz="0" w:space="0" w:color="auto"/>
        <w:left w:val="none" w:sz="0" w:space="0" w:color="auto"/>
        <w:bottom w:val="none" w:sz="0" w:space="0" w:color="auto"/>
        <w:right w:val="none" w:sz="0" w:space="0" w:color="auto"/>
      </w:divBdr>
    </w:div>
    <w:div w:id="2048481892">
      <w:bodyDiv w:val="1"/>
      <w:marLeft w:val="0"/>
      <w:marRight w:val="0"/>
      <w:marTop w:val="0"/>
      <w:marBottom w:val="0"/>
      <w:divBdr>
        <w:top w:val="none" w:sz="0" w:space="0" w:color="auto"/>
        <w:left w:val="none" w:sz="0" w:space="0" w:color="auto"/>
        <w:bottom w:val="none" w:sz="0" w:space="0" w:color="auto"/>
        <w:right w:val="none" w:sz="0" w:space="0" w:color="auto"/>
      </w:divBdr>
    </w:div>
    <w:div w:id="2048526956">
      <w:bodyDiv w:val="1"/>
      <w:marLeft w:val="0"/>
      <w:marRight w:val="0"/>
      <w:marTop w:val="0"/>
      <w:marBottom w:val="0"/>
      <w:divBdr>
        <w:top w:val="none" w:sz="0" w:space="0" w:color="auto"/>
        <w:left w:val="none" w:sz="0" w:space="0" w:color="auto"/>
        <w:bottom w:val="none" w:sz="0" w:space="0" w:color="auto"/>
        <w:right w:val="none" w:sz="0" w:space="0" w:color="auto"/>
      </w:divBdr>
    </w:div>
    <w:div w:id="2048527837">
      <w:bodyDiv w:val="1"/>
      <w:marLeft w:val="0"/>
      <w:marRight w:val="0"/>
      <w:marTop w:val="0"/>
      <w:marBottom w:val="0"/>
      <w:divBdr>
        <w:top w:val="none" w:sz="0" w:space="0" w:color="auto"/>
        <w:left w:val="none" w:sz="0" w:space="0" w:color="auto"/>
        <w:bottom w:val="none" w:sz="0" w:space="0" w:color="auto"/>
        <w:right w:val="none" w:sz="0" w:space="0" w:color="auto"/>
      </w:divBdr>
    </w:div>
    <w:div w:id="2048680581">
      <w:bodyDiv w:val="1"/>
      <w:marLeft w:val="0"/>
      <w:marRight w:val="0"/>
      <w:marTop w:val="0"/>
      <w:marBottom w:val="0"/>
      <w:divBdr>
        <w:top w:val="none" w:sz="0" w:space="0" w:color="auto"/>
        <w:left w:val="none" w:sz="0" w:space="0" w:color="auto"/>
        <w:bottom w:val="none" w:sz="0" w:space="0" w:color="auto"/>
        <w:right w:val="none" w:sz="0" w:space="0" w:color="auto"/>
      </w:divBdr>
    </w:div>
    <w:div w:id="2048867446">
      <w:bodyDiv w:val="1"/>
      <w:marLeft w:val="0"/>
      <w:marRight w:val="0"/>
      <w:marTop w:val="0"/>
      <w:marBottom w:val="0"/>
      <w:divBdr>
        <w:top w:val="none" w:sz="0" w:space="0" w:color="auto"/>
        <w:left w:val="none" w:sz="0" w:space="0" w:color="auto"/>
        <w:bottom w:val="none" w:sz="0" w:space="0" w:color="auto"/>
        <w:right w:val="none" w:sz="0" w:space="0" w:color="auto"/>
      </w:divBdr>
    </w:div>
    <w:div w:id="2049261515">
      <w:bodyDiv w:val="1"/>
      <w:marLeft w:val="0"/>
      <w:marRight w:val="0"/>
      <w:marTop w:val="0"/>
      <w:marBottom w:val="0"/>
      <w:divBdr>
        <w:top w:val="none" w:sz="0" w:space="0" w:color="auto"/>
        <w:left w:val="none" w:sz="0" w:space="0" w:color="auto"/>
        <w:bottom w:val="none" w:sz="0" w:space="0" w:color="auto"/>
        <w:right w:val="none" w:sz="0" w:space="0" w:color="auto"/>
      </w:divBdr>
    </w:div>
    <w:div w:id="2050105268">
      <w:bodyDiv w:val="1"/>
      <w:marLeft w:val="0"/>
      <w:marRight w:val="0"/>
      <w:marTop w:val="0"/>
      <w:marBottom w:val="0"/>
      <w:divBdr>
        <w:top w:val="none" w:sz="0" w:space="0" w:color="auto"/>
        <w:left w:val="none" w:sz="0" w:space="0" w:color="auto"/>
        <w:bottom w:val="none" w:sz="0" w:space="0" w:color="auto"/>
        <w:right w:val="none" w:sz="0" w:space="0" w:color="auto"/>
      </w:divBdr>
    </w:div>
    <w:div w:id="2050568728">
      <w:bodyDiv w:val="1"/>
      <w:marLeft w:val="0"/>
      <w:marRight w:val="0"/>
      <w:marTop w:val="0"/>
      <w:marBottom w:val="0"/>
      <w:divBdr>
        <w:top w:val="none" w:sz="0" w:space="0" w:color="auto"/>
        <w:left w:val="none" w:sz="0" w:space="0" w:color="auto"/>
        <w:bottom w:val="none" w:sz="0" w:space="0" w:color="auto"/>
        <w:right w:val="none" w:sz="0" w:space="0" w:color="auto"/>
      </w:divBdr>
    </w:div>
    <w:div w:id="2050638991">
      <w:bodyDiv w:val="1"/>
      <w:marLeft w:val="0"/>
      <w:marRight w:val="0"/>
      <w:marTop w:val="0"/>
      <w:marBottom w:val="0"/>
      <w:divBdr>
        <w:top w:val="none" w:sz="0" w:space="0" w:color="auto"/>
        <w:left w:val="none" w:sz="0" w:space="0" w:color="auto"/>
        <w:bottom w:val="none" w:sz="0" w:space="0" w:color="auto"/>
        <w:right w:val="none" w:sz="0" w:space="0" w:color="auto"/>
      </w:divBdr>
    </w:div>
    <w:div w:id="2050761738">
      <w:bodyDiv w:val="1"/>
      <w:marLeft w:val="0"/>
      <w:marRight w:val="0"/>
      <w:marTop w:val="0"/>
      <w:marBottom w:val="0"/>
      <w:divBdr>
        <w:top w:val="none" w:sz="0" w:space="0" w:color="auto"/>
        <w:left w:val="none" w:sz="0" w:space="0" w:color="auto"/>
        <w:bottom w:val="none" w:sz="0" w:space="0" w:color="auto"/>
        <w:right w:val="none" w:sz="0" w:space="0" w:color="auto"/>
      </w:divBdr>
    </w:div>
    <w:div w:id="2050764324">
      <w:bodyDiv w:val="1"/>
      <w:marLeft w:val="0"/>
      <w:marRight w:val="0"/>
      <w:marTop w:val="0"/>
      <w:marBottom w:val="0"/>
      <w:divBdr>
        <w:top w:val="none" w:sz="0" w:space="0" w:color="auto"/>
        <w:left w:val="none" w:sz="0" w:space="0" w:color="auto"/>
        <w:bottom w:val="none" w:sz="0" w:space="0" w:color="auto"/>
        <w:right w:val="none" w:sz="0" w:space="0" w:color="auto"/>
      </w:divBdr>
    </w:div>
    <w:div w:id="2050958463">
      <w:bodyDiv w:val="1"/>
      <w:marLeft w:val="0"/>
      <w:marRight w:val="0"/>
      <w:marTop w:val="0"/>
      <w:marBottom w:val="0"/>
      <w:divBdr>
        <w:top w:val="none" w:sz="0" w:space="0" w:color="auto"/>
        <w:left w:val="none" w:sz="0" w:space="0" w:color="auto"/>
        <w:bottom w:val="none" w:sz="0" w:space="0" w:color="auto"/>
        <w:right w:val="none" w:sz="0" w:space="0" w:color="auto"/>
      </w:divBdr>
    </w:div>
    <w:div w:id="2051224255">
      <w:bodyDiv w:val="1"/>
      <w:marLeft w:val="0"/>
      <w:marRight w:val="0"/>
      <w:marTop w:val="0"/>
      <w:marBottom w:val="0"/>
      <w:divBdr>
        <w:top w:val="none" w:sz="0" w:space="0" w:color="auto"/>
        <w:left w:val="none" w:sz="0" w:space="0" w:color="auto"/>
        <w:bottom w:val="none" w:sz="0" w:space="0" w:color="auto"/>
        <w:right w:val="none" w:sz="0" w:space="0" w:color="auto"/>
      </w:divBdr>
    </w:div>
    <w:div w:id="2051301528">
      <w:bodyDiv w:val="1"/>
      <w:marLeft w:val="0"/>
      <w:marRight w:val="0"/>
      <w:marTop w:val="0"/>
      <w:marBottom w:val="0"/>
      <w:divBdr>
        <w:top w:val="none" w:sz="0" w:space="0" w:color="auto"/>
        <w:left w:val="none" w:sz="0" w:space="0" w:color="auto"/>
        <w:bottom w:val="none" w:sz="0" w:space="0" w:color="auto"/>
        <w:right w:val="none" w:sz="0" w:space="0" w:color="auto"/>
      </w:divBdr>
    </w:div>
    <w:div w:id="2051570342">
      <w:bodyDiv w:val="1"/>
      <w:marLeft w:val="0"/>
      <w:marRight w:val="0"/>
      <w:marTop w:val="0"/>
      <w:marBottom w:val="0"/>
      <w:divBdr>
        <w:top w:val="none" w:sz="0" w:space="0" w:color="auto"/>
        <w:left w:val="none" w:sz="0" w:space="0" w:color="auto"/>
        <w:bottom w:val="none" w:sz="0" w:space="0" w:color="auto"/>
        <w:right w:val="none" w:sz="0" w:space="0" w:color="auto"/>
      </w:divBdr>
    </w:div>
    <w:div w:id="2052069161">
      <w:bodyDiv w:val="1"/>
      <w:marLeft w:val="0"/>
      <w:marRight w:val="0"/>
      <w:marTop w:val="0"/>
      <w:marBottom w:val="0"/>
      <w:divBdr>
        <w:top w:val="none" w:sz="0" w:space="0" w:color="auto"/>
        <w:left w:val="none" w:sz="0" w:space="0" w:color="auto"/>
        <w:bottom w:val="none" w:sz="0" w:space="0" w:color="auto"/>
        <w:right w:val="none" w:sz="0" w:space="0" w:color="auto"/>
      </w:divBdr>
    </w:div>
    <w:div w:id="2052684104">
      <w:bodyDiv w:val="1"/>
      <w:marLeft w:val="0"/>
      <w:marRight w:val="0"/>
      <w:marTop w:val="0"/>
      <w:marBottom w:val="0"/>
      <w:divBdr>
        <w:top w:val="none" w:sz="0" w:space="0" w:color="auto"/>
        <w:left w:val="none" w:sz="0" w:space="0" w:color="auto"/>
        <w:bottom w:val="none" w:sz="0" w:space="0" w:color="auto"/>
        <w:right w:val="none" w:sz="0" w:space="0" w:color="auto"/>
      </w:divBdr>
    </w:div>
    <w:div w:id="2052881016">
      <w:bodyDiv w:val="1"/>
      <w:marLeft w:val="0"/>
      <w:marRight w:val="0"/>
      <w:marTop w:val="0"/>
      <w:marBottom w:val="0"/>
      <w:divBdr>
        <w:top w:val="none" w:sz="0" w:space="0" w:color="auto"/>
        <w:left w:val="none" w:sz="0" w:space="0" w:color="auto"/>
        <w:bottom w:val="none" w:sz="0" w:space="0" w:color="auto"/>
        <w:right w:val="none" w:sz="0" w:space="0" w:color="auto"/>
      </w:divBdr>
    </w:div>
    <w:div w:id="2052924916">
      <w:bodyDiv w:val="1"/>
      <w:marLeft w:val="0"/>
      <w:marRight w:val="0"/>
      <w:marTop w:val="0"/>
      <w:marBottom w:val="0"/>
      <w:divBdr>
        <w:top w:val="none" w:sz="0" w:space="0" w:color="auto"/>
        <w:left w:val="none" w:sz="0" w:space="0" w:color="auto"/>
        <w:bottom w:val="none" w:sz="0" w:space="0" w:color="auto"/>
        <w:right w:val="none" w:sz="0" w:space="0" w:color="auto"/>
      </w:divBdr>
    </w:div>
    <w:div w:id="2052991811">
      <w:bodyDiv w:val="1"/>
      <w:marLeft w:val="0"/>
      <w:marRight w:val="0"/>
      <w:marTop w:val="0"/>
      <w:marBottom w:val="0"/>
      <w:divBdr>
        <w:top w:val="none" w:sz="0" w:space="0" w:color="auto"/>
        <w:left w:val="none" w:sz="0" w:space="0" w:color="auto"/>
        <w:bottom w:val="none" w:sz="0" w:space="0" w:color="auto"/>
        <w:right w:val="none" w:sz="0" w:space="0" w:color="auto"/>
      </w:divBdr>
    </w:div>
    <w:div w:id="2053070637">
      <w:bodyDiv w:val="1"/>
      <w:marLeft w:val="0"/>
      <w:marRight w:val="0"/>
      <w:marTop w:val="0"/>
      <w:marBottom w:val="0"/>
      <w:divBdr>
        <w:top w:val="none" w:sz="0" w:space="0" w:color="auto"/>
        <w:left w:val="none" w:sz="0" w:space="0" w:color="auto"/>
        <w:bottom w:val="none" w:sz="0" w:space="0" w:color="auto"/>
        <w:right w:val="none" w:sz="0" w:space="0" w:color="auto"/>
      </w:divBdr>
    </w:div>
    <w:div w:id="2053190748">
      <w:bodyDiv w:val="1"/>
      <w:marLeft w:val="0"/>
      <w:marRight w:val="0"/>
      <w:marTop w:val="0"/>
      <w:marBottom w:val="0"/>
      <w:divBdr>
        <w:top w:val="none" w:sz="0" w:space="0" w:color="auto"/>
        <w:left w:val="none" w:sz="0" w:space="0" w:color="auto"/>
        <w:bottom w:val="none" w:sz="0" w:space="0" w:color="auto"/>
        <w:right w:val="none" w:sz="0" w:space="0" w:color="auto"/>
      </w:divBdr>
    </w:div>
    <w:div w:id="2054035193">
      <w:bodyDiv w:val="1"/>
      <w:marLeft w:val="0"/>
      <w:marRight w:val="0"/>
      <w:marTop w:val="0"/>
      <w:marBottom w:val="0"/>
      <w:divBdr>
        <w:top w:val="none" w:sz="0" w:space="0" w:color="auto"/>
        <w:left w:val="none" w:sz="0" w:space="0" w:color="auto"/>
        <w:bottom w:val="none" w:sz="0" w:space="0" w:color="auto"/>
        <w:right w:val="none" w:sz="0" w:space="0" w:color="auto"/>
      </w:divBdr>
    </w:div>
    <w:div w:id="2054183891">
      <w:bodyDiv w:val="1"/>
      <w:marLeft w:val="0"/>
      <w:marRight w:val="0"/>
      <w:marTop w:val="0"/>
      <w:marBottom w:val="0"/>
      <w:divBdr>
        <w:top w:val="none" w:sz="0" w:space="0" w:color="auto"/>
        <w:left w:val="none" w:sz="0" w:space="0" w:color="auto"/>
        <w:bottom w:val="none" w:sz="0" w:space="0" w:color="auto"/>
        <w:right w:val="none" w:sz="0" w:space="0" w:color="auto"/>
      </w:divBdr>
    </w:div>
    <w:div w:id="2054426496">
      <w:bodyDiv w:val="1"/>
      <w:marLeft w:val="0"/>
      <w:marRight w:val="0"/>
      <w:marTop w:val="0"/>
      <w:marBottom w:val="0"/>
      <w:divBdr>
        <w:top w:val="none" w:sz="0" w:space="0" w:color="auto"/>
        <w:left w:val="none" w:sz="0" w:space="0" w:color="auto"/>
        <w:bottom w:val="none" w:sz="0" w:space="0" w:color="auto"/>
        <w:right w:val="none" w:sz="0" w:space="0" w:color="auto"/>
      </w:divBdr>
    </w:div>
    <w:div w:id="2054574562">
      <w:bodyDiv w:val="1"/>
      <w:marLeft w:val="0"/>
      <w:marRight w:val="0"/>
      <w:marTop w:val="0"/>
      <w:marBottom w:val="0"/>
      <w:divBdr>
        <w:top w:val="none" w:sz="0" w:space="0" w:color="auto"/>
        <w:left w:val="none" w:sz="0" w:space="0" w:color="auto"/>
        <w:bottom w:val="none" w:sz="0" w:space="0" w:color="auto"/>
        <w:right w:val="none" w:sz="0" w:space="0" w:color="auto"/>
      </w:divBdr>
    </w:div>
    <w:div w:id="2054767418">
      <w:bodyDiv w:val="1"/>
      <w:marLeft w:val="0"/>
      <w:marRight w:val="0"/>
      <w:marTop w:val="0"/>
      <w:marBottom w:val="0"/>
      <w:divBdr>
        <w:top w:val="none" w:sz="0" w:space="0" w:color="auto"/>
        <w:left w:val="none" w:sz="0" w:space="0" w:color="auto"/>
        <w:bottom w:val="none" w:sz="0" w:space="0" w:color="auto"/>
        <w:right w:val="none" w:sz="0" w:space="0" w:color="auto"/>
      </w:divBdr>
    </w:div>
    <w:div w:id="2054961840">
      <w:bodyDiv w:val="1"/>
      <w:marLeft w:val="0"/>
      <w:marRight w:val="0"/>
      <w:marTop w:val="0"/>
      <w:marBottom w:val="0"/>
      <w:divBdr>
        <w:top w:val="none" w:sz="0" w:space="0" w:color="auto"/>
        <w:left w:val="none" w:sz="0" w:space="0" w:color="auto"/>
        <w:bottom w:val="none" w:sz="0" w:space="0" w:color="auto"/>
        <w:right w:val="none" w:sz="0" w:space="0" w:color="auto"/>
      </w:divBdr>
    </w:div>
    <w:div w:id="2055304795">
      <w:bodyDiv w:val="1"/>
      <w:marLeft w:val="0"/>
      <w:marRight w:val="0"/>
      <w:marTop w:val="0"/>
      <w:marBottom w:val="0"/>
      <w:divBdr>
        <w:top w:val="none" w:sz="0" w:space="0" w:color="auto"/>
        <w:left w:val="none" w:sz="0" w:space="0" w:color="auto"/>
        <w:bottom w:val="none" w:sz="0" w:space="0" w:color="auto"/>
        <w:right w:val="none" w:sz="0" w:space="0" w:color="auto"/>
      </w:divBdr>
    </w:div>
    <w:div w:id="2055497013">
      <w:bodyDiv w:val="1"/>
      <w:marLeft w:val="0"/>
      <w:marRight w:val="0"/>
      <w:marTop w:val="0"/>
      <w:marBottom w:val="0"/>
      <w:divBdr>
        <w:top w:val="none" w:sz="0" w:space="0" w:color="auto"/>
        <w:left w:val="none" w:sz="0" w:space="0" w:color="auto"/>
        <w:bottom w:val="none" w:sz="0" w:space="0" w:color="auto"/>
        <w:right w:val="none" w:sz="0" w:space="0" w:color="auto"/>
      </w:divBdr>
    </w:div>
    <w:div w:id="2055500093">
      <w:bodyDiv w:val="1"/>
      <w:marLeft w:val="0"/>
      <w:marRight w:val="0"/>
      <w:marTop w:val="0"/>
      <w:marBottom w:val="0"/>
      <w:divBdr>
        <w:top w:val="none" w:sz="0" w:space="0" w:color="auto"/>
        <w:left w:val="none" w:sz="0" w:space="0" w:color="auto"/>
        <w:bottom w:val="none" w:sz="0" w:space="0" w:color="auto"/>
        <w:right w:val="none" w:sz="0" w:space="0" w:color="auto"/>
      </w:divBdr>
    </w:div>
    <w:div w:id="2055810265">
      <w:bodyDiv w:val="1"/>
      <w:marLeft w:val="0"/>
      <w:marRight w:val="0"/>
      <w:marTop w:val="0"/>
      <w:marBottom w:val="0"/>
      <w:divBdr>
        <w:top w:val="none" w:sz="0" w:space="0" w:color="auto"/>
        <w:left w:val="none" w:sz="0" w:space="0" w:color="auto"/>
        <w:bottom w:val="none" w:sz="0" w:space="0" w:color="auto"/>
        <w:right w:val="none" w:sz="0" w:space="0" w:color="auto"/>
      </w:divBdr>
    </w:div>
    <w:div w:id="2056391022">
      <w:bodyDiv w:val="1"/>
      <w:marLeft w:val="0"/>
      <w:marRight w:val="0"/>
      <w:marTop w:val="0"/>
      <w:marBottom w:val="0"/>
      <w:divBdr>
        <w:top w:val="none" w:sz="0" w:space="0" w:color="auto"/>
        <w:left w:val="none" w:sz="0" w:space="0" w:color="auto"/>
        <w:bottom w:val="none" w:sz="0" w:space="0" w:color="auto"/>
        <w:right w:val="none" w:sz="0" w:space="0" w:color="auto"/>
      </w:divBdr>
    </w:div>
    <w:div w:id="2056394259">
      <w:bodyDiv w:val="1"/>
      <w:marLeft w:val="0"/>
      <w:marRight w:val="0"/>
      <w:marTop w:val="0"/>
      <w:marBottom w:val="0"/>
      <w:divBdr>
        <w:top w:val="none" w:sz="0" w:space="0" w:color="auto"/>
        <w:left w:val="none" w:sz="0" w:space="0" w:color="auto"/>
        <w:bottom w:val="none" w:sz="0" w:space="0" w:color="auto"/>
        <w:right w:val="none" w:sz="0" w:space="0" w:color="auto"/>
      </w:divBdr>
    </w:div>
    <w:div w:id="2056464036">
      <w:bodyDiv w:val="1"/>
      <w:marLeft w:val="0"/>
      <w:marRight w:val="0"/>
      <w:marTop w:val="0"/>
      <w:marBottom w:val="0"/>
      <w:divBdr>
        <w:top w:val="none" w:sz="0" w:space="0" w:color="auto"/>
        <w:left w:val="none" w:sz="0" w:space="0" w:color="auto"/>
        <w:bottom w:val="none" w:sz="0" w:space="0" w:color="auto"/>
        <w:right w:val="none" w:sz="0" w:space="0" w:color="auto"/>
      </w:divBdr>
    </w:div>
    <w:div w:id="2057268310">
      <w:bodyDiv w:val="1"/>
      <w:marLeft w:val="0"/>
      <w:marRight w:val="0"/>
      <w:marTop w:val="0"/>
      <w:marBottom w:val="0"/>
      <w:divBdr>
        <w:top w:val="none" w:sz="0" w:space="0" w:color="auto"/>
        <w:left w:val="none" w:sz="0" w:space="0" w:color="auto"/>
        <w:bottom w:val="none" w:sz="0" w:space="0" w:color="auto"/>
        <w:right w:val="none" w:sz="0" w:space="0" w:color="auto"/>
      </w:divBdr>
    </w:div>
    <w:div w:id="2057505060">
      <w:bodyDiv w:val="1"/>
      <w:marLeft w:val="0"/>
      <w:marRight w:val="0"/>
      <w:marTop w:val="0"/>
      <w:marBottom w:val="0"/>
      <w:divBdr>
        <w:top w:val="none" w:sz="0" w:space="0" w:color="auto"/>
        <w:left w:val="none" w:sz="0" w:space="0" w:color="auto"/>
        <w:bottom w:val="none" w:sz="0" w:space="0" w:color="auto"/>
        <w:right w:val="none" w:sz="0" w:space="0" w:color="auto"/>
      </w:divBdr>
    </w:div>
    <w:div w:id="2057654035">
      <w:bodyDiv w:val="1"/>
      <w:marLeft w:val="0"/>
      <w:marRight w:val="0"/>
      <w:marTop w:val="0"/>
      <w:marBottom w:val="0"/>
      <w:divBdr>
        <w:top w:val="none" w:sz="0" w:space="0" w:color="auto"/>
        <w:left w:val="none" w:sz="0" w:space="0" w:color="auto"/>
        <w:bottom w:val="none" w:sz="0" w:space="0" w:color="auto"/>
        <w:right w:val="none" w:sz="0" w:space="0" w:color="auto"/>
      </w:divBdr>
    </w:div>
    <w:div w:id="2057657218">
      <w:bodyDiv w:val="1"/>
      <w:marLeft w:val="0"/>
      <w:marRight w:val="0"/>
      <w:marTop w:val="0"/>
      <w:marBottom w:val="0"/>
      <w:divBdr>
        <w:top w:val="none" w:sz="0" w:space="0" w:color="auto"/>
        <w:left w:val="none" w:sz="0" w:space="0" w:color="auto"/>
        <w:bottom w:val="none" w:sz="0" w:space="0" w:color="auto"/>
        <w:right w:val="none" w:sz="0" w:space="0" w:color="auto"/>
      </w:divBdr>
    </w:div>
    <w:div w:id="2057728604">
      <w:bodyDiv w:val="1"/>
      <w:marLeft w:val="0"/>
      <w:marRight w:val="0"/>
      <w:marTop w:val="0"/>
      <w:marBottom w:val="0"/>
      <w:divBdr>
        <w:top w:val="none" w:sz="0" w:space="0" w:color="auto"/>
        <w:left w:val="none" w:sz="0" w:space="0" w:color="auto"/>
        <w:bottom w:val="none" w:sz="0" w:space="0" w:color="auto"/>
        <w:right w:val="none" w:sz="0" w:space="0" w:color="auto"/>
      </w:divBdr>
    </w:div>
    <w:div w:id="2058553442">
      <w:bodyDiv w:val="1"/>
      <w:marLeft w:val="0"/>
      <w:marRight w:val="0"/>
      <w:marTop w:val="0"/>
      <w:marBottom w:val="0"/>
      <w:divBdr>
        <w:top w:val="none" w:sz="0" w:space="0" w:color="auto"/>
        <w:left w:val="none" w:sz="0" w:space="0" w:color="auto"/>
        <w:bottom w:val="none" w:sz="0" w:space="0" w:color="auto"/>
        <w:right w:val="none" w:sz="0" w:space="0" w:color="auto"/>
      </w:divBdr>
    </w:div>
    <w:div w:id="2058817655">
      <w:bodyDiv w:val="1"/>
      <w:marLeft w:val="0"/>
      <w:marRight w:val="0"/>
      <w:marTop w:val="0"/>
      <w:marBottom w:val="0"/>
      <w:divBdr>
        <w:top w:val="none" w:sz="0" w:space="0" w:color="auto"/>
        <w:left w:val="none" w:sz="0" w:space="0" w:color="auto"/>
        <w:bottom w:val="none" w:sz="0" w:space="0" w:color="auto"/>
        <w:right w:val="none" w:sz="0" w:space="0" w:color="auto"/>
      </w:divBdr>
    </w:div>
    <w:div w:id="2059040413">
      <w:bodyDiv w:val="1"/>
      <w:marLeft w:val="0"/>
      <w:marRight w:val="0"/>
      <w:marTop w:val="0"/>
      <w:marBottom w:val="0"/>
      <w:divBdr>
        <w:top w:val="none" w:sz="0" w:space="0" w:color="auto"/>
        <w:left w:val="none" w:sz="0" w:space="0" w:color="auto"/>
        <w:bottom w:val="none" w:sz="0" w:space="0" w:color="auto"/>
        <w:right w:val="none" w:sz="0" w:space="0" w:color="auto"/>
      </w:divBdr>
    </w:div>
    <w:div w:id="2059356526">
      <w:bodyDiv w:val="1"/>
      <w:marLeft w:val="0"/>
      <w:marRight w:val="0"/>
      <w:marTop w:val="0"/>
      <w:marBottom w:val="0"/>
      <w:divBdr>
        <w:top w:val="none" w:sz="0" w:space="0" w:color="auto"/>
        <w:left w:val="none" w:sz="0" w:space="0" w:color="auto"/>
        <w:bottom w:val="none" w:sz="0" w:space="0" w:color="auto"/>
        <w:right w:val="none" w:sz="0" w:space="0" w:color="auto"/>
      </w:divBdr>
    </w:div>
    <w:div w:id="2059472584">
      <w:bodyDiv w:val="1"/>
      <w:marLeft w:val="0"/>
      <w:marRight w:val="0"/>
      <w:marTop w:val="0"/>
      <w:marBottom w:val="0"/>
      <w:divBdr>
        <w:top w:val="none" w:sz="0" w:space="0" w:color="auto"/>
        <w:left w:val="none" w:sz="0" w:space="0" w:color="auto"/>
        <w:bottom w:val="none" w:sz="0" w:space="0" w:color="auto"/>
        <w:right w:val="none" w:sz="0" w:space="0" w:color="auto"/>
      </w:divBdr>
    </w:div>
    <w:div w:id="2059619638">
      <w:bodyDiv w:val="1"/>
      <w:marLeft w:val="0"/>
      <w:marRight w:val="0"/>
      <w:marTop w:val="0"/>
      <w:marBottom w:val="0"/>
      <w:divBdr>
        <w:top w:val="none" w:sz="0" w:space="0" w:color="auto"/>
        <w:left w:val="none" w:sz="0" w:space="0" w:color="auto"/>
        <w:bottom w:val="none" w:sz="0" w:space="0" w:color="auto"/>
        <w:right w:val="none" w:sz="0" w:space="0" w:color="auto"/>
      </w:divBdr>
    </w:div>
    <w:div w:id="2059863870">
      <w:bodyDiv w:val="1"/>
      <w:marLeft w:val="0"/>
      <w:marRight w:val="0"/>
      <w:marTop w:val="0"/>
      <w:marBottom w:val="0"/>
      <w:divBdr>
        <w:top w:val="none" w:sz="0" w:space="0" w:color="auto"/>
        <w:left w:val="none" w:sz="0" w:space="0" w:color="auto"/>
        <w:bottom w:val="none" w:sz="0" w:space="0" w:color="auto"/>
        <w:right w:val="none" w:sz="0" w:space="0" w:color="auto"/>
      </w:divBdr>
    </w:div>
    <w:div w:id="2059933162">
      <w:bodyDiv w:val="1"/>
      <w:marLeft w:val="0"/>
      <w:marRight w:val="0"/>
      <w:marTop w:val="0"/>
      <w:marBottom w:val="0"/>
      <w:divBdr>
        <w:top w:val="none" w:sz="0" w:space="0" w:color="auto"/>
        <w:left w:val="none" w:sz="0" w:space="0" w:color="auto"/>
        <w:bottom w:val="none" w:sz="0" w:space="0" w:color="auto"/>
        <w:right w:val="none" w:sz="0" w:space="0" w:color="auto"/>
      </w:divBdr>
    </w:div>
    <w:div w:id="2060087993">
      <w:bodyDiv w:val="1"/>
      <w:marLeft w:val="0"/>
      <w:marRight w:val="0"/>
      <w:marTop w:val="0"/>
      <w:marBottom w:val="0"/>
      <w:divBdr>
        <w:top w:val="none" w:sz="0" w:space="0" w:color="auto"/>
        <w:left w:val="none" w:sz="0" w:space="0" w:color="auto"/>
        <w:bottom w:val="none" w:sz="0" w:space="0" w:color="auto"/>
        <w:right w:val="none" w:sz="0" w:space="0" w:color="auto"/>
      </w:divBdr>
    </w:div>
    <w:div w:id="2060124195">
      <w:bodyDiv w:val="1"/>
      <w:marLeft w:val="0"/>
      <w:marRight w:val="0"/>
      <w:marTop w:val="0"/>
      <w:marBottom w:val="0"/>
      <w:divBdr>
        <w:top w:val="none" w:sz="0" w:space="0" w:color="auto"/>
        <w:left w:val="none" w:sz="0" w:space="0" w:color="auto"/>
        <w:bottom w:val="none" w:sz="0" w:space="0" w:color="auto"/>
        <w:right w:val="none" w:sz="0" w:space="0" w:color="auto"/>
      </w:divBdr>
    </w:div>
    <w:div w:id="2060276065">
      <w:bodyDiv w:val="1"/>
      <w:marLeft w:val="0"/>
      <w:marRight w:val="0"/>
      <w:marTop w:val="0"/>
      <w:marBottom w:val="0"/>
      <w:divBdr>
        <w:top w:val="none" w:sz="0" w:space="0" w:color="auto"/>
        <w:left w:val="none" w:sz="0" w:space="0" w:color="auto"/>
        <w:bottom w:val="none" w:sz="0" w:space="0" w:color="auto"/>
        <w:right w:val="none" w:sz="0" w:space="0" w:color="auto"/>
      </w:divBdr>
    </w:div>
    <w:div w:id="2060395917">
      <w:bodyDiv w:val="1"/>
      <w:marLeft w:val="0"/>
      <w:marRight w:val="0"/>
      <w:marTop w:val="0"/>
      <w:marBottom w:val="0"/>
      <w:divBdr>
        <w:top w:val="none" w:sz="0" w:space="0" w:color="auto"/>
        <w:left w:val="none" w:sz="0" w:space="0" w:color="auto"/>
        <w:bottom w:val="none" w:sz="0" w:space="0" w:color="auto"/>
        <w:right w:val="none" w:sz="0" w:space="0" w:color="auto"/>
      </w:divBdr>
    </w:div>
    <w:div w:id="2060401164">
      <w:bodyDiv w:val="1"/>
      <w:marLeft w:val="0"/>
      <w:marRight w:val="0"/>
      <w:marTop w:val="0"/>
      <w:marBottom w:val="0"/>
      <w:divBdr>
        <w:top w:val="none" w:sz="0" w:space="0" w:color="auto"/>
        <w:left w:val="none" w:sz="0" w:space="0" w:color="auto"/>
        <w:bottom w:val="none" w:sz="0" w:space="0" w:color="auto"/>
        <w:right w:val="none" w:sz="0" w:space="0" w:color="auto"/>
      </w:divBdr>
    </w:div>
    <w:div w:id="2060932157">
      <w:bodyDiv w:val="1"/>
      <w:marLeft w:val="0"/>
      <w:marRight w:val="0"/>
      <w:marTop w:val="0"/>
      <w:marBottom w:val="0"/>
      <w:divBdr>
        <w:top w:val="none" w:sz="0" w:space="0" w:color="auto"/>
        <w:left w:val="none" w:sz="0" w:space="0" w:color="auto"/>
        <w:bottom w:val="none" w:sz="0" w:space="0" w:color="auto"/>
        <w:right w:val="none" w:sz="0" w:space="0" w:color="auto"/>
      </w:divBdr>
    </w:div>
    <w:div w:id="2061246314">
      <w:bodyDiv w:val="1"/>
      <w:marLeft w:val="0"/>
      <w:marRight w:val="0"/>
      <w:marTop w:val="0"/>
      <w:marBottom w:val="0"/>
      <w:divBdr>
        <w:top w:val="none" w:sz="0" w:space="0" w:color="auto"/>
        <w:left w:val="none" w:sz="0" w:space="0" w:color="auto"/>
        <w:bottom w:val="none" w:sz="0" w:space="0" w:color="auto"/>
        <w:right w:val="none" w:sz="0" w:space="0" w:color="auto"/>
      </w:divBdr>
    </w:div>
    <w:div w:id="2061317712">
      <w:bodyDiv w:val="1"/>
      <w:marLeft w:val="0"/>
      <w:marRight w:val="0"/>
      <w:marTop w:val="0"/>
      <w:marBottom w:val="0"/>
      <w:divBdr>
        <w:top w:val="none" w:sz="0" w:space="0" w:color="auto"/>
        <w:left w:val="none" w:sz="0" w:space="0" w:color="auto"/>
        <w:bottom w:val="none" w:sz="0" w:space="0" w:color="auto"/>
        <w:right w:val="none" w:sz="0" w:space="0" w:color="auto"/>
      </w:divBdr>
    </w:div>
    <w:div w:id="2061859708">
      <w:bodyDiv w:val="1"/>
      <w:marLeft w:val="0"/>
      <w:marRight w:val="0"/>
      <w:marTop w:val="0"/>
      <w:marBottom w:val="0"/>
      <w:divBdr>
        <w:top w:val="none" w:sz="0" w:space="0" w:color="auto"/>
        <w:left w:val="none" w:sz="0" w:space="0" w:color="auto"/>
        <w:bottom w:val="none" w:sz="0" w:space="0" w:color="auto"/>
        <w:right w:val="none" w:sz="0" w:space="0" w:color="auto"/>
      </w:divBdr>
    </w:div>
    <w:div w:id="2061904316">
      <w:bodyDiv w:val="1"/>
      <w:marLeft w:val="0"/>
      <w:marRight w:val="0"/>
      <w:marTop w:val="0"/>
      <w:marBottom w:val="0"/>
      <w:divBdr>
        <w:top w:val="none" w:sz="0" w:space="0" w:color="auto"/>
        <w:left w:val="none" w:sz="0" w:space="0" w:color="auto"/>
        <w:bottom w:val="none" w:sz="0" w:space="0" w:color="auto"/>
        <w:right w:val="none" w:sz="0" w:space="0" w:color="auto"/>
      </w:divBdr>
    </w:div>
    <w:div w:id="2062287513">
      <w:bodyDiv w:val="1"/>
      <w:marLeft w:val="0"/>
      <w:marRight w:val="0"/>
      <w:marTop w:val="0"/>
      <w:marBottom w:val="0"/>
      <w:divBdr>
        <w:top w:val="none" w:sz="0" w:space="0" w:color="auto"/>
        <w:left w:val="none" w:sz="0" w:space="0" w:color="auto"/>
        <w:bottom w:val="none" w:sz="0" w:space="0" w:color="auto"/>
        <w:right w:val="none" w:sz="0" w:space="0" w:color="auto"/>
      </w:divBdr>
    </w:div>
    <w:div w:id="2062290137">
      <w:bodyDiv w:val="1"/>
      <w:marLeft w:val="0"/>
      <w:marRight w:val="0"/>
      <w:marTop w:val="0"/>
      <w:marBottom w:val="0"/>
      <w:divBdr>
        <w:top w:val="none" w:sz="0" w:space="0" w:color="auto"/>
        <w:left w:val="none" w:sz="0" w:space="0" w:color="auto"/>
        <w:bottom w:val="none" w:sz="0" w:space="0" w:color="auto"/>
        <w:right w:val="none" w:sz="0" w:space="0" w:color="auto"/>
      </w:divBdr>
    </w:div>
    <w:div w:id="2062437183">
      <w:bodyDiv w:val="1"/>
      <w:marLeft w:val="0"/>
      <w:marRight w:val="0"/>
      <w:marTop w:val="0"/>
      <w:marBottom w:val="0"/>
      <w:divBdr>
        <w:top w:val="none" w:sz="0" w:space="0" w:color="auto"/>
        <w:left w:val="none" w:sz="0" w:space="0" w:color="auto"/>
        <w:bottom w:val="none" w:sz="0" w:space="0" w:color="auto"/>
        <w:right w:val="none" w:sz="0" w:space="0" w:color="auto"/>
      </w:divBdr>
    </w:div>
    <w:div w:id="2062972554">
      <w:bodyDiv w:val="1"/>
      <w:marLeft w:val="0"/>
      <w:marRight w:val="0"/>
      <w:marTop w:val="0"/>
      <w:marBottom w:val="0"/>
      <w:divBdr>
        <w:top w:val="none" w:sz="0" w:space="0" w:color="auto"/>
        <w:left w:val="none" w:sz="0" w:space="0" w:color="auto"/>
        <w:bottom w:val="none" w:sz="0" w:space="0" w:color="auto"/>
        <w:right w:val="none" w:sz="0" w:space="0" w:color="auto"/>
      </w:divBdr>
    </w:div>
    <w:div w:id="2063364786">
      <w:bodyDiv w:val="1"/>
      <w:marLeft w:val="0"/>
      <w:marRight w:val="0"/>
      <w:marTop w:val="0"/>
      <w:marBottom w:val="0"/>
      <w:divBdr>
        <w:top w:val="none" w:sz="0" w:space="0" w:color="auto"/>
        <w:left w:val="none" w:sz="0" w:space="0" w:color="auto"/>
        <w:bottom w:val="none" w:sz="0" w:space="0" w:color="auto"/>
        <w:right w:val="none" w:sz="0" w:space="0" w:color="auto"/>
      </w:divBdr>
    </w:div>
    <w:div w:id="2063365075">
      <w:bodyDiv w:val="1"/>
      <w:marLeft w:val="0"/>
      <w:marRight w:val="0"/>
      <w:marTop w:val="0"/>
      <w:marBottom w:val="0"/>
      <w:divBdr>
        <w:top w:val="none" w:sz="0" w:space="0" w:color="auto"/>
        <w:left w:val="none" w:sz="0" w:space="0" w:color="auto"/>
        <w:bottom w:val="none" w:sz="0" w:space="0" w:color="auto"/>
        <w:right w:val="none" w:sz="0" w:space="0" w:color="auto"/>
      </w:divBdr>
    </w:div>
    <w:div w:id="2063478781">
      <w:bodyDiv w:val="1"/>
      <w:marLeft w:val="0"/>
      <w:marRight w:val="0"/>
      <w:marTop w:val="0"/>
      <w:marBottom w:val="0"/>
      <w:divBdr>
        <w:top w:val="none" w:sz="0" w:space="0" w:color="auto"/>
        <w:left w:val="none" w:sz="0" w:space="0" w:color="auto"/>
        <w:bottom w:val="none" w:sz="0" w:space="0" w:color="auto"/>
        <w:right w:val="none" w:sz="0" w:space="0" w:color="auto"/>
      </w:divBdr>
    </w:div>
    <w:div w:id="2064331468">
      <w:bodyDiv w:val="1"/>
      <w:marLeft w:val="0"/>
      <w:marRight w:val="0"/>
      <w:marTop w:val="0"/>
      <w:marBottom w:val="0"/>
      <w:divBdr>
        <w:top w:val="none" w:sz="0" w:space="0" w:color="auto"/>
        <w:left w:val="none" w:sz="0" w:space="0" w:color="auto"/>
        <w:bottom w:val="none" w:sz="0" w:space="0" w:color="auto"/>
        <w:right w:val="none" w:sz="0" w:space="0" w:color="auto"/>
      </w:divBdr>
    </w:div>
    <w:div w:id="2064449889">
      <w:bodyDiv w:val="1"/>
      <w:marLeft w:val="0"/>
      <w:marRight w:val="0"/>
      <w:marTop w:val="0"/>
      <w:marBottom w:val="0"/>
      <w:divBdr>
        <w:top w:val="none" w:sz="0" w:space="0" w:color="auto"/>
        <w:left w:val="none" w:sz="0" w:space="0" w:color="auto"/>
        <w:bottom w:val="none" w:sz="0" w:space="0" w:color="auto"/>
        <w:right w:val="none" w:sz="0" w:space="0" w:color="auto"/>
      </w:divBdr>
    </w:div>
    <w:div w:id="2064450618">
      <w:bodyDiv w:val="1"/>
      <w:marLeft w:val="0"/>
      <w:marRight w:val="0"/>
      <w:marTop w:val="0"/>
      <w:marBottom w:val="0"/>
      <w:divBdr>
        <w:top w:val="none" w:sz="0" w:space="0" w:color="auto"/>
        <w:left w:val="none" w:sz="0" w:space="0" w:color="auto"/>
        <w:bottom w:val="none" w:sz="0" w:space="0" w:color="auto"/>
        <w:right w:val="none" w:sz="0" w:space="0" w:color="auto"/>
      </w:divBdr>
    </w:div>
    <w:div w:id="2064594084">
      <w:bodyDiv w:val="1"/>
      <w:marLeft w:val="0"/>
      <w:marRight w:val="0"/>
      <w:marTop w:val="0"/>
      <w:marBottom w:val="0"/>
      <w:divBdr>
        <w:top w:val="none" w:sz="0" w:space="0" w:color="auto"/>
        <w:left w:val="none" w:sz="0" w:space="0" w:color="auto"/>
        <w:bottom w:val="none" w:sz="0" w:space="0" w:color="auto"/>
        <w:right w:val="none" w:sz="0" w:space="0" w:color="auto"/>
      </w:divBdr>
    </w:div>
    <w:div w:id="2064599227">
      <w:bodyDiv w:val="1"/>
      <w:marLeft w:val="0"/>
      <w:marRight w:val="0"/>
      <w:marTop w:val="0"/>
      <w:marBottom w:val="0"/>
      <w:divBdr>
        <w:top w:val="none" w:sz="0" w:space="0" w:color="auto"/>
        <w:left w:val="none" w:sz="0" w:space="0" w:color="auto"/>
        <w:bottom w:val="none" w:sz="0" w:space="0" w:color="auto"/>
        <w:right w:val="none" w:sz="0" w:space="0" w:color="auto"/>
      </w:divBdr>
    </w:div>
    <w:div w:id="2064713010">
      <w:bodyDiv w:val="1"/>
      <w:marLeft w:val="0"/>
      <w:marRight w:val="0"/>
      <w:marTop w:val="0"/>
      <w:marBottom w:val="0"/>
      <w:divBdr>
        <w:top w:val="none" w:sz="0" w:space="0" w:color="auto"/>
        <w:left w:val="none" w:sz="0" w:space="0" w:color="auto"/>
        <w:bottom w:val="none" w:sz="0" w:space="0" w:color="auto"/>
        <w:right w:val="none" w:sz="0" w:space="0" w:color="auto"/>
      </w:divBdr>
    </w:div>
    <w:div w:id="2064912665">
      <w:bodyDiv w:val="1"/>
      <w:marLeft w:val="0"/>
      <w:marRight w:val="0"/>
      <w:marTop w:val="0"/>
      <w:marBottom w:val="0"/>
      <w:divBdr>
        <w:top w:val="none" w:sz="0" w:space="0" w:color="auto"/>
        <w:left w:val="none" w:sz="0" w:space="0" w:color="auto"/>
        <w:bottom w:val="none" w:sz="0" w:space="0" w:color="auto"/>
        <w:right w:val="none" w:sz="0" w:space="0" w:color="auto"/>
      </w:divBdr>
    </w:div>
    <w:div w:id="2065175680">
      <w:bodyDiv w:val="1"/>
      <w:marLeft w:val="0"/>
      <w:marRight w:val="0"/>
      <w:marTop w:val="0"/>
      <w:marBottom w:val="0"/>
      <w:divBdr>
        <w:top w:val="none" w:sz="0" w:space="0" w:color="auto"/>
        <w:left w:val="none" w:sz="0" w:space="0" w:color="auto"/>
        <w:bottom w:val="none" w:sz="0" w:space="0" w:color="auto"/>
        <w:right w:val="none" w:sz="0" w:space="0" w:color="auto"/>
      </w:divBdr>
    </w:div>
    <w:div w:id="2065253369">
      <w:bodyDiv w:val="1"/>
      <w:marLeft w:val="0"/>
      <w:marRight w:val="0"/>
      <w:marTop w:val="0"/>
      <w:marBottom w:val="0"/>
      <w:divBdr>
        <w:top w:val="none" w:sz="0" w:space="0" w:color="auto"/>
        <w:left w:val="none" w:sz="0" w:space="0" w:color="auto"/>
        <w:bottom w:val="none" w:sz="0" w:space="0" w:color="auto"/>
        <w:right w:val="none" w:sz="0" w:space="0" w:color="auto"/>
      </w:divBdr>
    </w:div>
    <w:div w:id="2065257312">
      <w:bodyDiv w:val="1"/>
      <w:marLeft w:val="0"/>
      <w:marRight w:val="0"/>
      <w:marTop w:val="0"/>
      <w:marBottom w:val="0"/>
      <w:divBdr>
        <w:top w:val="none" w:sz="0" w:space="0" w:color="auto"/>
        <w:left w:val="none" w:sz="0" w:space="0" w:color="auto"/>
        <w:bottom w:val="none" w:sz="0" w:space="0" w:color="auto"/>
        <w:right w:val="none" w:sz="0" w:space="0" w:color="auto"/>
      </w:divBdr>
    </w:div>
    <w:div w:id="2065323173">
      <w:bodyDiv w:val="1"/>
      <w:marLeft w:val="0"/>
      <w:marRight w:val="0"/>
      <w:marTop w:val="0"/>
      <w:marBottom w:val="0"/>
      <w:divBdr>
        <w:top w:val="none" w:sz="0" w:space="0" w:color="auto"/>
        <w:left w:val="none" w:sz="0" w:space="0" w:color="auto"/>
        <w:bottom w:val="none" w:sz="0" w:space="0" w:color="auto"/>
        <w:right w:val="none" w:sz="0" w:space="0" w:color="auto"/>
      </w:divBdr>
    </w:div>
    <w:div w:id="2065441856">
      <w:bodyDiv w:val="1"/>
      <w:marLeft w:val="0"/>
      <w:marRight w:val="0"/>
      <w:marTop w:val="0"/>
      <w:marBottom w:val="0"/>
      <w:divBdr>
        <w:top w:val="none" w:sz="0" w:space="0" w:color="auto"/>
        <w:left w:val="none" w:sz="0" w:space="0" w:color="auto"/>
        <w:bottom w:val="none" w:sz="0" w:space="0" w:color="auto"/>
        <w:right w:val="none" w:sz="0" w:space="0" w:color="auto"/>
      </w:divBdr>
    </w:div>
    <w:div w:id="2065519581">
      <w:bodyDiv w:val="1"/>
      <w:marLeft w:val="0"/>
      <w:marRight w:val="0"/>
      <w:marTop w:val="0"/>
      <w:marBottom w:val="0"/>
      <w:divBdr>
        <w:top w:val="none" w:sz="0" w:space="0" w:color="auto"/>
        <w:left w:val="none" w:sz="0" w:space="0" w:color="auto"/>
        <w:bottom w:val="none" w:sz="0" w:space="0" w:color="auto"/>
        <w:right w:val="none" w:sz="0" w:space="0" w:color="auto"/>
      </w:divBdr>
    </w:div>
    <w:div w:id="2065526050">
      <w:bodyDiv w:val="1"/>
      <w:marLeft w:val="0"/>
      <w:marRight w:val="0"/>
      <w:marTop w:val="0"/>
      <w:marBottom w:val="0"/>
      <w:divBdr>
        <w:top w:val="none" w:sz="0" w:space="0" w:color="auto"/>
        <w:left w:val="none" w:sz="0" w:space="0" w:color="auto"/>
        <w:bottom w:val="none" w:sz="0" w:space="0" w:color="auto"/>
        <w:right w:val="none" w:sz="0" w:space="0" w:color="auto"/>
      </w:divBdr>
    </w:div>
    <w:div w:id="2065595153">
      <w:bodyDiv w:val="1"/>
      <w:marLeft w:val="0"/>
      <w:marRight w:val="0"/>
      <w:marTop w:val="0"/>
      <w:marBottom w:val="0"/>
      <w:divBdr>
        <w:top w:val="none" w:sz="0" w:space="0" w:color="auto"/>
        <w:left w:val="none" w:sz="0" w:space="0" w:color="auto"/>
        <w:bottom w:val="none" w:sz="0" w:space="0" w:color="auto"/>
        <w:right w:val="none" w:sz="0" w:space="0" w:color="auto"/>
      </w:divBdr>
    </w:div>
    <w:div w:id="2066223245">
      <w:bodyDiv w:val="1"/>
      <w:marLeft w:val="0"/>
      <w:marRight w:val="0"/>
      <w:marTop w:val="0"/>
      <w:marBottom w:val="0"/>
      <w:divBdr>
        <w:top w:val="none" w:sz="0" w:space="0" w:color="auto"/>
        <w:left w:val="none" w:sz="0" w:space="0" w:color="auto"/>
        <w:bottom w:val="none" w:sz="0" w:space="0" w:color="auto"/>
        <w:right w:val="none" w:sz="0" w:space="0" w:color="auto"/>
      </w:divBdr>
    </w:div>
    <w:div w:id="2067681745">
      <w:bodyDiv w:val="1"/>
      <w:marLeft w:val="0"/>
      <w:marRight w:val="0"/>
      <w:marTop w:val="0"/>
      <w:marBottom w:val="0"/>
      <w:divBdr>
        <w:top w:val="none" w:sz="0" w:space="0" w:color="auto"/>
        <w:left w:val="none" w:sz="0" w:space="0" w:color="auto"/>
        <w:bottom w:val="none" w:sz="0" w:space="0" w:color="auto"/>
        <w:right w:val="none" w:sz="0" w:space="0" w:color="auto"/>
      </w:divBdr>
    </w:div>
    <w:div w:id="2067752600">
      <w:bodyDiv w:val="1"/>
      <w:marLeft w:val="0"/>
      <w:marRight w:val="0"/>
      <w:marTop w:val="0"/>
      <w:marBottom w:val="0"/>
      <w:divBdr>
        <w:top w:val="none" w:sz="0" w:space="0" w:color="auto"/>
        <w:left w:val="none" w:sz="0" w:space="0" w:color="auto"/>
        <w:bottom w:val="none" w:sz="0" w:space="0" w:color="auto"/>
        <w:right w:val="none" w:sz="0" w:space="0" w:color="auto"/>
      </w:divBdr>
    </w:div>
    <w:div w:id="2067873691">
      <w:bodyDiv w:val="1"/>
      <w:marLeft w:val="0"/>
      <w:marRight w:val="0"/>
      <w:marTop w:val="0"/>
      <w:marBottom w:val="0"/>
      <w:divBdr>
        <w:top w:val="none" w:sz="0" w:space="0" w:color="auto"/>
        <w:left w:val="none" w:sz="0" w:space="0" w:color="auto"/>
        <w:bottom w:val="none" w:sz="0" w:space="0" w:color="auto"/>
        <w:right w:val="none" w:sz="0" w:space="0" w:color="auto"/>
      </w:divBdr>
    </w:div>
    <w:div w:id="2067992842">
      <w:bodyDiv w:val="1"/>
      <w:marLeft w:val="0"/>
      <w:marRight w:val="0"/>
      <w:marTop w:val="0"/>
      <w:marBottom w:val="0"/>
      <w:divBdr>
        <w:top w:val="none" w:sz="0" w:space="0" w:color="auto"/>
        <w:left w:val="none" w:sz="0" w:space="0" w:color="auto"/>
        <w:bottom w:val="none" w:sz="0" w:space="0" w:color="auto"/>
        <w:right w:val="none" w:sz="0" w:space="0" w:color="auto"/>
      </w:divBdr>
    </w:div>
    <w:div w:id="2068069536">
      <w:bodyDiv w:val="1"/>
      <w:marLeft w:val="0"/>
      <w:marRight w:val="0"/>
      <w:marTop w:val="0"/>
      <w:marBottom w:val="0"/>
      <w:divBdr>
        <w:top w:val="none" w:sz="0" w:space="0" w:color="auto"/>
        <w:left w:val="none" w:sz="0" w:space="0" w:color="auto"/>
        <w:bottom w:val="none" w:sz="0" w:space="0" w:color="auto"/>
        <w:right w:val="none" w:sz="0" w:space="0" w:color="auto"/>
      </w:divBdr>
    </w:div>
    <w:div w:id="2068524199">
      <w:bodyDiv w:val="1"/>
      <w:marLeft w:val="0"/>
      <w:marRight w:val="0"/>
      <w:marTop w:val="0"/>
      <w:marBottom w:val="0"/>
      <w:divBdr>
        <w:top w:val="none" w:sz="0" w:space="0" w:color="auto"/>
        <w:left w:val="none" w:sz="0" w:space="0" w:color="auto"/>
        <w:bottom w:val="none" w:sz="0" w:space="0" w:color="auto"/>
        <w:right w:val="none" w:sz="0" w:space="0" w:color="auto"/>
      </w:divBdr>
    </w:div>
    <w:div w:id="2068843890">
      <w:bodyDiv w:val="1"/>
      <w:marLeft w:val="0"/>
      <w:marRight w:val="0"/>
      <w:marTop w:val="0"/>
      <w:marBottom w:val="0"/>
      <w:divBdr>
        <w:top w:val="none" w:sz="0" w:space="0" w:color="auto"/>
        <w:left w:val="none" w:sz="0" w:space="0" w:color="auto"/>
        <w:bottom w:val="none" w:sz="0" w:space="0" w:color="auto"/>
        <w:right w:val="none" w:sz="0" w:space="0" w:color="auto"/>
      </w:divBdr>
    </w:div>
    <w:div w:id="2068918627">
      <w:bodyDiv w:val="1"/>
      <w:marLeft w:val="0"/>
      <w:marRight w:val="0"/>
      <w:marTop w:val="0"/>
      <w:marBottom w:val="0"/>
      <w:divBdr>
        <w:top w:val="none" w:sz="0" w:space="0" w:color="auto"/>
        <w:left w:val="none" w:sz="0" w:space="0" w:color="auto"/>
        <w:bottom w:val="none" w:sz="0" w:space="0" w:color="auto"/>
        <w:right w:val="none" w:sz="0" w:space="0" w:color="auto"/>
      </w:divBdr>
    </w:div>
    <w:div w:id="2068986388">
      <w:bodyDiv w:val="1"/>
      <w:marLeft w:val="0"/>
      <w:marRight w:val="0"/>
      <w:marTop w:val="0"/>
      <w:marBottom w:val="0"/>
      <w:divBdr>
        <w:top w:val="none" w:sz="0" w:space="0" w:color="auto"/>
        <w:left w:val="none" w:sz="0" w:space="0" w:color="auto"/>
        <w:bottom w:val="none" w:sz="0" w:space="0" w:color="auto"/>
        <w:right w:val="none" w:sz="0" w:space="0" w:color="auto"/>
      </w:divBdr>
    </w:div>
    <w:div w:id="2068987010">
      <w:bodyDiv w:val="1"/>
      <w:marLeft w:val="0"/>
      <w:marRight w:val="0"/>
      <w:marTop w:val="0"/>
      <w:marBottom w:val="0"/>
      <w:divBdr>
        <w:top w:val="none" w:sz="0" w:space="0" w:color="auto"/>
        <w:left w:val="none" w:sz="0" w:space="0" w:color="auto"/>
        <w:bottom w:val="none" w:sz="0" w:space="0" w:color="auto"/>
        <w:right w:val="none" w:sz="0" w:space="0" w:color="auto"/>
      </w:divBdr>
    </w:div>
    <w:div w:id="2069038147">
      <w:bodyDiv w:val="1"/>
      <w:marLeft w:val="0"/>
      <w:marRight w:val="0"/>
      <w:marTop w:val="0"/>
      <w:marBottom w:val="0"/>
      <w:divBdr>
        <w:top w:val="none" w:sz="0" w:space="0" w:color="auto"/>
        <w:left w:val="none" w:sz="0" w:space="0" w:color="auto"/>
        <w:bottom w:val="none" w:sz="0" w:space="0" w:color="auto"/>
        <w:right w:val="none" w:sz="0" w:space="0" w:color="auto"/>
      </w:divBdr>
    </w:div>
    <w:div w:id="2069069199">
      <w:bodyDiv w:val="1"/>
      <w:marLeft w:val="0"/>
      <w:marRight w:val="0"/>
      <w:marTop w:val="0"/>
      <w:marBottom w:val="0"/>
      <w:divBdr>
        <w:top w:val="none" w:sz="0" w:space="0" w:color="auto"/>
        <w:left w:val="none" w:sz="0" w:space="0" w:color="auto"/>
        <w:bottom w:val="none" w:sz="0" w:space="0" w:color="auto"/>
        <w:right w:val="none" w:sz="0" w:space="0" w:color="auto"/>
      </w:divBdr>
    </w:div>
    <w:div w:id="2069380846">
      <w:bodyDiv w:val="1"/>
      <w:marLeft w:val="0"/>
      <w:marRight w:val="0"/>
      <w:marTop w:val="0"/>
      <w:marBottom w:val="0"/>
      <w:divBdr>
        <w:top w:val="none" w:sz="0" w:space="0" w:color="auto"/>
        <w:left w:val="none" w:sz="0" w:space="0" w:color="auto"/>
        <w:bottom w:val="none" w:sz="0" w:space="0" w:color="auto"/>
        <w:right w:val="none" w:sz="0" w:space="0" w:color="auto"/>
      </w:divBdr>
    </w:div>
    <w:div w:id="2069722279">
      <w:bodyDiv w:val="1"/>
      <w:marLeft w:val="0"/>
      <w:marRight w:val="0"/>
      <w:marTop w:val="0"/>
      <w:marBottom w:val="0"/>
      <w:divBdr>
        <w:top w:val="none" w:sz="0" w:space="0" w:color="auto"/>
        <w:left w:val="none" w:sz="0" w:space="0" w:color="auto"/>
        <w:bottom w:val="none" w:sz="0" w:space="0" w:color="auto"/>
        <w:right w:val="none" w:sz="0" w:space="0" w:color="auto"/>
      </w:divBdr>
    </w:div>
    <w:div w:id="2069910126">
      <w:bodyDiv w:val="1"/>
      <w:marLeft w:val="0"/>
      <w:marRight w:val="0"/>
      <w:marTop w:val="0"/>
      <w:marBottom w:val="0"/>
      <w:divBdr>
        <w:top w:val="none" w:sz="0" w:space="0" w:color="auto"/>
        <w:left w:val="none" w:sz="0" w:space="0" w:color="auto"/>
        <w:bottom w:val="none" w:sz="0" w:space="0" w:color="auto"/>
        <w:right w:val="none" w:sz="0" w:space="0" w:color="auto"/>
      </w:divBdr>
    </w:div>
    <w:div w:id="2069917100">
      <w:bodyDiv w:val="1"/>
      <w:marLeft w:val="0"/>
      <w:marRight w:val="0"/>
      <w:marTop w:val="0"/>
      <w:marBottom w:val="0"/>
      <w:divBdr>
        <w:top w:val="none" w:sz="0" w:space="0" w:color="auto"/>
        <w:left w:val="none" w:sz="0" w:space="0" w:color="auto"/>
        <w:bottom w:val="none" w:sz="0" w:space="0" w:color="auto"/>
        <w:right w:val="none" w:sz="0" w:space="0" w:color="auto"/>
      </w:divBdr>
    </w:div>
    <w:div w:id="2070151627">
      <w:bodyDiv w:val="1"/>
      <w:marLeft w:val="0"/>
      <w:marRight w:val="0"/>
      <w:marTop w:val="0"/>
      <w:marBottom w:val="0"/>
      <w:divBdr>
        <w:top w:val="none" w:sz="0" w:space="0" w:color="auto"/>
        <w:left w:val="none" w:sz="0" w:space="0" w:color="auto"/>
        <w:bottom w:val="none" w:sz="0" w:space="0" w:color="auto"/>
        <w:right w:val="none" w:sz="0" w:space="0" w:color="auto"/>
      </w:divBdr>
    </w:div>
    <w:div w:id="2070611132">
      <w:bodyDiv w:val="1"/>
      <w:marLeft w:val="0"/>
      <w:marRight w:val="0"/>
      <w:marTop w:val="0"/>
      <w:marBottom w:val="0"/>
      <w:divBdr>
        <w:top w:val="none" w:sz="0" w:space="0" w:color="auto"/>
        <w:left w:val="none" w:sz="0" w:space="0" w:color="auto"/>
        <w:bottom w:val="none" w:sz="0" w:space="0" w:color="auto"/>
        <w:right w:val="none" w:sz="0" w:space="0" w:color="auto"/>
      </w:divBdr>
    </w:div>
    <w:div w:id="2070766398">
      <w:bodyDiv w:val="1"/>
      <w:marLeft w:val="0"/>
      <w:marRight w:val="0"/>
      <w:marTop w:val="0"/>
      <w:marBottom w:val="0"/>
      <w:divBdr>
        <w:top w:val="none" w:sz="0" w:space="0" w:color="auto"/>
        <w:left w:val="none" w:sz="0" w:space="0" w:color="auto"/>
        <w:bottom w:val="none" w:sz="0" w:space="0" w:color="auto"/>
        <w:right w:val="none" w:sz="0" w:space="0" w:color="auto"/>
      </w:divBdr>
    </w:div>
    <w:div w:id="2070951890">
      <w:bodyDiv w:val="1"/>
      <w:marLeft w:val="0"/>
      <w:marRight w:val="0"/>
      <w:marTop w:val="0"/>
      <w:marBottom w:val="0"/>
      <w:divBdr>
        <w:top w:val="none" w:sz="0" w:space="0" w:color="auto"/>
        <w:left w:val="none" w:sz="0" w:space="0" w:color="auto"/>
        <w:bottom w:val="none" w:sz="0" w:space="0" w:color="auto"/>
        <w:right w:val="none" w:sz="0" w:space="0" w:color="auto"/>
      </w:divBdr>
    </w:div>
    <w:div w:id="2071078832">
      <w:bodyDiv w:val="1"/>
      <w:marLeft w:val="0"/>
      <w:marRight w:val="0"/>
      <w:marTop w:val="0"/>
      <w:marBottom w:val="0"/>
      <w:divBdr>
        <w:top w:val="none" w:sz="0" w:space="0" w:color="auto"/>
        <w:left w:val="none" w:sz="0" w:space="0" w:color="auto"/>
        <w:bottom w:val="none" w:sz="0" w:space="0" w:color="auto"/>
        <w:right w:val="none" w:sz="0" w:space="0" w:color="auto"/>
      </w:divBdr>
    </w:div>
    <w:div w:id="2071149100">
      <w:bodyDiv w:val="1"/>
      <w:marLeft w:val="0"/>
      <w:marRight w:val="0"/>
      <w:marTop w:val="0"/>
      <w:marBottom w:val="0"/>
      <w:divBdr>
        <w:top w:val="none" w:sz="0" w:space="0" w:color="auto"/>
        <w:left w:val="none" w:sz="0" w:space="0" w:color="auto"/>
        <w:bottom w:val="none" w:sz="0" w:space="0" w:color="auto"/>
        <w:right w:val="none" w:sz="0" w:space="0" w:color="auto"/>
      </w:divBdr>
    </w:div>
    <w:div w:id="2071343279">
      <w:bodyDiv w:val="1"/>
      <w:marLeft w:val="0"/>
      <w:marRight w:val="0"/>
      <w:marTop w:val="0"/>
      <w:marBottom w:val="0"/>
      <w:divBdr>
        <w:top w:val="none" w:sz="0" w:space="0" w:color="auto"/>
        <w:left w:val="none" w:sz="0" w:space="0" w:color="auto"/>
        <w:bottom w:val="none" w:sz="0" w:space="0" w:color="auto"/>
        <w:right w:val="none" w:sz="0" w:space="0" w:color="auto"/>
      </w:divBdr>
    </w:div>
    <w:div w:id="2071414046">
      <w:bodyDiv w:val="1"/>
      <w:marLeft w:val="0"/>
      <w:marRight w:val="0"/>
      <w:marTop w:val="0"/>
      <w:marBottom w:val="0"/>
      <w:divBdr>
        <w:top w:val="none" w:sz="0" w:space="0" w:color="auto"/>
        <w:left w:val="none" w:sz="0" w:space="0" w:color="auto"/>
        <w:bottom w:val="none" w:sz="0" w:space="0" w:color="auto"/>
        <w:right w:val="none" w:sz="0" w:space="0" w:color="auto"/>
      </w:divBdr>
    </w:div>
    <w:div w:id="2071414980">
      <w:bodyDiv w:val="1"/>
      <w:marLeft w:val="0"/>
      <w:marRight w:val="0"/>
      <w:marTop w:val="0"/>
      <w:marBottom w:val="0"/>
      <w:divBdr>
        <w:top w:val="none" w:sz="0" w:space="0" w:color="auto"/>
        <w:left w:val="none" w:sz="0" w:space="0" w:color="auto"/>
        <w:bottom w:val="none" w:sz="0" w:space="0" w:color="auto"/>
        <w:right w:val="none" w:sz="0" w:space="0" w:color="auto"/>
      </w:divBdr>
    </w:div>
    <w:div w:id="2071998454">
      <w:bodyDiv w:val="1"/>
      <w:marLeft w:val="0"/>
      <w:marRight w:val="0"/>
      <w:marTop w:val="0"/>
      <w:marBottom w:val="0"/>
      <w:divBdr>
        <w:top w:val="none" w:sz="0" w:space="0" w:color="auto"/>
        <w:left w:val="none" w:sz="0" w:space="0" w:color="auto"/>
        <w:bottom w:val="none" w:sz="0" w:space="0" w:color="auto"/>
        <w:right w:val="none" w:sz="0" w:space="0" w:color="auto"/>
      </w:divBdr>
    </w:div>
    <w:div w:id="2072539479">
      <w:bodyDiv w:val="1"/>
      <w:marLeft w:val="0"/>
      <w:marRight w:val="0"/>
      <w:marTop w:val="0"/>
      <w:marBottom w:val="0"/>
      <w:divBdr>
        <w:top w:val="none" w:sz="0" w:space="0" w:color="auto"/>
        <w:left w:val="none" w:sz="0" w:space="0" w:color="auto"/>
        <w:bottom w:val="none" w:sz="0" w:space="0" w:color="auto"/>
        <w:right w:val="none" w:sz="0" w:space="0" w:color="auto"/>
      </w:divBdr>
    </w:div>
    <w:div w:id="2073654356">
      <w:bodyDiv w:val="1"/>
      <w:marLeft w:val="0"/>
      <w:marRight w:val="0"/>
      <w:marTop w:val="0"/>
      <w:marBottom w:val="0"/>
      <w:divBdr>
        <w:top w:val="none" w:sz="0" w:space="0" w:color="auto"/>
        <w:left w:val="none" w:sz="0" w:space="0" w:color="auto"/>
        <w:bottom w:val="none" w:sz="0" w:space="0" w:color="auto"/>
        <w:right w:val="none" w:sz="0" w:space="0" w:color="auto"/>
      </w:divBdr>
    </w:div>
    <w:div w:id="2073965064">
      <w:bodyDiv w:val="1"/>
      <w:marLeft w:val="0"/>
      <w:marRight w:val="0"/>
      <w:marTop w:val="0"/>
      <w:marBottom w:val="0"/>
      <w:divBdr>
        <w:top w:val="none" w:sz="0" w:space="0" w:color="auto"/>
        <w:left w:val="none" w:sz="0" w:space="0" w:color="auto"/>
        <w:bottom w:val="none" w:sz="0" w:space="0" w:color="auto"/>
        <w:right w:val="none" w:sz="0" w:space="0" w:color="auto"/>
      </w:divBdr>
    </w:div>
    <w:div w:id="2073965782">
      <w:bodyDiv w:val="1"/>
      <w:marLeft w:val="0"/>
      <w:marRight w:val="0"/>
      <w:marTop w:val="0"/>
      <w:marBottom w:val="0"/>
      <w:divBdr>
        <w:top w:val="none" w:sz="0" w:space="0" w:color="auto"/>
        <w:left w:val="none" w:sz="0" w:space="0" w:color="auto"/>
        <w:bottom w:val="none" w:sz="0" w:space="0" w:color="auto"/>
        <w:right w:val="none" w:sz="0" w:space="0" w:color="auto"/>
      </w:divBdr>
    </w:div>
    <w:div w:id="2074354492">
      <w:bodyDiv w:val="1"/>
      <w:marLeft w:val="0"/>
      <w:marRight w:val="0"/>
      <w:marTop w:val="0"/>
      <w:marBottom w:val="0"/>
      <w:divBdr>
        <w:top w:val="none" w:sz="0" w:space="0" w:color="auto"/>
        <w:left w:val="none" w:sz="0" w:space="0" w:color="auto"/>
        <w:bottom w:val="none" w:sz="0" w:space="0" w:color="auto"/>
        <w:right w:val="none" w:sz="0" w:space="0" w:color="auto"/>
      </w:divBdr>
    </w:div>
    <w:div w:id="2074767324">
      <w:bodyDiv w:val="1"/>
      <w:marLeft w:val="0"/>
      <w:marRight w:val="0"/>
      <w:marTop w:val="0"/>
      <w:marBottom w:val="0"/>
      <w:divBdr>
        <w:top w:val="none" w:sz="0" w:space="0" w:color="auto"/>
        <w:left w:val="none" w:sz="0" w:space="0" w:color="auto"/>
        <w:bottom w:val="none" w:sz="0" w:space="0" w:color="auto"/>
        <w:right w:val="none" w:sz="0" w:space="0" w:color="auto"/>
      </w:divBdr>
    </w:div>
    <w:div w:id="2075161685">
      <w:bodyDiv w:val="1"/>
      <w:marLeft w:val="0"/>
      <w:marRight w:val="0"/>
      <w:marTop w:val="0"/>
      <w:marBottom w:val="0"/>
      <w:divBdr>
        <w:top w:val="none" w:sz="0" w:space="0" w:color="auto"/>
        <w:left w:val="none" w:sz="0" w:space="0" w:color="auto"/>
        <w:bottom w:val="none" w:sz="0" w:space="0" w:color="auto"/>
        <w:right w:val="none" w:sz="0" w:space="0" w:color="auto"/>
      </w:divBdr>
    </w:div>
    <w:div w:id="2075472764">
      <w:bodyDiv w:val="1"/>
      <w:marLeft w:val="0"/>
      <w:marRight w:val="0"/>
      <w:marTop w:val="0"/>
      <w:marBottom w:val="0"/>
      <w:divBdr>
        <w:top w:val="none" w:sz="0" w:space="0" w:color="auto"/>
        <w:left w:val="none" w:sz="0" w:space="0" w:color="auto"/>
        <w:bottom w:val="none" w:sz="0" w:space="0" w:color="auto"/>
        <w:right w:val="none" w:sz="0" w:space="0" w:color="auto"/>
      </w:divBdr>
    </w:div>
    <w:div w:id="2075659573">
      <w:bodyDiv w:val="1"/>
      <w:marLeft w:val="0"/>
      <w:marRight w:val="0"/>
      <w:marTop w:val="0"/>
      <w:marBottom w:val="0"/>
      <w:divBdr>
        <w:top w:val="none" w:sz="0" w:space="0" w:color="auto"/>
        <w:left w:val="none" w:sz="0" w:space="0" w:color="auto"/>
        <w:bottom w:val="none" w:sz="0" w:space="0" w:color="auto"/>
        <w:right w:val="none" w:sz="0" w:space="0" w:color="auto"/>
      </w:divBdr>
    </w:div>
    <w:div w:id="2075815382">
      <w:bodyDiv w:val="1"/>
      <w:marLeft w:val="0"/>
      <w:marRight w:val="0"/>
      <w:marTop w:val="0"/>
      <w:marBottom w:val="0"/>
      <w:divBdr>
        <w:top w:val="none" w:sz="0" w:space="0" w:color="auto"/>
        <w:left w:val="none" w:sz="0" w:space="0" w:color="auto"/>
        <w:bottom w:val="none" w:sz="0" w:space="0" w:color="auto"/>
        <w:right w:val="none" w:sz="0" w:space="0" w:color="auto"/>
      </w:divBdr>
    </w:div>
    <w:div w:id="2075935145">
      <w:bodyDiv w:val="1"/>
      <w:marLeft w:val="0"/>
      <w:marRight w:val="0"/>
      <w:marTop w:val="0"/>
      <w:marBottom w:val="0"/>
      <w:divBdr>
        <w:top w:val="none" w:sz="0" w:space="0" w:color="auto"/>
        <w:left w:val="none" w:sz="0" w:space="0" w:color="auto"/>
        <w:bottom w:val="none" w:sz="0" w:space="0" w:color="auto"/>
        <w:right w:val="none" w:sz="0" w:space="0" w:color="auto"/>
      </w:divBdr>
    </w:div>
    <w:div w:id="2076316437">
      <w:bodyDiv w:val="1"/>
      <w:marLeft w:val="0"/>
      <w:marRight w:val="0"/>
      <w:marTop w:val="0"/>
      <w:marBottom w:val="0"/>
      <w:divBdr>
        <w:top w:val="none" w:sz="0" w:space="0" w:color="auto"/>
        <w:left w:val="none" w:sz="0" w:space="0" w:color="auto"/>
        <w:bottom w:val="none" w:sz="0" w:space="0" w:color="auto"/>
        <w:right w:val="none" w:sz="0" w:space="0" w:color="auto"/>
      </w:divBdr>
    </w:div>
    <w:div w:id="2076388253">
      <w:bodyDiv w:val="1"/>
      <w:marLeft w:val="0"/>
      <w:marRight w:val="0"/>
      <w:marTop w:val="0"/>
      <w:marBottom w:val="0"/>
      <w:divBdr>
        <w:top w:val="none" w:sz="0" w:space="0" w:color="auto"/>
        <w:left w:val="none" w:sz="0" w:space="0" w:color="auto"/>
        <w:bottom w:val="none" w:sz="0" w:space="0" w:color="auto"/>
        <w:right w:val="none" w:sz="0" w:space="0" w:color="auto"/>
      </w:divBdr>
    </w:div>
    <w:div w:id="2076661592">
      <w:bodyDiv w:val="1"/>
      <w:marLeft w:val="0"/>
      <w:marRight w:val="0"/>
      <w:marTop w:val="0"/>
      <w:marBottom w:val="0"/>
      <w:divBdr>
        <w:top w:val="none" w:sz="0" w:space="0" w:color="auto"/>
        <w:left w:val="none" w:sz="0" w:space="0" w:color="auto"/>
        <w:bottom w:val="none" w:sz="0" w:space="0" w:color="auto"/>
        <w:right w:val="none" w:sz="0" w:space="0" w:color="auto"/>
      </w:divBdr>
    </w:div>
    <w:div w:id="2076775111">
      <w:bodyDiv w:val="1"/>
      <w:marLeft w:val="0"/>
      <w:marRight w:val="0"/>
      <w:marTop w:val="0"/>
      <w:marBottom w:val="0"/>
      <w:divBdr>
        <w:top w:val="none" w:sz="0" w:space="0" w:color="auto"/>
        <w:left w:val="none" w:sz="0" w:space="0" w:color="auto"/>
        <w:bottom w:val="none" w:sz="0" w:space="0" w:color="auto"/>
        <w:right w:val="none" w:sz="0" w:space="0" w:color="auto"/>
      </w:divBdr>
    </w:div>
    <w:div w:id="2076929065">
      <w:bodyDiv w:val="1"/>
      <w:marLeft w:val="0"/>
      <w:marRight w:val="0"/>
      <w:marTop w:val="0"/>
      <w:marBottom w:val="0"/>
      <w:divBdr>
        <w:top w:val="none" w:sz="0" w:space="0" w:color="auto"/>
        <w:left w:val="none" w:sz="0" w:space="0" w:color="auto"/>
        <w:bottom w:val="none" w:sz="0" w:space="0" w:color="auto"/>
        <w:right w:val="none" w:sz="0" w:space="0" w:color="auto"/>
      </w:divBdr>
    </w:div>
    <w:div w:id="2077240456">
      <w:bodyDiv w:val="1"/>
      <w:marLeft w:val="0"/>
      <w:marRight w:val="0"/>
      <w:marTop w:val="0"/>
      <w:marBottom w:val="0"/>
      <w:divBdr>
        <w:top w:val="none" w:sz="0" w:space="0" w:color="auto"/>
        <w:left w:val="none" w:sz="0" w:space="0" w:color="auto"/>
        <w:bottom w:val="none" w:sz="0" w:space="0" w:color="auto"/>
        <w:right w:val="none" w:sz="0" w:space="0" w:color="auto"/>
      </w:divBdr>
    </w:div>
    <w:div w:id="2077437666">
      <w:bodyDiv w:val="1"/>
      <w:marLeft w:val="0"/>
      <w:marRight w:val="0"/>
      <w:marTop w:val="0"/>
      <w:marBottom w:val="0"/>
      <w:divBdr>
        <w:top w:val="none" w:sz="0" w:space="0" w:color="auto"/>
        <w:left w:val="none" w:sz="0" w:space="0" w:color="auto"/>
        <w:bottom w:val="none" w:sz="0" w:space="0" w:color="auto"/>
        <w:right w:val="none" w:sz="0" w:space="0" w:color="auto"/>
      </w:divBdr>
    </w:div>
    <w:div w:id="2078478727">
      <w:bodyDiv w:val="1"/>
      <w:marLeft w:val="0"/>
      <w:marRight w:val="0"/>
      <w:marTop w:val="0"/>
      <w:marBottom w:val="0"/>
      <w:divBdr>
        <w:top w:val="none" w:sz="0" w:space="0" w:color="auto"/>
        <w:left w:val="none" w:sz="0" w:space="0" w:color="auto"/>
        <w:bottom w:val="none" w:sz="0" w:space="0" w:color="auto"/>
        <w:right w:val="none" w:sz="0" w:space="0" w:color="auto"/>
      </w:divBdr>
    </w:div>
    <w:div w:id="2078479740">
      <w:bodyDiv w:val="1"/>
      <w:marLeft w:val="0"/>
      <w:marRight w:val="0"/>
      <w:marTop w:val="0"/>
      <w:marBottom w:val="0"/>
      <w:divBdr>
        <w:top w:val="none" w:sz="0" w:space="0" w:color="auto"/>
        <w:left w:val="none" w:sz="0" w:space="0" w:color="auto"/>
        <w:bottom w:val="none" w:sz="0" w:space="0" w:color="auto"/>
        <w:right w:val="none" w:sz="0" w:space="0" w:color="auto"/>
      </w:divBdr>
    </w:div>
    <w:div w:id="2078551032">
      <w:bodyDiv w:val="1"/>
      <w:marLeft w:val="0"/>
      <w:marRight w:val="0"/>
      <w:marTop w:val="0"/>
      <w:marBottom w:val="0"/>
      <w:divBdr>
        <w:top w:val="none" w:sz="0" w:space="0" w:color="auto"/>
        <w:left w:val="none" w:sz="0" w:space="0" w:color="auto"/>
        <w:bottom w:val="none" w:sz="0" w:space="0" w:color="auto"/>
        <w:right w:val="none" w:sz="0" w:space="0" w:color="auto"/>
      </w:divBdr>
    </w:div>
    <w:div w:id="2078699446">
      <w:bodyDiv w:val="1"/>
      <w:marLeft w:val="0"/>
      <w:marRight w:val="0"/>
      <w:marTop w:val="0"/>
      <w:marBottom w:val="0"/>
      <w:divBdr>
        <w:top w:val="none" w:sz="0" w:space="0" w:color="auto"/>
        <w:left w:val="none" w:sz="0" w:space="0" w:color="auto"/>
        <w:bottom w:val="none" w:sz="0" w:space="0" w:color="auto"/>
        <w:right w:val="none" w:sz="0" w:space="0" w:color="auto"/>
      </w:divBdr>
    </w:div>
    <w:div w:id="2078896676">
      <w:bodyDiv w:val="1"/>
      <w:marLeft w:val="0"/>
      <w:marRight w:val="0"/>
      <w:marTop w:val="0"/>
      <w:marBottom w:val="0"/>
      <w:divBdr>
        <w:top w:val="none" w:sz="0" w:space="0" w:color="auto"/>
        <w:left w:val="none" w:sz="0" w:space="0" w:color="auto"/>
        <w:bottom w:val="none" w:sz="0" w:space="0" w:color="auto"/>
        <w:right w:val="none" w:sz="0" w:space="0" w:color="auto"/>
      </w:divBdr>
    </w:div>
    <w:div w:id="2078941897">
      <w:bodyDiv w:val="1"/>
      <w:marLeft w:val="0"/>
      <w:marRight w:val="0"/>
      <w:marTop w:val="0"/>
      <w:marBottom w:val="0"/>
      <w:divBdr>
        <w:top w:val="none" w:sz="0" w:space="0" w:color="auto"/>
        <w:left w:val="none" w:sz="0" w:space="0" w:color="auto"/>
        <w:bottom w:val="none" w:sz="0" w:space="0" w:color="auto"/>
        <w:right w:val="none" w:sz="0" w:space="0" w:color="auto"/>
      </w:divBdr>
    </w:div>
    <w:div w:id="2079012518">
      <w:bodyDiv w:val="1"/>
      <w:marLeft w:val="0"/>
      <w:marRight w:val="0"/>
      <w:marTop w:val="0"/>
      <w:marBottom w:val="0"/>
      <w:divBdr>
        <w:top w:val="none" w:sz="0" w:space="0" w:color="auto"/>
        <w:left w:val="none" w:sz="0" w:space="0" w:color="auto"/>
        <w:bottom w:val="none" w:sz="0" w:space="0" w:color="auto"/>
        <w:right w:val="none" w:sz="0" w:space="0" w:color="auto"/>
      </w:divBdr>
    </w:div>
    <w:div w:id="2079355024">
      <w:bodyDiv w:val="1"/>
      <w:marLeft w:val="0"/>
      <w:marRight w:val="0"/>
      <w:marTop w:val="0"/>
      <w:marBottom w:val="0"/>
      <w:divBdr>
        <w:top w:val="none" w:sz="0" w:space="0" w:color="auto"/>
        <w:left w:val="none" w:sz="0" w:space="0" w:color="auto"/>
        <w:bottom w:val="none" w:sz="0" w:space="0" w:color="auto"/>
        <w:right w:val="none" w:sz="0" w:space="0" w:color="auto"/>
      </w:divBdr>
    </w:div>
    <w:div w:id="2079395474">
      <w:bodyDiv w:val="1"/>
      <w:marLeft w:val="0"/>
      <w:marRight w:val="0"/>
      <w:marTop w:val="0"/>
      <w:marBottom w:val="0"/>
      <w:divBdr>
        <w:top w:val="none" w:sz="0" w:space="0" w:color="auto"/>
        <w:left w:val="none" w:sz="0" w:space="0" w:color="auto"/>
        <w:bottom w:val="none" w:sz="0" w:space="0" w:color="auto"/>
        <w:right w:val="none" w:sz="0" w:space="0" w:color="auto"/>
      </w:divBdr>
    </w:div>
    <w:div w:id="2079402212">
      <w:bodyDiv w:val="1"/>
      <w:marLeft w:val="0"/>
      <w:marRight w:val="0"/>
      <w:marTop w:val="0"/>
      <w:marBottom w:val="0"/>
      <w:divBdr>
        <w:top w:val="none" w:sz="0" w:space="0" w:color="auto"/>
        <w:left w:val="none" w:sz="0" w:space="0" w:color="auto"/>
        <w:bottom w:val="none" w:sz="0" w:space="0" w:color="auto"/>
        <w:right w:val="none" w:sz="0" w:space="0" w:color="auto"/>
      </w:divBdr>
    </w:div>
    <w:div w:id="2079864311">
      <w:bodyDiv w:val="1"/>
      <w:marLeft w:val="0"/>
      <w:marRight w:val="0"/>
      <w:marTop w:val="0"/>
      <w:marBottom w:val="0"/>
      <w:divBdr>
        <w:top w:val="none" w:sz="0" w:space="0" w:color="auto"/>
        <w:left w:val="none" w:sz="0" w:space="0" w:color="auto"/>
        <w:bottom w:val="none" w:sz="0" w:space="0" w:color="auto"/>
        <w:right w:val="none" w:sz="0" w:space="0" w:color="auto"/>
      </w:divBdr>
    </w:div>
    <w:div w:id="2080055564">
      <w:bodyDiv w:val="1"/>
      <w:marLeft w:val="0"/>
      <w:marRight w:val="0"/>
      <w:marTop w:val="0"/>
      <w:marBottom w:val="0"/>
      <w:divBdr>
        <w:top w:val="none" w:sz="0" w:space="0" w:color="auto"/>
        <w:left w:val="none" w:sz="0" w:space="0" w:color="auto"/>
        <w:bottom w:val="none" w:sz="0" w:space="0" w:color="auto"/>
        <w:right w:val="none" w:sz="0" w:space="0" w:color="auto"/>
      </w:divBdr>
    </w:div>
    <w:div w:id="2080244781">
      <w:bodyDiv w:val="1"/>
      <w:marLeft w:val="0"/>
      <w:marRight w:val="0"/>
      <w:marTop w:val="0"/>
      <w:marBottom w:val="0"/>
      <w:divBdr>
        <w:top w:val="none" w:sz="0" w:space="0" w:color="auto"/>
        <w:left w:val="none" w:sz="0" w:space="0" w:color="auto"/>
        <w:bottom w:val="none" w:sz="0" w:space="0" w:color="auto"/>
        <w:right w:val="none" w:sz="0" w:space="0" w:color="auto"/>
      </w:divBdr>
    </w:div>
    <w:div w:id="2080400463">
      <w:bodyDiv w:val="1"/>
      <w:marLeft w:val="0"/>
      <w:marRight w:val="0"/>
      <w:marTop w:val="0"/>
      <w:marBottom w:val="0"/>
      <w:divBdr>
        <w:top w:val="none" w:sz="0" w:space="0" w:color="auto"/>
        <w:left w:val="none" w:sz="0" w:space="0" w:color="auto"/>
        <w:bottom w:val="none" w:sz="0" w:space="0" w:color="auto"/>
        <w:right w:val="none" w:sz="0" w:space="0" w:color="auto"/>
      </w:divBdr>
    </w:div>
    <w:div w:id="2081100912">
      <w:bodyDiv w:val="1"/>
      <w:marLeft w:val="0"/>
      <w:marRight w:val="0"/>
      <w:marTop w:val="0"/>
      <w:marBottom w:val="0"/>
      <w:divBdr>
        <w:top w:val="none" w:sz="0" w:space="0" w:color="auto"/>
        <w:left w:val="none" w:sz="0" w:space="0" w:color="auto"/>
        <w:bottom w:val="none" w:sz="0" w:space="0" w:color="auto"/>
        <w:right w:val="none" w:sz="0" w:space="0" w:color="auto"/>
      </w:divBdr>
    </w:div>
    <w:div w:id="2081125536">
      <w:bodyDiv w:val="1"/>
      <w:marLeft w:val="0"/>
      <w:marRight w:val="0"/>
      <w:marTop w:val="0"/>
      <w:marBottom w:val="0"/>
      <w:divBdr>
        <w:top w:val="none" w:sz="0" w:space="0" w:color="auto"/>
        <w:left w:val="none" w:sz="0" w:space="0" w:color="auto"/>
        <w:bottom w:val="none" w:sz="0" w:space="0" w:color="auto"/>
        <w:right w:val="none" w:sz="0" w:space="0" w:color="auto"/>
      </w:divBdr>
    </w:div>
    <w:div w:id="2081128220">
      <w:bodyDiv w:val="1"/>
      <w:marLeft w:val="0"/>
      <w:marRight w:val="0"/>
      <w:marTop w:val="0"/>
      <w:marBottom w:val="0"/>
      <w:divBdr>
        <w:top w:val="none" w:sz="0" w:space="0" w:color="auto"/>
        <w:left w:val="none" w:sz="0" w:space="0" w:color="auto"/>
        <w:bottom w:val="none" w:sz="0" w:space="0" w:color="auto"/>
        <w:right w:val="none" w:sz="0" w:space="0" w:color="auto"/>
      </w:divBdr>
    </w:div>
    <w:div w:id="2081516481">
      <w:bodyDiv w:val="1"/>
      <w:marLeft w:val="0"/>
      <w:marRight w:val="0"/>
      <w:marTop w:val="0"/>
      <w:marBottom w:val="0"/>
      <w:divBdr>
        <w:top w:val="none" w:sz="0" w:space="0" w:color="auto"/>
        <w:left w:val="none" w:sz="0" w:space="0" w:color="auto"/>
        <w:bottom w:val="none" w:sz="0" w:space="0" w:color="auto"/>
        <w:right w:val="none" w:sz="0" w:space="0" w:color="auto"/>
      </w:divBdr>
    </w:div>
    <w:div w:id="2081516661">
      <w:bodyDiv w:val="1"/>
      <w:marLeft w:val="0"/>
      <w:marRight w:val="0"/>
      <w:marTop w:val="0"/>
      <w:marBottom w:val="0"/>
      <w:divBdr>
        <w:top w:val="none" w:sz="0" w:space="0" w:color="auto"/>
        <w:left w:val="none" w:sz="0" w:space="0" w:color="auto"/>
        <w:bottom w:val="none" w:sz="0" w:space="0" w:color="auto"/>
        <w:right w:val="none" w:sz="0" w:space="0" w:color="auto"/>
      </w:divBdr>
    </w:div>
    <w:div w:id="2082480052">
      <w:bodyDiv w:val="1"/>
      <w:marLeft w:val="0"/>
      <w:marRight w:val="0"/>
      <w:marTop w:val="0"/>
      <w:marBottom w:val="0"/>
      <w:divBdr>
        <w:top w:val="none" w:sz="0" w:space="0" w:color="auto"/>
        <w:left w:val="none" w:sz="0" w:space="0" w:color="auto"/>
        <w:bottom w:val="none" w:sz="0" w:space="0" w:color="auto"/>
        <w:right w:val="none" w:sz="0" w:space="0" w:color="auto"/>
      </w:divBdr>
    </w:div>
    <w:div w:id="2082824125">
      <w:bodyDiv w:val="1"/>
      <w:marLeft w:val="0"/>
      <w:marRight w:val="0"/>
      <w:marTop w:val="0"/>
      <w:marBottom w:val="0"/>
      <w:divBdr>
        <w:top w:val="none" w:sz="0" w:space="0" w:color="auto"/>
        <w:left w:val="none" w:sz="0" w:space="0" w:color="auto"/>
        <w:bottom w:val="none" w:sz="0" w:space="0" w:color="auto"/>
        <w:right w:val="none" w:sz="0" w:space="0" w:color="auto"/>
      </w:divBdr>
    </w:div>
    <w:div w:id="2082945217">
      <w:bodyDiv w:val="1"/>
      <w:marLeft w:val="0"/>
      <w:marRight w:val="0"/>
      <w:marTop w:val="0"/>
      <w:marBottom w:val="0"/>
      <w:divBdr>
        <w:top w:val="none" w:sz="0" w:space="0" w:color="auto"/>
        <w:left w:val="none" w:sz="0" w:space="0" w:color="auto"/>
        <w:bottom w:val="none" w:sz="0" w:space="0" w:color="auto"/>
        <w:right w:val="none" w:sz="0" w:space="0" w:color="auto"/>
      </w:divBdr>
    </w:div>
    <w:div w:id="2083747248">
      <w:bodyDiv w:val="1"/>
      <w:marLeft w:val="0"/>
      <w:marRight w:val="0"/>
      <w:marTop w:val="0"/>
      <w:marBottom w:val="0"/>
      <w:divBdr>
        <w:top w:val="none" w:sz="0" w:space="0" w:color="auto"/>
        <w:left w:val="none" w:sz="0" w:space="0" w:color="auto"/>
        <w:bottom w:val="none" w:sz="0" w:space="0" w:color="auto"/>
        <w:right w:val="none" w:sz="0" w:space="0" w:color="auto"/>
      </w:divBdr>
    </w:div>
    <w:div w:id="2083794648">
      <w:bodyDiv w:val="1"/>
      <w:marLeft w:val="0"/>
      <w:marRight w:val="0"/>
      <w:marTop w:val="0"/>
      <w:marBottom w:val="0"/>
      <w:divBdr>
        <w:top w:val="none" w:sz="0" w:space="0" w:color="auto"/>
        <w:left w:val="none" w:sz="0" w:space="0" w:color="auto"/>
        <w:bottom w:val="none" w:sz="0" w:space="0" w:color="auto"/>
        <w:right w:val="none" w:sz="0" w:space="0" w:color="auto"/>
      </w:divBdr>
    </w:div>
    <w:div w:id="2083864199">
      <w:bodyDiv w:val="1"/>
      <w:marLeft w:val="0"/>
      <w:marRight w:val="0"/>
      <w:marTop w:val="0"/>
      <w:marBottom w:val="0"/>
      <w:divBdr>
        <w:top w:val="none" w:sz="0" w:space="0" w:color="auto"/>
        <w:left w:val="none" w:sz="0" w:space="0" w:color="auto"/>
        <w:bottom w:val="none" w:sz="0" w:space="0" w:color="auto"/>
        <w:right w:val="none" w:sz="0" w:space="0" w:color="auto"/>
      </w:divBdr>
    </w:div>
    <w:div w:id="2083864874">
      <w:bodyDiv w:val="1"/>
      <w:marLeft w:val="0"/>
      <w:marRight w:val="0"/>
      <w:marTop w:val="0"/>
      <w:marBottom w:val="0"/>
      <w:divBdr>
        <w:top w:val="none" w:sz="0" w:space="0" w:color="auto"/>
        <w:left w:val="none" w:sz="0" w:space="0" w:color="auto"/>
        <w:bottom w:val="none" w:sz="0" w:space="0" w:color="auto"/>
        <w:right w:val="none" w:sz="0" w:space="0" w:color="auto"/>
      </w:divBdr>
    </w:div>
    <w:div w:id="2084058817">
      <w:bodyDiv w:val="1"/>
      <w:marLeft w:val="0"/>
      <w:marRight w:val="0"/>
      <w:marTop w:val="0"/>
      <w:marBottom w:val="0"/>
      <w:divBdr>
        <w:top w:val="none" w:sz="0" w:space="0" w:color="auto"/>
        <w:left w:val="none" w:sz="0" w:space="0" w:color="auto"/>
        <w:bottom w:val="none" w:sz="0" w:space="0" w:color="auto"/>
        <w:right w:val="none" w:sz="0" w:space="0" w:color="auto"/>
      </w:divBdr>
    </w:div>
    <w:div w:id="2084062538">
      <w:bodyDiv w:val="1"/>
      <w:marLeft w:val="0"/>
      <w:marRight w:val="0"/>
      <w:marTop w:val="0"/>
      <w:marBottom w:val="0"/>
      <w:divBdr>
        <w:top w:val="none" w:sz="0" w:space="0" w:color="auto"/>
        <w:left w:val="none" w:sz="0" w:space="0" w:color="auto"/>
        <w:bottom w:val="none" w:sz="0" w:space="0" w:color="auto"/>
        <w:right w:val="none" w:sz="0" w:space="0" w:color="auto"/>
      </w:divBdr>
    </w:div>
    <w:div w:id="2084181811">
      <w:bodyDiv w:val="1"/>
      <w:marLeft w:val="0"/>
      <w:marRight w:val="0"/>
      <w:marTop w:val="0"/>
      <w:marBottom w:val="0"/>
      <w:divBdr>
        <w:top w:val="none" w:sz="0" w:space="0" w:color="auto"/>
        <w:left w:val="none" w:sz="0" w:space="0" w:color="auto"/>
        <w:bottom w:val="none" w:sz="0" w:space="0" w:color="auto"/>
        <w:right w:val="none" w:sz="0" w:space="0" w:color="auto"/>
      </w:divBdr>
    </w:div>
    <w:div w:id="2084404838">
      <w:bodyDiv w:val="1"/>
      <w:marLeft w:val="0"/>
      <w:marRight w:val="0"/>
      <w:marTop w:val="0"/>
      <w:marBottom w:val="0"/>
      <w:divBdr>
        <w:top w:val="none" w:sz="0" w:space="0" w:color="auto"/>
        <w:left w:val="none" w:sz="0" w:space="0" w:color="auto"/>
        <w:bottom w:val="none" w:sz="0" w:space="0" w:color="auto"/>
        <w:right w:val="none" w:sz="0" w:space="0" w:color="auto"/>
      </w:divBdr>
    </w:div>
    <w:div w:id="2084519827">
      <w:bodyDiv w:val="1"/>
      <w:marLeft w:val="0"/>
      <w:marRight w:val="0"/>
      <w:marTop w:val="0"/>
      <w:marBottom w:val="0"/>
      <w:divBdr>
        <w:top w:val="none" w:sz="0" w:space="0" w:color="auto"/>
        <w:left w:val="none" w:sz="0" w:space="0" w:color="auto"/>
        <w:bottom w:val="none" w:sz="0" w:space="0" w:color="auto"/>
        <w:right w:val="none" w:sz="0" w:space="0" w:color="auto"/>
      </w:divBdr>
    </w:div>
    <w:div w:id="2084839131">
      <w:bodyDiv w:val="1"/>
      <w:marLeft w:val="0"/>
      <w:marRight w:val="0"/>
      <w:marTop w:val="0"/>
      <w:marBottom w:val="0"/>
      <w:divBdr>
        <w:top w:val="none" w:sz="0" w:space="0" w:color="auto"/>
        <w:left w:val="none" w:sz="0" w:space="0" w:color="auto"/>
        <w:bottom w:val="none" w:sz="0" w:space="0" w:color="auto"/>
        <w:right w:val="none" w:sz="0" w:space="0" w:color="auto"/>
      </w:divBdr>
    </w:div>
    <w:div w:id="2085100937">
      <w:bodyDiv w:val="1"/>
      <w:marLeft w:val="0"/>
      <w:marRight w:val="0"/>
      <w:marTop w:val="0"/>
      <w:marBottom w:val="0"/>
      <w:divBdr>
        <w:top w:val="none" w:sz="0" w:space="0" w:color="auto"/>
        <w:left w:val="none" w:sz="0" w:space="0" w:color="auto"/>
        <w:bottom w:val="none" w:sz="0" w:space="0" w:color="auto"/>
        <w:right w:val="none" w:sz="0" w:space="0" w:color="auto"/>
      </w:divBdr>
    </w:div>
    <w:div w:id="2085761875">
      <w:bodyDiv w:val="1"/>
      <w:marLeft w:val="0"/>
      <w:marRight w:val="0"/>
      <w:marTop w:val="0"/>
      <w:marBottom w:val="0"/>
      <w:divBdr>
        <w:top w:val="none" w:sz="0" w:space="0" w:color="auto"/>
        <w:left w:val="none" w:sz="0" w:space="0" w:color="auto"/>
        <w:bottom w:val="none" w:sz="0" w:space="0" w:color="auto"/>
        <w:right w:val="none" w:sz="0" w:space="0" w:color="auto"/>
      </w:divBdr>
    </w:div>
    <w:div w:id="2086148890">
      <w:bodyDiv w:val="1"/>
      <w:marLeft w:val="0"/>
      <w:marRight w:val="0"/>
      <w:marTop w:val="0"/>
      <w:marBottom w:val="0"/>
      <w:divBdr>
        <w:top w:val="none" w:sz="0" w:space="0" w:color="auto"/>
        <w:left w:val="none" w:sz="0" w:space="0" w:color="auto"/>
        <w:bottom w:val="none" w:sz="0" w:space="0" w:color="auto"/>
        <w:right w:val="none" w:sz="0" w:space="0" w:color="auto"/>
      </w:divBdr>
    </w:div>
    <w:div w:id="2086149902">
      <w:bodyDiv w:val="1"/>
      <w:marLeft w:val="0"/>
      <w:marRight w:val="0"/>
      <w:marTop w:val="0"/>
      <w:marBottom w:val="0"/>
      <w:divBdr>
        <w:top w:val="none" w:sz="0" w:space="0" w:color="auto"/>
        <w:left w:val="none" w:sz="0" w:space="0" w:color="auto"/>
        <w:bottom w:val="none" w:sz="0" w:space="0" w:color="auto"/>
        <w:right w:val="none" w:sz="0" w:space="0" w:color="auto"/>
      </w:divBdr>
    </w:div>
    <w:div w:id="2086220485">
      <w:bodyDiv w:val="1"/>
      <w:marLeft w:val="0"/>
      <w:marRight w:val="0"/>
      <w:marTop w:val="0"/>
      <w:marBottom w:val="0"/>
      <w:divBdr>
        <w:top w:val="none" w:sz="0" w:space="0" w:color="auto"/>
        <w:left w:val="none" w:sz="0" w:space="0" w:color="auto"/>
        <w:bottom w:val="none" w:sz="0" w:space="0" w:color="auto"/>
        <w:right w:val="none" w:sz="0" w:space="0" w:color="auto"/>
      </w:divBdr>
    </w:div>
    <w:div w:id="2086760844">
      <w:bodyDiv w:val="1"/>
      <w:marLeft w:val="0"/>
      <w:marRight w:val="0"/>
      <w:marTop w:val="0"/>
      <w:marBottom w:val="0"/>
      <w:divBdr>
        <w:top w:val="none" w:sz="0" w:space="0" w:color="auto"/>
        <w:left w:val="none" w:sz="0" w:space="0" w:color="auto"/>
        <w:bottom w:val="none" w:sz="0" w:space="0" w:color="auto"/>
        <w:right w:val="none" w:sz="0" w:space="0" w:color="auto"/>
      </w:divBdr>
    </w:div>
    <w:div w:id="2086995843">
      <w:bodyDiv w:val="1"/>
      <w:marLeft w:val="0"/>
      <w:marRight w:val="0"/>
      <w:marTop w:val="0"/>
      <w:marBottom w:val="0"/>
      <w:divBdr>
        <w:top w:val="none" w:sz="0" w:space="0" w:color="auto"/>
        <w:left w:val="none" w:sz="0" w:space="0" w:color="auto"/>
        <w:bottom w:val="none" w:sz="0" w:space="0" w:color="auto"/>
        <w:right w:val="none" w:sz="0" w:space="0" w:color="auto"/>
      </w:divBdr>
    </w:div>
    <w:div w:id="2087262889">
      <w:bodyDiv w:val="1"/>
      <w:marLeft w:val="0"/>
      <w:marRight w:val="0"/>
      <w:marTop w:val="0"/>
      <w:marBottom w:val="0"/>
      <w:divBdr>
        <w:top w:val="none" w:sz="0" w:space="0" w:color="auto"/>
        <w:left w:val="none" w:sz="0" w:space="0" w:color="auto"/>
        <w:bottom w:val="none" w:sz="0" w:space="0" w:color="auto"/>
        <w:right w:val="none" w:sz="0" w:space="0" w:color="auto"/>
      </w:divBdr>
    </w:div>
    <w:div w:id="2087265700">
      <w:bodyDiv w:val="1"/>
      <w:marLeft w:val="0"/>
      <w:marRight w:val="0"/>
      <w:marTop w:val="0"/>
      <w:marBottom w:val="0"/>
      <w:divBdr>
        <w:top w:val="none" w:sz="0" w:space="0" w:color="auto"/>
        <w:left w:val="none" w:sz="0" w:space="0" w:color="auto"/>
        <w:bottom w:val="none" w:sz="0" w:space="0" w:color="auto"/>
        <w:right w:val="none" w:sz="0" w:space="0" w:color="auto"/>
      </w:divBdr>
    </w:div>
    <w:div w:id="2088376056">
      <w:bodyDiv w:val="1"/>
      <w:marLeft w:val="0"/>
      <w:marRight w:val="0"/>
      <w:marTop w:val="0"/>
      <w:marBottom w:val="0"/>
      <w:divBdr>
        <w:top w:val="none" w:sz="0" w:space="0" w:color="auto"/>
        <w:left w:val="none" w:sz="0" w:space="0" w:color="auto"/>
        <w:bottom w:val="none" w:sz="0" w:space="0" w:color="auto"/>
        <w:right w:val="none" w:sz="0" w:space="0" w:color="auto"/>
      </w:divBdr>
    </w:div>
    <w:div w:id="2088376924">
      <w:bodyDiv w:val="1"/>
      <w:marLeft w:val="0"/>
      <w:marRight w:val="0"/>
      <w:marTop w:val="0"/>
      <w:marBottom w:val="0"/>
      <w:divBdr>
        <w:top w:val="none" w:sz="0" w:space="0" w:color="auto"/>
        <w:left w:val="none" w:sz="0" w:space="0" w:color="auto"/>
        <w:bottom w:val="none" w:sz="0" w:space="0" w:color="auto"/>
        <w:right w:val="none" w:sz="0" w:space="0" w:color="auto"/>
      </w:divBdr>
    </w:div>
    <w:div w:id="2088452714">
      <w:bodyDiv w:val="1"/>
      <w:marLeft w:val="0"/>
      <w:marRight w:val="0"/>
      <w:marTop w:val="0"/>
      <w:marBottom w:val="0"/>
      <w:divBdr>
        <w:top w:val="none" w:sz="0" w:space="0" w:color="auto"/>
        <w:left w:val="none" w:sz="0" w:space="0" w:color="auto"/>
        <w:bottom w:val="none" w:sz="0" w:space="0" w:color="auto"/>
        <w:right w:val="none" w:sz="0" w:space="0" w:color="auto"/>
      </w:divBdr>
    </w:div>
    <w:div w:id="2088575188">
      <w:bodyDiv w:val="1"/>
      <w:marLeft w:val="0"/>
      <w:marRight w:val="0"/>
      <w:marTop w:val="0"/>
      <w:marBottom w:val="0"/>
      <w:divBdr>
        <w:top w:val="none" w:sz="0" w:space="0" w:color="auto"/>
        <w:left w:val="none" w:sz="0" w:space="0" w:color="auto"/>
        <w:bottom w:val="none" w:sz="0" w:space="0" w:color="auto"/>
        <w:right w:val="none" w:sz="0" w:space="0" w:color="auto"/>
      </w:divBdr>
    </w:div>
    <w:div w:id="2088725143">
      <w:bodyDiv w:val="1"/>
      <w:marLeft w:val="0"/>
      <w:marRight w:val="0"/>
      <w:marTop w:val="0"/>
      <w:marBottom w:val="0"/>
      <w:divBdr>
        <w:top w:val="none" w:sz="0" w:space="0" w:color="auto"/>
        <w:left w:val="none" w:sz="0" w:space="0" w:color="auto"/>
        <w:bottom w:val="none" w:sz="0" w:space="0" w:color="auto"/>
        <w:right w:val="none" w:sz="0" w:space="0" w:color="auto"/>
      </w:divBdr>
    </w:div>
    <w:div w:id="2089184792">
      <w:bodyDiv w:val="1"/>
      <w:marLeft w:val="0"/>
      <w:marRight w:val="0"/>
      <w:marTop w:val="0"/>
      <w:marBottom w:val="0"/>
      <w:divBdr>
        <w:top w:val="none" w:sz="0" w:space="0" w:color="auto"/>
        <w:left w:val="none" w:sz="0" w:space="0" w:color="auto"/>
        <w:bottom w:val="none" w:sz="0" w:space="0" w:color="auto"/>
        <w:right w:val="none" w:sz="0" w:space="0" w:color="auto"/>
      </w:divBdr>
    </w:div>
    <w:div w:id="2090301325">
      <w:bodyDiv w:val="1"/>
      <w:marLeft w:val="0"/>
      <w:marRight w:val="0"/>
      <w:marTop w:val="0"/>
      <w:marBottom w:val="0"/>
      <w:divBdr>
        <w:top w:val="none" w:sz="0" w:space="0" w:color="auto"/>
        <w:left w:val="none" w:sz="0" w:space="0" w:color="auto"/>
        <w:bottom w:val="none" w:sz="0" w:space="0" w:color="auto"/>
        <w:right w:val="none" w:sz="0" w:space="0" w:color="auto"/>
      </w:divBdr>
    </w:div>
    <w:div w:id="2090539261">
      <w:bodyDiv w:val="1"/>
      <w:marLeft w:val="0"/>
      <w:marRight w:val="0"/>
      <w:marTop w:val="0"/>
      <w:marBottom w:val="0"/>
      <w:divBdr>
        <w:top w:val="none" w:sz="0" w:space="0" w:color="auto"/>
        <w:left w:val="none" w:sz="0" w:space="0" w:color="auto"/>
        <w:bottom w:val="none" w:sz="0" w:space="0" w:color="auto"/>
        <w:right w:val="none" w:sz="0" w:space="0" w:color="auto"/>
      </w:divBdr>
    </w:div>
    <w:div w:id="2090616700">
      <w:bodyDiv w:val="1"/>
      <w:marLeft w:val="0"/>
      <w:marRight w:val="0"/>
      <w:marTop w:val="0"/>
      <w:marBottom w:val="0"/>
      <w:divBdr>
        <w:top w:val="none" w:sz="0" w:space="0" w:color="auto"/>
        <w:left w:val="none" w:sz="0" w:space="0" w:color="auto"/>
        <w:bottom w:val="none" w:sz="0" w:space="0" w:color="auto"/>
        <w:right w:val="none" w:sz="0" w:space="0" w:color="auto"/>
      </w:divBdr>
    </w:div>
    <w:div w:id="2091001379">
      <w:bodyDiv w:val="1"/>
      <w:marLeft w:val="0"/>
      <w:marRight w:val="0"/>
      <w:marTop w:val="0"/>
      <w:marBottom w:val="0"/>
      <w:divBdr>
        <w:top w:val="none" w:sz="0" w:space="0" w:color="auto"/>
        <w:left w:val="none" w:sz="0" w:space="0" w:color="auto"/>
        <w:bottom w:val="none" w:sz="0" w:space="0" w:color="auto"/>
        <w:right w:val="none" w:sz="0" w:space="0" w:color="auto"/>
      </w:divBdr>
    </w:div>
    <w:div w:id="2091003410">
      <w:bodyDiv w:val="1"/>
      <w:marLeft w:val="0"/>
      <w:marRight w:val="0"/>
      <w:marTop w:val="0"/>
      <w:marBottom w:val="0"/>
      <w:divBdr>
        <w:top w:val="none" w:sz="0" w:space="0" w:color="auto"/>
        <w:left w:val="none" w:sz="0" w:space="0" w:color="auto"/>
        <w:bottom w:val="none" w:sz="0" w:space="0" w:color="auto"/>
        <w:right w:val="none" w:sz="0" w:space="0" w:color="auto"/>
      </w:divBdr>
    </w:div>
    <w:div w:id="2091072589">
      <w:bodyDiv w:val="1"/>
      <w:marLeft w:val="0"/>
      <w:marRight w:val="0"/>
      <w:marTop w:val="0"/>
      <w:marBottom w:val="0"/>
      <w:divBdr>
        <w:top w:val="none" w:sz="0" w:space="0" w:color="auto"/>
        <w:left w:val="none" w:sz="0" w:space="0" w:color="auto"/>
        <w:bottom w:val="none" w:sz="0" w:space="0" w:color="auto"/>
        <w:right w:val="none" w:sz="0" w:space="0" w:color="auto"/>
      </w:divBdr>
    </w:div>
    <w:div w:id="2091346193">
      <w:bodyDiv w:val="1"/>
      <w:marLeft w:val="0"/>
      <w:marRight w:val="0"/>
      <w:marTop w:val="0"/>
      <w:marBottom w:val="0"/>
      <w:divBdr>
        <w:top w:val="none" w:sz="0" w:space="0" w:color="auto"/>
        <w:left w:val="none" w:sz="0" w:space="0" w:color="auto"/>
        <w:bottom w:val="none" w:sz="0" w:space="0" w:color="auto"/>
        <w:right w:val="none" w:sz="0" w:space="0" w:color="auto"/>
      </w:divBdr>
    </w:div>
    <w:div w:id="2092895951">
      <w:bodyDiv w:val="1"/>
      <w:marLeft w:val="0"/>
      <w:marRight w:val="0"/>
      <w:marTop w:val="0"/>
      <w:marBottom w:val="0"/>
      <w:divBdr>
        <w:top w:val="none" w:sz="0" w:space="0" w:color="auto"/>
        <w:left w:val="none" w:sz="0" w:space="0" w:color="auto"/>
        <w:bottom w:val="none" w:sz="0" w:space="0" w:color="auto"/>
        <w:right w:val="none" w:sz="0" w:space="0" w:color="auto"/>
      </w:divBdr>
    </w:div>
    <w:div w:id="2093043500">
      <w:bodyDiv w:val="1"/>
      <w:marLeft w:val="0"/>
      <w:marRight w:val="0"/>
      <w:marTop w:val="0"/>
      <w:marBottom w:val="0"/>
      <w:divBdr>
        <w:top w:val="none" w:sz="0" w:space="0" w:color="auto"/>
        <w:left w:val="none" w:sz="0" w:space="0" w:color="auto"/>
        <w:bottom w:val="none" w:sz="0" w:space="0" w:color="auto"/>
        <w:right w:val="none" w:sz="0" w:space="0" w:color="auto"/>
      </w:divBdr>
    </w:div>
    <w:div w:id="2093156783">
      <w:bodyDiv w:val="1"/>
      <w:marLeft w:val="0"/>
      <w:marRight w:val="0"/>
      <w:marTop w:val="0"/>
      <w:marBottom w:val="0"/>
      <w:divBdr>
        <w:top w:val="none" w:sz="0" w:space="0" w:color="auto"/>
        <w:left w:val="none" w:sz="0" w:space="0" w:color="auto"/>
        <w:bottom w:val="none" w:sz="0" w:space="0" w:color="auto"/>
        <w:right w:val="none" w:sz="0" w:space="0" w:color="auto"/>
      </w:divBdr>
    </w:div>
    <w:div w:id="2093575354">
      <w:bodyDiv w:val="1"/>
      <w:marLeft w:val="0"/>
      <w:marRight w:val="0"/>
      <w:marTop w:val="0"/>
      <w:marBottom w:val="0"/>
      <w:divBdr>
        <w:top w:val="none" w:sz="0" w:space="0" w:color="auto"/>
        <w:left w:val="none" w:sz="0" w:space="0" w:color="auto"/>
        <w:bottom w:val="none" w:sz="0" w:space="0" w:color="auto"/>
        <w:right w:val="none" w:sz="0" w:space="0" w:color="auto"/>
      </w:divBdr>
    </w:div>
    <w:div w:id="2094352610">
      <w:bodyDiv w:val="1"/>
      <w:marLeft w:val="0"/>
      <w:marRight w:val="0"/>
      <w:marTop w:val="0"/>
      <w:marBottom w:val="0"/>
      <w:divBdr>
        <w:top w:val="none" w:sz="0" w:space="0" w:color="auto"/>
        <w:left w:val="none" w:sz="0" w:space="0" w:color="auto"/>
        <w:bottom w:val="none" w:sz="0" w:space="0" w:color="auto"/>
        <w:right w:val="none" w:sz="0" w:space="0" w:color="auto"/>
      </w:divBdr>
    </w:div>
    <w:div w:id="2094424417">
      <w:bodyDiv w:val="1"/>
      <w:marLeft w:val="0"/>
      <w:marRight w:val="0"/>
      <w:marTop w:val="0"/>
      <w:marBottom w:val="0"/>
      <w:divBdr>
        <w:top w:val="none" w:sz="0" w:space="0" w:color="auto"/>
        <w:left w:val="none" w:sz="0" w:space="0" w:color="auto"/>
        <w:bottom w:val="none" w:sz="0" w:space="0" w:color="auto"/>
        <w:right w:val="none" w:sz="0" w:space="0" w:color="auto"/>
      </w:divBdr>
    </w:div>
    <w:div w:id="2094473898">
      <w:bodyDiv w:val="1"/>
      <w:marLeft w:val="0"/>
      <w:marRight w:val="0"/>
      <w:marTop w:val="0"/>
      <w:marBottom w:val="0"/>
      <w:divBdr>
        <w:top w:val="none" w:sz="0" w:space="0" w:color="auto"/>
        <w:left w:val="none" w:sz="0" w:space="0" w:color="auto"/>
        <w:bottom w:val="none" w:sz="0" w:space="0" w:color="auto"/>
        <w:right w:val="none" w:sz="0" w:space="0" w:color="auto"/>
      </w:divBdr>
    </w:div>
    <w:div w:id="2094545235">
      <w:bodyDiv w:val="1"/>
      <w:marLeft w:val="0"/>
      <w:marRight w:val="0"/>
      <w:marTop w:val="0"/>
      <w:marBottom w:val="0"/>
      <w:divBdr>
        <w:top w:val="none" w:sz="0" w:space="0" w:color="auto"/>
        <w:left w:val="none" w:sz="0" w:space="0" w:color="auto"/>
        <w:bottom w:val="none" w:sz="0" w:space="0" w:color="auto"/>
        <w:right w:val="none" w:sz="0" w:space="0" w:color="auto"/>
      </w:divBdr>
    </w:div>
    <w:div w:id="2094663067">
      <w:bodyDiv w:val="1"/>
      <w:marLeft w:val="0"/>
      <w:marRight w:val="0"/>
      <w:marTop w:val="0"/>
      <w:marBottom w:val="0"/>
      <w:divBdr>
        <w:top w:val="none" w:sz="0" w:space="0" w:color="auto"/>
        <w:left w:val="none" w:sz="0" w:space="0" w:color="auto"/>
        <w:bottom w:val="none" w:sz="0" w:space="0" w:color="auto"/>
        <w:right w:val="none" w:sz="0" w:space="0" w:color="auto"/>
      </w:divBdr>
    </w:div>
    <w:div w:id="2094860410">
      <w:bodyDiv w:val="1"/>
      <w:marLeft w:val="0"/>
      <w:marRight w:val="0"/>
      <w:marTop w:val="0"/>
      <w:marBottom w:val="0"/>
      <w:divBdr>
        <w:top w:val="none" w:sz="0" w:space="0" w:color="auto"/>
        <w:left w:val="none" w:sz="0" w:space="0" w:color="auto"/>
        <w:bottom w:val="none" w:sz="0" w:space="0" w:color="auto"/>
        <w:right w:val="none" w:sz="0" w:space="0" w:color="auto"/>
      </w:divBdr>
    </w:div>
    <w:div w:id="2094932155">
      <w:bodyDiv w:val="1"/>
      <w:marLeft w:val="0"/>
      <w:marRight w:val="0"/>
      <w:marTop w:val="0"/>
      <w:marBottom w:val="0"/>
      <w:divBdr>
        <w:top w:val="none" w:sz="0" w:space="0" w:color="auto"/>
        <w:left w:val="none" w:sz="0" w:space="0" w:color="auto"/>
        <w:bottom w:val="none" w:sz="0" w:space="0" w:color="auto"/>
        <w:right w:val="none" w:sz="0" w:space="0" w:color="auto"/>
      </w:divBdr>
    </w:div>
    <w:div w:id="2095590028">
      <w:bodyDiv w:val="1"/>
      <w:marLeft w:val="0"/>
      <w:marRight w:val="0"/>
      <w:marTop w:val="0"/>
      <w:marBottom w:val="0"/>
      <w:divBdr>
        <w:top w:val="none" w:sz="0" w:space="0" w:color="auto"/>
        <w:left w:val="none" w:sz="0" w:space="0" w:color="auto"/>
        <w:bottom w:val="none" w:sz="0" w:space="0" w:color="auto"/>
        <w:right w:val="none" w:sz="0" w:space="0" w:color="auto"/>
      </w:divBdr>
    </w:div>
    <w:div w:id="2095741311">
      <w:bodyDiv w:val="1"/>
      <w:marLeft w:val="0"/>
      <w:marRight w:val="0"/>
      <w:marTop w:val="0"/>
      <w:marBottom w:val="0"/>
      <w:divBdr>
        <w:top w:val="none" w:sz="0" w:space="0" w:color="auto"/>
        <w:left w:val="none" w:sz="0" w:space="0" w:color="auto"/>
        <w:bottom w:val="none" w:sz="0" w:space="0" w:color="auto"/>
        <w:right w:val="none" w:sz="0" w:space="0" w:color="auto"/>
      </w:divBdr>
    </w:div>
    <w:div w:id="2095856615">
      <w:bodyDiv w:val="1"/>
      <w:marLeft w:val="0"/>
      <w:marRight w:val="0"/>
      <w:marTop w:val="0"/>
      <w:marBottom w:val="0"/>
      <w:divBdr>
        <w:top w:val="none" w:sz="0" w:space="0" w:color="auto"/>
        <w:left w:val="none" w:sz="0" w:space="0" w:color="auto"/>
        <w:bottom w:val="none" w:sz="0" w:space="0" w:color="auto"/>
        <w:right w:val="none" w:sz="0" w:space="0" w:color="auto"/>
      </w:divBdr>
    </w:div>
    <w:div w:id="2096243243">
      <w:bodyDiv w:val="1"/>
      <w:marLeft w:val="0"/>
      <w:marRight w:val="0"/>
      <w:marTop w:val="0"/>
      <w:marBottom w:val="0"/>
      <w:divBdr>
        <w:top w:val="none" w:sz="0" w:space="0" w:color="auto"/>
        <w:left w:val="none" w:sz="0" w:space="0" w:color="auto"/>
        <w:bottom w:val="none" w:sz="0" w:space="0" w:color="auto"/>
        <w:right w:val="none" w:sz="0" w:space="0" w:color="auto"/>
      </w:divBdr>
    </w:div>
    <w:div w:id="2096516026">
      <w:bodyDiv w:val="1"/>
      <w:marLeft w:val="0"/>
      <w:marRight w:val="0"/>
      <w:marTop w:val="0"/>
      <w:marBottom w:val="0"/>
      <w:divBdr>
        <w:top w:val="none" w:sz="0" w:space="0" w:color="auto"/>
        <w:left w:val="none" w:sz="0" w:space="0" w:color="auto"/>
        <w:bottom w:val="none" w:sz="0" w:space="0" w:color="auto"/>
        <w:right w:val="none" w:sz="0" w:space="0" w:color="auto"/>
      </w:divBdr>
    </w:div>
    <w:div w:id="2096584749">
      <w:bodyDiv w:val="1"/>
      <w:marLeft w:val="0"/>
      <w:marRight w:val="0"/>
      <w:marTop w:val="0"/>
      <w:marBottom w:val="0"/>
      <w:divBdr>
        <w:top w:val="none" w:sz="0" w:space="0" w:color="auto"/>
        <w:left w:val="none" w:sz="0" w:space="0" w:color="auto"/>
        <w:bottom w:val="none" w:sz="0" w:space="0" w:color="auto"/>
        <w:right w:val="none" w:sz="0" w:space="0" w:color="auto"/>
      </w:divBdr>
    </w:div>
    <w:div w:id="2096592533">
      <w:bodyDiv w:val="1"/>
      <w:marLeft w:val="0"/>
      <w:marRight w:val="0"/>
      <w:marTop w:val="0"/>
      <w:marBottom w:val="0"/>
      <w:divBdr>
        <w:top w:val="none" w:sz="0" w:space="0" w:color="auto"/>
        <w:left w:val="none" w:sz="0" w:space="0" w:color="auto"/>
        <w:bottom w:val="none" w:sz="0" w:space="0" w:color="auto"/>
        <w:right w:val="none" w:sz="0" w:space="0" w:color="auto"/>
      </w:divBdr>
    </w:div>
    <w:div w:id="2096704726">
      <w:bodyDiv w:val="1"/>
      <w:marLeft w:val="0"/>
      <w:marRight w:val="0"/>
      <w:marTop w:val="0"/>
      <w:marBottom w:val="0"/>
      <w:divBdr>
        <w:top w:val="none" w:sz="0" w:space="0" w:color="auto"/>
        <w:left w:val="none" w:sz="0" w:space="0" w:color="auto"/>
        <w:bottom w:val="none" w:sz="0" w:space="0" w:color="auto"/>
        <w:right w:val="none" w:sz="0" w:space="0" w:color="auto"/>
      </w:divBdr>
    </w:div>
    <w:div w:id="2097285095">
      <w:bodyDiv w:val="1"/>
      <w:marLeft w:val="0"/>
      <w:marRight w:val="0"/>
      <w:marTop w:val="0"/>
      <w:marBottom w:val="0"/>
      <w:divBdr>
        <w:top w:val="none" w:sz="0" w:space="0" w:color="auto"/>
        <w:left w:val="none" w:sz="0" w:space="0" w:color="auto"/>
        <w:bottom w:val="none" w:sz="0" w:space="0" w:color="auto"/>
        <w:right w:val="none" w:sz="0" w:space="0" w:color="auto"/>
      </w:divBdr>
    </w:div>
    <w:div w:id="2097703918">
      <w:bodyDiv w:val="1"/>
      <w:marLeft w:val="0"/>
      <w:marRight w:val="0"/>
      <w:marTop w:val="0"/>
      <w:marBottom w:val="0"/>
      <w:divBdr>
        <w:top w:val="none" w:sz="0" w:space="0" w:color="auto"/>
        <w:left w:val="none" w:sz="0" w:space="0" w:color="auto"/>
        <w:bottom w:val="none" w:sz="0" w:space="0" w:color="auto"/>
        <w:right w:val="none" w:sz="0" w:space="0" w:color="auto"/>
      </w:divBdr>
    </w:div>
    <w:div w:id="2097746778">
      <w:bodyDiv w:val="1"/>
      <w:marLeft w:val="0"/>
      <w:marRight w:val="0"/>
      <w:marTop w:val="0"/>
      <w:marBottom w:val="0"/>
      <w:divBdr>
        <w:top w:val="none" w:sz="0" w:space="0" w:color="auto"/>
        <w:left w:val="none" w:sz="0" w:space="0" w:color="auto"/>
        <w:bottom w:val="none" w:sz="0" w:space="0" w:color="auto"/>
        <w:right w:val="none" w:sz="0" w:space="0" w:color="auto"/>
      </w:divBdr>
    </w:div>
    <w:div w:id="2097822128">
      <w:bodyDiv w:val="1"/>
      <w:marLeft w:val="0"/>
      <w:marRight w:val="0"/>
      <w:marTop w:val="0"/>
      <w:marBottom w:val="0"/>
      <w:divBdr>
        <w:top w:val="none" w:sz="0" w:space="0" w:color="auto"/>
        <w:left w:val="none" w:sz="0" w:space="0" w:color="auto"/>
        <w:bottom w:val="none" w:sz="0" w:space="0" w:color="auto"/>
        <w:right w:val="none" w:sz="0" w:space="0" w:color="auto"/>
      </w:divBdr>
    </w:div>
    <w:div w:id="2097825788">
      <w:bodyDiv w:val="1"/>
      <w:marLeft w:val="0"/>
      <w:marRight w:val="0"/>
      <w:marTop w:val="0"/>
      <w:marBottom w:val="0"/>
      <w:divBdr>
        <w:top w:val="none" w:sz="0" w:space="0" w:color="auto"/>
        <w:left w:val="none" w:sz="0" w:space="0" w:color="auto"/>
        <w:bottom w:val="none" w:sz="0" w:space="0" w:color="auto"/>
        <w:right w:val="none" w:sz="0" w:space="0" w:color="auto"/>
      </w:divBdr>
    </w:div>
    <w:div w:id="2098286815">
      <w:bodyDiv w:val="1"/>
      <w:marLeft w:val="0"/>
      <w:marRight w:val="0"/>
      <w:marTop w:val="0"/>
      <w:marBottom w:val="0"/>
      <w:divBdr>
        <w:top w:val="none" w:sz="0" w:space="0" w:color="auto"/>
        <w:left w:val="none" w:sz="0" w:space="0" w:color="auto"/>
        <w:bottom w:val="none" w:sz="0" w:space="0" w:color="auto"/>
        <w:right w:val="none" w:sz="0" w:space="0" w:color="auto"/>
      </w:divBdr>
    </w:div>
    <w:div w:id="2098359767">
      <w:bodyDiv w:val="1"/>
      <w:marLeft w:val="0"/>
      <w:marRight w:val="0"/>
      <w:marTop w:val="0"/>
      <w:marBottom w:val="0"/>
      <w:divBdr>
        <w:top w:val="none" w:sz="0" w:space="0" w:color="auto"/>
        <w:left w:val="none" w:sz="0" w:space="0" w:color="auto"/>
        <w:bottom w:val="none" w:sz="0" w:space="0" w:color="auto"/>
        <w:right w:val="none" w:sz="0" w:space="0" w:color="auto"/>
      </w:divBdr>
    </w:div>
    <w:div w:id="2099476578">
      <w:bodyDiv w:val="1"/>
      <w:marLeft w:val="0"/>
      <w:marRight w:val="0"/>
      <w:marTop w:val="0"/>
      <w:marBottom w:val="0"/>
      <w:divBdr>
        <w:top w:val="none" w:sz="0" w:space="0" w:color="auto"/>
        <w:left w:val="none" w:sz="0" w:space="0" w:color="auto"/>
        <w:bottom w:val="none" w:sz="0" w:space="0" w:color="auto"/>
        <w:right w:val="none" w:sz="0" w:space="0" w:color="auto"/>
      </w:divBdr>
    </w:div>
    <w:div w:id="2099667664">
      <w:bodyDiv w:val="1"/>
      <w:marLeft w:val="0"/>
      <w:marRight w:val="0"/>
      <w:marTop w:val="0"/>
      <w:marBottom w:val="0"/>
      <w:divBdr>
        <w:top w:val="none" w:sz="0" w:space="0" w:color="auto"/>
        <w:left w:val="none" w:sz="0" w:space="0" w:color="auto"/>
        <w:bottom w:val="none" w:sz="0" w:space="0" w:color="auto"/>
        <w:right w:val="none" w:sz="0" w:space="0" w:color="auto"/>
      </w:divBdr>
    </w:div>
    <w:div w:id="2100713044">
      <w:bodyDiv w:val="1"/>
      <w:marLeft w:val="0"/>
      <w:marRight w:val="0"/>
      <w:marTop w:val="0"/>
      <w:marBottom w:val="0"/>
      <w:divBdr>
        <w:top w:val="none" w:sz="0" w:space="0" w:color="auto"/>
        <w:left w:val="none" w:sz="0" w:space="0" w:color="auto"/>
        <w:bottom w:val="none" w:sz="0" w:space="0" w:color="auto"/>
        <w:right w:val="none" w:sz="0" w:space="0" w:color="auto"/>
      </w:divBdr>
    </w:div>
    <w:div w:id="2101635691">
      <w:bodyDiv w:val="1"/>
      <w:marLeft w:val="0"/>
      <w:marRight w:val="0"/>
      <w:marTop w:val="0"/>
      <w:marBottom w:val="0"/>
      <w:divBdr>
        <w:top w:val="none" w:sz="0" w:space="0" w:color="auto"/>
        <w:left w:val="none" w:sz="0" w:space="0" w:color="auto"/>
        <w:bottom w:val="none" w:sz="0" w:space="0" w:color="auto"/>
        <w:right w:val="none" w:sz="0" w:space="0" w:color="auto"/>
      </w:divBdr>
    </w:div>
    <w:div w:id="2102141077">
      <w:bodyDiv w:val="1"/>
      <w:marLeft w:val="0"/>
      <w:marRight w:val="0"/>
      <w:marTop w:val="0"/>
      <w:marBottom w:val="0"/>
      <w:divBdr>
        <w:top w:val="none" w:sz="0" w:space="0" w:color="auto"/>
        <w:left w:val="none" w:sz="0" w:space="0" w:color="auto"/>
        <w:bottom w:val="none" w:sz="0" w:space="0" w:color="auto"/>
        <w:right w:val="none" w:sz="0" w:space="0" w:color="auto"/>
      </w:divBdr>
    </w:div>
    <w:div w:id="2102407466">
      <w:bodyDiv w:val="1"/>
      <w:marLeft w:val="0"/>
      <w:marRight w:val="0"/>
      <w:marTop w:val="0"/>
      <w:marBottom w:val="0"/>
      <w:divBdr>
        <w:top w:val="none" w:sz="0" w:space="0" w:color="auto"/>
        <w:left w:val="none" w:sz="0" w:space="0" w:color="auto"/>
        <w:bottom w:val="none" w:sz="0" w:space="0" w:color="auto"/>
        <w:right w:val="none" w:sz="0" w:space="0" w:color="auto"/>
      </w:divBdr>
    </w:div>
    <w:div w:id="2102985439">
      <w:bodyDiv w:val="1"/>
      <w:marLeft w:val="0"/>
      <w:marRight w:val="0"/>
      <w:marTop w:val="0"/>
      <w:marBottom w:val="0"/>
      <w:divBdr>
        <w:top w:val="none" w:sz="0" w:space="0" w:color="auto"/>
        <w:left w:val="none" w:sz="0" w:space="0" w:color="auto"/>
        <w:bottom w:val="none" w:sz="0" w:space="0" w:color="auto"/>
        <w:right w:val="none" w:sz="0" w:space="0" w:color="auto"/>
      </w:divBdr>
    </w:div>
    <w:div w:id="2103334312">
      <w:bodyDiv w:val="1"/>
      <w:marLeft w:val="0"/>
      <w:marRight w:val="0"/>
      <w:marTop w:val="0"/>
      <w:marBottom w:val="0"/>
      <w:divBdr>
        <w:top w:val="none" w:sz="0" w:space="0" w:color="auto"/>
        <w:left w:val="none" w:sz="0" w:space="0" w:color="auto"/>
        <w:bottom w:val="none" w:sz="0" w:space="0" w:color="auto"/>
        <w:right w:val="none" w:sz="0" w:space="0" w:color="auto"/>
      </w:divBdr>
    </w:div>
    <w:div w:id="2103717944">
      <w:bodyDiv w:val="1"/>
      <w:marLeft w:val="0"/>
      <w:marRight w:val="0"/>
      <w:marTop w:val="0"/>
      <w:marBottom w:val="0"/>
      <w:divBdr>
        <w:top w:val="none" w:sz="0" w:space="0" w:color="auto"/>
        <w:left w:val="none" w:sz="0" w:space="0" w:color="auto"/>
        <w:bottom w:val="none" w:sz="0" w:space="0" w:color="auto"/>
        <w:right w:val="none" w:sz="0" w:space="0" w:color="auto"/>
      </w:divBdr>
    </w:div>
    <w:div w:id="2104762076">
      <w:bodyDiv w:val="1"/>
      <w:marLeft w:val="0"/>
      <w:marRight w:val="0"/>
      <w:marTop w:val="0"/>
      <w:marBottom w:val="0"/>
      <w:divBdr>
        <w:top w:val="none" w:sz="0" w:space="0" w:color="auto"/>
        <w:left w:val="none" w:sz="0" w:space="0" w:color="auto"/>
        <w:bottom w:val="none" w:sz="0" w:space="0" w:color="auto"/>
        <w:right w:val="none" w:sz="0" w:space="0" w:color="auto"/>
      </w:divBdr>
    </w:div>
    <w:div w:id="2104836114">
      <w:bodyDiv w:val="1"/>
      <w:marLeft w:val="0"/>
      <w:marRight w:val="0"/>
      <w:marTop w:val="0"/>
      <w:marBottom w:val="0"/>
      <w:divBdr>
        <w:top w:val="none" w:sz="0" w:space="0" w:color="auto"/>
        <w:left w:val="none" w:sz="0" w:space="0" w:color="auto"/>
        <w:bottom w:val="none" w:sz="0" w:space="0" w:color="auto"/>
        <w:right w:val="none" w:sz="0" w:space="0" w:color="auto"/>
      </w:divBdr>
    </w:div>
    <w:div w:id="2105105046">
      <w:bodyDiv w:val="1"/>
      <w:marLeft w:val="0"/>
      <w:marRight w:val="0"/>
      <w:marTop w:val="0"/>
      <w:marBottom w:val="0"/>
      <w:divBdr>
        <w:top w:val="none" w:sz="0" w:space="0" w:color="auto"/>
        <w:left w:val="none" w:sz="0" w:space="0" w:color="auto"/>
        <w:bottom w:val="none" w:sz="0" w:space="0" w:color="auto"/>
        <w:right w:val="none" w:sz="0" w:space="0" w:color="auto"/>
      </w:divBdr>
    </w:div>
    <w:div w:id="2105806321">
      <w:bodyDiv w:val="1"/>
      <w:marLeft w:val="0"/>
      <w:marRight w:val="0"/>
      <w:marTop w:val="0"/>
      <w:marBottom w:val="0"/>
      <w:divBdr>
        <w:top w:val="none" w:sz="0" w:space="0" w:color="auto"/>
        <w:left w:val="none" w:sz="0" w:space="0" w:color="auto"/>
        <w:bottom w:val="none" w:sz="0" w:space="0" w:color="auto"/>
        <w:right w:val="none" w:sz="0" w:space="0" w:color="auto"/>
      </w:divBdr>
    </w:div>
    <w:div w:id="2106418774">
      <w:bodyDiv w:val="1"/>
      <w:marLeft w:val="0"/>
      <w:marRight w:val="0"/>
      <w:marTop w:val="0"/>
      <w:marBottom w:val="0"/>
      <w:divBdr>
        <w:top w:val="none" w:sz="0" w:space="0" w:color="auto"/>
        <w:left w:val="none" w:sz="0" w:space="0" w:color="auto"/>
        <w:bottom w:val="none" w:sz="0" w:space="0" w:color="auto"/>
        <w:right w:val="none" w:sz="0" w:space="0" w:color="auto"/>
      </w:divBdr>
    </w:div>
    <w:div w:id="2106533031">
      <w:bodyDiv w:val="1"/>
      <w:marLeft w:val="0"/>
      <w:marRight w:val="0"/>
      <w:marTop w:val="0"/>
      <w:marBottom w:val="0"/>
      <w:divBdr>
        <w:top w:val="none" w:sz="0" w:space="0" w:color="auto"/>
        <w:left w:val="none" w:sz="0" w:space="0" w:color="auto"/>
        <w:bottom w:val="none" w:sz="0" w:space="0" w:color="auto"/>
        <w:right w:val="none" w:sz="0" w:space="0" w:color="auto"/>
      </w:divBdr>
    </w:div>
    <w:div w:id="2106727816">
      <w:bodyDiv w:val="1"/>
      <w:marLeft w:val="0"/>
      <w:marRight w:val="0"/>
      <w:marTop w:val="0"/>
      <w:marBottom w:val="0"/>
      <w:divBdr>
        <w:top w:val="none" w:sz="0" w:space="0" w:color="auto"/>
        <w:left w:val="none" w:sz="0" w:space="0" w:color="auto"/>
        <w:bottom w:val="none" w:sz="0" w:space="0" w:color="auto"/>
        <w:right w:val="none" w:sz="0" w:space="0" w:color="auto"/>
      </w:divBdr>
    </w:div>
    <w:div w:id="2107190873">
      <w:bodyDiv w:val="1"/>
      <w:marLeft w:val="0"/>
      <w:marRight w:val="0"/>
      <w:marTop w:val="0"/>
      <w:marBottom w:val="0"/>
      <w:divBdr>
        <w:top w:val="none" w:sz="0" w:space="0" w:color="auto"/>
        <w:left w:val="none" w:sz="0" w:space="0" w:color="auto"/>
        <w:bottom w:val="none" w:sz="0" w:space="0" w:color="auto"/>
        <w:right w:val="none" w:sz="0" w:space="0" w:color="auto"/>
      </w:divBdr>
    </w:div>
    <w:div w:id="2107650702">
      <w:bodyDiv w:val="1"/>
      <w:marLeft w:val="0"/>
      <w:marRight w:val="0"/>
      <w:marTop w:val="0"/>
      <w:marBottom w:val="0"/>
      <w:divBdr>
        <w:top w:val="none" w:sz="0" w:space="0" w:color="auto"/>
        <w:left w:val="none" w:sz="0" w:space="0" w:color="auto"/>
        <w:bottom w:val="none" w:sz="0" w:space="0" w:color="auto"/>
        <w:right w:val="none" w:sz="0" w:space="0" w:color="auto"/>
      </w:divBdr>
    </w:div>
    <w:div w:id="2108041258">
      <w:bodyDiv w:val="1"/>
      <w:marLeft w:val="0"/>
      <w:marRight w:val="0"/>
      <w:marTop w:val="0"/>
      <w:marBottom w:val="0"/>
      <w:divBdr>
        <w:top w:val="none" w:sz="0" w:space="0" w:color="auto"/>
        <w:left w:val="none" w:sz="0" w:space="0" w:color="auto"/>
        <w:bottom w:val="none" w:sz="0" w:space="0" w:color="auto"/>
        <w:right w:val="none" w:sz="0" w:space="0" w:color="auto"/>
      </w:divBdr>
    </w:div>
    <w:div w:id="2108230000">
      <w:bodyDiv w:val="1"/>
      <w:marLeft w:val="0"/>
      <w:marRight w:val="0"/>
      <w:marTop w:val="0"/>
      <w:marBottom w:val="0"/>
      <w:divBdr>
        <w:top w:val="none" w:sz="0" w:space="0" w:color="auto"/>
        <w:left w:val="none" w:sz="0" w:space="0" w:color="auto"/>
        <w:bottom w:val="none" w:sz="0" w:space="0" w:color="auto"/>
        <w:right w:val="none" w:sz="0" w:space="0" w:color="auto"/>
      </w:divBdr>
    </w:div>
    <w:div w:id="2108500749">
      <w:bodyDiv w:val="1"/>
      <w:marLeft w:val="0"/>
      <w:marRight w:val="0"/>
      <w:marTop w:val="0"/>
      <w:marBottom w:val="0"/>
      <w:divBdr>
        <w:top w:val="none" w:sz="0" w:space="0" w:color="auto"/>
        <w:left w:val="none" w:sz="0" w:space="0" w:color="auto"/>
        <w:bottom w:val="none" w:sz="0" w:space="0" w:color="auto"/>
        <w:right w:val="none" w:sz="0" w:space="0" w:color="auto"/>
      </w:divBdr>
    </w:div>
    <w:div w:id="2108891176">
      <w:bodyDiv w:val="1"/>
      <w:marLeft w:val="0"/>
      <w:marRight w:val="0"/>
      <w:marTop w:val="0"/>
      <w:marBottom w:val="0"/>
      <w:divBdr>
        <w:top w:val="none" w:sz="0" w:space="0" w:color="auto"/>
        <w:left w:val="none" w:sz="0" w:space="0" w:color="auto"/>
        <w:bottom w:val="none" w:sz="0" w:space="0" w:color="auto"/>
        <w:right w:val="none" w:sz="0" w:space="0" w:color="auto"/>
      </w:divBdr>
    </w:div>
    <w:div w:id="2109735615">
      <w:bodyDiv w:val="1"/>
      <w:marLeft w:val="0"/>
      <w:marRight w:val="0"/>
      <w:marTop w:val="0"/>
      <w:marBottom w:val="0"/>
      <w:divBdr>
        <w:top w:val="none" w:sz="0" w:space="0" w:color="auto"/>
        <w:left w:val="none" w:sz="0" w:space="0" w:color="auto"/>
        <w:bottom w:val="none" w:sz="0" w:space="0" w:color="auto"/>
        <w:right w:val="none" w:sz="0" w:space="0" w:color="auto"/>
      </w:divBdr>
    </w:div>
    <w:div w:id="2110006978">
      <w:bodyDiv w:val="1"/>
      <w:marLeft w:val="0"/>
      <w:marRight w:val="0"/>
      <w:marTop w:val="0"/>
      <w:marBottom w:val="0"/>
      <w:divBdr>
        <w:top w:val="none" w:sz="0" w:space="0" w:color="auto"/>
        <w:left w:val="none" w:sz="0" w:space="0" w:color="auto"/>
        <w:bottom w:val="none" w:sz="0" w:space="0" w:color="auto"/>
        <w:right w:val="none" w:sz="0" w:space="0" w:color="auto"/>
      </w:divBdr>
    </w:div>
    <w:div w:id="2110270200">
      <w:bodyDiv w:val="1"/>
      <w:marLeft w:val="0"/>
      <w:marRight w:val="0"/>
      <w:marTop w:val="0"/>
      <w:marBottom w:val="0"/>
      <w:divBdr>
        <w:top w:val="none" w:sz="0" w:space="0" w:color="auto"/>
        <w:left w:val="none" w:sz="0" w:space="0" w:color="auto"/>
        <w:bottom w:val="none" w:sz="0" w:space="0" w:color="auto"/>
        <w:right w:val="none" w:sz="0" w:space="0" w:color="auto"/>
      </w:divBdr>
    </w:div>
    <w:div w:id="2110349576">
      <w:bodyDiv w:val="1"/>
      <w:marLeft w:val="0"/>
      <w:marRight w:val="0"/>
      <w:marTop w:val="0"/>
      <w:marBottom w:val="0"/>
      <w:divBdr>
        <w:top w:val="none" w:sz="0" w:space="0" w:color="auto"/>
        <w:left w:val="none" w:sz="0" w:space="0" w:color="auto"/>
        <w:bottom w:val="none" w:sz="0" w:space="0" w:color="auto"/>
        <w:right w:val="none" w:sz="0" w:space="0" w:color="auto"/>
      </w:divBdr>
    </w:div>
    <w:div w:id="2110464099">
      <w:bodyDiv w:val="1"/>
      <w:marLeft w:val="0"/>
      <w:marRight w:val="0"/>
      <w:marTop w:val="0"/>
      <w:marBottom w:val="0"/>
      <w:divBdr>
        <w:top w:val="none" w:sz="0" w:space="0" w:color="auto"/>
        <w:left w:val="none" w:sz="0" w:space="0" w:color="auto"/>
        <w:bottom w:val="none" w:sz="0" w:space="0" w:color="auto"/>
        <w:right w:val="none" w:sz="0" w:space="0" w:color="auto"/>
      </w:divBdr>
    </w:div>
    <w:div w:id="2110664218">
      <w:bodyDiv w:val="1"/>
      <w:marLeft w:val="0"/>
      <w:marRight w:val="0"/>
      <w:marTop w:val="0"/>
      <w:marBottom w:val="0"/>
      <w:divBdr>
        <w:top w:val="none" w:sz="0" w:space="0" w:color="auto"/>
        <w:left w:val="none" w:sz="0" w:space="0" w:color="auto"/>
        <w:bottom w:val="none" w:sz="0" w:space="0" w:color="auto"/>
        <w:right w:val="none" w:sz="0" w:space="0" w:color="auto"/>
      </w:divBdr>
    </w:div>
    <w:div w:id="2110925267">
      <w:bodyDiv w:val="1"/>
      <w:marLeft w:val="0"/>
      <w:marRight w:val="0"/>
      <w:marTop w:val="0"/>
      <w:marBottom w:val="0"/>
      <w:divBdr>
        <w:top w:val="none" w:sz="0" w:space="0" w:color="auto"/>
        <w:left w:val="none" w:sz="0" w:space="0" w:color="auto"/>
        <w:bottom w:val="none" w:sz="0" w:space="0" w:color="auto"/>
        <w:right w:val="none" w:sz="0" w:space="0" w:color="auto"/>
      </w:divBdr>
    </w:div>
    <w:div w:id="2110926273">
      <w:bodyDiv w:val="1"/>
      <w:marLeft w:val="0"/>
      <w:marRight w:val="0"/>
      <w:marTop w:val="0"/>
      <w:marBottom w:val="0"/>
      <w:divBdr>
        <w:top w:val="none" w:sz="0" w:space="0" w:color="auto"/>
        <w:left w:val="none" w:sz="0" w:space="0" w:color="auto"/>
        <w:bottom w:val="none" w:sz="0" w:space="0" w:color="auto"/>
        <w:right w:val="none" w:sz="0" w:space="0" w:color="auto"/>
      </w:divBdr>
    </w:div>
    <w:div w:id="2111192424">
      <w:bodyDiv w:val="1"/>
      <w:marLeft w:val="0"/>
      <w:marRight w:val="0"/>
      <w:marTop w:val="0"/>
      <w:marBottom w:val="0"/>
      <w:divBdr>
        <w:top w:val="none" w:sz="0" w:space="0" w:color="auto"/>
        <w:left w:val="none" w:sz="0" w:space="0" w:color="auto"/>
        <w:bottom w:val="none" w:sz="0" w:space="0" w:color="auto"/>
        <w:right w:val="none" w:sz="0" w:space="0" w:color="auto"/>
      </w:divBdr>
    </w:div>
    <w:div w:id="2111198149">
      <w:bodyDiv w:val="1"/>
      <w:marLeft w:val="0"/>
      <w:marRight w:val="0"/>
      <w:marTop w:val="0"/>
      <w:marBottom w:val="0"/>
      <w:divBdr>
        <w:top w:val="none" w:sz="0" w:space="0" w:color="auto"/>
        <w:left w:val="none" w:sz="0" w:space="0" w:color="auto"/>
        <w:bottom w:val="none" w:sz="0" w:space="0" w:color="auto"/>
        <w:right w:val="none" w:sz="0" w:space="0" w:color="auto"/>
      </w:divBdr>
    </w:div>
    <w:div w:id="2111272688">
      <w:bodyDiv w:val="1"/>
      <w:marLeft w:val="0"/>
      <w:marRight w:val="0"/>
      <w:marTop w:val="0"/>
      <w:marBottom w:val="0"/>
      <w:divBdr>
        <w:top w:val="none" w:sz="0" w:space="0" w:color="auto"/>
        <w:left w:val="none" w:sz="0" w:space="0" w:color="auto"/>
        <w:bottom w:val="none" w:sz="0" w:space="0" w:color="auto"/>
        <w:right w:val="none" w:sz="0" w:space="0" w:color="auto"/>
      </w:divBdr>
    </w:div>
    <w:div w:id="2111701539">
      <w:bodyDiv w:val="1"/>
      <w:marLeft w:val="0"/>
      <w:marRight w:val="0"/>
      <w:marTop w:val="0"/>
      <w:marBottom w:val="0"/>
      <w:divBdr>
        <w:top w:val="none" w:sz="0" w:space="0" w:color="auto"/>
        <w:left w:val="none" w:sz="0" w:space="0" w:color="auto"/>
        <w:bottom w:val="none" w:sz="0" w:space="0" w:color="auto"/>
        <w:right w:val="none" w:sz="0" w:space="0" w:color="auto"/>
      </w:divBdr>
    </w:div>
    <w:div w:id="2111776307">
      <w:bodyDiv w:val="1"/>
      <w:marLeft w:val="0"/>
      <w:marRight w:val="0"/>
      <w:marTop w:val="0"/>
      <w:marBottom w:val="0"/>
      <w:divBdr>
        <w:top w:val="none" w:sz="0" w:space="0" w:color="auto"/>
        <w:left w:val="none" w:sz="0" w:space="0" w:color="auto"/>
        <w:bottom w:val="none" w:sz="0" w:space="0" w:color="auto"/>
        <w:right w:val="none" w:sz="0" w:space="0" w:color="auto"/>
      </w:divBdr>
    </w:div>
    <w:div w:id="2112621681">
      <w:bodyDiv w:val="1"/>
      <w:marLeft w:val="0"/>
      <w:marRight w:val="0"/>
      <w:marTop w:val="0"/>
      <w:marBottom w:val="0"/>
      <w:divBdr>
        <w:top w:val="none" w:sz="0" w:space="0" w:color="auto"/>
        <w:left w:val="none" w:sz="0" w:space="0" w:color="auto"/>
        <w:bottom w:val="none" w:sz="0" w:space="0" w:color="auto"/>
        <w:right w:val="none" w:sz="0" w:space="0" w:color="auto"/>
      </w:divBdr>
    </w:div>
    <w:div w:id="2113090756">
      <w:bodyDiv w:val="1"/>
      <w:marLeft w:val="0"/>
      <w:marRight w:val="0"/>
      <w:marTop w:val="0"/>
      <w:marBottom w:val="0"/>
      <w:divBdr>
        <w:top w:val="none" w:sz="0" w:space="0" w:color="auto"/>
        <w:left w:val="none" w:sz="0" w:space="0" w:color="auto"/>
        <w:bottom w:val="none" w:sz="0" w:space="0" w:color="auto"/>
        <w:right w:val="none" w:sz="0" w:space="0" w:color="auto"/>
      </w:divBdr>
    </w:div>
    <w:div w:id="2113625658">
      <w:bodyDiv w:val="1"/>
      <w:marLeft w:val="0"/>
      <w:marRight w:val="0"/>
      <w:marTop w:val="0"/>
      <w:marBottom w:val="0"/>
      <w:divBdr>
        <w:top w:val="none" w:sz="0" w:space="0" w:color="auto"/>
        <w:left w:val="none" w:sz="0" w:space="0" w:color="auto"/>
        <w:bottom w:val="none" w:sz="0" w:space="0" w:color="auto"/>
        <w:right w:val="none" w:sz="0" w:space="0" w:color="auto"/>
      </w:divBdr>
    </w:div>
    <w:div w:id="2113626695">
      <w:bodyDiv w:val="1"/>
      <w:marLeft w:val="0"/>
      <w:marRight w:val="0"/>
      <w:marTop w:val="0"/>
      <w:marBottom w:val="0"/>
      <w:divBdr>
        <w:top w:val="none" w:sz="0" w:space="0" w:color="auto"/>
        <w:left w:val="none" w:sz="0" w:space="0" w:color="auto"/>
        <w:bottom w:val="none" w:sz="0" w:space="0" w:color="auto"/>
        <w:right w:val="none" w:sz="0" w:space="0" w:color="auto"/>
      </w:divBdr>
    </w:div>
    <w:div w:id="2114743147">
      <w:bodyDiv w:val="1"/>
      <w:marLeft w:val="0"/>
      <w:marRight w:val="0"/>
      <w:marTop w:val="0"/>
      <w:marBottom w:val="0"/>
      <w:divBdr>
        <w:top w:val="none" w:sz="0" w:space="0" w:color="auto"/>
        <w:left w:val="none" w:sz="0" w:space="0" w:color="auto"/>
        <w:bottom w:val="none" w:sz="0" w:space="0" w:color="auto"/>
        <w:right w:val="none" w:sz="0" w:space="0" w:color="auto"/>
      </w:divBdr>
    </w:div>
    <w:div w:id="2114788668">
      <w:bodyDiv w:val="1"/>
      <w:marLeft w:val="0"/>
      <w:marRight w:val="0"/>
      <w:marTop w:val="0"/>
      <w:marBottom w:val="0"/>
      <w:divBdr>
        <w:top w:val="none" w:sz="0" w:space="0" w:color="auto"/>
        <w:left w:val="none" w:sz="0" w:space="0" w:color="auto"/>
        <w:bottom w:val="none" w:sz="0" w:space="0" w:color="auto"/>
        <w:right w:val="none" w:sz="0" w:space="0" w:color="auto"/>
      </w:divBdr>
    </w:div>
    <w:div w:id="2115242845">
      <w:bodyDiv w:val="1"/>
      <w:marLeft w:val="0"/>
      <w:marRight w:val="0"/>
      <w:marTop w:val="0"/>
      <w:marBottom w:val="0"/>
      <w:divBdr>
        <w:top w:val="none" w:sz="0" w:space="0" w:color="auto"/>
        <w:left w:val="none" w:sz="0" w:space="0" w:color="auto"/>
        <w:bottom w:val="none" w:sz="0" w:space="0" w:color="auto"/>
        <w:right w:val="none" w:sz="0" w:space="0" w:color="auto"/>
      </w:divBdr>
    </w:div>
    <w:div w:id="2115321074">
      <w:bodyDiv w:val="1"/>
      <w:marLeft w:val="0"/>
      <w:marRight w:val="0"/>
      <w:marTop w:val="0"/>
      <w:marBottom w:val="0"/>
      <w:divBdr>
        <w:top w:val="none" w:sz="0" w:space="0" w:color="auto"/>
        <w:left w:val="none" w:sz="0" w:space="0" w:color="auto"/>
        <w:bottom w:val="none" w:sz="0" w:space="0" w:color="auto"/>
        <w:right w:val="none" w:sz="0" w:space="0" w:color="auto"/>
      </w:divBdr>
    </w:div>
    <w:div w:id="2115441518">
      <w:bodyDiv w:val="1"/>
      <w:marLeft w:val="0"/>
      <w:marRight w:val="0"/>
      <w:marTop w:val="0"/>
      <w:marBottom w:val="0"/>
      <w:divBdr>
        <w:top w:val="none" w:sz="0" w:space="0" w:color="auto"/>
        <w:left w:val="none" w:sz="0" w:space="0" w:color="auto"/>
        <w:bottom w:val="none" w:sz="0" w:space="0" w:color="auto"/>
        <w:right w:val="none" w:sz="0" w:space="0" w:color="auto"/>
      </w:divBdr>
    </w:div>
    <w:div w:id="2115712732">
      <w:bodyDiv w:val="1"/>
      <w:marLeft w:val="0"/>
      <w:marRight w:val="0"/>
      <w:marTop w:val="0"/>
      <w:marBottom w:val="0"/>
      <w:divBdr>
        <w:top w:val="none" w:sz="0" w:space="0" w:color="auto"/>
        <w:left w:val="none" w:sz="0" w:space="0" w:color="auto"/>
        <w:bottom w:val="none" w:sz="0" w:space="0" w:color="auto"/>
        <w:right w:val="none" w:sz="0" w:space="0" w:color="auto"/>
      </w:divBdr>
    </w:div>
    <w:div w:id="2115782914">
      <w:bodyDiv w:val="1"/>
      <w:marLeft w:val="0"/>
      <w:marRight w:val="0"/>
      <w:marTop w:val="0"/>
      <w:marBottom w:val="0"/>
      <w:divBdr>
        <w:top w:val="none" w:sz="0" w:space="0" w:color="auto"/>
        <w:left w:val="none" w:sz="0" w:space="0" w:color="auto"/>
        <w:bottom w:val="none" w:sz="0" w:space="0" w:color="auto"/>
        <w:right w:val="none" w:sz="0" w:space="0" w:color="auto"/>
      </w:divBdr>
    </w:div>
    <w:div w:id="2115973368">
      <w:bodyDiv w:val="1"/>
      <w:marLeft w:val="0"/>
      <w:marRight w:val="0"/>
      <w:marTop w:val="0"/>
      <w:marBottom w:val="0"/>
      <w:divBdr>
        <w:top w:val="none" w:sz="0" w:space="0" w:color="auto"/>
        <w:left w:val="none" w:sz="0" w:space="0" w:color="auto"/>
        <w:bottom w:val="none" w:sz="0" w:space="0" w:color="auto"/>
        <w:right w:val="none" w:sz="0" w:space="0" w:color="auto"/>
      </w:divBdr>
    </w:div>
    <w:div w:id="2116056781">
      <w:bodyDiv w:val="1"/>
      <w:marLeft w:val="0"/>
      <w:marRight w:val="0"/>
      <w:marTop w:val="0"/>
      <w:marBottom w:val="0"/>
      <w:divBdr>
        <w:top w:val="none" w:sz="0" w:space="0" w:color="auto"/>
        <w:left w:val="none" w:sz="0" w:space="0" w:color="auto"/>
        <w:bottom w:val="none" w:sz="0" w:space="0" w:color="auto"/>
        <w:right w:val="none" w:sz="0" w:space="0" w:color="auto"/>
      </w:divBdr>
    </w:div>
    <w:div w:id="2116095346">
      <w:bodyDiv w:val="1"/>
      <w:marLeft w:val="0"/>
      <w:marRight w:val="0"/>
      <w:marTop w:val="0"/>
      <w:marBottom w:val="0"/>
      <w:divBdr>
        <w:top w:val="none" w:sz="0" w:space="0" w:color="auto"/>
        <w:left w:val="none" w:sz="0" w:space="0" w:color="auto"/>
        <w:bottom w:val="none" w:sz="0" w:space="0" w:color="auto"/>
        <w:right w:val="none" w:sz="0" w:space="0" w:color="auto"/>
      </w:divBdr>
    </w:div>
    <w:div w:id="2116122928">
      <w:bodyDiv w:val="1"/>
      <w:marLeft w:val="0"/>
      <w:marRight w:val="0"/>
      <w:marTop w:val="0"/>
      <w:marBottom w:val="0"/>
      <w:divBdr>
        <w:top w:val="none" w:sz="0" w:space="0" w:color="auto"/>
        <w:left w:val="none" w:sz="0" w:space="0" w:color="auto"/>
        <w:bottom w:val="none" w:sz="0" w:space="0" w:color="auto"/>
        <w:right w:val="none" w:sz="0" w:space="0" w:color="auto"/>
      </w:divBdr>
    </w:div>
    <w:div w:id="2116243999">
      <w:bodyDiv w:val="1"/>
      <w:marLeft w:val="0"/>
      <w:marRight w:val="0"/>
      <w:marTop w:val="0"/>
      <w:marBottom w:val="0"/>
      <w:divBdr>
        <w:top w:val="none" w:sz="0" w:space="0" w:color="auto"/>
        <w:left w:val="none" w:sz="0" w:space="0" w:color="auto"/>
        <w:bottom w:val="none" w:sz="0" w:space="0" w:color="auto"/>
        <w:right w:val="none" w:sz="0" w:space="0" w:color="auto"/>
      </w:divBdr>
    </w:div>
    <w:div w:id="2116244013">
      <w:bodyDiv w:val="1"/>
      <w:marLeft w:val="0"/>
      <w:marRight w:val="0"/>
      <w:marTop w:val="0"/>
      <w:marBottom w:val="0"/>
      <w:divBdr>
        <w:top w:val="none" w:sz="0" w:space="0" w:color="auto"/>
        <w:left w:val="none" w:sz="0" w:space="0" w:color="auto"/>
        <w:bottom w:val="none" w:sz="0" w:space="0" w:color="auto"/>
        <w:right w:val="none" w:sz="0" w:space="0" w:color="auto"/>
      </w:divBdr>
    </w:div>
    <w:div w:id="2116559005">
      <w:bodyDiv w:val="1"/>
      <w:marLeft w:val="0"/>
      <w:marRight w:val="0"/>
      <w:marTop w:val="0"/>
      <w:marBottom w:val="0"/>
      <w:divBdr>
        <w:top w:val="none" w:sz="0" w:space="0" w:color="auto"/>
        <w:left w:val="none" w:sz="0" w:space="0" w:color="auto"/>
        <w:bottom w:val="none" w:sz="0" w:space="0" w:color="auto"/>
        <w:right w:val="none" w:sz="0" w:space="0" w:color="auto"/>
      </w:divBdr>
    </w:div>
    <w:div w:id="2116706465">
      <w:bodyDiv w:val="1"/>
      <w:marLeft w:val="0"/>
      <w:marRight w:val="0"/>
      <w:marTop w:val="0"/>
      <w:marBottom w:val="0"/>
      <w:divBdr>
        <w:top w:val="none" w:sz="0" w:space="0" w:color="auto"/>
        <w:left w:val="none" w:sz="0" w:space="0" w:color="auto"/>
        <w:bottom w:val="none" w:sz="0" w:space="0" w:color="auto"/>
        <w:right w:val="none" w:sz="0" w:space="0" w:color="auto"/>
      </w:divBdr>
    </w:div>
    <w:div w:id="2116752576">
      <w:bodyDiv w:val="1"/>
      <w:marLeft w:val="0"/>
      <w:marRight w:val="0"/>
      <w:marTop w:val="0"/>
      <w:marBottom w:val="0"/>
      <w:divBdr>
        <w:top w:val="none" w:sz="0" w:space="0" w:color="auto"/>
        <w:left w:val="none" w:sz="0" w:space="0" w:color="auto"/>
        <w:bottom w:val="none" w:sz="0" w:space="0" w:color="auto"/>
        <w:right w:val="none" w:sz="0" w:space="0" w:color="auto"/>
      </w:divBdr>
    </w:div>
    <w:div w:id="2117168623">
      <w:bodyDiv w:val="1"/>
      <w:marLeft w:val="0"/>
      <w:marRight w:val="0"/>
      <w:marTop w:val="0"/>
      <w:marBottom w:val="0"/>
      <w:divBdr>
        <w:top w:val="none" w:sz="0" w:space="0" w:color="auto"/>
        <w:left w:val="none" w:sz="0" w:space="0" w:color="auto"/>
        <w:bottom w:val="none" w:sz="0" w:space="0" w:color="auto"/>
        <w:right w:val="none" w:sz="0" w:space="0" w:color="auto"/>
      </w:divBdr>
    </w:div>
    <w:div w:id="2117216591">
      <w:bodyDiv w:val="1"/>
      <w:marLeft w:val="0"/>
      <w:marRight w:val="0"/>
      <w:marTop w:val="0"/>
      <w:marBottom w:val="0"/>
      <w:divBdr>
        <w:top w:val="none" w:sz="0" w:space="0" w:color="auto"/>
        <w:left w:val="none" w:sz="0" w:space="0" w:color="auto"/>
        <w:bottom w:val="none" w:sz="0" w:space="0" w:color="auto"/>
        <w:right w:val="none" w:sz="0" w:space="0" w:color="auto"/>
      </w:divBdr>
    </w:div>
    <w:div w:id="2117289629">
      <w:bodyDiv w:val="1"/>
      <w:marLeft w:val="0"/>
      <w:marRight w:val="0"/>
      <w:marTop w:val="0"/>
      <w:marBottom w:val="0"/>
      <w:divBdr>
        <w:top w:val="none" w:sz="0" w:space="0" w:color="auto"/>
        <w:left w:val="none" w:sz="0" w:space="0" w:color="auto"/>
        <w:bottom w:val="none" w:sz="0" w:space="0" w:color="auto"/>
        <w:right w:val="none" w:sz="0" w:space="0" w:color="auto"/>
      </w:divBdr>
    </w:div>
    <w:div w:id="2117360752">
      <w:bodyDiv w:val="1"/>
      <w:marLeft w:val="0"/>
      <w:marRight w:val="0"/>
      <w:marTop w:val="0"/>
      <w:marBottom w:val="0"/>
      <w:divBdr>
        <w:top w:val="none" w:sz="0" w:space="0" w:color="auto"/>
        <w:left w:val="none" w:sz="0" w:space="0" w:color="auto"/>
        <w:bottom w:val="none" w:sz="0" w:space="0" w:color="auto"/>
        <w:right w:val="none" w:sz="0" w:space="0" w:color="auto"/>
      </w:divBdr>
    </w:div>
    <w:div w:id="2117484031">
      <w:bodyDiv w:val="1"/>
      <w:marLeft w:val="0"/>
      <w:marRight w:val="0"/>
      <w:marTop w:val="0"/>
      <w:marBottom w:val="0"/>
      <w:divBdr>
        <w:top w:val="none" w:sz="0" w:space="0" w:color="auto"/>
        <w:left w:val="none" w:sz="0" w:space="0" w:color="auto"/>
        <w:bottom w:val="none" w:sz="0" w:space="0" w:color="auto"/>
        <w:right w:val="none" w:sz="0" w:space="0" w:color="auto"/>
      </w:divBdr>
    </w:div>
    <w:div w:id="2118518305">
      <w:bodyDiv w:val="1"/>
      <w:marLeft w:val="0"/>
      <w:marRight w:val="0"/>
      <w:marTop w:val="0"/>
      <w:marBottom w:val="0"/>
      <w:divBdr>
        <w:top w:val="none" w:sz="0" w:space="0" w:color="auto"/>
        <w:left w:val="none" w:sz="0" w:space="0" w:color="auto"/>
        <w:bottom w:val="none" w:sz="0" w:space="0" w:color="auto"/>
        <w:right w:val="none" w:sz="0" w:space="0" w:color="auto"/>
      </w:divBdr>
    </w:div>
    <w:div w:id="2118675108">
      <w:bodyDiv w:val="1"/>
      <w:marLeft w:val="0"/>
      <w:marRight w:val="0"/>
      <w:marTop w:val="0"/>
      <w:marBottom w:val="0"/>
      <w:divBdr>
        <w:top w:val="none" w:sz="0" w:space="0" w:color="auto"/>
        <w:left w:val="none" w:sz="0" w:space="0" w:color="auto"/>
        <w:bottom w:val="none" w:sz="0" w:space="0" w:color="auto"/>
        <w:right w:val="none" w:sz="0" w:space="0" w:color="auto"/>
      </w:divBdr>
    </w:div>
    <w:div w:id="2119176764">
      <w:bodyDiv w:val="1"/>
      <w:marLeft w:val="0"/>
      <w:marRight w:val="0"/>
      <w:marTop w:val="0"/>
      <w:marBottom w:val="0"/>
      <w:divBdr>
        <w:top w:val="none" w:sz="0" w:space="0" w:color="auto"/>
        <w:left w:val="none" w:sz="0" w:space="0" w:color="auto"/>
        <w:bottom w:val="none" w:sz="0" w:space="0" w:color="auto"/>
        <w:right w:val="none" w:sz="0" w:space="0" w:color="auto"/>
      </w:divBdr>
    </w:div>
    <w:div w:id="2119980959">
      <w:bodyDiv w:val="1"/>
      <w:marLeft w:val="0"/>
      <w:marRight w:val="0"/>
      <w:marTop w:val="0"/>
      <w:marBottom w:val="0"/>
      <w:divBdr>
        <w:top w:val="none" w:sz="0" w:space="0" w:color="auto"/>
        <w:left w:val="none" w:sz="0" w:space="0" w:color="auto"/>
        <w:bottom w:val="none" w:sz="0" w:space="0" w:color="auto"/>
        <w:right w:val="none" w:sz="0" w:space="0" w:color="auto"/>
      </w:divBdr>
    </w:div>
    <w:div w:id="2120371047">
      <w:bodyDiv w:val="1"/>
      <w:marLeft w:val="0"/>
      <w:marRight w:val="0"/>
      <w:marTop w:val="0"/>
      <w:marBottom w:val="0"/>
      <w:divBdr>
        <w:top w:val="none" w:sz="0" w:space="0" w:color="auto"/>
        <w:left w:val="none" w:sz="0" w:space="0" w:color="auto"/>
        <w:bottom w:val="none" w:sz="0" w:space="0" w:color="auto"/>
        <w:right w:val="none" w:sz="0" w:space="0" w:color="auto"/>
      </w:divBdr>
    </w:div>
    <w:div w:id="2120831020">
      <w:bodyDiv w:val="1"/>
      <w:marLeft w:val="0"/>
      <w:marRight w:val="0"/>
      <w:marTop w:val="0"/>
      <w:marBottom w:val="0"/>
      <w:divBdr>
        <w:top w:val="none" w:sz="0" w:space="0" w:color="auto"/>
        <w:left w:val="none" w:sz="0" w:space="0" w:color="auto"/>
        <w:bottom w:val="none" w:sz="0" w:space="0" w:color="auto"/>
        <w:right w:val="none" w:sz="0" w:space="0" w:color="auto"/>
      </w:divBdr>
    </w:div>
    <w:div w:id="2120907163">
      <w:bodyDiv w:val="1"/>
      <w:marLeft w:val="0"/>
      <w:marRight w:val="0"/>
      <w:marTop w:val="0"/>
      <w:marBottom w:val="0"/>
      <w:divBdr>
        <w:top w:val="none" w:sz="0" w:space="0" w:color="auto"/>
        <w:left w:val="none" w:sz="0" w:space="0" w:color="auto"/>
        <w:bottom w:val="none" w:sz="0" w:space="0" w:color="auto"/>
        <w:right w:val="none" w:sz="0" w:space="0" w:color="auto"/>
      </w:divBdr>
    </w:div>
    <w:div w:id="2121224024">
      <w:bodyDiv w:val="1"/>
      <w:marLeft w:val="0"/>
      <w:marRight w:val="0"/>
      <w:marTop w:val="0"/>
      <w:marBottom w:val="0"/>
      <w:divBdr>
        <w:top w:val="none" w:sz="0" w:space="0" w:color="auto"/>
        <w:left w:val="none" w:sz="0" w:space="0" w:color="auto"/>
        <w:bottom w:val="none" w:sz="0" w:space="0" w:color="auto"/>
        <w:right w:val="none" w:sz="0" w:space="0" w:color="auto"/>
      </w:divBdr>
    </w:div>
    <w:div w:id="2121408695">
      <w:bodyDiv w:val="1"/>
      <w:marLeft w:val="0"/>
      <w:marRight w:val="0"/>
      <w:marTop w:val="0"/>
      <w:marBottom w:val="0"/>
      <w:divBdr>
        <w:top w:val="none" w:sz="0" w:space="0" w:color="auto"/>
        <w:left w:val="none" w:sz="0" w:space="0" w:color="auto"/>
        <w:bottom w:val="none" w:sz="0" w:space="0" w:color="auto"/>
        <w:right w:val="none" w:sz="0" w:space="0" w:color="auto"/>
      </w:divBdr>
    </w:div>
    <w:div w:id="2121949880">
      <w:bodyDiv w:val="1"/>
      <w:marLeft w:val="0"/>
      <w:marRight w:val="0"/>
      <w:marTop w:val="0"/>
      <w:marBottom w:val="0"/>
      <w:divBdr>
        <w:top w:val="none" w:sz="0" w:space="0" w:color="auto"/>
        <w:left w:val="none" w:sz="0" w:space="0" w:color="auto"/>
        <w:bottom w:val="none" w:sz="0" w:space="0" w:color="auto"/>
        <w:right w:val="none" w:sz="0" w:space="0" w:color="auto"/>
      </w:divBdr>
    </w:div>
    <w:div w:id="2122140350">
      <w:bodyDiv w:val="1"/>
      <w:marLeft w:val="0"/>
      <w:marRight w:val="0"/>
      <w:marTop w:val="0"/>
      <w:marBottom w:val="0"/>
      <w:divBdr>
        <w:top w:val="none" w:sz="0" w:space="0" w:color="auto"/>
        <w:left w:val="none" w:sz="0" w:space="0" w:color="auto"/>
        <w:bottom w:val="none" w:sz="0" w:space="0" w:color="auto"/>
        <w:right w:val="none" w:sz="0" w:space="0" w:color="auto"/>
      </w:divBdr>
    </w:div>
    <w:div w:id="2122190056">
      <w:bodyDiv w:val="1"/>
      <w:marLeft w:val="0"/>
      <w:marRight w:val="0"/>
      <w:marTop w:val="0"/>
      <w:marBottom w:val="0"/>
      <w:divBdr>
        <w:top w:val="none" w:sz="0" w:space="0" w:color="auto"/>
        <w:left w:val="none" w:sz="0" w:space="0" w:color="auto"/>
        <w:bottom w:val="none" w:sz="0" w:space="0" w:color="auto"/>
        <w:right w:val="none" w:sz="0" w:space="0" w:color="auto"/>
      </w:divBdr>
    </w:div>
    <w:div w:id="2122450864">
      <w:bodyDiv w:val="1"/>
      <w:marLeft w:val="0"/>
      <w:marRight w:val="0"/>
      <w:marTop w:val="0"/>
      <w:marBottom w:val="0"/>
      <w:divBdr>
        <w:top w:val="none" w:sz="0" w:space="0" w:color="auto"/>
        <w:left w:val="none" w:sz="0" w:space="0" w:color="auto"/>
        <w:bottom w:val="none" w:sz="0" w:space="0" w:color="auto"/>
        <w:right w:val="none" w:sz="0" w:space="0" w:color="auto"/>
      </w:divBdr>
    </w:div>
    <w:div w:id="2122724832">
      <w:bodyDiv w:val="1"/>
      <w:marLeft w:val="0"/>
      <w:marRight w:val="0"/>
      <w:marTop w:val="0"/>
      <w:marBottom w:val="0"/>
      <w:divBdr>
        <w:top w:val="none" w:sz="0" w:space="0" w:color="auto"/>
        <w:left w:val="none" w:sz="0" w:space="0" w:color="auto"/>
        <w:bottom w:val="none" w:sz="0" w:space="0" w:color="auto"/>
        <w:right w:val="none" w:sz="0" w:space="0" w:color="auto"/>
      </w:divBdr>
    </w:div>
    <w:div w:id="2122794303">
      <w:bodyDiv w:val="1"/>
      <w:marLeft w:val="0"/>
      <w:marRight w:val="0"/>
      <w:marTop w:val="0"/>
      <w:marBottom w:val="0"/>
      <w:divBdr>
        <w:top w:val="none" w:sz="0" w:space="0" w:color="auto"/>
        <w:left w:val="none" w:sz="0" w:space="0" w:color="auto"/>
        <w:bottom w:val="none" w:sz="0" w:space="0" w:color="auto"/>
        <w:right w:val="none" w:sz="0" w:space="0" w:color="auto"/>
      </w:divBdr>
    </w:div>
    <w:div w:id="2122872117">
      <w:bodyDiv w:val="1"/>
      <w:marLeft w:val="0"/>
      <w:marRight w:val="0"/>
      <w:marTop w:val="0"/>
      <w:marBottom w:val="0"/>
      <w:divBdr>
        <w:top w:val="none" w:sz="0" w:space="0" w:color="auto"/>
        <w:left w:val="none" w:sz="0" w:space="0" w:color="auto"/>
        <w:bottom w:val="none" w:sz="0" w:space="0" w:color="auto"/>
        <w:right w:val="none" w:sz="0" w:space="0" w:color="auto"/>
      </w:divBdr>
    </w:div>
    <w:div w:id="2123067471">
      <w:bodyDiv w:val="1"/>
      <w:marLeft w:val="0"/>
      <w:marRight w:val="0"/>
      <w:marTop w:val="0"/>
      <w:marBottom w:val="0"/>
      <w:divBdr>
        <w:top w:val="none" w:sz="0" w:space="0" w:color="auto"/>
        <w:left w:val="none" w:sz="0" w:space="0" w:color="auto"/>
        <w:bottom w:val="none" w:sz="0" w:space="0" w:color="auto"/>
        <w:right w:val="none" w:sz="0" w:space="0" w:color="auto"/>
      </w:divBdr>
    </w:div>
    <w:div w:id="2123497638">
      <w:bodyDiv w:val="1"/>
      <w:marLeft w:val="0"/>
      <w:marRight w:val="0"/>
      <w:marTop w:val="0"/>
      <w:marBottom w:val="0"/>
      <w:divBdr>
        <w:top w:val="none" w:sz="0" w:space="0" w:color="auto"/>
        <w:left w:val="none" w:sz="0" w:space="0" w:color="auto"/>
        <w:bottom w:val="none" w:sz="0" w:space="0" w:color="auto"/>
        <w:right w:val="none" w:sz="0" w:space="0" w:color="auto"/>
      </w:divBdr>
    </w:div>
    <w:div w:id="2123761675">
      <w:bodyDiv w:val="1"/>
      <w:marLeft w:val="0"/>
      <w:marRight w:val="0"/>
      <w:marTop w:val="0"/>
      <w:marBottom w:val="0"/>
      <w:divBdr>
        <w:top w:val="none" w:sz="0" w:space="0" w:color="auto"/>
        <w:left w:val="none" w:sz="0" w:space="0" w:color="auto"/>
        <w:bottom w:val="none" w:sz="0" w:space="0" w:color="auto"/>
        <w:right w:val="none" w:sz="0" w:space="0" w:color="auto"/>
      </w:divBdr>
    </w:div>
    <w:div w:id="2124231391">
      <w:bodyDiv w:val="1"/>
      <w:marLeft w:val="0"/>
      <w:marRight w:val="0"/>
      <w:marTop w:val="0"/>
      <w:marBottom w:val="0"/>
      <w:divBdr>
        <w:top w:val="none" w:sz="0" w:space="0" w:color="auto"/>
        <w:left w:val="none" w:sz="0" w:space="0" w:color="auto"/>
        <w:bottom w:val="none" w:sz="0" w:space="0" w:color="auto"/>
        <w:right w:val="none" w:sz="0" w:space="0" w:color="auto"/>
      </w:divBdr>
    </w:div>
    <w:div w:id="2124685607">
      <w:bodyDiv w:val="1"/>
      <w:marLeft w:val="0"/>
      <w:marRight w:val="0"/>
      <w:marTop w:val="0"/>
      <w:marBottom w:val="0"/>
      <w:divBdr>
        <w:top w:val="none" w:sz="0" w:space="0" w:color="auto"/>
        <w:left w:val="none" w:sz="0" w:space="0" w:color="auto"/>
        <w:bottom w:val="none" w:sz="0" w:space="0" w:color="auto"/>
        <w:right w:val="none" w:sz="0" w:space="0" w:color="auto"/>
      </w:divBdr>
    </w:div>
    <w:div w:id="2124835316">
      <w:bodyDiv w:val="1"/>
      <w:marLeft w:val="0"/>
      <w:marRight w:val="0"/>
      <w:marTop w:val="0"/>
      <w:marBottom w:val="0"/>
      <w:divBdr>
        <w:top w:val="none" w:sz="0" w:space="0" w:color="auto"/>
        <w:left w:val="none" w:sz="0" w:space="0" w:color="auto"/>
        <w:bottom w:val="none" w:sz="0" w:space="0" w:color="auto"/>
        <w:right w:val="none" w:sz="0" w:space="0" w:color="auto"/>
      </w:divBdr>
    </w:div>
    <w:div w:id="2125031161">
      <w:bodyDiv w:val="1"/>
      <w:marLeft w:val="0"/>
      <w:marRight w:val="0"/>
      <w:marTop w:val="0"/>
      <w:marBottom w:val="0"/>
      <w:divBdr>
        <w:top w:val="none" w:sz="0" w:space="0" w:color="auto"/>
        <w:left w:val="none" w:sz="0" w:space="0" w:color="auto"/>
        <w:bottom w:val="none" w:sz="0" w:space="0" w:color="auto"/>
        <w:right w:val="none" w:sz="0" w:space="0" w:color="auto"/>
      </w:divBdr>
    </w:div>
    <w:div w:id="2125343329">
      <w:bodyDiv w:val="1"/>
      <w:marLeft w:val="0"/>
      <w:marRight w:val="0"/>
      <w:marTop w:val="0"/>
      <w:marBottom w:val="0"/>
      <w:divBdr>
        <w:top w:val="none" w:sz="0" w:space="0" w:color="auto"/>
        <w:left w:val="none" w:sz="0" w:space="0" w:color="auto"/>
        <w:bottom w:val="none" w:sz="0" w:space="0" w:color="auto"/>
        <w:right w:val="none" w:sz="0" w:space="0" w:color="auto"/>
      </w:divBdr>
    </w:div>
    <w:div w:id="2125495643">
      <w:bodyDiv w:val="1"/>
      <w:marLeft w:val="0"/>
      <w:marRight w:val="0"/>
      <w:marTop w:val="0"/>
      <w:marBottom w:val="0"/>
      <w:divBdr>
        <w:top w:val="none" w:sz="0" w:space="0" w:color="auto"/>
        <w:left w:val="none" w:sz="0" w:space="0" w:color="auto"/>
        <w:bottom w:val="none" w:sz="0" w:space="0" w:color="auto"/>
        <w:right w:val="none" w:sz="0" w:space="0" w:color="auto"/>
      </w:divBdr>
    </w:div>
    <w:div w:id="2126340083">
      <w:bodyDiv w:val="1"/>
      <w:marLeft w:val="0"/>
      <w:marRight w:val="0"/>
      <w:marTop w:val="0"/>
      <w:marBottom w:val="0"/>
      <w:divBdr>
        <w:top w:val="none" w:sz="0" w:space="0" w:color="auto"/>
        <w:left w:val="none" w:sz="0" w:space="0" w:color="auto"/>
        <w:bottom w:val="none" w:sz="0" w:space="0" w:color="auto"/>
        <w:right w:val="none" w:sz="0" w:space="0" w:color="auto"/>
      </w:divBdr>
    </w:div>
    <w:div w:id="2126345204">
      <w:bodyDiv w:val="1"/>
      <w:marLeft w:val="0"/>
      <w:marRight w:val="0"/>
      <w:marTop w:val="0"/>
      <w:marBottom w:val="0"/>
      <w:divBdr>
        <w:top w:val="none" w:sz="0" w:space="0" w:color="auto"/>
        <w:left w:val="none" w:sz="0" w:space="0" w:color="auto"/>
        <w:bottom w:val="none" w:sz="0" w:space="0" w:color="auto"/>
        <w:right w:val="none" w:sz="0" w:space="0" w:color="auto"/>
      </w:divBdr>
    </w:div>
    <w:div w:id="2126607499">
      <w:bodyDiv w:val="1"/>
      <w:marLeft w:val="0"/>
      <w:marRight w:val="0"/>
      <w:marTop w:val="0"/>
      <w:marBottom w:val="0"/>
      <w:divBdr>
        <w:top w:val="none" w:sz="0" w:space="0" w:color="auto"/>
        <w:left w:val="none" w:sz="0" w:space="0" w:color="auto"/>
        <w:bottom w:val="none" w:sz="0" w:space="0" w:color="auto"/>
        <w:right w:val="none" w:sz="0" w:space="0" w:color="auto"/>
      </w:divBdr>
    </w:div>
    <w:div w:id="2127195183">
      <w:bodyDiv w:val="1"/>
      <w:marLeft w:val="0"/>
      <w:marRight w:val="0"/>
      <w:marTop w:val="0"/>
      <w:marBottom w:val="0"/>
      <w:divBdr>
        <w:top w:val="none" w:sz="0" w:space="0" w:color="auto"/>
        <w:left w:val="none" w:sz="0" w:space="0" w:color="auto"/>
        <w:bottom w:val="none" w:sz="0" w:space="0" w:color="auto"/>
        <w:right w:val="none" w:sz="0" w:space="0" w:color="auto"/>
      </w:divBdr>
    </w:div>
    <w:div w:id="2127233399">
      <w:bodyDiv w:val="1"/>
      <w:marLeft w:val="0"/>
      <w:marRight w:val="0"/>
      <w:marTop w:val="0"/>
      <w:marBottom w:val="0"/>
      <w:divBdr>
        <w:top w:val="none" w:sz="0" w:space="0" w:color="auto"/>
        <w:left w:val="none" w:sz="0" w:space="0" w:color="auto"/>
        <w:bottom w:val="none" w:sz="0" w:space="0" w:color="auto"/>
        <w:right w:val="none" w:sz="0" w:space="0" w:color="auto"/>
      </w:divBdr>
    </w:div>
    <w:div w:id="2127692195">
      <w:bodyDiv w:val="1"/>
      <w:marLeft w:val="0"/>
      <w:marRight w:val="0"/>
      <w:marTop w:val="0"/>
      <w:marBottom w:val="0"/>
      <w:divBdr>
        <w:top w:val="none" w:sz="0" w:space="0" w:color="auto"/>
        <w:left w:val="none" w:sz="0" w:space="0" w:color="auto"/>
        <w:bottom w:val="none" w:sz="0" w:space="0" w:color="auto"/>
        <w:right w:val="none" w:sz="0" w:space="0" w:color="auto"/>
      </w:divBdr>
    </w:div>
    <w:div w:id="2127967370">
      <w:bodyDiv w:val="1"/>
      <w:marLeft w:val="0"/>
      <w:marRight w:val="0"/>
      <w:marTop w:val="0"/>
      <w:marBottom w:val="0"/>
      <w:divBdr>
        <w:top w:val="none" w:sz="0" w:space="0" w:color="auto"/>
        <w:left w:val="none" w:sz="0" w:space="0" w:color="auto"/>
        <w:bottom w:val="none" w:sz="0" w:space="0" w:color="auto"/>
        <w:right w:val="none" w:sz="0" w:space="0" w:color="auto"/>
      </w:divBdr>
    </w:div>
    <w:div w:id="2127968910">
      <w:bodyDiv w:val="1"/>
      <w:marLeft w:val="0"/>
      <w:marRight w:val="0"/>
      <w:marTop w:val="0"/>
      <w:marBottom w:val="0"/>
      <w:divBdr>
        <w:top w:val="none" w:sz="0" w:space="0" w:color="auto"/>
        <w:left w:val="none" w:sz="0" w:space="0" w:color="auto"/>
        <w:bottom w:val="none" w:sz="0" w:space="0" w:color="auto"/>
        <w:right w:val="none" w:sz="0" w:space="0" w:color="auto"/>
      </w:divBdr>
    </w:div>
    <w:div w:id="2128043295">
      <w:bodyDiv w:val="1"/>
      <w:marLeft w:val="0"/>
      <w:marRight w:val="0"/>
      <w:marTop w:val="0"/>
      <w:marBottom w:val="0"/>
      <w:divBdr>
        <w:top w:val="none" w:sz="0" w:space="0" w:color="auto"/>
        <w:left w:val="none" w:sz="0" w:space="0" w:color="auto"/>
        <w:bottom w:val="none" w:sz="0" w:space="0" w:color="auto"/>
        <w:right w:val="none" w:sz="0" w:space="0" w:color="auto"/>
      </w:divBdr>
    </w:div>
    <w:div w:id="2128693255">
      <w:bodyDiv w:val="1"/>
      <w:marLeft w:val="0"/>
      <w:marRight w:val="0"/>
      <w:marTop w:val="0"/>
      <w:marBottom w:val="0"/>
      <w:divBdr>
        <w:top w:val="none" w:sz="0" w:space="0" w:color="auto"/>
        <w:left w:val="none" w:sz="0" w:space="0" w:color="auto"/>
        <w:bottom w:val="none" w:sz="0" w:space="0" w:color="auto"/>
        <w:right w:val="none" w:sz="0" w:space="0" w:color="auto"/>
      </w:divBdr>
    </w:div>
    <w:div w:id="2129083620">
      <w:bodyDiv w:val="1"/>
      <w:marLeft w:val="0"/>
      <w:marRight w:val="0"/>
      <w:marTop w:val="0"/>
      <w:marBottom w:val="0"/>
      <w:divBdr>
        <w:top w:val="none" w:sz="0" w:space="0" w:color="auto"/>
        <w:left w:val="none" w:sz="0" w:space="0" w:color="auto"/>
        <w:bottom w:val="none" w:sz="0" w:space="0" w:color="auto"/>
        <w:right w:val="none" w:sz="0" w:space="0" w:color="auto"/>
      </w:divBdr>
    </w:div>
    <w:div w:id="2129615619">
      <w:bodyDiv w:val="1"/>
      <w:marLeft w:val="0"/>
      <w:marRight w:val="0"/>
      <w:marTop w:val="0"/>
      <w:marBottom w:val="0"/>
      <w:divBdr>
        <w:top w:val="none" w:sz="0" w:space="0" w:color="auto"/>
        <w:left w:val="none" w:sz="0" w:space="0" w:color="auto"/>
        <w:bottom w:val="none" w:sz="0" w:space="0" w:color="auto"/>
        <w:right w:val="none" w:sz="0" w:space="0" w:color="auto"/>
      </w:divBdr>
    </w:div>
    <w:div w:id="2129733236">
      <w:bodyDiv w:val="1"/>
      <w:marLeft w:val="0"/>
      <w:marRight w:val="0"/>
      <w:marTop w:val="0"/>
      <w:marBottom w:val="0"/>
      <w:divBdr>
        <w:top w:val="none" w:sz="0" w:space="0" w:color="auto"/>
        <w:left w:val="none" w:sz="0" w:space="0" w:color="auto"/>
        <w:bottom w:val="none" w:sz="0" w:space="0" w:color="auto"/>
        <w:right w:val="none" w:sz="0" w:space="0" w:color="auto"/>
      </w:divBdr>
    </w:div>
    <w:div w:id="2129810885">
      <w:bodyDiv w:val="1"/>
      <w:marLeft w:val="0"/>
      <w:marRight w:val="0"/>
      <w:marTop w:val="0"/>
      <w:marBottom w:val="0"/>
      <w:divBdr>
        <w:top w:val="none" w:sz="0" w:space="0" w:color="auto"/>
        <w:left w:val="none" w:sz="0" w:space="0" w:color="auto"/>
        <w:bottom w:val="none" w:sz="0" w:space="0" w:color="auto"/>
        <w:right w:val="none" w:sz="0" w:space="0" w:color="auto"/>
      </w:divBdr>
    </w:div>
    <w:div w:id="2130272442">
      <w:bodyDiv w:val="1"/>
      <w:marLeft w:val="0"/>
      <w:marRight w:val="0"/>
      <w:marTop w:val="0"/>
      <w:marBottom w:val="0"/>
      <w:divBdr>
        <w:top w:val="none" w:sz="0" w:space="0" w:color="auto"/>
        <w:left w:val="none" w:sz="0" w:space="0" w:color="auto"/>
        <w:bottom w:val="none" w:sz="0" w:space="0" w:color="auto"/>
        <w:right w:val="none" w:sz="0" w:space="0" w:color="auto"/>
      </w:divBdr>
    </w:div>
    <w:div w:id="2130468770">
      <w:bodyDiv w:val="1"/>
      <w:marLeft w:val="0"/>
      <w:marRight w:val="0"/>
      <w:marTop w:val="0"/>
      <w:marBottom w:val="0"/>
      <w:divBdr>
        <w:top w:val="none" w:sz="0" w:space="0" w:color="auto"/>
        <w:left w:val="none" w:sz="0" w:space="0" w:color="auto"/>
        <w:bottom w:val="none" w:sz="0" w:space="0" w:color="auto"/>
        <w:right w:val="none" w:sz="0" w:space="0" w:color="auto"/>
      </w:divBdr>
    </w:div>
    <w:div w:id="2130514561">
      <w:bodyDiv w:val="1"/>
      <w:marLeft w:val="0"/>
      <w:marRight w:val="0"/>
      <w:marTop w:val="0"/>
      <w:marBottom w:val="0"/>
      <w:divBdr>
        <w:top w:val="none" w:sz="0" w:space="0" w:color="auto"/>
        <w:left w:val="none" w:sz="0" w:space="0" w:color="auto"/>
        <w:bottom w:val="none" w:sz="0" w:space="0" w:color="auto"/>
        <w:right w:val="none" w:sz="0" w:space="0" w:color="auto"/>
      </w:divBdr>
    </w:div>
    <w:div w:id="2130583839">
      <w:bodyDiv w:val="1"/>
      <w:marLeft w:val="0"/>
      <w:marRight w:val="0"/>
      <w:marTop w:val="0"/>
      <w:marBottom w:val="0"/>
      <w:divBdr>
        <w:top w:val="none" w:sz="0" w:space="0" w:color="auto"/>
        <w:left w:val="none" w:sz="0" w:space="0" w:color="auto"/>
        <w:bottom w:val="none" w:sz="0" w:space="0" w:color="auto"/>
        <w:right w:val="none" w:sz="0" w:space="0" w:color="auto"/>
      </w:divBdr>
    </w:div>
    <w:div w:id="2130587649">
      <w:bodyDiv w:val="1"/>
      <w:marLeft w:val="0"/>
      <w:marRight w:val="0"/>
      <w:marTop w:val="0"/>
      <w:marBottom w:val="0"/>
      <w:divBdr>
        <w:top w:val="none" w:sz="0" w:space="0" w:color="auto"/>
        <w:left w:val="none" w:sz="0" w:space="0" w:color="auto"/>
        <w:bottom w:val="none" w:sz="0" w:space="0" w:color="auto"/>
        <w:right w:val="none" w:sz="0" w:space="0" w:color="auto"/>
      </w:divBdr>
    </w:div>
    <w:div w:id="2130858555">
      <w:bodyDiv w:val="1"/>
      <w:marLeft w:val="0"/>
      <w:marRight w:val="0"/>
      <w:marTop w:val="0"/>
      <w:marBottom w:val="0"/>
      <w:divBdr>
        <w:top w:val="none" w:sz="0" w:space="0" w:color="auto"/>
        <w:left w:val="none" w:sz="0" w:space="0" w:color="auto"/>
        <w:bottom w:val="none" w:sz="0" w:space="0" w:color="auto"/>
        <w:right w:val="none" w:sz="0" w:space="0" w:color="auto"/>
      </w:divBdr>
    </w:div>
    <w:div w:id="2131707081">
      <w:bodyDiv w:val="1"/>
      <w:marLeft w:val="0"/>
      <w:marRight w:val="0"/>
      <w:marTop w:val="0"/>
      <w:marBottom w:val="0"/>
      <w:divBdr>
        <w:top w:val="none" w:sz="0" w:space="0" w:color="auto"/>
        <w:left w:val="none" w:sz="0" w:space="0" w:color="auto"/>
        <w:bottom w:val="none" w:sz="0" w:space="0" w:color="auto"/>
        <w:right w:val="none" w:sz="0" w:space="0" w:color="auto"/>
      </w:divBdr>
    </w:div>
    <w:div w:id="2131825886">
      <w:bodyDiv w:val="1"/>
      <w:marLeft w:val="0"/>
      <w:marRight w:val="0"/>
      <w:marTop w:val="0"/>
      <w:marBottom w:val="0"/>
      <w:divBdr>
        <w:top w:val="none" w:sz="0" w:space="0" w:color="auto"/>
        <w:left w:val="none" w:sz="0" w:space="0" w:color="auto"/>
        <w:bottom w:val="none" w:sz="0" w:space="0" w:color="auto"/>
        <w:right w:val="none" w:sz="0" w:space="0" w:color="auto"/>
      </w:divBdr>
    </w:div>
    <w:div w:id="2132045705">
      <w:bodyDiv w:val="1"/>
      <w:marLeft w:val="0"/>
      <w:marRight w:val="0"/>
      <w:marTop w:val="0"/>
      <w:marBottom w:val="0"/>
      <w:divBdr>
        <w:top w:val="none" w:sz="0" w:space="0" w:color="auto"/>
        <w:left w:val="none" w:sz="0" w:space="0" w:color="auto"/>
        <w:bottom w:val="none" w:sz="0" w:space="0" w:color="auto"/>
        <w:right w:val="none" w:sz="0" w:space="0" w:color="auto"/>
      </w:divBdr>
    </w:div>
    <w:div w:id="2132480927">
      <w:bodyDiv w:val="1"/>
      <w:marLeft w:val="0"/>
      <w:marRight w:val="0"/>
      <w:marTop w:val="0"/>
      <w:marBottom w:val="0"/>
      <w:divBdr>
        <w:top w:val="none" w:sz="0" w:space="0" w:color="auto"/>
        <w:left w:val="none" w:sz="0" w:space="0" w:color="auto"/>
        <w:bottom w:val="none" w:sz="0" w:space="0" w:color="auto"/>
        <w:right w:val="none" w:sz="0" w:space="0" w:color="auto"/>
      </w:divBdr>
    </w:div>
    <w:div w:id="2132824096">
      <w:bodyDiv w:val="1"/>
      <w:marLeft w:val="0"/>
      <w:marRight w:val="0"/>
      <w:marTop w:val="0"/>
      <w:marBottom w:val="0"/>
      <w:divBdr>
        <w:top w:val="none" w:sz="0" w:space="0" w:color="auto"/>
        <w:left w:val="none" w:sz="0" w:space="0" w:color="auto"/>
        <w:bottom w:val="none" w:sz="0" w:space="0" w:color="auto"/>
        <w:right w:val="none" w:sz="0" w:space="0" w:color="auto"/>
      </w:divBdr>
    </w:div>
    <w:div w:id="2132938094">
      <w:bodyDiv w:val="1"/>
      <w:marLeft w:val="0"/>
      <w:marRight w:val="0"/>
      <w:marTop w:val="0"/>
      <w:marBottom w:val="0"/>
      <w:divBdr>
        <w:top w:val="none" w:sz="0" w:space="0" w:color="auto"/>
        <w:left w:val="none" w:sz="0" w:space="0" w:color="auto"/>
        <w:bottom w:val="none" w:sz="0" w:space="0" w:color="auto"/>
        <w:right w:val="none" w:sz="0" w:space="0" w:color="auto"/>
      </w:divBdr>
    </w:div>
    <w:div w:id="2132942408">
      <w:bodyDiv w:val="1"/>
      <w:marLeft w:val="0"/>
      <w:marRight w:val="0"/>
      <w:marTop w:val="0"/>
      <w:marBottom w:val="0"/>
      <w:divBdr>
        <w:top w:val="none" w:sz="0" w:space="0" w:color="auto"/>
        <w:left w:val="none" w:sz="0" w:space="0" w:color="auto"/>
        <w:bottom w:val="none" w:sz="0" w:space="0" w:color="auto"/>
        <w:right w:val="none" w:sz="0" w:space="0" w:color="auto"/>
      </w:divBdr>
    </w:div>
    <w:div w:id="2132942804">
      <w:bodyDiv w:val="1"/>
      <w:marLeft w:val="0"/>
      <w:marRight w:val="0"/>
      <w:marTop w:val="0"/>
      <w:marBottom w:val="0"/>
      <w:divBdr>
        <w:top w:val="none" w:sz="0" w:space="0" w:color="auto"/>
        <w:left w:val="none" w:sz="0" w:space="0" w:color="auto"/>
        <w:bottom w:val="none" w:sz="0" w:space="0" w:color="auto"/>
        <w:right w:val="none" w:sz="0" w:space="0" w:color="auto"/>
      </w:divBdr>
    </w:div>
    <w:div w:id="2133085927">
      <w:bodyDiv w:val="1"/>
      <w:marLeft w:val="0"/>
      <w:marRight w:val="0"/>
      <w:marTop w:val="0"/>
      <w:marBottom w:val="0"/>
      <w:divBdr>
        <w:top w:val="none" w:sz="0" w:space="0" w:color="auto"/>
        <w:left w:val="none" w:sz="0" w:space="0" w:color="auto"/>
        <w:bottom w:val="none" w:sz="0" w:space="0" w:color="auto"/>
        <w:right w:val="none" w:sz="0" w:space="0" w:color="auto"/>
      </w:divBdr>
    </w:div>
    <w:div w:id="2134520501">
      <w:bodyDiv w:val="1"/>
      <w:marLeft w:val="0"/>
      <w:marRight w:val="0"/>
      <w:marTop w:val="0"/>
      <w:marBottom w:val="0"/>
      <w:divBdr>
        <w:top w:val="none" w:sz="0" w:space="0" w:color="auto"/>
        <w:left w:val="none" w:sz="0" w:space="0" w:color="auto"/>
        <w:bottom w:val="none" w:sz="0" w:space="0" w:color="auto"/>
        <w:right w:val="none" w:sz="0" w:space="0" w:color="auto"/>
      </w:divBdr>
    </w:div>
    <w:div w:id="2134666250">
      <w:bodyDiv w:val="1"/>
      <w:marLeft w:val="0"/>
      <w:marRight w:val="0"/>
      <w:marTop w:val="0"/>
      <w:marBottom w:val="0"/>
      <w:divBdr>
        <w:top w:val="none" w:sz="0" w:space="0" w:color="auto"/>
        <w:left w:val="none" w:sz="0" w:space="0" w:color="auto"/>
        <w:bottom w:val="none" w:sz="0" w:space="0" w:color="auto"/>
        <w:right w:val="none" w:sz="0" w:space="0" w:color="auto"/>
      </w:divBdr>
    </w:div>
    <w:div w:id="2135247732">
      <w:bodyDiv w:val="1"/>
      <w:marLeft w:val="0"/>
      <w:marRight w:val="0"/>
      <w:marTop w:val="0"/>
      <w:marBottom w:val="0"/>
      <w:divBdr>
        <w:top w:val="none" w:sz="0" w:space="0" w:color="auto"/>
        <w:left w:val="none" w:sz="0" w:space="0" w:color="auto"/>
        <w:bottom w:val="none" w:sz="0" w:space="0" w:color="auto"/>
        <w:right w:val="none" w:sz="0" w:space="0" w:color="auto"/>
      </w:divBdr>
    </w:div>
    <w:div w:id="2135323445">
      <w:bodyDiv w:val="1"/>
      <w:marLeft w:val="0"/>
      <w:marRight w:val="0"/>
      <w:marTop w:val="0"/>
      <w:marBottom w:val="0"/>
      <w:divBdr>
        <w:top w:val="none" w:sz="0" w:space="0" w:color="auto"/>
        <w:left w:val="none" w:sz="0" w:space="0" w:color="auto"/>
        <w:bottom w:val="none" w:sz="0" w:space="0" w:color="auto"/>
        <w:right w:val="none" w:sz="0" w:space="0" w:color="auto"/>
      </w:divBdr>
    </w:div>
    <w:div w:id="2135754792">
      <w:bodyDiv w:val="1"/>
      <w:marLeft w:val="0"/>
      <w:marRight w:val="0"/>
      <w:marTop w:val="0"/>
      <w:marBottom w:val="0"/>
      <w:divBdr>
        <w:top w:val="none" w:sz="0" w:space="0" w:color="auto"/>
        <w:left w:val="none" w:sz="0" w:space="0" w:color="auto"/>
        <w:bottom w:val="none" w:sz="0" w:space="0" w:color="auto"/>
        <w:right w:val="none" w:sz="0" w:space="0" w:color="auto"/>
      </w:divBdr>
    </w:div>
    <w:div w:id="2136368802">
      <w:bodyDiv w:val="1"/>
      <w:marLeft w:val="0"/>
      <w:marRight w:val="0"/>
      <w:marTop w:val="0"/>
      <w:marBottom w:val="0"/>
      <w:divBdr>
        <w:top w:val="none" w:sz="0" w:space="0" w:color="auto"/>
        <w:left w:val="none" w:sz="0" w:space="0" w:color="auto"/>
        <w:bottom w:val="none" w:sz="0" w:space="0" w:color="auto"/>
        <w:right w:val="none" w:sz="0" w:space="0" w:color="auto"/>
      </w:divBdr>
    </w:div>
    <w:div w:id="2136830403">
      <w:bodyDiv w:val="1"/>
      <w:marLeft w:val="0"/>
      <w:marRight w:val="0"/>
      <w:marTop w:val="0"/>
      <w:marBottom w:val="0"/>
      <w:divBdr>
        <w:top w:val="none" w:sz="0" w:space="0" w:color="auto"/>
        <w:left w:val="none" w:sz="0" w:space="0" w:color="auto"/>
        <w:bottom w:val="none" w:sz="0" w:space="0" w:color="auto"/>
        <w:right w:val="none" w:sz="0" w:space="0" w:color="auto"/>
      </w:divBdr>
    </w:div>
    <w:div w:id="2136946055">
      <w:bodyDiv w:val="1"/>
      <w:marLeft w:val="0"/>
      <w:marRight w:val="0"/>
      <w:marTop w:val="0"/>
      <w:marBottom w:val="0"/>
      <w:divBdr>
        <w:top w:val="none" w:sz="0" w:space="0" w:color="auto"/>
        <w:left w:val="none" w:sz="0" w:space="0" w:color="auto"/>
        <w:bottom w:val="none" w:sz="0" w:space="0" w:color="auto"/>
        <w:right w:val="none" w:sz="0" w:space="0" w:color="auto"/>
      </w:divBdr>
    </w:div>
    <w:div w:id="2137095255">
      <w:bodyDiv w:val="1"/>
      <w:marLeft w:val="0"/>
      <w:marRight w:val="0"/>
      <w:marTop w:val="0"/>
      <w:marBottom w:val="0"/>
      <w:divBdr>
        <w:top w:val="none" w:sz="0" w:space="0" w:color="auto"/>
        <w:left w:val="none" w:sz="0" w:space="0" w:color="auto"/>
        <w:bottom w:val="none" w:sz="0" w:space="0" w:color="auto"/>
        <w:right w:val="none" w:sz="0" w:space="0" w:color="auto"/>
      </w:divBdr>
    </w:div>
    <w:div w:id="2137795862">
      <w:bodyDiv w:val="1"/>
      <w:marLeft w:val="0"/>
      <w:marRight w:val="0"/>
      <w:marTop w:val="0"/>
      <w:marBottom w:val="0"/>
      <w:divBdr>
        <w:top w:val="none" w:sz="0" w:space="0" w:color="auto"/>
        <w:left w:val="none" w:sz="0" w:space="0" w:color="auto"/>
        <w:bottom w:val="none" w:sz="0" w:space="0" w:color="auto"/>
        <w:right w:val="none" w:sz="0" w:space="0" w:color="auto"/>
      </w:divBdr>
    </w:div>
    <w:div w:id="2138254535">
      <w:bodyDiv w:val="1"/>
      <w:marLeft w:val="0"/>
      <w:marRight w:val="0"/>
      <w:marTop w:val="0"/>
      <w:marBottom w:val="0"/>
      <w:divBdr>
        <w:top w:val="none" w:sz="0" w:space="0" w:color="auto"/>
        <w:left w:val="none" w:sz="0" w:space="0" w:color="auto"/>
        <w:bottom w:val="none" w:sz="0" w:space="0" w:color="auto"/>
        <w:right w:val="none" w:sz="0" w:space="0" w:color="auto"/>
      </w:divBdr>
    </w:div>
    <w:div w:id="2139031772">
      <w:bodyDiv w:val="1"/>
      <w:marLeft w:val="0"/>
      <w:marRight w:val="0"/>
      <w:marTop w:val="0"/>
      <w:marBottom w:val="0"/>
      <w:divBdr>
        <w:top w:val="none" w:sz="0" w:space="0" w:color="auto"/>
        <w:left w:val="none" w:sz="0" w:space="0" w:color="auto"/>
        <w:bottom w:val="none" w:sz="0" w:space="0" w:color="auto"/>
        <w:right w:val="none" w:sz="0" w:space="0" w:color="auto"/>
      </w:divBdr>
    </w:div>
    <w:div w:id="2139179148">
      <w:bodyDiv w:val="1"/>
      <w:marLeft w:val="0"/>
      <w:marRight w:val="0"/>
      <w:marTop w:val="0"/>
      <w:marBottom w:val="0"/>
      <w:divBdr>
        <w:top w:val="none" w:sz="0" w:space="0" w:color="auto"/>
        <w:left w:val="none" w:sz="0" w:space="0" w:color="auto"/>
        <w:bottom w:val="none" w:sz="0" w:space="0" w:color="auto"/>
        <w:right w:val="none" w:sz="0" w:space="0" w:color="auto"/>
      </w:divBdr>
    </w:div>
    <w:div w:id="2139252146">
      <w:bodyDiv w:val="1"/>
      <w:marLeft w:val="0"/>
      <w:marRight w:val="0"/>
      <w:marTop w:val="0"/>
      <w:marBottom w:val="0"/>
      <w:divBdr>
        <w:top w:val="none" w:sz="0" w:space="0" w:color="auto"/>
        <w:left w:val="none" w:sz="0" w:space="0" w:color="auto"/>
        <w:bottom w:val="none" w:sz="0" w:space="0" w:color="auto"/>
        <w:right w:val="none" w:sz="0" w:space="0" w:color="auto"/>
      </w:divBdr>
    </w:div>
    <w:div w:id="2140224702">
      <w:bodyDiv w:val="1"/>
      <w:marLeft w:val="0"/>
      <w:marRight w:val="0"/>
      <w:marTop w:val="0"/>
      <w:marBottom w:val="0"/>
      <w:divBdr>
        <w:top w:val="none" w:sz="0" w:space="0" w:color="auto"/>
        <w:left w:val="none" w:sz="0" w:space="0" w:color="auto"/>
        <w:bottom w:val="none" w:sz="0" w:space="0" w:color="auto"/>
        <w:right w:val="none" w:sz="0" w:space="0" w:color="auto"/>
      </w:divBdr>
    </w:div>
    <w:div w:id="2140417835">
      <w:bodyDiv w:val="1"/>
      <w:marLeft w:val="0"/>
      <w:marRight w:val="0"/>
      <w:marTop w:val="0"/>
      <w:marBottom w:val="0"/>
      <w:divBdr>
        <w:top w:val="none" w:sz="0" w:space="0" w:color="auto"/>
        <w:left w:val="none" w:sz="0" w:space="0" w:color="auto"/>
        <w:bottom w:val="none" w:sz="0" w:space="0" w:color="auto"/>
        <w:right w:val="none" w:sz="0" w:space="0" w:color="auto"/>
      </w:divBdr>
    </w:div>
    <w:div w:id="2141923868">
      <w:bodyDiv w:val="1"/>
      <w:marLeft w:val="0"/>
      <w:marRight w:val="0"/>
      <w:marTop w:val="0"/>
      <w:marBottom w:val="0"/>
      <w:divBdr>
        <w:top w:val="none" w:sz="0" w:space="0" w:color="auto"/>
        <w:left w:val="none" w:sz="0" w:space="0" w:color="auto"/>
        <w:bottom w:val="none" w:sz="0" w:space="0" w:color="auto"/>
        <w:right w:val="none" w:sz="0" w:space="0" w:color="auto"/>
      </w:divBdr>
    </w:div>
    <w:div w:id="2142306921">
      <w:bodyDiv w:val="1"/>
      <w:marLeft w:val="0"/>
      <w:marRight w:val="0"/>
      <w:marTop w:val="0"/>
      <w:marBottom w:val="0"/>
      <w:divBdr>
        <w:top w:val="none" w:sz="0" w:space="0" w:color="auto"/>
        <w:left w:val="none" w:sz="0" w:space="0" w:color="auto"/>
        <w:bottom w:val="none" w:sz="0" w:space="0" w:color="auto"/>
        <w:right w:val="none" w:sz="0" w:space="0" w:color="auto"/>
      </w:divBdr>
    </w:div>
    <w:div w:id="2142577925">
      <w:bodyDiv w:val="1"/>
      <w:marLeft w:val="0"/>
      <w:marRight w:val="0"/>
      <w:marTop w:val="0"/>
      <w:marBottom w:val="0"/>
      <w:divBdr>
        <w:top w:val="none" w:sz="0" w:space="0" w:color="auto"/>
        <w:left w:val="none" w:sz="0" w:space="0" w:color="auto"/>
        <w:bottom w:val="none" w:sz="0" w:space="0" w:color="auto"/>
        <w:right w:val="none" w:sz="0" w:space="0" w:color="auto"/>
      </w:divBdr>
    </w:div>
    <w:div w:id="2142722172">
      <w:bodyDiv w:val="1"/>
      <w:marLeft w:val="0"/>
      <w:marRight w:val="0"/>
      <w:marTop w:val="0"/>
      <w:marBottom w:val="0"/>
      <w:divBdr>
        <w:top w:val="none" w:sz="0" w:space="0" w:color="auto"/>
        <w:left w:val="none" w:sz="0" w:space="0" w:color="auto"/>
        <w:bottom w:val="none" w:sz="0" w:space="0" w:color="auto"/>
        <w:right w:val="none" w:sz="0" w:space="0" w:color="auto"/>
      </w:divBdr>
    </w:div>
    <w:div w:id="2143497346">
      <w:bodyDiv w:val="1"/>
      <w:marLeft w:val="0"/>
      <w:marRight w:val="0"/>
      <w:marTop w:val="0"/>
      <w:marBottom w:val="0"/>
      <w:divBdr>
        <w:top w:val="none" w:sz="0" w:space="0" w:color="auto"/>
        <w:left w:val="none" w:sz="0" w:space="0" w:color="auto"/>
        <w:bottom w:val="none" w:sz="0" w:space="0" w:color="auto"/>
        <w:right w:val="none" w:sz="0" w:space="0" w:color="auto"/>
      </w:divBdr>
    </w:div>
    <w:div w:id="2144303108">
      <w:bodyDiv w:val="1"/>
      <w:marLeft w:val="0"/>
      <w:marRight w:val="0"/>
      <w:marTop w:val="0"/>
      <w:marBottom w:val="0"/>
      <w:divBdr>
        <w:top w:val="none" w:sz="0" w:space="0" w:color="auto"/>
        <w:left w:val="none" w:sz="0" w:space="0" w:color="auto"/>
        <w:bottom w:val="none" w:sz="0" w:space="0" w:color="auto"/>
        <w:right w:val="none" w:sz="0" w:space="0" w:color="auto"/>
      </w:divBdr>
    </w:div>
    <w:div w:id="2144539772">
      <w:bodyDiv w:val="1"/>
      <w:marLeft w:val="0"/>
      <w:marRight w:val="0"/>
      <w:marTop w:val="0"/>
      <w:marBottom w:val="0"/>
      <w:divBdr>
        <w:top w:val="none" w:sz="0" w:space="0" w:color="auto"/>
        <w:left w:val="none" w:sz="0" w:space="0" w:color="auto"/>
        <w:bottom w:val="none" w:sz="0" w:space="0" w:color="auto"/>
        <w:right w:val="none" w:sz="0" w:space="0" w:color="auto"/>
      </w:divBdr>
    </w:div>
    <w:div w:id="2145155884">
      <w:bodyDiv w:val="1"/>
      <w:marLeft w:val="0"/>
      <w:marRight w:val="0"/>
      <w:marTop w:val="0"/>
      <w:marBottom w:val="0"/>
      <w:divBdr>
        <w:top w:val="none" w:sz="0" w:space="0" w:color="auto"/>
        <w:left w:val="none" w:sz="0" w:space="0" w:color="auto"/>
        <w:bottom w:val="none" w:sz="0" w:space="0" w:color="auto"/>
        <w:right w:val="none" w:sz="0" w:space="0" w:color="auto"/>
      </w:divBdr>
    </w:div>
    <w:div w:id="2145198611">
      <w:bodyDiv w:val="1"/>
      <w:marLeft w:val="0"/>
      <w:marRight w:val="0"/>
      <w:marTop w:val="0"/>
      <w:marBottom w:val="0"/>
      <w:divBdr>
        <w:top w:val="none" w:sz="0" w:space="0" w:color="auto"/>
        <w:left w:val="none" w:sz="0" w:space="0" w:color="auto"/>
        <w:bottom w:val="none" w:sz="0" w:space="0" w:color="auto"/>
        <w:right w:val="none" w:sz="0" w:space="0" w:color="auto"/>
      </w:divBdr>
    </w:div>
    <w:div w:id="2145464660">
      <w:bodyDiv w:val="1"/>
      <w:marLeft w:val="0"/>
      <w:marRight w:val="0"/>
      <w:marTop w:val="0"/>
      <w:marBottom w:val="0"/>
      <w:divBdr>
        <w:top w:val="none" w:sz="0" w:space="0" w:color="auto"/>
        <w:left w:val="none" w:sz="0" w:space="0" w:color="auto"/>
        <w:bottom w:val="none" w:sz="0" w:space="0" w:color="auto"/>
        <w:right w:val="none" w:sz="0" w:space="0" w:color="auto"/>
      </w:divBdr>
    </w:div>
    <w:div w:id="2145615155">
      <w:bodyDiv w:val="1"/>
      <w:marLeft w:val="0"/>
      <w:marRight w:val="0"/>
      <w:marTop w:val="0"/>
      <w:marBottom w:val="0"/>
      <w:divBdr>
        <w:top w:val="none" w:sz="0" w:space="0" w:color="auto"/>
        <w:left w:val="none" w:sz="0" w:space="0" w:color="auto"/>
        <w:bottom w:val="none" w:sz="0" w:space="0" w:color="auto"/>
        <w:right w:val="none" w:sz="0" w:space="0" w:color="auto"/>
      </w:divBdr>
    </w:div>
    <w:div w:id="2145659843">
      <w:bodyDiv w:val="1"/>
      <w:marLeft w:val="0"/>
      <w:marRight w:val="0"/>
      <w:marTop w:val="0"/>
      <w:marBottom w:val="0"/>
      <w:divBdr>
        <w:top w:val="none" w:sz="0" w:space="0" w:color="auto"/>
        <w:left w:val="none" w:sz="0" w:space="0" w:color="auto"/>
        <w:bottom w:val="none" w:sz="0" w:space="0" w:color="auto"/>
        <w:right w:val="none" w:sz="0" w:space="0" w:color="auto"/>
      </w:divBdr>
    </w:div>
    <w:div w:id="2145848439">
      <w:bodyDiv w:val="1"/>
      <w:marLeft w:val="0"/>
      <w:marRight w:val="0"/>
      <w:marTop w:val="0"/>
      <w:marBottom w:val="0"/>
      <w:divBdr>
        <w:top w:val="none" w:sz="0" w:space="0" w:color="auto"/>
        <w:left w:val="none" w:sz="0" w:space="0" w:color="auto"/>
        <w:bottom w:val="none" w:sz="0" w:space="0" w:color="auto"/>
        <w:right w:val="none" w:sz="0" w:space="0" w:color="auto"/>
      </w:divBdr>
    </w:div>
    <w:div w:id="2146072630">
      <w:bodyDiv w:val="1"/>
      <w:marLeft w:val="0"/>
      <w:marRight w:val="0"/>
      <w:marTop w:val="0"/>
      <w:marBottom w:val="0"/>
      <w:divBdr>
        <w:top w:val="none" w:sz="0" w:space="0" w:color="auto"/>
        <w:left w:val="none" w:sz="0" w:space="0" w:color="auto"/>
        <w:bottom w:val="none" w:sz="0" w:space="0" w:color="auto"/>
        <w:right w:val="none" w:sz="0" w:space="0" w:color="auto"/>
      </w:divBdr>
    </w:div>
    <w:div w:id="2146389783">
      <w:bodyDiv w:val="1"/>
      <w:marLeft w:val="0"/>
      <w:marRight w:val="0"/>
      <w:marTop w:val="0"/>
      <w:marBottom w:val="0"/>
      <w:divBdr>
        <w:top w:val="none" w:sz="0" w:space="0" w:color="auto"/>
        <w:left w:val="none" w:sz="0" w:space="0" w:color="auto"/>
        <w:bottom w:val="none" w:sz="0" w:space="0" w:color="auto"/>
        <w:right w:val="none" w:sz="0" w:space="0" w:color="auto"/>
      </w:divBdr>
    </w:div>
    <w:div w:id="2146654584">
      <w:bodyDiv w:val="1"/>
      <w:marLeft w:val="0"/>
      <w:marRight w:val="0"/>
      <w:marTop w:val="0"/>
      <w:marBottom w:val="0"/>
      <w:divBdr>
        <w:top w:val="none" w:sz="0" w:space="0" w:color="auto"/>
        <w:left w:val="none" w:sz="0" w:space="0" w:color="auto"/>
        <w:bottom w:val="none" w:sz="0" w:space="0" w:color="auto"/>
        <w:right w:val="none" w:sz="0" w:space="0" w:color="auto"/>
      </w:divBdr>
    </w:div>
    <w:div w:id="2147042383">
      <w:bodyDiv w:val="1"/>
      <w:marLeft w:val="0"/>
      <w:marRight w:val="0"/>
      <w:marTop w:val="0"/>
      <w:marBottom w:val="0"/>
      <w:divBdr>
        <w:top w:val="none" w:sz="0" w:space="0" w:color="auto"/>
        <w:left w:val="none" w:sz="0" w:space="0" w:color="auto"/>
        <w:bottom w:val="none" w:sz="0" w:space="0" w:color="auto"/>
        <w:right w:val="none" w:sz="0" w:space="0" w:color="auto"/>
      </w:divBdr>
    </w:div>
    <w:div w:id="2147115830">
      <w:bodyDiv w:val="1"/>
      <w:marLeft w:val="0"/>
      <w:marRight w:val="0"/>
      <w:marTop w:val="0"/>
      <w:marBottom w:val="0"/>
      <w:divBdr>
        <w:top w:val="none" w:sz="0" w:space="0" w:color="auto"/>
        <w:left w:val="none" w:sz="0" w:space="0" w:color="auto"/>
        <w:bottom w:val="none" w:sz="0" w:space="0" w:color="auto"/>
        <w:right w:val="none" w:sz="0" w:space="0" w:color="auto"/>
      </w:divBdr>
    </w:div>
    <w:div w:id="2147159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99" Type="http://schemas.openxmlformats.org/officeDocument/2006/relationships/image" Target="media/image257.jpeg"/><Relationship Id="rId21" Type="http://schemas.openxmlformats.org/officeDocument/2006/relationships/hyperlink" Target="http://www.pmc.gov.au/government/commonwealth-coat-arm" TargetMode="External"/><Relationship Id="rId63" Type="http://schemas.openxmlformats.org/officeDocument/2006/relationships/image" Target="media/image29.jpeg"/><Relationship Id="rId159" Type="http://schemas.openxmlformats.org/officeDocument/2006/relationships/image" Target="media/image125.jpeg"/><Relationship Id="rId324" Type="http://schemas.openxmlformats.org/officeDocument/2006/relationships/image" Target="media/image280.jpeg"/><Relationship Id="rId366" Type="http://schemas.openxmlformats.org/officeDocument/2006/relationships/image" Target="media/image321.jpeg"/><Relationship Id="rId170" Type="http://schemas.openxmlformats.org/officeDocument/2006/relationships/image" Target="media/image136.jpeg"/><Relationship Id="rId226" Type="http://schemas.openxmlformats.org/officeDocument/2006/relationships/image" Target="media/image190.jpeg"/><Relationship Id="rId433" Type="http://schemas.openxmlformats.org/officeDocument/2006/relationships/image" Target="media/image388.jpeg"/><Relationship Id="rId268" Type="http://schemas.openxmlformats.org/officeDocument/2006/relationships/image" Target="media/image230.jpeg"/><Relationship Id="rId475" Type="http://schemas.openxmlformats.org/officeDocument/2006/relationships/image" Target="media/image430.jpeg"/><Relationship Id="rId32" Type="http://schemas.openxmlformats.org/officeDocument/2006/relationships/footer" Target="footer5.xml"/><Relationship Id="rId74" Type="http://schemas.openxmlformats.org/officeDocument/2006/relationships/image" Target="media/image40.jpeg"/><Relationship Id="rId128" Type="http://schemas.openxmlformats.org/officeDocument/2006/relationships/image" Target="media/image94.jpeg"/><Relationship Id="rId335" Type="http://schemas.openxmlformats.org/officeDocument/2006/relationships/image" Target="media/image291.jpeg"/><Relationship Id="rId377" Type="http://schemas.openxmlformats.org/officeDocument/2006/relationships/image" Target="media/image332.jpeg"/><Relationship Id="rId500" Type="http://schemas.openxmlformats.org/officeDocument/2006/relationships/header" Target="header15.xml"/><Relationship Id="rId5" Type="http://schemas.openxmlformats.org/officeDocument/2006/relationships/customXml" Target="../customXml/item5.xml"/><Relationship Id="rId181" Type="http://schemas.openxmlformats.org/officeDocument/2006/relationships/image" Target="media/image145.jpeg"/><Relationship Id="rId237" Type="http://schemas.openxmlformats.org/officeDocument/2006/relationships/image" Target="media/image201.jpeg"/><Relationship Id="rId402" Type="http://schemas.openxmlformats.org/officeDocument/2006/relationships/image" Target="media/image357.jpeg"/><Relationship Id="rId279" Type="http://schemas.openxmlformats.org/officeDocument/2006/relationships/header" Target="header12.xml"/><Relationship Id="rId444" Type="http://schemas.openxmlformats.org/officeDocument/2006/relationships/image" Target="media/image399.jpeg"/><Relationship Id="rId486" Type="http://schemas.openxmlformats.org/officeDocument/2006/relationships/image" Target="media/image441.jpeg"/><Relationship Id="rId43" Type="http://schemas.openxmlformats.org/officeDocument/2006/relationships/image" Target="media/image10.jpeg"/><Relationship Id="rId139" Type="http://schemas.openxmlformats.org/officeDocument/2006/relationships/image" Target="media/image105.jpeg"/><Relationship Id="rId290" Type="http://schemas.openxmlformats.org/officeDocument/2006/relationships/image" Target="media/image248.jpeg"/><Relationship Id="rId304" Type="http://schemas.openxmlformats.org/officeDocument/2006/relationships/image" Target="media/image260.jpeg"/><Relationship Id="rId346" Type="http://schemas.openxmlformats.org/officeDocument/2006/relationships/image" Target="media/image301.jpeg"/><Relationship Id="rId388" Type="http://schemas.openxmlformats.org/officeDocument/2006/relationships/image" Target="media/image343.jpeg"/><Relationship Id="rId511" Type="http://schemas.microsoft.com/office/2018/08/relationships/commentsExtensible" Target="commentsExtensible.xml"/><Relationship Id="rId85" Type="http://schemas.openxmlformats.org/officeDocument/2006/relationships/image" Target="media/image51.jpeg"/><Relationship Id="rId150" Type="http://schemas.openxmlformats.org/officeDocument/2006/relationships/image" Target="media/image116.jpeg"/><Relationship Id="rId192" Type="http://schemas.openxmlformats.org/officeDocument/2006/relationships/image" Target="media/image156.jpeg"/><Relationship Id="rId206" Type="http://schemas.openxmlformats.org/officeDocument/2006/relationships/image" Target="media/image170.jpeg"/><Relationship Id="rId413" Type="http://schemas.openxmlformats.org/officeDocument/2006/relationships/image" Target="media/image368.jpeg"/><Relationship Id="rId248" Type="http://schemas.openxmlformats.org/officeDocument/2006/relationships/footer" Target="footer10.xml"/><Relationship Id="rId455" Type="http://schemas.openxmlformats.org/officeDocument/2006/relationships/image" Target="media/image410.jpeg"/><Relationship Id="rId497" Type="http://schemas.openxmlformats.org/officeDocument/2006/relationships/image" Target="media/image452.jpeg"/><Relationship Id="rId12" Type="http://schemas.openxmlformats.org/officeDocument/2006/relationships/endnotes" Target="endnotes.xml"/><Relationship Id="rId108" Type="http://schemas.openxmlformats.org/officeDocument/2006/relationships/image" Target="media/image74.jpeg"/><Relationship Id="rId315" Type="http://schemas.openxmlformats.org/officeDocument/2006/relationships/image" Target="media/image271.jpeg"/><Relationship Id="rId357" Type="http://schemas.openxmlformats.org/officeDocument/2006/relationships/image" Target="media/image312.jpeg"/><Relationship Id="rId54" Type="http://schemas.openxmlformats.org/officeDocument/2006/relationships/image" Target="media/image21.jpeg"/><Relationship Id="rId96" Type="http://schemas.openxmlformats.org/officeDocument/2006/relationships/image" Target="media/image62.jpeg"/><Relationship Id="rId161" Type="http://schemas.openxmlformats.org/officeDocument/2006/relationships/image" Target="media/image127.jpeg"/><Relationship Id="rId217" Type="http://schemas.openxmlformats.org/officeDocument/2006/relationships/image" Target="media/image181.jpeg"/><Relationship Id="rId399" Type="http://schemas.openxmlformats.org/officeDocument/2006/relationships/image" Target="media/image354.jpeg"/><Relationship Id="rId259" Type="http://schemas.openxmlformats.org/officeDocument/2006/relationships/image" Target="media/image221.jpeg"/><Relationship Id="rId424" Type="http://schemas.openxmlformats.org/officeDocument/2006/relationships/image" Target="media/image379.jpeg"/><Relationship Id="rId466" Type="http://schemas.openxmlformats.org/officeDocument/2006/relationships/image" Target="media/image421.jpeg"/><Relationship Id="rId23" Type="http://schemas.openxmlformats.org/officeDocument/2006/relationships/image" Target="media/image2.jpeg"/><Relationship Id="rId119" Type="http://schemas.openxmlformats.org/officeDocument/2006/relationships/image" Target="media/image85.jpeg"/><Relationship Id="rId270" Type="http://schemas.openxmlformats.org/officeDocument/2006/relationships/footer" Target="footer11.xml"/><Relationship Id="rId326" Type="http://schemas.openxmlformats.org/officeDocument/2006/relationships/image" Target="media/image282.jpeg"/><Relationship Id="rId65" Type="http://schemas.openxmlformats.org/officeDocument/2006/relationships/image" Target="media/image31.jpeg"/><Relationship Id="rId130" Type="http://schemas.openxmlformats.org/officeDocument/2006/relationships/image" Target="media/image96.jpeg"/><Relationship Id="rId368" Type="http://schemas.openxmlformats.org/officeDocument/2006/relationships/image" Target="media/image323.jpeg"/><Relationship Id="rId172" Type="http://schemas.openxmlformats.org/officeDocument/2006/relationships/image" Target="media/image138.jpeg"/><Relationship Id="rId228" Type="http://schemas.openxmlformats.org/officeDocument/2006/relationships/image" Target="media/image192.jpeg"/><Relationship Id="rId435" Type="http://schemas.openxmlformats.org/officeDocument/2006/relationships/image" Target="media/image390.jpeg"/><Relationship Id="rId477" Type="http://schemas.openxmlformats.org/officeDocument/2006/relationships/image" Target="media/image432.jpeg"/><Relationship Id="rId281" Type="http://schemas.openxmlformats.org/officeDocument/2006/relationships/image" Target="media/image239.jpeg"/><Relationship Id="rId337" Type="http://schemas.openxmlformats.org/officeDocument/2006/relationships/image" Target="media/image293.jpeg"/><Relationship Id="rId502" Type="http://schemas.openxmlformats.org/officeDocument/2006/relationships/image" Target="media/image455.jpeg"/><Relationship Id="rId34" Type="http://schemas.openxmlformats.org/officeDocument/2006/relationships/footer" Target="footer6.xml"/><Relationship Id="rId76" Type="http://schemas.openxmlformats.org/officeDocument/2006/relationships/image" Target="media/image42.jpeg"/><Relationship Id="rId141" Type="http://schemas.openxmlformats.org/officeDocument/2006/relationships/image" Target="media/image107.jpeg"/><Relationship Id="rId379" Type="http://schemas.openxmlformats.org/officeDocument/2006/relationships/image" Target="media/image334.jpeg"/><Relationship Id="rId7" Type="http://schemas.openxmlformats.org/officeDocument/2006/relationships/numbering" Target="numbering.xml"/><Relationship Id="rId183" Type="http://schemas.openxmlformats.org/officeDocument/2006/relationships/image" Target="media/image147.jpeg"/><Relationship Id="rId239" Type="http://schemas.openxmlformats.org/officeDocument/2006/relationships/image" Target="media/image203.jpeg"/><Relationship Id="rId390" Type="http://schemas.openxmlformats.org/officeDocument/2006/relationships/image" Target="media/image345.jpeg"/><Relationship Id="rId404" Type="http://schemas.openxmlformats.org/officeDocument/2006/relationships/image" Target="media/image359.jpeg"/><Relationship Id="rId446" Type="http://schemas.openxmlformats.org/officeDocument/2006/relationships/image" Target="media/image401.jpeg"/><Relationship Id="rId250" Type="http://schemas.openxmlformats.org/officeDocument/2006/relationships/image" Target="media/image212.jpeg"/><Relationship Id="rId292" Type="http://schemas.openxmlformats.org/officeDocument/2006/relationships/image" Target="media/image250.jpeg"/><Relationship Id="rId306" Type="http://schemas.openxmlformats.org/officeDocument/2006/relationships/image" Target="media/image262.jpeg"/><Relationship Id="rId488" Type="http://schemas.openxmlformats.org/officeDocument/2006/relationships/image" Target="media/image443.jpeg"/><Relationship Id="rId45" Type="http://schemas.openxmlformats.org/officeDocument/2006/relationships/image" Target="media/image12.jpeg"/><Relationship Id="rId87" Type="http://schemas.openxmlformats.org/officeDocument/2006/relationships/image" Target="media/image53.jpeg"/><Relationship Id="rId110" Type="http://schemas.openxmlformats.org/officeDocument/2006/relationships/image" Target="media/image76.jpeg"/><Relationship Id="rId348" Type="http://schemas.openxmlformats.org/officeDocument/2006/relationships/image" Target="media/image303.jpeg"/><Relationship Id="rId152" Type="http://schemas.openxmlformats.org/officeDocument/2006/relationships/image" Target="media/image118.jpeg"/><Relationship Id="rId173" Type="http://schemas.openxmlformats.org/officeDocument/2006/relationships/image" Target="media/image139.jpeg"/><Relationship Id="rId194" Type="http://schemas.openxmlformats.org/officeDocument/2006/relationships/image" Target="media/image158.jpeg"/><Relationship Id="rId208" Type="http://schemas.openxmlformats.org/officeDocument/2006/relationships/image" Target="media/image172.jpeg"/><Relationship Id="rId229" Type="http://schemas.openxmlformats.org/officeDocument/2006/relationships/image" Target="media/image193.jpeg"/><Relationship Id="rId380" Type="http://schemas.openxmlformats.org/officeDocument/2006/relationships/image" Target="media/image335.jpeg"/><Relationship Id="rId415" Type="http://schemas.openxmlformats.org/officeDocument/2006/relationships/image" Target="media/image370.jpeg"/><Relationship Id="rId436" Type="http://schemas.openxmlformats.org/officeDocument/2006/relationships/image" Target="media/image391.jpeg"/><Relationship Id="rId457" Type="http://schemas.openxmlformats.org/officeDocument/2006/relationships/image" Target="media/image412.jpeg"/><Relationship Id="rId240" Type="http://schemas.openxmlformats.org/officeDocument/2006/relationships/image" Target="media/image204.jpeg"/><Relationship Id="rId261" Type="http://schemas.openxmlformats.org/officeDocument/2006/relationships/image" Target="media/image223.jpeg"/><Relationship Id="rId478" Type="http://schemas.openxmlformats.org/officeDocument/2006/relationships/image" Target="media/image433.jpeg"/><Relationship Id="rId499" Type="http://schemas.openxmlformats.org/officeDocument/2006/relationships/image" Target="media/image454.jpeg"/><Relationship Id="rId14" Type="http://schemas.openxmlformats.org/officeDocument/2006/relationships/header" Target="header2.xml"/><Relationship Id="rId35" Type="http://schemas.openxmlformats.org/officeDocument/2006/relationships/footer" Target="footer7.xml"/><Relationship Id="rId56" Type="http://schemas.openxmlformats.org/officeDocument/2006/relationships/image" Target="media/image23.jpeg"/><Relationship Id="rId77" Type="http://schemas.openxmlformats.org/officeDocument/2006/relationships/image" Target="media/image43.jpeg"/><Relationship Id="rId100" Type="http://schemas.openxmlformats.org/officeDocument/2006/relationships/image" Target="media/image66.jpeg"/><Relationship Id="rId282" Type="http://schemas.openxmlformats.org/officeDocument/2006/relationships/image" Target="media/image240.jpeg"/><Relationship Id="rId317" Type="http://schemas.openxmlformats.org/officeDocument/2006/relationships/image" Target="media/image273.jpeg"/><Relationship Id="rId338" Type="http://schemas.openxmlformats.org/officeDocument/2006/relationships/image" Target="media/image294.jpeg"/><Relationship Id="rId359" Type="http://schemas.openxmlformats.org/officeDocument/2006/relationships/image" Target="media/image314.jpeg"/><Relationship Id="rId503" Type="http://schemas.openxmlformats.org/officeDocument/2006/relationships/image" Target="media/image456.jpeg"/><Relationship Id="rId8" Type="http://schemas.openxmlformats.org/officeDocument/2006/relationships/styles" Target="styles.xml"/><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image" Target="media/image108.jpeg"/><Relationship Id="rId163" Type="http://schemas.openxmlformats.org/officeDocument/2006/relationships/image" Target="media/image129.jpeg"/><Relationship Id="rId184" Type="http://schemas.openxmlformats.org/officeDocument/2006/relationships/image" Target="media/image148.jpeg"/><Relationship Id="rId219" Type="http://schemas.openxmlformats.org/officeDocument/2006/relationships/image" Target="media/image183.jpeg"/><Relationship Id="rId370" Type="http://schemas.openxmlformats.org/officeDocument/2006/relationships/image" Target="media/image325.jpeg"/><Relationship Id="rId391" Type="http://schemas.openxmlformats.org/officeDocument/2006/relationships/image" Target="media/image346.jpeg"/><Relationship Id="rId405" Type="http://schemas.openxmlformats.org/officeDocument/2006/relationships/image" Target="media/image360.jpeg"/><Relationship Id="rId426" Type="http://schemas.openxmlformats.org/officeDocument/2006/relationships/image" Target="media/image381.jpeg"/><Relationship Id="rId447" Type="http://schemas.openxmlformats.org/officeDocument/2006/relationships/image" Target="media/image402.jpeg"/><Relationship Id="rId230" Type="http://schemas.openxmlformats.org/officeDocument/2006/relationships/image" Target="media/image194.jpeg"/><Relationship Id="rId251" Type="http://schemas.openxmlformats.org/officeDocument/2006/relationships/image" Target="media/image213.jpeg"/><Relationship Id="rId468" Type="http://schemas.openxmlformats.org/officeDocument/2006/relationships/image" Target="media/image423.jpeg"/><Relationship Id="rId489" Type="http://schemas.openxmlformats.org/officeDocument/2006/relationships/image" Target="media/image444.jpeg"/><Relationship Id="rId25" Type="http://schemas.openxmlformats.org/officeDocument/2006/relationships/image" Target="media/image4.png"/><Relationship Id="rId46" Type="http://schemas.openxmlformats.org/officeDocument/2006/relationships/image" Target="media/image13.jpeg"/><Relationship Id="rId67" Type="http://schemas.openxmlformats.org/officeDocument/2006/relationships/image" Target="media/image33.jpeg"/><Relationship Id="rId272" Type="http://schemas.openxmlformats.org/officeDocument/2006/relationships/image" Target="media/image232.jpeg"/><Relationship Id="rId293" Type="http://schemas.openxmlformats.org/officeDocument/2006/relationships/image" Target="media/image251.jpeg"/><Relationship Id="rId307" Type="http://schemas.openxmlformats.org/officeDocument/2006/relationships/image" Target="media/image263.jpeg"/><Relationship Id="rId328" Type="http://schemas.openxmlformats.org/officeDocument/2006/relationships/image" Target="media/image284.jpeg"/><Relationship Id="rId349" Type="http://schemas.openxmlformats.org/officeDocument/2006/relationships/image" Target="media/image304.jpeg"/><Relationship Id="rId88" Type="http://schemas.openxmlformats.org/officeDocument/2006/relationships/image" Target="media/image54.jpeg"/><Relationship Id="rId111" Type="http://schemas.openxmlformats.org/officeDocument/2006/relationships/image" Target="media/image77.jpeg"/><Relationship Id="rId132" Type="http://schemas.openxmlformats.org/officeDocument/2006/relationships/image" Target="media/image98.jpeg"/><Relationship Id="rId153" Type="http://schemas.openxmlformats.org/officeDocument/2006/relationships/image" Target="media/image119.jpeg"/><Relationship Id="rId174" Type="http://schemas.openxmlformats.org/officeDocument/2006/relationships/image" Target="media/image140.jpeg"/><Relationship Id="rId195" Type="http://schemas.openxmlformats.org/officeDocument/2006/relationships/image" Target="media/image159.jpeg"/><Relationship Id="rId209" Type="http://schemas.openxmlformats.org/officeDocument/2006/relationships/image" Target="media/image173.jpeg"/><Relationship Id="rId360" Type="http://schemas.openxmlformats.org/officeDocument/2006/relationships/image" Target="media/image315.jpeg"/><Relationship Id="rId381" Type="http://schemas.openxmlformats.org/officeDocument/2006/relationships/image" Target="media/image336.jpeg"/><Relationship Id="rId416" Type="http://schemas.openxmlformats.org/officeDocument/2006/relationships/image" Target="media/image371.jpeg"/><Relationship Id="rId220" Type="http://schemas.openxmlformats.org/officeDocument/2006/relationships/image" Target="media/image184.jpeg"/><Relationship Id="rId241" Type="http://schemas.openxmlformats.org/officeDocument/2006/relationships/image" Target="media/image205.jpeg"/><Relationship Id="rId437" Type="http://schemas.openxmlformats.org/officeDocument/2006/relationships/image" Target="media/image392.jpeg"/><Relationship Id="rId458" Type="http://schemas.openxmlformats.org/officeDocument/2006/relationships/image" Target="media/image413.jpeg"/><Relationship Id="rId479" Type="http://schemas.openxmlformats.org/officeDocument/2006/relationships/image" Target="media/image434.jpeg"/><Relationship Id="rId15" Type="http://schemas.openxmlformats.org/officeDocument/2006/relationships/footer" Target="footer1.xml"/><Relationship Id="rId36" Type="http://schemas.openxmlformats.org/officeDocument/2006/relationships/footer" Target="footer8.xml"/><Relationship Id="rId57" Type="http://schemas.openxmlformats.org/officeDocument/2006/relationships/image" Target="media/image24.jpeg"/><Relationship Id="rId262" Type="http://schemas.openxmlformats.org/officeDocument/2006/relationships/image" Target="media/image224.jpeg"/><Relationship Id="rId283" Type="http://schemas.openxmlformats.org/officeDocument/2006/relationships/image" Target="media/image241.jpeg"/><Relationship Id="rId318" Type="http://schemas.openxmlformats.org/officeDocument/2006/relationships/image" Target="media/image274.jpeg"/><Relationship Id="rId339" Type="http://schemas.openxmlformats.org/officeDocument/2006/relationships/image" Target="media/image295.jpeg"/><Relationship Id="rId490" Type="http://schemas.openxmlformats.org/officeDocument/2006/relationships/image" Target="media/image445.jpeg"/><Relationship Id="rId504" Type="http://schemas.openxmlformats.org/officeDocument/2006/relationships/image" Target="media/image457.jpeg"/><Relationship Id="rId78" Type="http://schemas.openxmlformats.org/officeDocument/2006/relationships/image" Target="media/image44.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8.jpeg"/><Relationship Id="rId143" Type="http://schemas.openxmlformats.org/officeDocument/2006/relationships/image" Target="media/image109.jpeg"/><Relationship Id="rId164" Type="http://schemas.openxmlformats.org/officeDocument/2006/relationships/image" Target="media/image130.jpeg"/><Relationship Id="rId185" Type="http://schemas.openxmlformats.org/officeDocument/2006/relationships/image" Target="media/image149.jpeg"/><Relationship Id="rId350" Type="http://schemas.openxmlformats.org/officeDocument/2006/relationships/image" Target="media/image305.jpeg"/><Relationship Id="rId371" Type="http://schemas.openxmlformats.org/officeDocument/2006/relationships/image" Target="media/image326.jpeg"/><Relationship Id="rId406" Type="http://schemas.openxmlformats.org/officeDocument/2006/relationships/image" Target="media/image361.jpeg"/><Relationship Id="rId9" Type="http://schemas.openxmlformats.org/officeDocument/2006/relationships/settings" Target="settings.xml"/><Relationship Id="rId210" Type="http://schemas.openxmlformats.org/officeDocument/2006/relationships/image" Target="media/image174.jpeg"/><Relationship Id="rId392" Type="http://schemas.openxmlformats.org/officeDocument/2006/relationships/image" Target="media/image347.jpeg"/><Relationship Id="rId427" Type="http://schemas.openxmlformats.org/officeDocument/2006/relationships/image" Target="media/image382.jpeg"/><Relationship Id="rId448" Type="http://schemas.openxmlformats.org/officeDocument/2006/relationships/image" Target="media/image403.jpeg"/><Relationship Id="rId469" Type="http://schemas.openxmlformats.org/officeDocument/2006/relationships/image" Target="media/image424.jpeg"/><Relationship Id="rId26" Type="http://schemas.openxmlformats.org/officeDocument/2006/relationships/header" Target="header3.xml"/><Relationship Id="rId231" Type="http://schemas.openxmlformats.org/officeDocument/2006/relationships/image" Target="media/image195.jpeg"/><Relationship Id="rId252" Type="http://schemas.openxmlformats.org/officeDocument/2006/relationships/image" Target="media/image214.jpeg"/><Relationship Id="rId273" Type="http://schemas.openxmlformats.org/officeDocument/2006/relationships/image" Target="media/image233.jpeg"/><Relationship Id="rId294" Type="http://schemas.openxmlformats.org/officeDocument/2006/relationships/image" Target="media/image252.jpeg"/><Relationship Id="rId308" Type="http://schemas.openxmlformats.org/officeDocument/2006/relationships/image" Target="media/image264.jpeg"/><Relationship Id="rId329" Type="http://schemas.openxmlformats.org/officeDocument/2006/relationships/image" Target="media/image285.jpeg"/><Relationship Id="rId480" Type="http://schemas.openxmlformats.org/officeDocument/2006/relationships/image" Target="media/image435.jpeg"/><Relationship Id="rId47" Type="http://schemas.openxmlformats.org/officeDocument/2006/relationships/image" Target="media/image14.jpeg"/><Relationship Id="rId68" Type="http://schemas.openxmlformats.org/officeDocument/2006/relationships/image" Target="media/image34.jpe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image" Target="media/image99.jpeg"/><Relationship Id="rId154" Type="http://schemas.openxmlformats.org/officeDocument/2006/relationships/image" Target="media/image120.jpeg"/><Relationship Id="rId175" Type="http://schemas.openxmlformats.org/officeDocument/2006/relationships/image" Target="media/image141.jpeg"/><Relationship Id="rId340" Type="http://schemas.openxmlformats.org/officeDocument/2006/relationships/image" Target="media/image296.jpeg"/><Relationship Id="rId361" Type="http://schemas.openxmlformats.org/officeDocument/2006/relationships/image" Target="media/image316.jpeg"/><Relationship Id="rId196" Type="http://schemas.openxmlformats.org/officeDocument/2006/relationships/image" Target="media/image160.jpeg"/><Relationship Id="rId200" Type="http://schemas.openxmlformats.org/officeDocument/2006/relationships/image" Target="media/image164.jpeg"/><Relationship Id="rId382" Type="http://schemas.openxmlformats.org/officeDocument/2006/relationships/image" Target="media/image337.jpeg"/><Relationship Id="rId417" Type="http://schemas.openxmlformats.org/officeDocument/2006/relationships/image" Target="media/image372.jpeg"/><Relationship Id="rId438" Type="http://schemas.openxmlformats.org/officeDocument/2006/relationships/image" Target="media/image393.jpeg"/><Relationship Id="rId459" Type="http://schemas.openxmlformats.org/officeDocument/2006/relationships/image" Target="media/image414.jpeg"/><Relationship Id="rId16" Type="http://schemas.openxmlformats.org/officeDocument/2006/relationships/footer" Target="footer2.xml"/><Relationship Id="rId221" Type="http://schemas.openxmlformats.org/officeDocument/2006/relationships/image" Target="media/image185.jpeg"/><Relationship Id="rId242" Type="http://schemas.openxmlformats.org/officeDocument/2006/relationships/image" Target="media/image206.jpeg"/><Relationship Id="rId263" Type="http://schemas.openxmlformats.org/officeDocument/2006/relationships/image" Target="media/image225.jpeg"/><Relationship Id="rId284" Type="http://schemas.openxmlformats.org/officeDocument/2006/relationships/image" Target="media/image242.jpeg"/><Relationship Id="rId319" Type="http://schemas.openxmlformats.org/officeDocument/2006/relationships/image" Target="media/image275.jpeg"/><Relationship Id="rId470" Type="http://schemas.openxmlformats.org/officeDocument/2006/relationships/image" Target="media/image425.jpeg"/><Relationship Id="rId491" Type="http://schemas.openxmlformats.org/officeDocument/2006/relationships/image" Target="media/image446.jpeg"/><Relationship Id="rId505" Type="http://schemas.openxmlformats.org/officeDocument/2006/relationships/fontTable" Target="fontTable.xml"/><Relationship Id="rId37" Type="http://schemas.openxmlformats.org/officeDocument/2006/relationships/image" Target="media/image5.jpeg"/><Relationship Id="rId58" Type="http://schemas.openxmlformats.org/officeDocument/2006/relationships/image" Target="media/image25.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9.jpeg"/><Relationship Id="rId144" Type="http://schemas.openxmlformats.org/officeDocument/2006/relationships/image" Target="media/image110.jpeg"/><Relationship Id="rId330" Type="http://schemas.openxmlformats.org/officeDocument/2006/relationships/image" Target="media/image286.jpeg"/><Relationship Id="rId90" Type="http://schemas.openxmlformats.org/officeDocument/2006/relationships/image" Target="media/image56.jpeg"/><Relationship Id="rId165" Type="http://schemas.openxmlformats.org/officeDocument/2006/relationships/image" Target="media/image131.jpeg"/><Relationship Id="rId186" Type="http://schemas.openxmlformats.org/officeDocument/2006/relationships/image" Target="media/image150.jpeg"/><Relationship Id="rId351" Type="http://schemas.openxmlformats.org/officeDocument/2006/relationships/image" Target="media/image306.jpeg"/><Relationship Id="rId372" Type="http://schemas.openxmlformats.org/officeDocument/2006/relationships/image" Target="media/image327.jpeg"/><Relationship Id="rId393" Type="http://schemas.openxmlformats.org/officeDocument/2006/relationships/image" Target="media/image348.jpeg"/><Relationship Id="rId407" Type="http://schemas.openxmlformats.org/officeDocument/2006/relationships/image" Target="media/image362.jpeg"/><Relationship Id="rId428" Type="http://schemas.openxmlformats.org/officeDocument/2006/relationships/image" Target="media/image383.jpeg"/><Relationship Id="rId449" Type="http://schemas.openxmlformats.org/officeDocument/2006/relationships/image" Target="media/image404.jpeg"/><Relationship Id="rId211" Type="http://schemas.openxmlformats.org/officeDocument/2006/relationships/image" Target="media/image175.jpeg"/><Relationship Id="rId232" Type="http://schemas.openxmlformats.org/officeDocument/2006/relationships/image" Target="media/image196.jpeg"/><Relationship Id="rId253" Type="http://schemas.openxmlformats.org/officeDocument/2006/relationships/image" Target="media/image215.jpeg"/><Relationship Id="rId274" Type="http://schemas.openxmlformats.org/officeDocument/2006/relationships/image" Target="media/image234.jpeg"/><Relationship Id="rId295" Type="http://schemas.openxmlformats.org/officeDocument/2006/relationships/image" Target="media/image253.jpeg"/><Relationship Id="rId309" Type="http://schemas.openxmlformats.org/officeDocument/2006/relationships/image" Target="media/image265.jpeg"/><Relationship Id="rId460" Type="http://schemas.openxmlformats.org/officeDocument/2006/relationships/image" Target="media/image415.jpeg"/><Relationship Id="rId481" Type="http://schemas.openxmlformats.org/officeDocument/2006/relationships/image" Target="media/image436.jpeg"/><Relationship Id="rId27" Type="http://schemas.openxmlformats.org/officeDocument/2006/relationships/header" Target="header4.xml"/><Relationship Id="rId48" Type="http://schemas.openxmlformats.org/officeDocument/2006/relationships/image" Target="media/image15.jpeg"/><Relationship Id="rId69" Type="http://schemas.openxmlformats.org/officeDocument/2006/relationships/image" Target="media/image35.jpeg"/><Relationship Id="rId113" Type="http://schemas.openxmlformats.org/officeDocument/2006/relationships/image" Target="media/image79.jpeg"/><Relationship Id="rId134" Type="http://schemas.openxmlformats.org/officeDocument/2006/relationships/image" Target="media/image100.jpeg"/><Relationship Id="rId320" Type="http://schemas.openxmlformats.org/officeDocument/2006/relationships/image" Target="media/image276.jpeg"/><Relationship Id="rId80" Type="http://schemas.openxmlformats.org/officeDocument/2006/relationships/image" Target="media/image46.jpeg"/><Relationship Id="rId155" Type="http://schemas.openxmlformats.org/officeDocument/2006/relationships/image" Target="media/image121.jpeg"/><Relationship Id="rId176" Type="http://schemas.openxmlformats.org/officeDocument/2006/relationships/image" Target="media/image142.jpeg"/><Relationship Id="rId197" Type="http://schemas.openxmlformats.org/officeDocument/2006/relationships/image" Target="media/image161.jpeg"/><Relationship Id="rId341" Type="http://schemas.openxmlformats.org/officeDocument/2006/relationships/image" Target="media/image297.jpeg"/><Relationship Id="rId362" Type="http://schemas.openxmlformats.org/officeDocument/2006/relationships/image" Target="media/image317.jpeg"/><Relationship Id="rId383" Type="http://schemas.openxmlformats.org/officeDocument/2006/relationships/image" Target="media/image338.jpeg"/><Relationship Id="rId418" Type="http://schemas.openxmlformats.org/officeDocument/2006/relationships/image" Target="media/image373.jpeg"/><Relationship Id="rId439" Type="http://schemas.openxmlformats.org/officeDocument/2006/relationships/image" Target="media/image394.jpeg"/><Relationship Id="rId201" Type="http://schemas.openxmlformats.org/officeDocument/2006/relationships/image" Target="media/image165.jpeg"/><Relationship Id="rId222" Type="http://schemas.openxmlformats.org/officeDocument/2006/relationships/image" Target="media/image186.jpeg"/><Relationship Id="rId243" Type="http://schemas.openxmlformats.org/officeDocument/2006/relationships/image" Target="media/image207.jpeg"/><Relationship Id="rId264" Type="http://schemas.openxmlformats.org/officeDocument/2006/relationships/image" Target="media/image226.jpeg"/><Relationship Id="rId285" Type="http://schemas.openxmlformats.org/officeDocument/2006/relationships/image" Target="media/image243.jpeg"/><Relationship Id="rId450" Type="http://schemas.openxmlformats.org/officeDocument/2006/relationships/image" Target="media/image405.jpeg"/><Relationship Id="rId471" Type="http://schemas.openxmlformats.org/officeDocument/2006/relationships/image" Target="media/image426.jpeg"/><Relationship Id="rId506" Type="http://schemas.openxmlformats.org/officeDocument/2006/relationships/theme" Target="theme/theme1.xml"/><Relationship Id="rId17" Type="http://schemas.openxmlformats.org/officeDocument/2006/relationships/hyperlink" Target="http://creativecommons.org/licenses/by/3.0/au/deed.en" TargetMode="External"/><Relationship Id="rId38" Type="http://schemas.openxmlformats.org/officeDocument/2006/relationships/header" Target="header7.xml"/><Relationship Id="rId59" Type="http://schemas.openxmlformats.org/officeDocument/2006/relationships/header" Target="header8.xml"/><Relationship Id="rId103" Type="http://schemas.openxmlformats.org/officeDocument/2006/relationships/image" Target="media/image69.jpeg"/><Relationship Id="rId124" Type="http://schemas.openxmlformats.org/officeDocument/2006/relationships/image" Target="media/image90.jpeg"/><Relationship Id="rId310" Type="http://schemas.openxmlformats.org/officeDocument/2006/relationships/image" Target="media/image266.jpeg"/><Relationship Id="rId492" Type="http://schemas.openxmlformats.org/officeDocument/2006/relationships/image" Target="media/image447.jpeg"/><Relationship Id="rId70" Type="http://schemas.openxmlformats.org/officeDocument/2006/relationships/image" Target="media/image36.jpeg"/><Relationship Id="rId91" Type="http://schemas.openxmlformats.org/officeDocument/2006/relationships/image" Target="media/image57.jpeg"/><Relationship Id="rId145" Type="http://schemas.openxmlformats.org/officeDocument/2006/relationships/image" Target="media/image111.jpeg"/><Relationship Id="rId166" Type="http://schemas.openxmlformats.org/officeDocument/2006/relationships/image" Target="media/image132.jpeg"/><Relationship Id="rId187" Type="http://schemas.openxmlformats.org/officeDocument/2006/relationships/image" Target="media/image151.jpeg"/><Relationship Id="rId331" Type="http://schemas.openxmlformats.org/officeDocument/2006/relationships/image" Target="media/image287.jpeg"/><Relationship Id="rId352" Type="http://schemas.openxmlformats.org/officeDocument/2006/relationships/image" Target="media/image307.jpeg"/><Relationship Id="rId373" Type="http://schemas.openxmlformats.org/officeDocument/2006/relationships/image" Target="media/image328.jpeg"/><Relationship Id="rId394" Type="http://schemas.openxmlformats.org/officeDocument/2006/relationships/image" Target="media/image349.jpeg"/><Relationship Id="rId408" Type="http://schemas.openxmlformats.org/officeDocument/2006/relationships/image" Target="media/image363.jpeg"/><Relationship Id="rId429" Type="http://schemas.openxmlformats.org/officeDocument/2006/relationships/image" Target="media/image384.jpeg"/><Relationship Id="rId1" Type="http://schemas.openxmlformats.org/officeDocument/2006/relationships/customXml" Target="../customXml/item1.xml"/><Relationship Id="rId212" Type="http://schemas.openxmlformats.org/officeDocument/2006/relationships/image" Target="media/image176.jpeg"/><Relationship Id="rId233" Type="http://schemas.openxmlformats.org/officeDocument/2006/relationships/image" Target="media/image197.jpeg"/><Relationship Id="rId254" Type="http://schemas.openxmlformats.org/officeDocument/2006/relationships/image" Target="media/image216.jpeg"/><Relationship Id="rId440" Type="http://schemas.openxmlformats.org/officeDocument/2006/relationships/image" Target="media/image395.jpeg"/><Relationship Id="rId28" Type="http://schemas.openxmlformats.org/officeDocument/2006/relationships/footer" Target="footer3.xml"/><Relationship Id="rId49" Type="http://schemas.openxmlformats.org/officeDocument/2006/relationships/image" Target="media/image16.jpeg"/><Relationship Id="rId114" Type="http://schemas.openxmlformats.org/officeDocument/2006/relationships/image" Target="media/image80.jpeg"/><Relationship Id="rId275" Type="http://schemas.openxmlformats.org/officeDocument/2006/relationships/image" Target="media/image235.jpeg"/><Relationship Id="rId296" Type="http://schemas.openxmlformats.org/officeDocument/2006/relationships/image" Target="media/image254.jpeg"/><Relationship Id="rId300" Type="http://schemas.openxmlformats.org/officeDocument/2006/relationships/image" Target="media/image258.jpeg"/><Relationship Id="rId461" Type="http://schemas.openxmlformats.org/officeDocument/2006/relationships/image" Target="media/image416.jpeg"/><Relationship Id="rId482" Type="http://schemas.openxmlformats.org/officeDocument/2006/relationships/image" Target="media/image437.jpeg"/><Relationship Id="rId60" Type="http://schemas.openxmlformats.org/officeDocument/2006/relationships/image" Target="media/image26.jpeg"/><Relationship Id="rId81" Type="http://schemas.openxmlformats.org/officeDocument/2006/relationships/image" Target="media/image47.jpeg"/><Relationship Id="rId135" Type="http://schemas.openxmlformats.org/officeDocument/2006/relationships/image" Target="media/image101.jpeg"/><Relationship Id="rId156" Type="http://schemas.openxmlformats.org/officeDocument/2006/relationships/image" Target="media/image122.jpeg"/><Relationship Id="rId177" Type="http://schemas.openxmlformats.org/officeDocument/2006/relationships/image" Target="media/image143.jpeg"/><Relationship Id="rId198" Type="http://schemas.openxmlformats.org/officeDocument/2006/relationships/image" Target="media/image162.jpeg"/><Relationship Id="rId321" Type="http://schemas.openxmlformats.org/officeDocument/2006/relationships/image" Target="media/image277.jpeg"/><Relationship Id="rId342" Type="http://schemas.openxmlformats.org/officeDocument/2006/relationships/image" Target="media/image298.jpeg"/><Relationship Id="rId363" Type="http://schemas.openxmlformats.org/officeDocument/2006/relationships/image" Target="media/image318.jpeg"/><Relationship Id="rId384" Type="http://schemas.openxmlformats.org/officeDocument/2006/relationships/image" Target="media/image339.jpeg"/><Relationship Id="rId419" Type="http://schemas.openxmlformats.org/officeDocument/2006/relationships/image" Target="media/image374.jpeg"/><Relationship Id="rId202" Type="http://schemas.openxmlformats.org/officeDocument/2006/relationships/image" Target="media/image166.jpeg"/><Relationship Id="rId223" Type="http://schemas.openxmlformats.org/officeDocument/2006/relationships/image" Target="media/image187.jpeg"/><Relationship Id="rId244" Type="http://schemas.openxmlformats.org/officeDocument/2006/relationships/image" Target="media/image208.jpeg"/><Relationship Id="rId430" Type="http://schemas.openxmlformats.org/officeDocument/2006/relationships/image" Target="media/image385.jpeg"/><Relationship Id="rId18" Type="http://schemas.openxmlformats.org/officeDocument/2006/relationships/hyperlink" Target="http://creativecommons.org/licenses/by/3.0/au/legalcode" TargetMode="External"/><Relationship Id="rId39" Type="http://schemas.openxmlformats.org/officeDocument/2006/relationships/image" Target="media/image6.jpeg"/><Relationship Id="rId265" Type="http://schemas.openxmlformats.org/officeDocument/2006/relationships/image" Target="media/image227.jpeg"/><Relationship Id="rId286" Type="http://schemas.openxmlformats.org/officeDocument/2006/relationships/image" Target="media/image244.jpeg"/><Relationship Id="rId451" Type="http://schemas.openxmlformats.org/officeDocument/2006/relationships/image" Target="media/image406.jpeg"/><Relationship Id="rId472" Type="http://schemas.openxmlformats.org/officeDocument/2006/relationships/image" Target="media/image427.jpeg"/><Relationship Id="rId493" Type="http://schemas.openxmlformats.org/officeDocument/2006/relationships/image" Target="media/image448.jpeg"/><Relationship Id="rId50" Type="http://schemas.openxmlformats.org/officeDocument/2006/relationships/image" Target="media/image17.jpeg"/><Relationship Id="rId104" Type="http://schemas.openxmlformats.org/officeDocument/2006/relationships/image" Target="media/image70.jpeg"/><Relationship Id="rId125" Type="http://schemas.openxmlformats.org/officeDocument/2006/relationships/image" Target="media/image91.jpe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2.jpeg"/><Relationship Id="rId311" Type="http://schemas.openxmlformats.org/officeDocument/2006/relationships/image" Target="media/image267.jpeg"/><Relationship Id="rId332" Type="http://schemas.openxmlformats.org/officeDocument/2006/relationships/image" Target="media/image288.jpeg"/><Relationship Id="rId353" Type="http://schemas.openxmlformats.org/officeDocument/2006/relationships/image" Target="media/image308.jpeg"/><Relationship Id="rId374" Type="http://schemas.openxmlformats.org/officeDocument/2006/relationships/image" Target="media/image329.jpeg"/><Relationship Id="rId395" Type="http://schemas.openxmlformats.org/officeDocument/2006/relationships/image" Target="media/image350.jpeg"/><Relationship Id="rId409" Type="http://schemas.openxmlformats.org/officeDocument/2006/relationships/image" Target="media/image364.jpeg"/><Relationship Id="rId71" Type="http://schemas.openxmlformats.org/officeDocument/2006/relationships/image" Target="media/image37.jpeg"/><Relationship Id="rId92" Type="http://schemas.openxmlformats.org/officeDocument/2006/relationships/image" Target="media/image58.jpeg"/><Relationship Id="rId213" Type="http://schemas.openxmlformats.org/officeDocument/2006/relationships/image" Target="media/image177.jpeg"/><Relationship Id="rId234" Type="http://schemas.openxmlformats.org/officeDocument/2006/relationships/image" Target="media/image198.jpeg"/><Relationship Id="rId420" Type="http://schemas.openxmlformats.org/officeDocument/2006/relationships/image" Target="media/image375.jpeg"/><Relationship Id="rId2" Type="http://schemas.openxmlformats.org/officeDocument/2006/relationships/customXml" Target="../customXml/item2.xml"/><Relationship Id="rId29" Type="http://schemas.openxmlformats.org/officeDocument/2006/relationships/footer" Target="footer4.xml"/><Relationship Id="rId255" Type="http://schemas.openxmlformats.org/officeDocument/2006/relationships/image" Target="media/image217.jpeg"/><Relationship Id="rId276" Type="http://schemas.openxmlformats.org/officeDocument/2006/relationships/image" Target="media/image236.jpeg"/><Relationship Id="rId297" Type="http://schemas.openxmlformats.org/officeDocument/2006/relationships/image" Target="media/image255.jpeg"/><Relationship Id="rId441" Type="http://schemas.openxmlformats.org/officeDocument/2006/relationships/image" Target="media/image396.jpeg"/><Relationship Id="rId462" Type="http://schemas.openxmlformats.org/officeDocument/2006/relationships/image" Target="media/image417.jpeg"/><Relationship Id="rId483" Type="http://schemas.openxmlformats.org/officeDocument/2006/relationships/image" Target="media/image438.jpeg"/><Relationship Id="rId40" Type="http://schemas.openxmlformats.org/officeDocument/2006/relationships/image" Target="media/image7.jpeg"/><Relationship Id="rId115" Type="http://schemas.openxmlformats.org/officeDocument/2006/relationships/image" Target="media/image81.jpeg"/><Relationship Id="rId136" Type="http://schemas.openxmlformats.org/officeDocument/2006/relationships/image" Target="media/image102.jpeg"/><Relationship Id="rId157" Type="http://schemas.openxmlformats.org/officeDocument/2006/relationships/image" Target="media/image123.jpeg"/><Relationship Id="rId178" Type="http://schemas.openxmlformats.org/officeDocument/2006/relationships/image" Target="media/image144.jpeg"/><Relationship Id="rId301" Type="http://schemas.openxmlformats.org/officeDocument/2006/relationships/header" Target="header13.xml"/><Relationship Id="rId322" Type="http://schemas.openxmlformats.org/officeDocument/2006/relationships/image" Target="media/image278.jpeg"/><Relationship Id="rId343" Type="http://schemas.openxmlformats.org/officeDocument/2006/relationships/header" Target="header14.xml"/><Relationship Id="rId364" Type="http://schemas.openxmlformats.org/officeDocument/2006/relationships/image" Target="media/image319.jpeg"/><Relationship Id="rId61" Type="http://schemas.openxmlformats.org/officeDocument/2006/relationships/image" Target="media/image27.jpeg"/><Relationship Id="rId82" Type="http://schemas.openxmlformats.org/officeDocument/2006/relationships/image" Target="media/image48.jpeg"/><Relationship Id="rId199" Type="http://schemas.openxmlformats.org/officeDocument/2006/relationships/image" Target="media/image163.jpeg"/><Relationship Id="rId203" Type="http://schemas.openxmlformats.org/officeDocument/2006/relationships/image" Target="media/image167.jpeg"/><Relationship Id="rId385" Type="http://schemas.openxmlformats.org/officeDocument/2006/relationships/image" Target="media/image340.jpeg"/><Relationship Id="rId19" Type="http://schemas.openxmlformats.org/officeDocument/2006/relationships/image" Target="media/image1.wmf"/><Relationship Id="rId224" Type="http://schemas.openxmlformats.org/officeDocument/2006/relationships/image" Target="media/image188.jpeg"/><Relationship Id="rId245" Type="http://schemas.openxmlformats.org/officeDocument/2006/relationships/image" Target="media/image209.jpeg"/><Relationship Id="rId266" Type="http://schemas.openxmlformats.org/officeDocument/2006/relationships/image" Target="media/image228.jpeg"/><Relationship Id="rId287" Type="http://schemas.openxmlformats.org/officeDocument/2006/relationships/image" Target="media/image245.jpeg"/><Relationship Id="rId410" Type="http://schemas.openxmlformats.org/officeDocument/2006/relationships/image" Target="media/image365.jpeg"/><Relationship Id="rId431" Type="http://schemas.openxmlformats.org/officeDocument/2006/relationships/image" Target="media/image386.jpeg"/><Relationship Id="rId452" Type="http://schemas.openxmlformats.org/officeDocument/2006/relationships/image" Target="media/image407.jpeg"/><Relationship Id="rId473" Type="http://schemas.openxmlformats.org/officeDocument/2006/relationships/image" Target="media/image428.jpeg"/><Relationship Id="rId494" Type="http://schemas.openxmlformats.org/officeDocument/2006/relationships/image" Target="media/image449.jpeg"/><Relationship Id="rId30" Type="http://schemas.openxmlformats.org/officeDocument/2006/relationships/header" Target="header5.xml"/><Relationship Id="rId105" Type="http://schemas.openxmlformats.org/officeDocument/2006/relationships/image" Target="media/image71.jpeg"/><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image" Target="media/image134.jpeg"/><Relationship Id="rId312" Type="http://schemas.openxmlformats.org/officeDocument/2006/relationships/image" Target="media/image268.jpeg"/><Relationship Id="rId333" Type="http://schemas.openxmlformats.org/officeDocument/2006/relationships/image" Target="media/image289.jpeg"/><Relationship Id="rId354" Type="http://schemas.openxmlformats.org/officeDocument/2006/relationships/image" Target="media/image309.jpeg"/><Relationship Id="rId51" Type="http://schemas.openxmlformats.org/officeDocument/2006/relationships/image" Target="media/image18.jpeg"/><Relationship Id="rId72" Type="http://schemas.openxmlformats.org/officeDocument/2006/relationships/image" Target="media/image38.jpeg"/><Relationship Id="rId93" Type="http://schemas.openxmlformats.org/officeDocument/2006/relationships/image" Target="media/image59.jpeg"/><Relationship Id="rId189" Type="http://schemas.openxmlformats.org/officeDocument/2006/relationships/image" Target="media/image153.jpeg"/><Relationship Id="rId375" Type="http://schemas.openxmlformats.org/officeDocument/2006/relationships/image" Target="media/image330.jpeg"/><Relationship Id="rId396" Type="http://schemas.openxmlformats.org/officeDocument/2006/relationships/image" Target="media/image351.jpeg"/><Relationship Id="rId3" Type="http://schemas.openxmlformats.org/officeDocument/2006/relationships/customXml" Target="../customXml/item3.xml"/><Relationship Id="rId214" Type="http://schemas.openxmlformats.org/officeDocument/2006/relationships/image" Target="media/image178.jpeg"/><Relationship Id="rId235" Type="http://schemas.openxmlformats.org/officeDocument/2006/relationships/image" Target="media/image199.jpeg"/><Relationship Id="rId256" Type="http://schemas.openxmlformats.org/officeDocument/2006/relationships/image" Target="media/image218.jpeg"/><Relationship Id="rId277" Type="http://schemas.openxmlformats.org/officeDocument/2006/relationships/image" Target="media/image237.jpeg"/><Relationship Id="rId298" Type="http://schemas.openxmlformats.org/officeDocument/2006/relationships/image" Target="media/image256.jpeg"/><Relationship Id="rId400" Type="http://schemas.openxmlformats.org/officeDocument/2006/relationships/image" Target="media/image355.jpeg"/><Relationship Id="rId421" Type="http://schemas.openxmlformats.org/officeDocument/2006/relationships/image" Target="media/image376.jpeg"/><Relationship Id="rId442" Type="http://schemas.openxmlformats.org/officeDocument/2006/relationships/image" Target="media/image397.jpeg"/><Relationship Id="rId463" Type="http://schemas.openxmlformats.org/officeDocument/2006/relationships/image" Target="media/image418.jpeg"/><Relationship Id="rId484" Type="http://schemas.openxmlformats.org/officeDocument/2006/relationships/image" Target="media/image439.jpeg"/><Relationship Id="rId116" Type="http://schemas.openxmlformats.org/officeDocument/2006/relationships/image" Target="media/image82.jpeg"/><Relationship Id="rId137" Type="http://schemas.openxmlformats.org/officeDocument/2006/relationships/image" Target="media/image103.jpeg"/><Relationship Id="rId158" Type="http://schemas.openxmlformats.org/officeDocument/2006/relationships/image" Target="media/image124.jpeg"/><Relationship Id="rId302" Type="http://schemas.openxmlformats.org/officeDocument/2006/relationships/footer" Target="footer13.xml"/><Relationship Id="rId323" Type="http://schemas.openxmlformats.org/officeDocument/2006/relationships/image" Target="media/image279.jpeg"/><Relationship Id="rId344" Type="http://schemas.openxmlformats.org/officeDocument/2006/relationships/image" Target="media/image299.jpeg"/><Relationship Id="rId20" Type="http://schemas.openxmlformats.org/officeDocument/2006/relationships/hyperlink" Target="http://creativecommons.org/licenses/by/3.0/au/deed.en" TargetMode="External"/><Relationship Id="rId41" Type="http://schemas.openxmlformats.org/officeDocument/2006/relationships/image" Target="media/image8.jpeg"/><Relationship Id="rId62" Type="http://schemas.openxmlformats.org/officeDocument/2006/relationships/image" Target="media/image28.jpeg"/><Relationship Id="rId83" Type="http://schemas.openxmlformats.org/officeDocument/2006/relationships/image" Target="media/image49.jpeg"/><Relationship Id="rId179" Type="http://schemas.openxmlformats.org/officeDocument/2006/relationships/header" Target="header9.xml"/><Relationship Id="rId365" Type="http://schemas.openxmlformats.org/officeDocument/2006/relationships/image" Target="media/image320.jpeg"/><Relationship Id="rId386" Type="http://schemas.openxmlformats.org/officeDocument/2006/relationships/image" Target="media/image341.jpeg"/><Relationship Id="rId190" Type="http://schemas.openxmlformats.org/officeDocument/2006/relationships/image" Target="media/image154.jpeg"/><Relationship Id="rId204" Type="http://schemas.openxmlformats.org/officeDocument/2006/relationships/image" Target="media/image168.jpeg"/><Relationship Id="rId225" Type="http://schemas.openxmlformats.org/officeDocument/2006/relationships/image" Target="media/image189.jpeg"/><Relationship Id="rId246" Type="http://schemas.openxmlformats.org/officeDocument/2006/relationships/image" Target="media/image210.jpeg"/><Relationship Id="rId267" Type="http://schemas.openxmlformats.org/officeDocument/2006/relationships/image" Target="media/image229.jpeg"/><Relationship Id="rId288" Type="http://schemas.openxmlformats.org/officeDocument/2006/relationships/image" Target="media/image246.jpeg"/><Relationship Id="rId411" Type="http://schemas.openxmlformats.org/officeDocument/2006/relationships/image" Target="media/image366.jpeg"/><Relationship Id="rId432" Type="http://schemas.openxmlformats.org/officeDocument/2006/relationships/image" Target="media/image387.jpeg"/><Relationship Id="rId453" Type="http://schemas.openxmlformats.org/officeDocument/2006/relationships/image" Target="media/image408.jpeg"/><Relationship Id="rId474" Type="http://schemas.openxmlformats.org/officeDocument/2006/relationships/image" Target="media/image429.jpeg"/><Relationship Id="rId106" Type="http://schemas.openxmlformats.org/officeDocument/2006/relationships/image" Target="media/image72.jpeg"/><Relationship Id="rId127" Type="http://schemas.openxmlformats.org/officeDocument/2006/relationships/image" Target="media/image93.jpeg"/><Relationship Id="rId313" Type="http://schemas.openxmlformats.org/officeDocument/2006/relationships/image" Target="media/image269.jpeg"/><Relationship Id="rId495" Type="http://schemas.openxmlformats.org/officeDocument/2006/relationships/image" Target="media/image450.jpeg"/><Relationship Id="rId10" Type="http://schemas.openxmlformats.org/officeDocument/2006/relationships/webSettings" Target="webSettings.xml"/><Relationship Id="rId31" Type="http://schemas.openxmlformats.org/officeDocument/2006/relationships/header" Target="header6.xml"/><Relationship Id="rId52" Type="http://schemas.openxmlformats.org/officeDocument/2006/relationships/image" Target="media/image19.jpeg"/><Relationship Id="rId73" Type="http://schemas.openxmlformats.org/officeDocument/2006/relationships/image" Target="media/image39.jpeg"/><Relationship Id="rId94" Type="http://schemas.openxmlformats.org/officeDocument/2006/relationships/image" Target="media/image60.jpeg"/><Relationship Id="rId148" Type="http://schemas.openxmlformats.org/officeDocument/2006/relationships/image" Target="media/image114.jpeg"/><Relationship Id="rId169" Type="http://schemas.openxmlformats.org/officeDocument/2006/relationships/image" Target="media/image135.jpeg"/><Relationship Id="rId334" Type="http://schemas.openxmlformats.org/officeDocument/2006/relationships/image" Target="media/image290.jpeg"/><Relationship Id="rId355" Type="http://schemas.openxmlformats.org/officeDocument/2006/relationships/image" Target="media/image310.jpeg"/><Relationship Id="rId376" Type="http://schemas.openxmlformats.org/officeDocument/2006/relationships/image" Target="media/image331.jpeg"/><Relationship Id="rId397" Type="http://schemas.openxmlformats.org/officeDocument/2006/relationships/image" Target="media/image352.jpeg"/><Relationship Id="rId4" Type="http://schemas.openxmlformats.org/officeDocument/2006/relationships/customXml" Target="../customXml/item4.xml"/><Relationship Id="rId180" Type="http://schemas.openxmlformats.org/officeDocument/2006/relationships/footer" Target="footer9.xml"/><Relationship Id="rId215" Type="http://schemas.openxmlformats.org/officeDocument/2006/relationships/image" Target="media/image179.jpeg"/><Relationship Id="rId236" Type="http://schemas.openxmlformats.org/officeDocument/2006/relationships/image" Target="media/image200.jpeg"/><Relationship Id="rId257" Type="http://schemas.openxmlformats.org/officeDocument/2006/relationships/image" Target="media/image219.jpeg"/><Relationship Id="rId278" Type="http://schemas.openxmlformats.org/officeDocument/2006/relationships/image" Target="media/image238.jpeg"/><Relationship Id="rId401" Type="http://schemas.openxmlformats.org/officeDocument/2006/relationships/image" Target="media/image356.jpeg"/><Relationship Id="rId422" Type="http://schemas.openxmlformats.org/officeDocument/2006/relationships/image" Target="media/image377.jpeg"/><Relationship Id="rId443" Type="http://schemas.openxmlformats.org/officeDocument/2006/relationships/image" Target="media/image398.jpeg"/><Relationship Id="rId464" Type="http://schemas.openxmlformats.org/officeDocument/2006/relationships/image" Target="media/image419.jpeg"/><Relationship Id="rId303" Type="http://schemas.openxmlformats.org/officeDocument/2006/relationships/image" Target="media/image259.jpeg"/><Relationship Id="rId485" Type="http://schemas.openxmlformats.org/officeDocument/2006/relationships/image" Target="media/image440.jpeg"/><Relationship Id="rId42" Type="http://schemas.openxmlformats.org/officeDocument/2006/relationships/image" Target="media/image9.jpeg"/><Relationship Id="rId84" Type="http://schemas.openxmlformats.org/officeDocument/2006/relationships/image" Target="media/image50.jpeg"/><Relationship Id="rId138" Type="http://schemas.openxmlformats.org/officeDocument/2006/relationships/image" Target="media/image104.jpeg"/><Relationship Id="rId345" Type="http://schemas.openxmlformats.org/officeDocument/2006/relationships/image" Target="media/image300.jpeg"/><Relationship Id="rId387" Type="http://schemas.openxmlformats.org/officeDocument/2006/relationships/image" Target="media/image342.jpeg"/><Relationship Id="rId191" Type="http://schemas.openxmlformats.org/officeDocument/2006/relationships/image" Target="media/image155.jpeg"/><Relationship Id="rId205" Type="http://schemas.openxmlformats.org/officeDocument/2006/relationships/image" Target="media/image169.jpeg"/><Relationship Id="rId247" Type="http://schemas.openxmlformats.org/officeDocument/2006/relationships/header" Target="header10.xml"/><Relationship Id="rId412" Type="http://schemas.openxmlformats.org/officeDocument/2006/relationships/image" Target="media/image367.jpeg"/><Relationship Id="rId107" Type="http://schemas.openxmlformats.org/officeDocument/2006/relationships/image" Target="media/image73.jpeg"/><Relationship Id="rId289" Type="http://schemas.openxmlformats.org/officeDocument/2006/relationships/image" Target="media/image247.jpeg"/><Relationship Id="rId454" Type="http://schemas.openxmlformats.org/officeDocument/2006/relationships/image" Target="media/image409.jpeg"/><Relationship Id="rId496" Type="http://schemas.openxmlformats.org/officeDocument/2006/relationships/image" Target="media/image451.jpeg"/><Relationship Id="rId11" Type="http://schemas.openxmlformats.org/officeDocument/2006/relationships/footnotes" Target="footnotes.xml"/><Relationship Id="rId53" Type="http://schemas.openxmlformats.org/officeDocument/2006/relationships/image" Target="media/image20.jpeg"/><Relationship Id="rId149" Type="http://schemas.openxmlformats.org/officeDocument/2006/relationships/image" Target="media/image115.jpeg"/><Relationship Id="rId314" Type="http://schemas.openxmlformats.org/officeDocument/2006/relationships/image" Target="media/image270.jpeg"/><Relationship Id="rId356" Type="http://schemas.openxmlformats.org/officeDocument/2006/relationships/image" Target="media/image311.jpeg"/><Relationship Id="rId398" Type="http://schemas.openxmlformats.org/officeDocument/2006/relationships/image" Target="media/image353.jpeg"/><Relationship Id="rId95" Type="http://schemas.openxmlformats.org/officeDocument/2006/relationships/image" Target="media/image61.jpeg"/><Relationship Id="rId160" Type="http://schemas.openxmlformats.org/officeDocument/2006/relationships/image" Target="media/image126.jpeg"/><Relationship Id="rId216" Type="http://schemas.openxmlformats.org/officeDocument/2006/relationships/image" Target="media/image180.jpeg"/><Relationship Id="rId423" Type="http://schemas.openxmlformats.org/officeDocument/2006/relationships/image" Target="media/image378.jpeg"/><Relationship Id="rId258" Type="http://schemas.openxmlformats.org/officeDocument/2006/relationships/image" Target="media/image220.jpeg"/><Relationship Id="rId465" Type="http://schemas.openxmlformats.org/officeDocument/2006/relationships/image" Target="media/image420.jpeg"/><Relationship Id="rId22" Type="http://schemas.openxmlformats.org/officeDocument/2006/relationships/hyperlink" Target="mailto:media@treasury.gov.au" TargetMode="External"/><Relationship Id="rId64" Type="http://schemas.openxmlformats.org/officeDocument/2006/relationships/image" Target="media/image30.jpeg"/><Relationship Id="rId118" Type="http://schemas.openxmlformats.org/officeDocument/2006/relationships/image" Target="media/image84.jpeg"/><Relationship Id="rId325" Type="http://schemas.openxmlformats.org/officeDocument/2006/relationships/image" Target="media/image281.jpeg"/><Relationship Id="rId367" Type="http://schemas.openxmlformats.org/officeDocument/2006/relationships/image" Target="media/image322.jpeg"/><Relationship Id="rId171" Type="http://schemas.openxmlformats.org/officeDocument/2006/relationships/image" Target="media/image137.jpeg"/><Relationship Id="rId227" Type="http://schemas.openxmlformats.org/officeDocument/2006/relationships/image" Target="media/image191.jpeg"/><Relationship Id="rId269" Type="http://schemas.openxmlformats.org/officeDocument/2006/relationships/header" Target="header11.xml"/><Relationship Id="rId434" Type="http://schemas.openxmlformats.org/officeDocument/2006/relationships/image" Target="media/image389.jpeg"/><Relationship Id="rId476" Type="http://schemas.openxmlformats.org/officeDocument/2006/relationships/image" Target="media/image431.jpeg"/><Relationship Id="rId33" Type="http://schemas.openxmlformats.org/officeDocument/2006/relationships/hyperlink" Target="https://www.ato.gov.au/Business/Super-for-employers/How-much-to-pay/checklist--salary-or-wages-and-ordinary-time-earnings/" TargetMode="External"/><Relationship Id="rId129" Type="http://schemas.openxmlformats.org/officeDocument/2006/relationships/image" Target="media/image95.jpeg"/><Relationship Id="rId280" Type="http://schemas.openxmlformats.org/officeDocument/2006/relationships/footer" Target="footer12.xml"/><Relationship Id="rId336" Type="http://schemas.openxmlformats.org/officeDocument/2006/relationships/image" Target="media/image292.jpeg"/><Relationship Id="rId501" Type="http://schemas.openxmlformats.org/officeDocument/2006/relationships/footer" Target="footer14.xml"/><Relationship Id="rId75" Type="http://schemas.openxmlformats.org/officeDocument/2006/relationships/image" Target="media/image41.jpeg"/><Relationship Id="rId140" Type="http://schemas.openxmlformats.org/officeDocument/2006/relationships/image" Target="media/image106.jpeg"/><Relationship Id="rId182" Type="http://schemas.openxmlformats.org/officeDocument/2006/relationships/image" Target="media/image146.jpeg"/><Relationship Id="rId378" Type="http://schemas.openxmlformats.org/officeDocument/2006/relationships/image" Target="media/image333.jpeg"/><Relationship Id="rId403" Type="http://schemas.openxmlformats.org/officeDocument/2006/relationships/image" Target="media/image358.jpeg"/><Relationship Id="rId6" Type="http://schemas.openxmlformats.org/officeDocument/2006/relationships/customXml" Target="../customXml/item6.xml"/><Relationship Id="rId238" Type="http://schemas.openxmlformats.org/officeDocument/2006/relationships/image" Target="media/image202.jpeg"/><Relationship Id="rId445" Type="http://schemas.openxmlformats.org/officeDocument/2006/relationships/image" Target="media/image400.png"/><Relationship Id="rId487" Type="http://schemas.openxmlformats.org/officeDocument/2006/relationships/image" Target="media/image442.jpeg"/><Relationship Id="rId291" Type="http://schemas.openxmlformats.org/officeDocument/2006/relationships/image" Target="media/image249.jpeg"/><Relationship Id="rId305" Type="http://schemas.openxmlformats.org/officeDocument/2006/relationships/image" Target="media/image261.jpeg"/><Relationship Id="rId347" Type="http://schemas.openxmlformats.org/officeDocument/2006/relationships/image" Target="media/image302.jpeg"/><Relationship Id="rId44" Type="http://schemas.openxmlformats.org/officeDocument/2006/relationships/image" Target="media/image11.jpeg"/><Relationship Id="rId86" Type="http://schemas.openxmlformats.org/officeDocument/2006/relationships/image" Target="media/image52.jpeg"/><Relationship Id="rId151" Type="http://schemas.openxmlformats.org/officeDocument/2006/relationships/image" Target="media/image117.jpeg"/><Relationship Id="rId389" Type="http://schemas.openxmlformats.org/officeDocument/2006/relationships/image" Target="media/image344.jpeg"/><Relationship Id="rId193" Type="http://schemas.openxmlformats.org/officeDocument/2006/relationships/image" Target="media/image157.jpeg"/><Relationship Id="rId207" Type="http://schemas.openxmlformats.org/officeDocument/2006/relationships/image" Target="media/image171.jpeg"/><Relationship Id="rId249" Type="http://schemas.openxmlformats.org/officeDocument/2006/relationships/image" Target="media/image211.jpeg"/><Relationship Id="rId414" Type="http://schemas.openxmlformats.org/officeDocument/2006/relationships/image" Target="media/image369.jpeg"/><Relationship Id="rId456" Type="http://schemas.openxmlformats.org/officeDocument/2006/relationships/image" Target="media/image411.jpeg"/><Relationship Id="rId498" Type="http://schemas.openxmlformats.org/officeDocument/2006/relationships/image" Target="media/image453.jpeg"/><Relationship Id="rId13" Type="http://schemas.openxmlformats.org/officeDocument/2006/relationships/header" Target="header1.xml"/><Relationship Id="rId109" Type="http://schemas.openxmlformats.org/officeDocument/2006/relationships/image" Target="media/image75.jpeg"/><Relationship Id="rId260" Type="http://schemas.openxmlformats.org/officeDocument/2006/relationships/image" Target="media/image222.jpeg"/><Relationship Id="rId316" Type="http://schemas.openxmlformats.org/officeDocument/2006/relationships/image" Target="media/image272.jpeg"/><Relationship Id="rId55" Type="http://schemas.openxmlformats.org/officeDocument/2006/relationships/image" Target="media/image22.jpeg"/><Relationship Id="rId97" Type="http://schemas.openxmlformats.org/officeDocument/2006/relationships/image" Target="media/image63.jpeg"/><Relationship Id="rId120" Type="http://schemas.openxmlformats.org/officeDocument/2006/relationships/image" Target="media/image86.jpeg"/><Relationship Id="rId358" Type="http://schemas.openxmlformats.org/officeDocument/2006/relationships/image" Target="media/image313.jpeg"/><Relationship Id="rId162" Type="http://schemas.openxmlformats.org/officeDocument/2006/relationships/image" Target="media/image128.jpeg"/><Relationship Id="rId218" Type="http://schemas.openxmlformats.org/officeDocument/2006/relationships/image" Target="media/image182.jpeg"/><Relationship Id="rId425" Type="http://schemas.openxmlformats.org/officeDocument/2006/relationships/image" Target="media/image380.jpeg"/><Relationship Id="rId467" Type="http://schemas.openxmlformats.org/officeDocument/2006/relationships/image" Target="media/image422.jpeg"/><Relationship Id="rId271" Type="http://schemas.openxmlformats.org/officeDocument/2006/relationships/image" Target="media/image231.jpeg"/><Relationship Id="rId24" Type="http://schemas.openxmlformats.org/officeDocument/2006/relationships/image" Target="media/image3.png"/><Relationship Id="rId66" Type="http://schemas.openxmlformats.org/officeDocument/2006/relationships/image" Target="media/image32.jpeg"/><Relationship Id="rId131" Type="http://schemas.openxmlformats.org/officeDocument/2006/relationships/image" Target="media/image97.jpeg"/><Relationship Id="rId327" Type="http://schemas.openxmlformats.org/officeDocument/2006/relationships/image" Target="media/image283.jpeg"/><Relationship Id="rId369" Type="http://schemas.openxmlformats.org/officeDocument/2006/relationships/image" Target="media/image324.jpeg"/></Relationships>
</file>

<file path=word/_rels/footnotes.xml.rels><?xml version="1.0" encoding="UTF-8" standalone="yes"?>
<Relationships xmlns="http://schemas.openxmlformats.org/package/2006/relationships"><Relationship Id="rId8" Type="http://schemas.openxmlformats.org/officeDocument/2006/relationships/hyperlink" Target="https://treasury.gov.au/consultation/c2019-36292/submissions" TargetMode="External"/><Relationship Id="rId3" Type="http://schemas.openxmlformats.org/officeDocument/2006/relationships/hyperlink" Target="https://moneysmart.gov.au/retirement-income/reverse-mortgage-and-home-equity-release" TargetMode="External"/><Relationship Id="rId7" Type="http://schemas.openxmlformats.org/officeDocument/2006/relationships/hyperlink" Target="https://asic.gov.au/regulatory-resources/find-a-document/regulatory-guides/rg-90-example-statement-of-advice-scaled-advice-for-a-new-client/" TargetMode="External"/><Relationship Id="rId2" Type="http://schemas.openxmlformats.org/officeDocument/2006/relationships/hyperlink" Target="https://www.abs.gov.au/AUSSTATS/abs@.nsf/Lookup/6537.0Main+Features12015-16?OpenDocument" TargetMode="External"/><Relationship Id="rId1" Type="http://schemas.openxmlformats.org/officeDocument/2006/relationships/hyperlink" Target="https://asic.gov.au/regulatory-resources/find-a-document/reports/rep-633-holes-in-the-safety-net-a-review-of-tpd-insurance-claims/" TargetMode="External"/><Relationship Id="rId6" Type="http://schemas.openxmlformats.org/officeDocument/2006/relationships/hyperlink" Target="https://treasury.gov.au/sites/default/files/2019-03/c2018-t285219-position-paper-1.pdf" TargetMode="External"/><Relationship Id="rId5" Type="http://schemas.openxmlformats.org/officeDocument/2006/relationships/hyperlink" Target="https://ministers.treasury.gov.au/ministers/kelly-odwyer-2016/media-releases/helping-make-your-super-work-harder-retirement" TargetMode="External"/><Relationship Id="rId4" Type="http://schemas.openxmlformats.org/officeDocument/2006/relationships/hyperlink" Target="https://www.fase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Publications\RIR%20Report.dotm" TargetMode="External"/></Relationships>
</file>

<file path=word/theme/theme1.xml><?xml version="1.0" encoding="utf-8"?>
<a:theme xmlns:a="http://schemas.openxmlformats.org/drawingml/2006/main" name="Corporate">
  <a:themeElements>
    <a:clrScheme name="Retirement Income Review">
      <a:dk1>
        <a:sysClr val="windowText" lastClr="000000"/>
      </a:dk1>
      <a:lt1>
        <a:sysClr val="window" lastClr="FFFFFF"/>
      </a:lt1>
      <a:dk2>
        <a:srgbClr val="0D3038"/>
      </a:dk2>
      <a:lt2>
        <a:srgbClr val="F9A521"/>
      </a:lt2>
      <a:accent1>
        <a:srgbClr val="144E60"/>
      </a:accent1>
      <a:accent2>
        <a:srgbClr val="4E8542"/>
      </a:accent2>
      <a:accent3>
        <a:srgbClr val="604878"/>
      </a:accent3>
      <a:accent4>
        <a:srgbClr val="30A9B2"/>
      </a:accent4>
      <a:accent5>
        <a:srgbClr val="D6606D"/>
      </a:accent5>
      <a:accent6>
        <a:srgbClr val="999999"/>
      </a:accent6>
      <a:hlink>
        <a:srgbClr val="3A6FAF"/>
      </a:hlink>
      <a:folHlink>
        <a:srgbClr val="E61E26"/>
      </a:folHlink>
    </a:clrScheme>
    <a:fontScheme name="Custom 1">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p:Policy xmlns:p="office.server.policy" id="" local="true">
  <p:Name>Treasury Document Audit Policy</p:Name>
  <p:Description/>
  <p:Statement/>
  <p:PolicyItems>
    <p:PolicyItem featureId="Microsoft.Office.RecordsManagement.PolicyFeatures.PolicyAudit" staticId="0x010100E31AEF9C4B01784C837F0EC186083C4D|1757814118" UniqueId="9ffd8100-7485-41f4-92bb-81c2039aada5">
      <p:Name>Auditing</p:Name>
      <p:Description>Audits user actions on documents and list items to the Audit Log.</p:Description>
      <p:CustomData>
        <Audit>
          <Update/>
          <CheckInOut/>
          <MoveCopy/>
          <DeleteRestore/>
        </Audit>
      </p:CustomData>
    </p:PolicyItem>
  </p:PolicyItems>
</p:Policy>
</file>

<file path=customXml/item2.xml><?xml version="1.0" encoding="utf-8"?>
<p:properties xmlns:p="http://schemas.microsoft.com/office/2006/metadata/properties" xmlns:xsi="http://www.w3.org/2001/XMLSchema-instance" xmlns:pc="http://schemas.microsoft.com/office/infopath/2007/PartnerControls">
  <documentManagement>
    <Chapter xmlns="514a1817-aa4a-4fed-97d8-bbba4ea867b5" xsi:nil="true"/>
    <Status xmlns="514a1817-aa4a-4fed-97d8-bbba4ea867b5">QA</Status>
    <Section_x0020_Title xmlns="514a1817-aa4a-4fed-97d8-bbba4ea867b5" xsi:nil="true"/>
    <TaxCatchAll xmlns="0f563589-9cf9-4143-b1eb-fb0534803d38"/>
    <TaxKeywordTaxHTField xmlns="0f563589-9cf9-4143-b1eb-fb0534803d38">
      <Terms xmlns="http://schemas.microsoft.com/office/infopath/2007/PartnerControls"/>
    </TaxKeywordTaxHTField>
    <lb508a4dc5e84436a0fe496b536466aa xmlns="2cc670f7-e1dc-43af-b04a-749b6003bd01">
      <Terms xmlns="http://schemas.microsoft.com/office/infopath/2007/PartnerControls"/>
    </lb508a4dc5e84436a0fe496b536466aa>
    <_dlc_DocId xmlns="0f563589-9cf9-4143-b1eb-fb0534803d38">2020W4FKTRDU-1939751928-96</_dlc_DocId>
    <_dlc_DocIdUrl xmlns="0f563589-9cf9-4143-b1eb-fb0534803d38">
      <Url>http://tweb/sites/reviews/rir/_layouts/15/DocIdRedir.aspx?ID=2020W4FKTRDU-1939751928-96</Url>
      <Description>2020W4FKTRDU-1939751928-96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Policy Auditing</Name>
    <Synchronization>Synchronous</Synchronization>
    <Type>10001</Type>
    <SequenceNumber>1100</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Version=15.0.0.0, Culture=neutral, PublicKeyToken=71e9bce111e9429c</Assembly>
    <Class>Microsoft.Office.RecordsManagement.Internal.AuditHandler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Treasury Document" ma:contentTypeID="0x010100E31AEF9C4B01784C837F0EC186083C4D002D2DACC78922D747BFBDB54C682DD177" ma:contentTypeVersion="17310" ma:contentTypeDescription="" ma:contentTypeScope="" ma:versionID="5b18041351eabb462343fc8482d528bb">
  <xsd:schema xmlns:xsd="http://www.w3.org/2001/XMLSchema" xmlns:xs="http://www.w3.org/2001/XMLSchema" xmlns:p="http://schemas.microsoft.com/office/2006/metadata/properties" xmlns:ns1="http://schemas.microsoft.com/sharepoint/v3" xmlns:ns2="0f563589-9cf9-4143-b1eb-fb0534803d38" xmlns:ns3="2cc670f7-e1dc-43af-b04a-749b6003bd01" xmlns:ns4="514a1817-aa4a-4fed-97d8-bbba4ea867b5" targetNamespace="http://schemas.microsoft.com/office/2006/metadata/properties" ma:root="true" ma:fieldsID="1bcad495134804f293d186c4239a3494" ns1:_="" ns2:_="" ns3:_="" ns4:_="">
    <xsd:import namespace="http://schemas.microsoft.com/sharepoint/v3"/>
    <xsd:import namespace="0f563589-9cf9-4143-b1eb-fb0534803d38"/>
    <xsd:import namespace="2cc670f7-e1dc-43af-b04a-749b6003bd01"/>
    <xsd:import namespace="514a1817-aa4a-4fed-97d8-bbba4ea867b5"/>
    <xsd:element name="properties">
      <xsd:complexType>
        <xsd:sequence>
          <xsd:element name="documentManagement">
            <xsd:complexType>
              <xsd:all>
                <xsd:element ref="ns2:_dlc_DocId" minOccurs="0"/>
                <xsd:element ref="ns2:_dlc_DocIdUrl" minOccurs="0"/>
                <xsd:element ref="ns2:_dlc_DocIdPersistId" minOccurs="0"/>
                <xsd:element ref="ns3:lb508a4dc5e84436a0fe496b536466aa" minOccurs="0"/>
                <xsd:element ref="ns2:TaxCatchAll" minOccurs="0"/>
                <xsd:element ref="ns2:TaxCatchAllLabel" minOccurs="0"/>
                <xsd:element ref="ns2:TaxKeywordTaxHTField" minOccurs="0"/>
                <xsd:element ref="ns1:_dlc_Exempt" minOccurs="0"/>
                <xsd:element ref="ns4:Section_x0020_Title" minOccurs="0"/>
                <xsd:element ref="ns4:Chapter" minOccurs="0"/>
                <xsd:element ref="ns4: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563589-9cf9-4143-b1eb-fb0534803d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2" nillable="true" ma:displayName="Taxonomy Catch All Column" ma:hidden="true" ma:list="{6da52a0c-7689-4ee4-ab81-d9d1ffef60ee}" ma:internalName="TaxCatchAll" ma:showField="CatchAllData" ma:web="2cc670f7-e1dc-43af-b04a-749b6003bd0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6da52a0c-7689-4ee4-ab81-d9d1ffef60ee}" ma:internalName="TaxCatchAllLabel" ma:readOnly="true" ma:showField="CatchAllDataLabel" ma:web="2cc670f7-e1dc-43af-b04a-749b6003bd01">
      <xsd:complexType>
        <xsd:complexContent>
          <xsd:extension base="dms:MultiChoiceLookup">
            <xsd:sequence>
              <xsd:element name="Value" type="dms:Lookup" maxOccurs="unbounded" minOccurs="0" nillable="true"/>
            </xsd:sequence>
          </xsd:extension>
        </xsd:complexContent>
      </xsd:complexType>
    </xsd:element>
    <xsd:element name="TaxKeywordTaxHTField" ma:index="15" nillable="true" ma:taxonomy="true" ma:internalName="TaxKeywordTaxHTField" ma:taxonomyFieldName="TaxKeyword" ma:displayName="Document Tags" ma:readOnly="false" ma:fieldId="{23f27201-bee3-471e-b2e7-b64fd8b7ca38}" ma:taxonomyMulti="true" ma:sspId="77b7a547-5880-464f-83f8-cefe583c3af4"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cc670f7-e1dc-43af-b04a-749b6003bd01" elementFormDefault="qualified">
    <xsd:import namespace="http://schemas.microsoft.com/office/2006/documentManagement/types"/>
    <xsd:import namespace="http://schemas.microsoft.com/office/infopath/2007/PartnerControls"/>
    <xsd:element name="lb508a4dc5e84436a0fe496b536466aa" ma:index="11" nillable="true" ma:taxonomy="true" ma:internalName="lb508a4dc5e84436a0fe496b536466aa" ma:taxonomyFieldName="TSYRecordClass" ma:displayName="Record Class" ma:readOnly="false" ma:fieldId="{5b508a4d-c5e8-4436-a0fe-496b536466aa}" ma:sspId="77b7a547-5880-464f-83f8-cefe583c3af4" ma:termSetId="8c8a1de6-dea5-4e66-bd5a-b7b3daae0f37"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14a1817-aa4a-4fed-97d8-bbba4ea867b5" elementFormDefault="qualified">
    <xsd:import namespace="http://schemas.microsoft.com/office/2006/documentManagement/types"/>
    <xsd:import namespace="http://schemas.microsoft.com/office/infopath/2007/PartnerControls"/>
    <xsd:element name="Section_x0020_Title" ma:index="18" nillable="true" ma:displayName="Section Title" ma:format="Dropdown" ma:internalName="Section_x0020_Title">
      <xsd:simpleType>
        <xsd:restriction base="dms:Choice">
          <xsd:enumeration value="Overview"/>
          <xsd:enumeration value="Introduction"/>
          <xsd:enumeration value="Performance of the RIS"/>
          <xsd:enumeration value="Key Policy Settings"/>
          <xsd:enumeration value="Appendix"/>
        </xsd:restriction>
      </xsd:simpleType>
    </xsd:element>
    <xsd:element name="Chapter" ma:index="19" nillable="true" ma:displayName="Chapter" ma:description="Which chapter in the report is this" ma:format="Dropdown" ma:internalName="Chapter">
      <xsd:simpleType>
        <xsd:restriction base="dms:Choice">
          <xsd:enumeration value="Design of the RIS"/>
          <xsd:enumeration value="What is Retirement"/>
          <xsd:enumeration value="Objectives"/>
          <xsd:enumeration value="Trends"/>
          <xsd:enumeration value="Adequacy"/>
          <xsd:enumeration value="Equity"/>
          <xsd:enumeration value="Sustainability"/>
          <xsd:enumeration value="Cohesion"/>
          <xsd:enumeration value="Modelling"/>
          <xsd:enumeration value="Metholodolgical issues raised by stakeholders"/>
          <xsd:enumeration value="External Research Summary"/>
          <xsd:enumeration value="Chart Pack"/>
          <xsd:enumeration value="Consultation"/>
          <xsd:enumeration value="Glossary"/>
        </xsd:restriction>
      </xsd:simpleType>
    </xsd:element>
    <xsd:element name="Status" ma:index="20" nillable="true" ma:displayName="Status" ma:format="Dropdown" ma:internalName="Status">
      <xsd:simpleType>
        <xsd:restriction base="dms:Choice">
          <xsd:enumeration value="Soft close"/>
          <xsd:enumeration value="Hard Close"/>
          <xsd:enumeration value="QA"/>
          <xsd:enumeration value="Lock down"/>
          <xsd:enumeration value="Proof reader"/>
          <xsd:enumeration value="Chair sign off"/>
          <xsd:enumeration value="Final"/>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HarvardAnglia2008OfficeOnline.xsl" StyleName="Harvard - Anglia" Version="2008">
  <b:Source>
    <b:Tag>Mic14</b:Tag>
    <b:SourceType>InternetSite</b:SourceType>
    <b:Guid>{E3233BD1-6AF1-4F91-A9B1-49E19B98DA19}</b:Guid>
    <b:Author>
      <b:Author>
        <b:NameList>
          <b:Person>
            <b:Last>Yeend</b:Last>
            <b:First>Peter</b:First>
          </b:Person>
        </b:NameList>
      </b:Author>
    </b:Author>
    <b:Title>Welfare payments - reforms to pensions</b:Title>
    <b:Year>2009</b:Year>
    <b:Publisher>Australian Parliamentary Library</b:Publisher>
    <b:City>Canberra</b:City>
    <b:YearAccessed>2020</b:YearAccessed>
    <b:MonthAccessed>May</b:MonthAccessed>
    <b:DayAccessed>15</b:DayAccessed>
    <b:URL>https://www.aph.gov.au/About_Parliament/Parliamentary_Departments/Parliamentary_Library/pubs/rp/BudgetReview200910/WelfarePensionReforms</b:URL>
    <b:InternetSiteTitle>Parliamentary Library</b:InternetSiteTitle>
    <b:RefOrder>59</b:RefOrder>
  </b:Source>
  <b:Source>
    <b:Tag>Gra19</b:Tag>
    <b:SourceType>Report</b:SourceType>
    <b:Guid>{F9FF242D-9F1E-4ADB-8568-0C061CF2C15A}</b:Guid>
    <b:Author>
      <b:Author>
        <b:NameList>
          <b:Person>
            <b:Last>Wood</b:Last>
            <b:First>D</b:First>
          </b:Person>
          <b:Person>
            <b:Last>Griffiths</b:Last>
            <b:First>K</b:First>
          </b:Person>
          <b:Person>
            <b:Last>Emslie</b:Last>
            <b:First>O</b:First>
          </b:Person>
        </b:NameList>
      </b:Author>
    </b:Author>
    <b:Title>Generation Gap: ensuring a fair go for younger Australians</b:Title>
    <b:Year>2019</b:Year>
    <b:Publisher>Grattan Institute</b:Publisher>
    <b:City>Melbourne</b:City>
    <b:RefOrder>17</b:RefOrder>
  </b:Source>
  <b:Source>
    <b:Tag>Wil</b:Tag>
    <b:SourceType>JournalArticle</b:SourceType>
    <b:Guid>{3B347347-41F8-45B8-BA7E-F92A449F70A8}</b:Guid>
    <b:Title>Performance-based remedies: ordering firms to eradicate their own fraud</b:Title>
    <b:Pages>7-41</b:Pages>
    <b:Author>
      <b:Author>
        <b:NameList>
          <b:Person>
            <b:Last>Willis</b:Last>
            <b:Middle>E</b:Middle>
            <b:First>L</b:First>
          </b:Person>
        </b:NameList>
      </b:Author>
    </b:Author>
    <b:Volume>80</b:Volume>
    <b:JournalName>Law &amp; Contemporary Problems</b:JournalName>
    <b:Year>2017</b:Year>
    <b:Issue>3</b:Issue>
    <b:RefOrder>521</b:RefOrder>
  </b:Source>
  <b:Source>
    <b:Tag>Wil18</b:Tag>
    <b:SourceType>Report</b:SourceType>
    <b:Guid>{F9E81898-3F77-4AB6-AFB4-16321D957AB2}</b:Guid>
    <b:Author>
      <b:Author>
        <b:NameList>
          <b:Person>
            <b:Last>Wilkins</b:Last>
            <b:First>Roger</b:First>
          </b:Person>
          <b:Person>
            <b:Last>Lass</b:Last>
            <b:First>Inga</b:First>
          </b:Person>
        </b:NameList>
      </b:Author>
    </b:Author>
    <b:Title>The Household, Income and Labour Dynamics in Australia Survey: Selected Findings from Waves 1 to 16</b:Title>
    <b:Year>2018</b:Year>
    <b:Publisher>Melbourne Institute of Applied Economic and Social Research</b:Publisher>
    <b:City>Melbourne</b:City>
    <b:RefOrder>203</b:RefOrder>
  </b:Source>
  <b:Source>
    <b:Tag>Wil17</b:Tag>
    <b:SourceType>Report</b:SourceType>
    <b:Guid>{62E5D053-1326-46C8-993A-8089C5F5832B}</b:Guid>
    <b:Title>The Household, Income and Labour Dynamics in Australia Survey: Selected Findings from Waves 1 to 15</b:Title>
    <b:Year>2017</b:Year>
    <b:Author>
      <b:Author>
        <b:NameList>
          <b:Person>
            <b:Last>Wilkins</b:Last>
            <b:First>Roger</b:First>
          </b:Person>
        </b:NameList>
      </b:Author>
    </b:Author>
    <b:Publisher>Melbourne Institute of Applied Economic and Social Research</b:Publisher>
    <b:City>Melbourne</b:City>
    <b:RefOrder>513</b:RefOrder>
  </b:Source>
  <b:Source>
    <b:Tag>Wil16</b:Tag>
    <b:SourceType>Report</b:SourceType>
    <b:Guid>{D0D9946C-8742-4CC1-B6DC-D50C10BE3CFA}</b:Guid>
    <b:Title>The Household, Income and Labour Dynamics in Australia Survey: Selected Findings from Waves 1 to 14</b:Title>
    <b:Year>2016</b:Year>
    <b:Author>
      <b:Author>
        <b:NameList>
          <b:Person>
            <b:Last>Wilkins</b:Last>
            <b:First>Roger</b:First>
          </b:Person>
        </b:NameList>
      </b:Author>
    </b:Author>
    <b:Publisher>Melbourne Institute of Applied Economic and Social Research</b:Publisher>
    <b:City>Melbourne</b:City>
    <b:RefOrder>114</b:RefOrder>
  </b:Source>
  <b:Source>
    <b:Tag>Maa19</b:Tag>
    <b:SourceType>DocumentFromInternetSite</b:SourceType>
    <b:Guid>{78CF65A8-26AD-4073-A2CE-B0D3AB88DD66}</b:Guid>
    <b:Author>
      <b:Author>
        <b:NameList>
          <b:Person>
            <b:Last>Wijk</b:Last>
            <b:First>M.</b:First>
            <b:Middle>V</b:Middle>
          </b:Person>
          <b:Person>
            <b:Last>Preesman</b:Last>
            <b:First>L</b:First>
          </b:Person>
        </b:NameList>
      </b:Author>
    </b:Author>
    <b:Title>Dutch social partners and government reach agreement on retirement age</b:Title>
    <b:InternetSiteTitle>IPE Magazine</b:InternetSiteTitle>
    <b:Year>2019</b:Year>
    <b:Month>June</b:Month>
    <b:Day>6</b:Day>
    <b:URL>https://www.ipe.com/dutch-social-partners-and-government-reach-agreement-on-retirement-age/10031526.article</b:URL>
    <b:YearAccessed>2020</b:YearAccessed>
    <b:MonthAccessed>May</b:MonthAccessed>
    <b:DayAccessed>20</b:DayAccessed>
    <b:RefOrder>254</b:RefOrder>
  </b:Source>
  <b:Source>
    <b:Tag>Pet15</b:Tag>
    <b:SourceType>InternetSite</b:SourceType>
    <b:Guid>{228E5971-610C-4E23-A499-260BFF0B5E50}</b:Guid>
    <b:Author>
      <b:Author>
        <b:NameList>
          <b:Person>
            <b:Last>Whiteford</b:Last>
            <b:First>Peter</b:First>
          </b:Person>
        </b:NameList>
      </b:Author>
    </b:Author>
    <b:Title>The Tax-Transfer System, Progressivity and Redistribution: How Progressive is the Australian Transfer System?</b:Title>
    <b:Year>2015</b:Year>
    <b:Publisher>The Tax and Transfer Policy Institute</b:Publisher>
    <b:City>Canberra</b:City>
    <b:YearAccessed>2020</b:YearAccessed>
    <b:MonthAccessed>March</b:MonthAccessed>
    <b:DayAccessed>15</b:DayAccessed>
    <b:URL>https://www.austaxpolicy.com/the-tax-transfer-system-progressivity-and-redistribution-part-1-how-progressive-is-the-australian-transfer-system/</b:URL>
    <b:RefOrder>55</b:RefOrder>
  </b:Source>
  <b:Source>
    <b:Tag>Whe192</b:Tag>
    <b:SourceType>Report</b:SourceType>
    <b:Guid>{9FE26B64-1D88-4706-BD16-21FCD85D424B}</b:Guid>
    <b:Author>
      <b:Author>
        <b:NameList>
          <b:Person>
            <b:Last>Whelan</b:Last>
            <b:First>S</b:First>
          </b:Person>
          <b:Person>
            <b:Last>Atalay</b:Last>
            <b:First>K</b:First>
          </b:Person>
          <b:Person>
            <b:Last>Barrett</b:Last>
            <b:First>G</b:First>
          </b:Person>
          <b:Person>
            <b:Last>Edwards</b:Last>
            <b:First>R</b:First>
          </b:Person>
        </b:NameList>
      </b:Author>
    </b:Author>
    <b:Title>Moving, downsizing and housing equity consumption choices of older Australians</b:Title>
    <b:Year>2019</b:Year>
    <b:Publisher>Australian Housing and Urban Research Institute Limited</b:Publisher>
    <b:City>Final Report No. 321, Melbourne</b:City>
    <b:RefOrder>419</b:RefOrder>
  </b:Source>
  <b:Source>
    <b:Tag>Whe18</b:Tag>
    <b:SourceType>Report</b:SourceType>
    <b:Guid>{5F6D63A9-656C-436F-8888-7A2D06CC7FB8}</b:Guid>
    <b:Author>
      <b:Author>
        <b:NameList>
          <b:Person>
            <b:Last>Whelan</b:Last>
            <b:First>S</b:First>
          </b:Person>
          <b:Person>
            <b:Last>Dynan</b:Last>
            <b:First>L</b:First>
          </b:Person>
          <b:Person>
            <b:Last>Atalay</b:Last>
            <b:First>K</b:First>
          </b:Person>
        </b:NameList>
      </b:Author>
    </b:Author>
    <b:Title>Asset portfolio retirement decisions: the Role of the Tax and Transfer System</b:Title>
    <b:Year>2018</b:Year>
    <b:Publisher>Australian Housing and Urban Research Institute Limited</b:Publisher>
    <b:City>Melbourne, Australia</b:City>
    <b:RefOrder>390</b:RefOrder>
  </b:Source>
  <b:Source>
    <b:Tag>Fir191</b:Tag>
    <b:SourceType>Report</b:SourceType>
    <b:Guid>{25DEBEB6-295B-43D6-9D84-C10FDEE0CDC0}</b:Guid>
    <b:Title>Money Stories: Financial resilience among Aboriginal and Torres Strait Islander Australians</b:Title>
    <b:Year>2019</b:Year>
    <b:Author>
      <b:Author>
        <b:NameList>
          <b:Person>
            <b:Last>Weier</b:Last>
            <b:First>M</b:First>
          </b:Person>
          <b:Person>
            <b:Last>Dolan</b:Last>
            <b:First>K</b:First>
          </b:Person>
          <b:Person>
            <b:Last>Powell</b:Last>
            <b:First>A</b:First>
          </b:Person>
          <b:Person>
            <b:Last>Muir</b:Last>
            <b:First>K</b:First>
          </b:Person>
          <b:Person>
            <b:Last>Young</b:Last>
            <b:First>A</b:First>
          </b:Person>
        </b:NameList>
      </b:Author>
    </b:Author>
    <b:Publisher>Centre for Social Impact – UNSW Sydney, for National Australia Bank</b:Publisher>
    <b:RefOrder>270</b:RefOrder>
  </b:Source>
  <b:Source>
    <b:Tag>War20</b:Tag>
    <b:SourceType>JournalArticle</b:SourceType>
    <b:Guid>{DC6A1E3B-3A5D-46B0-A960-7B701F50498A}</b:Guid>
    <b:Title>The 'Right' Level for the Superannuation Guarantee: A Straightforward Issue by No Means</b:Title>
    <b:Year>2020</b:Year>
    <b:Author>
      <b:Author>
        <b:NameList>
          <b:Person>
            <b:Last>Warren</b:Last>
            <b:First>Geoff</b:First>
          </b:Person>
          <b:Person>
            <b:Last>Khemka</b:Last>
            <b:First>Gaurav</b:First>
          </b:Person>
          <b:Person>
            <b:Last>Tang</b:Last>
            <b:First>Yifu</b:First>
          </b:Person>
        </b:NameList>
      </b:Author>
    </b:Author>
    <b:JournalName>Working Paper</b:JournalName>
    <b:RefOrder>68</b:RefOrder>
  </b:Source>
  <b:Source>
    <b:Tag>Dia15</b:Tag>
    <b:SourceType>JournalArticle</b:SourceType>
    <b:Guid>{2924445B-4FFB-4A42-9341-182489B5D3A5}</b:Guid>
    <b:Title>Pathways to Retirement in Australia: Evidence from the HILDA Survey</b:Title>
    <b:Year>2015</b:Year>
    <b:Author>
      <b:Author>
        <b:NameList>
          <b:Person>
            <b:Last>Warren</b:Last>
            <b:First>Diana</b:First>
            <b:Middle>A.</b:Middle>
          </b:Person>
        </b:NameList>
      </b:Author>
    </b:Author>
    <b:JournalName>Work, Aging and Retirement</b:JournalName>
    <b:Pages>144-165</b:Pages>
    <b:Volume>1</b:Volume>
    <b:Issue>2</b:Issue>
    <b:RefOrder>35</b:RefOrder>
  </b:Source>
  <b:Source>
    <b:Tag>Pro011</b:Tag>
    <b:SourceType>Report</b:SourceType>
    <b:Guid>{ECAB1730-2F63-463D-89EA-B29045BA0ACB}</b:Guid>
    <b:Author>
      <b:Author>
        <b:NameList>
          <b:Person>
            <b:Last>Waite</b:Last>
            <b:First>M</b:First>
          </b:Person>
          <b:Person>
            <b:Last>Will</b:Last>
            <b:First>L</b:First>
          </b:Person>
        </b:NameList>
      </b:Author>
    </b:Author>
    <b:Title>Self-employment in Australia: Incidence and characteristics</b:Title>
    <b:Year>2001</b:Year>
    <b:Publisher>Productivity Commission</b:Publisher>
    <b:City>Productivity Commission Staff Research Paper, Canberra</b:City>
    <b:RefOrder>236</b:RefOrder>
  </b:Source>
  <b:Source>
    <b:Tag>VarP16</b:Tag>
    <b:SourceType>Report</b:SourceType>
    <b:Guid>{C6FE112B-5B02-48D9-89D1-2E9DD9708AD0}</b:Guid>
    <b:Title>What is tax salience?</b:Title>
    <b:Year>2016</b:Year>
    <b:Author>
      <b:Author>
        <b:NameList>
          <b:Person>
            <b:Last>Varela</b:Last>
            <b:First>P</b:First>
          </b:Person>
        </b:NameList>
      </b:Author>
    </b:Author>
    <b:Publisher>Crawford School of Public Policy, Australian National University</b:Publisher>
    <b:City>TTPI – Policy Brief 4/2016, Canberra</b:City>
    <b:RefOrder>468</b:RefOrder>
  </b:Source>
  <b:Source>
    <b:Tag>Pie13</b:Tag>
    <b:SourceType>DocumentFromInternetSite</b:SourceType>
    <b:Guid>{00E09829-DE05-4524-B5C7-335B2AD3E471}</b:Guid>
    <b:Title>Intergenerational Justice in Aging Societies: A Cross-National Comparison of 29 OECD Countries</b:Title>
    <b:Year>2013</b:Year>
    <b:Month>April</b:Month>
    <b:Day>20</b:Day>
    <b:Author>
      <b:Author>
        <b:NameList>
          <b:Person>
            <b:Last>Vanhuysse</b:Last>
            <b:First>Pieter</b:First>
          </b:Person>
        </b:NameList>
      </b:Author>
    </b:Author>
    <b:URL>https://news.sgi-network.org/uploads/tx_amsgistudies/Intergenerational_Justice_OECD.pdf</b:URL>
    <b:YearAccessed>2020</b:YearAccessed>
    <b:MonthAccessed>March</b:MonthAccessed>
    <b:DayAccessed>3</b:DayAccessed>
    <b:RefOrder>289</b:RefOrder>
  </b:Source>
  <b:Source>
    <b:Tag>Tve92</b:Tag>
    <b:SourceType>JournalArticle</b:SourceType>
    <b:Guid>{BE4E85A6-DF14-4505-90FB-488C2478B80C}</b:Guid>
    <b:Title>Advances in Prospect theory: Cumulative Representation of Uncertainty</b:Title>
    <b:Year>1992</b:Year>
    <b:Author>
      <b:Author>
        <b:NameList>
          <b:Person>
            <b:Last>Tversky</b:Last>
            <b:First>Amos</b:First>
          </b:Person>
          <b:Person>
            <b:Last>Kahneman</b:Last>
            <b:First>Daniel</b:First>
          </b:Person>
        </b:NameList>
      </b:Author>
    </b:Author>
    <b:JournalName>Journal of risk and uncertainty</b:JournalName>
    <b:Pages>294-323</b:Pages>
    <b:Volume>5 (4)</b:Volume>
    <b:RefOrder>146</b:RefOrder>
  </b:Source>
  <b:Source>
    <b:Tag>Dep17</b:Tag>
    <b:SourceType>Report</b:SourceType>
    <b:Guid>{2E38E0F5-27FF-4C93-8AF5-4D45F793C121}</b:Guid>
    <b:Author>
      <b:Author>
        <b:NameList>
          <b:Person>
            <b:Last>Tune</b:Last>
            <b:First>D</b:First>
          </b:Person>
        </b:NameList>
      </b:Author>
    </b:Author>
    <b:Title>Legislated Review of Aged Care 2017</b:Title>
    <b:Year>2017</b:Year>
    <b:Publisher>Department of Health, Commonwealth of Australia</b:Publisher>
    <b:City>Canberra</b:City>
    <b:RefOrder>310</b:RefOrder>
  </b:Source>
  <b:Source>
    <b:Tag>Tho17</b:Tag>
    <b:SourceType>Report</b:SourceType>
    <b:Guid>{03F9B906-C759-4362-90F6-C83DBDFDB543}</b:Guid>
    <b:Title>Flicking the Switch: Simplifying Disclosures to Improve Retirement Plan Choices</b:Title>
    <b:Year>2018</b:Year>
    <b:Author>
      <b:Author>
        <b:NameList>
          <b:Person>
            <b:Last>Thorp</b:Last>
            <b:First>S</b:First>
          </b:Person>
          <b:Person>
            <b:Last>Bateman</b:Last>
            <b:First>H</b:First>
          </b:Person>
          <b:Person>
            <b:Last>Dobrescu</b:Last>
            <b:First>L</b:First>
          </b:Person>
          <b:Person>
            <b:Last>Newell</b:Last>
            <b:First>B</b:First>
          </b:Person>
          <b:Person>
            <b:Last>Ortmann</b:Last>
            <b:First>A</b:First>
          </b:Person>
        </b:NameList>
      </b:Author>
    </b:Author>
    <b:Publisher>ARC Centre of Excellence in Population in Population Ageing Research</b:Publisher>
    <b:City>Sydney</b:City>
    <b:RefOrder>522</b:RefOrder>
  </b:Source>
  <b:Source>
    <b:Tag>Tha08</b:Tag>
    <b:SourceType>Book</b:SourceType>
    <b:Guid>{7C093036-778D-43FE-94C3-F1921DBCEBA6}</b:Guid>
    <b:Author>
      <b:Author>
        <b:NameList>
          <b:Person>
            <b:Last>Thaler</b:Last>
            <b:First>Richard</b:First>
          </b:Person>
          <b:Person>
            <b:Last>Sunstein</b:Last>
            <b:First>Cass</b:First>
          </b:Person>
        </b:NameList>
      </b:Author>
    </b:Author>
    <b:Title>Nudge: Improving decisions about health, wealth and happiness</b:Title>
    <b:Year>2008</b:Year>
    <b:Publisher>Yale University Press</b:Publisher>
    <b:City>New Haven</b:City>
    <b:RefOrder>463</b:RefOrder>
  </b:Source>
  <b:Source>
    <b:Tag>Tha04</b:Tag>
    <b:SourceType>JournalArticle</b:SourceType>
    <b:Guid>{6092508D-7323-4A37-A841-21B5EA99AE2E}</b:Guid>
    <b:Title>Save more tomorrow: Using behavioral economics to increase employee saving</b:Title>
    <b:Year>2004</b:Year>
    <b:Author>
      <b:Author>
        <b:NameList>
          <b:Person>
            <b:Last>Thaler</b:Last>
            <b:First>R.H</b:First>
          </b:Person>
          <b:Person>
            <b:Last>Benartzi</b:Last>
            <b:First>S</b:First>
          </b:Person>
        </b:NameList>
      </b:Author>
    </b:Author>
    <b:JournalName>Journal of political Economy</b:JournalName>
    <b:Pages>164-187</b:Pages>
    <b:Volume>112</b:Volume>
    <b:RefOrder>132</b:RefOrder>
  </b:Source>
  <b:Source>
    <b:Tag>Mat18</b:Tag>
    <b:SourceType>JournalArticle</b:SourceType>
    <b:Guid>{3B7A3F12-9DBF-4A03-ACDC-E6E0B067C33A}</b:Guid>
    <b:Title>The Survey of Income and Housing</b:Title>
    <b:Year>2018</b:Year>
    <b:Author>
      <b:Author>
        <b:NameList>
          <b:Person>
            <b:Last>Taylor</b:Last>
            <b:First>Matthew</b:First>
          </b:Person>
        </b:NameList>
      </b:Author>
    </b:Author>
    <b:JournalName>The Australian Economic Review</b:JournalName>
    <b:Pages>276-285</b:Pages>
    <b:Volume>51</b:Volume>
    <b:Issue>2</b:Issue>
    <b:RefOrder>489</b:RefOrder>
  </b:Source>
  <b:Source>
    <b:Tag>Kyl19</b:Tag>
    <b:SourceType>Report</b:SourceType>
    <b:Guid>{CCC7A71D-26EA-4A14-9820-CC4724627322}</b:Guid>
    <b:Author>
      <b:Author>
        <b:NameList>
          <b:Person>
            <b:Last>Taylor</b:Last>
            <b:First>Kyle</b:First>
          </b:Person>
        </b:NameList>
      </b:Author>
    </b:Author>
    <b:Title>Does Higher Superannuation Reduce Workers' Wages?</b:Title>
    <b:Year>2019</b:Year>
    <b:Publisher>McKell Institute</b:Publisher>
    <b:City>Sydney</b:City>
    <b:RefOrder>139</b:RefOrder>
  </b:Source>
  <b:Source>
    <b:Tag>Sum89</b:Tag>
    <b:SourceType>JournalArticle</b:SourceType>
    <b:Guid>{FCCE4AC8-F53D-41F9-93A9-24D1F1D69DF2}</b:Guid>
    <b:Title>Some Simple Economics of Mandated Benefits</b:Title>
    <b:Year>1989</b:Year>
    <b:Author>
      <b:Author>
        <b:NameList>
          <b:Person>
            <b:Last>Summers</b:Last>
            <b:First>L</b:First>
          </b:Person>
        </b:NameList>
      </b:Author>
    </b:Author>
    <b:JournalName>The American Economic Review</b:JournalName>
    <b:Pages>117-183</b:Pages>
    <b:Volume>79</b:Volume>
    <b:Issue>2</b:Issue>
    <b:RefOrder>482</b:RefOrder>
  </b:Source>
  <b:Source>
    <b:Tag>Ste15</b:Tag>
    <b:SourceType>JournalArticle</b:SourceType>
    <b:Guid>{646D7C73-EF45-4A99-8948-90707705207A}</b:Guid>
    <b:Author>
      <b:Author>
        <b:NameList>
          <b:Person>
            <b:Last>Stebbing</b:Last>
            <b:First>Adam</b:First>
          </b:Person>
          <b:Person>
            <b:Last>Spies-Butcher</b:Last>
            <b:First>Ben</b:First>
          </b:Person>
        </b:NameList>
      </b:Author>
    </b:Author>
    <b:Title>The decline of a homeowning society? Asset-based welfare, retirement and intergenerational equity in Australia</b:Title>
    <b:JournalName>Housing Studies</b:JournalName>
    <b:Year>2015</b:Year>
    <b:Pages>1-18</b:Pages>
    <b:RefOrder>102</b:RefOrder>
  </b:Source>
  <b:Source>
    <b:Tag>Sta19</b:Tag>
    <b:SourceType>Report</b:SourceType>
    <b:Guid>{1902F57E-5028-49AB-A486-87633A899F99}</b:Guid>
    <b:Author>
      <b:Author>
        <b:NameList>
          <b:Person>
            <b:Last>Stanford</b:Last>
            <b:First>Dr.</b:First>
            <b:Middle>Jim</b:Middle>
          </b:Person>
        </b:NameList>
      </b:Author>
    </b:Author>
    <b:Title>The Relationship Between Superannuation Contributions and Wages in Australia</b:Title>
    <b:Year>2019</b:Year>
    <b:Publisher>The Centre for Future Work at the Australian Institute</b:Publisher>
    <b:RefOrder>140</b:RefOrder>
  </b:Source>
  <b:Source>
    <b:Tag>Sou16</b:Tag>
    <b:SourceType>Report</b:SourceType>
    <b:Guid>{6A6F7FEE-B3A9-4087-9B94-93F3660A853C}</b:Guid>
    <b:Title>Project Superpower: Informing a strategy to engage people with their superannuation</b:Title>
    <b:Year>2016</b:Year>
    <b:Publisher>Choice</b:Publisher>
    <b:Author>
      <b:Author>
        <b:NameList>
          <b:Person>
            <b:Last>Souvlis</b:Last>
            <b:First>P.</b:First>
            <b:Middle>P.</b:Middle>
          </b:Person>
          <b:Person>
            <b:Last>Siva</b:Last>
            <b:First>S</b:First>
          </b:Person>
          <b:Person>
            <b:Last>Hacker</b:Last>
            <b:First>A</b:First>
          </b:Person>
          <b:Person>
            <b:Last>Parry-Husbands</b:Last>
            <b:First>H</b:First>
          </b:Person>
        </b:NameList>
      </b:Author>
    </b:Author>
    <b:RefOrder>322</b:RefOrder>
  </b:Source>
  <b:Source>
    <b:Tag>Sor07</b:Tag>
    <b:SourceType>JournalArticle</b:SourceType>
    <b:Guid>{F0BD48A4-F7D1-4631-9F2B-0F52944A1CF7}</b:Guid>
    <b:Title>Can Capital Income Taxes Survive? And Should They?</b:Title>
    <b:JournalName>CESinfo Economic Studies</b:JournalName>
    <b:Year>2007</b:Year>
    <b:Pages>172-288</b:Pages>
    <b:Author>
      <b:Author>
        <b:NameList>
          <b:Person>
            <b:Last>Sorensen</b:Last>
            <b:Middle>B</b:Middle>
            <b:First>P</b:First>
          </b:Person>
        </b:NameList>
      </b:Author>
    </b:Author>
    <b:Volume>53</b:Volume>
    <b:RefOrder>365</b:RefOrder>
  </b:Source>
  <b:Source>
    <b:Tag>Sim19</b:Tag>
    <b:SourceType>InternetSite</b:SourceType>
    <b:Guid>{64417568-265F-4E6A-B234-E0731C10CAAC}</b:Guid>
    <b:Title>Considering Robo-Advice</b:Title>
    <b:Year>2019</b:Year>
    <b:Author>
      <b:Author>
        <b:NameList>
          <b:Person>
            <b:Last>Soljo</b:Last>
            <b:First>Simon</b:First>
          </b:Person>
          <b:Person>
            <b:Last>Blades</b:Last>
            <b:First>George</b:First>
          </b:Person>
        </b:NameList>
      </b:Author>
    </b:Author>
    <b:YearAccessed>2020</b:YearAccessed>
    <b:MonthAccessed>May</b:MonthAccessed>
    <b:DayAccessed>3</b:DayAccessed>
    <b:URL>https://www.allens.com.au/insights-news/insights/2019/04/unravelled-considering-robo-advice/</b:URL>
    <b:RefOrder>459</b:RefOrder>
  </b:Source>
  <b:Source>
    <b:Tag>Kri20</b:Tag>
    <b:SourceType>Report</b:SourceType>
    <b:Guid>{204289B1-904C-4844-B5BB-06EDB1F7A9C2}</b:Guid>
    <b:Title>The Impact of Government Funded Retirement Contributions (Matching) on the Retirement Savings Behaviour of Low and Middle Income Individuals</b:Title>
    <b:Year>2020</b:Year>
    <b:Author>
      <b:Author>
        <b:NameList>
          <b:Person>
            <b:Last>Sobeck</b:Last>
            <b:First>Kristen</b:First>
          </b:Person>
          <b:Person>
            <b:Last>Breunig</b:Last>
            <b:First>Robert</b:First>
          </b:Person>
        </b:NameList>
      </b:Author>
    </b:Author>
    <b:Publisher>Crawford School of Public Policy, Australian National University</b:Publisher>
    <b:City>Canberra</b:City>
    <b:RefOrder>370</b:RefOrder>
  </b:Source>
  <b:Source>
    <b:Tag>Sno</b:Tag>
    <b:SourceType>Report</b:SourceType>
    <b:Guid>{9DC3827E-0B60-48EA-AE3C-D9BE1A27ACED}</b:Guid>
    <b:Title>Baby Boomers and retirement advice: what are the charecteristics of those that are seeking advice?</b:Title>
    <b:Author>
      <b:Author>
        <b:NameList>
          <b:Person>
            <b:Last>Snoke</b:Last>
            <b:First>M</b:First>
          </b:Person>
          <b:Person>
            <b:Last>Kendig</b:Last>
            <b:First>H</b:First>
          </b:Person>
          <b:Person>
            <b:Last>O'Loughlin</b:Last>
            <b:First>K</b:First>
          </b:Person>
          <b:Person>
            <b:Last>Black</b:Last>
            <b:First>D</b:First>
          </b:Person>
        </b:NameList>
      </b:Author>
    </b:Author>
    <b:URL>https://melbourneinstitute.unimelb.edu.au/assets/documents/hilda-bibliography/conference-papers-lectures/2009/Snoke_etal_ERA2009.pdf</b:URL>
    <b:Year>2009</b:Year>
    <b:City>Sydney</b:City>
    <b:Publisher>Faculty of Health Sciences, University of Sydney</b:Publisher>
    <b:RefOrder>505</b:RefOrder>
  </b:Source>
  <b:Source>
    <b:Tag>Smy19</b:Tag>
    <b:SourceType>Report</b:SourceType>
    <b:Guid>{BE465A4A-DB9D-4603-A54F-86779F3B393A}</b:Guid>
    <b:Title>The impact of projections on superannuation contributions, investment choice and engagement</b:Title>
    <b:Year>2019</b:Year>
    <b:Author>
      <b:Author>
        <b:NameList>
          <b:Person>
            <b:Last>Smyrnis</b:Last>
            <b:First>George</b:First>
          </b:Person>
          <b:Person>
            <b:Last>Bateman</b:Last>
            <b:First>Hazel</b:First>
          </b:Person>
          <b:Person>
            <b:Last>Dobrescu</b:Last>
            <b:First>Isabella</b:First>
          </b:Person>
          <b:Person>
            <b:Last>Newell</b:Last>
            <b:First>Benjamin</b:First>
          </b:Person>
          <b:Person>
            <b:Last>Thorp</b:Last>
            <b:First>Susan</b:First>
          </b:Person>
        </b:NameList>
      </b:Author>
    </b:Author>
    <b:Publisher>ARC Centre of Excellence in Population Ageing Research</b:Publisher>
    <b:City>Sydney</b:City>
    <b:RefOrder>439</b:RefOrder>
  </b:Source>
  <b:Source>
    <b:Tag>Smi06</b:Tag>
    <b:SourceType>JournalArticle</b:SourceType>
    <b:Guid>{76AC9C7E-969F-4602-A858-D2BB1177D394}</b:Guid>
    <b:Title>The Retirement Consumption Puzzle and Involuntary Early Retirement: Evidence from the British Household Panel Survey</b:Title>
    <b:Year>2006</b:Year>
    <b:Author>
      <b:Author>
        <b:NameList>
          <b:Person>
            <b:Last>Smith</b:Last>
            <b:First>Sarah</b:First>
          </b:Person>
        </b:NameList>
      </b:Author>
    </b:Author>
    <b:JournalName>The Economic Journal</b:JournalName>
    <b:Pages>C130–C148</b:Pages>
    <b:Volume>116</b:Volume>
    <b:Issue>510</b:Issue>
    <b:RefOrder>257</b:RefOrder>
  </b:Source>
  <b:Source>
    <b:Tag>Ken11</b:Tag>
    <b:SourceType>JournalArticle</b:SourceType>
    <b:Guid>{AC1CF56E-9368-4687-AB61-663BCE5923AD}</b:Guid>
    <b:Title>Psychological Perspectives on the Changing Nature of Retirement</b:Title>
    <b:Year>2011</b:Year>
    <b:Author>
      <b:Author>
        <b:NameList>
          <b:Person>
            <b:Last>Shultz</b:Last>
            <b:First>Kenneth</b:First>
            <b:Middle>S.</b:Middle>
          </b:Person>
          <b:Person>
            <b:Last>Wang</b:Last>
            <b:First>Mo</b:First>
          </b:Person>
        </b:NameList>
      </b:Author>
    </b:Author>
    <b:JournalName>The American Psychologist</b:JournalName>
    <b:Volume>66</b:Volume>
    <b:Issue>3</b:Issue>
    <b:Pages>170-179</b:Pages>
    <b:RefOrder>22</b:RefOrder>
  </b:Source>
  <b:Source>
    <b:Tag>Pro3b</b:Tag>
    <b:SourceType>Report</b:SourceType>
    <b:Guid>{979C697E-0C74-49E8-B999-666711E32636}</b:Guid>
    <b:Author>
      <b:Author>
        <b:NameList>
          <b:Person>
            <b:Last>Shomos</b:Last>
            <b:First>A</b:First>
          </b:Person>
          <b:Person>
            <b:Last>Turner</b:Last>
            <b:First>E</b:First>
          </b:Person>
          <b:Person>
            <b:Last>Will</b:Last>
            <b:First>L</b:First>
          </b:Person>
        </b:NameList>
      </b:Author>
    </b:Author>
    <b:Title>Forms of work in Australia</b:Title>
    <b:Year>2013b</b:Year>
    <b:Publisher>Productivity Commission</b:Publisher>
    <b:City>Productivity Commision Staff Working Paper, Canberra</b:City>
    <b:RefOrder>237</b:RefOrder>
  </b:Source>
  <b:Source>
    <b:Tag>Aus17f</b:Tag>
    <b:SourceType>Report</b:SourceType>
    <b:Guid>{1A69FF25-AA2C-489B-A526-A8B2CD525D28}</b:Guid>
    <b:Author>
      <b:Author>
        <b:NameList>
          <b:Person>
            <b:Last>Sheppard</b:Last>
            <b:First>J</b:First>
          </b:Person>
          <b:Person>
            <b:Last>Gray</b:Last>
            <b:First>M</b:First>
          </b:Person>
          <b:Person>
            <b:Last>Phillips</b:Last>
            <b:First>B</b:First>
          </b:Person>
        </b:NameList>
      </b:Author>
    </b:Author>
    <b:Title>ANU Poll 24, Attitudes to Housing Affordability: Pressures, Problems and Solutions</b:Title>
    <b:Year>2017</b:Year>
    <b:Publisher>Australian Data Archive, Australian National University</b:Publisher>
    <b:URL>https://csrm.cass.anu.edu.au/sites/default/files/docs/ANUpoll-24-Housing-2017_0.pdf</b:URL>
    <b:City>Canberra</b:City>
    <b:RefOrder>401</b:RefOrder>
  </b:Source>
  <b:Source>
    <b:Tag>Tah20</b:Tag>
    <b:SourceType>InternetSite</b:SourceType>
    <b:Guid>{E5109C29-EF6F-4403-A71A-A6C483E1C493}</b:Guid>
    <b:Title>Sunsuper sees ‘overwhelming flow’ of unadvised members flocking to cash</b:Title>
    <b:PeriodicalTitle>Professional Planner</b:PeriodicalTitle>
    <b:Year>2020</b:Year>
    <b:Month>March</b:Month>
    <b:Day>25</b:Day>
    <b:Author>
      <b:Author>
        <b:NameList>
          <b:Person>
            <b:Last>Sharpe</b:Last>
            <b:First>Tahn</b:First>
          </b:Person>
        </b:NameList>
      </b:Author>
    </b:Author>
    <b:URL>https://www.professionalplanner.com.au/2020/03/sunsuper-sees-overwhelming-flow-of-unadvised-members-flocking-to-cash/</b:URL>
    <b:YearAccessed>2020</b:YearAccessed>
    <b:MonthAccessed>May</b:MonthAccessed>
    <b:DayAccessed>18</b:DayAccessed>
    <b:RefOrder>165</b:RefOrder>
  </b:Source>
  <b:Source>
    <b:Tag>Sha12</b:Tag>
    <b:SourceType>Book</b:SourceType>
    <b:Guid>{0F057E3E-413D-420C-9AB5-BFDECAE9F691}</b:Guid>
    <b:Title>The Behavioral Foundations of Public Policy</b:Title>
    <b:Year>2012</b:Year>
    <b:Author>
      <b:Editor>
        <b:NameList>
          <b:Person>
            <b:Last>Shafir</b:Last>
            <b:First>Eldar</b:First>
          </b:Person>
        </b:NameList>
      </b:Editor>
    </b:Author>
    <b:Publisher>Princeton University Press</b:Publisher>
    <b:City>Princeton, Oxford</b:City>
    <b:RefOrder>389</b:RefOrder>
  </b:Source>
  <b:Source>
    <b:Tag>Sch06</b:Tag>
    <b:SourceType>JournalArticle</b:SourceType>
    <b:Guid>{5203CAE4-8AFA-4828-91D0-0351B985955A}</b:Guid>
    <b:Author>
      <b:Author>
        <b:NameList>
          <b:Person>
            <b:Last>Scholz</b:Last>
            <b:First>John</b:First>
            <b:Middle>Carl</b:Middle>
          </b:Person>
          <b:Person>
            <b:Last>Seshadri</b:Last>
            <b:First>Ananth </b:First>
          </b:Person>
        </b:NameList>
      </b:Author>
    </b:Author>
    <b:Title>Children and Household Wealth</b:Title>
    <b:JournalName>Michigan Retirement Research Center Research Paper No. WP 2007-158</b:JournalName>
    <b:Year>2009</b:Year>
    <b:Publisher>University of Chicago Press</b:Publisher>
    <b:URL>https://papers.ssrn.com/sol3/papers.cfm?abstract_id=1083829</b:URL>
    <b:RefOrder>499</b:RefOrder>
  </b:Source>
  <b:Source>
    <b:Tag>Sau06</b:Tag>
    <b:SourceType>JournalArticle</b:SourceType>
    <b:Guid>{87EE65BD-C18A-4E86-92F4-E2E66F6AF0D9}</b:Guid>
    <b:Author>
      <b:Author>
        <b:NameList>
          <b:Person>
            <b:Last>Saunders</b:Last>
            <b:First>Peter</b:First>
          </b:Person>
        </b:NameList>
      </b:Author>
    </b:Author>
    <b:Title>The Historical Development of Budget Standards for Australian Working Families</b:Title>
    <b:JournalName>Journal of Industrial Relations</b:JournalName>
    <b:Year>2006</b:Year>
    <b:Pages>155-173</b:Pages>
    <b:Volume>48</b:Volume>
    <b:Issue>2</b:Issue>
    <b:RefOrder>500</b:RefOrder>
  </b:Source>
  <b:Source>
    <b:Tag>Sau18</b:Tag>
    <b:SourceType>JournalArticle</b:SourceType>
    <b:Guid>{3979EDCD-CBF0-4CB3-8F32-6453D6EA0B88}</b:Guid>
    <b:Title>New estimates of the costs of children</b:Title>
    <b:Year>2018</b:Year>
    <b:Author>
      <b:Author>
        <b:NameList>
          <b:Person>
            <b:Last>Saunders</b:Last>
            <b:First>Peter</b:First>
          </b:Person>
          <b:Person>
            <b:Last>Bedford</b:Last>
            <b:First>Megan</b:First>
          </b:Person>
        </b:NameList>
      </b:Author>
    </b:Author>
    <b:JournalName>Family Matters</b:JournalName>
    <b:Pages>19-27</b:Pages>
    <b:RefOrder>498</b:RefOrder>
  </b:Source>
  <b:Source>
    <b:Tag>Sau041</b:Tag>
    <b:SourceType>Report</b:SourceType>
    <b:Guid>{F0BC4477-8810-4F53-9FE6-4D4DE9E13FA0}</b:Guid>
    <b:Title>Updating and Extending Indicative Budget Standards for Older Australians</b:Title>
    <b:Year>2004</b:Year>
    <b:Author>
      <b:Author>
        <b:NameList>
          <b:Person>
            <b:Last>Saunders</b:Last>
            <b:First>P</b:First>
          </b:Person>
          <b:Person>
            <b:Last>Lee</b:Last>
            <b:First>A</b:First>
          </b:Person>
          <b:Person>
            <b:Last>Patulny</b:Last>
            <b:First>R</b:First>
          </b:Person>
        </b:NameList>
      </b:Author>
    </b:Author>
    <b:Publisher>Social Policy Research Centre, University of New South Wales</b:Publisher>
    <b:City>Sydney</b:City>
    <b:RefOrder>501</b:RefOrder>
  </b:Source>
  <b:Source>
    <b:Tag>SPR17</b:Tag>
    <b:SourceType>Report</b:SourceType>
    <b:Guid>{9AB082B6-3A19-48F5-AADA-F6ED700CD601}</b:Guid>
    <b:Author>
      <b:Author>
        <b:NameList>
          <b:Person>
            <b:Last>Saunders</b:Last>
            <b:First>P</b:First>
          </b:Person>
          <b:Person>
            <b:Last>Bedford</b:Last>
            <b:First>M</b:First>
          </b:Person>
        </b:NameList>
      </b:Author>
    </b:Author>
    <b:Title>New Minimum Income for Healthy Living Budget Standards for Low-Paid and Unemployed Australians: Summary Report</b:Title>
    <b:City>Sydney</b:City>
    <b:Year>2017</b:Year>
    <b:Month>August</b:Month>
    <b:Publisher>Social Policy Research Centre, UNSW Sydney</b:Publisher>
    <b:URL>http://unsworks.unsw.edu.au/fapi/datastream/unsworks:46141/binaaacbcf3-915f-40bc-a70f-2052746ab643?view=true</b:URL>
    <b:RefOrder>144</b:RefOrder>
  </b:Source>
  <b:Source>
    <b:Tag>Sua99</b:Tag>
    <b:SourceType>JournalArticle</b:SourceType>
    <b:Guid>{4452776F-88E3-4D11-879D-C0486A09A3E9}</b:Guid>
    <b:Title>Budget Standards and the Poverty Line</b:Title>
    <b:Year>1999</b:Year>
    <b:Publisher>Blackwell Publishers Ltd</b:Publisher>
    <b:Author>
      <b:Author>
        <b:NameList>
          <b:Person>
            <b:Last>Saunders</b:Last>
            <b:First>P</b:First>
          </b:Person>
        </b:NameList>
      </b:Author>
    </b:Author>
    <b:JournalName>The Australian Economic Review</b:JournalName>
    <b:Pages>43-61</b:Pages>
    <b:Volume>32</b:Volume>
    <b:Issue>1</b:Issue>
    <b:RefOrder>112</b:RefOrder>
  </b:Source>
  <b:Source>
    <b:Tag>Rut201</b:Tag>
    <b:SourceType>Report</b:SourceType>
    <b:Guid>{F2FEEE1C-915F-4316-9E80-C1376363900E}</b:Guid>
    <b:Author>
      <b:Author>
        <b:NameList>
          <b:Person>
            <b:Last>Ruthbah</b:Last>
            <b:First>U</b:First>
          </b:Person>
          <b:Person>
            <b:Last>Pham</b:Last>
            <b:First>N</b:First>
          </b:Person>
        </b:NameList>
      </b:Author>
    </b:Author>
    <b:Title>The Effects of Superannuation Tax Concessions on Private Savings</b:Title>
    <b:Year>2020b</b:Year>
    <b:Publisher>Monash Centre for Financial Studies, Monash University</b:Publisher>
    <b:City>Melbourne</b:City>
    <b:RefOrder>371</b:RefOrder>
  </b:Source>
  <b:Source>
    <b:Tag>Rut20</b:Tag>
    <b:SourceType>Report</b:SourceType>
    <b:Guid>{D5D6EBDF-8C67-4BDB-B6EA-754BF763B190}</b:Guid>
    <b:Title>Household Savings and the Superannuation Guarantee</b:Title>
    <b:Year>2020a</b:Year>
    <b:Publisher>Monash Centre for Financial Studies, Monash University</b:Publisher>
    <b:Author>
      <b:Author>
        <b:NameList>
          <b:Person>
            <b:Last>Ruthbah</b:Last>
            <b:First>U</b:First>
          </b:Person>
          <b:Person>
            <b:Last>Pham</b:Last>
            <b:First>N</b:First>
          </b:Person>
        </b:NameList>
      </b:Author>
    </b:Author>
    <b:City>Melbourne</b:City>
    <b:RefOrder>95</b:RefOrder>
  </b:Source>
  <b:Source>
    <b:Tag>Rus18</b:Tag>
    <b:SourceType>Report</b:SourceType>
    <b:Guid>{07BC08CD-C6B6-4D1C-85CD-5A9D353CA1BD}</b:Guid>
    <b:Title>Financial Wellbeing: Older Australians</b:Title>
    <b:Year>2018</b:Year>
    <b:Publisher>ANZ and School of Economics, Finance and Marketing, RMIT University</b:Publisher>
    <b:Author>
      <b:Author>
        <b:NameList>
          <b:Person>
            <b:Last>Russell</b:Last>
            <b:First>Roslyn</b:First>
          </b:Person>
          <b:Person>
            <b:Last>Kutin</b:Last>
            <b:First>Jozica</b:First>
          </b:Person>
          <b:Person>
            <b:Last>Stewart</b:Last>
            <b:First>Mark</b:First>
          </b:Person>
          <b:Person>
            <b:Last>Cai</b:Last>
            <b:First>Ru Ying</b:First>
          </b:Person>
        </b:NameList>
      </b:Author>
    </b:Author>
    <b:RefOrder>154</b:RefOrder>
  </b:Source>
  <b:Source>
    <b:Tag>The12</b:Tag>
    <b:SourceType>BookSection</b:SourceType>
    <b:Guid>{00D46871-1A31-47A0-B0D8-6B46506092E4}</b:Guid>
    <b:Title>Making the most of equity release: perspectives from key players</b:Title>
    <b:Year>2012</b:Year>
    <b:Publisher>The Smith Institute</b:Publisher>
    <b:Author>
      <b:Editor>
        <b:NameList>
          <b:Person>
            <b:Last>Lord</b:Last>
            <b:First>German</b:First>
          </b:Person>
        </b:NameList>
      </b:Editor>
      <b:Author>
        <b:NameList>
          <b:Person>
            <b:Last>Rozario</b:Last>
            <b:First>Andrea</b:First>
          </b:Person>
        </b:NameList>
      </b:Author>
    </b:Author>
    <b:City>London</b:City>
    <b:BookTitle>Making the most of equity release: perspectives from key players</b:BookTitle>
    <b:Pages>12-16</b:Pages>
    <b:RefOrder>424</b:RefOrder>
  </b:Source>
  <b:Source>
    <b:Tag>Rot11</b:Tag>
    <b:SourceType>Report</b:SourceType>
    <b:Guid>{550B5EC8-FCEA-42A0-BCA6-9EF1E8AEBBD2}</b:Guid>
    <b:Author>
      <b:Author>
        <b:NameList>
          <b:Person>
            <b:Last>Rothman</b:Last>
            <b:First>G</b:First>
          </b:Person>
        </b:NameList>
      </b:Author>
    </b:Author>
    <b:Title>Projecting the Adequacy of Australian Retirement Incomes - for whole of population, income and gender groups</b:Title>
    <b:Year>2011</b:Year>
    <b:Publisher>Retirement &amp; Intergenerational Modelling &amp; Analysis Unit, Department of the Treasury, Commonwealth of Australia</b:Publisher>
    <b:City>Canberra</b:City>
    <b:RefOrder>134</b:RefOrder>
  </b:Source>
  <b:Source>
    <b:Tag>Rom19</b:Tag>
    <b:SourceType>Book</b:SourceType>
    <b:Guid>{7533258B-7E0A-4EB5-8021-E01FDC2934F4}</b:Guid>
    <b:Title>Advanced Macroeconomics</b:Title>
    <b:Year>2019</b:Year>
    <b:Author>
      <b:Author>
        <b:NameList>
          <b:Person>
            <b:Last>Romer</b:Last>
            <b:First>P</b:First>
          </b:Person>
        </b:NameList>
      </b:Author>
    </b:Author>
    <b:City>New York</b:City>
    <b:Publisher>McGraw-Hill</b:Publisher>
    <b:Edition>5th</b:Edition>
    <b:RefOrder>187</b:RefOrder>
  </b:Source>
  <b:Source>
    <b:Tag>Dun09</b:Tag>
    <b:SourceType>Report</b:SourceType>
    <b:Guid>{A1A8B9D5-8C72-4FEA-901A-3BF9CD228AE0}</b:Guid>
    <b:Author>
      <b:Author>
        <b:NameList>
          <b:Person>
            <b:Last>Reeson</b:Last>
            <b:First>Andrew</b:First>
          </b:Person>
          <b:Person>
            <b:Last>Dunstall</b:Last>
            <b:First>Simon</b:First>
          </b:Person>
        </b:NameList>
      </b:Author>
    </b:Author>
    <b:Title>Behavioural Economics and Complex Decision-Making: Implications for the Australian Tax and Transfer System</b:Title>
    <b:Year>2009</b:Year>
    <b:Publisher>CSIRO</b:Publisher>
    <b:RefOrder>432</b:RefOrder>
  </b:Source>
  <b:Source>
    <b:Tag>Ree16</b:Tag>
    <b:SourceType>JournalArticle</b:SourceType>
    <b:Guid>{ACEDFC39-BB24-4B80-BE6D-CD751B80074D}</b:Guid>
    <b:Title>Superannuation Drawdown Behaviour: An Analysis of Longitudinal Data</b:Title>
    <b:Year>2016</b:Year>
    <b:Publisher>CSIRO</b:Publisher>
    <b:Author>
      <b:Author>
        <b:NameList>
          <b:Person>
            <b:Last>Reeson</b:Last>
            <b:First>A</b:First>
          </b:Person>
          <b:Person>
            <b:Last>Sneddon</b:Last>
            <b:First>T</b:First>
          </b:Person>
          <b:Person>
            <b:Last>Zhu</b:Last>
            <b:First>Z</b:First>
          </b:Person>
          <b:Person>
            <b:Last>Stephenson</b:Last>
            <b:First>A</b:First>
          </b:Person>
          <b:Person>
            <b:Last>Hobman</b:Last>
            <b:First>E</b:First>
            <b:Middle>V</b:Middle>
          </b:Person>
          <b:Person>
            <b:Last>Toscas</b:Last>
            <b:First>P</b:First>
          </b:Person>
        </b:NameList>
      </b:Author>
    </b:Author>
    <b:JournalName>Jassa</b:JournalName>
    <b:Pages>42-53</b:Pages>
    <b:Issue>2</b:Issue>
    <b:RefOrder>407</b:RefOrder>
  </b:Source>
  <b:Source>
    <b:Tag>Nat18f</b:Tag>
    <b:SourceType>Report</b:SourceType>
    <b:Guid>{62DAF2B3-4DA0-421A-BF8C-EF8683AB215C}</b:Guid>
    <b:Author>
      <b:Author>
        <b:NameList>
          <b:Person>
            <b:Last>Rees</b:Last>
            <b:First>K</b:First>
          </b:Person>
          <b:Person>
            <b:Last>Maccora</b:Last>
            <b:First>J</b:First>
          </b:Person>
          <b:Person>
            <b:Last>McCallum</b:Last>
            <b:First>J</b:First>
          </b:Person>
        </b:NameList>
      </b:Author>
    </b:Author>
    <b:Title>You don't know what you don't know: The current state of Australian aged care service literacy</b:Title>
    <b:InternetSiteTitle>National Seniors Australia</b:InternetSiteTitle>
    <b:Year>2018</b:Year>
    <b:Month>09</b:Month>
    <b:Day>25</b:Day>
    <b:URL>https://nationalseniors.com.au/research/health-and-aged-care/aged-care-service-literacy</b:URL>
    <b:Publisher>National Seniors</b:Publisher>
    <b:City>Brisbane</b:City>
    <b:RefOrder>426</b:RefOrder>
  </b:Source>
  <b:Source>
    <b:Tag>RBA201</b:Tag>
    <b:SourceType>DocumentFromInternetSite</b:SourceType>
    <b:Guid>{610F28B3-CBC2-4CA4-A145-0C77BE77077B}</b:Guid>
    <b:Title>Statistical Tables - Interest Rates</b:Title>
    <b:Year>2020c</b:Year>
    <b:YearAccessed>2020</b:YearAccessed>
    <b:MonthAccessed>June</b:MonthAccessed>
    <b:DayAccessed>29</b:DayAccessed>
    <b:URL>https://www.rba.gov.au/statistics/tables/#interest-rates</b:URL>
    <b:Author>
      <b:Author>
        <b:NameList>
          <b:Person>
            <b:Last>RBA</b:Last>
          </b:Person>
        </b:NameList>
      </b:Author>
    </b:Author>
    <b:RefOrder>88</b:RefOrder>
  </b:Source>
  <b:Source>
    <b:Tag>RBA20v</b:Tag>
    <b:SourceType>DocumentFromInternetSite</b:SourceType>
    <b:Guid>{2784B99C-425A-4425-B947-B9788CC61160}</b:Guid>
    <b:Title>Financial Stability Review - October 2019</b:Title>
    <b:Year>2020a</b:Year>
    <b:Author>
      <b:Author>
        <b:NameList>
          <b:Person>
            <b:Last>RBA</b:Last>
          </b:Person>
        </b:NameList>
      </b:Author>
    </b:Author>
    <b:InternetSiteTitle>Reserve Bank of Australia</b:InternetSiteTitle>
    <b:Month>March</b:Month>
    <b:Day>18</b:Day>
    <b:URL>https://www.rba.gov.au/publications/fsr/2019/oct/household-business-finances.html</b:URL>
    <b:YearAccessed>2020</b:YearAccessed>
    <b:MonthAccessed>April</b:MonthAccessed>
    <b:DayAccessed>20</b:DayAccessed>
    <b:RefOrder>94</b:RefOrder>
  </b:Source>
  <b:Source>
    <b:Tag>Ral16</b:Tag>
    <b:SourceType>Report</b:SourceType>
    <b:Guid>{C5AD75CE-4FDE-4061-BBA4-3CFB38E99FCF}</b:Guid>
    <b:Title>The Evolution of Australian Superannuation, its Policy Objectives and Tax Treatment</b:Title>
    <b:Year>2016</b:Year>
    <b:Publisher>Monash Business School, University of Melbourne</b:Publisher>
    <b:City>Melbourne</b:City>
    <b:Author>
      <b:Author>
        <b:NameList>
          <b:Person>
            <b:Last>Ralston</b:Last>
            <b:First>Deborah</b:First>
          </b:Person>
          <b:Person>
            <b:Last>Feng</b:Last>
            <b:First>Jimmy</b:First>
          </b:Person>
        </b:NameList>
      </b:Author>
    </b:Author>
    <b:RefOrder>523</b:RefOrder>
  </b:Source>
  <b:Source>
    <b:Tag>Ral17</b:Tag>
    <b:SourceType>JournalArticle</b:SourceType>
    <b:Guid>{087BE672-09CD-4147-B957-AE3EF273A12B}</b:Guid>
    <b:Title>Towards a Self-Funded Retirement: Will Superannuation Substitute for the Age Pension</b:Title>
    <b:Year>2017</b:Year>
    <b:Publisher>Australian Tax Forum</b:Publisher>
    <b:Author>
      <b:Author>
        <b:NameList>
          <b:Person>
            <b:Last>Ralston</b:Last>
            <b:First>D</b:First>
          </b:Person>
          <b:Person>
            <b:Last>Feng</b:Last>
            <b:First>J</b:First>
          </b:Person>
        </b:NameList>
      </b:Author>
    </b:Author>
    <b:Pages>607</b:Pages>
    <b:Volume>32</b:Volume>
    <b:JournalName>Australian Tax Forum</b:JournalName>
    <b:Issue>3</b:Issue>
    <b:RefOrder>388</b:RefOrder>
  </b:Source>
  <b:Source>
    <b:Tag>Pri19</b:Tag>
    <b:SourceType>Report</b:SourceType>
    <b:Guid>{5B821C2D-855C-4356-BD42-0E939A097CB3}</b:Guid>
    <b:Author>
      <b:Author>
        <b:NameList>
          <b:Person>
            <b:Last>Price</b:Last>
            <b:First>F</b:First>
          </b:Person>
          <b:Person>
            <b:Last>Beckers</b:Last>
            <b:First>B</b:First>
          </b:Person>
          <b:Person>
            <b:Last>La Cava</b:Last>
            <b:First>G</b:First>
          </b:Person>
        </b:NameList>
      </b:Author>
    </b:Author>
    <b:Title>The Effect of Mortgage Debt on Consumer Spending: Evidence from Household-level Data</b:Title>
    <b:Year>2019</b:Year>
    <b:Publisher>Research Discussion Paper 2019-06, Economic Research Department, Reserve Bank of Australia</b:Publisher>
    <b:RefOrder>405</b:RefOrder>
  </b:Source>
  <b:Source>
    <b:Tag>Pre20</b:Tag>
    <b:SourceType>DocumentFromInternetSite</b:SourceType>
    <b:Guid>{41BCCF76-B131-4526-B052-51DFC81C88EC}</b:Guid>
    <b:Title>Retirement Income Review Submissions </b:Title>
    <b:Year>2020</b:Year>
    <b:Author>
      <b:Author>
        <b:NameList>
          <b:Person>
            <b:Last>Preston</b:Last>
            <b:First>Alison</b:First>
          </b:Person>
        </b:NameList>
      </b:Author>
    </b:Author>
    <b:Month>February</b:Month>
    <b:Day>10</b:Day>
    <b:URL>https://treasury.gov.au/consultation/c2019-36292/submissions</b:URL>
    <b:RefOrder>441</b:RefOrder>
  </b:Source>
  <b:Source>
    <b:Tag>Jam96</b:Tag>
    <b:SourceType>JournalArticle</b:SourceType>
    <b:Guid>{D72D2249-9C08-4AB7-AE64-AD86B0AA8827}</b:Guid>
    <b:Author>
      <b:Author>
        <b:NameList>
          <b:Person>
            <b:Last>Poterba</b:Last>
            <b:First>James</b:First>
          </b:Person>
          <b:Person>
            <b:Last>Venti</b:Last>
            <b:First>Steven</b:First>
          </b:Person>
          <b:Person>
            <b:Last>Wise</b:Last>
            <b:First>David</b:First>
          </b:Person>
        </b:NameList>
      </b:Author>
    </b:Author>
    <b:Title>How Retirement Saving Programs Increase Saving</b:Title>
    <b:JournalName>Journal of Economic Perspectives</b:JournalName>
    <b:Year>1996</b:Year>
    <b:Pages>91-112</b:Pages>
    <b:Volume>10</b:Volume>
    <b:Issue>4</b:Issue>
    <b:RefOrder>380</b:RefOrder>
  </b:Source>
  <b:Source>
    <b:Tag>Pol</b:Tag>
    <b:SourceType>Report</b:SourceType>
    <b:Guid>{779CA4AA-C7FB-4EB8-8264-301429280A0A}</b:Guid>
    <b:Title>The ATO Longitudinal Information Files (ALife): A New Resource for Retirement Policy Research</b:Title>
    <b:Author>
      <b:Author>
        <b:NameList>
          <b:Person>
            <b:Last>Polidano</b:Last>
            <b:First>C</b:First>
          </b:Person>
          <b:Person>
            <b:Last>Carter</b:Last>
            <b:First>A</b:First>
          </b:Person>
          <b:Person>
            <b:Last>Chan</b:Last>
            <b:First>M</b:First>
          </b:Person>
          <b:Person>
            <b:Last>Chigavazira</b:Last>
            <b:First>A</b:First>
          </b:Person>
          <b:Person>
            <b:Last>To</b:Last>
            <b:First>H</b:First>
          </b:Person>
          <b:Person>
            <b:Last>Holland</b:Last>
            <b:First>J</b:First>
          </b:Person>
          <b:Person>
            <b:Last>Nguyen</b:Last>
            <b:First>S</b:First>
          </b:Person>
          <b:Person>
            <b:Last>Vu</b:Last>
            <b:First>A</b:First>
          </b:Person>
          <b:Person>
            <b:Last>Wilkins</b:Last>
            <b:First>R</b:First>
          </b:Person>
        </b:NameList>
      </b:Author>
    </b:Author>
    <b:Year>2020</b:Year>
    <b:Publisher>Tax and Transfer Policy Institute</b:Publisher>
    <b:City>Working Paper 2/2020, Canberra</b:City>
    <b:RefOrder>178</b:RefOrder>
  </b:Source>
  <b:Source>
    <b:Tag>And19</b:Tag>
    <b:SourceType>InternetSite</b:SourceType>
    <b:Guid>{69F36B23-2C73-4A19-8FCE-BC6E17433C7F}</b:Guid>
    <b:Title>No Case for Tightening the Age Pension Means Test: A Response to Michael Keane’s Analysis</b:Title>
    <b:Year>2019</b:Year>
    <b:Author>
      <b:Author>
        <b:NameList>
          <b:Person>
            <b:Last>Podger</b:Last>
            <b:First>Andrew</b:First>
          </b:Person>
        </b:NameList>
      </b:Author>
    </b:Author>
    <b:InternetSiteTitle>Tax Transfer Policy Institute</b:InternetSiteTitle>
    <b:Month>July</b:Month>
    <b:Day>26</b:Day>
    <b:URL>https://www.austaxpolicy.com/no-case-for-further-tightening-the-age-pension-means-test-a-response-to-michael-keanes-analysis/</b:URL>
    <b:YearAccessed>2020</b:YearAccessed>
    <b:MonthAccessed>March</b:MonthAccessed>
    <b:DayAccessed>18</b:DayAccessed>
    <b:RefOrder>470</b:RefOrder>
  </b:Source>
  <b:Source>
    <b:Tag>Plu10</b:Tag>
    <b:SourceType>Report</b:SourceType>
    <b:Guid>{31E18EDD-9D0D-4B68-B669-98DE921C64CF}</b:Guid>
    <b:Title>The Labour Market during the 2008-2009 Downturn</b:Title>
    <b:Year>2010</b:Year>
    <b:Publisher>Reserve Bank of Australia</b:Publisher>
    <b:Author>
      <b:Author>
        <b:NameList>
          <b:Person>
            <b:Last>Plumb</b:Last>
            <b:First>Michael</b:First>
          </b:Person>
          <b:Person>
            <b:Last>Baker</b:Last>
            <b:First>Mark</b:First>
          </b:Person>
          <b:Person>
            <b:Last>Spence</b:Last>
            <b:First>Gareth</b:First>
          </b:Person>
        </b:NameList>
      </b:Author>
    </b:Author>
    <b:URL>https://www.rba.gov.au/publications/bulletin/2010/mar/1.html</b:URL>
    <b:RefOrder>164</b:RefOrder>
  </b:Source>
  <b:Source>
    <b:Tag>Pau17</b:Tag>
    <b:SourceType>Report</b:SourceType>
    <b:Guid>{4AC790B5-4623-497D-9453-2C12981FC7C6}</b:Guid>
    <b:Author>
      <b:Author>
        <b:NameList>
          <b:Person>
            <b:Last>Palisi</b:Last>
            <b:First>Paul</b:First>
          </b:Person>
        </b:NameList>
      </b:Author>
    </b:Author>
    <b:Title>Tax Expenditure Analysis - Origins, Debates and Future Prospects</b:Title>
    <b:Year>2017</b:Year>
    <b:Publisher>Department of the Treasury, Commonwealth of Australia</b:Publisher>
    <b:City>Canberra</b:City>
    <b:RefOrder>524</b:RefOrder>
  </b:Source>
  <b:Source>
    <b:Tag>Mon14</b:Tag>
    <b:SourceType>JournalArticle</b:SourceType>
    <b:Guid>{C9079925-F698-47B6-821E-CC5BEECB0C07}</b:Guid>
    <b:Author>
      <b:Author>
        <b:NameList>
          <b:Person>
            <b:Last>Paiella</b:Last>
            <b:First>Monia</b:First>
          </b:Person>
          <b:Person>
            <b:Last>Tiseno</b:Last>
            <b:First>Andrea</b:First>
          </b:Person>
        </b:NameList>
      </b:Author>
    </b:Author>
    <b:Title>Evaluating the Impact on Saving of Tax-Favored Retirement Plans</b:Title>
    <b:JournalName>Journal of Pension Economics and Finance</b:JournalName>
    <b:Year>2014</b:Year>
    <b:Pages>62-87</b:Pages>
    <b:Volume>13</b:Volume>
    <b:Issue>1</b:Issue>
    <b:RefOrder>385</b:RefOrder>
  </b:Source>
  <b:Source>
    <b:Tag>Ooi15</b:Tag>
    <b:SourceType>JournalArticle</b:SourceType>
    <b:Guid>{4BB536B9-039B-4B35-9811-6F9F07F8ECBB}</b:Guid>
    <b:Title>Saving Behavior and Portfolio Choice after Retirement</b:Title>
    <b:JournalName>De Economist</b:JournalName>
    <b:Year>2015</b:Year>
    <b:Pages>353-404</b:Pages>
    <b:Author>
      <b:Author>
        <b:NameList>
          <b:Person>
            <b:Last>Ooijen</b:Last>
            <b:First>R</b:First>
          </b:Person>
          <b:Person>
            <b:Last>Alessie</b:Last>
            <b:First>R</b:First>
          </b:Person>
          <b:Person>
            <b:Last>Kalwij</b:Last>
            <b:First>A</b:First>
          </b:Person>
        </b:NameList>
      </b:Author>
    </b:Author>
    <b:Volume>163</b:Volume>
    <b:Issue>3</b:Issue>
    <b:RefOrder>408</b:RefOrder>
  </b:Source>
  <b:Source>
    <b:Tag>Ong20</b:Tag>
    <b:SourceType>DocumentFromInternetSite</b:SourceType>
    <b:Guid>{92970800-3AF8-4ADC-A632-7C0724EA5D6C}</b:Guid>
    <b:Title>Submission the Retirement Income Review</b:Title>
    <b:Year>2020</b:Year>
    <b:Author>
      <b:Author>
        <b:NameList>
          <b:Person>
            <b:Last>Ong ViforJ</b:Last>
            <b:First>Rachel</b:First>
          </b:Person>
        </b:NameList>
      </b:Author>
    </b:Author>
    <b:Month>February</b:Month>
    <b:Day>7</b:Day>
    <b:URL>https://treasury.gov.au/consultation/c2019-36292/submissions</b:URL>
    <b:RefOrder>220</b:RefOrder>
  </b:Source>
  <b:Source>
    <b:Tag>Ong19</b:Tag>
    <b:SourceType>Report</b:SourceType>
    <b:Guid>{B8816FB5-5BE6-4B2C-8422-0141A4C1D750}</b:Guid>
    <b:Title>Mortgage stress and precarious home ownership: implications for older Australians</b:Title>
    <b:Year>2019</b:Year>
    <b:Publisher>Australian Housing and Urban Research Institute</b:Publisher>
    <b:Author>
      <b:Author>
        <b:NameList>
          <b:Person>
            <b:Last>Ong</b:Last>
            <b:First>Rachel</b:First>
          </b:Person>
          <b:Person>
            <b:Last>Wood</b:Last>
            <b:First>Gavin</b:First>
          </b:Person>
          <b:Person>
            <b:Last>Cigdem</b:Last>
            <b:First>Melek</b:First>
          </b:Person>
          <b:Person>
            <b:Last>Salazar</b:Last>
            <b:First>Silvia</b:First>
          </b:Person>
        </b:NameList>
      </b:Author>
    </b:Author>
    <b:City>Melbourne</b:City>
    <b:RefOrder>170</b:RefOrder>
  </b:Source>
  <b:Source>
    <b:Tag>Ong13</b:Tag>
    <b:SourceType>Report</b:SourceType>
    <b:Guid>{B9464C44-6DCF-45DF-AD06-A7295834D59A}</b:Guid>
    <b:Title>Housing Equity Withdrawal: Uses, Risks, and Barriers to Alternative Mechanisms in Later Life</b:Title>
    <b:Year>2013</b:Year>
    <b:Publisher>Australian Housing and Urban Research Institute Limited</b:Publisher>
    <b:Author>
      <b:Author>
        <b:NameList>
          <b:Person>
            <b:Last>Ong</b:Last>
            <b:First>R</b:First>
          </b:Person>
          <b:Person>
            <b:Last>Jefferson</b:Last>
            <b:First>T</b:First>
          </b:Person>
          <b:Person>
            <b:Last>Wood</b:Last>
            <b:First>G</b:First>
          </b:Person>
          <b:Person>
            <b:Last>Haffner</b:Last>
            <b:First>M</b:First>
          </b:Person>
          <b:Person>
            <b:Last>Austen</b:Last>
            <b:First>S</b:First>
          </b:Person>
        </b:NameList>
      </b:Author>
    </b:Author>
    <b:City>Melbourne</b:City>
    <b:StandardNumber>AHURI Final Report No. 217</b:StandardNumber>
    <b:URL>https://www.ahuri.edu.au/research/final-reports/217</b:URL>
    <b:RefOrder>420</b:RefOrder>
  </b:Source>
  <b:Source>
    <b:Tag>Nol19</b:Tag>
    <b:SourceType>InternetSite</b:SourceType>
    <b:Guid>{85F9D5E4-19C6-4468-A0C7-A0F9F7F6E516}</b:Guid>
    <b:Title>McKell makes unsupportable claims about superannuation and wages</b:Title>
    <b:InternetSiteTitle>Grattan Blog</b:InternetSiteTitle>
    <b:Year>2019</b:Year>
    <b:Month>09</b:Month>
    <b:Day>20</b:Day>
    <b:URL>https://blog.grattan.edu.au/2019/09/mckell-makes-unsupportable-claims-about-superannuation-and-wages/</b:URL>
    <b:Author>
      <b:Author>
        <b:NameList>
          <b:Person>
            <b:Last>Nolan</b:Last>
            <b:First>J</b:First>
          </b:Person>
          <b:Person>
            <b:Last>Mackey</b:Last>
            <b:First>W</b:First>
          </b:Person>
          <b:Person>
            <b:Last>Coates</b:Last>
            <b:First>B</b:First>
          </b:Person>
        </b:NameList>
      </b:Author>
    </b:Author>
    <b:YearAccessed>2020</b:YearAccessed>
    <b:MonthAccessed>March</b:MonthAccessed>
    <b:DayAccessed>16</b:DayAccessed>
    <b:RefOrder>485</b:RefOrder>
  </b:Source>
  <b:Source>
    <b:Tag>Nie10</b:Tag>
    <b:SourceType>InternetSite</b:SourceType>
    <b:Guid>{4AC0EBF1-E603-495D-8CBD-950C68B493CC}</b:Guid>
    <b:Title>Chronology of superannuation and retirement income in Australia</b:Title>
    <b:Year>2010</b:Year>
    <b:YearAccessed>2020</b:YearAccessed>
    <b:MonthAccessed>June</b:MonthAccessed>
    <b:DayAccessed>9</b:DayAccessed>
    <b:URL>https://www.aph.gov.au/About_Parliament/Parliamentary_Departments/Parliamentary_Library/pubs/BN/0910/ChronSuperannuation</b:URL>
    <b:Author>
      <b:Author>
        <b:NameList>
          <b:Person>
            <b:Last>Nielson</b:Last>
            <b:First>Leslie</b:First>
          </b:Person>
          <b:Person>
            <b:Last>Harris</b:Last>
            <b:First>Barbara</b:First>
          </b:Person>
        </b:NameList>
      </b:Author>
    </b:Author>
    <b:RefOrder>48</b:RefOrder>
  </b:Source>
  <b:Source>
    <b:Tag>Nep09</b:Tag>
    <b:SourceType>Report</b:SourceType>
    <b:Guid>{A3ED8AE6-9392-49C8-8885-18E8DB463A68}</b:Guid>
    <b:Title>Women Carers in Financial Stress Report: Lifetime health and economic consequences of caring, modelling health and economic prospects of female carers in Australia</b:Title>
    <b:Year>2008</b:Year>
    <b:Author>
      <b:Author>
        <b:NameList>
          <b:Person>
            <b:Last>Nepal</b:Last>
            <b:First>B</b:First>
          </b:Person>
          <b:Person>
            <b:Last>Brown</b:Last>
            <b:First>L</b:First>
          </b:Person>
          <b:Person>
            <b:Last>Ranmuthugala</b:Last>
            <b:First>G</b:First>
          </b:Person>
          <b:Person>
            <b:Last>Percival</b:Last>
            <b:First>R</b:First>
          </b:Person>
        </b:NameList>
      </b:Author>
    </b:Author>
    <b:Publisher>National Centre for Social and Economic Modelling, University of Canberra</b:Publisher>
    <b:City>Canberra</b:City>
    <b:RefOrder>212</b:RefOrder>
  </b:Source>
  <b:Source>
    <b:Tag>Mar18</b:Tag>
    <b:SourceType>Report</b:SourceType>
    <b:Guid>{2FE3E6A8-EC4F-49DB-97A8-E96641F21390}</b:Guid>
    <b:Author>
      <b:Author>
        <b:NameList>
          <b:Person>
            <b:Last>Negro</b:Last>
            <b:First>Marco</b:First>
            <b:Middle>Del</b:Middle>
          </b:Person>
          <b:Person>
            <b:Last>Giannone</b:Last>
            <b:First>Domenico</b:First>
          </b:Person>
          <b:Person>
            <b:Last>Giannoni</b:Last>
            <b:First>Marc</b:First>
            <b:Middle>P.</b:Middle>
          </b:Person>
          <b:Person>
            <b:Last>Tambalotti</b:Last>
            <b:First>Andrea</b:First>
          </b:Person>
        </b:NameList>
      </b:Author>
    </b:Author>
    <b:Title>Global Trends in Interest Rates</b:Title>
    <b:Year>2018</b:Year>
    <b:Publisher>Federal Reserve Bank of New York</b:Publisher>
    <b:City>Staff Reports 866, New York</b:City>
    <b:RefOrder>89</b:RefOrder>
  </b:Source>
  <b:Source>
    <b:Tag>DrC20</b:Tag>
    <b:SourceType>DocumentFromInternetSite</b:SourceType>
    <b:Guid>{EB7F166A-CC4A-4EBF-A0F5-D38F43209CF9}</b:Guid>
    <b:Author>
      <b:Author>
        <b:NameList>
          <b:Person>
            <b:Last>Murray</b:Last>
            <b:First>Cameron</b:First>
          </b:Person>
        </b:NameList>
      </b:Author>
    </b:Author>
    <b:Title>Retirement Income Review submissions</b:Title>
    <b:Year>2020</b:Year>
    <b:URL>https://treasury.gov.au/consultation/c2019-36292/submissions</b:URL>
    <b:RefOrder>338</b:RefOrder>
  </b:Source>
  <b:Source>
    <b:Tag>Mun07</b:Tag>
    <b:SourceType>JournalArticle</b:SourceType>
    <b:Guid>{EEB5B012-38BD-4889-BC70-E17F62B89DC4}</b:Guid>
    <b:Title>Is There Really a Retirement Savings Crisis? An NRRI Analysis</b:Title>
    <b:Year>2007</b:Year>
    <b:Publisher>NRRI</b:Publisher>
    <b:City>Boston</b:City>
    <b:Author>
      <b:Author>
        <b:NameList>
          <b:Person>
            <b:Last>Munnell</b:Last>
            <b:First>Alicia</b:First>
          </b:Person>
          <b:Person>
            <b:Last>Webb</b:Last>
            <b:First>Anthony</b:First>
          </b:Person>
          <b:Person>
            <b:Last>Golub-Sass</b:Last>
            <b:First>Francesca</b:First>
          </b:Person>
        </b:NameList>
      </b:Author>
    </b:Author>
    <b:JournalName>Centre for Retirement Research</b:JournalName>
    <b:Volume>7</b:Volume>
    <b:Issue>11</b:Issue>
    <b:RefOrder>131</b:RefOrder>
  </b:Source>
  <b:Source>
    <b:Tag>Mir11</b:Tag>
    <b:SourceType>Report</b:SourceType>
    <b:Guid>{B6FAFC86-4894-49D9-BA79-7EBA7DA61203}</b:Guid>
    <b:Title>Tax by Design</b:Title>
    <b:Year>2011</b:Year>
    <b:Publisher>Institute of Fiscal Studies</b:Publisher>
    <b:City>London</b:City>
    <b:Author>
      <b:Author>
        <b:NameList>
          <b:Person>
            <b:Last>Mirrlees</b:Last>
            <b:First>J</b:First>
          </b:Person>
          <b:Person>
            <b:Last>Adam</b:Last>
            <b:First>S</b:First>
          </b:Person>
          <b:Person>
            <b:Last>Besley</b:Last>
            <b:First>T</b:First>
          </b:Person>
          <b:Person>
            <b:Last>Blundell</b:Last>
            <b:First>R</b:First>
          </b:Person>
          <b:Person>
            <b:Last>Bond</b:Last>
            <b:First>S</b:First>
          </b:Person>
          <b:Person>
            <b:Last>Chote</b:Last>
            <b:First>R</b:First>
          </b:Person>
          <b:Person>
            <b:Last>Gammie</b:Last>
            <b:First>M</b:First>
          </b:Person>
          <b:Person>
            <b:Last>Johnson</b:Last>
            <b:First>P</b:First>
          </b:Person>
          <b:Person>
            <b:Last>Myles</b:Last>
            <b:First>G</b:First>
          </b:Person>
          <b:Person>
            <b:Last>Poterba</b:Last>
            <b:First>J</b:First>
          </b:Person>
        </b:NameList>
      </b:Author>
    </b:Author>
    <b:RefOrder>363</b:RefOrder>
  </b:Source>
  <b:Source>
    <b:Tag>Min14</b:Tag>
    <b:SourceType>Report</b:SourceType>
    <b:Guid>{69E87D71-61BE-4A78-B3CF-5B2AB76F5411}</b:Guid>
    <b:Title>Super Sting: how to stop Australian's paying too much for superannuation</b:Title>
    <b:Year>2014</b:Year>
    <b:Publisher>Grattan Institute</b:Publisher>
    <b:City>Melbourne</b:City>
    <b:Author>
      <b:Author>
        <b:NameList>
          <b:Person>
            <b:Last>Minifie</b:Last>
            <b:First>Jim</b:First>
          </b:Person>
          <b:Person>
            <b:Last>Cameron</b:Last>
            <b:First>Tim</b:First>
          </b:Person>
          <b:Person>
            <b:Last>Savage</b:Last>
            <b:First>Jim</b:First>
          </b:Person>
        </b:NameList>
      </b:Author>
    </b:Author>
    <b:RefOrder>56</b:RefOrder>
  </b:Source>
  <b:Source>
    <b:Tag>Min15</b:Tag>
    <b:SourceType>Report</b:SourceType>
    <b:Guid>{159478D1-B024-4477-B729-011E30826953}</b:Guid>
    <b:Title>Super savings</b:Title>
    <b:Year>2015</b:Year>
    <b:Publisher>Grattan Institute</b:Publisher>
    <b:City>Melbourne</b:City>
    <b:Author>
      <b:Author>
        <b:NameList>
          <b:Person>
            <b:Last>Minifie</b:Last>
            <b:First>Jim</b:First>
          </b:Person>
          <b:Person>
            <b:Last>Savage</b:Last>
            <b:First>Jim</b:First>
          </b:Person>
          <b:Person>
            <b:Last>Cameron</b:Last>
            <b:First>Tim</b:First>
          </b:Person>
        </b:NameList>
      </b:Author>
    </b:Author>
    <b:RefOrder>57</b:RefOrder>
  </b:Source>
  <b:Source>
    <b:Tag>Min16</b:Tag>
    <b:SourceType>Report</b:SourceType>
    <b:Guid>{728E30E7-04AA-407C-9218-9F1D21EB9B6F}</b:Guid>
    <b:Title>Peer-to-peer pressure: Policy for the sharing economy</b:Title>
    <b:Year>2016</b:Year>
    <b:Publisher>Grattan Institute</b:Publisher>
    <b:City>Melbourne</b:City>
    <b:Author>
      <b:Author>
        <b:NameList>
          <b:Person>
            <b:Last>Minifie</b:Last>
            <b:First>Jim</b:First>
          </b:Person>
        </b:NameList>
      </b:Author>
    </b:Author>
    <b:RefOrder>525</b:RefOrder>
  </b:Source>
  <b:Source>
    <b:Tag>Mil20</b:Tag>
    <b:SourceType>Report</b:SourceType>
    <b:Guid>{47270E6E-EDCE-414C-BCE2-1B3BDE2F56A8}</b:Guid>
    <b:Title>The Ghost of National Superannuation</b:Title>
    <b:Year>2020</b:Year>
    <b:Author>
      <b:Author>
        <b:NameList>
          <b:Person>
            <b:Last>Millane</b:Last>
            <b:First>E</b:First>
          </b:Person>
        </b:NameList>
      </b:Author>
    </b:Author>
    <b:Publisher>Australian National University</b:Publisher>
    <b:City>PhD thesis, Canberra</b:City>
    <b:RefOrder>473</b:RefOrder>
  </b:Source>
  <b:Source>
    <b:Tag>Mel13</b:Tag>
    <b:SourceType>JournalArticle</b:SourceType>
    <b:Guid>{7CFB79CF-1F9E-406C-937A-B2C028B6EAAC}</b:Guid>
    <b:Author>
      <b:Author>
        <b:NameList>
          <b:Person>
            <b:Last>Melguizo</b:Last>
            <b:First>Á</b:First>
          </b:Person>
          <b:Person>
            <b:Last>González-Páramo</b:Last>
            <b:First>J</b:First>
          </b:Person>
        </b:NameList>
      </b:Author>
    </b:Author>
    <b:Title>Who bears labour taxes and social contributions? A meta-analysis approach</b:Title>
    <b:Year>2013</b:Year>
    <b:Publisher>SERIEs</b:Publisher>
    <b:JournalName>SERIEs: Journal of the Spanish Economic Association</b:JournalName>
    <b:Pages>247-271</b:Pages>
    <b:Volume>4</b:Volume>
    <b:Issue>3</b:Issue>
    <b:RefOrder>138</b:RefOrder>
  </b:Source>
  <b:Source>
    <b:Tag>McK11</b:Tag>
    <b:SourceType>JournalArticle</b:SourceType>
    <b:Guid>{4B6D75A6-2E07-4848-8DFD-5DB513F8CFC0}</b:Guid>
    <b:Title>Misunderstanding savings growth: Implications for retirement savings behavior</b:Title>
    <b:Year>2011</b:Year>
    <b:JournalName>Journal of Marketing Research</b:JournalName>
    <b:Pages>S1-S13</b:Pages>
    <b:Author>
      <b:Author>
        <b:NameList>
          <b:Person>
            <b:Last>McKenzie</b:Last>
            <b:First>C</b:First>
            <b:Middle>R</b:Middle>
          </b:Person>
          <b:Person>
            <b:Last>Liersch</b:Last>
            <b:First>M</b:First>
            <b:Middle>J</b:Middle>
          </b:Person>
        </b:NameList>
      </b:Author>
    </b:Author>
    <b:Volume>48</b:Volume>
    <b:Issue>SPL</b:Issue>
    <b:RefOrder>427</b:RefOrder>
  </b:Source>
  <b:Source>
    <b:Tag>McC18</b:Tag>
    <b:SourceType>Report</b:SourceType>
    <b:Guid>{C3C0D422-1942-4F53-B7BC-1C6734E492DE}</b:Guid>
    <b:Author>
      <b:Author>
        <b:NameList>
          <b:Person>
            <b:Last>McCallum</b:Last>
            <b:First>J</b:First>
          </b:Person>
          <b:Person>
            <b:Last>Rees</b:Last>
            <b:First>K</b:First>
          </b:Person>
        </b:NameList>
      </b:Author>
    </b:Author>
    <b:Title>Respect for age: Going, going or gone? Views of Older Australians</b:Title>
    <b:Year>2018</b:Year>
    <b:Publisher>National Seniors</b:Publisher>
    <b:City>Brisbane</b:City>
    <b:RefOrder>335</b:RefOrder>
  </b:Source>
  <b:Source>
    <b:Tag>Nat19</b:Tag>
    <b:SourceType>Report</b:SourceType>
    <b:Guid>{51F57734-FEBB-4BCA-A201-2147E6624984}</b:Guid>
    <b:Author>
      <b:Author>
        <b:NameList>
          <b:Person>
            <b:Last>McCallum</b:Last>
            <b:First>J</b:First>
          </b:Person>
          <b:Person>
            <b:Last>Hosking</b:Last>
            <b:First>D</b:First>
          </b:Person>
          <b:Person>
            <b:Last>Rahn</b:Last>
            <b:First>A</b:First>
          </b:Person>
        </b:NameList>
      </b:Author>
    </b:Author>
    <b:Title>Feeling financially comfortable? What retirees say</b:Title>
    <b:Year>2019</b:Year>
    <b:Publisher>National Seniors</b:Publisher>
    <b:City>Brisbane</b:City>
    <b:RefOrder>153</b:RefOrder>
  </b:Source>
  <b:Source>
    <b:Tag>Joa20</b:Tag>
    <b:SourceType>InternetSite</b:SourceType>
    <b:Guid>{FFC10162-FB20-4035-B345-2C372FD5A4C0}</b:Guid>
    <b:Author>
      <b:Author>
        <b:NameList>
          <b:Person>
            <b:Last>Mather</b:Last>
            <b:First>Joanna</b:First>
          </b:Person>
        </b:NameList>
      </b:Author>
    </b:Author>
    <b:Title>Panicked super savers flee to cash</b:Title>
    <b:Year>2020</b:Year>
    <b:YearAccessed>2020</b:YearAccessed>
    <b:MonthAccessed>March</b:MonthAccessed>
    <b:DayAccessed>2</b:DayAccessed>
    <b:URL>https://www.afr.com/policy/economy/panicked-super-savers-flee-to-cash-20200313-p549qo</b:URL>
    <b:RefOrder>330</b:RefOrder>
  </b:Source>
  <b:Source>
    <b:Tag>Bar16s</b:Tag>
    <b:SourceType>DocumentFromInternetSite</b:SourceType>
    <b:Guid>{AA15F015-3C92-4AC2-A150-056652F00BD9}</b:Guid>
    <b:Title>Is renting really dead money? Changing the narrative around rent vs buy</b:Title>
    <b:Year>2019</b:Year>
    <b:Author>
      <b:Author>
        <b:NameList>
          <b:Person>
            <b:Last>Masters</b:Last>
            <b:First>J</b:First>
          </b:Person>
          <b:Person>
            <b:Last>Price</b:Last>
            <b:First>A</b:First>
          </b:Person>
        </b:NameList>
      </b:Author>
    </b:Author>
    <b:PeriodicalTitle>EY</b:PeriodicalTitle>
    <b:Month>April</b:Month>
    <b:Day>16</b:Day>
    <b:YearAccessed>2020</b:YearAccessed>
    <b:MonthAccessed>January</b:MonthAccessed>
    <b:DayAccessed>23</b:DayAccessed>
    <b:URL>https://www.ey.com/en_au/economics/housing-affordability</b:URL>
    <b:RefOrder>404</b:RefOrder>
  </b:Source>
  <b:Source>
    <b:Tag>Uni13</b:Tag>
    <b:SourceType>Report</b:SourceType>
    <b:Guid>{E93E980C-2994-4105-A6B8-7F02C5DE9009}</b:Guid>
    <b:Title>Paid Parental Leave Evaluation: Phase 2 Report</b:Title>
    <b:Year>2013</b:Year>
    <b:Author>
      <b:Author>
        <b:NameList>
          <b:Person>
            <b:Last>Martin</b:Last>
            <b:First>B</b:First>
          </b:Person>
          <b:Person>
            <b:Last>Yerkes</b:Last>
            <b:First>M</b:First>
          </b:Person>
          <b:Person>
            <b:Last>Hewitt</b:Last>
            <b:First>B</b:First>
          </b:Person>
          <b:Person>
            <b:Last>Baird</b:Last>
            <b:First>M</b:First>
          </b:Person>
          <b:Person>
            <b:Last>Jones</b:Last>
            <b:First>A</b:First>
          </b:Person>
          <b:Person>
            <b:Last>Rose</b:Last>
            <b:First>E</b:First>
          </b:Person>
          <b:Person>
            <b:Last>Rose</b:Last>
            <b:First>J</b:First>
          </b:Person>
          <b:Person>
            <b:Last>Davis</b:Last>
            <b:First>K</b:First>
          </b:Person>
          <b:Person>
            <b:Last>Coles</b:Last>
            <b:First>L</b:First>
          </b:Person>
          <b:Person>
            <b:Last>Heron</b:Last>
            <b:First>A</b:First>
          </b:Person>
          <b:Person>
            <b:Last>Xiang</b:Last>
            <b:First>N</b:First>
          </b:Person>
        </b:NameList>
      </b:Author>
    </b:Author>
    <b:Publisher>Department of Families, Housing, Community Services and Indigenous, Commonwealth of Australia</b:Publisher>
    <b:City>Canberra</b:City>
    <b:RefOrder>207</b:RefOrder>
  </b:Source>
  <b:Source>
    <b:Tag>Mad15</b:Tag>
    <b:SourceType>DocumentFromInternetSite</b:SourceType>
    <b:Guid>{2B11C34C-D474-4E89-A23E-0516BE5F8462}</b:Guid>
    <b:Author>
      <b:Author>
        <b:NameList>
          <b:Person>
            <b:Last>Madamba</b:Last>
            <b:First>Anna</b:First>
          </b:Person>
          <b:Person>
            <b:Last>Utkus</b:Last>
            <b:Middle>P</b:Middle>
            <b:First>Stephen</b:First>
          </b:Person>
        </b:NameList>
      </b:Author>
    </b:Author>
    <b:Title>Spending and saving in retirement</b:Title>
    <b:Year>2016</b:Year>
    <b:Publisher>Vanguard Center for Retirement Research</b:Publisher>
    <b:Edition>5-6</b:Edition>
    <b:Month>January</b:Month>
    <b:Day>6</b:Day>
    <b:YearAccessed>2020</b:YearAccessed>
    <b:MonthAccessed>January</b:MonthAccessed>
    <b:DayAccessed>23</b:DayAccessed>
    <b:URL>https://www.nasdaq.com/articles/spending-and-saving-retirement-2016-01-06</b:URL>
    <b:RefOrder>437</b:RefOrder>
  </b:Source>
  <b:Source>
    <b:Tag>Lus14</b:Tag>
    <b:SourceType>JournalArticle</b:SourceType>
    <b:Guid>{5E79220B-6E4F-43DF-90A1-55E55AFA3E42}</b:Guid>
    <b:Title>The Economic Importance of Financial Literacy: Theory and Evidence</b:Title>
    <b:Year>2014</b:Year>
    <b:JournalName>Journal of Economic Literature</b:JournalName>
    <b:Pages>5-44</b:Pages>
    <b:Volume>52</b:Volume>
    <b:Issue>1</b:Issue>
    <b:Author>
      <b:Author>
        <b:NameList>
          <b:Person>
            <b:Last>Lusardi</b:Last>
            <b:First>Annamaria</b:First>
          </b:Person>
          <b:Person>
            <b:Last>Mitchell</b:Last>
            <b:Middle>S</b:Middle>
            <b:First>Olivia</b:First>
          </b:Person>
        </b:NameList>
      </b:Author>
    </b:Author>
    <b:RefOrder>440</b:RefOrder>
  </b:Source>
  <b:Source>
    <b:Tag>Lor04</b:Tag>
    <b:SourceType>JournalArticle</b:SourceType>
    <b:Guid>{1D47E2AB-C628-4575-BB66-C19A1834809A}</b:Guid>
    <b:Author>
      <b:Author>
        <b:NameList>
          <b:Person>
            <b:Last>Lora</b:Last>
            <b:First>E</b:First>
          </b:Person>
          <b:Person>
            <b:Last>Olivera</b:Last>
            <b:First>M</b:First>
          </b:Person>
        </b:NameList>
      </b:Author>
    </b:Author>
    <b:Title>What makes reforms likely: Political economy determinants of reforms in Latin America</b:Title>
    <b:Year>2004</b:Year>
    <b:JournalName>Journal of Applied Economics</b:JournalName>
    <b:Pages>99-135</b:Pages>
    <b:Volume>7</b:Volume>
    <b:RefOrder>354</b:RefOrder>
  </b:Source>
  <b:Source>
    <b:Tag>Loch17</b:Tag>
    <b:SourceType>Report</b:SourceType>
    <b:Guid>{632CBB6E-8901-40A1-AFB8-AEF8DCD0CBF5}</b:Guid>
    <b:Author>
      <b:Author>
        <b:NameList>
          <b:Person>
            <b:Last>Lochner</b:Last>
            <b:First>M.</b:First>
          </b:Person>
          <b:Person>
            <b:Last>Duenser</b:Last>
            <b:First>A.</b:First>
          </b:Person>
          <b:Person>
            <b:Last>Reeson</b:Last>
            <b:First>A</b:First>
          </b:Person>
        </b:NameList>
      </b:Author>
    </b:Author>
    <b:Title>Automated Financial Advice for Superannuation: A Randomised Controlled Experimental Test of Engagement and Motivation Impacts</b:Title>
    <b:Year>2017</b:Year>
    <b:Publisher>CSIRO</b:Publisher>
    <b:RefOrder>458</b:RefOrder>
  </b:Source>
  <b:Source>
    <b:Tag>Law99</b:Tag>
    <b:SourceType>JournalArticle</b:SourceType>
    <b:Guid>{5D2859A6-AD6C-4FF6-A53B-DE22719175C9}</b:Guid>
    <b:Author>
      <b:Author>
        <b:NameList>
          <b:Person>
            <b:Last>Lawrence</b:Last>
            <b:First>C.,</b:First>
          </b:Person>
        </b:NameList>
      </b:Author>
    </b:Author>
    <b:Title>The effects of income inequality on health</b:Title>
    <b:JournalName>Australian Health Review</b:JournalName>
    <b:Year>1999</b:Year>
    <b:Pages>97-106</b:Pages>
    <b:Volume>22</b:Volume>
    <b:Issue>1</b:Issue>
    <b:RefOrder>181</b:RefOrder>
  </b:Source>
  <b:Source>
    <b:Tag>Lab19</b:Tag>
    <b:SourceType>DocumentFromInternetSite</b:SourceType>
    <b:Guid>{C3CC0B47-EAC8-4EB6-9C1F-A060F3E708B2}</b:Guid>
    <b:Title>Non-standard Employment and Wages in Australia</b:Title>
    <b:Year>2019</b:Year>
    <b:Publisher>2019 RBA Conference</b:Publisher>
    <b:City>Sydney</b:City>
    <b:Author>
      <b:Author>
        <b:NameList>
          <b:Person>
            <b:Last>Lab</b:Last>
            <b:First>Inga</b:First>
          </b:Person>
          <b:Person>
            <b:Last>Wooden</b:Last>
            <b:First>Mark</b:First>
          </b:Person>
        </b:NameList>
      </b:Author>
    </b:Author>
    <b:YearAccessed>2020</b:YearAccessed>
    <b:MonthAccessed>March</b:MonthAccessed>
    <b:DayAccessed>3</b:DayAccessed>
    <b:URL>https://www.rba.gov.au/publications/confs/2019/pdf/rba-conference-2019-lass-wooden.pdf</b:URL>
    <b:RefOrder>244</b:RefOrder>
  </b:Source>
  <b:Source>
    <b:Tag>LaC19</b:Tag>
    <b:SourceType>DocumentFromInternetSite</b:SourceType>
    <b:Guid>{AF88291A-45E4-4D85-8D18-FFDF2440F8CE}</b:Guid>
    <b:Author>
      <b:Author>
        <b:NameList>
          <b:Person>
            <b:Last>La Cava</b:Last>
            <b:First>G</b:First>
          </b:Person>
        </b:NameList>
      </b:Author>
    </b:Author>
    <b:Title>The Labour and Capital Shares of Income in Australia</b:Title>
    <b:Year>2019</b:Year>
    <b:Publisher>Reserve Bank of Australia</b:Publisher>
    <b:City>Sydney</b:City>
    <b:InternetSiteTitle>Reserve Bank of Australia Bulletin</b:InternetSiteTitle>
    <b:Month>03</b:Month>
    <b:Day>21</b:Day>
    <b:URL>https://www.rba.gov.au/publications/bulletin/2019/mar/the-labour-and-capital-shares-of-income-in-australia.html</b:URL>
    <b:YearAccessed>2020</b:YearAccessed>
    <b:MonthAccessed>March</b:MonthAccessed>
    <b:DayAccessed>16</b:DayAccessed>
    <b:RefOrder>486</b:RefOrder>
  </b:Source>
  <b:Source>
    <b:Tag>Kud15</b:Tag>
    <b:SourceType>JournalArticle</b:SourceType>
    <b:Guid>{CB153978-3C19-4CE0-9230-C1CFBE52020D}</b:Guid>
    <b:Title>The Dynamic Fiscal Effects of Demographic Shift: The Case of Australia</b:Title>
    <b:Year>2015</b:Year>
    <b:Author>
      <b:Author>
        <b:NameList>
          <b:Person>
            <b:Last>Kudrna</b:Last>
            <b:First>G</b:First>
          </b:Person>
          <b:Person>
            <b:Last>Tran</b:Last>
            <b:First>C</b:First>
          </b:Person>
          <b:Person>
            <b:Last>Woodland</b:Last>
            <b:First>A</b:First>
          </b:Person>
        </b:NameList>
      </b:Author>
    </b:Author>
    <b:JournalName>Economic Modelling</b:JournalName>
    <b:Pages>105-122</b:Pages>
    <b:Volume>50</b:Volume>
    <b:RefOrder>480</b:RefOrder>
  </b:Source>
  <b:Source>
    <b:Tag>Kud13</b:Tag>
    <b:SourceType>JournalArticle</b:SourceType>
    <b:Guid>{FAF20B9B-0541-4DBF-8846-56275AA1BD7E}</b:Guid>
    <b:Author>
      <b:Author>
        <b:NameList>
          <b:Person>
            <b:Last>Kudrna</b:Last>
            <b:First>G</b:First>
          </b:Person>
          <b:Person>
            <b:Last>Woodland</b:Last>
            <b:First>A</b:First>
          </b:Person>
        </b:NameList>
      </b:Author>
    </b:Author>
    <b:Title>Macroeconomic and Welfare Effects of the 2010 Changes to Mandatory Superannuation</b:Title>
    <b:JournalName>Economic Record</b:JournalName>
    <b:Year>2013</b:Year>
    <b:Pages>445-468</b:Pages>
    <b:Volume>89</b:Volume>
    <b:Issue>287</b:Issue>
    <b:RefOrder>479</b:RefOrder>
  </b:Source>
  <b:Source>
    <b:Tag>Kud18</b:Tag>
    <b:SourceType>JournalArticle</b:SourceType>
    <b:Guid>{1FF4E786-C96C-4C39-9B3B-6CF66590579B}</b:Guid>
    <b:Author>
      <b:Author>
        <b:NameList>
          <b:Person>
            <b:Last>Kudrna</b:Last>
            <b:First>G</b:First>
          </b:Person>
          <b:Person>
            <b:Last>Tran</b:Last>
            <b:First>C</b:First>
          </b:Person>
        </b:NameList>
      </b:Author>
    </b:Author>
    <b:Title>Comparing Budget Repair Measures for a Small Open Economy with Growing Debt</b:Title>
    <b:JournalName>Journal of Macroeconomics</b:JournalName>
    <b:Year>2018</b:Year>
    <b:Pages>162-183</b:Pages>
    <b:Volume>55</b:Volume>
    <b:RefOrder>481</b:RefOrder>
  </b:Source>
  <b:Source>
    <b:Tag>Koz05</b:Tag>
    <b:SourceType>Report</b:SourceType>
    <b:Guid>{7B9B3A13-CE1A-4B75-8227-A1E1E481A724}</b:Guid>
    <b:Title>IMF Policy Discussion Paper: Considerations in the Choice of the Appropriate Discount Rate for Evaluating Sovereign Debt Restructurings</b:Title>
    <b:Year>2005</b:Year>
    <b:Publisher>International Monetary Fund</b:Publisher>
    <b:Author>
      <b:Author>
        <b:NameList>
          <b:Person>
            <b:Last>Kozac</b:Last>
            <b:First>J</b:First>
          </b:Person>
        </b:NameList>
      </b:Author>
    </b:Author>
    <b:RefOrder>188</b:RefOrder>
  </b:Source>
  <b:Source>
    <b:Tag>RBA05</b:Tag>
    <b:SourceType>Report</b:SourceType>
    <b:Guid>{BCCC3B7E-B545-4B9A-B19F-7A4A075423FD}</b:Guid>
    <b:Title>Property owners in Australia: A Snapshot</b:Title>
    <b:Year>2005</b:Year>
    <b:Author>
      <b:Author>
        <b:NameList>
          <b:Person>
            <b:Last>Kohler</b:Last>
            <b:First>M</b:First>
          </b:Person>
          <b:Person>
            <b:Last>Rossiter</b:Last>
            <b:First>A</b:First>
          </b:Person>
        </b:NameList>
      </b:Author>
    </b:Author>
    <b:Publisher>Economic Research, Department Reserve Bank of Australia</b:Publisher>
    <b:City>Research Discussion Paper 2005-03, Sydney</b:City>
    <b:RefOrder>218</b:RefOrder>
  </b:Source>
  <b:Source>
    <b:Tag>Fra15</b:Tag>
    <b:SourceType>DocumentFromInternetSite</b:SourceType>
    <b:Guid>{4B7E9464-0D87-404E-80F1-7B89625AED5F}</b:Guid>
    <b:Author>
      <b:Author>
        <b:NameList>
          <b:Person>
            <b:Last>Kinniry Jr.</b:Last>
            <b:First>Francis</b:First>
            <b:Middle>M</b:Middle>
          </b:Person>
          <b:Person>
            <b:Last>Jaconetti</b:Last>
            <b:First>Colleen</b:First>
            <b:Middle>M.</b:Middle>
          </b:Person>
          <b:Person>
            <b:Last>Chin</b:Last>
            <b:First>Paul</b:First>
            <b:Middle>W.</b:Middle>
          </b:Person>
          <b:Person>
            <b:Last>Polanco</b:Last>
            <b:First>Frank</b:First>
          </b:Person>
          <b:Person>
            <b:Last>Zilbering</b:Last>
            <b:First>Yan</b:First>
          </b:Person>
        </b:NameList>
      </b:Author>
    </b:Author>
    <b:Title>Putting a value on your value: Quantifying Vanguard Adviser's Alpha</b:Title>
    <b:Year>2015</b:Year>
    <b:Publisher>Vanguard Research</b:Publisher>
    <b:URL>https://static.vgcontent.info/crp/intl/auw/docs/literature/research/quantifying-advisers-alpha.pdf</b:URL>
    <b:Month>February</b:Month>
    <b:YearAccessed>2019</b:YearAccessed>
    <b:MonthAccessed>December</b:MonthAccessed>
    <b:DayAccessed>11</b:DayAccessed>
    <b:RefOrder>452</b:RefOrder>
  </b:Source>
  <b:Source>
    <b:Tag>Kho19</b:Tag>
    <b:SourceType>Report</b:SourceType>
    <b:Guid>{1A7ECC7B-413B-4B5D-970F-443693E2211C}</b:Guid>
    <b:Title>Australian Unity Wellbeing Index: Report 35.1 Ageing Well: Healthy Transitions to Retirement</b:Title>
    <b:Year>2019</b:Year>
    <b:Publisher> Australian Centre on Quality of Life, School of Psychology, Deakin University</b:Publisher>
    <b:City>Geelong, Victoria</b:City>
    <b:Author>
      <b:Author>
        <b:NameList>
          <b:Person>
            <b:Last>Khor</b:Last>
            <b:First>S</b:First>
          </b:Person>
          <b:Person>
            <b:Last>Cummins</b:Last>
            <b:Middle>A</b:Middle>
            <b:First>R</b:First>
          </b:Person>
          <b:Person>
            <b:Last>Fuller-Tyszkiewicz</b:Last>
            <b:First>M</b:First>
          </b:Person>
          <b:Person>
            <b:Last>Capic</b:Last>
            <b:First>T</b:First>
          </b:Person>
          <b:Person>
            <b:Last>Olsson</b:Last>
            <b:Middle>A</b:Middle>
            <b:First>C</b:First>
          </b:Person>
          <b:Person>
            <b:Last>Hutchinson</b:Last>
            <b:First>D</b:First>
          </b:Person>
        </b:NameList>
      </b:Author>
    </b:Author>
    <b:RefOrder>149</b:RefOrder>
  </b:Source>
  <b:Source>
    <b:Tag>Khe</b:Tag>
    <b:SourceType>JournalArticle</b:SourceType>
    <b:Guid>{B600EEED-9EB9-4994-9E1A-61810D4E9558}</b:Guid>
    <b:Author>
      <b:Author>
        <b:NameList>
          <b:Person>
            <b:Last>Khemka</b:Last>
            <b:First>Gaurav</b:First>
          </b:Person>
          <b:Person>
            <b:Last>Tang</b:Last>
            <b:First>Yifu</b:First>
          </b:Person>
          <b:Person>
            <b:Last>Warren</b:Last>
            <b:First>Geoff</b:First>
          </b:Person>
        </b:NameList>
      </b:Author>
    </b:Author>
    <b:Title>The 'Right' level for the Superannuation Guarantee: A straightforward issue by no means</b:Title>
    <b:City>Canberra</b:City>
    <b:Publisher>Australian National University</b:Publisher>
    <b:Year>2020</b:Year>
    <b:Month>May</b:Month>
    <b:JournalName>SSRN Electronic Journal</b:JournalName>
    <b:RefOrder>173</b:RefOrder>
  </b:Source>
  <b:Source>
    <b:Tag>Khe20</b:Tag>
    <b:SourceType>DocumentFromInternetSite</b:SourceType>
    <b:Guid>{6F5AF7B1-4CB7-4C50-BFFF-62488ED78659}</b:Guid>
    <b:Author>
      <b:Author>
        <b:NameList>
          <b:Person>
            <b:Last>Khemka</b:Last>
            <b:First>G.</b:First>
          </b:Person>
          <b:Person>
            <b:Last>Warren</b:Last>
            <b:First>G</b:First>
          </b:Person>
        </b:NameList>
      </b:Author>
    </b:Author>
    <b:Title>Retirement Income Review submissions</b:Title>
    <b:Year>2020</b:Year>
    <b:Month>January</b:Month>
    <b:Day>22</b:Day>
    <b:URL>https://treasury.gov.au/consultation/c2019-36292/submissions</b:URL>
    <b:RefOrder>10</b:RefOrder>
  </b:Source>
  <b:Source>
    <b:Tag>Ken19</b:Tag>
    <b:SourceType>JournalArticle</b:SourceType>
    <b:Guid>{C9656B7E-4FD4-4F44-981B-0C7EE999597F}</b:Guid>
    <b:Title>Australian attitudes to intergenerational equity: impacts of social and policy change</b:Title>
    <b:Year>2019</b:Year>
    <b:Author>
      <b:Author>
        <b:NameList>
          <b:Person>
            <b:Last>Kendig</b:Last>
            <b:First>Hal</b:First>
          </b:Person>
          <b:Person>
            <b:Last>Hussain</b:Last>
            <b:First>Rafat</b:First>
          </b:Person>
          <b:Person>
            <b:Last>O’Loughlin</b:Last>
            <b:First>Kate</b:First>
          </b:Person>
          <b:Person>
            <b:Last>Cannon</b:Last>
            <b:First>Lisa</b:First>
          </b:Person>
        </b:NameList>
      </b:Author>
    </b:Author>
    <b:JournalName>Ageing &amp; Society</b:JournalName>
    <b:Pages>2671–2698</b:Pages>
    <b:Issue>39</b:Issue>
    <b:RefOrder>353</b:RefOrder>
  </b:Source>
  <b:Source>
    <b:Tag>Ken13</b:Tag>
    <b:SourceType>JournalArticle</b:SourceType>
    <b:Guid>{17D88821-FE60-46B3-BF27-6726601AAA97}</b:Guid>
    <b:Title>Australian baby boomers face retirement during the Global Financial Crisis</b:Title>
    <b:Year>2013</b:Year>
    <b:Author>
      <b:Author>
        <b:NameList>
          <b:Person>
            <b:Last>Kendig</b:Last>
            <b:First>H</b:First>
          </b:Person>
          <b:Person>
            <b:Last>Wells</b:Last>
            <b:First>Y</b:First>
          </b:Person>
          <b:Person>
            <b:Last>O’Loughlin</b:Last>
            <b:First>K</b:First>
          </b:Person>
          <b:Person>
            <b:Last>Heese</b:Last>
            <b:First>K</b:First>
          </b:Person>
        </b:NameList>
      </b:Author>
    </b:Author>
    <b:JournalName>Journal of Aging and Social Policy</b:JournalName>
    <b:Pages>264-280</b:Pages>
    <b:Volume>25</b:Volume>
    <b:Issue>3</b:Issue>
    <b:RefOrder>28</b:RefOrder>
  </b:Source>
  <b:Source>
    <b:Tag>Kea07</b:Tag>
    <b:SourceType>DocumentFromInternetSite</b:SourceType>
    <b:Guid>{B26CD468-165E-4D07-B443-0CB91E0D982F}</b:Guid>
    <b:Title>The Story of Modern Superannuation</b:Title>
    <b:Year>2007</b:Year>
    <b:Month>10</b:Month>
    <b:Day>31</b:Day>
    <b:URL>http://www.keating.org.au/shop/item/the-story-of-modern-superannuation-31-october-2007</b:URL>
    <b:Author>
      <b:Author>
        <b:NameList>
          <b:Person>
            <b:Last>Keating</b:Last>
            <b:First>Paul</b:First>
          </b:Person>
        </b:NameList>
      </b:Author>
    </b:Author>
    <b:YearAccessed>2020</b:YearAccessed>
    <b:MonthAccessed>March</b:MonthAccessed>
    <b:DayAccessed>5</b:DayAccessed>
    <b:RefOrder>135</b:RefOrder>
  </b:Source>
  <b:Source>
    <b:Tag>Pau91</b:Tag>
    <b:SourceType>Report</b:SourceType>
    <b:Guid>{2A6B09A5-A693-4E97-9093-D3C519EAB1D3}</b:Guid>
    <b:Author>
      <b:Author>
        <b:NameList>
          <b:Person>
            <b:Last>Keating</b:Last>
            <b:First>Paul</b:First>
          </b:Person>
        </b:NameList>
      </b:Author>
    </b:Author>
    <b:Title>A Retirement Incomes Policy: Address to the Australia Graduate School of Management</b:Title>
    <b:Year>1991</b:Year>
    <b:Publisher>Parliament of the Commonwealth of Australia</b:Publisher>
    <b:City>Canberra</b:City>
    <b:RefOrder>64</b:RefOrder>
  </b:Source>
  <b:Source>
    <b:Tag>Kas16</b:Tag>
    <b:SourceType>JournalArticle</b:SourceType>
    <b:Guid>{014EE7CC-D03A-4ED1-8EA6-DC1DA66C4A98}</b:Guid>
    <b:Title>Property division after separation: Recent research evidence</b:Title>
    <b:Year>2016</b:Year>
    <b:JournalName>Australian Journal of Family Law</b:JournalName>
    <b:Pages>1-27</b:Pages>
    <b:Author>
      <b:Author>
        <b:NameList>
          <b:Person>
            <b:Last>Kaspiew</b:Last>
            <b:First>Raw</b:First>
          </b:Person>
          <b:Person>
            <b:Last>Lixia</b:Last>
            <b:First>Qu</b:First>
          </b:Person>
        </b:NameList>
      </b:Author>
    </b:Author>
    <b:Volume>30</b:Volume>
    <b:Issue>3</b:Issue>
    <b:RefOrder>196</b:RefOrder>
  </b:Source>
  <b:Source>
    <b:Tag>Kah79</b:Tag>
    <b:SourceType>JournalArticle</b:SourceType>
    <b:Guid>{C77715C2-19C0-4377-B99D-750FBB93068C}</b:Guid>
    <b:Title>Prospect Theory: An Analysis of Decision under Risk</b:Title>
    <b:Year>1979</b:Year>
    <b:Author>
      <b:Author>
        <b:NameList>
          <b:Person>
            <b:Last>Kahneman</b:Last>
            <b:First>D</b:First>
          </b:Person>
          <b:Person>
            <b:Last>Tversky</b:Last>
            <b:First>A.</b:First>
          </b:Person>
        </b:NameList>
      </b:Author>
    </b:Author>
    <b:JournalName>Econometrica</b:JournalName>
    <b:Pages>263–291</b:Pages>
    <b:Volume>47</b:Volume>
    <b:Issue>2</b:Issue>
    <b:RefOrder>332</b:RefOrder>
  </b:Source>
  <b:Source>
    <b:Tag>Ken85</b:Tag>
    <b:SourceType>JournalArticle</b:SourceType>
    <b:Guid>{89C5911B-900D-4849-88DE-7918DD1AC065}</b:Guid>
    <b:Title>Redistributive Taxation in a Simple Perfect Foresight Model</b:Title>
    <b:JournalName>Journal of Public Economics</b:JournalName>
    <b:Year>1985</b:Year>
    <b:Pages>401-418</b:Pages>
    <b:Author>
      <b:Author>
        <b:NameList>
          <b:Person>
            <b:Last>Judd</b:Last>
            <b:First>Kenneth</b:First>
          </b:Person>
        </b:NameList>
      </b:Author>
    </b:Author>
    <b:Volume>28</b:Volume>
    <b:RefOrder>362</b:RefOrder>
  </b:Source>
  <b:Source>
    <b:Tag>Ing17</b:Tag>
    <b:SourceType>JournalArticle</b:SourceType>
    <b:Guid>{6B773187-1648-47E1-BCAD-527D08FC8BE9}</b:Guid>
    <b:Author>
      <b:Author>
        <b:NameList>
          <b:Person>
            <b:Last>Ingles</b:Last>
            <b:First>D</b:First>
          </b:Person>
          <b:Person>
            <b:Last>Stewart</b:Last>
            <b:First>M</b:First>
          </b:Person>
        </b:NameList>
      </b:Author>
    </b:Author>
    <b:Title>Reforming Australia's Superannuation Tax System and the Age Pension to Improve Work and Savings Incentives</b:Title>
    <b:JournalName>Asia &amp; the Pacific Policy Studies</b:JournalName>
    <b:Year>2017</b:Year>
    <b:Pages>417-436</b:Pages>
    <b:Volume>4</b:Volume>
    <b:Issue>3</b:Issue>
    <b:RefOrder>395</b:RefOrder>
  </b:Source>
  <b:Source>
    <b:Tag>Hop18</b:Tag>
    <b:SourceType>JournalArticle</b:SourceType>
    <b:Guid>{49CA2B0D-29DE-4650-9923-3D2EAF211F0E}</b:Guid>
    <b:Title>Number of Childbearing Partners, Status and the Fertility of Men and Women in the U.S.</b:Title>
    <b:Year>2018</b:Year>
    <b:Author>
      <b:Author>
        <b:NameList>
          <b:Person>
            <b:Last>Hopcroft</b:Last>
            <b:Middle>L</b:Middle>
            <b:First>Rosemary</b:First>
          </b:Person>
        </b:NameList>
      </b:Author>
    </b:Author>
    <b:JournalName>Frontiers in Sociology</b:JournalName>
    <b:Volume>3</b:Volume>
    <b:Issue>22</b:Issue>
    <b:RefOrder>192</b:RefOrder>
  </b:Source>
  <b:Source>
    <b:Tag>Hob18</b:Tag>
    <b:SourceType>Report</b:SourceType>
    <b:Guid>{4053A6EE-614C-45C8-A423-9B97EF72945E}</b:Guid>
    <b:Title>Understanding Superannuation Drawdown Behaviour</b:Title>
    <b:Year>Forthcoming</b:Year>
    <b:Author>
      <b:Author>
        <b:NameList>
          <b:Person>
            <b:Last>Hobman</b:Last>
            <b:Middle>R</b:Middle>
            <b:First>Elizabeth</b:First>
          </b:Person>
          <b:Person>
            <b:Last>Reeson</b:Last>
            <b:First>Andrew</b:First>
          </b:Person>
        </b:NameList>
      </b:Author>
    </b:Author>
    <b:RefOrder>417</b:RefOrder>
  </b:Source>
  <b:Source>
    <b:Tag>Pro17</b:Tag>
    <b:SourceType>Report</b:SourceType>
    <b:Guid>{6269319C-6008-4E99-87EB-236034672137}</b:Guid>
    <b:Author>
      <b:Author>
        <b:NameList>
          <b:Person>
            <b:Last>Hiscox</b:Last>
            <b:First>Professor</b:First>
            <b:Middle>Michael</b:Middle>
          </b:Person>
          <b:Person>
            <b:Last>Hobman</b:Last>
            <b:First>Dr</b:First>
            <b:Middle>Elizabeth</b:Middle>
          </b:Person>
          <b:Person>
            <b:Last>Daffey</b:Last>
            <b:First>Mr</b:First>
            <b:Middle>Michael</b:Middle>
          </b:Person>
          <b:Person>
            <b:Last>Reeson</b:Last>
            <b:First>Dr</b:First>
            <b:Middle>Andrew</b:Middle>
          </b:Person>
        </b:NameList>
      </b:Author>
    </b:Author>
    <b:Title>Supporting retirees in retirement income planning</b:Title>
    <b:Year>2017</b:Year>
    <b:Publisher>Department of the Prime Minister and Cabinet, Commonwealth of Australia, </b:Publisher>
    <b:City>Canberra</b:City>
    <b:RefOrder>438</b:RefOrder>
  </b:Source>
  <b:Source>
    <b:Tag>Her08</b:Tag>
    <b:SourceType>JournalArticle</b:SourceType>
    <b:Guid>{EC67FC0E-F5D7-40F8-BC8D-59650FE338C3}</b:Guid>
    <b:Title>History of social security in Australia</b:Title>
    <b:Year>2008</b:Year>
    <b:JournalName>Family Matters</b:JournalName>
    <b:Pages>55-59</b:Pages>
    <b:Volume>80</b:Volume>
    <b:Author>
      <b:Author>
        <b:NameList>
          <b:Person>
            <b:Last>Herscovitch</b:Last>
            <b:First>Andrew</b:First>
          </b:Person>
          <b:Person>
            <b:Last>Stanton</b:Last>
            <b:First>David</b:First>
          </b:Person>
        </b:NameList>
      </b:Author>
    </b:Author>
    <b:RefOrder>285</b:RefOrder>
  </b:Source>
  <b:Source>
    <b:Tag>Mar20</b:Tag>
    <b:SourceType>DocumentFromInternetSite</b:SourceType>
    <b:Guid>{24F98026-0644-41C4-B79F-42984FD6EB75}</b:Guid>
    <b:Author>
      <b:Author>
        <b:NameList>
          <b:Person>
            <b:Last>Heffron</b:Last>
            <b:First>Martin</b:First>
          </b:Person>
        </b:NameList>
      </b:Author>
    </b:Author>
    <b:Title>Retirement Income Review submissions</b:Title>
    <b:InternetSiteTitle>Retirement Income Review Submissions</b:InternetSiteTitle>
    <b:Year>2020</b:Year>
    <b:Month>February</b:Month>
    <b:Day>7</b:Day>
    <b:URL>https://treasury.gov.au/consultation/c2019-36292/submissions</b:URL>
    <b:RefOrder>288</b:RefOrder>
  </b:Source>
  <b:Source>
    <b:Tag>Has19</b:Tag>
    <b:SourceType>JournalArticle</b:SourceType>
    <b:Guid>{EB5D33E5-374C-479A-8128-1A3B10527733}</b:Guid>
    <b:Title>The political economy of pension financialisation: public policy responses to the crisis</b:Title>
    <b:Year>2019</b:Year>
    <b:Author>
      <b:Author>
        <b:NameList>
          <b:Person>
            <b:Last>Hassel</b:Last>
            <b:First>Anke</b:First>
          </b:Person>
          <b:Person>
            <b:Last>Naczyk</b:Last>
            <b:First>Marek</b:First>
          </b:Person>
          <b:Person>
            <b:Last>Wiss</b:Last>
            <b:First>Tobias</b:First>
          </b:Person>
        </b:NameList>
      </b:Author>
    </b:Author>
    <b:JournalName>Journal of European Public Policy </b:JournalName>
    <b:Pages>483-500</b:Pages>
    <b:Volume>26</b:Volume>
    <b:Issue>4</b:Issue>
    <b:RefOrder>355</b:RefOrder>
  </b:Source>
  <b:Source>
    <b:Tag>Har09</b:Tag>
    <b:SourceType>Report</b:SourceType>
    <b:Guid>{C4E2EA07-3621-4C8B-B3C1-C913C426B1C5}</b:Guid>
    <b:Author>
      <b:Author>
        <b:NameList>
          <b:Person>
            <b:Last>Harmer</b:Last>
            <b:First>Dr</b:First>
            <b:Middle>Jeff</b:Middle>
          </b:Person>
        </b:NameList>
      </b:Author>
    </b:Author>
    <b:Title>Pension Review Report</b:Title>
    <b:Year>2009</b:Year>
    <b:YearAccessed>2020</b:YearAccessed>
    <b:MonthAccessed>June</b:MonthAccessed>
    <b:DayAccessed>4</b:DayAccessed>
    <b:URL>https://www.dss.gov.au/sites/default/files/documents/05_2012/pensionreviewreport.pdf</b:URL>
    <b:Month>February</b:Month>
    <b:Day>27</b:Day>
    <b:Publisher>Commonwealth of Australia</b:Publisher>
    <b:City>Canberra</b:City>
    <b:RefOrder>40</b:RefOrder>
  </b:Source>
  <b:Source>
    <b:Tag>Gru11</b:Tag>
    <b:SourceType>ConferenceProceedings</b:SourceType>
    <b:Guid>{F70CF5FD-2B3C-426A-864E-6C4F6D0DBF28}</b:Guid>
    <b:Title>Compulsory Superannuation and National Saving, Economic Roundup Issue 3, 2011</b:Title>
    <b:Year>2011</b:Year>
    <b:Publisher>Commonwealth of Australia</b:Publisher>
    <b:City>Canberra</b:City>
    <b:Author>
      <b:Author>
        <b:NameList>
          <b:Person>
            <b:Last>Gruen</b:Last>
            <b:First>David</b:First>
          </b:Person>
          <b:Person>
            <b:Last>Soding</b:Last>
            <b:First>Leigh</b:First>
          </b:Person>
        </b:NameList>
      </b:Author>
    </b:Author>
    <b:RefOrder>66</b:RefOrder>
  </b:Source>
  <b:Source>
    <b:Tag>Gru</b:Tag>
    <b:SourceType>Report</b:SourceType>
    <b:Guid>{EEC31E1C-E21A-477D-907D-5C863537FD1E}</b:Guid>
    <b:Title>Social Security Programs and Retirement Around the World</b:Title>
    <b:Author>
      <b:Author>
        <b:NameList>
          <b:Person>
            <b:Last>Gruber</b:Last>
            <b:First>J.</b:First>
          </b:Person>
          <b:Person>
            <b:Last>Wise</b:Last>
            <b:First>D.</b:First>
          </b:Person>
        </b:NameList>
      </b:Author>
    </b:Author>
    <b:Publisher>NBER Working Paper No. 9407</b:Publisher>
    <b:Issue>Working paper 6134</b:Issue>
    <b:Year>1997</b:Year>
    <b:JournalName>The National Bureau of Economic Research</b:JournalName>
    <b:RefOrder>400</b:RefOrder>
  </b:Source>
  <b:Source>
    <b:Tag>Gro08</b:Tag>
    <b:SourceType>DocumentFromInternetSite</b:SourceType>
    <b:Guid>{01CE8AE1-A39E-42C1-AEE8-07A24D067507}</b:Guid>
    <b:Title>House of Representatives, Invalid and old age pensions bill, second reading speech, 3 June 1908</b:Title>
    <b:Year>1908</b:Year>
    <b:Month>June</b:Month>
    <b:Day>3</b:Day>
    <b:YearAccessed>2020</b:YearAccessed>
    <b:MonthAccessed>June</b:MonthAccessed>
    <b:DayAccessed>28</b:DayAccessed>
    <b:URL>https://parlinfo.aph.gov.au/parlInfo/genpdf/hansard80/hansardr80/1908-06-03/0087/hansard_frag.pdf;fileType=application%2Fpdf</b:URL>
    <b:Author>
      <b:Author>
        <b:NameList>
          <b:Person>
            <b:Last>Groom</b:Last>
            <b:First>Littleton</b:First>
          </b:Person>
        </b:NameList>
      </b:Author>
    </b:Author>
    <b:RefOrder>36</b:RefOrder>
  </b:Source>
  <b:Source>
    <b:Tag>Gouv17</b:Tag>
    <b:SourceType>JournalArticle</b:SourceType>
    <b:Guid>{157E34EE-5F5D-4DD6-BD69-5A16D77BCD2D}</b:Guid>
    <b:Author>
      <b:Author>
        <b:NameList>
          <b:Person>
            <b:Last>Gouveia</b:Last>
            <b:First>Ana</b:First>
            <b:Middle>Fontoura</b:Middle>
          </b:Person>
        </b:NameList>
      </b:Author>
    </b:Author>
    <b:Title>Political support for reforms of the pension system: two experiments</b:Title>
    <b:JournalName>Journal of Pension Economics &amp; Finance</b:JournalName>
    <b:Year>2017</b:Year>
    <b:Pages>371-394</b:Pages>
    <b:Volume>16</b:Volume>
    <b:Issue>3</b:Issue>
    <b:RefOrder>357</b:RefOrder>
  </b:Source>
  <b:Source>
    <b:Tag>Gor15</b:Tag>
    <b:SourceType>JournalArticle</b:SourceType>
    <b:Guid>{8CBECCFD-BCA9-48F1-A6FA-9E9F346AA53C}</b:Guid>
    <b:Title>Superannuation: A more collaborative approach needed to overcome Indigenous disadvantage</b:Title>
    <b:Year>2015</b:Year>
    <b:JournalName>Indigenous Law Bulletin</b:JournalName>
    <b:Pages>10-15</b:Pages>
    <b:Author>
      <b:Author>
        <b:NameList>
          <b:Person>
            <b:Last>Gordon</b:Last>
            <b:First>Alya</b:First>
          </b:Person>
          <b:Person>
            <b:Last>Boyle</b:Last>
            <b:First>Nathan</b:First>
          </b:Person>
        </b:NameList>
      </b:Author>
    </b:Author>
    <b:Volume>8</b:Volume>
    <b:Issue>21</b:Issue>
    <b:RefOrder>277</b:RefOrder>
  </b:Source>
  <b:Source>
    <b:Tag>Gha17</b:Tag>
    <b:SourceType>Report</b:SourceType>
    <b:Guid>{851DFF44-BDF4-4A1C-B1AF-D775AE461AF2}</b:Guid>
    <b:Author>
      <b:Author>
        <b:NameList>
          <b:Person>
            <b:Last>Ghafoori</b:Last>
            <b:First>Eraj</b:First>
          </b:Person>
          <b:Person>
            <b:Last>Ralston</b:Last>
            <b:First>Deborah</b:First>
          </b:Person>
          <b:Person>
            <b:Last>Smith</b:Last>
            <b:First>L</b:First>
          </b:Person>
        </b:NameList>
      </b:Author>
    </b:Author>
    <b:Title>Retirement Confidence Index: Measuring subjective predictors and pillars of confidence towards and during retirement.</b:Title>
    <b:Year>2017</b:Year>
    <b:Publisher>Monash University</b:Publisher>
    <b:RefOrder>345</b:RefOrder>
  </b:Source>
  <b:Source>
    <b:Tag>Ger09</b:Tag>
    <b:SourceType>JournalArticle</b:SourceType>
    <b:Guid>{BA165567-F835-4F4D-BD73-C27B3F28985B}</b:Guid>
    <b:Title>Financial Literacy and Superannuation Awareness of Indigenous Australians: Pilot Study Results</b:Title>
    <b:Year>2009</b:Year>
    <b:Author>
      <b:Author>
        <b:NameList>
          <b:Person>
            <b:Last>Gerrans</b:Last>
            <b:First>Paul</b:First>
          </b:Person>
          <b:Person>
            <b:Last>Clark-Murphy</b:Last>
            <b:First>Marilyn</b:First>
          </b:Person>
          <b:Person>
            <b:Last>Truscott</b:Last>
            <b:First>Keith</b:First>
          </b:Person>
        </b:NameList>
      </b:Author>
    </b:Author>
    <b:JournalName>The Australian Journal of Social Issues</b:JournalName>
    <b:Pages>417-439</b:Pages>
    <b:Volume>44</b:Volume>
    <b:Issue>4</b:Issue>
    <b:RefOrder>271</b:RefOrder>
  </b:Source>
  <b:Source>
    <b:Tag>Ger10</b:Tag>
    <b:SourceType>JournalArticle</b:SourceType>
    <b:Guid>{338C9FB6-EA82-44A6-8911-16384E129968}</b:Guid>
    <b:Author>
      <b:Author>
        <b:NameList>
          <b:Person>
            <b:Last>Gerrans</b:Last>
            <b:First>P</b:First>
          </b:Person>
        </b:NameList>
      </b:Author>
    </b:Author>
    <b:Title>Retirement Savings Investment Choices in Response to the Global Financial Crisis: Australian Evidence</b:Title>
    <b:JournalName>Australian Journal of Management</b:JournalName>
    <b:Year>2012</b:Year>
    <b:Volume>37</b:Volume>
    <b:Issue>3</b:Issue>
    <b:Pages>415-439</b:Pages>
    <b:RefOrder>321</b:RefOrder>
  </b:Source>
  <b:Source>
    <b:Tag>Ale11</b:Tag>
    <b:SourceType>JournalArticle</b:SourceType>
    <b:Guid>{45D2B198-F07D-40A1-AE6E-3F0EFAD8FF4B}</b:Guid>
    <b:Author>
      <b:Author>
        <b:NameList>
          <b:Person>
            <b:Last>Gelber</b:Last>
            <b:First>Alexander</b:First>
          </b:Person>
        </b:NameList>
      </b:Author>
    </b:Author>
    <b:Title>How do 401(k)s Affect Saving? Evidence from Changes in 401(k) Eligibility</b:Title>
    <b:JournalName>American Economic Journal: Economic Policy</b:JournalName>
    <b:Year>2011</b:Year>
    <b:Pages>103-122</b:Pages>
    <b:Volume>3</b:Volume>
    <b:RefOrder>375</b:RefOrder>
  </b:Source>
  <b:Source>
    <b:Tag>Gal12</b:Tag>
    <b:SourceType>Report</b:SourceType>
    <b:Guid>{3180F3B4-04B4-4399-8F58-CC35BA77789E}</b:Guid>
    <b:Author>
      <b:Author>
        <b:NameList>
          <b:Person>
            <b:Last>Gallagher</b:Last>
            <b:First>P</b:First>
          </b:Person>
        </b:NameList>
      </b:Author>
    </b:Author>
    <b:Title>The distribution of Government support for retirement income - Point-in-time and lifecycle estimates</b:Title>
    <b:Year>2012</b:Year>
    <b:Publisher>Department of the Treasury, Commonwealth of Australia</b:Publisher>
    <b:City>Canberra</b:City>
    <b:RefOrder>133</b:RefOrder>
  </b:Source>
  <b:Source>
    <b:Tag>Gal19</b:Tag>
    <b:SourceType>Report</b:SourceType>
    <b:Guid>{0FC2EDA4-FF08-488C-91EF-4CB752512153}</b:Guid>
    <b:Title>ISA Briefing Note: Errors in Grattan Cameos on the Impact of a Rise in the SG on Living</b:Title>
    <b:Year>2019</b:Year>
    <b:Month>October</b:Month>
    <b:Day>4</b:Day>
    <b:Author>
      <b:Author>
        <b:NameList>
          <b:Person>
            <b:Last>Gallagher</b:Last>
            <b:First>P</b:First>
          </b:Person>
          <b:Person>
            <b:Last>Bastian</b:Last>
            <b:First>B</b:First>
          </b:Person>
        </b:NameList>
      </b:Author>
    </b:Author>
    <b:URL>http://tweb/sites/reviews/rir/research/ISA%20(2019)%20-%20%20'Briefing%20note-%20Errors%20in%20Grattan%20Cameos%20of%20Living%20Standards'.PDF</b:URL>
    <b:YearAccessed>2020</b:YearAccessed>
    <b:MonthAccessed>July</b:MonthAccessed>
    <b:DayAccessed>3</b:DayAccessed>
    <b:Publisher>Industry Super Australia</b:Publisher>
    <b:RefOrder>172</b:RefOrder>
  </b:Source>
  <b:Source>
    <b:Tag>Fre98</b:Tag>
    <b:SourceType>JournalArticle</b:SourceType>
    <b:Guid>{5C36C505-AD0C-4F6E-8B40-9A850E81026A}</b:Guid>
    <b:Author>
      <b:Author>
        <b:NameList>
          <b:Person>
            <b:Last>Freebairn</b:Last>
            <b:First>J</b:First>
          </b:Person>
        </b:NameList>
      </b:Author>
    </b:Author>
    <b:Title>Compulsory Superannuation and Labour Market Responses</b:Title>
    <b:JournalName>Australian Economic Papers</b:JournalName>
    <b:Year>1998</b:Year>
    <b:Pages>58-70</b:Pages>
    <b:Volume>37</b:Volume>
    <b:Issue>1</b:Issue>
    <b:RefOrder>483</b:RefOrder>
  </b:Source>
  <b:Source>
    <b:Tag>Fox14</b:Tag>
    <b:SourceType>Report</b:SourceType>
    <b:Guid>{1B1E36B0-138C-4007-A5EE-966B473FC39E}</b:Guid>
    <b:Title>Is Housing Overvalued?</b:Title>
    <b:Year>2014</b:Year>
    <b:Author>
      <b:Author>
        <b:NameList>
          <b:Person>
            <b:Last>Fox</b:Last>
            <b:First>R</b:First>
          </b:Person>
          <b:Person>
            <b:Last>Tulip</b:Last>
            <b:First>P</b:First>
          </b:Person>
        </b:NameList>
      </b:Author>
    </b:Author>
    <b:Publisher>Research Discussion Papers, Reserve Bank of Australia</b:Publisher>
    <b:RefOrder>403</b:RefOrder>
  </b:Source>
  <b:Source>
    <b:Tag>Vin93</b:Tag>
    <b:SourceType>Report</b:SourceType>
    <b:Guid>{2968F4BD-5C43-406C-BDC1-6A9393D457F0}</b:Guid>
    <b:Author>
      <b:Author>
        <b:NameList>
          <b:Person>
            <b:Last>Fitzgerald</b:Last>
            <b:First>Vincent</b:First>
          </b:Person>
        </b:NameList>
      </b:Author>
    </b:Author>
    <b:Title>National Saving: A Report to the Treasurer</b:Title>
    <b:Year>1993</b:Year>
    <b:Publisher>Commonwealth of Australia</b:Publisher>
    <b:City>Canberra</b:City>
    <b:RefOrder>60</b:RefOrder>
  </b:Source>
  <b:Source>
    <b:Tag>Finlay14</b:Tag>
    <b:SourceType>Report</b:SourceType>
    <b:Guid>{4161D9E2-D90F-48E2-B8ED-D24485D3ECF6}</b:Guid>
    <b:Title>Household Saving in Australia</b:Title>
    <b:Year>2014</b:Year>
    <b:Publisher>Reserve Bank of Australia</b:Publisher>
    <b:City>Research Discussion Paper 2014-03, Sydney</b:City>
    <b:Author>
      <b:Author>
        <b:NameList>
          <b:Person>
            <b:Last>Finlay</b:Last>
            <b:First>Richard</b:First>
          </b:Person>
          <b:Person>
            <b:Last>Price</b:Last>
            <b:First>Fiona</b:First>
          </b:Person>
        </b:NameList>
      </b:Author>
    </b:Author>
    <b:RefOrder>174</b:RefOrder>
  </b:Source>
  <b:Source>
    <b:Tag>Fer05</b:Tag>
    <b:SourceType>JournalArticle</b:SourceType>
    <b:Guid>{715AC444-4D49-4F4A-9C0A-C7B31D6C3B24}</b:Guid>
    <b:Title>Financial Literacy, Financial Education and Downstream Financial Behaviors</b:Title>
    <b:Year>2005</b:Year>
    <b:Pages>305-351</b:Pages>
    <b:Author>
      <b:Author>
        <b:NameList>
          <b:Person>
            <b:Last>Fernandes</b:Last>
            <b:First>Daniel</b:First>
          </b:Person>
          <b:Person>
            <b:Last>Lynch Jr</b:Last>
            <b:Middle>G</b:Middle>
            <b:First>John</b:First>
          </b:Person>
          <b:Person>
            <b:Last>Netemeyer</b:Last>
            <b:Middle>G</b:Middle>
            <b:First>Richard </b:First>
          </b:Person>
        </b:NameList>
      </b:Author>
    </b:Author>
    <b:JournalName>Review of Finance</b:JournalName>
    <b:Volume>9</b:Volume>
    <b:Issue>3</b:Issue>
    <b:RefOrder>442</b:RefOrder>
  </b:Source>
  <b:Source>
    <b:Tag>Fen18</b:Tag>
    <b:SourceType>JournalArticle</b:SourceType>
    <b:Guid>{FEDA3995-5896-4B08-BCBF-316EBD940EBD}</b:Guid>
    <b:Title>Voluntary Retirement Savings: The Case of Australia</b:Title>
    <b:JournalName>Journal of Family and Economic Issues</b:JournalName>
    <b:Year>2018</b:Year>
    <b:Pages>2-18</b:Pages>
    <b:Author>
      <b:Author>
        <b:NameList>
          <b:Person>
            <b:Last>Feng</b:Last>
            <b:First>Jun</b:First>
          </b:Person>
        </b:NameList>
      </b:Author>
    </b:Author>
    <b:Volume>39</b:Volume>
    <b:Issue>1</b:Issue>
    <b:RefOrder>387</b:RefOrder>
  </b:Source>
  <b:Source>
    <b:Tag>Fen14</b:Tag>
    <b:SourceType>JournalArticle</b:SourceType>
    <b:Guid>{6ACE0460-3078-4BA1-B21D-A512391CD708}</b:Guid>
    <b:Title>The Effect of Superannuation Tax Incentives on Salary Sacrifice Participation</b:Title>
    <b:JournalName>Economic Record</b:JournalName>
    <b:Year>2014</b:Year>
    <b:Author>
      <b:Author>
        <b:NameList>
          <b:Person>
            <b:Last>Feng</b:Last>
            <b:First>J</b:First>
          </b:Person>
        </b:NameList>
      </b:Author>
    </b:Author>
    <b:Volume>90</b:Volume>
    <b:Pages>59-73</b:Pages>
    <b:RefOrder>372</b:RefOrder>
  </b:Source>
  <b:Source>
    <b:Tag>Fen16</b:Tag>
    <b:SourceType>JournalArticle</b:SourceType>
    <b:Guid>{A0B6F2EF-5EB2-4969-9DF7-C9CF3E16B662}</b:Guid>
    <b:Title>Patterns of voluntary contributions to superannuation: A longitudinal analysis</b:Title>
    <b:Year>2016</b:Year>
    <b:Publisher>JASSA</b:Publisher>
    <b:Author>
      <b:Author>
        <b:NameList>
          <b:Person>
            <b:Last>Feng</b:Last>
            <b:First>J</b:First>
          </b:Person>
          <b:Person>
            <b:Last>Gerrans</b:Last>
            <b:First>P</b:First>
          </b:Person>
        </b:NameList>
      </b:Author>
    </b:Author>
    <b:Issue>2</b:Issue>
    <b:JournalName>JASSA: The Finsia Journal of Applied Finance</b:JournalName>
    <b:Pages>63-71</b:Pages>
    <b:RefOrder>526</b:RefOrder>
  </b:Source>
  <b:Source>
    <b:Tag>Eur18</b:Tag>
    <b:SourceType>InternetSite</b:SourceType>
    <b:Guid>{99116ABF-562C-49CD-B98E-61DE2CC6CDA4}</b:Guid>
    <b:Title>Glossary: At-risk-of-poverty rate</b:Title>
    <b:Year>2018</b:Year>
    <b:Author>
      <b:Author>
        <b:NameList>
          <b:Person>
            <b:Last>Eurostat</b:Last>
          </b:Person>
        </b:NameList>
      </b:Author>
    </b:Author>
    <b:InternetSiteTitle>eurostat</b:InternetSiteTitle>
    <b:Month>August</b:Month>
    <b:Day>1</b:Day>
    <b:URL>https://ec.europa.eu/eurostat/statistics-explained/index.php/Glossary:At-risk-of-poverty_rate</b:URL>
    <b:YearAccessed>2020</b:YearAccessed>
    <b:MonthAccessed>May</b:MonthAccessed>
    <b:DayAccessed>18</b:DayAccessed>
    <b:RefOrder>122</b:RefOrder>
  </b:Source>
  <b:Source>
    <b:Tag>Eri96</b:Tag>
    <b:SourceType>JournalArticle</b:SourceType>
    <b:Guid>{E8954D55-DD2D-4652-999A-8312923D99BC}</b:Guid>
    <b:Author>
      <b:Author>
        <b:NameList>
          <b:Person>
            <b:Last>Engen</b:Last>
            <b:First>Eric</b:First>
          </b:Person>
          <b:Person>
            <b:Last>Scholtz</b:Last>
            <b:First>John</b:First>
            <b:Middle>Karl</b:Middle>
          </b:Person>
          <b:Person>
            <b:Last>Gale</b:Last>
            <b:First>William</b:First>
          </b:Person>
        </b:NameList>
      </b:Author>
    </b:Author>
    <b:Title>The Effects of Tax-Based Savings Incentives on Saving and Wealth</b:Title>
    <b:JournalName>NBER Working Paper</b:JournalName>
    <b:Year>1996</b:Year>
    <b:RefOrder>379</b:RefOrder>
  </b:Source>
  <b:Source>
    <b:Tag>Eri00</b:Tag>
    <b:SourceType>JournalArticle</b:SourceType>
    <b:Guid>{E7B9E4F6-2A89-45B4-9D0E-CD5C44121A88}</b:Guid>
    <b:Author>
      <b:Author>
        <b:NameList>
          <b:Person>
            <b:Last>Engen</b:Last>
            <b:First>Eric</b:First>
          </b:Person>
          <b:Person>
            <b:Last>Gale</b:Last>
            <b:First>William</b:First>
          </b:Person>
        </b:NameList>
      </b:Author>
    </b:Author>
    <b:Title>The Effects of 401(k) Plans on Household Wealth</b:Title>
    <b:JournalName>NBER Working Paper</b:JournalName>
    <b:Year>2000</b:Year>
    <b:RefOrder>378</b:RefOrder>
  </b:Source>
  <b:Source>
    <b:Tag>Gar06</b:Tag>
    <b:SourceType>JournalArticle</b:SourceType>
    <b:Guid>{EFD207DC-0C66-4ACC-AB7E-1302E57D548C}</b:Guid>
    <b:Author>
      <b:Author>
        <b:NameList>
          <b:Person>
            <b:Last>Engelhardt</b:Last>
            <b:First>Gary</b:First>
          </b:Person>
          <b:Person>
            <b:Last>Kumar</b:Last>
            <b:First>Anil</b:First>
          </b:Person>
        </b:NameList>
      </b:Author>
    </b:Author>
    <b:Title>Pensions and Household Wealth Accumulation</b:Title>
    <b:JournalName>The Journal of Human Resources</b:JournalName>
    <b:Year>2006</b:Year>
    <b:Pages>203-236</b:Pages>
    <b:Volume>46</b:Volume>
    <b:Issue>1</b:Issue>
    <b:RefOrder>376</b:RefOrder>
  </b:Source>
  <b:Source>
    <b:Tag>Edw18</b:Tag>
    <b:SourceType>Interview</b:SourceType>
    <b:Guid>{93F362CF-8CBE-499B-9970-D1B0C6B677AF}</b:Guid>
    <b:Title>Royal Commission into Misconduct in the Banking, Superannuation and Financial Services Industry Hearings</b:Title>
    <b:Year>2018</b:Year>
    <b:Month>July</b:Month>
    <b:Day>3</b:Day>
    <b:Author>
      <b:Interviewee>
        <b:NameList>
          <b:Person>
            <b:Last>Edwards</b:Last>
            <b:First>Lynda</b:First>
          </b:Person>
        </b:NameList>
      </b:Interviewee>
      <b:Interviewer>
        <b:NameList>
          <b:Person>
            <b:Last>Orr</b:Last>
            <b:First>Rowena</b:First>
          </b:Person>
        </b:NameList>
      </b:Interviewer>
    </b:Author>
    <b:RefOrder>282</b:RefOrder>
  </b:Source>
  <b:Source>
    <b:Tag>Dyn04</b:Tag>
    <b:SourceType>JournalArticle</b:SourceType>
    <b:Guid>{201F0A1F-BF82-48C6-B7E0-163729CB2455}</b:Guid>
    <b:Title>Do the Rich Save More?</b:Title>
    <b:Year>2004</b:Year>
    <b:Author>
      <b:Author>
        <b:NameList>
          <b:Person>
            <b:Last>Dynan</b:Last>
            <b:Middle>E</b:Middle>
            <b:First>K</b:First>
          </b:Person>
          <b:Person>
            <b:Last>Skinner</b:Last>
            <b:First>J</b:First>
          </b:Person>
          <b:Person>
            <b:Last>Zeldes</b:Last>
            <b:Middle>P</b:Middle>
            <b:First>S</b:First>
          </b:Person>
        </b:NameList>
      </b:Author>
    </b:Author>
    <b:JournalName>Journal of Political Economy</b:JournalName>
    <b:Pages>397-444</b:Pages>
    <b:Volume>112</b:Volume>
    <b:Issue>2</b:Issue>
    <b:RefOrder>409</b:RefOrder>
  </b:Source>
  <b:Source>
    <b:Tag>Dre14</b:Tag>
    <b:SourceType>JournalArticle</b:SourceType>
    <b:Guid>{66994452-532E-4886-BD46-296F82DCF31B}</b:Guid>
    <b:Title>Retirement Adequacy Through Higher Contributions: Is This the Only Way?</b:Title>
    <b:Year>2014</b:Year>
    <b:JournalName>The Journal of Retirement Income</b:JournalName>
    <b:Author>
      <b:Author>
        <b:NameList>
          <b:Person>
            <b:Last>Drew</b:Last>
            <b:First>M</b:First>
          </b:Person>
          <b:Person>
            <b:Last>Stoltz</b:Last>
            <b:First>P</b:First>
          </b:Person>
          <b:Person>
            <b:Last>Walk</b:Last>
            <b:First>A</b:First>
          </b:Person>
          <b:Person>
            <b:Last>West</b:Last>
            <b:First>J</b:First>
          </b:Person>
        </b:NameList>
      </b:Author>
    </b:Author>
    <b:Pages>57-74</b:Pages>
    <b:Volume>1</b:Volume>
    <b:RefOrder>160</b:RefOrder>
  </b:Source>
  <b:Source>
    <b:Tag>Ban15</b:Tag>
    <b:SourceType>JournalArticle</b:SourceType>
    <b:Guid>{32976851-4BFB-423F-ADD5-24AE23713B49}</b:Guid>
    <b:Author>
      <b:Author>
        <b:NameList>
          <b:Person>
            <b:Last>Dockery</b:Last>
            <b:First>A.</b:First>
            <b:Middle>M</b:Middle>
          </b:Person>
          <b:Person>
            <b:Last>Duncan</b:Last>
            <b:First>A</b:First>
          </b:Person>
          <b:Person>
            <b:Last>Nguyen</b:Last>
            <b:First>H</b:First>
          </b:Person>
          <b:Person>
            <b:Last>Ong</b:Last>
            <b:First>R</b:First>
          </b:Person>
        </b:NameList>
      </b:Author>
    </b:Author>
    <b:Title>Securing Our Future: Meeting the Challenges of WA's Ageing Population. Bankwest Curtin Economics Centre</b:Title>
    <b:Year>2015</b:Year>
    <b:JournalName>Focus on Western Australia Series</b:JournalName>
    <b:Issue>6</b:Issue>
    <b:RefOrder>199</b:RefOrder>
  </b:Source>
  <b:Source>
    <b:Tag>Doc20</b:Tag>
    <b:SourceType>Report</b:SourceType>
    <b:Guid>{FCA4DB77-350E-4DA7-B593-09619AEDD38D}</b:Guid>
    <b:Title>Aboriginal and Torres Strait Islander Australians and the superannuation system</b:Title>
    <b:Year>2020</b:Year>
    <b:Publisher>Bankwest Curtin Economics Centre and UniSuper</b:Publisher>
    <b:City>Perth</b:City>
    <b:Author>
      <b:Author>
        <b:NameList>
          <b:Person>
            <b:Last>Dockery</b:Last>
            <b:First>A.</b:First>
            <b:Middle>M</b:Middle>
          </b:Person>
        </b:NameList>
      </b:Author>
    </b:Author>
    <b:RefOrder>263</b:RefOrder>
  </b:Source>
  <b:Source>
    <b:Tag>Dia09</b:Tag>
    <b:SourceType>Report</b:SourceType>
    <b:Guid>{5BFDBC1C-846E-4C71-A961-F350064F0823}</b:Guid>
    <b:Title>The Base for Direct Taxation</b:Title>
    <b:Year>2009</b:Year>
    <b:Author>
      <b:Author>
        <b:NameList>
          <b:Person>
            <b:Last>Diamond</b:Last>
            <b:First>P</b:First>
          </b:Person>
          <b:Person>
            <b:Last>Banks</b:Last>
            <b:First>J</b:First>
          </b:Person>
        </b:NameList>
      </b:Author>
    </b:Author>
    <b:Publisher>MIT Department of Economics Working Paper No. 08-11</b:Publisher>
    <b:RefOrder>366</b:RefOrder>
  </b:Source>
  <b:Source>
    <b:Tag>DebR19</b:Tag>
    <b:SourceType>DocumentFromInternetSite</b:SourceType>
    <b:Guid>{21E2E2D0-73B9-4296-9F19-C74B8247A4B0}</b:Guid>
    <b:Author>
      <b:Author>
        <b:NameList>
          <b:Person>
            <b:Last>Debelle</b:Last>
            <b:First>G</b:First>
          </b:Person>
        </b:NameList>
      </b:Author>
    </b:Author>
    <b:Title>Speech: Australian Council of Social Service (ACOSS) National Conference 2019</b:Title>
    <b:InternetSiteTitle>Reserve Bank of Australia</b:InternetSiteTitle>
    <b:Year>2019</b:Year>
    <b:Month>11</b:Month>
    <b:Day>26</b:Day>
    <b:URL>https://www.rba.gov.au/speeches/2019/sp-dg-2019-11-26.html</b:URL>
    <b:YearAccessed>2020</b:YearAccessed>
    <b:MonthAccessed>March</b:MonthAccessed>
    <b:DayAccessed>16</b:DayAccessed>
    <b:RefOrder>26</b:RefOrder>
  </b:Source>
  <b:Source>
    <b:Tag>Daw92</b:Tag>
    <b:SourceType>Book</b:SourceType>
    <b:Guid>{1BA1F41C-1AB1-49E8-BC91-0A2049293975}</b:Guid>
    <b:Title>Security in Retirement: Planning for Tomorrow Today</b:Title>
    <b:Year>1992</b:Year>
    <b:Author>
      <b:Author>
        <b:NameList>
          <b:Person>
            <b:Last>Dawkins</b:Last>
            <b:First>J</b:First>
          </b:Person>
        </b:NameList>
      </b:Author>
    </b:Author>
    <b:City>Canberra</b:City>
    <b:Publisher>Australian Government Publishing Service</b:Publisher>
    <b:RefOrder>65</b:RefOrder>
  </b:Source>
  <b:Source>
    <b:Tag>AMK20</b:Tag>
    <b:SourceType>DocumentFromInternetSite</b:SourceType>
    <b:Guid>{8B0735CB-9629-471D-B783-3F2048EB212C}</b:Guid>
    <b:Author>
      <b:Author>
        <b:NameList>
          <b:Person>
            <b:Last>Davis</b:Last>
            <b:First>Kevin</b:First>
          </b:Person>
        </b:NameList>
      </b:Author>
    </b:Author>
    <b:Title>Retirement Income Review submissions</b:Title>
    <b:Year>2020</b:Year>
    <b:Publisher>Treasury</b:Publisher>
    <b:City>Canberra</b:City>
    <b:URL>https://treasury.gov.au/consultation/c2019-36292/submissions</b:URL>
    <b:RefOrder>336</b:RefOrder>
  </b:Source>
  <b:Source>
    <b:Tag>Dav18</b:Tag>
    <b:SourceType>Report</b:SourceType>
    <b:Guid>{1379771A-E41D-423D-8593-0717E280D1F3}</b:Guid>
    <b:Author>
      <b:Author>
        <b:NameList>
          <b:Person>
            <b:Last>Davidson</b:Last>
            <b:First>Peter</b:First>
          </b:Person>
          <b:Person>
            <b:Last>Saunders</b:Last>
            <b:First>Peter</b:First>
          </b:Person>
          <b:Person>
            <b:Last>Bradbury</b:Last>
            <b:First>B</b:First>
          </b:Person>
          <b:Person>
            <b:Last>Wong</b:Last>
            <b:First>M</b:First>
          </b:Person>
        </b:NameList>
      </b:Author>
    </b:Author>
    <b:Title>Poverty in Australian 2018</b:Title>
    <b:Year>2018</b:Year>
    <b:Publisher>ACOSS</b:Publisher>
    <b:City>ACOSS/UNSW Poverty and Inequality Partnership Report No. 2, Sydney</b:City>
    <b:RefOrder>119</b:RefOrder>
  </b:Source>
  <b:Source>
    <b:Tag>Dal18</b:Tag>
    <b:SourceType>Report</b:SourceType>
    <b:Guid>{AF81CE29-D4ED-4688-9BDD-42710B8C8EEC}</b:Guid>
    <b:Author>
      <b:Author>
        <b:NameList>
          <b:Person>
            <b:Last>Daley</b:Last>
            <b:First>J</b:First>
          </b:Person>
          <b:Person>
            <b:Last>Coates</b:Last>
            <b:First>B</b:First>
          </b:Person>
          <b:Person>
            <b:Last>Wiltshire</b:Last>
            <b:First>T</b:First>
          </b:Person>
          <b:Person>
            <b:Last>Emslie</b:Last>
            <b:First>O</b:First>
          </b:Person>
          <b:Person>
            <b:Last>Nolan</b:Last>
            <b:First>J</b:First>
          </b:Person>
          <b:Person>
            <b:Last>Chen</b:Last>
            <b:First>T</b:First>
          </b:Person>
        </b:NameList>
      </b:Author>
    </b:Author>
    <b:Title>Money in retirement: More than enough</b:Title>
    <b:Year>2018b</b:Year>
    <b:Publisher>Grattan Institute</b:Publisher>
    <b:RefOrder>145</b:RefOrder>
  </b:Source>
  <b:Source>
    <b:Tag>Dal18f</b:Tag>
    <b:SourceType>Report</b:SourceType>
    <b:Guid>{268CF22F-D432-4130-9BA1-5190A321DF4F}</b:Guid>
    <b:Title>Housing affordability: re-imagining the Australian dream</b:Title>
    <b:Year>2018a</b:Year>
    <b:Author>
      <b:Author>
        <b:NameList>
          <b:Person>
            <b:Last>Daley</b:Last>
            <b:First>J</b:First>
          </b:Person>
          <b:Person>
            <b:Last>Coates</b:Last>
            <b:First>B</b:First>
          </b:Person>
          <b:Person>
            <b:Last>Wiltshire</b:Last>
            <b:First>T</b:First>
          </b:Person>
        </b:NameList>
      </b:Author>
    </b:Author>
    <b:Publisher>Grattan Institute</b:Publisher>
    <b:RefOrder>99</b:RefOrder>
  </b:Source>
  <b:Source>
    <b:Tag>Gra16</b:Tag>
    <b:SourceType>Report</b:SourceType>
    <b:Guid>{9A6C6154-684F-4840-ACE9-8ED0669472FD}</b:Guid>
    <b:Author>
      <b:Author>
        <b:NameList>
          <b:Person>
            <b:Last>Daley</b:Last>
            <b:First>J</b:First>
          </b:Person>
          <b:Person>
            <b:Last>Coates</b:Last>
            <b:First>B</b:First>
          </b:Person>
          <b:Person>
            <b:Last>Young</b:Last>
            <b:First>W</b:First>
          </b:Person>
          <b:Person>
            <b:Last>Parsonage</b:Last>
            <b:First>H</b:First>
          </b:Person>
        </b:NameList>
      </b:Author>
    </b:Author>
    <b:Title>Age of Entitlement: Age-Based Tax Breaks</b:Title>
    <b:Year>2016</b:Year>
    <b:Publisher>Grattan Institute</b:Publisher>
    <b:RefOrder>182</b:RefOrder>
  </b:Source>
  <b:Source>
    <b:Tag>Cro04</b:Tag>
    <b:SourceType>JournalArticle</b:SourceType>
    <b:Guid>{65851DBA-2E45-41F2-BF5F-D0213E790080}</b:Guid>
    <b:Title>Design choices in privatized social security systems: Learning from the Swedish experience</b:Title>
    <b:Year>2004</b:Year>
    <b:Author>
      <b:Author>
        <b:NameList>
          <b:Person>
            <b:Last>Cronqvist</b:Last>
            <b:First>H</b:First>
          </b:Person>
          <b:Person>
            <b:Last>Thaler</b:Last>
            <b:First>R</b:First>
          </b:Person>
        </b:NameList>
      </b:Author>
    </b:Author>
    <b:JournalName>American Economic Review</b:JournalName>
    <b:Pages>424-8</b:Pages>
    <b:Volume>98</b:Volume>
    <b:Issue>2</b:Issue>
    <b:RefOrder>464</b:RefOrder>
  </b:Source>
  <b:Source>
    <b:Tag>Cre90</b:Tag>
    <b:SourceType>JournalArticle</b:SourceType>
    <b:Guid>{0B408E69-55D3-4E40-920F-C6BC1886F039}</b:Guid>
    <b:Title>Pension schemes and incentives: case studies from Australia and the United Kingdom</b:Title>
    <b:Year>1990</b:Year>
    <b:Author>
      <b:Author>
        <b:NameList>
          <b:Person>
            <b:Last>Creedy</b:Last>
            <b:First>J</b:First>
          </b:Person>
          <b:Person>
            <b:Last>Disney</b:Last>
            <b:First>R</b:First>
          </b:Person>
        </b:NameList>
      </b:Author>
    </b:Author>
    <b:JournalName>Australian Economic Review</b:JournalName>
    <b:Pages>23-32</b:Pages>
    <b:Volume>23</b:Volume>
    <b:Issue>1</b:Issue>
    <b:RefOrder>394</b:RefOrder>
  </b:Source>
  <b:Source>
    <b:Tag>Cow15</b:Tag>
    <b:SourceType>Report</b:SourceType>
    <b:Guid>{73DF4B6E-340F-4CC1-89FC-AF07367C4B21}</b:Guid>
    <b:Author>
      <b:Author>
        <b:NameList>
          <b:Person>
            <b:Last>Cowan</b:Last>
            <b:First>S</b:First>
          </b:Person>
          <b:Person>
            <b:Last>Taylor</b:Last>
            <b:First>M</b:First>
          </b:Person>
        </b:NameList>
      </b:Author>
    </b:Author>
    <b:Title>The Age Old Problem of Old Age: Fixing the Pension</b:Title>
    <b:Year>2015</b:Year>
    <b:Publisher>The Centre for Independent Studies</b:Publisher>
    <b:City>Research Report 3. St Leonards, Australia</b:City>
    <b:RefOrder>222</b:RefOrder>
  </b:Source>
  <b:Source>
    <b:Tag>Cos01</b:Tag>
    <b:SourceType>DocumentFromInternetSite</b:SourceType>
    <b:Guid>{B9366BDC-B6A9-48A5-A7A6-1A5E6D42D657}</b:Guid>
    <b:Author>
      <b:Author>
        <b:NameList>
          <b:Person>
            <b:Last>Costello</b:Last>
            <b:First>P</b:First>
          </b:Person>
        </b:NameList>
      </b:Author>
    </b:Author>
    <b:Title>Budget Speech 2001-02</b:Title>
    <b:Year>2001</b:Year>
    <b:Month>May</b:Month>
    <b:Day>22</b:Day>
    <b:YearAccessed>2020</b:YearAccessed>
    <b:MonthAccessed>February</b:MonthAccessed>
    <b:DayAccessed>5</b:DayAccessed>
    <b:URL>https://archive.budget.gov.au/2001-02/speech/speech.pdf</b:URL>
    <b:RefOrder>183</b:RefOrder>
  </b:Source>
  <b:Source>
    <b:Tag>Gia15</b:Tag>
    <b:SourceType>JournalArticle</b:SourceType>
    <b:Guid>{D7504FF1-C4F4-4905-845E-94E6A96DE5B5}</b:Guid>
    <b:Author>
      <b:Author>
        <b:NameList>
          <b:Person>
            <b:Last>Corneo</b:Last>
            <b:First>Giacomo</b:First>
          </b:Person>
          <b:Person>
            <b:Last>Konig</b:Last>
            <b:First>Johannes</b:First>
          </b:Person>
          <b:Person>
            <b:Last>Shroder</b:Last>
            <b:First>Carsten</b:First>
          </b:Person>
        </b:NameList>
      </b:Author>
    </b:Author>
    <b:Title>Distribution Effects of Subsidising Retirement Savings Accounts: Evidence from Germany</b:Title>
    <b:JournalName>FinanzArchiv: Public Finance Analysis</b:JournalName>
    <b:Year>2015</b:Year>
    <b:Pages>415-445</b:Pages>
    <b:Volume>74</b:Volume>
    <b:Issue>4</b:Issue>
    <b:RefOrder>384</b:RefOrder>
  </b:Source>
  <b:Source>
    <b:Tag>Con07</b:Tag>
    <b:SourceType>Report</b:SourceType>
    <b:Guid>{8F18EF1B-4A6B-4295-B717-97436973A1AE}</b:Guid>
    <b:Author>
      <b:Author>
        <b:NameList>
          <b:Person>
            <b:Last>Connolly</b:Last>
            <b:First>Ellis</b:First>
          </b:Person>
        </b:NameList>
      </b:Author>
    </b:Author>
    <b:Title>The Effect of the Australian Superannuation Guarantee on Household Saving Behaviour</b:Title>
    <b:Year>2007</b:Year>
    <b:Publisher>Reserve Bank of Australia</b:Publisher>
    <b:RefOrder>171</b:RefOrder>
  </b:Source>
  <b:Source>
    <b:Tag>Cen12</b:Tag>
    <b:SourceType>Report</b:SourceType>
    <b:Guid>{E83EA20D-80C1-4620-9023-44016D90151A}</b:Guid>
    <b:Author>
      <b:Author>
        <b:NameList>
          <b:Person>
            <b:Last>Connolly</b:Last>
            <b:First>C</b:First>
          </b:Person>
          <b:Person>
            <b:Last>Georgouras</b:Last>
            <b:First>M</b:First>
          </b:Person>
          <b:Person>
            <b:Last>Hems</b:Last>
            <b:First>L</b:First>
          </b:Person>
        </b:NameList>
      </b:Author>
    </b:Author>
    <b:Title>Measuring Financial Exclusion in Australia</b:Title>
    <b:Year>2012</b:Year>
    <b:Publisher>Centre for Social Impact (CSI) – University of New South Wales, 2012, for National Australia Bank</b:Publisher>
    <b:RefOrder>276</b:RefOrder>
  </b:Source>
  <b:Source>
    <b:Tag>COKU20</b:Tag>
    <b:SourceType>DocumentFromInternetSite</b:SourceType>
    <b:Guid>{9D2998B2-80B9-4A1C-BC0D-4BB0AAD059C8}</b:Guid>
    <b:Title>Demographic  Trends, Household Finances and Spending</b:Title>
    <b:Year>2020</b:Year>
    <b:Month>March</b:Month>
    <b:URL>https://www.rba.gov.au/publications/bulletin/2020/mar/demographic-trends-household-finances-and-spending.html</b:URL>
    <b:Author>
      <b:Author>
        <b:NameList>
          <b:Person>
            <b:Last>Cokis</b:Last>
            <b:First>T</b:First>
          </b:Person>
          <b:Person>
            <b:Last>McLoughlin</b:Last>
            <b:First>K</b:First>
          </b:Person>
        </b:NameList>
      </b:Author>
    </b:Author>
    <b:Day>19</b:Day>
    <b:YearAccessed>2020</b:YearAccessed>
    <b:MonthAccessed>April</b:MonthAccessed>
    <b:DayAccessed>17</b:DayAccessed>
    <b:RefOrder>488</b:RefOrder>
  </b:Source>
  <b:Source>
    <b:Tag>Cob10</b:Tag>
    <b:SourceType>JournalArticle</b:SourceType>
    <b:Guid>{F41DCC9B-AE92-49E4-8ECB-92B050DF7CDB}</b:Guid>
    <b:Author>
      <b:Author>
        <b:NameList>
          <b:Person>
            <b:Last>Cobb-Clark</b:Last>
            <b:First>D.</b:First>
            <b:Middle>A</b:Middle>
          </b:Person>
          <b:Person>
            <b:Last>Hildebrand</b:Last>
            <b:First>V.</b:First>
            <b:Middle>A</b:Middle>
          </b:Person>
        </b:NameList>
      </b:Author>
    </b:Author>
    <b:Title>The asset portfolios of older Australian households</b:Title>
    <b:Year>2010</b:Year>
    <b:JournalName>Australian Social Policy Journal</b:JournalName>
    <b:Pages>1-41</b:Pages>
    <b:Volume>9</b:Volume>
    <b:RefOrder>397</b:RefOrder>
  </b:Source>
  <b:Source>
    <b:Tag>Coa20</b:Tag>
    <b:SourceType>Report</b:SourceType>
    <b:Guid>{B2816A94-812F-47E1-B0CA-029B885B187B}</b:Guid>
    <b:Title>No free lunch: Higher superannuation means lower wages</b:Title>
    <b:Year>2020</b:Year>
    <b:Publisher>Grattan Institute</b:Publisher>
    <b:Author>
      <b:Author>
        <b:NameList>
          <b:Person>
            <b:Last>Coates</b:Last>
            <b:First>Brendan</b:First>
          </b:Person>
          <b:Person>
            <b:Last>Mackey</b:Last>
            <b:First>Will</b:First>
          </b:Person>
          <b:Person>
            <b:Last>Cowgill</b:Last>
            <b:First>Matt</b:First>
          </b:Person>
        </b:NameList>
      </b:Author>
    </b:Author>
    <b:RefOrder>137</b:RefOrder>
  </b:Source>
  <b:Source>
    <b:Tag>Coa0b</b:Tag>
    <b:SourceType>InternetSite</b:SourceType>
    <b:Guid>{706928B2-DFD2-4BB7-B6D7-F2D8FBE1B176}</b:Guid>
    <b:Title>Unaffordable housing is the biggest threat to a comfortable retirement</b:Title>
    <b:Year>2020</b:Year>
    <b:YearAccessed>2020</b:YearAccessed>
    <b:MonthAccessed>July</b:MonthAccessed>
    <b:DayAccessed>3</b:DayAccessed>
    <b:URL>https://nationalseniors.com.au/news/latest/unaffordable-housing-is-the-biggest-threat-to-a-comfortable-retirement</b:URL>
    <b:Author>
      <b:Author>
        <b:NameList>
          <b:Person>
            <b:Last>Coates</b:Last>
            <b:First>B</b:First>
          </b:Person>
        </b:NameList>
      </b:Author>
    </b:Author>
    <b:RefOrder>221</b:RefOrder>
  </b:Source>
  <b:Source>
    <b:Tag>Flo20</b:Tag>
    <b:SourceType>InternetSite</b:SourceType>
    <b:Guid>{2C20B69B-C59A-4851-9CA5-4770DDC6F948}</b:Guid>
    <b:Title>Super industry sees liquidity challenge as members switch to cash</b:Title>
    <b:Year>2020</b:Year>
    <b:YearAccessed>2020</b:YearAccessed>
    <b:MonthAccessed>May</b:MonthAccessed>
    <b:DayAccessed>2</b:DayAccessed>
    <b:URL>https://www.ipe.com/news/super-industry-sees-liquidity-challenge-as-members-switch-to-cash/10045211.article</b:URL>
    <b:Author>
      <b:Author>
        <b:NameList>
          <b:Person>
            <b:Last>Chong</b:Last>
            <b:First>Florence</b:First>
          </b:Person>
        </b:NameList>
      </b:Author>
    </b:Author>
    <b:RefOrder>329</b:RefOrder>
  </b:Source>
  <b:Source>
    <b:Tag>CHO18</b:Tag>
    <b:SourceType>DocumentFromInternetSite</b:SourceType>
    <b:Guid>{F632A602-2EB1-458A-A2B5-0A3EB769AAF5}</b:Guid>
    <b:Title>Submission to the Royal Commission into Misconduct in the Banking, Superannuation and Financial Services Industry (POL.9000.2000.0004_0001)</b:Title>
    <b:Year>2018</b:Year>
    <b:Author>
      <b:Author>
        <b:NameList>
          <b:Person>
            <b:Last>CHOICE</b:Last>
          </b:Person>
          <b:Person>
            <b:Last>Superannuation Consumers' Centre</b:Last>
          </b:Person>
        </b:NameList>
      </b:Author>
    </b:Author>
    <b:Month>September</b:Month>
    <b:YearAccessed>2020</b:YearAccessed>
    <b:MonthAccessed>May</b:MonthAccessed>
    <b:DayAccessed>20</b:DayAccessed>
    <b:URL>https://financialservices.royalcommission.gov.au/Submissions/Documents/round-5/POL.9000.2000.0004.pdf</b:URL>
    <b:RefOrder>284</b:RefOrder>
  </b:Source>
  <b:Source>
    <b:Tag>Cho14</b:Tag>
    <b:SourceType>Report</b:SourceType>
    <b:Guid>{2B92708F-BDEC-4F51-AB0E-39D34F3DBF42}</b:Guid>
    <b:Title>Means-tested Age Pension and Saving</b:Title>
    <b:Year>2014</b:Year>
    <b:Author>
      <b:Author>
        <b:NameList>
          <b:Person>
            <b:Last>Cho</b:Last>
            <b:First>S</b:First>
          </b:Person>
          <b:Person>
            <b:Last>Sane</b:Last>
            <b:First>R</b:First>
          </b:Person>
        </b:NameList>
      </b:Author>
    </b:Author>
    <b:Publisher>School of Economics, UNSW Sydney</b:Publisher>
    <b:City>Discussion Papers, 2014-03, Sydney</b:City>
    <b:RefOrder>520</b:RefOrder>
  </b:Source>
  <b:Source>
    <b:Tag>Che11</b:Tag>
    <b:SourceType>DocumentFromInternetSite</b:SourceType>
    <b:Guid>{77E375EA-C4BD-4A31-A91F-3353C3821D95}</b:Guid>
    <b:Title>Salience and Taxation: Evidence and Policy Implications</b:Title>
    <b:Year>2011</b:Year>
    <b:Author>
      <b:Author>
        <b:NameList>
          <b:Person>
            <b:Last>Chetty</b:Last>
            <b:First>Raj</b:First>
          </b:Person>
        </b:NameList>
      </b:Author>
    </b:Author>
    <b:Month>March</b:Month>
    <b:YearAccessed>2020</b:YearAccessed>
    <b:MonthAccessed>June</b:MonthAccessed>
    <b:DayAccessed>1</b:DayAccessed>
    <b:URL>http://www.rajchetty.com/chettyfiles/taxsalience_testimony.pdf</b:URL>
    <b:RefOrder>386</b:RefOrder>
  </b:Source>
  <b:Source>
    <b:Tag>Raj14</b:Tag>
    <b:SourceType>JournalArticle</b:SourceType>
    <b:Guid>{A1C9A2C7-9372-48B8-9FE6-60F6C6F9E680}</b:Guid>
    <b:Author>
      <b:Author>
        <b:NameList>
          <b:Person>
            <b:Last>Chetty</b:Last>
            <b:First>Raj</b:First>
          </b:Person>
          <b:Person>
            <b:Last>Friedman</b:Last>
            <b:First>John</b:First>
          </b:Person>
          <b:Person>
            <b:Last>Leth-Petersen</b:Last>
            <b:First>Soren</b:First>
          </b:Person>
          <b:Person>
            <b:Last>Nielsen</b:Last>
            <b:First>Torben</b:First>
          </b:Person>
          <b:Person>
            <b:Last>Olsen</b:Last>
            <b:First>Tore</b:First>
          </b:Person>
        </b:NameList>
      </b:Author>
    </b:Author>
    <b:Title>Active vs. Passive Decisions and Crowdout in Retirement Savings Accounts: Evidence from Denmark</b:Title>
    <b:JournalName>Quarterly Journal of Economics</b:JournalName>
    <b:Year>2014</b:Year>
    <b:Pages>1141-1219</b:Pages>
    <b:Volume>129</b:Volume>
    <b:Issue>3</b:Issue>
    <b:RefOrder>381</b:RefOrder>
  </b:Source>
  <b:Source>
    <b:Tag>Vic04</b:Tag>
    <b:SourceType>JournalArticle</b:SourceType>
    <b:Guid>{D7E9667D-0373-4B87-94F9-C3AEF4E01231}</b:Guid>
    <b:Author>
      <b:Author>
        <b:NameList>
          <b:Person>
            <b:Last>Chernozhukov</b:Last>
            <b:First>Victor</b:First>
          </b:Person>
          <b:Person>
            <b:Last>Hansen</b:Last>
            <b:First>Christian</b:First>
          </b:Person>
        </b:NameList>
      </b:Author>
    </b:Author>
    <b:Title>The Effects of 401(k) Participation on the Wealth Distribution: An Intrumental Quantile Regression Analysis</b:Title>
    <b:JournalName>Review of Economics and Statistics</b:JournalName>
    <b:Year>2004</b:Year>
    <b:Pages>735-751</b:Pages>
    <b:Volume>86</b:Volume>
    <b:Issue>3</b:Issue>
    <b:RefOrder>377</b:RefOrder>
  </b:Source>
  <b:Source>
    <b:Tag>Cha12</b:Tag>
    <b:SourceType>JournalArticle</b:SourceType>
    <b:Guid>{446CA2DC-4D10-462C-BAC0-794C8BC66740}</b:Guid>
    <b:Title>Strong Evidence for Gender Differences in Risk Taking</b:Title>
    <b:Year>2012</b:Year>
    <b:Author>
      <b:Author>
        <b:NameList>
          <b:Person>
            <b:Last>Charness</b:Last>
            <b:First>Gary</b:First>
          </b:Person>
          <b:Person>
            <b:Last>Gneezy</b:Last>
            <b:First>Uri</b:First>
          </b:Person>
        </b:NameList>
      </b:Author>
    </b:Author>
    <b:JournalName>Journal of Economic Behaviour &amp; Organization</b:JournalName>
    <b:Pages>50-58</b:Pages>
    <b:Volume>83</b:Volume>
    <b:Issue>1</b:Issue>
    <b:RefOrder>215</b:RefOrder>
  </b:Source>
  <b:Source>
    <b:Tag>Cha86</b:Tag>
    <b:SourceType>JournalArticle</b:SourceType>
    <b:Guid>{BBBA9F11-01CD-4141-A111-3416A800A826}</b:Guid>
    <b:Author>
      <b:Author>
        <b:NameList>
          <b:Person>
            <b:Last>Chamley</b:Last>
            <b:First>Christophe</b:First>
          </b:Person>
        </b:NameList>
      </b:Author>
    </b:Author>
    <b:Title>Optimal Taxation of Capital Income in General Equilibrium with Infinite Lives</b:Title>
    <b:Year>1986</b:Year>
    <b:JournalName>Econometrica</b:JournalName>
    <b:Pages>pp. 607-622</b:Pages>
    <b:Volume>54</b:Volume>
    <b:RefOrder>361</b:RefOrder>
  </b:Source>
  <b:Source>
    <b:Tag>Dun20</b:Tag>
    <b:SourceType>Report</b:SourceType>
    <b:Guid>{703EAC0F-D080-4C9E-BFBA-703A45FAB15A}</b:Guid>
    <b:Author>
      <b:Author>
        <b:NameList>
          <b:Person>
            <b:Last>Cassells</b:Last>
            <b:First>R</b:First>
          </b:Person>
          <b:Person>
            <b:Last>Duncan</b:Last>
            <b:First>A</b:First>
          </b:Person>
          <b:Person>
            <b:Last>Salazar</b:Last>
            <b:First>S</b:First>
          </b:Person>
          <b:Person>
            <b:Last>Seymour</b:Last>
            <b:First>R</b:First>
          </b:Person>
        </b:NameList>
      </b:Author>
    </b:Author>
    <b:Title>What is the impact of the Age Pension assets test on savings behaviour pre-retirement</b:Title>
    <b:Year>2020</b:Year>
    <b:Publisher>Bankwest Curtin Economics Centre, Curtin University</b:Publisher>
    <b:City>Perth</b:City>
    <b:RefOrder>391</b:RefOrder>
  </b:Source>
  <b:Source>
    <b:Tag>Car20f</b:Tag>
    <b:SourceType>JournalArticle</b:SourceType>
    <b:Guid>{0C3EB29E-2362-4F67-B9A1-AFC5D2D5C1D7}</b:Guid>
    <b:Title>Does early access to retirement income prolong labour market participation for workers approaching retirement? Evidence from Australia's 'Transition to Retirement Income Streams' program</b:Title>
    <b:Year>2020</b:Year>
    <b:Publisher>Crawford School of Public Policy, Australian National University</b:Publisher>
    <b:Author>
      <b:Author>
        <b:NameList>
          <b:Person>
            <b:Last>Carter</b:Last>
            <b:First>A</b:First>
          </b:Person>
        </b:NameList>
      </b:Author>
    </b:Author>
    <b:JournalName>Crawford School of Public Policy, Australian National University</b:JournalName>
    <b:RefOrder>392</b:RefOrder>
  </b:Source>
  <b:Source>
    <b:Tag>Buc16</b:Tag>
    <b:SourceType>InternetSite</b:SourceType>
    <b:Guid>{A36E6DB9-1C63-45CB-8944-C1A629906B83}</b:Guid>
    <b:Title>The National Disability Insurance Scheme: a quick guide</b:Title>
    <b:Year>2016</b:Year>
    <b:Author>
      <b:Author>
        <b:NameList>
          <b:Person>
            <b:Last>Buckmaster</b:Last>
            <b:First>Luke</b:First>
          </b:Person>
        </b:NameList>
      </b:Author>
    </b:Author>
    <b:YearAccessed>2020</b:YearAccessed>
    <b:MonthAccessed>June</b:MonthAccessed>
    <b:DayAccessed>25</b:DayAccessed>
    <b:URL>https://www.aph.gov.au/About_Parliament/Parliamentary_Departments/Parliamentary_Library/pubs/rp/rp1617/Quick_Guides/DisabilityInsuranceScheme</b:URL>
    <b:RefOrder>287</b:RefOrder>
  </b:Source>
  <b:Source>
    <b:Tag>Bro01</b:Tag>
    <b:SourceType>JournalArticle</b:SourceType>
    <b:Guid>{E2F5061F-969E-4A1F-9041-67C2C8F728BE}</b:Guid>
    <b:Title>The Life-Cycle Model of Consumption and Saving</b:Title>
    <b:Year>2001</b:Year>
    <b:Author>
      <b:Author>
        <b:NameList>
          <b:Person>
            <b:Last>Browning</b:Last>
            <b:First>Martin</b:First>
          </b:Person>
          <b:Person>
            <b:Last>Crossley</b:Last>
            <b:Middle>F</b:Middle>
            <b:First>Thomas</b:First>
          </b:Person>
        </b:NameList>
      </b:Author>
    </b:Author>
    <b:JournalName>Journal of Economic Perspectives</b:JournalName>
    <b:Pages>3-22</b:Pages>
    <b:Volume>15</b:Volume>
    <b:Issue>3</b:Issue>
    <b:RefOrder>130</b:RefOrder>
  </b:Source>
  <b:Source>
    <b:Tag>AMP16</b:Tag>
    <b:SourceType>Report</b:SourceType>
    <b:Guid>{7CE63802-F015-4B63-8490-8C74C3B62865}</b:Guid>
    <b:Author>
      <b:Author>
        <b:NameList>
          <b:Person>
            <b:Last>Brown</b:Last>
            <b:First>L</b:First>
          </b:Person>
        </b:NameList>
      </b:Author>
    </b:Author>
    <b:Title>Divorce: For Richer, For Poorer</b:Title>
    <b:Year>2016</b:Year>
    <b:Publisher>AMP</b:Publisher>
    <b:City>AMP.NATSEM Income and Wealth Report, No. 39, Sydney</b:City>
    <b:JournalName>AMP.NATSEM Income and Wealth Report, No. 39</b:JournalName>
    <b:RefOrder>197</b:RefOrder>
  </b:Source>
  <b:Source>
    <b:Tag>Bro08</b:Tag>
    <b:SourceType>JournalArticle</b:SourceType>
    <b:Guid>{7882677D-BED8-4374-BB38-422CDD273737}</b:Guid>
    <b:Title>Why don’t people insure late-life consumption? A framing explanation of the under-annuitization puzzle</b:Title>
    <b:JournalName>American Economic Review</b:JournalName>
    <b:Year>2008</b:Year>
    <b:Pages>304-09</b:Pages>
    <b:Author>
      <b:Author>
        <b:NameList>
          <b:Person>
            <b:Last>Brown</b:Last>
            <b:First>J</b:First>
            <b:Middle>R</b:Middle>
          </b:Person>
          <b:Person>
            <b:Last>Kling</b:Last>
            <b:First>J</b:First>
            <b:Middle>R</b:Middle>
          </b:Person>
          <b:Person>
            <b:Last>Mullainathan</b:Last>
            <b:First>S</b:First>
          </b:Person>
          <b:Person>
            <b:Last>Wrobel</b:Last>
            <b:First>M</b:First>
            <b:Middle>V</b:Middle>
          </b:Person>
        </b:NameList>
      </b:Author>
    </b:Author>
    <b:Volume>98</b:Volume>
    <b:Issue>2</b:Issue>
    <b:RefOrder>436</b:RefOrder>
  </b:Source>
  <b:Source>
    <b:Tag>Bre04</b:Tag>
    <b:SourceType>JournalArticle</b:SourceType>
    <b:Guid>{23A5583C-915F-4567-9F68-E0E1E08AD71D}</b:Guid>
    <b:Title>New Estimates of Mothers' Forgone Earnings Using HILDA Data</b:Title>
    <b:Year>2004</b:Year>
    <b:JournalName>Australian Journal of Labour Economics</b:JournalName>
    <b:Pages>125-150</b:Pages>
    <b:Volume>7</b:Volume>
    <b:Issue>2</b:Issue>
    <b:Author>
      <b:Author>
        <b:NameList>
          <b:Person>
            <b:Last>Breusch</b:Last>
            <b:First>Trevor</b:First>
          </b:Person>
          <b:Person>
            <b:Last>Gray</b:Last>
            <b:First>Edith</b:First>
          </b:Person>
        </b:NameList>
      </b:Author>
    </b:Author>
    <b:RefOrder>515</b:RefOrder>
  </b:Source>
  <b:Source>
    <b:Tag>Bre20</b:Tag>
    <b:SourceType>Report</b:SourceType>
    <b:Guid>{6608D84A-7D7E-4409-B742-706CA191D936}</b:Guid>
    <b:Author>
      <b:Author>
        <b:NameList>
          <b:Person>
            <b:Last>Breunig</b:Last>
            <b:First>R</b:First>
          </b:Person>
          <b:Person>
            <b:Last>Sobeck</b:Last>
            <b:First>K</b:First>
          </b:Person>
        </b:NameList>
      </b:Author>
    </b:Author>
    <b:Title>The Economic Incidence of Superannuation</b:Title>
    <b:Year>2020</b:Year>
    <b:Publisher>Crawford School of Public Policy, Australian National University</b:Publisher>
    <b:City>Canberra</b:City>
    <b:RefOrder>136</b:RefOrder>
  </b:Source>
  <b:Source>
    <b:Tag>Bre18</b:Tag>
    <b:SourceType>JournalArticle</b:SourceType>
    <b:Guid>{056A817E-AC45-43CE-AF06-C2962EF666CE}</b:Guid>
    <b:Title>Do Earned Income Tax Credits for Older Workers Prolong Labor Market Participation and Boost Earned Income? Evidence from Australia's Mature Age Worker Tax Offset</b:Title>
    <b:Year>2018</b:Year>
    <b:Author>
      <b:Author>
        <b:NameList>
          <b:Person>
            <b:Last>Breunig</b:Last>
            <b:First>R</b:First>
          </b:Person>
          <b:Person>
            <b:Last>Carter</b:Last>
            <b:First>A</b:First>
          </b:Person>
        </b:NameList>
      </b:Author>
    </b:Author>
    <b:Issue>15</b:Issue>
    <b:Volume>Tax and Transfer Policy Institute - Working Paper</b:Volume>
    <b:RefOrder>393</b:RefOrder>
  </b:Source>
  <b:Source>
    <b:Tag>Bra13</b:Tag>
    <b:SourceType>Report</b:SourceType>
    <b:Guid>{0C52C0FB-37C6-45CB-9F87-EC7DDFD54967}</b:Guid>
    <b:Title>Reflections on the evolution of the minimum wage in Australia: Options for the future</b:Title>
    <b:Year>2013</b:Year>
    <b:Publisher>ANU Research School of Economics</b:Publisher>
    <b:City>Canberra</b:City>
    <b:Author>
      <b:Author>
        <b:NameList>
          <b:Person>
            <b:Last>Bray</b:Last>
            <b:First>J,</b:First>
            <b:Middle>Rob</b:Middle>
          </b:Person>
        </b:NameList>
      </b:Author>
    </b:Author>
    <b:RefOrder>227</b:RefOrder>
  </b:Source>
  <b:Source>
    <b:Tag>Bra16</b:Tag>
    <b:SourceType>Report</b:SourceType>
    <b:Guid>{B43D352F-0B21-4ECD-8532-B86DC9BBE1D9}</b:Guid>
    <b:Author>
      <b:Author>
        <b:NameList>
          <b:Person>
            <b:Last>Bray</b:Last>
            <b:First>J</b:First>
            <b:Middle>Rob</b:Middle>
          </b:Person>
          <b:Person>
            <b:Last>Gray</b:Last>
            <b:First>Matthew</b:First>
          </b:Person>
        </b:NameList>
      </b:Author>
    </b:Author>
    <b:Title>ANUpoll Ageing and money, ANUpoll No 20</b:Title>
    <b:Year>2016</b:Year>
    <b:Publisher>ANU College of Arts and Social Sciences</b:Publisher>
    <b:City>Canberra</b:City>
    <b:RefOrder>344</b:RefOrder>
  </b:Source>
  <b:Source>
    <b:Tag>Boz19</b:Tag>
    <b:SourceType>Report</b:SourceType>
    <b:Guid>{6FD67E6A-DBED-410E-BAF5-23C4E4059661}</b:Guid>
    <b:Title>Does Tax-Benefit Linkage Matter for the Incidence of Social Security Contributions?</b:Title>
    <b:Year>2019</b:Year>
    <b:Publisher>IZA Institute of Labor Economics</b:Publisher>
    <b:City>Bonn</b:City>
    <b:Author>
      <b:Author>
        <b:NameList>
          <b:Person>
            <b:Last>Bozio</b:Last>
            <b:First>A</b:First>
          </b:Person>
          <b:Person>
            <b:Last>Breda</b:Last>
            <b:First>T</b:First>
          </b:Person>
          <b:Person>
            <b:Last>Grenet</b:Last>
            <b:First>J</b:First>
          </b:Person>
        </b:NameList>
      </b:Author>
    </b:Author>
    <b:RefOrder>484</b:RefOrder>
  </b:Source>
  <b:Source>
    <b:Tag>Boy18</b:Tag>
    <b:SourceType>Misc</b:SourceType>
    <b:Guid>{7FE36E4B-7612-4FDA-ABE8-163D92E2BBA6}</b:Guid>
    <b:Title>Royal Commission into Misconduct in the Banking, Superannuation and Financial Services Industry: Witness statement of Mr Nathan Boyle, ASIC.0800.00007.0001</b:Title>
    <b:Year>2018b</b:Year>
    <b:Author>
      <b:Author>
        <b:NameList>
          <b:Person>
            <b:Last>Boyle</b:Last>
            <b:First>Nathan</b:First>
          </b:Person>
        </b:NameList>
      </b:Author>
    </b:Author>
    <b:RefOrder>274</b:RefOrder>
  </b:Source>
  <b:Source>
    <b:Tag>Nat18</b:Tag>
    <b:SourceType>Interview</b:SourceType>
    <b:Guid>{1C76EA4B-3967-419E-AAFC-435516AD5AA1}</b:Guid>
    <b:Author>
      <b:Interviewee>
        <b:NameList>
          <b:Person>
            <b:Last>Boyle</b:Last>
            <b:First>Nathan</b:First>
          </b:Person>
        </b:NameList>
      </b:Interviewee>
      <b:Interviewer>
        <b:NameList>
          <b:Person>
            <b:Last>Orr</b:Last>
            <b:First>Rowena</b:First>
          </b:Person>
        </b:NameList>
      </b:Interviewer>
    </b:Author>
    <b:Title>Royal Commission into Misconduct in the Banking, Superannuation and Financial Services Industry</b:Title>
    <b:Year>2018a</b:Year>
    <b:Month>July</b:Month>
    <b:Day>3</b:Day>
    <b:RefOrder>264</b:RefOrder>
  </b:Source>
  <b:Source>
    <b:Tag>Boe12</b:Tag>
    <b:SourceType>JournalArticle</b:SourceType>
    <b:Guid>{154BFE7A-0A30-4376-9612-00E47E31B66D}</b:Guid>
    <b:Author>
      <b:Author>
        <b:NameList>
          <b:Person>
            <b:Last>Boeri</b:Last>
            <b:First>T</b:First>
          </b:Person>
          <b:Person>
            <b:Last>Tabellini</b:Last>
            <b:First>G</b:First>
          </b:Person>
        </b:NameList>
      </b:Author>
    </b:Author>
    <b:Title>Does information increase political support for pension reform?</b:Title>
    <b:Year>2012</b:Year>
    <b:JournalName>Public Choice</b:JournalName>
    <b:Pages>327-362</b:Pages>
    <b:Volume>150</b:Volume>
    <b:RefOrder>356</b:RefOrder>
  </b:Source>
  <b:Source>
    <b:Tag>Bla13</b:Tag>
    <b:SourceType>JournalArticle</b:SourceType>
    <b:Guid>{1005CB4A-F761-40FC-BB5D-D4F7BE85A9A7}</b:Guid>
    <b:Title>Alpha, Beta, and Now…Gamma</b:Title>
    <b:Year>2013</b:Year>
    <b:Publisher>Morningstar Advisor</b:Publisher>
    <b:Author>
      <b:Author>
        <b:NameList>
          <b:Person>
            <b:Last>Blanchett</b:Last>
            <b:First>David</b:First>
          </b:Person>
          <b:Person>
            <b:Last>Kaplan</b:Last>
            <b:First>Paul</b:First>
          </b:Person>
        </b:NameList>
      </b:Author>
    </b:Author>
    <b:Pages>29-45</b:Pages>
    <b:JournalName>The Journal of Retirement</b:JournalName>
    <b:Volume>1</b:Volume>
    <b:RefOrder>453</b:RefOrder>
  </b:Source>
  <b:Source>
    <b:Tag>DBl14</b:Tag>
    <b:SourceType>JournalArticle</b:SourceType>
    <b:Guid>{133EBD6D-FEEB-4C6A-8093-C7C999A7A2A4}</b:Guid>
    <b:Author>
      <b:Author>
        <b:NameList>
          <b:Person>
            <b:Last>Blanchett</b:Last>
            <b:First>D</b:First>
          </b:Person>
        </b:NameList>
      </b:Author>
    </b:Author>
    <b:Title>Exploring the Retirement Consumption Puzzle</b:Title>
    <b:Year>2014</b:Year>
    <b:Publisher>Journal of Financial Planning</b:Publisher>
    <b:JournalName>Journal of Financial Planning</b:JournalName>
    <b:Pages>34-42</b:Pages>
    <b:Volume>27</b:Volume>
    <b:Issue>5</b:Issue>
    <b:RefOrder>148</b:RefOrder>
  </b:Source>
  <b:Source>
    <b:Tag>Bis19</b:Tag>
    <b:SourceType>DocumentFromInternetSite</b:SourceType>
    <b:Guid>{01E5E9BD-060E-4B69-8A81-C1FC7ED1B64D}</b:Guid>
    <b:Title>Wages Growth by Pay-setting Method</b:Title>
    <b:InternetSiteTitle>Reserve Bank of Australia</b:InternetSiteTitle>
    <b:Year>2019</b:Year>
    <b:Month>06</b:Month>
    <b:Day>20</b:Day>
    <b:URL>https://www.rba.gov.au/publications/bulletin/2019/jun/wages-growth-by-pay-setting-method.html</b:URL>
    <b:Author>
      <b:Author>
        <b:NameList>
          <b:Person>
            <b:Last>Bishop</b:Last>
            <b:First>J</b:First>
          </b:Person>
          <b:Person>
            <b:Last>Cassidy</b:Last>
            <b:First>N</b:First>
          </b:Person>
        </b:NameList>
      </b:Author>
    </b:Author>
    <b:YearAccessed>2020</b:YearAccessed>
    <b:MonthAccessed>March</b:MonthAccessed>
    <b:DayAccessed>16</b:DayAccessed>
    <b:RefOrder>476</b:RefOrder>
  </b:Source>
  <b:Source>
    <b:Tag>Bis191</b:Tag>
    <b:SourceType>DocumentFromInternetSite</b:SourceType>
    <b:Guid>{E34D573C-29E2-4550-B5C7-E94B0C8B5621}</b:Guid>
    <b:Title>Is Declining Union Membership Contributing to Low Wages Growth?</b:Title>
    <b:Year>2019</b:Year>
    <b:JournalName>Reserve Bank of Australia Research Discussion Paper</b:JournalName>
    <b:Pages>1-46</b:Pages>
    <b:Author>
      <b:Author>
        <b:NameList>
          <b:Person>
            <b:Last>Bishop</b:Last>
            <b:First>J</b:First>
          </b:Person>
          <b:Person>
            <b:Last>Chan</b:Last>
            <b:First>I</b:First>
          </b:Person>
        </b:NameList>
      </b:Author>
    </b:Author>
    <b:Publisher>Reserve Bank of Austalia</b:Publisher>
    <b:City>Research Discussion Paper 2019-02, Sydney</b:City>
    <b:YearAccessed>2020</b:YearAccessed>
    <b:MonthAccessed>March</b:MonthAccessed>
    <b:DayAccessed>16</b:DayAccessed>
    <b:URL>https://www.rba.gov.au/publications/rdp/2019/pdf/rdp2019-02.pdf</b:URL>
    <b:RefOrder>487</b:RefOrder>
  </b:Source>
  <b:Source>
    <b:Tag>PC00</b:Tag>
    <b:SourceType>Report</b:SourceType>
    <b:Guid>{A4E7E3DF-7707-4C5E-851A-8D2B1BE910E9}</b:Guid>
    <b:Author>
      <b:Author>
        <b:NameList>
          <b:Person>
            <b:Last>Bickerdyke</b:Last>
            <b:First>I</b:First>
          </b:Person>
          <b:Person>
            <b:Last>Lattimore</b:Last>
            <b:First>R</b:First>
          </b:Person>
          <b:Person>
            <b:Last>Madge</b:Last>
            <b:First>A</b:First>
          </b:Person>
        </b:NameList>
      </b:Author>
    </b:Author>
    <b:Title>Business failure and change: An Australian perspective</b:Title>
    <b:Year>2000</b:Year>
    <b:Publisher>Productivity Commission</b:Publisher>
    <b:City>Productivity Commission Staff Research Paper, Canberra</b:City>
    <b:RefOrder>527</b:RefOrder>
  </b:Source>
  <b:Source>
    <b:Tag>Joh17</b:Tag>
    <b:SourceType>JournalArticle</b:SourceType>
    <b:Guid>{5B711473-AD7D-4999-B77E-7F4E59480AA0}</b:Guid>
    <b:Author>
      <b:Author>
        <b:NameList>
          <b:Person>
            <b:Last>Beshears</b:Last>
            <b:First>John</b:First>
          </b:Person>
          <b:Person>
            <b:Last>Choi</b:Last>
            <b:First>James</b:First>
          </b:Person>
          <b:Person>
            <b:Last>Laibson</b:Last>
            <b:First>David</b:First>
          </b:Person>
          <b:Person>
            <b:Last>Madrian</b:Last>
            <b:First>Brigitte</b:First>
          </b:Person>
        </b:NameList>
      </b:Author>
    </b:Author>
    <b:Title>Does front-loading taxation increase savings? Evidence from Roth 401(k) introductions</b:Title>
    <b:JournalName>Journal of Public Economics</b:JournalName>
    <b:Year>2017</b:Year>
    <b:Pages>84-95</b:Pages>
    <b:Volume>151</b:Volume>
    <b:RefOrder>374</b:RefOrder>
  </b:Source>
  <b:Source>
    <b:Tag>Joh18</b:Tag>
    <b:SourceType>BookSection</b:SourceType>
    <b:Guid>{24283929-FC9F-475F-B9D6-8B587ABD48FA}</b:Guid>
    <b:Author>
      <b:Author>
        <b:NameList>
          <b:Person>
            <b:Last>Beshears</b:Last>
            <b:First>J</b:First>
          </b:Person>
          <b:Person>
            <b:Last>Choi</b:Last>
            <b:First>J.J</b:First>
          </b:Person>
          <b:Person>
            <b:Last>Laibson</b:Last>
            <b:First>D</b:First>
          </b:Person>
          <b:Person>
            <b:Last>Madrian</b:Last>
            <b:First>B.C</b:First>
          </b:Person>
        </b:NameList>
      </b:Author>
      <b:Editor>
        <b:NameList>
          <b:Person>
            <b:Last>Bernheim</b:Last>
            <b:First>B.D</b:First>
          </b:Person>
          <b:Person>
            <b:Last>DellaVigna</b:Last>
            <b:First>S</b:First>
          </b:Person>
          <b:Person>
            <b:Last>Laibson</b:Last>
            <b:First>D</b:First>
          </b:Person>
        </b:NameList>
      </b:Editor>
    </b:Author>
    <b:Title>Chapter 3 - Behavioral Household Finance</b:Title>
    <b:Year>2018</b:Year>
    <b:Pages>177-276</b:Pages>
    <b:BookTitle>Handbook of Behavioural Economics - Foundations and Applications 1, Volume 1</b:BookTitle>
    <b:Publisher>Elsevier</b:Publisher>
    <b:RefOrder>443</b:RefOrder>
  </b:Source>
  <b:Source>
    <b:Tag>Dan03</b:Tag>
    <b:SourceType>JournalArticle</b:SourceType>
    <b:Guid>{096E9D42-D1BA-44B7-ADC5-96FDBF97EDC6}</b:Guid>
    <b:Title>Does 401(k) eligibility increase saving? Evidence from propensity score subclassification</b:Title>
    <b:Year>2003</b:Year>
    <b:Author>
      <b:Author>
        <b:NameList>
          <b:Person>
            <b:Last>Benjamin</b:Last>
            <b:First>Daniel</b:First>
          </b:Person>
        </b:NameList>
      </b:Author>
    </b:Author>
    <b:JournalName>Journal of Public Economics</b:JournalName>
    <b:Pages>1259-1290</b:Pages>
    <b:Volume>87</b:Volume>
    <b:RefOrder>373</b:RefOrder>
  </b:Source>
  <b:Source>
    <b:Tag>Ben07</b:Tag>
    <b:SourceType>JournalArticle</b:SourceType>
    <b:Guid>{B4292F7D-5428-4A09-A98B-8B9A6365F5B6}</b:Guid>
    <b:Title>Heuristics and biases in retirement savings behavior</b:Title>
    <b:JournalName>Journal of Economic perspectives</b:JournalName>
    <b:Year>2007</b:Year>
    <b:Pages>81-104</b:Pages>
    <b:Author>
      <b:Author>
        <b:NameList>
          <b:Person>
            <b:Last>Benartzi</b:Last>
            <b:First>S</b:First>
          </b:Person>
          <b:Person>
            <b:Last>Thaler</b:Last>
            <b:First>R</b:First>
          </b:Person>
        </b:NameList>
      </b:Author>
    </b:Author>
    <b:Volume>21</b:Volume>
    <b:Issue>3</b:Issue>
    <b:RefOrder>431</b:RefOrder>
  </b:Source>
  <b:Source>
    <b:Tag>RBA07</b:Tag>
    <b:SourceType>Report</b:SourceType>
    <b:Guid>{A2F4119D-B724-4B3B-930D-6F1CA92DD1F0}</b:Guid>
    <b:Author>
      <b:Author>
        <b:NameList>
          <b:Person>
            <b:Last>Belkar</b:Last>
            <b:First>R</b:First>
          </b:Person>
          <b:Person>
            <b:Last>Cockerell</b:Last>
            <b:First>L</b:First>
          </b:Person>
          <b:Person>
            <b:Last>Edwards</b:Last>
            <b:First>R</b:First>
          </b:Person>
        </b:NameList>
      </b:Author>
    </b:Author>
    <b:Title>Labour Force Participation and Household Debt</b:Title>
    <b:Year>2007</b:Year>
    <b:Publisher>Reserve Bank of Australia</b:Publisher>
    <b:City>Research Discussion Paper 2007-05, Sydney</b:City>
    <b:RefOrder>97</b:RefOrder>
  </b:Source>
  <b:Source>
    <b:Tag>Bee15</b:Tag>
    <b:SourceType>JournalArticle</b:SourceType>
    <b:Guid>{F56CEF63-100C-4705-9AC9-3A64D137C972}</b:Guid>
    <b:Title>Home production as a substitute to market consumption? Estimating the elasticity using houseprice shocks from the Great Recession</b:Title>
    <b:Year>2015</b:Year>
    <b:Author>
      <b:Author>
        <b:NameList>
          <b:Person>
            <b:Last>Been</b:Last>
            <b:First>Jim</b:First>
          </b:Person>
          <b:Person>
            <b:Last>Rohwedder</b:Last>
            <b:First>Susann</b:First>
          </b:Person>
          <b:Person>
            <b:Last>Hurd</b:Last>
            <b:First>Michael</b:First>
          </b:Person>
        </b:NameList>
      </b:Author>
    </b:Author>
    <b:JournalName>Netspar Discussion Paper No. 10/2015-081</b:JournalName>
    <b:RefOrder>496</b:RefOrder>
  </b:Source>
  <b:Source>
    <b:Tag>Bax05</b:Tag>
    <b:SourceType>JournalArticle</b:SourceType>
    <b:Guid>{1927C020-4AF6-40FC-A53A-EBEB7D06154E}</b:Guid>
    <b:Title>Why is the rate of home ownership falling in Austalia?</b:Title>
    <b:Year>2005</b:Year>
    <b:Author>
      <b:Author>
        <b:NameList>
          <b:Person>
            <b:Last>Baxter</b:Last>
            <b:First>Jennifer</b:First>
          </b:Person>
          <b:Person>
            <b:Last>McDonald</b:Last>
            <b:First>Peter</b:First>
          </b:Person>
        </b:NameList>
      </b:Author>
    </b:Author>
    <b:JournalName>AHURI Research &amp; Policy Bulletin</b:JournalName>
    <b:Issue>52</b:Issue>
    <b:RefOrder>101</b:RefOrder>
  </b:Source>
  <b:Source>
    <b:Tag>Bat13</b:Tag>
    <b:SourceType>JournalArticle</b:SourceType>
    <b:Guid>{7F0BD420-F509-4FC8-B1CB-DEFBBA9FE776}</b:Guid>
    <b:Title>Default and naive diversification heuristics in annuity choice</b:Title>
    <b:Year>2017</b:Year>
    <b:Author>
      <b:Author>
        <b:NameList>
          <b:Person>
            <b:Last>Bateman</b:Last>
            <b:First>Hazel</b:First>
          </b:Person>
          <b:Person>
            <b:Last>Eckert</b:Last>
            <b:First>Christine</b:First>
          </b:Person>
          <b:Person>
            <b:Last>Ishkakov</b:Last>
            <b:First>Fedor</b:First>
          </b:Person>
          <b:Person>
            <b:Last>Louvieve</b:Last>
            <b:First>Jordan</b:First>
          </b:Person>
          <b:Person>
            <b:Last>Satchell</b:Last>
            <b:First>Stephen</b:First>
          </b:Person>
          <b:Person>
            <b:Last>Thorp</b:Last>
            <b:First>Susan</b:First>
          </b:Person>
        </b:NameList>
      </b:Author>
    </b:Author>
    <b:JournalName>Australian Journal of Management</b:JournalName>
    <b:Pages>32-57</b:Pages>
    <b:Volume>42</b:Volume>
    <b:Issue>1</b:Issue>
    <b:RefOrder>433</b:RefOrder>
  </b:Source>
  <b:Source>
    <b:Tag>HBa09</b:Tag>
    <b:SourceType>Report</b:SourceType>
    <b:Guid>{74D5597A-E117-43BE-A1EC-938986635F05}</b:Guid>
    <b:Author>
      <b:Author>
        <b:NameList>
          <b:Person>
            <b:Last>Bateman</b:Last>
            <b:First>H</b:First>
          </b:Person>
        </b:NameList>
      </b:Author>
    </b:Author>
    <b:Title>Retirement incomes in Australia in the wake of the global financial crisis</b:Title>
    <b:Year>2009</b:Year>
    <b:Publisher>UNSW Sydney</b:Publisher>
    <b:City>Discussion Paper 03/10, Sydney</b:City>
    <b:RefOrder>161</b:RefOrder>
  </b:Source>
  <b:Source>
    <b:Tag>Gar12</b:Tag>
    <b:SourceType>JournalArticle</b:SourceType>
    <b:Guid>{38C9AE99-D93E-4399-AB51-3B64FB15767E}</b:Guid>
    <b:Author>
      <b:Author>
        <b:NameList>
          <b:Person>
            <b:Last>Barrett</b:Last>
            <b:First>Garry</b:First>
            <b:Middle>F.</b:Middle>
          </b:Person>
          <b:Person>
            <b:Last>Brzozowski</b:Last>
            <b:First>M.</b:First>
          </b:Person>
        </b:NameList>
      </b:Author>
    </b:Author>
    <b:Title>Food Expenditure and Involuntary Retirement: Resolving the Retirement-Consumption Puzzle</b:Title>
    <b:JournalName>American Journal of Agricultural Economics</b:JournalName>
    <b:Year>2012</b:Year>
    <b:Pages>945-955</b:Pages>
    <b:RefOrder>258</b:RefOrder>
  </b:Source>
  <b:Source>
    <b:Tag>Gar13</b:Tag>
    <b:SourceType>JournalArticle</b:SourceType>
    <b:Guid>{D0F7836A-B2B5-4D4B-A2A2-324F02B77C8E}</b:Guid>
    <b:Title>Changes in subjective well-being with retirement: assessing savings adequacy</b:Title>
    <b:Year>2013</b:Year>
    <b:Author>
      <b:Author>
        <b:NameList>
          <b:Person>
            <b:Last>Barrett</b:Last>
            <b:First>Garry</b:First>
            <b:Middle>F.</b:Middle>
          </b:Person>
          <b:Person>
            <b:Last>Kecmanovic</b:Last>
            <b:First>Milica</b:First>
          </b:Person>
        </b:NameList>
      </b:Author>
    </b:Author>
    <b:JournalName>Applied Economics</b:JournalName>
    <b:Pages>4883-4893</b:Pages>
    <b:Volume>45</b:Volume>
    <b:Issue>35</b:Issue>
    <b:RefOrder>259</b:RefOrder>
  </b:Source>
  <b:Source>
    <b:Tag>Ban15f</b:Tag>
    <b:SourceType>JournalArticle</b:SourceType>
    <b:Guid>{F870B940-1ADB-4600-A0C3-B1089E753628}</b:Guid>
    <b:Title>Change in Household Spending After Retirement: Results from a Longitudinal Sample</b:Title>
    <b:Year>2015</b:Year>
    <b:Publisher>Employee Benefit Research Institute</b:Publisher>
    <b:Author>
      <b:Author>
        <b:NameList>
          <b:Person>
            <b:Last>Banerjee</b:Last>
            <b:First>S</b:First>
          </b:Person>
        </b:NameList>
      </b:Author>
    </b:Author>
    <b:ThesisType>Issue brief 420</b:ThesisType>
    <b:Volume>420</b:Volume>
    <b:JournalName>EBRI</b:JournalName>
    <b:Pages>1-19</b:Pages>
    <b:RefOrder>435</b:RefOrder>
  </b:Source>
  <b:Source>
    <b:Tag>Ban18</b:Tag>
    <b:SourceType>JournalArticle</b:SourceType>
    <b:Guid>{D9141908-BD76-42F3-9A0D-7C99FEFA7698}</b:Guid>
    <b:Title>Asset Decumulation or Asset Preservation? What Guides Retirement Spending?</b:Title>
    <b:Year>2018</b:Year>
    <b:Publisher>EBRI</b:Publisher>
    <b:Author>
      <b:Author>
        <b:NameList>
          <b:Person>
            <b:Last>Banerjee</b:Last>
            <b:First>S</b:First>
          </b:Person>
        </b:NameList>
      </b:Author>
    </b:Author>
    <b:JournalName>EBRI Issue Brief 447</b:JournalName>
    <b:Volume>447</b:Volume>
    <b:RefOrder>428</b:RefOrder>
  </b:Source>
  <b:Source>
    <b:Tag>Bal18</b:Tag>
    <b:SourceType>Report</b:SourceType>
    <b:Guid>{F24EB9E1-6791-48A3-962D-52CDE6BEF74C}</b:Guid>
    <b:Title>Slow and Steady: Drawdown Behaviours in Phased Withdrawal Retirement Income Products</b:Title>
    <b:Year>2018</b:Year>
    <b:Publisher>Business School, UNSW Sydney</b:Publisher>
    <b:City>Sydney</b:City>
    <b:Author>
      <b:Author>
        <b:NameList>
          <b:Person>
            <b:Last>Balnozan</b:Last>
            <b:First>Igor</b:First>
          </b:Person>
        </b:NameList>
      </b:Author>
    </b:Author>
    <b:RefOrder>214</b:RefOrder>
  </b:Source>
  <b:Source>
    <b:Tag>Ayu19a</b:Tag>
    <b:SourceType>JournalArticle</b:SourceType>
    <b:Guid>{533DEEA0-35FA-45DD-BB52-1076F3BD738A}</b:Guid>
    <b:Author>
      <b:Author>
        <b:NameList>
          <b:Person>
            <b:Last>Ayuso</b:Last>
            <b:First>Juan</b:First>
          </b:Person>
          <b:Person>
            <b:Last>Jimeno</b:Last>
            <b:First>Juan</b:First>
          </b:Person>
          <b:Person>
            <b:Last>Villanueva</b:Last>
            <b:First>Ernesto</b:First>
          </b:Person>
        </b:NameList>
      </b:Author>
    </b:Author>
    <b:Title>The Effects of the Introduction of Tax Incentives on Retirement Savings</b:Title>
    <b:Year>2019</b:Year>
    <b:JournalName>Journal of the Spainish Economic Association</b:JournalName>
    <b:Pages>211-249</b:Pages>
    <b:Volume>10</b:Volume>
    <b:Issue>3</b:Issue>
    <b:RefOrder>383</b:RefOrder>
  </b:Source>
  <b:Source>
    <b:Tag>Aus182</b:Tag>
    <b:SourceType>JournalArticle</b:SourceType>
    <b:Guid>{F9B5017F-019A-4FA2-A676-E6BC2C11165B}</b:Guid>
    <b:Title>Gender gaps in long-term earnings and retirement wealth: The effects of education and parenthood</b:Title>
    <b:Year>2018</b:Year>
    <b:Author>
      <b:Author>
        <b:NameList>
          <b:Person>
            <b:Last>Austen</b:Last>
            <b:First>Siobhan</b:First>
          </b:Person>
          <b:Person>
            <b:Last>Mavisakalyan</b:Last>
            <b:First>Astghik</b:First>
          </b:Person>
        </b:NameList>
      </b:Author>
    </b:Author>
    <b:JournalName>Journal of Industrial Relations</b:JournalName>
    <b:Pages>492-516</b:Pages>
    <b:Volume>60</b:Volume>
    <b:Issue>4</b:Issue>
    <b:RefOrder>191</b:RefOrder>
  </b:Source>
  <b:Source>
    <b:Tag>Aue06</b:Tag>
    <b:SourceType>JournalArticle</b:SourceType>
    <b:Guid>{7E4AFFDE-A86A-44AB-BFF5-29D9CCEDE413}</b:Guid>
    <b:Title>The Future of Capital Income Taxation</b:Title>
    <b:JournalName>Fiscal Studies</b:JournalName>
    <b:Year>2006</b:Year>
    <b:Pages>399-420</b:Pages>
    <b:Author>
      <b:Author>
        <b:NameList>
          <b:Person>
            <b:Last>Auerbach</b:Last>
            <b:First>A</b:First>
          </b:Person>
        </b:NameList>
      </b:Author>
    </b:Author>
    <b:Volume>27</b:Volume>
    <b:RefOrder>364</b:RefOrder>
  </b:Source>
  <b:Source>
    <b:Tag>Att05</b:Tag>
    <b:SourceType>JournalArticle</b:SourceType>
    <b:Guid>{D8978DDF-9106-4D56-9110-A612CCF3ED79}</b:Guid>
    <b:Author>
      <b:Author>
        <b:NameList>
          <b:Person>
            <b:Last>Attanasio</b:Last>
            <b:First>Orazio</b:First>
          </b:Person>
          <b:Person>
            <b:Last>Bank</b:Last>
            <b:First>James</b:First>
          </b:Person>
          <b:Person>
            <b:Last>Wakefield</b:Last>
            <b:First>Matthew</b:First>
          </b:Person>
        </b:NameList>
      </b:Author>
    </b:Author>
    <b:Title>Effectiveness of Tax Incentives to Boost Retirement Savings: Theoretical Motivation and Empirical Evidence</b:Title>
    <b:JournalName>OECD Economic Studies</b:JournalName>
    <b:Year>2005</b:Year>
    <b:Publisher>Institute of Fiscal Studies</b:Publisher>
    <b:City>IFS Working Papers, No. 04/33, London</b:City>
    <b:Volume>39</b:Volume>
    <b:RefOrder>382</b:RefOrder>
  </b:Source>
  <b:Source>
    <b:Tag>Atk76</b:Tag>
    <b:SourceType>JournalArticle</b:SourceType>
    <b:Guid>{267DEA45-F94B-4D4A-9919-84A40902099C}</b:Guid>
    <b:Author>
      <b:Author>
        <b:NameList>
          <b:Person>
            <b:Last>Atkinson</b:Last>
            <b:Middle>B</b:Middle>
            <b:First>A</b:First>
          </b:Person>
          <b:Person>
            <b:Last>Stiglitz</b:Last>
            <b:Middle>E</b:Middle>
            <b:First>J</b:First>
          </b:Person>
        </b:NameList>
      </b:Author>
    </b:Author>
    <b:Title>The Design of Tax Structure: Direct Verses Indirect Taxation</b:Title>
    <b:JournalName>Journal of Public Economics</b:JournalName>
    <b:Year>1976</b:Year>
    <b:Pages>55-75</b:Pages>
    <b:Volume>6</b:Volume>
    <b:RefOrder>360</b:RefOrder>
  </b:Source>
  <b:Source>
    <b:Tag>Kad15</b:Tag>
    <b:SourceType>JournalArticle</b:SourceType>
    <b:Guid>{10338FA6-4FD4-44C9-ACF3-2A38B4A50CBA}</b:Guid>
    <b:Title>The Impact of Age Pension Eligibility Age on Retirement and Program Dependence: Evidence from an Australian Experiment</b:Title>
    <b:Year>2012</b:Year>
    <b:Author>
      <b:Author>
        <b:NameList>
          <b:Person>
            <b:Last>Atalay</b:Last>
            <b:First>Kadir</b:First>
          </b:Person>
          <b:Person>
            <b:Last>Barrett</b:Last>
            <b:First>Garry.</b:First>
          </b:Person>
        </b:NameList>
      </b:Author>
    </b:Author>
    <b:JournalName>Review of Economics and Statistics</b:JournalName>
    <b:Pages>71-87</b:Pages>
    <b:Volume>97</b:Volume>
    <b:Issue>1</b:Issue>
    <b:RefOrder>255</b:RefOrder>
  </b:Source>
  <b:Source>
    <b:Tag>Ash17</b:Tag>
    <b:SourceType>JournalArticle</b:SourceType>
    <b:Guid>{BB6FAE47-BF7C-46DE-B6BB-F766775F28AF}</b:Guid>
    <b:Title>Age Pensioner Decumulation: Responses to Incentives, Uncertainty and Family Need</b:Title>
    <b:JournalName>Australian Journal of Management</b:JournalName>
    <b:Year>2017</b:Year>
    <b:Pages>583-607</b:Pages>
    <b:Author>
      <b:Author>
        <b:NameList>
          <b:Person>
            <b:Last>Asher</b:Last>
            <b:First>A</b:First>
          </b:Person>
          <b:Person>
            <b:Last>Meyricke</b:Last>
            <b:First>R</b:First>
          </b:Person>
          <b:Person>
            <b:Last>Thorp</b:Last>
            <b:First>S</b:First>
          </b:Person>
          <b:Person>
            <b:Last>Wu</b:Last>
            <b:First>S</b:First>
          </b:Person>
        </b:NameList>
      </b:Author>
    </b:Author>
    <b:Volume>42</b:Volume>
    <b:Issue>4</b:Issue>
    <b:RefOrder>406</b:RefOrder>
  </b:Source>
  <b:Source>
    <b:Tag>Ant09</b:Tag>
    <b:SourceType>JournalArticle</b:SourceType>
    <b:Guid>{22EE49E9-D1EB-418C-AF65-535001C4A09D}</b:Guid>
    <b:Author>
      <b:Author>
        <b:NameList>
          <b:Person>
            <b:Last>Antolin</b:Last>
            <b:First>P</b:First>
          </b:Person>
        </b:NameList>
      </b:Author>
    </b:Author>
    <b:Title>Private Pensions and the Financial Crisis: How to Ensure Adequate Retirement Income from DC Pension Plans</b:Title>
    <b:Year>2009</b:Year>
    <b:Publisher>Financial</b:Publisher>
    <b:JournalName>OECD Journal: Financial Market Trends</b:JournalName>
    <b:Issue>2</b:Issue>
    <b:RefOrder>497</b:RefOrder>
  </b:Source>
  <b:Source>
    <b:Tag>And19d</b:Tag>
    <b:SourceType>Report</b:SourceType>
    <b:Guid>{6A6E578A-F3D4-44AF-901D-1E19C8FEA950}</b:Guid>
    <b:Title>Wage Growth in Australia: Lessons from Longitudinal Microdata</b:Title>
    <b:Year>2019</b:Year>
    <b:Author>
      <b:Author>
        <b:NameList>
          <b:Person>
            <b:Last>Andrews</b:Last>
            <b:First>D</b:First>
          </b:Person>
          <b:Person>
            <b:Last>Deutscher</b:Last>
            <b:First>N</b:First>
          </b:Person>
          <b:Person>
            <b:Last>Hambur</b:Last>
            <b:First>J</b:First>
          </b:Person>
          <b:Person>
            <b:Last>Hansell</b:Last>
            <b:First>D</b:First>
          </b:Person>
        </b:NameList>
      </b:Author>
    </b:Author>
    <b:Publisher>Department of the Treasury, Commonwealth of Australia</b:Publisher>
    <b:City>Canberra</b:City>
    <b:RefOrder>83</b:RefOrder>
  </b:Source>
  <b:Source>
    <b:Tag>Alo20</b:Tag>
    <b:SourceType>Report</b:SourceType>
    <b:Guid>{7BB6C6DA-CA20-48CA-A4F8-3A3F0400A35C}</b:Guid>
    <b:Title>Saving Preferences After Retirement</b:Title>
    <b:Year>Forthcoming</b:Year>
    <b:Author>
      <b:Author>
        <b:NameList>
          <b:Person>
            <b:Last>Alonso-Garcia</b:Last>
            <b:First>Jennifer</b:First>
          </b:Person>
          <b:Person>
            <b:Last>Bateman</b:Last>
            <b:First>Hazel</b:First>
          </b:Person>
          <b:Person>
            <b:Last>Bonekamp</b:Last>
            <b:First>Johan</b:First>
          </b:Person>
          <b:Person>
            <b:Last>van Soest</b:Last>
            <b:First>Arthur</b:First>
          </b:Person>
          <b:Person>
            <b:Last>Stephens</b:Last>
            <b:First>Ralph</b:First>
          </b:Person>
        </b:NameList>
      </b:Author>
    </b:Author>
    <b:RefOrder>416</b:RefOrder>
  </b:Source>
  <b:Source>
    <b:Tag>Alo17</b:Tag>
    <b:SourceType>Report</b:SourceType>
    <b:Guid>{D154AAD3-FF0B-40C2-952D-2A3474145E1D}</b:Guid>
    <b:Title>Retirement drawdown defaults: the role of implied endorsement</b:Title>
    <b:Year>2017</b:Year>
    <b:Author>
      <b:Author>
        <b:NameList>
          <b:Person>
            <b:Last>Alonso-Garcia</b:Last>
            <b:First>J</b:First>
          </b:Person>
          <b:Person>
            <b:Last>Bateman</b:Last>
            <b:First>H</b:First>
          </b:Person>
          <b:Person>
            <b:Last>Bonekamp</b:Last>
            <b:First>J</b:First>
          </b:Person>
          <b:Person>
            <b:Last>Stevens</b:Last>
            <b:First>R</b:First>
          </b:Person>
        </b:NameList>
      </b:Author>
    </b:Author>
    <b:JournalName>mimeo</b:JournalName>
    <b:Publisher>Working Paper 2017/20, ARC Centre of Excellence in Population Ageing</b:Publisher>
    <b:RefOrder>434</b:RefOrder>
  </b:Source>
  <b:Source>
    <b:Tag>All19</b:Tag>
    <b:SourceType>DocumentFromInternetSite</b:SourceType>
    <b:Guid>{146A8085-9671-43C2-B45F-5AB52E72F5A5}</b:Guid>
    <b:Title>How the UK Saves: Effects of Gender on retirement savings behaviour</b:Title>
    <b:Year>2019</b:Year>
    <b:Author>
      <b:Author>
        <b:NameList>
          <b:Person>
            <b:Last>Allport</b:Last>
            <b:First>Will</b:First>
          </b:Person>
          <b:Person>
            <b:Last>Pagilaro</b:Last>
            <b:First>Cynthia</b:First>
          </b:Person>
          <b:Person>
            <b:Last>Sandbrook</b:Last>
            <b:First>Will</b:First>
          </b:Person>
          <b:Person>
            <b:Last>Blakstad</b:Last>
            <b:First>Matthew</b:First>
          </b:Person>
        </b:NameList>
      </b:Author>
    </b:Author>
    <b:Month>September</b:Month>
    <b:YearAccessed>2020</b:YearAccessed>
    <b:MonthAccessed>February</b:MonthAccessed>
    <b:DayAccessed>21</b:DayAccessed>
    <b:URL>https://www.nestinsight.org.uk/wp-content/uploads/2019/11/How-the-UK-Saves-effects-of-gender-on-retirement-savings-behaviour.pdf</b:URL>
    <b:RefOrder>204</b:RefOrder>
  </b:Source>
  <b:Source>
    <b:Tag>Agu05</b:Tag>
    <b:SourceType>JournalArticle</b:SourceType>
    <b:Guid>{152C4EFA-7E2E-4F97-B661-53122853353E}</b:Guid>
    <b:Author>
      <b:Author>
        <b:NameList>
          <b:Person>
            <b:Last>Aguiar</b:Last>
            <b:First>Mark</b:First>
          </b:Person>
          <b:Person>
            <b:Last>Hurst</b:Last>
            <b:First>Eric</b:First>
          </b:Person>
        </b:NameList>
      </b:Author>
    </b:Author>
    <b:Title>Consumption versus Expenditure</b:Title>
    <b:JournalName>Journal of Political Economy</b:JournalName>
    <b:Year>2005</b:Year>
    <b:Pages>919-948</b:Pages>
    <b:Volume>113</b:Volume>
    <b:Issue>5</b:Issue>
    <b:RefOrder>490</b:RefOrder>
  </b:Source>
  <b:Source>
    <b:Tag>Agn</b:Tag>
    <b:SourceType>JournalArticle</b:SourceType>
    <b:Guid>{0EC34010-E8DF-4774-870F-E150F5CE539D}</b:Guid>
    <b:Title>Australia's Retirement System: Strengths, Weaknesses, and Reforms</b:Title>
    <b:Author>
      <b:Author>
        <b:NameList>
          <b:Person>
            <b:Last>Agnew</b:Last>
            <b:First>J</b:First>
          </b:Person>
        </b:NameList>
      </b:Author>
    </b:Author>
    <b:Issue>13-5</b:Issue>
    <b:JournalName>Centre for Retirement Research</b:JournalName>
    <b:Year>2013</b:Year>
    <b:RefOrder>396</b:RefOrder>
  </b:Source>
  <b:Source>
    <b:Tag>Adk19</b:Tag>
    <b:SourceType>JournalArticle</b:SourceType>
    <b:Guid>{EC4731FF-9937-4329-A2A3-ED14356E2894}</b:Guid>
    <b:Author>
      <b:Author>
        <b:NameList>
          <b:Person>
            <b:Last>Adkins</b:Last>
            <b:First>L</b:First>
          </b:Person>
          <b:Person>
            <b:Last>Cooper</b:Last>
            <b:First>M</b:First>
          </b:Person>
          <b:Person>
            <b:Last>Konings</b:Last>
            <b:First>M</b:First>
          </b:Person>
        </b:NameList>
      </b:Author>
    </b:Author>
    <b:Title>Class in the 21st Century: Asset inflation and the new logic of inequality</b:Title>
    <b:JournalName>Environment and planning A: economy and space</b:JournalName>
    <b:Year>2019</b:Year>
    <b:RefOrder>402</b:RefOrder>
  </b:Source>
  <b:Source>
    <b:Tag>ABS195f</b:Tag>
    <b:SourceType>DocumentFromInternetSite</b:SourceType>
    <b:Guid>{2C05E732-364C-45A2-9E5F-7DCCCC5303F6}</b:Guid>
    <b:Author>
      <b:Author>
        <b:NameList>
          <b:Person>
            <b:Last>ABS</b:Last>
          </b:Person>
        </b:NameList>
      </b:Author>
    </b:Author>
    <b:Title>Migration, Australia, 2018-19, cat. no. 3412.0</b:Title>
    <b:Year>2020m</b:Year>
    <b:Month>4</b:Month>
    <b:Day>28</b:Day>
    <b:URL>https://www.abs.gov.au/AUSSTATS/abs@.nsf/Latestproducts/3412.0Main%20Features52018-19?opendocument&amp;tabname=Summary&amp;prodno=3412.0&amp;issue=2018-19&amp;num=&amp;view=</b:URL>
    <b:YearAccessed>2020</b:YearAccessed>
    <b:MonthAccessed>May</b:MonthAccessed>
    <b:DayAccessed>8</b:DayAccessed>
    <b:RefOrder>74</b:RefOrder>
  </b:Source>
  <b:Source>
    <b:Tag>ABS20v</b:Tag>
    <b:SourceType>DocumentFromInternetSite</b:SourceType>
    <b:Guid>{307B79DA-6872-438C-B417-ECC1C811DD87}</b:Guid>
    <b:Author>
      <b:Author>
        <b:NameList>
          <b:Person>
            <b:Last>ABS</b:Last>
          </b:Person>
        </b:NameList>
      </b:Author>
    </b:Author>
    <b:Title>Labour Force, Australia, Apr 2020, cat. no. 6202.0</b:Title>
    <b:Year>2020i</b:Year>
    <b:Month>5</b:Month>
    <b:Day>14</b:Day>
    <b:URL>https://www.abs.gov.au/AUSSTATS/abs@.nsf/DetailsPage/6202.0Apr%202020?OpenDocument</b:URL>
    <b:YearAccessed>2020</b:YearAccessed>
    <b:MonthAccessed>May</b:MonthAccessed>
    <b:DayAccessed>14</b:DayAccessed>
    <b:RefOrder>156</b:RefOrder>
  </b:Source>
  <b:Source>
    <b:Tag>ABS07</b:Tag>
    <b:SourceType>DocumentFromInternetSite</b:SourceType>
    <b:Guid>{2D635CFB-9687-4A3A-976D-720E9D21076D}</b:Guid>
    <b:Title>Housing occupancy and costs, 2005-06, cat. no. 4130.0.55.001</b:Title>
    <b:Year>2007</b:Year>
    <b:Author>
      <b:Author>
        <b:NameList>
          <b:Person>
            <b:Last>ABS</b:Last>
          </b:Person>
        </b:NameList>
      </b:Author>
    </b:Author>
    <b:InternetSiteTitle>ABS</b:InternetSiteTitle>
    <b:Month>11</b:Month>
    <b:Day>31</b:Day>
    <b:URL>https://www.abs.gov.au/AUSSTATS/abs@.nsf/DetailsPage/4130.0.55.0012005-06?OpenDocument</b:URL>
    <b:YearAccessed>2020</b:YearAccessed>
    <b:MonthAccessed>April</b:MonthAccessed>
    <b:DayAccessed>24</b:DayAccessed>
    <b:RefOrder>98</b:RefOrder>
  </b:Source>
  <b:Source>
    <b:Tag>ABS81</b:Tag>
    <b:SourceType>DocumentFromInternetSite</b:SourceType>
    <b:Guid>{B134FBD2-0CBB-4C47-9B04-27BE934A4235}</b:Guid>
    <b:Title>Census of Population and Housing, 1981, cat. no. 2103.0</b:Title>
    <b:Year>1983</b:Year>
    <b:Author>
      <b:Author>
        <b:NameList>
          <b:Person>
            <b:Last>ABS</b:Last>
          </b:Person>
        </b:NameList>
      </b:Author>
    </b:Author>
    <b:YearAccessed>2020</b:YearAccessed>
    <b:MonthAccessed>April</b:MonthAccessed>
    <b:DayAccessed>27</b:DayAccessed>
    <b:Month>October</b:Month>
    <b:Day>1</b:Day>
    <b:URL>https://www.abs.gov.au/AUSSTATS/abs@.nsf/Lookup/2103.0Main+Features11981?OpenDocument</b:URL>
    <b:RefOrder>100</b:RefOrder>
  </b:Source>
  <b:Source>
    <b:Tag>ABS208</b:Tag>
    <b:SourceType>DocumentFromInternetSite</b:SourceType>
    <b:Guid>{95481AC6-3D7F-450C-B71C-FA741ED9C640}</b:Guid>
    <b:Title>Births, 2018, cat. no. 3301.0</b:Title>
    <b:Year>2019e</b:Year>
    <b:Month>December</b:Month>
    <b:Day>11</b:Day>
    <b:URL>https://www.abs.gov.au/ausstats/abs@.nsf/PrimaryMainFeatures/3301.0?OpenDocument</b:URL>
    <b:Author>
      <b:Author>
        <b:NameList>
          <b:Person>
            <b:Last>ABS</b:Last>
          </b:Person>
        </b:NameList>
      </b:Author>
    </b:Author>
    <b:YearAccessed>2020</b:YearAccessed>
    <b:MonthAccessed>April</b:MonthAccessed>
    <b:DayAccessed>24</b:DayAccessed>
    <b:RefOrder>73</b:RefOrder>
  </b:Source>
  <b:Source>
    <b:Tag>ABS01</b:Tag>
    <b:SourceType>DocumentFromInternetSite</b:SourceType>
    <b:Guid>{7A9057F9-ED03-4763-9ED1-4DAE4D567A6B}</b:Guid>
    <b:Title>Year Book Australia, 2001, cat. no. 1301.0</b:Title>
    <b:Year>2001</b:Year>
    <b:Month>January</b:Month>
    <b:Author>
      <b:Author>
        <b:Corporate>ABS</b:Corporate>
      </b:Author>
    </b:Author>
    <b:InternetSiteTitle>1301.0 - Year Book Australia</b:InternetSiteTitle>
    <b:URL>https://www.abs.gov.au/AUSSTATS/abs@.nsf/allprimarymainfeatures/E31D22BD8EC6BC16CA2570B000368E96?opendocument</b:URL>
    <b:Day>25</b:Day>
    <b:YearAccessed>2020</b:YearAccessed>
    <b:MonthAccessed>March</b:MonthAccessed>
    <b:DayAccessed>17</b:DayAccessed>
    <b:RefOrder>292</b:RefOrder>
  </b:Source>
  <b:Source>
    <b:Tag>ABS98</b:Tag>
    <b:SourceType>DocumentFromInternetSite</b:SourceType>
    <b:Guid>{783BF0BF-B018-4F5E-B058-0BED882A2672}</b:Guid>
    <b:Author>
      <b:Author>
        <b:Corporate>ABS</b:Corporate>
      </b:Author>
    </b:Author>
    <b:Title>Year Book Australia, 1988, cat. no. 1310.0</b:Title>
    <b:Year>1998</b:Year>
    <b:Month>January</b:Month>
    <b:Day>1</b:Day>
    <b:YearAccessed>2020</b:YearAccessed>
    <b:MonthAccessed>May</b:MonthAccessed>
    <b:DayAccessed>20</b:DayAccessed>
    <b:URL>https://www.abs.gov.au/ausstats/abs@.nsf/94713ad445ff1425ca25682000192af2/8e72c4526a94aaedca2569de00296978!opendocument</b:URL>
    <b:RefOrder>528</b:RefOrder>
  </b:Source>
  <b:Source>
    <b:Tag>Fai12</b:Tag>
    <b:SourceType>Report</b:SourceType>
    <b:Guid>{8D456BD0-7C19-4EA8-9851-7393379404D5}</b:Guid>
    <b:Author>
      <b:Author>
        <b:Corporate>Fair Work Building and Construction</b:Corporate>
      </b:Author>
    </b:Author>
    <b:Title>Working arrangements in the building and construction industry: Further research resulting from the 2011 Sham Contracting Inquiry</b:Title>
    <b:Year>2012</b:Year>
    <b:City>Canberra</b:City>
    <b:Publisher>Commonwealth of Australia</b:Publisher>
    <b:RefOrder>241</b:RefOrder>
  </b:Source>
  <b:Source>
    <b:Tag>Ric19</b:Tag>
    <b:SourceType>DocumentFromInternetSite</b:SourceType>
    <b:Guid>{8110664C-5EF2-43FE-B764-C07C3B6A99C4}</b:Guid>
    <b:Title>What is the right level of superannuation guarantee?</b:Title>
    <b:Year>2019d</b:Year>
    <b:Author>
      <b:Author>
        <b:Corporate>Rice Warner</b:Corporate>
      </b:Author>
    </b:Author>
    <b:YearAccessed>2020</b:YearAccessed>
    <b:MonthAccessed>June</b:MonthAccessed>
    <b:DayAccessed>8</b:DayAccessed>
    <b:URL>https://www.ricewarner.com/wp-content/uploads/2019/06/Rpt-What-is-the-right-level-of-SG-Actuaries-Institute-June-2019.pdf</b:URL>
    <b:RefOrder>143</b:RefOrder>
  </b:Source>
  <b:Source>
    <b:Tag>WGE201</b:Tag>
    <b:SourceType>InternetSite</b:SourceType>
    <b:Guid>{A6E48CEF-5519-46B2-9D07-5387A56AB174}</b:Guid>
    <b:Title>WGEA Data Explorer</b:Title>
    <b:Year>2020</b:Year>
    <b:Author>
      <b:Author>
        <b:Corporate>Workplace Gender Equality Agency</b:Corporate>
      </b:Author>
    </b:Author>
    <b:InternetSiteTitle>WGEA</b:InternetSiteTitle>
    <b:URL>https://data.wgea.gov.au/industries/1#carers_content</b:URL>
    <b:YearAccessed>2020</b:YearAccessed>
    <b:MonthAccessed>March</b:MonthAccessed>
    <b:DayAccessed>2</b:DayAccessed>
    <b:RefOrder>208</b:RefOrder>
  </b:Source>
  <b:Source>
    <b:Tag>Pro19</b:Tag>
    <b:SourceType>Report</b:SourceType>
    <b:Guid>{64E01D31-791C-4E26-8348-4E0E4CF5078F}</b:Guid>
    <b:Author>
      <b:Author>
        <b:Corporate>Productivity Commission</b:Corporate>
      </b:Author>
    </b:Author>
    <b:Title>Vulnerable Private Renters: Evidence and Options</b:Title>
    <b:Year>2019b</b:Year>
    <b:Publisher>Productivity Commission</b:Publisher>
    <b:City>Commission Research Paper, Canberra</b:City>
    <b:RefOrder>117</b:RefOrder>
  </b:Source>
  <b:Source>
    <b:Tag>Ass09</b:Tag>
    <b:SourceType>Report</b:SourceType>
    <b:Guid>{838E0DF8-9937-4B1D-94B9-AA10CC38BBD2}</b:Guid>
    <b:Author>
      <b:Author>
        <b:Corporate>ASFA</b:Corporate>
      </b:Author>
    </b:Author>
    <b:Title>Updating and extending indicative budget standards for older Australians in 2009</b:Title>
    <b:Year>2009</b:Year>
    <b:Publisher>ASFA</b:Publisher>
    <b:URL>https://www.superannuation.asn.au/ArticleDocuments/269/ASFA-RetirementStandardMethodology-2009.pdf.aspx?Embed=Y</b:URL>
    <b:City>Sydney</b:City>
    <b:RefOrder>502</b:RefOrder>
  </b:Source>
  <b:Source>
    <b:Tag>Col10</b:Tag>
    <b:SourceType>Report</b:SourceType>
    <b:Guid>{BD7D4CAE-02FD-4B6D-AE12-49AB8399F6C4}</b:Guid>
    <b:Title>Understanding Superannuation Preliminary Report: Qualitative Investigation with Employers, Consumers and Industry</b:Title>
    <b:Year>2010</b:Year>
    <b:Author>
      <b:Author>
        <b:Corporate>Colmar Brunton Social Research</b:Corporate>
      </b:Author>
    </b:Author>
    <b:Publisher>Commonwealth of Australia</b:Publisher>
    <b:City>Prepared for Australian Taxation Office, Canberra</b:City>
    <b:RefOrder>319</b:RefOrder>
  </b:Source>
  <b:Source>
    <b:Tag>Dep131</b:Tag>
    <b:SourceType>DocumentFromInternetSite</b:SourceType>
    <b:Guid>{15C885B8-DBCA-4345-97E7-9F39942031F5}</b:Guid>
    <b:Author>
      <b:Author>
        <b:Corporate>Department of Health</b:Corporate>
      </b:Author>
    </b:Author>
    <b:Title>Trends in and drivers of Pharmaceutical Benefits Scheme expenditure</b:Title>
    <b:Year>2013</b:Year>
    <b:YearAccessed>2020</b:YearAccessed>
    <b:MonthAccessed>March</b:MonthAccessed>
    <b:DayAccessed>18</b:DayAccessed>
    <b:URL>https://www.pbs.gov.au/info/news/2013/05/report-trends-in-and-drivers-of-pbs-expenditure</b:URL>
    <b:RefOrder>304</b:RefOrder>
  </b:Source>
  <b:Source>
    <b:Tag>Tre02f</b:Tag>
    <b:SourceType>DocumentFromInternetSite</b:SourceType>
    <b:Guid>{1B82EF42-B531-4C88-AC21-741CD15B3246}</b:Guid>
    <b:Author>
      <b:Author>
        <b:Corporate>The Treasury</b:Corporate>
      </b:Author>
    </b:Author>
    <b:Title>Treasury submission to the inquiry into superannuation and standards of living in retirement</b:Title>
    <b:Year>2002</b:Year>
    <b:Month>July</b:Month>
    <b:Day>15</b:Day>
    <b:URL>https://treasury.gov.au/publication/treasury-submission-to-the-inquiry-into-superannuation-and-standards-of-living-in-retirement</b:URL>
    <b:YearAccessed>2020</b:YearAccessed>
    <b:MonthAccessed>May</b:MonthAccessed>
    <b:DayAccessed>28</b:DayAccessed>
    <b:RefOrder>414</b:RefOrder>
  </b:Source>
  <b:Source>
    <b:Tag>Nat14</b:Tag>
    <b:SourceType>Report</b:SourceType>
    <b:Guid>{F0714D35-171D-4419-9BD6-FC25EE6D3D0F}</b:Guid>
    <b:Author>
      <b:Author>
        <b:Corporate>National Commission of Audit</b:Corporate>
      </b:Author>
    </b:Author>
    <b:Title>Towards Responsible Government: The Report of the National Commission of Audit</b:Title>
    <b:Year>2014</b:Year>
    <b:Publisher>National Commission of Audit</b:Publisher>
    <b:City>Canberra</b:City>
    <b:RefOrder>469</b:RefOrder>
  </b:Source>
  <b:Source>
    <b:Tag>Orf20</b:Tag>
    <b:SourceType>DocumentFromInternetSite</b:SourceType>
    <b:Guid>{63FD0D6B-87E4-406F-A05C-8615D14B81A2}</b:Guid>
    <b:Author>
      <b:Author>
        <b:Corporate>Orford Initiative</b:Corporate>
      </b:Author>
    </b:Author>
    <b:Title>There's demand for annuities, but consumers are paralysed by choice</b:Title>
    <b:Year>2020</b:Year>
    <b:Month>April</b:Month>
    <b:Day>30</b:Day>
    <b:YearAccessed>2020</b:YearAccessed>
    <b:MonthAccessed>June</b:MonthAccessed>
    <b:DayAccessed>11</b:DayAccessed>
    <b:URL>https://www.mbs.edu/news/There-is-demand-for-annuities-but-consumers-are-paralysed-by-choice</b:URL>
    <b:RefOrder>466</b:RefOrder>
  </b:Source>
  <b:Source>
    <b:Tag>Wor08</b:Tag>
    <b:SourceType>Report</b:SourceType>
    <b:Guid>{69A95C99-CC55-4B73-9205-89B692F1A7BA}</b:Guid>
    <b:Author>
      <b:Author>
        <b:Corporate>World Bank</b:Corporate>
      </b:Author>
    </b:Author>
    <b:Title>The World Bank Pension Conceptual Framework</b:Title>
    <b:Year>2008</b:Year>
    <b:Publisher>World Bank</b:Publisher>
    <b:City>Washington DC</b:City>
    <b:RefOrder>13</b:RefOrder>
  </b:Source>
  <b:Source>
    <b:Tag>Fid19</b:Tag>
    <b:SourceType>DocumentFromInternetSite</b:SourceType>
    <b:Guid>{E14FCD33-2AE1-4C05-B07F-372096F5C6CE}</b:Guid>
    <b:Title>The value of advice</b:Title>
    <b:Year>2019</b:Year>
    <b:Author>
      <b:Author>
        <b:Corporate>Fidelity International</b:Corporate>
      </b:Author>
    </b:Author>
    <b:Publisher>Fidelity International</b:Publisher>
    <b:YearAccessed>2020</b:YearAccessed>
    <b:MonthAccessed>March</b:MonthAccessed>
    <b:DayAccessed>3</b:DayAccessed>
    <b:URL>https://www.fidelity.com.au/insights/investment-articles/the-value-of-advice/</b:URL>
    <b:RefOrder>451</b:RefOrder>
  </b:Source>
  <b:Source>
    <b:Tag>Dep10</b:Tag>
    <b:SourceType>DocumentFromInternetSite</b:SourceType>
    <b:Guid>{8AFDEF5B-B254-4DD1-AC8A-988FA3DE0A30}</b:Guid>
    <b:Author>
      <b:Author>
        <b:Corporate>Department of Health and Ageing</b:Corporate>
      </b:Author>
    </b:Author>
    <b:Title>The Impact of PBS Reform - Report to Parliament</b:Title>
    <b:Year>2010</b:Year>
    <b:Publisher>Department of Health and Ageing</b:Publisher>
    <b:City>Canberra</b:City>
    <b:URL>https://www1.health.gov.au/internet/main/publishing.nsf/Content/pbs-reform-report</b:URL>
    <b:Month>February</b:Month>
    <b:Day>9</b:Day>
    <b:YearAccessed>2019</b:YearAccessed>
    <b:MonthAccessed>December</b:MonthAccessed>
    <b:DayAccessed>10</b:DayAccessed>
    <b:RefOrder>305</b:RefOrder>
  </b:Source>
  <b:Source>
    <b:Tag>Aus183</b:Tag>
    <b:SourceType>Report</b:SourceType>
    <b:Guid>{F33802DE-7F04-431A-A2B2-2CA1D976B98A}</b:Guid>
    <b:Title>The Future Face of Poverty is Female: Stories behind Australian Women's Superannuation Poverty in Retirement</b:Title>
    <b:Year>2018</b:Year>
    <b:Author>
      <b:Author>
        <b:Corporate>AustralianSuper</b:Corporate>
      </b:Author>
    </b:Author>
    <b:RefOrder>514</b:RefOrder>
  </b:Source>
  <b:Source>
    <b:Tag>Econ19</b:Tag>
    <b:SourceType>DocumentFromInternetSite</b:SourceType>
    <b:Guid>{48A6A59E-FA8B-4D88-B9BA-049C5EA5CEF3}</b:Guid>
    <b:Title>The Economist</b:Title>
    <b:Year>2019</b:Year>
    <b:Month>September </b:Month>
    <b:Day>12</b:Day>
    <b:Author>
      <b:Author>
        <b:Corporate>The Economist</b:Corporate>
      </b:Author>
    </b:Author>
    <b:YearAccessed>2020</b:YearAccessed>
    <b:MonthAccessed>April</b:MonthAccessed>
    <b:DayAccessed>1</b:DayAccessed>
    <b:URL>https://www.economist.com/europe/2019/09/12/another-french-president-tries-pension-reform</b:URL>
    <b:RefOrder>350</b:RefOrder>
  </b:Source>
  <b:Source>
    <b:Tag>FinT19</b:Tag>
    <b:SourceType>InternetSite</b:SourceType>
    <b:Guid>{CC62A7F7-1FEE-4CB2-B1CC-F7C413AA7F0E}</b:Guid>
    <b:Title>The death of Chile’s pension promise</b:Title>
    <b:Year>2019</b:Year>
    <b:Author>
      <b:Author>
        <b:Corporate>Financial Times</b:Corporate>
      </b:Author>
    </b:Author>
    <b:YearAccessed>2020</b:YearAccessed>
    <b:MonthAccessed>May</b:MonthAccessed>
    <b:DayAccessed>1</b:DayAccessed>
    <b:URL>https://www.ft.com/content/4f8107f8-0fd4-11ea-a7e6-62bf4f9e548a</b:URL>
    <b:RefOrder>348</b:RefOrder>
  </b:Source>
  <b:Source>
    <b:Tag>Mel18</b:Tag>
    <b:SourceType>Report</b:SourceType>
    <b:Guid>{5DC8104C-7823-4AF0-AABA-362D5C54B281}</b:Guid>
    <b:Title>The Customer Journey through Retirement Planning: Mapping the Complexity of the Australian Retirement Planning Ecosystem</b:Title>
    <b:Year>2019</b:Year>
    <b:Author>
      <b:Author>
        <b:Corporate>Melbourne Business School</b:Corporate>
      </b:Author>
    </b:Author>
    <b:Publisher>University of Melbourne</b:Publisher>
    <b:City>Melbourne</b:City>
    <b:RefOrder>323</b:RefOrder>
  </b:Source>
  <b:Source>
    <b:Tag>NIIA20</b:Tag>
    <b:SourceType>InternetSite</b:SourceType>
    <b:Guid>{744063D6-7488-46A5-8258-71BBBA486904}</b:Guid>
    <b:Title>The Community Development Program (CDP)</b:Title>
    <b:Year>2020</b:Year>
    <b:YearAccessed>2020</b:YearAccessed>
    <b:MonthAccessed>June</b:MonthAccessed>
    <b:DayAccessed>30</b:DayAccessed>
    <b:URL>https://www.niaa.gov.au/indigenous-affairs/employment/cdp</b:URL>
    <b:Author>
      <b:Author>
        <b:Corporate>National Indigenous Australians Agency</b:Corporate>
      </b:Author>
    </b:Author>
    <b:RefOrder>266</b:RefOrder>
  </b:Source>
  <b:Source>
    <b:Tag>ASF20</b:Tag>
    <b:SourceType>Report</b:SourceType>
    <b:Guid>{9072EC1F-3D18-4129-9DE5-C059DF9D51E8}</b:Guid>
    <b:Author>
      <b:Author>
        <b:Corporate>ASFA</b:Corporate>
      </b:Author>
    </b:Author>
    <b:Title>The Benefits of Australia's Compulsory Superannuation System</b:Title>
    <b:Year>2020b</b:Year>
    <b:Publisher>ASFA</b:Publisher>
    <b:City>Sydney</b:City>
    <b:RefOrder>503</b:RefOrder>
  </b:Source>
  <b:Source>
    <b:Tag>Fai191</b:Tag>
    <b:SourceType>InternetSite</b:SourceType>
    <b:Guid>{A94FFE8D-CF89-4B53-B377-93169DA62642}</b:Guid>
    <b:Author>
      <b:Author>
        <b:Corporate>Fair Work Commission</b:Corporate>
      </b:Author>
    </b:Author>
    <b:Title>The Australian minimum wage from 1906</b:Title>
    <b:Year>2019c</b:Year>
    <b:YearAccessed>2020</b:YearAccessed>
    <b:MonthAccessed>July</b:MonthAccessed>
    <b:DayAccessed>3</b:DayAccessed>
    <b:URL>https://www.fwc.gov.au/waltzing-matilda-and-the-sunshine-harvester-factory/historical-material/the-australian-minimum-wage</b:URL>
    <b:RefOrder>105</b:RefOrder>
  </b:Source>
  <b:Source>
    <b:Tag>Sen171</b:Tag>
    <b:SourceType>Report</b:SourceType>
    <b:Guid>{1C1ED4AD-FBFC-4429-8F07-1A758E63DD02}</b:Guid>
    <b:Title>The appropriateness and effectiveness of the objectives, design, implementation and evaluation of the Community Development Program (CDP)</b:Title>
    <b:Year>2017</b:Year>
    <b:Author>
      <b:Author>
        <b:Corporate>Senate Finance and Public Administration Committees</b:Corporate>
      </b:Author>
    </b:Author>
    <b:Publisher>Commonwealth of Australia</b:Publisher>
    <b:City>Canberra</b:City>
    <b:RefOrder>267</b:RefOrder>
  </b:Source>
  <b:Source>
    <b:Tag>ACT90</b:Tag>
    <b:SourceType>DocumentFromInternetSite</b:SourceType>
    <b:Guid>{CCECB3B5-153F-426A-9F9D-2BE34FA90709}</b:Guid>
    <b:Author>
      <b:Author>
        <b:Corporate>Australian Council of Trade Unions</b:Corporate>
      </b:Author>
    </b:Author>
    <b:Title>The Accord: Background Information on the Accord</b:Title>
    <b:Year>1990</b:Year>
    <b:Month>01</b:Month>
    <b:Day>25</b:Day>
    <b:URL>https://www.actu.org.au/our-work/publications/archives/the-accord-background-information-on-the-accord</b:URL>
    <b:YearAccessed>2020</b:YearAccessed>
    <b:MonthAccessed>March</b:MonthAccessed>
    <b:DayAccessed>18</b:DayAccessed>
    <b:RefOrder>471</b:RefOrder>
  </b:Source>
  <b:Source>
    <b:Tag>Dan18</b:Tag>
    <b:SourceType>InternetSite</b:SourceType>
    <b:Guid>{8122D58A-85FC-43D4-A92D-A7DAE6B15EDD}</b:Guid>
    <b:Title>Taxing inheritances might be unpopular, but it's fair</b:Title>
    <b:Year>2018</b:Year>
    <b:Author>
      <b:Author>
        <b:Corporate>The Sydney Morning Herald</b:Corporate>
      </b:Author>
    </b:Author>
    <b:PeriodicalTitle>The Sydney Morning Herald (https://www.smh.com.au/national/taxing-inheritances-might-be-unpopular-but-it-s-fair-20181219-p50n5b.html)</b:PeriodicalTitle>
    <b:Month>December</b:Month>
    <b:Day>19</b:Day>
    <b:YearAccessed>2020</b:YearAccessed>
    <b:MonthAccessed>May</b:MonthAccessed>
    <b:DayAccessed>27</b:DayAccessed>
    <b:URL>https://www.smh.com.au/national/taxing-inheritances-might-be-unpopular-but-it-s-fair-20181219-p50n5b.html</b:URL>
    <b:RefOrder>296</b:RefOrder>
  </b:Source>
  <b:Source>
    <b:Tag>ATOv19</b:Tag>
    <b:SourceType>DocumentFromInternetSite</b:SourceType>
    <b:Guid>{374EF6C6-9DA0-4C9F-B53F-72533C0CE423}</b:Guid>
    <b:Author>
      <b:Author>
        <b:Corporate>ATO</b:Corporate>
      </b:Author>
    </b:Author>
    <b:Title>Taxation statistics 2016-17: Table 22 Superannuation contributions, by total superannuation member accounts balance range, taxable income range and age range, 2016–17 financial year</b:Title>
    <b:Year>2019f</b:Year>
    <b:Publisher>ATO</b:Publisher>
    <b:Month>June</b:Month>
    <b:Day>24</b:Day>
    <b:YearAccessed>2020</b:YearAccessed>
    <b:MonthAccessed>March</b:MonthAccessed>
    <b:DayAccessed>18</b:DayAccessed>
    <b:URL>https://www.ato.gov.au/About-ATO/Research-and-statistics/In-detail/Taxation-statistics/Taxation-statistics-2016-17/?page=9#Individuals_detailed_tables</b:URL>
    <b:RefOrder>369</b:RefOrder>
  </b:Source>
  <b:Source>
    <b:Tag>ATO19e</b:Tag>
    <b:SourceType>DocumentFromInternetSite</b:SourceType>
    <b:Guid>{2BB002F5-B46C-4D0F-AB28-97334A2AD36D}</b:Guid>
    <b:Author>
      <b:Author>
        <b:Corporate>ATO</b:Corporate>
      </b:Author>
    </b:Author>
    <b:Title>Taxation statistics 2016-17: Table 15 Average and median taxable income, salary or wages, and total income, by occupation and sex, 2016–17 income year</b:Title>
    <b:Year>2019e</b:Year>
    <b:Publisher>ATO</b:Publisher>
    <b:Month>June</b:Month>
    <b:Day>24</b:Day>
    <b:YearAccessed>2020</b:YearAccessed>
    <b:MonthAccessed>March</b:MonthAccessed>
    <b:DayAccessed>18</b:DayAccessed>
    <b:URL>https://www.ato.gov.au/About-ATO/Research-and-statistics/In-detail/Taxation-statistics/Taxation-statistics-2016-17/?page=9#Individuals_detailed_tables</b:URL>
    <b:RefOrder>3</b:RefOrder>
  </b:Source>
  <b:Source>
    <b:Tag>OECtax</b:Tag>
    <b:SourceType>Report</b:SourceType>
    <b:Guid>{D5B63FF2-36A9-4CBD-BFC1-AF929538E0BD}</b:Guid>
    <b:Author>
      <b:Author>
        <b:Corporate>OECD</b:Corporate>
      </b:Author>
    </b:Author>
    <b:Title>Taxation of Household Savings</b:Title>
    <b:Year>2018b</b:Year>
    <b:Publisher>OECD Publishing</b:Publisher>
    <b:City>OECD Tax Policy Studies, No. 25, Paris</b:City>
    <b:RefOrder>519</b:RefOrder>
  </b:Source>
  <b:Source>
    <b:Tag>TreEx18</b:Tag>
    <b:SourceType>DocumentFromInternetSite</b:SourceType>
    <b:Guid>{226B9395-321C-4404-82D8-CD5E4ACEDA5B}</b:Guid>
    <b:Author>
      <b:Author>
        <b:Corporate>The Treasury</b:Corporate>
      </b:Author>
    </b:Author>
    <b:Title>Tax Expenditures Statement</b:Title>
    <b:Year>2018b</b:Year>
    <b:YearAccessed>2020</b:YearAccessed>
    <b:MonthAccessed>March</b:MonthAccessed>
    <b:DayAccessed>18</b:DayAccessed>
    <b:URL>https://treasury.gov.au/publication</b:URL>
    <b:RefOrder>299</b:RefOrder>
  </b:Source>
  <b:Source>
    <b:Tag>TreB201</b:Tag>
    <b:SourceType>DocumentFromInternetSite</b:SourceType>
    <b:Guid>{9BD8BCBA-C6CD-4B92-B4EE-EC2275279875}</b:Guid>
    <b:Author>
      <b:Author>
        <b:Corporate>The Treasury</b:Corporate>
      </b:Author>
    </b:Author>
    <b:Title>Tax Benchmarks and Variations Statement 2019</b:Title>
    <b:Year>2020</b:Year>
    <b:Month>January</b:Month>
    <b:Day>31</b:Day>
    <b:URL>https://treasury.gov.au/publication</b:URL>
    <b:YearAccessed>2020</b:YearAccessed>
    <b:MonthAccessed>March</b:MonthAccessed>
    <b:DayAccessed>18</b:DayAccessed>
    <b:RefOrder>300</b:RefOrder>
  </b:Source>
  <b:Source>
    <b:Tag>ABS196</b:Tag>
    <b:SourceType>DocumentFromInternetSite</b:SourceType>
    <b:Guid>{20123AC4-F412-449C-9780-32861490CCCD}</b:Guid>
    <b:Author>
      <b:Author>
        <b:Corporate>ABS</b:Corporate>
      </b:Author>
    </b:Author>
    <b:Title>Survey of Income and Housing, Australia, 2017-18, cat. no. 6553.0</b:Title>
    <b:InternetSiteTitle>ABS</b:InternetSiteTitle>
    <b:Year>2019s</b:Year>
    <b:Month>July</b:Month>
    <b:Day>12</b:Day>
    <b:URL>https://www.abs.gov.au/ausstats/abs@.nsf/mf/6553.0</b:URL>
    <b:YearAccessed>2019</b:YearAccessed>
    <b:MonthAccessed>November</b:MonthAccessed>
    <b:DayAccessed>18</b:DayAccessed>
    <b:RefOrder>46</b:RefOrder>
  </b:Source>
  <b:Source>
    <b:Tag>FirstS20</b:Tag>
    <b:SourceType>DocumentFromInternetSite</b:SourceType>
    <b:Guid>{01B08863-B95E-4D14-BEA9-348406B758D3}</b:Guid>
    <b:Author>
      <b:Author>
        <b:Corporate>First State Super</b:Corporate>
      </b:Author>
    </b:Author>
    <b:Title>Supporting our members and clients during COVID-19</b:Title>
    <b:Year>2020a</b:Year>
    <b:YearAccessed>2020</b:YearAccessed>
    <b:MonthAccessed>May</b:MonthAccessed>
    <b:DayAccessed>1</b:DayAccessed>
    <b:URL>https://firststatesuper.com.au/blog/supporting-our-members-during-coronavirus-videos</b:URL>
    <b:RefOrder>328</b:RefOrder>
  </b:Source>
  <b:Source>
    <b:Tag>Sen17</b:Tag>
    <b:SourceType>Report</b:SourceType>
    <b:Guid>{CF9DE839-9D52-43E5-BF3C-29B878C116C6}</b:Guid>
    <b:Title>Superbad – Wage theft and non-compliance of the Superannuation Guarantee</b:Title>
    <b:Year>2017</b:Year>
    <b:Author>
      <b:Author>
        <b:Corporate>Senate Economics References Committee</b:Corporate>
      </b:Author>
    </b:Author>
    <b:Publisher>Commonwealth of Australia</b:Publisher>
    <b:City>Canberra</b:City>
    <b:RefOrder>226</b:RefOrder>
  </b:Source>
  <b:Source>
    <b:Tag>KPM16</b:Tag>
    <b:SourceType>DocumentFromInternetSite</b:SourceType>
    <b:Guid>{F08F75F0-F163-4DFB-843B-29A9A87F5C8E}</b:Guid>
    <b:Author>
      <b:Author>
        <b:Corporate>KPMG</b:Corporate>
      </b:Author>
    </b:Author>
    <b:Title>Superannuation: Breaking down the barriers to Indigenous Australia</b:Title>
    <b:InternetSiteTitle>KPMG</b:InternetSiteTitle>
    <b:Year>2016</b:Year>
    <b:Month>October</b:Month>
    <b:Day>11</b:Day>
    <b:URL>https://home.kpmg/au/en/home/insights/2016/10/indigenous-economy-superannuation.html</b:URL>
    <b:YearAccessed>2020</b:YearAccessed>
    <b:MonthAccessed>February</b:MonthAccessed>
    <b:DayAccessed>21</b:DayAccessed>
    <b:RefOrder>275</b:RefOrder>
  </b:Source>
  <b:Source>
    <b:Tag>Pro18</b:Tag>
    <b:SourceType>Report</b:SourceType>
    <b:Guid>{BE065BC8-6DBC-4004-9973-AD3A467DF42F}</b:Guid>
    <b:Author>
      <b:Author>
        <b:Corporate>Productivity Commission</b:Corporate>
      </b:Author>
    </b:Author>
    <b:Title>Superannuation: Assessing Efficiency and Competitiveness</b:Title>
    <b:Year>2018a</b:Year>
    <b:Publisher>Productivity Commission</b:Publisher>
    <b:City>Report No. 91, Canberra</b:City>
    <b:RefOrder>19</b:RefOrder>
  </b:Source>
  <b:Source>
    <b:Tag>ABS92</b:Tag>
    <b:SourceType>DocumentFromInternetSite</b:SourceType>
    <b:Guid>{042784EB-25F7-48CA-B2B7-8B0215021E5A}</b:Guid>
    <b:Author>
      <b:Author>
        <b:Corporate>ABS</b:Corporate>
      </b:Author>
    </b:Author>
    <b:Title>Superannuation, Australia, Nov 1993, cat. no. 6319.0</b:Title>
    <b:Year>1994</b:Year>
    <b:InternetSiteTitle>Australian Bureau of Statistics</b:InternetSiteTitle>
    <b:URL>https://www.abs.gov.au/AUSSTATS/abs@.nsf/Lookup/6319.0Main+Features1Nov%201993?OpenDocument</b:URL>
    <b:YearAccessed>2020</b:YearAccessed>
    <b:MonthAccessed>March</b:MonthAccessed>
    <b:DayAccessed>3</b:DayAccessed>
    <b:Month>June</b:Month>
    <b:Day>23</b:Day>
    <b:RefOrder>224</b:RefOrder>
  </b:Source>
  <b:Source>
    <b:Tag>Pro151</b:Tag>
    <b:SourceType>Report</b:SourceType>
    <b:Guid>{D36AF5FA-D72B-4D8E-969A-2EEFF456AA72}</b:Guid>
    <b:Title>Superannuation Policy for Post-Retirement</b:Title>
    <b:Year>2015b</b:Year>
    <b:Author>
      <b:Author>
        <b:Corporate>Productivity Commission</b:Corporate>
      </b:Author>
    </b:Author>
    <b:Month>July</b:Month>
    <b:URL>https://www.pc.gov.au/research/completed/superannuation-post-retirement/super-post-retirement-volume1.pdf</b:URL>
    <b:Publisher>Productivity Commission</b:Publisher>
    <b:City>Commission Research Paper, Canberra</b:City>
    <b:RefOrder>24</b:RefOrder>
  </b:Source>
  <b:Source>
    <b:Tag>RicWM19</b:Tag>
    <b:SourceType>Report</b:SourceType>
    <b:Guid>{DDB45182-5A99-4E26-ABDF-A439E6325E82}</b:Guid>
    <b:Author>
      <b:Author>
        <b:Corporate>Rice Warner</b:Corporate>
      </b:Author>
    </b:Author>
    <b:Title>Superannuation Market Projections Report 2019</b:Title>
    <b:Year>2019c</b:Year>
    <b:Publisher>Rice Warner Client Research Portal</b:Publisher>
    <b:RefOrder>413</b:RefOrder>
  </b:Source>
  <b:Source>
    <b:Tag>Ric</b:Tag>
    <b:SourceType>Report</b:SourceType>
    <b:Guid>{CF32FD9F-4276-49C6-A273-84D6D0D00A50}</b:Guid>
    <b:Author>
      <b:Author>
        <b:Corporate>Rice Warner</b:Corporate>
      </b:Author>
    </b:Author>
    <b:Title>Superannuation Market Projections Report</b:Title>
    <b:Year>2018</b:Year>
    <b:Publisher>Rice Warner Client Research Portal</b:Publisher>
    <b:RefOrder>314</b:RefOrder>
  </b:Source>
  <b:Source>
    <b:Tag>Com93</b:Tag>
    <b:SourceType>Misc</b:SourceType>
    <b:Guid>{77969597-F825-4434-B90A-1BD71609C3A3}</b:Guid>
    <b:Author>
      <b:Author>
        <b:Corporate>Commonwealth of Australia</b:Corporate>
      </b:Author>
    </b:Author>
    <b:Title>Superannuation Industry (Supervision) Act 1993 - Section 99F</b:Title>
    <b:Year>1993</b:Year>
    <b:City>Canberra</b:City>
    <b:Publisher>Commonwealth of Australia</b:Publisher>
    <b:RefOrder>449</b:RefOrder>
  </b:Source>
  <b:Source>
    <b:Tag>ATO0f</b:Tag>
    <b:SourceType>InternetSite</b:SourceType>
    <b:Guid>{E1D5C1B9-F117-4EB1-8F3A-E25A1833093F}</b:Guid>
    <b:Author>
      <b:Author>
        <b:Corporate>ATO</b:Corporate>
      </b:Author>
    </b:Author>
    <b:Title>Superannuation Guarantee Ruling</b:Title>
    <b:Year>2020f</b:Year>
    <b:YearAccessed>2020</b:YearAccessed>
    <b:MonthAccessed>March</b:MonthAccessed>
    <b:DayAccessed>20</b:DayAccessed>
    <b:URL>https://www.ato.gov.au/law/view/document?DocID=%22SGR%2FSGR20092%2FNAT%2FATO%2F00001%22&amp;PiT=99991231235958</b:URL>
    <b:RefOrder>232</b:RefOrder>
  </b:Source>
  <b:Source>
    <b:Tag>Cro</b:Tag>
    <b:SourceType>Report</b:SourceType>
    <b:Guid>{80C8EB47-FE8E-4BC2-9F29-B15D5F178669}</b:Guid>
    <b:Author>
      <b:Author>
        <b:Corporate>Superannuation Guarantee Cross Agency Working Group</b:Corporate>
      </b:Author>
    </b:Author>
    <b:Title>Superannuation Guarantee Non-compliance Report</b:Title>
    <b:Year>2017</b:Year>
    <b:Publisher>Commonwealth of Australia</b:Publisher>
    <b:City>Canberra</b:City>
    <b:RefOrder>233</b:RefOrder>
  </b:Source>
  <b:Source>
    <b:Tag>ATO0e</b:Tag>
    <b:SourceType>InternetSite</b:SourceType>
    <b:Guid>{36AC7FC3-30D2-4FD8-8053-427D2ACDDF2D}</b:Guid>
    <b:Title>Superannuation guarantee gap</b:Title>
    <b:Year>2020e</b:Year>
    <b:YearAccessed>2020</b:YearAccessed>
    <b:MonthAccessed>March</b:MonthAccessed>
    <b:DayAccessed>20</b:DayAccessed>
    <b:URL>https://www.ato.gov.au/About-ATO/Research-and-statistics/In-detail/Tax-gap/Superannuation-guarantee-gap/</b:URL>
    <b:Author>
      <b:Author>
        <b:Corporate>ATO</b:Corporate>
      </b:Author>
    </b:Author>
    <b:RefOrder>168</b:RefOrder>
  </b:Source>
  <b:Source>
    <b:Tag>Joh92</b:Tag>
    <b:SourceType>DocumentFromInternetSite</b:SourceType>
    <b:Guid>{B0F0583A-7DC1-45C7-8FFA-648B5BB85F91}</b:Guid>
    <b:Author>
      <b:Author>
        <b:Corporate>House of Representatives</b:Corporate>
      </b:Author>
    </b:Author>
    <b:Title>Superannuation Guarantee (Administration) Bill 1992, Second Reading, 2 April 1992 (The Hon. John Sydney Dawkins)</b:Title>
    <b:Year>1992</b:Year>
    <b:Publisher>Parliament of the Commonwealth of Australia</b:Publisher>
    <b:City>Canberra</b:City>
    <b:Month>April</b:Month>
    <b:Day>2</b:Day>
    <b:URL>https://parlinfo.aph.gov.au/parlInfo/search/display/display.w3p;query=Id:%22chamber/hansardr/1992-04-02/0105%22;src1=sm1</b:URL>
    <b:YearAccessed>2020</b:YearAccessed>
    <b:MonthAccessed>May</b:MonthAccessed>
    <b:DayAccessed>15</b:DayAccessed>
    <b:RefOrder>62</b:RefOrder>
  </b:Source>
  <b:Source>
    <b:Tag>Com92</b:Tag>
    <b:SourceType>Report</b:SourceType>
    <b:Guid>{7ED83799-14A4-4251-A68F-C816D925CA1D}</b:Guid>
    <b:Author>
      <b:Author>
        <b:Corporate>Commonwealth of Australia</b:Corporate>
      </b:Author>
    </b:Author>
    <b:Title>Superannuation Guarantee (Administration) Act 11992</b:Title>
    <b:Year>1992</b:Year>
    <b:RefOrder>474</b:RefOrder>
  </b:Source>
  <b:Source>
    <b:Tag>Tre24</b:Tag>
    <b:SourceType>DocumentFromInternetSite</b:SourceType>
    <b:Guid>{DD33BA66-1526-456E-A74F-2D477BB881B0}</b:Guid>
    <b:Title>Superannuation Guarantee '$450' rule - FOI 2524</b:Title>
    <b:Year>2019</b:Year>
    <b:Publisher>Commonwealth of Australia</b:Publisher>
    <b:City>Canberra</b:City>
    <b:Author>
      <b:Author>
        <b:Corporate>The Treasury</b:Corporate>
      </b:Author>
    </b:Author>
    <b:Month>August</b:Month>
    <b:Day>9</b:Day>
    <b:YearAccessed>2020</b:YearAccessed>
    <b:MonthAccessed>May</b:MonthAccessed>
    <b:DayAccessed>18</b:DayAccessed>
    <b:URL>https://treasury.gov.au/foi/2524</b:URL>
    <b:RefOrder>229</b:RefOrder>
  </b:Source>
  <b:Source>
    <b:Tag>ASF18b</b:Tag>
    <b:SourceType>Report</b:SourceType>
    <b:Guid>{CCE32694-9647-4416-9508-822459DE3B28}</b:Guid>
    <b:Author>
      <b:Author>
        <b:Corporate>ASFA</b:Corporate>
      </b:Author>
    </b:Author>
    <b:Title>Superannuation balances of the self-employed</b:Title>
    <b:Year>2018b</b:Year>
    <b:Publisher>ASFA</b:Publisher>
    <b:City>Sydney</b:City>
    <b:RefOrder>529</b:RefOrder>
  </b:Source>
  <b:Source>
    <b:Tag>Sup10</b:Tag>
    <b:SourceType>Report</b:SourceType>
    <b:Guid>{D75C9E7B-F7EB-432D-BFC1-BD30BD22EB03}</b:Guid>
    <b:Author>
      <b:Author>
        <b:Corporate>Super System Review</b:Corporate>
      </b:Author>
    </b:Author>
    <b:Title>Super System Review Final Report</b:Title>
    <b:Year>2010</b:Year>
    <b:Publisher>Commonwealth of Australia</b:Publisher>
    <b:City>Canberra</b:City>
    <b:RefOrder>50</b:RefOrder>
  </b:Source>
  <b:Source>
    <b:Tag>Ind19</b:Tag>
    <b:SourceType>Report</b:SourceType>
    <b:Guid>{18DE4E54-4359-4221-9CC1-026A23507B77}</b:Guid>
    <b:Author>
      <b:Author>
        <b:Corporate>Industry Super Australia</b:Corporate>
      </b:Author>
    </b:Author>
    <b:Title>Super scandal: Unpaid super guarantee in 2016-17</b:Title>
    <b:Year>2019</b:Year>
    <b:Publisher>Industry Super Australia</b:Publisher>
    <b:RefOrder>234</b:RefOrder>
  </b:Source>
  <b:Source>
    <b:Tag>Fir19</b:Tag>
    <b:SourceType>InternetSite</b:SourceType>
    <b:Guid>{AE10510A-1694-4F67-BA6E-C04F2FD6AC7F}</b:Guid>
    <b:Author>
      <b:Author>
        <b:Corporate>First Nations Foundation</b:Corporate>
      </b:Author>
    </b:Author>
    <b:Title>Super Outreach</b:Title>
    <b:InternetSiteTitle>First Nations Foundation</b:InternetSiteTitle>
    <b:Year>2020</b:Year>
    <b:URL>https://firstnationsfoundation.org.au/big-super-day-out/</b:URL>
    <b:YearAccessed>2020</b:YearAccessed>
    <b:MonthAccessed>February</b:MonthAccessed>
    <b:DayAccessed>11</b:DayAccessed>
    <b:RefOrder>268</b:RefOrder>
  </b:Source>
  <b:Source>
    <b:Tag>Ric191</b:Tag>
    <b:SourceType>Report</b:SourceType>
    <b:Guid>{BDC8AB38-A5C9-441B-9588-F9F03DA73346}</b:Guid>
    <b:Author>
      <b:Author>
        <b:Corporate>Rice Warner</b:Corporate>
      </b:Author>
    </b:Author>
    <b:Title>Super Insights 2019</b:Title>
    <b:Year>2019b</b:Year>
    <b:Publisher>Rice Warner Client Research Portal</b:Publisher>
    <b:RefOrder>159</b:RefOrder>
  </b:Source>
  <b:Source>
    <b:Tag>ATO20</b:Tag>
    <b:SourceType>InternetSite</b:SourceType>
    <b:Guid>{EE54B7BF-2CFF-4728-AEA6-3BA9F676F8FB}</b:Guid>
    <b:Author>
      <b:Author>
        <b:Corporate>ATO</b:Corporate>
      </b:Author>
    </b:Author>
    <b:Title>Super guarantee percentage</b:Title>
    <b:Year>2020g</b:Year>
    <b:URL>https://www.ato.gov.au/Rates/Key-superannuation-rates-and-thresholds/?anchor=Superguaranteepercentage#Superguaranteepercentage</b:URL>
    <b:YearAccessed>2020</b:YearAccessed>
    <b:MonthAccessed>March</b:MonthAccessed>
    <b:DayAccessed>18</b:DayAccessed>
    <b:RefOrder>475</b:RefOrder>
  </b:Source>
  <b:Source>
    <b:Tag>Sen92</b:Tag>
    <b:SourceType>Report</b:SourceType>
    <b:Guid>{DD5AFB43-516C-4759-877A-2E168BB2CF5F}</b:Guid>
    <b:Author>
      <b:Author>
        <b:Corporate>Senate Select Committee on Superannuation</b:Corporate>
      </b:Author>
    </b:Author>
    <b:Title>Super Guarantee Bills</b:Title>
    <b:Year>1992</b:Year>
    <b:Publisher>Parliament of the Commonwealth of Australia</b:Publisher>
    <b:City>Canberra</b:City>
    <b:RefOrder>61</b:RefOrder>
  </b:Source>
  <b:Source>
    <b:Tag>ATO202</b:Tag>
    <b:SourceType>InternetSite</b:SourceType>
    <b:Guid>{B0D314A5-3971-4409-8268-5863AC313015}</b:Guid>
    <b:Title>Super death benefits</b:Title>
    <b:Year>2020d</b:Year>
    <b:YearAccessed>2020</b:YearAccessed>
    <b:MonthAccessed>May</b:MonthAccessed>
    <b:DayAccessed>25</b:DayAccessed>
    <b:URL>https://www.ato.gov.au/Individuals/Super/In-detail/Withdrawing-and-using-your-super/Withdrawing-your-super-and-paying-tax/?page=6</b:URL>
    <b:Author>
      <b:Author>
        <b:Corporate>ATO</b:Corporate>
      </b:Author>
    </b:Author>
    <b:RefOrder>297</b:RefOrder>
  </b:Source>
  <b:Source>
    <b:Tag>ACO16</b:Tag>
    <b:SourceType>DocumentFromInternetSite</b:SourceType>
    <b:Guid>{E7219201-36DC-4B5D-B3E6-A07DBF94F86D}</b:Guid>
    <b:Author>
      <b:Author>
        <b:Corporate>Australian Council of Social Service</b:Corporate>
      </b:Author>
    </b:Author>
    <b:Title>Submission to the Superannuation (Objective) Bill 2016</b:Title>
    <b:Year>2016</b:Year>
    <b:Publisher>Treasury</b:Publisher>
    <b:City>Canberra</b:City>
    <b:Month>December</b:Month>
    <b:YearAccessed>2020</b:YearAccessed>
    <b:MonthAccessed>March</b:MonthAccessed>
    <b:DayAccessed>18</b:DayAccessed>
    <b:URL>https://www.acoss.org.au/wp-content/uploads/2017/01/ACOSS-submission-purpose-of-super16.pdf</b:URL>
    <b:RefOrder>67</b:RefOrder>
  </b:Source>
  <b:Source>
    <b:Tag>MLC20</b:Tag>
    <b:SourceType>DocumentFromInternetSite</b:SourceType>
    <b:Guid>{6E700B0E-B204-4C62-A125-765F7B01165D}</b:Guid>
    <b:Author>
      <b:Author>
        <b:Corporate>MLC Wealth</b:Corporate>
      </b:Author>
    </b:Author>
    <b:Title>Submission to the Retirement Income Review</b:Title>
    <b:Year>2020</b:Year>
    <b:Month>February</b:Month>
    <b:Day>10</b:Day>
    <b:URL>https://treasury.gov.au/consultation/c2019-36292/submissions</b:URL>
    <b:RefOrder>450</b:RefOrder>
  </b:Source>
  <b:Source>
    <b:Tag>Eur15</b:Tag>
    <b:SourceType>Report</b:SourceType>
    <b:Guid>{B2C1443F-DF50-4E18-A51B-B0A23D2EE5DE}</b:Guid>
    <b:Title>Study on the effects and incidence of labour taxation</b:Title>
    <b:Year>2015</b:Year>
    <b:City>Paris</b:City>
    <b:Publisher>European Commission</b:Publisher>
    <b:Author>
      <b:Author>
        <b:Corporate>European Commission</b:Corporate>
      </b:Author>
    </b:Author>
    <b:RefOrder>141</b:RefOrder>
  </b:Source>
  <b:Source>
    <b:Tag>ASF19</b:Tag>
    <b:SourceType>Report</b:SourceType>
    <b:Guid>{29A713A0-028B-4E91-92C9-6096361122FF}</b:Guid>
    <b:Author>
      <b:Author>
        <b:Corporate>ASFA</b:Corporate>
      </b:Author>
    </b:Author>
    <b:Title>Strengthening Australia’s superannuation system - ASFA's proposed toolkit for Government</b:Title>
    <b:Year>2019</b:Year>
    <b:Publisher>ASFA</b:Publisher>
    <b:City>Sydney</b:City>
    <b:RefOrder>230</b:RefOrder>
  </b:Source>
  <b:Source>
    <b:Tag>DVA20</b:Tag>
    <b:SourceType>DocumentFromInternetSite</b:SourceType>
    <b:Guid>{4C4E064F-4B01-4EF5-BDEE-82A7220ACC9E}</b:Guid>
    <b:Author>
      <b:Author>
        <b:Corporate>DVA</b:Corporate>
      </b:Author>
    </b:Author>
    <b:Title>Statistics about the veteran population</b:Title>
    <b:Year>2020</b:Year>
    <b:Month>05</b:Month>
    <b:Day>06</b:Day>
    <b:YearAccessed>2020</b:YearAccessed>
    <b:MonthAccessed>May</b:MonthAccessed>
    <b:DayAccessed>25</b:DayAccessed>
    <b:URL>https://www.dva.gov.au/about-us/overview/research/statistics-about-veteran-population</b:URL>
    <b:RefOrder>216</b:RefOrder>
  </b:Source>
  <b:Source>
    <b:Tag>RBA20</b:Tag>
    <b:SourceType>DocumentFromInternetSite</b:SourceType>
    <b:Guid>{AAE00FE0-3582-40CB-8E14-78550D13E176}</b:Guid>
    <b:Author>
      <b:Author>
        <b:Corporate>RBA</b:Corporate>
      </b:Author>
    </b:Author>
    <b:Title>Statistical Tables: Capital Market Yields – Government Bonds – Daily – F2</b:Title>
    <b:InternetSiteTitle>RBA</b:InternetSiteTitle>
    <b:Year>2020b</b:Year>
    <b:Month>April</b:Month>
    <b:Day>23</b:Day>
    <b:URL>https://www.rba.gov.au/statistics/tables/</b:URL>
    <b:YearAccessed>2020</b:YearAccessed>
    <b:MonthAccessed>May</b:MonthAccessed>
    <b:DayAccessed>22</b:DayAccessed>
    <b:RefOrder>530</b:RefOrder>
  </b:Source>
  <b:Source>
    <b:Tag>RBA18</b:Tag>
    <b:SourceType>DocumentFromInternetSite</b:SourceType>
    <b:Guid>{59541BF0-D0F0-4C00-AEE4-9D9963098511}</b:Guid>
    <b:Author>
      <b:Author>
        <b:Corporate>RBA</b:Corporate>
      </b:Author>
    </b:Author>
    <b:Title>Statement on Monetary Policy May 2018: Box B - The Recent Increase in Labour Force Participation</b:Title>
    <b:InternetSiteTitle>Statement on Monetary Policy - The Recent Increase in Labour Force Participation</b:InternetSiteTitle>
    <b:Year>2018</b:Year>
    <b:Month>May</b:Month>
    <b:URL>https://www.rba.gov.au/publications/smp/2018/may/box-b-the-recent-increase-in-labour-force-participation.html</b:URL>
    <b:YearAccessed>2020</b:YearAccessed>
    <b:MonthAccessed>May</b:MonthAccessed>
    <b:DayAccessed>28</b:DayAccessed>
    <b:RefOrder>31</b:RefOrder>
  </b:Source>
  <b:Source>
    <b:Tag>Par83</b:Tag>
    <b:SourceType>DocumentFromInternetSite</b:SourceType>
    <b:Guid>{2127C8DF-3D12-4DBC-98CE-A8BF3A31ACC1}</b:Guid>
    <b:Title>Statement of accord by the Australian Labor Party and the Australian Council of Trade Unions regarding economic policy</b:Title>
    <b:Year>1983</b:Year>
    <b:Author>
      <b:Author>
        <b:Corporate>Parliament of Australia</b:Corporate>
      </b:Author>
    </b:Author>
    <b:Month>01</b:Month>
    <b:Day>01</b:Day>
    <b:URL>https://parlinfo.aph.gov.au/parlInfo/search/display/display.w3p;query=Id:%22library/partypol/992745%22</b:URL>
    <b:YearAccessed>2020</b:YearAccessed>
    <b:MonthAccessed>March</b:MonthAccessed>
    <b:DayAccessed>3</b:DayAccessed>
    <b:RefOrder>531</b:RefOrder>
  </b:Source>
  <b:Source>
    <b:Tag>RBAp203</b:Tag>
    <b:SourceType>InternetSite</b:SourceType>
    <b:Guid>{C7995EC1-7068-414C-B555-A31992481A5D}</b:Guid>
    <b:Title>Statement by Philip Lowe, Governor: Monetary Policy Decision</b:Title>
    <b:Year>2020d</b:Year>
    <b:Author>
      <b:Author>
        <b:Corporate>RBA</b:Corporate>
      </b:Author>
    </b:Author>
    <b:YearAccessed>2020</b:YearAccessed>
    <b:MonthAccessed>April</b:MonthAccessed>
    <b:DayAccessed>20</b:DayAccessed>
    <b:URL>https://www.rba.gov.au/media-releases/2020/mr-20-08.html</b:URL>
    <b:RefOrder>91</b:RefOrder>
  </b:Source>
  <b:Source>
    <b:Tag>Par19</b:Tag>
    <b:SourceType>InternetSite</b:SourceType>
    <b:Guid>{5EB39CDC-93D9-4562-8D6B-BF7788225FB8}</b:Guid>
    <b:Title>Standing Committee on Economics, 09/08/2019, Reserve Bank of Australia annual report</b:Title>
    <b:Year>2019</b:Year>
    <b:YearAccessed>2020</b:YearAccessed>
    <b:MonthAccessed>April</b:MonthAccessed>
    <b:DayAccessed>14</b:DayAccessed>
    <b:URL>https://parlinfo.aph.gov.au/parlInfo/search/display/display.w3p;query=Id%3A%22committees%2Fcommrep%2Feea5d0b8-72e9-4b5e-acf8-52ed46888ced%2F0001%22</b:URL>
    <b:Author>
      <b:Author>
        <b:Corporate>House of Representatives</b:Corporate>
      </b:Author>
    </b:Author>
    <b:Publisher>House of Representatives, 9 August 2019</b:Publisher>
    <b:Comments>RBA Governor</b:Comments>
    <b:RefOrder>90</b:RefOrder>
  </b:Source>
  <b:Source>
    <b:Tag>Dan11</b:Tag>
    <b:SourceType>DocumentFromInternetSite</b:SourceType>
    <b:Guid>{014B60BA-E41B-4CE9-8515-8398593307FA}</b:Guid>
    <b:Title>Social security payments for the aged, people with disabilities and carers 1901 to 2010</b:Title>
    <b:Year>2011</b:Year>
    <b:Author>
      <b:Author>
        <b:Corporate>Parliamentary Library</b:Corporate>
      </b:Author>
    </b:Author>
    <b:InternetSiteTitle>Parliament of Australia</b:InternetSiteTitle>
    <b:Month>February</b:Month>
    <b:Day>21</b:Day>
    <b:URL>https://www.aph.gov.au/About_Parliament/Parliamentary_Departments/Parliamentary_Library/pubs/BN/1011/SSPayments1#_Toc286050315</b:URL>
    <b:YearAccessed>2020</b:YearAccessed>
    <b:MonthAccessed>March</b:MonthAccessed>
    <b:DayAccessed>2</b:DayAccessed>
    <b:RefOrder>37</b:RefOrder>
  </b:Source>
  <b:Source>
    <b:Tag>DSSG20</b:Tag>
    <b:SourceType>InternetSite</b:SourceType>
    <b:Guid>{869D513C-BFDF-409D-8C5B-CAE05D3F641F}</b:Guid>
    <b:Title>Social Security Guide, 4 Income and Assets</b:Title>
    <b:Year>2015</b:Year>
    <b:City>Canberra</b:City>
    <b:Publisher>Australian Government</b:Publisher>
    <b:Author>
      <b:Author>
        <b:Corporate>Department of Social Services</b:Corporate>
      </b:Author>
    </b:Author>
    <b:YearAccessed>2020</b:YearAccessed>
    <b:MonthAccessed>June</b:MonthAccessed>
    <b:DayAccessed>9</b:DayAccessed>
    <b:URL>https://guides.dss.gov.au/guide-social-security-law/4</b:URL>
    <b:RefOrder>410</b:RefOrder>
  </b:Source>
  <b:Source>
    <b:Tag>DSS204</b:Tag>
    <b:SourceType>InternetSite</b:SourceType>
    <b:Guid>{3A9D476C-3A16-4EAB-BE43-C3FEAF4F6BC3}</b:Guid>
    <b:Title>Social Security Guide, 3.4.1.10 Qualification for Age</b:Title>
    <b:Year>2020e</b:Year>
    <b:Author>
      <b:Author>
        <b:Corporate>Department of Social Services</b:Corporate>
      </b:Author>
    </b:Author>
    <b:YearAccessed>2020</b:YearAccessed>
    <b:URL>https://guides.dss.gov.au/guide-social-security-law/3/4/1/10</b:URL>
    <b:MonthAccessed>April</b:MonthAccessed>
    <b:DayAccessed>8</b:DayAccessed>
    <b:RefOrder>38</b:RefOrder>
  </b:Source>
  <b:Source>
    <b:Tag>Wom18</b:Tag>
    <b:SourceType>DocumentFromInternetSite</b:SourceType>
    <b:Guid>{EEF6092F-5E87-4DED-8077-12FF9293CD87}</b:Guid>
    <b:Author>
      <b:Author>
        <b:Corporate>Women's Legal Service Victoria</b:Corporate>
      </b:Author>
    </b:Author>
    <b:Title>Small Claims, Large Battles: Achieving Economic Equality in the Family Law System</b:Title>
    <b:Year>2018</b:Year>
    <b:YearAccessed>2020</b:YearAccessed>
    <b:MonthAccessed>March</b:MonthAccessed>
    <b:DayAccessed>3</b:DayAccessed>
    <b:URL>https://womenslegal.org.au/files/file/WLSV%20Small%20Claims,%20Large%20Battles%20Research%20Report%202018.pdf</b:URL>
    <b:RefOrder>198</b:RefOrder>
  </b:Source>
  <b:Source>
    <b:Tag>First19</b:Tag>
    <b:SourceType>InternetSite</b:SourceType>
    <b:Guid>{0578B847-AECD-40D6-A9CB-9AC1C13156BD}</b:Guid>
    <b:Title>Should you switch to cash when markets are volatile?</b:Title>
    <b:Year>2019</b:Year>
    <b:Author>
      <b:Author>
        <b:Corporate>First State Super</b:Corporate>
      </b:Author>
    </b:Author>
    <b:InternetSiteTitle>First State Super</b:InternetSiteTitle>
    <b:Month>October </b:Month>
    <b:Day>24</b:Day>
    <b:URL>https://firststatesuper.com.au/blog/should-you-switch-to-cash-when-markets-are-volatile</b:URL>
    <b:YearAccessed>2020</b:YearAccessed>
    <b:MonthAccessed>May</b:MonthAccessed>
    <b:DayAccessed>1</b:DayAccessed>
    <b:RefOrder>326</b:RefOrder>
  </b:Source>
  <b:Source>
    <b:Tag>ACF191</b:Tag>
    <b:SourceType>Report</b:SourceType>
    <b:Guid>{752FA507-E0A2-4CFE-80BC-2F6D1416F302}</b:Guid>
    <b:Author>
      <b:Author>
        <b:Corporate>Aged Care Financing Authority</b:Corporate>
      </b:Author>
    </b:Author>
    <b:Title>Seventh Report on the Funding and Financing of the Aged Care Industry</b:Title>
    <b:Year>2019</b:Year>
    <b:Publisher>Aged Care Financing Authority</b:Publisher>
    <b:City>Canberra</b:City>
    <b:RefOrder>308</b:RefOrder>
  </b:Source>
  <b:Source>
    <b:Tag>Nat17</b:Tag>
    <b:SourceType>Report</b:SourceType>
    <b:Guid>{8286188C-C699-4CF3-9C1D-BFFAE4869F95}</b:Guid>
    <b:Author>
      <b:Author>
        <b:Corporate>National Seniors Australia and Challenger</b:Corporate>
      </b:Author>
    </b:Author>
    <b:Title>Seniors more savvy about retirement income</b:Title>
    <b:Year>2017</b:Year>
    <b:Publisher>National Seniors Australia</b:Publisher>
    <b:City>Brisbane</b:City>
    <b:RefOrder>415</b:RefOrder>
  </b:Source>
  <b:Source>
    <b:Tag>Aus191</b:Tag>
    <b:SourceType>DocumentFromInternetSite</b:SourceType>
    <b:Guid>{FBD50A81-826E-45D6-8F7A-61411A9A526D}</b:Guid>
    <b:Author>
      <b:Author>
        <b:Corporate>ATO</b:Corporate>
      </b:Author>
    </b:Author>
    <b:Title>Self-managed super fund quarterly statistical report - June 2019</b:Title>
    <b:Year>2019d</b:Year>
    <b:Publisher>ATO</b:Publisher>
    <b:YearAccessed>2020</b:YearAccessed>
    <b:MonthAccessed>March</b:MonthAccessed>
    <b:DayAccessed>18</b:DayAccessed>
    <b:URL>https://www.ato.gov.au/About-ATO/Research-and-statistics/In-detail/Super-statistics/SMSF/Self-managed-super-fund-quarterly-statistical-report---June-2019/</b:URL>
    <b:RefOrder>518</b:RefOrder>
  </b:Source>
  <b:Source>
    <b:Tag>ABS7e</b:Tag>
    <b:SourceType>DocumentFromInternetSite</b:SourceType>
    <b:Guid>{F9B01F6E-3607-4BF3-961D-3ECC8D180FDA}</b:Guid>
    <b:Author>
      <b:Author>
        <b:Corporate>ABS</b:Corporate>
      </b:Author>
    </b:Author>
    <b:Title>Selected Living Cost Indexes: 17th Series Weighting Pattern, Sep 2017, cat. no. 6474.0</b:Title>
    <b:Year>2017f</b:Year>
    <b:Month>November</b:Month>
    <b:Day>6</b:Day>
    <b:YearAccessed>2020</b:YearAccessed>
    <b:MonthAccessed>January</b:MonthAccessed>
    <b:DayAccessed>10</b:DayAccessed>
    <b:URL>https://www.abs.gov.au/AUSSTATS/abs@.nsf/Lookup/6474.0Main+Features1Sep%202017?OpenDocument</b:URL>
    <b:RefOrder>108</b:RefOrder>
  </b:Source>
  <b:Source>
    <b:Tag>ABS202</b:Tag>
    <b:SourceType>DocumentFromInternetSite</b:SourceType>
    <b:Guid>{83F65E46-5869-48BE-A944-6A903A000402}</b:Guid>
    <b:Author>
      <b:Author>
        <b:Corporate>ABS</b:Corporate>
      </b:Author>
    </b:Author>
    <b:Title>Selected Living Cost Indexes, Australia, Dec 2019, cat. no. 6467.0</b:Title>
    <b:Year>2020q</b:Year>
    <b:YearAccessed>2020</b:YearAccessed>
    <b:MonthAccessed>March</b:MonthAccessed>
    <b:DayAccessed>18</b:DayAccessed>
    <b:URL>https://www.abs.gov.au/AUSSTATS/abs@.nsf/allprimarymainfeatures/8A87AA80C7CE5445CA25855F00211B90?opendocument</b:URL>
    <b:Month>February</b:Month>
    <b:Day>5</b:Day>
    <b:RefOrder>107</b:RefOrder>
  </b:Source>
  <b:Source>
    <b:Tag>Dep20</b:Tag>
    <b:SourceType>DocumentFromInternetSite</b:SourceType>
    <b:Guid>{FDCB5EAD-F5AB-417D-9C35-C021BE95C00F}</b:Guid>
    <b:Author>
      <b:Author>
        <b:Corporate>Department of Health</b:Corporate>
      </b:Author>
    </b:Author>
    <b:Title>Schedule of Subsidies and Supplements for Aged Care</b:Title>
    <b:Year>2020b</b:Year>
    <b:YearAccessed>2020</b:YearAccessed>
    <b:MonthAccessed>May</b:MonthAccessed>
    <b:DayAccessed>28</b:DayAccessed>
    <b:URL>https://www.health.gov.au/resources/publications/schedule-of-subsidies-and-supplements-for-aged-care</b:URL>
    <b:RefOrder>312</b:RefOrder>
  </b:Source>
  <b:Source>
    <b:Tag>Dep203</b:Tag>
    <b:SourceType>DocumentFromInternetSite</b:SourceType>
    <b:Guid>{7E07B719-51A9-485E-A63C-CF682CC9FEF3}</b:Guid>
    <b:Title>Schedule of Fees and Charges for Residential and Home Care</b:Title>
    <b:Year>2020a</b:Year>
    <b:YearAccessed>2020</b:YearAccessed>
    <b:MonthAccessed>January</b:MonthAccessed>
    <b:DayAccessed>23</b:DayAccessed>
    <b:URL>https://www.myagedcare.gov.au/aged-care-home-costs-and-fees</b:URL>
    <b:Author>
      <b:Author>
        <b:Corporate>Department of Health</b:Corporate>
      </b:Author>
    </b:Author>
    <b:Month>January</b:Month>
    <b:RefOrder>430</b:RefOrder>
  </b:Source>
  <b:Source>
    <b:Tag>Nat96</b:Tag>
    <b:SourceType>JournalArticle</b:SourceType>
    <b:Guid>{D8346E37-E394-49A1-85A7-1AE426EC7F09}</b:Guid>
    <b:Title>Rumours scare blind pensioners</b:Title>
    <b:Year>1996</b:Year>
    <b:URL>https://www.capitalmonitor.com.au/Display.aspx?TempLock=mOAqTTXJkqxT3cNmc8zZsmNUOpwek33d</b:URL>
    <b:Author>
      <b:Author>
        <b:Corporate>National Federation of Blind Citizens of Australia</b:Corporate>
      </b:Author>
    </b:Author>
    <b:JournalName>National Federation of Blind Citizens of Australia Press Release</b:JournalName>
    <b:Medium>Accessed via Capital Monitor</b:Medium>
    <b:RefOrder>286</b:RefOrder>
  </b:Source>
  <b:Source>
    <b:Tag>Hay19</b:Tag>
    <b:SourceType>Report</b:SourceType>
    <b:Guid>{5F1857B7-DB70-4F7D-A9A8-FED154EA6E07}</b:Guid>
    <b:Title>Royal Commission into Misconduct in the Banking, Superannuation and Financial Services Industry Final Report</b:Title>
    <b:Year>2019</b:Year>
    <b:Author>
      <b:Author>
        <b:Corporate>Royal Commission into Misconduct in the Banking, Superannuation and Financial Services Industry</b:Corporate>
      </b:Author>
    </b:Author>
    <b:Publisher>Commonwealth of Australia</b:Publisher>
    <b:City>Canberra</b:City>
    <b:RefOrder>58</b:RefOrder>
  </b:Source>
  <b:Source>
    <b:Tag>Sta20</b:Tag>
    <b:SourceType>InternetSite</b:SourceType>
    <b:Guid>{FA0402B3-7781-489D-96CE-B5B7835E7ED1}</b:Guid>
    <b:Title>Robo-Advisors</b:Title>
    <b:Year>2020</b:Year>
    <b:Author>
      <b:Author>
        <b:Corporate>Statista</b:Corporate>
      </b:Author>
    </b:Author>
    <b:InternetSiteTitle>Statistica</b:InternetSiteTitle>
    <b:URL>https://www.statista.com/outlook/337/109/robo-advisors/united-states</b:URL>
    <b:YearAccessed>2020</b:YearAccessed>
    <b:MonthAccessed>January</b:MonthAccessed>
    <b:DayAccessed>14</b:DayAccessed>
    <b:RefOrder>457</b:RefOrder>
  </b:Source>
  <b:Source>
    <b:Tag>Pro8b</b:Tag>
    <b:SourceType>Report</b:SourceType>
    <b:Guid>{84092994-3556-49B3-A3B9-BA7CD16A6351}</b:Guid>
    <b:Title>Rising inequality? A stocktake of the evidence</b:Title>
    <b:Year>2018b</b:Year>
    <b:Author>
      <b:Author>
        <b:Corporate>Productivity Commission</b:Corporate>
      </b:Author>
    </b:Author>
    <b:Publisher>Productivity Commission</b:Publisher>
    <b:City>Commission Research Paper, Canberra</b:City>
    <b:RefOrder>180</b:RefOrder>
  </b:Source>
  <b:Source>
    <b:Tag>Boa19</b:Tag>
    <b:SourceType>Report</b:SourceType>
    <b:Guid>{52872982-BEE9-466A-9CC6-0F30825FBE3A}</b:Guid>
    <b:Title>Review of Small Business Tax Concessions: A Report to the Treasurer</b:Title>
    <b:Year>2019</b:Year>
    <b:Author>
      <b:Author>
        <b:Corporate>The Board of Taxation</b:Corporate>
      </b:Author>
    </b:Author>
    <b:Publisher>Commonwealth of Australia</b:Publisher>
    <b:City>Canberra</b:City>
    <b:RefOrder>238</b:RefOrder>
  </b:Source>
  <b:Source>
    <b:Tag>Tre18SU</b:Tag>
    <b:SourceType>Report</b:SourceType>
    <b:Guid>{4B748CBF-2810-4BDA-AE08-DC03F24727C4}</b:Guid>
    <b:Author>
      <b:Author>
        <b:Corporate>The Treasury</b:Corporate>
      </b:Author>
    </b:Author>
    <b:Title>Review of Early Release of Superannuation Benefits</b:Title>
    <b:Year>2018c</b:Year>
    <b:Publisher>Department of the Treasury, Commonwealth of Australia</b:Publisher>
    <b:City>Canberra</b:City>
    <b:RefOrder>158</b:RefOrder>
  </b:Source>
  <b:Source>
    <b:Tag>ASI20</b:Tag>
    <b:SourceType>InternetSite</b:SourceType>
    <b:Guid>{F2097BAA-3415-4146-B75D-4244FEC2F3E5}</b:Guid>
    <b:Title>Reverse mortgage and home equity release</b:Title>
    <b:Author>
      <b:Author>
        <b:Corporate>Moneysmart</b:Corporate>
      </b:Author>
    </b:Author>
    <b:YearAccessed>2020</b:YearAccessed>
    <b:MonthAccessed>May</b:MonthAccessed>
    <b:DayAccessed>29</b:DayAccessed>
    <b:URL>https://moneysmart.gov.au/retirement-income/reverse-mortgage-and-home-equity-release</b:URL>
    <b:Year>2020</b:Year>
    <b:RefOrder>421</b:RefOrder>
  </b:Source>
  <b:Source>
    <b:Tag>OEC20</b:Tag>
    <b:SourceType>DocumentFromInternetSite</b:SourceType>
    <b:Guid>{71BD2D47-034B-4DFA-BC10-BFF31410E79E}</b:Guid>
    <b:Author>
      <b:Author>
        <b:Corporate>OECD</b:Corporate>
      </b:Author>
    </b:Author>
    <b:Title>Revenue Statistics - OECD countries: Comparative tables</b:Title>
    <b:InternetSiteTitle>OECD</b:InternetSiteTitle>
    <b:Year>2020b</b:Year>
    <b:Month>April</b:Month>
    <b:Day>28</b:Day>
    <b:URL>https://stats.oecd.org/index.aspx?DataSetCode=REV</b:URL>
    <b:YearAccessed>2020</b:YearAccessed>
    <b:MonthAccessed>July</b:MonthAccessed>
    <b:DayAccessed>3</b:DayAccessed>
    <b:RefOrder>298</b:RefOrder>
  </b:Source>
  <b:Source>
    <b:Tag>Tre16</b:Tag>
    <b:SourceType>DocumentFromInternetSite</b:SourceType>
    <b:Guid>{5D0B760F-4E0E-45E4-8FCD-B08DE0ACF815}</b:Guid>
    <b:Author>
      <b:Author>
        <b:Corporate>The Treasury</b:Corporate>
      </b:Author>
    </b:Author>
    <b:Title>Retirement Income Streams Review</b:Title>
    <b:Year>2016c</b:Year>
    <b:Publisher>Commonwealth of Australia</b:Publisher>
    <b:City>Canberra</b:City>
    <b:Month>May</b:Month>
    <b:Day>3</b:Day>
    <b:YearAccessed>2020</b:YearAccessed>
    <b:MonthAccessed>May</b:MonthAccessed>
    <b:DayAccessed>28</b:DayAccessed>
    <b:URL>https://treasury.gov.au/publication/retirement-income-streams-review</b:URL>
    <b:RefOrder>411</b:RefOrder>
  </b:Source>
  <b:Source>
    <b:Tag>VOI20</b:Tag>
    <b:SourceType>DocumentFromInternetSite</b:SourceType>
    <b:Guid>{9DD6144B-E22D-4804-BA10-4056234B50F2}</b:Guid>
    <b:Title>Retirement Income Review Submissions</b:Title>
    <b:Year>2020</b:Year>
    <b:Author>
      <b:Author>
        <b:Corporate>Australian Pensioner Voice</b:Corporate>
      </b:Author>
    </b:Author>
    <b:Month>February</b:Month>
    <b:Day>7</b:Day>
    <b:URL>https://treasury.gov.au/consultation/c2019-36292/submissions</b:URL>
    <b:RefOrder>339</b:RefOrder>
  </b:Source>
  <b:Source>
    <b:Tag>Busn20</b:Tag>
    <b:SourceType>DocumentFromInternetSite</b:SourceType>
    <b:Guid>{A583705D-37BB-4FA8-9F6A-D28E7C6550FA}</b:Guid>
    <b:Author>
      <b:Author>
        <b:Corporate>Business Council of Australia</b:Corporate>
      </b:Author>
    </b:Author>
    <b:Title>Retirement Income Review Submissions</b:Title>
    <b:Year>2020</b:Year>
    <b:Month>February</b:Month>
    <b:Day>10</b:Day>
    <b:URL>https://treasury.gov.au/consultation/c2019-36292/submissions</b:URL>
    <b:RefOrder>341</b:RefOrder>
  </b:Source>
  <b:Source>
    <b:Tag>Fir20Sub</b:Tag>
    <b:SourceType>DocumentFromInternetSite</b:SourceType>
    <b:Guid>{4A2C6A4C-31D7-495D-B499-1136D0393A97}</b:Guid>
    <b:Author>
      <b:Author>
        <b:Corporate>First State Super</b:Corporate>
      </b:Author>
    </b:Author>
    <b:Title>Retirement Income Review submissions</b:Title>
    <b:Year>2020b</b:Year>
    <b:URL>https://treasury.gov.au/consultation/c2019-36292/submissions</b:URL>
    <b:Month>February</b:Month>
    <b:Day>10</b:Day>
    <b:RefOrder>8</b:RefOrder>
  </b:Source>
  <b:Source>
    <b:Tag>ASF20Sub</b:Tag>
    <b:SourceType>DocumentFromInternetSite</b:SourceType>
    <b:Guid>{209B93D3-F844-4D95-914B-D6D6DA8C9FA2}</b:Guid>
    <b:Author>
      <b:Author>
        <b:Corporate>ASFA</b:Corporate>
      </b:Author>
    </b:Author>
    <b:Title>Retirement Income Review submissions</b:Title>
    <b:InternetSiteTitle>Retirement Income Review Submissions</b:InternetSiteTitle>
    <b:Year>2020a</b:Year>
    <b:Month>February</b:Month>
    <b:Day>10</b:Day>
    <b:URL>https://treasury.gov.au/consultation/c2019-36292/submissions</b:URL>
    <b:RefOrder>129</b:RefOrder>
  </b:Source>
  <b:Source>
    <b:Tag>Ass20</b:Tag>
    <b:SourceType>DocumentFromInternetSite</b:SourceType>
    <b:Guid>{C1FCA7D8-C94F-406F-9D25-581278738DFA}</b:Guid>
    <b:Author>
      <b:Author>
        <b:Corporate>Bunbury Branch of the Association of Independent Retirees</b:Corporate>
      </b:Author>
    </b:Author>
    <b:Title>Retirement Income Review submissions</b:Title>
    <b:Year>2020</b:Year>
    <b:Month>1</b:Month>
    <b:Day>22</b:Day>
    <b:URL>https://treasury.gov.au/consultation/c2019-36292/submissions</b:URL>
    <b:RefOrder>359</b:RefOrder>
  </b:Source>
  <b:Source>
    <b:Tag>The202</b:Tag>
    <b:SourceType>DocumentFromInternetSite</b:SourceType>
    <b:Guid>{0AA429C7-F990-4EF4-A175-7D747FD55063}</b:Guid>
    <b:Title>Retirement Income Review submissions</b:Title>
    <b:Year>2020</b:Year>
    <b:Author>
      <b:Author>
        <b:Corporate>Alliance for a Fairer Retirement System</b:Corporate>
      </b:Author>
    </b:Author>
    <b:Month>2</b:Month>
    <b:Day>3</b:Day>
    <b:URL>https://treasury.gov.au/consultation/c2019-36292/submissions</b:URL>
    <b:RefOrder>358</b:RefOrder>
  </b:Source>
  <b:Source>
    <b:Tag>AIS201</b:Tag>
    <b:SourceType>DocumentFromInternetSite</b:SourceType>
    <b:Guid>{71EAF4E0-10A8-46C2-9EF9-27FF8656078D}</b:Guid>
    <b:Author>
      <b:Author>
        <b:Corporate>Australian Institute of Superannuation Trustees</b:Corporate>
      </b:Author>
    </b:Author>
    <b:Title>Retirement Income Review submissions</b:Title>
    <b:Year>2020</b:Year>
    <b:Month>February</b:Month>
    <b:Day>10</b:Day>
    <b:URL>https://treasury.gov.au/consultation/c2019-36292/submissions</b:URL>
    <b:RefOrder>175</b:RefOrder>
  </b:Source>
  <b:Source>
    <b:Tag>ACO202</b:Tag>
    <b:SourceType>DocumentFromInternetSite</b:SourceType>
    <b:Guid>{BC105731-6718-43BD-91FC-5EB9AE01E5FF}</b:Guid>
    <b:Author>
      <b:Author>
        <b:Corporate>Australian Council of Social Service</b:Corporate>
      </b:Author>
    </b:Author>
    <b:Title>Retirement Income Review submissions</b:Title>
    <b:InternetSiteTitle>Retirement Income Review Submissions</b:InternetSiteTitle>
    <b:Year>2020</b:Year>
    <b:Month>February</b:Month>
    <b:Day>10</b:Day>
    <b:URL>https://treasury.gov.au/consultation/c2019-36292/submissions</b:URL>
    <b:RefOrder>7</b:RefOrder>
  </b:Source>
  <b:Source>
    <b:Tag>ACT20Sub</b:Tag>
    <b:SourceType>DocumentFromInternetSite</b:SourceType>
    <b:Guid>{87F7E321-FA0A-4C9C-AC4F-6B1E75BACD06}</b:Guid>
    <b:Author>
      <b:Author>
        <b:Corporate>Australian Council of Trade Unions</b:Corporate>
      </b:Author>
    </b:Author>
    <b:Title>Retirement Income Review submissions</b:Title>
    <b:Year>2020</b:Year>
    <b:Month>February</b:Month>
    <b:Day>2020</b:Day>
    <b:URL>https://treasury.gov.au/consultation/c2019-36292/submissions</b:URL>
    <b:RefOrder>223</b:RefOrder>
  </b:Source>
  <b:Source>
    <b:Tag>WiS20</b:Tag>
    <b:SourceType>DocumentFromInternetSite</b:SourceType>
    <b:Guid>{E70B69F8-FF18-4034-8DD7-880D8D231331}</b:Guid>
    <b:Author>
      <b:Author>
        <b:Corporate>Women in Social and Economic Research</b:Corporate>
      </b:Author>
    </b:Author>
    <b:Title>Retirement Income Review submissions</b:Title>
    <b:InternetSiteTitle>Australian Government Treasury</b:InternetSiteTitle>
    <b:Year>2020</b:Year>
    <b:Month>1</b:Month>
    <b:URL>https://treasury.gov.au/consultation/c2019-36292/submissions</b:URL>
    <b:RefOrder>213</b:RefOrder>
  </b:Source>
  <b:Source>
    <b:Tag>Wes20</b:Tag>
    <b:SourceType>DocumentFromInternetSite</b:SourceType>
    <b:Guid>{3851F605-C1AF-438F-8568-1C4ED85200A9}</b:Guid>
    <b:Author>
      <b:Author>
        <b:Corporate>Western Australia Self Funded Retirees Inc.</b:Corporate>
      </b:Author>
    </b:Author>
    <b:Title>Retirement Income Review submissions</b:Title>
    <b:Year>2020</b:Year>
    <b:Month>Febraury</b:Month>
    <b:Day>3</b:Day>
    <b:URL>https://treasury.gov.au/consultation/c2019-36292/submissions</b:URL>
    <b:RefOrder>177</b:RefOrder>
  </b:Source>
  <b:Source>
    <b:Tag>Mer20</b:Tag>
    <b:SourceType>DocumentFromInternetSite</b:SourceType>
    <b:Guid>{2AC05B1D-641F-4FD6-A5D4-F4456B635C2D}</b:Guid>
    <b:Author>
      <b:Author>
        <b:Corporate>Mercer</b:Corporate>
      </b:Author>
    </b:Author>
    <b:Title>Retirement Income Review submissions</b:Title>
    <b:InternetSiteTitle>Australian Government Treasury</b:InternetSiteTitle>
    <b:Year>2020</b:Year>
    <b:Month>02</b:Month>
    <b:Day>03</b:Day>
    <b:URL>https://treasury.gov.au/consultation/c2019-36292/submissions</b:URL>
    <b:RefOrder>337</b:RefOrder>
  </b:Source>
  <b:Source>
    <b:Tag>HES20</b:Tag>
    <b:SourceType>DocumentFromInternetSite</b:SourceType>
    <b:Guid>{58C25AF1-C0CB-492B-93ED-3119E8D9F5CB}</b:Guid>
    <b:Title>Retirement Income Review submissions</b:Title>
    <b:Year>2020</b:Year>
    <b:Author>
      <b:Author>
        <b:Corporate>HESTA</b:Corporate>
      </b:Author>
    </b:Author>
    <b:Month>February</b:Month>
    <b:Day>3</b:Day>
    <b:URL>https://treasury.gov.au/consultation/c2019-36292/submissions</b:URL>
    <b:RefOrder>512</b:RefOrder>
  </b:Source>
  <b:Source>
    <b:Tag>Divsa</b:Tag>
    <b:SourceType>DocumentFromInternetSite</b:SourceType>
    <b:Guid>{CA14B8DC-0F92-45D2-A1B6-CC7B24F2D2A2}</b:Guid>
    <b:Title>Retirement Income Review submissions</b:Title>
    <b:Year>2020</b:Year>
    <b:InternetSiteTitle>Australian Government Treasury</b:InternetSiteTitle>
    <b:Author>
      <b:Author>
        <b:Corporate>Diversa Trustees - A Sargon Business</b:Corporate>
      </b:Author>
    </b:Author>
    <b:Month>02</b:Month>
    <b:Day>03</b:Day>
    <b:URL>https://treasury.gov.au/consultation/c2019-36292/submissions</b:URL>
    <b:RefOrder>368</b:RefOrder>
  </b:Source>
  <b:Source>
    <b:Tag>CEPAR2020</b:Tag>
    <b:SourceType>DocumentFromInternetSite</b:SourceType>
    <b:Guid>{39D519F3-9419-427C-9CE2-606841FB13E7}</b:Guid>
    <b:Title>Retirement Income Review submissions</b:Title>
    <b:Year>2020</b:Year>
    <b:Author>
      <b:Author>
        <b:Corporate>CEPAR</b:Corporate>
      </b:Author>
    </b:Author>
    <b:InternetSiteTitle>Treasury</b:InternetSiteTitle>
    <b:URL>https://treasury.gov.au/consultation/c2019-36292/submissions</b:URL>
    <b:Month>February</b:Month>
    <b:Day>10</b:Day>
    <b:RefOrder>4</b:RefOrder>
  </b:Source>
  <b:Source>
    <b:Tag>You20</b:Tag>
    <b:SourceType>DocumentFromInternetSite</b:SourceType>
    <b:Guid>{00374D20-7DBB-4DB0-AD28-95FFF936E5E5}</b:Guid>
    <b:Author>
      <b:Author>
        <b:Corporate>Your Life Choices</b:Corporate>
      </b:Author>
    </b:Author>
    <b:Title>Retirement Income Review submissions</b:Title>
    <b:Year>2020</b:Year>
    <b:Month>Febraury</b:Month>
    <b:Day>10</b:Day>
    <b:URL>https://treasury.gov.au/consultation/c2019-36292/submissions</b:URL>
    <b:RefOrder>340</b:RefOrder>
  </b:Source>
  <b:Source>
    <b:Tag>Sup20</b:Tag>
    <b:SourceType>DocumentFromInternetSite</b:SourceType>
    <b:Guid>{0769819F-FBC7-4A61-9FC2-8ACDD68CED9A}</b:Guid>
    <b:Author>
      <b:Author>
        <b:Corporate>Super Consumers Australia</b:Corporate>
      </b:Author>
    </b:Author>
    <b:Title>Retirement Income Review submissions</b:Title>
    <b:Year>2020</b:Year>
    <b:Month>02</b:Month>
    <b:Day>10</b:Day>
    <b:URL>https://treasury.gov.au/consultation/c2019-36292/submissions</b:URL>
    <b:RefOrder>103</b:RefOrder>
  </b:Source>
  <b:Source>
    <b:Tag>Ric20</b:Tag>
    <b:SourceType>DocumentFromInternetSite</b:SourceType>
    <b:Guid>{6A7A265E-4BEF-4094-A623-51F62C7D5D23}</b:Guid>
    <b:Author>
      <b:Author>
        <b:Corporate>Rice Warner</b:Corporate>
      </b:Author>
    </b:Author>
    <b:Title>Retirement Income Review submissions</b:Title>
    <b:InternetSiteTitle>Australian Government Treasury</b:InternetSiteTitle>
    <b:Year>2020</b:Year>
    <b:Month>02</b:Month>
    <b:Day>05</b:Day>
    <b:URL>https://treasury.gov.au/consultation/c2019-36292/submissions</b:URL>
    <b:RefOrder>104</b:RefOrder>
  </b:Source>
  <b:Source>
    <b:Tag>GriS20</b:Tag>
    <b:SourceType>DocumentFromInternetSite</b:SourceType>
    <b:Guid>{4EDF5968-6A17-462D-A018-8A49AF978ADE}</b:Guid>
    <b:Author>
      <b:Author>
        <b:Corporate>Griffith Centre for Personal Finance and Superannuation</b:Corporate>
      </b:Author>
    </b:Author>
    <b:Title>Retirement Income Review submissions</b:Title>
    <b:Year>2020</b:Year>
    <b:Month>February</b:Month>
    <b:Day>10</b:Day>
    <b:URL>https://treasury.gov.au/consultation/c2019-36292/submissions</b:URL>
    <b:RefOrder>6</b:RefOrder>
  </b:Source>
  <b:Source>
    <b:Tag>Ass201</b:Tag>
    <b:SourceType>DocumentFromInternetSite</b:SourceType>
    <b:Guid>{675C5A3E-511A-450C-86BA-35E46608949D}</b:Guid>
    <b:Author>
      <b:Author>
        <b:Corporate>Association of Independent Retirees</b:Corporate>
      </b:Author>
    </b:Author>
    <b:Title>Retirement Income Review submissions</b:Title>
    <b:Year>2020</b:Year>
    <b:Month>February</b:Month>
    <b:Day>10</b:Day>
    <b:URL>https://treasury.gov.au/consultation/c2019-36292/submissions</b:URL>
    <b:RefOrder>532</b:RefOrder>
  </b:Source>
  <b:Source>
    <b:Tag>Nat20</b:Tag>
    <b:SourceType>DocumentFromInternetSite</b:SourceType>
    <b:Guid>{06DF8E71-3AA1-4CA7-B10D-3B1A8FE60D82}</b:Guid>
    <b:Title>Retirement Income Review submissions</b:Title>
    <b:Year>2020</b:Year>
    <b:Author>
      <b:Author>
        <b:Corporate>National Seniors Australia</b:Corporate>
      </b:Author>
    </b:Author>
    <b:Month>02</b:Month>
    <b:Day>3</b:Day>
    <b:URL>https://treasury.gov.au/consultation/c2019-36292/submissions</b:URL>
    <b:RefOrder>20</b:RefOrder>
  </b:Source>
  <b:Source>
    <b:Tag>Com201</b:Tag>
    <b:SourceType>DocumentFromInternetSite</b:SourceType>
    <b:Guid>{26C57D17-D232-4E7B-9B50-DDB8D67954B5}</b:Guid>
    <b:Author>
      <b:Author>
        <b:Corporate>Combined Pensioners &amp; Superannuants Association</b:Corporate>
      </b:Author>
    </b:Author>
    <b:Title>Retirement Income Review submissions</b:Title>
    <b:Year>2020</b:Year>
    <b:Month>February</b:Month>
    <b:Day>10</b:Day>
    <b:URL>https://treasury.gov.au/consultation/c2019-36292/submissions</b:URL>
    <b:RefOrder>533</b:RefOrder>
  </b:Source>
  <b:Source>
    <b:Tag>Aus201</b:Tag>
    <b:SourceType>DocumentFromInternetSite</b:SourceType>
    <b:Guid>{CBFAF8FA-05DF-476A-B954-AFC527A91355}</b:Guid>
    <b:Author>
      <b:Author>
        <b:Corporate>Australian Housing and Urban Research Institute</b:Corporate>
      </b:Author>
    </b:Author>
    <b:Title>Retirement Income Review submissions</b:Title>
    <b:Year>2020</b:Year>
    <b:Month>February</b:Month>
    <b:Day>10</b:Day>
    <b:URL>https://treasury.gov.au/consultation/c2019-36292/submissions</b:URL>
    <b:RefOrder>534</b:RefOrder>
  </b:Source>
  <b:Source>
    <b:Tag>IOO20</b:Tag>
    <b:SourceType>DocumentFromInternetSite</b:SourceType>
    <b:Guid>{8FD97223-FCEB-45A6-9037-77F1887BAB8B}</b:Guid>
    <b:Author>
      <b:Author>
        <b:Corporate>IOOF</b:Corporate>
      </b:Author>
    </b:Author>
    <b:Title>Retirement Income Review submissions</b:Title>
    <b:Year>2020</b:Year>
    <b:Month>February</b:Month>
    <b:Day>10</b:Day>
    <b:URL>https://treasury.gov.au/consultation/c2019-36292/submissions</b:URL>
    <b:RefOrder>535</b:RefOrder>
  </b:Source>
  <b:Source>
    <b:Tag>AMP20</b:Tag>
    <b:SourceType>DocumentFromInternetSite</b:SourceType>
    <b:Guid>{459C3B42-16E8-40EB-9D73-9922326C7E65}</b:Guid>
    <b:Author>
      <b:Author>
        <b:Corporate>AMP</b:Corporate>
      </b:Author>
    </b:Author>
    <b:Title>Retirement Income Review submissions</b:Title>
    <b:Year>2020</b:Year>
    <b:Month>February</b:Month>
    <b:Day>14</b:Day>
    <b:URL>https://treasury.gov.au/consultation/c2019-36292/submissions</b:URL>
    <b:RefOrder>342</b:RefOrder>
  </b:Source>
  <b:Source>
    <b:Tag>Wom20</b:Tag>
    <b:SourceType>DocumentFromInternetSite</b:SourceType>
    <b:Guid>{240F3040-EA32-435E-BC84-0A3D01E4CE16}</b:Guid>
    <b:Author>
      <b:Author>
        <b:Corporate>Women in Super</b:Corporate>
      </b:Author>
    </b:Author>
    <b:Title>Retirement Income Review submissions</b:Title>
    <b:Year>2020</b:Year>
    <b:Month>February</b:Month>
    <b:Day>7</b:Day>
    <b:URL>https://treasury.gov.au/consultation/c2019-36292/submissions</b:URL>
    <b:RefOrder>536</b:RefOrder>
  </b:Source>
  <b:Source>
    <b:Tag>Com20</b:Tag>
    <b:SourceType>DocumentFromInternetSite</b:SourceType>
    <b:Guid>{D00E0A95-06EA-4EC6-8619-65CC6B92B284}</b:Guid>
    <b:Author>
      <b:Author>
        <b:Corporate>Committee for Sustainable Retirement Incomes</b:Corporate>
      </b:Author>
    </b:Author>
    <b:Title>Retirement Income Review submissions</b:Title>
    <b:Year>2020</b:Year>
    <b:Month>January</b:Month>
    <b:URL>https://treasury.gov.au/consultation/c2019-36292/submissions</b:URL>
    <b:RefOrder>537</b:RefOrder>
  </b:Source>
  <b:Source>
    <b:Tag>Sav20</b:Tag>
    <b:SourceType>DocumentFromInternetSite</b:SourceType>
    <b:Guid>{D9ED6E9A-E204-4415-AB39-AF83CE6B907A}</b:Guid>
    <b:Author>
      <b:Author>
        <b:Corporate>Save Our Super</b:Corporate>
      </b:Author>
    </b:Author>
    <b:Title>Retirement Income Review submissions</b:Title>
    <b:Year>2020</b:Year>
    <b:Month>January</b:Month>
    <b:Day>22</b:Day>
    <b:URL>https://treasury.gov.au/consultation/c2019-36292/submissions</b:URL>
    <b:RefOrder>538</b:RefOrder>
  </b:Source>
  <b:Source>
    <b:Tag>COT20</b:Tag>
    <b:SourceType>DocumentFromInternetSite</b:SourceType>
    <b:Guid>{19EB1948-FB26-4377-AAFC-C6D7D8101272}</b:Guid>
    <b:Author>
      <b:Author>
        <b:Corporate>COTA</b:Corporate>
      </b:Author>
    </b:Author>
    <b:Title>Retirement Income Review submissions</b:Title>
    <b:Year>2020</b:Year>
    <b:URL>https://treasury.gov.au/consultation/c2019-36292/submissions</b:URL>
    <b:Month>February</b:Month>
    <b:Day>28</b:Day>
    <b:RefOrder>5</b:RefOrder>
  </b:Source>
  <b:Source>
    <b:Tag>AusSup</b:Tag>
    <b:SourceType>DocumentFromInternetSite</b:SourceType>
    <b:Guid>{50F80DD8-0ED8-4173-8F94-7A922FF415D3}</b:Guid>
    <b:Author>
      <b:Author>
        <b:Corporate>AustralianSuper</b:Corporate>
      </b:Author>
    </b:Author>
    <b:Title>Retirement Income Review submissions</b:Title>
    <b:Day>10</b:Day>
    <b:URL>https://treasury.gov.au/consultation/c2019-36292/submissions</b:URL>
    <b:Year>2020</b:Year>
    <b:Month>February</b:Month>
    <b:RefOrder>539</b:RefOrder>
  </b:Source>
  <b:Source>
    <b:Tag>Cha20</b:Tag>
    <b:SourceType>DocumentFromInternetSite</b:SourceType>
    <b:Guid>{38735A6D-0E6C-4A2B-9A67-3E7CD67BB75C}</b:Guid>
    <b:Author>
      <b:Author>
        <b:Corporate>Chartered Accountants Australia and New Zealand</b:Corporate>
      </b:Author>
    </b:Author>
    <b:Title>Retirement Income Review submissions</b:Title>
    <b:Year>2020</b:Year>
    <b:Month>February</b:Month>
    <b:Day>10</b:Day>
    <b:URL>https://treasury.gov.au/consultation/c2019-36292/submissions</b:URL>
    <b:RefOrder>9</b:RefOrder>
  </b:Source>
  <b:Source>
    <b:Tag>Cen20</b:Tag>
    <b:SourceType>DocumentFromInternetSite</b:SourceType>
    <b:Guid>{5E00DDC9-3F9B-466F-BEA3-813C67BF1C05}</b:Guid>
    <b:Author>
      <b:Author>
        <b:Corporate>Centre for Law, Markets and Regulation</b:Corporate>
      </b:Author>
    </b:Author>
    <b:Title>Retirement Income Review submissions</b:Title>
    <b:InternetSiteTitle>Retirement Income Review submissions</b:InternetSiteTitle>
    <b:Year>2020</b:Year>
    <b:Month>February</b:Month>
    <b:Day>14</b:Day>
    <b:URL>https://treasury.gov.au/consultation/c2019-36292/submissions</b:URL>
    <b:RefOrder>11</b:RefOrder>
  </b:Source>
  <b:Source>
    <b:Tag>Ind20</b:Tag>
    <b:SourceType>DocumentFromInternetSite</b:SourceType>
    <b:Guid>{3B3D3AF0-8228-4C7F-B23E-9F204ECAAA49}</b:Guid>
    <b:Author>
      <b:Author>
        <b:Corporate>Industry Super Australia</b:Corporate>
      </b:Author>
    </b:Author>
    <b:Title>Retirement Income Review submissions</b:Title>
    <b:InternetSiteTitle>The Treasury</b:InternetSiteTitle>
    <b:Year>2020</b:Year>
    <b:Month>February</b:Month>
    <b:Day>3</b:Day>
    <b:URL>https://treasury.gov.au/consultation/c2019-36292/submissions</b:URL>
    <b:RefOrder>147</b:RefOrder>
  </b:Source>
  <b:Source>
    <b:Tag>Gra20</b:Tag>
    <b:SourceType>DocumentFromInternetSite</b:SourceType>
    <b:Guid>{70AFEE93-209F-44CC-AB84-C7F43A7FE874}</b:Guid>
    <b:Author>
      <b:Author>
        <b:Corporate>Grattan Institute</b:Corporate>
      </b:Author>
    </b:Author>
    <b:Title>Retirement Income Review submissions</b:Title>
    <b:Year>2020</b:Year>
    <b:Month>March</b:Month>
    <b:Day>16</b:Day>
    <b:URL>https://treasury.gov.au/consultation/c2019-36292/submissions</b:URL>
    <b:RefOrder>412</b:RefOrder>
  </b:Source>
  <b:Source>
    <b:Tag>Act</b:Tag>
    <b:SourceType>DocumentFromInternetSite</b:SourceType>
    <b:Guid>{74A3E36F-0F12-4F04-A8C8-33A5E7B16B3A}</b:Guid>
    <b:Author>
      <b:Author>
        <b:Corporate>Actuaries Institute</b:Corporate>
      </b:Author>
    </b:Author>
    <b:Title>Retirement Income Review submissions</b:Title>
    <b:Year>2020</b:Year>
    <b:URL>https://treasury.gov.au/consultation/c2019-36292/submissions</b:URL>
    <b:Month>February</b:Month>
    <b:Day>10</b:Day>
    <b:RefOrder>128</b:RefOrder>
  </b:Source>
  <b:Source>
    <b:Tag>Vic20</b:Tag>
    <b:SourceType>DocumentFromInternetSite</b:SourceType>
    <b:Guid>{208C217B-3BD6-4D9B-AE7F-25C3806C2147}</b:Guid>
    <b:Author>
      <b:Author>
        <b:Corporate>Victorian Government</b:Corporate>
      </b:Author>
    </b:Author>
    <b:Title>Retirement Income Review submissions</b:Title>
    <b:Year>2020</b:Year>
    <b:InternetSiteTitle>Treasury</b:InternetSiteTitle>
    <b:Month>February</b:Month>
    <b:Day>14</b:Day>
    <b:URL>https://treasury.gov.au/consultation/c2019-36292/submissions</b:URL>
    <b:RefOrder>245</b:RefOrder>
  </b:Source>
  <b:Source>
    <b:Tag>Fix20</b:Tag>
    <b:SourceType>DocumentFromInternetSite</b:SourceType>
    <b:Guid>{1B6ECB04-ED87-4AC0-B6D0-321E23E43CDE}</b:Guid>
    <b:Author>
      <b:Author>
        <b:Corporate>Fix Pension Poverty campaign</b:Corporate>
      </b:Author>
    </b:Author>
    <b:Title>Retirement Income Review submissions</b:Title>
    <b:InternetSiteTitle>Retirement Income Review Submissions</b:InternetSiteTitle>
    <b:Year>2020</b:Year>
    <b:Month>February</b:Month>
    <b:Day>10</b:Day>
    <b:URL>https://treasury.gov.au/consultation/c2019-36292/submissions</b:URL>
    <b:RefOrder>247</b:RefOrder>
  </b:Source>
  <b:Source>
    <b:Tag>Mis20</b:Tag>
    <b:SourceType>DocumentFromInternetSite</b:SourceType>
    <b:Guid>{798CFEE7-E2E1-4C4E-8BE3-1E8C45A24550}</b:Guid>
    <b:Author>
      <b:Author>
        <b:Corporate>Mission Australia</b:Corporate>
      </b:Author>
    </b:Author>
    <b:Title>Retirement Income Review submissions</b:Title>
    <b:Year>2020</b:Year>
    <b:Month>February</b:Month>
    <b:Day>10</b:Day>
    <b:URL>https://treasury.gov.au/consultation/c2019-36292/submissions</b:URL>
    <b:RefOrder>246</b:RefOrder>
  </b:Source>
  <b:Source>
    <b:Tag>Car20</b:Tag>
    <b:SourceType>DocumentFromInternetSite</b:SourceType>
    <b:Guid>{E4D7C829-1E86-424A-B026-AF652E791594}</b:Guid>
    <b:Author>
      <b:Author>
        <b:Corporate>Carers NSW</b:Corporate>
      </b:Author>
    </b:Author>
    <b:Title>Retirement Income Review submissions</b:Title>
    <b:InternetSiteTitle>The Treasury</b:InternetSiteTitle>
    <b:Year>2020</b:Year>
    <b:Month>2</b:Month>
    <b:Day>10</b:Day>
    <b:URL>https://treasury.gov.au/consultation/c2019-36292/submissions</b:URL>
    <b:RefOrder>211</b:RefOrder>
  </b:Source>
  <b:Source>
    <b:Tag>FSC20</b:Tag>
    <b:SourceType>DocumentFromInternetSite</b:SourceType>
    <b:Guid>{6DEA2939-C150-4518-AFB0-0A61C39D896C}</b:Guid>
    <b:Author>
      <b:Author>
        <b:Corporate>Financial Services Council</b:Corporate>
      </b:Author>
    </b:Author>
    <b:Title>Retirement Income Review submissions</b:Title>
    <b:InternetSiteTitle>Australian Government Treasury</b:InternetSiteTitle>
    <b:Year>2020</b:Year>
    <b:Month>March</b:Month>
    <b:URL>https://treasury.gov.au/consultation/c2019-36292/submissions</b:URL>
    <b:Day>16</b:Day>
    <b:RefOrder>176</b:RefOrder>
  </b:Source>
  <b:Source>
    <b:Tag>CBU20</b:Tag>
    <b:SourceType>DocumentFromInternetSite</b:SourceType>
    <b:Guid>{452DE8F6-F80E-4BD5-892E-3F23ECFC36AA}</b:Guid>
    <b:Title>Retirement Income Review submissions</b:Title>
    <b:Year>2020</b:Year>
    <b:Author>
      <b:Author>
        <b:Corporate>Cbus</b:Corporate>
      </b:Author>
    </b:Author>
    <b:InternetSiteTitle>Treasury</b:InternetSiteTitle>
    <b:URL>https://treasury.gov.au/consultation/c2019-36292/submissions</b:URL>
    <b:Month>February</b:Month>
    <b:Day>10</b:Day>
    <b:RefOrder>235</b:RefOrder>
  </b:Source>
  <b:Source>
    <b:Tag>Monf20</b:Tag>
    <b:SourceType>DocumentFromInternetSite</b:SourceType>
    <b:Guid>{F346A3F4-EF2E-4678-BD05-5808389BE649}</b:Guid>
    <b:Author>
      <b:Author>
        <b:Corporate>Monash Centre for Financial Studies</b:Corporate>
      </b:Author>
    </b:Author>
    <b:Title>Retirement Income Review submissions</b:Title>
    <b:Year>2020</b:Year>
    <b:Month>February</b:Month>
    <b:Day>10</b:Day>
    <b:URL>https://treasury.gov.au/consultation/c2019-36292/submissions</b:URL>
    <b:RefOrder>367</b:RefOrder>
  </b:Source>
  <b:Source>
    <b:Tag>AIA20</b:Tag>
    <b:SourceType>DocumentFromInternetSite</b:SourceType>
    <b:Guid>{2B00107E-3390-414A-B78A-836458CA7574}</b:Guid>
    <b:Author>
      <b:Author>
        <b:Corporate>AIA Australia</b:Corporate>
      </b:Author>
    </b:Author>
    <b:Title>Retirement Income Review submissions</b:Title>
    <b:Year>2020</b:Year>
    <b:Month>February</b:Month>
    <b:Day>10</b:Day>
    <b:URL>https://treasury.gov.au/consultation/c2019-36292/submissions</b:URL>
    <b:RefOrder>540</b:RefOrder>
  </b:Source>
  <b:Source>
    <b:Tag>Sel20</b:Tag>
    <b:SourceType>DocumentFromInternetSite</b:SourceType>
    <b:Guid>{D2E0FFEE-8C8A-400B-9C44-6F8335119294}</b:Guid>
    <b:Author>
      <b:Author>
        <b:Corporate>Self-managed Independent Superannuation Funds Association</b:Corporate>
      </b:Author>
    </b:Author>
    <b:Title>Retirement Income Review submissions</b:Title>
    <b:Year>2020</b:Year>
    <b:Month>February</b:Month>
    <b:Day>21</b:Day>
    <b:URL>https://treasury.gov.au/consultation/c2019-36292/submissions</b:URL>
    <b:RefOrder>343</b:RefOrder>
  </b:Source>
  <b:Source>
    <b:Tag>Fin19</b:Tag>
    <b:SourceType>InternetSite</b:SourceType>
    <b:Guid>{DD8B2CCC-1481-41C8-8225-6FAF15E35E3B}</b:Guid>
    <b:Title>Retirement income market data 2018/19</b:Title>
    <b:Year>2019</b:Year>
    <b:Author>
      <b:Author>
        <b:Corporate>Financial Conduct Authority</b:Corporate>
      </b:Author>
    </b:Author>
    <b:YearAccessed>2020</b:YearAccessed>
    <b:MonthAccessed>July</b:MonthAccessed>
    <b:DayAccessed>3</b:DayAccessed>
    <b:URL>https://www.fca.org.uk/data/retirement-income-market-data#advice</b:URL>
    <b:RefOrder>461</b:RefOrder>
  </b:Source>
  <b:Source>
    <b:Tag>Raf18</b:Tag>
    <b:SourceType>Report</b:SourceType>
    <b:Guid>{C2B7D029-797E-4141-B5F2-0A8CACFECBB5}</b:Guid>
    <b:Author>
      <b:Author>
        <b:Corporate>CEPAR</b:Corporate>
      </b:Author>
    </b:Author>
    <b:Title>Retirement income in Australia: Part III – Private resources</b:Title>
    <b:Year>2018b</b:Year>
    <b:Publisher>ARC Centre of Excellence in Population and Ageing Research</b:Publisher>
    <b:City>Sydney</b:City>
    <b:RefOrder>44</b:RefOrder>
  </b:Source>
  <b:Source>
    <b:Tag>CEP18</b:Tag>
    <b:SourceType>Report</b:SourceType>
    <b:Guid>{70019303-8706-40E6-8E6C-E06F938A5E6D}</b:Guid>
    <b:Author>
      <b:Author>
        <b:Corporate>CEPAR</b:Corporate>
      </b:Author>
    </b:Author>
    <b:Title>Retirement Income in Australia: Part II - Public Support</b:Title>
    <b:Year>2018a</b:Year>
    <b:City>Sydney</b:City>
    <b:Publisher>ARC Centre of Excellence in Population in Population Ageing Research</b:Publisher>
    <b:RefOrder>120</b:RefOrder>
  </b:Source>
  <b:Source>
    <b:Tag>Tre18</b:Tag>
    <b:SourceType>DocumentFromInternetSite</b:SourceType>
    <b:Guid>{E08B2664-CB62-478A-9FD6-487121BA6E01}</b:Guid>
    <b:Author>
      <b:Author>
        <b:Corporate>The Treasury</b:Corporate>
      </b:Author>
    </b:Author>
    <b:Title>Retirement Income Disclosure Consultation Paper</b:Title>
    <b:Year>2018a</b:Year>
    <b:Publisher>Commonwealth of Australia</b:Publisher>
    <b:InternetSiteTitle>Trreasury</b:InternetSiteTitle>
    <b:URL>https://treasury.gov.au/consultation/c2018-t347107</b:URL>
    <b:YearAccessed>2020</b:YearAccessed>
    <b:MonthAccessed>May</b:MonthAccessed>
    <b:DayAccessed>28</b:DayAccessed>
    <b:RefOrder>541</b:RefOrder>
  </b:Source>
  <b:Source>
    <b:Tag>ABS06</b:Tag>
    <b:SourceType>DocumentFromInternetSite</b:SourceType>
    <b:Guid>{48147BC3-D69D-4F46-948E-C7E547F86BFF}</b:Guid>
    <b:Author>
      <b:Author>
        <b:Corporate>ABS</b:Corporate>
      </b:Author>
    </b:Author>
    <b:Title>Retirement and Retirement Intentions, Australia, Aug 2004 to Jun 2005, cat. no. 6238.0</b:Title>
    <b:Year>2006b</b:Year>
    <b:Month>February</b:Month>
    <b:Day>6</b:Day>
    <b:YearAccessed>2020</b:YearAccessed>
    <b:MonthAccessed>February</b:MonthAccessed>
    <b:DayAccessed>15</b:DayAccessed>
    <b:URL>https://www.abs.gov.au/AUSSTATS/abs@.nsf/allprimarymainfeatures/93714AE404FA1484CA2573D7001786B1?opendocument</b:URL>
    <b:RefOrder>34</b:RefOrder>
  </b:Source>
  <b:Source>
    <b:Tag>ABS205</b:Tag>
    <b:SourceType>DocumentFromInternetSite</b:SourceType>
    <b:Guid>{CB5668A3-AD20-484D-BEAD-948A0D98C654}</b:Guid>
    <b:Author>
      <b:Author>
        <b:Corporate>ABS</b:Corporate>
      </b:Author>
    </b:Author>
    <b:Title>Retirement and Retirement Intentions, Australia, 2018-19, cat. no. 6238.0</b:Title>
    <b:Year>2020n</b:Year>
    <b:YearAccessed>2020</b:YearAccessed>
    <b:MonthAccessed>May</b:MonthAccessed>
    <b:DayAccessed>25</b:DayAccessed>
    <b:URL>https://www.abs.gov.au/AUSSTATS/abs@.nsf/Lookup/6238.0Main+Features12018-19?OpenDocument</b:URL>
    <b:Month>May</b:Month>
    <b:Day>8</b:Day>
    <b:RefOrder>21</b:RefOrder>
  </b:Source>
  <b:Source>
    <b:Tag>Equ20</b:Tag>
    <b:SourceType>InternetSite</b:SourceType>
    <b:Guid>{8B94F3CC-6591-43FB-AEAA-6F48AD6D72E5}</b:Guid>
    <b:Title>Retirement</b:Title>
    <b:Year>2020</b:Year>
    <b:Author>
      <b:Author>
        <b:Corporate>Equal Opportunity Commission</b:Corporate>
      </b:Author>
    </b:Author>
    <b:InternetSiteTitle>Equal Opportunity Commission</b:InternetSiteTitle>
    <b:URL>https://eoc.sa.gov.au/about-equal-opportunity/employment/dismissing-retrenching-retiring-staff/retirement</b:URL>
    <b:YearAccessed>2020</b:YearAccessed>
    <b:MonthAccessed>May</b:MonthAccessed>
    <b:DayAccessed>28</b:DayAccessed>
    <b:RefOrder>542</b:RefOrder>
  </b:Source>
  <b:Source>
    <b:Tag>Fed19</b:Tag>
    <b:SourceType>Report</b:SourceType>
    <b:Guid>{3223CF73-336A-476A-96C5-52BBBC29A329}</b:Guid>
    <b:Author>
      <b:Author>
        <b:Corporate>Federal Reserve</b:Corporate>
      </b:Author>
    </b:Author>
    <b:Title>Report on the economic well-being of U.S. households in 2018</b:Title>
    <b:Year>2019</b:Year>
    <b:Publisher>Board of Governors of the Federal Reserve System</b:Publisher>
    <b:City>New York</b:City>
    <b:RefOrder>243</b:RefOrder>
  </b:Source>
  <b:Source>
    <b:Tag>Prod20</b:Tag>
    <b:SourceType>Report</b:SourceType>
    <b:Guid>{1D5CC4E0-B074-493F-A9BE-2B7733EC2785}</b:Guid>
    <b:Author>
      <b:Author>
        <b:Corporate>Productivity Commission</b:Corporate>
      </b:Author>
    </b:Author>
    <b:Title>Report on Government Services 2020: Part F, Chapter 14, Aged Care</b:Title>
    <b:Year>2020b</b:Year>
    <b:Publisher>Productivity Commission</b:Publisher>
    <b:City>Canberra</b:City>
    <b:RefOrder>307</b:RefOrder>
  </b:Source>
  <b:Source>
    <b:Tag>ASI191</b:Tag>
    <b:SourceType>Report</b:SourceType>
    <b:Guid>{6E76A6A7-C19E-4AF0-B00A-445EC86DE50B}</b:Guid>
    <b:Author>
      <b:Author>
        <b:Corporate>ASIC</b:Corporate>
      </b:Author>
    </b:Author>
    <b:Title>REP 639 Financial advice by superannuation funds</b:Title>
    <b:Year>2019d</b:Year>
    <b:Publisher>ASIC</b:Publisher>
    <b:RefOrder>456</b:RefOrder>
  </b:Source>
  <b:Source>
    <b:Tag>ASIv19</b:Tag>
    <b:SourceType>Report</b:SourceType>
    <b:Guid>{A041FD1A-5A7B-409D-B501-1C77718AE4B2}</b:Guid>
    <b:Author>
      <b:Author>
        <b:Corporate>ASIC</b:Corporate>
      </b:Author>
    </b:Author>
    <b:Title>REP 627 Financial advice: What consumers really think</b:Title>
    <b:Year>2019b</b:Year>
    <b:ThesisType>Report 627</b:ThesisType>
    <b:Publisher>ASIC</b:Publisher>
    <b:RefOrder>318</b:RefOrder>
  </b:Source>
  <b:Source>
    <b:Tag>ASI18</b:Tag>
    <b:SourceType>Report</b:SourceType>
    <b:Guid>{C26C0329-F213-4F48-9DC0-E075CFC93A55}</b:Guid>
    <b:Author>
      <b:Author>
        <b:Corporate>ASIC</b:Corporate>
      </b:Author>
    </b:Author>
    <b:Title>REP 586 Review of reverse mortgage lending in Australia</b:Title>
    <b:Year>2018c</b:Year>
    <b:Publisher>ASIC</b:Publisher>
    <b:RefOrder>422</b:RefOrder>
  </b:Source>
  <b:Source>
    <b:Tag>ASIC18</b:Tag>
    <b:SourceType>Report</b:SourceType>
    <b:Guid>{6841D502-D76A-4A1E-A813-8A4235ECB26E}</b:Guid>
    <b:Title>REP 562 Financial advice: Vertically integrated institutions and conflicts of interest</b:Title>
    <b:Year>2018a</b:Year>
    <b:Author>
      <b:Author>
        <b:Corporate>ASIC</b:Corporate>
      </b:Author>
    </b:Author>
    <b:Publisher>ASIC</b:Publisher>
    <b:RefOrder>454</b:RefOrder>
  </b:Source>
  <b:Source>
    <b:Tag>ASI16</b:Tag>
    <b:SourceType>Report</b:SourceType>
    <b:Guid>{947DE18F-1107-4997-8E4E-FD1148C54C35}</b:Guid>
    <b:Author>
      <b:Author>
        <b:Corporate>ASIC</b:Corporate>
      </b:Author>
    </b:Author>
    <b:Title>REP 499 Financial advice: Fees for no service</b:Title>
    <b:Year>2016a</b:Year>
    <b:Publisher>ASIC</b:Publisher>
    <b:RefOrder>455</b:RefOrder>
  </b:Source>
  <b:Source>
    <b:Tag>ASI161</b:Tag>
    <b:SourceType>Report</b:SourceType>
    <b:Guid>{D057ADBC-2BE3-4B59-BD33-8EDC3AA8FEA6}</b:Guid>
    <b:Author>
      <b:Author>
        <b:Corporate>ASIC</b:Corporate>
      </b:Author>
    </b:Author>
    <b:Title>Regulatory Guide 255: Providing digital financial product advice to retail clients</b:Title>
    <b:Year>2016b</b:Year>
    <b:Publisher>ASIC</b:Publisher>
    <b:RefOrder>460</b:RefOrder>
  </b:Source>
  <b:Source>
    <b:Tag>ASI15</b:Tag>
    <b:SourceType>Report</b:SourceType>
    <b:Guid>{20C18047-1DC1-48BF-92B3-E8EDF04AAD59}</b:Guid>
    <b:Title>Regulatory Guide 244: Giving information, general advice and scaled advice</b:Title>
    <b:Year>2012a</b:Year>
    <b:Publisher>ASIC</b:Publisher>
    <b:Author>
      <b:Author>
        <b:Corporate>ASIC</b:Corporate>
      </b:Author>
    </b:Author>
    <b:RefOrder>448</b:RefOrder>
  </b:Source>
  <b:Source>
    <b:Tag>ATO195</b:Tag>
    <b:SourceType>InternetSite</b:SourceType>
    <b:Guid>{B6CCD0CA-DA73-43BE-A5E0-059329A186CB}</b:Guid>
    <b:Author>
      <b:Author>
        <b:Corporate>ATO</b:Corporate>
      </b:Author>
    </b:Author>
    <b:Title>Rebate income 2019</b:Title>
    <b:InternetSiteTitle>ATO</b:InternetSiteTitle>
    <b:Year>2019c</b:Year>
    <b:Month>May</b:Month>
    <b:Day>30</b:Day>
    <b:URL>https://www.ato.gov.au/Individuals/Tax-Return/2019/Tax-return/Tax-offset-questions-T1-T2/Rebate-income-2019/</b:URL>
    <b:YearAccessed>2020</b:YearAccessed>
    <b:MonthAccessed>May</b:MonthAccessed>
    <b:DayAccessed>18</b:DayAccessed>
    <b:RefOrder>184</b:RefOrder>
  </b:Source>
  <b:Source>
    <b:Tag>APRQ201</b:Tag>
    <b:SourceType>DocumentFromInternetSite</b:SourceType>
    <b:Guid>{8A6B01C4-7453-40A8-846C-29968C4677EE}</b:Guid>
    <b:Author>
      <b:Author>
        <b:Corporate>Australian Prudential Regulation Authority</b:Corporate>
      </b:Author>
    </b:Author>
    <b:Title>Quarterly Superannuation Performance Statistics, March 2020</b:Title>
    <b:Year>2020c</b:Year>
    <b:Month>May</b:Month>
    <b:Day>26</b:Day>
    <b:YearAccessed>2020</b:YearAccessed>
    <b:MonthAccessed>July</b:MonthAccessed>
    <b:DayAccessed>3</b:DayAccessed>
    <b:URL>https://www.apra.gov.au/quarterly-superannuation-statistics</b:URL>
    <b:RefOrder>162</b:RefOrder>
  </b:Source>
  <b:Source>
    <b:Tag>Aus19</b:Tag>
    <b:SourceType>DocumentFromInternetSite</b:SourceType>
    <b:Guid>{97E5E89E-0D9C-4F4E-9A53-2CBC6766B306}</b:Guid>
    <b:Author>
      <b:Author>
        <b:Corporate>Australian Prudential Regulation Authority</b:Corporate>
      </b:Author>
    </b:Author>
    <b:Title>Quarterly Superannuation Performance Statistics, June 2019</b:Title>
    <b:Year>2020b</b:Year>
    <b:Publisher>APRA</b:Publisher>
    <b:City>Sydney</b:City>
    <b:YearAccessed>2020</b:YearAccessed>
    <b:MonthAccessed>July</b:MonthAccessed>
    <b:DayAccessed>3</b:DayAccessed>
    <b:URL>https://www.apra.gov.au/sites/default/files/quarterly_superannuation_performance_statistics_june_2019.pdf</b:URL>
    <b:RefOrder>517</b:RefOrder>
  </b:Source>
  <b:Source>
    <b:Tag>APR18</b:Tag>
    <b:SourceType>DocumentFromInternetSite</b:SourceType>
    <b:Guid>{8F4F2332-EBB0-4A9F-A4AF-F684F2AE778D}</b:Guid>
    <b:Author>
      <b:Author>
        <b:Corporate>Australian Prudential Regulation Authority</b:Corporate>
      </b:Author>
    </b:Author>
    <b:Title>Quarterly Superannuation Performance Statistics, December 2018</b:Title>
    <b:Year>2019b</b:Year>
    <b:Month>December</b:Month>
    <b:Publisher>APRA</b:Publisher>
    <b:City>Sydney</b:City>
    <b:YearAccessed>2020</b:YearAccessed>
    <b:MonthAccessed>February</b:MonthAccessed>
    <b:DayAccessed>21</b:DayAccessed>
    <b:URL>https://www.apra.gov.au/sites/default/files/quarterly_superannuation_performance_statistics_december_2018.pdf</b:URL>
    <b:RefOrder>315</b:RefOrder>
  </b:Source>
  <b:Source>
    <b:Tag>Sen20</b:Tag>
    <b:SourceType>InternetSite</b:SourceType>
    <b:Guid>{ACB10C06-80B5-42C3-BD88-FEEAA59D7547}</b:Guid>
    <b:Title>QoN 51 - Answers to written questions on notice by Treasury, asked by Senators Sheldon, Siewert and Gallagher on 8 May 2020</b:Title>
    <b:Year>2020</b:Year>
    <b:Author>
      <b:Author>
        <b:Corporate>Senate Standing Committee on COVID-19</b:Corporate>
      </b:Author>
    </b:Author>
    <b:YearAccessed>2020</b:YearAccessed>
    <b:MonthAccessed>May</b:MonthAccessed>
    <b:URL>https://www.aph.gov.au/Parliamentary_Business/Committees/Senate/COVID-19/COVID19/Additional_Documents?docType=Answer%20to%20Question%20on%20Notice</b:URL>
    <b:DayAccessed>18</b:DayAccessed>
    <b:RefOrder>157</b:RefOrder>
  </b:Source>
  <b:Source>
    <b:Tag>Qan19</b:Tag>
    <b:SourceType>InternetSite</b:SourceType>
    <b:Guid>{BAF00105-91EE-403F-ADAD-311215BCBAA2}</b:Guid>
    <b:Title>Qantas Super CSBA Retirement Confidence Index</b:Title>
    <b:Year>2019</b:Year>
    <b:Month>October</b:Month>
    <b:Author>
      <b:Author>
        <b:Corporate>Qantas Super</b:Corporate>
      </b:Author>
    </b:Author>
    <b:InternetSiteTitle>Qantas Super CSBA Retirement Confidence Index</b:InternetSiteTitle>
    <b:YearAccessed>2020</b:YearAccessed>
    <b:MonthAccessed>May</b:MonthAccessed>
    <b:DayAccessed>5</b:DayAccessed>
    <b:URL>https://www.qantassuper.com.au/news/less-wealthy-australians-lack-confidence-in-retirement</b:URL>
    <b:RefOrder>316</b:RefOrder>
  </b:Source>
  <b:Source>
    <b:Tag>Cha203</b:Tag>
    <b:SourceType>InternetSite</b:SourceType>
    <b:Guid>{6F88F146-CB5E-4CAA-B0CF-428E4293D3B9}</b:Guid>
    <b:Title>Products</b:Title>
    <b:Year>2020</b:Year>
    <b:Author>
      <b:Author>
        <b:Corporate>Challenger</b:Corporate>
      </b:Author>
    </b:Author>
    <b:YearAccessed>2020</b:YearAccessed>
    <b:MonthAccessed>June</b:MonthAccessed>
    <b:URL>https://www.challenger.com.au/personal/products</b:URL>
    <b:DayAccessed>19</b:DayAccessed>
    <b:RefOrder>492</b:RefOrder>
  </b:Source>
  <b:Source>
    <b:Tag>ComPD201</b:Tag>
    <b:SourceType>InternetSite</b:SourceType>
    <b:Guid>{17EADDF4-31D0-442C-8DE0-FEB7E44FCC74}</b:Guid>
    <b:Author>
      <b:Author>
        <b:Corporate>Commonwealth Superannuation Corporation</b:Corporate>
      </b:Author>
    </b:Author>
    <b:Title>Product Disclosure Statement</b:Title>
    <b:Year>2020</b:Year>
    <b:YearAccessed>2020</b:YearAccessed>
    <b:MonthAccessed>June</b:MonthAccessed>
    <b:URL>https://www.csc.gov.au/Members/Advice-and-resources/Product-Disclosure-Statement/</b:URL>
    <b:DayAccessed>19</b:DayAccessed>
    <b:RefOrder>495</b:RefOrder>
  </b:Source>
  <b:Source>
    <b:Tag>Pri20</b:Tag>
    <b:SourceType>InternetSite</b:SourceType>
    <b:Guid>{14C67E49-5A55-446F-B3A5-58979C460BF1}</b:Guid>
    <b:Title>Press Conference - Australian Parliament House, ACT 1 May 2020</b:Title>
    <b:Year>2020</b:Year>
    <b:YearAccessed>2020</b:YearAccessed>
    <b:MonthAccessed>May</b:MonthAccessed>
    <b:DayAccessed>7</b:DayAccessed>
    <b:URL>https://www.pm.gov.au/media/press-conference-australian-parliament-house-act-1may20</b:URL>
    <b:Author>
      <b:Author>
        <b:Corporate>Prime Minister of Australia</b:Corporate>
      </b:Author>
    </b:Author>
    <b:RefOrder>75</b:RefOrder>
  </b:Source>
  <b:Source>
    <b:Tag>Act18</b:Tag>
    <b:SourceType>DocumentFromInternetSite</b:SourceType>
    <b:Guid>{4EB2252A-8167-4CF2-B061-9089F2B0D487}</b:Guid>
    <b:Author>
      <b:Author>
        <b:Corporate>Actuaries Institute</b:Corporate>
      </b:Author>
    </b:Author>
    <b:Title>Practice Guideline 499.02 Projected Retirement Benefit Illustrations</b:Title>
    <b:Year>2018</b:Year>
    <b:YearAccessed>2020</b:YearAccessed>
    <b:MonthAccessed>June</b:MonthAccessed>
    <b:DayAccessed>8</b:DayAccessed>
    <b:URL>https://www.actuaries.asn.au/Library/Standards/SuperannuationEmployeeBenefits/2017/PG49902Jan18.pdf</b:URL>
    <b:Month>January</b:Month>
    <b:RefOrder>506</b:RefOrder>
  </b:Source>
  <b:Source>
    <b:Tag>Mel19</b:Tag>
    <b:SourceType>Report</b:SourceType>
    <b:Guid>{B4AAB96F-6A45-4EAE-A9AB-35ECDF97F6EB}</b:Guid>
    <b:Author>
      <b:Author>
        <b:Corporate>Melbourne Institute</b:Corporate>
      </b:Author>
    </b:Author>
    <b:Title>Poverty Lines: Australia - December Quarter 2019</b:Title>
    <b:Year>2019</b:Year>
    <b:City>Melbourne</b:City>
    <b:Publisher>Melbourne Institute of Applied Economic and Social Research</b:Publisher>
    <b:RefOrder>111</b:RefOrder>
  </b:Source>
  <b:Source>
    <b:Tag>Mer14</b:Tag>
    <b:SourceType>Report</b:SourceType>
    <b:Guid>{E2B89D41-623C-4B96-9261-9215B6013843}</b:Guid>
    <b:Title>Post-retirement market trends in Australia, June 2014</b:Title>
    <b:Year>2014</b:Year>
    <b:Author>
      <b:Author>
        <b:Corporate>Mercer</b:Corporate>
      </b:Author>
    </b:Author>
    <b:Publisher>Mercer</b:Publisher>
    <b:RefOrder>465</b:RefOrder>
  </b:Source>
  <b:Source>
    <b:Tag>Placeholder1</b:Tag>
    <b:SourceType>DocumentFromInternetSite</b:SourceType>
    <b:Guid>{49224665-B2FC-428C-96BE-E8C644099597}</b:Guid>
    <b:Author>
      <b:Author>
        <b:Corporate>ABS</b:Corporate>
      </b:Author>
    </b:Author>
    <b:Title>Population Projections, Australia, 2017 (base) - 2066, cat. no. 3222.0</b:Title>
    <b:Year>2018g</b:Year>
    <b:InternetSiteTitle>ABS</b:InternetSiteTitle>
    <b:Month>11</b:Month>
    <b:Day>22</b:Day>
    <b:URL>https://www.abs.gov.au/AUSSTATS/abs@.nsf/DetailsPage/3222.02017%20(base)%20-%202066?OpenDocument</b:URL>
    <b:YearAccessed>2020</b:YearAccessed>
    <b:MonthAccessed>February</b:MonthAccessed>
    <b:DayAccessed>10</b:DayAccessed>
    <b:RefOrder>72</b:RefOrder>
  </b:Source>
  <b:Source>
    <b:Tag>Pen041</b:Tag>
    <b:SourceType>Report</b:SourceType>
    <b:Guid>{3E062E40-515D-41A8-B001-B00A65335279}</b:Guid>
    <b:Author>
      <b:Author>
        <b:Corporate>Pensions Commission</b:Corporate>
      </b:Author>
    </b:Author>
    <b:Title>Pensions: Challenges and Choices</b:Title>
    <b:Year>2004</b:Year>
    <b:Publisher>The Stationary Office</b:Publisher>
    <b:City>Norwich</b:City>
    <b:RefOrder>142</b:RefOrder>
  </b:Source>
  <b:Source>
    <b:Tag>OEC19d</b:Tag>
    <b:SourceType>Report</b:SourceType>
    <b:Guid>{620343D5-FB5D-432A-AA6E-C17E20B93A66}</b:Guid>
    <b:Author>
      <b:Author>
        <b:Corporate>OECD</b:Corporate>
      </b:Author>
    </b:Author>
    <b:Title>Pensions at a Glance 2019: OECD and G20 indicators</b:Title>
    <b:Year>2019b</b:Year>
    <b:Publisher>OECD Publishing</b:Publisher>
    <b:City>Paris</b:City>
    <b:RefOrder>110</b:RefOrder>
  </b:Source>
  <b:Source>
    <b:Tag>OEC15</b:Tag>
    <b:SourceType>Report</b:SourceType>
    <b:Guid>{E670ADFA-865D-488F-86FB-C227E8DC534A}</b:Guid>
    <b:Author>
      <b:Author>
        <b:Corporate>OECD</b:Corporate>
      </b:Author>
    </b:Author>
    <b:Title>Pensions at a Glance 2015: OECD and G20 Indicators</b:Title>
    <b:Year>2015</b:Year>
    <b:Publisher>OECD Publishing</b:Publisher>
    <b:City>Paris</b:City>
    <b:RefOrder>491</b:RefOrder>
  </b:Source>
  <b:Source>
    <b:Tag>OEC13</b:Tag>
    <b:SourceType>Report</b:SourceType>
    <b:Guid>{A34BB291-B47B-496D-BC1C-986C8143DF18}</b:Guid>
    <b:Author>
      <b:Author>
        <b:Corporate>OECD</b:Corporate>
      </b:Author>
    </b:Author>
    <b:Title>Pensions at a Glance 2013: OECD and G20 Indicators</b:Title>
    <b:Year>2013</b:Year>
    <b:City>Paris</b:City>
    <b:Publisher>OECD Publishing</b:Publisher>
    <b:RefOrder>121</b:RefOrder>
  </b:Source>
  <b:Source>
    <b:Tag>Pro20</b:Tag>
    <b:SourceType>Report</b:SourceType>
    <b:Guid>{751C8846-A6BF-439F-9462-984A7720EF51}</b:Guid>
    <b:Title>PC Productivity Insights: Recent Productivity Trends</b:Title>
    <b:Year>2020a</b:Year>
    <b:Author>
      <b:Author>
        <b:Corporate>Productivity Commission</b:Corporate>
      </b:Author>
    </b:Author>
    <b:Publisher>Productivity Commission</b:Publisher>
    <b:City>Canberra</b:City>
    <b:RefOrder>510</b:RefOrder>
  </b:Source>
  <b:Source>
    <b:Tag>PC19</b:Tag>
    <b:SourceType>Report</b:SourceType>
    <b:Guid>{A77A1D6C-FC67-4A7E-A704-9E1BC1CAF91F}</b:Guid>
    <b:Title>PC Productivity Bulletin, May</b:Title>
    <b:Year>2019a</b:Year>
    <b:Author>
      <b:Author>
        <b:Corporate>Productivity Commission</b:Corporate>
      </b:Author>
    </b:Author>
    <b:Publisher>Productivity Commission</b:Publisher>
    <b:City>Canberra</b:City>
    <b:RefOrder>84</b:RefOrder>
  </b:Source>
  <b:Source>
    <b:Tag>ABS19b</b:Tag>
    <b:SourceType>InternetSite</b:SourceType>
    <b:Guid>{6AB21F35-4AE0-4991-BBB8-00EC5A0E15D6}</b:Guid>
    <b:Author>
      <b:Author>
        <b:Corporate>ABS</b:Corporate>
      </b:Author>
    </b:Author>
    <b:Title>Participation, Job Search and Mobility, Australia, Feb 2019, cat. no. 6226.0</b:Title>
    <b:Year>2019r</b:Year>
    <b:Publisher>ABS</b:Publisher>
    <b:City>Canberra</b:City>
    <b:YearAccessed>2020</b:YearAccessed>
    <b:MonthAccessed>March</b:MonthAccessed>
    <b:DayAccessed>18</b:DayAccessed>
    <b:URL>https://www.abs.gov.au/Ausstats/abs@.nsf/0/6A38AB9379F0EFF9CA257FD8001293DE?OpenDocument</b:URL>
    <b:RefOrder>516</b:RefOrder>
  </b:Source>
  <b:Source>
    <b:Tag>WGE20</b:Tag>
    <b:SourceType>InternetSite</b:SourceType>
    <b:Guid>{5C69C6DF-6EE4-484D-85FA-74F88199DA14}</b:Guid>
    <b:Author>
      <b:Author>
        <b:Corporate>Workplace Gender Equality Agency</b:Corporate>
      </b:Author>
    </b:Author>
    <b:Title>Parental leave and support for caring</b:Title>
    <b:InternetSiteTitle>WGEA</b:InternetSiteTitle>
    <b:URL>https://www.wgea.gov.au/data/wgea-research/australias-gender-equality-scorecard/2018-2019-gender-equality-scorecard/employer-action-on-gender-equality/parental-leave-and-support-for-caring</b:URL>
    <b:YearAccessed>2020</b:YearAccessed>
    <b:MonthAccessed>March</b:MonthAccessed>
    <b:DayAccessed>2</b:DayAccessed>
    <b:Year>2019</b:Year>
    <b:RefOrder>190</b:RefOrder>
  </b:Source>
  <b:Source>
    <b:Tag>Coma15</b:Tag>
    <b:SourceType>Report</b:SourceType>
    <b:Guid>{51AA7A3B-B302-4685-909E-7EBED85E63AA}</b:Guid>
    <b:Title>Out of reach? The Australian housing affordability challenge</b:Title>
    <b:Year>2015</b:Year>
    <b:Author>
      <b:Author>
        <b:Corporate>Senate Economics Reference Committee</b:Corporate>
      </b:Author>
    </b:Author>
    <b:Publisher>Commonwealth of Australia</b:Publisher>
    <b:City>Canberra</b:City>
    <b:RefOrder>127</b:RefOrder>
  </b:Source>
  <b:Source>
    <b:Tag>Act19</b:Tag>
    <b:SourceType>DocumentFromInternetSite</b:SourceType>
    <b:Guid>{D9F50F05-F2FB-4C71-8171-32A288BCBB56}</b:Guid>
    <b:Author>
      <b:Author>
        <b:Corporate>Actuaries Institute</b:Corporate>
      </b:Author>
    </b:Author>
    <b:Title>Options for an Improved and Integrated System of Retirement, Green Paper</b:Title>
    <b:Year>2019</b:Year>
    <b:Publisher>Actuaries Institute</b:Publisher>
    <b:Month>August</b:Month>
    <b:YearAccessed>2020</b:YearAccessed>
    <b:MonthAccessed>March</b:MonthAccessed>
    <b:DayAccessed>18</b:DayAccessed>
    <b:URL>https://actuaries.asn.au/Library/Opinion/2019/RETIREMENTINCOMESGREENPAPERFINALWEB.pdf</b:URL>
    <b:RefOrder>429</b:RefOrder>
  </b:Source>
  <b:Source>
    <b:Tag>Natc18</b:Tag>
    <b:SourceType>Report</b:SourceType>
    <b:Guid>{E3F6C847-D754-4862-B0E3-2E18B3051B8C}</b:Guid>
    <b:Author>
      <b:Author>
        <b:Corporate>National Seniors and Challenger</b:Corporate>
      </b:Author>
    </b:Author>
    <b:Title>Once bitten twice shy: GFC concerns linger for Australian seniors</b:Title>
    <b:Year>2018</b:Year>
    <b:Publisher>National Seniors</b:Publisher>
    <b:City>Brisbane</b:City>
    <b:RefOrder>324</b:RefOrder>
  </b:Source>
  <b:Source>
    <b:Tag>Aus192</b:Tag>
    <b:SourceType>Report</b:SourceType>
    <b:Guid>{E7B01FA6-057C-4266-B902-14F2263AE675}</b:Guid>
    <b:Author>
      <b:Author>
        <b:Corporate>Australian Human Rights Commission</b:Corporate>
      </b:Author>
    </b:Author>
    <b:Title>Older Women's Risk of Homelessness: Background Paper</b:Title>
    <b:Year>2019</b:Year>
    <b:Publisher>Australian Human Rights Commission</b:Publisher>
    <b:City>Sydney</b:City>
    <b:RefOrder>201</b:RefOrder>
  </b:Source>
  <b:Source>
    <b:Tag>Aus18</b:Tag>
    <b:SourceType>DocumentFromInternetSite</b:SourceType>
    <b:Guid>{2713FC53-1BC4-4AE8-8583-17924ABC248F}</b:Guid>
    <b:Author>
      <b:Author>
        <b:Corporate>Australian Institute of Health and Welfare</b:Corporate>
      </b:Author>
    </b:Author>
    <b:Title>Older Australia at a glance</b:Title>
    <b:Year>2018b</b:Year>
    <b:Publisher>https://www.aihw.gov.au/reports/older-people/older-australia-at-a-glance/contents/diverse-groups-of-older-australians/people-at-risk-of-homelessness</b:Publisher>
    <b:Month>September</b:Month>
    <b:Day>10</b:Day>
    <b:YearAccessed>2020</b:YearAccessed>
    <b:MonthAccessed>February</b:MonthAccessed>
    <b:DayAccessed>21</b:DayAccessed>
    <b:URL>https://www.aihw.gov.au/reports/older-people/older-australia-at-a-glance/contents/diverse-groups-of-older-australians/people-at-risk-of-homelessness</b:URL>
    <b:RefOrder>219</b:RefOrder>
  </b:Source>
  <b:Source>
    <b:Tag>OEC18</b:Tag>
    <b:SourceType>Report</b:SourceType>
    <b:Guid>{CA7A0299-FB75-4631-857A-CD1B0CBFDD6B}</b:Guid>
    <b:Author>
      <b:Author>
        <b:Corporate>OECD</b:Corporate>
      </b:Author>
    </b:Author>
    <b:Title>OECD Pensions Outlook 2018</b:Title>
    <b:Year>2018a</b:Year>
    <b:YearAccessed>2020</b:YearAccessed>
    <b:MonthAccessed>June</b:MonthAccessed>
    <b:DayAccessed>1</b:DayAccessed>
    <b:URL>https://doi.org/10.1787/pens_outlook-2018-en</b:URL>
    <b:Publisher>OECD Publishing</b:Publisher>
    <b:City>Paris</b:City>
    <b:Pages>Chapter 2</b:Pages>
    <b:RefOrder>54</b:RefOrder>
  </b:Source>
  <b:Source>
    <b:Tag>OEC20c</b:Tag>
    <b:SourceType>Report</b:SourceType>
    <b:Guid>{D904BAFB-20B9-4CA3-BE83-C28F74E45CB9}</b:Guid>
    <b:Author>
      <b:Author>
        <b:Corporate>OECD</b:Corporate>
      </b:Author>
    </b:Author>
    <b:Title>OECD Economic Outlook, June 2020: The world economy on a tightrope</b:Title>
    <b:Year>2020a</b:Year>
    <b:Publisher>OECD Publishing</b:Publisher>
    <b:City>Paris</b:City>
    <b:RefOrder>70</b:RefOrder>
  </b:Source>
  <b:Source>
    <b:Tag>FWC19</b:Tag>
    <b:SourceType>InternetSite</b:SourceType>
    <b:Guid>{466B620A-C153-493D-8F20-29967F932AF7}</b:Guid>
    <b:Title>National Minimum Wage Orders</b:Title>
    <b:Year>2019b</b:Year>
    <b:Author>
      <b:Author>
        <b:Corporate>Fair Work Commission</b:Corporate>
      </b:Author>
    </b:Author>
    <b:InternetSiteTitle>Fair Work Commission</b:InternetSiteTitle>
    <b:Month>June</b:Month>
    <b:Day>27</b:Day>
    <b:URL>https://www.fwc.gov.au/awards-and-agreements/minimum-wages-conditions/national-minimum-wage-orders</b:URL>
    <b:YearAccessed>2020</b:YearAccessed>
    <b:MonthAccessed>May</b:MonthAccessed>
    <b:DayAccessed>19</b:DayAccessed>
    <b:RefOrder>228</b:RefOrder>
  </b:Source>
  <b:Source>
    <b:Tag>Gov19</b:Tag>
    <b:SourceType>InternetSite</b:SourceType>
    <b:Guid>{9F0E70FB-B6FF-4C2F-97EE-0FAD3EE010DC}</b:Guid>
    <b:Title>National Insurance Fund Accounts</b:Title>
    <b:Year>2019</b:Year>
    <b:Author>
      <b:Author>
        <b:Corporate>UK Government</b:Corporate>
      </b:Author>
    </b:Author>
    <b:YearAccessed>2020</b:YearAccessed>
    <b:MonthAccessed>March</b:MonthAccessed>
    <b:DayAccessed>5</b:DayAccessed>
    <b:URL>https://www.gov.uk/government/publications/national-insurance-fund-accounts</b:URL>
    <b:RefOrder>290</b:RefOrder>
  </b:Source>
  <b:Source>
    <b:Tag>Dep19</b:Tag>
    <b:SourceType>DocumentFromInternetSite</b:SourceType>
    <b:Guid>{0D2C2734-D85B-45F7-B8E9-86496CDDD1F6}</b:Guid>
    <b:Author>
      <b:Author>
        <b:Corporate>Department of Skills, Education and Employment</b:Corporate>
      </b:Author>
    </b:Author>
    <b:Title>National Agreement for Skills and Workforce Development</b:Title>
    <b:InternetSiteTitle>Commonwealth Government</b:InternetSiteTitle>
    <b:Year>2019</b:Year>
    <b:Month>November</b:Month>
    <b:Day>15</b:Day>
    <b:URL>https://www.employment.gov.au/national-agreement-skills-and-workforce-development</b:URL>
    <b:YearAccessed>2020</b:YearAccessed>
    <b:MonthAccessed>May</b:MonthAccessed>
    <b:DayAccessed>28</b:DayAccessed>
    <b:RefOrder>33</b:RefOrder>
  </b:Source>
  <b:Source>
    <b:Tag>Aus161</b:Tag>
    <b:SourceType>DocumentFromInternetSite</b:SourceType>
    <b:Guid>{FB228611-15BF-4446-9273-562C00D058D0}</b:Guid>
    <b:Author>
      <b:Author>
        <b:Corporate>ABS</b:Corporate>
      </b:Author>
    </b:Author>
    <b:Title>National Aboriginal and Torres Strait Islander Social Survey, 2014-15, cat. no. 4714.0</b:Title>
    <b:Year>2016b</b:Year>
    <b:InternetSiteTitle>ABS</b:InternetSiteTitle>
    <b:Month>April</b:Month>
    <b:Day>28</b:Day>
    <b:URL>https://www.abs.gov.au/ausstats/abs@.nsf/mf/4714.0</b:URL>
    <b:YearAccessed>2020</b:YearAccessed>
    <b:MonthAccessed>February</b:MonthAccessed>
    <b:DayAccessed>21</b:DayAccessed>
    <b:RefOrder>279</b:RefOrder>
  </b:Source>
  <b:Source>
    <b:Tag>APRP19</b:Tag>
    <b:SourceType>DocumentFromInternetSite</b:SourceType>
    <b:Guid>{302B00CD-88E5-43A5-AC31-18FE0606E384}</b:Guid>
    <b:Author>
      <b:Author>
        <b:Corporate>Australian Prudential Regulation Authority</b:Corporate>
      </b:Author>
    </b:Author>
    <b:Title>MySuper Product Heatmap</b:Title>
    <b:Year>2019a</b:Year>
    <b:Month>December</b:Month>
    <b:Day>10</b:Day>
    <b:YearAccessed>2020</b:YearAccessed>
    <b:MonthAccessed>May</b:MonthAccessed>
    <b:DayAccessed>21</b:DayAccessed>
    <b:URL>https://www.apra.gov.au/mysuper-product-heatmap</b:URL>
    <b:RefOrder>169</b:RefOrder>
  </b:Source>
  <b:Source>
    <b:Tag>ABS8p</b:Tag>
    <b:SourceType>DocumentFromInternetSite</b:SourceType>
    <b:Guid>{782DA260-15E6-45FB-981D-BC94F17A1C8F}</b:Guid>
    <b:Author>
      <b:Author>
        <b:Corporate>ABS</b:Corporate>
      </b:Author>
    </b:Author>
    <b:Title>Microdata: Household Expenditure, Income and Housing, 2015-16, cat. no. 6540.0</b:Title>
    <b:Year>2018f</b:Year>
    <b:Month>June</b:Month>
    <b:Day>29</b:Day>
    <b:URL>https://www.abs.gov.au/AUSSTATS/abs@.nsf/Lookup/6540.0Main+Features32015-16?OpenDocument</b:URL>
    <b:YearAccessed>2020</b:YearAccessed>
    <b:MonthAccessed>July</b:MonthAccessed>
    <b:DayAccessed>3</b:DayAccessed>
    <b:RefOrder>295</b:RefOrder>
  </b:Source>
  <b:Source>
    <b:Tag>MerP191</b:Tag>
    <b:SourceType>Report</b:SourceType>
    <b:Guid>{5DB7C8C6-209F-4085-98D6-A2AEC382E6DE}</b:Guid>
    <b:Title>Melbourne Mercer Global Pension Index</b:Title>
    <b:Year>2019b</b:Year>
    <b:Author>
      <b:Author>
        <b:Corporate>Mercer</b:Corporate>
      </b:Author>
    </b:Author>
    <b:Publisher>Monash Centre for Financial Studies, Monash University</b:Publisher>
    <b:City>Melbourne</b:City>
    <b:RefOrder>47</b:RefOrder>
  </b:Source>
  <b:Source>
    <b:Tag>ABS193</b:Tag>
    <b:SourceType>DocumentFromInternetSite</b:SourceType>
    <b:Guid>{C528307C-9591-4344-B4E0-322E688AE4D4}</b:Guid>
    <b:Author>
      <b:Author>
        <b:Corporate>ABS</b:Corporate>
      </b:Author>
    </b:Author>
    <b:Title>Marriages and Divorces, Australia, 2018, cat. no. 3310.0</b:Title>
    <b:InternetSiteTitle>ABS</b:InternetSiteTitle>
    <b:Year>2019q</b:Year>
    <b:Month>11</b:Month>
    <b:Day>27</b:Day>
    <b:URL>https://www.abs.gov.au/AUSSTATS/abs@.nsf/DetailsPage/3310.02018?OpenDocument</b:URL>
    <b:YearAccessed>2020</b:YearAccessed>
    <b:MonthAccessed>February</b:MonthAccessed>
    <b:DayAccessed>10</b:DayAccessed>
    <b:RefOrder>193</b:RefOrder>
  </b:Source>
  <b:Source>
    <b:Tag>ABS97</b:Tag>
    <b:SourceType>DocumentFromInternetSite</b:SourceType>
    <b:Guid>{696A3E2F-06BF-417C-89E6-2B4E0C6F059A}</b:Guid>
    <b:Author>
      <b:Author>
        <b:Corporate>ABS</b:Corporate>
      </b:Author>
    </b:Author>
    <b:Title>Marriages and Divorces, Australia, 1996, cat. no. 3310.0</b:Title>
    <b:InternetSiteTitle>ABS</b:InternetSiteTitle>
    <b:Year>1997</b:Year>
    <b:Month>07</b:Month>
    <b:Day>30</b:Day>
    <b:URL>https://www.abs.gov.au/AUSSTATS/abs@.nsf/allprimarymainfeatures/1DE879602B6C1BB1CA25722E001A3A09?opendocument</b:URL>
    <b:YearAccessed>2020</b:YearAccessed>
    <b:MonthAccessed>February</b:MonthAccessed>
    <b:DayAccessed>10</b:DayAccessed>
    <b:RefOrder>195</b:RefOrder>
  </b:Source>
  <b:Source>
    <b:Tag>Mar201</b:Tag>
    <b:SourceType>InternetSite</b:SourceType>
    <b:Guid>{14FED7EB-3FA2-4B0C-A78E-B13AE9F2BD31}</b:Guid>
    <b:Title>Market Overview</b:Title>
    <b:Year>2020</b:Year>
    <b:YearAccessed>2020</b:YearAccessed>
    <b:MonthAccessed>July</b:MonthAccessed>
    <b:DayAccessed>3</b:DayAccessed>
    <b:URL>https://www.marketindex.com.au/</b:URL>
    <b:Author>
      <b:Author>
        <b:Corporate>Market Index</b:Corporate>
      </b:Author>
    </b:Author>
    <b:RefOrder>163</b:RefOrder>
  </b:Source>
  <b:Source>
    <b:Tag>REST17</b:Tag>
    <b:SourceType>Report</b:SourceType>
    <b:Guid>{44478202-A91C-45D8-AC44-C4554AADCA44}</b:Guid>
    <b:Title>Making a Break</b:Title>
    <b:Year>2017</b:Year>
    <b:Author>
      <b:Author>
        <b:Corporate>REST Super</b:Corporate>
      </b:Author>
    </b:Author>
    <b:Publisher>REST Super</b:Publisher>
    <b:RefOrder>511</b:RefOrder>
  </b:Source>
  <b:Source>
    <b:Tag>ParL14</b:Tag>
    <b:SourceType>InternetSite</b:SourceType>
    <b:Guid>{4AE10D3D-2EF6-4E5D-BFF8-AF842CCE44C6}</b:Guid>
    <b:Author>
      <b:Author>
        <b:Corporate>Parliamentary Library</b:Corporate>
      </b:Author>
    </b:Author>
    <b:Title>Major superannuation and retirement income changes in Australia: a chronology</b:Title>
    <b:Year>2014</b:Year>
    <b:YearAccessed>2020</b:YearAccessed>
    <b:MonthAccessed>March</b:MonthAccessed>
    <b:DayAccessed>18</b:DayAccessed>
    <b:URL>https://www.aph.gov.au/About_Parliament/Parliamentary_Departments/Parliamentary_Library/pubs/rp/rp1314/SuperChron</b:URL>
    <b:RefOrder>14</b:RefOrder>
  </b:Source>
  <b:Source>
    <b:Tag>ABS2</b:Tag>
    <b:SourceType>DocumentFromInternetSite</b:SourceType>
    <b:Guid>{0DEFB704-EEC0-46B3-B79B-2F8CFF4B0D62}</b:Guid>
    <b:Author>
      <b:Author>
        <b:Corporate>ABS</b:Corporate>
      </b:Author>
    </b:Author>
    <b:Title>Life Tables, States, Territories and Australia, 2015-2017, cat. no. 3302.0.55.001</b:Title>
    <b:InternetSiteTitle>ABS</b:InternetSiteTitle>
    <b:Year>2018e</b:Year>
    <b:Month>October</b:Month>
    <b:Day>30</b:Day>
    <b:URL>https://www.abs.gov.au/AUSSTATS/abs@.nsf/allprimarymainfeatures/123B67D527F36A63CA2584A20012C43C?opendocument</b:URL>
    <b:YearAccessed>2020</b:YearAccessed>
    <b:MonthAccessed>February</b:MonthAccessed>
    <b:DayAccessed>21</b:DayAccessed>
    <b:RefOrder>261</b:RefOrder>
  </b:Source>
  <b:Source>
    <b:Tag>ABS1</b:Tag>
    <b:SourceType>DocumentFromInternetSite</b:SourceType>
    <b:Guid>{0B0F183E-5F5A-47DD-8409-D019D41D3E50}</b:Guid>
    <b:Title>Life Tables for Aboriginal and Torres Strait Islander Australians, 2015-17, cat. no. 3302.0.55.003</b:Title>
    <b:Year>2018d</b:Year>
    <b:Author>
      <b:Author>
        <b:Corporate>ABS</b:Corporate>
      </b:Author>
    </b:Author>
    <b:InternetSiteTitle>ABS</b:InternetSiteTitle>
    <b:Month>November</b:Month>
    <b:Day>29</b:Day>
    <b:URL>https://www.abs.gov.au/ausstats/abs@.nsf/Lookup/by%20Subject/3302.0.55.003~2015-2017~Media%20Release~Life%20expectancy%20lowest%20in%20remote%20and%20very%20remote%20areas%20(Media%20Release)~15</b:URL>
    <b:YearAccessed>2020</b:YearAccessed>
    <b:MonthAccessed>February</b:MonthAccessed>
    <b:DayAccessed>21</b:DayAccessed>
    <b:RefOrder>260</b:RefOrder>
  </b:Source>
  <b:Source>
    <b:Tag>AIH17</b:Tag>
    <b:SourceType>DocumentFromInternetSite</b:SourceType>
    <b:Guid>{3D6D2DB6-2D09-4DDD-B4B3-9314D99E4C07}</b:Guid>
    <b:Author>
      <b:Author>
        <b:Corporate>Australian Institute of Health and Welfare</b:Corporate>
      </b:Author>
    </b:Author>
    <b:Title>Life expectancy and disability in Australia: expected years living with and without disability</b:Title>
    <b:InternetSiteTitle>Australian Institute of Health and Welfare</b:InternetSiteTitle>
    <b:Year>2017</b:Year>
    <b:Month>April</b:Month>
    <b:Day>5</b:Day>
    <b:URL>https://www.aihw.gov.au/getmedia/7b986857-7b41-4aae-b7ff-eab57eb20f13/20457.pdf.aspx?inline=true</b:URL>
    <b:YearAccessed>2020</b:YearAccessed>
    <b:MonthAccessed>July</b:MonthAccessed>
    <b:DayAccessed>3</b:DayAccessed>
    <b:RefOrder>30</b:RefOrder>
  </b:Source>
  <b:Source>
    <b:Tag>Leg17</b:Tag>
    <b:SourceType>DocumentFromInternetSite</b:SourceType>
    <b:Guid>{11BC51D8-296E-4577-A08C-83E18EF1900B}</b:Guid>
    <b:Author>
      <b:Author>
        <b:Corporate>Legal Aid Commission of NSW</b:Corporate>
      </b:Author>
    </b:Author>
    <b:Title>Legal Aid NSW submission to the Senate Education and Employment References Committee: Inquiry into corporate evasion of the Fair Work Act</b:Title>
    <b:Year>2017</b:Year>
    <b:Publisher>Commonwealth of Australia</b:Publisher>
    <b:City>Canberra</b:City>
    <b:YearAccessed>2020</b:YearAccessed>
    <b:MonthAccessed>March</b:MonthAccessed>
    <b:DayAccessed>10</b:DayAccessed>
    <b:URL>https://www.legalaid.nsw.gov.au/__data/assets/pdf_file/0005/26447/Corporate-evasion-of-the-Fair-Work-Act-submission-by-Legal-Aid-NSW.pdf</b:URL>
    <b:RefOrder>239</b:RefOrder>
  </b:Source>
  <b:Source>
    <b:Tag>The20</b:Tag>
    <b:SourceType>InternetSite</b:SourceType>
    <b:Guid>{C8A70F54-ECB7-46AE-AD3C-BE11905A1A84}</b:Guid>
    <b:Author>
      <b:Author>
        <b:Corporate>The Guardian</b:Corporate>
      </b:Author>
    </b:Author>
    <b:Title>Lawyers and doctors protest in Paris as pensions row deepens</b:Title>
    <b:Year>2020</b:Year>
    <b:YearAccessed>2020</b:YearAccessed>
    <b:MonthAccessed>May</b:MonthAccessed>
    <b:DayAccessed>1</b:DayAccessed>
    <b:URL>https://www.theguardian.com/world/2020/feb/03/self-employed-workers-protest-paris-france-pensions-row-deepens-strike</b:URL>
    <b:RefOrder>352</b:RefOrder>
  </b:Source>
  <b:Source>
    <b:Tag>ABS0lp</b:Tag>
    <b:SourceType>DocumentFromInternetSite</b:SourceType>
    <b:Guid>{8583A972-7ACB-4BA1-9919-B93B8F11C635}</b:Guid>
    <b:Author>
      <b:Author>
        <b:Corporate>ABS</b:Corporate>
      </b:Author>
    </b:Author>
    <b:Title>Labour Force, Australia, May 2020, cat. no, 6202.0</b:Title>
    <b:Year>2020k</b:Year>
    <b:YearAccessed>2020</b:YearAccessed>
    <b:MonthAccessed>July</b:MonthAccessed>
    <b:DayAccessed>3</b:DayAccessed>
    <b:URL>https://www.abs.gov.au/AUSSTATS/abs@.nsf/Lookup/6202.0Main+Features1May%202020?OpenDocument</b:URL>
    <b:RefOrder>79</b:RefOrder>
  </b:Source>
  <b:Source>
    <b:Tag>Lab0q</b:Tag>
    <b:SourceType>DocumentFromInternetSite</b:SourceType>
    <b:Guid>{CB9A89B0-4427-4806-8B2F-9A3D1D08C0CD}</b:Guid>
    <b:Title>Labour Force, Australia, Jan 2020, cat. no. 6202.0</b:Title>
    <b:Year>2020h</b:Year>
    <b:Month>February</b:Month>
    <b:Day>20</b:Day>
    <b:YearAccessed>2020</b:YearAccessed>
    <b:MonthAccessed>March</b:MonthAccessed>
    <b:DayAccessed>2</b:DayAccessed>
    <b:URL>https://www.abs.gov.au/AUSSTATS/abs@.nsf/allprimarymainfeatures/3FA36ACAA0D90D66CA25852F001E10C4?opendocument</b:URL>
    <b:Author>
      <b:Author>
        <b:Corporate>ABS</b:Corporate>
      </b:Author>
    </b:Author>
    <b:RefOrder>251</b:RefOrder>
  </b:Source>
  <b:Source>
    <b:Tag>ABS206</b:Tag>
    <b:SourceType>DocumentFromInternetSite</b:SourceType>
    <b:Guid>{25008F5D-5112-4822-AF5C-C6702048AEDB}</b:Guid>
    <b:Author>
      <b:Author>
        <b:Corporate>ABS</b:Corporate>
      </b:Author>
    </b:Author>
    <b:Title>Labour Force, Australia, Detailed - Electronic Delivery, Jan 2020, cat. no. 6291.0.55.001</b:Title>
    <b:Year>2020g</b:Year>
    <b:Month>February</b:Month>
    <b:Day>27</b:Day>
    <b:YearAccessed>2020</b:YearAccessed>
    <b:MonthAccessed>March</b:MonthAccessed>
    <b:DayAccessed>20</b:DayAccessed>
    <b:URL>https://www.abs.gov.au/AUSSTATS/abs@.nsf/allprimarymainfeatures/78973101C025B7C3CA2585360017E12E?opendocument</b:URL>
    <b:RefOrder>167</b:RefOrder>
  </b:Source>
  <b:Source>
    <b:Tag>ABS207</b:Tag>
    <b:SourceType>DocumentFromInternetSite</b:SourceType>
    <b:Guid>{FA791769-2534-401C-9AB5-7233A2ACAB97}</b:Guid>
    <b:Author>
      <b:Author>
        <b:Corporate>ABS</b:Corporate>
      </b:Author>
    </b:Author>
    <b:Title>Labour Force, Australia, Detailed - Electronic Delivery, Apr 2020, cat. no. 6291.0.55.001</b:Title>
    <b:Year>2020j</b:Year>
    <b:YearAccessed>2020</b:YearAccessed>
    <b:MonthAccessed>May</b:MonthAccessed>
    <b:DayAccessed>25</b:DayAccessed>
    <b:URL>https://www.abs.gov.au/AUSSTATS/abs@.nsf/DetailsPage/6291.0.55.001Apr%202020?OpenDocument</b:URL>
    <b:Month>May</b:Month>
    <b:Day>21</b:Day>
    <b:RefOrder>25</b:RefOrder>
  </b:Source>
  <b:Source>
    <b:Tag>ABS201</b:Tag>
    <b:SourceType>DocumentFromInternetSite</b:SourceType>
    <b:Guid>{5292AB6C-9B82-41FA-AAD8-B32CF17FA519}</b:Guid>
    <b:Author>
      <b:Author>
        <b:Corporate>ABS</b:Corporate>
      </b:Author>
    </b:Author>
    <b:Title>Labour Account Australia, Quarterly Experimental Estimates, December 2019, cat. no. 6150.0.55.003</b:Title>
    <b:InternetSiteTitle>Australian Bureau of Statistics</b:InternetSiteTitle>
    <b:Year>2020f</b:Year>
    <b:URL>https://www.abs.gov.au/AUSSTATS/abs@.nsf/Lookup/6150.0.55.003Explanatory%20Notes1December%202018?OpenDocument</b:URL>
    <b:YearAccessed>2020</b:YearAccessed>
    <b:MonthAccessed>March</b:MonthAccessed>
    <b:DayAccessed>20</b:DayAccessed>
    <b:Month>March</b:Month>
    <b:Day>11</b:Day>
    <b:RefOrder>15</b:RefOrder>
  </b:Source>
  <b:Source>
    <b:Tag>ATO204</b:Tag>
    <b:SourceType>InternetSite</b:SourceType>
    <b:Guid>{9ACBAB72-151E-4287-9E74-58AF0607A020}</b:Guid>
    <b:Author>
      <b:Author>
        <b:Corporate>ATO</b:Corporate>
      </b:Author>
    </b:Author>
    <b:Title>Key superannuation rates and thresholds, Preservation age</b:Title>
    <b:Year>2020c</b:Year>
    <b:YearAccessed>2020</b:YearAccessed>
    <b:URL>https://www.ato.gov.au/Rates/Key-superannuation-rates-and-thresholds/?page=11</b:URL>
    <b:MonthAccessed>April</b:MonthAccessed>
    <b:DayAccessed>8</b:DayAccessed>
    <b:RefOrder>398</b:RefOrder>
  </b:Source>
  <b:Source>
    <b:Tag>Aus14</b:Tag>
    <b:SourceType>Report</b:SourceType>
    <b:Guid>{7B9A3027-7DF6-4C84-BE87-C0EC6456C19B}</b:Guid>
    <b:Author>
      <b:Author>
        <b:Corporate>Australian Centre for Financial Studies</b:Corporate>
      </b:Author>
    </b:Author>
    <b:Title>Involuntary Retirement: Characteristics and implications</b:Title>
    <b:Year>2014</b:Year>
    <b:Publisher>Australian Institute of Superannuation Trustees</b:Publisher>
    <b:City>Melbourne</b:City>
    <b:RefOrder>250</b:RefOrder>
  </b:Source>
  <b:Source>
    <b:Tag>Fut20</b:Tag>
    <b:SourceType>InternetSite</b:SourceType>
    <b:Guid>{63BB95EE-1E21-433F-825E-C1AAF288355D}</b:Guid>
    <b:Title>Investment Performance</b:Title>
    <b:Year>2020</b:Year>
    <b:YearAccessed>2020</b:YearAccessed>
    <b:MonthAccessed>July</b:MonthAccessed>
    <b:DayAccessed>3</b:DayAccessed>
    <b:URL>https://www.futurefund.gov.au/investment/investment-performance</b:URL>
    <b:Author>
      <b:Author>
        <b:Corporate>Future Fund</b:Corporate>
      </b:Author>
    </b:Author>
    <b:RefOrder>508</b:RefOrder>
  </b:Source>
  <b:Source>
    <b:Tag>Aus13</b:Tag>
    <b:SourceType>Report</b:SourceType>
    <b:Guid>{D8F063B2-DADA-40B0-B0DD-D7D1A208630B}</b:Guid>
    <b:Author>
      <b:Author>
        <b:Corporate>Australian Human Rights Commission</b:Corporate>
      </b:Author>
    </b:Author>
    <b:Title>Investing in care: Recognising and valuing those who care, Volume 1: Research Report</b:Title>
    <b:Year>2013</b:Year>
    <b:Publisher>Australian Human Rights Commission</b:Publisher>
    <b:City>Sydney</b:City>
    <b:RefOrder>210</b:RefOrder>
  </b:Source>
  <b:Source>
    <b:Tag>Pro7d</b:Tag>
    <b:SourceType>Report</b:SourceType>
    <b:Guid>{4F2128DC-4C61-4C49-AEBD-B91A96615BF3}</b:Guid>
    <b:Author>
      <b:Author>
        <b:Corporate>Productivity Commission</b:Corporate>
      </b:Author>
    </b:Author>
    <b:Title>Introducing Competition and Informed User Choice into Human Services: Reforms to Human Services</b:Title>
    <b:Year>2017</b:Year>
    <b:Publisher>Productivity Commission</b:Publisher>
    <b:City>Report No. 85, Canberra</b:City>
    <b:RefOrder>124</b:RefOrder>
  </b:Source>
  <b:Source>
    <b:Tag>Blo20</b:Tag>
    <b:SourceType>DocumentFromInternetSite</b:SourceType>
    <b:Guid>{4CEB1FEA-CA03-43A3-A38A-57024144A8C8}</b:Guid>
    <b:Title>Index movements for MSCI World Index MXWO Index December 1969 to May 2020</b:Title>
    <b:Year>2020</b:Year>
    <b:URL>Bloomberg database</b:URL>
    <b:Author>
      <b:Author>
        <b:Corporate>Bloomberg L.P.</b:Corporate>
      </b:Author>
    </b:Author>
    <b:RefOrder>87</b:RefOrder>
  </b:Source>
  <b:Source>
    <b:Tag>ATO19</b:Tag>
    <b:SourceType>DocumentFromInternetSite</b:SourceType>
    <b:Guid>{F11A0D2E-0F2A-43E8-A5ED-8915B338A00D}</b:Guid>
    <b:Author>
      <b:Author>
        <b:Corporate>ATO</b:Corporate>
      </b:Author>
    </b:Author>
    <b:Title>Income tax estimator</b:Title>
    <b:InternetSiteTitle>ATO</b:InternetSiteTitle>
    <b:Year>2019a</b:Year>
    <b:Month>June</b:Month>
    <b:Day>27</b:Day>
    <b:URL>https://www.ato.gov.au/Calculators-and-tools/Income-tax-estimator/</b:URL>
    <b:YearAccessed>2020</b:YearAccessed>
    <b:MonthAccessed>May</b:MonthAccessed>
    <b:DayAccessed>18</b:DayAccessed>
    <b:RefOrder>186</b:RefOrder>
  </b:Source>
  <b:Source>
    <b:Tag>DSS14</b:Tag>
    <b:SourceType>DocumentFromInternetSite</b:SourceType>
    <b:Guid>{0B6C4E16-2201-44D0-BAAC-2A0781EE7653}</b:Guid>
    <b:Author>
      <b:Author>
        <b:Corporate>Department of Social Services</b:Corporate>
      </b:Author>
    </b:Author>
    <b:Title>Income support customers: a statistical overview 2013</b:Title>
    <b:Year>2014</b:Year>
    <b:Month>October</b:Month>
    <b:YearAccessed>2020</b:YearAccessed>
    <b:MonthAccessed>April</b:MonthAccessed>
    <b:DayAccessed>25</b:DayAccessed>
    <b:URL>https://www.dss.gov.au/sites/default/files/documents/01_2015/sp12_accessible_pdf_final.pdf</b:URL>
    <b:RefOrder>252</b:RefOrder>
  </b:Source>
  <b:Source>
    <b:Tag>Hou05</b:Tag>
    <b:SourceType>Report</b:SourceType>
    <b:Guid>{0AEC9B23-4371-4250-BAE2-A29D67FB3CBA}</b:Guid>
    <b:Title>Improving the superannuation savings of people under 40</b:Title>
    <b:Year>2005</b:Year>
    <b:Author>
      <b:Author>
        <b:Corporate>House Standing Committee on Economics, Finance and Public Administration</b:Corporate>
      </b:Author>
    </b:Author>
    <b:Publisher>Commonwealth of Australia</b:Publisher>
    <b:City>Canberra</b:City>
    <b:RefOrder>543</b:RefOrder>
  </b:Source>
  <b:Source>
    <b:Tag>Aus20</b:Tag>
    <b:SourceType>InternetSite</b:SourceType>
    <b:Guid>{6B4E7701-6D66-4C97-9D69-3D4EC44E9DA6}</b:Guid>
    <b:Author>
      <b:Author>
        <b:Corporate>AUSTRAC</b:Corporate>
      </b:Author>
    </b:Author>
    <b:Title>Identifying customers who don't have conventional forms of ID</b:Title>
    <b:InternetSiteTitle>AUSTRAC</b:InternetSiteTitle>
    <b:Year>2020</b:Year>
    <b:URL>https://www.austrac.gov.au/business/how-comply-and-report-guidance-and-resources/customer-identification-and-verification/identifying-customers-who-dont-have-conventional-forms-id</b:URL>
    <b:YearAccessed>2020</b:YearAccessed>
    <b:MonthAccessed>May</b:MonthAccessed>
    <b:DayAccessed>20</b:DayAccessed>
    <b:RefOrder>283</b:RefOrder>
  </b:Source>
  <b:Source>
    <b:Tag>Pro16</b:Tag>
    <b:SourceType>Report</b:SourceType>
    <b:Guid>{168CCB26-FFA9-43CA-8097-810D722290FB}</b:Guid>
    <b:Author>
      <b:Author>
        <b:Corporate>Productivity Commission</b:Corporate>
      </b:Author>
    </b:Author>
    <b:Title>How to Assess the Competitiveness and Efficiency of the Superannuation System</b:Title>
    <b:Year>2016</b:Year>
    <b:Publisher>Productivity Commission</b:Publisher>
    <b:City>Research Report, Canberra</b:City>
    <b:RefOrder>53</b:RefOrder>
  </b:Source>
  <b:Source>
    <b:Tag>Mer17</b:Tag>
    <b:SourceType>InternetSite</b:SourceType>
    <b:Guid>{8C5F7695-807F-4EB4-9A79-56A309E6CBA9}</b:Guid>
    <b:Author>
      <b:Author>
        <b:Corporate>Mercer</b:Corporate>
      </b:Author>
    </b:Author>
    <b:Title>How Mercer LifetimePlus works</b:Title>
    <b:Year>2017</b:Year>
    <b:YearAccessed>2020</b:YearAccessed>
    <b:MonthAccessed>June</b:MonthAccessed>
    <b:URL>https://www.mercer.com.au/our-thinking/mercer-lifetimeplus/how-it-works.html</b:URL>
    <b:DayAccessed>19</b:DayAccessed>
    <b:RefOrder>494</b:RefOrder>
  </b:Source>
  <b:Source>
    <b:Tag>Orf19</b:Tag>
    <b:SourceType>Report</b:SourceType>
    <b:Guid>{AE710550-215E-443C-98E4-88D82B3847F3}</b:Guid>
    <b:Author>
      <b:Author>
        <b:Corporate>Orford Initiative</b:Corporate>
      </b:Author>
    </b:Author>
    <b:Title>How do people make decisions at retirement about organising their financial affairs?</b:Title>
    <b:Year>2019</b:Year>
    <b:Publisher>Melbourne Business School, University of Melbourne</b:Publisher>
    <b:RefOrder>425</b:RefOrder>
  </b:Source>
  <b:Source>
    <b:Tag>ACF18</b:Tag>
    <b:SourceType>Report</b:SourceType>
    <b:Guid>{503CA068-52E2-4F18-8AA1-5E0ADD766CF5}</b:Guid>
    <b:Author>
      <b:Author>
        <b:Corporate>Aged Care Financing Authority</b:Corporate>
      </b:Author>
    </b:Author>
    <b:Title>How Consumers Plan and Finance Aged Care</b:Title>
    <b:Year>2018</b:Year>
    <b:Publisher>Aged Care Financing Authority</b:Publisher>
    <b:City>Canberra</b:City>
    <b:RefOrder>311</b:RefOrder>
  </b:Source>
  <b:Source>
    <b:Tag>Blo19</b:Tag>
    <b:SourceType>InternetSite</b:SourceType>
    <b:Guid>{C87E69C8-9BF7-4B73-8E76-1ACBD46C5543}</b:Guid>
    <b:Title>How Chile Went From an Economic Star to an Angry Mess</b:Title>
    <b:Year>2019</b:Year>
    <b:Author>
      <b:Author>
        <b:Corporate>Bloomberg</b:Corporate>
      </b:Author>
    </b:Author>
    <b:YearAccessed>2020</b:YearAccessed>
    <b:MonthAccessed>May</b:MonthAccessed>
    <b:DayAccessed>1</b:DayAccessed>
    <b:URL>https://www.bloomberg.com/news/articles/2019-10-23/how-chile-went-from-an-economic-star-to-an-angry-mess-quicktake</b:URL>
    <b:RefOrder>346</b:RefOrder>
  </b:Source>
  <b:Source>
    <b:Tag>Van19</b:Tag>
    <b:SourceType>DocumentFromInternetSite</b:SourceType>
    <b:Guid>{35376279-3A2D-49BD-916B-E267DCBB147F}</b:Guid>
    <b:Author>
      <b:Author>
        <b:Corporate>Vanguard</b:Corporate>
      </b:Author>
    </b:Author>
    <b:Title>How America Saves 2019: The retirement savings behavior of 5 million participants</b:Title>
    <b:Year>2019</b:Year>
    <b:Publisher>Vanguard</b:Publisher>
    <b:Month>June</b:Month>
    <b:Day>11</b:Day>
    <b:YearAccessed>2020</b:YearAccessed>
    <b:MonthAccessed>March</b:MonthAccessed>
    <b:DayAccessed>3</b:DayAccessed>
    <b:URL>https://institutional.vanguard.com/iam/pdf/HAS2019.pdf</b:URL>
    <b:RefOrder>205</b:RefOrder>
  </b:Source>
  <b:Source>
    <b:Tag>ABS9i</b:Tag>
    <b:SourceType>DocumentFromInternetSite</b:SourceType>
    <b:Guid>{6C318662-2335-48A3-9978-017F8C4C22CC}</b:Guid>
    <b:Year>2019n</b:Year>
    <b:Author>
      <b:Author>
        <b:Corporate>ABS</b:Corporate>
      </b:Author>
    </b:Author>
    <b:YearAccessed>2020</b:YearAccessed>
    <b:MonthAccessed>May</b:MonthAccessed>
    <b:DayAccessed>18</b:DayAccessed>
    <b:URL>https://www.abs.gov.au/AUSSTATS/abs@.nsf/Lookup/4130.0Explanatory%20Notes12017-18?OpenDocument</b:URL>
    <b:Title>Housing Occupancy and Costs, 2017-18, cat. no. 4130.0</b:Title>
    <b:RefOrder>96</b:RefOrder>
  </b:Source>
  <b:Source>
    <b:Tag>CEP19</b:Tag>
    <b:SourceType>Report</b:SourceType>
    <b:Guid>{8119106B-AD79-40AC-BDA1-CF1B9D76EFB3}</b:Guid>
    <b:Title>Housing in an ageing Australia: Nest and nest egg?</b:Title>
    <b:Year>2019</b:Year>
    <b:Author>
      <b:Author>
        <b:Corporate>CEPAR</b:Corporate>
      </b:Author>
    </b:Author>
    <b:Publisher>ARC Centre of Excellence in Population and Ageing Research</b:Publisher>
    <b:City>Sydney</b:City>
    <b:RefOrder>78</b:RefOrder>
  </b:Source>
  <b:Source>
    <b:Tag>Pro15</b:Tag>
    <b:SourceType>Report</b:SourceType>
    <b:Guid>{7C468306-7E6E-4517-80E4-1E517613D7F7}</b:Guid>
    <b:Author>
      <b:Author>
        <b:Corporate>Productivity Commission</b:Corporate>
      </b:Author>
    </b:Author>
    <b:Title>Housing decisions of older Australians</b:Title>
    <b:Year>2015a</b:Year>
    <b:Publisher>Productivity Commission</b:Publisher>
    <b:City>Commission Research Paper, Canberra</b:City>
    <b:RefOrder>116</b:RefOrder>
  </b:Source>
  <b:Source>
    <b:Tag>AIH19</b:Tag>
    <b:SourceType>InternetSite</b:SourceType>
    <b:Guid>{1EB255D1-A651-4660-8489-19E504B266DC}</b:Guid>
    <b:Author>
      <b:Author>
        <b:Corporate>Australian Institute of Health and Welfare</b:Corporate>
      </b:Author>
    </b:Author>
    <b:Title>Housing Assistance in Australia 2019, cat. no. HOU 315</b:Title>
    <b:Year>2019</b:Year>
    <b:InternetSiteTitle>Australian Institute of Health and Welfare</b:InternetSiteTitle>
    <b:Month>July</b:Month>
    <b:Day>18</b:Day>
    <b:URL>https://www.aihw.gov.au/reports/housing-assistance/housing-assistance-in-australia-2019/contents/social-housing-tenants#ten3</b:URL>
    <b:YearAccessed>2020</b:YearAccessed>
    <b:MonthAccessed>March</b:MonthAccessed>
    <b:DayAccessed>20</b:DayAccessed>
    <b:RefOrder>118</b:RefOrder>
  </b:Source>
  <b:Source>
    <b:Tag>ABS198</b:Tag>
    <b:SourceType>DocumentFromInternetSite</b:SourceType>
    <b:Guid>{81D20A6D-6F94-4431-BDEB-BE915541A5B2}</b:Guid>
    <b:Author>
      <b:Author>
        <b:Corporate>ABS</b:Corporate>
      </b:Author>
    </b:Author>
    <b:Title>Household Income and Wealth, Australia, 2017-18, cat. no. 6523.0</b:Title>
    <b:InternetSiteTitle>ABS</b:InternetSiteTitle>
    <b:Year>2019k</b:Year>
    <b:Month>11</b:Month>
    <b:Day>11</b:Day>
    <b:URL>https://www.abs.gov.au/ausstats/abs@.nsf/Lookup/by%20Subject/6523.0~2017-18~Main%20Features~Key%20Findings~1</b:URL>
    <b:YearAccessed>2019</b:YearAccessed>
    <b:MonthAccessed>December</b:MonthAccessed>
    <b:DayAccessed>13</b:DayAccessed>
    <b:RefOrder>43</b:RefOrder>
  </b:Source>
  <b:Source>
    <b:Tag>MEB20</b:Tag>
    <b:SourceType>Report</b:SourceType>
    <b:Guid>{EC9CA77F-86AA-4B57-8575-5C11ADC81E3F}</b:Guid>
    <b:Author>
      <b:Author>
        <b:Corporate>ME Bank</b:Corporate>
      </b:Author>
    </b:Author>
    <b:Title>Household Financial Comfort Report</b:Title>
    <b:Year>2020</b:Year>
    <b:Publisher>ME Bank</b:Publisher>
    <b:City>Melbourne</b:City>
    <b:RefOrder>155</b:RefOrder>
  </b:Source>
  <b:Source>
    <b:Tag>ABS9s22</b:Tag>
    <b:SourceType>DocumentFromInternetSite</b:SourceType>
    <b:Guid>{E450F123-18CF-4F0D-8AF5-E66402DF83EE}</b:Guid>
    <b:Author>
      <b:Author>
        <b:Corporate>ABS</b:Corporate>
      </b:Author>
    </b:Author>
    <b:Title>Household Expenditure Survey, Australia: the Effects of Government Benefits and Taxes on Household Income, 1988-89, cat. no. 6537.0</b:Title>
    <b:Year>1992b</b:Year>
    <b:URL>https://www.abs.gov.au/AUSSTATS/abs@.nsf/DetailsPage/6537.01988-89?OpenDocument</b:URL>
    <b:Month>2</b:Month>
    <b:Day>20</b:Day>
    <b:YearAccessed>2019</b:YearAccessed>
    <b:MonthAccessed>November</b:MonthAccessed>
    <b:DayAccessed>18</b:DayAccessed>
    <b:RefOrder>291</b:RefOrder>
  </b:Source>
  <b:Source>
    <b:Tag>ABSdfd</b:Tag>
    <b:SourceType>DocumentFromInternetSite</b:SourceType>
    <b:Guid>{A425E0C0-3EB7-40A1-8B84-46264925C28D}</b:Guid>
    <b:Year>2017e</b:Year>
    <b:Author>
      <b:Author>
        <b:Corporate>ABS</b:Corporate>
      </b:Author>
    </b:Author>
    <b:Month>September</b:Month>
    <b:Day>13</b:Day>
    <b:URL>https://www.abs.gov.au/AUSSTATS/abs@.nsf/Lookup/6530.0Main+Features12015-16?OpenDocument</b:URL>
    <b:Title>Household Expenditure Survey, Australia, 2015-16, cat. no. 6530.0</b:Title>
    <b:YearAccessed>2020</b:YearAccessed>
    <b:MonthAccessed>February</b:MonthAccessed>
    <b:DayAccessed>12</b:DayAccessed>
    <b:RefOrder>109</b:RefOrder>
  </b:Source>
  <b:Source>
    <b:Tag>Serv19</b:Tag>
    <b:SourceType>DocumentFromInternetSite</b:SourceType>
    <b:Guid>{36F4FF33-87A2-4268-BD1E-A553C810EB6F}</b:Guid>
    <b:Author>
      <b:Author>
        <b:Corporate>Services Australia</b:Corporate>
      </b:Author>
    </b:Author>
    <b:Title>Historical versions of A guide to Australian Government payments</b:Title>
    <b:Year>2019</b:Year>
    <b:YearAccessed>2020</b:YearAccessed>
    <b:MonthAccessed>April</b:MonthAccessed>
    <b:DayAccessed>16</b:DayAccessed>
    <b:URL>https://www.servicesaustralia.gov.au/organisations/about-us/publications-and-resources/guide-australian-government-payments/historical-versions-guide-australian-government-payments</b:URL>
    <b:RefOrder>39</b:RefOrder>
  </b:Source>
  <b:Source>
    <b:Tag>HIL18</b:Tag>
    <b:SourceType>InternetSite</b:SourceType>
    <b:Guid>{6FB4BCE1-9A2F-4F47-B0BF-C80B33645018}</b:Guid>
    <b:Title>HILDA Online Data Dictionary Release</b:Title>
    <b:Year>2018</b:Year>
    <b:YearAccessed>2020</b:YearAccessed>
    <b:MonthAccessed>January</b:MonthAccessed>
    <b:DayAccessed>20</b:DayAccessed>
    <b:URL>https://www.online.fbe.unimelb.edu.au/HILDAodd/VariableDetails.aspx?varn=rtmrea&amp;varw=15</b:URL>
    <b:Author>
      <b:Author>
        <b:Corporate>The University of Melbourne</b:Corporate>
      </b:Author>
    </b:Author>
    <b:RefOrder>544</b:RefOrder>
  </b:Source>
  <b:Source>
    <b:Tag>ComBa20</b:Tag>
    <b:SourceType>InternetSite</b:SourceType>
    <b:Guid>{2062DC08-5955-4DE4-838F-89F3B44D23D3}</b:Guid>
    <b:Author>
      <b:Author>
        <b:Corporate>Commonwealth Bank</b:Corporate>
      </b:Author>
    </b:Author>
    <b:Title>Guaranteed annuities</b:Title>
    <b:Year>2020</b:Year>
    <b:YearAccessed>2020</b:YearAccessed>
    <b:MonthAccessed>June</b:MonthAccessed>
    <b:URL>https://www.commbank.com.au/super-retiring/annuities.html</b:URL>
    <b:DayAccessed>19</b:DayAccessed>
    <b:RefOrder>493</b:RefOrder>
  </b:Source>
  <b:Source>
    <b:Tag>Mer191</b:Tag>
    <b:SourceType>Report</b:SourceType>
    <b:Guid>{5AADE146-93BB-4842-B2F9-F690B51CEED3}</b:Guid>
    <b:Author>
      <b:Author>
        <b:Corporate>Mercer</b:Corporate>
      </b:Author>
    </b:Author>
    <b:Title>Great Expectations – Attitudes and Behaviours amongst Australian Retirees</b:Title>
    <b:InternetSiteTitle>Mercer.com.au</b:InternetSiteTitle>
    <b:Year>2019a</b:Year>
    <b:URL>https://www.mercer.com.au/content/dam/mercer/attachments/asia-pacific/australia/our-thinking/Mercers-Retiree-Survey-Great-Expectations_Part-1-Feb-2019_v2.pdf</b:URL>
    <b:Month>January</b:Month>
    <b:Day>21</b:Day>
    <b:Publisher>Mercer</b:Publisher>
    <b:RefOrder>418</b:RefOrder>
  </b:Source>
  <b:Source>
    <b:Tag>ABS18</b:Tag>
    <b:SourceType>DocumentFromInternetSite</b:SourceType>
    <b:Guid>{BF333C16-9F42-42F8-AF15-66D132AEE107}</b:Guid>
    <b:Author>
      <b:Author>
        <b:Corporate>ABS</b:Corporate>
      </b:Author>
    </b:Author>
    <b:Title>Government Benefits, Taxes and Household Income, Australia, 2015-16, cat. no. 6537.0</b:Title>
    <b:Year>2018c</b:Year>
    <b:City>Canberra</b:City>
    <b:Publisher>Australian Bureau of Statistics</b:Publisher>
    <b:StateProvince>ACT</b:StateProvince>
    <b:CountryRegion>Australia</b:CountryRegion>
    <b:Month>June</b:Month>
    <b:Day>20</b:Day>
    <b:YearAccessed>2019</b:YearAccessed>
    <b:MonthAccessed>November</b:MonthAccessed>
    <b:DayAccessed>18</b:DayAccessed>
    <b:URL>https://www.abs.gov.au/ausstats/abs@.nsf/mf/6537.0/</b:URL>
    <b:RefOrder>18</b:RefOrder>
  </b:Source>
  <b:Source>
    <b:Tag>Aus152</b:Tag>
    <b:SourceType>DocumentFromInternetSite</b:SourceType>
    <b:Guid>{75EFF9D0-8DAF-4D44-8183-966F16368C20}</b:Guid>
    <b:Author>
      <b:Author>
        <b:Corporate>ABS</b:Corporate>
      </b:Author>
    </b:Author>
    <b:Title>General Social Survey: Summary Results, Australia, 2014, cat. no. 4159.0</b:Title>
    <b:InternetSiteTitle>ABS</b:InternetSiteTitle>
    <b:Year>2015a</b:Year>
    <b:Month>June</b:Month>
    <b:Day>29</b:Day>
    <b:URL>https://www.abs.gov.au/ausstats/abs@.nsf/mf/4159.0</b:URL>
    <b:YearAccessed>2020</b:YearAccessed>
    <b:MonthAccessed>February</b:MonthAccessed>
    <b:DayAccessed>21</b:DayAccessed>
    <b:RefOrder>280</b:RefOrder>
  </b:Source>
  <b:Source>
    <b:Tag>ABS19</b:Tag>
    <b:SourceType>DocumentFromInternetSite</b:SourceType>
    <b:Guid>{34E62ECA-61D5-4787-A4F1-32FA4B44A64B}</b:Guid>
    <b:Title>Gender Indicators, Australia, Nov 2019, cat. no. 4125.0</b:Title>
    <b:InternetSiteTitle>ABS</b:InternetSiteTitle>
    <b:Year>2019j</b:Year>
    <b:Month>11</b:Month>
    <b:Day>1</b:Day>
    <b:URL>https://www.abs.gov.au/AUSSTATS/abs@.nsf/DetailsPage/4125.0Nov%202019?OpenDocument</b:URL>
    <b:Author>
      <b:Author>
        <b:Corporate>ABS</b:Corporate>
      </b:Author>
    </b:Author>
    <b:YearAccessed>2019</b:YearAccessed>
    <b:MonthAccessed>December</b:MonthAccessed>
    <b:DayAccessed>16</b:DayAccessed>
    <b:RefOrder>80</b:RefOrder>
  </b:Source>
  <b:Source>
    <b:Tag>Fra19</b:Tag>
    <b:SourceType>InternetSite</b:SourceType>
    <b:Guid>{3E8614E9-0517-43D2-B777-569E37AB61A8}</b:Guid>
    <b:Author>
      <b:Author>
        <b:Corporate>France24</b:Corporate>
      </b:Author>
    </b:Author>
    <b:Title>French women may be the biggest losers under Macron’s pension reform plan</b:Title>
    <b:Year>2019</b:Year>
    <b:YearAccessed>2020</b:YearAccessed>
    <b:MonthAccessed>May</b:MonthAccessed>
    <b:DayAccessed>1</b:DayAccessed>
    <b:URL>https://www.france24.com/en/20191210-french-women-may-be-the-big-losers-under-macron-s-pension-reform-plan-france-1</b:URL>
    <b:RefOrder>351</b:RefOrder>
  </b:Source>
  <b:Source>
    <b:Tag>Fin04</b:Tag>
    <b:SourceType>Report</b:SourceType>
    <b:Guid>{D403C13F-42FD-48FC-82A5-D1D552B404CA}</b:Guid>
    <b:Author>
      <b:Author>
        <b:Corporate>Financial System Inquiry</b:Corporate>
      </b:Author>
    </b:Author>
    <b:Title>Financial System Inquiry Final Report</b:Title>
    <b:Year>2014</b:Year>
    <b:Publisher>Commonwealth of Australia</b:Publisher>
    <b:City>Canberra</b:City>
    <b:RefOrder>52</b:RefOrder>
  </b:Source>
  <b:Source>
    <b:Tag>ABSc17</b:Tag>
    <b:SourceType>InternetSite</b:SourceType>
    <b:Guid>{CB62E6F7-ACF5-42F2-9068-0F7BD9E68C30}</b:Guid>
    <b:Title>Financial stress and spending</b:Title>
    <b:Year>2017d</b:Year>
    <b:YearAccessed>2020</b:YearAccessed>
    <b:MonthAccessed>January</b:MonthAccessed>
    <b:DayAccessed>13</b:DayAccessed>
    <b:URL>https://www.abs.gov.au/ausstats/abs@.nsf/Latestproducts/6530.0Main%20Features72015-16?opendocument&amp;ta</b:URL>
    <b:Author>
      <b:Author>
        <b:Corporate>ABS</b:Corporate>
      </b:Author>
    </b:Author>
    <b:RefOrder>115</b:RefOrder>
  </b:Source>
  <b:Source>
    <b:Tag>Ric192</b:Tag>
    <b:SourceType>Report</b:SourceType>
    <b:Guid>{D26615B2-200E-4145-A7CC-76328B4F7F32}</b:Guid>
    <b:Author>
      <b:Author>
        <b:Corporate>Rice Warner</b:Corporate>
      </b:Author>
    </b:Author>
    <b:Title>Financial Advice within Superannuation Funds 2019 report</b:Title>
    <b:Year>2019a</b:Year>
    <b:Publisher>Rice Warner Client Research Portal</b:Publisher>
    <b:RefOrder>446</b:RefOrder>
  </b:Source>
  <b:Source>
    <b:Tag>AIH18</b:Tag>
    <b:SourceType>Report</b:SourceType>
    <b:Guid>{934DEFF7-4614-4697-8D59-6FF0C4E44F4C}</b:Guid>
    <b:Author>
      <b:Author>
        <b:Corporate>Australian Institute of Health and Welfare</b:Corporate>
      </b:Author>
    </b:Author>
    <b:Title>Family, domestic and sexual violence in Australia 2018, cat. no. FDV 2</b:Title>
    <b:Year>2018a</b:Year>
    <b:Publisher>AIHW</b:Publisher>
    <b:City>Canberra</b:City>
    <b:RefOrder>200</b:RefOrder>
  </b:Source>
  <b:Source>
    <b:Tag>DSS202</b:Tag>
    <b:SourceType>DocumentFromInternetSite</b:SourceType>
    <b:Guid>{1D2A4911-CEBE-43CE-9122-1F0CA09E674F}</b:Guid>
    <b:Author>
      <b:Author>
        <b:Corporate>Department of Social Services</b:Corporate>
      </b:Author>
    </b:Author>
    <b:Title>Fact Sheet – Creation of the JobSeeker Payment</b:Title>
    <b:InternetSiteTitle>DSS</b:InternetSiteTitle>
    <b:Year>2020d</b:Year>
    <b:Month>March</b:Month>
    <b:URL>https://www.dss.gov.au/sites/default/files/documents/03_2020/atd_jobseeker-payment_20200320_0.pdf</b:URL>
    <b:Day>20</b:Day>
    <b:YearAccessed>2020</b:YearAccessed>
    <b:MonthAccessed>May</b:MonthAccessed>
    <b:DayAccessed>19</b:DayAccessed>
    <b:RefOrder>248</b:RefOrder>
  </b:Source>
  <b:Source>
    <b:Tag>The04</b:Tag>
    <b:SourceType>InternetSite</b:SourceType>
    <b:Guid>{3F31937D-608C-49DC-B165-3F8235D76D4F}</b:Guid>
    <b:Title>Explanatory Memorandum to Superannuation Laws Amendment (2004 Measures No. 2) Bill 2004</b:Title>
    <b:Year>2004</b:Year>
    <b:Publisher>Commonwealth of Australia</b:Publisher>
    <b:City>Canberra</b:City>
    <b:Author>
      <b:Author>
        <b:Corporate>Parliament of Australia</b:Corporate>
      </b:Author>
    </b:Author>
    <b:YearAccessed>2020</b:YearAccessed>
    <b:MonthAccessed>March</b:MonthAccessed>
    <b:DayAccessed>19</b:DayAccessed>
    <b:URL>https://parlinfo.aph.gov.au/parlInfo/download/legislation/ems/r2050_ems_833cd592-270c-4d2f-bf63-02eac38aef3d/upload_pdf/64811.pdf;fileType=application%2Fpdf</b:URL>
    <b:RefOrder>231</b:RefOrder>
  </b:Source>
  <b:Source>
    <b:Tag>Par09</b:Tag>
    <b:SourceType>DocumentFromInternetSite</b:SourceType>
    <b:Guid>{996FC624-B100-43C4-802E-8D6D1EEE66C9}</b:Guid>
    <b:Title>Explanatory Memorandum to Social Security and Other Legislation Amendment (Pension Reform and Other 2009 Budget Measures) Bill 2009</b:Title>
    <b:Year>2009</b:Year>
    <b:YearAccessed>2020</b:YearAccessed>
    <b:MonthAccessed>June</b:MonthAccessed>
    <b:DayAccessed>10</b:DayAccessed>
    <b:URL>hhttps://parlinfo.aph.gov.au/parlInfo/download/legislation/ems/r4155_ems_741e6245-292e-4299-8ffa-01cca6ba17ec/upload_pdf/330671.pdf;fileType=application%2Fpdf</b:URL>
    <b:Author>
      <b:Author>
        <b:Corporate>Parliament of Australia</b:Corporate>
      </b:Author>
    </b:Author>
    <b:Month>June</b:Month>
    <b:Day>15</b:Day>
    <b:RefOrder>41</b:RefOrder>
  </b:Source>
  <b:Source>
    <b:Tag>AusE162</b:Tag>
    <b:SourceType>Report</b:SourceType>
    <b:Guid>{EAC2D27E-4C12-476A-A7EF-97CE139A6279}</b:Guid>
    <b:Author>
      <b:Author>
        <b:Corporate>Australian Centre for Financial Studies</b:Corporate>
      </b:Author>
    </b:Author>
    <b:Title>Expenditure Patterns in Retirement</b:Title>
    <b:Year>2016</b:Year>
    <b:Publisher>Australian Institute of Superannuation Trustees</b:Publisher>
    <b:City>Melbourne</b:City>
    <b:RefOrder>150</b:RefOrder>
  </b:Source>
  <b:Source>
    <b:Tag>ABS9n</b:Tag>
    <b:SourceType>DocumentFromInternetSite</b:SourceType>
    <b:Guid>{44DCC5A1-9134-4EA5-B2D5-89CDCE1581BB}</b:Guid>
    <b:Title>Estimates of Aboriginal and Torres Strait Islander Australians, June 2016 cat. no. 3238.0.55.001</b:Title>
    <b:Year>2019i</b:Year>
    <b:YearAccessed>2020</b:YearAccessed>
    <b:MonthAccessed>June</b:MonthAccessed>
    <b:DayAccessed>29</b:DayAccessed>
    <b:URL>https://www.abs.gov.au/AUSSTATS/abs@.nsf/DetailsPage/3238.0.55.001June%202016?OpenDocument</b:URL>
    <b:Author>
      <b:Author>
        <b:Corporate>ABS</b:Corporate>
      </b:Author>
    </b:Author>
    <b:Month>November</b:Month>
    <b:Day>29</b:Day>
    <b:RefOrder>262</b:RefOrder>
  </b:Source>
  <b:Source>
    <b:Tag>Equ19</b:Tag>
    <b:SourceType>Report</b:SourceType>
    <b:Guid>{2DBE1736-F13E-4F2A-BC3E-9870A4AA5669}</b:Guid>
    <b:Author>
      <b:Author>
        <b:Corporate>Equity Release Council</b:Corporate>
      </b:Author>
    </b:Author>
    <b:Title>Equity Release Council Autumn 2019 Market Report</b:Title>
    <b:Year>2019</b:Year>
    <b:City>London</b:City>
    <b:Publisher>Equity Release Council</b:Publisher>
    <b:RefOrder>423</b:RefOrder>
  </b:Source>
  <b:Source>
    <b:Tag>ABS141</b:Tag>
    <b:SourceType>DocumentFromInternetSite</b:SourceType>
    <b:Guid>{0BC6F616-3F40-48D9-9530-0AFAC2130A5E}</b:Guid>
    <b:Author>
      <b:Author>
        <b:Corporate>ABS</b:Corporate>
      </b:Author>
    </b:Author>
    <b:Title>Employee Earnings, Benefits and Trade Union Membership, Australia, August 2013, 6310.0</b:Title>
    <b:InternetSiteTitle>ABS</b:InternetSiteTitle>
    <b:Year>2014</b:Year>
    <b:Month>6</b:Month>
    <b:Day>4</b:Day>
    <b:URL>https://www.abs.gov.au/AUSSTATS/abs@.nsf/DetailsPage/6310.0August%202013?OpenDocument</b:URL>
    <b:YearAccessed>2020</b:YearAccessed>
    <b:MonthAccessed>February</b:MonthAccessed>
    <b:DayAccessed>20</b:DayAccessed>
    <b:RefOrder>206</b:RefOrder>
  </b:Source>
  <b:Source>
    <b:Tag>ABS02</b:Tag>
    <b:SourceType>DocumentFromInternetSite</b:SourceType>
    <b:Guid>{88F52170-4A29-4E10-8D6A-7700E31EADE8}</b:Guid>
    <b:Author>
      <b:Author>
        <b:Corporate>ABS</b:Corporate>
      </b:Author>
    </b:Author>
    <b:Title>Employee Earnings, Benefits and Trade Union Membership, Australia, Aug 2002, cat. no. 6310.0</b:Title>
    <b:InternetSiteTitle>Australian Bureau of Statistics</b:InternetSiteTitle>
    <b:Year>2003</b:Year>
    <b:URL>https://www.abs.gov.au/AUSSTATS/abs@.nsf/second+level+view?ReadForm&amp;prodno=6310.0&amp;viewtitle=Weekly%20Earnings%20of%20Employees%20(Distribution),%20Australia~Aug%201997~Previous~10/01/1998&amp;&amp;tabname=Past%20Future%20Issues&amp;prodno=6310.0&amp;issue=Aug%201997&amp;num=</b:URL>
    <b:YearAccessed>2020</b:YearAccessed>
    <b:MonthAccessed>March</b:MonthAccessed>
    <b:DayAccessed>3</b:DayAccessed>
    <b:Month>March</b:Month>
    <b:Day>31</b:Day>
    <b:RefOrder>225</b:RefOrder>
  </b:Source>
  <b:Source>
    <b:Tag>ABS195</b:Tag>
    <b:SourceType>DocumentFromInternetSite</b:SourceType>
    <b:Guid>{3DB7C0CD-6E73-4D05-86A8-6AF34F5A5350}</b:Guid>
    <b:Author>
      <b:Author>
        <b:Corporate>ABS</b:Corporate>
      </b:Author>
    </b:Author>
    <b:Title>Employee Earnings and Hours, Australia, May 2018, cat. no. 6306.0</b:Title>
    <b:InternetSiteTitle>ABS</b:InternetSiteTitle>
    <b:Year>2019h</b:Year>
    <b:Month>January</b:Month>
    <b:Day>22</b:Day>
    <b:URL>https://www.abs.gov.au/AUSSTATS/abs@.nsf/second+level+view?ReadForm&amp;prodno=6306.0&amp;viewtitle=Employee%20Earnings%20and%20Hours,%20Australia~May%202018~Latest~22/01/2019&amp;&amp;tabname=Past%20Future%20Issues&amp;prodno=6306.0&amp;issue=May%202018&amp;num=&amp;view=&amp;</b:URL>
    <b:YearAccessed>2020</b:YearAccessed>
    <b:MonthAccessed>February</b:MonthAccessed>
    <b:DayAccessed>11</b:DayAccessed>
    <b:RefOrder>179</b:RefOrder>
  </b:Source>
  <b:Source>
    <b:Tag>Del19</b:Tag>
    <b:SourceType>Report</b:SourceType>
    <b:Guid>{2D5783BD-3FE4-41F9-A84F-DDA7D4EF7615}</b:Guid>
    <b:Title>Dynamics of the Australian Superannuation System: The next 20 years to 2038</b:Title>
    <b:Year>2019</b:Year>
    <b:Author>
      <b:Author>
        <b:Corporate>Deloitte Actuaries &amp; Consultants</b:Corporate>
      </b:Author>
    </b:Author>
    <b:Publisher>Deloitte</b:Publisher>
    <b:RefOrder>86</b:RefOrder>
  </b:Source>
  <b:Source>
    <b:Tag>DSS20</b:Tag>
    <b:SourceType>DocumentFromInternetSite</b:SourceType>
    <b:Guid>{7BB03DA1-C948-4373-917B-F8AB1793E676}</b:Guid>
    <b:Author>
      <b:Author>
        <b:Corporate>Department of Social Services</b:Corporate>
      </b:Author>
    </b:Author>
    <b:Title>DSS Payment Demographic Data</b:Title>
    <b:Year>2020c</b:Year>
    <b:Month>April</b:Month>
    <b:Day>21</b:Day>
    <b:YearAccessed>2020</b:YearAccessed>
    <b:MonthAccessed>April</b:MonthAccessed>
    <b:DayAccessed>25</b:DayAccessed>
    <b:URL>https://data.gov.au/data/dataset/dss-payment-demographic-data</b:URL>
    <b:RefOrder>123</b:RefOrder>
  </b:Source>
  <b:Source>
    <b:Tag>Ser19</b:Tag>
    <b:SourceType>DocumentFromInternetSite</b:SourceType>
    <b:Guid>{62C5FDC3-AAE9-4EDC-93B0-50E587A6A90E}</b:Guid>
    <b:Author>
      <b:Author>
        <b:Corporate>Department of Social Services</b:Corporate>
      </b:Author>
    </b:Author>
    <b:Title>DSS Demographics September 2019</b:Title>
    <b:InternetSiteTitle>Australian Government</b:InternetSiteTitle>
    <b:Year>2020a</b:Year>
    <b:Month>January</b:Month>
    <b:URL>https://data.gov.au/data/dataset/dss-payment-demographic-data/resource/1fb71211-4e8a-4bf2-b659-148cd4d6972d</b:URL>
    <b:Day>21</b:Day>
    <b:YearAccessed>2020</b:YearAccessed>
    <b:MonthAccessed>February</b:MonthAccessed>
    <b:DayAccessed>4</b:DayAccessed>
    <b:RefOrder>126</b:RefOrder>
  </b:Source>
  <b:Source>
    <b:Tag>DSS2020f</b:Tag>
    <b:SourceType>DocumentFromInternetSite</b:SourceType>
    <b:Guid>{A58F13A8-5723-408B-AA75-3CF471FE7E0A}</b:Guid>
    <b:Author>
      <b:Author>
        <b:Corporate>Department of Social Services</b:Corporate>
      </b:Author>
    </b:Author>
    <b:Title>DSS Demographics December 2019</b:Title>
    <b:InternetSiteTitle>Australian Government</b:InternetSiteTitle>
    <b:Year>2020b</b:Year>
    <b:Month>April</b:Month>
    <b:URL>https://data.gov.au/data/dataset/dss-payment-demographic-data</b:URL>
    <b:Day>21</b:Day>
    <b:YearAccessed>2020</b:YearAccessed>
    <b:MonthAccessed>June</b:MonthAccessed>
    <b:DayAccessed>4</b:DayAccessed>
    <b:RefOrder>42</b:RefOrder>
  </b:Source>
  <b:Source>
    <b:Tag>Sup18</b:Tag>
    <b:SourceType>InternetSite</b:SourceType>
    <b:Guid>{F734F021-CF99-4C64-A288-6C78232C6DD5}</b:Guid>
    <b:Title>Don’t panic! What superannuation is teaching the post-GFC world</b:Title>
    <b:InternetSiteTitle>SuperRatings News&amp;Insights</b:InternetSiteTitle>
    <b:Year>2018</b:Year>
    <b:Month>September</b:Month>
    <b:Day>20</b:Day>
    <b:URL>https://www.superratings.com.au/2018/09/20/dont-panic-what-superannuation-is-teaching-the-post-gfc-world/</b:URL>
    <b:Author>
      <b:Author>
        <b:Corporate>SuperRatings</b:Corporate>
      </b:Author>
    </b:Author>
    <b:YearAccessed>2020</b:YearAccessed>
    <b:MonthAccessed>March</b:MonthAccessed>
    <b:DayAccessed>18</b:DayAccessed>
    <b:RefOrder>325</b:RefOrder>
  </b:Source>
  <b:Source>
    <b:Tag>Tas20</b:Tag>
    <b:SourceType>InternetSite</b:SourceType>
    <b:Guid>{3FBD253A-A71D-4E4F-9F16-FAC1F015F85D}</b:Guid>
    <b:Author>
      <b:Author>
        <b:Corporate>Tasmanian Government</b:Corporate>
      </b:Author>
    </b:Author>
    <b:Title>Discounts and Concessions</b:Title>
    <b:InternetSiteTitle>Tasmanian Government</b:InternetSiteTitle>
    <b:Year>2017</b:Year>
    <b:URL>http://www.concessions.tas.gov.au/search?queries_concessions_card_query%5B2%5D=PCC&amp;x=37&amp;y=5</b:URL>
    <b:YearAccessed>2020</b:YearAccessed>
    <b:MonthAccessed>July</b:MonthAccessed>
    <b:DayAccessed>3</b:DayAccessed>
    <b:RefOrder>313</b:RefOrder>
  </b:Source>
  <b:Source>
    <b:Tag>ASI192</b:Tag>
    <b:SourceType>Report</b:SourceType>
    <b:Guid>{197A5E06-4001-459E-9B20-4C783458FB73}</b:Guid>
    <b:Title>Disclosure: Why it shouldn't be the default</b:Title>
    <b:Year>2019a</b:Year>
    <b:Publisher>ASIC</b:Publisher>
    <b:Author>
      <b:Author>
        <b:Corporate>ASIC and the Dutch Authority for Financial Markets</b:Corporate>
      </b:Author>
    </b:Author>
    <b:RefOrder>444</b:RefOrder>
  </b:Source>
  <b:Source>
    <b:Tag>ABS9j</b:Tag>
    <b:SourceType>DocumentFromInternetSite</b:SourceType>
    <b:Guid>{1FAA792A-CE10-496B-A903-713191FF989D}</b:Guid>
    <b:Author>
      <b:Author>
        <b:Corporate>ABS</b:Corporate>
      </b:Author>
    </b:Author>
    <b:Title>Disability, Ageing and Carers, Australia, 2018, cat. no 4430.0</b:Title>
    <b:Year>2019g</b:Year>
    <b:Month>10</b:Month>
    <b:Day>24</b:Day>
    <b:YearAccessed>2019</b:YearAccessed>
    <b:MonthAccessed>December</b:MonthAccessed>
    <b:DayAccessed>10</b:DayAccessed>
    <b:URL>https://www.abs.gov.au/ausstats/abs@.nsf/mf/4430.0</b:URL>
    <b:RefOrder>125</b:RefOrder>
  </b:Source>
  <b:Source>
    <b:Tag>The16</b:Tag>
    <b:SourceType>Report</b:SourceType>
    <b:Guid>{A5A8470D-60C9-462B-8CD2-D013814CCBB3}</b:Guid>
    <b:Author>
      <b:Author>
        <b:Corporate>The Treasury</b:Corporate>
      </b:Author>
    </b:Author>
    <b:Title>Development of the framework for Comprehensive Income Products for Retirement, Discussion Paper</b:Title>
    <b:Year>2016b</b:Year>
    <b:Publisher>Department of the Treasury, Commonwealth of Australia</b:Publisher>
    <b:City>Canberra</b:City>
    <b:RefOrder>467</b:RefOrder>
  </b:Source>
  <b:Source>
    <b:Tag>Att19</b:Tag>
    <b:SourceType>DocumentFromInternetSite</b:SourceType>
    <b:Guid>{562F8B67-4FED-49CC-AEE1-DC75320F062E}</b:Guid>
    <b:Author>
      <b:Author>
        <b:Corporate>Attorney-General's Department</b:Corporate>
      </b:Author>
    </b:Author>
    <b:Title>De facto property regime</b:Title>
    <b:Year>2019</b:Year>
    <b:InternetSiteTitle>Attorney-General's Department</b:InternetSiteTitle>
    <b:URL>https://www.ag.gov.au/FamiliesAndMarriage/Families/Pages/DeFactoPropertyRegime.aspx</b:URL>
    <b:YearAccessed>2020</b:YearAccessed>
    <b:MonthAccessed>February</b:MonthAccessed>
    <b:DayAccessed>10</b:DayAccessed>
    <b:RefOrder>545</b:RefOrder>
  </b:Source>
  <b:Source>
    <b:Tag>Cho20</b:Tag>
    <b:SourceType>DocumentFromInternetSite</b:SourceType>
    <b:Guid>{069EF5C6-56E0-41EB-8418-32DBAAB95F23}</b:Guid>
    <b:Author>
      <b:Author>
        <b:Corporate>Chomik, R</b:Corporate>
      </b:Author>
    </b:Author>
    <b:Title>COVID-19 and the demographic distribution of health and economic risks</b:Title>
    <b:Year>2020</b:Year>
    <b:URL>http://cepar.edu.au/sites/default/files/COVID-19-and-populations-at-risk.pdf</b:URL>
    <b:Publisher>CEPAR Fact Sheet 2020/1</b:Publisher>
    <b:City>Sydney</b:City>
    <b:YearAccessed>2020</b:YearAccessed>
    <b:MonthAccessed>July</b:MonthAccessed>
    <b:DayAccessed>3</b:DayAccessed>
    <b:RefOrder>29</b:RefOrder>
  </b:Source>
  <b:Source>
    <b:Tag>Sun20</b:Tag>
    <b:SourceType>DocumentFromInternetSite</b:SourceType>
    <b:Guid>{767679E2-79BF-4E2F-9269-06C76A039E0E}</b:Guid>
    <b:Author>
      <b:Author>
        <b:Corporate>Sunsuper</b:Corporate>
      </b:Author>
    </b:Author>
    <b:Title>COVID-19 - what should you do with your super?</b:Title>
    <b:Year>2020</b:Year>
    <b:Month>April</b:Month>
    <b:Day>7</b:Day>
    <b:YearAccessed>2020</b:YearAccessed>
    <b:MonthAccessed>May</b:MonthAccessed>
    <b:DayAccessed>1</b:DayAccessed>
    <b:URL>https://www.sunsuper.com.au/covid19/superannuation</b:URL>
    <b:RefOrder>327</b:RefOrder>
  </b:Source>
  <b:Source>
    <b:Tag>Com01</b:Tag>
    <b:SourceType>Misc</b:SourceType>
    <b:Guid>{FCB154C7-5807-4723-9DD6-43ACCDBDF225}</b:Guid>
    <b:Title>Corporations Act 2001 - Section 766B</b:Title>
    <b:Year>2001</b:Year>
    <b:Publisher>Commonwealth of Australia</b:Publisher>
    <b:City>Canberra</b:City>
    <b:Author>
      <b:Author>
        <b:Corporate>Commonwealth of Australia</b:Corporate>
      </b:Author>
    </b:Author>
    <b:RefOrder>447</b:RefOrder>
  </b:Source>
  <b:Source>
    <b:Tag>Sen16</b:Tag>
    <b:SourceType>Report</b:SourceType>
    <b:Guid>{5D636DBA-F405-4EC3-B733-F9197F7986D0}</b:Guid>
    <b:Author>
      <b:Author>
        <b:Corporate>Senate Education and Employment References Committee</b:Corporate>
      </b:Author>
    </b:Author>
    <b:Title>Corporate avoidance of the Fair Work Act</b:Title>
    <b:Year>2016</b:Year>
    <b:Publisher>Commonwealth of Australia</b:Publisher>
    <b:City>Canberra</b:City>
    <b:RefOrder>242</b:RefOrder>
  </b:Source>
  <b:Source>
    <b:Tag>Cor20</b:Tag>
    <b:SourceType>DocumentFromInternetSite</b:SourceType>
    <b:Guid>{98873A52-8558-46C4-AC26-1E80C7CC05B2}</b:Guid>
    <b:Author>
      <b:Author>
        <b:Corporate>CoreLogic</b:Corporate>
      </b:Author>
    </b:Author>
    <b:Title>CoreLogic Home Property Value Index - Monthly Indices</b:Title>
    <b:InternetSiteTitle>CoreLogic</b:InternetSiteTitle>
    <b:Year>2020</b:Year>
    <b:Month>March</b:Month>
    <b:Day>2</b:Day>
    <b:URL>https://www.corelogic.com.au/research/monthly-indices</b:URL>
    <b:YearAccessed>2020</b:YearAccessed>
    <b:MonthAccessed>March</b:MonthAccessed>
    <b:DayAccessed>2</b:DayAccessed>
    <b:RefOrder>294</b:RefOrder>
  </b:Source>
  <b:Source>
    <b:Tag>ABS202e</b:Tag>
    <b:SourceType>DocumentFromInternetSite</b:SourceType>
    <b:Guid>{99161737-B4A9-4A71-BEF4-E71CD44E3688}</b:Guid>
    <b:Author>
      <b:Author>
        <b:Corporate>ABS</b:Corporate>
      </b:Author>
    </b:Author>
    <b:Title>Consumer Price Index, Australia, Dec 2019, cat. no. 6401.0</b:Title>
    <b:Year>2020e</b:Year>
    <b:Month>January</b:Month>
    <b:Day>29</b:Day>
    <b:City>Canberra</b:City>
    <b:StateProvince>ACT</b:StateProvince>
    <b:CountryRegion>Australia</b:CountryRegion>
    <b:YearAccessed>2020</b:YearAccessed>
    <b:MonthAccessed>February</b:MonthAccessed>
    <b:DayAccessed>20</b:DayAccessed>
    <b:URL>https://www.abs.gov.au/ausstats/abs@.nsf/lookup/6401.0Media%20Release1Dec%202019</b:URL>
    <b:RefOrder>106</b:RefOrder>
  </b:Source>
  <b:Source>
    <b:Tag>Res20</b:Tag>
    <b:SourceType>InternetSite</b:SourceType>
    <b:Guid>{F4CACEDB-E28A-406D-B7BE-660C4BF3DFBD}</b:Guid>
    <b:Title>Compare your super investment options</b:Title>
    <b:Year>2020</b:Year>
    <b:Author>
      <b:Author>
        <b:Corporate>Rest Super</b:Corporate>
      </b:Author>
    </b:Author>
    <b:YearAccessed>2020</b:YearAccessed>
    <b:MonthAccessed>June</b:MonthAccessed>
    <b:DayAccessed>17</b:DayAccessed>
    <b:URL>https://rest.com.au/member/investments/compare-super#</b:URL>
    <b:RefOrder>166</b:RefOrder>
  </b:Source>
  <b:Source>
    <b:Tag>AFS10</b:Tag>
    <b:SourceType>Report</b:SourceType>
    <b:Guid>{2D20FF72-25E8-4143-BA4B-7FFEB215DDD5}</b:Guid>
    <b:Author>
      <b:Author>
        <b:Corporate>ASFA</b:Corporate>
      </b:Author>
    </b:Author>
    <b:Title>Community attitudes to superannuation, retirement income adequacy and government policies on superannuation</b:Title>
    <b:Year>2010</b:Year>
    <b:Publisher>ASFA</b:Publisher>
    <b:City>Sydney</b:City>
    <b:RefOrder>320</b:RefOrder>
  </b:Source>
  <b:Source>
    <b:Tag>Reu20</b:Tag>
    <b:SourceType>InternetSite</b:SourceType>
    <b:Guid>{3254E90D-0989-460A-8472-69AFE278BE0C}</b:Guid>
    <b:Author>
      <b:Author>
        <b:Corporate>Reuters</b:Corporate>
      </b:Author>
    </b:Author>
    <b:Title>Chile's Pinera proposes reform of pension system that has fueled protests</b:Title>
    <b:Year>2020</b:Year>
    <b:YearAccessed>2020</b:YearAccessed>
    <b:MonthAccessed>May</b:MonthAccessed>
    <b:DayAccessed>1</b:DayAccessed>
    <b:URL>https://www.reuters.com/article/us-chile-pensions/chiles-pinera-proposes-reform-of-pension-system-that-has-fueled-protests-idUSKBN1ZF075</b:URL>
    <b:RefOrder>349</b:RefOrder>
  </b:Source>
  <b:Source>
    <b:Tag>The19</b:Tag>
    <b:SourceType>InternetSite</b:SourceType>
    <b:Guid>{35D69888-66F8-4F55-A49E-46B6F452A7D8}</b:Guid>
    <b:Title>Chile tinkers with its ground-breaking pensions system</b:Title>
    <b:Year>2019</b:Year>
    <b:Author>
      <b:Author>
        <b:Corporate>The Economist</b:Corporate>
      </b:Author>
    </b:Author>
    <b:YearAccessed>2020</b:YearAccessed>
    <b:MonthAccessed>May</b:MonthAccessed>
    <b:DayAccessed>1</b:DayAccessed>
    <b:URL>https://www.economist.com/the-americas/2019/06/08/chile-tinkers-with-its-ground-breaking-pensions-system</b:URL>
    <b:RefOrder>347</b:RefOrder>
  </b:Source>
  <b:Source>
    <b:Tag>Placeholder23</b:Tag>
    <b:SourceType>DocumentFromInternetSite</b:SourceType>
    <b:Guid>{7281F78F-22A4-453C-BBE4-7694E806F2CF}</b:Guid>
    <b:Author>
      <b:Author>
        <b:Corporate>ABS</b:Corporate>
      </b:Author>
    </b:Author>
    <b:Title>Characteristics of Employment, Australia, August 2019, cat. no. 6333.0</b:Title>
    <b:Year>2019f</b:Year>
    <b:Month>December</b:Month>
    <b:Day>9</b:Day>
    <b:URL>https://www.abs.gov.au/AUSSTATS/abs@.nsf/DetailsPage/6333.0August%202019?OpenDocument</b:URL>
    <b:YearAccessed>2020</b:YearAccessed>
    <b:MonthAccessed>February</b:MonthAccessed>
    <b:DayAccessed>10</b:DayAccessed>
    <b:RefOrder>1</b:RefOrder>
  </b:Source>
  <b:Source>
    <b:Tag>ABS182</b:Tag>
    <b:SourceType>DocumentFromInternetSite</b:SourceType>
    <b:Guid>{4CF8C0BB-5D87-4739-B1D0-42F79454135D}</b:Guid>
    <b:Title>Census of Population and Housing: Estimating homelessness, 2016, cat. no. 2049.0</b:Title>
    <b:Year>2018b</b:Year>
    <b:InternetSiteTitle>Australian Bureau of Statistics</b:InternetSiteTitle>
    <b:Month>03</b:Month>
    <b:Day>14</b:Day>
    <b:URL>https://www.abs.gov.au/AUSSTATS/abs@.nsf/Lookup/2049.0Main+Features12016?OpenDocument</b:URL>
    <b:Author>
      <b:Author>
        <b:Corporate>ABS</b:Corporate>
      </b:Author>
    </b:Author>
    <b:YearAccessed>2020</b:YearAccessed>
    <b:MonthAccessed>May</b:MonthAccessed>
    <b:DayAccessed>13</b:DayAccessed>
    <b:RefOrder>217</b:RefOrder>
  </b:Source>
  <b:Source>
    <b:Tag>Aus181</b:Tag>
    <b:SourceType>DocumentFromInternetSite</b:SourceType>
    <b:Guid>{761BC2A1-A5D0-44B1-A649-EEA48193E416}</b:Guid>
    <b:Author>
      <b:Author>
        <b:Corporate>ABS</b:Corporate>
      </b:Author>
    </b:Author>
    <b:Title>Census of Population and Housing: Characteristics of Aboriginal and Torres Strait Islander Australians, 2016, cat. no. 2076.0</b:Title>
    <b:InternetSiteTitle>ABS</b:InternetSiteTitle>
    <b:Year>2018a</b:Year>
    <b:Month>February</b:Month>
    <b:Day>19</b:Day>
    <b:URL>https://www.abs.gov.au/AUSSTATS/abs@.nsf/Latestproducts/2076.0Main%20Features512016?opendocument&amp;tabname=Summary&amp;prodno=2076.0&amp;issue=2016&amp;num=&amp;view=</b:URL>
    <b:YearAccessed>2020</b:YearAccessed>
    <b:MonthAccessed>February</b:MonthAccessed>
    <b:DayAccessed>21</b:DayAccessed>
    <b:RefOrder>265</b:RefOrder>
  </b:Source>
  <b:Source>
    <b:Tag>ABS93</b:Tag>
    <b:SourceType>DocumentFromInternetSite</b:SourceType>
    <b:Guid>{57430248-6797-4672-9035-7CA339584A34}</b:Guid>
    <b:Author>
      <b:Author>
        <b:Corporate>ABS</b:Corporate>
      </b:Author>
    </b:Author>
    <b:Title>Census of Population and Housing, 1991, cat. no. 2101.0</b:Title>
    <b:Year>1993</b:Year>
    <b:Month>October</b:Month>
    <b:Day>1</b:Day>
    <b:YearAccessed>2020</b:YearAccessed>
    <b:MonthAccessed>March</b:MonthAccessed>
    <b:DayAccessed>17</b:DayAccessed>
    <b:URL>https://www.ausstats.abs.gov.au/ausstats/free.nsf/0/792BBD9457634FFECA2574BE00826627/$File/27100_1991_20_Census_Characteristics_of_Australia.pdf</b:URL>
    <b:RefOrder>194</b:RefOrder>
  </b:Source>
  <b:Source>
    <b:Tag>Ind15</b:Tag>
    <b:SourceType>DocumentFromInternetSite</b:SourceType>
    <b:Guid>{4D1B31D3-411A-49D1-9BD6-E675F4B02A8B}</b:Guid>
    <b:Title>Building better superannuation outcomes for Aboriginal and Torres Strait Islander people</b:Title>
    <b:InternetSiteTitle>Australian Institute of Superannuaiton Trustees</b:InternetSiteTitle>
    <b:Year>2015</b:Year>
    <b:Month>February</b:Month>
    <b:URL>https://www.aist.asn.au/AIST/media/General/Indigenous%20Super/Docs/Indigenous-Working-Group-Discussion-Paper.pdf</b:URL>
    <b:Author>
      <b:Author>
        <b:Corporate>Indigenous Superannuation Working Group</b:Corporate>
      </b:Author>
    </b:Author>
    <b:YearAccessed>2020</b:YearAccessed>
    <b:MonthAccessed>February</b:MonthAccessed>
    <b:DayAccessed>21</b:DayAccessed>
    <b:RefOrder>278</b:RefOrder>
  </b:Source>
  <b:Source>
    <b:Tag>Tre91</b:Tag>
    <b:SourceType>Report</b:SourceType>
    <b:Guid>{341ED695-3BB7-4E01-B892-D18B3E3AF2BA}</b:Guid>
    <b:Author>
      <b:Author>
        <b:Corporate>The Treasury</b:Corporate>
      </b:Author>
    </b:Author>
    <b:Title>Budget Statements, 1991-92</b:Title>
    <b:Year>1991</b:Year>
    <b:Publisher>Department of the Treasury, Commonwealth of Australia</b:Publisher>
    <b:City>Canberra</b:City>
    <b:RefOrder>63</b:RefOrder>
  </b:Source>
  <b:Source>
    <b:Tag>TreB16</b:Tag>
    <b:SourceType>DocumentFromInternetSite</b:SourceType>
    <b:Guid>{EB6EEDBD-6392-4E3D-8389-5481ADDBAFFA}</b:Guid>
    <b:Author>
      <b:Author>
        <b:Corporate>The Treasury</b:Corporate>
      </b:Author>
    </b:Author>
    <b:Title>Budget 2016: Making a fairer and more sustainable Superannuation System Fact sheets and Q&amp;As</b:Title>
    <b:Year>2016a</b:Year>
    <b:Month>May</b:Month>
    <b:YearAccessed>2020</b:YearAccessed>
    <b:MonthAccessed>May</b:MonthAccessed>
    <b:DayAccessed>1</b:DayAccessed>
    <b:URL>https://archive.budget.gov.au/2016-17/factsheets/super/SFS-Combined-161209.pdf</b:URL>
    <b:RefOrder>331</b:RefOrder>
  </b:Source>
  <b:Source>
    <b:Tag>Tre17</b:Tag>
    <b:SourceType>Report</b:SourceType>
    <b:Guid>{C4F70999-081B-40FA-995A-BB49EA387E3C}</b:Guid>
    <b:Title>Black Economy Taskforce Final Report</b:Title>
    <b:Year>2017b</b:Year>
    <b:Author>
      <b:Author>
        <b:Corporate>The Treasury</b:Corporate>
      </b:Author>
    </b:Author>
    <b:Publisher>Department of the Treasury, Commonwealth of Australia</b:Publisher>
    <b:City>Canberra</b:City>
    <b:RefOrder>240</b:RefOrder>
  </b:Source>
  <b:Source>
    <b:Tag>Cor20D</b:Tag>
    <b:SourceType>Report</b:SourceType>
    <b:Guid>{630409FE-E365-4248-9558-766FEF1AD591}</b:Guid>
    <b:Author>
      <b:Author>
        <b:Corporate>Core Data</b:Corporate>
      </b:Author>
    </b:Author>
    <b:Title>Best Possible Retirement 2020</b:Title>
    <b:Year>2020</b:Year>
    <b:Publisher>Core Data</b:Publisher>
    <b:RefOrder>151</b:RefOrder>
  </b:Source>
  <b:Source>
    <b:Tag>ATO181</b:Tag>
    <b:SourceType>DocumentFromInternetSite</b:SourceType>
    <b:Guid>{54B0D302-E31E-422A-BD3A-A5DEE7CFE49F}</b:Guid>
    <b:Author>
      <b:Author>
        <b:Corporate>ATO</b:Corporate>
      </b:Author>
    </b:Author>
    <b:Title>Beneficiary tax offset and seniors and pensioners tax offset calculator</b:Title>
    <b:Year>2018</b:Year>
    <b:Month>October</b:Month>
    <b:Day>2</b:Day>
    <b:YearAccessed>2020</b:YearAccessed>
    <b:MonthAccessed>May</b:MonthAccessed>
    <b:DayAccessed>18</b:DayAccessed>
    <b:URL>https://www.ato.gov.au/calculators-and-tools/beneficiary-tax-offset-and-seniors-and-pensioner-tax-offset-calculator/</b:URL>
    <b:RefOrder>185</b:RefOrder>
  </b:Source>
  <b:Source>
    <b:Tag>ABS1714</b:Tag>
    <b:SourceType>DocumentFromInternetSite</b:SourceType>
    <b:Guid>{FB20471E-AD4F-459D-84E7-90594A0556F9}</b:Guid>
    <b:Title>Barriers and Incentives to Labour Force Participation, Australia, July 2016 to June 2017, cat. no. 6239.0</b:Title>
    <b:Year>2017b</b:Year>
    <b:Publisher>ABS</b:Publisher>
    <b:InternetSiteTitle>ABS</b:InternetSiteTitle>
    <b:Month>12</b:Month>
    <b:Day>19</b:Day>
    <b:URL>https://www.abs.gov.au/ausstats/abs@.nsf/mf/6239.0</b:URL>
    <b:Author>
      <b:Author>
        <b:Corporate>ABS</b:Corporate>
      </b:Author>
    </b:Author>
    <b:YearAccessed>2019</b:YearAccessed>
    <b:MonthAccessed>November</b:MonthAccessed>
    <b:DayAccessed>19</b:DayAccessed>
    <b:RefOrder>399</b:RefOrder>
  </b:Source>
  <b:Source>
    <b:Tag>Rec07</b:Tag>
    <b:SourceType>Report</b:SourceType>
    <b:Guid>{AF7911CA-A7B5-410A-821D-7A1A9630E7E8}</b:Guid>
    <b:Author>
      <b:Author>
        <b:Corporate>Reconciliation Australia</b:Corporate>
      </b:Author>
    </b:Author>
    <b:Title>Banking for the future: A background paper on financial literacy and financial services for Indigenous Australians</b:Title>
    <b:Year>2007</b:Year>
    <b:RefOrder>273</b:RefOrder>
  </b:Source>
  <b:Source>
    <b:Tag>Wor94</b:Tag>
    <b:SourceType>Report</b:SourceType>
    <b:Guid>{C0C72330-C90A-4EFC-BCB3-E26F00A978CA}</b:Guid>
    <b:Author>
      <b:Author>
        <b:Corporate>World Bank</b:Corporate>
      </b:Author>
    </b:Author>
    <b:Title>Averting the Old Age Crisis: policies to protect the old and promote growth</b:Title>
    <b:Year>1994</b:Year>
    <b:Publisher>World Bank</b:Publisher>
    <b:City>Washington DC</b:City>
    <b:RefOrder>12</b:RefOrder>
  </b:Source>
  <b:Source>
    <b:Tag>ABS20d</b:Tag>
    <b:SourceType>DocumentFromInternetSite</b:SourceType>
    <b:Guid>{C1E2D5DE-0D11-4523-8287-02E89F70730D}</b:Guid>
    <b:Author>
      <b:Author>
        <b:Corporate>ABS</b:Corporate>
      </b:Author>
    </b:Author>
    <b:Title>Average Weekly Earnings, Australia, Nov 2019, cat. no. 6302.0</b:Title>
    <b:City>Canberra</b:City>
    <b:StateProvince>ACT</b:StateProvince>
    <b:CountryRegion>Australia</b:CountryRegion>
    <b:Year>2020d</b:Year>
    <b:Month>February</b:Month>
    <b:Day>20</b:Day>
    <b:YearAccessed>2020</b:YearAccessed>
    <b:MonthAccessed>February</b:MonthAccessed>
    <b:DayAccessed>20</b:DayAccessed>
    <b:URL>https://www.abs.gov.au/ausstats/abs@.nsf/lookup/6302.0Media%20Release0Nov%202019</b:URL>
    <b:RefOrder>2</b:RefOrder>
  </b:Source>
  <b:Source>
    <b:Tag>Hen09</b:Tag>
    <b:SourceType>Report</b:SourceType>
    <b:Guid>{08E03027-5C32-4600-8A63-624B96F0200F}</b:Guid>
    <b:Title>Australia's Future Tax System - The Retirement Income System: Report on Strategic Issues</b:Title>
    <b:Year>2009</b:Year>
    <b:Publisher>Commonwealth of Australia</b:Publisher>
    <b:City>Canberra</b:City>
    <b:Author>
      <b:Author>
        <b:Corporate>Australia’s Future Tax System Review</b:Corporate>
      </b:Author>
    </b:Author>
    <b:RefOrder>49</b:RefOrder>
  </b:Source>
  <b:Source>
    <b:Tag>ABS78</b:Tag>
    <b:SourceType>InternetSite</b:SourceType>
    <b:Guid>{B21F15E4-77B6-4D17-8540-7C53BE115C08}</b:Guid>
    <b:Author>
      <b:Author>
        <b:Corporate>ABS</b:Corporate>
      </b:Author>
    </b:Author>
    <b:Title>Australians pursuing higher education in record numbers</b:Title>
    <b:InternetSiteTitle>ABS</b:InternetSiteTitle>
    <b:Year>2017a</b:Year>
    <b:Month>October</b:Month>
    <b:Day>23</b:Day>
    <b:URL>https://www.abs.gov.au/AUSSTATS/abs@.nsf/mediareleasesbyReleaseDate/1533FE5A8541D66CCA2581BF00362D1D</b:URL>
    <b:YearAccessed>2020</b:YearAccessed>
    <b:MonthAccessed>May</b:MonthAccessed>
    <b:DayAccessed>28</b:DayAccessed>
    <b:RefOrder>32</b:RefOrder>
  </b:Source>
  <b:Source>
    <b:Tag>Sus20</b:Tag>
    <b:SourceType>Report</b:SourceType>
    <b:Guid>{456FC998-D5F5-43FC-A648-533983E1418D}</b:Guid>
    <b:Title>Australians' experiences and expectations of retirement</b:Title>
    <b:Year>2020</b:Year>
    <b:Publisher>Industry Super Australia</b:Publisher>
    <b:Author>
      <b:Author>
        <b:Corporate>Susan Bell Research</b:Corporate>
      </b:Author>
    </b:Author>
    <b:RefOrder>152</b:RefOrder>
  </b:Source>
  <b:Source>
    <b:Tag>ABS09</b:Tag>
    <b:SourceType>DocumentFromInternetSite</b:SourceType>
    <b:Guid>{0DC51B2D-1631-4FA4-8768-1A4B789E3A4D}</b:Guid>
    <b:Author>
      <b:Author>
        <b:Corporate>ABS</b:Corporate>
      </b:Author>
    </b:Author>
    <b:Title>Australian Social Trends, March 2009, cat. no. 4102.0</b:Title>
    <b:InternetSiteTitle>Trends in superannuation coverage</b:InternetSiteTitle>
    <b:Year>2009a</b:Year>
    <b:Month>03</b:Month>
    <b:Day>2009</b:Day>
    <b:URL>https://www.abs.gov.au/AUSSTATS/abs@.nsf/Lookup/4102.0Main+Features70March%202009</b:URL>
    <b:YearAccessed>2020</b:YearAccessed>
    <b:MonthAccessed>March</b:MonthAccessed>
    <b:DayAccessed>5</b:DayAccessed>
    <b:RefOrder>472</b:RefOrder>
  </b:Source>
  <b:Source>
    <b:Tag>ABS111</b:Tag>
    <b:SourceType>DocumentFromInternetSite</b:SourceType>
    <b:Guid>{2EE7B58B-72F4-41CB-B721-9FC5FA9A9C8D}</b:Guid>
    <b:Title>Australian Social Trends, Dec 2011, cat. no. 4102.0</b:Title>
    <b:Year>2011c</b:Year>
    <b:Author>
      <b:Author>
        <b:Corporate>ABS</b:Corporate>
      </b:Author>
    </b:Author>
    <b:Month>December</b:Month>
    <b:Day>14</b:Day>
    <b:YearAccessed>2020</b:YearAccessed>
    <b:MonthAccessed>January</b:MonthAccessed>
    <b:DayAccessed>10</b:DayAccessed>
    <b:URL>https://www.abs.gov.au/AUSSTATS/abs@.nsf/Lookup/4102.0Main+Features30Dec+2011</b:URL>
    <b:RefOrder>546</b:RefOrder>
  </b:Source>
  <b:Source>
    <b:Tag>ABS19mm</b:Tag>
    <b:SourceType>DocumentFromInternetSite</b:SourceType>
    <b:Guid>{C1343437-D2A5-4F5E-B1CA-4B18267E8D5D}</b:Guid>
    <b:Author>
      <b:Author>
        <b:Corporate>ABS</b:Corporate>
      </b:Author>
    </b:Author>
    <b:Title>Australian National Accounts: National Income, Expenditure and Product, Sep 2019, cat. no. 5206.0</b:Title>
    <b:Year>2019d</b:Year>
    <b:URL>https://www.abs.gov.au/AUSSTATS/abs@.nsf/allprimarymainfeatures/A8B6127A1F11485ACA258520000C23B9?opendocument</b:URL>
    <b:Month>12</b:Month>
    <b:Day>4</b:Day>
    <b:YearAccessed>2020</b:YearAccessed>
    <b:MonthAccessed>March</b:MonthAccessed>
    <b:DayAccessed>18</b:DayAccessed>
    <b:RefOrder>301</b:RefOrder>
  </b:Source>
  <b:Source>
    <b:Tag>ABS0qv</b:Tag>
    <b:SourceType>DocumentFromInternetSite</b:SourceType>
    <b:Guid>{39DB05F2-D34F-441E-AA31-6A387D40FCBA}</b:Guid>
    <b:Author>
      <b:Author>
        <b:Corporate>ABS</b:Corporate>
      </b:Author>
    </b:Author>
    <b:Title>Australian National Accounts: National Income, Expenditure and Product, Mar 2020, cat. no. 5206.0</b:Title>
    <b:Year>2020b</b:Year>
    <b:YearAccessed>2020</b:YearAccessed>
    <b:MonthAccessed>July</b:MonthAccessed>
    <b:DayAccessed>3</b:DayAccessed>
    <b:URL>https://www.abs.gov.au/AUSSTATS/abs@.nsf/DetailsPage/5206.0Mar%202020?OpenDocument</b:URL>
    <b:Month>June</b:Month>
    <b:Day>3</b:Day>
    <b:RefOrder>85</b:RefOrder>
  </b:Source>
  <b:Source>
    <b:Tag>ABS203</b:Tag>
    <b:SourceType>DocumentFromInternetSite</b:SourceType>
    <b:Guid>{4DBD3B5C-694C-47E9-92F8-4B4543267480}</b:Guid>
    <b:Title>Australian National Accounts: National Income, Expenditure and Product, Dec 2019, cat. no. 5206.0</b:Title>
    <b:Year>2020c</b:Year>
    <b:Author>
      <b:Author>
        <b:Corporate>ABS</b:Corporate>
      </b:Author>
    </b:Author>
    <b:InternetSiteTitle>ABS</b:InternetSiteTitle>
    <b:Month>March</b:Month>
    <b:Day>4</b:Day>
    <b:URL>https://www.abs.gov.au/ausstats/abs%40.nsf/mediareleasesbyCatalogue/C9973AC780DDFD3FCA257F690011045C?OpenDocument</b:URL>
    <b:YearAccessed>2020</b:YearAccessed>
    <b:MonthAccessed>April</b:MonthAccessed>
    <b:DayAccessed>22</b:DayAccessed>
    <b:RefOrder>93</b:RefOrder>
  </b:Source>
  <b:Source>
    <b:Tag>ABS0q1</b:Tag>
    <b:SourceType>DocumentFromInternetSite</b:SourceType>
    <b:Guid>{7DD9B3DC-17F2-4FA6-8A1F-F0661D3AA1D3}</b:Guid>
    <b:Author>
      <b:Author>
        <b:Corporate>ABS</b:Corporate>
      </b:Author>
    </b:Author>
    <b:Title>Australian National Accounts: Finance and Wealth, Mar 2020, cat. no. 5232.0</b:Title>
    <b:Year>2020a</b:Year>
    <b:YearAccessed>2020</b:YearAccessed>
    <b:MonthAccessed>July</b:MonthAccessed>
    <b:DayAccessed>3</b:DayAccessed>
    <b:URL>https://www.abs.gov.au/AUSSTATS/abs@.nsf/allprimarymainfeatures/F667A926CE831C21CA257695001CB7E3?opendocument</b:URL>
    <b:RefOrder>92</b:RefOrder>
  </b:Source>
  <b:Source>
    <b:Tag>AGA19</b:Tag>
    <b:SourceType>DocumentFromInternetSite</b:SourceType>
    <b:Guid>{4F763CAE-6DC3-427A-B48E-684718635689}</b:Guid>
    <b:Title>Australian Life Tables 2015-17</b:Title>
    <b:Year>2019</b:Year>
    <b:Month>March</b:Month>
    <b:Day>27</b:Day>
    <b:URL>http://www.aga.gov.au/publications/life_table_2015-17/downloads/Australian%20Life%20Tables%202015-17%20v5.pdf</b:URL>
    <b:Author>
      <b:Author>
        <b:Corporate>Australian Government Actuary</b:Corporate>
      </b:Author>
    </b:Author>
    <b:YearAccessed>2020</b:YearAccessed>
    <b:MonthAccessed>March</b:MonthAccessed>
    <b:DayAccessed>18</b:DayAccessed>
    <b:RefOrder>76</b:RefOrder>
  </b:Source>
  <b:Source>
    <b:Tag>AGA14</b:Tag>
    <b:SourceType>DocumentFromInternetSite</b:SourceType>
    <b:Guid>{DB0416FD-07C7-45E9-8B69-B6D1C9773559}</b:Guid>
    <b:Title>Australian Life Tables 2010-12</b:Title>
    <b:Year>2014</b:Year>
    <b:Author>
      <b:Author>
        <b:Corporate>Australian Government Actuary</b:Corporate>
      </b:Author>
    </b:Author>
    <b:Month>December</b:Month>
    <b:Day>10</b:Day>
    <b:URL>http://www.aga.gov.au/publications/life_table_2010-12/downloads/Australian_Life_Tables_2010-12_Final_V2.pdf</b:URL>
    <b:YearAccessed>2020</b:YearAccessed>
    <b:MonthAccessed>March</b:MonthAccessed>
    <b:DayAccessed>18</b:DayAccessed>
    <b:RefOrder>77</b:RefOrder>
  </b:Source>
  <b:Source>
    <b:Tag>ABS11</b:Tag>
    <b:SourceType>DocumentFromInternetSite</b:SourceType>
    <b:Guid>{7614611F-4476-45A5-8F22-FC6D075E30D1}</b:Guid>
    <b:Author>
      <b:Author>
        <b:Corporate>ABS</b:Corporate>
      </b:Author>
    </b:Author>
    <b:Title>Australian Labour Market Statistics, Oct 2011, cat. no. 6105.0</b:Title>
    <b:Year>2011b</b:Year>
    <b:InternetSiteTitle>ABS</b:InternetSiteTitle>
    <b:URL>https://www.abs.gov.au/ausstats/abs@.nsf/Latestproducts/DB1BFFF6CB753F05CA257922000E2865?opendocument</b:URL>
    <b:Month>October</b:Month>
    <b:Day>11</b:Day>
    <b:YearAccessed>2020</b:YearAccessed>
    <b:MonthAccessed>January</b:MonthAccessed>
    <b:DayAccessed>10</b:DayAccessed>
    <b:RefOrder>249</b:RefOrder>
  </b:Source>
  <b:Source>
    <b:Tag>ABS194</b:Tag>
    <b:SourceType>DocumentFromInternetSite</b:SourceType>
    <b:Guid>{9FC99C9C-BBBA-4A45-8D98-7CD7B2E83DCC}</b:Guid>
    <b:Author>
      <b:Author>
        <b:Corporate>ABS</b:Corporate>
      </b:Author>
    </b:Author>
    <b:Title>Australian Historical Population Statistics, 2016, cat. no. 3105.0.65.001</b:Title>
    <b:InternetSiteTitle>ABS</b:InternetSiteTitle>
    <b:Year>2019c</b:Year>
    <b:Month>4</b:Month>
    <b:Day>18</b:Day>
    <b:URL>https://www.abs.gov.au/AUSSTATS/abs@.nsf/mf/3105.0.65.001</b:URL>
    <b:YearAccessed>2020</b:YearAccessed>
    <b:MonthAccessed>February</b:MonthAccessed>
    <b:DayAccessed>10</b:DayAccessed>
    <b:RefOrder>71</b:RefOrder>
  </b:Source>
  <b:Source>
    <b:Tag>ABS197</b:Tag>
    <b:SourceType>DocumentFromInternetSite</b:SourceType>
    <b:Guid>{BDFE3B47-8049-47D9-ADCC-D0BF1977D456}</b:Guid>
    <b:Author>
      <b:Author>
        <b:Corporate>ABS</b:Corporate>
      </b:Author>
    </b:Author>
    <b:Title>Australian Demographic Statistics, Jun 2019, cat. no. 3101.0</b:Title>
    <b:InternetSiteTitle>ABS</b:InternetSiteTitle>
    <b:Year>2019b</b:Year>
    <b:Month>December</b:Month>
    <b:Day>19</b:Day>
    <b:URL>https://www.abs.gov.au/AUSSTATS/abs@.nsf/Lookup/3101.0Main+Features1Jun%202019?OpenDocument</b:URL>
    <b:YearAccessed>2020</b:YearAccessed>
    <b:MonthAccessed>February</b:MonthAccessed>
    <b:DayAccessed>4</b:DayAccessed>
    <b:RefOrder>293</b:RefOrder>
  </b:Source>
  <b:Source>
    <b:Tag>Parb19</b:Tag>
    <b:SourceType>Report</b:SourceType>
    <b:Guid>{18E8CAD7-C3EB-4E19-9B66-D5684C83499D}</b:Guid>
    <b:Author>
      <b:Author>
        <b:Corporate>Parliamentary Budget Office</b:Corporate>
      </b:Author>
    </b:Author>
    <b:Title>Australia’s ageing population: Understanding the fiscal impacts over the next decade</b:Title>
    <b:Year>2019a</b:Year>
    <b:Publisher>Parliamentary Budget Office, Commonwealth of Australia</b:Publisher>
    <b:City>Canberra</b:City>
    <b:RefOrder>303</b:RefOrder>
  </b:Source>
  <b:Source>
    <b:Tag>ATO9f</b:Tag>
    <b:SourceType>InternetSite</b:SourceType>
    <b:Guid>{964D1A41-1B16-4757-9D46-34128FC16147}</b:Guid>
    <b:Author>
      <b:Author>
        <b:Corporate>ATO</b:Corporate>
      </b:Author>
    </b:Author>
    <b:Title>ATO support for Indigenous Peoples superannuation</b:Title>
    <b:Year>2019g</b:Year>
    <b:YearAccessed>2020</b:YearAccessed>
    <b:MonthAccessed>July</b:MonthAccessed>
    <b:DayAccessed>3</b:DayAccessed>
    <b:URL>https://www.ato.gov.au/Media-centre/Speeches/Other/ATO-support-for-Indigenous-Peoples-superannuation/</b:URL>
    <b:RefOrder>269</b:RefOrder>
  </b:Source>
  <b:Source>
    <b:Tag>ATOInd201</b:Tag>
    <b:SourceType>InternetSite</b:SourceType>
    <b:Guid>{9F677B96-8A28-4577-B475-080F6CECA3C7}</b:Guid>
    <b:Author>
      <b:Author>
        <b:Corporate>ATO</b:Corporate>
      </b:Author>
    </b:Author>
    <b:Title>ATO continues to strengthen our support for Aboriginal and Torres Strait Islander people</b:Title>
    <b:Year>2020b</b:Year>
    <b:YearAccessed>2020</b:YearAccessed>
    <b:MonthAccessed>June</b:MonthAccessed>
    <b:DayAccessed>30</b:DayAccessed>
    <b:URL>https://www.ato.gov.au/Media-centre/Media-releases/ATO-continues-to-strengthen-our-support-for-Aboriginal-and-Torres-Strait-Islander-people/</b:URL>
    <b:RefOrder>281</b:RefOrder>
  </b:Source>
  <b:Source>
    <b:Tag>ASIC2018</b:Tag>
    <b:SourceType>Report</b:SourceType>
    <b:Guid>{0AD22831-7958-4303-BADF-92A750F330DF}</b:Guid>
    <b:Author>
      <b:Author>
        <b:Corporate>ASIC</b:Corporate>
      </b:Author>
    </b:Author>
    <b:Title>ASIC Submission to the Financial Services Royal Commission - Round 2: Financial Advice</b:Title>
    <b:Year>2018b</b:Year>
    <b:Publisher>ASIC</b:Publisher>
    <b:RefOrder>462</b:RefOrder>
  </b:Source>
  <b:Source>
    <b:Tag>ASF18</b:Tag>
    <b:SourceType>Report</b:SourceType>
    <b:Guid>{65F03B83-3610-47A3-9595-11C3C07C2D63}</b:Guid>
    <b:Author>
      <b:Author>
        <b:Corporate>ASFA</b:Corporate>
      </b:Author>
    </b:Author>
    <b:Title>ASFA Retirement Standard</b:Title>
    <b:Year>2018a</b:Year>
    <b:City>Sydney</b:City>
    <b:Publisher>ASFA</b:Publisher>
    <b:URL>https://www.superannuation.asn.au/ArticleDocuments/269/ASFA-RetirementStandard-Summary-2018.pdf.aspx?Embed=Y</b:URL>
    <b:RefOrder>113</b:RefOrder>
  </b:Source>
  <b:Source>
    <b:Tag>Aus08</b:Tag>
    <b:SourceType>Report</b:SourceType>
    <b:Guid>{9EBDA7FA-1E36-424F-B935-E554B160F5A1}</b:Guid>
    <b:Title>Architecture of Australia’s Tax and Transfer System</b:Title>
    <b:Year>2008</b:Year>
    <b:Author>
      <b:Author>
        <b:Corporate>Australia’s Future Tax System Review</b:Corporate>
      </b:Author>
    </b:Author>
    <b:Month>August</b:Month>
    <b:YearAccessed>2020</b:YearAccessed>
    <b:MonthAccessed>June</b:MonthAccessed>
    <b:DayAccessed>1</b:DayAccessed>
    <b:URL>https://treasury.gov.au/sites/default/files/2019-10/afts_architecture_of_australias_tax_and_transfer_system_revised.pdf</b:URL>
    <b:Publisher>Commonwealth of Australia</b:Publisher>
    <b:City>Canberra</b:City>
    <b:RefOrder>253</b:RefOrder>
  </b:Source>
  <b:Source>
    <b:Tag>ABS1910</b:Tag>
    <b:SourceType>DocumentFromInternetSite</b:SourceType>
    <b:Guid>{8763910D-7309-4611-8773-994888FCE22C}</b:Guid>
    <b:Author>
      <b:Author>
        <b:Corporate>ABS</b:Corporate>
      </b:Author>
    </b:Author>
    <b:Title>ANZSCO - Australian and New Zealand Standard Classification of Occupations, 2013, Version 1.3, cat. no. 1220.0</b:Title>
    <b:Year>2019a</b:Year>
    <b:Month>11</b:Month>
    <b:Day>5</b:Day>
    <b:YearAccessed>2020</b:YearAccessed>
    <b:MonthAccessed>April</b:MonthAccessed>
    <b:DayAccessed>10</b:DayAccessed>
    <b:URL>https://www.abs.gov.au/AUSSTATS/abs@.nsf/DetailsPage/1220.02013,%20Version%201.3?OpenDocument</b:URL>
    <b:RefOrder>547</b:RefOrder>
  </b:Source>
  <b:Source>
    <b:Tag>Aus151</b:Tag>
    <b:SourceType>DocumentFromInternetSite</b:SourceType>
    <b:Guid>{487D2DD5-ECDF-461E-AF5D-40FBD8E7D206}</b:Guid>
    <b:Author>
      <b:Author>
        <b:Corporate>ANZ</b:Corporate>
      </b:Author>
    </b:Author>
    <b:Title>ANZ Survey of Adult Financial Literacy in Australia</b:Title>
    <b:Year>2015</b:Year>
    <b:YearAccessed>2020</b:YearAccessed>
    <b:MonthAccessed>February</b:MonthAccessed>
    <b:DayAccessed>21</b:DayAccessed>
    <b:URL>https://www.anz.com/resources/3/1/31cbc1fd-9491-4a22-91dc-4c803e4c34ab/adult-financial-literacy-survey-full-results.pdf</b:URL>
    <b:RefOrder>272</b:RefOrder>
  </b:Source>
  <b:Source>
    <b:Tag>Fai19</b:Tag>
    <b:SourceType>DocumentFromInternetSite</b:SourceType>
    <b:Guid>{6EADF276-F3F9-4061-9919-2BC07755353D}</b:Guid>
    <b:Author>
      <b:Author>
        <b:Corporate>Fair Work Commission</b:Corporate>
      </b:Author>
    </b:Author>
    <b:Title>Annual Wage Review 2018–19</b:Title>
    <b:Year>2019a</b:Year>
    <b:Month>05</b:Month>
    <b:Day>30</b:Day>
    <b:URL>https://www.fwc.gov.au/documents/decisionssigned/html/2019fwcfb3500.htm</b:URL>
    <b:YearAccessed>2020</b:YearAccessed>
    <b:MonthAccessed>March</b:MonthAccessed>
    <b:DayAccessed>16</b:DayAccessed>
    <b:RefOrder>478</b:RefOrder>
  </b:Source>
  <b:Source>
    <b:Tag>Fai13</b:Tag>
    <b:SourceType>DocumentFromInternetSite</b:SourceType>
    <b:Guid>{A159B39F-BFAD-4EEB-8114-46A0F5B1DC47}</b:Guid>
    <b:Author>
      <b:Author>
        <b:Corporate>Fair Work Commission</b:Corporate>
      </b:Author>
    </b:Author>
    <b:Title>Annual Wage Review 2012–13</b:Title>
    <b:Year>2013</b:Year>
    <b:Month>06</b:Month>
    <b:Day>03</b:Day>
    <b:URL>https://www.fwc.gov.au/documents/decisionssigned/html/2013fwcfb4000.htm</b:URL>
    <b:YearAccessed>2020</b:YearAccessed>
    <b:MonthAccessed>March</b:MonthAccessed>
    <b:DayAccessed>16</b:DayAccessed>
    <b:RefOrder>477</b:RefOrder>
  </b:Source>
  <b:Source>
    <b:Tag>APR19</b:Tag>
    <b:SourceType>DocumentFromInternetSite</b:SourceType>
    <b:Guid>{FB88DE01-3D4D-4DC9-B645-205568AB85E5}</b:Guid>
    <b:Author>
      <b:Author>
        <b:Corporate>Australian Prudential Regulation Authority</b:Corporate>
      </b:Author>
    </b:Author>
    <b:Title>Annual Superannuation Bulletin June 2019</b:Title>
    <b:Year>2020a</b:Year>
    <b:Publisher>APRA</b:Publisher>
    <b:City>Sydney</b:City>
    <b:Month>1</b:Month>
    <b:Day>31</b:Day>
    <b:YearAccessed>2020</b:YearAccessed>
    <b:MonthAccessed>April</b:MonthAccessed>
    <b:DayAccessed>4</b:DayAccessed>
    <b:URL>https://www.apra.gov.au/annual-superannuation-bulletin</b:URL>
    <b:RefOrder>45</b:RefOrder>
  </b:Source>
  <b:Source>
    <b:Tag>ATO20a</b:Tag>
    <b:SourceType>InternetSite</b:SourceType>
    <b:Guid>{25397065-9B5F-4102-93AD-129E13BF422E}</b:Guid>
    <b:Author>
      <b:Author>
        <b:Corporate>ATO</b:Corporate>
      </b:Author>
    </b:Author>
    <b:Title>Annual Reports - Super co-contributions</b:Title>
    <b:Year>2020a</b:Year>
    <b:InternetSiteTitle>ATO</b:InternetSiteTitle>
    <b:Month>March</b:Month>
    <b:Day>25</b:Day>
    <b:URL>https://www.ato.gov.au/About-ATO/Research-and-statistics/In-detail/Super-statistics/Super-co-contribution/Annual-reports---Super-co-contribution/</b:URL>
    <b:YearAccessed>2020</b:YearAccessed>
    <b:MonthAccessed>March</b:MonthAccessed>
    <b:DayAccessed>18</b:DayAccessed>
    <b:RefOrder>548</b:RefOrder>
  </b:Source>
  <b:Source>
    <b:Tag>DSS109</b:Tag>
    <b:SourceType>DocumentFromInternetSite</b:SourceType>
    <b:Guid>{165A0C68-A542-4B1D-8A84-6AB57A8ED3B9}</b:Guid>
    <b:Author>
      <b:Author>
        <b:Corporate>Department of Social Services</b:Corporate>
      </b:Author>
    </b:Author>
    <b:Title>Annual Reports</b:Title>
    <b:Year>2019</b:Year>
    <b:Month>October</b:Month>
    <b:YearAccessed>2020</b:YearAccessed>
    <b:MonthAccessed>March</b:MonthAccessed>
    <b:DayAccessed>18</b:DayAccessed>
    <b:URL>https://www.dss.gov.au/about-the-department/publications-articles/corporate-publications/annual-reports</b:URL>
    <b:RefOrder>209</b:RefOrder>
  </b:Source>
  <b:Source>
    <b:Tag>Deph19</b:Tag>
    <b:SourceType>DocumentFromInternetSite</b:SourceType>
    <b:Guid>{C546D4C2-2813-406A-9A87-93BE48A9878F}</b:Guid>
    <b:Author>
      <b:Author>
        <b:Corporate>Department of Health</b:Corporate>
      </b:Author>
    </b:Author>
    <b:Title>Annual Medicare Statistics</b:Title>
    <b:InternetSiteTitle>The Department of Health</b:InternetSiteTitle>
    <b:Year>2019b</b:Year>
    <b:URL>https://www1.health.gov.au/internet/main/publishing.nsf/Content/Annual-Medicare-Statistics</b:URL>
    <b:Month>September</b:Month>
    <b:Day>4</b:Day>
    <b:YearAccessed>2019</b:YearAccessed>
    <b:MonthAccessed>December</b:MonthAccessed>
    <b:DayAccessed>10</b:DayAccessed>
    <b:RefOrder>306</b:RefOrder>
  </b:Source>
  <b:Source>
    <b:Tag>The17</b:Tag>
    <b:SourceType>DocumentFromInternetSite</b:SourceType>
    <b:Guid>{63F9A0C4-BBDE-4E44-A445-F51A53F0BFE7}</b:Guid>
    <b:Title>Analysis of wage growth</b:Title>
    <b:Year>2017a</b:Year>
    <b:Author>
      <b:Author>
        <b:Corporate>The Treasury</b:Corporate>
      </b:Author>
    </b:Author>
    <b:MonthAccessed>July</b:MonthAccessed>
    <b:DayAccessed>3</b:DayAccessed>
    <b:URL>https://treasury.gov.au/sites/default/files/2019-03/p2017-t237966.pdf</b:URL>
    <b:YearAccessed>2020</b:YearAccessed>
    <b:RefOrder>509</b:RefOrder>
  </b:Source>
  <b:Source>
    <b:Tag>Pro13</b:Tag>
    <b:SourceType>Report</b:SourceType>
    <b:Guid>{768185D5-0F3C-415E-82D5-BB62711CD86B}</b:Guid>
    <b:Author>
      <b:Author>
        <b:Corporate>Productivity Commission</b:Corporate>
      </b:Author>
    </b:Author>
    <b:Title>An Ageing Australia: Preparing for the Future</b:Title>
    <b:Year>2013a</b:Year>
    <b:Publisher>Productivity Commission</b:Publisher>
    <b:City>Commission Research Paper, Canberra</b:City>
    <b:RefOrder>256</b:RefOrder>
  </b:Source>
  <b:Source>
    <b:Tag>OEC194</b:Tag>
    <b:SourceType>DocumentFromInternetSite</b:SourceType>
    <b:Guid>{A41C44BB-05D4-4C9C-819D-0920E9D170F8}</b:Guid>
    <b:Author>
      <b:Author>
        <b:Corporate>OECD</b:Corporate>
      </b:Author>
    </b:Author>
    <b:Title>Ageing and Employment Policies - Statistics on average effective age of retirement</b:Title>
    <b:InternetSiteTitle>OECD</b:InternetSiteTitle>
    <b:Year>2019a</b:Year>
    <b:URL>https://www.oecd.org/els/emp/average-effective-age-of-retirement.htm</b:URL>
    <b:YearAccessed>2020</b:YearAccessed>
    <b:MonthAccessed>May</b:MonthAccessed>
    <b:DayAccessed>28</b:DayAccessed>
    <b:RefOrder>27</b:RefOrder>
  </b:Source>
  <b:Source>
    <b:Tag>Dep191</b:Tag>
    <b:SourceType>DocumentFromInternetSite</b:SourceType>
    <b:Guid>{7DD80B66-9F54-48EE-B7CE-BB1CAF3FDA84}</b:Guid>
    <b:Title>Aged care data snapshot 2019</b:Title>
    <b:Year>2019a</b:Year>
    <b:Author>
      <b:Author>
        <b:Corporate>Department of Health</b:Corporate>
      </b:Author>
    </b:Author>
    <b:Publisher>Australian Institute of Health and Welfare</b:Publisher>
    <b:Month>September</b:Month>
    <b:YearAccessed>2019</b:YearAccessed>
    <b:MonthAccessed>November</b:MonthAccessed>
    <b:DayAccessed>18</b:DayAccessed>
    <b:URL>https://gen-agedcaredata.gov.au/Resources/Access-data/2019/September/Aged-care-data-snapshot%E2%80%942019</b:URL>
    <b:RefOrder>309</b:RefOrder>
  </b:Source>
  <b:Source>
    <b:Tag>Coo13</b:Tag>
    <b:SourceType>Report</b:SourceType>
    <b:Guid>{4F419BD1-ABFD-425C-A382-236E076C720C}</b:Guid>
    <b:Title>A Super Charter: Fewer Changes, Better Outcomes</b:Title>
    <b:Year>2013</b:Year>
    <b:Publisher>Commonwealth of Australia</b:Publisher>
    <b:City>Canberra</b:City>
    <b:Author>
      <b:Author>
        <b:Corporate>Superannuation Charter Group</b:Corporate>
      </b:Author>
    </b:Author>
    <b:RefOrder>51</b:RefOrder>
  </b:Source>
  <b:Source>
    <b:Tag>PwC15</b:Tag>
    <b:SourceType>DocumentFromInternetSite</b:SourceType>
    <b:Guid>{E3FBA344-39E6-48AB-A686-7ED8F31C24B9}</b:Guid>
    <b:Author>
      <b:Author>
        <b:Corporate>PwC</b:Corporate>
      </b:Author>
    </b:Author>
    <b:Title>A high price to pay: The economic case for preventing violence against women</b:Title>
    <b:Year>2015</b:Year>
    <b:YearAccessed>2020</b:YearAccessed>
    <b:MonthAccessed>March</b:MonthAccessed>
    <b:DayAccessed>3</b:DayAccessed>
    <b:URL>https://www.pwc.com.au/pdf/a-high-price-to-pay.pdf</b:URL>
    <b:RefOrder>202</b:RefOrder>
  </b:Source>
  <b:Source>
    <b:Tag>Adv19</b:Tag>
    <b:SourceType>Report</b:SourceType>
    <b:Guid>{7D85E799-796F-4166-8D8E-2822412B410E}</b:Guid>
    <b:Author>
      <b:Author>
        <b:Corporate>Adviser Ratings</b:Corporate>
      </b:Author>
    </b:Author>
    <b:Title>2019 Australian Financial Advice Landscape</b:Title>
    <b:Year>2019</b:Year>
    <b:Publisher>Adviser Ratings</b:Publisher>
    <b:City>Sydney</b:City>
    <b:RefOrder>445</b:RefOrder>
  </b:Source>
  <b:Source>
    <b:Tag>Cha202</b:Tag>
    <b:SourceType>DocumentFromInternetSite</b:SourceType>
    <b:Guid>{45C594CB-2CDF-4C72-BEF2-19A2AB168DB6}</b:Guid>
    <b:Title>2019 A Standout Year for Super Funds</b:Title>
    <b:Year>2020</b:Year>
    <b:Author>
      <b:Author>
        <b:Corporate>Chant West</b:Corporate>
      </b:Author>
    </b:Author>
    <b:Month>January</b:Month>
    <b:Day>17</b:Day>
    <b:URL>https://www.chantwest.com.au/resources/2019-a-standout-year-for-super-funds</b:URL>
    <b:YearAccessed>2020</b:YearAccessed>
    <b:MonthAccessed>June</b:MonthAccessed>
    <b:DayAccessed>8</b:DayAccessed>
    <b:RefOrder>507</b:RefOrder>
  </b:Source>
  <b:Source>
    <b:Tag>ABS3</b:Tag>
    <b:SourceType>Report</b:SourceType>
    <b:Guid>{EA9A66E1-95D2-49EF-800C-5B5FB84B2F80}</b:Guid>
    <b:Author>
      <b:Author>
        <b:Corporate>ABS</b:Corporate>
      </b:Author>
    </b:Author>
    <b:Title>2016 Census of Population and Housing</b:Title>
    <b:InternetSiteTitle>Census Table Builder</b:InternetSiteTitle>
    <b:Year>2016a</b:Year>
    <b:Comments>Fundings based on use of ABS TableBuilder data</b:Comments>
    <b:Publisher>TableBuilder. Findings based on use of ABS TableBuilder data</b:Publisher>
    <b:RefOrder>23</b:RefOrder>
  </b:Source>
  <b:Source>
    <b:Tag>The15</b:Tag>
    <b:SourceType>Report</b:SourceType>
    <b:Guid>{B1E1D0BF-EBDF-401E-A768-67477B598723}</b:Guid>
    <b:Author>
      <b:Author>
        <b:Corporate>Commonwealth of Australia</b:Corporate>
      </b:Author>
    </b:Author>
    <b:Title>2015 Intergenerational Report: Australia in 2055</b:Title>
    <b:Year>2015</b:Year>
    <b:Publisher>Commonwealth of Australia</b:Publisher>
    <b:City>Canberra</b:City>
    <b:RefOrder>69</b:RefOrder>
  </b:Source>
  <b:Source>
    <b:Tag>Tre11</b:Tag>
    <b:SourceType>Report</b:SourceType>
    <b:Guid>{A6B422D4-3D55-40AB-ACCC-7A4A7F06D74F}</b:Guid>
    <b:Author>
      <b:Author>
        <b:Corporate>The Treasury</b:Corporate>
      </b:Author>
    </b:Author>
    <b:Title>2011-12 Mid-Year Economic and Fiscal Outlook</b:Title>
    <b:Year>2011</b:Year>
    <b:City>Canberra</b:City>
    <b:Publisher>Department of the Treasury, Commonwealth of Australia</b:Publisher>
    <b:RefOrder>302</b:RefOrder>
  </b:Source>
  <b:Source>
    <b:Tag>ABSs11</b:Tag>
    <b:SourceType>Report</b:SourceType>
    <b:Guid>{644D5340-A208-4006-BA3B-84CE7E900F9E}</b:Guid>
    <b:Author>
      <b:Author>
        <b:Corporate>ABS</b:Corporate>
      </b:Author>
    </b:Author>
    <b:Title>2011 Census of Population and Housing</b:Title>
    <b:Year>2011a</b:Year>
    <b:Publisher>TableBuilder. Findings based on use of ABS TableBuilder data</b:Publisher>
    <b:RefOrder>82</b:RefOrder>
  </b:Source>
  <b:Source>
    <b:Tag>Tsy07</b:Tag>
    <b:SourceType>Report</b:SourceType>
    <b:Guid>{13E7FC23-F726-439D-9B5F-1F2CB073BEF1}</b:Guid>
    <b:Author>
      <b:Author>
        <b:Corporate>Commonwealth of Australia</b:Corporate>
      </b:Author>
    </b:Author>
    <b:Title>2007 Intergenerational Report</b:Title>
    <b:Year>2007</b:Year>
    <b:Publisher>Commonwealth of Australia</b:Publisher>
    <b:City>Canberra</b:City>
    <b:RefOrder>334</b:RefOrder>
  </b:Source>
  <b:Source>
    <b:Tag>Aus16</b:Tag>
    <b:SourceType>Report</b:SourceType>
    <b:Guid>{81543542-D793-445E-9323-537C30791A95}</b:Guid>
    <b:Author>
      <b:Author>
        <b:Corporate>ABS</b:Corporate>
      </b:Author>
    </b:Author>
    <b:Title>2006 Census of Population and Housing</b:Title>
    <b:InternetSiteTitle>Census Table Builder</b:InternetSiteTitle>
    <b:Year>2006a</b:Year>
    <b:Publisher>TableBuilder. Findings based on use of ABS TableBuilder data</b:Publisher>
    <b:RefOrder>81</b:RefOrder>
  </b:Source>
  <b:Source>
    <b:Tag>Tre03</b:Tag>
    <b:SourceType>Report</b:SourceType>
    <b:Guid>{0C2FAE3D-EC8A-4A50-9D05-0CABD5C00E38}</b:Guid>
    <b:Author>
      <b:Author>
        <b:Corporate>Commonwealth of Australia</b:Corporate>
      </b:Author>
    </b:Author>
    <b:Title>2002 Intergenerational Report</b:Title>
    <b:Year>2002</b:Year>
    <b:Publisher>Commonwealth of Australia</b:Publisher>
    <b:City>Canberra</b:City>
    <b:RefOrder>333</b:RefOrder>
  </b:Source>
  <b:Source>
    <b:Tag>ABSR20</b:Tag>
    <b:SourceType>Report</b:SourceType>
    <b:Guid>{5258A058-EEC6-43DB-9288-979A9178CB47}</b:Guid>
    <b:Year>2020p</b:Year>
    <b:Author>
      <b:Author>
        <b:Corporate>ABS</b:Corporate>
      </b:Author>
    </b:Author>
    <b:Title>Retirement and Retirement Intentions, Australia, 2018-19, cat. no. 6238.0</b:Title>
    <b:Month>May</b:Month>
    <b:Day>8</b:Day>
    <b:Publisher>TableBuilder. Findings based on use of ABS TableBuilder data</b:Publisher>
    <b:RefOrder>16</b:RefOrder>
  </b:Source>
  <b:Source>
    <b:Tag>BETng</b:Tag>
    <b:SourceType>Report</b:SourceType>
    <b:Guid>{03CF4044-2F1D-44D5-8C90-074094BD9A6F}</b:Guid>
    <b:Title>Retirement planning, saving and attitudes – Survey results</b:Title>
    <b:Year>Forthcoming</b:Year>
    <b:Author>
      <b:Author>
        <b:Corporate>BETA</b:Corporate>
      </b:Author>
    </b:Author>
    <b:Publisher>Department of Prime Minister and Cabinet, Commonwealth of Australia</b:Publisher>
    <b:City>Canberra</b:City>
    <b:RefOrder>317</b:RefOrder>
  </b:Source>
  <b:Source>
    <b:Tag>Placeholder3</b:Tag>
    <b:SourceType>Report</b:SourceType>
    <b:Guid>{08A4176D-A8E9-4493-A954-29D4893E1888}</b:Guid>
    <b:Title>PSS and CSS Long Term Cost Report 2017</b:Title>
    <b:Year>2018</b:Year>
    <b:Author>
      <b:Author>
        <b:Corporate>Department of Finance</b:Corporate>
      </b:Author>
    </b:Author>
    <b:Publisher>Department of Finance, Commonwealth of Australia</b:Publisher>
    <b:City>Canberra</b:City>
    <b:RefOrder>189</b:RefOrder>
  </b:Source>
  <b:Source>
    <b:Tag>Rot07</b:Tag>
    <b:SourceType>ConferenceProceedings</b:SourceType>
    <b:Guid>{84C320ED-ABB3-4459-8DD8-115300AD8A3F}</b:Guid>
    <b:Title>The Adequacy of Australian Retirement Incomes- New Estimates</b:Title>
    <b:Year>2007</b:Year>
    <b:Publisher>Paper presented to the Fifteenth Colloquium of Superannuation Researchers, University of Sydney</b:Publisher>
    <b:Author>
      <b:Author>
        <b:NameList>
          <b:Person>
            <b:Last>Rothman</b:Last>
            <b:First>George</b:First>
          </b:Person>
        </b:NameList>
      </b:Author>
    </b:Author>
    <b:RefOrder>504</b:RefOrder>
  </b:Source>
</b:Sources>
</file>

<file path=customXml/itemProps1.xml><?xml version="1.0" encoding="utf-8"?>
<ds:datastoreItem xmlns:ds="http://schemas.openxmlformats.org/officeDocument/2006/customXml" ds:itemID="{F48499D9-9E25-4D6B-BDE7-666DFF887387}">
  <ds:schemaRefs>
    <ds:schemaRef ds:uri="office.server.policy"/>
  </ds:schemaRefs>
</ds:datastoreItem>
</file>

<file path=customXml/itemProps2.xml><?xml version="1.0" encoding="utf-8"?>
<ds:datastoreItem xmlns:ds="http://schemas.openxmlformats.org/officeDocument/2006/customXml" ds:itemID="{264489DC-FDBF-4D0B-BC1B-839BA22B833D}">
  <ds:schemaRefs>
    <ds:schemaRef ds:uri="http://schemas.microsoft.com/sharepoint/v3"/>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514a1817-aa4a-4fed-97d8-bbba4ea867b5"/>
    <ds:schemaRef ds:uri="0f563589-9cf9-4143-b1eb-fb0534803d38"/>
    <ds:schemaRef ds:uri="http://purl.org/dc/elements/1.1/"/>
    <ds:schemaRef ds:uri="http://schemas.microsoft.com/office/2006/metadata/properties"/>
    <ds:schemaRef ds:uri="2cc670f7-e1dc-43af-b04a-749b6003bd01"/>
    <ds:schemaRef ds:uri="http://www.w3.org/XML/1998/namespace"/>
    <ds:schemaRef ds:uri="http://purl.org/dc/dcmitype/"/>
  </ds:schemaRefs>
</ds:datastoreItem>
</file>

<file path=customXml/itemProps3.xml><?xml version="1.0" encoding="utf-8"?>
<ds:datastoreItem xmlns:ds="http://schemas.openxmlformats.org/officeDocument/2006/customXml" ds:itemID="{29E1E761-D62A-406A-A49E-7FD64792E1BF}">
  <ds:schemaRefs>
    <ds:schemaRef ds:uri="http://schemas.microsoft.com/sharepoint/events"/>
  </ds:schemaRefs>
</ds:datastoreItem>
</file>

<file path=customXml/itemProps4.xml><?xml version="1.0" encoding="utf-8"?>
<ds:datastoreItem xmlns:ds="http://schemas.openxmlformats.org/officeDocument/2006/customXml" ds:itemID="{B4729864-89F3-4725-8627-B68448E65834}">
  <ds:schemaRefs>
    <ds:schemaRef ds:uri="http://schemas.microsoft.com/sharepoint/v3/contenttype/forms"/>
  </ds:schemaRefs>
</ds:datastoreItem>
</file>

<file path=customXml/itemProps5.xml><?xml version="1.0" encoding="utf-8"?>
<ds:datastoreItem xmlns:ds="http://schemas.openxmlformats.org/officeDocument/2006/customXml" ds:itemID="{918A1F9A-DAD0-400A-A613-1CA8877618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f563589-9cf9-4143-b1eb-fb0534803d38"/>
    <ds:schemaRef ds:uri="2cc670f7-e1dc-43af-b04a-749b6003bd01"/>
    <ds:schemaRef ds:uri="514a1817-aa4a-4fed-97d8-bbba4ea867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9AA4F016-8284-4FD0-AF58-16D55C607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RIR Report.dotm</Template>
  <TotalTime>175</TotalTime>
  <Pages>434</Pages>
  <Words>235765</Words>
  <Characters>1336789</Characters>
  <Application>Microsoft Office Word</Application>
  <DocSecurity>0</DocSecurity>
  <Lines>25707</Lines>
  <Paragraphs>13556</Paragraphs>
  <ScaleCrop>false</ScaleCrop>
  <HeadingPairs>
    <vt:vector size="2" baseType="variant">
      <vt:variant>
        <vt:lpstr>Title</vt:lpstr>
      </vt:variant>
      <vt:variant>
        <vt:i4>1</vt:i4>
      </vt:variant>
    </vt:vector>
  </HeadingPairs>
  <TitlesOfParts>
    <vt:vector size="1" baseType="lpstr">
      <vt:lpstr>Retirement Income Review Final Report</vt:lpstr>
    </vt:vector>
  </TitlesOfParts>
  <Company>Australian Government - The Treasury</Company>
  <LinksUpToDate>false</LinksUpToDate>
  <CharactersWithSpaces>1558998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Retirement Income Review Final Report</dc:title>
  <dc:subject/>
  <dc:creator>RetirementIncomeReviewPanel@TREASURY.GOV.AU</dc:creator>
  <cp:keywords/>
  <dc:description/>
  <cp:lastModifiedBy>Hill, Christine</cp:lastModifiedBy>
  <cp:revision>24</cp:revision>
  <cp:lastPrinted>2021-02-05T06:15:00Z</cp:lastPrinted>
  <dcterms:created xsi:type="dcterms:W3CDTF">2020-12-07T01:01:00Z</dcterms:created>
  <dcterms:modified xsi:type="dcterms:W3CDTF">2021-02-08T03:15:00Z</dcterms:modified>
  <cp:category/>
</cp:coreProperties>
</file>